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header21.xml" ContentType="application/vnd.openxmlformats-officedocument.wordprocessingml.header+xml"/>
  <Override PartName="/word/footer19.xml" ContentType="application/vnd.openxmlformats-officedocument.wordprocessingml.footer+xml"/>
  <Override PartName="/word/header22.xml" ContentType="application/vnd.openxmlformats-officedocument.wordprocessingml.header+xml"/>
  <Override PartName="/word/footer20.xml" ContentType="application/vnd.openxmlformats-officedocument.wordprocessingml.footer+xml"/>
  <Override PartName="/word/header23.xml" ContentType="application/vnd.openxmlformats-officedocument.wordprocessingml.header+xml"/>
  <Override PartName="/word/footer21.xml" ContentType="application/vnd.openxmlformats-officedocument.wordprocessingml.footer+xml"/>
  <Override PartName="/word/header24.xml" ContentType="application/vnd.openxmlformats-officedocument.wordprocessingml.header+xml"/>
  <Override PartName="/word/footer22.xml" ContentType="application/vnd.openxmlformats-officedocument.wordprocessingml.footer+xml"/>
  <Override PartName="/word/header25.xml" ContentType="application/vnd.openxmlformats-officedocument.wordprocessingml.header+xml"/>
  <Override PartName="/word/footer23.xml" ContentType="application/vnd.openxmlformats-officedocument.wordprocessingml.footer+xml"/>
  <Override PartName="/word/header26.xml" ContentType="application/vnd.openxmlformats-officedocument.wordprocessingml.header+xml"/>
  <Override PartName="/word/footer24.xml" ContentType="application/vnd.openxmlformats-officedocument.wordprocessingml.footer+xml"/>
  <Override PartName="/word/header27.xml" ContentType="application/vnd.openxmlformats-officedocument.wordprocessingml.header+xml"/>
  <Override PartName="/word/footer25.xml" ContentType="application/vnd.openxmlformats-officedocument.wordprocessingml.footer+xml"/>
  <Override PartName="/word/header28.xml" ContentType="application/vnd.openxmlformats-officedocument.wordprocessingml.header+xml"/>
  <Override PartName="/word/footer26.xml" ContentType="application/vnd.openxmlformats-officedocument.wordprocessingml.footer+xml"/>
  <Override PartName="/word/header29.xml" ContentType="application/vnd.openxmlformats-officedocument.wordprocessingml.header+xml"/>
  <Override PartName="/word/footer27.xml" ContentType="application/vnd.openxmlformats-officedocument.wordprocessingml.footer+xml"/>
  <Override PartName="/word/header30.xml" ContentType="application/vnd.openxmlformats-officedocument.wordprocessingml.header+xml"/>
  <Override PartName="/word/footer28.xml" ContentType="application/vnd.openxmlformats-officedocument.wordprocessingml.footer+xml"/>
  <Override PartName="/word/header31.xml" ContentType="application/vnd.openxmlformats-officedocument.wordprocessingml.header+xml"/>
  <Override PartName="/word/footer29.xml" ContentType="application/vnd.openxmlformats-officedocument.wordprocessingml.footer+xml"/>
  <Override PartName="/word/header32.xml" ContentType="application/vnd.openxmlformats-officedocument.wordprocessingml.header+xml"/>
  <Override PartName="/word/footer30.xml" ContentType="application/vnd.openxmlformats-officedocument.wordprocessingml.footer+xml"/>
  <Override PartName="/word/header33.xml" ContentType="application/vnd.openxmlformats-officedocument.wordprocessingml.header+xml"/>
  <Override PartName="/word/footer31.xml" ContentType="application/vnd.openxmlformats-officedocument.wordprocessingml.footer+xml"/>
  <Override PartName="/word/header34.xml" ContentType="application/vnd.openxmlformats-officedocument.wordprocessingml.header+xml"/>
  <Override PartName="/word/footer32.xml" ContentType="application/vnd.openxmlformats-officedocument.wordprocessingml.footer+xml"/>
  <Override PartName="/word/header35.xml" ContentType="application/vnd.openxmlformats-officedocument.wordprocessingml.header+xml"/>
  <Override PartName="/word/footer33.xml" ContentType="application/vnd.openxmlformats-officedocument.wordprocessingml.footer+xml"/>
  <Override PartName="/word/header36.xml" ContentType="application/vnd.openxmlformats-officedocument.wordprocessingml.header+xml"/>
  <Override PartName="/word/footer34.xml" ContentType="application/vnd.openxmlformats-officedocument.wordprocessingml.footer+xml"/>
  <Override PartName="/word/header37.xml" ContentType="application/vnd.openxmlformats-officedocument.wordprocessingml.header+xml"/>
  <Override PartName="/word/footer35.xml" ContentType="application/vnd.openxmlformats-officedocument.wordprocessingml.footer+xml"/>
  <Override PartName="/word/header38.xml" ContentType="application/vnd.openxmlformats-officedocument.wordprocessingml.header+xml"/>
  <Override PartName="/word/footer3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6AB716" w14:textId="102FF53D" w:rsidR="00D63396" w:rsidRPr="00D4309F" w:rsidRDefault="0019677C" w:rsidP="00D63396">
      <w:pPr>
        <w:pStyle w:val="NoSpacing"/>
      </w:pPr>
      <w:r>
        <w:rPr>
          <w:noProof/>
        </w:rPr>
        <w:drawing>
          <wp:anchor distT="0" distB="0" distL="0" distR="0" simplePos="0" relativeHeight="251660312" behindDoc="0" locked="0" layoutInCell="1" allowOverlap="1" wp14:anchorId="1ADFD245" wp14:editId="162FBB9B">
            <wp:simplePos x="0" y="0"/>
            <wp:positionH relativeFrom="margin">
              <wp:align>right</wp:align>
            </wp:positionH>
            <wp:positionV relativeFrom="page">
              <wp:posOffset>447674</wp:posOffset>
            </wp:positionV>
            <wp:extent cx="1714500" cy="847725"/>
            <wp:effectExtent l="0" t="0" r="0" b="0"/>
            <wp:wrapNone/>
            <wp:docPr id="4482096" name="LogoHide"/>
            <wp:cNvGraphicFramePr/>
            <a:graphic xmlns:a="http://schemas.openxmlformats.org/drawingml/2006/main">
              <a:graphicData uri="http://schemas.openxmlformats.org/drawingml/2006/picture">
                <pic:pic xmlns:pic="http://schemas.openxmlformats.org/drawingml/2006/picture">
                  <pic:nvPicPr>
                    <pic:cNvPr id="4482096" name="LogoHide"/>
                    <pic:cNvPicPr/>
                  </pic:nvPicPr>
                  <pic:blipFill>
                    <a:blip r:embed="rId13"/>
                    <a:srcRect/>
                    <a:stretch/>
                  </pic:blipFill>
                  <pic:spPr>
                    <a:xfrm>
                      <a:off x="0" y="0"/>
                      <a:ext cx="1714500" cy="847725"/>
                    </a:xfrm>
                    <a:prstGeom prst="rect">
                      <a:avLst/>
                    </a:prstGeom>
                  </pic:spPr>
                </pic:pic>
              </a:graphicData>
            </a:graphic>
            <wp14:sizeRelH relativeFrom="margin">
              <wp14:pctWidth>0</wp14:pctWidth>
            </wp14:sizeRelH>
            <wp14:sizeRelV relativeFrom="margin">
              <wp14:pctHeight>0</wp14:pctHeight>
            </wp14:sizeRelV>
          </wp:anchor>
        </w:drawing>
      </w:r>
      <w:r w:rsidR="00054EBF" w:rsidRPr="00244E4F">
        <w:rPr>
          <w:rFonts w:ascii="Times New Roman"/>
          <w:noProof/>
        </w:rPr>
        <w:drawing>
          <wp:anchor distT="0" distB="0" distL="114300" distR="114300" simplePos="0" relativeHeight="251658261" behindDoc="0" locked="0" layoutInCell="1" allowOverlap="1" wp14:anchorId="57E68038" wp14:editId="173F5B4D">
            <wp:simplePos x="0" y="0"/>
            <wp:positionH relativeFrom="margin">
              <wp:posOffset>-87465</wp:posOffset>
            </wp:positionH>
            <wp:positionV relativeFrom="paragraph">
              <wp:posOffset>-866693</wp:posOffset>
            </wp:positionV>
            <wp:extent cx="2287837" cy="661416"/>
            <wp:effectExtent l="0" t="0" r="0" b="5715"/>
            <wp:wrapNone/>
            <wp:docPr id="3" name="Image 3" descr="P1#y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descr="P1#y1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87837" cy="661416"/>
                    </a:xfrm>
                    <a:prstGeom prst="rect">
                      <a:avLst/>
                    </a:prstGeom>
                  </pic:spPr>
                </pic:pic>
              </a:graphicData>
            </a:graphic>
          </wp:anchor>
        </w:drawing>
      </w:r>
      <w:r w:rsidR="001074B0" w:rsidRPr="00D4309F">
        <w:rPr>
          <w:noProof/>
        </w:rPr>
        <mc:AlternateContent>
          <mc:Choice Requires="wps">
            <w:drawing>
              <wp:anchor distT="0" distB="0" distL="114300" distR="114300" simplePos="0" relativeHeight="251658258" behindDoc="0" locked="1" layoutInCell="1" allowOverlap="1" wp14:anchorId="0CCB5CE2" wp14:editId="70B6FCAD">
                <wp:simplePos x="0" y="0"/>
                <wp:positionH relativeFrom="margin">
                  <wp:posOffset>-100965</wp:posOffset>
                </wp:positionH>
                <wp:positionV relativeFrom="page">
                  <wp:posOffset>1419225</wp:posOffset>
                </wp:positionV>
                <wp:extent cx="6438900" cy="1463040"/>
                <wp:effectExtent l="0" t="0" r="0" b="0"/>
                <wp:wrapNone/>
                <wp:docPr id="74" name="Cover5_Textbox" descr="P1TB23bA#y1" hidden="1"/>
                <wp:cNvGraphicFramePr/>
                <a:graphic xmlns:a="http://schemas.openxmlformats.org/drawingml/2006/main">
                  <a:graphicData uri="http://schemas.microsoft.com/office/word/2010/wordprocessingShape">
                    <wps:wsp>
                      <wps:cNvSpPr txBox="1"/>
                      <wps:spPr>
                        <a:xfrm>
                          <a:off x="0" y="0"/>
                          <a:ext cx="6438900" cy="1463040"/>
                        </a:xfrm>
                        <a:prstGeom prst="rect">
                          <a:avLst/>
                        </a:prstGeom>
                        <a:noFill/>
                        <a:ln w="6350" cap="flat" cmpd="sng" algn="ctr">
                          <a:solidFill>
                            <a:prstClr val="black">
                              <a:alpha val="0"/>
                            </a:prstClr>
                          </a:solidFill>
                          <a:prstDash val="solid"/>
                          <a:round/>
                          <a:headEnd type="none" w="med" len="med"/>
                          <a:tailEnd type="none" w="med" len="med"/>
                        </a:ln>
                      </wps:spPr>
                      <wps:txbx>
                        <w:txbxContent>
                          <w:tbl>
                            <w:tblPr>
                              <w:tblStyle w:val="TableGrid"/>
                              <w:tblW w:w="9666" w:type="dxa"/>
                              <w:tblInd w:w="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66"/>
                            </w:tblGrid>
                            <w:tr w:rsidR="001F1812" w:rsidRPr="00D4309F" w14:paraId="3C09E713" w14:textId="77777777" w:rsidTr="00CE316D">
                              <w:tc>
                                <w:tcPr>
                                  <w:tcW w:w="9666" w:type="dxa"/>
                                </w:tcPr>
                                <w:p w14:paraId="4A871A54" w14:textId="716F19DF" w:rsidR="001F1812" w:rsidRPr="00D4309F" w:rsidRDefault="009A5848" w:rsidP="00CD389F">
                                  <w:pPr>
                                    <w:pStyle w:val="Title"/>
                                  </w:pPr>
                                  <w:sdt>
                                    <w:sdtPr>
                                      <w:alias w:val="{{Form.Title}}"/>
                                      <w:tag w:val="{&quot;templafy&quot;:{&quot;id&quot;:&quot;1ab11429-1136-4115-9248-ca0992759744&quot;}}"/>
                                      <w:id w:val="-390576376"/>
                                      <w:placeholder>
                                        <w:docPart w:val="D6BF6F873E2F432CA10D3433A9716EF2"/>
                                      </w:placeholder>
                                    </w:sdtPr>
                                    <w:sdtEndPr/>
                                    <w:sdtContent>
                                      <w:r w:rsidR="00ED36CF" w:rsidRPr="00D4309F">
                                        <w:t>MOOLOOLABA BOAT HARBOUR ENTRANCE INDEPENDENT REVIEW</w:t>
                                      </w:r>
                                    </w:sdtContent>
                                  </w:sdt>
                                </w:p>
                              </w:tc>
                            </w:tr>
                            <w:tr w:rsidR="001F1812" w:rsidRPr="00D4309F" w14:paraId="11ED8470" w14:textId="77777777" w:rsidTr="00CE316D">
                              <w:sdt>
                                <w:sdtPr>
                                  <w:alias w:val="{{Form.Subtitle}}"/>
                                  <w:tag w:val="{&quot;templafy&quot;:{&quot;id&quot;:&quot;c6eaccc3-8a9f-4f77-8b68-85d98853b521&quot;}}"/>
                                  <w:id w:val="1406186833"/>
                                  <w:placeholder>
                                    <w:docPart w:val="29511185F3C143148A9BF211393302F3"/>
                                  </w:placeholder>
                                </w:sdtPr>
                                <w:sdtEndPr/>
                                <w:sdtContent>
                                  <w:tc>
                                    <w:tcPr>
                                      <w:tcW w:w="9666" w:type="dxa"/>
                                    </w:tcPr>
                                    <w:p w14:paraId="62F2A695" w14:textId="191C6B68" w:rsidR="00F308D8" w:rsidRPr="00D4309F" w:rsidRDefault="00ED36CF">
                                      <w:pPr>
                                        <w:pStyle w:val="Subtitle"/>
                                      </w:pPr>
                                      <w:r w:rsidRPr="00D4309F">
                                        <w:t>Draft Final Report</w:t>
                                      </w:r>
                                    </w:p>
                                  </w:tc>
                                </w:sdtContent>
                              </w:sdt>
                            </w:tr>
                          </w:tbl>
                          <w:p w14:paraId="5FFE7C26" w14:textId="77777777" w:rsidR="001F1812" w:rsidRPr="00D4309F" w:rsidRDefault="001F1812" w:rsidP="001074B0">
                            <w:pPr>
                              <w:pStyle w:val="NoSpacing"/>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CCB5CE2" id="_x0000_t202" coordsize="21600,21600" o:spt="202" path="m,l,21600r21600,l21600,xe">
                <v:stroke joinstyle="miter"/>
                <v:path gradientshapeok="t" o:connecttype="rect"/>
              </v:shapetype>
              <v:shape id="Cover5_Textbox" o:spid="_x0000_s1026" type="#_x0000_t202" alt="P1TB23bA#y1" style="position:absolute;margin-left:-7.95pt;margin-top:111.75pt;width:507pt;height:115.2pt;z-index:25165825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" filled="f" strokeweight=".5pt">
                <v:stroke opacity="0" joinstyle="round"/>
                <v:textbox inset="0,0,0,0">
                  <w:txbxContent>
                    <w:tbl>
                      <w:tblPr>
                        <w:tblStyle w:val="TableGrid"/>
                        <w:tblW w:w="9666" w:type="dxa"/>
                        <w:tblInd w:w="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66"/>
                      </w:tblGrid>
                      <w:tr w:rsidR="001F1812" w:rsidRPr="00D4309F" w14:paraId="3C09E713" w14:textId="77777777" w:rsidTr="00CE316D">
                        <w:tc>
                          <w:tcPr>
                            <w:tcW w:w="9666" w:type="dxa"/>
                          </w:tcPr>
                          <w:p w14:paraId="4A871A54" w14:textId="716F19DF" w:rsidR="001F1812" w:rsidRPr="00D4309F" w:rsidRDefault="009A5848" w:rsidP="00CD389F">
                            <w:pPr>
                              <w:pStyle w:val="Title"/>
                            </w:pPr>
                            <w:sdt>
                              <w:sdtPr>
                                <w:alias w:val="{{Form.Title}}"/>
                                <w:tag w:val="{&quot;templafy&quot;:{&quot;id&quot;:&quot;1ab11429-1136-4115-9248-ca0992759744&quot;}}"/>
                                <w:id w:val="-390576376"/>
                                <w:placeholder>
                                  <w:docPart w:val="D6BF6F873E2F432CA10D3433A9716EF2"/>
                                </w:placeholder>
                              </w:sdtPr>
                              <w:sdtEndPr/>
                              <w:sdtContent>
                                <w:r w:rsidR="00ED36CF" w:rsidRPr="00D4309F">
                                  <w:t>MOOLOOLABA BOAT HARBOUR ENTRANCE INDEPENDENT REVIEW</w:t>
                                </w:r>
                              </w:sdtContent>
                            </w:sdt>
                          </w:p>
                        </w:tc>
                      </w:tr>
                      <w:tr w:rsidR="001F1812" w:rsidRPr="00D4309F" w14:paraId="11ED8470" w14:textId="77777777" w:rsidTr="00CE316D">
                        <w:sdt>
                          <w:sdtPr>
                            <w:alias w:val="{{Form.Subtitle}}"/>
                            <w:tag w:val="{&quot;templafy&quot;:{&quot;id&quot;:&quot;c6eaccc3-8a9f-4f77-8b68-85d98853b521&quot;}}"/>
                            <w:id w:val="1406186833"/>
                            <w:placeholder>
                              <w:docPart w:val="29511185F3C143148A9BF211393302F3"/>
                            </w:placeholder>
                          </w:sdtPr>
                          <w:sdtEndPr/>
                          <w:sdtContent>
                            <w:tc>
                              <w:tcPr>
                                <w:tcW w:w="9666" w:type="dxa"/>
                              </w:tcPr>
                              <w:p w14:paraId="62F2A695" w14:textId="191C6B68" w:rsidR="00F308D8" w:rsidRPr="00D4309F" w:rsidRDefault="00ED36CF">
                                <w:pPr>
                                  <w:pStyle w:val="Subtitle"/>
                                </w:pPr>
                                <w:r w:rsidRPr="00D4309F">
                                  <w:t>Draft Final Report</w:t>
                                </w:r>
                              </w:p>
                            </w:tc>
                          </w:sdtContent>
                        </w:sdt>
                      </w:tr>
                    </w:tbl>
                    <w:p w14:paraId="5FFE7C26" w14:textId="77777777" w:rsidR="001F1812" w:rsidRPr="00D4309F" w:rsidRDefault="001F1812" w:rsidP="001074B0">
                      <w:pPr>
                        <w:pStyle w:val="NoSpacing"/>
                      </w:pPr>
                    </w:p>
                  </w:txbxContent>
                </v:textbox>
                <w10:wrap anchorx="margin" anchory="page"/>
                <w10:anchorlock/>
              </v:shape>
            </w:pict>
          </mc:Fallback>
        </mc:AlternateContent>
      </w:r>
      <w:r w:rsidR="002A5EE0" w:rsidRPr="00D4309F">
        <w:rPr>
          <w:noProof/>
        </w:rPr>
        <mc:AlternateContent>
          <mc:Choice Requires="wps">
            <w:drawing>
              <wp:anchor distT="0" distB="0" distL="114300" distR="114300" simplePos="0" relativeHeight="251658244" behindDoc="0" locked="1" layoutInCell="1" allowOverlap="1" wp14:anchorId="370869FE" wp14:editId="3D70C6BA">
                <wp:simplePos x="0" y="0"/>
                <wp:positionH relativeFrom="margin">
                  <wp:posOffset>-81915</wp:posOffset>
                </wp:positionH>
                <wp:positionV relativeFrom="page">
                  <wp:posOffset>1571625</wp:posOffset>
                </wp:positionV>
                <wp:extent cx="6267450" cy="1544955"/>
                <wp:effectExtent l="0" t="0" r="0" b="0"/>
                <wp:wrapNone/>
                <wp:docPr id="4" name="Cover1_Textbox" descr="P1TB11bA#y1"/>
                <wp:cNvGraphicFramePr/>
                <a:graphic xmlns:a="http://schemas.openxmlformats.org/drawingml/2006/main">
                  <a:graphicData uri="http://schemas.microsoft.com/office/word/2010/wordprocessingShape">
                    <wps:wsp>
                      <wps:cNvSpPr txBox="1"/>
                      <wps:spPr>
                        <a:xfrm>
                          <a:off x="0" y="0"/>
                          <a:ext cx="6267450" cy="1544955"/>
                        </a:xfrm>
                        <a:prstGeom prst="rect">
                          <a:avLst/>
                        </a:prstGeom>
                        <a:noFill/>
                        <a:ln w="6350" cap="flat" cmpd="sng" algn="ctr">
                          <a:solidFill>
                            <a:prstClr val="black">
                              <a:alpha val="0"/>
                            </a:prstClr>
                          </a:solidFill>
                          <a:prstDash val="solid"/>
                          <a:round/>
                          <a:headEnd type="none" w="med" len="med"/>
                          <a:tailEnd type="none" w="med" len="med"/>
                        </a:ln>
                      </wps:spPr>
                      <wps:txbx>
                        <w:txbxContent>
                          <w:tbl>
                            <w:tblPr>
                              <w:tblStyle w:val="TableGrid"/>
                              <w:tblW w:w="9639" w:type="dxa"/>
                              <w:tblInd w:w="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9D1FCB" w:rsidRPr="00D4309F" w14:paraId="78165CDC" w14:textId="77777777" w:rsidTr="0006036E">
                              <w:tc>
                                <w:tcPr>
                                  <w:tcW w:w="9639" w:type="dxa"/>
                                </w:tcPr>
                                <w:p w14:paraId="7AC1CE5A" w14:textId="1B12550F" w:rsidR="009D1FCB" w:rsidRPr="00D4309F" w:rsidRDefault="009A5848" w:rsidP="00CD389F">
                                  <w:pPr>
                                    <w:pStyle w:val="Title"/>
                                  </w:pPr>
                                  <w:sdt>
                                    <w:sdtPr>
                                      <w:alias w:val="{{Form.Title}}"/>
                                      <w:tag w:val="{&quot;templafy&quot;:{&quot;id&quot;:&quot;65a4209f-1efd-4528-a693-bb9aeeffdba3&quot;}}"/>
                                      <w:id w:val="-1811552099"/>
                                    </w:sdtPr>
                                    <w:sdtEndPr/>
                                    <w:sdtContent>
                                      <w:r w:rsidR="009B73FE" w:rsidRPr="00D4309F">
                                        <w:t>MOOLOOLABA BOAT HARBOUR ENTRANCE INDEPENDENT REVIEW</w:t>
                                      </w:r>
                                    </w:sdtContent>
                                  </w:sdt>
                                </w:p>
                              </w:tc>
                            </w:tr>
                            <w:tr w:rsidR="009D1FCB" w:rsidRPr="00D4309F" w14:paraId="3CBE74FE" w14:textId="77777777" w:rsidTr="0006036E">
                              <w:tc>
                                <w:tcPr>
                                  <w:tcW w:w="9639" w:type="dxa"/>
                                </w:tcPr>
                                <w:p w14:paraId="0CF56208" w14:textId="5D26BB32" w:rsidR="009D1FCB" w:rsidRPr="00D4309F" w:rsidRDefault="009A5848" w:rsidP="00CD389F">
                                  <w:pPr>
                                    <w:pStyle w:val="Subtitle"/>
                                  </w:pPr>
                                  <w:sdt>
                                    <w:sdtPr>
                                      <w:alias w:val="{{Form.Subtitle}}"/>
                                      <w:tag w:val="{&quot;templafy&quot;:{&quot;id&quot;:&quot;df771c9c-c00a-4e83-8645-0861d24159e0&quot;}}"/>
                                      <w:id w:val="-2128769778"/>
                                    </w:sdtPr>
                                    <w:sdtEndPr/>
                                    <w:sdtContent>
                                      <w:r w:rsidR="00ED36CF" w:rsidRPr="00D4309F">
                                        <w:t xml:space="preserve">Final </w:t>
                                      </w:r>
                                      <w:r w:rsidR="008D2D3F">
                                        <w:t xml:space="preserve">Interim </w:t>
                                      </w:r>
                                      <w:r w:rsidR="00ED36CF" w:rsidRPr="00D4309F">
                                        <w:t>Report</w:t>
                                      </w:r>
                                    </w:sdtContent>
                                  </w:sdt>
                                </w:p>
                              </w:tc>
                            </w:tr>
                          </w:tbl>
                          <w:p w14:paraId="719B14EE" w14:textId="77777777" w:rsidR="009D1FCB" w:rsidRPr="00D4309F" w:rsidRDefault="009D1FCB" w:rsidP="00D63396">
                            <w:pPr>
                              <w:pStyle w:val="NoSpacing"/>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70869FE" id="Cover1_Textbox" o:spid="_x0000_s1027" type="#_x0000_t202" alt="P1TB11bA#y1" style="position:absolute;margin-left:-6.45pt;margin-top:123.75pt;width:493.5pt;height:121.65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" filled="f" strokeweight=".5pt">
                <v:stroke opacity="0" joinstyle="round"/>
                <v:textbox inset="0,0,0,0">
                  <w:txbxContent>
                    <w:tbl>
                      <w:tblPr>
                        <w:tblStyle w:val="TableGrid"/>
                        <w:tblW w:w="9639" w:type="dxa"/>
                        <w:tblInd w:w="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9D1FCB" w:rsidRPr="00D4309F" w14:paraId="78165CDC" w14:textId="77777777" w:rsidTr="0006036E">
                        <w:tc>
                          <w:tcPr>
                            <w:tcW w:w="9639" w:type="dxa"/>
                          </w:tcPr>
                          <w:p w14:paraId="7AC1CE5A" w14:textId="1B12550F" w:rsidR="009D1FCB" w:rsidRPr="00D4309F" w:rsidRDefault="009A5848" w:rsidP="00CD389F">
                            <w:pPr>
                              <w:pStyle w:val="Title"/>
                            </w:pPr>
                            <w:sdt>
                              <w:sdtPr>
                                <w:alias w:val="{{Form.Title}}"/>
                                <w:tag w:val="{&quot;templafy&quot;:{&quot;id&quot;:&quot;65a4209f-1efd-4528-a693-bb9aeeffdba3&quot;}}"/>
                                <w:id w:val="-1811552099"/>
                              </w:sdtPr>
                              <w:sdtEndPr/>
                              <w:sdtContent>
                                <w:r w:rsidR="009B73FE" w:rsidRPr="00D4309F">
                                  <w:t>MOOLOOLABA BOAT HARBOUR ENTRANCE INDEPENDENT REVIEW</w:t>
                                </w:r>
                              </w:sdtContent>
                            </w:sdt>
                          </w:p>
                        </w:tc>
                      </w:tr>
                      <w:tr w:rsidR="009D1FCB" w:rsidRPr="00D4309F" w14:paraId="3CBE74FE" w14:textId="77777777" w:rsidTr="0006036E">
                        <w:tc>
                          <w:tcPr>
                            <w:tcW w:w="9639" w:type="dxa"/>
                          </w:tcPr>
                          <w:p w14:paraId="0CF56208" w14:textId="5D26BB32" w:rsidR="009D1FCB" w:rsidRPr="00D4309F" w:rsidRDefault="009A5848" w:rsidP="00CD389F">
                            <w:pPr>
                              <w:pStyle w:val="Subtitle"/>
                            </w:pPr>
                            <w:sdt>
                              <w:sdtPr>
                                <w:alias w:val="{{Form.Subtitle}}"/>
                                <w:tag w:val="{&quot;templafy&quot;:{&quot;id&quot;:&quot;df771c9c-c00a-4e83-8645-0861d24159e0&quot;}}"/>
                                <w:id w:val="-2128769778"/>
                              </w:sdtPr>
                              <w:sdtEndPr/>
                              <w:sdtContent>
                                <w:r w:rsidR="00ED36CF" w:rsidRPr="00D4309F">
                                  <w:t xml:space="preserve">Final </w:t>
                                </w:r>
                                <w:r w:rsidR="008D2D3F">
                                  <w:t xml:space="preserve">Interim </w:t>
                                </w:r>
                                <w:r w:rsidR="00ED36CF" w:rsidRPr="00D4309F">
                                  <w:t>Report</w:t>
                                </w:r>
                              </w:sdtContent>
                            </w:sdt>
                          </w:p>
                        </w:tc>
                      </w:tr>
                    </w:tbl>
                    <w:p w14:paraId="719B14EE" w14:textId="77777777" w:rsidR="009D1FCB" w:rsidRPr="00D4309F" w:rsidRDefault="009D1FCB" w:rsidP="00D63396">
                      <w:pPr>
                        <w:pStyle w:val="NoSpacing"/>
                      </w:pPr>
                    </w:p>
                  </w:txbxContent>
                </v:textbox>
                <w10:wrap anchorx="margin" anchory="page"/>
                <w10:anchorlock/>
              </v:shape>
            </w:pict>
          </mc:Fallback>
        </mc:AlternateContent>
      </w:r>
      <w:r w:rsidR="006A77D3" w:rsidRPr="00D4309F">
        <w:rPr>
          <w:noProof/>
        </w:rPr>
        <mc:AlternateContent>
          <mc:Choice Requires="wps">
            <w:drawing>
              <wp:anchor distT="0" distB="0" distL="114300" distR="114300" simplePos="0" relativeHeight="251658249" behindDoc="0" locked="1" layoutInCell="1" allowOverlap="1" wp14:anchorId="4949CCCC" wp14:editId="2F429BE1">
                <wp:simplePos x="0" y="0"/>
                <wp:positionH relativeFrom="page">
                  <wp:posOffset>3084195</wp:posOffset>
                </wp:positionH>
                <wp:positionV relativeFrom="page">
                  <wp:posOffset>5829300</wp:posOffset>
                </wp:positionV>
                <wp:extent cx="3556635" cy="1920240"/>
                <wp:effectExtent l="0" t="0" r="0" b="0"/>
                <wp:wrapNone/>
                <wp:docPr id="61" name="Cover3_Picture" descr="P1#y7" hidden="1"/>
                <wp:cNvGraphicFramePr/>
                <a:graphic xmlns:a="http://schemas.openxmlformats.org/drawingml/2006/main">
                  <a:graphicData uri="http://schemas.microsoft.com/office/word/2010/wordprocessingShape">
                    <wps:wsp>
                      <wps:cNvSpPr/>
                      <wps:spPr>
                        <a:xfrm>
                          <a:off x="0" y="0"/>
                          <a:ext cx="3556635" cy="1920240"/>
                        </a:xfrm>
                        <a:custGeom>
                          <a:avLst/>
                          <a:gdLst>
                            <a:gd name="connsiteX0" fmla="*/ 0 w 2610516"/>
                            <a:gd name="connsiteY0" fmla="*/ 0 h 1867566"/>
                            <a:gd name="connsiteX1" fmla="*/ 0 w 2610516"/>
                            <a:gd name="connsiteY1" fmla="*/ 1867567 h 1867566"/>
                            <a:gd name="connsiteX2" fmla="*/ 1728597 w 2610516"/>
                            <a:gd name="connsiteY2" fmla="*/ 1867567 h 1867566"/>
                            <a:gd name="connsiteX3" fmla="*/ 1979581 w 2610516"/>
                            <a:gd name="connsiteY3" fmla="*/ 1764316 h 1867566"/>
                            <a:gd name="connsiteX4" fmla="*/ 2506599 w 2610516"/>
                            <a:gd name="connsiteY4" fmla="*/ 1241108 h 1867566"/>
                            <a:gd name="connsiteX5" fmla="*/ 2610517 w 2610516"/>
                            <a:gd name="connsiteY5" fmla="*/ 991838 h 1867566"/>
                            <a:gd name="connsiteX6" fmla="*/ 2610517 w 2610516"/>
                            <a:gd name="connsiteY6" fmla="*/ 0 h 18675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610516" h="1867566">
                              <a:moveTo>
                                <a:pt x="0" y="0"/>
                              </a:moveTo>
                              <a:lnTo>
                                <a:pt x="0" y="1867567"/>
                              </a:lnTo>
                              <a:lnTo>
                                <a:pt x="1728597" y="1867567"/>
                              </a:lnTo>
                              <a:cubicBezTo>
                                <a:pt x="1822607" y="1867625"/>
                                <a:pt x="1912826" y="1830510"/>
                                <a:pt x="1979581" y="1764316"/>
                              </a:cubicBezTo>
                              <a:lnTo>
                                <a:pt x="2506599" y="1241108"/>
                              </a:lnTo>
                              <a:cubicBezTo>
                                <a:pt x="2573088" y="1175196"/>
                                <a:pt x="2610498" y="1085460"/>
                                <a:pt x="2610517" y="991838"/>
                              </a:cubicBezTo>
                              <a:lnTo>
                                <a:pt x="2610517" y="0"/>
                              </a:lnTo>
                              <a:close/>
                            </a:path>
                          </a:pathLst>
                        </a:custGeom>
                        <a:blipFill dpi="0" rotWithShape="1">
                          <a:blip r:embed="rId15"/>
                          <a:srcRect/>
                          <a:stretch>
                            <a:fillRect l="-1236" r="-1236"/>
                          </a:stretch>
                        </a:blip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5C1FA" id="Cover3_Picture" o:spid="_x0000_s1026" alt="P1#y7" style="position:absolute;margin-left:242.85pt;margin-top:459pt;width:280.05pt;height:151.2pt;z-index:251658249;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610516,1867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" path="m,l,1867567r1728597,c1822607,1867625,1912826,1830510,1979581,1764316r527018,-523208c2573088,1175196,2610498,1085460,2610517,991838l2610517,,,xe" stroked="f">
                <v:fill r:id="rId16" o:title="P1#y7" recolor="t" rotate="t" type="frame"/>
                <v:stroke joinstyle="miter"/>
                <v:path arrowok="t" o:connecttype="custom" o:connectlocs="0,0;0,1920241;2355086,1920241;2697033,1814078;3415056,1276113;3556636,1019812;3556636,0" o:connectangles="0,0,0,0,0,0,0"/>
                <w10:wrap anchorx="page" anchory="page"/>
                <w10:anchorlock/>
              </v:shape>
            </w:pict>
          </mc:Fallback>
        </mc:AlternateContent>
      </w:r>
      <w:r w:rsidR="009D65D2" w:rsidRPr="00D4309F">
        <w:rPr>
          <w:noProof/>
        </w:rPr>
        <mc:AlternateContent>
          <mc:Choice Requires="wps">
            <w:drawing>
              <wp:anchor distT="0" distB="0" distL="114300" distR="114300" simplePos="0" relativeHeight="251658252" behindDoc="0" locked="1" layoutInCell="1" allowOverlap="1" wp14:anchorId="2962E48D" wp14:editId="51E6B895">
                <wp:simplePos x="0" y="0"/>
                <wp:positionH relativeFrom="rightMargin">
                  <wp:posOffset>-4834255</wp:posOffset>
                </wp:positionH>
                <wp:positionV relativeFrom="page">
                  <wp:posOffset>3206750</wp:posOffset>
                </wp:positionV>
                <wp:extent cx="5147945" cy="2538095"/>
                <wp:effectExtent l="0" t="0" r="0" b="0"/>
                <wp:wrapNone/>
                <wp:docPr id="56" name="Cover3_Textbox" descr="P1TB19bA#y1" hidden="1"/>
                <wp:cNvGraphicFramePr/>
                <a:graphic xmlns:a="http://schemas.openxmlformats.org/drawingml/2006/main">
                  <a:graphicData uri="http://schemas.microsoft.com/office/word/2010/wordprocessingShape">
                    <wps:wsp>
                      <wps:cNvSpPr txBox="1"/>
                      <wps:spPr>
                        <a:xfrm>
                          <a:off x="0" y="0"/>
                          <a:ext cx="5147945" cy="2538095"/>
                        </a:xfrm>
                        <a:prstGeom prst="rect">
                          <a:avLst/>
                        </a:prstGeom>
                        <a:noFill/>
                        <a:ln w="6350" cap="flat" cmpd="sng" algn="ctr">
                          <a:solidFill>
                            <a:prstClr val="black">
                              <a:alpha val="0"/>
                            </a:prstClr>
                          </a:solidFill>
                          <a:prstDash val="solid"/>
                          <a:round/>
                          <a:headEnd type="none" w="med" len="med"/>
                          <a:tailEnd type="none" w="med" len="med"/>
                        </a:ln>
                      </wps:spPr>
                      <wps:txbx>
                        <w:txbxContent>
                          <w:tbl>
                            <w:tblPr>
                              <w:tblStyle w:val="TableGrid"/>
                              <w:tblW w:w="6629" w:type="dxa"/>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43" w:type="dxa"/>
                              </w:tblCellMar>
                              <w:tblLook w:val="04A0" w:firstRow="1" w:lastRow="0" w:firstColumn="1" w:lastColumn="0" w:noHBand="0" w:noVBand="1"/>
                            </w:tblPr>
                            <w:tblGrid>
                              <w:gridCol w:w="6629"/>
                            </w:tblGrid>
                            <w:tr w:rsidR="009F7E1C" w:rsidRPr="00D4309F" w14:paraId="5B458C7D" w14:textId="77777777" w:rsidTr="005B1784">
                              <w:tc>
                                <w:tcPr>
                                  <w:tcW w:w="6629" w:type="dxa"/>
                                </w:tcPr>
                                <w:p w14:paraId="4DA8AEC5" w14:textId="4AC4D52F" w:rsidR="009F7E1C" w:rsidRPr="00D4309F" w:rsidRDefault="009A5848" w:rsidP="005B1784">
                                  <w:pPr>
                                    <w:pStyle w:val="TitleCover4"/>
                                    <w:ind w:right="15"/>
                                  </w:pPr>
                                  <w:sdt>
                                    <w:sdtPr>
                                      <w:alias w:val="{{Form.Title}}"/>
                                      <w:tag w:val="{&quot;templafy&quot;:{&quot;id&quot;:&quot;15c88c6e-b28b-4ffa-9aed-20219761e42d&quot;}}"/>
                                      <w:id w:val="1614024771"/>
                                    </w:sdtPr>
                                    <w:sdtEndPr/>
                                    <w:sdtContent>
                                      <w:r w:rsidR="00ED36CF" w:rsidRPr="00D4309F">
                                        <w:t>MOOLOOLABA BOAT HARBOUR ENTRANCE INDEPENDENT REVIEW</w:t>
                                      </w:r>
                                    </w:sdtContent>
                                  </w:sdt>
                                </w:p>
                              </w:tc>
                            </w:tr>
                            <w:tr w:rsidR="009F7E1C" w:rsidRPr="00D4309F" w14:paraId="1CA16A8B" w14:textId="77777777" w:rsidTr="005B1784">
                              <w:tc>
                                <w:tcPr>
                                  <w:tcW w:w="6629" w:type="dxa"/>
                                </w:tcPr>
                                <w:p w14:paraId="162B77D9" w14:textId="77777777" w:rsidR="009F7E1C" w:rsidRPr="00D4309F" w:rsidRDefault="009F7E1C" w:rsidP="005B1784">
                                  <w:pPr>
                                    <w:pStyle w:val="BodyText"/>
                                    <w:ind w:right="15"/>
                                    <w:jc w:val="right"/>
                                    <w:rPr>
                                      <w:color w:val="D7D8D6"/>
                                    </w:rPr>
                                  </w:pPr>
                                </w:p>
                              </w:tc>
                            </w:tr>
                            <w:tr w:rsidR="009F7E1C" w:rsidRPr="00D4309F" w14:paraId="2F7C03B2" w14:textId="77777777" w:rsidTr="005B1784">
                              <w:sdt>
                                <w:sdtPr>
                                  <w:alias w:val="{{Form.Subtitle}}"/>
                                  <w:tag w:val="{&quot;templafy&quot;:{&quot;id&quot;:&quot;6b972c9f-75a9-4aaf-8990-90797e301850&quot;}}"/>
                                  <w:id w:val="1230048360"/>
                                </w:sdtPr>
                                <w:sdtEndPr/>
                                <w:sdtContent>
                                  <w:tc>
                                    <w:tcPr>
                                      <w:tcW w:w="6629" w:type="dxa"/>
                                    </w:tcPr>
                                    <w:p w14:paraId="77811E80" w14:textId="56922DBB" w:rsidR="00F308D8" w:rsidRPr="00D4309F" w:rsidRDefault="00ED36CF">
                                      <w:pPr>
                                        <w:pStyle w:val="TitleCover4Subtitle"/>
                                        <w:ind w:right="15"/>
                                      </w:pPr>
                                      <w:r w:rsidRPr="00D4309F">
                                        <w:t>Draft Final Report</w:t>
                                      </w:r>
                                    </w:p>
                                  </w:tc>
                                </w:sdtContent>
                              </w:sdt>
                            </w:tr>
                          </w:tbl>
                          <w:p w14:paraId="43A68C6B" w14:textId="77777777" w:rsidR="009F7E1C" w:rsidRPr="00D4309F" w:rsidRDefault="009F7E1C" w:rsidP="009F7E1C">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2E48D" id="Cover3_Textbox" o:spid="_x0000_s1028" type="#_x0000_t202" alt="P1TB19bA#y1" style="position:absolute;margin-left:-380.65pt;margin-top:252.5pt;width:405.35pt;height:199.85pt;z-index:251658252;visibility:hidden;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" filled="f" strokeweight=".5pt">
                <v:stroke opacity="0" joinstyle="round"/>
                <v:textbox inset="0,0,0,0">
                  <w:txbxContent>
                    <w:tbl>
                      <w:tblPr>
                        <w:tblStyle w:val="TableGrid"/>
                        <w:tblW w:w="6629" w:type="dxa"/>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43" w:type="dxa"/>
                        </w:tblCellMar>
                        <w:tblLook w:val="04A0" w:firstRow="1" w:lastRow="0" w:firstColumn="1" w:lastColumn="0" w:noHBand="0" w:noVBand="1"/>
                      </w:tblPr>
                      <w:tblGrid>
                        <w:gridCol w:w="6629"/>
                      </w:tblGrid>
                      <w:tr w:rsidR="009F7E1C" w:rsidRPr="00D4309F" w14:paraId="5B458C7D" w14:textId="77777777" w:rsidTr="005B1784">
                        <w:tc>
                          <w:tcPr>
                            <w:tcW w:w="6629" w:type="dxa"/>
                          </w:tcPr>
                          <w:p w14:paraId="4DA8AEC5" w14:textId="4AC4D52F" w:rsidR="009F7E1C" w:rsidRPr="00D4309F" w:rsidRDefault="009A5848" w:rsidP="005B1784">
                            <w:pPr>
                              <w:pStyle w:val="TitleCover4"/>
                              <w:ind w:right="15"/>
                            </w:pPr>
                            <w:sdt>
                              <w:sdtPr>
                                <w:alias w:val="{{Form.Title}}"/>
                                <w:tag w:val="{&quot;templafy&quot;:{&quot;id&quot;:&quot;15c88c6e-b28b-4ffa-9aed-20219761e42d&quot;}}"/>
                                <w:id w:val="1614024771"/>
                              </w:sdtPr>
                              <w:sdtEndPr/>
                              <w:sdtContent>
                                <w:r w:rsidR="00ED36CF" w:rsidRPr="00D4309F">
                                  <w:t>MOOLOOLABA BOAT HARBOUR ENTRANCE INDEPENDENT REVIEW</w:t>
                                </w:r>
                              </w:sdtContent>
                            </w:sdt>
                          </w:p>
                        </w:tc>
                      </w:tr>
                      <w:tr w:rsidR="009F7E1C" w:rsidRPr="00D4309F" w14:paraId="1CA16A8B" w14:textId="77777777" w:rsidTr="005B1784">
                        <w:tc>
                          <w:tcPr>
                            <w:tcW w:w="6629" w:type="dxa"/>
                          </w:tcPr>
                          <w:p w14:paraId="162B77D9" w14:textId="77777777" w:rsidR="009F7E1C" w:rsidRPr="00D4309F" w:rsidRDefault="009F7E1C" w:rsidP="005B1784">
                            <w:pPr>
                              <w:pStyle w:val="BodyText"/>
                              <w:ind w:right="15"/>
                              <w:jc w:val="right"/>
                              <w:rPr>
                                <w:color w:val="D7D8D6"/>
                              </w:rPr>
                            </w:pPr>
                          </w:p>
                        </w:tc>
                      </w:tr>
                      <w:tr w:rsidR="009F7E1C" w:rsidRPr="00D4309F" w14:paraId="2F7C03B2" w14:textId="77777777" w:rsidTr="005B1784">
                        <w:sdt>
                          <w:sdtPr>
                            <w:alias w:val="{{Form.Subtitle}}"/>
                            <w:tag w:val="{&quot;templafy&quot;:{&quot;id&quot;:&quot;6b972c9f-75a9-4aaf-8990-90797e301850&quot;}}"/>
                            <w:id w:val="1230048360"/>
                          </w:sdtPr>
                          <w:sdtEndPr/>
                          <w:sdtContent>
                            <w:tc>
                              <w:tcPr>
                                <w:tcW w:w="6629" w:type="dxa"/>
                              </w:tcPr>
                              <w:p w14:paraId="77811E80" w14:textId="56922DBB" w:rsidR="00F308D8" w:rsidRPr="00D4309F" w:rsidRDefault="00ED36CF">
                                <w:pPr>
                                  <w:pStyle w:val="TitleCover4Subtitle"/>
                                  <w:ind w:right="15"/>
                                </w:pPr>
                                <w:r w:rsidRPr="00D4309F">
                                  <w:t>Draft Final Report</w:t>
                                </w:r>
                              </w:p>
                            </w:tc>
                          </w:sdtContent>
                        </w:sdt>
                      </w:tr>
                    </w:tbl>
                    <w:p w14:paraId="43A68C6B" w14:textId="77777777" w:rsidR="009F7E1C" w:rsidRPr="00D4309F" w:rsidRDefault="009F7E1C" w:rsidP="009F7E1C">
                      <w:pPr>
                        <w:jc w:val="right"/>
                      </w:pPr>
                    </w:p>
                  </w:txbxContent>
                </v:textbox>
                <w10:wrap anchorx="margin" anchory="page"/>
                <w10:anchorlock/>
              </v:shape>
            </w:pict>
          </mc:Fallback>
        </mc:AlternateContent>
      </w:r>
      <w:r w:rsidR="00814B5C" w:rsidRPr="00D4309F">
        <w:rPr>
          <w:noProof/>
        </w:rPr>
        <mc:AlternateContent>
          <mc:Choice Requires="wps">
            <w:drawing>
              <wp:anchor distT="0" distB="0" distL="114300" distR="114300" simplePos="0" relativeHeight="251658250" behindDoc="0" locked="1" layoutInCell="1" allowOverlap="1" wp14:anchorId="1B441149" wp14:editId="1D57D93D">
                <wp:simplePos x="0" y="0"/>
                <wp:positionH relativeFrom="page">
                  <wp:posOffset>-158115</wp:posOffset>
                </wp:positionH>
                <wp:positionV relativeFrom="page">
                  <wp:posOffset>2622550</wp:posOffset>
                </wp:positionV>
                <wp:extent cx="7708265" cy="7561580"/>
                <wp:effectExtent l="0" t="0" r="0" b="0"/>
                <wp:wrapNone/>
                <wp:docPr id="31" name="Cover3_PlumCurve" descr="P1#y8" hidden="1"/>
                <wp:cNvGraphicFramePr/>
                <a:graphic xmlns:a="http://schemas.openxmlformats.org/drawingml/2006/main">
                  <a:graphicData uri="http://schemas.microsoft.com/office/word/2010/wordprocessingShape">
                    <wps:wsp>
                      <wps:cNvSpPr/>
                      <wps:spPr>
                        <a:xfrm>
                          <a:off x="0" y="0"/>
                          <a:ext cx="7708265" cy="7561580"/>
                        </a:xfrm>
                        <a:custGeom>
                          <a:avLst/>
                          <a:gdLst>
                            <a:gd name="connsiteX0" fmla="*/ 5670043 w 5670042"/>
                            <a:gd name="connsiteY0" fmla="*/ 0 h 5566698"/>
                            <a:gd name="connsiteX1" fmla="*/ 3184017 w 5670042"/>
                            <a:gd name="connsiteY1" fmla="*/ 0 h 5566698"/>
                            <a:gd name="connsiteX2" fmla="*/ 1831467 w 5670042"/>
                            <a:gd name="connsiteY2" fmla="*/ 556356 h 5566698"/>
                            <a:gd name="connsiteX3" fmla="*/ 560261 w 5670042"/>
                            <a:gd name="connsiteY3" fmla="*/ 1817942 h 5566698"/>
                            <a:gd name="connsiteX4" fmla="*/ 0 w 5670042"/>
                            <a:gd name="connsiteY4" fmla="*/ 3160967 h 5566698"/>
                            <a:gd name="connsiteX5" fmla="*/ 0 w 5670042"/>
                            <a:gd name="connsiteY5" fmla="*/ 5329238 h 5566698"/>
                            <a:gd name="connsiteX6" fmla="*/ 238789 w 5670042"/>
                            <a:gd name="connsiteY6" fmla="*/ 5566697 h 5566698"/>
                            <a:gd name="connsiteX7" fmla="*/ 239078 w 5670042"/>
                            <a:gd name="connsiteY7" fmla="*/ 5566696 h 5566698"/>
                            <a:gd name="connsiteX8" fmla="*/ 2152079 w 5670042"/>
                            <a:gd name="connsiteY8" fmla="*/ 5566696 h 5566698"/>
                            <a:gd name="connsiteX9" fmla="*/ 2390775 w 5670042"/>
                            <a:gd name="connsiteY9" fmla="*/ 5329238 h 5566698"/>
                            <a:gd name="connsiteX10" fmla="*/ 2390775 w 5670042"/>
                            <a:gd name="connsiteY10" fmla="*/ 3554064 h 5566698"/>
                            <a:gd name="connsiteX11" fmla="*/ 2530888 w 5670042"/>
                            <a:gd name="connsiteY11" fmla="*/ 3218307 h 5566698"/>
                            <a:gd name="connsiteX12" fmla="*/ 3240786 w 5670042"/>
                            <a:gd name="connsiteY12" fmla="*/ 2513457 h 5566698"/>
                            <a:gd name="connsiteX13" fmla="*/ 3579019 w 5670042"/>
                            <a:gd name="connsiteY13" fmla="*/ 2374297 h 5566698"/>
                            <a:gd name="connsiteX14" fmla="*/ 5670043 w 5670042"/>
                            <a:gd name="connsiteY14" fmla="*/ 2374297 h 55666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670042" h="5566698">
                              <a:moveTo>
                                <a:pt x="5670043" y="0"/>
                              </a:moveTo>
                              <a:lnTo>
                                <a:pt x="3184017" y="0"/>
                              </a:lnTo>
                              <a:cubicBezTo>
                                <a:pt x="2677416" y="-292"/>
                                <a:pt x="2191239" y="199691"/>
                                <a:pt x="1831467" y="556356"/>
                              </a:cubicBezTo>
                              <a:lnTo>
                                <a:pt x="560261" y="1817942"/>
                              </a:lnTo>
                              <a:cubicBezTo>
                                <a:pt x="201988" y="2173063"/>
                                <a:pt x="309" y="2656516"/>
                                <a:pt x="0" y="3160967"/>
                              </a:cubicBezTo>
                              <a:lnTo>
                                <a:pt x="0" y="5329238"/>
                              </a:lnTo>
                              <a:cubicBezTo>
                                <a:pt x="367" y="5460750"/>
                                <a:pt x="107277" y="5567064"/>
                                <a:pt x="238789" y="5566697"/>
                              </a:cubicBezTo>
                              <a:cubicBezTo>
                                <a:pt x="238885" y="5566697"/>
                                <a:pt x="238981" y="5566697"/>
                                <a:pt x="239078" y="5566696"/>
                              </a:cubicBezTo>
                              <a:lnTo>
                                <a:pt x="2152079" y="5566696"/>
                              </a:lnTo>
                              <a:cubicBezTo>
                                <a:pt x="2283554" y="5567013"/>
                                <a:pt x="2390407" y="5460714"/>
                                <a:pt x="2390775" y="5329238"/>
                              </a:cubicBezTo>
                              <a:lnTo>
                                <a:pt x="2390775" y="3554064"/>
                              </a:lnTo>
                              <a:cubicBezTo>
                                <a:pt x="2390838" y="3427939"/>
                                <a:pt x="2441280" y="3307065"/>
                                <a:pt x="2530888" y="3218307"/>
                              </a:cubicBezTo>
                              <a:lnTo>
                                <a:pt x="3240786" y="2513457"/>
                              </a:lnTo>
                              <a:cubicBezTo>
                                <a:pt x="3330757" y="2424266"/>
                                <a:pt x="3452331" y="2374247"/>
                                <a:pt x="3579019" y="2374297"/>
                              </a:cubicBezTo>
                              <a:lnTo>
                                <a:pt x="5670043" y="2374297"/>
                              </a:lnTo>
                              <a:close/>
                            </a:path>
                          </a:pathLst>
                        </a:custGeom>
                        <a:solidFill>
                          <a:srgbClr val="71004B"/>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B8924" id="Cover3_PlumCurve" o:spid="_x0000_s1026" alt="P1#y8" style="position:absolute;margin-left:-12.45pt;margin-top:206.5pt;width:606.95pt;height:595.4pt;z-index:25165825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5670042,5566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" path="m5670043,l3184017,c2677416,-292,2191239,199691,1831467,556356l560261,1817942c201988,2173063,309,2656516,,3160967l,5329238v367,131512,107277,237826,238789,237459c238885,5566697,238981,5566697,239078,5566696r1913001,c2283554,5567013,2390407,5460714,2390775,5329238r,-1775174c2390838,3427939,2441280,3307065,2530888,3218307r709898,-704850c3330757,2424266,3452331,2374247,3579019,2374297r2091024,l5670043,xe" fillcolor="#71004b" stroked="f">
                <v:stroke joinstyle="miter"/>
                <v:path arrowok="t" o:connecttype="custom" o:connectlocs="7708266,0;4328583,0;2489829,755732;761659,2469420;0,4293731;0,7239024;324627,7561579;325020,7561577;2925692,7561577;3250192,7239024;3250192,4827698;3440672,4371620;4405759,3414179;4865577,3225150;7708266,3225150" o:connectangles="0,0,0,0,0,0,0,0,0,0,0,0,0,0,0"/>
                <w10:wrap anchorx="page" anchory="page"/>
                <w10:anchorlock/>
              </v:shape>
            </w:pict>
          </mc:Fallback>
        </mc:AlternateContent>
      </w:r>
      <w:r w:rsidR="00814B5C" w:rsidRPr="00D4309F">
        <w:rPr>
          <w:noProof/>
        </w:rPr>
        <mc:AlternateContent>
          <mc:Choice Requires="wps">
            <w:drawing>
              <wp:anchor distT="0" distB="0" distL="114300" distR="114300" simplePos="0" relativeHeight="251658251" behindDoc="0" locked="1" layoutInCell="1" allowOverlap="1" wp14:anchorId="4E35CA15" wp14:editId="00966811">
                <wp:simplePos x="0" y="0"/>
                <wp:positionH relativeFrom="page">
                  <wp:posOffset>-12065</wp:posOffset>
                </wp:positionH>
                <wp:positionV relativeFrom="page">
                  <wp:posOffset>1703070</wp:posOffset>
                </wp:positionV>
                <wp:extent cx="7186930" cy="5184140"/>
                <wp:effectExtent l="0" t="0" r="0" b="0"/>
                <wp:wrapNone/>
                <wp:docPr id="55" name="Cover3_Outline" descr="P1#y9" hidden="1"/>
                <wp:cNvGraphicFramePr/>
                <a:graphic xmlns:a="http://schemas.openxmlformats.org/drawingml/2006/main">
                  <a:graphicData uri="http://schemas.microsoft.com/office/word/2010/wordprocessingShape">
                    <wps:wsp>
                      <wps:cNvSpPr/>
                      <wps:spPr>
                        <a:xfrm>
                          <a:off x="0" y="0"/>
                          <a:ext cx="7186930" cy="5184140"/>
                        </a:xfrm>
                        <a:custGeom>
                          <a:avLst/>
                          <a:gdLst>
                            <a:gd name="connsiteX0" fmla="*/ 6465432 w 6816212"/>
                            <a:gd name="connsiteY0" fmla="*/ 1253320 h 4762203"/>
                            <a:gd name="connsiteX1" fmla="*/ 1543314 w 6816212"/>
                            <a:gd name="connsiteY1" fmla="*/ 1253320 h 4762203"/>
                            <a:gd name="connsiteX2" fmla="*/ 1047114 w 6816212"/>
                            <a:gd name="connsiteY2" fmla="*/ 1047717 h 4762203"/>
                            <a:gd name="connsiteX3" fmla="*/ 6079 w 6816212"/>
                            <a:gd name="connsiteY3" fmla="*/ 5836 h 4762203"/>
                            <a:gd name="connsiteX4" fmla="*/ 0 w 6816212"/>
                            <a:gd name="connsiteY4" fmla="*/ 0 h 4762203"/>
                            <a:gd name="connsiteX5" fmla="*/ 0 w 6816212"/>
                            <a:gd name="connsiteY5" fmla="*/ 4591982 h 4762203"/>
                            <a:gd name="connsiteX6" fmla="*/ 962611 w 6816212"/>
                            <a:gd name="connsiteY6" fmla="*/ 4762204 h 4762203"/>
                            <a:gd name="connsiteX7" fmla="*/ 6465432 w 6816212"/>
                            <a:gd name="connsiteY7" fmla="*/ 4762204 h 4762203"/>
                            <a:gd name="connsiteX8" fmla="*/ 6816213 w 6816212"/>
                            <a:gd name="connsiteY8" fmla="*/ 4411304 h 4762203"/>
                            <a:gd name="connsiteX9" fmla="*/ 6816213 w 6816212"/>
                            <a:gd name="connsiteY9" fmla="*/ 1604221 h 4762203"/>
                            <a:gd name="connsiteX10" fmla="*/ 6465432 w 6816212"/>
                            <a:gd name="connsiteY10" fmla="*/ 1253320 h 47622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816212" h="4762203">
                              <a:moveTo>
                                <a:pt x="6465432" y="1253320"/>
                              </a:moveTo>
                              <a:lnTo>
                                <a:pt x="1543314" y="1253320"/>
                              </a:lnTo>
                              <a:cubicBezTo>
                                <a:pt x="1357188" y="1253320"/>
                                <a:pt x="1178692" y="1179359"/>
                                <a:pt x="1047114" y="1047717"/>
                              </a:cubicBezTo>
                              <a:lnTo>
                                <a:pt x="6079" y="5836"/>
                              </a:lnTo>
                              <a:lnTo>
                                <a:pt x="0" y="0"/>
                              </a:lnTo>
                              <a:lnTo>
                                <a:pt x="0" y="4591982"/>
                              </a:lnTo>
                              <a:cubicBezTo>
                                <a:pt x="308433" y="4704633"/>
                                <a:pt x="634251" y="4762241"/>
                                <a:pt x="962611" y="4762204"/>
                              </a:cubicBezTo>
                              <a:lnTo>
                                <a:pt x="6465432" y="4762204"/>
                              </a:lnTo>
                              <a:cubicBezTo>
                                <a:pt x="6659182" y="4762131"/>
                                <a:pt x="6816213" y="4605053"/>
                                <a:pt x="6816213" y="4411304"/>
                              </a:cubicBezTo>
                              <a:lnTo>
                                <a:pt x="6816213" y="1604221"/>
                              </a:lnTo>
                              <a:cubicBezTo>
                                <a:pt x="6816213" y="1410472"/>
                                <a:pt x="6659182" y="1253393"/>
                                <a:pt x="6465432" y="1253320"/>
                              </a:cubicBezTo>
                              <a:close/>
                            </a:path>
                          </a:pathLst>
                        </a:custGeom>
                        <a:noFill/>
                        <a:ln w="38100" cap="flat">
                          <a:solidFill>
                            <a:srgbClr val="D7D8D6"/>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CB18B" id="Cover3_Outline" o:spid="_x0000_s1026" alt="P1#y9" style="position:absolute;margin-left:-.95pt;margin-top:134.1pt;width:565.9pt;height:408.2pt;z-index:251658251;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6816212,4762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" path="m6465432,1253320r-4922118,c1357188,1253320,1178692,1179359,1047114,1047717l6079,5836,,,,4591982v308433,112651,634251,170259,962611,170222l6465432,4762204v193750,-73,350781,-157151,350781,-350900l6816213,1604221v,-193749,-157031,-350828,-350781,-350901xe" filled="f" strokecolor="#d7d8d6" strokeweight="3pt">
                <v:stroke joinstyle="miter"/>
                <v:path arrowok="t" o:connecttype="custom" o:connectlocs="6817072,1364366;1627251,1364366;1104064,1140546;6410,6353;0,0;0,4998837;1014965,5184141;6817072,5184141;7186931,4802151;7186931,1746357;6817072,1364366" o:connectangles="0,0,0,0,0,0,0,0,0,0,0"/>
                <w10:wrap anchorx="page" anchory="page"/>
                <w10:anchorlock/>
              </v:shape>
            </w:pict>
          </mc:Fallback>
        </mc:AlternateContent>
      </w:r>
      <w:r w:rsidR="007C482A" w:rsidRPr="00D4309F">
        <w:rPr>
          <w:noProof/>
        </w:rPr>
        <mc:AlternateContent>
          <mc:Choice Requires="wps">
            <w:drawing>
              <wp:anchor distT="0" distB="0" distL="114300" distR="114300" simplePos="0" relativeHeight="251658242" behindDoc="0" locked="1" layoutInCell="1" allowOverlap="1" wp14:anchorId="2522FEE3" wp14:editId="4A991279">
                <wp:simplePos x="0" y="0"/>
                <wp:positionH relativeFrom="margin">
                  <wp:posOffset>-148590</wp:posOffset>
                </wp:positionH>
                <wp:positionV relativeFrom="page">
                  <wp:posOffset>1447800</wp:posOffset>
                </wp:positionV>
                <wp:extent cx="6381750" cy="1425575"/>
                <wp:effectExtent l="0" t="0" r="0" b="0"/>
                <wp:wrapNone/>
                <wp:docPr id="36" name="Cover2_Textbox" descr="P1TB9bA#y1" hidden="1"/>
                <wp:cNvGraphicFramePr/>
                <a:graphic xmlns:a="http://schemas.openxmlformats.org/drawingml/2006/main">
                  <a:graphicData uri="http://schemas.microsoft.com/office/word/2010/wordprocessingShape">
                    <wps:wsp>
                      <wps:cNvSpPr txBox="1"/>
                      <wps:spPr>
                        <a:xfrm>
                          <a:off x="0" y="0"/>
                          <a:ext cx="6381750" cy="1425575"/>
                        </a:xfrm>
                        <a:prstGeom prst="rect">
                          <a:avLst/>
                        </a:prstGeom>
                        <a:noFill/>
                        <a:ln w="6350" cap="flat" cmpd="sng" algn="ctr">
                          <a:solidFill>
                            <a:prstClr val="black">
                              <a:alpha val="0"/>
                            </a:prstClr>
                          </a:solidFill>
                          <a:prstDash val="solid"/>
                          <a:round/>
                          <a:headEnd type="none" w="med" len="med"/>
                          <a:tailEnd type="none" w="med" len="med"/>
                        </a:ln>
                      </wps:spPr>
                      <wps:txbx>
                        <w:txbxContent>
                          <w:tbl>
                            <w:tblPr>
                              <w:tblStyle w:val="TableGrid"/>
                              <w:tblW w:w="9599" w:type="dxa"/>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43" w:type="dxa"/>
                              </w:tblCellMar>
                              <w:tblLook w:val="04A0" w:firstRow="1" w:lastRow="0" w:firstColumn="1" w:lastColumn="0" w:noHBand="0" w:noVBand="1"/>
                            </w:tblPr>
                            <w:tblGrid>
                              <w:gridCol w:w="9599"/>
                            </w:tblGrid>
                            <w:tr w:rsidR="009D1FCB" w:rsidRPr="00D4309F" w14:paraId="40D6A8E4" w14:textId="77777777" w:rsidTr="005B1784">
                              <w:tc>
                                <w:tcPr>
                                  <w:tcW w:w="9599" w:type="dxa"/>
                                </w:tcPr>
                                <w:p w14:paraId="47772516" w14:textId="0160D280" w:rsidR="009D1FCB" w:rsidRPr="00D4309F" w:rsidRDefault="009A5848" w:rsidP="0085305A">
                                  <w:pPr>
                                    <w:pStyle w:val="TitleCover2"/>
                                    <w:jc w:val="both"/>
                                  </w:pPr>
                                  <w:sdt>
                                    <w:sdtPr>
                                      <w:alias w:val="{{Form.Title}}"/>
                                      <w:tag w:val="{&quot;templafy&quot;:{&quot;id&quot;:&quot;54fd0489-bcd1-4a1a-a03b-b17629ade267&quot;}}"/>
                                      <w:id w:val="-453406026"/>
                                    </w:sdtPr>
                                    <w:sdtEndPr/>
                                    <w:sdtContent>
                                      <w:r w:rsidR="00ED36CF" w:rsidRPr="00D4309F">
                                        <w:t>MOOLOOLABA BOAT HARBOUR ENTRANCE INDEPENDENT REVIEW</w:t>
                                      </w:r>
                                    </w:sdtContent>
                                  </w:sdt>
                                  <w:r w:rsidR="0085305A" w:rsidRPr="00D4309F">
                                    <w:t xml:space="preserve"> </w:t>
                                  </w:r>
                                </w:p>
                              </w:tc>
                            </w:tr>
                            <w:tr w:rsidR="009D1FCB" w:rsidRPr="00D4309F" w14:paraId="2DE0EAC3" w14:textId="77777777" w:rsidTr="005B1784">
                              <w:trPr>
                                <w:trHeight w:val="153"/>
                              </w:trPr>
                              <w:tc>
                                <w:tcPr>
                                  <w:tcW w:w="9599" w:type="dxa"/>
                                </w:tcPr>
                                <w:p w14:paraId="0619FBE3" w14:textId="77777777" w:rsidR="009D1FCB" w:rsidRPr="00D4309F" w:rsidRDefault="009D1FCB" w:rsidP="0055588C">
                                  <w:pPr>
                                    <w:pStyle w:val="NoSpacing"/>
                                  </w:pPr>
                                </w:p>
                              </w:tc>
                            </w:tr>
                            <w:tr w:rsidR="009D1FCB" w:rsidRPr="00D4309F" w14:paraId="60BFE585" w14:textId="77777777" w:rsidTr="005B1784">
                              <w:tc>
                                <w:tcPr>
                                  <w:tcW w:w="9599" w:type="dxa"/>
                                </w:tcPr>
                                <w:p w14:paraId="289B16A1" w14:textId="71978C55" w:rsidR="009D1FCB" w:rsidRPr="00D4309F" w:rsidRDefault="009A5848" w:rsidP="0055588C">
                                  <w:pPr>
                                    <w:pStyle w:val="BodyText"/>
                                    <w:rPr>
                                      <w:color w:val="5F6369"/>
                                      <w:sz w:val="32"/>
                                      <w:szCs w:val="32"/>
                                    </w:rPr>
                                  </w:pPr>
                                  <w:sdt>
                                    <w:sdtPr>
                                      <w:rPr>
                                        <w:color w:val="5F6369"/>
                                        <w:sz w:val="32"/>
                                        <w:szCs w:val="32"/>
                                      </w:rPr>
                                      <w:alias w:val="{{Form.Subtitle}}"/>
                                      <w:tag w:val="{&quot;templafy&quot;:{&quot;id&quot;:&quot;0a6d897a-86fb-44e0-a675-7f5ac75a11fe&quot;}}"/>
                                      <w:id w:val="-683735587"/>
                                    </w:sdtPr>
                                    <w:sdtEndPr/>
                                    <w:sdtContent>
                                      <w:r w:rsidR="00ED36CF" w:rsidRPr="00D4309F">
                                        <w:rPr>
                                          <w:rStyle w:val="SubtitleChar"/>
                                        </w:rPr>
                                        <w:t>Draft Final Report</w:t>
                                      </w:r>
                                    </w:sdtContent>
                                  </w:sdt>
                                </w:p>
                              </w:tc>
                            </w:tr>
                          </w:tbl>
                          <w:p w14:paraId="3CD500A6" w14:textId="77777777" w:rsidR="009D1FCB" w:rsidRPr="00D4309F" w:rsidRDefault="009D1FCB" w:rsidP="00D63396">
                            <w:pPr>
                              <w:pStyle w:val="NoSpacing"/>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2FEE3" id="Cover2_Textbox" o:spid="_x0000_s1029" type="#_x0000_t202" alt="P1TB9bA#y1" style="position:absolute;margin-left:-11.7pt;margin-top:114pt;width:502.5pt;height:112.25pt;z-index:251658242;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" filled="f" strokeweight=".5pt">
                <v:stroke opacity="0" joinstyle="round"/>
                <v:textbox inset="0,0,0,0">
                  <w:txbxContent>
                    <w:tbl>
                      <w:tblPr>
                        <w:tblStyle w:val="TableGrid"/>
                        <w:tblW w:w="9599" w:type="dxa"/>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43" w:type="dxa"/>
                        </w:tblCellMar>
                        <w:tblLook w:val="04A0" w:firstRow="1" w:lastRow="0" w:firstColumn="1" w:lastColumn="0" w:noHBand="0" w:noVBand="1"/>
                      </w:tblPr>
                      <w:tblGrid>
                        <w:gridCol w:w="9599"/>
                      </w:tblGrid>
                      <w:tr w:rsidR="009D1FCB" w:rsidRPr="00D4309F" w14:paraId="40D6A8E4" w14:textId="77777777" w:rsidTr="005B1784">
                        <w:tc>
                          <w:tcPr>
                            <w:tcW w:w="9599" w:type="dxa"/>
                          </w:tcPr>
                          <w:p w14:paraId="47772516" w14:textId="0160D280" w:rsidR="009D1FCB" w:rsidRPr="00D4309F" w:rsidRDefault="009A5848" w:rsidP="0085305A">
                            <w:pPr>
                              <w:pStyle w:val="TitleCover2"/>
                              <w:jc w:val="both"/>
                            </w:pPr>
                            <w:sdt>
                              <w:sdtPr>
                                <w:alias w:val="{{Form.Title}}"/>
                                <w:tag w:val="{&quot;templafy&quot;:{&quot;id&quot;:&quot;54fd0489-bcd1-4a1a-a03b-b17629ade267&quot;}}"/>
                                <w:id w:val="-453406026"/>
                              </w:sdtPr>
                              <w:sdtEndPr/>
                              <w:sdtContent>
                                <w:r w:rsidR="00ED36CF" w:rsidRPr="00D4309F">
                                  <w:t>MOOLOOLABA BOAT HARBOUR ENTRANCE INDEPENDENT REVIEW</w:t>
                                </w:r>
                              </w:sdtContent>
                            </w:sdt>
                            <w:r w:rsidR="0085305A" w:rsidRPr="00D4309F">
                              <w:t xml:space="preserve"> </w:t>
                            </w:r>
                          </w:p>
                        </w:tc>
                      </w:tr>
                      <w:tr w:rsidR="009D1FCB" w:rsidRPr="00D4309F" w14:paraId="2DE0EAC3" w14:textId="77777777" w:rsidTr="005B1784">
                        <w:trPr>
                          <w:trHeight w:val="153"/>
                        </w:trPr>
                        <w:tc>
                          <w:tcPr>
                            <w:tcW w:w="9599" w:type="dxa"/>
                          </w:tcPr>
                          <w:p w14:paraId="0619FBE3" w14:textId="77777777" w:rsidR="009D1FCB" w:rsidRPr="00D4309F" w:rsidRDefault="009D1FCB" w:rsidP="0055588C">
                            <w:pPr>
                              <w:pStyle w:val="NoSpacing"/>
                            </w:pPr>
                          </w:p>
                        </w:tc>
                      </w:tr>
                      <w:tr w:rsidR="009D1FCB" w:rsidRPr="00D4309F" w14:paraId="60BFE585" w14:textId="77777777" w:rsidTr="005B1784">
                        <w:tc>
                          <w:tcPr>
                            <w:tcW w:w="9599" w:type="dxa"/>
                          </w:tcPr>
                          <w:p w14:paraId="289B16A1" w14:textId="71978C55" w:rsidR="009D1FCB" w:rsidRPr="00D4309F" w:rsidRDefault="009A5848" w:rsidP="0055588C">
                            <w:pPr>
                              <w:pStyle w:val="BodyText"/>
                              <w:rPr>
                                <w:color w:val="5F6369"/>
                                <w:sz w:val="32"/>
                                <w:szCs w:val="32"/>
                              </w:rPr>
                            </w:pPr>
                            <w:sdt>
                              <w:sdtPr>
                                <w:rPr>
                                  <w:color w:val="5F6369"/>
                                  <w:sz w:val="32"/>
                                  <w:szCs w:val="32"/>
                                </w:rPr>
                                <w:alias w:val="{{Form.Subtitle}}"/>
                                <w:tag w:val="{&quot;templafy&quot;:{&quot;id&quot;:&quot;0a6d897a-86fb-44e0-a675-7f5ac75a11fe&quot;}}"/>
                                <w:id w:val="-683735587"/>
                              </w:sdtPr>
                              <w:sdtEndPr/>
                              <w:sdtContent>
                                <w:r w:rsidR="00ED36CF" w:rsidRPr="00D4309F">
                                  <w:rPr>
                                    <w:rStyle w:val="SubtitleChar"/>
                                  </w:rPr>
                                  <w:t>Draft Final Report</w:t>
                                </w:r>
                              </w:sdtContent>
                            </w:sdt>
                          </w:p>
                        </w:tc>
                      </w:tr>
                    </w:tbl>
                    <w:p w14:paraId="3CD500A6" w14:textId="77777777" w:rsidR="009D1FCB" w:rsidRPr="00D4309F" w:rsidRDefault="009D1FCB" w:rsidP="00D63396">
                      <w:pPr>
                        <w:pStyle w:val="NoSpacing"/>
                      </w:pPr>
                    </w:p>
                  </w:txbxContent>
                </v:textbox>
                <w10:wrap anchorx="margin" anchory="page"/>
                <w10:anchorlock/>
              </v:shape>
            </w:pict>
          </mc:Fallback>
        </mc:AlternateContent>
      </w:r>
      <w:r w:rsidR="007C482A" w:rsidRPr="00D4309F">
        <w:rPr>
          <w:noProof/>
        </w:rPr>
        <mc:AlternateContent>
          <mc:Choice Requires="wpg">
            <w:drawing>
              <wp:anchor distT="0" distB="0" distL="114300" distR="114300" simplePos="0" relativeHeight="251658247" behindDoc="0" locked="1" layoutInCell="1" allowOverlap="1" wp14:anchorId="6D668049" wp14:editId="10546E41">
                <wp:simplePos x="0" y="0"/>
                <wp:positionH relativeFrom="page">
                  <wp:posOffset>6350</wp:posOffset>
                </wp:positionH>
                <wp:positionV relativeFrom="page">
                  <wp:posOffset>4682490</wp:posOffset>
                </wp:positionV>
                <wp:extent cx="7824470" cy="6204585"/>
                <wp:effectExtent l="0" t="0" r="0" b="0"/>
                <wp:wrapNone/>
                <wp:docPr id="52" name="Cover2_Trans" descr="P1#y5" hidden="1"/>
                <wp:cNvGraphicFramePr/>
                <a:graphic xmlns:a="http://schemas.openxmlformats.org/drawingml/2006/main">
                  <a:graphicData uri="http://schemas.microsoft.com/office/word/2010/wordprocessingGroup">
                    <wpg:wgp>
                      <wpg:cNvGrpSpPr/>
                      <wpg:grpSpPr>
                        <a:xfrm>
                          <a:off x="0" y="0"/>
                          <a:ext cx="7824470" cy="6204585"/>
                          <a:chOff x="-6935" y="-10166"/>
                          <a:chExt cx="7834358" cy="6412359"/>
                        </a:xfrm>
                      </wpg:grpSpPr>
                      <pic:pic xmlns:pic="http://schemas.openxmlformats.org/drawingml/2006/picture">
                        <pic:nvPicPr>
                          <pic:cNvPr id="50" name="Cover2_top" hidden="1"/>
                          <pic:cNvPicPr>
                            <a:picLocks noChangeAspect="1"/>
                          </pic:cNvPicPr>
                        </pic:nvPicPr>
                        <pic:blipFill>
                          <a:blip r:embed="rId17">
                            <a:alphaModFix amt="55000"/>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6443123" y="-10166"/>
                            <a:ext cx="1384300" cy="2277394"/>
                          </a:xfrm>
                          <a:prstGeom prst="rect">
                            <a:avLst/>
                          </a:prstGeom>
                        </pic:spPr>
                      </pic:pic>
                      <pic:pic xmlns:pic="http://schemas.openxmlformats.org/drawingml/2006/picture">
                        <pic:nvPicPr>
                          <pic:cNvPr id="51" name="Cover2_bot" hidden="1"/>
                          <pic:cNvPicPr>
                            <a:picLocks noChangeAspect="1"/>
                          </pic:cNvPicPr>
                        </pic:nvPicPr>
                        <pic:blipFill>
                          <a:blip r:embed="rId19">
                            <a:alphaModFix amt="55000"/>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6935" y="4573393"/>
                            <a:ext cx="3616960" cy="18288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793E8F8" id="Cover2_Trans" o:spid="_x0000_s1026" alt="P1#y5" style="position:absolute;margin-left:.5pt;margin-top:368.7pt;width:616.1pt;height:488.55pt;z-index:251658247;visibility:hidden;mso-position-horizontal-relative:page;mso-position-vertical-relative:page;mso-width-relative:margin;mso-height-relative:margin" coordorigin="-69,-101" coordsize="78343,6412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over2_top" o:spid="_x0000_s1027" type="#_x0000_t75" style="position:absolute;left:64431;top:-101;width:13843;height:22773;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">
                  <v:imagedata r:id="rId21" o:title=""/>
                </v:shape>
                <v:shape id="Cover2_bot" o:spid="_x0000_s1028" type="#_x0000_t75" style="position:absolute;left:-69;top:45733;width:36169;height:18288;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">
                  <v:imagedata r:id="rId22" o:title=""/>
                </v:shape>
                <w10:wrap anchorx="page" anchory="page"/>
                <w10:anchorlock/>
              </v:group>
            </w:pict>
          </mc:Fallback>
        </mc:AlternateContent>
      </w:r>
      <w:r w:rsidR="007C482A" w:rsidRPr="00D4309F">
        <w:rPr>
          <w:noProof/>
        </w:rPr>
        <mc:AlternateContent>
          <mc:Choice Requires="wps">
            <w:drawing>
              <wp:anchor distT="0" distB="0" distL="114300" distR="114300" simplePos="0" relativeHeight="251658246" behindDoc="0" locked="1" layoutInCell="1" allowOverlap="1" wp14:anchorId="12165F4D" wp14:editId="7F52BC79">
                <wp:simplePos x="0" y="0"/>
                <wp:positionH relativeFrom="page">
                  <wp:posOffset>8890</wp:posOffset>
                </wp:positionH>
                <wp:positionV relativeFrom="page">
                  <wp:posOffset>2917190</wp:posOffset>
                </wp:positionV>
                <wp:extent cx="7543800" cy="7912735"/>
                <wp:effectExtent l="0" t="0" r="0" b="0"/>
                <wp:wrapNone/>
                <wp:docPr id="44" name="Cover2_Pic" descr="P1#y4" hidden="1"/>
                <wp:cNvGraphicFramePr/>
                <a:graphic xmlns:a="http://schemas.openxmlformats.org/drawingml/2006/main">
                  <a:graphicData uri="http://schemas.microsoft.com/office/word/2010/wordprocessingShape">
                    <wps:wsp>
                      <wps:cNvSpPr/>
                      <wps:spPr>
                        <a:xfrm>
                          <a:off x="0" y="0"/>
                          <a:ext cx="7543800" cy="7912735"/>
                        </a:xfrm>
                        <a:custGeom>
                          <a:avLst/>
                          <a:gdLst>
                            <a:gd name="connsiteX0" fmla="*/ 4962181 w 7945682"/>
                            <a:gd name="connsiteY0" fmla="*/ 0 h 8173578"/>
                            <a:gd name="connsiteX1" fmla="*/ 2650207 w 7945682"/>
                            <a:gd name="connsiteY1" fmla="*/ 957546 h 8173578"/>
                            <a:gd name="connsiteX2" fmla="*/ 478652 w 7945682"/>
                            <a:gd name="connsiteY2" fmla="*/ 3129177 h 8173578"/>
                            <a:gd name="connsiteX3" fmla="*/ 0 w 7945682"/>
                            <a:gd name="connsiteY3" fmla="*/ 3737286 h 8173578"/>
                            <a:gd name="connsiteX4" fmla="*/ 0 w 7945682"/>
                            <a:gd name="connsiteY4" fmla="*/ 8173579 h 8173578"/>
                            <a:gd name="connsiteX5" fmla="*/ 3199202 w 7945682"/>
                            <a:gd name="connsiteY5" fmla="*/ 8173579 h 8173578"/>
                            <a:gd name="connsiteX6" fmla="*/ 3607912 w 7945682"/>
                            <a:gd name="connsiteY6" fmla="*/ 7764880 h 8173578"/>
                            <a:gd name="connsiteX7" fmla="*/ 3607912 w 7945682"/>
                            <a:gd name="connsiteY7" fmla="*/ 6117537 h 8173578"/>
                            <a:gd name="connsiteX8" fmla="*/ 3847238 w 7945682"/>
                            <a:gd name="connsiteY8" fmla="*/ 5539192 h 8173578"/>
                            <a:gd name="connsiteX9" fmla="*/ 5060688 w 7945682"/>
                            <a:gd name="connsiteY9" fmla="*/ 4325776 h 8173578"/>
                            <a:gd name="connsiteX10" fmla="*/ 5638781 w 7945682"/>
                            <a:gd name="connsiteY10" fmla="*/ 4086456 h 8173578"/>
                            <a:gd name="connsiteX11" fmla="*/ 7945683 w 7945682"/>
                            <a:gd name="connsiteY11" fmla="*/ 4086456 h 8173578"/>
                            <a:gd name="connsiteX12" fmla="*/ 7945683 w 7945682"/>
                            <a:gd name="connsiteY12" fmla="*/ 0 h 81735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7945682" h="8173578">
                              <a:moveTo>
                                <a:pt x="4962181" y="0"/>
                              </a:moveTo>
                              <a:cubicBezTo>
                                <a:pt x="4095047" y="44"/>
                                <a:pt x="3263430" y="344473"/>
                                <a:pt x="2650207" y="957546"/>
                              </a:cubicBezTo>
                              <a:lnTo>
                                <a:pt x="478652" y="3129177"/>
                              </a:lnTo>
                              <a:cubicBezTo>
                                <a:pt x="295564" y="3312193"/>
                                <a:pt x="134885" y="3516330"/>
                                <a:pt x="0" y="3737286"/>
                              </a:cubicBezTo>
                              <a:lnTo>
                                <a:pt x="0" y="8173579"/>
                              </a:lnTo>
                              <a:lnTo>
                                <a:pt x="3199202" y="8173579"/>
                              </a:lnTo>
                              <a:cubicBezTo>
                                <a:pt x="3424926" y="8173579"/>
                                <a:pt x="3607912" y="7990598"/>
                                <a:pt x="3607912" y="7764880"/>
                              </a:cubicBezTo>
                              <a:lnTo>
                                <a:pt x="3607912" y="6117537"/>
                              </a:lnTo>
                              <a:cubicBezTo>
                                <a:pt x="3607823" y="5900645"/>
                                <a:pt x="3693913" y="5692603"/>
                                <a:pt x="3847238" y="5539192"/>
                              </a:cubicBezTo>
                              <a:lnTo>
                                <a:pt x="5060688" y="4325776"/>
                              </a:lnTo>
                              <a:cubicBezTo>
                                <a:pt x="5214037" y="4172520"/>
                                <a:pt x="5421976" y="4086437"/>
                                <a:pt x="5638781" y="4086456"/>
                              </a:cubicBezTo>
                              <a:lnTo>
                                <a:pt x="7945683" y="4086456"/>
                              </a:lnTo>
                              <a:lnTo>
                                <a:pt x="7945683" y="0"/>
                              </a:lnTo>
                              <a:close/>
                            </a:path>
                          </a:pathLst>
                        </a:custGeom>
                        <a:blipFill dpi="0" rotWithShape="1">
                          <a:blip r:embed="rId23"/>
                          <a:srcRect/>
                          <a:stretch>
                            <a:fillRect l="-99" r="-99"/>
                          </a:stretch>
                        </a:blipFill>
                        <a:ln w="1333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021E1" id="Cover2_Pic" o:spid="_x0000_s1026" alt="P1#y4" style="position:absolute;margin-left:.7pt;margin-top:229.7pt;width:594pt;height:623.05pt;z-index:25165824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945682,8173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" path="m4962181,c4095047,44,3263430,344473,2650207,957546l478652,3129177c295564,3312193,134885,3516330,,3737286l,8173579r3199202,c3424926,8173579,3607912,7990598,3607912,7764880r,-1647343c3607823,5900645,3693913,5692603,3847238,5539192l5060688,4325776v153349,-153256,361288,-239339,578093,-239320l7945683,4086456,7945683,,4962181,xe" stroked="f" strokeweight="1.05pt">
                <v:fill r:id="rId24" o:title="P1#y4" recolor="t" rotate="t" type="frame"/>
                <v:stroke joinstyle="miter"/>
                <v:path arrowok="t" o:connecttype="custom" o:connectlocs="4711201,0;2516163,926988;454442,3029316;0,3618018;0,7912736;3037391,7912736;3425429,7517080;3425429,5922308;3652650,5362420;4804725,4187728;5353579,3956045;7543801,3956045;7543801,0" o:connectangles="0,0,0,0,0,0,0,0,0,0,0,0,0"/>
                <w10:wrap anchorx="page" anchory="page"/>
                <w10:anchorlock/>
              </v:shape>
            </w:pict>
          </mc:Fallback>
        </mc:AlternateContent>
      </w:r>
      <w:r w:rsidR="00BC2340" w:rsidRPr="00D4309F">
        <w:rPr>
          <w:noProof/>
        </w:rPr>
        <mc:AlternateContent>
          <mc:Choice Requires="wps">
            <w:drawing>
              <wp:anchor distT="0" distB="0" distL="114300" distR="114300" simplePos="0" relativeHeight="251658245" behindDoc="0" locked="1" layoutInCell="1" allowOverlap="1" wp14:anchorId="2415744E" wp14:editId="661BA209">
                <wp:simplePos x="0" y="0"/>
                <wp:positionH relativeFrom="page">
                  <wp:posOffset>-48895</wp:posOffset>
                </wp:positionH>
                <wp:positionV relativeFrom="page">
                  <wp:posOffset>4297680</wp:posOffset>
                </wp:positionV>
                <wp:extent cx="7881620" cy="4824095"/>
                <wp:effectExtent l="0" t="0" r="0" b="0"/>
                <wp:wrapNone/>
                <wp:docPr id="48" name="Cover2_Grey" descr="P1#y3" hidden="1"/>
                <wp:cNvGraphicFramePr/>
                <a:graphic xmlns:a="http://schemas.openxmlformats.org/drawingml/2006/main">
                  <a:graphicData uri="http://schemas.microsoft.com/office/word/2010/wordprocessingShape">
                    <wps:wsp>
                      <wps:cNvSpPr/>
                      <wps:spPr>
                        <a:xfrm>
                          <a:off x="0" y="0"/>
                          <a:ext cx="7881620" cy="4824095"/>
                        </a:xfrm>
                        <a:custGeom>
                          <a:avLst/>
                          <a:gdLst>
                            <a:gd name="connsiteX0" fmla="*/ 7880144 w 7880144"/>
                            <a:gd name="connsiteY0" fmla="*/ 742611 h 4987204"/>
                            <a:gd name="connsiteX1" fmla="*/ 7880144 w 7880144"/>
                            <a:gd name="connsiteY1" fmla="*/ 0 h 4987204"/>
                            <a:gd name="connsiteX2" fmla="*/ 0 w 7880144"/>
                            <a:gd name="connsiteY2" fmla="*/ 0 h 4987204"/>
                            <a:gd name="connsiteX3" fmla="*/ 0 w 7880144"/>
                            <a:gd name="connsiteY3" fmla="*/ 4987205 h 4987204"/>
                            <a:gd name="connsiteX4" fmla="*/ 4388726 w 7880144"/>
                            <a:gd name="connsiteY4" fmla="*/ 4987205 h 4987204"/>
                            <a:gd name="connsiteX5" fmla="*/ 4988991 w 7880144"/>
                            <a:gd name="connsiteY5" fmla="*/ 4738553 h 4987204"/>
                            <a:gd name="connsiteX6" fmla="*/ 6249366 w 7880144"/>
                            <a:gd name="connsiteY6" fmla="*/ 3478302 h 4987204"/>
                            <a:gd name="connsiteX7" fmla="*/ 6497888 w 7880144"/>
                            <a:gd name="connsiteY7" fmla="*/ 2878036 h 4987204"/>
                            <a:gd name="connsiteX8" fmla="*/ 6497888 w 7880144"/>
                            <a:gd name="connsiteY8" fmla="*/ 1167070 h 4987204"/>
                            <a:gd name="connsiteX9" fmla="*/ 6922604 w 7880144"/>
                            <a:gd name="connsiteY9" fmla="*/ 742354 h 49872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7880144" h="4987204">
                              <a:moveTo>
                                <a:pt x="7880144" y="742611"/>
                              </a:moveTo>
                              <a:lnTo>
                                <a:pt x="7880144" y="0"/>
                              </a:lnTo>
                              <a:lnTo>
                                <a:pt x="0" y="0"/>
                              </a:lnTo>
                              <a:lnTo>
                                <a:pt x="0" y="4987205"/>
                              </a:lnTo>
                              <a:lnTo>
                                <a:pt x="4388726" y="4987205"/>
                              </a:lnTo>
                              <a:cubicBezTo>
                                <a:pt x="4613859" y="4987143"/>
                                <a:pt x="4829760" y="4897709"/>
                                <a:pt x="4988991" y="4738553"/>
                              </a:cubicBezTo>
                              <a:lnTo>
                                <a:pt x="6249366" y="3478302"/>
                              </a:lnTo>
                              <a:cubicBezTo>
                                <a:pt x="6408474" y="3319050"/>
                                <a:pt x="6497861" y="3103151"/>
                                <a:pt x="6497888" y="2878036"/>
                              </a:cubicBezTo>
                              <a:lnTo>
                                <a:pt x="6497888" y="1167070"/>
                              </a:lnTo>
                              <a:cubicBezTo>
                                <a:pt x="6497888" y="932506"/>
                                <a:pt x="6688040" y="742354"/>
                                <a:pt x="6922604" y="742354"/>
                              </a:cubicBezTo>
                              <a:close/>
                            </a:path>
                          </a:pathLst>
                        </a:custGeom>
                        <a:solidFill>
                          <a:srgbClr val="D7D8D6"/>
                        </a:solidFill>
                        <a:ln w="12856"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FA7A4" id="Cover2_Grey" o:spid="_x0000_s1026" alt="P1#y3" style="position:absolute;margin-left:-3.85pt;margin-top:338.4pt;width:620.6pt;height:379.85pt;z-index:251658245;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880144,4987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" path="m7880144,742611l7880144,,,,,4987205r4388726,c4613859,4987143,4829760,4897709,4988991,4738553l6249366,3478302v159108,-159252,248495,-375151,248522,-600266l6497888,1167070v,-234564,190152,-424716,424716,-424716l7880144,742611xe" fillcolor="#d7d8d6" stroked="f" strokeweight=".35711mm">
                <v:stroke joinstyle="miter"/>
                <v:path arrowok="t" o:connecttype="custom" o:connectlocs="7881620,718324;7881620,0;0,0;0,4824096;4389548,4824096;4989925,4583576;6250537,3364542;6499105,2783908;6499105,1128900;6923901,718075" o:connectangles="0,0,0,0,0,0,0,0,0,0"/>
                <w10:wrap anchorx="page" anchory="page"/>
                <w10:anchorlock/>
              </v:shape>
            </w:pict>
          </mc:Fallback>
        </mc:AlternateContent>
      </w:r>
      <w:r w:rsidR="00BC2340" w:rsidRPr="00D4309F">
        <w:rPr>
          <w:noProof/>
        </w:rPr>
        <mc:AlternateContent>
          <mc:Choice Requires="wps">
            <w:drawing>
              <wp:anchor distT="0" distB="0" distL="114300" distR="114300" simplePos="0" relativeHeight="251658248" behindDoc="0" locked="1" layoutInCell="1" allowOverlap="1" wp14:anchorId="4D241AF8" wp14:editId="3FFB181A">
                <wp:simplePos x="0" y="0"/>
                <wp:positionH relativeFrom="page">
                  <wp:posOffset>-41275</wp:posOffset>
                </wp:positionH>
                <wp:positionV relativeFrom="page">
                  <wp:posOffset>3118485</wp:posOffset>
                </wp:positionV>
                <wp:extent cx="7598410" cy="6619875"/>
                <wp:effectExtent l="0" t="0" r="21590" b="28575"/>
                <wp:wrapNone/>
                <wp:docPr id="25" name="Cover1_S Shape" descr="P1#y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598410" cy="6619875"/>
                        </a:xfrm>
                        <a:custGeom>
                          <a:avLst/>
                          <a:gdLst>
                            <a:gd name="connsiteX0" fmla="*/ 3214322 w 7596096"/>
                            <a:gd name="connsiteY0" fmla="*/ 0 h 6617079"/>
                            <a:gd name="connsiteX1" fmla="*/ 2679748 w 7596096"/>
                            <a:gd name="connsiteY1" fmla="*/ 226516 h 6617079"/>
                            <a:gd name="connsiteX2" fmla="*/ 1558010 w 7596096"/>
                            <a:gd name="connsiteY2" fmla="*/ 1374171 h 6617079"/>
                            <a:gd name="connsiteX3" fmla="*/ 1336677 w 7596096"/>
                            <a:gd name="connsiteY3" fmla="*/ 1920800 h 6617079"/>
                            <a:gd name="connsiteX4" fmla="*/ 1336677 w 7596096"/>
                            <a:gd name="connsiteY4" fmla="*/ 3478909 h 6617079"/>
                            <a:gd name="connsiteX5" fmla="*/ 958664 w 7596096"/>
                            <a:gd name="connsiteY5" fmla="*/ 3865481 h 6617079"/>
                            <a:gd name="connsiteX6" fmla="*/ 0 w 7596096"/>
                            <a:gd name="connsiteY6" fmla="*/ 3865481 h 6617079"/>
                            <a:gd name="connsiteX7" fmla="*/ 0 w 7596096"/>
                            <a:gd name="connsiteY7" fmla="*/ 6617080 h 6617079"/>
                            <a:gd name="connsiteX8" fmla="*/ 4381412 w 7596096"/>
                            <a:gd name="connsiteY8" fmla="*/ 6617080 h 6617079"/>
                            <a:gd name="connsiteX9" fmla="*/ 4915987 w 7596096"/>
                            <a:gd name="connsiteY9" fmla="*/ 6390684 h 6617079"/>
                            <a:gd name="connsiteX10" fmla="*/ 5578415 w 7596096"/>
                            <a:gd name="connsiteY10" fmla="*/ 5713550 h 6617079"/>
                            <a:gd name="connsiteX11" fmla="*/ 6038569 w 7596096"/>
                            <a:gd name="connsiteY11" fmla="*/ 5243150 h 6617079"/>
                            <a:gd name="connsiteX12" fmla="*/ 6089710 w 7596096"/>
                            <a:gd name="connsiteY12" fmla="*/ 5185013 h 6617079"/>
                            <a:gd name="connsiteX13" fmla="*/ 6107924 w 7596096"/>
                            <a:gd name="connsiteY13" fmla="*/ 5160891 h 6617079"/>
                            <a:gd name="connsiteX14" fmla="*/ 6259901 w 7596096"/>
                            <a:gd name="connsiteY14" fmla="*/ 4696039 h 6617079"/>
                            <a:gd name="connsiteX15" fmla="*/ 6259901 w 7596096"/>
                            <a:gd name="connsiteY15" fmla="*/ 3138171 h 6617079"/>
                            <a:gd name="connsiteX16" fmla="*/ 6297292 w 7596096"/>
                            <a:gd name="connsiteY16" fmla="*/ 2970395 h 6617079"/>
                            <a:gd name="connsiteX17" fmla="*/ 6637914 w 7596096"/>
                            <a:gd name="connsiteY17" fmla="*/ 2751598 h 6617079"/>
                            <a:gd name="connsiteX18" fmla="*/ 7596096 w 7596096"/>
                            <a:gd name="connsiteY18" fmla="*/ 2751598 h 6617079"/>
                            <a:gd name="connsiteX19" fmla="*/ 7596096 w 7596096"/>
                            <a:gd name="connsiteY19" fmla="*/ 0 h 66170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7596096" h="6617079">
                              <a:moveTo>
                                <a:pt x="3214322" y="0"/>
                              </a:moveTo>
                              <a:cubicBezTo>
                                <a:pt x="3012896" y="431"/>
                                <a:pt x="2820161" y="82099"/>
                                <a:pt x="2679748" y="226516"/>
                              </a:cubicBezTo>
                              <a:lnTo>
                                <a:pt x="1558010" y="1374171"/>
                              </a:lnTo>
                              <a:cubicBezTo>
                                <a:pt x="1415726" y="1520517"/>
                                <a:pt x="1336295" y="1716689"/>
                                <a:pt x="1336677" y="1920800"/>
                              </a:cubicBezTo>
                              <a:lnTo>
                                <a:pt x="1336677" y="3478909"/>
                              </a:lnTo>
                              <a:cubicBezTo>
                                <a:pt x="1336677" y="3692398"/>
                                <a:pt x="1167814" y="3865481"/>
                                <a:pt x="958664" y="3865481"/>
                              </a:cubicBezTo>
                              <a:lnTo>
                                <a:pt x="0" y="3865481"/>
                              </a:lnTo>
                              <a:lnTo>
                                <a:pt x="0" y="6617080"/>
                              </a:lnTo>
                              <a:lnTo>
                                <a:pt x="4381412" y="6617080"/>
                              </a:lnTo>
                              <a:cubicBezTo>
                                <a:pt x="4582821" y="6616680"/>
                                <a:pt x="4775553" y="6535057"/>
                                <a:pt x="4915987" y="6390684"/>
                              </a:cubicBezTo>
                              <a:lnTo>
                                <a:pt x="5578415" y="5713550"/>
                              </a:lnTo>
                              <a:lnTo>
                                <a:pt x="6038569" y="5243150"/>
                              </a:lnTo>
                              <a:cubicBezTo>
                                <a:pt x="6056601" y="5224661"/>
                                <a:pt x="6073671" y="5205256"/>
                                <a:pt x="6089710" y="5185013"/>
                              </a:cubicBezTo>
                              <a:cubicBezTo>
                                <a:pt x="6095862" y="5177173"/>
                                <a:pt x="6101772" y="5169333"/>
                                <a:pt x="6107924" y="5160891"/>
                              </a:cubicBezTo>
                              <a:cubicBezTo>
                                <a:pt x="6206808" y="5026085"/>
                                <a:pt x="6260053" y="4863222"/>
                                <a:pt x="6259901" y="4696039"/>
                              </a:cubicBezTo>
                              <a:lnTo>
                                <a:pt x="6259901" y="3138171"/>
                              </a:lnTo>
                              <a:cubicBezTo>
                                <a:pt x="6259847" y="3080173"/>
                                <a:pt x="6272615" y="3022881"/>
                                <a:pt x="6297292" y="2970395"/>
                              </a:cubicBezTo>
                              <a:cubicBezTo>
                                <a:pt x="6358801" y="2837585"/>
                                <a:pt x="6491553" y="2752313"/>
                                <a:pt x="6637914" y="2751598"/>
                              </a:cubicBezTo>
                              <a:lnTo>
                                <a:pt x="7596096" y="2751598"/>
                              </a:lnTo>
                              <a:lnTo>
                                <a:pt x="7596096" y="0"/>
                              </a:lnTo>
                              <a:close/>
                            </a:path>
                          </a:pathLst>
                        </a:custGeom>
                        <a:solidFill>
                          <a:srgbClr val="71004B"/>
                        </a:solidFill>
                        <a:ln w="12302" cap="flat">
                          <a:solidFill>
                            <a:srgbClr val="FFFFFF"/>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ACD28" id="Cover1_S Shape" o:spid="_x0000_s1026" alt="P1#y6" style="position:absolute;margin-left:-3.25pt;margin-top:245.55pt;width:598.3pt;height:521.25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96096,6617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" path="m3214322,c3012896,431,2820161,82099,2679748,226516l1558010,1374171v-142284,146346,-221715,342518,-221333,546629l1336677,3478909v,213489,-168863,386572,-378013,386572l,3865481,,6617080r4381412,c4582821,6616680,4775553,6535057,4915987,6390684r662428,-677134l6038569,5243150v18032,-18489,35102,-37894,51141,-58137c6095862,5177173,6101772,5169333,6107924,5160891v98884,-134806,152129,-297669,151977,-464852l6259901,3138171v-54,-57998,12714,-115290,37391,-167776c6358801,2837585,6491553,2752313,6637914,2751598r958182,l7596096,,3214322,xe" fillcolor="#71004b" strokecolor="white" strokeweight=".34172mm">
                <v:stroke joinstyle="miter"/>
                <v:path arrowok="t" o:connecttype="custom" o:connectlocs="3215301,0;2680564,226612;1558485,1374752;1337084,1921612;1337084,3480379;958956,3867114;0,3867114;0,6619876;4382747,6619876;4917485,6393384;5580114,5715964;6040409,5245365;6091565,5187204;6109785,5163072;6261808,4698023;6261808,3139497;6299210,2971650;6639936,2752761;7598410,2752761;7598410,0" o:connectangles="0,0,0,0,0,0,0,0,0,0,0,0,0,0,0,0,0,0,0,0"/>
                <o:lock v:ext="edit" aspectratio="t"/>
                <w10:wrap anchorx="page" anchory="page"/>
                <w10:anchorlock/>
              </v:shape>
            </w:pict>
          </mc:Fallback>
        </mc:AlternateContent>
      </w:r>
      <w:r w:rsidR="00BC2340" w:rsidRPr="00D4309F">
        <w:rPr>
          <w:noProof/>
        </w:rPr>
        <mc:AlternateContent>
          <mc:Choice Requires="wps">
            <w:drawing>
              <wp:anchor distT="0" distB="0" distL="114300" distR="114300" simplePos="0" relativeHeight="251658256" behindDoc="0" locked="1" layoutInCell="1" allowOverlap="1" wp14:anchorId="099709A2" wp14:editId="025952D0">
                <wp:simplePos x="0" y="0"/>
                <wp:positionH relativeFrom="page">
                  <wp:posOffset>2449195</wp:posOffset>
                </wp:positionH>
                <wp:positionV relativeFrom="page">
                  <wp:posOffset>6811645</wp:posOffset>
                </wp:positionV>
                <wp:extent cx="3840480" cy="2139315"/>
                <wp:effectExtent l="0" t="0" r="0" b="0"/>
                <wp:wrapNone/>
                <wp:docPr id="64" name="Cover5_Plum" descr="P1#y11" hidden="1"/>
                <wp:cNvGraphicFramePr/>
                <a:graphic xmlns:a="http://schemas.openxmlformats.org/drawingml/2006/main">
                  <a:graphicData uri="http://schemas.microsoft.com/office/word/2010/wordprocessingShape">
                    <wps:wsp>
                      <wps:cNvSpPr/>
                      <wps:spPr>
                        <a:xfrm>
                          <a:off x="0" y="0"/>
                          <a:ext cx="3840480" cy="2139315"/>
                        </a:xfrm>
                        <a:custGeom>
                          <a:avLst/>
                          <a:gdLst>
                            <a:gd name="connsiteX0" fmla="*/ 1930392 w 3838073"/>
                            <a:gd name="connsiteY0" fmla="*/ 0 h 2141476"/>
                            <a:gd name="connsiteX1" fmla="*/ 1381026 w 3838073"/>
                            <a:gd name="connsiteY1" fmla="*/ 227568 h 2141476"/>
                            <a:gd name="connsiteX2" fmla="*/ 227612 w 3838073"/>
                            <a:gd name="connsiteY2" fmla="*/ 1380759 h 2141476"/>
                            <a:gd name="connsiteX3" fmla="*/ 0 w 3838073"/>
                            <a:gd name="connsiteY3" fmla="*/ 1930018 h 2141476"/>
                            <a:gd name="connsiteX4" fmla="*/ 0 w 3838073"/>
                            <a:gd name="connsiteY4" fmla="*/ 2141477 h 2141476"/>
                            <a:gd name="connsiteX5" fmla="*/ 1758858 w 3838073"/>
                            <a:gd name="connsiteY5" fmla="*/ 2141477 h 2141476"/>
                            <a:gd name="connsiteX6" fmla="*/ 2350600 w 3838073"/>
                            <a:gd name="connsiteY6" fmla="*/ 1896403 h 2141476"/>
                            <a:gd name="connsiteX7" fmla="*/ 3592952 w 3838073"/>
                            <a:gd name="connsiteY7" fmla="*/ 654164 h 2141476"/>
                            <a:gd name="connsiteX8" fmla="*/ 3838073 w 3838073"/>
                            <a:gd name="connsiteY8" fmla="*/ 62537 h 2141476"/>
                            <a:gd name="connsiteX9" fmla="*/ 3838073 w 3838073"/>
                            <a:gd name="connsiteY9" fmla="*/ 0 h 21414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838073" h="2141476">
                              <a:moveTo>
                                <a:pt x="1930392" y="0"/>
                              </a:moveTo>
                              <a:cubicBezTo>
                                <a:pt x="1724324" y="-20"/>
                                <a:pt x="1526697" y="81845"/>
                                <a:pt x="1381026" y="227568"/>
                              </a:cubicBezTo>
                              <a:lnTo>
                                <a:pt x="227612" y="1380759"/>
                              </a:lnTo>
                              <a:cubicBezTo>
                                <a:pt x="81860" y="1526402"/>
                                <a:pt x="-20" y="1723991"/>
                                <a:pt x="0" y="1930018"/>
                              </a:cubicBezTo>
                              <a:lnTo>
                                <a:pt x="0" y="2141477"/>
                              </a:lnTo>
                              <a:lnTo>
                                <a:pt x="1758858" y="2141477"/>
                              </a:lnTo>
                              <a:cubicBezTo>
                                <a:pt x="1980795" y="2141416"/>
                                <a:pt x="2193630" y="2053269"/>
                                <a:pt x="2350600" y="1896403"/>
                              </a:cubicBezTo>
                              <a:lnTo>
                                <a:pt x="3592952" y="654164"/>
                              </a:lnTo>
                              <a:cubicBezTo>
                                <a:pt x="3749931" y="497280"/>
                                <a:pt x="3838110" y="284450"/>
                                <a:pt x="3838073" y="62537"/>
                              </a:cubicBezTo>
                              <a:lnTo>
                                <a:pt x="3838073" y="0"/>
                              </a:lnTo>
                              <a:close/>
                            </a:path>
                          </a:pathLst>
                        </a:custGeom>
                        <a:solidFill>
                          <a:srgbClr val="71004B">
                            <a:alpha val="55000"/>
                          </a:srgbClr>
                        </a:solidFill>
                        <a:ln w="1266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B8E2C" id="Cover5_Plum" o:spid="_x0000_s1026" alt="P1#y11" style="position:absolute;margin-left:192.85pt;margin-top:536.35pt;width:302.4pt;height:168.45pt;z-index:25165825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838073,2141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" path="m1930392,c1724324,-20,1526697,81845,1381026,227568l227612,1380759c81860,1526402,-20,1723991,,1930018r,211459l1758858,2141477v221937,-61,434772,-88208,591742,-245074l3592952,654164c3749931,497280,3838110,284450,3838073,62537r,-62537l1930392,xe" fillcolor="#71004b" stroked="f" strokeweight=".35192mm">
                <v:fill opacity="35980f"/>
                <v:stroke joinstyle="miter"/>
                <v:path arrowok="t" o:connecttype="custom" o:connectlocs="1931603,0;1381892,227338;227755,1379366;0,1928070;0,2139316;1759961,2139316;2352074,1894489;3595205,653504;3840480,62474;3840480,0" o:connectangles="0,0,0,0,0,0,0,0,0,0"/>
                <w10:wrap anchorx="page" anchory="page"/>
                <w10:anchorlock/>
              </v:shape>
            </w:pict>
          </mc:Fallback>
        </mc:AlternateContent>
      </w:r>
      <w:r w:rsidR="00BC2340" w:rsidRPr="00D4309F">
        <w:rPr>
          <w:noProof/>
        </w:rPr>
        <mc:AlternateContent>
          <mc:Choice Requires="wps">
            <w:drawing>
              <wp:anchor distT="0" distB="0" distL="114300" distR="114300" simplePos="0" relativeHeight="251658257" behindDoc="0" locked="1" layoutInCell="1" allowOverlap="1" wp14:anchorId="37CAA990" wp14:editId="74D7D566">
                <wp:simplePos x="0" y="0"/>
                <wp:positionH relativeFrom="page">
                  <wp:posOffset>-78740</wp:posOffset>
                </wp:positionH>
                <wp:positionV relativeFrom="page">
                  <wp:posOffset>3616325</wp:posOffset>
                </wp:positionV>
                <wp:extent cx="7625715" cy="7086600"/>
                <wp:effectExtent l="0" t="0" r="0" b="0"/>
                <wp:wrapNone/>
                <wp:docPr id="73" name="Cover5_Outline" descr="P1#y12" hidden="1"/>
                <wp:cNvGraphicFramePr/>
                <a:graphic xmlns:a="http://schemas.openxmlformats.org/drawingml/2006/main">
                  <a:graphicData uri="http://schemas.microsoft.com/office/word/2010/wordprocessingShape">
                    <wps:wsp>
                      <wps:cNvSpPr/>
                      <wps:spPr>
                        <a:xfrm>
                          <a:off x="0" y="0"/>
                          <a:ext cx="7625715" cy="7086600"/>
                        </a:xfrm>
                        <a:custGeom>
                          <a:avLst/>
                          <a:gdLst>
                            <a:gd name="connsiteX0" fmla="*/ 0 w 5687377"/>
                            <a:gd name="connsiteY0" fmla="*/ 3441573 h 5757862"/>
                            <a:gd name="connsiteX1" fmla="*/ 1621536 w 5687377"/>
                            <a:gd name="connsiteY1" fmla="*/ 3441573 h 5757862"/>
                            <a:gd name="connsiteX2" fmla="*/ 2108264 w 5687377"/>
                            <a:gd name="connsiteY2" fmla="*/ 3643313 h 5757862"/>
                            <a:gd name="connsiteX3" fmla="*/ 3130106 w 5687377"/>
                            <a:gd name="connsiteY3" fmla="*/ 4664964 h 5757862"/>
                            <a:gd name="connsiteX4" fmla="*/ 3331655 w 5687377"/>
                            <a:gd name="connsiteY4" fmla="*/ 5151692 h 5757862"/>
                            <a:gd name="connsiteX5" fmla="*/ 3331655 w 5687377"/>
                            <a:gd name="connsiteY5" fmla="*/ 5757863 h 5757862"/>
                            <a:gd name="connsiteX6" fmla="*/ 5687378 w 5687377"/>
                            <a:gd name="connsiteY6" fmla="*/ 5757863 h 5757862"/>
                            <a:gd name="connsiteX7" fmla="*/ 5687378 w 5687377"/>
                            <a:gd name="connsiteY7" fmla="*/ 2355628 h 5757862"/>
                            <a:gd name="connsiteX8" fmla="*/ 4138613 w 5687377"/>
                            <a:gd name="connsiteY8" fmla="*/ 806387 h 5757862"/>
                            <a:gd name="connsiteX9" fmla="*/ 2191226 w 5687377"/>
                            <a:gd name="connsiteY9" fmla="*/ 0 h 5757862"/>
                            <a:gd name="connsiteX10" fmla="*/ 0 w 5687377"/>
                            <a:gd name="connsiteY10" fmla="*/ 0 h 57578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687377" h="5757862">
                              <a:moveTo>
                                <a:pt x="0" y="3441573"/>
                              </a:moveTo>
                              <a:lnTo>
                                <a:pt x="1621536" y="3441573"/>
                              </a:lnTo>
                              <a:cubicBezTo>
                                <a:pt x="1804114" y="3441601"/>
                                <a:pt x="1979200" y="3514171"/>
                                <a:pt x="2108264" y="3643313"/>
                              </a:cubicBezTo>
                              <a:lnTo>
                                <a:pt x="3130106" y="4664964"/>
                              </a:lnTo>
                              <a:cubicBezTo>
                                <a:pt x="3259151" y="4794077"/>
                                <a:pt x="3331646" y="4969147"/>
                                <a:pt x="3331655" y="5151692"/>
                              </a:cubicBezTo>
                              <a:lnTo>
                                <a:pt x="3331655" y="5757863"/>
                              </a:lnTo>
                              <a:lnTo>
                                <a:pt x="5687378" y="5757863"/>
                              </a:lnTo>
                              <a:lnTo>
                                <a:pt x="5687378" y="2355628"/>
                              </a:lnTo>
                              <a:lnTo>
                                <a:pt x="4138613" y="806387"/>
                              </a:lnTo>
                              <a:cubicBezTo>
                                <a:pt x="3622144" y="289922"/>
                                <a:pt x="2921620" y="-156"/>
                                <a:pt x="2191226" y="0"/>
                              </a:cubicBezTo>
                              <a:lnTo>
                                <a:pt x="0" y="0"/>
                              </a:lnTo>
                              <a:close/>
                            </a:path>
                          </a:pathLst>
                        </a:custGeom>
                        <a:noFill/>
                        <a:ln w="28575" cap="flat">
                          <a:solidFill>
                            <a:srgbClr val="D7D8D6"/>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EEF90" id="Cover5_Outline" o:spid="_x0000_s1026" alt="P1#y12" style="position:absolute;margin-left:-6.2pt;margin-top:284.75pt;width:600.45pt;height:558pt;z-index:25165825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5687377,5757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" path="m,3441573r1621536,c1804114,3441601,1979200,3514171,2108264,3643313l3130106,4664964v129045,129113,201540,304183,201549,486728l3331655,5757863r2355723,l5687378,2355628,4138613,806387c3622144,289922,2921620,-156,2191226,l,,,3441573xe" filled="f" strokecolor="#d7d8d6" strokeweight="2.25pt">
                <v:stroke joinstyle="miter"/>
                <v:path arrowok="t" o:connecttype="custom" o:connectlocs="0,4235783;2174178,4235783;2826790,4484078;4196890,5741495;4467130,6340545;4467130,7086601;7625716,7086601;7625716,2899235;5549110,992476;2938027,0;0,0" o:connectangles="0,0,0,0,0,0,0,0,0,0,0"/>
                <w10:wrap anchorx="page" anchory="page"/>
                <w10:anchorlock/>
              </v:shape>
            </w:pict>
          </mc:Fallback>
        </mc:AlternateContent>
      </w:r>
      <w:r w:rsidR="00BC2340" w:rsidRPr="00D4309F">
        <w:rPr>
          <w:noProof/>
        </w:rPr>
        <mc:AlternateContent>
          <mc:Choice Requires="wps">
            <w:drawing>
              <wp:anchor distT="0" distB="0" distL="114300" distR="114300" simplePos="0" relativeHeight="251658255" behindDoc="0" locked="1" layoutInCell="1" allowOverlap="1" wp14:anchorId="1722A3F7" wp14:editId="26F90297">
                <wp:simplePos x="0" y="0"/>
                <wp:positionH relativeFrom="page">
                  <wp:posOffset>10795</wp:posOffset>
                </wp:positionH>
                <wp:positionV relativeFrom="page">
                  <wp:posOffset>2938780</wp:posOffset>
                </wp:positionV>
                <wp:extent cx="7534275" cy="7753985"/>
                <wp:effectExtent l="0" t="0" r="0" b="0"/>
                <wp:wrapNone/>
                <wp:docPr id="71" name="Cover5_Picture" descr="P1#y10" hidden="1"/>
                <wp:cNvGraphicFramePr/>
                <a:graphic xmlns:a="http://schemas.openxmlformats.org/drawingml/2006/main">
                  <a:graphicData uri="http://schemas.microsoft.com/office/word/2010/wordprocessingShape">
                    <wps:wsp>
                      <wps:cNvSpPr/>
                      <wps:spPr>
                        <a:xfrm>
                          <a:off x="0" y="0"/>
                          <a:ext cx="7534275" cy="7753985"/>
                        </a:xfrm>
                        <a:custGeom>
                          <a:avLst/>
                          <a:gdLst>
                            <a:gd name="connsiteX0" fmla="*/ 5670043 w 5670042"/>
                            <a:gd name="connsiteY0" fmla="*/ 0 h 5832824"/>
                            <a:gd name="connsiteX1" fmla="*/ 2812542 w 5670042"/>
                            <a:gd name="connsiteY1" fmla="*/ 0 h 5832824"/>
                            <a:gd name="connsiteX2" fmla="*/ 1163003 w 5670042"/>
                            <a:gd name="connsiteY2" fmla="*/ 683324 h 5832824"/>
                            <a:gd name="connsiteX3" fmla="*/ 0 w 5670042"/>
                            <a:gd name="connsiteY3" fmla="*/ 1846326 h 5832824"/>
                            <a:gd name="connsiteX4" fmla="*/ 0 w 5670042"/>
                            <a:gd name="connsiteY4" fmla="*/ 5832824 h 5832824"/>
                            <a:gd name="connsiteX5" fmla="*/ 1554766 w 5670042"/>
                            <a:gd name="connsiteY5" fmla="*/ 5832824 h 5832824"/>
                            <a:gd name="connsiteX6" fmla="*/ 1846326 w 5670042"/>
                            <a:gd name="connsiteY6" fmla="*/ 5541264 h 5832824"/>
                            <a:gd name="connsiteX7" fmla="*/ 1846326 w 5670042"/>
                            <a:gd name="connsiteY7" fmla="*/ 5541169 h 5832824"/>
                            <a:gd name="connsiteX8" fmla="*/ 1846326 w 5670042"/>
                            <a:gd name="connsiteY8" fmla="*/ 4524375 h 5832824"/>
                            <a:gd name="connsiteX9" fmla="*/ 3166872 w 5670042"/>
                            <a:gd name="connsiteY9" fmla="*/ 4524375 h 5832824"/>
                            <a:gd name="connsiteX10" fmla="*/ 3611118 w 5670042"/>
                            <a:gd name="connsiteY10" fmla="*/ 4340352 h 5832824"/>
                            <a:gd name="connsiteX11" fmla="*/ 4543425 w 5670042"/>
                            <a:gd name="connsiteY11" fmla="*/ 3407664 h 5832824"/>
                            <a:gd name="connsiteX12" fmla="*/ 4727448 w 5670042"/>
                            <a:gd name="connsiteY12" fmla="*/ 2963418 h 5832824"/>
                            <a:gd name="connsiteX13" fmla="*/ 4727448 w 5670042"/>
                            <a:gd name="connsiteY13" fmla="*/ 2916365 h 5832824"/>
                            <a:gd name="connsiteX14" fmla="*/ 5669661 w 5670042"/>
                            <a:gd name="connsiteY14" fmla="*/ 2916365 h 58328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670042" h="5832824">
                              <a:moveTo>
                                <a:pt x="5670043" y="0"/>
                              </a:moveTo>
                              <a:lnTo>
                                <a:pt x="2812542" y="0"/>
                              </a:lnTo>
                              <a:cubicBezTo>
                                <a:pt x="2193854" y="107"/>
                                <a:pt x="1600529" y="245892"/>
                                <a:pt x="1163003" y="683324"/>
                              </a:cubicBezTo>
                              <a:lnTo>
                                <a:pt x="0" y="1846326"/>
                              </a:lnTo>
                              <a:lnTo>
                                <a:pt x="0" y="5832824"/>
                              </a:lnTo>
                              <a:lnTo>
                                <a:pt x="1554766" y="5832824"/>
                              </a:lnTo>
                              <a:cubicBezTo>
                                <a:pt x="1715790" y="5832824"/>
                                <a:pt x="1846326" y="5702288"/>
                                <a:pt x="1846326" y="5541264"/>
                              </a:cubicBezTo>
                              <a:cubicBezTo>
                                <a:pt x="1846326" y="5541232"/>
                                <a:pt x="1846326" y="5541201"/>
                                <a:pt x="1846326" y="5541169"/>
                              </a:cubicBezTo>
                              <a:lnTo>
                                <a:pt x="1846326" y="4524375"/>
                              </a:lnTo>
                              <a:lnTo>
                                <a:pt x="3166872" y="4524375"/>
                              </a:lnTo>
                              <a:cubicBezTo>
                                <a:pt x="3333490" y="4524330"/>
                                <a:pt x="3493274" y="4458141"/>
                                <a:pt x="3611118" y="4340352"/>
                              </a:cubicBezTo>
                              <a:lnTo>
                                <a:pt x="4543425" y="3407664"/>
                              </a:lnTo>
                              <a:cubicBezTo>
                                <a:pt x="4661214" y="3289820"/>
                                <a:pt x="4727403" y="3130036"/>
                                <a:pt x="4727448" y="2963418"/>
                              </a:cubicBezTo>
                              <a:lnTo>
                                <a:pt x="4727448" y="2916365"/>
                              </a:lnTo>
                              <a:lnTo>
                                <a:pt x="5669661" y="2916365"/>
                              </a:lnTo>
                              <a:close/>
                            </a:path>
                          </a:pathLst>
                        </a:custGeom>
                        <a:blipFill>
                          <a:blip r:embed="rId25"/>
                          <a:srcRect/>
                          <a:stretch>
                            <a:fillRect t="-186" b="-186"/>
                          </a:stretch>
                        </a:blip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19298" id="Cover5_Picture" o:spid="_x0000_s1026" alt="P1#y10" style="position:absolute;margin-left:.85pt;margin-top:231.4pt;width:593.25pt;height:610.55pt;z-index:251658255;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5670042,5832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" path="m5670043,l2812542,c2193854,107,1600529,245892,1163003,683324l,1846326,,5832824r1554766,c1715790,5832824,1846326,5702288,1846326,5541264v,-32,,-63,,-95l1846326,4524375r1320546,c3333490,4524330,3493274,4458141,3611118,4340352r932307,-932688c4661214,3289820,4727403,3130036,4727448,2963418r,-47053l5669661,2916365,5670043,xe" stroked="f">
                <v:fill r:id="rId26" o:title="P1#y10" recolor="t" rotate="t" type="frame"/>
                <v:stroke joinstyle="miter"/>
                <v:path arrowok="t" o:connecttype="custom" o:connectlocs="7534276,0;3737268,0;1545383,908391;0,2454452;0,7753985;2065952,7753985;2453373,7366394;2453373,7366267;2453373,6014571;4208097,6014571;4798405,5769937;6037242,4530048;6281769,3939481;6281769,3876930;7533769,3876930" o:connectangles="0,0,0,0,0,0,0,0,0,0,0,0,0,0,0"/>
                <w10:wrap anchorx="page" anchory="page"/>
                <w10:anchorlock/>
              </v:shape>
            </w:pict>
          </mc:Fallback>
        </mc:AlternateContent>
      </w:r>
      <w:r w:rsidR="009D1FCB" w:rsidRPr="00D4309F">
        <w:rPr>
          <w:noProof/>
        </w:rPr>
        <mc:AlternateContent>
          <mc:Choice Requires="wps">
            <w:drawing>
              <wp:anchor distT="0" distB="0" distL="114300" distR="114300" simplePos="0" relativeHeight="251658243" behindDoc="0" locked="1" layoutInCell="1" allowOverlap="1" wp14:anchorId="39E515C0" wp14:editId="248037C0">
                <wp:simplePos x="0" y="0"/>
                <wp:positionH relativeFrom="page">
                  <wp:posOffset>2334895</wp:posOffset>
                </wp:positionH>
                <wp:positionV relativeFrom="page">
                  <wp:posOffset>1714500</wp:posOffset>
                </wp:positionV>
                <wp:extent cx="5043170" cy="4105275"/>
                <wp:effectExtent l="0" t="0" r="0" b="0"/>
                <wp:wrapNone/>
                <wp:docPr id="30" name="Cover4_Textbox" descr="P1TB10bA#y1" hidden="1"/>
                <wp:cNvGraphicFramePr/>
                <a:graphic xmlns:a="http://schemas.openxmlformats.org/drawingml/2006/main">
                  <a:graphicData uri="http://schemas.microsoft.com/office/word/2010/wordprocessingShape">
                    <wps:wsp>
                      <wps:cNvSpPr txBox="1"/>
                      <wps:spPr>
                        <a:xfrm>
                          <a:off x="0" y="0"/>
                          <a:ext cx="5043170" cy="4105275"/>
                        </a:xfrm>
                        <a:prstGeom prst="rect">
                          <a:avLst/>
                        </a:prstGeom>
                        <a:noFill/>
                        <a:ln w="6350" cap="flat" cmpd="sng" algn="ctr">
                          <a:solidFill>
                            <a:prstClr val="black">
                              <a:alpha val="0"/>
                            </a:prstClr>
                          </a:solidFill>
                          <a:prstDash val="solid"/>
                          <a:round/>
                          <a:headEnd type="none" w="med" len="med"/>
                          <a:tailEnd type="none" w="med" len="med"/>
                        </a:ln>
                      </wps:spPr>
                      <wps:txbx>
                        <w:txbxContent>
                          <w:tbl>
                            <w:tblPr>
                              <w:tblStyle w:val="TableGrid"/>
                              <w:tblW w:w="711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43" w:type="dxa"/>
                              </w:tblCellMar>
                              <w:tblLook w:val="04A0" w:firstRow="1" w:lastRow="0" w:firstColumn="1" w:lastColumn="0" w:noHBand="0" w:noVBand="1"/>
                            </w:tblPr>
                            <w:tblGrid>
                              <w:gridCol w:w="7115"/>
                            </w:tblGrid>
                            <w:tr w:rsidR="009D1FCB" w:rsidRPr="00D4309F" w14:paraId="6EC4ADA8" w14:textId="77777777" w:rsidTr="00DB4EBB">
                              <w:tc>
                                <w:tcPr>
                                  <w:tcW w:w="7115" w:type="dxa"/>
                                </w:tcPr>
                                <w:p w14:paraId="15581259" w14:textId="4A43DE39" w:rsidR="009D1FCB" w:rsidRPr="00D4309F" w:rsidRDefault="009A5848" w:rsidP="003E24BD">
                                  <w:pPr>
                                    <w:pStyle w:val="TitleCover4"/>
                                  </w:pPr>
                                  <w:sdt>
                                    <w:sdtPr>
                                      <w:alias w:val="{{Form.Title}}"/>
                                      <w:tag w:val="{&quot;templafy&quot;:{&quot;id&quot;:&quot;e3617f59-b503-4956-89c6-fefd7ebb49bb&quot;}}"/>
                                      <w:id w:val="-410767897"/>
                                    </w:sdtPr>
                                    <w:sdtEndPr/>
                                    <w:sdtContent>
                                      <w:r w:rsidR="00ED36CF" w:rsidRPr="00D4309F">
                                        <w:t>MOOLOOLABA BOAT HARBOUR ENTRANCE INDEPENDENT REVIEW</w:t>
                                      </w:r>
                                    </w:sdtContent>
                                  </w:sdt>
                                </w:p>
                              </w:tc>
                            </w:tr>
                            <w:tr w:rsidR="009D1FCB" w:rsidRPr="00D4309F" w14:paraId="5EA221C1" w14:textId="77777777" w:rsidTr="00DB4EBB">
                              <w:tc>
                                <w:tcPr>
                                  <w:tcW w:w="7115" w:type="dxa"/>
                                </w:tcPr>
                                <w:p w14:paraId="0A46F142" w14:textId="77777777" w:rsidR="009D1FCB" w:rsidRPr="00D4309F" w:rsidRDefault="009D1FCB" w:rsidP="00D7466F">
                                  <w:pPr>
                                    <w:pStyle w:val="BodyText"/>
                                    <w:jc w:val="right"/>
                                    <w:rPr>
                                      <w:color w:val="D7D8D6"/>
                                    </w:rPr>
                                  </w:pPr>
                                </w:p>
                              </w:tc>
                            </w:tr>
                            <w:tr w:rsidR="009D1FCB" w:rsidRPr="00D4309F" w14:paraId="4CB1EBE3" w14:textId="77777777" w:rsidTr="00DB4EBB">
                              <w:sdt>
                                <w:sdtPr>
                                  <w:alias w:val="{{Form.Subtitle}}"/>
                                  <w:tag w:val="{&quot;templafy&quot;:{&quot;id&quot;:&quot;a21ca838-9f99-4207-a9e0-cf4e99096265&quot;}}"/>
                                  <w:id w:val="451756260"/>
                                </w:sdtPr>
                                <w:sdtEndPr/>
                                <w:sdtContent>
                                  <w:tc>
                                    <w:tcPr>
                                      <w:tcW w:w="7115" w:type="dxa"/>
                                    </w:tcPr>
                                    <w:p w14:paraId="0CF5CC79" w14:textId="2AE5CEEC" w:rsidR="00F308D8" w:rsidRPr="00D4309F" w:rsidRDefault="00ED36CF">
                                      <w:pPr>
                                        <w:pStyle w:val="TitleCover4Subtitle"/>
                                      </w:pPr>
                                      <w:r w:rsidRPr="00D4309F">
                                        <w:t>Draft Final Report</w:t>
                                      </w:r>
                                    </w:p>
                                  </w:tc>
                                </w:sdtContent>
                              </w:sdt>
                            </w:tr>
                          </w:tbl>
                          <w:p w14:paraId="60B34A91" w14:textId="77777777" w:rsidR="009D1FCB" w:rsidRPr="00D4309F" w:rsidRDefault="009D1FCB" w:rsidP="009D1FCB">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515C0" id="Cover4_Textbox" o:spid="_x0000_s1030" type="#_x0000_t202" alt="P1TB10bA#y1" style="position:absolute;margin-left:183.85pt;margin-top:135pt;width:397.1pt;height:323.25pt;z-index:251658243;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" filled="f" strokeweight=".5pt">
                <v:stroke opacity="0" joinstyle="round"/>
                <v:textbox inset="0,0,0,0">
                  <w:txbxContent>
                    <w:tbl>
                      <w:tblPr>
                        <w:tblStyle w:val="TableGrid"/>
                        <w:tblW w:w="711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43" w:type="dxa"/>
                        </w:tblCellMar>
                        <w:tblLook w:val="04A0" w:firstRow="1" w:lastRow="0" w:firstColumn="1" w:lastColumn="0" w:noHBand="0" w:noVBand="1"/>
                      </w:tblPr>
                      <w:tblGrid>
                        <w:gridCol w:w="7115"/>
                      </w:tblGrid>
                      <w:tr w:rsidR="009D1FCB" w:rsidRPr="00D4309F" w14:paraId="6EC4ADA8" w14:textId="77777777" w:rsidTr="00DB4EBB">
                        <w:tc>
                          <w:tcPr>
                            <w:tcW w:w="7115" w:type="dxa"/>
                          </w:tcPr>
                          <w:p w14:paraId="15581259" w14:textId="4A43DE39" w:rsidR="009D1FCB" w:rsidRPr="00D4309F" w:rsidRDefault="009A5848" w:rsidP="003E24BD">
                            <w:pPr>
                              <w:pStyle w:val="TitleCover4"/>
                            </w:pPr>
                            <w:sdt>
                              <w:sdtPr>
                                <w:alias w:val="{{Form.Title}}"/>
                                <w:tag w:val="{&quot;templafy&quot;:{&quot;id&quot;:&quot;e3617f59-b503-4956-89c6-fefd7ebb49bb&quot;}}"/>
                                <w:id w:val="-410767897"/>
                              </w:sdtPr>
                              <w:sdtEndPr/>
                              <w:sdtContent>
                                <w:r w:rsidR="00ED36CF" w:rsidRPr="00D4309F">
                                  <w:t>MOOLOOLABA BOAT HARBOUR ENTRANCE INDEPENDENT REVIEW</w:t>
                                </w:r>
                              </w:sdtContent>
                            </w:sdt>
                          </w:p>
                        </w:tc>
                      </w:tr>
                      <w:tr w:rsidR="009D1FCB" w:rsidRPr="00D4309F" w14:paraId="5EA221C1" w14:textId="77777777" w:rsidTr="00DB4EBB">
                        <w:tc>
                          <w:tcPr>
                            <w:tcW w:w="7115" w:type="dxa"/>
                          </w:tcPr>
                          <w:p w14:paraId="0A46F142" w14:textId="77777777" w:rsidR="009D1FCB" w:rsidRPr="00D4309F" w:rsidRDefault="009D1FCB" w:rsidP="00D7466F">
                            <w:pPr>
                              <w:pStyle w:val="BodyText"/>
                              <w:jc w:val="right"/>
                              <w:rPr>
                                <w:color w:val="D7D8D6"/>
                              </w:rPr>
                            </w:pPr>
                          </w:p>
                        </w:tc>
                      </w:tr>
                      <w:tr w:rsidR="009D1FCB" w:rsidRPr="00D4309F" w14:paraId="4CB1EBE3" w14:textId="77777777" w:rsidTr="00DB4EBB">
                        <w:sdt>
                          <w:sdtPr>
                            <w:alias w:val="{{Form.Subtitle}}"/>
                            <w:tag w:val="{&quot;templafy&quot;:{&quot;id&quot;:&quot;a21ca838-9f99-4207-a9e0-cf4e99096265&quot;}}"/>
                            <w:id w:val="451756260"/>
                          </w:sdtPr>
                          <w:sdtEndPr/>
                          <w:sdtContent>
                            <w:tc>
                              <w:tcPr>
                                <w:tcW w:w="7115" w:type="dxa"/>
                              </w:tcPr>
                              <w:p w14:paraId="0CF5CC79" w14:textId="2AE5CEEC" w:rsidR="00F308D8" w:rsidRPr="00D4309F" w:rsidRDefault="00ED36CF">
                                <w:pPr>
                                  <w:pStyle w:val="TitleCover4Subtitle"/>
                                </w:pPr>
                                <w:r w:rsidRPr="00D4309F">
                                  <w:t>Draft Final Report</w:t>
                                </w:r>
                              </w:p>
                            </w:tc>
                          </w:sdtContent>
                        </w:sdt>
                      </w:tr>
                    </w:tbl>
                    <w:p w14:paraId="60B34A91" w14:textId="77777777" w:rsidR="009D1FCB" w:rsidRPr="00D4309F" w:rsidRDefault="009D1FCB" w:rsidP="009D1FCB">
                      <w:pPr>
                        <w:jc w:val="right"/>
                      </w:pPr>
                    </w:p>
                  </w:txbxContent>
                </v:textbox>
                <w10:wrap anchorx="page" anchory="page"/>
                <w10:anchorlock/>
              </v:shape>
            </w:pict>
          </mc:Fallback>
        </mc:AlternateContent>
      </w:r>
      <w:r w:rsidR="009D1FCB" w:rsidRPr="00D4309F">
        <w:rPr>
          <w:noProof/>
        </w:rPr>
        <mc:AlternateContent>
          <mc:Choice Requires="wps">
            <w:drawing>
              <wp:anchor distT="0" distB="0" distL="114300" distR="114300" simplePos="0" relativeHeight="251658240" behindDoc="0" locked="1" layoutInCell="1" allowOverlap="1" wp14:anchorId="65E781C9" wp14:editId="7D6AEF55">
                <wp:simplePos x="0" y="0"/>
                <wp:positionH relativeFrom="page">
                  <wp:posOffset>-2019869</wp:posOffset>
                </wp:positionH>
                <wp:positionV relativeFrom="page">
                  <wp:posOffset>4722125</wp:posOffset>
                </wp:positionV>
                <wp:extent cx="6309360" cy="8366760"/>
                <wp:effectExtent l="0" t="0" r="0" b="0"/>
                <wp:wrapNone/>
                <wp:docPr id="35" name="Cover4_Outline" descr="P1#y2" hidden="1"/>
                <wp:cNvGraphicFramePr/>
                <a:graphic xmlns:a="http://schemas.openxmlformats.org/drawingml/2006/main">
                  <a:graphicData uri="http://schemas.microsoft.com/office/word/2010/wordprocessingShape">
                    <wps:wsp>
                      <wps:cNvSpPr/>
                      <wps:spPr>
                        <a:xfrm>
                          <a:off x="0" y="0"/>
                          <a:ext cx="6309360" cy="8366760"/>
                        </a:xfrm>
                        <a:custGeom>
                          <a:avLst/>
                          <a:gdLst>
                            <a:gd name="connsiteX0" fmla="*/ 0 w 6314172"/>
                            <a:gd name="connsiteY0" fmla="*/ 1884146 h 8367128"/>
                            <a:gd name="connsiteX1" fmla="*/ 0 w 6314172"/>
                            <a:gd name="connsiteY1" fmla="*/ 209308 h 8367128"/>
                            <a:gd name="connsiteX2" fmla="*/ 210855 w 6314172"/>
                            <a:gd name="connsiteY2" fmla="*/ 1 h 8367128"/>
                            <a:gd name="connsiteX3" fmla="*/ 210857 w 6314172"/>
                            <a:gd name="connsiteY3" fmla="*/ 1 h 8367128"/>
                            <a:gd name="connsiteX4" fmla="*/ 3517841 w 6314172"/>
                            <a:gd name="connsiteY4" fmla="*/ 1 h 8367128"/>
                            <a:gd name="connsiteX5" fmla="*/ 4710476 w 6314172"/>
                            <a:gd name="connsiteY5" fmla="*/ 489966 h 8367128"/>
                            <a:gd name="connsiteX6" fmla="*/ 5830728 w 6314172"/>
                            <a:gd name="connsiteY6" fmla="*/ 1602461 h 8367128"/>
                            <a:gd name="connsiteX7" fmla="*/ 6324697 w 6314172"/>
                            <a:gd name="connsiteY7" fmla="*/ 2787077 h 8367128"/>
                            <a:gd name="connsiteX8" fmla="*/ 6324697 w 6314172"/>
                            <a:gd name="connsiteY8" fmla="*/ 8164112 h 8367128"/>
                            <a:gd name="connsiteX9" fmla="*/ 6113842 w 6314172"/>
                            <a:gd name="connsiteY9" fmla="*/ 8373419 h 8367128"/>
                            <a:gd name="connsiteX10" fmla="*/ 6113839 w 6314172"/>
                            <a:gd name="connsiteY10" fmla="*/ 8373419 h 8367128"/>
                            <a:gd name="connsiteX11" fmla="*/ 4427236 w 6314172"/>
                            <a:gd name="connsiteY11" fmla="*/ 8373419 h 8367128"/>
                            <a:gd name="connsiteX12" fmla="*/ 4216764 w 6314172"/>
                            <a:gd name="connsiteY12" fmla="*/ 8164754 h 8367128"/>
                            <a:gd name="connsiteX13" fmla="*/ 4216764 w 6314172"/>
                            <a:gd name="connsiteY13" fmla="*/ 3133568 h 8367128"/>
                            <a:gd name="connsiteX14" fmla="*/ 4092919 w 6314172"/>
                            <a:gd name="connsiteY14" fmla="*/ 2838409 h 8367128"/>
                            <a:gd name="connsiteX15" fmla="*/ 3467020 w 6314172"/>
                            <a:gd name="connsiteY15" fmla="*/ 2216777 h 8367128"/>
                            <a:gd name="connsiteX16" fmla="*/ 3168894 w 6314172"/>
                            <a:gd name="connsiteY16" fmla="*/ 2094094 h 8367128"/>
                            <a:gd name="connsiteX17" fmla="*/ 210858 w 6314172"/>
                            <a:gd name="connsiteY17" fmla="*/ 2094094 h 8367128"/>
                            <a:gd name="connsiteX18" fmla="*/ 2 w 6314172"/>
                            <a:gd name="connsiteY18" fmla="*/ 1884789 h 8367128"/>
                            <a:gd name="connsiteX19" fmla="*/ 0 w 6314172"/>
                            <a:gd name="connsiteY19" fmla="*/ 1884146 h 83671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6314172" h="8367128">
                              <a:moveTo>
                                <a:pt x="0" y="1884146"/>
                              </a:moveTo>
                              <a:lnTo>
                                <a:pt x="0" y="209308"/>
                              </a:lnTo>
                              <a:cubicBezTo>
                                <a:pt x="425" y="93287"/>
                                <a:pt x="94827" y="-423"/>
                                <a:pt x="210855" y="1"/>
                              </a:cubicBezTo>
                              <a:cubicBezTo>
                                <a:pt x="210856" y="1"/>
                                <a:pt x="210857" y="1"/>
                                <a:pt x="210857" y="1"/>
                              </a:cubicBezTo>
                              <a:lnTo>
                                <a:pt x="3517841" y="1"/>
                              </a:lnTo>
                              <a:cubicBezTo>
                                <a:pt x="3964456" y="-382"/>
                                <a:pt x="4393129" y="175727"/>
                                <a:pt x="4710476" y="489966"/>
                              </a:cubicBezTo>
                              <a:lnTo>
                                <a:pt x="5830728" y="1602461"/>
                              </a:lnTo>
                              <a:cubicBezTo>
                                <a:pt x="6146703" y="1915714"/>
                                <a:pt x="6324522" y="2342153"/>
                                <a:pt x="6324697" y="2787077"/>
                              </a:cubicBezTo>
                              <a:lnTo>
                                <a:pt x="6324697" y="8164112"/>
                              </a:lnTo>
                              <a:cubicBezTo>
                                <a:pt x="6324272" y="8280133"/>
                                <a:pt x="6229869" y="8373843"/>
                                <a:pt x="6113842" y="8373419"/>
                              </a:cubicBezTo>
                              <a:cubicBezTo>
                                <a:pt x="6113841" y="8373419"/>
                                <a:pt x="6113840" y="8373419"/>
                                <a:pt x="6113839" y="8373419"/>
                              </a:cubicBezTo>
                              <a:lnTo>
                                <a:pt x="4427236" y="8373419"/>
                              </a:lnTo>
                              <a:cubicBezTo>
                                <a:pt x="4311578" y="8373704"/>
                                <a:pt x="4217471" y="8280404"/>
                                <a:pt x="4216764" y="8164754"/>
                              </a:cubicBezTo>
                              <a:lnTo>
                                <a:pt x="4216764" y="3133568"/>
                              </a:lnTo>
                              <a:cubicBezTo>
                                <a:pt x="4216370" y="3022630"/>
                                <a:pt x="4171804" y="2916417"/>
                                <a:pt x="4092919" y="2838409"/>
                              </a:cubicBezTo>
                              <a:lnTo>
                                <a:pt x="3467020" y="2216777"/>
                              </a:lnTo>
                              <a:cubicBezTo>
                                <a:pt x="3387705" y="2138181"/>
                                <a:pt x="3280557" y="2094089"/>
                                <a:pt x="3168894" y="2094094"/>
                              </a:cubicBezTo>
                              <a:lnTo>
                                <a:pt x="210858" y="2094094"/>
                              </a:lnTo>
                              <a:cubicBezTo>
                                <a:pt x="94830" y="2094519"/>
                                <a:pt x="427" y="2000810"/>
                                <a:pt x="2" y="1884789"/>
                              </a:cubicBezTo>
                              <a:cubicBezTo>
                                <a:pt x="1" y="1884574"/>
                                <a:pt x="0" y="1884360"/>
                                <a:pt x="0" y="1884146"/>
                              </a:cubicBezTo>
                              <a:close/>
                            </a:path>
                          </a:pathLst>
                        </a:custGeom>
                        <a:noFill/>
                        <a:ln w="12822" cap="flat">
                          <a:solidFill>
                            <a:srgbClr val="D7D8D6"/>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6F7D60" id="Cover4_Outline" o:spid="_x0000_s1026" alt="P1#y2" style="position:absolute;margin-left:-159.05pt;margin-top:371.8pt;width:496.8pt;height:658.8pt;z-index:25165824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6314172,8367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" path="m,1884146l,209308c425,93287,94827,-423,210855,1v1,,2,,2,l3517841,1v446615,-383,875288,175726,1192635,489965l5830728,1602461v315975,313253,493794,739692,493969,1184616l6324697,8164112v-425,116021,-94828,209731,-210855,209307c6113841,8373419,6113840,8373419,6113839,8373419r-1686603,c4311578,8373704,4217471,8280404,4216764,8164754r,-5031186c4216370,3022630,4171804,2916417,4092919,2838409l3467020,2216777v-79315,-78596,-186463,-122688,-298126,-122683l210858,2094094c94830,2094519,427,2000810,2,1884789v-1,-215,-2,-429,-2,-643xe" filled="f" strokecolor="#d7d8d6" strokeweight=".35617mm">
                <v:stroke joinstyle="miter"/>
                <v:path arrowok="t" o:connecttype="custom" o:connectlocs="0,1884063;0,209299;210694,1;210696,1;3515160,1;4706886,489944;5826284,1602391;6319877,2786954;6319877,8163753;6109183,8373051;6109180,8373051;4423862,8373051;4213550,8164395;4213550,3133430;4089800,2838284;3464378,2216680;3166479,2094002;210697,2094002;2,1884706;0,1884063" o:connectangles="0,0,0,0,0,0,0,0,0,0,0,0,0,0,0,0,0,0,0,0"/>
                <w10:wrap anchorx="page" anchory="page"/>
                <w10:anchorlock/>
              </v:shape>
            </w:pict>
          </mc:Fallback>
        </mc:AlternateContent>
      </w:r>
      <w:r w:rsidR="009D1FCB" w:rsidRPr="00D4309F">
        <w:rPr>
          <w:noProof/>
        </w:rPr>
        <mc:AlternateContent>
          <mc:Choice Requires="wps">
            <w:drawing>
              <wp:anchor distT="0" distB="0" distL="114300" distR="114300" simplePos="0" relativeHeight="251658241" behindDoc="1" locked="1" layoutInCell="1" allowOverlap="1" wp14:anchorId="0A6C7EA0" wp14:editId="0B7E86BA">
                <wp:simplePos x="0" y="0"/>
                <wp:positionH relativeFrom="page">
                  <wp:posOffset>0</wp:posOffset>
                </wp:positionH>
                <wp:positionV relativeFrom="page">
                  <wp:posOffset>1924050</wp:posOffset>
                </wp:positionV>
                <wp:extent cx="7461250" cy="3246120"/>
                <wp:effectExtent l="0" t="0" r="0" b="0"/>
                <wp:wrapNone/>
                <wp:docPr id="26" name="Cover4_LightGrey" descr="P1TB1#y1" hidden="1"/>
                <wp:cNvGraphicFramePr/>
                <a:graphic xmlns:a="http://schemas.openxmlformats.org/drawingml/2006/main">
                  <a:graphicData uri="http://schemas.microsoft.com/office/word/2010/wordprocessingShape">
                    <wps:wsp>
                      <wps:cNvSpPr txBox="1"/>
                      <wps:spPr>
                        <a:xfrm>
                          <a:off x="0" y="0"/>
                          <a:ext cx="7461250" cy="3246120"/>
                        </a:xfrm>
                        <a:prstGeom prst="rect">
                          <a:avLst/>
                        </a:prstGeom>
                        <a:solidFill>
                          <a:srgbClr val="D7D8D6"/>
                        </a:solidFill>
                        <a:ln w="6350">
                          <a:noFill/>
                        </a:ln>
                      </wps:spPr>
                      <wps:txbx>
                        <w:txbxContent>
                          <w:p w14:paraId="18B37BC4" w14:textId="77777777" w:rsidR="009D1FCB" w:rsidRPr="00D4309F" w:rsidRDefault="009D1FCB" w:rsidP="009D1FC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C7EA0" id="Cover4_LightGrey" o:spid="_x0000_s1031" type="#_x0000_t202" alt="P1TB1#y1" style="position:absolute;margin-left:0;margin-top:151.5pt;width:587.5pt;height:255.6pt;z-index:-251658239;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" fillcolor="#d7d8d6" stroked="f" strokeweight=".5pt">
                <v:textbox inset="0,0,0,0">
                  <w:txbxContent>
                    <w:p w14:paraId="18B37BC4" w14:textId="77777777" w:rsidR="009D1FCB" w:rsidRPr="00D4309F" w:rsidRDefault="009D1FCB" w:rsidP="009D1FCB"/>
                  </w:txbxContent>
                </v:textbox>
                <w10:wrap anchorx="page" anchory="page"/>
                <w10:anchorlock/>
              </v:shape>
            </w:pict>
          </mc:Fallback>
        </mc:AlternateContent>
      </w:r>
      <w:r w:rsidR="009D1FCB" w:rsidRPr="00D4309F">
        <w:rPr>
          <w:noProof/>
        </w:rPr>
        <w:drawing>
          <wp:anchor distT="0" distB="0" distL="114300" distR="114300" simplePos="0" relativeHeight="251658254" behindDoc="1" locked="1" layoutInCell="1" allowOverlap="1" wp14:anchorId="360B8D94" wp14:editId="744348B2">
            <wp:simplePos x="0" y="0"/>
            <wp:positionH relativeFrom="page">
              <wp:align>left</wp:align>
            </wp:positionH>
            <wp:positionV relativeFrom="page">
              <wp:align>bottom</wp:align>
            </wp:positionV>
            <wp:extent cx="7708265" cy="9098280"/>
            <wp:effectExtent l="0" t="0" r="0" b="7620"/>
            <wp:wrapNone/>
            <wp:docPr id="23" name="Cover4_Plum" descr="P1#y1"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ver4_Plum" descr="P1#y1" hidden="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7708265" cy="9098280"/>
                    </a:xfrm>
                    <a:prstGeom prst="rect">
                      <a:avLst/>
                    </a:prstGeom>
                  </pic:spPr>
                </pic:pic>
              </a:graphicData>
            </a:graphic>
            <wp14:sizeRelH relativeFrom="margin">
              <wp14:pctWidth>0</wp14:pctWidth>
            </wp14:sizeRelH>
            <wp14:sizeRelV relativeFrom="margin">
              <wp14:pctHeight>0</wp14:pctHeight>
            </wp14:sizeRelV>
          </wp:anchor>
        </w:drawing>
      </w:r>
      <w:bookmarkStart w:id="0" w:name="_Hlk37079043"/>
    </w:p>
    <w:tbl>
      <w:tblPr>
        <w:tblStyle w:val="TableGrid"/>
        <w:tblpPr w:vertAnchor="page" w:horzAnchor="margin" w:tblpXSpec="right" w:tblpY="14113"/>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04"/>
      </w:tblGrid>
      <w:tr w:rsidR="002D51FD" w:rsidRPr="002E7251" w14:paraId="61B0D37A" w14:textId="77777777" w:rsidTr="00C13BCB">
        <w:trPr>
          <w:trHeight w:val="870"/>
        </w:trPr>
        <w:tc>
          <w:tcPr>
            <w:tcW w:w="2304" w:type="dxa"/>
          </w:tcPr>
          <w:bookmarkEnd w:id="0" w:displacedByCustomXml="next"/>
          <w:sdt>
            <w:sdtPr>
              <w:alias w:val="{{Form.ProjectReference}}"/>
              <w:tag w:val="{&quot;templafy&quot;:{&quot;id&quot;:&quot;6de01a3a-d526-491f-ae83-d445f6bd9efe&quot;}}"/>
              <w:id w:val="-242571594"/>
              <w:placeholder>
                <w:docPart w:val="0091467EBAF342FA92ABA2D95249BBA4"/>
              </w:placeholder>
            </w:sdtPr>
            <w:sdtEndPr/>
            <w:sdtContent>
              <w:p w14:paraId="5CFE7692" w14:textId="295EDFBA" w:rsidR="00F308D8" w:rsidRPr="002E7251" w:rsidRDefault="00ED36CF">
                <w:pPr>
                  <w:pStyle w:val="Projectreference"/>
                  <w:framePr w:wrap="auto" w:vAnchor="margin" w:hAnchor="text" w:xAlign="left" w:yAlign="inline"/>
                  <w:suppressOverlap w:val="0"/>
                </w:pPr>
                <w:r w:rsidRPr="002E7251">
                  <w:t>604-OEENVBNE-420124</w:t>
                </w:r>
              </w:p>
            </w:sdtContent>
          </w:sdt>
          <w:p w14:paraId="2917A5FE" w14:textId="0B0F95B1" w:rsidR="002D51FD" w:rsidRPr="002E7251" w:rsidRDefault="009A5848" w:rsidP="00C13BCB">
            <w:pPr>
              <w:pStyle w:val="Projectdate"/>
              <w:framePr w:wrap="auto" w:vAnchor="margin" w:hAnchor="text" w:xAlign="left" w:yAlign="inline"/>
              <w:suppressOverlap w:val="0"/>
            </w:pPr>
            <w:sdt>
              <w:sdtPr>
                <w:alias w:val="{{FormatDateTime(Form.Date, Translate(&quot;Format_GeneralDate&quot;), DocumentLanguage)}}"/>
                <w:tag w:val="{&quot;templafy&quot;:{&quot;id&quot;:&quot;7d2d1958-3467-4407-881c-b77961304730&quot;}}"/>
                <w:id w:val="451834913"/>
                <w:placeholder>
                  <w:docPart w:val="EE920BDA15534207AF1C3436004F0DC4"/>
                </w:placeholder>
              </w:sdtPr>
              <w:sdtEndPr/>
              <w:sdtContent>
                <w:r w:rsidR="0092783E">
                  <w:t>15</w:t>
                </w:r>
                <w:r w:rsidR="00FC392F" w:rsidRPr="002E7251">
                  <w:t xml:space="preserve"> December 2025</w:t>
                </w:r>
              </w:sdtContent>
            </w:sdt>
          </w:p>
          <w:sdt>
            <w:sdtPr>
              <w:alias w:val="{{Form.Version}}"/>
              <w:tag w:val="{&quot;templafy&quot;:{&quot;id&quot;:&quot;fa814423-5a3f-41b6-94b0-0f6a1416c1f4&quot;}}"/>
              <w:id w:val="1806508062"/>
              <w:placeholder>
                <w:docPart w:val="9E35C62DD3484D88A238CB9F7571913C"/>
              </w:placeholder>
            </w:sdtPr>
            <w:sdtEndPr/>
            <w:sdtContent>
              <w:p w14:paraId="0B47CAC8" w14:textId="7EE54712" w:rsidR="00F308D8" w:rsidRPr="002E7251" w:rsidRDefault="0092783E">
                <w:pPr>
                  <w:pStyle w:val="Projectversion"/>
                  <w:framePr w:wrap="auto" w:vAnchor="margin" w:hAnchor="text" w:xAlign="left" w:yAlign="inline"/>
                  <w:suppressOverlap w:val="0"/>
                </w:pPr>
                <w:r>
                  <w:t>v 1.0</w:t>
                </w:r>
              </w:p>
            </w:sdtContent>
          </w:sdt>
          <w:p w14:paraId="5C3B1566" w14:textId="4152BAE0" w:rsidR="00F308D8" w:rsidRPr="002E7251" w:rsidRDefault="008E7937">
            <w:pPr>
              <w:pStyle w:val="BIM"/>
              <w:framePr w:wrap="auto" w:yAlign="inline"/>
            </w:pPr>
            <w:r>
              <w:t xml:space="preserve">  </w:t>
            </w:r>
          </w:p>
        </w:tc>
      </w:tr>
    </w:tbl>
    <w:p w14:paraId="57ADDEF6" w14:textId="77777777" w:rsidR="009D1FCB" w:rsidRPr="00D4309F" w:rsidRDefault="00585904" w:rsidP="00D63396">
      <w:pPr>
        <w:pStyle w:val="NoSpacing"/>
        <w:sectPr w:rsidR="009D1FCB" w:rsidRPr="00D4309F" w:rsidSect="00A8441C">
          <w:headerReference w:type="even" r:id="rId29"/>
          <w:headerReference w:type="default" r:id="rId30"/>
          <w:footerReference w:type="default" r:id="rId31"/>
          <w:headerReference w:type="first" r:id="rId32"/>
          <w:pgSz w:w="11906" w:h="16838" w:code="9"/>
          <w:pgMar w:top="1417" w:right="1134" w:bottom="1417" w:left="1134" w:header="907" w:footer="567" w:gutter="0"/>
          <w:pgNumType w:start="1"/>
          <w:cols w:space="708"/>
          <w:docGrid w:linePitch="360"/>
        </w:sectPr>
      </w:pPr>
      <w:r w:rsidRPr="00D4309F">
        <w:rPr>
          <w:noProof/>
        </w:rPr>
        <mc:AlternateContent>
          <mc:Choice Requires="wps">
            <w:drawing>
              <wp:anchor distT="0" distB="0" distL="114300" distR="114300" simplePos="0" relativeHeight="251658253" behindDoc="1" locked="0" layoutInCell="1" allowOverlap="1" wp14:anchorId="5448BE03" wp14:editId="05AE61EB">
                <wp:simplePos x="0" y="0"/>
                <wp:positionH relativeFrom="page">
                  <wp:posOffset>2222110</wp:posOffset>
                </wp:positionH>
                <wp:positionV relativeFrom="page">
                  <wp:posOffset>5682908</wp:posOffset>
                </wp:positionV>
                <wp:extent cx="3216165" cy="2282378"/>
                <wp:effectExtent l="0" t="0" r="0" b="0"/>
                <wp:wrapNone/>
                <wp:docPr id="67" name="Cover4_DarkGrey" descr="P7#y1" hidden="1"/>
                <wp:cNvGraphicFramePr/>
                <a:graphic xmlns:a="http://schemas.openxmlformats.org/drawingml/2006/main">
                  <a:graphicData uri="http://schemas.microsoft.com/office/word/2010/wordprocessingShape">
                    <wps:wsp>
                      <wps:cNvSpPr/>
                      <wps:spPr>
                        <a:xfrm>
                          <a:off x="0" y="0"/>
                          <a:ext cx="3216165" cy="2282378"/>
                        </a:xfrm>
                        <a:custGeom>
                          <a:avLst/>
                          <a:gdLst>
                            <a:gd name="connsiteX0" fmla="*/ 0 w 2137219"/>
                            <a:gd name="connsiteY0" fmla="*/ 0 h 1516951"/>
                            <a:gd name="connsiteX1" fmla="*/ 0 w 2137219"/>
                            <a:gd name="connsiteY1" fmla="*/ 1516952 h 1516951"/>
                            <a:gd name="connsiteX2" fmla="*/ 1037463 w 2137219"/>
                            <a:gd name="connsiteY2" fmla="*/ 1516952 h 1516951"/>
                            <a:gd name="connsiteX3" fmla="*/ 1350359 w 2137219"/>
                            <a:gd name="connsiteY3" fmla="*/ 1388269 h 1516951"/>
                            <a:gd name="connsiteX4" fmla="*/ 2007584 w 2137219"/>
                            <a:gd name="connsiteY4" fmla="*/ 735902 h 1516951"/>
                            <a:gd name="connsiteX5" fmla="*/ 2137220 w 2137219"/>
                            <a:gd name="connsiteY5" fmla="*/ 425196 h 1516951"/>
                            <a:gd name="connsiteX6" fmla="*/ 2137220 w 2137219"/>
                            <a:gd name="connsiteY6" fmla="*/ 0 h 15169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137219" h="1516951">
                              <a:moveTo>
                                <a:pt x="0" y="0"/>
                              </a:moveTo>
                              <a:lnTo>
                                <a:pt x="0" y="1516952"/>
                              </a:lnTo>
                              <a:lnTo>
                                <a:pt x="1037463" y="1516952"/>
                              </a:lnTo>
                              <a:cubicBezTo>
                                <a:pt x="1154658" y="1517037"/>
                                <a:pt x="1267133" y="1470780"/>
                                <a:pt x="1350359" y="1388269"/>
                              </a:cubicBezTo>
                              <a:lnTo>
                                <a:pt x="2007584" y="735902"/>
                              </a:lnTo>
                              <a:cubicBezTo>
                                <a:pt x="2090449" y="653730"/>
                                <a:pt x="2137110" y="541896"/>
                                <a:pt x="2137220" y="425196"/>
                              </a:cubicBezTo>
                              <a:lnTo>
                                <a:pt x="2137220" y="0"/>
                              </a:lnTo>
                              <a:close/>
                            </a:path>
                          </a:pathLst>
                        </a:custGeom>
                        <a:solidFill>
                          <a:srgbClr val="5F6369"/>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AB8DA" id="Cover4_DarkGrey" o:spid="_x0000_s1026" alt="P7#y1" style="position:absolute;margin-left:174.95pt;margin-top:447.45pt;width:253.25pt;height:179.7pt;z-index:-25165822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137219,1516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" path="m,l,1516952r1037463,c1154658,1517037,1267133,1470780,1350359,1388269l2007584,735902v82865,-82172,129526,-194006,129636,-310706l2137220,,,xe" fillcolor="#5f6369" stroked="f">
                <v:stroke joinstyle="miter"/>
                <v:path arrowok="t" o:connecttype="custom" o:connectlocs="0,0;0,2282380;1561212,2282380;2032069,2088765;3021086,1107225;3216167,639742;3216167,0" o:connectangles="0,0,0,0,0,0,0"/>
                <w10:wrap anchorx="page" anchory="page"/>
              </v:shape>
            </w:pict>
          </mc:Fallback>
        </mc:AlternateContent>
      </w:r>
    </w:p>
    <w:tbl>
      <w:tblPr>
        <w:tblStyle w:val="TableGrid"/>
        <w:tblW w:w="5000" w:type="pct"/>
        <w:tblBorders>
          <w:top w:val="none" w:sz="0" w:space="0" w:color="auto"/>
          <w:left w:val="none" w:sz="0" w:space="0" w:color="auto"/>
          <w:bottom w:val="single" w:sz="18" w:space="0" w:color="7F8287"/>
          <w:right w:val="none" w:sz="0" w:space="0" w:color="auto"/>
          <w:insideH w:val="single" w:sz="4" w:space="0" w:color="7F8287"/>
          <w:insideV w:val="none" w:sz="0" w:space="0" w:color="auto"/>
        </w:tblBorders>
        <w:tblLayout w:type="fixed"/>
        <w:tblLook w:val="04A0" w:firstRow="1" w:lastRow="0" w:firstColumn="1" w:lastColumn="0" w:noHBand="0" w:noVBand="1"/>
      </w:tblPr>
      <w:tblGrid>
        <w:gridCol w:w="877"/>
        <w:gridCol w:w="2525"/>
        <w:gridCol w:w="1796"/>
        <w:gridCol w:w="1636"/>
        <w:gridCol w:w="1636"/>
        <w:gridCol w:w="1168"/>
      </w:tblGrid>
      <w:tr w:rsidR="00DF5077" w:rsidRPr="00D4309F" w14:paraId="376C2140" w14:textId="77777777" w:rsidTr="009D1FCB">
        <w:trPr>
          <w:trHeight w:val="397"/>
          <w:tblHeader/>
        </w:trPr>
        <w:tc>
          <w:tcPr>
            <w:tcW w:w="9638" w:type="dxa"/>
            <w:gridSpan w:val="6"/>
            <w:tcBorders>
              <w:top w:val="nil"/>
              <w:bottom w:val="single" w:sz="18" w:space="0" w:color="71004B"/>
            </w:tcBorders>
            <w:shd w:val="clear" w:color="auto" w:fill="BEB7B3" w:themeFill="background2"/>
            <w:vAlign w:val="center"/>
          </w:tcPr>
          <w:sdt>
            <w:sdtPr>
              <w:alias w:val="{{Translate(&quot;DocumentStatus&quot;)}}"/>
              <w:tag w:val="{&quot;templafy&quot;:{&quot;id&quot;:&quot;43adf372-89ad-436f-8225-08ba11f2c661&quot;}}"/>
              <w:id w:val="1084957775"/>
              <w:placeholder>
                <w:docPart w:val="CBA6F05AB0B44063B2630149AB8A2C92"/>
              </w:placeholder>
              <w:temporary/>
            </w:sdtPr>
            <w:sdtEndPr/>
            <w:sdtContent>
              <w:p w14:paraId="444F75EF" w14:textId="77777777" w:rsidR="00F308D8" w:rsidRPr="00D4309F" w:rsidRDefault="00FC392F">
                <w:pPr>
                  <w:pStyle w:val="Table-Heading"/>
                </w:pPr>
                <w:r w:rsidRPr="00D4309F">
                  <w:t>Document status</w:t>
                </w:r>
              </w:p>
            </w:sdtContent>
          </w:sdt>
        </w:tc>
      </w:tr>
      <w:tr w:rsidR="007B1E41" w:rsidRPr="00D4309F" w14:paraId="14C6540B" w14:textId="77777777" w:rsidTr="00D03FD3">
        <w:trPr>
          <w:trHeight w:val="397"/>
        </w:trPr>
        <w:tc>
          <w:tcPr>
            <w:tcW w:w="877" w:type="dxa"/>
            <w:tcBorders>
              <w:top w:val="single" w:sz="18" w:space="0" w:color="71004B"/>
              <w:bottom w:val="single" w:sz="18" w:space="0" w:color="71004B"/>
            </w:tcBorders>
            <w:vAlign w:val="center"/>
          </w:tcPr>
          <w:p w14:paraId="4A445C68" w14:textId="77777777" w:rsidR="007B1E41" w:rsidRPr="00D4309F" w:rsidRDefault="009A5848" w:rsidP="007B1E41">
            <w:pPr>
              <w:pStyle w:val="Table-Subheading"/>
            </w:pPr>
            <w:sdt>
              <w:sdtPr>
                <w:alias w:val="{{Translate(&quot;Version&quot;)}}"/>
                <w:tag w:val="{&quot;templafy&quot;:{&quot;id&quot;:&quot;6f876219-a1ba-4676-8f07-e52b25ebeb8f&quot;}}"/>
                <w:id w:val="419292536"/>
                <w:placeholder>
                  <w:docPart w:val="B184EB6809E041BE87FC477D44FF5088"/>
                </w:placeholder>
                <w:temporary/>
              </w:sdtPr>
              <w:sdtEndPr/>
              <w:sdtContent>
                <w:r w:rsidR="00FC392F" w:rsidRPr="00D4309F">
                  <w:t>Version</w:t>
                </w:r>
              </w:sdtContent>
            </w:sdt>
          </w:p>
        </w:tc>
        <w:tc>
          <w:tcPr>
            <w:tcW w:w="2525" w:type="dxa"/>
            <w:tcBorders>
              <w:top w:val="single" w:sz="18" w:space="0" w:color="71004B"/>
              <w:bottom w:val="single" w:sz="18" w:space="0" w:color="71004B"/>
            </w:tcBorders>
            <w:vAlign w:val="center"/>
          </w:tcPr>
          <w:p w14:paraId="3B99D88C" w14:textId="77777777" w:rsidR="007B1E41" w:rsidRPr="00D4309F" w:rsidRDefault="009A5848" w:rsidP="007B1E41">
            <w:pPr>
              <w:pStyle w:val="Table-Subheading"/>
            </w:pPr>
            <w:sdt>
              <w:sdtPr>
                <w:alias w:val="{{Translate(&quot;PurposeOfDocument&quot;)}}"/>
                <w:tag w:val="{&quot;templafy&quot;:{&quot;id&quot;:&quot;1131e739-40e2-4043-b253-d61bee546ff4&quot;}}"/>
                <w:id w:val="507634173"/>
                <w:placeholder>
                  <w:docPart w:val="01B076205A834DEF9A6E0902E820A14F"/>
                </w:placeholder>
                <w:temporary/>
              </w:sdtPr>
              <w:sdtEndPr/>
              <w:sdtContent>
                <w:r w:rsidR="00FC392F" w:rsidRPr="00D4309F">
                  <w:t>Purpose of document</w:t>
                </w:r>
              </w:sdtContent>
            </w:sdt>
          </w:p>
        </w:tc>
        <w:tc>
          <w:tcPr>
            <w:tcW w:w="1796" w:type="dxa"/>
            <w:tcBorders>
              <w:top w:val="single" w:sz="18" w:space="0" w:color="71004B"/>
              <w:bottom w:val="single" w:sz="18" w:space="0" w:color="71004B"/>
            </w:tcBorders>
            <w:vAlign w:val="center"/>
          </w:tcPr>
          <w:p w14:paraId="181559BD" w14:textId="77777777" w:rsidR="007B1E41" w:rsidRPr="00D4309F" w:rsidRDefault="009A5848" w:rsidP="007B1E41">
            <w:pPr>
              <w:pStyle w:val="Table-Subheading"/>
            </w:pPr>
            <w:sdt>
              <w:sdtPr>
                <w:alias w:val="{{Translate(&quot;AuthoredBy&quot;)}}"/>
                <w:tag w:val="{&quot;templafy&quot;:{&quot;id&quot;:&quot;7bb457f7-34a4-40db-ac8a-240835b5df19&quot;}}"/>
                <w:id w:val="1840122032"/>
                <w:placeholder>
                  <w:docPart w:val="8BAAB06CB61C4904A49CC1792E1DEB87"/>
                </w:placeholder>
                <w:temporary/>
              </w:sdtPr>
              <w:sdtEndPr/>
              <w:sdtContent>
                <w:r w:rsidR="00FC392F" w:rsidRPr="00D4309F">
                  <w:t>Authored by</w:t>
                </w:r>
              </w:sdtContent>
            </w:sdt>
          </w:p>
        </w:tc>
        <w:tc>
          <w:tcPr>
            <w:tcW w:w="1636" w:type="dxa"/>
            <w:tcBorders>
              <w:top w:val="single" w:sz="18" w:space="0" w:color="71004B"/>
              <w:bottom w:val="single" w:sz="18" w:space="0" w:color="71004B"/>
            </w:tcBorders>
            <w:vAlign w:val="center"/>
          </w:tcPr>
          <w:p w14:paraId="06206A33" w14:textId="77777777" w:rsidR="007B1E41" w:rsidRPr="00D4309F" w:rsidRDefault="009A5848" w:rsidP="007B1E41">
            <w:pPr>
              <w:pStyle w:val="Table-Subheading"/>
            </w:pPr>
            <w:sdt>
              <w:sdtPr>
                <w:alias w:val="{{Translate(&quot;ReviewedBy&quot;)}}"/>
                <w:tag w:val="{&quot;templafy&quot;:{&quot;id&quot;:&quot;f88d2882-540e-4228-ac78-8884a3957779&quot;}}"/>
                <w:id w:val="1912740400"/>
                <w:placeholder>
                  <w:docPart w:val="C6CB483A7C3C410AA973F410802E801C"/>
                </w:placeholder>
                <w:temporary/>
              </w:sdtPr>
              <w:sdtEndPr/>
              <w:sdtContent>
                <w:r w:rsidR="00FC392F" w:rsidRPr="00D4309F">
                  <w:t>Reviewed by</w:t>
                </w:r>
              </w:sdtContent>
            </w:sdt>
          </w:p>
        </w:tc>
        <w:tc>
          <w:tcPr>
            <w:tcW w:w="1636" w:type="dxa"/>
            <w:tcBorders>
              <w:top w:val="single" w:sz="18" w:space="0" w:color="71004B"/>
              <w:bottom w:val="single" w:sz="18" w:space="0" w:color="71004B"/>
            </w:tcBorders>
            <w:vAlign w:val="center"/>
          </w:tcPr>
          <w:p w14:paraId="2496E565" w14:textId="77777777" w:rsidR="007B1E41" w:rsidRPr="00D4309F" w:rsidRDefault="007B1E41" w:rsidP="007B1E41">
            <w:pPr>
              <w:pStyle w:val="Table-Subheading"/>
            </w:pPr>
            <w:r w:rsidRPr="00D4309F">
              <w:t>Approved by</w:t>
            </w:r>
          </w:p>
        </w:tc>
        <w:tc>
          <w:tcPr>
            <w:tcW w:w="1168" w:type="dxa"/>
            <w:tcBorders>
              <w:top w:val="single" w:sz="18" w:space="0" w:color="71004B"/>
              <w:bottom w:val="single" w:sz="18" w:space="0" w:color="71004B"/>
            </w:tcBorders>
            <w:vAlign w:val="center"/>
          </w:tcPr>
          <w:p w14:paraId="4BEB1661" w14:textId="77777777" w:rsidR="007B1E41" w:rsidRPr="00D4309F" w:rsidRDefault="009A5848" w:rsidP="007B1E41">
            <w:pPr>
              <w:pStyle w:val="Table-Subheading"/>
            </w:pPr>
            <w:sdt>
              <w:sdtPr>
                <w:alias w:val="{{Translate(&quot;ReviewDate&quot;)}}"/>
                <w:tag w:val="{&quot;templafy&quot;:{&quot;id&quot;:&quot;c4dad0ab-69fb-4414-9d31-a345fa60725e&quot;}}"/>
                <w:id w:val="295732324"/>
                <w:placeholder>
                  <w:docPart w:val="4DD9A781117E435D9415D11AF149A5AD"/>
                </w:placeholder>
                <w:temporary/>
              </w:sdtPr>
              <w:sdtEndPr/>
              <w:sdtContent>
                <w:r w:rsidR="00FC392F" w:rsidRPr="00D4309F">
                  <w:t>Review date</w:t>
                </w:r>
              </w:sdtContent>
            </w:sdt>
          </w:p>
        </w:tc>
      </w:tr>
      <w:tr w:rsidR="004C43D0" w:rsidRPr="00D4309F" w14:paraId="7465B197" w14:textId="77777777" w:rsidTr="00D03FD3">
        <w:trPr>
          <w:trHeight w:val="1805"/>
        </w:trPr>
        <w:tc>
          <w:tcPr>
            <w:tcW w:w="877" w:type="dxa"/>
            <w:tcBorders>
              <w:top w:val="single" w:sz="18" w:space="0" w:color="71004B"/>
            </w:tcBorders>
          </w:tcPr>
          <w:p w14:paraId="1792E471" w14:textId="6D688024" w:rsidR="004C43D0" w:rsidRPr="002E7251" w:rsidRDefault="004C43D0" w:rsidP="00D03FD3">
            <w:pPr>
              <w:pStyle w:val="Table-Text"/>
            </w:pPr>
            <w:r w:rsidRPr="002E7251">
              <w:t>A</w:t>
            </w:r>
          </w:p>
        </w:tc>
        <w:tc>
          <w:tcPr>
            <w:tcW w:w="2525" w:type="dxa"/>
            <w:tcBorders>
              <w:top w:val="single" w:sz="18" w:space="0" w:color="71004B"/>
            </w:tcBorders>
          </w:tcPr>
          <w:p w14:paraId="79529099" w14:textId="36FF56BF" w:rsidR="004C43D0" w:rsidRPr="002E7251" w:rsidRDefault="004C43D0" w:rsidP="00D03FD3">
            <w:pPr>
              <w:pStyle w:val="Table-Text"/>
            </w:pPr>
            <w:r w:rsidRPr="002E7251">
              <w:rPr>
                <w:color w:val="211E1F"/>
              </w:rPr>
              <w:t>Interim</w:t>
            </w:r>
            <w:r w:rsidRPr="002E7251">
              <w:rPr>
                <w:color w:val="211E1F"/>
                <w:spacing w:val="-2"/>
              </w:rPr>
              <w:t xml:space="preserve"> </w:t>
            </w:r>
            <w:r w:rsidRPr="002E7251">
              <w:rPr>
                <w:color w:val="211E1F"/>
              </w:rPr>
              <w:t>draft</w:t>
            </w:r>
            <w:r w:rsidRPr="002E7251">
              <w:rPr>
                <w:color w:val="211E1F"/>
                <w:spacing w:val="-2"/>
              </w:rPr>
              <w:t xml:space="preserve"> </w:t>
            </w:r>
            <w:r w:rsidRPr="002E7251">
              <w:rPr>
                <w:color w:val="211E1F"/>
              </w:rPr>
              <w:t>for</w:t>
            </w:r>
            <w:r w:rsidRPr="002E7251">
              <w:rPr>
                <w:color w:val="211E1F"/>
                <w:spacing w:val="-2"/>
              </w:rPr>
              <w:t xml:space="preserve"> </w:t>
            </w:r>
            <w:r w:rsidRPr="002E7251">
              <w:rPr>
                <w:color w:val="211E1F"/>
              </w:rPr>
              <w:t>MSQ</w:t>
            </w:r>
            <w:r w:rsidRPr="002E7251">
              <w:rPr>
                <w:color w:val="211E1F"/>
                <w:spacing w:val="-2"/>
              </w:rPr>
              <w:t xml:space="preserve"> review</w:t>
            </w:r>
          </w:p>
        </w:tc>
        <w:tc>
          <w:tcPr>
            <w:tcW w:w="1796" w:type="dxa"/>
            <w:tcBorders>
              <w:top w:val="single" w:sz="18" w:space="0" w:color="71004B"/>
            </w:tcBorders>
          </w:tcPr>
          <w:p w14:paraId="50EC69C9" w14:textId="77777777" w:rsidR="004C43D0" w:rsidRPr="002E7251" w:rsidRDefault="004C43D0" w:rsidP="00D24EA3">
            <w:pPr>
              <w:pStyle w:val="Table-Text"/>
            </w:pPr>
            <w:r w:rsidRPr="002E7251">
              <w:rPr>
                <w:color w:val="211E1F"/>
              </w:rPr>
              <w:t>Aaron</w:t>
            </w:r>
            <w:r w:rsidRPr="002E7251">
              <w:rPr>
                <w:color w:val="211E1F"/>
                <w:spacing w:val="-4"/>
              </w:rPr>
              <w:t xml:space="preserve"> </w:t>
            </w:r>
            <w:r w:rsidRPr="002E7251">
              <w:rPr>
                <w:color w:val="211E1F"/>
                <w:spacing w:val="-2"/>
              </w:rPr>
              <w:t>Sayler</w:t>
            </w:r>
          </w:p>
          <w:p w14:paraId="18A32C8C" w14:textId="77777777" w:rsidR="004C43D0" w:rsidRPr="002E7251" w:rsidRDefault="004C43D0" w:rsidP="00D24EA3">
            <w:pPr>
              <w:pStyle w:val="Table-Text"/>
            </w:pPr>
            <w:r w:rsidRPr="002E7251">
              <w:rPr>
                <w:color w:val="211E1F"/>
              </w:rPr>
              <w:t>Sam</w:t>
            </w:r>
            <w:r w:rsidRPr="002E7251">
              <w:rPr>
                <w:color w:val="211E1F"/>
                <w:spacing w:val="-2"/>
              </w:rPr>
              <w:t xml:space="preserve"> </w:t>
            </w:r>
            <w:r w:rsidRPr="002E7251">
              <w:rPr>
                <w:color w:val="211E1F"/>
                <w:spacing w:val="-4"/>
              </w:rPr>
              <w:t>King</w:t>
            </w:r>
          </w:p>
          <w:p w14:paraId="43E45D60" w14:textId="77777777" w:rsidR="00D03FD3" w:rsidRDefault="004C43D0" w:rsidP="00D24EA3">
            <w:pPr>
              <w:pStyle w:val="Table-Text"/>
              <w:rPr>
                <w:color w:val="211E1F"/>
              </w:rPr>
            </w:pPr>
            <w:r w:rsidRPr="00D4309F">
              <w:rPr>
                <w:color w:val="211E1F"/>
              </w:rPr>
              <w:t>George</w:t>
            </w:r>
            <w:r w:rsidRPr="00D4309F">
              <w:rPr>
                <w:color w:val="211E1F"/>
                <w:spacing w:val="-13"/>
              </w:rPr>
              <w:t xml:space="preserve"> </w:t>
            </w:r>
            <w:r w:rsidRPr="00D4309F">
              <w:rPr>
                <w:color w:val="211E1F"/>
              </w:rPr>
              <w:t>Freeman</w:t>
            </w:r>
          </w:p>
          <w:p w14:paraId="46F0B93F" w14:textId="689554D5" w:rsidR="004C43D0" w:rsidRPr="00D4309F" w:rsidRDefault="004C43D0" w:rsidP="00D24EA3">
            <w:pPr>
              <w:pStyle w:val="Table-Text"/>
              <w:rPr>
                <w:highlight w:val="yellow"/>
              </w:rPr>
            </w:pPr>
            <w:r w:rsidRPr="00D4309F">
              <w:rPr>
                <w:color w:val="211E1F"/>
              </w:rPr>
              <w:t>Marty Mulcahy</w:t>
            </w:r>
          </w:p>
          <w:p w14:paraId="1BFF7D2E" w14:textId="77777777" w:rsidR="004C43D0" w:rsidRPr="00D4309F" w:rsidRDefault="004C43D0" w:rsidP="00D24EA3">
            <w:pPr>
              <w:pStyle w:val="Table-Text"/>
              <w:rPr>
                <w:highlight w:val="yellow"/>
              </w:rPr>
            </w:pPr>
            <w:r w:rsidRPr="00D4309F">
              <w:rPr>
                <w:color w:val="211E1F"/>
              </w:rPr>
              <w:t>Kat</w:t>
            </w:r>
            <w:r w:rsidRPr="00D4309F">
              <w:rPr>
                <w:color w:val="211E1F"/>
                <w:spacing w:val="-2"/>
              </w:rPr>
              <w:t xml:space="preserve"> Thorne</w:t>
            </w:r>
          </w:p>
          <w:p w14:paraId="337218A4" w14:textId="77777777" w:rsidR="004C43D0" w:rsidRPr="00D4309F" w:rsidRDefault="004C43D0" w:rsidP="00D24EA3">
            <w:pPr>
              <w:pStyle w:val="Table-Text"/>
              <w:rPr>
                <w:highlight w:val="yellow"/>
              </w:rPr>
            </w:pPr>
            <w:r w:rsidRPr="00D4309F">
              <w:rPr>
                <w:color w:val="211E1F"/>
              </w:rPr>
              <w:t>Nicole</w:t>
            </w:r>
            <w:r w:rsidRPr="00D4309F">
              <w:rPr>
                <w:color w:val="211E1F"/>
                <w:spacing w:val="-6"/>
              </w:rPr>
              <w:t xml:space="preserve"> </w:t>
            </w:r>
            <w:r w:rsidRPr="00D4309F">
              <w:rPr>
                <w:color w:val="211E1F"/>
                <w:spacing w:val="-2"/>
              </w:rPr>
              <w:t>Romano</w:t>
            </w:r>
          </w:p>
          <w:p w14:paraId="3B2817A2" w14:textId="77777777" w:rsidR="004C43D0" w:rsidRPr="00D4309F" w:rsidRDefault="004C43D0" w:rsidP="00D24EA3">
            <w:pPr>
              <w:pStyle w:val="Table-Text"/>
              <w:rPr>
                <w:highlight w:val="yellow"/>
              </w:rPr>
            </w:pPr>
            <w:r w:rsidRPr="00D4309F">
              <w:rPr>
                <w:color w:val="211E1F"/>
              </w:rPr>
              <w:t>Kiah</w:t>
            </w:r>
            <w:r w:rsidRPr="00D4309F">
              <w:rPr>
                <w:color w:val="211E1F"/>
                <w:spacing w:val="-4"/>
              </w:rPr>
              <w:t xml:space="preserve"> Hume</w:t>
            </w:r>
          </w:p>
          <w:p w14:paraId="0C1F6358" w14:textId="77777777" w:rsidR="004C43D0" w:rsidRPr="00D4309F" w:rsidRDefault="004C43D0" w:rsidP="00D24EA3">
            <w:pPr>
              <w:pStyle w:val="Table-Text"/>
              <w:rPr>
                <w:highlight w:val="yellow"/>
              </w:rPr>
            </w:pPr>
            <w:r w:rsidRPr="00D4309F">
              <w:rPr>
                <w:color w:val="211E1F"/>
              </w:rPr>
              <w:t>Nuala</w:t>
            </w:r>
            <w:r w:rsidRPr="00D4309F">
              <w:rPr>
                <w:color w:val="211E1F"/>
                <w:spacing w:val="-4"/>
              </w:rPr>
              <w:t xml:space="preserve"> Page</w:t>
            </w:r>
          </w:p>
          <w:p w14:paraId="6F823DB5" w14:textId="2B32D101" w:rsidR="004C43D0" w:rsidRPr="002E7251" w:rsidRDefault="004C43D0" w:rsidP="00D24EA3">
            <w:pPr>
              <w:pStyle w:val="Table-Text"/>
            </w:pPr>
            <w:r w:rsidRPr="00D4309F">
              <w:rPr>
                <w:color w:val="211E1F"/>
              </w:rPr>
              <w:t>Devin</w:t>
            </w:r>
            <w:r w:rsidRPr="00D4309F">
              <w:rPr>
                <w:color w:val="211E1F"/>
                <w:spacing w:val="-4"/>
              </w:rPr>
              <w:t xml:space="preserve"> Finn</w:t>
            </w:r>
          </w:p>
        </w:tc>
        <w:tc>
          <w:tcPr>
            <w:tcW w:w="1636" w:type="dxa"/>
            <w:tcBorders>
              <w:top w:val="single" w:sz="18" w:space="0" w:color="71004B"/>
            </w:tcBorders>
          </w:tcPr>
          <w:p w14:paraId="7D25F529" w14:textId="77777777" w:rsidR="004C43D0" w:rsidRPr="002E7251" w:rsidRDefault="004C43D0" w:rsidP="00D24EA3">
            <w:pPr>
              <w:pStyle w:val="Table-Text"/>
            </w:pPr>
            <w:r w:rsidRPr="002E7251">
              <w:rPr>
                <w:color w:val="211E1F"/>
              </w:rPr>
              <w:t>Brad</w:t>
            </w:r>
            <w:r w:rsidRPr="002E7251">
              <w:rPr>
                <w:color w:val="211E1F"/>
                <w:spacing w:val="-4"/>
              </w:rPr>
              <w:t xml:space="preserve"> </w:t>
            </w:r>
            <w:r w:rsidRPr="002E7251">
              <w:rPr>
                <w:color w:val="211E1F"/>
                <w:spacing w:val="-2"/>
              </w:rPr>
              <w:t>Williams</w:t>
            </w:r>
          </w:p>
          <w:p w14:paraId="728639F8" w14:textId="343B1E4E" w:rsidR="004C43D0" w:rsidRPr="002E7251" w:rsidRDefault="004C43D0" w:rsidP="00D24EA3">
            <w:pPr>
              <w:pStyle w:val="Table-Text"/>
            </w:pPr>
            <w:r w:rsidRPr="002E7251">
              <w:rPr>
                <w:color w:val="211E1F"/>
              </w:rPr>
              <w:t>Aaron</w:t>
            </w:r>
            <w:r w:rsidRPr="002E7251">
              <w:rPr>
                <w:color w:val="211E1F"/>
                <w:spacing w:val="-4"/>
              </w:rPr>
              <w:t xml:space="preserve"> </w:t>
            </w:r>
            <w:r w:rsidRPr="002E7251">
              <w:rPr>
                <w:color w:val="211E1F"/>
                <w:spacing w:val="-2"/>
              </w:rPr>
              <w:t>Sayler</w:t>
            </w:r>
          </w:p>
        </w:tc>
        <w:tc>
          <w:tcPr>
            <w:tcW w:w="1636" w:type="dxa"/>
            <w:tcBorders>
              <w:top w:val="single" w:sz="18" w:space="0" w:color="71004B"/>
            </w:tcBorders>
          </w:tcPr>
          <w:p w14:paraId="226ACA9E" w14:textId="035E45C4" w:rsidR="004C43D0" w:rsidRPr="00D4309F" w:rsidRDefault="004C43D0" w:rsidP="00D24EA3">
            <w:pPr>
              <w:pStyle w:val="Table-Text"/>
              <w:rPr>
                <w:highlight w:val="yellow"/>
              </w:rPr>
            </w:pPr>
            <w:r w:rsidRPr="00D4309F">
              <w:rPr>
                <w:color w:val="211E1F"/>
              </w:rPr>
              <w:t>Mick</w:t>
            </w:r>
            <w:r w:rsidRPr="00D4309F">
              <w:rPr>
                <w:color w:val="211E1F"/>
                <w:spacing w:val="-2"/>
              </w:rPr>
              <w:t xml:space="preserve"> </w:t>
            </w:r>
            <w:r w:rsidRPr="00D4309F">
              <w:rPr>
                <w:color w:val="211E1F"/>
              </w:rPr>
              <w:t>Le</w:t>
            </w:r>
            <w:r w:rsidRPr="00D4309F">
              <w:rPr>
                <w:color w:val="211E1F"/>
                <w:spacing w:val="-1"/>
              </w:rPr>
              <w:t xml:space="preserve"> </w:t>
            </w:r>
            <w:r w:rsidRPr="00D4309F">
              <w:rPr>
                <w:color w:val="211E1F"/>
                <w:spacing w:val="-2"/>
              </w:rPr>
              <w:t>Riche</w:t>
            </w:r>
          </w:p>
        </w:tc>
        <w:tc>
          <w:tcPr>
            <w:tcW w:w="1168" w:type="dxa"/>
            <w:tcBorders>
              <w:top w:val="single" w:sz="18" w:space="0" w:color="71004B"/>
            </w:tcBorders>
          </w:tcPr>
          <w:p w14:paraId="75EBDC0C" w14:textId="72722BF9" w:rsidR="004C43D0" w:rsidRPr="00D4309F" w:rsidRDefault="004C43D0" w:rsidP="00D24EA3">
            <w:pPr>
              <w:pStyle w:val="Table-Text"/>
              <w:rPr>
                <w:highlight w:val="yellow"/>
              </w:rPr>
            </w:pPr>
            <w:r w:rsidRPr="00D4309F">
              <w:rPr>
                <w:color w:val="211E1F"/>
              </w:rPr>
              <w:t>13</w:t>
            </w:r>
            <w:r w:rsidRPr="00D4309F">
              <w:rPr>
                <w:color w:val="211E1F"/>
                <w:spacing w:val="-2"/>
              </w:rPr>
              <w:t xml:space="preserve"> </w:t>
            </w:r>
            <w:r w:rsidRPr="00D4309F">
              <w:rPr>
                <w:color w:val="211E1F"/>
              </w:rPr>
              <w:t xml:space="preserve">Oct </w:t>
            </w:r>
            <w:r w:rsidRPr="00D4309F">
              <w:rPr>
                <w:color w:val="211E1F"/>
                <w:spacing w:val="-4"/>
              </w:rPr>
              <w:t>2025</w:t>
            </w:r>
          </w:p>
        </w:tc>
      </w:tr>
      <w:tr w:rsidR="00BC499C" w:rsidRPr="00D4309F" w14:paraId="4040527D" w14:textId="77777777" w:rsidTr="00D03FD3">
        <w:trPr>
          <w:trHeight w:val="397"/>
        </w:trPr>
        <w:tc>
          <w:tcPr>
            <w:tcW w:w="877" w:type="dxa"/>
          </w:tcPr>
          <w:p w14:paraId="644963D9" w14:textId="73185507" w:rsidR="00BC499C" w:rsidRPr="00D4309F" w:rsidRDefault="00BC499C" w:rsidP="00BC499C">
            <w:pPr>
              <w:pStyle w:val="Table-Text"/>
              <w:rPr>
                <w:highlight w:val="yellow"/>
              </w:rPr>
            </w:pPr>
            <w:r w:rsidRPr="00D4309F">
              <w:rPr>
                <w:color w:val="211E1F"/>
                <w:spacing w:val="-10"/>
              </w:rPr>
              <w:t>B</w:t>
            </w:r>
          </w:p>
        </w:tc>
        <w:tc>
          <w:tcPr>
            <w:tcW w:w="2525" w:type="dxa"/>
          </w:tcPr>
          <w:p w14:paraId="6E886002" w14:textId="0782F1FC" w:rsidR="00BC499C" w:rsidRPr="00D4309F" w:rsidRDefault="00BC499C" w:rsidP="00BC499C">
            <w:pPr>
              <w:pStyle w:val="Table-Text"/>
              <w:rPr>
                <w:highlight w:val="yellow"/>
              </w:rPr>
            </w:pPr>
            <w:r w:rsidRPr="00D4309F">
              <w:rPr>
                <w:color w:val="211E1F"/>
              </w:rPr>
              <w:t>Revised</w:t>
            </w:r>
            <w:r w:rsidRPr="00D4309F">
              <w:rPr>
                <w:color w:val="211E1F"/>
                <w:spacing w:val="-4"/>
              </w:rPr>
              <w:t xml:space="preserve"> </w:t>
            </w:r>
            <w:r w:rsidRPr="00D4309F">
              <w:rPr>
                <w:color w:val="211E1F"/>
              </w:rPr>
              <w:t>draft</w:t>
            </w:r>
            <w:r w:rsidRPr="00D4309F">
              <w:rPr>
                <w:color w:val="211E1F"/>
                <w:spacing w:val="-2"/>
              </w:rPr>
              <w:t xml:space="preserve"> </w:t>
            </w:r>
            <w:r w:rsidRPr="00D4309F">
              <w:rPr>
                <w:color w:val="211E1F"/>
              </w:rPr>
              <w:t>for</w:t>
            </w:r>
            <w:r w:rsidRPr="00D4309F">
              <w:rPr>
                <w:color w:val="211E1F"/>
                <w:spacing w:val="-2"/>
              </w:rPr>
              <w:t xml:space="preserve"> </w:t>
            </w:r>
            <w:r w:rsidRPr="00D4309F">
              <w:rPr>
                <w:color w:val="211E1F"/>
              </w:rPr>
              <w:t>MSQ</w:t>
            </w:r>
            <w:r w:rsidRPr="00D4309F">
              <w:rPr>
                <w:color w:val="211E1F"/>
                <w:spacing w:val="-2"/>
              </w:rPr>
              <w:t xml:space="preserve"> review</w:t>
            </w:r>
          </w:p>
        </w:tc>
        <w:tc>
          <w:tcPr>
            <w:tcW w:w="1796" w:type="dxa"/>
          </w:tcPr>
          <w:p w14:paraId="00D82750" w14:textId="4589F2CA" w:rsidR="00BC499C" w:rsidRPr="00D4309F" w:rsidRDefault="00BC499C" w:rsidP="00BC499C">
            <w:pPr>
              <w:pStyle w:val="Table-Text"/>
              <w:rPr>
                <w:color w:val="211E1F"/>
              </w:rPr>
            </w:pPr>
            <w:r w:rsidRPr="00D4309F">
              <w:rPr>
                <w:color w:val="211E1F"/>
              </w:rPr>
              <w:t>‘as</w:t>
            </w:r>
            <w:r w:rsidRPr="00D4309F">
              <w:rPr>
                <w:color w:val="211E1F"/>
                <w:spacing w:val="-4"/>
              </w:rPr>
              <w:t xml:space="preserve"> </w:t>
            </w:r>
            <w:r w:rsidRPr="00D4309F">
              <w:rPr>
                <w:color w:val="211E1F"/>
                <w:spacing w:val="-2"/>
              </w:rPr>
              <w:t>above’</w:t>
            </w:r>
          </w:p>
        </w:tc>
        <w:tc>
          <w:tcPr>
            <w:tcW w:w="1636" w:type="dxa"/>
          </w:tcPr>
          <w:p w14:paraId="7F68E1D4" w14:textId="58340998" w:rsidR="00BC499C" w:rsidRPr="00D4309F" w:rsidRDefault="00BC499C" w:rsidP="00BC499C">
            <w:pPr>
              <w:pStyle w:val="Table-Text"/>
              <w:rPr>
                <w:highlight w:val="yellow"/>
              </w:rPr>
            </w:pPr>
            <w:r w:rsidRPr="00D4309F">
              <w:rPr>
                <w:color w:val="211E1F"/>
              </w:rPr>
              <w:t>Brad</w:t>
            </w:r>
            <w:r w:rsidRPr="00D4309F">
              <w:rPr>
                <w:color w:val="211E1F"/>
                <w:spacing w:val="-13"/>
              </w:rPr>
              <w:t xml:space="preserve"> </w:t>
            </w:r>
            <w:r w:rsidRPr="00D4309F">
              <w:rPr>
                <w:color w:val="211E1F"/>
              </w:rPr>
              <w:t>Williams Aaron Sayler</w:t>
            </w:r>
          </w:p>
        </w:tc>
        <w:tc>
          <w:tcPr>
            <w:tcW w:w="1636" w:type="dxa"/>
          </w:tcPr>
          <w:p w14:paraId="75AC83F1" w14:textId="5F6100BB" w:rsidR="00BC499C" w:rsidRPr="00D4309F" w:rsidRDefault="00BC499C" w:rsidP="00BC499C">
            <w:pPr>
              <w:pStyle w:val="Table-Text"/>
              <w:rPr>
                <w:highlight w:val="yellow"/>
              </w:rPr>
            </w:pPr>
            <w:r w:rsidRPr="00D4309F">
              <w:rPr>
                <w:color w:val="211E1F"/>
              </w:rPr>
              <w:t>Mick</w:t>
            </w:r>
            <w:r w:rsidRPr="00D4309F">
              <w:rPr>
                <w:color w:val="211E1F"/>
                <w:spacing w:val="-2"/>
              </w:rPr>
              <w:t xml:space="preserve"> </w:t>
            </w:r>
            <w:r w:rsidRPr="00D4309F">
              <w:rPr>
                <w:color w:val="211E1F"/>
              </w:rPr>
              <w:t>Le</w:t>
            </w:r>
            <w:r w:rsidRPr="00D4309F">
              <w:rPr>
                <w:color w:val="211E1F"/>
                <w:spacing w:val="-1"/>
              </w:rPr>
              <w:t xml:space="preserve"> </w:t>
            </w:r>
            <w:r w:rsidRPr="00D4309F">
              <w:rPr>
                <w:color w:val="211E1F"/>
                <w:spacing w:val="-2"/>
              </w:rPr>
              <w:t>Riche</w:t>
            </w:r>
          </w:p>
        </w:tc>
        <w:tc>
          <w:tcPr>
            <w:tcW w:w="1168" w:type="dxa"/>
          </w:tcPr>
          <w:p w14:paraId="764E9894" w14:textId="2765F115" w:rsidR="00BC499C" w:rsidRPr="00D4309F" w:rsidRDefault="00BC499C" w:rsidP="00BC499C">
            <w:pPr>
              <w:pStyle w:val="Table-Text"/>
              <w:rPr>
                <w:highlight w:val="yellow"/>
              </w:rPr>
            </w:pPr>
            <w:r w:rsidRPr="00D4309F">
              <w:rPr>
                <w:color w:val="211E1F"/>
              </w:rPr>
              <w:t>24</w:t>
            </w:r>
            <w:r w:rsidRPr="00D4309F">
              <w:rPr>
                <w:color w:val="211E1F"/>
                <w:spacing w:val="-2"/>
              </w:rPr>
              <w:t xml:space="preserve"> </w:t>
            </w:r>
            <w:r w:rsidRPr="00D4309F">
              <w:rPr>
                <w:color w:val="211E1F"/>
              </w:rPr>
              <w:t xml:space="preserve">Oct </w:t>
            </w:r>
            <w:r w:rsidRPr="00D4309F">
              <w:rPr>
                <w:color w:val="211E1F"/>
                <w:spacing w:val="-4"/>
              </w:rPr>
              <w:t>2025</w:t>
            </w:r>
          </w:p>
        </w:tc>
      </w:tr>
      <w:tr w:rsidR="00BC499C" w:rsidRPr="00D4309F" w14:paraId="3D729348" w14:textId="77777777" w:rsidTr="00D03FD3">
        <w:trPr>
          <w:trHeight w:val="397"/>
        </w:trPr>
        <w:tc>
          <w:tcPr>
            <w:tcW w:w="877" w:type="dxa"/>
          </w:tcPr>
          <w:p w14:paraId="16C2EBB2" w14:textId="0CDE82BB" w:rsidR="00BC499C" w:rsidRPr="00D4309F" w:rsidRDefault="00BC499C" w:rsidP="00BC499C">
            <w:pPr>
              <w:pStyle w:val="Table-Text"/>
              <w:rPr>
                <w:highlight w:val="yellow"/>
              </w:rPr>
            </w:pPr>
            <w:r w:rsidRPr="00D4309F">
              <w:rPr>
                <w:color w:val="211E1F"/>
                <w:spacing w:val="-10"/>
              </w:rPr>
              <w:t>C</w:t>
            </w:r>
          </w:p>
        </w:tc>
        <w:tc>
          <w:tcPr>
            <w:tcW w:w="2525" w:type="dxa"/>
          </w:tcPr>
          <w:p w14:paraId="4ED8B985" w14:textId="4F49FA14" w:rsidR="00BC499C" w:rsidRPr="00D4309F" w:rsidRDefault="00BC499C" w:rsidP="00BC499C">
            <w:pPr>
              <w:pStyle w:val="Table-Text"/>
              <w:rPr>
                <w:highlight w:val="yellow"/>
              </w:rPr>
            </w:pPr>
            <w:r w:rsidRPr="00D4309F">
              <w:rPr>
                <w:color w:val="211E1F"/>
              </w:rPr>
              <w:t>Draft</w:t>
            </w:r>
            <w:r w:rsidRPr="00D4309F">
              <w:rPr>
                <w:color w:val="211E1F"/>
                <w:spacing w:val="-2"/>
              </w:rPr>
              <w:t xml:space="preserve"> </w:t>
            </w:r>
            <w:r w:rsidRPr="00D4309F">
              <w:rPr>
                <w:color w:val="211E1F"/>
              </w:rPr>
              <w:t>Final</w:t>
            </w:r>
            <w:r w:rsidRPr="00D4309F">
              <w:rPr>
                <w:color w:val="211E1F"/>
                <w:spacing w:val="-2"/>
              </w:rPr>
              <w:t xml:space="preserve"> </w:t>
            </w:r>
            <w:r w:rsidRPr="00D4309F">
              <w:rPr>
                <w:color w:val="211E1F"/>
              </w:rPr>
              <w:t>for</w:t>
            </w:r>
            <w:r w:rsidRPr="00D4309F">
              <w:rPr>
                <w:color w:val="211E1F"/>
                <w:spacing w:val="-2"/>
              </w:rPr>
              <w:t xml:space="preserve"> </w:t>
            </w:r>
            <w:r w:rsidRPr="00D4309F">
              <w:rPr>
                <w:color w:val="211E1F"/>
              </w:rPr>
              <w:t>MSQ</w:t>
            </w:r>
            <w:r w:rsidRPr="00D4309F">
              <w:rPr>
                <w:color w:val="211E1F"/>
                <w:spacing w:val="-1"/>
              </w:rPr>
              <w:t xml:space="preserve"> </w:t>
            </w:r>
            <w:r w:rsidRPr="00D4309F">
              <w:rPr>
                <w:color w:val="211E1F"/>
                <w:spacing w:val="-2"/>
              </w:rPr>
              <w:t>review</w:t>
            </w:r>
          </w:p>
        </w:tc>
        <w:tc>
          <w:tcPr>
            <w:tcW w:w="1796" w:type="dxa"/>
          </w:tcPr>
          <w:p w14:paraId="6B520372" w14:textId="640BA94E" w:rsidR="00BC499C" w:rsidRPr="00D4309F" w:rsidRDefault="00BC499C" w:rsidP="00BC499C">
            <w:pPr>
              <w:pStyle w:val="Table-Text"/>
              <w:rPr>
                <w:color w:val="211E1F"/>
              </w:rPr>
            </w:pPr>
            <w:r w:rsidRPr="00D4309F">
              <w:rPr>
                <w:color w:val="211E1F"/>
              </w:rPr>
              <w:t>‘as</w:t>
            </w:r>
            <w:r w:rsidRPr="00D4309F">
              <w:rPr>
                <w:color w:val="211E1F"/>
                <w:spacing w:val="-4"/>
              </w:rPr>
              <w:t xml:space="preserve"> </w:t>
            </w:r>
            <w:r w:rsidRPr="00D4309F">
              <w:rPr>
                <w:color w:val="211E1F"/>
                <w:spacing w:val="-2"/>
              </w:rPr>
              <w:t>above’</w:t>
            </w:r>
          </w:p>
        </w:tc>
        <w:tc>
          <w:tcPr>
            <w:tcW w:w="1636" w:type="dxa"/>
          </w:tcPr>
          <w:p w14:paraId="445B2E57" w14:textId="2E6AFF96" w:rsidR="00BC499C" w:rsidRPr="00D4309F" w:rsidRDefault="00BC499C" w:rsidP="00BC499C">
            <w:pPr>
              <w:pStyle w:val="Table-Text"/>
              <w:rPr>
                <w:highlight w:val="yellow"/>
              </w:rPr>
            </w:pPr>
            <w:r w:rsidRPr="00D4309F">
              <w:rPr>
                <w:color w:val="211E1F"/>
              </w:rPr>
              <w:t>Brad</w:t>
            </w:r>
            <w:r w:rsidRPr="00D4309F">
              <w:rPr>
                <w:color w:val="211E1F"/>
                <w:spacing w:val="-13"/>
              </w:rPr>
              <w:t xml:space="preserve"> </w:t>
            </w:r>
            <w:r w:rsidRPr="00D4309F">
              <w:rPr>
                <w:color w:val="211E1F"/>
              </w:rPr>
              <w:t>Williams Aaron Sayler</w:t>
            </w:r>
          </w:p>
        </w:tc>
        <w:tc>
          <w:tcPr>
            <w:tcW w:w="1636" w:type="dxa"/>
          </w:tcPr>
          <w:p w14:paraId="790D983E" w14:textId="59DBE6B2" w:rsidR="00BC499C" w:rsidRPr="00D4309F" w:rsidRDefault="00BC499C" w:rsidP="00BC499C">
            <w:pPr>
              <w:pStyle w:val="Table-Text"/>
              <w:rPr>
                <w:highlight w:val="yellow"/>
              </w:rPr>
            </w:pPr>
            <w:r w:rsidRPr="00D4309F">
              <w:rPr>
                <w:color w:val="211E1F"/>
              </w:rPr>
              <w:t>Mick</w:t>
            </w:r>
            <w:r w:rsidRPr="00D4309F">
              <w:rPr>
                <w:color w:val="211E1F"/>
                <w:spacing w:val="-2"/>
              </w:rPr>
              <w:t xml:space="preserve"> </w:t>
            </w:r>
            <w:r w:rsidRPr="00D4309F">
              <w:rPr>
                <w:color w:val="211E1F"/>
              </w:rPr>
              <w:t>Le</w:t>
            </w:r>
            <w:r w:rsidRPr="00D4309F">
              <w:rPr>
                <w:color w:val="211E1F"/>
                <w:spacing w:val="-1"/>
              </w:rPr>
              <w:t xml:space="preserve"> </w:t>
            </w:r>
            <w:r w:rsidRPr="00D4309F">
              <w:rPr>
                <w:color w:val="211E1F"/>
                <w:spacing w:val="-2"/>
              </w:rPr>
              <w:t>Riche</w:t>
            </w:r>
          </w:p>
        </w:tc>
        <w:tc>
          <w:tcPr>
            <w:tcW w:w="1168" w:type="dxa"/>
          </w:tcPr>
          <w:p w14:paraId="19967E28" w14:textId="642E2642" w:rsidR="00BC499C" w:rsidRPr="00D4309F" w:rsidRDefault="00BC499C" w:rsidP="00BC499C">
            <w:pPr>
              <w:pStyle w:val="Table-Text"/>
              <w:rPr>
                <w:highlight w:val="yellow"/>
              </w:rPr>
            </w:pPr>
            <w:r w:rsidRPr="00D4309F">
              <w:rPr>
                <w:color w:val="211E1F"/>
              </w:rPr>
              <w:t>21</w:t>
            </w:r>
            <w:r w:rsidRPr="00D4309F">
              <w:rPr>
                <w:color w:val="211E1F"/>
                <w:spacing w:val="-5"/>
              </w:rPr>
              <w:t xml:space="preserve"> </w:t>
            </w:r>
            <w:r w:rsidRPr="00D4309F">
              <w:rPr>
                <w:color w:val="211E1F"/>
              </w:rPr>
              <w:t>Nov</w:t>
            </w:r>
            <w:r w:rsidRPr="00D4309F">
              <w:rPr>
                <w:color w:val="211E1F"/>
                <w:spacing w:val="-1"/>
              </w:rPr>
              <w:t xml:space="preserve"> </w:t>
            </w:r>
            <w:r w:rsidRPr="00D4309F">
              <w:rPr>
                <w:color w:val="211E1F"/>
                <w:spacing w:val="-4"/>
              </w:rPr>
              <w:t>2025</w:t>
            </w:r>
          </w:p>
        </w:tc>
      </w:tr>
      <w:tr w:rsidR="00BC499C" w:rsidRPr="00D4309F" w14:paraId="23D03C89" w14:textId="77777777" w:rsidTr="00D03FD3">
        <w:trPr>
          <w:trHeight w:val="397"/>
        </w:trPr>
        <w:tc>
          <w:tcPr>
            <w:tcW w:w="877" w:type="dxa"/>
          </w:tcPr>
          <w:p w14:paraId="3F136F67" w14:textId="597EABE2" w:rsidR="00BC499C" w:rsidRPr="00D4309F" w:rsidRDefault="00BC499C" w:rsidP="00BC499C">
            <w:pPr>
              <w:pStyle w:val="Table-Text"/>
            </w:pPr>
            <w:r w:rsidRPr="00D4309F">
              <w:rPr>
                <w:color w:val="211E1F"/>
                <w:spacing w:val="-10"/>
              </w:rPr>
              <w:t>D</w:t>
            </w:r>
          </w:p>
        </w:tc>
        <w:tc>
          <w:tcPr>
            <w:tcW w:w="2525" w:type="dxa"/>
          </w:tcPr>
          <w:p w14:paraId="67A58B19" w14:textId="6B94EB3E" w:rsidR="00BC499C" w:rsidRPr="00D4309F" w:rsidRDefault="00BC499C" w:rsidP="00BC499C">
            <w:pPr>
              <w:pStyle w:val="Table-Text"/>
            </w:pPr>
            <w:r w:rsidRPr="00D4309F">
              <w:rPr>
                <w:color w:val="211E1F"/>
              </w:rPr>
              <w:t>Draft Final for Minister review</w:t>
            </w:r>
          </w:p>
        </w:tc>
        <w:tc>
          <w:tcPr>
            <w:tcW w:w="1796" w:type="dxa"/>
          </w:tcPr>
          <w:p w14:paraId="54D61F43" w14:textId="4B11AA2D" w:rsidR="00BC499C" w:rsidRPr="00D4309F" w:rsidRDefault="00BC499C" w:rsidP="00BC499C">
            <w:pPr>
              <w:pStyle w:val="Table-Text"/>
            </w:pPr>
            <w:r w:rsidRPr="00D4309F">
              <w:rPr>
                <w:color w:val="211E1F"/>
              </w:rPr>
              <w:t>‘as</w:t>
            </w:r>
            <w:r w:rsidRPr="00D4309F">
              <w:rPr>
                <w:color w:val="211E1F"/>
                <w:spacing w:val="-4"/>
              </w:rPr>
              <w:t xml:space="preserve"> </w:t>
            </w:r>
            <w:r w:rsidRPr="00D4309F">
              <w:rPr>
                <w:color w:val="211E1F"/>
                <w:spacing w:val="-2"/>
              </w:rPr>
              <w:t>above’</w:t>
            </w:r>
          </w:p>
        </w:tc>
        <w:tc>
          <w:tcPr>
            <w:tcW w:w="1636" w:type="dxa"/>
          </w:tcPr>
          <w:p w14:paraId="357A3DBC" w14:textId="7FBA558A" w:rsidR="00BC499C" w:rsidRPr="00D4309F" w:rsidRDefault="00BC499C" w:rsidP="00BC499C">
            <w:pPr>
              <w:pStyle w:val="Table-Text"/>
            </w:pPr>
            <w:r w:rsidRPr="00D4309F">
              <w:rPr>
                <w:color w:val="211E1F"/>
              </w:rPr>
              <w:t>Brad</w:t>
            </w:r>
            <w:r w:rsidRPr="00D4309F">
              <w:rPr>
                <w:color w:val="211E1F"/>
                <w:spacing w:val="-13"/>
              </w:rPr>
              <w:t xml:space="preserve"> </w:t>
            </w:r>
            <w:r w:rsidRPr="00D4309F">
              <w:rPr>
                <w:color w:val="211E1F"/>
              </w:rPr>
              <w:t>Williams Aaron Sayler</w:t>
            </w:r>
          </w:p>
        </w:tc>
        <w:tc>
          <w:tcPr>
            <w:tcW w:w="1636" w:type="dxa"/>
          </w:tcPr>
          <w:p w14:paraId="2D9F1A75" w14:textId="2A707D21" w:rsidR="00BC499C" w:rsidRPr="00D4309F" w:rsidRDefault="00BC499C" w:rsidP="00BC499C">
            <w:pPr>
              <w:pStyle w:val="Table-Text"/>
            </w:pPr>
            <w:r w:rsidRPr="00D4309F">
              <w:rPr>
                <w:color w:val="211E1F"/>
              </w:rPr>
              <w:t>Mick</w:t>
            </w:r>
            <w:r w:rsidRPr="00D4309F">
              <w:rPr>
                <w:color w:val="211E1F"/>
                <w:spacing w:val="-2"/>
              </w:rPr>
              <w:t xml:space="preserve"> </w:t>
            </w:r>
            <w:r w:rsidRPr="00D4309F">
              <w:rPr>
                <w:color w:val="211E1F"/>
              </w:rPr>
              <w:t>Le</w:t>
            </w:r>
            <w:r w:rsidRPr="00D4309F">
              <w:rPr>
                <w:color w:val="211E1F"/>
                <w:spacing w:val="-1"/>
              </w:rPr>
              <w:t xml:space="preserve"> </w:t>
            </w:r>
            <w:r w:rsidRPr="00D4309F">
              <w:rPr>
                <w:color w:val="211E1F"/>
                <w:spacing w:val="-2"/>
              </w:rPr>
              <w:t>Riche</w:t>
            </w:r>
          </w:p>
        </w:tc>
        <w:tc>
          <w:tcPr>
            <w:tcW w:w="1168" w:type="dxa"/>
          </w:tcPr>
          <w:p w14:paraId="4BC6C715" w14:textId="13B194AD" w:rsidR="00BC499C" w:rsidRPr="00D4309F" w:rsidRDefault="00BC499C" w:rsidP="00BC499C">
            <w:pPr>
              <w:pStyle w:val="Table-Text"/>
            </w:pPr>
            <w:r w:rsidRPr="00D4309F">
              <w:rPr>
                <w:color w:val="211E1F"/>
              </w:rPr>
              <w:t>0</w:t>
            </w:r>
            <w:r w:rsidR="00110A75">
              <w:rPr>
                <w:color w:val="211E1F"/>
              </w:rPr>
              <w:t>8</w:t>
            </w:r>
            <w:r w:rsidRPr="00D4309F">
              <w:rPr>
                <w:color w:val="211E1F"/>
              </w:rPr>
              <w:t xml:space="preserve"> Dec</w:t>
            </w:r>
            <w:r w:rsidRPr="00D4309F">
              <w:rPr>
                <w:color w:val="211E1F"/>
                <w:spacing w:val="-1"/>
              </w:rPr>
              <w:t xml:space="preserve"> </w:t>
            </w:r>
            <w:r w:rsidRPr="00D4309F">
              <w:rPr>
                <w:color w:val="211E1F"/>
                <w:spacing w:val="-4"/>
              </w:rPr>
              <w:t>2025</w:t>
            </w:r>
          </w:p>
        </w:tc>
      </w:tr>
      <w:tr w:rsidR="0092783E" w:rsidRPr="00D4309F" w14:paraId="5FD646C9" w14:textId="77777777" w:rsidTr="00D03FD3">
        <w:trPr>
          <w:trHeight w:val="397"/>
        </w:trPr>
        <w:tc>
          <w:tcPr>
            <w:tcW w:w="877" w:type="dxa"/>
          </w:tcPr>
          <w:p w14:paraId="57E73895" w14:textId="52822984" w:rsidR="0092783E" w:rsidRPr="00D4309F" w:rsidRDefault="0092783E" w:rsidP="0092783E">
            <w:pPr>
              <w:pStyle w:val="Table-Text"/>
              <w:rPr>
                <w:color w:val="211E1F"/>
                <w:spacing w:val="-10"/>
              </w:rPr>
            </w:pPr>
            <w:r>
              <w:rPr>
                <w:color w:val="211E1F"/>
                <w:spacing w:val="-10"/>
              </w:rPr>
              <w:t>1.0</w:t>
            </w:r>
          </w:p>
        </w:tc>
        <w:tc>
          <w:tcPr>
            <w:tcW w:w="2525" w:type="dxa"/>
          </w:tcPr>
          <w:p w14:paraId="5C7292A1" w14:textId="0648EBB9" w:rsidR="0092783E" w:rsidRPr="00D4309F" w:rsidRDefault="0092783E" w:rsidP="0092783E">
            <w:pPr>
              <w:pStyle w:val="Table-Text"/>
              <w:rPr>
                <w:color w:val="211E1F"/>
              </w:rPr>
            </w:pPr>
            <w:r>
              <w:rPr>
                <w:color w:val="211E1F"/>
              </w:rPr>
              <w:t xml:space="preserve">Final </w:t>
            </w:r>
            <w:r w:rsidR="008D2D3F">
              <w:rPr>
                <w:color w:val="211E1F"/>
              </w:rPr>
              <w:t>Interim Report</w:t>
            </w:r>
          </w:p>
        </w:tc>
        <w:tc>
          <w:tcPr>
            <w:tcW w:w="1796" w:type="dxa"/>
          </w:tcPr>
          <w:p w14:paraId="327016E9" w14:textId="5DDEE7C6" w:rsidR="0092783E" w:rsidRPr="00D4309F" w:rsidRDefault="0092783E" w:rsidP="0092783E">
            <w:pPr>
              <w:pStyle w:val="Table-Text"/>
              <w:rPr>
                <w:color w:val="211E1F"/>
              </w:rPr>
            </w:pPr>
            <w:r>
              <w:rPr>
                <w:color w:val="211E1F"/>
              </w:rPr>
              <w:t>‘as above’</w:t>
            </w:r>
          </w:p>
        </w:tc>
        <w:tc>
          <w:tcPr>
            <w:tcW w:w="1636" w:type="dxa"/>
          </w:tcPr>
          <w:p w14:paraId="112BBC1E" w14:textId="3E81FC39" w:rsidR="0092783E" w:rsidRPr="00D4309F" w:rsidRDefault="0092783E" w:rsidP="0092783E">
            <w:pPr>
              <w:pStyle w:val="Table-Text"/>
              <w:rPr>
                <w:color w:val="211E1F"/>
              </w:rPr>
            </w:pPr>
            <w:r w:rsidRPr="00D4309F">
              <w:rPr>
                <w:color w:val="211E1F"/>
              </w:rPr>
              <w:t>Brad</w:t>
            </w:r>
            <w:r w:rsidRPr="00D4309F">
              <w:rPr>
                <w:color w:val="211E1F"/>
                <w:spacing w:val="-13"/>
              </w:rPr>
              <w:t xml:space="preserve"> </w:t>
            </w:r>
            <w:r w:rsidRPr="00D4309F">
              <w:rPr>
                <w:color w:val="211E1F"/>
              </w:rPr>
              <w:t>Williams Aaron Sayler</w:t>
            </w:r>
          </w:p>
        </w:tc>
        <w:tc>
          <w:tcPr>
            <w:tcW w:w="1636" w:type="dxa"/>
          </w:tcPr>
          <w:p w14:paraId="55DC8BB6" w14:textId="1BB5F618" w:rsidR="0092783E" w:rsidRPr="00D4309F" w:rsidRDefault="0092783E" w:rsidP="0092783E">
            <w:pPr>
              <w:pStyle w:val="Table-Text"/>
              <w:rPr>
                <w:color w:val="211E1F"/>
              </w:rPr>
            </w:pPr>
            <w:r w:rsidRPr="00D4309F">
              <w:rPr>
                <w:color w:val="211E1F"/>
              </w:rPr>
              <w:t>Mick</w:t>
            </w:r>
            <w:r w:rsidRPr="00D4309F">
              <w:rPr>
                <w:color w:val="211E1F"/>
                <w:spacing w:val="-2"/>
              </w:rPr>
              <w:t xml:space="preserve"> </w:t>
            </w:r>
            <w:r w:rsidRPr="00D4309F">
              <w:rPr>
                <w:color w:val="211E1F"/>
              </w:rPr>
              <w:t>Le</w:t>
            </w:r>
            <w:r w:rsidRPr="00D4309F">
              <w:rPr>
                <w:color w:val="211E1F"/>
                <w:spacing w:val="-1"/>
              </w:rPr>
              <w:t xml:space="preserve"> </w:t>
            </w:r>
            <w:r w:rsidRPr="00D4309F">
              <w:rPr>
                <w:color w:val="211E1F"/>
                <w:spacing w:val="-2"/>
              </w:rPr>
              <w:t>Riche</w:t>
            </w:r>
          </w:p>
        </w:tc>
        <w:tc>
          <w:tcPr>
            <w:tcW w:w="1168" w:type="dxa"/>
          </w:tcPr>
          <w:p w14:paraId="08E8A388" w14:textId="434450BC" w:rsidR="0092783E" w:rsidRPr="00D4309F" w:rsidRDefault="0092783E" w:rsidP="0092783E">
            <w:pPr>
              <w:pStyle w:val="Table-Text"/>
              <w:rPr>
                <w:color w:val="211E1F"/>
              </w:rPr>
            </w:pPr>
            <w:r>
              <w:rPr>
                <w:color w:val="211E1F"/>
              </w:rPr>
              <w:t>15</w:t>
            </w:r>
            <w:r w:rsidRPr="00D4309F">
              <w:rPr>
                <w:color w:val="211E1F"/>
              </w:rPr>
              <w:t xml:space="preserve"> Dec</w:t>
            </w:r>
            <w:r w:rsidRPr="00D4309F">
              <w:rPr>
                <w:color w:val="211E1F"/>
                <w:spacing w:val="-1"/>
              </w:rPr>
              <w:t xml:space="preserve"> </w:t>
            </w:r>
            <w:r w:rsidRPr="00D4309F">
              <w:rPr>
                <w:color w:val="211E1F"/>
                <w:spacing w:val="-4"/>
              </w:rPr>
              <w:t>2025</w:t>
            </w:r>
          </w:p>
        </w:tc>
      </w:tr>
    </w:tbl>
    <w:p w14:paraId="06AF0753" w14:textId="77777777" w:rsidR="007B1E41" w:rsidRPr="00D4309F" w:rsidRDefault="007B1E41" w:rsidP="00577BD7">
      <w:pPr>
        <w:pStyle w:val="BodyText"/>
      </w:pPr>
    </w:p>
    <w:tbl>
      <w:tblPr>
        <w:tblStyle w:val="TableGrid"/>
        <w:tblW w:w="5000" w:type="pct"/>
        <w:tblBorders>
          <w:top w:val="none" w:sz="0" w:space="0" w:color="auto"/>
          <w:left w:val="none" w:sz="0" w:space="0" w:color="auto"/>
          <w:bottom w:val="single" w:sz="18" w:space="0" w:color="7F8287"/>
          <w:right w:val="none" w:sz="0" w:space="0" w:color="auto"/>
          <w:insideH w:val="single" w:sz="4" w:space="0" w:color="7F8287"/>
          <w:insideV w:val="none" w:sz="0" w:space="0" w:color="auto"/>
        </w:tblBorders>
        <w:tblLayout w:type="fixed"/>
        <w:tblLook w:val="04A0" w:firstRow="1" w:lastRow="0" w:firstColumn="1" w:lastColumn="0" w:noHBand="0" w:noVBand="1"/>
      </w:tblPr>
      <w:tblGrid>
        <w:gridCol w:w="3563"/>
        <w:gridCol w:w="3302"/>
        <w:gridCol w:w="2773"/>
      </w:tblGrid>
      <w:tr w:rsidR="00E9350A" w:rsidRPr="00D4309F" w14:paraId="5EE22A3A" w14:textId="77777777" w:rsidTr="00A457FE">
        <w:trPr>
          <w:trHeight w:val="397"/>
          <w:tblHeader/>
        </w:trPr>
        <w:tc>
          <w:tcPr>
            <w:tcW w:w="9354" w:type="dxa"/>
            <w:gridSpan w:val="3"/>
            <w:tcBorders>
              <w:top w:val="nil"/>
              <w:bottom w:val="single" w:sz="18" w:space="0" w:color="71004B"/>
            </w:tcBorders>
            <w:shd w:val="clear" w:color="auto" w:fill="BEB7B3" w:themeFill="background2"/>
            <w:vAlign w:val="center"/>
          </w:tcPr>
          <w:sdt>
            <w:sdtPr>
              <w:alias w:val="{{Translate(&quot;ApprovalForIssue&quot;)}}"/>
              <w:tag w:val="{&quot;templafy&quot;:{&quot;id&quot;:&quot;74f68f34-5ab6-466f-b2c4-8f3fe3309d7b&quot;}}"/>
              <w:id w:val="641086023"/>
              <w:placeholder>
                <w:docPart w:val="2CA4537C5C1A487CB1495515710845D5"/>
              </w:placeholder>
              <w:temporary/>
            </w:sdtPr>
            <w:sdtEndPr/>
            <w:sdtContent>
              <w:p w14:paraId="03B8AD6F" w14:textId="77777777" w:rsidR="00F308D8" w:rsidRPr="00D4309F" w:rsidRDefault="00FC392F">
                <w:pPr>
                  <w:pStyle w:val="Table-Heading"/>
                  <w:rPr>
                    <w:b w:val="0"/>
                    <w:color w:val="221E1F"/>
                  </w:rPr>
                </w:pPr>
                <w:r w:rsidRPr="00D4309F">
                  <w:t>Approval for issue</w:t>
                </w:r>
              </w:p>
            </w:sdtContent>
          </w:sdt>
        </w:tc>
      </w:tr>
      <w:tr w:rsidR="004D62A2" w:rsidRPr="00D4309F" w14:paraId="7B9DADA0" w14:textId="77777777" w:rsidTr="001778AA">
        <w:trPr>
          <w:trHeight w:val="397"/>
        </w:trPr>
        <w:tc>
          <w:tcPr>
            <w:tcW w:w="3458" w:type="dxa"/>
            <w:tcBorders>
              <w:top w:val="single" w:sz="18" w:space="0" w:color="71004B"/>
              <w:bottom w:val="single" w:sz="18" w:space="0" w:color="7F8287"/>
            </w:tcBorders>
            <w:vAlign w:val="center"/>
          </w:tcPr>
          <w:p w14:paraId="257AE809" w14:textId="55FA6A7D" w:rsidR="004D62A2" w:rsidRPr="00D4309F" w:rsidRDefault="0092783E" w:rsidP="007B6D32">
            <w:pPr>
              <w:pStyle w:val="Table-Text"/>
            </w:pPr>
            <w:r>
              <w:t>Mick Le Riche</w:t>
            </w:r>
          </w:p>
        </w:tc>
        <w:tc>
          <w:tcPr>
            <w:tcW w:w="3205" w:type="dxa"/>
            <w:tcBorders>
              <w:top w:val="single" w:sz="18" w:space="0" w:color="71004B"/>
              <w:bottom w:val="single" w:sz="18" w:space="0" w:color="7F8287"/>
            </w:tcBorders>
            <w:vAlign w:val="center"/>
          </w:tcPr>
          <w:p w14:paraId="7724697F" w14:textId="2E5F1517" w:rsidR="004D62A2" w:rsidRPr="00D4309F" w:rsidRDefault="004D62A2" w:rsidP="007B6D32">
            <w:pPr>
              <w:pStyle w:val="Table-Text"/>
            </w:pPr>
          </w:p>
        </w:tc>
        <w:tc>
          <w:tcPr>
            <w:tcW w:w="2691" w:type="dxa"/>
            <w:tcBorders>
              <w:top w:val="single" w:sz="18" w:space="0" w:color="71004B"/>
              <w:bottom w:val="single" w:sz="18" w:space="0" w:color="7F8287"/>
            </w:tcBorders>
            <w:vAlign w:val="center"/>
          </w:tcPr>
          <w:p w14:paraId="4AF0313C" w14:textId="7257FA5F" w:rsidR="004D62A2" w:rsidRPr="00D4309F" w:rsidRDefault="0092783E" w:rsidP="007B6D32">
            <w:pPr>
              <w:pStyle w:val="Table-Text"/>
            </w:pPr>
            <w:fldSimple w:instr=" STYLEREF  &quot;Project date&quot;  \* MERGEFORMAT " w:fldLock="1">
              <w:r>
                <w:rPr>
                  <w:noProof/>
                </w:rPr>
                <w:t>15</w:t>
              </w:r>
              <w:r w:rsidR="001E5652">
                <w:rPr>
                  <w:noProof/>
                </w:rPr>
                <w:t xml:space="preserve"> December 2025</w:t>
              </w:r>
            </w:fldSimple>
          </w:p>
        </w:tc>
      </w:tr>
    </w:tbl>
    <w:p w14:paraId="6B1AC35E" w14:textId="77777777" w:rsidR="00577BD7" w:rsidRPr="00D4309F" w:rsidRDefault="00577BD7" w:rsidP="00577BD7">
      <w:pPr>
        <w:pStyle w:val="NoSpacing"/>
      </w:pPr>
    </w:p>
    <w:sdt>
      <w:sdtPr>
        <w:alias w:val="{{UserProfile.Entity.DisclaimerReport.Text}}"/>
        <w:tag w:val="{&quot;templafy&quot;:{&quot;id&quot;:&quot;7e02c50e-be7b-4c4d-ad45-c359f7dc7ddc&quot;}}"/>
        <w:id w:val="902648910"/>
        <w:placeholder>
          <w:docPart w:val="747A778BBDD44CDBAA05911ABB2FE7C0"/>
        </w:placeholder>
      </w:sdtPr>
      <w:sdtEndPr/>
      <w:sdtContent>
        <w:p w14:paraId="7CC5CAE1" w14:textId="77777777" w:rsidR="00F308D8" w:rsidRPr="00D4309F" w:rsidRDefault="00FC392F">
          <w:pPr>
            <w:pStyle w:val="Disclaimer"/>
          </w:pPr>
          <w:r w:rsidRPr="00D4309F">
            <w:t>This report was prepared by RPS within the terms of RPS’ engagement with its client and in direct response to a scope of services. This report is supplied for the sole and specific purpose for use by RPS’ client. The report does not account for any changes relating the subject matter of the report, or any legislative or regulatory changes that have occurred since the report was produced and that may affect the report. RPS does not accept any responsibility or liability for loss whatsoever to any third party caused by, related to or arising out of any use or reliance on the report.</w:t>
          </w:r>
        </w:p>
      </w:sdtContent>
    </w:sdt>
    <w:p w14:paraId="4B0522EE" w14:textId="77777777" w:rsidR="00577BD7" w:rsidRPr="00D4309F" w:rsidRDefault="00577BD7" w:rsidP="00577BD7">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19"/>
        <w:gridCol w:w="4819"/>
      </w:tblGrid>
      <w:tr w:rsidR="00D33942" w:rsidRPr="00D4309F" w14:paraId="713A0787" w14:textId="77777777" w:rsidTr="00C71281">
        <w:trPr>
          <w:trHeight w:val="605"/>
        </w:trPr>
        <w:tc>
          <w:tcPr>
            <w:tcW w:w="4672" w:type="dxa"/>
            <w:tcBorders>
              <w:top w:val="single" w:sz="18" w:space="0" w:color="71004B"/>
            </w:tcBorders>
            <w:vAlign w:val="center"/>
          </w:tcPr>
          <w:p w14:paraId="1F19F4C8" w14:textId="77777777" w:rsidR="00D33942" w:rsidRPr="002E7251" w:rsidRDefault="009A5848" w:rsidP="00C71281">
            <w:pPr>
              <w:pStyle w:val="CoverInformationTitle"/>
            </w:pPr>
            <w:sdt>
              <w:sdtPr>
                <w:alias w:val="{{Translate(&quot;PreparedBy&quot;)}}"/>
                <w:tag w:val="{&quot;templafy&quot;:{&quot;id&quot;:&quot;1540aef3-90ef-4a69-8f17-e6f9e5357f19&quot;}}"/>
                <w:id w:val="-685751044"/>
                <w:placeholder>
                  <w:docPart w:val="C43094AEF30F46E4B5F7FAFC1631248F"/>
                </w:placeholder>
                <w:temporary/>
              </w:sdtPr>
              <w:sdtEndPr/>
              <w:sdtContent>
                <w:r w:rsidR="00FC392F" w:rsidRPr="002E7251">
                  <w:t>Prepared by</w:t>
                </w:r>
              </w:sdtContent>
            </w:sdt>
            <w:r w:rsidR="00D33942" w:rsidRPr="002E7251">
              <w:t>:</w:t>
            </w:r>
          </w:p>
        </w:tc>
        <w:tc>
          <w:tcPr>
            <w:tcW w:w="4672" w:type="dxa"/>
            <w:tcBorders>
              <w:top w:val="single" w:sz="18" w:space="0" w:color="71004B"/>
            </w:tcBorders>
            <w:vAlign w:val="center"/>
          </w:tcPr>
          <w:p w14:paraId="41D05AD9" w14:textId="77777777" w:rsidR="00D33942" w:rsidRPr="00B42A02" w:rsidRDefault="009A5848" w:rsidP="00C71281">
            <w:pPr>
              <w:pStyle w:val="CoverInformationTitle"/>
            </w:pPr>
            <w:sdt>
              <w:sdtPr>
                <w:alias w:val="{{Translate(&quot;PreparedFor&quot;)}}"/>
                <w:tag w:val="{&quot;templafy&quot;:{&quot;id&quot;:&quot;d540e4dc-6839-4018-b203-fa8fee7d8870&quot;}}"/>
                <w:id w:val="-741174081"/>
                <w:placeholder>
                  <w:docPart w:val="BFF0B7ADBBC340D9B06C43BF17051DE6"/>
                </w:placeholder>
                <w:temporary/>
              </w:sdtPr>
              <w:sdtEndPr/>
              <w:sdtContent>
                <w:r w:rsidR="00FC392F" w:rsidRPr="00B42A02">
                  <w:t>Prepared for</w:t>
                </w:r>
              </w:sdtContent>
            </w:sdt>
            <w:r w:rsidR="00D33942" w:rsidRPr="00B42A02">
              <w:t>:</w:t>
            </w:r>
          </w:p>
        </w:tc>
      </w:tr>
      <w:tr w:rsidR="00613290" w:rsidRPr="00D4309F" w14:paraId="5487D1A7" w14:textId="77777777" w:rsidTr="00C71281">
        <w:trPr>
          <w:trHeight w:val="20"/>
        </w:trPr>
        <w:tc>
          <w:tcPr>
            <w:tcW w:w="4672" w:type="dxa"/>
          </w:tcPr>
          <w:p w14:paraId="5A3FB7EF" w14:textId="2C6DA7A6" w:rsidR="00D33942" w:rsidRPr="002E7251" w:rsidRDefault="00056342" w:rsidP="00C71281">
            <w:pPr>
              <w:pStyle w:val="CoverInformationCo"/>
            </w:pPr>
            <w:r>
              <w:t>RPS AAP Consulting Pty Ltd (RPS)</w:t>
            </w:r>
          </w:p>
          <w:p w14:paraId="59802942" w14:textId="77777777" w:rsidR="001D5B72" w:rsidRPr="002E7251" w:rsidRDefault="001D5B72" w:rsidP="00C71281">
            <w:pPr>
              <w:pStyle w:val="CoverInformationCo"/>
            </w:pPr>
          </w:p>
        </w:tc>
        <w:tc>
          <w:tcPr>
            <w:tcW w:w="4672" w:type="dxa"/>
          </w:tcPr>
          <w:p w14:paraId="24BBB639" w14:textId="3B49F92B" w:rsidR="00D33942" w:rsidRPr="00B42A02" w:rsidRDefault="00420085" w:rsidP="00C71281">
            <w:pPr>
              <w:pStyle w:val="CoverInformationCo"/>
            </w:pPr>
            <w:r w:rsidRPr="00B42A02">
              <w:rPr>
                <w:color w:val="70004A"/>
              </w:rPr>
              <w:t>Maritime</w:t>
            </w:r>
            <w:r w:rsidRPr="00B42A02">
              <w:rPr>
                <w:color w:val="70004A"/>
                <w:spacing w:val="-4"/>
              </w:rPr>
              <w:t xml:space="preserve"> </w:t>
            </w:r>
            <w:r w:rsidRPr="00B42A02">
              <w:rPr>
                <w:color w:val="70004A"/>
              </w:rPr>
              <w:t>Safety</w:t>
            </w:r>
            <w:r w:rsidRPr="00B42A02">
              <w:rPr>
                <w:color w:val="70004A"/>
                <w:spacing w:val="-4"/>
              </w:rPr>
              <w:t xml:space="preserve"> </w:t>
            </w:r>
            <w:r w:rsidRPr="00B42A02">
              <w:rPr>
                <w:color w:val="70004A"/>
                <w:spacing w:val="-2"/>
              </w:rPr>
              <w:t>Queensland</w:t>
            </w:r>
          </w:p>
          <w:p w14:paraId="504A7C1A" w14:textId="77777777" w:rsidR="001D5B72" w:rsidRPr="00B42A02" w:rsidRDefault="001D5B72" w:rsidP="00C71281">
            <w:pPr>
              <w:pStyle w:val="CoverInformationCo"/>
            </w:pPr>
          </w:p>
        </w:tc>
      </w:tr>
      <w:tr w:rsidR="00D33942" w:rsidRPr="00D4309F" w14:paraId="7FC57A98" w14:textId="77777777" w:rsidTr="00C71281">
        <w:trPr>
          <w:trHeight w:val="20"/>
        </w:trPr>
        <w:tc>
          <w:tcPr>
            <w:tcW w:w="4672" w:type="dxa"/>
          </w:tcPr>
          <w:sdt>
            <w:sdtPr>
              <w:alias w:val="{{UserProfile.Name}}"/>
              <w:tag w:val="{&quot;templafy&quot;:{&quot;id&quot;:&quot;340f46c6-595b-4a9b-92b8-c582c97ec41c&quot;}}"/>
              <w:id w:val="-1832132108"/>
              <w:placeholder>
                <w:docPart w:val="25BE975071944E0B8CB171421110E4A6"/>
              </w:placeholder>
            </w:sdtPr>
            <w:sdtEndPr/>
            <w:sdtContent>
              <w:p w14:paraId="7982D632" w14:textId="6887C547" w:rsidR="00F308D8" w:rsidRPr="002E7251" w:rsidRDefault="003423D3">
                <w:pPr>
                  <w:pStyle w:val="CoverInformationText"/>
                </w:pPr>
                <w:r w:rsidRPr="002E7251">
                  <w:t>Mick Le Riche</w:t>
                </w:r>
              </w:p>
            </w:sdtContent>
          </w:sdt>
          <w:sdt>
            <w:sdtPr>
              <w:alias w:val="{{UserProfile.Jobtitle}}"/>
              <w:tag w:val="{&quot;templafy&quot;:{&quot;id&quot;:&quot;83db4dcb-293f-462f-ac13-d1a3a496f991&quot;}}"/>
              <w:id w:val="-1288658547"/>
              <w:placeholder>
                <w:docPart w:val="A3A0FD41A5BB4C4FAAB242216F3B4CA2"/>
              </w:placeholder>
            </w:sdtPr>
            <w:sdtEndPr/>
            <w:sdtContent>
              <w:p w14:paraId="2B6036E6" w14:textId="3DF4D898" w:rsidR="00F308D8" w:rsidRPr="002E7251" w:rsidRDefault="003423D3">
                <w:pPr>
                  <w:pStyle w:val="CoverInformationText"/>
                </w:pPr>
                <w:r w:rsidRPr="002E7251">
                  <w:t>Technical Director</w:t>
                </w:r>
              </w:p>
            </w:sdtContent>
          </w:sdt>
          <w:p w14:paraId="2526DD6A" w14:textId="77777777" w:rsidR="001D5B72" w:rsidRPr="002E7251" w:rsidRDefault="001D5B72" w:rsidP="00C71281">
            <w:pPr>
              <w:pStyle w:val="CoverInformationText"/>
            </w:pPr>
          </w:p>
        </w:tc>
        <w:tc>
          <w:tcPr>
            <w:tcW w:w="4672" w:type="dxa"/>
          </w:tcPr>
          <w:p w14:paraId="6FAA9FE8" w14:textId="76683C73" w:rsidR="001D5B72" w:rsidRPr="00B42A02" w:rsidRDefault="00E76BDE" w:rsidP="00C71281">
            <w:pPr>
              <w:pStyle w:val="CoverInformationText"/>
            </w:pPr>
            <w:r w:rsidRPr="00B42A02">
              <w:t>Maritime Assets &amp; Infrastructure</w:t>
            </w:r>
          </w:p>
        </w:tc>
      </w:tr>
      <w:tr w:rsidR="00D33942" w:rsidRPr="00D4309F" w14:paraId="74B40310" w14:textId="77777777" w:rsidTr="00C71281">
        <w:trPr>
          <w:trHeight w:val="20"/>
        </w:trPr>
        <w:tc>
          <w:tcPr>
            <w:tcW w:w="4672" w:type="dxa"/>
          </w:tcPr>
          <w:sdt>
            <w:sdtPr>
              <w:alias w:val="{{UserProfile.Office.Office.FullAddress}}"/>
              <w:tag w:val="{&quot;templafy&quot;:{&quot;id&quot;:&quot;152bf0e5-2570-4312-9212-759dcaf8f3eb&quot;}}"/>
              <w:id w:val="1076553166"/>
              <w:placeholder>
                <w:docPart w:val="DCBED6A2498C49A7A5742DB53DBE6779"/>
              </w:placeholder>
            </w:sdtPr>
            <w:sdtEndPr/>
            <w:sdtContent>
              <w:p w14:paraId="1AC9962F" w14:textId="0D18EFD9" w:rsidR="00D4309F" w:rsidRPr="002E7251" w:rsidRDefault="00256907">
                <w:pPr>
                  <w:pStyle w:val="CoverInformationText"/>
                </w:pPr>
                <w:r>
                  <w:t>1 Innovation Parkway</w:t>
                </w:r>
              </w:p>
              <w:p w14:paraId="672A33FC" w14:textId="1F743764" w:rsidR="00F308D8" w:rsidRPr="002E7251" w:rsidRDefault="00256907">
                <w:pPr>
                  <w:pStyle w:val="CoverInformationText"/>
                </w:pPr>
                <w:r>
                  <w:t>Birtinya</w:t>
                </w:r>
                <w:r w:rsidR="00D4309F" w:rsidRPr="002E7251">
                  <w:t xml:space="preserve"> QLD </w:t>
                </w:r>
                <w:r w:rsidR="00547339">
                  <w:t>4575</w:t>
                </w:r>
              </w:p>
            </w:sdtContent>
          </w:sdt>
          <w:p w14:paraId="591927E8" w14:textId="77777777" w:rsidR="001D5B72" w:rsidRPr="002E7251" w:rsidRDefault="001D5B72" w:rsidP="00C71281">
            <w:pPr>
              <w:pStyle w:val="CoverInformationText"/>
            </w:pPr>
          </w:p>
        </w:tc>
        <w:tc>
          <w:tcPr>
            <w:tcW w:w="4672" w:type="dxa"/>
          </w:tcPr>
          <w:p w14:paraId="351CD58F" w14:textId="60968225" w:rsidR="00D33942" w:rsidRPr="00B42A02" w:rsidRDefault="00E76BDE" w:rsidP="00C71281">
            <w:pPr>
              <w:pStyle w:val="CoverInformationText"/>
            </w:pPr>
            <w:r w:rsidRPr="00B42A02">
              <w:t>Floor 4, 61 Mary Street</w:t>
            </w:r>
          </w:p>
          <w:p w14:paraId="74D53711" w14:textId="27D98409" w:rsidR="00E76BDE" w:rsidRPr="00B42A02" w:rsidRDefault="00E76BDE" w:rsidP="00C71281">
            <w:pPr>
              <w:pStyle w:val="CoverInformationText"/>
            </w:pPr>
            <w:r w:rsidRPr="00B42A02">
              <w:t>Brisbane, QLD 4000</w:t>
            </w:r>
          </w:p>
          <w:p w14:paraId="2E39A678" w14:textId="77777777" w:rsidR="00D33942" w:rsidRPr="00B42A02" w:rsidRDefault="00D33942" w:rsidP="00C71281">
            <w:pPr>
              <w:pStyle w:val="CoverInformationText"/>
            </w:pPr>
          </w:p>
        </w:tc>
      </w:tr>
      <w:tr w:rsidR="00D33942" w:rsidRPr="00195112" w14:paraId="50A5BF55" w14:textId="77777777" w:rsidTr="00C71281">
        <w:trPr>
          <w:trHeight w:val="720"/>
        </w:trPr>
        <w:tc>
          <w:tcPr>
            <w:tcW w:w="4672" w:type="dxa"/>
            <w:tcBorders>
              <w:bottom w:val="single" w:sz="18" w:space="0" w:color="5F6369" w:themeColor="text2"/>
            </w:tcBorders>
          </w:tcPr>
          <w:p w14:paraId="38E662DE" w14:textId="2F1BB0F6" w:rsidR="00D33942" w:rsidRPr="00DA5995" w:rsidRDefault="00D33942" w:rsidP="00C71281">
            <w:pPr>
              <w:pStyle w:val="CoverInformationText"/>
              <w:rPr>
                <w:lang w:val="de-DE"/>
              </w:rPr>
            </w:pPr>
            <w:r w:rsidRPr="00DA5995">
              <w:rPr>
                <w:lang w:val="de-DE"/>
              </w:rPr>
              <w:t>T</w:t>
            </w:r>
            <w:r w:rsidRPr="00DA5995">
              <w:rPr>
                <w:lang w:val="de-DE"/>
              </w:rPr>
              <w:tab/>
            </w:r>
            <w:sdt>
              <w:sdtPr>
                <w:alias w:val="{{UserProfile.Office.Office.OfficePhone}}"/>
                <w:tag w:val="{&quot;templafy&quot;:{&quot;id&quot;:&quot;5432f7b3-284d-4c05-a593-869bb5b9cea4&quot;}}"/>
                <w:id w:val="-2030014238"/>
                <w:placeholder>
                  <w:docPart w:val="31E405C41C56470EB4439FECA7028D80"/>
                </w:placeholder>
              </w:sdtPr>
              <w:sdtEndPr/>
              <w:sdtContent>
                <w:r w:rsidR="003423D3" w:rsidRPr="00DA5995">
                  <w:rPr>
                    <w:lang w:val="de-DE"/>
                  </w:rPr>
                  <w:t xml:space="preserve">+61 7 </w:t>
                </w:r>
                <w:r w:rsidR="00547339" w:rsidRPr="00DA5995">
                  <w:rPr>
                    <w:lang w:val="de-DE"/>
                  </w:rPr>
                  <w:t>5436 7888</w:t>
                </w:r>
              </w:sdtContent>
            </w:sdt>
          </w:p>
          <w:p w14:paraId="796BA168" w14:textId="5F8E3910" w:rsidR="00D33942" w:rsidRPr="00DA5995" w:rsidRDefault="00D33942" w:rsidP="00C71281">
            <w:pPr>
              <w:pStyle w:val="CoverInformationText"/>
              <w:rPr>
                <w:lang w:val="de-DE"/>
              </w:rPr>
            </w:pPr>
            <w:r w:rsidRPr="00DA5995">
              <w:rPr>
                <w:lang w:val="de-DE"/>
              </w:rPr>
              <w:t>E</w:t>
            </w:r>
            <w:r w:rsidRPr="00DA5995">
              <w:rPr>
                <w:lang w:val="de-DE"/>
              </w:rPr>
              <w:tab/>
            </w:r>
            <w:sdt>
              <w:sdtPr>
                <w:alias w:val="{{UserProfile.Email}}"/>
                <w:tag w:val="{&quot;templafy&quot;:{&quot;id&quot;:&quot;9ac9cc5f-3e4a-47cc-9eaa-0eb181636183&quot;}}"/>
                <w:id w:val="-1834518774"/>
                <w:placeholder>
                  <w:docPart w:val="7F6873480BD145DCA211E8386EDA4D77"/>
                </w:placeholder>
              </w:sdtPr>
              <w:sdtEndPr/>
              <w:sdtContent>
                <w:r w:rsidR="003423D3" w:rsidRPr="00DA5995">
                  <w:rPr>
                    <w:lang w:val="de-DE"/>
                  </w:rPr>
                  <w:t>mick.leriche@rpsconsulting.com</w:t>
                </w:r>
              </w:sdtContent>
            </w:sdt>
          </w:p>
        </w:tc>
        <w:tc>
          <w:tcPr>
            <w:tcW w:w="4672" w:type="dxa"/>
            <w:tcBorders>
              <w:bottom w:val="single" w:sz="18" w:space="0" w:color="5F6369" w:themeColor="text2"/>
            </w:tcBorders>
          </w:tcPr>
          <w:p w14:paraId="311C0CEA" w14:textId="55B85636" w:rsidR="00D33942" w:rsidRPr="00DA5995" w:rsidRDefault="00D33942" w:rsidP="00C71281">
            <w:pPr>
              <w:pStyle w:val="CoverInformationText"/>
              <w:rPr>
                <w:lang w:val="de-DE"/>
              </w:rPr>
            </w:pPr>
            <w:r w:rsidRPr="00DA5995">
              <w:rPr>
                <w:lang w:val="de-DE"/>
              </w:rPr>
              <w:t>T</w:t>
            </w:r>
            <w:r w:rsidRPr="00DA5995">
              <w:rPr>
                <w:lang w:val="de-DE"/>
              </w:rPr>
              <w:tab/>
            </w:r>
            <w:r w:rsidR="00DE0083" w:rsidRPr="00DA5995">
              <w:rPr>
                <w:color w:val="211E1F"/>
                <w:lang w:val="de-DE"/>
              </w:rPr>
              <w:t>13 74 68</w:t>
            </w:r>
          </w:p>
          <w:p w14:paraId="1C2849D9" w14:textId="18DAEF4F" w:rsidR="00D33942" w:rsidRPr="00DA5995" w:rsidRDefault="00D33942" w:rsidP="00C71281">
            <w:pPr>
              <w:pStyle w:val="CoverInformationText"/>
              <w:rPr>
                <w:lang w:val="de-DE"/>
              </w:rPr>
            </w:pPr>
            <w:r w:rsidRPr="00DA5995">
              <w:rPr>
                <w:lang w:val="de-DE"/>
              </w:rPr>
              <w:t>E</w:t>
            </w:r>
            <w:r w:rsidRPr="00DA5995">
              <w:rPr>
                <w:lang w:val="de-DE"/>
              </w:rPr>
              <w:tab/>
            </w:r>
            <w:hyperlink r:id="rId33" w:history="1">
              <w:r w:rsidR="0091654F" w:rsidRPr="00DA5995">
                <w:rPr>
                  <w:rStyle w:val="Hyperlink"/>
                  <w:spacing w:val="-2"/>
                  <w:lang w:val="de-DE"/>
                </w:rPr>
                <w:t>BoatingInfrastructure@msq.qld.gov.au</w:t>
              </w:r>
            </w:hyperlink>
          </w:p>
        </w:tc>
      </w:tr>
    </w:tbl>
    <w:p w14:paraId="01A9EDE2" w14:textId="77777777" w:rsidR="00AE37B0" w:rsidRPr="00DA5995" w:rsidRDefault="00AE37B0">
      <w:pPr>
        <w:rPr>
          <w:lang w:val="de-DE"/>
        </w:rPr>
      </w:pPr>
      <w:r w:rsidRPr="00DA5995">
        <w:rPr>
          <w:lang w:val="de-DE"/>
        </w:rPr>
        <w:br w:type="page"/>
      </w:r>
    </w:p>
    <w:sdt>
      <w:sdtPr>
        <w:alias w:val="{{Translate(&quot;Contents&quot;)}}"/>
        <w:tag w:val="{&quot;templafy&quot;:{&quot;id&quot;:&quot;84e9f87f-04f4-41e9-806b-5dd86b3055ec&quot;}}"/>
        <w:id w:val="-560410567"/>
        <w:placeholder>
          <w:docPart w:val="2C07EC9FAAF84AD3A98B1BC7DED8F42C"/>
        </w:placeholder>
      </w:sdtPr>
      <w:sdtEndPr/>
      <w:sdtContent>
        <w:p w14:paraId="6F17ADF2" w14:textId="77777777" w:rsidR="00F308D8" w:rsidRPr="00D4309F" w:rsidRDefault="00FC392F">
          <w:pPr>
            <w:pStyle w:val="TOCHeading"/>
          </w:pPr>
          <w:r w:rsidRPr="00D4309F">
            <w:t>Contents</w:t>
          </w:r>
        </w:p>
      </w:sdtContent>
    </w:sdt>
    <w:p w14:paraId="31C037AC" w14:textId="744E7519" w:rsidR="00B91EB8" w:rsidRDefault="00B96E7E">
      <w:pPr>
        <w:pStyle w:val="TOC1"/>
        <w:rPr>
          <w:rFonts w:asciiTheme="minorHAnsi" w:eastAsiaTheme="minorEastAsia" w:hAnsiTheme="minorHAnsi" w:cstheme="minorBidi"/>
          <w:b w:val="0"/>
          <w:caps w:val="0"/>
          <w:noProof/>
          <w:color w:val="auto"/>
          <w:kern w:val="2"/>
          <w:sz w:val="24"/>
          <w:szCs w:val="24"/>
          <w:lang w:eastAsia="en-AU"/>
          <w14:ligatures w14:val="standardContextual"/>
        </w:rPr>
      </w:pPr>
      <w:r w:rsidRPr="00D4309F">
        <w:rPr>
          <w:b w:val="0"/>
          <w:caps w:val="0"/>
        </w:rPr>
        <w:fldChar w:fldCharType="begin"/>
      </w:r>
      <w:r w:rsidRPr="00D4309F">
        <w:rPr>
          <w:b w:val="0"/>
          <w:caps w:val="0"/>
        </w:rPr>
        <w:instrText xml:space="preserve"> TOC \o "1-3" \h \z \t "Heading 1 - (no number),4,Heading 2 -  (no number),5,Heading 3 -  (no number),6" </w:instrText>
      </w:r>
      <w:r w:rsidRPr="00D4309F">
        <w:rPr>
          <w:b w:val="0"/>
          <w:caps w:val="0"/>
        </w:rPr>
        <w:fldChar w:fldCharType="separate"/>
      </w:r>
      <w:hyperlink w:anchor="_Toc216699284" w:history="1">
        <w:r w:rsidR="00B91EB8" w:rsidRPr="00683E1E">
          <w:rPr>
            <w:rStyle w:val="Hyperlink"/>
            <w:noProof/>
          </w:rPr>
          <w:t>Executive</w:t>
        </w:r>
        <w:r w:rsidR="00B91EB8" w:rsidRPr="00683E1E">
          <w:rPr>
            <w:rStyle w:val="Hyperlink"/>
            <w:noProof/>
            <w:spacing w:val="-3"/>
          </w:rPr>
          <w:t xml:space="preserve"> </w:t>
        </w:r>
        <w:r w:rsidR="00B91EB8" w:rsidRPr="00683E1E">
          <w:rPr>
            <w:rStyle w:val="Hyperlink"/>
            <w:noProof/>
            <w:spacing w:val="-2"/>
          </w:rPr>
          <w:t>Summary</w:t>
        </w:r>
        <w:r w:rsidR="00B91EB8">
          <w:rPr>
            <w:noProof/>
            <w:webHidden/>
          </w:rPr>
          <w:tab/>
        </w:r>
        <w:r w:rsidR="00B91EB8">
          <w:rPr>
            <w:noProof/>
            <w:webHidden/>
          </w:rPr>
          <w:fldChar w:fldCharType="begin"/>
        </w:r>
        <w:r w:rsidR="00B91EB8">
          <w:rPr>
            <w:noProof/>
            <w:webHidden/>
          </w:rPr>
          <w:instrText xml:space="preserve"> PAGEREF _Toc216699284 \h </w:instrText>
        </w:r>
        <w:r w:rsidR="00B91EB8">
          <w:rPr>
            <w:noProof/>
            <w:webHidden/>
          </w:rPr>
        </w:r>
        <w:r w:rsidR="00B91EB8">
          <w:rPr>
            <w:noProof/>
            <w:webHidden/>
          </w:rPr>
          <w:fldChar w:fldCharType="separate"/>
        </w:r>
        <w:r w:rsidR="00B91EB8">
          <w:rPr>
            <w:noProof/>
            <w:webHidden/>
          </w:rPr>
          <w:t>10</w:t>
        </w:r>
        <w:r w:rsidR="00B91EB8">
          <w:rPr>
            <w:noProof/>
            <w:webHidden/>
          </w:rPr>
          <w:fldChar w:fldCharType="end"/>
        </w:r>
      </w:hyperlink>
    </w:p>
    <w:p w14:paraId="36248359" w14:textId="7650F8F4"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285" w:history="1">
        <w:r w:rsidRPr="00683E1E">
          <w:rPr>
            <w:rStyle w:val="Hyperlink"/>
            <w:noProof/>
          </w:rPr>
          <w:t>Purpose</w:t>
        </w:r>
        <w:r>
          <w:rPr>
            <w:noProof/>
            <w:webHidden/>
          </w:rPr>
          <w:tab/>
        </w:r>
        <w:r>
          <w:rPr>
            <w:noProof/>
            <w:webHidden/>
          </w:rPr>
          <w:fldChar w:fldCharType="begin"/>
        </w:r>
        <w:r>
          <w:rPr>
            <w:noProof/>
            <w:webHidden/>
          </w:rPr>
          <w:instrText xml:space="preserve"> PAGEREF _Toc216699285 \h </w:instrText>
        </w:r>
        <w:r>
          <w:rPr>
            <w:noProof/>
            <w:webHidden/>
          </w:rPr>
        </w:r>
        <w:r>
          <w:rPr>
            <w:noProof/>
            <w:webHidden/>
          </w:rPr>
          <w:fldChar w:fldCharType="separate"/>
        </w:r>
        <w:r>
          <w:rPr>
            <w:noProof/>
            <w:webHidden/>
          </w:rPr>
          <w:t>10</w:t>
        </w:r>
        <w:r>
          <w:rPr>
            <w:noProof/>
            <w:webHidden/>
          </w:rPr>
          <w:fldChar w:fldCharType="end"/>
        </w:r>
      </w:hyperlink>
    </w:p>
    <w:p w14:paraId="31CFBA36" w14:textId="08FA890F"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286" w:history="1">
        <w:r w:rsidRPr="00683E1E">
          <w:rPr>
            <w:rStyle w:val="Hyperlink"/>
            <w:noProof/>
          </w:rPr>
          <w:t>Context</w:t>
        </w:r>
        <w:r>
          <w:rPr>
            <w:noProof/>
            <w:webHidden/>
          </w:rPr>
          <w:tab/>
        </w:r>
        <w:r>
          <w:rPr>
            <w:noProof/>
            <w:webHidden/>
          </w:rPr>
          <w:fldChar w:fldCharType="begin"/>
        </w:r>
        <w:r>
          <w:rPr>
            <w:noProof/>
            <w:webHidden/>
          </w:rPr>
          <w:instrText xml:space="preserve"> PAGEREF _Toc216699286 \h </w:instrText>
        </w:r>
        <w:r>
          <w:rPr>
            <w:noProof/>
            <w:webHidden/>
          </w:rPr>
        </w:r>
        <w:r>
          <w:rPr>
            <w:noProof/>
            <w:webHidden/>
          </w:rPr>
          <w:fldChar w:fldCharType="separate"/>
        </w:r>
        <w:r>
          <w:rPr>
            <w:noProof/>
            <w:webHidden/>
          </w:rPr>
          <w:t>10</w:t>
        </w:r>
        <w:r>
          <w:rPr>
            <w:noProof/>
            <w:webHidden/>
          </w:rPr>
          <w:fldChar w:fldCharType="end"/>
        </w:r>
      </w:hyperlink>
    </w:p>
    <w:p w14:paraId="09276B09" w14:textId="626D7061"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287" w:history="1">
        <w:r w:rsidRPr="00683E1E">
          <w:rPr>
            <w:rStyle w:val="Hyperlink"/>
            <w:noProof/>
          </w:rPr>
          <w:t>Objective</w:t>
        </w:r>
        <w:r>
          <w:rPr>
            <w:noProof/>
            <w:webHidden/>
          </w:rPr>
          <w:tab/>
        </w:r>
        <w:r>
          <w:rPr>
            <w:noProof/>
            <w:webHidden/>
          </w:rPr>
          <w:fldChar w:fldCharType="begin"/>
        </w:r>
        <w:r>
          <w:rPr>
            <w:noProof/>
            <w:webHidden/>
          </w:rPr>
          <w:instrText xml:space="preserve"> PAGEREF _Toc216699287 \h </w:instrText>
        </w:r>
        <w:r>
          <w:rPr>
            <w:noProof/>
            <w:webHidden/>
          </w:rPr>
        </w:r>
        <w:r>
          <w:rPr>
            <w:noProof/>
            <w:webHidden/>
          </w:rPr>
          <w:fldChar w:fldCharType="separate"/>
        </w:r>
        <w:r>
          <w:rPr>
            <w:noProof/>
            <w:webHidden/>
          </w:rPr>
          <w:t>10</w:t>
        </w:r>
        <w:r>
          <w:rPr>
            <w:noProof/>
            <w:webHidden/>
          </w:rPr>
          <w:fldChar w:fldCharType="end"/>
        </w:r>
      </w:hyperlink>
    </w:p>
    <w:p w14:paraId="4841DB56" w14:textId="2C25EBD7"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288" w:history="1">
        <w:r w:rsidRPr="00683E1E">
          <w:rPr>
            <w:rStyle w:val="Hyperlink"/>
            <w:noProof/>
          </w:rPr>
          <w:t>Approach,</w:t>
        </w:r>
        <w:r w:rsidRPr="00683E1E">
          <w:rPr>
            <w:rStyle w:val="Hyperlink"/>
            <w:noProof/>
            <w:spacing w:val="-6"/>
          </w:rPr>
          <w:t xml:space="preserve"> </w:t>
        </w:r>
        <w:r w:rsidRPr="00683E1E">
          <w:rPr>
            <w:rStyle w:val="Hyperlink"/>
            <w:noProof/>
          </w:rPr>
          <w:t>findings</w:t>
        </w:r>
        <w:r w:rsidRPr="00683E1E">
          <w:rPr>
            <w:rStyle w:val="Hyperlink"/>
            <w:noProof/>
            <w:spacing w:val="-3"/>
          </w:rPr>
          <w:t xml:space="preserve"> </w:t>
        </w:r>
        <w:r w:rsidRPr="00683E1E">
          <w:rPr>
            <w:rStyle w:val="Hyperlink"/>
            <w:noProof/>
          </w:rPr>
          <w:t>&amp;</w:t>
        </w:r>
        <w:r w:rsidRPr="00683E1E">
          <w:rPr>
            <w:rStyle w:val="Hyperlink"/>
            <w:noProof/>
            <w:spacing w:val="-3"/>
          </w:rPr>
          <w:t xml:space="preserve"> </w:t>
        </w:r>
        <w:r w:rsidRPr="00683E1E">
          <w:rPr>
            <w:rStyle w:val="Hyperlink"/>
            <w:noProof/>
            <w:spacing w:val="-2"/>
          </w:rPr>
          <w:t>recommendations</w:t>
        </w:r>
        <w:r>
          <w:rPr>
            <w:noProof/>
            <w:webHidden/>
          </w:rPr>
          <w:tab/>
        </w:r>
        <w:r>
          <w:rPr>
            <w:noProof/>
            <w:webHidden/>
          </w:rPr>
          <w:fldChar w:fldCharType="begin"/>
        </w:r>
        <w:r>
          <w:rPr>
            <w:noProof/>
            <w:webHidden/>
          </w:rPr>
          <w:instrText xml:space="preserve"> PAGEREF _Toc216699288 \h </w:instrText>
        </w:r>
        <w:r>
          <w:rPr>
            <w:noProof/>
            <w:webHidden/>
          </w:rPr>
        </w:r>
        <w:r>
          <w:rPr>
            <w:noProof/>
            <w:webHidden/>
          </w:rPr>
          <w:fldChar w:fldCharType="separate"/>
        </w:r>
        <w:r>
          <w:rPr>
            <w:noProof/>
            <w:webHidden/>
          </w:rPr>
          <w:t>10</w:t>
        </w:r>
        <w:r>
          <w:rPr>
            <w:noProof/>
            <w:webHidden/>
          </w:rPr>
          <w:fldChar w:fldCharType="end"/>
        </w:r>
      </w:hyperlink>
    </w:p>
    <w:p w14:paraId="21884C62" w14:textId="24A91023"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289" w:history="1">
        <w:r w:rsidRPr="00683E1E">
          <w:rPr>
            <w:rStyle w:val="Hyperlink"/>
            <w:noProof/>
          </w:rPr>
          <w:t>Part</w:t>
        </w:r>
        <w:r w:rsidRPr="00683E1E">
          <w:rPr>
            <w:rStyle w:val="Hyperlink"/>
            <w:noProof/>
            <w:spacing w:val="-1"/>
          </w:rPr>
          <w:t xml:space="preserve"> </w:t>
        </w:r>
        <w:r w:rsidRPr="00683E1E">
          <w:rPr>
            <w:rStyle w:val="Hyperlink"/>
            <w:noProof/>
          </w:rPr>
          <w:t>1</w:t>
        </w:r>
        <w:r w:rsidRPr="00683E1E">
          <w:rPr>
            <w:rStyle w:val="Hyperlink"/>
            <w:noProof/>
            <w:spacing w:val="-1"/>
          </w:rPr>
          <w:t xml:space="preserve"> </w:t>
        </w:r>
        <w:r w:rsidRPr="00683E1E">
          <w:rPr>
            <w:rStyle w:val="Hyperlink"/>
            <w:noProof/>
          </w:rPr>
          <w:t>–</w:t>
        </w:r>
        <w:r w:rsidRPr="00683E1E">
          <w:rPr>
            <w:rStyle w:val="Hyperlink"/>
            <w:noProof/>
            <w:spacing w:val="-1"/>
          </w:rPr>
          <w:t xml:space="preserve"> </w:t>
        </w:r>
        <w:r w:rsidRPr="00683E1E">
          <w:rPr>
            <w:rStyle w:val="Hyperlink"/>
            <w:noProof/>
          </w:rPr>
          <w:t>Short term</w:t>
        </w:r>
        <w:r w:rsidRPr="00683E1E">
          <w:rPr>
            <w:rStyle w:val="Hyperlink"/>
            <w:noProof/>
            <w:spacing w:val="-3"/>
          </w:rPr>
          <w:t xml:space="preserve"> </w:t>
        </w:r>
        <w:r w:rsidRPr="00683E1E">
          <w:rPr>
            <w:rStyle w:val="Hyperlink"/>
            <w:noProof/>
            <w:spacing w:val="-2"/>
          </w:rPr>
          <w:t>actions</w:t>
        </w:r>
        <w:r>
          <w:rPr>
            <w:noProof/>
            <w:webHidden/>
          </w:rPr>
          <w:tab/>
        </w:r>
        <w:r>
          <w:rPr>
            <w:noProof/>
            <w:webHidden/>
          </w:rPr>
          <w:fldChar w:fldCharType="begin"/>
        </w:r>
        <w:r>
          <w:rPr>
            <w:noProof/>
            <w:webHidden/>
          </w:rPr>
          <w:instrText xml:space="preserve"> PAGEREF _Toc216699289 \h </w:instrText>
        </w:r>
        <w:r>
          <w:rPr>
            <w:noProof/>
            <w:webHidden/>
          </w:rPr>
        </w:r>
        <w:r>
          <w:rPr>
            <w:noProof/>
            <w:webHidden/>
          </w:rPr>
          <w:fldChar w:fldCharType="separate"/>
        </w:r>
        <w:r>
          <w:rPr>
            <w:noProof/>
            <w:webHidden/>
          </w:rPr>
          <w:t>10</w:t>
        </w:r>
        <w:r>
          <w:rPr>
            <w:noProof/>
            <w:webHidden/>
          </w:rPr>
          <w:fldChar w:fldCharType="end"/>
        </w:r>
      </w:hyperlink>
    </w:p>
    <w:p w14:paraId="04E712CA" w14:textId="25F86D9E"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290" w:history="1">
        <w:r w:rsidRPr="00683E1E">
          <w:rPr>
            <w:rStyle w:val="Hyperlink"/>
            <w:noProof/>
          </w:rPr>
          <w:t>Part</w:t>
        </w:r>
        <w:r w:rsidRPr="00683E1E">
          <w:rPr>
            <w:rStyle w:val="Hyperlink"/>
            <w:noProof/>
            <w:spacing w:val="-2"/>
          </w:rPr>
          <w:t xml:space="preserve"> </w:t>
        </w:r>
        <w:r w:rsidRPr="00683E1E">
          <w:rPr>
            <w:rStyle w:val="Hyperlink"/>
            <w:noProof/>
          </w:rPr>
          <w:t>2</w:t>
        </w:r>
        <w:r w:rsidRPr="00683E1E">
          <w:rPr>
            <w:rStyle w:val="Hyperlink"/>
            <w:noProof/>
            <w:spacing w:val="-3"/>
          </w:rPr>
          <w:t xml:space="preserve"> </w:t>
        </w:r>
        <w:r w:rsidRPr="00683E1E">
          <w:rPr>
            <w:rStyle w:val="Hyperlink"/>
            <w:noProof/>
          </w:rPr>
          <w:t>–</w:t>
        </w:r>
        <w:r w:rsidRPr="00683E1E">
          <w:rPr>
            <w:rStyle w:val="Hyperlink"/>
            <w:noProof/>
            <w:spacing w:val="-3"/>
          </w:rPr>
          <w:t xml:space="preserve"> </w:t>
        </w:r>
        <w:r w:rsidRPr="00683E1E">
          <w:rPr>
            <w:rStyle w:val="Hyperlink"/>
            <w:noProof/>
          </w:rPr>
          <w:t>Long</w:t>
        </w:r>
        <w:r w:rsidRPr="00683E1E">
          <w:rPr>
            <w:rStyle w:val="Hyperlink"/>
            <w:noProof/>
            <w:spacing w:val="-2"/>
          </w:rPr>
          <w:t xml:space="preserve"> </w:t>
        </w:r>
        <w:r w:rsidRPr="00683E1E">
          <w:rPr>
            <w:rStyle w:val="Hyperlink"/>
            <w:noProof/>
          </w:rPr>
          <w:t>term</w:t>
        </w:r>
        <w:r w:rsidRPr="00683E1E">
          <w:rPr>
            <w:rStyle w:val="Hyperlink"/>
            <w:noProof/>
            <w:spacing w:val="-3"/>
          </w:rPr>
          <w:t xml:space="preserve"> </w:t>
        </w:r>
        <w:r w:rsidRPr="00683E1E">
          <w:rPr>
            <w:rStyle w:val="Hyperlink"/>
            <w:noProof/>
          </w:rPr>
          <w:t>comprehensive</w:t>
        </w:r>
        <w:r w:rsidRPr="00683E1E">
          <w:rPr>
            <w:rStyle w:val="Hyperlink"/>
            <w:noProof/>
            <w:spacing w:val="-2"/>
          </w:rPr>
          <w:t xml:space="preserve"> planning</w:t>
        </w:r>
        <w:r>
          <w:rPr>
            <w:noProof/>
            <w:webHidden/>
          </w:rPr>
          <w:tab/>
        </w:r>
        <w:r>
          <w:rPr>
            <w:noProof/>
            <w:webHidden/>
          </w:rPr>
          <w:fldChar w:fldCharType="begin"/>
        </w:r>
        <w:r>
          <w:rPr>
            <w:noProof/>
            <w:webHidden/>
          </w:rPr>
          <w:instrText xml:space="preserve"> PAGEREF _Toc216699290 \h </w:instrText>
        </w:r>
        <w:r>
          <w:rPr>
            <w:noProof/>
            <w:webHidden/>
          </w:rPr>
        </w:r>
        <w:r>
          <w:rPr>
            <w:noProof/>
            <w:webHidden/>
          </w:rPr>
          <w:fldChar w:fldCharType="separate"/>
        </w:r>
        <w:r>
          <w:rPr>
            <w:noProof/>
            <w:webHidden/>
          </w:rPr>
          <w:t>12</w:t>
        </w:r>
        <w:r>
          <w:rPr>
            <w:noProof/>
            <w:webHidden/>
          </w:rPr>
          <w:fldChar w:fldCharType="end"/>
        </w:r>
      </w:hyperlink>
    </w:p>
    <w:p w14:paraId="2FC871ED" w14:textId="6DF740D2" w:rsidR="00B91EB8" w:rsidRDefault="00B91EB8">
      <w:pPr>
        <w:pStyle w:val="TOC1"/>
        <w:rPr>
          <w:rFonts w:asciiTheme="minorHAnsi" w:eastAsiaTheme="minorEastAsia" w:hAnsiTheme="minorHAnsi" w:cstheme="minorBidi"/>
          <w:b w:val="0"/>
          <w:caps w:val="0"/>
          <w:noProof/>
          <w:color w:val="auto"/>
          <w:kern w:val="2"/>
          <w:sz w:val="24"/>
          <w:szCs w:val="24"/>
          <w:lang w:eastAsia="en-AU"/>
          <w14:ligatures w14:val="standardContextual"/>
        </w:rPr>
      </w:pPr>
      <w:hyperlink w:anchor="_Toc216699291" w:history="1">
        <w:r w:rsidRPr="00683E1E">
          <w:rPr>
            <w:rStyle w:val="Hyperlink"/>
            <w:noProof/>
          </w:rPr>
          <w:t>1</w:t>
        </w:r>
        <w:r>
          <w:rPr>
            <w:rFonts w:asciiTheme="minorHAnsi" w:eastAsiaTheme="minorEastAsia" w:hAnsiTheme="minorHAnsi" w:cstheme="minorBidi"/>
            <w:b w:val="0"/>
            <w:caps w:val="0"/>
            <w:noProof/>
            <w:color w:val="auto"/>
            <w:kern w:val="2"/>
            <w:sz w:val="24"/>
            <w:szCs w:val="24"/>
            <w:lang w:eastAsia="en-AU"/>
            <w14:ligatures w14:val="standardContextual"/>
          </w:rPr>
          <w:tab/>
        </w:r>
        <w:r w:rsidRPr="00683E1E">
          <w:rPr>
            <w:rStyle w:val="Hyperlink"/>
            <w:noProof/>
          </w:rPr>
          <w:t>INTRODUCTION</w:t>
        </w:r>
        <w:r>
          <w:rPr>
            <w:noProof/>
            <w:webHidden/>
          </w:rPr>
          <w:tab/>
        </w:r>
        <w:r>
          <w:rPr>
            <w:noProof/>
            <w:webHidden/>
          </w:rPr>
          <w:fldChar w:fldCharType="begin"/>
        </w:r>
        <w:r>
          <w:rPr>
            <w:noProof/>
            <w:webHidden/>
          </w:rPr>
          <w:instrText xml:space="preserve"> PAGEREF _Toc216699291 \h </w:instrText>
        </w:r>
        <w:r>
          <w:rPr>
            <w:noProof/>
            <w:webHidden/>
          </w:rPr>
        </w:r>
        <w:r>
          <w:rPr>
            <w:noProof/>
            <w:webHidden/>
          </w:rPr>
          <w:fldChar w:fldCharType="separate"/>
        </w:r>
        <w:r>
          <w:rPr>
            <w:noProof/>
            <w:webHidden/>
          </w:rPr>
          <w:t>15</w:t>
        </w:r>
        <w:r>
          <w:rPr>
            <w:noProof/>
            <w:webHidden/>
          </w:rPr>
          <w:fldChar w:fldCharType="end"/>
        </w:r>
      </w:hyperlink>
    </w:p>
    <w:p w14:paraId="37C760D2" w14:textId="3627E38F"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292" w:history="1">
        <w:r w:rsidRPr="00683E1E">
          <w:rPr>
            <w:rStyle w:val="Hyperlink"/>
            <w:noProof/>
          </w:rPr>
          <w:t>1.1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Background</w:t>
        </w:r>
        <w:r>
          <w:rPr>
            <w:noProof/>
            <w:webHidden/>
          </w:rPr>
          <w:tab/>
        </w:r>
        <w:r>
          <w:rPr>
            <w:noProof/>
            <w:webHidden/>
          </w:rPr>
          <w:fldChar w:fldCharType="begin"/>
        </w:r>
        <w:r>
          <w:rPr>
            <w:noProof/>
            <w:webHidden/>
          </w:rPr>
          <w:instrText xml:space="preserve"> PAGEREF _Toc216699292 \h </w:instrText>
        </w:r>
        <w:r>
          <w:rPr>
            <w:noProof/>
            <w:webHidden/>
          </w:rPr>
        </w:r>
        <w:r>
          <w:rPr>
            <w:noProof/>
            <w:webHidden/>
          </w:rPr>
          <w:fldChar w:fldCharType="separate"/>
        </w:r>
        <w:r>
          <w:rPr>
            <w:noProof/>
            <w:webHidden/>
          </w:rPr>
          <w:t>15</w:t>
        </w:r>
        <w:r>
          <w:rPr>
            <w:noProof/>
            <w:webHidden/>
          </w:rPr>
          <w:fldChar w:fldCharType="end"/>
        </w:r>
      </w:hyperlink>
    </w:p>
    <w:p w14:paraId="76DA3C51" w14:textId="5ED2626E"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293" w:history="1">
        <w:r w:rsidRPr="00683E1E">
          <w:rPr>
            <w:rStyle w:val="Hyperlink"/>
            <w:noProof/>
          </w:rPr>
          <w:t>1.2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Current</w:t>
        </w:r>
        <w:r w:rsidRPr="00683E1E">
          <w:rPr>
            <w:rStyle w:val="Hyperlink"/>
            <w:noProof/>
            <w:spacing w:val="-14"/>
          </w:rPr>
          <w:t xml:space="preserve"> </w:t>
        </w:r>
        <w:r w:rsidRPr="00683E1E">
          <w:rPr>
            <w:rStyle w:val="Hyperlink"/>
            <w:noProof/>
          </w:rPr>
          <w:t>situation</w:t>
        </w:r>
        <w:r>
          <w:rPr>
            <w:noProof/>
            <w:webHidden/>
          </w:rPr>
          <w:tab/>
        </w:r>
        <w:r>
          <w:rPr>
            <w:noProof/>
            <w:webHidden/>
          </w:rPr>
          <w:fldChar w:fldCharType="begin"/>
        </w:r>
        <w:r>
          <w:rPr>
            <w:noProof/>
            <w:webHidden/>
          </w:rPr>
          <w:instrText xml:space="preserve"> PAGEREF _Toc216699293 \h </w:instrText>
        </w:r>
        <w:r>
          <w:rPr>
            <w:noProof/>
            <w:webHidden/>
          </w:rPr>
        </w:r>
        <w:r>
          <w:rPr>
            <w:noProof/>
            <w:webHidden/>
          </w:rPr>
          <w:fldChar w:fldCharType="separate"/>
        </w:r>
        <w:r>
          <w:rPr>
            <w:noProof/>
            <w:webHidden/>
          </w:rPr>
          <w:t>15</w:t>
        </w:r>
        <w:r>
          <w:rPr>
            <w:noProof/>
            <w:webHidden/>
          </w:rPr>
          <w:fldChar w:fldCharType="end"/>
        </w:r>
      </w:hyperlink>
    </w:p>
    <w:p w14:paraId="2D48DC13" w14:textId="332B3AF2"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294" w:history="1">
        <w:r w:rsidRPr="00683E1E">
          <w:rPr>
            <w:rStyle w:val="Hyperlink"/>
            <w:noProof/>
          </w:rPr>
          <w:t>1.3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Objective</w:t>
        </w:r>
        <w:r>
          <w:rPr>
            <w:noProof/>
            <w:webHidden/>
          </w:rPr>
          <w:tab/>
        </w:r>
        <w:r>
          <w:rPr>
            <w:noProof/>
            <w:webHidden/>
          </w:rPr>
          <w:fldChar w:fldCharType="begin"/>
        </w:r>
        <w:r>
          <w:rPr>
            <w:noProof/>
            <w:webHidden/>
          </w:rPr>
          <w:instrText xml:space="preserve"> PAGEREF _Toc216699294 \h </w:instrText>
        </w:r>
        <w:r>
          <w:rPr>
            <w:noProof/>
            <w:webHidden/>
          </w:rPr>
        </w:r>
        <w:r>
          <w:rPr>
            <w:noProof/>
            <w:webHidden/>
          </w:rPr>
          <w:fldChar w:fldCharType="separate"/>
        </w:r>
        <w:r>
          <w:rPr>
            <w:noProof/>
            <w:webHidden/>
          </w:rPr>
          <w:t>15</w:t>
        </w:r>
        <w:r>
          <w:rPr>
            <w:noProof/>
            <w:webHidden/>
          </w:rPr>
          <w:fldChar w:fldCharType="end"/>
        </w:r>
      </w:hyperlink>
    </w:p>
    <w:p w14:paraId="5F2F8710" w14:textId="2400660E"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295" w:history="1">
        <w:r w:rsidRPr="00683E1E">
          <w:rPr>
            <w:rStyle w:val="Hyperlink"/>
            <w:noProof/>
          </w:rPr>
          <w:t>1.4</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Scope</w:t>
        </w:r>
        <w:r w:rsidRPr="00683E1E">
          <w:rPr>
            <w:rStyle w:val="Hyperlink"/>
            <w:noProof/>
            <w:spacing w:val="-7"/>
          </w:rPr>
          <w:t xml:space="preserve"> </w:t>
        </w:r>
        <w:r w:rsidRPr="00683E1E">
          <w:rPr>
            <w:rStyle w:val="Hyperlink"/>
            <w:noProof/>
          </w:rPr>
          <w:t>of</w:t>
        </w:r>
        <w:r w:rsidRPr="00683E1E">
          <w:rPr>
            <w:rStyle w:val="Hyperlink"/>
            <w:noProof/>
            <w:spacing w:val="-8"/>
          </w:rPr>
          <w:t xml:space="preserve"> </w:t>
        </w:r>
        <w:r w:rsidRPr="00683E1E">
          <w:rPr>
            <w:rStyle w:val="Hyperlink"/>
            <w:noProof/>
            <w:spacing w:val="-4"/>
          </w:rPr>
          <w:t>work</w:t>
        </w:r>
        <w:r>
          <w:rPr>
            <w:noProof/>
            <w:webHidden/>
          </w:rPr>
          <w:tab/>
        </w:r>
        <w:r>
          <w:rPr>
            <w:noProof/>
            <w:webHidden/>
          </w:rPr>
          <w:fldChar w:fldCharType="begin"/>
        </w:r>
        <w:r>
          <w:rPr>
            <w:noProof/>
            <w:webHidden/>
          </w:rPr>
          <w:instrText xml:space="preserve"> PAGEREF _Toc216699295 \h </w:instrText>
        </w:r>
        <w:r>
          <w:rPr>
            <w:noProof/>
            <w:webHidden/>
          </w:rPr>
        </w:r>
        <w:r>
          <w:rPr>
            <w:noProof/>
            <w:webHidden/>
          </w:rPr>
          <w:fldChar w:fldCharType="separate"/>
        </w:r>
        <w:r>
          <w:rPr>
            <w:noProof/>
            <w:webHidden/>
          </w:rPr>
          <w:t>15</w:t>
        </w:r>
        <w:r>
          <w:rPr>
            <w:noProof/>
            <w:webHidden/>
          </w:rPr>
          <w:fldChar w:fldCharType="end"/>
        </w:r>
      </w:hyperlink>
    </w:p>
    <w:p w14:paraId="3D5D5990" w14:textId="4BD2F333" w:rsidR="00B91EB8" w:rsidRDefault="00B91EB8">
      <w:pPr>
        <w:pStyle w:val="TOC4"/>
        <w:rPr>
          <w:rFonts w:asciiTheme="minorHAnsi" w:eastAsiaTheme="minorEastAsia" w:hAnsiTheme="minorHAnsi" w:cstheme="minorBidi"/>
          <w:b w:val="0"/>
          <w:caps w:val="0"/>
          <w:noProof/>
          <w:color w:val="auto"/>
          <w:kern w:val="2"/>
          <w:sz w:val="24"/>
          <w:szCs w:val="24"/>
          <w:lang w:eastAsia="en-AU"/>
          <w14:ligatures w14:val="standardContextual"/>
        </w:rPr>
      </w:pPr>
      <w:hyperlink w:anchor="_Toc216699296" w:history="1">
        <w:r w:rsidRPr="00683E1E">
          <w:rPr>
            <w:rStyle w:val="Hyperlink"/>
            <w:noProof/>
          </w:rPr>
          <w:t>PART</w:t>
        </w:r>
        <w:r w:rsidRPr="00683E1E">
          <w:rPr>
            <w:rStyle w:val="Hyperlink"/>
            <w:noProof/>
            <w:spacing w:val="-2"/>
          </w:rPr>
          <w:t xml:space="preserve"> </w:t>
        </w:r>
        <w:r w:rsidRPr="00683E1E">
          <w:rPr>
            <w:rStyle w:val="Hyperlink"/>
            <w:noProof/>
            <w:spacing w:val="-10"/>
          </w:rPr>
          <w:t>1</w:t>
        </w:r>
        <w:r>
          <w:rPr>
            <w:noProof/>
            <w:webHidden/>
          </w:rPr>
          <w:tab/>
        </w:r>
        <w:r>
          <w:rPr>
            <w:noProof/>
            <w:webHidden/>
          </w:rPr>
          <w:fldChar w:fldCharType="begin"/>
        </w:r>
        <w:r>
          <w:rPr>
            <w:noProof/>
            <w:webHidden/>
          </w:rPr>
          <w:instrText xml:space="preserve"> PAGEREF _Toc216699296 \h </w:instrText>
        </w:r>
        <w:r>
          <w:rPr>
            <w:noProof/>
            <w:webHidden/>
          </w:rPr>
        </w:r>
        <w:r>
          <w:rPr>
            <w:noProof/>
            <w:webHidden/>
          </w:rPr>
          <w:fldChar w:fldCharType="separate"/>
        </w:r>
        <w:r>
          <w:rPr>
            <w:noProof/>
            <w:webHidden/>
          </w:rPr>
          <w:t>17</w:t>
        </w:r>
        <w:r>
          <w:rPr>
            <w:noProof/>
            <w:webHidden/>
          </w:rPr>
          <w:fldChar w:fldCharType="end"/>
        </w:r>
      </w:hyperlink>
    </w:p>
    <w:p w14:paraId="4141C09B" w14:textId="0F5C97EB" w:rsidR="00B91EB8" w:rsidRDefault="00B91EB8">
      <w:pPr>
        <w:pStyle w:val="TOC1"/>
        <w:rPr>
          <w:rFonts w:asciiTheme="minorHAnsi" w:eastAsiaTheme="minorEastAsia" w:hAnsiTheme="minorHAnsi" w:cstheme="minorBidi"/>
          <w:b w:val="0"/>
          <w:caps w:val="0"/>
          <w:noProof/>
          <w:color w:val="auto"/>
          <w:kern w:val="2"/>
          <w:sz w:val="24"/>
          <w:szCs w:val="24"/>
          <w:lang w:eastAsia="en-AU"/>
          <w14:ligatures w14:val="standardContextual"/>
        </w:rPr>
      </w:pPr>
      <w:hyperlink w:anchor="_Toc216699297" w:history="1">
        <w:r w:rsidRPr="00683E1E">
          <w:rPr>
            <w:rStyle w:val="Hyperlink"/>
            <w:noProof/>
          </w:rPr>
          <w:t>2</w:t>
        </w:r>
        <w:r>
          <w:rPr>
            <w:rFonts w:asciiTheme="minorHAnsi" w:eastAsiaTheme="minorEastAsia" w:hAnsiTheme="minorHAnsi" w:cstheme="minorBidi"/>
            <w:b w:val="0"/>
            <w:caps w:val="0"/>
            <w:noProof/>
            <w:color w:val="auto"/>
            <w:kern w:val="2"/>
            <w:sz w:val="24"/>
            <w:szCs w:val="24"/>
            <w:lang w:eastAsia="en-AU"/>
            <w14:ligatures w14:val="standardContextual"/>
          </w:rPr>
          <w:tab/>
        </w:r>
        <w:r w:rsidRPr="00683E1E">
          <w:rPr>
            <w:rStyle w:val="Hyperlink"/>
            <w:noProof/>
          </w:rPr>
          <w:t>LEGISLATIVE</w:t>
        </w:r>
        <w:r w:rsidRPr="00683E1E">
          <w:rPr>
            <w:rStyle w:val="Hyperlink"/>
            <w:noProof/>
            <w:spacing w:val="-7"/>
          </w:rPr>
          <w:t xml:space="preserve"> </w:t>
        </w:r>
        <w:r w:rsidRPr="00683E1E">
          <w:rPr>
            <w:rStyle w:val="Hyperlink"/>
            <w:noProof/>
          </w:rPr>
          <w:t>AND</w:t>
        </w:r>
        <w:r w:rsidRPr="00683E1E">
          <w:rPr>
            <w:rStyle w:val="Hyperlink"/>
            <w:noProof/>
            <w:spacing w:val="-4"/>
          </w:rPr>
          <w:t xml:space="preserve"> </w:t>
        </w:r>
        <w:r w:rsidRPr="00683E1E">
          <w:rPr>
            <w:rStyle w:val="Hyperlink"/>
            <w:noProof/>
          </w:rPr>
          <w:t>POLICY</w:t>
        </w:r>
        <w:r w:rsidRPr="00683E1E">
          <w:rPr>
            <w:rStyle w:val="Hyperlink"/>
            <w:noProof/>
            <w:spacing w:val="-4"/>
          </w:rPr>
          <w:t xml:space="preserve"> </w:t>
        </w:r>
        <w:r w:rsidRPr="00683E1E">
          <w:rPr>
            <w:rStyle w:val="Hyperlink"/>
            <w:noProof/>
            <w:spacing w:val="-2"/>
          </w:rPr>
          <w:t>FRAMEWORKS</w:t>
        </w:r>
        <w:r>
          <w:rPr>
            <w:noProof/>
            <w:webHidden/>
          </w:rPr>
          <w:tab/>
        </w:r>
        <w:r>
          <w:rPr>
            <w:noProof/>
            <w:webHidden/>
          </w:rPr>
          <w:fldChar w:fldCharType="begin"/>
        </w:r>
        <w:r>
          <w:rPr>
            <w:noProof/>
            <w:webHidden/>
          </w:rPr>
          <w:instrText xml:space="preserve"> PAGEREF _Toc216699297 \h </w:instrText>
        </w:r>
        <w:r>
          <w:rPr>
            <w:noProof/>
            <w:webHidden/>
          </w:rPr>
        </w:r>
        <w:r>
          <w:rPr>
            <w:noProof/>
            <w:webHidden/>
          </w:rPr>
          <w:fldChar w:fldCharType="separate"/>
        </w:r>
        <w:r>
          <w:rPr>
            <w:noProof/>
            <w:webHidden/>
          </w:rPr>
          <w:t>18</w:t>
        </w:r>
        <w:r>
          <w:rPr>
            <w:noProof/>
            <w:webHidden/>
          </w:rPr>
          <w:fldChar w:fldCharType="end"/>
        </w:r>
      </w:hyperlink>
    </w:p>
    <w:p w14:paraId="1286C53D" w14:textId="2DDD97BA" w:rsidR="00B91EB8" w:rsidRDefault="00B91EB8">
      <w:pPr>
        <w:pStyle w:val="TOC1"/>
        <w:rPr>
          <w:rFonts w:asciiTheme="minorHAnsi" w:eastAsiaTheme="minorEastAsia" w:hAnsiTheme="minorHAnsi" w:cstheme="minorBidi"/>
          <w:b w:val="0"/>
          <w:caps w:val="0"/>
          <w:noProof/>
          <w:color w:val="auto"/>
          <w:kern w:val="2"/>
          <w:sz w:val="24"/>
          <w:szCs w:val="24"/>
          <w:lang w:eastAsia="en-AU"/>
          <w14:ligatures w14:val="standardContextual"/>
        </w:rPr>
      </w:pPr>
      <w:hyperlink w:anchor="_Toc216699298" w:history="1">
        <w:r w:rsidRPr="00683E1E">
          <w:rPr>
            <w:rStyle w:val="Hyperlink"/>
            <w:noProof/>
          </w:rPr>
          <w:t>3</w:t>
        </w:r>
        <w:r>
          <w:rPr>
            <w:rFonts w:asciiTheme="minorHAnsi" w:eastAsiaTheme="minorEastAsia" w:hAnsiTheme="minorHAnsi" w:cstheme="minorBidi"/>
            <w:b w:val="0"/>
            <w:caps w:val="0"/>
            <w:noProof/>
            <w:color w:val="auto"/>
            <w:kern w:val="2"/>
            <w:sz w:val="24"/>
            <w:szCs w:val="24"/>
            <w:lang w:eastAsia="en-AU"/>
            <w14:ligatures w14:val="standardContextual"/>
          </w:rPr>
          <w:tab/>
        </w:r>
        <w:r w:rsidRPr="00683E1E">
          <w:rPr>
            <w:rStyle w:val="Hyperlink"/>
            <w:noProof/>
          </w:rPr>
          <w:t>INFORMATION SOURCES</w:t>
        </w:r>
        <w:r>
          <w:rPr>
            <w:noProof/>
            <w:webHidden/>
          </w:rPr>
          <w:tab/>
        </w:r>
        <w:r>
          <w:rPr>
            <w:noProof/>
            <w:webHidden/>
          </w:rPr>
          <w:fldChar w:fldCharType="begin"/>
        </w:r>
        <w:r>
          <w:rPr>
            <w:noProof/>
            <w:webHidden/>
          </w:rPr>
          <w:instrText xml:space="preserve"> PAGEREF _Toc216699298 \h </w:instrText>
        </w:r>
        <w:r>
          <w:rPr>
            <w:noProof/>
            <w:webHidden/>
          </w:rPr>
        </w:r>
        <w:r>
          <w:rPr>
            <w:noProof/>
            <w:webHidden/>
          </w:rPr>
          <w:fldChar w:fldCharType="separate"/>
        </w:r>
        <w:r>
          <w:rPr>
            <w:noProof/>
            <w:webHidden/>
          </w:rPr>
          <w:t>19</w:t>
        </w:r>
        <w:r>
          <w:rPr>
            <w:noProof/>
            <w:webHidden/>
          </w:rPr>
          <w:fldChar w:fldCharType="end"/>
        </w:r>
      </w:hyperlink>
    </w:p>
    <w:p w14:paraId="57498136" w14:textId="4827D993" w:rsidR="00B91EB8" w:rsidRDefault="00B91EB8">
      <w:pPr>
        <w:pStyle w:val="TOC1"/>
        <w:rPr>
          <w:rFonts w:asciiTheme="minorHAnsi" w:eastAsiaTheme="minorEastAsia" w:hAnsiTheme="minorHAnsi" w:cstheme="minorBidi"/>
          <w:b w:val="0"/>
          <w:caps w:val="0"/>
          <w:noProof/>
          <w:color w:val="auto"/>
          <w:kern w:val="2"/>
          <w:sz w:val="24"/>
          <w:szCs w:val="24"/>
          <w:lang w:eastAsia="en-AU"/>
          <w14:ligatures w14:val="standardContextual"/>
        </w:rPr>
      </w:pPr>
      <w:hyperlink w:anchor="_Toc216699299" w:history="1">
        <w:r w:rsidRPr="00683E1E">
          <w:rPr>
            <w:rStyle w:val="Hyperlink"/>
            <w:noProof/>
          </w:rPr>
          <w:t>4</w:t>
        </w:r>
        <w:r>
          <w:rPr>
            <w:rFonts w:asciiTheme="minorHAnsi" w:eastAsiaTheme="minorEastAsia" w:hAnsiTheme="minorHAnsi" w:cstheme="minorBidi"/>
            <w:b w:val="0"/>
            <w:caps w:val="0"/>
            <w:noProof/>
            <w:color w:val="auto"/>
            <w:kern w:val="2"/>
            <w:sz w:val="24"/>
            <w:szCs w:val="24"/>
            <w:lang w:eastAsia="en-AU"/>
            <w14:ligatures w14:val="standardContextual"/>
          </w:rPr>
          <w:tab/>
        </w:r>
        <w:r w:rsidRPr="00683E1E">
          <w:rPr>
            <w:rStyle w:val="Hyperlink"/>
            <w:noProof/>
          </w:rPr>
          <w:t>COASTAL PROCESSES</w:t>
        </w:r>
        <w:r>
          <w:rPr>
            <w:noProof/>
            <w:webHidden/>
          </w:rPr>
          <w:tab/>
        </w:r>
        <w:r>
          <w:rPr>
            <w:noProof/>
            <w:webHidden/>
          </w:rPr>
          <w:fldChar w:fldCharType="begin"/>
        </w:r>
        <w:r>
          <w:rPr>
            <w:noProof/>
            <w:webHidden/>
          </w:rPr>
          <w:instrText xml:space="preserve"> PAGEREF _Toc216699299 \h </w:instrText>
        </w:r>
        <w:r>
          <w:rPr>
            <w:noProof/>
            <w:webHidden/>
          </w:rPr>
        </w:r>
        <w:r>
          <w:rPr>
            <w:noProof/>
            <w:webHidden/>
          </w:rPr>
          <w:fldChar w:fldCharType="separate"/>
        </w:r>
        <w:r>
          <w:rPr>
            <w:noProof/>
            <w:webHidden/>
          </w:rPr>
          <w:t>20</w:t>
        </w:r>
        <w:r>
          <w:rPr>
            <w:noProof/>
            <w:webHidden/>
          </w:rPr>
          <w:fldChar w:fldCharType="end"/>
        </w:r>
      </w:hyperlink>
    </w:p>
    <w:p w14:paraId="39EEDC78" w14:textId="20245D7D"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300" w:history="1">
        <w:r w:rsidRPr="00683E1E">
          <w:rPr>
            <w:rStyle w:val="Hyperlink"/>
            <w:noProof/>
          </w:rPr>
          <w:t>4.1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Causes</w:t>
        </w:r>
        <w:r w:rsidRPr="00683E1E">
          <w:rPr>
            <w:rStyle w:val="Hyperlink"/>
            <w:noProof/>
            <w:spacing w:val="-11"/>
          </w:rPr>
          <w:t xml:space="preserve"> </w:t>
        </w:r>
        <w:r w:rsidRPr="00683E1E">
          <w:rPr>
            <w:rStyle w:val="Hyperlink"/>
            <w:noProof/>
          </w:rPr>
          <w:t>of</w:t>
        </w:r>
        <w:r w:rsidRPr="00683E1E">
          <w:rPr>
            <w:rStyle w:val="Hyperlink"/>
            <w:noProof/>
            <w:spacing w:val="-10"/>
          </w:rPr>
          <w:t xml:space="preserve"> </w:t>
        </w:r>
        <w:r w:rsidRPr="00683E1E">
          <w:rPr>
            <w:rStyle w:val="Hyperlink"/>
            <w:noProof/>
          </w:rPr>
          <w:t>shoaling</w:t>
        </w:r>
        <w:r w:rsidRPr="00683E1E">
          <w:rPr>
            <w:rStyle w:val="Hyperlink"/>
            <w:noProof/>
            <w:spacing w:val="-11"/>
          </w:rPr>
          <w:t xml:space="preserve"> </w:t>
        </w:r>
        <w:r w:rsidRPr="00683E1E">
          <w:rPr>
            <w:rStyle w:val="Hyperlink"/>
            <w:noProof/>
            <w:spacing w:val="-2"/>
          </w:rPr>
          <w:t>events</w:t>
        </w:r>
        <w:r>
          <w:rPr>
            <w:noProof/>
            <w:webHidden/>
          </w:rPr>
          <w:tab/>
        </w:r>
        <w:r>
          <w:rPr>
            <w:noProof/>
            <w:webHidden/>
          </w:rPr>
          <w:fldChar w:fldCharType="begin"/>
        </w:r>
        <w:r>
          <w:rPr>
            <w:noProof/>
            <w:webHidden/>
          </w:rPr>
          <w:instrText xml:space="preserve"> PAGEREF _Toc216699300 \h </w:instrText>
        </w:r>
        <w:r>
          <w:rPr>
            <w:noProof/>
            <w:webHidden/>
          </w:rPr>
        </w:r>
        <w:r>
          <w:rPr>
            <w:noProof/>
            <w:webHidden/>
          </w:rPr>
          <w:fldChar w:fldCharType="separate"/>
        </w:r>
        <w:r>
          <w:rPr>
            <w:noProof/>
            <w:webHidden/>
          </w:rPr>
          <w:t>20</w:t>
        </w:r>
        <w:r>
          <w:rPr>
            <w:noProof/>
            <w:webHidden/>
          </w:rPr>
          <w:fldChar w:fldCharType="end"/>
        </w:r>
      </w:hyperlink>
    </w:p>
    <w:p w14:paraId="1B8CB7FF" w14:textId="18F2C7D4"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01" w:history="1">
        <w:r w:rsidRPr="00683E1E">
          <w:rPr>
            <w:rStyle w:val="Hyperlink"/>
            <w:noProof/>
          </w:rPr>
          <w:t>4.1.1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Sand</w:t>
        </w:r>
        <w:r w:rsidRPr="00683E1E">
          <w:rPr>
            <w:rStyle w:val="Hyperlink"/>
            <w:noProof/>
            <w:spacing w:val="-4"/>
          </w:rPr>
          <w:t xml:space="preserve"> </w:t>
        </w:r>
        <w:r w:rsidRPr="00683E1E">
          <w:rPr>
            <w:rStyle w:val="Hyperlink"/>
            <w:noProof/>
          </w:rPr>
          <w:t>shoal</w:t>
        </w:r>
        <w:r w:rsidRPr="00683E1E">
          <w:rPr>
            <w:rStyle w:val="Hyperlink"/>
            <w:noProof/>
            <w:spacing w:val="-3"/>
          </w:rPr>
          <w:t xml:space="preserve"> </w:t>
        </w:r>
        <w:r w:rsidRPr="00683E1E">
          <w:rPr>
            <w:rStyle w:val="Hyperlink"/>
            <w:noProof/>
          </w:rPr>
          <w:t>numerical</w:t>
        </w:r>
        <w:r w:rsidRPr="00683E1E">
          <w:rPr>
            <w:rStyle w:val="Hyperlink"/>
            <w:noProof/>
            <w:spacing w:val="-3"/>
          </w:rPr>
          <w:t xml:space="preserve"> </w:t>
        </w:r>
        <w:r w:rsidRPr="00683E1E">
          <w:rPr>
            <w:rStyle w:val="Hyperlink"/>
            <w:noProof/>
            <w:spacing w:val="-4"/>
          </w:rPr>
          <w:t>model</w:t>
        </w:r>
        <w:r>
          <w:rPr>
            <w:noProof/>
            <w:webHidden/>
          </w:rPr>
          <w:tab/>
        </w:r>
        <w:r>
          <w:rPr>
            <w:noProof/>
            <w:webHidden/>
          </w:rPr>
          <w:fldChar w:fldCharType="begin"/>
        </w:r>
        <w:r>
          <w:rPr>
            <w:noProof/>
            <w:webHidden/>
          </w:rPr>
          <w:instrText xml:space="preserve"> PAGEREF _Toc216699301 \h </w:instrText>
        </w:r>
        <w:r>
          <w:rPr>
            <w:noProof/>
            <w:webHidden/>
          </w:rPr>
        </w:r>
        <w:r>
          <w:rPr>
            <w:noProof/>
            <w:webHidden/>
          </w:rPr>
          <w:fldChar w:fldCharType="separate"/>
        </w:r>
        <w:r>
          <w:rPr>
            <w:noProof/>
            <w:webHidden/>
          </w:rPr>
          <w:t>22</w:t>
        </w:r>
        <w:r>
          <w:rPr>
            <w:noProof/>
            <w:webHidden/>
          </w:rPr>
          <w:fldChar w:fldCharType="end"/>
        </w:r>
      </w:hyperlink>
    </w:p>
    <w:p w14:paraId="007B614C" w14:textId="621639A2" w:rsidR="00B91EB8" w:rsidRDefault="00B91EB8">
      <w:pPr>
        <w:pStyle w:val="TOC1"/>
        <w:rPr>
          <w:rFonts w:asciiTheme="minorHAnsi" w:eastAsiaTheme="minorEastAsia" w:hAnsiTheme="minorHAnsi" w:cstheme="minorBidi"/>
          <w:b w:val="0"/>
          <w:caps w:val="0"/>
          <w:noProof/>
          <w:color w:val="auto"/>
          <w:kern w:val="2"/>
          <w:sz w:val="24"/>
          <w:szCs w:val="24"/>
          <w:lang w:eastAsia="en-AU"/>
          <w14:ligatures w14:val="standardContextual"/>
        </w:rPr>
      </w:pPr>
      <w:hyperlink w:anchor="_Toc216699302" w:history="1">
        <w:r w:rsidRPr="00683E1E">
          <w:rPr>
            <w:rStyle w:val="Hyperlink"/>
            <w:noProof/>
          </w:rPr>
          <w:t>5</w:t>
        </w:r>
        <w:r>
          <w:rPr>
            <w:rFonts w:asciiTheme="minorHAnsi" w:eastAsiaTheme="minorEastAsia" w:hAnsiTheme="minorHAnsi" w:cstheme="minorBidi"/>
            <w:b w:val="0"/>
            <w:caps w:val="0"/>
            <w:noProof/>
            <w:color w:val="auto"/>
            <w:kern w:val="2"/>
            <w:sz w:val="24"/>
            <w:szCs w:val="24"/>
            <w:lang w:eastAsia="en-AU"/>
            <w14:ligatures w14:val="standardContextual"/>
          </w:rPr>
          <w:tab/>
        </w:r>
        <w:r w:rsidRPr="00683E1E">
          <w:rPr>
            <w:rStyle w:val="Hyperlink"/>
            <w:noProof/>
          </w:rPr>
          <w:t>EXISTING</w:t>
        </w:r>
        <w:r w:rsidRPr="00683E1E">
          <w:rPr>
            <w:rStyle w:val="Hyperlink"/>
            <w:noProof/>
            <w:spacing w:val="-3"/>
          </w:rPr>
          <w:t xml:space="preserve"> </w:t>
        </w:r>
        <w:r w:rsidRPr="00683E1E">
          <w:rPr>
            <w:rStyle w:val="Hyperlink"/>
            <w:noProof/>
          </w:rPr>
          <w:t>ENVIRONMENT</w:t>
        </w:r>
        <w:r>
          <w:rPr>
            <w:noProof/>
            <w:webHidden/>
          </w:rPr>
          <w:tab/>
        </w:r>
        <w:r>
          <w:rPr>
            <w:noProof/>
            <w:webHidden/>
          </w:rPr>
          <w:fldChar w:fldCharType="begin"/>
        </w:r>
        <w:r>
          <w:rPr>
            <w:noProof/>
            <w:webHidden/>
          </w:rPr>
          <w:instrText xml:space="preserve"> PAGEREF _Toc216699302 \h </w:instrText>
        </w:r>
        <w:r>
          <w:rPr>
            <w:noProof/>
            <w:webHidden/>
          </w:rPr>
        </w:r>
        <w:r>
          <w:rPr>
            <w:noProof/>
            <w:webHidden/>
          </w:rPr>
          <w:fldChar w:fldCharType="separate"/>
        </w:r>
        <w:r>
          <w:rPr>
            <w:noProof/>
            <w:webHidden/>
          </w:rPr>
          <w:t>25</w:t>
        </w:r>
        <w:r>
          <w:rPr>
            <w:noProof/>
            <w:webHidden/>
          </w:rPr>
          <w:fldChar w:fldCharType="end"/>
        </w:r>
      </w:hyperlink>
    </w:p>
    <w:p w14:paraId="185041CE" w14:textId="6D0E376B"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303" w:history="1">
        <w:r w:rsidRPr="00683E1E">
          <w:rPr>
            <w:rStyle w:val="Hyperlink"/>
            <w:noProof/>
          </w:rPr>
          <w:t>5.1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Physical</w:t>
        </w:r>
        <w:r w:rsidRPr="00683E1E">
          <w:rPr>
            <w:rStyle w:val="Hyperlink"/>
            <w:noProof/>
            <w:spacing w:val="-14"/>
          </w:rPr>
          <w:t xml:space="preserve"> </w:t>
        </w:r>
        <w:r w:rsidRPr="00683E1E">
          <w:rPr>
            <w:rStyle w:val="Hyperlink"/>
            <w:noProof/>
          </w:rPr>
          <w:t>environment</w:t>
        </w:r>
        <w:r>
          <w:rPr>
            <w:noProof/>
            <w:webHidden/>
          </w:rPr>
          <w:tab/>
        </w:r>
        <w:r>
          <w:rPr>
            <w:noProof/>
            <w:webHidden/>
          </w:rPr>
          <w:fldChar w:fldCharType="begin"/>
        </w:r>
        <w:r>
          <w:rPr>
            <w:noProof/>
            <w:webHidden/>
          </w:rPr>
          <w:instrText xml:space="preserve"> PAGEREF _Toc216699303 \h </w:instrText>
        </w:r>
        <w:r>
          <w:rPr>
            <w:noProof/>
            <w:webHidden/>
          </w:rPr>
        </w:r>
        <w:r>
          <w:rPr>
            <w:noProof/>
            <w:webHidden/>
          </w:rPr>
          <w:fldChar w:fldCharType="separate"/>
        </w:r>
        <w:r>
          <w:rPr>
            <w:noProof/>
            <w:webHidden/>
          </w:rPr>
          <w:t>25</w:t>
        </w:r>
        <w:r>
          <w:rPr>
            <w:noProof/>
            <w:webHidden/>
          </w:rPr>
          <w:fldChar w:fldCharType="end"/>
        </w:r>
      </w:hyperlink>
    </w:p>
    <w:p w14:paraId="59F94138" w14:textId="69FB7290"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04" w:history="1">
        <w:r w:rsidRPr="00683E1E">
          <w:rPr>
            <w:rStyle w:val="Hyperlink"/>
            <w:noProof/>
          </w:rPr>
          <w:t>5.1.1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Hydrodynamics</w:t>
        </w:r>
        <w:r>
          <w:rPr>
            <w:noProof/>
            <w:webHidden/>
          </w:rPr>
          <w:tab/>
        </w:r>
        <w:r>
          <w:rPr>
            <w:noProof/>
            <w:webHidden/>
          </w:rPr>
          <w:fldChar w:fldCharType="begin"/>
        </w:r>
        <w:r>
          <w:rPr>
            <w:noProof/>
            <w:webHidden/>
          </w:rPr>
          <w:instrText xml:space="preserve"> PAGEREF _Toc216699304 \h </w:instrText>
        </w:r>
        <w:r>
          <w:rPr>
            <w:noProof/>
            <w:webHidden/>
          </w:rPr>
        </w:r>
        <w:r>
          <w:rPr>
            <w:noProof/>
            <w:webHidden/>
          </w:rPr>
          <w:fldChar w:fldCharType="separate"/>
        </w:r>
        <w:r>
          <w:rPr>
            <w:noProof/>
            <w:webHidden/>
          </w:rPr>
          <w:t>25</w:t>
        </w:r>
        <w:r>
          <w:rPr>
            <w:noProof/>
            <w:webHidden/>
          </w:rPr>
          <w:fldChar w:fldCharType="end"/>
        </w:r>
      </w:hyperlink>
    </w:p>
    <w:p w14:paraId="4A47EE54" w14:textId="7E9852A2"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05" w:history="1">
        <w:r w:rsidRPr="00683E1E">
          <w:rPr>
            <w:rStyle w:val="Hyperlink"/>
            <w:noProof/>
          </w:rPr>
          <w:t>5.1.2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Climate</w:t>
        </w:r>
        <w:r>
          <w:rPr>
            <w:noProof/>
            <w:webHidden/>
          </w:rPr>
          <w:tab/>
        </w:r>
        <w:r>
          <w:rPr>
            <w:noProof/>
            <w:webHidden/>
          </w:rPr>
          <w:fldChar w:fldCharType="begin"/>
        </w:r>
        <w:r>
          <w:rPr>
            <w:noProof/>
            <w:webHidden/>
          </w:rPr>
          <w:instrText xml:space="preserve"> PAGEREF _Toc216699305 \h </w:instrText>
        </w:r>
        <w:r>
          <w:rPr>
            <w:noProof/>
            <w:webHidden/>
          </w:rPr>
        </w:r>
        <w:r>
          <w:rPr>
            <w:noProof/>
            <w:webHidden/>
          </w:rPr>
          <w:fldChar w:fldCharType="separate"/>
        </w:r>
        <w:r>
          <w:rPr>
            <w:noProof/>
            <w:webHidden/>
          </w:rPr>
          <w:t>25</w:t>
        </w:r>
        <w:r>
          <w:rPr>
            <w:noProof/>
            <w:webHidden/>
          </w:rPr>
          <w:fldChar w:fldCharType="end"/>
        </w:r>
      </w:hyperlink>
    </w:p>
    <w:p w14:paraId="448EDABE" w14:textId="07042652"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06" w:history="1">
        <w:r w:rsidRPr="00683E1E">
          <w:rPr>
            <w:rStyle w:val="Hyperlink"/>
            <w:noProof/>
          </w:rPr>
          <w:t>5.1.3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Water</w:t>
        </w:r>
        <w:r w:rsidRPr="00683E1E">
          <w:rPr>
            <w:rStyle w:val="Hyperlink"/>
            <w:noProof/>
            <w:spacing w:val="-3"/>
          </w:rPr>
          <w:t xml:space="preserve"> </w:t>
        </w:r>
        <w:r w:rsidRPr="00683E1E">
          <w:rPr>
            <w:rStyle w:val="Hyperlink"/>
            <w:noProof/>
          </w:rPr>
          <w:t>quality</w:t>
        </w:r>
        <w:r>
          <w:rPr>
            <w:noProof/>
            <w:webHidden/>
          </w:rPr>
          <w:tab/>
        </w:r>
        <w:r>
          <w:rPr>
            <w:noProof/>
            <w:webHidden/>
          </w:rPr>
          <w:fldChar w:fldCharType="begin"/>
        </w:r>
        <w:r>
          <w:rPr>
            <w:noProof/>
            <w:webHidden/>
          </w:rPr>
          <w:instrText xml:space="preserve"> PAGEREF _Toc216699306 \h </w:instrText>
        </w:r>
        <w:r>
          <w:rPr>
            <w:noProof/>
            <w:webHidden/>
          </w:rPr>
        </w:r>
        <w:r>
          <w:rPr>
            <w:noProof/>
            <w:webHidden/>
          </w:rPr>
          <w:fldChar w:fldCharType="separate"/>
        </w:r>
        <w:r>
          <w:rPr>
            <w:noProof/>
            <w:webHidden/>
          </w:rPr>
          <w:t>25</w:t>
        </w:r>
        <w:r>
          <w:rPr>
            <w:noProof/>
            <w:webHidden/>
          </w:rPr>
          <w:fldChar w:fldCharType="end"/>
        </w:r>
      </w:hyperlink>
    </w:p>
    <w:p w14:paraId="376A76C7" w14:textId="1630D40F"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07" w:history="1">
        <w:r w:rsidRPr="00683E1E">
          <w:rPr>
            <w:rStyle w:val="Hyperlink"/>
            <w:noProof/>
          </w:rPr>
          <w:t>5.1.4</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Sediment</w:t>
        </w:r>
        <w:r w:rsidRPr="00683E1E">
          <w:rPr>
            <w:rStyle w:val="Hyperlink"/>
            <w:noProof/>
            <w:spacing w:val="-5"/>
          </w:rPr>
          <w:t xml:space="preserve"> </w:t>
        </w:r>
        <w:r w:rsidRPr="00683E1E">
          <w:rPr>
            <w:rStyle w:val="Hyperlink"/>
            <w:noProof/>
            <w:spacing w:val="-2"/>
          </w:rPr>
          <w:t>quality</w:t>
        </w:r>
        <w:r>
          <w:rPr>
            <w:noProof/>
            <w:webHidden/>
          </w:rPr>
          <w:tab/>
        </w:r>
        <w:r>
          <w:rPr>
            <w:noProof/>
            <w:webHidden/>
          </w:rPr>
          <w:fldChar w:fldCharType="begin"/>
        </w:r>
        <w:r>
          <w:rPr>
            <w:noProof/>
            <w:webHidden/>
          </w:rPr>
          <w:instrText xml:space="preserve"> PAGEREF _Toc216699307 \h </w:instrText>
        </w:r>
        <w:r>
          <w:rPr>
            <w:noProof/>
            <w:webHidden/>
          </w:rPr>
        </w:r>
        <w:r>
          <w:rPr>
            <w:noProof/>
            <w:webHidden/>
          </w:rPr>
          <w:fldChar w:fldCharType="separate"/>
        </w:r>
        <w:r>
          <w:rPr>
            <w:noProof/>
            <w:webHidden/>
          </w:rPr>
          <w:t>25</w:t>
        </w:r>
        <w:r>
          <w:rPr>
            <w:noProof/>
            <w:webHidden/>
          </w:rPr>
          <w:fldChar w:fldCharType="end"/>
        </w:r>
      </w:hyperlink>
    </w:p>
    <w:p w14:paraId="0A5B7C46" w14:textId="4BF498D0"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308" w:history="1">
        <w:r w:rsidRPr="00683E1E">
          <w:rPr>
            <w:rStyle w:val="Hyperlink"/>
            <w:noProof/>
          </w:rPr>
          <w:t>5.2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Biological</w:t>
        </w:r>
        <w:r w:rsidRPr="00683E1E">
          <w:rPr>
            <w:rStyle w:val="Hyperlink"/>
            <w:noProof/>
            <w:spacing w:val="-17"/>
          </w:rPr>
          <w:t xml:space="preserve"> </w:t>
        </w:r>
        <w:r w:rsidRPr="00683E1E">
          <w:rPr>
            <w:rStyle w:val="Hyperlink"/>
            <w:noProof/>
            <w:spacing w:val="-2"/>
          </w:rPr>
          <w:t>environment</w:t>
        </w:r>
        <w:r>
          <w:rPr>
            <w:noProof/>
            <w:webHidden/>
          </w:rPr>
          <w:tab/>
        </w:r>
        <w:r>
          <w:rPr>
            <w:noProof/>
            <w:webHidden/>
          </w:rPr>
          <w:fldChar w:fldCharType="begin"/>
        </w:r>
        <w:r>
          <w:rPr>
            <w:noProof/>
            <w:webHidden/>
          </w:rPr>
          <w:instrText xml:space="preserve"> PAGEREF _Toc216699308 \h </w:instrText>
        </w:r>
        <w:r>
          <w:rPr>
            <w:noProof/>
            <w:webHidden/>
          </w:rPr>
        </w:r>
        <w:r>
          <w:rPr>
            <w:noProof/>
            <w:webHidden/>
          </w:rPr>
          <w:fldChar w:fldCharType="separate"/>
        </w:r>
        <w:r>
          <w:rPr>
            <w:noProof/>
            <w:webHidden/>
          </w:rPr>
          <w:t>26</w:t>
        </w:r>
        <w:r>
          <w:rPr>
            <w:noProof/>
            <w:webHidden/>
          </w:rPr>
          <w:fldChar w:fldCharType="end"/>
        </w:r>
      </w:hyperlink>
    </w:p>
    <w:p w14:paraId="72BB43F2" w14:textId="2320FE53"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09" w:history="1">
        <w:r w:rsidRPr="00683E1E">
          <w:rPr>
            <w:rStyle w:val="Hyperlink"/>
            <w:i/>
            <w:iCs/>
            <w:noProof/>
          </w:rPr>
          <w:t>5.2.1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i/>
            <w:iCs/>
            <w:noProof/>
          </w:rPr>
          <w:t>Environment</w:t>
        </w:r>
        <w:r w:rsidRPr="00683E1E">
          <w:rPr>
            <w:rStyle w:val="Hyperlink"/>
            <w:i/>
            <w:iCs/>
            <w:noProof/>
            <w:spacing w:val="-6"/>
          </w:rPr>
          <w:t xml:space="preserve"> </w:t>
        </w:r>
        <w:r w:rsidRPr="00683E1E">
          <w:rPr>
            <w:rStyle w:val="Hyperlink"/>
            <w:i/>
            <w:iCs/>
            <w:noProof/>
          </w:rPr>
          <w:t>Protection</w:t>
        </w:r>
        <w:r w:rsidRPr="00683E1E">
          <w:rPr>
            <w:rStyle w:val="Hyperlink"/>
            <w:i/>
            <w:iCs/>
            <w:noProof/>
            <w:spacing w:val="-6"/>
          </w:rPr>
          <w:t xml:space="preserve"> </w:t>
        </w:r>
        <w:r w:rsidRPr="00683E1E">
          <w:rPr>
            <w:rStyle w:val="Hyperlink"/>
            <w:i/>
            <w:iCs/>
            <w:noProof/>
          </w:rPr>
          <w:t>and</w:t>
        </w:r>
        <w:r w:rsidRPr="00683E1E">
          <w:rPr>
            <w:rStyle w:val="Hyperlink"/>
            <w:i/>
            <w:iCs/>
            <w:noProof/>
            <w:spacing w:val="-6"/>
          </w:rPr>
          <w:t xml:space="preserve"> </w:t>
        </w:r>
        <w:r w:rsidRPr="00683E1E">
          <w:rPr>
            <w:rStyle w:val="Hyperlink"/>
            <w:i/>
            <w:iCs/>
            <w:noProof/>
          </w:rPr>
          <w:t>Biodiversity</w:t>
        </w:r>
        <w:r w:rsidRPr="00683E1E">
          <w:rPr>
            <w:rStyle w:val="Hyperlink"/>
            <w:i/>
            <w:iCs/>
            <w:noProof/>
            <w:spacing w:val="-5"/>
          </w:rPr>
          <w:t xml:space="preserve"> </w:t>
        </w:r>
        <w:r w:rsidRPr="00683E1E">
          <w:rPr>
            <w:rStyle w:val="Hyperlink"/>
            <w:i/>
            <w:iCs/>
            <w:noProof/>
          </w:rPr>
          <w:t>Conservation</w:t>
        </w:r>
        <w:r w:rsidRPr="00683E1E">
          <w:rPr>
            <w:rStyle w:val="Hyperlink"/>
            <w:i/>
            <w:iCs/>
            <w:noProof/>
            <w:spacing w:val="-5"/>
          </w:rPr>
          <w:t xml:space="preserve"> </w:t>
        </w:r>
        <w:r w:rsidRPr="00683E1E">
          <w:rPr>
            <w:rStyle w:val="Hyperlink"/>
            <w:i/>
            <w:iCs/>
            <w:noProof/>
          </w:rPr>
          <w:t>Act</w:t>
        </w:r>
        <w:r w:rsidRPr="00683E1E">
          <w:rPr>
            <w:rStyle w:val="Hyperlink"/>
            <w:i/>
            <w:iCs/>
            <w:noProof/>
            <w:spacing w:val="-5"/>
          </w:rPr>
          <w:t xml:space="preserve"> </w:t>
        </w:r>
        <w:r w:rsidRPr="00683E1E">
          <w:rPr>
            <w:rStyle w:val="Hyperlink"/>
            <w:i/>
            <w:iCs/>
            <w:noProof/>
            <w:spacing w:val="-4"/>
          </w:rPr>
          <w:t>1999</w:t>
        </w:r>
        <w:r>
          <w:rPr>
            <w:noProof/>
            <w:webHidden/>
          </w:rPr>
          <w:tab/>
        </w:r>
        <w:r>
          <w:rPr>
            <w:noProof/>
            <w:webHidden/>
          </w:rPr>
          <w:fldChar w:fldCharType="begin"/>
        </w:r>
        <w:r>
          <w:rPr>
            <w:noProof/>
            <w:webHidden/>
          </w:rPr>
          <w:instrText xml:space="preserve"> PAGEREF _Toc216699309 \h </w:instrText>
        </w:r>
        <w:r>
          <w:rPr>
            <w:noProof/>
            <w:webHidden/>
          </w:rPr>
        </w:r>
        <w:r>
          <w:rPr>
            <w:noProof/>
            <w:webHidden/>
          </w:rPr>
          <w:fldChar w:fldCharType="separate"/>
        </w:r>
        <w:r>
          <w:rPr>
            <w:noProof/>
            <w:webHidden/>
          </w:rPr>
          <w:t>26</w:t>
        </w:r>
        <w:r>
          <w:rPr>
            <w:noProof/>
            <w:webHidden/>
          </w:rPr>
          <w:fldChar w:fldCharType="end"/>
        </w:r>
      </w:hyperlink>
    </w:p>
    <w:p w14:paraId="152A95CD" w14:textId="221F7491"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10" w:history="1">
        <w:r w:rsidRPr="00683E1E">
          <w:rPr>
            <w:rStyle w:val="Hyperlink"/>
            <w:i/>
            <w:iCs/>
            <w:noProof/>
          </w:rPr>
          <w:t>5.2.2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i/>
            <w:iCs/>
            <w:noProof/>
          </w:rPr>
          <w:t>Nature</w:t>
        </w:r>
        <w:r w:rsidRPr="00683E1E">
          <w:rPr>
            <w:rStyle w:val="Hyperlink"/>
            <w:i/>
            <w:iCs/>
            <w:noProof/>
            <w:spacing w:val="-4"/>
          </w:rPr>
          <w:t xml:space="preserve"> </w:t>
        </w:r>
        <w:r w:rsidRPr="00683E1E">
          <w:rPr>
            <w:rStyle w:val="Hyperlink"/>
            <w:i/>
            <w:iCs/>
            <w:noProof/>
          </w:rPr>
          <w:t>Conservation</w:t>
        </w:r>
        <w:r w:rsidRPr="00683E1E">
          <w:rPr>
            <w:rStyle w:val="Hyperlink"/>
            <w:i/>
            <w:iCs/>
            <w:noProof/>
            <w:spacing w:val="-4"/>
          </w:rPr>
          <w:t xml:space="preserve"> </w:t>
        </w:r>
        <w:r w:rsidRPr="00683E1E">
          <w:rPr>
            <w:rStyle w:val="Hyperlink"/>
            <w:i/>
            <w:iCs/>
            <w:noProof/>
          </w:rPr>
          <w:t>Act</w:t>
        </w:r>
        <w:r w:rsidRPr="00683E1E">
          <w:rPr>
            <w:rStyle w:val="Hyperlink"/>
            <w:i/>
            <w:iCs/>
            <w:noProof/>
            <w:spacing w:val="-6"/>
          </w:rPr>
          <w:t xml:space="preserve"> </w:t>
        </w:r>
        <w:r w:rsidRPr="00683E1E">
          <w:rPr>
            <w:rStyle w:val="Hyperlink"/>
            <w:i/>
            <w:iCs/>
            <w:noProof/>
          </w:rPr>
          <w:t>1992</w:t>
        </w:r>
        <w:r w:rsidRPr="00683E1E">
          <w:rPr>
            <w:rStyle w:val="Hyperlink"/>
            <w:i/>
            <w:iCs/>
            <w:noProof/>
            <w:spacing w:val="-5"/>
          </w:rPr>
          <w:t xml:space="preserve"> </w:t>
        </w:r>
        <w:r w:rsidRPr="00683E1E">
          <w:rPr>
            <w:rStyle w:val="Hyperlink"/>
            <w:i/>
            <w:iCs/>
            <w:noProof/>
          </w:rPr>
          <w:t>Threatened</w:t>
        </w:r>
        <w:r w:rsidRPr="00683E1E">
          <w:rPr>
            <w:rStyle w:val="Hyperlink"/>
            <w:i/>
            <w:iCs/>
            <w:noProof/>
            <w:spacing w:val="-4"/>
          </w:rPr>
          <w:t xml:space="preserve"> </w:t>
        </w:r>
        <w:r w:rsidRPr="00683E1E">
          <w:rPr>
            <w:rStyle w:val="Hyperlink"/>
            <w:i/>
            <w:iCs/>
            <w:noProof/>
            <w:spacing w:val="-2"/>
          </w:rPr>
          <w:t>Species</w:t>
        </w:r>
        <w:r>
          <w:rPr>
            <w:noProof/>
            <w:webHidden/>
          </w:rPr>
          <w:tab/>
        </w:r>
        <w:r>
          <w:rPr>
            <w:noProof/>
            <w:webHidden/>
          </w:rPr>
          <w:fldChar w:fldCharType="begin"/>
        </w:r>
        <w:r>
          <w:rPr>
            <w:noProof/>
            <w:webHidden/>
          </w:rPr>
          <w:instrText xml:space="preserve"> PAGEREF _Toc216699310 \h </w:instrText>
        </w:r>
        <w:r>
          <w:rPr>
            <w:noProof/>
            <w:webHidden/>
          </w:rPr>
        </w:r>
        <w:r>
          <w:rPr>
            <w:noProof/>
            <w:webHidden/>
          </w:rPr>
          <w:fldChar w:fldCharType="separate"/>
        </w:r>
        <w:r>
          <w:rPr>
            <w:noProof/>
            <w:webHidden/>
          </w:rPr>
          <w:t>26</w:t>
        </w:r>
        <w:r>
          <w:rPr>
            <w:noProof/>
            <w:webHidden/>
          </w:rPr>
          <w:fldChar w:fldCharType="end"/>
        </w:r>
      </w:hyperlink>
    </w:p>
    <w:p w14:paraId="1DC188C1" w14:textId="260D2800"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11" w:history="1">
        <w:r w:rsidRPr="00683E1E">
          <w:rPr>
            <w:rStyle w:val="Hyperlink"/>
            <w:noProof/>
          </w:rPr>
          <w:t>5.2.3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Marine</w:t>
        </w:r>
        <w:r w:rsidRPr="00683E1E">
          <w:rPr>
            <w:rStyle w:val="Hyperlink"/>
            <w:noProof/>
            <w:spacing w:val="-3"/>
          </w:rPr>
          <w:t xml:space="preserve"> </w:t>
        </w:r>
        <w:r w:rsidRPr="00683E1E">
          <w:rPr>
            <w:rStyle w:val="Hyperlink"/>
            <w:noProof/>
          </w:rPr>
          <w:t>fauna</w:t>
        </w:r>
        <w:r w:rsidRPr="00683E1E">
          <w:rPr>
            <w:rStyle w:val="Hyperlink"/>
            <w:noProof/>
            <w:spacing w:val="-2"/>
          </w:rPr>
          <w:t xml:space="preserve"> </w:t>
        </w:r>
        <w:r w:rsidRPr="00683E1E">
          <w:rPr>
            <w:rStyle w:val="Hyperlink"/>
            <w:noProof/>
          </w:rPr>
          <w:t>and</w:t>
        </w:r>
        <w:r w:rsidRPr="00683E1E">
          <w:rPr>
            <w:rStyle w:val="Hyperlink"/>
            <w:noProof/>
            <w:spacing w:val="-2"/>
          </w:rPr>
          <w:t xml:space="preserve"> </w:t>
        </w:r>
        <w:r w:rsidRPr="00683E1E">
          <w:rPr>
            <w:rStyle w:val="Hyperlink"/>
            <w:noProof/>
            <w:spacing w:val="-4"/>
          </w:rPr>
          <w:t>flora</w:t>
        </w:r>
        <w:r>
          <w:rPr>
            <w:noProof/>
            <w:webHidden/>
          </w:rPr>
          <w:tab/>
        </w:r>
        <w:r>
          <w:rPr>
            <w:noProof/>
            <w:webHidden/>
          </w:rPr>
          <w:fldChar w:fldCharType="begin"/>
        </w:r>
        <w:r>
          <w:rPr>
            <w:noProof/>
            <w:webHidden/>
          </w:rPr>
          <w:instrText xml:space="preserve"> PAGEREF _Toc216699311 \h </w:instrText>
        </w:r>
        <w:r>
          <w:rPr>
            <w:noProof/>
            <w:webHidden/>
          </w:rPr>
        </w:r>
        <w:r>
          <w:rPr>
            <w:noProof/>
            <w:webHidden/>
          </w:rPr>
          <w:fldChar w:fldCharType="separate"/>
        </w:r>
        <w:r>
          <w:rPr>
            <w:noProof/>
            <w:webHidden/>
          </w:rPr>
          <w:t>27</w:t>
        </w:r>
        <w:r>
          <w:rPr>
            <w:noProof/>
            <w:webHidden/>
          </w:rPr>
          <w:fldChar w:fldCharType="end"/>
        </w:r>
      </w:hyperlink>
    </w:p>
    <w:p w14:paraId="24A81F32" w14:textId="4374C31A"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12" w:history="1">
        <w:r w:rsidRPr="00683E1E">
          <w:rPr>
            <w:rStyle w:val="Hyperlink"/>
            <w:noProof/>
          </w:rPr>
          <w:t>5.2.4</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Terrestrial</w:t>
        </w:r>
        <w:r w:rsidRPr="00683E1E">
          <w:rPr>
            <w:rStyle w:val="Hyperlink"/>
            <w:noProof/>
            <w:spacing w:val="-5"/>
          </w:rPr>
          <w:t xml:space="preserve"> </w:t>
        </w:r>
        <w:r w:rsidRPr="00683E1E">
          <w:rPr>
            <w:rStyle w:val="Hyperlink"/>
            <w:noProof/>
          </w:rPr>
          <w:t>fauna</w:t>
        </w:r>
        <w:r w:rsidRPr="00683E1E">
          <w:rPr>
            <w:rStyle w:val="Hyperlink"/>
            <w:noProof/>
            <w:spacing w:val="-3"/>
          </w:rPr>
          <w:t xml:space="preserve"> </w:t>
        </w:r>
        <w:r w:rsidRPr="00683E1E">
          <w:rPr>
            <w:rStyle w:val="Hyperlink"/>
            <w:noProof/>
          </w:rPr>
          <w:t>and</w:t>
        </w:r>
        <w:r w:rsidRPr="00683E1E">
          <w:rPr>
            <w:rStyle w:val="Hyperlink"/>
            <w:noProof/>
            <w:spacing w:val="-3"/>
          </w:rPr>
          <w:t xml:space="preserve"> </w:t>
        </w:r>
        <w:r w:rsidRPr="00683E1E">
          <w:rPr>
            <w:rStyle w:val="Hyperlink"/>
            <w:noProof/>
            <w:spacing w:val="-4"/>
          </w:rPr>
          <w:t>flora</w:t>
        </w:r>
        <w:r>
          <w:rPr>
            <w:noProof/>
            <w:webHidden/>
          </w:rPr>
          <w:tab/>
        </w:r>
        <w:r>
          <w:rPr>
            <w:noProof/>
            <w:webHidden/>
          </w:rPr>
          <w:fldChar w:fldCharType="begin"/>
        </w:r>
        <w:r>
          <w:rPr>
            <w:noProof/>
            <w:webHidden/>
          </w:rPr>
          <w:instrText xml:space="preserve"> PAGEREF _Toc216699312 \h </w:instrText>
        </w:r>
        <w:r>
          <w:rPr>
            <w:noProof/>
            <w:webHidden/>
          </w:rPr>
        </w:r>
        <w:r>
          <w:rPr>
            <w:noProof/>
            <w:webHidden/>
          </w:rPr>
          <w:fldChar w:fldCharType="separate"/>
        </w:r>
        <w:r>
          <w:rPr>
            <w:noProof/>
            <w:webHidden/>
          </w:rPr>
          <w:t>34</w:t>
        </w:r>
        <w:r>
          <w:rPr>
            <w:noProof/>
            <w:webHidden/>
          </w:rPr>
          <w:fldChar w:fldCharType="end"/>
        </w:r>
      </w:hyperlink>
    </w:p>
    <w:p w14:paraId="60C174CA" w14:textId="115F8066" w:rsidR="00B91EB8" w:rsidRDefault="00B91EB8">
      <w:pPr>
        <w:pStyle w:val="TOC1"/>
        <w:rPr>
          <w:rFonts w:asciiTheme="minorHAnsi" w:eastAsiaTheme="minorEastAsia" w:hAnsiTheme="minorHAnsi" w:cstheme="minorBidi"/>
          <w:b w:val="0"/>
          <w:caps w:val="0"/>
          <w:noProof/>
          <w:color w:val="auto"/>
          <w:kern w:val="2"/>
          <w:sz w:val="24"/>
          <w:szCs w:val="24"/>
          <w:lang w:eastAsia="en-AU"/>
          <w14:ligatures w14:val="standardContextual"/>
        </w:rPr>
      </w:pPr>
      <w:hyperlink w:anchor="_Toc216699313" w:history="1">
        <w:r w:rsidRPr="00683E1E">
          <w:rPr>
            <w:rStyle w:val="Hyperlink"/>
            <w:noProof/>
          </w:rPr>
          <w:t>6</w:t>
        </w:r>
        <w:r>
          <w:rPr>
            <w:rFonts w:asciiTheme="minorHAnsi" w:eastAsiaTheme="minorEastAsia" w:hAnsiTheme="minorHAnsi" w:cstheme="minorBidi"/>
            <w:b w:val="0"/>
            <w:caps w:val="0"/>
            <w:noProof/>
            <w:color w:val="auto"/>
            <w:kern w:val="2"/>
            <w:sz w:val="24"/>
            <w:szCs w:val="24"/>
            <w:lang w:eastAsia="en-AU"/>
            <w14:ligatures w14:val="standardContextual"/>
          </w:rPr>
          <w:tab/>
        </w:r>
        <w:r w:rsidRPr="00683E1E">
          <w:rPr>
            <w:rStyle w:val="Hyperlink"/>
            <w:noProof/>
          </w:rPr>
          <w:t>SOCIAL</w:t>
        </w:r>
        <w:r w:rsidRPr="00683E1E">
          <w:rPr>
            <w:rStyle w:val="Hyperlink"/>
            <w:noProof/>
            <w:spacing w:val="-6"/>
          </w:rPr>
          <w:t xml:space="preserve"> </w:t>
        </w:r>
        <w:r w:rsidRPr="00683E1E">
          <w:rPr>
            <w:rStyle w:val="Hyperlink"/>
            <w:noProof/>
          </w:rPr>
          <w:t>IMPACT</w:t>
        </w:r>
        <w:r w:rsidRPr="00683E1E">
          <w:rPr>
            <w:rStyle w:val="Hyperlink"/>
            <w:noProof/>
            <w:spacing w:val="-3"/>
          </w:rPr>
          <w:t xml:space="preserve"> </w:t>
        </w:r>
        <w:r w:rsidRPr="00683E1E">
          <w:rPr>
            <w:rStyle w:val="Hyperlink"/>
            <w:noProof/>
            <w:spacing w:val="-2"/>
          </w:rPr>
          <w:t>EVALUATION</w:t>
        </w:r>
        <w:r>
          <w:rPr>
            <w:noProof/>
            <w:webHidden/>
          </w:rPr>
          <w:tab/>
        </w:r>
        <w:r>
          <w:rPr>
            <w:noProof/>
            <w:webHidden/>
          </w:rPr>
          <w:fldChar w:fldCharType="begin"/>
        </w:r>
        <w:r>
          <w:rPr>
            <w:noProof/>
            <w:webHidden/>
          </w:rPr>
          <w:instrText xml:space="preserve"> PAGEREF _Toc216699313 \h </w:instrText>
        </w:r>
        <w:r>
          <w:rPr>
            <w:noProof/>
            <w:webHidden/>
          </w:rPr>
        </w:r>
        <w:r>
          <w:rPr>
            <w:noProof/>
            <w:webHidden/>
          </w:rPr>
          <w:fldChar w:fldCharType="separate"/>
        </w:r>
        <w:r>
          <w:rPr>
            <w:noProof/>
            <w:webHidden/>
          </w:rPr>
          <w:t>37</w:t>
        </w:r>
        <w:r>
          <w:rPr>
            <w:noProof/>
            <w:webHidden/>
          </w:rPr>
          <w:fldChar w:fldCharType="end"/>
        </w:r>
      </w:hyperlink>
    </w:p>
    <w:p w14:paraId="78AA48FD" w14:textId="3FAE1068"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314" w:history="1">
        <w:r w:rsidRPr="00683E1E">
          <w:rPr>
            <w:rStyle w:val="Hyperlink"/>
            <w:noProof/>
          </w:rPr>
          <w:t>6.1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Stakeholder</w:t>
        </w:r>
        <w:r w:rsidRPr="00683E1E">
          <w:rPr>
            <w:rStyle w:val="Hyperlink"/>
            <w:noProof/>
            <w:spacing w:val="-18"/>
          </w:rPr>
          <w:t xml:space="preserve"> </w:t>
        </w:r>
        <w:r w:rsidRPr="00683E1E">
          <w:rPr>
            <w:rStyle w:val="Hyperlink"/>
            <w:noProof/>
          </w:rPr>
          <w:t>reference</w:t>
        </w:r>
        <w:r w:rsidRPr="00683E1E">
          <w:rPr>
            <w:rStyle w:val="Hyperlink"/>
            <w:noProof/>
            <w:spacing w:val="-17"/>
          </w:rPr>
          <w:t xml:space="preserve"> </w:t>
        </w:r>
        <w:r w:rsidRPr="00683E1E">
          <w:rPr>
            <w:rStyle w:val="Hyperlink"/>
            <w:noProof/>
            <w:spacing w:val="-4"/>
          </w:rPr>
          <w:t>group</w:t>
        </w:r>
        <w:r>
          <w:rPr>
            <w:noProof/>
            <w:webHidden/>
          </w:rPr>
          <w:tab/>
        </w:r>
        <w:r>
          <w:rPr>
            <w:noProof/>
            <w:webHidden/>
          </w:rPr>
          <w:fldChar w:fldCharType="begin"/>
        </w:r>
        <w:r>
          <w:rPr>
            <w:noProof/>
            <w:webHidden/>
          </w:rPr>
          <w:instrText xml:space="preserve"> PAGEREF _Toc216699314 \h </w:instrText>
        </w:r>
        <w:r>
          <w:rPr>
            <w:noProof/>
            <w:webHidden/>
          </w:rPr>
        </w:r>
        <w:r>
          <w:rPr>
            <w:noProof/>
            <w:webHidden/>
          </w:rPr>
          <w:fldChar w:fldCharType="separate"/>
        </w:r>
        <w:r>
          <w:rPr>
            <w:noProof/>
            <w:webHidden/>
          </w:rPr>
          <w:t>37</w:t>
        </w:r>
        <w:r>
          <w:rPr>
            <w:noProof/>
            <w:webHidden/>
          </w:rPr>
          <w:fldChar w:fldCharType="end"/>
        </w:r>
      </w:hyperlink>
    </w:p>
    <w:p w14:paraId="37BF096C" w14:textId="20A0EF17" w:rsidR="00B91EB8" w:rsidRDefault="00B91EB8">
      <w:pPr>
        <w:pStyle w:val="TOC5"/>
        <w:rPr>
          <w:rFonts w:asciiTheme="minorHAnsi" w:eastAsiaTheme="minorEastAsia" w:hAnsiTheme="minorHAnsi" w:cstheme="minorBidi"/>
          <w:noProof/>
          <w:color w:val="auto"/>
          <w:kern w:val="2"/>
          <w:sz w:val="24"/>
          <w:szCs w:val="24"/>
          <w:lang w:eastAsia="en-AU"/>
          <w14:ligatures w14:val="standardContextual"/>
        </w:rPr>
      </w:pPr>
      <w:hyperlink w:anchor="_Toc216699315" w:history="1">
        <w:r w:rsidRPr="00683E1E">
          <w:rPr>
            <w:rStyle w:val="Hyperlink"/>
            <w:noProof/>
          </w:rPr>
          <w:t>Long-term,</w:t>
        </w:r>
        <w:r w:rsidRPr="00683E1E">
          <w:rPr>
            <w:rStyle w:val="Hyperlink"/>
            <w:noProof/>
            <w:spacing w:val="-8"/>
          </w:rPr>
          <w:t xml:space="preserve"> </w:t>
        </w:r>
        <w:r w:rsidRPr="00683E1E">
          <w:rPr>
            <w:rStyle w:val="Hyperlink"/>
            <w:noProof/>
          </w:rPr>
          <w:t>proactive</w:t>
        </w:r>
        <w:r w:rsidRPr="00683E1E">
          <w:rPr>
            <w:rStyle w:val="Hyperlink"/>
            <w:noProof/>
            <w:spacing w:val="-5"/>
          </w:rPr>
          <w:t xml:space="preserve"> </w:t>
        </w:r>
        <w:r w:rsidRPr="00683E1E">
          <w:rPr>
            <w:rStyle w:val="Hyperlink"/>
            <w:noProof/>
          </w:rPr>
          <w:t>solutions</w:t>
        </w:r>
        <w:r w:rsidRPr="00683E1E">
          <w:rPr>
            <w:rStyle w:val="Hyperlink"/>
            <w:noProof/>
            <w:spacing w:val="-4"/>
          </w:rPr>
          <w:t xml:space="preserve"> </w:t>
        </w:r>
        <w:r w:rsidRPr="00683E1E">
          <w:rPr>
            <w:rStyle w:val="Hyperlink"/>
            <w:noProof/>
          </w:rPr>
          <w:t>are</w:t>
        </w:r>
        <w:r w:rsidRPr="00683E1E">
          <w:rPr>
            <w:rStyle w:val="Hyperlink"/>
            <w:noProof/>
            <w:spacing w:val="-6"/>
          </w:rPr>
          <w:t xml:space="preserve"> </w:t>
        </w:r>
        <w:r w:rsidRPr="00683E1E">
          <w:rPr>
            <w:rStyle w:val="Hyperlink"/>
            <w:noProof/>
          </w:rPr>
          <w:t>preferred</w:t>
        </w:r>
        <w:r w:rsidRPr="00683E1E">
          <w:rPr>
            <w:rStyle w:val="Hyperlink"/>
            <w:noProof/>
            <w:spacing w:val="-5"/>
          </w:rPr>
          <w:t xml:space="preserve"> </w:t>
        </w:r>
        <w:r w:rsidRPr="00683E1E">
          <w:rPr>
            <w:rStyle w:val="Hyperlink"/>
            <w:noProof/>
          </w:rPr>
          <w:t>over</w:t>
        </w:r>
        <w:r w:rsidRPr="00683E1E">
          <w:rPr>
            <w:rStyle w:val="Hyperlink"/>
            <w:noProof/>
            <w:spacing w:val="-4"/>
          </w:rPr>
          <w:t xml:space="preserve"> </w:t>
        </w:r>
        <w:r w:rsidRPr="00683E1E">
          <w:rPr>
            <w:rStyle w:val="Hyperlink"/>
            <w:noProof/>
          </w:rPr>
          <w:t>reactive</w:t>
        </w:r>
        <w:r w:rsidRPr="00683E1E">
          <w:rPr>
            <w:rStyle w:val="Hyperlink"/>
            <w:noProof/>
            <w:spacing w:val="-5"/>
          </w:rPr>
          <w:t xml:space="preserve"> </w:t>
        </w:r>
        <w:r w:rsidRPr="00683E1E">
          <w:rPr>
            <w:rStyle w:val="Hyperlink"/>
            <w:noProof/>
            <w:spacing w:val="-2"/>
          </w:rPr>
          <w:t>approaches.</w:t>
        </w:r>
        <w:r>
          <w:rPr>
            <w:noProof/>
            <w:webHidden/>
          </w:rPr>
          <w:tab/>
        </w:r>
        <w:r>
          <w:rPr>
            <w:noProof/>
            <w:webHidden/>
          </w:rPr>
          <w:fldChar w:fldCharType="begin"/>
        </w:r>
        <w:r>
          <w:rPr>
            <w:noProof/>
            <w:webHidden/>
          </w:rPr>
          <w:instrText xml:space="preserve"> PAGEREF _Toc216699315 \h </w:instrText>
        </w:r>
        <w:r>
          <w:rPr>
            <w:noProof/>
            <w:webHidden/>
          </w:rPr>
        </w:r>
        <w:r>
          <w:rPr>
            <w:noProof/>
            <w:webHidden/>
          </w:rPr>
          <w:fldChar w:fldCharType="separate"/>
        </w:r>
        <w:r>
          <w:rPr>
            <w:noProof/>
            <w:webHidden/>
          </w:rPr>
          <w:t>39</w:t>
        </w:r>
        <w:r>
          <w:rPr>
            <w:noProof/>
            <w:webHidden/>
          </w:rPr>
          <w:fldChar w:fldCharType="end"/>
        </w:r>
      </w:hyperlink>
    </w:p>
    <w:p w14:paraId="36D94349" w14:textId="14F51973"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16" w:history="1">
        <w:r w:rsidRPr="00683E1E">
          <w:rPr>
            <w:rStyle w:val="Hyperlink"/>
            <w:noProof/>
          </w:rPr>
          <w:t>6.1.1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Social</w:t>
        </w:r>
        <w:r w:rsidRPr="00683E1E">
          <w:rPr>
            <w:rStyle w:val="Hyperlink"/>
            <w:noProof/>
            <w:spacing w:val="-11"/>
          </w:rPr>
          <w:t xml:space="preserve"> </w:t>
        </w:r>
        <w:r w:rsidRPr="00683E1E">
          <w:rPr>
            <w:rStyle w:val="Hyperlink"/>
            <w:noProof/>
          </w:rPr>
          <w:t>impacts</w:t>
        </w:r>
        <w:r w:rsidRPr="00683E1E">
          <w:rPr>
            <w:rStyle w:val="Hyperlink"/>
            <w:noProof/>
            <w:spacing w:val="-10"/>
          </w:rPr>
          <w:t xml:space="preserve"> </w:t>
        </w:r>
        <w:r w:rsidRPr="00683E1E">
          <w:rPr>
            <w:rStyle w:val="Hyperlink"/>
            <w:noProof/>
          </w:rPr>
          <w:t>of</w:t>
        </w:r>
        <w:r w:rsidRPr="00683E1E">
          <w:rPr>
            <w:rStyle w:val="Hyperlink"/>
            <w:noProof/>
            <w:spacing w:val="-11"/>
          </w:rPr>
          <w:t xml:space="preserve"> </w:t>
        </w:r>
        <w:r w:rsidRPr="00683E1E">
          <w:rPr>
            <w:rStyle w:val="Hyperlink"/>
            <w:noProof/>
          </w:rPr>
          <w:t>long-term</w:t>
        </w:r>
        <w:r w:rsidRPr="00683E1E">
          <w:rPr>
            <w:rStyle w:val="Hyperlink"/>
            <w:noProof/>
            <w:spacing w:val="-11"/>
          </w:rPr>
          <w:t xml:space="preserve"> </w:t>
        </w:r>
        <w:r w:rsidRPr="00683E1E">
          <w:rPr>
            <w:rStyle w:val="Hyperlink"/>
            <w:noProof/>
            <w:spacing w:val="-2"/>
          </w:rPr>
          <w:t>options</w:t>
        </w:r>
        <w:r>
          <w:rPr>
            <w:noProof/>
            <w:webHidden/>
          </w:rPr>
          <w:tab/>
        </w:r>
        <w:r>
          <w:rPr>
            <w:noProof/>
            <w:webHidden/>
          </w:rPr>
          <w:fldChar w:fldCharType="begin"/>
        </w:r>
        <w:r>
          <w:rPr>
            <w:noProof/>
            <w:webHidden/>
          </w:rPr>
          <w:instrText xml:space="preserve"> PAGEREF _Toc216699316 \h </w:instrText>
        </w:r>
        <w:r>
          <w:rPr>
            <w:noProof/>
            <w:webHidden/>
          </w:rPr>
        </w:r>
        <w:r>
          <w:rPr>
            <w:noProof/>
            <w:webHidden/>
          </w:rPr>
          <w:fldChar w:fldCharType="separate"/>
        </w:r>
        <w:r>
          <w:rPr>
            <w:noProof/>
            <w:webHidden/>
          </w:rPr>
          <w:t>39</w:t>
        </w:r>
        <w:r>
          <w:rPr>
            <w:noProof/>
            <w:webHidden/>
          </w:rPr>
          <w:fldChar w:fldCharType="end"/>
        </w:r>
      </w:hyperlink>
    </w:p>
    <w:p w14:paraId="47F71332" w14:textId="7904D8DD"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17" w:history="1">
        <w:r w:rsidRPr="00683E1E">
          <w:rPr>
            <w:rStyle w:val="Hyperlink"/>
            <w:noProof/>
          </w:rPr>
          <w:t>6.1.2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Social</w:t>
        </w:r>
        <w:r w:rsidRPr="00683E1E">
          <w:rPr>
            <w:rStyle w:val="Hyperlink"/>
            <w:noProof/>
            <w:spacing w:val="-11"/>
          </w:rPr>
          <w:t xml:space="preserve"> </w:t>
        </w:r>
        <w:r w:rsidRPr="00683E1E">
          <w:rPr>
            <w:rStyle w:val="Hyperlink"/>
            <w:noProof/>
            <w:spacing w:val="-2"/>
          </w:rPr>
          <w:t>values</w:t>
        </w:r>
        <w:r>
          <w:rPr>
            <w:noProof/>
            <w:webHidden/>
          </w:rPr>
          <w:tab/>
        </w:r>
        <w:r>
          <w:rPr>
            <w:noProof/>
            <w:webHidden/>
          </w:rPr>
          <w:fldChar w:fldCharType="begin"/>
        </w:r>
        <w:r>
          <w:rPr>
            <w:noProof/>
            <w:webHidden/>
          </w:rPr>
          <w:instrText xml:space="preserve"> PAGEREF _Toc216699317 \h </w:instrText>
        </w:r>
        <w:r>
          <w:rPr>
            <w:noProof/>
            <w:webHidden/>
          </w:rPr>
        </w:r>
        <w:r>
          <w:rPr>
            <w:noProof/>
            <w:webHidden/>
          </w:rPr>
          <w:fldChar w:fldCharType="separate"/>
        </w:r>
        <w:r>
          <w:rPr>
            <w:noProof/>
            <w:webHidden/>
          </w:rPr>
          <w:t>40</w:t>
        </w:r>
        <w:r>
          <w:rPr>
            <w:noProof/>
            <w:webHidden/>
          </w:rPr>
          <w:fldChar w:fldCharType="end"/>
        </w:r>
      </w:hyperlink>
    </w:p>
    <w:p w14:paraId="6CA85089" w14:textId="122FDB75"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318" w:history="1">
        <w:r w:rsidRPr="00683E1E">
          <w:rPr>
            <w:rStyle w:val="Hyperlink"/>
            <w:noProof/>
          </w:rPr>
          <w:t>6.2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Environmental</w:t>
        </w:r>
        <w:r w:rsidRPr="00683E1E">
          <w:rPr>
            <w:rStyle w:val="Hyperlink"/>
            <w:noProof/>
            <w:spacing w:val="2"/>
          </w:rPr>
          <w:t xml:space="preserve"> </w:t>
        </w:r>
        <w:r w:rsidRPr="00683E1E">
          <w:rPr>
            <w:rStyle w:val="Hyperlink"/>
            <w:noProof/>
          </w:rPr>
          <w:t>values</w:t>
        </w:r>
        <w:r>
          <w:rPr>
            <w:noProof/>
            <w:webHidden/>
          </w:rPr>
          <w:tab/>
        </w:r>
        <w:r>
          <w:rPr>
            <w:noProof/>
            <w:webHidden/>
          </w:rPr>
          <w:fldChar w:fldCharType="begin"/>
        </w:r>
        <w:r>
          <w:rPr>
            <w:noProof/>
            <w:webHidden/>
          </w:rPr>
          <w:instrText xml:space="preserve"> PAGEREF _Toc216699318 \h </w:instrText>
        </w:r>
        <w:r>
          <w:rPr>
            <w:noProof/>
            <w:webHidden/>
          </w:rPr>
        </w:r>
        <w:r>
          <w:rPr>
            <w:noProof/>
            <w:webHidden/>
          </w:rPr>
          <w:fldChar w:fldCharType="separate"/>
        </w:r>
        <w:r>
          <w:rPr>
            <w:noProof/>
            <w:webHidden/>
          </w:rPr>
          <w:t>40</w:t>
        </w:r>
        <w:r>
          <w:rPr>
            <w:noProof/>
            <w:webHidden/>
          </w:rPr>
          <w:fldChar w:fldCharType="end"/>
        </w:r>
      </w:hyperlink>
    </w:p>
    <w:p w14:paraId="10267CC7" w14:textId="717FC462"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319" w:history="1">
        <w:r w:rsidRPr="00683E1E">
          <w:rPr>
            <w:rStyle w:val="Hyperlink"/>
            <w:noProof/>
          </w:rPr>
          <w:t>6.3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Economic</w:t>
        </w:r>
        <w:r w:rsidRPr="00683E1E">
          <w:rPr>
            <w:rStyle w:val="Hyperlink"/>
            <w:noProof/>
            <w:spacing w:val="-17"/>
          </w:rPr>
          <w:t xml:space="preserve"> </w:t>
        </w:r>
        <w:r w:rsidRPr="00683E1E">
          <w:rPr>
            <w:rStyle w:val="Hyperlink"/>
            <w:noProof/>
            <w:spacing w:val="-2"/>
          </w:rPr>
          <w:t>values</w:t>
        </w:r>
        <w:r>
          <w:rPr>
            <w:noProof/>
            <w:webHidden/>
          </w:rPr>
          <w:tab/>
        </w:r>
        <w:r>
          <w:rPr>
            <w:noProof/>
            <w:webHidden/>
          </w:rPr>
          <w:fldChar w:fldCharType="begin"/>
        </w:r>
        <w:r>
          <w:rPr>
            <w:noProof/>
            <w:webHidden/>
          </w:rPr>
          <w:instrText xml:space="preserve"> PAGEREF _Toc216699319 \h </w:instrText>
        </w:r>
        <w:r>
          <w:rPr>
            <w:noProof/>
            <w:webHidden/>
          </w:rPr>
        </w:r>
        <w:r>
          <w:rPr>
            <w:noProof/>
            <w:webHidden/>
          </w:rPr>
          <w:fldChar w:fldCharType="separate"/>
        </w:r>
        <w:r>
          <w:rPr>
            <w:noProof/>
            <w:webHidden/>
          </w:rPr>
          <w:t>41</w:t>
        </w:r>
        <w:r>
          <w:rPr>
            <w:noProof/>
            <w:webHidden/>
          </w:rPr>
          <w:fldChar w:fldCharType="end"/>
        </w:r>
      </w:hyperlink>
    </w:p>
    <w:p w14:paraId="2F8D8C13" w14:textId="38ACFC09"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20" w:history="1">
        <w:r w:rsidRPr="00683E1E">
          <w:rPr>
            <w:rStyle w:val="Hyperlink"/>
            <w:noProof/>
          </w:rPr>
          <w:t>6.3.1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Demographic</w:t>
        </w:r>
        <w:r w:rsidRPr="00683E1E">
          <w:rPr>
            <w:rStyle w:val="Hyperlink"/>
            <w:noProof/>
            <w:spacing w:val="-7"/>
          </w:rPr>
          <w:t xml:space="preserve"> </w:t>
        </w:r>
        <w:r w:rsidRPr="00683E1E">
          <w:rPr>
            <w:rStyle w:val="Hyperlink"/>
            <w:noProof/>
            <w:spacing w:val="-2"/>
          </w:rPr>
          <w:t>profile</w:t>
        </w:r>
        <w:r>
          <w:rPr>
            <w:noProof/>
            <w:webHidden/>
          </w:rPr>
          <w:tab/>
        </w:r>
        <w:r>
          <w:rPr>
            <w:noProof/>
            <w:webHidden/>
          </w:rPr>
          <w:fldChar w:fldCharType="begin"/>
        </w:r>
        <w:r>
          <w:rPr>
            <w:noProof/>
            <w:webHidden/>
          </w:rPr>
          <w:instrText xml:space="preserve"> PAGEREF _Toc216699320 \h </w:instrText>
        </w:r>
        <w:r>
          <w:rPr>
            <w:noProof/>
            <w:webHidden/>
          </w:rPr>
        </w:r>
        <w:r>
          <w:rPr>
            <w:noProof/>
            <w:webHidden/>
          </w:rPr>
          <w:fldChar w:fldCharType="separate"/>
        </w:r>
        <w:r>
          <w:rPr>
            <w:noProof/>
            <w:webHidden/>
          </w:rPr>
          <w:t>41</w:t>
        </w:r>
        <w:r>
          <w:rPr>
            <w:noProof/>
            <w:webHidden/>
          </w:rPr>
          <w:fldChar w:fldCharType="end"/>
        </w:r>
      </w:hyperlink>
    </w:p>
    <w:p w14:paraId="64438E11" w14:textId="43D79049"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21" w:history="1">
        <w:r w:rsidRPr="00683E1E">
          <w:rPr>
            <w:rStyle w:val="Hyperlink"/>
            <w:noProof/>
          </w:rPr>
          <w:t>6.3.2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Use</w:t>
        </w:r>
        <w:r w:rsidRPr="00683E1E">
          <w:rPr>
            <w:rStyle w:val="Hyperlink"/>
            <w:noProof/>
            <w:spacing w:val="-1"/>
          </w:rPr>
          <w:t xml:space="preserve"> </w:t>
        </w:r>
        <w:r w:rsidRPr="00683E1E">
          <w:rPr>
            <w:rStyle w:val="Hyperlink"/>
            <w:noProof/>
          </w:rPr>
          <w:t>profile</w:t>
        </w:r>
        <w:r>
          <w:rPr>
            <w:noProof/>
            <w:webHidden/>
          </w:rPr>
          <w:tab/>
        </w:r>
        <w:r>
          <w:rPr>
            <w:noProof/>
            <w:webHidden/>
          </w:rPr>
          <w:fldChar w:fldCharType="begin"/>
        </w:r>
        <w:r>
          <w:rPr>
            <w:noProof/>
            <w:webHidden/>
          </w:rPr>
          <w:instrText xml:space="preserve"> PAGEREF _Toc216699321 \h </w:instrText>
        </w:r>
        <w:r>
          <w:rPr>
            <w:noProof/>
            <w:webHidden/>
          </w:rPr>
        </w:r>
        <w:r>
          <w:rPr>
            <w:noProof/>
            <w:webHidden/>
          </w:rPr>
          <w:fldChar w:fldCharType="separate"/>
        </w:r>
        <w:r>
          <w:rPr>
            <w:noProof/>
            <w:webHidden/>
          </w:rPr>
          <w:t>43</w:t>
        </w:r>
        <w:r>
          <w:rPr>
            <w:noProof/>
            <w:webHidden/>
          </w:rPr>
          <w:fldChar w:fldCharType="end"/>
        </w:r>
      </w:hyperlink>
    </w:p>
    <w:p w14:paraId="0EAE01DD" w14:textId="5350F858" w:rsidR="00B91EB8" w:rsidRDefault="00B91EB8">
      <w:pPr>
        <w:pStyle w:val="TOC1"/>
        <w:rPr>
          <w:rFonts w:asciiTheme="minorHAnsi" w:eastAsiaTheme="minorEastAsia" w:hAnsiTheme="minorHAnsi" w:cstheme="minorBidi"/>
          <w:b w:val="0"/>
          <w:caps w:val="0"/>
          <w:noProof/>
          <w:color w:val="auto"/>
          <w:kern w:val="2"/>
          <w:sz w:val="24"/>
          <w:szCs w:val="24"/>
          <w:lang w:eastAsia="en-AU"/>
          <w14:ligatures w14:val="standardContextual"/>
        </w:rPr>
      </w:pPr>
      <w:hyperlink w:anchor="_Toc216699322" w:history="1">
        <w:r w:rsidRPr="00683E1E">
          <w:rPr>
            <w:rStyle w:val="Hyperlink"/>
            <w:noProof/>
          </w:rPr>
          <w:t>7</w:t>
        </w:r>
        <w:r>
          <w:rPr>
            <w:rFonts w:asciiTheme="minorHAnsi" w:eastAsiaTheme="minorEastAsia" w:hAnsiTheme="minorHAnsi" w:cstheme="minorBidi"/>
            <w:b w:val="0"/>
            <w:caps w:val="0"/>
            <w:noProof/>
            <w:color w:val="auto"/>
            <w:kern w:val="2"/>
            <w:sz w:val="24"/>
            <w:szCs w:val="24"/>
            <w:lang w:eastAsia="en-AU"/>
            <w14:ligatures w14:val="standardContextual"/>
          </w:rPr>
          <w:tab/>
        </w:r>
        <w:r w:rsidRPr="00683E1E">
          <w:rPr>
            <w:rStyle w:val="Hyperlink"/>
            <w:noProof/>
          </w:rPr>
          <w:t>CURRENT</w:t>
        </w:r>
        <w:r w:rsidRPr="00683E1E">
          <w:rPr>
            <w:rStyle w:val="Hyperlink"/>
            <w:noProof/>
            <w:spacing w:val="-8"/>
          </w:rPr>
          <w:t xml:space="preserve"> </w:t>
        </w:r>
        <w:r w:rsidRPr="00683E1E">
          <w:rPr>
            <w:rStyle w:val="Hyperlink"/>
            <w:noProof/>
          </w:rPr>
          <w:t>DREDGING</w:t>
        </w:r>
        <w:r w:rsidRPr="00683E1E">
          <w:rPr>
            <w:rStyle w:val="Hyperlink"/>
            <w:noProof/>
            <w:spacing w:val="-6"/>
          </w:rPr>
          <w:t xml:space="preserve"> </w:t>
        </w:r>
        <w:r w:rsidRPr="00683E1E">
          <w:rPr>
            <w:rStyle w:val="Hyperlink"/>
            <w:noProof/>
          </w:rPr>
          <w:t>MANAGEMENT</w:t>
        </w:r>
        <w:r w:rsidRPr="00683E1E">
          <w:rPr>
            <w:rStyle w:val="Hyperlink"/>
            <w:noProof/>
            <w:spacing w:val="-6"/>
          </w:rPr>
          <w:t xml:space="preserve"> </w:t>
        </w:r>
        <w:r w:rsidRPr="00683E1E">
          <w:rPr>
            <w:rStyle w:val="Hyperlink"/>
            <w:noProof/>
            <w:spacing w:val="-2"/>
          </w:rPr>
          <w:t>PRACTICES</w:t>
        </w:r>
        <w:r>
          <w:rPr>
            <w:noProof/>
            <w:webHidden/>
          </w:rPr>
          <w:tab/>
        </w:r>
        <w:r>
          <w:rPr>
            <w:noProof/>
            <w:webHidden/>
          </w:rPr>
          <w:fldChar w:fldCharType="begin"/>
        </w:r>
        <w:r>
          <w:rPr>
            <w:noProof/>
            <w:webHidden/>
          </w:rPr>
          <w:instrText xml:space="preserve"> PAGEREF _Toc216699322 \h </w:instrText>
        </w:r>
        <w:r>
          <w:rPr>
            <w:noProof/>
            <w:webHidden/>
          </w:rPr>
        </w:r>
        <w:r>
          <w:rPr>
            <w:noProof/>
            <w:webHidden/>
          </w:rPr>
          <w:fldChar w:fldCharType="separate"/>
        </w:r>
        <w:r>
          <w:rPr>
            <w:noProof/>
            <w:webHidden/>
          </w:rPr>
          <w:t>46</w:t>
        </w:r>
        <w:r>
          <w:rPr>
            <w:noProof/>
            <w:webHidden/>
          </w:rPr>
          <w:fldChar w:fldCharType="end"/>
        </w:r>
      </w:hyperlink>
    </w:p>
    <w:p w14:paraId="448A2D0A" w14:textId="0C8D5DC3"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323" w:history="1">
        <w:r w:rsidRPr="00683E1E">
          <w:rPr>
            <w:rStyle w:val="Hyperlink"/>
            <w:noProof/>
          </w:rPr>
          <w:t>7.1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Dredging</w:t>
        </w:r>
        <w:r w:rsidRPr="00683E1E">
          <w:rPr>
            <w:rStyle w:val="Hyperlink"/>
            <w:noProof/>
            <w:spacing w:val="-17"/>
          </w:rPr>
          <w:t xml:space="preserve"> </w:t>
        </w:r>
        <w:r w:rsidRPr="00683E1E">
          <w:rPr>
            <w:rStyle w:val="Hyperlink"/>
            <w:noProof/>
          </w:rPr>
          <w:t>activities</w:t>
        </w:r>
        <w:r>
          <w:rPr>
            <w:noProof/>
            <w:webHidden/>
          </w:rPr>
          <w:tab/>
        </w:r>
        <w:r>
          <w:rPr>
            <w:noProof/>
            <w:webHidden/>
          </w:rPr>
          <w:fldChar w:fldCharType="begin"/>
        </w:r>
        <w:r>
          <w:rPr>
            <w:noProof/>
            <w:webHidden/>
          </w:rPr>
          <w:instrText xml:space="preserve"> PAGEREF _Toc216699323 \h </w:instrText>
        </w:r>
        <w:r>
          <w:rPr>
            <w:noProof/>
            <w:webHidden/>
          </w:rPr>
        </w:r>
        <w:r>
          <w:rPr>
            <w:noProof/>
            <w:webHidden/>
          </w:rPr>
          <w:fldChar w:fldCharType="separate"/>
        </w:r>
        <w:r>
          <w:rPr>
            <w:noProof/>
            <w:webHidden/>
          </w:rPr>
          <w:t>46</w:t>
        </w:r>
        <w:r>
          <w:rPr>
            <w:noProof/>
            <w:webHidden/>
          </w:rPr>
          <w:fldChar w:fldCharType="end"/>
        </w:r>
      </w:hyperlink>
    </w:p>
    <w:p w14:paraId="03EEA37D" w14:textId="4BD22F51"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24" w:history="1">
        <w:r w:rsidRPr="00683E1E">
          <w:rPr>
            <w:rStyle w:val="Hyperlink"/>
            <w:noProof/>
          </w:rPr>
          <w:t>7.1.1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Current</w:t>
        </w:r>
        <w:r w:rsidRPr="00683E1E">
          <w:rPr>
            <w:rStyle w:val="Hyperlink"/>
            <w:noProof/>
            <w:spacing w:val="-6"/>
          </w:rPr>
          <w:t xml:space="preserve"> </w:t>
        </w:r>
        <w:r w:rsidRPr="00683E1E">
          <w:rPr>
            <w:rStyle w:val="Hyperlink"/>
            <w:noProof/>
          </w:rPr>
          <w:t>operational</w:t>
        </w:r>
        <w:r w:rsidRPr="00683E1E">
          <w:rPr>
            <w:rStyle w:val="Hyperlink"/>
            <w:noProof/>
            <w:spacing w:val="-6"/>
          </w:rPr>
          <w:t xml:space="preserve"> </w:t>
        </w:r>
        <w:r w:rsidRPr="00683E1E">
          <w:rPr>
            <w:rStyle w:val="Hyperlink"/>
            <w:noProof/>
            <w:spacing w:val="-2"/>
          </w:rPr>
          <w:t>workflow</w:t>
        </w:r>
        <w:r>
          <w:rPr>
            <w:noProof/>
            <w:webHidden/>
          </w:rPr>
          <w:tab/>
        </w:r>
        <w:r>
          <w:rPr>
            <w:noProof/>
            <w:webHidden/>
          </w:rPr>
          <w:fldChar w:fldCharType="begin"/>
        </w:r>
        <w:r>
          <w:rPr>
            <w:noProof/>
            <w:webHidden/>
          </w:rPr>
          <w:instrText xml:space="preserve"> PAGEREF _Toc216699324 \h </w:instrText>
        </w:r>
        <w:r>
          <w:rPr>
            <w:noProof/>
            <w:webHidden/>
          </w:rPr>
        </w:r>
        <w:r>
          <w:rPr>
            <w:noProof/>
            <w:webHidden/>
          </w:rPr>
          <w:fldChar w:fldCharType="separate"/>
        </w:r>
        <w:r>
          <w:rPr>
            <w:noProof/>
            <w:webHidden/>
          </w:rPr>
          <w:t>46</w:t>
        </w:r>
        <w:r>
          <w:rPr>
            <w:noProof/>
            <w:webHidden/>
          </w:rPr>
          <w:fldChar w:fldCharType="end"/>
        </w:r>
      </w:hyperlink>
    </w:p>
    <w:p w14:paraId="7502B77E" w14:textId="6E13F6A4"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25" w:history="1">
        <w:r w:rsidRPr="00683E1E">
          <w:rPr>
            <w:rStyle w:val="Hyperlink"/>
            <w:noProof/>
          </w:rPr>
          <w:t>7.1.2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Existing</w:t>
        </w:r>
        <w:r w:rsidRPr="00683E1E">
          <w:rPr>
            <w:rStyle w:val="Hyperlink"/>
            <w:noProof/>
            <w:spacing w:val="-6"/>
          </w:rPr>
          <w:t xml:space="preserve"> </w:t>
        </w:r>
        <w:r w:rsidRPr="00683E1E">
          <w:rPr>
            <w:rStyle w:val="Hyperlink"/>
            <w:noProof/>
          </w:rPr>
          <w:t>constraints</w:t>
        </w:r>
        <w:r>
          <w:rPr>
            <w:noProof/>
            <w:webHidden/>
          </w:rPr>
          <w:tab/>
        </w:r>
        <w:r>
          <w:rPr>
            <w:noProof/>
            <w:webHidden/>
          </w:rPr>
          <w:fldChar w:fldCharType="begin"/>
        </w:r>
        <w:r>
          <w:rPr>
            <w:noProof/>
            <w:webHidden/>
          </w:rPr>
          <w:instrText xml:space="preserve"> PAGEREF _Toc216699325 \h </w:instrText>
        </w:r>
        <w:r>
          <w:rPr>
            <w:noProof/>
            <w:webHidden/>
          </w:rPr>
        </w:r>
        <w:r>
          <w:rPr>
            <w:noProof/>
            <w:webHidden/>
          </w:rPr>
          <w:fldChar w:fldCharType="separate"/>
        </w:r>
        <w:r>
          <w:rPr>
            <w:noProof/>
            <w:webHidden/>
          </w:rPr>
          <w:t>47</w:t>
        </w:r>
        <w:r>
          <w:rPr>
            <w:noProof/>
            <w:webHidden/>
          </w:rPr>
          <w:fldChar w:fldCharType="end"/>
        </w:r>
      </w:hyperlink>
    </w:p>
    <w:p w14:paraId="044648C0" w14:textId="3D3E563D"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326" w:history="1">
        <w:r w:rsidRPr="00683E1E">
          <w:rPr>
            <w:rStyle w:val="Hyperlink"/>
            <w:noProof/>
          </w:rPr>
          <w:t>7.2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Notices</w:t>
        </w:r>
        <w:r w:rsidRPr="00683E1E">
          <w:rPr>
            <w:rStyle w:val="Hyperlink"/>
            <w:noProof/>
            <w:spacing w:val="-8"/>
          </w:rPr>
          <w:t xml:space="preserve"> </w:t>
        </w:r>
        <w:r w:rsidRPr="00683E1E">
          <w:rPr>
            <w:rStyle w:val="Hyperlink"/>
            <w:noProof/>
          </w:rPr>
          <w:t>to</w:t>
        </w:r>
        <w:r w:rsidRPr="00683E1E">
          <w:rPr>
            <w:rStyle w:val="Hyperlink"/>
            <w:noProof/>
            <w:spacing w:val="-9"/>
          </w:rPr>
          <w:t xml:space="preserve"> </w:t>
        </w:r>
        <w:r w:rsidRPr="00683E1E">
          <w:rPr>
            <w:rStyle w:val="Hyperlink"/>
            <w:noProof/>
            <w:spacing w:val="-2"/>
          </w:rPr>
          <w:t>mariners</w:t>
        </w:r>
        <w:r>
          <w:rPr>
            <w:noProof/>
            <w:webHidden/>
          </w:rPr>
          <w:tab/>
        </w:r>
        <w:r>
          <w:rPr>
            <w:noProof/>
            <w:webHidden/>
          </w:rPr>
          <w:fldChar w:fldCharType="begin"/>
        </w:r>
        <w:r>
          <w:rPr>
            <w:noProof/>
            <w:webHidden/>
          </w:rPr>
          <w:instrText xml:space="preserve"> PAGEREF _Toc216699326 \h </w:instrText>
        </w:r>
        <w:r>
          <w:rPr>
            <w:noProof/>
            <w:webHidden/>
          </w:rPr>
        </w:r>
        <w:r>
          <w:rPr>
            <w:noProof/>
            <w:webHidden/>
          </w:rPr>
          <w:fldChar w:fldCharType="separate"/>
        </w:r>
        <w:r>
          <w:rPr>
            <w:noProof/>
            <w:webHidden/>
          </w:rPr>
          <w:t>47</w:t>
        </w:r>
        <w:r>
          <w:rPr>
            <w:noProof/>
            <w:webHidden/>
          </w:rPr>
          <w:fldChar w:fldCharType="end"/>
        </w:r>
      </w:hyperlink>
    </w:p>
    <w:p w14:paraId="1761977D" w14:textId="793C540B" w:rsidR="00B91EB8" w:rsidRDefault="00B91EB8">
      <w:pPr>
        <w:pStyle w:val="TOC6"/>
        <w:rPr>
          <w:rFonts w:asciiTheme="minorHAnsi" w:eastAsiaTheme="minorEastAsia" w:hAnsiTheme="minorHAnsi" w:cstheme="minorBidi"/>
          <w:noProof/>
          <w:color w:val="auto"/>
          <w:kern w:val="2"/>
          <w:sz w:val="24"/>
          <w:szCs w:val="24"/>
          <w:lang w:eastAsia="en-AU"/>
          <w14:ligatures w14:val="standardContextual"/>
        </w:rPr>
      </w:pPr>
      <w:hyperlink w:anchor="_Toc216699327" w:history="1">
        <w:r w:rsidRPr="00683E1E">
          <w:rPr>
            <w:rStyle w:val="Hyperlink"/>
            <w:noProof/>
          </w:rPr>
          <w:t>Identifying</w:t>
        </w:r>
        <w:r w:rsidRPr="00683E1E">
          <w:rPr>
            <w:rStyle w:val="Hyperlink"/>
            <w:noProof/>
            <w:spacing w:val="-3"/>
          </w:rPr>
          <w:t xml:space="preserve"> </w:t>
        </w:r>
        <w:r w:rsidRPr="00683E1E">
          <w:rPr>
            <w:rStyle w:val="Hyperlink"/>
            <w:noProof/>
          </w:rPr>
          <w:t>the</w:t>
        </w:r>
        <w:r w:rsidRPr="00683E1E">
          <w:rPr>
            <w:rStyle w:val="Hyperlink"/>
            <w:noProof/>
            <w:spacing w:val="-4"/>
          </w:rPr>
          <w:t xml:space="preserve"> </w:t>
        </w:r>
        <w:r w:rsidRPr="00683E1E">
          <w:rPr>
            <w:rStyle w:val="Hyperlink"/>
            <w:noProof/>
          </w:rPr>
          <w:t>need</w:t>
        </w:r>
        <w:r w:rsidRPr="00683E1E">
          <w:rPr>
            <w:rStyle w:val="Hyperlink"/>
            <w:noProof/>
            <w:spacing w:val="-2"/>
          </w:rPr>
          <w:t xml:space="preserve"> </w:t>
        </w:r>
        <w:r w:rsidRPr="00683E1E">
          <w:rPr>
            <w:rStyle w:val="Hyperlink"/>
            <w:noProof/>
          </w:rPr>
          <w:t>for</w:t>
        </w:r>
        <w:r w:rsidRPr="00683E1E">
          <w:rPr>
            <w:rStyle w:val="Hyperlink"/>
            <w:noProof/>
            <w:spacing w:val="-3"/>
          </w:rPr>
          <w:t xml:space="preserve"> </w:t>
        </w:r>
        <w:r w:rsidRPr="00683E1E">
          <w:rPr>
            <w:rStyle w:val="Hyperlink"/>
            <w:noProof/>
          </w:rPr>
          <w:t>an</w:t>
        </w:r>
        <w:r w:rsidRPr="00683E1E">
          <w:rPr>
            <w:rStyle w:val="Hyperlink"/>
            <w:noProof/>
            <w:spacing w:val="-3"/>
          </w:rPr>
          <w:t xml:space="preserve"> </w:t>
        </w:r>
        <w:r w:rsidRPr="00683E1E">
          <w:rPr>
            <w:rStyle w:val="Hyperlink"/>
            <w:noProof/>
            <w:spacing w:val="-5"/>
          </w:rPr>
          <w:t>NtM</w:t>
        </w:r>
        <w:r>
          <w:rPr>
            <w:noProof/>
            <w:webHidden/>
          </w:rPr>
          <w:tab/>
        </w:r>
        <w:r>
          <w:rPr>
            <w:noProof/>
            <w:webHidden/>
          </w:rPr>
          <w:fldChar w:fldCharType="begin"/>
        </w:r>
        <w:r>
          <w:rPr>
            <w:noProof/>
            <w:webHidden/>
          </w:rPr>
          <w:instrText xml:space="preserve"> PAGEREF _Toc216699327 \h </w:instrText>
        </w:r>
        <w:r>
          <w:rPr>
            <w:noProof/>
            <w:webHidden/>
          </w:rPr>
        </w:r>
        <w:r>
          <w:rPr>
            <w:noProof/>
            <w:webHidden/>
          </w:rPr>
          <w:fldChar w:fldCharType="separate"/>
        </w:r>
        <w:r>
          <w:rPr>
            <w:noProof/>
            <w:webHidden/>
          </w:rPr>
          <w:t>47</w:t>
        </w:r>
        <w:r>
          <w:rPr>
            <w:noProof/>
            <w:webHidden/>
          </w:rPr>
          <w:fldChar w:fldCharType="end"/>
        </w:r>
      </w:hyperlink>
    </w:p>
    <w:p w14:paraId="15FD508F" w14:textId="7FF73485" w:rsidR="00B91EB8" w:rsidRDefault="00B91EB8">
      <w:pPr>
        <w:pStyle w:val="TOC6"/>
        <w:rPr>
          <w:rFonts w:asciiTheme="minorHAnsi" w:eastAsiaTheme="minorEastAsia" w:hAnsiTheme="minorHAnsi" w:cstheme="minorBidi"/>
          <w:noProof/>
          <w:color w:val="auto"/>
          <w:kern w:val="2"/>
          <w:sz w:val="24"/>
          <w:szCs w:val="24"/>
          <w:lang w:eastAsia="en-AU"/>
          <w14:ligatures w14:val="standardContextual"/>
        </w:rPr>
      </w:pPr>
      <w:hyperlink w:anchor="_Toc216699328" w:history="1">
        <w:r w:rsidRPr="00683E1E">
          <w:rPr>
            <w:rStyle w:val="Hyperlink"/>
            <w:noProof/>
          </w:rPr>
          <w:t>Requesting</w:t>
        </w:r>
        <w:r w:rsidRPr="00683E1E">
          <w:rPr>
            <w:rStyle w:val="Hyperlink"/>
            <w:noProof/>
            <w:spacing w:val="-5"/>
          </w:rPr>
          <w:t xml:space="preserve"> </w:t>
        </w:r>
        <w:r w:rsidRPr="00683E1E">
          <w:rPr>
            <w:rStyle w:val="Hyperlink"/>
            <w:noProof/>
          </w:rPr>
          <w:t>a</w:t>
        </w:r>
        <w:r w:rsidRPr="00683E1E">
          <w:rPr>
            <w:rStyle w:val="Hyperlink"/>
            <w:noProof/>
            <w:spacing w:val="-5"/>
          </w:rPr>
          <w:t xml:space="preserve"> </w:t>
        </w:r>
        <w:r w:rsidRPr="00683E1E">
          <w:rPr>
            <w:rStyle w:val="Hyperlink"/>
            <w:noProof/>
          </w:rPr>
          <w:t>hydrographic</w:t>
        </w:r>
        <w:r w:rsidRPr="00683E1E">
          <w:rPr>
            <w:rStyle w:val="Hyperlink"/>
            <w:noProof/>
            <w:spacing w:val="-5"/>
          </w:rPr>
          <w:t xml:space="preserve"> </w:t>
        </w:r>
        <w:r w:rsidRPr="00683E1E">
          <w:rPr>
            <w:rStyle w:val="Hyperlink"/>
            <w:noProof/>
            <w:spacing w:val="-2"/>
          </w:rPr>
          <w:t>survey</w:t>
        </w:r>
        <w:r>
          <w:rPr>
            <w:noProof/>
            <w:webHidden/>
          </w:rPr>
          <w:tab/>
        </w:r>
        <w:r>
          <w:rPr>
            <w:noProof/>
            <w:webHidden/>
          </w:rPr>
          <w:fldChar w:fldCharType="begin"/>
        </w:r>
        <w:r>
          <w:rPr>
            <w:noProof/>
            <w:webHidden/>
          </w:rPr>
          <w:instrText xml:space="preserve"> PAGEREF _Toc216699328 \h </w:instrText>
        </w:r>
        <w:r>
          <w:rPr>
            <w:noProof/>
            <w:webHidden/>
          </w:rPr>
        </w:r>
        <w:r>
          <w:rPr>
            <w:noProof/>
            <w:webHidden/>
          </w:rPr>
          <w:fldChar w:fldCharType="separate"/>
        </w:r>
        <w:r>
          <w:rPr>
            <w:noProof/>
            <w:webHidden/>
          </w:rPr>
          <w:t>48</w:t>
        </w:r>
        <w:r>
          <w:rPr>
            <w:noProof/>
            <w:webHidden/>
          </w:rPr>
          <w:fldChar w:fldCharType="end"/>
        </w:r>
      </w:hyperlink>
    </w:p>
    <w:p w14:paraId="32082FA1" w14:textId="1D1B4A58" w:rsidR="00B91EB8" w:rsidRDefault="00B91EB8">
      <w:pPr>
        <w:pStyle w:val="TOC6"/>
        <w:rPr>
          <w:rFonts w:asciiTheme="minorHAnsi" w:eastAsiaTheme="minorEastAsia" w:hAnsiTheme="minorHAnsi" w:cstheme="minorBidi"/>
          <w:noProof/>
          <w:color w:val="auto"/>
          <w:kern w:val="2"/>
          <w:sz w:val="24"/>
          <w:szCs w:val="24"/>
          <w:lang w:eastAsia="en-AU"/>
          <w14:ligatures w14:val="standardContextual"/>
        </w:rPr>
      </w:pPr>
      <w:hyperlink w:anchor="_Toc216699329" w:history="1">
        <w:r w:rsidRPr="00683E1E">
          <w:rPr>
            <w:rStyle w:val="Hyperlink"/>
            <w:noProof/>
          </w:rPr>
          <w:t>Conducting</w:t>
        </w:r>
        <w:r w:rsidRPr="00683E1E">
          <w:rPr>
            <w:rStyle w:val="Hyperlink"/>
            <w:noProof/>
            <w:spacing w:val="-4"/>
          </w:rPr>
          <w:t xml:space="preserve"> </w:t>
        </w:r>
        <w:r w:rsidRPr="00683E1E">
          <w:rPr>
            <w:rStyle w:val="Hyperlink"/>
            <w:noProof/>
          </w:rPr>
          <w:t>the</w:t>
        </w:r>
        <w:r w:rsidRPr="00683E1E">
          <w:rPr>
            <w:rStyle w:val="Hyperlink"/>
            <w:noProof/>
            <w:spacing w:val="-5"/>
          </w:rPr>
          <w:t xml:space="preserve"> </w:t>
        </w:r>
        <w:r w:rsidRPr="00683E1E">
          <w:rPr>
            <w:rStyle w:val="Hyperlink"/>
            <w:noProof/>
            <w:spacing w:val="-2"/>
          </w:rPr>
          <w:t>survey</w:t>
        </w:r>
        <w:r>
          <w:rPr>
            <w:noProof/>
            <w:webHidden/>
          </w:rPr>
          <w:tab/>
        </w:r>
        <w:r>
          <w:rPr>
            <w:noProof/>
            <w:webHidden/>
          </w:rPr>
          <w:fldChar w:fldCharType="begin"/>
        </w:r>
        <w:r>
          <w:rPr>
            <w:noProof/>
            <w:webHidden/>
          </w:rPr>
          <w:instrText xml:space="preserve"> PAGEREF _Toc216699329 \h </w:instrText>
        </w:r>
        <w:r>
          <w:rPr>
            <w:noProof/>
            <w:webHidden/>
          </w:rPr>
        </w:r>
        <w:r>
          <w:rPr>
            <w:noProof/>
            <w:webHidden/>
          </w:rPr>
          <w:fldChar w:fldCharType="separate"/>
        </w:r>
        <w:r>
          <w:rPr>
            <w:noProof/>
            <w:webHidden/>
          </w:rPr>
          <w:t>48</w:t>
        </w:r>
        <w:r>
          <w:rPr>
            <w:noProof/>
            <w:webHidden/>
          </w:rPr>
          <w:fldChar w:fldCharType="end"/>
        </w:r>
      </w:hyperlink>
    </w:p>
    <w:p w14:paraId="7F17F75F" w14:textId="01D9117F" w:rsidR="00B91EB8" w:rsidRDefault="00B91EB8">
      <w:pPr>
        <w:pStyle w:val="TOC6"/>
        <w:rPr>
          <w:rFonts w:asciiTheme="minorHAnsi" w:eastAsiaTheme="minorEastAsia" w:hAnsiTheme="minorHAnsi" w:cstheme="minorBidi"/>
          <w:noProof/>
          <w:color w:val="auto"/>
          <w:kern w:val="2"/>
          <w:sz w:val="24"/>
          <w:szCs w:val="24"/>
          <w:lang w:eastAsia="en-AU"/>
          <w14:ligatures w14:val="standardContextual"/>
        </w:rPr>
      </w:pPr>
      <w:hyperlink w:anchor="_Toc216699330" w:history="1">
        <w:r w:rsidRPr="00683E1E">
          <w:rPr>
            <w:rStyle w:val="Hyperlink"/>
            <w:noProof/>
          </w:rPr>
          <w:t>Reviewing</w:t>
        </w:r>
        <w:r w:rsidRPr="00683E1E">
          <w:rPr>
            <w:rStyle w:val="Hyperlink"/>
            <w:noProof/>
            <w:spacing w:val="-4"/>
          </w:rPr>
          <w:t xml:space="preserve"> </w:t>
        </w:r>
        <w:r w:rsidRPr="00683E1E">
          <w:rPr>
            <w:rStyle w:val="Hyperlink"/>
            <w:noProof/>
          </w:rPr>
          <w:t>the</w:t>
        </w:r>
        <w:r w:rsidRPr="00683E1E">
          <w:rPr>
            <w:rStyle w:val="Hyperlink"/>
            <w:noProof/>
            <w:spacing w:val="-4"/>
          </w:rPr>
          <w:t xml:space="preserve"> </w:t>
        </w:r>
        <w:r w:rsidRPr="00683E1E">
          <w:rPr>
            <w:rStyle w:val="Hyperlink"/>
            <w:noProof/>
          </w:rPr>
          <w:t>survey</w:t>
        </w:r>
        <w:r w:rsidRPr="00683E1E">
          <w:rPr>
            <w:rStyle w:val="Hyperlink"/>
            <w:noProof/>
            <w:spacing w:val="-3"/>
          </w:rPr>
          <w:t xml:space="preserve"> </w:t>
        </w:r>
        <w:r w:rsidRPr="00683E1E">
          <w:rPr>
            <w:rStyle w:val="Hyperlink"/>
            <w:noProof/>
            <w:spacing w:val="-4"/>
          </w:rPr>
          <w:t>data</w:t>
        </w:r>
        <w:r>
          <w:rPr>
            <w:noProof/>
            <w:webHidden/>
          </w:rPr>
          <w:tab/>
        </w:r>
        <w:r>
          <w:rPr>
            <w:noProof/>
            <w:webHidden/>
          </w:rPr>
          <w:fldChar w:fldCharType="begin"/>
        </w:r>
        <w:r>
          <w:rPr>
            <w:noProof/>
            <w:webHidden/>
          </w:rPr>
          <w:instrText xml:space="preserve"> PAGEREF _Toc216699330 \h </w:instrText>
        </w:r>
        <w:r>
          <w:rPr>
            <w:noProof/>
            <w:webHidden/>
          </w:rPr>
        </w:r>
        <w:r>
          <w:rPr>
            <w:noProof/>
            <w:webHidden/>
          </w:rPr>
          <w:fldChar w:fldCharType="separate"/>
        </w:r>
        <w:r>
          <w:rPr>
            <w:noProof/>
            <w:webHidden/>
          </w:rPr>
          <w:t>48</w:t>
        </w:r>
        <w:r>
          <w:rPr>
            <w:noProof/>
            <w:webHidden/>
          </w:rPr>
          <w:fldChar w:fldCharType="end"/>
        </w:r>
      </w:hyperlink>
    </w:p>
    <w:p w14:paraId="5579E714" w14:textId="0C97212C" w:rsidR="00B91EB8" w:rsidRDefault="00B91EB8">
      <w:pPr>
        <w:pStyle w:val="TOC6"/>
        <w:rPr>
          <w:rFonts w:asciiTheme="minorHAnsi" w:eastAsiaTheme="minorEastAsia" w:hAnsiTheme="minorHAnsi" w:cstheme="minorBidi"/>
          <w:noProof/>
          <w:color w:val="auto"/>
          <w:kern w:val="2"/>
          <w:sz w:val="24"/>
          <w:szCs w:val="24"/>
          <w:lang w:eastAsia="en-AU"/>
          <w14:ligatures w14:val="standardContextual"/>
        </w:rPr>
      </w:pPr>
      <w:hyperlink w:anchor="_Toc216699331" w:history="1">
        <w:r w:rsidRPr="00683E1E">
          <w:rPr>
            <w:rStyle w:val="Hyperlink"/>
            <w:noProof/>
          </w:rPr>
          <w:t>Preparing</w:t>
        </w:r>
        <w:r w:rsidRPr="00683E1E">
          <w:rPr>
            <w:rStyle w:val="Hyperlink"/>
            <w:noProof/>
            <w:spacing w:val="-4"/>
          </w:rPr>
          <w:t xml:space="preserve"> </w:t>
        </w:r>
        <w:r w:rsidRPr="00683E1E">
          <w:rPr>
            <w:rStyle w:val="Hyperlink"/>
            <w:noProof/>
          </w:rPr>
          <w:t>the</w:t>
        </w:r>
        <w:r w:rsidRPr="00683E1E">
          <w:rPr>
            <w:rStyle w:val="Hyperlink"/>
            <w:noProof/>
            <w:spacing w:val="-3"/>
          </w:rPr>
          <w:t xml:space="preserve"> </w:t>
        </w:r>
        <w:r w:rsidRPr="00683E1E">
          <w:rPr>
            <w:rStyle w:val="Hyperlink"/>
            <w:noProof/>
            <w:spacing w:val="-5"/>
          </w:rPr>
          <w:t>NtM</w:t>
        </w:r>
        <w:r>
          <w:rPr>
            <w:noProof/>
            <w:webHidden/>
          </w:rPr>
          <w:tab/>
        </w:r>
        <w:r>
          <w:rPr>
            <w:noProof/>
            <w:webHidden/>
          </w:rPr>
          <w:fldChar w:fldCharType="begin"/>
        </w:r>
        <w:r>
          <w:rPr>
            <w:noProof/>
            <w:webHidden/>
          </w:rPr>
          <w:instrText xml:space="preserve"> PAGEREF _Toc216699331 \h </w:instrText>
        </w:r>
        <w:r>
          <w:rPr>
            <w:noProof/>
            <w:webHidden/>
          </w:rPr>
        </w:r>
        <w:r>
          <w:rPr>
            <w:noProof/>
            <w:webHidden/>
          </w:rPr>
          <w:fldChar w:fldCharType="separate"/>
        </w:r>
        <w:r>
          <w:rPr>
            <w:noProof/>
            <w:webHidden/>
          </w:rPr>
          <w:t>48</w:t>
        </w:r>
        <w:r>
          <w:rPr>
            <w:noProof/>
            <w:webHidden/>
          </w:rPr>
          <w:fldChar w:fldCharType="end"/>
        </w:r>
      </w:hyperlink>
    </w:p>
    <w:p w14:paraId="40A2D5F0" w14:textId="66734411" w:rsidR="00B91EB8" w:rsidRDefault="00B91EB8">
      <w:pPr>
        <w:pStyle w:val="TOC6"/>
        <w:rPr>
          <w:rFonts w:asciiTheme="minorHAnsi" w:eastAsiaTheme="minorEastAsia" w:hAnsiTheme="minorHAnsi" w:cstheme="minorBidi"/>
          <w:noProof/>
          <w:color w:val="auto"/>
          <w:kern w:val="2"/>
          <w:sz w:val="24"/>
          <w:szCs w:val="24"/>
          <w:lang w:eastAsia="en-AU"/>
          <w14:ligatures w14:val="standardContextual"/>
        </w:rPr>
      </w:pPr>
      <w:hyperlink w:anchor="_Toc216699332" w:history="1">
        <w:r w:rsidRPr="00683E1E">
          <w:rPr>
            <w:rStyle w:val="Hyperlink"/>
            <w:noProof/>
          </w:rPr>
          <w:t>Publishing</w:t>
        </w:r>
        <w:r w:rsidRPr="00683E1E">
          <w:rPr>
            <w:rStyle w:val="Hyperlink"/>
            <w:noProof/>
            <w:spacing w:val="-7"/>
          </w:rPr>
          <w:t xml:space="preserve"> </w:t>
        </w:r>
        <w:r w:rsidRPr="00683E1E">
          <w:rPr>
            <w:rStyle w:val="Hyperlink"/>
            <w:noProof/>
          </w:rPr>
          <w:t>and</w:t>
        </w:r>
        <w:r w:rsidRPr="00683E1E">
          <w:rPr>
            <w:rStyle w:val="Hyperlink"/>
            <w:noProof/>
            <w:spacing w:val="-5"/>
          </w:rPr>
          <w:t xml:space="preserve"> </w:t>
        </w:r>
        <w:r w:rsidRPr="00683E1E">
          <w:rPr>
            <w:rStyle w:val="Hyperlink"/>
            <w:noProof/>
          </w:rPr>
          <w:t>disseminating</w:t>
        </w:r>
        <w:r w:rsidRPr="00683E1E">
          <w:rPr>
            <w:rStyle w:val="Hyperlink"/>
            <w:noProof/>
            <w:spacing w:val="-4"/>
          </w:rPr>
          <w:t xml:space="preserve"> </w:t>
        </w:r>
        <w:r w:rsidRPr="00683E1E">
          <w:rPr>
            <w:rStyle w:val="Hyperlink"/>
            <w:noProof/>
          </w:rPr>
          <w:t>the</w:t>
        </w:r>
        <w:r w:rsidRPr="00683E1E">
          <w:rPr>
            <w:rStyle w:val="Hyperlink"/>
            <w:noProof/>
            <w:spacing w:val="-4"/>
          </w:rPr>
          <w:t xml:space="preserve"> </w:t>
        </w:r>
        <w:r w:rsidRPr="00683E1E">
          <w:rPr>
            <w:rStyle w:val="Hyperlink"/>
            <w:noProof/>
            <w:spacing w:val="-5"/>
          </w:rPr>
          <w:t>NtM</w:t>
        </w:r>
        <w:r>
          <w:rPr>
            <w:noProof/>
            <w:webHidden/>
          </w:rPr>
          <w:tab/>
        </w:r>
        <w:r>
          <w:rPr>
            <w:noProof/>
            <w:webHidden/>
          </w:rPr>
          <w:fldChar w:fldCharType="begin"/>
        </w:r>
        <w:r>
          <w:rPr>
            <w:noProof/>
            <w:webHidden/>
          </w:rPr>
          <w:instrText xml:space="preserve"> PAGEREF _Toc216699332 \h </w:instrText>
        </w:r>
        <w:r>
          <w:rPr>
            <w:noProof/>
            <w:webHidden/>
          </w:rPr>
        </w:r>
        <w:r>
          <w:rPr>
            <w:noProof/>
            <w:webHidden/>
          </w:rPr>
          <w:fldChar w:fldCharType="separate"/>
        </w:r>
        <w:r>
          <w:rPr>
            <w:noProof/>
            <w:webHidden/>
          </w:rPr>
          <w:t>48</w:t>
        </w:r>
        <w:r>
          <w:rPr>
            <w:noProof/>
            <w:webHidden/>
          </w:rPr>
          <w:fldChar w:fldCharType="end"/>
        </w:r>
      </w:hyperlink>
    </w:p>
    <w:p w14:paraId="41F632B3" w14:textId="027D2F17" w:rsidR="00B91EB8" w:rsidRDefault="00B91EB8">
      <w:pPr>
        <w:pStyle w:val="TOC6"/>
        <w:rPr>
          <w:rFonts w:asciiTheme="minorHAnsi" w:eastAsiaTheme="minorEastAsia" w:hAnsiTheme="minorHAnsi" w:cstheme="minorBidi"/>
          <w:noProof/>
          <w:color w:val="auto"/>
          <w:kern w:val="2"/>
          <w:sz w:val="24"/>
          <w:szCs w:val="24"/>
          <w:lang w:eastAsia="en-AU"/>
          <w14:ligatures w14:val="standardContextual"/>
        </w:rPr>
      </w:pPr>
      <w:hyperlink w:anchor="_Toc216699333" w:history="1">
        <w:r w:rsidRPr="00683E1E">
          <w:rPr>
            <w:rStyle w:val="Hyperlink"/>
            <w:noProof/>
          </w:rPr>
          <w:t>Ongoing</w:t>
        </w:r>
        <w:r w:rsidRPr="00683E1E">
          <w:rPr>
            <w:rStyle w:val="Hyperlink"/>
            <w:noProof/>
            <w:spacing w:val="-4"/>
          </w:rPr>
          <w:t xml:space="preserve"> </w:t>
        </w:r>
        <w:r w:rsidRPr="00683E1E">
          <w:rPr>
            <w:rStyle w:val="Hyperlink"/>
            <w:noProof/>
          </w:rPr>
          <w:t>monitoring</w:t>
        </w:r>
        <w:r w:rsidRPr="00683E1E">
          <w:rPr>
            <w:rStyle w:val="Hyperlink"/>
            <w:noProof/>
            <w:spacing w:val="-5"/>
          </w:rPr>
          <w:t xml:space="preserve"> </w:t>
        </w:r>
        <w:r w:rsidRPr="00683E1E">
          <w:rPr>
            <w:rStyle w:val="Hyperlink"/>
            <w:noProof/>
          </w:rPr>
          <w:t>and</w:t>
        </w:r>
        <w:r w:rsidRPr="00683E1E">
          <w:rPr>
            <w:rStyle w:val="Hyperlink"/>
            <w:noProof/>
            <w:spacing w:val="-4"/>
          </w:rPr>
          <w:t xml:space="preserve"> </w:t>
        </w:r>
        <w:r w:rsidRPr="00683E1E">
          <w:rPr>
            <w:rStyle w:val="Hyperlink"/>
            <w:noProof/>
            <w:spacing w:val="-2"/>
          </w:rPr>
          <w:t>updates</w:t>
        </w:r>
        <w:r>
          <w:rPr>
            <w:noProof/>
            <w:webHidden/>
          </w:rPr>
          <w:tab/>
        </w:r>
        <w:r>
          <w:rPr>
            <w:noProof/>
            <w:webHidden/>
          </w:rPr>
          <w:fldChar w:fldCharType="begin"/>
        </w:r>
        <w:r>
          <w:rPr>
            <w:noProof/>
            <w:webHidden/>
          </w:rPr>
          <w:instrText xml:space="preserve"> PAGEREF _Toc216699333 \h </w:instrText>
        </w:r>
        <w:r>
          <w:rPr>
            <w:noProof/>
            <w:webHidden/>
          </w:rPr>
        </w:r>
        <w:r>
          <w:rPr>
            <w:noProof/>
            <w:webHidden/>
          </w:rPr>
          <w:fldChar w:fldCharType="separate"/>
        </w:r>
        <w:r>
          <w:rPr>
            <w:noProof/>
            <w:webHidden/>
          </w:rPr>
          <w:t>49</w:t>
        </w:r>
        <w:r>
          <w:rPr>
            <w:noProof/>
            <w:webHidden/>
          </w:rPr>
          <w:fldChar w:fldCharType="end"/>
        </w:r>
      </w:hyperlink>
    </w:p>
    <w:p w14:paraId="1D03E70E" w14:textId="4515259B"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334" w:history="1">
        <w:r w:rsidRPr="00683E1E">
          <w:rPr>
            <w:rStyle w:val="Hyperlink"/>
            <w:noProof/>
          </w:rPr>
          <w:t>7.3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Crossing</w:t>
        </w:r>
        <w:r w:rsidRPr="00683E1E">
          <w:rPr>
            <w:rStyle w:val="Hyperlink"/>
            <w:noProof/>
            <w:spacing w:val="-15"/>
          </w:rPr>
          <w:t xml:space="preserve"> </w:t>
        </w:r>
        <w:r w:rsidRPr="00683E1E">
          <w:rPr>
            <w:rStyle w:val="Hyperlink"/>
            <w:noProof/>
          </w:rPr>
          <w:t>designated</w:t>
        </w:r>
        <w:r w:rsidRPr="00683E1E">
          <w:rPr>
            <w:rStyle w:val="Hyperlink"/>
            <w:noProof/>
            <w:spacing w:val="-15"/>
          </w:rPr>
          <w:t xml:space="preserve"> </w:t>
        </w:r>
        <w:r w:rsidRPr="00683E1E">
          <w:rPr>
            <w:rStyle w:val="Hyperlink"/>
            <w:noProof/>
          </w:rPr>
          <w:t>coastal</w:t>
        </w:r>
        <w:r w:rsidRPr="00683E1E">
          <w:rPr>
            <w:rStyle w:val="Hyperlink"/>
            <w:noProof/>
            <w:spacing w:val="-14"/>
          </w:rPr>
          <w:t xml:space="preserve"> </w:t>
        </w:r>
        <w:r w:rsidRPr="00683E1E">
          <w:rPr>
            <w:rStyle w:val="Hyperlink"/>
            <w:noProof/>
            <w:spacing w:val="-4"/>
          </w:rPr>
          <w:t>bars</w:t>
        </w:r>
        <w:r>
          <w:rPr>
            <w:noProof/>
            <w:webHidden/>
          </w:rPr>
          <w:tab/>
        </w:r>
        <w:r>
          <w:rPr>
            <w:noProof/>
            <w:webHidden/>
          </w:rPr>
          <w:fldChar w:fldCharType="begin"/>
        </w:r>
        <w:r>
          <w:rPr>
            <w:noProof/>
            <w:webHidden/>
          </w:rPr>
          <w:instrText xml:space="preserve"> PAGEREF _Toc216699334 \h </w:instrText>
        </w:r>
        <w:r>
          <w:rPr>
            <w:noProof/>
            <w:webHidden/>
          </w:rPr>
        </w:r>
        <w:r>
          <w:rPr>
            <w:noProof/>
            <w:webHidden/>
          </w:rPr>
          <w:fldChar w:fldCharType="separate"/>
        </w:r>
        <w:r>
          <w:rPr>
            <w:noProof/>
            <w:webHidden/>
          </w:rPr>
          <w:t>49</w:t>
        </w:r>
        <w:r>
          <w:rPr>
            <w:noProof/>
            <w:webHidden/>
          </w:rPr>
          <w:fldChar w:fldCharType="end"/>
        </w:r>
      </w:hyperlink>
    </w:p>
    <w:p w14:paraId="39C3B863" w14:textId="49021E1A" w:rsidR="00B91EB8" w:rsidRDefault="00B91EB8">
      <w:pPr>
        <w:pStyle w:val="TOC1"/>
        <w:rPr>
          <w:rFonts w:asciiTheme="minorHAnsi" w:eastAsiaTheme="minorEastAsia" w:hAnsiTheme="minorHAnsi" w:cstheme="minorBidi"/>
          <w:b w:val="0"/>
          <w:caps w:val="0"/>
          <w:noProof/>
          <w:color w:val="auto"/>
          <w:kern w:val="2"/>
          <w:sz w:val="24"/>
          <w:szCs w:val="24"/>
          <w:lang w:eastAsia="en-AU"/>
          <w14:ligatures w14:val="standardContextual"/>
        </w:rPr>
      </w:pPr>
      <w:hyperlink w:anchor="_Toc216699335" w:history="1">
        <w:r w:rsidRPr="00683E1E">
          <w:rPr>
            <w:rStyle w:val="Hyperlink"/>
            <w:noProof/>
          </w:rPr>
          <w:t>8</w:t>
        </w:r>
        <w:r>
          <w:rPr>
            <w:rFonts w:asciiTheme="minorHAnsi" w:eastAsiaTheme="minorEastAsia" w:hAnsiTheme="minorHAnsi" w:cstheme="minorBidi"/>
            <w:b w:val="0"/>
            <w:caps w:val="0"/>
            <w:noProof/>
            <w:color w:val="auto"/>
            <w:kern w:val="2"/>
            <w:sz w:val="24"/>
            <w:szCs w:val="24"/>
            <w:lang w:eastAsia="en-AU"/>
            <w14:ligatures w14:val="standardContextual"/>
          </w:rPr>
          <w:tab/>
        </w:r>
        <w:r w:rsidRPr="00683E1E">
          <w:rPr>
            <w:rStyle w:val="Hyperlink"/>
            <w:noProof/>
          </w:rPr>
          <w:t>MSQ</w:t>
        </w:r>
        <w:r w:rsidRPr="00683E1E">
          <w:rPr>
            <w:rStyle w:val="Hyperlink"/>
            <w:noProof/>
            <w:spacing w:val="-5"/>
          </w:rPr>
          <w:t xml:space="preserve"> </w:t>
        </w:r>
        <w:r w:rsidRPr="00683E1E">
          <w:rPr>
            <w:rStyle w:val="Hyperlink"/>
            <w:noProof/>
          </w:rPr>
          <w:t>DREDGING</w:t>
        </w:r>
        <w:r w:rsidRPr="00683E1E">
          <w:rPr>
            <w:rStyle w:val="Hyperlink"/>
            <w:noProof/>
            <w:spacing w:val="-4"/>
          </w:rPr>
          <w:t xml:space="preserve"> </w:t>
        </w:r>
        <w:r w:rsidRPr="00683E1E">
          <w:rPr>
            <w:rStyle w:val="Hyperlink"/>
            <w:noProof/>
          </w:rPr>
          <w:t>OPTIONS</w:t>
        </w:r>
        <w:r w:rsidRPr="00683E1E">
          <w:rPr>
            <w:rStyle w:val="Hyperlink"/>
            <w:noProof/>
            <w:spacing w:val="-5"/>
          </w:rPr>
          <w:t xml:space="preserve"> </w:t>
        </w:r>
        <w:r w:rsidRPr="00683E1E">
          <w:rPr>
            <w:rStyle w:val="Hyperlink"/>
            <w:noProof/>
          </w:rPr>
          <w:t>–</w:t>
        </w:r>
        <w:r w:rsidRPr="00683E1E">
          <w:rPr>
            <w:rStyle w:val="Hyperlink"/>
            <w:noProof/>
            <w:spacing w:val="-4"/>
          </w:rPr>
          <w:t xml:space="preserve"> </w:t>
        </w:r>
        <w:r w:rsidRPr="00683E1E">
          <w:rPr>
            <w:rStyle w:val="Hyperlink"/>
            <w:noProof/>
          </w:rPr>
          <w:t>SHORT-</w:t>
        </w:r>
        <w:r w:rsidRPr="00683E1E">
          <w:rPr>
            <w:rStyle w:val="Hyperlink"/>
            <w:noProof/>
            <w:spacing w:val="-4"/>
          </w:rPr>
          <w:t>TERM</w:t>
        </w:r>
        <w:r>
          <w:rPr>
            <w:noProof/>
            <w:webHidden/>
          </w:rPr>
          <w:tab/>
        </w:r>
        <w:r>
          <w:rPr>
            <w:noProof/>
            <w:webHidden/>
          </w:rPr>
          <w:fldChar w:fldCharType="begin"/>
        </w:r>
        <w:r>
          <w:rPr>
            <w:noProof/>
            <w:webHidden/>
          </w:rPr>
          <w:instrText xml:space="preserve"> PAGEREF _Toc216699335 \h </w:instrText>
        </w:r>
        <w:r>
          <w:rPr>
            <w:noProof/>
            <w:webHidden/>
          </w:rPr>
        </w:r>
        <w:r>
          <w:rPr>
            <w:noProof/>
            <w:webHidden/>
          </w:rPr>
          <w:fldChar w:fldCharType="separate"/>
        </w:r>
        <w:r>
          <w:rPr>
            <w:noProof/>
            <w:webHidden/>
          </w:rPr>
          <w:t>50</w:t>
        </w:r>
        <w:r>
          <w:rPr>
            <w:noProof/>
            <w:webHidden/>
          </w:rPr>
          <w:fldChar w:fldCharType="end"/>
        </w:r>
      </w:hyperlink>
    </w:p>
    <w:p w14:paraId="24857F90" w14:textId="33A9B86C" w:rsidR="00B91EB8" w:rsidRDefault="00B91EB8">
      <w:pPr>
        <w:pStyle w:val="TOC1"/>
        <w:rPr>
          <w:rFonts w:asciiTheme="minorHAnsi" w:eastAsiaTheme="minorEastAsia" w:hAnsiTheme="minorHAnsi" w:cstheme="minorBidi"/>
          <w:b w:val="0"/>
          <w:caps w:val="0"/>
          <w:noProof/>
          <w:color w:val="auto"/>
          <w:kern w:val="2"/>
          <w:sz w:val="24"/>
          <w:szCs w:val="24"/>
          <w:lang w:eastAsia="en-AU"/>
          <w14:ligatures w14:val="standardContextual"/>
        </w:rPr>
      </w:pPr>
      <w:hyperlink w:anchor="_Toc216699336" w:history="1">
        <w:r w:rsidRPr="00683E1E">
          <w:rPr>
            <w:rStyle w:val="Hyperlink"/>
            <w:noProof/>
          </w:rPr>
          <w:t>9</w:t>
        </w:r>
        <w:r>
          <w:rPr>
            <w:rFonts w:asciiTheme="minorHAnsi" w:eastAsiaTheme="minorEastAsia" w:hAnsiTheme="minorHAnsi" w:cstheme="minorBidi"/>
            <w:b w:val="0"/>
            <w:caps w:val="0"/>
            <w:noProof/>
            <w:color w:val="auto"/>
            <w:kern w:val="2"/>
            <w:sz w:val="24"/>
            <w:szCs w:val="24"/>
            <w:lang w:eastAsia="en-AU"/>
            <w14:ligatures w14:val="standardContextual"/>
          </w:rPr>
          <w:tab/>
        </w:r>
        <w:r w:rsidRPr="00683E1E">
          <w:rPr>
            <w:rStyle w:val="Hyperlink"/>
            <w:noProof/>
          </w:rPr>
          <w:t>MSQ</w:t>
        </w:r>
        <w:r w:rsidRPr="00683E1E">
          <w:rPr>
            <w:rStyle w:val="Hyperlink"/>
            <w:noProof/>
            <w:spacing w:val="-3"/>
          </w:rPr>
          <w:t xml:space="preserve"> </w:t>
        </w:r>
        <w:r w:rsidRPr="00683E1E">
          <w:rPr>
            <w:rStyle w:val="Hyperlink"/>
            <w:noProof/>
          </w:rPr>
          <w:t>DREDGING</w:t>
        </w:r>
        <w:r w:rsidRPr="00683E1E">
          <w:rPr>
            <w:rStyle w:val="Hyperlink"/>
            <w:noProof/>
            <w:spacing w:val="-4"/>
          </w:rPr>
          <w:t xml:space="preserve"> </w:t>
        </w:r>
        <w:r w:rsidRPr="00683E1E">
          <w:rPr>
            <w:rStyle w:val="Hyperlink"/>
            <w:noProof/>
          </w:rPr>
          <w:t>OPTIONS</w:t>
        </w:r>
        <w:r w:rsidRPr="00683E1E">
          <w:rPr>
            <w:rStyle w:val="Hyperlink"/>
            <w:noProof/>
            <w:spacing w:val="-4"/>
          </w:rPr>
          <w:t xml:space="preserve"> </w:t>
        </w:r>
        <w:r w:rsidRPr="00683E1E">
          <w:rPr>
            <w:rStyle w:val="Hyperlink"/>
            <w:noProof/>
          </w:rPr>
          <w:t>–</w:t>
        </w:r>
        <w:r w:rsidRPr="00683E1E">
          <w:rPr>
            <w:rStyle w:val="Hyperlink"/>
            <w:noProof/>
            <w:spacing w:val="-4"/>
          </w:rPr>
          <w:t xml:space="preserve"> </w:t>
        </w:r>
        <w:r w:rsidRPr="00683E1E">
          <w:rPr>
            <w:rStyle w:val="Hyperlink"/>
            <w:noProof/>
          </w:rPr>
          <w:t>LONG</w:t>
        </w:r>
        <w:r w:rsidRPr="00683E1E">
          <w:rPr>
            <w:rStyle w:val="Hyperlink"/>
            <w:noProof/>
            <w:spacing w:val="-3"/>
          </w:rPr>
          <w:t>-</w:t>
        </w:r>
        <w:r w:rsidRPr="00683E1E">
          <w:rPr>
            <w:rStyle w:val="Hyperlink"/>
            <w:noProof/>
            <w:spacing w:val="-4"/>
          </w:rPr>
          <w:t>TERM</w:t>
        </w:r>
        <w:r>
          <w:rPr>
            <w:noProof/>
            <w:webHidden/>
          </w:rPr>
          <w:tab/>
        </w:r>
        <w:r>
          <w:rPr>
            <w:noProof/>
            <w:webHidden/>
          </w:rPr>
          <w:fldChar w:fldCharType="begin"/>
        </w:r>
        <w:r>
          <w:rPr>
            <w:noProof/>
            <w:webHidden/>
          </w:rPr>
          <w:instrText xml:space="preserve"> PAGEREF _Toc216699336 \h </w:instrText>
        </w:r>
        <w:r>
          <w:rPr>
            <w:noProof/>
            <w:webHidden/>
          </w:rPr>
        </w:r>
        <w:r>
          <w:rPr>
            <w:noProof/>
            <w:webHidden/>
          </w:rPr>
          <w:fldChar w:fldCharType="separate"/>
        </w:r>
        <w:r>
          <w:rPr>
            <w:noProof/>
            <w:webHidden/>
          </w:rPr>
          <w:t>51</w:t>
        </w:r>
        <w:r>
          <w:rPr>
            <w:noProof/>
            <w:webHidden/>
          </w:rPr>
          <w:fldChar w:fldCharType="end"/>
        </w:r>
      </w:hyperlink>
    </w:p>
    <w:p w14:paraId="307B89BC" w14:textId="67A137DE" w:rsidR="00B91EB8" w:rsidRDefault="00B91EB8">
      <w:pPr>
        <w:pStyle w:val="TOC1"/>
        <w:rPr>
          <w:rFonts w:asciiTheme="minorHAnsi" w:eastAsiaTheme="minorEastAsia" w:hAnsiTheme="minorHAnsi" w:cstheme="minorBidi"/>
          <w:b w:val="0"/>
          <w:caps w:val="0"/>
          <w:noProof/>
          <w:color w:val="auto"/>
          <w:kern w:val="2"/>
          <w:sz w:val="24"/>
          <w:szCs w:val="24"/>
          <w:lang w:eastAsia="en-AU"/>
          <w14:ligatures w14:val="standardContextual"/>
        </w:rPr>
      </w:pPr>
      <w:hyperlink w:anchor="_Toc216699337" w:history="1">
        <w:r w:rsidRPr="00683E1E">
          <w:rPr>
            <w:rStyle w:val="Hyperlink"/>
            <w:noProof/>
          </w:rPr>
          <w:t>10</w:t>
        </w:r>
        <w:r>
          <w:rPr>
            <w:rFonts w:asciiTheme="minorHAnsi" w:eastAsiaTheme="minorEastAsia" w:hAnsiTheme="minorHAnsi" w:cstheme="minorBidi"/>
            <w:b w:val="0"/>
            <w:caps w:val="0"/>
            <w:noProof/>
            <w:color w:val="auto"/>
            <w:kern w:val="2"/>
            <w:sz w:val="24"/>
            <w:szCs w:val="24"/>
            <w:lang w:eastAsia="en-AU"/>
            <w14:ligatures w14:val="standardContextual"/>
          </w:rPr>
          <w:tab/>
        </w:r>
        <w:r w:rsidRPr="00683E1E">
          <w:rPr>
            <w:rStyle w:val="Hyperlink"/>
            <w:noProof/>
          </w:rPr>
          <w:t>ASSESSMENT</w:t>
        </w:r>
        <w:r w:rsidRPr="00683E1E">
          <w:rPr>
            <w:rStyle w:val="Hyperlink"/>
            <w:noProof/>
            <w:spacing w:val="-7"/>
          </w:rPr>
          <w:t xml:space="preserve"> </w:t>
        </w:r>
        <w:r w:rsidRPr="00683E1E">
          <w:rPr>
            <w:rStyle w:val="Hyperlink"/>
            <w:noProof/>
          </w:rPr>
          <w:t>OF</w:t>
        </w:r>
        <w:r w:rsidRPr="00683E1E">
          <w:rPr>
            <w:rStyle w:val="Hyperlink"/>
            <w:noProof/>
            <w:spacing w:val="-5"/>
          </w:rPr>
          <w:t xml:space="preserve"> </w:t>
        </w:r>
        <w:r w:rsidRPr="00683E1E">
          <w:rPr>
            <w:rStyle w:val="Hyperlink"/>
            <w:noProof/>
          </w:rPr>
          <w:t>SHORT-TERM</w:t>
        </w:r>
        <w:r w:rsidRPr="00683E1E">
          <w:rPr>
            <w:rStyle w:val="Hyperlink"/>
            <w:noProof/>
            <w:spacing w:val="-5"/>
          </w:rPr>
          <w:t xml:space="preserve"> </w:t>
        </w:r>
        <w:r w:rsidRPr="00683E1E">
          <w:rPr>
            <w:rStyle w:val="Hyperlink"/>
            <w:noProof/>
          </w:rPr>
          <w:t>DREDGING</w:t>
        </w:r>
        <w:r w:rsidRPr="00683E1E">
          <w:rPr>
            <w:rStyle w:val="Hyperlink"/>
            <w:noProof/>
            <w:spacing w:val="-4"/>
          </w:rPr>
          <w:t xml:space="preserve"> </w:t>
        </w:r>
        <w:r w:rsidRPr="00683E1E">
          <w:rPr>
            <w:rStyle w:val="Hyperlink"/>
            <w:noProof/>
            <w:spacing w:val="-2"/>
          </w:rPr>
          <w:t>OPTIONS</w:t>
        </w:r>
        <w:r>
          <w:rPr>
            <w:noProof/>
            <w:webHidden/>
          </w:rPr>
          <w:tab/>
        </w:r>
        <w:r>
          <w:rPr>
            <w:noProof/>
            <w:webHidden/>
          </w:rPr>
          <w:fldChar w:fldCharType="begin"/>
        </w:r>
        <w:r>
          <w:rPr>
            <w:noProof/>
            <w:webHidden/>
          </w:rPr>
          <w:instrText xml:space="preserve"> PAGEREF _Toc216699337 \h </w:instrText>
        </w:r>
        <w:r>
          <w:rPr>
            <w:noProof/>
            <w:webHidden/>
          </w:rPr>
        </w:r>
        <w:r>
          <w:rPr>
            <w:noProof/>
            <w:webHidden/>
          </w:rPr>
          <w:fldChar w:fldCharType="separate"/>
        </w:r>
        <w:r>
          <w:rPr>
            <w:noProof/>
            <w:webHidden/>
          </w:rPr>
          <w:t>52</w:t>
        </w:r>
        <w:r>
          <w:rPr>
            <w:noProof/>
            <w:webHidden/>
          </w:rPr>
          <w:fldChar w:fldCharType="end"/>
        </w:r>
      </w:hyperlink>
    </w:p>
    <w:p w14:paraId="0E5FC3A5" w14:textId="4285FF6C"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338" w:history="1">
        <w:r w:rsidRPr="00683E1E">
          <w:rPr>
            <w:rStyle w:val="Hyperlink"/>
            <w:noProof/>
          </w:rPr>
          <w:t>10.1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Modifications</w:t>
        </w:r>
        <w:r w:rsidRPr="00683E1E">
          <w:rPr>
            <w:rStyle w:val="Hyperlink"/>
            <w:noProof/>
            <w:spacing w:val="-14"/>
          </w:rPr>
          <w:t xml:space="preserve"> </w:t>
        </w:r>
        <w:r w:rsidRPr="00683E1E">
          <w:rPr>
            <w:rStyle w:val="Hyperlink"/>
            <w:noProof/>
          </w:rPr>
          <w:t>to</w:t>
        </w:r>
        <w:r w:rsidRPr="00683E1E">
          <w:rPr>
            <w:rStyle w:val="Hyperlink"/>
            <w:noProof/>
            <w:spacing w:val="-14"/>
          </w:rPr>
          <w:t xml:space="preserve"> </w:t>
        </w:r>
        <w:r w:rsidRPr="00683E1E">
          <w:rPr>
            <w:rStyle w:val="Hyperlink"/>
            <w:noProof/>
          </w:rPr>
          <w:t>dredging</w:t>
        </w:r>
        <w:r w:rsidRPr="00683E1E">
          <w:rPr>
            <w:rStyle w:val="Hyperlink"/>
            <w:noProof/>
            <w:spacing w:val="-13"/>
          </w:rPr>
          <w:t xml:space="preserve"> </w:t>
        </w:r>
        <w:r w:rsidRPr="00683E1E">
          <w:rPr>
            <w:rStyle w:val="Hyperlink"/>
            <w:noProof/>
            <w:spacing w:val="-2"/>
          </w:rPr>
          <w:t>strategy</w:t>
        </w:r>
        <w:r>
          <w:rPr>
            <w:noProof/>
            <w:webHidden/>
          </w:rPr>
          <w:tab/>
        </w:r>
        <w:r>
          <w:rPr>
            <w:noProof/>
            <w:webHidden/>
          </w:rPr>
          <w:fldChar w:fldCharType="begin"/>
        </w:r>
        <w:r>
          <w:rPr>
            <w:noProof/>
            <w:webHidden/>
          </w:rPr>
          <w:instrText xml:space="preserve"> PAGEREF _Toc216699338 \h </w:instrText>
        </w:r>
        <w:r>
          <w:rPr>
            <w:noProof/>
            <w:webHidden/>
          </w:rPr>
        </w:r>
        <w:r>
          <w:rPr>
            <w:noProof/>
            <w:webHidden/>
          </w:rPr>
          <w:fldChar w:fldCharType="separate"/>
        </w:r>
        <w:r>
          <w:rPr>
            <w:noProof/>
            <w:webHidden/>
          </w:rPr>
          <w:t>52</w:t>
        </w:r>
        <w:r>
          <w:rPr>
            <w:noProof/>
            <w:webHidden/>
          </w:rPr>
          <w:fldChar w:fldCharType="end"/>
        </w:r>
      </w:hyperlink>
    </w:p>
    <w:p w14:paraId="0AE15C53" w14:textId="2E8F5962"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39" w:history="1">
        <w:r w:rsidRPr="00683E1E">
          <w:rPr>
            <w:rStyle w:val="Hyperlink"/>
            <w:noProof/>
            <w:spacing w:val="-2"/>
          </w:rPr>
          <w:t>10.1.1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Existing</w:t>
        </w:r>
        <w:r w:rsidRPr="00683E1E">
          <w:rPr>
            <w:rStyle w:val="Hyperlink"/>
            <w:noProof/>
            <w:spacing w:val="-6"/>
          </w:rPr>
          <w:t xml:space="preserve"> </w:t>
        </w:r>
        <w:r w:rsidRPr="00683E1E">
          <w:rPr>
            <w:rStyle w:val="Hyperlink"/>
            <w:noProof/>
          </w:rPr>
          <w:t>dredge</w:t>
        </w:r>
        <w:r w:rsidRPr="00683E1E">
          <w:rPr>
            <w:rStyle w:val="Hyperlink"/>
            <w:noProof/>
            <w:spacing w:val="-3"/>
          </w:rPr>
          <w:t xml:space="preserve"> </w:t>
        </w:r>
        <w:r w:rsidRPr="00683E1E">
          <w:rPr>
            <w:rStyle w:val="Hyperlink"/>
            <w:noProof/>
            <w:spacing w:val="-2"/>
          </w:rPr>
          <w:t>strategy</w:t>
        </w:r>
        <w:r>
          <w:rPr>
            <w:noProof/>
            <w:webHidden/>
          </w:rPr>
          <w:tab/>
        </w:r>
        <w:r>
          <w:rPr>
            <w:noProof/>
            <w:webHidden/>
          </w:rPr>
          <w:fldChar w:fldCharType="begin"/>
        </w:r>
        <w:r>
          <w:rPr>
            <w:noProof/>
            <w:webHidden/>
          </w:rPr>
          <w:instrText xml:space="preserve"> PAGEREF _Toc216699339 \h </w:instrText>
        </w:r>
        <w:r>
          <w:rPr>
            <w:noProof/>
            <w:webHidden/>
          </w:rPr>
        </w:r>
        <w:r>
          <w:rPr>
            <w:noProof/>
            <w:webHidden/>
          </w:rPr>
          <w:fldChar w:fldCharType="separate"/>
        </w:r>
        <w:r>
          <w:rPr>
            <w:noProof/>
            <w:webHidden/>
          </w:rPr>
          <w:t>52</w:t>
        </w:r>
        <w:r>
          <w:rPr>
            <w:noProof/>
            <w:webHidden/>
          </w:rPr>
          <w:fldChar w:fldCharType="end"/>
        </w:r>
      </w:hyperlink>
    </w:p>
    <w:p w14:paraId="029F854B" w14:textId="54E464A7"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40" w:history="1">
        <w:r w:rsidRPr="00683E1E">
          <w:rPr>
            <w:rStyle w:val="Hyperlink"/>
            <w:noProof/>
          </w:rPr>
          <w:t>10.1.2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Contract</w:t>
        </w:r>
        <w:r w:rsidRPr="00683E1E">
          <w:rPr>
            <w:rStyle w:val="Hyperlink"/>
            <w:noProof/>
            <w:spacing w:val="-7"/>
          </w:rPr>
          <w:t xml:space="preserve"> </w:t>
        </w:r>
        <w:r w:rsidRPr="00683E1E">
          <w:rPr>
            <w:rStyle w:val="Hyperlink"/>
            <w:noProof/>
          </w:rPr>
          <w:t>Dredge</w:t>
        </w:r>
        <w:r w:rsidRPr="00683E1E">
          <w:rPr>
            <w:rStyle w:val="Hyperlink"/>
            <w:noProof/>
            <w:spacing w:val="-2"/>
          </w:rPr>
          <w:t xml:space="preserve"> </w:t>
        </w:r>
        <w:r w:rsidRPr="00683E1E">
          <w:rPr>
            <w:rStyle w:val="Hyperlink"/>
            <w:noProof/>
          </w:rPr>
          <w:t>on</w:t>
        </w:r>
        <w:r w:rsidRPr="00683E1E">
          <w:rPr>
            <w:rStyle w:val="Hyperlink"/>
            <w:noProof/>
            <w:spacing w:val="-3"/>
          </w:rPr>
          <w:t xml:space="preserve"> </w:t>
        </w:r>
        <w:r w:rsidRPr="00683E1E">
          <w:rPr>
            <w:rStyle w:val="Hyperlink"/>
            <w:noProof/>
          </w:rPr>
          <w:t>Standby</w:t>
        </w:r>
        <w:r w:rsidRPr="00683E1E">
          <w:rPr>
            <w:rStyle w:val="Hyperlink"/>
            <w:noProof/>
            <w:spacing w:val="-3"/>
          </w:rPr>
          <w:t xml:space="preserve"> </w:t>
        </w:r>
        <w:r w:rsidRPr="00683E1E">
          <w:rPr>
            <w:rStyle w:val="Hyperlink"/>
            <w:noProof/>
          </w:rPr>
          <w:t>(356</w:t>
        </w:r>
        <w:r w:rsidRPr="00683E1E">
          <w:rPr>
            <w:rStyle w:val="Hyperlink"/>
            <w:noProof/>
            <w:spacing w:val="-2"/>
          </w:rPr>
          <w:t xml:space="preserve"> </w:t>
        </w:r>
        <w:r w:rsidRPr="00683E1E">
          <w:rPr>
            <w:rStyle w:val="Hyperlink"/>
            <w:noProof/>
          </w:rPr>
          <w:t>days</w:t>
        </w:r>
        <w:r w:rsidRPr="00683E1E">
          <w:rPr>
            <w:rStyle w:val="Hyperlink"/>
            <w:noProof/>
            <w:spacing w:val="-2"/>
          </w:rPr>
          <w:t xml:space="preserve"> </w:t>
        </w:r>
        <w:r w:rsidRPr="00683E1E">
          <w:rPr>
            <w:rStyle w:val="Hyperlink"/>
            <w:noProof/>
          </w:rPr>
          <w:t>per</w:t>
        </w:r>
        <w:r w:rsidRPr="00683E1E">
          <w:rPr>
            <w:rStyle w:val="Hyperlink"/>
            <w:noProof/>
            <w:spacing w:val="-3"/>
          </w:rPr>
          <w:t xml:space="preserve"> </w:t>
        </w:r>
        <w:r w:rsidRPr="00683E1E">
          <w:rPr>
            <w:rStyle w:val="Hyperlink"/>
            <w:noProof/>
            <w:spacing w:val="-2"/>
          </w:rPr>
          <w:t>year)</w:t>
        </w:r>
        <w:r>
          <w:rPr>
            <w:noProof/>
            <w:webHidden/>
          </w:rPr>
          <w:tab/>
        </w:r>
        <w:r>
          <w:rPr>
            <w:noProof/>
            <w:webHidden/>
          </w:rPr>
          <w:fldChar w:fldCharType="begin"/>
        </w:r>
        <w:r>
          <w:rPr>
            <w:noProof/>
            <w:webHidden/>
          </w:rPr>
          <w:instrText xml:space="preserve"> PAGEREF _Toc216699340 \h </w:instrText>
        </w:r>
        <w:r>
          <w:rPr>
            <w:noProof/>
            <w:webHidden/>
          </w:rPr>
        </w:r>
        <w:r>
          <w:rPr>
            <w:noProof/>
            <w:webHidden/>
          </w:rPr>
          <w:fldChar w:fldCharType="separate"/>
        </w:r>
        <w:r>
          <w:rPr>
            <w:noProof/>
            <w:webHidden/>
          </w:rPr>
          <w:t>53</w:t>
        </w:r>
        <w:r>
          <w:rPr>
            <w:noProof/>
            <w:webHidden/>
          </w:rPr>
          <w:fldChar w:fldCharType="end"/>
        </w:r>
      </w:hyperlink>
    </w:p>
    <w:p w14:paraId="3CC93702" w14:textId="79D5DF0C"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41" w:history="1">
        <w:r w:rsidRPr="00683E1E">
          <w:rPr>
            <w:rStyle w:val="Hyperlink"/>
            <w:noProof/>
          </w:rPr>
          <w:t>10.1.3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Trailer</w:t>
        </w:r>
        <w:r w:rsidRPr="00683E1E">
          <w:rPr>
            <w:rStyle w:val="Hyperlink"/>
            <w:noProof/>
            <w:spacing w:val="-5"/>
          </w:rPr>
          <w:t xml:space="preserve"> </w:t>
        </w:r>
        <w:r w:rsidRPr="00683E1E">
          <w:rPr>
            <w:rStyle w:val="Hyperlink"/>
            <w:noProof/>
          </w:rPr>
          <w:t>Suction</w:t>
        </w:r>
        <w:r w:rsidRPr="00683E1E">
          <w:rPr>
            <w:rStyle w:val="Hyperlink"/>
            <w:noProof/>
            <w:spacing w:val="-4"/>
          </w:rPr>
          <w:t xml:space="preserve"> </w:t>
        </w:r>
        <w:r w:rsidRPr="00683E1E">
          <w:rPr>
            <w:rStyle w:val="Hyperlink"/>
            <w:noProof/>
          </w:rPr>
          <w:t>Hopper</w:t>
        </w:r>
        <w:r w:rsidRPr="00683E1E">
          <w:rPr>
            <w:rStyle w:val="Hyperlink"/>
            <w:noProof/>
            <w:spacing w:val="-4"/>
          </w:rPr>
          <w:t xml:space="preserve"> </w:t>
        </w:r>
        <w:r w:rsidRPr="00683E1E">
          <w:rPr>
            <w:rStyle w:val="Hyperlink"/>
            <w:noProof/>
          </w:rPr>
          <w:t>Dredger</w:t>
        </w:r>
        <w:r w:rsidRPr="00683E1E">
          <w:rPr>
            <w:rStyle w:val="Hyperlink"/>
            <w:noProof/>
            <w:spacing w:val="-4"/>
          </w:rPr>
          <w:t xml:space="preserve"> </w:t>
        </w:r>
        <w:r w:rsidRPr="00683E1E">
          <w:rPr>
            <w:rStyle w:val="Hyperlink"/>
            <w:noProof/>
            <w:spacing w:val="-2"/>
          </w:rPr>
          <w:t>(TSHD)</w:t>
        </w:r>
        <w:r>
          <w:rPr>
            <w:noProof/>
            <w:webHidden/>
          </w:rPr>
          <w:tab/>
        </w:r>
        <w:r>
          <w:rPr>
            <w:noProof/>
            <w:webHidden/>
          </w:rPr>
          <w:fldChar w:fldCharType="begin"/>
        </w:r>
        <w:r>
          <w:rPr>
            <w:noProof/>
            <w:webHidden/>
          </w:rPr>
          <w:instrText xml:space="preserve"> PAGEREF _Toc216699341 \h </w:instrText>
        </w:r>
        <w:r>
          <w:rPr>
            <w:noProof/>
            <w:webHidden/>
          </w:rPr>
        </w:r>
        <w:r>
          <w:rPr>
            <w:noProof/>
            <w:webHidden/>
          </w:rPr>
          <w:fldChar w:fldCharType="separate"/>
        </w:r>
        <w:r>
          <w:rPr>
            <w:noProof/>
            <w:webHidden/>
          </w:rPr>
          <w:t>53</w:t>
        </w:r>
        <w:r>
          <w:rPr>
            <w:noProof/>
            <w:webHidden/>
          </w:rPr>
          <w:fldChar w:fldCharType="end"/>
        </w:r>
      </w:hyperlink>
    </w:p>
    <w:p w14:paraId="0E501A61" w14:textId="124B0E33"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42" w:history="1">
        <w:r w:rsidRPr="00683E1E">
          <w:rPr>
            <w:rStyle w:val="Hyperlink"/>
            <w:noProof/>
          </w:rPr>
          <w:t>10.1.4</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Jack-up</w:t>
        </w:r>
        <w:r w:rsidRPr="00683E1E">
          <w:rPr>
            <w:rStyle w:val="Hyperlink"/>
            <w:noProof/>
            <w:spacing w:val="-4"/>
          </w:rPr>
          <w:t xml:space="preserve"> </w:t>
        </w:r>
        <w:r w:rsidRPr="00683E1E">
          <w:rPr>
            <w:rStyle w:val="Hyperlink"/>
            <w:noProof/>
          </w:rPr>
          <w:t>barge</w:t>
        </w:r>
        <w:r w:rsidRPr="00683E1E">
          <w:rPr>
            <w:rStyle w:val="Hyperlink"/>
            <w:noProof/>
            <w:spacing w:val="-3"/>
          </w:rPr>
          <w:t xml:space="preserve"> </w:t>
        </w:r>
        <w:r w:rsidRPr="00683E1E">
          <w:rPr>
            <w:rStyle w:val="Hyperlink"/>
            <w:noProof/>
            <w:spacing w:val="-2"/>
          </w:rPr>
          <w:t>option</w:t>
        </w:r>
        <w:r>
          <w:rPr>
            <w:noProof/>
            <w:webHidden/>
          </w:rPr>
          <w:tab/>
        </w:r>
        <w:r>
          <w:rPr>
            <w:noProof/>
            <w:webHidden/>
          </w:rPr>
          <w:fldChar w:fldCharType="begin"/>
        </w:r>
        <w:r>
          <w:rPr>
            <w:noProof/>
            <w:webHidden/>
          </w:rPr>
          <w:instrText xml:space="preserve"> PAGEREF _Toc216699342 \h </w:instrText>
        </w:r>
        <w:r>
          <w:rPr>
            <w:noProof/>
            <w:webHidden/>
          </w:rPr>
        </w:r>
        <w:r>
          <w:rPr>
            <w:noProof/>
            <w:webHidden/>
          </w:rPr>
          <w:fldChar w:fldCharType="separate"/>
        </w:r>
        <w:r>
          <w:rPr>
            <w:noProof/>
            <w:webHidden/>
          </w:rPr>
          <w:t>54</w:t>
        </w:r>
        <w:r>
          <w:rPr>
            <w:noProof/>
            <w:webHidden/>
          </w:rPr>
          <w:fldChar w:fldCharType="end"/>
        </w:r>
      </w:hyperlink>
    </w:p>
    <w:p w14:paraId="3210ACC4" w14:textId="2F9C8456"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43" w:history="1">
        <w:r w:rsidRPr="00683E1E">
          <w:rPr>
            <w:rStyle w:val="Hyperlink"/>
            <w:noProof/>
          </w:rPr>
          <w:t>10.1.5</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Bed-levelling</w:t>
        </w:r>
        <w:r>
          <w:rPr>
            <w:noProof/>
            <w:webHidden/>
          </w:rPr>
          <w:tab/>
        </w:r>
        <w:r>
          <w:rPr>
            <w:noProof/>
            <w:webHidden/>
          </w:rPr>
          <w:fldChar w:fldCharType="begin"/>
        </w:r>
        <w:r>
          <w:rPr>
            <w:noProof/>
            <w:webHidden/>
          </w:rPr>
          <w:instrText xml:space="preserve"> PAGEREF _Toc216699343 \h </w:instrText>
        </w:r>
        <w:r>
          <w:rPr>
            <w:noProof/>
            <w:webHidden/>
          </w:rPr>
        </w:r>
        <w:r>
          <w:rPr>
            <w:noProof/>
            <w:webHidden/>
          </w:rPr>
          <w:fldChar w:fldCharType="separate"/>
        </w:r>
        <w:r>
          <w:rPr>
            <w:noProof/>
            <w:webHidden/>
          </w:rPr>
          <w:t>54</w:t>
        </w:r>
        <w:r>
          <w:rPr>
            <w:noProof/>
            <w:webHidden/>
          </w:rPr>
          <w:fldChar w:fldCharType="end"/>
        </w:r>
      </w:hyperlink>
    </w:p>
    <w:p w14:paraId="44C0B784" w14:textId="306AA8D4"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44" w:history="1">
        <w:r w:rsidRPr="00683E1E">
          <w:rPr>
            <w:rStyle w:val="Hyperlink"/>
            <w:noProof/>
          </w:rPr>
          <w:t>10.1.6</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Submarine</w:t>
        </w:r>
        <w:r w:rsidRPr="00683E1E">
          <w:rPr>
            <w:rStyle w:val="Hyperlink"/>
            <w:noProof/>
            <w:spacing w:val="-5"/>
          </w:rPr>
          <w:t xml:space="preserve"> </w:t>
        </w:r>
        <w:r w:rsidRPr="00683E1E">
          <w:rPr>
            <w:rStyle w:val="Hyperlink"/>
            <w:noProof/>
          </w:rPr>
          <w:t>Dredge</w:t>
        </w:r>
        <w:r w:rsidRPr="00683E1E">
          <w:rPr>
            <w:rStyle w:val="Hyperlink"/>
            <w:noProof/>
            <w:spacing w:val="-6"/>
          </w:rPr>
          <w:t xml:space="preserve"> </w:t>
        </w:r>
        <w:r w:rsidRPr="00683E1E">
          <w:rPr>
            <w:rStyle w:val="Hyperlink"/>
            <w:noProof/>
          </w:rPr>
          <w:t>(remotely</w:t>
        </w:r>
        <w:r w:rsidRPr="00683E1E">
          <w:rPr>
            <w:rStyle w:val="Hyperlink"/>
            <w:noProof/>
            <w:spacing w:val="-6"/>
          </w:rPr>
          <w:t xml:space="preserve"> </w:t>
        </w:r>
        <w:r w:rsidRPr="00683E1E">
          <w:rPr>
            <w:rStyle w:val="Hyperlink"/>
            <w:noProof/>
            <w:spacing w:val="-2"/>
          </w:rPr>
          <w:t>piloted)</w:t>
        </w:r>
        <w:r>
          <w:rPr>
            <w:noProof/>
            <w:webHidden/>
          </w:rPr>
          <w:tab/>
        </w:r>
        <w:r>
          <w:rPr>
            <w:noProof/>
            <w:webHidden/>
          </w:rPr>
          <w:fldChar w:fldCharType="begin"/>
        </w:r>
        <w:r>
          <w:rPr>
            <w:noProof/>
            <w:webHidden/>
          </w:rPr>
          <w:instrText xml:space="preserve"> PAGEREF _Toc216699344 \h </w:instrText>
        </w:r>
        <w:r>
          <w:rPr>
            <w:noProof/>
            <w:webHidden/>
          </w:rPr>
        </w:r>
        <w:r>
          <w:rPr>
            <w:noProof/>
            <w:webHidden/>
          </w:rPr>
          <w:fldChar w:fldCharType="separate"/>
        </w:r>
        <w:r>
          <w:rPr>
            <w:noProof/>
            <w:webHidden/>
          </w:rPr>
          <w:t>54</w:t>
        </w:r>
        <w:r>
          <w:rPr>
            <w:noProof/>
            <w:webHidden/>
          </w:rPr>
          <w:fldChar w:fldCharType="end"/>
        </w:r>
      </w:hyperlink>
    </w:p>
    <w:p w14:paraId="304D1467" w14:textId="322A21EA"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45" w:history="1">
        <w:r w:rsidRPr="00683E1E">
          <w:rPr>
            <w:rStyle w:val="Hyperlink"/>
            <w:noProof/>
          </w:rPr>
          <w:t>10.1.7</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Summary</w:t>
        </w:r>
        <w:r w:rsidRPr="00683E1E">
          <w:rPr>
            <w:rStyle w:val="Hyperlink"/>
            <w:noProof/>
            <w:spacing w:val="-5"/>
          </w:rPr>
          <w:t xml:space="preserve"> </w:t>
        </w:r>
        <w:r w:rsidRPr="00683E1E">
          <w:rPr>
            <w:rStyle w:val="Hyperlink"/>
            <w:noProof/>
          </w:rPr>
          <w:t>of</w:t>
        </w:r>
        <w:r w:rsidRPr="00683E1E">
          <w:rPr>
            <w:rStyle w:val="Hyperlink"/>
            <w:noProof/>
            <w:spacing w:val="-3"/>
          </w:rPr>
          <w:t xml:space="preserve"> </w:t>
        </w:r>
        <w:r w:rsidRPr="00683E1E">
          <w:rPr>
            <w:rStyle w:val="Hyperlink"/>
            <w:noProof/>
          </w:rPr>
          <w:t>Dredging</w:t>
        </w:r>
        <w:r w:rsidRPr="00683E1E">
          <w:rPr>
            <w:rStyle w:val="Hyperlink"/>
            <w:noProof/>
            <w:spacing w:val="-3"/>
          </w:rPr>
          <w:t xml:space="preserve"> </w:t>
        </w:r>
        <w:r w:rsidRPr="00683E1E">
          <w:rPr>
            <w:rStyle w:val="Hyperlink"/>
            <w:noProof/>
            <w:spacing w:val="-2"/>
          </w:rPr>
          <w:t>Strategy</w:t>
        </w:r>
        <w:r>
          <w:rPr>
            <w:noProof/>
            <w:webHidden/>
          </w:rPr>
          <w:tab/>
        </w:r>
        <w:r>
          <w:rPr>
            <w:noProof/>
            <w:webHidden/>
          </w:rPr>
          <w:fldChar w:fldCharType="begin"/>
        </w:r>
        <w:r>
          <w:rPr>
            <w:noProof/>
            <w:webHidden/>
          </w:rPr>
          <w:instrText xml:space="preserve"> PAGEREF _Toc216699345 \h </w:instrText>
        </w:r>
        <w:r>
          <w:rPr>
            <w:noProof/>
            <w:webHidden/>
          </w:rPr>
        </w:r>
        <w:r>
          <w:rPr>
            <w:noProof/>
            <w:webHidden/>
          </w:rPr>
          <w:fldChar w:fldCharType="separate"/>
        </w:r>
        <w:r>
          <w:rPr>
            <w:noProof/>
            <w:webHidden/>
          </w:rPr>
          <w:t>55</w:t>
        </w:r>
        <w:r>
          <w:rPr>
            <w:noProof/>
            <w:webHidden/>
          </w:rPr>
          <w:fldChar w:fldCharType="end"/>
        </w:r>
      </w:hyperlink>
    </w:p>
    <w:p w14:paraId="181477E8" w14:textId="33DF2BB9"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46" w:history="1">
        <w:r w:rsidRPr="00683E1E">
          <w:rPr>
            <w:rStyle w:val="Hyperlink"/>
            <w:noProof/>
          </w:rPr>
          <w:t>10.1.8</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Improvements</w:t>
        </w:r>
        <w:r w:rsidRPr="00683E1E">
          <w:rPr>
            <w:rStyle w:val="Hyperlink"/>
            <w:noProof/>
            <w:spacing w:val="-13"/>
          </w:rPr>
          <w:t xml:space="preserve"> </w:t>
        </w:r>
        <w:r w:rsidRPr="00683E1E">
          <w:rPr>
            <w:rStyle w:val="Hyperlink"/>
            <w:noProof/>
          </w:rPr>
          <w:t>to</w:t>
        </w:r>
        <w:r w:rsidRPr="00683E1E">
          <w:rPr>
            <w:rStyle w:val="Hyperlink"/>
            <w:noProof/>
            <w:spacing w:val="-14"/>
          </w:rPr>
          <w:t xml:space="preserve"> </w:t>
        </w:r>
        <w:r w:rsidRPr="00683E1E">
          <w:rPr>
            <w:rStyle w:val="Hyperlink"/>
            <w:noProof/>
            <w:spacing w:val="-2"/>
          </w:rPr>
          <w:t>monitoring</w:t>
        </w:r>
        <w:r>
          <w:rPr>
            <w:noProof/>
            <w:webHidden/>
          </w:rPr>
          <w:tab/>
        </w:r>
        <w:r>
          <w:rPr>
            <w:noProof/>
            <w:webHidden/>
          </w:rPr>
          <w:fldChar w:fldCharType="begin"/>
        </w:r>
        <w:r>
          <w:rPr>
            <w:noProof/>
            <w:webHidden/>
          </w:rPr>
          <w:instrText xml:space="preserve"> PAGEREF _Toc216699346 \h </w:instrText>
        </w:r>
        <w:r>
          <w:rPr>
            <w:noProof/>
            <w:webHidden/>
          </w:rPr>
        </w:r>
        <w:r>
          <w:rPr>
            <w:noProof/>
            <w:webHidden/>
          </w:rPr>
          <w:fldChar w:fldCharType="separate"/>
        </w:r>
        <w:r>
          <w:rPr>
            <w:noProof/>
            <w:webHidden/>
          </w:rPr>
          <w:t>56</w:t>
        </w:r>
        <w:r>
          <w:rPr>
            <w:noProof/>
            <w:webHidden/>
          </w:rPr>
          <w:fldChar w:fldCharType="end"/>
        </w:r>
      </w:hyperlink>
    </w:p>
    <w:p w14:paraId="6448B381" w14:textId="0D908AD3"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47" w:history="1">
        <w:r w:rsidRPr="00683E1E">
          <w:rPr>
            <w:rStyle w:val="Hyperlink"/>
            <w:noProof/>
          </w:rPr>
          <w:t>10.1.9</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Navigational</w:t>
        </w:r>
        <w:r w:rsidRPr="00683E1E">
          <w:rPr>
            <w:rStyle w:val="Hyperlink"/>
            <w:noProof/>
            <w:spacing w:val="-14"/>
          </w:rPr>
          <w:t xml:space="preserve"> </w:t>
        </w:r>
        <w:r w:rsidRPr="00683E1E">
          <w:rPr>
            <w:rStyle w:val="Hyperlink"/>
            <w:noProof/>
          </w:rPr>
          <w:t>warnings</w:t>
        </w:r>
        <w:r w:rsidRPr="00683E1E">
          <w:rPr>
            <w:rStyle w:val="Hyperlink"/>
            <w:noProof/>
            <w:spacing w:val="-14"/>
          </w:rPr>
          <w:t xml:space="preserve"> </w:t>
        </w:r>
        <w:r w:rsidRPr="00683E1E">
          <w:rPr>
            <w:rStyle w:val="Hyperlink"/>
            <w:noProof/>
          </w:rPr>
          <w:t>and</w:t>
        </w:r>
        <w:r w:rsidRPr="00683E1E">
          <w:rPr>
            <w:rStyle w:val="Hyperlink"/>
            <w:noProof/>
            <w:spacing w:val="-14"/>
          </w:rPr>
          <w:t xml:space="preserve"> </w:t>
        </w:r>
        <w:r w:rsidRPr="00683E1E">
          <w:rPr>
            <w:rStyle w:val="Hyperlink"/>
            <w:noProof/>
            <w:spacing w:val="-2"/>
          </w:rPr>
          <w:t>guidance</w:t>
        </w:r>
        <w:r>
          <w:rPr>
            <w:noProof/>
            <w:webHidden/>
          </w:rPr>
          <w:tab/>
        </w:r>
        <w:r>
          <w:rPr>
            <w:noProof/>
            <w:webHidden/>
          </w:rPr>
          <w:fldChar w:fldCharType="begin"/>
        </w:r>
        <w:r>
          <w:rPr>
            <w:noProof/>
            <w:webHidden/>
          </w:rPr>
          <w:instrText xml:space="preserve"> PAGEREF _Toc216699347 \h </w:instrText>
        </w:r>
        <w:r>
          <w:rPr>
            <w:noProof/>
            <w:webHidden/>
          </w:rPr>
        </w:r>
        <w:r>
          <w:rPr>
            <w:noProof/>
            <w:webHidden/>
          </w:rPr>
          <w:fldChar w:fldCharType="separate"/>
        </w:r>
        <w:r>
          <w:rPr>
            <w:noProof/>
            <w:webHidden/>
          </w:rPr>
          <w:t>59</w:t>
        </w:r>
        <w:r>
          <w:rPr>
            <w:noProof/>
            <w:webHidden/>
          </w:rPr>
          <w:fldChar w:fldCharType="end"/>
        </w:r>
      </w:hyperlink>
    </w:p>
    <w:p w14:paraId="541B4CDB" w14:textId="600C4F4A"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48" w:history="1">
        <w:r w:rsidRPr="00683E1E">
          <w:rPr>
            <w:rStyle w:val="Hyperlink"/>
            <w:noProof/>
          </w:rPr>
          <w:t>10.1.10</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Western</w:t>
        </w:r>
        <w:r w:rsidRPr="00683E1E">
          <w:rPr>
            <w:rStyle w:val="Hyperlink"/>
            <w:noProof/>
            <w:spacing w:val="-15"/>
          </w:rPr>
          <w:t xml:space="preserve"> </w:t>
        </w:r>
        <w:r w:rsidRPr="00683E1E">
          <w:rPr>
            <w:rStyle w:val="Hyperlink"/>
            <w:noProof/>
          </w:rPr>
          <w:t>Channel</w:t>
        </w:r>
        <w:r w:rsidRPr="00683E1E">
          <w:rPr>
            <w:rStyle w:val="Hyperlink"/>
            <w:noProof/>
            <w:spacing w:val="-13"/>
          </w:rPr>
          <w:t xml:space="preserve"> </w:t>
        </w:r>
        <w:r w:rsidRPr="00683E1E">
          <w:rPr>
            <w:rStyle w:val="Hyperlink"/>
            <w:noProof/>
            <w:spacing w:val="-2"/>
          </w:rPr>
          <w:t>Trial</w:t>
        </w:r>
        <w:r>
          <w:rPr>
            <w:noProof/>
            <w:webHidden/>
          </w:rPr>
          <w:tab/>
        </w:r>
        <w:r>
          <w:rPr>
            <w:noProof/>
            <w:webHidden/>
          </w:rPr>
          <w:fldChar w:fldCharType="begin"/>
        </w:r>
        <w:r>
          <w:rPr>
            <w:noProof/>
            <w:webHidden/>
          </w:rPr>
          <w:instrText xml:space="preserve"> PAGEREF _Toc216699348 \h </w:instrText>
        </w:r>
        <w:r>
          <w:rPr>
            <w:noProof/>
            <w:webHidden/>
          </w:rPr>
        </w:r>
        <w:r>
          <w:rPr>
            <w:noProof/>
            <w:webHidden/>
          </w:rPr>
          <w:fldChar w:fldCharType="separate"/>
        </w:r>
        <w:r>
          <w:rPr>
            <w:noProof/>
            <w:webHidden/>
          </w:rPr>
          <w:t>60</w:t>
        </w:r>
        <w:r>
          <w:rPr>
            <w:noProof/>
            <w:webHidden/>
          </w:rPr>
          <w:fldChar w:fldCharType="end"/>
        </w:r>
      </w:hyperlink>
    </w:p>
    <w:p w14:paraId="3660441A" w14:textId="735AAC26"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49" w:history="1">
        <w:r w:rsidRPr="00683E1E">
          <w:rPr>
            <w:rStyle w:val="Hyperlink"/>
            <w:noProof/>
          </w:rPr>
          <w:t>10.1.11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Condition</w:t>
        </w:r>
        <w:r w:rsidRPr="00683E1E">
          <w:rPr>
            <w:rStyle w:val="Hyperlink"/>
            <w:noProof/>
            <w:spacing w:val="-14"/>
          </w:rPr>
          <w:t xml:space="preserve"> </w:t>
        </w:r>
        <w:r w:rsidRPr="00683E1E">
          <w:rPr>
            <w:rStyle w:val="Hyperlink"/>
            <w:noProof/>
          </w:rPr>
          <w:t>assessment</w:t>
        </w:r>
        <w:r w:rsidRPr="00683E1E">
          <w:rPr>
            <w:rStyle w:val="Hyperlink"/>
            <w:noProof/>
            <w:spacing w:val="-12"/>
          </w:rPr>
          <w:t xml:space="preserve"> </w:t>
        </w:r>
        <w:r w:rsidRPr="00683E1E">
          <w:rPr>
            <w:rStyle w:val="Hyperlink"/>
            <w:noProof/>
          </w:rPr>
          <w:t>of</w:t>
        </w:r>
        <w:r w:rsidRPr="00683E1E">
          <w:rPr>
            <w:rStyle w:val="Hyperlink"/>
            <w:noProof/>
            <w:spacing w:val="-12"/>
          </w:rPr>
          <w:t xml:space="preserve"> </w:t>
        </w:r>
        <w:r w:rsidRPr="00683E1E">
          <w:rPr>
            <w:rStyle w:val="Hyperlink"/>
            <w:noProof/>
          </w:rPr>
          <w:t>eastern</w:t>
        </w:r>
        <w:r w:rsidRPr="00683E1E">
          <w:rPr>
            <w:rStyle w:val="Hyperlink"/>
            <w:noProof/>
            <w:spacing w:val="-14"/>
          </w:rPr>
          <w:t xml:space="preserve"> </w:t>
        </w:r>
        <w:r w:rsidRPr="00683E1E">
          <w:rPr>
            <w:rStyle w:val="Hyperlink"/>
            <w:noProof/>
            <w:spacing w:val="-2"/>
          </w:rPr>
          <w:t>breakwater</w:t>
        </w:r>
        <w:r>
          <w:rPr>
            <w:noProof/>
            <w:webHidden/>
          </w:rPr>
          <w:tab/>
        </w:r>
        <w:r>
          <w:rPr>
            <w:noProof/>
            <w:webHidden/>
          </w:rPr>
          <w:fldChar w:fldCharType="begin"/>
        </w:r>
        <w:r>
          <w:rPr>
            <w:noProof/>
            <w:webHidden/>
          </w:rPr>
          <w:instrText xml:space="preserve"> PAGEREF _Toc216699349 \h </w:instrText>
        </w:r>
        <w:r>
          <w:rPr>
            <w:noProof/>
            <w:webHidden/>
          </w:rPr>
        </w:r>
        <w:r>
          <w:rPr>
            <w:noProof/>
            <w:webHidden/>
          </w:rPr>
          <w:fldChar w:fldCharType="separate"/>
        </w:r>
        <w:r>
          <w:rPr>
            <w:noProof/>
            <w:webHidden/>
          </w:rPr>
          <w:t>61</w:t>
        </w:r>
        <w:r>
          <w:rPr>
            <w:noProof/>
            <w:webHidden/>
          </w:rPr>
          <w:fldChar w:fldCharType="end"/>
        </w:r>
      </w:hyperlink>
    </w:p>
    <w:p w14:paraId="26216B6B" w14:textId="0E1A985B" w:rsidR="00B91EB8" w:rsidRDefault="00B91EB8">
      <w:pPr>
        <w:pStyle w:val="TOC1"/>
        <w:rPr>
          <w:rFonts w:asciiTheme="minorHAnsi" w:eastAsiaTheme="minorEastAsia" w:hAnsiTheme="minorHAnsi" w:cstheme="minorBidi"/>
          <w:b w:val="0"/>
          <w:caps w:val="0"/>
          <w:noProof/>
          <w:color w:val="auto"/>
          <w:kern w:val="2"/>
          <w:sz w:val="24"/>
          <w:szCs w:val="24"/>
          <w:lang w:eastAsia="en-AU"/>
          <w14:ligatures w14:val="standardContextual"/>
        </w:rPr>
      </w:pPr>
      <w:hyperlink w:anchor="_Toc216699350" w:history="1">
        <w:r w:rsidRPr="00683E1E">
          <w:rPr>
            <w:rStyle w:val="Hyperlink"/>
            <w:noProof/>
          </w:rPr>
          <w:t>11</w:t>
        </w:r>
        <w:r>
          <w:rPr>
            <w:rFonts w:asciiTheme="minorHAnsi" w:eastAsiaTheme="minorEastAsia" w:hAnsiTheme="minorHAnsi" w:cstheme="minorBidi"/>
            <w:b w:val="0"/>
            <w:caps w:val="0"/>
            <w:noProof/>
            <w:color w:val="auto"/>
            <w:kern w:val="2"/>
            <w:sz w:val="24"/>
            <w:szCs w:val="24"/>
            <w:lang w:eastAsia="en-AU"/>
            <w14:ligatures w14:val="standardContextual"/>
          </w:rPr>
          <w:tab/>
        </w:r>
        <w:r w:rsidRPr="00683E1E">
          <w:rPr>
            <w:rStyle w:val="Hyperlink"/>
            <w:noProof/>
          </w:rPr>
          <w:t>PART</w:t>
        </w:r>
        <w:r w:rsidRPr="00683E1E">
          <w:rPr>
            <w:rStyle w:val="Hyperlink"/>
            <w:noProof/>
            <w:spacing w:val="-5"/>
          </w:rPr>
          <w:t xml:space="preserve"> </w:t>
        </w:r>
        <w:r w:rsidRPr="00683E1E">
          <w:rPr>
            <w:rStyle w:val="Hyperlink"/>
            <w:noProof/>
          </w:rPr>
          <w:t>1</w:t>
        </w:r>
        <w:r w:rsidRPr="00683E1E">
          <w:rPr>
            <w:rStyle w:val="Hyperlink"/>
            <w:noProof/>
            <w:spacing w:val="-3"/>
          </w:rPr>
          <w:t xml:space="preserve"> </w:t>
        </w:r>
        <w:r w:rsidRPr="00683E1E">
          <w:rPr>
            <w:rStyle w:val="Hyperlink"/>
            <w:noProof/>
          </w:rPr>
          <w:t>–</w:t>
        </w:r>
        <w:r w:rsidRPr="00683E1E">
          <w:rPr>
            <w:rStyle w:val="Hyperlink"/>
            <w:noProof/>
            <w:spacing w:val="-1"/>
          </w:rPr>
          <w:t xml:space="preserve"> </w:t>
        </w:r>
        <w:r w:rsidRPr="00683E1E">
          <w:rPr>
            <w:rStyle w:val="Hyperlink"/>
            <w:noProof/>
          </w:rPr>
          <w:t>CONCLUSIONS</w:t>
        </w:r>
        <w:r w:rsidRPr="00683E1E">
          <w:rPr>
            <w:rStyle w:val="Hyperlink"/>
            <w:noProof/>
            <w:spacing w:val="-3"/>
          </w:rPr>
          <w:t xml:space="preserve"> </w:t>
        </w:r>
        <w:r w:rsidRPr="00683E1E">
          <w:rPr>
            <w:rStyle w:val="Hyperlink"/>
            <w:noProof/>
          </w:rPr>
          <w:t>AND</w:t>
        </w:r>
        <w:r w:rsidRPr="00683E1E">
          <w:rPr>
            <w:rStyle w:val="Hyperlink"/>
            <w:noProof/>
            <w:spacing w:val="-3"/>
          </w:rPr>
          <w:t xml:space="preserve"> </w:t>
        </w:r>
        <w:r w:rsidRPr="00683E1E">
          <w:rPr>
            <w:rStyle w:val="Hyperlink"/>
            <w:noProof/>
            <w:spacing w:val="-2"/>
          </w:rPr>
          <w:t>RECOMMENDATIONS</w:t>
        </w:r>
        <w:r>
          <w:rPr>
            <w:noProof/>
            <w:webHidden/>
          </w:rPr>
          <w:tab/>
        </w:r>
        <w:r>
          <w:rPr>
            <w:noProof/>
            <w:webHidden/>
          </w:rPr>
          <w:fldChar w:fldCharType="begin"/>
        </w:r>
        <w:r>
          <w:rPr>
            <w:noProof/>
            <w:webHidden/>
          </w:rPr>
          <w:instrText xml:space="preserve"> PAGEREF _Toc216699350 \h </w:instrText>
        </w:r>
        <w:r>
          <w:rPr>
            <w:noProof/>
            <w:webHidden/>
          </w:rPr>
        </w:r>
        <w:r>
          <w:rPr>
            <w:noProof/>
            <w:webHidden/>
          </w:rPr>
          <w:fldChar w:fldCharType="separate"/>
        </w:r>
        <w:r>
          <w:rPr>
            <w:noProof/>
            <w:webHidden/>
          </w:rPr>
          <w:t>62</w:t>
        </w:r>
        <w:r>
          <w:rPr>
            <w:noProof/>
            <w:webHidden/>
          </w:rPr>
          <w:fldChar w:fldCharType="end"/>
        </w:r>
      </w:hyperlink>
    </w:p>
    <w:p w14:paraId="6B22B6C5" w14:textId="7BD49550"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51" w:history="1">
        <w:r w:rsidRPr="00683E1E">
          <w:rPr>
            <w:rStyle w:val="Hyperlink"/>
            <w:noProof/>
          </w:rPr>
          <w:t>11.1.1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Recommendations</w:t>
        </w:r>
        <w:r>
          <w:rPr>
            <w:noProof/>
            <w:webHidden/>
          </w:rPr>
          <w:tab/>
        </w:r>
        <w:r>
          <w:rPr>
            <w:noProof/>
            <w:webHidden/>
          </w:rPr>
          <w:fldChar w:fldCharType="begin"/>
        </w:r>
        <w:r>
          <w:rPr>
            <w:noProof/>
            <w:webHidden/>
          </w:rPr>
          <w:instrText xml:space="preserve"> PAGEREF _Toc216699351 \h </w:instrText>
        </w:r>
        <w:r>
          <w:rPr>
            <w:noProof/>
            <w:webHidden/>
          </w:rPr>
        </w:r>
        <w:r>
          <w:rPr>
            <w:noProof/>
            <w:webHidden/>
          </w:rPr>
          <w:fldChar w:fldCharType="separate"/>
        </w:r>
        <w:r>
          <w:rPr>
            <w:noProof/>
            <w:webHidden/>
          </w:rPr>
          <w:t>62</w:t>
        </w:r>
        <w:r>
          <w:rPr>
            <w:noProof/>
            <w:webHidden/>
          </w:rPr>
          <w:fldChar w:fldCharType="end"/>
        </w:r>
      </w:hyperlink>
    </w:p>
    <w:p w14:paraId="2DCA87AC" w14:textId="014C5550" w:rsidR="00B91EB8" w:rsidRDefault="00B91EB8">
      <w:pPr>
        <w:pStyle w:val="TOC4"/>
        <w:rPr>
          <w:rFonts w:asciiTheme="minorHAnsi" w:eastAsiaTheme="minorEastAsia" w:hAnsiTheme="minorHAnsi" w:cstheme="minorBidi"/>
          <w:b w:val="0"/>
          <w:caps w:val="0"/>
          <w:noProof/>
          <w:color w:val="auto"/>
          <w:kern w:val="2"/>
          <w:sz w:val="24"/>
          <w:szCs w:val="24"/>
          <w:lang w:eastAsia="en-AU"/>
          <w14:ligatures w14:val="standardContextual"/>
        </w:rPr>
      </w:pPr>
      <w:hyperlink w:anchor="_Toc216699352" w:history="1">
        <w:r w:rsidRPr="00683E1E">
          <w:rPr>
            <w:rStyle w:val="Hyperlink"/>
            <w:noProof/>
          </w:rPr>
          <w:t>PART</w:t>
        </w:r>
        <w:r w:rsidRPr="00683E1E">
          <w:rPr>
            <w:rStyle w:val="Hyperlink"/>
            <w:noProof/>
            <w:spacing w:val="-12"/>
          </w:rPr>
          <w:t xml:space="preserve"> </w:t>
        </w:r>
        <w:r w:rsidRPr="00683E1E">
          <w:rPr>
            <w:rStyle w:val="Hyperlink"/>
            <w:noProof/>
            <w:spacing w:val="-10"/>
          </w:rPr>
          <w:t>2</w:t>
        </w:r>
        <w:r>
          <w:rPr>
            <w:noProof/>
            <w:webHidden/>
          </w:rPr>
          <w:tab/>
        </w:r>
        <w:r>
          <w:rPr>
            <w:noProof/>
            <w:webHidden/>
          </w:rPr>
          <w:fldChar w:fldCharType="begin"/>
        </w:r>
        <w:r>
          <w:rPr>
            <w:noProof/>
            <w:webHidden/>
          </w:rPr>
          <w:instrText xml:space="preserve"> PAGEREF _Toc216699352 \h </w:instrText>
        </w:r>
        <w:r>
          <w:rPr>
            <w:noProof/>
            <w:webHidden/>
          </w:rPr>
        </w:r>
        <w:r>
          <w:rPr>
            <w:noProof/>
            <w:webHidden/>
          </w:rPr>
          <w:fldChar w:fldCharType="separate"/>
        </w:r>
        <w:r>
          <w:rPr>
            <w:noProof/>
            <w:webHidden/>
          </w:rPr>
          <w:t>64</w:t>
        </w:r>
        <w:r>
          <w:rPr>
            <w:noProof/>
            <w:webHidden/>
          </w:rPr>
          <w:fldChar w:fldCharType="end"/>
        </w:r>
      </w:hyperlink>
    </w:p>
    <w:p w14:paraId="4DC39EBC" w14:textId="6978BAD4" w:rsidR="00B91EB8" w:rsidRDefault="00B91EB8">
      <w:pPr>
        <w:pStyle w:val="TOC1"/>
        <w:rPr>
          <w:rFonts w:asciiTheme="minorHAnsi" w:eastAsiaTheme="minorEastAsia" w:hAnsiTheme="minorHAnsi" w:cstheme="minorBidi"/>
          <w:b w:val="0"/>
          <w:caps w:val="0"/>
          <w:noProof/>
          <w:color w:val="auto"/>
          <w:kern w:val="2"/>
          <w:sz w:val="24"/>
          <w:szCs w:val="24"/>
          <w:lang w:eastAsia="en-AU"/>
          <w14:ligatures w14:val="standardContextual"/>
        </w:rPr>
      </w:pPr>
      <w:hyperlink w:anchor="_Toc216699353" w:history="1">
        <w:r w:rsidRPr="00683E1E">
          <w:rPr>
            <w:rStyle w:val="Hyperlink"/>
            <w:noProof/>
          </w:rPr>
          <w:t>12</w:t>
        </w:r>
        <w:r>
          <w:rPr>
            <w:rFonts w:asciiTheme="minorHAnsi" w:eastAsiaTheme="minorEastAsia" w:hAnsiTheme="minorHAnsi" w:cstheme="minorBidi"/>
            <w:b w:val="0"/>
            <w:caps w:val="0"/>
            <w:noProof/>
            <w:color w:val="auto"/>
            <w:kern w:val="2"/>
            <w:sz w:val="24"/>
            <w:szCs w:val="24"/>
            <w:lang w:eastAsia="en-AU"/>
            <w14:ligatures w14:val="standardContextual"/>
          </w:rPr>
          <w:tab/>
        </w:r>
        <w:r w:rsidRPr="00683E1E">
          <w:rPr>
            <w:rStyle w:val="Hyperlink"/>
            <w:noProof/>
          </w:rPr>
          <w:t>THE</w:t>
        </w:r>
        <w:r w:rsidRPr="00683E1E">
          <w:rPr>
            <w:rStyle w:val="Hyperlink"/>
            <w:noProof/>
            <w:spacing w:val="-3"/>
          </w:rPr>
          <w:t xml:space="preserve"> </w:t>
        </w:r>
        <w:r w:rsidRPr="00683E1E">
          <w:rPr>
            <w:rStyle w:val="Hyperlink"/>
            <w:noProof/>
          </w:rPr>
          <w:t>NEED</w:t>
        </w:r>
        <w:r w:rsidRPr="00683E1E">
          <w:rPr>
            <w:rStyle w:val="Hyperlink"/>
            <w:noProof/>
            <w:spacing w:val="-2"/>
          </w:rPr>
          <w:t xml:space="preserve"> </w:t>
        </w:r>
        <w:r w:rsidRPr="00683E1E">
          <w:rPr>
            <w:rStyle w:val="Hyperlink"/>
            <w:noProof/>
          </w:rPr>
          <w:t>FOR</w:t>
        </w:r>
        <w:r w:rsidRPr="00683E1E">
          <w:rPr>
            <w:rStyle w:val="Hyperlink"/>
            <w:noProof/>
            <w:spacing w:val="-4"/>
          </w:rPr>
          <w:t xml:space="preserve"> </w:t>
        </w:r>
        <w:r w:rsidRPr="00683E1E">
          <w:rPr>
            <w:rStyle w:val="Hyperlink"/>
            <w:noProof/>
          </w:rPr>
          <w:t>LONG</w:t>
        </w:r>
        <w:r w:rsidRPr="00683E1E">
          <w:rPr>
            <w:rStyle w:val="Hyperlink"/>
            <w:noProof/>
            <w:spacing w:val="-3"/>
          </w:rPr>
          <w:t xml:space="preserve"> </w:t>
        </w:r>
        <w:r w:rsidRPr="00683E1E">
          <w:rPr>
            <w:rStyle w:val="Hyperlink"/>
            <w:noProof/>
          </w:rPr>
          <w:t>TERM</w:t>
        </w:r>
        <w:r w:rsidRPr="00683E1E">
          <w:rPr>
            <w:rStyle w:val="Hyperlink"/>
            <w:noProof/>
            <w:spacing w:val="-2"/>
          </w:rPr>
          <w:t xml:space="preserve"> SOLUTIONS</w:t>
        </w:r>
        <w:r>
          <w:rPr>
            <w:noProof/>
            <w:webHidden/>
          </w:rPr>
          <w:tab/>
        </w:r>
        <w:r>
          <w:rPr>
            <w:noProof/>
            <w:webHidden/>
          </w:rPr>
          <w:fldChar w:fldCharType="begin"/>
        </w:r>
        <w:r>
          <w:rPr>
            <w:noProof/>
            <w:webHidden/>
          </w:rPr>
          <w:instrText xml:space="preserve"> PAGEREF _Toc216699353 \h </w:instrText>
        </w:r>
        <w:r>
          <w:rPr>
            <w:noProof/>
            <w:webHidden/>
          </w:rPr>
        </w:r>
        <w:r>
          <w:rPr>
            <w:noProof/>
            <w:webHidden/>
          </w:rPr>
          <w:fldChar w:fldCharType="separate"/>
        </w:r>
        <w:r>
          <w:rPr>
            <w:noProof/>
            <w:webHidden/>
          </w:rPr>
          <w:t>65</w:t>
        </w:r>
        <w:r>
          <w:rPr>
            <w:noProof/>
            <w:webHidden/>
          </w:rPr>
          <w:fldChar w:fldCharType="end"/>
        </w:r>
      </w:hyperlink>
    </w:p>
    <w:p w14:paraId="64AD768D" w14:textId="52FE3BB1"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354" w:history="1">
        <w:r w:rsidRPr="00683E1E">
          <w:rPr>
            <w:rStyle w:val="Hyperlink"/>
            <w:noProof/>
          </w:rPr>
          <w:t>12.1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The</w:t>
        </w:r>
        <w:r w:rsidRPr="00683E1E">
          <w:rPr>
            <w:rStyle w:val="Hyperlink"/>
            <w:noProof/>
            <w:spacing w:val="-9"/>
          </w:rPr>
          <w:t xml:space="preserve"> </w:t>
        </w:r>
        <w:r w:rsidRPr="00683E1E">
          <w:rPr>
            <w:rStyle w:val="Hyperlink"/>
            <w:noProof/>
          </w:rPr>
          <w:t>goals</w:t>
        </w:r>
        <w:r w:rsidRPr="00683E1E">
          <w:rPr>
            <w:rStyle w:val="Hyperlink"/>
            <w:noProof/>
            <w:spacing w:val="-8"/>
          </w:rPr>
          <w:t xml:space="preserve"> </w:t>
        </w:r>
        <w:r w:rsidRPr="00683E1E">
          <w:rPr>
            <w:rStyle w:val="Hyperlink"/>
            <w:noProof/>
          </w:rPr>
          <w:t>of</w:t>
        </w:r>
        <w:r w:rsidRPr="00683E1E">
          <w:rPr>
            <w:rStyle w:val="Hyperlink"/>
            <w:noProof/>
            <w:spacing w:val="-8"/>
          </w:rPr>
          <w:t xml:space="preserve"> </w:t>
        </w:r>
        <w:r w:rsidRPr="00683E1E">
          <w:rPr>
            <w:rStyle w:val="Hyperlink"/>
            <w:noProof/>
          </w:rPr>
          <w:t>the</w:t>
        </w:r>
        <w:r w:rsidRPr="00683E1E">
          <w:rPr>
            <w:rStyle w:val="Hyperlink"/>
            <w:noProof/>
            <w:spacing w:val="-8"/>
          </w:rPr>
          <w:t xml:space="preserve"> </w:t>
        </w:r>
        <w:r w:rsidRPr="00683E1E">
          <w:rPr>
            <w:rStyle w:val="Hyperlink"/>
            <w:noProof/>
          </w:rPr>
          <w:t>long-term</w:t>
        </w:r>
        <w:r w:rsidRPr="00683E1E">
          <w:rPr>
            <w:rStyle w:val="Hyperlink"/>
            <w:noProof/>
            <w:spacing w:val="-9"/>
          </w:rPr>
          <w:t xml:space="preserve"> </w:t>
        </w:r>
        <w:r w:rsidRPr="00683E1E">
          <w:rPr>
            <w:rStyle w:val="Hyperlink"/>
            <w:noProof/>
            <w:spacing w:val="-2"/>
          </w:rPr>
          <w:t>solution</w:t>
        </w:r>
        <w:r>
          <w:rPr>
            <w:noProof/>
            <w:webHidden/>
          </w:rPr>
          <w:tab/>
        </w:r>
        <w:r>
          <w:rPr>
            <w:noProof/>
            <w:webHidden/>
          </w:rPr>
          <w:fldChar w:fldCharType="begin"/>
        </w:r>
        <w:r>
          <w:rPr>
            <w:noProof/>
            <w:webHidden/>
          </w:rPr>
          <w:instrText xml:space="preserve"> PAGEREF _Toc216699354 \h </w:instrText>
        </w:r>
        <w:r>
          <w:rPr>
            <w:noProof/>
            <w:webHidden/>
          </w:rPr>
        </w:r>
        <w:r>
          <w:rPr>
            <w:noProof/>
            <w:webHidden/>
          </w:rPr>
          <w:fldChar w:fldCharType="separate"/>
        </w:r>
        <w:r>
          <w:rPr>
            <w:noProof/>
            <w:webHidden/>
          </w:rPr>
          <w:t>65</w:t>
        </w:r>
        <w:r>
          <w:rPr>
            <w:noProof/>
            <w:webHidden/>
          </w:rPr>
          <w:fldChar w:fldCharType="end"/>
        </w:r>
      </w:hyperlink>
    </w:p>
    <w:p w14:paraId="6DA9DA68" w14:textId="334F4CC8"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55" w:history="1">
        <w:r w:rsidRPr="00683E1E">
          <w:rPr>
            <w:rStyle w:val="Hyperlink"/>
            <w:noProof/>
          </w:rPr>
          <w:t>12.1.1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High</w:t>
        </w:r>
        <w:r w:rsidRPr="00683E1E">
          <w:rPr>
            <w:rStyle w:val="Hyperlink"/>
            <w:noProof/>
            <w:spacing w:val="-4"/>
          </w:rPr>
          <w:t xml:space="preserve"> </w:t>
        </w:r>
        <w:r w:rsidRPr="00683E1E">
          <w:rPr>
            <w:rStyle w:val="Hyperlink"/>
            <w:noProof/>
          </w:rPr>
          <w:t>level</w:t>
        </w:r>
        <w:r w:rsidRPr="00683E1E">
          <w:rPr>
            <w:rStyle w:val="Hyperlink"/>
            <w:noProof/>
            <w:spacing w:val="-4"/>
          </w:rPr>
          <w:t xml:space="preserve"> </w:t>
        </w:r>
        <w:r w:rsidRPr="00683E1E">
          <w:rPr>
            <w:rStyle w:val="Hyperlink"/>
            <w:noProof/>
          </w:rPr>
          <w:t>goal</w:t>
        </w:r>
        <w:r w:rsidRPr="00683E1E">
          <w:rPr>
            <w:rStyle w:val="Hyperlink"/>
            <w:noProof/>
            <w:spacing w:val="-2"/>
          </w:rPr>
          <w:t xml:space="preserve"> </w:t>
        </w:r>
        <w:r w:rsidRPr="00683E1E">
          <w:rPr>
            <w:rStyle w:val="Hyperlink"/>
            <w:noProof/>
            <w:spacing w:val="-4"/>
          </w:rPr>
          <w:t>list</w:t>
        </w:r>
        <w:r>
          <w:rPr>
            <w:noProof/>
            <w:webHidden/>
          </w:rPr>
          <w:tab/>
        </w:r>
        <w:r>
          <w:rPr>
            <w:noProof/>
            <w:webHidden/>
          </w:rPr>
          <w:fldChar w:fldCharType="begin"/>
        </w:r>
        <w:r>
          <w:rPr>
            <w:noProof/>
            <w:webHidden/>
          </w:rPr>
          <w:instrText xml:space="preserve"> PAGEREF _Toc216699355 \h </w:instrText>
        </w:r>
        <w:r>
          <w:rPr>
            <w:noProof/>
            <w:webHidden/>
          </w:rPr>
        </w:r>
        <w:r>
          <w:rPr>
            <w:noProof/>
            <w:webHidden/>
          </w:rPr>
          <w:fldChar w:fldCharType="separate"/>
        </w:r>
        <w:r>
          <w:rPr>
            <w:noProof/>
            <w:webHidden/>
          </w:rPr>
          <w:t>66</w:t>
        </w:r>
        <w:r>
          <w:rPr>
            <w:noProof/>
            <w:webHidden/>
          </w:rPr>
          <w:fldChar w:fldCharType="end"/>
        </w:r>
      </w:hyperlink>
    </w:p>
    <w:p w14:paraId="282CCA29" w14:textId="5CD15476"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356" w:history="1">
        <w:r w:rsidRPr="00683E1E">
          <w:rPr>
            <w:rStyle w:val="Hyperlink"/>
            <w:noProof/>
          </w:rPr>
          <w:t>12.2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Objectives</w:t>
        </w:r>
        <w:r w:rsidRPr="00683E1E">
          <w:rPr>
            <w:rStyle w:val="Hyperlink"/>
            <w:noProof/>
            <w:spacing w:val="-10"/>
          </w:rPr>
          <w:t xml:space="preserve"> </w:t>
        </w:r>
        <w:r w:rsidRPr="00683E1E">
          <w:rPr>
            <w:rStyle w:val="Hyperlink"/>
            <w:noProof/>
          </w:rPr>
          <w:t>and</w:t>
        </w:r>
        <w:r w:rsidRPr="00683E1E">
          <w:rPr>
            <w:rStyle w:val="Hyperlink"/>
            <w:noProof/>
            <w:spacing w:val="-11"/>
          </w:rPr>
          <w:t xml:space="preserve"> </w:t>
        </w:r>
        <w:r w:rsidRPr="00683E1E">
          <w:rPr>
            <w:rStyle w:val="Hyperlink"/>
            <w:noProof/>
          </w:rPr>
          <w:t>limitations</w:t>
        </w:r>
        <w:r w:rsidRPr="00683E1E">
          <w:rPr>
            <w:rStyle w:val="Hyperlink"/>
            <w:noProof/>
            <w:spacing w:val="-10"/>
          </w:rPr>
          <w:t xml:space="preserve"> </w:t>
        </w:r>
        <w:r w:rsidRPr="00683E1E">
          <w:rPr>
            <w:rStyle w:val="Hyperlink"/>
            <w:noProof/>
          </w:rPr>
          <w:t>of</w:t>
        </w:r>
        <w:r w:rsidRPr="00683E1E">
          <w:rPr>
            <w:rStyle w:val="Hyperlink"/>
            <w:noProof/>
            <w:spacing w:val="-9"/>
          </w:rPr>
          <w:t xml:space="preserve"> </w:t>
        </w:r>
        <w:r w:rsidRPr="00683E1E">
          <w:rPr>
            <w:rStyle w:val="Hyperlink"/>
            <w:noProof/>
          </w:rPr>
          <w:t>this</w:t>
        </w:r>
        <w:r w:rsidRPr="00683E1E">
          <w:rPr>
            <w:rStyle w:val="Hyperlink"/>
            <w:noProof/>
            <w:spacing w:val="-11"/>
          </w:rPr>
          <w:t xml:space="preserve"> </w:t>
        </w:r>
        <w:r w:rsidRPr="00683E1E">
          <w:rPr>
            <w:rStyle w:val="Hyperlink"/>
            <w:noProof/>
          </w:rPr>
          <w:t>expert</w:t>
        </w:r>
        <w:r w:rsidRPr="00683E1E">
          <w:rPr>
            <w:rStyle w:val="Hyperlink"/>
            <w:noProof/>
            <w:spacing w:val="-10"/>
          </w:rPr>
          <w:t xml:space="preserve"> </w:t>
        </w:r>
        <w:r w:rsidRPr="00683E1E">
          <w:rPr>
            <w:rStyle w:val="Hyperlink"/>
            <w:noProof/>
            <w:spacing w:val="-2"/>
          </w:rPr>
          <w:t>review</w:t>
        </w:r>
        <w:r>
          <w:rPr>
            <w:noProof/>
            <w:webHidden/>
          </w:rPr>
          <w:tab/>
        </w:r>
        <w:r>
          <w:rPr>
            <w:noProof/>
            <w:webHidden/>
          </w:rPr>
          <w:fldChar w:fldCharType="begin"/>
        </w:r>
        <w:r>
          <w:rPr>
            <w:noProof/>
            <w:webHidden/>
          </w:rPr>
          <w:instrText xml:space="preserve"> PAGEREF _Toc216699356 \h </w:instrText>
        </w:r>
        <w:r>
          <w:rPr>
            <w:noProof/>
            <w:webHidden/>
          </w:rPr>
        </w:r>
        <w:r>
          <w:rPr>
            <w:noProof/>
            <w:webHidden/>
          </w:rPr>
          <w:fldChar w:fldCharType="separate"/>
        </w:r>
        <w:r>
          <w:rPr>
            <w:noProof/>
            <w:webHidden/>
          </w:rPr>
          <w:t>67</w:t>
        </w:r>
        <w:r>
          <w:rPr>
            <w:noProof/>
            <w:webHidden/>
          </w:rPr>
          <w:fldChar w:fldCharType="end"/>
        </w:r>
      </w:hyperlink>
    </w:p>
    <w:p w14:paraId="59543C78" w14:textId="19B954C9"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357" w:history="1">
        <w:r w:rsidRPr="00683E1E">
          <w:rPr>
            <w:rStyle w:val="Hyperlink"/>
            <w:noProof/>
          </w:rPr>
          <w:t>12.3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Our</w:t>
        </w:r>
        <w:r w:rsidRPr="00683E1E">
          <w:rPr>
            <w:rStyle w:val="Hyperlink"/>
            <w:noProof/>
            <w:spacing w:val="-9"/>
          </w:rPr>
          <w:t xml:space="preserve"> </w:t>
        </w:r>
        <w:r w:rsidRPr="00683E1E">
          <w:rPr>
            <w:rStyle w:val="Hyperlink"/>
            <w:noProof/>
          </w:rPr>
          <w:t>approach</w:t>
        </w:r>
        <w:r w:rsidRPr="00683E1E">
          <w:rPr>
            <w:rStyle w:val="Hyperlink"/>
            <w:noProof/>
            <w:spacing w:val="-10"/>
          </w:rPr>
          <w:t xml:space="preserve"> </w:t>
        </w:r>
        <w:r w:rsidRPr="00683E1E">
          <w:rPr>
            <w:rStyle w:val="Hyperlink"/>
            <w:noProof/>
          </w:rPr>
          <w:t>to</w:t>
        </w:r>
        <w:r w:rsidRPr="00683E1E">
          <w:rPr>
            <w:rStyle w:val="Hyperlink"/>
            <w:noProof/>
            <w:spacing w:val="-10"/>
          </w:rPr>
          <w:t xml:space="preserve"> </w:t>
        </w:r>
        <w:r w:rsidRPr="00683E1E">
          <w:rPr>
            <w:rStyle w:val="Hyperlink"/>
            <w:noProof/>
          </w:rPr>
          <w:t>the</w:t>
        </w:r>
        <w:r w:rsidRPr="00683E1E">
          <w:rPr>
            <w:rStyle w:val="Hyperlink"/>
            <w:noProof/>
            <w:spacing w:val="-9"/>
          </w:rPr>
          <w:t xml:space="preserve"> </w:t>
        </w:r>
        <w:r w:rsidRPr="00683E1E">
          <w:rPr>
            <w:rStyle w:val="Hyperlink"/>
            <w:noProof/>
          </w:rPr>
          <w:t>long-term</w:t>
        </w:r>
        <w:r w:rsidRPr="00683E1E">
          <w:rPr>
            <w:rStyle w:val="Hyperlink"/>
            <w:noProof/>
            <w:spacing w:val="-10"/>
          </w:rPr>
          <w:t xml:space="preserve"> </w:t>
        </w:r>
        <w:r w:rsidRPr="00683E1E">
          <w:rPr>
            <w:rStyle w:val="Hyperlink"/>
            <w:noProof/>
            <w:spacing w:val="-2"/>
          </w:rPr>
          <w:t>solutions</w:t>
        </w:r>
        <w:r>
          <w:rPr>
            <w:noProof/>
            <w:webHidden/>
          </w:rPr>
          <w:tab/>
        </w:r>
        <w:r>
          <w:rPr>
            <w:noProof/>
            <w:webHidden/>
          </w:rPr>
          <w:fldChar w:fldCharType="begin"/>
        </w:r>
        <w:r>
          <w:rPr>
            <w:noProof/>
            <w:webHidden/>
          </w:rPr>
          <w:instrText xml:space="preserve"> PAGEREF _Toc216699357 \h </w:instrText>
        </w:r>
        <w:r>
          <w:rPr>
            <w:noProof/>
            <w:webHidden/>
          </w:rPr>
        </w:r>
        <w:r>
          <w:rPr>
            <w:noProof/>
            <w:webHidden/>
          </w:rPr>
          <w:fldChar w:fldCharType="separate"/>
        </w:r>
        <w:r>
          <w:rPr>
            <w:noProof/>
            <w:webHidden/>
          </w:rPr>
          <w:t>67</w:t>
        </w:r>
        <w:r>
          <w:rPr>
            <w:noProof/>
            <w:webHidden/>
          </w:rPr>
          <w:fldChar w:fldCharType="end"/>
        </w:r>
      </w:hyperlink>
    </w:p>
    <w:p w14:paraId="0FA09C91" w14:textId="06051BF3"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358" w:history="1">
        <w:r w:rsidRPr="00683E1E">
          <w:rPr>
            <w:rStyle w:val="Hyperlink"/>
            <w:noProof/>
          </w:rPr>
          <w:t>12.4</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How</w:t>
        </w:r>
        <w:r w:rsidRPr="00683E1E">
          <w:rPr>
            <w:rStyle w:val="Hyperlink"/>
            <w:noProof/>
            <w:spacing w:val="-11"/>
          </w:rPr>
          <w:t xml:space="preserve"> </w:t>
        </w:r>
        <w:r w:rsidRPr="00683E1E">
          <w:rPr>
            <w:rStyle w:val="Hyperlink"/>
            <w:noProof/>
          </w:rPr>
          <w:t>we</w:t>
        </w:r>
        <w:r w:rsidRPr="00683E1E">
          <w:rPr>
            <w:rStyle w:val="Hyperlink"/>
            <w:noProof/>
            <w:spacing w:val="-10"/>
          </w:rPr>
          <w:t xml:space="preserve"> </w:t>
        </w:r>
        <w:r w:rsidRPr="00683E1E">
          <w:rPr>
            <w:rStyle w:val="Hyperlink"/>
            <w:noProof/>
          </w:rPr>
          <w:t>considered</w:t>
        </w:r>
        <w:r w:rsidRPr="00683E1E">
          <w:rPr>
            <w:rStyle w:val="Hyperlink"/>
            <w:noProof/>
            <w:spacing w:val="-10"/>
          </w:rPr>
          <w:t xml:space="preserve"> </w:t>
        </w:r>
        <w:r w:rsidRPr="00683E1E">
          <w:rPr>
            <w:rStyle w:val="Hyperlink"/>
            <w:noProof/>
          </w:rPr>
          <w:t>social</w:t>
        </w:r>
        <w:r w:rsidRPr="00683E1E">
          <w:rPr>
            <w:rStyle w:val="Hyperlink"/>
            <w:noProof/>
            <w:spacing w:val="-10"/>
          </w:rPr>
          <w:t xml:space="preserve"> </w:t>
        </w:r>
        <w:r w:rsidRPr="00683E1E">
          <w:rPr>
            <w:rStyle w:val="Hyperlink"/>
            <w:noProof/>
            <w:spacing w:val="-2"/>
          </w:rPr>
          <w:t>impacts</w:t>
        </w:r>
        <w:r>
          <w:rPr>
            <w:noProof/>
            <w:webHidden/>
          </w:rPr>
          <w:tab/>
        </w:r>
        <w:r>
          <w:rPr>
            <w:noProof/>
            <w:webHidden/>
          </w:rPr>
          <w:fldChar w:fldCharType="begin"/>
        </w:r>
        <w:r>
          <w:rPr>
            <w:noProof/>
            <w:webHidden/>
          </w:rPr>
          <w:instrText xml:space="preserve"> PAGEREF _Toc216699358 \h </w:instrText>
        </w:r>
        <w:r>
          <w:rPr>
            <w:noProof/>
            <w:webHidden/>
          </w:rPr>
        </w:r>
        <w:r>
          <w:rPr>
            <w:noProof/>
            <w:webHidden/>
          </w:rPr>
          <w:fldChar w:fldCharType="separate"/>
        </w:r>
        <w:r>
          <w:rPr>
            <w:noProof/>
            <w:webHidden/>
          </w:rPr>
          <w:t>68</w:t>
        </w:r>
        <w:r>
          <w:rPr>
            <w:noProof/>
            <w:webHidden/>
          </w:rPr>
          <w:fldChar w:fldCharType="end"/>
        </w:r>
      </w:hyperlink>
    </w:p>
    <w:p w14:paraId="1FA31968" w14:textId="6CB8DD55"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359" w:history="1">
        <w:r w:rsidRPr="00683E1E">
          <w:rPr>
            <w:rStyle w:val="Hyperlink"/>
            <w:noProof/>
          </w:rPr>
          <w:t>12.5</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How</w:t>
        </w:r>
        <w:r w:rsidRPr="00683E1E">
          <w:rPr>
            <w:rStyle w:val="Hyperlink"/>
            <w:noProof/>
            <w:spacing w:val="-9"/>
          </w:rPr>
          <w:t xml:space="preserve"> </w:t>
        </w:r>
        <w:r w:rsidRPr="00683E1E">
          <w:rPr>
            <w:rStyle w:val="Hyperlink"/>
            <w:noProof/>
          </w:rPr>
          <w:t>we</w:t>
        </w:r>
        <w:r w:rsidRPr="00683E1E">
          <w:rPr>
            <w:rStyle w:val="Hyperlink"/>
            <w:noProof/>
            <w:spacing w:val="-8"/>
          </w:rPr>
          <w:t xml:space="preserve"> </w:t>
        </w:r>
        <w:r w:rsidRPr="00683E1E">
          <w:rPr>
            <w:rStyle w:val="Hyperlink"/>
            <w:noProof/>
          </w:rPr>
          <w:t>reviewed</w:t>
        </w:r>
        <w:r w:rsidRPr="00683E1E">
          <w:rPr>
            <w:rStyle w:val="Hyperlink"/>
            <w:noProof/>
            <w:spacing w:val="-9"/>
          </w:rPr>
          <w:t xml:space="preserve"> </w:t>
        </w:r>
        <w:r w:rsidRPr="00683E1E">
          <w:rPr>
            <w:rStyle w:val="Hyperlink"/>
            <w:noProof/>
          </w:rPr>
          <w:t>options</w:t>
        </w:r>
        <w:r w:rsidRPr="00683E1E">
          <w:rPr>
            <w:rStyle w:val="Hyperlink"/>
            <w:noProof/>
            <w:spacing w:val="-7"/>
          </w:rPr>
          <w:t xml:space="preserve"> </w:t>
        </w:r>
        <w:r w:rsidRPr="00683E1E">
          <w:rPr>
            <w:rStyle w:val="Hyperlink"/>
            <w:noProof/>
          </w:rPr>
          <w:t>in</w:t>
        </w:r>
        <w:r w:rsidRPr="00683E1E">
          <w:rPr>
            <w:rStyle w:val="Hyperlink"/>
            <w:noProof/>
            <w:spacing w:val="-9"/>
          </w:rPr>
          <w:t xml:space="preserve"> </w:t>
        </w:r>
        <w:r w:rsidRPr="00683E1E">
          <w:rPr>
            <w:rStyle w:val="Hyperlink"/>
            <w:noProof/>
          </w:rPr>
          <w:t>this</w:t>
        </w:r>
        <w:r w:rsidRPr="00683E1E">
          <w:rPr>
            <w:rStyle w:val="Hyperlink"/>
            <w:noProof/>
            <w:spacing w:val="-8"/>
          </w:rPr>
          <w:t xml:space="preserve"> </w:t>
        </w:r>
        <w:r w:rsidRPr="00683E1E">
          <w:rPr>
            <w:rStyle w:val="Hyperlink"/>
            <w:noProof/>
            <w:spacing w:val="-2"/>
          </w:rPr>
          <w:t>report</w:t>
        </w:r>
        <w:r>
          <w:rPr>
            <w:noProof/>
            <w:webHidden/>
          </w:rPr>
          <w:tab/>
        </w:r>
        <w:r>
          <w:rPr>
            <w:noProof/>
            <w:webHidden/>
          </w:rPr>
          <w:fldChar w:fldCharType="begin"/>
        </w:r>
        <w:r>
          <w:rPr>
            <w:noProof/>
            <w:webHidden/>
          </w:rPr>
          <w:instrText xml:space="preserve"> PAGEREF _Toc216699359 \h </w:instrText>
        </w:r>
        <w:r>
          <w:rPr>
            <w:noProof/>
            <w:webHidden/>
          </w:rPr>
        </w:r>
        <w:r>
          <w:rPr>
            <w:noProof/>
            <w:webHidden/>
          </w:rPr>
          <w:fldChar w:fldCharType="separate"/>
        </w:r>
        <w:r>
          <w:rPr>
            <w:noProof/>
            <w:webHidden/>
          </w:rPr>
          <w:t>68</w:t>
        </w:r>
        <w:r>
          <w:rPr>
            <w:noProof/>
            <w:webHidden/>
          </w:rPr>
          <w:fldChar w:fldCharType="end"/>
        </w:r>
      </w:hyperlink>
    </w:p>
    <w:p w14:paraId="4F125D22" w14:textId="7D11900D"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360" w:history="1">
        <w:r w:rsidRPr="00683E1E">
          <w:rPr>
            <w:rStyle w:val="Hyperlink"/>
            <w:noProof/>
          </w:rPr>
          <w:t>12.6</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Long</w:t>
        </w:r>
        <w:r w:rsidRPr="00683E1E">
          <w:rPr>
            <w:rStyle w:val="Hyperlink"/>
            <w:noProof/>
            <w:spacing w:val="-10"/>
          </w:rPr>
          <w:t xml:space="preserve"> </w:t>
        </w:r>
        <w:r w:rsidRPr="00683E1E">
          <w:rPr>
            <w:rStyle w:val="Hyperlink"/>
            <w:noProof/>
          </w:rPr>
          <w:t>term</w:t>
        </w:r>
        <w:r w:rsidRPr="00683E1E">
          <w:rPr>
            <w:rStyle w:val="Hyperlink"/>
            <w:noProof/>
            <w:spacing w:val="-9"/>
          </w:rPr>
          <w:t xml:space="preserve"> </w:t>
        </w:r>
        <w:r w:rsidRPr="00683E1E">
          <w:rPr>
            <w:rStyle w:val="Hyperlink"/>
            <w:noProof/>
          </w:rPr>
          <w:t>options</w:t>
        </w:r>
        <w:r w:rsidRPr="00683E1E">
          <w:rPr>
            <w:rStyle w:val="Hyperlink"/>
            <w:noProof/>
            <w:spacing w:val="-10"/>
          </w:rPr>
          <w:t xml:space="preserve"> </w:t>
        </w:r>
        <w:r w:rsidRPr="00683E1E">
          <w:rPr>
            <w:rStyle w:val="Hyperlink"/>
            <w:noProof/>
            <w:spacing w:val="-2"/>
          </w:rPr>
          <w:t>reviewed</w:t>
        </w:r>
        <w:r>
          <w:rPr>
            <w:noProof/>
            <w:webHidden/>
          </w:rPr>
          <w:tab/>
        </w:r>
        <w:r>
          <w:rPr>
            <w:noProof/>
            <w:webHidden/>
          </w:rPr>
          <w:fldChar w:fldCharType="begin"/>
        </w:r>
        <w:r>
          <w:rPr>
            <w:noProof/>
            <w:webHidden/>
          </w:rPr>
          <w:instrText xml:space="preserve"> PAGEREF _Toc216699360 \h </w:instrText>
        </w:r>
        <w:r>
          <w:rPr>
            <w:noProof/>
            <w:webHidden/>
          </w:rPr>
        </w:r>
        <w:r>
          <w:rPr>
            <w:noProof/>
            <w:webHidden/>
          </w:rPr>
          <w:fldChar w:fldCharType="separate"/>
        </w:r>
        <w:r>
          <w:rPr>
            <w:noProof/>
            <w:webHidden/>
          </w:rPr>
          <w:t>70</w:t>
        </w:r>
        <w:r>
          <w:rPr>
            <w:noProof/>
            <w:webHidden/>
          </w:rPr>
          <w:fldChar w:fldCharType="end"/>
        </w:r>
      </w:hyperlink>
    </w:p>
    <w:p w14:paraId="0E8BBD97" w14:textId="3F73C8FD"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61" w:history="1">
        <w:r w:rsidRPr="00683E1E">
          <w:rPr>
            <w:rStyle w:val="Hyperlink"/>
            <w:noProof/>
          </w:rPr>
          <w:t>12.6.1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Options</w:t>
        </w:r>
        <w:r w:rsidRPr="00683E1E">
          <w:rPr>
            <w:rStyle w:val="Hyperlink"/>
            <w:noProof/>
            <w:spacing w:val="-5"/>
          </w:rPr>
          <w:t xml:space="preserve"> </w:t>
        </w:r>
        <w:r w:rsidRPr="00683E1E">
          <w:rPr>
            <w:rStyle w:val="Hyperlink"/>
            <w:noProof/>
          </w:rPr>
          <w:t>with</w:t>
        </w:r>
        <w:r w:rsidRPr="00683E1E">
          <w:rPr>
            <w:rStyle w:val="Hyperlink"/>
            <w:noProof/>
            <w:spacing w:val="-5"/>
          </w:rPr>
          <w:t xml:space="preserve"> </w:t>
        </w:r>
        <w:r w:rsidRPr="00683E1E">
          <w:rPr>
            <w:rStyle w:val="Hyperlink"/>
            <w:noProof/>
          </w:rPr>
          <w:t>operational</w:t>
        </w:r>
        <w:r w:rsidRPr="00683E1E">
          <w:rPr>
            <w:rStyle w:val="Hyperlink"/>
            <w:noProof/>
            <w:spacing w:val="-4"/>
          </w:rPr>
          <w:t xml:space="preserve"> </w:t>
        </w:r>
        <w:r w:rsidRPr="00683E1E">
          <w:rPr>
            <w:rStyle w:val="Hyperlink"/>
            <w:noProof/>
            <w:spacing w:val="-2"/>
          </w:rPr>
          <w:t>variations</w:t>
        </w:r>
        <w:r>
          <w:rPr>
            <w:noProof/>
            <w:webHidden/>
          </w:rPr>
          <w:tab/>
        </w:r>
        <w:r>
          <w:rPr>
            <w:noProof/>
            <w:webHidden/>
          </w:rPr>
          <w:fldChar w:fldCharType="begin"/>
        </w:r>
        <w:r>
          <w:rPr>
            <w:noProof/>
            <w:webHidden/>
          </w:rPr>
          <w:instrText xml:space="preserve"> PAGEREF _Toc216699361 \h </w:instrText>
        </w:r>
        <w:r>
          <w:rPr>
            <w:noProof/>
            <w:webHidden/>
          </w:rPr>
        </w:r>
        <w:r>
          <w:rPr>
            <w:noProof/>
            <w:webHidden/>
          </w:rPr>
          <w:fldChar w:fldCharType="separate"/>
        </w:r>
        <w:r>
          <w:rPr>
            <w:noProof/>
            <w:webHidden/>
          </w:rPr>
          <w:t>70</w:t>
        </w:r>
        <w:r>
          <w:rPr>
            <w:noProof/>
            <w:webHidden/>
          </w:rPr>
          <w:fldChar w:fldCharType="end"/>
        </w:r>
      </w:hyperlink>
    </w:p>
    <w:p w14:paraId="21F51456" w14:textId="09BD9AB1"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362" w:history="1">
        <w:r w:rsidRPr="00683E1E">
          <w:rPr>
            <w:rStyle w:val="Hyperlink"/>
            <w:noProof/>
          </w:rPr>
          <w:t>12.7</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Key</w:t>
        </w:r>
        <w:r w:rsidRPr="00683E1E">
          <w:rPr>
            <w:rStyle w:val="Hyperlink"/>
            <w:noProof/>
            <w:spacing w:val="-7"/>
          </w:rPr>
          <w:t xml:space="preserve"> </w:t>
        </w:r>
        <w:r w:rsidRPr="00683E1E">
          <w:rPr>
            <w:rStyle w:val="Hyperlink"/>
            <w:noProof/>
          </w:rPr>
          <w:t>assumptions</w:t>
        </w:r>
        <w:r>
          <w:rPr>
            <w:noProof/>
            <w:webHidden/>
          </w:rPr>
          <w:tab/>
        </w:r>
        <w:r>
          <w:rPr>
            <w:noProof/>
            <w:webHidden/>
          </w:rPr>
          <w:fldChar w:fldCharType="begin"/>
        </w:r>
        <w:r>
          <w:rPr>
            <w:noProof/>
            <w:webHidden/>
          </w:rPr>
          <w:instrText xml:space="preserve"> PAGEREF _Toc216699362 \h </w:instrText>
        </w:r>
        <w:r>
          <w:rPr>
            <w:noProof/>
            <w:webHidden/>
          </w:rPr>
        </w:r>
        <w:r>
          <w:rPr>
            <w:noProof/>
            <w:webHidden/>
          </w:rPr>
          <w:fldChar w:fldCharType="separate"/>
        </w:r>
        <w:r>
          <w:rPr>
            <w:noProof/>
            <w:webHidden/>
          </w:rPr>
          <w:t>71</w:t>
        </w:r>
        <w:r>
          <w:rPr>
            <w:noProof/>
            <w:webHidden/>
          </w:rPr>
          <w:fldChar w:fldCharType="end"/>
        </w:r>
      </w:hyperlink>
    </w:p>
    <w:p w14:paraId="5219EFD9" w14:textId="5480FFA8"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63" w:history="1">
        <w:r w:rsidRPr="00683E1E">
          <w:rPr>
            <w:rStyle w:val="Hyperlink"/>
            <w:noProof/>
          </w:rPr>
          <w:t>12.7.1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Sand</w:t>
        </w:r>
        <w:r w:rsidRPr="00683E1E">
          <w:rPr>
            <w:rStyle w:val="Hyperlink"/>
            <w:noProof/>
            <w:spacing w:val="-3"/>
          </w:rPr>
          <w:t xml:space="preserve"> </w:t>
        </w:r>
        <w:r w:rsidRPr="00683E1E">
          <w:rPr>
            <w:rStyle w:val="Hyperlink"/>
            <w:noProof/>
          </w:rPr>
          <w:t>transport</w:t>
        </w:r>
        <w:r w:rsidRPr="00683E1E">
          <w:rPr>
            <w:rStyle w:val="Hyperlink"/>
            <w:noProof/>
            <w:spacing w:val="-4"/>
          </w:rPr>
          <w:t xml:space="preserve"> </w:t>
        </w:r>
        <w:r w:rsidRPr="00683E1E">
          <w:rPr>
            <w:rStyle w:val="Hyperlink"/>
            <w:noProof/>
          </w:rPr>
          <w:t>rate</w:t>
        </w:r>
        <w:r w:rsidRPr="00683E1E">
          <w:rPr>
            <w:rStyle w:val="Hyperlink"/>
            <w:noProof/>
            <w:spacing w:val="-4"/>
          </w:rPr>
          <w:t xml:space="preserve"> </w:t>
        </w:r>
        <w:r w:rsidRPr="00683E1E">
          <w:rPr>
            <w:rStyle w:val="Hyperlink"/>
            <w:noProof/>
          </w:rPr>
          <w:t>(Area</w:t>
        </w:r>
        <w:r w:rsidRPr="00683E1E">
          <w:rPr>
            <w:rStyle w:val="Hyperlink"/>
            <w:noProof/>
            <w:spacing w:val="-2"/>
          </w:rPr>
          <w:t xml:space="preserve"> </w:t>
        </w:r>
        <w:r w:rsidRPr="00683E1E">
          <w:rPr>
            <w:rStyle w:val="Hyperlink"/>
            <w:noProof/>
            <w:spacing w:val="-5"/>
          </w:rPr>
          <w:t>A)</w:t>
        </w:r>
        <w:r>
          <w:rPr>
            <w:noProof/>
            <w:webHidden/>
          </w:rPr>
          <w:tab/>
        </w:r>
        <w:r>
          <w:rPr>
            <w:noProof/>
            <w:webHidden/>
          </w:rPr>
          <w:fldChar w:fldCharType="begin"/>
        </w:r>
        <w:r>
          <w:rPr>
            <w:noProof/>
            <w:webHidden/>
          </w:rPr>
          <w:instrText xml:space="preserve"> PAGEREF _Toc216699363 \h </w:instrText>
        </w:r>
        <w:r>
          <w:rPr>
            <w:noProof/>
            <w:webHidden/>
          </w:rPr>
        </w:r>
        <w:r>
          <w:rPr>
            <w:noProof/>
            <w:webHidden/>
          </w:rPr>
          <w:fldChar w:fldCharType="separate"/>
        </w:r>
        <w:r>
          <w:rPr>
            <w:noProof/>
            <w:webHidden/>
          </w:rPr>
          <w:t>71</w:t>
        </w:r>
        <w:r>
          <w:rPr>
            <w:noProof/>
            <w:webHidden/>
          </w:rPr>
          <w:fldChar w:fldCharType="end"/>
        </w:r>
      </w:hyperlink>
    </w:p>
    <w:p w14:paraId="4813320C" w14:textId="773C15D7"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64" w:history="1">
        <w:r w:rsidRPr="00683E1E">
          <w:rPr>
            <w:rStyle w:val="Hyperlink"/>
            <w:noProof/>
          </w:rPr>
          <w:t>12.7.2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Sand</w:t>
        </w:r>
        <w:r w:rsidRPr="00683E1E">
          <w:rPr>
            <w:rStyle w:val="Hyperlink"/>
            <w:noProof/>
            <w:spacing w:val="-4"/>
          </w:rPr>
          <w:t xml:space="preserve"> </w:t>
        </w:r>
        <w:r w:rsidRPr="00683E1E">
          <w:rPr>
            <w:rStyle w:val="Hyperlink"/>
            <w:noProof/>
          </w:rPr>
          <w:t>placement</w:t>
        </w:r>
        <w:r w:rsidRPr="00683E1E">
          <w:rPr>
            <w:rStyle w:val="Hyperlink"/>
            <w:noProof/>
            <w:spacing w:val="-4"/>
          </w:rPr>
          <w:t xml:space="preserve"> </w:t>
        </w:r>
        <w:r w:rsidRPr="00683E1E">
          <w:rPr>
            <w:rStyle w:val="Hyperlink"/>
            <w:noProof/>
          </w:rPr>
          <w:t>(Area</w:t>
        </w:r>
        <w:r w:rsidRPr="00683E1E">
          <w:rPr>
            <w:rStyle w:val="Hyperlink"/>
            <w:noProof/>
            <w:spacing w:val="-2"/>
          </w:rPr>
          <w:t xml:space="preserve"> </w:t>
        </w:r>
        <w:r w:rsidRPr="00683E1E">
          <w:rPr>
            <w:rStyle w:val="Hyperlink"/>
            <w:noProof/>
            <w:spacing w:val="-5"/>
          </w:rPr>
          <w:t>B)</w:t>
        </w:r>
        <w:r>
          <w:rPr>
            <w:noProof/>
            <w:webHidden/>
          </w:rPr>
          <w:tab/>
        </w:r>
        <w:r>
          <w:rPr>
            <w:noProof/>
            <w:webHidden/>
          </w:rPr>
          <w:fldChar w:fldCharType="begin"/>
        </w:r>
        <w:r>
          <w:rPr>
            <w:noProof/>
            <w:webHidden/>
          </w:rPr>
          <w:instrText xml:space="preserve"> PAGEREF _Toc216699364 \h </w:instrText>
        </w:r>
        <w:r>
          <w:rPr>
            <w:noProof/>
            <w:webHidden/>
          </w:rPr>
        </w:r>
        <w:r>
          <w:rPr>
            <w:noProof/>
            <w:webHidden/>
          </w:rPr>
          <w:fldChar w:fldCharType="separate"/>
        </w:r>
        <w:r>
          <w:rPr>
            <w:noProof/>
            <w:webHidden/>
          </w:rPr>
          <w:t>72</w:t>
        </w:r>
        <w:r>
          <w:rPr>
            <w:noProof/>
            <w:webHidden/>
          </w:rPr>
          <w:fldChar w:fldCharType="end"/>
        </w:r>
      </w:hyperlink>
    </w:p>
    <w:p w14:paraId="2373C483" w14:textId="5310D9A3"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65" w:history="1">
        <w:r w:rsidRPr="00683E1E">
          <w:rPr>
            <w:rStyle w:val="Hyperlink"/>
            <w:noProof/>
          </w:rPr>
          <w:t>12.7.3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The</w:t>
        </w:r>
        <w:r w:rsidRPr="00683E1E">
          <w:rPr>
            <w:rStyle w:val="Hyperlink"/>
            <w:noProof/>
            <w:spacing w:val="-3"/>
          </w:rPr>
          <w:t xml:space="preserve"> </w:t>
        </w:r>
        <w:r w:rsidRPr="00683E1E">
          <w:rPr>
            <w:rStyle w:val="Hyperlink"/>
            <w:noProof/>
          </w:rPr>
          <w:t>existing</w:t>
        </w:r>
        <w:r w:rsidRPr="00683E1E">
          <w:rPr>
            <w:rStyle w:val="Hyperlink"/>
            <w:noProof/>
            <w:spacing w:val="-4"/>
          </w:rPr>
          <w:t xml:space="preserve"> </w:t>
        </w:r>
        <w:r w:rsidRPr="00683E1E">
          <w:rPr>
            <w:rStyle w:val="Hyperlink"/>
            <w:noProof/>
          </w:rPr>
          <w:t>pipe</w:t>
        </w:r>
        <w:r w:rsidRPr="00683E1E">
          <w:rPr>
            <w:rStyle w:val="Hyperlink"/>
            <w:noProof/>
            <w:spacing w:val="-2"/>
          </w:rPr>
          <w:t xml:space="preserve"> network</w:t>
        </w:r>
        <w:r>
          <w:rPr>
            <w:noProof/>
            <w:webHidden/>
          </w:rPr>
          <w:tab/>
        </w:r>
        <w:r>
          <w:rPr>
            <w:noProof/>
            <w:webHidden/>
          </w:rPr>
          <w:fldChar w:fldCharType="begin"/>
        </w:r>
        <w:r>
          <w:rPr>
            <w:noProof/>
            <w:webHidden/>
          </w:rPr>
          <w:instrText xml:space="preserve"> PAGEREF _Toc216699365 \h </w:instrText>
        </w:r>
        <w:r>
          <w:rPr>
            <w:noProof/>
            <w:webHidden/>
          </w:rPr>
        </w:r>
        <w:r>
          <w:rPr>
            <w:noProof/>
            <w:webHidden/>
          </w:rPr>
          <w:fldChar w:fldCharType="separate"/>
        </w:r>
        <w:r>
          <w:rPr>
            <w:noProof/>
            <w:webHidden/>
          </w:rPr>
          <w:t>72</w:t>
        </w:r>
        <w:r>
          <w:rPr>
            <w:noProof/>
            <w:webHidden/>
          </w:rPr>
          <w:fldChar w:fldCharType="end"/>
        </w:r>
      </w:hyperlink>
    </w:p>
    <w:p w14:paraId="2B469A60" w14:textId="12F44FD5"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66" w:history="1">
        <w:r w:rsidRPr="00683E1E">
          <w:rPr>
            <w:rStyle w:val="Hyperlink"/>
            <w:noProof/>
          </w:rPr>
          <w:t>12.7.4</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Common</w:t>
        </w:r>
        <w:r w:rsidRPr="00683E1E">
          <w:rPr>
            <w:rStyle w:val="Hyperlink"/>
            <w:noProof/>
            <w:spacing w:val="-14"/>
          </w:rPr>
          <w:t xml:space="preserve"> </w:t>
        </w:r>
        <w:r w:rsidRPr="00683E1E">
          <w:rPr>
            <w:rStyle w:val="Hyperlink"/>
            <w:noProof/>
          </w:rPr>
          <w:t>option</w:t>
        </w:r>
        <w:r w:rsidRPr="00683E1E">
          <w:rPr>
            <w:rStyle w:val="Hyperlink"/>
            <w:noProof/>
            <w:spacing w:val="-14"/>
          </w:rPr>
          <w:t xml:space="preserve"> </w:t>
        </w:r>
        <w:r w:rsidRPr="00683E1E">
          <w:rPr>
            <w:rStyle w:val="Hyperlink"/>
            <w:noProof/>
            <w:spacing w:val="-2"/>
          </w:rPr>
          <w:t>elements</w:t>
        </w:r>
        <w:r>
          <w:rPr>
            <w:noProof/>
            <w:webHidden/>
          </w:rPr>
          <w:tab/>
        </w:r>
        <w:r>
          <w:rPr>
            <w:noProof/>
            <w:webHidden/>
          </w:rPr>
          <w:fldChar w:fldCharType="begin"/>
        </w:r>
        <w:r>
          <w:rPr>
            <w:noProof/>
            <w:webHidden/>
          </w:rPr>
          <w:instrText xml:space="preserve"> PAGEREF _Toc216699366 \h </w:instrText>
        </w:r>
        <w:r>
          <w:rPr>
            <w:noProof/>
            <w:webHidden/>
          </w:rPr>
        </w:r>
        <w:r>
          <w:rPr>
            <w:noProof/>
            <w:webHidden/>
          </w:rPr>
          <w:fldChar w:fldCharType="separate"/>
        </w:r>
        <w:r>
          <w:rPr>
            <w:noProof/>
            <w:webHidden/>
          </w:rPr>
          <w:t>73</w:t>
        </w:r>
        <w:r>
          <w:rPr>
            <w:noProof/>
            <w:webHidden/>
          </w:rPr>
          <w:fldChar w:fldCharType="end"/>
        </w:r>
      </w:hyperlink>
    </w:p>
    <w:p w14:paraId="4E9D24F9" w14:textId="4EBF04E8" w:rsidR="00B91EB8" w:rsidRDefault="00B91EB8">
      <w:pPr>
        <w:pStyle w:val="TOC1"/>
        <w:rPr>
          <w:rFonts w:asciiTheme="minorHAnsi" w:eastAsiaTheme="minorEastAsia" w:hAnsiTheme="minorHAnsi" w:cstheme="minorBidi"/>
          <w:b w:val="0"/>
          <w:caps w:val="0"/>
          <w:noProof/>
          <w:color w:val="auto"/>
          <w:kern w:val="2"/>
          <w:sz w:val="24"/>
          <w:szCs w:val="24"/>
          <w:lang w:eastAsia="en-AU"/>
          <w14:ligatures w14:val="standardContextual"/>
        </w:rPr>
      </w:pPr>
      <w:hyperlink w:anchor="_Toc216699367" w:history="1">
        <w:r w:rsidRPr="00683E1E">
          <w:rPr>
            <w:rStyle w:val="Hyperlink"/>
            <w:noProof/>
          </w:rPr>
          <w:t>13</w:t>
        </w:r>
        <w:r>
          <w:rPr>
            <w:rFonts w:asciiTheme="minorHAnsi" w:eastAsiaTheme="minorEastAsia" w:hAnsiTheme="minorHAnsi" w:cstheme="minorBidi"/>
            <w:b w:val="0"/>
            <w:caps w:val="0"/>
            <w:noProof/>
            <w:color w:val="auto"/>
            <w:kern w:val="2"/>
            <w:sz w:val="24"/>
            <w:szCs w:val="24"/>
            <w:lang w:eastAsia="en-AU"/>
            <w14:ligatures w14:val="standardContextual"/>
          </w:rPr>
          <w:tab/>
        </w:r>
        <w:r w:rsidRPr="00683E1E">
          <w:rPr>
            <w:rStyle w:val="Hyperlink"/>
            <w:noProof/>
          </w:rPr>
          <w:t>OPTION</w:t>
        </w:r>
        <w:r w:rsidRPr="00683E1E">
          <w:rPr>
            <w:rStyle w:val="Hyperlink"/>
            <w:noProof/>
            <w:spacing w:val="-6"/>
          </w:rPr>
          <w:t xml:space="preserve"> </w:t>
        </w:r>
        <w:r w:rsidRPr="00683E1E">
          <w:rPr>
            <w:rStyle w:val="Hyperlink"/>
            <w:noProof/>
          </w:rPr>
          <w:t>1</w:t>
        </w:r>
        <w:r w:rsidRPr="00683E1E">
          <w:rPr>
            <w:rStyle w:val="Hyperlink"/>
            <w:noProof/>
            <w:spacing w:val="-2"/>
          </w:rPr>
          <w:t xml:space="preserve"> </w:t>
        </w:r>
        <w:r w:rsidRPr="00683E1E">
          <w:rPr>
            <w:rStyle w:val="Hyperlink"/>
            <w:noProof/>
          </w:rPr>
          <w:t>–</w:t>
        </w:r>
        <w:r w:rsidRPr="00683E1E">
          <w:rPr>
            <w:rStyle w:val="Hyperlink"/>
            <w:noProof/>
            <w:spacing w:val="-3"/>
          </w:rPr>
          <w:t xml:space="preserve"> </w:t>
        </w:r>
        <w:r w:rsidRPr="00683E1E">
          <w:rPr>
            <w:rStyle w:val="Hyperlink"/>
            <w:noProof/>
          </w:rPr>
          <w:t>BUDDINA</w:t>
        </w:r>
        <w:r w:rsidRPr="00683E1E">
          <w:rPr>
            <w:rStyle w:val="Hyperlink"/>
            <w:noProof/>
            <w:spacing w:val="-3"/>
          </w:rPr>
          <w:t xml:space="preserve"> </w:t>
        </w:r>
        <w:r w:rsidRPr="00683E1E">
          <w:rPr>
            <w:rStyle w:val="Hyperlink"/>
            <w:noProof/>
          </w:rPr>
          <w:t>BEACH</w:t>
        </w:r>
        <w:r w:rsidRPr="00683E1E">
          <w:rPr>
            <w:rStyle w:val="Hyperlink"/>
            <w:noProof/>
            <w:spacing w:val="-4"/>
          </w:rPr>
          <w:t xml:space="preserve"> </w:t>
        </w:r>
        <w:r w:rsidRPr="00683E1E">
          <w:rPr>
            <w:rStyle w:val="Hyperlink"/>
            <w:noProof/>
          </w:rPr>
          <w:t>SAND</w:t>
        </w:r>
        <w:r w:rsidRPr="00683E1E">
          <w:rPr>
            <w:rStyle w:val="Hyperlink"/>
            <w:noProof/>
            <w:spacing w:val="-3"/>
          </w:rPr>
          <w:t xml:space="preserve"> </w:t>
        </w:r>
        <w:r w:rsidRPr="00683E1E">
          <w:rPr>
            <w:rStyle w:val="Hyperlink"/>
            <w:noProof/>
            <w:spacing w:val="-4"/>
          </w:rPr>
          <w:t>TRAP</w:t>
        </w:r>
        <w:r>
          <w:rPr>
            <w:noProof/>
            <w:webHidden/>
          </w:rPr>
          <w:tab/>
        </w:r>
        <w:r>
          <w:rPr>
            <w:noProof/>
            <w:webHidden/>
          </w:rPr>
          <w:fldChar w:fldCharType="begin"/>
        </w:r>
        <w:r>
          <w:rPr>
            <w:noProof/>
            <w:webHidden/>
          </w:rPr>
          <w:instrText xml:space="preserve"> PAGEREF _Toc216699367 \h </w:instrText>
        </w:r>
        <w:r>
          <w:rPr>
            <w:noProof/>
            <w:webHidden/>
          </w:rPr>
        </w:r>
        <w:r>
          <w:rPr>
            <w:noProof/>
            <w:webHidden/>
          </w:rPr>
          <w:fldChar w:fldCharType="separate"/>
        </w:r>
        <w:r>
          <w:rPr>
            <w:noProof/>
            <w:webHidden/>
          </w:rPr>
          <w:t>78</w:t>
        </w:r>
        <w:r>
          <w:rPr>
            <w:noProof/>
            <w:webHidden/>
          </w:rPr>
          <w:fldChar w:fldCharType="end"/>
        </w:r>
      </w:hyperlink>
    </w:p>
    <w:p w14:paraId="7DA044F6" w14:textId="62C2E0CD"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368" w:history="1">
        <w:r w:rsidRPr="00683E1E">
          <w:rPr>
            <w:rStyle w:val="Hyperlink"/>
            <w:noProof/>
          </w:rPr>
          <w:t>13.1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Description</w:t>
        </w:r>
        <w:r w:rsidRPr="00683E1E">
          <w:rPr>
            <w:rStyle w:val="Hyperlink"/>
            <w:noProof/>
            <w:spacing w:val="-12"/>
          </w:rPr>
          <w:t xml:space="preserve"> </w:t>
        </w:r>
        <w:r w:rsidRPr="00683E1E">
          <w:rPr>
            <w:rStyle w:val="Hyperlink"/>
            <w:noProof/>
          </w:rPr>
          <w:t>of</w:t>
        </w:r>
        <w:r w:rsidRPr="00683E1E">
          <w:rPr>
            <w:rStyle w:val="Hyperlink"/>
            <w:noProof/>
            <w:spacing w:val="-12"/>
          </w:rPr>
          <w:t xml:space="preserve"> </w:t>
        </w:r>
        <w:r w:rsidRPr="00683E1E">
          <w:rPr>
            <w:rStyle w:val="Hyperlink"/>
            <w:noProof/>
          </w:rPr>
          <w:t>Option</w:t>
        </w:r>
        <w:r w:rsidRPr="00683E1E">
          <w:rPr>
            <w:rStyle w:val="Hyperlink"/>
            <w:noProof/>
            <w:spacing w:val="-12"/>
          </w:rPr>
          <w:t xml:space="preserve"> </w:t>
        </w:r>
        <w:r w:rsidRPr="00683E1E">
          <w:rPr>
            <w:rStyle w:val="Hyperlink"/>
            <w:noProof/>
            <w:spacing w:val="-10"/>
          </w:rPr>
          <w:t>1</w:t>
        </w:r>
        <w:r>
          <w:rPr>
            <w:noProof/>
            <w:webHidden/>
          </w:rPr>
          <w:tab/>
        </w:r>
        <w:r>
          <w:rPr>
            <w:noProof/>
            <w:webHidden/>
          </w:rPr>
          <w:fldChar w:fldCharType="begin"/>
        </w:r>
        <w:r>
          <w:rPr>
            <w:noProof/>
            <w:webHidden/>
          </w:rPr>
          <w:instrText xml:space="preserve"> PAGEREF _Toc216699368 \h </w:instrText>
        </w:r>
        <w:r>
          <w:rPr>
            <w:noProof/>
            <w:webHidden/>
          </w:rPr>
        </w:r>
        <w:r>
          <w:rPr>
            <w:noProof/>
            <w:webHidden/>
          </w:rPr>
          <w:fldChar w:fldCharType="separate"/>
        </w:r>
        <w:r>
          <w:rPr>
            <w:noProof/>
            <w:webHidden/>
          </w:rPr>
          <w:t>78</w:t>
        </w:r>
        <w:r>
          <w:rPr>
            <w:noProof/>
            <w:webHidden/>
          </w:rPr>
          <w:fldChar w:fldCharType="end"/>
        </w:r>
      </w:hyperlink>
    </w:p>
    <w:p w14:paraId="08828FC6" w14:textId="010B1E6A"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69" w:history="1">
        <w:r w:rsidRPr="00683E1E">
          <w:rPr>
            <w:rStyle w:val="Hyperlink"/>
            <w:noProof/>
          </w:rPr>
          <w:t>13.1.1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Effectiveness</w:t>
        </w:r>
        <w:r w:rsidRPr="00683E1E">
          <w:rPr>
            <w:rStyle w:val="Hyperlink"/>
            <w:noProof/>
            <w:spacing w:val="-5"/>
          </w:rPr>
          <w:t xml:space="preserve"> </w:t>
        </w:r>
        <w:r w:rsidRPr="00683E1E">
          <w:rPr>
            <w:rStyle w:val="Hyperlink"/>
            <w:noProof/>
          </w:rPr>
          <w:t>of</w:t>
        </w:r>
        <w:r w:rsidRPr="00683E1E">
          <w:rPr>
            <w:rStyle w:val="Hyperlink"/>
            <w:noProof/>
            <w:spacing w:val="-5"/>
          </w:rPr>
          <w:t xml:space="preserve"> </w:t>
        </w:r>
        <w:r w:rsidRPr="00683E1E">
          <w:rPr>
            <w:rStyle w:val="Hyperlink"/>
            <w:noProof/>
          </w:rPr>
          <w:t>Option</w:t>
        </w:r>
        <w:r w:rsidRPr="00683E1E">
          <w:rPr>
            <w:rStyle w:val="Hyperlink"/>
            <w:noProof/>
            <w:spacing w:val="-4"/>
          </w:rPr>
          <w:t xml:space="preserve"> </w:t>
        </w:r>
        <w:r w:rsidRPr="00683E1E">
          <w:rPr>
            <w:rStyle w:val="Hyperlink"/>
            <w:noProof/>
            <w:spacing w:val="-10"/>
          </w:rPr>
          <w:t>1</w:t>
        </w:r>
        <w:r>
          <w:rPr>
            <w:noProof/>
            <w:webHidden/>
          </w:rPr>
          <w:tab/>
        </w:r>
        <w:r>
          <w:rPr>
            <w:noProof/>
            <w:webHidden/>
          </w:rPr>
          <w:fldChar w:fldCharType="begin"/>
        </w:r>
        <w:r>
          <w:rPr>
            <w:noProof/>
            <w:webHidden/>
          </w:rPr>
          <w:instrText xml:space="preserve"> PAGEREF _Toc216699369 \h </w:instrText>
        </w:r>
        <w:r>
          <w:rPr>
            <w:noProof/>
            <w:webHidden/>
          </w:rPr>
        </w:r>
        <w:r>
          <w:rPr>
            <w:noProof/>
            <w:webHidden/>
          </w:rPr>
          <w:fldChar w:fldCharType="separate"/>
        </w:r>
        <w:r>
          <w:rPr>
            <w:noProof/>
            <w:webHidden/>
          </w:rPr>
          <w:t>79</w:t>
        </w:r>
        <w:r>
          <w:rPr>
            <w:noProof/>
            <w:webHidden/>
          </w:rPr>
          <w:fldChar w:fldCharType="end"/>
        </w:r>
      </w:hyperlink>
    </w:p>
    <w:p w14:paraId="13D262E5" w14:textId="18EFC29D"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370" w:history="1">
        <w:r w:rsidRPr="00683E1E">
          <w:rPr>
            <w:rStyle w:val="Hyperlink"/>
            <w:noProof/>
          </w:rPr>
          <w:t>13.2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Variations</w:t>
        </w:r>
        <w:r w:rsidRPr="00683E1E">
          <w:rPr>
            <w:rStyle w:val="Hyperlink"/>
            <w:noProof/>
            <w:spacing w:val="-11"/>
          </w:rPr>
          <w:t xml:space="preserve"> </w:t>
        </w:r>
        <w:r w:rsidRPr="00683E1E">
          <w:rPr>
            <w:rStyle w:val="Hyperlink"/>
            <w:noProof/>
          </w:rPr>
          <w:t>of</w:t>
        </w:r>
        <w:r w:rsidRPr="00683E1E">
          <w:rPr>
            <w:rStyle w:val="Hyperlink"/>
            <w:noProof/>
            <w:spacing w:val="-11"/>
          </w:rPr>
          <w:t xml:space="preserve"> </w:t>
        </w:r>
        <w:r w:rsidRPr="00683E1E">
          <w:rPr>
            <w:rStyle w:val="Hyperlink"/>
            <w:noProof/>
          </w:rPr>
          <w:t>Option</w:t>
        </w:r>
        <w:r w:rsidRPr="00683E1E">
          <w:rPr>
            <w:rStyle w:val="Hyperlink"/>
            <w:noProof/>
            <w:spacing w:val="-12"/>
          </w:rPr>
          <w:t xml:space="preserve"> </w:t>
        </w:r>
        <w:r w:rsidRPr="00683E1E">
          <w:rPr>
            <w:rStyle w:val="Hyperlink"/>
            <w:noProof/>
            <w:spacing w:val="-10"/>
          </w:rPr>
          <w:t>1</w:t>
        </w:r>
        <w:r>
          <w:rPr>
            <w:noProof/>
            <w:webHidden/>
          </w:rPr>
          <w:tab/>
        </w:r>
        <w:r>
          <w:rPr>
            <w:noProof/>
            <w:webHidden/>
          </w:rPr>
          <w:fldChar w:fldCharType="begin"/>
        </w:r>
        <w:r>
          <w:rPr>
            <w:noProof/>
            <w:webHidden/>
          </w:rPr>
          <w:instrText xml:space="preserve"> PAGEREF _Toc216699370 \h </w:instrText>
        </w:r>
        <w:r>
          <w:rPr>
            <w:noProof/>
            <w:webHidden/>
          </w:rPr>
        </w:r>
        <w:r>
          <w:rPr>
            <w:noProof/>
            <w:webHidden/>
          </w:rPr>
          <w:fldChar w:fldCharType="separate"/>
        </w:r>
        <w:r>
          <w:rPr>
            <w:noProof/>
            <w:webHidden/>
          </w:rPr>
          <w:t>80</w:t>
        </w:r>
        <w:r>
          <w:rPr>
            <w:noProof/>
            <w:webHidden/>
          </w:rPr>
          <w:fldChar w:fldCharType="end"/>
        </w:r>
      </w:hyperlink>
    </w:p>
    <w:p w14:paraId="09289501" w14:textId="2F6E2406"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371" w:history="1">
        <w:r w:rsidRPr="00683E1E">
          <w:rPr>
            <w:rStyle w:val="Hyperlink"/>
            <w:noProof/>
          </w:rPr>
          <w:t>13.3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w:t>
        </w:r>
        <w:r w:rsidRPr="00683E1E">
          <w:rPr>
            <w:rStyle w:val="Hyperlink"/>
            <w:noProof/>
            <w:spacing w:val="-9"/>
          </w:rPr>
          <w:t xml:space="preserve"> </w:t>
        </w:r>
        <w:r w:rsidRPr="00683E1E">
          <w:rPr>
            <w:rStyle w:val="Hyperlink"/>
            <w:noProof/>
          </w:rPr>
          <w:t>1A</w:t>
        </w:r>
        <w:r w:rsidRPr="00683E1E">
          <w:rPr>
            <w:rStyle w:val="Hyperlink"/>
            <w:noProof/>
            <w:spacing w:val="-9"/>
          </w:rPr>
          <w:t xml:space="preserve"> </w:t>
        </w:r>
        <w:r w:rsidRPr="00683E1E">
          <w:rPr>
            <w:rStyle w:val="Hyperlink"/>
            <w:noProof/>
          </w:rPr>
          <w:t>–</w:t>
        </w:r>
        <w:r w:rsidRPr="00683E1E">
          <w:rPr>
            <w:rStyle w:val="Hyperlink"/>
            <w:noProof/>
            <w:spacing w:val="-8"/>
          </w:rPr>
          <w:t xml:space="preserve"> </w:t>
        </w:r>
        <w:r w:rsidRPr="00683E1E">
          <w:rPr>
            <w:rStyle w:val="Hyperlink"/>
            <w:noProof/>
          </w:rPr>
          <w:t>Buddina</w:t>
        </w:r>
        <w:r w:rsidRPr="00683E1E">
          <w:rPr>
            <w:rStyle w:val="Hyperlink"/>
            <w:noProof/>
            <w:spacing w:val="-8"/>
          </w:rPr>
          <w:t xml:space="preserve"> </w:t>
        </w:r>
        <w:r w:rsidRPr="00683E1E">
          <w:rPr>
            <w:rStyle w:val="Hyperlink"/>
            <w:noProof/>
          </w:rPr>
          <w:t>Beach</w:t>
        </w:r>
        <w:r w:rsidRPr="00683E1E">
          <w:rPr>
            <w:rStyle w:val="Hyperlink"/>
            <w:noProof/>
            <w:spacing w:val="-8"/>
          </w:rPr>
          <w:t xml:space="preserve"> </w:t>
        </w:r>
        <w:r w:rsidRPr="00683E1E">
          <w:rPr>
            <w:rStyle w:val="Hyperlink"/>
            <w:noProof/>
          </w:rPr>
          <w:t>sand</w:t>
        </w:r>
        <w:r w:rsidRPr="00683E1E">
          <w:rPr>
            <w:rStyle w:val="Hyperlink"/>
            <w:noProof/>
            <w:spacing w:val="-7"/>
          </w:rPr>
          <w:t xml:space="preserve"> </w:t>
        </w:r>
        <w:r w:rsidRPr="00683E1E">
          <w:rPr>
            <w:rStyle w:val="Hyperlink"/>
            <w:noProof/>
          </w:rPr>
          <w:t>trap</w:t>
        </w:r>
        <w:r w:rsidRPr="00683E1E">
          <w:rPr>
            <w:rStyle w:val="Hyperlink"/>
            <w:noProof/>
            <w:spacing w:val="-9"/>
          </w:rPr>
          <w:t xml:space="preserve"> </w:t>
        </w:r>
        <w:r w:rsidRPr="00683E1E">
          <w:rPr>
            <w:rStyle w:val="Hyperlink"/>
            <w:noProof/>
          </w:rPr>
          <w:t>with</w:t>
        </w:r>
        <w:r w:rsidRPr="00683E1E">
          <w:rPr>
            <w:rStyle w:val="Hyperlink"/>
            <w:noProof/>
            <w:spacing w:val="-9"/>
          </w:rPr>
          <w:t xml:space="preserve"> </w:t>
        </w:r>
        <w:r w:rsidRPr="00683E1E">
          <w:rPr>
            <w:rStyle w:val="Hyperlink"/>
            <w:noProof/>
          </w:rPr>
          <w:t>TSHD</w:t>
        </w:r>
        <w:r w:rsidRPr="00683E1E">
          <w:rPr>
            <w:rStyle w:val="Hyperlink"/>
            <w:noProof/>
            <w:spacing w:val="-8"/>
          </w:rPr>
          <w:t xml:space="preserve"> </w:t>
        </w:r>
        <w:r w:rsidRPr="00683E1E">
          <w:rPr>
            <w:rStyle w:val="Hyperlink"/>
            <w:noProof/>
            <w:spacing w:val="-2"/>
          </w:rPr>
          <w:t>transport</w:t>
        </w:r>
        <w:r>
          <w:rPr>
            <w:noProof/>
            <w:webHidden/>
          </w:rPr>
          <w:tab/>
        </w:r>
        <w:r>
          <w:rPr>
            <w:noProof/>
            <w:webHidden/>
          </w:rPr>
          <w:fldChar w:fldCharType="begin"/>
        </w:r>
        <w:r>
          <w:rPr>
            <w:noProof/>
            <w:webHidden/>
          </w:rPr>
          <w:instrText xml:space="preserve"> PAGEREF _Toc216699371 \h </w:instrText>
        </w:r>
        <w:r>
          <w:rPr>
            <w:noProof/>
            <w:webHidden/>
          </w:rPr>
        </w:r>
        <w:r>
          <w:rPr>
            <w:noProof/>
            <w:webHidden/>
          </w:rPr>
          <w:fldChar w:fldCharType="separate"/>
        </w:r>
        <w:r>
          <w:rPr>
            <w:noProof/>
            <w:webHidden/>
          </w:rPr>
          <w:t>80</w:t>
        </w:r>
        <w:r>
          <w:rPr>
            <w:noProof/>
            <w:webHidden/>
          </w:rPr>
          <w:fldChar w:fldCharType="end"/>
        </w:r>
      </w:hyperlink>
    </w:p>
    <w:p w14:paraId="74E90879" w14:textId="5F19E959"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72" w:history="1">
        <w:r w:rsidRPr="00683E1E">
          <w:rPr>
            <w:rStyle w:val="Hyperlink"/>
            <w:noProof/>
          </w:rPr>
          <w:t>13.3.1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Description</w:t>
        </w:r>
        <w:r w:rsidRPr="00683E1E">
          <w:rPr>
            <w:rStyle w:val="Hyperlink"/>
            <w:noProof/>
            <w:spacing w:val="-4"/>
          </w:rPr>
          <w:t xml:space="preserve"> </w:t>
        </w:r>
        <w:r w:rsidRPr="00683E1E">
          <w:rPr>
            <w:rStyle w:val="Hyperlink"/>
            <w:noProof/>
          </w:rPr>
          <w:t>of</w:t>
        </w:r>
        <w:r w:rsidRPr="00683E1E">
          <w:rPr>
            <w:rStyle w:val="Hyperlink"/>
            <w:noProof/>
            <w:spacing w:val="-4"/>
          </w:rPr>
          <w:t xml:space="preserve"> </w:t>
        </w:r>
        <w:r w:rsidRPr="00683E1E">
          <w:rPr>
            <w:rStyle w:val="Hyperlink"/>
            <w:noProof/>
          </w:rPr>
          <w:t>Option</w:t>
        </w:r>
        <w:r w:rsidRPr="00683E1E">
          <w:rPr>
            <w:rStyle w:val="Hyperlink"/>
            <w:noProof/>
            <w:spacing w:val="-4"/>
          </w:rPr>
          <w:t xml:space="preserve"> </w:t>
        </w:r>
        <w:r w:rsidRPr="00683E1E">
          <w:rPr>
            <w:rStyle w:val="Hyperlink"/>
            <w:noProof/>
            <w:spacing w:val="-5"/>
          </w:rPr>
          <w:t>1A</w:t>
        </w:r>
        <w:r>
          <w:rPr>
            <w:noProof/>
            <w:webHidden/>
          </w:rPr>
          <w:tab/>
        </w:r>
        <w:r>
          <w:rPr>
            <w:noProof/>
            <w:webHidden/>
          </w:rPr>
          <w:fldChar w:fldCharType="begin"/>
        </w:r>
        <w:r>
          <w:rPr>
            <w:noProof/>
            <w:webHidden/>
          </w:rPr>
          <w:instrText xml:space="preserve"> PAGEREF _Toc216699372 \h </w:instrText>
        </w:r>
        <w:r>
          <w:rPr>
            <w:noProof/>
            <w:webHidden/>
          </w:rPr>
        </w:r>
        <w:r>
          <w:rPr>
            <w:noProof/>
            <w:webHidden/>
          </w:rPr>
          <w:fldChar w:fldCharType="separate"/>
        </w:r>
        <w:r>
          <w:rPr>
            <w:noProof/>
            <w:webHidden/>
          </w:rPr>
          <w:t>80</w:t>
        </w:r>
        <w:r>
          <w:rPr>
            <w:noProof/>
            <w:webHidden/>
          </w:rPr>
          <w:fldChar w:fldCharType="end"/>
        </w:r>
      </w:hyperlink>
    </w:p>
    <w:p w14:paraId="2AF7043E" w14:textId="7A72A663"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73" w:history="1">
        <w:r w:rsidRPr="00683E1E">
          <w:rPr>
            <w:rStyle w:val="Hyperlink"/>
            <w:noProof/>
          </w:rPr>
          <w:t>13.3.2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Design</w:t>
        </w:r>
        <w:r w:rsidRPr="00683E1E">
          <w:rPr>
            <w:rStyle w:val="Hyperlink"/>
            <w:noProof/>
            <w:spacing w:val="-3"/>
          </w:rPr>
          <w:t xml:space="preserve"> </w:t>
        </w:r>
        <w:r w:rsidRPr="00683E1E">
          <w:rPr>
            <w:rStyle w:val="Hyperlink"/>
            <w:noProof/>
          </w:rPr>
          <w:t>and</w:t>
        </w:r>
        <w:r w:rsidRPr="00683E1E">
          <w:rPr>
            <w:rStyle w:val="Hyperlink"/>
            <w:noProof/>
            <w:spacing w:val="-3"/>
          </w:rPr>
          <w:t xml:space="preserve"> </w:t>
        </w:r>
        <w:r w:rsidRPr="00683E1E">
          <w:rPr>
            <w:rStyle w:val="Hyperlink"/>
            <w:noProof/>
            <w:spacing w:val="-2"/>
          </w:rPr>
          <w:t>approvals</w:t>
        </w:r>
        <w:r>
          <w:rPr>
            <w:noProof/>
            <w:webHidden/>
          </w:rPr>
          <w:tab/>
        </w:r>
        <w:r>
          <w:rPr>
            <w:noProof/>
            <w:webHidden/>
          </w:rPr>
          <w:fldChar w:fldCharType="begin"/>
        </w:r>
        <w:r>
          <w:rPr>
            <w:noProof/>
            <w:webHidden/>
          </w:rPr>
          <w:instrText xml:space="preserve"> PAGEREF _Toc216699373 \h </w:instrText>
        </w:r>
        <w:r>
          <w:rPr>
            <w:noProof/>
            <w:webHidden/>
          </w:rPr>
        </w:r>
        <w:r>
          <w:rPr>
            <w:noProof/>
            <w:webHidden/>
          </w:rPr>
          <w:fldChar w:fldCharType="separate"/>
        </w:r>
        <w:r>
          <w:rPr>
            <w:noProof/>
            <w:webHidden/>
          </w:rPr>
          <w:t>81</w:t>
        </w:r>
        <w:r>
          <w:rPr>
            <w:noProof/>
            <w:webHidden/>
          </w:rPr>
          <w:fldChar w:fldCharType="end"/>
        </w:r>
      </w:hyperlink>
    </w:p>
    <w:p w14:paraId="616A82C8" w14:textId="355329F0"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74" w:history="1">
        <w:r w:rsidRPr="00683E1E">
          <w:rPr>
            <w:rStyle w:val="Hyperlink"/>
            <w:noProof/>
          </w:rPr>
          <w:t>13.3.3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Capital</w:t>
        </w:r>
        <w:r w:rsidRPr="00683E1E">
          <w:rPr>
            <w:rStyle w:val="Hyperlink"/>
            <w:noProof/>
            <w:spacing w:val="-4"/>
          </w:rPr>
          <w:t xml:space="preserve"> </w:t>
        </w:r>
        <w:r w:rsidRPr="00683E1E">
          <w:rPr>
            <w:rStyle w:val="Hyperlink"/>
            <w:noProof/>
            <w:spacing w:val="-2"/>
          </w:rPr>
          <w:t>works</w:t>
        </w:r>
        <w:r>
          <w:rPr>
            <w:noProof/>
            <w:webHidden/>
          </w:rPr>
          <w:tab/>
        </w:r>
        <w:r>
          <w:rPr>
            <w:noProof/>
            <w:webHidden/>
          </w:rPr>
          <w:fldChar w:fldCharType="begin"/>
        </w:r>
        <w:r>
          <w:rPr>
            <w:noProof/>
            <w:webHidden/>
          </w:rPr>
          <w:instrText xml:space="preserve"> PAGEREF _Toc216699374 \h </w:instrText>
        </w:r>
        <w:r>
          <w:rPr>
            <w:noProof/>
            <w:webHidden/>
          </w:rPr>
        </w:r>
        <w:r>
          <w:rPr>
            <w:noProof/>
            <w:webHidden/>
          </w:rPr>
          <w:fldChar w:fldCharType="separate"/>
        </w:r>
        <w:r>
          <w:rPr>
            <w:noProof/>
            <w:webHidden/>
          </w:rPr>
          <w:t>82</w:t>
        </w:r>
        <w:r>
          <w:rPr>
            <w:noProof/>
            <w:webHidden/>
          </w:rPr>
          <w:fldChar w:fldCharType="end"/>
        </w:r>
      </w:hyperlink>
    </w:p>
    <w:p w14:paraId="4E281EB4" w14:textId="15855A89"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75" w:history="1">
        <w:r w:rsidRPr="00683E1E">
          <w:rPr>
            <w:rStyle w:val="Hyperlink"/>
            <w:noProof/>
          </w:rPr>
          <w:t>13.3.4</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Operational</w:t>
        </w:r>
        <w:r w:rsidRPr="00683E1E">
          <w:rPr>
            <w:rStyle w:val="Hyperlink"/>
            <w:noProof/>
            <w:spacing w:val="-7"/>
          </w:rPr>
          <w:t xml:space="preserve"> </w:t>
        </w:r>
        <w:r w:rsidRPr="00683E1E">
          <w:rPr>
            <w:rStyle w:val="Hyperlink"/>
            <w:noProof/>
            <w:spacing w:val="-2"/>
          </w:rPr>
          <w:t>works</w:t>
        </w:r>
        <w:r>
          <w:rPr>
            <w:noProof/>
            <w:webHidden/>
          </w:rPr>
          <w:tab/>
        </w:r>
        <w:r>
          <w:rPr>
            <w:noProof/>
            <w:webHidden/>
          </w:rPr>
          <w:fldChar w:fldCharType="begin"/>
        </w:r>
        <w:r>
          <w:rPr>
            <w:noProof/>
            <w:webHidden/>
          </w:rPr>
          <w:instrText xml:space="preserve"> PAGEREF _Toc216699375 \h </w:instrText>
        </w:r>
        <w:r>
          <w:rPr>
            <w:noProof/>
            <w:webHidden/>
          </w:rPr>
        </w:r>
        <w:r>
          <w:rPr>
            <w:noProof/>
            <w:webHidden/>
          </w:rPr>
          <w:fldChar w:fldCharType="separate"/>
        </w:r>
        <w:r>
          <w:rPr>
            <w:noProof/>
            <w:webHidden/>
          </w:rPr>
          <w:t>82</w:t>
        </w:r>
        <w:r>
          <w:rPr>
            <w:noProof/>
            <w:webHidden/>
          </w:rPr>
          <w:fldChar w:fldCharType="end"/>
        </w:r>
      </w:hyperlink>
    </w:p>
    <w:p w14:paraId="742EB661" w14:textId="6777545F"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76" w:history="1">
        <w:r w:rsidRPr="00683E1E">
          <w:rPr>
            <w:rStyle w:val="Hyperlink"/>
            <w:noProof/>
          </w:rPr>
          <w:t>13.3.5</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Coastal</w:t>
        </w:r>
        <w:r w:rsidRPr="00683E1E">
          <w:rPr>
            <w:rStyle w:val="Hyperlink"/>
            <w:noProof/>
            <w:spacing w:val="-4"/>
          </w:rPr>
          <w:t xml:space="preserve"> </w:t>
        </w:r>
        <w:r w:rsidRPr="00683E1E">
          <w:rPr>
            <w:rStyle w:val="Hyperlink"/>
            <w:noProof/>
          </w:rPr>
          <w:t>process</w:t>
        </w:r>
        <w:r w:rsidRPr="00683E1E">
          <w:rPr>
            <w:rStyle w:val="Hyperlink"/>
            <w:noProof/>
            <w:spacing w:val="-4"/>
          </w:rPr>
          <w:t xml:space="preserve"> </w:t>
        </w:r>
        <w:r w:rsidRPr="00683E1E">
          <w:rPr>
            <w:rStyle w:val="Hyperlink"/>
            <w:noProof/>
            <w:spacing w:val="-2"/>
          </w:rPr>
          <w:t>considerations</w:t>
        </w:r>
        <w:r>
          <w:rPr>
            <w:noProof/>
            <w:webHidden/>
          </w:rPr>
          <w:tab/>
        </w:r>
        <w:r>
          <w:rPr>
            <w:noProof/>
            <w:webHidden/>
          </w:rPr>
          <w:fldChar w:fldCharType="begin"/>
        </w:r>
        <w:r>
          <w:rPr>
            <w:noProof/>
            <w:webHidden/>
          </w:rPr>
          <w:instrText xml:space="preserve"> PAGEREF _Toc216699376 \h </w:instrText>
        </w:r>
        <w:r>
          <w:rPr>
            <w:noProof/>
            <w:webHidden/>
          </w:rPr>
        </w:r>
        <w:r>
          <w:rPr>
            <w:noProof/>
            <w:webHidden/>
          </w:rPr>
          <w:fldChar w:fldCharType="separate"/>
        </w:r>
        <w:r>
          <w:rPr>
            <w:noProof/>
            <w:webHidden/>
          </w:rPr>
          <w:t>83</w:t>
        </w:r>
        <w:r>
          <w:rPr>
            <w:noProof/>
            <w:webHidden/>
          </w:rPr>
          <w:fldChar w:fldCharType="end"/>
        </w:r>
      </w:hyperlink>
    </w:p>
    <w:p w14:paraId="3F17A305" w14:textId="7D710344"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77" w:history="1">
        <w:r w:rsidRPr="00683E1E">
          <w:rPr>
            <w:rStyle w:val="Hyperlink"/>
            <w:noProof/>
          </w:rPr>
          <w:t>13.3.6</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Environmental</w:t>
        </w:r>
        <w:r w:rsidRPr="00683E1E">
          <w:rPr>
            <w:rStyle w:val="Hyperlink"/>
            <w:noProof/>
            <w:spacing w:val="-9"/>
          </w:rPr>
          <w:t xml:space="preserve"> </w:t>
        </w:r>
        <w:r w:rsidRPr="00683E1E">
          <w:rPr>
            <w:rStyle w:val="Hyperlink"/>
            <w:noProof/>
            <w:spacing w:val="-2"/>
          </w:rPr>
          <w:t>constraints</w:t>
        </w:r>
        <w:r>
          <w:rPr>
            <w:noProof/>
            <w:webHidden/>
          </w:rPr>
          <w:tab/>
        </w:r>
        <w:r>
          <w:rPr>
            <w:noProof/>
            <w:webHidden/>
          </w:rPr>
          <w:fldChar w:fldCharType="begin"/>
        </w:r>
        <w:r>
          <w:rPr>
            <w:noProof/>
            <w:webHidden/>
          </w:rPr>
          <w:instrText xml:space="preserve"> PAGEREF _Toc216699377 \h </w:instrText>
        </w:r>
        <w:r>
          <w:rPr>
            <w:noProof/>
            <w:webHidden/>
          </w:rPr>
        </w:r>
        <w:r>
          <w:rPr>
            <w:noProof/>
            <w:webHidden/>
          </w:rPr>
          <w:fldChar w:fldCharType="separate"/>
        </w:r>
        <w:r>
          <w:rPr>
            <w:noProof/>
            <w:webHidden/>
          </w:rPr>
          <w:t>87</w:t>
        </w:r>
        <w:r>
          <w:rPr>
            <w:noProof/>
            <w:webHidden/>
          </w:rPr>
          <w:fldChar w:fldCharType="end"/>
        </w:r>
      </w:hyperlink>
    </w:p>
    <w:p w14:paraId="08D5D35B" w14:textId="0CA30D22"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78" w:history="1">
        <w:r w:rsidRPr="00683E1E">
          <w:rPr>
            <w:rStyle w:val="Hyperlink"/>
            <w:noProof/>
          </w:rPr>
          <w:t>13.3.7</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Social</w:t>
        </w:r>
        <w:r w:rsidRPr="00683E1E">
          <w:rPr>
            <w:rStyle w:val="Hyperlink"/>
            <w:noProof/>
            <w:spacing w:val="-3"/>
          </w:rPr>
          <w:t xml:space="preserve"> </w:t>
        </w:r>
        <w:r w:rsidRPr="00683E1E">
          <w:rPr>
            <w:rStyle w:val="Hyperlink"/>
            <w:noProof/>
            <w:spacing w:val="-2"/>
          </w:rPr>
          <w:t>impacts</w:t>
        </w:r>
        <w:r>
          <w:rPr>
            <w:noProof/>
            <w:webHidden/>
          </w:rPr>
          <w:tab/>
        </w:r>
        <w:r>
          <w:rPr>
            <w:noProof/>
            <w:webHidden/>
          </w:rPr>
          <w:fldChar w:fldCharType="begin"/>
        </w:r>
        <w:r>
          <w:rPr>
            <w:noProof/>
            <w:webHidden/>
          </w:rPr>
          <w:instrText xml:space="preserve"> PAGEREF _Toc216699378 \h </w:instrText>
        </w:r>
        <w:r>
          <w:rPr>
            <w:noProof/>
            <w:webHidden/>
          </w:rPr>
        </w:r>
        <w:r>
          <w:rPr>
            <w:noProof/>
            <w:webHidden/>
          </w:rPr>
          <w:fldChar w:fldCharType="separate"/>
        </w:r>
        <w:r>
          <w:rPr>
            <w:noProof/>
            <w:webHidden/>
          </w:rPr>
          <w:t>92</w:t>
        </w:r>
        <w:r>
          <w:rPr>
            <w:noProof/>
            <w:webHidden/>
          </w:rPr>
          <w:fldChar w:fldCharType="end"/>
        </w:r>
      </w:hyperlink>
    </w:p>
    <w:p w14:paraId="0E1A0A0D" w14:textId="165D73EE"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79" w:history="1">
        <w:r w:rsidRPr="00683E1E">
          <w:rPr>
            <w:rStyle w:val="Hyperlink"/>
            <w:noProof/>
          </w:rPr>
          <w:t>13.3.8</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Economic</w:t>
        </w:r>
        <w:r w:rsidRPr="00683E1E">
          <w:rPr>
            <w:rStyle w:val="Hyperlink"/>
            <w:noProof/>
            <w:spacing w:val="-4"/>
          </w:rPr>
          <w:t xml:space="preserve"> </w:t>
        </w:r>
        <w:r w:rsidRPr="00683E1E">
          <w:rPr>
            <w:rStyle w:val="Hyperlink"/>
            <w:noProof/>
            <w:spacing w:val="-2"/>
          </w:rPr>
          <w:t>impacts</w:t>
        </w:r>
        <w:r>
          <w:rPr>
            <w:noProof/>
            <w:webHidden/>
          </w:rPr>
          <w:tab/>
        </w:r>
        <w:r>
          <w:rPr>
            <w:noProof/>
            <w:webHidden/>
          </w:rPr>
          <w:fldChar w:fldCharType="begin"/>
        </w:r>
        <w:r>
          <w:rPr>
            <w:noProof/>
            <w:webHidden/>
          </w:rPr>
          <w:instrText xml:space="preserve"> PAGEREF _Toc216699379 \h </w:instrText>
        </w:r>
        <w:r>
          <w:rPr>
            <w:noProof/>
            <w:webHidden/>
          </w:rPr>
        </w:r>
        <w:r>
          <w:rPr>
            <w:noProof/>
            <w:webHidden/>
          </w:rPr>
          <w:fldChar w:fldCharType="separate"/>
        </w:r>
        <w:r>
          <w:rPr>
            <w:noProof/>
            <w:webHidden/>
          </w:rPr>
          <w:t>92</w:t>
        </w:r>
        <w:r>
          <w:rPr>
            <w:noProof/>
            <w:webHidden/>
          </w:rPr>
          <w:fldChar w:fldCharType="end"/>
        </w:r>
      </w:hyperlink>
    </w:p>
    <w:p w14:paraId="18004CD9" w14:textId="044F976E"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80" w:history="1">
        <w:r w:rsidRPr="00683E1E">
          <w:rPr>
            <w:rStyle w:val="Hyperlink"/>
            <w:noProof/>
          </w:rPr>
          <w:t>13.3.9</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Future</w:t>
        </w:r>
        <w:r w:rsidRPr="00683E1E">
          <w:rPr>
            <w:rStyle w:val="Hyperlink"/>
            <w:noProof/>
            <w:spacing w:val="-3"/>
          </w:rPr>
          <w:t xml:space="preserve"> </w:t>
        </w:r>
        <w:r w:rsidRPr="00683E1E">
          <w:rPr>
            <w:rStyle w:val="Hyperlink"/>
            <w:noProof/>
          </w:rPr>
          <w:t>adaptability</w:t>
        </w:r>
        <w:r>
          <w:rPr>
            <w:noProof/>
            <w:webHidden/>
          </w:rPr>
          <w:tab/>
        </w:r>
        <w:r>
          <w:rPr>
            <w:noProof/>
            <w:webHidden/>
          </w:rPr>
          <w:fldChar w:fldCharType="begin"/>
        </w:r>
        <w:r>
          <w:rPr>
            <w:noProof/>
            <w:webHidden/>
          </w:rPr>
          <w:instrText xml:space="preserve"> PAGEREF _Toc216699380 \h </w:instrText>
        </w:r>
        <w:r>
          <w:rPr>
            <w:noProof/>
            <w:webHidden/>
          </w:rPr>
        </w:r>
        <w:r>
          <w:rPr>
            <w:noProof/>
            <w:webHidden/>
          </w:rPr>
          <w:fldChar w:fldCharType="separate"/>
        </w:r>
        <w:r>
          <w:rPr>
            <w:noProof/>
            <w:webHidden/>
          </w:rPr>
          <w:t>92</w:t>
        </w:r>
        <w:r>
          <w:rPr>
            <w:noProof/>
            <w:webHidden/>
          </w:rPr>
          <w:fldChar w:fldCharType="end"/>
        </w:r>
      </w:hyperlink>
    </w:p>
    <w:p w14:paraId="5E90D62E" w14:textId="1A679CCE"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81" w:history="1">
        <w:r w:rsidRPr="00683E1E">
          <w:rPr>
            <w:rStyle w:val="Hyperlink"/>
            <w:noProof/>
          </w:rPr>
          <w:t>13.3.10</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Safety</w:t>
        </w:r>
        <w:r w:rsidRPr="00683E1E">
          <w:rPr>
            <w:rStyle w:val="Hyperlink"/>
            <w:noProof/>
            <w:spacing w:val="-3"/>
          </w:rPr>
          <w:t xml:space="preserve"> </w:t>
        </w:r>
        <w:r w:rsidRPr="00683E1E">
          <w:rPr>
            <w:rStyle w:val="Hyperlink"/>
            <w:noProof/>
          </w:rPr>
          <w:t>of</w:t>
        </w:r>
        <w:r w:rsidRPr="00683E1E">
          <w:rPr>
            <w:rStyle w:val="Hyperlink"/>
            <w:noProof/>
            <w:spacing w:val="-3"/>
          </w:rPr>
          <w:t xml:space="preserve"> </w:t>
        </w:r>
        <w:r w:rsidRPr="00683E1E">
          <w:rPr>
            <w:rStyle w:val="Hyperlink"/>
            <w:noProof/>
          </w:rPr>
          <w:t>Option</w:t>
        </w:r>
        <w:r w:rsidRPr="00683E1E">
          <w:rPr>
            <w:rStyle w:val="Hyperlink"/>
            <w:noProof/>
            <w:spacing w:val="-3"/>
          </w:rPr>
          <w:t xml:space="preserve"> </w:t>
        </w:r>
        <w:r w:rsidRPr="00683E1E">
          <w:rPr>
            <w:rStyle w:val="Hyperlink"/>
            <w:noProof/>
            <w:spacing w:val="-7"/>
          </w:rPr>
          <w:t>1A</w:t>
        </w:r>
        <w:r>
          <w:rPr>
            <w:noProof/>
            <w:webHidden/>
          </w:rPr>
          <w:tab/>
        </w:r>
        <w:r>
          <w:rPr>
            <w:noProof/>
            <w:webHidden/>
          </w:rPr>
          <w:fldChar w:fldCharType="begin"/>
        </w:r>
        <w:r>
          <w:rPr>
            <w:noProof/>
            <w:webHidden/>
          </w:rPr>
          <w:instrText xml:space="preserve"> PAGEREF _Toc216699381 \h </w:instrText>
        </w:r>
        <w:r>
          <w:rPr>
            <w:noProof/>
            <w:webHidden/>
          </w:rPr>
        </w:r>
        <w:r>
          <w:rPr>
            <w:noProof/>
            <w:webHidden/>
          </w:rPr>
          <w:fldChar w:fldCharType="separate"/>
        </w:r>
        <w:r>
          <w:rPr>
            <w:noProof/>
            <w:webHidden/>
          </w:rPr>
          <w:t>92</w:t>
        </w:r>
        <w:r>
          <w:rPr>
            <w:noProof/>
            <w:webHidden/>
          </w:rPr>
          <w:fldChar w:fldCharType="end"/>
        </w:r>
      </w:hyperlink>
    </w:p>
    <w:p w14:paraId="75758923" w14:textId="139C2102"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82" w:history="1">
        <w:r w:rsidRPr="00683E1E">
          <w:rPr>
            <w:rStyle w:val="Hyperlink"/>
            <w:noProof/>
          </w:rPr>
          <w:t>13.3.11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Cost and</w:t>
        </w:r>
        <w:r w:rsidRPr="00683E1E">
          <w:rPr>
            <w:rStyle w:val="Hyperlink"/>
            <w:noProof/>
            <w:spacing w:val="-3"/>
          </w:rPr>
          <w:t xml:space="preserve"> </w:t>
        </w:r>
        <w:r w:rsidRPr="00683E1E">
          <w:rPr>
            <w:rStyle w:val="Hyperlink"/>
            <w:noProof/>
          </w:rPr>
          <w:t>feasibility</w:t>
        </w:r>
        <w:r>
          <w:rPr>
            <w:noProof/>
            <w:webHidden/>
          </w:rPr>
          <w:tab/>
        </w:r>
        <w:r>
          <w:rPr>
            <w:noProof/>
            <w:webHidden/>
          </w:rPr>
          <w:fldChar w:fldCharType="begin"/>
        </w:r>
        <w:r>
          <w:rPr>
            <w:noProof/>
            <w:webHidden/>
          </w:rPr>
          <w:instrText xml:space="preserve"> PAGEREF _Toc216699382 \h </w:instrText>
        </w:r>
        <w:r>
          <w:rPr>
            <w:noProof/>
            <w:webHidden/>
          </w:rPr>
        </w:r>
        <w:r>
          <w:rPr>
            <w:noProof/>
            <w:webHidden/>
          </w:rPr>
          <w:fldChar w:fldCharType="separate"/>
        </w:r>
        <w:r>
          <w:rPr>
            <w:noProof/>
            <w:webHidden/>
          </w:rPr>
          <w:t>93</w:t>
        </w:r>
        <w:r>
          <w:rPr>
            <w:noProof/>
            <w:webHidden/>
          </w:rPr>
          <w:fldChar w:fldCharType="end"/>
        </w:r>
      </w:hyperlink>
    </w:p>
    <w:p w14:paraId="391AE92B" w14:textId="25DD4445"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83" w:history="1">
        <w:r w:rsidRPr="00683E1E">
          <w:rPr>
            <w:rStyle w:val="Hyperlink"/>
            <w:noProof/>
          </w:rPr>
          <w:t>13.3.12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w:t>
        </w:r>
        <w:r w:rsidRPr="00683E1E">
          <w:rPr>
            <w:rStyle w:val="Hyperlink"/>
            <w:noProof/>
            <w:spacing w:val="-3"/>
          </w:rPr>
          <w:t xml:space="preserve"> </w:t>
        </w:r>
        <w:r w:rsidRPr="00683E1E">
          <w:rPr>
            <w:rStyle w:val="Hyperlink"/>
            <w:noProof/>
          </w:rPr>
          <w:t>1A</w:t>
        </w:r>
        <w:r w:rsidRPr="00683E1E">
          <w:rPr>
            <w:rStyle w:val="Hyperlink"/>
            <w:noProof/>
            <w:spacing w:val="-2"/>
          </w:rPr>
          <w:t xml:space="preserve"> summary</w:t>
        </w:r>
        <w:r>
          <w:rPr>
            <w:noProof/>
            <w:webHidden/>
          </w:rPr>
          <w:tab/>
        </w:r>
        <w:r>
          <w:rPr>
            <w:noProof/>
            <w:webHidden/>
          </w:rPr>
          <w:fldChar w:fldCharType="begin"/>
        </w:r>
        <w:r>
          <w:rPr>
            <w:noProof/>
            <w:webHidden/>
          </w:rPr>
          <w:instrText xml:space="preserve"> PAGEREF _Toc216699383 \h </w:instrText>
        </w:r>
        <w:r>
          <w:rPr>
            <w:noProof/>
            <w:webHidden/>
          </w:rPr>
        </w:r>
        <w:r>
          <w:rPr>
            <w:noProof/>
            <w:webHidden/>
          </w:rPr>
          <w:fldChar w:fldCharType="separate"/>
        </w:r>
        <w:r>
          <w:rPr>
            <w:noProof/>
            <w:webHidden/>
          </w:rPr>
          <w:t>93</w:t>
        </w:r>
        <w:r>
          <w:rPr>
            <w:noProof/>
            <w:webHidden/>
          </w:rPr>
          <w:fldChar w:fldCharType="end"/>
        </w:r>
      </w:hyperlink>
    </w:p>
    <w:p w14:paraId="586FEE5C" w14:textId="352BEFA5"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384" w:history="1">
        <w:r w:rsidRPr="00683E1E">
          <w:rPr>
            <w:rStyle w:val="Hyperlink"/>
            <w:noProof/>
          </w:rPr>
          <w:t>13.4</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w:t>
        </w:r>
        <w:r w:rsidRPr="00683E1E">
          <w:rPr>
            <w:rStyle w:val="Hyperlink"/>
            <w:noProof/>
            <w:spacing w:val="-4"/>
          </w:rPr>
          <w:t xml:space="preserve"> </w:t>
        </w:r>
        <w:r w:rsidRPr="00683E1E">
          <w:rPr>
            <w:rStyle w:val="Hyperlink"/>
            <w:noProof/>
          </w:rPr>
          <w:t>1B</w:t>
        </w:r>
        <w:r w:rsidRPr="00683E1E">
          <w:rPr>
            <w:rStyle w:val="Hyperlink"/>
            <w:noProof/>
            <w:spacing w:val="-4"/>
          </w:rPr>
          <w:t xml:space="preserve"> </w:t>
        </w:r>
        <w:r w:rsidRPr="00683E1E">
          <w:rPr>
            <w:rStyle w:val="Hyperlink"/>
            <w:noProof/>
          </w:rPr>
          <w:t>–</w:t>
        </w:r>
        <w:r w:rsidRPr="00683E1E">
          <w:rPr>
            <w:rStyle w:val="Hyperlink"/>
            <w:noProof/>
            <w:spacing w:val="-3"/>
          </w:rPr>
          <w:t xml:space="preserve"> </w:t>
        </w:r>
        <w:r w:rsidRPr="00683E1E">
          <w:rPr>
            <w:rStyle w:val="Hyperlink"/>
            <w:noProof/>
          </w:rPr>
          <w:t>Buddina</w:t>
        </w:r>
        <w:r w:rsidRPr="00683E1E">
          <w:rPr>
            <w:rStyle w:val="Hyperlink"/>
            <w:noProof/>
            <w:spacing w:val="-3"/>
          </w:rPr>
          <w:t xml:space="preserve"> </w:t>
        </w:r>
        <w:r w:rsidRPr="00683E1E">
          <w:rPr>
            <w:rStyle w:val="Hyperlink"/>
            <w:noProof/>
          </w:rPr>
          <w:t>Beach</w:t>
        </w:r>
        <w:r w:rsidRPr="00683E1E">
          <w:rPr>
            <w:rStyle w:val="Hyperlink"/>
            <w:noProof/>
            <w:spacing w:val="-4"/>
          </w:rPr>
          <w:t xml:space="preserve"> </w:t>
        </w:r>
        <w:r w:rsidRPr="00683E1E">
          <w:rPr>
            <w:rStyle w:val="Hyperlink"/>
            <w:noProof/>
          </w:rPr>
          <w:t>Sand</w:t>
        </w:r>
        <w:r w:rsidRPr="00683E1E">
          <w:rPr>
            <w:rStyle w:val="Hyperlink"/>
            <w:noProof/>
            <w:spacing w:val="-4"/>
          </w:rPr>
          <w:t xml:space="preserve"> </w:t>
        </w:r>
        <w:r w:rsidRPr="00683E1E">
          <w:rPr>
            <w:rStyle w:val="Hyperlink"/>
            <w:noProof/>
          </w:rPr>
          <w:t>Trap</w:t>
        </w:r>
        <w:r w:rsidRPr="00683E1E">
          <w:rPr>
            <w:rStyle w:val="Hyperlink"/>
            <w:noProof/>
            <w:spacing w:val="-4"/>
          </w:rPr>
          <w:t xml:space="preserve"> </w:t>
        </w:r>
        <w:r w:rsidRPr="00683E1E">
          <w:rPr>
            <w:rStyle w:val="Hyperlink"/>
            <w:noProof/>
          </w:rPr>
          <w:t>utilising</w:t>
        </w:r>
        <w:r w:rsidRPr="00683E1E">
          <w:rPr>
            <w:rStyle w:val="Hyperlink"/>
            <w:noProof/>
            <w:spacing w:val="-4"/>
          </w:rPr>
          <w:t xml:space="preserve"> </w:t>
        </w:r>
        <w:r w:rsidRPr="00683E1E">
          <w:rPr>
            <w:rStyle w:val="Hyperlink"/>
            <w:noProof/>
          </w:rPr>
          <w:t>a</w:t>
        </w:r>
        <w:r w:rsidRPr="00683E1E">
          <w:rPr>
            <w:rStyle w:val="Hyperlink"/>
            <w:noProof/>
            <w:spacing w:val="-3"/>
          </w:rPr>
          <w:t xml:space="preserve"> </w:t>
        </w:r>
        <w:r w:rsidRPr="00683E1E">
          <w:rPr>
            <w:rStyle w:val="Hyperlink"/>
            <w:noProof/>
          </w:rPr>
          <w:t>pump</w:t>
        </w:r>
        <w:r w:rsidRPr="00683E1E">
          <w:rPr>
            <w:rStyle w:val="Hyperlink"/>
            <w:noProof/>
            <w:spacing w:val="-4"/>
          </w:rPr>
          <w:t xml:space="preserve"> </w:t>
        </w:r>
        <w:r w:rsidRPr="00683E1E">
          <w:rPr>
            <w:rStyle w:val="Hyperlink"/>
            <w:noProof/>
          </w:rPr>
          <w:t>system and pipeline across the entrance</w:t>
        </w:r>
        <w:r>
          <w:rPr>
            <w:noProof/>
            <w:webHidden/>
          </w:rPr>
          <w:tab/>
        </w:r>
        <w:r>
          <w:rPr>
            <w:noProof/>
            <w:webHidden/>
          </w:rPr>
          <w:fldChar w:fldCharType="begin"/>
        </w:r>
        <w:r>
          <w:rPr>
            <w:noProof/>
            <w:webHidden/>
          </w:rPr>
          <w:instrText xml:space="preserve"> PAGEREF _Toc216699384 \h </w:instrText>
        </w:r>
        <w:r>
          <w:rPr>
            <w:noProof/>
            <w:webHidden/>
          </w:rPr>
        </w:r>
        <w:r>
          <w:rPr>
            <w:noProof/>
            <w:webHidden/>
          </w:rPr>
          <w:fldChar w:fldCharType="separate"/>
        </w:r>
        <w:r>
          <w:rPr>
            <w:noProof/>
            <w:webHidden/>
          </w:rPr>
          <w:t>93</w:t>
        </w:r>
        <w:r>
          <w:rPr>
            <w:noProof/>
            <w:webHidden/>
          </w:rPr>
          <w:fldChar w:fldCharType="end"/>
        </w:r>
      </w:hyperlink>
    </w:p>
    <w:p w14:paraId="59183429" w14:textId="09F12B37"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85" w:history="1">
        <w:r w:rsidRPr="00683E1E">
          <w:rPr>
            <w:rStyle w:val="Hyperlink"/>
            <w:noProof/>
          </w:rPr>
          <w:t>13.4.1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Description</w:t>
        </w:r>
        <w:r w:rsidRPr="00683E1E">
          <w:rPr>
            <w:rStyle w:val="Hyperlink"/>
            <w:noProof/>
            <w:spacing w:val="-4"/>
          </w:rPr>
          <w:t xml:space="preserve"> </w:t>
        </w:r>
        <w:r w:rsidRPr="00683E1E">
          <w:rPr>
            <w:rStyle w:val="Hyperlink"/>
            <w:noProof/>
          </w:rPr>
          <w:t>of</w:t>
        </w:r>
        <w:r w:rsidRPr="00683E1E">
          <w:rPr>
            <w:rStyle w:val="Hyperlink"/>
            <w:noProof/>
            <w:spacing w:val="-4"/>
          </w:rPr>
          <w:t xml:space="preserve"> </w:t>
        </w:r>
        <w:r w:rsidRPr="00683E1E">
          <w:rPr>
            <w:rStyle w:val="Hyperlink"/>
            <w:noProof/>
          </w:rPr>
          <w:t>Option</w:t>
        </w:r>
        <w:r w:rsidRPr="00683E1E">
          <w:rPr>
            <w:rStyle w:val="Hyperlink"/>
            <w:noProof/>
            <w:spacing w:val="-4"/>
          </w:rPr>
          <w:t xml:space="preserve"> </w:t>
        </w:r>
        <w:r w:rsidRPr="00683E1E">
          <w:rPr>
            <w:rStyle w:val="Hyperlink"/>
            <w:noProof/>
            <w:spacing w:val="-5"/>
          </w:rPr>
          <w:t>1B</w:t>
        </w:r>
        <w:r>
          <w:rPr>
            <w:noProof/>
            <w:webHidden/>
          </w:rPr>
          <w:tab/>
        </w:r>
        <w:r>
          <w:rPr>
            <w:noProof/>
            <w:webHidden/>
          </w:rPr>
          <w:fldChar w:fldCharType="begin"/>
        </w:r>
        <w:r>
          <w:rPr>
            <w:noProof/>
            <w:webHidden/>
          </w:rPr>
          <w:instrText xml:space="preserve"> PAGEREF _Toc216699385 \h </w:instrText>
        </w:r>
        <w:r>
          <w:rPr>
            <w:noProof/>
            <w:webHidden/>
          </w:rPr>
        </w:r>
        <w:r>
          <w:rPr>
            <w:noProof/>
            <w:webHidden/>
          </w:rPr>
          <w:fldChar w:fldCharType="separate"/>
        </w:r>
        <w:r>
          <w:rPr>
            <w:noProof/>
            <w:webHidden/>
          </w:rPr>
          <w:t>93</w:t>
        </w:r>
        <w:r>
          <w:rPr>
            <w:noProof/>
            <w:webHidden/>
          </w:rPr>
          <w:fldChar w:fldCharType="end"/>
        </w:r>
      </w:hyperlink>
    </w:p>
    <w:p w14:paraId="1095E296" w14:textId="7BB6BFE6"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86" w:history="1">
        <w:r w:rsidRPr="00683E1E">
          <w:rPr>
            <w:rStyle w:val="Hyperlink"/>
            <w:noProof/>
          </w:rPr>
          <w:t>13.4.2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Design</w:t>
        </w:r>
        <w:r w:rsidRPr="00683E1E">
          <w:rPr>
            <w:rStyle w:val="Hyperlink"/>
            <w:noProof/>
            <w:spacing w:val="-3"/>
          </w:rPr>
          <w:t xml:space="preserve"> </w:t>
        </w:r>
        <w:r w:rsidRPr="00683E1E">
          <w:rPr>
            <w:rStyle w:val="Hyperlink"/>
            <w:noProof/>
          </w:rPr>
          <w:t>and</w:t>
        </w:r>
        <w:r w:rsidRPr="00683E1E">
          <w:rPr>
            <w:rStyle w:val="Hyperlink"/>
            <w:noProof/>
            <w:spacing w:val="-3"/>
          </w:rPr>
          <w:t xml:space="preserve"> </w:t>
        </w:r>
        <w:r w:rsidRPr="00683E1E">
          <w:rPr>
            <w:rStyle w:val="Hyperlink"/>
            <w:noProof/>
            <w:spacing w:val="-2"/>
          </w:rPr>
          <w:t>approvals</w:t>
        </w:r>
        <w:r>
          <w:rPr>
            <w:noProof/>
            <w:webHidden/>
          </w:rPr>
          <w:tab/>
        </w:r>
        <w:r>
          <w:rPr>
            <w:noProof/>
            <w:webHidden/>
          </w:rPr>
          <w:fldChar w:fldCharType="begin"/>
        </w:r>
        <w:r>
          <w:rPr>
            <w:noProof/>
            <w:webHidden/>
          </w:rPr>
          <w:instrText xml:space="preserve"> PAGEREF _Toc216699386 \h </w:instrText>
        </w:r>
        <w:r>
          <w:rPr>
            <w:noProof/>
            <w:webHidden/>
          </w:rPr>
        </w:r>
        <w:r>
          <w:rPr>
            <w:noProof/>
            <w:webHidden/>
          </w:rPr>
          <w:fldChar w:fldCharType="separate"/>
        </w:r>
        <w:r>
          <w:rPr>
            <w:noProof/>
            <w:webHidden/>
          </w:rPr>
          <w:t>95</w:t>
        </w:r>
        <w:r>
          <w:rPr>
            <w:noProof/>
            <w:webHidden/>
          </w:rPr>
          <w:fldChar w:fldCharType="end"/>
        </w:r>
      </w:hyperlink>
    </w:p>
    <w:p w14:paraId="6122583A" w14:textId="15C4D3E6"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87" w:history="1">
        <w:r w:rsidRPr="00683E1E">
          <w:rPr>
            <w:rStyle w:val="Hyperlink"/>
            <w:noProof/>
          </w:rPr>
          <w:t>13.4.3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Capital</w:t>
        </w:r>
        <w:r w:rsidRPr="00683E1E">
          <w:rPr>
            <w:rStyle w:val="Hyperlink"/>
            <w:noProof/>
            <w:spacing w:val="-4"/>
          </w:rPr>
          <w:t xml:space="preserve"> </w:t>
        </w:r>
        <w:r w:rsidRPr="00683E1E">
          <w:rPr>
            <w:rStyle w:val="Hyperlink"/>
            <w:noProof/>
            <w:spacing w:val="-2"/>
          </w:rPr>
          <w:t>works</w:t>
        </w:r>
        <w:r>
          <w:rPr>
            <w:noProof/>
            <w:webHidden/>
          </w:rPr>
          <w:tab/>
        </w:r>
        <w:r>
          <w:rPr>
            <w:noProof/>
            <w:webHidden/>
          </w:rPr>
          <w:fldChar w:fldCharType="begin"/>
        </w:r>
        <w:r>
          <w:rPr>
            <w:noProof/>
            <w:webHidden/>
          </w:rPr>
          <w:instrText xml:space="preserve"> PAGEREF _Toc216699387 \h </w:instrText>
        </w:r>
        <w:r>
          <w:rPr>
            <w:noProof/>
            <w:webHidden/>
          </w:rPr>
        </w:r>
        <w:r>
          <w:rPr>
            <w:noProof/>
            <w:webHidden/>
          </w:rPr>
          <w:fldChar w:fldCharType="separate"/>
        </w:r>
        <w:r>
          <w:rPr>
            <w:noProof/>
            <w:webHidden/>
          </w:rPr>
          <w:t>95</w:t>
        </w:r>
        <w:r>
          <w:rPr>
            <w:noProof/>
            <w:webHidden/>
          </w:rPr>
          <w:fldChar w:fldCharType="end"/>
        </w:r>
      </w:hyperlink>
    </w:p>
    <w:p w14:paraId="7D9F8AB3" w14:textId="513F1EEE"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88" w:history="1">
        <w:r w:rsidRPr="00683E1E">
          <w:rPr>
            <w:rStyle w:val="Hyperlink"/>
            <w:noProof/>
          </w:rPr>
          <w:t>13.4.4</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Operational</w:t>
        </w:r>
        <w:r w:rsidRPr="00683E1E">
          <w:rPr>
            <w:rStyle w:val="Hyperlink"/>
            <w:noProof/>
            <w:spacing w:val="-7"/>
          </w:rPr>
          <w:t xml:space="preserve"> </w:t>
        </w:r>
        <w:r w:rsidRPr="00683E1E">
          <w:rPr>
            <w:rStyle w:val="Hyperlink"/>
            <w:noProof/>
            <w:spacing w:val="-2"/>
          </w:rPr>
          <w:t>works</w:t>
        </w:r>
        <w:r>
          <w:rPr>
            <w:noProof/>
            <w:webHidden/>
          </w:rPr>
          <w:tab/>
        </w:r>
        <w:r>
          <w:rPr>
            <w:noProof/>
            <w:webHidden/>
          </w:rPr>
          <w:fldChar w:fldCharType="begin"/>
        </w:r>
        <w:r>
          <w:rPr>
            <w:noProof/>
            <w:webHidden/>
          </w:rPr>
          <w:instrText xml:space="preserve"> PAGEREF _Toc216699388 \h </w:instrText>
        </w:r>
        <w:r>
          <w:rPr>
            <w:noProof/>
            <w:webHidden/>
          </w:rPr>
        </w:r>
        <w:r>
          <w:rPr>
            <w:noProof/>
            <w:webHidden/>
          </w:rPr>
          <w:fldChar w:fldCharType="separate"/>
        </w:r>
        <w:r>
          <w:rPr>
            <w:noProof/>
            <w:webHidden/>
          </w:rPr>
          <w:t>96</w:t>
        </w:r>
        <w:r>
          <w:rPr>
            <w:noProof/>
            <w:webHidden/>
          </w:rPr>
          <w:fldChar w:fldCharType="end"/>
        </w:r>
      </w:hyperlink>
    </w:p>
    <w:p w14:paraId="6C98E8DD" w14:textId="74F67E4A"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89" w:history="1">
        <w:r w:rsidRPr="00683E1E">
          <w:rPr>
            <w:rStyle w:val="Hyperlink"/>
            <w:noProof/>
          </w:rPr>
          <w:t>13.4.5</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Coastal</w:t>
        </w:r>
        <w:r w:rsidRPr="00683E1E">
          <w:rPr>
            <w:rStyle w:val="Hyperlink"/>
            <w:noProof/>
            <w:spacing w:val="-5"/>
          </w:rPr>
          <w:t xml:space="preserve"> </w:t>
        </w:r>
        <w:r w:rsidRPr="00683E1E">
          <w:rPr>
            <w:rStyle w:val="Hyperlink"/>
            <w:noProof/>
          </w:rPr>
          <w:t>processes</w:t>
        </w:r>
        <w:r w:rsidRPr="00683E1E">
          <w:rPr>
            <w:rStyle w:val="Hyperlink"/>
            <w:noProof/>
            <w:spacing w:val="-5"/>
          </w:rPr>
          <w:t xml:space="preserve"> </w:t>
        </w:r>
        <w:r w:rsidRPr="00683E1E">
          <w:rPr>
            <w:rStyle w:val="Hyperlink"/>
            <w:noProof/>
            <w:spacing w:val="-2"/>
          </w:rPr>
          <w:t>considerations</w:t>
        </w:r>
        <w:r>
          <w:rPr>
            <w:noProof/>
            <w:webHidden/>
          </w:rPr>
          <w:tab/>
        </w:r>
        <w:r>
          <w:rPr>
            <w:noProof/>
            <w:webHidden/>
          </w:rPr>
          <w:fldChar w:fldCharType="begin"/>
        </w:r>
        <w:r>
          <w:rPr>
            <w:noProof/>
            <w:webHidden/>
          </w:rPr>
          <w:instrText xml:space="preserve"> PAGEREF _Toc216699389 \h </w:instrText>
        </w:r>
        <w:r>
          <w:rPr>
            <w:noProof/>
            <w:webHidden/>
          </w:rPr>
        </w:r>
        <w:r>
          <w:rPr>
            <w:noProof/>
            <w:webHidden/>
          </w:rPr>
          <w:fldChar w:fldCharType="separate"/>
        </w:r>
        <w:r>
          <w:rPr>
            <w:noProof/>
            <w:webHidden/>
          </w:rPr>
          <w:t>97</w:t>
        </w:r>
        <w:r>
          <w:rPr>
            <w:noProof/>
            <w:webHidden/>
          </w:rPr>
          <w:fldChar w:fldCharType="end"/>
        </w:r>
      </w:hyperlink>
    </w:p>
    <w:p w14:paraId="412A5F98" w14:textId="5611C609"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90" w:history="1">
        <w:r w:rsidRPr="00683E1E">
          <w:rPr>
            <w:rStyle w:val="Hyperlink"/>
            <w:noProof/>
          </w:rPr>
          <w:t>13.4.6</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Environmental</w:t>
        </w:r>
        <w:r w:rsidRPr="00683E1E">
          <w:rPr>
            <w:rStyle w:val="Hyperlink"/>
            <w:noProof/>
            <w:spacing w:val="-9"/>
          </w:rPr>
          <w:t xml:space="preserve"> </w:t>
        </w:r>
        <w:r w:rsidRPr="00683E1E">
          <w:rPr>
            <w:rStyle w:val="Hyperlink"/>
            <w:noProof/>
            <w:spacing w:val="-2"/>
          </w:rPr>
          <w:t>constraints</w:t>
        </w:r>
        <w:r>
          <w:rPr>
            <w:noProof/>
            <w:webHidden/>
          </w:rPr>
          <w:tab/>
        </w:r>
        <w:r>
          <w:rPr>
            <w:noProof/>
            <w:webHidden/>
          </w:rPr>
          <w:fldChar w:fldCharType="begin"/>
        </w:r>
        <w:r>
          <w:rPr>
            <w:noProof/>
            <w:webHidden/>
          </w:rPr>
          <w:instrText xml:space="preserve"> PAGEREF _Toc216699390 \h </w:instrText>
        </w:r>
        <w:r>
          <w:rPr>
            <w:noProof/>
            <w:webHidden/>
          </w:rPr>
        </w:r>
        <w:r>
          <w:rPr>
            <w:noProof/>
            <w:webHidden/>
          </w:rPr>
          <w:fldChar w:fldCharType="separate"/>
        </w:r>
        <w:r>
          <w:rPr>
            <w:noProof/>
            <w:webHidden/>
          </w:rPr>
          <w:t>98</w:t>
        </w:r>
        <w:r>
          <w:rPr>
            <w:noProof/>
            <w:webHidden/>
          </w:rPr>
          <w:fldChar w:fldCharType="end"/>
        </w:r>
      </w:hyperlink>
    </w:p>
    <w:p w14:paraId="11A2270F" w14:textId="78E255D9"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91" w:history="1">
        <w:r w:rsidRPr="00683E1E">
          <w:rPr>
            <w:rStyle w:val="Hyperlink"/>
            <w:noProof/>
          </w:rPr>
          <w:t>13.4.7</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Social</w:t>
        </w:r>
        <w:r w:rsidRPr="00683E1E">
          <w:rPr>
            <w:rStyle w:val="Hyperlink"/>
            <w:noProof/>
            <w:spacing w:val="-3"/>
          </w:rPr>
          <w:t xml:space="preserve"> </w:t>
        </w:r>
        <w:r w:rsidRPr="00683E1E">
          <w:rPr>
            <w:rStyle w:val="Hyperlink"/>
            <w:noProof/>
            <w:spacing w:val="-2"/>
          </w:rPr>
          <w:t>impacts</w:t>
        </w:r>
        <w:r>
          <w:rPr>
            <w:noProof/>
            <w:webHidden/>
          </w:rPr>
          <w:tab/>
        </w:r>
        <w:r>
          <w:rPr>
            <w:noProof/>
            <w:webHidden/>
          </w:rPr>
          <w:fldChar w:fldCharType="begin"/>
        </w:r>
        <w:r>
          <w:rPr>
            <w:noProof/>
            <w:webHidden/>
          </w:rPr>
          <w:instrText xml:space="preserve"> PAGEREF _Toc216699391 \h </w:instrText>
        </w:r>
        <w:r>
          <w:rPr>
            <w:noProof/>
            <w:webHidden/>
          </w:rPr>
        </w:r>
        <w:r>
          <w:rPr>
            <w:noProof/>
            <w:webHidden/>
          </w:rPr>
          <w:fldChar w:fldCharType="separate"/>
        </w:r>
        <w:r>
          <w:rPr>
            <w:noProof/>
            <w:webHidden/>
          </w:rPr>
          <w:t>105</w:t>
        </w:r>
        <w:r>
          <w:rPr>
            <w:noProof/>
            <w:webHidden/>
          </w:rPr>
          <w:fldChar w:fldCharType="end"/>
        </w:r>
      </w:hyperlink>
    </w:p>
    <w:p w14:paraId="14C11FF3" w14:textId="28F97976"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92" w:history="1">
        <w:r w:rsidRPr="00683E1E">
          <w:rPr>
            <w:rStyle w:val="Hyperlink"/>
            <w:noProof/>
          </w:rPr>
          <w:t>13.4.8</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Economic</w:t>
        </w:r>
        <w:r w:rsidRPr="00683E1E">
          <w:rPr>
            <w:rStyle w:val="Hyperlink"/>
            <w:noProof/>
            <w:spacing w:val="-4"/>
          </w:rPr>
          <w:t xml:space="preserve"> </w:t>
        </w:r>
        <w:r w:rsidRPr="00683E1E">
          <w:rPr>
            <w:rStyle w:val="Hyperlink"/>
            <w:noProof/>
            <w:spacing w:val="-2"/>
          </w:rPr>
          <w:t>impacts</w:t>
        </w:r>
        <w:r>
          <w:rPr>
            <w:noProof/>
            <w:webHidden/>
          </w:rPr>
          <w:tab/>
        </w:r>
        <w:r>
          <w:rPr>
            <w:noProof/>
            <w:webHidden/>
          </w:rPr>
          <w:fldChar w:fldCharType="begin"/>
        </w:r>
        <w:r>
          <w:rPr>
            <w:noProof/>
            <w:webHidden/>
          </w:rPr>
          <w:instrText xml:space="preserve"> PAGEREF _Toc216699392 \h </w:instrText>
        </w:r>
        <w:r>
          <w:rPr>
            <w:noProof/>
            <w:webHidden/>
          </w:rPr>
        </w:r>
        <w:r>
          <w:rPr>
            <w:noProof/>
            <w:webHidden/>
          </w:rPr>
          <w:fldChar w:fldCharType="separate"/>
        </w:r>
        <w:r>
          <w:rPr>
            <w:noProof/>
            <w:webHidden/>
          </w:rPr>
          <w:t>105</w:t>
        </w:r>
        <w:r>
          <w:rPr>
            <w:noProof/>
            <w:webHidden/>
          </w:rPr>
          <w:fldChar w:fldCharType="end"/>
        </w:r>
      </w:hyperlink>
    </w:p>
    <w:p w14:paraId="4FF37B47" w14:textId="1D59C94D"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93" w:history="1">
        <w:r w:rsidRPr="00683E1E">
          <w:rPr>
            <w:rStyle w:val="Hyperlink"/>
            <w:noProof/>
          </w:rPr>
          <w:t>13.4.9</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Future</w:t>
        </w:r>
        <w:r w:rsidRPr="00683E1E">
          <w:rPr>
            <w:rStyle w:val="Hyperlink"/>
            <w:noProof/>
            <w:spacing w:val="-3"/>
          </w:rPr>
          <w:t xml:space="preserve"> </w:t>
        </w:r>
        <w:r w:rsidRPr="00683E1E">
          <w:rPr>
            <w:rStyle w:val="Hyperlink"/>
            <w:noProof/>
          </w:rPr>
          <w:t>adaptability</w:t>
        </w:r>
        <w:r>
          <w:rPr>
            <w:noProof/>
            <w:webHidden/>
          </w:rPr>
          <w:tab/>
        </w:r>
        <w:r>
          <w:rPr>
            <w:noProof/>
            <w:webHidden/>
          </w:rPr>
          <w:fldChar w:fldCharType="begin"/>
        </w:r>
        <w:r>
          <w:rPr>
            <w:noProof/>
            <w:webHidden/>
          </w:rPr>
          <w:instrText xml:space="preserve"> PAGEREF _Toc216699393 \h </w:instrText>
        </w:r>
        <w:r>
          <w:rPr>
            <w:noProof/>
            <w:webHidden/>
          </w:rPr>
        </w:r>
        <w:r>
          <w:rPr>
            <w:noProof/>
            <w:webHidden/>
          </w:rPr>
          <w:fldChar w:fldCharType="separate"/>
        </w:r>
        <w:r>
          <w:rPr>
            <w:noProof/>
            <w:webHidden/>
          </w:rPr>
          <w:t>105</w:t>
        </w:r>
        <w:r>
          <w:rPr>
            <w:noProof/>
            <w:webHidden/>
          </w:rPr>
          <w:fldChar w:fldCharType="end"/>
        </w:r>
      </w:hyperlink>
    </w:p>
    <w:p w14:paraId="4ACD3001" w14:textId="59D510D1"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94" w:history="1">
        <w:r w:rsidRPr="00683E1E">
          <w:rPr>
            <w:rStyle w:val="Hyperlink"/>
            <w:noProof/>
          </w:rPr>
          <w:t>13.4.10</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Safety</w:t>
        </w:r>
        <w:r w:rsidRPr="00683E1E">
          <w:rPr>
            <w:rStyle w:val="Hyperlink"/>
            <w:noProof/>
            <w:spacing w:val="-5"/>
          </w:rPr>
          <w:t xml:space="preserve"> </w:t>
        </w:r>
        <w:r w:rsidRPr="00683E1E">
          <w:rPr>
            <w:rStyle w:val="Hyperlink"/>
            <w:noProof/>
          </w:rPr>
          <w:t>of</w:t>
        </w:r>
        <w:r w:rsidRPr="00683E1E">
          <w:rPr>
            <w:rStyle w:val="Hyperlink"/>
            <w:noProof/>
            <w:spacing w:val="-3"/>
          </w:rPr>
          <w:t xml:space="preserve"> </w:t>
        </w:r>
        <w:r w:rsidRPr="00683E1E">
          <w:rPr>
            <w:rStyle w:val="Hyperlink"/>
            <w:noProof/>
          </w:rPr>
          <w:t>Option</w:t>
        </w:r>
        <w:r w:rsidRPr="00683E1E">
          <w:rPr>
            <w:rStyle w:val="Hyperlink"/>
            <w:noProof/>
            <w:spacing w:val="-2"/>
          </w:rPr>
          <w:t xml:space="preserve"> </w:t>
        </w:r>
        <w:r w:rsidRPr="00683E1E">
          <w:rPr>
            <w:rStyle w:val="Hyperlink"/>
            <w:noProof/>
            <w:spacing w:val="-5"/>
          </w:rPr>
          <w:t>1B</w:t>
        </w:r>
        <w:r>
          <w:rPr>
            <w:noProof/>
            <w:webHidden/>
          </w:rPr>
          <w:tab/>
        </w:r>
        <w:r>
          <w:rPr>
            <w:noProof/>
            <w:webHidden/>
          </w:rPr>
          <w:fldChar w:fldCharType="begin"/>
        </w:r>
        <w:r>
          <w:rPr>
            <w:noProof/>
            <w:webHidden/>
          </w:rPr>
          <w:instrText xml:space="preserve"> PAGEREF _Toc216699394 \h </w:instrText>
        </w:r>
        <w:r>
          <w:rPr>
            <w:noProof/>
            <w:webHidden/>
          </w:rPr>
        </w:r>
        <w:r>
          <w:rPr>
            <w:noProof/>
            <w:webHidden/>
          </w:rPr>
          <w:fldChar w:fldCharType="separate"/>
        </w:r>
        <w:r>
          <w:rPr>
            <w:noProof/>
            <w:webHidden/>
          </w:rPr>
          <w:t>106</w:t>
        </w:r>
        <w:r>
          <w:rPr>
            <w:noProof/>
            <w:webHidden/>
          </w:rPr>
          <w:fldChar w:fldCharType="end"/>
        </w:r>
      </w:hyperlink>
    </w:p>
    <w:p w14:paraId="3CB76EB4" w14:textId="4EC83354"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95" w:history="1">
        <w:r w:rsidRPr="00683E1E">
          <w:rPr>
            <w:rStyle w:val="Hyperlink"/>
            <w:noProof/>
          </w:rPr>
          <w:t>13.4.11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Cost and</w:t>
        </w:r>
        <w:r w:rsidRPr="00683E1E">
          <w:rPr>
            <w:rStyle w:val="Hyperlink"/>
            <w:noProof/>
            <w:spacing w:val="-3"/>
          </w:rPr>
          <w:t xml:space="preserve"> </w:t>
        </w:r>
        <w:r w:rsidRPr="00683E1E">
          <w:rPr>
            <w:rStyle w:val="Hyperlink"/>
            <w:noProof/>
          </w:rPr>
          <w:t>feasibility</w:t>
        </w:r>
        <w:r>
          <w:rPr>
            <w:noProof/>
            <w:webHidden/>
          </w:rPr>
          <w:tab/>
        </w:r>
        <w:r>
          <w:rPr>
            <w:noProof/>
            <w:webHidden/>
          </w:rPr>
          <w:fldChar w:fldCharType="begin"/>
        </w:r>
        <w:r>
          <w:rPr>
            <w:noProof/>
            <w:webHidden/>
          </w:rPr>
          <w:instrText xml:space="preserve"> PAGEREF _Toc216699395 \h </w:instrText>
        </w:r>
        <w:r>
          <w:rPr>
            <w:noProof/>
            <w:webHidden/>
          </w:rPr>
        </w:r>
        <w:r>
          <w:rPr>
            <w:noProof/>
            <w:webHidden/>
          </w:rPr>
          <w:fldChar w:fldCharType="separate"/>
        </w:r>
        <w:r>
          <w:rPr>
            <w:noProof/>
            <w:webHidden/>
          </w:rPr>
          <w:t>106</w:t>
        </w:r>
        <w:r>
          <w:rPr>
            <w:noProof/>
            <w:webHidden/>
          </w:rPr>
          <w:fldChar w:fldCharType="end"/>
        </w:r>
      </w:hyperlink>
    </w:p>
    <w:p w14:paraId="641ECF26" w14:textId="7313AA18"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396" w:history="1">
        <w:r w:rsidRPr="00683E1E">
          <w:rPr>
            <w:rStyle w:val="Hyperlink"/>
            <w:noProof/>
          </w:rPr>
          <w:t>13.4.12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w:t>
        </w:r>
        <w:r w:rsidRPr="00683E1E">
          <w:rPr>
            <w:rStyle w:val="Hyperlink"/>
            <w:noProof/>
            <w:spacing w:val="-3"/>
          </w:rPr>
          <w:t xml:space="preserve"> </w:t>
        </w:r>
        <w:r w:rsidRPr="00683E1E">
          <w:rPr>
            <w:rStyle w:val="Hyperlink"/>
            <w:noProof/>
            <w:spacing w:val="-2"/>
          </w:rPr>
          <w:t>summary</w:t>
        </w:r>
        <w:r>
          <w:rPr>
            <w:noProof/>
            <w:webHidden/>
          </w:rPr>
          <w:tab/>
        </w:r>
        <w:r>
          <w:rPr>
            <w:noProof/>
            <w:webHidden/>
          </w:rPr>
          <w:fldChar w:fldCharType="begin"/>
        </w:r>
        <w:r>
          <w:rPr>
            <w:noProof/>
            <w:webHidden/>
          </w:rPr>
          <w:instrText xml:space="preserve"> PAGEREF _Toc216699396 \h </w:instrText>
        </w:r>
        <w:r>
          <w:rPr>
            <w:noProof/>
            <w:webHidden/>
          </w:rPr>
        </w:r>
        <w:r>
          <w:rPr>
            <w:noProof/>
            <w:webHidden/>
          </w:rPr>
          <w:fldChar w:fldCharType="separate"/>
        </w:r>
        <w:r>
          <w:rPr>
            <w:noProof/>
            <w:webHidden/>
          </w:rPr>
          <w:t>106</w:t>
        </w:r>
        <w:r>
          <w:rPr>
            <w:noProof/>
            <w:webHidden/>
          </w:rPr>
          <w:fldChar w:fldCharType="end"/>
        </w:r>
      </w:hyperlink>
    </w:p>
    <w:p w14:paraId="0CFDC3E4" w14:textId="1A2D3355"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397" w:history="1">
        <w:r w:rsidRPr="00683E1E">
          <w:rPr>
            <w:rStyle w:val="Hyperlink"/>
            <w:noProof/>
          </w:rPr>
          <w:t>13.5</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w:t>
        </w:r>
        <w:r w:rsidRPr="00683E1E">
          <w:rPr>
            <w:rStyle w:val="Hyperlink"/>
            <w:noProof/>
            <w:spacing w:val="-11"/>
          </w:rPr>
          <w:t xml:space="preserve"> </w:t>
        </w:r>
        <w:r w:rsidRPr="00683E1E">
          <w:rPr>
            <w:rStyle w:val="Hyperlink"/>
            <w:noProof/>
          </w:rPr>
          <w:t>1</w:t>
        </w:r>
        <w:r w:rsidRPr="00683E1E">
          <w:rPr>
            <w:rStyle w:val="Hyperlink"/>
            <w:noProof/>
            <w:spacing w:val="-10"/>
          </w:rPr>
          <w:t xml:space="preserve"> </w:t>
        </w:r>
        <w:r w:rsidRPr="00683E1E">
          <w:rPr>
            <w:rStyle w:val="Hyperlink"/>
            <w:noProof/>
          </w:rPr>
          <w:t>variations</w:t>
        </w:r>
        <w:r w:rsidRPr="00683E1E">
          <w:rPr>
            <w:rStyle w:val="Hyperlink"/>
            <w:noProof/>
            <w:spacing w:val="-9"/>
          </w:rPr>
          <w:t xml:space="preserve"> </w:t>
        </w:r>
        <w:r w:rsidRPr="00683E1E">
          <w:rPr>
            <w:rStyle w:val="Hyperlink"/>
            <w:noProof/>
            <w:spacing w:val="-2"/>
          </w:rPr>
          <w:t>comparison</w:t>
        </w:r>
        <w:r>
          <w:rPr>
            <w:noProof/>
            <w:webHidden/>
          </w:rPr>
          <w:tab/>
        </w:r>
        <w:r>
          <w:rPr>
            <w:noProof/>
            <w:webHidden/>
          </w:rPr>
          <w:fldChar w:fldCharType="begin"/>
        </w:r>
        <w:r>
          <w:rPr>
            <w:noProof/>
            <w:webHidden/>
          </w:rPr>
          <w:instrText xml:space="preserve"> PAGEREF _Toc216699397 \h </w:instrText>
        </w:r>
        <w:r>
          <w:rPr>
            <w:noProof/>
            <w:webHidden/>
          </w:rPr>
        </w:r>
        <w:r>
          <w:rPr>
            <w:noProof/>
            <w:webHidden/>
          </w:rPr>
          <w:fldChar w:fldCharType="separate"/>
        </w:r>
        <w:r>
          <w:rPr>
            <w:noProof/>
            <w:webHidden/>
          </w:rPr>
          <w:t>107</w:t>
        </w:r>
        <w:r>
          <w:rPr>
            <w:noProof/>
            <w:webHidden/>
          </w:rPr>
          <w:fldChar w:fldCharType="end"/>
        </w:r>
      </w:hyperlink>
    </w:p>
    <w:p w14:paraId="7E50C88F" w14:textId="3313901F"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398" w:history="1">
        <w:r w:rsidRPr="00683E1E">
          <w:rPr>
            <w:rStyle w:val="Hyperlink"/>
            <w:noProof/>
          </w:rPr>
          <w:t>13.6</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Multi-criteria</w:t>
        </w:r>
        <w:r w:rsidRPr="00683E1E">
          <w:rPr>
            <w:rStyle w:val="Hyperlink"/>
            <w:noProof/>
            <w:spacing w:val="-10"/>
          </w:rPr>
          <w:t xml:space="preserve"> </w:t>
        </w:r>
        <w:r w:rsidRPr="00683E1E">
          <w:rPr>
            <w:rStyle w:val="Hyperlink"/>
            <w:noProof/>
          </w:rPr>
          <w:t>analysis</w:t>
        </w:r>
        <w:r w:rsidRPr="00683E1E">
          <w:rPr>
            <w:rStyle w:val="Hyperlink"/>
            <w:noProof/>
            <w:spacing w:val="-9"/>
          </w:rPr>
          <w:t xml:space="preserve"> </w:t>
        </w:r>
        <w:r w:rsidRPr="00683E1E">
          <w:rPr>
            <w:rStyle w:val="Hyperlink"/>
            <w:noProof/>
          </w:rPr>
          <w:t>for</w:t>
        </w:r>
        <w:r w:rsidRPr="00683E1E">
          <w:rPr>
            <w:rStyle w:val="Hyperlink"/>
            <w:noProof/>
            <w:spacing w:val="-11"/>
          </w:rPr>
          <w:t xml:space="preserve"> </w:t>
        </w:r>
        <w:r w:rsidRPr="00683E1E">
          <w:rPr>
            <w:rStyle w:val="Hyperlink"/>
            <w:noProof/>
          </w:rPr>
          <w:t>Option</w:t>
        </w:r>
        <w:r w:rsidRPr="00683E1E">
          <w:rPr>
            <w:rStyle w:val="Hyperlink"/>
            <w:noProof/>
            <w:spacing w:val="-10"/>
          </w:rPr>
          <w:t xml:space="preserve"> </w:t>
        </w:r>
        <w:r w:rsidRPr="00683E1E">
          <w:rPr>
            <w:rStyle w:val="Hyperlink"/>
            <w:noProof/>
          </w:rPr>
          <w:t>1A</w:t>
        </w:r>
        <w:r w:rsidRPr="00683E1E">
          <w:rPr>
            <w:rStyle w:val="Hyperlink"/>
            <w:noProof/>
            <w:spacing w:val="-10"/>
          </w:rPr>
          <w:t xml:space="preserve"> </w:t>
        </w:r>
        <w:r w:rsidRPr="00683E1E">
          <w:rPr>
            <w:rStyle w:val="Hyperlink"/>
            <w:noProof/>
          </w:rPr>
          <w:t>&amp;</w:t>
        </w:r>
        <w:r w:rsidRPr="00683E1E">
          <w:rPr>
            <w:rStyle w:val="Hyperlink"/>
            <w:noProof/>
            <w:spacing w:val="-10"/>
          </w:rPr>
          <w:t xml:space="preserve"> </w:t>
        </w:r>
        <w:r w:rsidRPr="00683E1E">
          <w:rPr>
            <w:rStyle w:val="Hyperlink"/>
            <w:noProof/>
            <w:spacing w:val="-5"/>
          </w:rPr>
          <w:t>1B</w:t>
        </w:r>
        <w:r>
          <w:rPr>
            <w:noProof/>
            <w:webHidden/>
          </w:rPr>
          <w:tab/>
        </w:r>
        <w:r>
          <w:rPr>
            <w:noProof/>
            <w:webHidden/>
          </w:rPr>
          <w:fldChar w:fldCharType="begin"/>
        </w:r>
        <w:r>
          <w:rPr>
            <w:noProof/>
            <w:webHidden/>
          </w:rPr>
          <w:instrText xml:space="preserve"> PAGEREF _Toc216699398 \h </w:instrText>
        </w:r>
        <w:r>
          <w:rPr>
            <w:noProof/>
            <w:webHidden/>
          </w:rPr>
        </w:r>
        <w:r>
          <w:rPr>
            <w:noProof/>
            <w:webHidden/>
          </w:rPr>
          <w:fldChar w:fldCharType="separate"/>
        </w:r>
        <w:r>
          <w:rPr>
            <w:noProof/>
            <w:webHidden/>
          </w:rPr>
          <w:t>109</w:t>
        </w:r>
        <w:r>
          <w:rPr>
            <w:noProof/>
            <w:webHidden/>
          </w:rPr>
          <w:fldChar w:fldCharType="end"/>
        </w:r>
      </w:hyperlink>
    </w:p>
    <w:p w14:paraId="7C2B01C5" w14:textId="00FB37C6" w:rsidR="00B91EB8" w:rsidRDefault="00B91EB8">
      <w:pPr>
        <w:pStyle w:val="TOC1"/>
        <w:rPr>
          <w:rFonts w:asciiTheme="minorHAnsi" w:eastAsiaTheme="minorEastAsia" w:hAnsiTheme="minorHAnsi" w:cstheme="minorBidi"/>
          <w:b w:val="0"/>
          <w:caps w:val="0"/>
          <w:noProof/>
          <w:color w:val="auto"/>
          <w:kern w:val="2"/>
          <w:sz w:val="24"/>
          <w:szCs w:val="24"/>
          <w:lang w:eastAsia="en-AU"/>
          <w14:ligatures w14:val="standardContextual"/>
        </w:rPr>
      </w:pPr>
      <w:hyperlink w:anchor="_Toc216699399" w:history="1">
        <w:r w:rsidRPr="00683E1E">
          <w:rPr>
            <w:rStyle w:val="Hyperlink"/>
            <w:noProof/>
          </w:rPr>
          <w:t>14</w:t>
        </w:r>
        <w:r>
          <w:rPr>
            <w:rFonts w:asciiTheme="minorHAnsi" w:eastAsiaTheme="minorEastAsia" w:hAnsiTheme="minorHAnsi" w:cstheme="minorBidi"/>
            <w:b w:val="0"/>
            <w:caps w:val="0"/>
            <w:noProof/>
            <w:color w:val="auto"/>
            <w:kern w:val="2"/>
            <w:sz w:val="24"/>
            <w:szCs w:val="24"/>
            <w:lang w:eastAsia="en-AU"/>
            <w14:ligatures w14:val="standardContextual"/>
          </w:rPr>
          <w:tab/>
        </w:r>
        <w:r w:rsidRPr="00683E1E">
          <w:rPr>
            <w:rStyle w:val="Hyperlink"/>
            <w:noProof/>
          </w:rPr>
          <w:t>OPTION</w:t>
        </w:r>
        <w:r w:rsidRPr="00683E1E">
          <w:rPr>
            <w:rStyle w:val="Hyperlink"/>
            <w:noProof/>
            <w:spacing w:val="-7"/>
          </w:rPr>
          <w:t xml:space="preserve"> </w:t>
        </w:r>
        <w:r w:rsidRPr="00683E1E">
          <w:rPr>
            <w:rStyle w:val="Hyperlink"/>
            <w:noProof/>
          </w:rPr>
          <w:t>2</w:t>
        </w:r>
        <w:r w:rsidRPr="00683E1E">
          <w:rPr>
            <w:rStyle w:val="Hyperlink"/>
            <w:noProof/>
            <w:spacing w:val="-5"/>
          </w:rPr>
          <w:t xml:space="preserve"> </w:t>
        </w:r>
        <w:r w:rsidRPr="00683E1E">
          <w:rPr>
            <w:rStyle w:val="Hyperlink"/>
            <w:noProof/>
          </w:rPr>
          <w:t>–</w:t>
        </w:r>
        <w:r w:rsidRPr="00683E1E">
          <w:rPr>
            <w:rStyle w:val="Hyperlink"/>
            <w:noProof/>
            <w:spacing w:val="-5"/>
          </w:rPr>
          <w:t xml:space="preserve"> </w:t>
        </w:r>
        <w:r w:rsidRPr="00683E1E">
          <w:rPr>
            <w:rStyle w:val="Hyperlink"/>
            <w:noProof/>
          </w:rPr>
          <w:t>INCREASED</w:t>
        </w:r>
        <w:r w:rsidRPr="00683E1E">
          <w:rPr>
            <w:rStyle w:val="Hyperlink"/>
            <w:noProof/>
            <w:spacing w:val="-5"/>
          </w:rPr>
          <w:t xml:space="preserve"> </w:t>
        </w:r>
        <w:r w:rsidRPr="00683E1E">
          <w:rPr>
            <w:rStyle w:val="Hyperlink"/>
            <w:noProof/>
          </w:rPr>
          <w:t>DREDGE</w:t>
        </w:r>
        <w:r w:rsidRPr="00683E1E">
          <w:rPr>
            <w:rStyle w:val="Hyperlink"/>
            <w:noProof/>
            <w:spacing w:val="-6"/>
          </w:rPr>
          <w:t xml:space="preserve"> </w:t>
        </w:r>
        <w:r w:rsidRPr="00683E1E">
          <w:rPr>
            <w:rStyle w:val="Hyperlink"/>
            <w:noProof/>
          </w:rPr>
          <w:t>CHANNEL</w:t>
        </w:r>
        <w:r w:rsidRPr="00683E1E">
          <w:rPr>
            <w:rStyle w:val="Hyperlink"/>
            <w:noProof/>
            <w:spacing w:val="-6"/>
          </w:rPr>
          <w:t xml:space="preserve"> </w:t>
        </w:r>
        <w:r w:rsidRPr="00683E1E">
          <w:rPr>
            <w:rStyle w:val="Hyperlink"/>
            <w:noProof/>
          </w:rPr>
          <w:t>DEPTH WITH ROCK EXCAVATION</w:t>
        </w:r>
        <w:r>
          <w:rPr>
            <w:noProof/>
            <w:webHidden/>
          </w:rPr>
          <w:tab/>
        </w:r>
        <w:r>
          <w:rPr>
            <w:noProof/>
            <w:webHidden/>
          </w:rPr>
          <w:fldChar w:fldCharType="begin"/>
        </w:r>
        <w:r>
          <w:rPr>
            <w:noProof/>
            <w:webHidden/>
          </w:rPr>
          <w:instrText xml:space="preserve"> PAGEREF _Toc216699399 \h </w:instrText>
        </w:r>
        <w:r>
          <w:rPr>
            <w:noProof/>
            <w:webHidden/>
          </w:rPr>
        </w:r>
        <w:r>
          <w:rPr>
            <w:noProof/>
            <w:webHidden/>
          </w:rPr>
          <w:fldChar w:fldCharType="separate"/>
        </w:r>
        <w:r>
          <w:rPr>
            <w:noProof/>
            <w:webHidden/>
          </w:rPr>
          <w:t>112</w:t>
        </w:r>
        <w:r>
          <w:rPr>
            <w:noProof/>
            <w:webHidden/>
          </w:rPr>
          <w:fldChar w:fldCharType="end"/>
        </w:r>
      </w:hyperlink>
    </w:p>
    <w:p w14:paraId="18EFCB18" w14:textId="08ECFF89"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00" w:history="1">
        <w:r w:rsidRPr="00683E1E">
          <w:rPr>
            <w:rStyle w:val="Hyperlink"/>
            <w:noProof/>
          </w:rPr>
          <w:t>14.1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w:t>
        </w:r>
        <w:r w:rsidRPr="00683E1E">
          <w:rPr>
            <w:rStyle w:val="Hyperlink"/>
            <w:noProof/>
            <w:spacing w:val="-13"/>
          </w:rPr>
          <w:t xml:space="preserve"> </w:t>
        </w:r>
        <w:r w:rsidRPr="00683E1E">
          <w:rPr>
            <w:rStyle w:val="Hyperlink"/>
            <w:noProof/>
          </w:rPr>
          <w:t>description</w:t>
        </w:r>
        <w:r>
          <w:rPr>
            <w:noProof/>
            <w:webHidden/>
          </w:rPr>
          <w:tab/>
        </w:r>
        <w:r>
          <w:rPr>
            <w:noProof/>
            <w:webHidden/>
          </w:rPr>
          <w:fldChar w:fldCharType="begin"/>
        </w:r>
        <w:r>
          <w:rPr>
            <w:noProof/>
            <w:webHidden/>
          </w:rPr>
          <w:instrText xml:space="preserve"> PAGEREF _Toc216699400 \h </w:instrText>
        </w:r>
        <w:r>
          <w:rPr>
            <w:noProof/>
            <w:webHidden/>
          </w:rPr>
        </w:r>
        <w:r>
          <w:rPr>
            <w:noProof/>
            <w:webHidden/>
          </w:rPr>
          <w:fldChar w:fldCharType="separate"/>
        </w:r>
        <w:r>
          <w:rPr>
            <w:noProof/>
            <w:webHidden/>
          </w:rPr>
          <w:t>112</w:t>
        </w:r>
        <w:r>
          <w:rPr>
            <w:noProof/>
            <w:webHidden/>
          </w:rPr>
          <w:fldChar w:fldCharType="end"/>
        </w:r>
      </w:hyperlink>
    </w:p>
    <w:p w14:paraId="424F1A2E" w14:textId="22305251"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01" w:history="1">
        <w:r w:rsidRPr="00683E1E">
          <w:rPr>
            <w:rStyle w:val="Hyperlink"/>
            <w:noProof/>
          </w:rPr>
          <w:t>14.1.1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How</w:t>
        </w:r>
        <w:r w:rsidRPr="00683E1E">
          <w:rPr>
            <w:rStyle w:val="Hyperlink"/>
            <w:noProof/>
            <w:spacing w:val="-2"/>
          </w:rPr>
          <w:t xml:space="preserve"> </w:t>
        </w:r>
        <w:r w:rsidRPr="00683E1E">
          <w:rPr>
            <w:rStyle w:val="Hyperlink"/>
            <w:noProof/>
          </w:rPr>
          <w:t>does</w:t>
        </w:r>
        <w:r w:rsidRPr="00683E1E">
          <w:rPr>
            <w:rStyle w:val="Hyperlink"/>
            <w:noProof/>
            <w:spacing w:val="-3"/>
          </w:rPr>
          <w:t xml:space="preserve"> </w:t>
        </w:r>
        <w:r w:rsidRPr="00683E1E">
          <w:rPr>
            <w:rStyle w:val="Hyperlink"/>
            <w:noProof/>
          </w:rPr>
          <w:t>it</w:t>
        </w:r>
        <w:r w:rsidRPr="00683E1E">
          <w:rPr>
            <w:rStyle w:val="Hyperlink"/>
            <w:noProof/>
            <w:spacing w:val="-3"/>
          </w:rPr>
          <w:t xml:space="preserve"> </w:t>
        </w:r>
        <w:r w:rsidRPr="00683E1E">
          <w:rPr>
            <w:rStyle w:val="Hyperlink"/>
            <w:noProof/>
          </w:rPr>
          <w:t>work</w:t>
        </w:r>
        <w:r w:rsidRPr="00683E1E">
          <w:rPr>
            <w:rStyle w:val="Hyperlink"/>
            <w:noProof/>
            <w:spacing w:val="-1"/>
          </w:rPr>
          <w:t xml:space="preserve"> </w:t>
        </w:r>
        <w:r w:rsidRPr="00683E1E">
          <w:rPr>
            <w:rStyle w:val="Hyperlink"/>
            <w:noProof/>
          </w:rPr>
          <w:t>to</w:t>
        </w:r>
        <w:r w:rsidRPr="00683E1E">
          <w:rPr>
            <w:rStyle w:val="Hyperlink"/>
            <w:noProof/>
            <w:spacing w:val="-3"/>
          </w:rPr>
          <w:t xml:space="preserve"> </w:t>
        </w:r>
        <w:r w:rsidRPr="00683E1E">
          <w:rPr>
            <w:rStyle w:val="Hyperlink"/>
            <w:noProof/>
          </w:rPr>
          <w:t>address</w:t>
        </w:r>
        <w:r w:rsidRPr="00683E1E">
          <w:rPr>
            <w:rStyle w:val="Hyperlink"/>
            <w:noProof/>
            <w:spacing w:val="-2"/>
          </w:rPr>
          <w:t xml:space="preserve"> shoaling?</w:t>
        </w:r>
        <w:r>
          <w:rPr>
            <w:noProof/>
            <w:webHidden/>
          </w:rPr>
          <w:tab/>
        </w:r>
        <w:r>
          <w:rPr>
            <w:noProof/>
            <w:webHidden/>
          </w:rPr>
          <w:fldChar w:fldCharType="begin"/>
        </w:r>
        <w:r>
          <w:rPr>
            <w:noProof/>
            <w:webHidden/>
          </w:rPr>
          <w:instrText xml:space="preserve"> PAGEREF _Toc216699401 \h </w:instrText>
        </w:r>
        <w:r>
          <w:rPr>
            <w:noProof/>
            <w:webHidden/>
          </w:rPr>
        </w:r>
        <w:r>
          <w:rPr>
            <w:noProof/>
            <w:webHidden/>
          </w:rPr>
          <w:fldChar w:fldCharType="separate"/>
        </w:r>
        <w:r>
          <w:rPr>
            <w:noProof/>
            <w:webHidden/>
          </w:rPr>
          <w:t>112</w:t>
        </w:r>
        <w:r>
          <w:rPr>
            <w:noProof/>
            <w:webHidden/>
          </w:rPr>
          <w:fldChar w:fldCharType="end"/>
        </w:r>
      </w:hyperlink>
    </w:p>
    <w:p w14:paraId="6FAC34F8" w14:textId="5864ADB5"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02" w:history="1">
        <w:r w:rsidRPr="00683E1E">
          <w:rPr>
            <w:rStyle w:val="Hyperlink"/>
            <w:noProof/>
          </w:rPr>
          <w:t>14.1.2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What</w:t>
        </w:r>
        <w:r w:rsidRPr="00683E1E">
          <w:rPr>
            <w:rStyle w:val="Hyperlink"/>
            <w:noProof/>
            <w:spacing w:val="-3"/>
          </w:rPr>
          <w:t xml:space="preserve"> </w:t>
        </w:r>
        <w:r w:rsidRPr="00683E1E">
          <w:rPr>
            <w:rStyle w:val="Hyperlink"/>
            <w:noProof/>
          </w:rPr>
          <w:t>does</w:t>
        </w:r>
        <w:r w:rsidRPr="00683E1E">
          <w:rPr>
            <w:rStyle w:val="Hyperlink"/>
            <w:noProof/>
            <w:spacing w:val="-2"/>
          </w:rPr>
          <w:t xml:space="preserve"> </w:t>
        </w:r>
        <w:r w:rsidRPr="00683E1E">
          <w:rPr>
            <w:rStyle w:val="Hyperlink"/>
            <w:noProof/>
          </w:rPr>
          <w:t>this</w:t>
        </w:r>
        <w:r w:rsidRPr="00683E1E">
          <w:rPr>
            <w:rStyle w:val="Hyperlink"/>
            <w:noProof/>
            <w:spacing w:val="-3"/>
          </w:rPr>
          <w:t xml:space="preserve"> </w:t>
        </w:r>
        <w:r w:rsidRPr="00683E1E">
          <w:rPr>
            <w:rStyle w:val="Hyperlink"/>
            <w:noProof/>
          </w:rPr>
          <w:t>option</w:t>
        </w:r>
        <w:r w:rsidRPr="00683E1E">
          <w:rPr>
            <w:rStyle w:val="Hyperlink"/>
            <w:noProof/>
            <w:spacing w:val="-2"/>
          </w:rPr>
          <w:t xml:space="preserve"> involve?</w:t>
        </w:r>
        <w:r>
          <w:rPr>
            <w:noProof/>
            <w:webHidden/>
          </w:rPr>
          <w:tab/>
        </w:r>
        <w:r>
          <w:rPr>
            <w:noProof/>
            <w:webHidden/>
          </w:rPr>
          <w:fldChar w:fldCharType="begin"/>
        </w:r>
        <w:r>
          <w:rPr>
            <w:noProof/>
            <w:webHidden/>
          </w:rPr>
          <w:instrText xml:space="preserve"> PAGEREF _Toc216699402 \h </w:instrText>
        </w:r>
        <w:r>
          <w:rPr>
            <w:noProof/>
            <w:webHidden/>
          </w:rPr>
        </w:r>
        <w:r>
          <w:rPr>
            <w:noProof/>
            <w:webHidden/>
          </w:rPr>
          <w:fldChar w:fldCharType="separate"/>
        </w:r>
        <w:r>
          <w:rPr>
            <w:noProof/>
            <w:webHidden/>
          </w:rPr>
          <w:t>112</w:t>
        </w:r>
        <w:r>
          <w:rPr>
            <w:noProof/>
            <w:webHidden/>
          </w:rPr>
          <w:fldChar w:fldCharType="end"/>
        </w:r>
      </w:hyperlink>
    </w:p>
    <w:p w14:paraId="3C78FB44" w14:textId="347DED3D"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03" w:history="1">
        <w:r w:rsidRPr="00683E1E">
          <w:rPr>
            <w:rStyle w:val="Hyperlink"/>
            <w:noProof/>
          </w:rPr>
          <w:t>14.1.3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Impacts</w:t>
        </w:r>
        <w:r w:rsidRPr="00683E1E">
          <w:rPr>
            <w:rStyle w:val="Hyperlink"/>
            <w:noProof/>
            <w:spacing w:val="-4"/>
          </w:rPr>
          <w:t xml:space="preserve"> </w:t>
        </w:r>
        <w:r w:rsidRPr="00683E1E">
          <w:rPr>
            <w:rStyle w:val="Hyperlink"/>
            <w:noProof/>
          </w:rPr>
          <w:t>on</w:t>
        </w:r>
        <w:r w:rsidRPr="00683E1E">
          <w:rPr>
            <w:rStyle w:val="Hyperlink"/>
            <w:noProof/>
            <w:spacing w:val="-3"/>
          </w:rPr>
          <w:t xml:space="preserve"> </w:t>
        </w:r>
        <w:r w:rsidRPr="00683E1E">
          <w:rPr>
            <w:rStyle w:val="Hyperlink"/>
            <w:noProof/>
          </w:rPr>
          <w:t>coastal</w:t>
        </w:r>
        <w:r w:rsidRPr="00683E1E">
          <w:rPr>
            <w:rStyle w:val="Hyperlink"/>
            <w:noProof/>
            <w:spacing w:val="-4"/>
          </w:rPr>
          <w:t xml:space="preserve"> </w:t>
        </w:r>
        <w:r w:rsidRPr="00683E1E">
          <w:rPr>
            <w:rStyle w:val="Hyperlink"/>
            <w:noProof/>
            <w:spacing w:val="-2"/>
          </w:rPr>
          <w:t>processes</w:t>
        </w:r>
        <w:r>
          <w:rPr>
            <w:noProof/>
            <w:webHidden/>
          </w:rPr>
          <w:tab/>
        </w:r>
        <w:r>
          <w:rPr>
            <w:noProof/>
            <w:webHidden/>
          </w:rPr>
          <w:fldChar w:fldCharType="begin"/>
        </w:r>
        <w:r>
          <w:rPr>
            <w:noProof/>
            <w:webHidden/>
          </w:rPr>
          <w:instrText xml:space="preserve"> PAGEREF _Toc216699403 \h </w:instrText>
        </w:r>
        <w:r>
          <w:rPr>
            <w:noProof/>
            <w:webHidden/>
          </w:rPr>
        </w:r>
        <w:r>
          <w:rPr>
            <w:noProof/>
            <w:webHidden/>
          </w:rPr>
          <w:fldChar w:fldCharType="separate"/>
        </w:r>
        <w:r>
          <w:rPr>
            <w:noProof/>
            <w:webHidden/>
          </w:rPr>
          <w:t>113</w:t>
        </w:r>
        <w:r>
          <w:rPr>
            <w:noProof/>
            <w:webHidden/>
          </w:rPr>
          <w:fldChar w:fldCharType="end"/>
        </w:r>
      </w:hyperlink>
    </w:p>
    <w:p w14:paraId="084C2C35" w14:textId="352F0859"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04" w:history="1">
        <w:r w:rsidRPr="00683E1E">
          <w:rPr>
            <w:rStyle w:val="Hyperlink"/>
            <w:noProof/>
          </w:rPr>
          <w:t>14.2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Effectiveness</w:t>
        </w:r>
        <w:r w:rsidRPr="00683E1E">
          <w:rPr>
            <w:rStyle w:val="Hyperlink"/>
            <w:noProof/>
            <w:spacing w:val="-12"/>
          </w:rPr>
          <w:t xml:space="preserve"> </w:t>
        </w:r>
        <w:r w:rsidRPr="00683E1E">
          <w:rPr>
            <w:rStyle w:val="Hyperlink"/>
            <w:noProof/>
          </w:rPr>
          <w:t>of</w:t>
        </w:r>
        <w:r w:rsidRPr="00683E1E">
          <w:rPr>
            <w:rStyle w:val="Hyperlink"/>
            <w:noProof/>
            <w:spacing w:val="-12"/>
          </w:rPr>
          <w:t xml:space="preserve"> </w:t>
        </w:r>
        <w:r w:rsidRPr="00683E1E">
          <w:rPr>
            <w:rStyle w:val="Hyperlink"/>
            <w:noProof/>
          </w:rPr>
          <w:t>Option</w:t>
        </w:r>
        <w:r w:rsidRPr="00683E1E">
          <w:rPr>
            <w:rStyle w:val="Hyperlink"/>
            <w:noProof/>
            <w:spacing w:val="-13"/>
          </w:rPr>
          <w:t xml:space="preserve"> </w:t>
        </w:r>
        <w:r w:rsidRPr="00683E1E">
          <w:rPr>
            <w:rStyle w:val="Hyperlink"/>
            <w:noProof/>
            <w:spacing w:val="-10"/>
          </w:rPr>
          <w:t>2</w:t>
        </w:r>
        <w:r>
          <w:rPr>
            <w:noProof/>
            <w:webHidden/>
          </w:rPr>
          <w:tab/>
        </w:r>
        <w:r>
          <w:rPr>
            <w:noProof/>
            <w:webHidden/>
          </w:rPr>
          <w:fldChar w:fldCharType="begin"/>
        </w:r>
        <w:r>
          <w:rPr>
            <w:noProof/>
            <w:webHidden/>
          </w:rPr>
          <w:instrText xml:space="preserve"> PAGEREF _Toc216699404 \h </w:instrText>
        </w:r>
        <w:r>
          <w:rPr>
            <w:noProof/>
            <w:webHidden/>
          </w:rPr>
        </w:r>
        <w:r>
          <w:rPr>
            <w:noProof/>
            <w:webHidden/>
          </w:rPr>
          <w:fldChar w:fldCharType="separate"/>
        </w:r>
        <w:r>
          <w:rPr>
            <w:noProof/>
            <w:webHidden/>
          </w:rPr>
          <w:t>114</w:t>
        </w:r>
        <w:r>
          <w:rPr>
            <w:noProof/>
            <w:webHidden/>
          </w:rPr>
          <w:fldChar w:fldCharType="end"/>
        </w:r>
      </w:hyperlink>
    </w:p>
    <w:p w14:paraId="6D48B22F" w14:textId="4969A335"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05" w:history="1">
        <w:r w:rsidRPr="00683E1E">
          <w:rPr>
            <w:rStyle w:val="Hyperlink"/>
            <w:noProof/>
          </w:rPr>
          <w:t>14.3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Variations</w:t>
        </w:r>
        <w:r w:rsidRPr="00683E1E">
          <w:rPr>
            <w:rStyle w:val="Hyperlink"/>
            <w:noProof/>
            <w:spacing w:val="-11"/>
          </w:rPr>
          <w:t xml:space="preserve"> </w:t>
        </w:r>
        <w:r w:rsidRPr="00683E1E">
          <w:rPr>
            <w:rStyle w:val="Hyperlink"/>
            <w:noProof/>
          </w:rPr>
          <w:t>of</w:t>
        </w:r>
        <w:r w:rsidRPr="00683E1E">
          <w:rPr>
            <w:rStyle w:val="Hyperlink"/>
            <w:noProof/>
            <w:spacing w:val="-11"/>
          </w:rPr>
          <w:t xml:space="preserve"> </w:t>
        </w:r>
        <w:r w:rsidRPr="00683E1E">
          <w:rPr>
            <w:rStyle w:val="Hyperlink"/>
            <w:noProof/>
          </w:rPr>
          <w:t>Option</w:t>
        </w:r>
        <w:r w:rsidRPr="00683E1E">
          <w:rPr>
            <w:rStyle w:val="Hyperlink"/>
            <w:noProof/>
            <w:spacing w:val="-12"/>
          </w:rPr>
          <w:t xml:space="preserve"> </w:t>
        </w:r>
        <w:r w:rsidRPr="00683E1E">
          <w:rPr>
            <w:rStyle w:val="Hyperlink"/>
            <w:noProof/>
            <w:spacing w:val="-10"/>
          </w:rPr>
          <w:t>2</w:t>
        </w:r>
        <w:r>
          <w:rPr>
            <w:noProof/>
            <w:webHidden/>
          </w:rPr>
          <w:tab/>
        </w:r>
        <w:r>
          <w:rPr>
            <w:noProof/>
            <w:webHidden/>
          </w:rPr>
          <w:fldChar w:fldCharType="begin"/>
        </w:r>
        <w:r>
          <w:rPr>
            <w:noProof/>
            <w:webHidden/>
          </w:rPr>
          <w:instrText xml:space="preserve"> PAGEREF _Toc216699405 \h </w:instrText>
        </w:r>
        <w:r>
          <w:rPr>
            <w:noProof/>
            <w:webHidden/>
          </w:rPr>
        </w:r>
        <w:r>
          <w:rPr>
            <w:noProof/>
            <w:webHidden/>
          </w:rPr>
          <w:fldChar w:fldCharType="separate"/>
        </w:r>
        <w:r>
          <w:rPr>
            <w:noProof/>
            <w:webHidden/>
          </w:rPr>
          <w:t>114</w:t>
        </w:r>
        <w:r>
          <w:rPr>
            <w:noProof/>
            <w:webHidden/>
          </w:rPr>
          <w:fldChar w:fldCharType="end"/>
        </w:r>
      </w:hyperlink>
    </w:p>
    <w:p w14:paraId="18E8B97A" w14:textId="47A05207"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06" w:history="1">
        <w:r w:rsidRPr="00683E1E">
          <w:rPr>
            <w:rStyle w:val="Hyperlink"/>
            <w:noProof/>
          </w:rPr>
          <w:t>14.4</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w:t>
        </w:r>
        <w:r w:rsidRPr="00683E1E">
          <w:rPr>
            <w:rStyle w:val="Hyperlink"/>
            <w:noProof/>
            <w:spacing w:val="-9"/>
          </w:rPr>
          <w:t xml:space="preserve"> </w:t>
        </w:r>
        <w:r w:rsidRPr="00683E1E">
          <w:rPr>
            <w:rStyle w:val="Hyperlink"/>
            <w:noProof/>
          </w:rPr>
          <w:t>2A</w:t>
        </w:r>
        <w:r w:rsidRPr="00683E1E">
          <w:rPr>
            <w:rStyle w:val="Hyperlink"/>
            <w:noProof/>
            <w:spacing w:val="-9"/>
          </w:rPr>
          <w:t xml:space="preserve"> </w:t>
        </w:r>
        <w:r w:rsidRPr="00683E1E">
          <w:rPr>
            <w:rStyle w:val="Hyperlink"/>
            <w:noProof/>
          </w:rPr>
          <w:t>–</w:t>
        </w:r>
        <w:r w:rsidRPr="00683E1E">
          <w:rPr>
            <w:rStyle w:val="Hyperlink"/>
            <w:noProof/>
            <w:spacing w:val="-8"/>
          </w:rPr>
          <w:t xml:space="preserve"> </w:t>
        </w:r>
        <w:r w:rsidRPr="00683E1E">
          <w:rPr>
            <w:rStyle w:val="Hyperlink"/>
            <w:noProof/>
          </w:rPr>
          <w:t>Excavated</w:t>
        </w:r>
        <w:r w:rsidRPr="00683E1E">
          <w:rPr>
            <w:rStyle w:val="Hyperlink"/>
            <w:noProof/>
            <w:spacing w:val="-9"/>
          </w:rPr>
          <w:t xml:space="preserve"> </w:t>
        </w:r>
        <w:r w:rsidRPr="00683E1E">
          <w:rPr>
            <w:rStyle w:val="Hyperlink"/>
            <w:noProof/>
          </w:rPr>
          <w:t>sand</w:t>
        </w:r>
        <w:r w:rsidRPr="00683E1E">
          <w:rPr>
            <w:rStyle w:val="Hyperlink"/>
            <w:noProof/>
            <w:spacing w:val="-9"/>
          </w:rPr>
          <w:t xml:space="preserve"> </w:t>
        </w:r>
        <w:r w:rsidRPr="00683E1E">
          <w:rPr>
            <w:rStyle w:val="Hyperlink"/>
            <w:noProof/>
          </w:rPr>
          <w:t>trap</w:t>
        </w:r>
        <w:r w:rsidRPr="00683E1E">
          <w:rPr>
            <w:rStyle w:val="Hyperlink"/>
            <w:noProof/>
            <w:spacing w:val="-9"/>
          </w:rPr>
          <w:t xml:space="preserve"> </w:t>
        </w:r>
        <w:r w:rsidRPr="00683E1E">
          <w:rPr>
            <w:rStyle w:val="Hyperlink"/>
            <w:noProof/>
          </w:rPr>
          <w:t>with</w:t>
        </w:r>
        <w:r w:rsidRPr="00683E1E">
          <w:rPr>
            <w:rStyle w:val="Hyperlink"/>
            <w:noProof/>
            <w:spacing w:val="-9"/>
          </w:rPr>
          <w:t xml:space="preserve"> </w:t>
        </w:r>
        <w:r w:rsidRPr="00683E1E">
          <w:rPr>
            <w:rStyle w:val="Hyperlink"/>
            <w:noProof/>
          </w:rPr>
          <w:t>existing</w:t>
        </w:r>
        <w:r w:rsidRPr="00683E1E">
          <w:rPr>
            <w:rStyle w:val="Hyperlink"/>
            <w:noProof/>
            <w:spacing w:val="-8"/>
          </w:rPr>
          <w:t xml:space="preserve"> </w:t>
        </w:r>
        <w:r w:rsidRPr="00683E1E">
          <w:rPr>
            <w:rStyle w:val="Hyperlink"/>
            <w:noProof/>
          </w:rPr>
          <w:t>CSD</w:t>
        </w:r>
        <w:r w:rsidRPr="00683E1E">
          <w:rPr>
            <w:rStyle w:val="Hyperlink"/>
            <w:noProof/>
            <w:spacing w:val="-7"/>
          </w:rPr>
          <w:t xml:space="preserve"> </w:t>
        </w:r>
        <w:r w:rsidRPr="00683E1E">
          <w:rPr>
            <w:rStyle w:val="Hyperlink"/>
            <w:noProof/>
            <w:spacing w:val="-2"/>
          </w:rPr>
          <w:t>operations</w:t>
        </w:r>
        <w:r>
          <w:rPr>
            <w:noProof/>
            <w:webHidden/>
          </w:rPr>
          <w:tab/>
        </w:r>
        <w:r>
          <w:rPr>
            <w:noProof/>
            <w:webHidden/>
          </w:rPr>
          <w:fldChar w:fldCharType="begin"/>
        </w:r>
        <w:r>
          <w:rPr>
            <w:noProof/>
            <w:webHidden/>
          </w:rPr>
          <w:instrText xml:space="preserve"> PAGEREF _Toc216699406 \h </w:instrText>
        </w:r>
        <w:r>
          <w:rPr>
            <w:noProof/>
            <w:webHidden/>
          </w:rPr>
        </w:r>
        <w:r>
          <w:rPr>
            <w:noProof/>
            <w:webHidden/>
          </w:rPr>
          <w:fldChar w:fldCharType="separate"/>
        </w:r>
        <w:r>
          <w:rPr>
            <w:noProof/>
            <w:webHidden/>
          </w:rPr>
          <w:t>115</w:t>
        </w:r>
        <w:r>
          <w:rPr>
            <w:noProof/>
            <w:webHidden/>
          </w:rPr>
          <w:fldChar w:fldCharType="end"/>
        </w:r>
      </w:hyperlink>
    </w:p>
    <w:p w14:paraId="33202F4C" w14:textId="452F82DD"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07" w:history="1">
        <w:r w:rsidRPr="00683E1E">
          <w:rPr>
            <w:rStyle w:val="Hyperlink"/>
            <w:noProof/>
          </w:rPr>
          <w:t>14.4.1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Design</w:t>
        </w:r>
        <w:r w:rsidRPr="00683E1E">
          <w:rPr>
            <w:rStyle w:val="Hyperlink"/>
            <w:noProof/>
            <w:spacing w:val="-3"/>
          </w:rPr>
          <w:t xml:space="preserve"> </w:t>
        </w:r>
        <w:r w:rsidRPr="00683E1E">
          <w:rPr>
            <w:rStyle w:val="Hyperlink"/>
            <w:noProof/>
          </w:rPr>
          <w:t>and</w:t>
        </w:r>
        <w:r w:rsidRPr="00683E1E">
          <w:rPr>
            <w:rStyle w:val="Hyperlink"/>
            <w:noProof/>
            <w:spacing w:val="-2"/>
          </w:rPr>
          <w:t xml:space="preserve"> approvals</w:t>
        </w:r>
        <w:r>
          <w:rPr>
            <w:noProof/>
            <w:webHidden/>
          </w:rPr>
          <w:tab/>
        </w:r>
        <w:r>
          <w:rPr>
            <w:noProof/>
            <w:webHidden/>
          </w:rPr>
          <w:fldChar w:fldCharType="begin"/>
        </w:r>
        <w:r>
          <w:rPr>
            <w:noProof/>
            <w:webHidden/>
          </w:rPr>
          <w:instrText xml:space="preserve"> PAGEREF _Toc216699407 \h </w:instrText>
        </w:r>
        <w:r>
          <w:rPr>
            <w:noProof/>
            <w:webHidden/>
          </w:rPr>
        </w:r>
        <w:r>
          <w:rPr>
            <w:noProof/>
            <w:webHidden/>
          </w:rPr>
          <w:fldChar w:fldCharType="separate"/>
        </w:r>
        <w:r>
          <w:rPr>
            <w:noProof/>
            <w:webHidden/>
          </w:rPr>
          <w:t>116</w:t>
        </w:r>
        <w:r>
          <w:rPr>
            <w:noProof/>
            <w:webHidden/>
          </w:rPr>
          <w:fldChar w:fldCharType="end"/>
        </w:r>
      </w:hyperlink>
    </w:p>
    <w:p w14:paraId="74C3565D" w14:textId="2E9161AE"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08" w:history="1">
        <w:r w:rsidRPr="00683E1E">
          <w:rPr>
            <w:rStyle w:val="Hyperlink"/>
            <w:noProof/>
          </w:rPr>
          <w:t>14.4.2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Capital</w:t>
        </w:r>
        <w:r w:rsidRPr="00683E1E">
          <w:rPr>
            <w:rStyle w:val="Hyperlink"/>
            <w:noProof/>
            <w:spacing w:val="-4"/>
          </w:rPr>
          <w:t xml:space="preserve"> </w:t>
        </w:r>
        <w:r w:rsidRPr="00683E1E">
          <w:rPr>
            <w:rStyle w:val="Hyperlink"/>
            <w:noProof/>
            <w:spacing w:val="-2"/>
          </w:rPr>
          <w:t>works</w:t>
        </w:r>
        <w:r>
          <w:rPr>
            <w:noProof/>
            <w:webHidden/>
          </w:rPr>
          <w:tab/>
        </w:r>
        <w:r>
          <w:rPr>
            <w:noProof/>
            <w:webHidden/>
          </w:rPr>
          <w:fldChar w:fldCharType="begin"/>
        </w:r>
        <w:r>
          <w:rPr>
            <w:noProof/>
            <w:webHidden/>
          </w:rPr>
          <w:instrText xml:space="preserve"> PAGEREF _Toc216699408 \h </w:instrText>
        </w:r>
        <w:r>
          <w:rPr>
            <w:noProof/>
            <w:webHidden/>
          </w:rPr>
        </w:r>
        <w:r>
          <w:rPr>
            <w:noProof/>
            <w:webHidden/>
          </w:rPr>
          <w:fldChar w:fldCharType="separate"/>
        </w:r>
        <w:r>
          <w:rPr>
            <w:noProof/>
            <w:webHidden/>
          </w:rPr>
          <w:t>116</w:t>
        </w:r>
        <w:r>
          <w:rPr>
            <w:noProof/>
            <w:webHidden/>
          </w:rPr>
          <w:fldChar w:fldCharType="end"/>
        </w:r>
      </w:hyperlink>
    </w:p>
    <w:p w14:paraId="04D5333D" w14:textId="02934CDD"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09" w:history="1">
        <w:r w:rsidRPr="00683E1E">
          <w:rPr>
            <w:rStyle w:val="Hyperlink"/>
            <w:noProof/>
          </w:rPr>
          <w:t>14.4.3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Operational</w:t>
        </w:r>
        <w:r w:rsidRPr="00683E1E">
          <w:rPr>
            <w:rStyle w:val="Hyperlink"/>
            <w:noProof/>
            <w:spacing w:val="-7"/>
          </w:rPr>
          <w:t xml:space="preserve"> </w:t>
        </w:r>
        <w:r w:rsidRPr="00683E1E">
          <w:rPr>
            <w:rStyle w:val="Hyperlink"/>
            <w:noProof/>
            <w:spacing w:val="-2"/>
          </w:rPr>
          <w:t>works</w:t>
        </w:r>
        <w:r>
          <w:rPr>
            <w:noProof/>
            <w:webHidden/>
          </w:rPr>
          <w:tab/>
        </w:r>
        <w:r>
          <w:rPr>
            <w:noProof/>
            <w:webHidden/>
          </w:rPr>
          <w:fldChar w:fldCharType="begin"/>
        </w:r>
        <w:r>
          <w:rPr>
            <w:noProof/>
            <w:webHidden/>
          </w:rPr>
          <w:instrText xml:space="preserve"> PAGEREF _Toc216699409 \h </w:instrText>
        </w:r>
        <w:r>
          <w:rPr>
            <w:noProof/>
            <w:webHidden/>
          </w:rPr>
        </w:r>
        <w:r>
          <w:rPr>
            <w:noProof/>
            <w:webHidden/>
          </w:rPr>
          <w:fldChar w:fldCharType="separate"/>
        </w:r>
        <w:r>
          <w:rPr>
            <w:noProof/>
            <w:webHidden/>
          </w:rPr>
          <w:t>116</w:t>
        </w:r>
        <w:r>
          <w:rPr>
            <w:noProof/>
            <w:webHidden/>
          </w:rPr>
          <w:fldChar w:fldCharType="end"/>
        </w:r>
      </w:hyperlink>
    </w:p>
    <w:p w14:paraId="021B4B9C" w14:textId="42A88BB8"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10" w:history="1">
        <w:r w:rsidRPr="00683E1E">
          <w:rPr>
            <w:rStyle w:val="Hyperlink"/>
            <w:noProof/>
          </w:rPr>
          <w:t>14.4.4</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Environmental</w:t>
        </w:r>
        <w:r w:rsidRPr="00683E1E">
          <w:rPr>
            <w:rStyle w:val="Hyperlink"/>
            <w:noProof/>
            <w:spacing w:val="-9"/>
          </w:rPr>
          <w:t xml:space="preserve"> </w:t>
        </w:r>
        <w:r w:rsidRPr="00683E1E">
          <w:rPr>
            <w:rStyle w:val="Hyperlink"/>
            <w:noProof/>
            <w:spacing w:val="-2"/>
          </w:rPr>
          <w:t>constraints</w:t>
        </w:r>
        <w:r>
          <w:rPr>
            <w:noProof/>
            <w:webHidden/>
          </w:rPr>
          <w:tab/>
        </w:r>
        <w:r>
          <w:rPr>
            <w:noProof/>
            <w:webHidden/>
          </w:rPr>
          <w:fldChar w:fldCharType="begin"/>
        </w:r>
        <w:r>
          <w:rPr>
            <w:noProof/>
            <w:webHidden/>
          </w:rPr>
          <w:instrText xml:space="preserve"> PAGEREF _Toc216699410 \h </w:instrText>
        </w:r>
        <w:r>
          <w:rPr>
            <w:noProof/>
            <w:webHidden/>
          </w:rPr>
        </w:r>
        <w:r>
          <w:rPr>
            <w:noProof/>
            <w:webHidden/>
          </w:rPr>
          <w:fldChar w:fldCharType="separate"/>
        </w:r>
        <w:r>
          <w:rPr>
            <w:noProof/>
            <w:webHidden/>
          </w:rPr>
          <w:t>118</w:t>
        </w:r>
        <w:r>
          <w:rPr>
            <w:noProof/>
            <w:webHidden/>
          </w:rPr>
          <w:fldChar w:fldCharType="end"/>
        </w:r>
      </w:hyperlink>
    </w:p>
    <w:p w14:paraId="6C3045BC" w14:textId="71CCD603"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11" w:history="1">
        <w:r w:rsidRPr="00683E1E">
          <w:rPr>
            <w:rStyle w:val="Hyperlink"/>
            <w:noProof/>
          </w:rPr>
          <w:t>14.4.5</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Social</w:t>
        </w:r>
        <w:r w:rsidRPr="00683E1E">
          <w:rPr>
            <w:rStyle w:val="Hyperlink"/>
            <w:noProof/>
            <w:spacing w:val="-3"/>
          </w:rPr>
          <w:t xml:space="preserve"> </w:t>
        </w:r>
        <w:r w:rsidRPr="00683E1E">
          <w:rPr>
            <w:rStyle w:val="Hyperlink"/>
            <w:noProof/>
            <w:spacing w:val="-2"/>
          </w:rPr>
          <w:t>impacts</w:t>
        </w:r>
        <w:r>
          <w:rPr>
            <w:noProof/>
            <w:webHidden/>
          </w:rPr>
          <w:tab/>
        </w:r>
        <w:r>
          <w:rPr>
            <w:noProof/>
            <w:webHidden/>
          </w:rPr>
          <w:fldChar w:fldCharType="begin"/>
        </w:r>
        <w:r>
          <w:rPr>
            <w:noProof/>
            <w:webHidden/>
          </w:rPr>
          <w:instrText xml:space="preserve"> PAGEREF _Toc216699411 \h </w:instrText>
        </w:r>
        <w:r>
          <w:rPr>
            <w:noProof/>
            <w:webHidden/>
          </w:rPr>
        </w:r>
        <w:r>
          <w:rPr>
            <w:noProof/>
            <w:webHidden/>
          </w:rPr>
          <w:fldChar w:fldCharType="separate"/>
        </w:r>
        <w:r>
          <w:rPr>
            <w:noProof/>
            <w:webHidden/>
          </w:rPr>
          <w:t>125</w:t>
        </w:r>
        <w:r>
          <w:rPr>
            <w:noProof/>
            <w:webHidden/>
          </w:rPr>
          <w:fldChar w:fldCharType="end"/>
        </w:r>
      </w:hyperlink>
    </w:p>
    <w:p w14:paraId="12F021A2" w14:textId="2A830BB8"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12" w:history="1">
        <w:r w:rsidRPr="00683E1E">
          <w:rPr>
            <w:rStyle w:val="Hyperlink"/>
            <w:noProof/>
          </w:rPr>
          <w:t>14.4.6</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Economic</w:t>
        </w:r>
        <w:r w:rsidRPr="00683E1E">
          <w:rPr>
            <w:rStyle w:val="Hyperlink"/>
            <w:noProof/>
            <w:spacing w:val="-4"/>
          </w:rPr>
          <w:t xml:space="preserve"> </w:t>
        </w:r>
        <w:r w:rsidRPr="00683E1E">
          <w:rPr>
            <w:rStyle w:val="Hyperlink"/>
            <w:noProof/>
            <w:spacing w:val="-2"/>
          </w:rPr>
          <w:t>impacts</w:t>
        </w:r>
        <w:r>
          <w:rPr>
            <w:noProof/>
            <w:webHidden/>
          </w:rPr>
          <w:tab/>
        </w:r>
        <w:r>
          <w:rPr>
            <w:noProof/>
            <w:webHidden/>
          </w:rPr>
          <w:fldChar w:fldCharType="begin"/>
        </w:r>
        <w:r>
          <w:rPr>
            <w:noProof/>
            <w:webHidden/>
          </w:rPr>
          <w:instrText xml:space="preserve"> PAGEREF _Toc216699412 \h </w:instrText>
        </w:r>
        <w:r>
          <w:rPr>
            <w:noProof/>
            <w:webHidden/>
          </w:rPr>
        </w:r>
        <w:r>
          <w:rPr>
            <w:noProof/>
            <w:webHidden/>
          </w:rPr>
          <w:fldChar w:fldCharType="separate"/>
        </w:r>
        <w:r>
          <w:rPr>
            <w:noProof/>
            <w:webHidden/>
          </w:rPr>
          <w:t>125</w:t>
        </w:r>
        <w:r>
          <w:rPr>
            <w:noProof/>
            <w:webHidden/>
          </w:rPr>
          <w:fldChar w:fldCharType="end"/>
        </w:r>
      </w:hyperlink>
    </w:p>
    <w:p w14:paraId="2146F049" w14:textId="4A23B550"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13" w:history="1">
        <w:r w:rsidRPr="00683E1E">
          <w:rPr>
            <w:rStyle w:val="Hyperlink"/>
            <w:noProof/>
          </w:rPr>
          <w:t>14.4.7</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Future</w:t>
        </w:r>
        <w:r w:rsidRPr="00683E1E">
          <w:rPr>
            <w:rStyle w:val="Hyperlink"/>
            <w:noProof/>
            <w:spacing w:val="-5"/>
          </w:rPr>
          <w:t xml:space="preserve"> </w:t>
        </w:r>
        <w:r w:rsidRPr="00683E1E">
          <w:rPr>
            <w:rStyle w:val="Hyperlink"/>
            <w:noProof/>
          </w:rPr>
          <w:t>adaption</w:t>
        </w:r>
        <w:r>
          <w:rPr>
            <w:noProof/>
            <w:webHidden/>
          </w:rPr>
          <w:tab/>
        </w:r>
        <w:r>
          <w:rPr>
            <w:noProof/>
            <w:webHidden/>
          </w:rPr>
          <w:fldChar w:fldCharType="begin"/>
        </w:r>
        <w:r>
          <w:rPr>
            <w:noProof/>
            <w:webHidden/>
          </w:rPr>
          <w:instrText xml:space="preserve"> PAGEREF _Toc216699413 \h </w:instrText>
        </w:r>
        <w:r>
          <w:rPr>
            <w:noProof/>
            <w:webHidden/>
          </w:rPr>
        </w:r>
        <w:r>
          <w:rPr>
            <w:noProof/>
            <w:webHidden/>
          </w:rPr>
          <w:fldChar w:fldCharType="separate"/>
        </w:r>
        <w:r>
          <w:rPr>
            <w:noProof/>
            <w:webHidden/>
          </w:rPr>
          <w:t>125</w:t>
        </w:r>
        <w:r>
          <w:rPr>
            <w:noProof/>
            <w:webHidden/>
          </w:rPr>
          <w:fldChar w:fldCharType="end"/>
        </w:r>
      </w:hyperlink>
    </w:p>
    <w:p w14:paraId="397CEF58" w14:textId="3F41C8E2"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14" w:history="1">
        <w:r w:rsidRPr="00683E1E">
          <w:rPr>
            <w:rStyle w:val="Hyperlink"/>
            <w:noProof/>
          </w:rPr>
          <w:t>14.4.8</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Safety</w:t>
        </w:r>
        <w:r w:rsidRPr="00683E1E">
          <w:rPr>
            <w:rStyle w:val="Hyperlink"/>
            <w:noProof/>
            <w:spacing w:val="-5"/>
          </w:rPr>
          <w:t xml:space="preserve"> </w:t>
        </w:r>
        <w:r w:rsidRPr="00683E1E">
          <w:rPr>
            <w:rStyle w:val="Hyperlink"/>
            <w:noProof/>
          </w:rPr>
          <w:t>of</w:t>
        </w:r>
        <w:r w:rsidRPr="00683E1E">
          <w:rPr>
            <w:rStyle w:val="Hyperlink"/>
            <w:noProof/>
            <w:spacing w:val="-3"/>
          </w:rPr>
          <w:t xml:space="preserve"> </w:t>
        </w:r>
        <w:r w:rsidRPr="00683E1E">
          <w:rPr>
            <w:rStyle w:val="Hyperlink"/>
            <w:noProof/>
          </w:rPr>
          <w:t>Option</w:t>
        </w:r>
        <w:r w:rsidRPr="00683E1E">
          <w:rPr>
            <w:rStyle w:val="Hyperlink"/>
            <w:noProof/>
            <w:spacing w:val="-2"/>
          </w:rPr>
          <w:t xml:space="preserve"> </w:t>
        </w:r>
        <w:r w:rsidRPr="00683E1E">
          <w:rPr>
            <w:rStyle w:val="Hyperlink"/>
            <w:noProof/>
            <w:spacing w:val="-5"/>
          </w:rPr>
          <w:t>2A</w:t>
        </w:r>
        <w:r>
          <w:rPr>
            <w:noProof/>
            <w:webHidden/>
          </w:rPr>
          <w:tab/>
        </w:r>
        <w:r>
          <w:rPr>
            <w:noProof/>
            <w:webHidden/>
          </w:rPr>
          <w:fldChar w:fldCharType="begin"/>
        </w:r>
        <w:r>
          <w:rPr>
            <w:noProof/>
            <w:webHidden/>
          </w:rPr>
          <w:instrText xml:space="preserve"> PAGEREF _Toc216699414 \h </w:instrText>
        </w:r>
        <w:r>
          <w:rPr>
            <w:noProof/>
            <w:webHidden/>
          </w:rPr>
        </w:r>
        <w:r>
          <w:rPr>
            <w:noProof/>
            <w:webHidden/>
          </w:rPr>
          <w:fldChar w:fldCharType="separate"/>
        </w:r>
        <w:r>
          <w:rPr>
            <w:noProof/>
            <w:webHidden/>
          </w:rPr>
          <w:t>126</w:t>
        </w:r>
        <w:r>
          <w:rPr>
            <w:noProof/>
            <w:webHidden/>
          </w:rPr>
          <w:fldChar w:fldCharType="end"/>
        </w:r>
      </w:hyperlink>
    </w:p>
    <w:p w14:paraId="08F6E01C" w14:textId="5E118D2D"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15" w:history="1">
        <w:r w:rsidRPr="00683E1E">
          <w:rPr>
            <w:rStyle w:val="Hyperlink"/>
            <w:noProof/>
          </w:rPr>
          <w:t>14.4.9</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Cost</w:t>
        </w:r>
        <w:r>
          <w:rPr>
            <w:noProof/>
            <w:webHidden/>
          </w:rPr>
          <w:tab/>
        </w:r>
        <w:r>
          <w:rPr>
            <w:noProof/>
            <w:webHidden/>
          </w:rPr>
          <w:fldChar w:fldCharType="begin"/>
        </w:r>
        <w:r>
          <w:rPr>
            <w:noProof/>
            <w:webHidden/>
          </w:rPr>
          <w:instrText xml:space="preserve"> PAGEREF _Toc216699415 \h </w:instrText>
        </w:r>
        <w:r>
          <w:rPr>
            <w:noProof/>
            <w:webHidden/>
          </w:rPr>
        </w:r>
        <w:r>
          <w:rPr>
            <w:noProof/>
            <w:webHidden/>
          </w:rPr>
          <w:fldChar w:fldCharType="separate"/>
        </w:r>
        <w:r>
          <w:rPr>
            <w:noProof/>
            <w:webHidden/>
          </w:rPr>
          <w:t>126</w:t>
        </w:r>
        <w:r>
          <w:rPr>
            <w:noProof/>
            <w:webHidden/>
          </w:rPr>
          <w:fldChar w:fldCharType="end"/>
        </w:r>
      </w:hyperlink>
    </w:p>
    <w:p w14:paraId="02003D2F" w14:textId="623A9B37"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16" w:history="1">
        <w:r w:rsidRPr="00683E1E">
          <w:rPr>
            <w:rStyle w:val="Hyperlink"/>
            <w:noProof/>
          </w:rPr>
          <w:t>14.5</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w:t>
        </w:r>
        <w:r w:rsidRPr="00683E1E">
          <w:rPr>
            <w:rStyle w:val="Hyperlink"/>
            <w:noProof/>
            <w:spacing w:val="-9"/>
          </w:rPr>
          <w:t xml:space="preserve"> </w:t>
        </w:r>
        <w:r w:rsidRPr="00683E1E">
          <w:rPr>
            <w:rStyle w:val="Hyperlink"/>
            <w:noProof/>
          </w:rPr>
          <w:t>2B</w:t>
        </w:r>
        <w:r w:rsidRPr="00683E1E">
          <w:rPr>
            <w:rStyle w:val="Hyperlink"/>
            <w:noProof/>
            <w:spacing w:val="-9"/>
          </w:rPr>
          <w:t xml:space="preserve"> </w:t>
        </w:r>
        <w:r w:rsidRPr="00683E1E">
          <w:rPr>
            <w:rStyle w:val="Hyperlink"/>
            <w:noProof/>
          </w:rPr>
          <w:t>–</w:t>
        </w:r>
        <w:r w:rsidRPr="00683E1E">
          <w:rPr>
            <w:rStyle w:val="Hyperlink"/>
            <w:noProof/>
            <w:spacing w:val="-7"/>
          </w:rPr>
          <w:t xml:space="preserve"> </w:t>
        </w:r>
        <w:r w:rsidRPr="00683E1E">
          <w:rPr>
            <w:rStyle w:val="Hyperlink"/>
            <w:noProof/>
          </w:rPr>
          <w:t>Excavated</w:t>
        </w:r>
        <w:r w:rsidRPr="00683E1E">
          <w:rPr>
            <w:rStyle w:val="Hyperlink"/>
            <w:noProof/>
            <w:spacing w:val="-9"/>
          </w:rPr>
          <w:t xml:space="preserve"> </w:t>
        </w:r>
        <w:r w:rsidRPr="00683E1E">
          <w:rPr>
            <w:rStyle w:val="Hyperlink"/>
            <w:noProof/>
          </w:rPr>
          <w:t>sand</w:t>
        </w:r>
        <w:r w:rsidRPr="00683E1E">
          <w:rPr>
            <w:rStyle w:val="Hyperlink"/>
            <w:noProof/>
            <w:spacing w:val="-8"/>
          </w:rPr>
          <w:t xml:space="preserve"> </w:t>
        </w:r>
        <w:r w:rsidRPr="00683E1E">
          <w:rPr>
            <w:rStyle w:val="Hyperlink"/>
            <w:noProof/>
          </w:rPr>
          <w:t>trap</w:t>
        </w:r>
        <w:r w:rsidRPr="00683E1E">
          <w:rPr>
            <w:rStyle w:val="Hyperlink"/>
            <w:noProof/>
            <w:spacing w:val="-10"/>
          </w:rPr>
          <w:t xml:space="preserve"> </w:t>
        </w:r>
        <w:r w:rsidRPr="00683E1E">
          <w:rPr>
            <w:rStyle w:val="Hyperlink"/>
            <w:noProof/>
          </w:rPr>
          <w:t>with</w:t>
        </w:r>
        <w:r w:rsidRPr="00683E1E">
          <w:rPr>
            <w:rStyle w:val="Hyperlink"/>
            <w:noProof/>
            <w:spacing w:val="-8"/>
          </w:rPr>
          <w:t xml:space="preserve"> </w:t>
        </w:r>
        <w:r w:rsidRPr="00683E1E">
          <w:rPr>
            <w:rStyle w:val="Hyperlink"/>
            <w:noProof/>
          </w:rPr>
          <w:t>TSHD</w:t>
        </w:r>
        <w:r w:rsidRPr="00683E1E">
          <w:rPr>
            <w:rStyle w:val="Hyperlink"/>
            <w:noProof/>
            <w:spacing w:val="-9"/>
          </w:rPr>
          <w:t xml:space="preserve"> </w:t>
        </w:r>
        <w:r w:rsidRPr="00683E1E">
          <w:rPr>
            <w:rStyle w:val="Hyperlink"/>
            <w:noProof/>
            <w:spacing w:val="-2"/>
          </w:rPr>
          <w:t>campaigns</w:t>
        </w:r>
        <w:r>
          <w:rPr>
            <w:noProof/>
            <w:webHidden/>
          </w:rPr>
          <w:tab/>
        </w:r>
        <w:r>
          <w:rPr>
            <w:noProof/>
            <w:webHidden/>
          </w:rPr>
          <w:fldChar w:fldCharType="begin"/>
        </w:r>
        <w:r>
          <w:rPr>
            <w:noProof/>
            <w:webHidden/>
          </w:rPr>
          <w:instrText xml:space="preserve"> PAGEREF _Toc216699416 \h </w:instrText>
        </w:r>
        <w:r>
          <w:rPr>
            <w:noProof/>
            <w:webHidden/>
          </w:rPr>
        </w:r>
        <w:r>
          <w:rPr>
            <w:noProof/>
            <w:webHidden/>
          </w:rPr>
          <w:fldChar w:fldCharType="separate"/>
        </w:r>
        <w:r>
          <w:rPr>
            <w:noProof/>
            <w:webHidden/>
          </w:rPr>
          <w:t>127</w:t>
        </w:r>
        <w:r>
          <w:rPr>
            <w:noProof/>
            <w:webHidden/>
          </w:rPr>
          <w:fldChar w:fldCharType="end"/>
        </w:r>
      </w:hyperlink>
    </w:p>
    <w:p w14:paraId="5E37F197" w14:textId="1CFFF479"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17" w:history="1">
        <w:r w:rsidRPr="00683E1E">
          <w:rPr>
            <w:rStyle w:val="Hyperlink"/>
            <w:noProof/>
          </w:rPr>
          <w:t>14.5.1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w:t>
        </w:r>
        <w:r w:rsidRPr="00683E1E">
          <w:rPr>
            <w:rStyle w:val="Hyperlink"/>
            <w:noProof/>
            <w:spacing w:val="-5"/>
          </w:rPr>
          <w:t xml:space="preserve"> </w:t>
        </w:r>
        <w:r w:rsidRPr="00683E1E">
          <w:rPr>
            <w:rStyle w:val="Hyperlink"/>
            <w:noProof/>
          </w:rPr>
          <w:t>description</w:t>
        </w:r>
        <w:r>
          <w:rPr>
            <w:noProof/>
            <w:webHidden/>
          </w:rPr>
          <w:tab/>
        </w:r>
        <w:r>
          <w:rPr>
            <w:noProof/>
            <w:webHidden/>
          </w:rPr>
          <w:fldChar w:fldCharType="begin"/>
        </w:r>
        <w:r>
          <w:rPr>
            <w:noProof/>
            <w:webHidden/>
          </w:rPr>
          <w:instrText xml:space="preserve"> PAGEREF _Toc216699417 \h </w:instrText>
        </w:r>
        <w:r>
          <w:rPr>
            <w:noProof/>
            <w:webHidden/>
          </w:rPr>
        </w:r>
        <w:r>
          <w:rPr>
            <w:noProof/>
            <w:webHidden/>
          </w:rPr>
          <w:fldChar w:fldCharType="separate"/>
        </w:r>
        <w:r>
          <w:rPr>
            <w:noProof/>
            <w:webHidden/>
          </w:rPr>
          <w:t>127</w:t>
        </w:r>
        <w:r>
          <w:rPr>
            <w:noProof/>
            <w:webHidden/>
          </w:rPr>
          <w:fldChar w:fldCharType="end"/>
        </w:r>
      </w:hyperlink>
    </w:p>
    <w:p w14:paraId="233C0C92" w14:textId="518DA30C"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18" w:history="1">
        <w:r w:rsidRPr="00683E1E">
          <w:rPr>
            <w:rStyle w:val="Hyperlink"/>
            <w:noProof/>
          </w:rPr>
          <w:t>14.5.2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Design</w:t>
        </w:r>
        <w:r w:rsidRPr="00683E1E">
          <w:rPr>
            <w:rStyle w:val="Hyperlink"/>
            <w:noProof/>
            <w:spacing w:val="-3"/>
          </w:rPr>
          <w:t xml:space="preserve"> </w:t>
        </w:r>
        <w:r w:rsidRPr="00683E1E">
          <w:rPr>
            <w:rStyle w:val="Hyperlink"/>
            <w:noProof/>
          </w:rPr>
          <w:t>and</w:t>
        </w:r>
        <w:r w:rsidRPr="00683E1E">
          <w:rPr>
            <w:rStyle w:val="Hyperlink"/>
            <w:noProof/>
            <w:spacing w:val="-3"/>
          </w:rPr>
          <w:t xml:space="preserve"> </w:t>
        </w:r>
        <w:r w:rsidRPr="00683E1E">
          <w:rPr>
            <w:rStyle w:val="Hyperlink"/>
            <w:noProof/>
            <w:spacing w:val="-2"/>
          </w:rPr>
          <w:t>approvals</w:t>
        </w:r>
        <w:r>
          <w:rPr>
            <w:noProof/>
            <w:webHidden/>
          </w:rPr>
          <w:tab/>
        </w:r>
        <w:r>
          <w:rPr>
            <w:noProof/>
            <w:webHidden/>
          </w:rPr>
          <w:fldChar w:fldCharType="begin"/>
        </w:r>
        <w:r>
          <w:rPr>
            <w:noProof/>
            <w:webHidden/>
          </w:rPr>
          <w:instrText xml:space="preserve"> PAGEREF _Toc216699418 \h </w:instrText>
        </w:r>
        <w:r>
          <w:rPr>
            <w:noProof/>
            <w:webHidden/>
          </w:rPr>
        </w:r>
        <w:r>
          <w:rPr>
            <w:noProof/>
            <w:webHidden/>
          </w:rPr>
          <w:fldChar w:fldCharType="separate"/>
        </w:r>
        <w:r>
          <w:rPr>
            <w:noProof/>
            <w:webHidden/>
          </w:rPr>
          <w:t>127</w:t>
        </w:r>
        <w:r>
          <w:rPr>
            <w:noProof/>
            <w:webHidden/>
          </w:rPr>
          <w:fldChar w:fldCharType="end"/>
        </w:r>
      </w:hyperlink>
    </w:p>
    <w:p w14:paraId="51BAF7EF" w14:textId="52DBBC18"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19" w:history="1">
        <w:r w:rsidRPr="00683E1E">
          <w:rPr>
            <w:rStyle w:val="Hyperlink"/>
            <w:noProof/>
          </w:rPr>
          <w:t>14.5.3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Capital</w:t>
        </w:r>
        <w:r w:rsidRPr="00683E1E">
          <w:rPr>
            <w:rStyle w:val="Hyperlink"/>
            <w:noProof/>
            <w:spacing w:val="-4"/>
          </w:rPr>
          <w:t xml:space="preserve"> </w:t>
        </w:r>
        <w:r w:rsidRPr="00683E1E">
          <w:rPr>
            <w:rStyle w:val="Hyperlink"/>
            <w:noProof/>
            <w:spacing w:val="-2"/>
          </w:rPr>
          <w:t>works</w:t>
        </w:r>
        <w:r>
          <w:rPr>
            <w:noProof/>
            <w:webHidden/>
          </w:rPr>
          <w:tab/>
        </w:r>
        <w:r>
          <w:rPr>
            <w:noProof/>
            <w:webHidden/>
          </w:rPr>
          <w:fldChar w:fldCharType="begin"/>
        </w:r>
        <w:r>
          <w:rPr>
            <w:noProof/>
            <w:webHidden/>
          </w:rPr>
          <w:instrText xml:space="preserve"> PAGEREF _Toc216699419 \h </w:instrText>
        </w:r>
        <w:r>
          <w:rPr>
            <w:noProof/>
            <w:webHidden/>
          </w:rPr>
        </w:r>
        <w:r>
          <w:rPr>
            <w:noProof/>
            <w:webHidden/>
          </w:rPr>
          <w:fldChar w:fldCharType="separate"/>
        </w:r>
        <w:r>
          <w:rPr>
            <w:noProof/>
            <w:webHidden/>
          </w:rPr>
          <w:t>128</w:t>
        </w:r>
        <w:r>
          <w:rPr>
            <w:noProof/>
            <w:webHidden/>
          </w:rPr>
          <w:fldChar w:fldCharType="end"/>
        </w:r>
      </w:hyperlink>
    </w:p>
    <w:p w14:paraId="0CC65CD3" w14:textId="6FB5EA76"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20" w:history="1">
        <w:r w:rsidRPr="00683E1E">
          <w:rPr>
            <w:rStyle w:val="Hyperlink"/>
            <w:noProof/>
          </w:rPr>
          <w:t>14.5.4</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Operational</w:t>
        </w:r>
        <w:r w:rsidRPr="00683E1E">
          <w:rPr>
            <w:rStyle w:val="Hyperlink"/>
            <w:noProof/>
            <w:spacing w:val="-7"/>
          </w:rPr>
          <w:t xml:space="preserve"> </w:t>
        </w:r>
        <w:r w:rsidRPr="00683E1E">
          <w:rPr>
            <w:rStyle w:val="Hyperlink"/>
            <w:noProof/>
            <w:spacing w:val="-2"/>
          </w:rPr>
          <w:t>works</w:t>
        </w:r>
        <w:r>
          <w:rPr>
            <w:noProof/>
            <w:webHidden/>
          </w:rPr>
          <w:tab/>
        </w:r>
        <w:r>
          <w:rPr>
            <w:noProof/>
            <w:webHidden/>
          </w:rPr>
          <w:fldChar w:fldCharType="begin"/>
        </w:r>
        <w:r>
          <w:rPr>
            <w:noProof/>
            <w:webHidden/>
          </w:rPr>
          <w:instrText xml:space="preserve"> PAGEREF _Toc216699420 \h </w:instrText>
        </w:r>
        <w:r>
          <w:rPr>
            <w:noProof/>
            <w:webHidden/>
          </w:rPr>
        </w:r>
        <w:r>
          <w:rPr>
            <w:noProof/>
            <w:webHidden/>
          </w:rPr>
          <w:fldChar w:fldCharType="separate"/>
        </w:r>
        <w:r>
          <w:rPr>
            <w:noProof/>
            <w:webHidden/>
          </w:rPr>
          <w:t>128</w:t>
        </w:r>
        <w:r>
          <w:rPr>
            <w:noProof/>
            <w:webHidden/>
          </w:rPr>
          <w:fldChar w:fldCharType="end"/>
        </w:r>
      </w:hyperlink>
    </w:p>
    <w:p w14:paraId="30E3CBB1" w14:textId="197E770D"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21" w:history="1">
        <w:r w:rsidRPr="00683E1E">
          <w:rPr>
            <w:rStyle w:val="Hyperlink"/>
            <w:noProof/>
          </w:rPr>
          <w:t>14.5.5</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Environmental</w:t>
        </w:r>
        <w:r w:rsidRPr="00683E1E">
          <w:rPr>
            <w:rStyle w:val="Hyperlink"/>
            <w:noProof/>
            <w:spacing w:val="-9"/>
          </w:rPr>
          <w:t xml:space="preserve"> </w:t>
        </w:r>
        <w:r w:rsidRPr="00683E1E">
          <w:rPr>
            <w:rStyle w:val="Hyperlink"/>
            <w:noProof/>
            <w:spacing w:val="-2"/>
          </w:rPr>
          <w:t>constraints</w:t>
        </w:r>
        <w:r>
          <w:rPr>
            <w:noProof/>
            <w:webHidden/>
          </w:rPr>
          <w:tab/>
        </w:r>
        <w:r>
          <w:rPr>
            <w:noProof/>
            <w:webHidden/>
          </w:rPr>
          <w:fldChar w:fldCharType="begin"/>
        </w:r>
        <w:r>
          <w:rPr>
            <w:noProof/>
            <w:webHidden/>
          </w:rPr>
          <w:instrText xml:space="preserve"> PAGEREF _Toc216699421 \h </w:instrText>
        </w:r>
        <w:r>
          <w:rPr>
            <w:noProof/>
            <w:webHidden/>
          </w:rPr>
        </w:r>
        <w:r>
          <w:rPr>
            <w:noProof/>
            <w:webHidden/>
          </w:rPr>
          <w:fldChar w:fldCharType="separate"/>
        </w:r>
        <w:r>
          <w:rPr>
            <w:noProof/>
            <w:webHidden/>
          </w:rPr>
          <w:t>130</w:t>
        </w:r>
        <w:r>
          <w:rPr>
            <w:noProof/>
            <w:webHidden/>
          </w:rPr>
          <w:fldChar w:fldCharType="end"/>
        </w:r>
      </w:hyperlink>
    </w:p>
    <w:p w14:paraId="2E0A1241" w14:textId="4A47AFA2"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22" w:history="1">
        <w:r w:rsidRPr="00683E1E">
          <w:rPr>
            <w:rStyle w:val="Hyperlink"/>
            <w:noProof/>
          </w:rPr>
          <w:t>14.5.6</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Social</w:t>
        </w:r>
        <w:r w:rsidRPr="00683E1E">
          <w:rPr>
            <w:rStyle w:val="Hyperlink"/>
            <w:noProof/>
            <w:spacing w:val="-3"/>
          </w:rPr>
          <w:t xml:space="preserve"> </w:t>
        </w:r>
        <w:r w:rsidRPr="00683E1E">
          <w:rPr>
            <w:rStyle w:val="Hyperlink"/>
            <w:noProof/>
            <w:spacing w:val="-2"/>
          </w:rPr>
          <w:t>impacts</w:t>
        </w:r>
        <w:r>
          <w:rPr>
            <w:noProof/>
            <w:webHidden/>
          </w:rPr>
          <w:tab/>
        </w:r>
        <w:r>
          <w:rPr>
            <w:noProof/>
            <w:webHidden/>
          </w:rPr>
          <w:fldChar w:fldCharType="begin"/>
        </w:r>
        <w:r>
          <w:rPr>
            <w:noProof/>
            <w:webHidden/>
          </w:rPr>
          <w:instrText xml:space="preserve"> PAGEREF _Toc216699422 \h </w:instrText>
        </w:r>
        <w:r>
          <w:rPr>
            <w:noProof/>
            <w:webHidden/>
          </w:rPr>
        </w:r>
        <w:r>
          <w:rPr>
            <w:noProof/>
            <w:webHidden/>
          </w:rPr>
          <w:fldChar w:fldCharType="separate"/>
        </w:r>
        <w:r>
          <w:rPr>
            <w:noProof/>
            <w:webHidden/>
          </w:rPr>
          <w:t>136</w:t>
        </w:r>
        <w:r>
          <w:rPr>
            <w:noProof/>
            <w:webHidden/>
          </w:rPr>
          <w:fldChar w:fldCharType="end"/>
        </w:r>
      </w:hyperlink>
    </w:p>
    <w:p w14:paraId="536B0FFE" w14:textId="4C71A15B"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23" w:history="1">
        <w:r w:rsidRPr="00683E1E">
          <w:rPr>
            <w:rStyle w:val="Hyperlink"/>
            <w:noProof/>
          </w:rPr>
          <w:t>14.5.7</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Economic</w:t>
        </w:r>
        <w:r w:rsidRPr="00683E1E">
          <w:rPr>
            <w:rStyle w:val="Hyperlink"/>
            <w:noProof/>
            <w:spacing w:val="-4"/>
          </w:rPr>
          <w:t xml:space="preserve"> </w:t>
        </w:r>
        <w:r w:rsidRPr="00683E1E">
          <w:rPr>
            <w:rStyle w:val="Hyperlink"/>
            <w:noProof/>
            <w:spacing w:val="-2"/>
          </w:rPr>
          <w:t>impacts</w:t>
        </w:r>
        <w:r>
          <w:rPr>
            <w:noProof/>
            <w:webHidden/>
          </w:rPr>
          <w:tab/>
        </w:r>
        <w:r>
          <w:rPr>
            <w:noProof/>
            <w:webHidden/>
          </w:rPr>
          <w:fldChar w:fldCharType="begin"/>
        </w:r>
        <w:r>
          <w:rPr>
            <w:noProof/>
            <w:webHidden/>
          </w:rPr>
          <w:instrText xml:space="preserve"> PAGEREF _Toc216699423 \h </w:instrText>
        </w:r>
        <w:r>
          <w:rPr>
            <w:noProof/>
            <w:webHidden/>
          </w:rPr>
        </w:r>
        <w:r>
          <w:rPr>
            <w:noProof/>
            <w:webHidden/>
          </w:rPr>
          <w:fldChar w:fldCharType="separate"/>
        </w:r>
        <w:r>
          <w:rPr>
            <w:noProof/>
            <w:webHidden/>
          </w:rPr>
          <w:t>136</w:t>
        </w:r>
        <w:r>
          <w:rPr>
            <w:noProof/>
            <w:webHidden/>
          </w:rPr>
          <w:fldChar w:fldCharType="end"/>
        </w:r>
      </w:hyperlink>
    </w:p>
    <w:p w14:paraId="4D516EF2" w14:textId="6C86C47D"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24" w:history="1">
        <w:r w:rsidRPr="00683E1E">
          <w:rPr>
            <w:rStyle w:val="Hyperlink"/>
            <w:noProof/>
          </w:rPr>
          <w:t>14.5.8</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Future</w:t>
        </w:r>
        <w:r w:rsidRPr="00683E1E">
          <w:rPr>
            <w:rStyle w:val="Hyperlink"/>
            <w:noProof/>
            <w:spacing w:val="-5"/>
          </w:rPr>
          <w:t xml:space="preserve"> </w:t>
        </w:r>
        <w:r w:rsidRPr="00683E1E">
          <w:rPr>
            <w:rStyle w:val="Hyperlink"/>
            <w:noProof/>
          </w:rPr>
          <w:t>adaption</w:t>
        </w:r>
        <w:r>
          <w:rPr>
            <w:noProof/>
            <w:webHidden/>
          </w:rPr>
          <w:tab/>
        </w:r>
        <w:r>
          <w:rPr>
            <w:noProof/>
            <w:webHidden/>
          </w:rPr>
          <w:fldChar w:fldCharType="begin"/>
        </w:r>
        <w:r>
          <w:rPr>
            <w:noProof/>
            <w:webHidden/>
          </w:rPr>
          <w:instrText xml:space="preserve"> PAGEREF _Toc216699424 \h </w:instrText>
        </w:r>
        <w:r>
          <w:rPr>
            <w:noProof/>
            <w:webHidden/>
          </w:rPr>
        </w:r>
        <w:r>
          <w:rPr>
            <w:noProof/>
            <w:webHidden/>
          </w:rPr>
          <w:fldChar w:fldCharType="separate"/>
        </w:r>
        <w:r>
          <w:rPr>
            <w:noProof/>
            <w:webHidden/>
          </w:rPr>
          <w:t>136</w:t>
        </w:r>
        <w:r>
          <w:rPr>
            <w:noProof/>
            <w:webHidden/>
          </w:rPr>
          <w:fldChar w:fldCharType="end"/>
        </w:r>
      </w:hyperlink>
    </w:p>
    <w:p w14:paraId="481A146D" w14:textId="19B52572"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25" w:history="1">
        <w:r w:rsidRPr="00683E1E">
          <w:rPr>
            <w:rStyle w:val="Hyperlink"/>
            <w:noProof/>
          </w:rPr>
          <w:t>14.5.9</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Safety</w:t>
        </w:r>
        <w:r w:rsidRPr="00683E1E">
          <w:rPr>
            <w:rStyle w:val="Hyperlink"/>
            <w:noProof/>
            <w:spacing w:val="-5"/>
          </w:rPr>
          <w:t xml:space="preserve"> </w:t>
        </w:r>
        <w:r w:rsidRPr="00683E1E">
          <w:rPr>
            <w:rStyle w:val="Hyperlink"/>
            <w:noProof/>
          </w:rPr>
          <w:t>of</w:t>
        </w:r>
        <w:r w:rsidRPr="00683E1E">
          <w:rPr>
            <w:rStyle w:val="Hyperlink"/>
            <w:noProof/>
            <w:spacing w:val="-3"/>
          </w:rPr>
          <w:t xml:space="preserve"> </w:t>
        </w:r>
        <w:r w:rsidRPr="00683E1E">
          <w:rPr>
            <w:rStyle w:val="Hyperlink"/>
            <w:noProof/>
          </w:rPr>
          <w:t>Option</w:t>
        </w:r>
        <w:r w:rsidRPr="00683E1E">
          <w:rPr>
            <w:rStyle w:val="Hyperlink"/>
            <w:noProof/>
            <w:spacing w:val="-2"/>
          </w:rPr>
          <w:t xml:space="preserve"> </w:t>
        </w:r>
        <w:r w:rsidRPr="00683E1E">
          <w:rPr>
            <w:rStyle w:val="Hyperlink"/>
            <w:noProof/>
            <w:spacing w:val="-5"/>
          </w:rPr>
          <w:t>2B</w:t>
        </w:r>
        <w:r>
          <w:rPr>
            <w:noProof/>
            <w:webHidden/>
          </w:rPr>
          <w:tab/>
        </w:r>
        <w:r>
          <w:rPr>
            <w:noProof/>
            <w:webHidden/>
          </w:rPr>
          <w:fldChar w:fldCharType="begin"/>
        </w:r>
        <w:r>
          <w:rPr>
            <w:noProof/>
            <w:webHidden/>
          </w:rPr>
          <w:instrText xml:space="preserve"> PAGEREF _Toc216699425 \h </w:instrText>
        </w:r>
        <w:r>
          <w:rPr>
            <w:noProof/>
            <w:webHidden/>
          </w:rPr>
        </w:r>
        <w:r>
          <w:rPr>
            <w:noProof/>
            <w:webHidden/>
          </w:rPr>
          <w:fldChar w:fldCharType="separate"/>
        </w:r>
        <w:r>
          <w:rPr>
            <w:noProof/>
            <w:webHidden/>
          </w:rPr>
          <w:t>137</w:t>
        </w:r>
        <w:r>
          <w:rPr>
            <w:noProof/>
            <w:webHidden/>
          </w:rPr>
          <w:fldChar w:fldCharType="end"/>
        </w:r>
      </w:hyperlink>
    </w:p>
    <w:p w14:paraId="2B8E839F" w14:textId="69553950"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26" w:history="1">
        <w:r w:rsidRPr="00683E1E">
          <w:rPr>
            <w:rStyle w:val="Hyperlink"/>
            <w:noProof/>
          </w:rPr>
          <w:t>14.5.10</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Cost</w:t>
        </w:r>
        <w:r>
          <w:rPr>
            <w:noProof/>
            <w:webHidden/>
          </w:rPr>
          <w:tab/>
        </w:r>
        <w:r>
          <w:rPr>
            <w:noProof/>
            <w:webHidden/>
          </w:rPr>
          <w:fldChar w:fldCharType="begin"/>
        </w:r>
        <w:r>
          <w:rPr>
            <w:noProof/>
            <w:webHidden/>
          </w:rPr>
          <w:instrText xml:space="preserve"> PAGEREF _Toc216699426 \h </w:instrText>
        </w:r>
        <w:r>
          <w:rPr>
            <w:noProof/>
            <w:webHidden/>
          </w:rPr>
        </w:r>
        <w:r>
          <w:rPr>
            <w:noProof/>
            <w:webHidden/>
          </w:rPr>
          <w:fldChar w:fldCharType="separate"/>
        </w:r>
        <w:r>
          <w:rPr>
            <w:noProof/>
            <w:webHidden/>
          </w:rPr>
          <w:t>137</w:t>
        </w:r>
        <w:r>
          <w:rPr>
            <w:noProof/>
            <w:webHidden/>
          </w:rPr>
          <w:fldChar w:fldCharType="end"/>
        </w:r>
      </w:hyperlink>
    </w:p>
    <w:p w14:paraId="155C456E" w14:textId="4E2512F8"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27" w:history="1">
        <w:r w:rsidRPr="00683E1E">
          <w:rPr>
            <w:rStyle w:val="Hyperlink"/>
            <w:noProof/>
          </w:rPr>
          <w:t>14.6</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w:t>
        </w:r>
        <w:r w:rsidRPr="00683E1E">
          <w:rPr>
            <w:rStyle w:val="Hyperlink"/>
            <w:noProof/>
            <w:spacing w:val="-5"/>
          </w:rPr>
          <w:t xml:space="preserve"> </w:t>
        </w:r>
        <w:r w:rsidRPr="00683E1E">
          <w:rPr>
            <w:rStyle w:val="Hyperlink"/>
            <w:noProof/>
          </w:rPr>
          <w:t>2C</w:t>
        </w:r>
        <w:r w:rsidRPr="00683E1E">
          <w:rPr>
            <w:rStyle w:val="Hyperlink"/>
            <w:noProof/>
            <w:spacing w:val="-5"/>
          </w:rPr>
          <w:t xml:space="preserve"> </w:t>
        </w:r>
        <w:r w:rsidRPr="00683E1E">
          <w:rPr>
            <w:rStyle w:val="Hyperlink"/>
            <w:noProof/>
          </w:rPr>
          <w:t>–</w:t>
        </w:r>
        <w:r w:rsidRPr="00683E1E">
          <w:rPr>
            <w:rStyle w:val="Hyperlink"/>
            <w:noProof/>
            <w:spacing w:val="-4"/>
          </w:rPr>
          <w:t xml:space="preserve"> </w:t>
        </w:r>
        <w:r w:rsidRPr="00683E1E">
          <w:rPr>
            <w:rStyle w:val="Hyperlink"/>
            <w:noProof/>
          </w:rPr>
          <w:t>Excavated</w:t>
        </w:r>
        <w:r w:rsidRPr="00683E1E">
          <w:rPr>
            <w:rStyle w:val="Hyperlink"/>
            <w:noProof/>
            <w:spacing w:val="-5"/>
          </w:rPr>
          <w:t xml:space="preserve"> </w:t>
        </w:r>
        <w:r w:rsidRPr="00683E1E">
          <w:rPr>
            <w:rStyle w:val="Hyperlink"/>
            <w:noProof/>
          </w:rPr>
          <w:t>sand</w:t>
        </w:r>
        <w:r w:rsidRPr="00683E1E">
          <w:rPr>
            <w:rStyle w:val="Hyperlink"/>
            <w:noProof/>
            <w:spacing w:val="-5"/>
          </w:rPr>
          <w:t xml:space="preserve"> </w:t>
        </w:r>
        <w:r w:rsidRPr="00683E1E">
          <w:rPr>
            <w:rStyle w:val="Hyperlink"/>
            <w:noProof/>
          </w:rPr>
          <w:t>trap</w:t>
        </w:r>
        <w:r w:rsidRPr="00683E1E">
          <w:rPr>
            <w:rStyle w:val="Hyperlink"/>
            <w:noProof/>
            <w:spacing w:val="-5"/>
          </w:rPr>
          <w:t xml:space="preserve"> </w:t>
        </w:r>
        <w:r w:rsidRPr="00683E1E">
          <w:rPr>
            <w:rStyle w:val="Hyperlink"/>
            <w:noProof/>
          </w:rPr>
          <w:t>with</w:t>
        </w:r>
        <w:r w:rsidRPr="00683E1E">
          <w:rPr>
            <w:rStyle w:val="Hyperlink"/>
            <w:noProof/>
            <w:spacing w:val="-5"/>
          </w:rPr>
          <w:t xml:space="preserve"> </w:t>
        </w:r>
        <w:r w:rsidRPr="00683E1E">
          <w:rPr>
            <w:rStyle w:val="Hyperlink"/>
            <w:noProof/>
          </w:rPr>
          <w:t>semi-permanent</w:t>
        </w:r>
        <w:r w:rsidRPr="00683E1E">
          <w:rPr>
            <w:rStyle w:val="Hyperlink"/>
            <w:noProof/>
            <w:spacing w:val="-4"/>
          </w:rPr>
          <w:t xml:space="preserve"> </w:t>
        </w:r>
        <w:r w:rsidRPr="00683E1E">
          <w:rPr>
            <w:rStyle w:val="Hyperlink"/>
            <w:noProof/>
          </w:rPr>
          <w:t xml:space="preserve">pump </w:t>
        </w:r>
        <w:r w:rsidRPr="00683E1E">
          <w:rPr>
            <w:rStyle w:val="Hyperlink"/>
            <w:noProof/>
            <w:spacing w:val="-2"/>
          </w:rPr>
          <w:t>system</w:t>
        </w:r>
        <w:r>
          <w:rPr>
            <w:noProof/>
            <w:webHidden/>
          </w:rPr>
          <w:tab/>
        </w:r>
        <w:r>
          <w:rPr>
            <w:noProof/>
            <w:webHidden/>
          </w:rPr>
          <w:fldChar w:fldCharType="begin"/>
        </w:r>
        <w:r>
          <w:rPr>
            <w:noProof/>
            <w:webHidden/>
          </w:rPr>
          <w:instrText xml:space="preserve"> PAGEREF _Toc216699427 \h </w:instrText>
        </w:r>
        <w:r>
          <w:rPr>
            <w:noProof/>
            <w:webHidden/>
          </w:rPr>
        </w:r>
        <w:r>
          <w:rPr>
            <w:noProof/>
            <w:webHidden/>
          </w:rPr>
          <w:fldChar w:fldCharType="separate"/>
        </w:r>
        <w:r>
          <w:rPr>
            <w:noProof/>
            <w:webHidden/>
          </w:rPr>
          <w:t>137</w:t>
        </w:r>
        <w:r>
          <w:rPr>
            <w:noProof/>
            <w:webHidden/>
          </w:rPr>
          <w:fldChar w:fldCharType="end"/>
        </w:r>
      </w:hyperlink>
    </w:p>
    <w:p w14:paraId="0FE03833" w14:textId="12E1DC97"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28" w:history="1">
        <w:r w:rsidRPr="00683E1E">
          <w:rPr>
            <w:rStyle w:val="Hyperlink"/>
            <w:noProof/>
          </w:rPr>
          <w:t>14.6.1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w:t>
        </w:r>
        <w:r w:rsidRPr="00683E1E">
          <w:rPr>
            <w:rStyle w:val="Hyperlink"/>
            <w:noProof/>
            <w:spacing w:val="-5"/>
          </w:rPr>
          <w:t xml:space="preserve"> </w:t>
        </w:r>
        <w:r w:rsidRPr="00683E1E">
          <w:rPr>
            <w:rStyle w:val="Hyperlink"/>
            <w:noProof/>
          </w:rPr>
          <w:t>description</w:t>
        </w:r>
        <w:r>
          <w:rPr>
            <w:noProof/>
            <w:webHidden/>
          </w:rPr>
          <w:tab/>
        </w:r>
        <w:r>
          <w:rPr>
            <w:noProof/>
            <w:webHidden/>
          </w:rPr>
          <w:fldChar w:fldCharType="begin"/>
        </w:r>
        <w:r>
          <w:rPr>
            <w:noProof/>
            <w:webHidden/>
          </w:rPr>
          <w:instrText xml:space="preserve"> PAGEREF _Toc216699428 \h </w:instrText>
        </w:r>
        <w:r>
          <w:rPr>
            <w:noProof/>
            <w:webHidden/>
          </w:rPr>
        </w:r>
        <w:r>
          <w:rPr>
            <w:noProof/>
            <w:webHidden/>
          </w:rPr>
          <w:fldChar w:fldCharType="separate"/>
        </w:r>
        <w:r>
          <w:rPr>
            <w:noProof/>
            <w:webHidden/>
          </w:rPr>
          <w:t>137</w:t>
        </w:r>
        <w:r>
          <w:rPr>
            <w:noProof/>
            <w:webHidden/>
          </w:rPr>
          <w:fldChar w:fldCharType="end"/>
        </w:r>
      </w:hyperlink>
    </w:p>
    <w:p w14:paraId="27D8A896" w14:textId="6DFA7999"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29" w:history="1">
        <w:r w:rsidRPr="00683E1E">
          <w:rPr>
            <w:rStyle w:val="Hyperlink"/>
            <w:noProof/>
          </w:rPr>
          <w:t>14.6.2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Design</w:t>
        </w:r>
        <w:r w:rsidRPr="00683E1E">
          <w:rPr>
            <w:rStyle w:val="Hyperlink"/>
            <w:noProof/>
            <w:spacing w:val="-3"/>
          </w:rPr>
          <w:t xml:space="preserve"> </w:t>
        </w:r>
        <w:r w:rsidRPr="00683E1E">
          <w:rPr>
            <w:rStyle w:val="Hyperlink"/>
            <w:noProof/>
          </w:rPr>
          <w:t>and</w:t>
        </w:r>
        <w:r w:rsidRPr="00683E1E">
          <w:rPr>
            <w:rStyle w:val="Hyperlink"/>
            <w:noProof/>
            <w:spacing w:val="-3"/>
          </w:rPr>
          <w:t xml:space="preserve"> </w:t>
        </w:r>
        <w:r w:rsidRPr="00683E1E">
          <w:rPr>
            <w:rStyle w:val="Hyperlink"/>
            <w:noProof/>
            <w:spacing w:val="-2"/>
          </w:rPr>
          <w:t>approvals</w:t>
        </w:r>
        <w:r>
          <w:rPr>
            <w:noProof/>
            <w:webHidden/>
          </w:rPr>
          <w:tab/>
        </w:r>
        <w:r>
          <w:rPr>
            <w:noProof/>
            <w:webHidden/>
          </w:rPr>
          <w:fldChar w:fldCharType="begin"/>
        </w:r>
        <w:r>
          <w:rPr>
            <w:noProof/>
            <w:webHidden/>
          </w:rPr>
          <w:instrText xml:space="preserve"> PAGEREF _Toc216699429 \h </w:instrText>
        </w:r>
        <w:r>
          <w:rPr>
            <w:noProof/>
            <w:webHidden/>
          </w:rPr>
        </w:r>
        <w:r>
          <w:rPr>
            <w:noProof/>
            <w:webHidden/>
          </w:rPr>
          <w:fldChar w:fldCharType="separate"/>
        </w:r>
        <w:r>
          <w:rPr>
            <w:noProof/>
            <w:webHidden/>
          </w:rPr>
          <w:t>140</w:t>
        </w:r>
        <w:r>
          <w:rPr>
            <w:noProof/>
            <w:webHidden/>
          </w:rPr>
          <w:fldChar w:fldCharType="end"/>
        </w:r>
      </w:hyperlink>
    </w:p>
    <w:p w14:paraId="3DC854D7" w14:textId="5602A62F"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30" w:history="1">
        <w:r w:rsidRPr="00683E1E">
          <w:rPr>
            <w:rStyle w:val="Hyperlink"/>
            <w:noProof/>
          </w:rPr>
          <w:t>14.6.3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Capital</w:t>
        </w:r>
        <w:r w:rsidRPr="00683E1E">
          <w:rPr>
            <w:rStyle w:val="Hyperlink"/>
            <w:noProof/>
            <w:spacing w:val="-4"/>
          </w:rPr>
          <w:t xml:space="preserve"> </w:t>
        </w:r>
        <w:r w:rsidRPr="00683E1E">
          <w:rPr>
            <w:rStyle w:val="Hyperlink"/>
            <w:noProof/>
            <w:spacing w:val="-2"/>
          </w:rPr>
          <w:t>works</w:t>
        </w:r>
        <w:r>
          <w:rPr>
            <w:noProof/>
            <w:webHidden/>
          </w:rPr>
          <w:tab/>
        </w:r>
        <w:r>
          <w:rPr>
            <w:noProof/>
            <w:webHidden/>
          </w:rPr>
          <w:fldChar w:fldCharType="begin"/>
        </w:r>
        <w:r>
          <w:rPr>
            <w:noProof/>
            <w:webHidden/>
          </w:rPr>
          <w:instrText xml:space="preserve"> PAGEREF _Toc216699430 \h </w:instrText>
        </w:r>
        <w:r>
          <w:rPr>
            <w:noProof/>
            <w:webHidden/>
          </w:rPr>
        </w:r>
        <w:r>
          <w:rPr>
            <w:noProof/>
            <w:webHidden/>
          </w:rPr>
          <w:fldChar w:fldCharType="separate"/>
        </w:r>
        <w:r>
          <w:rPr>
            <w:noProof/>
            <w:webHidden/>
          </w:rPr>
          <w:t>140</w:t>
        </w:r>
        <w:r>
          <w:rPr>
            <w:noProof/>
            <w:webHidden/>
          </w:rPr>
          <w:fldChar w:fldCharType="end"/>
        </w:r>
      </w:hyperlink>
    </w:p>
    <w:p w14:paraId="496B877C" w14:textId="3B90B06E"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31" w:history="1">
        <w:r w:rsidRPr="00683E1E">
          <w:rPr>
            <w:rStyle w:val="Hyperlink"/>
            <w:noProof/>
          </w:rPr>
          <w:t>14.6.4</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Operational</w:t>
        </w:r>
        <w:r w:rsidRPr="00683E1E">
          <w:rPr>
            <w:rStyle w:val="Hyperlink"/>
            <w:noProof/>
            <w:spacing w:val="-7"/>
          </w:rPr>
          <w:t xml:space="preserve"> </w:t>
        </w:r>
        <w:r w:rsidRPr="00683E1E">
          <w:rPr>
            <w:rStyle w:val="Hyperlink"/>
            <w:noProof/>
            <w:spacing w:val="-2"/>
          </w:rPr>
          <w:t>works</w:t>
        </w:r>
        <w:r>
          <w:rPr>
            <w:noProof/>
            <w:webHidden/>
          </w:rPr>
          <w:tab/>
        </w:r>
        <w:r>
          <w:rPr>
            <w:noProof/>
            <w:webHidden/>
          </w:rPr>
          <w:fldChar w:fldCharType="begin"/>
        </w:r>
        <w:r>
          <w:rPr>
            <w:noProof/>
            <w:webHidden/>
          </w:rPr>
          <w:instrText xml:space="preserve"> PAGEREF _Toc216699431 \h </w:instrText>
        </w:r>
        <w:r>
          <w:rPr>
            <w:noProof/>
            <w:webHidden/>
          </w:rPr>
        </w:r>
        <w:r>
          <w:rPr>
            <w:noProof/>
            <w:webHidden/>
          </w:rPr>
          <w:fldChar w:fldCharType="separate"/>
        </w:r>
        <w:r>
          <w:rPr>
            <w:noProof/>
            <w:webHidden/>
          </w:rPr>
          <w:t>140</w:t>
        </w:r>
        <w:r>
          <w:rPr>
            <w:noProof/>
            <w:webHidden/>
          </w:rPr>
          <w:fldChar w:fldCharType="end"/>
        </w:r>
      </w:hyperlink>
    </w:p>
    <w:p w14:paraId="3D396F8C" w14:textId="3693F44B"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32" w:history="1">
        <w:r w:rsidRPr="00683E1E">
          <w:rPr>
            <w:rStyle w:val="Hyperlink"/>
            <w:noProof/>
          </w:rPr>
          <w:t>14.6.5</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Environmental</w:t>
        </w:r>
        <w:r w:rsidRPr="00683E1E">
          <w:rPr>
            <w:rStyle w:val="Hyperlink"/>
            <w:noProof/>
            <w:spacing w:val="-9"/>
          </w:rPr>
          <w:t xml:space="preserve"> </w:t>
        </w:r>
        <w:r w:rsidRPr="00683E1E">
          <w:rPr>
            <w:rStyle w:val="Hyperlink"/>
            <w:noProof/>
            <w:spacing w:val="-2"/>
          </w:rPr>
          <w:t>constraints</w:t>
        </w:r>
        <w:r>
          <w:rPr>
            <w:noProof/>
            <w:webHidden/>
          </w:rPr>
          <w:tab/>
        </w:r>
        <w:r>
          <w:rPr>
            <w:noProof/>
            <w:webHidden/>
          </w:rPr>
          <w:fldChar w:fldCharType="begin"/>
        </w:r>
        <w:r>
          <w:rPr>
            <w:noProof/>
            <w:webHidden/>
          </w:rPr>
          <w:instrText xml:space="preserve"> PAGEREF _Toc216699432 \h </w:instrText>
        </w:r>
        <w:r>
          <w:rPr>
            <w:noProof/>
            <w:webHidden/>
          </w:rPr>
        </w:r>
        <w:r>
          <w:rPr>
            <w:noProof/>
            <w:webHidden/>
          </w:rPr>
          <w:fldChar w:fldCharType="separate"/>
        </w:r>
        <w:r>
          <w:rPr>
            <w:noProof/>
            <w:webHidden/>
          </w:rPr>
          <w:t>142</w:t>
        </w:r>
        <w:r>
          <w:rPr>
            <w:noProof/>
            <w:webHidden/>
          </w:rPr>
          <w:fldChar w:fldCharType="end"/>
        </w:r>
      </w:hyperlink>
    </w:p>
    <w:p w14:paraId="5F791CFB" w14:textId="237B5B5A"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33" w:history="1">
        <w:r w:rsidRPr="00683E1E">
          <w:rPr>
            <w:rStyle w:val="Hyperlink"/>
            <w:noProof/>
          </w:rPr>
          <w:t>14.6.6</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Social</w:t>
        </w:r>
        <w:r w:rsidRPr="00683E1E">
          <w:rPr>
            <w:rStyle w:val="Hyperlink"/>
            <w:noProof/>
            <w:spacing w:val="-3"/>
          </w:rPr>
          <w:t xml:space="preserve"> </w:t>
        </w:r>
        <w:r w:rsidRPr="00683E1E">
          <w:rPr>
            <w:rStyle w:val="Hyperlink"/>
            <w:noProof/>
            <w:spacing w:val="-2"/>
          </w:rPr>
          <w:t>impacts</w:t>
        </w:r>
        <w:r>
          <w:rPr>
            <w:noProof/>
            <w:webHidden/>
          </w:rPr>
          <w:tab/>
        </w:r>
        <w:r>
          <w:rPr>
            <w:noProof/>
            <w:webHidden/>
          </w:rPr>
          <w:fldChar w:fldCharType="begin"/>
        </w:r>
        <w:r>
          <w:rPr>
            <w:noProof/>
            <w:webHidden/>
          </w:rPr>
          <w:instrText xml:space="preserve"> PAGEREF _Toc216699433 \h </w:instrText>
        </w:r>
        <w:r>
          <w:rPr>
            <w:noProof/>
            <w:webHidden/>
          </w:rPr>
        </w:r>
        <w:r>
          <w:rPr>
            <w:noProof/>
            <w:webHidden/>
          </w:rPr>
          <w:fldChar w:fldCharType="separate"/>
        </w:r>
        <w:r>
          <w:rPr>
            <w:noProof/>
            <w:webHidden/>
          </w:rPr>
          <w:t>150</w:t>
        </w:r>
        <w:r>
          <w:rPr>
            <w:noProof/>
            <w:webHidden/>
          </w:rPr>
          <w:fldChar w:fldCharType="end"/>
        </w:r>
      </w:hyperlink>
    </w:p>
    <w:p w14:paraId="4459C231" w14:textId="2E29F9D5"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34" w:history="1">
        <w:r w:rsidRPr="00683E1E">
          <w:rPr>
            <w:rStyle w:val="Hyperlink"/>
            <w:noProof/>
          </w:rPr>
          <w:t>14.6.7</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Economic</w:t>
        </w:r>
        <w:r w:rsidRPr="00683E1E">
          <w:rPr>
            <w:rStyle w:val="Hyperlink"/>
            <w:noProof/>
            <w:spacing w:val="-4"/>
          </w:rPr>
          <w:t xml:space="preserve"> </w:t>
        </w:r>
        <w:r w:rsidRPr="00683E1E">
          <w:rPr>
            <w:rStyle w:val="Hyperlink"/>
            <w:noProof/>
            <w:spacing w:val="-2"/>
          </w:rPr>
          <w:t>impacts</w:t>
        </w:r>
        <w:r>
          <w:rPr>
            <w:noProof/>
            <w:webHidden/>
          </w:rPr>
          <w:tab/>
        </w:r>
        <w:r>
          <w:rPr>
            <w:noProof/>
            <w:webHidden/>
          </w:rPr>
          <w:fldChar w:fldCharType="begin"/>
        </w:r>
        <w:r>
          <w:rPr>
            <w:noProof/>
            <w:webHidden/>
          </w:rPr>
          <w:instrText xml:space="preserve"> PAGEREF _Toc216699434 \h </w:instrText>
        </w:r>
        <w:r>
          <w:rPr>
            <w:noProof/>
            <w:webHidden/>
          </w:rPr>
        </w:r>
        <w:r>
          <w:rPr>
            <w:noProof/>
            <w:webHidden/>
          </w:rPr>
          <w:fldChar w:fldCharType="separate"/>
        </w:r>
        <w:r>
          <w:rPr>
            <w:noProof/>
            <w:webHidden/>
          </w:rPr>
          <w:t>150</w:t>
        </w:r>
        <w:r>
          <w:rPr>
            <w:noProof/>
            <w:webHidden/>
          </w:rPr>
          <w:fldChar w:fldCharType="end"/>
        </w:r>
      </w:hyperlink>
    </w:p>
    <w:p w14:paraId="427BB90D" w14:textId="210FF726"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35" w:history="1">
        <w:r w:rsidRPr="00683E1E">
          <w:rPr>
            <w:rStyle w:val="Hyperlink"/>
            <w:noProof/>
          </w:rPr>
          <w:t>14.6.8</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Future</w:t>
        </w:r>
        <w:r w:rsidRPr="00683E1E">
          <w:rPr>
            <w:rStyle w:val="Hyperlink"/>
            <w:noProof/>
            <w:spacing w:val="-5"/>
          </w:rPr>
          <w:t xml:space="preserve"> </w:t>
        </w:r>
        <w:r w:rsidRPr="00683E1E">
          <w:rPr>
            <w:rStyle w:val="Hyperlink"/>
            <w:noProof/>
          </w:rPr>
          <w:t>adaption</w:t>
        </w:r>
        <w:r>
          <w:rPr>
            <w:noProof/>
            <w:webHidden/>
          </w:rPr>
          <w:tab/>
        </w:r>
        <w:r>
          <w:rPr>
            <w:noProof/>
            <w:webHidden/>
          </w:rPr>
          <w:fldChar w:fldCharType="begin"/>
        </w:r>
        <w:r>
          <w:rPr>
            <w:noProof/>
            <w:webHidden/>
          </w:rPr>
          <w:instrText xml:space="preserve"> PAGEREF _Toc216699435 \h </w:instrText>
        </w:r>
        <w:r>
          <w:rPr>
            <w:noProof/>
            <w:webHidden/>
          </w:rPr>
        </w:r>
        <w:r>
          <w:rPr>
            <w:noProof/>
            <w:webHidden/>
          </w:rPr>
          <w:fldChar w:fldCharType="separate"/>
        </w:r>
        <w:r>
          <w:rPr>
            <w:noProof/>
            <w:webHidden/>
          </w:rPr>
          <w:t>151</w:t>
        </w:r>
        <w:r>
          <w:rPr>
            <w:noProof/>
            <w:webHidden/>
          </w:rPr>
          <w:fldChar w:fldCharType="end"/>
        </w:r>
      </w:hyperlink>
    </w:p>
    <w:p w14:paraId="1F770D1A" w14:textId="36DB76F9"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36" w:history="1">
        <w:r w:rsidRPr="00683E1E">
          <w:rPr>
            <w:rStyle w:val="Hyperlink"/>
            <w:noProof/>
          </w:rPr>
          <w:t>14.6.9</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Safety</w:t>
        </w:r>
        <w:r w:rsidRPr="00683E1E">
          <w:rPr>
            <w:rStyle w:val="Hyperlink"/>
            <w:noProof/>
            <w:spacing w:val="-5"/>
          </w:rPr>
          <w:t xml:space="preserve"> </w:t>
        </w:r>
        <w:r w:rsidRPr="00683E1E">
          <w:rPr>
            <w:rStyle w:val="Hyperlink"/>
            <w:noProof/>
          </w:rPr>
          <w:t>of</w:t>
        </w:r>
        <w:r w:rsidRPr="00683E1E">
          <w:rPr>
            <w:rStyle w:val="Hyperlink"/>
            <w:noProof/>
            <w:spacing w:val="-3"/>
          </w:rPr>
          <w:t xml:space="preserve"> </w:t>
        </w:r>
        <w:r w:rsidRPr="00683E1E">
          <w:rPr>
            <w:rStyle w:val="Hyperlink"/>
            <w:noProof/>
          </w:rPr>
          <w:t>Option</w:t>
        </w:r>
        <w:r w:rsidRPr="00683E1E">
          <w:rPr>
            <w:rStyle w:val="Hyperlink"/>
            <w:noProof/>
            <w:spacing w:val="-2"/>
          </w:rPr>
          <w:t xml:space="preserve"> </w:t>
        </w:r>
        <w:r w:rsidRPr="00683E1E">
          <w:rPr>
            <w:rStyle w:val="Hyperlink"/>
            <w:noProof/>
            <w:spacing w:val="-5"/>
          </w:rPr>
          <w:t>2C</w:t>
        </w:r>
        <w:r>
          <w:rPr>
            <w:noProof/>
            <w:webHidden/>
          </w:rPr>
          <w:tab/>
        </w:r>
        <w:r>
          <w:rPr>
            <w:noProof/>
            <w:webHidden/>
          </w:rPr>
          <w:fldChar w:fldCharType="begin"/>
        </w:r>
        <w:r>
          <w:rPr>
            <w:noProof/>
            <w:webHidden/>
          </w:rPr>
          <w:instrText xml:space="preserve"> PAGEREF _Toc216699436 \h </w:instrText>
        </w:r>
        <w:r>
          <w:rPr>
            <w:noProof/>
            <w:webHidden/>
          </w:rPr>
        </w:r>
        <w:r>
          <w:rPr>
            <w:noProof/>
            <w:webHidden/>
          </w:rPr>
          <w:fldChar w:fldCharType="separate"/>
        </w:r>
        <w:r>
          <w:rPr>
            <w:noProof/>
            <w:webHidden/>
          </w:rPr>
          <w:t>151</w:t>
        </w:r>
        <w:r>
          <w:rPr>
            <w:noProof/>
            <w:webHidden/>
          </w:rPr>
          <w:fldChar w:fldCharType="end"/>
        </w:r>
      </w:hyperlink>
    </w:p>
    <w:p w14:paraId="353E6F12" w14:textId="0D6346AB"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37" w:history="1">
        <w:r w:rsidRPr="00683E1E">
          <w:rPr>
            <w:rStyle w:val="Hyperlink"/>
            <w:noProof/>
          </w:rPr>
          <w:t>14.6.10</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Cost</w:t>
        </w:r>
        <w:r>
          <w:rPr>
            <w:noProof/>
            <w:webHidden/>
          </w:rPr>
          <w:tab/>
        </w:r>
        <w:r>
          <w:rPr>
            <w:noProof/>
            <w:webHidden/>
          </w:rPr>
          <w:fldChar w:fldCharType="begin"/>
        </w:r>
        <w:r>
          <w:rPr>
            <w:noProof/>
            <w:webHidden/>
          </w:rPr>
          <w:instrText xml:space="preserve"> PAGEREF _Toc216699437 \h </w:instrText>
        </w:r>
        <w:r>
          <w:rPr>
            <w:noProof/>
            <w:webHidden/>
          </w:rPr>
        </w:r>
        <w:r>
          <w:rPr>
            <w:noProof/>
            <w:webHidden/>
          </w:rPr>
          <w:fldChar w:fldCharType="separate"/>
        </w:r>
        <w:r>
          <w:rPr>
            <w:noProof/>
            <w:webHidden/>
          </w:rPr>
          <w:t>151</w:t>
        </w:r>
        <w:r>
          <w:rPr>
            <w:noProof/>
            <w:webHidden/>
          </w:rPr>
          <w:fldChar w:fldCharType="end"/>
        </w:r>
      </w:hyperlink>
    </w:p>
    <w:p w14:paraId="3737CA19" w14:textId="32188433"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38" w:history="1">
        <w:r w:rsidRPr="00683E1E">
          <w:rPr>
            <w:rStyle w:val="Hyperlink"/>
            <w:noProof/>
          </w:rPr>
          <w:t>14.7</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w:t>
        </w:r>
        <w:r w:rsidRPr="00683E1E">
          <w:rPr>
            <w:rStyle w:val="Hyperlink"/>
            <w:noProof/>
            <w:spacing w:val="-13"/>
          </w:rPr>
          <w:t xml:space="preserve"> </w:t>
        </w:r>
        <w:r w:rsidRPr="00683E1E">
          <w:rPr>
            <w:rStyle w:val="Hyperlink"/>
            <w:noProof/>
          </w:rPr>
          <w:t>2</w:t>
        </w:r>
        <w:r w:rsidRPr="00683E1E">
          <w:rPr>
            <w:rStyle w:val="Hyperlink"/>
            <w:noProof/>
            <w:spacing w:val="-11"/>
          </w:rPr>
          <w:t xml:space="preserve"> </w:t>
        </w:r>
        <w:r w:rsidRPr="00683E1E">
          <w:rPr>
            <w:rStyle w:val="Hyperlink"/>
            <w:noProof/>
          </w:rPr>
          <w:t>sub-options</w:t>
        </w:r>
        <w:r w:rsidRPr="00683E1E">
          <w:rPr>
            <w:rStyle w:val="Hyperlink"/>
            <w:noProof/>
            <w:spacing w:val="-11"/>
          </w:rPr>
          <w:t xml:space="preserve"> </w:t>
        </w:r>
        <w:r w:rsidRPr="00683E1E">
          <w:rPr>
            <w:rStyle w:val="Hyperlink"/>
            <w:noProof/>
            <w:spacing w:val="-2"/>
          </w:rPr>
          <w:t>compared</w:t>
        </w:r>
        <w:r>
          <w:rPr>
            <w:noProof/>
            <w:webHidden/>
          </w:rPr>
          <w:tab/>
        </w:r>
        <w:r>
          <w:rPr>
            <w:noProof/>
            <w:webHidden/>
          </w:rPr>
          <w:fldChar w:fldCharType="begin"/>
        </w:r>
        <w:r>
          <w:rPr>
            <w:noProof/>
            <w:webHidden/>
          </w:rPr>
          <w:instrText xml:space="preserve"> PAGEREF _Toc216699438 \h </w:instrText>
        </w:r>
        <w:r>
          <w:rPr>
            <w:noProof/>
            <w:webHidden/>
          </w:rPr>
        </w:r>
        <w:r>
          <w:rPr>
            <w:noProof/>
            <w:webHidden/>
          </w:rPr>
          <w:fldChar w:fldCharType="separate"/>
        </w:r>
        <w:r>
          <w:rPr>
            <w:noProof/>
            <w:webHidden/>
          </w:rPr>
          <w:t>152</w:t>
        </w:r>
        <w:r>
          <w:rPr>
            <w:noProof/>
            <w:webHidden/>
          </w:rPr>
          <w:fldChar w:fldCharType="end"/>
        </w:r>
      </w:hyperlink>
    </w:p>
    <w:p w14:paraId="725102A3" w14:textId="66FFD14D"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39" w:history="1">
        <w:r w:rsidRPr="00683E1E">
          <w:rPr>
            <w:rStyle w:val="Hyperlink"/>
            <w:noProof/>
          </w:rPr>
          <w:t>14.8</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Multi-criteria</w:t>
        </w:r>
        <w:r w:rsidRPr="00683E1E">
          <w:rPr>
            <w:rStyle w:val="Hyperlink"/>
            <w:noProof/>
            <w:spacing w:val="-10"/>
          </w:rPr>
          <w:t xml:space="preserve"> </w:t>
        </w:r>
        <w:r w:rsidRPr="00683E1E">
          <w:rPr>
            <w:rStyle w:val="Hyperlink"/>
            <w:noProof/>
          </w:rPr>
          <w:t>analysis</w:t>
        </w:r>
        <w:r w:rsidRPr="00683E1E">
          <w:rPr>
            <w:rStyle w:val="Hyperlink"/>
            <w:noProof/>
            <w:spacing w:val="-9"/>
          </w:rPr>
          <w:t xml:space="preserve"> </w:t>
        </w:r>
        <w:r w:rsidRPr="00683E1E">
          <w:rPr>
            <w:rStyle w:val="Hyperlink"/>
            <w:noProof/>
          </w:rPr>
          <w:t>for</w:t>
        </w:r>
        <w:r w:rsidRPr="00683E1E">
          <w:rPr>
            <w:rStyle w:val="Hyperlink"/>
            <w:noProof/>
            <w:spacing w:val="-9"/>
          </w:rPr>
          <w:t xml:space="preserve"> </w:t>
        </w:r>
        <w:r w:rsidRPr="00683E1E">
          <w:rPr>
            <w:rStyle w:val="Hyperlink"/>
            <w:noProof/>
          </w:rPr>
          <w:t>Options</w:t>
        </w:r>
        <w:r w:rsidRPr="00683E1E">
          <w:rPr>
            <w:rStyle w:val="Hyperlink"/>
            <w:noProof/>
            <w:spacing w:val="-10"/>
          </w:rPr>
          <w:t xml:space="preserve"> </w:t>
        </w:r>
        <w:r w:rsidRPr="00683E1E">
          <w:rPr>
            <w:rStyle w:val="Hyperlink"/>
            <w:noProof/>
          </w:rPr>
          <w:t>2A,</w:t>
        </w:r>
        <w:r w:rsidRPr="00683E1E">
          <w:rPr>
            <w:rStyle w:val="Hyperlink"/>
            <w:noProof/>
            <w:spacing w:val="-9"/>
          </w:rPr>
          <w:t xml:space="preserve"> </w:t>
        </w:r>
        <w:r w:rsidRPr="00683E1E">
          <w:rPr>
            <w:rStyle w:val="Hyperlink"/>
            <w:noProof/>
          </w:rPr>
          <w:t>2B</w:t>
        </w:r>
        <w:r w:rsidRPr="00683E1E">
          <w:rPr>
            <w:rStyle w:val="Hyperlink"/>
            <w:noProof/>
            <w:spacing w:val="-9"/>
          </w:rPr>
          <w:t xml:space="preserve"> </w:t>
        </w:r>
        <w:r w:rsidRPr="00683E1E">
          <w:rPr>
            <w:rStyle w:val="Hyperlink"/>
            <w:noProof/>
          </w:rPr>
          <w:t>&amp;</w:t>
        </w:r>
        <w:r w:rsidRPr="00683E1E">
          <w:rPr>
            <w:rStyle w:val="Hyperlink"/>
            <w:noProof/>
            <w:spacing w:val="-9"/>
          </w:rPr>
          <w:t xml:space="preserve"> </w:t>
        </w:r>
        <w:r w:rsidRPr="00683E1E">
          <w:rPr>
            <w:rStyle w:val="Hyperlink"/>
            <w:noProof/>
            <w:spacing w:val="-5"/>
          </w:rPr>
          <w:t>2C</w:t>
        </w:r>
        <w:r>
          <w:rPr>
            <w:noProof/>
            <w:webHidden/>
          </w:rPr>
          <w:tab/>
        </w:r>
        <w:r>
          <w:rPr>
            <w:noProof/>
            <w:webHidden/>
          </w:rPr>
          <w:fldChar w:fldCharType="begin"/>
        </w:r>
        <w:r>
          <w:rPr>
            <w:noProof/>
            <w:webHidden/>
          </w:rPr>
          <w:instrText xml:space="preserve"> PAGEREF _Toc216699439 \h </w:instrText>
        </w:r>
        <w:r>
          <w:rPr>
            <w:noProof/>
            <w:webHidden/>
          </w:rPr>
        </w:r>
        <w:r>
          <w:rPr>
            <w:noProof/>
            <w:webHidden/>
          </w:rPr>
          <w:fldChar w:fldCharType="separate"/>
        </w:r>
        <w:r>
          <w:rPr>
            <w:noProof/>
            <w:webHidden/>
          </w:rPr>
          <w:t>155</w:t>
        </w:r>
        <w:r>
          <w:rPr>
            <w:noProof/>
            <w:webHidden/>
          </w:rPr>
          <w:fldChar w:fldCharType="end"/>
        </w:r>
      </w:hyperlink>
    </w:p>
    <w:p w14:paraId="28DF1416" w14:textId="401DE7FD" w:rsidR="00B91EB8" w:rsidRDefault="00B91EB8">
      <w:pPr>
        <w:pStyle w:val="TOC1"/>
        <w:rPr>
          <w:rFonts w:asciiTheme="minorHAnsi" w:eastAsiaTheme="minorEastAsia" w:hAnsiTheme="minorHAnsi" w:cstheme="minorBidi"/>
          <w:b w:val="0"/>
          <w:caps w:val="0"/>
          <w:noProof/>
          <w:color w:val="auto"/>
          <w:kern w:val="2"/>
          <w:sz w:val="24"/>
          <w:szCs w:val="24"/>
          <w:lang w:eastAsia="en-AU"/>
          <w14:ligatures w14:val="standardContextual"/>
        </w:rPr>
      </w:pPr>
      <w:hyperlink w:anchor="_Toc216699440" w:history="1">
        <w:r w:rsidRPr="00683E1E">
          <w:rPr>
            <w:rStyle w:val="Hyperlink"/>
            <w:noProof/>
          </w:rPr>
          <w:t>15</w:t>
        </w:r>
        <w:r>
          <w:rPr>
            <w:rFonts w:asciiTheme="minorHAnsi" w:eastAsiaTheme="minorEastAsia" w:hAnsiTheme="minorHAnsi" w:cstheme="minorBidi"/>
            <w:b w:val="0"/>
            <w:caps w:val="0"/>
            <w:noProof/>
            <w:color w:val="auto"/>
            <w:kern w:val="2"/>
            <w:sz w:val="24"/>
            <w:szCs w:val="24"/>
            <w:lang w:eastAsia="en-AU"/>
            <w14:ligatures w14:val="standardContextual"/>
          </w:rPr>
          <w:tab/>
        </w:r>
        <w:r w:rsidRPr="00683E1E">
          <w:rPr>
            <w:rStyle w:val="Hyperlink"/>
            <w:noProof/>
          </w:rPr>
          <w:t>OPTION</w:t>
        </w:r>
        <w:r w:rsidRPr="00683E1E">
          <w:rPr>
            <w:rStyle w:val="Hyperlink"/>
            <w:noProof/>
            <w:spacing w:val="-7"/>
          </w:rPr>
          <w:t xml:space="preserve"> </w:t>
        </w:r>
        <w:r w:rsidRPr="00683E1E">
          <w:rPr>
            <w:rStyle w:val="Hyperlink"/>
            <w:noProof/>
          </w:rPr>
          <w:t>3</w:t>
        </w:r>
        <w:r w:rsidRPr="00683E1E">
          <w:rPr>
            <w:rStyle w:val="Hyperlink"/>
            <w:noProof/>
            <w:spacing w:val="-3"/>
          </w:rPr>
          <w:t xml:space="preserve"> </w:t>
        </w:r>
        <w:r w:rsidRPr="00683E1E">
          <w:rPr>
            <w:rStyle w:val="Hyperlink"/>
            <w:noProof/>
          </w:rPr>
          <w:t>–</w:t>
        </w:r>
        <w:r w:rsidRPr="00683E1E">
          <w:rPr>
            <w:rStyle w:val="Hyperlink"/>
            <w:noProof/>
            <w:spacing w:val="-2"/>
          </w:rPr>
          <w:t xml:space="preserve"> </w:t>
        </w:r>
        <w:r w:rsidRPr="00683E1E">
          <w:rPr>
            <w:rStyle w:val="Hyperlink"/>
            <w:noProof/>
          </w:rPr>
          <w:t>EASTERN</w:t>
        </w:r>
        <w:r w:rsidRPr="00683E1E">
          <w:rPr>
            <w:rStyle w:val="Hyperlink"/>
            <w:noProof/>
            <w:spacing w:val="-5"/>
          </w:rPr>
          <w:t xml:space="preserve"> </w:t>
        </w:r>
        <w:r w:rsidRPr="00683E1E">
          <w:rPr>
            <w:rStyle w:val="Hyperlink"/>
            <w:noProof/>
          </w:rPr>
          <w:t>BREAKWATER</w:t>
        </w:r>
        <w:r w:rsidRPr="00683E1E">
          <w:rPr>
            <w:rStyle w:val="Hyperlink"/>
            <w:noProof/>
            <w:spacing w:val="-4"/>
          </w:rPr>
          <w:t xml:space="preserve"> </w:t>
        </w:r>
        <w:r w:rsidRPr="00683E1E">
          <w:rPr>
            <w:rStyle w:val="Hyperlink"/>
            <w:noProof/>
            <w:spacing w:val="-2"/>
          </w:rPr>
          <w:t>EXTENSION</w:t>
        </w:r>
        <w:r>
          <w:rPr>
            <w:noProof/>
            <w:webHidden/>
          </w:rPr>
          <w:tab/>
        </w:r>
        <w:r>
          <w:rPr>
            <w:noProof/>
            <w:webHidden/>
          </w:rPr>
          <w:fldChar w:fldCharType="begin"/>
        </w:r>
        <w:r>
          <w:rPr>
            <w:noProof/>
            <w:webHidden/>
          </w:rPr>
          <w:instrText xml:space="preserve"> PAGEREF _Toc216699440 \h </w:instrText>
        </w:r>
        <w:r>
          <w:rPr>
            <w:noProof/>
            <w:webHidden/>
          </w:rPr>
        </w:r>
        <w:r>
          <w:rPr>
            <w:noProof/>
            <w:webHidden/>
          </w:rPr>
          <w:fldChar w:fldCharType="separate"/>
        </w:r>
        <w:r>
          <w:rPr>
            <w:noProof/>
            <w:webHidden/>
          </w:rPr>
          <w:t>160</w:t>
        </w:r>
        <w:r>
          <w:rPr>
            <w:noProof/>
            <w:webHidden/>
          </w:rPr>
          <w:fldChar w:fldCharType="end"/>
        </w:r>
      </w:hyperlink>
    </w:p>
    <w:p w14:paraId="111266FD" w14:textId="49E249CD"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41" w:history="1">
        <w:r w:rsidRPr="00683E1E">
          <w:rPr>
            <w:rStyle w:val="Hyperlink"/>
            <w:noProof/>
          </w:rPr>
          <w:t>15.1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w:t>
        </w:r>
        <w:r w:rsidRPr="00683E1E">
          <w:rPr>
            <w:rStyle w:val="Hyperlink"/>
            <w:noProof/>
            <w:spacing w:val="-13"/>
          </w:rPr>
          <w:t xml:space="preserve"> </w:t>
        </w:r>
        <w:r w:rsidRPr="00683E1E">
          <w:rPr>
            <w:rStyle w:val="Hyperlink"/>
            <w:noProof/>
          </w:rPr>
          <w:t>description</w:t>
        </w:r>
        <w:r>
          <w:rPr>
            <w:noProof/>
            <w:webHidden/>
          </w:rPr>
          <w:tab/>
        </w:r>
        <w:r>
          <w:rPr>
            <w:noProof/>
            <w:webHidden/>
          </w:rPr>
          <w:fldChar w:fldCharType="begin"/>
        </w:r>
        <w:r>
          <w:rPr>
            <w:noProof/>
            <w:webHidden/>
          </w:rPr>
          <w:instrText xml:space="preserve"> PAGEREF _Toc216699441 \h </w:instrText>
        </w:r>
        <w:r>
          <w:rPr>
            <w:noProof/>
            <w:webHidden/>
          </w:rPr>
        </w:r>
        <w:r>
          <w:rPr>
            <w:noProof/>
            <w:webHidden/>
          </w:rPr>
          <w:fldChar w:fldCharType="separate"/>
        </w:r>
        <w:r>
          <w:rPr>
            <w:noProof/>
            <w:webHidden/>
          </w:rPr>
          <w:t>160</w:t>
        </w:r>
        <w:r>
          <w:rPr>
            <w:noProof/>
            <w:webHidden/>
          </w:rPr>
          <w:fldChar w:fldCharType="end"/>
        </w:r>
      </w:hyperlink>
    </w:p>
    <w:p w14:paraId="0A05A6F8" w14:textId="7B0C6B06"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42" w:history="1">
        <w:r w:rsidRPr="00683E1E">
          <w:rPr>
            <w:rStyle w:val="Hyperlink"/>
            <w:noProof/>
          </w:rPr>
          <w:t>15.1.1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Impact</w:t>
        </w:r>
        <w:r w:rsidRPr="00683E1E">
          <w:rPr>
            <w:rStyle w:val="Hyperlink"/>
            <w:noProof/>
            <w:spacing w:val="-3"/>
          </w:rPr>
          <w:t xml:space="preserve"> </w:t>
        </w:r>
        <w:r w:rsidRPr="00683E1E">
          <w:rPr>
            <w:rStyle w:val="Hyperlink"/>
            <w:noProof/>
          </w:rPr>
          <w:t>on</w:t>
        </w:r>
        <w:r w:rsidRPr="00683E1E">
          <w:rPr>
            <w:rStyle w:val="Hyperlink"/>
            <w:noProof/>
            <w:spacing w:val="-3"/>
          </w:rPr>
          <w:t xml:space="preserve"> </w:t>
        </w:r>
        <w:r w:rsidRPr="00683E1E">
          <w:rPr>
            <w:rStyle w:val="Hyperlink"/>
            <w:noProof/>
          </w:rPr>
          <w:t>Coastal</w:t>
        </w:r>
        <w:r w:rsidRPr="00683E1E">
          <w:rPr>
            <w:rStyle w:val="Hyperlink"/>
            <w:noProof/>
            <w:spacing w:val="-3"/>
          </w:rPr>
          <w:t xml:space="preserve"> </w:t>
        </w:r>
        <w:r w:rsidRPr="00683E1E">
          <w:rPr>
            <w:rStyle w:val="Hyperlink"/>
            <w:noProof/>
            <w:spacing w:val="-2"/>
          </w:rPr>
          <w:t>Processes</w:t>
        </w:r>
        <w:r>
          <w:rPr>
            <w:noProof/>
            <w:webHidden/>
          </w:rPr>
          <w:tab/>
        </w:r>
        <w:r>
          <w:rPr>
            <w:noProof/>
            <w:webHidden/>
          </w:rPr>
          <w:fldChar w:fldCharType="begin"/>
        </w:r>
        <w:r>
          <w:rPr>
            <w:noProof/>
            <w:webHidden/>
          </w:rPr>
          <w:instrText xml:space="preserve"> PAGEREF _Toc216699442 \h </w:instrText>
        </w:r>
        <w:r>
          <w:rPr>
            <w:noProof/>
            <w:webHidden/>
          </w:rPr>
        </w:r>
        <w:r>
          <w:rPr>
            <w:noProof/>
            <w:webHidden/>
          </w:rPr>
          <w:fldChar w:fldCharType="separate"/>
        </w:r>
        <w:r>
          <w:rPr>
            <w:noProof/>
            <w:webHidden/>
          </w:rPr>
          <w:t>160</w:t>
        </w:r>
        <w:r>
          <w:rPr>
            <w:noProof/>
            <w:webHidden/>
          </w:rPr>
          <w:fldChar w:fldCharType="end"/>
        </w:r>
      </w:hyperlink>
    </w:p>
    <w:p w14:paraId="15E32E45" w14:textId="1C670E36"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43" w:history="1">
        <w:r w:rsidRPr="00683E1E">
          <w:rPr>
            <w:rStyle w:val="Hyperlink"/>
            <w:noProof/>
          </w:rPr>
          <w:t>15.2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Effectiveness</w:t>
        </w:r>
        <w:r w:rsidRPr="00683E1E">
          <w:rPr>
            <w:rStyle w:val="Hyperlink"/>
            <w:noProof/>
            <w:spacing w:val="-13"/>
          </w:rPr>
          <w:t xml:space="preserve"> </w:t>
        </w:r>
        <w:r w:rsidRPr="00683E1E">
          <w:rPr>
            <w:rStyle w:val="Hyperlink"/>
            <w:noProof/>
          </w:rPr>
          <w:t>of</w:t>
        </w:r>
        <w:r w:rsidRPr="00683E1E">
          <w:rPr>
            <w:rStyle w:val="Hyperlink"/>
            <w:noProof/>
            <w:spacing w:val="-12"/>
          </w:rPr>
          <w:t xml:space="preserve"> </w:t>
        </w:r>
        <w:r w:rsidRPr="00683E1E">
          <w:rPr>
            <w:rStyle w:val="Hyperlink"/>
            <w:noProof/>
            <w:spacing w:val="-2"/>
          </w:rPr>
          <w:t>option</w:t>
        </w:r>
        <w:r>
          <w:rPr>
            <w:noProof/>
            <w:webHidden/>
          </w:rPr>
          <w:tab/>
        </w:r>
        <w:r>
          <w:rPr>
            <w:noProof/>
            <w:webHidden/>
          </w:rPr>
          <w:fldChar w:fldCharType="begin"/>
        </w:r>
        <w:r>
          <w:rPr>
            <w:noProof/>
            <w:webHidden/>
          </w:rPr>
          <w:instrText xml:space="preserve"> PAGEREF _Toc216699443 \h </w:instrText>
        </w:r>
        <w:r>
          <w:rPr>
            <w:noProof/>
            <w:webHidden/>
          </w:rPr>
        </w:r>
        <w:r>
          <w:rPr>
            <w:noProof/>
            <w:webHidden/>
          </w:rPr>
          <w:fldChar w:fldCharType="separate"/>
        </w:r>
        <w:r>
          <w:rPr>
            <w:noProof/>
            <w:webHidden/>
          </w:rPr>
          <w:t>160</w:t>
        </w:r>
        <w:r>
          <w:rPr>
            <w:noProof/>
            <w:webHidden/>
          </w:rPr>
          <w:fldChar w:fldCharType="end"/>
        </w:r>
      </w:hyperlink>
    </w:p>
    <w:p w14:paraId="4772CD0E" w14:textId="603616E4"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44" w:history="1">
        <w:r w:rsidRPr="00683E1E">
          <w:rPr>
            <w:rStyle w:val="Hyperlink"/>
            <w:noProof/>
          </w:rPr>
          <w:t>15.3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Variations</w:t>
        </w:r>
        <w:r w:rsidRPr="00683E1E">
          <w:rPr>
            <w:rStyle w:val="Hyperlink"/>
            <w:noProof/>
            <w:spacing w:val="-11"/>
          </w:rPr>
          <w:t xml:space="preserve"> </w:t>
        </w:r>
        <w:r w:rsidRPr="00683E1E">
          <w:rPr>
            <w:rStyle w:val="Hyperlink"/>
            <w:noProof/>
          </w:rPr>
          <w:t>of</w:t>
        </w:r>
        <w:r w:rsidRPr="00683E1E">
          <w:rPr>
            <w:rStyle w:val="Hyperlink"/>
            <w:noProof/>
            <w:spacing w:val="-11"/>
          </w:rPr>
          <w:t xml:space="preserve"> </w:t>
        </w:r>
        <w:r w:rsidRPr="00683E1E">
          <w:rPr>
            <w:rStyle w:val="Hyperlink"/>
            <w:noProof/>
          </w:rPr>
          <w:t>Option</w:t>
        </w:r>
        <w:r w:rsidRPr="00683E1E">
          <w:rPr>
            <w:rStyle w:val="Hyperlink"/>
            <w:noProof/>
            <w:spacing w:val="-12"/>
          </w:rPr>
          <w:t xml:space="preserve"> </w:t>
        </w:r>
        <w:r w:rsidRPr="00683E1E">
          <w:rPr>
            <w:rStyle w:val="Hyperlink"/>
            <w:noProof/>
            <w:spacing w:val="-10"/>
          </w:rPr>
          <w:t>3</w:t>
        </w:r>
        <w:r>
          <w:rPr>
            <w:noProof/>
            <w:webHidden/>
          </w:rPr>
          <w:tab/>
        </w:r>
        <w:r>
          <w:rPr>
            <w:noProof/>
            <w:webHidden/>
          </w:rPr>
          <w:fldChar w:fldCharType="begin"/>
        </w:r>
        <w:r>
          <w:rPr>
            <w:noProof/>
            <w:webHidden/>
          </w:rPr>
          <w:instrText xml:space="preserve"> PAGEREF _Toc216699444 \h </w:instrText>
        </w:r>
        <w:r>
          <w:rPr>
            <w:noProof/>
            <w:webHidden/>
          </w:rPr>
        </w:r>
        <w:r>
          <w:rPr>
            <w:noProof/>
            <w:webHidden/>
          </w:rPr>
          <w:fldChar w:fldCharType="separate"/>
        </w:r>
        <w:r>
          <w:rPr>
            <w:noProof/>
            <w:webHidden/>
          </w:rPr>
          <w:t>161</w:t>
        </w:r>
        <w:r>
          <w:rPr>
            <w:noProof/>
            <w:webHidden/>
          </w:rPr>
          <w:fldChar w:fldCharType="end"/>
        </w:r>
      </w:hyperlink>
    </w:p>
    <w:p w14:paraId="1A317093" w14:textId="5C95DD1B"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45" w:history="1">
        <w:r w:rsidRPr="00683E1E">
          <w:rPr>
            <w:rStyle w:val="Hyperlink"/>
            <w:noProof/>
          </w:rPr>
          <w:t>15.4</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w:t>
        </w:r>
        <w:r w:rsidRPr="00683E1E">
          <w:rPr>
            <w:rStyle w:val="Hyperlink"/>
            <w:noProof/>
            <w:spacing w:val="-11"/>
          </w:rPr>
          <w:t xml:space="preserve"> </w:t>
        </w:r>
        <w:r w:rsidRPr="00683E1E">
          <w:rPr>
            <w:rStyle w:val="Hyperlink"/>
            <w:noProof/>
          </w:rPr>
          <w:t>3A</w:t>
        </w:r>
        <w:r w:rsidRPr="00683E1E">
          <w:rPr>
            <w:rStyle w:val="Hyperlink"/>
            <w:noProof/>
            <w:spacing w:val="-11"/>
          </w:rPr>
          <w:t xml:space="preserve"> </w:t>
        </w:r>
        <w:r w:rsidRPr="00683E1E">
          <w:rPr>
            <w:rStyle w:val="Hyperlink"/>
            <w:noProof/>
          </w:rPr>
          <w:t>–</w:t>
        </w:r>
        <w:r w:rsidRPr="00683E1E">
          <w:rPr>
            <w:rStyle w:val="Hyperlink"/>
            <w:noProof/>
            <w:spacing w:val="-10"/>
          </w:rPr>
          <w:t xml:space="preserve"> </w:t>
        </w:r>
        <w:r w:rsidRPr="00683E1E">
          <w:rPr>
            <w:rStyle w:val="Hyperlink"/>
            <w:noProof/>
          </w:rPr>
          <w:t>Breakwater</w:t>
        </w:r>
        <w:r w:rsidRPr="00683E1E">
          <w:rPr>
            <w:rStyle w:val="Hyperlink"/>
            <w:noProof/>
            <w:spacing w:val="-11"/>
          </w:rPr>
          <w:t xml:space="preserve"> </w:t>
        </w:r>
        <w:r w:rsidRPr="00683E1E">
          <w:rPr>
            <w:rStyle w:val="Hyperlink"/>
            <w:noProof/>
          </w:rPr>
          <w:t>extensions</w:t>
        </w:r>
        <w:r w:rsidRPr="00683E1E">
          <w:rPr>
            <w:rStyle w:val="Hyperlink"/>
            <w:noProof/>
            <w:spacing w:val="-10"/>
          </w:rPr>
          <w:t xml:space="preserve"> </w:t>
        </w:r>
        <w:r w:rsidRPr="00683E1E">
          <w:rPr>
            <w:rStyle w:val="Hyperlink"/>
            <w:noProof/>
          </w:rPr>
          <w:t>with</w:t>
        </w:r>
        <w:r w:rsidRPr="00683E1E">
          <w:rPr>
            <w:rStyle w:val="Hyperlink"/>
            <w:noProof/>
            <w:spacing w:val="-11"/>
          </w:rPr>
          <w:t xml:space="preserve"> </w:t>
        </w:r>
        <w:r w:rsidRPr="00683E1E">
          <w:rPr>
            <w:rStyle w:val="Hyperlink"/>
            <w:noProof/>
          </w:rPr>
          <w:t>dredging</w:t>
        </w:r>
        <w:r w:rsidRPr="00683E1E">
          <w:rPr>
            <w:rStyle w:val="Hyperlink"/>
            <w:noProof/>
            <w:spacing w:val="-11"/>
          </w:rPr>
          <w:t xml:space="preserve"> </w:t>
        </w:r>
        <w:r w:rsidRPr="00683E1E">
          <w:rPr>
            <w:rStyle w:val="Hyperlink"/>
            <w:noProof/>
          </w:rPr>
          <w:t>and</w:t>
        </w:r>
        <w:r w:rsidRPr="00683E1E">
          <w:rPr>
            <w:rStyle w:val="Hyperlink"/>
            <w:noProof/>
            <w:spacing w:val="-11"/>
          </w:rPr>
          <w:t xml:space="preserve"> </w:t>
        </w:r>
        <w:r w:rsidRPr="00683E1E">
          <w:rPr>
            <w:rStyle w:val="Hyperlink"/>
            <w:noProof/>
            <w:spacing w:val="-2"/>
          </w:rPr>
          <w:t>placement</w:t>
        </w:r>
        <w:r>
          <w:rPr>
            <w:noProof/>
            <w:webHidden/>
          </w:rPr>
          <w:tab/>
        </w:r>
        <w:r>
          <w:rPr>
            <w:noProof/>
            <w:webHidden/>
          </w:rPr>
          <w:fldChar w:fldCharType="begin"/>
        </w:r>
        <w:r>
          <w:rPr>
            <w:noProof/>
            <w:webHidden/>
          </w:rPr>
          <w:instrText xml:space="preserve"> PAGEREF _Toc216699445 \h </w:instrText>
        </w:r>
        <w:r>
          <w:rPr>
            <w:noProof/>
            <w:webHidden/>
          </w:rPr>
        </w:r>
        <w:r>
          <w:rPr>
            <w:noProof/>
            <w:webHidden/>
          </w:rPr>
          <w:fldChar w:fldCharType="separate"/>
        </w:r>
        <w:r>
          <w:rPr>
            <w:noProof/>
            <w:webHidden/>
          </w:rPr>
          <w:t>163</w:t>
        </w:r>
        <w:r>
          <w:rPr>
            <w:noProof/>
            <w:webHidden/>
          </w:rPr>
          <w:fldChar w:fldCharType="end"/>
        </w:r>
      </w:hyperlink>
    </w:p>
    <w:p w14:paraId="75B86CC0" w14:textId="2C4DFA24"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46" w:history="1">
        <w:r w:rsidRPr="00683E1E">
          <w:rPr>
            <w:rStyle w:val="Hyperlink"/>
            <w:noProof/>
          </w:rPr>
          <w:t>15.4.1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w:t>
        </w:r>
        <w:r w:rsidRPr="00683E1E">
          <w:rPr>
            <w:rStyle w:val="Hyperlink"/>
            <w:noProof/>
            <w:spacing w:val="-5"/>
          </w:rPr>
          <w:t xml:space="preserve"> </w:t>
        </w:r>
        <w:r w:rsidRPr="00683E1E">
          <w:rPr>
            <w:rStyle w:val="Hyperlink"/>
            <w:noProof/>
          </w:rPr>
          <w:t>descriptions</w:t>
        </w:r>
        <w:r>
          <w:rPr>
            <w:noProof/>
            <w:webHidden/>
          </w:rPr>
          <w:tab/>
        </w:r>
        <w:r>
          <w:rPr>
            <w:noProof/>
            <w:webHidden/>
          </w:rPr>
          <w:fldChar w:fldCharType="begin"/>
        </w:r>
        <w:r>
          <w:rPr>
            <w:noProof/>
            <w:webHidden/>
          </w:rPr>
          <w:instrText xml:space="preserve"> PAGEREF _Toc216699446 \h </w:instrText>
        </w:r>
        <w:r>
          <w:rPr>
            <w:noProof/>
            <w:webHidden/>
          </w:rPr>
        </w:r>
        <w:r>
          <w:rPr>
            <w:noProof/>
            <w:webHidden/>
          </w:rPr>
          <w:fldChar w:fldCharType="separate"/>
        </w:r>
        <w:r>
          <w:rPr>
            <w:noProof/>
            <w:webHidden/>
          </w:rPr>
          <w:t>163</w:t>
        </w:r>
        <w:r>
          <w:rPr>
            <w:noProof/>
            <w:webHidden/>
          </w:rPr>
          <w:fldChar w:fldCharType="end"/>
        </w:r>
      </w:hyperlink>
    </w:p>
    <w:p w14:paraId="3F30E82D" w14:textId="03EA3A6A"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47" w:history="1">
        <w:r w:rsidRPr="00683E1E">
          <w:rPr>
            <w:rStyle w:val="Hyperlink"/>
            <w:noProof/>
          </w:rPr>
          <w:t>15.4.2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Design</w:t>
        </w:r>
        <w:r w:rsidRPr="00683E1E">
          <w:rPr>
            <w:rStyle w:val="Hyperlink"/>
            <w:noProof/>
            <w:spacing w:val="-3"/>
          </w:rPr>
          <w:t xml:space="preserve"> </w:t>
        </w:r>
        <w:r w:rsidRPr="00683E1E">
          <w:rPr>
            <w:rStyle w:val="Hyperlink"/>
            <w:noProof/>
          </w:rPr>
          <w:t>and</w:t>
        </w:r>
        <w:r w:rsidRPr="00683E1E">
          <w:rPr>
            <w:rStyle w:val="Hyperlink"/>
            <w:noProof/>
            <w:spacing w:val="-3"/>
          </w:rPr>
          <w:t xml:space="preserve"> </w:t>
        </w:r>
        <w:r w:rsidRPr="00683E1E">
          <w:rPr>
            <w:rStyle w:val="Hyperlink"/>
            <w:noProof/>
            <w:spacing w:val="-2"/>
          </w:rPr>
          <w:t>approvals</w:t>
        </w:r>
        <w:r>
          <w:rPr>
            <w:noProof/>
            <w:webHidden/>
          </w:rPr>
          <w:tab/>
        </w:r>
        <w:r>
          <w:rPr>
            <w:noProof/>
            <w:webHidden/>
          </w:rPr>
          <w:fldChar w:fldCharType="begin"/>
        </w:r>
        <w:r>
          <w:rPr>
            <w:noProof/>
            <w:webHidden/>
          </w:rPr>
          <w:instrText xml:space="preserve"> PAGEREF _Toc216699447 \h </w:instrText>
        </w:r>
        <w:r>
          <w:rPr>
            <w:noProof/>
            <w:webHidden/>
          </w:rPr>
        </w:r>
        <w:r>
          <w:rPr>
            <w:noProof/>
            <w:webHidden/>
          </w:rPr>
          <w:fldChar w:fldCharType="separate"/>
        </w:r>
        <w:r>
          <w:rPr>
            <w:noProof/>
            <w:webHidden/>
          </w:rPr>
          <w:t>163</w:t>
        </w:r>
        <w:r>
          <w:rPr>
            <w:noProof/>
            <w:webHidden/>
          </w:rPr>
          <w:fldChar w:fldCharType="end"/>
        </w:r>
      </w:hyperlink>
    </w:p>
    <w:p w14:paraId="5247EBE0" w14:textId="76B753E0"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48" w:history="1">
        <w:r w:rsidRPr="00683E1E">
          <w:rPr>
            <w:rStyle w:val="Hyperlink"/>
            <w:noProof/>
          </w:rPr>
          <w:t>15.4.3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Capital</w:t>
        </w:r>
        <w:r w:rsidRPr="00683E1E">
          <w:rPr>
            <w:rStyle w:val="Hyperlink"/>
            <w:noProof/>
            <w:spacing w:val="-4"/>
          </w:rPr>
          <w:t xml:space="preserve"> </w:t>
        </w:r>
        <w:r w:rsidRPr="00683E1E">
          <w:rPr>
            <w:rStyle w:val="Hyperlink"/>
            <w:noProof/>
            <w:spacing w:val="-2"/>
          </w:rPr>
          <w:t>works</w:t>
        </w:r>
        <w:r>
          <w:rPr>
            <w:noProof/>
            <w:webHidden/>
          </w:rPr>
          <w:tab/>
        </w:r>
        <w:r>
          <w:rPr>
            <w:noProof/>
            <w:webHidden/>
          </w:rPr>
          <w:fldChar w:fldCharType="begin"/>
        </w:r>
        <w:r>
          <w:rPr>
            <w:noProof/>
            <w:webHidden/>
          </w:rPr>
          <w:instrText xml:space="preserve"> PAGEREF _Toc216699448 \h </w:instrText>
        </w:r>
        <w:r>
          <w:rPr>
            <w:noProof/>
            <w:webHidden/>
          </w:rPr>
        </w:r>
        <w:r>
          <w:rPr>
            <w:noProof/>
            <w:webHidden/>
          </w:rPr>
          <w:fldChar w:fldCharType="separate"/>
        </w:r>
        <w:r>
          <w:rPr>
            <w:noProof/>
            <w:webHidden/>
          </w:rPr>
          <w:t>163</w:t>
        </w:r>
        <w:r>
          <w:rPr>
            <w:noProof/>
            <w:webHidden/>
          </w:rPr>
          <w:fldChar w:fldCharType="end"/>
        </w:r>
      </w:hyperlink>
    </w:p>
    <w:p w14:paraId="2C30CEF0" w14:textId="5BDCC4C6"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49" w:history="1">
        <w:r w:rsidRPr="00683E1E">
          <w:rPr>
            <w:rStyle w:val="Hyperlink"/>
            <w:noProof/>
          </w:rPr>
          <w:t>15.4.4</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Operational</w:t>
        </w:r>
        <w:r w:rsidRPr="00683E1E">
          <w:rPr>
            <w:rStyle w:val="Hyperlink"/>
            <w:noProof/>
            <w:spacing w:val="-7"/>
          </w:rPr>
          <w:t xml:space="preserve"> </w:t>
        </w:r>
        <w:r w:rsidRPr="00683E1E">
          <w:rPr>
            <w:rStyle w:val="Hyperlink"/>
            <w:noProof/>
            <w:spacing w:val="-2"/>
          </w:rPr>
          <w:t>works</w:t>
        </w:r>
        <w:r>
          <w:rPr>
            <w:noProof/>
            <w:webHidden/>
          </w:rPr>
          <w:tab/>
        </w:r>
        <w:r>
          <w:rPr>
            <w:noProof/>
            <w:webHidden/>
          </w:rPr>
          <w:fldChar w:fldCharType="begin"/>
        </w:r>
        <w:r>
          <w:rPr>
            <w:noProof/>
            <w:webHidden/>
          </w:rPr>
          <w:instrText xml:space="preserve"> PAGEREF _Toc216699449 \h </w:instrText>
        </w:r>
        <w:r>
          <w:rPr>
            <w:noProof/>
            <w:webHidden/>
          </w:rPr>
        </w:r>
        <w:r>
          <w:rPr>
            <w:noProof/>
            <w:webHidden/>
          </w:rPr>
          <w:fldChar w:fldCharType="separate"/>
        </w:r>
        <w:r>
          <w:rPr>
            <w:noProof/>
            <w:webHidden/>
          </w:rPr>
          <w:t>164</w:t>
        </w:r>
        <w:r>
          <w:rPr>
            <w:noProof/>
            <w:webHidden/>
          </w:rPr>
          <w:fldChar w:fldCharType="end"/>
        </w:r>
      </w:hyperlink>
    </w:p>
    <w:p w14:paraId="677F8981" w14:textId="26D11949"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50" w:history="1">
        <w:r w:rsidRPr="00683E1E">
          <w:rPr>
            <w:rStyle w:val="Hyperlink"/>
            <w:noProof/>
          </w:rPr>
          <w:t>15.4.5</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Environmental</w:t>
        </w:r>
        <w:r w:rsidRPr="00683E1E">
          <w:rPr>
            <w:rStyle w:val="Hyperlink"/>
            <w:noProof/>
            <w:spacing w:val="-9"/>
          </w:rPr>
          <w:t xml:space="preserve"> </w:t>
        </w:r>
        <w:r w:rsidRPr="00683E1E">
          <w:rPr>
            <w:rStyle w:val="Hyperlink"/>
            <w:noProof/>
            <w:spacing w:val="-2"/>
          </w:rPr>
          <w:t>constraints</w:t>
        </w:r>
        <w:r>
          <w:rPr>
            <w:noProof/>
            <w:webHidden/>
          </w:rPr>
          <w:tab/>
        </w:r>
        <w:r>
          <w:rPr>
            <w:noProof/>
            <w:webHidden/>
          </w:rPr>
          <w:fldChar w:fldCharType="begin"/>
        </w:r>
        <w:r>
          <w:rPr>
            <w:noProof/>
            <w:webHidden/>
          </w:rPr>
          <w:instrText xml:space="preserve"> PAGEREF _Toc216699450 \h </w:instrText>
        </w:r>
        <w:r>
          <w:rPr>
            <w:noProof/>
            <w:webHidden/>
          </w:rPr>
        </w:r>
        <w:r>
          <w:rPr>
            <w:noProof/>
            <w:webHidden/>
          </w:rPr>
          <w:fldChar w:fldCharType="separate"/>
        </w:r>
        <w:r>
          <w:rPr>
            <w:noProof/>
            <w:webHidden/>
          </w:rPr>
          <w:t>165</w:t>
        </w:r>
        <w:r>
          <w:rPr>
            <w:noProof/>
            <w:webHidden/>
          </w:rPr>
          <w:fldChar w:fldCharType="end"/>
        </w:r>
      </w:hyperlink>
    </w:p>
    <w:p w14:paraId="22CAFC2C" w14:textId="796E3456"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51" w:history="1">
        <w:r w:rsidRPr="00683E1E">
          <w:rPr>
            <w:rStyle w:val="Hyperlink"/>
            <w:noProof/>
          </w:rPr>
          <w:t>15.4.6</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Social</w:t>
        </w:r>
        <w:r w:rsidRPr="00683E1E">
          <w:rPr>
            <w:rStyle w:val="Hyperlink"/>
            <w:noProof/>
            <w:spacing w:val="-3"/>
          </w:rPr>
          <w:t xml:space="preserve"> </w:t>
        </w:r>
        <w:r w:rsidRPr="00683E1E">
          <w:rPr>
            <w:rStyle w:val="Hyperlink"/>
            <w:noProof/>
            <w:spacing w:val="-2"/>
          </w:rPr>
          <w:t>impacts</w:t>
        </w:r>
        <w:r>
          <w:rPr>
            <w:noProof/>
            <w:webHidden/>
          </w:rPr>
          <w:tab/>
        </w:r>
        <w:r>
          <w:rPr>
            <w:noProof/>
            <w:webHidden/>
          </w:rPr>
          <w:fldChar w:fldCharType="begin"/>
        </w:r>
        <w:r>
          <w:rPr>
            <w:noProof/>
            <w:webHidden/>
          </w:rPr>
          <w:instrText xml:space="preserve"> PAGEREF _Toc216699451 \h </w:instrText>
        </w:r>
        <w:r>
          <w:rPr>
            <w:noProof/>
            <w:webHidden/>
          </w:rPr>
        </w:r>
        <w:r>
          <w:rPr>
            <w:noProof/>
            <w:webHidden/>
          </w:rPr>
          <w:fldChar w:fldCharType="separate"/>
        </w:r>
        <w:r>
          <w:rPr>
            <w:noProof/>
            <w:webHidden/>
          </w:rPr>
          <w:t>173</w:t>
        </w:r>
        <w:r>
          <w:rPr>
            <w:noProof/>
            <w:webHidden/>
          </w:rPr>
          <w:fldChar w:fldCharType="end"/>
        </w:r>
      </w:hyperlink>
    </w:p>
    <w:p w14:paraId="6038E372" w14:textId="480E9599"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52" w:history="1">
        <w:r w:rsidRPr="00683E1E">
          <w:rPr>
            <w:rStyle w:val="Hyperlink"/>
            <w:noProof/>
          </w:rPr>
          <w:t>15.4.7</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Economic</w:t>
        </w:r>
        <w:r w:rsidRPr="00683E1E">
          <w:rPr>
            <w:rStyle w:val="Hyperlink"/>
            <w:noProof/>
            <w:spacing w:val="-4"/>
          </w:rPr>
          <w:t xml:space="preserve"> </w:t>
        </w:r>
        <w:r w:rsidRPr="00683E1E">
          <w:rPr>
            <w:rStyle w:val="Hyperlink"/>
            <w:noProof/>
            <w:spacing w:val="-2"/>
          </w:rPr>
          <w:t>impacts</w:t>
        </w:r>
        <w:r>
          <w:rPr>
            <w:noProof/>
            <w:webHidden/>
          </w:rPr>
          <w:tab/>
        </w:r>
        <w:r>
          <w:rPr>
            <w:noProof/>
            <w:webHidden/>
          </w:rPr>
          <w:fldChar w:fldCharType="begin"/>
        </w:r>
        <w:r>
          <w:rPr>
            <w:noProof/>
            <w:webHidden/>
          </w:rPr>
          <w:instrText xml:space="preserve"> PAGEREF _Toc216699452 \h </w:instrText>
        </w:r>
        <w:r>
          <w:rPr>
            <w:noProof/>
            <w:webHidden/>
          </w:rPr>
        </w:r>
        <w:r>
          <w:rPr>
            <w:noProof/>
            <w:webHidden/>
          </w:rPr>
          <w:fldChar w:fldCharType="separate"/>
        </w:r>
        <w:r>
          <w:rPr>
            <w:noProof/>
            <w:webHidden/>
          </w:rPr>
          <w:t>173</w:t>
        </w:r>
        <w:r>
          <w:rPr>
            <w:noProof/>
            <w:webHidden/>
          </w:rPr>
          <w:fldChar w:fldCharType="end"/>
        </w:r>
      </w:hyperlink>
    </w:p>
    <w:p w14:paraId="017A86DA" w14:textId="46D2C329"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53" w:history="1">
        <w:r w:rsidRPr="00683E1E">
          <w:rPr>
            <w:rStyle w:val="Hyperlink"/>
            <w:noProof/>
          </w:rPr>
          <w:t>15.4.8</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Future</w:t>
        </w:r>
        <w:r w:rsidRPr="00683E1E">
          <w:rPr>
            <w:rStyle w:val="Hyperlink"/>
            <w:noProof/>
            <w:spacing w:val="-3"/>
          </w:rPr>
          <w:t xml:space="preserve"> </w:t>
        </w:r>
        <w:r w:rsidRPr="00683E1E">
          <w:rPr>
            <w:rStyle w:val="Hyperlink"/>
            <w:noProof/>
          </w:rPr>
          <w:t>adaptation</w:t>
        </w:r>
        <w:r>
          <w:rPr>
            <w:noProof/>
            <w:webHidden/>
          </w:rPr>
          <w:tab/>
        </w:r>
        <w:r>
          <w:rPr>
            <w:noProof/>
            <w:webHidden/>
          </w:rPr>
          <w:fldChar w:fldCharType="begin"/>
        </w:r>
        <w:r>
          <w:rPr>
            <w:noProof/>
            <w:webHidden/>
          </w:rPr>
          <w:instrText xml:space="preserve"> PAGEREF _Toc216699453 \h </w:instrText>
        </w:r>
        <w:r>
          <w:rPr>
            <w:noProof/>
            <w:webHidden/>
          </w:rPr>
        </w:r>
        <w:r>
          <w:rPr>
            <w:noProof/>
            <w:webHidden/>
          </w:rPr>
          <w:fldChar w:fldCharType="separate"/>
        </w:r>
        <w:r>
          <w:rPr>
            <w:noProof/>
            <w:webHidden/>
          </w:rPr>
          <w:t>173</w:t>
        </w:r>
        <w:r>
          <w:rPr>
            <w:noProof/>
            <w:webHidden/>
          </w:rPr>
          <w:fldChar w:fldCharType="end"/>
        </w:r>
      </w:hyperlink>
    </w:p>
    <w:p w14:paraId="54940507" w14:textId="740A6C6A"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54" w:history="1">
        <w:r w:rsidRPr="00683E1E">
          <w:rPr>
            <w:rStyle w:val="Hyperlink"/>
            <w:noProof/>
          </w:rPr>
          <w:t>15.4.9</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Safety</w:t>
        </w:r>
        <w:r w:rsidRPr="00683E1E">
          <w:rPr>
            <w:rStyle w:val="Hyperlink"/>
            <w:noProof/>
            <w:spacing w:val="-5"/>
          </w:rPr>
          <w:t xml:space="preserve"> </w:t>
        </w:r>
        <w:r w:rsidRPr="00683E1E">
          <w:rPr>
            <w:rStyle w:val="Hyperlink"/>
            <w:noProof/>
          </w:rPr>
          <w:t>of</w:t>
        </w:r>
        <w:r w:rsidRPr="00683E1E">
          <w:rPr>
            <w:rStyle w:val="Hyperlink"/>
            <w:noProof/>
            <w:spacing w:val="-3"/>
          </w:rPr>
          <w:t xml:space="preserve"> </w:t>
        </w:r>
        <w:r w:rsidRPr="00683E1E">
          <w:rPr>
            <w:rStyle w:val="Hyperlink"/>
            <w:noProof/>
          </w:rPr>
          <w:t>Option</w:t>
        </w:r>
        <w:r w:rsidRPr="00683E1E">
          <w:rPr>
            <w:rStyle w:val="Hyperlink"/>
            <w:noProof/>
            <w:spacing w:val="-2"/>
          </w:rPr>
          <w:t xml:space="preserve"> </w:t>
        </w:r>
        <w:r w:rsidRPr="00683E1E">
          <w:rPr>
            <w:rStyle w:val="Hyperlink"/>
            <w:noProof/>
            <w:spacing w:val="-5"/>
          </w:rPr>
          <w:t>3A</w:t>
        </w:r>
        <w:r>
          <w:rPr>
            <w:noProof/>
            <w:webHidden/>
          </w:rPr>
          <w:tab/>
        </w:r>
        <w:r>
          <w:rPr>
            <w:noProof/>
            <w:webHidden/>
          </w:rPr>
          <w:fldChar w:fldCharType="begin"/>
        </w:r>
        <w:r>
          <w:rPr>
            <w:noProof/>
            <w:webHidden/>
          </w:rPr>
          <w:instrText xml:space="preserve"> PAGEREF _Toc216699454 \h </w:instrText>
        </w:r>
        <w:r>
          <w:rPr>
            <w:noProof/>
            <w:webHidden/>
          </w:rPr>
        </w:r>
        <w:r>
          <w:rPr>
            <w:noProof/>
            <w:webHidden/>
          </w:rPr>
          <w:fldChar w:fldCharType="separate"/>
        </w:r>
        <w:r>
          <w:rPr>
            <w:noProof/>
            <w:webHidden/>
          </w:rPr>
          <w:t>174</w:t>
        </w:r>
        <w:r>
          <w:rPr>
            <w:noProof/>
            <w:webHidden/>
          </w:rPr>
          <w:fldChar w:fldCharType="end"/>
        </w:r>
      </w:hyperlink>
    </w:p>
    <w:p w14:paraId="4D91C159" w14:textId="2108B343"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55" w:history="1">
        <w:r w:rsidRPr="00683E1E">
          <w:rPr>
            <w:rStyle w:val="Hyperlink"/>
            <w:noProof/>
          </w:rPr>
          <w:t>15.4.10</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Cost</w:t>
        </w:r>
        <w:r>
          <w:rPr>
            <w:noProof/>
            <w:webHidden/>
          </w:rPr>
          <w:tab/>
        </w:r>
        <w:r>
          <w:rPr>
            <w:noProof/>
            <w:webHidden/>
          </w:rPr>
          <w:fldChar w:fldCharType="begin"/>
        </w:r>
        <w:r>
          <w:rPr>
            <w:noProof/>
            <w:webHidden/>
          </w:rPr>
          <w:instrText xml:space="preserve"> PAGEREF _Toc216699455 \h </w:instrText>
        </w:r>
        <w:r>
          <w:rPr>
            <w:noProof/>
            <w:webHidden/>
          </w:rPr>
        </w:r>
        <w:r>
          <w:rPr>
            <w:noProof/>
            <w:webHidden/>
          </w:rPr>
          <w:fldChar w:fldCharType="separate"/>
        </w:r>
        <w:r>
          <w:rPr>
            <w:noProof/>
            <w:webHidden/>
          </w:rPr>
          <w:t>174</w:t>
        </w:r>
        <w:r>
          <w:rPr>
            <w:noProof/>
            <w:webHidden/>
          </w:rPr>
          <w:fldChar w:fldCharType="end"/>
        </w:r>
      </w:hyperlink>
    </w:p>
    <w:p w14:paraId="6BB35689" w14:textId="3D8C1FAC"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56" w:history="1">
        <w:r w:rsidRPr="00683E1E">
          <w:rPr>
            <w:rStyle w:val="Hyperlink"/>
            <w:noProof/>
          </w:rPr>
          <w:t>15.5</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w:t>
        </w:r>
        <w:r w:rsidRPr="00683E1E">
          <w:rPr>
            <w:rStyle w:val="Hyperlink"/>
            <w:noProof/>
            <w:spacing w:val="-5"/>
          </w:rPr>
          <w:t xml:space="preserve"> </w:t>
        </w:r>
        <w:r w:rsidRPr="00683E1E">
          <w:rPr>
            <w:rStyle w:val="Hyperlink"/>
            <w:noProof/>
          </w:rPr>
          <w:t>3B</w:t>
        </w:r>
        <w:r w:rsidRPr="00683E1E">
          <w:rPr>
            <w:rStyle w:val="Hyperlink"/>
            <w:noProof/>
            <w:spacing w:val="-5"/>
          </w:rPr>
          <w:t xml:space="preserve"> </w:t>
        </w:r>
        <w:r w:rsidRPr="00683E1E">
          <w:rPr>
            <w:rStyle w:val="Hyperlink"/>
            <w:noProof/>
          </w:rPr>
          <w:t>–</w:t>
        </w:r>
        <w:r w:rsidRPr="00683E1E">
          <w:rPr>
            <w:rStyle w:val="Hyperlink"/>
            <w:noProof/>
            <w:spacing w:val="-4"/>
          </w:rPr>
          <w:t xml:space="preserve"> </w:t>
        </w:r>
        <w:r w:rsidRPr="00683E1E">
          <w:rPr>
            <w:rStyle w:val="Hyperlink"/>
            <w:noProof/>
          </w:rPr>
          <w:t>Breakwater</w:t>
        </w:r>
        <w:r w:rsidRPr="00683E1E">
          <w:rPr>
            <w:rStyle w:val="Hyperlink"/>
            <w:noProof/>
            <w:spacing w:val="-5"/>
          </w:rPr>
          <w:t xml:space="preserve"> </w:t>
        </w:r>
        <w:r w:rsidRPr="00683E1E">
          <w:rPr>
            <w:rStyle w:val="Hyperlink"/>
            <w:noProof/>
          </w:rPr>
          <w:t>extension</w:t>
        </w:r>
        <w:r w:rsidRPr="00683E1E">
          <w:rPr>
            <w:rStyle w:val="Hyperlink"/>
            <w:noProof/>
            <w:spacing w:val="-5"/>
          </w:rPr>
          <w:t xml:space="preserve"> </w:t>
        </w:r>
        <w:r w:rsidRPr="00683E1E">
          <w:rPr>
            <w:rStyle w:val="Hyperlink"/>
            <w:noProof/>
          </w:rPr>
          <w:t>with</w:t>
        </w:r>
        <w:r w:rsidRPr="00683E1E">
          <w:rPr>
            <w:rStyle w:val="Hyperlink"/>
            <w:noProof/>
            <w:spacing w:val="-5"/>
          </w:rPr>
          <w:t xml:space="preserve"> </w:t>
        </w:r>
        <w:r w:rsidRPr="00683E1E">
          <w:rPr>
            <w:rStyle w:val="Hyperlink"/>
            <w:noProof/>
          </w:rPr>
          <w:t>sand</w:t>
        </w:r>
        <w:r w:rsidRPr="00683E1E">
          <w:rPr>
            <w:rStyle w:val="Hyperlink"/>
            <w:noProof/>
            <w:spacing w:val="-5"/>
          </w:rPr>
          <w:t xml:space="preserve"> </w:t>
        </w:r>
        <w:r w:rsidRPr="00683E1E">
          <w:rPr>
            <w:rStyle w:val="Hyperlink"/>
            <w:noProof/>
          </w:rPr>
          <w:t>shifter</w:t>
        </w:r>
        <w:r w:rsidRPr="00683E1E">
          <w:rPr>
            <w:rStyle w:val="Hyperlink"/>
            <w:noProof/>
            <w:spacing w:val="-5"/>
          </w:rPr>
          <w:t xml:space="preserve"> </w:t>
        </w:r>
        <w:r w:rsidRPr="00683E1E">
          <w:rPr>
            <w:rStyle w:val="Hyperlink"/>
            <w:noProof/>
          </w:rPr>
          <w:t xml:space="preserve">bypass </w:t>
        </w:r>
        <w:r w:rsidRPr="00683E1E">
          <w:rPr>
            <w:rStyle w:val="Hyperlink"/>
            <w:noProof/>
            <w:spacing w:val="-2"/>
          </w:rPr>
          <w:t>system</w:t>
        </w:r>
        <w:r>
          <w:rPr>
            <w:noProof/>
            <w:webHidden/>
          </w:rPr>
          <w:tab/>
        </w:r>
        <w:r>
          <w:rPr>
            <w:noProof/>
            <w:webHidden/>
          </w:rPr>
          <w:fldChar w:fldCharType="begin"/>
        </w:r>
        <w:r>
          <w:rPr>
            <w:noProof/>
            <w:webHidden/>
          </w:rPr>
          <w:instrText xml:space="preserve"> PAGEREF _Toc216699456 \h </w:instrText>
        </w:r>
        <w:r>
          <w:rPr>
            <w:noProof/>
            <w:webHidden/>
          </w:rPr>
        </w:r>
        <w:r>
          <w:rPr>
            <w:noProof/>
            <w:webHidden/>
          </w:rPr>
          <w:fldChar w:fldCharType="separate"/>
        </w:r>
        <w:r>
          <w:rPr>
            <w:noProof/>
            <w:webHidden/>
          </w:rPr>
          <w:t>175</w:t>
        </w:r>
        <w:r>
          <w:rPr>
            <w:noProof/>
            <w:webHidden/>
          </w:rPr>
          <w:fldChar w:fldCharType="end"/>
        </w:r>
      </w:hyperlink>
    </w:p>
    <w:p w14:paraId="5A0BB27D" w14:textId="1B725132"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57" w:history="1">
        <w:r w:rsidRPr="00683E1E">
          <w:rPr>
            <w:rStyle w:val="Hyperlink"/>
            <w:noProof/>
          </w:rPr>
          <w:t>15.5.1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w:t>
        </w:r>
        <w:r w:rsidRPr="00683E1E">
          <w:rPr>
            <w:rStyle w:val="Hyperlink"/>
            <w:noProof/>
            <w:spacing w:val="-5"/>
          </w:rPr>
          <w:t xml:space="preserve"> </w:t>
        </w:r>
        <w:r w:rsidRPr="00683E1E">
          <w:rPr>
            <w:rStyle w:val="Hyperlink"/>
            <w:noProof/>
          </w:rPr>
          <w:t>description</w:t>
        </w:r>
        <w:r>
          <w:rPr>
            <w:noProof/>
            <w:webHidden/>
          </w:rPr>
          <w:tab/>
        </w:r>
        <w:r>
          <w:rPr>
            <w:noProof/>
            <w:webHidden/>
          </w:rPr>
          <w:fldChar w:fldCharType="begin"/>
        </w:r>
        <w:r>
          <w:rPr>
            <w:noProof/>
            <w:webHidden/>
          </w:rPr>
          <w:instrText xml:space="preserve"> PAGEREF _Toc216699457 \h </w:instrText>
        </w:r>
        <w:r>
          <w:rPr>
            <w:noProof/>
            <w:webHidden/>
          </w:rPr>
        </w:r>
        <w:r>
          <w:rPr>
            <w:noProof/>
            <w:webHidden/>
          </w:rPr>
          <w:fldChar w:fldCharType="separate"/>
        </w:r>
        <w:r>
          <w:rPr>
            <w:noProof/>
            <w:webHidden/>
          </w:rPr>
          <w:t>175</w:t>
        </w:r>
        <w:r>
          <w:rPr>
            <w:noProof/>
            <w:webHidden/>
          </w:rPr>
          <w:fldChar w:fldCharType="end"/>
        </w:r>
      </w:hyperlink>
    </w:p>
    <w:p w14:paraId="0DCB54D5" w14:textId="560D002F"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58" w:history="1">
        <w:r w:rsidRPr="00683E1E">
          <w:rPr>
            <w:rStyle w:val="Hyperlink"/>
            <w:noProof/>
          </w:rPr>
          <w:t>15.5.2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Design</w:t>
        </w:r>
        <w:r w:rsidRPr="00683E1E">
          <w:rPr>
            <w:rStyle w:val="Hyperlink"/>
            <w:noProof/>
            <w:spacing w:val="-3"/>
          </w:rPr>
          <w:t xml:space="preserve"> </w:t>
        </w:r>
        <w:r w:rsidRPr="00683E1E">
          <w:rPr>
            <w:rStyle w:val="Hyperlink"/>
            <w:noProof/>
          </w:rPr>
          <w:t>and</w:t>
        </w:r>
        <w:r w:rsidRPr="00683E1E">
          <w:rPr>
            <w:rStyle w:val="Hyperlink"/>
            <w:noProof/>
            <w:spacing w:val="-3"/>
          </w:rPr>
          <w:t xml:space="preserve"> </w:t>
        </w:r>
        <w:r w:rsidRPr="00683E1E">
          <w:rPr>
            <w:rStyle w:val="Hyperlink"/>
            <w:noProof/>
            <w:spacing w:val="-2"/>
          </w:rPr>
          <w:t>approvals</w:t>
        </w:r>
        <w:r>
          <w:rPr>
            <w:noProof/>
            <w:webHidden/>
          </w:rPr>
          <w:tab/>
        </w:r>
        <w:r>
          <w:rPr>
            <w:noProof/>
            <w:webHidden/>
          </w:rPr>
          <w:fldChar w:fldCharType="begin"/>
        </w:r>
        <w:r>
          <w:rPr>
            <w:noProof/>
            <w:webHidden/>
          </w:rPr>
          <w:instrText xml:space="preserve"> PAGEREF _Toc216699458 \h </w:instrText>
        </w:r>
        <w:r>
          <w:rPr>
            <w:noProof/>
            <w:webHidden/>
          </w:rPr>
        </w:r>
        <w:r>
          <w:rPr>
            <w:noProof/>
            <w:webHidden/>
          </w:rPr>
          <w:fldChar w:fldCharType="separate"/>
        </w:r>
        <w:r>
          <w:rPr>
            <w:noProof/>
            <w:webHidden/>
          </w:rPr>
          <w:t>175</w:t>
        </w:r>
        <w:r>
          <w:rPr>
            <w:noProof/>
            <w:webHidden/>
          </w:rPr>
          <w:fldChar w:fldCharType="end"/>
        </w:r>
      </w:hyperlink>
    </w:p>
    <w:p w14:paraId="4C8226AD" w14:textId="0FB5C854"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59" w:history="1">
        <w:r w:rsidRPr="00683E1E">
          <w:rPr>
            <w:rStyle w:val="Hyperlink"/>
            <w:noProof/>
          </w:rPr>
          <w:t>15.5.3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Capital</w:t>
        </w:r>
        <w:r w:rsidRPr="00683E1E">
          <w:rPr>
            <w:rStyle w:val="Hyperlink"/>
            <w:noProof/>
            <w:spacing w:val="-4"/>
          </w:rPr>
          <w:t xml:space="preserve"> </w:t>
        </w:r>
        <w:r w:rsidRPr="00683E1E">
          <w:rPr>
            <w:rStyle w:val="Hyperlink"/>
            <w:noProof/>
            <w:spacing w:val="-2"/>
          </w:rPr>
          <w:t>works</w:t>
        </w:r>
        <w:r>
          <w:rPr>
            <w:noProof/>
            <w:webHidden/>
          </w:rPr>
          <w:tab/>
        </w:r>
        <w:r>
          <w:rPr>
            <w:noProof/>
            <w:webHidden/>
          </w:rPr>
          <w:fldChar w:fldCharType="begin"/>
        </w:r>
        <w:r>
          <w:rPr>
            <w:noProof/>
            <w:webHidden/>
          </w:rPr>
          <w:instrText xml:space="preserve"> PAGEREF _Toc216699459 \h </w:instrText>
        </w:r>
        <w:r>
          <w:rPr>
            <w:noProof/>
            <w:webHidden/>
          </w:rPr>
        </w:r>
        <w:r>
          <w:rPr>
            <w:noProof/>
            <w:webHidden/>
          </w:rPr>
          <w:fldChar w:fldCharType="separate"/>
        </w:r>
        <w:r>
          <w:rPr>
            <w:noProof/>
            <w:webHidden/>
          </w:rPr>
          <w:t>175</w:t>
        </w:r>
        <w:r>
          <w:rPr>
            <w:noProof/>
            <w:webHidden/>
          </w:rPr>
          <w:fldChar w:fldCharType="end"/>
        </w:r>
      </w:hyperlink>
    </w:p>
    <w:p w14:paraId="381296A3" w14:textId="76F94AAD"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60" w:history="1">
        <w:r w:rsidRPr="00683E1E">
          <w:rPr>
            <w:rStyle w:val="Hyperlink"/>
            <w:noProof/>
          </w:rPr>
          <w:t>15.5.4</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Operational</w:t>
        </w:r>
        <w:r w:rsidRPr="00683E1E">
          <w:rPr>
            <w:rStyle w:val="Hyperlink"/>
            <w:noProof/>
            <w:spacing w:val="-7"/>
          </w:rPr>
          <w:t xml:space="preserve"> </w:t>
        </w:r>
        <w:r w:rsidRPr="00683E1E">
          <w:rPr>
            <w:rStyle w:val="Hyperlink"/>
            <w:noProof/>
            <w:spacing w:val="-2"/>
          </w:rPr>
          <w:t>works</w:t>
        </w:r>
        <w:r>
          <w:rPr>
            <w:noProof/>
            <w:webHidden/>
          </w:rPr>
          <w:tab/>
        </w:r>
        <w:r>
          <w:rPr>
            <w:noProof/>
            <w:webHidden/>
          </w:rPr>
          <w:fldChar w:fldCharType="begin"/>
        </w:r>
        <w:r>
          <w:rPr>
            <w:noProof/>
            <w:webHidden/>
          </w:rPr>
          <w:instrText xml:space="preserve"> PAGEREF _Toc216699460 \h </w:instrText>
        </w:r>
        <w:r>
          <w:rPr>
            <w:noProof/>
            <w:webHidden/>
          </w:rPr>
        </w:r>
        <w:r>
          <w:rPr>
            <w:noProof/>
            <w:webHidden/>
          </w:rPr>
          <w:fldChar w:fldCharType="separate"/>
        </w:r>
        <w:r>
          <w:rPr>
            <w:noProof/>
            <w:webHidden/>
          </w:rPr>
          <w:t>176</w:t>
        </w:r>
        <w:r>
          <w:rPr>
            <w:noProof/>
            <w:webHidden/>
          </w:rPr>
          <w:fldChar w:fldCharType="end"/>
        </w:r>
      </w:hyperlink>
    </w:p>
    <w:p w14:paraId="3C29B23F" w14:textId="678ABC66"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61" w:history="1">
        <w:r w:rsidRPr="00683E1E">
          <w:rPr>
            <w:rStyle w:val="Hyperlink"/>
            <w:noProof/>
          </w:rPr>
          <w:t>15.5.5</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Environmental</w:t>
        </w:r>
        <w:r w:rsidRPr="00683E1E">
          <w:rPr>
            <w:rStyle w:val="Hyperlink"/>
            <w:noProof/>
            <w:spacing w:val="-9"/>
          </w:rPr>
          <w:t xml:space="preserve"> </w:t>
        </w:r>
        <w:r w:rsidRPr="00683E1E">
          <w:rPr>
            <w:rStyle w:val="Hyperlink"/>
            <w:noProof/>
            <w:spacing w:val="-2"/>
          </w:rPr>
          <w:t>constraints</w:t>
        </w:r>
        <w:r>
          <w:rPr>
            <w:noProof/>
            <w:webHidden/>
          </w:rPr>
          <w:tab/>
        </w:r>
        <w:r>
          <w:rPr>
            <w:noProof/>
            <w:webHidden/>
          </w:rPr>
          <w:fldChar w:fldCharType="begin"/>
        </w:r>
        <w:r>
          <w:rPr>
            <w:noProof/>
            <w:webHidden/>
          </w:rPr>
          <w:instrText xml:space="preserve"> PAGEREF _Toc216699461 \h </w:instrText>
        </w:r>
        <w:r>
          <w:rPr>
            <w:noProof/>
            <w:webHidden/>
          </w:rPr>
        </w:r>
        <w:r>
          <w:rPr>
            <w:noProof/>
            <w:webHidden/>
          </w:rPr>
          <w:fldChar w:fldCharType="separate"/>
        </w:r>
        <w:r>
          <w:rPr>
            <w:noProof/>
            <w:webHidden/>
          </w:rPr>
          <w:t>177</w:t>
        </w:r>
        <w:r>
          <w:rPr>
            <w:noProof/>
            <w:webHidden/>
          </w:rPr>
          <w:fldChar w:fldCharType="end"/>
        </w:r>
      </w:hyperlink>
    </w:p>
    <w:p w14:paraId="26A7FC38" w14:textId="23BBF8D9"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62" w:history="1">
        <w:r w:rsidRPr="00683E1E">
          <w:rPr>
            <w:rStyle w:val="Hyperlink"/>
            <w:noProof/>
          </w:rPr>
          <w:t>15.5.6</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Social</w:t>
        </w:r>
        <w:r w:rsidRPr="00683E1E">
          <w:rPr>
            <w:rStyle w:val="Hyperlink"/>
            <w:noProof/>
            <w:spacing w:val="-3"/>
          </w:rPr>
          <w:t xml:space="preserve"> </w:t>
        </w:r>
        <w:r w:rsidRPr="00683E1E">
          <w:rPr>
            <w:rStyle w:val="Hyperlink"/>
            <w:noProof/>
            <w:spacing w:val="-2"/>
          </w:rPr>
          <w:t>impacts</w:t>
        </w:r>
        <w:r>
          <w:rPr>
            <w:noProof/>
            <w:webHidden/>
          </w:rPr>
          <w:tab/>
        </w:r>
        <w:r>
          <w:rPr>
            <w:noProof/>
            <w:webHidden/>
          </w:rPr>
          <w:fldChar w:fldCharType="begin"/>
        </w:r>
        <w:r>
          <w:rPr>
            <w:noProof/>
            <w:webHidden/>
          </w:rPr>
          <w:instrText xml:space="preserve"> PAGEREF _Toc216699462 \h </w:instrText>
        </w:r>
        <w:r>
          <w:rPr>
            <w:noProof/>
            <w:webHidden/>
          </w:rPr>
        </w:r>
        <w:r>
          <w:rPr>
            <w:noProof/>
            <w:webHidden/>
          </w:rPr>
          <w:fldChar w:fldCharType="separate"/>
        </w:r>
        <w:r>
          <w:rPr>
            <w:noProof/>
            <w:webHidden/>
          </w:rPr>
          <w:t>185</w:t>
        </w:r>
        <w:r>
          <w:rPr>
            <w:noProof/>
            <w:webHidden/>
          </w:rPr>
          <w:fldChar w:fldCharType="end"/>
        </w:r>
      </w:hyperlink>
    </w:p>
    <w:p w14:paraId="1583C850" w14:textId="12326272"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63" w:history="1">
        <w:r w:rsidRPr="00683E1E">
          <w:rPr>
            <w:rStyle w:val="Hyperlink"/>
            <w:noProof/>
          </w:rPr>
          <w:t>15.5.7</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Economic</w:t>
        </w:r>
        <w:r w:rsidRPr="00683E1E">
          <w:rPr>
            <w:rStyle w:val="Hyperlink"/>
            <w:noProof/>
            <w:spacing w:val="-4"/>
          </w:rPr>
          <w:t xml:space="preserve"> </w:t>
        </w:r>
        <w:r w:rsidRPr="00683E1E">
          <w:rPr>
            <w:rStyle w:val="Hyperlink"/>
            <w:noProof/>
            <w:spacing w:val="-2"/>
          </w:rPr>
          <w:t>impacts</w:t>
        </w:r>
        <w:r>
          <w:rPr>
            <w:noProof/>
            <w:webHidden/>
          </w:rPr>
          <w:tab/>
        </w:r>
        <w:r>
          <w:rPr>
            <w:noProof/>
            <w:webHidden/>
          </w:rPr>
          <w:fldChar w:fldCharType="begin"/>
        </w:r>
        <w:r>
          <w:rPr>
            <w:noProof/>
            <w:webHidden/>
          </w:rPr>
          <w:instrText xml:space="preserve"> PAGEREF _Toc216699463 \h </w:instrText>
        </w:r>
        <w:r>
          <w:rPr>
            <w:noProof/>
            <w:webHidden/>
          </w:rPr>
        </w:r>
        <w:r>
          <w:rPr>
            <w:noProof/>
            <w:webHidden/>
          </w:rPr>
          <w:fldChar w:fldCharType="separate"/>
        </w:r>
        <w:r>
          <w:rPr>
            <w:noProof/>
            <w:webHidden/>
          </w:rPr>
          <w:t>185</w:t>
        </w:r>
        <w:r>
          <w:rPr>
            <w:noProof/>
            <w:webHidden/>
          </w:rPr>
          <w:fldChar w:fldCharType="end"/>
        </w:r>
      </w:hyperlink>
    </w:p>
    <w:p w14:paraId="7BA861FA" w14:textId="7BB90990"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64" w:history="1">
        <w:r w:rsidRPr="00683E1E">
          <w:rPr>
            <w:rStyle w:val="Hyperlink"/>
            <w:noProof/>
          </w:rPr>
          <w:t>15.5.8</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Future</w:t>
        </w:r>
        <w:r w:rsidRPr="00683E1E">
          <w:rPr>
            <w:rStyle w:val="Hyperlink"/>
            <w:noProof/>
            <w:spacing w:val="-3"/>
          </w:rPr>
          <w:t xml:space="preserve"> </w:t>
        </w:r>
        <w:r w:rsidRPr="00683E1E">
          <w:rPr>
            <w:rStyle w:val="Hyperlink"/>
            <w:noProof/>
          </w:rPr>
          <w:t>adaptation</w:t>
        </w:r>
        <w:r>
          <w:rPr>
            <w:noProof/>
            <w:webHidden/>
          </w:rPr>
          <w:tab/>
        </w:r>
        <w:r>
          <w:rPr>
            <w:noProof/>
            <w:webHidden/>
          </w:rPr>
          <w:fldChar w:fldCharType="begin"/>
        </w:r>
        <w:r>
          <w:rPr>
            <w:noProof/>
            <w:webHidden/>
          </w:rPr>
          <w:instrText xml:space="preserve"> PAGEREF _Toc216699464 \h </w:instrText>
        </w:r>
        <w:r>
          <w:rPr>
            <w:noProof/>
            <w:webHidden/>
          </w:rPr>
        </w:r>
        <w:r>
          <w:rPr>
            <w:noProof/>
            <w:webHidden/>
          </w:rPr>
          <w:fldChar w:fldCharType="separate"/>
        </w:r>
        <w:r>
          <w:rPr>
            <w:noProof/>
            <w:webHidden/>
          </w:rPr>
          <w:t>185</w:t>
        </w:r>
        <w:r>
          <w:rPr>
            <w:noProof/>
            <w:webHidden/>
          </w:rPr>
          <w:fldChar w:fldCharType="end"/>
        </w:r>
      </w:hyperlink>
    </w:p>
    <w:p w14:paraId="05C3A783" w14:textId="10FF9E68"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65" w:history="1">
        <w:r w:rsidRPr="00683E1E">
          <w:rPr>
            <w:rStyle w:val="Hyperlink"/>
            <w:noProof/>
          </w:rPr>
          <w:t>15.5.9</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Safety</w:t>
        </w:r>
        <w:r w:rsidRPr="00683E1E">
          <w:rPr>
            <w:rStyle w:val="Hyperlink"/>
            <w:noProof/>
            <w:spacing w:val="-5"/>
          </w:rPr>
          <w:t xml:space="preserve"> </w:t>
        </w:r>
        <w:r w:rsidRPr="00683E1E">
          <w:rPr>
            <w:rStyle w:val="Hyperlink"/>
            <w:noProof/>
          </w:rPr>
          <w:t>of</w:t>
        </w:r>
        <w:r w:rsidRPr="00683E1E">
          <w:rPr>
            <w:rStyle w:val="Hyperlink"/>
            <w:noProof/>
            <w:spacing w:val="-3"/>
          </w:rPr>
          <w:t xml:space="preserve"> </w:t>
        </w:r>
        <w:r w:rsidRPr="00683E1E">
          <w:rPr>
            <w:rStyle w:val="Hyperlink"/>
            <w:noProof/>
          </w:rPr>
          <w:t>Option</w:t>
        </w:r>
        <w:r w:rsidRPr="00683E1E">
          <w:rPr>
            <w:rStyle w:val="Hyperlink"/>
            <w:noProof/>
            <w:spacing w:val="-2"/>
          </w:rPr>
          <w:t xml:space="preserve"> </w:t>
        </w:r>
        <w:r w:rsidRPr="00683E1E">
          <w:rPr>
            <w:rStyle w:val="Hyperlink"/>
            <w:noProof/>
            <w:spacing w:val="-5"/>
          </w:rPr>
          <w:t>3B</w:t>
        </w:r>
        <w:r>
          <w:rPr>
            <w:noProof/>
            <w:webHidden/>
          </w:rPr>
          <w:tab/>
        </w:r>
        <w:r>
          <w:rPr>
            <w:noProof/>
            <w:webHidden/>
          </w:rPr>
          <w:fldChar w:fldCharType="begin"/>
        </w:r>
        <w:r>
          <w:rPr>
            <w:noProof/>
            <w:webHidden/>
          </w:rPr>
          <w:instrText xml:space="preserve"> PAGEREF _Toc216699465 \h </w:instrText>
        </w:r>
        <w:r>
          <w:rPr>
            <w:noProof/>
            <w:webHidden/>
          </w:rPr>
        </w:r>
        <w:r>
          <w:rPr>
            <w:noProof/>
            <w:webHidden/>
          </w:rPr>
          <w:fldChar w:fldCharType="separate"/>
        </w:r>
        <w:r>
          <w:rPr>
            <w:noProof/>
            <w:webHidden/>
          </w:rPr>
          <w:t>186</w:t>
        </w:r>
        <w:r>
          <w:rPr>
            <w:noProof/>
            <w:webHidden/>
          </w:rPr>
          <w:fldChar w:fldCharType="end"/>
        </w:r>
      </w:hyperlink>
    </w:p>
    <w:p w14:paraId="3DFE1173" w14:textId="1D327E9F"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66" w:history="1">
        <w:r w:rsidRPr="00683E1E">
          <w:rPr>
            <w:rStyle w:val="Hyperlink"/>
            <w:noProof/>
          </w:rPr>
          <w:t>15.5.10</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Cost</w:t>
        </w:r>
        <w:r>
          <w:rPr>
            <w:noProof/>
            <w:webHidden/>
          </w:rPr>
          <w:tab/>
        </w:r>
        <w:r>
          <w:rPr>
            <w:noProof/>
            <w:webHidden/>
          </w:rPr>
          <w:fldChar w:fldCharType="begin"/>
        </w:r>
        <w:r>
          <w:rPr>
            <w:noProof/>
            <w:webHidden/>
          </w:rPr>
          <w:instrText xml:space="preserve"> PAGEREF _Toc216699466 \h </w:instrText>
        </w:r>
        <w:r>
          <w:rPr>
            <w:noProof/>
            <w:webHidden/>
          </w:rPr>
        </w:r>
        <w:r>
          <w:rPr>
            <w:noProof/>
            <w:webHidden/>
          </w:rPr>
          <w:fldChar w:fldCharType="separate"/>
        </w:r>
        <w:r>
          <w:rPr>
            <w:noProof/>
            <w:webHidden/>
          </w:rPr>
          <w:t>186</w:t>
        </w:r>
        <w:r>
          <w:rPr>
            <w:noProof/>
            <w:webHidden/>
          </w:rPr>
          <w:fldChar w:fldCharType="end"/>
        </w:r>
      </w:hyperlink>
    </w:p>
    <w:p w14:paraId="56F03FD8" w14:textId="198009CA"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67" w:history="1">
        <w:r w:rsidRPr="00683E1E">
          <w:rPr>
            <w:rStyle w:val="Hyperlink"/>
            <w:noProof/>
          </w:rPr>
          <w:t>15.6</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w:t>
        </w:r>
        <w:r w:rsidRPr="00683E1E">
          <w:rPr>
            <w:rStyle w:val="Hyperlink"/>
            <w:noProof/>
            <w:spacing w:val="-5"/>
          </w:rPr>
          <w:t xml:space="preserve"> </w:t>
        </w:r>
        <w:r w:rsidRPr="00683E1E">
          <w:rPr>
            <w:rStyle w:val="Hyperlink"/>
            <w:noProof/>
          </w:rPr>
          <w:t>3C</w:t>
        </w:r>
        <w:r w:rsidRPr="00683E1E">
          <w:rPr>
            <w:rStyle w:val="Hyperlink"/>
            <w:noProof/>
            <w:spacing w:val="-5"/>
          </w:rPr>
          <w:t xml:space="preserve"> </w:t>
        </w:r>
        <w:r w:rsidRPr="00683E1E">
          <w:rPr>
            <w:rStyle w:val="Hyperlink"/>
            <w:noProof/>
          </w:rPr>
          <w:t>–</w:t>
        </w:r>
        <w:r w:rsidRPr="00683E1E">
          <w:rPr>
            <w:rStyle w:val="Hyperlink"/>
            <w:noProof/>
            <w:spacing w:val="-4"/>
          </w:rPr>
          <w:t xml:space="preserve"> </w:t>
        </w:r>
        <w:r w:rsidRPr="00683E1E">
          <w:rPr>
            <w:rStyle w:val="Hyperlink"/>
            <w:noProof/>
          </w:rPr>
          <w:t>Breakwater</w:t>
        </w:r>
        <w:r w:rsidRPr="00683E1E">
          <w:rPr>
            <w:rStyle w:val="Hyperlink"/>
            <w:noProof/>
            <w:spacing w:val="-5"/>
          </w:rPr>
          <w:t xml:space="preserve"> </w:t>
        </w:r>
        <w:r w:rsidRPr="00683E1E">
          <w:rPr>
            <w:rStyle w:val="Hyperlink"/>
            <w:noProof/>
          </w:rPr>
          <w:t>extension</w:t>
        </w:r>
        <w:r w:rsidRPr="00683E1E">
          <w:rPr>
            <w:rStyle w:val="Hyperlink"/>
            <w:noProof/>
            <w:spacing w:val="-5"/>
          </w:rPr>
          <w:t xml:space="preserve"> </w:t>
        </w:r>
        <w:r w:rsidRPr="00683E1E">
          <w:rPr>
            <w:rStyle w:val="Hyperlink"/>
            <w:noProof/>
          </w:rPr>
          <w:t>with</w:t>
        </w:r>
        <w:r w:rsidRPr="00683E1E">
          <w:rPr>
            <w:rStyle w:val="Hyperlink"/>
            <w:noProof/>
            <w:spacing w:val="-5"/>
          </w:rPr>
          <w:t xml:space="preserve"> </w:t>
        </w:r>
        <w:r w:rsidRPr="00683E1E">
          <w:rPr>
            <w:rStyle w:val="Hyperlink"/>
            <w:noProof/>
          </w:rPr>
          <w:t>crane-operated</w:t>
        </w:r>
        <w:r w:rsidRPr="00683E1E">
          <w:rPr>
            <w:rStyle w:val="Hyperlink"/>
            <w:noProof/>
            <w:spacing w:val="-5"/>
          </w:rPr>
          <w:t xml:space="preserve"> </w:t>
        </w:r>
        <w:r w:rsidRPr="00683E1E">
          <w:rPr>
            <w:rStyle w:val="Hyperlink"/>
            <w:noProof/>
          </w:rPr>
          <w:t>mobile</w:t>
        </w:r>
        <w:r w:rsidRPr="00683E1E">
          <w:rPr>
            <w:rStyle w:val="Hyperlink"/>
            <w:noProof/>
            <w:spacing w:val="-4"/>
          </w:rPr>
          <w:t xml:space="preserve"> </w:t>
        </w:r>
        <w:r w:rsidRPr="00683E1E">
          <w:rPr>
            <w:rStyle w:val="Hyperlink"/>
            <w:noProof/>
          </w:rPr>
          <w:t>jet pump system</w:t>
        </w:r>
        <w:r>
          <w:rPr>
            <w:noProof/>
            <w:webHidden/>
          </w:rPr>
          <w:tab/>
        </w:r>
        <w:r>
          <w:rPr>
            <w:noProof/>
            <w:webHidden/>
          </w:rPr>
          <w:fldChar w:fldCharType="begin"/>
        </w:r>
        <w:r>
          <w:rPr>
            <w:noProof/>
            <w:webHidden/>
          </w:rPr>
          <w:instrText xml:space="preserve"> PAGEREF _Toc216699467 \h </w:instrText>
        </w:r>
        <w:r>
          <w:rPr>
            <w:noProof/>
            <w:webHidden/>
          </w:rPr>
        </w:r>
        <w:r>
          <w:rPr>
            <w:noProof/>
            <w:webHidden/>
          </w:rPr>
          <w:fldChar w:fldCharType="separate"/>
        </w:r>
        <w:r>
          <w:rPr>
            <w:noProof/>
            <w:webHidden/>
          </w:rPr>
          <w:t>187</w:t>
        </w:r>
        <w:r>
          <w:rPr>
            <w:noProof/>
            <w:webHidden/>
          </w:rPr>
          <w:fldChar w:fldCharType="end"/>
        </w:r>
      </w:hyperlink>
    </w:p>
    <w:p w14:paraId="59CE1DDB" w14:textId="225D9DB4"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68" w:history="1">
        <w:r w:rsidRPr="00683E1E">
          <w:rPr>
            <w:rStyle w:val="Hyperlink"/>
            <w:noProof/>
          </w:rPr>
          <w:t>15.6.1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w:t>
        </w:r>
        <w:r w:rsidRPr="00683E1E">
          <w:rPr>
            <w:rStyle w:val="Hyperlink"/>
            <w:noProof/>
            <w:spacing w:val="-5"/>
          </w:rPr>
          <w:t xml:space="preserve"> </w:t>
        </w:r>
        <w:r w:rsidRPr="00683E1E">
          <w:rPr>
            <w:rStyle w:val="Hyperlink"/>
            <w:noProof/>
          </w:rPr>
          <w:t>description</w:t>
        </w:r>
        <w:r>
          <w:rPr>
            <w:noProof/>
            <w:webHidden/>
          </w:rPr>
          <w:tab/>
        </w:r>
        <w:r>
          <w:rPr>
            <w:noProof/>
            <w:webHidden/>
          </w:rPr>
          <w:fldChar w:fldCharType="begin"/>
        </w:r>
        <w:r>
          <w:rPr>
            <w:noProof/>
            <w:webHidden/>
          </w:rPr>
          <w:instrText xml:space="preserve"> PAGEREF _Toc216699468 \h </w:instrText>
        </w:r>
        <w:r>
          <w:rPr>
            <w:noProof/>
            <w:webHidden/>
          </w:rPr>
        </w:r>
        <w:r>
          <w:rPr>
            <w:noProof/>
            <w:webHidden/>
          </w:rPr>
          <w:fldChar w:fldCharType="separate"/>
        </w:r>
        <w:r>
          <w:rPr>
            <w:noProof/>
            <w:webHidden/>
          </w:rPr>
          <w:t>187</w:t>
        </w:r>
        <w:r>
          <w:rPr>
            <w:noProof/>
            <w:webHidden/>
          </w:rPr>
          <w:fldChar w:fldCharType="end"/>
        </w:r>
      </w:hyperlink>
    </w:p>
    <w:p w14:paraId="535C32F9" w14:textId="17D673D5"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69" w:history="1">
        <w:r w:rsidRPr="00683E1E">
          <w:rPr>
            <w:rStyle w:val="Hyperlink"/>
            <w:noProof/>
          </w:rPr>
          <w:t>15.6.2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Design</w:t>
        </w:r>
        <w:r w:rsidRPr="00683E1E">
          <w:rPr>
            <w:rStyle w:val="Hyperlink"/>
            <w:noProof/>
            <w:spacing w:val="-3"/>
          </w:rPr>
          <w:t xml:space="preserve"> </w:t>
        </w:r>
        <w:r w:rsidRPr="00683E1E">
          <w:rPr>
            <w:rStyle w:val="Hyperlink"/>
            <w:noProof/>
          </w:rPr>
          <w:t>and</w:t>
        </w:r>
        <w:r w:rsidRPr="00683E1E">
          <w:rPr>
            <w:rStyle w:val="Hyperlink"/>
            <w:noProof/>
            <w:spacing w:val="-3"/>
          </w:rPr>
          <w:t xml:space="preserve"> </w:t>
        </w:r>
        <w:r w:rsidRPr="00683E1E">
          <w:rPr>
            <w:rStyle w:val="Hyperlink"/>
            <w:noProof/>
            <w:spacing w:val="-2"/>
          </w:rPr>
          <w:t>approvals</w:t>
        </w:r>
        <w:r>
          <w:rPr>
            <w:noProof/>
            <w:webHidden/>
          </w:rPr>
          <w:tab/>
        </w:r>
        <w:r>
          <w:rPr>
            <w:noProof/>
            <w:webHidden/>
          </w:rPr>
          <w:fldChar w:fldCharType="begin"/>
        </w:r>
        <w:r>
          <w:rPr>
            <w:noProof/>
            <w:webHidden/>
          </w:rPr>
          <w:instrText xml:space="preserve"> PAGEREF _Toc216699469 \h </w:instrText>
        </w:r>
        <w:r>
          <w:rPr>
            <w:noProof/>
            <w:webHidden/>
          </w:rPr>
        </w:r>
        <w:r>
          <w:rPr>
            <w:noProof/>
            <w:webHidden/>
          </w:rPr>
          <w:fldChar w:fldCharType="separate"/>
        </w:r>
        <w:r>
          <w:rPr>
            <w:noProof/>
            <w:webHidden/>
          </w:rPr>
          <w:t>187</w:t>
        </w:r>
        <w:r>
          <w:rPr>
            <w:noProof/>
            <w:webHidden/>
          </w:rPr>
          <w:fldChar w:fldCharType="end"/>
        </w:r>
      </w:hyperlink>
    </w:p>
    <w:p w14:paraId="131C6130" w14:textId="71A28E47"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70" w:history="1">
        <w:r w:rsidRPr="00683E1E">
          <w:rPr>
            <w:rStyle w:val="Hyperlink"/>
            <w:noProof/>
          </w:rPr>
          <w:t>15.6.3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Capital</w:t>
        </w:r>
        <w:r w:rsidRPr="00683E1E">
          <w:rPr>
            <w:rStyle w:val="Hyperlink"/>
            <w:noProof/>
            <w:spacing w:val="-4"/>
          </w:rPr>
          <w:t xml:space="preserve"> </w:t>
        </w:r>
        <w:r w:rsidRPr="00683E1E">
          <w:rPr>
            <w:rStyle w:val="Hyperlink"/>
            <w:noProof/>
            <w:spacing w:val="-2"/>
          </w:rPr>
          <w:t>works</w:t>
        </w:r>
        <w:r>
          <w:rPr>
            <w:noProof/>
            <w:webHidden/>
          </w:rPr>
          <w:tab/>
        </w:r>
        <w:r>
          <w:rPr>
            <w:noProof/>
            <w:webHidden/>
          </w:rPr>
          <w:fldChar w:fldCharType="begin"/>
        </w:r>
        <w:r>
          <w:rPr>
            <w:noProof/>
            <w:webHidden/>
          </w:rPr>
          <w:instrText xml:space="preserve"> PAGEREF _Toc216699470 \h </w:instrText>
        </w:r>
        <w:r>
          <w:rPr>
            <w:noProof/>
            <w:webHidden/>
          </w:rPr>
        </w:r>
        <w:r>
          <w:rPr>
            <w:noProof/>
            <w:webHidden/>
          </w:rPr>
          <w:fldChar w:fldCharType="separate"/>
        </w:r>
        <w:r>
          <w:rPr>
            <w:noProof/>
            <w:webHidden/>
          </w:rPr>
          <w:t>188</w:t>
        </w:r>
        <w:r>
          <w:rPr>
            <w:noProof/>
            <w:webHidden/>
          </w:rPr>
          <w:fldChar w:fldCharType="end"/>
        </w:r>
      </w:hyperlink>
    </w:p>
    <w:p w14:paraId="42C9230A" w14:textId="22B7BA48"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71" w:history="1">
        <w:r w:rsidRPr="00683E1E">
          <w:rPr>
            <w:rStyle w:val="Hyperlink"/>
            <w:noProof/>
          </w:rPr>
          <w:t>15.6.4</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Operational</w:t>
        </w:r>
        <w:r w:rsidRPr="00683E1E">
          <w:rPr>
            <w:rStyle w:val="Hyperlink"/>
            <w:noProof/>
            <w:spacing w:val="-7"/>
          </w:rPr>
          <w:t xml:space="preserve"> </w:t>
        </w:r>
        <w:r w:rsidRPr="00683E1E">
          <w:rPr>
            <w:rStyle w:val="Hyperlink"/>
            <w:noProof/>
            <w:spacing w:val="-2"/>
          </w:rPr>
          <w:t>works</w:t>
        </w:r>
        <w:r>
          <w:rPr>
            <w:noProof/>
            <w:webHidden/>
          </w:rPr>
          <w:tab/>
        </w:r>
        <w:r>
          <w:rPr>
            <w:noProof/>
            <w:webHidden/>
          </w:rPr>
          <w:fldChar w:fldCharType="begin"/>
        </w:r>
        <w:r>
          <w:rPr>
            <w:noProof/>
            <w:webHidden/>
          </w:rPr>
          <w:instrText xml:space="preserve"> PAGEREF _Toc216699471 \h </w:instrText>
        </w:r>
        <w:r>
          <w:rPr>
            <w:noProof/>
            <w:webHidden/>
          </w:rPr>
        </w:r>
        <w:r>
          <w:rPr>
            <w:noProof/>
            <w:webHidden/>
          </w:rPr>
          <w:fldChar w:fldCharType="separate"/>
        </w:r>
        <w:r>
          <w:rPr>
            <w:noProof/>
            <w:webHidden/>
          </w:rPr>
          <w:t>188</w:t>
        </w:r>
        <w:r>
          <w:rPr>
            <w:noProof/>
            <w:webHidden/>
          </w:rPr>
          <w:fldChar w:fldCharType="end"/>
        </w:r>
      </w:hyperlink>
    </w:p>
    <w:p w14:paraId="3951FDBE" w14:textId="1F358457"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72" w:history="1">
        <w:r w:rsidRPr="00683E1E">
          <w:rPr>
            <w:rStyle w:val="Hyperlink"/>
            <w:noProof/>
          </w:rPr>
          <w:t>15.6.5</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Environmental</w:t>
        </w:r>
        <w:r w:rsidRPr="00683E1E">
          <w:rPr>
            <w:rStyle w:val="Hyperlink"/>
            <w:noProof/>
            <w:spacing w:val="-9"/>
          </w:rPr>
          <w:t xml:space="preserve"> </w:t>
        </w:r>
        <w:r w:rsidRPr="00683E1E">
          <w:rPr>
            <w:rStyle w:val="Hyperlink"/>
            <w:noProof/>
            <w:spacing w:val="-2"/>
          </w:rPr>
          <w:t>constraints</w:t>
        </w:r>
        <w:r>
          <w:rPr>
            <w:noProof/>
            <w:webHidden/>
          </w:rPr>
          <w:tab/>
        </w:r>
        <w:r>
          <w:rPr>
            <w:noProof/>
            <w:webHidden/>
          </w:rPr>
          <w:fldChar w:fldCharType="begin"/>
        </w:r>
        <w:r>
          <w:rPr>
            <w:noProof/>
            <w:webHidden/>
          </w:rPr>
          <w:instrText xml:space="preserve"> PAGEREF _Toc216699472 \h </w:instrText>
        </w:r>
        <w:r>
          <w:rPr>
            <w:noProof/>
            <w:webHidden/>
          </w:rPr>
        </w:r>
        <w:r>
          <w:rPr>
            <w:noProof/>
            <w:webHidden/>
          </w:rPr>
          <w:fldChar w:fldCharType="separate"/>
        </w:r>
        <w:r>
          <w:rPr>
            <w:noProof/>
            <w:webHidden/>
          </w:rPr>
          <w:t>189</w:t>
        </w:r>
        <w:r>
          <w:rPr>
            <w:noProof/>
            <w:webHidden/>
          </w:rPr>
          <w:fldChar w:fldCharType="end"/>
        </w:r>
      </w:hyperlink>
    </w:p>
    <w:p w14:paraId="198023F7" w14:textId="4779E713"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73" w:history="1">
        <w:r w:rsidRPr="00683E1E">
          <w:rPr>
            <w:rStyle w:val="Hyperlink"/>
            <w:noProof/>
          </w:rPr>
          <w:t>15.6.6</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Social</w:t>
        </w:r>
        <w:r w:rsidRPr="00683E1E">
          <w:rPr>
            <w:rStyle w:val="Hyperlink"/>
            <w:noProof/>
            <w:spacing w:val="-3"/>
          </w:rPr>
          <w:t xml:space="preserve"> </w:t>
        </w:r>
        <w:r w:rsidRPr="00683E1E">
          <w:rPr>
            <w:rStyle w:val="Hyperlink"/>
            <w:noProof/>
            <w:spacing w:val="-2"/>
          </w:rPr>
          <w:t>impacts</w:t>
        </w:r>
        <w:r>
          <w:rPr>
            <w:noProof/>
            <w:webHidden/>
          </w:rPr>
          <w:tab/>
        </w:r>
        <w:r>
          <w:rPr>
            <w:noProof/>
            <w:webHidden/>
          </w:rPr>
          <w:fldChar w:fldCharType="begin"/>
        </w:r>
        <w:r>
          <w:rPr>
            <w:noProof/>
            <w:webHidden/>
          </w:rPr>
          <w:instrText xml:space="preserve"> PAGEREF _Toc216699473 \h </w:instrText>
        </w:r>
        <w:r>
          <w:rPr>
            <w:noProof/>
            <w:webHidden/>
          </w:rPr>
        </w:r>
        <w:r>
          <w:rPr>
            <w:noProof/>
            <w:webHidden/>
          </w:rPr>
          <w:fldChar w:fldCharType="separate"/>
        </w:r>
        <w:r>
          <w:rPr>
            <w:noProof/>
            <w:webHidden/>
          </w:rPr>
          <w:t>199</w:t>
        </w:r>
        <w:r>
          <w:rPr>
            <w:noProof/>
            <w:webHidden/>
          </w:rPr>
          <w:fldChar w:fldCharType="end"/>
        </w:r>
      </w:hyperlink>
    </w:p>
    <w:p w14:paraId="63F06836" w14:textId="39E0E6D6"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74" w:history="1">
        <w:r w:rsidRPr="00683E1E">
          <w:rPr>
            <w:rStyle w:val="Hyperlink"/>
            <w:noProof/>
          </w:rPr>
          <w:t>15.6.7</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Economic</w:t>
        </w:r>
        <w:r w:rsidRPr="00683E1E">
          <w:rPr>
            <w:rStyle w:val="Hyperlink"/>
            <w:noProof/>
            <w:spacing w:val="-4"/>
          </w:rPr>
          <w:t xml:space="preserve"> </w:t>
        </w:r>
        <w:r w:rsidRPr="00683E1E">
          <w:rPr>
            <w:rStyle w:val="Hyperlink"/>
            <w:noProof/>
            <w:spacing w:val="-2"/>
          </w:rPr>
          <w:t>impacts</w:t>
        </w:r>
        <w:r>
          <w:rPr>
            <w:noProof/>
            <w:webHidden/>
          </w:rPr>
          <w:tab/>
        </w:r>
        <w:r>
          <w:rPr>
            <w:noProof/>
            <w:webHidden/>
          </w:rPr>
          <w:fldChar w:fldCharType="begin"/>
        </w:r>
        <w:r>
          <w:rPr>
            <w:noProof/>
            <w:webHidden/>
          </w:rPr>
          <w:instrText xml:space="preserve"> PAGEREF _Toc216699474 \h </w:instrText>
        </w:r>
        <w:r>
          <w:rPr>
            <w:noProof/>
            <w:webHidden/>
          </w:rPr>
        </w:r>
        <w:r>
          <w:rPr>
            <w:noProof/>
            <w:webHidden/>
          </w:rPr>
          <w:fldChar w:fldCharType="separate"/>
        </w:r>
        <w:r>
          <w:rPr>
            <w:noProof/>
            <w:webHidden/>
          </w:rPr>
          <w:t>199</w:t>
        </w:r>
        <w:r>
          <w:rPr>
            <w:noProof/>
            <w:webHidden/>
          </w:rPr>
          <w:fldChar w:fldCharType="end"/>
        </w:r>
      </w:hyperlink>
    </w:p>
    <w:p w14:paraId="18DAC346" w14:textId="3A12624D"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75" w:history="1">
        <w:r w:rsidRPr="00683E1E">
          <w:rPr>
            <w:rStyle w:val="Hyperlink"/>
            <w:noProof/>
          </w:rPr>
          <w:t>15.6.8</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Future</w:t>
        </w:r>
        <w:r w:rsidRPr="00683E1E">
          <w:rPr>
            <w:rStyle w:val="Hyperlink"/>
            <w:noProof/>
            <w:spacing w:val="-3"/>
          </w:rPr>
          <w:t xml:space="preserve"> </w:t>
        </w:r>
        <w:r w:rsidRPr="00683E1E">
          <w:rPr>
            <w:rStyle w:val="Hyperlink"/>
            <w:noProof/>
          </w:rPr>
          <w:t>adaptation</w:t>
        </w:r>
        <w:r>
          <w:rPr>
            <w:noProof/>
            <w:webHidden/>
          </w:rPr>
          <w:tab/>
        </w:r>
        <w:r>
          <w:rPr>
            <w:noProof/>
            <w:webHidden/>
          </w:rPr>
          <w:fldChar w:fldCharType="begin"/>
        </w:r>
        <w:r>
          <w:rPr>
            <w:noProof/>
            <w:webHidden/>
          </w:rPr>
          <w:instrText xml:space="preserve"> PAGEREF _Toc216699475 \h </w:instrText>
        </w:r>
        <w:r>
          <w:rPr>
            <w:noProof/>
            <w:webHidden/>
          </w:rPr>
        </w:r>
        <w:r>
          <w:rPr>
            <w:noProof/>
            <w:webHidden/>
          </w:rPr>
          <w:fldChar w:fldCharType="separate"/>
        </w:r>
        <w:r>
          <w:rPr>
            <w:noProof/>
            <w:webHidden/>
          </w:rPr>
          <w:t>199</w:t>
        </w:r>
        <w:r>
          <w:rPr>
            <w:noProof/>
            <w:webHidden/>
          </w:rPr>
          <w:fldChar w:fldCharType="end"/>
        </w:r>
      </w:hyperlink>
    </w:p>
    <w:p w14:paraId="1B821E3D" w14:textId="5BC4D7C0"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76" w:history="1">
        <w:r w:rsidRPr="00683E1E">
          <w:rPr>
            <w:rStyle w:val="Hyperlink"/>
            <w:noProof/>
          </w:rPr>
          <w:t>15.6.9</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Safety</w:t>
        </w:r>
        <w:r w:rsidRPr="00683E1E">
          <w:rPr>
            <w:rStyle w:val="Hyperlink"/>
            <w:noProof/>
            <w:spacing w:val="-5"/>
          </w:rPr>
          <w:t xml:space="preserve"> </w:t>
        </w:r>
        <w:r w:rsidRPr="00683E1E">
          <w:rPr>
            <w:rStyle w:val="Hyperlink"/>
            <w:noProof/>
          </w:rPr>
          <w:t>of</w:t>
        </w:r>
        <w:r w:rsidRPr="00683E1E">
          <w:rPr>
            <w:rStyle w:val="Hyperlink"/>
            <w:noProof/>
            <w:spacing w:val="-3"/>
          </w:rPr>
          <w:t xml:space="preserve"> </w:t>
        </w:r>
        <w:r w:rsidRPr="00683E1E">
          <w:rPr>
            <w:rStyle w:val="Hyperlink"/>
            <w:noProof/>
          </w:rPr>
          <w:t>Option</w:t>
        </w:r>
        <w:r w:rsidRPr="00683E1E">
          <w:rPr>
            <w:rStyle w:val="Hyperlink"/>
            <w:noProof/>
            <w:spacing w:val="-2"/>
          </w:rPr>
          <w:t xml:space="preserve"> </w:t>
        </w:r>
        <w:r w:rsidRPr="00683E1E">
          <w:rPr>
            <w:rStyle w:val="Hyperlink"/>
            <w:noProof/>
            <w:spacing w:val="-5"/>
          </w:rPr>
          <w:t>3C</w:t>
        </w:r>
        <w:r>
          <w:rPr>
            <w:noProof/>
            <w:webHidden/>
          </w:rPr>
          <w:tab/>
        </w:r>
        <w:r>
          <w:rPr>
            <w:noProof/>
            <w:webHidden/>
          </w:rPr>
          <w:fldChar w:fldCharType="begin"/>
        </w:r>
        <w:r>
          <w:rPr>
            <w:noProof/>
            <w:webHidden/>
          </w:rPr>
          <w:instrText xml:space="preserve"> PAGEREF _Toc216699476 \h </w:instrText>
        </w:r>
        <w:r>
          <w:rPr>
            <w:noProof/>
            <w:webHidden/>
          </w:rPr>
        </w:r>
        <w:r>
          <w:rPr>
            <w:noProof/>
            <w:webHidden/>
          </w:rPr>
          <w:fldChar w:fldCharType="separate"/>
        </w:r>
        <w:r>
          <w:rPr>
            <w:noProof/>
            <w:webHidden/>
          </w:rPr>
          <w:t>200</w:t>
        </w:r>
        <w:r>
          <w:rPr>
            <w:noProof/>
            <w:webHidden/>
          </w:rPr>
          <w:fldChar w:fldCharType="end"/>
        </w:r>
      </w:hyperlink>
    </w:p>
    <w:p w14:paraId="69CEBA69" w14:textId="6FEA871C"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77" w:history="1">
        <w:r w:rsidRPr="00683E1E">
          <w:rPr>
            <w:rStyle w:val="Hyperlink"/>
            <w:noProof/>
          </w:rPr>
          <w:t>15.6.10</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Cost</w:t>
        </w:r>
        <w:r>
          <w:rPr>
            <w:noProof/>
            <w:webHidden/>
          </w:rPr>
          <w:tab/>
        </w:r>
        <w:r>
          <w:rPr>
            <w:noProof/>
            <w:webHidden/>
          </w:rPr>
          <w:fldChar w:fldCharType="begin"/>
        </w:r>
        <w:r>
          <w:rPr>
            <w:noProof/>
            <w:webHidden/>
          </w:rPr>
          <w:instrText xml:space="preserve"> PAGEREF _Toc216699477 \h </w:instrText>
        </w:r>
        <w:r>
          <w:rPr>
            <w:noProof/>
            <w:webHidden/>
          </w:rPr>
        </w:r>
        <w:r>
          <w:rPr>
            <w:noProof/>
            <w:webHidden/>
          </w:rPr>
          <w:fldChar w:fldCharType="separate"/>
        </w:r>
        <w:r>
          <w:rPr>
            <w:noProof/>
            <w:webHidden/>
          </w:rPr>
          <w:t>200</w:t>
        </w:r>
        <w:r>
          <w:rPr>
            <w:noProof/>
            <w:webHidden/>
          </w:rPr>
          <w:fldChar w:fldCharType="end"/>
        </w:r>
      </w:hyperlink>
    </w:p>
    <w:p w14:paraId="3AD24D73" w14:textId="3C5E9492"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78" w:history="1">
        <w:r w:rsidRPr="00683E1E">
          <w:rPr>
            <w:rStyle w:val="Hyperlink"/>
            <w:noProof/>
          </w:rPr>
          <w:t>15.7</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w:t>
        </w:r>
        <w:r w:rsidRPr="00683E1E">
          <w:rPr>
            <w:rStyle w:val="Hyperlink"/>
            <w:noProof/>
            <w:spacing w:val="-13"/>
          </w:rPr>
          <w:t xml:space="preserve"> </w:t>
        </w:r>
        <w:r w:rsidRPr="00683E1E">
          <w:rPr>
            <w:rStyle w:val="Hyperlink"/>
            <w:noProof/>
          </w:rPr>
          <w:t>3</w:t>
        </w:r>
        <w:r w:rsidRPr="00683E1E">
          <w:rPr>
            <w:rStyle w:val="Hyperlink"/>
            <w:noProof/>
            <w:spacing w:val="-11"/>
          </w:rPr>
          <w:t xml:space="preserve"> </w:t>
        </w:r>
        <w:r w:rsidRPr="00683E1E">
          <w:rPr>
            <w:rStyle w:val="Hyperlink"/>
            <w:noProof/>
          </w:rPr>
          <w:t>sub-options</w:t>
        </w:r>
        <w:r w:rsidRPr="00683E1E">
          <w:rPr>
            <w:rStyle w:val="Hyperlink"/>
            <w:noProof/>
            <w:spacing w:val="-11"/>
          </w:rPr>
          <w:t xml:space="preserve"> </w:t>
        </w:r>
        <w:r w:rsidRPr="00683E1E">
          <w:rPr>
            <w:rStyle w:val="Hyperlink"/>
            <w:noProof/>
            <w:spacing w:val="-2"/>
          </w:rPr>
          <w:t>compared</w:t>
        </w:r>
        <w:r>
          <w:rPr>
            <w:noProof/>
            <w:webHidden/>
          </w:rPr>
          <w:tab/>
        </w:r>
        <w:r>
          <w:rPr>
            <w:noProof/>
            <w:webHidden/>
          </w:rPr>
          <w:fldChar w:fldCharType="begin"/>
        </w:r>
        <w:r>
          <w:rPr>
            <w:noProof/>
            <w:webHidden/>
          </w:rPr>
          <w:instrText xml:space="preserve"> PAGEREF _Toc216699478 \h </w:instrText>
        </w:r>
        <w:r>
          <w:rPr>
            <w:noProof/>
            <w:webHidden/>
          </w:rPr>
        </w:r>
        <w:r>
          <w:rPr>
            <w:noProof/>
            <w:webHidden/>
          </w:rPr>
          <w:fldChar w:fldCharType="separate"/>
        </w:r>
        <w:r>
          <w:rPr>
            <w:noProof/>
            <w:webHidden/>
          </w:rPr>
          <w:t>201</w:t>
        </w:r>
        <w:r>
          <w:rPr>
            <w:noProof/>
            <w:webHidden/>
          </w:rPr>
          <w:fldChar w:fldCharType="end"/>
        </w:r>
      </w:hyperlink>
    </w:p>
    <w:p w14:paraId="30F1FF8F" w14:textId="41EBC68F"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79" w:history="1">
        <w:r w:rsidRPr="00683E1E">
          <w:rPr>
            <w:rStyle w:val="Hyperlink"/>
            <w:noProof/>
          </w:rPr>
          <w:t>15.8</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Multi-criteria</w:t>
        </w:r>
        <w:r w:rsidRPr="00683E1E">
          <w:rPr>
            <w:rStyle w:val="Hyperlink"/>
            <w:noProof/>
            <w:spacing w:val="-10"/>
          </w:rPr>
          <w:t xml:space="preserve"> </w:t>
        </w:r>
        <w:r w:rsidRPr="00683E1E">
          <w:rPr>
            <w:rStyle w:val="Hyperlink"/>
            <w:noProof/>
          </w:rPr>
          <w:t>analysis</w:t>
        </w:r>
        <w:r w:rsidRPr="00683E1E">
          <w:rPr>
            <w:rStyle w:val="Hyperlink"/>
            <w:noProof/>
            <w:spacing w:val="-9"/>
          </w:rPr>
          <w:t xml:space="preserve"> </w:t>
        </w:r>
        <w:r w:rsidRPr="00683E1E">
          <w:rPr>
            <w:rStyle w:val="Hyperlink"/>
            <w:noProof/>
          </w:rPr>
          <w:t>for</w:t>
        </w:r>
        <w:r w:rsidRPr="00683E1E">
          <w:rPr>
            <w:rStyle w:val="Hyperlink"/>
            <w:noProof/>
            <w:spacing w:val="-10"/>
          </w:rPr>
          <w:t xml:space="preserve"> </w:t>
        </w:r>
        <w:r w:rsidRPr="00683E1E">
          <w:rPr>
            <w:rStyle w:val="Hyperlink"/>
            <w:noProof/>
          </w:rPr>
          <w:t>Options</w:t>
        </w:r>
        <w:r w:rsidRPr="00683E1E">
          <w:rPr>
            <w:rStyle w:val="Hyperlink"/>
            <w:noProof/>
            <w:spacing w:val="-9"/>
          </w:rPr>
          <w:t xml:space="preserve"> </w:t>
        </w:r>
        <w:r w:rsidRPr="00683E1E">
          <w:rPr>
            <w:rStyle w:val="Hyperlink"/>
            <w:noProof/>
          </w:rPr>
          <w:t>3A,</w:t>
        </w:r>
        <w:r w:rsidRPr="00683E1E">
          <w:rPr>
            <w:rStyle w:val="Hyperlink"/>
            <w:noProof/>
            <w:spacing w:val="-9"/>
          </w:rPr>
          <w:t xml:space="preserve"> </w:t>
        </w:r>
        <w:r w:rsidRPr="00683E1E">
          <w:rPr>
            <w:rStyle w:val="Hyperlink"/>
            <w:noProof/>
          </w:rPr>
          <w:t>3B</w:t>
        </w:r>
        <w:r w:rsidRPr="00683E1E">
          <w:rPr>
            <w:rStyle w:val="Hyperlink"/>
            <w:noProof/>
            <w:spacing w:val="-10"/>
          </w:rPr>
          <w:t xml:space="preserve"> </w:t>
        </w:r>
        <w:r w:rsidRPr="00683E1E">
          <w:rPr>
            <w:rStyle w:val="Hyperlink"/>
            <w:noProof/>
          </w:rPr>
          <w:t>&amp;</w:t>
        </w:r>
        <w:r w:rsidRPr="00683E1E">
          <w:rPr>
            <w:rStyle w:val="Hyperlink"/>
            <w:noProof/>
            <w:spacing w:val="-9"/>
          </w:rPr>
          <w:t xml:space="preserve"> </w:t>
        </w:r>
        <w:r w:rsidRPr="00683E1E">
          <w:rPr>
            <w:rStyle w:val="Hyperlink"/>
            <w:noProof/>
            <w:spacing w:val="-5"/>
          </w:rPr>
          <w:t>3C</w:t>
        </w:r>
        <w:r>
          <w:rPr>
            <w:noProof/>
            <w:webHidden/>
          </w:rPr>
          <w:tab/>
        </w:r>
        <w:r>
          <w:rPr>
            <w:noProof/>
            <w:webHidden/>
          </w:rPr>
          <w:fldChar w:fldCharType="begin"/>
        </w:r>
        <w:r>
          <w:rPr>
            <w:noProof/>
            <w:webHidden/>
          </w:rPr>
          <w:instrText xml:space="preserve"> PAGEREF _Toc216699479 \h </w:instrText>
        </w:r>
        <w:r>
          <w:rPr>
            <w:noProof/>
            <w:webHidden/>
          </w:rPr>
        </w:r>
        <w:r>
          <w:rPr>
            <w:noProof/>
            <w:webHidden/>
          </w:rPr>
          <w:fldChar w:fldCharType="separate"/>
        </w:r>
        <w:r>
          <w:rPr>
            <w:noProof/>
            <w:webHidden/>
          </w:rPr>
          <w:t>204</w:t>
        </w:r>
        <w:r>
          <w:rPr>
            <w:noProof/>
            <w:webHidden/>
          </w:rPr>
          <w:fldChar w:fldCharType="end"/>
        </w:r>
      </w:hyperlink>
    </w:p>
    <w:p w14:paraId="4EE5CF10" w14:textId="1BB469B4" w:rsidR="00B91EB8" w:rsidRDefault="00B91EB8">
      <w:pPr>
        <w:pStyle w:val="TOC1"/>
        <w:rPr>
          <w:rFonts w:asciiTheme="minorHAnsi" w:eastAsiaTheme="minorEastAsia" w:hAnsiTheme="minorHAnsi" w:cstheme="minorBidi"/>
          <w:b w:val="0"/>
          <w:caps w:val="0"/>
          <w:noProof/>
          <w:color w:val="auto"/>
          <w:kern w:val="2"/>
          <w:sz w:val="24"/>
          <w:szCs w:val="24"/>
          <w:lang w:eastAsia="en-AU"/>
          <w14:ligatures w14:val="standardContextual"/>
        </w:rPr>
      </w:pPr>
      <w:hyperlink w:anchor="_Toc216699480" w:history="1">
        <w:r w:rsidRPr="00683E1E">
          <w:rPr>
            <w:rStyle w:val="Hyperlink"/>
            <w:noProof/>
          </w:rPr>
          <w:t>16</w:t>
        </w:r>
        <w:r>
          <w:rPr>
            <w:rFonts w:asciiTheme="minorHAnsi" w:eastAsiaTheme="minorEastAsia" w:hAnsiTheme="minorHAnsi" w:cstheme="minorBidi"/>
            <w:b w:val="0"/>
            <w:caps w:val="0"/>
            <w:noProof/>
            <w:color w:val="auto"/>
            <w:kern w:val="2"/>
            <w:sz w:val="24"/>
            <w:szCs w:val="24"/>
            <w:lang w:eastAsia="en-AU"/>
            <w14:ligatures w14:val="standardContextual"/>
          </w:rPr>
          <w:tab/>
        </w:r>
        <w:r w:rsidRPr="00683E1E">
          <w:rPr>
            <w:rStyle w:val="Hyperlink"/>
            <w:noProof/>
          </w:rPr>
          <w:t>OPTION 4 – PERMANENT AUTOMATED SAND BYPASSING</w:t>
        </w:r>
        <w:r w:rsidRPr="00683E1E">
          <w:rPr>
            <w:rStyle w:val="Hyperlink"/>
            <w:noProof/>
            <w:spacing w:val="-6"/>
          </w:rPr>
          <w:t xml:space="preserve"> </w:t>
        </w:r>
        <w:r w:rsidRPr="00683E1E">
          <w:rPr>
            <w:rStyle w:val="Hyperlink"/>
            <w:noProof/>
          </w:rPr>
          <w:t>SYSTEM</w:t>
        </w:r>
        <w:r w:rsidRPr="00683E1E">
          <w:rPr>
            <w:rStyle w:val="Hyperlink"/>
            <w:noProof/>
            <w:spacing w:val="-7"/>
          </w:rPr>
          <w:t xml:space="preserve"> </w:t>
        </w:r>
        <w:r w:rsidRPr="00683E1E">
          <w:rPr>
            <w:rStyle w:val="Hyperlink"/>
            <w:noProof/>
          </w:rPr>
          <w:t>AT</w:t>
        </w:r>
        <w:r w:rsidRPr="00683E1E">
          <w:rPr>
            <w:rStyle w:val="Hyperlink"/>
            <w:noProof/>
            <w:spacing w:val="-6"/>
          </w:rPr>
          <w:t xml:space="preserve"> </w:t>
        </w:r>
        <w:r w:rsidRPr="00683E1E">
          <w:rPr>
            <w:rStyle w:val="Hyperlink"/>
            <w:noProof/>
          </w:rPr>
          <w:t>HEADLAND</w:t>
        </w:r>
        <w:r w:rsidRPr="00683E1E">
          <w:rPr>
            <w:rStyle w:val="Hyperlink"/>
            <w:noProof/>
            <w:spacing w:val="-7"/>
          </w:rPr>
          <w:t xml:space="preserve"> </w:t>
        </w:r>
        <w:r w:rsidRPr="00683E1E">
          <w:rPr>
            <w:rStyle w:val="Hyperlink"/>
            <w:noProof/>
          </w:rPr>
          <w:t>SAND</w:t>
        </w:r>
        <w:r w:rsidRPr="00683E1E">
          <w:rPr>
            <w:rStyle w:val="Hyperlink"/>
            <w:noProof/>
            <w:spacing w:val="-7"/>
          </w:rPr>
          <w:t xml:space="preserve"> </w:t>
        </w:r>
        <w:r w:rsidRPr="00683E1E">
          <w:rPr>
            <w:rStyle w:val="Hyperlink"/>
            <w:noProof/>
          </w:rPr>
          <w:t>TRAP</w:t>
        </w:r>
        <w:r>
          <w:rPr>
            <w:noProof/>
            <w:webHidden/>
          </w:rPr>
          <w:tab/>
        </w:r>
        <w:r>
          <w:rPr>
            <w:noProof/>
            <w:webHidden/>
          </w:rPr>
          <w:fldChar w:fldCharType="begin"/>
        </w:r>
        <w:r>
          <w:rPr>
            <w:noProof/>
            <w:webHidden/>
          </w:rPr>
          <w:instrText xml:space="preserve"> PAGEREF _Toc216699480 \h </w:instrText>
        </w:r>
        <w:r>
          <w:rPr>
            <w:noProof/>
            <w:webHidden/>
          </w:rPr>
        </w:r>
        <w:r>
          <w:rPr>
            <w:noProof/>
            <w:webHidden/>
          </w:rPr>
          <w:fldChar w:fldCharType="separate"/>
        </w:r>
        <w:r>
          <w:rPr>
            <w:noProof/>
            <w:webHidden/>
          </w:rPr>
          <w:t>209</w:t>
        </w:r>
        <w:r>
          <w:rPr>
            <w:noProof/>
            <w:webHidden/>
          </w:rPr>
          <w:fldChar w:fldCharType="end"/>
        </w:r>
      </w:hyperlink>
    </w:p>
    <w:p w14:paraId="614588E7" w14:textId="25A9DF0E"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81" w:history="1">
        <w:r w:rsidRPr="00683E1E">
          <w:rPr>
            <w:rStyle w:val="Hyperlink"/>
            <w:noProof/>
          </w:rPr>
          <w:t>16.1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w:t>
        </w:r>
        <w:r w:rsidRPr="00683E1E">
          <w:rPr>
            <w:rStyle w:val="Hyperlink"/>
            <w:noProof/>
            <w:spacing w:val="-13"/>
          </w:rPr>
          <w:t xml:space="preserve"> </w:t>
        </w:r>
        <w:r w:rsidRPr="00683E1E">
          <w:rPr>
            <w:rStyle w:val="Hyperlink"/>
            <w:noProof/>
          </w:rPr>
          <w:t>description</w:t>
        </w:r>
        <w:r>
          <w:rPr>
            <w:noProof/>
            <w:webHidden/>
          </w:rPr>
          <w:tab/>
        </w:r>
        <w:r>
          <w:rPr>
            <w:noProof/>
            <w:webHidden/>
          </w:rPr>
          <w:fldChar w:fldCharType="begin"/>
        </w:r>
        <w:r>
          <w:rPr>
            <w:noProof/>
            <w:webHidden/>
          </w:rPr>
          <w:instrText xml:space="preserve"> PAGEREF _Toc216699481 \h </w:instrText>
        </w:r>
        <w:r>
          <w:rPr>
            <w:noProof/>
            <w:webHidden/>
          </w:rPr>
        </w:r>
        <w:r>
          <w:rPr>
            <w:noProof/>
            <w:webHidden/>
          </w:rPr>
          <w:fldChar w:fldCharType="separate"/>
        </w:r>
        <w:r>
          <w:rPr>
            <w:noProof/>
            <w:webHidden/>
          </w:rPr>
          <w:t>209</w:t>
        </w:r>
        <w:r>
          <w:rPr>
            <w:noProof/>
            <w:webHidden/>
          </w:rPr>
          <w:fldChar w:fldCharType="end"/>
        </w:r>
      </w:hyperlink>
    </w:p>
    <w:p w14:paraId="43A1FBEE" w14:textId="015CFB81"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82" w:history="1">
        <w:r w:rsidRPr="00683E1E">
          <w:rPr>
            <w:rStyle w:val="Hyperlink"/>
            <w:noProof/>
          </w:rPr>
          <w:t>16.2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Effectiveness</w:t>
        </w:r>
        <w:r w:rsidRPr="00683E1E">
          <w:rPr>
            <w:rStyle w:val="Hyperlink"/>
            <w:noProof/>
            <w:spacing w:val="-13"/>
          </w:rPr>
          <w:t xml:space="preserve"> </w:t>
        </w:r>
        <w:r w:rsidRPr="00683E1E">
          <w:rPr>
            <w:rStyle w:val="Hyperlink"/>
            <w:noProof/>
          </w:rPr>
          <w:t>of</w:t>
        </w:r>
        <w:r w:rsidRPr="00683E1E">
          <w:rPr>
            <w:rStyle w:val="Hyperlink"/>
            <w:noProof/>
            <w:spacing w:val="-12"/>
          </w:rPr>
          <w:t xml:space="preserve"> </w:t>
        </w:r>
        <w:r w:rsidRPr="00683E1E">
          <w:rPr>
            <w:rStyle w:val="Hyperlink"/>
            <w:noProof/>
            <w:spacing w:val="-2"/>
          </w:rPr>
          <w:t>option</w:t>
        </w:r>
        <w:r>
          <w:rPr>
            <w:noProof/>
            <w:webHidden/>
          </w:rPr>
          <w:tab/>
        </w:r>
        <w:r>
          <w:rPr>
            <w:noProof/>
            <w:webHidden/>
          </w:rPr>
          <w:fldChar w:fldCharType="begin"/>
        </w:r>
        <w:r>
          <w:rPr>
            <w:noProof/>
            <w:webHidden/>
          </w:rPr>
          <w:instrText xml:space="preserve"> PAGEREF _Toc216699482 \h </w:instrText>
        </w:r>
        <w:r>
          <w:rPr>
            <w:noProof/>
            <w:webHidden/>
          </w:rPr>
        </w:r>
        <w:r>
          <w:rPr>
            <w:noProof/>
            <w:webHidden/>
          </w:rPr>
          <w:fldChar w:fldCharType="separate"/>
        </w:r>
        <w:r>
          <w:rPr>
            <w:noProof/>
            <w:webHidden/>
          </w:rPr>
          <w:t>210</w:t>
        </w:r>
        <w:r>
          <w:rPr>
            <w:noProof/>
            <w:webHidden/>
          </w:rPr>
          <w:fldChar w:fldCharType="end"/>
        </w:r>
      </w:hyperlink>
    </w:p>
    <w:p w14:paraId="384AB686" w14:textId="30574325"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83" w:history="1">
        <w:r w:rsidRPr="00683E1E">
          <w:rPr>
            <w:rStyle w:val="Hyperlink"/>
            <w:noProof/>
          </w:rPr>
          <w:t>16.3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Coastal</w:t>
        </w:r>
        <w:r w:rsidRPr="00683E1E">
          <w:rPr>
            <w:rStyle w:val="Hyperlink"/>
            <w:noProof/>
            <w:spacing w:val="-14"/>
          </w:rPr>
          <w:t xml:space="preserve"> </w:t>
        </w:r>
        <w:r w:rsidRPr="00683E1E">
          <w:rPr>
            <w:rStyle w:val="Hyperlink"/>
            <w:noProof/>
          </w:rPr>
          <w:t>processes</w:t>
        </w:r>
        <w:r w:rsidRPr="00683E1E">
          <w:rPr>
            <w:rStyle w:val="Hyperlink"/>
            <w:noProof/>
            <w:spacing w:val="-14"/>
          </w:rPr>
          <w:t xml:space="preserve"> </w:t>
        </w:r>
        <w:r w:rsidRPr="00683E1E">
          <w:rPr>
            <w:rStyle w:val="Hyperlink"/>
            <w:noProof/>
            <w:spacing w:val="-2"/>
          </w:rPr>
          <w:t>impacts</w:t>
        </w:r>
        <w:r>
          <w:rPr>
            <w:noProof/>
            <w:webHidden/>
          </w:rPr>
          <w:tab/>
        </w:r>
        <w:r>
          <w:rPr>
            <w:noProof/>
            <w:webHidden/>
          </w:rPr>
          <w:fldChar w:fldCharType="begin"/>
        </w:r>
        <w:r>
          <w:rPr>
            <w:noProof/>
            <w:webHidden/>
          </w:rPr>
          <w:instrText xml:space="preserve"> PAGEREF _Toc216699483 \h </w:instrText>
        </w:r>
        <w:r>
          <w:rPr>
            <w:noProof/>
            <w:webHidden/>
          </w:rPr>
        </w:r>
        <w:r>
          <w:rPr>
            <w:noProof/>
            <w:webHidden/>
          </w:rPr>
          <w:fldChar w:fldCharType="separate"/>
        </w:r>
        <w:r>
          <w:rPr>
            <w:noProof/>
            <w:webHidden/>
          </w:rPr>
          <w:t>211</w:t>
        </w:r>
        <w:r>
          <w:rPr>
            <w:noProof/>
            <w:webHidden/>
          </w:rPr>
          <w:fldChar w:fldCharType="end"/>
        </w:r>
      </w:hyperlink>
    </w:p>
    <w:p w14:paraId="2548FD16" w14:textId="06CAE9D8"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84" w:history="1">
        <w:r w:rsidRPr="00683E1E">
          <w:rPr>
            <w:rStyle w:val="Hyperlink"/>
            <w:noProof/>
          </w:rPr>
          <w:t>16.4</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Design</w:t>
        </w:r>
        <w:r w:rsidRPr="00683E1E">
          <w:rPr>
            <w:rStyle w:val="Hyperlink"/>
            <w:noProof/>
            <w:spacing w:val="-10"/>
          </w:rPr>
          <w:t xml:space="preserve"> </w:t>
        </w:r>
        <w:r w:rsidRPr="00683E1E">
          <w:rPr>
            <w:rStyle w:val="Hyperlink"/>
            <w:noProof/>
          </w:rPr>
          <w:t>and</w:t>
        </w:r>
        <w:r w:rsidRPr="00683E1E">
          <w:rPr>
            <w:rStyle w:val="Hyperlink"/>
            <w:noProof/>
            <w:spacing w:val="-10"/>
          </w:rPr>
          <w:t xml:space="preserve"> </w:t>
        </w:r>
        <w:r w:rsidRPr="00683E1E">
          <w:rPr>
            <w:rStyle w:val="Hyperlink"/>
            <w:noProof/>
            <w:spacing w:val="-2"/>
          </w:rPr>
          <w:t>approvals</w:t>
        </w:r>
        <w:r>
          <w:rPr>
            <w:noProof/>
            <w:webHidden/>
          </w:rPr>
          <w:tab/>
        </w:r>
        <w:r>
          <w:rPr>
            <w:noProof/>
            <w:webHidden/>
          </w:rPr>
          <w:fldChar w:fldCharType="begin"/>
        </w:r>
        <w:r>
          <w:rPr>
            <w:noProof/>
            <w:webHidden/>
          </w:rPr>
          <w:instrText xml:space="preserve"> PAGEREF _Toc216699484 \h </w:instrText>
        </w:r>
        <w:r>
          <w:rPr>
            <w:noProof/>
            <w:webHidden/>
          </w:rPr>
        </w:r>
        <w:r>
          <w:rPr>
            <w:noProof/>
            <w:webHidden/>
          </w:rPr>
          <w:fldChar w:fldCharType="separate"/>
        </w:r>
        <w:r>
          <w:rPr>
            <w:noProof/>
            <w:webHidden/>
          </w:rPr>
          <w:t>211</w:t>
        </w:r>
        <w:r>
          <w:rPr>
            <w:noProof/>
            <w:webHidden/>
          </w:rPr>
          <w:fldChar w:fldCharType="end"/>
        </w:r>
      </w:hyperlink>
    </w:p>
    <w:p w14:paraId="7C21F6A0" w14:textId="26CDC3AE"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85" w:history="1">
        <w:r w:rsidRPr="00683E1E">
          <w:rPr>
            <w:rStyle w:val="Hyperlink"/>
            <w:noProof/>
          </w:rPr>
          <w:t>16.5</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Capital</w:t>
        </w:r>
        <w:r w:rsidRPr="00683E1E">
          <w:rPr>
            <w:rStyle w:val="Hyperlink"/>
            <w:noProof/>
            <w:spacing w:val="-12"/>
          </w:rPr>
          <w:t xml:space="preserve"> </w:t>
        </w:r>
        <w:r w:rsidRPr="00683E1E">
          <w:rPr>
            <w:rStyle w:val="Hyperlink"/>
            <w:noProof/>
            <w:spacing w:val="-2"/>
          </w:rPr>
          <w:t>works</w:t>
        </w:r>
        <w:r>
          <w:rPr>
            <w:noProof/>
            <w:webHidden/>
          </w:rPr>
          <w:tab/>
        </w:r>
        <w:r>
          <w:rPr>
            <w:noProof/>
            <w:webHidden/>
          </w:rPr>
          <w:fldChar w:fldCharType="begin"/>
        </w:r>
        <w:r>
          <w:rPr>
            <w:noProof/>
            <w:webHidden/>
          </w:rPr>
          <w:instrText xml:space="preserve"> PAGEREF _Toc216699485 \h </w:instrText>
        </w:r>
        <w:r>
          <w:rPr>
            <w:noProof/>
            <w:webHidden/>
          </w:rPr>
        </w:r>
        <w:r>
          <w:rPr>
            <w:noProof/>
            <w:webHidden/>
          </w:rPr>
          <w:fldChar w:fldCharType="separate"/>
        </w:r>
        <w:r>
          <w:rPr>
            <w:noProof/>
            <w:webHidden/>
          </w:rPr>
          <w:t>212</w:t>
        </w:r>
        <w:r>
          <w:rPr>
            <w:noProof/>
            <w:webHidden/>
          </w:rPr>
          <w:fldChar w:fldCharType="end"/>
        </w:r>
      </w:hyperlink>
    </w:p>
    <w:p w14:paraId="3DFF5CD3" w14:textId="1B9B6745"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86" w:history="1">
        <w:r w:rsidRPr="00683E1E">
          <w:rPr>
            <w:rStyle w:val="Hyperlink"/>
            <w:noProof/>
          </w:rPr>
          <w:t>16.6</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Operational</w:t>
        </w:r>
        <w:r w:rsidRPr="00683E1E">
          <w:rPr>
            <w:rStyle w:val="Hyperlink"/>
            <w:noProof/>
            <w:spacing w:val="2"/>
          </w:rPr>
          <w:t xml:space="preserve"> </w:t>
        </w:r>
        <w:r w:rsidRPr="00683E1E">
          <w:rPr>
            <w:rStyle w:val="Hyperlink"/>
            <w:noProof/>
            <w:spacing w:val="-4"/>
          </w:rPr>
          <w:t>works</w:t>
        </w:r>
        <w:r>
          <w:rPr>
            <w:noProof/>
            <w:webHidden/>
          </w:rPr>
          <w:tab/>
        </w:r>
        <w:r>
          <w:rPr>
            <w:noProof/>
            <w:webHidden/>
          </w:rPr>
          <w:fldChar w:fldCharType="begin"/>
        </w:r>
        <w:r>
          <w:rPr>
            <w:noProof/>
            <w:webHidden/>
          </w:rPr>
          <w:instrText xml:space="preserve"> PAGEREF _Toc216699486 \h </w:instrText>
        </w:r>
        <w:r>
          <w:rPr>
            <w:noProof/>
            <w:webHidden/>
          </w:rPr>
        </w:r>
        <w:r>
          <w:rPr>
            <w:noProof/>
            <w:webHidden/>
          </w:rPr>
          <w:fldChar w:fldCharType="separate"/>
        </w:r>
        <w:r>
          <w:rPr>
            <w:noProof/>
            <w:webHidden/>
          </w:rPr>
          <w:t>213</w:t>
        </w:r>
        <w:r>
          <w:rPr>
            <w:noProof/>
            <w:webHidden/>
          </w:rPr>
          <w:fldChar w:fldCharType="end"/>
        </w:r>
      </w:hyperlink>
    </w:p>
    <w:p w14:paraId="0898D882" w14:textId="2102308A"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87" w:history="1">
        <w:r w:rsidRPr="00683E1E">
          <w:rPr>
            <w:rStyle w:val="Hyperlink"/>
            <w:noProof/>
          </w:rPr>
          <w:t>16.7</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Environmental</w:t>
        </w:r>
        <w:r w:rsidRPr="00683E1E">
          <w:rPr>
            <w:rStyle w:val="Hyperlink"/>
            <w:noProof/>
            <w:spacing w:val="2"/>
          </w:rPr>
          <w:t xml:space="preserve"> </w:t>
        </w:r>
        <w:r w:rsidRPr="00683E1E">
          <w:rPr>
            <w:rStyle w:val="Hyperlink"/>
            <w:noProof/>
          </w:rPr>
          <w:t>constraints</w:t>
        </w:r>
        <w:r>
          <w:rPr>
            <w:noProof/>
            <w:webHidden/>
          </w:rPr>
          <w:tab/>
        </w:r>
        <w:r>
          <w:rPr>
            <w:noProof/>
            <w:webHidden/>
          </w:rPr>
          <w:fldChar w:fldCharType="begin"/>
        </w:r>
        <w:r>
          <w:rPr>
            <w:noProof/>
            <w:webHidden/>
          </w:rPr>
          <w:instrText xml:space="preserve"> PAGEREF _Toc216699487 \h </w:instrText>
        </w:r>
        <w:r>
          <w:rPr>
            <w:noProof/>
            <w:webHidden/>
          </w:rPr>
        </w:r>
        <w:r>
          <w:rPr>
            <w:noProof/>
            <w:webHidden/>
          </w:rPr>
          <w:fldChar w:fldCharType="separate"/>
        </w:r>
        <w:r>
          <w:rPr>
            <w:noProof/>
            <w:webHidden/>
          </w:rPr>
          <w:t>214</w:t>
        </w:r>
        <w:r>
          <w:rPr>
            <w:noProof/>
            <w:webHidden/>
          </w:rPr>
          <w:fldChar w:fldCharType="end"/>
        </w:r>
      </w:hyperlink>
    </w:p>
    <w:p w14:paraId="6AB69C23" w14:textId="43E8F2CD"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88" w:history="1">
        <w:r w:rsidRPr="00683E1E">
          <w:rPr>
            <w:rStyle w:val="Hyperlink"/>
            <w:noProof/>
          </w:rPr>
          <w:t>16.8</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Social</w:t>
        </w:r>
        <w:r w:rsidRPr="00683E1E">
          <w:rPr>
            <w:rStyle w:val="Hyperlink"/>
            <w:noProof/>
            <w:spacing w:val="-11"/>
          </w:rPr>
          <w:t xml:space="preserve"> </w:t>
        </w:r>
        <w:r w:rsidRPr="00683E1E">
          <w:rPr>
            <w:rStyle w:val="Hyperlink"/>
            <w:noProof/>
            <w:spacing w:val="-2"/>
          </w:rPr>
          <w:t>impacts</w:t>
        </w:r>
        <w:r>
          <w:rPr>
            <w:noProof/>
            <w:webHidden/>
          </w:rPr>
          <w:tab/>
        </w:r>
        <w:r>
          <w:rPr>
            <w:noProof/>
            <w:webHidden/>
          </w:rPr>
          <w:fldChar w:fldCharType="begin"/>
        </w:r>
        <w:r>
          <w:rPr>
            <w:noProof/>
            <w:webHidden/>
          </w:rPr>
          <w:instrText xml:space="preserve"> PAGEREF _Toc216699488 \h </w:instrText>
        </w:r>
        <w:r>
          <w:rPr>
            <w:noProof/>
            <w:webHidden/>
          </w:rPr>
        </w:r>
        <w:r>
          <w:rPr>
            <w:noProof/>
            <w:webHidden/>
          </w:rPr>
          <w:fldChar w:fldCharType="separate"/>
        </w:r>
        <w:r>
          <w:rPr>
            <w:noProof/>
            <w:webHidden/>
          </w:rPr>
          <w:t>221</w:t>
        </w:r>
        <w:r>
          <w:rPr>
            <w:noProof/>
            <w:webHidden/>
          </w:rPr>
          <w:fldChar w:fldCharType="end"/>
        </w:r>
      </w:hyperlink>
    </w:p>
    <w:p w14:paraId="7A90CB4B" w14:textId="49B07730"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89" w:history="1">
        <w:r w:rsidRPr="00683E1E">
          <w:rPr>
            <w:rStyle w:val="Hyperlink"/>
            <w:noProof/>
          </w:rPr>
          <w:t>16.9</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Economic</w:t>
        </w:r>
        <w:r w:rsidRPr="00683E1E">
          <w:rPr>
            <w:rStyle w:val="Hyperlink"/>
            <w:noProof/>
            <w:spacing w:val="-17"/>
          </w:rPr>
          <w:t xml:space="preserve"> </w:t>
        </w:r>
        <w:r w:rsidRPr="00683E1E">
          <w:rPr>
            <w:rStyle w:val="Hyperlink"/>
            <w:noProof/>
            <w:spacing w:val="-2"/>
          </w:rPr>
          <w:t>impacts</w:t>
        </w:r>
        <w:r>
          <w:rPr>
            <w:noProof/>
            <w:webHidden/>
          </w:rPr>
          <w:tab/>
        </w:r>
        <w:r>
          <w:rPr>
            <w:noProof/>
            <w:webHidden/>
          </w:rPr>
          <w:fldChar w:fldCharType="begin"/>
        </w:r>
        <w:r>
          <w:rPr>
            <w:noProof/>
            <w:webHidden/>
          </w:rPr>
          <w:instrText xml:space="preserve"> PAGEREF _Toc216699489 \h </w:instrText>
        </w:r>
        <w:r>
          <w:rPr>
            <w:noProof/>
            <w:webHidden/>
          </w:rPr>
        </w:r>
        <w:r>
          <w:rPr>
            <w:noProof/>
            <w:webHidden/>
          </w:rPr>
          <w:fldChar w:fldCharType="separate"/>
        </w:r>
        <w:r>
          <w:rPr>
            <w:noProof/>
            <w:webHidden/>
          </w:rPr>
          <w:t>221</w:t>
        </w:r>
        <w:r>
          <w:rPr>
            <w:noProof/>
            <w:webHidden/>
          </w:rPr>
          <w:fldChar w:fldCharType="end"/>
        </w:r>
      </w:hyperlink>
    </w:p>
    <w:p w14:paraId="1FD4019F" w14:textId="553C3C8E"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90" w:history="1">
        <w:r w:rsidRPr="00683E1E">
          <w:rPr>
            <w:rStyle w:val="Hyperlink"/>
            <w:noProof/>
          </w:rPr>
          <w:t>16.10</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Future</w:t>
        </w:r>
        <w:r w:rsidRPr="00683E1E">
          <w:rPr>
            <w:rStyle w:val="Hyperlink"/>
            <w:noProof/>
            <w:spacing w:val="-12"/>
          </w:rPr>
          <w:t xml:space="preserve"> </w:t>
        </w:r>
        <w:r w:rsidRPr="00683E1E">
          <w:rPr>
            <w:rStyle w:val="Hyperlink"/>
            <w:noProof/>
          </w:rPr>
          <w:t>adaption</w:t>
        </w:r>
        <w:r>
          <w:rPr>
            <w:noProof/>
            <w:webHidden/>
          </w:rPr>
          <w:tab/>
        </w:r>
        <w:r>
          <w:rPr>
            <w:noProof/>
            <w:webHidden/>
          </w:rPr>
          <w:fldChar w:fldCharType="begin"/>
        </w:r>
        <w:r>
          <w:rPr>
            <w:noProof/>
            <w:webHidden/>
          </w:rPr>
          <w:instrText xml:space="preserve"> PAGEREF _Toc216699490 \h </w:instrText>
        </w:r>
        <w:r>
          <w:rPr>
            <w:noProof/>
            <w:webHidden/>
          </w:rPr>
        </w:r>
        <w:r>
          <w:rPr>
            <w:noProof/>
            <w:webHidden/>
          </w:rPr>
          <w:fldChar w:fldCharType="separate"/>
        </w:r>
        <w:r>
          <w:rPr>
            <w:noProof/>
            <w:webHidden/>
          </w:rPr>
          <w:t>221</w:t>
        </w:r>
        <w:r>
          <w:rPr>
            <w:noProof/>
            <w:webHidden/>
          </w:rPr>
          <w:fldChar w:fldCharType="end"/>
        </w:r>
      </w:hyperlink>
    </w:p>
    <w:p w14:paraId="234EF087" w14:textId="2F034BA7"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91" w:history="1">
        <w:r w:rsidRPr="00683E1E">
          <w:rPr>
            <w:rStyle w:val="Hyperlink"/>
            <w:noProof/>
          </w:rPr>
          <w:t>16.11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Safety</w:t>
        </w:r>
        <w:r w:rsidRPr="00683E1E">
          <w:rPr>
            <w:rStyle w:val="Hyperlink"/>
            <w:noProof/>
            <w:spacing w:val="-9"/>
          </w:rPr>
          <w:t xml:space="preserve"> </w:t>
        </w:r>
        <w:r w:rsidRPr="00683E1E">
          <w:rPr>
            <w:rStyle w:val="Hyperlink"/>
            <w:noProof/>
          </w:rPr>
          <w:t>of</w:t>
        </w:r>
        <w:r w:rsidRPr="00683E1E">
          <w:rPr>
            <w:rStyle w:val="Hyperlink"/>
            <w:noProof/>
            <w:spacing w:val="-9"/>
          </w:rPr>
          <w:t xml:space="preserve"> </w:t>
        </w:r>
        <w:r w:rsidRPr="00683E1E">
          <w:rPr>
            <w:rStyle w:val="Hyperlink"/>
            <w:noProof/>
          </w:rPr>
          <w:t>Option</w:t>
        </w:r>
        <w:r w:rsidRPr="00683E1E">
          <w:rPr>
            <w:rStyle w:val="Hyperlink"/>
            <w:noProof/>
            <w:spacing w:val="-10"/>
          </w:rPr>
          <w:t xml:space="preserve"> 4</w:t>
        </w:r>
        <w:r>
          <w:rPr>
            <w:noProof/>
            <w:webHidden/>
          </w:rPr>
          <w:tab/>
        </w:r>
        <w:r>
          <w:rPr>
            <w:noProof/>
            <w:webHidden/>
          </w:rPr>
          <w:fldChar w:fldCharType="begin"/>
        </w:r>
        <w:r>
          <w:rPr>
            <w:noProof/>
            <w:webHidden/>
          </w:rPr>
          <w:instrText xml:space="preserve"> PAGEREF _Toc216699491 \h </w:instrText>
        </w:r>
        <w:r>
          <w:rPr>
            <w:noProof/>
            <w:webHidden/>
          </w:rPr>
        </w:r>
        <w:r>
          <w:rPr>
            <w:noProof/>
            <w:webHidden/>
          </w:rPr>
          <w:fldChar w:fldCharType="separate"/>
        </w:r>
        <w:r>
          <w:rPr>
            <w:noProof/>
            <w:webHidden/>
          </w:rPr>
          <w:t>222</w:t>
        </w:r>
        <w:r>
          <w:rPr>
            <w:noProof/>
            <w:webHidden/>
          </w:rPr>
          <w:fldChar w:fldCharType="end"/>
        </w:r>
      </w:hyperlink>
    </w:p>
    <w:p w14:paraId="266E34A0" w14:textId="60E18BE3"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92" w:history="1">
        <w:r w:rsidRPr="00683E1E">
          <w:rPr>
            <w:rStyle w:val="Hyperlink"/>
            <w:noProof/>
          </w:rPr>
          <w:t>16.12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Cost</w:t>
        </w:r>
        <w:r>
          <w:rPr>
            <w:noProof/>
            <w:webHidden/>
          </w:rPr>
          <w:tab/>
        </w:r>
        <w:r>
          <w:rPr>
            <w:noProof/>
            <w:webHidden/>
          </w:rPr>
          <w:fldChar w:fldCharType="begin"/>
        </w:r>
        <w:r>
          <w:rPr>
            <w:noProof/>
            <w:webHidden/>
          </w:rPr>
          <w:instrText xml:space="preserve"> PAGEREF _Toc216699492 \h </w:instrText>
        </w:r>
        <w:r>
          <w:rPr>
            <w:noProof/>
            <w:webHidden/>
          </w:rPr>
        </w:r>
        <w:r>
          <w:rPr>
            <w:noProof/>
            <w:webHidden/>
          </w:rPr>
          <w:fldChar w:fldCharType="separate"/>
        </w:r>
        <w:r>
          <w:rPr>
            <w:noProof/>
            <w:webHidden/>
          </w:rPr>
          <w:t>222</w:t>
        </w:r>
        <w:r>
          <w:rPr>
            <w:noProof/>
            <w:webHidden/>
          </w:rPr>
          <w:fldChar w:fldCharType="end"/>
        </w:r>
      </w:hyperlink>
    </w:p>
    <w:p w14:paraId="6CE59FD6" w14:textId="3C82CB95"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93" w:history="1">
        <w:r w:rsidRPr="00683E1E">
          <w:rPr>
            <w:rStyle w:val="Hyperlink"/>
            <w:noProof/>
          </w:rPr>
          <w:t>16.13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w:t>
        </w:r>
        <w:r w:rsidRPr="00683E1E">
          <w:rPr>
            <w:rStyle w:val="Hyperlink"/>
            <w:noProof/>
            <w:spacing w:val="-13"/>
          </w:rPr>
          <w:t xml:space="preserve"> </w:t>
        </w:r>
        <w:r w:rsidRPr="00683E1E">
          <w:rPr>
            <w:rStyle w:val="Hyperlink"/>
            <w:noProof/>
            <w:spacing w:val="-2"/>
          </w:rPr>
          <w:t>summary</w:t>
        </w:r>
        <w:r>
          <w:rPr>
            <w:noProof/>
            <w:webHidden/>
          </w:rPr>
          <w:tab/>
        </w:r>
        <w:r>
          <w:rPr>
            <w:noProof/>
            <w:webHidden/>
          </w:rPr>
          <w:fldChar w:fldCharType="begin"/>
        </w:r>
        <w:r>
          <w:rPr>
            <w:noProof/>
            <w:webHidden/>
          </w:rPr>
          <w:instrText xml:space="preserve"> PAGEREF _Toc216699493 \h </w:instrText>
        </w:r>
        <w:r>
          <w:rPr>
            <w:noProof/>
            <w:webHidden/>
          </w:rPr>
        </w:r>
        <w:r>
          <w:rPr>
            <w:noProof/>
            <w:webHidden/>
          </w:rPr>
          <w:fldChar w:fldCharType="separate"/>
        </w:r>
        <w:r>
          <w:rPr>
            <w:noProof/>
            <w:webHidden/>
          </w:rPr>
          <w:t>223</w:t>
        </w:r>
        <w:r>
          <w:rPr>
            <w:noProof/>
            <w:webHidden/>
          </w:rPr>
          <w:fldChar w:fldCharType="end"/>
        </w:r>
      </w:hyperlink>
    </w:p>
    <w:p w14:paraId="4031BA0C" w14:textId="368E1F66"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94" w:history="1">
        <w:r w:rsidRPr="00683E1E">
          <w:rPr>
            <w:rStyle w:val="Hyperlink"/>
            <w:noProof/>
          </w:rPr>
          <w:t>16.14</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Multi-criteria</w:t>
        </w:r>
        <w:r w:rsidRPr="00683E1E">
          <w:rPr>
            <w:rStyle w:val="Hyperlink"/>
            <w:noProof/>
            <w:spacing w:val="-13"/>
          </w:rPr>
          <w:t xml:space="preserve"> </w:t>
        </w:r>
        <w:r w:rsidRPr="00683E1E">
          <w:rPr>
            <w:rStyle w:val="Hyperlink"/>
            <w:noProof/>
          </w:rPr>
          <w:t>analysis</w:t>
        </w:r>
        <w:r w:rsidRPr="00683E1E">
          <w:rPr>
            <w:rStyle w:val="Hyperlink"/>
            <w:noProof/>
            <w:spacing w:val="-12"/>
          </w:rPr>
          <w:t xml:space="preserve"> </w:t>
        </w:r>
        <w:r w:rsidRPr="00683E1E">
          <w:rPr>
            <w:rStyle w:val="Hyperlink"/>
            <w:noProof/>
          </w:rPr>
          <w:t>for</w:t>
        </w:r>
        <w:r w:rsidRPr="00683E1E">
          <w:rPr>
            <w:rStyle w:val="Hyperlink"/>
            <w:noProof/>
            <w:spacing w:val="-13"/>
          </w:rPr>
          <w:t xml:space="preserve"> </w:t>
        </w:r>
        <w:r w:rsidRPr="00683E1E">
          <w:rPr>
            <w:rStyle w:val="Hyperlink"/>
            <w:noProof/>
          </w:rPr>
          <w:t>Option</w:t>
        </w:r>
        <w:r w:rsidRPr="00683E1E">
          <w:rPr>
            <w:rStyle w:val="Hyperlink"/>
            <w:noProof/>
            <w:spacing w:val="-13"/>
          </w:rPr>
          <w:t xml:space="preserve"> </w:t>
        </w:r>
        <w:r w:rsidRPr="00683E1E">
          <w:rPr>
            <w:rStyle w:val="Hyperlink"/>
            <w:noProof/>
            <w:spacing w:val="-10"/>
          </w:rPr>
          <w:t>4</w:t>
        </w:r>
        <w:r>
          <w:rPr>
            <w:noProof/>
            <w:webHidden/>
          </w:rPr>
          <w:tab/>
        </w:r>
        <w:r>
          <w:rPr>
            <w:noProof/>
            <w:webHidden/>
          </w:rPr>
          <w:fldChar w:fldCharType="begin"/>
        </w:r>
        <w:r>
          <w:rPr>
            <w:noProof/>
            <w:webHidden/>
          </w:rPr>
          <w:instrText xml:space="preserve"> PAGEREF _Toc216699494 \h </w:instrText>
        </w:r>
        <w:r>
          <w:rPr>
            <w:noProof/>
            <w:webHidden/>
          </w:rPr>
        </w:r>
        <w:r>
          <w:rPr>
            <w:noProof/>
            <w:webHidden/>
          </w:rPr>
          <w:fldChar w:fldCharType="separate"/>
        </w:r>
        <w:r>
          <w:rPr>
            <w:noProof/>
            <w:webHidden/>
          </w:rPr>
          <w:t>224</w:t>
        </w:r>
        <w:r>
          <w:rPr>
            <w:noProof/>
            <w:webHidden/>
          </w:rPr>
          <w:fldChar w:fldCharType="end"/>
        </w:r>
      </w:hyperlink>
    </w:p>
    <w:p w14:paraId="4EBB2803" w14:textId="010D2BF3" w:rsidR="00B91EB8" w:rsidRDefault="00B91EB8">
      <w:pPr>
        <w:pStyle w:val="TOC1"/>
        <w:rPr>
          <w:rFonts w:asciiTheme="minorHAnsi" w:eastAsiaTheme="minorEastAsia" w:hAnsiTheme="minorHAnsi" w:cstheme="minorBidi"/>
          <w:b w:val="0"/>
          <w:caps w:val="0"/>
          <w:noProof/>
          <w:color w:val="auto"/>
          <w:kern w:val="2"/>
          <w:sz w:val="24"/>
          <w:szCs w:val="24"/>
          <w:lang w:eastAsia="en-AU"/>
          <w14:ligatures w14:val="standardContextual"/>
        </w:rPr>
      </w:pPr>
      <w:hyperlink w:anchor="_Toc216699495" w:history="1">
        <w:r w:rsidRPr="00683E1E">
          <w:rPr>
            <w:rStyle w:val="Hyperlink"/>
            <w:noProof/>
          </w:rPr>
          <w:t>17</w:t>
        </w:r>
        <w:r>
          <w:rPr>
            <w:rFonts w:asciiTheme="minorHAnsi" w:eastAsiaTheme="minorEastAsia" w:hAnsiTheme="minorHAnsi" w:cstheme="minorBidi"/>
            <w:b w:val="0"/>
            <w:caps w:val="0"/>
            <w:noProof/>
            <w:color w:val="auto"/>
            <w:kern w:val="2"/>
            <w:sz w:val="24"/>
            <w:szCs w:val="24"/>
            <w:lang w:eastAsia="en-AU"/>
            <w14:ligatures w14:val="standardContextual"/>
          </w:rPr>
          <w:tab/>
        </w:r>
        <w:r w:rsidRPr="00683E1E">
          <w:rPr>
            <w:rStyle w:val="Hyperlink"/>
            <w:noProof/>
          </w:rPr>
          <w:t>OPTION</w:t>
        </w:r>
        <w:r w:rsidRPr="00683E1E">
          <w:rPr>
            <w:rStyle w:val="Hyperlink"/>
            <w:noProof/>
            <w:spacing w:val="-5"/>
          </w:rPr>
          <w:t xml:space="preserve"> </w:t>
        </w:r>
        <w:r w:rsidRPr="00683E1E">
          <w:rPr>
            <w:rStyle w:val="Hyperlink"/>
            <w:noProof/>
          </w:rPr>
          <w:t>5</w:t>
        </w:r>
        <w:r w:rsidRPr="00683E1E">
          <w:rPr>
            <w:rStyle w:val="Hyperlink"/>
            <w:noProof/>
            <w:spacing w:val="-3"/>
          </w:rPr>
          <w:t xml:space="preserve"> </w:t>
        </w:r>
        <w:r w:rsidRPr="00683E1E">
          <w:rPr>
            <w:rStyle w:val="Hyperlink"/>
            <w:noProof/>
          </w:rPr>
          <w:t>– WESTERN</w:t>
        </w:r>
        <w:r w:rsidRPr="00683E1E">
          <w:rPr>
            <w:rStyle w:val="Hyperlink"/>
            <w:noProof/>
            <w:spacing w:val="-3"/>
          </w:rPr>
          <w:t xml:space="preserve"> </w:t>
        </w:r>
        <w:r w:rsidRPr="00683E1E">
          <w:rPr>
            <w:rStyle w:val="Hyperlink"/>
            <w:noProof/>
          </w:rPr>
          <w:t>CHANNEL CONCEPT PLAN</w:t>
        </w:r>
        <w:r>
          <w:rPr>
            <w:noProof/>
            <w:webHidden/>
          </w:rPr>
          <w:tab/>
        </w:r>
        <w:r>
          <w:rPr>
            <w:noProof/>
            <w:webHidden/>
          </w:rPr>
          <w:fldChar w:fldCharType="begin"/>
        </w:r>
        <w:r>
          <w:rPr>
            <w:noProof/>
            <w:webHidden/>
          </w:rPr>
          <w:instrText xml:space="preserve"> PAGEREF _Toc216699495 \h </w:instrText>
        </w:r>
        <w:r>
          <w:rPr>
            <w:noProof/>
            <w:webHidden/>
          </w:rPr>
        </w:r>
        <w:r>
          <w:rPr>
            <w:noProof/>
            <w:webHidden/>
          </w:rPr>
          <w:fldChar w:fldCharType="separate"/>
        </w:r>
        <w:r>
          <w:rPr>
            <w:noProof/>
            <w:webHidden/>
          </w:rPr>
          <w:t>226</w:t>
        </w:r>
        <w:r>
          <w:rPr>
            <w:noProof/>
            <w:webHidden/>
          </w:rPr>
          <w:fldChar w:fldCharType="end"/>
        </w:r>
      </w:hyperlink>
    </w:p>
    <w:p w14:paraId="7CFAEA21" w14:textId="66795464"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96" w:history="1">
        <w:r w:rsidRPr="00683E1E">
          <w:rPr>
            <w:rStyle w:val="Hyperlink"/>
            <w:noProof/>
          </w:rPr>
          <w:t>17.1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w:t>
        </w:r>
        <w:r w:rsidRPr="00683E1E">
          <w:rPr>
            <w:rStyle w:val="Hyperlink"/>
            <w:noProof/>
            <w:spacing w:val="-13"/>
          </w:rPr>
          <w:t xml:space="preserve"> </w:t>
        </w:r>
        <w:r w:rsidRPr="00683E1E">
          <w:rPr>
            <w:rStyle w:val="Hyperlink"/>
            <w:noProof/>
          </w:rPr>
          <w:t>description</w:t>
        </w:r>
        <w:r>
          <w:rPr>
            <w:noProof/>
            <w:webHidden/>
          </w:rPr>
          <w:tab/>
        </w:r>
        <w:r>
          <w:rPr>
            <w:noProof/>
            <w:webHidden/>
          </w:rPr>
          <w:fldChar w:fldCharType="begin"/>
        </w:r>
        <w:r>
          <w:rPr>
            <w:noProof/>
            <w:webHidden/>
          </w:rPr>
          <w:instrText xml:space="preserve"> PAGEREF _Toc216699496 \h </w:instrText>
        </w:r>
        <w:r>
          <w:rPr>
            <w:noProof/>
            <w:webHidden/>
          </w:rPr>
        </w:r>
        <w:r>
          <w:rPr>
            <w:noProof/>
            <w:webHidden/>
          </w:rPr>
          <w:fldChar w:fldCharType="separate"/>
        </w:r>
        <w:r>
          <w:rPr>
            <w:noProof/>
            <w:webHidden/>
          </w:rPr>
          <w:t>226</w:t>
        </w:r>
        <w:r>
          <w:rPr>
            <w:noProof/>
            <w:webHidden/>
          </w:rPr>
          <w:fldChar w:fldCharType="end"/>
        </w:r>
      </w:hyperlink>
    </w:p>
    <w:p w14:paraId="40F4FB89" w14:textId="4ACAAED4"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97" w:history="1">
        <w:r w:rsidRPr="00683E1E">
          <w:rPr>
            <w:rStyle w:val="Hyperlink"/>
            <w:noProof/>
          </w:rPr>
          <w:t>17.1.1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How</w:t>
        </w:r>
        <w:r w:rsidRPr="00683E1E">
          <w:rPr>
            <w:rStyle w:val="Hyperlink"/>
            <w:noProof/>
            <w:spacing w:val="-4"/>
          </w:rPr>
          <w:t xml:space="preserve"> </w:t>
        </w:r>
        <w:r w:rsidRPr="00683E1E">
          <w:rPr>
            <w:rStyle w:val="Hyperlink"/>
            <w:noProof/>
          </w:rPr>
          <w:t>Does</w:t>
        </w:r>
        <w:r w:rsidRPr="00683E1E">
          <w:rPr>
            <w:rStyle w:val="Hyperlink"/>
            <w:noProof/>
            <w:spacing w:val="-2"/>
          </w:rPr>
          <w:t xml:space="preserve"> </w:t>
        </w:r>
        <w:r w:rsidRPr="00683E1E">
          <w:rPr>
            <w:rStyle w:val="Hyperlink"/>
            <w:noProof/>
          </w:rPr>
          <w:t>It</w:t>
        </w:r>
        <w:r w:rsidRPr="00683E1E">
          <w:rPr>
            <w:rStyle w:val="Hyperlink"/>
            <w:noProof/>
            <w:spacing w:val="-3"/>
          </w:rPr>
          <w:t xml:space="preserve"> </w:t>
        </w:r>
        <w:r w:rsidRPr="00683E1E">
          <w:rPr>
            <w:rStyle w:val="Hyperlink"/>
            <w:noProof/>
          </w:rPr>
          <w:t>Work</w:t>
        </w:r>
        <w:r w:rsidRPr="00683E1E">
          <w:rPr>
            <w:rStyle w:val="Hyperlink"/>
            <w:noProof/>
            <w:spacing w:val="-3"/>
          </w:rPr>
          <w:t xml:space="preserve"> </w:t>
        </w:r>
        <w:r w:rsidRPr="00683E1E">
          <w:rPr>
            <w:rStyle w:val="Hyperlink"/>
            <w:noProof/>
          </w:rPr>
          <w:t>to</w:t>
        </w:r>
        <w:r w:rsidRPr="00683E1E">
          <w:rPr>
            <w:rStyle w:val="Hyperlink"/>
            <w:noProof/>
            <w:spacing w:val="-2"/>
          </w:rPr>
          <w:t xml:space="preserve"> </w:t>
        </w:r>
        <w:r w:rsidRPr="00683E1E">
          <w:rPr>
            <w:rStyle w:val="Hyperlink"/>
            <w:noProof/>
          </w:rPr>
          <w:t>Address</w:t>
        </w:r>
        <w:r w:rsidRPr="00683E1E">
          <w:rPr>
            <w:rStyle w:val="Hyperlink"/>
            <w:noProof/>
            <w:spacing w:val="-2"/>
          </w:rPr>
          <w:t xml:space="preserve"> Shoaling?</w:t>
        </w:r>
        <w:r>
          <w:rPr>
            <w:noProof/>
            <w:webHidden/>
          </w:rPr>
          <w:tab/>
        </w:r>
        <w:r>
          <w:rPr>
            <w:noProof/>
            <w:webHidden/>
          </w:rPr>
          <w:fldChar w:fldCharType="begin"/>
        </w:r>
        <w:r>
          <w:rPr>
            <w:noProof/>
            <w:webHidden/>
          </w:rPr>
          <w:instrText xml:space="preserve"> PAGEREF _Toc216699497 \h </w:instrText>
        </w:r>
        <w:r>
          <w:rPr>
            <w:noProof/>
            <w:webHidden/>
          </w:rPr>
        </w:r>
        <w:r>
          <w:rPr>
            <w:noProof/>
            <w:webHidden/>
          </w:rPr>
          <w:fldChar w:fldCharType="separate"/>
        </w:r>
        <w:r>
          <w:rPr>
            <w:noProof/>
            <w:webHidden/>
          </w:rPr>
          <w:t>226</w:t>
        </w:r>
        <w:r>
          <w:rPr>
            <w:noProof/>
            <w:webHidden/>
          </w:rPr>
          <w:fldChar w:fldCharType="end"/>
        </w:r>
      </w:hyperlink>
    </w:p>
    <w:p w14:paraId="116280E0" w14:textId="453C4094"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498" w:history="1">
        <w:r w:rsidRPr="00683E1E">
          <w:rPr>
            <w:rStyle w:val="Hyperlink"/>
            <w:noProof/>
          </w:rPr>
          <w:t>17.1.2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What</w:t>
        </w:r>
        <w:r w:rsidRPr="00683E1E">
          <w:rPr>
            <w:rStyle w:val="Hyperlink"/>
            <w:noProof/>
            <w:spacing w:val="-2"/>
          </w:rPr>
          <w:t xml:space="preserve"> </w:t>
        </w:r>
        <w:r w:rsidRPr="00683E1E">
          <w:rPr>
            <w:rStyle w:val="Hyperlink"/>
            <w:noProof/>
          </w:rPr>
          <w:t>Does</w:t>
        </w:r>
        <w:r w:rsidRPr="00683E1E">
          <w:rPr>
            <w:rStyle w:val="Hyperlink"/>
            <w:noProof/>
            <w:spacing w:val="-4"/>
          </w:rPr>
          <w:t xml:space="preserve"> </w:t>
        </w:r>
        <w:r w:rsidRPr="00683E1E">
          <w:rPr>
            <w:rStyle w:val="Hyperlink"/>
            <w:noProof/>
          </w:rPr>
          <w:t>This</w:t>
        </w:r>
        <w:r w:rsidRPr="00683E1E">
          <w:rPr>
            <w:rStyle w:val="Hyperlink"/>
            <w:noProof/>
            <w:spacing w:val="-3"/>
          </w:rPr>
          <w:t xml:space="preserve"> </w:t>
        </w:r>
        <w:r w:rsidRPr="00683E1E">
          <w:rPr>
            <w:rStyle w:val="Hyperlink"/>
            <w:noProof/>
          </w:rPr>
          <w:t>Option</w:t>
        </w:r>
        <w:r w:rsidRPr="00683E1E">
          <w:rPr>
            <w:rStyle w:val="Hyperlink"/>
            <w:noProof/>
            <w:spacing w:val="-2"/>
          </w:rPr>
          <w:t xml:space="preserve"> Involve?</w:t>
        </w:r>
        <w:r>
          <w:rPr>
            <w:noProof/>
            <w:webHidden/>
          </w:rPr>
          <w:tab/>
        </w:r>
        <w:r>
          <w:rPr>
            <w:noProof/>
            <w:webHidden/>
          </w:rPr>
          <w:fldChar w:fldCharType="begin"/>
        </w:r>
        <w:r>
          <w:rPr>
            <w:noProof/>
            <w:webHidden/>
          </w:rPr>
          <w:instrText xml:space="preserve"> PAGEREF _Toc216699498 \h </w:instrText>
        </w:r>
        <w:r>
          <w:rPr>
            <w:noProof/>
            <w:webHidden/>
          </w:rPr>
        </w:r>
        <w:r>
          <w:rPr>
            <w:noProof/>
            <w:webHidden/>
          </w:rPr>
          <w:fldChar w:fldCharType="separate"/>
        </w:r>
        <w:r>
          <w:rPr>
            <w:noProof/>
            <w:webHidden/>
          </w:rPr>
          <w:t>226</w:t>
        </w:r>
        <w:r>
          <w:rPr>
            <w:noProof/>
            <w:webHidden/>
          </w:rPr>
          <w:fldChar w:fldCharType="end"/>
        </w:r>
      </w:hyperlink>
    </w:p>
    <w:p w14:paraId="0AF6DD81" w14:textId="41B51423"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499" w:history="1">
        <w:r w:rsidRPr="00683E1E">
          <w:rPr>
            <w:rStyle w:val="Hyperlink"/>
            <w:noProof/>
          </w:rPr>
          <w:t>17.2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Coastal</w:t>
        </w:r>
        <w:r w:rsidRPr="00683E1E">
          <w:rPr>
            <w:rStyle w:val="Hyperlink"/>
            <w:noProof/>
            <w:spacing w:val="-14"/>
          </w:rPr>
          <w:t xml:space="preserve"> </w:t>
        </w:r>
        <w:r w:rsidRPr="00683E1E">
          <w:rPr>
            <w:rStyle w:val="Hyperlink"/>
            <w:noProof/>
          </w:rPr>
          <w:t>processes</w:t>
        </w:r>
        <w:r w:rsidRPr="00683E1E">
          <w:rPr>
            <w:rStyle w:val="Hyperlink"/>
            <w:noProof/>
            <w:spacing w:val="-14"/>
          </w:rPr>
          <w:t xml:space="preserve"> </w:t>
        </w:r>
        <w:r w:rsidRPr="00683E1E">
          <w:rPr>
            <w:rStyle w:val="Hyperlink"/>
            <w:noProof/>
            <w:spacing w:val="-2"/>
          </w:rPr>
          <w:t>impacts</w:t>
        </w:r>
        <w:r>
          <w:rPr>
            <w:noProof/>
            <w:webHidden/>
          </w:rPr>
          <w:tab/>
        </w:r>
        <w:r>
          <w:rPr>
            <w:noProof/>
            <w:webHidden/>
          </w:rPr>
          <w:fldChar w:fldCharType="begin"/>
        </w:r>
        <w:r>
          <w:rPr>
            <w:noProof/>
            <w:webHidden/>
          </w:rPr>
          <w:instrText xml:space="preserve"> PAGEREF _Toc216699499 \h </w:instrText>
        </w:r>
        <w:r>
          <w:rPr>
            <w:noProof/>
            <w:webHidden/>
          </w:rPr>
        </w:r>
        <w:r>
          <w:rPr>
            <w:noProof/>
            <w:webHidden/>
          </w:rPr>
          <w:fldChar w:fldCharType="separate"/>
        </w:r>
        <w:r>
          <w:rPr>
            <w:noProof/>
            <w:webHidden/>
          </w:rPr>
          <w:t>228</w:t>
        </w:r>
        <w:r>
          <w:rPr>
            <w:noProof/>
            <w:webHidden/>
          </w:rPr>
          <w:fldChar w:fldCharType="end"/>
        </w:r>
      </w:hyperlink>
    </w:p>
    <w:p w14:paraId="3B9C6652" w14:textId="510D9E16"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500" w:history="1">
        <w:r w:rsidRPr="00683E1E">
          <w:rPr>
            <w:rStyle w:val="Hyperlink"/>
            <w:noProof/>
          </w:rPr>
          <w:t>17.3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Effectiveness</w:t>
        </w:r>
        <w:r w:rsidRPr="00683E1E">
          <w:rPr>
            <w:rStyle w:val="Hyperlink"/>
            <w:noProof/>
            <w:spacing w:val="-12"/>
          </w:rPr>
          <w:t xml:space="preserve"> </w:t>
        </w:r>
        <w:r w:rsidRPr="00683E1E">
          <w:rPr>
            <w:rStyle w:val="Hyperlink"/>
            <w:noProof/>
          </w:rPr>
          <w:t>of</w:t>
        </w:r>
        <w:r w:rsidRPr="00683E1E">
          <w:rPr>
            <w:rStyle w:val="Hyperlink"/>
            <w:noProof/>
            <w:spacing w:val="-12"/>
          </w:rPr>
          <w:t xml:space="preserve"> </w:t>
        </w:r>
        <w:r w:rsidRPr="00683E1E">
          <w:rPr>
            <w:rStyle w:val="Hyperlink"/>
            <w:noProof/>
          </w:rPr>
          <w:t>Option</w:t>
        </w:r>
        <w:r w:rsidRPr="00683E1E">
          <w:rPr>
            <w:rStyle w:val="Hyperlink"/>
            <w:noProof/>
            <w:spacing w:val="-13"/>
          </w:rPr>
          <w:t xml:space="preserve"> </w:t>
        </w:r>
        <w:r w:rsidRPr="00683E1E">
          <w:rPr>
            <w:rStyle w:val="Hyperlink"/>
            <w:noProof/>
            <w:spacing w:val="-10"/>
          </w:rPr>
          <w:t>5</w:t>
        </w:r>
        <w:r>
          <w:rPr>
            <w:noProof/>
            <w:webHidden/>
          </w:rPr>
          <w:tab/>
        </w:r>
        <w:r>
          <w:rPr>
            <w:noProof/>
            <w:webHidden/>
          </w:rPr>
          <w:fldChar w:fldCharType="begin"/>
        </w:r>
        <w:r>
          <w:rPr>
            <w:noProof/>
            <w:webHidden/>
          </w:rPr>
          <w:instrText xml:space="preserve"> PAGEREF _Toc216699500 \h </w:instrText>
        </w:r>
        <w:r>
          <w:rPr>
            <w:noProof/>
            <w:webHidden/>
          </w:rPr>
        </w:r>
        <w:r>
          <w:rPr>
            <w:noProof/>
            <w:webHidden/>
          </w:rPr>
          <w:fldChar w:fldCharType="separate"/>
        </w:r>
        <w:r>
          <w:rPr>
            <w:noProof/>
            <w:webHidden/>
          </w:rPr>
          <w:t>228</w:t>
        </w:r>
        <w:r>
          <w:rPr>
            <w:noProof/>
            <w:webHidden/>
          </w:rPr>
          <w:fldChar w:fldCharType="end"/>
        </w:r>
      </w:hyperlink>
    </w:p>
    <w:p w14:paraId="7A0E2410" w14:textId="6C65D371"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501" w:history="1">
        <w:r w:rsidRPr="00683E1E">
          <w:rPr>
            <w:rStyle w:val="Hyperlink"/>
            <w:noProof/>
          </w:rPr>
          <w:t>17.4</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Variations of Option 5</w:t>
        </w:r>
        <w:r>
          <w:rPr>
            <w:noProof/>
            <w:webHidden/>
          </w:rPr>
          <w:tab/>
        </w:r>
        <w:r>
          <w:rPr>
            <w:noProof/>
            <w:webHidden/>
          </w:rPr>
          <w:fldChar w:fldCharType="begin"/>
        </w:r>
        <w:r>
          <w:rPr>
            <w:noProof/>
            <w:webHidden/>
          </w:rPr>
          <w:instrText xml:space="preserve"> PAGEREF _Toc216699501 \h </w:instrText>
        </w:r>
        <w:r>
          <w:rPr>
            <w:noProof/>
            <w:webHidden/>
          </w:rPr>
        </w:r>
        <w:r>
          <w:rPr>
            <w:noProof/>
            <w:webHidden/>
          </w:rPr>
          <w:fldChar w:fldCharType="separate"/>
        </w:r>
        <w:r>
          <w:rPr>
            <w:noProof/>
            <w:webHidden/>
          </w:rPr>
          <w:t>228</w:t>
        </w:r>
        <w:r>
          <w:rPr>
            <w:noProof/>
            <w:webHidden/>
          </w:rPr>
          <w:fldChar w:fldCharType="end"/>
        </w:r>
      </w:hyperlink>
    </w:p>
    <w:p w14:paraId="0B8A7692" w14:textId="17E5BE82"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502" w:history="1">
        <w:r w:rsidRPr="00683E1E">
          <w:rPr>
            <w:rStyle w:val="Hyperlink"/>
            <w:noProof/>
          </w:rPr>
          <w:t>17.5</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 5A – Formalise Western Channel (No Structural Modification)</w:t>
        </w:r>
        <w:r>
          <w:rPr>
            <w:noProof/>
            <w:webHidden/>
          </w:rPr>
          <w:tab/>
        </w:r>
        <w:r>
          <w:rPr>
            <w:noProof/>
            <w:webHidden/>
          </w:rPr>
          <w:fldChar w:fldCharType="begin"/>
        </w:r>
        <w:r>
          <w:rPr>
            <w:noProof/>
            <w:webHidden/>
          </w:rPr>
          <w:instrText xml:space="preserve"> PAGEREF _Toc216699502 \h </w:instrText>
        </w:r>
        <w:r>
          <w:rPr>
            <w:noProof/>
            <w:webHidden/>
          </w:rPr>
        </w:r>
        <w:r>
          <w:rPr>
            <w:noProof/>
            <w:webHidden/>
          </w:rPr>
          <w:fldChar w:fldCharType="separate"/>
        </w:r>
        <w:r>
          <w:rPr>
            <w:noProof/>
            <w:webHidden/>
          </w:rPr>
          <w:t>229</w:t>
        </w:r>
        <w:r>
          <w:rPr>
            <w:noProof/>
            <w:webHidden/>
          </w:rPr>
          <w:fldChar w:fldCharType="end"/>
        </w:r>
      </w:hyperlink>
    </w:p>
    <w:p w14:paraId="59F38326" w14:textId="5F464FB5"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503" w:history="1">
        <w:r w:rsidRPr="00683E1E">
          <w:rPr>
            <w:rStyle w:val="Hyperlink"/>
            <w:noProof/>
          </w:rPr>
          <w:t>17.5.1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Design and approvals</w:t>
        </w:r>
        <w:r>
          <w:rPr>
            <w:noProof/>
            <w:webHidden/>
          </w:rPr>
          <w:tab/>
        </w:r>
        <w:r>
          <w:rPr>
            <w:noProof/>
            <w:webHidden/>
          </w:rPr>
          <w:fldChar w:fldCharType="begin"/>
        </w:r>
        <w:r>
          <w:rPr>
            <w:noProof/>
            <w:webHidden/>
          </w:rPr>
          <w:instrText xml:space="preserve"> PAGEREF _Toc216699503 \h </w:instrText>
        </w:r>
        <w:r>
          <w:rPr>
            <w:noProof/>
            <w:webHidden/>
          </w:rPr>
        </w:r>
        <w:r>
          <w:rPr>
            <w:noProof/>
            <w:webHidden/>
          </w:rPr>
          <w:fldChar w:fldCharType="separate"/>
        </w:r>
        <w:r>
          <w:rPr>
            <w:noProof/>
            <w:webHidden/>
          </w:rPr>
          <w:t>229</w:t>
        </w:r>
        <w:r>
          <w:rPr>
            <w:noProof/>
            <w:webHidden/>
          </w:rPr>
          <w:fldChar w:fldCharType="end"/>
        </w:r>
      </w:hyperlink>
    </w:p>
    <w:p w14:paraId="6DFB26EA" w14:textId="122B521B"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504" w:history="1">
        <w:r w:rsidRPr="00683E1E">
          <w:rPr>
            <w:rStyle w:val="Hyperlink"/>
            <w:noProof/>
          </w:rPr>
          <w:t>17.5.2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Capital</w:t>
        </w:r>
        <w:r w:rsidRPr="00683E1E">
          <w:rPr>
            <w:rStyle w:val="Hyperlink"/>
            <w:noProof/>
            <w:spacing w:val="-12"/>
          </w:rPr>
          <w:t xml:space="preserve"> </w:t>
        </w:r>
        <w:r w:rsidRPr="00683E1E">
          <w:rPr>
            <w:rStyle w:val="Hyperlink"/>
            <w:noProof/>
            <w:spacing w:val="-2"/>
          </w:rPr>
          <w:t>works</w:t>
        </w:r>
        <w:r>
          <w:rPr>
            <w:noProof/>
            <w:webHidden/>
          </w:rPr>
          <w:tab/>
        </w:r>
        <w:r>
          <w:rPr>
            <w:noProof/>
            <w:webHidden/>
          </w:rPr>
          <w:fldChar w:fldCharType="begin"/>
        </w:r>
        <w:r>
          <w:rPr>
            <w:noProof/>
            <w:webHidden/>
          </w:rPr>
          <w:instrText xml:space="preserve"> PAGEREF _Toc216699504 \h </w:instrText>
        </w:r>
        <w:r>
          <w:rPr>
            <w:noProof/>
            <w:webHidden/>
          </w:rPr>
        </w:r>
        <w:r>
          <w:rPr>
            <w:noProof/>
            <w:webHidden/>
          </w:rPr>
          <w:fldChar w:fldCharType="separate"/>
        </w:r>
        <w:r>
          <w:rPr>
            <w:noProof/>
            <w:webHidden/>
          </w:rPr>
          <w:t>230</w:t>
        </w:r>
        <w:r>
          <w:rPr>
            <w:noProof/>
            <w:webHidden/>
          </w:rPr>
          <w:fldChar w:fldCharType="end"/>
        </w:r>
      </w:hyperlink>
    </w:p>
    <w:p w14:paraId="5710BE3E" w14:textId="5A9BA11D"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505" w:history="1">
        <w:r w:rsidRPr="00683E1E">
          <w:rPr>
            <w:rStyle w:val="Hyperlink"/>
            <w:noProof/>
          </w:rPr>
          <w:t>17.5.3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Operational</w:t>
        </w:r>
        <w:r w:rsidRPr="00683E1E">
          <w:rPr>
            <w:rStyle w:val="Hyperlink"/>
            <w:noProof/>
            <w:spacing w:val="2"/>
          </w:rPr>
          <w:t xml:space="preserve"> </w:t>
        </w:r>
        <w:r w:rsidRPr="00683E1E">
          <w:rPr>
            <w:rStyle w:val="Hyperlink"/>
            <w:noProof/>
            <w:spacing w:val="-4"/>
          </w:rPr>
          <w:t>works</w:t>
        </w:r>
        <w:r>
          <w:rPr>
            <w:noProof/>
            <w:webHidden/>
          </w:rPr>
          <w:tab/>
        </w:r>
        <w:r>
          <w:rPr>
            <w:noProof/>
            <w:webHidden/>
          </w:rPr>
          <w:fldChar w:fldCharType="begin"/>
        </w:r>
        <w:r>
          <w:rPr>
            <w:noProof/>
            <w:webHidden/>
          </w:rPr>
          <w:instrText xml:space="preserve"> PAGEREF _Toc216699505 \h </w:instrText>
        </w:r>
        <w:r>
          <w:rPr>
            <w:noProof/>
            <w:webHidden/>
          </w:rPr>
        </w:r>
        <w:r>
          <w:rPr>
            <w:noProof/>
            <w:webHidden/>
          </w:rPr>
          <w:fldChar w:fldCharType="separate"/>
        </w:r>
        <w:r>
          <w:rPr>
            <w:noProof/>
            <w:webHidden/>
          </w:rPr>
          <w:t>230</w:t>
        </w:r>
        <w:r>
          <w:rPr>
            <w:noProof/>
            <w:webHidden/>
          </w:rPr>
          <w:fldChar w:fldCharType="end"/>
        </w:r>
      </w:hyperlink>
    </w:p>
    <w:p w14:paraId="385F2545" w14:textId="267BAB8F"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506" w:history="1">
        <w:r w:rsidRPr="00683E1E">
          <w:rPr>
            <w:rStyle w:val="Hyperlink"/>
            <w:noProof/>
          </w:rPr>
          <w:t>17.5.4</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Environmental</w:t>
        </w:r>
        <w:r w:rsidRPr="00683E1E">
          <w:rPr>
            <w:rStyle w:val="Hyperlink"/>
            <w:noProof/>
            <w:spacing w:val="2"/>
          </w:rPr>
          <w:t xml:space="preserve"> </w:t>
        </w:r>
        <w:r w:rsidRPr="00683E1E">
          <w:rPr>
            <w:rStyle w:val="Hyperlink"/>
            <w:noProof/>
          </w:rPr>
          <w:t>constraints</w:t>
        </w:r>
        <w:r>
          <w:rPr>
            <w:noProof/>
            <w:webHidden/>
          </w:rPr>
          <w:tab/>
        </w:r>
        <w:r>
          <w:rPr>
            <w:noProof/>
            <w:webHidden/>
          </w:rPr>
          <w:fldChar w:fldCharType="begin"/>
        </w:r>
        <w:r>
          <w:rPr>
            <w:noProof/>
            <w:webHidden/>
          </w:rPr>
          <w:instrText xml:space="preserve"> PAGEREF _Toc216699506 \h </w:instrText>
        </w:r>
        <w:r>
          <w:rPr>
            <w:noProof/>
            <w:webHidden/>
          </w:rPr>
        </w:r>
        <w:r>
          <w:rPr>
            <w:noProof/>
            <w:webHidden/>
          </w:rPr>
          <w:fldChar w:fldCharType="separate"/>
        </w:r>
        <w:r>
          <w:rPr>
            <w:noProof/>
            <w:webHidden/>
          </w:rPr>
          <w:t>231</w:t>
        </w:r>
        <w:r>
          <w:rPr>
            <w:noProof/>
            <w:webHidden/>
          </w:rPr>
          <w:fldChar w:fldCharType="end"/>
        </w:r>
      </w:hyperlink>
    </w:p>
    <w:p w14:paraId="35258C41" w14:textId="2295F231"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507" w:history="1">
        <w:r w:rsidRPr="00683E1E">
          <w:rPr>
            <w:rStyle w:val="Hyperlink"/>
            <w:noProof/>
          </w:rPr>
          <w:t>17.5.5</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Social</w:t>
        </w:r>
        <w:r w:rsidRPr="00683E1E">
          <w:rPr>
            <w:rStyle w:val="Hyperlink"/>
            <w:noProof/>
            <w:spacing w:val="-11"/>
          </w:rPr>
          <w:t xml:space="preserve"> </w:t>
        </w:r>
        <w:r w:rsidRPr="00683E1E">
          <w:rPr>
            <w:rStyle w:val="Hyperlink"/>
            <w:noProof/>
            <w:spacing w:val="-2"/>
          </w:rPr>
          <w:t>impacts</w:t>
        </w:r>
        <w:r>
          <w:rPr>
            <w:noProof/>
            <w:webHidden/>
          </w:rPr>
          <w:tab/>
        </w:r>
        <w:r>
          <w:rPr>
            <w:noProof/>
            <w:webHidden/>
          </w:rPr>
          <w:fldChar w:fldCharType="begin"/>
        </w:r>
        <w:r>
          <w:rPr>
            <w:noProof/>
            <w:webHidden/>
          </w:rPr>
          <w:instrText xml:space="preserve"> PAGEREF _Toc216699507 \h </w:instrText>
        </w:r>
        <w:r>
          <w:rPr>
            <w:noProof/>
            <w:webHidden/>
          </w:rPr>
        </w:r>
        <w:r>
          <w:rPr>
            <w:noProof/>
            <w:webHidden/>
          </w:rPr>
          <w:fldChar w:fldCharType="separate"/>
        </w:r>
        <w:r>
          <w:rPr>
            <w:noProof/>
            <w:webHidden/>
          </w:rPr>
          <w:t>236</w:t>
        </w:r>
        <w:r>
          <w:rPr>
            <w:noProof/>
            <w:webHidden/>
          </w:rPr>
          <w:fldChar w:fldCharType="end"/>
        </w:r>
      </w:hyperlink>
    </w:p>
    <w:p w14:paraId="7C825853" w14:textId="572996A6"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508" w:history="1">
        <w:r w:rsidRPr="00683E1E">
          <w:rPr>
            <w:rStyle w:val="Hyperlink"/>
            <w:noProof/>
          </w:rPr>
          <w:t>17.5.6</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w w:val="110"/>
          </w:rPr>
          <w:t>Economic</w:t>
        </w:r>
        <w:r w:rsidRPr="00683E1E">
          <w:rPr>
            <w:rStyle w:val="Hyperlink"/>
            <w:noProof/>
            <w:spacing w:val="19"/>
            <w:w w:val="115"/>
          </w:rPr>
          <w:t xml:space="preserve"> </w:t>
        </w:r>
        <w:r w:rsidRPr="00683E1E">
          <w:rPr>
            <w:rStyle w:val="Hyperlink"/>
            <w:noProof/>
            <w:spacing w:val="-2"/>
            <w:w w:val="115"/>
          </w:rPr>
          <w:t>impacts</w:t>
        </w:r>
        <w:r>
          <w:rPr>
            <w:noProof/>
            <w:webHidden/>
          </w:rPr>
          <w:tab/>
        </w:r>
        <w:r>
          <w:rPr>
            <w:noProof/>
            <w:webHidden/>
          </w:rPr>
          <w:fldChar w:fldCharType="begin"/>
        </w:r>
        <w:r>
          <w:rPr>
            <w:noProof/>
            <w:webHidden/>
          </w:rPr>
          <w:instrText xml:space="preserve"> PAGEREF _Toc216699508 \h </w:instrText>
        </w:r>
        <w:r>
          <w:rPr>
            <w:noProof/>
            <w:webHidden/>
          </w:rPr>
        </w:r>
        <w:r>
          <w:rPr>
            <w:noProof/>
            <w:webHidden/>
          </w:rPr>
          <w:fldChar w:fldCharType="separate"/>
        </w:r>
        <w:r>
          <w:rPr>
            <w:noProof/>
            <w:webHidden/>
          </w:rPr>
          <w:t>236</w:t>
        </w:r>
        <w:r>
          <w:rPr>
            <w:noProof/>
            <w:webHidden/>
          </w:rPr>
          <w:fldChar w:fldCharType="end"/>
        </w:r>
      </w:hyperlink>
    </w:p>
    <w:p w14:paraId="2F8369A1" w14:textId="22038FDF"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509" w:history="1">
        <w:r w:rsidRPr="00683E1E">
          <w:rPr>
            <w:rStyle w:val="Hyperlink"/>
            <w:noProof/>
          </w:rPr>
          <w:t>17.5.7</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Future</w:t>
        </w:r>
        <w:r w:rsidRPr="00683E1E">
          <w:rPr>
            <w:rStyle w:val="Hyperlink"/>
            <w:noProof/>
            <w:spacing w:val="-12"/>
          </w:rPr>
          <w:t xml:space="preserve"> </w:t>
        </w:r>
        <w:r w:rsidRPr="00683E1E">
          <w:rPr>
            <w:rStyle w:val="Hyperlink"/>
            <w:noProof/>
          </w:rPr>
          <w:t>adaption</w:t>
        </w:r>
        <w:r>
          <w:rPr>
            <w:noProof/>
            <w:webHidden/>
          </w:rPr>
          <w:tab/>
        </w:r>
        <w:r>
          <w:rPr>
            <w:noProof/>
            <w:webHidden/>
          </w:rPr>
          <w:fldChar w:fldCharType="begin"/>
        </w:r>
        <w:r>
          <w:rPr>
            <w:noProof/>
            <w:webHidden/>
          </w:rPr>
          <w:instrText xml:space="preserve"> PAGEREF _Toc216699509 \h </w:instrText>
        </w:r>
        <w:r>
          <w:rPr>
            <w:noProof/>
            <w:webHidden/>
          </w:rPr>
        </w:r>
        <w:r>
          <w:rPr>
            <w:noProof/>
            <w:webHidden/>
          </w:rPr>
          <w:fldChar w:fldCharType="separate"/>
        </w:r>
        <w:r>
          <w:rPr>
            <w:noProof/>
            <w:webHidden/>
          </w:rPr>
          <w:t>236</w:t>
        </w:r>
        <w:r>
          <w:rPr>
            <w:noProof/>
            <w:webHidden/>
          </w:rPr>
          <w:fldChar w:fldCharType="end"/>
        </w:r>
      </w:hyperlink>
    </w:p>
    <w:p w14:paraId="5F781A88" w14:textId="5A033676"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510" w:history="1">
        <w:r w:rsidRPr="00683E1E">
          <w:rPr>
            <w:rStyle w:val="Hyperlink"/>
            <w:noProof/>
          </w:rPr>
          <w:t>17.5.8</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Safety</w:t>
        </w:r>
        <w:r w:rsidRPr="00683E1E">
          <w:rPr>
            <w:rStyle w:val="Hyperlink"/>
            <w:noProof/>
            <w:spacing w:val="-9"/>
          </w:rPr>
          <w:t xml:space="preserve"> </w:t>
        </w:r>
        <w:r w:rsidRPr="00683E1E">
          <w:rPr>
            <w:rStyle w:val="Hyperlink"/>
            <w:noProof/>
          </w:rPr>
          <w:t>of</w:t>
        </w:r>
        <w:r w:rsidRPr="00683E1E">
          <w:rPr>
            <w:rStyle w:val="Hyperlink"/>
            <w:noProof/>
            <w:spacing w:val="-9"/>
          </w:rPr>
          <w:t xml:space="preserve"> </w:t>
        </w:r>
        <w:r w:rsidRPr="00683E1E">
          <w:rPr>
            <w:rStyle w:val="Hyperlink"/>
            <w:noProof/>
          </w:rPr>
          <w:t>Option</w:t>
        </w:r>
        <w:r w:rsidRPr="00683E1E">
          <w:rPr>
            <w:rStyle w:val="Hyperlink"/>
            <w:noProof/>
            <w:spacing w:val="-10"/>
          </w:rPr>
          <w:t xml:space="preserve"> 5A</w:t>
        </w:r>
        <w:r>
          <w:rPr>
            <w:noProof/>
            <w:webHidden/>
          </w:rPr>
          <w:tab/>
        </w:r>
        <w:r>
          <w:rPr>
            <w:noProof/>
            <w:webHidden/>
          </w:rPr>
          <w:fldChar w:fldCharType="begin"/>
        </w:r>
        <w:r>
          <w:rPr>
            <w:noProof/>
            <w:webHidden/>
          </w:rPr>
          <w:instrText xml:space="preserve"> PAGEREF _Toc216699510 \h </w:instrText>
        </w:r>
        <w:r>
          <w:rPr>
            <w:noProof/>
            <w:webHidden/>
          </w:rPr>
        </w:r>
        <w:r>
          <w:rPr>
            <w:noProof/>
            <w:webHidden/>
          </w:rPr>
          <w:fldChar w:fldCharType="separate"/>
        </w:r>
        <w:r>
          <w:rPr>
            <w:noProof/>
            <w:webHidden/>
          </w:rPr>
          <w:t>236</w:t>
        </w:r>
        <w:r>
          <w:rPr>
            <w:noProof/>
            <w:webHidden/>
          </w:rPr>
          <w:fldChar w:fldCharType="end"/>
        </w:r>
      </w:hyperlink>
    </w:p>
    <w:p w14:paraId="1D9EB377" w14:textId="52BBC076"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511" w:history="1">
        <w:r w:rsidRPr="00683E1E">
          <w:rPr>
            <w:rStyle w:val="Hyperlink"/>
            <w:noProof/>
          </w:rPr>
          <w:t>17.5.9</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Cost</w:t>
        </w:r>
        <w:r>
          <w:rPr>
            <w:noProof/>
            <w:webHidden/>
          </w:rPr>
          <w:tab/>
        </w:r>
        <w:r>
          <w:rPr>
            <w:noProof/>
            <w:webHidden/>
          </w:rPr>
          <w:fldChar w:fldCharType="begin"/>
        </w:r>
        <w:r>
          <w:rPr>
            <w:noProof/>
            <w:webHidden/>
          </w:rPr>
          <w:instrText xml:space="preserve"> PAGEREF _Toc216699511 \h </w:instrText>
        </w:r>
        <w:r>
          <w:rPr>
            <w:noProof/>
            <w:webHidden/>
          </w:rPr>
        </w:r>
        <w:r>
          <w:rPr>
            <w:noProof/>
            <w:webHidden/>
          </w:rPr>
          <w:fldChar w:fldCharType="separate"/>
        </w:r>
        <w:r>
          <w:rPr>
            <w:noProof/>
            <w:webHidden/>
          </w:rPr>
          <w:t>237</w:t>
        </w:r>
        <w:r>
          <w:rPr>
            <w:noProof/>
            <w:webHidden/>
          </w:rPr>
          <w:fldChar w:fldCharType="end"/>
        </w:r>
      </w:hyperlink>
    </w:p>
    <w:p w14:paraId="6C57B0D2" w14:textId="4EB8E383"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512" w:history="1">
        <w:r w:rsidRPr="00683E1E">
          <w:rPr>
            <w:rStyle w:val="Hyperlink"/>
            <w:noProof/>
          </w:rPr>
          <w:t>17.6</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Option 5B – Shorten Western Entrance Wall + Formalise Western Channel (Structural Modification):</w:t>
        </w:r>
        <w:r>
          <w:rPr>
            <w:noProof/>
            <w:webHidden/>
          </w:rPr>
          <w:tab/>
        </w:r>
        <w:r>
          <w:rPr>
            <w:noProof/>
            <w:webHidden/>
          </w:rPr>
          <w:fldChar w:fldCharType="begin"/>
        </w:r>
        <w:r>
          <w:rPr>
            <w:noProof/>
            <w:webHidden/>
          </w:rPr>
          <w:instrText xml:space="preserve"> PAGEREF _Toc216699512 \h </w:instrText>
        </w:r>
        <w:r>
          <w:rPr>
            <w:noProof/>
            <w:webHidden/>
          </w:rPr>
        </w:r>
        <w:r>
          <w:rPr>
            <w:noProof/>
            <w:webHidden/>
          </w:rPr>
          <w:fldChar w:fldCharType="separate"/>
        </w:r>
        <w:r>
          <w:rPr>
            <w:noProof/>
            <w:webHidden/>
          </w:rPr>
          <w:t>237</w:t>
        </w:r>
        <w:r>
          <w:rPr>
            <w:noProof/>
            <w:webHidden/>
          </w:rPr>
          <w:fldChar w:fldCharType="end"/>
        </w:r>
      </w:hyperlink>
    </w:p>
    <w:p w14:paraId="7B276B43" w14:textId="76099F51"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513" w:history="1">
        <w:r w:rsidRPr="00683E1E">
          <w:rPr>
            <w:rStyle w:val="Hyperlink"/>
            <w:noProof/>
          </w:rPr>
          <w:t>17.6.1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Design</w:t>
        </w:r>
        <w:r w:rsidRPr="00683E1E">
          <w:rPr>
            <w:rStyle w:val="Hyperlink"/>
            <w:noProof/>
            <w:spacing w:val="-10"/>
          </w:rPr>
          <w:t xml:space="preserve"> </w:t>
        </w:r>
        <w:r w:rsidRPr="00683E1E">
          <w:rPr>
            <w:rStyle w:val="Hyperlink"/>
            <w:noProof/>
          </w:rPr>
          <w:t>and</w:t>
        </w:r>
        <w:r w:rsidRPr="00683E1E">
          <w:rPr>
            <w:rStyle w:val="Hyperlink"/>
            <w:noProof/>
            <w:spacing w:val="-10"/>
          </w:rPr>
          <w:t xml:space="preserve"> </w:t>
        </w:r>
        <w:r w:rsidRPr="00683E1E">
          <w:rPr>
            <w:rStyle w:val="Hyperlink"/>
            <w:noProof/>
            <w:spacing w:val="-2"/>
          </w:rPr>
          <w:t>approvals</w:t>
        </w:r>
        <w:r>
          <w:rPr>
            <w:noProof/>
            <w:webHidden/>
          </w:rPr>
          <w:tab/>
        </w:r>
        <w:r>
          <w:rPr>
            <w:noProof/>
            <w:webHidden/>
          </w:rPr>
          <w:fldChar w:fldCharType="begin"/>
        </w:r>
        <w:r>
          <w:rPr>
            <w:noProof/>
            <w:webHidden/>
          </w:rPr>
          <w:instrText xml:space="preserve"> PAGEREF _Toc216699513 \h </w:instrText>
        </w:r>
        <w:r>
          <w:rPr>
            <w:noProof/>
            <w:webHidden/>
          </w:rPr>
        </w:r>
        <w:r>
          <w:rPr>
            <w:noProof/>
            <w:webHidden/>
          </w:rPr>
          <w:fldChar w:fldCharType="separate"/>
        </w:r>
        <w:r>
          <w:rPr>
            <w:noProof/>
            <w:webHidden/>
          </w:rPr>
          <w:t>238</w:t>
        </w:r>
        <w:r>
          <w:rPr>
            <w:noProof/>
            <w:webHidden/>
          </w:rPr>
          <w:fldChar w:fldCharType="end"/>
        </w:r>
      </w:hyperlink>
    </w:p>
    <w:p w14:paraId="324AD6A9" w14:textId="1638CDF2"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514" w:history="1">
        <w:r w:rsidRPr="00683E1E">
          <w:rPr>
            <w:rStyle w:val="Hyperlink"/>
            <w:noProof/>
          </w:rPr>
          <w:t>17.6.2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Capital</w:t>
        </w:r>
        <w:r w:rsidRPr="00683E1E">
          <w:rPr>
            <w:rStyle w:val="Hyperlink"/>
            <w:noProof/>
            <w:spacing w:val="-12"/>
          </w:rPr>
          <w:t xml:space="preserve"> </w:t>
        </w:r>
        <w:r w:rsidRPr="00683E1E">
          <w:rPr>
            <w:rStyle w:val="Hyperlink"/>
            <w:noProof/>
            <w:spacing w:val="-2"/>
          </w:rPr>
          <w:t>works</w:t>
        </w:r>
        <w:r>
          <w:rPr>
            <w:noProof/>
            <w:webHidden/>
          </w:rPr>
          <w:tab/>
        </w:r>
        <w:r>
          <w:rPr>
            <w:noProof/>
            <w:webHidden/>
          </w:rPr>
          <w:fldChar w:fldCharType="begin"/>
        </w:r>
        <w:r>
          <w:rPr>
            <w:noProof/>
            <w:webHidden/>
          </w:rPr>
          <w:instrText xml:space="preserve"> PAGEREF _Toc216699514 \h </w:instrText>
        </w:r>
        <w:r>
          <w:rPr>
            <w:noProof/>
            <w:webHidden/>
          </w:rPr>
        </w:r>
        <w:r>
          <w:rPr>
            <w:noProof/>
            <w:webHidden/>
          </w:rPr>
          <w:fldChar w:fldCharType="separate"/>
        </w:r>
        <w:r>
          <w:rPr>
            <w:noProof/>
            <w:webHidden/>
          </w:rPr>
          <w:t>238</w:t>
        </w:r>
        <w:r>
          <w:rPr>
            <w:noProof/>
            <w:webHidden/>
          </w:rPr>
          <w:fldChar w:fldCharType="end"/>
        </w:r>
      </w:hyperlink>
    </w:p>
    <w:p w14:paraId="7C19EBD4" w14:textId="18B4B925"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515" w:history="1">
        <w:r w:rsidRPr="00683E1E">
          <w:rPr>
            <w:rStyle w:val="Hyperlink"/>
            <w:noProof/>
          </w:rPr>
          <w:t>17.6.3</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Operational</w:t>
        </w:r>
        <w:r w:rsidRPr="00683E1E">
          <w:rPr>
            <w:rStyle w:val="Hyperlink"/>
            <w:noProof/>
            <w:spacing w:val="2"/>
          </w:rPr>
          <w:t xml:space="preserve"> </w:t>
        </w:r>
        <w:r w:rsidRPr="00683E1E">
          <w:rPr>
            <w:rStyle w:val="Hyperlink"/>
            <w:noProof/>
            <w:spacing w:val="-4"/>
          </w:rPr>
          <w:t>works</w:t>
        </w:r>
        <w:r>
          <w:rPr>
            <w:noProof/>
            <w:webHidden/>
          </w:rPr>
          <w:tab/>
        </w:r>
        <w:r>
          <w:rPr>
            <w:noProof/>
            <w:webHidden/>
          </w:rPr>
          <w:fldChar w:fldCharType="begin"/>
        </w:r>
        <w:r>
          <w:rPr>
            <w:noProof/>
            <w:webHidden/>
          </w:rPr>
          <w:instrText xml:space="preserve"> PAGEREF _Toc216699515 \h </w:instrText>
        </w:r>
        <w:r>
          <w:rPr>
            <w:noProof/>
            <w:webHidden/>
          </w:rPr>
        </w:r>
        <w:r>
          <w:rPr>
            <w:noProof/>
            <w:webHidden/>
          </w:rPr>
          <w:fldChar w:fldCharType="separate"/>
        </w:r>
        <w:r>
          <w:rPr>
            <w:noProof/>
            <w:webHidden/>
          </w:rPr>
          <w:t>238</w:t>
        </w:r>
        <w:r>
          <w:rPr>
            <w:noProof/>
            <w:webHidden/>
          </w:rPr>
          <w:fldChar w:fldCharType="end"/>
        </w:r>
      </w:hyperlink>
    </w:p>
    <w:p w14:paraId="09792D70" w14:textId="01A3D759"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516" w:history="1">
        <w:r w:rsidRPr="00683E1E">
          <w:rPr>
            <w:rStyle w:val="Hyperlink"/>
            <w:noProof/>
          </w:rPr>
          <w:t>17.6.4</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Environmental</w:t>
        </w:r>
        <w:r w:rsidRPr="00683E1E">
          <w:rPr>
            <w:rStyle w:val="Hyperlink"/>
            <w:noProof/>
            <w:spacing w:val="2"/>
          </w:rPr>
          <w:t xml:space="preserve"> </w:t>
        </w:r>
        <w:r w:rsidRPr="00683E1E">
          <w:rPr>
            <w:rStyle w:val="Hyperlink"/>
            <w:noProof/>
          </w:rPr>
          <w:t>constraints</w:t>
        </w:r>
        <w:r>
          <w:rPr>
            <w:noProof/>
            <w:webHidden/>
          </w:rPr>
          <w:tab/>
        </w:r>
        <w:r>
          <w:rPr>
            <w:noProof/>
            <w:webHidden/>
          </w:rPr>
          <w:fldChar w:fldCharType="begin"/>
        </w:r>
        <w:r>
          <w:rPr>
            <w:noProof/>
            <w:webHidden/>
          </w:rPr>
          <w:instrText xml:space="preserve"> PAGEREF _Toc216699516 \h </w:instrText>
        </w:r>
        <w:r>
          <w:rPr>
            <w:noProof/>
            <w:webHidden/>
          </w:rPr>
        </w:r>
        <w:r>
          <w:rPr>
            <w:noProof/>
            <w:webHidden/>
          </w:rPr>
          <w:fldChar w:fldCharType="separate"/>
        </w:r>
        <w:r>
          <w:rPr>
            <w:noProof/>
            <w:webHidden/>
          </w:rPr>
          <w:t>240</w:t>
        </w:r>
        <w:r>
          <w:rPr>
            <w:noProof/>
            <w:webHidden/>
          </w:rPr>
          <w:fldChar w:fldCharType="end"/>
        </w:r>
      </w:hyperlink>
    </w:p>
    <w:p w14:paraId="08D0DA43" w14:textId="764AEDEB"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517" w:history="1">
        <w:r w:rsidRPr="00683E1E">
          <w:rPr>
            <w:rStyle w:val="Hyperlink"/>
            <w:noProof/>
          </w:rPr>
          <w:t>17.6.5</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Social</w:t>
        </w:r>
        <w:r w:rsidRPr="00683E1E">
          <w:rPr>
            <w:rStyle w:val="Hyperlink"/>
            <w:noProof/>
            <w:spacing w:val="-11"/>
          </w:rPr>
          <w:t xml:space="preserve"> </w:t>
        </w:r>
        <w:r w:rsidRPr="00683E1E">
          <w:rPr>
            <w:rStyle w:val="Hyperlink"/>
            <w:noProof/>
            <w:spacing w:val="-2"/>
          </w:rPr>
          <w:t>impacts</w:t>
        </w:r>
        <w:r>
          <w:rPr>
            <w:noProof/>
            <w:webHidden/>
          </w:rPr>
          <w:tab/>
        </w:r>
        <w:r>
          <w:rPr>
            <w:noProof/>
            <w:webHidden/>
          </w:rPr>
          <w:fldChar w:fldCharType="begin"/>
        </w:r>
        <w:r>
          <w:rPr>
            <w:noProof/>
            <w:webHidden/>
          </w:rPr>
          <w:instrText xml:space="preserve"> PAGEREF _Toc216699517 \h </w:instrText>
        </w:r>
        <w:r>
          <w:rPr>
            <w:noProof/>
            <w:webHidden/>
          </w:rPr>
        </w:r>
        <w:r>
          <w:rPr>
            <w:noProof/>
            <w:webHidden/>
          </w:rPr>
          <w:fldChar w:fldCharType="separate"/>
        </w:r>
        <w:r>
          <w:rPr>
            <w:noProof/>
            <w:webHidden/>
          </w:rPr>
          <w:t>249</w:t>
        </w:r>
        <w:r>
          <w:rPr>
            <w:noProof/>
            <w:webHidden/>
          </w:rPr>
          <w:fldChar w:fldCharType="end"/>
        </w:r>
      </w:hyperlink>
    </w:p>
    <w:p w14:paraId="4F51F523" w14:textId="2529D2E0"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518" w:history="1">
        <w:r w:rsidRPr="00683E1E">
          <w:rPr>
            <w:rStyle w:val="Hyperlink"/>
            <w:noProof/>
          </w:rPr>
          <w:t>17.6.6</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w w:val="110"/>
          </w:rPr>
          <w:t>Economic</w:t>
        </w:r>
        <w:r w:rsidRPr="00683E1E">
          <w:rPr>
            <w:rStyle w:val="Hyperlink"/>
            <w:noProof/>
            <w:spacing w:val="19"/>
            <w:w w:val="115"/>
          </w:rPr>
          <w:t xml:space="preserve"> </w:t>
        </w:r>
        <w:r w:rsidRPr="00683E1E">
          <w:rPr>
            <w:rStyle w:val="Hyperlink"/>
            <w:noProof/>
            <w:spacing w:val="-2"/>
            <w:w w:val="115"/>
          </w:rPr>
          <w:t>impacts</w:t>
        </w:r>
        <w:r>
          <w:rPr>
            <w:noProof/>
            <w:webHidden/>
          </w:rPr>
          <w:tab/>
        </w:r>
        <w:r>
          <w:rPr>
            <w:noProof/>
            <w:webHidden/>
          </w:rPr>
          <w:fldChar w:fldCharType="begin"/>
        </w:r>
        <w:r>
          <w:rPr>
            <w:noProof/>
            <w:webHidden/>
          </w:rPr>
          <w:instrText xml:space="preserve"> PAGEREF _Toc216699518 \h </w:instrText>
        </w:r>
        <w:r>
          <w:rPr>
            <w:noProof/>
            <w:webHidden/>
          </w:rPr>
        </w:r>
        <w:r>
          <w:rPr>
            <w:noProof/>
            <w:webHidden/>
          </w:rPr>
          <w:fldChar w:fldCharType="separate"/>
        </w:r>
        <w:r>
          <w:rPr>
            <w:noProof/>
            <w:webHidden/>
          </w:rPr>
          <w:t>249</w:t>
        </w:r>
        <w:r>
          <w:rPr>
            <w:noProof/>
            <w:webHidden/>
          </w:rPr>
          <w:fldChar w:fldCharType="end"/>
        </w:r>
      </w:hyperlink>
    </w:p>
    <w:p w14:paraId="16360D6B" w14:textId="184F8C34"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519" w:history="1">
        <w:r w:rsidRPr="00683E1E">
          <w:rPr>
            <w:rStyle w:val="Hyperlink"/>
            <w:noProof/>
          </w:rPr>
          <w:t>17.6.7</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Future</w:t>
        </w:r>
        <w:r w:rsidRPr="00683E1E">
          <w:rPr>
            <w:rStyle w:val="Hyperlink"/>
            <w:noProof/>
            <w:spacing w:val="-12"/>
          </w:rPr>
          <w:t xml:space="preserve"> </w:t>
        </w:r>
        <w:r w:rsidRPr="00683E1E">
          <w:rPr>
            <w:rStyle w:val="Hyperlink"/>
            <w:noProof/>
          </w:rPr>
          <w:t>adaption</w:t>
        </w:r>
        <w:r>
          <w:rPr>
            <w:noProof/>
            <w:webHidden/>
          </w:rPr>
          <w:tab/>
        </w:r>
        <w:r>
          <w:rPr>
            <w:noProof/>
            <w:webHidden/>
          </w:rPr>
          <w:fldChar w:fldCharType="begin"/>
        </w:r>
        <w:r>
          <w:rPr>
            <w:noProof/>
            <w:webHidden/>
          </w:rPr>
          <w:instrText xml:space="preserve"> PAGEREF _Toc216699519 \h </w:instrText>
        </w:r>
        <w:r>
          <w:rPr>
            <w:noProof/>
            <w:webHidden/>
          </w:rPr>
        </w:r>
        <w:r>
          <w:rPr>
            <w:noProof/>
            <w:webHidden/>
          </w:rPr>
          <w:fldChar w:fldCharType="separate"/>
        </w:r>
        <w:r>
          <w:rPr>
            <w:noProof/>
            <w:webHidden/>
          </w:rPr>
          <w:t>249</w:t>
        </w:r>
        <w:r>
          <w:rPr>
            <w:noProof/>
            <w:webHidden/>
          </w:rPr>
          <w:fldChar w:fldCharType="end"/>
        </w:r>
      </w:hyperlink>
    </w:p>
    <w:p w14:paraId="32AD8336" w14:textId="4051027C"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520" w:history="1">
        <w:r w:rsidRPr="00683E1E">
          <w:rPr>
            <w:rStyle w:val="Hyperlink"/>
            <w:noProof/>
          </w:rPr>
          <w:t>17.6.8</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Safety</w:t>
        </w:r>
        <w:r w:rsidRPr="00683E1E">
          <w:rPr>
            <w:rStyle w:val="Hyperlink"/>
            <w:noProof/>
            <w:spacing w:val="-9"/>
          </w:rPr>
          <w:t xml:space="preserve"> </w:t>
        </w:r>
        <w:r w:rsidRPr="00683E1E">
          <w:rPr>
            <w:rStyle w:val="Hyperlink"/>
            <w:noProof/>
          </w:rPr>
          <w:t>of</w:t>
        </w:r>
        <w:r w:rsidRPr="00683E1E">
          <w:rPr>
            <w:rStyle w:val="Hyperlink"/>
            <w:noProof/>
            <w:spacing w:val="-9"/>
          </w:rPr>
          <w:t xml:space="preserve"> </w:t>
        </w:r>
        <w:r w:rsidRPr="00683E1E">
          <w:rPr>
            <w:rStyle w:val="Hyperlink"/>
            <w:noProof/>
          </w:rPr>
          <w:t>Option</w:t>
        </w:r>
        <w:r w:rsidRPr="00683E1E">
          <w:rPr>
            <w:rStyle w:val="Hyperlink"/>
            <w:noProof/>
            <w:spacing w:val="-10"/>
          </w:rPr>
          <w:t xml:space="preserve"> 5B</w:t>
        </w:r>
        <w:r>
          <w:rPr>
            <w:noProof/>
            <w:webHidden/>
          </w:rPr>
          <w:tab/>
        </w:r>
        <w:r>
          <w:rPr>
            <w:noProof/>
            <w:webHidden/>
          </w:rPr>
          <w:fldChar w:fldCharType="begin"/>
        </w:r>
        <w:r>
          <w:rPr>
            <w:noProof/>
            <w:webHidden/>
          </w:rPr>
          <w:instrText xml:space="preserve"> PAGEREF _Toc216699520 \h </w:instrText>
        </w:r>
        <w:r>
          <w:rPr>
            <w:noProof/>
            <w:webHidden/>
          </w:rPr>
        </w:r>
        <w:r>
          <w:rPr>
            <w:noProof/>
            <w:webHidden/>
          </w:rPr>
          <w:fldChar w:fldCharType="separate"/>
        </w:r>
        <w:r>
          <w:rPr>
            <w:noProof/>
            <w:webHidden/>
          </w:rPr>
          <w:t>250</w:t>
        </w:r>
        <w:r>
          <w:rPr>
            <w:noProof/>
            <w:webHidden/>
          </w:rPr>
          <w:fldChar w:fldCharType="end"/>
        </w:r>
      </w:hyperlink>
    </w:p>
    <w:p w14:paraId="458F7114" w14:textId="6D1371D9" w:rsidR="00B91EB8" w:rsidRDefault="00B91EB8">
      <w:pPr>
        <w:pStyle w:val="TOC3"/>
        <w:rPr>
          <w:rFonts w:asciiTheme="minorHAnsi" w:eastAsiaTheme="minorEastAsia" w:hAnsiTheme="minorHAnsi" w:cstheme="minorBidi"/>
          <w:noProof/>
          <w:color w:val="auto"/>
          <w:kern w:val="2"/>
          <w:sz w:val="24"/>
          <w:szCs w:val="24"/>
          <w:lang w:eastAsia="en-AU"/>
          <w14:ligatures w14:val="standardContextual"/>
        </w:rPr>
      </w:pPr>
      <w:hyperlink w:anchor="_Toc216699521" w:history="1">
        <w:r w:rsidRPr="00683E1E">
          <w:rPr>
            <w:rStyle w:val="Hyperlink"/>
            <w:noProof/>
          </w:rPr>
          <w:t>17.6.9</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Cost</w:t>
        </w:r>
        <w:r>
          <w:rPr>
            <w:noProof/>
            <w:webHidden/>
          </w:rPr>
          <w:tab/>
        </w:r>
        <w:r>
          <w:rPr>
            <w:noProof/>
            <w:webHidden/>
          </w:rPr>
          <w:fldChar w:fldCharType="begin"/>
        </w:r>
        <w:r>
          <w:rPr>
            <w:noProof/>
            <w:webHidden/>
          </w:rPr>
          <w:instrText xml:space="preserve"> PAGEREF _Toc216699521 \h </w:instrText>
        </w:r>
        <w:r>
          <w:rPr>
            <w:noProof/>
            <w:webHidden/>
          </w:rPr>
        </w:r>
        <w:r>
          <w:rPr>
            <w:noProof/>
            <w:webHidden/>
          </w:rPr>
          <w:fldChar w:fldCharType="separate"/>
        </w:r>
        <w:r>
          <w:rPr>
            <w:noProof/>
            <w:webHidden/>
          </w:rPr>
          <w:t>250</w:t>
        </w:r>
        <w:r>
          <w:rPr>
            <w:noProof/>
            <w:webHidden/>
          </w:rPr>
          <w:fldChar w:fldCharType="end"/>
        </w:r>
      </w:hyperlink>
    </w:p>
    <w:p w14:paraId="2AF1EA87" w14:textId="08CA033F"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522" w:history="1">
        <w:r w:rsidRPr="00683E1E">
          <w:rPr>
            <w:rStyle w:val="Hyperlink"/>
            <w:noProof/>
          </w:rPr>
          <w:t>17.7</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Multi-criteria</w:t>
        </w:r>
        <w:r w:rsidRPr="00683E1E">
          <w:rPr>
            <w:rStyle w:val="Hyperlink"/>
            <w:noProof/>
            <w:spacing w:val="-13"/>
          </w:rPr>
          <w:t xml:space="preserve"> </w:t>
        </w:r>
        <w:r w:rsidRPr="00683E1E">
          <w:rPr>
            <w:rStyle w:val="Hyperlink"/>
            <w:noProof/>
          </w:rPr>
          <w:t>analysis</w:t>
        </w:r>
        <w:r w:rsidRPr="00683E1E">
          <w:rPr>
            <w:rStyle w:val="Hyperlink"/>
            <w:noProof/>
            <w:spacing w:val="-12"/>
          </w:rPr>
          <w:t xml:space="preserve"> </w:t>
        </w:r>
        <w:r w:rsidRPr="00683E1E">
          <w:rPr>
            <w:rStyle w:val="Hyperlink"/>
            <w:noProof/>
          </w:rPr>
          <w:t>for</w:t>
        </w:r>
        <w:r w:rsidRPr="00683E1E">
          <w:rPr>
            <w:rStyle w:val="Hyperlink"/>
            <w:noProof/>
            <w:spacing w:val="-13"/>
          </w:rPr>
          <w:t xml:space="preserve"> </w:t>
        </w:r>
        <w:r w:rsidRPr="00683E1E">
          <w:rPr>
            <w:rStyle w:val="Hyperlink"/>
            <w:noProof/>
          </w:rPr>
          <w:t>Option</w:t>
        </w:r>
        <w:r w:rsidRPr="00683E1E">
          <w:rPr>
            <w:rStyle w:val="Hyperlink"/>
            <w:noProof/>
            <w:spacing w:val="-13"/>
          </w:rPr>
          <w:t xml:space="preserve"> </w:t>
        </w:r>
        <w:r w:rsidRPr="00683E1E">
          <w:rPr>
            <w:rStyle w:val="Hyperlink"/>
            <w:noProof/>
            <w:spacing w:val="-10"/>
          </w:rPr>
          <w:t>5</w:t>
        </w:r>
        <w:r>
          <w:rPr>
            <w:noProof/>
            <w:webHidden/>
          </w:rPr>
          <w:tab/>
        </w:r>
        <w:r>
          <w:rPr>
            <w:noProof/>
            <w:webHidden/>
          </w:rPr>
          <w:fldChar w:fldCharType="begin"/>
        </w:r>
        <w:r>
          <w:rPr>
            <w:noProof/>
            <w:webHidden/>
          </w:rPr>
          <w:instrText xml:space="preserve"> PAGEREF _Toc216699522 \h </w:instrText>
        </w:r>
        <w:r>
          <w:rPr>
            <w:noProof/>
            <w:webHidden/>
          </w:rPr>
        </w:r>
        <w:r>
          <w:rPr>
            <w:noProof/>
            <w:webHidden/>
          </w:rPr>
          <w:fldChar w:fldCharType="separate"/>
        </w:r>
        <w:r>
          <w:rPr>
            <w:noProof/>
            <w:webHidden/>
          </w:rPr>
          <w:t>252</w:t>
        </w:r>
        <w:r>
          <w:rPr>
            <w:noProof/>
            <w:webHidden/>
          </w:rPr>
          <w:fldChar w:fldCharType="end"/>
        </w:r>
      </w:hyperlink>
    </w:p>
    <w:p w14:paraId="1DBF03DA" w14:textId="033D115E" w:rsidR="00B91EB8" w:rsidRDefault="00B91EB8">
      <w:pPr>
        <w:pStyle w:val="TOC1"/>
        <w:rPr>
          <w:rFonts w:asciiTheme="minorHAnsi" w:eastAsiaTheme="minorEastAsia" w:hAnsiTheme="minorHAnsi" w:cstheme="minorBidi"/>
          <w:b w:val="0"/>
          <w:caps w:val="0"/>
          <w:noProof/>
          <w:color w:val="auto"/>
          <w:kern w:val="2"/>
          <w:sz w:val="24"/>
          <w:szCs w:val="24"/>
          <w:lang w:eastAsia="en-AU"/>
          <w14:ligatures w14:val="standardContextual"/>
        </w:rPr>
      </w:pPr>
      <w:hyperlink w:anchor="_Toc216699523" w:history="1">
        <w:r w:rsidRPr="00683E1E">
          <w:rPr>
            <w:rStyle w:val="Hyperlink"/>
            <w:noProof/>
          </w:rPr>
          <w:t>18</w:t>
        </w:r>
        <w:r>
          <w:rPr>
            <w:rFonts w:asciiTheme="minorHAnsi" w:eastAsiaTheme="minorEastAsia" w:hAnsiTheme="minorHAnsi" w:cstheme="minorBidi"/>
            <w:b w:val="0"/>
            <w:caps w:val="0"/>
            <w:noProof/>
            <w:color w:val="auto"/>
            <w:kern w:val="2"/>
            <w:sz w:val="24"/>
            <w:szCs w:val="24"/>
            <w:lang w:eastAsia="en-AU"/>
            <w14:ligatures w14:val="standardContextual"/>
          </w:rPr>
          <w:tab/>
        </w:r>
        <w:r w:rsidRPr="00683E1E">
          <w:rPr>
            <w:rStyle w:val="Hyperlink"/>
            <w:noProof/>
          </w:rPr>
          <w:t>OPTIONS</w:t>
        </w:r>
        <w:r w:rsidRPr="00683E1E">
          <w:rPr>
            <w:rStyle w:val="Hyperlink"/>
            <w:noProof/>
            <w:spacing w:val="-8"/>
          </w:rPr>
          <w:t xml:space="preserve"> </w:t>
        </w:r>
        <w:r w:rsidRPr="00683E1E">
          <w:rPr>
            <w:rStyle w:val="Hyperlink"/>
            <w:noProof/>
          </w:rPr>
          <w:t>EVALUATION</w:t>
        </w:r>
        <w:r w:rsidRPr="00683E1E">
          <w:rPr>
            <w:rStyle w:val="Hyperlink"/>
            <w:noProof/>
            <w:spacing w:val="-6"/>
          </w:rPr>
          <w:t xml:space="preserve"> </w:t>
        </w:r>
        <w:r w:rsidRPr="00683E1E">
          <w:rPr>
            <w:rStyle w:val="Hyperlink"/>
            <w:noProof/>
            <w:spacing w:val="-2"/>
          </w:rPr>
          <w:t>COMPARISON</w:t>
        </w:r>
        <w:r>
          <w:rPr>
            <w:noProof/>
            <w:webHidden/>
          </w:rPr>
          <w:tab/>
        </w:r>
        <w:r>
          <w:rPr>
            <w:noProof/>
            <w:webHidden/>
          </w:rPr>
          <w:fldChar w:fldCharType="begin"/>
        </w:r>
        <w:r>
          <w:rPr>
            <w:noProof/>
            <w:webHidden/>
          </w:rPr>
          <w:instrText xml:space="preserve"> PAGEREF _Toc216699523 \h </w:instrText>
        </w:r>
        <w:r>
          <w:rPr>
            <w:noProof/>
            <w:webHidden/>
          </w:rPr>
        </w:r>
        <w:r>
          <w:rPr>
            <w:noProof/>
            <w:webHidden/>
          </w:rPr>
          <w:fldChar w:fldCharType="separate"/>
        </w:r>
        <w:r>
          <w:rPr>
            <w:noProof/>
            <w:webHidden/>
          </w:rPr>
          <w:t>255</w:t>
        </w:r>
        <w:r>
          <w:rPr>
            <w:noProof/>
            <w:webHidden/>
          </w:rPr>
          <w:fldChar w:fldCharType="end"/>
        </w:r>
      </w:hyperlink>
    </w:p>
    <w:p w14:paraId="44038E9F" w14:textId="3BB6DB00"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524" w:history="1">
        <w:r w:rsidRPr="00683E1E">
          <w:rPr>
            <w:rStyle w:val="Hyperlink"/>
            <w:noProof/>
          </w:rPr>
          <w:t>18.1</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Evaluation</w:t>
        </w:r>
        <w:r w:rsidRPr="00683E1E">
          <w:rPr>
            <w:rStyle w:val="Hyperlink"/>
            <w:noProof/>
            <w:spacing w:val="-19"/>
          </w:rPr>
          <w:t xml:space="preserve"> </w:t>
        </w:r>
        <w:r w:rsidRPr="00683E1E">
          <w:rPr>
            <w:rStyle w:val="Hyperlink"/>
            <w:noProof/>
            <w:spacing w:val="-2"/>
          </w:rPr>
          <w:t>Summary</w:t>
        </w:r>
        <w:r>
          <w:rPr>
            <w:noProof/>
            <w:webHidden/>
          </w:rPr>
          <w:tab/>
        </w:r>
        <w:r>
          <w:rPr>
            <w:noProof/>
            <w:webHidden/>
          </w:rPr>
          <w:fldChar w:fldCharType="begin"/>
        </w:r>
        <w:r>
          <w:rPr>
            <w:noProof/>
            <w:webHidden/>
          </w:rPr>
          <w:instrText xml:space="preserve"> PAGEREF _Toc216699524 \h </w:instrText>
        </w:r>
        <w:r>
          <w:rPr>
            <w:noProof/>
            <w:webHidden/>
          </w:rPr>
        </w:r>
        <w:r>
          <w:rPr>
            <w:noProof/>
            <w:webHidden/>
          </w:rPr>
          <w:fldChar w:fldCharType="separate"/>
        </w:r>
        <w:r>
          <w:rPr>
            <w:noProof/>
            <w:webHidden/>
          </w:rPr>
          <w:t>255</w:t>
        </w:r>
        <w:r>
          <w:rPr>
            <w:noProof/>
            <w:webHidden/>
          </w:rPr>
          <w:fldChar w:fldCharType="end"/>
        </w:r>
      </w:hyperlink>
    </w:p>
    <w:p w14:paraId="57834E17" w14:textId="1D96DA0E" w:rsidR="00B91EB8" w:rsidRDefault="00B91EB8">
      <w:pPr>
        <w:pStyle w:val="TOC2"/>
        <w:rPr>
          <w:rFonts w:asciiTheme="minorHAnsi" w:eastAsiaTheme="minorEastAsia" w:hAnsiTheme="minorHAnsi" w:cstheme="minorBidi"/>
          <w:noProof/>
          <w:color w:val="auto"/>
          <w:kern w:val="2"/>
          <w:sz w:val="24"/>
          <w:szCs w:val="24"/>
          <w:lang w:eastAsia="en-AU"/>
          <w14:ligatures w14:val="standardContextual"/>
        </w:rPr>
      </w:pPr>
      <w:hyperlink w:anchor="_Toc216699525" w:history="1">
        <w:r w:rsidRPr="00683E1E">
          <w:rPr>
            <w:rStyle w:val="Hyperlink"/>
            <w:noProof/>
          </w:rPr>
          <w:t>18.2</w:t>
        </w:r>
        <w:r>
          <w:rPr>
            <w:rFonts w:asciiTheme="minorHAnsi" w:eastAsiaTheme="minorEastAsia" w:hAnsiTheme="minorHAnsi" w:cstheme="minorBidi"/>
            <w:noProof/>
            <w:color w:val="auto"/>
            <w:kern w:val="2"/>
            <w:sz w:val="24"/>
            <w:szCs w:val="24"/>
            <w:lang w:eastAsia="en-AU"/>
            <w14:ligatures w14:val="standardContextual"/>
          </w:rPr>
          <w:tab/>
        </w:r>
        <w:r w:rsidRPr="00683E1E">
          <w:rPr>
            <w:rStyle w:val="Hyperlink"/>
            <w:noProof/>
          </w:rPr>
          <w:t>Evaluation</w:t>
        </w:r>
        <w:r w:rsidRPr="00683E1E">
          <w:rPr>
            <w:rStyle w:val="Hyperlink"/>
            <w:noProof/>
            <w:spacing w:val="-19"/>
          </w:rPr>
          <w:t xml:space="preserve"> </w:t>
        </w:r>
        <w:r w:rsidRPr="00683E1E">
          <w:rPr>
            <w:rStyle w:val="Hyperlink"/>
            <w:noProof/>
            <w:spacing w:val="-2"/>
          </w:rPr>
          <w:t>Discussion</w:t>
        </w:r>
        <w:r>
          <w:rPr>
            <w:noProof/>
            <w:webHidden/>
          </w:rPr>
          <w:tab/>
        </w:r>
        <w:r>
          <w:rPr>
            <w:noProof/>
            <w:webHidden/>
          </w:rPr>
          <w:fldChar w:fldCharType="begin"/>
        </w:r>
        <w:r>
          <w:rPr>
            <w:noProof/>
            <w:webHidden/>
          </w:rPr>
          <w:instrText xml:space="preserve"> PAGEREF _Toc216699525 \h </w:instrText>
        </w:r>
        <w:r>
          <w:rPr>
            <w:noProof/>
            <w:webHidden/>
          </w:rPr>
        </w:r>
        <w:r>
          <w:rPr>
            <w:noProof/>
            <w:webHidden/>
          </w:rPr>
          <w:fldChar w:fldCharType="separate"/>
        </w:r>
        <w:r>
          <w:rPr>
            <w:noProof/>
            <w:webHidden/>
          </w:rPr>
          <w:t>256</w:t>
        </w:r>
        <w:r>
          <w:rPr>
            <w:noProof/>
            <w:webHidden/>
          </w:rPr>
          <w:fldChar w:fldCharType="end"/>
        </w:r>
      </w:hyperlink>
    </w:p>
    <w:p w14:paraId="6357AA82" w14:textId="6729F290" w:rsidR="00B91EB8" w:rsidRDefault="00B91EB8">
      <w:pPr>
        <w:pStyle w:val="TOC1"/>
        <w:rPr>
          <w:rFonts w:asciiTheme="minorHAnsi" w:eastAsiaTheme="minorEastAsia" w:hAnsiTheme="minorHAnsi" w:cstheme="minorBidi"/>
          <w:b w:val="0"/>
          <w:caps w:val="0"/>
          <w:noProof/>
          <w:color w:val="auto"/>
          <w:kern w:val="2"/>
          <w:sz w:val="24"/>
          <w:szCs w:val="24"/>
          <w:lang w:eastAsia="en-AU"/>
          <w14:ligatures w14:val="standardContextual"/>
        </w:rPr>
      </w:pPr>
      <w:hyperlink w:anchor="_Toc216699526" w:history="1">
        <w:r w:rsidRPr="00683E1E">
          <w:rPr>
            <w:rStyle w:val="Hyperlink"/>
            <w:noProof/>
          </w:rPr>
          <w:t>19</w:t>
        </w:r>
        <w:r>
          <w:rPr>
            <w:rFonts w:asciiTheme="minorHAnsi" w:eastAsiaTheme="minorEastAsia" w:hAnsiTheme="minorHAnsi" w:cstheme="minorBidi"/>
            <w:b w:val="0"/>
            <w:caps w:val="0"/>
            <w:noProof/>
            <w:color w:val="auto"/>
            <w:kern w:val="2"/>
            <w:sz w:val="24"/>
            <w:szCs w:val="24"/>
            <w:lang w:eastAsia="en-AU"/>
            <w14:ligatures w14:val="standardContextual"/>
          </w:rPr>
          <w:tab/>
        </w:r>
        <w:r w:rsidRPr="00683E1E">
          <w:rPr>
            <w:rStyle w:val="Hyperlink"/>
            <w:noProof/>
          </w:rPr>
          <w:t>LONG TERM RECOMMENDATIONS</w:t>
        </w:r>
        <w:r>
          <w:rPr>
            <w:noProof/>
            <w:webHidden/>
          </w:rPr>
          <w:tab/>
        </w:r>
        <w:r>
          <w:rPr>
            <w:noProof/>
            <w:webHidden/>
          </w:rPr>
          <w:fldChar w:fldCharType="begin"/>
        </w:r>
        <w:r>
          <w:rPr>
            <w:noProof/>
            <w:webHidden/>
          </w:rPr>
          <w:instrText xml:space="preserve"> PAGEREF _Toc216699526 \h </w:instrText>
        </w:r>
        <w:r>
          <w:rPr>
            <w:noProof/>
            <w:webHidden/>
          </w:rPr>
        </w:r>
        <w:r>
          <w:rPr>
            <w:noProof/>
            <w:webHidden/>
          </w:rPr>
          <w:fldChar w:fldCharType="separate"/>
        </w:r>
        <w:r>
          <w:rPr>
            <w:noProof/>
            <w:webHidden/>
          </w:rPr>
          <w:t>257</w:t>
        </w:r>
        <w:r>
          <w:rPr>
            <w:noProof/>
            <w:webHidden/>
          </w:rPr>
          <w:fldChar w:fldCharType="end"/>
        </w:r>
      </w:hyperlink>
    </w:p>
    <w:p w14:paraId="35353B7B" w14:textId="1A30CE72" w:rsidR="00B91EB8" w:rsidRDefault="00B91EB8">
      <w:pPr>
        <w:pStyle w:val="TOC1"/>
        <w:rPr>
          <w:rFonts w:asciiTheme="minorHAnsi" w:eastAsiaTheme="minorEastAsia" w:hAnsiTheme="minorHAnsi" w:cstheme="minorBidi"/>
          <w:b w:val="0"/>
          <w:caps w:val="0"/>
          <w:noProof/>
          <w:color w:val="auto"/>
          <w:kern w:val="2"/>
          <w:sz w:val="24"/>
          <w:szCs w:val="24"/>
          <w:lang w:eastAsia="en-AU"/>
          <w14:ligatures w14:val="standardContextual"/>
        </w:rPr>
      </w:pPr>
      <w:hyperlink w:anchor="_Toc216699527" w:history="1">
        <w:r w:rsidRPr="00683E1E">
          <w:rPr>
            <w:rStyle w:val="Hyperlink"/>
            <w:noProof/>
          </w:rPr>
          <w:t>20</w:t>
        </w:r>
        <w:r>
          <w:rPr>
            <w:rFonts w:asciiTheme="minorHAnsi" w:eastAsiaTheme="minorEastAsia" w:hAnsiTheme="minorHAnsi" w:cstheme="minorBidi"/>
            <w:b w:val="0"/>
            <w:caps w:val="0"/>
            <w:noProof/>
            <w:color w:val="auto"/>
            <w:kern w:val="2"/>
            <w:sz w:val="24"/>
            <w:szCs w:val="24"/>
            <w:lang w:eastAsia="en-AU"/>
            <w14:ligatures w14:val="standardContextual"/>
          </w:rPr>
          <w:tab/>
        </w:r>
        <w:r w:rsidRPr="00683E1E">
          <w:rPr>
            <w:rStyle w:val="Hyperlink"/>
            <w:noProof/>
          </w:rPr>
          <w:t>SUGGESTED</w:t>
        </w:r>
        <w:r w:rsidRPr="00683E1E">
          <w:rPr>
            <w:rStyle w:val="Hyperlink"/>
            <w:noProof/>
            <w:spacing w:val="-4"/>
          </w:rPr>
          <w:t xml:space="preserve"> </w:t>
        </w:r>
        <w:r w:rsidRPr="00683E1E">
          <w:rPr>
            <w:rStyle w:val="Hyperlink"/>
            <w:noProof/>
          </w:rPr>
          <w:t>NEXT</w:t>
        </w:r>
        <w:r w:rsidRPr="00683E1E">
          <w:rPr>
            <w:rStyle w:val="Hyperlink"/>
            <w:noProof/>
            <w:spacing w:val="-3"/>
          </w:rPr>
          <w:t xml:space="preserve"> </w:t>
        </w:r>
        <w:r w:rsidRPr="00683E1E">
          <w:rPr>
            <w:rStyle w:val="Hyperlink"/>
            <w:noProof/>
            <w:spacing w:val="-2"/>
          </w:rPr>
          <w:t>STEPS</w:t>
        </w:r>
        <w:r>
          <w:rPr>
            <w:noProof/>
            <w:webHidden/>
          </w:rPr>
          <w:tab/>
        </w:r>
        <w:r>
          <w:rPr>
            <w:noProof/>
            <w:webHidden/>
          </w:rPr>
          <w:fldChar w:fldCharType="begin"/>
        </w:r>
        <w:r>
          <w:rPr>
            <w:noProof/>
            <w:webHidden/>
          </w:rPr>
          <w:instrText xml:space="preserve"> PAGEREF _Toc216699527 \h </w:instrText>
        </w:r>
        <w:r>
          <w:rPr>
            <w:noProof/>
            <w:webHidden/>
          </w:rPr>
        </w:r>
        <w:r>
          <w:rPr>
            <w:noProof/>
            <w:webHidden/>
          </w:rPr>
          <w:fldChar w:fldCharType="separate"/>
        </w:r>
        <w:r>
          <w:rPr>
            <w:noProof/>
            <w:webHidden/>
          </w:rPr>
          <w:t>258</w:t>
        </w:r>
        <w:r>
          <w:rPr>
            <w:noProof/>
            <w:webHidden/>
          </w:rPr>
          <w:fldChar w:fldCharType="end"/>
        </w:r>
      </w:hyperlink>
    </w:p>
    <w:p w14:paraId="5637B9FF" w14:textId="2A606AC7" w:rsidR="00B91EB8" w:rsidRDefault="00B91EB8">
      <w:pPr>
        <w:pStyle w:val="TOC5"/>
        <w:rPr>
          <w:rFonts w:asciiTheme="minorHAnsi" w:eastAsiaTheme="minorEastAsia" w:hAnsiTheme="minorHAnsi" w:cstheme="minorBidi"/>
          <w:noProof/>
          <w:color w:val="auto"/>
          <w:kern w:val="2"/>
          <w:sz w:val="24"/>
          <w:szCs w:val="24"/>
          <w:lang w:eastAsia="en-AU"/>
          <w14:ligatures w14:val="standardContextual"/>
        </w:rPr>
      </w:pPr>
      <w:hyperlink w:anchor="_Toc216699528" w:history="1">
        <w:r w:rsidRPr="00683E1E">
          <w:rPr>
            <w:rStyle w:val="Hyperlink"/>
            <w:noProof/>
          </w:rPr>
          <w:t>1. Implement</w:t>
        </w:r>
        <w:r w:rsidRPr="00683E1E">
          <w:rPr>
            <w:rStyle w:val="Hyperlink"/>
            <w:noProof/>
            <w:spacing w:val="-3"/>
          </w:rPr>
          <w:t xml:space="preserve"> </w:t>
        </w:r>
        <w:r w:rsidRPr="00683E1E">
          <w:rPr>
            <w:rStyle w:val="Hyperlink"/>
            <w:noProof/>
          </w:rPr>
          <w:t>Short</w:t>
        </w:r>
        <w:r w:rsidRPr="00683E1E">
          <w:rPr>
            <w:rStyle w:val="Hyperlink"/>
            <w:noProof/>
            <w:spacing w:val="-5"/>
          </w:rPr>
          <w:t xml:space="preserve"> </w:t>
        </w:r>
        <w:r w:rsidRPr="00683E1E">
          <w:rPr>
            <w:rStyle w:val="Hyperlink"/>
            <w:noProof/>
          </w:rPr>
          <w:t>Term</w:t>
        </w:r>
        <w:r w:rsidRPr="00683E1E">
          <w:rPr>
            <w:rStyle w:val="Hyperlink"/>
            <w:noProof/>
            <w:spacing w:val="-3"/>
          </w:rPr>
          <w:t xml:space="preserve"> </w:t>
        </w:r>
        <w:r w:rsidRPr="00683E1E">
          <w:rPr>
            <w:rStyle w:val="Hyperlink"/>
            <w:noProof/>
            <w:spacing w:val="-2"/>
          </w:rPr>
          <w:t>Recommendations</w:t>
        </w:r>
        <w:r>
          <w:rPr>
            <w:noProof/>
            <w:webHidden/>
          </w:rPr>
          <w:tab/>
        </w:r>
        <w:r>
          <w:rPr>
            <w:noProof/>
            <w:webHidden/>
          </w:rPr>
          <w:fldChar w:fldCharType="begin"/>
        </w:r>
        <w:r>
          <w:rPr>
            <w:noProof/>
            <w:webHidden/>
          </w:rPr>
          <w:instrText xml:space="preserve"> PAGEREF _Toc216699528 \h </w:instrText>
        </w:r>
        <w:r>
          <w:rPr>
            <w:noProof/>
            <w:webHidden/>
          </w:rPr>
        </w:r>
        <w:r>
          <w:rPr>
            <w:noProof/>
            <w:webHidden/>
          </w:rPr>
          <w:fldChar w:fldCharType="separate"/>
        </w:r>
        <w:r>
          <w:rPr>
            <w:noProof/>
            <w:webHidden/>
          </w:rPr>
          <w:t>258</w:t>
        </w:r>
        <w:r>
          <w:rPr>
            <w:noProof/>
            <w:webHidden/>
          </w:rPr>
          <w:fldChar w:fldCharType="end"/>
        </w:r>
      </w:hyperlink>
    </w:p>
    <w:p w14:paraId="32E73D16" w14:textId="58466913" w:rsidR="00B91EB8" w:rsidRDefault="00B91EB8">
      <w:pPr>
        <w:pStyle w:val="TOC5"/>
        <w:rPr>
          <w:rFonts w:asciiTheme="minorHAnsi" w:eastAsiaTheme="minorEastAsia" w:hAnsiTheme="minorHAnsi" w:cstheme="minorBidi"/>
          <w:noProof/>
          <w:color w:val="auto"/>
          <w:kern w:val="2"/>
          <w:sz w:val="24"/>
          <w:szCs w:val="24"/>
          <w:lang w:eastAsia="en-AU"/>
          <w14:ligatures w14:val="standardContextual"/>
        </w:rPr>
      </w:pPr>
      <w:hyperlink w:anchor="_Toc216699529" w:history="1">
        <w:r w:rsidRPr="00683E1E">
          <w:rPr>
            <w:rStyle w:val="Hyperlink"/>
            <w:noProof/>
          </w:rPr>
          <w:t>2. Regulatory</w:t>
        </w:r>
        <w:r w:rsidRPr="00683E1E">
          <w:rPr>
            <w:rStyle w:val="Hyperlink"/>
            <w:noProof/>
            <w:spacing w:val="-5"/>
          </w:rPr>
          <w:t xml:space="preserve"> </w:t>
        </w:r>
        <w:r w:rsidRPr="00683E1E">
          <w:rPr>
            <w:rStyle w:val="Hyperlink"/>
            <w:noProof/>
          </w:rPr>
          <w:t>and</w:t>
        </w:r>
        <w:r w:rsidRPr="00683E1E">
          <w:rPr>
            <w:rStyle w:val="Hyperlink"/>
            <w:noProof/>
            <w:spacing w:val="-5"/>
          </w:rPr>
          <w:t xml:space="preserve"> </w:t>
        </w:r>
        <w:r w:rsidRPr="00683E1E">
          <w:rPr>
            <w:rStyle w:val="Hyperlink"/>
            <w:noProof/>
          </w:rPr>
          <w:t>Approvals</w:t>
        </w:r>
        <w:r w:rsidRPr="00683E1E">
          <w:rPr>
            <w:rStyle w:val="Hyperlink"/>
            <w:noProof/>
            <w:spacing w:val="-5"/>
          </w:rPr>
          <w:t xml:space="preserve"> </w:t>
        </w:r>
        <w:r w:rsidRPr="00683E1E">
          <w:rPr>
            <w:rStyle w:val="Hyperlink"/>
            <w:noProof/>
            <w:spacing w:val="-2"/>
          </w:rPr>
          <w:t>Engagement</w:t>
        </w:r>
        <w:r>
          <w:rPr>
            <w:noProof/>
            <w:webHidden/>
          </w:rPr>
          <w:tab/>
        </w:r>
        <w:r>
          <w:rPr>
            <w:noProof/>
            <w:webHidden/>
          </w:rPr>
          <w:fldChar w:fldCharType="begin"/>
        </w:r>
        <w:r>
          <w:rPr>
            <w:noProof/>
            <w:webHidden/>
          </w:rPr>
          <w:instrText xml:space="preserve"> PAGEREF _Toc216699529 \h </w:instrText>
        </w:r>
        <w:r>
          <w:rPr>
            <w:noProof/>
            <w:webHidden/>
          </w:rPr>
        </w:r>
        <w:r>
          <w:rPr>
            <w:noProof/>
            <w:webHidden/>
          </w:rPr>
          <w:fldChar w:fldCharType="separate"/>
        </w:r>
        <w:r>
          <w:rPr>
            <w:noProof/>
            <w:webHidden/>
          </w:rPr>
          <w:t>258</w:t>
        </w:r>
        <w:r>
          <w:rPr>
            <w:noProof/>
            <w:webHidden/>
          </w:rPr>
          <w:fldChar w:fldCharType="end"/>
        </w:r>
      </w:hyperlink>
    </w:p>
    <w:p w14:paraId="6C1F3979" w14:textId="6901C412" w:rsidR="00B91EB8" w:rsidRDefault="00B91EB8">
      <w:pPr>
        <w:pStyle w:val="TOC5"/>
        <w:rPr>
          <w:rFonts w:asciiTheme="minorHAnsi" w:eastAsiaTheme="minorEastAsia" w:hAnsiTheme="minorHAnsi" w:cstheme="minorBidi"/>
          <w:noProof/>
          <w:color w:val="auto"/>
          <w:kern w:val="2"/>
          <w:sz w:val="24"/>
          <w:szCs w:val="24"/>
          <w:lang w:eastAsia="en-AU"/>
          <w14:ligatures w14:val="standardContextual"/>
        </w:rPr>
      </w:pPr>
      <w:hyperlink w:anchor="_Toc216699530" w:history="1">
        <w:r w:rsidRPr="00683E1E">
          <w:rPr>
            <w:rStyle w:val="Hyperlink"/>
            <w:noProof/>
          </w:rPr>
          <w:t>3. Planning</w:t>
        </w:r>
        <w:r w:rsidRPr="00683E1E">
          <w:rPr>
            <w:rStyle w:val="Hyperlink"/>
            <w:noProof/>
            <w:spacing w:val="-3"/>
          </w:rPr>
          <w:t xml:space="preserve"> </w:t>
        </w:r>
        <w:r w:rsidRPr="00683E1E">
          <w:rPr>
            <w:rStyle w:val="Hyperlink"/>
            <w:noProof/>
          </w:rPr>
          <w:t>the</w:t>
        </w:r>
        <w:r w:rsidRPr="00683E1E">
          <w:rPr>
            <w:rStyle w:val="Hyperlink"/>
            <w:noProof/>
            <w:spacing w:val="-4"/>
          </w:rPr>
          <w:t xml:space="preserve"> </w:t>
        </w:r>
        <w:r w:rsidRPr="00683E1E">
          <w:rPr>
            <w:rStyle w:val="Hyperlink"/>
            <w:noProof/>
          </w:rPr>
          <w:t>Trial</w:t>
        </w:r>
        <w:r w:rsidRPr="00683E1E">
          <w:rPr>
            <w:rStyle w:val="Hyperlink"/>
            <w:noProof/>
            <w:spacing w:val="-3"/>
          </w:rPr>
          <w:t xml:space="preserve"> </w:t>
        </w:r>
        <w:r w:rsidRPr="00683E1E">
          <w:rPr>
            <w:rStyle w:val="Hyperlink"/>
            <w:noProof/>
          </w:rPr>
          <w:t>for</w:t>
        </w:r>
        <w:r w:rsidRPr="00683E1E">
          <w:rPr>
            <w:rStyle w:val="Hyperlink"/>
            <w:noProof/>
            <w:spacing w:val="-3"/>
          </w:rPr>
          <w:t xml:space="preserve"> </w:t>
        </w:r>
        <w:r w:rsidRPr="00683E1E">
          <w:rPr>
            <w:rStyle w:val="Hyperlink"/>
            <w:noProof/>
          </w:rPr>
          <w:t>Option</w:t>
        </w:r>
        <w:r w:rsidRPr="00683E1E">
          <w:rPr>
            <w:rStyle w:val="Hyperlink"/>
            <w:noProof/>
            <w:spacing w:val="-2"/>
          </w:rPr>
          <w:t xml:space="preserve"> </w:t>
        </w:r>
        <w:r w:rsidRPr="00683E1E">
          <w:rPr>
            <w:rStyle w:val="Hyperlink"/>
            <w:noProof/>
            <w:spacing w:val="-5"/>
          </w:rPr>
          <w:t>1A</w:t>
        </w:r>
        <w:r>
          <w:rPr>
            <w:noProof/>
            <w:webHidden/>
          </w:rPr>
          <w:tab/>
        </w:r>
        <w:r>
          <w:rPr>
            <w:noProof/>
            <w:webHidden/>
          </w:rPr>
          <w:fldChar w:fldCharType="begin"/>
        </w:r>
        <w:r>
          <w:rPr>
            <w:noProof/>
            <w:webHidden/>
          </w:rPr>
          <w:instrText xml:space="preserve"> PAGEREF _Toc216699530 \h </w:instrText>
        </w:r>
        <w:r>
          <w:rPr>
            <w:noProof/>
            <w:webHidden/>
          </w:rPr>
        </w:r>
        <w:r>
          <w:rPr>
            <w:noProof/>
            <w:webHidden/>
          </w:rPr>
          <w:fldChar w:fldCharType="separate"/>
        </w:r>
        <w:r>
          <w:rPr>
            <w:noProof/>
            <w:webHidden/>
          </w:rPr>
          <w:t>258</w:t>
        </w:r>
        <w:r>
          <w:rPr>
            <w:noProof/>
            <w:webHidden/>
          </w:rPr>
          <w:fldChar w:fldCharType="end"/>
        </w:r>
      </w:hyperlink>
    </w:p>
    <w:p w14:paraId="04ECD7EA" w14:textId="3AF65708" w:rsidR="00B91EB8" w:rsidRDefault="00B91EB8">
      <w:pPr>
        <w:pStyle w:val="TOC5"/>
        <w:rPr>
          <w:rFonts w:asciiTheme="minorHAnsi" w:eastAsiaTheme="minorEastAsia" w:hAnsiTheme="minorHAnsi" w:cstheme="minorBidi"/>
          <w:noProof/>
          <w:color w:val="auto"/>
          <w:kern w:val="2"/>
          <w:sz w:val="24"/>
          <w:szCs w:val="24"/>
          <w:lang w:eastAsia="en-AU"/>
          <w14:ligatures w14:val="standardContextual"/>
        </w:rPr>
      </w:pPr>
      <w:hyperlink w:anchor="_Toc216699531" w:history="1">
        <w:r w:rsidRPr="00683E1E">
          <w:rPr>
            <w:rStyle w:val="Hyperlink"/>
            <w:noProof/>
          </w:rPr>
          <w:t>4. Parallel</w:t>
        </w:r>
        <w:r w:rsidRPr="00683E1E">
          <w:rPr>
            <w:rStyle w:val="Hyperlink"/>
            <w:noProof/>
            <w:spacing w:val="-5"/>
          </w:rPr>
          <w:t xml:space="preserve"> </w:t>
        </w:r>
        <w:r w:rsidRPr="00683E1E">
          <w:rPr>
            <w:rStyle w:val="Hyperlink"/>
            <w:noProof/>
          </w:rPr>
          <w:t>Development</w:t>
        </w:r>
        <w:r w:rsidRPr="00683E1E">
          <w:rPr>
            <w:rStyle w:val="Hyperlink"/>
            <w:noProof/>
            <w:spacing w:val="-3"/>
          </w:rPr>
          <w:t xml:space="preserve"> </w:t>
        </w:r>
        <w:r w:rsidRPr="00683E1E">
          <w:rPr>
            <w:rStyle w:val="Hyperlink"/>
            <w:noProof/>
          </w:rPr>
          <w:t>of</w:t>
        </w:r>
        <w:r w:rsidRPr="00683E1E">
          <w:rPr>
            <w:rStyle w:val="Hyperlink"/>
            <w:noProof/>
            <w:spacing w:val="-3"/>
          </w:rPr>
          <w:t xml:space="preserve"> </w:t>
        </w:r>
        <w:r w:rsidRPr="00683E1E">
          <w:rPr>
            <w:rStyle w:val="Hyperlink"/>
            <w:noProof/>
          </w:rPr>
          <w:t>Option</w:t>
        </w:r>
        <w:r w:rsidRPr="00683E1E">
          <w:rPr>
            <w:rStyle w:val="Hyperlink"/>
            <w:noProof/>
            <w:spacing w:val="-4"/>
          </w:rPr>
          <w:t xml:space="preserve"> </w:t>
        </w:r>
        <w:r w:rsidRPr="00683E1E">
          <w:rPr>
            <w:rStyle w:val="Hyperlink"/>
            <w:noProof/>
            <w:spacing w:val="-10"/>
          </w:rPr>
          <w:t>2</w:t>
        </w:r>
        <w:r>
          <w:rPr>
            <w:noProof/>
            <w:webHidden/>
          </w:rPr>
          <w:tab/>
        </w:r>
        <w:r>
          <w:rPr>
            <w:noProof/>
            <w:webHidden/>
          </w:rPr>
          <w:fldChar w:fldCharType="begin"/>
        </w:r>
        <w:r>
          <w:rPr>
            <w:noProof/>
            <w:webHidden/>
          </w:rPr>
          <w:instrText xml:space="preserve"> PAGEREF _Toc216699531 \h </w:instrText>
        </w:r>
        <w:r>
          <w:rPr>
            <w:noProof/>
            <w:webHidden/>
          </w:rPr>
        </w:r>
        <w:r>
          <w:rPr>
            <w:noProof/>
            <w:webHidden/>
          </w:rPr>
          <w:fldChar w:fldCharType="separate"/>
        </w:r>
        <w:r>
          <w:rPr>
            <w:noProof/>
            <w:webHidden/>
          </w:rPr>
          <w:t>258</w:t>
        </w:r>
        <w:r>
          <w:rPr>
            <w:noProof/>
            <w:webHidden/>
          </w:rPr>
          <w:fldChar w:fldCharType="end"/>
        </w:r>
      </w:hyperlink>
    </w:p>
    <w:p w14:paraId="0D23D05A" w14:textId="16582B95" w:rsidR="00B91EB8" w:rsidRDefault="00B91EB8">
      <w:pPr>
        <w:pStyle w:val="TOC5"/>
        <w:rPr>
          <w:rFonts w:asciiTheme="minorHAnsi" w:eastAsiaTheme="minorEastAsia" w:hAnsiTheme="minorHAnsi" w:cstheme="minorBidi"/>
          <w:noProof/>
          <w:color w:val="auto"/>
          <w:kern w:val="2"/>
          <w:sz w:val="24"/>
          <w:szCs w:val="24"/>
          <w:lang w:eastAsia="en-AU"/>
          <w14:ligatures w14:val="standardContextual"/>
        </w:rPr>
      </w:pPr>
      <w:hyperlink w:anchor="_Toc216699532" w:history="1">
        <w:r w:rsidRPr="00683E1E">
          <w:rPr>
            <w:rStyle w:val="Hyperlink"/>
            <w:noProof/>
          </w:rPr>
          <w:t>5. Prepare a cost benefit/detailed plan for formalising the Western Channel (5A) for the 2-year trial period</w:t>
        </w:r>
        <w:r>
          <w:rPr>
            <w:noProof/>
            <w:webHidden/>
          </w:rPr>
          <w:tab/>
        </w:r>
        <w:r>
          <w:rPr>
            <w:noProof/>
            <w:webHidden/>
          </w:rPr>
          <w:fldChar w:fldCharType="begin"/>
        </w:r>
        <w:r>
          <w:rPr>
            <w:noProof/>
            <w:webHidden/>
          </w:rPr>
          <w:instrText xml:space="preserve"> PAGEREF _Toc216699532 \h </w:instrText>
        </w:r>
        <w:r>
          <w:rPr>
            <w:noProof/>
            <w:webHidden/>
          </w:rPr>
        </w:r>
        <w:r>
          <w:rPr>
            <w:noProof/>
            <w:webHidden/>
          </w:rPr>
          <w:fldChar w:fldCharType="separate"/>
        </w:r>
        <w:r>
          <w:rPr>
            <w:noProof/>
            <w:webHidden/>
          </w:rPr>
          <w:t>259</w:t>
        </w:r>
        <w:r>
          <w:rPr>
            <w:noProof/>
            <w:webHidden/>
          </w:rPr>
          <w:fldChar w:fldCharType="end"/>
        </w:r>
      </w:hyperlink>
    </w:p>
    <w:p w14:paraId="31FCC3D8" w14:textId="612E21FF" w:rsidR="00B91EB8" w:rsidRDefault="00B91EB8">
      <w:pPr>
        <w:pStyle w:val="TOC1"/>
        <w:rPr>
          <w:rFonts w:asciiTheme="minorHAnsi" w:eastAsiaTheme="minorEastAsia" w:hAnsiTheme="minorHAnsi" w:cstheme="minorBidi"/>
          <w:b w:val="0"/>
          <w:caps w:val="0"/>
          <w:noProof/>
          <w:color w:val="auto"/>
          <w:kern w:val="2"/>
          <w:sz w:val="24"/>
          <w:szCs w:val="24"/>
          <w:lang w:eastAsia="en-AU"/>
          <w14:ligatures w14:val="standardContextual"/>
        </w:rPr>
      </w:pPr>
      <w:hyperlink w:anchor="_Toc216699533" w:history="1">
        <w:r w:rsidRPr="00683E1E">
          <w:rPr>
            <w:rStyle w:val="Hyperlink"/>
            <w:noProof/>
          </w:rPr>
          <w:t>21</w:t>
        </w:r>
        <w:r>
          <w:rPr>
            <w:rFonts w:asciiTheme="minorHAnsi" w:eastAsiaTheme="minorEastAsia" w:hAnsiTheme="minorHAnsi" w:cstheme="minorBidi"/>
            <w:b w:val="0"/>
            <w:caps w:val="0"/>
            <w:noProof/>
            <w:color w:val="auto"/>
            <w:kern w:val="2"/>
            <w:sz w:val="24"/>
            <w:szCs w:val="24"/>
            <w:lang w:eastAsia="en-AU"/>
            <w14:ligatures w14:val="standardContextual"/>
          </w:rPr>
          <w:tab/>
        </w:r>
        <w:r w:rsidRPr="00683E1E">
          <w:rPr>
            <w:rStyle w:val="Hyperlink"/>
            <w:noProof/>
          </w:rPr>
          <w:t>REFERENCES</w:t>
        </w:r>
        <w:r>
          <w:rPr>
            <w:noProof/>
            <w:webHidden/>
          </w:rPr>
          <w:tab/>
        </w:r>
        <w:r>
          <w:rPr>
            <w:noProof/>
            <w:webHidden/>
          </w:rPr>
          <w:fldChar w:fldCharType="begin"/>
        </w:r>
        <w:r>
          <w:rPr>
            <w:noProof/>
            <w:webHidden/>
          </w:rPr>
          <w:instrText xml:space="preserve"> PAGEREF _Toc216699533 \h </w:instrText>
        </w:r>
        <w:r>
          <w:rPr>
            <w:noProof/>
            <w:webHidden/>
          </w:rPr>
        </w:r>
        <w:r>
          <w:rPr>
            <w:noProof/>
            <w:webHidden/>
          </w:rPr>
          <w:fldChar w:fldCharType="separate"/>
        </w:r>
        <w:r>
          <w:rPr>
            <w:noProof/>
            <w:webHidden/>
          </w:rPr>
          <w:t>260</w:t>
        </w:r>
        <w:r>
          <w:rPr>
            <w:noProof/>
            <w:webHidden/>
          </w:rPr>
          <w:fldChar w:fldCharType="end"/>
        </w:r>
      </w:hyperlink>
    </w:p>
    <w:p w14:paraId="43B2F60E" w14:textId="48F20352" w:rsidR="00B96E7E" w:rsidRPr="00D4309F" w:rsidRDefault="00B96E7E" w:rsidP="00B96E7E">
      <w:pPr>
        <w:pStyle w:val="BodyText"/>
      </w:pPr>
      <w:r w:rsidRPr="00D4309F">
        <w:rPr>
          <w:b/>
          <w:caps/>
        </w:rPr>
        <w:lastRenderedPageBreak/>
        <w:fldChar w:fldCharType="end"/>
      </w:r>
    </w:p>
    <w:p w14:paraId="43964C21" w14:textId="77777777" w:rsidR="00B96E7E" w:rsidRPr="00D4309F" w:rsidRDefault="009A5848" w:rsidP="00B96E7E">
      <w:pPr>
        <w:pStyle w:val="TOCHeading2"/>
      </w:pPr>
      <w:sdt>
        <w:sdtPr>
          <w:alias w:val="{{Translate(&quot;Tables&quot;)}}"/>
          <w:tag w:val="{&quot;templafy&quot;:{&quot;id&quot;:&quot;48cfadeb-75f2-439a-a1ff-a94d17e9bdde&quot;}}"/>
          <w:id w:val="-884870213"/>
          <w:placeholder>
            <w:docPart w:val="2CE2293BC3664297920B495FF3812FC1"/>
          </w:placeholder>
        </w:sdtPr>
        <w:sdtEndPr/>
        <w:sdtContent>
          <w:r w:rsidR="00FC392F" w:rsidRPr="00D4309F">
            <w:t>Tables</w:t>
          </w:r>
        </w:sdtContent>
      </w:sdt>
    </w:p>
    <w:p w14:paraId="6987983F" w14:textId="57362A91" w:rsidR="00B91EB8" w:rsidRDefault="00CE4A32">
      <w:pPr>
        <w:pStyle w:val="TableofFigures"/>
        <w:rPr>
          <w:rFonts w:asciiTheme="minorHAnsi" w:eastAsiaTheme="minorEastAsia" w:hAnsiTheme="minorHAnsi" w:cstheme="minorBidi"/>
          <w:noProof/>
          <w:color w:val="auto"/>
          <w:kern w:val="2"/>
          <w:sz w:val="24"/>
          <w:szCs w:val="24"/>
          <w:lang w:eastAsia="en-AU"/>
          <w14:ligatures w14:val="standardContextual"/>
        </w:rPr>
      </w:pPr>
      <w:r w:rsidRPr="00D4309F">
        <w:fldChar w:fldCharType="begin"/>
      </w:r>
      <w:r w:rsidRPr="00D4309F">
        <w:instrText xml:space="preserve"> TOC \h \z \t "Table - Caption,8" \c "Table" </w:instrText>
      </w:r>
      <w:r w:rsidRPr="00D4309F">
        <w:fldChar w:fldCharType="separate"/>
      </w:r>
      <w:hyperlink w:anchor="_Toc216699534" w:history="1">
        <w:r w:rsidR="00B91EB8" w:rsidRPr="00747969">
          <w:rPr>
            <w:rStyle w:val="Hyperlink"/>
            <w:noProof/>
          </w:rPr>
          <w:t>Table 5</w:t>
        </w:r>
        <w:r w:rsidR="00B91EB8" w:rsidRPr="00747969">
          <w:rPr>
            <w:rStyle w:val="Hyperlink"/>
            <w:noProof/>
          </w:rPr>
          <w:noBreakHyphen/>
          <w:t>1:</w:t>
        </w:r>
        <w:r w:rsidR="00B91EB8">
          <w:rPr>
            <w:rFonts w:asciiTheme="minorHAnsi" w:eastAsiaTheme="minorEastAsia" w:hAnsiTheme="minorHAnsi" w:cstheme="minorBidi"/>
            <w:noProof/>
            <w:color w:val="auto"/>
            <w:kern w:val="2"/>
            <w:sz w:val="24"/>
            <w:szCs w:val="24"/>
            <w:lang w:eastAsia="en-AU"/>
            <w14:ligatures w14:val="standardContextual"/>
          </w:rPr>
          <w:tab/>
        </w:r>
        <w:r w:rsidR="00B91EB8" w:rsidRPr="00747969">
          <w:rPr>
            <w:rStyle w:val="Hyperlink"/>
            <w:noProof/>
          </w:rPr>
          <w:t>Summary</w:t>
        </w:r>
        <w:r w:rsidR="00B91EB8" w:rsidRPr="00747969">
          <w:rPr>
            <w:rStyle w:val="Hyperlink"/>
            <w:noProof/>
            <w:spacing w:val="-3"/>
          </w:rPr>
          <w:t xml:space="preserve"> </w:t>
        </w:r>
        <w:r w:rsidR="00B91EB8" w:rsidRPr="00747969">
          <w:rPr>
            <w:rStyle w:val="Hyperlink"/>
            <w:noProof/>
          </w:rPr>
          <w:t>of</w:t>
        </w:r>
        <w:r w:rsidR="00B91EB8" w:rsidRPr="00747969">
          <w:rPr>
            <w:rStyle w:val="Hyperlink"/>
            <w:noProof/>
            <w:spacing w:val="-1"/>
          </w:rPr>
          <w:t xml:space="preserve"> </w:t>
        </w:r>
        <w:r w:rsidR="00B91EB8" w:rsidRPr="00747969">
          <w:rPr>
            <w:rStyle w:val="Hyperlink"/>
            <w:noProof/>
          </w:rPr>
          <w:t>marine</w:t>
        </w:r>
        <w:r w:rsidR="00B91EB8" w:rsidRPr="00747969">
          <w:rPr>
            <w:rStyle w:val="Hyperlink"/>
            <w:noProof/>
            <w:spacing w:val="-3"/>
          </w:rPr>
          <w:t xml:space="preserve"> </w:t>
        </w:r>
        <w:r w:rsidR="00B91EB8" w:rsidRPr="00747969">
          <w:rPr>
            <w:rStyle w:val="Hyperlink"/>
            <w:noProof/>
          </w:rPr>
          <w:t>benthic</w:t>
        </w:r>
        <w:r w:rsidR="00B91EB8" w:rsidRPr="00747969">
          <w:rPr>
            <w:rStyle w:val="Hyperlink"/>
            <w:noProof/>
            <w:spacing w:val="-3"/>
          </w:rPr>
          <w:t xml:space="preserve"> </w:t>
        </w:r>
        <w:r w:rsidR="00B91EB8" w:rsidRPr="00747969">
          <w:rPr>
            <w:rStyle w:val="Hyperlink"/>
            <w:noProof/>
          </w:rPr>
          <w:t>habitats</w:t>
        </w:r>
        <w:r w:rsidR="00B91EB8" w:rsidRPr="00747969">
          <w:rPr>
            <w:rStyle w:val="Hyperlink"/>
            <w:noProof/>
            <w:spacing w:val="-2"/>
          </w:rPr>
          <w:t xml:space="preserve"> </w:t>
        </w:r>
        <w:r w:rsidR="00B91EB8" w:rsidRPr="00747969">
          <w:rPr>
            <w:rStyle w:val="Hyperlink"/>
            <w:noProof/>
          </w:rPr>
          <w:t>mapped</w:t>
        </w:r>
        <w:r w:rsidR="00B91EB8" w:rsidRPr="00747969">
          <w:rPr>
            <w:rStyle w:val="Hyperlink"/>
            <w:noProof/>
            <w:spacing w:val="-2"/>
          </w:rPr>
          <w:t xml:space="preserve"> </w:t>
        </w:r>
        <w:r w:rsidR="00B91EB8" w:rsidRPr="00747969">
          <w:rPr>
            <w:rStyle w:val="Hyperlink"/>
            <w:noProof/>
          </w:rPr>
          <w:t>in</w:t>
        </w:r>
        <w:r w:rsidR="00B91EB8" w:rsidRPr="00747969">
          <w:rPr>
            <w:rStyle w:val="Hyperlink"/>
            <w:noProof/>
            <w:spacing w:val="-2"/>
          </w:rPr>
          <w:t xml:space="preserve"> </w:t>
        </w:r>
        <w:r w:rsidR="00B91EB8" w:rsidRPr="00747969">
          <w:rPr>
            <w:rStyle w:val="Hyperlink"/>
            <w:noProof/>
          </w:rPr>
          <w:t>Figure</w:t>
        </w:r>
        <w:r w:rsidR="00B91EB8" w:rsidRPr="00747969">
          <w:rPr>
            <w:rStyle w:val="Hyperlink"/>
            <w:noProof/>
            <w:spacing w:val="-2"/>
          </w:rPr>
          <w:t xml:space="preserve"> </w:t>
        </w:r>
        <w:r w:rsidR="00B91EB8" w:rsidRPr="00747969">
          <w:rPr>
            <w:rStyle w:val="Hyperlink"/>
            <w:noProof/>
          </w:rPr>
          <w:t>5-2</w:t>
        </w:r>
        <w:r w:rsidR="00B91EB8" w:rsidRPr="00747969">
          <w:rPr>
            <w:rStyle w:val="Hyperlink"/>
            <w:noProof/>
            <w:spacing w:val="-2"/>
          </w:rPr>
          <w:t xml:space="preserve"> </w:t>
        </w:r>
        <w:r w:rsidR="00B91EB8" w:rsidRPr="00747969">
          <w:rPr>
            <w:rStyle w:val="Hyperlink"/>
            <w:noProof/>
          </w:rPr>
          <w:t>(Source:</w:t>
        </w:r>
        <w:r w:rsidR="00B91EB8" w:rsidRPr="00747969">
          <w:rPr>
            <w:rStyle w:val="Hyperlink"/>
            <w:noProof/>
            <w:spacing w:val="-1"/>
          </w:rPr>
          <w:t xml:space="preserve"> </w:t>
        </w:r>
        <w:r w:rsidR="00B91EB8" w:rsidRPr="00747969">
          <w:rPr>
            <w:rStyle w:val="Hyperlink"/>
            <w:noProof/>
          </w:rPr>
          <w:t>KBR,</w:t>
        </w:r>
        <w:r w:rsidR="00B91EB8" w:rsidRPr="00747969">
          <w:rPr>
            <w:rStyle w:val="Hyperlink"/>
            <w:noProof/>
            <w:spacing w:val="-2"/>
          </w:rPr>
          <w:t xml:space="preserve"> 2023)</w:t>
        </w:r>
        <w:r w:rsidR="00B91EB8">
          <w:rPr>
            <w:noProof/>
            <w:webHidden/>
          </w:rPr>
          <w:tab/>
        </w:r>
        <w:r w:rsidR="00B91EB8">
          <w:rPr>
            <w:noProof/>
            <w:webHidden/>
          </w:rPr>
          <w:fldChar w:fldCharType="begin"/>
        </w:r>
        <w:r w:rsidR="00B91EB8">
          <w:rPr>
            <w:noProof/>
            <w:webHidden/>
          </w:rPr>
          <w:instrText xml:space="preserve"> PAGEREF _Toc216699534 \h </w:instrText>
        </w:r>
        <w:r w:rsidR="00B91EB8">
          <w:rPr>
            <w:noProof/>
            <w:webHidden/>
          </w:rPr>
        </w:r>
        <w:r w:rsidR="00B91EB8">
          <w:rPr>
            <w:noProof/>
            <w:webHidden/>
          </w:rPr>
          <w:fldChar w:fldCharType="separate"/>
        </w:r>
        <w:r w:rsidR="00B91EB8">
          <w:rPr>
            <w:noProof/>
            <w:webHidden/>
          </w:rPr>
          <w:t>31</w:t>
        </w:r>
        <w:r w:rsidR="00B91EB8">
          <w:rPr>
            <w:noProof/>
            <w:webHidden/>
          </w:rPr>
          <w:fldChar w:fldCharType="end"/>
        </w:r>
      </w:hyperlink>
    </w:p>
    <w:p w14:paraId="11E8A306" w14:textId="6400A555"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35" w:history="1">
        <w:r w:rsidRPr="00747969">
          <w:rPr>
            <w:rStyle w:val="Hyperlink"/>
            <w:noProof/>
          </w:rPr>
          <w:t>Table 5</w:t>
        </w:r>
        <w:r w:rsidRPr="00747969">
          <w:rPr>
            <w:rStyle w:val="Hyperlink"/>
            <w:noProof/>
          </w:rPr>
          <w:noBreakHyphen/>
          <w:t>2:</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Summary of terrestrial fauna habitats mapped in Figure 5-6 (Source: KBR, 2023)</w:t>
        </w:r>
        <w:r>
          <w:rPr>
            <w:noProof/>
            <w:webHidden/>
          </w:rPr>
          <w:tab/>
        </w:r>
        <w:r>
          <w:rPr>
            <w:noProof/>
            <w:webHidden/>
          </w:rPr>
          <w:fldChar w:fldCharType="begin"/>
        </w:r>
        <w:r>
          <w:rPr>
            <w:noProof/>
            <w:webHidden/>
          </w:rPr>
          <w:instrText xml:space="preserve"> PAGEREF _Toc216699535 \h </w:instrText>
        </w:r>
        <w:r>
          <w:rPr>
            <w:noProof/>
            <w:webHidden/>
          </w:rPr>
        </w:r>
        <w:r>
          <w:rPr>
            <w:noProof/>
            <w:webHidden/>
          </w:rPr>
          <w:fldChar w:fldCharType="separate"/>
        </w:r>
        <w:r>
          <w:rPr>
            <w:noProof/>
            <w:webHidden/>
          </w:rPr>
          <w:t>34</w:t>
        </w:r>
        <w:r>
          <w:rPr>
            <w:noProof/>
            <w:webHidden/>
          </w:rPr>
          <w:fldChar w:fldCharType="end"/>
        </w:r>
      </w:hyperlink>
    </w:p>
    <w:p w14:paraId="24C2D381" w14:textId="5B3256AF"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36" w:history="1">
        <w:r w:rsidRPr="00747969">
          <w:rPr>
            <w:rStyle w:val="Hyperlink"/>
            <w:noProof/>
          </w:rPr>
          <w:t>Table 6</w:t>
        </w:r>
        <w:r w:rsidRPr="00747969">
          <w:rPr>
            <w:rStyle w:val="Hyperlink"/>
            <w:noProof/>
          </w:rPr>
          <w:noBreakHyphen/>
          <w:t>1:</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Options</w:t>
        </w:r>
        <w:r w:rsidRPr="00747969">
          <w:rPr>
            <w:rStyle w:val="Hyperlink"/>
            <w:noProof/>
            <w:spacing w:val="-3"/>
          </w:rPr>
          <w:t xml:space="preserve"> </w:t>
        </w:r>
        <w:r w:rsidRPr="00747969">
          <w:rPr>
            <w:rStyle w:val="Hyperlink"/>
            <w:noProof/>
          </w:rPr>
          <w:t>presented</w:t>
        </w:r>
        <w:r w:rsidRPr="00747969">
          <w:rPr>
            <w:rStyle w:val="Hyperlink"/>
            <w:noProof/>
            <w:spacing w:val="-2"/>
          </w:rPr>
          <w:t xml:space="preserve"> </w:t>
        </w:r>
        <w:r w:rsidRPr="00747969">
          <w:rPr>
            <w:rStyle w:val="Hyperlink"/>
            <w:noProof/>
          </w:rPr>
          <w:t>to</w:t>
        </w:r>
        <w:r w:rsidRPr="00747969">
          <w:rPr>
            <w:rStyle w:val="Hyperlink"/>
            <w:noProof/>
            <w:spacing w:val="-3"/>
          </w:rPr>
          <w:t xml:space="preserve"> </w:t>
        </w:r>
        <w:r w:rsidRPr="00747969">
          <w:rPr>
            <w:rStyle w:val="Hyperlink"/>
            <w:noProof/>
          </w:rPr>
          <w:t>SRG</w:t>
        </w:r>
        <w:r w:rsidRPr="00747969">
          <w:rPr>
            <w:rStyle w:val="Hyperlink"/>
            <w:noProof/>
            <w:spacing w:val="-2"/>
          </w:rPr>
          <w:t xml:space="preserve"> </w:t>
        </w:r>
        <w:r w:rsidRPr="00747969">
          <w:rPr>
            <w:rStyle w:val="Hyperlink"/>
            <w:noProof/>
          </w:rPr>
          <w:t>and</w:t>
        </w:r>
        <w:r w:rsidRPr="00747969">
          <w:rPr>
            <w:rStyle w:val="Hyperlink"/>
            <w:noProof/>
            <w:spacing w:val="-3"/>
          </w:rPr>
          <w:t xml:space="preserve"> </w:t>
        </w:r>
        <w:r w:rsidRPr="00747969">
          <w:rPr>
            <w:rStyle w:val="Hyperlink"/>
            <w:noProof/>
          </w:rPr>
          <w:t>feedback</w:t>
        </w:r>
        <w:r w:rsidRPr="00747969">
          <w:rPr>
            <w:rStyle w:val="Hyperlink"/>
            <w:noProof/>
            <w:spacing w:val="-2"/>
          </w:rPr>
          <w:t xml:space="preserve"> received</w:t>
        </w:r>
        <w:r>
          <w:rPr>
            <w:noProof/>
            <w:webHidden/>
          </w:rPr>
          <w:tab/>
        </w:r>
        <w:r>
          <w:rPr>
            <w:noProof/>
            <w:webHidden/>
          </w:rPr>
          <w:fldChar w:fldCharType="begin"/>
        </w:r>
        <w:r>
          <w:rPr>
            <w:noProof/>
            <w:webHidden/>
          </w:rPr>
          <w:instrText xml:space="preserve"> PAGEREF _Toc216699536 \h </w:instrText>
        </w:r>
        <w:r>
          <w:rPr>
            <w:noProof/>
            <w:webHidden/>
          </w:rPr>
        </w:r>
        <w:r>
          <w:rPr>
            <w:noProof/>
            <w:webHidden/>
          </w:rPr>
          <w:fldChar w:fldCharType="separate"/>
        </w:r>
        <w:r>
          <w:rPr>
            <w:noProof/>
            <w:webHidden/>
          </w:rPr>
          <w:t>38</w:t>
        </w:r>
        <w:r>
          <w:rPr>
            <w:noProof/>
            <w:webHidden/>
          </w:rPr>
          <w:fldChar w:fldCharType="end"/>
        </w:r>
      </w:hyperlink>
    </w:p>
    <w:p w14:paraId="6138C9C9" w14:textId="353AC920"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37" w:history="1">
        <w:r w:rsidRPr="00747969">
          <w:rPr>
            <w:rStyle w:val="Hyperlink"/>
            <w:noProof/>
          </w:rPr>
          <w:t>Table 6</w:t>
        </w:r>
        <w:r w:rsidRPr="00747969">
          <w:rPr>
            <w:rStyle w:val="Hyperlink"/>
            <w:noProof/>
          </w:rPr>
          <w:noBreakHyphen/>
          <w:t>2:</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Demographic</w:t>
        </w:r>
        <w:r w:rsidRPr="00747969">
          <w:rPr>
            <w:rStyle w:val="Hyperlink"/>
            <w:noProof/>
            <w:spacing w:val="-5"/>
          </w:rPr>
          <w:t xml:space="preserve"> </w:t>
        </w:r>
        <w:r w:rsidRPr="00747969">
          <w:rPr>
            <w:rStyle w:val="Hyperlink"/>
            <w:noProof/>
          </w:rPr>
          <w:t>profile,</w:t>
        </w:r>
        <w:r w:rsidRPr="00747969">
          <w:rPr>
            <w:rStyle w:val="Hyperlink"/>
            <w:noProof/>
            <w:spacing w:val="-3"/>
          </w:rPr>
          <w:t xml:space="preserve"> </w:t>
        </w:r>
        <w:r w:rsidRPr="00747969">
          <w:rPr>
            <w:rStyle w:val="Hyperlink"/>
            <w:noProof/>
          </w:rPr>
          <w:t>2021</w:t>
        </w:r>
        <w:r w:rsidRPr="00747969">
          <w:rPr>
            <w:rStyle w:val="Hyperlink"/>
            <w:noProof/>
            <w:spacing w:val="-4"/>
          </w:rPr>
          <w:t xml:space="preserve"> </w:t>
        </w:r>
        <w:r w:rsidRPr="00747969">
          <w:rPr>
            <w:rStyle w:val="Hyperlink"/>
            <w:noProof/>
            <w:spacing w:val="-2"/>
          </w:rPr>
          <w:t>census</w:t>
        </w:r>
        <w:r>
          <w:rPr>
            <w:noProof/>
            <w:webHidden/>
          </w:rPr>
          <w:tab/>
        </w:r>
        <w:r>
          <w:rPr>
            <w:noProof/>
            <w:webHidden/>
          </w:rPr>
          <w:fldChar w:fldCharType="begin"/>
        </w:r>
        <w:r>
          <w:rPr>
            <w:noProof/>
            <w:webHidden/>
          </w:rPr>
          <w:instrText xml:space="preserve"> PAGEREF _Toc216699537 \h </w:instrText>
        </w:r>
        <w:r>
          <w:rPr>
            <w:noProof/>
            <w:webHidden/>
          </w:rPr>
        </w:r>
        <w:r>
          <w:rPr>
            <w:noProof/>
            <w:webHidden/>
          </w:rPr>
          <w:fldChar w:fldCharType="separate"/>
        </w:r>
        <w:r>
          <w:rPr>
            <w:noProof/>
            <w:webHidden/>
          </w:rPr>
          <w:t>42</w:t>
        </w:r>
        <w:r>
          <w:rPr>
            <w:noProof/>
            <w:webHidden/>
          </w:rPr>
          <w:fldChar w:fldCharType="end"/>
        </w:r>
      </w:hyperlink>
    </w:p>
    <w:p w14:paraId="5AA220A0" w14:textId="379DE863"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38" w:history="1">
        <w:r w:rsidRPr="00747969">
          <w:rPr>
            <w:rStyle w:val="Hyperlink"/>
            <w:noProof/>
          </w:rPr>
          <w:t>Table 6</w:t>
        </w:r>
        <w:r w:rsidRPr="00747969">
          <w:rPr>
            <w:rStyle w:val="Hyperlink"/>
            <w:noProof/>
          </w:rPr>
          <w:noBreakHyphen/>
          <w:t>3:</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Value</w:t>
        </w:r>
        <w:r w:rsidRPr="00747969">
          <w:rPr>
            <w:rStyle w:val="Hyperlink"/>
            <w:noProof/>
            <w:spacing w:val="-6"/>
          </w:rPr>
          <w:t xml:space="preserve"> </w:t>
        </w:r>
        <w:r w:rsidRPr="00747969">
          <w:rPr>
            <w:rStyle w:val="Hyperlink"/>
            <w:noProof/>
          </w:rPr>
          <w:t>of</w:t>
        </w:r>
        <w:r w:rsidRPr="00747969">
          <w:rPr>
            <w:rStyle w:val="Hyperlink"/>
            <w:noProof/>
            <w:spacing w:val="-3"/>
          </w:rPr>
          <w:t xml:space="preserve"> </w:t>
        </w:r>
        <w:r w:rsidRPr="00747969">
          <w:rPr>
            <w:rStyle w:val="Hyperlink"/>
            <w:noProof/>
          </w:rPr>
          <w:t>recreational</w:t>
        </w:r>
        <w:r w:rsidRPr="00747969">
          <w:rPr>
            <w:rStyle w:val="Hyperlink"/>
            <w:noProof/>
            <w:spacing w:val="-3"/>
          </w:rPr>
          <w:t xml:space="preserve"> </w:t>
        </w:r>
        <w:r w:rsidRPr="00747969">
          <w:rPr>
            <w:rStyle w:val="Hyperlink"/>
            <w:noProof/>
          </w:rPr>
          <w:t>beach</w:t>
        </w:r>
        <w:r w:rsidRPr="00747969">
          <w:rPr>
            <w:rStyle w:val="Hyperlink"/>
            <w:noProof/>
            <w:spacing w:val="-3"/>
          </w:rPr>
          <w:t xml:space="preserve"> </w:t>
        </w:r>
        <w:r w:rsidRPr="00747969">
          <w:rPr>
            <w:rStyle w:val="Hyperlink"/>
            <w:noProof/>
          </w:rPr>
          <w:t>activities</w:t>
        </w:r>
        <w:r w:rsidRPr="00747969">
          <w:rPr>
            <w:rStyle w:val="Hyperlink"/>
            <w:noProof/>
            <w:spacing w:val="-4"/>
          </w:rPr>
          <w:t xml:space="preserve"> </w:t>
        </w:r>
        <w:r w:rsidRPr="00747969">
          <w:rPr>
            <w:rStyle w:val="Hyperlink"/>
            <w:noProof/>
          </w:rPr>
          <w:t>(2025</w:t>
        </w:r>
        <w:r w:rsidRPr="00747969">
          <w:rPr>
            <w:rStyle w:val="Hyperlink"/>
            <w:noProof/>
            <w:spacing w:val="-3"/>
          </w:rPr>
          <w:t xml:space="preserve"> </w:t>
        </w:r>
        <w:r w:rsidRPr="00747969">
          <w:rPr>
            <w:rStyle w:val="Hyperlink"/>
            <w:noProof/>
            <w:spacing w:val="-2"/>
          </w:rPr>
          <w:t>dollars)</w:t>
        </w:r>
        <w:r>
          <w:rPr>
            <w:noProof/>
            <w:webHidden/>
          </w:rPr>
          <w:tab/>
        </w:r>
        <w:r>
          <w:rPr>
            <w:noProof/>
            <w:webHidden/>
          </w:rPr>
          <w:fldChar w:fldCharType="begin"/>
        </w:r>
        <w:r>
          <w:rPr>
            <w:noProof/>
            <w:webHidden/>
          </w:rPr>
          <w:instrText xml:space="preserve"> PAGEREF _Toc216699538 \h </w:instrText>
        </w:r>
        <w:r>
          <w:rPr>
            <w:noProof/>
            <w:webHidden/>
          </w:rPr>
        </w:r>
        <w:r>
          <w:rPr>
            <w:noProof/>
            <w:webHidden/>
          </w:rPr>
          <w:fldChar w:fldCharType="separate"/>
        </w:r>
        <w:r>
          <w:rPr>
            <w:noProof/>
            <w:webHidden/>
          </w:rPr>
          <w:t>45</w:t>
        </w:r>
        <w:r>
          <w:rPr>
            <w:noProof/>
            <w:webHidden/>
          </w:rPr>
          <w:fldChar w:fldCharType="end"/>
        </w:r>
      </w:hyperlink>
    </w:p>
    <w:p w14:paraId="18CA7697" w14:textId="64EDC8BC"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39" w:history="1">
        <w:r w:rsidRPr="00747969">
          <w:rPr>
            <w:rStyle w:val="Hyperlink"/>
            <w:noProof/>
          </w:rPr>
          <w:t>Table 7</w:t>
        </w:r>
        <w:r w:rsidRPr="00747969">
          <w:rPr>
            <w:rStyle w:val="Hyperlink"/>
            <w:noProof/>
          </w:rPr>
          <w:noBreakHyphen/>
          <w:t xml:space="preserve">1: </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Current operational workflow</w:t>
        </w:r>
        <w:r>
          <w:rPr>
            <w:noProof/>
            <w:webHidden/>
          </w:rPr>
          <w:tab/>
        </w:r>
        <w:r>
          <w:rPr>
            <w:noProof/>
            <w:webHidden/>
          </w:rPr>
          <w:fldChar w:fldCharType="begin"/>
        </w:r>
        <w:r>
          <w:rPr>
            <w:noProof/>
            <w:webHidden/>
          </w:rPr>
          <w:instrText xml:space="preserve"> PAGEREF _Toc216699539 \h </w:instrText>
        </w:r>
        <w:r>
          <w:rPr>
            <w:noProof/>
            <w:webHidden/>
          </w:rPr>
        </w:r>
        <w:r>
          <w:rPr>
            <w:noProof/>
            <w:webHidden/>
          </w:rPr>
          <w:fldChar w:fldCharType="separate"/>
        </w:r>
        <w:r>
          <w:rPr>
            <w:noProof/>
            <w:webHidden/>
          </w:rPr>
          <w:t>46</w:t>
        </w:r>
        <w:r>
          <w:rPr>
            <w:noProof/>
            <w:webHidden/>
          </w:rPr>
          <w:fldChar w:fldCharType="end"/>
        </w:r>
      </w:hyperlink>
    </w:p>
    <w:p w14:paraId="2A3437E1" w14:textId="14BE34CD"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40" w:history="1">
        <w:r w:rsidRPr="00747969">
          <w:rPr>
            <w:rStyle w:val="Hyperlink"/>
            <w:noProof/>
          </w:rPr>
          <w:t>Table 10</w:t>
        </w:r>
        <w:r w:rsidRPr="00747969">
          <w:rPr>
            <w:rStyle w:val="Hyperlink"/>
            <w:noProof/>
          </w:rPr>
          <w:noBreakHyphen/>
          <w:t xml:space="preserve">1: </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Existing dredging strategy</w:t>
        </w:r>
        <w:r>
          <w:rPr>
            <w:noProof/>
            <w:webHidden/>
          </w:rPr>
          <w:tab/>
        </w:r>
        <w:r>
          <w:rPr>
            <w:noProof/>
            <w:webHidden/>
          </w:rPr>
          <w:fldChar w:fldCharType="begin"/>
        </w:r>
        <w:r>
          <w:rPr>
            <w:noProof/>
            <w:webHidden/>
          </w:rPr>
          <w:instrText xml:space="preserve"> PAGEREF _Toc216699540 \h </w:instrText>
        </w:r>
        <w:r>
          <w:rPr>
            <w:noProof/>
            <w:webHidden/>
          </w:rPr>
        </w:r>
        <w:r>
          <w:rPr>
            <w:noProof/>
            <w:webHidden/>
          </w:rPr>
          <w:fldChar w:fldCharType="separate"/>
        </w:r>
        <w:r>
          <w:rPr>
            <w:noProof/>
            <w:webHidden/>
          </w:rPr>
          <w:t>52</w:t>
        </w:r>
        <w:r>
          <w:rPr>
            <w:noProof/>
            <w:webHidden/>
          </w:rPr>
          <w:fldChar w:fldCharType="end"/>
        </w:r>
      </w:hyperlink>
    </w:p>
    <w:p w14:paraId="30506EFB" w14:textId="6FC195DB"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41" w:history="1">
        <w:r w:rsidRPr="00747969">
          <w:rPr>
            <w:rStyle w:val="Hyperlink"/>
            <w:noProof/>
          </w:rPr>
          <w:t>Table 10</w:t>
        </w:r>
        <w:r w:rsidRPr="00747969">
          <w:rPr>
            <w:rStyle w:val="Hyperlink"/>
            <w:noProof/>
          </w:rPr>
          <w:noBreakHyphen/>
          <w:t>2:</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Contract</w:t>
        </w:r>
        <w:r w:rsidRPr="00747969">
          <w:rPr>
            <w:rStyle w:val="Hyperlink"/>
            <w:noProof/>
            <w:spacing w:val="-1"/>
          </w:rPr>
          <w:t xml:space="preserve"> </w:t>
        </w:r>
        <w:r w:rsidRPr="00747969">
          <w:rPr>
            <w:rStyle w:val="Hyperlink"/>
            <w:noProof/>
          </w:rPr>
          <w:t>Dredge</w:t>
        </w:r>
        <w:r w:rsidRPr="00747969">
          <w:rPr>
            <w:rStyle w:val="Hyperlink"/>
            <w:noProof/>
            <w:spacing w:val="-3"/>
          </w:rPr>
          <w:t xml:space="preserve"> </w:t>
        </w:r>
        <w:r w:rsidRPr="00747969">
          <w:rPr>
            <w:rStyle w:val="Hyperlink"/>
            <w:noProof/>
          </w:rPr>
          <w:t>on</w:t>
        </w:r>
        <w:r w:rsidRPr="00747969">
          <w:rPr>
            <w:rStyle w:val="Hyperlink"/>
            <w:noProof/>
            <w:spacing w:val="-1"/>
          </w:rPr>
          <w:t xml:space="preserve"> </w:t>
        </w:r>
        <w:r w:rsidRPr="00747969">
          <w:rPr>
            <w:rStyle w:val="Hyperlink"/>
            <w:noProof/>
          </w:rPr>
          <w:t>Standy</w:t>
        </w:r>
        <w:r w:rsidRPr="00747969">
          <w:rPr>
            <w:rStyle w:val="Hyperlink"/>
            <w:noProof/>
            <w:spacing w:val="-4"/>
          </w:rPr>
          <w:t xml:space="preserve"> </w:t>
        </w:r>
        <w:r w:rsidRPr="00747969">
          <w:rPr>
            <w:rStyle w:val="Hyperlink"/>
            <w:noProof/>
          </w:rPr>
          <w:t>(365</w:t>
        </w:r>
        <w:r w:rsidRPr="00747969">
          <w:rPr>
            <w:rStyle w:val="Hyperlink"/>
            <w:noProof/>
            <w:spacing w:val="-2"/>
          </w:rPr>
          <w:t xml:space="preserve"> </w:t>
        </w:r>
        <w:r w:rsidRPr="00747969">
          <w:rPr>
            <w:rStyle w:val="Hyperlink"/>
            <w:noProof/>
          </w:rPr>
          <w:t>days</w:t>
        </w:r>
        <w:r w:rsidRPr="00747969">
          <w:rPr>
            <w:rStyle w:val="Hyperlink"/>
            <w:noProof/>
            <w:spacing w:val="-3"/>
          </w:rPr>
          <w:t xml:space="preserve"> </w:t>
        </w:r>
        <w:r w:rsidRPr="00747969">
          <w:rPr>
            <w:rStyle w:val="Hyperlink"/>
            <w:noProof/>
          </w:rPr>
          <w:t xml:space="preserve">per </w:t>
        </w:r>
        <w:r w:rsidRPr="00747969">
          <w:rPr>
            <w:rStyle w:val="Hyperlink"/>
            <w:noProof/>
            <w:spacing w:val="-4"/>
          </w:rPr>
          <w:t>year)</w:t>
        </w:r>
        <w:r>
          <w:rPr>
            <w:noProof/>
            <w:webHidden/>
          </w:rPr>
          <w:tab/>
        </w:r>
        <w:r>
          <w:rPr>
            <w:noProof/>
            <w:webHidden/>
          </w:rPr>
          <w:fldChar w:fldCharType="begin"/>
        </w:r>
        <w:r>
          <w:rPr>
            <w:noProof/>
            <w:webHidden/>
          </w:rPr>
          <w:instrText xml:space="preserve"> PAGEREF _Toc216699541 \h </w:instrText>
        </w:r>
        <w:r>
          <w:rPr>
            <w:noProof/>
            <w:webHidden/>
          </w:rPr>
        </w:r>
        <w:r>
          <w:rPr>
            <w:noProof/>
            <w:webHidden/>
          </w:rPr>
          <w:fldChar w:fldCharType="separate"/>
        </w:r>
        <w:r>
          <w:rPr>
            <w:noProof/>
            <w:webHidden/>
          </w:rPr>
          <w:t>53</w:t>
        </w:r>
        <w:r>
          <w:rPr>
            <w:noProof/>
            <w:webHidden/>
          </w:rPr>
          <w:fldChar w:fldCharType="end"/>
        </w:r>
      </w:hyperlink>
    </w:p>
    <w:p w14:paraId="18BE6E86" w14:textId="1DAE6AC3"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42" w:history="1">
        <w:r w:rsidRPr="00747969">
          <w:rPr>
            <w:rStyle w:val="Hyperlink"/>
            <w:noProof/>
          </w:rPr>
          <w:t>Table 10</w:t>
        </w:r>
        <w:r w:rsidRPr="00747969">
          <w:rPr>
            <w:rStyle w:val="Hyperlink"/>
            <w:noProof/>
          </w:rPr>
          <w:noBreakHyphen/>
          <w:t>3:</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Use</w:t>
        </w:r>
        <w:r w:rsidRPr="00747969">
          <w:rPr>
            <w:rStyle w:val="Hyperlink"/>
            <w:noProof/>
            <w:spacing w:val="-1"/>
          </w:rPr>
          <w:t xml:space="preserve"> </w:t>
        </w:r>
        <w:r w:rsidRPr="00747969">
          <w:rPr>
            <w:rStyle w:val="Hyperlink"/>
            <w:noProof/>
          </w:rPr>
          <w:t>of</w:t>
        </w:r>
        <w:r w:rsidRPr="00747969">
          <w:rPr>
            <w:rStyle w:val="Hyperlink"/>
            <w:noProof/>
            <w:spacing w:val="-2"/>
          </w:rPr>
          <w:t xml:space="preserve"> </w:t>
        </w:r>
        <w:r w:rsidRPr="00747969">
          <w:rPr>
            <w:rStyle w:val="Hyperlink"/>
            <w:noProof/>
          </w:rPr>
          <w:t>Trailer</w:t>
        </w:r>
        <w:r w:rsidRPr="00747969">
          <w:rPr>
            <w:rStyle w:val="Hyperlink"/>
            <w:noProof/>
            <w:spacing w:val="-3"/>
          </w:rPr>
          <w:t xml:space="preserve"> </w:t>
        </w:r>
        <w:r w:rsidRPr="00747969">
          <w:rPr>
            <w:rStyle w:val="Hyperlink"/>
            <w:noProof/>
          </w:rPr>
          <w:t>Suction</w:t>
        </w:r>
        <w:r w:rsidRPr="00747969">
          <w:rPr>
            <w:rStyle w:val="Hyperlink"/>
            <w:noProof/>
            <w:spacing w:val="-2"/>
          </w:rPr>
          <w:t xml:space="preserve"> </w:t>
        </w:r>
        <w:r w:rsidRPr="00747969">
          <w:rPr>
            <w:rStyle w:val="Hyperlink"/>
            <w:noProof/>
          </w:rPr>
          <w:t>Hopper</w:t>
        </w:r>
        <w:r w:rsidRPr="00747969">
          <w:rPr>
            <w:rStyle w:val="Hyperlink"/>
            <w:noProof/>
            <w:spacing w:val="-2"/>
          </w:rPr>
          <w:t xml:space="preserve"> </w:t>
        </w:r>
        <w:r w:rsidRPr="00747969">
          <w:rPr>
            <w:rStyle w:val="Hyperlink"/>
            <w:noProof/>
          </w:rPr>
          <w:t>Dredger</w:t>
        </w:r>
        <w:r w:rsidRPr="00747969">
          <w:rPr>
            <w:rStyle w:val="Hyperlink"/>
            <w:noProof/>
            <w:spacing w:val="-1"/>
          </w:rPr>
          <w:t xml:space="preserve"> </w:t>
        </w:r>
        <w:r w:rsidRPr="00747969">
          <w:rPr>
            <w:rStyle w:val="Hyperlink"/>
            <w:noProof/>
            <w:spacing w:val="-2"/>
          </w:rPr>
          <w:t>(TSHD)</w:t>
        </w:r>
        <w:r>
          <w:rPr>
            <w:noProof/>
            <w:webHidden/>
          </w:rPr>
          <w:tab/>
        </w:r>
        <w:r>
          <w:rPr>
            <w:noProof/>
            <w:webHidden/>
          </w:rPr>
          <w:fldChar w:fldCharType="begin"/>
        </w:r>
        <w:r>
          <w:rPr>
            <w:noProof/>
            <w:webHidden/>
          </w:rPr>
          <w:instrText xml:space="preserve"> PAGEREF _Toc216699542 \h </w:instrText>
        </w:r>
        <w:r>
          <w:rPr>
            <w:noProof/>
            <w:webHidden/>
          </w:rPr>
        </w:r>
        <w:r>
          <w:rPr>
            <w:noProof/>
            <w:webHidden/>
          </w:rPr>
          <w:fldChar w:fldCharType="separate"/>
        </w:r>
        <w:r>
          <w:rPr>
            <w:noProof/>
            <w:webHidden/>
          </w:rPr>
          <w:t>53</w:t>
        </w:r>
        <w:r>
          <w:rPr>
            <w:noProof/>
            <w:webHidden/>
          </w:rPr>
          <w:fldChar w:fldCharType="end"/>
        </w:r>
      </w:hyperlink>
    </w:p>
    <w:p w14:paraId="5CA2CE43" w14:textId="5A9A6A94"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43" w:history="1">
        <w:r w:rsidRPr="00747969">
          <w:rPr>
            <w:rStyle w:val="Hyperlink"/>
            <w:noProof/>
          </w:rPr>
          <w:t>Table 10</w:t>
        </w:r>
        <w:r w:rsidRPr="00747969">
          <w:rPr>
            <w:rStyle w:val="Hyperlink"/>
            <w:noProof/>
          </w:rPr>
          <w:noBreakHyphen/>
          <w:t>4:</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Use</w:t>
        </w:r>
        <w:r w:rsidRPr="00747969">
          <w:rPr>
            <w:rStyle w:val="Hyperlink"/>
            <w:noProof/>
            <w:spacing w:val="-1"/>
          </w:rPr>
          <w:t xml:space="preserve"> </w:t>
        </w:r>
        <w:r w:rsidRPr="00747969">
          <w:rPr>
            <w:rStyle w:val="Hyperlink"/>
            <w:noProof/>
          </w:rPr>
          <w:t>of</w:t>
        </w:r>
        <w:r w:rsidRPr="00747969">
          <w:rPr>
            <w:rStyle w:val="Hyperlink"/>
            <w:noProof/>
            <w:spacing w:val="-1"/>
          </w:rPr>
          <w:t xml:space="preserve"> </w:t>
        </w:r>
        <w:r w:rsidRPr="00747969">
          <w:rPr>
            <w:rStyle w:val="Hyperlink"/>
            <w:noProof/>
          </w:rPr>
          <w:t>jack-up</w:t>
        </w:r>
        <w:r w:rsidRPr="00747969">
          <w:rPr>
            <w:rStyle w:val="Hyperlink"/>
            <w:noProof/>
            <w:spacing w:val="-1"/>
          </w:rPr>
          <w:t xml:space="preserve"> </w:t>
        </w:r>
        <w:r w:rsidRPr="00747969">
          <w:rPr>
            <w:rStyle w:val="Hyperlink"/>
            <w:noProof/>
          </w:rPr>
          <w:t>barge</w:t>
        </w:r>
        <w:r w:rsidRPr="00747969">
          <w:rPr>
            <w:rStyle w:val="Hyperlink"/>
            <w:noProof/>
            <w:spacing w:val="-2"/>
          </w:rPr>
          <w:t xml:space="preserve"> option</w:t>
        </w:r>
        <w:r>
          <w:rPr>
            <w:noProof/>
            <w:webHidden/>
          </w:rPr>
          <w:tab/>
        </w:r>
        <w:r>
          <w:rPr>
            <w:noProof/>
            <w:webHidden/>
          </w:rPr>
          <w:fldChar w:fldCharType="begin"/>
        </w:r>
        <w:r>
          <w:rPr>
            <w:noProof/>
            <w:webHidden/>
          </w:rPr>
          <w:instrText xml:space="preserve"> PAGEREF _Toc216699543 \h </w:instrText>
        </w:r>
        <w:r>
          <w:rPr>
            <w:noProof/>
            <w:webHidden/>
          </w:rPr>
        </w:r>
        <w:r>
          <w:rPr>
            <w:noProof/>
            <w:webHidden/>
          </w:rPr>
          <w:fldChar w:fldCharType="separate"/>
        </w:r>
        <w:r>
          <w:rPr>
            <w:noProof/>
            <w:webHidden/>
          </w:rPr>
          <w:t>54</w:t>
        </w:r>
        <w:r>
          <w:rPr>
            <w:noProof/>
            <w:webHidden/>
          </w:rPr>
          <w:fldChar w:fldCharType="end"/>
        </w:r>
      </w:hyperlink>
    </w:p>
    <w:p w14:paraId="6CCFDA65" w14:textId="669CEBFE"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44" w:history="1">
        <w:r w:rsidRPr="00747969">
          <w:rPr>
            <w:rStyle w:val="Hyperlink"/>
            <w:noProof/>
          </w:rPr>
          <w:t>Table 10</w:t>
        </w:r>
        <w:r w:rsidRPr="00747969">
          <w:rPr>
            <w:rStyle w:val="Hyperlink"/>
            <w:noProof/>
          </w:rPr>
          <w:noBreakHyphen/>
          <w:t>5:</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Use</w:t>
        </w:r>
        <w:r w:rsidRPr="00747969">
          <w:rPr>
            <w:rStyle w:val="Hyperlink"/>
            <w:noProof/>
            <w:spacing w:val="-2"/>
          </w:rPr>
          <w:t xml:space="preserve"> </w:t>
        </w:r>
        <w:r w:rsidRPr="00747969">
          <w:rPr>
            <w:rStyle w:val="Hyperlink"/>
            <w:noProof/>
          </w:rPr>
          <w:t>of</w:t>
        </w:r>
        <w:r w:rsidRPr="00747969">
          <w:rPr>
            <w:rStyle w:val="Hyperlink"/>
            <w:noProof/>
            <w:spacing w:val="-1"/>
          </w:rPr>
          <w:t xml:space="preserve"> </w:t>
        </w:r>
        <w:r w:rsidRPr="00747969">
          <w:rPr>
            <w:rStyle w:val="Hyperlink"/>
            <w:noProof/>
          </w:rPr>
          <w:t>bed-levelling</w:t>
        </w:r>
        <w:r w:rsidRPr="00747969">
          <w:rPr>
            <w:rStyle w:val="Hyperlink"/>
            <w:noProof/>
            <w:spacing w:val="-2"/>
          </w:rPr>
          <w:t xml:space="preserve"> option</w:t>
        </w:r>
        <w:r>
          <w:rPr>
            <w:noProof/>
            <w:webHidden/>
          </w:rPr>
          <w:tab/>
        </w:r>
        <w:r>
          <w:rPr>
            <w:noProof/>
            <w:webHidden/>
          </w:rPr>
          <w:fldChar w:fldCharType="begin"/>
        </w:r>
        <w:r>
          <w:rPr>
            <w:noProof/>
            <w:webHidden/>
          </w:rPr>
          <w:instrText xml:space="preserve"> PAGEREF _Toc216699544 \h </w:instrText>
        </w:r>
        <w:r>
          <w:rPr>
            <w:noProof/>
            <w:webHidden/>
          </w:rPr>
        </w:r>
        <w:r>
          <w:rPr>
            <w:noProof/>
            <w:webHidden/>
          </w:rPr>
          <w:fldChar w:fldCharType="separate"/>
        </w:r>
        <w:r>
          <w:rPr>
            <w:noProof/>
            <w:webHidden/>
          </w:rPr>
          <w:t>54</w:t>
        </w:r>
        <w:r>
          <w:rPr>
            <w:noProof/>
            <w:webHidden/>
          </w:rPr>
          <w:fldChar w:fldCharType="end"/>
        </w:r>
      </w:hyperlink>
    </w:p>
    <w:p w14:paraId="7CFA50C5" w14:textId="4C869D9E"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45" w:history="1">
        <w:r w:rsidRPr="00747969">
          <w:rPr>
            <w:rStyle w:val="Hyperlink"/>
            <w:noProof/>
          </w:rPr>
          <w:t>Table 12</w:t>
        </w:r>
        <w:r w:rsidRPr="00747969">
          <w:rPr>
            <w:rStyle w:val="Hyperlink"/>
            <w:noProof/>
          </w:rPr>
          <w:noBreakHyphen/>
          <w:t>1:</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MCA scoring criteria</w:t>
        </w:r>
        <w:r>
          <w:rPr>
            <w:noProof/>
            <w:webHidden/>
          </w:rPr>
          <w:tab/>
        </w:r>
        <w:r>
          <w:rPr>
            <w:noProof/>
            <w:webHidden/>
          </w:rPr>
          <w:fldChar w:fldCharType="begin"/>
        </w:r>
        <w:r>
          <w:rPr>
            <w:noProof/>
            <w:webHidden/>
          </w:rPr>
          <w:instrText xml:space="preserve"> PAGEREF _Toc216699545 \h </w:instrText>
        </w:r>
        <w:r>
          <w:rPr>
            <w:noProof/>
            <w:webHidden/>
          </w:rPr>
        </w:r>
        <w:r>
          <w:rPr>
            <w:noProof/>
            <w:webHidden/>
          </w:rPr>
          <w:fldChar w:fldCharType="separate"/>
        </w:r>
        <w:r>
          <w:rPr>
            <w:noProof/>
            <w:webHidden/>
          </w:rPr>
          <w:t>69</w:t>
        </w:r>
        <w:r>
          <w:rPr>
            <w:noProof/>
            <w:webHidden/>
          </w:rPr>
          <w:fldChar w:fldCharType="end"/>
        </w:r>
      </w:hyperlink>
    </w:p>
    <w:p w14:paraId="29F98DFA" w14:textId="002CECBF"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46" w:history="1">
        <w:r w:rsidRPr="00747969">
          <w:rPr>
            <w:rStyle w:val="Hyperlink"/>
            <w:noProof/>
          </w:rPr>
          <w:t>Table 12</w:t>
        </w:r>
        <w:r w:rsidRPr="00747969">
          <w:rPr>
            <w:rStyle w:val="Hyperlink"/>
            <w:noProof/>
          </w:rPr>
          <w:noBreakHyphen/>
          <w:t>2:</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MCA scoring</w:t>
        </w:r>
        <w:r>
          <w:rPr>
            <w:noProof/>
            <w:webHidden/>
          </w:rPr>
          <w:tab/>
        </w:r>
        <w:r>
          <w:rPr>
            <w:noProof/>
            <w:webHidden/>
          </w:rPr>
          <w:fldChar w:fldCharType="begin"/>
        </w:r>
        <w:r>
          <w:rPr>
            <w:noProof/>
            <w:webHidden/>
          </w:rPr>
          <w:instrText xml:space="preserve"> PAGEREF _Toc216699546 \h </w:instrText>
        </w:r>
        <w:r>
          <w:rPr>
            <w:noProof/>
            <w:webHidden/>
          </w:rPr>
        </w:r>
        <w:r>
          <w:rPr>
            <w:noProof/>
            <w:webHidden/>
          </w:rPr>
          <w:fldChar w:fldCharType="separate"/>
        </w:r>
        <w:r>
          <w:rPr>
            <w:noProof/>
            <w:webHidden/>
          </w:rPr>
          <w:t>69</w:t>
        </w:r>
        <w:r>
          <w:rPr>
            <w:noProof/>
            <w:webHidden/>
          </w:rPr>
          <w:fldChar w:fldCharType="end"/>
        </w:r>
      </w:hyperlink>
    </w:p>
    <w:p w14:paraId="65C885C3" w14:textId="7DB87C20"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47" w:history="1">
        <w:r w:rsidRPr="00747969">
          <w:rPr>
            <w:rStyle w:val="Hyperlink"/>
            <w:noProof/>
          </w:rPr>
          <w:t>Table 12</w:t>
        </w:r>
        <w:r w:rsidRPr="00747969">
          <w:rPr>
            <w:rStyle w:val="Hyperlink"/>
            <w:noProof/>
          </w:rPr>
          <w:noBreakHyphen/>
          <w:t>3:</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Impacts description</w:t>
        </w:r>
        <w:r>
          <w:rPr>
            <w:noProof/>
            <w:webHidden/>
          </w:rPr>
          <w:tab/>
        </w:r>
        <w:r>
          <w:rPr>
            <w:noProof/>
            <w:webHidden/>
          </w:rPr>
          <w:fldChar w:fldCharType="begin"/>
        </w:r>
        <w:r>
          <w:rPr>
            <w:noProof/>
            <w:webHidden/>
          </w:rPr>
          <w:instrText xml:space="preserve"> PAGEREF _Toc216699547 \h </w:instrText>
        </w:r>
        <w:r>
          <w:rPr>
            <w:noProof/>
            <w:webHidden/>
          </w:rPr>
        </w:r>
        <w:r>
          <w:rPr>
            <w:noProof/>
            <w:webHidden/>
          </w:rPr>
          <w:fldChar w:fldCharType="separate"/>
        </w:r>
        <w:r>
          <w:rPr>
            <w:noProof/>
            <w:webHidden/>
          </w:rPr>
          <w:t>70</w:t>
        </w:r>
        <w:r>
          <w:rPr>
            <w:noProof/>
            <w:webHidden/>
          </w:rPr>
          <w:fldChar w:fldCharType="end"/>
        </w:r>
      </w:hyperlink>
    </w:p>
    <w:p w14:paraId="58C070CA" w14:textId="034FE493"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48" w:history="1">
        <w:r w:rsidRPr="00747969">
          <w:rPr>
            <w:rStyle w:val="Hyperlink"/>
            <w:noProof/>
          </w:rPr>
          <w:t>Table 13</w:t>
        </w:r>
        <w:r w:rsidRPr="00747969">
          <w:rPr>
            <w:rStyle w:val="Hyperlink"/>
            <w:noProof/>
          </w:rPr>
          <w:noBreakHyphen/>
          <w:t>1:</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Constraints</w:t>
        </w:r>
        <w:r w:rsidRPr="00747969">
          <w:rPr>
            <w:rStyle w:val="Hyperlink"/>
            <w:noProof/>
            <w:spacing w:val="-3"/>
          </w:rPr>
          <w:t xml:space="preserve"> </w:t>
        </w:r>
        <w:r w:rsidRPr="00747969">
          <w:rPr>
            <w:rStyle w:val="Hyperlink"/>
            <w:noProof/>
          </w:rPr>
          <w:t>analysis</w:t>
        </w:r>
        <w:r w:rsidRPr="00747969">
          <w:rPr>
            <w:rStyle w:val="Hyperlink"/>
            <w:noProof/>
            <w:spacing w:val="-2"/>
          </w:rPr>
          <w:t xml:space="preserve"> criteria</w:t>
        </w:r>
        <w:r>
          <w:rPr>
            <w:noProof/>
            <w:webHidden/>
          </w:rPr>
          <w:tab/>
        </w:r>
        <w:r>
          <w:rPr>
            <w:noProof/>
            <w:webHidden/>
          </w:rPr>
          <w:fldChar w:fldCharType="begin"/>
        </w:r>
        <w:r>
          <w:rPr>
            <w:noProof/>
            <w:webHidden/>
          </w:rPr>
          <w:instrText xml:space="preserve"> PAGEREF _Toc216699548 \h </w:instrText>
        </w:r>
        <w:r>
          <w:rPr>
            <w:noProof/>
            <w:webHidden/>
          </w:rPr>
        </w:r>
        <w:r>
          <w:rPr>
            <w:noProof/>
            <w:webHidden/>
          </w:rPr>
          <w:fldChar w:fldCharType="separate"/>
        </w:r>
        <w:r>
          <w:rPr>
            <w:noProof/>
            <w:webHidden/>
          </w:rPr>
          <w:t>87</w:t>
        </w:r>
        <w:r>
          <w:rPr>
            <w:noProof/>
            <w:webHidden/>
          </w:rPr>
          <w:fldChar w:fldCharType="end"/>
        </w:r>
      </w:hyperlink>
    </w:p>
    <w:p w14:paraId="69B3E540" w14:textId="50AF7151"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49" w:history="1">
        <w:r w:rsidRPr="00747969">
          <w:rPr>
            <w:rStyle w:val="Hyperlink"/>
            <w:noProof/>
          </w:rPr>
          <w:t>Table 13</w:t>
        </w:r>
        <w:r w:rsidRPr="00747969">
          <w:rPr>
            <w:rStyle w:val="Hyperlink"/>
            <w:noProof/>
          </w:rPr>
          <w:noBreakHyphen/>
          <w:t>2:</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Environmental</w:t>
        </w:r>
        <w:r w:rsidRPr="00747969">
          <w:rPr>
            <w:rStyle w:val="Hyperlink"/>
            <w:noProof/>
            <w:spacing w:val="-2"/>
          </w:rPr>
          <w:t xml:space="preserve"> </w:t>
        </w:r>
        <w:r w:rsidRPr="00747969">
          <w:rPr>
            <w:rStyle w:val="Hyperlink"/>
            <w:noProof/>
          </w:rPr>
          <w:t>constraints</w:t>
        </w:r>
        <w:r w:rsidRPr="00747969">
          <w:rPr>
            <w:rStyle w:val="Hyperlink"/>
            <w:noProof/>
            <w:spacing w:val="-3"/>
          </w:rPr>
          <w:t xml:space="preserve"> </w:t>
        </w:r>
        <w:r w:rsidRPr="00747969">
          <w:rPr>
            <w:rStyle w:val="Hyperlink"/>
            <w:noProof/>
          </w:rPr>
          <w:t>for</w:t>
        </w:r>
        <w:r w:rsidRPr="00747969">
          <w:rPr>
            <w:rStyle w:val="Hyperlink"/>
            <w:noProof/>
            <w:spacing w:val="-4"/>
          </w:rPr>
          <w:t xml:space="preserve"> </w:t>
        </w:r>
        <w:r w:rsidRPr="00747969">
          <w:rPr>
            <w:rStyle w:val="Hyperlink"/>
            <w:noProof/>
          </w:rPr>
          <w:t>Buddina</w:t>
        </w:r>
        <w:r w:rsidRPr="00747969">
          <w:rPr>
            <w:rStyle w:val="Hyperlink"/>
            <w:noProof/>
            <w:spacing w:val="-3"/>
          </w:rPr>
          <w:t xml:space="preserve"> </w:t>
        </w:r>
        <w:r w:rsidRPr="00747969">
          <w:rPr>
            <w:rStyle w:val="Hyperlink"/>
            <w:noProof/>
          </w:rPr>
          <w:t>Beach</w:t>
        </w:r>
        <w:r w:rsidRPr="00747969">
          <w:rPr>
            <w:rStyle w:val="Hyperlink"/>
            <w:noProof/>
            <w:spacing w:val="-2"/>
          </w:rPr>
          <w:t xml:space="preserve"> </w:t>
        </w:r>
        <w:r w:rsidRPr="00747969">
          <w:rPr>
            <w:rStyle w:val="Hyperlink"/>
            <w:noProof/>
          </w:rPr>
          <w:t>Sand</w:t>
        </w:r>
        <w:r w:rsidRPr="00747969">
          <w:rPr>
            <w:rStyle w:val="Hyperlink"/>
            <w:noProof/>
            <w:spacing w:val="-2"/>
          </w:rPr>
          <w:t xml:space="preserve"> </w:t>
        </w:r>
        <w:r w:rsidRPr="00747969">
          <w:rPr>
            <w:rStyle w:val="Hyperlink"/>
            <w:noProof/>
          </w:rPr>
          <w:t>Trap</w:t>
        </w:r>
        <w:r w:rsidRPr="00747969">
          <w:rPr>
            <w:rStyle w:val="Hyperlink"/>
            <w:noProof/>
            <w:spacing w:val="-2"/>
          </w:rPr>
          <w:t xml:space="preserve"> </w:t>
        </w:r>
        <w:r w:rsidRPr="00747969">
          <w:rPr>
            <w:rStyle w:val="Hyperlink"/>
            <w:noProof/>
          </w:rPr>
          <w:t>(Option</w:t>
        </w:r>
        <w:r w:rsidRPr="00747969">
          <w:rPr>
            <w:rStyle w:val="Hyperlink"/>
            <w:noProof/>
            <w:spacing w:val="-3"/>
          </w:rPr>
          <w:t xml:space="preserve"> </w:t>
        </w:r>
        <w:r w:rsidRPr="00747969">
          <w:rPr>
            <w:rStyle w:val="Hyperlink"/>
            <w:noProof/>
            <w:spacing w:val="-5"/>
          </w:rPr>
          <w:t>1A)</w:t>
        </w:r>
        <w:r>
          <w:rPr>
            <w:noProof/>
            <w:webHidden/>
          </w:rPr>
          <w:tab/>
        </w:r>
        <w:r>
          <w:rPr>
            <w:noProof/>
            <w:webHidden/>
          </w:rPr>
          <w:fldChar w:fldCharType="begin"/>
        </w:r>
        <w:r>
          <w:rPr>
            <w:noProof/>
            <w:webHidden/>
          </w:rPr>
          <w:instrText xml:space="preserve"> PAGEREF _Toc216699549 \h </w:instrText>
        </w:r>
        <w:r>
          <w:rPr>
            <w:noProof/>
            <w:webHidden/>
          </w:rPr>
        </w:r>
        <w:r>
          <w:rPr>
            <w:noProof/>
            <w:webHidden/>
          </w:rPr>
          <w:fldChar w:fldCharType="separate"/>
        </w:r>
        <w:r>
          <w:rPr>
            <w:noProof/>
            <w:webHidden/>
          </w:rPr>
          <w:t>87</w:t>
        </w:r>
        <w:r>
          <w:rPr>
            <w:noProof/>
            <w:webHidden/>
          </w:rPr>
          <w:fldChar w:fldCharType="end"/>
        </w:r>
      </w:hyperlink>
    </w:p>
    <w:p w14:paraId="356EA95C" w14:textId="57336C64"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50" w:history="1">
        <w:r w:rsidRPr="00747969">
          <w:rPr>
            <w:rStyle w:val="Hyperlink"/>
            <w:noProof/>
          </w:rPr>
          <w:t>Table 13</w:t>
        </w:r>
        <w:r w:rsidRPr="00747969">
          <w:rPr>
            <w:rStyle w:val="Hyperlink"/>
            <w:noProof/>
          </w:rPr>
          <w:noBreakHyphen/>
          <w:t>3:</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Overview</w:t>
        </w:r>
        <w:r w:rsidRPr="00747969">
          <w:rPr>
            <w:rStyle w:val="Hyperlink"/>
            <w:noProof/>
            <w:spacing w:val="-1"/>
          </w:rPr>
          <w:t xml:space="preserve"> </w:t>
        </w:r>
        <w:r w:rsidRPr="00747969">
          <w:rPr>
            <w:rStyle w:val="Hyperlink"/>
            <w:noProof/>
          </w:rPr>
          <w:t>of</w:t>
        </w:r>
        <w:r w:rsidRPr="00747969">
          <w:rPr>
            <w:rStyle w:val="Hyperlink"/>
            <w:noProof/>
            <w:spacing w:val="-2"/>
          </w:rPr>
          <w:t xml:space="preserve"> </w:t>
        </w:r>
        <w:r w:rsidRPr="00747969">
          <w:rPr>
            <w:rStyle w:val="Hyperlink"/>
            <w:noProof/>
          </w:rPr>
          <w:t>Option</w:t>
        </w:r>
        <w:r w:rsidRPr="00747969">
          <w:rPr>
            <w:rStyle w:val="Hyperlink"/>
            <w:noProof/>
            <w:spacing w:val="-1"/>
          </w:rPr>
          <w:t xml:space="preserve"> </w:t>
        </w:r>
        <w:r w:rsidRPr="00747969">
          <w:rPr>
            <w:rStyle w:val="Hyperlink"/>
            <w:noProof/>
          </w:rPr>
          <w:t>1A</w:t>
        </w:r>
        <w:r w:rsidRPr="00747969">
          <w:rPr>
            <w:rStyle w:val="Hyperlink"/>
            <w:noProof/>
            <w:spacing w:val="-1"/>
          </w:rPr>
          <w:t xml:space="preserve"> </w:t>
        </w:r>
        <w:r w:rsidRPr="00747969">
          <w:rPr>
            <w:rStyle w:val="Hyperlink"/>
            <w:noProof/>
          </w:rPr>
          <w:t>–</w:t>
        </w:r>
        <w:r w:rsidRPr="00747969">
          <w:rPr>
            <w:rStyle w:val="Hyperlink"/>
            <w:noProof/>
            <w:spacing w:val="-2"/>
          </w:rPr>
          <w:t xml:space="preserve"> </w:t>
        </w:r>
        <w:r w:rsidRPr="00747969">
          <w:rPr>
            <w:rStyle w:val="Hyperlink"/>
            <w:noProof/>
          </w:rPr>
          <w:t>Advantages</w:t>
        </w:r>
        <w:r w:rsidRPr="00747969">
          <w:rPr>
            <w:rStyle w:val="Hyperlink"/>
            <w:noProof/>
            <w:spacing w:val="-2"/>
          </w:rPr>
          <w:t xml:space="preserve"> </w:t>
        </w:r>
        <w:r w:rsidRPr="00747969">
          <w:rPr>
            <w:rStyle w:val="Hyperlink"/>
            <w:noProof/>
          </w:rPr>
          <w:t>and</w:t>
        </w:r>
        <w:r w:rsidRPr="00747969">
          <w:rPr>
            <w:rStyle w:val="Hyperlink"/>
            <w:noProof/>
            <w:spacing w:val="-2"/>
          </w:rPr>
          <w:t xml:space="preserve"> Disadvantages</w:t>
        </w:r>
        <w:r>
          <w:rPr>
            <w:noProof/>
            <w:webHidden/>
          </w:rPr>
          <w:tab/>
        </w:r>
        <w:r>
          <w:rPr>
            <w:noProof/>
            <w:webHidden/>
          </w:rPr>
          <w:fldChar w:fldCharType="begin"/>
        </w:r>
        <w:r>
          <w:rPr>
            <w:noProof/>
            <w:webHidden/>
          </w:rPr>
          <w:instrText xml:space="preserve"> PAGEREF _Toc216699550 \h </w:instrText>
        </w:r>
        <w:r>
          <w:rPr>
            <w:noProof/>
            <w:webHidden/>
          </w:rPr>
        </w:r>
        <w:r>
          <w:rPr>
            <w:noProof/>
            <w:webHidden/>
          </w:rPr>
          <w:fldChar w:fldCharType="separate"/>
        </w:r>
        <w:r>
          <w:rPr>
            <w:noProof/>
            <w:webHidden/>
          </w:rPr>
          <w:t>93</w:t>
        </w:r>
        <w:r>
          <w:rPr>
            <w:noProof/>
            <w:webHidden/>
          </w:rPr>
          <w:fldChar w:fldCharType="end"/>
        </w:r>
      </w:hyperlink>
    </w:p>
    <w:p w14:paraId="7163F17B" w14:textId="1BCA225C"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51" w:history="1">
        <w:r w:rsidRPr="00747969">
          <w:rPr>
            <w:rStyle w:val="Hyperlink"/>
            <w:noProof/>
          </w:rPr>
          <w:t>Table 13</w:t>
        </w:r>
        <w:r w:rsidRPr="00747969">
          <w:rPr>
            <w:rStyle w:val="Hyperlink"/>
            <w:noProof/>
          </w:rPr>
          <w:noBreakHyphen/>
          <w:t>4:</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Constraints</w:t>
        </w:r>
        <w:r w:rsidRPr="00747969">
          <w:rPr>
            <w:rStyle w:val="Hyperlink"/>
            <w:noProof/>
            <w:spacing w:val="-3"/>
          </w:rPr>
          <w:t xml:space="preserve"> </w:t>
        </w:r>
        <w:r w:rsidRPr="00747969">
          <w:rPr>
            <w:rStyle w:val="Hyperlink"/>
            <w:noProof/>
          </w:rPr>
          <w:t>analysis</w:t>
        </w:r>
        <w:r w:rsidRPr="00747969">
          <w:rPr>
            <w:rStyle w:val="Hyperlink"/>
            <w:noProof/>
            <w:spacing w:val="-2"/>
          </w:rPr>
          <w:t xml:space="preserve"> criteria</w:t>
        </w:r>
        <w:r>
          <w:rPr>
            <w:noProof/>
            <w:webHidden/>
          </w:rPr>
          <w:tab/>
        </w:r>
        <w:r>
          <w:rPr>
            <w:noProof/>
            <w:webHidden/>
          </w:rPr>
          <w:fldChar w:fldCharType="begin"/>
        </w:r>
        <w:r>
          <w:rPr>
            <w:noProof/>
            <w:webHidden/>
          </w:rPr>
          <w:instrText xml:space="preserve"> PAGEREF _Toc216699551 \h </w:instrText>
        </w:r>
        <w:r>
          <w:rPr>
            <w:noProof/>
            <w:webHidden/>
          </w:rPr>
        </w:r>
        <w:r>
          <w:rPr>
            <w:noProof/>
            <w:webHidden/>
          </w:rPr>
          <w:fldChar w:fldCharType="separate"/>
        </w:r>
        <w:r>
          <w:rPr>
            <w:noProof/>
            <w:webHidden/>
          </w:rPr>
          <w:t>98</w:t>
        </w:r>
        <w:r>
          <w:rPr>
            <w:noProof/>
            <w:webHidden/>
          </w:rPr>
          <w:fldChar w:fldCharType="end"/>
        </w:r>
      </w:hyperlink>
    </w:p>
    <w:p w14:paraId="2233EB54" w14:textId="4EE7F180"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52" w:history="1">
        <w:r w:rsidRPr="00747969">
          <w:rPr>
            <w:rStyle w:val="Hyperlink"/>
            <w:noProof/>
          </w:rPr>
          <w:t>Table 13</w:t>
        </w:r>
        <w:r w:rsidRPr="00747969">
          <w:rPr>
            <w:rStyle w:val="Hyperlink"/>
            <w:noProof/>
          </w:rPr>
          <w:noBreakHyphen/>
          <w:t>5:</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Environmental</w:t>
        </w:r>
        <w:r w:rsidRPr="00747969">
          <w:rPr>
            <w:rStyle w:val="Hyperlink"/>
            <w:noProof/>
            <w:spacing w:val="-1"/>
          </w:rPr>
          <w:t xml:space="preserve"> </w:t>
        </w:r>
        <w:r w:rsidRPr="00747969">
          <w:rPr>
            <w:rStyle w:val="Hyperlink"/>
            <w:noProof/>
          </w:rPr>
          <w:t>constraints</w:t>
        </w:r>
        <w:r w:rsidRPr="00747969">
          <w:rPr>
            <w:rStyle w:val="Hyperlink"/>
            <w:noProof/>
            <w:spacing w:val="-3"/>
          </w:rPr>
          <w:t xml:space="preserve"> </w:t>
        </w:r>
        <w:r w:rsidRPr="00747969">
          <w:rPr>
            <w:rStyle w:val="Hyperlink"/>
            <w:noProof/>
          </w:rPr>
          <w:t>for</w:t>
        </w:r>
        <w:r w:rsidRPr="00747969">
          <w:rPr>
            <w:rStyle w:val="Hyperlink"/>
            <w:noProof/>
            <w:spacing w:val="-3"/>
          </w:rPr>
          <w:t xml:space="preserve"> </w:t>
        </w:r>
        <w:r w:rsidRPr="00747969">
          <w:rPr>
            <w:rStyle w:val="Hyperlink"/>
            <w:noProof/>
          </w:rPr>
          <w:t>Buddina</w:t>
        </w:r>
        <w:r w:rsidRPr="00747969">
          <w:rPr>
            <w:rStyle w:val="Hyperlink"/>
            <w:noProof/>
            <w:spacing w:val="-3"/>
          </w:rPr>
          <w:t xml:space="preserve"> </w:t>
        </w:r>
        <w:r w:rsidRPr="00747969">
          <w:rPr>
            <w:rStyle w:val="Hyperlink"/>
            <w:noProof/>
          </w:rPr>
          <w:t>Sand</w:t>
        </w:r>
        <w:r w:rsidRPr="00747969">
          <w:rPr>
            <w:rStyle w:val="Hyperlink"/>
            <w:noProof/>
            <w:spacing w:val="-3"/>
          </w:rPr>
          <w:t xml:space="preserve"> </w:t>
        </w:r>
        <w:r w:rsidRPr="00747969">
          <w:rPr>
            <w:rStyle w:val="Hyperlink"/>
            <w:noProof/>
          </w:rPr>
          <w:t>Trap</w:t>
        </w:r>
        <w:r w:rsidRPr="00747969">
          <w:rPr>
            <w:rStyle w:val="Hyperlink"/>
            <w:noProof/>
            <w:spacing w:val="-3"/>
          </w:rPr>
          <w:t xml:space="preserve"> </w:t>
        </w:r>
        <w:r w:rsidRPr="00747969">
          <w:rPr>
            <w:rStyle w:val="Hyperlink"/>
            <w:noProof/>
          </w:rPr>
          <w:t>with</w:t>
        </w:r>
        <w:r w:rsidRPr="00747969">
          <w:rPr>
            <w:rStyle w:val="Hyperlink"/>
            <w:noProof/>
            <w:spacing w:val="-3"/>
          </w:rPr>
          <w:t xml:space="preserve"> </w:t>
        </w:r>
        <w:r w:rsidRPr="00747969">
          <w:rPr>
            <w:rStyle w:val="Hyperlink"/>
            <w:noProof/>
          </w:rPr>
          <w:t>pump</w:t>
        </w:r>
        <w:r w:rsidRPr="00747969">
          <w:rPr>
            <w:rStyle w:val="Hyperlink"/>
            <w:noProof/>
            <w:spacing w:val="-2"/>
          </w:rPr>
          <w:t xml:space="preserve"> </w:t>
        </w:r>
        <w:r w:rsidRPr="00747969">
          <w:rPr>
            <w:rStyle w:val="Hyperlink"/>
            <w:noProof/>
          </w:rPr>
          <w:t>station</w:t>
        </w:r>
        <w:r w:rsidRPr="00747969">
          <w:rPr>
            <w:rStyle w:val="Hyperlink"/>
            <w:noProof/>
            <w:spacing w:val="-4"/>
          </w:rPr>
          <w:t xml:space="preserve"> </w:t>
        </w:r>
        <w:r w:rsidRPr="00747969">
          <w:rPr>
            <w:rStyle w:val="Hyperlink"/>
            <w:noProof/>
          </w:rPr>
          <w:t>and</w:t>
        </w:r>
        <w:r w:rsidRPr="00747969">
          <w:rPr>
            <w:rStyle w:val="Hyperlink"/>
            <w:noProof/>
            <w:spacing w:val="-2"/>
          </w:rPr>
          <w:t xml:space="preserve"> </w:t>
        </w:r>
        <w:r w:rsidRPr="00747969">
          <w:rPr>
            <w:rStyle w:val="Hyperlink"/>
            <w:noProof/>
          </w:rPr>
          <w:t>permanent</w:t>
        </w:r>
        <w:r w:rsidRPr="00747969">
          <w:rPr>
            <w:rStyle w:val="Hyperlink"/>
            <w:noProof/>
            <w:spacing w:val="-2"/>
          </w:rPr>
          <w:t xml:space="preserve"> </w:t>
        </w:r>
        <w:r w:rsidRPr="00747969">
          <w:rPr>
            <w:rStyle w:val="Hyperlink"/>
            <w:noProof/>
          </w:rPr>
          <w:t>pipe</w:t>
        </w:r>
        <w:r w:rsidRPr="00747969">
          <w:rPr>
            <w:rStyle w:val="Hyperlink"/>
            <w:noProof/>
            <w:spacing w:val="-3"/>
          </w:rPr>
          <w:t xml:space="preserve"> </w:t>
        </w:r>
        <w:r w:rsidRPr="00747969">
          <w:rPr>
            <w:rStyle w:val="Hyperlink"/>
            <w:noProof/>
          </w:rPr>
          <w:t>(Option</w:t>
        </w:r>
        <w:r w:rsidRPr="00747969">
          <w:rPr>
            <w:rStyle w:val="Hyperlink"/>
            <w:noProof/>
            <w:spacing w:val="-1"/>
          </w:rPr>
          <w:t xml:space="preserve"> </w:t>
        </w:r>
        <w:r w:rsidRPr="00747969">
          <w:rPr>
            <w:rStyle w:val="Hyperlink"/>
            <w:noProof/>
            <w:spacing w:val="-5"/>
          </w:rPr>
          <w:t>1B)</w:t>
        </w:r>
        <w:r>
          <w:rPr>
            <w:noProof/>
            <w:webHidden/>
          </w:rPr>
          <w:tab/>
        </w:r>
        <w:r>
          <w:rPr>
            <w:noProof/>
            <w:webHidden/>
          </w:rPr>
          <w:fldChar w:fldCharType="begin"/>
        </w:r>
        <w:r>
          <w:rPr>
            <w:noProof/>
            <w:webHidden/>
          </w:rPr>
          <w:instrText xml:space="preserve"> PAGEREF _Toc216699552 \h </w:instrText>
        </w:r>
        <w:r>
          <w:rPr>
            <w:noProof/>
            <w:webHidden/>
          </w:rPr>
        </w:r>
        <w:r>
          <w:rPr>
            <w:noProof/>
            <w:webHidden/>
          </w:rPr>
          <w:fldChar w:fldCharType="separate"/>
        </w:r>
        <w:r>
          <w:rPr>
            <w:noProof/>
            <w:webHidden/>
          </w:rPr>
          <w:t>98</w:t>
        </w:r>
        <w:r>
          <w:rPr>
            <w:noProof/>
            <w:webHidden/>
          </w:rPr>
          <w:fldChar w:fldCharType="end"/>
        </w:r>
      </w:hyperlink>
    </w:p>
    <w:p w14:paraId="3CD7C1DE" w14:textId="369FC028"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53" w:history="1">
        <w:r w:rsidRPr="00747969">
          <w:rPr>
            <w:rStyle w:val="Hyperlink"/>
            <w:noProof/>
          </w:rPr>
          <w:t>Table 13</w:t>
        </w:r>
        <w:r w:rsidRPr="00747969">
          <w:rPr>
            <w:rStyle w:val="Hyperlink"/>
            <w:noProof/>
          </w:rPr>
          <w:noBreakHyphen/>
          <w:t>6:</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Overview</w:t>
        </w:r>
        <w:r w:rsidRPr="00747969">
          <w:rPr>
            <w:rStyle w:val="Hyperlink"/>
            <w:noProof/>
            <w:spacing w:val="-1"/>
          </w:rPr>
          <w:t xml:space="preserve"> </w:t>
        </w:r>
        <w:r w:rsidRPr="00747969">
          <w:rPr>
            <w:rStyle w:val="Hyperlink"/>
            <w:noProof/>
          </w:rPr>
          <w:t>of</w:t>
        </w:r>
        <w:r w:rsidRPr="00747969">
          <w:rPr>
            <w:rStyle w:val="Hyperlink"/>
            <w:noProof/>
            <w:spacing w:val="-2"/>
          </w:rPr>
          <w:t xml:space="preserve"> </w:t>
        </w:r>
        <w:r w:rsidRPr="00747969">
          <w:rPr>
            <w:rStyle w:val="Hyperlink"/>
            <w:noProof/>
          </w:rPr>
          <w:t>Option</w:t>
        </w:r>
        <w:r w:rsidRPr="00747969">
          <w:rPr>
            <w:rStyle w:val="Hyperlink"/>
            <w:noProof/>
            <w:spacing w:val="-1"/>
          </w:rPr>
          <w:t xml:space="preserve"> </w:t>
        </w:r>
        <w:r w:rsidRPr="00747969">
          <w:rPr>
            <w:rStyle w:val="Hyperlink"/>
            <w:noProof/>
          </w:rPr>
          <w:t>1B</w:t>
        </w:r>
        <w:r w:rsidRPr="00747969">
          <w:rPr>
            <w:rStyle w:val="Hyperlink"/>
            <w:noProof/>
            <w:spacing w:val="-1"/>
          </w:rPr>
          <w:t xml:space="preserve"> </w:t>
        </w:r>
        <w:r w:rsidRPr="00747969">
          <w:rPr>
            <w:rStyle w:val="Hyperlink"/>
            <w:noProof/>
          </w:rPr>
          <w:t>–</w:t>
        </w:r>
        <w:r w:rsidRPr="00747969">
          <w:rPr>
            <w:rStyle w:val="Hyperlink"/>
            <w:noProof/>
            <w:spacing w:val="-2"/>
          </w:rPr>
          <w:t xml:space="preserve"> </w:t>
        </w:r>
        <w:r w:rsidRPr="00747969">
          <w:rPr>
            <w:rStyle w:val="Hyperlink"/>
            <w:noProof/>
          </w:rPr>
          <w:t>Advantages</w:t>
        </w:r>
        <w:r w:rsidRPr="00747969">
          <w:rPr>
            <w:rStyle w:val="Hyperlink"/>
            <w:noProof/>
            <w:spacing w:val="-2"/>
          </w:rPr>
          <w:t xml:space="preserve"> </w:t>
        </w:r>
        <w:r w:rsidRPr="00747969">
          <w:rPr>
            <w:rStyle w:val="Hyperlink"/>
            <w:noProof/>
          </w:rPr>
          <w:t>and</w:t>
        </w:r>
        <w:r w:rsidRPr="00747969">
          <w:rPr>
            <w:rStyle w:val="Hyperlink"/>
            <w:noProof/>
            <w:spacing w:val="-2"/>
          </w:rPr>
          <w:t xml:space="preserve"> Disadvantages</w:t>
        </w:r>
        <w:r>
          <w:rPr>
            <w:noProof/>
            <w:webHidden/>
          </w:rPr>
          <w:tab/>
        </w:r>
        <w:r>
          <w:rPr>
            <w:noProof/>
            <w:webHidden/>
          </w:rPr>
          <w:fldChar w:fldCharType="begin"/>
        </w:r>
        <w:r>
          <w:rPr>
            <w:noProof/>
            <w:webHidden/>
          </w:rPr>
          <w:instrText xml:space="preserve"> PAGEREF _Toc216699553 \h </w:instrText>
        </w:r>
        <w:r>
          <w:rPr>
            <w:noProof/>
            <w:webHidden/>
          </w:rPr>
        </w:r>
        <w:r>
          <w:rPr>
            <w:noProof/>
            <w:webHidden/>
          </w:rPr>
          <w:fldChar w:fldCharType="separate"/>
        </w:r>
        <w:r>
          <w:rPr>
            <w:noProof/>
            <w:webHidden/>
          </w:rPr>
          <w:t>107</w:t>
        </w:r>
        <w:r>
          <w:rPr>
            <w:noProof/>
            <w:webHidden/>
          </w:rPr>
          <w:fldChar w:fldCharType="end"/>
        </w:r>
      </w:hyperlink>
    </w:p>
    <w:p w14:paraId="3C353F02" w14:textId="5267B837"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54" w:history="1">
        <w:r w:rsidRPr="00747969">
          <w:rPr>
            <w:rStyle w:val="Hyperlink"/>
            <w:noProof/>
          </w:rPr>
          <w:t>Table 13</w:t>
        </w:r>
        <w:r w:rsidRPr="00747969">
          <w:rPr>
            <w:rStyle w:val="Hyperlink"/>
            <w:noProof/>
          </w:rPr>
          <w:noBreakHyphen/>
          <w:t>7:</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Variation</w:t>
        </w:r>
        <w:r w:rsidRPr="00747969">
          <w:rPr>
            <w:rStyle w:val="Hyperlink"/>
            <w:noProof/>
            <w:spacing w:val="-2"/>
          </w:rPr>
          <w:t xml:space="preserve"> </w:t>
        </w:r>
        <w:r w:rsidRPr="00747969">
          <w:rPr>
            <w:rStyle w:val="Hyperlink"/>
            <w:noProof/>
          </w:rPr>
          <w:t>Comparison</w:t>
        </w:r>
        <w:r w:rsidRPr="00747969">
          <w:rPr>
            <w:rStyle w:val="Hyperlink"/>
            <w:noProof/>
            <w:spacing w:val="-1"/>
          </w:rPr>
          <w:t xml:space="preserve"> </w:t>
        </w:r>
        <w:r w:rsidRPr="00747969">
          <w:rPr>
            <w:rStyle w:val="Hyperlink"/>
            <w:noProof/>
          </w:rPr>
          <w:t>of</w:t>
        </w:r>
        <w:r w:rsidRPr="00747969">
          <w:rPr>
            <w:rStyle w:val="Hyperlink"/>
            <w:noProof/>
            <w:spacing w:val="-3"/>
          </w:rPr>
          <w:t xml:space="preserve"> </w:t>
        </w:r>
        <w:r w:rsidRPr="00747969">
          <w:rPr>
            <w:rStyle w:val="Hyperlink"/>
            <w:noProof/>
          </w:rPr>
          <w:t>Option</w:t>
        </w:r>
        <w:r w:rsidRPr="00747969">
          <w:rPr>
            <w:rStyle w:val="Hyperlink"/>
            <w:noProof/>
            <w:spacing w:val="-1"/>
          </w:rPr>
          <w:t xml:space="preserve"> </w:t>
        </w:r>
        <w:r w:rsidRPr="00747969">
          <w:rPr>
            <w:rStyle w:val="Hyperlink"/>
            <w:noProof/>
          </w:rPr>
          <w:t>1A</w:t>
        </w:r>
        <w:r w:rsidRPr="00747969">
          <w:rPr>
            <w:rStyle w:val="Hyperlink"/>
            <w:noProof/>
            <w:spacing w:val="-2"/>
          </w:rPr>
          <w:t xml:space="preserve"> </w:t>
        </w:r>
        <w:r w:rsidRPr="00747969">
          <w:rPr>
            <w:rStyle w:val="Hyperlink"/>
            <w:noProof/>
          </w:rPr>
          <w:t>and</w:t>
        </w:r>
        <w:r w:rsidRPr="00747969">
          <w:rPr>
            <w:rStyle w:val="Hyperlink"/>
            <w:noProof/>
            <w:spacing w:val="-2"/>
          </w:rPr>
          <w:t xml:space="preserve"> </w:t>
        </w:r>
        <w:r w:rsidRPr="00747969">
          <w:rPr>
            <w:rStyle w:val="Hyperlink"/>
            <w:noProof/>
            <w:spacing w:val="-5"/>
          </w:rPr>
          <w:t>1B</w:t>
        </w:r>
        <w:r>
          <w:rPr>
            <w:noProof/>
            <w:webHidden/>
          </w:rPr>
          <w:tab/>
        </w:r>
        <w:r>
          <w:rPr>
            <w:noProof/>
            <w:webHidden/>
          </w:rPr>
          <w:fldChar w:fldCharType="begin"/>
        </w:r>
        <w:r>
          <w:rPr>
            <w:noProof/>
            <w:webHidden/>
          </w:rPr>
          <w:instrText xml:space="preserve"> PAGEREF _Toc216699554 \h </w:instrText>
        </w:r>
        <w:r>
          <w:rPr>
            <w:noProof/>
            <w:webHidden/>
          </w:rPr>
        </w:r>
        <w:r>
          <w:rPr>
            <w:noProof/>
            <w:webHidden/>
          </w:rPr>
          <w:fldChar w:fldCharType="separate"/>
        </w:r>
        <w:r>
          <w:rPr>
            <w:noProof/>
            <w:webHidden/>
          </w:rPr>
          <w:t>107</w:t>
        </w:r>
        <w:r>
          <w:rPr>
            <w:noProof/>
            <w:webHidden/>
          </w:rPr>
          <w:fldChar w:fldCharType="end"/>
        </w:r>
      </w:hyperlink>
    </w:p>
    <w:p w14:paraId="61BF1600" w14:textId="23C0435B"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55" w:history="1">
        <w:r w:rsidRPr="00747969">
          <w:rPr>
            <w:rStyle w:val="Hyperlink"/>
            <w:noProof/>
          </w:rPr>
          <w:t>Table 13</w:t>
        </w:r>
        <w:r w:rsidRPr="00747969">
          <w:rPr>
            <w:rStyle w:val="Hyperlink"/>
            <w:noProof/>
          </w:rPr>
          <w:noBreakHyphen/>
          <w:t>8:</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Overview</w:t>
        </w:r>
        <w:r w:rsidRPr="00747969">
          <w:rPr>
            <w:rStyle w:val="Hyperlink"/>
            <w:noProof/>
            <w:spacing w:val="-1"/>
          </w:rPr>
          <w:t xml:space="preserve"> </w:t>
        </w:r>
        <w:r w:rsidRPr="00747969">
          <w:rPr>
            <w:rStyle w:val="Hyperlink"/>
            <w:noProof/>
          </w:rPr>
          <w:t>of</w:t>
        </w:r>
        <w:r w:rsidRPr="00747969">
          <w:rPr>
            <w:rStyle w:val="Hyperlink"/>
            <w:noProof/>
            <w:spacing w:val="-2"/>
          </w:rPr>
          <w:t xml:space="preserve"> </w:t>
        </w:r>
        <w:r w:rsidRPr="00747969">
          <w:rPr>
            <w:rStyle w:val="Hyperlink"/>
            <w:noProof/>
          </w:rPr>
          <w:t>capital</w:t>
        </w:r>
        <w:r w:rsidRPr="00747969">
          <w:rPr>
            <w:rStyle w:val="Hyperlink"/>
            <w:noProof/>
            <w:spacing w:val="-2"/>
          </w:rPr>
          <w:t xml:space="preserve"> </w:t>
        </w:r>
        <w:r w:rsidRPr="00747969">
          <w:rPr>
            <w:rStyle w:val="Hyperlink"/>
            <w:noProof/>
          </w:rPr>
          <w:t>and</w:t>
        </w:r>
        <w:r w:rsidRPr="00747969">
          <w:rPr>
            <w:rStyle w:val="Hyperlink"/>
            <w:noProof/>
            <w:spacing w:val="-2"/>
          </w:rPr>
          <w:t xml:space="preserve"> </w:t>
        </w:r>
        <w:r w:rsidRPr="00747969">
          <w:rPr>
            <w:rStyle w:val="Hyperlink"/>
            <w:noProof/>
          </w:rPr>
          <w:t>operational</w:t>
        </w:r>
        <w:r w:rsidRPr="00747969">
          <w:rPr>
            <w:rStyle w:val="Hyperlink"/>
            <w:noProof/>
            <w:spacing w:val="-2"/>
          </w:rPr>
          <w:t xml:space="preserve"> </w:t>
        </w:r>
        <w:r w:rsidRPr="00747969">
          <w:rPr>
            <w:rStyle w:val="Hyperlink"/>
            <w:noProof/>
          </w:rPr>
          <w:t>works</w:t>
        </w:r>
        <w:r w:rsidRPr="00747969">
          <w:rPr>
            <w:rStyle w:val="Hyperlink"/>
            <w:noProof/>
            <w:spacing w:val="-3"/>
          </w:rPr>
          <w:t xml:space="preserve"> </w:t>
        </w:r>
        <w:r w:rsidRPr="00747969">
          <w:rPr>
            <w:rStyle w:val="Hyperlink"/>
            <w:noProof/>
          </w:rPr>
          <w:t>for</w:t>
        </w:r>
        <w:r w:rsidRPr="00747969">
          <w:rPr>
            <w:rStyle w:val="Hyperlink"/>
            <w:noProof/>
            <w:spacing w:val="-2"/>
          </w:rPr>
          <w:t xml:space="preserve"> </w:t>
        </w:r>
        <w:r w:rsidRPr="00747969">
          <w:rPr>
            <w:rStyle w:val="Hyperlink"/>
            <w:noProof/>
          </w:rPr>
          <w:t>Option</w:t>
        </w:r>
        <w:r w:rsidRPr="00747969">
          <w:rPr>
            <w:rStyle w:val="Hyperlink"/>
            <w:noProof/>
            <w:spacing w:val="-2"/>
          </w:rPr>
          <w:t xml:space="preserve"> </w:t>
        </w:r>
        <w:r w:rsidRPr="00747969">
          <w:rPr>
            <w:rStyle w:val="Hyperlink"/>
            <w:noProof/>
          </w:rPr>
          <w:t>1A</w:t>
        </w:r>
        <w:r w:rsidRPr="00747969">
          <w:rPr>
            <w:rStyle w:val="Hyperlink"/>
            <w:noProof/>
            <w:spacing w:val="-2"/>
          </w:rPr>
          <w:t xml:space="preserve"> </w:t>
        </w:r>
        <w:r w:rsidRPr="00747969">
          <w:rPr>
            <w:rStyle w:val="Hyperlink"/>
            <w:noProof/>
          </w:rPr>
          <w:t>and</w:t>
        </w:r>
        <w:r w:rsidRPr="00747969">
          <w:rPr>
            <w:rStyle w:val="Hyperlink"/>
            <w:noProof/>
            <w:spacing w:val="-1"/>
          </w:rPr>
          <w:t xml:space="preserve"> </w:t>
        </w:r>
        <w:r w:rsidRPr="00747969">
          <w:rPr>
            <w:rStyle w:val="Hyperlink"/>
            <w:noProof/>
            <w:spacing w:val="-5"/>
          </w:rPr>
          <w:t>1B</w:t>
        </w:r>
        <w:r>
          <w:rPr>
            <w:noProof/>
            <w:webHidden/>
          </w:rPr>
          <w:tab/>
        </w:r>
        <w:r>
          <w:rPr>
            <w:noProof/>
            <w:webHidden/>
          </w:rPr>
          <w:fldChar w:fldCharType="begin"/>
        </w:r>
        <w:r>
          <w:rPr>
            <w:noProof/>
            <w:webHidden/>
          </w:rPr>
          <w:instrText xml:space="preserve"> PAGEREF _Toc216699555 \h </w:instrText>
        </w:r>
        <w:r>
          <w:rPr>
            <w:noProof/>
            <w:webHidden/>
          </w:rPr>
        </w:r>
        <w:r>
          <w:rPr>
            <w:noProof/>
            <w:webHidden/>
          </w:rPr>
          <w:fldChar w:fldCharType="separate"/>
        </w:r>
        <w:r>
          <w:rPr>
            <w:noProof/>
            <w:webHidden/>
          </w:rPr>
          <w:t>108</w:t>
        </w:r>
        <w:r>
          <w:rPr>
            <w:noProof/>
            <w:webHidden/>
          </w:rPr>
          <w:fldChar w:fldCharType="end"/>
        </w:r>
      </w:hyperlink>
    </w:p>
    <w:p w14:paraId="7ABBFBE0" w14:textId="610402D9"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56" w:history="1">
        <w:r w:rsidRPr="00747969">
          <w:rPr>
            <w:rStyle w:val="Hyperlink"/>
            <w:noProof/>
          </w:rPr>
          <w:t>Table 13</w:t>
        </w:r>
        <w:r w:rsidRPr="00747969">
          <w:rPr>
            <w:rStyle w:val="Hyperlink"/>
            <w:noProof/>
          </w:rPr>
          <w:noBreakHyphen/>
          <w:t>9:</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Option</w:t>
        </w:r>
        <w:r w:rsidRPr="00747969">
          <w:rPr>
            <w:rStyle w:val="Hyperlink"/>
            <w:noProof/>
            <w:spacing w:val="-1"/>
          </w:rPr>
          <w:t xml:space="preserve"> </w:t>
        </w:r>
        <w:r w:rsidRPr="00747969">
          <w:rPr>
            <w:rStyle w:val="Hyperlink"/>
            <w:noProof/>
          </w:rPr>
          <w:t>1A</w:t>
        </w:r>
        <w:r w:rsidRPr="00747969">
          <w:rPr>
            <w:rStyle w:val="Hyperlink"/>
            <w:noProof/>
            <w:spacing w:val="-1"/>
          </w:rPr>
          <w:t xml:space="preserve"> </w:t>
        </w:r>
        <w:r w:rsidRPr="00747969">
          <w:rPr>
            <w:rStyle w:val="Hyperlink"/>
            <w:noProof/>
          </w:rPr>
          <w:t>–</w:t>
        </w:r>
        <w:r w:rsidRPr="00747969">
          <w:rPr>
            <w:rStyle w:val="Hyperlink"/>
            <w:noProof/>
            <w:spacing w:val="-1"/>
          </w:rPr>
          <w:t xml:space="preserve"> </w:t>
        </w:r>
        <w:r w:rsidRPr="00747969">
          <w:rPr>
            <w:rStyle w:val="Hyperlink"/>
            <w:noProof/>
          </w:rPr>
          <w:t>MCA</w:t>
        </w:r>
        <w:r w:rsidRPr="00747969">
          <w:rPr>
            <w:rStyle w:val="Hyperlink"/>
            <w:noProof/>
            <w:spacing w:val="-1"/>
          </w:rPr>
          <w:t xml:space="preserve"> </w:t>
        </w:r>
        <w:r w:rsidRPr="00747969">
          <w:rPr>
            <w:rStyle w:val="Hyperlink"/>
            <w:noProof/>
            <w:spacing w:val="-2"/>
          </w:rPr>
          <w:t>scoring</w:t>
        </w:r>
        <w:r>
          <w:rPr>
            <w:noProof/>
            <w:webHidden/>
          </w:rPr>
          <w:tab/>
        </w:r>
        <w:r>
          <w:rPr>
            <w:noProof/>
            <w:webHidden/>
          </w:rPr>
          <w:fldChar w:fldCharType="begin"/>
        </w:r>
        <w:r>
          <w:rPr>
            <w:noProof/>
            <w:webHidden/>
          </w:rPr>
          <w:instrText xml:space="preserve"> PAGEREF _Toc216699556 \h </w:instrText>
        </w:r>
        <w:r>
          <w:rPr>
            <w:noProof/>
            <w:webHidden/>
          </w:rPr>
        </w:r>
        <w:r>
          <w:rPr>
            <w:noProof/>
            <w:webHidden/>
          </w:rPr>
          <w:fldChar w:fldCharType="separate"/>
        </w:r>
        <w:r>
          <w:rPr>
            <w:noProof/>
            <w:webHidden/>
          </w:rPr>
          <w:t>109</w:t>
        </w:r>
        <w:r>
          <w:rPr>
            <w:noProof/>
            <w:webHidden/>
          </w:rPr>
          <w:fldChar w:fldCharType="end"/>
        </w:r>
      </w:hyperlink>
    </w:p>
    <w:p w14:paraId="18BAC693" w14:textId="58D5F1E5"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57" w:history="1">
        <w:r w:rsidRPr="00747969">
          <w:rPr>
            <w:rStyle w:val="Hyperlink"/>
            <w:noProof/>
          </w:rPr>
          <w:t>Table 13</w:t>
        </w:r>
        <w:r w:rsidRPr="00747969">
          <w:rPr>
            <w:rStyle w:val="Hyperlink"/>
            <w:noProof/>
          </w:rPr>
          <w:noBreakHyphen/>
          <w:t>10:</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Option 1B MCA scoring</w:t>
        </w:r>
        <w:r>
          <w:rPr>
            <w:noProof/>
            <w:webHidden/>
          </w:rPr>
          <w:tab/>
        </w:r>
        <w:r>
          <w:rPr>
            <w:noProof/>
            <w:webHidden/>
          </w:rPr>
          <w:fldChar w:fldCharType="begin"/>
        </w:r>
        <w:r>
          <w:rPr>
            <w:noProof/>
            <w:webHidden/>
          </w:rPr>
          <w:instrText xml:space="preserve"> PAGEREF _Toc216699557 \h </w:instrText>
        </w:r>
        <w:r>
          <w:rPr>
            <w:noProof/>
            <w:webHidden/>
          </w:rPr>
        </w:r>
        <w:r>
          <w:rPr>
            <w:noProof/>
            <w:webHidden/>
          </w:rPr>
          <w:fldChar w:fldCharType="separate"/>
        </w:r>
        <w:r>
          <w:rPr>
            <w:noProof/>
            <w:webHidden/>
          </w:rPr>
          <w:t>110</w:t>
        </w:r>
        <w:r>
          <w:rPr>
            <w:noProof/>
            <w:webHidden/>
          </w:rPr>
          <w:fldChar w:fldCharType="end"/>
        </w:r>
      </w:hyperlink>
    </w:p>
    <w:p w14:paraId="5060B52A" w14:textId="7C9F6667"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58" w:history="1">
        <w:r w:rsidRPr="00747969">
          <w:rPr>
            <w:rStyle w:val="Hyperlink"/>
            <w:noProof/>
          </w:rPr>
          <w:t>Table 14</w:t>
        </w:r>
        <w:r w:rsidRPr="00747969">
          <w:rPr>
            <w:rStyle w:val="Hyperlink"/>
            <w:noProof/>
          </w:rPr>
          <w:noBreakHyphen/>
          <w:t>1:</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Constraints</w:t>
        </w:r>
        <w:r w:rsidRPr="00747969">
          <w:rPr>
            <w:rStyle w:val="Hyperlink"/>
            <w:noProof/>
            <w:spacing w:val="-3"/>
          </w:rPr>
          <w:t xml:space="preserve"> </w:t>
        </w:r>
        <w:r w:rsidRPr="00747969">
          <w:rPr>
            <w:rStyle w:val="Hyperlink"/>
            <w:noProof/>
          </w:rPr>
          <w:t>analysis</w:t>
        </w:r>
        <w:r w:rsidRPr="00747969">
          <w:rPr>
            <w:rStyle w:val="Hyperlink"/>
            <w:noProof/>
            <w:spacing w:val="-2"/>
          </w:rPr>
          <w:t xml:space="preserve"> criteria</w:t>
        </w:r>
        <w:r>
          <w:rPr>
            <w:noProof/>
            <w:webHidden/>
          </w:rPr>
          <w:tab/>
        </w:r>
        <w:r>
          <w:rPr>
            <w:noProof/>
            <w:webHidden/>
          </w:rPr>
          <w:fldChar w:fldCharType="begin"/>
        </w:r>
        <w:r>
          <w:rPr>
            <w:noProof/>
            <w:webHidden/>
          </w:rPr>
          <w:instrText xml:space="preserve"> PAGEREF _Toc216699558 \h </w:instrText>
        </w:r>
        <w:r>
          <w:rPr>
            <w:noProof/>
            <w:webHidden/>
          </w:rPr>
        </w:r>
        <w:r>
          <w:rPr>
            <w:noProof/>
            <w:webHidden/>
          </w:rPr>
          <w:fldChar w:fldCharType="separate"/>
        </w:r>
        <w:r>
          <w:rPr>
            <w:noProof/>
            <w:webHidden/>
          </w:rPr>
          <w:t>118</w:t>
        </w:r>
        <w:r>
          <w:rPr>
            <w:noProof/>
            <w:webHidden/>
          </w:rPr>
          <w:fldChar w:fldCharType="end"/>
        </w:r>
      </w:hyperlink>
    </w:p>
    <w:p w14:paraId="2912FC34" w14:textId="4F48446C"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59" w:history="1">
        <w:r w:rsidRPr="00747969">
          <w:rPr>
            <w:rStyle w:val="Hyperlink"/>
            <w:noProof/>
          </w:rPr>
          <w:t>Table 14</w:t>
        </w:r>
        <w:r w:rsidRPr="00747969">
          <w:rPr>
            <w:rStyle w:val="Hyperlink"/>
            <w:noProof/>
          </w:rPr>
          <w:noBreakHyphen/>
          <w:t>2:</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Environmental</w:t>
        </w:r>
        <w:r w:rsidRPr="00747969">
          <w:rPr>
            <w:rStyle w:val="Hyperlink"/>
            <w:noProof/>
            <w:spacing w:val="-1"/>
          </w:rPr>
          <w:t xml:space="preserve"> </w:t>
        </w:r>
        <w:r w:rsidRPr="00747969">
          <w:rPr>
            <w:rStyle w:val="Hyperlink"/>
            <w:noProof/>
          </w:rPr>
          <w:t>constraints</w:t>
        </w:r>
        <w:r w:rsidRPr="00747969">
          <w:rPr>
            <w:rStyle w:val="Hyperlink"/>
            <w:noProof/>
            <w:spacing w:val="-3"/>
          </w:rPr>
          <w:t xml:space="preserve"> </w:t>
        </w:r>
        <w:r w:rsidRPr="00747969">
          <w:rPr>
            <w:rStyle w:val="Hyperlink"/>
            <w:noProof/>
          </w:rPr>
          <w:t>for</w:t>
        </w:r>
        <w:r w:rsidRPr="00747969">
          <w:rPr>
            <w:rStyle w:val="Hyperlink"/>
            <w:noProof/>
            <w:spacing w:val="-3"/>
          </w:rPr>
          <w:t xml:space="preserve"> </w:t>
        </w:r>
        <w:r w:rsidRPr="00747969">
          <w:rPr>
            <w:rStyle w:val="Hyperlink"/>
            <w:noProof/>
          </w:rPr>
          <w:t>excavated</w:t>
        </w:r>
        <w:r w:rsidRPr="00747969">
          <w:rPr>
            <w:rStyle w:val="Hyperlink"/>
            <w:noProof/>
            <w:spacing w:val="-3"/>
          </w:rPr>
          <w:t xml:space="preserve"> </w:t>
        </w:r>
        <w:r w:rsidRPr="00747969">
          <w:rPr>
            <w:rStyle w:val="Hyperlink"/>
            <w:noProof/>
          </w:rPr>
          <w:t>sand</w:t>
        </w:r>
        <w:r w:rsidRPr="00747969">
          <w:rPr>
            <w:rStyle w:val="Hyperlink"/>
            <w:noProof/>
            <w:spacing w:val="-2"/>
          </w:rPr>
          <w:t xml:space="preserve"> </w:t>
        </w:r>
        <w:r w:rsidRPr="00747969">
          <w:rPr>
            <w:rStyle w:val="Hyperlink"/>
            <w:noProof/>
          </w:rPr>
          <w:t>trap</w:t>
        </w:r>
        <w:r w:rsidRPr="00747969">
          <w:rPr>
            <w:rStyle w:val="Hyperlink"/>
            <w:noProof/>
            <w:spacing w:val="-2"/>
          </w:rPr>
          <w:t xml:space="preserve"> </w:t>
        </w:r>
        <w:r w:rsidRPr="00747969">
          <w:rPr>
            <w:rStyle w:val="Hyperlink"/>
            <w:noProof/>
          </w:rPr>
          <w:t>with</w:t>
        </w:r>
        <w:r w:rsidRPr="00747969">
          <w:rPr>
            <w:rStyle w:val="Hyperlink"/>
            <w:noProof/>
            <w:spacing w:val="-3"/>
          </w:rPr>
          <w:t xml:space="preserve"> </w:t>
        </w:r>
        <w:r w:rsidRPr="00747969">
          <w:rPr>
            <w:rStyle w:val="Hyperlink"/>
            <w:noProof/>
          </w:rPr>
          <w:t>existing</w:t>
        </w:r>
        <w:r w:rsidRPr="00747969">
          <w:rPr>
            <w:rStyle w:val="Hyperlink"/>
            <w:noProof/>
            <w:spacing w:val="-3"/>
          </w:rPr>
          <w:t xml:space="preserve"> </w:t>
        </w:r>
        <w:r w:rsidRPr="00747969">
          <w:rPr>
            <w:rStyle w:val="Hyperlink"/>
            <w:noProof/>
          </w:rPr>
          <w:t>CSD</w:t>
        </w:r>
        <w:r w:rsidRPr="00747969">
          <w:rPr>
            <w:rStyle w:val="Hyperlink"/>
            <w:noProof/>
            <w:spacing w:val="-2"/>
          </w:rPr>
          <w:t xml:space="preserve"> </w:t>
        </w:r>
        <w:r w:rsidRPr="00747969">
          <w:rPr>
            <w:rStyle w:val="Hyperlink"/>
            <w:noProof/>
          </w:rPr>
          <w:t>operations</w:t>
        </w:r>
        <w:r w:rsidRPr="00747969">
          <w:rPr>
            <w:rStyle w:val="Hyperlink"/>
            <w:noProof/>
            <w:spacing w:val="-3"/>
          </w:rPr>
          <w:t xml:space="preserve"> </w:t>
        </w:r>
        <w:r w:rsidRPr="00747969">
          <w:rPr>
            <w:rStyle w:val="Hyperlink"/>
            <w:noProof/>
          </w:rPr>
          <w:t>(Option</w:t>
        </w:r>
        <w:r w:rsidRPr="00747969">
          <w:rPr>
            <w:rStyle w:val="Hyperlink"/>
            <w:noProof/>
            <w:spacing w:val="-2"/>
          </w:rPr>
          <w:t xml:space="preserve"> </w:t>
        </w:r>
        <w:r w:rsidRPr="00747969">
          <w:rPr>
            <w:rStyle w:val="Hyperlink"/>
            <w:noProof/>
            <w:spacing w:val="-5"/>
          </w:rPr>
          <w:t>2A)</w:t>
        </w:r>
        <w:r>
          <w:rPr>
            <w:noProof/>
            <w:webHidden/>
          </w:rPr>
          <w:tab/>
        </w:r>
        <w:r>
          <w:rPr>
            <w:noProof/>
            <w:webHidden/>
          </w:rPr>
          <w:fldChar w:fldCharType="begin"/>
        </w:r>
        <w:r>
          <w:rPr>
            <w:noProof/>
            <w:webHidden/>
          </w:rPr>
          <w:instrText xml:space="preserve"> PAGEREF _Toc216699559 \h </w:instrText>
        </w:r>
        <w:r>
          <w:rPr>
            <w:noProof/>
            <w:webHidden/>
          </w:rPr>
        </w:r>
        <w:r>
          <w:rPr>
            <w:noProof/>
            <w:webHidden/>
          </w:rPr>
          <w:fldChar w:fldCharType="separate"/>
        </w:r>
        <w:r>
          <w:rPr>
            <w:noProof/>
            <w:webHidden/>
          </w:rPr>
          <w:t>118</w:t>
        </w:r>
        <w:r>
          <w:rPr>
            <w:noProof/>
            <w:webHidden/>
          </w:rPr>
          <w:fldChar w:fldCharType="end"/>
        </w:r>
      </w:hyperlink>
    </w:p>
    <w:p w14:paraId="5862189A" w14:textId="18AFC16A"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60" w:history="1">
        <w:r w:rsidRPr="00747969">
          <w:rPr>
            <w:rStyle w:val="Hyperlink"/>
            <w:noProof/>
          </w:rPr>
          <w:t>Table 14</w:t>
        </w:r>
        <w:r w:rsidRPr="00747969">
          <w:rPr>
            <w:rStyle w:val="Hyperlink"/>
            <w:noProof/>
          </w:rPr>
          <w:noBreakHyphen/>
          <w:t>3:</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Constraints</w:t>
        </w:r>
        <w:r w:rsidRPr="00747969">
          <w:rPr>
            <w:rStyle w:val="Hyperlink"/>
            <w:noProof/>
            <w:spacing w:val="-3"/>
          </w:rPr>
          <w:t xml:space="preserve"> </w:t>
        </w:r>
        <w:r w:rsidRPr="00747969">
          <w:rPr>
            <w:rStyle w:val="Hyperlink"/>
            <w:noProof/>
          </w:rPr>
          <w:t>analysis</w:t>
        </w:r>
        <w:r w:rsidRPr="00747969">
          <w:rPr>
            <w:rStyle w:val="Hyperlink"/>
            <w:noProof/>
            <w:spacing w:val="-2"/>
          </w:rPr>
          <w:t xml:space="preserve"> criteria</w:t>
        </w:r>
        <w:r>
          <w:rPr>
            <w:noProof/>
            <w:webHidden/>
          </w:rPr>
          <w:tab/>
        </w:r>
        <w:r>
          <w:rPr>
            <w:noProof/>
            <w:webHidden/>
          </w:rPr>
          <w:fldChar w:fldCharType="begin"/>
        </w:r>
        <w:r>
          <w:rPr>
            <w:noProof/>
            <w:webHidden/>
          </w:rPr>
          <w:instrText xml:space="preserve"> PAGEREF _Toc216699560 \h </w:instrText>
        </w:r>
        <w:r>
          <w:rPr>
            <w:noProof/>
            <w:webHidden/>
          </w:rPr>
        </w:r>
        <w:r>
          <w:rPr>
            <w:noProof/>
            <w:webHidden/>
          </w:rPr>
          <w:fldChar w:fldCharType="separate"/>
        </w:r>
        <w:r>
          <w:rPr>
            <w:noProof/>
            <w:webHidden/>
          </w:rPr>
          <w:t>130</w:t>
        </w:r>
        <w:r>
          <w:rPr>
            <w:noProof/>
            <w:webHidden/>
          </w:rPr>
          <w:fldChar w:fldCharType="end"/>
        </w:r>
      </w:hyperlink>
    </w:p>
    <w:p w14:paraId="4656B140" w14:textId="57F43F46"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61" w:history="1">
        <w:r w:rsidRPr="00747969">
          <w:rPr>
            <w:rStyle w:val="Hyperlink"/>
            <w:noProof/>
          </w:rPr>
          <w:t>Table 14</w:t>
        </w:r>
        <w:r w:rsidRPr="00747969">
          <w:rPr>
            <w:rStyle w:val="Hyperlink"/>
            <w:noProof/>
          </w:rPr>
          <w:noBreakHyphen/>
          <w:t>4:</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Environmental</w:t>
        </w:r>
        <w:r w:rsidRPr="00747969">
          <w:rPr>
            <w:rStyle w:val="Hyperlink"/>
            <w:noProof/>
            <w:spacing w:val="-3"/>
          </w:rPr>
          <w:t xml:space="preserve"> </w:t>
        </w:r>
        <w:r w:rsidRPr="00747969">
          <w:rPr>
            <w:rStyle w:val="Hyperlink"/>
            <w:noProof/>
          </w:rPr>
          <w:t>constraints</w:t>
        </w:r>
        <w:r w:rsidRPr="00747969">
          <w:rPr>
            <w:rStyle w:val="Hyperlink"/>
            <w:noProof/>
            <w:spacing w:val="-3"/>
          </w:rPr>
          <w:t xml:space="preserve"> </w:t>
        </w:r>
        <w:r w:rsidRPr="00747969">
          <w:rPr>
            <w:rStyle w:val="Hyperlink"/>
            <w:noProof/>
          </w:rPr>
          <w:t>for</w:t>
        </w:r>
        <w:r w:rsidRPr="00747969">
          <w:rPr>
            <w:rStyle w:val="Hyperlink"/>
            <w:noProof/>
            <w:spacing w:val="-3"/>
          </w:rPr>
          <w:t xml:space="preserve"> </w:t>
        </w:r>
        <w:r w:rsidRPr="00747969">
          <w:rPr>
            <w:rStyle w:val="Hyperlink"/>
            <w:noProof/>
          </w:rPr>
          <w:t>excavated</w:t>
        </w:r>
        <w:r w:rsidRPr="00747969">
          <w:rPr>
            <w:rStyle w:val="Hyperlink"/>
            <w:noProof/>
            <w:spacing w:val="-1"/>
          </w:rPr>
          <w:t xml:space="preserve"> </w:t>
        </w:r>
        <w:r w:rsidRPr="00747969">
          <w:rPr>
            <w:rStyle w:val="Hyperlink"/>
            <w:noProof/>
          </w:rPr>
          <w:t>sand</w:t>
        </w:r>
        <w:r w:rsidRPr="00747969">
          <w:rPr>
            <w:rStyle w:val="Hyperlink"/>
            <w:noProof/>
            <w:spacing w:val="-2"/>
          </w:rPr>
          <w:t xml:space="preserve"> </w:t>
        </w:r>
        <w:r w:rsidRPr="00747969">
          <w:rPr>
            <w:rStyle w:val="Hyperlink"/>
            <w:noProof/>
          </w:rPr>
          <w:t>trap</w:t>
        </w:r>
        <w:r w:rsidRPr="00747969">
          <w:rPr>
            <w:rStyle w:val="Hyperlink"/>
            <w:noProof/>
            <w:spacing w:val="-3"/>
          </w:rPr>
          <w:t xml:space="preserve"> </w:t>
        </w:r>
        <w:r w:rsidRPr="00747969">
          <w:rPr>
            <w:rStyle w:val="Hyperlink"/>
            <w:noProof/>
          </w:rPr>
          <w:t>with</w:t>
        </w:r>
        <w:r w:rsidRPr="00747969">
          <w:rPr>
            <w:rStyle w:val="Hyperlink"/>
            <w:noProof/>
            <w:spacing w:val="-4"/>
          </w:rPr>
          <w:t xml:space="preserve"> </w:t>
        </w:r>
        <w:r w:rsidRPr="00747969">
          <w:rPr>
            <w:rStyle w:val="Hyperlink"/>
            <w:noProof/>
          </w:rPr>
          <w:t>TSHD</w:t>
        </w:r>
        <w:r w:rsidRPr="00747969">
          <w:rPr>
            <w:rStyle w:val="Hyperlink"/>
            <w:noProof/>
            <w:spacing w:val="-2"/>
          </w:rPr>
          <w:t xml:space="preserve"> </w:t>
        </w:r>
        <w:r w:rsidRPr="00747969">
          <w:rPr>
            <w:rStyle w:val="Hyperlink"/>
            <w:noProof/>
          </w:rPr>
          <w:t>campaigns</w:t>
        </w:r>
        <w:r w:rsidRPr="00747969">
          <w:rPr>
            <w:rStyle w:val="Hyperlink"/>
            <w:noProof/>
            <w:spacing w:val="-3"/>
          </w:rPr>
          <w:t xml:space="preserve"> </w:t>
        </w:r>
        <w:r w:rsidRPr="00747969">
          <w:rPr>
            <w:rStyle w:val="Hyperlink"/>
            <w:noProof/>
          </w:rPr>
          <w:t>(Option</w:t>
        </w:r>
        <w:r w:rsidRPr="00747969">
          <w:rPr>
            <w:rStyle w:val="Hyperlink"/>
            <w:noProof/>
            <w:spacing w:val="-2"/>
          </w:rPr>
          <w:t xml:space="preserve"> </w:t>
        </w:r>
        <w:r w:rsidRPr="00747969">
          <w:rPr>
            <w:rStyle w:val="Hyperlink"/>
            <w:noProof/>
            <w:spacing w:val="-5"/>
          </w:rPr>
          <w:t>2B)</w:t>
        </w:r>
        <w:r>
          <w:rPr>
            <w:noProof/>
            <w:webHidden/>
          </w:rPr>
          <w:tab/>
        </w:r>
        <w:r>
          <w:rPr>
            <w:noProof/>
            <w:webHidden/>
          </w:rPr>
          <w:fldChar w:fldCharType="begin"/>
        </w:r>
        <w:r>
          <w:rPr>
            <w:noProof/>
            <w:webHidden/>
          </w:rPr>
          <w:instrText xml:space="preserve"> PAGEREF _Toc216699561 \h </w:instrText>
        </w:r>
        <w:r>
          <w:rPr>
            <w:noProof/>
            <w:webHidden/>
          </w:rPr>
        </w:r>
        <w:r>
          <w:rPr>
            <w:noProof/>
            <w:webHidden/>
          </w:rPr>
          <w:fldChar w:fldCharType="separate"/>
        </w:r>
        <w:r>
          <w:rPr>
            <w:noProof/>
            <w:webHidden/>
          </w:rPr>
          <w:t>130</w:t>
        </w:r>
        <w:r>
          <w:rPr>
            <w:noProof/>
            <w:webHidden/>
          </w:rPr>
          <w:fldChar w:fldCharType="end"/>
        </w:r>
      </w:hyperlink>
    </w:p>
    <w:p w14:paraId="06DAADE9" w14:textId="4E61FC9B"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62" w:history="1">
        <w:r w:rsidRPr="00747969">
          <w:rPr>
            <w:rStyle w:val="Hyperlink"/>
            <w:noProof/>
          </w:rPr>
          <w:t>Table 14</w:t>
        </w:r>
        <w:r w:rsidRPr="00747969">
          <w:rPr>
            <w:rStyle w:val="Hyperlink"/>
            <w:noProof/>
          </w:rPr>
          <w:noBreakHyphen/>
          <w:t>5:</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Constraints</w:t>
        </w:r>
        <w:r w:rsidRPr="00747969">
          <w:rPr>
            <w:rStyle w:val="Hyperlink"/>
            <w:noProof/>
            <w:spacing w:val="-3"/>
          </w:rPr>
          <w:t xml:space="preserve"> </w:t>
        </w:r>
        <w:r w:rsidRPr="00747969">
          <w:rPr>
            <w:rStyle w:val="Hyperlink"/>
            <w:noProof/>
          </w:rPr>
          <w:t>analysis</w:t>
        </w:r>
        <w:r w:rsidRPr="00747969">
          <w:rPr>
            <w:rStyle w:val="Hyperlink"/>
            <w:noProof/>
            <w:spacing w:val="-2"/>
          </w:rPr>
          <w:t xml:space="preserve"> criteria</w:t>
        </w:r>
        <w:r>
          <w:rPr>
            <w:noProof/>
            <w:webHidden/>
          </w:rPr>
          <w:tab/>
        </w:r>
        <w:r>
          <w:rPr>
            <w:noProof/>
            <w:webHidden/>
          </w:rPr>
          <w:fldChar w:fldCharType="begin"/>
        </w:r>
        <w:r>
          <w:rPr>
            <w:noProof/>
            <w:webHidden/>
          </w:rPr>
          <w:instrText xml:space="preserve"> PAGEREF _Toc216699562 \h </w:instrText>
        </w:r>
        <w:r>
          <w:rPr>
            <w:noProof/>
            <w:webHidden/>
          </w:rPr>
        </w:r>
        <w:r>
          <w:rPr>
            <w:noProof/>
            <w:webHidden/>
          </w:rPr>
          <w:fldChar w:fldCharType="separate"/>
        </w:r>
        <w:r>
          <w:rPr>
            <w:noProof/>
            <w:webHidden/>
          </w:rPr>
          <w:t>142</w:t>
        </w:r>
        <w:r>
          <w:rPr>
            <w:noProof/>
            <w:webHidden/>
          </w:rPr>
          <w:fldChar w:fldCharType="end"/>
        </w:r>
      </w:hyperlink>
    </w:p>
    <w:p w14:paraId="0E4E65F7" w14:textId="37E44631"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63" w:history="1">
        <w:r w:rsidRPr="00747969">
          <w:rPr>
            <w:rStyle w:val="Hyperlink"/>
            <w:noProof/>
          </w:rPr>
          <w:t>Table 14</w:t>
        </w:r>
        <w:r w:rsidRPr="00747969">
          <w:rPr>
            <w:rStyle w:val="Hyperlink"/>
            <w:noProof/>
          </w:rPr>
          <w:noBreakHyphen/>
          <w:t>6:</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Environmental</w:t>
        </w:r>
        <w:r w:rsidRPr="00747969">
          <w:rPr>
            <w:rStyle w:val="Hyperlink"/>
            <w:noProof/>
            <w:spacing w:val="-2"/>
          </w:rPr>
          <w:t xml:space="preserve"> </w:t>
        </w:r>
        <w:r w:rsidRPr="00747969">
          <w:rPr>
            <w:rStyle w:val="Hyperlink"/>
            <w:noProof/>
          </w:rPr>
          <w:t>constraints</w:t>
        </w:r>
        <w:r w:rsidRPr="00747969">
          <w:rPr>
            <w:rStyle w:val="Hyperlink"/>
            <w:noProof/>
            <w:spacing w:val="-3"/>
          </w:rPr>
          <w:t xml:space="preserve"> </w:t>
        </w:r>
        <w:r w:rsidRPr="00747969">
          <w:rPr>
            <w:rStyle w:val="Hyperlink"/>
            <w:noProof/>
          </w:rPr>
          <w:t>for</w:t>
        </w:r>
        <w:r w:rsidRPr="00747969">
          <w:rPr>
            <w:rStyle w:val="Hyperlink"/>
            <w:noProof/>
            <w:spacing w:val="-3"/>
          </w:rPr>
          <w:t xml:space="preserve"> </w:t>
        </w:r>
        <w:r w:rsidRPr="00747969">
          <w:rPr>
            <w:rStyle w:val="Hyperlink"/>
            <w:noProof/>
          </w:rPr>
          <w:t>excavated</w:t>
        </w:r>
        <w:r w:rsidRPr="00747969">
          <w:rPr>
            <w:rStyle w:val="Hyperlink"/>
            <w:noProof/>
            <w:spacing w:val="-2"/>
          </w:rPr>
          <w:t xml:space="preserve"> </w:t>
        </w:r>
        <w:r w:rsidRPr="00747969">
          <w:rPr>
            <w:rStyle w:val="Hyperlink"/>
            <w:noProof/>
          </w:rPr>
          <w:t>sand</w:t>
        </w:r>
        <w:r w:rsidRPr="00747969">
          <w:rPr>
            <w:rStyle w:val="Hyperlink"/>
            <w:noProof/>
            <w:spacing w:val="-2"/>
          </w:rPr>
          <w:t xml:space="preserve"> </w:t>
        </w:r>
        <w:r w:rsidRPr="00747969">
          <w:rPr>
            <w:rStyle w:val="Hyperlink"/>
            <w:noProof/>
          </w:rPr>
          <w:t>trap</w:t>
        </w:r>
        <w:r w:rsidRPr="00747969">
          <w:rPr>
            <w:rStyle w:val="Hyperlink"/>
            <w:noProof/>
            <w:spacing w:val="-3"/>
          </w:rPr>
          <w:t xml:space="preserve"> </w:t>
        </w:r>
        <w:r w:rsidRPr="00747969">
          <w:rPr>
            <w:rStyle w:val="Hyperlink"/>
            <w:noProof/>
          </w:rPr>
          <w:t>with</w:t>
        </w:r>
        <w:r w:rsidRPr="00747969">
          <w:rPr>
            <w:rStyle w:val="Hyperlink"/>
            <w:noProof/>
            <w:spacing w:val="-3"/>
          </w:rPr>
          <w:t xml:space="preserve"> </w:t>
        </w:r>
        <w:r w:rsidRPr="00747969">
          <w:rPr>
            <w:rStyle w:val="Hyperlink"/>
            <w:noProof/>
          </w:rPr>
          <w:t>semi-permanent</w:t>
        </w:r>
        <w:r w:rsidRPr="00747969">
          <w:rPr>
            <w:rStyle w:val="Hyperlink"/>
            <w:noProof/>
            <w:spacing w:val="-2"/>
          </w:rPr>
          <w:t xml:space="preserve"> </w:t>
        </w:r>
        <w:r w:rsidRPr="00747969">
          <w:rPr>
            <w:rStyle w:val="Hyperlink"/>
            <w:noProof/>
          </w:rPr>
          <w:t>pump</w:t>
        </w:r>
        <w:r w:rsidRPr="00747969">
          <w:rPr>
            <w:rStyle w:val="Hyperlink"/>
            <w:noProof/>
            <w:spacing w:val="-3"/>
          </w:rPr>
          <w:t xml:space="preserve"> </w:t>
        </w:r>
        <w:r w:rsidRPr="00747969">
          <w:rPr>
            <w:rStyle w:val="Hyperlink"/>
            <w:noProof/>
          </w:rPr>
          <w:t>system</w:t>
        </w:r>
        <w:r w:rsidRPr="00747969">
          <w:rPr>
            <w:rStyle w:val="Hyperlink"/>
            <w:noProof/>
            <w:spacing w:val="-2"/>
          </w:rPr>
          <w:t xml:space="preserve"> </w:t>
        </w:r>
        <w:r w:rsidRPr="00747969">
          <w:rPr>
            <w:rStyle w:val="Hyperlink"/>
            <w:noProof/>
          </w:rPr>
          <w:t>(Option</w:t>
        </w:r>
        <w:r w:rsidRPr="00747969">
          <w:rPr>
            <w:rStyle w:val="Hyperlink"/>
            <w:noProof/>
            <w:spacing w:val="-3"/>
          </w:rPr>
          <w:t xml:space="preserve"> </w:t>
        </w:r>
        <w:r w:rsidRPr="00747969">
          <w:rPr>
            <w:rStyle w:val="Hyperlink"/>
            <w:noProof/>
            <w:spacing w:val="-5"/>
          </w:rPr>
          <w:t>2C)</w:t>
        </w:r>
        <w:r>
          <w:rPr>
            <w:noProof/>
            <w:webHidden/>
          </w:rPr>
          <w:tab/>
        </w:r>
        <w:r>
          <w:rPr>
            <w:noProof/>
            <w:webHidden/>
          </w:rPr>
          <w:fldChar w:fldCharType="begin"/>
        </w:r>
        <w:r>
          <w:rPr>
            <w:noProof/>
            <w:webHidden/>
          </w:rPr>
          <w:instrText xml:space="preserve"> PAGEREF _Toc216699563 \h </w:instrText>
        </w:r>
        <w:r>
          <w:rPr>
            <w:noProof/>
            <w:webHidden/>
          </w:rPr>
        </w:r>
        <w:r>
          <w:rPr>
            <w:noProof/>
            <w:webHidden/>
          </w:rPr>
          <w:fldChar w:fldCharType="separate"/>
        </w:r>
        <w:r>
          <w:rPr>
            <w:noProof/>
            <w:webHidden/>
          </w:rPr>
          <w:t>142</w:t>
        </w:r>
        <w:r>
          <w:rPr>
            <w:noProof/>
            <w:webHidden/>
          </w:rPr>
          <w:fldChar w:fldCharType="end"/>
        </w:r>
      </w:hyperlink>
    </w:p>
    <w:p w14:paraId="70AA6F8C" w14:textId="16117816"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64" w:history="1">
        <w:r w:rsidRPr="00747969">
          <w:rPr>
            <w:rStyle w:val="Hyperlink"/>
            <w:noProof/>
          </w:rPr>
          <w:t>Table 14</w:t>
        </w:r>
        <w:r w:rsidRPr="00747969">
          <w:rPr>
            <w:rStyle w:val="Hyperlink"/>
            <w:noProof/>
          </w:rPr>
          <w:noBreakHyphen/>
          <w:t>7:</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Comparing</w:t>
        </w:r>
        <w:r w:rsidRPr="00747969">
          <w:rPr>
            <w:rStyle w:val="Hyperlink"/>
            <w:noProof/>
            <w:spacing w:val="-1"/>
          </w:rPr>
          <w:t xml:space="preserve"> </w:t>
        </w:r>
        <w:r w:rsidRPr="00747969">
          <w:rPr>
            <w:rStyle w:val="Hyperlink"/>
            <w:noProof/>
          </w:rPr>
          <w:t>of</w:t>
        </w:r>
        <w:r w:rsidRPr="00747969">
          <w:rPr>
            <w:rStyle w:val="Hyperlink"/>
            <w:noProof/>
            <w:spacing w:val="-2"/>
          </w:rPr>
          <w:t xml:space="preserve"> </w:t>
        </w:r>
        <w:r w:rsidRPr="00747969">
          <w:rPr>
            <w:rStyle w:val="Hyperlink"/>
            <w:noProof/>
          </w:rPr>
          <w:t>Option</w:t>
        </w:r>
        <w:r w:rsidRPr="00747969">
          <w:rPr>
            <w:rStyle w:val="Hyperlink"/>
            <w:noProof/>
            <w:spacing w:val="-1"/>
          </w:rPr>
          <w:t xml:space="preserve"> </w:t>
        </w:r>
        <w:r w:rsidRPr="00747969">
          <w:rPr>
            <w:rStyle w:val="Hyperlink"/>
            <w:noProof/>
          </w:rPr>
          <w:t>2</w:t>
        </w:r>
        <w:r w:rsidRPr="00747969">
          <w:rPr>
            <w:rStyle w:val="Hyperlink"/>
            <w:noProof/>
            <w:spacing w:val="-3"/>
          </w:rPr>
          <w:t xml:space="preserve"> </w:t>
        </w:r>
        <w:r w:rsidRPr="00747969">
          <w:rPr>
            <w:rStyle w:val="Hyperlink"/>
            <w:noProof/>
            <w:spacing w:val="-2"/>
          </w:rPr>
          <w:t>variations</w:t>
        </w:r>
        <w:r>
          <w:rPr>
            <w:noProof/>
            <w:webHidden/>
          </w:rPr>
          <w:tab/>
        </w:r>
        <w:r>
          <w:rPr>
            <w:noProof/>
            <w:webHidden/>
          </w:rPr>
          <w:fldChar w:fldCharType="begin"/>
        </w:r>
        <w:r>
          <w:rPr>
            <w:noProof/>
            <w:webHidden/>
          </w:rPr>
          <w:instrText xml:space="preserve"> PAGEREF _Toc216699564 \h </w:instrText>
        </w:r>
        <w:r>
          <w:rPr>
            <w:noProof/>
            <w:webHidden/>
          </w:rPr>
        </w:r>
        <w:r>
          <w:rPr>
            <w:noProof/>
            <w:webHidden/>
          </w:rPr>
          <w:fldChar w:fldCharType="separate"/>
        </w:r>
        <w:r>
          <w:rPr>
            <w:noProof/>
            <w:webHidden/>
          </w:rPr>
          <w:t>152</w:t>
        </w:r>
        <w:r>
          <w:rPr>
            <w:noProof/>
            <w:webHidden/>
          </w:rPr>
          <w:fldChar w:fldCharType="end"/>
        </w:r>
      </w:hyperlink>
    </w:p>
    <w:p w14:paraId="55863E40" w14:textId="1450A327"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65" w:history="1">
        <w:r w:rsidRPr="00747969">
          <w:rPr>
            <w:rStyle w:val="Hyperlink"/>
            <w:noProof/>
          </w:rPr>
          <w:t>Table 14</w:t>
        </w:r>
        <w:r w:rsidRPr="00747969">
          <w:rPr>
            <w:rStyle w:val="Hyperlink"/>
            <w:noProof/>
          </w:rPr>
          <w:noBreakHyphen/>
          <w:t>8:</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Comparison of</w:t>
        </w:r>
        <w:r w:rsidRPr="00747969">
          <w:rPr>
            <w:rStyle w:val="Hyperlink"/>
            <w:noProof/>
            <w:spacing w:val="-2"/>
          </w:rPr>
          <w:t xml:space="preserve"> </w:t>
        </w:r>
        <w:r w:rsidRPr="00747969">
          <w:rPr>
            <w:rStyle w:val="Hyperlink"/>
            <w:noProof/>
          </w:rPr>
          <w:t>CAPEX</w:t>
        </w:r>
        <w:r w:rsidRPr="00747969">
          <w:rPr>
            <w:rStyle w:val="Hyperlink"/>
            <w:noProof/>
            <w:spacing w:val="-1"/>
          </w:rPr>
          <w:t xml:space="preserve"> </w:t>
        </w:r>
        <w:r w:rsidRPr="00747969">
          <w:rPr>
            <w:rStyle w:val="Hyperlink"/>
            <w:noProof/>
          </w:rPr>
          <w:t>vs</w:t>
        </w:r>
        <w:r w:rsidRPr="00747969">
          <w:rPr>
            <w:rStyle w:val="Hyperlink"/>
            <w:noProof/>
            <w:spacing w:val="-2"/>
          </w:rPr>
          <w:t xml:space="preserve"> </w:t>
        </w:r>
        <w:r w:rsidRPr="00747969">
          <w:rPr>
            <w:rStyle w:val="Hyperlink"/>
            <w:noProof/>
          </w:rPr>
          <w:t>OPEX</w:t>
        </w:r>
        <w:r w:rsidRPr="00747969">
          <w:rPr>
            <w:rStyle w:val="Hyperlink"/>
            <w:noProof/>
            <w:spacing w:val="-2"/>
          </w:rPr>
          <w:t xml:space="preserve"> </w:t>
        </w:r>
        <w:r w:rsidRPr="00747969">
          <w:rPr>
            <w:rStyle w:val="Hyperlink"/>
            <w:noProof/>
          </w:rPr>
          <w:t>for</w:t>
        </w:r>
        <w:r w:rsidRPr="00747969">
          <w:rPr>
            <w:rStyle w:val="Hyperlink"/>
            <w:noProof/>
            <w:spacing w:val="-2"/>
          </w:rPr>
          <w:t xml:space="preserve"> </w:t>
        </w:r>
        <w:r w:rsidRPr="00747969">
          <w:rPr>
            <w:rStyle w:val="Hyperlink"/>
            <w:noProof/>
          </w:rPr>
          <w:t>Option</w:t>
        </w:r>
        <w:r w:rsidRPr="00747969">
          <w:rPr>
            <w:rStyle w:val="Hyperlink"/>
            <w:noProof/>
            <w:spacing w:val="-1"/>
          </w:rPr>
          <w:t xml:space="preserve"> </w:t>
        </w:r>
        <w:r w:rsidRPr="00747969">
          <w:rPr>
            <w:rStyle w:val="Hyperlink"/>
            <w:noProof/>
          </w:rPr>
          <w:t>2</w:t>
        </w:r>
        <w:r w:rsidRPr="00747969">
          <w:rPr>
            <w:rStyle w:val="Hyperlink"/>
            <w:noProof/>
            <w:spacing w:val="-2"/>
          </w:rPr>
          <w:t xml:space="preserve"> variations</w:t>
        </w:r>
        <w:r>
          <w:rPr>
            <w:noProof/>
            <w:webHidden/>
          </w:rPr>
          <w:tab/>
        </w:r>
        <w:r>
          <w:rPr>
            <w:noProof/>
            <w:webHidden/>
          </w:rPr>
          <w:fldChar w:fldCharType="begin"/>
        </w:r>
        <w:r>
          <w:rPr>
            <w:noProof/>
            <w:webHidden/>
          </w:rPr>
          <w:instrText xml:space="preserve"> PAGEREF _Toc216699565 \h </w:instrText>
        </w:r>
        <w:r>
          <w:rPr>
            <w:noProof/>
            <w:webHidden/>
          </w:rPr>
        </w:r>
        <w:r>
          <w:rPr>
            <w:noProof/>
            <w:webHidden/>
          </w:rPr>
          <w:fldChar w:fldCharType="separate"/>
        </w:r>
        <w:r>
          <w:rPr>
            <w:noProof/>
            <w:webHidden/>
          </w:rPr>
          <w:t>153</w:t>
        </w:r>
        <w:r>
          <w:rPr>
            <w:noProof/>
            <w:webHidden/>
          </w:rPr>
          <w:fldChar w:fldCharType="end"/>
        </w:r>
      </w:hyperlink>
    </w:p>
    <w:p w14:paraId="1A0F08C6" w14:textId="4B13DB23"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66" w:history="1">
        <w:r w:rsidRPr="00747969">
          <w:rPr>
            <w:rStyle w:val="Hyperlink"/>
            <w:noProof/>
          </w:rPr>
          <w:t>Table 14</w:t>
        </w:r>
        <w:r w:rsidRPr="00747969">
          <w:rPr>
            <w:rStyle w:val="Hyperlink"/>
            <w:noProof/>
          </w:rPr>
          <w:noBreakHyphen/>
          <w:t>9:</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Option 2A</w:t>
        </w:r>
        <w:r w:rsidRPr="00747969">
          <w:rPr>
            <w:rStyle w:val="Hyperlink"/>
            <w:noProof/>
            <w:spacing w:val="-1"/>
          </w:rPr>
          <w:t xml:space="preserve"> </w:t>
        </w:r>
        <w:r w:rsidRPr="00747969">
          <w:rPr>
            <w:rStyle w:val="Hyperlink"/>
            <w:noProof/>
          </w:rPr>
          <w:t>MCA</w:t>
        </w:r>
        <w:r w:rsidRPr="00747969">
          <w:rPr>
            <w:rStyle w:val="Hyperlink"/>
            <w:noProof/>
            <w:spacing w:val="-1"/>
          </w:rPr>
          <w:t xml:space="preserve"> </w:t>
        </w:r>
        <w:r w:rsidRPr="00747969">
          <w:rPr>
            <w:rStyle w:val="Hyperlink"/>
            <w:noProof/>
            <w:spacing w:val="-2"/>
          </w:rPr>
          <w:t>scoring</w:t>
        </w:r>
        <w:r>
          <w:rPr>
            <w:noProof/>
            <w:webHidden/>
          </w:rPr>
          <w:tab/>
        </w:r>
        <w:r>
          <w:rPr>
            <w:noProof/>
            <w:webHidden/>
          </w:rPr>
          <w:fldChar w:fldCharType="begin"/>
        </w:r>
        <w:r>
          <w:rPr>
            <w:noProof/>
            <w:webHidden/>
          </w:rPr>
          <w:instrText xml:space="preserve"> PAGEREF _Toc216699566 \h </w:instrText>
        </w:r>
        <w:r>
          <w:rPr>
            <w:noProof/>
            <w:webHidden/>
          </w:rPr>
        </w:r>
        <w:r>
          <w:rPr>
            <w:noProof/>
            <w:webHidden/>
          </w:rPr>
          <w:fldChar w:fldCharType="separate"/>
        </w:r>
        <w:r>
          <w:rPr>
            <w:noProof/>
            <w:webHidden/>
          </w:rPr>
          <w:t>155</w:t>
        </w:r>
        <w:r>
          <w:rPr>
            <w:noProof/>
            <w:webHidden/>
          </w:rPr>
          <w:fldChar w:fldCharType="end"/>
        </w:r>
      </w:hyperlink>
    </w:p>
    <w:p w14:paraId="4DD06082" w14:textId="2234311F"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67" w:history="1">
        <w:r w:rsidRPr="00747969">
          <w:rPr>
            <w:rStyle w:val="Hyperlink"/>
            <w:noProof/>
          </w:rPr>
          <w:t>Table 14</w:t>
        </w:r>
        <w:r w:rsidRPr="00747969">
          <w:rPr>
            <w:rStyle w:val="Hyperlink"/>
            <w:noProof/>
          </w:rPr>
          <w:noBreakHyphen/>
          <w:t>10:</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Option</w:t>
        </w:r>
        <w:r w:rsidRPr="00747969">
          <w:rPr>
            <w:rStyle w:val="Hyperlink"/>
            <w:noProof/>
            <w:spacing w:val="-2"/>
          </w:rPr>
          <w:t xml:space="preserve"> </w:t>
        </w:r>
        <w:r w:rsidRPr="00747969">
          <w:rPr>
            <w:rStyle w:val="Hyperlink"/>
            <w:noProof/>
          </w:rPr>
          <w:t>2B</w:t>
        </w:r>
        <w:r w:rsidRPr="00747969">
          <w:rPr>
            <w:rStyle w:val="Hyperlink"/>
            <w:noProof/>
            <w:spacing w:val="-1"/>
          </w:rPr>
          <w:t xml:space="preserve"> </w:t>
        </w:r>
        <w:r w:rsidRPr="00747969">
          <w:rPr>
            <w:rStyle w:val="Hyperlink"/>
            <w:noProof/>
          </w:rPr>
          <w:t>MCA</w:t>
        </w:r>
        <w:r w:rsidRPr="00747969">
          <w:rPr>
            <w:rStyle w:val="Hyperlink"/>
            <w:noProof/>
            <w:spacing w:val="-1"/>
          </w:rPr>
          <w:t xml:space="preserve"> </w:t>
        </w:r>
        <w:r w:rsidRPr="00747969">
          <w:rPr>
            <w:rStyle w:val="Hyperlink"/>
            <w:noProof/>
            <w:spacing w:val="-2"/>
          </w:rPr>
          <w:t>scoring</w:t>
        </w:r>
        <w:r>
          <w:rPr>
            <w:noProof/>
            <w:webHidden/>
          </w:rPr>
          <w:tab/>
        </w:r>
        <w:r>
          <w:rPr>
            <w:noProof/>
            <w:webHidden/>
          </w:rPr>
          <w:fldChar w:fldCharType="begin"/>
        </w:r>
        <w:r>
          <w:rPr>
            <w:noProof/>
            <w:webHidden/>
          </w:rPr>
          <w:instrText xml:space="preserve"> PAGEREF _Toc216699567 \h </w:instrText>
        </w:r>
        <w:r>
          <w:rPr>
            <w:noProof/>
            <w:webHidden/>
          </w:rPr>
        </w:r>
        <w:r>
          <w:rPr>
            <w:noProof/>
            <w:webHidden/>
          </w:rPr>
          <w:fldChar w:fldCharType="separate"/>
        </w:r>
        <w:r>
          <w:rPr>
            <w:noProof/>
            <w:webHidden/>
          </w:rPr>
          <w:t>156</w:t>
        </w:r>
        <w:r>
          <w:rPr>
            <w:noProof/>
            <w:webHidden/>
          </w:rPr>
          <w:fldChar w:fldCharType="end"/>
        </w:r>
      </w:hyperlink>
    </w:p>
    <w:p w14:paraId="4E132721" w14:textId="7631CF61"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68" w:history="1">
        <w:r w:rsidRPr="00747969">
          <w:rPr>
            <w:rStyle w:val="Hyperlink"/>
            <w:noProof/>
          </w:rPr>
          <w:t>Table 14</w:t>
        </w:r>
        <w:r w:rsidRPr="00747969">
          <w:rPr>
            <w:rStyle w:val="Hyperlink"/>
            <w:noProof/>
          </w:rPr>
          <w:noBreakHyphen/>
          <w:t>11:</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Option</w:t>
        </w:r>
        <w:r w:rsidRPr="00747969">
          <w:rPr>
            <w:rStyle w:val="Hyperlink"/>
            <w:noProof/>
            <w:spacing w:val="-2"/>
          </w:rPr>
          <w:t xml:space="preserve"> </w:t>
        </w:r>
        <w:r w:rsidRPr="00747969">
          <w:rPr>
            <w:rStyle w:val="Hyperlink"/>
            <w:noProof/>
          </w:rPr>
          <w:t>2C</w:t>
        </w:r>
        <w:r w:rsidRPr="00747969">
          <w:rPr>
            <w:rStyle w:val="Hyperlink"/>
            <w:noProof/>
            <w:spacing w:val="-1"/>
          </w:rPr>
          <w:t xml:space="preserve"> </w:t>
        </w:r>
        <w:r w:rsidRPr="00747969">
          <w:rPr>
            <w:rStyle w:val="Hyperlink"/>
            <w:noProof/>
          </w:rPr>
          <w:t>MCA</w:t>
        </w:r>
        <w:r w:rsidRPr="00747969">
          <w:rPr>
            <w:rStyle w:val="Hyperlink"/>
            <w:noProof/>
            <w:spacing w:val="-1"/>
          </w:rPr>
          <w:t xml:space="preserve"> </w:t>
        </w:r>
        <w:r w:rsidRPr="00747969">
          <w:rPr>
            <w:rStyle w:val="Hyperlink"/>
            <w:noProof/>
            <w:spacing w:val="-2"/>
          </w:rPr>
          <w:t>scoring</w:t>
        </w:r>
        <w:r>
          <w:rPr>
            <w:noProof/>
            <w:webHidden/>
          </w:rPr>
          <w:tab/>
        </w:r>
        <w:r>
          <w:rPr>
            <w:noProof/>
            <w:webHidden/>
          </w:rPr>
          <w:fldChar w:fldCharType="begin"/>
        </w:r>
        <w:r>
          <w:rPr>
            <w:noProof/>
            <w:webHidden/>
          </w:rPr>
          <w:instrText xml:space="preserve"> PAGEREF _Toc216699568 \h </w:instrText>
        </w:r>
        <w:r>
          <w:rPr>
            <w:noProof/>
            <w:webHidden/>
          </w:rPr>
        </w:r>
        <w:r>
          <w:rPr>
            <w:noProof/>
            <w:webHidden/>
          </w:rPr>
          <w:fldChar w:fldCharType="separate"/>
        </w:r>
        <w:r>
          <w:rPr>
            <w:noProof/>
            <w:webHidden/>
          </w:rPr>
          <w:t>158</w:t>
        </w:r>
        <w:r>
          <w:rPr>
            <w:noProof/>
            <w:webHidden/>
          </w:rPr>
          <w:fldChar w:fldCharType="end"/>
        </w:r>
      </w:hyperlink>
    </w:p>
    <w:p w14:paraId="4FD0F6E7" w14:textId="0EA809B2"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69" w:history="1">
        <w:r w:rsidRPr="00747969">
          <w:rPr>
            <w:rStyle w:val="Hyperlink"/>
            <w:noProof/>
          </w:rPr>
          <w:t>Table 15</w:t>
        </w:r>
        <w:r w:rsidRPr="00747969">
          <w:rPr>
            <w:rStyle w:val="Hyperlink"/>
            <w:noProof/>
          </w:rPr>
          <w:noBreakHyphen/>
          <w:t>1:</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Constraints</w:t>
        </w:r>
        <w:r w:rsidRPr="00747969">
          <w:rPr>
            <w:rStyle w:val="Hyperlink"/>
            <w:noProof/>
            <w:spacing w:val="-5"/>
          </w:rPr>
          <w:t xml:space="preserve"> </w:t>
        </w:r>
        <w:r w:rsidRPr="00747969">
          <w:rPr>
            <w:rStyle w:val="Hyperlink"/>
            <w:noProof/>
          </w:rPr>
          <w:t>analysis</w:t>
        </w:r>
        <w:r w:rsidRPr="00747969">
          <w:rPr>
            <w:rStyle w:val="Hyperlink"/>
            <w:noProof/>
            <w:spacing w:val="-5"/>
          </w:rPr>
          <w:t xml:space="preserve"> </w:t>
        </w:r>
        <w:r w:rsidRPr="00747969">
          <w:rPr>
            <w:rStyle w:val="Hyperlink"/>
            <w:noProof/>
            <w:spacing w:val="-2"/>
          </w:rPr>
          <w:t>criteria</w:t>
        </w:r>
        <w:r>
          <w:rPr>
            <w:noProof/>
            <w:webHidden/>
          </w:rPr>
          <w:tab/>
        </w:r>
        <w:r>
          <w:rPr>
            <w:noProof/>
            <w:webHidden/>
          </w:rPr>
          <w:fldChar w:fldCharType="begin"/>
        </w:r>
        <w:r>
          <w:rPr>
            <w:noProof/>
            <w:webHidden/>
          </w:rPr>
          <w:instrText xml:space="preserve"> PAGEREF _Toc216699569 \h </w:instrText>
        </w:r>
        <w:r>
          <w:rPr>
            <w:noProof/>
            <w:webHidden/>
          </w:rPr>
        </w:r>
        <w:r>
          <w:rPr>
            <w:noProof/>
            <w:webHidden/>
          </w:rPr>
          <w:fldChar w:fldCharType="separate"/>
        </w:r>
        <w:r>
          <w:rPr>
            <w:noProof/>
            <w:webHidden/>
          </w:rPr>
          <w:t>165</w:t>
        </w:r>
        <w:r>
          <w:rPr>
            <w:noProof/>
            <w:webHidden/>
          </w:rPr>
          <w:fldChar w:fldCharType="end"/>
        </w:r>
      </w:hyperlink>
    </w:p>
    <w:p w14:paraId="1E9CD48F" w14:textId="1B9E0070"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70" w:history="1">
        <w:r w:rsidRPr="00747969">
          <w:rPr>
            <w:rStyle w:val="Hyperlink"/>
            <w:noProof/>
          </w:rPr>
          <w:t>Table 15</w:t>
        </w:r>
        <w:r w:rsidRPr="00747969">
          <w:rPr>
            <w:rStyle w:val="Hyperlink"/>
            <w:noProof/>
          </w:rPr>
          <w:noBreakHyphen/>
          <w:t>2:</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Environmental</w:t>
        </w:r>
        <w:r w:rsidRPr="00747969">
          <w:rPr>
            <w:rStyle w:val="Hyperlink"/>
            <w:noProof/>
            <w:spacing w:val="-2"/>
          </w:rPr>
          <w:t xml:space="preserve"> </w:t>
        </w:r>
        <w:r w:rsidRPr="00747969">
          <w:rPr>
            <w:rStyle w:val="Hyperlink"/>
            <w:noProof/>
          </w:rPr>
          <w:t>constraints</w:t>
        </w:r>
        <w:r w:rsidRPr="00747969">
          <w:rPr>
            <w:rStyle w:val="Hyperlink"/>
            <w:noProof/>
            <w:spacing w:val="-4"/>
          </w:rPr>
          <w:t xml:space="preserve"> </w:t>
        </w:r>
        <w:r w:rsidRPr="00747969">
          <w:rPr>
            <w:rStyle w:val="Hyperlink"/>
            <w:noProof/>
          </w:rPr>
          <w:t>for</w:t>
        </w:r>
        <w:r w:rsidRPr="00747969">
          <w:rPr>
            <w:rStyle w:val="Hyperlink"/>
            <w:noProof/>
            <w:spacing w:val="-3"/>
          </w:rPr>
          <w:t xml:space="preserve"> </w:t>
        </w:r>
        <w:r w:rsidRPr="00747969">
          <w:rPr>
            <w:rStyle w:val="Hyperlink"/>
            <w:noProof/>
          </w:rPr>
          <w:t>breakwater</w:t>
        </w:r>
        <w:r w:rsidRPr="00747969">
          <w:rPr>
            <w:rStyle w:val="Hyperlink"/>
            <w:noProof/>
            <w:spacing w:val="-2"/>
          </w:rPr>
          <w:t xml:space="preserve"> </w:t>
        </w:r>
        <w:r w:rsidRPr="00747969">
          <w:rPr>
            <w:rStyle w:val="Hyperlink"/>
            <w:noProof/>
          </w:rPr>
          <w:t>extensions</w:t>
        </w:r>
        <w:r w:rsidRPr="00747969">
          <w:rPr>
            <w:rStyle w:val="Hyperlink"/>
            <w:noProof/>
            <w:spacing w:val="-3"/>
          </w:rPr>
          <w:t xml:space="preserve"> </w:t>
        </w:r>
        <w:r w:rsidRPr="00747969">
          <w:rPr>
            <w:rStyle w:val="Hyperlink"/>
            <w:noProof/>
          </w:rPr>
          <w:t>with</w:t>
        </w:r>
        <w:r w:rsidRPr="00747969">
          <w:rPr>
            <w:rStyle w:val="Hyperlink"/>
            <w:noProof/>
            <w:spacing w:val="-2"/>
          </w:rPr>
          <w:t xml:space="preserve"> </w:t>
        </w:r>
        <w:r w:rsidRPr="00747969">
          <w:rPr>
            <w:rStyle w:val="Hyperlink"/>
            <w:noProof/>
          </w:rPr>
          <w:t>dredging</w:t>
        </w:r>
        <w:r w:rsidRPr="00747969">
          <w:rPr>
            <w:rStyle w:val="Hyperlink"/>
            <w:noProof/>
            <w:spacing w:val="-3"/>
          </w:rPr>
          <w:t xml:space="preserve"> </w:t>
        </w:r>
        <w:r w:rsidRPr="00747969">
          <w:rPr>
            <w:rStyle w:val="Hyperlink"/>
            <w:noProof/>
          </w:rPr>
          <w:t>and</w:t>
        </w:r>
        <w:r w:rsidRPr="00747969">
          <w:rPr>
            <w:rStyle w:val="Hyperlink"/>
            <w:noProof/>
            <w:spacing w:val="-2"/>
          </w:rPr>
          <w:t xml:space="preserve"> </w:t>
        </w:r>
        <w:r w:rsidRPr="00747969">
          <w:rPr>
            <w:rStyle w:val="Hyperlink"/>
            <w:noProof/>
          </w:rPr>
          <w:t>placement</w:t>
        </w:r>
        <w:r w:rsidRPr="00747969">
          <w:rPr>
            <w:rStyle w:val="Hyperlink"/>
            <w:noProof/>
            <w:spacing w:val="-1"/>
          </w:rPr>
          <w:t xml:space="preserve"> </w:t>
        </w:r>
        <w:r w:rsidRPr="00747969">
          <w:rPr>
            <w:rStyle w:val="Hyperlink"/>
            <w:noProof/>
          </w:rPr>
          <w:t>(Option</w:t>
        </w:r>
        <w:r w:rsidRPr="00747969">
          <w:rPr>
            <w:rStyle w:val="Hyperlink"/>
            <w:noProof/>
            <w:spacing w:val="-2"/>
          </w:rPr>
          <w:t xml:space="preserve"> </w:t>
        </w:r>
        <w:r w:rsidRPr="00747969">
          <w:rPr>
            <w:rStyle w:val="Hyperlink"/>
            <w:noProof/>
            <w:spacing w:val="-5"/>
          </w:rPr>
          <w:t>3A)</w:t>
        </w:r>
        <w:r>
          <w:rPr>
            <w:noProof/>
            <w:webHidden/>
          </w:rPr>
          <w:tab/>
        </w:r>
        <w:r>
          <w:rPr>
            <w:noProof/>
            <w:webHidden/>
          </w:rPr>
          <w:fldChar w:fldCharType="begin"/>
        </w:r>
        <w:r>
          <w:rPr>
            <w:noProof/>
            <w:webHidden/>
          </w:rPr>
          <w:instrText xml:space="preserve"> PAGEREF _Toc216699570 \h </w:instrText>
        </w:r>
        <w:r>
          <w:rPr>
            <w:noProof/>
            <w:webHidden/>
          </w:rPr>
        </w:r>
        <w:r>
          <w:rPr>
            <w:noProof/>
            <w:webHidden/>
          </w:rPr>
          <w:fldChar w:fldCharType="separate"/>
        </w:r>
        <w:r>
          <w:rPr>
            <w:noProof/>
            <w:webHidden/>
          </w:rPr>
          <w:t>165</w:t>
        </w:r>
        <w:r>
          <w:rPr>
            <w:noProof/>
            <w:webHidden/>
          </w:rPr>
          <w:fldChar w:fldCharType="end"/>
        </w:r>
      </w:hyperlink>
    </w:p>
    <w:p w14:paraId="01934739" w14:textId="2C27D2F2"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71" w:history="1">
        <w:r w:rsidRPr="00747969">
          <w:rPr>
            <w:rStyle w:val="Hyperlink"/>
            <w:noProof/>
          </w:rPr>
          <w:t>Table 15</w:t>
        </w:r>
        <w:r w:rsidRPr="00747969">
          <w:rPr>
            <w:rStyle w:val="Hyperlink"/>
            <w:noProof/>
          </w:rPr>
          <w:noBreakHyphen/>
          <w:t>3:</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Constraints</w:t>
        </w:r>
        <w:r w:rsidRPr="00747969">
          <w:rPr>
            <w:rStyle w:val="Hyperlink"/>
            <w:noProof/>
            <w:spacing w:val="-3"/>
          </w:rPr>
          <w:t xml:space="preserve"> </w:t>
        </w:r>
        <w:r w:rsidRPr="00747969">
          <w:rPr>
            <w:rStyle w:val="Hyperlink"/>
            <w:noProof/>
          </w:rPr>
          <w:t>analysis</w:t>
        </w:r>
        <w:r w:rsidRPr="00747969">
          <w:rPr>
            <w:rStyle w:val="Hyperlink"/>
            <w:noProof/>
            <w:spacing w:val="-2"/>
          </w:rPr>
          <w:t xml:space="preserve"> criteria</w:t>
        </w:r>
        <w:r>
          <w:rPr>
            <w:noProof/>
            <w:webHidden/>
          </w:rPr>
          <w:tab/>
        </w:r>
        <w:r>
          <w:rPr>
            <w:noProof/>
            <w:webHidden/>
          </w:rPr>
          <w:fldChar w:fldCharType="begin"/>
        </w:r>
        <w:r>
          <w:rPr>
            <w:noProof/>
            <w:webHidden/>
          </w:rPr>
          <w:instrText xml:space="preserve"> PAGEREF _Toc216699571 \h </w:instrText>
        </w:r>
        <w:r>
          <w:rPr>
            <w:noProof/>
            <w:webHidden/>
          </w:rPr>
        </w:r>
        <w:r>
          <w:rPr>
            <w:noProof/>
            <w:webHidden/>
          </w:rPr>
          <w:fldChar w:fldCharType="separate"/>
        </w:r>
        <w:r>
          <w:rPr>
            <w:noProof/>
            <w:webHidden/>
          </w:rPr>
          <w:t>177</w:t>
        </w:r>
        <w:r>
          <w:rPr>
            <w:noProof/>
            <w:webHidden/>
          </w:rPr>
          <w:fldChar w:fldCharType="end"/>
        </w:r>
      </w:hyperlink>
    </w:p>
    <w:p w14:paraId="0A1FFDF2" w14:textId="040ABAE5"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72" w:history="1">
        <w:r w:rsidRPr="00747969">
          <w:rPr>
            <w:rStyle w:val="Hyperlink"/>
            <w:noProof/>
          </w:rPr>
          <w:t>Table 15</w:t>
        </w:r>
        <w:r w:rsidRPr="00747969">
          <w:rPr>
            <w:rStyle w:val="Hyperlink"/>
            <w:noProof/>
          </w:rPr>
          <w:noBreakHyphen/>
          <w:t>4:</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Environmental</w:t>
        </w:r>
        <w:r w:rsidRPr="00747969">
          <w:rPr>
            <w:rStyle w:val="Hyperlink"/>
            <w:noProof/>
            <w:spacing w:val="-2"/>
          </w:rPr>
          <w:t xml:space="preserve"> </w:t>
        </w:r>
        <w:r w:rsidRPr="00747969">
          <w:rPr>
            <w:rStyle w:val="Hyperlink"/>
            <w:noProof/>
          </w:rPr>
          <w:t>constraints</w:t>
        </w:r>
        <w:r w:rsidRPr="00747969">
          <w:rPr>
            <w:rStyle w:val="Hyperlink"/>
            <w:noProof/>
            <w:spacing w:val="-3"/>
          </w:rPr>
          <w:t xml:space="preserve"> </w:t>
        </w:r>
        <w:r w:rsidRPr="00747969">
          <w:rPr>
            <w:rStyle w:val="Hyperlink"/>
            <w:noProof/>
          </w:rPr>
          <w:t>for</w:t>
        </w:r>
        <w:r w:rsidRPr="00747969">
          <w:rPr>
            <w:rStyle w:val="Hyperlink"/>
            <w:noProof/>
            <w:spacing w:val="-3"/>
          </w:rPr>
          <w:t xml:space="preserve"> </w:t>
        </w:r>
        <w:r w:rsidRPr="00747969">
          <w:rPr>
            <w:rStyle w:val="Hyperlink"/>
            <w:noProof/>
          </w:rPr>
          <w:t>breakwater</w:t>
        </w:r>
        <w:r w:rsidRPr="00747969">
          <w:rPr>
            <w:rStyle w:val="Hyperlink"/>
            <w:noProof/>
            <w:spacing w:val="-2"/>
          </w:rPr>
          <w:t xml:space="preserve"> </w:t>
        </w:r>
        <w:r w:rsidRPr="00747969">
          <w:rPr>
            <w:rStyle w:val="Hyperlink"/>
            <w:noProof/>
          </w:rPr>
          <w:t>extension</w:t>
        </w:r>
        <w:r w:rsidRPr="00747969">
          <w:rPr>
            <w:rStyle w:val="Hyperlink"/>
            <w:noProof/>
            <w:spacing w:val="-2"/>
          </w:rPr>
          <w:t xml:space="preserve"> </w:t>
        </w:r>
        <w:r w:rsidRPr="00747969">
          <w:rPr>
            <w:rStyle w:val="Hyperlink"/>
            <w:noProof/>
          </w:rPr>
          <w:t>with</w:t>
        </w:r>
        <w:r w:rsidRPr="00747969">
          <w:rPr>
            <w:rStyle w:val="Hyperlink"/>
            <w:noProof/>
            <w:spacing w:val="-3"/>
          </w:rPr>
          <w:t xml:space="preserve"> </w:t>
        </w:r>
        <w:r w:rsidRPr="00747969">
          <w:rPr>
            <w:rStyle w:val="Hyperlink"/>
            <w:noProof/>
          </w:rPr>
          <w:t>sand</w:t>
        </w:r>
        <w:r w:rsidRPr="00747969">
          <w:rPr>
            <w:rStyle w:val="Hyperlink"/>
            <w:noProof/>
            <w:spacing w:val="-2"/>
          </w:rPr>
          <w:t xml:space="preserve"> </w:t>
        </w:r>
        <w:r w:rsidRPr="00747969">
          <w:rPr>
            <w:rStyle w:val="Hyperlink"/>
            <w:noProof/>
          </w:rPr>
          <w:t>shifter</w:t>
        </w:r>
        <w:r w:rsidRPr="00747969">
          <w:rPr>
            <w:rStyle w:val="Hyperlink"/>
            <w:noProof/>
            <w:spacing w:val="-4"/>
          </w:rPr>
          <w:t xml:space="preserve"> </w:t>
        </w:r>
        <w:r w:rsidRPr="00747969">
          <w:rPr>
            <w:rStyle w:val="Hyperlink"/>
            <w:noProof/>
          </w:rPr>
          <w:t>bypass</w:t>
        </w:r>
        <w:r w:rsidRPr="00747969">
          <w:rPr>
            <w:rStyle w:val="Hyperlink"/>
            <w:noProof/>
            <w:spacing w:val="-4"/>
          </w:rPr>
          <w:t xml:space="preserve"> </w:t>
        </w:r>
        <w:r w:rsidRPr="00747969">
          <w:rPr>
            <w:rStyle w:val="Hyperlink"/>
            <w:noProof/>
          </w:rPr>
          <w:t>system</w:t>
        </w:r>
        <w:r w:rsidRPr="00747969">
          <w:rPr>
            <w:rStyle w:val="Hyperlink"/>
            <w:noProof/>
            <w:spacing w:val="-2"/>
          </w:rPr>
          <w:t xml:space="preserve"> </w:t>
        </w:r>
        <w:r w:rsidRPr="00747969">
          <w:rPr>
            <w:rStyle w:val="Hyperlink"/>
            <w:noProof/>
          </w:rPr>
          <w:t>(Option</w:t>
        </w:r>
        <w:r w:rsidRPr="00747969">
          <w:rPr>
            <w:rStyle w:val="Hyperlink"/>
            <w:noProof/>
            <w:spacing w:val="-2"/>
          </w:rPr>
          <w:t xml:space="preserve"> </w:t>
        </w:r>
        <w:r w:rsidRPr="00747969">
          <w:rPr>
            <w:rStyle w:val="Hyperlink"/>
            <w:noProof/>
            <w:spacing w:val="-5"/>
          </w:rPr>
          <w:t>3B)</w:t>
        </w:r>
        <w:r>
          <w:rPr>
            <w:noProof/>
            <w:webHidden/>
          </w:rPr>
          <w:tab/>
        </w:r>
        <w:r>
          <w:rPr>
            <w:noProof/>
            <w:webHidden/>
          </w:rPr>
          <w:fldChar w:fldCharType="begin"/>
        </w:r>
        <w:r>
          <w:rPr>
            <w:noProof/>
            <w:webHidden/>
          </w:rPr>
          <w:instrText xml:space="preserve"> PAGEREF _Toc216699572 \h </w:instrText>
        </w:r>
        <w:r>
          <w:rPr>
            <w:noProof/>
            <w:webHidden/>
          </w:rPr>
        </w:r>
        <w:r>
          <w:rPr>
            <w:noProof/>
            <w:webHidden/>
          </w:rPr>
          <w:fldChar w:fldCharType="separate"/>
        </w:r>
        <w:r>
          <w:rPr>
            <w:noProof/>
            <w:webHidden/>
          </w:rPr>
          <w:t>177</w:t>
        </w:r>
        <w:r>
          <w:rPr>
            <w:noProof/>
            <w:webHidden/>
          </w:rPr>
          <w:fldChar w:fldCharType="end"/>
        </w:r>
      </w:hyperlink>
    </w:p>
    <w:p w14:paraId="085DF526" w14:textId="53B92DFB"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73" w:history="1">
        <w:r w:rsidRPr="00747969">
          <w:rPr>
            <w:rStyle w:val="Hyperlink"/>
            <w:noProof/>
          </w:rPr>
          <w:t>Table 15</w:t>
        </w:r>
        <w:r w:rsidRPr="00747969">
          <w:rPr>
            <w:rStyle w:val="Hyperlink"/>
            <w:noProof/>
          </w:rPr>
          <w:noBreakHyphen/>
          <w:t>5:</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Constraints</w:t>
        </w:r>
        <w:r w:rsidRPr="00747969">
          <w:rPr>
            <w:rStyle w:val="Hyperlink"/>
            <w:noProof/>
            <w:spacing w:val="-3"/>
          </w:rPr>
          <w:t xml:space="preserve"> </w:t>
        </w:r>
        <w:r w:rsidRPr="00747969">
          <w:rPr>
            <w:rStyle w:val="Hyperlink"/>
            <w:noProof/>
          </w:rPr>
          <w:t>analysis</w:t>
        </w:r>
        <w:r w:rsidRPr="00747969">
          <w:rPr>
            <w:rStyle w:val="Hyperlink"/>
            <w:noProof/>
            <w:spacing w:val="-2"/>
          </w:rPr>
          <w:t xml:space="preserve"> criteria</w:t>
        </w:r>
        <w:r>
          <w:rPr>
            <w:noProof/>
            <w:webHidden/>
          </w:rPr>
          <w:tab/>
        </w:r>
        <w:r>
          <w:rPr>
            <w:noProof/>
            <w:webHidden/>
          </w:rPr>
          <w:fldChar w:fldCharType="begin"/>
        </w:r>
        <w:r>
          <w:rPr>
            <w:noProof/>
            <w:webHidden/>
          </w:rPr>
          <w:instrText xml:space="preserve"> PAGEREF _Toc216699573 \h </w:instrText>
        </w:r>
        <w:r>
          <w:rPr>
            <w:noProof/>
            <w:webHidden/>
          </w:rPr>
        </w:r>
        <w:r>
          <w:rPr>
            <w:noProof/>
            <w:webHidden/>
          </w:rPr>
          <w:fldChar w:fldCharType="separate"/>
        </w:r>
        <w:r>
          <w:rPr>
            <w:noProof/>
            <w:webHidden/>
          </w:rPr>
          <w:t>189</w:t>
        </w:r>
        <w:r>
          <w:rPr>
            <w:noProof/>
            <w:webHidden/>
          </w:rPr>
          <w:fldChar w:fldCharType="end"/>
        </w:r>
      </w:hyperlink>
    </w:p>
    <w:p w14:paraId="179275AE" w14:textId="027327C8"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74" w:history="1">
        <w:r w:rsidRPr="00747969">
          <w:rPr>
            <w:rStyle w:val="Hyperlink"/>
            <w:noProof/>
          </w:rPr>
          <w:t>Table 15</w:t>
        </w:r>
        <w:r w:rsidRPr="00747969">
          <w:rPr>
            <w:rStyle w:val="Hyperlink"/>
            <w:noProof/>
          </w:rPr>
          <w:noBreakHyphen/>
          <w:t>6:</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Environmental</w:t>
        </w:r>
        <w:r w:rsidRPr="00747969">
          <w:rPr>
            <w:rStyle w:val="Hyperlink"/>
            <w:noProof/>
            <w:spacing w:val="-3"/>
          </w:rPr>
          <w:t xml:space="preserve"> </w:t>
        </w:r>
        <w:r w:rsidRPr="00747969">
          <w:rPr>
            <w:rStyle w:val="Hyperlink"/>
            <w:noProof/>
          </w:rPr>
          <w:t>constraints</w:t>
        </w:r>
        <w:r w:rsidRPr="00747969">
          <w:rPr>
            <w:rStyle w:val="Hyperlink"/>
            <w:noProof/>
            <w:spacing w:val="-3"/>
          </w:rPr>
          <w:t xml:space="preserve"> </w:t>
        </w:r>
        <w:r w:rsidRPr="00747969">
          <w:rPr>
            <w:rStyle w:val="Hyperlink"/>
            <w:noProof/>
          </w:rPr>
          <w:t>for</w:t>
        </w:r>
        <w:r w:rsidRPr="00747969">
          <w:rPr>
            <w:rStyle w:val="Hyperlink"/>
            <w:noProof/>
            <w:spacing w:val="-4"/>
          </w:rPr>
          <w:t xml:space="preserve"> </w:t>
        </w:r>
        <w:r w:rsidRPr="00747969">
          <w:rPr>
            <w:rStyle w:val="Hyperlink"/>
            <w:noProof/>
          </w:rPr>
          <w:t>breakwater</w:t>
        </w:r>
        <w:r w:rsidRPr="00747969">
          <w:rPr>
            <w:rStyle w:val="Hyperlink"/>
            <w:noProof/>
            <w:spacing w:val="-1"/>
          </w:rPr>
          <w:t xml:space="preserve"> </w:t>
        </w:r>
        <w:r w:rsidRPr="00747969">
          <w:rPr>
            <w:rStyle w:val="Hyperlink"/>
            <w:noProof/>
          </w:rPr>
          <w:t>extension</w:t>
        </w:r>
        <w:r w:rsidRPr="00747969">
          <w:rPr>
            <w:rStyle w:val="Hyperlink"/>
            <w:noProof/>
            <w:spacing w:val="-3"/>
          </w:rPr>
          <w:t xml:space="preserve"> </w:t>
        </w:r>
        <w:r w:rsidRPr="00747969">
          <w:rPr>
            <w:rStyle w:val="Hyperlink"/>
            <w:noProof/>
          </w:rPr>
          <w:t>with</w:t>
        </w:r>
        <w:r w:rsidRPr="00747969">
          <w:rPr>
            <w:rStyle w:val="Hyperlink"/>
            <w:noProof/>
            <w:spacing w:val="-2"/>
          </w:rPr>
          <w:t xml:space="preserve"> </w:t>
        </w:r>
        <w:r w:rsidRPr="00747969">
          <w:rPr>
            <w:rStyle w:val="Hyperlink"/>
            <w:noProof/>
          </w:rPr>
          <w:t>crane-operated</w:t>
        </w:r>
        <w:r w:rsidRPr="00747969">
          <w:rPr>
            <w:rStyle w:val="Hyperlink"/>
            <w:noProof/>
            <w:spacing w:val="-3"/>
          </w:rPr>
          <w:t xml:space="preserve"> </w:t>
        </w:r>
        <w:r w:rsidRPr="00747969">
          <w:rPr>
            <w:rStyle w:val="Hyperlink"/>
            <w:noProof/>
          </w:rPr>
          <w:t>mobile</w:t>
        </w:r>
        <w:r w:rsidRPr="00747969">
          <w:rPr>
            <w:rStyle w:val="Hyperlink"/>
            <w:noProof/>
            <w:spacing w:val="-4"/>
          </w:rPr>
          <w:t xml:space="preserve"> </w:t>
        </w:r>
        <w:r w:rsidRPr="00747969">
          <w:rPr>
            <w:rStyle w:val="Hyperlink"/>
            <w:noProof/>
          </w:rPr>
          <w:t>jet</w:t>
        </w:r>
        <w:r w:rsidRPr="00747969">
          <w:rPr>
            <w:rStyle w:val="Hyperlink"/>
            <w:noProof/>
            <w:spacing w:val="-4"/>
          </w:rPr>
          <w:t xml:space="preserve"> </w:t>
        </w:r>
        <w:r w:rsidRPr="00747969">
          <w:rPr>
            <w:rStyle w:val="Hyperlink"/>
            <w:noProof/>
          </w:rPr>
          <w:t>(Option</w:t>
        </w:r>
        <w:r w:rsidRPr="00747969">
          <w:rPr>
            <w:rStyle w:val="Hyperlink"/>
            <w:noProof/>
            <w:spacing w:val="-2"/>
          </w:rPr>
          <w:t xml:space="preserve"> </w:t>
        </w:r>
        <w:r w:rsidRPr="00747969">
          <w:rPr>
            <w:rStyle w:val="Hyperlink"/>
            <w:noProof/>
            <w:spacing w:val="-5"/>
          </w:rPr>
          <w:t>3C)</w:t>
        </w:r>
        <w:r>
          <w:rPr>
            <w:noProof/>
            <w:webHidden/>
          </w:rPr>
          <w:tab/>
        </w:r>
        <w:r>
          <w:rPr>
            <w:noProof/>
            <w:webHidden/>
          </w:rPr>
          <w:fldChar w:fldCharType="begin"/>
        </w:r>
        <w:r>
          <w:rPr>
            <w:noProof/>
            <w:webHidden/>
          </w:rPr>
          <w:instrText xml:space="preserve"> PAGEREF _Toc216699574 \h </w:instrText>
        </w:r>
        <w:r>
          <w:rPr>
            <w:noProof/>
            <w:webHidden/>
          </w:rPr>
        </w:r>
        <w:r>
          <w:rPr>
            <w:noProof/>
            <w:webHidden/>
          </w:rPr>
          <w:fldChar w:fldCharType="separate"/>
        </w:r>
        <w:r>
          <w:rPr>
            <w:noProof/>
            <w:webHidden/>
          </w:rPr>
          <w:t>189</w:t>
        </w:r>
        <w:r>
          <w:rPr>
            <w:noProof/>
            <w:webHidden/>
          </w:rPr>
          <w:fldChar w:fldCharType="end"/>
        </w:r>
      </w:hyperlink>
    </w:p>
    <w:p w14:paraId="68B95F40" w14:textId="5A4EC500"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75" w:history="1">
        <w:r w:rsidRPr="00747969">
          <w:rPr>
            <w:rStyle w:val="Hyperlink"/>
            <w:noProof/>
          </w:rPr>
          <w:t>Table 15</w:t>
        </w:r>
        <w:r w:rsidRPr="00747969">
          <w:rPr>
            <w:rStyle w:val="Hyperlink"/>
            <w:noProof/>
          </w:rPr>
          <w:noBreakHyphen/>
          <w:t>7:</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Comparison of</w:t>
        </w:r>
        <w:r w:rsidRPr="00747969">
          <w:rPr>
            <w:rStyle w:val="Hyperlink"/>
            <w:noProof/>
            <w:spacing w:val="-2"/>
          </w:rPr>
          <w:t xml:space="preserve"> </w:t>
        </w:r>
        <w:r w:rsidRPr="00747969">
          <w:rPr>
            <w:rStyle w:val="Hyperlink"/>
            <w:noProof/>
          </w:rPr>
          <w:t>Option</w:t>
        </w:r>
        <w:r w:rsidRPr="00747969">
          <w:rPr>
            <w:rStyle w:val="Hyperlink"/>
            <w:noProof/>
            <w:spacing w:val="-2"/>
          </w:rPr>
          <w:t xml:space="preserve"> </w:t>
        </w:r>
        <w:r w:rsidRPr="00747969">
          <w:rPr>
            <w:rStyle w:val="Hyperlink"/>
            <w:noProof/>
          </w:rPr>
          <w:t>3</w:t>
        </w:r>
        <w:r w:rsidRPr="00747969">
          <w:rPr>
            <w:rStyle w:val="Hyperlink"/>
            <w:noProof/>
            <w:spacing w:val="-2"/>
          </w:rPr>
          <w:t xml:space="preserve"> variations</w:t>
        </w:r>
        <w:r>
          <w:rPr>
            <w:noProof/>
            <w:webHidden/>
          </w:rPr>
          <w:tab/>
        </w:r>
        <w:r>
          <w:rPr>
            <w:noProof/>
            <w:webHidden/>
          </w:rPr>
          <w:fldChar w:fldCharType="begin"/>
        </w:r>
        <w:r>
          <w:rPr>
            <w:noProof/>
            <w:webHidden/>
          </w:rPr>
          <w:instrText xml:space="preserve"> PAGEREF _Toc216699575 \h </w:instrText>
        </w:r>
        <w:r>
          <w:rPr>
            <w:noProof/>
            <w:webHidden/>
          </w:rPr>
        </w:r>
        <w:r>
          <w:rPr>
            <w:noProof/>
            <w:webHidden/>
          </w:rPr>
          <w:fldChar w:fldCharType="separate"/>
        </w:r>
        <w:r>
          <w:rPr>
            <w:noProof/>
            <w:webHidden/>
          </w:rPr>
          <w:t>201</w:t>
        </w:r>
        <w:r>
          <w:rPr>
            <w:noProof/>
            <w:webHidden/>
          </w:rPr>
          <w:fldChar w:fldCharType="end"/>
        </w:r>
      </w:hyperlink>
    </w:p>
    <w:p w14:paraId="2A8803F0" w14:textId="63D38725"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76" w:history="1">
        <w:r w:rsidRPr="00747969">
          <w:rPr>
            <w:rStyle w:val="Hyperlink"/>
            <w:noProof/>
          </w:rPr>
          <w:t>Table 15</w:t>
        </w:r>
        <w:r w:rsidRPr="00747969">
          <w:rPr>
            <w:rStyle w:val="Hyperlink"/>
            <w:noProof/>
          </w:rPr>
          <w:noBreakHyphen/>
          <w:t>8:</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Comparison</w:t>
        </w:r>
        <w:r w:rsidRPr="00747969">
          <w:rPr>
            <w:rStyle w:val="Hyperlink"/>
            <w:noProof/>
            <w:spacing w:val="-5"/>
          </w:rPr>
          <w:t xml:space="preserve"> </w:t>
        </w:r>
        <w:r w:rsidRPr="00747969">
          <w:rPr>
            <w:rStyle w:val="Hyperlink"/>
            <w:noProof/>
          </w:rPr>
          <w:t>of</w:t>
        </w:r>
        <w:r w:rsidRPr="00747969">
          <w:rPr>
            <w:rStyle w:val="Hyperlink"/>
            <w:noProof/>
            <w:spacing w:val="-1"/>
          </w:rPr>
          <w:t xml:space="preserve"> </w:t>
        </w:r>
        <w:r w:rsidRPr="00747969">
          <w:rPr>
            <w:rStyle w:val="Hyperlink"/>
            <w:noProof/>
          </w:rPr>
          <w:t>CAPEX</w:t>
        </w:r>
        <w:r w:rsidRPr="00747969">
          <w:rPr>
            <w:rStyle w:val="Hyperlink"/>
            <w:noProof/>
            <w:spacing w:val="-1"/>
          </w:rPr>
          <w:t xml:space="preserve"> </w:t>
        </w:r>
        <w:r w:rsidRPr="00747969">
          <w:rPr>
            <w:rStyle w:val="Hyperlink"/>
            <w:noProof/>
          </w:rPr>
          <w:t>vs</w:t>
        </w:r>
        <w:r w:rsidRPr="00747969">
          <w:rPr>
            <w:rStyle w:val="Hyperlink"/>
            <w:noProof/>
            <w:spacing w:val="-3"/>
          </w:rPr>
          <w:t xml:space="preserve"> </w:t>
        </w:r>
        <w:r w:rsidRPr="00747969">
          <w:rPr>
            <w:rStyle w:val="Hyperlink"/>
            <w:noProof/>
          </w:rPr>
          <w:t>OPEX</w:t>
        </w:r>
        <w:r w:rsidRPr="00747969">
          <w:rPr>
            <w:rStyle w:val="Hyperlink"/>
            <w:noProof/>
            <w:spacing w:val="-1"/>
          </w:rPr>
          <w:t xml:space="preserve"> </w:t>
        </w:r>
        <w:r w:rsidRPr="00747969">
          <w:rPr>
            <w:rStyle w:val="Hyperlink"/>
            <w:noProof/>
          </w:rPr>
          <w:t>for</w:t>
        </w:r>
        <w:r w:rsidRPr="00747969">
          <w:rPr>
            <w:rStyle w:val="Hyperlink"/>
            <w:noProof/>
            <w:spacing w:val="-2"/>
          </w:rPr>
          <w:t xml:space="preserve"> </w:t>
        </w:r>
        <w:r w:rsidRPr="00747969">
          <w:rPr>
            <w:rStyle w:val="Hyperlink"/>
            <w:noProof/>
          </w:rPr>
          <w:t>Option</w:t>
        </w:r>
        <w:r w:rsidRPr="00747969">
          <w:rPr>
            <w:rStyle w:val="Hyperlink"/>
            <w:noProof/>
            <w:spacing w:val="-1"/>
          </w:rPr>
          <w:t xml:space="preserve"> </w:t>
        </w:r>
        <w:r w:rsidRPr="00747969">
          <w:rPr>
            <w:rStyle w:val="Hyperlink"/>
            <w:noProof/>
          </w:rPr>
          <w:t>3</w:t>
        </w:r>
        <w:r w:rsidRPr="00747969">
          <w:rPr>
            <w:rStyle w:val="Hyperlink"/>
            <w:noProof/>
            <w:spacing w:val="-3"/>
          </w:rPr>
          <w:t xml:space="preserve"> </w:t>
        </w:r>
        <w:r w:rsidRPr="00747969">
          <w:rPr>
            <w:rStyle w:val="Hyperlink"/>
            <w:noProof/>
            <w:spacing w:val="-2"/>
          </w:rPr>
          <w:t>variations</w:t>
        </w:r>
        <w:r>
          <w:rPr>
            <w:noProof/>
            <w:webHidden/>
          </w:rPr>
          <w:tab/>
        </w:r>
        <w:r>
          <w:rPr>
            <w:noProof/>
            <w:webHidden/>
          </w:rPr>
          <w:fldChar w:fldCharType="begin"/>
        </w:r>
        <w:r>
          <w:rPr>
            <w:noProof/>
            <w:webHidden/>
          </w:rPr>
          <w:instrText xml:space="preserve"> PAGEREF _Toc216699576 \h </w:instrText>
        </w:r>
        <w:r>
          <w:rPr>
            <w:noProof/>
            <w:webHidden/>
          </w:rPr>
        </w:r>
        <w:r>
          <w:rPr>
            <w:noProof/>
            <w:webHidden/>
          </w:rPr>
          <w:fldChar w:fldCharType="separate"/>
        </w:r>
        <w:r>
          <w:rPr>
            <w:noProof/>
            <w:webHidden/>
          </w:rPr>
          <w:t>202</w:t>
        </w:r>
        <w:r>
          <w:rPr>
            <w:noProof/>
            <w:webHidden/>
          </w:rPr>
          <w:fldChar w:fldCharType="end"/>
        </w:r>
      </w:hyperlink>
    </w:p>
    <w:p w14:paraId="3F0BDCB6" w14:textId="71870030"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77" w:history="1">
        <w:r w:rsidRPr="00747969">
          <w:rPr>
            <w:rStyle w:val="Hyperlink"/>
            <w:noProof/>
          </w:rPr>
          <w:t>Table 15</w:t>
        </w:r>
        <w:r w:rsidRPr="00747969">
          <w:rPr>
            <w:rStyle w:val="Hyperlink"/>
            <w:noProof/>
          </w:rPr>
          <w:noBreakHyphen/>
          <w:t>9:</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Option</w:t>
        </w:r>
        <w:r w:rsidRPr="00747969">
          <w:rPr>
            <w:rStyle w:val="Hyperlink"/>
            <w:noProof/>
            <w:spacing w:val="-1"/>
          </w:rPr>
          <w:t xml:space="preserve"> </w:t>
        </w:r>
        <w:r w:rsidRPr="00747969">
          <w:rPr>
            <w:rStyle w:val="Hyperlink"/>
            <w:noProof/>
          </w:rPr>
          <w:t>3A</w:t>
        </w:r>
        <w:r w:rsidRPr="00747969">
          <w:rPr>
            <w:rStyle w:val="Hyperlink"/>
            <w:noProof/>
            <w:spacing w:val="-1"/>
          </w:rPr>
          <w:t xml:space="preserve"> </w:t>
        </w:r>
        <w:r w:rsidRPr="00747969">
          <w:rPr>
            <w:rStyle w:val="Hyperlink"/>
            <w:noProof/>
          </w:rPr>
          <w:t>MCA</w:t>
        </w:r>
        <w:r w:rsidRPr="00747969">
          <w:rPr>
            <w:rStyle w:val="Hyperlink"/>
            <w:noProof/>
            <w:spacing w:val="-1"/>
          </w:rPr>
          <w:t xml:space="preserve"> </w:t>
        </w:r>
        <w:r w:rsidRPr="00747969">
          <w:rPr>
            <w:rStyle w:val="Hyperlink"/>
            <w:noProof/>
            <w:spacing w:val="-2"/>
          </w:rPr>
          <w:t>scoring</w:t>
        </w:r>
        <w:r>
          <w:rPr>
            <w:noProof/>
            <w:webHidden/>
          </w:rPr>
          <w:tab/>
        </w:r>
        <w:r>
          <w:rPr>
            <w:noProof/>
            <w:webHidden/>
          </w:rPr>
          <w:fldChar w:fldCharType="begin"/>
        </w:r>
        <w:r>
          <w:rPr>
            <w:noProof/>
            <w:webHidden/>
          </w:rPr>
          <w:instrText xml:space="preserve"> PAGEREF _Toc216699577 \h </w:instrText>
        </w:r>
        <w:r>
          <w:rPr>
            <w:noProof/>
            <w:webHidden/>
          </w:rPr>
        </w:r>
        <w:r>
          <w:rPr>
            <w:noProof/>
            <w:webHidden/>
          </w:rPr>
          <w:fldChar w:fldCharType="separate"/>
        </w:r>
        <w:r>
          <w:rPr>
            <w:noProof/>
            <w:webHidden/>
          </w:rPr>
          <w:t>204</w:t>
        </w:r>
        <w:r>
          <w:rPr>
            <w:noProof/>
            <w:webHidden/>
          </w:rPr>
          <w:fldChar w:fldCharType="end"/>
        </w:r>
      </w:hyperlink>
    </w:p>
    <w:p w14:paraId="451F19BE" w14:textId="3AD7DF55"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78" w:history="1">
        <w:r w:rsidRPr="00747969">
          <w:rPr>
            <w:rStyle w:val="Hyperlink"/>
            <w:noProof/>
          </w:rPr>
          <w:t>Table 15</w:t>
        </w:r>
        <w:r w:rsidRPr="00747969">
          <w:rPr>
            <w:rStyle w:val="Hyperlink"/>
            <w:noProof/>
          </w:rPr>
          <w:noBreakHyphen/>
          <w:t>10:</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Option</w:t>
        </w:r>
        <w:r w:rsidRPr="00747969">
          <w:rPr>
            <w:rStyle w:val="Hyperlink"/>
            <w:noProof/>
            <w:spacing w:val="-2"/>
          </w:rPr>
          <w:t xml:space="preserve"> </w:t>
        </w:r>
        <w:r w:rsidRPr="00747969">
          <w:rPr>
            <w:rStyle w:val="Hyperlink"/>
            <w:noProof/>
          </w:rPr>
          <w:t>3B</w:t>
        </w:r>
        <w:r w:rsidRPr="00747969">
          <w:rPr>
            <w:rStyle w:val="Hyperlink"/>
            <w:noProof/>
            <w:spacing w:val="-1"/>
          </w:rPr>
          <w:t xml:space="preserve"> </w:t>
        </w:r>
        <w:r w:rsidRPr="00747969">
          <w:rPr>
            <w:rStyle w:val="Hyperlink"/>
            <w:noProof/>
          </w:rPr>
          <w:t>MCA</w:t>
        </w:r>
        <w:r w:rsidRPr="00747969">
          <w:rPr>
            <w:rStyle w:val="Hyperlink"/>
            <w:noProof/>
            <w:spacing w:val="-1"/>
          </w:rPr>
          <w:t xml:space="preserve"> </w:t>
        </w:r>
        <w:r w:rsidRPr="00747969">
          <w:rPr>
            <w:rStyle w:val="Hyperlink"/>
            <w:noProof/>
            <w:spacing w:val="-2"/>
          </w:rPr>
          <w:t>scoring</w:t>
        </w:r>
        <w:r>
          <w:rPr>
            <w:noProof/>
            <w:webHidden/>
          </w:rPr>
          <w:tab/>
        </w:r>
        <w:r>
          <w:rPr>
            <w:noProof/>
            <w:webHidden/>
          </w:rPr>
          <w:fldChar w:fldCharType="begin"/>
        </w:r>
        <w:r>
          <w:rPr>
            <w:noProof/>
            <w:webHidden/>
          </w:rPr>
          <w:instrText xml:space="preserve"> PAGEREF _Toc216699578 \h </w:instrText>
        </w:r>
        <w:r>
          <w:rPr>
            <w:noProof/>
            <w:webHidden/>
          </w:rPr>
        </w:r>
        <w:r>
          <w:rPr>
            <w:noProof/>
            <w:webHidden/>
          </w:rPr>
          <w:fldChar w:fldCharType="separate"/>
        </w:r>
        <w:r>
          <w:rPr>
            <w:noProof/>
            <w:webHidden/>
          </w:rPr>
          <w:t>205</w:t>
        </w:r>
        <w:r>
          <w:rPr>
            <w:noProof/>
            <w:webHidden/>
          </w:rPr>
          <w:fldChar w:fldCharType="end"/>
        </w:r>
      </w:hyperlink>
    </w:p>
    <w:p w14:paraId="552B6FE1" w14:textId="3146B722"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79" w:history="1">
        <w:r w:rsidRPr="00747969">
          <w:rPr>
            <w:rStyle w:val="Hyperlink"/>
            <w:noProof/>
          </w:rPr>
          <w:t>Table 15</w:t>
        </w:r>
        <w:r w:rsidRPr="00747969">
          <w:rPr>
            <w:rStyle w:val="Hyperlink"/>
            <w:noProof/>
          </w:rPr>
          <w:noBreakHyphen/>
          <w:t>11:</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Option</w:t>
        </w:r>
        <w:r w:rsidRPr="00747969">
          <w:rPr>
            <w:rStyle w:val="Hyperlink"/>
            <w:noProof/>
            <w:spacing w:val="-2"/>
          </w:rPr>
          <w:t xml:space="preserve"> </w:t>
        </w:r>
        <w:r w:rsidRPr="00747969">
          <w:rPr>
            <w:rStyle w:val="Hyperlink"/>
            <w:noProof/>
          </w:rPr>
          <w:t>3C</w:t>
        </w:r>
        <w:r w:rsidRPr="00747969">
          <w:rPr>
            <w:rStyle w:val="Hyperlink"/>
            <w:noProof/>
            <w:spacing w:val="-1"/>
          </w:rPr>
          <w:t xml:space="preserve"> </w:t>
        </w:r>
        <w:r w:rsidRPr="00747969">
          <w:rPr>
            <w:rStyle w:val="Hyperlink"/>
            <w:noProof/>
          </w:rPr>
          <w:t>MCA</w:t>
        </w:r>
        <w:r w:rsidRPr="00747969">
          <w:rPr>
            <w:rStyle w:val="Hyperlink"/>
            <w:noProof/>
            <w:spacing w:val="-1"/>
          </w:rPr>
          <w:t xml:space="preserve"> </w:t>
        </w:r>
        <w:r w:rsidRPr="00747969">
          <w:rPr>
            <w:rStyle w:val="Hyperlink"/>
            <w:noProof/>
            <w:spacing w:val="-2"/>
          </w:rPr>
          <w:t>scoring</w:t>
        </w:r>
        <w:r>
          <w:rPr>
            <w:noProof/>
            <w:webHidden/>
          </w:rPr>
          <w:tab/>
        </w:r>
        <w:r>
          <w:rPr>
            <w:noProof/>
            <w:webHidden/>
          </w:rPr>
          <w:fldChar w:fldCharType="begin"/>
        </w:r>
        <w:r>
          <w:rPr>
            <w:noProof/>
            <w:webHidden/>
          </w:rPr>
          <w:instrText xml:space="preserve"> PAGEREF _Toc216699579 \h </w:instrText>
        </w:r>
        <w:r>
          <w:rPr>
            <w:noProof/>
            <w:webHidden/>
          </w:rPr>
        </w:r>
        <w:r>
          <w:rPr>
            <w:noProof/>
            <w:webHidden/>
          </w:rPr>
          <w:fldChar w:fldCharType="separate"/>
        </w:r>
        <w:r>
          <w:rPr>
            <w:noProof/>
            <w:webHidden/>
          </w:rPr>
          <w:t>207</w:t>
        </w:r>
        <w:r>
          <w:rPr>
            <w:noProof/>
            <w:webHidden/>
          </w:rPr>
          <w:fldChar w:fldCharType="end"/>
        </w:r>
      </w:hyperlink>
    </w:p>
    <w:p w14:paraId="7E6FED1E" w14:textId="06C73DC4"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80" w:history="1">
        <w:r w:rsidRPr="00747969">
          <w:rPr>
            <w:rStyle w:val="Hyperlink"/>
            <w:noProof/>
          </w:rPr>
          <w:t>Table 16</w:t>
        </w:r>
        <w:r w:rsidRPr="00747969">
          <w:rPr>
            <w:rStyle w:val="Hyperlink"/>
            <w:noProof/>
          </w:rPr>
          <w:noBreakHyphen/>
          <w:t>1:</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Constraints</w:t>
        </w:r>
        <w:r w:rsidRPr="00747969">
          <w:rPr>
            <w:rStyle w:val="Hyperlink"/>
            <w:noProof/>
            <w:spacing w:val="-3"/>
          </w:rPr>
          <w:t xml:space="preserve"> </w:t>
        </w:r>
        <w:r w:rsidRPr="00747969">
          <w:rPr>
            <w:rStyle w:val="Hyperlink"/>
            <w:noProof/>
          </w:rPr>
          <w:t>analysis</w:t>
        </w:r>
        <w:r w:rsidRPr="00747969">
          <w:rPr>
            <w:rStyle w:val="Hyperlink"/>
            <w:noProof/>
            <w:spacing w:val="-2"/>
          </w:rPr>
          <w:t xml:space="preserve"> criteria</w:t>
        </w:r>
        <w:r>
          <w:rPr>
            <w:noProof/>
            <w:webHidden/>
          </w:rPr>
          <w:tab/>
        </w:r>
        <w:r>
          <w:rPr>
            <w:noProof/>
            <w:webHidden/>
          </w:rPr>
          <w:fldChar w:fldCharType="begin"/>
        </w:r>
        <w:r>
          <w:rPr>
            <w:noProof/>
            <w:webHidden/>
          </w:rPr>
          <w:instrText xml:space="preserve"> PAGEREF _Toc216699580 \h </w:instrText>
        </w:r>
        <w:r>
          <w:rPr>
            <w:noProof/>
            <w:webHidden/>
          </w:rPr>
        </w:r>
        <w:r>
          <w:rPr>
            <w:noProof/>
            <w:webHidden/>
          </w:rPr>
          <w:fldChar w:fldCharType="separate"/>
        </w:r>
        <w:r>
          <w:rPr>
            <w:noProof/>
            <w:webHidden/>
          </w:rPr>
          <w:t>214</w:t>
        </w:r>
        <w:r>
          <w:rPr>
            <w:noProof/>
            <w:webHidden/>
          </w:rPr>
          <w:fldChar w:fldCharType="end"/>
        </w:r>
      </w:hyperlink>
    </w:p>
    <w:p w14:paraId="26E884B2" w14:textId="23969647"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81" w:history="1">
        <w:r w:rsidRPr="00747969">
          <w:rPr>
            <w:rStyle w:val="Hyperlink"/>
            <w:noProof/>
          </w:rPr>
          <w:t>Table 16</w:t>
        </w:r>
        <w:r w:rsidRPr="00747969">
          <w:rPr>
            <w:rStyle w:val="Hyperlink"/>
            <w:noProof/>
          </w:rPr>
          <w:noBreakHyphen/>
          <w:t>2:</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Environmental</w:t>
        </w:r>
        <w:r w:rsidRPr="00747969">
          <w:rPr>
            <w:rStyle w:val="Hyperlink"/>
            <w:noProof/>
            <w:spacing w:val="-1"/>
          </w:rPr>
          <w:t xml:space="preserve"> </w:t>
        </w:r>
        <w:r w:rsidRPr="00747969">
          <w:rPr>
            <w:rStyle w:val="Hyperlink"/>
            <w:noProof/>
          </w:rPr>
          <w:t>constraints</w:t>
        </w:r>
        <w:r w:rsidRPr="00747969">
          <w:rPr>
            <w:rStyle w:val="Hyperlink"/>
            <w:noProof/>
            <w:spacing w:val="-4"/>
          </w:rPr>
          <w:t xml:space="preserve"> </w:t>
        </w:r>
        <w:r w:rsidRPr="00747969">
          <w:rPr>
            <w:rStyle w:val="Hyperlink"/>
            <w:noProof/>
          </w:rPr>
          <w:t>for</w:t>
        </w:r>
        <w:r w:rsidRPr="00747969">
          <w:rPr>
            <w:rStyle w:val="Hyperlink"/>
            <w:noProof/>
            <w:spacing w:val="-3"/>
          </w:rPr>
          <w:t xml:space="preserve"> </w:t>
        </w:r>
        <w:r w:rsidRPr="00747969">
          <w:rPr>
            <w:rStyle w:val="Hyperlink"/>
            <w:noProof/>
          </w:rPr>
          <w:t>permanent</w:t>
        </w:r>
        <w:r w:rsidRPr="00747969">
          <w:rPr>
            <w:rStyle w:val="Hyperlink"/>
            <w:noProof/>
            <w:spacing w:val="-2"/>
          </w:rPr>
          <w:t xml:space="preserve"> </w:t>
        </w:r>
        <w:r w:rsidRPr="00747969">
          <w:rPr>
            <w:rStyle w:val="Hyperlink"/>
            <w:noProof/>
          </w:rPr>
          <w:t>automated</w:t>
        </w:r>
        <w:r w:rsidRPr="00747969">
          <w:rPr>
            <w:rStyle w:val="Hyperlink"/>
            <w:noProof/>
            <w:spacing w:val="-3"/>
          </w:rPr>
          <w:t xml:space="preserve"> </w:t>
        </w:r>
        <w:r w:rsidRPr="00747969">
          <w:rPr>
            <w:rStyle w:val="Hyperlink"/>
            <w:noProof/>
          </w:rPr>
          <w:t>sand</w:t>
        </w:r>
        <w:r w:rsidRPr="00747969">
          <w:rPr>
            <w:rStyle w:val="Hyperlink"/>
            <w:noProof/>
            <w:spacing w:val="-2"/>
          </w:rPr>
          <w:t xml:space="preserve"> </w:t>
        </w:r>
        <w:r w:rsidRPr="00747969">
          <w:rPr>
            <w:rStyle w:val="Hyperlink"/>
            <w:noProof/>
          </w:rPr>
          <w:t>bypassing</w:t>
        </w:r>
        <w:r w:rsidRPr="00747969">
          <w:rPr>
            <w:rStyle w:val="Hyperlink"/>
            <w:noProof/>
            <w:spacing w:val="-4"/>
          </w:rPr>
          <w:t xml:space="preserve"> </w:t>
        </w:r>
        <w:r w:rsidRPr="00747969">
          <w:rPr>
            <w:rStyle w:val="Hyperlink"/>
            <w:noProof/>
          </w:rPr>
          <w:t>system</w:t>
        </w:r>
        <w:r w:rsidRPr="00747969">
          <w:rPr>
            <w:rStyle w:val="Hyperlink"/>
            <w:noProof/>
            <w:spacing w:val="-4"/>
          </w:rPr>
          <w:t xml:space="preserve"> </w:t>
        </w:r>
        <w:r w:rsidRPr="00747969">
          <w:rPr>
            <w:rStyle w:val="Hyperlink"/>
            <w:noProof/>
          </w:rPr>
          <w:t>at</w:t>
        </w:r>
        <w:r w:rsidRPr="00747969">
          <w:rPr>
            <w:rStyle w:val="Hyperlink"/>
            <w:noProof/>
            <w:spacing w:val="-2"/>
          </w:rPr>
          <w:t xml:space="preserve"> </w:t>
        </w:r>
        <w:r w:rsidRPr="00747969">
          <w:rPr>
            <w:rStyle w:val="Hyperlink"/>
            <w:noProof/>
          </w:rPr>
          <w:t>headland</w:t>
        </w:r>
        <w:r w:rsidRPr="00747969">
          <w:rPr>
            <w:rStyle w:val="Hyperlink"/>
            <w:noProof/>
            <w:spacing w:val="-2"/>
          </w:rPr>
          <w:t xml:space="preserve"> </w:t>
        </w:r>
        <w:r w:rsidRPr="00747969">
          <w:rPr>
            <w:rStyle w:val="Hyperlink"/>
            <w:noProof/>
          </w:rPr>
          <w:t>sand</w:t>
        </w:r>
        <w:r w:rsidRPr="00747969">
          <w:rPr>
            <w:rStyle w:val="Hyperlink"/>
            <w:noProof/>
            <w:spacing w:val="-4"/>
          </w:rPr>
          <w:t xml:space="preserve"> </w:t>
        </w:r>
        <w:r w:rsidRPr="00747969">
          <w:rPr>
            <w:rStyle w:val="Hyperlink"/>
            <w:noProof/>
          </w:rPr>
          <w:t>trap</w:t>
        </w:r>
        <w:r w:rsidRPr="00747969">
          <w:rPr>
            <w:rStyle w:val="Hyperlink"/>
            <w:noProof/>
            <w:spacing w:val="-2"/>
          </w:rPr>
          <w:t xml:space="preserve"> </w:t>
        </w:r>
        <w:r w:rsidRPr="00747969">
          <w:rPr>
            <w:rStyle w:val="Hyperlink"/>
            <w:noProof/>
          </w:rPr>
          <w:t>(Option</w:t>
        </w:r>
        <w:r w:rsidRPr="00747969">
          <w:rPr>
            <w:rStyle w:val="Hyperlink"/>
            <w:noProof/>
            <w:spacing w:val="-2"/>
          </w:rPr>
          <w:t xml:space="preserve"> </w:t>
        </w:r>
        <w:r w:rsidRPr="00747969">
          <w:rPr>
            <w:rStyle w:val="Hyperlink"/>
            <w:noProof/>
            <w:spacing w:val="-5"/>
          </w:rPr>
          <w:t>4)</w:t>
        </w:r>
        <w:r>
          <w:rPr>
            <w:noProof/>
            <w:webHidden/>
          </w:rPr>
          <w:tab/>
        </w:r>
        <w:r>
          <w:rPr>
            <w:noProof/>
            <w:webHidden/>
          </w:rPr>
          <w:fldChar w:fldCharType="begin"/>
        </w:r>
        <w:r>
          <w:rPr>
            <w:noProof/>
            <w:webHidden/>
          </w:rPr>
          <w:instrText xml:space="preserve"> PAGEREF _Toc216699581 \h </w:instrText>
        </w:r>
        <w:r>
          <w:rPr>
            <w:noProof/>
            <w:webHidden/>
          </w:rPr>
        </w:r>
        <w:r>
          <w:rPr>
            <w:noProof/>
            <w:webHidden/>
          </w:rPr>
          <w:fldChar w:fldCharType="separate"/>
        </w:r>
        <w:r>
          <w:rPr>
            <w:noProof/>
            <w:webHidden/>
          </w:rPr>
          <w:t>214</w:t>
        </w:r>
        <w:r>
          <w:rPr>
            <w:noProof/>
            <w:webHidden/>
          </w:rPr>
          <w:fldChar w:fldCharType="end"/>
        </w:r>
      </w:hyperlink>
    </w:p>
    <w:p w14:paraId="4137709D" w14:textId="73AA6053"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82" w:history="1">
        <w:r w:rsidRPr="00747969">
          <w:rPr>
            <w:rStyle w:val="Hyperlink"/>
            <w:noProof/>
          </w:rPr>
          <w:t>Table 16</w:t>
        </w:r>
        <w:r w:rsidRPr="00747969">
          <w:rPr>
            <w:rStyle w:val="Hyperlink"/>
            <w:noProof/>
          </w:rPr>
          <w:noBreakHyphen/>
          <w:t>3:</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Overview</w:t>
        </w:r>
        <w:r w:rsidRPr="00747969">
          <w:rPr>
            <w:rStyle w:val="Hyperlink"/>
            <w:noProof/>
            <w:spacing w:val="-1"/>
          </w:rPr>
          <w:t xml:space="preserve"> </w:t>
        </w:r>
        <w:r w:rsidRPr="00747969">
          <w:rPr>
            <w:rStyle w:val="Hyperlink"/>
            <w:noProof/>
          </w:rPr>
          <w:t>of</w:t>
        </w:r>
        <w:r w:rsidRPr="00747969">
          <w:rPr>
            <w:rStyle w:val="Hyperlink"/>
            <w:noProof/>
            <w:spacing w:val="-2"/>
          </w:rPr>
          <w:t xml:space="preserve"> </w:t>
        </w:r>
        <w:r w:rsidRPr="00747969">
          <w:rPr>
            <w:rStyle w:val="Hyperlink"/>
            <w:noProof/>
          </w:rPr>
          <w:t>Option</w:t>
        </w:r>
        <w:r w:rsidRPr="00747969">
          <w:rPr>
            <w:rStyle w:val="Hyperlink"/>
            <w:noProof/>
            <w:spacing w:val="-1"/>
          </w:rPr>
          <w:t xml:space="preserve"> </w:t>
        </w:r>
        <w:r w:rsidRPr="00747969">
          <w:rPr>
            <w:rStyle w:val="Hyperlink"/>
            <w:noProof/>
          </w:rPr>
          <w:t>4</w:t>
        </w:r>
        <w:r w:rsidRPr="00747969">
          <w:rPr>
            <w:rStyle w:val="Hyperlink"/>
            <w:noProof/>
            <w:spacing w:val="-2"/>
          </w:rPr>
          <w:t xml:space="preserve"> </w:t>
        </w:r>
        <w:r w:rsidRPr="00747969">
          <w:rPr>
            <w:rStyle w:val="Hyperlink"/>
            <w:noProof/>
          </w:rPr>
          <w:t>–</w:t>
        </w:r>
        <w:r w:rsidRPr="00747969">
          <w:rPr>
            <w:rStyle w:val="Hyperlink"/>
            <w:noProof/>
            <w:spacing w:val="-2"/>
          </w:rPr>
          <w:t xml:space="preserve"> </w:t>
        </w:r>
        <w:r w:rsidRPr="00747969">
          <w:rPr>
            <w:rStyle w:val="Hyperlink"/>
            <w:noProof/>
          </w:rPr>
          <w:t>Advantages</w:t>
        </w:r>
        <w:r w:rsidRPr="00747969">
          <w:rPr>
            <w:rStyle w:val="Hyperlink"/>
            <w:noProof/>
            <w:spacing w:val="-2"/>
          </w:rPr>
          <w:t xml:space="preserve"> </w:t>
        </w:r>
        <w:r w:rsidRPr="00747969">
          <w:rPr>
            <w:rStyle w:val="Hyperlink"/>
            <w:noProof/>
          </w:rPr>
          <w:t>and</w:t>
        </w:r>
        <w:r w:rsidRPr="00747969">
          <w:rPr>
            <w:rStyle w:val="Hyperlink"/>
            <w:noProof/>
            <w:spacing w:val="-1"/>
          </w:rPr>
          <w:t xml:space="preserve"> </w:t>
        </w:r>
        <w:r w:rsidRPr="00747969">
          <w:rPr>
            <w:rStyle w:val="Hyperlink"/>
            <w:noProof/>
            <w:spacing w:val="-2"/>
          </w:rPr>
          <w:t>Disadvantages</w:t>
        </w:r>
        <w:r>
          <w:rPr>
            <w:noProof/>
            <w:webHidden/>
          </w:rPr>
          <w:tab/>
        </w:r>
        <w:r>
          <w:rPr>
            <w:noProof/>
            <w:webHidden/>
          </w:rPr>
          <w:fldChar w:fldCharType="begin"/>
        </w:r>
        <w:r>
          <w:rPr>
            <w:noProof/>
            <w:webHidden/>
          </w:rPr>
          <w:instrText xml:space="preserve"> PAGEREF _Toc216699582 \h </w:instrText>
        </w:r>
        <w:r>
          <w:rPr>
            <w:noProof/>
            <w:webHidden/>
          </w:rPr>
        </w:r>
        <w:r>
          <w:rPr>
            <w:noProof/>
            <w:webHidden/>
          </w:rPr>
          <w:fldChar w:fldCharType="separate"/>
        </w:r>
        <w:r>
          <w:rPr>
            <w:noProof/>
            <w:webHidden/>
          </w:rPr>
          <w:t>223</w:t>
        </w:r>
        <w:r>
          <w:rPr>
            <w:noProof/>
            <w:webHidden/>
          </w:rPr>
          <w:fldChar w:fldCharType="end"/>
        </w:r>
      </w:hyperlink>
    </w:p>
    <w:p w14:paraId="06E8099C" w14:textId="700E4DE0"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83" w:history="1">
        <w:r w:rsidRPr="00747969">
          <w:rPr>
            <w:rStyle w:val="Hyperlink"/>
            <w:noProof/>
          </w:rPr>
          <w:t>Table 16</w:t>
        </w:r>
        <w:r w:rsidRPr="00747969">
          <w:rPr>
            <w:rStyle w:val="Hyperlink"/>
            <w:noProof/>
          </w:rPr>
          <w:noBreakHyphen/>
          <w:t>4:</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Option</w:t>
        </w:r>
        <w:r w:rsidRPr="00747969">
          <w:rPr>
            <w:rStyle w:val="Hyperlink"/>
            <w:noProof/>
            <w:spacing w:val="-1"/>
          </w:rPr>
          <w:t xml:space="preserve"> </w:t>
        </w:r>
        <w:r w:rsidRPr="00747969">
          <w:rPr>
            <w:rStyle w:val="Hyperlink"/>
            <w:noProof/>
          </w:rPr>
          <w:t>4</w:t>
        </w:r>
        <w:r w:rsidRPr="00747969">
          <w:rPr>
            <w:rStyle w:val="Hyperlink"/>
            <w:noProof/>
            <w:spacing w:val="-2"/>
          </w:rPr>
          <w:t xml:space="preserve"> </w:t>
        </w:r>
        <w:r w:rsidRPr="00747969">
          <w:rPr>
            <w:rStyle w:val="Hyperlink"/>
            <w:noProof/>
          </w:rPr>
          <w:t xml:space="preserve">MCA </w:t>
        </w:r>
        <w:r w:rsidRPr="00747969">
          <w:rPr>
            <w:rStyle w:val="Hyperlink"/>
            <w:noProof/>
            <w:spacing w:val="-2"/>
          </w:rPr>
          <w:t>Scoring</w:t>
        </w:r>
        <w:r>
          <w:rPr>
            <w:noProof/>
            <w:webHidden/>
          </w:rPr>
          <w:tab/>
        </w:r>
        <w:r>
          <w:rPr>
            <w:noProof/>
            <w:webHidden/>
          </w:rPr>
          <w:fldChar w:fldCharType="begin"/>
        </w:r>
        <w:r>
          <w:rPr>
            <w:noProof/>
            <w:webHidden/>
          </w:rPr>
          <w:instrText xml:space="preserve"> PAGEREF _Toc216699583 \h </w:instrText>
        </w:r>
        <w:r>
          <w:rPr>
            <w:noProof/>
            <w:webHidden/>
          </w:rPr>
        </w:r>
        <w:r>
          <w:rPr>
            <w:noProof/>
            <w:webHidden/>
          </w:rPr>
          <w:fldChar w:fldCharType="separate"/>
        </w:r>
        <w:r>
          <w:rPr>
            <w:noProof/>
            <w:webHidden/>
          </w:rPr>
          <w:t>224</w:t>
        </w:r>
        <w:r>
          <w:rPr>
            <w:noProof/>
            <w:webHidden/>
          </w:rPr>
          <w:fldChar w:fldCharType="end"/>
        </w:r>
      </w:hyperlink>
    </w:p>
    <w:p w14:paraId="0EC55F98" w14:textId="5E3A6908"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84" w:history="1">
        <w:r w:rsidRPr="00747969">
          <w:rPr>
            <w:rStyle w:val="Hyperlink"/>
            <w:noProof/>
          </w:rPr>
          <w:t>Table 17</w:t>
        </w:r>
        <w:r w:rsidRPr="00747969">
          <w:rPr>
            <w:rStyle w:val="Hyperlink"/>
            <w:noProof/>
          </w:rPr>
          <w:noBreakHyphen/>
          <w:t>1:</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Constraints</w:t>
        </w:r>
        <w:r w:rsidRPr="00747969">
          <w:rPr>
            <w:rStyle w:val="Hyperlink"/>
            <w:noProof/>
            <w:spacing w:val="-3"/>
          </w:rPr>
          <w:t xml:space="preserve"> </w:t>
        </w:r>
        <w:r w:rsidRPr="00747969">
          <w:rPr>
            <w:rStyle w:val="Hyperlink"/>
            <w:noProof/>
          </w:rPr>
          <w:t>analysis</w:t>
        </w:r>
        <w:r w:rsidRPr="00747969">
          <w:rPr>
            <w:rStyle w:val="Hyperlink"/>
            <w:noProof/>
            <w:spacing w:val="-2"/>
          </w:rPr>
          <w:t xml:space="preserve"> criteria</w:t>
        </w:r>
        <w:r>
          <w:rPr>
            <w:noProof/>
            <w:webHidden/>
          </w:rPr>
          <w:tab/>
        </w:r>
        <w:r>
          <w:rPr>
            <w:noProof/>
            <w:webHidden/>
          </w:rPr>
          <w:fldChar w:fldCharType="begin"/>
        </w:r>
        <w:r>
          <w:rPr>
            <w:noProof/>
            <w:webHidden/>
          </w:rPr>
          <w:instrText xml:space="preserve"> PAGEREF _Toc216699584 \h </w:instrText>
        </w:r>
        <w:r>
          <w:rPr>
            <w:noProof/>
            <w:webHidden/>
          </w:rPr>
        </w:r>
        <w:r>
          <w:rPr>
            <w:noProof/>
            <w:webHidden/>
          </w:rPr>
          <w:fldChar w:fldCharType="separate"/>
        </w:r>
        <w:r>
          <w:rPr>
            <w:noProof/>
            <w:webHidden/>
          </w:rPr>
          <w:t>231</w:t>
        </w:r>
        <w:r>
          <w:rPr>
            <w:noProof/>
            <w:webHidden/>
          </w:rPr>
          <w:fldChar w:fldCharType="end"/>
        </w:r>
      </w:hyperlink>
    </w:p>
    <w:p w14:paraId="44F10D5B" w14:textId="7819B64C"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85" w:history="1">
        <w:r w:rsidRPr="00747969">
          <w:rPr>
            <w:rStyle w:val="Hyperlink"/>
            <w:noProof/>
          </w:rPr>
          <w:t>Table 17</w:t>
        </w:r>
        <w:r w:rsidRPr="00747969">
          <w:rPr>
            <w:rStyle w:val="Hyperlink"/>
            <w:noProof/>
          </w:rPr>
          <w:noBreakHyphen/>
          <w:t>2:</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Environmental</w:t>
        </w:r>
        <w:r w:rsidRPr="00747969">
          <w:rPr>
            <w:rStyle w:val="Hyperlink"/>
            <w:noProof/>
            <w:spacing w:val="-2"/>
          </w:rPr>
          <w:t xml:space="preserve"> </w:t>
        </w:r>
        <w:r w:rsidRPr="00747969">
          <w:rPr>
            <w:rStyle w:val="Hyperlink"/>
            <w:noProof/>
          </w:rPr>
          <w:t>constraints</w:t>
        </w:r>
        <w:r w:rsidRPr="00747969">
          <w:rPr>
            <w:rStyle w:val="Hyperlink"/>
            <w:noProof/>
            <w:spacing w:val="-3"/>
          </w:rPr>
          <w:t xml:space="preserve"> </w:t>
        </w:r>
        <w:r w:rsidRPr="00747969">
          <w:rPr>
            <w:rStyle w:val="Hyperlink"/>
            <w:noProof/>
          </w:rPr>
          <w:t>for</w:t>
        </w:r>
        <w:r w:rsidRPr="00747969">
          <w:rPr>
            <w:rStyle w:val="Hyperlink"/>
            <w:noProof/>
            <w:spacing w:val="-3"/>
          </w:rPr>
          <w:t xml:space="preserve"> </w:t>
        </w:r>
        <w:r w:rsidRPr="00747969">
          <w:rPr>
            <w:rStyle w:val="Hyperlink"/>
            <w:noProof/>
          </w:rPr>
          <w:t>Formalise Western Channel (No Structural Modification) (Option</w:t>
        </w:r>
        <w:r w:rsidRPr="00747969">
          <w:rPr>
            <w:rStyle w:val="Hyperlink"/>
            <w:noProof/>
            <w:spacing w:val="-3"/>
          </w:rPr>
          <w:t xml:space="preserve"> </w:t>
        </w:r>
        <w:r w:rsidRPr="00747969">
          <w:rPr>
            <w:rStyle w:val="Hyperlink"/>
            <w:noProof/>
            <w:spacing w:val="-5"/>
          </w:rPr>
          <w:t>5A)</w:t>
        </w:r>
        <w:r>
          <w:rPr>
            <w:noProof/>
            <w:webHidden/>
          </w:rPr>
          <w:tab/>
        </w:r>
        <w:r>
          <w:rPr>
            <w:noProof/>
            <w:webHidden/>
          </w:rPr>
          <w:fldChar w:fldCharType="begin"/>
        </w:r>
        <w:r>
          <w:rPr>
            <w:noProof/>
            <w:webHidden/>
          </w:rPr>
          <w:instrText xml:space="preserve"> PAGEREF _Toc216699585 \h </w:instrText>
        </w:r>
        <w:r>
          <w:rPr>
            <w:noProof/>
            <w:webHidden/>
          </w:rPr>
        </w:r>
        <w:r>
          <w:rPr>
            <w:noProof/>
            <w:webHidden/>
          </w:rPr>
          <w:fldChar w:fldCharType="separate"/>
        </w:r>
        <w:r>
          <w:rPr>
            <w:noProof/>
            <w:webHidden/>
          </w:rPr>
          <w:t>231</w:t>
        </w:r>
        <w:r>
          <w:rPr>
            <w:noProof/>
            <w:webHidden/>
          </w:rPr>
          <w:fldChar w:fldCharType="end"/>
        </w:r>
      </w:hyperlink>
    </w:p>
    <w:p w14:paraId="6E9A2C4E" w14:textId="20A74F80"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86" w:history="1">
        <w:r w:rsidRPr="00747969">
          <w:rPr>
            <w:rStyle w:val="Hyperlink"/>
            <w:noProof/>
          </w:rPr>
          <w:t>Table 17</w:t>
        </w:r>
        <w:r w:rsidRPr="00747969">
          <w:rPr>
            <w:rStyle w:val="Hyperlink"/>
            <w:noProof/>
          </w:rPr>
          <w:noBreakHyphen/>
          <w:t>3:</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Constraints</w:t>
        </w:r>
        <w:r w:rsidRPr="00747969">
          <w:rPr>
            <w:rStyle w:val="Hyperlink"/>
            <w:noProof/>
            <w:spacing w:val="-3"/>
          </w:rPr>
          <w:t xml:space="preserve"> </w:t>
        </w:r>
        <w:r w:rsidRPr="00747969">
          <w:rPr>
            <w:rStyle w:val="Hyperlink"/>
            <w:noProof/>
          </w:rPr>
          <w:t>analysis</w:t>
        </w:r>
        <w:r w:rsidRPr="00747969">
          <w:rPr>
            <w:rStyle w:val="Hyperlink"/>
            <w:noProof/>
            <w:spacing w:val="-2"/>
          </w:rPr>
          <w:t xml:space="preserve"> criteria</w:t>
        </w:r>
        <w:r>
          <w:rPr>
            <w:noProof/>
            <w:webHidden/>
          </w:rPr>
          <w:tab/>
        </w:r>
        <w:r>
          <w:rPr>
            <w:noProof/>
            <w:webHidden/>
          </w:rPr>
          <w:fldChar w:fldCharType="begin"/>
        </w:r>
        <w:r>
          <w:rPr>
            <w:noProof/>
            <w:webHidden/>
          </w:rPr>
          <w:instrText xml:space="preserve"> PAGEREF _Toc216699586 \h </w:instrText>
        </w:r>
        <w:r>
          <w:rPr>
            <w:noProof/>
            <w:webHidden/>
          </w:rPr>
        </w:r>
        <w:r>
          <w:rPr>
            <w:noProof/>
            <w:webHidden/>
          </w:rPr>
          <w:fldChar w:fldCharType="separate"/>
        </w:r>
        <w:r>
          <w:rPr>
            <w:noProof/>
            <w:webHidden/>
          </w:rPr>
          <w:t>240</w:t>
        </w:r>
        <w:r>
          <w:rPr>
            <w:noProof/>
            <w:webHidden/>
          </w:rPr>
          <w:fldChar w:fldCharType="end"/>
        </w:r>
      </w:hyperlink>
    </w:p>
    <w:p w14:paraId="2BA29AC8" w14:textId="4FF8F1A6"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87" w:history="1">
        <w:r w:rsidRPr="00747969">
          <w:rPr>
            <w:rStyle w:val="Hyperlink"/>
            <w:noProof/>
          </w:rPr>
          <w:t>Table 17</w:t>
        </w:r>
        <w:r w:rsidRPr="00747969">
          <w:rPr>
            <w:rStyle w:val="Hyperlink"/>
            <w:noProof/>
          </w:rPr>
          <w:noBreakHyphen/>
          <w:t>4:</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Environmental</w:t>
        </w:r>
        <w:r w:rsidRPr="00747969">
          <w:rPr>
            <w:rStyle w:val="Hyperlink"/>
            <w:noProof/>
            <w:spacing w:val="-2"/>
          </w:rPr>
          <w:t xml:space="preserve"> </w:t>
        </w:r>
        <w:r w:rsidRPr="00747969">
          <w:rPr>
            <w:rStyle w:val="Hyperlink"/>
            <w:noProof/>
          </w:rPr>
          <w:t>constraints</w:t>
        </w:r>
        <w:r w:rsidRPr="00747969">
          <w:rPr>
            <w:rStyle w:val="Hyperlink"/>
            <w:noProof/>
            <w:spacing w:val="-3"/>
          </w:rPr>
          <w:t xml:space="preserve"> </w:t>
        </w:r>
        <w:r w:rsidRPr="00747969">
          <w:rPr>
            <w:rStyle w:val="Hyperlink"/>
            <w:noProof/>
          </w:rPr>
          <w:t>for</w:t>
        </w:r>
        <w:r w:rsidRPr="00747969">
          <w:rPr>
            <w:rStyle w:val="Hyperlink"/>
            <w:noProof/>
            <w:spacing w:val="-3"/>
          </w:rPr>
          <w:t xml:space="preserve"> </w:t>
        </w:r>
        <w:r w:rsidRPr="00747969">
          <w:rPr>
            <w:rStyle w:val="Hyperlink"/>
            <w:noProof/>
          </w:rPr>
          <w:t>Shorten Western Entrance Wall + Formalise Western Channel (Structural Modification) (Option</w:t>
        </w:r>
        <w:r w:rsidRPr="00747969">
          <w:rPr>
            <w:rStyle w:val="Hyperlink"/>
            <w:noProof/>
            <w:spacing w:val="-3"/>
          </w:rPr>
          <w:t xml:space="preserve"> </w:t>
        </w:r>
        <w:r w:rsidRPr="00747969">
          <w:rPr>
            <w:rStyle w:val="Hyperlink"/>
            <w:noProof/>
            <w:spacing w:val="-5"/>
          </w:rPr>
          <w:t>5B)</w:t>
        </w:r>
        <w:r>
          <w:rPr>
            <w:noProof/>
            <w:webHidden/>
          </w:rPr>
          <w:tab/>
        </w:r>
        <w:r>
          <w:rPr>
            <w:noProof/>
            <w:webHidden/>
          </w:rPr>
          <w:fldChar w:fldCharType="begin"/>
        </w:r>
        <w:r>
          <w:rPr>
            <w:noProof/>
            <w:webHidden/>
          </w:rPr>
          <w:instrText xml:space="preserve"> PAGEREF _Toc216699587 \h </w:instrText>
        </w:r>
        <w:r>
          <w:rPr>
            <w:noProof/>
            <w:webHidden/>
          </w:rPr>
        </w:r>
        <w:r>
          <w:rPr>
            <w:noProof/>
            <w:webHidden/>
          </w:rPr>
          <w:fldChar w:fldCharType="separate"/>
        </w:r>
        <w:r>
          <w:rPr>
            <w:noProof/>
            <w:webHidden/>
          </w:rPr>
          <w:t>240</w:t>
        </w:r>
        <w:r>
          <w:rPr>
            <w:noProof/>
            <w:webHidden/>
          </w:rPr>
          <w:fldChar w:fldCharType="end"/>
        </w:r>
      </w:hyperlink>
    </w:p>
    <w:p w14:paraId="1818BA9C" w14:textId="756900BD"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88" w:history="1">
        <w:r w:rsidRPr="00747969">
          <w:rPr>
            <w:rStyle w:val="Hyperlink"/>
            <w:noProof/>
          </w:rPr>
          <w:t>Table 17</w:t>
        </w:r>
        <w:r w:rsidRPr="00747969">
          <w:rPr>
            <w:rStyle w:val="Hyperlink"/>
            <w:noProof/>
          </w:rPr>
          <w:noBreakHyphen/>
          <w:t>5:</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Option</w:t>
        </w:r>
        <w:r w:rsidRPr="00747969">
          <w:rPr>
            <w:rStyle w:val="Hyperlink"/>
            <w:noProof/>
            <w:spacing w:val="-1"/>
          </w:rPr>
          <w:t xml:space="preserve"> </w:t>
        </w:r>
        <w:r w:rsidRPr="00747969">
          <w:rPr>
            <w:rStyle w:val="Hyperlink"/>
            <w:noProof/>
          </w:rPr>
          <w:t>5A</w:t>
        </w:r>
        <w:r w:rsidRPr="00747969">
          <w:rPr>
            <w:rStyle w:val="Hyperlink"/>
            <w:noProof/>
            <w:spacing w:val="-2"/>
          </w:rPr>
          <w:t xml:space="preserve"> </w:t>
        </w:r>
        <w:r w:rsidRPr="00747969">
          <w:rPr>
            <w:rStyle w:val="Hyperlink"/>
            <w:noProof/>
          </w:rPr>
          <w:t xml:space="preserve">MCA </w:t>
        </w:r>
        <w:r w:rsidRPr="00747969">
          <w:rPr>
            <w:rStyle w:val="Hyperlink"/>
            <w:noProof/>
            <w:spacing w:val="-2"/>
          </w:rPr>
          <w:t>Scoring</w:t>
        </w:r>
        <w:r>
          <w:rPr>
            <w:noProof/>
            <w:webHidden/>
          </w:rPr>
          <w:tab/>
        </w:r>
        <w:r>
          <w:rPr>
            <w:noProof/>
            <w:webHidden/>
          </w:rPr>
          <w:fldChar w:fldCharType="begin"/>
        </w:r>
        <w:r>
          <w:rPr>
            <w:noProof/>
            <w:webHidden/>
          </w:rPr>
          <w:instrText xml:space="preserve"> PAGEREF _Toc216699588 \h </w:instrText>
        </w:r>
        <w:r>
          <w:rPr>
            <w:noProof/>
            <w:webHidden/>
          </w:rPr>
        </w:r>
        <w:r>
          <w:rPr>
            <w:noProof/>
            <w:webHidden/>
          </w:rPr>
          <w:fldChar w:fldCharType="separate"/>
        </w:r>
        <w:r>
          <w:rPr>
            <w:noProof/>
            <w:webHidden/>
          </w:rPr>
          <w:t>252</w:t>
        </w:r>
        <w:r>
          <w:rPr>
            <w:noProof/>
            <w:webHidden/>
          </w:rPr>
          <w:fldChar w:fldCharType="end"/>
        </w:r>
      </w:hyperlink>
    </w:p>
    <w:p w14:paraId="07BB9EE2" w14:textId="4F076308"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89" w:history="1">
        <w:r w:rsidRPr="00747969">
          <w:rPr>
            <w:rStyle w:val="Hyperlink"/>
            <w:noProof/>
          </w:rPr>
          <w:t>Table 17</w:t>
        </w:r>
        <w:r w:rsidRPr="00747969">
          <w:rPr>
            <w:rStyle w:val="Hyperlink"/>
            <w:noProof/>
          </w:rPr>
          <w:noBreakHyphen/>
          <w:t>6:</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Option</w:t>
        </w:r>
        <w:r w:rsidRPr="00747969">
          <w:rPr>
            <w:rStyle w:val="Hyperlink"/>
            <w:noProof/>
            <w:spacing w:val="-1"/>
          </w:rPr>
          <w:t xml:space="preserve"> </w:t>
        </w:r>
        <w:r w:rsidRPr="00747969">
          <w:rPr>
            <w:rStyle w:val="Hyperlink"/>
            <w:noProof/>
          </w:rPr>
          <w:t>5B</w:t>
        </w:r>
        <w:r w:rsidRPr="00747969">
          <w:rPr>
            <w:rStyle w:val="Hyperlink"/>
            <w:noProof/>
            <w:spacing w:val="-2"/>
          </w:rPr>
          <w:t xml:space="preserve"> </w:t>
        </w:r>
        <w:r w:rsidRPr="00747969">
          <w:rPr>
            <w:rStyle w:val="Hyperlink"/>
            <w:noProof/>
          </w:rPr>
          <w:t xml:space="preserve">MCA </w:t>
        </w:r>
        <w:r w:rsidRPr="00747969">
          <w:rPr>
            <w:rStyle w:val="Hyperlink"/>
            <w:noProof/>
            <w:spacing w:val="-2"/>
          </w:rPr>
          <w:t>Scoring</w:t>
        </w:r>
        <w:r>
          <w:rPr>
            <w:noProof/>
            <w:webHidden/>
          </w:rPr>
          <w:tab/>
        </w:r>
        <w:r>
          <w:rPr>
            <w:noProof/>
            <w:webHidden/>
          </w:rPr>
          <w:fldChar w:fldCharType="begin"/>
        </w:r>
        <w:r>
          <w:rPr>
            <w:noProof/>
            <w:webHidden/>
          </w:rPr>
          <w:instrText xml:space="preserve"> PAGEREF _Toc216699589 \h </w:instrText>
        </w:r>
        <w:r>
          <w:rPr>
            <w:noProof/>
            <w:webHidden/>
          </w:rPr>
        </w:r>
        <w:r>
          <w:rPr>
            <w:noProof/>
            <w:webHidden/>
          </w:rPr>
          <w:fldChar w:fldCharType="separate"/>
        </w:r>
        <w:r>
          <w:rPr>
            <w:noProof/>
            <w:webHidden/>
          </w:rPr>
          <w:t>253</w:t>
        </w:r>
        <w:r>
          <w:rPr>
            <w:noProof/>
            <w:webHidden/>
          </w:rPr>
          <w:fldChar w:fldCharType="end"/>
        </w:r>
      </w:hyperlink>
    </w:p>
    <w:p w14:paraId="43CAFE05" w14:textId="6193B7B5"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90" w:history="1">
        <w:r w:rsidRPr="00747969">
          <w:rPr>
            <w:rStyle w:val="Hyperlink"/>
            <w:noProof/>
          </w:rPr>
          <w:t>Table 18</w:t>
        </w:r>
        <w:r w:rsidRPr="00747969">
          <w:rPr>
            <w:rStyle w:val="Hyperlink"/>
            <w:noProof/>
          </w:rPr>
          <w:noBreakHyphen/>
          <w:t>1:</w:t>
        </w:r>
        <w:r>
          <w:rPr>
            <w:rFonts w:asciiTheme="minorHAnsi" w:eastAsiaTheme="minorEastAsia" w:hAnsiTheme="minorHAnsi" w:cstheme="minorBidi"/>
            <w:noProof/>
            <w:color w:val="auto"/>
            <w:kern w:val="2"/>
            <w:sz w:val="24"/>
            <w:szCs w:val="24"/>
            <w:lang w:eastAsia="en-AU"/>
            <w14:ligatures w14:val="standardContextual"/>
          </w:rPr>
          <w:tab/>
        </w:r>
        <w:r w:rsidRPr="00747969">
          <w:rPr>
            <w:rStyle w:val="Hyperlink"/>
            <w:noProof/>
          </w:rPr>
          <w:t>MCA</w:t>
        </w:r>
        <w:r w:rsidRPr="00747969">
          <w:rPr>
            <w:rStyle w:val="Hyperlink"/>
            <w:noProof/>
            <w:spacing w:val="-2"/>
          </w:rPr>
          <w:t xml:space="preserve"> </w:t>
        </w:r>
        <w:r w:rsidRPr="00747969">
          <w:rPr>
            <w:rStyle w:val="Hyperlink"/>
            <w:noProof/>
          </w:rPr>
          <w:t>evaluation</w:t>
        </w:r>
        <w:r w:rsidRPr="00747969">
          <w:rPr>
            <w:rStyle w:val="Hyperlink"/>
            <w:noProof/>
            <w:spacing w:val="-1"/>
          </w:rPr>
          <w:t xml:space="preserve"> </w:t>
        </w:r>
        <w:r w:rsidRPr="00747969">
          <w:rPr>
            <w:rStyle w:val="Hyperlink"/>
            <w:noProof/>
          </w:rPr>
          <w:t>of</w:t>
        </w:r>
        <w:r w:rsidRPr="00747969">
          <w:rPr>
            <w:rStyle w:val="Hyperlink"/>
            <w:noProof/>
            <w:spacing w:val="-2"/>
          </w:rPr>
          <w:t xml:space="preserve"> </w:t>
        </w:r>
        <w:r w:rsidRPr="00747969">
          <w:rPr>
            <w:rStyle w:val="Hyperlink"/>
            <w:noProof/>
          </w:rPr>
          <w:t>long-term</w:t>
        </w:r>
        <w:r w:rsidRPr="00747969">
          <w:rPr>
            <w:rStyle w:val="Hyperlink"/>
            <w:noProof/>
            <w:spacing w:val="-1"/>
          </w:rPr>
          <w:t xml:space="preserve"> </w:t>
        </w:r>
        <w:r w:rsidRPr="00747969">
          <w:rPr>
            <w:rStyle w:val="Hyperlink"/>
            <w:noProof/>
            <w:spacing w:val="-2"/>
          </w:rPr>
          <w:t>options</w:t>
        </w:r>
        <w:r>
          <w:rPr>
            <w:noProof/>
            <w:webHidden/>
          </w:rPr>
          <w:tab/>
        </w:r>
        <w:r>
          <w:rPr>
            <w:noProof/>
            <w:webHidden/>
          </w:rPr>
          <w:fldChar w:fldCharType="begin"/>
        </w:r>
        <w:r>
          <w:rPr>
            <w:noProof/>
            <w:webHidden/>
          </w:rPr>
          <w:instrText xml:space="preserve"> PAGEREF _Toc216699590 \h </w:instrText>
        </w:r>
        <w:r>
          <w:rPr>
            <w:noProof/>
            <w:webHidden/>
          </w:rPr>
        </w:r>
        <w:r>
          <w:rPr>
            <w:noProof/>
            <w:webHidden/>
          </w:rPr>
          <w:fldChar w:fldCharType="separate"/>
        </w:r>
        <w:r>
          <w:rPr>
            <w:noProof/>
            <w:webHidden/>
          </w:rPr>
          <w:t>255</w:t>
        </w:r>
        <w:r>
          <w:rPr>
            <w:noProof/>
            <w:webHidden/>
          </w:rPr>
          <w:fldChar w:fldCharType="end"/>
        </w:r>
      </w:hyperlink>
    </w:p>
    <w:p w14:paraId="1398EB54" w14:textId="5D7FEF50" w:rsidR="00B96E7E" w:rsidRPr="00D4309F" w:rsidRDefault="00CE4A32" w:rsidP="00C70879">
      <w:pPr>
        <w:pStyle w:val="TOC8"/>
      </w:pPr>
      <w:r w:rsidRPr="00D4309F">
        <w:fldChar w:fldCharType="end"/>
      </w:r>
    </w:p>
    <w:sdt>
      <w:sdtPr>
        <w:alias w:val="{{Translate(&quot;Figures&quot;)}}"/>
        <w:tag w:val="{&quot;templafy&quot;:{&quot;id&quot;:&quot;56f1aa39-01be-4fdc-b353-bb1b91066a96&quot;}}"/>
        <w:id w:val="2130735492"/>
        <w:placeholder>
          <w:docPart w:val="EC4A9C41F08A48529648B6FDC53FC747"/>
        </w:placeholder>
      </w:sdtPr>
      <w:sdtEndPr/>
      <w:sdtContent>
        <w:p w14:paraId="6C88C370" w14:textId="77777777" w:rsidR="00F308D8" w:rsidRPr="00D4309F" w:rsidRDefault="00FC392F">
          <w:pPr>
            <w:pStyle w:val="TOCHeading2"/>
          </w:pPr>
          <w:r w:rsidRPr="00D4309F">
            <w:t>Figures</w:t>
          </w:r>
        </w:p>
      </w:sdtContent>
    </w:sdt>
    <w:p w14:paraId="22EF931A" w14:textId="34DC9B36" w:rsidR="00B91EB8" w:rsidRDefault="00B96E7E">
      <w:pPr>
        <w:pStyle w:val="TableofFigures"/>
        <w:rPr>
          <w:rFonts w:asciiTheme="minorHAnsi" w:eastAsiaTheme="minorEastAsia" w:hAnsiTheme="minorHAnsi" w:cstheme="minorBidi"/>
          <w:noProof/>
          <w:color w:val="auto"/>
          <w:kern w:val="2"/>
          <w:sz w:val="24"/>
          <w:szCs w:val="24"/>
          <w:lang w:eastAsia="en-AU"/>
          <w14:ligatures w14:val="standardContextual"/>
        </w:rPr>
      </w:pPr>
      <w:r w:rsidRPr="00D4309F">
        <w:fldChar w:fldCharType="begin"/>
      </w:r>
      <w:r w:rsidRPr="00D4309F">
        <w:instrText xml:space="preserve"> TOC </w:instrText>
      </w:r>
      <w:r w:rsidR="00EA4FFD" w:rsidRPr="00D4309F">
        <w:instrText xml:space="preserve">\h </w:instrText>
      </w:r>
      <w:r w:rsidRPr="00D4309F">
        <w:instrText xml:space="preserve">\z \c "Figure" </w:instrText>
      </w:r>
      <w:r w:rsidRPr="00D4309F">
        <w:fldChar w:fldCharType="separate"/>
      </w:r>
      <w:hyperlink w:anchor="_Toc216699591" w:history="1">
        <w:r w:rsidR="00B91EB8" w:rsidRPr="00B06F1B">
          <w:rPr>
            <w:rStyle w:val="Hyperlink"/>
            <w:noProof/>
          </w:rPr>
          <w:t>Figure 4</w:t>
        </w:r>
        <w:r w:rsidR="00B91EB8" w:rsidRPr="00B06F1B">
          <w:rPr>
            <w:rStyle w:val="Hyperlink"/>
            <w:noProof/>
          </w:rPr>
          <w:noBreakHyphen/>
          <w:t>1:</w:t>
        </w:r>
        <w:r w:rsidR="00B91EB8">
          <w:rPr>
            <w:rFonts w:asciiTheme="minorHAnsi" w:eastAsiaTheme="minorEastAsia" w:hAnsiTheme="minorHAnsi" w:cstheme="minorBidi"/>
            <w:noProof/>
            <w:color w:val="auto"/>
            <w:kern w:val="2"/>
            <w:sz w:val="24"/>
            <w:szCs w:val="24"/>
            <w:lang w:eastAsia="en-AU"/>
            <w14:ligatures w14:val="standardContextual"/>
          </w:rPr>
          <w:tab/>
        </w:r>
        <w:r w:rsidR="00B91EB8" w:rsidRPr="00B06F1B">
          <w:rPr>
            <w:rStyle w:val="Hyperlink"/>
            <w:noProof/>
          </w:rPr>
          <w:t>Conceptual</w:t>
        </w:r>
        <w:r w:rsidR="00B91EB8" w:rsidRPr="00B06F1B">
          <w:rPr>
            <w:rStyle w:val="Hyperlink"/>
            <w:noProof/>
            <w:spacing w:val="-5"/>
          </w:rPr>
          <w:t xml:space="preserve"> </w:t>
        </w:r>
        <w:r w:rsidR="00B91EB8" w:rsidRPr="00B06F1B">
          <w:rPr>
            <w:rStyle w:val="Hyperlink"/>
            <w:noProof/>
          </w:rPr>
          <w:t>model</w:t>
        </w:r>
        <w:r w:rsidR="00B91EB8" w:rsidRPr="00B06F1B">
          <w:rPr>
            <w:rStyle w:val="Hyperlink"/>
            <w:noProof/>
            <w:spacing w:val="-2"/>
          </w:rPr>
          <w:t xml:space="preserve"> </w:t>
        </w:r>
        <w:r w:rsidR="00B91EB8" w:rsidRPr="00B06F1B">
          <w:rPr>
            <w:rStyle w:val="Hyperlink"/>
            <w:noProof/>
          </w:rPr>
          <w:t>of</w:t>
        </w:r>
        <w:r w:rsidR="00B91EB8" w:rsidRPr="00B06F1B">
          <w:rPr>
            <w:rStyle w:val="Hyperlink"/>
            <w:noProof/>
            <w:spacing w:val="-4"/>
          </w:rPr>
          <w:t xml:space="preserve"> </w:t>
        </w:r>
        <w:r w:rsidR="00B91EB8" w:rsidRPr="00B06F1B">
          <w:rPr>
            <w:rStyle w:val="Hyperlink"/>
            <w:noProof/>
          </w:rPr>
          <w:t>natural</w:t>
        </w:r>
        <w:r w:rsidR="00B91EB8" w:rsidRPr="00B06F1B">
          <w:rPr>
            <w:rStyle w:val="Hyperlink"/>
            <w:noProof/>
            <w:spacing w:val="-2"/>
          </w:rPr>
          <w:t xml:space="preserve"> </w:t>
        </w:r>
        <w:r w:rsidR="00B91EB8" w:rsidRPr="00B06F1B">
          <w:rPr>
            <w:rStyle w:val="Hyperlink"/>
            <w:noProof/>
          </w:rPr>
          <w:t>bypassing</w:t>
        </w:r>
        <w:r w:rsidR="00B91EB8" w:rsidRPr="00B06F1B">
          <w:rPr>
            <w:rStyle w:val="Hyperlink"/>
            <w:noProof/>
            <w:spacing w:val="-3"/>
          </w:rPr>
          <w:t xml:space="preserve"> </w:t>
        </w:r>
        <w:r w:rsidR="00B91EB8" w:rsidRPr="00B06F1B">
          <w:rPr>
            <w:rStyle w:val="Hyperlink"/>
            <w:noProof/>
          </w:rPr>
          <w:t>of</w:t>
        </w:r>
        <w:r w:rsidR="00B91EB8" w:rsidRPr="00B06F1B">
          <w:rPr>
            <w:rStyle w:val="Hyperlink"/>
            <w:noProof/>
            <w:spacing w:val="-3"/>
          </w:rPr>
          <w:t xml:space="preserve"> </w:t>
        </w:r>
        <w:r w:rsidR="00B91EB8" w:rsidRPr="00B06F1B">
          <w:rPr>
            <w:rStyle w:val="Hyperlink"/>
            <w:noProof/>
          </w:rPr>
          <w:t>Point</w:t>
        </w:r>
        <w:r w:rsidR="00B91EB8" w:rsidRPr="00B06F1B">
          <w:rPr>
            <w:rStyle w:val="Hyperlink"/>
            <w:noProof/>
            <w:spacing w:val="-4"/>
          </w:rPr>
          <w:t xml:space="preserve"> </w:t>
        </w:r>
        <w:r w:rsidR="00B91EB8" w:rsidRPr="00B06F1B">
          <w:rPr>
            <w:rStyle w:val="Hyperlink"/>
            <w:noProof/>
          </w:rPr>
          <w:t>Cartwright</w:t>
        </w:r>
        <w:r w:rsidR="00B91EB8" w:rsidRPr="00B06F1B">
          <w:rPr>
            <w:rStyle w:val="Hyperlink"/>
            <w:noProof/>
            <w:spacing w:val="-2"/>
          </w:rPr>
          <w:t xml:space="preserve"> </w:t>
        </w:r>
        <w:r w:rsidR="00B91EB8" w:rsidRPr="00B06F1B">
          <w:rPr>
            <w:rStyle w:val="Hyperlink"/>
            <w:noProof/>
          </w:rPr>
          <w:t>(BMT,</w:t>
        </w:r>
        <w:r w:rsidR="00B91EB8" w:rsidRPr="00B06F1B">
          <w:rPr>
            <w:rStyle w:val="Hyperlink"/>
            <w:noProof/>
            <w:spacing w:val="-2"/>
          </w:rPr>
          <w:t xml:space="preserve"> 2014)</w:t>
        </w:r>
        <w:r w:rsidR="00B91EB8">
          <w:rPr>
            <w:noProof/>
            <w:webHidden/>
          </w:rPr>
          <w:tab/>
        </w:r>
        <w:r w:rsidR="00B91EB8">
          <w:rPr>
            <w:noProof/>
            <w:webHidden/>
          </w:rPr>
          <w:fldChar w:fldCharType="begin"/>
        </w:r>
        <w:r w:rsidR="00B91EB8">
          <w:rPr>
            <w:noProof/>
            <w:webHidden/>
          </w:rPr>
          <w:instrText xml:space="preserve"> PAGEREF _Toc216699591 \h </w:instrText>
        </w:r>
        <w:r w:rsidR="00B91EB8">
          <w:rPr>
            <w:noProof/>
            <w:webHidden/>
          </w:rPr>
        </w:r>
        <w:r w:rsidR="00B91EB8">
          <w:rPr>
            <w:noProof/>
            <w:webHidden/>
          </w:rPr>
          <w:fldChar w:fldCharType="separate"/>
        </w:r>
        <w:r w:rsidR="00B91EB8">
          <w:rPr>
            <w:noProof/>
            <w:webHidden/>
          </w:rPr>
          <w:t>21</w:t>
        </w:r>
        <w:r w:rsidR="00B91EB8">
          <w:rPr>
            <w:noProof/>
            <w:webHidden/>
          </w:rPr>
          <w:fldChar w:fldCharType="end"/>
        </w:r>
      </w:hyperlink>
    </w:p>
    <w:p w14:paraId="5BEB1F64" w14:textId="1183A16C"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92" w:history="1">
        <w:r w:rsidRPr="00B06F1B">
          <w:rPr>
            <w:rStyle w:val="Hyperlink"/>
            <w:noProof/>
          </w:rPr>
          <w:t>Figure 4</w:t>
        </w:r>
        <w:r w:rsidRPr="00B06F1B">
          <w:rPr>
            <w:rStyle w:val="Hyperlink"/>
            <w:noProof/>
          </w:rPr>
          <w:noBreakHyphen/>
          <w:t>2:</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Consistent location and shape of sand shoal events at the entrance (i.e., form from the end of the eastern breakwater and extended to the west to Mooloolaba Beach)</w:t>
        </w:r>
        <w:r>
          <w:rPr>
            <w:noProof/>
            <w:webHidden/>
          </w:rPr>
          <w:tab/>
        </w:r>
        <w:r>
          <w:rPr>
            <w:noProof/>
            <w:webHidden/>
          </w:rPr>
          <w:fldChar w:fldCharType="begin"/>
        </w:r>
        <w:r>
          <w:rPr>
            <w:noProof/>
            <w:webHidden/>
          </w:rPr>
          <w:instrText xml:space="preserve"> PAGEREF _Toc216699592 \h </w:instrText>
        </w:r>
        <w:r>
          <w:rPr>
            <w:noProof/>
            <w:webHidden/>
          </w:rPr>
        </w:r>
        <w:r>
          <w:rPr>
            <w:noProof/>
            <w:webHidden/>
          </w:rPr>
          <w:fldChar w:fldCharType="separate"/>
        </w:r>
        <w:r>
          <w:rPr>
            <w:noProof/>
            <w:webHidden/>
          </w:rPr>
          <w:t>22</w:t>
        </w:r>
        <w:r>
          <w:rPr>
            <w:noProof/>
            <w:webHidden/>
          </w:rPr>
          <w:fldChar w:fldCharType="end"/>
        </w:r>
      </w:hyperlink>
    </w:p>
    <w:p w14:paraId="66201C16" w14:textId="4B6E5A88"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93" w:history="1">
        <w:r w:rsidRPr="00B06F1B">
          <w:rPr>
            <w:rStyle w:val="Hyperlink"/>
            <w:noProof/>
          </w:rPr>
          <w:t>Figure 4</w:t>
        </w:r>
        <w:r w:rsidRPr="00B06F1B">
          <w:rPr>
            <w:rStyle w:val="Hyperlink"/>
            <w:noProof/>
          </w:rPr>
          <w:noBreakHyphen/>
          <w:t>3:</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Historical</w:t>
        </w:r>
        <w:r w:rsidRPr="00B06F1B">
          <w:rPr>
            <w:rStyle w:val="Hyperlink"/>
            <w:noProof/>
            <w:spacing w:val="-3"/>
          </w:rPr>
          <w:t xml:space="preserve"> </w:t>
        </w:r>
        <w:r w:rsidRPr="00B06F1B">
          <w:rPr>
            <w:rStyle w:val="Hyperlink"/>
            <w:noProof/>
          </w:rPr>
          <w:t>sand</w:t>
        </w:r>
        <w:r w:rsidRPr="00B06F1B">
          <w:rPr>
            <w:rStyle w:val="Hyperlink"/>
            <w:noProof/>
            <w:spacing w:val="-3"/>
          </w:rPr>
          <w:t xml:space="preserve"> </w:t>
        </w:r>
        <w:r w:rsidRPr="00B06F1B">
          <w:rPr>
            <w:rStyle w:val="Hyperlink"/>
            <w:noProof/>
          </w:rPr>
          <w:t>shoaling</w:t>
        </w:r>
        <w:r w:rsidRPr="00B06F1B">
          <w:rPr>
            <w:rStyle w:val="Hyperlink"/>
            <w:noProof/>
            <w:spacing w:val="-4"/>
          </w:rPr>
          <w:t xml:space="preserve"> </w:t>
        </w:r>
        <w:r w:rsidRPr="00B06F1B">
          <w:rPr>
            <w:rStyle w:val="Hyperlink"/>
            <w:noProof/>
          </w:rPr>
          <w:t>indicator</w:t>
        </w:r>
        <w:r w:rsidRPr="00B06F1B">
          <w:rPr>
            <w:rStyle w:val="Hyperlink"/>
            <w:noProof/>
            <w:spacing w:val="-3"/>
          </w:rPr>
          <w:t xml:space="preserve"> </w:t>
        </w:r>
        <w:r w:rsidRPr="00B06F1B">
          <w:rPr>
            <w:rStyle w:val="Hyperlink"/>
            <w:noProof/>
          </w:rPr>
          <w:t>results</w:t>
        </w:r>
        <w:r w:rsidRPr="00B06F1B">
          <w:rPr>
            <w:rStyle w:val="Hyperlink"/>
            <w:noProof/>
            <w:spacing w:val="-2"/>
          </w:rPr>
          <w:t xml:space="preserve"> </w:t>
        </w:r>
        <w:r w:rsidRPr="00B06F1B">
          <w:rPr>
            <w:rStyle w:val="Hyperlink"/>
            <w:noProof/>
          </w:rPr>
          <w:t>between</w:t>
        </w:r>
        <w:r w:rsidRPr="00B06F1B">
          <w:rPr>
            <w:rStyle w:val="Hyperlink"/>
            <w:noProof/>
            <w:spacing w:val="-3"/>
          </w:rPr>
          <w:t xml:space="preserve"> </w:t>
        </w:r>
        <w:r w:rsidRPr="00B06F1B">
          <w:rPr>
            <w:rStyle w:val="Hyperlink"/>
            <w:noProof/>
          </w:rPr>
          <w:t>1997</w:t>
        </w:r>
        <w:r w:rsidRPr="00B06F1B">
          <w:rPr>
            <w:rStyle w:val="Hyperlink"/>
            <w:noProof/>
            <w:spacing w:val="-2"/>
          </w:rPr>
          <w:t xml:space="preserve"> </w:t>
        </w:r>
        <w:r w:rsidRPr="00B06F1B">
          <w:rPr>
            <w:rStyle w:val="Hyperlink"/>
            <w:noProof/>
          </w:rPr>
          <w:t>and</w:t>
        </w:r>
        <w:r w:rsidRPr="00B06F1B">
          <w:rPr>
            <w:rStyle w:val="Hyperlink"/>
            <w:noProof/>
            <w:spacing w:val="-2"/>
          </w:rPr>
          <w:t xml:space="preserve"> </w:t>
        </w:r>
        <w:r w:rsidRPr="00B06F1B">
          <w:rPr>
            <w:rStyle w:val="Hyperlink"/>
            <w:noProof/>
            <w:spacing w:val="-4"/>
          </w:rPr>
          <w:t>2025</w:t>
        </w:r>
        <w:r>
          <w:rPr>
            <w:noProof/>
            <w:webHidden/>
          </w:rPr>
          <w:tab/>
        </w:r>
        <w:r>
          <w:rPr>
            <w:noProof/>
            <w:webHidden/>
          </w:rPr>
          <w:fldChar w:fldCharType="begin"/>
        </w:r>
        <w:r>
          <w:rPr>
            <w:noProof/>
            <w:webHidden/>
          </w:rPr>
          <w:instrText xml:space="preserve"> PAGEREF _Toc216699593 \h </w:instrText>
        </w:r>
        <w:r>
          <w:rPr>
            <w:noProof/>
            <w:webHidden/>
          </w:rPr>
        </w:r>
        <w:r>
          <w:rPr>
            <w:noProof/>
            <w:webHidden/>
          </w:rPr>
          <w:fldChar w:fldCharType="separate"/>
        </w:r>
        <w:r>
          <w:rPr>
            <w:noProof/>
            <w:webHidden/>
          </w:rPr>
          <w:t>24</w:t>
        </w:r>
        <w:r>
          <w:rPr>
            <w:noProof/>
            <w:webHidden/>
          </w:rPr>
          <w:fldChar w:fldCharType="end"/>
        </w:r>
      </w:hyperlink>
    </w:p>
    <w:p w14:paraId="78E2733F" w14:textId="3BB40190"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94" w:history="1">
        <w:r w:rsidRPr="00B06F1B">
          <w:rPr>
            <w:rStyle w:val="Hyperlink"/>
            <w:noProof/>
          </w:rPr>
          <w:t>Figure 4</w:t>
        </w:r>
        <w:r w:rsidRPr="00B06F1B">
          <w:rPr>
            <w:rStyle w:val="Hyperlink"/>
            <w:noProof/>
          </w:rPr>
          <w:noBreakHyphen/>
          <w:t>4:</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Example</w:t>
        </w:r>
        <w:r w:rsidRPr="00B06F1B">
          <w:rPr>
            <w:rStyle w:val="Hyperlink"/>
            <w:noProof/>
            <w:spacing w:val="-5"/>
          </w:rPr>
          <w:t xml:space="preserve"> </w:t>
        </w:r>
        <w:r w:rsidRPr="00B06F1B">
          <w:rPr>
            <w:rStyle w:val="Hyperlink"/>
            <w:noProof/>
          </w:rPr>
          <w:t>of</w:t>
        </w:r>
        <w:r w:rsidRPr="00B06F1B">
          <w:rPr>
            <w:rStyle w:val="Hyperlink"/>
            <w:noProof/>
            <w:spacing w:val="-2"/>
          </w:rPr>
          <w:t xml:space="preserve"> </w:t>
        </w:r>
        <w:r w:rsidRPr="00B06F1B">
          <w:rPr>
            <w:rStyle w:val="Hyperlink"/>
            <w:noProof/>
          </w:rPr>
          <w:t>waves</w:t>
        </w:r>
        <w:r w:rsidRPr="00B06F1B">
          <w:rPr>
            <w:rStyle w:val="Hyperlink"/>
            <w:noProof/>
            <w:spacing w:val="-3"/>
          </w:rPr>
          <w:t xml:space="preserve"> </w:t>
        </w:r>
        <w:r w:rsidRPr="00B06F1B">
          <w:rPr>
            <w:rStyle w:val="Hyperlink"/>
            <w:noProof/>
          </w:rPr>
          <w:t>shoaling</w:t>
        </w:r>
        <w:r w:rsidRPr="00B06F1B">
          <w:rPr>
            <w:rStyle w:val="Hyperlink"/>
            <w:noProof/>
            <w:spacing w:val="-2"/>
          </w:rPr>
          <w:t xml:space="preserve"> </w:t>
        </w:r>
        <w:r w:rsidRPr="00B06F1B">
          <w:rPr>
            <w:rStyle w:val="Hyperlink"/>
            <w:noProof/>
          </w:rPr>
          <w:t>and</w:t>
        </w:r>
        <w:r w:rsidRPr="00B06F1B">
          <w:rPr>
            <w:rStyle w:val="Hyperlink"/>
            <w:noProof/>
            <w:spacing w:val="-2"/>
          </w:rPr>
          <w:t xml:space="preserve"> </w:t>
        </w:r>
        <w:r w:rsidRPr="00B06F1B">
          <w:rPr>
            <w:rStyle w:val="Hyperlink"/>
            <w:noProof/>
          </w:rPr>
          <w:t>breaking</w:t>
        </w:r>
        <w:r w:rsidRPr="00B06F1B">
          <w:rPr>
            <w:rStyle w:val="Hyperlink"/>
            <w:noProof/>
            <w:spacing w:val="-3"/>
          </w:rPr>
          <w:t xml:space="preserve"> </w:t>
        </w:r>
        <w:r w:rsidRPr="00B06F1B">
          <w:rPr>
            <w:rStyle w:val="Hyperlink"/>
            <w:noProof/>
          </w:rPr>
          <w:t>during</w:t>
        </w:r>
        <w:r w:rsidRPr="00B06F1B">
          <w:rPr>
            <w:rStyle w:val="Hyperlink"/>
            <w:noProof/>
            <w:spacing w:val="-2"/>
          </w:rPr>
          <w:t xml:space="preserve"> </w:t>
        </w:r>
        <w:r w:rsidRPr="00B06F1B">
          <w:rPr>
            <w:rStyle w:val="Hyperlink"/>
            <w:noProof/>
          </w:rPr>
          <w:t>a</w:t>
        </w:r>
        <w:r w:rsidRPr="00B06F1B">
          <w:rPr>
            <w:rStyle w:val="Hyperlink"/>
            <w:noProof/>
            <w:spacing w:val="-3"/>
          </w:rPr>
          <w:t xml:space="preserve"> </w:t>
        </w:r>
        <w:r w:rsidRPr="00B06F1B">
          <w:rPr>
            <w:rStyle w:val="Hyperlink"/>
            <w:noProof/>
          </w:rPr>
          <w:t>sand</w:t>
        </w:r>
        <w:r w:rsidRPr="00B06F1B">
          <w:rPr>
            <w:rStyle w:val="Hyperlink"/>
            <w:noProof/>
            <w:spacing w:val="-3"/>
          </w:rPr>
          <w:t xml:space="preserve"> </w:t>
        </w:r>
        <w:r w:rsidRPr="00B06F1B">
          <w:rPr>
            <w:rStyle w:val="Hyperlink"/>
            <w:noProof/>
          </w:rPr>
          <w:t>shoal</w:t>
        </w:r>
        <w:r w:rsidRPr="00B06F1B">
          <w:rPr>
            <w:rStyle w:val="Hyperlink"/>
            <w:noProof/>
            <w:spacing w:val="-1"/>
          </w:rPr>
          <w:t xml:space="preserve"> </w:t>
        </w:r>
        <w:r w:rsidRPr="00B06F1B">
          <w:rPr>
            <w:rStyle w:val="Hyperlink"/>
            <w:noProof/>
          </w:rPr>
          <w:t>event</w:t>
        </w:r>
        <w:r w:rsidRPr="00B06F1B">
          <w:rPr>
            <w:rStyle w:val="Hyperlink"/>
            <w:noProof/>
            <w:spacing w:val="-2"/>
          </w:rPr>
          <w:t xml:space="preserve"> </w:t>
        </w:r>
        <w:r w:rsidRPr="00B06F1B">
          <w:rPr>
            <w:rStyle w:val="Hyperlink"/>
            <w:noProof/>
          </w:rPr>
          <w:t>at</w:t>
        </w:r>
        <w:r w:rsidRPr="00B06F1B">
          <w:rPr>
            <w:rStyle w:val="Hyperlink"/>
            <w:noProof/>
            <w:spacing w:val="-2"/>
          </w:rPr>
          <w:t xml:space="preserve"> </w:t>
        </w:r>
        <w:r w:rsidRPr="00B06F1B">
          <w:rPr>
            <w:rStyle w:val="Hyperlink"/>
            <w:noProof/>
          </w:rPr>
          <w:t>the</w:t>
        </w:r>
        <w:r w:rsidRPr="00B06F1B">
          <w:rPr>
            <w:rStyle w:val="Hyperlink"/>
            <w:noProof/>
            <w:spacing w:val="-2"/>
          </w:rPr>
          <w:t xml:space="preserve"> entrance</w:t>
        </w:r>
        <w:r>
          <w:rPr>
            <w:noProof/>
            <w:webHidden/>
          </w:rPr>
          <w:tab/>
        </w:r>
        <w:r>
          <w:rPr>
            <w:noProof/>
            <w:webHidden/>
          </w:rPr>
          <w:fldChar w:fldCharType="begin"/>
        </w:r>
        <w:r>
          <w:rPr>
            <w:noProof/>
            <w:webHidden/>
          </w:rPr>
          <w:instrText xml:space="preserve"> PAGEREF _Toc216699594 \h </w:instrText>
        </w:r>
        <w:r>
          <w:rPr>
            <w:noProof/>
            <w:webHidden/>
          </w:rPr>
        </w:r>
        <w:r>
          <w:rPr>
            <w:noProof/>
            <w:webHidden/>
          </w:rPr>
          <w:fldChar w:fldCharType="separate"/>
        </w:r>
        <w:r>
          <w:rPr>
            <w:noProof/>
            <w:webHidden/>
          </w:rPr>
          <w:t>24</w:t>
        </w:r>
        <w:r>
          <w:rPr>
            <w:noProof/>
            <w:webHidden/>
          </w:rPr>
          <w:fldChar w:fldCharType="end"/>
        </w:r>
      </w:hyperlink>
    </w:p>
    <w:p w14:paraId="226C3060" w14:textId="1833BABF"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95" w:history="1">
        <w:r w:rsidRPr="00B06F1B">
          <w:rPr>
            <w:rStyle w:val="Hyperlink"/>
            <w:noProof/>
          </w:rPr>
          <w:t>Figure 5</w:t>
        </w:r>
        <w:r w:rsidRPr="00B06F1B">
          <w:rPr>
            <w:rStyle w:val="Hyperlink"/>
            <w:noProof/>
          </w:rPr>
          <w:noBreakHyphen/>
          <w:t>1:</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Marine</w:t>
        </w:r>
        <w:r w:rsidRPr="00B06F1B">
          <w:rPr>
            <w:rStyle w:val="Hyperlink"/>
            <w:noProof/>
            <w:spacing w:val="-3"/>
          </w:rPr>
          <w:t xml:space="preserve"> </w:t>
        </w:r>
        <w:r w:rsidRPr="00B06F1B">
          <w:rPr>
            <w:rStyle w:val="Hyperlink"/>
            <w:noProof/>
          </w:rPr>
          <w:t>turtle</w:t>
        </w:r>
        <w:r w:rsidRPr="00B06F1B">
          <w:rPr>
            <w:rStyle w:val="Hyperlink"/>
            <w:noProof/>
            <w:spacing w:val="-3"/>
          </w:rPr>
          <w:t xml:space="preserve"> </w:t>
        </w:r>
        <w:r w:rsidRPr="00B06F1B">
          <w:rPr>
            <w:rStyle w:val="Hyperlink"/>
            <w:noProof/>
          </w:rPr>
          <w:t>nesting</w:t>
        </w:r>
        <w:r w:rsidRPr="00B06F1B">
          <w:rPr>
            <w:rStyle w:val="Hyperlink"/>
            <w:noProof/>
            <w:spacing w:val="-2"/>
          </w:rPr>
          <w:t xml:space="preserve"> </w:t>
        </w:r>
        <w:r w:rsidRPr="00B06F1B">
          <w:rPr>
            <w:rStyle w:val="Hyperlink"/>
            <w:noProof/>
          </w:rPr>
          <w:t>areas</w:t>
        </w:r>
        <w:r w:rsidRPr="00B06F1B">
          <w:rPr>
            <w:rStyle w:val="Hyperlink"/>
            <w:noProof/>
            <w:spacing w:val="-1"/>
          </w:rPr>
          <w:t xml:space="preserve"> </w:t>
        </w:r>
        <w:r w:rsidRPr="00B06F1B">
          <w:rPr>
            <w:rStyle w:val="Hyperlink"/>
            <w:noProof/>
          </w:rPr>
          <w:t>identified</w:t>
        </w:r>
        <w:r w:rsidRPr="00B06F1B">
          <w:rPr>
            <w:rStyle w:val="Hyperlink"/>
            <w:noProof/>
            <w:spacing w:val="-3"/>
          </w:rPr>
          <w:t xml:space="preserve"> </w:t>
        </w:r>
        <w:r w:rsidRPr="00B06F1B">
          <w:rPr>
            <w:rStyle w:val="Hyperlink"/>
            <w:noProof/>
          </w:rPr>
          <w:t>in</w:t>
        </w:r>
        <w:r w:rsidRPr="00B06F1B">
          <w:rPr>
            <w:rStyle w:val="Hyperlink"/>
            <w:noProof/>
            <w:spacing w:val="-3"/>
          </w:rPr>
          <w:t xml:space="preserve"> </w:t>
        </w:r>
        <w:r w:rsidRPr="00B06F1B">
          <w:rPr>
            <w:rStyle w:val="Hyperlink"/>
            <w:noProof/>
          </w:rPr>
          <w:t>2020</w:t>
        </w:r>
        <w:r w:rsidRPr="00B06F1B">
          <w:rPr>
            <w:rStyle w:val="Hyperlink"/>
            <w:noProof/>
            <w:spacing w:val="-3"/>
          </w:rPr>
          <w:t xml:space="preserve"> </w:t>
        </w:r>
        <w:r w:rsidRPr="00B06F1B">
          <w:rPr>
            <w:rStyle w:val="Hyperlink"/>
            <w:noProof/>
          </w:rPr>
          <w:t>–</w:t>
        </w:r>
        <w:r w:rsidRPr="00B06F1B">
          <w:rPr>
            <w:rStyle w:val="Hyperlink"/>
            <w:noProof/>
            <w:spacing w:val="-2"/>
          </w:rPr>
          <w:t xml:space="preserve"> </w:t>
        </w:r>
        <w:r w:rsidRPr="00B06F1B">
          <w:rPr>
            <w:rStyle w:val="Hyperlink"/>
            <w:noProof/>
          </w:rPr>
          <w:t>2021</w:t>
        </w:r>
        <w:r w:rsidRPr="00B06F1B">
          <w:rPr>
            <w:rStyle w:val="Hyperlink"/>
            <w:noProof/>
            <w:spacing w:val="-3"/>
          </w:rPr>
          <w:t xml:space="preserve"> </w:t>
        </w:r>
        <w:r w:rsidRPr="00B06F1B">
          <w:rPr>
            <w:rStyle w:val="Hyperlink"/>
            <w:noProof/>
          </w:rPr>
          <w:t>(Source:</w:t>
        </w:r>
        <w:r w:rsidRPr="00B06F1B">
          <w:rPr>
            <w:rStyle w:val="Hyperlink"/>
            <w:noProof/>
            <w:spacing w:val="-2"/>
          </w:rPr>
          <w:t xml:space="preserve"> </w:t>
        </w:r>
        <w:r w:rsidRPr="00B06F1B">
          <w:rPr>
            <w:rStyle w:val="Hyperlink"/>
            <w:noProof/>
          </w:rPr>
          <w:t>FPE,</w:t>
        </w:r>
        <w:r w:rsidRPr="00B06F1B">
          <w:rPr>
            <w:rStyle w:val="Hyperlink"/>
            <w:noProof/>
            <w:spacing w:val="-1"/>
          </w:rPr>
          <w:t xml:space="preserve"> </w:t>
        </w:r>
        <w:r w:rsidRPr="00B06F1B">
          <w:rPr>
            <w:rStyle w:val="Hyperlink"/>
            <w:noProof/>
            <w:spacing w:val="-2"/>
          </w:rPr>
          <w:t>2022)</w:t>
        </w:r>
        <w:r>
          <w:rPr>
            <w:noProof/>
            <w:webHidden/>
          </w:rPr>
          <w:tab/>
        </w:r>
        <w:r>
          <w:rPr>
            <w:noProof/>
            <w:webHidden/>
          </w:rPr>
          <w:fldChar w:fldCharType="begin"/>
        </w:r>
        <w:r>
          <w:rPr>
            <w:noProof/>
            <w:webHidden/>
          </w:rPr>
          <w:instrText xml:space="preserve"> PAGEREF _Toc216699595 \h </w:instrText>
        </w:r>
        <w:r>
          <w:rPr>
            <w:noProof/>
            <w:webHidden/>
          </w:rPr>
        </w:r>
        <w:r>
          <w:rPr>
            <w:noProof/>
            <w:webHidden/>
          </w:rPr>
          <w:fldChar w:fldCharType="separate"/>
        </w:r>
        <w:r>
          <w:rPr>
            <w:noProof/>
            <w:webHidden/>
          </w:rPr>
          <w:t>28</w:t>
        </w:r>
        <w:r>
          <w:rPr>
            <w:noProof/>
            <w:webHidden/>
          </w:rPr>
          <w:fldChar w:fldCharType="end"/>
        </w:r>
      </w:hyperlink>
    </w:p>
    <w:p w14:paraId="2B888959" w14:textId="13E6D177"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96" w:history="1">
        <w:r w:rsidRPr="00B06F1B">
          <w:rPr>
            <w:rStyle w:val="Hyperlink"/>
            <w:noProof/>
          </w:rPr>
          <w:t>Figure 5</w:t>
        </w:r>
        <w:r w:rsidRPr="00B06F1B">
          <w:rPr>
            <w:rStyle w:val="Hyperlink"/>
            <w:noProof/>
          </w:rPr>
          <w:noBreakHyphen/>
          <w:t>2:</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Benthic</w:t>
        </w:r>
        <w:r w:rsidRPr="00B06F1B">
          <w:rPr>
            <w:rStyle w:val="Hyperlink"/>
            <w:noProof/>
            <w:spacing w:val="-4"/>
          </w:rPr>
          <w:t xml:space="preserve"> </w:t>
        </w:r>
        <w:r w:rsidRPr="00B06F1B">
          <w:rPr>
            <w:rStyle w:val="Hyperlink"/>
            <w:noProof/>
          </w:rPr>
          <w:t>habitat</w:t>
        </w:r>
        <w:r w:rsidRPr="00B06F1B">
          <w:rPr>
            <w:rStyle w:val="Hyperlink"/>
            <w:noProof/>
            <w:spacing w:val="-3"/>
          </w:rPr>
          <w:t xml:space="preserve"> </w:t>
        </w:r>
        <w:r w:rsidRPr="00B06F1B">
          <w:rPr>
            <w:rStyle w:val="Hyperlink"/>
            <w:noProof/>
          </w:rPr>
          <w:t>map</w:t>
        </w:r>
        <w:r w:rsidRPr="00B06F1B">
          <w:rPr>
            <w:rStyle w:val="Hyperlink"/>
            <w:noProof/>
            <w:spacing w:val="-3"/>
          </w:rPr>
          <w:t xml:space="preserve"> </w:t>
        </w:r>
        <w:r w:rsidRPr="00B06F1B">
          <w:rPr>
            <w:rStyle w:val="Hyperlink"/>
            <w:noProof/>
          </w:rPr>
          <w:t>(Source:</w:t>
        </w:r>
        <w:r w:rsidRPr="00B06F1B">
          <w:rPr>
            <w:rStyle w:val="Hyperlink"/>
            <w:noProof/>
            <w:spacing w:val="-3"/>
          </w:rPr>
          <w:t xml:space="preserve"> </w:t>
        </w:r>
        <w:r w:rsidRPr="00B06F1B">
          <w:rPr>
            <w:rStyle w:val="Hyperlink"/>
            <w:noProof/>
          </w:rPr>
          <w:t>KBR,</w:t>
        </w:r>
        <w:r w:rsidRPr="00B06F1B">
          <w:rPr>
            <w:rStyle w:val="Hyperlink"/>
            <w:noProof/>
            <w:spacing w:val="-3"/>
          </w:rPr>
          <w:t xml:space="preserve"> </w:t>
        </w:r>
        <w:r w:rsidRPr="00B06F1B">
          <w:rPr>
            <w:rStyle w:val="Hyperlink"/>
            <w:noProof/>
            <w:spacing w:val="-2"/>
          </w:rPr>
          <w:t>2023)</w:t>
        </w:r>
        <w:r>
          <w:rPr>
            <w:noProof/>
            <w:webHidden/>
          </w:rPr>
          <w:tab/>
        </w:r>
        <w:r>
          <w:rPr>
            <w:noProof/>
            <w:webHidden/>
          </w:rPr>
          <w:fldChar w:fldCharType="begin"/>
        </w:r>
        <w:r>
          <w:rPr>
            <w:noProof/>
            <w:webHidden/>
          </w:rPr>
          <w:instrText xml:space="preserve"> PAGEREF _Toc216699596 \h </w:instrText>
        </w:r>
        <w:r>
          <w:rPr>
            <w:noProof/>
            <w:webHidden/>
          </w:rPr>
        </w:r>
        <w:r>
          <w:rPr>
            <w:noProof/>
            <w:webHidden/>
          </w:rPr>
          <w:fldChar w:fldCharType="separate"/>
        </w:r>
        <w:r>
          <w:rPr>
            <w:noProof/>
            <w:webHidden/>
          </w:rPr>
          <w:t>32</w:t>
        </w:r>
        <w:r>
          <w:rPr>
            <w:noProof/>
            <w:webHidden/>
          </w:rPr>
          <w:fldChar w:fldCharType="end"/>
        </w:r>
      </w:hyperlink>
    </w:p>
    <w:p w14:paraId="3009F732" w14:textId="789128E9"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97" w:history="1">
        <w:r w:rsidRPr="00B06F1B">
          <w:rPr>
            <w:rStyle w:val="Hyperlink"/>
            <w:noProof/>
          </w:rPr>
          <w:t>Figure 5</w:t>
        </w:r>
        <w:r w:rsidRPr="00B06F1B">
          <w:rPr>
            <w:rStyle w:val="Hyperlink"/>
            <w:noProof/>
          </w:rPr>
          <w:noBreakHyphen/>
          <w:t>3:</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Bare</w:t>
        </w:r>
        <w:r w:rsidRPr="00B06F1B">
          <w:rPr>
            <w:rStyle w:val="Hyperlink"/>
            <w:noProof/>
            <w:spacing w:val="-4"/>
          </w:rPr>
          <w:t xml:space="preserve"> </w:t>
        </w:r>
        <w:r w:rsidRPr="00B06F1B">
          <w:rPr>
            <w:rStyle w:val="Hyperlink"/>
            <w:noProof/>
          </w:rPr>
          <w:t>mobile</w:t>
        </w:r>
        <w:r w:rsidRPr="00B06F1B">
          <w:rPr>
            <w:rStyle w:val="Hyperlink"/>
            <w:noProof/>
            <w:spacing w:val="-3"/>
          </w:rPr>
          <w:t xml:space="preserve"> </w:t>
        </w:r>
        <w:r w:rsidRPr="00B06F1B">
          <w:rPr>
            <w:rStyle w:val="Hyperlink"/>
            <w:noProof/>
          </w:rPr>
          <w:t>sand</w:t>
        </w:r>
        <w:r w:rsidRPr="00B06F1B">
          <w:rPr>
            <w:rStyle w:val="Hyperlink"/>
            <w:noProof/>
            <w:spacing w:val="-3"/>
          </w:rPr>
          <w:t xml:space="preserve"> </w:t>
        </w:r>
        <w:r w:rsidRPr="00B06F1B">
          <w:rPr>
            <w:rStyle w:val="Hyperlink"/>
            <w:noProof/>
          </w:rPr>
          <w:t>within</w:t>
        </w:r>
        <w:r w:rsidRPr="00B06F1B">
          <w:rPr>
            <w:rStyle w:val="Hyperlink"/>
            <w:noProof/>
            <w:spacing w:val="-3"/>
          </w:rPr>
          <w:t xml:space="preserve"> </w:t>
        </w:r>
        <w:r w:rsidRPr="00B06F1B">
          <w:rPr>
            <w:rStyle w:val="Hyperlink"/>
            <w:noProof/>
          </w:rPr>
          <w:t>subtidal</w:t>
        </w:r>
        <w:r w:rsidRPr="00B06F1B">
          <w:rPr>
            <w:rStyle w:val="Hyperlink"/>
            <w:noProof/>
            <w:spacing w:val="-3"/>
          </w:rPr>
          <w:t xml:space="preserve"> </w:t>
        </w:r>
        <w:r w:rsidRPr="00B06F1B">
          <w:rPr>
            <w:rStyle w:val="Hyperlink"/>
            <w:noProof/>
          </w:rPr>
          <w:t>waters</w:t>
        </w:r>
        <w:r w:rsidRPr="00B06F1B">
          <w:rPr>
            <w:rStyle w:val="Hyperlink"/>
            <w:noProof/>
            <w:spacing w:val="-4"/>
          </w:rPr>
          <w:t xml:space="preserve"> </w:t>
        </w:r>
        <w:r w:rsidRPr="00B06F1B">
          <w:rPr>
            <w:rStyle w:val="Hyperlink"/>
            <w:noProof/>
          </w:rPr>
          <w:t>(Source:</w:t>
        </w:r>
        <w:r w:rsidRPr="00B06F1B">
          <w:rPr>
            <w:rStyle w:val="Hyperlink"/>
            <w:noProof/>
            <w:spacing w:val="-2"/>
          </w:rPr>
          <w:t xml:space="preserve"> </w:t>
        </w:r>
        <w:r w:rsidRPr="00B06F1B">
          <w:rPr>
            <w:rStyle w:val="Hyperlink"/>
            <w:noProof/>
          </w:rPr>
          <w:t>KBR,</w:t>
        </w:r>
        <w:r w:rsidRPr="00B06F1B">
          <w:rPr>
            <w:rStyle w:val="Hyperlink"/>
            <w:noProof/>
            <w:spacing w:val="-2"/>
          </w:rPr>
          <w:t xml:space="preserve"> 2023)</w:t>
        </w:r>
        <w:r>
          <w:rPr>
            <w:noProof/>
            <w:webHidden/>
          </w:rPr>
          <w:tab/>
        </w:r>
        <w:r>
          <w:rPr>
            <w:noProof/>
            <w:webHidden/>
          </w:rPr>
          <w:fldChar w:fldCharType="begin"/>
        </w:r>
        <w:r>
          <w:rPr>
            <w:noProof/>
            <w:webHidden/>
          </w:rPr>
          <w:instrText xml:space="preserve"> PAGEREF _Toc216699597 \h </w:instrText>
        </w:r>
        <w:r>
          <w:rPr>
            <w:noProof/>
            <w:webHidden/>
          </w:rPr>
        </w:r>
        <w:r>
          <w:rPr>
            <w:noProof/>
            <w:webHidden/>
          </w:rPr>
          <w:fldChar w:fldCharType="separate"/>
        </w:r>
        <w:r>
          <w:rPr>
            <w:noProof/>
            <w:webHidden/>
          </w:rPr>
          <w:t>32</w:t>
        </w:r>
        <w:r>
          <w:rPr>
            <w:noProof/>
            <w:webHidden/>
          </w:rPr>
          <w:fldChar w:fldCharType="end"/>
        </w:r>
      </w:hyperlink>
    </w:p>
    <w:p w14:paraId="095D072B" w14:textId="41FA8160"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98" w:history="1">
        <w:r w:rsidRPr="00B06F1B">
          <w:rPr>
            <w:rStyle w:val="Hyperlink"/>
            <w:noProof/>
          </w:rPr>
          <w:t>Figure 5</w:t>
        </w:r>
        <w:r w:rsidRPr="00B06F1B">
          <w:rPr>
            <w:rStyle w:val="Hyperlink"/>
            <w:noProof/>
          </w:rPr>
          <w:noBreakHyphen/>
          <w:t>4:</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Bare</w:t>
        </w:r>
        <w:r w:rsidRPr="00B06F1B">
          <w:rPr>
            <w:rStyle w:val="Hyperlink"/>
            <w:noProof/>
            <w:spacing w:val="-6"/>
          </w:rPr>
          <w:t xml:space="preserve"> </w:t>
        </w:r>
        <w:r w:rsidRPr="00B06F1B">
          <w:rPr>
            <w:rStyle w:val="Hyperlink"/>
            <w:noProof/>
          </w:rPr>
          <w:t>mobile</w:t>
        </w:r>
        <w:r w:rsidRPr="00B06F1B">
          <w:rPr>
            <w:rStyle w:val="Hyperlink"/>
            <w:noProof/>
            <w:spacing w:val="-3"/>
          </w:rPr>
          <w:t xml:space="preserve"> </w:t>
        </w:r>
        <w:r w:rsidRPr="00B06F1B">
          <w:rPr>
            <w:rStyle w:val="Hyperlink"/>
            <w:noProof/>
          </w:rPr>
          <w:t>sand</w:t>
        </w:r>
        <w:r w:rsidRPr="00B06F1B">
          <w:rPr>
            <w:rStyle w:val="Hyperlink"/>
            <w:noProof/>
            <w:spacing w:val="-3"/>
          </w:rPr>
          <w:t xml:space="preserve"> </w:t>
        </w:r>
        <w:r w:rsidRPr="00B06F1B">
          <w:rPr>
            <w:rStyle w:val="Hyperlink"/>
            <w:noProof/>
          </w:rPr>
          <w:t>with</w:t>
        </w:r>
        <w:r w:rsidRPr="00B06F1B">
          <w:rPr>
            <w:rStyle w:val="Hyperlink"/>
            <w:noProof/>
            <w:spacing w:val="-2"/>
          </w:rPr>
          <w:t xml:space="preserve"> </w:t>
        </w:r>
        <w:r w:rsidRPr="00B06F1B">
          <w:rPr>
            <w:rStyle w:val="Hyperlink"/>
            <w:noProof/>
          </w:rPr>
          <w:t>exposed</w:t>
        </w:r>
        <w:r w:rsidRPr="00B06F1B">
          <w:rPr>
            <w:rStyle w:val="Hyperlink"/>
            <w:noProof/>
            <w:spacing w:val="-2"/>
          </w:rPr>
          <w:t xml:space="preserve"> </w:t>
        </w:r>
        <w:r w:rsidRPr="00B06F1B">
          <w:rPr>
            <w:rStyle w:val="Hyperlink"/>
            <w:noProof/>
          </w:rPr>
          <w:t>subtidal</w:t>
        </w:r>
        <w:r w:rsidRPr="00B06F1B">
          <w:rPr>
            <w:rStyle w:val="Hyperlink"/>
            <w:noProof/>
            <w:spacing w:val="-3"/>
          </w:rPr>
          <w:t xml:space="preserve"> </w:t>
        </w:r>
        <w:r w:rsidRPr="00B06F1B">
          <w:rPr>
            <w:rStyle w:val="Hyperlink"/>
            <w:noProof/>
          </w:rPr>
          <w:t>rocky</w:t>
        </w:r>
        <w:r w:rsidRPr="00B06F1B">
          <w:rPr>
            <w:rStyle w:val="Hyperlink"/>
            <w:noProof/>
            <w:spacing w:val="-3"/>
          </w:rPr>
          <w:t xml:space="preserve"> </w:t>
        </w:r>
        <w:r w:rsidRPr="00B06F1B">
          <w:rPr>
            <w:rStyle w:val="Hyperlink"/>
            <w:noProof/>
          </w:rPr>
          <w:t>reef</w:t>
        </w:r>
        <w:r w:rsidRPr="00B06F1B">
          <w:rPr>
            <w:rStyle w:val="Hyperlink"/>
            <w:noProof/>
            <w:spacing w:val="-2"/>
          </w:rPr>
          <w:t xml:space="preserve"> </w:t>
        </w:r>
        <w:r w:rsidRPr="00B06F1B">
          <w:rPr>
            <w:rStyle w:val="Hyperlink"/>
            <w:noProof/>
          </w:rPr>
          <w:t>within</w:t>
        </w:r>
        <w:r w:rsidRPr="00B06F1B">
          <w:rPr>
            <w:rStyle w:val="Hyperlink"/>
            <w:noProof/>
            <w:spacing w:val="-3"/>
          </w:rPr>
          <w:t xml:space="preserve"> </w:t>
        </w:r>
        <w:r w:rsidRPr="00B06F1B">
          <w:rPr>
            <w:rStyle w:val="Hyperlink"/>
            <w:noProof/>
          </w:rPr>
          <w:t>the</w:t>
        </w:r>
        <w:r w:rsidRPr="00B06F1B">
          <w:rPr>
            <w:rStyle w:val="Hyperlink"/>
            <w:noProof/>
            <w:spacing w:val="-4"/>
          </w:rPr>
          <w:t xml:space="preserve"> </w:t>
        </w:r>
        <w:r w:rsidRPr="00B06F1B">
          <w:rPr>
            <w:rStyle w:val="Hyperlink"/>
            <w:noProof/>
          </w:rPr>
          <w:t>offshore</w:t>
        </w:r>
        <w:r w:rsidRPr="00B06F1B">
          <w:rPr>
            <w:rStyle w:val="Hyperlink"/>
            <w:noProof/>
            <w:spacing w:val="-3"/>
          </w:rPr>
          <w:t xml:space="preserve"> </w:t>
        </w:r>
        <w:r w:rsidRPr="00B06F1B">
          <w:rPr>
            <w:rStyle w:val="Hyperlink"/>
            <w:noProof/>
          </w:rPr>
          <w:t>area</w:t>
        </w:r>
        <w:r w:rsidRPr="00B06F1B">
          <w:rPr>
            <w:rStyle w:val="Hyperlink"/>
            <w:noProof/>
            <w:spacing w:val="-4"/>
          </w:rPr>
          <w:t xml:space="preserve"> </w:t>
        </w:r>
        <w:r w:rsidRPr="00B06F1B">
          <w:rPr>
            <w:rStyle w:val="Hyperlink"/>
            <w:noProof/>
          </w:rPr>
          <w:t>(Source:</w:t>
        </w:r>
        <w:r w:rsidRPr="00B06F1B">
          <w:rPr>
            <w:rStyle w:val="Hyperlink"/>
            <w:noProof/>
            <w:spacing w:val="-2"/>
          </w:rPr>
          <w:t xml:space="preserve"> </w:t>
        </w:r>
        <w:r w:rsidRPr="00B06F1B">
          <w:rPr>
            <w:rStyle w:val="Hyperlink"/>
            <w:noProof/>
          </w:rPr>
          <w:t>KBR,</w:t>
        </w:r>
        <w:r w:rsidRPr="00B06F1B">
          <w:rPr>
            <w:rStyle w:val="Hyperlink"/>
            <w:noProof/>
            <w:spacing w:val="-2"/>
          </w:rPr>
          <w:t xml:space="preserve"> 2023)</w:t>
        </w:r>
        <w:r>
          <w:rPr>
            <w:noProof/>
            <w:webHidden/>
          </w:rPr>
          <w:tab/>
        </w:r>
        <w:r>
          <w:rPr>
            <w:noProof/>
            <w:webHidden/>
          </w:rPr>
          <w:fldChar w:fldCharType="begin"/>
        </w:r>
        <w:r>
          <w:rPr>
            <w:noProof/>
            <w:webHidden/>
          </w:rPr>
          <w:instrText xml:space="preserve"> PAGEREF _Toc216699598 \h </w:instrText>
        </w:r>
        <w:r>
          <w:rPr>
            <w:noProof/>
            <w:webHidden/>
          </w:rPr>
        </w:r>
        <w:r>
          <w:rPr>
            <w:noProof/>
            <w:webHidden/>
          </w:rPr>
          <w:fldChar w:fldCharType="separate"/>
        </w:r>
        <w:r>
          <w:rPr>
            <w:noProof/>
            <w:webHidden/>
          </w:rPr>
          <w:t>33</w:t>
        </w:r>
        <w:r>
          <w:rPr>
            <w:noProof/>
            <w:webHidden/>
          </w:rPr>
          <w:fldChar w:fldCharType="end"/>
        </w:r>
      </w:hyperlink>
    </w:p>
    <w:p w14:paraId="50E8B378" w14:textId="7A2F7230"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599" w:history="1">
        <w:r w:rsidRPr="00B06F1B">
          <w:rPr>
            <w:rStyle w:val="Hyperlink"/>
            <w:noProof/>
          </w:rPr>
          <w:t>Figure 5</w:t>
        </w:r>
        <w:r w:rsidRPr="00B06F1B">
          <w:rPr>
            <w:rStyle w:val="Hyperlink"/>
            <w:noProof/>
          </w:rPr>
          <w:noBreakHyphen/>
          <w:t>5:</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Lower intertidal rocky reef with macroalgae (Source: KBR, 2023)</w:t>
        </w:r>
        <w:r>
          <w:rPr>
            <w:noProof/>
            <w:webHidden/>
          </w:rPr>
          <w:tab/>
        </w:r>
        <w:r>
          <w:rPr>
            <w:noProof/>
            <w:webHidden/>
          </w:rPr>
          <w:fldChar w:fldCharType="begin"/>
        </w:r>
        <w:r>
          <w:rPr>
            <w:noProof/>
            <w:webHidden/>
          </w:rPr>
          <w:instrText xml:space="preserve"> PAGEREF _Toc216699599 \h </w:instrText>
        </w:r>
        <w:r>
          <w:rPr>
            <w:noProof/>
            <w:webHidden/>
          </w:rPr>
        </w:r>
        <w:r>
          <w:rPr>
            <w:noProof/>
            <w:webHidden/>
          </w:rPr>
          <w:fldChar w:fldCharType="separate"/>
        </w:r>
        <w:r>
          <w:rPr>
            <w:noProof/>
            <w:webHidden/>
          </w:rPr>
          <w:t>33</w:t>
        </w:r>
        <w:r>
          <w:rPr>
            <w:noProof/>
            <w:webHidden/>
          </w:rPr>
          <w:fldChar w:fldCharType="end"/>
        </w:r>
      </w:hyperlink>
    </w:p>
    <w:p w14:paraId="0A39DAF0" w14:textId="73D88395"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00" w:history="1">
        <w:r w:rsidRPr="00B06F1B">
          <w:rPr>
            <w:rStyle w:val="Hyperlink"/>
            <w:noProof/>
          </w:rPr>
          <w:t>Figure 5</w:t>
        </w:r>
        <w:r w:rsidRPr="00B06F1B">
          <w:rPr>
            <w:rStyle w:val="Hyperlink"/>
            <w:noProof/>
          </w:rPr>
          <w:noBreakHyphen/>
          <w:t>6:</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Terrestrial</w:t>
        </w:r>
        <w:r w:rsidRPr="00B06F1B">
          <w:rPr>
            <w:rStyle w:val="Hyperlink"/>
            <w:noProof/>
            <w:spacing w:val="-4"/>
          </w:rPr>
          <w:t xml:space="preserve"> </w:t>
        </w:r>
        <w:r w:rsidRPr="00B06F1B">
          <w:rPr>
            <w:rStyle w:val="Hyperlink"/>
            <w:noProof/>
          </w:rPr>
          <w:t>vegetation</w:t>
        </w:r>
        <w:r w:rsidRPr="00B06F1B">
          <w:rPr>
            <w:rStyle w:val="Hyperlink"/>
            <w:noProof/>
            <w:spacing w:val="-4"/>
          </w:rPr>
          <w:t xml:space="preserve"> </w:t>
        </w:r>
        <w:r w:rsidRPr="00B06F1B">
          <w:rPr>
            <w:rStyle w:val="Hyperlink"/>
            <w:noProof/>
          </w:rPr>
          <w:t>map</w:t>
        </w:r>
        <w:r w:rsidRPr="00B06F1B">
          <w:rPr>
            <w:rStyle w:val="Hyperlink"/>
            <w:noProof/>
            <w:spacing w:val="-4"/>
          </w:rPr>
          <w:t xml:space="preserve"> </w:t>
        </w:r>
        <w:r w:rsidRPr="00B06F1B">
          <w:rPr>
            <w:rStyle w:val="Hyperlink"/>
            <w:noProof/>
          </w:rPr>
          <w:t>(Source:</w:t>
        </w:r>
        <w:r w:rsidRPr="00B06F1B">
          <w:rPr>
            <w:rStyle w:val="Hyperlink"/>
            <w:noProof/>
            <w:spacing w:val="-4"/>
          </w:rPr>
          <w:t xml:space="preserve"> </w:t>
        </w:r>
        <w:r w:rsidRPr="00B06F1B">
          <w:rPr>
            <w:rStyle w:val="Hyperlink"/>
            <w:noProof/>
          </w:rPr>
          <w:t>KBR,</w:t>
        </w:r>
        <w:r w:rsidRPr="00B06F1B">
          <w:rPr>
            <w:rStyle w:val="Hyperlink"/>
            <w:noProof/>
            <w:spacing w:val="-2"/>
          </w:rPr>
          <w:t xml:space="preserve"> 2023)</w:t>
        </w:r>
        <w:r>
          <w:rPr>
            <w:noProof/>
            <w:webHidden/>
          </w:rPr>
          <w:tab/>
        </w:r>
        <w:r>
          <w:rPr>
            <w:noProof/>
            <w:webHidden/>
          </w:rPr>
          <w:fldChar w:fldCharType="begin"/>
        </w:r>
        <w:r>
          <w:rPr>
            <w:noProof/>
            <w:webHidden/>
          </w:rPr>
          <w:instrText xml:space="preserve"> PAGEREF _Toc216699600 \h </w:instrText>
        </w:r>
        <w:r>
          <w:rPr>
            <w:noProof/>
            <w:webHidden/>
          </w:rPr>
        </w:r>
        <w:r>
          <w:rPr>
            <w:noProof/>
            <w:webHidden/>
          </w:rPr>
          <w:fldChar w:fldCharType="separate"/>
        </w:r>
        <w:r>
          <w:rPr>
            <w:noProof/>
            <w:webHidden/>
          </w:rPr>
          <w:t>35</w:t>
        </w:r>
        <w:r>
          <w:rPr>
            <w:noProof/>
            <w:webHidden/>
          </w:rPr>
          <w:fldChar w:fldCharType="end"/>
        </w:r>
      </w:hyperlink>
    </w:p>
    <w:p w14:paraId="6890E295" w14:textId="3F39D7C5"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01" w:history="1">
        <w:r w:rsidRPr="00B06F1B">
          <w:rPr>
            <w:rStyle w:val="Hyperlink"/>
            <w:noProof/>
          </w:rPr>
          <w:t>Figure 6</w:t>
        </w:r>
        <w:r w:rsidRPr="00B06F1B">
          <w:rPr>
            <w:rStyle w:val="Hyperlink"/>
            <w:noProof/>
          </w:rPr>
          <w:noBreakHyphen/>
          <w:t>1:</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SA2 areas considered for the baseline demographics</w:t>
        </w:r>
        <w:r>
          <w:rPr>
            <w:noProof/>
            <w:webHidden/>
          </w:rPr>
          <w:tab/>
        </w:r>
        <w:r>
          <w:rPr>
            <w:noProof/>
            <w:webHidden/>
          </w:rPr>
          <w:fldChar w:fldCharType="begin"/>
        </w:r>
        <w:r>
          <w:rPr>
            <w:noProof/>
            <w:webHidden/>
          </w:rPr>
          <w:instrText xml:space="preserve"> PAGEREF _Toc216699601 \h </w:instrText>
        </w:r>
        <w:r>
          <w:rPr>
            <w:noProof/>
            <w:webHidden/>
          </w:rPr>
        </w:r>
        <w:r>
          <w:rPr>
            <w:noProof/>
            <w:webHidden/>
          </w:rPr>
          <w:fldChar w:fldCharType="separate"/>
        </w:r>
        <w:r>
          <w:rPr>
            <w:noProof/>
            <w:webHidden/>
          </w:rPr>
          <w:t>41</w:t>
        </w:r>
        <w:r>
          <w:rPr>
            <w:noProof/>
            <w:webHidden/>
          </w:rPr>
          <w:fldChar w:fldCharType="end"/>
        </w:r>
      </w:hyperlink>
    </w:p>
    <w:p w14:paraId="19514D37" w14:textId="01BA7C3F"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02" w:history="1">
        <w:r w:rsidRPr="00B06F1B">
          <w:rPr>
            <w:rStyle w:val="Hyperlink"/>
            <w:noProof/>
          </w:rPr>
          <w:t>Figure 7</w:t>
        </w:r>
        <w:r w:rsidRPr="00B06F1B">
          <w:rPr>
            <w:rStyle w:val="Hyperlink"/>
            <w:noProof/>
          </w:rPr>
          <w:noBreakHyphen/>
          <w:t>1:</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Example</w:t>
        </w:r>
        <w:r w:rsidRPr="00B06F1B">
          <w:rPr>
            <w:rStyle w:val="Hyperlink"/>
            <w:noProof/>
            <w:spacing w:val="-6"/>
          </w:rPr>
          <w:t xml:space="preserve"> </w:t>
        </w:r>
        <w:r w:rsidRPr="00B06F1B">
          <w:rPr>
            <w:rStyle w:val="Hyperlink"/>
            <w:noProof/>
          </w:rPr>
          <w:t>of</w:t>
        </w:r>
        <w:r w:rsidRPr="00B06F1B">
          <w:rPr>
            <w:rStyle w:val="Hyperlink"/>
            <w:noProof/>
            <w:spacing w:val="-2"/>
          </w:rPr>
          <w:t xml:space="preserve"> </w:t>
        </w:r>
        <w:r w:rsidRPr="00B06F1B">
          <w:rPr>
            <w:rStyle w:val="Hyperlink"/>
            <w:noProof/>
          </w:rPr>
          <w:t>Mooloolaba</w:t>
        </w:r>
        <w:r w:rsidRPr="00B06F1B">
          <w:rPr>
            <w:rStyle w:val="Hyperlink"/>
            <w:noProof/>
            <w:spacing w:val="-3"/>
          </w:rPr>
          <w:t xml:space="preserve"> </w:t>
        </w:r>
        <w:r w:rsidRPr="00B06F1B">
          <w:rPr>
            <w:rStyle w:val="Hyperlink"/>
            <w:noProof/>
          </w:rPr>
          <w:t>dredging</w:t>
        </w:r>
        <w:r w:rsidRPr="00B06F1B">
          <w:rPr>
            <w:rStyle w:val="Hyperlink"/>
            <w:noProof/>
            <w:spacing w:val="-2"/>
          </w:rPr>
          <w:t xml:space="preserve"> </w:t>
        </w:r>
        <w:r w:rsidRPr="00B06F1B">
          <w:rPr>
            <w:rStyle w:val="Hyperlink"/>
            <w:noProof/>
          </w:rPr>
          <w:t>windows</w:t>
        </w:r>
        <w:r w:rsidRPr="00B06F1B">
          <w:rPr>
            <w:rStyle w:val="Hyperlink"/>
            <w:noProof/>
            <w:spacing w:val="-4"/>
          </w:rPr>
          <w:t xml:space="preserve"> </w:t>
        </w:r>
        <w:r w:rsidRPr="00B06F1B">
          <w:rPr>
            <w:rStyle w:val="Hyperlink"/>
            <w:noProof/>
          </w:rPr>
          <w:t>compared</w:t>
        </w:r>
        <w:r w:rsidRPr="00B06F1B">
          <w:rPr>
            <w:rStyle w:val="Hyperlink"/>
            <w:noProof/>
            <w:spacing w:val="-2"/>
          </w:rPr>
          <w:t xml:space="preserve"> </w:t>
        </w:r>
        <w:r w:rsidRPr="00B06F1B">
          <w:rPr>
            <w:rStyle w:val="Hyperlink"/>
            <w:noProof/>
          </w:rPr>
          <w:t>to</w:t>
        </w:r>
        <w:r w:rsidRPr="00B06F1B">
          <w:rPr>
            <w:rStyle w:val="Hyperlink"/>
            <w:noProof/>
            <w:spacing w:val="-2"/>
          </w:rPr>
          <w:t xml:space="preserve"> </w:t>
        </w:r>
        <w:r w:rsidRPr="00B06F1B">
          <w:rPr>
            <w:rStyle w:val="Hyperlink"/>
            <w:noProof/>
          </w:rPr>
          <w:t>wave</w:t>
        </w:r>
        <w:r w:rsidRPr="00B06F1B">
          <w:rPr>
            <w:rStyle w:val="Hyperlink"/>
            <w:noProof/>
            <w:spacing w:val="-3"/>
          </w:rPr>
          <w:t xml:space="preserve"> </w:t>
        </w:r>
        <w:r w:rsidRPr="00B06F1B">
          <w:rPr>
            <w:rStyle w:val="Hyperlink"/>
            <w:noProof/>
            <w:spacing w:val="-2"/>
          </w:rPr>
          <w:t>conditions</w:t>
        </w:r>
        <w:r>
          <w:rPr>
            <w:noProof/>
            <w:webHidden/>
          </w:rPr>
          <w:tab/>
        </w:r>
        <w:r>
          <w:rPr>
            <w:noProof/>
            <w:webHidden/>
          </w:rPr>
          <w:fldChar w:fldCharType="begin"/>
        </w:r>
        <w:r>
          <w:rPr>
            <w:noProof/>
            <w:webHidden/>
          </w:rPr>
          <w:instrText xml:space="preserve"> PAGEREF _Toc216699602 \h </w:instrText>
        </w:r>
        <w:r>
          <w:rPr>
            <w:noProof/>
            <w:webHidden/>
          </w:rPr>
        </w:r>
        <w:r>
          <w:rPr>
            <w:noProof/>
            <w:webHidden/>
          </w:rPr>
          <w:fldChar w:fldCharType="separate"/>
        </w:r>
        <w:r>
          <w:rPr>
            <w:noProof/>
            <w:webHidden/>
          </w:rPr>
          <w:t>47</w:t>
        </w:r>
        <w:r>
          <w:rPr>
            <w:noProof/>
            <w:webHidden/>
          </w:rPr>
          <w:fldChar w:fldCharType="end"/>
        </w:r>
      </w:hyperlink>
    </w:p>
    <w:p w14:paraId="5F0BFDB6" w14:textId="47CB9917"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03" w:history="1">
        <w:r w:rsidRPr="00B06F1B">
          <w:rPr>
            <w:rStyle w:val="Hyperlink"/>
            <w:noProof/>
          </w:rPr>
          <w:t>Figure 10</w:t>
        </w:r>
        <w:r w:rsidRPr="00B06F1B">
          <w:rPr>
            <w:rStyle w:val="Hyperlink"/>
            <w:noProof/>
          </w:rPr>
          <w:noBreakHyphen/>
          <w:t>1:</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Example</w:t>
        </w:r>
        <w:r w:rsidRPr="00B06F1B">
          <w:rPr>
            <w:rStyle w:val="Hyperlink"/>
            <w:noProof/>
            <w:spacing w:val="-3"/>
          </w:rPr>
          <w:t xml:space="preserve"> </w:t>
        </w:r>
        <w:r w:rsidRPr="00B06F1B">
          <w:rPr>
            <w:rStyle w:val="Hyperlink"/>
            <w:noProof/>
          </w:rPr>
          <w:t>of</w:t>
        </w:r>
        <w:r w:rsidRPr="00B06F1B">
          <w:rPr>
            <w:rStyle w:val="Hyperlink"/>
            <w:noProof/>
            <w:spacing w:val="-2"/>
          </w:rPr>
          <w:t xml:space="preserve"> </w:t>
        </w:r>
        <w:r w:rsidRPr="00B06F1B">
          <w:rPr>
            <w:rStyle w:val="Hyperlink"/>
            <w:noProof/>
          </w:rPr>
          <w:t>SCI</w:t>
        </w:r>
        <w:r w:rsidRPr="00B06F1B">
          <w:rPr>
            <w:rStyle w:val="Hyperlink"/>
            <w:noProof/>
            <w:spacing w:val="-2"/>
          </w:rPr>
          <w:t xml:space="preserve"> </w:t>
        </w:r>
        <w:r w:rsidRPr="00B06F1B">
          <w:rPr>
            <w:rStyle w:val="Hyperlink"/>
            <w:noProof/>
          </w:rPr>
          <w:t>inferred</w:t>
        </w:r>
        <w:r w:rsidRPr="00B06F1B">
          <w:rPr>
            <w:rStyle w:val="Hyperlink"/>
            <w:noProof/>
            <w:spacing w:val="-2"/>
          </w:rPr>
          <w:t xml:space="preserve"> </w:t>
        </w:r>
        <w:r w:rsidRPr="00B06F1B">
          <w:rPr>
            <w:rStyle w:val="Hyperlink"/>
            <w:noProof/>
          </w:rPr>
          <w:t>bathymetry</w:t>
        </w:r>
        <w:r w:rsidRPr="00B06F1B">
          <w:rPr>
            <w:rStyle w:val="Hyperlink"/>
            <w:noProof/>
            <w:spacing w:val="-3"/>
          </w:rPr>
          <w:t xml:space="preserve"> </w:t>
        </w:r>
        <w:r w:rsidRPr="00B06F1B">
          <w:rPr>
            <w:rStyle w:val="Hyperlink"/>
            <w:noProof/>
          </w:rPr>
          <w:t>and</w:t>
        </w:r>
        <w:r w:rsidRPr="00B06F1B">
          <w:rPr>
            <w:rStyle w:val="Hyperlink"/>
            <w:noProof/>
            <w:spacing w:val="-3"/>
          </w:rPr>
          <w:t xml:space="preserve"> </w:t>
        </w:r>
        <w:r w:rsidRPr="00B06F1B">
          <w:rPr>
            <w:rStyle w:val="Hyperlink"/>
            <w:noProof/>
          </w:rPr>
          <w:t>shoreline</w:t>
        </w:r>
        <w:r w:rsidRPr="00B06F1B">
          <w:rPr>
            <w:rStyle w:val="Hyperlink"/>
            <w:noProof/>
            <w:spacing w:val="-3"/>
          </w:rPr>
          <w:t xml:space="preserve"> </w:t>
        </w:r>
        <w:r w:rsidRPr="00B06F1B">
          <w:rPr>
            <w:rStyle w:val="Hyperlink"/>
            <w:noProof/>
          </w:rPr>
          <w:t>change</w:t>
        </w:r>
        <w:r w:rsidRPr="00B06F1B">
          <w:rPr>
            <w:rStyle w:val="Hyperlink"/>
            <w:noProof/>
            <w:spacing w:val="-3"/>
          </w:rPr>
          <w:t xml:space="preserve"> </w:t>
        </w:r>
        <w:r w:rsidRPr="00B06F1B">
          <w:rPr>
            <w:rStyle w:val="Hyperlink"/>
            <w:noProof/>
          </w:rPr>
          <w:t>at</w:t>
        </w:r>
        <w:r w:rsidRPr="00B06F1B">
          <w:rPr>
            <w:rStyle w:val="Hyperlink"/>
            <w:noProof/>
            <w:spacing w:val="-2"/>
          </w:rPr>
          <w:t xml:space="preserve"> </w:t>
        </w:r>
        <w:r w:rsidRPr="00B06F1B">
          <w:rPr>
            <w:rStyle w:val="Hyperlink"/>
            <w:noProof/>
          </w:rPr>
          <w:t>Snapper</w:t>
        </w:r>
        <w:r w:rsidRPr="00B06F1B">
          <w:rPr>
            <w:rStyle w:val="Hyperlink"/>
            <w:noProof/>
            <w:spacing w:val="-3"/>
          </w:rPr>
          <w:t xml:space="preserve"> </w:t>
        </w:r>
        <w:r w:rsidRPr="00B06F1B">
          <w:rPr>
            <w:rStyle w:val="Hyperlink"/>
            <w:noProof/>
          </w:rPr>
          <w:t>Rocks</w:t>
        </w:r>
        <w:r w:rsidRPr="00B06F1B">
          <w:rPr>
            <w:rStyle w:val="Hyperlink"/>
            <w:noProof/>
            <w:spacing w:val="-3"/>
          </w:rPr>
          <w:t xml:space="preserve"> </w:t>
        </w:r>
        <w:r w:rsidRPr="00B06F1B">
          <w:rPr>
            <w:rStyle w:val="Hyperlink"/>
            <w:noProof/>
          </w:rPr>
          <w:t>following</w:t>
        </w:r>
        <w:r w:rsidRPr="00B06F1B">
          <w:rPr>
            <w:rStyle w:val="Hyperlink"/>
            <w:noProof/>
            <w:spacing w:val="-3"/>
          </w:rPr>
          <w:t xml:space="preserve"> </w:t>
        </w:r>
        <w:r w:rsidRPr="00B06F1B">
          <w:rPr>
            <w:rStyle w:val="Hyperlink"/>
            <w:noProof/>
          </w:rPr>
          <w:t>TC-</w:t>
        </w:r>
        <w:r w:rsidRPr="00B06F1B">
          <w:rPr>
            <w:rStyle w:val="Hyperlink"/>
            <w:noProof/>
            <w:spacing w:val="-2"/>
          </w:rPr>
          <w:t>Alfred</w:t>
        </w:r>
        <w:r>
          <w:rPr>
            <w:noProof/>
            <w:webHidden/>
          </w:rPr>
          <w:tab/>
        </w:r>
        <w:r>
          <w:rPr>
            <w:noProof/>
            <w:webHidden/>
          </w:rPr>
          <w:fldChar w:fldCharType="begin"/>
        </w:r>
        <w:r>
          <w:rPr>
            <w:noProof/>
            <w:webHidden/>
          </w:rPr>
          <w:instrText xml:space="preserve"> PAGEREF _Toc216699603 \h </w:instrText>
        </w:r>
        <w:r>
          <w:rPr>
            <w:noProof/>
            <w:webHidden/>
          </w:rPr>
        </w:r>
        <w:r>
          <w:rPr>
            <w:noProof/>
            <w:webHidden/>
          </w:rPr>
          <w:fldChar w:fldCharType="separate"/>
        </w:r>
        <w:r>
          <w:rPr>
            <w:noProof/>
            <w:webHidden/>
          </w:rPr>
          <w:t>57</w:t>
        </w:r>
        <w:r>
          <w:rPr>
            <w:noProof/>
            <w:webHidden/>
          </w:rPr>
          <w:fldChar w:fldCharType="end"/>
        </w:r>
      </w:hyperlink>
    </w:p>
    <w:p w14:paraId="6A111AF0" w14:textId="30AAD1C0"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04" w:history="1">
        <w:r w:rsidRPr="00B06F1B">
          <w:rPr>
            <w:rStyle w:val="Hyperlink"/>
            <w:noProof/>
          </w:rPr>
          <w:t>Figure 10</w:t>
        </w:r>
        <w:r w:rsidRPr="00B06F1B">
          <w:rPr>
            <w:rStyle w:val="Hyperlink"/>
            <w:noProof/>
          </w:rPr>
          <w:noBreakHyphen/>
          <w:t>2:</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Example</w:t>
        </w:r>
        <w:r w:rsidRPr="00B06F1B">
          <w:rPr>
            <w:rStyle w:val="Hyperlink"/>
            <w:noProof/>
            <w:spacing w:val="-3"/>
          </w:rPr>
          <w:t xml:space="preserve"> </w:t>
        </w:r>
        <w:r w:rsidRPr="00B06F1B">
          <w:rPr>
            <w:rStyle w:val="Hyperlink"/>
            <w:noProof/>
          </w:rPr>
          <w:t>of</w:t>
        </w:r>
        <w:r w:rsidRPr="00B06F1B">
          <w:rPr>
            <w:rStyle w:val="Hyperlink"/>
            <w:noProof/>
            <w:spacing w:val="-2"/>
          </w:rPr>
          <w:t xml:space="preserve"> </w:t>
        </w:r>
        <w:r w:rsidRPr="00B06F1B">
          <w:rPr>
            <w:rStyle w:val="Hyperlink"/>
            <w:noProof/>
          </w:rPr>
          <w:t>cloud-based</w:t>
        </w:r>
        <w:r w:rsidRPr="00B06F1B">
          <w:rPr>
            <w:rStyle w:val="Hyperlink"/>
            <w:noProof/>
            <w:spacing w:val="-2"/>
          </w:rPr>
          <w:t xml:space="preserve"> </w:t>
        </w:r>
        <w:r w:rsidRPr="00B06F1B">
          <w:rPr>
            <w:rStyle w:val="Hyperlink"/>
            <w:noProof/>
          </w:rPr>
          <w:t>dashboard</w:t>
        </w:r>
        <w:r w:rsidRPr="00B06F1B">
          <w:rPr>
            <w:rStyle w:val="Hyperlink"/>
            <w:noProof/>
            <w:spacing w:val="-2"/>
          </w:rPr>
          <w:t xml:space="preserve"> </w:t>
        </w:r>
        <w:r w:rsidRPr="00B06F1B">
          <w:rPr>
            <w:rStyle w:val="Hyperlink"/>
            <w:noProof/>
          </w:rPr>
          <w:t>that</w:t>
        </w:r>
        <w:r w:rsidRPr="00B06F1B">
          <w:rPr>
            <w:rStyle w:val="Hyperlink"/>
            <w:noProof/>
            <w:spacing w:val="-3"/>
          </w:rPr>
          <w:t xml:space="preserve"> </w:t>
        </w:r>
        <w:r w:rsidRPr="00B06F1B">
          <w:rPr>
            <w:rStyle w:val="Hyperlink"/>
            <w:noProof/>
          </w:rPr>
          <w:t>provides</w:t>
        </w:r>
        <w:r w:rsidRPr="00B06F1B">
          <w:rPr>
            <w:rStyle w:val="Hyperlink"/>
            <w:noProof/>
            <w:spacing w:val="-4"/>
          </w:rPr>
          <w:t xml:space="preserve"> </w:t>
        </w:r>
        <w:r w:rsidRPr="00B06F1B">
          <w:rPr>
            <w:rStyle w:val="Hyperlink"/>
            <w:noProof/>
          </w:rPr>
          <w:t>live</w:t>
        </w:r>
        <w:r w:rsidRPr="00B06F1B">
          <w:rPr>
            <w:rStyle w:val="Hyperlink"/>
            <w:noProof/>
            <w:spacing w:val="-4"/>
          </w:rPr>
          <w:t xml:space="preserve"> </w:t>
        </w:r>
        <w:r w:rsidRPr="00B06F1B">
          <w:rPr>
            <w:rStyle w:val="Hyperlink"/>
            <w:noProof/>
          </w:rPr>
          <w:t>video</w:t>
        </w:r>
        <w:r w:rsidRPr="00B06F1B">
          <w:rPr>
            <w:rStyle w:val="Hyperlink"/>
            <w:noProof/>
            <w:spacing w:val="-3"/>
          </w:rPr>
          <w:t xml:space="preserve"> </w:t>
        </w:r>
        <w:r w:rsidRPr="00B06F1B">
          <w:rPr>
            <w:rStyle w:val="Hyperlink"/>
            <w:noProof/>
          </w:rPr>
          <w:t>feed,</w:t>
        </w:r>
        <w:r w:rsidRPr="00B06F1B">
          <w:rPr>
            <w:rStyle w:val="Hyperlink"/>
            <w:noProof/>
            <w:spacing w:val="-2"/>
          </w:rPr>
          <w:t xml:space="preserve"> </w:t>
        </w:r>
        <w:r w:rsidRPr="00B06F1B">
          <w:rPr>
            <w:rStyle w:val="Hyperlink"/>
            <w:noProof/>
          </w:rPr>
          <w:t>data</w:t>
        </w:r>
        <w:r w:rsidRPr="00B06F1B">
          <w:rPr>
            <w:rStyle w:val="Hyperlink"/>
            <w:noProof/>
            <w:spacing w:val="-3"/>
          </w:rPr>
          <w:t xml:space="preserve"> </w:t>
        </w:r>
        <w:r w:rsidRPr="00B06F1B">
          <w:rPr>
            <w:rStyle w:val="Hyperlink"/>
            <w:noProof/>
          </w:rPr>
          <w:t>visualisations</w:t>
        </w:r>
        <w:r w:rsidRPr="00B06F1B">
          <w:rPr>
            <w:rStyle w:val="Hyperlink"/>
            <w:noProof/>
            <w:spacing w:val="-3"/>
          </w:rPr>
          <w:t xml:space="preserve"> </w:t>
        </w:r>
        <w:r w:rsidRPr="00B06F1B">
          <w:rPr>
            <w:rStyle w:val="Hyperlink"/>
            <w:noProof/>
          </w:rPr>
          <w:t>and</w:t>
        </w:r>
        <w:r w:rsidRPr="00B06F1B">
          <w:rPr>
            <w:rStyle w:val="Hyperlink"/>
            <w:noProof/>
            <w:spacing w:val="-2"/>
          </w:rPr>
          <w:t xml:space="preserve"> reporting</w:t>
        </w:r>
        <w:r>
          <w:rPr>
            <w:noProof/>
            <w:webHidden/>
          </w:rPr>
          <w:tab/>
        </w:r>
        <w:r>
          <w:rPr>
            <w:noProof/>
            <w:webHidden/>
          </w:rPr>
          <w:fldChar w:fldCharType="begin"/>
        </w:r>
        <w:r>
          <w:rPr>
            <w:noProof/>
            <w:webHidden/>
          </w:rPr>
          <w:instrText xml:space="preserve"> PAGEREF _Toc216699604 \h </w:instrText>
        </w:r>
        <w:r>
          <w:rPr>
            <w:noProof/>
            <w:webHidden/>
          </w:rPr>
        </w:r>
        <w:r>
          <w:rPr>
            <w:noProof/>
            <w:webHidden/>
          </w:rPr>
          <w:fldChar w:fldCharType="separate"/>
        </w:r>
        <w:r>
          <w:rPr>
            <w:noProof/>
            <w:webHidden/>
          </w:rPr>
          <w:t>58</w:t>
        </w:r>
        <w:r>
          <w:rPr>
            <w:noProof/>
            <w:webHidden/>
          </w:rPr>
          <w:fldChar w:fldCharType="end"/>
        </w:r>
      </w:hyperlink>
    </w:p>
    <w:p w14:paraId="2D4351A4" w14:textId="68AEC9DF"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05" w:history="1">
        <w:r w:rsidRPr="00B06F1B">
          <w:rPr>
            <w:rStyle w:val="Hyperlink"/>
            <w:noProof/>
          </w:rPr>
          <w:t>Figure 10</w:t>
        </w:r>
        <w:r w:rsidRPr="00B06F1B">
          <w:rPr>
            <w:rStyle w:val="Hyperlink"/>
            <w:noProof/>
          </w:rPr>
          <w:noBreakHyphen/>
          <w:t>3:</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Example</w:t>
        </w:r>
        <w:r w:rsidRPr="00B06F1B">
          <w:rPr>
            <w:rStyle w:val="Hyperlink"/>
            <w:noProof/>
            <w:spacing w:val="-3"/>
          </w:rPr>
          <w:t xml:space="preserve"> </w:t>
        </w:r>
        <w:r w:rsidRPr="00B06F1B">
          <w:rPr>
            <w:rStyle w:val="Hyperlink"/>
            <w:noProof/>
          </w:rPr>
          <w:t>of</w:t>
        </w:r>
        <w:r w:rsidRPr="00B06F1B">
          <w:rPr>
            <w:rStyle w:val="Hyperlink"/>
            <w:noProof/>
            <w:spacing w:val="-2"/>
          </w:rPr>
          <w:t xml:space="preserve"> </w:t>
        </w:r>
        <w:r w:rsidRPr="00B06F1B">
          <w:rPr>
            <w:rStyle w:val="Hyperlink"/>
            <w:noProof/>
          </w:rPr>
          <w:t>Tweed</w:t>
        </w:r>
        <w:r w:rsidRPr="00B06F1B">
          <w:rPr>
            <w:rStyle w:val="Hyperlink"/>
            <w:noProof/>
            <w:spacing w:val="-2"/>
          </w:rPr>
          <w:t xml:space="preserve"> </w:t>
        </w:r>
        <w:r w:rsidRPr="00B06F1B">
          <w:rPr>
            <w:rStyle w:val="Hyperlink"/>
            <w:noProof/>
          </w:rPr>
          <w:t>River</w:t>
        </w:r>
        <w:r w:rsidRPr="00B06F1B">
          <w:rPr>
            <w:rStyle w:val="Hyperlink"/>
            <w:noProof/>
            <w:spacing w:val="-3"/>
          </w:rPr>
          <w:t xml:space="preserve"> </w:t>
        </w:r>
        <w:r w:rsidRPr="00B06F1B">
          <w:rPr>
            <w:rStyle w:val="Hyperlink"/>
            <w:noProof/>
          </w:rPr>
          <w:t>Entrance</w:t>
        </w:r>
        <w:r w:rsidRPr="00B06F1B">
          <w:rPr>
            <w:rStyle w:val="Hyperlink"/>
            <w:noProof/>
            <w:spacing w:val="-3"/>
          </w:rPr>
          <w:t xml:space="preserve"> </w:t>
        </w:r>
        <w:r w:rsidRPr="00B06F1B">
          <w:rPr>
            <w:rStyle w:val="Hyperlink"/>
            <w:noProof/>
          </w:rPr>
          <w:t>conditions</w:t>
        </w:r>
        <w:r w:rsidRPr="00B06F1B">
          <w:rPr>
            <w:rStyle w:val="Hyperlink"/>
            <w:noProof/>
            <w:spacing w:val="-2"/>
          </w:rPr>
          <w:t xml:space="preserve"> webpage</w:t>
        </w:r>
        <w:r>
          <w:rPr>
            <w:noProof/>
            <w:webHidden/>
          </w:rPr>
          <w:tab/>
        </w:r>
        <w:r>
          <w:rPr>
            <w:noProof/>
            <w:webHidden/>
          </w:rPr>
          <w:fldChar w:fldCharType="begin"/>
        </w:r>
        <w:r>
          <w:rPr>
            <w:noProof/>
            <w:webHidden/>
          </w:rPr>
          <w:instrText xml:space="preserve"> PAGEREF _Toc216699605 \h </w:instrText>
        </w:r>
        <w:r>
          <w:rPr>
            <w:noProof/>
            <w:webHidden/>
          </w:rPr>
        </w:r>
        <w:r>
          <w:rPr>
            <w:noProof/>
            <w:webHidden/>
          </w:rPr>
          <w:fldChar w:fldCharType="separate"/>
        </w:r>
        <w:r>
          <w:rPr>
            <w:noProof/>
            <w:webHidden/>
          </w:rPr>
          <w:t>59</w:t>
        </w:r>
        <w:r>
          <w:rPr>
            <w:noProof/>
            <w:webHidden/>
          </w:rPr>
          <w:fldChar w:fldCharType="end"/>
        </w:r>
      </w:hyperlink>
    </w:p>
    <w:p w14:paraId="0A9FBC00" w14:textId="0C6739DA"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06" w:history="1">
        <w:r w:rsidRPr="00B06F1B">
          <w:rPr>
            <w:rStyle w:val="Hyperlink"/>
            <w:noProof/>
          </w:rPr>
          <w:t>Figure 10</w:t>
        </w:r>
        <w:r w:rsidRPr="00B06F1B">
          <w:rPr>
            <w:rStyle w:val="Hyperlink"/>
            <w:noProof/>
          </w:rPr>
          <w:noBreakHyphen/>
          <w:t>4:</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Progression of sand shoal event across Mooloolaba Bay in 2025</w:t>
        </w:r>
        <w:r>
          <w:rPr>
            <w:noProof/>
            <w:webHidden/>
          </w:rPr>
          <w:tab/>
        </w:r>
        <w:r>
          <w:rPr>
            <w:noProof/>
            <w:webHidden/>
          </w:rPr>
          <w:fldChar w:fldCharType="begin"/>
        </w:r>
        <w:r>
          <w:rPr>
            <w:noProof/>
            <w:webHidden/>
          </w:rPr>
          <w:instrText xml:space="preserve"> PAGEREF _Toc216699606 \h </w:instrText>
        </w:r>
        <w:r>
          <w:rPr>
            <w:noProof/>
            <w:webHidden/>
          </w:rPr>
        </w:r>
        <w:r>
          <w:rPr>
            <w:noProof/>
            <w:webHidden/>
          </w:rPr>
          <w:fldChar w:fldCharType="separate"/>
        </w:r>
        <w:r>
          <w:rPr>
            <w:noProof/>
            <w:webHidden/>
          </w:rPr>
          <w:t>60</w:t>
        </w:r>
        <w:r>
          <w:rPr>
            <w:noProof/>
            <w:webHidden/>
          </w:rPr>
          <w:fldChar w:fldCharType="end"/>
        </w:r>
      </w:hyperlink>
    </w:p>
    <w:p w14:paraId="2CFC010D" w14:textId="3199696E"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07" w:history="1">
        <w:r w:rsidRPr="00B06F1B">
          <w:rPr>
            <w:rStyle w:val="Hyperlink"/>
            <w:noProof/>
          </w:rPr>
          <w:t>Figure 10</w:t>
        </w:r>
        <w:r w:rsidRPr="00B06F1B">
          <w:rPr>
            <w:rStyle w:val="Hyperlink"/>
            <w:noProof/>
          </w:rPr>
          <w:noBreakHyphen/>
          <w:t>5:</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Potential</w:t>
        </w:r>
        <w:r w:rsidRPr="00B06F1B">
          <w:rPr>
            <w:rStyle w:val="Hyperlink"/>
            <w:noProof/>
            <w:spacing w:val="-2"/>
          </w:rPr>
          <w:t xml:space="preserve"> </w:t>
        </w:r>
        <w:r w:rsidRPr="00B06F1B">
          <w:rPr>
            <w:rStyle w:val="Hyperlink"/>
            <w:noProof/>
          </w:rPr>
          <w:t>contribution</w:t>
        </w:r>
        <w:r w:rsidRPr="00B06F1B">
          <w:rPr>
            <w:rStyle w:val="Hyperlink"/>
            <w:noProof/>
            <w:spacing w:val="-3"/>
          </w:rPr>
          <w:t xml:space="preserve"> </w:t>
        </w:r>
        <w:r w:rsidRPr="00B06F1B">
          <w:rPr>
            <w:rStyle w:val="Hyperlink"/>
            <w:noProof/>
          </w:rPr>
          <w:t>of</w:t>
        </w:r>
        <w:r w:rsidRPr="00B06F1B">
          <w:rPr>
            <w:rStyle w:val="Hyperlink"/>
            <w:noProof/>
            <w:spacing w:val="-2"/>
          </w:rPr>
          <w:t xml:space="preserve"> </w:t>
        </w:r>
        <w:r w:rsidRPr="00B06F1B">
          <w:rPr>
            <w:rStyle w:val="Hyperlink"/>
            <w:noProof/>
          </w:rPr>
          <w:t>sediments</w:t>
        </w:r>
        <w:r w:rsidRPr="00B06F1B">
          <w:rPr>
            <w:rStyle w:val="Hyperlink"/>
            <w:noProof/>
            <w:spacing w:val="-3"/>
          </w:rPr>
          <w:t xml:space="preserve"> </w:t>
        </w:r>
        <w:r w:rsidRPr="00B06F1B">
          <w:rPr>
            <w:rStyle w:val="Hyperlink"/>
            <w:noProof/>
          </w:rPr>
          <w:t>to</w:t>
        </w:r>
        <w:r w:rsidRPr="00B06F1B">
          <w:rPr>
            <w:rStyle w:val="Hyperlink"/>
            <w:noProof/>
            <w:spacing w:val="-2"/>
          </w:rPr>
          <w:t xml:space="preserve"> </w:t>
        </w:r>
        <w:r w:rsidRPr="00B06F1B">
          <w:rPr>
            <w:rStyle w:val="Hyperlink"/>
            <w:noProof/>
          </w:rPr>
          <w:t>sand</w:t>
        </w:r>
        <w:r w:rsidRPr="00B06F1B">
          <w:rPr>
            <w:rStyle w:val="Hyperlink"/>
            <w:noProof/>
            <w:spacing w:val="-2"/>
          </w:rPr>
          <w:t xml:space="preserve"> </w:t>
        </w:r>
        <w:r w:rsidRPr="00B06F1B">
          <w:rPr>
            <w:rStyle w:val="Hyperlink"/>
            <w:noProof/>
          </w:rPr>
          <w:t>shoal</w:t>
        </w:r>
        <w:r w:rsidRPr="00B06F1B">
          <w:rPr>
            <w:rStyle w:val="Hyperlink"/>
            <w:noProof/>
            <w:spacing w:val="-3"/>
          </w:rPr>
          <w:t xml:space="preserve"> </w:t>
        </w:r>
        <w:r w:rsidRPr="00B06F1B">
          <w:rPr>
            <w:rStyle w:val="Hyperlink"/>
            <w:noProof/>
          </w:rPr>
          <w:t>from</w:t>
        </w:r>
        <w:r w:rsidRPr="00B06F1B">
          <w:rPr>
            <w:rStyle w:val="Hyperlink"/>
            <w:noProof/>
            <w:spacing w:val="-3"/>
          </w:rPr>
          <w:t xml:space="preserve"> </w:t>
        </w:r>
        <w:r w:rsidRPr="00B06F1B">
          <w:rPr>
            <w:rStyle w:val="Hyperlink"/>
            <w:noProof/>
          </w:rPr>
          <w:t>leakage</w:t>
        </w:r>
        <w:r w:rsidRPr="00B06F1B">
          <w:rPr>
            <w:rStyle w:val="Hyperlink"/>
            <w:noProof/>
            <w:spacing w:val="-3"/>
          </w:rPr>
          <w:t xml:space="preserve"> </w:t>
        </w:r>
        <w:r w:rsidRPr="00B06F1B">
          <w:rPr>
            <w:rStyle w:val="Hyperlink"/>
            <w:noProof/>
          </w:rPr>
          <w:t>through</w:t>
        </w:r>
        <w:r w:rsidRPr="00B06F1B">
          <w:rPr>
            <w:rStyle w:val="Hyperlink"/>
            <w:noProof/>
            <w:spacing w:val="-2"/>
          </w:rPr>
          <w:t xml:space="preserve"> </w:t>
        </w:r>
        <w:r w:rsidRPr="00B06F1B">
          <w:rPr>
            <w:rStyle w:val="Hyperlink"/>
            <w:noProof/>
          </w:rPr>
          <w:t>the</w:t>
        </w:r>
        <w:r w:rsidRPr="00B06F1B">
          <w:rPr>
            <w:rStyle w:val="Hyperlink"/>
            <w:noProof/>
            <w:spacing w:val="-3"/>
          </w:rPr>
          <w:t xml:space="preserve"> </w:t>
        </w:r>
        <w:r w:rsidRPr="00B06F1B">
          <w:rPr>
            <w:rStyle w:val="Hyperlink"/>
            <w:noProof/>
          </w:rPr>
          <w:t>eastern</w:t>
        </w:r>
        <w:r w:rsidRPr="00B06F1B">
          <w:rPr>
            <w:rStyle w:val="Hyperlink"/>
            <w:noProof/>
            <w:spacing w:val="-2"/>
          </w:rPr>
          <w:t xml:space="preserve"> breakwater</w:t>
        </w:r>
        <w:r>
          <w:rPr>
            <w:noProof/>
            <w:webHidden/>
          </w:rPr>
          <w:tab/>
        </w:r>
        <w:r>
          <w:rPr>
            <w:noProof/>
            <w:webHidden/>
          </w:rPr>
          <w:fldChar w:fldCharType="begin"/>
        </w:r>
        <w:r>
          <w:rPr>
            <w:noProof/>
            <w:webHidden/>
          </w:rPr>
          <w:instrText xml:space="preserve"> PAGEREF _Toc216699607 \h </w:instrText>
        </w:r>
        <w:r>
          <w:rPr>
            <w:noProof/>
            <w:webHidden/>
          </w:rPr>
        </w:r>
        <w:r>
          <w:rPr>
            <w:noProof/>
            <w:webHidden/>
          </w:rPr>
          <w:fldChar w:fldCharType="separate"/>
        </w:r>
        <w:r>
          <w:rPr>
            <w:noProof/>
            <w:webHidden/>
          </w:rPr>
          <w:t>61</w:t>
        </w:r>
        <w:r>
          <w:rPr>
            <w:noProof/>
            <w:webHidden/>
          </w:rPr>
          <w:fldChar w:fldCharType="end"/>
        </w:r>
      </w:hyperlink>
    </w:p>
    <w:p w14:paraId="5AC11A46" w14:textId="5A195FC4"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08" w:history="1">
        <w:r w:rsidRPr="00B06F1B">
          <w:rPr>
            <w:rStyle w:val="Hyperlink"/>
            <w:noProof/>
          </w:rPr>
          <w:t>Figure 12</w:t>
        </w:r>
        <w:r w:rsidRPr="00B06F1B">
          <w:rPr>
            <w:rStyle w:val="Hyperlink"/>
            <w:noProof/>
          </w:rPr>
          <w:noBreakHyphen/>
          <w:t>1:</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Long</w:t>
        </w:r>
        <w:r w:rsidRPr="00B06F1B">
          <w:rPr>
            <w:rStyle w:val="Hyperlink"/>
            <w:noProof/>
            <w:spacing w:val="-2"/>
          </w:rPr>
          <w:t xml:space="preserve"> </w:t>
        </w:r>
        <w:r w:rsidRPr="00B06F1B">
          <w:rPr>
            <w:rStyle w:val="Hyperlink"/>
            <w:noProof/>
          </w:rPr>
          <w:t>term</w:t>
        </w:r>
        <w:r w:rsidRPr="00B06F1B">
          <w:rPr>
            <w:rStyle w:val="Hyperlink"/>
            <w:noProof/>
            <w:spacing w:val="-3"/>
          </w:rPr>
          <w:t xml:space="preserve"> </w:t>
        </w:r>
        <w:r w:rsidRPr="00B06F1B">
          <w:rPr>
            <w:rStyle w:val="Hyperlink"/>
            <w:noProof/>
          </w:rPr>
          <w:t>goal/objective</w:t>
        </w:r>
        <w:r w:rsidRPr="00B06F1B">
          <w:rPr>
            <w:rStyle w:val="Hyperlink"/>
            <w:noProof/>
            <w:spacing w:val="-3"/>
          </w:rPr>
          <w:t xml:space="preserve"> </w:t>
        </w:r>
        <w:r w:rsidRPr="00B06F1B">
          <w:rPr>
            <w:rStyle w:val="Hyperlink"/>
            <w:noProof/>
          </w:rPr>
          <w:t>(Note</w:t>
        </w:r>
        <w:r w:rsidRPr="00B06F1B">
          <w:rPr>
            <w:rStyle w:val="Hyperlink"/>
            <w:noProof/>
            <w:spacing w:val="-3"/>
          </w:rPr>
          <w:t xml:space="preserve"> </w:t>
        </w:r>
        <w:r w:rsidRPr="00B06F1B">
          <w:rPr>
            <w:rStyle w:val="Hyperlink"/>
            <w:noProof/>
          </w:rPr>
          <w:t>that</w:t>
        </w:r>
        <w:r w:rsidRPr="00B06F1B">
          <w:rPr>
            <w:rStyle w:val="Hyperlink"/>
            <w:noProof/>
            <w:spacing w:val="-2"/>
          </w:rPr>
          <w:t xml:space="preserve"> </w:t>
        </w:r>
        <w:r w:rsidRPr="00B06F1B">
          <w:rPr>
            <w:rStyle w:val="Hyperlink"/>
            <w:noProof/>
          </w:rPr>
          <w:t>￼area</w:t>
        </w:r>
        <w:r w:rsidRPr="00B06F1B">
          <w:rPr>
            <w:rStyle w:val="Hyperlink"/>
            <w:noProof/>
            <w:spacing w:val="-3"/>
          </w:rPr>
          <w:t xml:space="preserve"> </w:t>
        </w:r>
        <w:r w:rsidRPr="00B06F1B">
          <w:rPr>
            <w:rStyle w:val="Hyperlink"/>
            <w:noProof/>
          </w:rPr>
          <w:t>boxes</w:t>
        </w:r>
        <w:r w:rsidRPr="00B06F1B">
          <w:rPr>
            <w:rStyle w:val="Hyperlink"/>
            <w:noProof/>
            <w:spacing w:val="-3"/>
          </w:rPr>
          <w:t xml:space="preserve"> </w:t>
        </w:r>
        <w:r w:rsidRPr="00B06F1B">
          <w:rPr>
            <w:rStyle w:val="Hyperlink"/>
            <w:noProof/>
          </w:rPr>
          <w:t>are</w:t>
        </w:r>
        <w:r w:rsidRPr="00B06F1B">
          <w:rPr>
            <w:rStyle w:val="Hyperlink"/>
            <w:noProof/>
            <w:spacing w:val="-1"/>
          </w:rPr>
          <w:t xml:space="preserve"> </w:t>
        </w:r>
        <w:r w:rsidRPr="00B06F1B">
          <w:rPr>
            <w:rStyle w:val="Hyperlink"/>
            <w:noProof/>
          </w:rPr>
          <w:t>shown</w:t>
        </w:r>
        <w:r w:rsidRPr="00B06F1B">
          <w:rPr>
            <w:rStyle w:val="Hyperlink"/>
            <w:noProof/>
            <w:spacing w:val="-3"/>
          </w:rPr>
          <w:t xml:space="preserve"> </w:t>
        </w:r>
        <w:r w:rsidRPr="00B06F1B">
          <w:rPr>
            <w:rStyle w:val="Hyperlink"/>
            <w:noProof/>
          </w:rPr>
          <w:t>indicatively</w:t>
        </w:r>
        <w:r w:rsidRPr="00B06F1B">
          <w:rPr>
            <w:rStyle w:val="Hyperlink"/>
            <w:noProof/>
            <w:spacing w:val="-3"/>
          </w:rPr>
          <w:t xml:space="preserve"> </w:t>
        </w:r>
        <w:r w:rsidRPr="00B06F1B">
          <w:rPr>
            <w:rStyle w:val="Hyperlink"/>
            <w:noProof/>
          </w:rPr>
          <w:t>and</w:t>
        </w:r>
        <w:r w:rsidRPr="00B06F1B">
          <w:rPr>
            <w:rStyle w:val="Hyperlink"/>
            <w:noProof/>
            <w:spacing w:val="-2"/>
          </w:rPr>
          <w:t xml:space="preserve"> </w:t>
        </w:r>
        <w:r w:rsidRPr="00B06F1B">
          <w:rPr>
            <w:rStyle w:val="Hyperlink"/>
            <w:noProof/>
          </w:rPr>
          <w:t>are</w:t>
        </w:r>
        <w:r w:rsidRPr="00B06F1B">
          <w:rPr>
            <w:rStyle w:val="Hyperlink"/>
            <w:noProof/>
            <w:spacing w:val="-3"/>
          </w:rPr>
          <w:t xml:space="preserve"> </w:t>
        </w:r>
        <w:r w:rsidRPr="00B06F1B">
          <w:rPr>
            <w:rStyle w:val="Hyperlink"/>
            <w:noProof/>
          </w:rPr>
          <w:t>not</w:t>
        </w:r>
        <w:r w:rsidRPr="00B06F1B">
          <w:rPr>
            <w:rStyle w:val="Hyperlink"/>
            <w:noProof/>
            <w:spacing w:val="-2"/>
          </w:rPr>
          <w:t xml:space="preserve"> </w:t>
        </w:r>
        <w:r w:rsidRPr="00B06F1B">
          <w:rPr>
            <w:rStyle w:val="Hyperlink"/>
            <w:noProof/>
          </w:rPr>
          <w:t>representative of any restrictive limits)</w:t>
        </w:r>
        <w:r>
          <w:rPr>
            <w:noProof/>
            <w:webHidden/>
          </w:rPr>
          <w:tab/>
        </w:r>
        <w:r>
          <w:rPr>
            <w:noProof/>
            <w:webHidden/>
          </w:rPr>
          <w:fldChar w:fldCharType="begin"/>
        </w:r>
        <w:r>
          <w:rPr>
            <w:noProof/>
            <w:webHidden/>
          </w:rPr>
          <w:instrText xml:space="preserve"> PAGEREF _Toc216699608 \h </w:instrText>
        </w:r>
        <w:r>
          <w:rPr>
            <w:noProof/>
            <w:webHidden/>
          </w:rPr>
        </w:r>
        <w:r>
          <w:rPr>
            <w:noProof/>
            <w:webHidden/>
          </w:rPr>
          <w:fldChar w:fldCharType="separate"/>
        </w:r>
        <w:r>
          <w:rPr>
            <w:noProof/>
            <w:webHidden/>
          </w:rPr>
          <w:t>66</w:t>
        </w:r>
        <w:r>
          <w:rPr>
            <w:noProof/>
            <w:webHidden/>
          </w:rPr>
          <w:fldChar w:fldCharType="end"/>
        </w:r>
      </w:hyperlink>
    </w:p>
    <w:p w14:paraId="3D19E55E" w14:textId="17E403EE"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09" w:history="1">
        <w:r w:rsidRPr="00B06F1B">
          <w:rPr>
            <w:rStyle w:val="Hyperlink"/>
            <w:noProof/>
          </w:rPr>
          <w:t>Figure 12</w:t>
        </w:r>
        <w:r w:rsidRPr="00B06F1B">
          <w:rPr>
            <w:rStyle w:val="Hyperlink"/>
            <w:noProof/>
          </w:rPr>
          <w:noBreakHyphen/>
          <w:t>2:</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Mooloolah River entrance shoaling indicator prognostic shoal volume output (peak volume events circled)</w:t>
        </w:r>
        <w:r>
          <w:rPr>
            <w:noProof/>
            <w:webHidden/>
          </w:rPr>
          <w:tab/>
        </w:r>
        <w:r>
          <w:rPr>
            <w:noProof/>
            <w:webHidden/>
          </w:rPr>
          <w:fldChar w:fldCharType="begin"/>
        </w:r>
        <w:r>
          <w:rPr>
            <w:noProof/>
            <w:webHidden/>
          </w:rPr>
          <w:instrText xml:space="preserve"> PAGEREF _Toc216699609 \h </w:instrText>
        </w:r>
        <w:r>
          <w:rPr>
            <w:noProof/>
            <w:webHidden/>
          </w:rPr>
        </w:r>
        <w:r>
          <w:rPr>
            <w:noProof/>
            <w:webHidden/>
          </w:rPr>
          <w:fldChar w:fldCharType="separate"/>
        </w:r>
        <w:r>
          <w:rPr>
            <w:noProof/>
            <w:webHidden/>
          </w:rPr>
          <w:t>71</w:t>
        </w:r>
        <w:r>
          <w:rPr>
            <w:noProof/>
            <w:webHidden/>
          </w:rPr>
          <w:fldChar w:fldCharType="end"/>
        </w:r>
      </w:hyperlink>
    </w:p>
    <w:p w14:paraId="25811D3E" w14:textId="7FF8DF68"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10" w:history="1">
        <w:r w:rsidRPr="00B06F1B">
          <w:rPr>
            <w:rStyle w:val="Hyperlink"/>
            <w:noProof/>
          </w:rPr>
          <w:t>Figure 12</w:t>
        </w:r>
        <w:r w:rsidRPr="00B06F1B">
          <w:rPr>
            <w:rStyle w:val="Hyperlink"/>
            <w:noProof/>
          </w:rPr>
          <w:noBreakHyphen/>
          <w:t>3:</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Existing pipeline network</w:t>
        </w:r>
        <w:r>
          <w:rPr>
            <w:noProof/>
            <w:webHidden/>
          </w:rPr>
          <w:tab/>
        </w:r>
        <w:r>
          <w:rPr>
            <w:noProof/>
            <w:webHidden/>
          </w:rPr>
          <w:fldChar w:fldCharType="begin"/>
        </w:r>
        <w:r>
          <w:rPr>
            <w:noProof/>
            <w:webHidden/>
          </w:rPr>
          <w:instrText xml:space="preserve"> PAGEREF _Toc216699610 \h </w:instrText>
        </w:r>
        <w:r>
          <w:rPr>
            <w:noProof/>
            <w:webHidden/>
          </w:rPr>
        </w:r>
        <w:r>
          <w:rPr>
            <w:noProof/>
            <w:webHidden/>
          </w:rPr>
          <w:fldChar w:fldCharType="separate"/>
        </w:r>
        <w:r>
          <w:rPr>
            <w:noProof/>
            <w:webHidden/>
          </w:rPr>
          <w:t>73</w:t>
        </w:r>
        <w:r>
          <w:rPr>
            <w:noProof/>
            <w:webHidden/>
          </w:rPr>
          <w:fldChar w:fldCharType="end"/>
        </w:r>
      </w:hyperlink>
    </w:p>
    <w:p w14:paraId="654BA20C" w14:textId="49AE9973"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11" w:history="1">
        <w:r w:rsidRPr="00B06F1B">
          <w:rPr>
            <w:rStyle w:val="Hyperlink"/>
            <w:noProof/>
          </w:rPr>
          <w:t>Figure 12</w:t>
        </w:r>
        <w:r w:rsidRPr="00B06F1B">
          <w:rPr>
            <w:rStyle w:val="Hyperlink"/>
            <w:noProof/>
          </w:rPr>
          <w:noBreakHyphen/>
          <w:t>4:</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Cutter Suction Dredge – Navua Jade Platypus removing shoal build up in Mooloolaba channel entrance (Halls, 2025)</w:t>
        </w:r>
        <w:r>
          <w:rPr>
            <w:noProof/>
            <w:webHidden/>
          </w:rPr>
          <w:tab/>
        </w:r>
        <w:r>
          <w:rPr>
            <w:noProof/>
            <w:webHidden/>
          </w:rPr>
          <w:fldChar w:fldCharType="begin"/>
        </w:r>
        <w:r>
          <w:rPr>
            <w:noProof/>
            <w:webHidden/>
          </w:rPr>
          <w:instrText xml:space="preserve"> PAGEREF _Toc216699611 \h </w:instrText>
        </w:r>
        <w:r>
          <w:rPr>
            <w:noProof/>
            <w:webHidden/>
          </w:rPr>
        </w:r>
        <w:r>
          <w:rPr>
            <w:noProof/>
            <w:webHidden/>
          </w:rPr>
          <w:fldChar w:fldCharType="separate"/>
        </w:r>
        <w:r>
          <w:rPr>
            <w:noProof/>
            <w:webHidden/>
          </w:rPr>
          <w:t>74</w:t>
        </w:r>
        <w:r>
          <w:rPr>
            <w:noProof/>
            <w:webHidden/>
          </w:rPr>
          <w:fldChar w:fldCharType="end"/>
        </w:r>
      </w:hyperlink>
    </w:p>
    <w:p w14:paraId="21948DFD" w14:textId="55C50F5A"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12" w:history="1">
        <w:r w:rsidRPr="00B06F1B">
          <w:rPr>
            <w:rStyle w:val="Hyperlink"/>
            <w:noProof/>
          </w:rPr>
          <w:t>Figure 12</w:t>
        </w:r>
        <w:r w:rsidRPr="00B06F1B">
          <w:rPr>
            <w:rStyle w:val="Hyperlink"/>
            <w:noProof/>
          </w:rPr>
          <w:noBreakHyphen/>
          <w:t>5:</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Left</w:t>
        </w:r>
        <w:r w:rsidRPr="00B06F1B">
          <w:rPr>
            <w:rStyle w:val="Hyperlink"/>
            <w:noProof/>
            <w:spacing w:val="-2"/>
          </w:rPr>
          <w:t xml:space="preserve"> </w:t>
        </w:r>
        <w:r w:rsidRPr="00B06F1B">
          <w:rPr>
            <w:rStyle w:val="Hyperlink"/>
            <w:noProof/>
          </w:rPr>
          <w:t>McQuade</w:t>
        </w:r>
        <w:r w:rsidRPr="00B06F1B">
          <w:rPr>
            <w:rStyle w:val="Hyperlink"/>
            <w:noProof/>
            <w:spacing w:val="-3"/>
          </w:rPr>
          <w:t xml:space="preserve"> </w:t>
        </w:r>
        <w:r w:rsidRPr="00B06F1B">
          <w:rPr>
            <w:rStyle w:val="Hyperlink"/>
            <w:noProof/>
          </w:rPr>
          <w:t>Marine</w:t>
        </w:r>
        <w:r w:rsidRPr="00B06F1B">
          <w:rPr>
            <w:rStyle w:val="Hyperlink"/>
            <w:noProof/>
            <w:spacing w:val="-4"/>
          </w:rPr>
          <w:t xml:space="preserve"> </w:t>
        </w:r>
        <w:r w:rsidRPr="00B06F1B">
          <w:rPr>
            <w:rStyle w:val="Hyperlink"/>
            <w:noProof/>
          </w:rPr>
          <w:t>TSHD</w:t>
        </w:r>
        <w:r w:rsidRPr="00B06F1B">
          <w:rPr>
            <w:rStyle w:val="Hyperlink"/>
            <w:noProof/>
            <w:spacing w:val="-2"/>
          </w:rPr>
          <w:t xml:space="preserve"> </w:t>
        </w:r>
        <w:r w:rsidRPr="00B06F1B">
          <w:rPr>
            <w:rStyle w:val="Hyperlink"/>
            <w:noProof/>
          </w:rPr>
          <w:t>Bottom</w:t>
        </w:r>
        <w:r w:rsidRPr="00B06F1B">
          <w:rPr>
            <w:rStyle w:val="Hyperlink"/>
            <w:noProof/>
            <w:spacing w:val="-3"/>
          </w:rPr>
          <w:t xml:space="preserve"> </w:t>
        </w:r>
        <w:r w:rsidRPr="00B06F1B">
          <w:rPr>
            <w:rStyle w:val="Hyperlink"/>
            <w:noProof/>
          </w:rPr>
          <w:t>Dumping</w:t>
        </w:r>
        <w:r w:rsidRPr="00B06F1B">
          <w:rPr>
            <w:rStyle w:val="Hyperlink"/>
            <w:noProof/>
            <w:spacing w:val="-2"/>
          </w:rPr>
          <w:t xml:space="preserve"> </w:t>
        </w:r>
        <w:r w:rsidRPr="00B06F1B">
          <w:rPr>
            <w:rStyle w:val="Hyperlink"/>
            <w:noProof/>
          </w:rPr>
          <w:t>(Mcquade</w:t>
        </w:r>
        <w:r w:rsidRPr="00B06F1B">
          <w:rPr>
            <w:rStyle w:val="Hyperlink"/>
            <w:noProof/>
            <w:spacing w:val="-4"/>
          </w:rPr>
          <w:t xml:space="preserve"> </w:t>
        </w:r>
        <w:r w:rsidRPr="00B06F1B">
          <w:rPr>
            <w:rStyle w:val="Hyperlink"/>
            <w:noProof/>
          </w:rPr>
          <w:t>Marine,</w:t>
        </w:r>
        <w:r w:rsidRPr="00B06F1B">
          <w:rPr>
            <w:rStyle w:val="Hyperlink"/>
            <w:noProof/>
            <w:spacing w:val="-2"/>
          </w:rPr>
          <w:t xml:space="preserve"> </w:t>
        </w:r>
        <w:r w:rsidRPr="00B06F1B">
          <w:rPr>
            <w:rStyle w:val="Hyperlink"/>
            <w:noProof/>
          </w:rPr>
          <w:t>2024).</w:t>
        </w:r>
        <w:r w:rsidRPr="00B06F1B">
          <w:rPr>
            <w:rStyle w:val="Hyperlink"/>
            <w:noProof/>
            <w:spacing w:val="-1"/>
          </w:rPr>
          <w:t xml:space="preserve"> </w:t>
        </w:r>
        <w:r w:rsidRPr="00B06F1B">
          <w:rPr>
            <w:rStyle w:val="Hyperlink"/>
            <w:noProof/>
          </w:rPr>
          <w:t>Right:</w:t>
        </w:r>
        <w:r w:rsidRPr="00B06F1B">
          <w:rPr>
            <w:rStyle w:val="Hyperlink"/>
            <w:noProof/>
            <w:spacing w:val="-3"/>
          </w:rPr>
          <w:t xml:space="preserve"> </w:t>
        </w:r>
        <w:r w:rsidRPr="00B06F1B">
          <w:rPr>
            <w:rStyle w:val="Hyperlink"/>
            <w:noProof/>
          </w:rPr>
          <w:t>Rhode</w:t>
        </w:r>
        <w:r w:rsidRPr="00B06F1B">
          <w:rPr>
            <w:rStyle w:val="Hyperlink"/>
            <w:noProof/>
            <w:spacing w:val="-4"/>
          </w:rPr>
          <w:t xml:space="preserve"> </w:t>
        </w:r>
        <w:r w:rsidRPr="00B06F1B">
          <w:rPr>
            <w:rStyle w:val="Hyperlink"/>
            <w:noProof/>
          </w:rPr>
          <w:t>Nielsen Rainbowing TSHD onto the Gold Coast Nearshore (RN, 2025)</w:t>
        </w:r>
        <w:r>
          <w:rPr>
            <w:noProof/>
            <w:webHidden/>
          </w:rPr>
          <w:tab/>
        </w:r>
        <w:r>
          <w:rPr>
            <w:noProof/>
            <w:webHidden/>
          </w:rPr>
          <w:fldChar w:fldCharType="begin"/>
        </w:r>
        <w:r>
          <w:rPr>
            <w:noProof/>
            <w:webHidden/>
          </w:rPr>
          <w:instrText xml:space="preserve"> PAGEREF _Toc216699612 \h </w:instrText>
        </w:r>
        <w:r>
          <w:rPr>
            <w:noProof/>
            <w:webHidden/>
          </w:rPr>
        </w:r>
        <w:r>
          <w:rPr>
            <w:noProof/>
            <w:webHidden/>
          </w:rPr>
          <w:fldChar w:fldCharType="separate"/>
        </w:r>
        <w:r>
          <w:rPr>
            <w:noProof/>
            <w:webHidden/>
          </w:rPr>
          <w:t>75</w:t>
        </w:r>
        <w:r>
          <w:rPr>
            <w:noProof/>
            <w:webHidden/>
          </w:rPr>
          <w:fldChar w:fldCharType="end"/>
        </w:r>
      </w:hyperlink>
    </w:p>
    <w:p w14:paraId="5B17DE67" w14:textId="62D1EC77"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13" w:history="1">
        <w:r w:rsidRPr="00B06F1B">
          <w:rPr>
            <w:rStyle w:val="Hyperlink"/>
            <w:noProof/>
          </w:rPr>
          <w:t>Figure 12</w:t>
        </w:r>
        <w:r w:rsidRPr="00B06F1B">
          <w:rPr>
            <w:rStyle w:val="Hyperlink"/>
            <w:noProof/>
          </w:rPr>
          <w:noBreakHyphen/>
          <w:t>6:</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Schematic showing Indicative Dredge Accessibility [Distorted Scale 1V:20H] for a typical Gold Coast beach profile (ICM, 2017)</w:t>
        </w:r>
        <w:r>
          <w:rPr>
            <w:noProof/>
            <w:webHidden/>
          </w:rPr>
          <w:tab/>
        </w:r>
        <w:r>
          <w:rPr>
            <w:noProof/>
            <w:webHidden/>
          </w:rPr>
          <w:fldChar w:fldCharType="begin"/>
        </w:r>
        <w:r>
          <w:rPr>
            <w:noProof/>
            <w:webHidden/>
          </w:rPr>
          <w:instrText xml:space="preserve"> PAGEREF _Toc216699613 \h </w:instrText>
        </w:r>
        <w:r>
          <w:rPr>
            <w:noProof/>
            <w:webHidden/>
          </w:rPr>
        </w:r>
        <w:r>
          <w:rPr>
            <w:noProof/>
            <w:webHidden/>
          </w:rPr>
          <w:fldChar w:fldCharType="separate"/>
        </w:r>
        <w:r>
          <w:rPr>
            <w:noProof/>
            <w:webHidden/>
          </w:rPr>
          <w:t>75</w:t>
        </w:r>
        <w:r>
          <w:rPr>
            <w:noProof/>
            <w:webHidden/>
          </w:rPr>
          <w:fldChar w:fldCharType="end"/>
        </w:r>
      </w:hyperlink>
    </w:p>
    <w:p w14:paraId="3DBBF7CD" w14:textId="2990BF76"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14" w:history="1">
        <w:r w:rsidRPr="00B06F1B">
          <w:rPr>
            <w:rStyle w:val="Hyperlink"/>
            <w:noProof/>
          </w:rPr>
          <w:t>Figure 12</w:t>
        </w:r>
        <w:r w:rsidRPr="00B06F1B">
          <w:rPr>
            <w:rStyle w:val="Hyperlink"/>
            <w:noProof/>
          </w:rPr>
          <w:noBreakHyphen/>
          <w:t>7:</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Slurry</w:t>
        </w:r>
        <w:r w:rsidRPr="00B06F1B">
          <w:rPr>
            <w:rStyle w:val="Hyperlink"/>
            <w:noProof/>
            <w:spacing w:val="-3"/>
          </w:rPr>
          <w:t xml:space="preserve"> </w:t>
        </w:r>
        <w:r w:rsidRPr="00B06F1B">
          <w:rPr>
            <w:rStyle w:val="Hyperlink"/>
            <w:noProof/>
          </w:rPr>
          <w:t>Systems</w:t>
        </w:r>
        <w:r w:rsidRPr="00B06F1B">
          <w:rPr>
            <w:rStyle w:val="Hyperlink"/>
            <w:noProof/>
            <w:spacing w:val="-3"/>
          </w:rPr>
          <w:t xml:space="preserve"> </w:t>
        </w:r>
        <w:r w:rsidRPr="00B06F1B">
          <w:rPr>
            <w:rStyle w:val="Hyperlink"/>
            <w:noProof/>
          </w:rPr>
          <w:t>Marine</w:t>
        </w:r>
        <w:r w:rsidRPr="00B06F1B">
          <w:rPr>
            <w:rStyle w:val="Hyperlink"/>
            <w:noProof/>
            <w:spacing w:val="-3"/>
          </w:rPr>
          <w:t xml:space="preserve"> </w:t>
        </w:r>
        <w:r w:rsidRPr="00B06F1B">
          <w:rPr>
            <w:rStyle w:val="Hyperlink"/>
            <w:noProof/>
          </w:rPr>
          <w:t>–</w:t>
        </w:r>
        <w:r w:rsidRPr="00B06F1B">
          <w:rPr>
            <w:rStyle w:val="Hyperlink"/>
            <w:noProof/>
            <w:spacing w:val="-2"/>
          </w:rPr>
          <w:t xml:space="preserve"> </w:t>
        </w:r>
        <w:r w:rsidRPr="00B06F1B">
          <w:rPr>
            <w:rStyle w:val="Hyperlink"/>
            <w:noProof/>
          </w:rPr>
          <w:t>5</w:t>
        </w:r>
        <w:r w:rsidRPr="00B06F1B">
          <w:rPr>
            <w:rStyle w:val="Hyperlink"/>
            <w:noProof/>
            <w:spacing w:val="-3"/>
          </w:rPr>
          <w:t xml:space="preserve"> </w:t>
        </w:r>
        <w:r w:rsidRPr="00B06F1B">
          <w:rPr>
            <w:rStyle w:val="Hyperlink"/>
            <w:noProof/>
          </w:rPr>
          <w:t>Jet</w:t>
        </w:r>
        <w:r w:rsidRPr="00B06F1B">
          <w:rPr>
            <w:rStyle w:val="Hyperlink"/>
            <w:noProof/>
            <w:spacing w:val="-2"/>
          </w:rPr>
          <w:t xml:space="preserve"> </w:t>
        </w:r>
        <w:r w:rsidRPr="00B06F1B">
          <w:rPr>
            <w:rStyle w:val="Hyperlink"/>
            <w:noProof/>
          </w:rPr>
          <w:t>Pumps</w:t>
        </w:r>
        <w:r w:rsidRPr="00B06F1B">
          <w:rPr>
            <w:rStyle w:val="Hyperlink"/>
            <w:noProof/>
            <w:spacing w:val="-3"/>
          </w:rPr>
          <w:t xml:space="preserve"> </w:t>
        </w:r>
        <w:r w:rsidRPr="00B06F1B">
          <w:rPr>
            <w:rStyle w:val="Hyperlink"/>
            <w:noProof/>
          </w:rPr>
          <w:t>utilised</w:t>
        </w:r>
        <w:r w:rsidRPr="00B06F1B">
          <w:rPr>
            <w:rStyle w:val="Hyperlink"/>
            <w:noProof/>
            <w:spacing w:val="-2"/>
          </w:rPr>
          <w:t xml:space="preserve"> </w:t>
        </w:r>
        <w:r w:rsidRPr="00B06F1B">
          <w:rPr>
            <w:rStyle w:val="Hyperlink"/>
            <w:noProof/>
          </w:rPr>
          <w:t>in</w:t>
        </w:r>
        <w:r w:rsidRPr="00B06F1B">
          <w:rPr>
            <w:rStyle w:val="Hyperlink"/>
            <w:noProof/>
            <w:spacing w:val="-2"/>
          </w:rPr>
          <w:t xml:space="preserve"> </w:t>
        </w:r>
        <w:r w:rsidRPr="00B06F1B">
          <w:rPr>
            <w:rStyle w:val="Hyperlink"/>
            <w:noProof/>
          </w:rPr>
          <w:t>Coffs</w:t>
        </w:r>
        <w:r w:rsidRPr="00B06F1B">
          <w:rPr>
            <w:rStyle w:val="Hyperlink"/>
            <w:noProof/>
            <w:spacing w:val="-3"/>
          </w:rPr>
          <w:t xml:space="preserve"> </w:t>
        </w:r>
        <w:r w:rsidRPr="00B06F1B">
          <w:rPr>
            <w:rStyle w:val="Hyperlink"/>
            <w:noProof/>
          </w:rPr>
          <w:t>Harbour</w:t>
        </w:r>
        <w:r w:rsidRPr="00B06F1B">
          <w:rPr>
            <w:rStyle w:val="Hyperlink"/>
            <w:noProof/>
            <w:spacing w:val="-3"/>
          </w:rPr>
          <w:t xml:space="preserve"> </w:t>
        </w:r>
        <w:r w:rsidRPr="00B06F1B">
          <w:rPr>
            <w:rStyle w:val="Hyperlink"/>
            <w:noProof/>
          </w:rPr>
          <w:t>channel</w:t>
        </w:r>
        <w:r w:rsidRPr="00B06F1B">
          <w:rPr>
            <w:rStyle w:val="Hyperlink"/>
            <w:noProof/>
            <w:spacing w:val="-2"/>
          </w:rPr>
          <w:t xml:space="preserve"> </w:t>
        </w:r>
        <w:r w:rsidRPr="00B06F1B">
          <w:rPr>
            <w:rStyle w:val="Hyperlink"/>
            <w:noProof/>
          </w:rPr>
          <w:t>entrance</w:t>
        </w:r>
        <w:r w:rsidRPr="00B06F1B">
          <w:rPr>
            <w:rStyle w:val="Hyperlink"/>
            <w:noProof/>
            <w:spacing w:val="-3"/>
          </w:rPr>
          <w:t xml:space="preserve"> </w:t>
        </w:r>
        <w:r w:rsidRPr="00B06F1B">
          <w:rPr>
            <w:rStyle w:val="Hyperlink"/>
            <w:noProof/>
          </w:rPr>
          <w:t>(Sand</w:t>
        </w:r>
        <w:r w:rsidRPr="00B06F1B">
          <w:rPr>
            <w:rStyle w:val="Hyperlink"/>
            <w:noProof/>
            <w:spacing w:val="-2"/>
          </w:rPr>
          <w:t xml:space="preserve"> </w:t>
        </w:r>
        <w:r w:rsidRPr="00B06F1B">
          <w:rPr>
            <w:rStyle w:val="Hyperlink"/>
            <w:noProof/>
          </w:rPr>
          <w:t>Slurry Systems, 2025)</w:t>
        </w:r>
        <w:r>
          <w:rPr>
            <w:noProof/>
            <w:webHidden/>
          </w:rPr>
          <w:tab/>
        </w:r>
        <w:r>
          <w:rPr>
            <w:noProof/>
            <w:webHidden/>
          </w:rPr>
          <w:fldChar w:fldCharType="begin"/>
        </w:r>
        <w:r>
          <w:rPr>
            <w:noProof/>
            <w:webHidden/>
          </w:rPr>
          <w:instrText xml:space="preserve"> PAGEREF _Toc216699614 \h </w:instrText>
        </w:r>
        <w:r>
          <w:rPr>
            <w:noProof/>
            <w:webHidden/>
          </w:rPr>
        </w:r>
        <w:r>
          <w:rPr>
            <w:noProof/>
            <w:webHidden/>
          </w:rPr>
          <w:fldChar w:fldCharType="separate"/>
        </w:r>
        <w:r>
          <w:rPr>
            <w:noProof/>
            <w:webHidden/>
          </w:rPr>
          <w:t>76</w:t>
        </w:r>
        <w:r>
          <w:rPr>
            <w:noProof/>
            <w:webHidden/>
          </w:rPr>
          <w:fldChar w:fldCharType="end"/>
        </w:r>
      </w:hyperlink>
    </w:p>
    <w:p w14:paraId="6F1E39E7" w14:textId="7D5D78D4"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15" w:history="1">
        <w:r w:rsidRPr="00B06F1B">
          <w:rPr>
            <w:rStyle w:val="Hyperlink"/>
            <w:noProof/>
          </w:rPr>
          <w:t>Figure 12</w:t>
        </w:r>
        <w:r w:rsidRPr="00B06F1B">
          <w:rPr>
            <w:rStyle w:val="Hyperlink"/>
            <w:noProof/>
          </w:rPr>
          <w:noBreakHyphen/>
          <w:t>8:</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 xml:space="preserve"> Sand pipe with multiple outlets for beach deposition (ICM, 2024)</w:t>
        </w:r>
        <w:r>
          <w:rPr>
            <w:noProof/>
            <w:webHidden/>
          </w:rPr>
          <w:tab/>
        </w:r>
        <w:r>
          <w:rPr>
            <w:noProof/>
            <w:webHidden/>
          </w:rPr>
          <w:fldChar w:fldCharType="begin"/>
        </w:r>
        <w:r>
          <w:rPr>
            <w:noProof/>
            <w:webHidden/>
          </w:rPr>
          <w:instrText xml:space="preserve"> PAGEREF _Toc216699615 \h </w:instrText>
        </w:r>
        <w:r>
          <w:rPr>
            <w:noProof/>
            <w:webHidden/>
          </w:rPr>
        </w:r>
        <w:r>
          <w:rPr>
            <w:noProof/>
            <w:webHidden/>
          </w:rPr>
          <w:fldChar w:fldCharType="separate"/>
        </w:r>
        <w:r>
          <w:rPr>
            <w:noProof/>
            <w:webHidden/>
          </w:rPr>
          <w:t>77</w:t>
        </w:r>
        <w:r>
          <w:rPr>
            <w:noProof/>
            <w:webHidden/>
          </w:rPr>
          <w:fldChar w:fldCharType="end"/>
        </w:r>
      </w:hyperlink>
    </w:p>
    <w:p w14:paraId="75A0493A" w14:textId="1766E0F5"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16" w:history="1">
        <w:r w:rsidRPr="00B06F1B">
          <w:rPr>
            <w:rStyle w:val="Hyperlink"/>
            <w:noProof/>
          </w:rPr>
          <w:t>Figure 13</w:t>
        </w:r>
        <w:r w:rsidRPr="00B06F1B">
          <w:rPr>
            <w:rStyle w:val="Hyperlink"/>
            <w:noProof/>
          </w:rPr>
          <w:noBreakHyphen/>
          <w:t>1:</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Conceptual</w:t>
        </w:r>
        <w:r w:rsidRPr="00B06F1B">
          <w:rPr>
            <w:rStyle w:val="Hyperlink"/>
            <w:noProof/>
            <w:spacing w:val="-1"/>
          </w:rPr>
          <w:t xml:space="preserve"> </w:t>
        </w:r>
        <w:r w:rsidRPr="00B06F1B">
          <w:rPr>
            <w:rStyle w:val="Hyperlink"/>
            <w:noProof/>
          </w:rPr>
          <w:t>plan</w:t>
        </w:r>
        <w:r w:rsidRPr="00B06F1B">
          <w:rPr>
            <w:rStyle w:val="Hyperlink"/>
            <w:noProof/>
            <w:spacing w:val="-2"/>
          </w:rPr>
          <w:t xml:space="preserve"> </w:t>
        </w:r>
        <w:r w:rsidRPr="00B06F1B">
          <w:rPr>
            <w:rStyle w:val="Hyperlink"/>
            <w:noProof/>
          </w:rPr>
          <w:t>view</w:t>
        </w:r>
        <w:r w:rsidRPr="00B06F1B">
          <w:rPr>
            <w:rStyle w:val="Hyperlink"/>
            <w:noProof/>
            <w:spacing w:val="-3"/>
          </w:rPr>
          <w:t xml:space="preserve"> </w:t>
        </w:r>
        <w:r w:rsidRPr="00B06F1B">
          <w:rPr>
            <w:rStyle w:val="Hyperlink"/>
            <w:noProof/>
          </w:rPr>
          <w:t>of</w:t>
        </w:r>
        <w:r w:rsidRPr="00B06F1B">
          <w:rPr>
            <w:rStyle w:val="Hyperlink"/>
            <w:noProof/>
            <w:spacing w:val="-2"/>
          </w:rPr>
          <w:t xml:space="preserve"> </w:t>
        </w:r>
        <w:r w:rsidRPr="00B06F1B">
          <w:rPr>
            <w:rStyle w:val="Hyperlink"/>
            <w:noProof/>
          </w:rPr>
          <w:t>Option</w:t>
        </w:r>
        <w:r w:rsidRPr="00B06F1B">
          <w:rPr>
            <w:rStyle w:val="Hyperlink"/>
            <w:noProof/>
            <w:spacing w:val="-2"/>
          </w:rPr>
          <w:t xml:space="preserve"> </w:t>
        </w:r>
        <w:r w:rsidRPr="00B06F1B">
          <w:rPr>
            <w:rStyle w:val="Hyperlink"/>
            <w:noProof/>
          </w:rPr>
          <w:t>1</w:t>
        </w:r>
        <w:r w:rsidRPr="00B06F1B">
          <w:rPr>
            <w:rStyle w:val="Hyperlink"/>
            <w:noProof/>
            <w:spacing w:val="-3"/>
          </w:rPr>
          <w:t xml:space="preserve"> </w:t>
        </w:r>
        <w:r w:rsidRPr="00B06F1B">
          <w:rPr>
            <w:rStyle w:val="Hyperlink"/>
            <w:noProof/>
          </w:rPr>
          <w:t>–</w:t>
        </w:r>
        <w:r w:rsidRPr="00B06F1B">
          <w:rPr>
            <w:rStyle w:val="Hyperlink"/>
            <w:noProof/>
            <w:spacing w:val="-2"/>
          </w:rPr>
          <w:t xml:space="preserve"> </w:t>
        </w:r>
        <w:r w:rsidRPr="00B06F1B">
          <w:rPr>
            <w:rStyle w:val="Hyperlink"/>
            <w:noProof/>
          </w:rPr>
          <w:t>Sand</w:t>
        </w:r>
        <w:r w:rsidRPr="00B06F1B">
          <w:rPr>
            <w:rStyle w:val="Hyperlink"/>
            <w:noProof/>
            <w:spacing w:val="-3"/>
          </w:rPr>
          <w:t xml:space="preserve"> </w:t>
        </w:r>
        <w:r w:rsidRPr="00B06F1B">
          <w:rPr>
            <w:rStyle w:val="Hyperlink"/>
            <w:noProof/>
          </w:rPr>
          <w:t>trap</w:t>
        </w:r>
        <w:r w:rsidRPr="00B06F1B">
          <w:rPr>
            <w:rStyle w:val="Hyperlink"/>
            <w:noProof/>
            <w:spacing w:val="-1"/>
          </w:rPr>
          <w:t xml:space="preserve"> </w:t>
        </w:r>
        <w:r w:rsidRPr="00B06F1B">
          <w:rPr>
            <w:rStyle w:val="Hyperlink"/>
            <w:noProof/>
          </w:rPr>
          <w:t>on</w:t>
        </w:r>
        <w:r w:rsidRPr="00B06F1B">
          <w:rPr>
            <w:rStyle w:val="Hyperlink"/>
            <w:noProof/>
            <w:spacing w:val="-2"/>
          </w:rPr>
          <w:t xml:space="preserve"> </w:t>
        </w:r>
        <w:r w:rsidRPr="00B06F1B">
          <w:rPr>
            <w:rStyle w:val="Hyperlink"/>
            <w:noProof/>
          </w:rPr>
          <w:t>northern</w:t>
        </w:r>
        <w:r w:rsidRPr="00B06F1B">
          <w:rPr>
            <w:rStyle w:val="Hyperlink"/>
            <w:noProof/>
            <w:spacing w:val="-2"/>
          </w:rPr>
          <w:t xml:space="preserve"> </w:t>
        </w:r>
        <w:r w:rsidRPr="00B06F1B">
          <w:rPr>
            <w:rStyle w:val="Hyperlink"/>
            <w:noProof/>
          </w:rPr>
          <w:t>Buddina</w:t>
        </w:r>
        <w:r w:rsidRPr="00B06F1B">
          <w:rPr>
            <w:rStyle w:val="Hyperlink"/>
            <w:noProof/>
            <w:spacing w:val="-2"/>
          </w:rPr>
          <w:t xml:space="preserve"> </w:t>
        </w:r>
        <w:r w:rsidRPr="00B06F1B">
          <w:rPr>
            <w:rStyle w:val="Hyperlink"/>
            <w:noProof/>
          </w:rPr>
          <w:t>Beach</w:t>
        </w:r>
        <w:r w:rsidRPr="00B06F1B">
          <w:rPr>
            <w:rStyle w:val="Hyperlink"/>
            <w:noProof/>
            <w:spacing w:val="-2"/>
          </w:rPr>
          <w:t xml:space="preserve"> </w:t>
        </w:r>
        <w:r w:rsidRPr="00B06F1B">
          <w:rPr>
            <w:rStyle w:val="Hyperlink"/>
            <w:noProof/>
          </w:rPr>
          <w:t>(ICM,</w:t>
        </w:r>
        <w:r w:rsidRPr="00B06F1B">
          <w:rPr>
            <w:rStyle w:val="Hyperlink"/>
            <w:noProof/>
            <w:spacing w:val="-1"/>
          </w:rPr>
          <w:t xml:space="preserve"> </w:t>
        </w:r>
        <w:r w:rsidRPr="00B06F1B">
          <w:rPr>
            <w:rStyle w:val="Hyperlink"/>
            <w:noProof/>
            <w:spacing w:val="-2"/>
          </w:rPr>
          <w:t>2025)</w:t>
        </w:r>
        <w:r>
          <w:rPr>
            <w:noProof/>
            <w:webHidden/>
          </w:rPr>
          <w:tab/>
        </w:r>
        <w:r>
          <w:rPr>
            <w:noProof/>
            <w:webHidden/>
          </w:rPr>
          <w:fldChar w:fldCharType="begin"/>
        </w:r>
        <w:r>
          <w:rPr>
            <w:noProof/>
            <w:webHidden/>
          </w:rPr>
          <w:instrText xml:space="preserve"> PAGEREF _Toc216699616 \h </w:instrText>
        </w:r>
        <w:r>
          <w:rPr>
            <w:noProof/>
            <w:webHidden/>
          </w:rPr>
        </w:r>
        <w:r>
          <w:rPr>
            <w:noProof/>
            <w:webHidden/>
          </w:rPr>
          <w:fldChar w:fldCharType="separate"/>
        </w:r>
        <w:r>
          <w:rPr>
            <w:noProof/>
            <w:webHidden/>
          </w:rPr>
          <w:t>78</w:t>
        </w:r>
        <w:r>
          <w:rPr>
            <w:noProof/>
            <w:webHidden/>
          </w:rPr>
          <w:fldChar w:fldCharType="end"/>
        </w:r>
      </w:hyperlink>
    </w:p>
    <w:p w14:paraId="21262F15" w14:textId="48671AA7"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17" w:history="1">
        <w:r w:rsidRPr="00B06F1B">
          <w:rPr>
            <w:rStyle w:val="Hyperlink"/>
            <w:noProof/>
          </w:rPr>
          <w:t>Figure 13</w:t>
        </w:r>
        <w:r w:rsidRPr="00B06F1B">
          <w:rPr>
            <w:rStyle w:val="Hyperlink"/>
            <w:noProof/>
          </w:rPr>
          <w:noBreakHyphen/>
          <w:t>2:</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Longshore</w:t>
        </w:r>
        <w:r w:rsidRPr="00B06F1B">
          <w:rPr>
            <w:rStyle w:val="Hyperlink"/>
            <w:noProof/>
            <w:spacing w:val="-3"/>
          </w:rPr>
          <w:t xml:space="preserve"> </w:t>
        </w:r>
        <w:r w:rsidRPr="00B06F1B">
          <w:rPr>
            <w:rStyle w:val="Hyperlink"/>
            <w:noProof/>
          </w:rPr>
          <w:t>sand</w:t>
        </w:r>
        <w:r w:rsidRPr="00B06F1B">
          <w:rPr>
            <w:rStyle w:val="Hyperlink"/>
            <w:noProof/>
            <w:spacing w:val="-2"/>
          </w:rPr>
          <w:t xml:space="preserve"> </w:t>
        </w:r>
        <w:r w:rsidRPr="00B06F1B">
          <w:rPr>
            <w:rStyle w:val="Hyperlink"/>
            <w:noProof/>
          </w:rPr>
          <w:t>transport</w:t>
        </w:r>
        <w:r w:rsidRPr="00B06F1B">
          <w:rPr>
            <w:rStyle w:val="Hyperlink"/>
            <w:noProof/>
            <w:spacing w:val="-2"/>
          </w:rPr>
          <w:t xml:space="preserve"> </w:t>
        </w:r>
        <w:r w:rsidRPr="00B06F1B">
          <w:rPr>
            <w:rStyle w:val="Hyperlink"/>
            <w:noProof/>
          </w:rPr>
          <w:t>conceptual</w:t>
        </w:r>
        <w:r w:rsidRPr="00B06F1B">
          <w:rPr>
            <w:rStyle w:val="Hyperlink"/>
            <w:noProof/>
            <w:spacing w:val="-2"/>
          </w:rPr>
          <w:t xml:space="preserve"> </w:t>
        </w:r>
        <w:r w:rsidRPr="00B06F1B">
          <w:rPr>
            <w:rStyle w:val="Hyperlink"/>
            <w:noProof/>
          </w:rPr>
          <w:t>model</w:t>
        </w:r>
        <w:r w:rsidRPr="00B06F1B">
          <w:rPr>
            <w:rStyle w:val="Hyperlink"/>
            <w:noProof/>
            <w:spacing w:val="-2"/>
          </w:rPr>
          <w:t xml:space="preserve"> </w:t>
        </w:r>
        <w:r w:rsidRPr="00B06F1B">
          <w:rPr>
            <w:rStyle w:val="Hyperlink"/>
            <w:noProof/>
          </w:rPr>
          <w:t>for</w:t>
        </w:r>
        <w:r w:rsidRPr="00B06F1B">
          <w:rPr>
            <w:rStyle w:val="Hyperlink"/>
            <w:noProof/>
            <w:spacing w:val="-3"/>
          </w:rPr>
          <w:t xml:space="preserve"> </w:t>
        </w:r>
        <w:r w:rsidRPr="00B06F1B">
          <w:rPr>
            <w:rStyle w:val="Hyperlink"/>
            <w:noProof/>
          </w:rPr>
          <w:t>north</w:t>
        </w:r>
        <w:r w:rsidRPr="00B06F1B">
          <w:rPr>
            <w:rStyle w:val="Hyperlink"/>
            <w:noProof/>
            <w:spacing w:val="-3"/>
          </w:rPr>
          <w:t xml:space="preserve"> </w:t>
        </w:r>
        <w:r w:rsidRPr="00B06F1B">
          <w:rPr>
            <w:rStyle w:val="Hyperlink"/>
            <w:noProof/>
          </w:rPr>
          <w:t>Buddina</w:t>
        </w:r>
        <w:r w:rsidRPr="00B06F1B">
          <w:rPr>
            <w:rStyle w:val="Hyperlink"/>
            <w:noProof/>
            <w:spacing w:val="-3"/>
          </w:rPr>
          <w:t xml:space="preserve"> </w:t>
        </w:r>
        <w:r w:rsidRPr="00B06F1B">
          <w:rPr>
            <w:rStyle w:val="Hyperlink"/>
            <w:noProof/>
          </w:rPr>
          <w:t>Beach</w:t>
        </w:r>
        <w:r w:rsidRPr="00B06F1B">
          <w:rPr>
            <w:rStyle w:val="Hyperlink"/>
            <w:noProof/>
            <w:spacing w:val="-2"/>
          </w:rPr>
          <w:t xml:space="preserve"> </w:t>
        </w:r>
        <w:r w:rsidRPr="00B06F1B">
          <w:rPr>
            <w:rStyle w:val="Hyperlink"/>
            <w:noProof/>
          </w:rPr>
          <w:t>and</w:t>
        </w:r>
        <w:r w:rsidRPr="00B06F1B">
          <w:rPr>
            <w:rStyle w:val="Hyperlink"/>
            <w:noProof/>
            <w:spacing w:val="-2"/>
          </w:rPr>
          <w:t xml:space="preserve"> </w:t>
        </w:r>
        <w:r w:rsidRPr="00B06F1B">
          <w:rPr>
            <w:rStyle w:val="Hyperlink"/>
            <w:noProof/>
          </w:rPr>
          <w:t>Point</w:t>
        </w:r>
        <w:r w:rsidRPr="00B06F1B">
          <w:rPr>
            <w:rStyle w:val="Hyperlink"/>
            <w:noProof/>
            <w:spacing w:val="-3"/>
          </w:rPr>
          <w:t xml:space="preserve"> </w:t>
        </w:r>
        <w:r w:rsidRPr="00B06F1B">
          <w:rPr>
            <w:rStyle w:val="Hyperlink"/>
            <w:noProof/>
          </w:rPr>
          <w:t>Cartwright</w:t>
        </w:r>
        <w:r w:rsidRPr="00B06F1B">
          <w:rPr>
            <w:rStyle w:val="Hyperlink"/>
            <w:noProof/>
            <w:spacing w:val="-2"/>
          </w:rPr>
          <w:t xml:space="preserve"> </w:t>
        </w:r>
        <w:r w:rsidRPr="00B06F1B">
          <w:rPr>
            <w:rStyle w:val="Hyperlink"/>
            <w:noProof/>
          </w:rPr>
          <w:t xml:space="preserve">(BMT, </w:t>
        </w:r>
        <w:r w:rsidRPr="00B06F1B">
          <w:rPr>
            <w:rStyle w:val="Hyperlink"/>
            <w:noProof/>
            <w:spacing w:val="-2"/>
          </w:rPr>
          <w:t>2024)</w:t>
        </w:r>
        <w:r>
          <w:rPr>
            <w:noProof/>
            <w:webHidden/>
          </w:rPr>
          <w:tab/>
        </w:r>
        <w:r>
          <w:rPr>
            <w:noProof/>
            <w:webHidden/>
          </w:rPr>
          <w:fldChar w:fldCharType="begin"/>
        </w:r>
        <w:r>
          <w:rPr>
            <w:noProof/>
            <w:webHidden/>
          </w:rPr>
          <w:instrText xml:space="preserve"> PAGEREF _Toc216699617 \h </w:instrText>
        </w:r>
        <w:r>
          <w:rPr>
            <w:noProof/>
            <w:webHidden/>
          </w:rPr>
        </w:r>
        <w:r>
          <w:rPr>
            <w:noProof/>
            <w:webHidden/>
          </w:rPr>
          <w:fldChar w:fldCharType="separate"/>
        </w:r>
        <w:r>
          <w:rPr>
            <w:noProof/>
            <w:webHidden/>
          </w:rPr>
          <w:t>79</w:t>
        </w:r>
        <w:r>
          <w:rPr>
            <w:noProof/>
            <w:webHidden/>
          </w:rPr>
          <w:fldChar w:fldCharType="end"/>
        </w:r>
      </w:hyperlink>
    </w:p>
    <w:p w14:paraId="50E8F997" w14:textId="74567640"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18" w:history="1">
        <w:r w:rsidRPr="00B06F1B">
          <w:rPr>
            <w:rStyle w:val="Hyperlink"/>
            <w:noProof/>
          </w:rPr>
          <w:t>Figure 13</w:t>
        </w:r>
        <w:r w:rsidRPr="00B06F1B">
          <w:rPr>
            <w:rStyle w:val="Hyperlink"/>
            <w:noProof/>
          </w:rPr>
          <w:noBreakHyphen/>
          <w:t>3:</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Option</w:t>
        </w:r>
        <w:r w:rsidRPr="00B06F1B">
          <w:rPr>
            <w:rStyle w:val="Hyperlink"/>
            <w:noProof/>
            <w:spacing w:val="-2"/>
          </w:rPr>
          <w:t xml:space="preserve"> </w:t>
        </w:r>
        <w:r w:rsidRPr="00B06F1B">
          <w:rPr>
            <w:rStyle w:val="Hyperlink"/>
            <w:noProof/>
          </w:rPr>
          <w:t>1A</w:t>
        </w:r>
        <w:r w:rsidRPr="00B06F1B">
          <w:rPr>
            <w:rStyle w:val="Hyperlink"/>
            <w:noProof/>
            <w:spacing w:val="-1"/>
          </w:rPr>
          <w:t xml:space="preserve"> </w:t>
        </w:r>
        <w:r w:rsidRPr="00B06F1B">
          <w:rPr>
            <w:rStyle w:val="Hyperlink"/>
            <w:noProof/>
          </w:rPr>
          <w:t>–</w:t>
        </w:r>
        <w:r w:rsidRPr="00B06F1B">
          <w:rPr>
            <w:rStyle w:val="Hyperlink"/>
            <w:noProof/>
            <w:spacing w:val="-2"/>
          </w:rPr>
          <w:t xml:space="preserve"> </w:t>
        </w:r>
        <w:r w:rsidRPr="00B06F1B">
          <w:rPr>
            <w:rStyle w:val="Hyperlink"/>
            <w:noProof/>
          </w:rPr>
          <w:t>Buddina</w:t>
        </w:r>
        <w:r w:rsidRPr="00B06F1B">
          <w:rPr>
            <w:rStyle w:val="Hyperlink"/>
            <w:noProof/>
            <w:spacing w:val="-2"/>
          </w:rPr>
          <w:t xml:space="preserve"> </w:t>
        </w:r>
        <w:r w:rsidRPr="00B06F1B">
          <w:rPr>
            <w:rStyle w:val="Hyperlink"/>
            <w:noProof/>
          </w:rPr>
          <w:t>Sand</w:t>
        </w:r>
        <w:r w:rsidRPr="00B06F1B">
          <w:rPr>
            <w:rStyle w:val="Hyperlink"/>
            <w:noProof/>
            <w:spacing w:val="-2"/>
          </w:rPr>
          <w:t xml:space="preserve"> </w:t>
        </w:r>
        <w:r w:rsidRPr="00B06F1B">
          <w:rPr>
            <w:rStyle w:val="Hyperlink"/>
            <w:noProof/>
          </w:rPr>
          <w:t>Trap</w:t>
        </w:r>
        <w:r w:rsidRPr="00B06F1B">
          <w:rPr>
            <w:rStyle w:val="Hyperlink"/>
            <w:noProof/>
            <w:spacing w:val="-3"/>
          </w:rPr>
          <w:t xml:space="preserve"> </w:t>
        </w:r>
        <w:r w:rsidRPr="00B06F1B">
          <w:rPr>
            <w:rStyle w:val="Hyperlink"/>
            <w:noProof/>
          </w:rPr>
          <w:t>via</w:t>
        </w:r>
        <w:r w:rsidRPr="00B06F1B">
          <w:rPr>
            <w:rStyle w:val="Hyperlink"/>
            <w:noProof/>
            <w:spacing w:val="-2"/>
          </w:rPr>
          <w:t xml:space="preserve"> </w:t>
        </w:r>
        <w:r w:rsidRPr="00B06F1B">
          <w:rPr>
            <w:rStyle w:val="Hyperlink"/>
            <w:noProof/>
          </w:rPr>
          <w:t>a</w:t>
        </w:r>
        <w:r w:rsidRPr="00B06F1B">
          <w:rPr>
            <w:rStyle w:val="Hyperlink"/>
            <w:noProof/>
            <w:spacing w:val="-2"/>
          </w:rPr>
          <w:t xml:space="preserve"> </w:t>
        </w:r>
        <w:r w:rsidRPr="00B06F1B">
          <w:rPr>
            <w:rStyle w:val="Hyperlink"/>
            <w:noProof/>
          </w:rPr>
          <w:t>hopper</w:t>
        </w:r>
        <w:r w:rsidRPr="00B06F1B">
          <w:rPr>
            <w:rStyle w:val="Hyperlink"/>
            <w:noProof/>
            <w:spacing w:val="-2"/>
          </w:rPr>
          <w:t xml:space="preserve"> </w:t>
        </w:r>
        <w:r w:rsidRPr="00B06F1B">
          <w:rPr>
            <w:rStyle w:val="Hyperlink"/>
            <w:noProof/>
          </w:rPr>
          <w:t>dredge</w:t>
        </w:r>
        <w:r w:rsidRPr="00B06F1B">
          <w:rPr>
            <w:rStyle w:val="Hyperlink"/>
            <w:noProof/>
            <w:spacing w:val="-2"/>
          </w:rPr>
          <w:t xml:space="preserve"> </w:t>
        </w:r>
        <w:r w:rsidRPr="00B06F1B">
          <w:rPr>
            <w:rStyle w:val="Hyperlink"/>
            <w:noProof/>
          </w:rPr>
          <w:t>(ICM,</w:t>
        </w:r>
        <w:r w:rsidRPr="00B06F1B">
          <w:rPr>
            <w:rStyle w:val="Hyperlink"/>
            <w:noProof/>
            <w:spacing w:val="-1"/>
          </w:rPr>
          <w:t xml:space="preserve"> </w:t>
        </w:r>
        <w:r w:rsidRPr="00B06F1B">
          <w:rPr>
            <w:rStyle w:val="Hyperlink"/>
            <w:noProof/>
            <w:spacing w:val="-2"/>
          </w:rPr>
          <w:t>2025)</w:t>
        </w:r>
        <w:r>
          <w:rPr>
            <w:noProof/>
            <w:webHidden/>
          </w:rPr>
          <w:tab/>
        </w:r>
        <w:r>
          <w:rPr>
            <w:noProof/>
            <w:webHidden/>
          </w:rPr>
          <w:fldChar w:fldCharType="begin"/>
        </w:r>
        <w:r>
          <w:rPr>
            <w:noProof/>
            <w:webHidden/>
          </w:rPr>
          <w:instrText xml:space="preserve"> PAGEREF _Toc216699618 \h </w:instrText>
        </w:r>
        <w:r>
          <w:rPr>
            <w:noProof/>
            <w:webHidden/>
          </w:rPr>
        </w:r>
        <w:r>
          <w:rPr>
            <w:noProof/>
            <w:webHidden/>
          </w:rPr>
          <w:fldChar w:fldCharType="separate"/>
        </w:r>
        <w:r>
          <w:rPr>
            <w:noProof/>
            <w:webHidden/>
          </w:rPr>
          <w:t>81</w:t>
        </w:r>
        <w:r>
          <w:rPr>
            <w:noProof/>
            <w:webHidden/>
          </w:rPr>
          <w:fldChar w:fldCharType="end"/>
        </w:r>
      </w:hyperlink>
    </w:p>
    <w:p w14:paraId="14BC0234" w14:textId="0095F94F"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19" w:history="1">
        <w:r w:rsidRPr="00B06F1B">
          <w:rPr>
            <w:rStyle w:val="Hyperlink"/>
            <w:noProof/>
          </w:rPr>
          <w:t>Figure 13</w:t>
        </w:r>
        <w:r w:rsidRPr="00B06F1B">
          <w:rPr>
            <w:rStyle w:val="Hyperlink"/>
            <w:noProof/>
          </w:rPr>
          <w:noBreakHyphen/>
          <w:t>4:</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Cross-shore</w:t>
        </w:r>
        <w:r w:rsidRPr="00B06F1B">
          <w:rPr>
            <w:rStyle w:val="Hyperlink"/>
            <w:noProof/>
            <w:spacing w:val="-3"/>
          </w:rPr>
          <w:t xml:space="preserve"> </w:t>
        </w:r>
        <w:r w:rsidRPr="00B06F1B">
          <w:rPr>
            <w:rStyle w:val="Hyperlink"/>
            <w:noProof/>
          </w:rPr>
          <w:t>distribution</w:t>
        </w:r>
        <w:r w:rsidRPr="00B06F1B">
          <w:rPr>
            <w:rStyle w:val="Hyperlink"/>
            <w:noProof/>
            <w:spacing w:val="-3"/>
          </w:rPr>
          <w:t xml:space="preserve"> </w:t>
        </w:r>
        <w:r w:rsidRPr="00B06F1B">
          <w:rPr>
            <w:rStyle w:val="Hyperlink"/>
            <w:noProof/>
          </w:rPr>
          <w:t>of</w:t>
        </w:r>
        <w:r w:rsidRPr="00B06F1B">
          <w:rPr>
            <w:rStyle w:val="Hyperlink"/>
            <w:noProof/>
            <w:spacing w:val="-3"/>
          </w:rPr>
          <w:t xml:space="preserve"> </w:t>
        </w:r>
        <w:r w:rsidRPr="00B06F1B">
          <w:rPr>
            <w:rStyle w:val="Hyperlink"/>
            <w:noProof/>
          </w:rPr>
          <w:t>longshore</w:t>
        </w:r>
        <w:r w:rsidRPr="00B06F1B">
          <w:rPr>
            <w:rStyle w:val="Hyperlink"/>
            <w:noProof/>
            <w:spacing w:val="-3"/>
          </w:rPr>
          <w:t xml:space="preserve"> </w:t>
        </w:r>
        <w:r w:rsidRPr="00B06F1B">
          <w:rPr>
            <w:rStyle w:val="Hyperlink"/>
            <w:noProof/>
          </w:rPr>
          <w:t>transport</w:t>
        </w:r>
        <w:r w:rsidRPr="00B06F1B">
          <w:rPr>
            <w:rStyle w:val="Hyperlink"/>
            <w:noProof/>
            <w:spacing w:val="-2"/>
          </w:rPr>
          <w:t xml:space="preserve"> </w:t>
        </w:r>
        <w:r w:rsidRPr="00B06F1B">
          <w:rPr>
            <w:rStyle w:val="Hyperlink"/>
            <w:noProof/>
          </w:rPr>
          <w:t>at</w:t>
        </w:r>
        <w:r w:rsidRPr="00B06F1B">
          <w:rPr>
            <w:rStyle w:val="Hyperlink"/>
            <w:noProof/>
            <w:spacing w:val="-3"/>
          </w:rPr>
          <w:t xml:space="preserve"> </w:t>
        </w:r>
        <w:r w:rsidRPr="00B06F1B">
          <w:rPr>
            <w:rStyle w:val="Hyperlink"/>
            <w:noProof/>
          </w:rPr>
          <w:t>proposed</w:t>
        </w:r>
        <w:r w:rsidRPr="00B06F1B">
          <w:rPr>
            <w:rStyle w:val="Hyperlink"/>
            <w:noProof/>
            <w:spacing w:val="-2"/>
          </w:rPr>
          <w:t xml:space="preserve"> </w:t>
        </w:r>
        <w:r w:rsidRPr="00B06F1B">
          <w:rPr>
            <w:rStyle w:val="Hyperlink"/>
            <w:noProof/>
          </w:rPr>
          <w:t>north</w:t>
        </w:r>
        <w:r w:rsidRPr="00B06F1B">
          <w:rPr>
            <w:rStyle w:val="Hyperlink"/>
            <w:noProof/>
            <w:spacing w:val="-2"/>
          </w:rPr>
          <w:t xml:space="preserve"> </w:t>
        </w:r>
        <w:r w:rsidRPr="00B06F1B">
          <w:rPr>
            <w:rStyle w:val="Hyperlink"/>
            <w:noProof/>
          </w:rPr>
          <w:t>Buddina</w:t>
        </w:r>
        <w:r w:rsidRPr="00B06F1B">
          <w:rPr>
            <w:rStyle w:val="Hyperlink"/>
            <w:noProof/>
            <w:spacing w:val="-3"/>
          </w:rPr>
          <w:t xml:space="preserve"> </w:t>
        </w:r>
        <w:r w:rsidRPr="00B06F1B">
          <w:rPr>
            <w:rStyle w:val="Hyperlink"/>
            <w:noProof/>
            <w:spacing w:val="-2"/>
          </w:rPr>
          <w:t>extraction</w:t>
        </w:r>
        <w:r>
          <w:rPr>
            <w:noProof/>
            <w:webHidden/>
          </w:rPr>
          <w:tab/>
        </w:r>
        <w:r>
          <w:rPr>
            <w:noProof/>
            <w:webHidden/>
          </w:rPr>
          <w:fldChar w:fldCharType="begin"/>
        </w:r>
        <w:r>
          <w:rPr>
            <w:noProof/>
            <w:webHidden/>
          </w:rPr>
          <w:instrText xml:space="preserve"> PAGEREF _Toc216699619 \h </w:instrText>
        </w:r>
        <w:r>
          <w:rPr>
            <w:noProof/>
            <w:webHidden/>
          </w:rPr>
        </w:r>
        <w:r>
          <w:rPr>
            <w:noProof/>
            <w:webHidden/>
          </w:rPr>
          <w:fldChar w:fldCharType="separate"/>
        </w:r>
        <w:r>
          <w:rPr>
            <w:noProof/>
            <w:webHidden/>
          </w:rPr>
          <w:t>84</w:t>
        </w:r>
        <w:r>
          <w:rPr>
            <w:noProof/>
            <w:webHidden/>
          </w:rPr>
          <w:fldChar w:fldCharType="end"/>
        </w:r>
      </w:hyperlink>
    </w:p>
    <w:p w14:paraId="0BAD5165" w14:textId="0A65F1AD"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20" w:history="1">
        <w:r w:rsidRPr="00B06F1B">
          <w:rPr>
            <w:rStyle w:val="Hyperlink"/>
            <w:noProof/>
          </w:rPr>
          <w:t>Figure 13</w:t>
        </w:r>
        <w:r w:rsidRPr="00B06F1B">
          <w:rPr>
            <w:rStyle w:val="Hyperlink"/>
            <w:noProof/>
          </w:rPr>
          <w:noBreakHyphen/>
          <w:t>5:</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SBEACH</w:t>
        </w:r>
        <w:r w:rsidRPr="00B06F1B">
          <w:rPr>
            <w:rStyle w:val="Hyperlink"/>
            <w:noProof/>
            <w:spacing w:val="-2"/>
          </w:rPr>
          <w:t xml:space="preserve"> </w:t>
        </w:r>
        <w:r w:rsidRPr="00B06F1B">
          <w:rPr>
            <w:rStyle w:val="Hyperlink"/>
            <w:noProof/>
          </w:rPr>
          <w:t>simulated</w:t>
        </w:r>
        <w:r w:rsidRPr="00B06F1B">
          <w:rPr>
            <w:rStyle w:val="Hyperlink"/>
            <w:noProof/>
            <w:spacing w:val="-3"/>
          </w:rPr>
          <w:t xml:space="preserve"> </w:t>
        </w:r>
        <w:r w:rsidRPr="00B06F1B">
          <w:rPr>
            <w:rStyle w:val="Hyperlink"/>
            <w:noProof/>
          </w:rPr>
          <w:t>cross-shore</w:t>
        </w:r>
        <w:r w:rsidRPr="00B06F1B">
          <w:rPr>
            <w:rStyle w:val="Hyperlink"/>
            <w:noProof/>
            <w:spacing w:val="-3"/>
          </w:rPr>
          <w:t xml:space="preserve"> </w:t>
        </w:r>
        <w:r w:rsidRPr="00B06F1B">
          <w:rPr>
            <w:rStyle w:val="Hyperlink"/>
            <w:noProof/>
          </w:rPr>
          <w:t>profile</w:t>
        </w:r>
        <w:r w:rsidRPr="00B06F1B">
          <w:rPr>
            <w:rStyle w:val="Hyperlink"/>
            <w:noProof/>
            <w:spacing w:val="-3"/>
          </w:rPr>
          <w:t xml:space="preserve"> </w:t>
        </w:r>
        <w:r w:rsidRPr="00B06F1B">
          <w:rPr>
            <w:rStyle w:val="Hyperlink"/>
            <w:noProof/>
          </w:rPr>
          <w:t>response</w:t>
        </w:r>
        <w:r w:rsidRPr="00B06F1B">
          <w:rPr>
            <w:rStyle w:val="Hyperlink"/>
            <w:noProof/>
            <w:spacing w:val="-4"/>
          </w:rPr>
          <w:t xml:space="preserve"> </w:t>
        </w:r>
        <w:r w:rsidRPr="00B06F1B">
          <w:rPr>
            <w:rStyle w:val="Hyperlink"/>
            <w:noProof/>
          </w:rPr>
          <w:t>to</w:t>
        </w:r>
        <w:r w:rsidRPr="00B06F1B">
          <w:rPr>
            <w:rStyle w:val="Hyperlink"/>
            <w:noProof/>
            <w:spacing w:val="-2"/>
          </w:rPr>
          <w:t xml:space="preserve"> </w:t>
        </w:r>
        <w:r w:rsidRPr="00B06F1B">
          <w:rPr>
            <w:rStyle w:val="Hyperlink"/>
            <w:noProof/>
          </w:rPr>
          <w:t>Ex-TC</w:t>
        </w:r>
        <w:r w:rsidRPr="00B06F1B">
          <w:rPr>
            <w:rStyle w:val="Hyperlink"/>
            <w:noProof/>
            <w:spacing w:val="-4"/>
          </w:rPr>
          <w:t xml:space="preserve"> </w:t>
        </w:r>
        <w:r w:rsidRPr="00B06F1B">
          <w:rPr>
            <w:rStyle w:val="Hyperlink"/>
            <w:noProof/>
          </w:rPr>
          <w:t>Oswald</w:t>
        </w:r>
        <w:r w:rsidRPr="00B06F1B">
          <w:rPr>
            <w:rStyle w:val="Hyperlink"/>
            <w:noProof/>
            <w:spacing w:val="-2"/>
          </w:rPr>
          <w:t xml:space="preserve"> (BMT,2024)</w:t>
        </w:r>
        <w:r>
          <w:rPr>
            <w:noProof/>
            <w:webHidden/>
          </w:rPr>
          <w:tab/>
        </w:r>
        <w:r>
          <w:rPr>
            <w:noProof/>
            <w:webHidden/>
          </w:rPr>
          <w:fldChar w:fldCharType="begin"/>
        </w:r>
        <w:r>
          <w:rPr>
            <w:noProof/>
            <w:webHidden/>
          </w:rPr>
          <w:instrText xml:space="preserve"> PAGEREF _Toc216699620 \h </w:instrText>
        </w:r>
        <w:r>
          <w:rPr>
            <w:noProof/>
            <w:webHidden/>
          </w:rPr>
        </w:r>
        <w:r>
          <w:rPr>
            <w:noProof/>
            <w:webHidden/>
          </w:rPr>
          <w:fldChar w:fldCharType="separate"/>
        </w:r>
        <w:r>
          <w:rPr>
            <w:noProof/>
            <w:webHidden/>
          </w:rPr>
          <w:t>85</w:t>
        </w:r>
        <w:r>
          <w:rPr>
            <w:noProof/>
            <w:webHidden/>
          </w:rPr>
          <w:fldChar w:fldCharType="end"/>
        </w:r>
      </w:hyperlink>
    </w:p>
    <w:p w14:paraId="131854A1" w14:textId="6E645B92"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21" w:history="1">
        <w:r w:rsidRPr="00B06F1B">
          <w:rPr>
            <w:rStyle w:val="Hyperlink"/>
            <w:noProof/>
          </w:rPr>
          <w:t>Figure 13</w:t>
        </w:r>
        <w:r w:rsidRPr="00B06F1B">
          <w:rPr>
            <w:rStyle w:val="Hyperlink"/>
            <w:noProof/>
          </w:rPr>
          <w:noBreakHyphen/>
          <w:t>6:</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SBEACH</w:t>
        </w:r>
        <w:r w:rsidRPr="00B06F1B">
          <w:rPr>
            <w:rStyle w:val="Hyperlink"/>
            <w:noProof/>
            <w:spacing w:val="-2"/>
          </w:rPr>
          <w:t xml:space="preserve"> </w:t>
        </w:r>
        <w:r w:rsidRPr="00B06F1B">
          <w:rPr>
            <w:rStyle w:val="Hyperlink"/>
            <w:noProof/>
          </w:rPr>
          <w:t>simulated</w:t>
        </w:r>
        <w:r w:rsidRPr="00B06F1B">
          <w:rPr>
            <w:rStyle w:val="Hyperlink"/>
            <w:noProof/>
            <w:spacing w:val="-2"/>
          </w:rPr>
          <w:t xml:space="preserve"> </w:t>
        </w:r>
        <w:r w:rsidRPr="00B06F1B">
          <w:rPr>
            <w:rStyle w:val="Hyperlink"/>
            <w:noProof/>
          </w:rPr>
          <w:t>cross-shore</w:t>
        </w:r>
        <w:r w:rsidRPr="00B06F1B">
          <w:rPr>
            <w:rStyle w:val="Hyperlink"/>
            <w:noProof/>
            <w:spacing w:val="-3"/>
          </w:rPr>
          <w:t xml:space="preserve"> </w:t>
        </w:r>
        <w:r w:rsidRPr="00B06F1B">
          <w:rPr>
            <w:rStyle w:val="Hyperlink"/>
            <w:noProof/>
          </w:rPr>
          <w:t>profile</w:t>
        </w:r>
        <w:r w:rsidRPr="00B06F1B">
          <w:rPr>
            <w:rStyle w:val="Hyperlink"/>
            <w:noProof/>
            <w:spacing w:val="-4"/>
          </w:rPr>
          <w:t xml:space="preserve"> </w:t>
        </w:r>
        <w:r w:rsidRPr="00B06F1B">
          <w:rPr>
            <w:rStyle w:val="Hyperlink"/>
            <w:noProof/>
          </w:rPr>
          <w:t>response</w:t>
        </w:r>
        <w:r w:rsidRPr="00B06F1B">
          <w:rPr>
            <w:rStyle w:val="Hyperlink"/>
            <w:noProof/>
            <w:spacing w:val="-3"/>
          </w:rPr>
          <w:t xml:space="preserve"> </w:t>
        </w:r>
        <w:r w:rsidRPr="00B06F1B">
          <w:rPr>
            <w:rStyle w:val="Hyperlink"/>
            <w:noProof/>
          </w:rPr>
          <w:t>to</w:t>
        </w:r>
        <w:r w:rsidRPr="00B06F1B">
          <w:rPr>
            <w:rStyle w:val="Hyperlink"/>
            <w:noProof/>
            <w:spacing w:val="-2"/>
          </w:rPr>
          <w:t xml:space="preserve"> </w:t>
        </w:r>
        <w:r w:rsidRPr="00B06F1B">
          <w:rPr>
            <w:rStyle w:val="Hyperlink"/>
            <w:noProof/>
          </w:rPr>
          <w:t>the</w:t>
        </w:r>
        <w:r w:rsidRPr="00B06F1B">
          <w:rPr>
            <w:rStyle w:val="Hyperlink"/>
            <w:noProof/>
            <w:spacing w:val="-4"/>
          </w:rPr>
          <w:t xml:space="preserve"> </w:t>
        </w:r>
        <w:r w:rsidRPr="00B06F1B">
          <w:rPr>
            <w:rStyle w:val="Hyperlink"/>
            <w:noProof/>
          </w:rPr>
          <w:t>“design</w:t>
        </w:r>
        <w:r w:rsidRPr="00B06F1B">
          <w:rPr>
            <w:rStyle w:val="Hyperlink"/>
            <w:noProof/>
            <w:spacing w:val="-2"/>
          </w:rPr>
          <w:t xml:space="preserve"> </w:t>
        </w:r>
        <w:r w:rsidRPr="00B06F1B">
          <w:rPr>
            <w:rStyle w:val="Hyperlink"/>
            <w:noProof/>
          </w:rPr>
          <w:t>event”</w:t>
        </w:r>
        <w:r w:rsidRPr="00B06F1B">
          <w:rPr>
            <w:rStyle w:val="Hyperlink"/>
            <w:noProof/>
            <w:spacing w:val="-2"/>
          </w:rPr>
          <w:t xml:space="preserve"> (BMT,2024)</w:t>
        </w:r>
        <w:r>
          <w:rPr>
            <w:noProof/>
            <w:webHidden/>
          </w:rPr>
          <w:tab/>
        </w:r>
        <w:r>
          <w:rPr>
            <w:noProof/>
            <w:webHidden/>
          </w:rPr>
          <w:fldChar w:fldCharType="begin"/>
        </w:r>
        <w:r>
          <w:rPr>
            <w:noProof/>
            <w:webHidden/>
          </w:rPr>
          <w:instrText xml:space="preserve"> PAGEREF _Toc216699621 \h </w:instrText>
        </w:r>
        <w:r>
          <w:rPr>
            <w:noProof/>
            <w:webHidden/>
          </w:rPr>
        </w:r>
        <w:r>
          <w:rPr>
            <w:noProof/>
            <w:webHidden/>
          </w:rPr>
          <w:fldChar w:fldCharType="separate"/>
        </w:r>
        <w:r>
          <w:rPr>
            <w:noProof/>
            <w:webHidden/>
          </w:rPr>
          <w:t>86</w:t>
        </w:r>
        <w:r>
          <w:rPr>
            <w:noProof/>
            <w:webHidden/>
          </w:rPr>
          <w:fldChar w:fldCharType="end"/>
        </w:r>
      </w:hyperlink>
    </w:p>
    <w:p w14:paraId="27735C29" w14:textId="49AE6400"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22" w:history="1">
        <w:r w:rsidRPr="00B06F1B">
          <w:rPr>
            <w:rStyle w:val="Hyperlink"/>
            <w:noProof/>
          </w:rPr>
          <w:t>Figure 13</w:t>
        </w:r>
        <w:r w:rsidRPr="00B06F1B">
          <w:rPr>
            <w:rStyle w:val="Hyperlink"/>
            <w:noProof/>
          </w:rPr>
          <w:noBreakHyphen/>
          <w:t>7:</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Option</w:t>
        </w:r>
        <w:r w:rsidRPr="00B06F1B">
          <w:rPr>
            <w:rStyle w:val="Hyperlink"/>
            <w:noProof/>
            <w:spacing w:val="-2"/>
          </w:rPr>
          <w:t xml:space="preserve"> </w:t>
        </w:r>
        <w:r w:rsidRPr="00B06F1B">
          <w:rPr>
            <w:rStyle w:val="Hyperlink"/>
            <w:noProof/>
          </w:rPr>
          <w:t>1B</w:t>
        </w:r>
        <w:r w:rsidRPr="00B06F1B">
          <w:rPr>
            <w:rStyle w:val="Hyperlink"/>
            <w:noProof/>
            <w:spacing w:val="-1"/>
          </w:rPr>
          <w:t xml:space="preserve"> </w:t>
        </w:r>
        <w:r w:rsidRPr="00B06F1B">
          <w:rPr>
            <w:rStyle w:val="Hyperlink"/>
            <w:noProof/>
          </w:rPr>
          <w:t>–</w:t>
        </w:r>
        <w:r w:rsidRPr="00B06F1B">
          <w:rPr>
            <w:rStyle w:val="Hyperlink"/>
            <w:noProof/>
            <w:spacing w:val="-1"/>
          </w:rPr>
          <w:t xml:space="preserve"> </w:t>
        </w:r>
        <w:r w:rsidRPr="00B06F1B">
          <w:rPr>
            <w:rStyle w:val="Hyperlink"/>
            <w:noProof/>
          </w:rPr>
          <w:t>Buddina</w:t>
        </w:r>
        <w:r w:rsidRPr="00B06F1B">
          <w:rPr>
            <w:rStyle w:val="Hyperlink"/>
            <w:noProof/>
            <w:spacing w:val="-3"/>
          </w:rPr>
          <w:t xml:space="preserve"> </w:t>
        </w:r>
        <w:r w:rsidRPr="00B06F1B">
          <w:rPr>
            <w:rStyle w:val="Hyperlink"/>
            <w:noProof/>
          </w:rPr>
          <w:t>Sand</w:t>
        </w:r>
        <w:r w:rsidRPr="00B06F1B">
          <w:rPr>
            <w:rStyle w:val="Hyperlink"/>
            <w:noProof/>
            <w:spacing w:val="-2"/>
          </w:rPr>
          <w:t xml:space="preserve"> </w:t>
        </w:r>
        <w:r w:rsidRPr="00B06F1B">
          <w:rPr>
            <w:rStyle w:val="Hyperlink"/>
            <w:noProof/>
          </w:rPr>
          <w:t>Trap</w:t>
        </w:r>
        <w:r w:rsidRPr="00B06F1B">
          <w:rPr>
            <w:rStyle w:val="Hyperlink"/>
            <w:noProof/>
            <w:spacing w:val="-3"/>
          </w:rPr>
          <w:t xml:space="preserve"> </w:t>
        </w:r>
        <w:r w:rsidRPr="00B06F1B">
          <w:rPr>
            <w:rStyle w:val="Hyperlink"/>
            <w:noProof/>
          </w:rPr>
          <w:t>with</w:t>
        </w:r>
        <w:r w:rsidRPr="00B06F1B">
          <w:rPr>
            <w:rStyle w:val="Hyperlink"/>
            <w:noProof/>
            <w:spacing w:val="-2"/>
          </w:rPr>
          <w:t xml:space="preserve"> </w:t>
        </w:r>
        <w:r w:rsidRPr="00B06F1B">
          <w:rPr>
            <w:rStyle w:val="Hyperlink"/>
            <w:noProof/>
          </w:rPr>
          <w:t>pump</w:t>
        </w:r>
        <w:r w:rsidRPr="00B06F1B">
          <w:rPr>
            <w:rStyle w:val="Hyperlink"/>
            <w:noProof/>
            <w:spacing w:val="-1"/>
          </w:rPr>
          <w:t xml:space="preserve"> </w:t>
        </w:r>
        <w:r w:rsidRPr="00B06F1B">
          <w:rPr>
            <w:rStyle w:val="Hyperlink"/>
            <w:noProof/>
          </w:rPr>
          <w:t>station</w:t>
        </w:r>
        <w:r w:rsidRPr="00B06F1B">
          <w:rPr>
            <w:rStyle w:val="Hyperlink"/>
            <w:noProof/>
            <w:spacing w:val="-2"/>
          </w:rPr>
          <w:t xml:space="preserve"> </w:t>
        </w:r>
        <w:r w:rsidRPr="00B06F1B">
          <w:rPr>
            <w:rStyle w:val="Hyperlink"/>
            <w:noProof/>
          </w:rPr>
          <w:t>and</w:t>
        </w:r>
        <w:r w:rsidRPr="00B06F1B">
          <w:rPr>
            <w:rStyle w:val="Hyperlink"/>
            <w:noProof/>
            <w:spacing w:val="-1"/>
          </w:rPr>
          <w:t xml:space="preserve"> </w:t>
        </w:r>
        <w:r w:rsidRPr="00B06F1B">
          <w:rPr>
            <w:rStyle w:val="Hyperlink"/>
            <w:noProof/>
          </w:rPr>
          <w:t>permanent</w:t>
        </w:r>
        <w:r w:rsidRPr="00B06F1B">
          <w:rPr>
            <w:rStyle w:val="Hyperlink"/>
            <w:noProof/>
            <w:spacing w:val="-2"/>
          </w:rPr>
          <w:t xml:space="preserve"> </w:t>
        </w:r>
        <w:r w:rsidRPr="00B06F1B">
          <w:rPr>
            <w:rStyle w:val="Hyperlink"/>
            <w:noProof/>
          </w:rPr>
          <w:t>pipe</w:t>
        </w:r>
        <w:r w:rsidRPr="00B06F1B">
          <w:rPr>
            <w:rStyle w:val="Hyperlink"/>
            <w:noProof/>
            <w:spacing w:val="-2"/>
          </w:rPr>
          <w:t xml:space="preserve"> </w:t>
        </w:r>
        <w:r w:rsidRPr="00B06F1B">
          <w:rPr>
            <w:rStyle w:val="Hyperlink"/>
            <w:noProof/>
          </w:rPr>
          <w:t>(ICM,</w:t>
        </w:r>
        <w:r w:rsidRPr="00B06F1B">
          <w:rPr>
            <w:rStyle w:val="Hyperlink"/>
            <w:noProof/>
            <w:spacing w:val="-2"/>
          </w:rPr>
          <w:t xml:space="preserve"> 2025)</w:t>
        </w:r>
        <w:r>
          <w:rPr>
            <w:noProof/>
            <w:webHidden/>
          </w:rPr>
          <w:tab/>
        </w:r>
        <w:r>
          <w:rPr>
            <w:noProof/>
            <w:webHidden/>
          </w:rPr>
          <w:fldChar w:fldCharType="begin"/>
        </w:r>
        <w:r>
          <w:rPr>
            <w:noProof/>
            <w:webHidden/>
          </w:rPr>
          <w:instrText xml:space="preserve"> PAGEREF _Toc216699622 \h </w:instrText>
        </w:r>
        <w:r>
          <w:rPr>
            <w:noProof/>
            <w:webHidden/>
          </w:rPr>
        </w:r>
        <w:r>
          <w:rPr>
            <w:noProof/>
            <w:webHidden/>
          </w:rPr>
          <w:fldChar w:fldCharType="separate"/>
        </w:r>
        <w:r>
          <w:rPr>
            <w:noProof/>
            <w:webHidden/>
          </w:rPr>
          <w:t>94</w:t>
        </w:r>
        <w:r>
          <w:rPr>
            <w:noProof/>
            <w:webHidden/>
          </w:rPr>
          <w:fldChar w:fldCharType="end"/>
        </w:r>
      </w:hyperlink>
    </w:p>
    <w:p w14:paraId="0FA3692A" w14:textId="0D723B69"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23" w:history="1">
        <w:r w:rsidRPr="00B06F1B">
          <w:rPr>
            <w:rStyle w:val="Hyperlink"/>
            <w:noProof/>
          </w:rPr>
          <w:t>Figure 13</w:t>
        </w:r>
        <w:r w:rsidRPr="00B06F1B">
          <w:rPr>
            <w:rStyle w:val="Hyperlink"/>
            <w:noProof/>
          </w:rPr>
          <w:noBreakHyphen/>
          <w:t>8:</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Option</w:t>
        </w:r>
        <w:r w:rsidRPr="00B06F1B">
          <w:rPr>
            <w:rStyle w:val="Hyperlink"/>
            <w:noProof/>
            <w:spacing w:val="-2"/>
          </w:rPr>
          <w:t xml:space="preserve"> </w:t>
        </w:r>
        <w:r w:rsidRPr="00B06F1B">
          <w:rPr>
            <w:rStyle w:val="Hyperlink"/>
            <w:noProof/>
          </w:rPr>
          <w:t>1B</w:t>
        </w:r>
        <w:r w:rsidRPr="00B06F1B">
          <w:rPr>
            <w:rStyle w:val="Hyperlink"/>
            <w:noProof/>
            <w:spacing w:val="-1"/>
          </w:rPr>
          <w:t xml:space="preserve"> </w:t>
        </w:r>
        <w:r w:rsidRPr="00B06F1B">
          <w:rPr>
            <w:rStyle w:val="Hyperlink"/>
            <w:noProof/>
          </w:rPr>
          <w:t>–</w:t>
        </w:r>
        <w:r w:rsidRPr="00B06F1B">
          <w:rPr>
            <w:rStyle w:val="Hyperlink"/>
            <w:noProof/>
            <w:spacing w:val="-1"/>
          </w:rPr>
          <w:t xml:space="preserve"> </w:t>
        </w:r>
        <w:r w:rsidRPr="00B06F1B">
          <w:rPr>
            <w:rStyle w:val="Hyperlink"/>
            <w:noProof/>
          </w:rPr>
          <w:t>Buddina</w:t>
        </w:r>
        <w:r w:rsidRPr="00B06F1B">
          <w:rPr>
            <w:rStyle w:val="Hyperlink"/>
            <w:noProof/>
            <w:spacing w:val="-3"/>
          </w:rPr>
          <w:t xml:space="preserve"> </w:t>
        </w:r>
        <w:r w:rsidRPr="00B06F1B">
          <w:rPr>
            <w:rStyle w:val="Hyperlink"/>
            <w:noProof/>
          </w:rPr>
          <w:t>Sand</w:t>
        </w:r>
        <w:r w:rsidRPr="00B06F1B">
          <w:rPr>
            <w:rStyle w:val="Hyperlink"/>
            <w:noProof/>
            <w:spacing w:val="-2"/>
          </w:rPr>
          <w:t xml:space="preserve"> </w:t>
        </w:r>
        <w:r w:rsidRPr="00B06F1B">
          <w:rPr>
            <w:rStyle w:val="Hyperlink"/>
            <w:noProof/>
          </w:rPr>
          <w:t>Trap</w:t>
        </w:r>
        <w:r w:rsidRPr="00B06F1B">
          <w:rPr>
            <w:rStyle w:val="Hyperlink"/>
            <w:noProof/>
            <w:spacing w:val="-3"/>
          </w:rPr>
          <w:t xml:space="preserve"> </w:t>
        </w:r>
        <w:r w:rsidRPr="00B06F1B">
          <w:rPr>
            <w:rStyle w:val="Hyperlink"/>
            <w:noProof/>
          </w:rPr>
          <w:t>with</w:t>
        </w:r>
        <w:r w:rsidRPr="00B06F1B">
          <w:rPr>
            <w:rStyle w:val="Hyperlink"/>
            <w:noProof/>
            <w:spacing w:val="-2"/>
          </w:rPr>
          <w:t xml:space="preserve"> </w:t>
        </w:r>
        <w:r w:rsidRPr="00B06F1B">
          <w:rPr>
            <w:rStyle w:val="Hyperlink"/>
            <w:noProof/>
          </w:rPr>
          <w:t>pump</w:t>
        </w:r>
        <w:r w:rsidRPr="00B06F1B">
          <w:rPr>
            <w:rStyle w:val="Hyperlink"/>
            <w:noProof/>
            <w:spacing w:val="-1"/>
          </w:rPr>
          <w:t xml:space="preserve"> </w:t>
        </w:r>
        <w:r w:rsidRPr="00B06F1B">
          <w:rPr>
            <w:rStyle w:val="Hyperlink"/>
            <w:noProof/>
          </w:rPr>
          <w:t>station</w:t>
        </w:r>
        <w:r w:rsidRPr="00B06F1B">
          <w:rPr>
            <w:rStyle w:val="Hyperlink"/>
            <w:noProof/>
            <w:spacing w:val="-2"/>
          </w:rPr>
          <w:t xml:space="preserve"> </w:t>
        </w:r>
        <w:r w:rsidRPr="00B06F1B">
          <w:rPr>
            <w:rStyle w:val="Hyperlink"/>
            <w:noProof/>
          </w:rPr>
          <w:t>and</w:t>
        </w:r>
        <w:r w:rsidRPr="00B06F1B">
          <w:rPr>
            <w:rStyle w:val="Hyperlink"/>
            <w:noProof/>
            <w:spacing w:val="-1"/>
          </w:rPr>
          <w:t xml:space="preserve"> </w:t>
        </w:r>
        <w:r w:rsidRPr="00B06F1B">
          <w:rPr>
            <w:rStyle w:val="Hyperlink"/>
            <w:noProof/>
          </w:rPr>
          <w:t>permanent</w:t>
        </w:r>
        <w:r w:rsidRPr="00B06F1B">
          <w:rPr>
            <w:rStyle w:val="Hyperlink"/>
            <w:noProof/>
            <w:spacing w:val="-2"/>
          </w:rPr>
          <w:t xml:space="preserve"> </w:t>
        </w:r>
        <w:r w:rsidRPr="00B06F1B">
          <w:rPr>
            <w:rStyle w:val="Hyperlink"/>
            <w:noProof/>
          </w:rPr>
          <w:t>pipe</w:t>
        </w:r>
        <w:r w:rsidRPr="00B06F1B">
          <w:rPr>
            <w:rStyle w:val="Hyperlink"/>
            <w:noProof/>
            <w:spacing w:val="-2"/>
          </w:rPr>
          <w:t xml:space="preserve"> </w:t>
        </w:r>
        <w:r w:rsidRPr="00B06F1B">
          <w:rPr>
            <w:rStyle w:val="Hyperlink"/>
            <w:noProof/>
          </w:rPr>
          <w:t>(ICM,</w:t>
        </w:r>
        <w:r w:rsidRPr="00B06F1B">
          <w:rPr>
            <w:rStyle w:val="Hyperlink"/>
            <w:noProof/>
            <w:spacing w:val="-2"/>
          </w:rPr>
          <w:t xml:space="preserve"> 2025)</w:t>
        </w:r>
        <w:r>
          <w:rPr>
            <w:noProof/>
            <w:webHidden/>
          </w:rPr>
          <w:tab/>
        </w:r>
        <w:r>
          <w:rPr>
            <w:noProof/>
            <w:webHidden/>
          </w:rPr>
          <w:fldChar w:fldCharType="begin"/>
        </w:r>
        <w:r>
          <w:rPr>
            <w:noProof/>
            <w:webHidden/>
          </w:rPr>
          <w:instrText xml:space="preserve"> PAGEREF _Toc216699623 \h </w:instrText>
        </w:r>
        <w:r>
          <w:rPr>
            <w:noProof/>
            <w:webHidden/>
          </w:rPr>
        </w:r>
        <w:r>
          <w:rPr>
            <w:noProof/>
            <w:webHidden/>
          </w:rPr>
          <w:fldChar w:fldCharType="separate"/>
        </w:r>
        <w:r>
          <w:rPr>
            <w:noProof/>
            <w:webHidden/>
          </w:rPr>
          <w:t>95</w:t>
        </w:r>
        <w:r>
          <w:rPr>
            <w:noProof/>
            <w:webHidden/>
          </w:rPr>
          <w:fldChar w:fldCharType="end"/>
        </w:r>
      </w:hyperlink>
    </w:p>
    <w:p w14:paraId="0B0622B0" w14:textId="156BF45C"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24" w:history="1">
        <w:r w:rsidRPr="00B06F1B">
          <w:rPr>
            <w:rStyle w:val="Hyperlink"/>
            <w:noProof/>
          </w:rPr>
          <w:t>Figure 14</w:t>
        </w:r>
        <w:r w:rsidRPr="00B06F1B">
          <w:rPr>
            <w:rStyle w:val="Hyperlink"/>
            <w:noProof/>
          </w:rPr>
          <w:noBreakHyphen/>
          <w:t>1:</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Option</w:t>
        </w:r>
        <w:r w:rsidRPr="00B06F1B">
          <w:rPr>
            <w:rStyle w:val="Hyperlink"/>
            <w:noProof/>
            <w:spacing w:val="-1"/>
          </w:rPr>
          <w:t xml:space="preserve"> </w:t>
        </w:r>
        <w:r w:rsidRPr="00B06F1B">
          <w:rPr>
            <w:rStyle w:val="Hyperlink"/>
            <w:noProof/>
          </w:rPr>
          <w:t>2</w:t>
        </w:r>
        <w:r w:rsidRPr="00B06F1B">
          <w:rPr>
            <w:rStyle w:val="Hyperlink"/>
            <w:noProof/>
            <w:spacing w:val="-1"/>
          </w:rPr>
          <w:t xml:space="preserve"> </w:t>
        </w:r>
        <w:r w:rsidRPr="00B06F1B">
          <w:rPr>
            <w:rStyle w:val="Hyperlink"/>
            <w:noProof/>
            <w:spacing w:val="-2"/>
          </w:rPr>
          <w:t>summary</w:t>
        </w:r>
        <w:r>
          <w:rPr>
            <w:noProof/>
            <w:webHidden/>
          </w:rPr>
          <w:tab/>
        </w:r>
        <w:r>
          <w:rPr>
            <w:noProof/>
            <w:webHidden/>
          </w:rPr>
          <w:fldChar w:fldCharType="begin"/>
        </w:r>
        <w:r>
          <w:rPr>
            <w:noProof/>
            <w:webHidden/>
          </w:rPr>
          <w:instrText xml:space="preserve"> PAGEREF _Toc216699624 \h </w:instrText>
        </w:r>
        <w:r>
          <w:rPr>
            <w:noProof/>
            <w:webHidden/>
          </w:rPr>
        </w:r>
        <w:r>
          <w:rPr>
            <w:noProof/>
            <w:webHidden/>
          </w:rPr>
          <w:fldChar w:fldCharType="separate"/>
        </w:r>
        <w:r>
          <w:rPr>
            <w:noProof/>
            <w:webHidden/>
          </w:rPr>
          <w:t>112</w:t>
        </w:r>
        <w:r>
          <w:rPr>
            <w:noProof/>
            <w:webHidden/>
          </w:rPr>
          <w:fldChar w:fldCharType="end"/>
        </w:r>
      </w:hyperlink>
    </w:p>
    <w:p w14:paraId="056D76C8" w14:textId="756D0E95"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25" w:history="1">
        <w:r w:rsidRPr="00B06F1B">
          <w:rPr>
            <w:rStyle w:val="Hyperlink"/>
            <w:noProof/>
          </w:rPr>
          <w:t>Figure 14</w:t>
        </w:r>
        <w:r w:rsidRPr="00B06F1B">
          <w:rPr>
            <w:rStyle w:val="Hyperlink"/>
            <w:noProof/>
          </w:rPr>
          <w:noBreakHyphen/>
          <w:t>2:</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Example</w:t>
        </w:r>
        <w:r w:rsidRPr="00B06F1B">
          <w:rPr>
            <w:rStyle w:val="Hyperlink"/>
            <w:noProof/>
            <w:spacing w:val="-3"/>
          </w:rPr>
          <w:t xml:space="preserve"> </w:t>
        </w:r>
        <w:r w:rsidRPr="00B06F1B">
          <w:rPr>
            <w:rStyle w:val="Hyperlink"/>
            <w:noProof/>
          </w:rPr>
          <w:t>of</w:t>
        </w:r>
        <w:r w:rsidRPr="00B06F1B">
          <w:rPr>
            <w:rStyle w:val="Hyperlink"/>
            <w:noProof/>
            <w:spacing w:val="-2"/>
          </w:rPr>
          <w:t xml:space="preserve"> </w:t>
        </w:r>
        <w:r w:rsidRPr="00B06F1B">
          <w:rPr>
            <w:rStyle w:val="Hyperlink"/>
            <w:noProof/>
          </w:rPr>
          <w:t>backhoe</w:t>
        </w:r>
        <w:r w:rsidRPr="00B06F1B">
          <w:rPr>
            <w:rStyle w:val="Hyperlink"/>
            <w:noProof/>
            <w:spacing w:val="-3"/>
          </w:rPr>
          <w:t xml:space="preserve"> </w:t>
        </w:r>
        <w:r w:rsidRPr="00B06F1B">
          <w:rPr>
            <w:rStyle w:val="Hyperlink"/>
            <w:noProof/>
          </w:rPr>
          <w:t>dredge</w:t>
        </w:r>
        <w:r w:rsidRPr="00B06F1B">
          <w:rPr>
            <w:rStyle w:val="Hyperlink"/>
            <w:noProof/>
            <w:spacing w:val="-3"/>
          </w:rPr>
          <w:t xml:space="preserve"> </w:t>
        </w:r>
        <w:r w:rsidRPr="00B06F1B">
          <w:rPr>
            <w:rStyle w:val="Hyperlink"/>
            <w:noProof/>
          </w:rPr>
          <w:t>capable</w:t>
        </w:r>
        <w:r w:rsidRPr="00B06F1B">
          <w:rPr>
            <w:rStyle w:val="Hyperlink"/>
            <w:noProof/>
            <w:spacing w:val="-3"/>
          </w:rPr>
          <w:t xml:space="preserve"> </w:t>
        </w:r>
        <w:r w:rsidRPr="00B06F1B">
          <w:rPr>
            <w:rStyle w:val="Hyperlink"/>
            <w:noProof/>
          </w:rPr>
          <w:t>of</w:t>
        </w:r>
        <w:r w:rsidRPr="00B06F1B">
          <w:rPr>
            <w:rStyle w:val="Hyperlink"/>
            <w:noProof/>
            <w:spacing w:val="-2"/>
          </w:rPr>
          <w:t xml:space="preserve"> </w:t>
        </w:r>
        <w:r w:rsidRPr="00B06F1B">
          <w:rPr>
            <w:rStyle w:val="Hyperlink"/>
            <w:noProof/>
          </w:rPr>
          <w:t>deepening</w:t>
        </w:r>
        <w:r w:rsidRPr="00B06F1B">
          <w:rPr>
            <w:rStyle w:val="Hyperlink"/>
            <w:noProof/>
            <w:spacing w:val="-2"/>
          </w:rPr>
          <w:t xml:space="preserve"> </w:t>
        </w:r>
        <w:r w:rsidRPr="00B06F1B">
          <w:rPr>
            <w:rStyle w:val="Hyperlink"/>
            <w:noProof/>
          </w:rPr>
          <w:t>entrance</w:t>
        </w:r>
        <w:r w:rsidRPr="00B06F1B">
          <w:rPr>
            <w:rStyle w:val="Hyperlink"/>
            <w:noProof/>
            <w:spacing w:val="-3"/>
          </w:rPr>
          <w:t xml:space="preserve"> </w:t>
        </w:r>
        <w:r w:rsidRPr="00B06F1B">
          <w:rPr>
            <w:rStyle w:val="Hyperlink"/>
            <w:noProof/>
          </w:rPr>
          <w:t>rock</w:t>
        </w:r>
        <w:r w:rsidRPr="00B06F1B">
          <w:rPr>
            <w:rStyle w:val="Hyperlink"/>
            <w:noProof/>
            <w:spacing w:val="-3"/>
          </w:rPr>
          <w:t xml:space="preserve"> </w:t>
        </w:r>
        <w:r w:rsidRPr="00B06F1B">
          <w:rPr>
            <w:rStyle w:val="Hyperlink"/>
            <w:noProof/>
          </w:rPr>
          <w:t>–</w:t>
        </w:r>
        <w:r w:rsidRPr="00B06F1B">
          <w:rPr>
            <w:rStyle w:val="Hyperlink"/>
            <w:noProof/>
            <w:spacing w:val="-2"/>
          </w:rPr>
          <w:t xml:space="preserve"> </w:t>
        </w:r>
        <w:r w:rsidRPr="00B06F1B">
          <w:rPr>
            <w:rStyle w:val="Hyperlink"/>
            <w:noProof/>
          </w:rPr>
          <w:t>Hall</w:t>
        </w:r>
        <w:r w:rsidRPr="00B06F1B">
          <w:rPr>
            <w:rStyle w:val="Hyperlink"/>
            <w:noProof/>
            <w:spacing w:val="-2"/>
          </w:rPr>
          <w:t xml:space="preserve"> </w:t>
        </w:r>
        <w:r w:rsidRPr="00B06F1B">
          <w:rPr>
            <w:rStyle w:val="Hyperlink"/>
            <w:noProof/>
          </w:rPr>
          <w:t>‘Woomera’</w:t>
        </w:r>
        <w:r w:rsidRPr="00B06F1B">
          <w:rPr>
            <w:rStyle w:val="Hyperlink"/>
            <w:noProof/>
            <w:spacing w:val="-2"/>
          </w:rPr>
          <w:t xml:space="preserve"> </w:t>
        </w:r>
        <w:r w:rsidRPr="00B06F1B">
          <w:rPr>
            <w:rStyle w:val="Hyperlink"/>
            <w:noProof/>
          </w:rPr>
          <w:t>Backhoe</w:t>
        </w:r>
        <w:r w:rsidRPr="00B06F1B">
          <w:rPr>
            <w:rStyle w:val="Hyperlink"/>
            <w:noProof/>
            <w:spacing w:val="-3"/>
          </w:rPr>
          <w:t xml:space="preserve"> </w:t>
        </w:r>
        <w:r w:rsidRPr="00B06F1B">
          <w:rPr>
            <w:rStyle w:val="Hyperlink"/>
            <w:noProof/>
          </w:rPr>
          <w:t>Dredge (Hall, 2025)</w:t>
        </w:r>
        <w:r>
          <w:rPr>
            <w:noProof/>
            <w:webHidden/>
          </w:rPr>
          <w:tab/>
        </w:r>
        <w:r>
          <w:rPr>
            <w:noProof/>
            <w:webHidden/>
          </w:rPr>
          <w:fldChar w:fldCharType="begin"/>
        </w:r>
        <w:r>
          <w:rPr>
            <w:noProof/>
            <w:webHidden/>
          </w:rPr>
          <w:instrText xml:space="preserve"> PAGEREF _Toc216699625 \h </w:instrText>
        </w:r>
        <w:r>
          <w:rPr>
            <w:noProof/>
            <w:webHidden/>
          </w:rPr>
        </w:r>
        <w:r>
          <w:rPr>
            <w:noProof/>
            <w:webHidden/>
          </w:rPr>
          <w:fldChar w:fldCharType="separate"/>
        </w:r>
        <w:r>
          <w:rPr>
            <w:noProof/>
            <w:webHidden/>
          </w:rPr>
          <w:t>113</w:t>
        </w:r>
        <w:r>
          <w:rPr>
            <w:noProof/>
            <w:webHidden/>
          </w:rPr>
          <w:fldChar w:fldCharType="end"/>
        </w:r>
      </w:hyperlink>
    </w:p>
    <w:p w14:paraId="53729D03" w14:textId="5C8E19F0"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26" w:history="1">
        <w:r w:rsidRPr="00B06F1B">
          <w:rPr>
            <w:rStyle w:val="Hyperlink"/>
            <w:noProof/>
          </w:rPr>
          <w:t>Figure 14</w:t>
        </w:r>
        <w:r w:rsidRPr="00B06F1B">
          <w:rPr>
            <w:rStyle w:val="Hyperlink"/>
            <w:noProof/>
          </w:rPr>
          <w:noBreakHyphen/>
          <w:t>3:</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Option</w:t>
        </w:r>
        <w:r w:rsidRPr="00B06F1B">
          <w:rPr>
            <w:rStyle w:val="Hyperlink"/>
            <w:noProof/>
            <w:spacing w:val="-2"/>
          </w:rPr>
          <w:t xml:space="preserve"> </w:t>
        </w:r>
        <w:r w:rsidRPr="00B06F1B">
          <w:rPr>
            <w:rStyle w:val="Hyperlink"/>
            <w:noProof/>
          </w:rPr>
          <w:t>2A</w:t>
        </w:r>
        <w:r w:rsidRPr="00B06F1B">
          <w:rPr>
            <w:rStyle w:val="Hyperlink"/>
            <w:noProof/>
            <w:spacing w:val="-2"/>
          </w:rPr>
          <w:t xml:space="preserve"> </w:t>
        </w:r>
        <w:r w:rsidRPr="00B06F1B">
          <w:rPr>
            <w:rStyle w:val="Hyperlink"/>
            <w:noProof/>
          </w:rPr>
          <w:t>schematic</w:t>
        </w:r>
        <w:r w:rsidRPr="00B06F1B">
          <w:rPr>
            <w:rStyle w:val="Hyperlink"/>
            <w:noProof/>
            <w:spacing w:val="-2"/>
          </w:rPr>
          <w:t xml:space="preserve"> layout</w:t>
        </w:r>
        <w:r>
          <w:rPr>
            <w:noProof/>
            <w:webHidden/>
          </w:rPr>
          <w:tab/>
        </w:r>
        <w:r>
          <w:rPr>
            <w:noProof/>
            <w:webHidden/>
          </w:rPr>
          <w:fldChar w:fldCharType="begin"/>
        </w:r>
        <w:r>
          <w:rPr>
            <w:noProof/>
            <w:webHidden/>
          </w:rPr>
          <w:instrText xml:space="preserve"> PAGEREF _Toc216699626 \h </w:instrText>
        </w:r>
        <w:r>
          <w:rPr>
            <w:noProof/>
            <w:webHidden/>
          </w:rPr>
        </w:r>
        <w:r>
          <w:rPr>
            <w:noProof/>
            <w:webHidden/>
          </w:rPr>
          <w:fldChar w:fldCharType="separate"/>
        </w:r>
        <w:r>
          <w:rPr>
            <w:noProof/>
            <w:webHidden/>
          </w:rPr>
          <w:t>115</w:t>
        </w:r>
        <w:r>
          <w:rPr>
            <w:noProof/>
            <w:webHidden/>
          </w:rPr>
          <w:fldChar w:fldCharType="end"/>
        </w:r>
      </w:hyperlink>
    </w:p>
    <w:p w14:paraId="6EFE6B6E" w14:textId="754C726B"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27" w:history="1">
        <w:r w:rsidRPr="00B06F1B">
          <w:rPr>
            <w:rStyle w:val="Hyperlink"/>
            <w:noProof/>
          </w:rPr>
          <w:t>Figure 14</w:t>
        </w:r>
        <w:r w:rsidRPr="00B06F1B">
          <w:rPr>
            <w:rStyle w:val="Hyperlink"/>
            <w:noProof/>
          </w:rPr>
          <w:noBreakHyphen/>
          <w:t>4:</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Option</w:t>
        </w:r>
        <w:r w:rsidRPr="00B06F1B">
          <w:rPr>
            <w:rStyle w:val="Hyperlink"/>
            <w:noProof/>
            <w:spacing w:val="-2"/>
          </w:rPr>
          <w:t xml:space="preserve"> </w:t>
        </w:r>
        <w:r w:rsidRPr="00B06F1B">
          <w:rPr>
            <w:rStyle w:val="Hyperlink"/>
            <w:noProof/>
          </w:rPr>
          <w:t>2B</w:t>
        </w:r>
        <w:r w:rsidRPr="00B06F1B">
          <w:rPr>
            <w:rStyle w:val="Hyperlink"/>
            <w:noProof/>
            <w:spacing w:val="-2"/>
          </w:rPr>
          <w:t xml:space="preserve"> </w:t>
        </w:r>
        <w:r w:rsidRPr="00B06F1B">
          <w:rPr>
            <w:rStyle w:val="Hyperlink"/>
            <w:noProof/>
          </w:rPr>
          <w:t>Schematic</w:t>
        </w:r>
        <w:r w:rsidRPr="00B06F1B">
          <w:rPr>
            <w:rStyle w:val="Hyperlink"/>
            <w:noProof/>
            <w:spacing w:val="-2"/>
          </w:rPr>
          <w:t xml:space="preserve"> </w:t>
        </w:r>
        <w:r w:rsidRPr="00B06F1B">
          <w:rPr>
            <w:rStyle w:val="Hyperlink"/>
            <w:noProof/>
            <w:spacing w:val="-4"/>
          </w:rPr>
          <w:t>Plan</w:t>
        </w:r>
        <w:r>
          <w:rPr>
            <w:noProof/>
            <w:webHidden/>
          </w:rPr>
          <w:tab/>
        </w:r>
        <w:r>
          <w:rPr>
            <w:noProof/>
            <w:webHidden/>
          </w:rPr>
          <w:fldChar w:fldCharType="begin"/>
        </w:r>
        <w:r>
          <w:rPr>
            <w:noProof/>
            <w:webHidden/>
          </w:rPr>
          <w:instrText xml:space="preserve"> PAGEREF _Toc216699627 \h </w:instrText>
        </w:r>
        <w:r>
          <w:rPr>
            <w:noProof/>
            <w:webHidden/>
          </w:rPr>
        </w:r>
        <w:r>
          <w:rPr>
            <w:noProof/>
            <w:webHidden/>
          </w:rPr>
          <w:fldChar w:fldCharType="separate"/>
        </w:r>
        <w:r>
          <w:rPr>
            <w:noProof/>
            <w:webHidden/>
          </w:rPr>
          <w:t>127</w:t>
        </w:r>
        <w:r>
          <w:rPr>
            <w:noProof/>
            <w:webHidden/>
          </w:rPr>
          <w:fldChar w:fldCharType="end"/>
        </w:r>
      </w:hyperlink>
    </w:p>
    <w:p w14:paraId="316C5804" w14:textId="5BF62814"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28" w:history="1">
        <w:r w:rsidRPr="00B06F1B">
          <w:rPr>
            <w:rStyle w:val="Hyperlink"/>
            <w:noProof/>
          </w:rPr>
          <w:t>Figure 14</w:t>
        </w:r>
        <w:r w:rsidRPr="00B06F1B">
          <w:rPr>
            <w:rStyle w:val="Hyperlink"/>
            <w:noProof/>
          </w:rPr>
          <w:noBreakHyphen/>
          <w:t>5:</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Option</w:t>
        </w:r>
        <w:r w:rsidRPr="00B06F1B">
          <w:rPr>
            <w:rStyle w:val="Hyperlink"/>
            <w:noProof/>
            <w:spacing w:val="-2"/>
          </w:rPr>
          <w:t xml:space="preserve"> </w:t>
        </w:r>
        <w:r w:rsidRPr="00B06F1B">
          <w:rPr>
            <w:rStyle w:val="Hyperlink"/>
            <w:noProof/>
          </w:rPr>
          <w:t>2C</w:t>
        </w:r>
        <w:r w:rsidRPr="00B06F1B">
          <w:rPr>
            <w:rStyle w:val="Hyperlink"/>
            <w:noProof/>
            <w:spacing w:val="-2"/>
          </w:rPr>
          <w:t xml:space="preserve"> </w:t>
        </w:r>
        <w:r w:rsidRPr="00B06F1B">
          <w:rPr>
            <w:rStyle w:val="Hyperlink"/>
            <w:noProof/>
          </w:rPr>
          <w:t>schematic</w:t>
        </w:r>
        <w:r w:rsidRPr="00B06F1B">
          <w:rPr>
            <w:rStyle w:val="Hyperlink"/>
            <w:noProof/>
            <w:spacing w:val="-2"/>
          </w:rPr>
          <w:t xml:space="preserve"> layout</w:t>
        </w:r>
        <w:r>
          <w:rPr>
            <w:noProof/>
            <w:webHidden/>
          </w:rPr>
          <w:tab/>
        </w:r>
        <w:r>
          <w:rPr>
            <w:noProof/>
            <w:webHidden/>
          </w:rPr>
          <w:fldChar w:fldCharType="begin"/>
        </w:r>
        <w:r>
          <w:rPr>
            <w:noProof/>
            <w:webHidden/>
          </w:rPr>
          <w:instrText xml:space="preserve"> PAGEREF _Toc216699628 \h </w:instrText>
        </w:r>
        <w:r>
          <w:rPr>
            <w:noProof/>
            <w:webHidden/>
          </w:rPr>
        </w:r>
        <w:r>
          <w:rPr>
            <w:noProof/>
            <w:webHidden/>
          </w:rPr>
          <w:fldChar w:fldCharType="separate"/>
        </w:r>
        <w:r>
          <w:rPr>
            <w:noProof/>
            <w:webHidden/>
          </w:rPr>
          <w:t>139</w:t>
        </w:r>
        <w:r>
          <w:rPr>
            <w:noProof/>
            <w:webHidden/>
          </w:rPr>
          <w:fldChar w:fldCharType="end"/>
        </w:r>
      </w:hyperlink>
    </w:p>
    <w:p w14:paraId="24797170" w14:textId="131AEBDF"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29" w:history="1">
        <w:r w:rsidRPr="00B06F1B">
          <w:rPr>
            <w:rStyle w:val="Hyperlink"/>
            <w:noProof/>
          </w:rPr>
          <w:t>Figure 15</w:t>
        </w:r>
        <w:r w:rsidRPr="00B06F1B">
          <w:rPr>
            <w:rStyle w:val="Hyperlink"/>
            <w:noProof/>
          </w:rPr>
          <w:noBreakHyphen/>
          <w:t>1:</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Option</w:t>
        </w:r>
        <w:r w:rsidRPr="00B06F1B">
          <w:rPr>
            <w:rStyle w:val="Hyperlink"/>
            <w:noProof/>
            <w:spacing w:val="-1"/>
          </w:rPr>
          <w:t xml:space="preserve"> </w:t>
        </w:r>
        <w:r w:rsidRPr="00B06F1B">
          <w:rPr>
            <w:rStyle w:val="Hyperlink"/>
            <w:noProof/>
          </w:rPr>
          <w:t>3</w:t>
        </w:r>
        <w:r w:rsidRPr="00B06F1B">
          <w:rPr>
            <w:rStyle w:val="Hyperlink"/>
            <w:noProof/>
            <w:spacing w:val="-1"/>
          </w:rPr>
          <w:t xml:space="preserve"> </w:t>
        </w:r>
        <w:r w:rsidRPr="00B06F1B">
          <w:rPr>
            <w:rStyle w:val="Hyperlink"/>
            <w:noProof/>
            <w:spacing w:val="-2"/>
          </w:rPr>
          <w:t>schematics</w:t>
        </w:r>
        <w:r>
          <w:rPr>
            <w:noProof/>
            <w:webHidden/>
          </w:rPr>
          <w:tab/>
        </w:r>
        <w:r>
          <w:rPr>
            <w:noProof/>
            <w:webHidden/>
          </w:rPr>
          <w:fldChar w:fldCharType="begin"/>
        </w:r>
        <w:r>
          <w:rPr>
            <w:noProof/>
            <w:webHidden/>
          </w:rPr>
          <w:instrText xml:space="preserve"> PAGEREF _Toc216699629 \h </w:instrText>
        </w:r>
        <w:r>
          <w:rPr>
            <w:noProof/>
            <w:webHidden/>
          </w:rPr>
        </w:r>
        <w:r>
          <w:rPr>
            <w:noProof/>
            <w:webHidden/>
          </w:rPr>
          <w:fldChar w:fldCharType="separate"/>
        </w:r>
        <w:r>
          <w:rPr>
            <w:noProof/>
            <w:webHidden/>
          </w:rPr>
          <w:t>162</w:t>
        </w:r>
        <w:r>
          <w:rPr>
            <w:noProof/>
            <w:webHidden/>
          </w:rPr>
          <w:fldChar w:fldCharType="end"/>
        </w:r>
      </w:hyperlink>
    </w:p>
    <w:p w14:paraId="6201A350" w14:textId="0718A00B"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30" w:history="1">
        <w:r w:rsidRPr="00B06F1B">
          <w:rPr>
            <w:rStyle w:val="Hyperlink"/>
            <w:noProof/>
          </w:rPr>
          <w:t>Figure 16</w:t>
        </w:r>
        <w:r w:rsidRPr="00B06F1B">
          <w:rPr>
            <w:rStyle w:val="Hyperlink"/>
            <w:noProof/>
          </w:rPr>
          <w:noBreakHyphen/>
          <w:t>1:</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Option</w:t>
        </w:r>
        <w:r w:rsidRPr="00B06F1B">
          <w:rPr>
            <w:rStyle w:val="Hyperlink"/>
            <w:noProof/>
            <w:spacing w:val="-2"/>
          </w:rPr>
          <w:t xml:space="preserve"> </w:t>
        </w:r>
        <w:r w:rsidRPr="00B06F1B">
          <w:rPr>
            <w:rStyle w:val="Hyperlink"/>
            <w:noProof/>
          </w:rPr>
          <w:t>4</w:t>
        </w:r>
        <w:r w:rsidRPr="00B06F1B">
          <w:rPr>
            <w:rStyle w:val="Hyperlink"/>
            <w:noProof/>
            <w:spacing w:val="-2"/>
          </w:rPr>
          <w:t xml:space="preserve"> </w:t>
        </w:r>
        <w:r w:rsidRPr="00B06F1B">
          <w:rPr>
            <w:rStyle w:val="Hyperlink"/>
            <w:noProof/>
          </w:rPr>
          <w:t>–</w:t>
        </w:r>
        <w:r w:rsidRPr="00B06F1B">
          <w:rPr>
            <w:rStyle w:val="Hyperlink"/>
            <w:noProof/>
            <w:spacing w:val="-3"/>
          </w:rPr>
          <w:t xml:space="preserve"> </w:t>
        </w:r>
        <w:r w:rsidRPr="00B06F1B">
          <w:rPr>
            <w:rStyle w:val="Hyperlink"/>
            <w:noProof/>
          </w:rPr>
          <w:t>Permanent</w:t>
        </w:r>
        <w:r w:rsidRPr="00B06F1B">
          <w:rPr>
            <w:rStyle w:val="Hyperlink"/>
            <w:noProof/>
            <w:spacing w:val="-2"/>
          </w:rPr>
          <w:t xml:space="preserve"> </w:t>
        </w:r>
        <w:r w:rsidRPr="00B06F1B">
          <w:rPr>
            <w:rStyle w:val="Hyperlink"/>
            <w:noProof/>
          </w:rPr>
          <w:t>Automated</w:t>
        </w:r>
        <w:r w:rsidRPr="00B06F1B">
          <w:rPr>
            <w:rStyle w:val="Hyperlink"/>
            <w:noProof/>
            <w:spacing w:val="-2"/>
          </w:rPr>
          <w:t xml:space="preserve"> </w:t>
        </w:r>
        <w:r w:rsidRPr="00B06F1B">
          <w:rPr>
            <w:rStyle w:val="Hyperlink"/>
            <w:noProof/>
          </w:rPr>
          <w:t>Sand</w:t>
        </w:r>
        <w:r w:rsidRPr="00B06F1B">
          <w:rPr>
            <w:rStyle w:val="Hyperlink"/>
            <w:noProof/>
            <w:spacing w:val="-2"/>
          </w:rPr>
          <w:t xml:space="preserve"> </w:t>
        </w:r>
        <w:r w:rsidRPr="00B06F1B">
          <w:rPr>
            <w:rStyle w:val="Hyperlink"/>
            <w:noProof/>
          </w:rPr>
          <w:t>Bypassing</w:t>
        </w:r>
        <w:r w:rsidRPr="00B06F1B">
          <w:rPr>
            <w:rStyle w:val="Hyperlink"/>
            <w:noProof/>
            <w:spacing w:val="-2"/>
          </w:rPr>
          <w:t xml:space="preserve"> </w:t>
        </w:r>
        <w:r w:rsidRPr="00B06F1B">
          <w:rPr>
            <w:rStyle w:val="Hyperlink"/>
            <w:noProof/>
          </w:rPr>
          <w:t>System</w:t>
        </w:r>
        <w:r w:rsidRPr="00B06F1B">
          <w:rPr>
            <w:rStyle w:val="Hyperlink"/>
            <w:noProof/>
            <w:spacing w:val="-3"/>
          </w:rPr>
          <w:t xml:space="preserve"> </w:t>
        </w:r>
        <w:r w:rsidRPr="00B06F1B">
          <w:rPr>
            <w:rStyle w:val="Hyperlink"/>
            <w:noProof/>
          </w:rPr>
          <w:t>at</w:t>
        </w:r>
        <w:r w:rsidRPr="00B06F1B">
          <w:rPr>
            <w:rStyle w:val="Hyperlink"/>
            <w:noProof/>
            <w:spacing w:val="-2"/>
          </w:rPr>
          <w:t xml:space="preserve"> </w:t>
        </w:r>
        <w:r w:rsidRPr="00B06F1B">
          <w:rPr>
            <w:rStyle w:val="Hyperlink"/>
            <w:noProof/>
          </w:rPr>
          <w:t>Headland</w:t>
        </w:r>
        <w:r w:rsidRPr="00B06F1B">
          <w:rPr>
            <w:rStyle w:val="Hyperlink"/>
            <w:noProof/>
            <w:spacing w:val="-2"/>
          </w:rPr>
          <w:t xml:space="preserve"> </w:t>
        </w:r>
        <w:r w:rsidRPr="00B06F1B">
          <w:rPr>
            <w:rStyle w:val="Hyperlink"/>
            <w:noProof/>
          </w:rPr>
          <w:t>Sand</w:t>
        </w:r>
        <w:r w:rsidRPr="00B06F1B">
          <w:rPr>
            <w:rStyle w:val="Hyperlink"/>
            <w:noProof/>
            <w:spacing w:val="-3"/>
          </w:rPr>
          <w:t xml:space="preserve"> </w:t>
        </w:r>
        <w:r w:rsidRPr="00B06F1B">
          <w:rPr>
            <w:rStyle w:val="Hyperlink"/>
            <w:noProof/>
          </w:rPr>
          <w:t>Trap</w:t>
        </w:r>
        <w:r w:rsidRPr="00B06F1B">
          <w:rPr>
            <w:rStyle w:val="Hyperlink"/>
            <w:noProof/>
            <w:spacing w:val="-3"/>
          </w:rPr>
          <w:t xml:space="preserve"> </w:t>
        </w:r>
        <w:r w:rsidRPr="00B06F1B">
          <w:rPr>
            <w:rStyle w:val="Hyperlink"/>
            <w:noProof/>
          </w:rPr>
          <w:t>Conceptual</w:t>
        </w:r>
        <w:r w:rsidRPr="00B06F1B">
          <w:rPr>
            <w:rStyle w:val="Hyperlink"/>
            <w:noProof/>
            <w:spacing w:val="-2"/>
          </w:rPr>
          <w:t xml:space="preserve"> </w:t>
        </w:r>
        <w:r w:rsidRPr="00B06F1B">
          <w:rPr>
            <w:rStyle w:val="Hyperlink"/>
            <w:noProof/>
          </w:rPr>
          <w:t>Plan View (ICM, 2025)</w:t>
        </w:r>
        <w:r>
          <w:rPr>
            <w:noProof/>
            <w:webHidden/>
          </w:rPr>
          <w:tab/>
        </w:r>
        <w:r>
          <w:rPr>
            <w:noProof/>
            <w:webHidden/>
          </w:rPr>
          <w:fldChar w:fldCharType="begin"/>
        </w:r>
        <w:r>
          <w:rPr>
            <w:noProof/>
            <w:webHidden/>
          </w:rPr>
          <w:instrText xml:space="preserve"> PAGEREF _Toc216699630 \h </w:instrText>
        </w:r>
        <w:r>
          <w:rPr>
            <w:noProof/>
            <w:webHidden/>
          </w:rPr>
        </w:r>
        <w:r>
          <w:rPr>
            <w:noProof/>
            <w:webHidden/>
          </w:rPr>
          <w:fldChar w:fldCharType="separate"/>
        </w:r>
        <w:r>
          <w:rPr>
            <w:noProof/>
            <w:webHidden/>
          </w:rPr>
          <w:t>209</w:t>
        </w:r>
        <w:r>
          <w:rPr>
            <w:noProof/>
            <w:webHidden/>
          </w:rPr>
          <w:fldChar w:fldCharType="end"/>
        </w:r>
      </w:hyperlink>
    </w:p>
    <w:p w14:paraId="73E314CB" w14:textId="327F376E"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31" w:history="1">
        <w:r w:rsidRPr="00B06F1B">
          <w:rPr>
            <w:rStyle w:val="Hyperlink"/>
            <w:noProof/>
          </w:rPr>
          <w:t>Figure 16</w:t>
        </w:r>
        <w:r w:rsidRPr="00B06F1B">
          <w:rPr>
            <w:rStyle w:val="Hyperlink"/>
            <w:noProof/>
          </w:rPr>
          <w:noBreakHyphen/>
          <w:t>2: Option</w:t>
        </w:r>
        <w:r w:rsidRPr="00B06F1B">
          <w:rPr>
            <w:rStyle w:val="Hyperlink"/>
            <w:noProof/>
            <w:spacing w:val="-2"/>
          </w:rPr>
          <w:t xml:space="preserve"> </w:t>
        </w:r>
        <w:r w:rsidRPr="00B06F1B">
          <w:rPr>
            <w:rStyle w:val="Hyperlink"/>
            <w:noProof/>
          </w:rPr>
          <w:t>4</w:t>
        </w:r>
        <w:r w:rsidRPr="00B06F1B">
          <w:rPr>
            <w:rStyle w:val="Hyperlink"/>
            <w:noProof/>
            <w:spacing w:val="-3"/>
          </w:rPr>
          <w:t xml:space="preserve"> </w:t>
        </w:r>
        <w:r w:rsidRPr="00B06F1B">
          <w:rPr>
            <w:rStyle w:val="Hyperlink"/>
            <w:noProof/>
          </w:rPr>
          <w:t>–</w:t>
        </w:r>
        <w:r w:rsidRPr="00B06F1B">
          <w:rPr>
            <w:rStyle w:val="Hyperlink"/>
            <w:noProof/>
            <w:spacing w:val="-2"/>
          </w:rPr>
          <w:t xml:space="preserve"> </w:t>
        </w:r>
        <w:r w:rsidRPr="00B06F1B">
          <w:rPr>
            <w:rStyle w:val="Hyperlink"/>
            <w:noProof/>
          </w:rPr>
          <w:t>Permanent</w:t>
        </w:r>
        <w:r w:rsidRPr="00B06F1B">
          <w:rPr>
            <w:rStyle w:val="Hyperlink"/>
            <w:noProof/>
            <w:spacing w:val="-2"/>
          </w:rPr>
          <w:t xml:space="preserve"> </w:t>
        </w:r>
        <w:r w:rsidRPr="00B06F1B">
          <w:rPr>
            <w:rStyle w:val="Hyperlink"/>
            <w:noProof/>
          </w:rPr>
          <w:t>Automated</w:t>
        </w:r>
        <w:r w:rsidRPr="00B06F1B">
          <w:rPr>
            <w:rStyle w:val="Hyperlink"/>
            <w:noProof/>
            <w:spacing w:val="-2"/>
          </w:rPr>
          <w:t xml:space="preserve"> </w:t>
        </w:r>
        <w:r w:rsidRPr="00B06F1B">
          <w:rPr>
            <w:rStyle w:val="Hyperlink"/>
            <w:noProof/>
          </w:rPr>
          <w:t>Sand</w:t>
        </w:r>
        <w:r w:rsidRPr="00B06F1B">
          <w:rPr>
            <w:rStyle w:val="Hyperlink"/>
            <w:noProof/>
            <w:spacing w:val="-2"/>
          </w:rPr>
          <w:t xml:space="preserve"> </w:t>
        </w:r>
        <w:r w:rsidRPr="00B06F1B">
          <w:rPr>
            <w:rStyle w:val="Hyperlink"/>
            <w:noProof/>
          </w:rPr>
          <w:t>Bypassing</w:t>
        </w:r>
        <w:r w:rsidRPr="00B06F1B">
          <w:rPr>
            <w:rStyle w:val="Hyperlink"/>
            <w:noProof/>
            <w:spacing w:val="-2"/>
          </w:rPr>
          <w:t xml:space="preserve"> </w:t>
        </w:r>
        <w:r w:rsidRPr="00B06F1B">
          <w:rPr>
            <w:rStyle w:val="Hyperlink"/>
            <w:noProof/>
          </w:rPr>
          <w:t>System</w:t>
        </w:r>
        <w:r w:rsidRPr="00B06F1B">
          <w:rPr>
            <w:rStyle w:val="Hyperlink"/>
            <w:noProof/>
            <w:spacing w:val="-3"/>
          </w:rPr>
          <w:t xml:space="preserve"> </w:t>
        </w:r>
        <w:r w:rsidRPr="00B06F1B">
          <w:rPr>
            <w:rStyle w:val="Hyperlink"/>
            <w:noProof/>
          </w:rPr>
          <w:t>at</w:t>
        </w:r>
        <w:r w:rsidRPr="00B06F1B">
          <w:rPr>
            <w:rStyle w:val="Hyperlink"/>
            <w:noProof/>
            <w:spacing w:val="-2"/>
          </w:rPr>
          <w:t xml:space="preserve"> </w:t>
        </w:r>
        <w:r w:rsidRPr="00B06F1B">
          <w:rPr>
            <w:rStyle w:val="Hyperlink"/>
            <w:noProof/>
          </w:rPr>
          <w:t>Headland</w:t>
        </w:r>
        <w:r w:rsidRPr="00B06F1B">
          <w:rPr>
            <w:rStyle w:val="Hyperlink"/>
            <w:noProof/>
            <w:spacing w:val="-2"/>
          </w:rPr>
          <w:t xml:space="preserve"> </w:t>
        </w:r>
        <w:r w:rsidRPr="00B06F1B">
          <w:rPr>
            <w:rStyle w:val="Hyperlink"/>
            <w:noProof/>
          </w:rPr>
          <w:t>Sand</w:t>
        </w:r>
        <w:r w:rsidRPr="00B06F1B">
          <w:rPr>
            <w:rStyle w:val="Hyperlink"/>
            <w:noProof/>
            <w:spacing w:val="-3"/>
          </w:rPr>
          <w:t xml:space="preserve"> </w:t>
        </w:r>
        <w:r w:rsidRPr="00B06F1B">
          <w:rPr>
            <w:rStyle w:val="Hyperlink"/>
            <w:noProof/>
          </w:rPr>
          <w:t>Trap</w:t>
        </w:r>
        <w:r w:rsidRPr="00B06F1B">
          <w:rPr>
            <w:rStyle w:val="Hyperlink"/>
            <w:noProof/>
            <w:spacing w:val="-3"/>
          </w:rPr>
          <w:t xml:space="preserve"> </w:t>
        </w:r>
        <w:r w:rsidRPr="00B06F1B">
          <w:rPr>
            <w:rStyle w:val="Hyperlink"/>
            <w:noProof/>
          </w:rPr>
          <w:t>Conceptual</w:t>
        </w:r>
        <w:r w:rsidRPr="00B06F1B">
          <w:rPr>
            <w:rStyle w:val="Hyperlink"/>
            <w:noProof/>
            <w:spacing w:val="-2"/>
          </w:rPr>
          <w:t xml:space="preserve"> </w:t>
        </w:r>
        <w:r w:rsidRPr="00B06F1B">
          <w:rPr>
            <w:rStyle w:val="Hyperlink"/>
            <w:noProof/>
          </w:rPr>
          <w:t>Plan View (ICM, 2025)</w:t>
        </w:r>
        <w:r>
          <w:rPr>
            <w:noProof/>
            <w:webHidden/>
          </w:rPr>
          <w:tab/>
        </w:r>
        <w:r>
          <w:rPr>
            <w:noProof/>
            <w:webHidden/>
          </w:rPr>
          <w:fldChar w:fldCharType="begin"/>
        </w:r>
        <w:r>
          <w:rPr>
            <w:noProof/>
            <w:webHidden/>
          </w:rPr>
          <w:instrText xml:space="preserve"> PAGEREF _Toc216699631 \h </w:instrText>
        </w:r>
        <w:r>
          <w:rPr>
            <w:noProof/>
            <w:webHidden/>
          </w:rPr>
        </w:r>
        <w:r>
          <w:rPr>
            <w:noProof/>
            <w:webHidden/>
          </w:rPr>
          <w:fldChar w:fldCharType="separate"/>
        </w:r>
        <w:r>
          <w:rPr>
            <w:noProof/>
            <w:webHidden/>
          </w:rPr>
          <w:t>211</w:t>
        </w:r>
        <w:r>
          <w:rPr>
            <w:noProof/>
            <w:webHidden/>
          </w:rPr>
          <w:fldChar w:fldCharType="end"/>
        </w:r>
      </w:hyperlink>
    </w:p>
    <w:p w14:paraId="69A19CB1" w14:textId="6836CDEE" w:rsidR="00B91EB8" w:rsidRDefault="00B91EB8">
      <w:pPr>
        <w:pStyle w:val="TableofFigures"/>
        <w:rPr>
          <w:rFonts w:asciiTheme="minorHAnsi" w:eastAsiaTheme="minorEastAsia" w:hAnsiTheme="minorHAnsi" w:cstheme="minorBidi"/>
          <w:noProof/>
          <w:color w:val="auto"/>
          <w:kern w:val="2"/>
          <w:sz w:val="24"/>
          <w:szCs w:val="24"/>
          <w:lang w:eastAsia="en-AU"/>
          <w14:ligatures w14:val="standardContextual"/>
        </w:rPr>
      </w:pPr>
      <w:hyperlink w:anchor="_Toc216699632" w:history="1">
        <w:r w:rsidRPr="00B06F1B">
          <w:rPr>
            <w:rStyle w:val="Hyperlink"/>
            <w:noProof/>
          </w:rPr>
          <w:t>Figure 17</w:t>
        </w:r>
        <w:r w:rsidRPr="00B06F1B">
          <w:rPr>
            <w:rStyle w:val="Hyperlink"/>
            <w:noProof/>
          </w:rPr>
          <w:noBreakHyphen/>
          <w:t>1:</w:t>
        </w:r>
        <w:r>
          <w:rPr>
            <w:rFonts w:asciiTheme="minorHAnsi" w:eastAsiaTheme="minorEastAsia" w:hAnsiTheme="minorHAnsi" w:cstheme="minorBidi"/>
            <w:noProof/>
            <w:color w:val="auto"/>
            <w:kern w:val="2"/>
            <w:sz w:val="24"/>
            <w:szCs w:val="24"/>
            <w:lang w:eastAsia="en-AU"/>
            <w14:ligatures w14:val="standardContextual"/>
          </w:rPr>
          <w:tab/>
        </w:r>
        <w:r w:rsidRPr="00B06F1B">
          <w:rPr>
            <w:rStyle w:val="Hyperlink"/>
            <w:noProof/>
          </w:rPr>
          <w:t>Option 5</w:t>
        </w:r>
        <w:r w:rsidRPr="00B06F1B">
          <w:rPr>
            <w:rStyle w:val="Hyperlink"/>
            <w:noProof/>
            <w:spacing w:val="-3"/>
          </w:rPr>
          <w:t xml:space="preserve"> </w:t>
        </w:r>
        <w:r w:rsidRPr="00B06F1B">
          <w:rPr>
            <w:rStyle w:val="Hyperlink"/>
            <w:noProof/>
          </w:rPr>
          <w:t>–</w:t>
        </w:r>
        <w:r w:rsidRPr="00B06F1B">
          <w:rPr>
            <w:rStyle w:val="Hyperlink"/>
            <w:noProof/>
            <w:spacing w:val="-3"/>
          </w:rPr>
          <w:t xml:space="preserve"> </w:t>
        </w:r>
        <w:r w:rsidRPr="00B06F1B">
          <w:rPr>
            <w:rStyle w:val="Hyperlink"/>
            <w:noProof/>
          </w:rPr>
          <w:t>Shorten</w:t>
        </w:r>
        <w:r w:rsidRPr="00B06F1B">
          <w:rPr>
            <w:rStyle w:val="Hyperlink"/>
            <w:noProof/>
            <w:spacing w:val="-2"/>
          </w:rPr>
          <w:t xml:space="preserve"> </w:t>
        </w:r>
        <w:r w:rsidRPr="00B06F1B">
          <w:rPr>
            <w:rStyle w:val="Hyperlink"/>
            <w:noProof/>
          </w:rPr>
          <w:t>Western</w:t>
        </w:r>
        <w:r w:rsidRPr="00B06F1B">
          <w:rPr>
            <w:rStyle w:val="Hyperlink"/>
            <w:noProof/>
            <w:spacing w:val="-2"/>
          </w:rPr>
          <w:t xml:space="preserve"> </w:t>
        </w:r>
        <w:r w:rsidRPr="00B06F1B">
          <w:rPr>
            <w:rStyle w:val="Hyperlink"/>
            <w:noProof/>
          </w:rPr>
          <w:t>Entrance</w:t>
        </w:r>
        <w:r w:rsidRPr="00B06F1B">
          <w:rPr>
            <w:rStyle w:val="Hyperlink"/>
            <w:noProof/>
            <w:spacing w:val="-3"/>
          </w:rPr>
          <w:t xml:space="preserve"> </w:t>
        </w:r>
        <w:r w:rsidRPr="00B06F1B">
          <w:rPr>
            <w:rStyle w:val="Hyperlink"/>
            <w:noProof/>
          </w:rPr>
          <w:t>wall</w:t>
        </w:r>
        <w:r w:rsidRPr="00B06F1B">
          <w:rPr>
            <w:rStyle w:val="Hyperlink"/>
            <w:noProof/>
            <w:spacing w:val="-2"/>
          </w:rPr>
          <w:t xml:space="preserve"> </w:t>
        </w:r>
        <w:r w:rsidRPr="00B06F1B">
          <w:rPr>
            <w:rStyle w:val="Hyperlink"/>
            <w:noProof/>
          </w:rPr>
          <w:t>and</w:t>
        </w:r>
        <w:r w:rsidRPr="00B06F1B">
          <w:rPr>
            <w:rStyle w:val="Hyperlink"/>
            <w:noProof/>
            <w:spacing w:val="-2"/>
          </w:rPr>
          <w:t xml:space="preserve"> </w:t>
        </w:r>
        <w:r w:rsidRPr="00B06F1B">
          <w:rPr>
            <w:rStyle w:val="Hyperlink"/>
            <w:noProof/>
          </w:rPr>
          <w:t>Western</w:t>
        </w:r>
        <w:r w:rsidRPr="00B06F1B">
          <w:rPr>
            <w:rStyle w:val="Hyperlink"/>
            <w:noProof/>
            <w:spacing w:val="-1"/>
          </w:rPr>
          <w:t xml:space="preserve"> </w:t>
        </w:r>
        <w:r w:rsidRPr="00B06F1B">
          <w:rPr>
            <w:rStyle w:val="Hyperlink"/>
            <w:noProof/>
            <w:spacing w:val="-2"/>
          </w:rPr>
          <w:t>Channel</w:t>
        </w:r>
        <w:r>
          <w:rPr>
            <w:noProof/>
            <w:webHidden/>
          </w:rPr>
          <w:tab/>
        </w:r>
        <w:r>
          <w:rPr>
            <w:noProof/>
            <w:webHidden/>
          </w:rPr>
          <w:fldChar w:fldCharType="begin"/>
        </w:r>
        <w:r>
          <w:rPr>
            <w:noProof/>
            <w:webHidden/>
          </w:rPr>
          <w:instrText xml:space="preserve"> PAGEREF _Toc216699632 \h </w:instrText>
        </w:r>
        <w:r>
          <w:rPr>
            <w:noProof/>
            <w:webHidden/>
          </w:rPr>
        </w:r>
        <w:r>
          <w:rPr>
            <w:noProof/>
            <w:webHidden/>
          </w:rPr>
          <w:fldChar w:fldCharType="separate"/>
        </w:r>
        <w:r>
          <w:rPr>
            <w:noProof/>
            <w:webHidden/>
          </w:rPr>
          <w:t>227</w:t>
        </w:r>
        <w:r>
          <w:rPr>
            <w:noProof/>
            <w:webHidden/>
          </w:rPr>
          <w:fldChar w:fldCharType="end"/>
        </w:r>
      </w:hyperlink>
    </w:p>
    <w:p w14:paraId="4C794B77" w14:textId="78051055" w:rsidR="005E2CC3" w:rsidRDefault="00B96E7E" w:rsidP="005E2CC3">
      <w:pPr>
        <w:pStyle w:val="TOCHeading2"/>
      </w:pPr>
      <w:r w:rsidRPr="00D4309F">
        <w:fldChar w:fldCharType="end"/>
      </w:r>
      <w:r w:rsidR="005E2CC3" w:rsidRPr="005E2CC3">
        <w:t xml:space="preserve"> </w:t>
      </w:r>
      <w:sdt>
        <w:sdtPr>
          <w:alias w:val="{{Translate(&quot;Appendices&quot;)}}"/>
          <w:tag w:val="{&quot;templafy&quot;:{&quot;id&quot;:&quot;edac6ddb-13aa-4f03-abf2-59192c3db83d&quot;}}"/>
          <w:id w:val="481124349"/>
          <w:placeholder>
            <w:docPart w:val="76E0167BC09047709AD21596704CE276"/>
          </w:placeholder>
        </w:sdtPr>
        <w:sdtEndPr/>
        <w:sdtContent>
          <w:r w:rsidR="005E2CC3">
            <w:t>Appendices</w:t>
          </w:r>
        </w:sdtContent>
      </w:sdt>
    </w:p>
    <w:p w14:paraId="239B126C" w14:textId="2480068E" w:rsidR="00B91EB8" w:rsidRDefault="005E2CC3">
      <w:pPr>
        <w:pStyle w:val="TOC8"/>
        <w:rPr>
          <w:rFonts w:asciiTheme="minorHAnsi" w:eastAsiaTheme="minorEastAsia" w:hAnsiTheme="minorHAnsi" w:cstheme="minorBidi"/>
          <w:noProof/>
          <w:color w:val="auto"/>
          <w:kern w:val="2"/>
          <w:sz w:val="24"/>
          <w:szCs w:val="24"/>
          <w:lang w:eastAsia="en-AU"/>
          <w14:ligatures w14:val="standardContextual"/>
        </w:rPr>
      </w:pPr>
      <w:r>
        <w:rPr>
          <w:color w:val="auto"/>
        </w:rPr>
        <w:fldChar w:fldCharType="begin"/>
      </w:r>
      <w:r>
        <w:rPr>
          <w:color w:val="auto"/>
        </w:rPr>
        <w:instrText xml:space="preserve"> TOC \h \z \t "Heading 9,8,Appendix - Heading 1,2,Appendix - Heading 2,3" </w:instrText>
      </w:r>
      <w:r>
        <w:rPr>
          <w:color w:val="auto"/>
        </w:rPr>
        <w:fldChar w:fldCharType="separate"/>
      </w:r>
      <w:hyperlink w:anchor="_Toc216699633" w:history="1">
        <w:r w:rsidR="00B91EB8" w:rsidRPr="00BB1997">
          <w:rPr>
            <w:rStyle w:val="Hyperlink"/>
            <w:noProof/>
          </w:rPr>
          <w:t>Appendix A EPBC Act Protected Matters Search Tool, WildNet search results and ATLAS of Living Australia search results</w:t>
        </w:r>
        <w:r w:rsidR="00B91EB8">
          <w:rPr>
            <w:noProof/>
            <w:webHidden/>
          </w:rPr>
          <w:tab/>
        </w:r>
        <w:r w:rsidR="00B91EB8">
          <w:rPr>
            <w:noProof/>
            <w:webHidden/>
          </w:rPr>
          <w:fldChar w:fldCharType="begin"/>
        </w:r>
        <w:r w:rsidR="00B91EB8">
          <w:rPr>
            <w:noProof/>
            <w:webHidden/>
          </w:rPr>
          <w:instrText xml:space="preserve"> PAGEREF _Toc216699633 \h </w:instrText>
        </w:r>
        <w:r w:rsidR="00B91EB8">
          <w:rPr>
            <w:noProof/>
            <w:webHidden/>
          </w:rPr>
        </w:r>
        <w:r w:rsidR="00B91EB8">
          <w:rPr>
            <w:noProof/>
            <w:webHidden/>
          </w:rPr>
          <w:fldChar w:fldCharType="separate"/>
        </w:r>
        <w:r w:rsidR="00B91EB8">
          <w:rPr>
            <w:noProof/>
            <w:webHidden/>
          </w:rPr>
          <w:t>263</w:t>
        </w:r>
        <w:r w:rsidR="00B91EB8">
          <w:rPr>
            <w:noProof/>
            <w:webHidden/>
          </w:rPr>
          <w:fldChar w:fldCharType="end"/>
        </w:r>
      </w:hyperlink>
    </w:p>
    <w:p w14:paraId="0F1E7A47" w14:textId="2CFD2A0C" w:rsidR="00B91EB8" w:rsidRDefault="00B91EB8">
      <w:pPr>
        <w:pStyle w:val="TOC8"/>
        <w:rPr>
          <w:rFonts w:asciiTheme="minorHAnsi" w:eastAsiaTheme="minorEastAsia" w:hAnsiTheme="minorHAnsi" w:cstheme="minorBidi"/>
          <w:noProof/>
          <w:color w:val="auto"/>
          <w:kern w:val="2"/>
          <w:sz w:val="24"/>
          <w:szCs w:val="24"/>
          <w:lang w:eastAsia="en-AU"/>
          <w14:ligatures w14:val="standardContextual"/>
        </w:rPr>
      </w:pPr>
      <w:hyperlink w:anchor="_Toc216699634" w:history="1">
        <w:r w:rsidRPr="00BB1997">
          <w:rPr>
            <w:rStyle w:val="Hyperlink"/>
            <w:noProof/>
          </w:rPr>
          <w:t>Appendix B Social Impact Evaluation</w:t>
        </w:r>
        <w:r>
          <w:rPr>
            <w:noProof/>
            <w:webHidden/>
          </w:rPr>
          <w:tab/>
        </w:r>
        <w:r>
          <w:rPr>
            <w:noProof/>
            <w:webHidden/>
          </w:rPr>
          <w:fldChar w:fldCharType="begin"/>
        </w:r>
        <w:r>
          <w:rPr>
            <w:noProof/>
            <w:webHidden/>
          </w:rPr>
          <w:instrText xml:space="preserve"> PAGEREF _Toc216699634 \h </w:instrText>
        </w:r>
        <w:r>
          <w:rPr>
            <w:noProof/>
            <w:webHidden/>
          </w:rPr>
        </w:r>
        <w:r>
          <w:rPr>
            <w:noProof/>
            <w:webHidden/>
          </w:rPr>
          <w:fldChar w:fldCharType="separate"/>
        </w:r>
        <w:r>
          <w:rPr>
            <w:noProof/>
            <w:webHidden/>
          </w:rPr>
          <w:t>264</w:t>
        </w:r>
        <w:r>
          <w:rPr>
            <w:noProof/>
            <w:webHidden/>
          </w:rPr>
          <w:fldChar w:fldCharType="end"/>
        </w:r>
      </w:hyperlink>
    </w:p>
    <w:p w14:paraId="1F45B363" w14:textId="2D5CB7FE" w:rsidR="00B91EB8" w:rsidRDefault="00B91EB8">
      <w:pPr>
        <w:pStyle w:val="TOC8"/>
        <w:rPr>
          <w:rFonts w:asciiTheme="minorHAnsi" w:eastAsiaTheme="minorEastAsia" w:hAnsiTheme="minorHAnsi" w:cstheme="minorBidi"/>
          <w:noProof/>
          <w:color w:val="auto"/>
          <w:kern w:val="2"/>
          <w:sz w:val="24"/>
          <w:szCs w:val="24"/>
          <w:lang w:eastAsia="en-AU"/>
          <w14:ligatures w14:val="standardContextual"/>
        </w:rPr>
      </w:pPr>
      <w:hyperlink w:anchor="_Toc216699635" w:history="1">
        <w:r w:rsidRPr="00BB1997">
          <w:rPr>
            <w:rStyle w:val="Hyperlink"/>
            <w:noProof/>
          </w:rPr>
          <w:t>Appendix C Other relevant project examples</w:t>
        </w:r>
        <w:r>
          <w:rPr>
            <w:noProof/>
            <w:webHidden/>
          </w:rPr>
          <w:tab/>
        </w:r>
        <w:r>
          <w:rPr>
            <w:noProof/>
            <w:webHidden/>
          </w:rPr>
          <w:fldChar w:fldCharType="begin"/>
        </w:r>
        <w:r>
          <w:rPr>
            <w:noProof/>
            <w:webHidden/>
          </w:rPr>
          <w:instrText xml:space="preserve"> PAGEREF _Toc216699635 \h </w:instrText>
        </w:r>
        <w:r>
          <w:rPr>
            <w:noProof/>
            <w:webHidden/>
          </w:rPr>
        </w:r>
        <w:r>
          <w:rPr>
            <w:noProof/>
            <w:webHidden/>
          </w:rPr>
          <w:fldChar w:fldCharType="separate"/>
        </w:r>
        <w:r>
          <w:rPr>
            <w:noProof/>
            <w:webHidden/>
          </w:rPr>
          <w:t>265</w:t>
        </w:r>
        <w:r>
          <w:rPr>
            <w:noProof/>
            <w:webHidden/>
          </w:rPr>
          <w:fldChar w:fldCharType="end"/>
        </w:r>
      </w:hyperlink>
    </w:p>
    <w:p w14:paraId="6450EF31" w14:textId="4FFF9C47" w:rsidR="005E2CC3" w:rsidRDefault="005E2CC3" w:rsidP="005E2CC3">
      <w:pPr>
        <w:pStyle w:val="TOC8"/>
        <w:rPr>
          <w:color w:val="auto"/>
        </w:rPr>
      </w:pPr>
      <w:r>
        <w:rPr>
          <w:color w:val="auto"/>
        </w:rPr>
        <w:fldChar w:fldCharType="end"/>
      </w:r>
    </w:p>
    <w:p w14:paraId="0FF51846" w14:textId="77777777" w:rsidR="005E2CC3" w:rsidRPr="00096927" w:rsidRDefault="005E2CC3" w:rsidP="005E2CC3">
      <w:pPr>
        <w:pStyle w:val="BodyText"/>
      </w:pPr>
    </w:p>
    <w:p w14:paraId="653485F4" w14:textId="48B0F75E" w:rsidR="00E77207" w:rsidRPr="00140A0A" w:rsidRDefault="00E77207" w:rsidP="001C225C">
      <w:pPr>
        <w:pStyle w:val="BIM"/>
        <w:framePr w:wrap="auto"/>
      </w:pPr>
    </w:p>
    <w:p w14:paraId="2520AC3A" w14:textId="77777777" w:rsidR="00E77207" w:rsidRPr="00F81CCA" w:rsidRDefault="00E77207" w:rsidP="00F81CCA">
      <w:pPr>
        <w:pStyle w:val="BodyText"/>
      </w:pPr>
    </w:p>
    <w:p w14:paraId="501403B2" w14:textId="77777777" w:rsidR="00EA028C" w:rsidRPr="00EA028C" w:rsidRDefault="00EA028C" w:rsidP="00EA028C">
      <w:pPr>
        <w:pStyle w:val="BodyText"/>
      </w:pPr>
    </w:p>
    <w:p w14:paraId="245F20D0" w14:textId="77777777" w:rsidR="00E925E2" w:rsidRPr="00D4309F" w:rsidRDefault="00E925E2" w:rsidP="00242854">
      <w:pPr>
        <w:pStyle w:val="NoSpacing"/>
        <w:sectPr w:rsidR="00E925E2" w:rsidRPr="00D4309F" w:rsidSect="00A8441C">
          <w:headerReference w:type="default" r:id="rId34"/>
          <w:footerReference w:type="default" r:id="rId35"/>
          <w:pgSz w:w="11906" w:h="16838" w:code="9"/>
          <w:pgMar w:top="1417" w:right="1134" w:bottom="1417" w:left="1134" w:header="907" w:footer="567" w:gutter="0"/>
          <w:pgNumType w:fmt="lowerRoman" w:start="1"/>
          <w:cols w:space="708"/>
          <w:docGrid w:linePitch="360"/>
        </w:sectPr>
      </w:pPr>
    </w:p>
    <w:p w14:paraId="5F414A8E" w14:textId="77777777" w:rsidR="00725977" w:rsidRPr="00D4309F" w:rsidRDefault="00725977" w:rsidP="005C790D">
      <w:pPr>
        <w:pStyle w:val="ExecSummary"/>
      </w:pPr>
      <w:bookmarkStart w:id="3" w:name="_Toc216699284"/>
      <w:r w:rsidRPr="00D4309F">
        <w:lastRenderedPageBreak/>
        <w:t>Executive</w:t>
      </w:r>
      <w:r w:rsidRPr="00D4309F">
        <w:rPr>
          <w:spacing w:val="-3"/>
        </w:rPr>
        <w:t xml:space="preserve"> </w:t>
      </w:r>
      <w:r w:rsidRPr="00D4309F">
        <w:rPr>
          <w:spacing w:val="-2"/>
        </w:rPr>
        <w:t>Summary</w:t>
      </w:r>
      <w:bookmarkEnd w:id="3"/>
    </w:p>
    <w:p w14:paraId="3D5F2679" w14:textId="0414A6DC" w:rsidR="00725977" w:rsidRPr="00D4309F" w:rsidRDefault="006B63C2" w:rsidP="005C790D">
      <w:pPr>
        <w:pStyle w:val="ExecSumSub"/>
      </w:pPr>
      <w:bookmarkStart w:id="4" w:name="_Toc216699285"/>
      <w:r w:rsidRPr="00D4309F">
        <w:t>Purpose</w:t>
      </w:r>
      <w:bookmarkEnd w:id="4"/>
    </w:p>
    <w:p w14:paraId="5028C195" w14:textId="5BE73F29" w:rsidR="00725977" w:rsidRPr="00D4309F" w:rsidRDefault="00725977" w:rsidP="006B63C2">
      <w:pPr>
        <w:pStyle w:val="BodyText"/>
      </w:pPr>
      <w:r w:rsidRPr="00D4309F">
        <w:t xml:space="preserve">This document has been prepared by RPS </w:t>
      </w:r>
      <w:r w:rsidR="00B8585E">
        <w:t xml:space="preserve">AAP Consulting </w:t>
      </w:r>
      <w:r w:rsidRPr="00D4309F">
        <w:t>Pty Ltd</w:t>
      </w:r>
      <w:r w:rsidR="00B8585E">
        <w:t xml:space="preserve"> (RPS)</w:t>
      </w:r>
      <w:r w:rsidRPr="00D4309F">
        <w:t>, in partnership with International Coastal Management (ICM),</w:t>
      </w:r>
      <w:r w:rsidRPr="00D4309F">
        <w:rPr>
          <w:spacing w:val="-3"/>
        </w:rPr>
        <w:t xml:space="preserve"> </w:t>
      </w:r>
      <w:r w:rsidRPr="00D4309F">
        <w:t>to</w:t>
      </w:r>
      <w:r w:rsidRPr="00D4309F">
        <w:rPr>
          <w:spacing w:val="-3"/>
        </w:rPr>
        <w:t xml:space="preserve"> </w:t>
      </w:r>
      <w:r w:rsidRPr="00D4309F">
        <w:t>conduct</w:t>
      </w:r>
      <w:r w:rsidRPr="00D4309F">
        <w:rPr>
          <w:spacing w:val="-3"/>
        </w:rPr>
        <w:t xml:space="preserve"> </w:t>
      </w:r>
      <w:r w:rsidRPr="00D4309F">
        <w:t>an</w:t>
      </w:r>
      <w:r w:rsidRPr="00D4309F">
        <w:rPr>
          <w:spacing w:val="-3"/>
        </w:rPr>
        <w:t xml:space="preserve"> </w:t>
      </w:r>
      <w:r w:rsidRPr="00D4309F">
        <w:t>expert,</w:t>
      </w:r>
      <w:r w:rsidRPr="00D4309F">
        <w:rPr>
          <w:spacing w:val="-3"/>
        </w:rPr>
        <w:t xml:space="preserve"> </w:t>
      </w:r>
      <w:r w:rsidRPr="00D4309F">
        <w:t>independent</w:t>
      </w:r>
      <w:r w:rsidRPr="00D4309F">
        <w:rPr>
          <w:spacing w:val="-3"/>
        </w:rPr>
        <w:t xml:space="preserve"> </w:t>
      </w:r>
      <w:r w:rsidRPr="00D4309F">
        <w:t>review</w:t>
      </w:r>
      <w:r w:rsidRPr="00D4309F">
        <w:rPr>
          <w:spacing w:val="-2"/>
        </w:rPr>
        <w:t xml:space="preserve"> </w:t>
      </w:r>
      <w:r w:rsidRPr="00D4309F">
        <w:t>to</w:t>
      </w:r>
      <w:r w:rsidRPr="00D4309F">
        <w:rPr>
          <w:spacing w:val="-3"/>
        </w:rPr>
        <w:t xml:space="preserve"> </w:t>
      </w:r>
      <w:r w:rsidRPr="00D4309F">
        <w:t>investigate</w:t>
      </w:r>
      <w:r w:rsidRPr="00D4309F">
        <w:rPr>
          <w:spacing w:val="-3"/>
        </w:rPr>
        <w:t xml:space="preserve"> </w:t>
      </w:r>
      <w:r w:rsidRPr="00D4309F">
        <w:t>ongoing</w:t>
      </w:r>
      <w:r w:rsidRPr="00D4309F">
        <w:rPr>
          <w:spacing w:val="-3"/>
        </w:rPr>
        <w:t xml:space="preserve"> </w:t>
      </w:r>
      <w:r w:rsidRPr="00D4309F">
        <w:t>shoaling</w:t>
      </w:r>
      <w:r w:rsidRPr="00D4309F">
        <w:rPr>
          <w:spacing w:val="-4"/>
        </w:rPr>
        <w:t xml:space="preserve"> </w:t>
      </w:r>
      <w:r w:rsidRPr="00D4309F">
        <w:t>events</w:t>
      </w:r>
      <w:r w:rsidRPr="00D4309F">
        <w:rPr>
          <w:spacing w:val="-3"/>
        </w:rPr>
        <w:t xml:space="preserve"> </w:t>
      </w:r>
      <w:r w:rsidRPr="00D4309F">
        <w:t>at</w:t>
      </w:r>
      <w:r w:rsidRPr="00D4309F">
        <w:rPr>
          <w:spacing w:val="-3"/>
        </w:rPr>
        <w:t xml:space="preserve"> </w:t>
      </w:r>
      <w:r w:rsidRPr="00D4309F">
        <w:t>the</w:t>
      </w:r>
      <w:r w:rsidRPr="00D4309F">
        <w:rPr>
          <w:spacing w:val="-3"/>
        </w:rPr>
        <w:t xml:space="preserve"> </w:t>
      </w:r>
      <w:r w:rsidRPr="00D4309F">
        <w:t>Mooloolaba Boat Harbour Entrance, and the impacts the proposed management measures may have had on coastal process at the site. Short- and long-term recommendations are to be developed and shared with the Stakeholder Reference Group taking account of various stakeholder views.</w:t>
      </w:r>
    </w:p>
    <w:p w14:paraId="469743B3" w14:textId="0E1BD844" w:rsidR="00725977" w:rsidRPr="00D4309F" w:rsidRDefault="006B63C2" w:rsidP="005C790D">
      <w:pPr>
        <w:pStyle w:val="ExecSumSub"/>
      </w:pPr>
      <w:bookmarkStart w:id="5" w:name="_Toc216699286"/>
      <w:r w:rsidRPr="00D4309F">
        <w:t>Context</w:t>
      </w:r>
      <w:bookmarkEnd w:id="5"/>
    </w:p>
    <w:p w14:paraId="73516232" w14:textId="61517D81" w:rsidR="00725977" w:rsidRPr="00D4309F" w:rsidRDefault="00725977" w:rsidP="006B63C2">
      <w:pPr>
        <w:pStyle w:val="BodyText"/>
      </w:pPr>
      <w:r w:rsidRPr="00D4309F">
        <w:t>Sand shoaling events have occurred periodically in the entrance channel causing marine safety and accessibility issues. Maintaining a safe navigable entrance to the Mooloolaba Boat Harbour at all times is critical for all boaties. Shoaling events have become more frequent and major shoaling events have required continuous dredging for long periods and have a significant impact on navigational access.</w:t>
      </w:r>
    </w:p>
    <w:p w14:paraId="3910B073" w14:textId="5663F033" w:rsidR="00725977" w:rsidRPr="00D4309F" w:rsidRDefault="00725977" w:rsidP="006B63C2">
      <w:pPr>
        <w:pStyle w:val="BodyText"/>
      </w:pPr>
      <w:r w:rsidRPr="00D4309F">
        <w:t>Due to unpredictable weather and swell conditions, dredging activities to clear sand shoals from the navigational entrance channel are not always immediately possible and a long-term solution is required to minimise the impact of these shoaling events</w:t>
      </w:r>
      <w:r w:rsidR="009705BB" w:rsidRPr="00D4309F">
        <w:t>.</w:t>
      </w:r>
    </w:p>
    <w:p w14:paraId="504E028B" w14:textId="23041D36" w:rsidR="00725977" w:rsidRPr="00D4309F" w:rsidRDefault="006B63C2" w:rsidP="005C790D">
      <w:pPr>
        <w:pStyle w:val="ExecSumSub"/>
      </w:pPr>
      <w:bookmarkStart w:id="6" w:name="_Toc216699287"/>
      <w:r w:rsidRPr="00D4309F">
        <w:t>Objective</w:t>
      </w:r>
      <w:bookmarkEnd w:id="6"/>
    </w:p>
    <w:p w14:paraId="5BC4755F" w14:textId="77777777" w:rsidR="00725977" w:rsidRPr="00D4309F" w:rsidRDefault="00725977" w:rsidP="006B63C2">
      <w:pPr>
        <w:pStyle w:val="BodyText"/>
      </w:pPr>
      <w:r w:rsidRPr="00D4309F">
        <w:t>The</w:t>
      </w:r>
      <w:r w:rsidRPr="00D4309F">
        <w:rPr>
          <w:spacing w:val="-3"/>
        </w:rPr>
        <w:t xml:space="preserve"> </w:t>
      </w:r>
      <w:r w:rsidRPr="00D4309F">
        <w:t>primary</w:t>
      </w:r>
      <w:r w:rsidRPr="00D4309F">
        <w:rPr>
          <w:spacing w:val="-3"/>
        </w:rPr>
        <w:t xml:space="preserve"> </w:t>
      </w:r>
      <w:r w:rsidRPr="00D4309F">
        <w:t>objective</w:t>
      </w:r>
      <w:r w:rsidRPr="00D4309F">
        <w:rPr>
          <w:spacing w:val="-3"/>
        </w:rPr>
        <w:t xml:space="preserve"> </w:t>
      </w:r>
      <w:r w:rsidRPr="00D4309F">
        <w:t>is</w:t>
      </w:r>
      <w:r w:rsidRPr="00D4309F">
        <w:rPr>
          <w:spacing w:val="-2"/>
        </w:rPr>
        <w:t xml:space="preserve"> </w:t>
      </w:r>
      <w:r w:rsidRPr="00D4309F">
        <w:t>to</w:t>
      </w:r>
      <w:r w:rsidRPr="00D4309F">
        <w:rPr>
          <w:spacing w:val="-3"/>
        </w:rPr>
        <w:t xml:space="preserve"> </w:t>
      </w:r>
      <w:r w:rsidRPr="00D4309F">
        <w:t>maintain</w:t>
      </w:r>
      <w:r w:rsidRPr="00D4309F">
        <w:rPr>
          <w:spacing w:val="-3"/>
        </w:rPr>
        <w:t xml:space="preserve"> </w:t>
      </w:r>
      <w:r w:rsidRPr="00D4309F">
        <w:t>a</w:t>
      </w:r>
      <w:r w:rsidRPr="00D4309F">
        <w:rPr>
          <w:spacing w:val="-3"/>
        </w:rPr>
        <w:t xml:space="preserve"> </w:t>
      </w:r>
      <w:r w:rsidRPr="00D4309F">
        <w:t>safe</w:t>
      </w:r>
      <w:r w:rsidRPr="00D4309F">
        <w:rPr>
          <w:spacing w:val="-3"/>
        </w:rPr>
        <w:t xml:space="preserve"> </w:t>
      </w:r>
      <w:r w:rsidRPr="00D4309F">
        <w:t>and</w:t>
      </w:r>
      <w:r w:rsidRPr="00D4309F">
        <w:rPr>
          <w:spacing w:val="-3"/>
        </w:rPr>
        <w:t xml:space="preserve"> </w:t>
      </w:r>
      <w:r w:rsidRPr="00D4309F">
        <w:t>reliable</w:t>
      </w:r>
      <w:r w:rsidRPr="00D4309F">
        <w:rPr>
          <w:spacing w:val="-3"/>
        </w:rPr>
        <w:t xml:space="preserve"> </w:t>
      </w:r>
      <w:r w:rsidRPr="00D4309F">
        <w:t>navigation</w:t>
      </w:r>
      <w:r w:rsidRPr="00D4309F">
        <w:rPr>
          <w:spacing w:val="-4"/>
        </w:rPr>
        <w:t xml:space="preserve"> </w:t>
      </w:r>
      <w:r w:rsidRPr="00D4309F">
        <w:t>channel</w:t>
      </w:r>
      <w:r w:rsidRPr="00D4309F">
        <w:rPr>
          <w:spacing w:val="-3"/>
        </w:rPr>
        <w:t xml:space="preserve"> </w:t>
      </w:r>
      <w:r w:rsidRPr="00D4309F">
        <w:t>for</w:t>
      </w:r>
      <w:r w:rsidRPr="00D4309F">
        <w:rPr>
          <w:spacing w:val="-2"/>
        </w:rPr>
        <w:t xml:space="preserve"> </w:t>
      </w:r>
      <w:r w:rsidRPr="00D4309F">
        <w:t>all</w:t>
      </w:r>
      <w:r w:rsidRPr="00D4309F">
        <w:rPr>
          <w:spacing w:val="-3"/>
        </w:rPr>
        <w:t xml:space="preserve"> </w:t>
      </w:r>
      <w:r w:rsidRPr="00D4309F">
        <w:t>vessels.</w:t>
      </w:r>
      <w:r w:rsidRPr="00D4309F">
        <w:rPr>
          <w:spacing w:val="-3"/>
        </w:rPr>
        <w:t xml:space="preserve"> </w:t>
      </w:r>
      <w:r w:rsidRPr="00D4309F">
        <w:t>While</w:t>
      </w:r>
      <w:r w:rsidRPr="00D4309F">
        <w:rPr>
          <w:spacing w:val="-3"/>
        </w:rPr>
        <w:t xml:space="preserve"> </w:t>
      </w:r>
      <w:r w:rsidRPr="00D4309F">
        <w:t>short-term solutions focus on reactive maintenance, a comprehensive long-term plan is critical for a sustainable and cost-effective management approach.</w:t>
      </w:r>
    </w:p>
    <w:p w14:paraId="5E17EF5F" w14:textId="4870F41A" w:rsidR="00725977" w:rsidRPr="00D4309F" w:rsidRDefault="006B63C2" w:rsidP="005C790D">
      <w:pPr>
        <w:pStyle w:val="ExecSumSub"/>
      </w:pPr>
      <w:bookmarkStart w:id="7" w:name="_Toc216699288"/>
      <w:r w:rsidRPr="00D4309F">
        <w:t>Approach</w:t>
      </w:r>
      <w:r w:rsidR="00725977" w:rsidRPr="00D4309F">
        <w:t>,</w:t>
      </w:r>
      <w:r w:rsidR="00725977" w:rsidRPr="00D4309F">
        <w:rPr>
          <w:spacing w:val="-6"/>
        </w:rPr>
        <w:t xml:space="preserve"> </w:t>
      </w:r>
      <w:r w:rsidRPr="00D4309F">
        <w:t>findings</w:t>
      </w:r>
      <w:r w:rsidR="00725977" w:rsidRPr="00D4309F">
        <w:rPr>
          <w:spacing w:val="-3"/>
        </w:rPr>
        <w:t xml:space="preserve"> </w:t>
      </w:r>
      <w:r w:rsidR="00725977" w:rsidRPr="00D4309F">
        <w:t>&amp;</w:t>
      </w:r>
      <w:r w:rsidR="00725977" w:rsidRPr="00D4309F">
        <w:rPr>
          <w:spacing w:val="-3"/>
        </w:rPr>
        <w:t xml:space="preserve"> </w:t>
      </w:r>
      <w:r w:rsidRPr="00D4309F">
        <w:rPr>
          <w:spacing w:val="-2"/>
        </w:rPr>
        <w:t>recommendations</w:t>
      </w:r>
      <w:bookmarkEnd w:id="7"/>
    </w:p>
    <w:p w14:paraId="5746F88F" w14:textId="77777777" w:rsidR="00725977" w:rsidRPr="00D4309F" w:rsidRDefault="00725977" w:rsidP="00725977">
      <w:pPr>
        <w:pStyle w:val="BodyText"/>
      </w:pPr>
      <w:r w:rsidRPr="00D4309F">
        <w:t>To</w:t>
      </w:r>
      <w:r w:rsidRPr="00D4309F">
        <w:rPr>
          <w:spacing w:val="-3"/>
        </w:rPr>
        <w:t xml:space="preserve"> </w:t>
      </w:r>
      <w:r w:rsidRPr="00D4309F">
        <w:t>address</w:t>
      </w:r>
      <w:r w:rsidRPr="00D4309F">
        <w:rPr>
          <w:spacing w:val="-2"/>
        </w:rPr>
        <w:t xml:space="preserve"> </w:t>
      </w:r>
      <w:r w:rsidRPr="00D4309F">
        <w:t>the</w:t>
      </w:r>
      <w:r w:rsidRPr="00D4309F">
        <w:rPr>
          <w:spacing w:val="-3"/>
        </w:rPr>
        <w:t xml:space="preserve"> </w:t>
      </w:r>
      <w:r w:rsidRPr="00D4309F">
        <w:t>objective</w:t>
      </w:r>
      <w:r w:rsidRPr="00D4309F">
        <w:rPr>
          <w:spacing w:val="-4"/>
        </w:rPr>
        <w:t xml:space="preserve"> </w:t>
      </w:r>
      <w:r w:rsidRPr="00D4309F">
        <w:t>components</w:t>
      </w:r>
      <w:r w:rsidRPr="00D4309F">
        <w:rPr>
          <w:spacing w:val="-2"/>
        </w:rPr>
        <w:t xml:space="preserve"> </w:t>
      </w:r>
      <w:r w:rsidRPr="00D4309F">
        <w:t>of</w:t>
      </w:r>
      <w:r w:rsidRPr="00D4309F">
        <w:rPr>
          <w:spacing w:val="-3"/>
        </w:rPr>
        <w:t xml:space="preserve"> </w:t>
      </w:r>
      <w:r w:rsidRPr="00D4309F">
        <w:t>short-term</w:t>
      </w:r>
      <w:r w:rsidRPr="00D4309F">
        <w:rPr>
          <w:spacing w:val="-3"/>
        </w:rPr>
        <w:t xml:space="preserve"> </w:t>
      </w:r>
      <w:r w:rsidRPr="00D4309F">
        <w:t>solutions</w:t>
      </w:r>
      <w:r w:rsidRPr="00D4309F">
        <w:rPr>
          <w:spacing w:val="-2"/>
        </w:rPr>
        <w:t xml:space="preserve"> </w:t>
      </w:r>
      <w:r w:rsidRPr="00D4309F">
        <w:t>and</w:t>
      </w:r>
      <w:r w:rsidRPr="00D4309F">
        <w:rPr>
          <w:spacing w:val="-3"/>
        </w:rPr>
        <w:t xml:space="preserve"> </w:t>
      </w:r>
      <w:r w:rsidRPr="00D4309F">
        <w:t>long-term</w:t>
      </w:r>
      <w:r w:rsidRPr="00D4309F">
        <w:rPr>
          <w:spacing w:val="-3"/>
        </w:rPr>
        <w:t xml:space="preserve"> </w:t>
      </w:r>
      <w:r w:rsidRPr="00D4309F">
        <w:t>compressive</w:t>
      </w:r>
      <w:r w:rsidRPr="00D4309F">
        <w:rPr>
          <w:spacing w:val="-3"/>
        </w:rPr>
        <w:t xml:space="preserve"> </w:t>
      </w:r>
      <w:r w:rsidRPr="00D4309F">
        <w:t>plan,</w:t>
      </w:r>
      <w:r w:rsidRPr="00D4309F">
        <w:rPr>
          <w:spacing w:val="-3"/>
        </w:rPr>
        <w:t xml:space="preserve"> </w:t>
      </w:r>
      <w:r w:rsidRPr="00D4309F">
        <w:t>the</w:t>
      </w:r>
      <w:r w:rsidRPr="00D4309F">
        <w:rPr>
          <w:spacing w:val="-3"/>
        </w:rPr>
        <w:t xml:space="preserve"> </w:t>
      </w:r>
      <w:r w:rsidRPr="00D4309F">
        <w:t>review has occurred in two parts.</w:t>
      </w:r>
    </w:p>
    <w:p w14:paraId="04C52E59" w14:textId="77777777" w:rsidR="00725977" w:rsidRPr="00D4309F" w:rsidRDefault="00725977" w:rsidP="006B63C2">
      <w:pPr>
        <w:pStyle w:val="ExecSumSub"/>
      </w:pPr>
      <w:bookmarkStart w:id="8" w:name="_Toc216699289"/>
      <w:r w:rsidRPr="00D4309F">
        <w:t>Part</w:t>
      </w:r>
      <w:r w:rsidRPr="00D4309F">
        <w:rPr>
          <w:spacing w:val="-1"/>
        </w:rPr>
        <w:t xml:space="preserve"> </w:t>
      </w:r>
      <w:r w:rsidRPr="00D4309F">
        <w:t>1</w:t>
      </w:r>
      <w:r w:rsidRPr="00D4309F">
        <w:rPr>
          <w:spacing w:val="-1"/>
        </w:rPr>
        <w:t xml:space="preserve"> </w:t>
      </w:r>
      <w:r w:rsidRPr="00D4309F">
        <w:t>–</w:t>
      </w:r>
      <w:r w:rsidRPr="00D4309F">
        <w:rPr>
          <w:spacing w:val="-1"/>
        </w:rPr>
        <w:t xml:space="preserve"> </w:t>
      </w:r>
      <w:r w:rsidRPr="00D4309F">
        <w:t>Short term</w:t>
      </w:r>
      <w:r w:rsidRPr="00D4309F">
        <w:rPr>
          <w:spacing w:val="-3"/>
        </w:rPr>
        <w:t xml:space="preserve"> </w:t>
      </w:r>
      <w:r w:rsidRPr="00D4309F">
        <w:rPr>
          <w:spacing w:val="-2"/>
        </w:rPr>
        <w:t>actions</w:t>
      </w:r>
      <w:bookmarkEnd w:id="8"/>
    </w:p>
    <w:p w14:paraId="1B8FB386" w14:textId="77777777" w:rsidR="00725977" w:rsidRPr="00DA5995" w:rsidRDefault="00725977" w:rsidP="00DA5995">
      <w:pPr>
        <w:pStyle w:val="BodyText"/>
        <w:rPr>
          <w:b/>
          <w:bCs/>
        </w:rPr>
      </w:pPr>
      <w:r w:rsidRPr="00DA5995">
        <w:rPr>
          <w:b/>
          <w:bCs/>
        </w:rPr>
        <w:t>Approach</w:t>
      </w:r>
    </w:p>
    <w:p w14:paraId="72E6CF14" w14:textId="77777777" w:rsidR="00725977" w:rsidRPr="00D4309F" w:rsidRDefault="00725977" w:rsidP="006B63C2">
      <w:pPr>
        <w:pStyle w:val="BodyText"/>
      </w:pPr>
      <w:r w:rsidRPr="00D4309F">
        <w:t>To inform coastal processes engineering solutions, a desktop review was undertaken of existing documentation relating to the cause and impacts of shoaling events and potential solutions to mitigate impacts.</w:t>
      </w:r>
    </w:p>
    <w:p w14:paraId="1BA32356" w14:textId="77777777" w:rsidR="00725977" w:rsidRPr="00D4309F" w:rsidRDefault="00725977" w:rsidP="006B63C2">
      <w:pPr>
        <w:pStyle w:val="BodyText"/>
      </w:pPr>
      <w:r w:rsidRPr="00D4309F">
        <w:t>Review of Commonwealth and State environmental database identified the key environmental characteristics (terrestrial and marine) of the area surrounding the Mooloolaba Boat Harbour entrance channel potentially impacted by the current and proposed short- or long-term shoaling management options. This area includes Point Cartwright and La Balsa Park, the Mooloolaba foreshore and shoreline from the southern end of Buddina beach to the north end of Mooloolaba beach.</w:t>
      </w:r>
    </w:p>
    <w:p w14:paraId="0135170E" w14:textId="69D0F17C" w:rsidR="00725977" w:rsidRPr="00D4309F" w:rsidRDefault="00725977" w:rsidP="00725977">
      <w:pPr>
        <w:pStyle w:val="BodyText"/>
      </w:pPr>
      <w:r w:rsidRPr="00D4309F">
        <w:t>In determining the best solution for the Mooloolaba Harbour Entrance, the economic, environmental and social impacts of any option was done through the development of a Social Impact Evaluation (SIE) in accordance with the Social Impact Evaluation Guide, Business Case Development Framework, Release 3 (2021) developed by the Queensland Government.</w:t>
      </w:r>
    </w:p>
    <w:p w14:paraId="6CC218E0" w14:textId="77777777" w:rsidR="00725977" w:rsidRPr="00DA5995" w:rsidRDefault="00725977" w:rsidP="00DA5995">
      <w:pPr>
        <w:pStyle w:val="BodyText"/>
        <w:rPr>
          <w:b/>
          <w:bCs/>
        </w:rPr>
      </w:pPr>
      <w:r w:rsidRPr="00DA5995">
        <w:rPr>
          <w:b/>
          <w:bCs/>
        </w:rPr>
        <w:t>Findings</w:t>
      </w:r>
    </w:p>
    <w:p w14:paraId="6D412A55" w14:textId="77777777" w:rsidR="00725977" w:rsidRPr="00D4309F" w:rsidRDefault="00725977" w:rsidP="00725977">
      <w:pPr>
        <w:pStyle w:val="BodyText"/>
      </w:pPr>
      <w:r w:rsidRPr="00D4309F">
        <w:t>An</w:t>
      </w:r>
      <w:r w:rsidRPr="00D4309F">
        <w:rPr>
          <w:spacing w:val="-3"/>
        </w:rPr>
        <w:t xml:space="preserve"> </w:t>
      </w:r>
      <w:r w:rsidRPr="00D4309F">
        <w:t>initial</w:t>
      </w:r>
      <w:r w:rsidRPr="00D4309F">
        <w:rPr>
          <w:spacing w:val="-3"/>
        </w:rPr>
        <w:t xml:space="preserve"> </w:t>
      </w:r>
      <w:r w:rsidRPr="00D4309F">
        <w:t>desktop</w:t>
      </w:r>
      <w:r w:rsidRPr="00D4309F">
        <w:rPr>
          <w:spacing w:val="-3"/>
        </w:rPr>
        <w:t xml:space="preserve"> </w:t>
      </w:r>
      <w:r w:rsidRPr="00D4309F">
        <w:t>review</w:t>
      </w:r>
      <w:r w:rsidRPr="00D4309F">
        <w:rPr>
          <w:spacing w:val="-2"/>
        </w:rPr>
        <w:t xml:space="preserve"> </w:t>
      </w:r>
      <w:r w:rsidRPr="00D4309F">
        <w:t>of</w:t>
      </w:r>
      <w:r w:rsidRPr="00D4309F">
        <w:rPr>
          <w:spacing w:val="-3"/>
        </w:rPr>
        <w:t xml:space="preserve"> </w:t>
      </w:r>
      <w:r w:rsidRPr="00D4309F">
        <w:t>previous</w:t>
      </w:r>
      <w:r w:rsidRPr="00D4309F">
        <w:rPr>
          <w:spacing w:val="-3"/>
        </w:rPr>
        <w:t xml:space="preserve"> </w:t>
      </w:r>
      <w:r w:rsidRPr="00D4309F">
        <w:t>reports</w:t>
      </w:r>
      <w:r w:rsidRPr="00D4309F">
        <w:rPr>
          <w:spacing w:val="-2"/>
        </w:rPr>
        <w:t xml:space="preserve"> </w:t>
      </w:r>
      <w:r w:rsidRPr="00D4309F">
        <w:t>and</w:t>
      </w:r>
      <w:r w:rsidRPr="00D4309F">
        <w:rPr>
          <w:spacing w:val="-3"/>
        </w:rPr>
        <w:t xml:space="preserve"> </w:t>
      </w:r>
      <w:r w:rsidRPr="00D4309F">
        <w:t>studies</w:t>
      </w:r>
      <w:r w:rsidRPr="00D4309F">
        <w:rPr>
          <w:spacing w:val="-2"/>
        </w:rPr>
        <w:t xml:space="preserve"> </w:t>
      </w:r>
      <w:r w:rsidRPr="00D4309F">
        <w:t>relating</w:t>
      </w:r>
      <w:r w:rsidRPr="00D4309F">
        <w:rPr>
          <w:spacing w:val="-3"/>
        </w:rPr>
        <w:t xml:space="preserve"> </w:t>
      </w:r>
      <w:r w:rsidRPr="00D4309F">
        <w:t>to</w:t>
      </w:r>
      <w:r w:rsidRPr="00D4309F">
        <w:rPr>
          <w:spacing w:val="-3"/>
        </w:rPr>
        <w:t xml:space="preserve"> </w:t>
      </w:r>
      <w:r w:rsidRPr="00D4309F">
        <w:t>the</w:t>
      </w:r>
      <w:r w:rsidRPr="00D4309F">
        <w:rPr>
          <w:spacing w:val="-3"/>
        </w:rPr>
        <w:t xml:space="preserve"> </w:t>
      </w:r>
      <w:r w:rsidRPr="00D4309F">
        <w:t>cause</w:t>
      </w:r>
      <w:r w:rsidRPr="00D4309F">
        <w:rPr>
          <w:spacing w:val="-3"/>
        </w:rPr>
        <w:t xml:space="preserve"> </w:t>
      </w:r>
      <w:r w:rsidRPr="00D4309F">
        <w:t>and</w:t>
      </w:r>
      <w:r w:rsidRPr="00D4309F">
        <w:rPr>
          <w:spacing w:val="-3"/>
        </w:rPr>
        <w:t xml:space="preserve"> </w:t>
      </w:r>
      <w:r w:rsidRPr="00D4309F">
        <w:t>impacts</w:t>
      </w:r>
      <w:r w:rsidRPr="00D4309F">
        <w:rPr>
          <w:spacing w:val="-2"/>
        </w:rPr>
        <w:t xml:space="preserve"> </w:t>
      </w:r>
      <w:r w:rsidRPr="00D4309F">
        <w:t>of</w:t>
      </w:r>
      <w:r w:rsidRPr="00D4309F">
        <w:rPr>
          <w:spacing w:val="-3"/>
        </w:rPr>
        <w:t xml:space="preserve"> </w:t>
      </w:r>
      <w:r w:rsidRPr="00D4309F">
        <w:t>shoaling</w:t>
      </w:r>
      <w:r w:rsidRPr="00D4309F">
        <w:rPr>
          <w:spacing w:val="-3"/>
        </w:rPr>
        <w:t xml:space="preserve"> </w:t>
      </w:r>
      <w:r w:rsidRPr="00D4309F">
        <w:t>events has been undertaken that has:</w:t>
      </w:r>
    </w:p>
    <w:p w14:paraId="7801E5E7" w14:textId="77777777" w:rsidR="00725977" w:rsidRPr="00D4309F" w:rsidRDefault="00725977" w:rsidP="006B63C2">
      <w:pPr>
        <w:pStyle w:val="ListBullet"/>
      </w:pPr>
      <w:r w:rsidRPr="00D4309F">
        <w:t>Confirmed</w:t>
      </w:r>
      <w:r w:rsidRPr="00D4309F">
        <w:rPr>
          <w:spacing w:val="-4"/>
        </w:rPr>
        <w:t xml:space="preserve"> </w:t>
      </w:r>
      <w:r w:rsidRPr="00D4309F">
        <w:t>the</w:t>
      </w:r>
      <w:r w:rsidRPr="00D4309F">
        <w:rPr>
          <w:spacing w:val="-4"/>
        </w:rPr>
        <w:t xml:space="preserve"> </w:t>
      </w:r>
      <w:r w:rsidRPr="00D4309F">
        <w:t>causes</w:t>
      </w:r>
      <w:r w:rsidRPr="00D4309F">
        <w:rPr>
          <w:spacing w:val="-3"/>
        </w:rPr>
        <w:t xml:space="preserve"> </w:t>
      </w:r>
      <w:r w:rsidRPr="00D4309F">
        <w:t>for</w:t>
      </w:r>
      <w:r w:rsidRPr="00D4309F">
        <w:rPr>
          <w:spacing w:val="-2"/>
        </w:rPr>
        <w:t xml:space="preserve"> </w:t>
      </w:r>
      <w:r w:rsidRPr="00D4309F">
        <w:t>the</w:t>
      </w:r>
      <w:r w:rsidRPr="00D4309F">
        <w:rPr>
          <w:spacing w:val="-4"/>
        </w:rPr>
        <w:t xml:space="preserve"> </w:t>
      </w:r>
      <w:r w:rsidRPr="00D4309F">
        <w:t>shoaling</w:t>
      </w:r>
      <w:r w:rsidRPr="00D4309F">
        <w:rPr>
          <w:spacing w:val="-4"/>
        </w:rPr>
        <w:t xml:space="preserve"> </w:t>
      </w:r>
      <w:r w:rsidRPr="00D4309F">
        <w:rPr>
          <w:spacing w:val="-2"/>
        </w:rPr>
        <w:t>events</w:t>
      </w:r>
    </w:p>
    <w:p w14:paraId="7BDDC5D3" w14:textId="77777777" w:rsidR="00725977" w:rsidRPr="00D4309F" w:rsidRDefault="00725977" w:rsidP="008E197E">
      <w:pPr>
        <w:pStyle w:val="ListBullet2"/>
      </w:pPr>
      <w:r w:rsidRPr="00D4309F">
        <w:t>The</w:t>
      </w:r>
      <w:r w:rsidRPr="00D4309F">
        <w:rPr>
          <w:spacing w:val="-3"/>
        </w:rPr>
        <w:t xml:space="preserve"> </w:t>
      </w:r>
      <w:r w:rsidRPr="00D4309F">
        <w:t>exact</w:t>
      </w:r>
      <w:r w:rsidRPr="00D4309F">
        <w:rPr>
          <w:spacing w:val="-3"/>
        </w:rPr>
        <w:t xml:space="preserve"> </w:t>
      </w:r>
      <w:r w:rsidRPr="00D4309F">
        <w:t>location</w:t>
      </w:r>
      <w:r w:rsidRPr="00D4309F">
        <w:rPr>
          <w:spacing w:val="-3"/>
        </w:rPr>
        <w:t xml:space="preserve"> </w:t>
      </w:r>
      <w:r w:rsidRPr="00D4309F">
        <w:t>and</w:t>
      </w:r>
      <w:r w:rsidRPr="00D4309F">
        <w:rPr>
          <w:spacing w:val="-4"/>
        </w:rPr>
        <w:t xml:space="preserve"> </w:t>
      </w:r>
      <w:r w:rsidRPr="00D4309F">
        <w:t>shape</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sand</w:t>
      </w:r>
      <w:r w:rsidRPr="00D4309F">
        <w:rPr>
          <w:spacing w:val="-3"/>
        </w:rPr>
        <w:t xml:space="preserve"> </w:t>
      </w:r>
      <w:r w:rsidRPr="00D4309F">
        <w:t>shoal</w:t>
      </w:r>
      <w:r w:rsidRPr="00D4309F">
        <w:rPr>
          <w:spacing w:val="-3"/>
        </w:rPr>
        <w:t xml:space="preserve"> </w:t>
      </w:r>
      <w:r w:rsidRPr="00D4309F">
        <w:t>events</w:t>
      </w:r>
      <w:r w:rsidRPr="00D4309F">
        <w:rPr>
          <w:spacing w:val="-2"/>
        </w:rPr>
        <w:t xml:space="preserve"> </w:t>
      </w:r>
      <w:r w:rsidRPr="00D4309F">
        <w:t>is</w:t>
      </w:r>
      <w:r w:rsidRPr="00D4309F">
        <w:rPr>
          <w:spacing w:val="-2"/>
        </w:rPr>
        <w:t xml:space="preserve"> </w:t>
      </w:r>
      <w:r w:rsidRPr="00D4309F">
        <w:t>a</w:t>
      </w:r>
      <w:r w:rsidRPr="00D4309F">
        <w:rPr>
          <w:spacing w:val="-3"/>
        </w:rPr>
        <w:t xml:space="preserve"> </w:t>
      </w:r>
      <w:r w:rsidRPr="00D4309F">
        <w:t>complex</w:t>
      </w:r>
      <w:r w:rsidRPr="00D4309F">
        <w:rPr>
          <w:spacing w:val="-2"/>
        </w:rPr>
        <w:t xml:space="preserve"> </w:t>
      </w:r>
      <w:r w:rsidRPr="00D4309F">
        <w:t>result</w:t>
      </w:r>
      <w:r w:rsidRPr="00D4309F">
        <w:rPr>
          <w:spacing w:val="-3"/>
        </w:rPr>
        <w:t xml:space="preserve"> </w:t>
      </w:r>
      <w:r w:rsidRPr="00D4309F">
        <w:t>of</w:t>
      </w:r>
      <w:r w:rsidRPr="00D4309F">
        <w:rPr>
          <w:spacing w:val="-3"/>
        </w:rPr>
        <w:t xml:space="preserve"> </w:t>
      </w:r>
      <w:r w:rsidRPr="00D4309F">
        <w:t>the</w:t>
      </w:r>
      <w:r w:rsidRPr="00D4309F">
        <w:rPr>
          <w:spacing w:val="-4"/>
        </w:rPr>
        <w:t xml:space="preserve"> </w:t>
      </w:r>
      <w:r w:rsidRPr="00D4309F">
        <w:t>interaction</w:t>
      </w:r>
      <w:r w:rsidRPr="00D4309F">
        <w:rPr>
          <w:spacing w:val="-4"/>
        </w:rPr>
        <w:t xml:space="preserve"> </w:t>
      </w:r>
      <w:r w:rsidRPr="00D4309F">
        <w:t>between a</w:t>
      </w:r>
      <w:r w:rsidRPr="00D4309F">
        <w:rPr>
          <w:spacing w:val="-2"/>
        </w:rPr>
        <w:t xml:space="preserve"> </w:t>
      </w:r>
      <w:r w:rsidRPr="00D4309F">
        <w:t>range</w:t>
      </w:r>
      <w:r w:rsidRPr="00D4309F">
        <w:rPr>
          <w:spacing w:val="-2"/>
        </w:rPr>
        <w:t xml:space="preserve"> </w:t>
      </w:r>
      <w:r w:rsidRPr="00D4309F">
        <w:t>of</w:t>
      </w:r>
      <w:r w:rsidRPr="00D4309F">
        <w:rPr>
          <w:spacing w:val="-2"/>
        </w:rPr>
        <w:t xml:space="preserve"> </w:t>
      </w:r>
      <w:r w:rsidRPr="00D4309F">
        <w:t>dynamic</w:t>
      </w:r>
      <w:r w:rsidRPr="00D4309F">
        <w:rPr>
          <w:spacing w:val="-2"/>
        </w:rPr>
        <w:t xml:space="preserve"> </w:t>
      </w:r>
      <w:r w:rsidRPr="00D4309F">
        <w:t>coastal</w:t>
      </w:r>
      <w:r w:rsidRPr="00D4309F">
        <w:rPr>
          <w:spacing w:val="-3"/>
        </w:rPr>
        <w:t xml:space="preserve"> </w:t>
      </w:r>
      <w:r w:rsidRPr="00D4309F">
        <w:t>processes</w:t>
      </w:r>
      <w:r w:rsidRPr="00D4309F">
        <w:rPr>
          <w:spacing w:val="-1"/>
        </w:rPr>
        <w:t xml:space="preserve"> </w:t>
      </w:r>
      <w:r w:rsidRPr="00D4309F">
        <w:t>that</w:t>
      </w:r>
      <w:r w:rsidRPr="00D4309F">
        <w:rPr>
          <w:spacing w:val="-2"/>
        </w:rPr>
        <w:t xml:space="preserve"> </w:t>
      </w:r>
      <w:r w:rsidRPr="00D4309F">
        <w:t>occur</w:t>
      </w:r>
      <w:r w:rsidRPr="00D4309F">
        <w:rPr>
          <w:spacing w:val="-1"/>
        </w:rPr>
        <w:t xml:space="preserve"> </w:t>
      </w:r>
      <w:r w:rsidRPr="00D4309F">
        <w:t>at</w:t>
      </w:r>
      <w:r w:rsidRPr="00D4309F">
        <w:rPr>
          <w:spacing w:val="-2"/>
        </w:rPr>
        <w:t xml:space="preserve"> </w:t>
      </w:r>
      <w:r w:rsidRPr="00D4309F">
        <w:t>the</w:t>
      </w:r>
      <w:r w:rsidRPr="00D4309F">
        <w:rPr>
          <w:spacing w:val="-2"/>
        </w:rPr>
        <w:t xml:space="preserve"> </w:t>
      </w:r>
      <w:r w:rsidRPr="00D4309F">
        <w:t>entrance</w:t>
      </w:r>
      <w:r w:rsidRPr="00D4309F">
        <w:rPr>
          <w:spacing w:val="-2"/>
        </w:rPr>
        <w:t xml:space="preserve"> </w:t>
      </w:r>
      <w:r w:rsidRPr="00D4309F">
        <w:t>including</w:t>
      </w:r>
      <w:r w:rsidRPr="00D4309F">
        <w:rPr>
          <w:spacing w:val="-2"/>
        </w:rPr>
        <w:t xml:space="preserve"> </w:t>
      </w:r>
      <w:r w:rsidRPr="00D4309F">
        <w:t>but</w:t>
      </w:r>
      <w:r w:rsidRPr="00D4309F">
        <w:rPr>
          <w:spacing w:val="-2"/>
        </w:rPr>
        <w:t xml:space="preserve"> </w:t>
      </w:r>
      <w:r w:rsidRPr="00D4309F">
        <w:t>not</w:t>
      </w:r>
      <w:r w:rsidRPr="00D4309F">
        <w:rPr>
          <w:spacing w:val="-2"/>
        </w:rPr>
        <w:t xml:space="preserve"> </w:t>
      </w:r>
      <w:r w:rsidRPr="00D4309F">
        <w:lastRenderedPageBreak/>
        <w:t>necessarily</w:t>
      </w:r>
      <w:r w:rsidRPr="00D4309F">
        <w:rPr>
          <w:spacing w:val="-2"/>
        </w:rPr>
        <w:t xml:space="preserve"> </w:t>
      </w:r>
      <w:r w:rsidRPr="00D4309F">
        <w:t>limited to the incident wave conditions, reflected and refracted waves within Mooloolaba Bay, tidal current flow from the entrance, longshore currents at the breakwaters, net sediment supply to the shoal etc.</w:t>
      </w:r>
    </w:p>
    <w:p w14:paraId="05FB3A0C" w14:textId="77777777" w:rsidR="00725977" w:rsidRPr="00D4309F" w:rsidRDefault="00725977" w:rsidP="008E197E">
      <w:pPr>
        <w:pStyle w:val="ListBullet2"/>
      </w:pPr>
      <w:r w:rsidRPr="00D4309F">
        <w:t>Despite this complexity, available survey data indicates that the sand shoal events occur in a relatively</w:t>
      </w:r>
      <w:r w:rsidRPr="00D4309F">
        <w:rPr>
          <w:spacing w:val="-3"/>
        </w:rPr>
        <w:t xml:space="preserve"> </w:t>
      </w:r>
      <w:r w:rsidRPr="00D4309F">
        <w:t>consistent</w:t>
      </w:r>
      <w:r w:rsidRPr="00D4309F">
        <w:rPr>
          <w:spacing w:val="-3"/>
        </w:rPr>
        <w:t xml:space="preserve"> </w:t>
      </w:r>
      <w:r w:rsidRPr="00D4309F">
        <w:t>pattern</w:t>
      </w:r>
      <w:r w:rsidRPr="00D4309F">
        <w:rPr>
          <w:spacing w:val="-3"/>
        </w:rPr>
        <w:t xml:space="preserve"> </w:t>
      </w:r>
      <w:r w:rsidRPr="00D4309F">
        <w:t>at</w:t>
      </w:r>
      <w:r w:rsidRPr="00D4309F">
        <w:rPr>
          <w:spacing w:val="-3"/>
        </w:rPr>
        <w:t xml:space="preserve"> </w:t>
      </w:r>
      <w:r w:rsidRPr="00D4309F">
        <w:t>the</w:t>
      </w:r>
      <w:r w:rsidRPr="00D4309F">
        <w:rPr>
          <w:spacing w:val="-3"/>
        </w:rPr>
        <w:t xml:space="preserve"> </w:t>
      </w:r>
      <w:r w:rsidRPr="00D4309F">
        <w:t>entrance,</w:t>
      </w:r>
      <w:r w:rsidRPr="00D4309F">
        <w:rPr>
          <w:spacing w:val="-3"/>
        </w:rPr>
        <w:t xml:space="preserve"> </w:t>
      </w:r>
      <w:r w:rsidRPr="00D4309F">
        <w:t>forming</w:t>
      </w:r>
      <w:r w:rsidRPr="00D4309F">
        <w:rPr>
          <w:spacing w:val="-3"/>
        </w:rPr>
        <w:t xml:space="preserve"> </w:t>
      </w:r>
      <w:r w:rsidRPr="00D4309F">
        <w:t>from</w:t>
      </w:r>
      <w:r w:rsidRPr="00D4309F">
        <w:rPr>
          <w:spacing w:val="-3"/>
        </w:rPr>
        <w:t xml:space="preserve"> </w:t>
      </w:r>
      <w:r w:rsidRPr="00D4309F">
        <w:t>the</w:t>
      </w:r>
      <w:r w:rsidRPr="00D4309F">
        <w:rPr>
          <w:spacing w:val="-3"/>
        </w:rPr>
        <w:t xml:space="preserve"> </w:t>
      </w:r>
      <w:r w:rsidRPr="00D4309F">
        <w:t>east</w:t>
      </w:r>
      <w:r w:rsidRPr="00D4309F">
        <w:rPr>
          <w:spacing w:val="-3"/>
        </w:rPr>
        <w:t xml:space="preserve"> </w:t>
      </w:r>
      <w:r w:rsidRPr="00D4309F">
        <w:t>and</w:t>
      </w:r>
      <w:r w:rsidRPr="00D4309F">
        <w:rPr>
          <w:spacing w:val="-3"/>
        </w:rPr>
        <w:t xml:space="preserve"> </w:t>
      </w:r>
      <w:r w:rsidRPr="00D4309F">
        <w:t>migrating</w:t>
      </w:r>
      <w:r w:rsidRPr="00D4309F">
        <w:rPr>
          <w:spacing w:val="-4"/>
        </w:rPr>
        <w:t xml:space="preserve"> </w:t>
      </w:r>
      <w:r w:rsidRPr="00D4309F">
        <w:t>towards</w:t>
      </w:r>
      <w:r w:rsidRPr="00D4309F">
        <w:rPr>
          <w:spacing w:val="-2"/>
        </w:rPr>
        <w:t xml:space="preserve"> </w:t>
      </w:r>
      <w:r w:rsidRPr="00D4309F">
        <w:t>the</w:t>
      </w:r>
      <w:r w:rsidRPr="00D4309F">
        <w:rPr>
          <w:spacing w:val="-4"/>
        </w:rPr>
        <w:t xml:space="preserve"> </w:t>
      </w:r>
      <w:r w:rsidRPr="00D4309F">
        <w:t xml:space="preserve">west. </w:t>
      </w:r>
    </w:p>
    <w:p w14:paraId="11EEA4B8" w14:textId="77777777" w:rsidR="00725977" w:rsidRPr="00D4309F" w:rsidRDefault="00725977" w:rsidP="006B63C2">
      <w:pPr>
        <w:pStyle w:val="ListBullet"/>
      </w:pPr>
      <w:r w:rsidRPr="00D4309F">
        <w:t>Identified</w:t>
      </w:r>
      <w:r w:rsidRPr="00D4309F">
        <w:rPr>
          <w:spacing w:val="-5"/>
        </w:rPr>
        <w:t xml:space="preserve"> </w:t>
      </w:r>
      <w:r w:rsidRPr="00D4309F">
        <w:t>high-level</w:t>
      </w:r>
      <w:r w:rsidRPr="00D4309F">
        <w:rPr>
          <w:spacing w:val="-4"/>
        </w:rPr>
        <w:t xml:space="preserve"> </w:t>
      </w:r>
      <w:r w:rsidRPr="00D4309F">
        <w:t>coastal</w:t>
      </w:r>
      <w:r w:rsidRPr="00D4309F">
        <w:rPr>
          <w:spacing w:val="-5"/>
        </w:rPr>
        <w:t xml:space="preserve"> </w:t>
      </w:r>
      <w:r w:rsidRPr="00D4309F">
        <w:t>impacts</w:t>
      </w:r>
      <w:r w:rsidRPr="00D4309F">
        <w:rPr>
          <w:spacing w:val="-3"/>
        </w:rPr>
        <w:t xml:space="preserve"> </w:t>
      </w:r>
      <w:r w:rsidRPr="00D4309F">
        <w:t>of</w:t>
      </w:r>
      <w:r w:rsidRPr="00D4309F">
        <w:rPr>
          <w:spacing w:val="-5"/>
        </w:rPr>
        <w:t xml:space="preserve"> </w:t>
      </w:r>
      <w:r w:rsidRPr="00D4309F">
        <w:t>the</w:t>
      </w:r>
      <w:r w:rsidRPr="00D4309F">
        <w:rPr>
          <w:spacing w:val="-4"/>
        </w:rPr>
        <w:t xml:space="preserve"> </w:t>
      </w:r>
      <w:r w:rsidRPr="00D4309F">
        <w:t>shoaling</w:t>
      </w:r>
      <w:r w:rsidRPr="00D4309F">
        <w:rPr>
          <w:spacing w:val="-5"/>
        </w:rPr>
        <w:t xml:space="preserve"> </w:t>
      </w:r>
      <w:r w:rsidRPr="00D4309F">
        <w:rPr>
          <w:spacing w:val="-2"/>
        </w:rPr>
        <w:t>events</w:t>
      </w:r>
    </w:p>
    <w:p w14:paraId="0B31EFD4" w14:textId="77777777" w:rsidR="00725977" w:rsidRPr="00D4309F" w:rsidRDefault="00725977" w:rsidP="008E197E">
      <w:pPr>
        <w:pStyle w:val="ListBullet2"/>
      </w:pPr>
      <w:r w:rsidRPr="00D4309F">
        <w:t>Increased</w:t>
      </w:r>
      <w:r w:rsidRPr="00D4309F">
        <w:rPr>
          <w:spacing w:val="-2"/>
        </w:rPr>
        <w:t xml:space="preserve"> </w:t>
      </w:r>
      <w:r w:rsidRPr="00D4309F">
        <w:t>wave</w:t>
      </w:r>
      <w:r w:rsidRPr="00D4309F">
        <w:rPr>
          <w:spacing w:val="-3"/>
        </w:rPr>
        <w:t xml:space="preserve"> </w:t>
      </w:r>
      <w:r w:rsidRPr="00D4309F">
        <w:t>height</w:t>
      </w:r>
      <w:r w:rsidRPr="00D4309F">
        <w:rPr>
          <w:spacing w:val="-2"/>
        </w:rPr>
        <w:t xml:space="preserve"> </w:t>
      </w:r>
      <w:r w:rsidRPr="00D4309F">
        <w:t>and</w:t>
      </w:r>
      <w:r w:rsidRPr="00D4309F">
        <w:rPr>
          <w:spacing w:val="-3"/>
        </w:rPr>
        <w:t xml:space="preserve"> </w:t>
      </w:r>
      <w:r w:rsidRPr="00D4309F">
        <w:t>steepness</w:t>
      </w:r>
      <w:r w:rsidRPr="00D4309F">
        <w:rPr>
          <w:spacing w:val="-2"/>
        </w:rPr>
        <w:t xml:space="preserve"> </w:t>
      </w:r>
      <w:r w:rsidRPr="00D4309F">
        <w:t>over</w:t>
      </w:r>
      <w:r w:rsidRPr="00D4309F">
        <w:rPr>
          <w:spacing w:val="-2"/>
        </w:rPr>
        <w:t xml:space="preserve"> </w:t>
      </w:r>
      <w:r w:rsidRPr="00D4309F">
        <w:t>the</w:t>
      </w:r>
      <w:r w:rsidRPr="00D4309F">
        <w:rPr>
          <w:spacing w:val="-3"/>
        </w:rPr>
        <w:t xml:space="preserve"> </w:t>
      </w:r>
      <w:r w:rsidRPr="00D4309F">
        <w:t>accumulation</w:t>
      </w:r>
      <w:r w:rsidRPr="00D4309F">
        <w:rPr>
          <w:spacing w:val="-2"/>
        </w:rPr>
        <w:t xml:space="preserve"> </w:t>
      </w:r>
      <w:r w:rsidRPr="00D4309F">
        <w:t>of</w:t>
      </w:r>
      <w:r w:rsidRPr="00D4309F">
        <w:rPr>
          <w:spacing w:val="-3"/>
        </w:rPr>
        <w:t xml:space="preserve"> </w:t>
      </w:r>
      <w:r w:rsidRPr="00D4309F">
        <w:t>sand,</w:t>
      </w:r>
      <w:r w:rsidRPr="00D4309F">
        <w:rPr>
          <w:spacing w:val="-2"/>
        </w:rPr>
        <w:t xml:space="preserve"> </w:t>
      </w:r>
      <w:r w:rsidRPr="00D4309F">
        <w:t>due</w:t>
      </w:r>
      <w:r w:rsidRPr="00D4309F">
        <w:rPr>
          <w:spacing w:val="-3"/>
        </w:rPr>
        <w:t xml:space="preserve"> </w:t>
      </w:r>
      <w:r w:rsidRPr="00D4309F">
        <w:t>to</w:t>
      </w:r>
      <w:r w:rsidRPr="00D4309F">
        <w:rPr>
          <w:spacing w:val="-2"/>
        </w:rPr>
        <w:t xml:space="preserve"> </w:t>
      </w:r>
      <w:r w:rsidRPr="00D4309F">
        <w:t>wave</w:t>
      </w:r>
      <w:r w:rsidRPr="00D4309F">
        <w:rPr>
          <w:spacing w:val="-3"/>
        </w:rPr>
        <w:t xml:space="preserve"> </w:t>
      </w:r>
      <w:r w:rsidRPr="00D4309F">
        <w:t>shoaling.</w:t>
      </w:r>
      <w:r w:rsidRPr="00D4309F">
        <w:rPr>
          <w:spacing w:val="-4"/>
        </w:rPr>
        <w:t xml:space="preserve"> </w:t>
      </w:r>
      <w:r w:rsidRPr="00D4309F">
        <w:t>This effect results in more hazardous marine conditions at the entrance.</w:t>
      </w:r>
    </w:p>
    <w:p w14:paraId="15CA4859" w14:textId="77777777" w:rsidR="00725977" w:rsidRPr="00D4309F" w:rsidRDefault="00725977" w:rsidP="008E197E">
      <w:pPr>
        <w:pStyle w:val="ListBullet2"/>
      </w:pPr>
      <w:r w:rsidRPr="00D4309F">
        <w:t>Wave</w:t>
      </w:r>
      <w:r w:rsidRPr="00D4309F">
        <w:rPr>
          <w:spacing w:val="-3"/>
        </w:rPr>
        <w:t xml:space="preserve"> </w:t>
      </w:r>
      <w:r w:rsidRPr="00D4309F">
        <w:t>refraction</w:t>
      </w:r>
      <w:r w:rsidRPr="00D4309F">
        <w:rPr>
          <w:spacing w:val="-3"/>
        </w:rPr>
        <w:t xml:space="preserve"> </w:t>
      </w:r>
      <w:r w:rsidRPr="00D4309F">
        <w:t>and</w:t>
      </w:r>
      <w:r w:rsidRPr="00D4309F">
        <w:rPr>
          <w:spacing w:val="-3"/>
        </w:rPr>
        <w:t xml:space="preserve"> </w:t>
      </w:r>
      <w:r w:rsidRPr="00D4309F">
        <w:t>impacts</w:t>
      </w:r>
      <w:r w:rsidRPr="00D4309F">
        <w:rPr>
          <w:spacing w:val="-2"/>
        </w:rPr>
        <w:t xml:space="preserve"> </w:t>
      </w:r>
      <w:r w:rsidRPr="00D4309F">
        <w:t>to</w:t>
      </w:r>
      <w:r w:rsidRPr="00D4309F">
        <w:rPr>
          <w:spacing w:val="-3"/>
        </w:rPr>
        <w:t xml:space="preserve"> </w:t>
      </w:r>
      <w:r w:rsidRPr="00D4309F">
        <w:t>the</w:t>
      </w:r>
      <w:r w:rsidRPr="00D4309F">
        <w:rPr>
          <w:spacing w:val="-3"/>
        </w:rPr>
        <w:t xml:space="preserve"> </w:t>
      </w:r>
      <w:r w:rsidRPr="00D4309F">
        <w:t>wave</w:t>
      </w:r>
      <w:r w:rsidRPr="00D4309F">
        <w:rPr>
          <w:spacing w:val="-3"/>
        </w:rPr>
        <w:t xml:space="preserve"> </w:t>
      </w:r>
      <w:r w:rsidRPr="00D4309F">
        <w:t>field</w:t>
      </w:r>
      <w:r w:rsidRPr="00D4309F">
        <w:rPr>
          <w:spacing w:val="-3"/>
        </w:rPr>
        <w:t xml:space="preserve"> </w:t>
      </w:r>
      <w:r w:rsidRPr="00D4309F">
        <w:t>caused</w:t>
      </w:r>
      <w:r w:rsidRPr="00D4309F">
        <w:rPr>
          <w:spacing w:val="-3"/>
        </w:rPr>
        <w:t xml:space="preserve"> </w:t>
      </w:r>
      <w:r w:rsidRPr="00D4309F">
        <w:t>by</w:t>
      </w:r>
      <w:r w:rsidRPr="00D4309F">
        <w:rPr>
          <w:spacing w:val="-2"/>
        </w:rPr>
        <w:t xml:space="preserve"> </w:t>
      </w:r>
      <w:r w:rsidRPr="00D4309F">
        <w:t>wave</w:t>
      </w:r>
      <w:r w:rsidRPr="00D4309F">
        <w:rPr>
          <w:spacing w:val="-3"/>
        </w:rPr>
        <w:t xml:space="preserve"> </w:t>
      </w:r>
      <w:r w:rsidRPr="00D4309F">
        <w:t>breaking</w:t>
      </w:r>
      <w:r w:rsidRPr="00D4309F">
        <w:rPr>
          <w:spacing w:val="-3"/>
        </w:rPr>
        <w:t xml:space="preserve"> </w:t>
      </w:r>
      <w:r w:rsidRPr="00D4309F">
        <w:t>and</w:t>
      </w:r>
      <w:r w:rsidRPr="00D4309F">
        <w:rPr>
          <w:spacing w:val="-3"/>
        </w:rPr>
        <w:t xml:space="preserve"> </w:t>
      </w:r>
      <w:r w:rsidRPr="00D4309F">
        <w:t>shoaling</w:t>
      </w:r>
      <w:r w:rsidRPr="00D4309F">
        <w:rPr>
          <w:spacing w:val="-3"/>
        </w:rPr>
        <w:t xml:space="preserve"> </w:t>
      </w:r>
      <w:r w:rsidRPr="00D4309F">
        <w:t>can</w:t>
      </w:r>
      <w:r w:rsidRPr="00D4309F">
        <w:rPr>
          <w:spacing w:val="-4"/>
        </w:rPr>
        <w:t xml:space="preserve"> </w:t>
      </w:r>
      <w:r w:rsidRPr="00D4309F">
        <w:t>also contribute to more challenging navigation conditions at the entrance.</w:t>
      </w:r>
    </w:p>
    <w:p w14:paraId="0C4637E1" w14:textId="77777777" w:rsidR="00725977" w:rsidRPr="00D4309F" w:rsidRDefault="00725977" w:rsidP="008E197E">
      <w:pPr>
        <w:pStyle w:val="ListBullet2"/>
      </w:pPr>
      <w:r w:rsidRPr="00D4309F">
        <w:t>Evidence</w:t>
      </w:r>
      <w:r w:rsidRPr="00D4309F">
        <w:rPr>
          <w:spacing w:val="-2"/>
        </w:rPr>
        <w:t xml:space="preserve"> </w:t>
      </w:r>
      <w:r w:rsidRPr="00D4309F">
        <w:t>of</w:t>
      </w:r>
      <w:r w:rsidRPr="00D4309F">
        <w:rPr>
          <w:spacing w:val="-2"/>
        </w:rPr>
        <w:t xml:space="preserve"> </w:t>
      </w:r>
      <w:r w:rsidRPr="00D4309F">
        <w:t>redirection</w:t>
      </w:r>
      <w:r w:rsidRPr="00D4309F">
        <w:rPr>
          <w:spacing w:val="-2"/>
        </w:rPr>
        <w:t xml:space="preserve"> </w:t>
      </w:r>
      <w:r w:rsidRPr="00D4309F">
        <w:t>of</w:t>
      </w:r>
      <w:r w:rsidRPr="00D4309F">
        <w:rPr>
          <w:spacing w:val="-2"/>
        </w:rPr>
        <w:t xml:space="preserve"> </w:t>
      </w:r>
      <w:r w:rsidRPr="00D4309F">
        <w:t>tidal</w:t>
      </w:r>
      <w:r w:rsidRPr="00D4309F">
        <w:rPr>
          <w:spacing w:val="-2"/>
        </w:rPr>
        <w:t xml:space="preserve"> </w:t>
      </w:r>
      <w:r w:rsidRPr="00D4309F">
        <w:t>ebb</w:t>
      </w:r>
      <w:r w:rsidRPr="00D4309F">
        <w:rPr>
          <w:spacing w:val="-2"/>
        </w:rPr>
        <w:t xml:space="preserve"> </w:t>
      </w:r>
      <w:r w:rsidRPr="00D4309F">
        <w:t>and</w:t>
      </w:r>
      <w:r w:rsidRPr="00D4309F">
        <w:rPr>
          <w:spacing w:val="-2"/>
        </w:rPr>
        <w:t xml:space="preserve"> </w:t>
      </w:r>
      <w:r w:rsidRPr="00D4309F">
        <w:t>flood</w:t>
      </w:r>
      <w:r w:rsidRPr="00D4309F">
        <w:rPr>
          <w:spacing w:val="-2"/>
        </w:rPr>
        <w:t xml:space="preserve"> </w:t>
      </w:r>
      <w:r w:rsidRPr="00D4309F">
        <w:t>flows</w:t>
      </w:r>
      <w:r w:rsidRPr="00D4309F">
        <w:rPr>
          <w:spacing w:val="-1"/>
        </w:rPr>
        <w:t xml:space="preserve"> </w:t>
      </w:r>
      <w:r w:rsidRPr="00D4309F">
        <w:t>at</w:t>
      </w:r>
      <w:r w:rsidRPr="00D4309F">
        <w:rPr>
          <w:spacing w:val="-2"/>
        </w:rPr>
        <w:t xml:space="preserve"> </w:t>
      </w:r>
      <w:r w:rsidRPr="00D4309F">
        <w:t>the</w:t>
      </w:r>
      <w:r w:rsidRPr="00D4309F">
        <w:rPr>
          <w:spacing w:val="-2"/>
        </w:rPr>
        <w:t xml:space="preserve"> </w:t>
      </w:r>
      <w:r w:rsidRPr="00D4309F">
        <w:t>entrance</w:t>
      </w:r>
      <w:r w:rsidRPr="00D4309F">
        <w:rPr>
          <w:spacing w:val="-2"/>
        </w:rPr>
        <w:t xml:space="preserve"> </w:t>
      </w:r>
      <w:r w:rsidRPr="00D4309F">
        <w:t>as</w:t>
      </w:r>
      <w:r w:rsidRPr="00D4309F">
        <w:rPr>
          <w:spacing w:val="-1"/>
        </w:rPr>
        <w:t xml:space="preserve"> </w:t>
      </w:r>
      <w:r w:rsidRPr="00D4309F">
        <w:t>the</w:t>
      </w:r>
      <w:r w:rsidRPr="00D4309F">
        <w:rPr>
          <w:spacing w:val="-2"/>
        </w:rPr>
        <w:t xml:space="preserve"> </w:t>
      </w:r>
      <w:r w:rsidRPr="00D4309F">
        <w:t>shoal</w:t>
      </w:r>
      <w:r w:rsidRPr="00D4309F">
        <w:rPr>
          <w:spacing w:val="-2"/>
        </w:rPr>
        <w:t xml:space="preserve"> </w:t>
      </w:r>
      <w:r w:rsidRPr="00D4309F">
        <w:t>forms</w:t>
      </w:r>
      <w:r w:rsidRPr="00D4309F">
        <w:rPr>
          <w:spacing w:val="-1"/>
        </w:rPr>
        <w:t xml:space="preserve"> </w:t>
      </w:r>
      <w:r w:rsidRPr="00D4309F">
        <w:t>from</w:t>
      </w:r>
      <w:r w:rsidRPr="00D4309F">
        <w:rPr>
          <w:spacing w:val="-2"/>
        </w:rPr>
        <w:t xml:space="preserve"> </w:t>
      </w:r>
      <w:r w:rsidRPr="00D4309F">
        <w:t>the</w:t>
      </w:r>
      <w:r w:rsidRPr="00D4309F">
        <w:rPr>
          <w:spacing w:val="-2"/>
        </w:rPr>
        <w:t xml:space="preserve"> </w:t>
      </w:r>
      <w:r w:rsidRPr="00D4309F">
        <w:t>east towards the west, typically directing the tidal channel to a more westward direction.</w:t>
      </w:r>
    </w:p>
    <w:p w14:paraId="7CDA7964" w14:textId="77777777" w:rsidR="00725977" w:rsidRPr="00D4309F" w:rsidRDefault="00725977" w:rsidP="00725977">
      <w:pPr>
        <w:pStyle w:val="BodyText"/>
      </w:pPr>
      <w:r w:rsidRPr="00D4309F">
        <w:t>The</w:t>
      </w:r>
      <w:r w:rsidRPr="00D4309F">
        <w:rPr>
          <w:spacing w:val="-6"/>
        </w:rPr>
        <w:t xml:space="preserve"> </w:t>
      </w:r>
      <w:r w:rsidRPr="00D4309F">
        <w:t>following</w:t>
      </w:r>
      <w:r w:rsidRPr="00D4309F">
        <w:rPr>
          <w:spacing w:val="-5"/>
        </w:rPr>
        <w:t xml:space="preserve"> </w:t>
      </w:r>
      <w:r w:rsidRPr="00D4309F">
        <w:t>long-term</w:t>
      </w:r>
      <w:r w:rsidRPr="00D4309F">
        <w:rPr>
          <w:spacing w:val="-4"/>
        </w:rPr>
        <w:t xml:space="preserve"> </w:t>
      </w:r>
      <w:r w:rsidRPr="00D4309F">
        <w:t>options</w:t>
      </w:r>
      <w:r w:rsidRPr="00D4309F">
        <w:rPr>
          <w:spacing w:val="-3"/>
        </w:rPr>
        <w:t xml:space="preserve"> </w:t>
      </w:r>
      <w:r w:rsidRPr="00D4309F">
        <w:t>were</w:t>
      </w:r>
      <w:r w:rsidRPr="00D4309F">
        <w:rPr>
          <w:spacing w:val="-4"/>
        </w:rPr>
        <w:t xml:space="preserve"> </w:t>
      </w:r>
      <w:r w:rsidRPr="00D4309F">
        <w:t>identified</w:t>
      </w:r>
      <w:r w:rsidRPr="00D4309F">
        <w:rPr>
          <w:spacing w:val="-4"/>
        </w:rPr>
        <w:t xml:space="preserve"> </w:t>
      </w:r>
      <w:r w:rsidRPr="00D4309F">
        <w:t>for</w:t>
      </w:r>
      <w:r w:rsidRPr="00D4309F">
        <w:rPr>
          <w:spacing w:val="-4"/>
        </w:rPr>
        <w:t xml:space="preserve"> </w:t>
      </w:r>
      <w:r w:rsidRPr="00D4309F">
        <w:t>assessment</w:t>
      </w:r>
      <w:r w:rsidRPr="00D4309F">
        <w:rPr>
          <w:spacing w:val="-4"/>
        </w:rPr>
        <w:t xml:space="preserve"> </w:t>
      </w:r>
      <w:r w:rsidRPr="00D4309F">
        <w:t>and</w:t>
      </w:r>
      <w:r w:rsidRPr="00D4309F">
        <w:rPr>
          <w:spacing w:val="-4"/>
        </w:rPr>
        <w:t xml:space="preserve"> </w:t>
      </w:r>
      <w:r w:rsidRPr="00D4309F">
        <w:t>evaluation</w:t>
      </w:r>
      <w:r w:rsidRPr="00D4309F">
        <w:rPr>
          <w:spacing w:val="-3"/>
        </w:rPr>
        <w:t xml:space="preserve"> </w:t>
      </w:r>
      <w:r w:rsidRPr="00D4309F">
        <w:t>in</w:t>
      </w:r>
      <w:r w:rsidRPr="00D4309F">
        <w:rPr>
          <w:spacing w:val="-4"/>
        </w:rPr>
        <w:t xml:space="preserve"> </w:t>
      </w:r>
      <w:r w:rsidRPr="00D4309F">
        <w:t>Part</w:t>
      </w:r>
      <w:r w:rsidRPr="00D4309F">
        <w:rPr>
          <w:spacing w:val="-4"/>
        </w:rPr>
        <w:t xml:space="preserve"> </w:t>
      </w:r>
      <w:r w:rsidRPr="00D4309F">
        <w:rPr>
          <w:spacing w:val="-5"/>
        </w:rPr>
        <w:t>2:</w:t>
      </w:r>
    </w:p>
    <w:p w14:paraId="646FFC8B" w14:textId="77777777" w:rsidR="00725977" w:rsidRPr="00D4309F" w:rsidRDefault="00725977" w:rsidP="008E197E">
      <w:pPr>
        <w:pStyle w:val="ListNumber"/>
      </w:pPr>
      <w:r w:rsidRPr="00D4309F">
        <w:t>Permanent</w:t>
      </w:r>
      <w:r w:rsidRPr="00D4309F">
        <w:rPr>
          <w:spacing w:val="-6"/>
        </w:rPr>
        <w:t xml:space="preserve"> </w:t>
      </w:r>
      <w:r w:rsidRPr="00D4309F">
        <w:t>Automated</w:t>
      </w:r>
      <w:r w:rsidRPr="00D4309F">
        <w:rPr>
          <w:spacing w:val="-5"/>
        </w:rPr>
        <w:t xml:space="preserve"> </w:t>
      </w:r>
      <w:r w:rsidRPr="00D4309F">
        <w:t>Sand</w:t>
      </w:r>
      <w:r w:rsidRPr="00D4309F">
        <w:rPr>
          <w:spacing w:val="-5"/>
        </w:rPr>
        <w:t xml:space="preserve"> </w:t>
      </w:r>
      <w:r w:rsidRPr="00D4309F">
        <w:t>Bypassing</w:t>
      </w:r>
      <w:r w:rsidRPr="00D4309F">
        <w:rPr>
          <w:spacing w:val="-5"/>
        </w:rPr>
        <w:t xml:space="preserve"> </w:t>
      </w:r>
      <w:r w:rsidRPr="00D4309F">
        <w:rPr>
          <w:spacing w:val="-2"/>
        </w:rPr>
        <w:t>System</w:t>
      </w:r>
    </w:p>
    <w:p w14:paraId="37384D38" w14:textId="77777777" w:rsidR="00725977" w:rsidRPr="00D4309F" w:rsidRDefault="00725977" w:rsidP="008E197E">
      <w:pPr>
        <w:pStyle w:val="ListNumber"/>
      </w:pPr>
      <w:r w:rsidRPr="00D4309F">
        <w:t>Increased</w:t>
      </w:r>
      <w:r w:rsidRPr="00D4309F">
        <w:rPr>
          <w:spacing w:val="-4"/>
        </w:rPr>
        <w:t xml:space="preserve"> </w:t>
      </w:r>
      <w:r w:rsidRPr="00D4309F">
        <w:t>Dredge</w:t>
      </w:r>
      <w:r w:rsidRPr="00D4309F">
        <w:rPr>
          <w:spacing w:val="-4"/>
        </w:rPr>
        <w:t xml:space="preserve"> </w:t>
      </w:r>
      <w:r w:rsidRPr="00D4309F">
        <w:t>Channel</w:t>
      </w:r>
      <w:r w:rsidRPr="00D4309F">
        <w:rPr>
          <w:spacing w:val="-4"/>
        </w:rPr>
        <w:t xml:space="preserve"> </w:t>
      </w:r>
      <w:r w:rsidRPr="00D4309F">
        <w:t>Depth</w:t>
      </w:r>
      <w:r w:rsidRPr="00D4309F">
        <w:rPr>
          <w:spacing w:val="-3"/>
        </w:rPr>
        <w:t xml:space="preserve"> </w:t>
      </w:r>
      <w:r w:rsidRPr="00D4309F">
        <w:t>with</w:t>
      </w:r>
      <w:r w:rsidRPr="00D4309F">
        <w:rPr>
          <w:spacing w:val="-5"/>
        </w:rPr>
        <w:t xml:space="preserve"> </w:t>
      </w:r>
      <w:r w:rsidRPr="00D4309F">
        <w:t>Rock</w:t>
      </w:r>
      <w:r w:rsidRPr="00D4309F">
        <w:rPr>
          <w:spacing w:val="-2"/>
        </w:rPr>
        <w:t xml:space="preserve"> Excavation</w:t>
      </w:r>
    </w:p>
    <w:p w14:paraId="05F72654" w14:textId="77777777" w:rsidR="00725977" w:rsidRPr="00D4309F" w:rsidRDefault="00725977" w:rsidP="008E197E">
      <w:pPr>
        <w:pStyle w:val="ListNumber"/>
      </w:pPr>
      <w:r w:rsidRPr="00D4309F">
        <w:t>Excavated</w:t>
      </w:r>
      <w:r w:rsidRPr="00D4309F">
        <w:rPr>
          <w:spacing w:val="-6"/>
        </w:rPr>
        <w:t xml:space="preserve"> </w:t>
      </w:r>
      <w:r w:rsidRPr="00D4309F">
        <w:t>Headland</w:t>
      </w:r>
      <w:r w:rsidRPr="00D4309F">
        <w:rPr>
          <w:spacing w:val="-5"/>
        </w:rPr>
        <w:t xml:space="preserve"> </w:t>
      </w:r>
      <w:r w:rsidRPr="00D4309F">
        <w:t>Sand</w:t>
      </w:r>
      <w:r w:rsidRPr="00D4309F">
        <w:rPr>
          <w:spacing w:val="-5"/>
        </w:rPr>
        <w:t xml:space="preserve"> </w:t>
      </w:r>
      <w:r w:rsidRPr="00D4309F">
        <w:rPr>
          <w:spacing w:val="-4"/>
        </w:rPr>
        <w:t>Trap</w:t>
      </w:r>
    </w:p>
    <w:p w14:paraId="758614D7" w14:textId="77777777" w:rsidR="00725977" w:rsidRPr="00D4309F" w:rsidRDefault="00725977" w:rsidP="008E197E">
      <w:pPr>
        <w:pStyle w:val="ListNumber"/>
      </w:pPr>
      <w:r w:rsidRPr="00D4309F">
        <w:t>Eastern</w:t>
      </w:r>
      <w:r w:rsidRPr="00D4309F">
        <w:rPr>
          <w:spacing w:val="-5"/>
        </w:rPr>
        <w:t xml:space="preserve"> </w:t>
      </w:r>
      <w:r w:rsidRPr="00D4309F">
        <w:t>Breakwater</w:t>
      </w:r>
      <w:r w:rsidRPr="00D4309F">
        <w:rPr>
          <w:spacing w:val="-4"/>
        </w:rPr>
        <w:t xml:space="preserve"> </w:t>
      </w:r>
      <w:r w:rsidRPr="00D4309F">
        <w:rPr>
          <w:spacing w:val="-2"/>
        </w:rPr>
        <w:t>Extension</w:t>
      </w:r>
    </w:p>
    <w:p w14:paraId="33DA8261" w14:textId="77777777" w:rsidR="00725977" w:rsidRPr="00D4309F" w:rsidRDefault="00725977" w:rsidP="008E197E">
      <w:pPr>
        <w:pStyle w:val="ListNumber"/>
      </w:pPr>
      <w:r w:rsidRPr="00D4309F">
        <w:t>Buddina</w:t>
      </w:r>
      <w:r w:rsidRPr="00D4309F">
        <w:rPr>
          <w:spacing w:val="-4"/>
        </w:rPr>
        <w:t xml:space="preserve"> </w:t>
      </w:r>
      <w:r w:rsidRPr="00D4309F">
        <w:t>Beach</w:t>
      </w:r>
      <w:r w:rsidRPr="00D4309F">
        <w:rPr>
          <w:spacing w:val="-4"/>
        </w:rPr>
        <w:t xml:space="preserve"> </w:t>
      </w:r>
      <w:r w:rsidRPr="00D4309F">
        <w:t>sand</w:t>
      </w:r>
      <w:r w:rsidRPr="00D4309F">
        <w:rPr>
          <w:spacing w:val="-3"/>
        </w:rPr>
        <w:t xml:space="preserve"> </w:t>
      </w:r>
      <w:r w:rsidRPr="00D4309F">
        <w:rPr>
          <w:spacing w:val="-4"/>
        </w:rPr>
        <w:t>trap</w:t>
      </w:r>
    </w:p>
    <w:p w14:paraId="60C889E5" w14:textId="77777777" w:rsidR="00725977" w:rsidRPr="00D4309F" w:rsidRDefault="00725977" w:rsidP="008E197E">
      <w:pPr>
        <w:pStyle w:val="ListNumber"/>
      </w:pPr>
      <w:r w:rsidRPr="00D4309F">
        <w:t>Western</w:t>
      </w:r>
      <w:r w:rsidRPr="00D4309F">
        <w:rPr>
          <w:spacing w:val="-4"/>
        </w:rPr>
        <w:t xml:space="preserve"> </w:t>
      </w:r>
      <w:r w:rsidRPr="00D4309F">
        <w:t>Channel</w:t>
      </w:r>
      <w:r w:rsidRPr="00D4309F">
        <w:rPr>
          <w:spacing w:val="-4"/>
        </w:rPr>
        <w:t xml:space="preserve"> </w:t>
      </w:r>
      <w:r w:rsidRPr="00D4309F">
        <w:t>Concept</w:t>
      </w:r>
      <w:r w:rsidRPr="00D4309F">
        <w:rPr>
          <w:spacing w:val="-5"/>
        </w:rPr>
        <w:t xml:space="preserve"> </w:t>
      </w:r>
      <w:r w:rsidRPr="00D4309F">
        <w:t>Plan</w:t>
      </w:r>
      <w:r w:rsidRPr="00D4309F">
        <w:rPr>
          <w:spacing w:val="-4"/>
        </w:rPr>
        <w:t xml:space="preserve"> </w:t>
      </w:r>
      <w:r w:rsidRPr="00D4309F">
        <w:t>–</w:t>
      </w:r>
      <w:r w:rsidRPr="00D4309F">
        <w:rPr>
          <w:spacing w:val="-3"/>
        </w:rPr>
        <w:t xml:space="preserve"> </w:t>
      </w:r>
      <w:r w:rsidRPr="00D4309F">
        <w:t>shorten</w:t>
      </w:r>
      <w:r w:rsidRPr="00D4309F">
        <w:rPr>
          <w:spacing w:val="-4"/>
        </w:rPr>
        <w:t xml:space="preserve"> </w:t>
      </w:r>
      <w:r w:rsidRPr="00D4309F">
        <w:t>western</w:t>
      </w:r>
      <w:r w:rsidRPr="00D4309F">
        <w:rPr>
          <w:spacing w:val="-3"/>
        </w:rPr>
        <w:t xml:space="preserve"> </w:t>
      </w:r>
      <w:r w:rsidRPr="00D4309F">
        <w:rPr>
          <w:spacing w:val="-4"/>
        </w:rPr>
        <w:t>wall</w:t>
      </w:r>
    </w:p>
    <w:p w14:paraId="3ED1C191" w14:textId="68AAF763" w:rsidR="00725977" w:rsidRPr="00D4309F" w:rsidRDefault="00725977" w:rsidP="00DA5995">
      <w:pPr>
        <w:pStyle w:val="BodyText"/>
        <w:rPr>
          <w:b/>
        </w:rPr>
      </w:pPr>
      <w:r w:rsidRPr="00DA5995">
        <w:rPr>
          <w:b/>
          <w:bCs/>
        </w:rPr>
        <w:t>Recommendations</w:t>
      </w:r>
    </w:p>
    <w:p w14:paraId="0FFBB916" w14:textId="77777777" w:rsidR="00725977" w:rsidRPr="00D4309F" w:rsidRDefault="00725977" w:rsidP="00D27F26">
      <w:pPr>
        <w:pStyle w:val="ListNumber"/>
        <w:numPr>
          <w:ilvl w:val="0"/>
          <w:numId w:val="480"/>
        </w:numPr>
      </w:pPr>
      <w:r w:rsidRPr="00D4309F">
        <w:t>Continue</w:t>
      </w:r>
      <w:r w:rsidRPr="00D4309F">
        <w:rPr>
          <w:spacing w:val="-3"/>
        </w:rPr>
        <w:t xml:space="preserve"> </w:t>
      </w:r>
      <w:r w:rsidRPr="00D4309F">
        <w:t>with</w:t>
      </w:r>
      <w:r w:rsidRPr="00D4309F">
        <w:rPr>
          <w:spacing w:val="-4"/>
        </w:rPr>
        <w:t xml:space="preserve"> </w:t>
      </w:r>
      <w:r w:rsidRPr="00D4309F">
        <w:t>the</w:t>
      </w:r>
      <w:r w:rsidRPr="00D4309F">
        <w:rPr>
          <w:spacing w:val="-3"/>
        </w:rPr>
        <w:t xml:space="preserve"> </w:t>
      </w:r>
      <w:r w:rsidRPr="00D4309F">
        <w:t>existing</w:t>
      </w:r>
      <w:r w:rsidRPr="00D4309F">
        <w:rPr>
          <w:spacing w:val="-3"/>
        </w:rPr>
        <w:t xml:space="preserve"> </w:t>
      </w:r>
      <w:r w:rsidRPr="00D4309F">
        <w:t>maintenance</w:t>
      </w:r>
      <w:r w:rsidRPr="00D4309F">
        <w:rPr>
          <w:spacing w:val="-3"/>
        </w:rPr>
        <w:t xml:space="preserve"> </w:t>
      </w:r>
      <w:r w:rsidRPr="00D4309F">
        <w:t>and</w:t>
      </w:r>
      <w:r w:rsidRPr="00D4309F">
        <w:rPr>
          <w:spacing w:val="-3"/>
        </w:rPr>
        <w:t xml:space="preserve"> </w:t>
      </w:r>
      <w:r w:rsidRPr="00D4309F">
        <w:t>targeted</w:t>
      </w:r>
      <w:r w:rsidRPr="00D4309F">
        <w:rPr>
          <w:spacing w:val="-3"/>
        </w:rPr>
        <w:t xml:space="preserve"> </w:t>
      </w:r>
      <w:r w:rsidRPr="00D4309F">
        <w:t>dredging</w:t>
      </w:r>
      <w:r w:rsidRPr="00D4309F">
        <w:rPr>
          <w:spacing w:val="-3"/>
        </w:rPr>
        <w:t xml:space="preserve"> </w:t>
      </w:r>
      <w:r w:rsidRPr="00D4309F">
        <w:t>strategy</w:t>
      </w:r>
      <w:r w:rsidRPr="00D4309F">
        <w:rPr>
          <w:spacing w:val="-2"/>
        </w:rPr>
        <w:t xml:space="preserve"> </w:t>
      </w:r>
      <w:r w:rsidRPr="00D4309F">
        <w:t>in</w:t>
      </w:r>
      <w:r w:rsidRPr="00D4309F">
        <w:rPr>
          <w:spacing w:val="-3"/>
        </w:rPr>
        <w:t xml:space="preserve"> </w:t>
      </w:r>
      <w:r w:rsidRPr="00D4309F">
        <w:t>the</w:t>
      </w:r>
      <w:r w:rsidRPr="00D4309F">
        <w:rPr>
          <w:spacing w:val="-3"/>
        </w:rPr>
        <w:t xml:space="preserve"> </w:t>
      </w:r>
      <w:r w:rsidRPr="00D4309F">
        <w:t>short-term,</w:t>
      </w:r>
      <w:r w:rsidRPr="00D4309F">
        <w:rPr>
          <w:spacing w:val="-3"/>
        </w:rPr>
        <w:t xml:space="preserve"> </w:t>
      </w:r>
      <w:r w:rsidRPr="00D4309F">
        <w:t>with</w:t>
      </w:r>
      <w:r w:rsidRPr="00D4309F">
        <w:rPr>
          <w:spacing w:val="-3"/>
        </w:rPr>
        <w:t xml:space="preserve"> </w:t>
      </w:r>
      <w:r w:rsidRPr="00D4309F">
        <w:t>the use</w:t>
      </w:r>
      <w:r w:rsidRPr="00D4309F">
        <w:rPr>
          <w:spacing w:val="-1"/>
        </w:rPr>
        <w:t xml:space="preserve"> </w:t>
      </w:r>
      <w:r w:rsidRPr="00D4309F">
        <w:t>of</w:t>
      </w:r>
      <w:r w:rsidRPr="00D4309F">
        <w:rPr>
          <w:spacing w:val="-1"/>
        </w:rPr>
        <w:t xml:space="preserve"> </w:t>
      </w:r>
      <w:r w:rsidRPr="00D4309F">
        <w:t>cutter</w:t>
      </w:r>
      <w:r w:rsidRPr="00D4309F">
        <w:rPr>
          <w:spacing w:val="-2"/>
        </w:rPr>
        <w:t xml:space="preserve"> </w:t>
      </w:r>
      <w:r w:rsidRPr="00D4309F">
        <w:t>suction</w:t>
      </w:r>
      <w:r w:rsidRPr="00D4309F">
        <w:rPr>
          <w:spacing w:val="-1"/>
        </w:rPr>
        <w:t xml:space="preserve"> </w:t>
      </w:r>
      <w:r w:rsidRPr="00D4309F">
        <w:t>dredgers.</w:t>
      </w:r>
      <w:r w:rsidRPr="00D4309F">
        <w:rPr>
          <w:spacing w:val="-1"/>
        </w:rPr>
        <w:t xml:space="preserve"> </w:t>
      </w:r>
      <w:r w:rsidRPr="00D4309F">
        <w:t>This strategy is approved</w:t>
      </w:r>
      <w:r w:rsidRPr="00D4309F">
        <w:rPr>
          <w:spacing w:val="-1"/>
        </w:rPr>
        <w:t xml:space="preserve"> </w:t>
      </w:r>
      <w:r w:rsidRPr="00D4309F">
        <w:t>and</w:t>
      </w:r>
      <w:r w:rsidRPr="00D4309F">
        <w:rPr>
          <w:spacing w:val="-1"/>
        </w:rPr>
        <w:t xml:space="preserve"> </w:t>
      </w:r>
      <w:r w:rsidRPr="00D4309F">
        <w:t>the</w:t>
      </w:r>
      <w:r w:rsidRPr="00D4309F">
        <w:rPr>
          <w:spacing w:val="-2"/>
        </w:rPr>
        <w:t xml:space="preserve"> </w:t>
      </w:r>
      <w:r w:rsidRPr="00D4309F">
        <w:t>current</w:t>
      </w:r>
      <w:r w:rsidRPr="00D4309F">
        <w:rPr>
          <w:spacing w:val="-1"/>
        </w:rPr>
        <w:t xml:space="preserve"> </w:t>
      </w:r>
      <w:r w:rsidRPr="00D4309F">
        <w:t>most</w:t>
      </w:r>
      <w:r w:rsidRPr="00D4309F">
        <w:rPr>
          <w:spacing w:val="-1"/>
        </w:rPr>
        <w:t xml:space="preserve"> </w:t>
      </w:r>
      <w:r w:rsidRPr="00D4309F">
        <w:t>effective</w:t>
      </w:r>
      <w:r w:rsidRPr="00D4309F">
        <w:rPr>
          <w:spacing w:val="-1"/>
        </w:rPr>
        <w:t xml:space="preserve"> </w:t>
      </w:r>
      <w:r w:rsidRPr="00D4309F">
        <w:t>option</w:t>
      </w:r>
      <w:r w:rsidRPr="00D4309F">
        <w:rPr>
          <w:spacing w:val="-2"/>
        </w:rPr>
        <w:t xml:space="preserve"> </w:t>
      </w:r>
      <w:r w:rsidRPr="00D4309F">
        <w:t>to</w:t>
      </w:r>
      <w:r w:rsidRPr="00D4309F">
        <w:rPr>
          <w:spacing w:val="-1"/>
        </w:rPr>
        <w:t xml:space="preserve"> </w:t>
      </w:r>
      <w:r w:rsidRPr="00D4309F">
        <w:t>react</w:t>
      </w:r>
      <w:r w:rsidRPr="00D4309F">
        <w:rPr>
          <w:spacing w:val="-1"/>
        </w:rPr>
        <w:t xml:space="preserve"> </w:t>
      </w:r>
      <w:r w:rsidRPr="00D4309F">
        <w:t>to shoaling events and maintain safe channel depths in the entrance.</w:t>
      </w:r>
    </w:p>
    <w:p w14:paraId="46F83990" w14:textId="77777777" w:rsidR="00725977" w:rsidRPr="00D4309F" w:rsidRDefault="00725977" w:rsidP="008E197E">
      <w:pPr>
        <w:pStyle w:val="ListNumber"/>
      </w:pPr>
      <w:r w:rsidRPr="00D4309F">
        <w:t>Any improvements to site monitoring and the numerical modelling tool should be brought in to improve the</w:t>
      </w:r>
      <w:r w:rsidRPr="00D4309F">
        <w:rPr>
          <w:spacing w:val="-3"/>
        </w:rPr>
        <w:t xml:space="preserve"> </w:t>
      </w:r>
      <w:r w:rsidRPr="00D4309F">
        <w:t>timeliness</w:t>
      </w:r>
      <w:r w:rsidRPr="00D4309F">
        <w:rPr>
          <w:spacing w:val="-3"/>
        </w:rPr>
        <w:t xml:space="preserve"> </w:t>
      </w:r>
      <w:r w:rsidRPr="00D4309F">
        <w:t>of</w:t>
      </w:r>
      <w:r w:rsidRPr="00D4309F">
        <w:rPr>
          <w:spacing w:val="-3"/>
        </w:rPr>
        <w:t xml:space="preserve"> </w:t>
      </w:r>
      <w:r w:rsidRPr="00D4309F">
        <w:t>maintenance</w:t>
      </w:r>
      <w:r w:rsidRPr="00D4309F">
        <w:rPr>
          <w:spacing w:val="-3"/>
        </w:rPr>
        <w:t xml:space="preserve"> </w:t>
      </w:r>
      <w:r w:rsidRPr="00D4309F">
        <w:t>dredging</w:t>
      </w:r>
      <w:r w:rsidRPr="00D4309F">
        <w:rPr>
          <w:spacing w:val="-3"/>
        </w:rPr>
        <w:t xml:space="preserve"> </w:t>
      </w:r>
      <w:r w:rsidRPr="00D4309F">
        <w:t>and</w:t>
      </w:r>
      <w:r w:rsidRPr="00D4309F">
        <w:rPr>
          <w:spacing w:val="-3"/>
        </w:rPr>
        <w:t xml:space="preserve"> </w:t>
      </w:r>
      <w:r w:rsidRPr="00D4309F">
        <w:t>reactive</w:t>
      </w:r>
      <w:r w:rsidRPr="00D4309F">
        <w:rPr>
          <w:spacing w:val="-3"/>
        </w:rPr>
        <w:t xml:space="preserve"> </w:t>
      </w:r>
      <w:r w:rsidRPr="00D4309F">
        <w:t>targeted</w:t>
      </w:r>
      <w:r w:rsidRPr="00D4309F">
        <w:rPr>
          <w:spacing w:val="-3"/>
        </w:rPr>
        <w:t xml:space="preserve"> </w:t>
      </w:r>
      <w:r w:rsidRPr="00D4309F">
        <w:t>dredged</w:t>
      </w:r>
      <w:r w:rsidRPr="00D4309F">
        <w:rPr>
          <w:spacing w:val="-3"/>
        </w:rPr>
        <w:t xml:space="preserve"> </w:t>
      </w:r>
      <w:r w:rsidRPr="00D4309F">
        <w:t>as</w:t>
      </w:r>
      <w:r w:rsidRPr="00D4309F">
        <w:rPr>
          <w:spacing w:val="-2"/>
        </w:rPr>
        <w:t xml:space="preserve"> </w:t>
      </w:r>
      <w:r w:rsidRPr="00D4309F">
        <w:t>much</w:t>
      </w:r>
      <w:r w:rsidRPr="00D4309F">
        <w:rPr>
          <w:spacing w:val="-3"/>
        </w:rPr>
        <w:t xml:space="preserve"> </w:t>
      </w:r>
      <w:r w:rsidRPr="00D4309F">
        <w:t>as</w:t>
      </w:r>
      <w:r w:rsidRPr="00D4309F">
        <w:rPr>
          <w:spacing w:val="-2"/>
        </w:rPr>
        <w:t xml:space="preserve"> </w:t>
      </w:r>
      <w:r w:rsidRPr="00D4309F">
        <w:t>possible.</w:t>
      </w:r>
      <w:r w:rsidRPr="00D4309F">
        <w:rPr>
          <w:spacing w:val="-5"/>
        </w:rPr>
        <w:t xml:space="preserve"> </w:t>
      </w:r>
      <w:r w:rsidRPr="00D4309F">
        <w:t>In</w:t>
      </w:r>
      <w:r w:rsidRPr="00D4309F">
        <w:rPr>
          <w:spacing w:val="-3"/>
        </w:rPr>
        <w:t xml:space="preserve"> </w:t>
      </w:r>
      <w:r w:rsidRPr="00D4309F">
        <w:t>regard</w:t>
      </w:r>
      <w:r w:rsidRPr="00D4309F">
        <w:rPr>
          <w:spacing w:val="-3"/>
        </w:rPr>
        <w:t xml:space="preserve"> </w:t>
      </w:r>
      <w:r w:rsidRPr="00D4309F">
        <w:t>to the Shoal Sand Numerical Model, the following should be considered to improve the use of the existing model or the overall monitoring and prediction of sand shoals:</w:t>
      </w:r>
    </w:p>
    <w:p w14:paraId="3BC52879" w14:textId="77777777" w:rsidR="00725977" w:rsidRPr="00D4309F" w:rsidRDefault="00725977" w:rsidP="00D27F26">
      <w:pPr>
        <w:pStyle w:val="ListParagraph"/>
        <w:widowControl w:val="0"/>
        <w:numPr>
          <w:ilvl w:val="1"/>
          <w:numId w:val="477"/>
        </w:numPr>
        <w:tabs>
          <w:tab w:val="left" w:pos="1352"/>
        </w:tabs>
        <w:autoSpaceDE w:val="0"/>
        <w:autoSpaceDN w:val="0"/>
        <w:spacing w:before="121" w:after="0" w:line="240" w:lineRule="auto"/>
        <w:ind w:right="646"/>
        <w:contextualSpacing w:val="0"/>
      </w:pPr>
      <w:r w:rsidRPr="00D4309F">
        <w:rPr>
          <w:color w:val="211E1F"/>
        </w:rPr>
        <w:t>Continue</w:t>
      </w:r>
      <w:r w:rsidRPr="00D4309F">
        <w:rPr>
          <w:color w:val="211E1F"/>
          <w:spacing w:val="-3"/>
        </w:rPr>
        <w:t xml:space="preserve"> </w:t>
      </w:r>
      <w:r w:rsidRPr="00D4309F">
        <w:rPr>
          <w:color w:val="211E1F"/>
        </w:rPr>
        <w:t>to</w:t>
      </w:r>
      <w:r w:rsidRPr="00D4309F">
        <w:rPr>
          <w:color w:val="211E1F"/>
          <w:spacing w:val="-3"/>
        </w:rPr>
        <w:t xml:space="preserve"> </w:t>
      </w:r>
      <w:r w:rsidRPr="00D4309F">
        <w:rPr>
          <w:color w:val="211E1F"/>
        </w:rPr>
        <w:t>incorporate</w:t>
      </w:r>
      <w:r w:rsidRPr="00D4309F">
        <w:rPr>
          <w:color w:val="211E1F"/>
          <w:spacing w:val="-3"/>
        </w:rPr>
        <w:t xml:space="preserve"> </w:t>
      </w:r>
      <w:r w:rsidRPr="00D4309F">
        <w:rPr>
          <w:color w:val="211E1F"/>
        </w:rPr>
        <w:t>use</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drone</w:t>
      </w:r>
      <w:r w:rsidRPr="00D4309F">
        <w:rPr>
          <w:color w:val="211E1F"/>
          <w:spacing w:val="-3"/>
        </w:rPr>
        <w:t xml:space="preserve"> </w:t>
      </w:r>
      <w:r w:rsidRPr="00D4309F">
        <w:rPr>
          <w:color w:val="211E1F"/>
        </w:rPr>
        <w:t>monitoring</w:t>
      </w:r>
      <w:r w:rsidRPr="00D4309F">
        <w:rPr>
          <w:color w:val="211E1F"/>
          <w:spacing w:val="-3"/>
        </w:rPr>
        <w:t xml:space="preserve"> </w:t>
      </w:r>
      <w:r w:rsidRPr="00D4309F">
        <w:rPr>
          <w:color w:val="211E1F"/>
        </w:rPr>
        <w:t>data</w:t>
      </w:r>
      <w:r w:rsidRPr="00D4309F">
        <w:rPr>
          <w:color w:val="211E1F"/>
          <w:spacing w:val="-4"/>
        </w:rPr>
        <w:t xml:space="preserve"> </w:t>
      </w:r>
      <w:r w:rsidRPr="00D4309F">
        <w:rPr>
          <w:color w:val="211E1F"/>
        </w:rPr>
        <w:t>and</w:t>
      </w:r>
      <w:r w:rsidRPr="00D4309F">
        <w:rPr>
          <w:color w:val="211E1F"/>
          <w:spacing w:val="-3"/>
        </w:rPr>
        <w:t xml:space="preserve"> </w:t>
      </w:r>
      <w:r w:rsidRPr="00D4309F">
        <w:rPr>
          <w:color w:val="211E1F"/>
        </w:rPr>
        <w:t>available</w:t>
      </w:r>
      <w:r w:rsidRPr="00D4309F">
        <w:rPr>
          <w:color w:val="211E1F"/>
          <w:spacing w:val="-3"/>
        </w:rPr>
        <w:t xml:space="preserve"> </w:t>
      </w:r>
      <w:r w:rsidRPr="00D4309F">
        <w:rPr>
          <w:color w:val="211E1F"/>
        </w:rPr>
        <w:t>survey</w:t>
      </w:r>
      <w:r w:rsidRPr="00D4309F">
        <w:rPr>
          <w:color w:val="211E1F"/>
          <w:spacing w:val="-2"/>
        </w:rPr>
        <w:t xml:space="preserve"> </w:t>
      </w:r>
      <w:r w:rsidRPr="00D4309F">
        <w:rPr>
          <w:color w:val="211E1F"/>
        </w:rPr>
        <w:t>data</w:t>
      </w:r>
      <w:r w:rsidRPr="00D4309F">
        <w:rPr>
          <w:color w:val="211E1F"/>
          <w:spacing w:val="-4"/>
        </w:rPr>
        <w:t xml:space="preserve"> </w:t>
      </w:r>
      <w:r w:rsidRPr="00D4309F">
        <w:rPr>
          <w:color w:val="211E1F"/>
        </w:rPr>
        <w:t>to</w:t>
      </w:r>
      <w:r w:rsidRPr="00D4309F">
        <w:rPr>
          <w:color w:val="211E1F"/>
          <w:spacing w:val="-3"/>
        </w:rPr>
        <w:t xml:space="preserve"> </w:t>
      </w:r>
      <w:r w:rsidRPr="00D4309F">
        <w:rPr>
          <w:color w:val="211E1F"/>
        </w:rPr>
        <w:t>confirm</w:t>
      </w:r>
      <w:r w:rsidRPr="00D4309F">
        <w:rPr>
          <w:color w:val="211E1F"/>
          <w:spacing w:val="-3"/>
        </w:rPr>
        <w:t xml:space="preserve"> </w:t>
      </w:r>
      <w:r w:rsidRPr="00D4309F">
        <w:rPr>
          <w:color w:val="211E1F"/>
        </w:rPr>
        <w:t>reliability or re-calibrate the model over time.</w:t>
      </w:r>
    </w:p>
    <w:p w14:paraId="15AE77A9" w14:textId="77777777" w:rsidR="00725977" w:rsidRPr="00D4309F" w:rsidRDefault="00725977" w:rsidP="00D27F26">
      <w:pPr>
        <w:pStyle w:val="ListParagraph"/>
        <w:widowControl w:val="0"/>
        <w:numPr>
          <w:ilvl w:val="1"/>
          <w:numId w:val="477"/>
        </w:numPr>
        <w:tabs>
          <w:tab w:val="left" w:pos="1352"/>
        </w:tabs>
        <w:autoSpaceDE w:val="0"/>
        <w:autoSpaceDN w:val="0"/>
        <w:spacing w:before="121" w:after="0" w:line="240" w:lineRule="auto"/>
        <w:contextualSpacing w:val="0"/>
      </w:pPr>
      <w:r w:rsidRPr="00D4309F">
        <w:rPr>
          <w:color w:val="211E1F"/>
        </w:rPr>
        <w:t>Automate</w:t>
      </w:r>
      <w:r w:rsidRPr="00D4309F">
        <w:rPr>
          <w:color w:val="211E1F"/>
          <w:spacing w:val="-3"/>
        </w:rPr>
        <w:t xml:space="preserve"> </w:t>
      </w:r>
      <w:r w:rsidRPr="00D4309F">
        <w:rPr>
          <w:color w:val="211E1F"/>
        </w:rPr>
        <w:t>the</w:t>
      </w:r>
      <w:r w:rsidRPr="00D4309F">
        <w:rPr>
          <w:color w:val="211E1F"/>
          <w:spacing w:val="-4"/>
        </w:rPr>
        <w:t xml:space="preserve"> </w:t>
      </w:r>
      <w:r w:rsidRPr="00D4309F">
        <w:rPr>
          <w:color w:val="211E1F"/>
        </w:rPr>
        <w:t>model</w:t>
      </w:r>
      <w:r w:rsidRPr="00D4309F">
        <w:rPr>
          <w:color w:val="211E1F"/>
          <w:spacing w:val="-3"/>
        </w:rPr>
        <w:t xml:space="preserve"> </w:t>
      </w:r>
      <w:r w:rsidRPr="00D4309F">
        <w:rPr>
          <w:color w:val="211E1F"/>
        </w:rPr>
        <w:t>as</w:t>
      </w:r>
      <w:r w:rsidRPr="00D4309F">
        <w:rPr>
          <w:color w:val="211E1F"/>
          <w:spacing w:val="-2"/>
        </w:rPr>
        <w:t xml:space="preserve"> </w:t>
      </w:r>
      <w:r w:rsidRPr="00D4309F">
        <w:rPr>
          <w:color w:val="211E1F"/>
        </w:rPr>
        <w:t>a</w:t>
      </w:r>
      <w:r w:rsidRPr="00D4309F">
        <w:rPr>
          <w:color w:val="211E1F"/>
          <w:spacing w:val="-4"/>
        </w:rPr>
        <w:t xml:space="preserve"> </w:t>
      </w:r>
      <w:r w:rsidRPr="00D4309F">
        <w:rPr>
          <w:color w:val="211E1F"/>
        </w:rPr>
        <w:t>real-time</w:t>
      </w:r>
      <w:r w:rsidRPr="00D4309F">
        <w:rPr>
          <w:color w:val="211E1F"/>
          <w:spacing w:val="-3"/>
        </w:rPr>
        <w:t xml:space="preserve"> </w:t>
      </w:r>
      <w:r w:rsidRPr="00D4309F">
        <w:rPr>
          <w:color w:val="211E1F"/>
          <w:spacing w:val="-2"/>
        </w:rPr>
        <w:t>service.</w:t>
      </w:r>
    </w:p>
    <w:p w14:paraId="61314FBB" w14:textId="77777777" w:rsidR="00725977" w:rsidRPr="00D4309F" w:rsidRDefault="00725977" w:rsidP="00D27F26">
      <w:pPr>
        <w:pStyle w:val="ListParagraph"/>
        <w:widowControl w:val="0"/>
        <w:numPr>
          <w:ilvl w:val="1"/>
          <w:numId w:val="477"/>
        </w:numPr>
        <w:tabs>
          <w:tab w:val="left" w:pos="1351"/>
        </w:tabs>
        <w:autoSpaceDE w:val="0"/>
        <w:autoSpaceDN w:val="0"/>
        <w:spacing w:before="119" w:after="0" w:line="240" w:lineRule="auto"/>
        <w:ind w:left="1351" w:hanging="424"/>
        <w:contextualSpacing w:val="0"/>
      </w:pPr>
      <w:r w:rsidRPr="00D4309F">
        <w:rPr>
          <w:color w:val="211E1F"/>
        </w:rPr>
        <w:t>Use</w:t>
      </w:r>
      <w:r w:rsidRPr="00D4309F">
        <w:rPr>
          <w:color w:val="211E1F"/>
          <w:spacing w:val="-6"/>
        </w:rPr>
        <w:t xml:space="preserve"> </w:t>
      </w:r>
      <w:r w:rsidRPr="00D4309F">
        <w:rPr>
          <w:color w:val="211E1F"/>
        </w:rPr>
        <w:t>forecasted</w:t>
      </w:r>
      <w:r w:rsidRPr="00D4309F">
        <w:rPr>
          <w:color w:val="211E1F"/>
          <w:spacing w:val="-3"/>
        </w:rPr>
        <w:t xml:space="preserve"> </w:t>
      </w:r>
      <w:r w:rsidRPr="00D4309F">
        <w:rPr>
          <w:color w:val="211E1F"/>
        </w:rPr>
        <w:t>wave</w:t>
      </w:r>
      <w:r w:rsidRPr="00D4309F">
        <w:rPr>
          <w:color w:val="211E1F"/>
          <w:spacing w:val="-3"/>
        </w:rPr>
        <w:t xml:space="preserve"> </w:t>
      </w:r>
      <w:r w:rsidRPr="00D4309F">
        <w:rPr>
          <w:color w:val="211E1F"/>
        </w:rPr>
        <w:t>data</w:t>
      </w:r>
      <w:r w:rsidRPr="00D4309F">
        <w:rPr>
          <w:color w:val="211E1F"/>
          <w:spacing w:val="-4"/>
        </w:rPr>
        <w:t xml:space="preserve"> </w:t>
      </w:r>
      <w:r w:rsidRPr="00D4309F">
        <w:rPr>
          <w:color w:val="211E1F"/>
        </w:rPr>
        <w:t>(1</w:t>
      </w:r>
      <w:r w:rsidRPr="00D4309F">
        <w:rPr>
          <w:color w:val="211E1F"/>
          <w:spacing w:val="-3"/>
        </w:rPr>
        <w:t xml:space="preserve"> </w:t>
      </w:r>
      <w:r w:rsidRPr="00D4309F">
        <w:rPr>
          <w:color w:val="211E1F"/>
        </w:rPr>
        <w:t>–</w:t>
      </w:r>
      <w:r w:rsidRPr="00D4309F">
        <w:rPr>
          <w:color w:val="211E1F"/>
          <w:spacing w:val="-3"/>
        </w:rPr>
        <w:t xml:space="preserve"> </w:t>
      </w:r>
      <w:r w:rsidRPr="00D4309F">
        <w:rPr>
          <w:color w:val="211E1F"/>
        </w:rPr>
        <w:t>2</w:t>
      </w:r>
      <w:r w:rsidRPr="00D4309F">
        <w:rPr>
          <w:color w:val="211E1F"/>
          <w:spacing w:val="-3"/>
        </w:rPr>
        <w:t xml:space="preserve"> </w:t>
      </w:r>
      <w:r w:rsidRPr="00D4309F">
        <w:rPr>
          <w:color w:val="211E1F"/>
        </w:rPr>
        <w:t>weeks)</w:t>
      </w:r>
      <w:r w:rsidRPr="00D4309F">
        <w:rPr>
          <w:color w:val="211E1F"/>
          <w:spacing w:val="-2"/>
        </w:rPr>
        <w:t xml:space="preserve"> </w:t>
      </w:r>
      <w:r w:rsidRPr="00D4309F">
        <w:rPr>
          <w:color w:val="211E1F"/>
        </w:rPr>
        <w:t>and</w:t>
      </w:r>
      <w:r w:rsidRPr="00D4309F">
        <w:rPr>
          <w:color w:val="211E1F"/>
          <w:spacing w:val="-3"/>
        </w:rPr>
        <w:t xml:space="preserve"> </w:t>
      </w:r>
      <w:r w:rsidRPr="00D4309F">
        <w:rPr>
          <w:color w:val="211E1F"/>
        </w:rPr>
        <w:t>typical</w:t>
      </w:r>
      <w:r w:rsidRPr="00D4309F">
        <w:rPr>
          <w:color w:val="211E1F"/>
          <w:spacing w:val="-4"/>
        </w:rPr>
        <w:t xml:space="preserve"> </w:t>
      </w:r>
      <w:r w:rsidRPr="00D4309F">
        <w:rPr>
          <w:color w:val="211E1F"/>
        </w:rPr>
        <w:t>seasonal</w:t>
      </w:r>
      <w:r w:rsidRPr="00D4309F">
        <w:rPr>
          <w:color w:val="211E1F"/>
          <w:spacing w:val="-3"/>
        </w:rPr>
        <w:t xml:space="preserve"> </w:t>
      </w:r>
      <w:r w:rsidRPr="00D4309F">
        <w:rPr>
          <w:color w:val="211E1F"/>
          <w:spacing w:val="-2"/>
        </w:rPr>
        <w:t>conditions.</w:t>
      </w:r>
    </w:p>
    <w:p w14:paraId="3BCCA1C2" w14:textId="77777777" w:rsidR="00725977" w:rsidRPr="00D4309F" w:rsidRDefault="00725977" w:rsidP="00D27F26">
      <w:pPr>
        <w:pStyle w:val="ListParagraph"/>
        <w:widowControl w:val="0"/>
        <w:numPr>
          <w:ilvl w:val="1"/>
          <w:numId w:val="477"/>
        </w:numPr>
        <w:tabs>
          <w:tab w:val="left" w:pos="1349"/>
          <w:tab w:val="left" w:pos="1351"/>
        </w:tabs>
        <w:autoSpaceDE w:val="0"/>
        <w:autoSpaceDN w:val="0"/>
        <w:spacing w:before="121" w:after="0" w:line="240" w:lineRule="auto"/>
        <w:ind w:left="1351" w:right="857"/>
        <w:contextualSpacing w:val="0"/>
        <w:jc w:val="both"/>
      </w:pPr>
      <w:r w:rsidRPr="00D4309F">
        <w:rPr>
          <w:color w:val="211E1F"/>
        </w:rPr>
        <w:t>Consider</w:t>
      </w:r>
      <w:r w:rsidRPr="00D4309F">
        <w:rPr>
          <w:color w:val="211E1F"/>
          <w:spacing w:val="-2"/>
        </w:rPr>
        <w:t xml:space="preserve"> </w:t>
      </w:r>
      <w:r w:rsidRPr="00D4309F">
        <w:rPr>
          <w:color w:val="211E1F"/>
        </w:rPr>
        <w:t>upgrading</w:t>
      </w:r>
      <w:r w:rsidRPr="00D4309F">
        <w:rPr>
          <w:color w:val="211E1F"/>
          <w:spacing w:val="-3"/>
        </w:rPr>
        <w:t xml:space="preserve"> </w:t>
      </w:r>
      <w:r w:rsidRPr="00D4309F">
        <w:rPr>
          <w:color w:val="211E1F"/>
        </w:rPr>
        <w:t>model</w:t>
      </w:r>
      <w:r w:rsidRPr="00D4309F">
        <w:rPr>
          <w:color w:val="211E1F"/>
          <w:spacing w:val="-3"/>
        </w:rPr>
        <w:t xml:space="preserve"> </w:t>
      </w:r>
      <w:r w:rsidRPr="00D4309F">
        <w:rPr>
          <w:color w:val="211E1F"/>
        </w:rPr>
        <w:t>to</w:t>
      </w:r>
      <w:r w:rsidRPr="00D4309F">
        <w:rPr>
          <w:color w:val="211E1F"/>
          <w:spacing w:val="-3"/>
        </w:rPr>
        <w:t xml:space="preserve"> </w:t>
      </w:r>
      <w:r w:rsidRPr="00D4309F">
        <w:rPr>
          <w:color w:val="211E1F"/>
        </w:rPr>
        <w:t>(or</w:t>
      </w:r>
      <w:r w:rsidRPr="00D4309F">
        <w:rPr>
          <w:color w:val="211E1F"/>
          <w:spacing w:val="-2"/>
        </w:rPr>
        <w:t xml:space="preserve"> </w:t>
      </w:r>
      <w:r w:rsidRPr="00D4309F">
        <w:rPr>
          <w:color w:val="211E1F"/>
        </w:rPr>
        <w:t>use</w:t>
      </w:r>
      <w:r w:rsidRPr="00D4309F">
        <w:rPr>
          <w:color w:val="211E1F"/>
          <w:spacing w:val="-3"/>
        </w:rPr>
        <w:t xml:space="preserve"> </w:t>
      </w:r>
      <w:r w:rsidRPr="00D4309F">
        <w:rPr>
          <w:color w:val="211E1F"/>
        </w:rPr>
        <w:t>in</w:t>
      </w:r>
      <w:r w:rsidRPr="00D4309F">
        <w:rPr>
          <w:color w:val="211E1F"/>
          <w:spacing w:val="-3"/>
        </w:rPr>
        <w:t xml:space="preserve"> </w:t>
      </w:r>
      <w:r w:rsidRPr="00D4309F">
        <w:rPr>
          <w:color w:val="211E1F"/>
        </w:rPr>
        <w:t>conjunction</w:t>
      </w:r>
      <w:r w:rsidRPr="00D4309F">
        <w:rPr>
          <w:color w:val="211E1F"/>
          <w:spacing w:val="-4"/>
        </w:rPr>
        <w:t xml:space="preserve"> </w:t>
      </w:r>
      <w:r w:rsidRPr="00D4309F">
        <w:rPr>
          <w:color w:val="211E1F"/>
        </w:rPr>
        <w:t>with)</w:t>
      </w:r>
      <w:r w:rsidRPr="00D4309F">
        <w:rPr>
          <w:color w:val="211E1F"/>
          <w:spacing w:val="-2"/>
        </w:rPr>
        <w:t xml:space="preserve"> </w:t>
      </w:r>
      <w:r w:rsidRPr="00D4309F">
        <w:rPr>
          <w:color w:val="211E1F"/>
        </w:rPr>
        <w:t>a</w:t>
      </w:r>
      <w:r w:rsidRPr="00D4309F">
        <w:rPr>
          <w:color w:val="211E1F"/>
          <w:spacing w:val="-3"/>
        </w:rPr>
        <w:t xml:space="preserve"> </w:t>
      </w:r>
      <w:r w:rsidRPr="00D4309F">
        <w:rPr>
          <w:color w:val="211E1F"/>
        </w:rPr>
        <w:t>calibrated</w:t>
      </w:r>
      <w:r w:rsidRPr="00D4309F">
        <w:rPr>
          <w:color w:val="211E1F"/>
          <w:spacing w:val="-3"/>
        </w:rPr>
        <w:t xml:space="preserve"> </w:t>
      </w:r>
      <w:r w:rsidRPr="00D4309F">
        <w:rPr>
          <w:color w:val="211E1F"/>
        </w:rPr>
        <w:t>numerical</w:t>
      </w:r>
      <w:r w:rsidRPr="00D4309F">
        <w:rPr>
          <w:color w:val="211E1F"/>
          <w:spacing w:val="-3"/>
        </w:rPr>
        <w:t xml:space="preserve"> </w:t>
      </w:r>
      <w:r w:rsidRPr="00D4309F">
        <w:rPr>
          <w:color w:val="211E1F"/>
        </w:rPr>
        <w:t>model</w:t>
      </w:r>
      <w:r w:rsidRPr="00D4309F">
        <w:rPr>
          <w:color w:val="211E1F"/>
          <w:spacing w:val="-3"/>
        </w:rPr>
        <w:t xml:space="preserve"> </w:t>
      </w:r>
      <w:r w:rsidRPr="00D4309F">
        <w:rPr>
          <w:color w:val="211E1F"/>
        </w:rPr>
        <w:t>which</w:t>
      </w:r>
      <w:r w:rsidRPr="00D4309F">
        <w:rPr>
          <w:color w:val="211E1F"/>
          <w:spacing w:val="-3"/>
        </w:rPr>
        <w:t xml:space="preserve"> </w:t>
      </w:r>
      <w:r w:rsidRPr="00D4309F">
        <w:rPr>
          <w:color w:val="211E1F"/>
        </w:rPr>
        <w:t>can provide</w:t>
      </w:r>
      <w:r w:rsidRPr="00D4309F">
        <w:rPr>
          <w:color w:val="211E1F"/>
          <w:spacing w:val="-3"/>
        </w:rPr>
        <w:t xml:space="preserve"> </w:t>
      </w:r>
      <w:r w:rsidRPr="00D4309F">
        <w:rPr>
          <w:color w:val="211E1F"/>
        </w:rPr>
        <w:t>not</w:t>
      </w:r>
      <w:r w:rsidRPr="00D4309F">
        <w:rPr>
          <w:color w:val="211E1F"/>
          <w:spacing w:val="-3"/>
        </w:rPr>
        <w:t xml:space="preserve"> </w:t>
      </w:r>
      <w:r w:rsidRPr="00D4309F">
        <w:rPr>
          <w:color w:val="211E1F"/>
        </w:rPr>
        <w:t>only</w:t>
      </w:r>
      <w:r w:rsidRPr="00D4309F">
        <w:rPr>
          <w:color w:val="211E1F"/>
          <w:spacing w:val="-2"/>
        </w:rPr>
        <w:t xml:space="preserve"> </w:t>
      </w:r>
      <w:r w:rsidRPr="00D4309F">
        <w:rPr>
          <w:color w:val="211E1F"/>
        </w:rPr>
        <w:t>a</w:t>
      </w:r>
      <w:r w:rsidRPr="00D4309F">
        <w:rPr>
          <w:color w:val="211E1F"/>
          <w:spacing w:val="-3"/>
        </w:rPr>
        <w:t xml:space="preserve"> </w:t>
      </w:r>
      <w:r w:rsidRPr="00D4309F">
        <w:rPr>
          <w:color w:val="211E1F"/>
        </w:rPr>
        <w:t>more</w:t>
      </w:r>
      <w:r w:rsidRPr="00D4309F">
        <w:rPr>
          <w:color w:val="211E1F"/>
          <w:spacing w:val="-3"/>
        </w:rPr>
        <w:t xml:space="preserve"> </w:t>
      </w:r>
      <w:r w:rsidRPr="00D4309F">
        <w:rPr>
          <w:color w:val="211E1F"/>
        </w:rPr>
        <w:t>reliable</w:t>
      </w:r>
      <w:r w:rsidRPr="00D4309F">
        <w:rPr>
          <w:color w:val="211E1F"/>
          <w:spacing w:val="-3"/>
        </w:rPr>
        <w:t xml:space="preserve"> </w:t>
      </w:r>
      <w:r w:rsidRPr="00D4309F">
        <w:rPr>
          <w:color w:val="211E1F"/>
        </w:rPr>
        <w:t>indicator</w:t>
      </w:r>
      <w:r w:rsidRPr="00D4309F">
        <w:rPr>
          <w:color w:val="211E1F"/>
          <w:spacing w:val="-2"/>
        </w:rPr>
        <w:t xml:space="preserve"> </w:t>
      </w:r>
      <w:r w:rsidRPr="00D4309F">
        <w:rPr>
          <w:color w:val="211E1F"/>
        </w:rPr>
        <w:t>of</w:t>
      </w:r>
      <w:r w:rsidRPr="00D4309F">
        <w:rPr>
          <w:color w:val="211E1F"/>
          <w:spacing w:val="-3"/>
        </w:rPr>
        <w:t xml:space="preserve"> </w:t>
      </w:r>
      <w:r w:rsidRPr="00D4309F">
        <w:rPr>
          <w:color w:val="211E1F"/>
        </w:rPr>
        <w:t>sand</w:t>
      </w:r>
      <w:r w:rsidRPr="00D4309F">
        <w:rPr>
          <w:color w:val="211E1F"/>
          <w:spacing w:val="-3"/>
        </w:rPr>
        <w:t xml:space="preserve"> </w:t>
      </w:r>
      <w:r w:rsidRPr="00D4309F">
        <w:rPr>
          <w:color w:val="211E1F"/>
        </w:rPr>
        <w:t>shoal</w:t>
      </w:r>
      <w:r w:rsidRPr="00D4309F">
        <w:rPr>
          <w:color w:val="211E1F"/>
          <w:spacing w:val="-3"/>
        </w:rPr>
        <w:t xml:space="preserve"> </w:t>
      </w:r>
      <w:r w:rsidRPr="00D4309F">
        <w:rPr>
          <w:color w:val="211E1F"/>
        </w:rPr>
        <w:t>events</w:t>
      </w:r>
      <w:r w:rsidRPr="00D4309F">
        <w:rPr>
          <w:color w:val="211E1F"/>
          <w:spacing w:val="-2"/>
        </w:rPr>
        <w:t xml:space="preserve"> </w:t>
      </w:r>
      <w:r w:rsidRPr="00D4309F">
        <w:rPr>
          <w:color w:val="211E1F"/>
        </w:rPr>
        <w:t>but</w:t>
      </w:r>
      <w:r w:rsidRPr="00D4309F">
        <w:rPr>
          <w:color w:val="211E1F"/>
          <w:spacing w:val="-5"/>
        </w:rPr>
        <w:t xml:space="preserve"> </w:t>
      </w:r>
      <w:r w:rsidRPr="00D4309F">
        <w:rPr>
          <w:color w:val="211E1F"/>
        </w:rPr>
        <w:t>a</w:t>
      </w:r>
      <w:r w:rsidRPr="00D4309F">
        <w:rPr>
          <w:color w:val="211E1F"/>
          <w:spacing w:val="-3"/>
        </w:rPr>
        <w:t xml:space="preserve"> </w:t>
      </w:r>
      <w:r w:rsidRPr="00D4309F">
        <w:rPr>
          <w:color w:val="211E1F"/>
        </w:rPr>
        <w:t>greater</w:t>
      </w:r>
      <w:r w:rsidRPr="00D4309F">
        <w:rPr>
          <w:color w:val="211E1F"/>
          <w:spacing w:val="-2"/>
        </w:rPr>
        <w:t xml:space="preserve"> </w:t>
      </w:r>
      <w:r w:rsidRPr="00D4309F">
        <w:rPr>
          <w:color w:val="211E1F"/>
        </w:rPr>
        <w:t>understanding</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the extent and location of the sand shoal.</w:t>
      </w:r>
    </w:p>
    <w:p w14:paraId="34666DBD" w14:textId="77777777" w:rsidR="00725977" w:rsidRPr="00D4309F" w:rsidRDefault="00725977" w:rsidP="00D27F26">
      <w:pPr>
        <w:pStyle w:val="ListParagraph"/>
        <w:widowControl w:val="0"/>
        <w:numPr>
          <w:ilvl w:val="1"/>
          <w:numId w:val="477"/>
        </w:numPr>
        <w:tabs>
          <w:tab w:val="left" w:pos="1406"/>
        </w:tabs>
        <w:autoSpaceDE w:val="0"/>
        <w:autoSpaceDN w:val="0"/>
        <w:spacing w:after="0" w:line="240" w:lineRule="auto"/>
        <w:ind w:left="1406" w:hanging="480"/>
        <w:contextualSpacing w:val="0"/>
      </w:pPr>
      <w:r w:rsidRPr="00D4309F">
        <w:rPr>
          <w:color w:val="211E1F"/>
        </w:rPr>
        <w:t>Integrate</w:t>
      </w:r>
      <w:r w:rsidRPr="00D4309F">
        <w:rPr>
          <w:color w:val="211E1F"/>
          <w:spacing w:val="-7"/>
        </w:rPr>
        <w:t xml:space="preserve"> </w:t>
      </w:r>
      <w:r w:rsidRPr="00D4309F">
        <w:rPr>
          <w:color w:val="211E1F"/>
        </w:rPr>
        <w:t>the</w:t>
      </w:r>
      <w:r w:rsidRPr="00D4309F">
        <w:rPr>
          <w:color w:val="211E1F"/>
          <w:spacing w:val="-5"/>
        </w:rPr>
        <w:t xml:space="preserve"> </w:t>
      </w:r>
      <w:r w:rsidRPr="00D4309F">
        <w:rPr>
          <w:color w:val="211E1F"/>
        </w:rPr>
        <w:t>SurflineAI</w:t>
      </w:r>
      <w:r w:rsidRPr="00D4309F">
        <w:rPr>
          <w:color w:val="211E1F"/>
          <w:spacing w:val="-4"/>
        </w:rPr>
        <w:t xml:space="preserve"> </w:t>
      </w:r>
      <w:r w:rsidRPr="00D4309F">
        <w:rPr>
          <w:color w:val="211E1F"/>
        </w:rPr>
        <w:t>camera</w:t>
      </w:r>
      <w:r w:rsidRPr="00D4309F">
        <w:rPr>
          <w:color w:val="211E1F"/>
          <w:spacing w:val="-4"/>
        </w:rPr>
        <w:t xml:space="preserve"> </w:t>
      </w:r>
      <w:r w:rsidRPr="00D4309F">
        <w:rPr>
          <w:color w:val="211E1F"/>
        </w:rPr>
        <w:t>technology</w:t>
      </w:r>
      <w:r w:rsidRPr="00D4309F">
        <w:rPr>
          <w:color w:val="211E1F"/>
          <w:spacing w:val="-4"/>
        </w:rPr>
        <w:t xml:space="preserve"> </w:t>
      </w:r>
      <w:r w:rsidRPr="00D4309F">
        <w:rPr>
          <w:color w:val="211E1F"/>
        </w:rPr>
        <w:t>for</w:t>
      </w:r>
      <w:r w:rsidRPr="00D4309F">
        <w:rPr>
          <w:color w:val="211E1F"/>
          <w:spacing w:val="-3"/>
        </w:rPr>
        <w:t xml:space="preserve"> </w:t>
      </w:r>
      <w:r w:rsidRPr="00D4309F">
        <w:rPr>
          <w:color w:val="211E1F"/>
        </w:rPr>
        <w:t>improved</w:t>
      </w:r>
      <w:r w:rsidRPr="00D4309F">
        <w:rPr>
          <w:color w:val="211E1F"/>
          <w:spacing w:val="-4"/>
        </w:rPr>
        <w:t xml:space="preserve"> </w:t>
      </w:r>
      <w:r w:rsidRPr="00D4309F">
        <w:rPr>
          <w:color w:val="211E1F"/>
        </w:rPr>
        <w:t>real</w:t>
      </w:r>
      <w:r w:rsidRPr="00D4309F">
        <w:rPr>
          <w:color w:val="211E1F"/>
          <w:spacing w:val="-4"/>
        </w:rPr>
        <w:t xml:space="preserve"> </w:t>
      </w:r>
      <w:r w:rsidRPr="00D4309F">
        <w:rPr>
          <w:color w:val="211E1F"/>
        </w:rPr>
        <w:t>time</w:t>
      </w:r>
      <w:r w:rsidRPr="00D4309F">
        <w:rPr>
          <w:color w:val="211E1F"/>
          <w:spacing w:val="-5"/>
        </w:rPr>
        <w:t xml:space="preserve"> </w:t>
      </w:r>
      <w:r w:rsidRPr="00D4309F">
        <w:rPr>
          <w:color w:val="211E1F"/>
          <w:spacing w:val="-2"/>
        </w:rPr>
        <w:t>monitoring.</w:t>
      </w:r>
    </w:p>
    <w:p w14:paraId="588CB277" w14:textId="77777777" w:rsidR="00725977" w:rsidRPr="00D4309F" w:rsidRDefault="00725977" w:rsidP="0036511B">
      <w:pPr>
        <w:pStyle w:val="ListNumber"/>
      </w:pPr>
      <w:r w:rsidRPr="00D4309F">
        <w:t>Continue with the Western Channel Trial to provide interim improvements to navigation and inform longer-term</w:t>
      </w:r>
      <w:r w:rsidRPr="00D4309F">
        <w:rPr>
          <w:spacing w:val="-3"/>
        </w:rPr>
        <w:t xml:space="preserve"> </w:t>
      </w:r>
      <w:r w:rsidRPr="00D4309F">
        <w:t>strategies</w:t>
      </w:r>
      <w:r w:rsidRPr="00D4309F">
        <w:rPr>
          <w:spacing w:val="-2"/>
        </w:rPr>
        <w:t xml:space="preserve"> </w:t>
      </w:r>
      <w:r w:rsidRPr="00D4309F">
        <w:t>that</w:t>
      </w:r>
      <w:r w:rsidRPr="00D4309F">
        <w:rPr>
          <w:spacing w:val="-3"/>
        </w:rPr>
        <w:t xml:space="preserve"> </w:t>
      </w:r>
      <w:r w:rsidRPr="00D4309F">
        <w:t>incorporate</w:t>
      </w:r>
      <w:r w:rsidRPr="00D4309F">
        <w:rPr>
          <w:spacing w:val="-3"/>
        </w:rPr>
        <w:t xml:space="preserve"> </w:t>
      </w:r>
      <w:r w:rsidRPr="00D4309F">
        <w:t>the</w:t>
      </w:r>
      <w:r w:rsidRPr="00D4309F">
        <w:rPr>
          <w:spacing w:val="-3"/>
        </w:rPr>
        <w:t xml:space="preserve"> </w:t>
      </w:r>
      <w:r w:rsidRPr="00D4309F">
        <w:t>western</w:t>
      </w:r>
      <w:r w:rsidRPr="00D4309F">
        <w:rPr>
          <w:spacing w:val="-4"/>
        </w:rPr>
        <w:t xml:space="preserve"> </w:t>
      </w:r>
      <w:r w:rsidRPr="00D4309F">
        <w:t>channel.</w:t>
      </w:r>
      <w:r w:rsidRPr="00D4309F">
        <w:rPr>
          <w:spacing w:val="-4"/>
        </w:rPr>
        <w:t xml:space="preserve"> </w:t>
      </w:r>
      <w:r w:rsidRPr="00D4309F">
        <w:t>That</w:t>
      </w:r>
      <w:r w:rsidRPr="00D4309F">
        <w:rPr>
          <w:spacing w:val="-4"/>
        </w:rPr>
        <w:t xml:space="preserve"> </w:t>
      </w:r>
      <w:r w:rsidRPr="00D4309F">
        <w:t>this</w:t>
      </w:r>
      <w:r w:rsidRPr="00D4309F">
        <w:rPr>
          <w:spacing w:val="-2"/>
        </w:rPr>
        <w:t xml:space="preserve"> </w:t>
      </w:r>
      <w:r w:rsidRPr="00D4309F">
        <w:t>area</w:t>
      </w:r>
      <w:r w:rsidRPr="00D4309F">
        <w:rPr>
          <w:spacing w:val="-3"/>
        </w:rPr>
        <w:t xml:space="preserve"> </w:t>
      </w:r>
      <w:r w:rsidRPr="00D4309F">
        <w:t>is</w:t>
      </w:r>
      <w:r w:rsidRPr="00D4309F">
        <w:rPr>
          <w:spacing w:val="-2"/>
        </w:rPr>
        <w:t xml:space="preserve"> </w:t>
      </w:r>
      <w:r w:rsidRPr="00D4309F">
        <w:t>regularly</w:t>
      </w:r>
      <w:r w:rsidRPr="00D4309F">
        <w:rPr>
          <w:spacing w:val="-2"/>
        </w:rPr>
        <w:t xml:space="preserve"> </w:t>
      </w:r>
      <w:r w:rsidRPr="00D4309F">
        <w:t>monitored</w:t>
      </w:r>
      <w:r w:rsidRPr="00D4309F">
        <w:rPr>
          <w:spacing w:val="-3"/>
        </w:rPr>
        <w:t xml:space="preserve"> </w:t>
      </w:r>
      <w:r w:rsidRPr="00D4309F">
        <w:t>or surveyed, such as with up-to-date satellite deriver bathymetry, to always provide mariners with the indicative location of the sand shoal and safe navigation pathway.</w:t>
      </w:r>
    </w:p>
    <w:p w14:paraId="28A77206" w14:textId="77777777" w:rsidR="00725977" w:rsidRPr="00D4309F" w:rsidRDefault="00725977" w:rsidP="0036511B">
      <w:pPr>
        <w:pStyle w:val="ListNumber"/>
      </w:pPr>
      <w:r w:rsidRPr="00D4309F">
        <w:t>Maritime</w:t>
      </w:r>
      <w:r w:rsidRPr="00D4309F">
        <w:rPr>
          <w:spacing w:val="-3"/>
        </w:rPr>
        <w:t xml:space="preserve"> </w:t>
      </w:r>
      <w:r w:rsidRPr="00D4309F">
        <w:t>Safety</w:t>
      </w:r>
      <w:r w:rsidRPr="00D4309F">
        <w:rPr>
          <w:spacing w:val="-2"/>
        </w:rPr>
        <w:t xml:space="preserve"> </w:t>
      </w:r>
      <w:r w:rsidRPr="00D4309F">
        <w:t>Queensland</w:t>
      </w:r>
      <w:r w:rsidRPr="00D4309F">
        <w:rPr>
          <w:spacing w:val="-3"/>
        </w:rPr>
        <w:t xml:space="preserve"> </w:t>
      </w:r>
      <w:r w:rsidRPr="00D4309F">
        <w:t>(MSQ),</w:t>
      </w:r>
      <w:r w:rsidRPr="00D4309F">
        <w:rPr>
          <w:spacing w:val="-3"/>
        </w:rPr>
        <w:t xml:space="preserve"> </w:t>
      </w:r>
      <w:r w:rsidRPr="00D4309F">
        <w:t>continue</w:t>
      </w:r>
      <w:r w:rsidRPr="00D4309F">
        <w:rPr>
          <w:spacing w:val="-3"/>
        </w:rPr>
        <w:t xml:space="preserve"> </w:t>
      </w:r>
      <w:r w:rsidRPr="00D4309F">
        <w:t>to</w:t>
      </w:r>
      <w:r w:rsidRPr="00D4309F">
        <w:rPr>
          <w:spacing w:val="-3"/>
        </w:rPr>
        <w:t xml:space="preserve"> </w:t>
      </w:r>
      <w:r w:rsidRPr="00D4309F">
        <w:t>issue</w:t>
      </w:r>
      <w:r w:rsidRPr="00D4309F">
        <w:rPr>
          <w:spacing w:val="-3"/>
        </w:rPr>
        <w:t xml:space="preserve"> </w:t>
      </w:r>
      <w:r w:rsidRPr="00D4309F">
        <w:t>regular</w:t>
      </w:r>
      <w:r w:rsidRPr="00D4309F">
        <w:rPr>
          <w:spacing w:val="-2"/>
        </w:rPr>
        <w:t xml:space="preserve"> </w:t>
      </w:r>
      <w:r w:rsidRPr="00D4309F">
        <w:t>and</w:t>
      </w:r>
      <w:r w:rsidRPr="00D4309F">
        <w:rPr>
          <w:spacing w:val="-4"/>
        </w:rPr>
        <w:t xml:space="preserve"> </w:t>
      </w:r>
      <w:r w:rsidRPr="00D4309F">
        <w:t>detailed</w:t>
      </w:r>
      <w:r w:rsidRPr="00D4309F">
        <w:rPr>
          <w:spacing w:val="-3"/>
        </w:rPr>
        <w:t xml:space="preserve"> </w:t>
      </w:r>
      <w:r w:rsidRPr="00D4309F">
        <w:t>Notices</w:t>
      </w:r>
      <w:r w:rsidRPr="00D4309F">
        <w:rPr>
          <w:spacing w:val="-2"/>
        </w:rPr>
        <w:t xml:space="preserve"> </w:t>
      </w:r>
      <w:r w:rsidRPr="00D4309F">
        <w:t>to</w:t>
      </w:r>
      <w:r w:rsidRPr="00D4309F">
        <w:rPr>
          <w:spacing w:val="-3"/>
        </w:rPr>
        <w:t xml:space="preserve"> </w:t>
      </w:r>
      <w:r w:rsidRPr="00D4309F">
        <w:t>Mariners.</w:t>
      </w:r>
      <w:r w:rsidRPr="00D4309F">
        <w:rPr>
          <w:spacing w:val="-3"/>
        </w:rPr>
        <w:t xml:space="preserve"> </w:t>
      </w:r>
      <w:r w:rsidRPr="00D4309F">
        <w:t>These notices inform vessel masters of current shoaling, reduced depths, and provide guidance on safe navigation, including alternative routes where possible.</w:t>
      </w:r>
    </w:p>
    <w:p w14:paraId="3ACE0E25" w14:textId="77777777" w:rsidR="00725977" w:rsidRPr="00D4309F" w:rsidRDefault="00725977" w:rsidP="0036511B">
      <w:pPr>
        <w:pStyle w:val="ListNumber"/>
      </w:pPr>
      <w:r w:rsidRPr="00D4309F">
        <w:t>The</w:t>
      </w:r>
      <w:r w:rsidRPr="00D4309F">
        <w:rPr>
          <w:spacing w:val="-2"/>
        </w:rPr>
        <w:t xml:space="preserve"> </w:t>
      </w:r>
      <w:r w:rsidRPr="00D4309F">
        <w:t>use</w:t>
      </w:r>
      <w:r w:rsidRPr="00D4309F">
        <w:rPr>
          <w:spacing w:val="-2"/>
        </w:rPr>
        <w:t xml:space="preserve"> </w:t>
      </w:r>
      <w:r w:rsidRPr="00D4309F">
        <w:t>of</w:t>
      </w:r>
      <w:r w:rsidRPr="00D4309F">
        <w:rPr>
          <w:spacing w:val="-2"/>
        </w:rPr>
        <w:t xml:space="preserve"> </w:t>
      </w:r>
      <w:r w:rsidRPr="00D4309F">
        <w:t>TSHD</w:t>
      </w:r>
      <w:r w:rsidRPr="00D4309F">
        <w:rPr>
          <w:spacing w:val="-1"/>
        </w:rPr>
        <w:t xml:space="preserve"> </w:t>
      </w:r>
      <w:r w:rsidRPr="00D4309F">
        <w:t>dredgers</w:t>
      </w:r>
      <w:r w:rsidRPr="00D4309F">
        <w:rPr>
          <w:spacing w:val="-1"/>
        </w:rPr>
        <w:t xml:space="preserve"> </w:t>
      </w:r>
      <w:r w:rsidRPr="00D4309F">
        <w:t>could</w:t>
      </w:r>
      <w:r w:rsidRPr="00D4309F">
        <w:rPr>
          <w:spacing w:val="-2"/>
        </w:rPr>
        <w:t xml:space="preserve"> </w:t>
      </w:r>
      <w:r w:rsidRPr="00D4309F">
        <w:t>be</w:t>
      </w:r>
      <w:r w:rsidRPr="00D4309F">
        <w:rPr>
          <w:spacing w:val="-3"/>
        </w:rPr>
        <w:t xml:space="preserve"> </w:t>
      </w:r>
      <w:r w:rsidRPr="00D4309F">
        <w:t>considered</w:t>
      </w:r>
      <w:r w:rsidRPr="00D4309F">
        <w:rPr>
          <w:spacing w:val="-2"/>
        </w:rPr>
        <w:t xml:space="preserve"> </w:t>
      </w:r>
      <w:r w:rsidRPr="00D4309F">
        <w:t>as</w:t>
      </w:r>
      <w:r w:rsidRPr="00D4309F">
        <w:rPr>
          <w:spacing w:val="-1"/>
        </w:rPr>
        <w:t xml:space="preserve"> </w:t>
      </w:r>
      <w:r w:rsidRPr="00D4309F">
        <w:t>an</w:t>
      </w:r>
      <w:r w:rsidRPr="00D4309F">
        <w:rPr>
          <w:spacing w:val="-2"/>
        </w:rPr>
        <w:t xml:space="preserve"> </w:t>
      </w:r>
      <w:r w:rsidRPr="00D4309F">
        <w:t>alternative</w:t>
      </w:r>
      <w:r w:rsidRPr="00D4309F">
        <w:rPr>
          <w:spacing w:val="-2"/>
        </w:rPr>
        <w:t xml:space="preserve"> </w:t>
      </w:r>
      <w:r w:rsidRPr="00D4309F">
        <w:t>to</w:t>
      </w:r>
      <w:r w:rsidRPr="00D4309F">
        <w:rPr>
          <w:spacing w:val="-2"/>
        </w:rPr>
        <w:t xml:space="preserve"> </w:t>
      </w:r>
      <w:r w:rsidRPr="00D4309F">
        <w:t>the</w:t>
      </w:r>
      <w:r w:rsidRPr="00D4309F">
        <w:rPr>
          <w:spacing w:val="-2"/>
        </w:rPr>
        <w:t xml:space="preserve"> </w:t>
      </w:r>
      <w:r w:rsidRPr="00D4309F">
        <w:t>cutter</w:t>
      </w:r>
      <w:r w:rsidRPr="00D4309F">
        <w:rPr>
          <w:spacing w:val="-3"/>
        </w:rPr>
        <w:t xml:space="preserve"> </w:t>
      </w:r>
      <w:r w:rsidRPr="00D4309F">
        <w:t>suction</w:t>
      </w:r>
      <w:r w:rsidRPr="00D4309F">
        <w:rPr>
          <w:spacing w:val="-2"/>
        </w:rPr>
        <w:t xml:space="preserve"> </w:t>
      </w:r>
      <w:r w:rsidRPr="00D4309F">
        <w:t>dredgers</w:t>
      </w:r>
      <w:r w:rsidRPr="00D4309F">
        <w:rPr>
          <w:spacing w:val="-1"/>
        </w:rPr>
        <w:t xml:space="preserve"> </w:t>
      </w:r>
      <w:r w:rsidRPr="00D4309F">
        <w:t>but</w:t>
      </w:r>
      <w:r w:rsidRPr="00D4309F">
        <w:rPr>
          <w:spacing w:val="-2"/>
        </w:rPr>
        <w:t xml:space="preserve"> </w:t>
      </w:r>
      <w:r w:rsidRPr="00D4309F">
        <w:t>is</w:t>
      </w:r>
      <w:r w:rsidRPr="00D4309F">
        <w:rPr>
          <w:spacing w:val="-1"/>
        </w:rPr>
        <w:t xml:space="preserve"> </w:t>
      </w:r>
      <w:r w:rsidRPr="00D4309F">
        <w:t>not expected to greatly improve the suitable dredge window due to constraints at the site (i.e., shallow depths, rocky layer, wave exposure). Use</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submarine</w:t>
      </w:r>
      <w:r w:rsidRPr="00D4309F">
        <w:rPr>
          <w:spacing w:val="-3"/>
        </w:rPr>
        <w:t xml:space="preserve"> </w:t>
      </w:r>
      <w:r w:rsidRPr="00D4309F">
        <w:t>dredger</w:t>
      </w:r>
      <w:r w:rsidRPr="00D4309F">
        <w:rPr>
          <w:spacing w:val="-2"/>
        </w:rPr>
        <w:t xml:space="preserve"> </w:t>
      </w:r>
      <w:r w:rsidRPr="00D4309F">
        <w:t>and</w:t>
      </w:r>
      <w:r w:rsidRPr="00D4309F">
        <w:rPr>
          <w:spacing w:val="-3"/>
        </w:rPr>
        <w:t xml:space="preserve"> </w:t>
      </w:r>
      <w:r w:rsidRPr="00D4309F">
        <w:t>jack-up</w:t>
      </w:r>
      <w:r w:rsidRPr="00D4309F">
        <w:rPr>
          <w:spacing w:val="-3"/>
        </w:rPr>
        <w:t xml:space="preserve"> </w:t>
      </w:r>
      <w:r w:rsidRPr="00D4309F">
        <w:t>barge</w:t>
      </w:r>
      <w:r w:rsidRPr="00D4309F">
        <w:rPr>
          <w:spacing w:val="-3"/>
        </w:rPr>
        <w:t xml:space="preserve"> </w:t>
      </w:r>
      <w:r w:rsidRPr="00D4309F">
        <w:t>options</w:t>
      </w:r>
      <w:r w:rsidRPr="00D4309F">
        <w:rPr>
          <w:spacing w:val="-2"/>
        </w:rPr>
        <w:t xml:space="preserve"> </w:t>
      </w:r>
      <w:r w:rsidRPr="00D4309F">
        <w:t>are</w:t>
      </w:r>
      <w:r w:rsidRPr="00D4309F">
        <w:rPr>
          <w:spacing w:val="-3"/>
        </w:rPr>
        <w:t xml:space="preserve"> </w:t>
      </w:r>
      <w:r w:rsidRPr="00D4309F">
        <w:t>not</w:t>
      </w:r>
      <w:r w:rsidRPr="00D4309F">
        <w:rPr>
          <w:spacing w:val="-3"/>
        </w:rPr>
        <w:t xml:space="preserve"> </w:t>
      </w:r>
      <w:r w:rsidRPr="00D4309F">
        <w:t>recommended</w:t>
      </w:r>
      <w:r w:rsidRPr="00D4309F">
        <w:rPr>
          <w:spacing w:val="-4"/>
        </w:rPr>
        <w:t xml:space="preserve"> </w:t>
      </w:r>
      <w:r w:rsidRPr="00D4309F">
        <w:t>due</w:t>
      </w:r>
      <w:r w:rsidRPr="00D4309F">
        <w:rPr>
          <w:spacing w:val="-3"/>
        </w:rPr>
        <w:t xml:space="preserve"> </w:t>
      </w:r>
      <w:r w:rsidRPr="00D4309F">
        <w:t>significant</w:t>
      </w:r>
      <w:r w:rsidRPr="00D4309F">
        <w:rPr>
          <w:spacing w:val="-3"/>
        </w:rPr>
        <w:t xml:space="preserve"> </w:t>
      </w:r>
      <w:r w:rsidRPr="00D4309F">
        <w:t>visual and amenity impact and increase risks public safety (e.g. recreational ocean users) risks, costs and uncertainty of benefits.</w:t>
      </w:r>
    </w:p>
    <w:p w14:paraId="0E01839A" w14:textId="77777777" w:rsidR="00725977" w:rsidRPr="00D4309F" w:rsidRDefault="00725977" w:rsidP="0036511B">
      <w:pPr>
        <w:pStyle w:val="ListNumber"/>
      </w:pPr>
      <w:r w:rsidRPr="00D4309F">
        <w:lastRenderedPageBreak/>
        <w:t>Use</w:t>
      </w:r>
      <w:r w:rsidRPr="00D4309F">
        <w:rPr>
          <w:spacing w:val="-2"/>
        </w:rPr>
        <w:t xml:space="preserve"> </w:t>
      </w:r>
      <w:r w:rsidRPr="00D4309F">
        <w:t>of</w:t>
      </w:r>
      <w:r w:rsidRPr="00D4309F">
        <w:rPr>
          <w:spacing w:val="-2"/>
        </w:rPr>
        <w:t xml:space="preserve"> </w:t>
      </w:r>
      <w:r w:rsidRPr="00D4309F">
        <w:t>the</w:t>
      </w:r>
      <w:r w:rsidRPr="00D4309F">
        <w:rPr>
          <w:spacing w:val="-2"/>
        </w:rPr>
        <w:t xml:space="preserve"> </w:t>
      </w:r>
      <w:r w:rsidRPr="00D4309F">
        <w:t>bed-levelling</w:t>
      </w:r>
      <w:r w:rsidRPr="00D4309F">
        <w:rPr>
          <w:spacing w:val="-2"/>
        </w:rPr>
        <w:t xml:space="preserve"> </w:t>
      </w:r>
      <w:r w:rsidRPr="00D4309F">
        <w:t>option</w:t>
      </w:r>
      <w:r w:rsidRPr="00D4309F">
        <w:rPr>
          <w:spacing w:val="-2"/>
        </w:rPr>
        <w:t xml:space="preserve"> </w:t>
      </w:r>
      <w:r w:rsidRPr="00D4309F">
        <w:t>is</w:t>
      </w:r>
      <w:r w:rsidRPr="00D4309F">
        <w:rPr>
          <w:spacing w:val="-1"/>
        </w:rPr>
        <w:t xml:space="preserve"> </w:t>
      </w:r>
      <w:r w:rsidRPr="00D4309F">
        <w:t>not</w:t>
      </w:r>
      <w:r w:rsidRPr="00D4309F">
        <w:rPr>
          <w:spacing w:val="-2"/>
        </w:rPr>
        <w:t xml:space="preserve"> </w:t>
      </w:r>
      <w:r w:rsidRPr="00D4309F">
        <w:t>recommended</w:t>
      </w:r>
      <w:r w:rsidRPr="00D4309F">
        <w:rPr>
          <w:spacing w:val="-2"/>
        </w:rPr>
        <w:t xml:space="preserve"> </w:t>
      </w:r>
      <w:r w:rsidRPr="00D4309F">
        <w:t>for</w:t>
      </w:r>
      <w:r w:rsidRPr="00D4309F">
        <w:rPr>
          <w:spacing w:val="-1"/>
        </w:rPr>
        <w:t xml:space="preserve"> </w:t>
      </w:r>
      <w:r w:rsidRPr="00D4309F">
        <w:t>addressing</w:t>
      </w:r>
      <w:r w:rsidRPr="00D4309F">
        <w:rPr>
          <w:spacing w:val="-2"/>
        </w:rPr>
        <w:t xml:space="preserve"> </w:t>
      </w:r>
      <w:r w:rsidRPr="00D4309F">
        <w:t>the</w:t>
      </w:r>
      <w:r w:rsidRPr="00D4309F">
        <w:rPr>
          <w:spacing w:val="-2"/>
        </w:rPr>
        <w:t xml:space="preserve"> </w:t>
      </w:r>
      <w:r w:rsidRPr="00D4309F">
        <w:t>sand</w:t>
      </w:r>
      <w:r w:rsidRPr="00D4309F">
        <w:rPr>
          <w:spacing w:val="-2"/>
        </w:rPr>
        <w:t xml:space="preserve"> </w:t>
      </w:r>
      <w:r w:rsidRPr="00D4309F">
        <w:t>shoal</w:t>
      </w:r>
      <w:r w:rsidRPr="00D4309F">
        <w:rPr>
          <w:spacing w:val="-2"/>
        </w:rPr>
        <w:t xml:space="preserve"> </w:t>
      </w:r>
      <w:r w:rsidRPr="00D4309F">
        <w:t>due</w:t>
      </w:r>
      <w:r w:rsidRPr="00D4309F">
        <w:rPr>
          <w:spacing w:val="-2"/>
        </w:rPr>
        <w:t xml:space="preserve"> </w:t>
      </w:r>
      <w:r w:rsidRPr="00D4309F">
        <w:t>to</w:t>
      </w:r>
      <w:r w:rsidRPr="00D4309F">
        <w:rPr>
          <w:spacing w:val="-2"/>
        </w:rPr>
        <w:t xml:space="preserve"> </w:t>
      </w:r>
      <w:r w:rsidRPr="00D4309F">
        <w:t>the</w:t>
      </w:r>
      <w:r w:rsidRPr="00D4309F">
        <w:rPr>
          <w:spacing w:val="-2"/>
        </w:rPr>
        <w:t xml:space="preserve"> </w:t>
      </w:r>
      <w:r w:rsidRPr="00D4309F">
        <w:t>sites</w:t>
      </w:r>
      <w:r w:rsidRPr="00D4309F">
        <w:rPr>
          <w:spacing w:val="-1"/>
        </w:rPr>
        <w:t xml:space="preserve"> </w:t>
      </w:r>
      <w:r w:rsidRPr="00D4309F">
        <w:t>wave climate and associated risks to bed-levelling operations.</w:t>
      </w:r>
    </w:p>
    <w:p w14:paraId="6B225C78" w14:textId="77777777" w:rsidR="00725977" w:rsidRPr="00D4309F" w:rsidRDefault="00725977" w:rsidP="0036511B">
      <w:pPr>
        <w:pStyle w:val="ListNumber"/>
      </w:pPr>
      <w:r w:rsidRPr="00D4309F">
        <w:t>Contracting</w:t>
      </w:r>
      <w:r w:rsidRPr="00D4309F">
        <w:rPr>
          <w:spacing w:val="-3"/>
        </w:rPr>
        <w:t xml:space="preserve"> </w:t>
      </w:r>
      <w:r w:rsidRPr="00D4309F">
        <w:t>a</w:t>
      </w:r>
      <w:r w:rsidRPr="00D4309F">
        <w:rPr>
          <w:spacing w:val="-4"/>
        </w:rPr>
        <w:t xml:space="preserve"> </w:t>
      </w:r>
      <w:r w:rsidRPr="00D4309F">
        <w:t>dredger</w:t>
      </w:r>
      <w:r w:rsidRPr="00D4309F">
        <w:rPr>
          <w:spacing w:val="-2"/>
        </w:rPr>
        <w:t xml:space="preserve"> </w:t>
      </w:r>
      <w:r w:rsidRPr="00D4309F">
        <w:t>to</w:t>
      </w:r>
      <w:r w:rsidRPr="00D4309F">
        <w:rPr>
          <w:spacing w:val="-3"/>
        </w:rPr>
        <w:t xml:space="preserve"> </w:t>
      </w:r>
      <w:r w:rsidRPr="00D4309F">
        <w:t>be</w:t>
      </w:r>
      <w:r w:rsidRPr="00D4309F">
        <w:rPr>
          <w:spacing w:val="-3"/>
        </w:rPr>
        <w:t xml:space="preserve"> </w:t>
      </w:r>
      <w:r w:rsidRPr="00D4309F">
        <w:t>available</w:t>
      </w:r>
      <w:r w:rsidRPr="00D4309F">
        <w:rPr>
          <w:spacing w:val="-3"/>
        </w:rPr>
        <w:t xml:space="preserve"> </w:t>
      </w:r>
      <w:r w:rsidRPr="00D4309F">
        <w:t>for</w:t>
      </w:r>
      <w:r w:rsidRPr="00D4309F">
        <w:rPr>
          <w:spacing w:val="-2"/>
        </w:rPr>
        <w:t xml:space="preserve"> </w:t>
      </w:r>
      <w:r w:rsidRPr="00D4309F">
        <w:t>365</w:t>
      </w:r>
      <w:r w:rsidRPr="00D4309F">
        <w:rPr>
          <w:spacing w:val="-3"/>
        </w:rPr>
        <w:t xml:space="preserve"> </w:t>
      </w:r>
      <w:r w:rsidRPr="00D4309F">
        <w:t>days</w:t>
      </w:r>
      <w:r w:rsidRPr="00D4309F">
        <w:rPr>
          <w:spacing w:val="-2"/>
        </w:rPr>
        <w:t xml:space="preserve"> </w:t>
      </w:r>
      <w:r w:rsidRPr="00D4309F">
        <w:t>per</w:t>
      </w:r>
      <w:r w:rsidRPr="00D4309F">
        <w:rPr>
          <w:spacing w:val="-2"/>
        </w:rPr>
        <w:t xml:space="preserve"> </w:t>
      </w:r>
      <w:r w:rsidRPr="00D4309F">
        <w:t>year</w:t>
      </w:r>
      <w:r w:rsidRPr="00D4309F">
        <w:rPr>
          <w:spacing w:val="-2"/>
        </w:rPr>
        <w:t xml:space="preserve"> </w:t>
      </w:r>
      <w:r w:rsidRPr="00D4309F">
        <w:t>does</w:t>
      </w:r>
      <w:r w:rsidRPr="00D4309F">
        <w:rPr>
          <w:spacing w:val="-2"/>
        </w:rPr>
        <w:t xml:space="preserve"> </w:t>
      </w:r>
      <w:r w:rsidRPr="00D4309F">
        <w:t>have</w:t>
      </w:r>
      <w:r w:rsidRPr="00D4309F">
        <w:rPr>
          <w:spacing w:val="-3"/>
        </w:rPr>
        <w:t xml:space="preserve"> </w:t>
      </w:r>
      <w:r w:rsidRPr="00D4309F">
        <w:t>the</w:t>
      </w:r>
      <w:r w:rsidRPr="00D4309F">
        <w:rPr>
          <w:spacing w:val="-3"/>
        </w:rPr>
        <w:t xml:space="preserve"> </w:t>
      </w:r>
      <w:r w:rsidRPr="00D4309F">
        <w:t>potential</w:t>
      </w:r>
      <w:r w:rsidRPr="00D4309F">
        <w:rPr>
          <w:spacing w:val="-3"/>
        </w:rPr>
        <w:t xml:space="preserve"> </w:t>
      </w:r>
      <w:r w:rsidRPr="00D4309F">
        <w:t>to</w:t>
      </w:r>
      <w:r w:rsidRPr="00D4309F">
        <w:rPr>
          <w:spacing w:val="-3"/>
        </w:rPr>
        <w:t xml:space="preserve"> </w:t>
      </w:r>
      <w:r w:rsidRPr="00D4309F">
        <w:t>maximise</w:t>
      </w:r>
      <w:r w:rsidRPr="00D4309F">
        <w:rPr>
          <w:spacing w:val="-3"/>
        </w:rPr>
        <w:t xml:space="preserve"> </w:t>
      </w:r>
      <w:r w:rsidRPr="00D4309F">
        <w:t>flexible dredging operations at the site and minimise mobilisation times. However, further analysis of potential annual average utilisation rates is required to determine overall cost-benefit of this option. This option would also not address inclement weather delays to dredging and at best requires frequent dredging of the channel to occur.</w:t>
      </w:r>
    </w:p>
    <w:p w14:paraId="20426A45" w14:textId="77777777" w:rsidR="00725977" w:rsidRPr="00D4309F" w:rsidRDefault="00725977" w:rsidP="0036511B">
      <w:pPr>
        <w:pStyle w:val="ListNumber"/>
      </w:pPr>
      <w:r w:rsidRPr="00D4309F">
        <w:t>Conduct</w:t>
      </w:r>
      <w:r w:rsidRPr="00D4309F">
        <w:rPr>
          <w:spacing w:val="-3"/>
        </w:rPr>
        <w:t xml:space="preserve"> </w:t>
      </w:r>
      <w:r w:rsidRPr="00D4309F">
        <w:t>an</w:t>
      </w:r>
      <w:r w:rsidRPr="00D4309F">
        <w:rPr>
          <w:spacing w:val="-3"/>
        </w:rPr>
        <w:t xml:space="preserve"> </w:t>
      </w:r>
      <w:r w:rsidRPr="00D4309F">
        <w:t>integrity</w:t>
      </w:r>
      <w:r w:rsidRPr="00D4309F">
        <w:rPr>
          <w:spacing w:val="-2"/>
        </w:rPr>
        <w:t xml:space="preserve"> </w:t>
      </w:r>
      <w:r w:rsidRPr="00D4309F">
        <w:t>assessment</w:t>
      </w:r>
      <w:r w:rsidRPr="00D4309F">
        <w:rPr>
          <w:spacing w:val="-3"/>
        </w:rPr>
        <w:t xml:space="preserve"> </w:t>
      </w:r>
      <w:r w:rsidRPr="00D4309F">
        <w:t>of</w:t>
      </w:r>
      <w:r w:rsidRPr="00D4309F">
        <w:rPr>
          <w:spacing w:val="-3"/>
        </w:rPr>
        <w:t xml:space="preserve"> </w:t>
      </w:r>
      <w:r w:rsidRPr="00D4309F">
        <w:t>the</w:t>
      </w:r>
      <w:r w:rsidRPr="00D4309F">
        <w:rPr>
          <w:spacing w:val="-4"/>
        </w:rPr>
        <w:t xml:space="preserve"> </w:t>
      </w:r>
      <w:r w:rsidRPr="00D4309F">
        <w:t>eastern</w:t>
      </w:r>
      <w:r w:rsidRPr="00D4309F">
        <w:rPr>
          <w:spacing w:val="-3"/>
        </w:rPr>
        <w:t xml:space="preserve"> </w:t>
      </w:r>
      <w:r w:rsidRPr="00D4309F">
        <w:t>breakwater</w:t>
      </w:r>
      <w:r w:rsidRPr="00D4309F">
        <w:rPr>
          <w:spacing w:val="-2"/>
        </w:rPr>
        <w:t xml:space="preserve"> </w:t>
      </w:r>
      <w:r w:rsidRPr="00D4309F">
        <w:t>to</w:t>
      </w:r>
      <w:r w:rsidRPr="00D4309F">
        <w:rPr>
          <w:spacing w:val="-3"/>
        </w:rPr>
        <w:t xml:space="preserve"> </w:t>
      </w:r>
      <w:r w:rsidRPr="00D4309F">
        <w:t>identify</w:t>
      </w:r>
      <w:r w:rsidRPr="00D4309F">
        <w:rPr>
          <w:spacing w:val="-2"/>
        </w:rPr>
        <w:t xml:space="preserve"> </w:t>
      </w:r>
      <w:r w:rsidRPr="00D4309F">
        <w:t>potential</w:t>
      </w:r>
      <w:r w:rsidRPr="00D4309F">
        <w:rPr>
          <w:spacing w:val="-4"/>
        </w:rPr>
        <w:t xml:space="preserve"> </w:t>
      </w:r>
      <w:r w:rsidRPr="00D4309F">
        <w:t>pathways</w:t>
      </w:r>
      <w:r w:rsidRPr="00D4309F">
        <w:rPr>
          <w:spacing w:val="-2"/>
        </w:rPr>
        <w:t xml:space="preserve"> </w:t>
      </w:r>
      <w:r w:rsidRPr="00D4309F">
        <w:t>for</w:t>
      </w:r>
      <w:r w:rsidRPr="00D4309F">
        <w:rPr>
          <w:spacing w:val="-4"/>
        </w:rPr>
        <w:t xml:space="preserve"> </w:t>
      </w:r>
      <w:r w:rsidRPr="00D4309F">
        <w:t xml:space="preserve">sand </w:t>
      </w:r>
      <w:r w:rsidRPr="00D4309F">
        <w:rPr>
          <w:spacing w:val="-2"/>
        </w:rPr>
        <w:t>leakage.</w:t>
      </w:r>
    </w:p>
    <w:p w14:paraId="2EF3AA84" w14:textId="77777777" w:rsidR="00725977" w:rsidRPr="00D4309F" w:rsidRDefault="00725977" w:rsidP="0036511B">
      <w:pPr>
        <w:pStyle w:val="ListNumber"/>
      </w:pPr>
      <w:r w:rsidRPr="00D4309F">
        <w:t>Further</w:t>
      </w:r>
      <w:r w:rsidRPr="00D4309F">
        <w:rPr>
          <w:spacing w:val="-2"/>
        </w:rPr>
        <w:t xml:space="preserve"> </w:t>
      </w:r>
      <w:r w:rsidRPr="00D4309F">
        <w:t>investigation</w:t>
      </w:r>
      <w:r w:rsidRPr="00D4309F">
        <w:rPr>
          <w:spacing w:val="-3"/>
        </w:rPr>
        <w:t xml:space="preserve"> </w:t>
      </w:r>
      <w:r w:rsidRPr="00D4309F">
        <w:t>and</w:t>
      </w:r>
      <w:r w:rsidRPr="00D4309F">
        <w:rPr>
          <w:spacing w:val="-3"/>
        </w:rPr>
        <w:t xml:space="preserve"> </w:t>
      </w:r>
      <w:r w:rsidRPr="00D4309F">
        <w:t>feasibility</w:t>
      </w:r>
      <w:r w:rsidRPr="00D4309F">
        <w:rPr>
          <w:spacing w:val="-2"/>
        </w:rPr>
        <w:t xml:space="preserve"> </w:t>
      </w:r>
      <w:r w:rsidRPr="00D4309F">
        <w:t>analysis</w:t>
      </w:r>
      <w:r w:rsidRPr="00D4309F">
        <w:rPr>
          <w:spacing w:val="-2"/>
        </w:rPr>
        <w:t xml:space="preserve"> </w:t>
      </w:r>
      <w:r w:rsidRPr="00D4309F">
        <w:t>are</w:t>
      </w:r>
      <w:r w:rsidRPr="00D4309F">
        <w:rPr>
          <w:spacing w:val="-3"/>
        </w:rPr>
        <w:t xml:space="preserve"> </w:t>
      </w:r>
      <w:r w:rsidRPr="00D4309F">
        <w:t>undertaken</w:t>
      </w:r>
      <w:r w:rsidRPr="00D4309F">
        <w:rPr>
          <w:spacing w:val="-3"/>
        </w:rPr>
        <w:t xml:space="preserve"> </w:t>
      </w:r>
      <w:r w:rsidRPr="00D4309F">
        <w:t>to</w:t>
      </w:r>
      <w:r w:rsidRPr="00D4309F">
        <w:rPr>
          <w:spacing w:val="-3"/>
        </w:rPr>
        <w:t xml:space="preserve"> </w:t>
      </w:r>
      <w:r w:rsidRPr="00D4309F">
        <w:t>better</w:t>
      </w:r>
      <w:r w:rsidRPr="00D4309F">
        <w:rPr>
          <w:spacing w:val="-4"/>
        </w:rPr>
        <w:t xml:space="preserve"> </w:t>
      </w:r>
      <w:r w:rsidRPr="00D4309F">
        <w:t>inform</w:t>
      </w:r>
      <w:r w:rsidRPr="00D4309F">
        <w:rPr>
          <w:spacing w:val="-3"/>
        </w:rPr>
        <w:t xml:space="preserve"> </w:t>
      </w:r>
      <w:r w:rsidRPr="00D4309F">
        <w:t>Buddina</w:t>
      </w:r>
      <w:r w:rsidRPr="00D4309F">
        <w:rPr>
          <w:spacing w:val="-3"/>
        </w:rPr>
        <w:t xml:space="preserve"> </w:t>
      </w:r>
      <w:r w:rsidRPr="00D4309F">
        <w:t>Beach</w:t>
      </w:r>
      <w:r w:rsidRPr="00D4309F">
        <w:rPr>
          <w:spacing w:val="-3"/>
        </w:rPr>
        <w:t xml:space="preserve"> </w:t>
      </w:r>
      <w:r w:rsidRPr="00D4309F">
        <w:t>Sand</w:t>
      </w:r>
      <w:r w:rsidRPr="00D4309F">
        <w:rPr>
          <w:spacing w:val="-3"/>
        </w:rPr>
        <w:t xml:space="preserve"> </w:t>
      </w:r>
      <w:r w:rsidRPr="00D4309F">
        <w:t>Trap long term option.</w:t>
      </w:r>
    </w:p>
    <w:p w14:paraId="628AF946" w14:textId="77777777" w:rsidR="00725977" w:rsidRPr="00D4309F" w:rsidRDefault="00725977" w:rsidP="00124ECC">
      <w:pPr>
        <w:pStyle w:val="ExecSumSub"/>
      </w:pPr>
      <w:bookmarkStart w:id="9" w:name="_Toc216699290"/>
      <w:r w:rsidRPr="00D4309F">
        <w:t>Part</w:t>
      </w:r>
      <w:r w:rsidRPr="00D4309F">
        <w:rPr>
          <w:spacing w:val="-2"/>
        </w:rPr>
        <w:t xml:space="preserve"> </w:t>
      </w:r>
      <w:r w:rsidRPr="00D4309F">
        <w:t>2</w:t>
      </w:r>
      <w:r w:rsidRPr="00D4309F">
        <w:rPr>
          <w:spacing w:val="-3"/>
        </w:rPr>
        <w:t xml:space="preserve"> </w:t>
      </w:r>
      <w:r w:rsidRPr="00D4309F">
        <w:t>–</w:t>
      </w:r>
      <w:r w:rsidRPr="00D4309F">
        <w:rPr>
          <w:spacing w:val="-3"/>
        </w:rPr>
        <w:t xml:space="preserve"> </w:t>
      </w:r>
      <w:r w:rsidRPr="00D4309F">
        <w:t>Long</w:t>
      </w:r>
      <w:r w:rsidRPr="00D4309F">
        <w:rPr>
          <w:spacing w:val="-2"/>
        </w:rPr>
        <w:t xml:space="preserve"> </w:t>
      </w:r>
      <w:r w:rsidRPr="00D4309F">
        <w:t>term</w:t>
      </w:r>
      <w:r w:rsidRPr="00D4309F">
        <w:rPr>
          <w:spacing w:val="-3"/>
        </w:rPr>
        <w:t xml:space="preserve"> </w:t>
      </w:r>
      <w:r w:rsidRPr="00D4309F">
        <w:t>comprehensive</w:t>
      </w:r>
      <w:r w:rsidRPr="00D4309F">
        <w:rPr>
          <w:spacing w:val="-2"/>
        </w:rPr>
        <w:t xml:space="preserve"> planning</w:t>
      </w:r>
      <w:bookmarkEnd w:id="9"/>
    </w:p>
    <w:p w14:paraId="0889E36D" w14:textId="77777777" w:rsidR="00725977" w:rsidRPr="00DA5995" w:rsidRDefault="00725977" w:rsidP="00DA5995">
      <w:pPr>
        <w:pStyle w:val="Heading3Style"/>
        <w:rPr>
          <w:rFonts w:eastAsiaTheme="minorHAnsi" w:cs="Verdana"/>
          <w:bCs/>
          <w:color w:val="221E1F"/>
        </w:rPr>
      </w:pPr>
      <w:r w:rsidRPr="00DA5995">
        <w:rPr>
          <w:rFonts w:eastAsiaTheme="minorHAnsi" w:cs="Verdana"/>
          <w:bCs/>
          <w:color w:val="221E1F"/>
        </w:rPr>
        <w:t>Approach</w:t>
      </w:r>
    </w:p>
    <w:p w14:paraId="2CE67CC7" w14:textId="77777777" w:rsidR="00725977" w:rsidRPr="00D4309F" w:rsidRDefault="00725977" w:rsidP="00725977">
      <w:pPr>
        <w:pStyle w:val="BodyText"/>
      </w:pPr>
      <w:r w:rsidRPr="00D4309F">
        <w:t>The long-term options assessed in this review were identified through a combination of sources, including concepts previously developed and provided by MSQ, ideas and feedback arising from the Stakeholder Reference Group (SRG) and broader community engagement, and the professional judgement and experience of the review team as coastal engineers familiar with sediment dynamics and harbour management along the Queensland coast. This collective input has ensured that the range of options considered</w:t>
      </w:r>
      <w:r w:rsidRPr="00D4309F">
        <w:rPr>
          <w:spacing w:val="-3"/>
        </w:rPr>
        <w:t xml:space="preserve"> </w:t>
      </w:r>
      <w:r w:rsidRPr="00D4309F">
        <w:t>reflects</w:t>
      </w:r>
      <w:r w:rsidRPr="00D4309F">
        <w:rPr>
          <w:spacing w:val="-2"/>
        </w:rPr>
        <w:t xml:space="preserve"> </w:t>
      </w:r>
      <w:r w:rsidRPr="00D4309F">
        <w:t>both</w:t>
      </w:r>
      <w:r w:rsidRPr="00D4309F">
        <w:rPr>
          <w:spacing w:val="-3"/>
        </w:rPr>
        <w:t xml:space="preserve"> </w:t>
      </w:r>
      <w:r w:rsidRPr="00D4309F">
        <w:t>local</w:t>
      </w:r>
      <w:r w:rsidRPr="00D4309F">
        <w:rPr>
          <w:spacing w:val="-3"/>
        </w:rPr>
        <w:t xml:space="preserve"> </w:t>
      </w:r>
      <w:r w:rsidRPr="00D4309F">
        <w:t>knowledge</w:t>
      </w:r>
      <w:r w:rsidRPr="00D4309F">
        <w:rPr>
          <w:spacing w:val="-4"/>
        </w:rPr>
        <w:t xml:space="preserve"> </w:t>
      </w:r>
      <w:r w:rsidRPr="00D4309F">
        <w:t>and</w:t>
      </w:r>
      <w:r w:rsidRPr="00D4309F">
        <w:rPr>
          <w:spacing w:val="-3"/>
        </w:rPr>
        <w:t xml:space="preserve"> </w:t>
      </w:r>
      <w:r w:rsidRPr="00D4309F">
        <w:t>technical</w:t>
      </w:r>
      <w:r w:rsidRPr="00D4309F">
        <w:rPr>
          <w:spacing w:val="-4"/>
        </w:rPr>
        <w:t xml:space="preserve"> </w:t>
      </w:r>
      <w:r w:rsidRPr="00D4309F">
        <w:t>feasibility,</w:t>
      </w:r>
      <w:r w:rsidRPr="00D4309F">
        <w:rPr>
          <w:spacing w:val="-3"/>
        </w:rPr>
        <w:t xml:space="preserve"> </w:t>
      </w:r>
      <w:r w:rsidRPr="00D4309F">
        <w:t>providing</w:t>
      </w:r>
      <w:r w:rsidRPr="00D4309F">
        <w:rPr>
          <w:spacing w:val="-3"/>
        </w:rPr>
        <w:t xml:space="preserve"> </w:t>
      </w:r>
      <w:r w:rsidRPr="00D4309F">
        <w:t>a</w:t>
      </w:r>
      <w:r w:rsidRPr="00D4309F">
        <w:rPr>
          <w:spacing w:val="-3"/>
        </w:rPr>
        <w:t xml:space="preserve"> </w:t>
      </w:r>
      <w:r w:rsidRPr="00D4309F">
        <w:t>balanced</w:t>
      </w:r>
      <w:r w:rsidRPr="00D4309F">
        <w:rPr>
          <w:spacing w:val="-3"/>
        </w:rPr>
        <w:t xml:space="preserve"> </w:t>
      </w:r>
      <w:r w:rsidRPr="00D4309F">
        <w:t>foundation</w:t>
      </w:r>
      <w:r w:rsidRPr="00D4309F">
        <w:rPr>
          <w:spacing w:val="-3"/>
        </w:rPr>
        <w:t xml:space="preserve"> </w:t>
      </w:r>
      <w:r w:rsidRPr="00D4309F">
        <w:t>for</w:t>
      </w:r>
      <w:r w:rsidRPr="00D4309F">
        <w:rPr>
          <w:spacing w:val="-2"/>
        </w:rPr>
        <w:t xml:space="preserve"> </w:t>
      </w:r>
      <w:r w:rsidRPr="00D4309F">
        <w:t xml:space="preserve">further </w:t>
      </w:r>
      <w:r w:rsidRPr="00D4309F">
        <w:rPr>
          <w:spacing w:val="-2"/>
        </w:rPr>
        <w:t>investigation.</w:t>
      </w:r>
    </w:p>
    <w:p w14:paraId="214DB044" w14:textId="77777777" w:rsidR="00725977" w:rsidRPr="00D4309F" w:rsidRDefault="00725977" w:rsidP="00725977">
      <w:pPr>
        <w:pStyle w:val="BodyText"/>
      </w:pPr>
      <w:r w:rsidRPr="00D4309F">
        <w:t>Building up on the Social Impact Evaluation (SIE) started in Part 1, the SIE considered both the positive and negative impacts for each option. The impacts have been assessed against the social baseline, which is the current</w:t>
      </w:r>
      <w:r w:rsidRPr="00D4309F">
        <w:rPr>
          <w:spacing w:val="-3"/>
        </w:rPr>
        <w:t xml:space="preserve"> </w:t>
      </w:r>
      <w:r w:rsidRPr="00D4309F">
        <w:t>state</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harbour</w:t>
      </w:r>
      <w:r w:rsidRPr="00D4309F">
        <w:rPr>
          <w:spacing w:val="-2"/>
        </w:rPr>
        <w:t xml:space="preserve"> </w:t>
      </w:r>
      <w:r w:rsidRPr="00D4309F">
        <w:t>including</w:t>
      </w:r>
      <w:r w:rsidRPr="00D4309F">
        <w:rPr>
          <w:spacing w:val="-3"/>
        </w:rPr>
        <w:t xml:space="preserve"> </w:t>
      </w:r>
      <w:r w:rsidRPr="00D4309F">
        <w:t>the</w:t>
      </w:r>
      <w:r w:rsidRPr="00D4309F">
        <w:rPr>
          <w:spacing w:val="-3"/>
        </w:rPr>
        <w:t xml:space="preserve"> </w:t>
      </w:r>
      <w:r w:rsidRPr="00D4309F">
        <w:t>ongoing</w:t>
      </w:r>
      <w:r w:rsidRPr="00D4309F">
        <w:rPr>
          <w:spacing w:val="-3"/>
        </w:rPr>
        <w:t xml:space="preserve"> </w:t>
      </w:r>
      <w:r w:rsidRPr="00D4309F">
        <w:t>management</w:t>
      </w:r>
      <w:r w:rsidRPr="00D4309F">
        <w:rPr>
          <w:spacing w:val="-3"/>
        </w:rPr>
        <w:t xml:space="preserve"> </w:t>
      </w:r>
      <w:r w:rsidRPr="00D4309F">
        <w:t>activities.</w:t>
      </w:r>
      <w:r w:rsidRPr="00D4309F">
        <w:rPr>
          <w:spacing w:val="-4"/>
        </w:rPr>
        <w:t xml:space="preserve"> </w:t>
      </w:r>
      <w:r w:rsidRPr="00D4309F">
        <w:t>Impacts</w:t>
      </w:r>
      <w:r w:rsidRPr="00D4309F">
        <w:rPr>
          <w:spacing w:val="-2"/>
        </w:rPr>
        <w:t xml:space="preserve"> </w:t>
      </w:r>
      <w:r w:rsidRPr="00D4309F">
        <w:t>are</w:t>
      </w:r>
      <w:r w:rsidRPr="00D4309F">
        <w:rPr>
          <w:spacing w:val="-4"/>
        </w:rPr>
        <w:t xml:space="preserve"> </w:t>
      </w:r>
      <w:r w:rsidRPr="00D4309F">
        <w:t>considered</w:t>
      </w:r>
      <w:r w:rsidRPr="00D4309F">
        <w:rPr>
          <w:spacing w:val="-3"/>
        </w:rPr>
        <w:t xml:space="preserve"> </w:t>
      </w:r>
      <w:r w:rsidRPr="00D4309F">
        <w:t>in</w:t>
      </w:r>
      <w:r w:rsidRPr="00D4309F">
        <w:rPr>
          <w:spacing w:val="-3"/>
        </w:rPr>
        <w:t xml:space="preserve"> </w:t>
      </w:r>
      <w:r w:rsidRPr="00D4309F">
        <w:t>terms</w:t>
      </w:r>
      <w:r w:rsidRPr="00D4309F">
        <w:rPr>
          <w:spacing w:val="-2"/>
        </w:rPr>
        <w:t xml:space="preserve"> </w:t>
      </w:r>
      <w:r w:rsidRPr="00D4309F">
        <w:t>of the change between the baseline and the anticipated stakeholder experience following mitigation. Each impact is categorised according to the 11 impact categories identified in the guidance: Community, Culture, Health, Intergenerational, Lifestyle, Personal and Property Rights, Institutional, Legal, Political systems and equity, Quality of Life, Economic, Environmental and Gender relations.</w:t>
      </w:r>
    </w:p>
    <w:p w14:paraId="3C6FEF9A" w14:textId="77777777" w:rsidR="00725977" w:rsidRPr="00D4309F" w:rsidRDefault="00725977" w:rsidP="00725977">
      <w:pPr>
        <w:pStyle w:val="BodyText"/>
      </w:pPr>
      <w:r w:rsidRPr="00D4309F">
        <w:t>Environmental</w:t>
      </w:r>
      <w:r w:rsidRPr="00D4309F">
        <w:rPr>
          <w:spacing w:val="-3"/>
        </w:rPr>
        <w:t xml:space="preserve"> </w:t>
      </w:r>
      <w:r w:rsidRPr="00D4309F">
        <w:t>constraints</w:t>
      </w:r>
      <w:r w:rsidRPr="00D4309F">
        <w:rPr>
          <w:spacing w:val="-3"/>
        </w:rPr>
        <w:t xml:space="preserve"> </w:t>
      </w:r>
      <w:r w:rsidRPr="00D4309F">
        <w:t>assessment</w:t>
      </w:r>
      <w:r w:rsidRPr="00D4309F">
        <w:rPr>
          <w:spacing w:val="-3"/>
        </w:rPr>
        <w:t xml:space="preserve"> </w:t>
      </w:r>
      <w:r w:rsidRPr="00D4309F">
        <w:t>was</w:t>
      </w:r>
      <w:r w:rsidRPr="00D4309F">
        <w:rPr>
          <w:spacing w:val="-2"/>
        </w:rPr>
        <w:t xml:space="preserve"> </w:t>
      </w:r>
      <w:r w:rsidRPr="00D4309F">
        <w:t>undertaken</w:t>
      </w:r>
      <w:r w:rsidRPr="00D4309F">
        <w:rPr>
          <w:spacing w:val="-3"/>
        </w:rPr>
        <w:t xml:space="preserve"> </w:t>
      </w:r>
      <w:r w:rsidRPr="00D4309F">
        <w:t>for</w:t>
      </w:r>
      <w:r w:rsidRPr="00D4309F">
        <w:rPr>
          <w:spacing w:val="-2"/>
        </w:rPr>
        <w:t xml:space="preserve"> </w:t>
      </w:r>
      <w:r w:rsidRPr="00D4309F">
        <w:t>each</w:t>
      </w:r>
      <w:r w:rsidRPr="00D4309F">
        <w:rPr>
          <w:spacing w:val="-3"/>
        </w:rPr>
        <w:t xml:space="preserve"> </w:t>
      </w:r>
      <w:r w:rsidRPr="00D4309F">
        <w:t>option</w:t>
      </w:r>
      <w:r w:rsidRPr="00D4309F">
        <w:rPr>
          <w:spacing w:val="-3"/>
        </w:rPr>
        <w:t xml:space="preserve"> </w:t>
      </w:r>
      <w:r w:rsidRPr="00D4309F">
        <w:t>that</w:t>
      </w:r>
      <w:r w:rsidRPr="00D4309F">
        <w:rPr>
          <w:spacing w:val="-3"/>
        </w:rPr>
        <w:t xml:space="preserve"> </w:t>
      </w:r>
      <w:r w:rsidRPr="00D4309F">
        <w:t>assessed</w:t>
      </w:r>
      <w:r w:rsidRPr="00D4309F">
        <w:rPr>
          <w:spacing w:val="-3"/>
        </w:rPr>
        <w:t xml:space="preserve"> </w:t>
      </w:r>
      <w:r w:rsidRPr="00D4309F">
        <w:t>impacts</w:t>
      </w:r>
      <w:r w:rsidRPr="00D4309F">
        <w:rPr>
          <w:spacing w:val="-2"/>
        </w:rPr>
        <w:t xml:space="preserve"> </w:t>
      </w:r>
      <w:r w:rsidRPr="00D4309F">
        <w:t>upon</w:t>
      </w:r>
      <w:r w:rsidRPr="00D4309F">
        <w:rPr>
          <w:spacing w:val="-3"/>
        </w:rPr>
        <w:t xml:space="preserve"> </w:t>
      </w:r>
      <w:r w:rsidRPr="00D4309F">
        <w:t>marine water quality, marine habitat and protected species, and terrestrial habitats and protected species.</w:t>
      </w:r>
    </w:p>
    <w:p w14:paraId="2D47CB0D" w14:textId="77777777" w:rsidR="00725977" w:rsidRPr="00D4309F" w:rsidRDefault="00725977" w:rsidP="00725977">
      <w:pPr>
        <w:pStyle w:val="BodyText"/>
      </w:pPr>
      <w:r w:rsidRPr="00D4309F">
        <w:t>Each</w:t>
      </w:r>
      <w:r w:rsidRPr="00D4309F">
        <w:rPr>
          <w:spacing w:val="-6"/>
        </w:rPr>
        <w:t xml:space="preserve"> </w:t>
      </w:r>
      <w:r w:rsidRPr="00D4309F">
        <w:t>option</w:t>
      </w:r>
      <w:r w:rsidRPr="00D4309F">
        <w:rPr>
          <w:spacing w:val="-4"/>
        </w:rPr>
        <w:t xml:space="preserve"> </w:t>
      </w:r>
      <w:r w:rsidRPr="00D4309F">
        <w:t>has</w:t>
      </w:r>
      <w:r w:rsidRPr="00D4309F">
        <w:rPr>
          <w:spacing w:val="-3"/>
        </w:rPr>
        <w:t xml:space="preserve"> </w:t>
      </w:r>
      <w:r w:rsidRPr="00D4309F">
        <w:t>been</w:t>
      </w:r>
      <w:r w:rsidRPr="00D4309F">
        <w:rPr>
          <w:spacing w:val="-4"/>
        </w:rPr>
        <w:t xml:space="preserve"> </w:t>
      </w:r>
      <w:r w:rsidRPr="00D4309F">
        <w:t>assessed</w:t>
      </w:r>
      <w:r w:rsidRPr="00D4309F">
        <w:rPr>
          <w:spacing w:val="-4"/>
        </w:rPr>
        <w:t xml:space="preserve"> </w:t>
      </w:r>
      <w:r w:rsidRPr="00D4309F">
        <w:t>in</w:t>
      </w:r>
      <w:r w:rsidRPr="00D4309F">
        <w:rPr>
          <w:spacing w:val="-4"/>
        </w:rPr>
        <w:t xml:space="preserve"> </w:t>
      </w:r>
      <w:r w:rsidRPr="00D4309F">
        <w:t>relation</w:t>
      </w:r>
      <w:r w:rsidRPr="00D4309F">
        <w:rPr>
          <w:spacing w:val="-3"/>
        </w:rPr>
        <w:t xml:space="preserve"> </w:t>
      </w:r>
      <w:r w:rsidRPr="00D4309F">
        <w:rPr>
          <w:spacing w:val="-5"/>
        </w:rPr>
        <w:t>to:</w:t>
      </w:r>
    </w:p>
    <w:p w14:paraId="36457EFA" w14:textId="77777777" w:rsidR="00725977" w:rsidRPr="00D4309F" w:rsidRDefault="00725977" w:rsidP="0036511B">
      <w:pPr>
        <w:pStyle w:val="ListBullet"/>
      </w:pPr>
      <w:r w:rsidRPr="00D4309F">
        <w:t>Effectiveness</w:t>
      </w:r>
      <w:r w:rsidRPr="00D4309F">
        <w:rPr>
          <w:spacing w:val="-7"/>
        </w:rPr>
        <w:t xml:space="preserve"> </w:t>
      </w:r>
      <w:r w:rsidRPr="00D4309F">
        <w:t>of</w:t>
      </w:r>
      <w:r w:rsidRPr="00D4309F">
        <w:rPr>
          <w:spacing w:val="-5"/>
        </w:rPr>
        <w:t xml:space="preserve"> </w:t>
      </w:r>
      <w:r w:rsidRPr="00D4309F">
        <w:t>the</w:t>
      </w:r>
      <w:r w:rsidRPr="00D4309F">
        <w:rPr>
          <w:spacing w:val="-5"/>
        </w:rPr>
        <w:t xml:space="preserve"> </w:t>
      </w:r>
      <w:r w:rsidRPr="00D4309F">
        <w:t>coastal</w:t>
      </w:r>
      <w:r w:rsidRPr="00D4309F">
        <w:rPr>
          <w:spacing w:val="-4"/>
        </w:rPr>
        <w:t xml:space="preserve"> </w:t>
      </w:r>
      <w:r w:rsidRPr="00D4309F">
        <w:t>engineering</w:t>
      </w:r>
      <w:r w:rsidRPr="00D4309F">
        <w:rPr>
          <w:spacing w:val="-5"/>
        </w:rPr>
        <w:t xml:space="preserve"> </w:t>
      </w:r>
      <w:r w:rsidRPr="00D4309F">
        <w:t>solutions</w:t>
      </w:r>
      <w:r w:rsidRPr="00D4309F">
        <w:rPr>
          <w:spacing w:val="-4"/>
        </w:rPr>
        <w:t xml:space="preserve"> </w:t>
      </w:r>
      <w:r w:rsidRPr="00D4309F">
        <w:t>to</w:t>
      </w:r>
      <w:r w:rsidRPr="00D4309F">
        <w:rPr>
          <w:spacing w:val="-4"/>
        </w:rPr>
        <w:t xml:space="preserve"> </w:t>
      </w:r>
      <w:r w:rsidRPr="00D4309F">
        <w:t>achieve</w:t>
      </w:r>
      <w:r w:rsidRPr="00D4309F">
        <w:rPr>
          <w:spacing w:val="-5"/>
        </w:rPr>
        <w:t xml:space="preserve"> </w:t>
      </w:r>
      <w:r w:rsidRPr="00D4309F">
        <w:t>the</w:t>
      </w:r>
      <w:r w:rsidRPr="00D4309F">
        <w:rPr>
          <w:spacing w:val="-5"/>
        </w:rPr>
        <w:t xml:space="preserve"> </w:t>
      </w:r>
      <w:r w:rsidRPr="00D4309F">
        <w:t>long-term</w:t>
      </w:r>
      <w:r w:rsidRPr="00D4309F">
        <w:rPr>
          <w:spacing w:val="-4"/>
        </w:rPr>
        <w:t xml:space="preserve"> </w:t>
      </w:r>
      <w:r w:rsidRPr="00D4309F">
        <w:rPr>
          <w:spacing w:val="-2"/>
        </w:rPr>
        <w:t>goal.</w:t>
      </w:r>
    </w:p>
    <w:p w14:paraId="2324FAB7" w14:textId="77777777" w:rsidR="00725977" w:rsidRPr="00D4309F" w:rsidRDefault="00725977" w:rsidP="0036511B">
      <w:pPr>
        <w:pStyle w:val="ListBullet"/>
      </w:pPr>
      <w:r w:rsidRPr="00D4309F">
        <w:t>Potential</w:t>
      </w:r>
      <w:r w:rsidRPr="00D4309F">
        <w:rPr>
          <w:spacing w:val="-4"/>
        </w:rPr>
        <w:t xml:space="preserve"> </w:t>
      </w:r>
      <w:r w:rsidRPr="00D4309F">
        <w:t>for</w:t>
      </w:r>
      <w:r w:rsidRPr="00D4309F">
        <w:rPr>
          <w:spacing w:val="-4"/>
        </w:rPr>
        <w:t xml:space="preserve"> </w:t>
      </w:r>
      <w:r w:rsidRPr="00D4309F">
        <w:t>social</w:t>
      </w:r>
      <w:r w:rsidRPr="00D4309F">
        <w:rPr>
          <w:spacing w:val="-3"/>
        </w:rPr>
        <w:t xml:space="preserve"> </w:t>
      </w:r>
      <w:r w:rsidRPr="00D4309F">
        <w:t>and</w:t>
      </w:r>
      <w:r w:rsidRPr="00D4309F">
        <w:rPr>
          <w:spacing w:val="-4"/>
        </w:rPr>
        <w:t xml:space="preserve"> </w:t>
      </w:r>
      <w:r w:rsidRPr="00D4309F">
        <w:t>economic</w:t>
      </w:r>
      <w:r w:rsidRPr="00D4309F">
        <w:rPr>
          <w:spacing w:val="-3"/>
        </w:rPr>
        <w:t xml:space="preserve"> </w:t>
      </w:r>
      <w:r w:rsidRPr="00D4309F">
        <w:rPr>
          <w:spacing w:val="-2"/>
        </w:rPr>
        <w:t>impacts</w:t>
      </w:r>
    </w:p>
    <w:p w14:paraId="5CB2F34E" w14:textId="77777777" w:rsidR="00725977" w:rsidRPr="00D4309F" w:rsidRDefault="00725977" w:rsidP="0036511B">
      <w:pPr>
        <w:pStyle w:val="ListBullet"/>
      </w:pPr>
      <w:r w:rsidRPr="00D4309F">
        <w:t>Potential</w:t>
      </w:r>
      <w:r w:rsidRPr="00D4309F">
        <w:rPr>
          <w:spacing w:val="-6"/>
        </w:rPr>
        <w:t xml:space="preserve"> </w:t>
      </w:r>
      <w:r w:rsidRPr="00D4309F">
        <w:t>for</w:t>
      </w:r>
      <w:r w:rsidRPr="00D4309F">
        <w:rPr>
          <w:spacing w:val="-4"/>
        </w:rPr>
        <w:t xml:space="preserve"> </w:t>
      </w:r>
      <w:r w:rsidRPr="00D4309F">
        <w:t>environmental</w:t>
      </w:r>
      <w:r w:rsidRPr="00D4309F">
        <w:rPr>
          <w:spacing w:val="-5"/>
        </w:rPr>
        <w:t xml:space="preserve"> </w:t>
      </w:r>
      <w:r w:rsidRPr="00D4309F">
        <w:rPr>
          <w:spacing w:val="-2"/>
        </w:rPr>
        <w:t>impacts</w:t>
      </w:r>
    </w:p>
    <w:p w14:paraId="582CD359" w14:textId="6ACBDF3C" w:rsidR="00725977" w:rsidRPr="00D4309F" w:rsidRDefault="00725977" w:rsidP="0036511B">
      <w:pPr>
        <w:pStyle w:val="BodyText"/>
      </w:pPr>
      <w:r w:rsidRPr="00D4309F">
        <w:t>To integrate the outcomes of the coastal engineering, socio-economic and environmental assessments and conduct an evaluation of the long-term options, a multi-criteria analysis (MCA)</w:t>
      </w:r>
      <w:r w:rsidR="00720326">
        <w:t xml:space="preserve"> was undertaken</w:t>
      </w:r>
      <w:r w:rsidRPr="00D4309F">
        <w:t xml:space="preserve"> to determine preferred options that meet the long-term goal. The assessment blends coastal engineering analysis with environmental, social, operational, and economic considerations, informed by our experience delivering similar projects in comparable coastal settings.</w:t>
      </w:r>
    </w:p>
    <w:p w14:paraId="4AB4D945" w14:textId="77777777" w:rsidR="00725977" w:rsidRPr="00D4309F" w:rsidRDefault="00725977" w:rsidP="0036511B">
      <w:pPr>
        <w:pStyle w:val="BodyText"/>
      </w:pPr>
      <w:r w:rsidRPr="00D4309F">
        <w:t>The MCA scoring was undertaken by the ICM and RPS technical leads from the project team. No weighting or sensitivity has been applied to the scoring. The following options were evaluated:</w:t>
      </w:r>
    </w:p>
    <w:p w14:paraId="1700010A" w14:textId="77777777" w:rsidR="00725977" w:rsidRPr="00D4309F" w:rsidRDefault="00725977" w:rsidP="0036511B">
      <w:pPr>
        <w:pStyle w:val="ListBullet"/>
      </w:pPr>
      <w:r w:rsidRPr="00D4309F">
        <w:t>The</w:t>
      </w:r>
      <w:r w:rsidRPr="00D4309F">
        <w:rPr>
          <w:spacing w:val="-3"/>
        </w:rPr>
        <w:t xml:space="preserve"> </w:t>
      </w:r>
      <w:r w:rsidRPr="00D4309F">
        <w:t>Option</w:t>
      </w:r>
      <w:r w:rsidRPr="00D4309F">
        <w:rPr>
          <w:spacing w:val="-3"/>
        </w:rPr>
        <w:t xml:space="preserve"> </w:t>
      </w:r>
      <w:r w:rsidRPr="00D4309F">
        <w:t>1A;</w:t>
      </w:r>
      <w:r w:rsidRPr="00D4309F">
        <w:rPr>
          <w:spacing w:val="-2"/>
        </w:rPr>
        <w:t xml:space="preserve"> </w:t>
      </w:r>
      <w:r w:rsidRPr="00D4309F">
        <w:t>Buddina</w:t>
      </w:r>
      <w:r w:rsidRPr="00D4309F">
        <w:rPr>
          <w:spacing w:val="-3"/>
        </w:rPr>
        <w:t xml:space="preserve"> </w:t>
      </w:r>
      <w:r w:rsidRPr="00D4309F">
        <w:t>Sand</w:t>
      </w:r>
      <w:r w:rsidRPr="00D4309F">
        <w:rPr>
          <w:spacing w:val="-2"/>
        </w:rPr>
        <w:t xml:space="preserve"> </w:t>
      </w:r>
      <w:r w:rsidRPr="00D4309F">
        <w:t>Trap</w:t>
      </w:r>
      <w:r w:rsidRPr="00D4309F">
        <w:rPr>
          <w:spacing w:val="-3"/>
        </w:rPr>
        <w:t xml:space="preserve"> </w:t>
      </w:r>
      <w:r w:rsidRPr="00D4309F">
        <w:t>via</w:t>
      </w:r>
      <w:r w:rsidRPr="00D4309F">
        <w:rPr>
          <w:spacing w:val="-2"/>
        </w:rPr>
        <w:t xml:space="preserve"> </w:t>
      </w:r>
      <w:r w:rsidRPr="00D4309F">
        <w:t>a</w:t>
      </w:r>
      <w:r w:rsidRPr="00D4309F">
        <w:rPr>
          <w:spacing w:val="-3"/>
        </w:rPr>
        <w:t xml:space="preserve"> </w:t>
      </w:r>
      <w:r w:rsidRPr="00D4309F">
        <w:t>Hopper</w:t>
      </w:r>
      <w:r w:rsidRPr="00D4309F">
        <w:rPr>
          <w:spacing w:val="-3"/>
        </w:rPr>
        <w:t xml:space="preserve"> </w:t>
      </w:r>
      <w:r w:rsidRPr="00D4309F">
        <w:rPr>
          <w:spacing w:val="-2"/>
        </w:rPr>
        <w:t>Dredge</w:t>
      </w:r>
    </w:p>
    <w:p w14:paraId="76348F5B" w14:textId="77777777" w:rsidR="00725977" w:rsidRPr="00D4309F" w:rsidRDefault="00725977" w:rsidP="0036511B">
      <w:pPr>
        <w:pStyle w:val="ListBullet"/>
      </w:pPr>
      <w:r w:rsidRPr="00D4309F">
        <w:t>Option</w:t>
      </w:r>
      <w:r w:rsidRPr="00D4309F">
        <w:rPr>
          <w:spacing w:val="-6"/>
        </w:rPr>
        <w:t xml:space="preserve"> </w:t>
      </w:r>
      <w:r w:rsidRPr="00D4309F">
        <w:t>1A;</w:t>
      </w:r>
      <w:r w:rsidRPr="00D4309F">
        <w:rPr>
          <w:spacing w:val="-3"/>
        </w:rPr>
        <w:t xml:space="preserve"> </w:t>
      </w:r>
      <w:r w:rsidRPr="00D4309F">
        <w:t>Buddina</w:t>
      </w:r>
      <w:r w:rsidRPr="00D4309F">
        <w:rPr>
          <w:spacing w:val="-3"/>
        </w:rPr>
        <w:t xml:space="preserve"> </w:t>
      </w:r>
      <w:r w:rsidRPr="00D4309F">
        <w:t>Sand</w:t>
      </w:r>
      <w:r w:rsidRPr="00D4309F">
        <w:rPr>
          <w:spacing w:val="-5"/>
        </w:rPr>
        <w:t xml:space="preserve"> </w:t>
      </w:r>
      <w:r w:rsidRPr="00D4309F">
        <w:t>Trap</w:t>
      </w:r>
      <w:r w:rsidRPr="00D4309F">
        <w:rPr>
          <w:spacing w:val="-4"/>
        </w:rPr>
        <w:t xml:space="preserve"> </w:t>
      </w:r>
      <w:r w:rsidRPr="00D4309F">
        <w:t>with</w:t>
      </w:r>
      <w:r w:rsidRPr="00D4309F">
        <w:rPr>
          <w:spacing w:val="-3"/>
        </w:rPr>
        <w:t xml:space="preserve"> </w:t>
      </w:r>
      <w:r w:rsidRPr="00D4309F">
        <w:t>pump</w:t>
      </w:r>
      <w:r w:rsidRPr="00D4309F">
        <w:rPr>
          <w:spacing w:val="-4"/>
        </w:rPr>
        <w:t xml:space="preserve"> </w:t>
      </w:r>
      <w:r w:rsidRPr="00D4309F">
        <w:t>station</w:t>
      </w:r>
      <w:r w:rsidRPr="00D4309F">
        <w:rPr>
          <w:spacing w:val="-3"/>
        </w:rPr>
        <w:t xml:space="preserve"> </w:t>
      </w:r>
      <w:r w:rsidRPr="00D4309F">
        <w:t>and</w:t>
      </w:r>
      <w:r w:rsidRPr="00D4309F">
        <w:rPr>
          <w:spacing w:val="-3"/>
        </w:rPr>
        <w:t xml:space="preserve"> </w:t>
      </w:r>
      <w:r w:rsidRPr="00D4309F">
        <w:t>permanent</w:t>
      </w:r>
      <w:r w:rsidRPr="00D4309F">
        <w:rPr>
          <w:spacing w:val="-3"/>
        </w:rPr>
        <w:t xml:space="preserve"> </w:t>
      </w:r>
      <w:r w:rsidRPr="00D4309F">
        <w:rPr>
          <w:spacing w:val="-2"/>
        </w:rPr>
        <w:t>pipeline</w:t>
      </w:r>
    </w:p>
    <w:p w14:paraId="596C9523" w14:textId="77777777" w:rsidR="00725977" w:rsidRPr="00D4309F" w:rsidRDefault="00725977" w:rsidP="0036511B">
      <w:pPr>
        <w:pStyle w:val="ListBullet"/>
      </w:pPr>
      <w:r w:rsidRPr="00D4309F">
        <w:t>Option</w:t>
      </w:r>
      <w:r w:rsidRPr="00D4309F">
        <w:rPr>
          <w:spacing w:val="-3"/>
        </w:rPr>
        <w:t xml:space="preserve"> </w:t>
      </w:r>
      <w:r w:rsidRPr="00D4309F">
        <w:t>2A;</w:t>
      </w:r>
      <w:r w:rsidRPr="00D4309F">
        <w:rPr>
          <w:spacing w:val="-3"/>
        </w:rPr>
        <w:t xml:space="preserve"> </w:t>
      </w:r>
      <w:r w:rsidRPr="00D4309F">
        <w:t>Increased</w:t>
      </w:r>
      <w:r w:rsidRPr="00D4309F">
        <w:rPr>
          <w:spacing w:val="-3"/>
        </w:rPr>
        <w:t xml:space="preserve"> </w:t>
      </w:r>
      <w:r w:rsidRPr="00D4309F">
        <w:t>Dredge</w:t>
      </w:r>
      <w:r w:rsidRPr="00D4309F">
        <w:rPr>
          <w:spacing w:val="-3"/>
        </w:rPr>
        <w:t xml:space="preserve"> </w:t>
      </w:r>
      <w:r w:rsidRPr="00D4309F">
        <w:t>Channel</w:t>
      </w:r>
      <w:r w:rsidRPr="00D4309F">
        <w:rPr>
          <w:spacing w:val="-3"/>
        </w:rPr>
        <w:t xml:space="preserve"> </w:t>
      </w:r>
      <w:r w:rsidRPr="00D4309F">
        <w:t>Depth</w:t>
      </w:r>
      <w:r w:rsidRPr="00D4309F">
        <w:rPr>
          <w:spacing w:val="-3"/>
        </w:rPr>
        <w:t xml:space="preserve"> </w:t>
      </w:r>
      <w:r w:rsidRPr="00D4309F">
        <w:t>with</w:t>
      </w:r>
      <w:r w:rsidRPr="00D4309F">
        <w:rPr>
          <w:spacing w:val="-3"/>
        </w:rPr>
        <w:t xml:space="preserve"> </w:t>
      </w:r>
      <w:r w:rsidRPr="00D4309F">
        <w:t>Rock</w:t>
      </w:r>
      <w:r w:rsidRPr="00D4309F">
        <w:rPr>
          <w:spacing w:val="-2"/>
        </w:rPr>
        <w:t xml:space="preserve"> </w:t>
      </w:r>
      <w:r w:rsidRPr="00D4309F">
        <w:t>Excavation</w:t>
      </w:r>
      <w:r w:rsidRPr="00D4309F">
        <w:rPr>
          <w:spacing w:val="-4"/>
        </w:rPr>
        <w:t xml:space="preserve"> </w:t>
      </w:r>
      <w:r w:rsidRPr="00D4309F">
        <w:t>–</w:t>
      </w:r>
      <w:r w:rsidRPr="00D4309F">
        <w:rPr>
          <w:spacing w:val="-3"/>
        </w:rPr>
        <w:t xml:space="preserve"> </w:t>
      </w:r>
      <w:r w:rsidRPr="00D4309F">
        <w:t>Excavated</w:t>
      </w:r>
      <w:r w:rsidRPr="00D4309F">
        <w:rPr>
          <w:spacing w:val="-3"/>
        </w:rPr>
        <w:t xml:space="preserve"> </w:t>
      </w:r>
      <w:r w:rsidRPr="00D4309F">
        <w:t>sand</w:t>
      </w:r>
      <w:r w:rsidRPr="00D4309F">
        <w:rPr>
          <w:spacing w:val="-3"/>
        </w:rPr>
        <w:t xml:space="preserve"> </w:t>
      </w:r>
      <w:r w:rsidRPr="00D4309F">
        <w:t>trap</w:t>
      </w:r>
      <w:r w:rsidRPr="00D4309F">
        <w:rPr>
          <w:spacing w:val="-3"/>
        </w:rPr>
        <w:t xml:space="preserve"> </w:t>
      </w:r>
      <w:r w:rsidRPr="00D4309F">
        <w:t>with</w:t>
      </w:r>
      <w:r w:rsidRPr="00D4309F">
        <w:rPr>
          <w:spacing w:val="-3"/>
        </w:rPr>
        <w:t xml:space="preserve"> </w:t>
      </w:r>
      <w:r w:rsidRPr="00D4309F">
        <w:t>existing CSD operations</w:t>
      </w:r>
    </w:p>
    <w:p w14:paraId="35A23BF4" w14:textId="77777777" w:rsidR="00725977" w:rsidRPr="00D4309F" w:rsidRDefault="00725977" w:rsidP="0036511B">
      <w:pPr>
        <w:pStyle w:val="ListBullet"/>
      </w:pPr>
      <w:r w:rsidRPr="00D4309F">
        <w:t>Option</w:t>
      </w:r>
      <w:r w:rsidRPr="00D4309F">
        <w:rPr>
          <w:spacing w:val="-3"/>
        </w:rPr>
        <w:t xml:space="preserve"> </w:t>
      </w:r>
      <w:r w:rsidRPr="00D4309F">
        <w:t>2B;</w:t>
      </w:r>
      <w:r w:rsidRPr="00D4309F">
        <w:rPr>
          <w:spacing w:val="-3"/>
        </w:rPr>
        <w:t xml:space="preserve"> </w:t>
      </w:r>
      <w:r w:rsidRPr="00D4309F">
        <w:t>Increased</w:t>
      </w:r>
      <w:r w:rsidRPr="00D4309F">
        <w:rPr>
          <w:spacing w:val="-3"/>
        </w:rPr>
        <w:t xml:space="preserve"> </w:t>
      </w:r>
      <w:r w:rsidRPr="00D4309F">
        <w:t>Dredge</w:t>
      </w:r>
      <w:r w:rsidRPr="00D4309F">
        <w:rPr>
          <w:spacing w:val="-3"/>
        </w:rPr>
        <w:t xml:space="preserve"> </w:t>
      </w:r>
      <w:r w:rsidRPr="00D4309F">
        <w:t>Channel</w:t>
      </w:r>
      <w:r w:rsidRPr="00D4309F">
        <w:rPr>
          <w:spacing w:val="-3"/>
        </w:rPr>
        <w:t xml:space="preserve"> </w:t>
      </w:r>
      <w:r w:rsidRPr="00D4309F">
        <w:t>Depth</w:t>
      </w:r>
      <w:r w:rsidRPr="00D4309F">
        <w:rPr>
          <w:spacing w:val="-3"/>
        </w:rPr>
        <w:t xml:space="preserve"> </w:t>
      </w:r>
      <w:r w:rsidRPr="00D4309F">
        <w:t>with</w:t>
      </w:r>
      <w:r w:rsidRPr="00D4309F">
        <w:rPr>
          <w:spacing w:val="-3"/>
        </w:rPr>
        <w:t xml:space="preserve"> </w:t>
      </w:r>
      <w:r w:rsidRPr="00D4309F">
        <w:t>Rock</w:t>
      </w:r>
      <w:r w:rsidRPr="00D4309F">
        <w:rPr>
          <w:spacing w:val="-2"/>
        </w:rPr>
        <w:t xml:space="preserve"> </w:t>
      </w:r>
      <w:r w:rsidRPr="00D4309F">
        <w:t>Excavation</w:t>
      </w:r>
      <w:r w:rsidRPr="00D4309F">
        <w:rPr>
          <w:spacing w:val="-4"/>
        </w:rPr>
        <w:t xml:space="preserve"> </w:t>
      </w:r>
      <w:r w:rsidRPr="00D4309F">
        <w:t>-</w:t>
      </w:r>
      <w:r w:rsidRPr="00D4309F">
        <w:rPr>
          <w:spacing w:val="-3"/>
        </w:rPr>
        <w:t xml:space="preserve"> </w:t>
      </w:r>
      <w:r w:rsidRPr="00D4309F">
        <w:t>Excavated</w:t>
      </w:r>
      <w:r w:rsidRPr="00D4309F">
        <w:rPr>
          <w:spacing w:val="-3"/>
        </w:rPr>
        <w:t xml:space="preserve"> </w:t>
      </w:r>
      <w:r w:rsidRPr="00D4309F">
        <w:t>sand</w:t>
      </w:r>
      <w:r w:rsidRPr="00D4309F">
        <w:rPr>
          <w:spacing w:val="-3"/>
        </w:rPr>
        <w:t xml:space="preserve"> </w:t>
      </w:r>
      <w:r w:rsidRPr="00D4309F">
        <w:t>trap</w:t>
      </w:r>
      <w:r w:rsidRPr="00D4309F">
        <w:rPr>
          <w:spacing w:val="-4"/>
        </w:rPr>
        <w:t xml:space="preserve"> </w:t>
      </w:r>
      <w:r w:rsidRPr="00D4309F">
        <w:t>with</w:t>
      </w:r>
      <w:r w:rsidRPr="00D4309F">
        <w:rPr>
          <w:spacing w:val="-3"/>
        </w:rPr>
        <w:t xml:space="preserve"> </w:t>
      </w:r>
      <w:r w:rsidRPr="00D4309F">
        <w:t xml:space="preserve">TSHD </w:t>
      </w:r>
      <w:r w:rsidRPr="00D4309F">
        <w:rPr>
          <w:spacing w:val="-2"/>
        </w:rPr>
        <w:t>campaigns</w:t>
      </w:r>
    </w:p>
    <w:p w14:paraId="2BE2CA1F" w14:textId="77777777" w:rsidR="00725977" w:rsidRPr="00D4309F" w:rsidRDefault="00725977" w:rsidP="0036511B">
      <w:pPr>
        <w:pStyle w:val="ListBullet"/>
      </w:pPr>
      <w:r w:rsidRPr="00D4309F">
        <w:t>Option</w:t>
      </w:r>
      <w:r w:rsidRPr="00D4309F">
        <w:rPr>
          <w:spacing w:val="-3"/>
        </w:rPr>
        <w:t xml:space="preserve"> </w:t>
      </w:r>
      <w:r w:rsidRPr="00D4309F">
        <w:t>2C;</w:t>
      </w:r>
      <w:r w:rsidRPr="00D4309F">
        <w:rPr>
          <w:spacing w:val="-3"/>
        </w:rPr>
        <w:t xml:space="preserve"> </w:t>
      </w:r>
      <w:r w:rsidRPr="00D4309F">
        <w:t>Increased</w:t>
      </w:r>
      <w:r w:rsidRPr="00D4309F">
        <w:rPr>
          <w:spacing w:val="-3"/>
        </w:rPr>
        <w:t xml:space="preserve"> </w:t>
      </w:r>
      <w:r w:rsidRPr="00D4309F">
        <w:t>Dredge</w:t>
      </w:r>
      <w:r w:rsidRPr="00D4309F">
        <w:rPr>
          <w:spacing w:val="-3"/>
        </w:rPr>
        <w:t xml:space="preserve"> </w:t>
      </w:r>
      <w:r w:rsidRPr="00D4309F">
        <w:t>Channel</w:t>
      </w:r>
      <w:r w:rsidRPr="00D4309F">
        <w:rPr>
          <w:spacing w:val="-3"/>
        </w:rPr>
        <w:t xml:space="preserve"> </w:t>
      </w:r>
      <w:r w:rsidRPr="00D4309F">
        <w:t>Depth</w:t>
      </w:r>
      <w:r w:rsidRPr="00D4309F">
        <w:rPr>
          <w:spacing w:val="-3"/>
        </w:rPr>
        <w:t xml:space="preserve"> </w:t>
      </w:r>
      <w:r w:rsidRPr="00D4309F">
        <w:t>with</w:t>
      </w:r>
      <w:r w:rsidRPr="00D4309F">
        <w:rPr>
          <w:spacing w:val="-3"/>
        </w:rPr>
        <w:t xml:space="preserve"> </w:t>
      </w:r>
      <w:r w:rsidRPr="00D4309F">
        <w:t>Rock</w:t>
      </w:r>
      <w:r w:rsidRPr="00D4309F">
        <w:rPr>
          <w:spacing w:val="-2"/>
        </w:rPr>
        <w:t xml:space="preserve"> </w:t>
      </w:r>
      <w:r w:rsidRPr="00D4309F">
        <w:t>Excavation</w:t>
      </w:r>
      <w:r w:rsidRPr="00D4309F">
        <w:rPr>
          <w:spacing w:val="-4"/>
        </w:rPr>
        <w:t xml:space="preserve"> </w:t>
      </w:r>
      <w:r w:rsidRPr="00D4309F">
        <w:t>-</w:t>
      </w:r>
      <w:r w:rsidRPr="00D4309F">
        <w:rPr>
          <w:spacing w:val="-3"/>
        </w:rPr>
        <w:t xml:space="preserve"> </w:t>
      </w:r>
      <w:r w:rsidRPr="00D4309F">
        <w:t>Excavated</w:t>
      </w:r>
      <w:r w:rsidRPr="00D4309F">
        <w:rPr>
          <w:spacing w:val="-3"/>
        </w:rPr>
        <w:t xml:space="preserve"> </w:t>
      </w:r>
      <w:r w:rsidRPr="00D4309F">
        <w:t>sand</w:t>
      </w:r>
      <w:r w:rsidRPr="00D4309F">
        <w:rPr>
          <w:spacing w:val="-3"/>
        </w:rPr>
        <w:t xml:space="preserve"> </w:t>
      </w:r>
      <w:r w:rsidRPr="00D4309F">
        <w:t>trap</w:t>
      </w:r>
      <w:r w:rsidRPr="00D4309F">
        <w:rPr>
          <w:spacing w:val="-4"/>
        </w:rPr>
        <w:t xml:space="preserve"> </w:t>
      </w:r>
      <w:r w:rsidRPr="00D4309F">
        <w:t>with</w:t>
      </w:r>
      <w:r w:rsidRPr="00D4309F">
        <w:rPr>
          <w:spacing w:val="-3"/>
        </w:rPr>
        <w:t xml:space="preserve"> </w:t>
      </w:r>
      <w:r w:rsidRPr="00D4309F">
        <w:t>semi-permanent pump system</w:t>
      </w:r>
    </w:p>
    <w:p w14:paraId="3670CFDE" w14:textId="77777777" w:rsidR="00725977" w:rsidRPr="00D4309F" w:rsidRDefault="00725977" w:rsidP="0036511B">
      <w:pPr>
        <w:pStyle w:val="ListBullet"/>
      </w:pPr>
      <w:r w:rsidRPr="00D4309F">
        <w:lastRenderedPageBreak/>
        <w:t>Option</w:t>
      </w:r>
      <w:r w:rsidRPr="00D4309F">
        <w:rPr>
          <w:spacing w:val="-7"/>
        </w:rPr>
        <w:t xml:space="preserve"> </w:t>
      </w:r>
      <w:r w:rsidRPr="00D4309F">
        <w:t>3A;</w:t>
      </w:r>
      <w:r w:rsidRPr="00D4309F">
        <w:rPr>
          <w:spacing w:val="-4"/>
        </w:rPr>
        <w:t xml:space="preserve"> </w:t>
      </w:r>
      <w:r w:rsidRPr="00D4309F">
        <w:t>Eastern</w:t>
      </w:r>
      <w:r w:rsidRPr="00D4309F">
        <w:rPr>
          <w:spacing w:val="-4"/>
        </w:rPr>
        <w:t xml:space="preserve"> </w:t>
      </w:r>
      <w:r w:rsidRPr="00D4309F">
        <w:t>Breakwater</w:t>
      </w:r>
      <w:r w:rsidRPr="00D4309F">
        <w:rPr>
          <w:spacing w:val="-3"/>
        </w:rPr>
        <w:t xml:space="preserve"> </w:t>
      </w:r>
      <w:r w:rsidRPr="00D4309F">
        <w:t>Extension</w:t>
      </w:r>
      <w:r w:rsidRPr="00D4309F">
        <w:rPr>
          <w:spacing w:val="-4"/>
        </w:rPr>
        <w:t xml:space="preserve"> </w:t>
      </w:r>
      <w:r w:rsidRPr="00D4309F">
        <w:t>-</w:t>
      </w:r>
      <w:r w:rsidRPr="00D4309F">
        <w:rPr>
          <w:spacing w:val="-4"/>
        </w:rPr>
        <w:t xml:space="preserve"> </w:t>
      </w:r>
      <w:r w:rsidRPr="00D4309F">
        <w:t>Cutter</w:t>
      </w:r>
      <w:r w:rsidRPr="00D4309F">
        <w:rPr>
          <w:spacing w:val="-3"/>
        </w:rPr>
        <w:t xml:space="preserve"> </w:t>
      </w:r>
      <w:r w:rsidRPr="00D4309F">
        <w:t>suction</w:t>
      </w:r>
      <w:r w:rsidRPr="00D4309F">
        <w:rPr>
          <w:spacing w:val="-4"/>
        </w:rPr>
        <w:t xml:space="preserve"> </w:t>
      </w:r>
      <w:r w:rsidRPr="00D4309F">
        <w:t>dredge</w:t>
      </w:r>
      <w:r w:rsidRPr="00D4309F">
        <w:rPr>
          <w:spacing w:val="-4"/>
        </w:rPr>
        <w:t xml:space="preserve"> </w:t>
      </w:r>
      <w:r w:rsidRPr="00D4309F">
        <w:t>and</w:t>
      </w:r>
      <w:r w:rsidRPr="00D4309F">
        <w:rPr>
          <w:spacing w:val="-4"/>
        </w:rPr>
        <w:t xml:space="preserve"> </w:t>
      </w:r>
      <w:r w:rsidRPr="00D4309F">
        <w:t>pipeline</w:t>
      </w:r>
      <w:r w:rsidRPr="00D4309F">
        <w:rPr>
          <w:spacing w:val="-4"/>
        </w:rPr>
        <w:t xml:space="preserve"> </w:t>
      </w:r>
      <w:r w:rsidRPr="00D4309F">
        <w:rPr>
          <w:spacing w:val="-2"/>
        </w:rPr>
        <w:t>transfer</w:t>
      </w:r>
    </w:p>
    <w:p w14:paraId="20E351DD" w14:textId="77777777" w:rsidR="00725977" w:rsidRPr="00D4309F" w:rsidRDefault="00725977" w:rsidP="0036511B">
      <w:pPr>
        <w:pStyle w:val="ListBullet"/>
      </w:pPr>
      <w:r w:rsidRPr="00D4309F">
        <w:t>Option</w:t>
      </w:r>
      <w:r w:rsidRPr="00D4309F">
        <w:rPr>
          <w:spacing w:val="-6"/>
        </w:rPr>
        <w:t xml:space="preserve"> </w:t>
      </w:r>
      <w:r w:rsidRPr="00D4309F">
        <w:t>3B;</w:t>
      </w:r>
      <w:r w:rsidRPr="00D4309F">
        <w:rPr>
          <w:spacing w:val="-4"/>
        </w:rPr>
        <w:t xml:space="preserve"> </w:t>
      </w:r>
      <w:r w:rsidRPr="00D4309F">
        <w:t>Eastern</w:t>
      </w:r>
      <w:r w:rsidRPr="00D4309F">
        <w:rPr>
          <w:spacing w:val="-4"/>
        </w:rPr>
        <w:t xml:space="preserve"> </w:t>
      </w:r>
      <w:r w:rsidRPr="00D4309F">
        <w:t>Breakwater</w:t>
      </w:r>
      <w:r w:rsidRPr="00D4309F">
        <w:rPr>
          <w:spacing w:val="-4"/>
        </w:rPr>
        <w:t xml:space="preserve"> </w:t>
      </w:r>
      <w:r w:rsidRPr="00D4309F">
        <w:t>Extension</w:t>
      </w:r>
      <w:r w:rsidRPr="00D4309F">
        <w:rPr>
          <w:spacing w:val="-4"/>
        </w:rPr>
        <w:t xml:space="preserve"> </w:t>
      </w:r>
      <w:r w:rsidRPr="00D4309F">
        <w:t>-</w:t>
      </w:r>
      <w:r w:rsidRPr="00D4309F">
        <w:rPr>
          <w:spacing w:val="-4"/>
        </w:rPr>
        <w:t xml:space="preserve"> </w:t>
      </w:r>
      <w:r w:rsidRPr="00D4309F">
        <w:t>Buried</w:t>
      </w:r>
      <w:r w:rsidRPr="00D4309F">
        <w:rPr>
          <w:spacing w:val="-4"/>
        </w:rPr>
        <w:t xml:space="preserve"> </w:t>
      </w:r>
      <w:r w:rsidRPr="00D4309F">
        <w:t>slurry</w:t>
      </w:r>
      <w:r w:rsidRPr="00D4309F">
        <w:rPr>
          <w:spacing w:val="-3"/>
        </w:rPr>
        <w:t xml:space="preserve"> </w:t>
      </w:r>
      <w:r w:rsidRPr="00D4309F">
        <w:t>pump</w:t>
      </w:r>
      <w:r w:rsidRPr="00D4309F">
        <w:rPr>
          <w:spacing w:val="-4"/>
        </w:rPr>
        <w:t xml:space="preserve"> </w:t>
      </w:r>
      <w:r w:rsidRPr="00D4309F">
        <w:t>(Sand</w:t>
      </w:r>
      <w:r w:rsidRPr="00D4309F">
        <w:rPr>
          <w:spacing w:val="-4"/>
        </w:rPr>
        <w:t xml:space="preserve"> </w:t>
      </w:r>
      <w:r w:rsidRPr="00D4309F">
        <w:t>Shifter)</w:t>
      </w:r>
      <w:r w:rsidRPr="00D4309F">
        <w:rPr>
          <w:spacing w:val="-4"/>
        </w:rPr>
        <w:t xml:space="preserve"> </w:t>
      </w:r>
      <w:r w:rsidRPr="00D4309F">
        <w:rPr>
          <w:spacing w:val="-2"/>
        </w:rPr>
        <w:t>system</w:t>
      </w:r>
    </w:p>
    <w:p w14:paraId="4BC8596F" w14:textId="77777777" w:rsidR="00725977" w:rsidRPr="00D4309F" w:rsidRDefault="00725977" w:rsidP="0036511B">
      <w:pPr>
        <w:pStyle w:val="ListBullet"/>
      </w:pPr>
      <w:r w:rsidRPr="00D4309F">
        <w:t>Option</w:t>
      </w:r>
      <w:r w:rsidRPr="00D4309F">
        <w:rPr>
          <w:spacing w:val="-7"/>
        </w:rPr>
        <w:t xml:space="preserve"> </w:t>
      </w:r>
      <w:r w:rsidRPr="00D4309F">
        <w:t>3C;</w:t>
      </w:r>
      <w:r w:rsidRPr="00D4309F">
        <w:rPr>
          <w:spacing w:val="-4"/>
        </w:rPr>
        <w:t xml:space="preserve"> </w:t>
      </w:r>
      <w:r w:rsidRPr="00D4309F">
        <w:t>Eastern</w:t>
      </w:r>
      <w:r w:rsidRPr="00D4309F">
        <w:rPr>
          <w:spacing w:val="-5"/>
        </w:rPr>
        <w:t xml:space="preserve"> </w:t>
      </w:r>
      <w:r w:rsidRPr="00D4309F">
        <w:t>Breakwater</w:t>
      </w:r>
      <w:r w:rsidRPr="00D4309F">
        <w:rPr>
          <w:spacing w:val="-4"/>
        </w:rPr>
        <w:t xml:space="preserve"> </w:t>
      </w:r>
      <w:r w:rsidRPr="00D4309F">
        <w:t>Extension</w:t>
      </w:r>
      <w:r w:rsidRPr="00D4309F">
        <w:rPr>
          <w:spacing w:val="-4"/>
        </w:rPr>
        <w:t xml:space="preserve"> </w:t>
      </w:r>
      <w:r w:rsidRPr="00D4309F">
        <w:t>-</w:t>
      </w:r>
      <w:r w:rsidRPr="00D4309F">
        <w:rPr>
          <w:spacing w:val="-5"/>
        </w:rPr>
        <w:t xml:space="preserve"> </w:t>
      </w:r>
      <w:r w:rsidRPr="00D4309F">
        <w:t>Crane-operated</w:t>
      </w:r>
      <w:r w:rsidRPr="00D4309F">
        <w:rPr>
          <w:spacing w:val="-4"/>
        </w:rPr>
        <w:t xml:space="preserve"> </w:t>
      </w:r>
      <w:r w:rsidRPr="00D4309F">
        <w:t>jet</w:t>
      </w:r>
      <w:r w:rsidRPr="00D4309F">
        <w:rPr>
          <w:spacing w:val="-4"/>
        </w:rPr>
        <w:t xml:space="preserve"> pump</w:t>
      </w:r>
    </w:p>
    <w:p w14:paraId="601BE278" w14:textId="77777777" w:rsidR="00725977" w:rsidRPr="00B843E8" w:rsidRDefault="00725977" w:rsidP="0036511B">
      <w:pPr>
        <w:pStyle w:val="ListBullet"/>
      </w:pPr>
      <w:r w:rsidRPr="00D4309F">
        <w:t>Option</w:t>
      </w:r>
      <w:r w:rsidRPr="00D4309F">
        <w:rPr>
          <w:spacing w:val="-4"/>
        </w:rPr>
        <w:t xml:space="preserve"> </w:t>
      </w:r>
      <w:r w:rsidRPr="00D4309F">
        <w:t>4;</w:t>
      </w:r>
      <w:r w:rsidRPr="00D4309F">
        <w:rPr>
          <w:spacing w:val="-4"/>
        </w:rPr>
        <w:t xml:space="preserve"> </w:t>
      </w:r>
      <w:r w:rsidRPr="00D4309F">
        <w:t>Permanent</w:t>
      </w:r>
      <w:r w:rsidRPr="00D4309F">
        <w:rPr>
          <w:spacing w:val="-4"/>
        </w:rPr>
        <w:t xml:space="preserve"> </w:t>
      </w:r>
      <w:r w:rsidRPr="00D4309F">
        <w:t>Automated</w:t>
      </w:r>
      <w:r w:rsidRPr="00D4309F">
        <w:rPr>
          <w:spacing w:val="-4"/>
        </w:rPr>
        <w:t xml:space="preserve"> </w:t>
      </w:r>
      <w:r w:rsidRPr="00D4309F">
        <w:t>Sand</w:t>
      </w:r>
      <w:r w:rsidRPr="00D4309F">
        <w:rPr>
          <w:spacing w:val="-5"/>
        </w:rPr>
        <w:t xml:space="preserve"> </w:t>
      </w:r>
      <w:r w:rsidRPr="00D4309F">
        <w:t>Bypassing</w:t>
      </w:r>
      <w:r w:rsidRPr="00D4309F">
        <w:rPr>
          <w:spacing w:val="-3"/>
        </w:rPr>
        <w:t xml:space="preserve"> </w:t>
      </w:r>
      <w:r w:rsidRPr="00D4309F">
        <w:rPr>
          <w:spacing w:val="-2"/>
        </w:rPr>
        <w:t>System</w:t>
      </w:r>
    </w:p>
    <w:p w14:paraId="47848AEB" w14:textId="7353CBE1" w:rsidR="00FE1752" w:rsidRDefault="00FE1752" w:rsidP="00FE1752">
      <w:pPr>
        <w:pStyle w:val="ListBullet"/>
      </w:pPr>
      <w:r>
        <w:t>Option 5A; Formalise Western Channel (no structural modification)</w:t>
      </w:r>
    </w:p>
    <w:p w14:paraId="175C4560" w14:textId="4246FA02" w:rsidR="00B843E8" w:rsidRPr="00D4309F" w:rsidRDefault="00FE1752" w:rsidP="00FE1752">
      <w:pPr>
        <w:pStyle w:val="ListBullet"/>
      </w:pPr>
      <w:r>
        <w:t>Option 5B; Shorten Westen Entrance Wall + Formalise Western Channel (structural modification)</w:t>
      </w:r>
    </w:p>
    <w:p w14:paraId="499B8042" w14:textId="77777777" w:rsidR="00725977" w:rsidRPr="00DA5995" w:rsidRDefault="00725977" w:rsidP="00DA5995">
      <w:pPr>
        <w:pStyle w:val="Heading3Style"/>
        <w:rPr>
          <w:rFonts w:eastAsiaTheme="minorHAnsi" w:cs="Verdana"/>
          <w:bCs/>
          <w:color w:val="221E1F"/>
        </w:rPr>
      </w:pPr>
      <w:r w:rsidRPr="00DA5995">
        <w:rPr>
          <w:rFonts w:eastAsiaTheme="minorHAnsi" w:cs="Verdana"/>
          <w:bCs/>
          <w:color w:val="221E1F"/>
        </w:rPr>
        <w:t>Findings</w:t>
      </w:r>
    </w:p>
    <w:p w14:paraId="6D89D046" w14:textId="71452E52" w:rsidR="00725977" w:rsidRPr="00D4309F" w:rsidRDefault="00725977" w:rsidP="00725977">
      <w:pPr>
        <w:pStyle w:val="BodyText"/>
      </w:pPr>
      <w:r w:rsidRPr="00D4309F">
        <w:t>The</w:t>
      </w:r>
      <w:r w:rsidRPr="00D4309F">
        <w:rPr>
          <w:spacing w:val="-5"/>
        </w:rPr>
        <w:t xml:space="preserve"> </w:t>
      </w:r>
      <w:r w:rsidRPr="00D4309F">
        <w:t>following</w:t>
      </w:r>
      <w:r w:rsidRPr="00D4309F">
        <w:rPr>
          <w:spacing w:val="-4"/>
        </w:rPr>
        <w:t xml:space="preserve"> </w:t>
      </w:r>
      <w:r w:rsidRPr="00D4309F">
        <w:t>is</w:t>
      </w:r>
      <w:r w:rsidRPr="00D4309F">
        <w:rPr>
          <w:spacing w:val="-1"/>
        </w:rPr>
        <w:t xml:space="preserve"> </w:t>
      </w:r>
      <w:r w:rsidRPr="00D4309F">
        <w:t>a</w:t>
      </w:r>
      <w:r w:rsidRPr="00D4309F">
        <w:rPr>
          <w:spacing w:val="-3"/>
        </w:rPr>
        <w:t xml:space="preserve"> </w:t>
      </w:r>
      <w:r w:rsidRPr="00D4309F">
        <w:t>summary</w:t>
      </w:r>
      <w:r w:rsidRPr="00D4309F">
        <w:rPr>
          <w:spacing w:val="-2"/>
        </w:rPr>
        <w:t xml:space="preserve"> </w:t>
      </w:r>
      <w:r w:rsidRPr="00D4309F">
        <w:t>of</w:t>
      </w:r>
      <w:r w:rsidRPr="00D4309F">
        <w:rPr>
          <w:spacing w:val="-3"/>
        </w:rPr>
        <w:t xml:space="preserve"> </w:t>
      </w:r>
      <w:r w:rsidRPr="00D4309F">
        <w:t>the</w:t>
      </w:r>
      <w:r w:rsidRPr="00D4309F">
        <w:rPr>
          <w:spacing w:val="-2"/>
        </w:rPr>
        <w:t xml:space="preserve"> </w:t>
      </w:r>
      <w:r w:rsidRPr="00D4309F">
        <w:t>MCA</w:t>
      </w:r>
      <w:r w:rsidRPr="00D4309F">
        <w:rPr>
          <w:spacing w:val="-3"/>
        </w:rPr>
        <w:t xml:space="preserve"> </w:t>
      </w:r>
      <w:r w:rsidRPr="00D4309F">
        <w:t>scoring</w:t>
      </w:r>
      <w:r w:rsidRPr="00D4309F">
        <w:rPr>
          <w:spacing w:val="-2"/>
        </w:rPr>
        <w:t xml:space="preserve"> </w:t>
      </w:r>
      <w:r w:rsidRPr="00D4309F">
        <w:t>of</w:t>
      </w:r>
      <w:r w:rsidRPr="00D4309F">
        <w:rPr>
          <w:spacing w:val="-3"/>
        </w:rPr>
        <w:t xml:space="preserve"> </w:t>
      </w:r>
      <w:r w:rsidRPr="00D4309F">
        <w:t>the</w:t>
      </w:r>
      <w:r w:rsidRPr="00D4309F">
        <w:rPr>
          <w:spacing w:val="-3"/>
        </w:rPr>
        <w:t xml:space="preserve"> </w:t>
      </w:r>
      <w:r w:rsidRPr="00D4309F">
        <w:t>Long-term</w:t>
      </w:r>
      <w:r w:rsidRPr="00D4309F">
        <w:rPr>
          <w:spacing w:val="-2"/>
        </w:rPr>
        <w:t xml:space="preserve"> options:</w:t>
      </w:r>
    </w:p>
    <w:tbl>
      <w:tblPr>
        <w:tblStyle w:val="Table1"/>
        <w:tblW w:w="9703" w:type="dxa"/>
        <w:tblLayout w:type="fixed"/>
        <w:tblLook w:val="04A0" w:firstRow="1" w:lastRow="0" w:firstColumn="1" w:lastColumn="0" w:noHBand="0" w:noVBand="1"/>
      </w:tblPr>
      <w:tblGrid>
        <w:gridCol w:w="1065"/>
        <w:gridCol w:w="1626"/>
        <w:gridCol w:w="1230"/>
        <w:gridCol w:w="1507"/>
        <w:gridCol w:w="1552"/>
        <w:gridCol w:w="1122"/>
        <w:gridCol w:w="1601"/>
      </w:tblGrid>
      <w:tr w:rsidR="00725977" w:rsidRPr="00D4309F" w14:paraId="351BF4EC" w14:textId="77777777" w:rsidTr="00E047C7">
        <w:trPr>
          <w:cnfStyle w:val="100000000000" w:firstRow="1" w:lastRow="0" w:firstColumn="0" w:lastColumn="0" w:oddVBand="0" w:evenVBand="0" w:oddHBand="0" w:evenHBand="0" w:firstRowFirstColumn="0" w:firstRowLastColumn="0" w:lastRowFirstColumn="0" w:lastRowLastColumn="0"/>
          <w:trHeight w:val="492"/>
        </w:trPr>
        <w:tc>
          <w:tcPr>
            <w:tcW w:w="1065" w:type="dxa"/>
          </w:tcPr>
          <w:p w14:paraId="5B07F91A" w14:textId="77777777" w:rsidR="00725977" w:rsidRPr="00D4309F" w:rsidRDefault="00725977" w:rsidP="00961A50">
            <w:pPr>
              <w:pStyle w:val="TableParagraph"/>
              <w:spacing w:before="143"/>
              <w:ind w:left="87"/>
              <w:rPr>
                <w:b/>
                <w:sz w:val="18"/>
              </w:rPr>
            </w:pPr>
            <w:r w:rsidRPr="00D4309F">
              <w:rPr>
                <w:b/>
                <w:color w:val="70004A"/>
                <w:spacing w:val="-2"/>
                <w:sz w:val="18"/>
              </w:rPr>
              <w:t>Options</w:t>
            </w:r>
          </w:p>
        </w:tc>
        <w:tc>
          <w:tcPr>
            <w:tcW w:w="1626" w:type="dxa"/>
          </w:tcPr>
          <w:p w14:paraId="5BEC3508" w14:textId="77777777" w:rsidR="00725977" w:rsidRPr="00D4309F" w:rsidRDefault="00725977" w:rsidP="00961A50">
            <w:pPr>
              <w:pStyle w:val="TableParagraph"/>
              <w:spacing w:before="40"/>
              <w:ind w:left="295"/>
              <w:rPr>
                <w:b/>
                <w:sz w:val="18"/>
              </w:rPr>
            </w:pPr>
            <w:r w:rsidRPr="00D4309F">
              <w:rPr>
                <w:b/>
                <w:color w:val="70004A"/>
                <w:spacing w:val="-2"/>
                <w:sz w:val="18"/>
              </w:rPr>
              <w:t>Coastal Engineering</w:t>
            </w:r>
          </w:p>
        </w:tc>
        <w:tc>
          <w:tcPr>
            <w:tcW w:w="1230" w:type="dxa"/>
          </w:tcPr>
          <w:p w14:paraId="0FBB64E7" w14:textId="77777777" w:rsidR="00725977" w:rsidRPr="00D4309F" w:rsidRDefault="00725977" w:rsidP="00961A50">
            <w:pPr>
              <w:pStyle w:val="TableParagraph"/>
              <w:spacing w:before="143"/>
              <w:ind w:left="287"/>
              <w:rPr>
                <w:b/>
                <w:sz w:val="18"/>
              </w:rPr>
            </w:pPr>
            <w:r w:rsidRPr="00D4309F">
              <w:rPr>
                <w:b/>
                <w:color w:val="70004A"/>
                <w:spacing w:val="-2"/>
                <w:sz w:val="18"/>
              </w:rPr>
              <w:t>Safety</w:t>
            </w:r>
          </w:p>
        </w:tc>
        <w:tc>
          <w:tcPr>
            <w:tcW w:w="1507" w:type="dxa"/>
          </w:tcPr>
          <w:p w14:paraId="231AA219" w14:textId="77777777" w:rsidR="00725977" w:rsidRPr="00D4309F" w:rsidRDefault="00725977" w:rsidP="00961A50">
            <w:pPr>
              <w:pStyle w:val="TableParagraph"/>
              <w:spacing w:before="40"/>
              <w:ind w:left="400" w:right="242"/>
              <w:rPr>
                <w:b/>
                <w:sz w:val="18"/>
              </w:rPr>
            </w:pPr>
            <w:r w:rsidRPr="00D4309F">
              <w:rPr>
                <w:b/>
                <w:color w:val="70004A"/>
                <w:sz w:val="18"/>
              </w:rPr>
              <w:t xml:space="preserve">Social &amp; </w:t>
            </w:r>
            <w:r w:rsidRPr="00D4309F">
              <w:rPr>
                <w:b/>
                <w:color w:val="70004A"/>
                <w:spacing w:val="-2"/>
                <w:sz w:val="18"/>
              </w:rPr>
              <w:t>Economic</w:t>
            </w:r>
          </w:p>
        </w:tc>
        <w:tc>
          <w:tcPr>
            <w:tcW w:w="1552" w:type="dxa"/>
          </w:tcPr>
          <w:p w14:paraId="4FC96B0E" w14:textId="77777777" w:rsidR="00725977" w:rsidRPr="00D4309F" w:rsidRDefault="00725977" w:rsidP="00961A50">
            <w:pPr>
              <w:pStyle w:val="TableParagraph"/>
              <w:spacing w:before="143"/>
              <w:ind w:left="241"/>
              <w:rPr>
                <w:b/>
                <w:sz w:val="18"/>
              </w:rPr>
            </w:pPr>
            <w:r w:rsidRPr="00D4309F">
              <w:rPr>
                <w:b/>
                <w:color w:val="70004A"/>
                <w:spacing w:val="-2"/>
                <w:sz w:val="18"/>
              </w:rPr>
              <w:t>Environmental</w:t>
            </w:r>
          </w:p>
        </w:tc>
        <w:tc>
          <w:tcPr>
            <w:tcW w:w="1122" w:type="dxa"/>
          </w:tcPr>
          <w:p w14:paraId="7D1CC6FB" w14:textId="77777777" w:rsidR="00725977" w:rsidRPr="00D4309F" w:rsidRDefault="00725977" w:rsidP="00961A50">
            <w:pPr>
              <w:pStyle w:val="TableParagraph"/>
              <w:spacing w:before="143"/>
              <w:ind w:left="54"/>
              <w:rPr>
                <w:b/>
                <w:sz w:val="18"/>
              </w:rPr>
            </w:pPr>
            <w:r w:rsidRPr="00D4309F">
              <w:rPr>
                <w:b/>
                <w:color w:val="70004A"/>
                <w:spacing w:val="-2"/>
                <w:sz w:val="18"/>
              </w:rPr>
              <w:t>Financial</w:t>
            </w:r>
          </w:p>
        </w:tc>
        <w:tc>
          <w:tcPr>
            <w:tcW w:w="1601" w:type="dxa"/>
          </w:tcPr>
          <w:p w14:paraId="540A95A6" w14:textId="77777777" w:rsidR="00725977" w:rsidRPr="00D4309F" w:rsidRDefault="00725977" w:rsidP="00961A50">
            <w:pPr>
              <w:pStyle w:val="TableParagraph"/>
              <w:spacing w:before="143"/>
              <w:ind w:left="279"/>
              <w:rPr>
                <w:b/>
                <w:sz w:val="18"/>
              </w:rPr>
            </w:pPr>
            <w:r w:rsidRPr="00D4309F">
              <w:rPr>
                <w:b/>
                <w:color w:val="70004A"/>
                <w:sz w:val="18"/>
              </w:rPr>
              <w:t>Total</w:t>
            </w:r>
            <w:r w:rsidRPr="00D4309F">
              <w:rPr>
                <w:b/>
                <w:color w:val="70004A"/>
                <w:spacing w:val="-3"/>
                <w:sz w:val="18"/>
              </w:rPr>
              <w:t xml:space="preserve"> </w:t>
            </w:r>
            <w:r w:rsidRPr="00D4309F">
              <w:rPr>
                <w:b/>
                <w:color w:val="70004A"/>
                <w:spacing w:val="-2"/>
                <w:sz w:val="18"/>
              </w:rPr>
              <w:t>Score</w:t>
            </w:r>
          </w:p>
        </w:tc>
      </w:tr>
      <w:tr w:rsidR="00725977" w:rsidRPr="00D4309F" w14:paraId="31ACC766" w14:textId="77777777" w:rsidTr="00E047C7">
        <w:trPr>
          <w:trHeight w:val="287"/>
        </w:trPr>
        <w:tc>
          <w:tcPr>
            <w:tcW w:w="1065" w:type="dxa"/>
          </w:tcPr>
          <w:p w14:paraId="0C8FBFA1" w14:textId="77777777" w:rsidR="00725977" w:rsidRPr="00D4309F" w:rsidRDefault="00725977" w:rsidP="00961A50">
            <w:pPr>
              <w:pStyle w:val="TableParagraph"/>
              <w:spacing w:before="41"/>
              <w:ind w:left="87"/>
              <w:rPr>
                <w:sz w:val="18"/>
              </w:rPr>
            </w:pPr>
            <w:r w:rsidRPr="00D4309F">
              <w:rPr>
                <w:color w:val="211E1F"/>
                <w:spacing w:val="-5"/>
                <w:sz w:val="18"/>
              </w:rPr>
              <w:t>1A</w:t>
            </w:r>
          </w:p>
        </w:tc>
        <w:tc>
          <w:tcPr>
            <w:tcW w:w="1626" w:type="dxa"/>
          </w:tcPr>
          <w:p w14:paraId="01B73851" w14:textId="77777777" w:rsidR="00725977" w:rsidRPr="00D4309F" w:rsidRDefault="00725977" w:rsidP="00961A50">
            <w:pPr>
              <w:pStyle w:val="TableParagraph"/>
              <w:spacing w:before="41"/>
              <w:ind w:left="295"/>
              <w:rPr>
                <w:sz w:val="18"/>
              </w:rPr>
            </w:pPr>
            <w:r w:rsidRPr="00D4309F">
              <w:rPr>
                <w:color w:val="211E1F"/>
                <w:spacing w:val="-5"/>
                <w:sz w:val="18"/>
              </w:rPr>
              <w:t>19</w:t>
            </w:r>
          </w:p>
        </w:tc>
        <w:tc>
          <w:tcPr>
            <w:tcW w:w="1230" w:type="dxa"/>
          </w:tcPr>
          <w:p w14:paraId="6CF83112" w14:textId="77777777" w:rsidR="00725977" w:rsidRPr="00D4309F" w:rsidRDefault="00725977" w:rsidP="00961A50">
            <w:pPr>
              <w:pStyle w:val="TableParagraph"/>
              <w:spacing w:before="41"/>
              <w:ind w:left="287"/>
              <w:rPr>
                <w:sz w:val="18"/>
              </w:rPr>
            </w:pPr>
            <w:r w:rsidRPr="00D4309F">
              <w:rPr>
                <w:color w:val="211E1F"/>
                <w:spacing w:val="-10"/>
                <w:sz w:val="18"/>
              </w:rPr>
              <w:t>9</w:t>
            </w:r>
          </w:p>
        </w:tc>
        <w:tc>
          <w:tcPr>
            <w:tcW w:w="1507" w:type="dxa"/>
          </w:tcPr>
          <w:p w14:paraId="087F81D8" w14:textId="77777777" w:rsidR="00725977" w:rsidRPr="00D4309F" w:rsidRDefault="00725977" w:rsidP="00961A50">
            <w:pPr>
              <w:pStyle w:val="TableParagraph"/>
              <w:spacing w:before="41"/>
              <w:ind w:left="400"/>
              <w:rPr>
                <w:sz w:val="18"/>
              </w:rPr>
            </w:pPr>
            <w:r w:rsidRPr="00D4309F">
              <w:rPr>
                <w:color w:val="211E1F"/>
                <w:spacing w:val="-5"/>
                <w:sz w:val="18"/>
              </w:rPr>
              <w:t>32</w:t>
            </w:r>
          </w:p>
        </w:tc>
        <w:tc>
          <w:tcPr>
            <w:tcW w:w="1552" w:type="dxa"/>
          </w:tcPr>
          <w:p w14:paraId="1EA50114" w14:textId="77777777" w:rsidR="00725977" w:rsidRPr="00D4309F" w:rsidRDefault="00725977" w:rsidP="00961A50">
            <w:pPr>
              <w:pStyle w:val="TableParagraph"/>
              <w:spacing w:before="41"/>
              <w:ind w:left="241"/>
              <w:rPr>
                <w:sz w:val="18"/>
              </w:rPr>
            </w:pPr>
            <w:r w:rsidRPr="00D4309F">
              <w:rPr>
                <w:color w:val="211E1F"/>
                <w:spacing w:val="-10"/>
                <w:sz w:val="18"/>
              </w:rPr>
              <w:t>9</w:t>
            </w:r>
          </w:p>
        </w:tc>
        <w:tc>
          <w:tcPr>
            <w:tcW w:w="1122" w:type="dxa"/>
          </w:tcPr>
          <w:p w14:paraId="3B272C4A" w14:textId="77777777" w:rsidR="00725977" w:rsidRPr="00D4309F" w:rsidRDefault="00725977" w:rsidP="00961A50">
            <w:pPr>
              <w:pStyle w:val="TableParagraph"/>
              <w:spacing w:before="41"/>
              <w:ind w:left="54"/>
              <w:rPr>
                <w:sz w:val="18"/>
              </w:rPr>
            </w:pPr>
            <w:r w:rsidRPr="00D4309F">
              <w:rPr>
                <w:color w:val="211E1F"/>
                <w:spacing w:val="-10"/>
                <w:sz w:val="18"/>
              </w:rPr>
              <w:t>6</w:t>
            </w:r>
          </w:p>
        </w:tc>
        <w:tc>
          <w:tcPr>
            <w:tcW w:w="1601" w:type="dxa"/>
          </w:tcPr>
          <w:p w14:paraId="68DAEC6C" w14:textId="77777777" w:rsidR="00725977" w:rsidRPr="00D4309F" w:rsidRDefault="00725977" w:rsidP="00961A50">
            <w:pPr>
              <w:pStyle w:val="TableParagraph"/>
              <w:spacing w:before="41"/>
              <w:ind w:left="279"/>
              <w:rPr>
                <w:b/>
                <w:sz w:val="18"/>
              </w:rPr>
            </w:pPr>
            <w:r w:rsidRPr="00D4309F">
              <w:rPr>
                <w:b/>
                <w:color w:val="211E1F"/>
                <w:spacing w:val="-5"/>
                <w:sz w:val="18"/>
              </w:rPr>
              <w:t>75</w:t>
            </w:r>
          </w:p>
        </w:tc>
      </w:tr>
      <w:tr w:rsidR="00725977" w:rsidRPr="00D4309F" w14:paraId="7A77AE28" w14:textId="77777777" w:rsidTr="00E047C7">
        <w:trPr>
          <w:trHeight w:val="287"/>
        </w:trPr>
        <w:tc>
          <w:tcPr>
            <w:tcW w:w="1065" w:type="dxa"/>
          </w:tcPr>
          <w:p w14:paraId="4C6A5791" w14:textId="77777777" w:rsidR="00725977" w:rsidRPr="00D4309F" w:rsidRDefault="00725977" w:rsidP="00961A50">
            <w:pPr>
              <w:pStyle w:val="TableParagraph"/>
              <w:spacing w:before="39"/>
              <w:ind w:left="87"/>
              <w:rPr>
                <w:sz w:val="18"/>
              </w:rPr>
            </w:pPr>
            <w:r w:rsidRPr="00D4309F">
              <w:rPr>
                <w:color w:val="211E1F"/>
                <w:spacing w:val="-5"/>
                <w:sz w:val="18"/>
              </w:rPr>
              <w:t>1B</w:t>
            </w:r>
          </w:p>
        </w:tc>
        <w:tc>
          <w:tcPr>
            <w:tcW w:w="1626" w:type="dxa"/>
          </w:tcPr>
          <w:p w14:paraId="26AE2267" w14:textId="77777777" w:rsidR="00725977" w:rsidRPr="00D4309F" w:rsidRDefault="00725977" w:rsidP="00961A50">
            <w:pPr>
              <w:pStyle w:val="TableParagraph"/>
              <w:spacing w:before="39"/>
              <w:ind w:left="295"/>
              <w:rPr>
                <w:sz w:val="18"/>
              </w:rPr>
            </w:pPr>
            <w:r w:rsidRPr="00D4309F">
              <w:rPr>
                <w:color w:val="211E1F"/>
                <w:spacing w:val="-5"/>
                <w:sz w:val="18"/>
              </w:rPr>
              <w:t>16</w:t>
            </w:r>
          </w:p>
        </w:tc>
        <w:tc>
          <w:tcPr>
            <w:tcW w:w="1230" w:type="dxa"/>
          </w:tcPr>
          <w:p w14:paraId="016AA343" w14:textId="77777777" w:rsidR="00725977" w:rsidRPr="00D4309F" w:rsidRDefault="00725977" w:rsidP="00961A50">
            <w:pPr>
              <w:pStyle w:val="TableParagraph"/>
              <w:spacing w:before="39"/>
              <w:ind w:left="287"/>
              <w:rPr>
                <w:sz w:val="18"/>
              </w:rPr>
            </w:pPr>
            <w:r w:rsidRPr="00D4309F">
              <w:rPr>
                <w:color w:val="211E1F"/>
                <w:spacing w:val="-10"/>
                <w:sz w:val="18"/>
              </w:rPr>
              <w:t>9</w:t>
            </w:r>
          </w:p>
        </w:tc>
        <w:tc>
          <w:tcPr>
            <w:tcW w:w="1507" w:type="dxa"/>
          </w:tcPr>
          <w:p w14:paraId="7305ECA5" w14:textId="77777777" w:rsidR="00725977" w:rsidRPr="00D4309F" w:rsidRDefault="00725977" w:rsidP="00961A50">
            <w:pPr>
              <w:pStyle w:val="TableParagraph"/>
              <w:spacing w:before="39"/>
              <w:ind w:left="400"/>
              <w:rPr>
                <w:sz w:val="18"/>
              </w:rPr>
            </w:pPr>
            <w:r w:rsidRPr="00D4309F">
              <w:rPr>
                <w:color w:val="211E1F"/>
                <w:spacing w:val="-5"/>
                <w:sz w:val="18"/>
              </w:rPr>
              <w:t>21</w:t>
            </w:r>
          </w:p>
        </w:tc>
        <w:tc>
          <w:tcPr>
            <w:tcW w:w="1552" w:type="dxa"/>
          </w:tcPr>
          <w:p w14:paraId="455475B2" w14:textId="77777777" w:rsidR="00725977" w:rsidRPr="00D4309F" w:rsidRDefault="00725977" w:rsidP="00961A50">
            <w:pPr>
              <w:pStyle w:val="TableParagraph"/>
              <w:spacing w:before="39"/>
              <w:ind w:left="241"/>
              <w:rPr>
                <w:sz w:val="18"/>
              </w:rPr>
            </w:pPr>
            <w:r w:rsidRPr="00D4309F">
              <w:rPr>
                <w:color w:val="211E1F"/>
                <w:spacing w:val="-10"/>
                <w:sz w:val="18"/>
              </w:rPr>
              <w:t>6</w:t>
            </w:r>
          </w:p>
        </w:tc>
        <w:tc>
          <w:tcPr>
            <w:tcW w:w="1122" w:type="dxa"/>
          </w:tcPr>
          <w:p w14:paraId="54340781" w14:textId="77777777" w:rsidR="00725977" w:rsidRPr="00D4309F" w:rsidRDefault="00725977" w:rsidP="00961A50">
            <w:pPr>
              <w:pStyle w:val="TableParagraph"/>
              <w:spacing w:before="39"/>
              <w:ind w:left="54"/>
              <w:rPr>
                <w:sz w:val="18"/>
              </w:rPr>
            </w:pPr>
            <w:r w:rsidRPr="00D4309F">
              <w:rPr>
                <w:color w:val="211E1F"/>
                <w:spacing w:val="-10"/>
                <w:sz w:val="18"/>
              </w:rPr>
              <w:t>5</w:t>
            </w:r>
          </w:p>
        </w:tc>
        <w:tc>
          <w:tcPr>
            <w:tcW w:w="1601" w:type="dxa"/>
          </w:tcPr>
          <w:p w14:paraId="6B10B188" w14:textId="77777777" w:rsidR="00725977" w:rsidRPr="00D4309F" w:rsidRDefault="00725977" w:rsidP="00961A50">
            <w:pPr>
              <w:pStyle w:val="TableParagraph"/>
              <w:spacing w:before="39"/>
              <w:ind w:left="279"/>
              <w:rPr>
                <w:b/>
                <w:sz w:val="18"/>
              </w:rPr>
            </w:pPr>
            <w:r w:rsidRPr="00D4309F">
              <w:rPr>
                <w:b/>
                <w:color w:val="211E1F"/>
                <w:spacing w:val="-5"/>
                <w:sz w:val="18"/>
              </w:rPr>
              <w:t>57</w:t>
            </w:r>
          </w:p>
        </w:tc>
      </w:tr>
      <w:tr w:rsidR="00725977" w:rsidRPr="00D4309F" w14:paraId="3AD63ED3" w14:textId="77777777" w:rsidTr="00E047C7">
        <w:trPr>
          <w:trHeight w:val="286"/>
        </w:trPr>
        <w:tc>
          <w:tcPr>
            <w:tcW w:w="1065" w:type="dxa"/>
          </w:tcPr>
          <w:p w14:paraId="5C612931" w14:textId="77777777" w:rsidR="00725977" w:rsidRPr="00D4309F" w:rsidRDefault="00725977" w:rsidP="00961A50">
            <w:pPr>
              <w:pStyle w:val="TableParagraph"/>
              <w:spacing w:before="39"/>
              <w:ind w:left="87"/>
              <w:rPr>
                <w:sz w:val="18"/>
              </w:rPr>
            </w:pPr>
            <w:r w:rsidRPr="00D4309F">
              <w:rPr>
                <w:color w:val="211E1F"/>
                <w:spacing w:val="-5"/>
                <w:sz w:val="18"/>
              </w:rPr>
              <w:t>2A</w:t>
            </w:r>
          </w:p>
        </w:tc>
        <w:tc>
          <w:tcPr>
            <w:tcW w:w="1626" w:type="dxa"/>
          </w:tcPr>
          <w:p w14:paraId="167635F6" w14:textId="77777777" w:rsidR="00725977" w:rsidRPr="00D4309F" w:rsidRDefault="00725977" w:rsidP="00961A50">
            <w:pPr>
              <w:pStyle w:val="TableParagraph"/>
              <w:spacing w:before="39"/>
              <w:ind w:left="295"/>
              <w:rPr>
                <w:sz w:val="18"/>
              </w:rPr>
            </w:pPr>
            <w:r w:rsidRPr="00D4309F">
              <w:rPr>
                <w:color w:val="211E1F"/>
                <w:spacing w:val="-5"/>
                <w:sz w:val="18"/>
              </w:rPr>
              <w:t>17</w:t>
            </w:r>
          </w:p>
        </w:tc>
        <w:tc>
          <w:tcPr>
            <w:tcW w:w="1230" w:type="dxa"/>
          </w:tcPr>
          <w:p w14:paraId="5000ED31" w14:textId="77777777" w:rsidR="00725977" w:rsidRPr="00D4309F" w:rsidRDefault="00725977" w:rsidP="00961A50">
            <w:pPr>
              <w:pStyle w:val="TableParagraph"/>
              <w:spacing w:before="39"/>
              <w:ind w:left="287"/>
              <w:rPr>
                <w:sz w:val="18"/>
              </w:rPr>
            </w:pPr>
            <w:r w:rsidRPr="00D4309F">
              <w:rPr>
                <w:color w:val="211E1F"/>
                <w:spacing w:val="-5"/>
                <w:sz w:val="18"/>
              </w:rPr>
              <w:t>11</w:t>
            </w:r>
          </w:p>
        </w:tc>
        <w:tc>
          <w:tcPr>
            <w:tcW w:w="1507" w:type="dxa"/>
          </w:tcPr>
          <w:p w14:paraId="4E984DF0" w14:textId="77777777" w:rsidR="00725977" w:rsidRPr="00D4309F" w:rsidRDefault="00725977" w:rsidP="00961A50">
            <w:pPr>
              <w:pStyle w:val="TableParagraph"/>
              <w:spacing w:before="39"/>
              <w:ind w:left="400"/>
              <w:rPr>
                <w:sz w:val="18"/>
              </w:rPr>
            </w:pPr>
            <w:r w:rsidRPr="00D4309F">
              <w:rPr>
                <w:color w:val="211E1F"/>
                <w:spacing w:val="-5"/>
                <w:sz w:val="18"/>
              </w:rPr>
              <w:t>30</w:t>
            </w:r>
          </w:p>
        </w:tc>
        <w:tc>
          <w:tcPr>
            <w:tcW w:w="1552" w:type="dxa"/>
          </w:tcPr>
          <w:p w14:paraId="43F2C18F" w14:textId="77777777" w:rsidR="00725977" w:rsidRPr="00D4309F" w:rsidRDefault="00725977" w:rsidP="00961A50">
            <w:pPr>
              <w:pStyle w:val="TableParagraph"/>
              <w:spacing w:before="39"/>
              <w:ind w:left="241"/>
              <w:rPr>
                <w:sz w:val="18"/>
              </w:rPr>
            </w:pPr>
            <w:r w:rsidRPr="00D4309F">
              <w:rPr>
                <w:color w:val="211E1F"/>
                <w:spacing w:val="-10"/>
                <w:sz w:val="18"/>
              </w:rPr>
              <w:t>5</w:t>
            </w:r>
          </w:p>
        </w:tc>
        <w:tc>
          <w:tcPr>
            <w:tcW w:w="1122" w:type="dxa"/>
          </w:tcPr>
          <w:p w14:paraId="52F86ED4" w14:textId="77777777" w:rsidR="00725977" w:rsidRPr="00D4309F" w:rsidRDefault="00725977" w:rsidP="00961A50">
            <w:pPr>
              <w:pStyle w:val="TableParagraph"/>
              <w:spacing w:before="39"/>
              <w:ind w:left="54"/>
              <w:rPr>
                <w:sz w:val="18"/>
              </w:rPr>
            </w:pPr>
            <w:r w:rsidRPr="00D4309F">
              <w:rPr>
                <w:color w:val="211E1F"/>
                <w:spacing w:val="-10"/>
                <w:sz w:val="18"/>
              </w:rPr>
              <w:t>7</w:t>
            </w:r>
          </w:p>
        </w:tc>
        <w:tc>
          <w:tcPr>
            <w:tcW w:w="1601" w:type="dxa"/>
          </w:tcPr>
          <w:p w14:paraId="1FC099BA" w14:textId="77777777" w:rsidR="00725977" w:rsidRPr="00D4309F" w:rsidRDefault="00725977" w:rsidP="00961A50">
            <w:pPr>
              <w:pStyle w:val="TableParagraph"/>
              <w:spacing w:before="39"/>
              <w:ind w:left="279"/>
              <w:rPr>
                <w:b/>
                <w:sz w:val="18"/>
              </w:rPr>
            </w:pPr>
            <w:r w:rsidRPr="00D4309F">
              <w:rPr>
                <w:b/>
                <w:color w:val="211E1F"/>
                <w:spacing w:val="-5"/>
                <w:sz w:val="18"/>
              </w:rPr>
              <w:t>70</w:t>
            </w:r>
          </w:p>
        </w:tc>
      </w:tr>
      <w:tr w:rsidR="00725977" w:rsidRPr="00D4309F" w14:paraId="6F00F682" w14:textId="77777777" w:rsidTr="00E047C7">
        <w:trPr>
          <w:trHeight w:val="287"/>
        </w:trPr>
        <w:tc>
          <w:tcPr>
            <w:tcW w:w="1065" w:type="dxa"/>
          </w:tcPr>
          <w:p w14:paraId="4834FEB7" w14:textId="77777777" w:rsidR="00725977" w:rsidRPr="00D4309F" w:rsidRDefault="00725977" w:rsidP="00961A50">
            <w:pPr>
              <w:pStyle w:val="TableParagraph"/>
              <w:spacing w:before="39"/>
              <w:ind w:left="87"/>
              <w:rPr>
                <w:sz w:val="18"/>
              </w:rPr>
            </w:pPr>
            <w:r w:rsidRPr="00D4309F">
              <w:rPr>
                <w:color w:val="211E1F"/>
                <w:spacing w:val="-5"/>
                <w:sz w:val="18"/>
              </w:rPr>
              <w:t>2B</w:t>
            </w:r>
          </w:p>
        </w:tc>
        <w:tc>
          <w:tcPr>
            <w:tcW w:w="1626" w:type="dxa"/>
          </w:tcPr>
          <w:p w14:paraId="341C990F" w14:textId="77777777" w:rsidR="00725977" w:rsidRPr="00D4309F" w:rsidRDefault="00725977" w:rsidP="00961A50">
            <w:pPr>
              <w:pStyle w:val="TableParagraph"/>
              <w:spacing w:before="39"/>
              <w:ind w:left="295"/>
              <w:rPr>
                <w:sz w:val="18"/>
              </w:rPr>
            </w:pPr>
            <w:r w:rsidRPr="00D4309F">
              <w:rPr>
                <w:color w:val="211E1F"/>
                <w:spacing w:val="-5"/>
                <w:sz w:val="18"/>
              </w:rPr>
              <w:t>17</w:t>
            </w:r>
          </w:p>
        </w:tc>
        <w:tc>
          <w:tcPr>
            <w:tcW w:w="1230" w:type="dxa"/>
          </w:tcPr>
          <w:p w14:paraId="4828A17A" w14:textId="77777777" w:rsidR="00725977" w:rsidRPr="00D4309F" w:rsidRDefault="00725977" w:rsidP="00961A50">
            <w:pPr>
              <w:pStyle w:val="TableParagraph"/>
              <w:spacing w:before="39"/>
              <w:ind w:left="287"/>
              <w:rPr>
                <w:sz w:val="18"/>
              </w:rPr>
            </w:pPr>
            <w:r w:rsidRPr="00D4309F">
              <w:rPr>
                <w:color w:val="211E1F"/>
                <w:spacing w:val="-5"/>
                <w:sz w:val="18"/>
              </w:rPr>
              <w:t>11</w:t>
            </w:r>
          </w:p>
        </w:tc>
        <w:tc>
          <w:tcPr>
            <w:tcW w:w="1507" w:type="dxa"/>
          </w:tcPr>
          <w:p w14:paraId="59C794AB" w14:textId="77777777" w:rsidR="00725977" w:rsidRPr="00D4309F" w:rsidRDefault="00725977" w:rsidP="00961A50">
            <w:pPr>
              <w:pStyle w:val="TableParagraph"/>
              <w:spacing w:before="39"/>
              <w:ind w:left="400"/>
              <w:rPr>
                <w:sz w:val="18"/>
              </w:rPr>
            </w:pPr>
            <w:r w:rsidRPr="00D4309F">
              <w:rPr>
                <w:color w:val="211E1F"/>
                <w:spacing w:val="-5"/>
                <w:sz w:val="18"/>
              </w:rPr>
              <w:t>31</w:t>
            </w:r>
          </w:p>
        </w:tc>
        <w:tc>
          <w:tcPr>
            <w:tcW w:w="1552" w:type="dxa"/>
          </w:tcPr>
          <w:p w14:paraId="589F4BAC" w14:textId="77777777" w:rsidR="00725977" w:rsidRPr="00D4309F" w:rsidRDefault="00725977" w:rsidP="00961A50">
            <w:pPr>
              <w:pStyle w:val="TableParagraph"/>
              <w:spacing w:before="39"/>
              <w:ind w:left="241"/>
              <w:rPr>
                <w:sz w:val="18"/>
              </w:rPr>
            </w:pPr>
            <w:r w:rsidRPr="00D4309F">
              <w:rPr>
                <w:color w:val="211E1F"/>
                <w:spacing w:val="-10"/>
                <w:sz w:val="18"/>
              </w:rPr>
              <w:t>5</w:t>
            </w:r>
          </w:p>
        </w:tc>
        <w:tc>
          <w:tcPr>
            <w:tcW w:w="1122" w:type="dxa"/>
          </w:tcPr>
          <w:p w14:paraId="7226E05F" w14:textId="77777777" w:rsidR="00725977" w:rsidRPr="00D4309F" w:rsidRDefault="00725977" w:rsidP="00961A50">
            <w:pPr>
              <w:pStyle w:val="TableParagraph"/>
              <w:spacing w:before="39"/>
              <w:ind w:left="54"/>
              <w:rPr>
                <w:sz w:val="18"/>
              </w:rPr>
            </w:pPr>
            <w:r w:rsidRPr="00D4309F">
              <w:rPr>
                <w:color w:val="211E1F"/>
                <w:spacing w:val="-10"/>
                <w:sz w:val="18"/>
              </w:rPr>
              <w:t>5</w:t>
            </w:r>
          </w:p>
        </w:tc>
        <w:tc>
          <w:tcPr>
            <w:tcW w:w="1601" w:type="dxa"/>
          </w:tcPr>
          <w:p w14:paraId="587A8303" w14:textId="77777777" w:rsidR="00725977" w:rsidRPr="00D4309F" w:rsidRDefault="00725977" w:rsidP="00961A50">
            <w:pPr>
              <w:pStyle w:val="TableParagraph"/>
              <w:spacing w:before="39"/>
              <w:ind w:left="279"/>
              <w:rPr>
                <w:b/>
                <w:sz w:val="18"/>
              </w:rPr>
            </w:pPr>
            <w:r w:rsidRPr="00D4309F">
              <w:rPr>
                <w:b/>
                <w:color w:val="211E1F"/>
                <w:spacing w:val="-5"/>
                <w:sz w:val="18"/>
              </w:rPr>
              <w:t>69</w:t>
            </w:r>
          </w:p>
        </w:tc>
      </w:tr>
      <w:tr w:rsidR="00725977" w:rsidRPr="00D4309F" w14:paraId="1DD10B47" w14:textId="77777777" w:rsidTr="00E047C7">
        <w:trPr>
          <w:trHeight w:val="286"/>
        </w:trPr>
        <w:tc>
          <w:tcPr>
            <w:tcW w:w="1065" w:type="dxa"/>
          </w:tcPr>
          <w:p w14:paraId="12FDD310" w14:textId="77777777" w:rsidR="00725977" w:rsidRPr="00D4309F" w:rsidRDefault="00725977" w:rsidP="00961A50">
            <w:pPr>
              <w:pStyle w:val="TableParagraph"/>
              <w:spacing w:before="39"/>
              <w:ind w:left="87"/>
              <w:rPr>
                <w:sz w:val="18"/>
              </w:rPr>
            </w:pPr>
            <w:r w:rsidRPr="00D4309F">
              <w:rPr>
                <w:color w:val="211E1F"/>
                <w:spacing w:val="-5"/>
                <w:sz w:val="18"/>
              </w:rPr>
              <w:t>2C</w:t>
            </w:r>
          </w:p>
        </w:tc>
        <w:tc>
          <w:tcPr>
            <w:tcW w:w="1626" w:type="dxa"/>
          </w:tcPr>
          <w:p w14:paraId="2E96CDC7" w14:textId="77777777" w:rsidR="00725977" w:rsidRPr="00D4309F" w:rsidRDefault="00725977" w:rsidP="00961A50">
            <w:pPr>
              <w:pStyle w:val="TableParagraph"/>
              <w:spacing w:before="39"/>
              <w:ind w:left="295"/>
              <w:rPr>
                <w:sz w:val="18"/>
              </w:rPr>
            </w:pPr>
            <w:r w:rsidRPr="00D4309F">
              <w:rPr>
                <w:color w:val="211E1F"/>
                <w:spacing w:val="-5"/>
                <w:sz w:val="18"/>
              </w:rPr>
              <w:t>17</w:t>
            </w:r>
          </w:p>
        </w:tc>
        <w:tc>
          <w:tcPr>
            <w:tcW w:w="1230" w:type="dxa"/>
          </w:tcPr>
          <w:p w14:paraId="6A611146" w14:textId="77777777" w:rsidR="00725977" w:rsidRPr="00D4309F" w:rsidRDefault="00725977" w:rsidP="00961A50">
            <w:pPr>
              <w:pStyle w:val="TableParagraph"/>
              <w:spacing w:before="39"/>
              <w:ind w:left="287"/>
              <w:rPr>
                <w:sz w:val="18"/>
              </w:rPr>
            </w:pPr>
            <w:r w:rsidRPr="00D4309F">
              <w:rPr>
                <w:color w:val="211E1F"/>
                <w:spacing w:val="-5"/>
                <w:sz w:val="18"/>
              </w:rPr>
              <w:t>11</w:t>
            </w:r>
          </w:p>
        </w:tc>
        <w:tc>
          <w:tcPr>
            <w:tcW w:w="1507" w:type="dxa"/>
          </w:tcPr>
          <w:p w14:paraId="28E09D4C" w14:textId="77777777" w:rsidR="00725977" w:rsidRPr="00D4309F" w:rsidRDefault="00725977" w:rsidP="00961A50">
            <w:pPr>
              <w:pStyle w:val="TableParagraph"/>
              <w:spacing w:before="39"/>
              <w:ind w:left="400"/>
              <w:rPr>
                <w:sz w:val="18"/>
              </w:rPr>
            </w:pPr>
            <w:r w:rsidRPr="00D4309F">
              <w:rPr>
                <w:color w:val="211E1F"/>
                <w:spacing w:val="-5"/>
                <w:sz w:val="18"/>
              </w:rPr>
              <w:t>25</w:t>
            </w:r>
          </w:p>
        </w:tc>
        <w:tc>
          <w:tcPr>
            <w:tcW w:w="1552" w:type="dxa"/>
          </w:tcPr>
          <w:p w14:paraId="4BFF318B" w14:textId="2A3D4F62" w:rsidR="00725977" w:rsidRPr="00D4309F" w:rsidRDefault="00D32401" w:rsidP="00961A50">
            <w:pPr>
              <w:pStyle w:val="TableParagraph"/>
              <w:spacing w:before="39"/>
              <w:ind w:left="241"/>
              <w:rPr>
                <w:sz w:val="18"/>
              </w:rPr>
            </w:pPr>
            <w:r>
              <w:rPr>
                <w:color w:val="211E1F"/>
                <w:spacing w:val="-10"/>
                <w:sz w:val="18"/>
              </w:rPr>
              <w:t>5</w:t>
            </w:r>
          </w:p>
        </w:tc>
        <w:tc>
          <w:tcPr>
            <w:tcW w:w="1122" w:type="dxa"/>
          </w:tcPr>
          <w:p w14:paraId="181C7F89" w14:textId="77777777" w:rsidR="00725977" w:rsidRPr="00D4309F" w:rsidRDefault="00725977" w:rsidP="00961A50">
            <w:pPr>
              <w:pStyle w:val="TableParagraph"/>
              <w:spacing w:before="39"/>
              <w:ind w:left="54"/>
              <w:rPr>
                <w:sz w:val="18"/>
              </w:rPr>
            </w:pPr>
            <w:r w:rsidRPr="00D4309F">
              <w:rPr>
                <w:color w:val="211E1F"/>
                <w:spacing w:val="-10"/>
                <w:sz w:val="18"/>
              </w:rPr>
              <w:t>4</w:t>
            </w:r>
          </w:p>
        </w:tc>
        <w:tc>
          <w:tcPr>
            <w:tcW w:w="1601" w:type="dxa"/>
          </w:tcPr>
          <w:p w14:paraId="18555CAD" w14:textId="77777777" w:rsidR="00725977" w:rsidRPr="00D4309F" w:rsidRDefault="00725977" w:rsidP="00961A50">
            <w:pPr>
              <w:pStyle w:val="TableParagraph"/>
              <w:spacing w:before="39"/>
              <w:ind w:left="279"/>
              <w:rPr>
                <w:b/>
                <w:sz w:val="18"/>
              </w:rPr>
            </w:pPr>
            <w:r w:rsidRPr="00D4309F">
              <w:rPr>
                <w:b/>
                <w:color w:val="211E1F"/>
                <w:spacing w:val="-5"/>
                <w:sz w:val="18"/>
              </w:rPr>
              <w:t>62</w:t>
            </w:r>
          </w:p>
        </w:tc>
      </w:tr>
      <w:tr w:rsidR="00725977" w:rsidRPr="00D4309F" w14:paraId="5A163E5C" w14:textId="77777777" w:rsidTr="00E047C7">
        <w:trPr>
          <w:trHeight w:val="286"/>
        </w:trPr>
        <w:tc>
          <w:tcPr>
            <w:tcW w:w="1065" w:type="dxa"/>
          </w:tcPr>
          <w:p w14:paraId="77AA5FA2" w14:textId="77777777" w:rsidR="00725977" w:rsidRPr="00D4309F" w:rsidRDefault="00725977" w:rsidP="00961A50">
            <w:pPr>
              <w:pStyle w:val="TableParagraph"/>
              <w:spacing w:before="39"/>
              <w:ind w:left="87"/>
              <w:rPr>
                <w:sz w:val="18"/>
              </w:rPr>
            </w:pPr>
            <w:r w:rsidRPr="00D4309F">
              <w:rPr>
                <w:color w:val="211E1F"/>
                <w:spacing w:val="-5"/>
                <w:sz w:val="18"/>
              </w:rPr>
              <w:t>3A</w:t>
            </w:r>
          </w:p>
        </w:tc>
        <w:tc>
          <w:tcPr>
            <w:tcW w:w="1626" w:type="dxa"/>
          </w:tcPr>
          <w:p w14:paraId="5E23B692" w14:textId="4A1BD148" w:rsidR="00725977" w:rsidRPr="00D4309F" w:rsidRDefault="00725977" w:rsidP="00961A50">
            <w:pPr>
              <w:pStyle w:val="TableParagraph"/>
              <w:spacing w:before="39"/>
              <w:ind w:left="295"/>
              <w:rPr>
                <w:sz w:val="18"/>
              </w:rPr>
            </w:pPr>
            <w:r w:rsidRPr="00D4309F">
              <w:rPr>
                <w:color w:val="211E1F"/>
                <w:spacing w:val="-5"/>
                <w:sz w:val="18"/>
              </w:rPr>
              <w:t>2</w:t>
            </w:r>
            <w:r w:rsidR="00D32401">
              <w:rPr>
                <w:color w:val="211E1F"/>
                <w:spacing w:val="-5"/>
                <w:sz w:val="18"/>
              </w:rPr>
              <w:t>5</w:t>
            </w:r>
          </w:p>
        </w:tc>
        <w:tc>
          <w:tcPr>
            <w:tcW w:w="1230" w:type="dxa"/>
          </w:tcPr>
          <w:p w14:paraId="1B1FEE76" w14:textId="77777777" w:rsidR="00725977" w:rsidRPr="00D4309F" w:rsidRDefault="00725977" w:rsidP="00961A50">
            <w:pPr>
              <w:pStyle w:val="TableParagraph"/>
              <w:spacing w:before="39"/>
              <w:ind w:left="287"/>
              <w:rPr>
                <w:sz w:val="18"/>
              </w:rPr>
            </w:pPr>
            <w:r w:rsidRPr="00D4309F">
              <w:rPr>
                <w:color w:val="211E1F"/>
                <w:spacing w:val="-5"/>
                <w:sz w:val="18"/>
              </w:rPr>
              <w:t>14</w:t>
            </w:r>
          </w:p>
        </w:tc>
        <w:tc>
          <w:tcPr>
            <w:tcW w:w="1507" w:type="dxa"/>
          </w:tcPr>
          <w:p w14:paraId="330BDC2A" w14:textId="77777777" w:rsidR="00725977" w:rsidRPr="00D4309F" w:rsidRDefault="00725977" w:rsidP="00961A50">
            <w:pPr>
              <w:pStyle w:val="TableParagraph"/>
              <w:spacing w:before="39"/>
              <w:ind w:left="400"/>
              <w:rPr>
                <w:sz w:val="18"/>
              </w:rPr>
            </w:pPr>
            <w:r w:rsidRPr="00D4309F">
              <w:rPr>
                <w:color w:val="211E1F"/>
                <w:spacing w:val="-5"/>
                <w:sz w:val="18"/>
              </w:rPr>
              <w:t>27</w:t>
            </w:r>
          </w:p>
        </w:tc>
        <w:tc>
          <w:tcPr>
            <w:tcW w:w="1552" w:type="dxa"/>
          </w:tcPr>
          <w:p w14:paraId="690A130B" w14:textId="77777777" w:rsidR="00725977" w:rsidRPr="00D4309F" w:rsidRDefault="00725977" w:rsidP="00961A50">
            <w:pPr>
              <w:pStyle w:val="TableParagraph"/>
              <w:spacing w:before="39"/>
              <w:ind w:left="241"/>
              <w:rPr>
                <w:sz w:val="18"/>
              </w:rPr>
            </w:pPr>
            <w:r w:rsidRPr="00D4309F">
              <w:rPr>
                <w:color w:val="211E1F"/>
                <w:spacing w:val="-10"/>
                <w:sz w:val="18"/>
              </w:rPr>
              <w:t>7</w:t>
            </w:r>
          </w:p>
        </w:tc>
        <w:tc>
          <w:tcPr>
            <w:tcW w:w="1122" w:type="dxa"/>
          </w:tcPr>
          <w:p w14:paraId="42897A64" w14:textId="5023335A" w:rsidR="00725977" w:rsidRPr="00D4309F" w:rsidRDefault="00D32401" w:rsidP="00961A50">
            <w:pPr>
              <w:pStyle w:val="TableParagraph"/>
              <w:spacing w:before="39"/>
              <w:ind w:left="54"/>
              <w:rPr>
                <w:sz w:val="18"/>
              </w:rPr>
            </w:pPr>
            <w:r>
              <w:rPr>
                <w:color w:val="211E1F"/>
                <w:spacing w:val="-10"/>
                <w:sz w:val="18"/>
              </w:rPr>
              <w:t>5</w:t>
            </w:r>
          </w:p>
        </w:tc>
        <w:tc>
          <w:tcPr>
            <w:tcW w:w="1601" w:type="dxa"/>
          </w:tcPr>
          <w:p w14:paraId="2F292FA9" w14:textId="5C22CF35" w:rsidR="00725977" w:rsidRPr="00D4309F" w:rsidRDefault="00D32401" w:rsidP="00961A50">
            <w:pPr>
              <w:pStyle w:val="TableParagraph"/>
              <w:spacing w:before="39"/>
              <w:ind w:left="279"/>
              <w:rPr>
                <w:b/>
                <w:sz w:val="18"/>
              </w:rPr>
            </w:pPr>
            <w:r>
              <w:rPr>
                <w:b/>
                <w:color w:val="211E1F"/>
                <w:spacing w:val="-5"/>
                <w:sz w:val="18"/>
              </w:rPr>
              <w:t>78</w:t>
            </w:r>
          </w:p>
        </w:tc>
      </w:tr>
      <w:tr w:rsidR="00725977" w:rsidRPr="00D4309F" w14:paraId="14055937" w14:textId="77777777" w:rsidTr="00E047C7">
        <w:trPr>
          <w:trHeight w:val="287"/>
        </w:trPr>
        <w:tc>
          <w:tcPr>
            <w:tcW w:w="1065" w:type="dxa"/>
          </w:tcPr>
          <w:p w14:paraId="226332B4" w14:textId="77777777" w:rsidR="00725977" w:rsidRPr="00D4309F" w:rsidRDefault="00725977" w:rsidP="00961A50">
            <w:pPr>
              <w:pStyle w:val="TableParagraph"/>
              <w:spacing w:before="41"/>
              <w:ind w:left="87"/>
              <w:rPr>
                <w:sz w:val="18"/>
              </w:rPr>
            </w:pPr>
            <w:r w:rsidRPr="00D4309F">
              <w:rPr>
                <w:color w:val="211E1F"/>
                <w:spacing w:val="-5"/>
                <w:sz w:val="18"/>
              </w:rPr>
              <w:t>3B</w:t>
            </w:r>
          </w:p>
        </w:tc>
        <w:tc>
          <w:tcPr>
            <w:tcW w:w="1626" w:type="dxa"/>
          </w:tcPr>
          <w:p w14:paraId="529CF0B7" w14:textId="77777777" w:rsidR="00725977" w:rsidRPr="00D4309F" w:rsidRDefault="00725977" w:rsidP="00961A50">
            <w:pPr>
              <w:pStyle w:val="TableParagraph"/>
              <w:spacing w:before="41"/>
              <w:ind w:left="295"/>
              <w:rPr>
                <w:sz w:val="18"/>
              </w:rPr>
            </w:pPr>
            <w:r w:rsidRPr="00D4309F">
              <w:rPr>
                <w:color w:val="211E1F"/>
                <w:spacing w:val="-5"/>
                <w:sz w:val="18"/>
              </w:rPr>
              <w:t>16</w:t>
            </w:r>
          </w:p>
        </w:tc>
        <w:tc>
          <w:tcPr>
            <w:tcW w:w="1230" w:type="dxa"/>
          </w:tcPr>
          <w:p w14:paraId="69CB87B3" w14:textId="77777777" w:rsidR="00725977" w:rsidRPr="00D4309F" w:rsidRDefault="00725977" w:rsidP="00961A50">
            <w:pPr>
              <w:pStyle w:val="TableParagraph"/>
              <w:spacing w:before="41"/>
              <w:ind w:left="287"/>
              <w:rPr>
                <w:sz w:val="18"/>
              </w:rPr>
            </w:pPr>
            <w:r w:rsidRPr="00D4309F">
              <w:rPr>
                <w:color w:val="211E1F"/>
                <w:spacing w:val="-5"/>
                <w:sz w:val="18"/>
              </w:rPr>
              <w:t>14</w:t>
            </w:r>
          </w:p>
        </w:tc>
        <w:tc>
          <w:tcPr>
            <w:tcW w:w="1507" w:type="dxa"/>
          </w:tcPr>
          <w:p w14:paraId="4021DB75" w14:textId="77777777" w:rsidR="00725977" w:rsidRPr="00D4309F" w:rsidRDefault="00725977" w:rsidP="00961A50">
            <w:pPr>
              <w:pStyle w:val="TableParagraph"/>
              <w:spacing w:before="41"/>
              <w:ind w:left="400"/>
              <w:rPr>
                <w:sz w:val="18"/>
              </w:rPr>
            </w:pPr>
            <w:r w:rsidRPr="00D4309F">
              <w:rPr>
                <w:color w:val="211E1F"/>
                <w:spacing w:val="-5"/>
                <w:sz w:val="18"/>
              </w:rPr>
              <w:t>24</w:t>
            </w:r>
          </w:p>
        </w:tc>
        <w:tc>
          <w:tcPr>
            <w:tcW w:w="1552" w:type="dxa"/>
          </w:tcPr>
          <w:p w14:paraId="6DECF3E3" w14:textId="77777777" w:rsidR="00725977" w:rsidRPr="00D4309F" w:rsidRDefault="00725977" w:rsidP="00961A50">
            <w:pPr>
              <w:pStyle w:val="TableParagraph"/>
              <w:spacing w:before="41"/>
              <w:ind w:left="241"/>
              <w:rPr>
                <w:sz w:val="18"/>
              </w:rPr>
            </w:pPr>
            <w:r w:rsidRPr="00D4309F">
              <w:rPr>
                <w:color w:val="211E1F"/>
                <w:spacing w:val="-10"/>
                <w:sz w:val="18"/>
              </w:rPr>
              <w:t>4</w:t>
            </w:r>
          </w:p>
        </w:tc>
        <w:tc>
          <w:tcPr>
            <w:tcW w:w="1122" w:type="dxa"/>
          </w:tcPr>
          <w:p w14:paraId="36554A3F" w14:textId="77777777" w:rsidR="00725977" w:rsidRPr="00D4309F" w:rsidRDefault="00725977" w:rsidP="00961A50">
            <w:pPr>
              <w:pStyle w:val="TableParagraph"/>
              <w:spacing w:before="41"/>
              <w:ind w:left="54"/>
              <w:rPr>
                <w:sz w:val="18"/>
              </w:rPr>
            </w:pPr>
            <w:r w:rsidRPr="00D4309F">
              <w:rPr>
                <w:color w:val="211E1F"/>
                <w:spacing w:val="-10"/>
                <w:sz w:val="18"/>
              </w:rPr>
              <w:t>6</w:t>
            </w:r>
          </w:p>
        </w:tc>
        <w:tc>
          <w:tcPr>
            <w:tcW w:w="1601" w:type="dxa"/>
          </w:tcPr>
          <w:p w14:paraId="010E1341" w14:textId="77777777" w:rsidR="00725977" w:rsidRPr="00D4309F" w:rsidRDefault="00725977" w:rsidP="00961A50">
            <w:pPr>
              <w:pStyle w:val="TableParagraph"/>
              <w:spacing w:before="41"/>
              <w:ind w:left="279"/>
              <w:rPr>
                <w:b/>
                <w:sz w:val="18"/>
              </w:rPr>
            </w:pPr>
            <w:r w:rsidRPr="00D4309F">
              <w:rPr>
                <w:b/>
                <w:color w:val="211E1F"/>
                <w:spacing w:val="-5"/>
                <w:sz w:val="18"/>
              </w:rPr>
              <w:t>64</w:t>
            </w:r>
          </w:p>
        </w:tc>
      </w:tr>
      <w:tr w:rsidR="00725977" w:rsidRPr="00D4309F" w14:paraId="69763077" w14:textId="77777777" w:rsidTr="00E047C7">
        <w:trPr>
          <w:trHeight w:val="286"/>
        </w:trPr>
        <w:tc>
          <w:tcPr>
            <w:tcW w:w="1065" w:type="dxa"/>
          </w:tcPr>
          <w:p w14:paraId="2C3C5A17" w14:textId="77777777" w:rsidR="00725977" w:rsidRPr="00D4309F" w:rsidRDefault="00725977" w:rsidP="00961A50">
            <w:pPr>
              <w:pStyle w:val="TableParagraph"/>
              <w:spacing w:before="39"/>
              <w:ind w:left="87"/>
              <w:rPr>
                <w:sz w:val="18"/>
              </w:rPr>
            </w:pPr>
            <w:r w:rsidRPr="00D4309F">
              <w:rPr>
                <w:color w:val="211E1F"/>
                <w:spacing w:val="-5"/>
                <w:sz w:val="18"/>
              </w:rPr>
              <w:t>3C</w:t>
            </w:r>
          </w:p>
        </w:tc>
        <w:tc>
          <w:tcPr>
            <w:tcW w:w="1626" w:type="dxa"/>
          </w:tcPr>
          <w:p w14:paraId="2258F1CC" w14:textId="49756A10" w:rsidR="00725977" w:rsidRPr="00D4309F" w:rsidRDefault="00725977" w:rsidP="00961A50">
            <w:pPr>
              <w:pStyle w:val="TableParagraph"/>
              <w:spacing w:before="39"/>
              <w:ind w:left="295"/>
              <w:rPr>
                <w:sz w:val="18"/>
              </w:rPr>
            </w:pPr>
            <w:r w:rsidRPr="00D4309F">
              <w:rPr>
                <w:color w:val="211E1F"/>
                <w:spacing w:val="-5"/>
                <w:sz w:val="18"/>
              </w:rPr>
              <w:t>2</w:t>
            </w:r>
            <w:r w:rsidR="00F252BE">
              <w:rPr>
                <w:color w:val="211E1F"/>
                <w:spacing w:val="-5"/>
                <w:sz w:val="18"/>
              </w:rPr>
              <w:t>3</w:t>
            </w:r>
          </w:p>
        </w:tc>
        <w:tc>
          <w:tcPr>
            <w:tcW w:w="1230" w:type="dxa"/>
          </w:tcPr>
          <w:p w14:paraId="4940DB3D" w14:textId="77777777" w:rsidR="00725977" w:rsidRPr="00D4309F" w:rsidRDefault="00725977" w:rsidP="00961A50">
            <w:pPr>
              <w:pStyle w:val="TableParagraph"/>
              <w:spacing w:before="39"/>
              <w:ind w:left="287"/>
              <w:rPr>
                <w:sz w:val="18"/>
              </w:rPr>
            </w:pPr>
            <w:r w:rsidRPr="00D4309F">
              <w:rPr>
                <w:color w:val="211E1F"/>
                <w:spacing w:val="-5"/>
                <w:sz w:val="18"/>
              </w:rPr>
              <w:t>14</w:t>
            </w:r>
          </w:p>
        </w:tc>
        <w:tc>
          <w:tcPr>
            <w:tcW w:w="1507" w:type="dxa"/>
          </w:tcPr>
          <w:p w14:paraId="5827973A" w14:textId="77777777" w:rsidR="00725977" w:rsidRPr="00D4309F" w:rsidRDefault="00725977" w:rsidP="00961A50">
            <w:pPr>
              <w:pStyle w:val="TableParagraph"/>
              <w:spacing w:before="39"/>
              <w:ind w:left="400"/>
              <w:rPr>
                <w:sz w:val="18"/>
              </w:rPr>
            </w:pPr>
            <w:r w:rsidRPr="00D4309F">
              <w:rPr>
                <w:color w:val="211E1F"/>
                <w:spacing w:val="-5"/>
                <w:sz w:val="18"/>
              </w:rPr>
              <w:t>26</w:t>
            </w:r>
          </w:p>
        </w:tc>
        <w:tc>
          <w:tcPr>
            <w:tcW w:w="1552" w:type="dxa"/>
          </w:tcPr>
          <w:p w14:paraId="01E168FC" w14:textId="77777777" w:rsidR="00725977" w:rsidRPr="00D4309F" w:rsidRDefault="00725977" w:rsidP="00961A50">
            <w:pPr>
              <w:pStyle w:val="TableParagraph"/>
              <w:spacing w:before="39"/>
              <w:ind w:left="241"/>
              <w:rPr>
                <w:sz w:val="18"/>
              </w:rPr>
            </w:pPr>
            <w:r w:rsidRPr="00D4309F">
              <w:rPr>
                <w:color w:val="211E1F"/>
                <w:spacing w:val="-10"/>
                <w:sz w:val="18"/>
              </w:rPr>
              <w:t>7</w:t>
            </w:r>
          </w:p>
        </w:tc>
        <w:tc>
          <w:tcPr>
            <w:tcW w:w="1122" w:type="dxa"/>
          </w:tcPr>
          <w:p w14:paraId="3F854804" w14:textId="77777777" w:rsidR="00725977" w:rsidRPr="00D4309F" w:rsidRDefault="00725977" w:rsidP="00961A50">
            <w:pPr>
              <w:pStyle w:val="TableParagraph"/>
              <w:spacing w:before="39"/>
              <w:ind w:left="54"/>
              <w:rPr>
                <w:sz w:val="18"/>
              </w:rPr>
            </w:pPr>
            <w:r w:rsidRPr="00D4309F">
              <w:rPr>
                <w:color w:val="211E1F"/>
                <w:spacing w:val="-10"/>
                <w:sz w:val="18"/>
              </w:rPr>
              <w:t>4</w:t>
            </w:r>
          </w:p>
        </w:tc>
        <w:tc>
          <w:tcPr>
            <w:tcW w:w="1601" w:type="dxa"/>
          </w:tcPr>
          <w:p w14:paraId="77288B55" w14:textId="2C52D074" w:rsidR="00725977" w:rsidRPr="00D4309F" w:rsidRDefault="00725977" w:rsidP="00961A50">
            <w:pPr>
              <w:pStyle w:val="TableParagraph"/>
              <w:spacing w:before="39"/>
              <w:ind w:left="279"/>
              <w:rPr>
                <w:b/>
                <w:sz w:val="18"/>
              </w:rPr>
            </w:pPr>
            <w:r w:rsidRPr="00D4309F">
              <w:rPr>
                <w:b/>
                <w:color w:val="211E1F"/>
                <w:spacing w:val="-5"/>
                <w:sz w:val="18"/>
              </w:rPr>
              <w:t>7</w:t>
            </w:r>
            <w:r w:rsidR="00F252BE">
              <w:rPr>
                <w:b/>
                <w:color w:val="211E1F"/>
                <w:spacing w:val="-5"/>
                <w:sz w:val="18"/>
              </w:rPr>
              <w:t>4</w:t>
            </w:r>
          </w:p>
        </w:tc>
      </w:tr>
      <w:tr w:rsidR="00725977" w:rsidRPr="00D4309F" w14:paraId="42F2A8DB" w14:textId="77777777" w:rsidTr="00E047C7">
        <w:trPr>
          <w:trHeight w:val="287"/>
        </w:trPr>
        <w:tc>
          <w:tcPr>
            <w:tcW w:w="1065" w:type="dxa"/>
          </w:tcPr>
          <w:p w14:paraId="762E3758" w14:textId="77777777" w:rsidR="00725977" w:rsidRPr="00D4309F" w:rsidRDefault="00725977" w:rsidP="00961A50">
            <w:pPr>
              <w:pStyle w:val="TableParagraph"/>
              <w:spacing w:before="41"/>
              <w:ind w:left="87"/>
              <w:rPr>
                <w:sz w:val="18"/>
              </w:rPr>
            </w:pPr>
            <w:r w:rsidRPr="00D4309F">
              <w:rPr>
                <w:color w:val="211E1F"/>
                <w:spacing w:val="-10"/>
                <w:sz w:val="18"/>
              </w:rPr>
              <w:t>4</w:t>
            </w:r>
          </w:p>
        </w:tc>
        <w:tc>
          <w:tcPr>
            <w:tcW w:w="1626" w:type="dxa"/>
          </w:tcPr>
          <w:p w14:paraId="660E1D4F" w14:textId="77777777" w:rsidR="00725977" w:rsidRPr="00D4309F" w:rsidRDefault="00725977" w:rsidP="00961A50">
            <w:pPr>
              <w:pStyle w:val="TableParagraph"/>
              <w:spacing w:before="41"/>
              <w:ind w:left="295"/>
              <w:rPr>
                <w:sz w:val="18"/>
              </w:rPr>
            </w:pPr>
            <w:r w:rsidRPr="00D4309F">
              <w:rPr>
                <w:color w:val="211E1F"/>
                <w:spacing w:val="-5"/>
                <w:sz w:val="18"/>
              </w:rPr>
              <w:t>16</w:t>
            </w:r>
          </w:p>
        </w:tc>
        <w:tc>
          <w:tcPr>
            <w:tcW w:w="1230" w:type="dxa"/>
          </w:tcPr>
          <w:p w14:paraId="468740BB" w14:textId="77777777" w:rsidR="00725977" w:rsidRPr="00D4309F" w:rsidRDefault="00725977" w:rsidP="00961A50">
            <w:pPr>
              <w:pStyle w:val="TableParagraph"/>
              <w:spacing w:before="41"/>
              <w:ind w:left="287"/>
              <w:rPr>
                <w:sz w:val="18"/>
              </w:rPr>
            </w:pPr>
            <w:r w:rsidRPr="00D4309F">
              <w:rPr>
                <w:color w:val="211E1F"/>
                <w:spacing w:val="-10"/>
                <w:sz w:val="18"/>
              </w:rPr>
              <w:t>9</w:t>
            </w:r>
          </w:p>
        </w:tc>
        <w:tc>
          <w:tcPr>
            <w:tcW w:w="1507" w:type="dxa"/>
          </w:tcPr>
          <w:p w14:paraId="4DCB2864" w14:textId="77777777" w:rsidR="00725977" w:rsidRPr="00D4309F" w:rsidRDefault="00725977" w:rsidP="00961A50">
            <w:pPr>
              <w:pStyle w:val="TableParagraph"/>
              <w:spacing w:before="41"/>
              <w:ind w:left="400"/>
              <w:rPr>
                <w:sz w:val="18"/>
              </w:rPr>
            </w:pPr>
            <w:r w:rsidRPr="00D4309F">
              <w:rPr>
                <w:color w:val="211E1F"/>
                <w:spacing w:val="-5"/>
                <w:sz w:val="18"/>
              </w:rPr>
              <w:t>22</w:t>
            </w:r>
          </w:p>
        </w:tc>
        <w:tc>
          <w:tcPr>
            <w:tcW w:w="1552" w:type="dxa"/>
          </w:tcPr>
          <w:p w14:paraId="05D951BC" w14:textId="77777777" w:rsidR="00725977" w:rsidRPr="00D4309F" w:rsidRDefault="00725977" w:rsidP="00961A50">
            <w:pPr>
              <w:pStyle w:val="TableParagraph"/>
              <w:spacing w:before="41"/>
              <w:ind w:left="241"/>
              <w:rPr>
                <w:sz w:val="18"/>
              </w:rPr>
            </w:pPr>
            <w:r w:rsidRPr="00D4309F">
              <w:rPr>
                <w:color w:val="211E1F"/>
                <w:spacing w:val="-10"/>
                <w:sz w:val="18"/>
              </w:rPr>
              <w:t>4</w:t>
            </w:r>
          </w:p>
        </w:tc>
        <w:tc>
          <w:tcPr>
            <w:tcW w:w="1122" w:type="dxa"/>
          </w:tcPr>
          <w:p w14:paraId="7D213EC2" w14:textId="77777777" w:rsidR="00725977" w:rsidRPr="00D4309F" w:rsidRDefault="00725977" w:rsidP="00961A50">
            <w:pPr>
              <w:pStyle w:val="TableParagraph"/>
              <w:spacing w:before="41"/>
              <w:ind w:left="54"/>
              <w:rPr>
                <w:sz w:val="18"/>
              </w:rPr>
            </w:pPr>
            <w:r w:rsidRPr="00D4309F">
              <w:rPr>
                <w:color w:val="211E1F"/>
                <w:spacing w:val="-10"/>
                <w:sz w:val="18"/>
              </w:rPr>
              <w:t>5</w:t>
            </w:r>
          </w:p>
        </w:tc>
        <w:tc>
          <w:tcPr>
            <w:tcW w:w="1601" w:type="dxa"/>
          </w:tcPr>
          <w:p w14:paraId="7F7191C8" w14:textId="77777777" w:rsidR="00725977" w:rsidRPr="00D4309F" w:rsidRDefault="00725977" w:rsidP="00961A50">
            <w:pPr>
              <w:pStyle w:val="TableParagraph"/>
              <w:spacing w:before="41"/>
              <w:ind w:left="279"/>
              <w:rPr>
                <w:b/>
                <w:sz w:val="18"/>
              </w:rPr>
            </w:pPr>
            <w:r w:rsidRPr="00D4309F">
              <w:rPr>
                <w:b/>
                <w:color w:val="211E1F"/>
                <w:spacing w:val="-5"/>
                <w:sz w:val="18"/>
              </w:rPr>
              <w:t>56</w:t>
            </w:r>
          </w:p>
        </w:tc>
      </w:tr>
      <w:tr w:rsidR="00725977" w:rsidRPr="00D4309F" w14:paraId="3C72CE6F" w14:textId="77777777" w:rsidTr="00E047C7">
        <w:trPr>
          <w:trHeight w:val="287"/>
        </w:trPr>
        <w:tc>
          <w:tcPr>
            <w:tcW w:w="1065" w:type="dxa"/>
          </w:tcPr>
          <w:p w14:paraId="7244B57E" w14:textId="78E87883" w:rsidR="00725977" w:rsidRPr="00CC7A4C" w:rsidRDefault="00725977" w:rsidP="00961A50">
            <w:pPr>
              <w:pStyle w:val="TableParagraph"/>
              <w:spacing w:before="39"/>
              <w:ind w:left="87"/>
              <w:rPr>
                <w:sz w:val="18"/>
              </w:rPr>
            </w:pPr>
            <w:r w:rsidRPr="00CC7A4C">
              <w:rPr>
                <w:color w:val="211E1F"/>
                <w:spacing w:val="-10"/>
                <w:sz w:val="18"/>
              </w:rPr>
              <w:t>5</w:t>
            </w:r>
            <w:r w:rsidR="00E047C7" w:rsidRPr="00CC7A4C">
              <w:rPr>
                <w:color w:val="211E1F"/>
                <w:spacing w:val="-10"/>
                <w:sz w:val="18"/>
              </w:rPr>
              <w:t>A</w:t>
            </w:r>
          </w:p>
        </w:tc>
        <w:tc>
          <w:tcPr>
            <w:tcW w:w="1626" w:type="dxa"/>
          </w:tcPr>
          <w:p w14:paraId="50F39E1B" w14:textId="31FB6472" w:rsidR="00725977" w:rsidRPr="00CC7A4C" w:rsidRDefault="009158EC" w:rsidP="00961A50">
            <w:pPr>
              <w:pStyle w:val="TableParagraph"/>
              <w:spacing w:before="39"/>
              <w:ind w:left="295"/>
              <w:rPr>
                <w:sz w:val="18"/>
              </w:rPr>
            </w:pPr>
            <w:r w:rsidRPr="00CC7A4C">
              <w:rPr>
                <w:color w:val="211E1F"/>
                <w:spacing w:val="-5"/>
                <w:sz w:val="18"/>
              </w:rPr>
              <w:t>22</w:t>
            </w:r>
          </w:p>
        </w:tc>
        <w:tc>
          <w:tcPr>
            <w:tcW w:w="1230" w:type="dxa"/>
          </w:tcPr>
          <w:p w14:paraId="2D054B0D" w14:textId="77777777" w:rsidR="00725977" w:rsidRPr="00CC7A4C" w:rsidRDefault="00725977" w:rsidP="00961A50">
            <w:pPr>
              <w:pStyle w:val="TableParagraph"/>
              <w:spacing w:before="39"/>
              <w:ind w:left="287"/>
              <w:rPr>
                <w:sz w:val="18"/>
              </w:rPr>
            </w:pPr>
            <w:r w:rsidRPr="00CC7A4C">
              <w:rPr>
                <w:color w:val="211E1F"/>
                <w:spacing w:val="-10"/>
                <w:sz w:val="18"/>
              </w:rPr>
              <w:t>4</w:t>
            </w:r>
          </w:p>
        </w:tc>
        <w:tc>
          <w:tcPr>
            <w:tcW w:w="1507" w:type="dxa"/>
          </w:tcPr>
          <w:p w14:paraId="3F1CF203" w14:textId="59C380D4" w:rsidR="00725977" w:rsidRPr="00CC7A4C" w:rsidRDefault="009158EC" w:rsidP="00961A50">
            <w:pPr>
              <w:pStyle w:val="TableParagraph"/>
              <w:spacing w:before="39"/>
              <w:ind w:left="400"/>
              <w:rPr>
                <w:sz w:val="18"/>
              </w:rPr>
            </w:pPr>
            <w:r w:rsidRPr="00CC7A4C">
              <w:rPr>
                <w:color w:val="211E1F"/>
                <w:spacing w:val="-5"/>
                <w:sz w:val="18"/>
              </w:rPr>
              <w:t>33</w:t>
            </w:r>
          </w:p>
        </w:tc>
        <w:tc>
          <w:tcPr>
            <w:tcW w:w="1552" w:type="dxa"/>
          </w:tcPr>
          <w:p w14:paraId="547D3115" w14:textId="29E2FF4A" w:rsidR="00725977" w:rsidRPr="00CC7A4C" w:rsidRDefault="00CC7A4C" w:rsidP="00961A50">
            <w:pPr>
              <w:pStyle w:val="TableParagraph"/>
              <w:spacing w:before="39"/>
              <w:ind w:left="241"/>
              <w:rPr>
                <w:sz w:val="18"/>
              </w:rPr>
            </w:pPr>
            <w:r w:rsidRPr="00CC7A4C">
              <w:rPr>
                <w:color w:val="211E1F"/>
                <w:spacing w:val="-10"/>
                <w:sz w:val="18"/>
              </w:rPr>
              <w:t>10</w:t>
            </w:r>
          </w:p>
        </w:tc>
        <w:tc>
          <w:tcPr>
            <w:tcW w:w="1122" w:type="dxa"/>
          </w:tcPr>
          <w:p w14:paraId="61D0E438" w14:textId="6855F692" w:rsidR="00725977" w:rsidRPr="00CC7A4C" w:rsidRDefault="00CC7A4C" w:rsidP="00961A50">
            <w:pPr>
              <w:pStyle w:val="TableParagraph"/>
              <w:spacing w:before="39"/>
              <w:ind w:left="54"/>
              <w:rPr>
                <w:sz w:val="18"/>
              </w:rPr>
            </w:pPr>
            <w:r w:rsidRPr="00CC7A4C">
              <w:rPr>
                <w:color w:val="211E1F"/>
                <w:spacing w:val="-10"/>
                <w:sz w:val="18"/>
              </w:rPr>
              <w:t>8</w:t>
            </w:r>
          </w:p>
        </w:tc>
        <w:tc>
          <w:tcPr>
            <w:tcW w:w="1601" w:type="dxa"/>
          </w:tcPr>
          <w:p w14:paraId="25D02045" w14:textId="550E8DB4" w:rsidR="00725977" w:rsidRPr="00CC7A4C" w:rsidRDefault="00CC7A4C" w:rsidP="00961A50">
            <w:pPr>
              <w:pStyle w:val="TableParagraph"/>
              <w:spacing w:before="39"/>
              <w:ind w:left="279"/>
              <w:rPr>
                <w:b/>
                <w:sz w:val="18"/>
              </w:rPr>
            </w:pPr>
            <w:r w:rsidRPr="00CC7A4C">
              <w:rPr>
                <w:b/>
                <w:color w:val="211E1F"/>
                <w:spacing w:val="-5"/>
                <w:sz w:val="18"/>
              </w:rPr>
              <w:t>7</w:t>
            </w:r>
            <w:r w:rsidR="00C6332E">
              <w:rPr>
                <w:b/>
                <w:color w:val="211E1F"/>
                <w:spacing w:val="-5"/>
                <w:sz w:val="18"/>
              </w:rPr>
              <w:t>7</w:t>
            </w:r>
          </w:p>
        </w:tc>
      </w:tr>
      <w:tr w:rsidR="00E047C7" w:rsidRPr="00D4309F" w14:paraId="60C34D44" w14:textId="77777777" w:rsidTr="00E047C7">
        <w:trPr>
          <w:trHeight w:val="287"/>
        </w:trPr>
        <w:tc>
          <w:tcPr>
            <w:tcW w:w="1065" w:type="dxa"/>
          </w:tcPr>
          <w:p w14:paraId="6E0BB762" w14:textId="4D36487B" w:rsidR="00E047C7" w:rsidRPr="00E047C7" w:rsidRDefault="00E047C7" w:rsidP="00E047C7">
            <w:pPr>
              <w:pStyle w:val="TableParagraph"/>
              <w:spacing w:before="39"/>
              <w:ind w:left="87"/>
              <w:rPr>
                <w:color w:val="211E1F"/>
                <w:spacing w:val="-10"/>
                <w:sz w:val="18"/>
              </w:rPr>
            </w:pPr>
            <w:r w:rsidRPr="00E047C7">
              <w:rPr>
                <w:color w:val="211E1F"/>
                <w:spacing w:val="-10"/>
                <w:sz w:val="18"/>
              </w:rPr>
              <w:t>5B</w:t>
            </w:r>
          </w:p>
        </w:tc>
        <w:tc>
          <w:tcPr>
            <w:tcW w:w="1626" w:type="dxa"/>
          </w:tcPr>
          <w:p w14:paraId="52872389" w14:textId="2F6B5F99" w:rsidR="00E047C7" w:rsidRPr="00E047C7" w:rsidRDefault="00E047C7" w:rsidP="00E047C7">
            <w:pPr>
              <w:pStyle w:val="TableParagraph"/>
              <w:spacing w:before="39"/>
              <w:ind w:left="295"/>
              <w:rPr>
                <w:color w:val="211E1F"/>
                <w:spacing w:val="-5"/>
                <w:sz w:val="18"/>
              </w:rPr>
            </w:pPr>
            <w:r w:rsidRPr="00E047C7">
              <w:rPr>
                <w:color w:val="211E1F"/>
                <w:spacing w:val="-5"/>
                <w:sz w:val="18"/>
              </w:rPr>
              <w:t>13</w:t>
            </w:r>
          </w:p>
        </w:tc>
        <w:tc>
          <w:tcPr>
            <w:tcW w:w="1230" w:type="dxa"/>
          </w:tcPr>
          <w:p w14:paraId="256B1F34" w14:textId="453F3C56" w:rsidR="00E047C7" w:rsidRPr="00E047C7" w:rsidRDefault="00E047C7" w:rsidP="00E047C7">
            <w:pPr>
              <w:pStyle w:val="TableParagraph"/>
              <w:spacing w:before="39"/>
              <w:ind w:left="287"/>
              <w:rPr>
                <w:color w:val="211E1F"/>
                <w:spacing w:val="-10"/>
                <w:sz w:val="18"/>
              </w:rPr>
            </w:pPr>
            <w:r w:rsidRPr="00E047C7">
              <w:rPr>
                <w:color w:val="211E1F"/>
                <w:spacing w:val="-10"/>
                <w:sz w:val="18"/>
              </w:rPr>
              <w:t>4</w:t>
            </w:r>
          </w:p>
        </w:tc>
        <w:tc>
          <w:tcPr>
            <w:tcW w:w="1507" w:type="dxa"/>
          </w:tcPr>
          <w:p w14:paraId="1998DEF7" w14:textId="25FA7B39" w:rsidR="00E047C7" w:rsidRPr="00E047C7" w:rsidRDefault="00E047C7" w:rsidP="00E047C7">
            <w:pPr>
              <w:pStyle w:val="TableParagraph"/>
              <w:spacing w:before="39"/>
              <w:ind w:left="400"/>
              <w:rPr>
                <w:color w:val="211E1F"/>
                <w:spacing w:val="-5"/>
                <w:sz w:val="18"/>
              </w:rPr>
            </w:pPr>
            <w:r w:rsidRPr="00E047C7">
              <w:rPr>
                <w:color w:val="211E1F"/>
                <w:spacing w:val="-5"/>
                <w:sz w:val="18"/>
              </w:rPr>
              <w:t>21</w:t>
            </w:r>
          </w:p>
        </w:tc>
        <w:tc>
          <w:tcPr>
            <w:tcW w:w="1552" w:type="dxa"/>
          </w:tcPr>
          <w:p w14:paraId="18AE71BD" w14:textId="1555F43B" w:rsidR="00E047C7" w:rsidRPr="00E047C7" w:rsidRDefault="00E047C7" w:rsidP="00E047C7">
            <w:pPr>
              <w:pStyle w:val="TableParagraph"/>
              <w:spacing w:before="39"/>
              <w:ind w:left="241"/>
              <w:rPr>
                <w:color w:val="211E1F"/>
                <w:spacing w:val="-10"/>
                <w:sz w:val="18"/>
              </w:rPr>
            </w:pPr>
            <w:r w:rsidRPr="00E047C7">
              <w:rPr>
                <w:color w:val="211E1F"/>
                <w:spacing w:val="-10"/>
                <w:sz w:val="18"/>
              </w:rPr>
              <w:t>6</w:t>
            </w:r>
          </w:p>
        </w:tc>
        <w:tc>
          <w:tcPr>
            <w:tcW w:w="1122" w:type="dxa"/>
          </w:tcPr>
          <w:p w14:paraId="774E287D" w14:textId="1D872998" w:rsidR="00E047C7" w:rsidRPr="00E047C7" w:rsidRDefault="00E047C7" w:rsidP="00E047C7">
            <w:pPr>
              <w:pStyle w:val="TableParagraph"/>
              <w:spacing w:before="39"/>
              <w:ind w:left="54"/>
              <w:rPr>
                <w:color w:val="211E1F"/>
                <w:spacing w:val="-10"/>
                <w:sz w:val="18"/>
              </w:rPr>
            </w:pPr>
            <w:r w:rsidRPr="00E047C7">
              <w:rPr>
                <w:color w:val="211E1F"/>
                <w:spacing w:val="-10"/>
                <w:sz w:val="18"/>
              </w:rPr>
              <w:t>5</w:t>
            </w:r>
          </w:p>
        </w:tc>
        <w:tc>
          <w:tcPr>
            <w:tcW w:w="1601" w:type="dxa"/>
          </w:tcPr>
          <w:p w14:paraId="0C743288" w14:textId="65535B7F" w:rsidR="00E047C7" w:rsidRPr="00E047C7" w:rsidRDefault="00E047C7" w:rsidP="00E047C7">
            <w:pPr>
              <w:pStyle w:val="TableParagraph"/>
              <w:spacing w:before="39"/>
              <w:ind w:left="279"/>
              <w:rPr>
                <w:b/>
                <w:color w:val="211E1F"/>
                <w:spacing w:val="-5"/>
                <w:sz w:val="18"/>
              </w:rPr>
            </w:pPr>
            <w:r w:rsidRPr="00E047C7">
              <w:rPr>
                <w:b/>
                <w:color w:val="211E1F"/>
                <w:spacing w:val="-5"/>
                <w:sz w:val="18"/>
              </w:rPr>
              <w:t>49</w:t>
            </w:r>
          </w:p>
        </w:tc>
      </w:tr>
    </w:tbl>
    <w:p w14:paraId="646C5BBD" w14:textId="77777777" w:rsidR="00705AB6" w:rsidRDefault="00705AB6" w:rsidP="00705AB6">
      <w:pPr>
        <w:pStyle w:val="BodyText"/>
      </w:pPr>
      <w:r>
        <w:t>Across all options assessed, Option 3A (Breakwater Extension - Rock Armour) achieved the highest overall score. This option performed well because it offers improved control over sediment transport, reduced frequency of shoaling, and enhanced reliability of entrance access. It also demonstrates stronger alignment with long-term management goals, particularly those aiming to improve navigability at all times.</w:t>
      </w:r>
    </w:p>
    <w:p w14:paraId="2C0855E0" w14:textId="77777777" w:rsidR="00705AB6" w:rsidRDefault="00705AB6" w:rsidP="00705AB6">
      <w:pPr>
        <w:pStyle w:val="BodyText"/>
      </w:pPr>
      <w:r>
        <w:t>Option 5A, which formalises the existing Western Channel without structural change, ranked well due to its extremely low environmental and social impact and modest cost. However, its high score reflects its suitability as an operational enhancement, not as a comprehensive sediment management solution. It does not reduce shoaling frequency, improve bypassing efficiency, or address the root causes of entrance instability. Its value lies in improving clarity, user confidence, and safety messaging during early shoal formation, rather than resolving the underlying problem.</w:t>
      </w:r>
    </w:p>
    <w:p w14:paraId="7E6B3FAC" w14:textId="77777777" w:rsidR="00A9703A" w:rsidRDefault="00705AB6" w:rsidP="00705AB6">
      <w:pPr>
        <w:pStyle w:val="BodyText"/>
      </w:pPr>
      <w:r>
        <w:t>Option 2 shows promise as a softer alternative and is expected to improve entrance conditions in many scenarios by providing a sand trap and creating more operational flexibility around when material is removed. However, it also carries potential negative effects, including local changes in wave transformation and the risk of creating new or modified shoaling patterns. Because Option 2 remains at a conceptual stage, with no detailed design or numerical modelling completed, it is difficult to quantify these effects or directly compare its reliability against Option 3A. There is merit in progressing Option 2 into more detailed design and modelling, but in its current early form it cannot be ranked higher than an option with fully established performance.</w:t>
      </w:r>
    </w:p>
    <w:p w14:paraId="226270EE" w14:textId="5FC407C7" w:rsidR="00725977" w:rsidRPr="00D4309F" w:rsidRDefault="00725977" w:rsidP="00705AB6">
      <w:pPr>
        <w:pStyle w:val="BodyText"/>
      </w:pPr>
      <w:r w:rsidRPr="00D4309F">
        <w:t>Overall,</w:t>
      </w:r>
      <w:r w:rsidRPr="00D4309F">
        <w:rPr>
          <w:spacing w:val="-3"/>
        </w:rPr>
        <w:t xml:space="preserve"> </w:t>
      </w:r>
      <w:r w:rsidRPr="00D4309F">
        <w:t>the</w:t>
      </w:r>
      <w:r w:rsidRPr="00D4309F">
        <w:rPr>
          <w:spacing w:val="-3"/>
        </w:rPr>
        <w:t xml:space="preserve"> </w:t>
      </w:r>
      <w:r w:rsidRPr="00D4309F">
        <w:t>spread</w:t>
      </w:r>
      <w:r w:rsidRPr="00D4309F">
        <w:rPr>
          <w:spacing w:val="-3"/>
        </w:rPr>
        <w:t xml:space="preserve"> </w:t>
      </w:r>
      <w:r w:rsidRPr="00D4309F">
        <w:t>of</w:t>
      </w:r>
      <w:r w:rsidRPr="00D4309F">
        <w:rPr>
          <w:spacing w:val="-3"/>
        </w:rPr>
        <w:t xml:space="preserve"> </w:t>
      </w:r>
      <w:r w:rsidRPr="00D4309F">
        <w:t>rankings</w:t>
      </w:r>
      <w:r w:rsidRPr="00D4309F">
        <w:rPr>
          <w:spacing w:val="-2"/>
        </w:rPr>
        <w:t xml:space="preserve"> </w:t>
      </w:r>
      <w:r w:rsidRPr="00D4309F">
        <w:t>highlights</w:t>
      </w:r>
      <w:r w:rsidRPr="00D4309F">
        <w:rPr>
          <w:spacing w:val="-3"/>
        </w:rPr>
        <w:t xml:space="preserve"> </w:t>
      </w:r>
      <w:r w:rsidRPr="00D4309F">
        <w:t>that</w:t>
      </w:r>
      <w:r w:rsidRPr="00D4309F">
        <w:rPr>
          <w:spacing w:val="-3"/>
        </w:rPr>
        <w:t xml:space="preserve"> </w:t>
      </w:r>
      <w:r w:rsidRPr="00D4309F">
        <w:t>each</w:t>
      </w:r>
      <w:r w:rsidRPr="00D4309F">
        <w:rPr>
          <w:spacing w:val="-3"/>
        </w:rPr>
        <w:t xml:space="preserve"> </w:t>
      </w:r>
      <w:r w:rsidRPr="00D4309F">
        <w:t>option</w:t>
      </w:r>
      <w:r w:rsidRPr="00D4309F">
        <w:rPr>
          <w:spacing w:val="-3"/>
        </w:rPr>
        <w:t xml:space="preserve"> </w:t>
      </w:r>
      <w:r w:rsidRPr="00D4309F">
        <w:t>carries</w:t>
      </w:r>
      <w:r w:rsidRPr="00D4309F">
        <w:rPr>
          <w:spacing w:val="-2"/>
        </w:rPr>
        <w:t xml:space="preserve"> </w:t>
      </w:r>
      <w:r w:rsidRPr="00D4309F">
        <w:t>different</w:t>
      </w:r>
      <w:r w:rsidRPr="00D4309F">
        <w:rPr>
          <w:spacing w:val="-3"/>
        </w:rPr>
        <w:t xml:space="preserve"> </w:t>
      </w:r>
      <w:r w:rsidRPr="00D4309F">
        <w:t>strengths,</w:t>
      </w:r>
      <w:r w:rsidRPr="00D4309F">
        <w:rPr>
          <w:spacing w:val="-3"/>
        </w:rPr>
        <w:t xml:space="preserve"> </w:t>
      </w:r>
      <w:r w:rsidRPr="00D4309F">
        <w:t>with</w:t>
      </w:r>
      <w:r w:rsidRPr="00D4309F">
        <w:rPr>
          <w:spacing w:val="-3"/>
        </w:rPr>
        <w:t xml:space="preserve"> </w:t>
      </w:r>
      <w:r w:rsidRPr="00D4309F">
        <w:t>technical performance,</w:t>
      </w:r>
      <w:r w:rsidRPr="00D4309F">
        <w:rPr>
          <w:spacing w:val="-2"/>
        </w:rPr>
        <w:t xml:space="preserve"> </w:t>
      </w:r>
      <w:r w:rsidRPr="00D4309F">
        <w:t>community impacts, and</w:t>
      </w:r>
      <w:r w:rsidRPr="00D4309F">
        <w:rPr>
          <w:spacing w:val="-1"/>
        </w:rPr>
        <w:t xml:space="preserve"> </w:t>
      </w:r>
      <w:r w:rsidRPr="00D4309F">
        <w:t>environmental outcomes influencing the</w:t>
      </w:r>
      <w:r w:rsidRPr="00D4309F">
        <w:rPr>
          <w:spacing w:val="-1"/>
        </w:rPr>
        <w:t xml:space="preserve"> </w:t>
      </w:r>
      <w:r w:rsidRPr="00D4309F">
        <w:t>variation in scores.</w:t>
      </w:r>
    </w:p>
    <w:p w14:paraId="67A129CD" w14:textId="79716C0D" w:rsidR="00725977" w:rsidRPr="00D4309F" w:rsidRDefault="00725977" w:rsidP="00725977">
      <w:pPr>
        <w:pStyle w:val="BodyText"/>
      </w:pPr>
      <w:r w:rsidRPr="00D4309F">
        <w:t>Based on the current level of development across the options, Option 3A ranked the highest due to its established</w:t>
      </w:r>
      <w:r w:rsidRPr="00D4309F">
        <w:rPr>
          <w:spacing w:val="-3"/>
        </w:rPr>
        <w:t xml:space="preserve"> </w:t>
      </w:r>
      <w:r w:rsidRPr="00D4309F">
        <w:t>design</w:t>
      </w:r>
      <w:r w:rsidRPr="00D4309F">
        <w:rPr>
          <w:spacing w:val="-3"/>
        </w:rPr>
        <w:t xml:space="preserve"> </w:t>
      </w:r>
      <w:r w:rsidRPr="00D4309F">
        <w:t>work</w:t>
      </w:r>
      <w:r w:rsidRPr="00D4309F">
        <w:rPr>
          <w:spacing w:val="-2"/>
        </w:rPr>
        <w:t xml:space="preserve"> </w:t>
      </w:r>
      <w:r w:rsidRPr="00D4309F">
        <w:t>and</w:t>
      </w:r>
      <w:r w:rsidRPr="00D4309F">
        <w:rPr>
          <w:spacing w:val="-3"/>
        </w:rPr>
        <w:t xml:space="preserve"> </w:t>
      </w:r>
      <w:r w:rsidRPr="00D4309F">
        <w:t>proven</w:t>
      </w:r>
      <w:r w:rsidRPr="00D4309F">
        <w:rPr>
          <w:spacing w:val="-3"/>
        </w:rPr>
        <w:t xml:space="preserve"> </w:t>
      </w:r>
      <w:r w:rsidRPr="00D4309F">
        <w:t>performance</w:t>
      </w:r>
      <w:r w:rsidRPr="00D4309F">
        <w:rPr>
          <w:spacing w:val="-3"/>
        </w:rPr>
        <w:t xml:space="preserve"> </w:t>
      </w:r>
      <w:r w:rsidRPr="00D4309F">
        <w:t>at</w:t>
      </w:r>
      <w:r w:rsidRPr="00D4309F">
        <w:rPr>
          <w:spacing w:val="-3"/>
        </w:rPr>
        <w:t xml:space="preserve"> </w:t>
      </w:r>
      <w:r w:rsidRPr="00D4309F">
        <w:t>comparable</w:t>
      </w:r>
      <w:r w:rsidRPr="00D4309F">
        <w:rPr>
          <w:spacing w:val="-4"/>
        </w:rPr>
        <w:t xml:space="preserve"> </w:t>
      </w:r>
      <w:r w:rsidRPr="00D4309F">
        <w:t>sites.</w:t>
      </w:r>
      <w:r w:rsidRPr="00D4309F">
        <w:rPr>
          <w:spacing w:val="-3"/>
        </w:rPr>
        <w:t xml:space="preserve"> </w:t>
      </w:r>
      <w:r w:rsidRPr="00D4309F">
        <w:t>At</w:t>
      </w:r>
      <w:r w:rsidRPr="00D4309F">
        <w:rPr>
          <w:spacing w:val="-3"/>
        </w:rPr>
        <w:t xml:space="preserve"> </w:t>
      </w:r>
      <w:r w:rsidRPr="00D4309F">
        <w:t>the</w:t>
      </w:r>
      <w:r w:rsidRPr="00D4309F">
        <w:rPr>
          <w:spacing w:val="-3"/>
        </w:rPr>
        <w:t xml:space="preserve"> </w:t>
      </w:r>
      <w:r w:rsidRPr="00D4309F">
        <w:t>same</w:t>
      </w:r>
      <w:r w:rsidRPr="00D4309F">
        <w:rPr>
          <w:spacing w:val="-3"/>
        </w:rPr>
        <w:t xml:space="preserve"> </w:t>
      </w:r>
      <w:r w:rsidRPr="00D4309F">
        <w:t>time,</w:t>
      </w:r>
      <w:r w:rsidRPr="00D4309F">
        <w:rPr>
          <w:spacing w:val="-3"/>
        </w:rPr>
        <w:t xml:space="preserve"> </w:t>
      </w:r>
      <w:r w:rsidRPr="00D4309F">
        <w:t>we</w:t>
      </w:r>
      <w:r w:rsidRPr="00D4309F">
        <w:rPr>
          <w:spacing w:val="-3"/>
        </w:rPr>
        <w:t xml:space="preserve"> </w:t>
      </w:r>
      <w:r w:rsidRPr="00D4309F">
        <w:t>recognise</w:t>
      </w:r>
      <w:r w:rsidRPr="00D4309F">
        <w:rPr>
          <w:spacing w:val="-3"/>
        </w:rPr>
        <w:t xml:space="preserve"> </w:t>
      </w:r>
      <w:r w:rsidRPr="00D4309F">
        <w:t>that there has been community hesitation toward more structural approaches, with a preference expressed for softer measures where feasible.</w:t>
      </w:r>
    </w:p>
    <w:p w14:paraId="67324700" w14:textId="5C36A02C" w:rsidR="00725977" w:rsidRPr="00DA5995" w:rsidRDefault="00725977" w:rsidP="00DA5995">
      <w:pPr>
        <w:pStyle w:val="Heading3Style"/>
        <w:rPr>
          <w:rFonts w:eastAsiaTheme="minorHAnsi" w:cs="Verdana"/>
          <w:bCs/>
          <w:color w:val="221E1F"/>
        </w:rPr>
      </w:pPr>
      <w:r w:rsidRPr="00DA5995">
        <w:rPr>
          <w:rFonts w:eastAsiaTheme="minorHAnsi" w:cs="Verdana"/>
          <w:bCs/>
          <w:color w:val="221E1F"/>
        </w:rPr>
        <w:lastRenderedPageBreak/>
        <w:t>Recommendations</w:t>
      </w:r>
    </w:p>
    <w:p w14:paraId="0EDABA46" w14:textId="77777777" w:rsidR="00725977" w:rsidRPr="00D4309F" w:rsidRDefault="00725977" w:rsidP="00725977">
      <w:pPr>
        <w:pStyle w:val="BodyText"/>
      </w:pPr>
      <w:r w:rsidRPr="00D4309F">
        <w:t>The</w:t>
      </w:r>
      <w:r w:rsidRPr="00D4309F">
        <w:rPr>
          <w:spacing w:val="-3"/>
        </w:rPr>
        <w:t xml:space="preserve"> </w:t>
      </w:r>
      <w:r w:rsidRPr="00D4309F">
        <w:t>objective</w:t>
      </w:r>
      <w:r w:rsidRPr="00D4309F">
        <w:rPr>
          <w:spacing w:val="-4"/>
        </w:rPr>
        <w:t xml:space="preserve"> </w:t>
      </w:r>
      <w:r w:rsidRPr="00D4309F">
        <w:t>of</w:t>
      </w:r>
      <w:r w:rsidRPr="00D4309F">
        <w:rPr>
          <w:spacing w:val="-3"/>
        </w:rPr>
        <w:t xml:space="preserve"> </w:t>
      </w:r>
      <w:r w:rsidRPr="00D4309F">
        <w:t>this</w:t>
      </w:r>
      <w:r w:rsidRPr="00D4309F">
        <w:rPr>
          <w:spacing w:val="-2"/>
        </w:rPr>
        <w:t xml:space="preserve"> </w:t>
      </w:r>
      <w:r w:rsidRPr="00D4309F">
        <w:t>Long-Term</w:t>
      </w:r>
      <w:r w:rsidRPr="00D4309F">
        <w:rPr>
          <w:spacing w:val="-3"/>
        </w:rPr>
        <w:t xml:space="preserve"> </w:t>
      </w:r>
      <w:r w:rsidRPr="00D4309F">
        <w:t>review</w:t>
      </w:r>
      <w:r w:rsidRPr="00D4309F">
        <w:rPr>
          <w:spacing w:val="-4"/>
        </w:rPr>
        <w:t xml:space="preserve"> </w:t>
      </w:r>
      <w:r w:rsidRPr="00D4309F">
        <w:t>was</w:t>
      </w:r>
      <w:r w:rsidRPr="00D4309F">
        <w:rPr>
          <w:spacing w:val="-2"/>
        </w:rPr>
        <w:t xml:space="preserve"> </w:t>
      </w:r>
      <w:r w:rsidRPr="00D4309F">
        <w:t>to</w:t>
      </w:r>
      <w:r w:rsidRPr="00D4309F">
        <w:rPr>
          <w:spacing w:val="-3"/>
        </w:rPr>
        <w:t xml:space="preserve"> </w:t>
      </w:r>
      <w:r w:rsidRPr="00D4309F">
        <w:t>assess</w:t>
      </w:r>
      <w:r w:rsidRPr="00D4309F">
        <w:rPr>
          <w:spacing w:val="-2"/>
        </w:rPr>
        <w:t xml:space="preserve"> </w:t>
      </w:r>
      <w:r w:rsidRPr="00D4309F">
        <w:t>the</w:t>
      </w:r>
      <w:r w:rsidRPr="00D4309F">
        <w:rPr>
          <w:spacing w:val="-3"/>
        </w:rPr>
        <w:t xml:space="preserve"> </w:t>
      </w:r>
      <w:r w:rsidRPr="00D4309F">
        <w:t>available</w:t>
      </w:r>
      <w:r w:rsidRPr="00D4309F">
        <w:rPr>
          <w:spacing w:val="-3"/>
        </w:rPr>
        <w:t xml:space="preserve"> </w:t>
      </w:r>
      <w:r w:rsidRPr="00D4309F">
        <w:t>options</w:t>
      </w:r>
      <w:r w:rsidRPr="00D4309F">
        <w:rPr>
          <w:spacing w:val="-2"/>
        </w:rPr>
        <w:t xml:space="preserve"> </w:t>
      </w:r>
      <w:r w:rsidRPr="00D4309F">
        <w:t>and</w:t>
      </w:r>
      <w:r w:rsidRPr="00D4309F">
        <w:rPr>
          <w:spacing w:val="-4"/>
        </w:rPr>
        <w:t xml:space="preserve"> </w:t>
      </w:r>
      <w:r w:rsidRPr="00D4309F">
        <w:t>determine</w:t>
      </w:r>
      <w:r w:rsidRPr="00D4309F">
        <w:rPr>
          <w:spacing w:val="-3"/>
        </w:rPr>
        <w:t xml:space="preserve"> </w:t>
      </w:r>
      <w:r w:rsidRPr="00D4309F">
        <w:t>which</w:t>
      </w:r>
      <w:r w:rsidRPr="00D4309F">
        <w:rPr>
          <w:spacing w:val="-4"/>
        </w:rPr>
        <w:t xml:space="preserve"> </w:t>
      </w:r>
      <w:r w:rsidRPr="00D4309F">
        <w:t>solutions best address the navigational and coastal management challenges at the entrance. After considering technical performance, constructability, and community impacts, it is recommended that:</w:t>
      </w:r>
    </w:p>
    <w:p w14:paraId="7828B8C9" w14:textId="77777777" w:rsidR="00725977" w:rsidRPr="00D4309F" w:rsidRDefault="00725977" w:rsidP="00961A50">
      <w:pPr>
        <w:pStyle w:val="ListBullet"/>
      </w:pPr>
      <w:r w:rsidRPr="00D4309F">
        <w:t>Option 1A be</w:t>
      </w:r>
      <w:r w:rsidRPr="00D4309F">
        <w:rPr>
          <w:spacing w:val="-1"/>
        </w:rPr>
        <w:t xml:space="preserve"> </w:t>
      </w:r>
      <w:r w:rsidRPr="00D4309F">
        <w:t>progressed as the next stage of works. Option 1A presents a low-impact and low-risk opportunity</w:t>
      </w:r>
      <w:r w:rsidRPr="00D4309F">
        <w:rPr>
          <w:spacing w:val="-2"/>
        </w:rPr>
        <w:t xml:space="preserve"> </w:t>
      </w:r>
      <w:r w:rsidRPr="00D4309F">
        <w:t>to</w:t>
      </w:r>
      <w:r w:rsidRPr="00D4309F">
        <w:rPr>
          <w:spacing w:val="-4"/>
        </w:rPr>
        <w:t xml:space="preserve"> </w:t>
      </w:r>
      <w:r w:rsidRPr="00D4309F">
        <w:t>address</w:t>
      </w:r>
      <w:r w:rsidRPr="00D4309F">
        <w:rPr>
          <w:spacing w:val="-2"/>
        </w:rPr>
        <w:t xml:space="preserve"> </w:t>
      </w:r>
      <w:r w:rsidRPr="00D4309F">
        <w:t>entrance</w:t>
      </w:r>
      <w:r w:rsidRPr="00D4309F">
        <w:rPr>
          <w:spacing w:val="-3"/>
        </w:rPr>
        <w:t xml:space="preserve"> </w:t>
      </w:r>
      <w:r w:rsidRPr="00D4309F">
        <w:t>shoaling.</w:t>
      </w:r>
      <w:r w:rsidRPr="00D4309F">
        <w:rPr>
          <w:spacing w:val="-3"/>
        </w:rPr>
        <w:t xml:space="preserve"> </w:t>
      </w:r>
      <w:r w:rsidRPr="00D4309F">
        <w:t>It</w:t>
      </w:r>
      <w:r w:rsidRPr="00D4309F">
        <w:rPr>
          <w:spacing w:val="-3"/>
        </w:rPr>
        <w:t xml:space="preserve"> </w:t>
      </w:r>
      <w:r w:rsidRPr="00D4309F">
        <w:t>is</w:t>
      </w:r>
      <w:r w:rsidRPr="00D4309F">
        <w:rPr>
          <w:spacing w:val="-2"/>
        </w:rPr>
        <w:t xml:space="preserve"> </w:t>
      </w:r>
      <w:r w:rsidRPr="00D4309F">
        <w:t>expected</w:t>
      </w:r>
      <w:r w:rsidRPr="00D4309F">
        <w:rPr>
          <w:spacing w:val="-3"/>
        </w:rPr>
        <w:t xml:space="preserve"> </w:t>
      </w:r>
      <w:r w:rsidRPr="00D4309F">
        <w:t>to</w:t>
      </w:r>
      <w:r w:rsidRPr="00D4309F">
        <w:rPr>
          <w:spacing w:val="-3"/>
        </w:rPr>
        <w:t xml:space="preserve"> </w:t>
      </w:r>
      <w:r w:rsidRPr="00D4309F">
        <w:t>provide</w:t>
      </w:r>
      <w:r w:rsidRPr="00D4309F">
        <w:rPr>
          <w:spacing w:val="-4"/>
        </w:rPr>
        <w:t xml:space="preserve"> </w:t>
      </w:r>
      <w:r w:rsidRPr="00D4309F">
        <w:t>measurable</w:t>
      </w:r>
      <w:r w:rsidRPr="00D4309F">
        <w:rPr>
          <w:spacing w:val="-3"/>
        </w:rPr>
        <w:t xml:space="preserve"> </w:t>
      </w:r>
      <w:r w:rsidRPr="00D4309F">
        <w:t>improvements</w:t>
      </w:r>
      <w:r w:rsidRPr="00D4309F">
        <w:rPr>
          <w:spacing w:val="-3"/>
        </w:rPr>
        <w:t xml:space="preserve"> </w:t>
      </w:r>
      <w:r w:rsidRPr="00D4309F">
        <w:t>while introducing limited disturbance to existing beach conditions. While Option 1A is being trialled, further development of Option 2 can continue, noting that Option 2 scored</w:t>
      </w:r>
      <w:r w:rsidRPr="00D4309F">
        <w:rPr>
          <w:spacing w:val="-2"/>
        </w:rPr>
        <w:t xml:space="preserve"> </w:t>
      </w:r>
      <w:r w:rsidRPr="00D4309F">
        <w:t>well</w:t>
      </w:r>
      <w:r w:rsidRPr="00D4309F">
        <w:rPr>
          <w:spacing w:val="-2"/>
        </w:rPr>
        <w:t xml:space="preserve"> </w:t>
      </w:r>
      <w:r w:rsidRPr="00D4309F">
        <w:t>but</w:t>
      </w:r>
      <w:r w:rsidRPr="00D4309F">
        <w:rPr>
          <w:spacing w:val="-2"/>
        </w:rPr>
        <w:t xml:space="preserve"> </w:t>
      </w:r>
      <w:r w:rsidRPr="00D4309F">
        <w:t>remains</w:t>
      </w:r>
      <w:r w:rsidRPr="00D4309F">
        <w:rPr>
          <w:spacing w:val="-1"/>
        </w:rPr>
        <w:t xml:space="preserve"> </w:t>
      </w:r>
      <w:r w:rsidRPr="00D4309F">
        <w:t>at</w:t>
      </w:r>
      <w:r w:rsidRPr="00D4309F">
        <w:rPr>
          <w:spacing w:val="-2"/>
        </w:rPr>
        <w:t xml:space="preserve"> </w:t>
      </w:r>
      <w:r w:rsidRPr="00D4309F">
        <w:t>an</w:t>
      </w:r>
      <w:r w:rsidRPr="00D4309F">
        <w:rPr>
          <w:spacing w:val="-2"/>
        </w:rPr>
        <w:t xml:space="preserve"> </w:t>
      </w:r>
      <w:r w:rsidRPr="00D4309F">
        <w:t>early,</w:t>
      </w:r>
      <w:r w:rsidRPr="00D4309F">
        <w:rPr>
          <w:spacing w:val="-2"/>
        </w:rPr>
        <w:t xml:space="preserve"> </w:t>
      </w:r>
      <w:r w:rsidRPr="00D4309F">
        <w:t>schematic</w:t>
      </w:r>
      <w:r w:rsidRPr="00D4309F">
        <w:rPr>
          <w:spacing w:val="-2"/>
        </w:rPr>
        <w:t xml:space="preserve"> </w:t>
      </w:r>
      <w:r w:rsidRPr="00D4309F">
        <w:t>stage.</w:t>
      </w:r>
      <w:r w:rsidRPr="00D4309F">
        <w:rPr>
          <w:spacing w:val="-4"/>
        </w:rPr>
        <w:t xml:space="preserve"> </w:t>
      </w:r>
      <w:r w:rsidRPr="00D4309F">
        <w:t>Advancing</w:t>
      </w:r>
      <w:r w:rsidRPr="00D4309F">
        <w:rPr>
          <w:spacing w:val="-2"/>
        </w:rPr>
        <w:t xml:space="preserve"> </w:t>
      </w:r>
      <w:r w:rsidRPr="00D4309F">
        <w:t>its</w:t>
      </w:r>
      <w:r w:rsidRPr="00D4309F">
        <w:rPr>
          <w:spacing w:val="-1"/>
        </w:rPr>
        <w:t xml:space="preserve"> </w:t>
      </w:r>
      <w:r w:rsidRPr="00D4309F">
        <w:t>design</w:t>
      </w:r>
      <w:r w:rsidRPr="00D4309F">
        <w:rPr>
          <w:spacing w:val="-2"/>
        </w:rPr>
        <w:t xml:space="preserve"> </w:t>
      </w:r>
      <w:r w:rsidRPr="00D4309F">
        <w:t>in</w:t>
      </w:r>
      <w:r w:rsidRPr="00D4309F">
        <w:rPr>
          <w:spacing w:val="-2"/>
        </w:rPr>
        <w:t xml:space="preserve"> </w:t>
      </w:r>
      <w:r w:rsidRPr="00D4309F">
        <w:t>parallel</w:t>
      </w:r>
      <w:r w:rsidRPr="00D4309F">
        <w:rPr>
          <w:spacing w:val="-3"/>
        </w:rPr>
        <w:t xml:space="preserve"> </w:t>
      </w:r>
      <w:r w:rsidRPr="00D4309F">
        <w:t>would</w:t>
      </w:r>
      <w:r w:rsidRPr="00D4309F">
        <w:rPr>
          <w:spacing w:val="-2"/>
        </w:rPr>
        <w:t xml:space="preserve"> </w:t>
      </w:r>
      <w:r w:rsidRPr="00D4309F">
        <w:t>ensure</w:t>
      </w:r>
      <w:r w:rsidRPr="00D4309F">
        <w:rPr>
          <w:spacing w:val="-2"/>
        </w:rPr>
        <w:t xml:space="preserve"> </w:t>
      </w:r>
      <w:r w:rsidRPr="00D4309F">
        <w:t>that a more refined version is ready should the trial indicate the need for additional measures</w:t>
      </w:r>
    </w:p>
    <w:p w14:paraId="4D460169" w14:textId="77777777" w:rsidR="00725977" w:rsidRPr="00D4309F" w:rsidRDefault="00725977" w:rsidP="00961A50">
      <w:pPr>
        <w:pStyle w:val="ListBullet"/>
      </w:pPr>
      <w:r w:rsidRPr="00D4309F">
        <w:t>Long-term</w:t>
      </w:r>
      <w:r w:rsidRPr="00D4309F">
        <w:rPr>
          <w:spacing w:val="-4"/>
        </w:rPr>
        <w:t xml:space="preserve"> </w:t>
      </w:r>
      <w:r w:rsidRPr="00D4309F">
        <w:t>plan</w:t>
      </w:r>
      <w:r w:rsidRPr="00D4309F">
        <w:rPr>
          <w:spacing w:val="-3"/>
        </w:rPr>
        <w:t xml:space="preserve"> </w:t>
      </w:r>
      <w:r w:rsidRPr="00D4309F">
        <w:rPr>
          <w:spacing w:val="-2"/>
        </w:rPr>
        <w:t>follows:</w:t>
      </w:r>
    </w:p>
    <w:p w14:paraId="2EDF6A7D" w14:textId="77777777" w:rsidR="008C7347" w:rsidRPr="00D4309F" w:rsidRDefault="008C7347" w:rsidP="008C7347">
      <w:pPr>
        <w:pStyle w:val="ListBullet2"/>
      </w:pPr>
      <w:r w:rsidRPr="00D4309F">
        <w:t>Proceed</w:t>
      </w:r>
      <w:r w:rsidRPr="00D4309F">
        <w:rPr>
          <w:spacing w:val="-6"/>
        </w:rPr>
        <w:t xml:space="preserve"> </w:t>
      </w:r>
      <w:r w:rsidRPr="00D4309F">
        <w:t xml:space="preserve">with </w:t>
      </w:r>
      <w:r>
        <w:t>Buddina Beach Sand Trap (</w:t>
      </w:r>
      <w:r w:rsidRPr="00D4309F">
        <w:t>Option</w:t>
      </w:r>
      <w:r w:rsidRPr="00D4309F">
        <w:rPr>
          <w:spacing w:val="-2"/>
        </w:rPr>
        <w:t xml:space="preserve"> </w:t>
      </w:r>
      <w:r w:rsidRPr="00D4309F">
        <w:t>1A</w:t>
      </w:r>
      <w:r>
        <w:t>)</w:t>
      </w:r>
      <w:r w:rsidRPr="00D4309F">
        <w:t xml:space="preserve"> </w:t>
      </w:r>
      <w:r>
        <w:t xml:space="preserve">with ongoing monitoring </w:t>
      </w:r>
      <w:r w:rsidRPr="00D4309F">
        <w:t>as</w:t>
      </w:r>
      <w:r w:rsidRPr="00D4309F">
        <w:rPr>
          <w:spacing w:val="-2"/>
        </w:rPr>
        <w:t xml:space="preserve"> </w:t>
      </w:r>
      <w:r w:rsidRPr="00D4309F">
        <w:t>the next</w:t>
      </w:r>
      <w:r w:rsidRPr="00D4309F">
        <w:rPr>
          <w:spacing w:val="-2"/>
        </w:rPr>
        <w:t xml:space="preserve"> </w:t>
      </w:r>
      <w:r w:rsidRPr="00D4309F">
        <w:rPr>
          <w:spacing w:val="-4"/>
        </w:rPr>
        <w:t>step</w:t>
      </w:r>
      <w:r>
        <w:rPr>
          <w:spacing w:val="-4"/>
        </w:rPr>
        <w:t>.</w:t>
      </w:r>
    </w:p>
    <w:p w14:paraId="4C04FCCD" w14:textId="77777777" w:rsidR="008C7347" w:rsidRPr="00D4309F" w:rsidRDefault="008C7347" w:rsidP="008C7347">
      <w:pPr>
        <w:pStyle w:val="ListBullet2"/>
      </w:pPr>
      <w:r>
        <w:t>Further develop and detail the Rock excavation of the entrance (Option 2) then re-assess against Option 3</w:t>
      </w:r>
      <w:r w:rsidRPr="008C7347">
        <w:t>.</w:t>
      </w:r>
    </w:p>
    <w:p w14:paraId="76631192" w14:textId="77777777" w:rsidR="008C7347" w:rsidRPr="00D4309F" w:rsidRDefault="008C7347" w:rsidP="008C7347">
      <w:pPr>
        <w:pStyle w:val="ListBullet2"/>
      </w:pPr>
      <w:r w:rsidRPr="00D4309F">
        <w:t>Use</w:t>
      </w:r>
      <w:r w:rsidRPr="008C7347">
        <w:t xml:space="preserve"> </w:t>
      </w:r>
      <w:r w:rsidRPr="00D4309F">
        <w:t>1A</w:t>
      </w:r>
      <w:r w:rsidRPr="008C7347">
        <w:t xml:space="preserve"> </w:t>
      </w:r>
      <w:r w:rsidRPr="00D4309F">
        <w:t>monitoring</w:t>
      </w:r>
      <w:r w:rsidRPr="008C7347">
        <w:t xml:space="preserve"> </w:t>
      </w:r>
      <w:r w:rsidRPr="00D4309F">
        <w:t>results</w:t>
      </w:r>
      <w:r w:rsidRPr="008C7347">
        <w:t xml:space="preserve"> </w:t>
      </w:r>
      <w:r w:rsidRPr="00D4309F">
        <w:t>to</w:t>
      </w:r>
      <w:r w:rsidRPr="008C7347">
        <w:t xml:space="preserve"> </w:t>
      </w:r>
      <w:r w:rsidRPr="00D4309F">
        <w:t>validate</w:t>
      </w:r>
      <w:r w:rsidRPr="008C7347">
        <w:t xml:space="preserve"> </w:t>
      </w:r>
      <w:r w:rsidRPr="00D4309F">
        <w:t>performance</w:t>
      </w:r>
      <w:r w:rsidRPr="008C7347">
        <w:t xml:space="preserve"> </w:t>
      </w:r>
      <w:r w:rsidRPr="00D4309F">
        <w:t>and</w:t>
      </w:r>
      <w:r w:rsidRPr="008C7347">
        <w:t xml:space="preserve"> </w:t>
      </w:r>
      <w:r w:rsidRPr="00D4309F">
        <w:t>inform</w:t>
      </w:r>
      <w:r w:rsidRPr="008C7347">
        <w:t xml:space="preserve"> </w:t>
      </w:r>
      <w:r w:rsidRPr="00D4309F">
        <w:t>future</w:t>
      </w:r>
      <w:r w:rsidRPr="008C7347">
        <w:t xml:space="preserve"> </w:t>
      </w:r>
      <w:r w:rsidRPr="00D4309F">
        <w:t>refinement,</w:t>
      </w:r>
      <w:r w:rsidRPr="008C7347">
        <w:t xml:space="preserve"> </w:t>
      </w:r>
      <w:r w:rsidRPr="00D4309F">
        <w:t>including</w:t>
      </w:r>
      <w:r w:rsidRPr="008C7347">
        <w:t xml:space="preserve"> </w:t>
      </w:r>
      <w:r w:rsidRPr="00D4309F">
        <w:t>potential combinations of measures if required.</w:t>
      </w:r>
    </w:p>
    <w:p w14:paraId="51A60AB8" w14:textId="77777777" w:rsidR="008C7347" w:rsidRPr="00D4309F" w:rsidRDefault="008C7347" w:rsidP="008C7347">
      <w:pPr>
        <w:pStyle w:val="ListBullet2"/>
      </w:pPr>
      <w:r w:rsidRPr="00D4309F">
        <w:t xml:space="preserve">Continue the use of the Western Channel during the 2-year trial period. This will give additional safety measures by providing a known navigational route and reduce the time constraint of addressing the entrance shoal during limited working weather windows. </w:t>
      </w:r>
    </w:p>
    <w:p w14:paraId="69F61845" w14:textId="77777777" w:rsidR="008C7347" w:rsidRDefault="008C7347" w:rsidP="008C7347">
      <w:pPr>
        <w:pStyle w:val="ListBullet2"/>
      </w:pPr>
      <w:r w:rsidRPr="00D4309F">
        <w:t>Re-evaluate</w:t>
      </w:r>
      <w:r w:rsidRPr="008C7347">
        <w:t xml:space="preserve"> </w:t>
      </w:r>
      <w:r w:rsidRPr="00D4309F">
        <w:t>options</w:t>
      </w:r>
      <w:r w:rsidRPr="008C7347">
        <w:t xml:space="preserve"> </w:t>
      </w:r>
      <w:r w:rsidRPr="00D4309F">
        <w:t>3</w:t>
      </w:r>
      <w:r w:rsidRPr="008C7347">
        <w:t xml:space="preserve"> </w:t>
      </w:r>
      <w:r w:rsidRPr="00D4309F">
        <w:t>vs.</w:t>
      </w:r>
      <w:r w:rsidRPr="008C7347">
        <w:t xml:space="preserve"> </w:t>
      </w:r>
      <w:r w:rsidRPr="00D4309F">
        <w:t>2</w:t>
      </w:r>
      <w:r w:rsidRPr="008C7347">
        <w:t xml:space="preserve"> </w:t>
      </w:r>
      <w:r w:rsidRPr="00D4309F">
        <w:t>once</w:t>
      </w:r>
      <w:r w:rsidRPr="008C7347">
        <w:t xml:space="preserve"> </w:t>
      </w:r>
      <w:r w:rsidRPr="00D4309F">
        <w:t>further</w:t>
      </w:r>
      <w:r w:rsidRPr="008C7347">
        <w:t xml:space="preserve"> detailed.</w:t>
      </w:r>
    </w:p>
    <w:p w14:paraId="041A2587" w14:textId="77777777" w:rsidR="00FB4A81" w:rsidRPr="00D4309F" w:rsidRDefault="00FB4A81" w:rsidP="00FB4A81">
      <w:pPr>
        <w:pStyle w:val="BodyText"/>
      </w:pPr>
      <w:r w:rsidRPr="00D4309F">
        <w:t>This</w:t>
      </w:r>
      <w:r w:rsidRPr="00FB4A81">
        <w:t xml:space="preserve"> </w:t>
      </w:r>
      <w:r w:rsidRPr="00D4309F">
        <w:t>staged</w:t>
      </w:r>
      <w:r w:rsidRPr="00FB4A81">
        <w:t xml:space="preserve"> </w:t>
      </w:r>
      <w:r w:rsidRPr="00D4309F">
        <w:t>approach</w:t>
      </w:r>
      <w:r w:rsidRPr="00FB4A81">
        <w:t xml:space="preserve"> </w:t>
      </w:r>
      <w:r w:rsidRPr="00D4309F">
        <w:t>enables</w:t>
      </w:r>
      <w:r w:rsidRPr="00FB4A81">
        <w:t xml:space="preserve"> </w:t>
      </w:r>
      <w:r w:rsidRPr="00D4309F">
        <w:t>early</w:t>
      </w:r>
      <w:r w:rsidRPr="00FB4A81">
        <w:t xml:space="preserve"> </w:t>
      </w:r>
      <w:r w:rsidRPr="00D4309F">
        <w:t>action</w:t>
      </w:r>
      <w:r w:rsidRPr="00FB4A81">
        <w:t xml:space="preserve"> </w:t>
      </w:r>
      <w:r w:rsidRPr="00D4309F">
        <w:t>through</w:t>
      </w:r>
      <w:r w:rsidRPr="00FB4A81">
        <w:t xml:space="preserve"> </w:t>
      </w:r>
      <w:r w:rsidRPr="00D4309F">
        <w:t>a</w:t>
      </w:r>
      <w:r w:rsidRPr="00FB4A81">
        <w:t xml:space="preserve"> </w:t>
      </w:r>
      <w:r w:rsidRPr="00D4309F">
        <w:t>soft</w:t>
      </w:r>
      <w:r w:rsidRPr="00FB4A81">
        <w:t xml:space="preserve"> </w:t>
      </w:r>
      <w:r w:rsidRPr="00D4309F">
        <w:t>solution,</w:t>
      </w:r>
      <w:r w:rsidRPr="00FB4A81">
        <w:t xml:space="preserve"> </w:t>
      </w:r>
      <w:r w:rsidRPr="00D4309F">
        <w:t>supports</w:t>
      </w:r>
      <w:r w:rsidRPr="00FB4A81">
        <w:t xml:space="preserve"> </w:t>
      </w:r>
      <w:r w:rsidRPr="00D4309F">
        <w:t>data-driven</w:t>
      </w:r>
      <w:r w:rsidRPr="00FB4A81">
        <w:t xml:space="preserve"> </w:t>
      </w:r>
      <w:r w:rsidRPr="00D4309F">
        <w:t>decision</w:t>
      </w:r>
      <w:r w:rsidRPr="00FB4A81">
        <w:t xml:space="preserve"> </w:t>
      </w:r>
      <w:r w:rsidRPr="00D4309F">
        <w:t>making, and maintains flexibility for future upgrades if needed.</w:t>
      </w:r>
    </w:p>
    <w:p w14:paraId="2AEC5675" w14:textId="77777777" w:rsidR="000D6F6B" w:rsidRPr="00D4309F" w:rsidRDefault="000D6F6B" w:rsidP="00FB4A81">
      <w:pPr>
        <w:pStyle w:val="ListBullet"/>
        <w:numPr>
          <w:ilvl w:val="0"/>
          <w:numId w:val="0"/>
        </w:numPr>
        <w:ind w:left="425"/>
      </w:pPr>
    </w:p>
    <w:p w14:paraId="4149CD9F" w14:textId="2F501918" w:rsidR="00725977" w:rsidRPr="00D4309F" w:rsidRDefault="00725977" w:rsidP="00CE24AD">
      <w:pPr>
        <w:pStyle w:val="ListBullet2"/>
        <w:numPr>
          <w:ilvl w:val="0"/>
          <w:numId w:val="0"/>
        </w:numPr>
        <w:ind w:left="850"/>
        <w:sectPr w:rsidR="00725977" w:rsidRPr="00D4309F" w:rsidSect="00A8441C">
          <w:headerReference w:type="default" r:id="rId36"/>
          <w:footerReference w:type="default" r:id="rId37"/>
          <w:pgSz w:w="11910" w:h="16840"/>
          <w:pgMar w:top="1418" w:right="1134" w:bottom="1418" w:left="1134" w:header="916" w:footer="1147" w:gutter="0"/>
          <w:cols w:space="720"/>
          <w:docGrid w:linePitch="299"/>
        </w:sectPr>
      </w:pPr>
      <w:r w:rsidRPr="00D4309F">
        <w:rPr>
          <w:spacing w:val="-2"/>
        </w:rPr>
        <w:t xml:space="preserve">. </w:t>
      </w:r>
    </w:p>
    <w:p w14:paraId="4762136B" w14:textId="77777777" w:rsidR="00725977" w:rsidRPr="00D4309F" w:rsidRDefault="00725977" w:rsidP="00A9045E">
      <w:pPr>
        <w:pStyle w:val="Heading1"/>
      </w:pPr>
      <w:bookmarkStart w:id="10" w:name="_bookmark0"/>
      <w:bookmarkStart w:id="11" w:name="_Toc216699291"/>
      <w:bookmarkEnd w:id="10"/>
      <w:r w:rsidRPr="00D4309F">
        <w:lastRenderedPageBreak/>
        <w:t>INTRODUCTION</w:t>
      </w:r>
      <w:bookmarkEnd w:id="11"/>
    </w:p>
    <w:p w14:paraId="188FD4BA" w14:textId="77777777" w:rsidR="00725977" w:rsidRPr="00D4309F" w:rsidRDefault="00725977" w:rsidP="00A9045E">
      <w:pPr>
        <w:pStyle w:val="Heading2"/>
      </w:pPr>
      <w:bookmarkStart w:id="12" w:name="_bookmark1"/>
      <w:bookmarkStart w:id="13" w:name="_Toc216699292"/>
      <w:bookmarkEnd w:id="12"/>
      <w:r w:rsidRPr="00D4309F">
        <w:t>Background</w:t>
      </w:r>
      <w:bookmarkEnd w:id="13"/>
    </w:p>
    <w:p w14:paraId="60E0A9C7" w14:textId="23F5CAAF" w:rsidR="00725977" w:rsidRPr="00D4309F" w:rsidRDefault="00725977" w:rsidP="00725977">
      <w:pPr>
        <w:pStyle w:val="BodyText"/>
      </w:pPr>
      <w:r w:rsidRPr="00D4309F">
        <w:t>The Mooloolaba harbour and entrance training walls were built in the late 1960's. Since that time, sand shoaling events have occurred periodically in the entrance channel causing marine safety and accessibility issues. Maintaining a safe navigable entrance to the Mooloolaba Boat Harbour at all times is crucial for all boaties. The Queensland Government, through Maritime Safety Queensland (MSQ) aims to maintain the boat</w:t>
      </w:r>
      <w:r w:rsidRPr="00D4309F">
        <w:rPr>
          <w:spacing w:val="-5"/>
        </w:rPr>
        <w:t xml:space="preserve"> </w:t>
      </w:r>
      <w:r w:rsidRPr="00D4309F">
        <w:t>harbour</w:t>
      </w:r>
      <w:r w:rsidRPr="00D4309F">
        <w:rPr>
          <w:spacing w:val="-4"/>
        </w:rPr>
        <w:t xml:space="preserve"> </w:t>
      </w:r>
      <w:r w:rsidRPr="00D4309F">
        <w:t>entrance</w:t>
      </w:r>
      <w:r w:rsidRPr="00D4309F">
        <w:rPr>
          <w:spacing w:val="-4"/>
        </w:rPr>
        <w:t xml:space="preserve"> </w:t>
      </w:r>
      <w:r w:rsidRPr="00D4309F">
        <w:t>clear</w:t>
      </w:r>
      <w:r w:rsidRPr="00D4309F">
        <w:rPr>
          <w:spacing w:val="-2"/>
        </w:rPr>
        <w:t xml:space="preserve"> </w:t>
      </w:r>
      <w:r w:rsidRPr="00D4309F">
        <w:t>to</w:t>
      </w:r>
      <w:r w:rsidRPr="00D4309F">
        <w:rPr>
          <w:spacing w:val="-3"/>
        </w:rPr>
        <w:t xml:space="preserve"> </w:t>
      </w:r>
      <w:r w:rsidRPr="00D4309F">
        <w:t>a</w:t>
      </w:r>
      <w:r w:rsidRPr="00D4309F">
        <w:rPr>
          <w:spacing w:val="-3"/>
        </w:rPr>
        <w:t xml:space="preserve"> </w:t>
      </w:r>
      <w:r w:rsidRPr="00D4309F">
        <w:t>design</w:t>
      </w:r>
      <w:r w:rsidRPr="00D4309F">
        <w:rPr>
          <w:spacing w:val="-3"/>
        </w:rPr>
        <w:t xml:space="preserve"> </w:t>
      </w:r>
      <w:r w:rsidRPr="00D4309F">
        <w:t>depth</w:t>
      </w:r>
      <w:r w:rsidRPr="00D4309F">
        <w:rPr>
          <w:spacing w:val="-3"/>
        </w:rPr>
        <w:t xml:space="preserve"> </w:t>
      </w:r>
      <w:r w:rsidRPr="00D4309F">
        <w:t>of</w:t>
      </w:r>
      <w:r w:rsidRPr="00D4309F">
        <w:rPr>
          <w:spacing w:val="-3"/>
        </w:rPr>
        <w:t xml:space="preserve"> </w:t>
      </w:r>
      <w:r w:rsidRPr="00D4309F">
        <w:t>at</w:t>
      </w:r>
      <w:r w:rsidRPr="00D4309F">
        <w:rPr>
          <w:spacing w:val="-3"/>
        </w:rPr>
        <w:t xml:space="preserve"> </w:t>
      </w:r>
      <w:r w:rsidRPr="00D4309F">
        <w:t>least</w:t>
      </w:r>
      <w:r w:rsidRPr="00D4309F">
        <w:rPr>
          <w:spacing w:val="-5"/>
        </w:rPr>
        <w:t xml:space="preserve"> </w:t>
      </w:r>
      <w:r w:rsidRPr="00D4309F">
        <w:t>-2.5</w:t>
      </w:r>
      <w:r w:rsidR="00710288">
        <w:t> </w:t>
      </w:r>
      <w:r w:rsidRPr="00D4309F">
        <w:t>m</w:t>
      </w:r>
      <w:r w:rsidRPr="00D4309F">
        <w:rPr>
          <w:spacing w:val="-3"/>
        </w:rPr>
        <w:t xml:space="preserve"> </w:t>
      </w:r>
      <w:r w:rsidRPr="00D4309F">
        <w:t>Lowest</w:t>
      </w:r>
      <w:r w:rsidRPr="00D4309F">
        <w:rPr>
          <w:spacing w:val="-3"/>
        </w:rPr>
        <w:t xml:space="preserve"> </w:t>
      </w:r>
      <w:r w:rsidRPr="00D4309F">
        <w:t>Astronomical</w:t>
      </w:r>
      <w:r w:rsidRPr="00D4309F">
        <w:rPr>
          <w:spacing w:val="-3"/>
        </w:rPr>
        <w:t xml:space="preserve"> </w:t>
      </w:r>
      <w:r w:rsidRPr="00D4309F">
        <w:t>Tide</w:t>
      </w:r>
      <w:r w:rsidRPr="00D4309F">
        <w:rPr>
          <w:spacing w:val="-3"/>
        </w:rPr>
        <w:t xml:space="preserve"> </w:t>
      </w:r>
      <w:r w:rsidRPr="00D4309F">
        <w:t>(LAT)</w:t>
      </w:r>
      <w:r w:rsidRPr="00D4309F">
        <w:rPr>
          <w:spacing w:val="-3"/>
        </w:rPr>
        <w:t xml:space="preserve"> </w:t>
      </w:r>
      <w:r w:rsidRPr="00D4309F">
        <w:t>at</w:t>
      </w:r>
      <w:r w:rsidRPr="00D4309F">
        <w:rPr>
          <w:spacing w:val="-3"/>
        </w:rPr>
        <w:t xml:space="preserve"> </w:t>
      </w:r>
      <w:r w:rsidRPr="00D4309F">
        <w:t>all</w:t>
      </w:r>
      <w:r w:rsidRPr="00D4309F">
        <w:rPr>
          <w:spacing w:val="-2"/>
        </w:rPr>
        <w:t xml:space="preserve"> times.</w:t>
      </w:r>
    </w:p>
    <w:p w14:paraId="25DE18B4" w14:textId="3FD0AABB" w:rsidR="00725977" w:rsidRPr="00D4309F" w:rsidRDefault="00725977" w:rsidP="00725977">
      <w:pPr>
        <w:pStyle w:val="BodyText"/>
      </w:pPr>
      <w:r w:rsidRPr="00D4309F">
        <w:t>In</w:t>
      </w:r>
      <w:r w:rsidRPr="00D4309F">
        <w:rPr>
          <w:spacing w:val="-3"/>
        </w:rPr>
        <w:t xml:space="preserve"> </w:t>
      </w:r>
      <w:r w:rsidRPr="00D4309F">
        <w:t>the</w:t>
      </w:r>
      <w:r w:rsidRPr="00D4309F">
        <w:rPr>
          <w:spacing w:val="-3"/>
        </w:rPr>
        <w:t xml:space="preserve"> </w:t>
      </w:r>
      <w:r w:rsidRPr="00D4309F">
        <w:t>past,</w:t>
      </w:r>
      <w:r w:rsidRPr="00D4309F">
        <w:rPr>
          <w:spacing w:val="-3"/>
        </w:rPr>
        <w:t xml:space="preserve"> </w:t>
      </w:r>
      <w:r w:rsidRPr="00D4309F">
        <w:t>shoaling</w:t>
      </w:r>
      <w:r w:rsidRPr="00D4309F">
        <w:rPr>
          <w:spacing w:val="-3"/>
        </w:rPr>
        <w:t xml:space="preserve"> </w:t>
      </w:r>
      <w:r w:rsidRPr="00D4309F">
        <w:t>events</w:t>
      </w:r>
      <w:r w:rsidRPr="00D4309F">
        <w:rPr>
          <w:spacing w:val="-2"/>
        </w:rPr>
        <w:t xml:space="preserve"> </w:t>
      </w:r>
      <w:r w:rsidRPr="00D4309F">
        <w:t>were</w:t>
      </w:r>
      <w:r w:rsidRPr="00D4309F">
        <w:rPr>
          <w:spacing w:val="-3"/>
        </w:rPr>
        <w:t xml:space="preserve"> </w:t>
      </w:r>
      <w:r w:rsidRPr="00D4309F">
        <w:t>infrequent,</w:t>
      </w:r>
      <w:r w:rsidRPr="00D4309F">
        <w:rPr>
          <w:spacing w:val="-3"/>
        </w:rPr>
        <w:t xml:space="preserve"> </w:t>
      </w:r>
      <w:r w:rsidRPr="00D4309F">
        <w:t>occurring</w:t>
      </w:r>
      <w:r w:rsidRPr="00D4309F">
        <w:rPr>
          <w:spacing w:val="-3"/>
        </w:rPr>
        <w:t xml:space="preserve"> </w:t>
      </w:r>
      <w:r w:rsidRPr="00D4309F">
        <w:t>every</w:t>
      </w:r>
      <w:r w:rsidRPr="00D4309F">
        <w:rPr>
          <w:spacing w:val="-2"/>
        </w:rPr>
        <w:t xml:space="preserve"> </w:t>
      </w:r>
      <w:r w:rsidRPr="00D4309F">
        <w:t>few</w:t>
      </w:r>
      <w:r w:rsidRPr="00D4309F">
        <w:rPr>
          <w:spacing w:val="-2"/>
        </w:rPr>
        <w:t xml:space="preserve"> </w:t>
      </w:r>
      <w:r w:rsidRPr="00D4309F">
        <w:t>years,</w:t>
      </w:r>
      <w:r w:rsidRPr="00D4309F">
        <w:rPr>
          <w:spacing w:val="-3"/>
        </w:rPr>
        <w:t xml:space="preserve"> </w:t>
      </w:r>
      <w:r w:rsidRPr="00D4309F">
        <w:t>with</w:t>
      </w:r>
      <w:r w:rsidRPr="00D4309F">
        <w:rPr>
          <w:spacing w:val="-3"/>
        </w:rPr>
        <w:t xml:space="preserve"> </w:t>
      </w:r>
      <w:r w:rsidRPr="00D4309F">
        <w:t>intervals</w:t>
      </w:r>
      <w:r w:rsidRPr="00D4309F">
        <w:rPr>
          <w:spacing w:val="-2"/>
        </w:rPr>
        <w:t xml:space="preserve"> </w:t>
      </w:r>
      <w:r w:rsidRPr="00D4309F">
        <w:t>of</w:t>
      </w:r>
      <w:r w:rsidRPr="00D4309F">
        <w:rPr>
          <w:spacing w:val="-3"/>
        </w:rPr>
        <w:t xml:space="preserve"> </w:t>
      </w:r>
      <w:r w:rsidRPr="00D4309F">
        <w:t xml:space="preserve">3 </w:t>
      </w:r>
      <w:r w:rsidR="00710288">
        <w:t>–</w:t>
      </w:r>
      <w:r w:rsidRPr="00D4309F">
        <w:t xml:space="preserve"> 5</w:t>
      </w:r>
      <w:r w:rsidRPr="00D4309F">
        <w:rPr>
          <w:spacing w:val="-4"/>
        </w:rPr>
        <w:t xml:space="preserve"> </w:t>
      </w:r>
      <w:r w:rsidRPr="00D4309F">
        <w:t>years</w:t>
      </w:r>
      <w:r w:rsidRPr="00D4309F">
        <w:rPr>
          <w:spacing w:val="-2"/>
        </w:rPr>
        <w:t xml:space="preserve"> </w:t>
      </w:r>
      <w:r w:rsidRPr="00D4309F">
        <w:t>or</w:t>
      </w:r>
      <w:r w:rsidRPr="00D4309F">
        <w:rPr>
          <w:spacing w:val="-2"/>
        </w:rPr>
        <w:t xml:space="preserve"> </w:t>
      </w:r>
      <w:r w:rsidRPr="00D4309F">
        <w:t>longer. However, in the last 15 years shoaling events have become more frequent and major shoaling events in 2011</w:t>
      </w:r>
      <w:r w:rsidR="00710288">
        <w:t>–</w:t>
      </w:r>
      <w:r w:rsidRPr="00D4309F">
        <w:t>12 and 2022 have required continuous dredging for long periods and had a significant impact on navigational access.</w:t>
      </w:r>
    </w:p>
    <w:p w14:paraId="546669F6" w14:textId="77777777" w:rsidR="00725977" w:rsidRPr="00D4309F" w:rsidRDefault="00725977" w:rsidP="00725977">
      <w:pPr>
        <w:pStyle w:val="BodyText"/>
      </w:pPr>
      <w:r w:rsidRPr="00D4309F">
        <w:t>MSQ</w:t>
      </w:r>
      <w:r w:rsidRPr="00D4309F">
        <w:rPr>
          <w:spacing w:val="-3"/>
        </w:rPr>
        <w:t xml:space="preserve"> </w:t>
      </w:r>
      <w:r w:rsidRPr="00D4309F">
        <w:t>has</w:t>
      </w:r>
      <w:r w:rsidRPr="00D4309F">
        <w:rPr>
          <w:spacing w:val="-2"/>
        </w:rPr>
        <w:t xml:space="preserve"> </w:t>
      </w:r>
      <w:r w:rsidRPr="00D4309F">
        <w:t>undertaken</w:t>
      </w:r>
      <w:r w:rsidRPr="00D4309F">
        <w:rPr>
          <w:spacing w:val="-3"/>
        </w:rPr>
        <w:t xml:space="preserve"> </w:t>
      </w:r>
      <w:r w:rsidRPr="00D4309F">
        <w:t>a</w:t>
      </w:r>
      <w:r w:rsidRPr="00D4309F">
        <w:rPr>
          <w:spacing w:val="-3"/>
        </w:rPr>
        <w:t xml:space="preserve"> </w:t>
      </w:r>
      <w:r w:rsidRPr="00D4309F">
        <w:t>range</w:t>
      </w:r>
      <w:r w:rsidRPr="00D4309F">
        <w:rPr>
          <w:spacing w:val="-3"/>
        </w:rPr>
        <w:t xml:space="preserve"> </w:t>
      </w:r>
      <w:r w:rsidRPr="00D4309F">
        <w:t>of</w:t>
      </w:r>
      <w:r w:rsidRPr="00D4309F">
        <w:rPr>
          <w:spacing w:val="-3"/>
        </w:rPr>
        <w:t xml:space="preserve"> </w:t>
      </w:r>
      <w:r w:rsidRPr="00D4309F">
        <w:t>activities</w:t>
      </w:r>
      <w:r w:rsidRPr="00D4309F">
        <w:rPr>
          <w:spacing w:val="-2"/>
        </w:rPr>
        <w:t xml:space="preserve"> </w:t>
      </w:r>
      <w:r w:rsidRPr="00D4309F">
        <w:t>to</w:t>
      </w:r>
      <w:r w:rsidRPr="00D4309F">
        <w:rPr>
          <w:spacing w:val="-3"/>
        </w:rPr>
        <w:t xml:space="preserve"> </w:t>
      </w:r>
      <w:r w:rsidRPr="00D4309F">
        <w:t>address</w:t>
      </w:r>
      <w:r w:rsidRPr="00D4309F">
        <w:rPr>
          <w:spacing w:val="-2"/>
        </w:rPr>
        <w:t xml:space="preserve"> </w:t>
      </w:r>
      <w:r w:rsidRPr="00D4309F">
        <w:t>the</w:t>
      </w:r>
      <w:r w:rsidRPr="00D4309F">
        <w:rPr>
          <w:spacing w:val="-3"/>
        </w:rPr>
        <w:t xml:space="preserve"> </w:t>
      </w:r>
      <w:r w:rsidRPr="00D4309F">
        <w:t>shoaling,</w:t>
      </w:r>
      <w:r w:rsidRPr="00D4309F">
        <w:rPr>
          <w:spacing w:val="-3"/>
        </w:rPr>
        <w:t xml:space="preserve"> </w:t>
      </w:r>
      <w:r w:rsidRPr="00D4309F">
        <w:t>including</w:t>
      </w:r>
      <w:r w:rsidRPr="00D4309F">
        <w:rPr>
          <w:spacing w:val="-3"/>
        </w:rPr>
        <w:t xml:space="preserve"> </w:t>
      </w:r>
      <w:r w:rsidRPr="00D4309F">
        <w:t>the</w:t>
      </w:r>
      <w:r w:rsidRPr="00D4309F">
        <w:rPr>
          <w:spacing w:val="-3"/>
        </w:rPr>
        <w:t xml:space="preserve"> </w:t>
      </w:r>
      <w:r w:rsidRPr="00D4309F">
        <w:t>formation</w:t>
      </w:r>
      <w:r w:rsidRPr="00D4309F">
        <w:rPr>
          <w:spacing w:val="-3"/>
        </w:rPr>
        <w:t xml:space="preserve"> </w:t>
      </w:r>
      <w:r w:rsidRPr="00D4309F">
        <w:t>of</w:t>
      </w:r>
      <w:r w:rsidRPr="00D4309F">
        <w:rPr>
          <w:spacing w:val="-3"/>
        </w:rPr>
        <w:t xml:space="preserve"> </w:t>
      </w:r>
      <w:r w:rsidRPr="00D4309F">
        <w:t>a</w:t>
      </w:r>
      <w:r w:rsidRPr="00D4309F">
        <w:rPr>
          <w:spacing w:val="-3"/>
        </w:rPr>
        <w:t xml:space="preserve"> </w:t>
      </w:r>
      <w:r w:rsidRPr="00D4309F">
        <w:t>Stakeholder Reference Group, a maintenance trial, a rock-level mapping survey and a range of investigations.</w:t>
      </w:r>
    </w:p>
    <w:p w14:paraId="1E0B6761" w14:textId="6C8B9DE7" w:rsidR="00E047C7" w:rsidRPr="00D4309F" w:rsidRDefault="00725977" w:rsidP="00725977">
      <w:pPr>
        <w:pStyle w:val="BodyText"/>
      </w:pPr>
      <w:r w:rsidRPr="00D4309F">
        <w:t>Due to unpredictable weather and swell conditions, dredging activities to clear sand shoals from the navigational</w:t>
      </w:r>
      <w:r w:rsidRPr="00D4309F">
        <w:rPr>
          <w:spacing w:val="-4"/>
        </w:rPr>
        <w:t xml:space="preserve"> </w:t>
      </w:r>
      <w:r w:rsidRPr="00D4309F">
        <w:t>entrance</w:t>
      </w:r>
      <w:r w:rsidRPr="00D4309F">
        <w:rPr>
          <w:spacing w:val="-4"/>
        </w:rPr>
        <w:t xml:space="preserve"> </w:t>
      </w:r>
      <w:r w:rsidRPr="00D4309F">
        <w:t>channel</w:t>
      </w:r>
      <w:r w:rsidRPr="00D4309F">
        <w:rPr>
          <w:spacing w:val="-3"/>
        </w:rPr>
        <w:t xml:space="preserve"> </w:t>
      </w:r>
      <w:r w:rsidRPr="00D4309F">
        <w:t>are</w:t>
      </w:r>
      <w:r w:rsidRPr="00D4309F">
        <w:rPr>
          <w:spacing w:val="-3"/>
        </w:rPr>
        <w:t xml:space="preserve"> </w:t>
      </w:r>
      <w:r w:rsidRPr="00D4309F">
        <w:t>not</w:t>
      </w:r>
      <w:r w:rsidRPr="00D4309F">
        <w:rPr>
          <w:spacing w:val="-3"/>
        </w:rPr>
        <w:t xml:space="preserve"> </w:t>
      </w:r>
      <w:r w:rsidRPr="00D4309F">
        <w:t>always</w:t>
      </w:r>
      <w:r w:rsidRPr="00D4309F">
        <w:rPr>
          <w:spacing w:val="-2"/>
        </w:rPr>
        <w:t xml:space="preserve"> </w:t>
      </w:r>
      <w:r w:rsidRPr="00D4309F">
        <w:t>immediately</w:t>
      </w:r>
      <w:r w:rsidRPr="00D4309F">
        <w:rPr>
          <w:spacing w:val="-2"/>
        </w:rPr>
        <w:t xml:space="preserve"> </w:t>
      </w:r>
      <w:r w:rsidRPr="00D4309F">
        <w:t>possible</w:t>
      </w:r>
      <w:r w:rsidRPr="00D4309F">
        <w:rPr>
          <w:spacing w:val="-4"/>
        </w:rPr>
        <w:t xml:space="preserve"> </w:t>
      </w:r>
      <w:r w:rsidRPr="00D4309F">
        <w:t>and</w:t>
      </w:r>
      <w:r w:rsidRPr="00D4309F">
        <w:rPr>
          <w:spacing w:val="-3"/>
        </w:rPr>
        <w:t xml:space="preserve"> </w:t>
      </w:r>
      <w:r w:rsidRPr="00D4309F">
        <w:t>a</w:t>
      </w:r>
      <w:r w:rsidRPr="00D4309F">
        <w:rPr>
          <w:spacing w:val="-3"/>
        </w:rPr>
        <w:t xml:space="preserve"> </w:t>
      </w:r>
      <w:r w:rsidRPr="00D4309F">
        <w:t>long-term</w:t>
      </w:r>
      <w:r w:rsidRPr="00D4309F">
        <w:rPr>
          <w:spacing w:val="-3"/>
        </w:rPr>
        <w:t xml:space="preserve"> </w:t>
      </w:r>
      <w:r w:rsidRPr="00D4309F">
        <w:t>solution</w:t>
      </w:r>
      <w:r w:rsidRPr="00D4309F">
        <w:rPr>
          <w:spacing w:val="-3"/>
        </w:rPr>
        <w:t xml:space="preserve"> </w:t>
      </w:r>
      <w:r w:rsidRPr="00D4309F">
        <w:t>is</w:t>
      </w:r>
      <w:r w:rsidRPr="00D4309F">
        <w:rPr>
          <w:spacing w:val="-3"/>
        </w:rPr>
        <w:t xml:space="preserve"> </w:t>
      </w:r>
      <w:r w:rsidRPr="00D4309F">
        <w:t>required</w:t>
      </w:r>
      <w:r w:rsidRPr="00D4309F">
        <w:rPr>
          <w:spacing w:val="-3"/>
        </w:rPr>
        <w:t xml:space="preserve"> </w:t>
      </w:r>
      <w:r w:rsidRPr="00D4309F">
        <w:t>to minimise the impact of these shoaling events.</w:t>
      </w:r>
    </w:p>
    <w:p w14:paraId="1507C5BF" w14:textId="77777777" w:rsidR="00725977" w:rsidRPr="00D4309F" w:rsidRDefault="00725977" w:rsidP="00A9045E">
      <w:pPr>
        <w:pStyle w:val="Heading2"/>
      </w:pPr>
      <w:bookmarkStart w:id="14" w:name="_bookmark2"/>
      <w:bookmarkStart w:id="15" w:name="_Toc216699293"/>
      <w:bookmarkEnd w:id="14"/>
      <w:r w:rsidRPr="00D4309F">
        <w:t>Current</w:t>
      </w:r>
      <w:r w:rsidRPr="00D4309F">
        <w:rPr>
          <w:spacing w:val="-14"/>
        </w:rPr>
        <w:t xml:space="preserve"> </w:t>
      </w:r>
      <w:r w:rsidRPr="00D4309F">
        <w:t>situation</w:t>
      </w:r>
      <w:bookmarkEnd w:id="15"/>
    </w:p>
    <w:p w14:paraId="6639F1CC" w14:textId="5FD57741" w:rsidR="00725977" w:rsidRPr="00D4309F" w:rsidRDefault="00725977" w:rsidP="00725977">
      <w:pPr>
        <w:pStyle w:val="BodyText"/>
      </w:pPr>
      <w:r w:rsidRPr="00D4309F">
        <w:t>The Mooloolaba entrance eastern channel has been affected by a recent shoal patch, which extends from the</w:t>
      </w:r>
      <w:r w:rsidRPr="00D4309F">
        <w:rPr>
          <w:spacing w:val="-2"/>
        </w:rPr>
        <w:t xml:space="preserve"> </w:t>
      </w:r>
      <w:r w:rsidRPr="00D4309F">
        <w:t>end</w:t>
      </w:r>
      <w:r w:rsidRPr="00D4309F">
        <w:rPr>
          <w:spacing w:val="-2"/>
        </w:rPr>
        <w:t xml:space="preserve"> </w:t>
      </w:r>
      <w:r w:rsidRPr="00D4309F">
        <w:t>of</w:t>
      </w:r>
      <w:r w:rsidRPr="00D4309F">
        <w:rPr>
          <w:spacing w:val="-2"/>
        </w:rPr>
        <w:t xml:space="preserve"> </w:t>
      </w:r>
      <w:r w:rsidRPr="00D4309F">
        <w:t>the</w:t>
      </w:r>
      <w:r w:rsidRPr="00D4309F">
        <w:rPr>
          <w:spacing w:val="-3"/>
        </w:rPr>
        <w:t xml:space="preserve"> </w:t>
      </w:r>
      <w:r w:rsidRPr="00D4309F">
        <w:t>eastern</w:t>
      </w:r>
      <w:r w:rsidRPr="00D4309F">
        <w:rPr>
          <w:spacing w:val="-2"/>
        </w:rPr>
        <w:t xml:space="preserve"> </w:t>
      </w:r>
      <w:r w:rsidRPr="00D4309F">
        <w:t>breakwater</w:t>
      </w:r>
      <w:r w:rsidRPr="00D4309F">
        <w:rPr>
          <w:spacing w:val="-1"/>
        </w:rPr>
        <w:t xml:space="preserve"> </w:t>
      </w:r>
      <w:r w:rsidRPr="00D4309F">
        <w:t>across</w:t>
      </w:r>
      <w:r w:rsidRPr="00D4309F">
        <w:rPr>
          <w:spacing w:val="-1"/>
        </w:rPr>
        <w:t xml:space="preserve"> </w:t>
      </w:r>
      <w:r w:rsidRPr="00D4309F">
        <w:t>the</w:t>
      </w:r>
      <w:r w:rsidRPr="00D4309F">
        <w:rPr>
          <w:spacing w:val="-2"/>
        </w:rPr>
        <w:t xml:space="preserve"> </w:t>
      </w:r>
      <w:r w:rsidRPr="00D4309F">
        <w:t>channel,</w:t>
      </w:r>
      <w:r w:rsidRPr="00D4309F">
        <w:rPr>
          <w:spacing w:val="-2"/>
        </w:rPr>
        <w:t xml:space="preserve"> </w:t>
      </w:r>
      <w:r w:rsidRPr="00D4309F">
        <w:t>reducing</w:t>
      </w:r>
      <w:r w:rsidRPr="00D4309F">
        <w:rPr>
          <w:spacing w:val="-2"/>
        </w:rPr>
        <w:t xml:space="preserve"> </w:t>
      </w:r>
      <w:r w:rsidRPr="00D4309F">
        <w:t>depths</w:t>
      </w:r>
      <w:r w:rsidRPr="00D4309F">
        <w:rPr>
          <w:spacing w:val="-1"/>
        </w:rPr>
        <w:t xml:space="preserve"> </w:t>
      </w:r>
      <w:r w:rsidRPr="00D4309F">
        <w:t>to</w:t>
      </w:r>
      <w:r w:rsidRPr="00D4309F">
        <w:rPr>
          <w:spacing w:val="-2"/>
        </w:rPr>
        <w:t xml:space="preserve"> </w:t>
      </w:r>
      <w:r w:rsidRPr="00D4309F">
        <w:t>as</w:t>
      </w:r>
      <w:r w:rsidRPr="00D4309F">
        <w:rPr>
          <w:spacing w:val="-1"/>
        </w:rPr>
        <w:t xml:space="preserve"> </w:t>
      </w:r>
      <w:r w:rsidRPr="00D4309F">
        <w:t>little</w:t>
      </w:r>
      <w:r w:rsidRPr="00D4309F">
        <w:rPr>
          <w:spacing w:val="-2"/>
        </w:rPr>
        <w:t xml:space="preserve"> </w:t>
      </w:r>
      <w:r w:rsidRPr="00D4309F">
        <w:t>as</w:t>
      </w:r>
      <w:r w:rsidRPr="00D4309F">
        <w:rPr>
          <w:spacing w:val="-1"/>
        </w:rPr>
        <w:t xml:space="preserve"> </w:t>
      </w:r>
      <w:r w:rsidRPr="00D4309F">
        <w:t>1.9</w:t>
      </w:r>
      <w:r w:rsidRPr="00D4309F">
        <w:rPr>
          <w:spacing w:val="-2"/>
        </w:rPr>
        <w:t xml:space="preserve"> </w:t>
      </w:r>
      <w:r w:rsidRPr="00D4309F">
        <w:t>to</w:t>
      </w:r>
      <w:r w:rsidRPr="00D4309F">
        <w:rPr>
          <w:spacing w:val="-2"/>
        </w:rPr>
        <w:t xml:space="preserve"> </w:t>
      </w:r>
      <w:r w:rsidRPr="00D4309F">
        <w:t>2.3</w:t>
      </w:r>
      <w:r w:rsidR="00710288">
        <w:rPr>
          <w:spacing w:val="-2"/>
        </w:rPr>
        <w:t> </w:t>
      </w:r>
      <w:r w:rsidRPr="00D4309F">
        <w:t>m</w:t>
      </w:r>
      <w:r w:rsidRPr="00D4309F">
        <w:rPr>
          <w:spacing w:val="-2"/>
        </w:rPr>
        <w:t xml:space="preserve"> </w:t>
      </w:r>
      <w:r w:rsidRPr="00D4309F">
        <w:t>LAT as of September 2025.</w:t>
      </w:r>
    </w:p>
    <w:p w14:paraId="57FE0EE7" w14:textId="77777777" w:rsidR="00725977" w:rsidRPr="00D4309F" w:rsidRDefault="00725977" w:rsidP="00725977">
      <w:pPr>
        <w:pStyle w:val="BodyText"/>
      </w:pPr>
      <w:r w:rsidRPr="00D4309F">
        <w:t>Mariners</w:t>
      </w:r>
      <w:r w:rsidRPr="00D4309F">
        <w:rPr>
          <w:spacing w:val="-2"/>
        </w:rPr>
        <w:t xml:space="preserve"> </w:t>
      </w:r>
      <w:r w:rsidRPr="00D4309F">
        <w:t>have</w:t>
      </w:r>
      <w:r w:rsidRPr="00D4309F">
        <w:rPr>
          <w:spacing w:val="-3"/>
        </w:rPr>
        <w:t xml:space="preserve"> </w:t>
      </w:r>
      <w:r w:rsidRPr="00D4309F">
        <w:t>been</w:t>
      </w:r>
      <w:r w:rsidRPr="00D4309F">
        <w:rPr>
          <w:spacing w:val="-3"/>
        </w:rPr>
        <w:t xml:space="preserve"> </w:t>
      </w:r>
      <w:r w:rsidRPr="00D4309F">
        <w:t>advised</w:t>
      </w:r>
      <w:r w:rsidRPr="00D4309F">
        <w:rPr>
          <w:spacing w:val="-3"/>
        </w:rPr>
        <w:t xml:space="preserve"> </w:t>
      </w:r>
      <w:r w:rsidRPr="00D4309F">
        <w:t>they</w:t>
      </w:r>
      <w:r w:rsidRPr="00D4309F">
        <w:rPr>
          <w:spacing w:val="-2"/>
        </w:rPr>
        <w:t xml:space="preserve"> </w:t>
      </w:r>
      <w:r w:rsidRPr="00D4309F">
        <w:t>must</w:t>
      </w:r>
      <w:r w:rsidRPr="00D4309F">
        <w:rPr>
          <w:spacing w:val="-5"/>
        </w:rPr>
        <w:t xml:space="preserve"> </w:t>
      </w:r>
      <w:r w:rsidRPr="00D4309F">
        <w:t>exercise</w:t>
      </w:r>
      <w:r w:rsidRPr="00D4309F">
        <w:rPr>
          <w:spacing w:val="-3"/>
        </w:rPr>
        <w:t xml:space="preserve"> </w:t>
      </w:r>
      <w:r w:rsidRPr="00D4309F">
        <w:t>extreme</w:t>
      </w:r>
      <w:r w:rsidRPr="00D4309F">
        <w:rPr>
          <w:spacing w:val="-3"/>
        </w:rPr>
        <w:t xml:space="preserve"> </w:t>
      </w:r>
      <w:r w:rsidRPr="00D4309F">
        <w:t>caution</w:t>
      </w:r>
      <w:r w:rsidRPr="00D4309F">
        <w:rPr>
          <w:spacing w:val="-4"/>
        </w:rPr>
        <w:t xml:space="preserve"> </w:t>
      </w:r>
      <w:r w:rsidRPr="00D4309F">
        <w:t>and</w:t>
      </w:r>
      <w:r w:rsidRPr="00D4309F">
        <w:rPr>
          <w:spacing w:val="-3"/>
        </w:rPr>
        <w:t xml:space="preserve"> </w:t>
      </w:r>
      <w:r w:rsidRPr="00D4309F">
        <w:t>consult</w:t>
      </w:r>
      <w:r w:rsidRPr="00D4309F">
        <w:rPr>
          <w:spacing w:val="-3"/>
        </w:rPr>
        <w:t xml:space="preserve"> </w:t>
      </w:r>
      <w:r w:rsidRPr="00D4309F">
        <w:t>MSQ</w:t>
      </w:r>
      <w:r w:rsidRPr="00D4309F">
        <w:rPr>
          <w:spacing w:val="-3"/>
        </w:rPr>
        <w:t xml:space="preserve"> </w:t>
      </w:r>
      <w:r w:rsidRPr="00D4309F">
        <w:t>for</w:t>
      </w:r>
      <w:r w:rsidRPr="00D4309F">
        <w:rPr>
          <w:spacing w:val="-2"/>
        </w:rPr>
        <w:t xml:space="preserve"> </w:t>
      </w:r>
      <w:r w:rsidRPr="00D4309F">
        <w:t>updated</w:t>
      </w:r>
      <w:r w:rsidRPr="00D4309F">
        <w:rPr>
          <w:spacing w:val="-3"/>
        </w:rPr>
        <w:t xml:space="preserve"> </w:t>
      </w:r>
      <w:r w:rsidRPr="00D4309F">
        <w:t>Notices</w:t>
      </w:r>
      <w:r w:rsidRPr="00D4309F">
        <w:rPr>
          <w:spacing w:val="-2"/>
        </w:rPr>
        <w:t xml:space="preserve"> </w:t>
      </w:r>
      <w:r w:rsidRPr="00D4309F">
        <w:t xml:space="preserve">to </w:t>
      </w:r>
      <w:r w:rsidRPr="00D4309F">
        <w:rPr>
          <w:spacing w:val="-2"/>
        </w:rPr>
        <w:t>Mariners.</w:t>
      </w:r>
    </w:p>
    <w:p w14:paraId="02A670CA" w14:textId="16E2CD47" w:rsidR="00E047C7" w:rsidRPr="00D4309F" w:rsidRDefault="00725977" w:rsidP="00725977">
      <w:pPr>
        <w:pStyle w:val="BodyText"/>
      </w:pPr>
      <w:r w:rsidRPr="00D4309F">
        <w:t xml:space="preserve">The Queensland Government has engaged RPS </w:t>
      </w:r>
      <w:r w:rsidR="008B6024">
        <w:t xml:space="preserve">AAP Consulting </w:t>
      </w:r>
      <w:r w:rsidRPr="00D4309F">
        <w:t>Pty Ltd</w:t>
      </w:r>
      <w:r w:rsidR="00BC6BBB">
        <w:t xml:space="preserve"> (RPS)</w:t>
      </w:r>
      <w:r w:rsidRPr="00D4309F">
        <w:t>, in partnership with International Coastal Management</w:t>
      </w:r>
      <w:r w:rsidRPr="00D4309F">
        <w:rPr>
          <w:spacing w:val="-1"/>
        </w:rPr>
        <w:t xml:space="preserve"> </w:t>
      </w:r>
      <w:r w:rsidRPr="00D4309F">
        <w:t>(ICM),</w:t>
      </w:r>
      <w:r w:rsidRPr="00D4309F">
        <w:rPr>
          <w:spacing w:val="-1"/>
        </w:rPr>
        <w:t xml:space="preserve"> </w:t>
      </w:r>
      <w:r w:rsidRPr="00D4309F">
        <w:t>to</w:t>
      </w:r>
      <w:r w:rsidRPr="00D4309F">
        <w:rPr>
          <w:spacing w:val="-1"/>
        </w:rPr>
        <w:t xml:space="preserve"> </w:t>
      </w:r>
      <w:r w:rsidRPr="00D4309F">
        <w:t>conduct</w:t>
      </w:r>
      <w:r w:rsidRPr="00D4309F">
        <w:rPr>
          <w:spacing w:val="-1"/>
        </w:rPr>
        <w:t xml:space="preserve"> </w:t>
      </w:r>
      <w:r w:rsidRPr="00D4309F">
        <w:t>an</w:t>
      </w:r>
      <w:r w:rsidRPr="00D4309F">
        <w:rPr>
          <w:spacing w:val="-1"/>
        </w:rPr>
        <w:t xml:space="preserve"> </w:t>
      </w:r>
      <w:r w:rsidRPr="00D4309F">
        <w:t>expert,</w:t>
      </w:r>
      <w:r w:rsidRPr="00D4309F">
        <w:rPr>
          <w:spacing w:val="-1"/>
        </w:rPr>
        <w:t xml:space="preserve"> </w:t>
      </w:r>
      <w:r w:rsidRPr="00D4309F">
        <w:t>independent</w:t>
      </w:r>
      <w:r w:rsidRPr="00D4309F">
        <w:rPr>
          <w:spacing w:val="-1"/>
        </w:rPr>
        <w:t xml:space="preserve"> </w:t>
      </w:r>
      <w:r w:rsidRPr="00D4309F">
        <w:t>review to</w:t>
      </w:r>
      <w:r w:rsidRPr="00D4309F">
        <w:rPr>
          <w:spacing w:val="-1"/>
        </w:rPr>
        <w:t xml:space="preserve"> </w:t>
      </w:r>
      <w:r w:rsidRPr="00D4309F">
        <w:t>investigate</w:t>
      </w:r>
      <w:r w:rsidRPr="00D4309F">
        <w:rPr>
          <w:spacing w:val="-1"/>
        </w:rPr>
        <w:t xml:space="preserve"> </w:t>
      </w:r>
      <w:r w:rsidRPr="00D4309F">
        <w:t>ongoing</w:t>
      </w:r>
      <w:r w:rsidRPr="00D4309F">
        <w:rPr>
          <w:spacing w:val="-1"/>
        </w:rPr>
        <w:t xml:space="preserve"> </w:t>
      </w:r>
      <w:r w:rsidRPr="00D4309F">
        <w:t>shoaling</w:t>
      </w:r>
      <w:r w:rsidRPr="00D4309F">
        <w:rPr>
          <w:spacing w:val="-2"/>
        </w:rPr>
        <w:t xml:space="preserve"> </w:t>
      </w:r>
      <w:r w:rsidRPr="00D4309F">
        <w:t>events,</w:t>
      </w:r>
      <w:r w:rsidRPr="00D4309F">
        <w:rPr>
          <w:spacing w:val="-1"/>
        </w:rPr>
        <w:t xml:space="preserve"> </w:t>
      </w:r>
      <w:r w:rsidRPr="00D4309F">
        <w:t>and the</w:t>
      </w:r>
      <w:r w:rsidRPr="00D4309F">
        <w:rPr>
          <w:spacing w:val="-3"/>
        </w:rPr>
        <w:t xml:space="preserve"> </w:t>
      </w:r>
      <w:r w:rsidRPr="00D4309F">
        <w:t>impacts</w:t>
      </w:r>
      <w:r w:rsidRPr="00D4309F">
        <w:rPr>
          <w:spacing w:val="-2"/>
        </w:rPr>
        <w:t xml:space="preserve"> </w:t>
      </w:r>
      <w:r w:rsidRPr="00D4309F">
        <w:t>the</w:t>
      </w:r>
      <w:r w:rsidRPr="00D4309F">
        <w:rPr>
          <w:spacing w:val="-3"/>
        </w:rPr>
        <w:t xml:space="preserve"> </w:t>
      </w:r>
      <w:r w:rsidRPr="00D4309F">
        <w:t>proposed</w:t>
      </w:r>
      <w:r w:rsidRPr="00D4309F">
        <w:rPr>
          <w:spacing w:val="-4"/>
        </w:rPr>
        <w:t xml:space="preserve"> </w:t>
      </w:r>
      <w:r w:rsidRPr="00D4309F">
        <w:t>management</w:t>
      </w:r>
      <w:r w:rsidRPr="00D4309F">
        <w:rPr>
          <w:spacing w:val="-3"/>
        </w:rPr>
        <w:t xml:space="preserve"> </w:t>
      </w:r>
      <w:r w:rsidRPr="00D4309F">
        <w:t>measures</w:t>
      </w:r>
      <w:r w:rsidRPr="00D4309F">
        <w:rPr>
          <w:spacing w:val="-2"/>
        </w:rPr>
        <w:t xml:space="preserve"> </w:t>
      </w:r>
      <w:r w:rsidRPr="00D4309F">
        <w:t>may</w:t>
      </w:r>
      <w:r w:rsidRPr="00D4309F">
        <w:rPr>
          <w:spacing w:val="-3"/>
        </w:rPr>
        <w:t xml:space="preserve"> </w:t>
      </w:r>
      <w:r w:rsidRPr="00D4309F">
        <w:t>have</w:t>
      </w:r>
      <w:r w:rsidRPr="00D4309F">
        <w:rPr>
          <w:spacing w:val="-3"/>
        </w:rPr>
        <w:t xml:space="preserve"> </w:t>
      </w:r>
      <w:r w:rsidRPr="00D4309F">
        <w:t>had</w:t>
      </w:r>
      <w:r w:rsidRPr="00D4309F">
        <w:rPr>
          <w:spacing w:val="-3"/>
        </w:rPr>
        <w:t xml:space="preserve"> </w:t>
      </w:r>
      <w:r w:rsidRPr="00D4309F">
        <w:t>on</w:t>
      </w:r>
      <w:r w:rsidRPr="00D4309F">
        <w:rPr>
          <w:spacing w:val="-3"/>
        </w:rPr>
        <w:t xml:space="preserve"> </w:t>
      </w:r>
      <w:r w:rsidRPr="00D4309F">
        <w:t>coastal</w:t>
      </w:r>
      <w:r w:rsidRPr="00D4309F">
        <w:rPr>
          <w:spacing w:val="-3"/>
        </w:rPr>
        <w:t xml:space="preserve"> </w:t>
      </w:r>
      <w:r w:rsidRPr="00D4309F">
        <w:t>process</w:t>
      </w:r>
      <w:r w:rsidRPr="00D4309F">
        <w:rPr>
          <w:spacing w:val="-2"/>
        </w:rPr>
        <w:t xml:space="preserve"> </w:t>
      </w:r>
      <w:r w:rsidRPr="00D4309F">
        <w:t>at</w:t>
      </w:r>
      <w:r w:rsidRPr="00D4309F">
        <w:rPr>
          <w:spacing w:val="-3"/>
        </w:rPr>
        <w:t xml:space="preserve"> </w:t>
      </w:r>
      <w:r w:rsidRPr="00D4309F">
        <w:t>the</w:t>
      </w:r>
      <w:r w:rsidRPr="00D4309F">
        <w:rPr>
          <w:spacing w:val="-3"/>
        </w:rPr>
        <w:t xml:space="preserve"> </w:t>
      </w:r>
      <w:r w:rsidRPr="00D4309F">
        <w:t>site.</w:t>
      </w:r>
      <w:r w:rsidRPr="00D4309F">
        <w:rPr>
          <w:spacing w:val="-4"/>
        </w:rPr>
        <w:t xml:space="preserve"> </w:t>
      </w:r>
      <w:r w:rsidRPr="00D4309F">
        <w:t>Short-</w:t>
      </w:r>
      <w:r w:rsidRPr="00D4309F">
        <w:rPr>
          <w:spacing w:val="-3"/>
        </w:rPr>
        <w:t xml:space="preserve"> </w:t>
      </w:r>
      <w:r w:rsidRPr="00D4309F">
        <w:t>and long-term recommendations will be developed and shared with the Stakeholder Reference Group taking account of various stakeholder views.</w:t>
      </w:r>
    </w:p>
    <w:p w14:paraId="1FEC9CA2" w14:textId="77777777" w:rsidR="00725977" w:rsidRPr="00D4309F" w:rsidRDefault="00725977" w:rsidP="00A9045E">
      <w:pPr>
        <w:pStyle w:val="Heading2"/>
      </w:pPr>
      <w:bookmarkStart w:id="16" w:name="_bookmark3"/>
      <w:bookmarkStart w:id="17" w:name="_Toc216699294"/>
      <w:bookmarkEnd w:id="16"/>
      <w:r w:rsidRPr="00D4309F">
        <w:t>Objective</w:t>
      </w:r>
      <w:bookmarkEnd w:id="17"/>
    </w:p>
    <w:p w14:paraId="5F38603D" w14:textId="1C106A7B" w:rsidR="00E047C7" w:rsidRPr="00D4309F" w:rsidRDefault="00725977" w:rsidP="00725977">
      <w:pPr>
        <w:pStyle w:val="BodyText"/>
      </w:pPr>
      <w:r w:rsidRPr="00D4309F">
        <w:t>The</w:t>
      </w:r>
      <w:r w:rsidRPr="00D4309F">
        <w:rPr>
          <w:spacing w:val="-3"/>
        </w:rPr>
        <w:t xml:space="preserve"> </w:t>
      </w:r>
      <w:r w:rsidRPr="00D4309F">
        <w:t>primary</w:t>
      </w:r>
      <w:r w:rsidRPr="00D4309F">
        <w:rPr>
          <w:spacing w:val="-3"/>
        </w:rPr>
        <w:t xml:space="preserve"> </w:t>
      </w:r>
      <w:r w:rsidRPr="00D4309F">
        <w:t>objective</w:t>
      </w:r>
      <w:r w:rsidRPr="00D4309F">
        <w:rPr>
          <w:spacing w:val="-3"/>
        </w:rPr>
        <w:t xml:space="preserve"> </w:t>
      </w:r>
      <w:r w:rsidRPr="00D4309F">
        <w:t>is</w:t>
      </w:r>
      <w:r w:rsidRPr="00D4309F">
        <w:rPr>
          <w:spacing w:val="-2"/>
        </w:rPr>
        <w:t xml:space="preserve"> </w:t>
      </w:r>
      <w:r w:rsidRPr="00D4309F">
        <w:t>to</w:t>
      </w:r>
      <w:r w:rsidRPr="00D4309F">
        <w:rPr>
          <w:spacing w:val="-3"/>
        </w:rPr>
        <w:t xml:space="preserve"> </w:t>
      </w:r>
      <w:r w:rsidRPr="00D4309F">
        <w:t>maintain</w:t>
      </w:r>
      <w:r w:rsidRPr="00D4309F">
        <w:rPr>
          <w:spacing w:val="-3"/>
        </w:rPr>
        <w:t xml:space="preserve"> </w:t>
      </w:r>
      <w:r w:rsidRPr="00D4309F">
        <w:t>a</w:t>
      </w:r>
      <w:r w:rsidRPr="00D4309F">
        <w:rPr>
          <w:spacing w:val="-3"/>
        </w:rPr>
        <w:t xml:space="preserve"> </w:t>
      </w:r>
      <w:r w:rsidRPr="00D4309F">
        <w:t>safe</w:t>
      </w:r>
      <w:r w:rsidRPr="00D4309F">
        <w:rPr>
          <w:spacing w:val="-3"/>
        </w:rPr>
        <w:t xml:space="preserve"> </w:t>
      </w:r>
      <w:r w:rsidRPr="00D4309F">
        <w:t>and</w:t>
      </w:r>
      <w:r w:rsidRPr="00D4309F">
        <w:rPr>
          <w:spacing w:val="-3"/>
        </w:rPr>
        <w:t xml:space="preserve"> </w:t>
      </w:r>
      <w:r w:rsidRPr="00D4309F">
        <w:t>reliable</w:t>
      </w:r>
      <w:r w:rsidRPr="00D4309F">
        <w:rPr>
          <w:spacing w:val="-3"/>
        </w:rPr>
        <w:t xml:space="preserve"> </w:t>
      </w:r>
      <w:r w:rsidRPr="00D4309F">
        <w:t>navigation</w:t>
      </w:r>
      <w:r w:rsidRPr="00D4309F">
        <w:rPr>
          <w:spacing w:val="-4"/>
        </w:rPr>
        <w:t xml:space="preserve"> </w:t>
      </w:r>
      <w:r w:rsidRPr="00D4309F">
        <w:t>channel</w:t>
      </w:r>
      <w:r w:rsidRPr="00D4309F">
        <w:rPr>
          <w:spacing w:val="-3"/>
        </w:rPr>
        <w:t xml:space="preserve"> </w:t>
      </w:r>
      <w:r w:rsidRPr="00D4309F">
        <w:t>for</w:t>
      </w:r>
      <w:r w:rsidRPr="00D4309F">
        <w:rPr>
          <w:spacing w:val="-2"/>
        </w:rPr>
        <w:t xml:space="preserve"> </w:t>
      </w:r>
      <w:r w:rsidRPr="00D4309F">
        <w:t>all</w:t>
      </w:r>
      <w:r w:rsidRPr="00D4309F">
        <w:rPr>
          <w:spacing w:val="-3"/>
        </w:rPr>
        <w:t xml:space="preserve"> </w:t>
      </w:r>
      <w:r w:rsidRPr="00D4309F">
        <w:t>vessels.</w:t>
      </w:r>
      <w:r w:rsidRPr="00D4309F">
        <w:rPr>
          <w:spacing w:val="-3"/>
        </w:rPr>
        <w:t xml:space="preserve"> </w:t>
      </w:r>
      <w:r w:rsidRPr="00D4309F">
        <w:t>While</w:t>
      </w:r>
      <w:r w:rsidRPr="00D4309F">
        <w:rPr>
          <w:spacing w:val="-3"/>
        </w:rPr>
        <w:t xml:space="preserve"> </w:t>
      </w:r>
      <w:r w:rsidRPr="00D4309F">
        <w:t>short-term solutions focus on reactive maintenance, a comprehensive long-term plan is critical for a sustainable and cost-effective management approach.</w:t>
      </w:r>
    </w:p>
    <w:p w14:paraId="1BCCD134" w14:textId="77777777" w:rsidR="00725977" w:rsidRPr="00D4309F" w:rsidRDefault="00725977" w:rsidP="00A9045E">
      <w:pPr>
        <w:pStyle w:val="Heading2"/>
      </w:pPr>
      <w:bookmarkStart w:id="18" w:name="_bookmark4"/>
      <w:bookmarkStart w:id="19" w:name="_Toc216699295"/>
      <w:bookmarkEnd w:id="18"/>
      <w:r w:rsidRPr="00D4309F">
        <w:t>Scope</w:t>
      </w:r>
      <w:r w:rsidRPr="00D4309F">
        <w:rPr>
          <w:spacing w:val="-7"/>
        </w:rPr>
        <w:t xml:space="preserve"> </w:t>
      </w:r>
      <w:r w:rsidRPr="00D4309F">
        <w:t>of</w:t>
      </w:r>
      <w:r w:rsidRPr="00D4309F">
        <w:rPr>
          <w:spacing w:val="-8"/>
        </w:rPr>
        <w:t xml:space="preserve"> </w:t>
      </w:r>
      <w:r w:rsidRPr="00D4309F">
        <w:rPr>
          <w:spacing w:val="-4"/>
        </w:rPr>
        <w:t>work</w:t>
      </w:r>
      <w:bookmarkEnd w:id="19"/>
    </w:p>
    <w:p w14:paraId="1B82758F" w14:textId="77777777" w:rsidR="00725977" w:rsidRPr="00D4309F" w:rsidRDefault="00725977" w:rsidP="00725977">
      <w:pPr>
        <w:pStyle w:val="BodyText"/>
      </w:pPr>
      <w:r w:rsidRPr="00D4309F">
        <w:t>The</w:t>
      </w:r>
      <w:r w:rsidRPr="00D4309F">
        <w:rPr>
          <w:spacing w:val="-3"/>
        </w:rPr>
        <w:t xml:space="preserve"> </w:t>
      </w:r>
      <w:r w:rsidRPr="00D4309F">
        <w:t>scope</w:t>
      </w:r>
      <w:r w:rsidRPr="00D4309F">
        <w:rPr>
          <w:spacing w:val="-3"/>
        </w:rPr>
        <w:t xml:space="preserve"> </w:t>
      </w:r>
      <w:r w:rsidRPr="00D4309F">
        <w:t>of</w:t>
      </w:r>
      <w:r w:rsidRPr="00D4309F">
        <w:rPr>
          <w:spacing w:val="-3"/>
        </w:rPr>
        <w:t xml:space="preserve"> </w:t>
      </w:r>
      <w:r w:rsidRPr="00D4309F">
        <w:t>work</w:t>
      </w:r>
      <w:r w:rsidRPr="00D4309F">
        <w:rPr>
          <w:spacing w:val="-1"/>
        </w:rPr>
        <w:t xml:space="preserve"> </w:t>
      </w:r>
      <w:r w:rsidRPr="00D4309F">
        <w:t>for</w:t>
      </w:r>
      <w:r w:rsidRPr="00D4309F">
        <w:rPr>
          <w:spacing w:val="-2"/>
        </w:rPr>
        <w:t xml:space="preserve"> </w:t>
      </w:r>
      <w:r w:rsidRPr="00D4309F">
        <w:t>this</w:t>
      </w:r>
      <w:r w:rsidRPr="00D4309F">
        <w:rPr>
          <w:spacing w:val="-2"/>
        </w:rPr>
        <w:t xml:space="preserve"> </w:t>
      </w:r>
      <w:r w:rsidRPr="00D4309F">
        <w:t>review</w:t>
      </w:r>
      <w:r w:rsidRPr="00D4309F">
        <w:rPr>
          <w:spacing w:val="-1"/>
        </w:rPr>
        <w:t xml:space="preserve"> </w:t>
      </w:r>
      <w:r w:rsidRPr="00D4309F">
        <w:rPr>
          <w:spacing w:val="-2"/>
        </w:rPr>
        <w:t>includes:</w:t>
      </w:r>
    </w:p>
    <w:p w14:paraId="76E4B53B" w14:textId="77777777" w:rsidR="00725977" w:rsidRPr="00D4309F" w:rsidRDefault="00725977" w:rsidP="00FC392F">
      <w:pPr>
        <w:pStyle w:val="ListBullet"/>
      </w:pPr>
      <w:r w:rsidRPr="00D4309F">
        <w:t>Developing</w:t>
      </w:r>
      <w:r w:rsidRPr="00D4309F">
        <w:rPr>
          <w:spacing w:val="-4"/>
        </w:rPr>
        <w:t xml:space="preserve"> </w:t>
      </w:r>
      <w:r w:rsidRPr="00D4309F">
        <w:t>short-term</w:t>
      </w:r>
      <w:r w:rsidRPr="00D4309F">
        <w:rPr>
          <w:spacing w:val="-4"/>
        </w:rPr>
        <w:t xml:space="preserve"> </w:t>
      </w:r>
      <w:r w:rsidRPr="00D4309F">
        <w:t>recommendations</w:t>
      </w:r>
      <w:r w:rsidRPr="00D4309F">
        <w:rPr>
          <w:spacing w:val="-3"/>
        </w:rPr>
        <w:t xml:space="preserve"> </w:t>
      </w:r>
      <w:r w:rsidRPr="00D4309F">
        <w:t>for</w:t>
      </w:r>
      <w:r w:rsidRPr="00D4309F">
        <w:rPr>
          <w:spacing w:val="-3"/>
        </w:rPr>
        <w:t xml:space="preserve"> </w:t>
      </w:r>
      <w:r w:rsidRPr="00D4309F">
        <w:t>consideration</w:t>
      </w:r>
      <w:r w:rsidRPr="00D4309F">
        <w:rPr>
          <w:spacing w:val="-4"/>
        </w:rPr>
        <w:t xml:space="preserve"> </w:t>
      </w:r>
      <w:r w:rsidRPr="00D4309F">
        <w:t>by</w:t>
      </w:r>
      <w:r w:rsidRPr="00D4309F">
        <w:rPr>
          <w:spacing w:val="-3"/>
        </w:rPr>
        <w:t xml:space="preserve"> </w:t>
      </w:r>
      <w:r w:rsidRPr="00D4309F">
        <w:t>Government</w:t>
      </w:r>
      <w:r w:rsidRPr="00D4309F">
        <w:rPr>
          <w:spacing w:val="-5"/>
        </w:rPr>
        <w:t xml:space="preserve"> </w:t>
      </w:r>
      <w:r w:rsidRPr="00D4309F">
        <w:t>that</w:t>
      </w:r>
      <w:r w:rsidRPr="00D4309F">
        <w:rPr>
          <w:spacing w:val="-4"/>
        </w:rPr>
        <w:t xml:space="preserve"> </w:t>
      </w:r>
      <w:r w:rsidRPr="00D4309F">
        <w:t>maximise</w:t>
      </w:r>
      <w:r w:rsidRPr="00D4309F">
        <w:rPr>
          <w:spacing w:val="-4"/>
        </w:rPr>
        <w:t xml:space="preserve"> </w:t>
      </w:r>
      <w:r w:rsidRPr="00D4309F">
        <w:t>navigational safety at the entrance until longer-term solutions can be implemented.</w:t>
      </w:r>
    </w:p>
    <w:p w14:paraId="3F0980CF" w14:textId="77777777" w:rsidR="00725977" w:rsidRPr="00D4309F" w:rsidRDefault="00725977" w:rsidP="00FC392F">
      <w:pPr>
        <w:pStyle w:val="ListBullet"/>
      </w:pPr>
      <w:r w:rsidRPr="00D4309F">
        <w:t>Undertaking</w:t>
      </w:r>
      <w:r w:rsidRPr="00D4309F">
        <w:rPr>
          <w:spacing w:val="-4"/>
        </w:rPr>
        <w:t xml:space="preserve"> </w:t>
      </w:r>
      <w:r w:rsidRPr="00D4309F">
        <w:t>a</w:t>
      </w:r>
      <w:r w:rsidRPr="00D4309F">
        <w:rPr>
          <w:spacing w:val="-3"/>
        </w:rPr>
        <w:t xml:space="preserve"> </w:t>
      </w:r>
      <w:r w:rsidRPr="00D4309F">
        <w:t>desktop</w:t>
      </w:r>
      <w:r w:rsidRPr="00D4309F">
        <w:rPr>
          <w:spacing w:val="-3"/>
        </w:rPr>
        <w:t xml:space="preserve"> </w:t>
      </w:r>
      <w:r w:rsidRPr="00D4309F">
        <w:t>review</w:t>
      </w:r>
      <w:r w:rsidRPr="00D4309F">
        <w:rPr>
          <w:spacing w:val="-2"/>
        </w:rPr>
        <w:t xml:space="preserve"> </w:t>
      </w:r>
      <w:r w:rsidRPr="00D4309F">
        <w:t>of</w:t>
      </w:r>
      <w:r w:rsidRPr="00D4309F">
        <w:rPr>
          <w:spacing w:val="-3"/>
        </w:rPr>
        <w:t xml:space="preserve"> </w:t>
      </w:r>
      <w:r w:rsidRPr="00D4309F">
        <w:t>previous</w:t>
      </w:r>
      <w:r w:rsidRPr="00D4309F">
        <w:rPr>
          <w:spacing w:val="-2"/>
        </w:rPr>
        <w:t xml:space="preserve"> </w:t>
      </w:r>
      <w:r w:rsidRPr="00D4309F">
        <w:t>reports</w:t>
      </w:r>
      <w:r w:rsidRPr="00D4309F">
        <w:rPr>
          <w:spacing w:val="-2"/>
        </w:rPr>
        <w:t xml:space="preserve"> </w:t>
      </w:r>
      <w:r w:rsidRPr="00D4309F">
        <w:t>and</w:t>
      </w:r>
      <w:r w:rsidRPr="00D4309F">
        <w:rPr>
          <w:spacing w:val="-3"/>
        </w:rPr>
        <w:t xml:space="preserve"> </w:t>
      </w:r>
      <w:r w:rsidRPr="00D4309F">
        <w:t>studies</w:t>
      </w:r>
      <w:r w:rsidRPr="00D4309F">
        <w:rPr>
          <w:spacing w:val="-2"/>
        </w:rPr>
        <w:t xml:space="preserve"> </w:t>
      </w:r>
      <w:r w:rsidRPr="00D4309F">
        <w:t>relating</w:t>
      </w:r>
      <w:r w:rsidRPr="00D4309F">
        <w:rPr>
          <w:spacing w:val="-3"/>
        </w:rPr>
        <w:t xml:space="preserve"> </w:t>
      </w:r>
      <w:r w:rsidRPr="00D4309F">
        <w:t>to</w:t>
      </w:r>
      <w:r w:rsidRPr="00D4309F">
        <w:rPr>
          <w:spacing w:val="-3"/>
        </w:rPr>
        <w:t xml:space="preserve"> </w:t>
      </w:r>
      <w:r w:rsidRPr="00D4309F">
        <w:t>the</w:t>
      </w:r>
      <w:r w:rsidRPr="00D4309F">
        <w:rPr>
          <w:spacing w:val="-3"/>
        </w:rPr>
        <w:t xml:space="preserve"> </w:t>
      </w:r>
      <w:r w:rsidRPr="00D4309F">
        <w:t>cause</w:t>
      </w:r>
      <w:r w:rsidRPr="00D4309F">
        <w:rPr>
          <w:spacing w:val="-3"/>
        </w:rPr>
        <w:t xml:space="preserve"> </w:t>
      </w:r>
      <w:r w:rsidRPr="00D4309F">
        <w:t>and</w:t>
      </w:r>
      <w:r w:rsidRPr="00D4309F">
        <w:rPr>
          <w:spacing w:val="-3"/>
        </w:rPr>
        <w:t xml:space="preserve"> </w:t>
      </w:r>
      <w:r w:rsidRPr="00D4309F">
        <w:t>impacts</w:t>
      </w:r>
      <w:r w:rsidRPr="00D4309F">
        <w:rPr>
          <w:spacing w:val="-2"/>
        </w:rPr>
        <w:t xml:space="preserve"> </w:t>
      </w:r>
      <w:r w:rsidRPr="00D4309F">
        <w:t>of shoaling events.</w:t>
      </w:r>
    </w:p>
    <w:p w14:paraId="6A9F6016" w14:textId="77777777" w:rsidR="00725977" w:rsidRPr="00D4309F" w:rsidRDefault="00725977" w:rsidP="00FC392F">
      <w:pPr>
        <w:pStyle w:val="ListBullet"/>
      </w:pPr>
      <w:r w:rsidRPr="00D4309F">
        <w:t>Confirming</w:t>
      </w:r>
      <w:r w:rsidRPr="00D4309F">
        <w:rPr>
          <w:spacing w:val="-5"/>
        </w:rPr>
        <w:t xml:space="preserve"> </w:t>
      </w:r>
      <w:r w:rsidRPr="00D4309F">
        <w:t>causes</w:t>
      </w:r>
      <w:r w:rsidRPr="00D4309F">
        <w:rPr>
          <w:spacing w:val="-3"/>
        </w:rPr>
        <w:t xml:space="preserve"> </w:t>
      </w:r>
      <w:r w:rsidRPr="00D4309F">
        <w:t>for</w:t>
      </w:r>
      <w:r w:rsidRPr="00D4309F">
        <w:rPr>
          <w:spacing w:val="-2"/>
        </w:rPr>
        <w:t xml:space="preserve"> </w:t>
      </w:r>
      <w:r w:rsidRPr="00D4309F">
        <w:t>the</w:t>
      </w:r>
      <w:r w:rsidRPr="00D4309F">
        <w:rPr>
          <w:spacing w:val="-5"/>
        </w:rPr>
        <w:t xml:space="preserve"> </w:t>
      </w:r>
      <w:r w:rsidRPr="00D4309F">
        <w:t>shoaling</w:t>
      </w:r>
      <w:r w:rsidRPr="00D4309F">
        <w:rPr>
          <w:spacing w:val="-3"/>
        </w:rPr>
        <w:t xml:space="preserve"> </w:t>
      </w:r>
      <w:r w:rsidRPr="00D4309F">
        <w:rPr>
          <w:spacing w:val="-2"/>
        </w:rPr>
        <w:t>events.</w:t>
      </w:r>
    </w:p>
    <w:p w14:paraId="7F36127E" w14:textId="77777777" w:rsidR="00725977" w:rsidRPr="00D4309F" w:rsidRDefault="00725977" w:rsidP="00FC392F">
      <w:pPr>
        <w:pStyle w:val="ListBullet"/>
      </w:pPr>
      <w:r w:rsidRPr="00D4309F">
        <w:t>Identifying</w:t>
      </w:r>
      <w:r w:rsidRPr="00D4309F">
        <w:rPr>
          <w:spacing w:val="-5"/>
        </w:rPr>
        <w:t xml:space="preserve"> </w:t>
      </w:r>
      <w:r w:rsidRPr="00D4309F">
        <w:t>impacts</w:t>
      </w:r>
      <w:r w:rsidRPr="00D4309F">
        <w:rPr>
          <w:spacing w:val="-3"/>
        </w:rPr>
        <w:t xml:space="preserve"> </w:t>
      </w:r>
      <w:r w:rsidRPr="00D4309F">
        <w:t>of</w:t>
      </w:r>
      <w:r w:rsidRPr="00D4309F">
        <w:rPr>
          <w:spacing w:val="-4"/>
        </w:rPr>
        <w:t xml:space="preserve"> </w:t>
      </w:r>
      <w:r w:rsidRPr="00D4309F">
        <w:t>the</w:t>
      </w:r>
      <w:r w:rsidRPr="00D4309F">
        <w:rPr>
          <w:spacing w:val="-4"/>
        </w:rPr>
        <w:t xml:space="preserve"> </w:t>
      </w:r>
      <w:r w:rsidRPr="00D4309F">
        <w:t>shoaling</w:t>
      </w:r>
      <w:r w:rsidRPr="00D4309F">
        <w:rPr>
          <w:spacing w:val="-4"/>
        </w:rPr>
        <w:t xml:space="preserve"> </w:t>
      </w:r>
      <w:r w:rsidRPr="00D4309F">
        <w:rPr>
          <w:spacing w:val="-2"/>
        </w:rPr>
        <w:t>events.</w:t>
      </w:r>
    </w:p>
    <w:p w14:paraId="58705832" w14:textId="77777777" w:rsidR="00725977" w:rsidRPr="00D4309F" w:rsidRDefault="00725977" w:rsidP="00FC392F">
      <w:pPr>
        <w:pStyle w:val="ListBullet"/>
      </w:pPr>
      <w:r w:rsidRPr="00D4309F">
        <w:t>Assessing</w:t>
      </w:r>
      <w:r w:rsidRPr="00D4309F">
        <w:rPr>
          <w:spacing w:val="-3"/>
        </w:rPr>
        <w:t xml:space="preserve"> </w:t>
      </w:r>
      <w:r w:rsidRPr="00D4309F">
        <w:t>the</w:t>
      </w:r>
      <w:r w:rsidRPr="00D4309F">
        <w:rPr>
          <w:spacing w:val="-3"/>
        </w:rPr>
        <w:t xml:space="preserve"> </w:t>
      </w:r>
      <w:r w:rsidRPr="00D4309F">
        <w:t>effectiveness</w:t>
      </w:r>
      <w:r w:rsidRPr="00D4309F">
        <w:rPr>
          <w:spacing w:val="-2"/>
        </w:rPr>
        <w:t xml:space="preserve"> </w:t>
      </w:r>
      <w:r w:rsidRPr="00D4309F">
        <w:t>and</w:t>
      </w:r>
      <w:r w:rsidRPr="00D4309F">
        <w:rPr>
          <w:spacing w:val="-3"/>
        </w:rPr>
        <w:t xml:space="preserve"> </w:t>
      </w:r>
      <w:r w:rsidRPr="00D4309F">
        <w:t>impact</w:t>
      </w:r>
      <w:r w:rsidRPr="00D4309F">
        <w:rPr>
          <w:spacing w:val="-3"/>
        </w:rPr>
        <w:t xml:space="preserve"> </w:t>
      </w:r>
      <w:r w:rsidRPr="00D4309F">
        <w:t>of</w:t>
      </w:r>
      <w:r w:rsidRPr="00D4309F">
        <w:rPr>
          <w:spacing w:val="-3"/>
        </w:rPr>
        <w:t xml:space="preserve"> </w:t>
      </w:r>
      <w:r w:rsidRPr="00D4309F">
        <w:t>options</w:t>
      </w:r>
      <w:r w:rsidRPr="00D4309F">
        <w:rPr>
          <w:spacing w:val="-2"/>
        </w:rPr>
        <w:t xml:space="preserve"> </w:t>
      </w:r>
      <w:r w:rsidRPr="00D4309F">
        <w:t>to</w:t>
      </w:r>
      <w:r w:rsidRPr="00D4309F">
        <w:rPr>
          <w:spacing w:val="-3"/>
        </w:rPr>
        <w:t xml:space="preserve"> </w:t>
      </w:r>
      <w:r w:rsidRPr="00D4309F">
        <w:t>prevent</w:t>
      </w:r>
      <w:r w:rsidRPr="00D4309F">
        <w:rPr>
          <w:spacing w:val="-3"/>
        </w:rPr>
        <w:t xml:space="preserve"> </w:t>
      </w:r>
      <w:r w:rsidRPr="00D4309F">
        <w:t>and/or</w:t>
      </w:r>
      <w:r w:rsidRPr="00D4309F">
        <w:rPr>
          <w:spacing w:val="-2"/>
        </w:rPr>
        <w:t xml:space="preserve"> </w:t>
      </w:r>
      <w:r w:rsidRPr="00D4309F">
        <w:t>mitigate</w:t>
      </w:r>
      <w:r w:rsidRPr="00D4309F">
        <w:rPr>
          <w:spacing w:val="-3"/>
        </w:rPr>
        <w:t xml:space="preserve"> </w:t>
      </w:r>
      <w:r w:rsidRPr="00D4309F">
        <w:t>shoaling</w:t>
      </w:r>
      <w:r w:rsidRPr="00D4309F">
        <w:rPr>
          <w:spacing w:val="-3"/>
        </w:rPr>
        <w:t xml:space="preserve"> </w:t>
      </w:r>
      <w:r w:rsidRPr="00D4309F">
        <w:t>events</w:t>
      </w:r>
      <w:r w:rsidRPr="00D4309F">
        <w:rPr>
          <w:spacing w:val="-3"/>
        </w:rPr>
        <w:t xml:space="preserve"> </w:t>
      </w:r>
      <w:r w:rsidRPr="00D4309F">
        <w:t>as</w:t>
      </w:r>
      <w:r w:rsidRPr="00D4309F">
        <w:rPr>
          <w:spacing w:val="-2"/>
        </w:rPr>
        <w:t xml:space="preserve"> </w:t>
      </w:r>
      <w:r w:rsidRPr="00D4309F">
        <w:t>they relate to a wide range of stakeholders.</w:t>
      </w:r>
    </w:p>
    <w:p w14:paraId="68F449B5" w14:textId="77777777" w:rsidR="00725977" w:rsidRPr="00D4309F" w:rsidRDefault="00725977" w:rsidP="00FC392F">
      <w:pPr>
        <w:pStyle w:val="ListBullet"/>
      </w:pPr>
      <w:r w:rsidRPr="00D4309F">
        <w:lastRenderedPageBreak/>
        <w:t>Developing</w:t>
      </w:r>
      <w:r w:rsidRPr="00D4309F">
        <w:rPr>
          <w:spacing w:val="-3"/>
        </w:rPr>
        <w:t xml:space="preserve"> </w:t>
      </w:r>
      <w:r w:rsidRPr="00D4309F">
        <w:t>longer-term</w:t>
      </w:r>
      <w:r w:rsidRPr="00D4309F">
        <w:rPr>
          <w:spacing w:val="-3"/>
        </w:rPr>
        <w:t xml:space="preserve"> </w:t>
      </w:r>
      <w:r w:rsidRPr="00D4309F">
        <w:t>recommendations</w:t>
      </w:r>
      <w:r w:rsidRPr="00D4309F">
        <w:rPr>
          <w:spacing w:val="-2"/>
        </w:rPr>
        <w:t xml:space="preserve"> </w:t>
      </w:r>
      <w:r w:rsidRPr="00D4309F">
        <w:t>to</w:t>
      </w:r>
      <w:r w:rsidRPr="00D4309F">
        <w:rPr>
          <w:spacing w:val="-3"/>
        </w:rPr>
        <w:t xml:space="preserve"> </w:t>
      </w:r>
      <w:r w:rsidRPr="00D4309F">
        <w:t>reduce</w:t>
      </w:r>
      <w:r w:rsidRPr="00D4309F">
        <w:rPr>
          <w:spacing w:val="-3"/>
        </w:rPr>
        <w:t xml:space="preserve"> </w:t>
      </w:r>
      <w:r w:rsidRPr="00D4309F">
        <w:t>the</w:t>
      </w:r>
      <w:r w:rsidRPr="00D4309F">
        <w:rPr>
          <w:spacing w:val="-3"/>
        </w:rPr>
        <w:t xml:space="preserve"> </w:t>
      </w:r>
      <w:r w:rsidRPr="00D4309F">
        <w:t>likelihood</w:t>
      </w:r>
      <w:r w:rsidRPr="00D4309F">
        <w:rPr>
          <w:spacing w:val="-3"/>
        </w:rPr>
        <w:t xml:space="preserve"> </w:t>
      </w:r>
      <w:r w:rsidRPr="00D4309F">
        <w:t>of</w:t>
      </w:r>
      <w:r w:rsidRPr="00D4309F">
        <w:rPr>
          <w:spacing w:val="-5"/>
        </w:rPr>
        <w:t xml:space="preserve"> </w:t>
      </w:r>
      <w:r w:rsidRPr="00D4309F">
        <w:t>shoaling</w:t>
      </w:r>
      <w:r w:rsidRPr="00D4309F">
        <w:rPr>
          <w:spacing w:val="-3"/>
        </w:rPr>
        <w:t xml:space="preserve"> </w:t>
      </w:r>
      <w:r w:rsidRPr="00D4309F">
        <w:t>events</w:t>
      </w:r>
      <w:r w:rsidRPr="00D4309F">
        <w:rPr>
          <w:spacing w:val="-3"/>
        </w:rPr>
        <w:t xml:space="preserve"> </w:t>
      </w:r>
      <w:r w:rsidRPr="00D4309F">
        <w:t>occurring</w:t>
      </w:r>
      <w:r w:rsidRPr="00D4309F">
        <w:rPr>
          <w:spacing w:val="-4"/>
        </w:rPr>
        <w:t xml:space="preserve"> </w:t>
      </w:r>
      <w:r w:rsidRPr="00D4309F">
        <w:t>and</w:t>
      </w:r>
      <w:r w:rsidRPr="00D4309F">
        <w:rPr>
          <w:spacing w:val="-3"/>
        </w:rPr>
        <w:t xml:space="preserve"> </w:t>
      </w:r>
      <w:r w:rsidRPr="00D4309F">
        <w:t>the navigational risk should a shoaling event occur. Undertaking</w:t>
      </w:r>
      <w:r w:rsidRPr="00D4309F">
        <w:rPr>
          <w:spacing w:val="-4"/>
        </w:rPr>
        <w:t xml:space="preserve"> </w:t>
      </w:r>
      <w:r w:rsidRPr="00D4309F">
        <w:t>consultation</w:t>
      </w:r>
      <w:r w:rsidRPr="00D4309F">
        <w:rPr>
          <w:spacing w:val="-3"/>
        </w:rPr>
        <w:t xml:space="preserve"> </w:t>
      </w:r>
      <w:r w:rsidRPr="00D4309F">
        <w:t>with</w:t>
      </w:r>
      <w:r w:rsidRPr="00D4309F">
        <w:rPr>
          <w:spacing w:val="-3"/>
        </w:rPr>
        <w:t xml:space="preserve"> </w:t>
      </w:r>
      <w:r w:rsidRPr="00D4309F">
        <w:t>the</w:t>
      </w:r>
      <w:r w:rsidRPr="00D4309F">
        <w:rPr>
          <w:spacing w:val="-3"/>
        </w:rPr>
        <w:t xml:space="preserve"> </w:t>
      </w:r>
      <w:r w:rsidRPr="00D4309F">
        <w:t>Stakeholder</w:t>
      </w:r>
      <w:r w:rsidRPr="00D4309F">
        <w:rPr>
          <w:spacing w:val="-2"/>
        </w:rPr>
        <w:t xml:space="preserve"> </w:t>
      </w:r>
      <w:r w:rsidRPr="00D4309F">
        <w:t>Reference</w:t>
      </w:r>
      <w:r w:rsidRPr="00D4309F">
        <w:rPr>
          <w:spacing w:val="-3"/>
        </w:rPr>
        <w:t xml:space="preserve"> </w:t>
      </w:r>
      <w:r w:rsidRPr="00D4309F">
        <w:t>Group</w:t>
      </w:r>
      <w:r w:rsidRPr="00D4309F">
        <w:rPr>
          <w:spacing w:val="-3"/>
        </w:rPr>
        <w:t xml:space="preserve"> </w:t>
      </w:r>
      <w:r w:rsidRPr="00D4309F">
        <w:t>regarding</w:t>
      </w:r>
      <w:r w:rsidRPr="00D4309F">
        <w:rPr>
          <w:spacing w:val="-4"/>
        </w:rPr>
        <w:t xml:space="preserve"> </w:t>
      </w:r>
      <w:r w:rsidRPr="00D4309F">
        <w:t>causes,</w:t>
      </w:r>
      <w:r w:rsidRPr="00D4309F">
        <w:rPr>
          <w:spacing w:val="-3"/>
        </w:rPr>
        <w:t xml:space="preserve"> </w:t>
      </w:r>
      <w:r w:rsidRPr="00D4309F">
        <w:t>impacts</w:t>
      </w:r>
      <w:r w:rsidRPr="00D4309F">
        <w:rPr>
          <w:spacing w:val="-3"/>
        </w:rPr>
        <w:t xml:space="preserve"> </w:t>
      </w:r>
      <w:r w:rsidRPr="00D4309F">
        <w:t>and</w:t>
      </w:r>
      <w:r w:rsidRPr="00D4309F">
        <w:rPr>
          <w:spacing w:val="-3"/>
        </w:rPr>
        <w:t xml:space="preserve"> </w:t>
      </w:r>
      <w:r w:rsidRPr="00D4309F">
        <w:t>short-and longer-term recommendations.</w:t>
      </w:r>
    </w:p>
    <w:p w14:paraId="7EBC92E5" w14:textId="77777777" w:rsidR="00725977" w:rsidRPr="00D4309F" w:rsidRDefault="00725977" w:rsidP="00FC392F">
      <w:pPr>
        <w:pStyle w:val="ListBullet"/>
      </w:pPr>
      <w:r w:rsidRPr="00D4309F">
        <w:t>Consideration</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impact</w:t>
      </w:r>
      <w:r w:rsidRPr="00D4309F">
        <w:rPr>
          <w:spacing w:val="-3"/>
        </w:rPr>
        <w:t xml:space="preserve"> </w:t>
      </w:r>
      <w:r w:rsidRPr="00D4309F">
        <w:t>arising</w:t>
      </w:r>
      <w:r w:rsidRPr="00D4309F">
        <w:rPr>
          <w:spacing w:val="-3"/>
        </w:rPr>
        <w:t xml:space="preserve"> </w:t>
      </w:r>
      <w:r w:rsidRPr="00D4309F">
        <w:t>from</w:t>
      </w:r>
      <w:r w:rsidRPr="00D4309F">
        <w:rPr>
          <w:spacing w:val="-3"/>
        </w:rPr>
        <w:t xml:space="preserve"> </w:t>
      </w:r>
      <w:r w:rsidRPr="00D4309F">
        <w:t>any</w:t>
      </w:r>
      <w:r w:rsidRPr="00D4309F">
        <w:rPr>
          <w:spacing w:val="-2"/>
        </w:rPr>
        <w:t xml:space="preserve"> </w:t>
      </w:r>
      <w:r w:rsidRPr="00D4309F">
        <w:t>proposed</w:t>
      </w:r>
      <w:r w:rsidRPr="00D4309F">
        <w:rPr>
          <w:spacing w:val="-3"/>
        </w:rPr>
        <w:t xml:space="preserve"> </w:t>
      </w:r>
      <w:r w:rsidRPr="00D4309F">
        <w:t>intervention</w:t>
      </w:r>
      <w:r w:rsidRPr="00D4309F">
        <w:rPr>
          <w:spacing w:val="-3"/>
        </w:rPr>
        <w:t xml:space="preserve"> </w:t>
      </w:r>
      <w:r w:rsidRPr="00D4309F">
        <w:t>on</w:t>
      </w:r>
      <w:r w:rsidRPr="00D4309F">
        <w:rPr>
          <w:spacing w:val="-3"/>
        </w:rPr>
        <w:t xml:space="preserve"> </w:t>
      </w:r>
      <w:r w:rsidRPr="00D4309F">
        <w:t>the</w:t>
      </w:r>
      <w:r w:rsidRPr="00D4309F">
        <w:rPr>
          <w:spacing w:val="-3"/>
        </w:rPr>
        <w:t xml:space="preserve"> </w:t>
      </w:r>
      <w:r w:rsidRPr="00D4309F">
        <w:t>community,</w:t>
      </w:r>
      <w:r w:rsidRPr="00D4309F">
        <w:rPr>
          <w:spacing w:val="-3"/>
        </w:rPr>
        <w:t xml:space="preserve"> </w:t>
      </w:r>
      <w:r w:rsidRPr="00D4309F">
        <w:t>tourism</w:t>
      </w:r>
      <w:r w:rsidRPr="00D4309F">
        <w:rPr>
          <w:spacing w:val="-3"/>
        </w:rPr>
        <w:t xml:space="preserve"> </w:t>
      </w:r>
      <w:r w:rsidRPr="00D4309F">
        <w:t>operators, maritime and recreational users.</w:t>
      </w:r>
    </w:p>
    <w:p w14:paraId="235C5BD8" w14:textId="77777777" w:rsidR="00725977" w:rsidRPr="00D4309F" w:rsidRDefault="00725977" w:rsidP="00FC392F">
      <w:pPr>
        <w:pStyle w:val="ListBullet"/>
      </w:pPr>
      <w:r w:rsidRPr="00D4309F">
        <w:t>Any</w:t>
      </w:r>
      <w:r w:rsidRPr="00D4309F">
        <w:rPr>
          <w:spacing w:val="-6"/>
        </w:rPr>
        <w:t xml:space="preserve"> </w:t>
      </w:r>
      <w:r w:rsidRPr="00D4309F">
        <w:t>other</w:t>
      </w:r>
      <w:r w:rsidRPr="00D4309F">
        <w:rPr>
          <w:spacing w:val="-3"/>
        </w:rPr>
        <w:t xml:space="preserve"> </w:t>
      </w:r>
      <w:r w:rsidRPr="00D4309F">
        <w:t>relevant</w:t>
      </w:r>
      <w:r w:rsidRPr="00D4309F">
        <w:rPr>
          <w:spacing w:val="-4"/>
        </w:rPr>
        <w:t xml:space="preserve"> </w:t>
      </w:r>
      <w:r w:rsidRPr="00D4309F">
        <w:t>matters</w:t>
      </w:r>
      <w:r w:rsidRPr="00D4309F">
        <w:rPr>
          <w:spacing w:val="-4"/>
        </w:rPr>
        <w:t xml:space="preserve"> </w:t>
      </w:r>
      <w:r w:rsidRPr="00D4309F">
        <w:t>the</w:t>
      </w:r>
      <w:r w:rsidRPr="00D4309F">
        <w:rPr>
          <w:spacing w:val="-4"/>
        </w:rPr>
        <w:t xml:space="preserve"> </w:t>
      </w:r>
      <w:r w:rsidRPr="00D4309F">
        <w:t>independent</w:t>
      </w:r>
      <w:r w:rsidRPr="00D4309F">
        <w:rPr>
          <w:spacing w:val="-4"/>
        </w:rPr>
        <w:t xml:space="preserve"> </w:t>
      </w:r>
      <w:r w:rsidRPr="00D4309F">
        <w:t>reviewer</w:t>
      </w:r>
      <w:r w:rsidRPr="00D4309F">
        <w:rPr>
          <w:spacing w:val="-5"/>
        </w:rPr>
        <w:t xml:space="preserve"> </w:t>
      </w:r>
      <w:r w:rsidRPr="00D4309F">
        <w:t>considers</w:t>
      </w:r>
      <w:r w:rsidRPr="00D4309F">
        <w:rPr>
          <w:spacing w:val="-3"/>
        </w:rPr>
        <w:t xml:space="preserve"> </w:t>
      </w:r>
      <w:r w:rsidRPr="00D4309F">
        <w:t>appropriate</w:t>
      </w:r>
      <w:r w:rsidRPr="00D4309F">
        <w:rPr>
          <w:spacing w:val="-4"/>
        </w:rPr>
        <w:t xml:space="preserve"> </w:t>
      </w:r>
      <w:r w:rsidRPr="00D4309F">
        <w:t>to</w:t>
      </w:r>
      <w:r w:rsidRPr="00D4309F">
        <w:rPr>
          <w:spacing w:val="-4"/>
        </w:rPr>
        <w:t xml:space="preserve"> </w:t>
      </w:r>
      <w:r w:rsidRPr="00D4309F">
        <w:t>the</w:t>
      </w:r>
      <w:r w:rsidRPr="00D4309F">
        <w:rPr>
          <w:spacing w:val="-4"/>
        </w:rPr>
        <w:t xml:space="preserve"> </w:t>
      </w:r>
      <w:r w:rsidRPr="00D4309F">
        <w:rPr>
          <w:spacing w:val="-2"/>
        </w:rPr>
        <w:t>review.</w:t>
      </w:r>
    </w:p>
    <w:p w14:paraId="293C42AA" w14:textId="77777777" w:rsidR="00725977" w:rsidRPr="00D4309F" w:rsidRDefault="00725977" w:rsidP="00FC392F">
      <w:pPr>
        <w:pStyle w:val="ListBullet"/>
      </w:pPr>
      <w:r w:rsidRPr="00D4309F">
        <w:t>The</w:t>
      </w:r>
      <w:r w:rsidRPr="00D4309F">
        <w:rPr>
          <w:spacing w:val="-3"/>
        </w:rPr>
        <w:t xml:space="preserve"> </w:t>
      </w:r>
      <w:r w:rsidRPr="00D4309F">
        <w:t>scope</w:t>
      </w:r>
      <w:r w:rsidRPr="00D4309F">
        <w:rPr>
          <w:spacing w:val="-3"/>
        </w:rPr>
        <w:t xml:space="preserve"> </w:t>
      </w:r>
      <w:r w:rsidRPr="00D4309F">
        <w:t>of</w:t>
      </w:r>
      <w:r w:rsidRPr="00D4309F">
        <w:rPr>
          <w:spacing w:val="-3"/>
        </w:rPr>
        <w:t xml:space="preserve"> </w:t>
      </w:r>
      <w:r w:rsidRPr="00D4309F">
        <w:t>work</w:t>
      </w:r>
      <w:r w:rsidRPr="00D4309F">
        <w:rPr>
          <w:spacing w:val="-2"/>
        </w:rPr>
        <w:t xml:space="preserve"> </w:t>
      </w:r>
      <w:r w:rsidRPr="00D4309F">
        <w:t>does</w:t>
      </w:r>
      <w:r w:rsidRPr="00D4309F">
        <w:rPr>
          <w:spacing w:val="-2"/>
        </w:rPr>
        <w:t xml:space="preserve"> </w:t>
      </w:r>
      <w:r w:rsidRPr="00D4309F">
        <w:t>not</w:t>
      </w:r>
      <w:r w:rsidRPr="00D4309F">
        <w:rPr>
          <w:spacing w:val="-3"/>
        </w:rPr>
        <w:t xml:space="preserve"> </w:t>
      </w:r>
      <w:r w:rsidRPr="00D4309F">
        <w:t>include</w:t>
      </w:r>
      <w:r w:rsidRPr="00D4309F">
        <w:rPr>
          <w:spacing w:val="-3"/>
        </w:rPr>
        <w:t xml:space="preserve"> </w:t>
      </w:r>
      <w:r w:rsidRPr="00D4309F">
        <w:t>a</w:t>
      </w:r>
      <w:r w:rsidRPr="00D4309F">
        <w:rPr>
          <w:spacing w:val="-3"/>
        </w:rPr>
        <w:t xml:space="preserve"> </w:t>
      </w:r>
      <w:r w:rsidRPr="00D4309F">
        <w:t>full</w:t>
      </w:r>
      <w:r w:rsidRPr="00D4309F">
        <w:rPr>
          <w:spacing w:val="-4"/>
        </w:rPr>
        <w:t xml:space="preserve"> </w:t>
      </w:r>
      <w:r w:rsidRPr="00D4309F">
        <w:t>impact</w:t>
      </w:r>
      <w:r w:rsidRPr="00D4309F">
        <w:rPr>
          <w:spacing w:val="-3"/>
        </w:rPr>
        <w:t xml:space="preserve"> </w:t>
      </w:r>
      <w:r w:rsidRPr="00D4309F">
        <w:t>assessment</w:t>
      </w:r>
      <w:r w:rsidRPr="00D4309F">
        <w:rPr>
          <w:spacing w:val="-3"/>
        </w:rPr>
        <w:t xml:space="preserve"> </w:t>
      </w:r>
      <w:r w:rsidRPr="00D4309F">
        <w:t>of</w:t>
      </w:r>
      <w:r w:rsidRPr="00D4309F">
        <w:rPr>
          <w:spacing w:val="-3"/>
        </w:rPr>
        <w:t xml:space="preserve"> </w:t>
      </w:r>
      <w:r w:rsidRPr="00D4309F">
        <w:t>options</w:t>
      </w:r>
      <w:r w:rsidRPr="00D4309F">
        <w:rPr>
          <w:spacing w:val="-2"/>
        </w:rPr>
        <w:t xml:space="preserve"> </w:t>
      </w:r>
      <w:r w:rsidRPr="00D4309F">
        <w:t>as</w:t>
      </w:r>
      <w:r w:rsidRPr="00D4309F">
        <w:rPr>
          <w:spacing w:val="-2"/>
        </w:rPr>
        <w:t xml:space="preserve"> </w:t>
      </w:r>
      <w:r w:rsidRPr="00D4309F">
        <w:t>this</w:t>
      </w:r>
      <w:r w:rsidRPr="00D4309F">
        <w:rPr>
          <w:spacing w:val="-3"/>
        </w:rPr>
        <w:t xml:space="preserve"> </w:t>
      </w:r>
      <w:r w:rsidRPr="00D4309F">
        <w:t>would</w:t>
      </w:r>
      <w:r w:rsidRPr="00D4309F">
        <w:rPr>
          <w:spacing w:val="-3"/>
        </w:rPr>
        <w:t xml:space="preserve"> </w:t>
      </w:r>
      <w:r w:rsidRPr="00D4309F">
        <w:t>require</w:t>
      </w:r>
      <w:r w:rsidRPr="00D4309F">
        <w:rPr>
          <w:spacing w:val="-3"/>
        </w:rPr>
        <w:t xml:space="preserve"> </w:t>
      </w:r>
      <w:r w:rsidRPr="00D4309F">
        <w:t>detailed project design and footprint information.</w:t>
      </w:r>
    </w:p>
    <w:p w14:paraId="07D63B65" w14:textId="1BADF1AF" w:rsidR="00725977" w:rsidRPr="00D4309F" w:rsidRDefault="005E25EF" w:rsidP="005E25EF">
      <w:pPr>
        <w:pStyle w:val="BodyText"/>
      </w:pPr>
      <w:r>
        <w:t>The d</w:t>
      </w:r>
      <w:r w:rsidR="00725977" w:rsidRPr="00D4309F">
        <w:t>eliverables</w:t>
      </w:r>
      <w:r>
        <w:t xml:space="preserve"> are</w:t>
      </w:r>
      <w:r w:rsidR="00725977" w:rsidRPr="00D4309F">
        <w:t>:</w:t>
      </w:r>
    </w:p>
    <w:p w14:paraId="40B137AE" w14:textId="77777777" w:rsidR="00725977" w:rsidRPr="00D4309F" w:rsidRDefault="00725977" w:rsidP="00FC392F">
      <w:pPr>
        <w:pStyle w:val="ListBullet"/>
      </w:pPr>
      <w:r w:rsidRPr="00D4309F">
        <w:t>Interim</w:t>
      </w:r>
      <w:r w:rsidRPr="00D4309F">
        <w:rPr>
          <w:spacing w:val="-3"/>
        </w:rPr>
        <w:t xml:space="preserve"> </w:t>
      </w:r>
      <w:r w:rsidRPr="00D4309F">
        <w:t>report</w:t>
      </w:r>
      <w:r w:rsidRPr="00D4309F">
        <w:rPr>
          <w:spacing w:val="-5"/>
        </w:rPr>
        <w:t xml:space="preserve"> </w:t>
      </w:r>
      <w:r w:rsidRPr="00D4309F">
        <w:t>(Part</w:t>
      </w:r>
      <w:r w:rsidRPr="00D4309F">
        <w:rPr>
          <w:spacing w:val="-3"/>
        </w:rPr>
        <w:t xml:space="preserve"> </w:t>
      </w:r>
      <w:r w:rsidRPr="00D4309F">
        <w:t>1)</w:t>
      </w:r>
      <w:r w:rsidRPr="00D4309F">
        <w:rPr>
          <w:spacing w:val="-3"/>
        </w:rPr>
        <w:t xml:space="preserve"> </w:t>
      </w:r>
      <w:r w:rsidRPr="00D4309F">
        <w:t>with</w:t>
      </w:r>
      <w:r w:rsidRPr="00D4309F">
        <w:rPr>
          <w:spacing w:val="-4"/>
        </w:rPr>
        <w:t xml:space="preserve"> </w:t>
      </w:r>
      <w:r w:rsidRPr="00D4309F">
        <w:t>recommendations</w:t>
      </w:r>
      <w:r w:rsidRPr="00D4309F">
        <w:rPr>
          <w:spacing w:val="-2"/>
        </w:rPr>
        <w:t xml:space="preserve"> </w:t>
      </w:r>
      <w:r w:rsidRPr="00D4309F">
        <w:t>for</w:t>
      </w:r>
      <w:r w:rsidRPr="00D4309F">
        <w:rPr>
          <w:spacing w:val="-4"/>
        </w:rPr>
        <w:t xml:space="preserve"> </w:t>
      </w:r>
      <w:r w:rsidRPr="00D4309F">
        <w:t>short-term</w:t>
      </w:r>
      <w:r w:rsidRPr="00D4309F">
        <w:rPr>
          <w:spacing w:val="-3"/>
        </w:rPr>
        <w:t xml:space="preserve"> </w:t>
      </w:r>
      <w:r w:rsidRPr="00D4309F">
        <w:t>actions</w:t>
      </w:r>
      <w:r w:rsidRPr="00D4309F">
        <w:rPr>
          <w:spacing w:val="-2"/>
        </w:rPr>
        <w:t xml:space="preserve"> </w:t>
      </w:r>
      <w:r w:rsidRPr="00D4309F">
        <w:t>that</w:t>
      </w:r>
      <w:r w:rsidRPr="00D4309F">
        <w:rPr>
          <w:spacing w:val="-3"/>
        </w:rPr>
        <w:t xml:space="preserve"> </w:t>
      </w:r>
      <w:r w:rsidRPr="00D4309F">
        <w:t>can</w:t>
      </w:r>
      <w:r w:rsidRPr="00D4309F">
        <w:rPr>
          <w:spacing w:val="-3"/>
        </w:rPr>
        <w:t xml:space="preserve"> </w:t>
      </w:r>
      <w:r w:rsidRPr="00D4309F">
        <w:t>be</w:t>
      </w:r>
      <w:r w:rsidRPr="00D4309F">
        <w:rPr>
          <w:spacing w:val="-3"/>
        </w:rPr>
        <w:t xml:space="preserve"> </w:t>
      </w:r>
      <w:r w:rsidRPr="00D4309F">
        <w:t>made</w:t>
      </w:r>
      <w:r w:rsidRPr="00D4309F">
        <w:rPr>
          <w:spacing w:val="-3"/>
        </w:rPr>
        <w:t xml:space="preserve"> </w:t>
      </w:r>
      <w:r w:rsidRPr="00D4309F">
        <w:t>prior</w:t>
      </w:r>
      <w:r w:rsidRPr="00D4309F">
        <w:rPr>
          <w:spacing w:val="-2"/>
        </w:rPr>
        <w:t xml:space="preserve"> </w:t>
      </w:r>
      <w:r w:rsidRPr="00D4309F">
        <w:t>to</w:t>
      </w:r>
      <w:r w:rsidRPr="00D4309F">
        <w:rPr>
          <w:spacing w:val="-3"/>
        </w:rPr>
        <w:t xml:space="preserve"> </w:t>
      </w:r>
      <w:r w:rsidRPr="00D4309F">
        <w:t>the completion of the final report.</w:t>
      </w:r>
    </w:p>
    <w:p w14:paraId="69B1EB92" w14:textId="77777777" w:rsidR="00725977" w:rsidRPr="00D4309F" w:rsidRDefault="00725977" w:rsidP="00FC392F">
      <w:pPr>
        <w:pStyle w:val="ListBullet"/>
      </w:pPr>
      <w:r w:rsidRPr="00D4309F">
        <w:t>Final</w:t>
      </w:r>
      <w:r w:rsidRPr="00D4309F">
        <w:rPr>
          <w:spacing w:val="-3"/>
        </w:rPr>
        <w:t xml:space="preserve"> </w:t>
      </w:r>
      <w:r w:rsidRPr="00D4309F">
        <w:t>report</w:t>
      </w:r>
      <w:r w:rsidRPr="00D4309F">
        <w:rPr>
          <w:spacing w:val="-4"/>
        </w:rPr>
        <w:t xml:space="preserve"> </w:t>
      </w:r>
      <w:r w:rsidRPr="00D4309F">
        <w:t>(Part</w:t>
      </w:r>
      <w:r w:rsidRPr="00D4309F">
        <w:rPr>
          <w:spacing w:val="-3"/>
        </w:rPr>
        <w:t xml:space="preserve"> </w:t>
      </w:r>
      <w:r w:rsidRPr="00D4309F">
        <w:t>2)</w:t>
      </w:r>
      <w:r w:rsidRPr="00D4309F">
        <w:rPr>
          <w:spacing w:val="-3"/>
        </w:rPr>
        <w:t xml:space="preserve"> </w:t>
      </w:r>
      <w:r w:rsidRPr="00D4309F">
        <w:t>that</w:t>
      </w:r>
      <w:r w:rsidRPr="00D4309F">
        <w:rPr>
          <w:spacing w:val="-3"/>
        </w:rPr>
        <w:t xml:space="preserve"> </w:t>
      </w:r>
      <w:r w:rsidRPr="00D4309F">
        <w:t>includes</w:t>
      </w:r>
      <w:r w:rsidRPr="00D4309F">
        <w:rPr>
          <w:spacing w:val="-3"/>
        </w:rPr>
        <w:t xml:space="preserve"> </w:t>
      </w:r>
      <w:r w:rsidRPr="00D4309F">
        <w:t>review</w:t>
      </w:r>
      <w:r w:rsidRPr="00D4309F">
        <w:rPr>
          <w:spacing w:val="-4"/>
        </w:rPr>
        <w:t xml:space="preserve"> </w:t>
      </w:r>
      <w:r w:rsidRPr="00D4309F">
        <w:t>of</w:t>
      </w:r>
      <w:r w:rsidRPr="00D4309F">
        <w:rPr>
          <w:spacing w:val="-3"/>
        </w:rPr>
        <w:t xml:space="preserve"> </w:t>
      </w:r>
      <w:r w:rsidRPr="00D4309F">
        <w:t>existing</w:t>
      </w:r>
      <w:r w:rsidRPr="00D4309F">
        <w:rPr>
          <w:spacing w:val="-3"/>
        </w:rPr>
        <w:t xml:space="preserve"> </w:t>
      </w:r>
      <w:r w:rsidRPr="00D4309F">
        <w:t>analysis,</w:t>
      </w:r>
      <w:r w:rsidRPr="00D4309F">
        <w:rPr>
          <w:spacing w:val="-3"/>
        </w:rPr>
        <w:t xml:space="preserve"> </w:t>
      </w:r>
      <w:r w:rsidRPr="00D4309F">
        <w:t>outcomes</w:t>
      </w:r>
      <w:r w:rsidRPr="00D4309F">
        <w:rPr>
          <w:spacing w:val="-2"/>
        </w:rPr>
        <w:t xml:space="preserve"> </w:t>
      </w:r>
      <w:r w:rsidRPr="00D4309F">
        <w:t>of</w:t>
      </w:r>
      <w:r w:rsidRPr="00D4309F">
        <w:rPr>
          <w:spacing w:val="-3"/>
        </w:rPr>
        <w:t xml:space="preserve"> </w:t>
      </w:r>
      <w:r w:rsidRPr="00D4309F">
        <w:t>consultation,</w:t>
      </w:r>
      <w:r w:rsidRPr="00D4309F">
        <w:rPr>
          <w:spacing w:val="-3"/>
        </w:rPr>
        <w:t xml:space="preserve"> </w:t>
      </w:r>
      <w:r w:rsidRPr="00D4309F">
        <w:t>and</w:t>
      </w:r>
      <w:r w:rsidRPr="00D4309F">
        <w:rPr>
          <w:spacing w:val="-3"/>
        </w:rPr>
        <w:t xml:space="preserve"> </w:t>
      </w:r>
      <w:r w:rsidRPr="00D4309F">
        <w:t>short-</w:t>
      </w:r>
      <w:r w:rsidRPr="00D4309F">
        <w:rPr>
          <w:spacing w:val="-3"/>
        </w:rPr>
        <w:t xml:space="preserve"> </w:t>
      </w:r>
      <w:r w:rsidRPr="00D4309F">
        <w:t>and long-term recommendations.</w:t>
      </w:r>
    </w:p>
    <w:p w14:paraId="69A72650" w14:textId="77777777" w:rsidR="00725977" w:rsidRPr="00D4309F" w:rsidRDefault="00725977" w:rsidP="00725977">
      <w:pPr>
        <w:rPr>
          <w:color w:val="211E1F"/>
        </w:rPr>
      </w:pPr>
      <w:r w:rsidRPr="00D4309F">
        <w:rPr>
          <w:color w:val="211E1F"/>
        </w:rPr>
        <w:br w:type="page"/>
      </w:r>
    </w:p>
    <w:p w14:paraId="4C75C8F1" w14:textId="77777777" w:rsidR="00725977" w:rsidRPr="00417B13" w:rsidRDefault="00725977" w:rsidP="00417B13">
      <w:pPr>
        <w:pStyle w:val="Heading1-nonumber"/>
        <w:jc w:val="right"/>
        <w:rPr>
          <w:color w:val="5F6369"/>
        </w:rPr>
      </w:pPr>
      <w:bookmarkStart w:id="20" w:name="_Toc216699296"/>
      <w:r w:rsidRPr="00417B13">
        <w:rPr>
          <w:color w:val="5F6369"/>
        </w:rPr>
        <w:lastRenderedPageBreak/>
        <w:t>PART</w:t>
      </w:r>
      <w:r w:rsidRPr="00417B13">
        <w:rPr>
          <w:color w:val="5F6369"/>
          <w:spacing w:val="-2"/>
        </w:rPr>
        <w:t xml:space="preserve"> </w:t>
      </w:r>
      <w:r w:rsidRPr="00417B13">
        <w:rPr>
          <w:color w:val="5F6369"/>
          <w:spacing w:val="-10"/>
        </w:rPr>
        <w:t>1</w:t>
      </w:r>
      <w:bookmarkEnd w:id="20"/>
    </w:p>
    <w:p w14:paraId="769786A7" w14:textId="77777777" w:rsidR="00725977" w:rsidRPr="00D4309F" w:rsidRDefault="00725977" w:rsidP="00725977">
      <w:pPr>
        <w:pStyle w:val="BodyText"/>
      </w:pPr>
      <w:r w:rsidRPr="00D4309F">
        <w:t>The</w:t>
      </w:r>
      <w:r w:rsidRPr="00D4309F">
        <w:rPr>
          <w:spacing w:val="-3"/>
        </w:rPr>
        <w:t xml:space="preserve"> </w:t>
      </w:r>
      <w:r w:rsidRPr="00D4309F">
        <w:t>objectives</w:t>
      </w:r>
      <w:r w:rsidRPr="00D4309F">
        <w:rPr>
          <w:spacing w:val="-1"/>
        </w:rPr>
        <w:t xml:space="preserve"> </w:t>
      </w:r>
      <w:r w:rsidRPr="00D4309F">
        <w:t>of</w:t>
      </w:r>
      <w:r w:rsidRPr="00D4309F">
        <w:rPr>
          <w:spacing w:val="-3"/>
        </w:rPr>
        <w:t xml:space="preserve"> </w:t>
      </w:r>
      <w:r w:rsidRPr="00D4309F">
        <w:t>Part</w:t>
      </w:r>
      <w:r w:rsidRPr="00D4309F">
        <w:rPr>
          <w:spacing w:val="-2"/>
        </w:rPr>
        <w:t xml:space="preserve"> </w:t>
      </w:r>
      <w:r w:rsidRPr="00D4309F">
        <w:t>1</w:t>
      </w:r>
      <w:r w:rsidRPr="00D4309F">
        <w:rPr>
          <w:spacing w:val="-2"/>
        </w:rPr>
        <w:t xml:space="preserve"> </w:t>
      </w:r>
      <w:r w:rsidRPr="00D4309F">
        <w:t>of</w:t>
      </w:r>
      <w:r w:rsidRPr="00D4309F">
        <w:rPr>
          <w:spacing w:val="-3"/>
        </w:rPr>
        <w:t xml:space="preserve"> </w:t>
      </w:r>
      <w:r w:rsidRPr="00D4309F">
        <w:t>the</w:t>
      </w:r>
      <w:r w:rsidRPr="00D4309F">
        <w:rPr>
          <w:spacing w:val="-2"/>
        </w:rPr>
        <w:t xml:space="preserve"> </w:t>
      </w:r>
      <w:r w:rsidRPr="00D4309F">
        <w:t>Report</w:t>
      </w:r>
      <w:r w:rsidRPr="00D4309F">
        <w:rPr>
          <w:spacing w:val="-3"/>
        </w:rPr>
        <w:t xml:space="preserve"> </w:t>
      </w:r>
      <w:r w:rsidRPr="00D4309F">
        <w:rPr>
          <w:spacing w:val="-4"/>
        </w:rPr>
        <w:t>are:</w:t>
      </w:r>
    </w:p>
    <w:p w14:paraId="2E159DA5" w14:textId="77777777" w:rsidR="00725977" w:rsidRPr="00D4309F" w:rsidRDefault="00725977" w:rsidP="00EC018A">
      <w:pPr>
        <w:pStyle w:val="ListBullet"/>
      </w:pPr>
      <w:r w:rsidRPr="00D4309F">
        <w:t>Undertake</w:t>
      </w:r>
      <w:r w:rsidRPr="00D4309F">
        <w:rPr>
          <w:spacing w:val="-3"/>
        </w:rPr>
        <w:t xml:space="preserve"> </w:t>
      </w:r>
      <w:r w:rsidRPr="00D4309F">
        <w:t>a</w:t>
      </w:r>
      <w:r w:rsidRPr="00D4309F">
        <w:rPr>
          <w:spacing w:val="-4"/>
        </w:rPr>
        <w:t xml:space="preserve"> </w:t>
      </w:r>
      <w:r w:rsidRPr="00D4309F">
        <w:t>desktop</w:t>
      </w:r>
      <w:r w:rsidRPr="00D4309F">
        <w:rPr>
          <w:spacing w:val="-3"/>
        </w:rPr>
        <w:t xml:space="preserve"> </w:t>
      </w:r>
      <w:r w:rsidRPr="00D4309F">
        <w:t>review</w:t>
      </w:r>
      <w:r w:rsidRPr="00D4309F">
        <w:rPr>
          <w:spacing w:val="-2"/>
        </w:rPr>
        <w:t xml:space="preserve"> </w:t>
      </w:r>
      <w:r w:rsidRPr="00D4309F">
        <w:t>of</w:t>
      </w:r>
      <w:r w:rsidRPr="00D4309F">
        <w:rPr>
          <w:spacing w:val="-3"/>
        </w:rPr>
        <w:t xml:space="preserve"> </w:t>
      </w:r>
      <w:r w:rsidRPr="00D4309F">
        <w:t>previous</w:t>
      </w:r>
      <w:r w:rsidRPr="00D4309F">
        <w:rPr>
          <w:spacing w:val="-3"/>
        </w:rPr>
        <w:t xml:space="preserve"> </w:t>
      </w:r>
      <w:r w:rsidRPr="00D4309F">
        <w:t>reports</w:t>
      </w:r>
      <w:r w:rsidRPr="00D4309F">
        <w:rPr>
          <w:spacing w:val="-2"/>
        </w:rPr>
        <w:t xml:space="preserve"> </w:t>
      </w:r>
      <w:r w:rsidRPr="00D4309F">
        <w:t>and</w:t>
      </w:r>
      <w:r w:rsidRPr="00D4309F">
        <w:rPr>
          <w:spacing w:val="-3"/>
        </w:rPr>
        <w:t xml:space="preserve"> </w:t>
      </w:r>
      <w:r w:rsidRPr="00D4309F">
        <w:t>studies</w:t>
      </w:r>
      <w:r w:rsidRPr="00D4309F">
        <w:rPr>
          <w:spacing w:val="-2"/>
        </w:rPr>
        <w:t xml:space="preserve"> </w:t>
      </w:r>
      <w:r w:rsidRPr="00D4309F">
        <w:t>relating</w:t>
      </w:r>
      <w:r w:rsidRPr="00D4309F">
        <w:rPr>
          <w:spacing w:val="-3"/>
        </w:rPr>
        <w:t xml:space="preserve"> </w:t>
      </w:r>
      <w:r w:rsidRPr="00D4309F">
        <w:t>to</w:t>
      </w:r>
      <w:r w:rsidRPr="00D4309F">
        <w:rPr>
          <w:spacing w:val="-3"/>
        </w:rPr>
        <w:t xml:space="preserve"> </w:t>
      </w:r>
      <w:r w:rsidRPr="00D4309F">
        <w:t>the</w:t>
      </w:r>
      <w:r w:rsidRPr="00D4309F">
        <w:rPr>
          <w:spacing w:val="-3"/>
        </w:rPr>
        <w:t xml:space="preserve"> </w:t>
      </w:r>
      <w:r w:rsidRPr="00D4309F">
        <w:t>cause</w:t>
      </w:r>
      <w:r w:rsidRPr="00D4309F">
        <w:rPr>
          <w:spacing w:val="-3"/>
        </w:rPr>
        <w:t xml:space="preserve"> </w:t>
      </w:r>
      <w:r w:rsidRPr="00D4309F">
        <w:t>and</w:t>
      </w:r>
      <w:r w:rsidRPr="00D4309F">
        <w:rPr>
          <w:spacing w:val="-3"/>
        </w:rPr>
        <w:t xml:space="preserve"> </w:t>
      </w:r>
      <w:r w:rsidRPr="00D4309F">
        <w:t>impacts</w:t>
      </w:r>
      <w:r w:rsidRPr="00D4309F">
        <w:rPr>
          <w:spacing w:val="-2"/>
        </w:rPr>
        <w:t xml:space="preserve"> </w:t>
      </w:r>
      <w:r w:rsidRPr="00D4309F">
        <w:t>of shoaling events</w:t>
      </w:r>
    </w:p>
    <w:p w14:paraId="0E4D88DA" w14:textId="77777777" w:rsidR="00725977" w:rsidRPr="00D4309F" w:rsidRDefault="00725977" w:rsidP="00EC018A">
      <w:pPr>
        <w:pStyle w:val="ListBullet"/>
      </w:pPr>
      <w:r w:rsidRPr="00D4309F">
        <w:t>Confirm</w:t>
      </w:r>
      <w:r w:rsidRPr="00D4309F">
        <w:rPr>
          <w:spacing w:val="-4"/>
        </w:rPr>
        <w:t xml:space="preserve"> </w:t>
      </w:r>
      <w:r w:rsidRPr="00D4309F">
        <w:t>causes</w:t>
      </w:r>
      <w:r w:rsidRPr="00D4309F">
        <w:rPr>
          <w:spacing w:val="-2"/>
        </w:rPr>
        <w:t xml:space="preserve"> </w:t>
      </w:r>
      <w:r w:rsidRPr="00D4309F">
        <w:t>for</w:t>
      </w:r>
      <w:r w:rsidRPr="00D4309F">
        <w:rPr>
          <w:spacing w:val="-3"/>
        </w:rPr>
        <w:t xml:space="preserve"> </w:t>
      </w:r>
      <w:r w:rsidRPr="00D4309F">
        <w:t>the</w:t>
      </w:r>
      <w:r w:rsidRPr="00D4309F">
        <w:rPr>
          <w:spacing w:val="-4"/>
        </w:rPr>
        <w:t xml:space="preserve"> </w:t>
      </w:r>
      <w:r w:rsidRPr="00D4309F">
        <w:t>shoaling</w:t>
      </w:r>
      <w:r w:rsidRPr="00D4309F">
        <w:rPr>
          <w:spacing w:val="-3"/>
        </w:rPr>
        <w:t xml:space="preserve"> </w:t>
      </w:r>
      <w:r w:rsidRPr="00D4309F">
        <w:rPr>
          <w:spacing w:val="-2"/>
        </w:rPr>
        <w:t>events</w:t>
      </w:r>
    </w:p>
    <w:p w14:paraId="4F87D8BA" w14:textId="77777777" w:rsidR="00725977" w:rsidRPr="00D4309F" w:rsidRDefault="00725977" w:rsidP="00EC018A">
      <w:pPr>
        <w:pStyle w:val="ListBullet"/>
      </w:pPr>
      <w:r w:rsidRPr="00D4309F">
        <w:t>Identify</w:t>
      </w:r>
      <w:r w:rsidRPr="00D4309F">
        <w:rPr>
          <w:spacing w:val="-4"/>
        </w:rPr>
        <w:t xml:space="preserve"> </w:t>
      </w:r>
      <w:r w:rsidRPr="00D4309F">
        <w:t>impacts</w:t>
      </w:r>
      <w:r w:rsidRPr="00D4309F">
        <w:rPr>
          <w:spacing w:val="-3"/>
        </w:rPr>
        <w:t xml:space="preserve"> </w:t>
      </w:r>
      <w:r w:rsidRPr="00D4309F">
        <w:t>of</w:t>
      </w:r>
      <w:r w:rsidRPr="00D4309F">
        <w:rPr>
          <w:spacing w:val="-4"/>
        </w:rPr>
        <w:t xml:space="preserve"> </w:t>
      </w:r>
      <w:r w:rsidRPr="00D4309F">
        <w:t>the</w:t>
      </w:r>
      <w:r w:rsidRPr="00D4309F">
        <w:rPr>
          <w:spacing w:val="-4"/>
        </w:rPr>
        <w:t xml:space="preserve"> </w:t>
      </w:r>
      <w:r w:rsidRPr="00D4309F">
        <w:t>shoaling</w:t>
      </w:r>
      <w:r w:rsidRPr="00D4309F">
        <w:rPr>
          <w:spacing w:val="-4"/>
        </w:rPr>
        <w:t xml:space="preserve"> </w:t>
      </w:r>
      <w:r w:rsidRPr="00D4309F">
        <w:rPr>
          <w:spacing w:val="-2"/>
        </w:rPr>
        <w:t>events</w:t>
      </w:r>
    </w:p>
    <w:p w14:paraId="299246FE" w14:textId="77777777" w:rsidR="00725977" w:rsidRPr="00D4309F" w:rsidRDefault="00725977" w:rsidP="00EC018A">
      <w:pPr>
        <w:pStyle w:val="ListBullet"/>
      </w:pPr>
      <w:r w:rsidRPr="00D4309F">
        <w:t>Establish</w:t>
      </w:r>
      <w:r w:rsidRPr="00D4309F">
        <w:rPr>
          <w:spacing w:val="-3"/>
        </w:rPr>
        <w:t xml:space="preserve"> </w:t>
      </w:r>
      <w:r w:rsidRPr="00D4309F">
        <w:t>the</w:t>
      </w:r>
      <w:r w:rsidRPr="00D4309F">
        <w:rPr>
          <w:spacing w:val="-3"/>
        </w:rPr>
        <w:t xml:space="preserve"> </w:t>
      </w:r>
      <w:r w:rsidRPr="00D4309F">
        <w:t>coastal</w:t>
      </w:r>
      <w:r w:rsidRPr="00D4309F">
        <w:rPr>
          <w:spacing w:val="-3"/>
        </w:rPr>
        <w:t xml:space="preserve"> </w:t>
      </w:r>
      <w:r w:rsidRPr="00D4309F">
        <w:t>engineering,</w:t>
      </w:r>
      <w:r w:rsidRPr="00D4309F">
        <w:rPr>
          <w:spacing w:val="-4"/>
        </w:rPr>
        <w:t xml:space="preserve"> </w:t>
      </w:r>
      <w:r w:rsidRPr="00D4309F">
        <w:t>socio-economic</w:t>
      </w:r>
      <w:r w:rsidRPr="00D4309F">
        <w:rPr>
          <w:spacing w:val="-3"/>
        </w:rPr>
        <w:t xml:space="preserve"> </w:t>
      </w:r>
      <w:r w:rsidRPr="00D4309F">
        <w:t>and</w:t>
      </w:r>
      <w:r w:rsidRPr="00D4309F">
        <w:rPr>
          <w:spacing w:val="-3"/>
        </w:rPr>
        <w:t xml:space="preserve"> </w:t>
      </w:r>
      <w:r w:rsidRPr="00D4309F">
        <w:t>environmental</w:t>
      </w:r>
      <w:r w:rsidRPr="00D4309F">
        <w:rPr>
          <w:spacing w:val="-3"/>
        </w:rPr>
        <w:t xml:space="preserve"> </w:t>
      </w:r>
      <w:r w:rsidRPr="00D4309F">
        <w:t>context</w:t>
      </w:r>
      <w:r w:rsidRPr="00D4309F">
        <w:rPr>
          <w:spacing w:val="-3"/>
        </w:rPr>
        <w:t xml:space="preserve"> </w:t>
      </w:r>
      <w:r w:rsidRPr="00D4309F">
        <w:t>for</w:t>
      </w:r>
      <w:r w:rsidRPr="00D4309F">
        <w:rPr>
          <w:spacing w:val="-4"/>
        </w:rPr>
        <w:t xml:space="preserve"> </w:t>
      </w:r>
      <w:r w:rsidRPr="00D4309F">
        <w:t>evaluation</w:t>
      </w:r>
      <w:r w:rsidRPr="00D4309F">
        <w:rPr>
          <w:spacing w:val="-3"/>
        </w:rPr>
        <w:t xml:space="preserve"> </w:t>
      </w:r>
      <w:r w:rsidRPr="00D4309F">
        <w:t>of</w:t>
      </w:r>
      <w:r w:rsidRPr="00D4309F">
        <w:rPr>
          <w:spacing w:val="-5"/>
        </w:rPr>
        <w:t xml:space="preserve"> </w:t>
      </w:r>
      <w:r w:rsidRPr="00D4309F">
        <w:t>options</w:t>
      </w:r>
      <w:r w:rsidRPr="00D4309F">
        <w:rPr>
          <w:spacing w:val="-2"/>
        </w:rPr>
        <w:t xml:space="preserve"> </w:t>
      </w:r>
      <w:r w:rsidRPr="00D4309F">
        <w:t>to remedy shoaling events</w:t>
      </w:r>
    </w:p>
    <w:p w14:paraId="6BBA3591" w14:textId="77777777" w:rsidR="00725977" w:rsidRPr="00D4309F" w:rsidRDefault="00725977" w:rsidP="00EC018A">
      <w:pPr>
        <w:pStyle w:val="ListBullet"/>
      </w:pPr>
      <w:r w:rsidRPr="00D4309F">
        <w:t>Understand</w:t>
      </w:r>
      <w:r w:rsidRPr="00D4309F">
        <w:rPr>
          <w:spacing w:val="-6"/>
        </w:rPr>
        <w:t xml:space="preserve"> </w:t>
      </w:r>
      <w:r w:rsidRPr="00D4309F">
        <w:t>SRG</w:t>
      </w:r>
      <w:r w:rsidRPr="00D4309F">
        <w:rPr>
          <w:spacing w:val="-4"/>
        </w:rPr>
        <w:t xml:space="preserve"> </w:t>
      </w:r>
      <w:r w:rsidRPr="00D4309F">
        <w:t>views</w:t>
      </w:r>
      <w:r w:rsidRPr="00D4309F">
        <w:rPr>
          <w:spacing w:val="-2"/>
        </w:rPr>
        <w:t xml:space="preserve"> </w:t>
      </w:r>
      <w:r w:rsidRPr="00D4309F">
        <w:t>for</w:t>
      </w:r>
      <w:r w:rsidRPr="00D4309F">
        <w:rPr>
          <w:spacing w:val="-5"/>
        </w:rPr>
        <w:t xml:space="preserve"> </w:t>
      </w:r>
      <w:r w:rsidRPr="00D4309F">
        <w:t>actions</w:t>
      </w:r>
      <w:r w:rsidRPr="00D4309F">
        <w:rPr>
          <w:spacing w:val="-2"/>
        </w:rPr>
        <w:t xml:space="preserve"> </w:t>
      </w:r>
      <w:r w:rsidRPr="00D4309F">
        <w:t>to</w:t>
      </w:r>
      <w:r w:rsidRPr="00D4309F">
        <w:rPr>
          <w:spacing w:val="-4"/>
        </w:rPr>
        <w:t xml:space="preserve"> </w:t>
      </w:r>
      <w:r w:rsidRPr="00D4309F">
        <w:t>remedy</w:t>
      </w:r>
      <w:r w:rsidRPr="00D4309F">
        <w:rPr>
          <w:spacing w:val="-2"/>
        </w:rPr>
        <w:t xml:space="preserve"> </w:t>
      </w:r>
      <w:r w:rsidRPr="00D4309F">
        <w:t>the</w:t>
      </w:r>
      <w:r w:rsidRPr="00D4309F">
        <w:rPr>
          <w:spacing w:val="-5"/>
        </w:rPr>
        <w:t xml:space="preserve"> </w:t>
      </w:r>
      <w:r w:rsidRPr="00D4309F">
        <w:t>shoaling</w:t>
      </w:r>
      <w:r w:rsidRPr="00D4309F">
        <w:rPr>
          <w:spacing w:val="-3"/>
        </w:rPr>
        <w:t xml:space="preserve"> </w:t>
      </w:r>
      <w:r w:rsidRPr="00D4309F">
        <w:rPr>
          <w:spacing w:val="-2"/>
        </w:rPr>
        <w:t>events.</w:t>
      </w:r>
    </w:p>
    <w:p w14:paraId="61A5FDD3" w14:textId="77777777" w:rsidR="00725977" w:rsidRPr="00D4309F" w:rsidRDefault="00725977" w:rsidP="00EC018A">
      <w:pPr>
        <w:pStyle w:val="ListBullet"/>
      </w:pPr>
      <w:r w:rsidRPr="00D4309F">
        <w:t>Develop</w:t>
      </w:r>
      <w:r w:rsidRPr="00D4309F">
        <w:rPr>
          <w:spacing w:val="-4"/>
        </w:rPr>
        <w:t xml:space="preserve"> </w:t>
      </w:r>
      <w:r w:rsidRPr="00D4309F">
        <w:t>short-term</w:t>
      </w:r>
      <w:r w:rsidRPr="00D4309F">
        <w:rPr>
          <w:spacing w:val="-4"/>
        </w:rPr>
        <w:t xml:space="preserve"> </w:t>
      </w:r>
      <w:r w:rsidRPr="00D4309F">
        <w:t>recommendations</w:t>
      </w:r>
      <w:r w:rsidRPr="00D4309F">
        <w:rPr>
          <w:spacing w:val="-3"/>
        </w:rPr>
        <w:t xml:space="preserve"> </w:t>
      </w:r>
      <w:r w:rsidRPr="00D4309F">
        <w:t>for</w:t>
      </w:r>
      <w:r w:rsidRPr="00D4309F">
        <w:rPr>
          <w:spacing w:val="-3"/>
        </w:rPr>
        <w:t xml:space="preserve"> </w:t>
      </w:r>
      <w:r w:rsidRPr="00D4309F">
        <w:t>consideration</w:t>
      </w:r>
      <w:r w:rsidRPr="00D4309F">
        <w:rPr>
          <w:spacing w:val="-4"/>
        </w:rPr>
        <w:t xml:space="preserve"> </w:t>
      </w:r>
      <w:r w:rsidRPr="00D4309F">
        <w:t>by</w:t>
      </w:r>
      <w:r w:rsidRPr="00D4309F">
        <w:rPr>
          <w:spacing w:val="-3"/>
        </w:rPr>
        <w:t xml:space="preserve"> </w:t>
      </w:r>
      <w:r w:rsidRPr="00D4309F">
        <w:t>Government</w:t>
      </w:r>
      <w:r w:rsidRPr="00D4309F">
        <w:rPr>
          <w:spacing w:val="-5"/>
        </w:rPr>
        <w:t xml:space="preserve"> </w:t>
      </w:r>
      <w:r w:rsidRPr="00D4309F">
        <w:t>that</w:t>
      </w:r>
      <w:r w:rsidRPr="00D4309F">
        <w:rPr>
          <w:spacing w:val="-4"/>
        </w:rPr>
        <w:t xml:space="preserve"> </w:t>
      </w:r>
      <w:r w:rsidRPr="00D4309F">
        <w:t>maximise</w:t>
      </w:r>
      <w:r w:rsidRPr="00D4309F">
        <w:rPr>
          <w:spacing w:val="-4"/>
        </w:rPr>
        <w:t xml:space="preserve"> </w:t>
      </w:r>
      <w:r w:rsidRPr="00D4309F">
        <w:t>navigational safety at the entrance until longer-term solutions can be implemented.</w:t>
      </w:r>
    </w:p>
    <w:p w14:paraId="38077520" w14:textId="77777777" w:rsidR="00725977" w:rsidRPr="00D4309F" w:rsidRDefault="00725977" w:rsidP="00725977">
      <w:bookmarkStart w:id="21" w:name="_bookmark5"/>
      <w:bookmarkEnd w:id="21"/>
      <w:r w:rsidRPr="00D4309F">
        <w:br w:type="page"/>
      </w:r>
    </w:p>
    <w:p w14:paraId="11250E91" w14:textId="77777777" w:rsidR="00725977" w:rsidRPr="00D4309F" w:rsidRDefault="00725977" w:rsidP="009D02AB">
      <w:pPr>
        <w:pStyle w:val="Heading1"/>
      </w:pPr>
      <w:bookmarkStart w:id="22" w:name="_Toc216699297"/>
      <w:r w:rsidRPr="00D4309F">
        <w:lastRenderedPageBreak/>
        <w:t>LEGISLATIVE</w:t>
      </w:r>
      <w:r w:rsidRPr="00D4309F">
        <w:rPr>
          <w:spacing w:val="-7"/>
        </w:rPr>
        <w:t xml:space="preserve"> </w:t>
      </w:r>
      <w:r w:rsidRPr="00D4309F">
        <w:t>AND</w:t>
      </w:r>
      <w:r w:rsidRPr="00D4309F">
        <w:rPr>
          <w:spacing w:val="-4"/>
        </w:rPr>
        <w:t xml:space="preserve"> </w:t>
      </w:r>
      <w:r w:rsidRPr="00D4309F">
        <w:t>POLICY</w:t>
      </w:r>
      <w:r w:rsidRPr="00D4309F">
        <w:rPr>
          <w:spacing w:val="-4"/>
        </w:rPr>
        <w:t xml:space="preserve"> </w:t>
      </w:r>
      <w:r w:rsidRPr="00D4309F">
        <w:rPr>
          <w:spacing w:val="-2"/>
        </w:rPr>
        <w:t>FRAMEWORKS</w:t>
      </w:r>
      <w:bookmarkEnd w:id="22"/>
    </w:p>
    <w:p w14:paraId="55AC7E28" w14:textId="77777777" w:rsidR="00725977" w:rsidRPr="00D4309F" w:rsidRDefault="00725977" w:rsidP="00725977">
      <w:pPr>
        <w:pStyle w:val="BodyText"/>
      </w:pPr>
      <w:r w:rsidRPr="00D4309F">
        <w:t>The</w:t>
      </w:r>
      <w:r w:rsidRPr="00D4309F">
        <w:rPr>
          <w:spacing w:val="-3"/>
        </w:rPr>
        <w:t xml:space="preserve"> </w:t>
      </w:r>
      <w:r w:rsidRPr="00D4309F">
        <w:t>current</w:t>
      </w:r>
      <w:r w:rsidRPr="00D4309F">
        <w:rPr>
          <w:spacing w:val="-3"/>
        </w:rPr>
        <w:t xml:space="preserve"> </w:t>
      </w:r>
      <w:r w:rsidRPr="00D4309F">
        <w:t>dredging</w:t>
      </w:r>
      <w:r w:rsidRPr="00D4309F">
        <w:rPr>
          <w:spacing w:val="-3"/>
        </w:rPr>
        <w:t xml:space="preserve"> </w:t>
      </w:r>
      <w:r w:rsidRPr="00D4309F">
        <w:t>operations</w:t>
      </w:r>
      <w:r w:rsidRPr="00D4309F">
        <w:rPr>
          <w:spacing w:val="-2"/>
        </w:rPr>
        <w:t xml:space="preserve"> </w:t>
      </w:r>
      <w:r w:rsidRPr="00D4309F">
        <w:t>and</w:t>
      </w:r>
      <w:r w:rsidRPr="00D4309F">
        <w:rPr>
          <w:spacing w:val="-3"/>
        </w:rPr>
        <w:t xml:space="preserve"> </w:t>
      </w:r>
      <w:r w:rsidRPr="00D4309F">
        <w:t>beach</w:t>
      </w:r>
      <w:r w:rsidRPr="00D4309F">
        <w:rPr>
          <w:spacing w:val="-3"/>
        </w:rPr>
        <w:t xml:space="preserve"> </w:t>
      </w:r>
      <w:r w:rsidRPr="00D4309F">
        <w:t>nourishment</w:t>
      </w:r>
      <w:r w:rsidRPr="00D4309F">
        <w:rPr>
          <w:spacing w:val="-4"/>
        </w:rPr>
        <w:t xml:space="preserve"> </w:t>
      </w:r>
      <w:r w:rsidRPr="00D4309F">
        <w:t>activities</w:t>
      </w:r>
      <w:r w:rsidRPr="00D4309F">
        <w:rPr>
          <w:spacing w:val="-4"/>
        </w:rPr>
        <w:t xml:space="preserve"> </w:t>
      </w:r>
      <w:r w:rsidRPr="00D4309F">
        <w:t>are</w:t>
      </w:r>
      <w:r w:rsidRPr="00D4309F">
        <w:rPr>
          <w:spacing w:val="-3"/>
        </w:rPr>
        <w:t xml:space="preserve"> </w:t>
      </w:r>
      <w:r w:rsidRPr="00D4309F">
        <w:t>conducted</w:t>
      </w:r>
      <w:r w:rsidRPr="00D4309F">
        <w:rPr>
          <w:spacing w:val="-3"/>
        </w:rPr>
        <w:t xml:space="preserve"> </w:t>
      </w:r>
      <w:r w:rsidRPr="00D4309F">
        <w:t>under</w:t>
      </w:r>
      <w:r w:rsidRPr="00D4309F">
        <w:rPr>
          <w:spacing w:val="-2"/>
        </w:rPr>
        <w:t xml:space="preserve"> </w:t>
      </w:r>
      <w:r w:rsidRPr="00D4309F">
        <w:t>the</w:t>
      </w:r>
      <w:r w:rsidRPr="00D4309F">
        <w:rPr>
          <w:spacing w:val="-3"/>
        </w:rPr>
        <w:t xml:space="preserve"> </w:t>
      </w:r>
      <w:r w:rsidRPr="00D4309F">
        <w:t>following relevant laws and policies:</w:t>
      </w:r>
    </w:p>
    <w:p w14:paraId="5570A82F" w14:textId="77777777" w:rsidR="00725977" w:rsidRPr="00F00756" w:rsidRDefault="00725977" w:rsidP="00EC018A">
      <w:pPr>
        <w:pStyle w:val="ListBullet"/>
        <w:rPr>
          <w:i/>
          <w:iCs/>
        </w:rPr>
      </w:pPr>
      <w:r w:rsidRPr="00F00756">
        <w:rPr>
          <w:i/>
          <w:iCs/>
        </w:rPr>
        <w:t>Sustainable</w:t>
      </w:r>
      <w:r w:rsidRPr="00F00756">
        <w:rPr>
          <w:i/>
          <w:iCs/>
          <w:spacing w:val="-6"/>
        </w:rPr>
        <w:t xml:space="preserve"> </w:t>
      </w:r>
      <w:r w:rsidRPr="00F00756">
        <w:rPr>
          <w:i/>
          <w:iCs/>
        </w:rPr>
        <w:t>Planning</w:t>
      </w:r>
      <w:r w:rsidRPr="00F00756">
        <w:rPr>
          <w:i/>
          <w:iCs/>
          <w:spacing w:val="-5"/>
        </w:rPr>
        <w:t xml:space="preserve"> </w:t>
      </w:r>
      <w:r w:rsidRPr="00F00756">
        <w:rPr>
          <w:i/>
          <w:iCs/>
        </w:rPr>
        <w:t>Act</w:t>
      </w:r>
      <w:r w:rsidRPr="00F00756">
        <w:rPr>
          <w:i/>
          <w:iCs/>
          <w:spacing w:val="-4"/>
        </w:rPr>
        <w:t xml:space="preserve"> 2009</w:t>
      </w:r>
    </w:p>
    <w:p w14:paraId="5DF1033E" w14:textId="77777777" w:rsidR="00725977" w:rsidRPr="00D4309F" w:rsidRDefault="00725977" w:rsidP="00EC018A">
      <w:pPr>
        <w:pStyle w:val="ListBullet"/>
      </w:pPr>
      <w:r w:rsidRPr="00F00756">
        <w:rPr>
          <w:i/>
          <w:iCs/>
        </w:rPr>
        <w:t>Environmental</w:t>
      </w:r>
      <w:r w:rsidRPr="00F00756">
        <w:rPr>
          <w:i/>
          <w:iCs/>
          <w:spacing w:val="-5"/>
        </w:rPr>
        <w:t xml:space="preserve"> </w:t>
      </w:r>
      <w:r w:rsidRPr="00F00756">
        <w:rPr>
          <w:i/>
          <w:iCs/>
        </w:rPr>
        <w:t>Protection</w:t>
      </w:r>
      <w:r w:rsidRPr="00F00756">
        <w:rPr>
          <w:i/>
          <w:iCs/>
          <w:spacing w:val="-5"/>
        </w:rPr>
        <w:t xml:space="preserve"> </w:t>
      </w:r>
      <w:r w:rsidRPr="00F00756">
        <w:rPr>
          <w:i/>
          <w:iCs/>
        </w:rPr>
        <w:t>Act</w:t>
      </w:r>
      <w:r w:rsidRPr="00F00756">
        <w:rPr>
          <w:i/>
          <w:iCs/>
          <w:spacing w:val="-5"/>
        </w:rPr>
        <w:t xml:space="preserve"> </w:t>
      </w:r>
      <w:r w:rsidRPr="00F00756">
        <w:rPr>
          <w:i/>
          <w:iCs/>
        </w:rPr>
        <w:t>1994</w:t>
      </w:r>
      <w:r w:rsidRPr="00D4309F">
        <w:rPr>
          <w:spacing w:val="-4"/>
        </w:rPr>
        <w:t xml:space="preserve"> </w:t>
      </w:r>
      <w:r w:rsidRPr="00D4309F">
        <w:t>and</w:t>
      </w:r>
      <w:r w:rsidRPr="00D4309F">
        <w:rPr>
          <w:spacing w:val="-6"/>
        </w:rPr>
        <w:t xml:space="preserve"> </w:t>
      </w:r>
      <w:r w:rsidRPr="00D4309F">
        <w:t>subordinate</w:t>
      </w:r>
      <w:r w:rsidRPr="00D4309F">
        <w:rPr>
          <w:spacing w:val="-4"/>
        </w:rPr>
        <w:t xml:space="preserve"> </w:t>
      </w:r>
      <w:r w:rsidRPr="00D4309F">
        <w:rPr>
          <w:spacing w:val="-2"/>
        </w:rPr>
        <w:t>legislation</w:t>
      </w:r>
    </w:p>
    <w:p w14:paraId="02163825" w14:textId="7351F7E0" w:rsidR="00725977" w:rsidRPr="00F00756" w:rsidRDefault="00725977" w:rsidP="00EC018A">
      <w:pPr>
        <w:pStyle w:val="ListBullet"/>
        <w:rPr>
          <w:i/>
          <w:iCs/>
        </w:rPr>
      </w:pPr>
      <w:r w:rsidRPr="00F00756">
        <w:rPr>
          <w:i/>
          <w:iCs/>
        </w:rPr>
        <w:t>Coastal</w:t>
      </w:r>
      <w:r w:rsidRPr="00F00756">
        <w:rPr>
          <w:i/>
          <w:iCs/>
          <w:spacing w:val="-5"/>
        </w:rPr>
        <w:t xml:space="preserve"> </w:t>
      </w:r>
      <w:r w:rsidRPr="00F00756">
        <w:rPr>
          <w:i/>
          <w:iCs/>
        </w:rPr>
        <w:t>Protection</w:t>
      </w:r>
      <w:r w:rsidRPr="00F00756">
        <w:rPr>
          <w:i/>
          <w:iCs/>
          <w:spacing w:val="-5"/>
        </w:rPr>
        <w:t xml:space="preserve"> </w:t>
      </w:r>
      <w:r w:rsidRPr="00F00756">
        <w:rPr>
          <w:i/>
          <w:iCs/>
        </w:rPr>
        <w:t>and</w:t>
      </w:r>
      <w:r w:rsidRPr="00F00756">
        <w:rPr>
          <w:i/>
          <w:iCs/>
          <w:spacing w:val="-4"/>
        </w:rPr>
        <w:t xml:space="preserve"> </w:t>
      </w:r>
      <w:r w:rsidRPr="00F00756">
        <w:rPr>
          <w:i/>
          <w:iCs/>
        </w:rPr>
        <w:t>Management</w:t>
      </w:r>
      <w:r w:rsidRPr="00F00756">
        <w:rPr>
          <w:i/>
          <w:iCs/>
          <w:spacing w:val="-5"/>
        </w:rPr>
        <w:t xml:space="preserve"> </w:t>
      </w:r>
      <w:r w:rsidRPr="00F00756">
        <w:rPr>
          <w:i/>
          <w:iCs/>
        </w:rPr>
        <w:t>Act</w:t>
      </w:r>
      <w:r w:rsidRPr="00F00756">
        <w:rPr>
          <w:i/>
          <w:iCs/>
          <w:spacing w:val="-4"/>
        </w:rPr>
        <w:t xml:space="preserve"> </w:t>
      </w:r>
      <w:r w:rsidRPr="00F00756">
        <w:rPr>
          <w:i/>
          <w:iCs/>
          <w:spacing w:val="-2"/>
        </w:rPr>
        <w:t>1995</w:t>
      </w:r>
    </w:p>
    <w:p w14:paraId="29749605" w14:textId="77777777" w:rsidR="00725977" w:rsidRPr="00D4309F" w:rsidRDefault="00725977" w:rsidP="00EC018A">
      <w:pPr>
        <w:pStyle w:val="ListBullet"/>
      </w:pPr>
      <w:r w:rsidRPr="00D4309F">
        <w:t>DERM Permit No SPDE00269110 issued 4 June 2010, allows TMR and any subsequent authority to conduct</w:t>
      </w:r>
      <w:r w:rsidRPr="00D4309F">
        <w:rPr>
          <w:spacing w:val="-3"/>
        </w:rPr>
        <w:t xml:space="preserve"> </w:t>
      </w:r>
      <w:r w:rsidRPr="00D4309F">
        <w:t>dredging</w:t>
      </w:r>
      <w:r w:rsidRPr="00D4309F">
        <w:rPr>
          <w:spacing w:val="-3"/>
        </w:rPr>
        <w:t xml:space="preserve"> </w:t>
      </w:r>
      <w:r w:rsidRPr="00D4309F">
        <w:t>operations</w:t>
      </w:r>
      <w:r w:rsidRPr="00D4309F">
        <w:rPr>
          <w:spacing w:val="-2"/>
        </w:rPr>
        <w:t xml:space="preserve"> </w:t>
      </w:r>
      <w:r w:rsidRPr="00D4309F">
        <w:t>up</w:t>
      </w:r>
      <w:r w:rsidRPr="00D4309F">
        <w:rPr>
          <w:spacing w:val="-3"/>
        </w:rPr>
        <w:t xml:space="preserve"> </w:t>
      </w:r>
      <w:r w:rsidRPr="00D4309F">
        <w:t>to</w:t>
      </w:r>
      <w:r w:rsidRPr="00D4309F">
        <w:rPr>
          <w:spacing w:val="-3"/>
        </w:rPr>
        <w:t xml:space="preserve"> </w:t>
      </w:r>
      <w:r w:rsidRPr="00D4309F">
        <w:t>100,000</w:t>
      </w:r>
      <w:r w:rsidRPr="00D4309F">
        <w:rPr>
          <w:spacing w:val="-3"/>
        </w:rPr>
        <w:t xml:space="preserve"> </w:t>
      </w:r>
      <w:r w:rsidRPr="00D4309F">
        <w:t>tonnes</w:t>
      </w:r>
      <w:r w:rsidRPr="00D4309F">
        <w:rPr>
          <w:spacing w:val="-2"/>
        </w:rPr>
        <w:t xml:space="preserve"> </w:t>
      </w:r>
      <w:r w:rsidRPr="00D4309F">
        <w:t>of</w:t>
      </w:r>
      <w:r w:rsidRPr="00D4309F">
        <w:rPr>
          <w:spacing w:val="-5"/>
        </w:rPr>
        <w:t xml:space="preserve"> </w:t>
      </w:r>
      <w:r w:rsidRPr="00D4309F">
        <w:t>material</w:t>
      </w:r>
      <w:r w:rsidRPr="00D4309F">
        <w:rPr>
          <w:spacing w:val="-3"/>
        </w:rPr>
        <w:t xml:space="preserve"> </w:t>
      </w:r>
      <w:r w:rsidRPr="00D4309F">
        <w:t>per</w:t>
      </w:r>
      <w:r w:rsidRPr="00D4309F">
        <w:rPr>
          <w:spacing w:val="-2"/>
        </w:rPr>
        <w:t xml:space="preserve"> </w:t>
      </w:r>
      <w:r w:rsidRPr="00D4309F">
        <w:t>year</w:t>
      </w:r>
      <w:r w:rsidRPr="00D4309F">
        <w:rPr>
          <w:spacing w:val="-3"/>
        </w:rPr>
        <w:t xml:space="preserve"> </w:t>
      </w:r>
      <w:r w:rsidRPr="00D4309F">
        <w:t>for</w:t>
      </w:r>
      <w:r w:rsidRPr="00D4309F">
        <w:rPr>
          <w:spacing w:val="-2"/>
        </w:rPr>
        <w:t xml:space="preserve"> </w:t>
      </w:r>
      <w:r w:rsidRPr="00D4309F">
        <w:t>the</w:t>
      </w:r>
      <w:r w:rsidRPr="00D4309F">
        <w:rPr>
          <w:spacing w:val="-4"/>
        </w:rPr>
        <w:t xml:space="preserve"> </w:t>
      </w:r>
      <w:r w:rsidRPr="00D4309F">
        <w:t>Mooloolaba</w:t>
      </w:r>
      <w:r w:rsidRPr="00D4309F">
        <w:rPr>
          <w:spacing w:val="-3"/>
        </w:rPr>
        <w:t xml:space="preserve"> </w:t>
      </w:r>
      <w:r w:rsidRPr="00D4309F">
        <w:t>Boat</w:t>
      </w:r>
      <w:r w:rsidRPr="00D4309F">
        <w:rPr>
          <w:spacing w:val="-3"/>
        </w:rPr>
        <w:t xml:space="preserve"> </w:t>
      </w:r>
      <w:r w:rsidRPr="00D4309F">
        <w:t>Harbour and Coral Sea offshore.</w:t>
      </w:r>
    </w:p>
    <w:p w14:paraId="78AC0898" w14:textId="77777777" w:rsidR="00725977" w:rsidRPr="00D4309F" w:rsidRDefault="00725977" w:rsidP="00EC018A">
      <w:pPr>
        <w:pStyle w:val="ListBullet"/>
      </w:pPr>
      <w:r w:rsidRPr="00D4309F">
        <w:t>DERM</w:t>
      </w:r>
      <w:r w:rsidRPr="00D4309F">
        <w:rPr>
          <w:spacing w:val="-3"/>
        </w:rPr>
        <w:t xml:space="preserve"> </w:t>
      </w:r>
      <w:r w:rsidRPr="00D4309F">
        <w:t>Permit</w:t>
      </w:r>
      <w:r w:rsidRPr="00D4309F">
        <w:rPr>
          <w:spacing w:val="-3"/>
        </w:rPr>
        <w:t xml:space="preserve"> </w:t>
      </w:r>
      <w:r w:rsidRPr="00D4309F">
        <w:t>No:</w:t>
      </w:r>
      <w:r w:rsidRPr="00D4309F">
        <w:rPr>
          <w:spacing w:val="-3"/>
        </w:rPr>
        <w:t xml:space="preserve"> </w:t>
      </w:r>
      <w:r w:rsidRPr="00D4309F">
        <w:t>SPDC00269010</w:t>
      </w:r>
      <w:r w:rsidRPr="00D4309F">
        <w:rPr>
          <w:spacing w:val="-3"/>
        </w:rPr>
        <w:t xml:space="preserve"> </w:t>
      </w:r>
      <w:r w:rsidRPr="00D4309F">
        <w:t>issued</w:t>
      </w:r>
      <w:r w:rsidRPr="00D4309F">
        <w:rPr>
          <w:spacing w:val="-3"/>
        </w:rPr>
        <w:t xml:space="preserve"> </w:t>
      </w:r>
      <w:r w:rsidRPr="00D4309F">
        <w:t>4</w:t>
      </w:r>
      <w:r w:rsidRPr="00D4309F">
        <w:rPr>
          <w:spacing w:val="-3"/>
        </w:rPr>
        <w:t xml:space="preserve"> </w:t>
      </w:r>
      <w:r w:rsidRPr="00D4309F">
        <w:t>June</w:t>
      </w:r>
      <w:r w:rsidRPr="00D4309F">
        <w:rPr>
          <w:spacing w:val="-3"/>
        </w:rPr>
        <w:t xml:space="preserve"> </w:t>
      </w:r>
      <w:r w:rsidRPr="00D4309F">
        <w:t>2010</w:t>
      </w:r>
      <w:r w:rsidRPr="00D4309F">
        <w:rPr>
          <w:spacing w:val="-3"/>
        </w:rPr>
        <w:t xml:space="preserve"> </w:t>
      </w:r>
      <w:r w:rsidRPr="00D4309F">
        <w:t>allows</w:t>
      </w:r>
      <w:r w:rsidRPr="00D4309F">
        <w:rPr>
          <w:spacing w:val="-2"/>
        </w:rPr>
        <w:t xml:space="preserve"> </w:t>
      </w:r>
      <w:r w:rsidRPr="00D4309F">
        <w:t>TMR</w:t>
      </w:r>
      <w:r w:rsidRPr="00D4309F">
        <w:rPr>
          <w:spacing w:val="-4"/>
        </w:rPr>
        <w:t xml:space="preserve"> </w:t>
      </w:r>
      <w:r w:rsidRPr="00D4309F">
        <w:t>and</w:t>
      </w:r>
      <w:r w:rsidRPr="00D4309F">
        <w:rPr>
          <w:spacing w:val="-3"/>
        </w:rPr>
        <w:t xml:space="preserve"> </w:t>
      </w:r>
      <w:r w:rsidRPr="00D4309F">
        <w:t>any</w:t>
      </w:r>
      <w:r w:rsidRPr="00D4309F">
        <w:rPr>
          <w:spacing w:val="-2"/>
        </w:rPr>
        <w:t xml:space="preserve"> </w:t>
      </w:r>
      <w:r w:rsidRPr="00D4309F">
        <w:t>subsequent</w:t>
      </w:r>
      <w:r w:rsidRPr="00D4309F">
        <w:rPr>
          <w:spacing w:val="-3"/>
        </w:rPr>
        <w:t xml:space="preserve"> </w:t>
      </w:r>
      <w:r w:rsidRPr="00D4309F">
        <w:t>authority disposal of dredge spoil and tidal works for Mooloolaba Boat Harbour and Coral Sea offshore.</w:t>
      </w:r>
    </w:p>
    <w:p w14:paraId="7AD2AAB3" w14:textId="77777777" w:rsidR="00725977" w:rsidRPr="00D4309F" w:rsidRDefault="00725977" w:rsidP="00725977">
      <w:pPr>
        <w:pStyle w:val="BodyText"/>
      </w:pPr>
      <w:r w:rsidRPr="00D4309F">
        <w:t>Noted,</w:t>
      </w:r>
      <w:r w:rsidRPr="00D4309F">
        <w:rPr>
          <w:spacing w:val="-3"/>
        </w:rPr>
        <w:t xml:space="preserve"> </w:t>
      </w:r>
      <w:r w:rsidRPr="00D4309F">
        <w:t>that</w:t>
      </w:r>
      <w:r w:rsidRPr="00D4309F">
        <w:rPr>
          <w:spacing w:val="-3"/>
        </w:rPr>
        <w:t xml:space="preserve"> </w:t>
      </w:r>
      <w:r w:rsidRPr="00D4309F">
        <w:t>the</w:t>
      </w:r>
      <w:r w:rsidRPr="00D4309F">
        <w:rPr>
          <w:spacing w:val="-3"/>
        </w:rPr>
        <w:t xml:space="preserve"> </w:t>
      </w:r>
      <w:r w:rsidRPr="00D4309F">
        <w:t>above</w:t>
      </w:r>
      <w:r w:rsidRPr="00D4309F">
        <w:rPr>
          <w:spacing w:val="-3"/>
        </w:rPr>
        <w:t xml:space="preserve"> </w:t>
      </w:r>
      <w:r w:rsidRPr="00D4309F">
        <w:t>approvals</w:t>
      </w:r>
      <w:r w:rsidRPr="00D4309F">
        <w:rPr>
          <w:spacing w:val="-2"/>
        </w:rPr>
        <w:t xml:space="preserve"> </w:t>
      </w:r>
      <w:r w:rsidRPr="00D4309F">
        <w:t>do</w:t>
      </w:r>
      <w:r w:rsidRPr="00D4309F">
        <w:rPr>
          <w:spacing w:val="-3"/>
        </w:rPr>
        <w:t xml:space="preserve"> </w:t>
      </w:r>
      <w:r w:rsidRPr="00D4309F">
        <w:t>not</w:t>
      </w:r>
      <w:r w:rsidRPr="00D4309F">
        <w:rPr>
          <w:spacing w:val="-3"/>
        </w:rPr>
        <w:t xml:space="preserve"> </w:t>
      </w:r>
      <w:r w:rsidRPr="00D4309F">
        <w:t>remove</w:t>
      </w:r>
      <w:r w:rsidRPr="00D4309F">
        <w:rPr>
          <w:spacing w:val="-3"/>
        </w:rPr>
        <w:t xml:space="preserve"> </w:t>
      </w:r>
      <w:r w:rsidRPr="00D4309F">
        <w:t>the</w:t>
      </w:r>
      <w:r w:rsidRPr="00D4309F">
        <w:rPr>
          <w:spacing w:val="-3"/>
        </w:rPr>
        <w:t xml:space="preserve"> </w:t>
      </w:r>
      <w:r w:rsidRPr="00D4309F">
        <w:t>need</w:t>
      </w:r>
      <w:r w:rsidRPr="00D4309F">
        <w:rPr>
          <w:spacing w:val="-3"/>
        </w:rPr>
        <w:t xml:space="preserve"> </w:t>
      </w:r>
      <w:r w:rsidRPr="00D4309F">
        <w:t>to</w:t>
      </w:r>
      <w:r w:rsidRPr="00D4309F">
        <w:rPr>
          <w:spacing w:val="-3"/>
        </w:rPr>
        <w:t xml:space="preserve"> </w:t>
      </w:r>
      <w:r w:rsidRPr="00D4309F">
        <w:t>obtain</w:t>
      </w:r>
      <w:r w:rsidRPr="00D4309F">
        <w:rPr>
          <w:spacing w:val="-3"/>
        </w:rPr>
        <w:t xml:space="preserve"> </w:t>
      </w:r>
      <w:r w:rsidRPr="00D4309F">
        <w:t>any</w:t>
      </w:r>
      <w:r w:rsidRPr="00D4309F">
        <w:rPr>
          <w:spacing w:val="-2"/>
        </w:rPr>
        <w:t xml:space="preserve"> </w:t>
      </w:r>
      <w:r w:rsidRPr="00D4309F">
        <w:t>further</w:t>
      </w:r>
      <w:r w:rsidRPr="00D4309F">
        <w:rPr>
          <w:spacing w:val="-2"/>
        </w:rPr>
        <w:t xml:space="preserve"> </w:t>
      </w:r>
      <w:r w:rsidRPr="00D4309F">
        <w:t>approval</w:t>
      </w:r>
      <w:r w:rsidRPr="00D4309F">
        <w:rPr>
          <w:spacing w:val="-3"/>
        </w:rPr>
        <w:t xml:space="preserve"> </w:t>
      </w:r>
      <w:r w:rsidRPr="00D4309F">
        <w:t>for</w:t>
      </w:r>
      <w:r w:rsidRPr="00D4309F">
        <w:rPr>
          <w:spacing w:val="-2"/>
        </w:rPr>
        <w:t xml:space="preserve"> </w:t>
      </w:r>
      <w:r w:rsidRPr="00D4309F">
        <w:t>this</w:t>
      </w:r>
      <w:r w:rsidRPr="00D4309F">
        <w:rPr>
          <w:spacing w:val="-3"/>
        </w:rPr>
        <w:t xml:space="preserve"> </w:t>
      </w:r>
      <w:r w:rsidRPr="00D4309F">
        <w:t>development, which may be required pursuant to this legislation or other legislation, both State and Commonwealth.</w:t>
      </w:r>
    </w:p>
    <w:p w14:paraId="7EEB7C0D" w14:textId="77777777" w:rsidR="00725977" w:rsidRPr="00D4309F" w:rsidRDefault="00725977" w:rsidP="00725977">
      <w:pPr>
        <w:pStyle w:val="BodyText"/>
      </w:pPr>
      <w:r w:rsidRPr="00D4309F">
        <w:t>MSQ</w:t>
      </w:r>
      <w:r w:rsidRPr="00D4309F">
        <w:rPr>
          <w:spacing w:val="-3"/>
        </w:rPr>
        <w:t xml:space="preserve"> </w:t>
      </w:r>
      <w:r w:rsidRPr="00D4309F">
        <w:t>understands</w:t>
      </w:r>
      <w:r w:rsidRPr="00D4309F">
        <w:rPr>
          <w:spacing w:val="-2"/>
        </w:rPr>
        <w:t xml:space="preserve"> </w:t>
      </w:r>
      <w:r w:rsidRPr="00D4309F">
        <w:t>any</w:t>
      </w:r>
      <w:r w:rsidRPr="00D4309F">
        <w:rPr>
          <w:spacing w:val="-2"/>
        </w:rPr>
        <w:t xml:space="preserve"> </w:t>
      </w:r>
      <w:r w:rsidRPr="00D4309F">
        <w:t>new/change</w:t>
      </w:r>
      <w:r w:rsidRPr="00D4309F">
        <w:rPr>
          <w:spacing w:val="-3"/>
        </w:rPr>
        <w:t xml:space="preserve"> </w:t>
      </w:r>
      <w:r w:rsidRPr="00D4309F">
        <w:t>in</w:t>
      </w:r>
      <w:r w:rsidRPr="00D4309F">
        <w:rPr>
          <w:spacing w:val="-3"/>
        </w:rPr>
        <w:t xml:space="preserve"> </w:t>
      </w:r>
      <w:r w:rsidRPr="00D4309F">
        <w:t>activity</w:t>
      </w:r>
      <w:r w:rsidRPr="00D4309F">
        <w:rPr>
          <w:spacing w:val="-2"/>
        </w:rPr>
        <w:t xml:space="preserve"> </w:t>
      </w:r>
      <w:r w:rsidRPr="00D4309F">
        <w:t>will</w:t>
      </w:r>
      <w:r w:rsidRPr="00D4309F">
        <w:rPr>
          <w:spacing w:val="-3"/>
        </w:rPr>
        <w:t xml:space="preserve"> </w:t>
      </w:r>
      <w:r w:rsidRPr="00D4309F">
        <w:t>require</w:t>
      </w:r>
      <w:r w:rsidRPr="00D4309F">
        <w:rPr>
          <w:spacing w:val="-3"/>
        </w:rPr>
        <w:t xml:space="preserve"> </w:t>
      </w:r>
      <w:r w:rsidRPr="00D4309F">
        <w:t>assessment</w:t>
      </w:r>
      <w:r w:rsidRPr="00D4309F">
        <w:rPr>
          <w:spacing w:val="-3"/>
        </w:rPr>
        <w:t xml:space="preserve"> </w:t>
      </w:r>
      <w:r w:rsidRPr="00D4309F">
        <w:t>against</w:t>
      </w:r>
      <w:r w:rsidRPr="00D4309F">
        <w:rPr>
          <w:spacing w:val="-3"/>
        </w:rPr>
        <w:t xml:space="preserve"> </w:t>
      </w:r>
      <w:r w:rsidRPr="00D4309F">
        <w:t>all</w:t>
      </w:r>
      <w:r w:rsidRPr="00D4309F">
        <w:rPr>
          <w:spacing w:val="-3"/>
        </w:rPr>
        <w:t xml:space="preserve"> </w:t>
      </w:r>
      <w:r w:rsidRPr="00D4309F">
        <w:t>state</w:t>
      </w:r>
      <w:r w:rsidRPr="00D4309F">
        <w:rPr>
          <w:spacing w:val="-3"/>
        </w:rPr>
        <w:t xml:space="preserve"> </w:t>
      </w:r>
      <w:r w:rsidRPr="00D4309F">
        <w:t>and</w:t>
      </w:r>
      <w:r w:rsidRPr="00D4309F">
        <w:rPr>
          <w:spacing w:val="-3"/>
        </w:rPr>
        <w:t xml:space="preserve"> </w:t>
      </w:r>
      <w:r w:rsidRPr="00D4309F">
        <w:t xml:space="preserve">federal </w:t>
      </w:r>
      <w:r w:rsidRPr="00D4309F">
        <w:rPr>
          <w:spacing w:val="-2"/>
        </w:rPr>
        <w:t>legislation.</w:t>
      </w:r>
    </w:p>
    <w:p w14:paraId="2B02F5A3" w14:textId="77777777" w:rsidR="00725977" w:rsidRPr="00D4309F" w:rsidRDefault="00725977" w:rsidP="00725977">
      <w:pPr>
        <w:pStyle w:val="BodyText"/>
      </w:pPr>
      <w:r w:rsidRPr="00D4309F">
        <w:t>Following</w:t>
      </w:r>
      <w:r w:rsidRPr="00D4309F">
        <w:rPr>
          <w:spacing w:val="-5"/>
        </w:rPr>
        <w:t xml:space="preserve"> </w:t>
      </w:r>
      <w:r w:rsidRPr="00D4309F">
        <w:t>are</w:t>
      </w:r>
      <w:r w:rsidRPr="00D4309F">
        <w:rPr>
          <w:spacing w:val="-6"/>
        </w:rPr>
        <w:t xml:space="preserve"> </w:t>
      </w:r>
      <w:r w:rsidRPr="00D4309F">
        <w:t>relevant</w:t>
      </w:r>
      <w:r w:rsidRPr="00D4309F">
        <w:rPr>
          <w:spacing w:val="-5"/>
        </w:rPr>
        <w:t xml:space="preserve"> </w:t>
      </w:r>
      <w:r w:rsidRPr="00D4309F">
        <w:t>Sunshine</w:t>
      </w:r>
      <w:r w:rsidRPr="00D4309F">
        <w:rPr>
          <w:spacing w:val="-5"/>
        </w:rPr>
        <w:t xml:space="preserve"> </w:t>
      </w:r>
      <w:r w:rsidRPr="00D4309F">
        <w:t>Coast</w:t>
      </w:r>
      <w:r w:rsidRPr="00D4309F">
        <w:rPr>
          <w:spacing w:val="-6"/>
        </w:rPr>
        <w:t xml:space="preserve"> </w:t>
      </w:r>
      <w:r w:rsidRPr="00D4309F">
        <w:t>Council’s</w:t>
      </w:r>
      <w:r w:rsidRPr="00D4309F">
        <w:rPr>
          <w:spacing w:val="-4"/>
        </w:rPr>
        <w:t xml:space="preserve"> </w:t>
      </w:r>
      <w:r w:rsidRPr="00D4309F">
        <w:t>policy</w:t>
      </w:r>
      <w:r w:rsidRPr="00D4309F">
        <w:rPr>
          <w:spacing w:val="-3"/>
        </w:rPr>
        <w:t xml:space="preserve"> </w:t>
      </w:r>
      <w:r w:rsidRPr="00D4309F">
        <w:rPr>
          <w:spacing w:val="-2"/>
        </w:rPr>
        <w:t>frameworks:</w:t>
      </w:r>
    </w:p>
    <w:p w14:paraId="2B962BE2" w14:textId="4336B454" w:rsidR="00725977" w:rsidRPr="00D4309F" w:rsidRDefault="00725977" w:rsidP="00EC018A">
      <w:pPr>
        <w:pStyle w:val="ListBullet"/>
      </w:pPr>
      <w:hyperlink r:id="rId38">
        <w:r w:rsidRPr="00D4309F">
          <w:rPr>
            <w:color w:val="211E1F"/>
          </w:rPr>
          <w:t>Placemaking</w:t>
        </w:r>
        <w:r w:rsidRPr="00D4309F">
          <w:rPr>
            <w:color w:val="211E1F"/>
            <w:spacing w:val="-7"/>
          </w:rPr>
          <w:t xml:space="preserve"> </w:t>
        </w:r>
        <w:r w:rsidRPr="00D4309F">
          <w:rPr>
            <w:color w:val="211E1F"/>
          </w:rPr>
          <w:t>Mooloolaba</w:t>
        </w:r>
        <w:r w:rsidRPr="00D4309F">
          <w:rPr>
            <w:color w:val="211E1F"/>
            <w:spacing w:val="-7"/>
          </w:rPr>
          <w:t xml:space="preserve"> </w:t>
        </w:r>
        <w:r w:rsidRPr="00D4309F">
          <w:rPr>
            <w:color w:val="211E1F"/>
          </w:rPr>
          <w:t>master</w:t>
        </w:r>
        <w:r w:rsidRPr="00D4309F">
          <w:rPr>
            <w:color w:val="211E1F"/>
            <w:spacing w:val="-4"/>
          </w:rPr>
          <w:t xml:space="preserve"> plan</w:t>
        </w:r>
      </w:hyperlink>
    </w:p>
    <w:p w14:paraId="3B1E4363" w14:textId="2C937278" w:rsidR="00725977" w:rsidRPr="00D4309F" w:rsidRDefault="00725977" w:rsidP="00EC018A">
      <w:pPr>
        <w:pStyle w:val="ListBullet"/>
      </w:pPr>
      <w:hyperlink r:id="rId39">
        <w:r w:rsidRPr="00D4309F">
          <w:rPr>
            <w:color w:val="211E1F"/>
          </w:rPr>
          <w:t>Point</w:t>
        </w:r>
        <w:r w:rsidRPr="00D4309F">
          <w:rPr>
            <w:color w:val="211E1F"/>
            <w:spacing w:val="-6"/>
          </w:rPr>
          <w:t xml:space="preserve"> </w:t>
        </w:r>
        <w:r w:rsidRPr="00D4309F">
          <w:rPr>
            <w:color w:val="211E1F"/>
          </w:rPr>
          <w:t>Cartwright</w:t>
        </w:r>
        <w:r w:rsidRPr="00D4309F">
          <w:rPr>
            <w:color w:val="211E1F"/>
            <w:spacing w:val="-4"/>
          </w:rPr>
          <w:t xml:space="preserve"> </w:t>
        </w:r>
        <w:r w:rsidRPr="00D4309F">
          <w:rPr>
            <w:color w:val="211E1F"/>
          </w:rPr>
          <w:t>Reserve</w:t>
        </w:r>
        <w:r w:rsidRPr="00D4309F">
          <w:rPr>
            <w:color w:val="211E1F"/>
            <w:spacing w:val="-5"/>
          </w:rPr>
          <w:t xml:space="preserve"> </w:t>
        </w:r>
        <w:r w:rsidRPr="00D4309F">
          <w:rPr>
            <w:color w:val="211E1F"/>
          </w:rPr>
          <w:t>La</w:t>
        </w:r>
        <w:r w:rsidRPr="00D4309F">
          <w:rPr>
            <w:color w:val="211E1F"/>
            <w:spacing w:val="-4"/>
          </w:rPr>
          <w:t xml:space="preserve"> </w:t>
        </w:r>
        <w:r w:rsidRPr="00D4309F">
          <w:rPr>
            <w:color w:val="211E1F"/>
          </w:rPr>
          <w:t>Balsa</w:t>
        </w:r>
        <w:r w:rsidRPr="00D4309F">
          <w:rPr>
            <w:color w:val="211E1F"/>
            <w:spacing w:val="-4"/>
          </w:rPr>
          <w:t xml:space="preserve"> </w:t>
        </w:r>
        <w:r w:rsidRPr="00D4309F">
          <w:rPr>
            <w:color w:val="211E1F"/>
          </w:rPr>
          <w:t>Park</w:t>
        </w:r>
        <w:r w:rsidRPr="00D4309F">
          <w:rPr>
            <w:color w:val="211E1F"/>
            <w:spacing w:val="-2"/>
          </w:rPr>
          <w:t xml:space="preserve"> </w:t>
        </w:r>
        <w:r w:rsidRPr="00D4309F">
          <w:rPr>
            <w:color w:val="211E1F"/>
          </w:rPr>
          <w:t>master</w:t>
        </w:r>
        <w:r w:rsidRPr="00D4309F">
          <w:rPr>
            <w:color w:val="211E1F"/>
            <w:spacing w:val="-3"/>
          </w:rPr>
          <w:t xml:space="preserve"> </w:t>
        </w:r>
        <w:r w:rsidRPr="00D4309F">
          <w:rPr>
            <w:color w:val="211E1F"/>
          </w:rPr>
          <w:t>plan</w:t>
        </w:r>
      </w:hyperlink>
      <w:r w:rsidRPr="00D4309F">
        <w:rPr>
          <w:color w:val="211E1F"/>
          <w:spacing w:val="-6"/>
        </w:rPr>
        <w:t xml:space="preserve"> </w:t>
      </w:r>
      <w:r w:rsidRPr="00D4309F">
        <w:rPr>
          <w:color w:val="211E1F"/>
        </w:rPr>
        <w:t>(Sunshine</w:t>
      </w:r>
      <w:r w:rsidRPr="00D4309F">
        <w:rPr>
          <w:color w:val="211E1F"/>
          <w:spacing w:val="-5"/>
        </w:rPr>
        <w:t xml:space="preserve"> </w:t>
      </w:r>
      <w:r w:rsidRPr="00D4309F">
        <w:rPr>
          <w:color w:val="211E1F"/>
        </w:rPr>
        <w:t>Coast</w:t>
      </w:r>
      <w:r w:rsidRPr="00D4309F">
        <w:rPr>
          <w:color w:val="211E1F"/>
          <w:spacing w:val="-4"/>
        </w:rPr>
        <w:t xml:space="preserve"> </w:t>
      </w:r>
      <w:r w:rsidRPr="00D4309F">
        <w:rPr>
          <w:color w:val="211E1F"/>
        </w:rPr>
        <w:t>Council,</w:t>
      </w:r>
      <w:r w:rsidRPr="00D4309F">
        <w:rPr>
          <w:color w:val="211E1F"/>
          <w:spacing w:val="-4"/>
        </w:rPr>
        <w:t xml:space="preserve"> </w:t>
      </w:r>
      <w:r w:rsidRPr="00D4309F">
        <w:rPr>
          <w:color w:val="211E1F"/>
          <w:spacing w:val="-2"/>
        </w:rPr>
        <w:t>2023a)</w:t>
      </w:r>
    </w:p>
    <w:p w14:paraId="130BEEFB" w14:textId="77777777" w:rsidR="00725977" w:rsidRPr="00D4309F" w:rsidRDefault="00725977" w:rsidP="00EC018A">
      <w:pPr>
        <w:pStyle w:val="ListBullet"/>
      </w:pPr>
      <w:r w:rsidRPr="00D4309F">
        <w:rPr>
          <w:color w:val="211E1F"/>
        </w:rPr>
        <w:t>Legislative</w:t>
      </w:r>
      <w:r w:rsidRPr="00D4309F">
        <w:rPr>
          <w:color w:val="211E1F"/>
          <w:spacing w:val="-7"/>
        </w:rPr>
        <w:t xml:space="preserve"> </w:t>
      </w:r>
      <w:r w:rsidRPr="00D4309F">
        <w:rPr>
          <w:color w:val="211E1F"/>
        </w:rPr>
        <w:t>Framework</w:t>
      </w:r>
      <w:r w:rsidRPr="00D4309F">
        <w:rPr>
          <w:color w:val="211E1F"/>
          <w:spacing w:val="-5"/>
        </w:rPr>
        <w:t xml:space="preserve"> </w:t>
      </w:r>
      <w:r w:rsidRPr="00D4309F">
        <w:rPr>
          <w:color w:val="211E1F"/>
        </w:rPr>
        <w:t>and</w:t>
      </w:r>
      <w:r w:rsidRPr="00D4309F">
        <w:rPr>
          <w:color w:val="211E1F"/>
          <w:spacing w:val="-5"/>
        </w:rPr>
        <w:t xml:space="preserve"> </w:t>
      </w:r>
      <w:r w:rsidRPr="00D4309F">
        <w:rPr>
          <w:color w:val="211E1F"/>
        </w:rPr>
        <w:t>Generic</w:t>
      </w:r>
      <w:r w:rsidRPr="00D4309F">
        <w:rPr>
          <w:color w:val="211E1F"/>
          <w:spacing w:val="-5"/>
        </w:rPr>
        <w:t xml:space="preserve"> </w:t>
      </w:r>
      <w:r w:rsidRPr="00D4309F">
        <w:rPr>
          <w:color w:val="211E1F"/>
        </w:rPr>
        <w:t>Shoreline</w:t>
      </w:r>
      <w:r w:rsidRPr="00D4309F">
        <w:rPr>
          <w:color w:val="211E1F"/>
          <w:spacing w:val="-5"/>
        </w:rPr>
        <w:t xml:space="preserve"> </w:t>
      </w:r>
      <w:r w:rsidRPr="00D4309F">
        <w:rPr>
          <w:color w:val="211E1F"/>
        </w:rPr>
        <w:t>Management</w:t>
      </w:r>
      <w:r w:rsidRPr="00D4309F">
        <w:rPr>
          <w:color w:val="211E1F"/>
          <w:spacing w:val="-5"/>
        </w:rPr>
        <w:t xml:space="preserve"> </w:t>
      </w:r>
      <w:r w:rsidRPr="00D4309F">
        <w:rPr>
          <w:color w:val="211E1F"/>
        </w:rPr>
        <w:t>Options</w:t>
      </w:r>
      <w:r w:rsidRPr="00D4309F">
        <w:rPr>
          <w:color w:val="211E1F"/>
          <w:spacing w:val="-4"/>
        </w:rPr>
        <w:t xml:space="preserve"> </w:t>
      </w:r>
      <w:r w:rsidRPr="00D4309F">
        <w:rPr>
          <w:color w:val="211E1F"/>
          <w:spacing w:val="-2"/>
        </w:rPr>
        <w:t>(2013)</w:t>
      </w:r>
    </w:p>
    <w:p w14:paraId="4BDBC7A2" w14:textId="77777777" w:rsidR="00725977" w:rsidRPr="00D4309F" w:rsidRDefault="00725977" w:rsidP="00EC018A">
      <w:pPr>
        <w:pStyle w:val="ListBullet"/>
      </w:pPr>
      <w:r w:rsidRPr="00D4309F">
        <w:rPr>
          <w:color w:val="211E1F"/>
        </w:rPr>
        <w:t>Coastal</w:t>
      </w:r>
      <w:r w:rsidRPr="00D4309F">
        <w:rPr>
          <w:color w:val="211E1F"/>
          <w:spacing w:val="-7"/>
        </w:rPr>
        <w:t xml:space="preserve"> </w:t>
      </w:r>
      <w:r w:rsidRPr="00D4309F">
        <w:rPr>
          <w:color w:val="211E1F"/>
        </w:rPr>
        <w:t>Processes</w:t>
      </w:r>
      <w:r w:rsidRPr="00D4309F">
        <w:rPr>
          <w:color w:val="211E1F"/>
          <w:spacing w:val="-3"/>
        </w:rPr>
        <w:t xml:space="preserve"> </w:t>
      </w:r>
      <w:r w:rsidRPr="00D4309F">
        <w:rPr>
          <w:color w:val="211E1F"/>
        </w:rPr>
        <w:t>Study</w:t>
      </w:r>
      <w:r w:rsidRPr="00D4309F">
        <w:rPr>
          <w:color w:val="211E1F"/>
          <w:spacing w:val="-3"/>
        </w:rPr>
        <w:t xml:space="preserve"> </w:t>
      </w:r>
      <w:r w:rsidRPr="00D4309F">
        <w:rPr>
          <w:color w:val="211E1F"/>
        </w:rPr>
        <w:t>for</w:t>
      </w:r>
      <w:r w:rsidRPr="00D4309F">
        <w:rPr>
          <w:color w:val="211E1F"/>
          <w:spacing w:val="-3"/>
        </w:rPr>
        <w:t xml:space="preserve"> </w:t>
      </w:r>
      <w:r w:rsidRPr="00D4309F">
        <w:rPr>
          <w:color w:val="211E1F"/>
        </w:rPr>
        <w:t>the</w:t>
      </w:r>
      <w:r w:rsidRPr="00D4309F">
        <w:rPr>
          <w:color w:val="211E1F"/>
          <w:spacing w:val="-4"/>
        </w:rPr>
        <w:t xml:space="preserve"> </w:t>
      </w:r>
      <w:r w:rsidRPr="00D4309F">
        <w:rPr>
          <w:color w:val="211E1F"/>
        </w:rPr>
        <w:t>Sunshine</w:t>
      </w:r>
      <w:r w:rsidRPr="00D4309F">
        <w:rPr>
          <w:color w:val="211E1F"/>
          <w:spacing w:val="-4"/>
        </w:rPr>
        <w:t xml:space="preserve"> </w:t>
      </w:r>
      <w:r w:rsidRPr="00D4309F">
        <w:rPr>
          <w:color w:val="211E1F"/>
        </w:rPr>
        <w:t>Coast</w:t>
      </w:r>
      <w:r w:rsidRPr="00D4309F">
        <w:rPr>
          <w:color w:val="211E1F"/>
          <w:spacing w:val="-5"/>
        </w:rPr>
        <w:t xml:space="preserve"> </w:t>
      </w:r>
      <w:r w:rsidRPr="00D4309F">
        <w:rPr>
          <w:color w:val="211E1F"/>
        </w:rPr>
        <w:t>(BMT,</w:t>
      </w:r>
      <w:r w:rsidRPr="00D4309F">
        <w:rPr>
          <w:color w:val="211E1F"/>
          <w:spacing w:val="-4"/>
        </w:rPr>
        <w:t xml:space="preserve"> </w:t>
      </w:r>
      <w:r w:rsidRPr="00D4309F">
        <w:rPr>
          <w:color w:val="211E1F"/>
          <w:spacing w:val="-2"/>
        </w:rPr>
        <w:t>2013)</w:t>
      </w:r>
    </w:p>
    <w:p w14:paraId="49867163" w14:textId="6B0013D4" w:rsidR="00725977" w:rsidRPr="00D4309F" w:rsidRDefault="00725977" w:rsidP="00EC018A">
      <w:pPr>
        <w:pStyle w:val="ListBullet"/>
      </w:pPr>
      <w:r w:rsidRPr="00D4309F">
        <w:rPr>
          <w:color w:val="211E1F"/>
        </w:rPr>
        <w:t>Shoreline</w:t>
      </w:r>
      <w:r w:rsidRPr="00D4309F">
        <w:rPr>
          <w:color w:val="211E1F"/>
          <w:spacing w:val="-7"/>
        </w:rPr>
        <w:t xml:space="preserve"> </w:t>
      </w:r>
      <w:r w:rsidRPr="00D4309F">
        <w:rPr>
          <w:color w:val="211E1F"/>
        </w:rPr>
        <w:t>erosion</w:t>
      </w:r>
      <w:r w:rsidRPr="00D4309F">
        <w:rPr>
          <w:color w:val="211E1F"/>
          <w:spacing w:val="-6"/>
        </w:rPr>
        <w:t xml:space="preserve"> </w:t>
      </w:r>
      <w:r w:rsidRPr="00D4309F">
        <w:rPr>
          <w:color w:val="211E1F"/>
        </w:rPr>
        <w:t>management</w:t>
      </w:r>
      <w:r w:rsidRPr="00D4309F">
        <w:rPr>
          <w:color w:val="211E1F"/>
          <w:spacing w:val="-6"/>
        </w:rPr>
        <w:t xml:space="preserve"> </w:t>
      </w:r>
      <w:r w:rsidRPr="00D4309F">
        <w:rPr>
          <w:color w:val="211E1F"/>
          <w:spacing w:val="-4"/>
        </w:rPr>
        <w:t>plan</w:t>
      </w:r>
      <w:r w:rsidR="00DB5C2B">
        <w:rPr>
          <w:color w:val="211E1F"/>
          <w:spacing w:val="-4"/>
        </w:rPr>
        <w:t>.</w:t>
      </w:r>
    </w:p>
    <w:p w14:paraId="4F6F803D" w14:textId="77777777" w:rsidR="009D0AE8" w:rsidRDefault="00725977" w:rsidP="00725977">
      <w:pPr>
        <w:pStyle w:val="BodyText"/>
        <w:rPr>
          <w:spacing w:val="-2"/>
        </w:rPr>
        <w:sectPr w:rsidR="009D0AE8" w:rsidSect="00A8441C">
          <w:pgSz w:w="11910" w:h="16840"/>
          <w:pgMar w:top="1418" w:right="1134" w:bottom="1418" w:left="1134" w:header="916" w:footer="1147" w:gutter="0"/>
          <w:cols w:space="720"/>
          <w:docGrid w:linePitch="272"/>
        </w:sectPr>
      </w:pPr>
      <w:r w:rsidRPr="00D4309F">
        <w:t>The</w:t>
      </w:r>
      <w:r w:rsidRPr="00D4309F">
        <w:rPr>
          <w:spacing w:val="-6"/>
        </w:rPr>
        <w:t xml:space="preserve"> </w:t>
      </w:r>
      <w:r w:rsidRPr="00D4309F">
        <w:t>above</w:t>
      </w:r>
      <w:r w:rsidRPr="00D4309F">
        <w:rPr>
          <w:spacing w:val="-4"/>
        </w:rPr>
        <w:t xml:space="preserve"> </w:t>
      </w:r>
      <w:r w:rsidRPr="00D4309F">
        <w:t>frameworks</w:t>
      </w:r>
      <w:r w:rsidRPr="00D4309F">
        <w:rPr>
          <w:spacing w:val="-3"/>
        </w:rPr>
        <w:t xml:space="preserve"> </w:t>
      </w:r>
      <w:r w:rsidRPr="00D4309F">
        <w:t>will</w:t>
      </w:r>
      <w:r w:rsidRPr="00D4309F">
        <w:rPr>
          <w:spacing w:val="-3"/>
        </w:rPr>
        <w:t xml:space="preserve"> </w:t>
      </w:r>
      <w:r w:rsidRPr="00D4309F">
        <w:t>be</w:t>
      </w:r>
      <w:r w:rsidRPr="00D4309F">
        <w:rPr>
          <w:spacing w:val="-4"/>
        </w:rPr>
        <w:t xml:space="preserve"> </w:t>
      </w:r>
      <w:r w:rsidRPr="00D4309F">
        <w:t>considered</w:t>
      </w:r>
      <w:r w:rsidRPr="00D4309F">
        <w:rPr>
          <w:spacing w:val="-4"/>
        </w:rPr>
        <w:t xml:space="preserve"> </w:t>
      </w:r>
      <w:r w:rsidRPr="00D4309F">
        <w:t>when</w:t>
      </w:r>
      <w:r w:rsidRPr="00D4309F">
        <w:rPr>
          <w:spacing w:val="-4"/>
        </w:rPr>
        <w:t xml:space="preserve"> </w:t>
      </w:r>
      <w:r w:rsidRPr="00D4309F">
        <w:t>assessing</w:t>
      </w:r>
      <w:r w:rsidRPr="00D4309F">
        <w:rPr>
          <w:spacing w:val="-3"/>
        </w:rPr>
        <w:t xml:space="preserve"> </w:t>
      </w:r>
      <w:r w:rsidRPr="00D4309F">
        <w:t>the</w:t>
      </w:r>
      <w:r w:rsidRPr="00D4309F">
        <w:rPr>
          <w:spacing w:val="-4"/>
        </w:rPr>
        <w:t xml:space="preserve"> </w:t>
      </w:r>
      <w:r w:rsidRPr="00D4309F">
        <w:t>long-term</w:t>
      </w:r>
      <w:r w:rsidRPr="00D4309F">
        <w:rPr>
          <w:spacing w:val="-4"/>
        </w:rPr>
        <w:t xml:space="preserve"> </w:t>
      </w:r>
      <w:r w:rsidRPr="00D4309F">
        <w:t>options</w:t>
      </w:r>
      <w:r w:rsidRPr="00D4309F">
        <w:rPr>
          <w:spacing w:val="-2"/>
        </w:rPr>
        <w:t xml:space="preserve"> </w:t>
      </w:r>
      <w:r w:rsidRPr="00D4309F">
        <w:t>in</w:t>
      </w:r>
      <w:r w:rsidRPr="00D4309F">
        <w:rPr>
          <w:spacing w:val="-4"/>
        </w:rPr>
        <w:t xml:space="preserve"> </w:t>
      </w:r>
      <w:r w:rsidRPr="00D4309F">
        <w:t>the</w:t>
      </w:r>
      <w:r w:rsidRPr="00D4309F">
        <w:rPr>
          <w:spacing w:val="-4"/>
        </w:rPr>
        <w:t xml:space="preserve"> </w:t>
      </w:r>
      <w:r w:rsidRPr="00D4309F">
        <w:t>final</w:t>
      </w:r>
      <w:r w:rsidRPr="00D4309F">
        <w:rPr>
          <w:spacing w:val="-4"/>
        </w:rPr>
        <w:t xml:space="preserve"> </w:t>
      </w:r>
      <w:r w:rsidRPr="00D4309F">
        <w:rPr>
          <w:spacing w:val="-2"/>
        </w:rPr>
        <w:t>report.</w:t>
      </w:r>
    </w:p>
    <w:p w14:paraId="1AC6613F" w14:textId="77777777" w:rsidR="00725977" w:rsidRPr="00D4309F" w:rsidRDefault="00725977" w:rsidP="009D02AB">
      <w:pPr>
        <w:pStyle w:val="Heading1"/>
      </w:pPr>
      <w:bookmarkStart w:id="23" w:name="_bookmark6"/>
      <w:bookmarkStart w:id="24" w:name="_Toc216699298"/>
      <w:bookmarkEnd w:id="23"/>
      <w:r w:rsidRPr="00D4309F">
        <w:lastRenderedPageBreak/>
        <w:t>INFORMATION SOURCES</w:t>
      </w:r>
      <w:bookmarkEnd w:id="24"/>
    </w:p>
    <w:p w14:paraId="478D80C2" w14:textId="77777777" w:rsidR="00725977" w:rsidRPr="00D4309F" w:rsidRDefault="00725977" w:rsidP="00725977">
      <w:pPr>
        <w:pStyle w:val="BodyText"/>
      </w:pPr>
      <w:r w:rsidRPr="00D4309F">
        <w:t>MSQ</w:t>
      </w:r>
      <w:r w:rsidRPr="00D4309F">
        <w:rPr>
          <w:spacing w:val="-7"/>
        </w:rPr>
        <w:t xml:space="preserve"> </w:t>
      </w:r>
      <w:r w:rsidRPr="00D4309F">
        <w:t>has</w:t>
      </w:r>
      <w:r w:rsidRPr="00D4309F">
        <w:rPr>
          <w:spacing w:val="-3"/>
        </w:rPr>
        <w:t xml:space="preserve"> </w:t>
      </w:r>
      <w:r w:rsidRPr="00D4309F">
        <w:t>provided</w:t>
      </w:r>
      <w:r w:rsidRPr="00D4309F">
        <w:rPr>
          <w:spacing w:val="-5"/>
        </w:rPr>
        <w:t xml:space="preserve"> </w:t>
      </w:r>
      <w:r w:rsidRPr="00D4309F">
        <w:t>the</w:t>
      </w:r>
      <w:r w:rsidRPr="00D4309F">
        <w:rPr>
          <w:spacing w:val="-4"/>
        </w:rPr>
        <w:t xml:space="preserve"> </w:t>
      </w:r>
      <w:r w:rsidRPr="00D4309F">
        <w:t>following</w:t>
      </w:r>
      <w:r w:rsidRPr="00D4309F">
        <w:rPr>
          <w:spacing w:val="-4"/>
        </w:rPr>
        <w:t xml:space="preserve"> </w:t>
      </w:r>
      <w:r w:rsidRPr="00D4309F">
        <w:t>information</w:t>
      </w:r>
      <w:r w:rsidRPr="00D4309F">
        <w:rPr>
          <w:spacing w:val="-5"/>
        </w:rPr>
        <w:t xml:space="preserve"> </w:t>
      </w:r>
      <w:r w:rsidRPr="00D4309F">
        <w:t>in</w:t>
      </w:r>
      <w:r w:rsidRPr="00D4309F">
        <w:rPr>
          <w:spacing w:val="-4"/>
        </w:rPr>
        <w:t xml:space="preserve"> </w:t>
      </w:r>
      <w:r w:rsidRPr="00D4309F">
        <w:t>relation</w:t>
      </w:r>
      <w:r w:rsidRPr="00D4309F">
        <w:rPr>
          <w:spacing w:val="-4"/>
        </w:rPr>
        <w:t xml:space="preserve"> </w:t>
      </w:r>
      <w:r w:rsidRPr="00D4309F">
        <w:rPr>
          <w:spacing w:val="-5"/>
        </w:rPr>
        <w:t>to.</w:t>
      </w:r>
    </w:p>
    <w:p w14:paraId="1A916846" w14:textId="77777777" w:rsidR="00725977" w:rsidRPr="00D4309F" w:rsidRDefault="00725977" w:rsidP="00EC018A">
      <w:pPr>
        <w:pStyle w:val="ListBullet"/>
      </w:pPr>
      <w:r w:rsidRPr="00D4309F">
        <w:t>Dredging</w:t>
      </w:r>
      <w:r w:rsidRPr="00D4309F">
        <w:rPr>
          <w:spacing w:val="-7"/>
        </w:rPr>
        <w:t xml:space="preserve"> </w:t>
      </w:r>
      <w:r w:rsidRPr="00D4309F">
        <w:t>approvals</w:t>
      </w:r>
      <w:r w:rsidRPr="00D4309F">
        <w:rPr>
          <w:spacing w:val="-4"/>
        </w:rPr>
        <w:t xml:space="preserve"> </w:t>
      </w:r>
      <w:r w:rsidRPr="00D4309F">
        <w:t>and</w:t>
      </w:r>
      <w:r w:rsidRPr="00D4309F">
        <w:rPr>
          <w:spacing w:val="-5"/>
        </w:rPr>
        <w:t xml:space="preserve"> </w:t>
      </w:r>
      <w:r w:rsidRPr="00D4309F">
        <w:t>management</w:t>
      </w:r>
      <w:r w:rsidRPr="00D4309F">
        <w:rPr>
          <w:spacing w:val="-5"/>
        </w:rPr>
        <w:t xml:space="preserve"> </w:t>
      </w:r>
      <w:r w:rsidRPr="00D4309F">
        <w:t>plan</w:t>
      </w:r>
      <w:r w:rsidRPr="00D4309F">
        <w:rPr>
          <w:spacing w:val="-5"/>
        </w:rPr>
        <w:t xml:space="preserve"> </w:t>
      </w:r>
      <w:r w:rsidRPr="00D4309F">
        <w:t>for</w:t>
      </w:r>
      <w:r w:rsidRPr="00D4309F">
        <w:rPr>
          <w:spacing w:val="-4"/>
        </w:rPr>
        <w:t xml:space="preserve"> </w:t>
      </w:r>
      <w:r w:rsidRPr="00D4309F">
        <w:t>Mooloolaba</w:t>
      </w:r>
      <w:r w:rsidRPr="00D4309F">
        <w:rPr>
          <w:spacing w:val="-5"/>
        </w:rPr>
        <w:t xml:space="preserve"> </w:t>
      </w:r>
      <w:r w:rsidRPr="00D4309F">
        <w:t>harbour</w:t>
      </w:r>
      <w:r w:rsidRPr="00D4309F">
        <w:rPr>
          <w:spacing w:val="-6"/>
        </w:rPr>
        <w:t xml:space="preserve"> </w:t>
      </w:r>
      <w:r w:rsidRPr="00D4309F">
        <w:t>entrance</w:t>
      </w:r>
      <w:r w:rsidRPr="00D4309F">
        <w:rPr>
          <w:spacing w:val="-5"/>
        </w:rPr>
        <w:t xml:space="preserve"> </w:t>
      </w:r>
      <w:r w:rsidRPr="00D4309F">
        <w:t>maintenance</w:t>
      </w:r>
      <w:r w:rsidRPr="00D4309F">
        <w:rPr>
          <w:spacing w:val="-4"/>
        </w:rPr>
        <w:t xml:space="preserve"> </w:t>
      </w:r>
      <w:r w:rsidRPr="00D4309F">
        <w:rPr>
          <w:spacing w:val="-2"/>
        </w:rPr>
        <w:t>dredging</w:t>
      </w:r>
    </w:p>
    <w:p w14:paraId="5759F815" w14:textId="77777777" w:rsidR="00725977" w:rsidRPr="00D4309F" w:rsidRDefault="00725977" w:rsidP="00EC018A">
      <w:pPr>
        <w:pStyle w:val="ListBullet"/>
      </w:pPr>
      <w:r w:rsidRPr="00D4309F">
        <w:t>Breakwater</w:t>
      </w:r>
      <w:r w:rsidRPr="00D4309F">
        <w:rPr>
          <w:spacing w:val="-5"/>
        </w:rPr>
        <w:t xml:space="preserve"> </w:t>
      </w:r>
      <w:r w:rsidRPr="00D4309F">
        <w:t>extension</w:t>
      </w:r>
      <w:r w:rsidRPr="00D4309F">
        <w:rPr>
          <w:spacing w:val="-6"/>
        </w:rPr>
        <w:t xml:space="preserve"> </w:t>
      </w:r>
      <w:r w:rsidRPr="00D4309F">
        <w:t>reports</w:t>
      </w:r>
      <w:r w:rsidRPr="00D4309F">
        <w:rPr>
          <w:spacing w:val="-6"/>
        </w:rPr>
        <w:t xml:space="preserve"> </w:t>
      </w:r>
      <w:r w:rsidRPr="00D4309F">
        <w:t>and</w:t>
      </w:r>
      <w:r w:rsidRPr="00D4309F">
        <w:rPr>
          <w:spacing w:val="-5"/>
        </w:rPr>
        <w:t xml:space="preserve"> </w:t>
      </w:r>
      <w:r w:rsidRPr="00D4309F">
        <w:t>modelling</w:t>
      </w:r>
      <w:r w:rsidRPr="00D4309F">
        <w:rPr>
          <w:spacing w:val="-6"/>
        </w:rPr>
        <w:t xml:space="preserve"> </w:t>
      </w:r>
      <w:r w:rsidRPr="00D4309F">
        <w:t>investigation</w:t>
      </w:r>
      <w:r w:rsidRPr="00D4309F">
        <w:rPr>
          <w:spacing w:val="-5"/>
        </w:rPr>
        <w:t xml:space="preserve"> </w:t>
      </w:r>
      <w:r w:rsidRPr="00D4309F">
        <w:rPr>
          <w:spacing w:val="-2"/>
        </w:rPr>
        <w:t>options.</w:t>
      </w:r>
    </w:p>
    <w:p w14:paraId="318F0F60" w14:textId="77777777" w:rsidR="00725977" w:rsidRPr="00D4309F" w:rsidRDefault="00725977" w:rsidP="00EC018A">
      <w:pPr>
        <w:pStyle w:val="ListBullet"/>
      </w:pPr>
      <w:r w:rsidRPr="00D4309F">
        <w:t>Buddina</w:t>
      </w:r>
      <w:r w:rsidRPr="00D4309F">
        <w:rPr>
          <w:spacing w:val="-4"/>
        </w:rPr>
        <w:t xml:space="preserve"> </w:t>
      </w:r>
      <w:r w:rsidRPr="00D4309F">
        <w:t>beach</w:t>
      </w:r>
      <w:r w:rsidRPr="00D4309F">
        <w:rPr>
          <w:spacing w:val="-4"/>
        </w:rPr>
        <w:t xml:space="preserve"> </w:t>
      </w:r>
      <w:r w:rsidRPr="00D4309F">
        <w:t>sand</w:t>
      </w:r>
      <w:r w:rsidRPr="00D4309F">
        <w:rPr>
          <w:spacing w:val="-3"/>
        </w:rPr>
        <w:t xml:space="preserve"> </w:t>
      </w:r>
      <w:r w:rsidRPr="00D4309F">
        <w:t>trap</w:t>
      </w:r>
      <w:r w:rsidRPr="00D4309F">
        <w:rPr>
          <w:spacing w:val="-4"/>
        </w:rPr>
        <w:t xml:space="preserve"> </w:t>
      </w:r>
      <w:r w:rsidRPr="00D4309F">
        <w:t>technical</w:t>
      </w:r>
      <w:r w:rsidRPr="00D4309F">
        <w:rPr>
          <w:spacing w:val="-4"/>
        </w:rPr>
        <w:t xml:space="preserve"> </w:t>
      </w:r>
      <w:r w:rsidRPr="00D4309F">
        <w:t>note</w:t>
      </w:r>
      <w:r w:rsidRPr="00D4309F">
        <w:rPr>
          <w:spacing w:val="-3"/>
        </w:rPr>
        <w:t xml:space="preserve"> </w:t>
      </w:r>
      <w:r w:rsidRPr="00D4309F">
        <w:t>[BMT</w:t>
      </w:r>
      <w:r w:rsidRPr="00D4309F">
        <w:rPr>
          <w:spacing w:val="-4"/>
        </w:rPr>
        <w:t xml:space="preserve"> </w:t>
      </w:r>
      <w:r w:rsidRPr="00D4309F">
        <w:t>Pty</w:t>
      </w:r>
      <w:r w:rsidRPr="00D4309F">
        <w:rPr>
          <w:spacing w:val="-3"/>
        </w:rPr>
        <w:t xml:space="preserve"> </w:t>
      </w:r>
      <w:r w:rsidRPr="00D4309F">
        <w:t>Ltd,</w:t>
      </w:r>
      <w:r w:rsidRPr="00D4309F">
        <w:rPr>
          <w:spacing w:val="-3"/>
        </w:rPr>
        <w:t xml:space="preserve"> </w:t>
      </w:r>
      <w:r w:rsidRPr="00D4309F">
        <w:rPr>
          <w:spacing w:val="-2"/>
        </w:rPr>
        <w:t>19/2/2024]</w:t>
      </w:r>
    </w:p>
    <w:p w14:paraId="584DB63B" w14:textId="77777777" w:rsidR="00725977" w:rsidRPr="00D4309F" w:rsidRDefault="00725977" w:rsidP="00EC018A">
      <w:pPr>
        <w:pStyle w:val="ListBullet"/>
      </w:pPr>
      <w:r w:rsidRPr="00D4309F">
        <w:t>Dredge</w:t>
      </w:r>
      <w:r w:rsidRPr="00D4309F">
        <w:rPr>
          <w:spacing w:val="-3"/>
        </w:rPr>
        <w:t xml:space="preserve"> </w:t>
      </w:r>
      <w:r w:rsidRPr="00D4309F">
        <w:t>data</w:t>
      </w:r>
      <w:r w:rsidRPr="00D4309F">
        <w:rPr>
          <w:spacing w:val="-2"/>
        </w:rPr>
        <w:t xml:space="preserve"> </w:t>
      </w:r>
      <w:r w:rsidRPr="00D4309F">
        <w:t>logs</w:t>
      </w:r>
      <w:r w:rsidRPr="00D4309F">
        <w:rPr>
          <w:spacing w:val="-3"/>
        </w:rPr>
        <w:t xml:space="preserve"> </w:t>
      </w:r>
      <w:r w:rsidRPr="00D4309F">
        <w:t>Feb</w:t>
      </w:r>
      <w:r w:rsidRPr="00D4309F">
        <w:rPr>
          <w:spacing w:val="-2"/>
        </w:rPr>
        <w:t xml:space="preserve"> </w:t>
      </w:r>
      <w:r w:rsidRPr="00D4309F">
        <w:t>2022</w:t>
      </w:r>
      <w:r w:rsidRPr="00D4309F">
        <w:rPr>
          <w:spacing w:val="-4"/>
        </w:rPr>
        <w:t xml:space="preserve"> </w:t>
      </w:r>
      <w:r w:rsidRPr="00D4309F">
        <w:t>–</w:t>
      </w:r>
      <w:r w:rsidRPr="00D4309F">
        <w:rPr>
          <w:spacing w:val="-2"/>
        </w:rPr>
        <w:t xml:space="preserve"> </w:t>
      </w:r>
      <w:r w:rsidRPr="00D4309F">
        <w:t>June</w:t>
      </w:r>
      <w:r w:rsidRPr="00D4309F">
        <w:rPr>
          <w:spacing w:val="-2"/>
        </w:rPr>
        <w:t xml:space="preserve"> </w:t>
      </w:r>
      <w:r w:rsidRPr="00D4309F">
        <w:rPr>
          <w:spacing w:val="-4"/>
        </w:rPr>
        <w:t>2025</w:t>
      </w:r>
    </w:p>
    <w:p w14:paraId="3854E5E7" w14:textId="77777777" w:rsidR="00725977" w:rsidRPr="00D4309F" w:rsidRDefault="00725977" w:rsidP="00EC018A">
      <w:pPr>
        <w:pStyle w:val="ListBullet"/>
      </w:pPr>
      <w:r w:rsidRPr="00D4309F">
        <w:t>Entrance</w:t>
      </w:r>
      <w:r w:rsidRPr="00D4309F">
        <w:rPr>
          <w:spacing w:val="-6"/>
        </w:rPr>
        <w:t xml:space="preserve"> </w:t>
      </w:r>
      <w:r w:rsidRPr="00D4309F">
        <w:t>monitoring</w:t>
      </w:r>
      <w:r w:rsidRPr="00D4309F">
        <w:rPr>
          <w:spacing w:val="-6"/>
        </w:rPr>
        <w:t xml:space="preserve"> </w:t>
      </w:r>
      <w:r w:rsidRPr="00D4309F">
        <w:rPr>
          <w:spacing w:val="-2"/>
        </w:rPr>
        <w:t>improvements</w:t>
      </w:r>
    </w:p>
    <w:p w14:paraId="2C049B0C" w14:textId="77777777" w:rsidR="00725977" w:rsidRPr="00D4309F" w:rsidRDefault="00725977" w:rsidP="00EC018A">
      <w:pPr>
        <w:pStyle w:val="ListBullet"/>
      </w:pPr>
      <w:r w:rsidRPr="00D4309F">
        <w:t>Historical</w:t>
      </w:r>
      <w:r w:rsidRPr="00D4309F">
        <w:rPr>
          <w:spacing w:val="-5"/>
        </w:rPr>
        <w:t xml:space="preserve"> </w:t>
      </w:r>
      <w:r w:rsidRPr="00D4309F">
        <w:t>coastal</w:t>
      </w:r>
      <w:r w:rsidRPr="00D4309F">
        <w:rPr>
          <w:spacing w:val="-5"/>
        </w:rPr>
        <w:t xml:space="preserve"> </w:t>
      </w:r>
      <w:r w:rsidRPr="00D4309F">
        <w:rPr>
          <w:spacing w:val="-2"/>
        </w:rPr>
        <w:t>processes</w:t>
      </w:r>
    </w:p>
    <w:p w14:paraId="47BCE3D1" w14:textId="77777777" w:rsidR="00725977" w:rsidRPr="00D4309F" w:rsidRDefault="00725977" w:rsidP="00EC018A">
      <w:pPr>
        <w:pStyle w:val="ListBullet"/>
      </w:pPr>
      <w:r w:rsidRPr="00D4309F">
        <w:t>Hydro</w:t>
      </w:r>
      <w:r w:rsidRPr="00D4309F">
        <w:rPr>
          <w:spacing w:val="-4"/>
        </w:rPr>
        <w:t xml:space="preserve"> </w:t>
      </w:r>
      <w:r w:rsidRPr="00D4309F">
        <w:t>survey</w:t>
      </w:r>
      <w:r w:rsidRPr="00D4309F">
        <w:rPr>
          <w:spacing w:val="-3"/>
        </w:rPr>
        <w:t xml:space="preserve"> </w:t>
      </w:r>
      <w:r w:rsidRPr="00D4309F">
        <w:rPr>
          <w:spacing w:val="-4"/>
        </w:rPr>
        <w:t>data</w:t>
      </w:r>
    </w:p>
    <w:p w14:paraId="347C9534" w14:textId="77777777" w:rsidR="00725977" w:rsidRPr="00D4309F" w:rsidRDefault="00725977" w:rsidP="00EC018A">
      <w:pPr>
        <w:pStyle w:val="ListBullet"/>
      </w:pPr>
      <w:r w:rsidRPr="00D4309F">
        <w:t>Rock</w:t>
      </w:r>
      <w:r w:rsidRPr="00D4309F">
        <w:rPr>
          <w:spacing w:val="-2"/>
        </w:rPr>
        <w:t xml:space="preserve"> </w:t>
      </w:r>
      <w:r w:rsidRPr="00D4309F">
        <w:t>level</w:t>
      </w:r>
      <w:r w:rsidRPr="00D4309F">
        <w:rPr>
          <w:spacing w:val="-2"/>
        </w:rPr>
        <w:t xml:space="preserve"> investigations</w:t>
      </w:r>
    </w:p>
    <w:p w14:paraId="2A74C249" w14:textId="77777777" w:rsidR="00725977" w:rsidRPr="00D4309F" w:rsidRDefault="00725977" w:rsidP="00EC018A">
      <w:pPr>
        <w:pStyle w:val="ListBullet"/>
      </w:pPr>
      <w:r w:rsidRPr="00D4309F">
        <w:t>Sand</w:t>
      </w:r>
      <w:r w:rsidRPr="00D4309F">
        <w:rPr>
          <w:spacing w:val="-4"/>
        </w:rPr>
        <w:t xml:space="preserve"> </w:t>
      </w:r>
      <w:r w:rsidRPr="00D4309F">
        <w:t>Shifter</w:t>
      </w:r>
      <w:r w:rsidRPr="00D4309F">
        <w:rPr>
          <w:spacing w:val="-2"/>
        </w:rPr>
        <w:t xml:space="preserve"> Trial</w:t>
      </w:r>
    </w:p>
    <w:p w14:paraId="5C4E2E8E" w14:textId="77777777" w:rsidR="00725977" w:rsidRPr="00D4309F" w:rsidRDefault="00725977" w:rsidP="00EC018A">
      <w:pPr>
        <w:pStyle w:val="ListBullet"/>
      </w:pPr>
      <w:r w:rsidRPr="00D4309F">
        <w:t>Mooloolaba</w:t>
      </w:r>
      <w:r w:rsidRPr="00D4309F">
        <w:rPr>
          <w:spacing w:val="-5"/>
        </w:rPr>
        <w:t xml:space="preserve"> </w:t>
      </w:r>
      <w:r w:rsidRPr="00D4309F">
        <w:t>harbour</w:t>
      </w:r>
      <w:r w:rsidRPr="00D4309F">
        <w:rPr>
          <w:spacing w:val="-6"/>
        </w:rPr>
        <w:t xml:space="preserve"> </w:t>
      </w:r>
      <w:r w:rsidRPr="00D4309F">
        <w:t>sediment</w:t>
      </w:r>
      <w:r w:rsidRPr="00D4309F">
        <w:rPr>
          <w:spacing w:val="-4"/>
        </w:rPr>
        <w:t xml:space="preserve"> </w:t>
      </w:r>
      <w:r w:rsidRPr="00D4309F">
        <w:rPr>
          <w:spacing w:val="-2"/>
        </w:rPr>
        <w:t>sampling</w:t>
      </w:r>
    </w:p>
    <w:p w14:paraId="3E5CD4BA" w14:textId="77777777" w:rsidR="00725977" w:rsidRPr="00D4309F" w:rsidRDefault="00725977" w:rsidP="00EC018A">
      <w:pPr>
        <w:pStyle w:val="ListBullet"/>
      </w:pPr>
      <w:r w:rsidRPr="00D4309F">
        <w:t>SRG</w:t>
      </w:r>
      <w:r w:rsidRPr="00D4309F">
        <w:rPr>
          <w:spacing w:val="-5"/>
        </w:rPr>
        <w:t xml:space="preserve"> </w:t>
      </w:r>
      <w:r w:rsidRPr="00D4309F">
        <w:t>meeting</w:t>
      </w:r>
      <w:r w:rsidRPr="00D4309F">
        <w:rPr>
          <w:spacing w:val="-4"/>
        </w:rPr>
        <w:t xml:space="preserve"> </w:t>
      </w:r>
      <w:r w:rsidRPr="00D4309F">
        <w:rPr>
          <w:spacing w:val="-2"/>
        </w:rPr>
        <w:t>records.</w:t>
      </w:r>
    </w:p>
    <w:p w14:paraId="0A59C6EE" w14:textId="77777777" w:rsidR="00725977" w:rsidRPr="00D4309F" w:rsidRDefault="00725977" w:rsidP="00EC018A">
      <w:pPr>
        <w:pStyle w:val="ListBullet"/>
      </w:pPr>
      <w:r w:rsidRPr="00D4309F">
        <w:t>Wave</w:t>
      </w:r>
      <w:r w:rsidRPr="00D4309F">
        <w:rPr>
          <w:spacing w:val="-4"/>
        </w:rPr>
        <w:t xml:space="preserve"> </w:t>
      </w:r>
      <w:r w:rsidRPr="00D4309F">
        <w:t>buoy</w:t>
      </w:r>
      <w:r w:rsidRPr="00D4309F">
        <w:rPr>
          <w:spacing w:val="-2"/>
        </w:rPr>
        <w:t xml:space="preserve"> </w:t>
      </w:r>
      <w:r w:rsidRPr="00D4309F">
        <w:t>–</w:t>
      </w:r>
      <w:r w:rsidRPr="00D4309F">
        <w:rPr>
          <w:spacing w:val="-5"/>
        </w:rPr>
        <w:t xml:space="preserve"> </w:t>
      </w:r>
      <w:r w:rsidRPr="00D4309F">
        <w:t>sediment</w:t>
      </w:r>
      <w:r w:rsidRPr="00D4309F">
        <w:rPr>
          <w:spacing w:val="-3"/>
        </w:rPr>
        <w:t xml:space="preserve"> </w:t>
      </w:r>
      <w:r w:rsidRPr="00D4309F">
        <w:t>transport</w:t>
      </w:r>
      <w:r w:rsidRPr="00D4309F">
        <w:rPr>
          <w:spacing w:val="-3"/>
        </w:rPr>
        <w:t xml:space="preserve"> </w:t>
      </w:r>
      <w:r w:rsidRPr="00D4309F">
        <w:rPr>
          <w:spacing w:val="-2"/>
        </w:rPr>
        <w:t>model</w:t>
      </w:r>
    </w:p>
    <w:p w14:paraId="31314665" w14:textId="77777777" w:rsidR="00725977" w:rsidRPr="00D4309F" w:rsidRDefault="00725977" w:rsidP="00EC018A">
      <w:pPr>
        <w:pStyle w:val="ListBullet"/>
      </w:pPr>
      <w:r w:rsidRPr="00D4309F">
        <w:t>Web</w:t>
      </w:r>
      <w:r w:rsidRPr="00D4309F">
        <w:rPr>
          <w:spacing w:val="-2"/>
        </w:rPr>
        <w:t xml:space="preserve"> </w:t>
      </w:r>
      <w:r w:rsidRPr="00D4309F">
        <w:t>cam</w:t>
      </w:r>
      <w:r w:rsidRPr="00D4309F">
        <w:rPr>
          <w:spacing w:val="-1"/>
        </w:rPr>
        <w:t xml:space="preserve"> </w:t>
      </w:r>
      <w:r w:rsidRPr="00D4309F">
        <w:rPr>
          <w:spacing w:val="-2"/>
        </w:rPr>
        <w:t>links</w:t>
      </w:r>
    </w:p>
    <w:p w14:paraId="4A66516E" w14:textId="77777777" w:rsidR="00725977" w:rsidRPr="00D4309F" w:rsidRDefault="00725977" w:rsidP="00EC018A">
      <w:pPr>
        <w:pStyle w:val="ListBullet"/>
      </w:pPr>
      <w:r w:rsidRPr="00D4309F">
        <w:t>Relevant</w:t>
      </w:r>
      <w:r w:rsidRPr="00D4309F">
        <w:rPr>
          <w:spacing w:val="-5"/>
        </w:rPr>
        <w:t xml:space="preserve"> </w:t>
      </w:r>
      <w:r w:rsidRPr="00D4309F">
        <w:t>MSQ</w:t>
      </w:r>
      <w:r w:rsidRPr="00D4309F">
        <w:rPr>
          <w:spacing w:val="-4"/>
        </w:rPr>
        <w:t xml:space="preserve"> </w:t>
      </w:r>
      <w:r w:rsidRPr="00D4309F">
        <w:rPr>
          <w:spacing w:val="-2"/>
        </w:rPr>
        <w:t>webpages.</w:t>
      </w:r>
    </w:p>
    <w:p w14:paraId="2AA29C55" w14:textId="77777777" w:rsidR="00725977" w:rsidRPr="00D4309F" w:rsidRDefault="00725977" w:rsidP="00EC018A">
      <w:pPr>
        <w:pStyle w:val="ListBullet"/>
        <w:sectPr w:rsidR="00725977" w:rsidRPr="00D4309F" w:rsidSect="00A8441C">
          <w:pgSz w:w="11910" w:h="16840"/>
          <w:pgMar w:top="1418" w:right="1134" w:bottom="1418" w:left="1134" w:header="916" w:footer="1147" w:gutter="0"/>
          <w:cols w:space="720"/>
          <w:docGrid w:linePitch="272"/>
        </w:sectPr>
      </w:pPr>
    </w:p>
    <w:p w14:paraId="3B542B1E" w14:textId="77777777" w:rsidR="00725977" w:rsidRPr="00D4309F" w:rsidRDefault="00725977" w:rsidP="009D02AB">
      <w:pPr>
        <w:pStyle w:val="Heading1"/>
      </w:pPr>
      <w:bookmarkStart w:id="25" w:name="_bookmark7"/>
      <w:bookmarkStart w:id="26" w:name="_Toc216699299"/>
      <w:bookmarkEnd w:id="25"/>
      <w:r w:rsidRPr="00D4309F">
        <w:lastRenderedPageBreak/>
        <w:t>COASTAL PROCESSES</w:t>
      </w:r>
      <w:bookmarkEnd w:id="26"/>
    </w:p>
    <w:p w14:paraId="2706E741" w14:textId="77777777" w:rsidR="00725977" w:rsidRPr="00D4309F" w:rsidRDefault="00725977" w:rsidP="00725977">
      <w:pPr>
        <w:pStyle w:val="BodyText"/>
      </w:pPr>
      <w:r w:rsidRPr="00D4309F">
        <w:t>Several</w:t>
      </w:r>
      <w:r w:rsidRPr="00D4309F">
        <w:rPr>
          <w:spacing w:val="-3"/>
        </w:rPr>
        <w:t xml:space="preserve"> </w:t>
      </w:r>
      <w:r w:rsidRPr="00D4309F">
        <w:t>previous</w:t>
      </w:r>
      <w:r w:rsidRPr="00D4309F">
        <w:rPr>
          <w:spacing w:val="-3"/>
        </w:rPr>
        <w:t xml:space="preserve"> </w:t>
      </w:r>
      <w:r w:rsidRPr="00D4309F">
        <w:t>studies</w:t>
      </w:r>
      <w:r w:rsidRPr="00D4309F">
        <w:rPr>
          <w:spacing w:val="-2"/>
        </w:rPr>
        <w:t xml:space="preserve"> </w:t>
      </w:r>
      <w:r w:rsidRPr="00D4309F">
        <w:t>have</w:t>
      </w:r>
      <w:r w:rsidRPr="00D4309F">
        <w:rPr>
          <w:spacing w:val="-3"/>
        </w:rPr>
        <w:t xml:space="preserve"> </w:t>
      </w:r>
      <w:r w:rsidRPr="00D4309F">
        <w:t>been</w:t>
      </w:r>
      <w:r w:rsidRPr="00D4309F">
        <w:rPr>
          <w:spacing w:val="-3"/>
        </w:rPr>
        <w:t xml:space="preserve"> </w:t>
      </w:r>
      <w:r w:rsidRPr="00D4309F">
        <w:t>undertaken</w:t>
      </w:r>
      <w:r w:rsidRPr="00D4309F">
        <w:rPr>
          <w:spacing w:val="-3"/>
        </w:rPr>
        <w:t xml:space="preserve"> </w:t>
      </w:r>
      <w:r w:rsidRPr="00D4309F">
        <w:t>to</w:t>
      </w:r>
      <w:r w:rsidRPr="00D4309F">
        <w:rPr>
          <w:spacing w:val="-3"/>
        </w:rPr>
        <w:t xml:space="preserve"> </w:t>
      </w:r>
      <w:r w:rsidRPr="00D4309F">
        <w:t>understand</w:t>
      </w:r>
      <w:r w:rsidRPr="00D4309F">
        <w:rPr>
          <w:spacing w:val="-3"/>
        </w:rPr>
        <w:t xml:space="preserve"> </w:t>
      </w:r>
      <w:r w:rsidRPr="00D4309F">
        <w:t>the</w:t>
      </w:r>
      <w:r w:rsidRPr="00D4309F">
        <w:rPr>
          <w:spacing w:val="-3"/>
        </w:rPr>
        <w:t xml:space="preserve"> </w:t>
      </w:r>
      <w:r w:rsidRPr="00D4309F">
        <w:t>cause</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sand</w:t>
      </w:r>
      <w:r w:rsidRPr="00D4309F">
        <w:rPr>
          <w:spacing w:val="-3"/>
        </w:rPr>
        <w:t xml:space="preserve"> </w:t>
      </w:r>
      <w:r w:rsidRPr="00D4309F">
        <w:t>shoal</w:t>
      </w:r>
      <w:r w:rsidRPr="00D4309F">
        <w:rPr>
          <w:spacing w:val="-3"/>
        </w:rPr>
        <w:t xml:space="preserve"> </w:t>
      </w:r>
      <w:r w:rsidRPr="00D4309F">
        <w:t>events</w:t>
      </w:r>
      <w:r w:rsidRPr="00D4309F">
        <w:rPr>
          <w:spacing w:val="-2"/>
        </w:rPr>
        <w:t xml:space="preserve"> </w:t>
      </w:r>
      <w:r w:rsidRPr="00D4309F">
        <w:t>at</w:t>
      </w:r>
      <w:r w:rsidRPr="00D4309F">
        <w:rPr>
          <w:spacing w:val="-3"/>
        </w:rPr>
        <w:t xml:space="preserve"> </w:t>
      </w:r>
      <w:r w:rsidRPr="00D4309F">
        <w:t>the entrance. These studies include:</w:t>
      </w:r>
    </w:p>
    <w:p w14:paraId="4EE27BC8" w14:textId="4443BE65" w:rsidR="00725977" w:rsidRPr="00D4309F" w:rsidRDefault="00725977" w:rsidP="00EC018A">
      <w:pPr>
        <w:pStyle w:val="ListBullet"/>
      </w:pPr>
      <w:r w:rsidRPr="00D4309F">
        <w:t>Mooloolah</w:t>
      </w:r>
      <w:r w:rsidRPr="00D4309F">
        <w:rPr>
          <w:spacing w:val="-7"/>
        </w:rPr>
        <w:t xml:space="preserve"> </w:t>
      </w:r>
      <w:r w:rsidRPr="00D4309F">
        <w:t>River</w:t>
      </w:r>
      <w:r w:rsidRPr="00D4309F">
        <w:rPr>
          <w:spacing w:val="-3"/>
        </w:rPr>
        <w:t xml:space="preserve"> </w:t>
      </w:r>
      <w:r w:rsidRPr="00D4309F">
        <w:t>Entrance</w:t>
      </w:r>
      <w:r w:rsidRPr="00D4309F">
        <w:rPr>
          <w:spacing w:val="-5"/>
        </w:rPr>
        <w:t xml:space="preserve"> </w:t>
      </w:r>
      <w:r w:rsidRPr="00D4309F">
        <w:t>Shoaling</w:t>
      </w:r>
      <w:r w:rsidRPr="00D4309F">
        <w:rPr>
          <w:spacing w:val="-5"/>
        </w:rPr>
        <w:t xml:space="preserve"> </w:t>
      </w:r>
      <w:r w:rsidRPr="00D4309F">
        <w:t>(Department</w:t>
      </w:r>
      <w:r w:rsidRPr="00D4309F">
        <w:rPr>
          <w:spacing w:val="-5"/>
        </w:rPr>
        <w:t xml:space="preserve"> </w:t>
      </w:r>
      <w:r w:rsidRPr="00D4309F">
        <w:t>of</w:t>
      </w:r>
      <w:r w:rsidRPr="00D4309F">
        <w:rPr>
          <w:spacing w:val="-4"/>
        </w:rPr>
        <w:t xml:space="preserve"> </w:t>
      </w:r>
      <w:r w:rsidRPr="00D4309F">
        <w:t>Harbours</w:t>
      </w:r>
      <w:r w:rsidRPr="00D4309F">
        <w:rPr>
          <w:spacing w:val="-3"/>
        </w:rPr>
        <w:t xml:space="preserve"> </w:t>
      </w:r>
      <w:r w:rsidRPr="00D4309F">
        <w:t>and</w:t>
      </w:r>
      <w:r w:rsidRPr="00D4309F">
        <w:rPr>
          <w:spacing w:val="-4"/>
        </w:rPr>
        <w:t xml:space="preserve"> </w:t>
      </w:r>
      <w:r w:rsidRPr="00D4309F">
        <w:t>Marine,</w:t>
      </w:r>
      <w:r w:rsidRPr="00D4309F">
        <w:rPr>
          <w:spacing w:val="-4"/>
        </w:rPr>
        <w:t xml:space="preserve"> </w:t>
      </w:r>
      <w:r w:rsidRPr="00D4309F">
        <w:rPr>
          <w:spacing w:val="-2"/>
        </w:rPr>
        <w:t>1987)</w:t>
      </w:r>
    </w:p>
    <w:p w14:paraId="61B39952" w14:textId="75EC0F4D" w:rsidR="00725977" w:rsidRPr="00D4309F" w:rsidRDefault="00725977" w:rsidP="00EC018A">
      <w:pPr>
        <w:pStyle w:val="ListBullet"/>
      </w:pPr>
      <w:r w:rsidRPr="00D4309F">
        <w:t>Mooloolah</w:t>
      </w:r>
      <w:r w:rsidRPr="00D4309F">
        <w:rPr>
          <w:spacing w:val="-7"/>
        </w:rPr>
        <w:t xml:space="preserve"> </w:t>
      </w:r>
      <w:r w:rsidRPr="00D4309F">
        <w:t>River</w:t>
      </w:r>
      <w:r w:rsidRPr="00D4309F">
        <w:rPr>
          <w:spacing w:val="-4"/>
        </w:rPr>
        <w:t xml:space="preserve"> </w:t>
      </w:r>
      <w:r w:rsidRPr="00D4309F">
        <w:t>Entrance</w:t>
      </w:r>
      <w:r w:rsidRPr="00D4309F">
        <w:rPr>
          <w:spacing w:val="-5"/>
        </w:rPr>
        <w:t xml:space="preserve"> </w:t>
      </w:r>
      <w:r w:rsidRPr="00D4309F">
        <w:t>Shoal</w:t>
      </w:r>
      <w:r w:rsidRPr="00D4309F">
        <w:rPr>
          <w:spacing w:val="-4"/>
        </w:rPr>
        <w:t xml:space="preserve"> </w:t>
      </w:r>
      <w:r w:rsidRPr="00D4309F">
        <w:t>Management</w:t>
      </w:r>
      <w:r w:rsidRPr="00D4309F">
        <w:rPr>
          <w:spacing w:val="-5"/>
        </w:rPr>
        <w:t xml:space="preserve"> </w:t>
      </w:r>
      <w:r w:rsidRPr="00D4309F">
        <w:t>(WBM,</w:t>
      </w:r>
      <w:r w:rsidRPr="00D4309F">
        <w:rPr>
          <w:spacing w:val="-4"/>
        </w:rPr>
        <w:t xml:space="preserve"> </w:t>
      </w:r>
      <w:r w:rsidRPr="00D4309F">
        <w:rPr>
          <w:spacing w:val="-2"/>
        </w:rPr>
        <w:t>2004)</w:t>
      </w:r>
    </w:p>
    <w:p w14:paraId="420DCDAF" w14:textId="549DA764" w:rsidR="00725977" w:rsidRPr="00D4309F" w:rsidRDefault="00725977" w:rsidP="00EC018A">
      <w:pPr>
        <w:pStyle w:val="ListBullet"/>
      </w:pPr>
      <w:r w:rsidRPr="00D4309F">
        <w:t>Mooloolah</w:t>
      </w:r>
      <w:r w:rsidRPr="00D4309F">
        <w:rPr>
          <w:spacing w:val="-7"/>
        </w:rPr>
        <w:t xml:space="preserve"> </w:t>
      </w:r>
      <w:r w:rsidRPr="00D4309F">
        <w:t>River</w:t>
      </w:r>
      <w:r w:rsidRPr="00D4309F">
        <w:rPr>
          <w:spacing w:val="-4"/>
        </w:rPr>
        <w:t xml:space="preserve"> </w:t>
      </w:r>
      <w:r w:rsidRPr="00D4309F">
        <w:t>Entrance</w:t>
      </w:r>
      <w:r w:rsidRPr="00D4309F">
        <w:rPr>
          <w:spacing w:val="-6"/>
        </w:rPr>
        <w:t xml:space="preserve"> </w:t>
      </w:r>
      <w:r w:rsidRPr="00D4309F">
        <w:t>Shoal</w:t>
      </w:r>
      <w:r w:rsidRPr="00D4309F">
        <w:rPr>
          <w:spacing w:val="-4"/>
        </w:rPr>
        <w:t xml:space="preserve"> </w:t>
      </w:r>
      <w:r w:rsidRPr="00D4309F">
        <w:t>Development</w:t>
      </w:r>
      <w:r w:rsidRPr="00D4309F">
        <w:rPr>
          <w:spacing w:val="-5"/>
        </w:rPr>
        <w:t xml:space="preserve"> </w:t>
      </w:r>
      <w:r w:rsidRPr="00D4309F">
        <w:t>Indicator</w:t>
      </w:r>
      <w:r w:rsidRPr="00D4309F">
        <w:rPr>
          <w:spacing w:val="-4"/>
        </w:rPr>
        <w:t xml:space="preserve"> </w:t>
      </w:r>
      <w:r w:rsidRPr="00D4309F">
        <w:t>(WBM,</w:t>
      </w:r>
      <w:r w:rsidRPr="00D4309F">
        <w:rPr>
          <w:spacing w:val="-4"/>
        </w:rPr>
        <w:t xml:space="preserve"> </w:t>
      </w:r>
      <w:r w:rsidRPr="00D4309F">
        <w:rPr>
          <w:spacing w:val="-2"/>
        </w:rPr>
        <w:t>2005)</w:t>
      </w:r>
    </w:p>
    <w:p w14:paraId="44529B8F" w14:textId="0878D81E" w:rsidR="00725977" w:rsidRPr="00D4309F" w:rsidRDefault="00725977" w:rsidP="00DB5C2B">
      <w:pPr>
        <w:pStyle w:val="ListBullet"/>
      </w:pPr>
      <w:r w:rsidRPr="00D4309F">
        <w:t>Investigation</w:t>
      </w:r>
      <w:r w:rsidRPr="00D4309F">
        <w:rPr>
          <w:spacing w:val="-7"/>
        </w:rPr>
        <w:t xml:space="preserve"> </w:t>
      </w:r>
      <w:r w:rsidRPr="00D4309F">
        <w:t>of</w:t>
      </w:r>
      <w:r w:rsidRPr="00D4309F">
        <w:rPr>
          <w:spacing w:val="-4"/>
        </w:rPr>
        <w:t xml:space="preserve"> </w:t>
      </w:r>
      <w:r w:rsidRPr="00D4309F">
        <w:t>Capital</w:t>
      </w:r>
      <w:r w:rsidRPr="00D4309F">
        <w:rPr>
          <w:spacing w:val="-4"/>
        </w:rPr>
        <w:t xml:space="preserve"> </w:t>
      </w:r>
      <w:r w:rsidRPr="00D4309F">
        <w:t>Works</w:t>
      </w:r>
      <w:r w:rsidRPr="00D4309F">
        <w:rPr>
          <w:spacing w:val="-3"/>
        </w:rPr>
        <w:t xml:space="preserve"> </w:t>
      </w:r>
      <w:r w:rsidRPr="00D4309F">
        <w:t>Options</w:t>
      </w:r>
      <w:r w:rsidRPr="00D4309F">
        <w:rPr>
          <w:spacing w:val="-3"/>
        </w:rPr>
        <w:t xml:space="preserve"> </w:t>
      </w:r>
      <w:r w:rsidRPr="00D4309F">
        <w:t>for</w:t>
      </w:r>
      <w:r w:rsidRPr="00D4309F">
        <w:rPr>
          <w:spacing w:val="-3"/>
        </w:rPr>
        <w:t xml:space="preserve"> </w:t>
      </w:r>
      <w:r w:rsidRPr="00D4309F">
        <w:t>the</w:t>
      </w:r>
      <w:r w:rsidRPr="00D4309F">
        <w:rPr>
          <w:spacing w:val="-4"/>
        </w:rPr>
        <w:t xml:space="preserve"> </w:t>
      </w:r>
      <w:r w:rsidRPr="00D4309F">
        <w:t>Management</w:t>
      </w:r>
      <w:r w:rsidRPr="00D4309F">
        <w:rPr>
          <w:spacing w:val="-3"/>
        </w:rPr>
        <w:t xml:space="preserve"> </w:t>
      </w:r>
      <w:r w:rsidRPr="00D4309F">
        <w:t>of</w:t>
      </w:r>
      <w:r w:rsidRPr="00D4309F">
        <w:rPr>
          <w:spacing w:val="-4"/>
        </w:rPr>
        <w:t xml:space="preserve"> </w:t>
      </w:r>
      <w:r w:rsidRPr="00D4309F">
        <w:t>Shoaling</w:t>
      </w:r>
      <w:r w:rsidRPr="00D4309F">
        <w:rPr>
          <w:spacing w:val="-4"/>
        </w:rPr>
        <w:t xml:space="preserve"> </w:t>
      </w:r>
      <w:r w:rsidRPr="00D4309F">
        <w:t>at</w:t>
      </w:r>
      <w:r w:rsidRPr="00D4309F">
        <w:rPr>
          <w:spacing w:val="-4"/>
        </w:rPr>
        <w:t xml:space="preserve"> </w:t>
      </w:r>
      <w:r w:rsidRPr="00D4309F">
        <w:t>the</w:t>
      </w:r>
      <w:r w:rsidRPr="00D4309F">
        <w:rPr>
          <w:spacing w:val="-4"/>
        </w:rPr>
        <w:t xml:space="preserve"> </w:t>
      </w:r>
      <w:r w:rsidRPr="00D4309F">
        <w:t>Mooloolah</w:t>
      </w:r>
      <w:r w:rsidRPr="00D4309F">
        <w:rPr>
          <w:spacing w:val="-4"/>
        </w:rPr>
        <w:t xml:space="preserve"> </w:t>
      </w:r>
      <w:r w:rsidRPr="00D4309F">
        <w:t>River</w:t>
      </w:r>
      <w:r w:rsidRPr="00D4309F">
        <w:rPr>
          <w:spacing w:val="-2"/>
        </w:rPr>
        <w:t xml:space="preserve"> Entrance.</w:t>
      </w:r>
    </w:p>
    <w:p w14:paraId="3FCB555F" w14:textId="427210E3" w:rsidR="009A0FE4" w:rsidRPr="00D4309F" w:rsidRDefault="00725977" w:rsidP="00725977">
      <w:pPr>
        <w:pStyle w:val="BodyText"/>
      </w:pPr>
      <w:r w:rsidRPr="00D4309F">
        <w:t>A</w:t>
      </w:r>
      <w:r w:rsidRPr="00D4309F">
        <w:rPr>
          <w:spacing w:val="-2"/>
        </w:rPr>
        <w:t xml:space="preserve"> </w:t>
      </w:r>
      <w:r w:rsidRPr="00D4309F">
        <w:t>high-level</w:t>
      </w:r>
      <w:r w:rsidRPr="00D4309F">
        <w:rPr>
          <w:spacing w:val="-2"/>
        </w:rPr>
        <w:t xml:space="preserve"> </w:t>
      </w:r>
      <w:r w:rsidRPr="00D4309F">
        <w:t>review</w:t>
      </w:r>
      <w:r w:rsidRPr="00D4309F">
        <w:rPr>
          <w:spacing w:val="-1"/>
        </w:rPr>
        <w:t xml:space="preserve"> </w:t>
      </w:r>
      <w:r w:rsidRPr="00D4309F">
        <w:t>of</w:t>
      </w:r>
      <w:r w:rsidRPr="00D4309F">
        <w:rPr>
          <w:spacing w:val="-2"/>
        </w:rPr>
        <w:t xml:space="preserve"> </w:t>
      </w:r>
      <w:r w:rsidRPr="00D4309F">
        <w:t>these</w:t>
      </w:r>
      <w:r w:rsidRPr="00D4309F">
        <w:rPr>
          <w:spacing w:val="-2"/>
        </w:rPr>
        <w:t xml:space="preserve"> </w:t>
      </w:r>
      <w:r w:rsidRPr="00D4309F">
        <w:t>studies</w:t>
      </w:r>
      <w:r w:rsidRPr="00D4309F">
        <w:rPr>
          <w:spacing w:val="-1"/>
        </w:rPr>
        <w:t xml:space="preserve"> </w:t>
      </w:r>
      <w:r w:rsidRPr="00D4309F">
        <w:t>and</w:t>
      </w:r>
      <w:r w:rsidRPr="00D4309F">
        <w:rPr>
          <w:spacing w:val="-3"/>
        </w:rPr>
        <w:t xml:space="preserve"> </w:t>
      </w:r>
      <w:r w:rsidRPr="00D4309F">
        <w:t>other</w:t>
      </w:r>
      <w:r w:rsidRPr="00D4309F">
        <w:rPr>
          <w:spacing w:val="-1"/>
        </w:rPr>
        <w:t xml:space="preserve"> </w:t>
      </w:r>
      <w:r w:rsidRPr="00D4309F">
        <w:t>available</w:t>
      </w:r>
      <w:r w:rsidRPr="00D4309F">
        <w:rPr>
          <w:spacing w:val="-2"/>
        </w:rPr>
        <w:t xml:space="preserve"> </w:t>
      </w:r>
      <w:r w:rsidRPr="00D4309F">
        <w:t>data</w:t>
      </w:r>
      <w:r w:rsidRPr="00D4309F">
        <w:rPr>
          <w:spacing w:val="-2"/>
        </w:rPr>
        <w:t xml:space="preserve"> </w:t>
      </w:r>
      <w:r w:rsidRPr="00D4309F">
        <w:t>relating</w:t>
      </w:r>
      <w:r w:rsidRPr="00D4309F">
        <w:rPr>
          <w:spacing w:val="-2"/>
        </w:rPr>
        <w:t xml:space="preserve"> </w:t>
      </w:r>
      <w:r w:rsidRPr="00D4309F">
        <w:t>to</w:t>
      </w:r>
      <w:r w:rsidRPr="00D4309F">
        <w:rPr>
          <w:spacing w:val="-2"/>
        </w:rPr>
        <w:t xml:space="preserve"> </w:t>
      </w:r>
      <w:r w:rsidRPr="00D4309F">
        <w:t>the</w:t>
      </w:r>
      <w:r w:rsidRPr="00D4309F">
        <w:rPr>
          <w:spacing w:val="-2"/>
        </w:rPr>
        <w:t xml:space="preserve"> </w:t>
      </w:r>
      <w:r w:rsidRPr="00D4309F">
        <w:t>site</w:t>
      </w:r>
      <w:r w:rsidRPr="00D4309F">
        <w:rPr>
          <w:spacing w:val="-2"/>
        </w:rPr>
        <w:t xml:space="preserve"> </w:t>
      </w:r>
      <w:r w:rsidRPr="00D4309F">
        <w:t>has</w:t>
      </w:r>
      <w:r w:rsidRPr="00D4309F">
        <w:rPr>
          <w:spacing w:val="-1"/>
        </w:rPr>
        <w:t xml:space="preserve"> </w:t>
      </w:r>
      <w:r w:rsidRPr="00D4309F">
        <w:t>been</w:t>
      </w:r>
      <w:r w:rsidRPr="00D4309F">
        <w:rPr>
          <w:spacing w:val="-2"/>
        </w:rPr>
        <w:t xml:space="preserve"> </w:t>
      </w:r>
      <w:r w:rsidRPr="00D4309F">
        <w:t>undertaken</w:t>
      </w:r>
      <w:r w:rsidRPr="00D4309F">
        <w:rPr>
          <w:spacing w:val="-2"/>
        </w:rPr>
        <w:t xml:space="preserve"> </w:t>
      </w:r>
      <w:r w:rsidRPr="00D4309F">
        <w:t>for</w:t>
      </w:r>
      <w:r w:rsidRPr="00D4309F">
        <w:rPr>
          <w:spacing w:val="-1"/>
        </w:rPr>
        <w:t xml:space="preserve"> </w:t>
      </w:r>
      <w:r w:rsidRPr="00D4309F">
        <w:t>this interim report, with additional considerations and more detailed analysis to follow in the final report.</w:t>
      </w:r>
    </w:p>
    <w:p w14:paraId="55FD37D3" w14:textId="77777777" w:rsidR="00725977" w:rsidRPr="00D4309F" w:rsidRDefault="00725977" w:rsidP="009D02AB">
      <w:pPr>
        <w:pStyle w:val="Heading2"/>
      </w:pPr>
      <w:bookmarkStart w:id="27" w:name="_bookmark8"/>
      <w:bookmarkStart w:id="28" w:name="_Toc216699300"/>
      <w:bookmarkEnd w:id="27"/>
      <w:r w:rsidRPr="00D4309F">
        <w:t>Causes</w:t>
      </w:r>
      <w:r w:rsidRPr="00D4309F">
        <w:rPr>
          <w:spacing w:val="-11"/>
        </w:rPr>
        <w:t xml:space="preserve"> </w:t>
      </w:r>
      <w:r w:rsidRPr="00D4309F">
        <w:t>of</w:t>
      </w:r>
      <w:r w:rsidRPr="00D4309F">
        <w:rPr>
          <w:spacing w:val="-10"/>
        </w:rPr>
        <w:t xml:space="preserve"> </w:t>
      </w:r>
      <w:r w:rsidRPr="00D4309F">
        <w:t>shoaling</w:t>
      </w:r>
      <w:r w:rsidRPr="00D4309F">
        <w:rPr>
          <w:spacing w:val="-11"/>
        </w:rPr>
        <w:t xml:space="preserve"> </w:t>
      </w:r>
      <w:r w:rsidRPr="00D4309F">
        <w:rPr>
          <w:spacing w:val="-2"/>
        </w:rPr>
        <w:t>events</w:t>
      </w:r>
      <w:bookmarkEnd w:id="28"/>
    </w:p>
    <w:p w14:paraId="6E538EC3" w14:textId="77777777" w:rsidR="00725977" w:rsidRPr="00D4309F" w:rsidRDefault="00725977" w:rsidP="00725977">
      <w:pPr>
        <w:pStyle w:val="BodyText"/>
      </w:pPr>
      <w:r w:rsidRPr="00D4309F">
        <w:t>An</w:t>
      </w:r>
      <w:r w:rsidRPr="00D4309F">
        <w:rPr>
          <w:spacing w:val="-3"/>
        </w:rPr>
        <w:t xml:space="preserve"> </w:t>
      </w:r>
      <w:r w:rsidRPr="00D4309F">
        <w:t>assessment</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site</w:t>
      </w:r>
      <w:r w:rsidRPr="00D4309F">
        <w:rPr>
          <w:spacing w:val="-3"/>
        </w:rPr>
        <w:t xml:space="preserve"> </w:t>
      </w:r>
      <w:r w:rsidRPr="00D4309F">
        <w:t>conditions,</w:t>
      </w:r>
      <w:r w:rsidRPr="00D4309F">
        <w:rPr>
          <w:spacing w:val="-3"/>
        </w:rPr>
        <w:t xml:space="preserve"> </w:t>
      </w:r>
      <w:r w:rsidRPr="00D4309F">
        <w:t>available</w:t>
      </w:r>
      <w:r w:rsidRPr="00D4309F">
        <w:rPr>
          <w:spacing w:val="-3"/>
        </w:rPr>
        <w:t xml:space="preserve"> </w:t>
      </w:r>
      <w:r w:rsidRPr="00D4309F">
        <w:t>historical</w:t>
      </w:r>
      <w:r w:rsidRPr="00D4309F">
        <w:rPr>
          <w:spacing w:val="-3"/>
        </w:rPr>
        <w:t xml:space="preserve"> </w:t>
      </w:r>
      <w:r w:rsidRPr="00D4309F">
        <w:t>data</w:t>
      </w:r>
      <w:r w:rsidRPr="00D4309F">
        <w:rPr>
          <w:spacing w:val="-3"/>
        </w:rPr>
        <w:t xml:space="preserve"> </w:t>
      </w:r>
      <w:r w:rsidRPr="00D4309F">
        <w:t>and</w:t>
      </w:r>
      <w:r w:rsidRPr="00D4309F">
        <w:rPr>
          <w:spacing w:val="-4"/>
        </w:rPr>
        <w:t xml:space="preserve"> </w:t>
      </w:r>
      <w:r w:rsidRPr="00D4309F">
        <w:t>previous</w:t>
      </w:r>
      <w:r w:rsidRPr="00D4309F">
        <w:rPr>
          <w:spacing w:val="-2"/>
        </w:rPr>
        <w:t xml:space="preserve"> </w:t>
      </w:r>
      <w:r w:rsidRPr="00D4309F">
        <w:t>studies</w:t>
      </w:r>
      <w:r w:rsidRPr="00D4309F">
        <w:rPr>
          <w:spacing w:val="-2"/>
        </w:rPr>
        <w:t xml:space="preserve"> </w:t>
      </w:r>
      <w:r w:rsidRPr="00D4309F">
        <w:t>indicates</w:t>
      </w:r>
      <w:r w:rsidRPr="00D4309F">
        <w:rPr>
          <w:spacing w:val="-2"/>
        </w:rPr>
        <w:t xml:space="preserve"> </w:t>
      </w:r>
      <w:r w:rsidRPr="00D4309F">
        <w:t>that</w:t>
      </w:r>
      <w:r w:rsidRPr="00D4309F">
        <w:rPr>
          <w:spacing w:val="-3"/>
        </w:rPr>
        <w:t xml:space="preserve"> </w:t>
      </w:r>
      <w:r w:rsidRPr="00D4309F">
        <w:t>the</w:t>
      </w:r>
      <w:r w:rsidRPr="00D4309F">
        <w:rPr>
          <w:spacing w:val="-3"/>
        </w:rPr>
        <w:t xml:space="preserve"> </w:t>
      </w:r>
      <w:r w:rsidRPr="00D4309F">
        <w:t>coastal processes operating around Point Cartwright, and the mechanisms driving sand shoal events at the entrance, are reasonably well understood at a conceptual level. The following statements are supported by our experience and the available site data and are considered to represent the current understanding of coastal processes at the entrance.</w:t>
      </w:r>
    </w:p>
    <w:p w14:paraId="1698CB60" w14:textId="77777777" w:rsidR="00725977" w:rsidRPr="00D4309F" w:rsidRDefault="00725977" w:rsidP="00EC018A">
      <w:pPr>
        <w:pStyle w:val="ListBullet"/>
      </w:pPr>
      <w:r w:rsidRPr="00D4309F">
        <w:rPr>
          <w:b/>
        </w:rPr>
        <w:t>Sediment</w:t>
      </w:r>
      <w:r w:rsidRPr="00D4309F">
        <w:rPr>
          <w:b/>
          <w:spacing w:val="-3"/>
        </w:rPr>
        <w:t xml:space="preserve"> </w:t>
      </w:r>
      <w:r w:rsidRPr="00D4309F">
        <w:rPr>
          <w:b/>
        </w:rPr>
        <w:t>supply.</w:t>
      </w:r>
      <w:r w:rsidRPr="00D4309F">
        <w:rPr>
          <w:b/>
          <w:spacing w:val="-4"/>
        </w:rPr>
        <w:t xml:space="preserve"> </w:t>
      </w:r>
      <w:r w:rsidRPr="00D4309F">
        <w:t>Supply</w:t>
      </w:r>
      <w:r w:rsidRPr="00D4309F">
        <w:rPr>
          <w:spacing w:val="-3"/>
        </w:rPr>
        <w:t xml:space="preserve"> </w:t>
      </w:r>
      <w:r w:rsidRPr="00D4309F">
        <w:t>of</w:t>
      </w:r>
      <w:r w:rsidRPr="00D4309F">
        <w:rPr>
          <w:spacing w:val="-3"/>
        </w:rPr>
        <w:t xml:space="preserve"> </w:t>
      </w:r>
      <w:r w:rsidRPr="00D4309F">
        <w:t>sediments</w:t>
      </w:r>
      <w:r w:rsidRPr="00D4309F">
        <w:rPr>
          <w:spacing w:val="-3"/>
        </w:rPr>
        <w:t xml:space="preserve"> </w:t>
      </w:r>
      <w:r w:rsidRPr="00D4309F">
        <w:t>during</w:t>
      </w:r>
      <w:r w:rsidRPr="00D4309F">
        <w:rPr>
          <w:spacing w:val="-3"/>
        </w:rPr>
        <w:t xml:space="preserve"> </w:t>
      </w:r>
      <w:r w:rsidRPr="00D4309F">
        <w:t>sand</w:t>
      </w:r>
      <w:r w:rsidRPr="00D4309F">
        <w:rPr>
          <w:spacing w:val="-3"/>
        </w:rPr>
        <w:t xml:space="preserve"> </w:t>
      </w:r>
      <w:r w:rsidRPr="00D4309F">
        <w:t>shoal</w:t>
      </w:r>
      <w:r w:rsidRPr="00D4309F">
        <w:rPr>
          <w:spacing w:val="-3"/>
        </w:rPr>
        <w:t xml:space="preserve"> </w:t>
      </w:r>
      <w:r w:rsidRPr="00D4309F">
        <w:t>events</w:t>
      </w:r>
      <w:r w:rsidRPr="00D4309F">
        <w:rPr>
          <w:spacing w:val="-2"/>
        </w:rPr>
        <w:t xml:space="preserve"> </w:t>
      </w:r>
      <w:r w:rsidRPr="00D4309F">
        <w:t>is</w:t>
      </w:r>
      <w:r w:rsidRPr="00D4309F">
        <w:rPr>
          <w:spacing w:val="-3"/>
        </w:rPr>
        <w:t xml:space="preserve"> </w:t>
      </w:r>
      <w:r w:rsidRPr="00D4309F">
        <w:t>predominantly</w:t>
      </w:r>
      <w:r w:rsidRPr="00D4309F">
        <w:rPr>
          <w:spacing w:val="-2"/>
        </w:rPr>
        <w:t xml:space="preserve"> </w:t>
      </w:r>
      <w:r w:rsidRPr="00D4309F">
        <w:t>marine</w:t>
      </w:r>
      <w:r w:rsidRPr="00D4309F">
        <w:rPr>
          <w:spacing w:val="-3"/>
        </w:rPr>
        <w:t xml:space="preserve"> </w:t>
      </w:r>
      <w:r w:rsidRPr="00D4309F">
        <w:t>sands</w:t>
      </w:r>
      <w:r w:rsidRPr="00D4309F">
        <w:rPr>
          <w:spacing w:val="-2"/>
        </w:rPr>
        <w:t xml:space="preserve"> </w:t>
      </w:r>
      <w:r w:rsidRPr="00D4309F">
        <w:t>that bypass Point Cartwright (from Buddina Beach).</w:t>
      </w:r>
    </w:p>
    <w:p w14:paraId="7EBED127" w14:textId="351FED62" w:rsidR="00725977" w:rsidRPr="00D4309F" w:rsidRDefault="00725977" w:rsidP="00EC018A">
      <w:pPr>
        <w:pStyle w:val="ListBullet"/>
      </w:pPr>
      <w:r w:rsidRPr="00D4309F">
        <w:rPr>
          <w:b/>
        </w:rPr>
        <w:t>Bypassing</w:t>
      </w:r>
      <w:r w:rsidRPr="00D4309F">
        <w:rPr>
          <w:b/>
          <w:spacing w:val="-3"/>
        </w:rPr>
        <w:t xml:space="preserve"> </w:t>
      </w:r>
      <w:r w:rsidRPr="00D4309F">
        <w:rPr>
          <w:b/>
        </w:rPr>
        <w:t>of</w:t>
      </w:r>
      <w:r w:rsidRPr="00D4309F">
        <w:rPr>
          <w:b/>
          <w:spacing w:val="-2"/>
        </w:rPr>
        <w:t xml:space="preserve"> </w:t>
      </w:r>
      <w:r w:rsidRPr="00D4309F">
        <w:rPr>
          <w:b/>
        </w:rPr>
        <w:t>Point</w:t>
      </w:r>
      <w:r w:rsidRPr="00D4309F">
        <w:rPr>
          <w:b/>
          <w:spacing w:val="-3"/>
        </w:rPr>
        <w:t xml:space="preserve"> </w:t>
      </w:r>
      <w:r w:rsidRPr="00D4309F">
        <w:rPr>
          <w:b/>
        </w:rPr>
        <w:t>Cartwright.</w:t>
      </w:r>
      <w:r w:rsidRPr="00D4309F">
        <w:rPr>
          <w:b/>
          <w:spacing w:val="-3"/>
        </w:rPr>
        <w:t xml:space="preserve"> </w:t>
      </w:r>
      <w:r w:rsidRPr="00D4309F">
        <w:t>Natural</w:t>
      </w:r>
      <w:r w:rsidRPr="00D4309F">
        <w:rPr>
          <w:spacing w:val="-3"/>
        </w:rPr>
        <w:t xml:space="preserve"> </w:t>
      </w:r>
      <w:r w:rsidRPr="00D4309F">
        <w:t>bypassing</w:t>
      </w:r>
      <w:r w:rsidRPr="00D4309F">
        <w:rPr>
          <w:spacing w:val="-3"/>
        </w:rPr>
        <w:t xml:space="preserve"> </w:t>
      </w:r>
      <w:r w:rsidRPr="00D4309F">
        <w:t>of</w:t>
      </w:r>
      <w:r w:rsidRPr="00D4309F">
        <w:rPr>
          <w:spacing w:val="-3"/>
        </w:rPr>
        <w:t xml:space="preserve"> </w:t>
      </w:r>
      <w:r w:rsidRPr="00D4309F">
        <w:t>Point</w:t>
      </w:r>
      <w:r w:rsidRPr="00D4309F">
        <w:rPr>
          <w:spacing w:val="-3"/>
        </w:rPr>
        <w:t xml:space="preserve"> </w:t>
      </w:r>
      <w:r w:rsidRPr="00D4309F">
        <w:t>Cartwright</w:t>
      </w:r>
      <w:r w:rsidRPr="00D4309F">
        <w:rPr>
          <w:spacing w:val="-3"/>
        </w:rPr>
        <w:t xml:space="preserve"> </w:t>
      </w:r>
      <w:r w:rsidRPr="00D4309F">
        <w:t>is</w:t>
      </w:r>
      <w:r w:rsidRPr="00D4309F">
        <w:rPr>
          <w:spacing w:val="-2"/>
        </w:rPr>
        <w:t xml:space="preserve"> </w:t>
      </w:r>
      <w:r w:rsidRPr="00D4309F">
        <w:t>conceptually</w:t>
      </w:r>
      <w:r w:rsidRPr="00D4309F">
        <w:rPr>
          <w:spacing w:val="-3"/>
        </w:rPr>
        <w:t xml:space="preserve"> </w:t>
      </w:r>
      <w:r w:rsidRPr="00D4309F">
        <w:t>illustrated</w:t>
      </w:r>
      <w:r w:rsidRPr="00D4309F">
        <w:rPr>
          <w:spacing w:val="-3"/>
        </w:rPr>
        <w:t xml:space="preserve"> </w:t>
      </w:r>
      <w:r w:rsidRPr="00D4309F">
        <w:t xml:space="preserve">in </w:t>
      </w:r>
      <w:hyperlink w:anchor="_bookmark9" w:history="1">
        <w:r w:rsidR="00DB5C2B">
          <w:fldChar w:fldCharType="begin" w:fldLock="1"/>
        </w:r>
        <w:r w:rsidR="00DB5C2B">
          <w:instrText xml:space="preserve"> REF _Ref215831631 \h </w:instrText>
        </w:r>
        <w:r w:rsidR="00DB5C2B">
          <w:fldChar w:fldCharType="separate"/>
        </w:r>
        <w:r w:rsidR="00C2179B">
          <w:t xml:space="preserve">Figure </w:t>
        </w:r>
        <w:r w:rsidR="00C2179B">
          <w:rPr>
            <w:noProof/>
          </w:rPr>
          <w:t>4</w:t>
        </w:r>
        <w:r w:rsidR="00C2179B">
          <w:noBreakHyphen/>
        </w:r>
        <w:r w:rsidR="00C2179B">
          <w:rPr>
            <w:noProof/>
          </w:rPr>
          <w:t>1</w:t>
        </w:r>
        <w:r w:rsidR="00DB5C2B">
          <w:fldChar w:fldCharType="end"/>
        </w:r>
        <w:r w:rsidRPr="00D4309F">
          <w:t>,</w:t>
        </w:r>
      </w:hyperlink>
      <w:r w:rsidRPr="00D4309F">
        <w:t xml:space="preserve"> which includes the following sequence. This high-level conceptual process is supported by historical aerial imagery and hydrographic survey:</w:t>
      </w:r>
    </w:p>
    <w:p w14:paraId="796AB69B" w14:textId="77777777" w:rsidR="00725977" w:rsidRPr="00D4309F" w:rsidRDefault="00725977" w:rsidP="00EC018A">
      <w:pPr>
        <w:pStyle w:val="ListBullet2"/>
      </w:pPr>
      <w:r w:rsidRPr="00D4309F">
        <w:t>Net</w:t>
      </w:r>
      <w:r w:rsidRPr="00D4309F">
        <w:rPr>
          <w:spacing w:val="-3"/>
        </w:rPr>
        <w:t xml:space="preserve"> </w:t>
      </w:r>
      <w:r w:rsidRPr="00D4309F">
        <w:t>northerly</w:t>
      </w:r>
      <w:r w:rsidRPr="00D4309F">
        <w:rPr>
          <w:spacing w:val="-3"/>
        </w:rPr>
        <w:t xml:space="preserve"> </w:t>
      </w:r>
      <w:r w:rsidRPr="00D4309F">
        <w:t>longshore</w:t>
      </w:r>
      <w:r w:rsidRPr="00D4309F">
        <w:rPr>
          <w:spacing w:val="-3"/>
        </w:rPr>
        <w:t xml:space="preserve"> </w:t>
      </w:r>
      <w:r w:rsidRPr="00D4309F">
        <w:t>transport</w:t>
      </w:r>
      <w:r w:rsidRPr="00D4309F">
        <w:rPr>
          <w:spacing w:val="-3"/>
        </w:rPr>
        <w:t xml:space="preserve"> </w:t>
      </w:r>
      <w:r w:rsidRPr="00D4309F">
        <w:t>of</w:t>
      </w:r>
      <w:r w:rsidRPr="00D4309F">
        <w:rPr>
          <w:spacing w:val="-3"/>
        </w:rPr>
        <w:t xml:space="preserve"> </w:t>
      </w:r>
      <w:r w:rsidRPr="00D4309F">
        <w:t>sediment</w:t>
      </w:r>
      <w:r w:rsidRPr="00D4309F">
        <w:rPr>
          <w:spacing w:val="-3"/>
        </w:rPr>
        <w:t xml:space="preserve"> </w:t>
      </w:r>
      <w:r w:rsidRPr="00D4309F">
        <w:t>at</w:t>
      </w:r>
      <w:r w:rsidRPr="00D4309F">
        <w:rPr>
          <w:spacing w:val="-3"/>
        </w:rPr>
        <w:t xml:space="preserve"> </w:t>
      </w:r>
      <w:r w:rsidRPr="00D4309F">
        <w:t>Buddina</w:t>
      </w:r>
      <w:r w:rsidRPr="00D4309F">
        <w:rPr>
          <w:spacing w:val="-3"/>
        </w:rPr>
        <w:t xml:space="preserve"> </w:t>
      </w:r>
      <w:r w:rsidRPr="00D4309F">
        <w:t>Beach,</w:t>
      </w:r>
      <w:r w:rsidRPr="00D4309F">
        <w:rPr>
          <w:spacing w:val="-3"/>
        </w:rPr>
        <w:t xml:space="preserve"> </w:t>
      </w:r>
      <w:r w:rsidRPr="00D4309F">
        <w:t>which</w:t>
      </w:r>
      <w:r w:rsidRPr="00D4309F">
        <w:rPr>
          <w:spacing w:val="-4"/>
        </w:rPr>
        <w:t xml:space="preserve"> </w:t>
      </w:r>
      <w:r w:rsidRPr="00D4309F">
        <w:t>supplies</w:t>
      </w:r>
      <w:r w:rsidRPr="00D4309F">
        <w:rPr>
          <w:spacing w:val="-3"/>
        </w:rPr>
        <w:t xml:space="preserve"> </w:t>
      </w:r>
      <w:r w:rsidRPr="00D4309F">
        <w:t>sediment</w:t>
      </w:r>
      <w:r w:rsidRPr="00D4309F">
        <w:rPr>
          <w:spacing w:val="-3"/>
        </w:rPr>
        <w:t xml:space="preserve"> </w:t>
      </w:r>
      <w:r w:rsidRPr="00D4309F">
        <w:t>to</w:t>
      </w:r>
      <w:r w:rsidRPr="00D4309F">
        <w:rPr>
          <w:spacing w:val="-3"/>
        </w:rPr>
        <w:t xml:space="preserve"> </w:t>
      </w:r>
      <w:r w:rsidRPr="00D4309F">
        <w:t>the eastern side of Point Cartwright.</w:t>
      </w:r>
    </w:p>
    <w:p w14:paraId="0DEC58D0" w14:textId="77777777" w:rsidR="00725977" w:rsidRPr="00D4309F" w:rsidRDefault="00725977" w:rsidP="00EC018A">
      <w:pPr>
        <w:pStyle w:val="ListBullet2"/>
      </w:pPr>
      <w:r w:rsidRPr="00D4309F">
        <w:t>Infrequent</w:t>
      </w:r>
      <w:r w:rsidRPr="00D4309F">
        <w:rPr>
          <w:spacing w:val="-3"/>
        </w:rPr>
        <w:t xml:space="preserve"> </w:t>
      </w:r>
      <w:r w:rsidRPr="00D4309F">
        <w:t>(weather</w:t>
      </w:r>
      <w:r w:rsidRPr="00D4309F">
        <w:rPr>
          <w:spacing w:val="-2"/>
        </w:rPr>
        <w:t xml:space="preserve"> </w:t>
      </w:r>
      <w:r w:rsidRPr="00D4309F">
        <w:t>dependent</w:t>
      </w:r>
      <w:r w:rsidRPr="00D4309F">
        <w:rPr>
          <w:spacing w:val="-3"/>
        </w:rPr>
        <w:t xml:space="preserve"> </w:t>
      </w:r>
      <w:r w:rsidRPr="00D4309F">
        <w:t>i.e.,</w:t>
      </w:r>
      <w:r w:rsidRPr="00D4309F">
        <w:rPr>
          <w:spacing w:val="-3"/>
        </w:rPr>
        <w:t xml:space="preserve"> </w:t>
      </w:r>
      <w:r w:rsidRPr="00D4309F">
        <w:t>wave</w:t>
      </w:r>
      <w:r w:rsidRPr="00D4309F">
        <w:rPr>
          <w:spacing w:val="-3"/>
        </w:rPr>
        <w:t xml:space="preserve"> </w:t>
      </w:r>
      <w:r w:rsidRPr="00D4309F">
        <w:t>height</w:t>
      </w:r>
      <w:r w:rsidRPr="00D4309F">
        <w:rPr>
          <w:spacing w:val="-3"/>
        </w:rPr>
        <w:t xml:space="preserve"> </w:t>
      </w:r>
      <w:r w:rsidRPr="00D4309F">
        <w:t>and</w:t>
      </w:r>
      <w:r w:rsidRPr="00D4309F">
        <w:rPr>
          <w:spacing w:val="-3"/>
        </w:rPr>
        <w:t xml:space="preserve"> </w:t>
      </w:r>
      <w:r w:rsidRPr="00D4309F">
        <w:t>direction)</w:t>
      </w:r>
      <w:r w:rsidRPr="00D4309F">
        <w:rPr>
          <w:spacing w:val="-2"/>
        </w:rPr>
        <w:t xml:space="preserve"> </w:t>
      </w:r>
      <w:r w:rsidRPr="00D4309F">
        <w:t>sand</w:t>
      </w:r>
      <w:r w:rsidRPr="00D4309F">
        <w:rPr>
          <w:spacing w:val="-3"/>
        </w:rPr>
        <w:t xml:space="preserve"> </w:t>
      </w:r>
      <w:r w:rsidRPr="00D4309F">
        <w:t>bypassing</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eastern</w:t>
      </w:r>
      <w:r w:rsidRPr="00D4309F">
        <w:rPr>
          <w:spacing w:val="-4"/>
        </w:rPr>
        <w:t xml:space="preserve"> </w:t>
      </w:r>
      <w:r w:rsidRPr="00D4309F">
        <w:t>side</w:t>
      </w:r>
      <w:r w:rsidRPr="00D4309F">
        <w:rPr>
          <w:spacing w:val="-3"/>
        </w:rPr>
        <w:t xml:space="preserve"> </w:t>
      </w:r>
      <w:r w:rsidRPr="00D4309F">
        <w:t xml:space="preserve">of Point Cartwright and often the accumulation of sediment or ‘storage’ of sand north of Point </w:t>
      </w:r>
      <w:r w:rsidRPr="00D4309F">
        <w:rPr>
          <w:spacing w:val="-2"/>
        </w:rPr>
        <w:t>Cartwright.</w:t>
      </w:r>
    </w:p>
    <w:p w14:paraId="3F17EAD2" w14:textId="77777777" w:rsidR="00725977" w:rsidRPr="00D4309F" w:rsidRDefault="00725977" w:rsidP="00EC018A">
      <w:pPr>
        <w:pStyle w:val="ListBullet2"/>
      </w:pPr>
      <w:r w:rsidRPr="00D4309F">
        <w:t>Westward transport of sediments along the northern rocky shelf of Point Cartwright across the eastern</w:t>
      </w:r>
      <w:r w:rsidRPr="00D4309F">
        <w:rPr>
          <w:spacing w:val="-4"/>
        </w:rPr>
        <w:t xml:space="preserve"> </w:t>
      </w:r>
      <w:r w:rsidRPr="00D4309F">
        <w:t>breakwater,</w:t>
      </w:r>
      <w:r w:rsidRPr="00D4309F">
        <w:rPr>
          <w:spacing w:val="-4"/>
        </w:rPr>
        <w:t xml:space="preserve"> </w:t>
      </w:r>
      <w:r w:rsidRPr="00D4309F">
        <w:t>including</w:t>
      </w:r>
      <w:r w:rsidRPr="00D4309F">
        <w:rPr>
          <w:spacing w:val="-4"/>
        </w:rPr>
        <w:t xml:space="preserve"> </w:t>
      </w:r>
      <w:r w:rsidRPr="00D4309F">
        <w:t>mobilisation</w:t>
      </w:r>
      <w:r w:rsidRPr="00D4309F">
        <w:rPr>
          <w:spacing w:val="-4"/>
        </w:rPr>
        <w:t xml:space="preserve"> </w:t>
      </w:r>
      <w:r w:rsidRPr="00D4309F">
        <w:t>of</w:t>
      </w:r>
      <w:r w:rsidRPr="00D4309F">
        <w:rPr>
          <w:spacing w:val="-4"/>
        </w:rPr>
        <w:t xml:space="preserve"> </w:t>
      </w:r>
      <w:r w:rsidRPr="00D4309F">
        <w:t>deeper</w:t>
      </w:r>
      <w:r w:rsidRPr="00D4309F">
        <w:rPr>
          <w:spacing w:val="-3"/>
        </w:rPr>
        <w:t xml:space="preserve"> </w:t>
      </w:r>
      <w:r w:rsidRPr="00D4309F">
        <w:t>accumulated</w:t>
      </w:r>
      <w:r w:rsidRPr="00D4309F">
        <w:rPr>
          <w:spacing w:val="-4"/>
        </w:rPr>
        <w:t xml:space="preserve"> </w:t>
      </w:r>
      <w:r w:rsidRPr="00D4309F">
        <w:t>sands</w:t>
      </w:r>
      <w:r w:rsidRPr="00D4309F">
        <w:rPr>
          <w:spacing w:val="-3"/>
        </w:rPr>
        <w:t xml:space="preserve"> </w:t>
      </w:r>
      <w:r w:rsidRPr="00D4309F">
        <w:t>during</w:t>
      </w:r>
      <w:r w:rsidRPr="00D4309F">
        <w:rPr>
          <w:spacing w:val="-4"/>
        </w:rPr>
        <w:t xml:space="preserve"> </w:t>
      </w:r>
      <w:r w:rsidRPr="00D4309F">
        <w:t>periods</w:t>
      </w:r>
      <w:r w:rsidRPr="00D4309F">
        <w:rPr>
          <w:spacing w:val="-3"/>
        </w:rPr>
        <w:t xml:space="preserve"> </w:t>
      </w:r>
      <w:r w:rsidRPr="00D4309F">
        <w:t>of</w:t>
      </w:r>
      <w:r w:rsidRPr="00D4309F">
        <w:rPr>
          <w:spacing w:val="-4"/>
        </w:rPr>
        <w:t xml:space="preserve"> </w:t>
      </w:r>
      <w:r w:rsidRPr="00D4309F">
        <w:t>higher wave conditions.</w:t>
      </w:r>
    </w:p>
    <w:p w14:paraId="13984A2A" w14:textId="77777777" w:rsidR="00725977" w:rsidRPr="00D4309F" w:rsidRDefault="00725977" w:rsidP="00EC018A">
      <w:pPr>
        <w:pStyle w:val="ListBullet2"/>
      </w:pPr>
      <w:r w:rsidRPr="00D4309F">
        <w:t>Bypassing</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eastern</w:t>
      </w:r>
      <w:r w:rsidRPr="00D4309F">
        <w:rPr>
          <w:spacing w:val="-3"/>
        </w:rPr>
        <w:t xml:space="preserve"> </w:t>
      </w:r>
      <w:r w:rsidRPr="00D4309F">
        <w:t>rock</w:t>
      </w:r>
      <w:r w:rsidRPr="00D4309F">
        <w:rPr>
          <w:spacing w:val="-2"/>
        </w:rPr>
        <w:t xml:space="preserve"> </w:t>
      </w:r>
      <w:r w:rsidRPr="00D4309F">
        <w:t>breakwater</w:t>
      </w:r>
      <w:r w:rsidRPr="00D4309F">
        <w:rPr>
          <w:spacing w:val="-2"/>
        </w:rPr>
        <w:t xml:space="preserve"> </w:t>
      </w:r>
      <w:r w:rsidRPr="00D4309F">
        <w:t>where</w:t>
      </w:r>
      <w:r w:rsidRPr="00D4309F">
        <w:rPr>
          <w:spacing w:val="-3"/>
        </w:rPr>
        <w:t xml:space="preserve"> </w:t>
      </w:r>
      <w:r w:rsidRPr="00D4309F">
        <w:t>sediment</w:t>
      </w:r>
      <w:r w:rsidRPr="00D4309F">
        <w:rPr>
          <w:spacing w:val="-3"/>
        </w:rPr>
        <w:t xml:space="preserve"> </w:t>
      </w:r>
      <w:r w:rsidRPr="00D4309F">
        <w:t>enters</w:t>
      </w:r>
      <w:r w:rsidRPr="00D4309F">
        <w:rPr>
          <w:spacing w:val="-2"/>
        </w:rPr>
        <w:t xml:space="preserve"> </w:t>
      </w:r>
      <w:r w:rsidRPr="00D4309F">
        <w:t>and</w:t>
      </w:r>
      <w:r w:rsidRPr="00D4309F">
        <w:rPr>
          <w:spacing w:val="-3"/>
        </w:rPr>
        <w:t xml:space="preserve"> </w:t>
      </w:r>
      <w:r w:rsidRPr="00D4309F">
        <w:t>‘crosses’</w:t>
      </w:r>
      <w:r w:rsidRPr="00D4309F">
        <w:rPr>
          <w:spacing w:val="-3"/>
        </w:rPr>
        <w:t xml:space="preserve"> </w:t>
      </w:r>
      <w:r w:rsidRPr="00D4309F">
        <w:t>the</w:t>
      </w:r>
      <w:r w:rsidRPr="00D4309F">
        <w:rPr>
          <w:spacing w:val="-3"/>
        </w:rPr>
        <w:t xml:space="preserve"> </w:t>
      </w:r>
      <w:r w:rsidRPr="00D4309F">
        <w:t>Mooloolah</w:t>
      </w:r>
      <w:r w:rsidRPr="00D4309F">
        <w:rPr>
          <w:spacing w:val="-4"/>
        </w:rPr>
        <w:t xml:space="preserve"> </w:t>
      </w:r>
      <w:r w:rsidRPr="00D4309F">
        <w:t xml:space="preserve">River </w:t>
      </w:r>
      <w:r w:rsidRPr="00D4309F">
        <w:rPr>
          <w:spacing w:val="-2"/>
        </w:rPr>
        <w:t>channel.</w:t>
      </w:r>
    </w:p>
    <w:p w14:paraId="5461F8DC" w14:textId="77777777" w:rsidR="00725977" w:rsidRPr="00D4309F" w:rsidRDefault="00725977" w:rsidP="00EC018A">
      <w:pPr>
        <w:pStyle w:val="ListBullet2"/>
      </w:pPr>
      <w:r w:rsidRPr="00D4309F">
        <w:t>During this sequence, it should be noted that sediment bypassing of the breakwater and migration across</w:t>
      </w:r>
      <w:r w:rsidRPr="00D4309F">
        <w:rPr>
          <w:spacing w:val="-2"/>
        </w:rPr>
        <w:t xml:space="preserve"> </w:t>
      </w:r>
      <w:r w:rsidRPr="00D4309F">
        <w:t>the</w:t>
      </w:r>
      <w:r w:rsidRPr="00D4309F">
        <w:rPr>
          <w:spacing w:val="-3"/>
        </w:rPr>
        <w:t xml:space="preserve"> </w:t>
      </w:r>
      <w:r w:rsidRPr="00D4309F">
        <w:t>entrance</w:t>
      </w:r>
      <w:r w:rsidRPr="00D4309F">
        <w:rPr>
          <w:spacing w:val="-3"/>
        </w:rPr>
        <w:t xml:space="preserve"> </w:t>
      </w:r>
      <w:r w:rsidRPr="00D4309F">
        <w:t>can</w:t>
      </w:r>
      <w:r w:rsidRPr="00D4309F">
        <w:rPr>
          <w:spacing w:val="-3"/>
        </w:rPr>
        <w:t xml:space="preserve"> </w:t>
      </w:r>
      <w:r w:rsidRPr="00D4309F">
        <w:t>occur</w:t>
      </w:r>
      <w:r w:rsidRPr="00D4309F">
        <w:rPr>
          <w:spacing w:val="-4"/>
        </w:rPr>
        <w:t xml:space="preserve"> </w:t>
      </w:r>
      <w:r w:rsidRPr="00D4309F">
        <w:t>without</w:t>
      </w:r>
      <w:r w:rsidRPr="00D4309F">
        <w:rPr>
          <w:spacing w:val="-3"/>
        </w:rPr>
        <w:t xml:space="preserve"> </w:t>
      </w:r>
      <w:r w:rsidRPr="00D4309F">
        <w:t>the</w:t>
      </w:r>
      <w:r w:rsidRPr="00D4309F">
        <w:rPr>
          <w:spacing w:val="-3"/>
        </w:rPr>
        <w:t xml:space="preserve"> </w:t>
      </w:r>
      <w:r w:rsidRPr="00D4309F">
        <w:t>occurrence</w:t>
      </w:r>
      <w:r w:rsidRPr="00D4309F">
        <w:rPr>
          <w:spacing w:val="-3"/>
        </w:rPr>
        <w:t xml:space="preserve"> </w:t>
      </w:r>
      <w:r w:rsidRPr="00D4309F">
        <w:t>of</w:t>
      </w:r>
      <w:r w:rsidRPr="00D4309F">
        <w:rPr>
          <w:spacing w:val="-3"/>
        </w:rPr>
        <w:t xml:space="preserve"> </w:t>
      </w:r>
      <w:r w:rsidRPr="00D4309F">
        <w:t>sand</w:t>
      </w:r>
      <w:r w:rsidRPr="00D4309F">
        <w:rPr>
          <w:spacing w:val="-4"/>
        </w:rPr>
        <w:t xml:space="preserve"> </w:t>
      </w:r>
      <w:r w:rsidRPr="00D4309F">
        <w:t>shoal</w:t>
      </w:r>
      <w:r w:rsidRPr="00D4309F">
        <w:rPr>
          <w:spacing w:val="-4"/>
        </w:rPr>
        <w:t xml:space="preserve"> </w:t>
      </w:r>
      <w:r w:rsidRPr="00D4309F">
        <w:t>event,</w:t>
      </w:r>
      <w:r w:rsidRPr="00D4309F">
        <w:rPr>
          <w:spacing w:val="-3"/>
        </w:rPr>
        <w:t xml:space="preserve"> </w:t>
      </w:r>
      <w:r w:rsidRPr="00D4309F">
        <w:t>usually</w:t>
      </w:r>
      <w:r w:rsidRPr="00D4309F">
        <w:rPr>
          <w:spacing w:val="-2"/>
        </w:rPr>
        <w:t xml:space="preserve"> </w:t>
      </w:r>
      <w:r w:rsidRPr="00D4309F">
        <w:t>during</w:t>
      </w:r>
      <w:r w:rsidRPr="00D4309F">
        <w:rPr>
          <w:spacing w:val="-3"/>
        </w:rPr>
        <w:t xml:space="preserve"> </w:t>
      </w:r>
      <w:r w:rsidRPr="00D4309F">
        <w:t>periods</w:t>
      </w:r>
      <w:r w:rsidRPr="00D4309F">
        <w:rPr>
          <w:spacing w:val="-2"/>
        </w:rPr>
        <w:t xml:space="preserve"> </w:t>
      </w:r>
      <w:r w:rsidRPr="00D4309F">
        <w:t>of calmer wave conditions.</w:t>
      </w:r>
    </w:p>
    <w:p w14:paraId="4D94F453" w14:textId="77777777" w:rsidR="00725977" w:rsidRPr="00D4309F" w:rsidRDefault="00725977" w:rsidP="00EC018A">
      <w:pPr>
        <w:pStyle w:val="ListBullet2"/>
      </w:pPr>
      <w:r w:rsidRPr="00D4309F">
        <w:t>Minor</w:t>
      </w:r>
      <w:r w:rsidRPr="00D4309F">
        <w:rPr>
          <w:spacing w:val="-4"/>
        </w:rPr>
        <w:t xml:space="preserve"> </w:t>
      </w:r>
      <w:r w:rsidRPr="00D4309F">
        <w:t>sand</w:t>
      </w:r>
      <w:r w:rsidRPr="00D4309F">
        <w:rPr>
          <w:spacing w:val="-3"/>
        </w:rPr>
        <w:t xml:space="preserve"> </w:t>
      </w:r>
      <w:r w:rsidRPr="00D4309F">
        <w:t>shoals</w:t>
      </w:r>
      <w:r w:rsidRPr="00D4309F">
        <w:rPr>
          <w:spacing w:val="-2"/>
        </w:rPr>
        <w:t xml:space="preserve"> </w:t>
      </w:r>
      <w:r w:rsidRPr="00D4309F">
        <w:t>have</w:t>
      </w:r>
      <w:r w:rsidRPr="00D4309F">
        <w:rPr>
          <w:spacing w:val="-3"/>
        </w:rPr>
        <w:t xml:space="preserve"> </w:t>
      </w:r>
      <w:r w:rsidRPr="00D4309F">
        <w:t>naturally</w:t>
      </w:r>
      <w:r w:rsidRPr="00D4309F">
        <w:rPr>
          <w:spacing w:val="-2"/>
        </w:rPr>
        <w:t xml:space="preserve"> </w:t>
      </w:r>
      <w:r w:rsidRPr="00D4309F">
        <w:t>dispersed</w:t>
      </w:r>
      <w:r w:rsidRPr="00D4309F">
        <w:rPr>
          <w:spacing w:val="-3"/>
        </w:rPr>
        <w:t xml:space="preserve"> </w:t>
      </w:r>
      <w:r w:rsidRPr="00D4309F">
        <w:t>in</w:t>
      </w:r>
      <w:r w:rsidRPr="00D4309F">
        <w:rPr>
          <w:spacing w:val="-3"/>
        </w:rPr>
        <w:t xml:space="preserve"> </w:t>
      </w:r>
      <w:r w:rsidRPr="00D4309F">
        <w:t>the</w:t>
      </w:r>
      <w:r w:rsidRPr="00D4309F">
        <w:rPr>
          <w:spacing w:val="-3"/>
        </w:rPr>
        <w:t xml:space="preserve"> </w:t>
      </w:r>
      <w:r w:rsidRPr="00D4309F">
        <w:t>past</w:t>
      </w:r>
      <w:r w:rsidRPr="00D4309F">
        <w:rPr>
          <w:spacing w:val="-3"/>
        </w:rPr>
        <w:t xml:space="preserve"> </w:t>
      </w:r>
      <w:r w:rsidRPr="00D4309F">
        <w:t>without</w:t>
      </w:r>
      <w:r w:rsidRPr="00D4309F">
        <w:rPr>
          <w:spacing w:val="-3"/>
        </w:rPr>
        <w:t xml:space="preserve"> </w:t>
      </w:r>
      <w:r w:rsidRPr="00D4309F">
        <w:t>the</w:t>
      </w:r>
      <w:r w:rsidRPr="00D4309F">
        <w:rPr>
          <w:spacing w:val="-4"/>
        </w:rPr>
        <w:t xml:space="preserve"> </w:t>
      </w:r>
      <w:r w:rsidRPr="00D4309F">
        <w:t>need</w:t>
      </w:r>
      <w:r w:rsidRPr="00D4309F">
        <w:rPr>
          <w:spacing w:val="-3"/>
        </w:rPr>
        <w:t xml:space="preserve"> </w:t>
      </w:r>
      <w:r w:rsidRPr="00D4309F">
        <w:t>for</w:t>
      </w:r>
      <w:r w:rsidRPr="00D4309F">
        <w:rPr>
          <w:spacing w:val="-2"/>
        </w:rPr>
        <w:t xml:space="preserve"> </w:t>
      </w:r>
      <w:r w:rsidRPr="00D4309F">
        <w:t>dredging</w:t>
      </w:r>
      <w:r w:rsidRPr="00D4309F">
        <w:rPr>
          <w:spacing w:val="-3"/>
        </w:rPr>
        <w:t xml:space="preserve"> </w:t>
      </w:r>
      <w:r w:rsidRPr="00D4309F">
        <w:t>or</w:t>
      </w:r>
      <w:r w:rsidRPr="00D4309F">
        <w:rPr>
          <w:spacing w:val="-2"/>
        </w:rPr>
        <w:t xml:space="preserve"> </w:t>
      </w:r>
      <w:r w:rsidRPr="00D4309F">
        <w:t>forming</w:t>
      </w:r>
      <w:r w:rsidRPr="00D4309F">
        <w:rPr>
          <w:spacing w:val="-3"/>
        </w:rPr>
        <w:t xml:space="preserve"> </w:t>
      </w:r>
      <w:r w:rsidRPr="00D4309F">
        <w:t>a hazardous shoal.</w:t>
      </w:r>
    </w:p>
    <w:p w14:paraId="367A08C8" w14:textId="11A58D9E" w:rsidR="00B678DA" w:rsidRPr="00B678DA" w:rsidRDefault="00725977" w:rsidP="00DB5C2B">
      <w:pPr>
        <w:pStyle w:val="ListBullet2"/>
      </w:pPr>
      <w:r w:rsidRPr="00D4309F">
        <w:t>Eventual</w:t>
      </w:r>
      <w:r w:rsidRPr="00D4309F">
        <w:rPr>
          <w:spacing w:val="-8"/>
        </w:rPr>
        <w:t xml:space="preserve"> </w:t>
      </w:r>
      <w:r w:rsidRPr="00D4309F">
        <w:t>westward</w:t>
      </w:r>
      <w:r w:rsidRPr="00D4309F">
        <w:rPr>
          <w:spacing w:val="-5"/>
        </w:rPr>
        <w:t xml:space="preserve"> </w:t>
      </w:r>
      <w:r w:rsidRPr="00D4309F">
        <w:t>migration</w:t>
      </w:r>
      <w:r w:rsidRPr="00D4309F">
        <w:rPr>
          <w:spacing w:val="-4"/>
        </w:rPr>
        <w:t xml:space="preserve"> </w:t>
      </w:r>
      <w:r w:rsidRPr="00D4309F">
        <w:t>of</w:t>
      </w:r>
      <w:r w:rsidRPr="00D4309F">
        <w:rPr>
          <w:spacing w:val="-5"/>
        </w:rPr>
        <w:t xml:space="preserve"> </w:t>
      </w:r>
      <w:r w:rsidRPr="00D4309F">
        <w:t>sediment</w:t>
      </w:r>
      <w:r w:rsidRPr="00D4309F">
        <w:rPr>
          <w:spacing w:val="-4"/>
        </w:rPr>
        <w:t xml:space="preserve"> </w:t>
      </w:r>
      <w:r w:rsidRPr="00D4309F">
        <w:t>towards</w:t>
      </w:r>
      <w:r w:rsidRPr="00D4309F">
        <w:rPr>
          <w:spacing w:val="-4"/>
        </w:rPr>
        <w:t xml:space="preserve"> </w:t>
      </w:r>
      <w:r w:rsidRPr="00D4309F">
        <w:t>Mooloolaba</w:t>
      </w:r>
      <w:r w:rsidRPr="00D4309F">
        <w:rPr>
          <w:spacing w:val="-4"/>
        </w:rPr>
        <w:t xml:space="preserve"> </w:t>
      </w:r>
      <w:r w:rsidRPr="00D4309F">
        <w:rPr>
          <w:spacing w:val="-2"/>
        </w:rPr>
        <w:t>Beach.</w:t>
      </w:r>
    </w:p>
    <w:p w14:paraId="02DED1AF" w14:textId="77777777" w:rsidR="00EE530A" w:rsidRDefault="00EC018A" w:rsidP="00EE530A">
      <w:pPr>
        <w:pStyle w:val="BodyText"/>
        <w:keepNext/>
        <w:jc w:val="center"/>
      </w:pPr>
      <w:r>
        <w:rPr>
          <w:noProof/>
        </w:rPr>
        <w:lastRenderedPageBreak/>
        <w:drawing>
          <wp:inline distT="0" distB="0" distL="0" distR="0" wp14:anchorId="766DCE32" wp14:editId="0D2A1AFA">
            <wp:extent cx="4104000" cy="2712819"/>
            <wp:effectExtent l="0" t="0" r="0" b="0"/>
            <wp:docPr id="779985628" name="Picture 10" descr="This is an arial view of the Mooloolaba Boat Harbour Entrance. There are arrows showing that the direction of shoaling events go from the south of coastline, north along Point Cartwright, then toward Mooloolaba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985628" name="Picture 10" descr="This is an arial view of the Mooloolaba Boat Harbour Entrance. There are arrows showing that the direction of shoaling events go from the south of coastline, north along Point Cartwright, then toward Mooloolaba beach."/>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04000" cy="2712819"/>
                    </a:xfrm>
                    <a:prstGeom prst="rect">
                      <a:avLst/>
                    </a:prstGeom>
                    <a:noFill/>
                  </pic:spPr>
                </pic:pic>
              </a:graphicData>
            </a:graphic>
          </wp:inline>
        </w:drawing>
      </w:r>
    </w:p>
    <w:p w14:paraId="249A6091" w14:textId="4B406EB9" w:rsidR="00725977" w:rsidRDefault="00EE530A" w:rsidP="00EE530A">
      <w:pPr>
        <w:pStyle w:val="Caption"/>
        <w:jc w:val="center"/>
        <w:rPr>
          <w:spacing w:val="-2"/>
        </w:rPr>
      </w:pPr>
      <w:bookmarkStart w:id="29" w:name="_Ref215831631"/>
      <w:bookmarkStart w:id="30" w:name="_Toc216699591"/>
      <w:r>
        <w:t xml:space="preserve">Figure </w:t>
      </w:r>
      <w:r w:rsidR="00B538D4">
        <w:fldChar w:fldCharType="begin" w:fldLock="1"/>
      </w:r>
      <w:r w:rsidR="00B538D4">
        <w:instrText xml:space="preserve"> STYLEREF 1 \s </w:instrText>
      </w:r>
      <w:r w:rsidR="00B538D4">
        <w:fldChar w:fldCharType="separate"/>
      </w:r>
      <w:r w:rsidR="00B538D4">
        <w:rPr>
          <w:noProof/>
        </w:rPr>
        <w:t>4</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1</w:t>
      </w:r>
      <w:r w:rsidR="00B538D4">
        <w:fldChar w:fldCharType="end"/>
      </w:r>
      <w:bookmarkEnd w:id="29"/>
      <w:r>
        <w:t>:</w:t>
      </w:r>
      <w:r>
        <w:tab/>
      </w:r>
      <w:r w:rsidRPr="00D4309F">
        <w:t>Conceptual</w:t>
      </w:r>
      <w:r w:rsidRPr="00D4309F">
        <w:rPr>
          <w:spacing w:val="-5"/>
        </w:rPr>
        <w:t xml:space="preserve"> </w:t>
      </w:r>
      <w:r w:rsidRPr="00D4309F">
        <w:t>model</w:t>
      </w:r>
      <w:r w:rsidRPr="00D4309F">
        <w:rPr>
          <w:spacing w:val="-2"/>
        </w:rPr>
        <w:t xml:space="preserve"> </w:t>
      </w:r>
      <w:r w:rsidRPr="00D4309F">
        <w:t>of</w:t>
      </w:r>
      <w:r w:rsidRPr="00D4309F">
        <w:rPr>
          <w:spacing w:val="-4"/>
        </w:rPr>
        <w:t xml:space="preserve"> </w:t>
      </w:r>
      <w:r w:rsidRPr="00D4309F">
        <w:t>natural</w:t>
      </w:r>
      <w:r w:rsidRPr="00D4309F">
        <w:rPr>
          <w:spacing w:val="-2"/>
        </w:rPr>
        <w:t xml:space="preserve"> </w:t>
      </w:r>
      <w:r w:rsidRPr="00D4309F">
        <w:t>bypassing</w:t>
      </w:r>
      <w:r w:rsidRPr="00D4309F">
        <w:rPr>
          <w:spacing w:val="-3"/>
        </w:rPr>
        <w:t xml:space="preserve"> </w:t>
      </w:r>
      <w:r w:rsidRPr="00D4309F">
        <w:t>of</w:t>
      </w:r>
      <w:r w:rsidRPr="00D4309F">
        <w:rPr>
          <w:spacing w:val="-3"/>
        </w:rPr>
        <w:t xml:space="preserve"> </w:t>
      </w:r>
      <w:r w:rsidRPr="00D4309F">
        <w:t>Point</w:t>
      </w:r>
      <w:r w:rsidRPr="00D4309F">
        <w:rPr>
          <w:spacing w:val="-4"/>
        </w:rPr>
        <w:t xml:space="preserve"> </w:t>
      </w:r>
      <w:r w:rsidRPr="00D4309F">
        <w:t>Cartwright</w:t>
      </w:r>
      <w:r w:rsidRPr="00D4309F">
        <w:rPr>
          <w:spacing w:val="-2"/>
        </w:rPr>
        <w:t xml:space="preserve"> </w:t>
      </w:r>
      <w:r w:rsidRPr="00D4309F">
        <w:t>(BMT,</w:t>
      </w:r>
      <w:r w:rsidRPr="00D4309F">
        <w:rPr>
          <w:spacing w:val="-2"/>
        </w:rPr>
        <w:t xml:space="preserve"> 2014)</w:t>
      </w:r>
      <w:bookmarkEnd w:id="30"/>
    </w:p>
    <w:p w14:paraId="0A0CD64B" w14:textId="77777777" w:rsidR="00815E77" w:rsidRPr="00815E77" w:rsidRDefault="00815E77" w:rsidP="00815E77">
      <w:pPr>
        <w:pStyle w:val="BodyText"/>
      </w:pPr>
    </w:p>
    <w:p w14:paraId="696B3AEC" w14:textId="77777777" w:rsidR="00725977" w:rsidRPr="00D4309F" w:rsidRDefault="00725977" w:rsidP="00651D19">
      <w:pPr>
        <w:pStyle w:val="ListBullet"/>
      </w:pPr>
      <w:bookmarkStart w:id="31" w:name="_bookmark9"/>
      <w:bookmarkEnd w:id="31"/>
      <w:r w:rsidRPr="00D4309F">
        <w:rPr>
          <w:b/>
        </w:rPr>
        <w:t>Cause</w:t>
      </w:r>
      <w:r w:rsidRPr="00D4309F">
        <w:rPr>
          <w:b/>
          <w:spacing w:val="-2"/>
        </w:rPr>
        <w:t xml:space="preserve"> </w:t>
      </w:r>
      <w:r w:rsidRPr="00D4309F">
        <w:rPr>
          <w:b/>
        </w:rPr>
        <w:t>of</w:t>
      </w:r>
      <w:r w:rsidRPr="00D4309F">
        <w:rPr>
          <w:b/>
          <w:spacing w:val="-1"/>
        </w:rPr>
        <w:t xml:space="preserve"> </w:t>
      </w:r>
      <w:r w:rsidRPr="00D4309F">
        <w:rPr>
          <w:b/>
        </w:rPr>
        <w:t>sand</w:t>
      </w:r>
      <w:r w:rsidRPr="00D4309F">
        <w:rPr>
          <w:b/>
          <w:spacing w:val="-2"/>
        </w:rPr>
        <w:t xml:space="preserve"> </w:t>
      </w:r>
      <w:r w:rsidRPr="00D4309F">
        <w:rPr>
          <w:b/>
        </w:rPr>
        <w:t>shoal</w:t>
      </w:r>
      <w:r w:rsidRPr="00D4309F">
        <w:rPr>
          <w:b/>
          <w:spacing w:val="-2"/>
        </w:rPr>
        <w:t xml:space="preserve"> </w:t>
      </w:r>
      <w:r w:rsidRPr="00D4309F">
        <w:rPr>
          <w:b/>
        </w:rPr>
        <w:t>events</w:t>
      </w:r>
      <w:r w:rsidRPr="00D4309F">
        <w:t>.</w:t>
      </w:r>
      <w:r w:rsidRPr="00D4309F">
        <w:rPr>
          <w:spacing w:val="-3"/>
        </w:rPr>
        <w:t xml:space="preserve"> </w:t>
      </w:r>
      <w:r w:rsidRPr="00D4309F">
        <w:t>The</w:t>
      </w:r>
      <w:r w:rsidRPr="00D4309F">
        <w:rPr>
          <w:spacing w:val="-3"/>
        </w:rPr>
        <w:t xml:space="preserve"> </w:t>
      </w:r>
      <w:r w:rsidRPr="00D4309F">
        <w:t>cause</w:t>
      </w:r>
      <w:r w:rsidRPr="00D4309F">
        <w:rPr>
          <w:spacing w:val="-2"/>
        </w:rPr>
        <w:t xml:space="preserve"> </w:t>
      </w:r>
      <w:r w:rsidRPr="00D4309F">
        <w:t>of</w:t>
      </w:r>
      <w:r w:rsidRPr="00D4309F">
        <w:rPr>
          <w:spacing w:val="-2"/>
        </w:rPr>
        <w:t xml:space="preserve"> </w:t>
      </w:r>
      <w:r w:rsidRPr="00D4309F">
        <w:t>sand</w:t>
      </w:r>
      <w:r w:rsidRPr="00D4309F">
        <w:rPr>
          <w:spacing w:val="-2"/>
        </w:rPr>
        <w:t xml:space="preserve"> </w:t>
      </w:r>
      <w:r w:rsidRPr="00D4309F">
        <w:t>shoal</w:t>
      </w:r>
      <w:r w:rsidRPr="00D4309F">
        <w:rPr>
          <w:spacing w:val="-2"/>
        </w:rPr>
        <w:t xml:space="preserve"> </w:t>
      </w:r>
      <w:r w:rsidRPr="00D4309F">
        <w:t>events</w:t>
      </w:r>
      <w:r w:rsidRPr="00D4309F">
        <w:rPr>
          <w:spacing w:val="-1"/>
        </w:rPr>
        <w:t xml:space="preserve"> </w:t>
      </w:r>
      <w:r w:rsidRPr="00D4309F">
        <w:t>at</w:t>
      </w:r>
      <w:r w:rsidRPr="00D4309F">
        <w:rPr>
          <w:spacing w:val="-4"/>
        </w:rPr>
        <w:t xml:space="preserve"> </w:t>
      </w:r>
      <w:r w:rsidRPr="00D4309F">
        <w:t>the</w:t>
      </w:r>
      <w:r w:rsidRPr="00D4309F">
        <w:rPr>
          <w:spacing w:val="-2"/>
        </w:rPr>
        <w:t xml:space="preserve"> </w:t>
      </w:r>
      <w:r w:rsidRPr="00D4309F">
        <w:t>entrance</w:t>
      </w:r>
      <w:r w:rsidRPr="00D4309F">
        <w:rPr>
          <w:spacing w:val="-2"/>
        </w:rPr>
        <w:t xml:space="preserve"> </w:t>
      </w:r>
      <w:r w:rsidRPr="00D4309F">
        <w:t>is</w:t>
      </w:r>
      <w:r w:rsidRPr="00D4309F">
        <w:rPr>
          <w:spacing w:val="-1"/>
        </w:rPr>
        <w:t xml:space="preserve"> </w:t>
      </w:r>
      <w:r w:rsidRPr="00D4309F">
        <w:t>well</w:t>
      </w:r>
      <w:r w:rsidRPr="00D4309F">
        <w:rPr>
          <w:spacing w:val="-2"/>
        </w:rPr>
        <w:t xml:space="preserve"> </w:t>
      </w:r>
      <w:r w:rsidRPr="00D4309F">
        <w:t>understood</w:t>
      </w:r>
      <w:r w:rsidRPr="00D4309F">
        <w:rPr>
          <w:spacing w:val="-2"/>
        </w:rPr>
        <w:t xml:space="preserve"> </w:t>
      </w:r>
      <w:r w:rsidRPr="00D4309F">
        <w:t>at</w:t>
      </w:r>
      <w:r w:rsidRPr="00D4309F">
        <w:rPr>
          <w:spacing w:val="-2"/>
        </w:rPr>
        <w:t xml:space="preserve"> </w:t>
      </w:r>
      <w:r w:rsidRPr="00D4309F">
        <w:t>a conceptual level and has been replicated using numerical modelling to a reasonable degree.</w:t>
      </w:r>
    </w:p>
    <w:p w14:paraId="51C06C57" w14:textId="77777777" w:rsidR="00725977" w:rsidRPr="00D4309F" w:rsidRDefault="00725977" w:rsidP="00651D19">
      <w:pPr>
        <w:pStyle w:val="ListBullet2"/>
      </w:pPr>
      <w:r w:rsidRPr="00D4309F">
        <w:t>At a high-level, the sand shoal events appear to be the result of a net difference in longshore transport</w:t>
      </w:r>
      <w:r w:rsidRPr="00D4309F">
        <w:rPr>
          <w:spacing w:val="-3"/>
        </w:rPr>
        <w:t xml:space="preserve"> </w:t>
      </w:r>
      <w:r w:rsidRPr="00D4309F">
        <w:t>rates</w:t>
      </w:r>
      <w:r w:rsidRPr="00D4309F">
        <w:rPr>
          <w:spacing w:val="-2"/>
        </w:rPr>
        <w:t xml:space="preserve"> </w:t>
      </w:r>
      <w:r w:rsidRPr="00D4309F">
        <w:t>across</w:t>
      </w:r>
      <w:r w:rsidRPr="00D4309F">
        <w:rPr>
          <w:spacing w:val="-2"/>
        </w:rPr>
        <w:t xml:space="preserve"> </w:t>
      </w:r>
      <w:r w:rsidRPr="00D4309F">
        <w:t>the</w:t>
      </w:r>
      <w:r w:rsidRPr="00D4309F">
        <w:rPr>
          <w:spacing w:val="-3"/>
        </w:rPr>
        <w:t xml:space="preserve"> </w:t>
      </w:r>
      <w:r w:rsidRPr="00D4309F">
        <w:t>entrance</w:t>
      </w:r>
      <w:r w:rsidRPr="00D4309F">
        <w:rPr>
          <w:spacing w:val="-3"/>
        </w:rPr>
        <w:t xml:space="preserve"> </w:t>
      </w:r>
      <w:r w:rsidRPr="00D4309F">
        <w:t>i.e.,</w:t>
      </w:r>
      <w:r w:rsidRPr="00D4309F">
        <w:rPr>
          <w:spacing w:val="-3"/>
        </w:rPr>
        <w:t xml:space="preserve"> </w:t>
      </w:r>
      <w:r w:rsidRPr="00D4309F">
        <w:t>the</w:t>
      </w:r>
      <w:r w:rsidRPr="00D4309F">
        <w:rPr>
          <w:spacing w:val="-3"/>
        </w:rPr>
        <w:t xml:space="preserve"> </w:t>
      </w:r>
      <w:r w:rsidRPr="00D4309F">
        <w:t>rate</w:t>
      </w:r>
      <w:r w:rsidRPr="00D4309F">
        <w:rPr>
          <w:spacing w:val="-3"/>
        </w:rPr>
        <w:t xml:space="preserve"> </w:t>
      </w:r>
      <w:r w:rsidRPr="00D4309F">
        <w:t>at</w:t>
      </w:r>
      <w:r w:rsidRPr="00D4309F">
        <w:rPr>
          <w:spacing w:val="-3"/>
        </w:rPr>
        <w:t xml:space="preserve"> </w:t>
      </w:r>
      <w:r w:rsidRPr="00D4309F">
        <w:t>which</w:t>
      </w:r>
      <w:r w:rsidRPr="00D4309F">
        <w:rPr>
          <w:spacing w:val="-3"/>
        </w:rPr>
        <w:t xml:space="preserve"> </w:t>
      </w:r>
      <w:r w:rsidRPr="00D4309F">
        <w:t>sediment</w:t>
      </w:r>
      <w:r w:rsidRPr="00D4309F">
        <w:rPr>
          <w:spacing w:val="-3"/>
        </w:rPr>
        <w:t xml:space="preserve"> </w:t>
      </w:r>
      <w:r w:rsidRPr="00D4309F">
        <w:t>is</w:t>
      </w:r>
      <w:r w:rsidRPr="00D4309F">
        <w:rPr>
          <w:spacing w:val="-2"/>
        </w:rPr>
        <w:t xml:space="preserve"> </w:t>
      </w:r>
      <w:r w:rsidRPr="00D4309F">
        <w:t>arriving</w:t>
      </w:r>
      <w:r w:rsidRPr="00D4309F">
        <w:rPr>
          <w:spacing w:val="-3"/>
        </w:rPr>
        <w:t xml:space="preserve"> </w:t>
      </w:r>
      <w:r w:rsidRPr="00D4309F">
        <w:t>from</w:t>
      </w:r>
      <w:r w:rsidRPr="00D4309F">
        <w:rPr>
          <w:spacing w:val="-3"/>
        </w:rPr>
        <w:t xml:space="preserve"> </w:t>
      </w:r>
      <w:r w:rsidRPr="00D4309F">
        <w:t>the</w:t>
      </w:r>
      <w:r w:rsidRPr="00D4309F">
        <w:rPr>
          <w:spacing w:val="-3"/>
        </w:rPr>
        <w:t xml:space="preserve"> </w:t>
      </w:r>
      <w:r w:rsidRPr="00D4309F">
        <w:t>rocky</w:t>
      </w:r>
      <w:r w:rsidRPr="00D4309F">
        <w:rPr>
          <w:spacing w:val="-2"/>
        </w:rPr>
        <w:t xml:space="preserve"> </w:t>
      </w:r>
      <w:r w:rsidRPr="00D4309F">
        <w:t>shelf along the northern coastline of Point Cartwright is significantly greater than the rate at which sediment can migrate across the entrance.</w:t>
      </w:r>
    </w:p>
    <w:p w14:paraId="5E092211" w14:textId="77777777" w:rsidR="00725977" w:rsidRPr="00D4309F" w:rsidRDefault="00725977" w:rsidP="00651D19">
      <w:pPr>
        <w:pStyle w:val="ListBullet2"/>
      </w:pPr>
      <w:r w:rsidRPr="00D4309F">
        <w:t>This</w:t>
      </w:r>
      <w:r w:rsidRPr="00D4309F">
        <w:rPr>
          <w:spacing w:val="-2"/>
        </w:rPr>
        <w:t xml:space="preserve"> </w:t>
      </w:r>
      <w:r w:rsidRPr="00D4309F">
        <w:t>is</w:t>
      </w:r>
      <w:r w:rsidRPr="00D4309F">
        <w:rPr>
          <w:spacing w:val="-3"/>
        </w:rPr>
        <w:t xml:space="preserve"> </w:t>
      </w:r>
      <w:r w:rsidRPr="00D4309F">
        <w:t>supported</w:t>
      </w:r>
      <w:r w:rsidRPr="00D4309F">
        <w:rPr>
          <w:spacing w:val="-3"/>
        </w:rPr>
        <w:t xml:space="preserve"> </w:t>
      </w:r>
      <w:r w:rsidRPr="00D4309F">
        <w:t>by</w:t>
      </w:r>
      <w:r w:rsidRPr="00D4309F">
        <w:rPr>
          <w:spacing w:val="-2"/>
        </w:rPr>
        <w:t xml:space="preserve"> </w:t>
      </w:r>
      <w:r w:rsidRPr="00D4309F">
        <w:t>the</w:t>
      </w:r>
      <w:r w:rsidRPr="00D4309F">
        <w:rPr>
          <w:spacing w:val="-3"/>
        </w:rPr>
        <w:t xml:space="preserve"> </w:t>
      </w:r>
      <w:r w:rsidRPr="00D4309F">
        <w:t>consistent</w:t>
      </w:r>
      <w:r w:rsidRPr="00D4309F">
        <w:rPr>
          <w:spacing w:val="-3"/>
        </w:rPr>
        <w:t xml:space="preserve"> </w:t>
      </w:r>
      <w:r w:rsidRPr="00D4309F">
        <w:t>formation</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sand</w:t>
      </w:r>
      <w:r w:rsidRPr="00D4309F">
        <w:rPr>
          <w:spacing w:val="-3"/>
        </w:rPr>
        <w:t xml:space="preserve"> </w:t>
      </w:r>
      <w:r w:rsidRPr="00D4309F">
        <w:t>shoal</w:t>
      </w:r>
      <w:r w:rsidRPr="00D4309F">
        <w:rPr>
          <w:spacing w:val="-3"/>
        </w:rPr>
        <w:t xml:space="preserve"> </w:t>
      </w:r>
      <w:r w:rsidRPr="00D4309F">
        <w:t>events</w:t>
      </w:r>
      <w:r w:rsidRPr="00D4309F">
        <w:rPr>
          <w:spacing w:val="-2"/>
        </w:rPr>
        <w:t xml:space="preserve"> </w:t>
      </w:r>
      <w:r w:rsidRPr="00D4309F">
        <w:t>that</w:t>
      </w:r>
      <w:r w:rsidRPr="00D4309F">
        <w:rPr>
          <w:spacing w:val="-3"/>
        </w:rPr>
        <w:t xml:space="preserve"> </w:t>
      </w:r>
      <w:r w:rsidRPr="00D4309F">
        <w:t>extend</w:t>
      </w:r>
      <w:r w:rsidRPr="00D4309F">
        <w:rPr>
          <w:spacing w:val="-3"/>
        </w:rPr>
        <w:t xml:space="preserve"> </w:t>
      </w:r>
      <w:r w:rsidRPr="00D4309F">
        <w:t>from</w:t>
      </w:r>
      <w:r w:rsidRPr="00D4309F">
        <w:rPr>
          <w:spacing w:val="-3"/>
        </w:rPr>
        <w:t xml:space="preserve"> </w:t>
      </w:r>
      <w:r w:rsidRPr="00D4309F">
        <w:t>the</w:t>
      </w:r>
      <w:r w:rsidRPr="00D4309F">
        <w:rPr>
          <w:spacing w:val="-3"/>
        </w:rPr>
        <w:t xml:space="preserve"> </w:t>
      </w:r>
      <w:r w:rsidRPr="00D4309F">
        <w:t>end</w:t>
      </w:r>
      <w:r w:rsidRPr="00D4309F">
        <w:rPr>
          <w:spacing w:val="-3"/>
        </w:rPr>
        <w:t xml:space="preserve"> </w:t>
      </w:r>
      <w:r w:rsidRPr="00D4309F">
        <w:t>of the eastern breakwater and to the west across to Mooloolaba Beach.</w:t>
      </w:r>
    </w:p>
    <w:p w14:paraId="1F6CC590" w14:textId="77777777" w:rsidR="00725977" w:rsidRPr="00D4309F" w:rsidRDefault="00725977" w:rsidP="00651D19">
      <w:pPr>
        <w:pStyle w:val="ListBullet2"/>
      </w:pPr>
      <w:r w:rsidRPr="00D4309F">
        <w:t>The occurrence of sand shoal events is heavily dependent on weather conditions (i.e., wave energy and</w:t>
      </w:r>
      <w:r w:rsidRPr="00D4309F">
        <w:rPr>
          <w:spacing w:val="-2"/>
        </w:rPr>
        <w:t xml:space="preserve"> </w:t>
      </w:r>
      <w:r w:rsidRPr="00D4309F">
        <w:t>direction)</w:t>
      </w:r>
      <w:r w:rsidRPr="00D4309F">
        <w:rPr>
          <w:spacing w:val="-3"/>
        </w:rPr>
        <w:t xml:space="preserve"> </w:t>
      </w:r>
      <w:r w:rsidRPr="00D4309F">
        <w:t>and</w:t>
      </w:r>
      <w:r w:rsidRPr="00D4309F">
        <w:rPr>
          <w:spacing w:val="-2"/>
        </w:rPr>
        <w:t xml:space="preserve"> </w:t>
      </w:r>
      <w:r w:rsidRPr="00D4309F">
        <w:t>the</w:t>
      </w:r>
      <w:r w:rsidRPr="00D4309F">
        <w:rPr>
          <w:spacing w:val="-2"/>
        </w:rPr>
        <w:t xml:space="preserve"> </w:t>
      </w:r>
      <w:r w:rsidRPr="00D4309F">
        <w:t>availability</w:t>
      </w:r>
      <w:r w:rsidRPr="00D4309F">
        <w:rPr>
          <w:spacing w:val="-1"/>
        </w:rPr>
        <w:t xml:space="preserve"> </w:t>
      </w:r>
      <w:r w:rsidRPr="00D4309F">
        <w:t>of</w:t>
      </w:r>
      <w:r w:rsidRPr="00D4309F">
        <w:rPr>
          <w:spacing w:val="-2"/>
        </w:rPr>
        <w:t xml:space="preserve"> </w:t>
      </w:r>
      <w:r w:rsidRPr="00D4309F">
        <w:t>sand</w:t>
      </w:r>
      <w:r w:rsidRPr="00D4309F">
        <w:rPr>
          <w:spacing w:val="-3"/>
        </w:rPr>
        <w:t xml:space="preserve"> </w:t>
      </w:r>
      <w:r w:rsidRPr="00D4309F">
        <w:t>to</w:t>
      </w:r>
      <w:r w:rsidRPr="00D4309F">
        <w:rPr>
          <w:spacing w:val="-2"/>
        </w:rPr>
        <w:t xml:space="preserve"> </w:t>
      </w:r>
      <w:r w:rsidRPr="00D4309F">
        <w:t>be</w:t>
      </w:r>
      <w:r w:rsidRPr="00D4309F">
        <w:rPr>
          <w:spacing w:val="-2"/>
        </w:rPr>
        <w:t xml:space="preserve"> </w:t>
      </w:r>
      <w:r w:rsidRPr="00D4309F">
        <w:t>mobilised</w:t>
      </w:r>
      <w:r w:rsidRPr="00D4309F">
        <w:rPr>
          <w:spacing w:val="-2"/>
        </w:rPr>
        <w:t xml:space="preserve"> </w:t>
      </w:r>
      <w:r w:rsidRPr="00D4309F">
        <w:t>that</w:t>
      </w:r>
      <w:r w:rsidRPr="00D4309F">
        <w:rPr>
          <w:spacing w:val="-2"/>
        </w:rPr>
        <w:t xml:space="preserve"> </w:t>
      </w:r>
      <w:r w:rsidRPr="00D4309F">
        <w:t>can</w:t>
      </w:r>
      <w:r w:rsidRPr="00D4309F">
        <w:rPr>
          <w:spacing w:val="-2"/>
        </w:rPr>
        <w:t xml:space="preserve"> </w:t>
      </w:r>
      <w:r w:rsidRPr="00D4309F">
        <w:t>be</w:t>
      </w:r>
      <w:r w:rsidRPr="00D4309F">
        <w:rPr>
          <w:spacing w:val="-2"/>
        </w:rPr>
        <w:t xml:space="preserve"> </w:t>
      </w:r>
      <w:r w:rsidRPr="00D4309F">
        <w:t>transported</w:t>
      </w:r>
      <w:r w:rsidRPr="00D4309F">
        <w:rPr>
          <w:spacing w:val="-3"/>
        </w:rPr>
        <w:t xml:space="preserve"> </w:t>
      </w:r>
      <w:r w:rsidRPr="00D4309F">
        <w:t>into</w:t>
      </w:r>
      <w:r w:rsidRPr="00D4309F">
        <w:rPr>
          <w:spacing w:val="-2"/>
        </w:rPr>
        <w:t xml:space="preserve"> </w:t>
      </w:r>
      <w:r w:rsidRPr="00D4309F">
        <w:t>the</w:t>
      </w:r>
      <w:r w:rsidRPr="00D4309F">
        <w:rPr>
          <w:spacing w:val="-2"/>
        </w:rPr>
        <w:t xml:space="preserve"> </w:t>
      </w:r>
      <w:r w:rsidRPr="00D4309F">
        <w:t>entrance</w:t>
      </w:r>
      <w:r w:rsidRPr="00D4309F">
        <w:rPr>
          <w:spacing w:val="-2"/>
        </w:rPr>
        <w:t xml:space="preserve"> </w:t>
      </w:r>
      <w:r w:rsidRPr="00D4309F">
        <w:t>to supply the formation of the shoal.</w:t>
      </w:r>
    </w:p>
    <w:p w14:paraId="2AE3E18E" w14:textId="77777777" w:rsidR="00725977" w:rsidRPr="00D4309F" w:rsidRDefault="00725977" w:rsidP="00651D19">
      <w:pPr>
        <w:pStyle w:val="ListBullet2"/>
      </w:pPr>
      <w:r w:rsidRPr="00D4309F">
        <w:t>Periods</w:t>
      </w:r>
      <w:r w:rsidRPr="00D4309F">
        <w:rPr>
          <w:spacing w:val="-2"/>
        </w:rPr>
        <w:t xml:space="preserve"> </w:t>
      </w:r>
      <w:r w:rsidRPr="00D4309F">
        <w:t>of</w:t>
      </w:r>
      <w:r w:rsidRPr="00D4309F">
        <w:rPr>
          <w:spacing w:val="-3"/>
        </w:rPr>
        <w:t xml:space="preserve"> </w:t>
      </w:r>
      <w:r w:rsidRPr="00D4309F">
        <w:t>higher</w:t>
      </w:r>
      <w:r w:rsidRPr="00D4309F">
        <w:rPr>
          <w:spacing w:val="-2"/>
        </w:rPr>
        <w:t xml:space="preserve"> </w:t>
      </w:r>
      <w:r w:rsidRPr="00D4309F">
        <w:t>wave</w:t>
      </w:r>
      <w:r w:rsidRPr="00D4309F">
        <w:rPr>
          <w:spacing w:val="-3"/>
        </w:rPr>
        <w:t xml:space="preserve"> </w:t>
      </w:r>
      <w:r w:rsidRPr="00D4309F">
        <w:t>energy</w:t>
      </w:r>
      <w:r w:rsidRPr="00D4309F">
        <w:rPr>
          <w:spacing w:val="-2"/>
        </w:rPr>
        <w:t xml:space="preserve"> </w:t>
      </w:r>
      <w:r w:rsidRPr="00D4309F">
        <w:t>from</w:t>
      </w:r>
      <w:r w:rsidRPr="00D4309F">
        <w:rPr>
          <w:spacing w:val="-3"/>
        </w:rPr>
        <w:t xml:space="preserve"> </w:t>
      </w:r>
      <w:r w:rsidRPr="00D4309F">
        <w:t>the</w:t>
      </w:r>
      <w:r w:rsidRPr="00D4309F">
        <w:rPr>
          <w:spacing w:val="-4"/>
        </w:rPr>
        <w:t xml:space="preserve"> </w:t>
      </w:r>
      <w:r w:rsidRPr="00D4309F">
        <w:t>east</w:t>
      </w:r>
      <w:r w:rsidRPr="00D4309F">
        <w:rPr>
          <w:spacing w:val="-3"/>
        </w:rPr>
        <w:t xml:space="preserve"> </w:t>
      </w:r>
      <w:r w:rsidRPr="00D4309F">
        <w:t>and</w:t>
      </w:r>
      <w:r w:rsidRPr="00D4309F">
        <w:rPr>
          <w:spacing w:val="-3"/>
        </w:rPr>
        <w:t xml:space="preserve"> </w:t>
      </w:r>
      <w:r w:rsidRPr="00D4309F">
        <w:t>north-easterly</w:t>
      </w:r>
      <w:r w:rsidRPr="00D4309F">
        <w:rPr>
          <w:spacing w:val="-2"/>
        </w:rPr>
        <w:t xml:space="preserve"> </w:t>
      </w:r>
      <w:r w:rsidRPr="00D4309F">
        <w:t>directions</w:t>
      </w:r>
      <w:r w:rsidRPr="00D4309F">
        <w:rPr>
          <w:spacing w:val="-2"/>
        </w:rPr>
        <w:t xml:space="preserve"> </w:t>
      </w:r>
      <w:r w:rsidRPr="00D4309F">
        <w:t>mobilise</w:t>
      </w:r>
      <w:r w:rsidRPr="00D4309F">
        <w:rPr>
          <w:spacing w:val="-3"/>
        </w:rPr>
        <w:t xml:space="preserve"> </w:t>
      </w:r>
      <w:r w:rsidRPr="00D4309F">
        <w:t>large</w:t>
      </w:r>
      <w:r w:rsidRPr="00D4309F">
        <w:rPr>
          <w:spacing w:val="-3"/>
        </w:rPr>
        <w:t xml:space="preserve"> </w:t>
      </w:r>
      <w:r w:rsidRPr="00D4309F">
        <w:t>volumes</w:t>
      </w:r>
      <w:r w:rsidRPr="00D4309F">
        <w:rPr>
          <w:spacing w:val="-2"/>
        </w:rPr>
        <w:t xml:space="preserve"> </w:t>
      </w:r>
      <w:r w:rsidRPr="00D4309F">
        <w:t>of sediments along the northern coast of Point Cartwright supplying sediments into the entrance.</w:t>
      </w:r>
    </w:p>
    <w:p w14:paraId="0350DFED" w14:textId="77777777" w:rsidR="00725977" w:rsidRPr="00D4309F" w:rsidRDefault="00725977" w:rsidP="00725977">
      <w:pPr>
        <w:pStyle w:val="BodyText"/>
      </w:pPr>
      <w:r w:rsidRPr="00D4309F">
        <w:t>Indicatively,</w:t>
      </w:r>
      <w:r w:rsidRPr="00D4309F">
        <w:rPr>
          <w:spacing w:val="-3"/>
        </w:rPr>
        <w:t xml:space="preserve"> </w:t>
      </w:r>
      <w:r w:rsidRPr="00D4309F">
        <w:t>this</w:t>
      </w:r>
      <w:r w:rsidRPr="00D4309F">
        <w:rPr>
          <w:spacing w:val="-2"/>
        </w:rPr>
        <w:t xml:space="preserve"> </w:t>
      </w:r>
      <w:r w:rsidRPr="00D4309F">
        <w:t>appears</w:t>
      </w:r>
      <w:r w:rsidRPr="00D4309F">
        <w:rPr>
          <w:spacing w:val="-2"/>
        </w:rPr>
        <w:t xml:space="preserve"> </w:t>
      </w:r>
      <w:r w:rsidRPr="00D4309F">
        <w:t>to</w:t>
      </w:r>
      <w:r w:rsidRPr="00D4309F">
        <w:rPr>
          <w:spacing w:val="-3"/>
        </w:rPr>
        <w:t xml:space="preserve"> </w:t>
      </w:r>
      <w:r w:rsidRPr="00D4309F">
        <w:t>be</w:t>
      </w:r>
      <w:r w:rsidRPr="00D4309F">
        <w:rPr>
          <w:spacing w:val="-3"/>
        </w:rPr>
        <w:t xml:space="preserve"> </w:t>
      </w:r>
      <w:r w:rsidRPr="00D4309F">
        <w:t>wave</w:t>
      </w:r>
      <w:r w:rsidRPr="00D4309F">
        <w:rPr>
          <w:spacing w:val="-4"/>
        </w:rPr>
        <w:t xml:space="preserve"> </w:t>
      </w:r>
      <w:r w:rsidRPr="00D4309F">
        <w:t>conditions</w:t>
      </w:r>
      <w:r w:rsidRPr="00D4309F">
        <w:rPr>
          <w:spacing w:val="-2"/>
        </w:rPr>
        <w:t xml:space="preserve"> </w:t>
      </w:r>
      <w:r w:rsidRPr="00D4309F">
        <w:t>that</w:t>
      </w:r>
      <w:r w:rsidRPr="00D4309F">
        <w:rPr>
          <w:spacing w:val="-3"/>
        </w:rPr>
        <w:t xml:space="preserve"> </w:t>
      </w:r>
      <w:r w:rsidRPr="00D4309F">
        <w:t>are</w:t>
      </w:r>
      <w:r w:rsidRPr="00D4309F">
        <w:rPr>
          <w:spacing w:val="-3"/>
        </w:rPr>
        <w:t xml:space="preserve"> </w:t>
      </w:r>
      <w:r w:rsidRPr="00D4309F">
        <w:t>about</w:t>
      </w:r>
      <w:r w:rsidRPr="00D4309F">
        <w:rPr>
          <w:spacing w:val="-3"/>
        </w:rPr>
        <w:t xml:space="preserve"> </w:t>
      </w:r>
      <w:r w:rsidRPr="00D4309F">
        <w:t>greater</w:t>
      </w:r>
      <w:r w:rsidRPr="00D4309F">
        <w:rPr>
          <w:spacing w:val="-2"/>
        </w:rPr>
        <w:t xml:space="preserve"> </w:t>
      </w:r>
      <w:r w:rsidRPr="00D4309F">
        <w:t>than</w:t>
      </w:r>
      <w:r w:rsidRPr="00D4309F">
        <w:rPr>
          <w:spacing w:val="-3"/>
        </w:rPr>
        <w:t xml:space="preserve"> </w:t>
      </w:r>
      <w:r w:rsidRPr="00D4309F">
        <w:t>2.5m</w:t>
      </w:r>
      <w:r w:rsidRPr="00D4309F">
        <w:rPr>
          <w:spacing w:val="-3"/>
        </w:rPr>
        <w:t xml:space="preserve"> </w:t>
      </w:r>
      <w:r w:rsidRPr="00D4309F">
        <w:t>to</w:t>
      </w:r>
      <w:r w:rsidRPr="00D4309F">
        <w:rPr>
          <w:spacing w:val="-3"/>
        </w:rPr>
        <w:t xml:space="preserve"> </w:t>
      </w:r>
      <w:r w:rsidRPr="00D4309F">
        <w:t>3.0m</w:t>
      </w:r>
      <w:r w:rsidRPr="00D4309F">
        <w:rPr>
          <w:spacing w:val="-3"/>
        </w:rPr>
        <w:t xml:space="preserve"> </w:t>
      </w:r>
      <w:r w:rsidRPr="00D4309F">
        <w:t>but</w:t>
      </w:r>
      <w:r w:rsidRPr="00D4309F">
        <w:rPr>
          <w:spacing w:val="-3"/>
        </w:rPr>
        <w:t xml:space="preserve"> </w:t>
      </w:r>
      <w:r w:rsidRPr="00D4309F">
        <w:t>is</w:t>
      </w:r>
      <w:r w:rsidRPr="00D4309F">
        <w:rPr>
          <w:spacing w:val="-2"/>
        </w:rPr>
        <w:t xml:space="preserve"> </w:t>
      </w:r>
      <w:r w:rsidRPr="00D4309F">
        <w:t>more accurately estimated by the numerical model tool.</w:t>
      </w:r>
    </w:p>
    <w:p w14:paraId="50AB4AAF" w14:textId="18F7C4A4" w:rsidR="00725977" w:rsidRPr="00D4309F" w:rsidRDefault="00725977" w:rsidP="00651D19">
      <w:pPr>
        <w:pStyle w:val="ListBullet"/>
      </w:pPr>
      <w:r w:rsidRPr="00D4309F">
        <w:rPr>
          <w:b/>
        </w:rPr>
        <w:t>Consistent shoal location and shape</w:t>
      </w:r>
      <w:r w:rsidRPr="00D4309F">
        <w:t>. The exact location and shape of the sand shoal events is a complex result of the interaction between a range of dynamic coastal processes that occur at the entrance including but not necessarily limited to the incident wave conditions, reflected and refracted waves within Mooloolaba Bay, tidal current flow from the entrance, longshore currents at the breakwaters, net sediment supply to the shoal etc. Despite this complexity, available survey data indicates</w:t>
      </w:r>
      <w:r w:rsidRPr="00D4309F">
        <w:rPr>
          <w:spacing w:val="-2"/>
        </w:rPr>
        <w:t xml:space="preserve"> </w:t>
      </w:r>
      <w:r w:rsidRPr="00D4309F">
        <w:t>that</w:t>
      </w:r>
      <w:r w:rsidRPr="00D4309F">
        <w:rPr>
          <w:spacing w:val="-4"/>
        </w:rPr>
        <w:t xml:space="preserve"> </w:t>
      </w:r>
      <w:r w:rsidRPr="00D4309F">
        <w:t>the</w:t>
      </w:r>
      <w:r w:rsidRPr="00D4309F">
        <w:rPr>
          <w:spacing w:val="-3"/>
        </w:rPr>
        <w:t xml:space="preserve"> </w:t>
      </w:r>
      <w:r w:rsidRPr="00D4309F">
        <w:t>sand</w:t>
      </w:r>
      <w:r w:rsidRPr="00D4309F">
        <w:rPr>
          <w:spacing w:val="-3"/>
        </w:rPr>
        <w:t xml:space="preserve"> </w:t>
      </w:r>
      <w:r w:rsidRPr="00D4309F">
        <w:t>shoal</w:t>
      </w:r>
      <w:r w:rsidRPr="00D4309F">
        <w:rPr>
          <w:spacing w:val="-3"/>
        </w:rPr>
        <w:t xml:space="preserve"> </w:t>
      </w:r>
      <w:r w:rsidRPr="00D4309F">
        <w:t>events</w:t>
      </w:r>
      <w:r w:rsidRPr="00D4309F">
        <w:rPr>
          <w:spacing w:val="-2"/>
        </w:rPr>
        <w:t xml:space="preserve"> </w:t>
      </w:r>
      <w:r w:rsidRPr="00D4309F">
        <w:t>occur</w:t>
      </w:r>
      <w:r w:rsidRPr="00D4309F">
        <w:rPr>
          <w:spacing w:val="-2"/>
        </w:rPr>
        <w:t xml:space="preserve"> </w:t>
      </w:r>
      <w:r w:rsidRPr="00D4309F">
        <w:t>in</w:t>
      </w:r>
      <w:r w:rsidRPr="00D4309F">
        <w:rPr>
          <w:spacing w:val="-3"/>
        </w:rPr>
        <w:t xml:space="preserve"> </w:t>
      </w:r>
      <w:r w:rsidRPr="00D4309F">
        <w:t>a</w:t>
      </w:r>
      <w:r w:rsidRPr="00D4309F">
        <w:rPr>
          <w:spacing w:val="-3"/>
        </w:rPr>
        <w:t xml:space="preserve"> </w:t>
      </w:r>
      <w:r w:rsidRPr="00D4309F">
        <w:t>relatively</w:t>
      </w:r>
      <w:r w:rsidRPr="00D4309F">
        <w:rPr>
          <w:spacing w:val="-2"/>
        </w:rPr>
        <w:t xml:space="preserve"> </w:t>
      </w:r>
      <w:r w:rsidRPr="00D4309F">
        <w:t>consistent</w:t>
      </w:r>
      <w:r w:rsidRPr="00D4309F">
        <w:rPr>
          <w:spacing w:val="-3"/>
        </w:rPr>
        <w:t xml:space="preserve"> </w:t>
      </w:r>
      <w:r w:rsidRPr="00D4309F">
        <w:t>pattern</w:t>
      </w:r>
      <w:r w:rsidRPr="00D4309F">
        <w:rPr>
          <w:spacing w:val="-3"/>
        </w:rPr>
        <w:t xml:space="preserve"> </w:t>
      </w:r>
      <w:r w:rsidRPr="00D4309F">
        <w:t>at</w:t>
      </w:r>
      <w:r w:rsidRPr="00D4309F">
        <w:rPr>
          <w:spacing w:val="-3"/>
        </w:rPr>
        <w:t xml:space="preserve"> </w:t>
      </w:r>
      <w:r w:rsidRPr="00D4309F">
        <w:t>the</w:t>
      </w:r>
      <w:r w:rsidRPr="00D4309F">
        <w:rPr>
          <w:spacing w:val="-3"/>
        </w:rPr>
        <w:t xml:space="preserve"> </w:t>
      </w:r>
      <w:r w:rsidRPr="00D4309F">
        <w:t>entrance,</w:t>
      </w:r>
      <w:r w:rsidRPr="00D4309F">
        <w:rPr>
          <w:spacing w:val="-3"/>
        </w:rPr>
        <w:t xml:space="preserve"> </w:t>
      </w:r>
      <w:r w:rsidRPr="00D4309F">
        <w:t>forming</w:t>
      </w:r>
      <w:r w:rsidRPr="00D4309F">
        <w:rPr>
          <w:spacing w:val="-3"/>
        </w:rPr>
        <w:t xml:space="preserve"> </w:t>
      </w:r>
      <w:r w:rsidRPr="00D4309F">
        <w:t>from the east and migrating towards the west (</w:t>
      </w:r>
      <w:hyperlink w:anchor="_bookmark10" w:history="1">
        <w:r w:rsidRPr="00D4309F">
          <w:t>Figure 4-2</w:t>
        </w:r>
      </w:hyperlink>
      <w:r w:rsidRPr="00D4309F">
        <w:t>).</w:t>
      </w:r>
    </w:p>
    <w:p w14:paraId="608C50E9" w14:textId="77777777" w:rsidR="00702C28" w:rsidRDefault="00725977" w:rsidP="00702C28">
      <w:pPr>
        <w:pStyle w:val="BodyText"/>
        <w:keepNext/>
        <w:jc w:val="center"/>
      </w:pPr>
      <w:r w:rsidRPr="00D4309F">
        <w:rPr>
          <w:noProof/>
        </w:rPr>
        <w:lastRenderedPageBreak/>
        <w:drawing>
          <wp:inline distT="0" distB="0" distL="0" distR="0" wp14:anchorId="4FE4AABA" wp14:editId="1D10BEB4">
            <wp:extent cx="4416282" cy="3106578"/>
            <wp:effectExtent l="0" t="0" r="0" b="0"/>
            <wp:docPr id="24" name="Image 24" descr="This is an arial view image of the Mooloolaba Boat Harbour Entrance, which shows the location and shape of sand shoal events at the entranc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This is an arial view image of the Mooloolaba Boat Harbour Entrance, which shows the location and shape of sand shoal events at the entrance. "/>
                    <pic:cNvPicPr/>
                  </pic:nvPicPr>
                  <pic:blipFill>
                    <a:blip r:embed="rId41" cstate="print"/>
                    <a:stretch>
                      <a:fillRect/>
                    </a:stretch>
                  </pic:blipFill>
                  <pic:spPr>
                    <a:xfrm>
                      <a:off x="0" y="0"/>
                      <a:ext cx="4416282" cy="3106578"/>
                    </a:xfrm>
                    <a:prstGeom prst="rect">
                      <a:avLst/>
                    </a:prstGeom>
                  </pic:spPr>
                </pic:pic>
              </a:graphicData>
            </a:graphic>
          </wp:inline>
        </w:drawing>
      </w:r>
    </w:p>
    <w:p w14:paraId="22FB0C5D" w14:textId="7C8F0A4C" w:rsidR="00725977" w:rsidRDefault="00702C28" w:rsidP="00EF4321">
      <w:pPr>
        <w:pStyle w:val="Caption"/>
      </w:pPr>
      <w:bookmarkStart w:id="32" w:name="_Toc216699592"/>
      <w:r>
        <w:t xml:space="preserve">Figure </w:t>
      </w:r>
      <w:r w:rsidR="00B538D4">
        <w:fldChar w:fldCharType="begin" w:fldLock="1"/>
      </w:r>
      <w:r w:rsidR="00B538D4">
        <w:instrText xml:space="preserve"> STYLEREF 1 \s </w:instrText>
      </w:r>
      <w:r w:rsidR="00B538D4">
        <w:fldChar w:fldCharType="separate"/>
      </w:r>
      <w:r w:rsidR="00B538D4">
        <w:rPr>
          <w:noProof/>
        </w:rPr>
        <w:t>4</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2</w:t>
      </w:r>
      <w:r w:rsidR="00B538D4">
        <w:fldChar w:fldCharType="end"/>
      </w:r>
      <w:r>
        <w:t>:</w:t>
      </w:r>
      <w:r>
        <w:tab/>
      </w:r>
      <w:r w:rsidRPr="00702C28">
        <w:t>Consistent location and shape of sand shoal events at the entrance (i.e., form from the end of the eastern breakwater and extended to the west to Mooloolaba Beach)</w:t>
      </w:r>
      <w:bookmarkStart w:id="33" w:name="_bookmark10"/>
      <w:bookmarkEnd w:id="32"/>
      <w:bookmarkEnd w:id="33"/>
    </w:p>
    <w:p w14:paraId="089280A0" w14:textId="77777777" w:rsidR="00815E77" w:rsidRPr="00815E77" w:rsidRDefault="00815E77" w:rsidP="00815E77">
      <w:pPr>
        <w:pStyle w:val="BodyText"/>
      </w:pPr>
    </w:p>
    <w:p w14:paraId="1416227B" w14:textId="77777777" w:rsidR="00725977" w:rsidRPr="00D4309F" w:rsidRDefault="00725977" w:rsidP="009D02AB">
      <w:pPr>
        <w:pStyle w:val="Heading3"/>
      </w:pPr>
      <w:bookmarkStart w:id="34" w:name="_Toc216699301"/>
      <w:r w:rsidRPr="00D4309F">
        <w:t>Sand</w:t>
      </w:r>
      <w:r w:rsidRPr="00D4309F">
        <w:rPr>
          <w:spacing w:val="-4"/>
        </w:rPr>
        <w:t xml:space="preserve"> </w:t>
      </w:r>
      <w:r w:rsidRPr="00D4309F">
        <w:t>shoal</w:t>
      </w:r>
      <w:r w:rsidRPr="00D4309F">
        <w:rPr>
          <w:spacing w:val="-3"/>
        </w:rPr>
        <w:t xml:space="preserve"> </w:t>
      </w:r>
      <w:r w:rsidRPr="00D4309F">
        <w:t>numerical</w:t>
      </w:r>
      <w:r w:rsidRPr="00D4309F">
        <w:rPr>
          <w:spacing w:val="-3"/>
        </w:rPr>
        <w:t xml:space="preserve"> </w:t>
      </w:r>
      <w:r w:rsidRPr="00D4309F">
        <w:rPr>
          <w:spacing w:val="-4"/>
        </w:rPr>
        <w:t>model</w:t>
      </w:r>
      <w:bookmarkEnd w:id="34"/>
    </w:p>
    <w:p w14:paraId="3035823B" w14:textId="77777777" w:rsidR="00725977" w:rsidRPr="00D4309F" w:rsidRDefault="00725977" w:rsidP="00725977">
      <w:pPr>
        <w:pStyle w:val="BodyText"/>
      </w:pPr>
      <w:r w:rsidRPr="00D4309F">
        <w:t>Several sand shoal models have been developed to help indicate the occurrence of sand shoals at the entrance,</w:t>
      </w:r>
      <w:r w:rsidRPr="00D4309F">
        <w:rPr>
          <w:spacing w:val="-2"/>
        </w:rPr>
        <w:t xml:space="preserve"> </w:t>
      </w:r>
      <w:r w:rsidRPr="00D4309F">
        <w:t>including</w:t>
      </w:r>
      <w:r w:rsidRPr="00D4309F">
        <w:rPr>
          <w:spacing w:val="-2"/>
        </w:rPr>
        <w:t xml:space="preserve"> </w:t>
      </w:r>
      <w:r w:rsidRPr="00D4309F">
        <w:t>a</w:t>
      </w:r>
      <w:r w:rsidRPr="00D4309F">
        <w:rPr>
          <w:spacing w:val="-2"/>
        </w:rPr>
        <w:t xml:space="preserve"> </w:t>
      </w:r>
      <w:r w:rsidRPr="00D4309F">
        <w:t>numerical</w:t>
      </w:r>
      <w:r w:rsidRPr="00D4309F">
        <w:rPr>
          <w:spacing w:val="-2"/>
        </w:rPr>
        <w:t xml:space="preserve"> </w:t>
      </w:r>
      <w:r w:rsidRPr="00D4309F">
        <w:t>modelling</w:t>
      </w:r>
      <w:r w:rsidRPr="00D4309F">
        <w:rPr>
          <w:spacing w:val="-2"/>
        </w:rPr>
        <w:t xml:space="preserve"> </w:t>
      </w:r>
      <w:r w:rsidRPr="00D4309F">
        <w:t>tool</w:t>
      </w:r>
      <w:r w:rsidRPr="00D4309F">
        <w:rPr>
          <w:spacing w:val="-2"/>
        </w:rPr>
        <w:t xml:space="preserve"> </w:t>
      </w:r>
      <w:r w:rsidRPr="00D4309F">
        <w:t>developed</w:t>
      </w:r>
      <w:r w:rsidRPr="00D4309F">
        <w:rPr>
          <w:spacing w:val="-2"/>
        </w:rPr>
        <w:t xml:space="preserve"> </w:t>
      </w:r>
      <w:r w:rsidRPr="00D4309F">
        <w:t>by</w:t>
      </w:r>
      <w:r w:rsidRPr="00D4309F">
        <w:rPr>
          <w:spacing w:val="-2"/>
        </w:rPr>
        <w:t xml:space="preserve"> </w:t>
      </w:r>
      <w:r w:rsidRPr="00D4309F">
        <w:t>BMT</w:t>
      </w:r>
      <w:r w:rsidRPr="00D4309F">
        <w:rPr>
          <w:spacing w:val="-2"/>
        </w:rPr>
        <w:t xml:space="preserve"> </w:t>
      </w:r>
      <w:r w:rsidRPr="00D4309F">
        <w:t>in</w:t>
      </w:r>
      <w:r w:rsidRPr="00D4309F">
        <w:rPr>
          <w:spacing w:val="-2"/>
        </w:rPr>
        <w:t xml:space="preserve"> </w:t>
      </w:r>
      <w:r w:rsidRPr="00D4309F">
        <w:t>2014</w:t>
      </w:r>
      <w:r w:rsidRPr="00D4309F">
        <w:rPr>
          <w:spacing w:val="-2"/>
        </w:rPr>
        <w:t xml:space="preserve"> </w:t>
      </w:r>
      <w:r w:rsidRPr="00D4309F">
        <w:t>as</w:t>
      </w:r>
      <w:r w:rsidRPr="00D4309F">
        <w:rPr>
          <w:spacing w:val="-1"/>
        </w:rPr>
        <w:t xml:space="preserve"> </w:t>
      </w:r>
      <w:r w:rsidRPr="00D4309F">
        <w:t>part</w:t>
      </w:r>
      <w:r w:rsidRPr="00D4309F">
        <w:rPr>
          <w:spacing w:val="-2"/>
        </w:rPr>
        <w:t xml:space="preserve"> </w:t>
      </w:r>
      <w:r w:rsidRPr="00D4309F">
        <w:t>of</w:t>
      </w:r>
      <w:r w:rsidRPr="00D4309F">
        <w:rPr>
          <w:spacing w:val="-2"/>
        </w:rPr>
        <w:t xml:space="preserve"> </w:t>
      </w:r>
      <w:r w:rsidRPr="00D4309F">
        <w:t>the</w:t>
      </w:r>
      <w:r w:rsidRPr="00D4309F">
        <w:rPr>
          <w:spacing w:val="-2"/>
        </w:rPr>
        <w:t xml:space="preserve"> </w:t>
      </w:r>
      <w:r w:rsidRPr="00D4309F">
        <w:t>investigation</w:t>
      </w:r>
      <w:r w:rsidRPr="00D4309F">
        <w:rPr>
          <w:spacing w:val="-2"/>
        </w:rPr>
        <w:t xml:space="preserve"> </w:t>
      </w:r>
      <w:r w:rsidRPr="00D4309F">
        <w:t>of potential capital works options to manage the shoaling events.</w:t>
      </w:r>
    </w:p>
    <w:p w14:paraId="0FD1D818" w14:textId="77777777" w:rsidR="00725977" w:rsidRPr="009D02AB" w:rsidRDefault="00725977" w:rsidP="009D02AB">
      <w:pPr>
        <w:pStyle w:val="BodyText"/>
        <w:rPr>
          <w:b/>
          <w:bCs/>
        </w:rPr>
      </w:pPr>
      <w:r w:rsidRPr="009D02AB">
        <w:rPr>
          <w:b/>
          <w:bCs/>
        </w:rPr>
        <w:t>Sand</w:t>
      </w:r>
      <w:r w:rsidRPr="009D02AB">
        <w:rPr>
          <w:b/>
          <w:bCs/>
          <w:spacing w:val="-3"/>
        </w:rPr>
        <w:t xml:space="preserve"> </w:t>
      </w:r>
      <w:r w:rsidRPr="009D02AB">
        <w:rPr>
          <w:b/>
          <w:bCs/>
        </w:rPr>
        <w:t>Shoal</w:t>
      </w:r>
      <w:r w:rsidRPr="009D02AB">
        <w:rPr>
          <w:b/>
          <w:bCs/>
          <w:spacing w:val="-3"/>
        </w:rPr>
        <w:t xml:space="preserve"> </w:t>
      </w:r>
      <w:r w:rsidRPr="009D02AB">
        <w:rPr>
          <w:b/>
          <w:bCs/>
          <w:spacing w:val="-2"/>
        </w:rPr>
        <w:t>Indicator</w:t>
      </w:r>
    </w:p>
    <w:p w14:paraId="005BCF37" w14:textId="77777777" w:rsidR="00725977" w:rsidRPr="00D4309F" w:rsidRDefault="00725977" w:rsidP="00725977">
      <w:pPr>
        <w:pStyle w:val="BodyText"/>
      </w:pPr>
      <w:r w:rsidRPr="00D4309F">
        <w:t>An</w:t>
      </w:r>
      <w:r w:rsidRPr="00D4309F">
        <w:rPr>
          <w:spacing w:val="-2"/>
        </w:rPr>
        <w:t xml:space="preserve"> </w:t>
      </w:r>
      <w:r w:rsidRPr="00D4309F">
        <w:t>empirical</w:t>
      </w:r>
      <w:r w:rsidRPr="00D4309F">
        <w:rPr>
          <w:spacing w:val="-3"/>
        </w:rPr>
        <w:t xml:space="preserve"> </w:t>
      </w:r>
      <w:r w:rsidRPr="00D4309F">
        <w:t>sand</w:t>
      </w:r>
      <w:r w:rsidRPr="00D4309F">
        <w:rPr>
          <w:spacing w:val="-2"/>
        </w:rPr>
        <w:t xml:space="preserve"> </w:t>
      </w:r>
      <w:r w:rsidRPr="00D4309F">
        <w:t>shoal</w:t>
      </w:r>
      <w:r w:rsidRPr="00D4309F">
        <w:rPr>
          <w:spacing w:val="-2"/>
        </w:rPr>
        <w:t xml:space="preserve"> </w:t>
      </w:r>
      <w:r w:rsidRPr="00D4309F">
        <w:t>prediction</w:t>
      </w:r>
      <w:r w:rsidRPr="00D4309F">
        <w:rPr>
          <w:spacing w:val="-2"/>
        </w:rPr>
        <w:t xml:space="preserve"> </w:t>
      </w:r>
      <w:r w:rsidRPr="00D4309F">
        <w:t>model</w:t>
      </w:r>
      <w:r w:rsidRPr="00D4309F">
        <w:rPr>
          <w:spacing w:val="-2"/>
        </w:rPr>
        <w:t xml:space="preserve"> </w:t>
      </w:r>
      <w:r w:rsidRPr="00D4309F">
        <w:t>is</w:t>
      </w:r>
      <w:r w:rsidRPr="00D4309F">
        <w:rPr>
          <w:spacing w:val="-1"/>
        </w:rPr>
        <w:t xml:space="preserve"> </w:t>
      </w:r>
      <w:r w:rsidRPr="00D4309F">
        <w:t>currently</w:t>
      </w:r>
      <w:r w:rsidRPr="00D4309F">
        <w:rPr>
          <w:spacing w:val="-2"/>
        </w:rPr>
        <w:t xml:space="preserve"> </w:t>
      </w:r>
      <w:r w:rsidRPr="00D4309F">
        <w:t>used</w:t>
      </w:r>
      <w:r w:rsidRPr="00D4309F">
        <w:rPr>
          <w:spacing w:val="-2"/>
        </w:rPr>
        <w:t xml:space="preserve"> </w:t>
      </w:r>
      <w:r w:rsidRPr="00D4309F">
        <w:t>to</w:t>
      </w:r>
      <w:r w:rsidRPr="00D4309F">
        <w:rPr>
          <w:spacing w:val="-2"/>
        </w:rPr>
        <w:t xml:space="preserve"> </w:t>
      </w:r>
      <w:r w:rsidRPr="00D4309F">
        <w:t>indicate</w:t>
      </w:r>
      <w:r w:rsidRPr="00D4309F">
        <w:rPr>
          <w:spacing w:val="-2"/>
        </w:rPr>
        <w:t xml:space="preserve"> </w:t>
      </w:r>
      <w:r w:rsidRPr="00D4309F">
        <w:t>the</w:t>
      </w:r>
      <w:r w:rsidRPr="00D4309F">
        <w:rPr>
          <w:spacing w:val="-2"/>
        </w:rPr>
        <w:t xml:space="preserve"> </w:t>
      </w:r>
      <w:r w:rsidRPr="00D4309F">
        <w:t>potential</w:t>
      </w:r>
      <w:r w:rsidRPr="00D4309F">
        <w:rPr>
          <w:spacing w:val="-2"/>
        </w:rPr>
        <w:t xml:space="preserve"> </w:t>
      </w:r>
      <w:r w:rsidRPr="00D4309F">
        <w:t>occurrence</w:t>
      </w:r>
      <w:r w:rsidRPr="00D4309F">
        <w:rPr>
          <w:spacing w:val="-2"/>
        </w:rPr>
        <w:t xml:space="preserve"> </w:t>
      </w:r>
      <w:r w:rsidRPr="00D4309F">
        <w:t>of</w:t>
      </w:r>
      <w:r w:rsidRPr="00D4309F">
        <w:rPr>
          <w:spacing w:val="-2"/>
        </w:rPr>
        <w:t xml:space="preserve"> </w:t>
      </w:r>
      <w:r w:rsidRPr="00D4309F">
        <w:t>sand</w:t>
      </w:r>
      <w:r w:rsidRPr="00D4309F">
        <w:rPr>
          <w:spacing w:val="-3"/>
        </w:rPr>
        <w:t xml:space="preserve"> </w:t>
      </w:r>
      <w:r w:rsidRPr="00D4309F">
        <w:t>shoal events using real time wave data from local wave buoy data (magnitude, direction and period). The model was developed in 2005 and uses a conceptual bucket model with empirical sediment transport calculations to infer sediment transport towards the entrance:</w:t>
      </w:r>
    </w:p>
    <w:p w14:paraId="5D2910D3" w14:textId="77777777" w:rsidR="00725977" w:rsidRPr="00D4309F" w:rsidRDefault="00725977" w:rsidP="00651D19">
      <w:pPr>
        <w:pStyle w:val="ListBullet"/>
      </w:pPr>
      <w:r w:rsidRPr="00D4309F">
        <w:t>Real</w:t>
      </w:r>
      <w:r w:rsidRPr="00D4309F">
        <w:rPr>
          <w:spacing w:val="-3"/>
        </w:rPr>
        <w:t xml:space="preserve"> </w:t>
      </w:r>
      <w:r w:rsidRPr="00D4309F">
        <w:t>time</w:t>
      </w:r>
      <w:r w:rsidRPr="00D4309F">
        <w:rPr>
          <w:spacing w:val="-3"/>
        </w:rPr>
        <w:t xml:space="preserve"> </w:t>
      </w:r>
      <w:r w:rsidRPr="00D4309F">
        <w:t>wave</w:t>
      </w:r>
      <w:r w:rsidRPr="00D4309F">
        <w:rPr>
          <w:spacing w:val="-3"/>
        </w:rPr>
        <w:t xml:space="preserve"> </w:t>
      </w:r>
      <w:r w:rsidRPr="00D4309F">
        <w:t>conditions</w:t>
      </w:r>
      <w:r w:rsidRPr="00D4309F">
        <w:rPr>
          <w:spacing w:val="-3"/>
        </w:rPr>
        <w:t xml:space="preserve"> </w:t>
      </w:r>
      <w:r w:rsidRPr="00D4309F">
        <w:t>are</w:t>
      </w:r>
      <w:r w:rsidRPr="00D4309F">
        <w:rPr>
          <w:spacing w:val="-3"/>
        </w:rPr>
        <w:t xml:space="preserve"> </w:t>
      </w:r>
      <w:r w:rsidRPr="00D4309F">
        <w:t>used</w:t>
      </w:r>
      <w:r w:rsidRPr="00D4309F">
        <w:rPr>
          <w:spacing w:val="-3"/>
        </w:rPr>
        <w:t xml:space="preserve"> </w:t>
      </w:r>
      <w:r w:rsidRPr="00D4309F">
        <w:t>to</w:t>
      </w:r>
      <w:r w:rsidRPr="00D4309F">
        <w:rPr>
          <w:spacing w:val="-3"/>
        </w:rPr>
        <w:t xml:space="preserve"> </w:t>
      </w:r>
      <w:r w:rsidRPr="00D4309F">
        <w:t>empirically</w:t>
      </w:r>
      <w:r w:rsidRPr="00D4309F">
        <w:rPr>
          <w:spacing w:val="-2"/>
        </w:rPr>
        <w:t xml:space="preserve"> </w:t>
      </w:r>
      <w:r w:rsidRPr="00D4309F">
        <w:t>calculate</w:t>
      </w:r>
      <w:r w:rsidRPr="00D4309F">
        <w:rPr>
          <w:spacing w:val="-4"/>
        </w:rPr>
        <w:t xml:space="preserve"> </w:t>
      </w:r>
      <w:r w:rsidRPr="00D4309F">
        <w:t>sediment</w:t>
      </w:r>
      <w:r w:rsidRPr="00D4309F">
        <w:rPr>
          <w:spacing w:val="-3"/>
        </w:rPr>
        <w:t xml:space="preserve"> </w:t>
      </w:r>
      <w:r w:rsidRPr="00D4309F">
        <w:t>transport</w:t>
      </w:r>
      <w:r w:rsidRPr="00D4309F">
        <w:rPr>
          <w:spacing w:val="-3"/>
        </w:rPr>
        <w:t xml:space="preserve"> </w:t>
      </w:r>
      <w:r w:rsidRPr="00D4309F">
        <w:t>at</w:t>
      </w:r>
      <w:r w:rsidRPr="00D4309F">
        <w:rPr>
          <w:spacing w:val="-3"/>
        </w:rPr>
        <w:t xml:space="preserve"> </w:t>
      </w:r>
      <w:r w:rsidRPr="00D4309F">
        <w:t>both</w:t>
      </w:r>
      <w:r w:rsidRPr="00D4309F">
        <w:rPr>
          <w:spacing w:val="-3"/>
        </w:rPr>
        <w:t xml:space="preserve"> </w:t>
      </w:r>
      <w:r w:rsidRPr="00D4309F">
        <w:t>Buddina</w:t>
      </w:r>
      <w:r w:rsidRPr="00D4309F">
        <w:rPr>
          <w:spacing w:val="-3"/>
        </w:rPr>
        <w:t xml:space="preserve"> </w:t>
      </w:r>
      <w:r w:rsidRPr="00D4309F">
        <w:t>Beach (i.e. input of sand to Point Cartwright headland bucket) and across the northern coastline of Point Cartwright (towards the entrance).</w:t>
      </w:r>
    </w:p>
    <w:p w14:paraId="0B775010" w14:textId="77777777" w:rsidR="00725977" w:rsidRPr="00D4309F" w:rsidRDefault="00725977" w:rsidP="00651D19">
      <w:pPr>
        <w:pStyle w:val="ListBullet"/>
      </w:pPr>
      <w:r w:rsidRPr="00D4309F">
        <w:t>Net volume of sediment ‘stored’ in the conceptual headland ‘bucket’ is calculated. When at least 100,000</w:t>
      </w:r>
      <w:r w:rsidRPr="00D4309F">
        <w:rPr>
          <w:spacing w:val="-2"/>
        </w:rPr>
        <w:t xml:space="preserve"> </w:t>
      </w:r>
      <w:r w:rsidRPr="00D4309F">
        <w:t>m</w:t>
      </w:r>
      <w:r w:rsidRPr="00D4309F">
        <w:rPr>
          <w:vertAlign w:val="superscript"/>
        </w:rPr>
        <w:t>3</w:t>
      </w:r>
      <w:r w:rsidRPr="00D4309F">
        <w:rPr>
          <w:spacing w:val="-2"/>
        </w:rPr>
        <w:t xml:space="preserve"> </w:t>
      </w:r>
      <w:r w:rsidRPr="00D4309F">
        <w:t>of</w:t>
      </w:r>
      <w:r w:rsidRPr="00D4309F">
        <w:rPr>
          <w:spacing w:val="-2"/>
        </w:rPr>
        <w:t xml:space="preserve"> </w:t>
      </w:r>
      <w:r w:rsidRPr="00D4309F">
        <w:t>sand</w:t>
      </w:r>
      <w:r w:rsidRPr="00D4309F">
        <w:rPr>
          <w:spacing w:val="-2"/>
        </w:rPr>
        <w:t xml:space="preserve"> </w:t>
      </w:r>
      <w:r w:rsidRPr="00D4309F">
        <w:t>is</w:t>
      </w:r>
      <w:r w:rsidRPr="00D4309F">
        <w:rPr>
          <w:spacing w:val="-1"/>
        </w:rPr>
        <w:t xml:space="preserve"> </w:t>
      </w:r>
      <w:r w:rsidRPr="00D4309F">
        <w:t>‘stored’</w:t>
      </w:r>
      <w:r w:rsidRPr="00D4309F">
        <w:rPr>
          <w:spacing w:val="-2"/>
        </w:rPr>
        <w:t xml:space="preserve"> </w:t>
      </w:r>
      <w:r w:rsidRPr="00D4309F">
        <w:t>within</w:t>
      </w:r>
      <w:r w:rsidRPr="00D4309F">
        <w:rPr>
          <w:spacing w:val="-2"/>
        </w:rPr>
        <w:t xml:space="preserve"> </w:t>
      </w:r>
      <w:r w:rsidRPr="00D4309F">
        <w:t>the</w:t>
      </w:r>
      <w:r w:rsidRPr="00D4309F">
        <w:rPr>
          <w:spacing w:val="-3"/>
        </w:rPr>
        <w:t xml:space="preserve"> </w:t>
      </w:r>
      <w:r w:rsidRPr="00D4309F">
        <w:t>headland</w:t>
      </w:r>
      <w:r w:rsidRPr="00D4309F">
        <w:rPr>
          <w:spacing w:val="-2"/>
        </w:rPr>
        <w:t xml:space="preserve"> </w:t>
      </w:r>
      <w:r w:rsidRPr="00D4309F">
        <w:t>bucket,</w:t>
      </w:r>
      <w:r w:rsidRPr="00D4309F">
        <w:rPr>
          <w:spacing w:val="-2"/>
        </w:rPr>
        <w:t xml:space="preserve"> </w:t>
      </w:r>
      <w:r w:rsidRPr="00D4309F">
        <w:t>sediment</w:t>
      </w:r>
      <w:r w:rsidRPr="00D4309F">
        <w:rPr>
          <w:spacing w:val="-4"/>
        </w:rPr>
        <w:t xml:space="preserve"> </w:t>
      </w:r>
      <w:r w:rsidRPr="00D4309F">
        <w:t>transport</w:t>
      </w:r>
      <w:r w:rsidRPr="00D4309F">
        <w:rPr>
          <w:spacing w:val="-2"/>
        </w:rPr>
        <w:t xml:space="preserve"> </w:t>
      </w:r>
      <w:r w:rsidRPr="00D4309F">
        <w:t>towards</w:t>
      </w:r>
      <w:r w:rsidRPr="00D4309F">
        <w:rPr>
          <w:spacing w:val="-1"/>
        </w:rPr>
        <w:t xml:space="preserve"> </w:t>
      </w:r>
      <w:r w:rsidRPr="00D4309F">
        <w:t>the</w:t>
      </w:r>
      <w:r w:rsidRPr="00D4309F">
        <w:rPr>
          <w:spacing w:val="-2"/>
        </w:rPr>
        <w:t xml:space="preserve"> </w:t>
      </w:r>
      <w:r w:rsidRPr="00D4309F">
        <w:t>entrance</w:t>
      </w:r>
      <w:r w:rsidRPr="00D4309F">
        <w:rPr>
          <w:spacing w:val="-2"/>
        </w:rPr>
        <w:t xml:space="preserve"> </w:t>
      </w:r>
      <w:r w:rsidRPr="00D4309F">
        <w:t xml:space="preserve">is </w:t>
      </w:r>
      <w:r w:rsidRPr="00D4309F">
        <w:rPr>
          <w:spacing w:val="-2"/>
        </w:rPr>
        <w:t>calculated.</w:t>
      </w:r>
    </w:p>
    <w:p w14:paraId="7B473CC4" w14:textId="77777777" w:rsidR="00725977" w:rsidRPr="00D4309F" w:rsidRDefault="00725977" w:rsidP="00651D19">
      <w:pPr>
        <w:pStyle w:val="ListBullet"/>
      </w:pPr>
      <w:r w:rsidRPr="00D4309F">
        <w:t>Model</w:t>
      </w:r>
      <w:r w:rsidRPr="00D4309F">
        <w:rPr>
          <w:spacing w:val="-4"/>
        </w:rPr>
        <w:t xml:space="preserve"> </w:t>
      </w:r>
      <w:r w:rsidRPr="00D4309F">
        <w:t>is</w:t>
      </w:r>
      <w:r w:rsidRPr="00D4309F">
        <w:rPr>
          <w:spacing w:val="-2"/>
        </w:rPr>
        <w:t xml:space="preserve"> </w:t>
      </w:r>
      <w:r w:rsidRPr="00D4309F">
        <w:t>manually</w:t>
      </w:r>
      <w:r w:rsidRPr="00D4309F">
        <w:rPr>
          <w:spacing w:val="-2"/>
        </w:rPr>
        <w:t xml:space="preserve"> </w:t>
      </w:r>
      <w:r w:rsidRPr="00D4309F">
        <w:t>run</w:t>
      </w:r>
      <w:r w:rsidRPr="00D4309F">
        <w:rPr>
          <w:spacing w:val="-3"/>
        </w:rPr>
        <w:t xml:space="preserve"> </w:t>
      </w:r>
      <w:r w:rsidRPr="00D4309F">
        <w:rPr>
          <w:spacing w:val="-2"/>
        </w:rPr>
        <w:t>periodically.</w:t>
      </w:r>
    </w:p>
    <w:p w14:paraId="76F32BED" w14:textId="77777777" w:rsidR="00725977" w:rsidRPr="00D4309F" w:rsidRDefault="00725977" w:rsidP="00725977">
      <w:pPr>
        <w:pStyle w:val="BodyText"/>
      </w:pPr>
      <w:r w:rsidRPr="00D4309F">
        <w:t>The model was developed and calibrated on a large series of wave model runs and previous shoaling</w:t>
      </w:r>
      <w:r w:rsidRPr="00D4309F">
        <w:rPr>
          <w:spacing w:val="40"/>
        </w:rPr>
        <w:t xml:space="preserve"> </w:t>
      </w:r>
      <w:r w:rsidRPr="00D4309F">
        <w:t>events.</w:t>
      </w:r>
      <w:r w:rsidRPr="00D4309F">
        <w:rPr>
          <w:spacing w:val="-2"/>
        </w:rPr>
        <w:t xml:space="preserve"> </w:t>
      </w:r>
      <w:r w:rsidRPr="00D4309F">
        <w:t>While</w:t>
      </w:r>
      <w:r w:rsidRPr="00D4309F">
        <w:rPr>
          <w:spacing w:val="-3"/>
        </w:rPr>
        <w:t xml:space="preserve"> </w:t>
      </w:r>
      <w:r w:rsidRPr="00D4309F">
        <w:t>the</w:t>
      </w:r>
      <w:r w:rsidRPr="00D4309F">
        <w:rPr>
          <w:spacing w:val="-2"/>
        </w:rPr>
        <w:t xml:space="preserve"> </w:t>
      </w:r>
      <w:r w:rsidRPr="00D4309F">
        <w:t>model</w:t>
      </w:r>
      <w:r w:rsidRPr="00D4309F">
        <w:rPr>
          <w:spacing w:val="-2"/>
        </w:rPr>
        <w:t xml:space="preserve"> </w:t>
      </w:r>
      <w:r w:rsidRPr="00D4309F">
        <w:t>is</w:t>
      </w:r>
      <w:r w:rsidRPr="00D4309F">
        <w:rPr>
          <w:spacing w:val="-2"/>
        </w:rPr>
        <w:t xml:space="preserve"> </w:t>
      </w:r>
      <w:r w:rsidRPr="00D4309F">
        <w:t>empirical</w:t>
      </w:r>
      <w:r w:rsidRPr="00D4309F">
        <w:rPr>
          <w:spacing w:val="-2"/>
        </w:rPr>
        <w:t xml:space="preserve"> </w:t>
      </w:r>
      <w:r w:rsidRPr="00D4309F">
        <w:t>in</w:t>
      </w:r>
      <w:r w:rsidRPr="00D4309F">
        <w:rPr>
          <w:spacing w:val="-2"/>
        </w:rPr>
        <w:t xml:space="preserve"> </w:t>
      </w:r>
      <w:r w:rsidRPr="00D4309F">
        <w:t>nature</w:t>
      </w:r>
      <w:r w:rsidRPr="00D4309F">
        <w:rPr>
          <w:spacing w:val="-2"/>
        </w:rPr>
        <w:t xml:space="preserve"> </w:t>
      </w:r>
      <w:r w:rsidRPr="00D4309F">
        <w:t>and</w:t>
      </w:r>
      <w:r w:rsidRPr="00D4309F">
        <w:rPr>
          <w:spacing w:val="-2"/>
        </w:rPr>
        <w:t xml:space="preserve"> </w:t>
      </w:r>
      <w:r w:rsidRPr="00D4309F">
        <w:t>relatively</w:t>
      </w:r>
      <w:r w:rsidRPr="00D4309F">
        <w:rPr>
          <w:spacing w:val="-1"/>
        </w:rPr>
        <w:t xml:space="preserve"> </w:t>
      </w:r>
      <w:r w:rsidRPr="00D4309F">
        <w:t>simple,</w:t>
      </w:r>
      <w:r w:rsidRPr="00D4309F">
        <w:rPr>
          <w:spacing w:val="-2"/>
        </w:rPr>
        <w:t xml:space="preserve"> </w:t>
      </w:r>
      <w:r w:rsidRPr="00D4309F">
        <w:t>it</w:t>
      </w:r>
      <w:r w:rsidRPr="00D4309F">
        <w:rPr>
          <w:spacing w:val="-2"/>
        </w:rPr>
        <w:t xml:space="preserve"> </w:t>
      </w:r>
      <w:r w:rsidRPr="00D4309F">
        <w:t>has</w:t>
      </w:r>
      <w:r w:rsidRPr="00D4309F">
        <w:rPr>
          <w:spacing w:val="-1"/>
        </w:rPr>
        <w:t xml:space="preserve"> </w:t>
      </w:r>
      <w:r w:rsidRPr="00D4309F">
        <w:t>performed</w:t>
      </w:r>
      <w:r w:rsidRPr="00D4309F">
        <w:rPr>
          <w:spacing w:val="-2"/>
        </w:rPr>
        <w:t xml:space="preserve"> </w:t>
      </w:r>
      <w:r w:rsidRPr="00D4309F">
        <w:t>reliably</w:t>
      </w:r>
      <w:r w:rsidRPr="00D4309F">
        <w:rPr>
          <w:spacing w:val="-1"/>
        </w:rPr>
        <w:t xml:space="preserve"> </w:t>
      </w:r>
      <w:r w:rsidRPr="00D4309F">
        <w:t>well</w:t>
      </w:r>
      <w:r w:rsidRPr="00D4309F">
        <w:rPr>
          <w:spacing w:val="-2"/>
        </w:rPr>
        <w:t xml:space="preserve"> </w:t>
      </w:r>
      <w:r w:rsidRPr="00D4309F">
        <w:t>at</w:t>
      </w:r>
      <w:r w:rsidRPr="00D4309F">
        <w:rPr>
          <w:spacing w:val="-2"/>
        </w:rPr>
        <w:t xml:space="preserve"> </w:t>
      </w:r>
      <w:r w:rsidRPr="00D4309F">
        <w:t>generally indicating sand shoaling events and appears to be a practical and cost-effective tool to monitor sand shoaling. However, there remain several limitations, including:</w:t>
      </w:r>
    </w:p>
    <w:p w14:paraId="69E925B2" w14:textId="77777777" w:rsidR="00725977" w:rsidRPr="00D4309F" w:rsidRDefault="00725977" w:rsidP="00651D19">
      <w:pPr>
        <w:pStyle w:val="ListBullet"/>
      </w:pPr>
      <w:r w:rsidRPr="00D4309F">
        <w:t>Calibration</w:t>
      </w:r>
      <w:r w:rsidRPr="00D4309F">
        <w:rPr>
          <w:spacing w:val="-2"/>
        </w:rPr>
        <w:t xml:space="preserve"> </w:t>
      </w:r>
      <w:r w:rsidRPr="00D4309F">
        <w:t>is</w:t>
      </w:r>
      <w:r w:rsidRPr="00D4309F">
        <w:rPr>
          <w:spacing w:val="-2"/>
        </w:rPr>
        <w:t xml:space="preserve"> </w:t>
      </w:r>
      <w:r w:rsidRPr="00D4309F">
        <w:t>based</w:t>
      </w:r>
      <w:r w:rsidRPr="00D4309F">
        <w:rPr>
          <w:spacing w:val="-2"/>
        </w:rPr>
        <w:t xml:space="preserve"> </w:t>
      </w:r>
      <w:r w:rsidRPr="00D4309F">
        <w:t>on</w:t>
      </w:r>
      <w:r w:rsidRPr="00D4309F">
        <w:rPr>
          <w:spacing w:val="-2"/>
        </w:rPr>
        <w:t xml:space="preserve"> </w:t>
      </w:r>
      <w:r w:rsidRPr="00D4309F">
        <w:t>early</w:t>
      </w:r>
      <w:r w:rsidRPr="00D4309F">
        <w:rPr>
          <w:spacing w:val="-2"/>
        </w:rPr>
        <w:t xml:space="preserve"> </w:t>
      </w:r>
      <w:r w:rsidRPr="00D4309F">
        <w:t>wave</w:t>
      </w:r>
      <w:r w:rsidRPr="00D4309F">
        <w:rPr>
          <w:spacing w:val="-2"/>
        </w:rPr>
        <w:t xml:space="preserve"> </w:t>
      </w:r>
      <w:r w:rsidRPr="00D4309F">
        <w:t>model</w:t>
      </w:r>
      <w:r w:rsidRPr="00D4309F">
        <w:rPr>
          <w:spacing w:val="-3"/>
        </w:rPr>
        <w:t xml:space="preserve"> </w:t>
      </w:r>
      <w:r w:rsidRPr="00D4309F">
        <w:t>runs</w:t>
      </w:r>
      <w:r w:rsidRPr="00D4309F">
        <w:rPr>
          <w:spacing w:val="-2"/>
        </w:rPr>
        <w:t xml:space="preserve"> </w:t>
      </w:r>
      <w:r w:rsidRPr="00D4309F">
        <w:t>and</w:t>
      </w:r>
      <w:r w:rsidRPr="00D4309F">
        <w:rPr>
          <w:spacing w:val="-2"/>
        </w:rPr>
        <w:t xml:space="preserve"> </w:t>
      </w:r>
      <w:r w:rsidRPr="00D4309F">
        <w:t>shoaling</w:t>
      </w:r>
      <w:r w:rsidRPr="00D4309F">
        <w:rPr>
          <w:spacing w:val="-2"/>
        </w:rPr>
        <w:t xml:space="preserve"> </w:t>
      </w:r>
      <w:r w:rsidRPr="00D4309F">
        <w:t>events.</w:t>
      </w:r>
      <w:r w:rsidRPr="00D4309F">
        <w:rPr>
          <w:spacing w:val="-2"/>
        </w:rPr>
        <w:t xml:space="preserve"> </w:t>
      </w:r>
      <w:r w:rsidRPr="00D4309F">
        <w:t>Model</w:t>
      </w:r>
      <w:r w:rsidRPr="00D4309F">
        <w:rPr>
          <w:spacing w:val="-2"/>
        </w:rPr>
        <w:t xml:space="preserve"> </w:t>
      </w:r>
      <w:r w:rsidRPr="00D4309F">
        <w:t>could</w:t>
      </w:r>
      <w:r w:rsidRPr="00D4309F">
        <w:rPr>
          <w:spacing w:val="-3"/>
        </w:rPr>
        <w:t xml:space="preserve"> </w:t>
      </w:r>
      <w:r w:rsidRPr="00D4309F">
        <w:t>be</w:t>
      </w:r>
      <w:r w:rsidRPr="00D4309F">
        <w:rPr>
          <w:spacing w:val="-2"/>
        </w:rPr>
        <w:t xml:space="preserve"> </w:t>
      </w:r>
      <w:r w:rsidRPr="00D4309F">
        <w:t>reviewed</w:t>
      </w:r>
      <w:r w:rsidRPr="00D4309F">
        <w:rPr>
          <w:spacing w:val="-3"/>
        </w:rPr>
        <w:t xml:space="preserve"> </w:t>
      </w:r>
      <w:r w:rsidRPr="00D4309F">
        <w:t>with</w:t>
      </w:r>
      <w:r w:rsidRPr="00D4309F">
        <w:rPr>
          <w:spacing w:val="-2"/>
        </w:rPr>
        <w:t xml:space="preserve"> </w:t>
      </w:r>
      <w:r w:rsidRPr="00D4309F">
        <w:t>more recent survey data and against a numerical model.</w:t>
      </w:r>
    </w:p>
    <w:p w14:paraId="30580E95" w14:textId="77777777" w:rsidR="00725977" w:rsidRPr="00D4309F" w:rsidRDefault="00725977" w:rsidP="00651D19">
      <w:pPr>
        <w:pStyle w:val="ListBullet"/>
      </w:pPr>
      <w:r w:rsidRPr="00D4309F">
        <w:t>Only</w:t>
      </w:r>
      <w:r w:rsidRPr="00D4309F">
        <w:rPr>
          <w:spacing w:val="-3"/>
        </w:rPr>
        <w:t xml:space="preserve"> </w:t>
      </w:r>
      <w:r w:rsidRPr="00D4309F">
        <w:t>calculates</w:t>
      </w:r>
      <w:r w:rsidRPr="00D4309F">
        <w:rPr>
          <w:spacing w:val="-2"/>
        </w:rPr>
        <w:t xml:space="preserve"> </w:t>
      </w:r>
      <w:r w:rsidRPr="00D4309F">
        <w:t>inferred</w:t>
      </w:r>
      <w:r w:rsidRPr="00D4309F">
        <w:rPr>
          <w:spacing w:val="-3"/>
        </w:rPr>
        <w:t xml:space="preserve"> </w:t>
      </w:r>
      <w:r w:rsidRPr="00D4309F">
        <w:t>sediment</w:t>
      </w:r>
      <w:r w:rsidRPr="00D4309F">
        <w:rPr>
          <w:spacing w:val="-3"/>
        </w:rPr>
        <w:t xml:space="preserve"> </w:t>
      </w:r>
      <w:r w:rsidRPr="00D4309F">
        <w:t>transport</w:t>
      </w:r>
      <w:r w:rsidRPr="00D4309F">
        <w:rPr>
          <w:spacing w:val="-3"/>
        </w:rPr>
        <w:t xml:space="preserve"> </w:t>
      </w:r>
      <w:r w:rsidRPr="00D4309F">
        <w:t>and</w:t>
      </w:r>
      <w:r w:rsidRPr="00D4309F">
        <w:rPr>
          <w:spacing w:val="-3"/>
        </w:rPr>
        <w:t xml:space="preserve"> </w:t>
      </w:r>
      <w:r w:rsidRPr="00D4309F">
        <w:t>assumes</w:t>
      </w:r>
      <w:r w:rsidRPr="00D4309F">
        <w:rPr>
          <w:spacing w:val="-3"/>
        </w:rPr>
        <w:t xml:space="preserve"> </w:t>
      </w:r>
      <w:r w:rsidRPr="00D4309F">
        <w:t>sediment</w:t>
      </w:r>
      <w:r w:rsidRPr="00D4309F">
        <w:rPr>
          <w:spacing w:val="-3"/>
        </w:rPr>
        <w:t xml:space="preserve"> </w:t>
      </w:r>
      <w:r w:rsidRPr="00D4309F">
        <w:t>is</w:t>
      </w:r>
      <w:r w:rsidRPr="00D4309F">
        <w:rPr>
          <w:spacing w:val="-2"/>
        </w:rPr>
        <w:t xml:space="preserve"> </w:t>
      </w:r>
      <w:r w:rsidRPr="00D4309F">
        <w:t>always</w:t>
      </w:r>
      <w:r w:rsidRPr="00D4309F">
        <w:rPr>
          <w:spacing w:val="-2"/>
        </w:rPr>
        <w:t xml:space="preserve"> </w:t>
      </w:r>
      <w:r w:rsidRPr="00D4309F">
        <w:t>available</w:t>
      </w:r>
      <w:r w:rsidRPr="00D4309F">
        <w:rPr>
          <w:spacing w:val="-3"/>
        </w:rPr>
        <w:t xml:space="preserve"> </w:t>
      </w:r>
      <w:r w:rsidRPr="00D4309F">
        <w:t>to</w:t>
      </w:r>
      <w:r w:rsidRPr="00D4309F">
        <w:rPr>
          <w:spacing w:val="-3"/>
        </w:rPr>
        <w:t xml:space="preserve"> </w:t>
      </w:r>
      <w:r w:rsidRPr="00D4309F">
        <w:t>be</w:t>
      </w:r>
      <w:r w:rsidRPr="00D4309F">
        <w:rPr>
          <w:spacing w:val="-3"/>
        </w:rPr>
        <w:t xml:space="preserve"> </w:t>
      </w:r>
      <w:r w:rsidRPr="00D4309F">
        <w:t xml:space="preserve">transported. This limitation is likely to over-estimate the occurrence of sand shoal events rather than underestimate. Recent survey data or drone monitoring data should be used to confirm actual sediment transport </w:t>
      </w:r>
      <w:r w:rsidRPr="00D4309F">
        <w:rPr>
          <w:spacing w:val="-2"/>
        </w:rPr>
        <w:t>volumes.</w:t>
      </w:r>
    </w:p>
    <w:p w14:paraId="04655793" w14:textId="63A1FE0F" w:rsidR="00725977" w:rsidRPr="00D4309F" w:rsidRDefault="00725977" w:rsidP="006F633A">
      <w:pPr>
        <w:pStyle w:val="ListBullet"/>
        <w:pageBreakBefore/>
      </w:pPr>
      <w:r w:rsidRPr="00D4309F">
        <w:lastRenderedPageBreak/>
        <w:t>Model relies on empirical sediment transport calculations to infer sand transport volumes into the shoal and net volume stored within the bucket, and a simplistic approach to headland bypassing. Therefore, the</w:t>
      </w:r>
      <w:r w:rsidRPr="00D4309F">
        <w:rPr>
          <w:spacing w:val="-2"/>
        </w:rPr>
        <w:t xml:space="preserve"> </w:t>
      </w:r>
      <w:r w:rsidRPr="00D4309F">
        <w:t>actual</w:t>
      </w:r>
      <w:r w:rsidRPr="00D4309F">
        <w:rPr>
          <w:spacing w:val="-3"/>
        </w:rPr>
        <w:t xml:space="preserve"> </w:t>
      </w:r>
      <w:r w:rsidRPr="00D4309F">
        <w:t>stored</w:t>
      </w:r>
      <w:r w:rsidRPr="00D4309F">
        <w:rPr>
          <w:spacing w:val="-2"/>
        </w:rPr>
        <w:t xml:space="preserve"> </w:t>
      </w:r>
      <w:r w:rsidRPr="00D4309F">
        <w:t>volumes</w:t>
      </w:r>
      <w:r w:rsidRPr="00D4309F">
        <w:rPr>
          <w:spacing w:val="-2"/>
        </w:rPr>
        <w:t xml:space="preserve"> </w:t>
      </w:r>
      <w:r w:rsidRPr="00D4309F">
        <w:t>of</w:t>
      </w:r>
      <w:r w:rsidRPr="00D4309F">
        <w:rPr>
          <w:spacing w:val="-2"/>
        </w:rPr>
        <w:t xml:space="preserve"> </w:t>
      </w:r>
      <w:r w:rsidRPr="00D4309F">
        <w:t>sediment</w:t>
      </w:r>
      <w:r w:rsidRPr="00D4309F">
        <w:rPr>
          <w:spacing w:val="-2"/>
        </w:rPr>
        <w:t xml:space="preserve"> </w:t>
      </w:r>
      <w:r w:rsidRPr="00D4309F">
        <w:t>that</w:t>
      </w:r>
      <w:r w:rsidRPr="00D4309F">
        <w:rPr>
          <w:spacing w:val="-2"/>
        </w:rPr>
        <w:t xml:space="preserve"> </w:t>
      </w:r>
      <w:r w:rsidRPr="00D4309F">
        <w:t>could</w:t>
      </w:r>
      <w:r w:rsidRPr="00D4309F">
        <w:rPr>
          <w:spacing w:val="-2"/>
        </w:rPr>
        <w:t xml:space="preserve"> </w:t>
      </w:r>
      <w:r w:rsidRPr="00D4309F">
        <w:t>be</w:t>
      </w:r>
      <w:r w:rsidRPr="00D4309F">
        <w:rPr>
          <w:spacing w:val="-3"/>
        </w:rPr>
        <w:t xml:space="preserve"> </w:t>
      </w:r>
      <w:r w:rsidRPr="00D4309F">
        <w:t>mobilised</w:t>
      </w:r>
      <w:r w:rsidRPr="00D4309F">
        <w:rPr>
          <w:spacing w:val="-2"/>
        </w:rPr>
        <w:t xml:space="preserve"> </w:t>
      </w:r>
      <w:r w:rsidRPr="00D4309F">
        <w:t>to</w:t>
      </w:r>
      <w:r w:rsidRPr="00D4309F">
        <w:rPr>
          <w:spacing w:val="-2"/>
        </w:rPr>
        <w:t xml:space="preserve"> </w:t>
      </w:r>
      <w:r w:rsidRPr="00D4309F">
        <w:t>form</w:t>
      </w:r>
      <w:r w:rsidRPr="00D4309F">
        <w:rPr>
          <w:spacing w:val="-2"/>
        </w:rPr>
        <w:t xml:space="preserve"> </w:t>
      </w:r>
      <w:r w:rsidRPr="00D4309F">
        <w:t>a</w:t>
      </w:r>
      <w:r w:rsidRPr="00D4309F">
        <w:rPr>
          <w:spacing w:val="-2"/>
        </w:rPr>
        <w:t xml:space="preserve"> </w:t>
      </w:r>
      <w:r w:rsidRPr="00D4309F">
        <w:t>sand</w:t>
      </w:r>
      <w:r w:rsidRPr="00D4309F">
        <w:rPr>
          <w:spacing w:val="-3"/>
        </w:rPr>
        <w:t xml:space="preserve"> </w:t>
      </w:r>
      <w:r w:rsidRPr="00D4309F">
        <w:t>shoal</w:t>
      </w:r>
      <w:r w:rsidRPr="00D4309F">
        <w:rPr>
          <w:spacing w:val="-2"/>
        </w:rPr>
        <w:t xml:space="preserve"> </w:t>
      </w:r>
      <w:r w:rsidRPr="00D4309F">
        <w:t>may</w:t>
      </w:r>
      <w:r w:rsidRPr="00D4309F">
        <w:rPr>
          <w:spacing w:val="-1"/>
        </w:rPr>
        <w:t xml:space="preserve"> </w:t>
      </w:r>
      <w:r w:rsidRPr="00D4309F">
        <w:t>differ</w:t>
      </w:r>
      <w:r w:rsidRPr="00D4309F">
        <w:rPr>
          <w:spacing w:val="-1"/>
        </w:rPr>
        <w:t xml:space="preserve"> </w:t>
      </w:r>
      <w:r w:rsidRPr="00D4309F">
        <w:t>from</w:t>
      </w:r>
      <w:r w:rsidRPr="00D4309F">
        <w:rPr>
          <w:spacing w:val="-3"/>
        </w:rPr>
        <w:t xml:space="preserve"> </w:t>
      </w:r>
      <w:r w:rsidRPr="00D4309F">
        <w:t>what</w:t>
      </w:r>
      <w:r w:rsidR="00C015AF" w:rsidRPr="00D4309F">
        <w:t xml:space="preserve"> </w:t>
      </w:r>
      <w:r w:rsidRPr="00D4309F">
        <w:t>is</w:t>
      </w:r>
      <w:r w:rsidRPr="00D4309F">
        <w:rPr>
          <w:spacing w:val="-2"/>
        </w:rPr>
        <w:t xml:space="preserve"> </w:t>
      </w:r>
      <w:r w:rsidRPr="00D4309F">
        <w:t>modelled.</w:t>
      </w:r>
      <w:r w:rsidRPr="00D4309F">
        <w:rPr>
          <w:spacing w:val="-3"/>
        </w:rPr>
        <w:t xml:space="preserve"> </w:t>
      </w:r>
      <w:r w:rsidRPr="00D4309F">
        <w:t>Recent</w:t>
      </w:r>
      <w:r w:rsidRPr="00D4309F">
        <w:rPr>
          <w:spacing w:val="-3"/>
        </w:rPr>
        <w:t xml:space="preserve"> </w:t>
      </w:r>
      <w:r w:rsidRPr="00D4309F">
        <w:t>survey</w:t>
      </w:r>
      <w:r w:rsidRPr="00D4309F">
        <w:rPr>
          <w:spacing w:val="-2"/>
        </w:rPr>
        <w:t xml:space="preserve"> </w:t>
      </w:r>
      <w:r w:rsidRPr="00D4309F">
        <w:t>data</w:t>
      </w:r>
      <w:r w:rsidRPr="00D4309F">
        <w:rPr>
          <w:spacing w:val="-3"/>
        </w:rPr>
        <w:t xml:space="preserve"> </w:t>
      </w:r>
      <w:r w:rsidRPr="00D4309F">
        <w:t>or</w:t>
      </w:r>
      <w:r w:rsidRPr="00D4309F">
        <w:rPr>
          <w:spacing w:val="-2"/>
        </w:rPr>
        <w:t xml:space="preserve"> </w:t>
      </w:r>
      <w:r w:rsidRPr="00D4309F">
        <w:t>drone</w:t>
      </w:r>
      <w:r w:rsidRPr="00D4309F">
        <w:rPr>
          <w:spacing w:val="-3"/>
        </w:rPr>
        <w:t xml:space="preserve"> </w:t>
      </w:r>
      <w:r w:rsidRPr="00D4309F">
        <w:t>monitoring</w:t>
      </w:r>
      <w:r w:rsidRPr="00D4309F">
        <w:rPr>
          <w:spacing w:val="-4"/>
        </w:rPr>
        <w:t xml:space="preserve"> </w:t>
      </w:r>
      <w:r w:rsidRPr="00D4309F">
        <w:t>data</w:t>
      </w:r>
      <w:r w:rsidRPr="00D4309F">
        <w:rPr>
          <w:spacing w:val="-3"/>
        </w:rPr>
        <w:t xml:space="preserve"> </w:t>
      </w:r>
      <w:r w:rsidRPr="00D4309F">
        <w:t>should</w:t>
      </w:r>
      <w:r w:rsidRPr="00D4309F">
        <w:rPr>
          <w:spacing w:val="-4"/>
        </w:rPr>
        <w:t xml:space="preserve"> </w:t>
      </w:r>
      <w:r w:rsidRPr="00D4309F">
        <w:t>be</w:t>
      </w:r>
      <w:r w:rsidRPr="00D4309F">
        <w:rPr>
          <w:spacing w:val="-3"/>
        </w:rPr>
        <w:t xml:space="preserve"> </w:t>
      </w:r>
      <w:r w:rsidRPr="00D4309F">
        <w:t>used</w:t>
      </w:r>
      <w:r w:rsidRPr="00D4309F">
        <w:rPr>
          <w:spacing w:val="-3"/>
        </w:rPr>
        <w:t xml:space="preserve"> </w:t>
      </w:r>
      <w:r w:rsidRPr="00D4309F">
        <w:t>to</w:t>
      </w:r>
      <w:r w:rsidRPr="00D4309F">
        <w:rPr>
          <w:spacing w:val="-3"/>
        </w:rPr>
        <w:t xml:space="preserve"> </w:t>
      </w:r>
      <w:r w:rsidRPr="00D4309F">
        <w:t>confirm</w:t>
      </w:r>
      <w:r w:rsidRPr="00D4309F">
        <w:rPr>
          <w:spacing w:val="-3"/>
        </w:rPr>
        <w:t xml:space="preserve"> </w:t>
      </w:r>
      <w:r w:rsidRPr="00D4309F">
        <w:t>stored</w:t>
      </w:r>
      <w:r w:rsidRPr="00D4309F">
        <w:rPr>
          <w:spacing w:val="-4"/>
        </w:rPr>
        <w:t xml:space="preserve"> </w:t>
      </w:r>
      <w:r w:rsidRPr="00D4309F">
        <w:t xml:space="preserve">sand </w:t>
      </w:r>
      <w:r w:rsidRPr="00D4309F">
        <w:rPr>
          <w:spacing w:val="-2"/>
        </w:rPr>
        <w:t>volumes.</w:t>
      </w:r>
    </w:p>
    <w:p w14:paraId="3EDD63AA" w14:textId="77777777" w:rsidR="00725977" w:rsidRPr="00D4309F" w:rsidRDefault="00725977" w:rsidP="00651D19">
      <w:pPr>
        <w:pStyle w:val="ListBullet"/>
      </w:pPr>
      <w:r w:rsidRPr="00D4309F">
        <w:t>Uses</w:t>
      </w:r>
      <w:r w:rsidRPr="00D4309F">
        <w:rPr>
          <w:spacing w:val="-2"/>
        </w:rPr>
        <w:t xml:space="preserve"> </w:t>
      </w:r>
      <w:r w:rsidRPr="00D4309F">
        <w:t>real-time</w:t>
      </w:r>
      <w:r w:rsidRPr="00D4309F">
        <w:rPr>
          <w:spacing w:val="-3"/>
        </w:rPr>
        <w:t xml:space="preserve"> </w:t>
      </w:r>
      <w:r w:rsidRPr="00D4309F">
        <w:t>wave</w:t>
      </w:r>
      <w:r w:rsidRPr="00D4309F">
        <w:rPr>
          <w:spacing w:val="-3"/>
        </w:rPr>
        <w:t xml:space="preserve"> </w:t>
      </w:r>
      <w:r w:rsidRPr="00D4309F">
        <w:t>data</w:t>
      </w:r>
      <w:r w:rsidRPr="00D4309F">
        <w:rPr>
          <w:spacing w:val="-4"/>
        </w:rPr>
        <w:t xml:space="preserve"> </w:t>
      </w:r>
      <w:r w:rsidRPr="00D4309F">
        <w:t>only.</w:t>
      </w:r>
      <w:r w:rsidRPr="00D4309F">
        <w:rPr>
          <w:spacing w:val="-3"/>
        </w:rPr>
        <w:t xml:space="preserve"> </w:t>
      </w:r>
      <w:r w:rsidRPr="00D4309F">
        <w:t>Options</w:t>
      </w:r>
      <w:r w:rsidRPr="00D4309F">
        <w:rPr>
          <w:spacing w:val="-3"/>
        </w:rPr>
        <w:t xml:space="preserve"> </w:t>
      </w:r>
      <w:r w:rsidRPr="00D4309F">
        <w:t>to</w:t>
      </w:r>
      <w:r w:rsidRPr="00D4309F">
        <w:rPr>
          <w:spacing w:val="-3"/>
        </w:rPr>
        <w:t xml:space="preserve"> </w:t>
      </w:r>
      <w:r w:rsidRPr="00D4309F">
        <w:t>improve</w:t>
      </w:r>
      <w:r w:rsidRPr="00D4309F">
        <w:rPr>
          <w:spacing w:val="-3"/>
        </w:rPr>
        <w:t xml:space="preserve"> </w:t>
      </w:r>
      <w:r w:rsidRPr="00D4309F">
        <w:t>longer</w:t>
      </w:r>
      <w:r w:rsidRPr="00D4309F">
        <w:rPr>
          <w:spacing w:val="-2"/>
        </w:rPr>
        <w:t xml:space="preserve"> </w:t>
      </w:r>
      <w:r w:rsidRPr="00D4309F">
        <w:t>term</w:t>
      </w:r>
      <w:r w:rsidRPr="00D4309F">
        <w:rPr>
          <w:spacing w:val="-3"/>
        </w:rPr>
        <w:t xml:space="preserve"> </w:t>
      </w:r>
      <w:r w:rsidRPr="00D4309F">
        <w:t>predictability</w:t>
      </w:r>
      <w:r w:rsidRPr="00D4309F">
        <w:rPr>
          <w:spacing w:val="-2"/>
        </w:rPr>
        <w:t xml:space="preserve"> </w:t>
      </w:r>
      <w:r w:rsidRPr="00D4309F">
        <w:t>of</w:t>
      </w:r>
      <w:r w:rsidRPr="00D4309F">
        <w:rPr>
          <w:spacing w:val="-3"/>
        </w:rPr>
        <w:t xml:space="preserve"> </w:t>
      </w:r>
      <w:r w:rsidRPr="00D4309F">
        <w:t>the</w:t>
      </w:r>
      <w:r w:rsidRPr="00D4309F">
        <w:rPr>
          <w:spacing w:val="-3"/>
        </w:rPr>
        <w:t xml:space="preserve"> </w:t>
      </w:r>
      <w:r w:rsidRPr="00D4309F">
        <w:t>model</w:t>
      </w:r>
      <w:r w:rsidRPr="00D4309F">
        <w:rPr>
          <w:spacing w:val="-4"/>
        </w:rPr>
        <w:t xml:space="preserve"> </w:t>
      </w:r>
      <w:r w:rsidRPr="00D4309F">
        <w:t>should</w:t>
      </w:r>
      <w:r w:rsidRPr="00D4309F">
        <w:rPr>
          <w:spacing w:val="-3"/>
        </w:rPr>
        <w:t xml:space="preserve"> </w:t>
      </w:r>
      <w:r w:rsidRPr="00D4309F">
        <w:t xml:space="preserve">be </w:t>
      </w:r>
      <w:r w:rsidRPr="00D4309F">
        <w:rPr>
          <w:spacing w:val="-2"/>
        </w:rPr>
        <w:t>considered.</w:t>
      </w:r>
    </w:p>
    <w:p w14:paraId="4E45529D" w14:textId="77777777" w:rsidR="00725977" w:rsidRPr="00D4309F" w:rsidRDefault="00725977" w:rsidP="00651D19">
      <w:pPr>
        <w:pStyle w:val="ListBullet"/>
      </w:pPr>
      <w:r w:rsidRPr="00D4309F">
        <w:t>Model</w:t>
      </w:r>
      <w:r w:rsidRPr="00D4309F">
        <w:rPr>
          <w:spacing w:val="-4"/>
        </w:rPr>
        <w:t xml:space="preserve"> </w:t>
      </w:r>
      <w:r w:rsidRPr="00D4309F">
        <w:t>is</w:t>
      </w:r>
      <w:r w:rsidRPr="00D4309F">
        <w:rPr>
          <w:spacing w:val="-2"/>
        </w:rPr>
        <w:t xml:space="preserve"> </w:t>
      </w:r>
      <w:r w:rsidRPr="00D4309F">
        <w:t>manually</w:t>
      </w:r>
      <w:r w:rsidRPr="00D4309F">
        <w:rPr>
          <w:spacing w:val="-2"/>
        </w:rPr>
        <w:t xml:space="preserve"> </w:t>
      </w:r>
      <w:r w:rsidRPr="00D4309F">
        <w:t>run</w:t>
      </w:r>
      <w:r w:rsidRPr="00D4309F">
        <w:rPr>
          <w:spacing w:val="-3"/>
        </w:rPr>
        <w:t xml:space="preserve"> </w:t>
      </w:r>
      <w:r w:rsidRPr="00D4309F">
        <w:rPr>
          <w:spacing w:val="-2"/>
        </w:rPr>
        <w:t>periodically.</w:t>
      </w:r>
    </w:p>
    <w:p w14:paraId="547F336A" w14:textId="77777777" w:rsidR="00725977" w:rsidRPr="00D4309F" w:rsidRDefault="00725977" w:rsidP="00725977">
      <w:pPr>
        <w:pStyle w:val="BodyText"/>
      </w:pPr>
      <w:r w:rsidRPr="00D4309F">
        <w:rPr>
          <w:b/>
        </w:rPr>
        <w:t>Recommendations</w:t>
      </w:r>
      <w:r w:rsidRPr="00D4309F">
        <w:t>:</w:t>
      </w:r>
      <w:r w:rsidRPr="00D4309F">
        <w:rPr>
          <w:spacing w:val="-3"/>
        </w:rPr>
        <w:t xml:space="preserve"> </w:t>
      </w:r>
      <w:r w:rsidRPr="00D4309F">
        <w:t>The</w:t>
      </w:r>
      <w:r w:rsidRPr="00D4309F">
        <w:rPr>
          <w:spacing w:val="-3"/>
        </w:rPr>
        <w:t xml:space="preserve"> </w:t>
      </w:r>
      <w:r w:rsidRPr="00D4309F">
        <w:t>following</w:t>
      </w:r>
      <w:r w:rsidRPr="00D4309F">
        <w:rPr>
          <w:spacing w:val="-3"/>
        </w:rPr>
        <w:t xml:space="preserve"> </w:t>
      </w:r>
      <w:r w:rsidRPr="00D4309F">
        <w:t>should</w:t>
      </w:r>
      <w:r w:rsidRPr="00D4309F">
        <w:rPr>
          <w:spacing w:val="-3"/>
        </w:rPr>
        <w:t xml:space="preserve"> </w:t>
      </w:r>
      <w:r w:rsidRPr="00D4309F">
        <w:t>be</w:t>
      </w:r>
      <w:r w:rsidRPr="00D4309F">
        <w:rPr>
          <w:spacing w:val="-3"/>
        </w:rPr>
        <w:t xml:space="preserve"> </w:t>
      </w:r>
      <w:r w:rsidRPr="00D4309F">
        <w:t>considered</w:t>
      </w:r>
      <w:r w:rsidRPr="00D4309F">
        <w:rPr>
          <w:spacing w:val="-3"/>
        </w:rPr>
        <w:t xml:space="preserve"> </w:t>
      </w:r>
      <w:r w:rsidRPr="00D4309F">
        <w:t>in</w:t>
      </w:r>
      <w:r w:rsidRPr="00D4309F">
        <w:rPr>
          <w:spacing w:val="-3"/>
        </w:rPr>
        <w:t xml:space="preserve"> </w:t>
      </w:r>
      <w:r w:rsidRPr="00D4309F">
        <w:t>to</w:t>
      </w:r>
      <w:r w:rsidRPr="00D4309F">
        <w:rPr>
          <w:spacing w:val="-3"/>
        </w:rPr>
        <w:t xml:space="preserve"> </w:t>
      </w:r>
      <w:r w:rsidRPr="00D4309F">
        <w:t>improve</w:t>
      </w:r>
      <w:r w:rsidRPr="00D4309F">
        <w:rPr>
          <w:spacing w:val="-3"/>
        </w:rPr>
        <w:t xml:space="preserve"> </w:t>
      </w:r>
      <w:r w:rsidRPr="00D4309F">
        <w:t>the</w:t>
      </w:r>
      <w:r w:rsidRPr="00D4309F">
        <w:rPr>
          <w:spacing w:val="-3"/>
        </w:rPr>
        <w:t xml:space="preserve"> </w:t>
      </w:r>
      <w:r w:rsidRPr="00D4309F">
        <w:t>use</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existing</w:t>
      </w:r>
      <w:r w:rsidRPr="00D4309F">
        <w:rPr>
          <w:spacing w:val="-4"/>
        </w:rPr>
        <w:t xml:space="preserve"> </w:t>
      </w:r>
      <w:r w:rsidRPr="00D4309F">
        <w:t>model</w:t>
      </w:r>
      <w:r w:rsidRPr="00D4309F">
        <w:rPr>
          <w:spacing w:val="-3"/>
        </w:rPr>
        <w:t xml:space="preserve"> </w:t>
      </w:r>
      <w:r w:rsidRPr="00D4309F">
        <w:t>or</w:t>
      </w:r>
      <w:r w:rsidRPr="00D4309F">
        <w:rPr>
          <w:spacing w:val="-2"/>
        </w:rPr>
        <w:t xml:space="preserve"> </w:t>
      </w:r>
      <w:r w:rsidRPr="00D4309F">
        <w:t>the overall monitoring and prediction of sand shoals:</w:t>
      </w:r>
    </w:p>
    <w:p w14:paraId="2EE4564E" w14:textId="77777777" w:rsidR="00725977" w:rsidRPr="00D4309F" w:rsidRDefault="00725977" w:rsidP="00651D19">
      <w:pPr>
        <w:pStyle w:val="ListBullet"/>
      </w:pPr>
      <w:r w:rsidRPr="00D4309F">
        <w:t>Continue</w:t>
      </w:r>
      <w:r w:rsidRPr="00D4309F">
        <w:rPr>
          <w:spacing w:val="-3"/>
        </w:rPr>
        <w:t xml:space="preserve"> </w:t>
      </w:r>
      <w:r w:rsidRPr="00D4309F">
        <w:t>to</w:t>
      </w:r>
      <w:r w:rsidRPr="00D4309F">
        <w:rPr>
          <w:spacing w:val="-3"/>
        </w:rPr>
        <w:t xml:space="preserve"> </w:t>
      </w:r>
      <w:r w:rsidRPr="00D4309F">
        <w:t>incorporate</w:t>
      </w:r>
      <w:r w:rsidRPr="00D4309F">
        <w:rPr>
          <w:spacing w:val="-3"/>
        </w:rPr>
        <w:t xml:space="preserve"> </w:t>
      </w:r>
      <w:r w:rsidRPr="00D4309F">
        <w:t>use</w:t>
      </w:r>
      <w:r w:rsidRPr="00D4309F">
        <w:rPr>
          <w:spacing w:val="-3"/>
        </w:rPr>
        <w:t xml:space="preserve"> </w:t>
      </w:r>
      <w:r w:rsidRPr="00D4309F">
        <w:t>of</w:t>
      </w:r>
      <w:r w:rsidRPr="00D4309F">
        <w:rPr>
          <w:spacing w:val="-3"/>
        </w:rPr>
        <w:t xml:space="preserve"> </w:t>
      </w:r>
      <w:r w:rsidRPr="00D4309F">
        <w:t>drone</w:t>
      </w:r>
      <w:r w:rsidRPr="00D4309F">
        <w:rPr>
          <w:spacing w:val="-3"/>
        </w:rPr>
        <w:t xml:space="preserve"> </w:t>
      </w:r>
      <w:r w:rsidRPr="00D4309F">
        <w:t>monitoring</w:t>
      </w:r>
      <w:r w:rsidRPr="00D4309F">
        <w:rPr>
          <w:spacing w:val="-3"/>
        </w:rPr>
        <w:t xml:space="preserve"> </w:t>
      </w:r>
      <w:r w:rsidRPr="00D4309F">
        <w:t>data</w:t>
      </w:r>
      <w:r w:rsidRPr="00D4309F">
        <w:rPr>
          <w:spacing w:val="-3"/>
        </w:rPr>
        <w:t xml:space="preserve"> </w:t>
      </w:r>
      <w:r w:rsidRPr="00D4309F">
        <w:t>and</w:t>
      </w:r>
      <w:r w:rsidRPr="00D4309F">
        <w:rPr>
          <w:spacing w:val="-3"/>
        </w:rPr>
        <w:t xml:space="preserve"> </w:t>
      </w:r>
      <w:r w:rsidRPr="00D4309F">
        <w:t>available</w:t>
      </w:r>
      <w:r w:rsidRPr="00D4309F">
        <w:rPr>
          <w:spacing w:val="-3"/>
        </w:rPr>
        <w:t xml:space="preserve"> </w:t>
      </w:r>
      <w:r w:rsidRPr="00D4309F">
        <w:t>survey</w:t>
      </w:r>
      <w:r w:rsidRPr="00D4309F">
        <w:rPr>
          <w:spacing w:val="-2"/>
        </w:rPr>
        <w:t xml:space="preserve"> </w:t>
      </w:r>
      <w:r w:rsidRPr="00D4309F">
        <w:t>data</w:t>
      </w:r>
      <w:r w:rsidRPr="00D4309F">
        <w:rPr>
          <w:spacing w:val="-3"/>
        </w:rPr>
        <w:t xml:space="preserve"> </w:t>
      </w:r>
      <w:r w:rsidRPr="00D4309F">
        <w:t>to</w:t>
      </w:r>
      <w:r w:rsidRPr="00D4309F">
        <w:rPr>
          <w:spacing w:val="-3"/>
        </w:rPr>
        <w:t xml:space="preserve"> </w:t>
      </w:r>
      <w:r w:rsidRPr="00D4309F">
        <w:t>confirm</w:t>
      </w:r>
      <w:r w:rsidRPr="00D4309F">
        <w:rPr>
          <w:spacing w:val="-3"/>
        </w:rPr>
        <w:t xml:space="preserve"> </w:t>
      </w:r>
      <w:r w:rsidRPr="00D4309F">
        <w:t>reliability</w:t>
      </w:r>
      <w:r w:rsidRPr="00D4309F">
        <w:rPr>
          <w:spacing w:val="-2"/>
        </w:rPr>
        <w:t xml:space="preserve"> </w:t>
      </w:r>
      <w:r w:rsidRPr="00D4309F">
        <w:t>or re-calibrate the model over time.</w:t>
      </w:r>
    </w:p>
    <w:p w14:paraId="08CFBE4A" w14:textId="77777777" w:rsidR="00725977" w:rsidRPr="00D4309F" w:rsidRDefault="00725977" w:rsidP="00651D19">
      <w:pPr>
        <w:pStyle w:val="ListBullet"/>
      </w:pPr>
      <w:r w:rsidRPr="00D4309F">
        <w:t>Automate</w:t>
      </w:r>
      <w:r w:rsidRPr="00D4309F">
        <w:rPr>
          <w:spacing w:val="-3"/>
        </w:rPr>
        <w:t xml:space="preserve"> </w:t>
      </w:r>
      <w:r w:rsidRPr="00D4309F">
        <w:t>the</w:t>
      </w:r>
      <w:r w:rsidRPr="00D4309F">
        <w:rPr>
          <w:spacing w:val="-4"/>
        </w:rPr>
        <w:t xml:space="preserve"> </w:t>
      </w:r>
      <w:r w:rsidRPr="00D4309F">
        <w:t>model</w:t>
      </w:r>
      <w:r w:rsidRPr="00D4309F">
        <w:rPr>
          <w:spacing w:val="-3"/>
        </w:rPr>
        <w:t xml:space="preserve"> </w:t>
      </w:r>
      <w:r w:rsidRPr="00D4309F">
        <w:t>as</w:t>
      </w:r>
      <w:r w:rsidRPr="00D4309F">
        <w:rPr>
          <w:spacing w:val="-2"/>
        </w:rPr>
        <w:t xml:space="preserve"> </w:t>
      </w:r>
      <w:r w:rsidRPr="00D4309F">
        <w:t>a</w:t>
      </w:r>
      <w:r w:rsidRPr="00D4309F">
        <w:rPr>
          <w:spacing w:val="-4"/>
        </w:rPr>
        <w:t xml:space="preserve"> </w:t>
      </w:r>
      <w:r w:rsidRPr="00D4309F">
        <w:t>real-time</w:t>
      </w:r>
      <w:r w:rsidRPr="00D4309F">
        <w:rPr>
          <w:spacing w:val="-3"/>
        </w:rPr>
        <w:t xml:space="preserve"> </w:t>
      </w:r>
      <w:r w:rsidRPr="00D4309F">
        <w:rPr>
          <w:spacing w:val="-2"/>
        </w:rPr>
        <w:t>service.</w:t>
      </w:r>
    </w:p>
    <w:p w14:paraId="24C3C918" w14:textId="77777777" w:rsidR="00725977" w:rsidRPr="00D4309F" w:rsidRDefault="00725977" w:rsidP="00651D19">
      <w:pPr>
        <w:pStyle w:val="ListBullet"/>
      </w:pPr>
      <w:r w:rsidRPr="00D4309F">
        <w:t>Use</w:t>
      </w:r>
      <w:r w:rsidRPr="00D4309F">
        <w:rPr>
          <w:spacing w:val="-6"/>
        </w:rPr>
        <w:t xml:space="preserve"> </w:t>
      </w:r>
      <w:r w:rsidRPr="00D4309F">
        <w:t>forecasted</w:t>
      </w:r>
      <w:r w:rsidRPr="00D4309F">
        <w:rPr>
          <w:spacing w:val="-3"/>
        </w:rPr>
        <w:t xml:space="preserve"> </w:t>
      </w:r>
      <w:r w:rsidRPr="00D4309F">
        <w:t>wave</w:t>
      </w:r>
      <w:r w:rsidRPr="00D4309F">
        <w:rPr>
          <w:spacing w:val="-3"/>
        </w:rPr>
        <w:t xml:space="preserve"> </w:t>
      </w:r>
      <w:r w:rsidRPr="00D4309F">
        <w:t>data</w:t>
      </w:r>
      <w:r w:rsidRPr="00D4309F">
        <w:rPr>
          <w:spacing w:val="-4"/>
        </w:rPr>
        <w:t xml:space="preserve"> </w:t>
      </w:r>
      <w:r w:rsidRPr="00D4309F">
        <w:t>(1</w:t>
      </w:r>
      <w:r w:rsidRPr="00D4309F">
        <w:rPr>
          <w:spacing w:val="-3"/>
        </w:rPr>
        <w:t xml:space="preserve"> </w:t>
      </w:r>
      <w:r w:rsidRPr="00D4309F">
        <w:t>–</w:t>
      </w:r>
      <w:r w:rsidRPr="00D4309F">
        <w:rPr>
          <w:spacing w:val="-3"/>
        </w:rPr>
        <w:t xml:space="preserve"> </w:t>
      </w:r>
      <w:r w:rsidRPr="00D4309F">
        <w:t>2</w:t>
      </w:r>
      <w:r w:rsidRPr="00D4309F">
        <w:rPr>
          <w:spacing w:val="-3"/>
        </w:rPr>
        <w:t xml:space="preserve"> </w:t>
      </w:r>
      <w:r w:rsidRPr="00D4309F">
        <w:t>weeks)</w:t>
      </w:r>
      <w:r w:rsidRPr="00D4309F">
        <w:rPr>
          <w:spacing w:val="-2"/>
        </w:rPr>
        <w:t xml:space="preserve"> </w:t>
      </w:r>
      <w:r w:rsidRPr="00D4309F">
        <w:t>and</w:t>
      </w:r>
      <w:r w:rsidRPr="00D4309F">
        <w:rPr>
          <w:spacing w:val="-3"/>
        </w:rPr>
        <w:t xml:space="preserve"> </w:t>
      </w:r>
      <w:r w:rsidRPr="00D4309F">
        <w:t>typical</w:t>
      </w:r>
      <w:r w:rsidRPr="00D4309F">
        <w:rPr>
          <w:spacing w:val="-4"/>
        </w:rPr>
        <w:t xml:space="preserve"> </w:t>
      </w:r>
      <w:r w:rsidRPr="00D4309F">
        <w:t>seasonal</w:t>
      </w:r>
      <w:r w:rsidRPr="00D4309F">
        <w:rPr>
          <w:spacing w:val="-3"/>
        </w:rPr>
        <w:t xml:space="preserve"> </w:t>
      </w:r>
      <w:r w:rsidRPr="00D4309F">
        <w:rPr>
          <w:spacing w:val="-2"/>
        </w:rPr>
        <w:t>conditions.</w:t>
      </w:r>
    </w:p>
    <w:p w14:paraId="4B5DCD9E" w14:textId="469E3584" w:rsidR="00815E77" w:rsidRPr="00D4309F" w:rsidRDefault="00725977" w:rsidP="00F06E88">
      <w:pPr>
        <w:pStyle w:val="ListBullet"/>
      </w:pPr>
      <w:r w:rsidRPr="00D4309F">
        <w:t>Consider</w:t>
      </w:r>
      <w:r w:rsidRPr="00D4309F">
        <w:rPr>
          <w:spacing w:val="-2"/>
        </w:rPr>
        <w:t xml:space="preserve"> </w:t>
      </w:r>
      <w:r w:rsidRPr="00D4309F">
        <w:t>upgrading</w:t>
      </w:r>
      <w:r w:rsidRPr="00D4309F">
        <w:rPr>
          <w:spacing w:val="-3"/>
        </w:rPr>
        <w:t xml:space="preserve"> </w:t>
      </w:r>
      <w:r w:rsidRPr="00D4309F">
        <w:t>model</w:t>
      </w:r>
      <w:r w:rsidRPr="00D4309F">
        <w:rPr>
          <w:spacing w:val="-3"/>
        </w:rPr>
        <w:t xml:space="preserve"> </w:t>
      </w:r>
      <w:r w:rsidRPr="00D4309F">
        <w:t>to</w:t>
      </w:r>
      <w:r w:rsidRPr="00D4309F">
        <w:rPr>
          <w:spacing w:val="-3"/>
        </w:rPr>
        <w:t xml:space="preserve"> </w:t>
      </w:r>
      <w:r w:rsidRPr="00D4309F">
        <w:t>(or</w:t>
      </w:r>
      <w:r w:rsidRPr="00D4309F">
        <w:rPr>
          <w:spacing w:val="-2"/>
        </w:rPr>
        <w:t xml:space="preserve"> </w:t>
      </w:r>
      <w:r w:rsidRPr="00D4309F">
        <w:t>use</w:t>
      </w:r>
      <w:r w:rsidRPr="00D4309F">
        <w:rPr>
          <w:spacing w:val="-3"/>
        </w:rPr>
        <w:t xml:space="preserve"> </w:t>
      </w:r>
      <w:r w:rsidRPr="00D4309F">
        <w:t>in</w:t>
      </w:r>
      <w:r w:rsidRPr="00D4309F">
        <w:rPr>
          <w:spacing w:val="-3"/>
        </w:rPr>
        <w:t xml:space="preserve"> </w:t>
      </w:r>
      <w:r w:rsidRPr="00D4309F">
        <w:t>conjunction</w:t>
      </w:r>
      <w:r w:rsidRPr="00D4309F">
        <w:rPr>
          <w:spacing w:val="-4"/>
        </w:rPr>
        <w:t xml:space="preserve"> </w:t>
      </w:r>
      <w:r w:rsidRPr="00D4309F">
        <w:t>with)</w:t>
      </w:r>
      <w:r w:rsidRPr="00D4309F">
        <w:rPr>
          <w:spacing w:val="-2"/>
        </w:rPr>
        <w:t xml:space="preserve"> </w:t>
      </w:r>
      <w:r w:rsidRPr="00D4309F">
        <w:t>a</w:t>
      </w:r>
      <w:r w:rsidRPr="00D4309F">
        <w:rPr>
          <w:spacing w:val="-3"/>
        </w:rPr>
        <w:t xml:space="preserve"> </w:t>
      </w:r>
      <w:r w:rsidRPr="00D4309F">
        <w:t>calibrated</w:t>
      </w:r>
      <w:r w:rsidRPr="00D4309F">
        <w:rPr>
          <w:spacing w:val="-3"/>
        </w:rPr>
        <w:t xml:space="preserve"> </w:t>
      </w:r>
      <w:r w:rsidRPr="00D4309F">
        <w:t>numerical</w:t>
      </w:r>
      <w:r w:rsidRPr="00D4309F">
        <w:rPr>
          <w:spacing w:val="-3"/>
        </w:rPr>
        <w:t xml:space="preserve"> </w:t>
      </w:r>
      <w:r w:rsidRPr="00D4309F">
        <w:t>model</w:t>
      </w:r>
      <w:r w:rsidRPr="00D4309F">
        <w:rPr>
          <w:spacing w:val="-3"/>
        </w:rPr>
        <w:t xml:space="preserve"> </w:t>
      </w:r>
      <w:r w:rsidRPr="00D4309F">
        <w:t>which</w:t>
      </w:r>
      <w:r w:rsidRPr="00D4309F">
        <w:rPr>
          <w:spacing w:val="-3"/>
        </w:rPr>
        <w:t xml:space="preserve"> </w:t>
      </w:r>
      <w:r w:rsidRPr="00D4309F">
        <w:t>can</w:t>
      </w:r>
      <w:r w:rsidRPr="00D4309F">
        <w:rPr>
          <w:spacing w:val="-3"/>
        </w:rPr>
        <w:t xml:space="preserve"> </w:t>
      </w:r>
      <w:r w:rsidRPr="00D4309F">
        <w:t>provide not only a more reliable indicator of sand shoal events but a greater understanding of the extent and location of the sand shoal.</w:t>
      </w:r>
    </w:p>
    <w:p w14:paraId="3C5CF1B7" w14:textId="77777777" w:rsidR="00725977" w:rsidRPr="00D4309F" w:rsidRDefault="00725977" w:rsidP="00725977">
      <w:pPr>
        <w:pStyle w:val="Heading4"/>
      </w:pPr>
      <w:r w:rsidRPr="00D4309F">
        <w:t>Prediction</w:t>
      </w:r>
      <w:r w:rsidRPr="00D4309F">
        <w:rPr>
          <w:spacing w:val="-4"/>
        </w:rPr>
        <w:t xml:space="preserve"> </w:t>
      </w:r>
      <w:r w:rsidRPr="00D4309F">
        <w:t>of</w:t>
      </w:r>
      <w:r w:rsidRPr="00D4309F">
        <w:rPr>
          <w:spacing w:val="-5"/>
        </w:rPr>
        <w:t xml:space="preserve"> </w:t>
      </w:r>
      <w:r w:rsidRPr="00D4309F">
        <w:t>shoaling</w:t>
      </w:r>
      <w:r w:rsidRPr="00D4309F">
        <w:rPr>
          <w:spacing w:val="-3"/>
        </w:rPr>
        <w:t xml:space="preserve"> </w:t>
      </w:r>
      <w:r w:rsidRPr="00D4309F">
        <w:rPr>
          <w:spacing w:val="-2"/>
        </w:rPr>
        <w:t>events</w:t>
      </w:r>
    </w:p>
    <w:p w14:paraId="54B1C9BA" w14:textId="77777777" w:rsidR="00725977" w:rsidRPr="00D4309F" w:rsidRDefault="00725977" w:rsidP="00725977">
      <w:pPr>
        <w:pStyle w:val="BodyText"/>
      </w:pPr>
      <w:r w:rsidRPr="00D4309F">
        <w:t>Prediction</w:t>
      </w:r>
      <w:r w:rsidRPr="00D4309F">
        <w:rPr>
          <w:spacing w:val="-2"/>
        </w:rPr>
        <w:t xml:space="preserve"> </w:t>
      </w:r>
      <w:r w:rsidRPr="00D4309F">
        <w:t>of</w:t>
      </w:r>
      <w:r w:rsidRPr="00D4309F">
        <w:rPr>
          <w:spacing w:val="-2"/>
        </w:rPr>
        <w:t xml:space="preserve"> </w:t>
      </w:r>
      <w:r w:rsidRPr="00D4309F">
        <w:t>sand</w:t>
      </w:r>
      <w:r w:rsidRPr="00D4309F">
        <w:rPr>
          <w:spacing w:val="-2"/>
        </w:rPr>
        <w:t xml:space="preserve"> </w:t>
      </w:r>
      <w:r w:rsidRPr="00D4309F">
        <w:t>shoaling</w:t>
      </w:r>
      <w:r w:rsidRPr="00D4309F">
        <w:rPr>
          <w:spacing w:val="-2"/>
        </w:rPr>
        <w:t xml:space="preserve"> </w:t>
      </w:r>
      <w:r w:rsidRPr="00D4309F">
        <w:t>events</w:t>
      </w:r>
      <w:r w:rsidRPr="00D4309F">
        <w:rPr>
          <w:spacing w:val="-1"/>
        </w:rPr>
        <w:t xml:space="preserve"> </w:t>
      </w:r>
      <w:r w:rsidRPr="00D4309F">
        <w:t>at</w:t>
      </w:r>
      <w:r w:rsidRPr="00D4309F">
        <w:rPr>
          <w:spacing w:val="-2"/>
        </w:rPr>
        <w:t xml:space="preserve"> </w:t>
      </w:r>
      <w:r w:rsidRPr="00D4309F">
        <w:t>the</w:t>
      </w:r>
      <w:r w:rsidRPr="00D4309F">
        <w:rPr>
          <w:spacing w:val="-2"/>
        </w:rPr>
        <w:t xml:space="preserve"> </w:t>
      </w:r>
      <w:r w:rsidRPr="00D4309F">
        <w:t>entrance</w:t>
      </w:r>
      <w:r w:rsidRPr="00D4309F">
        <w:rPr>
          <w:spacing w:val="-2"/>
        </w:rPr>
        <w:t xml:space="preserve"> </w:t>
      </w:r>
      <w:r w:rsidRPr="00D4309F">
        <w:t>is</w:t>
      </w:r>
      <w:r w:rsidRPr="00D4309F">
        <w:rPr>
          <w:spacing w:val="-1"/>
        </w:rPr>
        <w:t xml:space="preserve"> </w:t>
      </w:r>
      <w:r w:rsidRPr="00D4309F">
        <w:t>currently</w:t>
      </w:r>
      <w:r w:rsidRPr="00D4309F">
        <w:rPr>
          <w:spacing w:val="-2"/>
        </w:rPr>
        <w:t xml:space="preserve"> </w:t>
      </w:r>
      <w:r w:rsidRPr="00D4309F">
        <w:t>limited</w:t>
      </w:r>
      <w:r w:rsidRPr="00D4309F">
        <w:rPr>
          <w:spacing w:val="-2"/>
        </w:rPr>
        <w:t xml:space="preserve"> </w:t>
      </w:r>
      <w:r w:rsidRPr="00D4309F">
        <w:t>to</w:t>
      </w:r>
      <w:r w:rsidRPr="00D4309F">
        <w:rPr>
          <w:spacing w:val="-2"/>
        </w:rPr>
        <w:t xml:space="preserve"> </w:t>
      </w:r>
      <w:r w:rsidRPr="00D4309F">
        <w:t>the</w:t>
      </w:r>
      <w:r w:rsidRPr="00D4309F">
        <w:rPr>
          <w:spacing w:val="-2"/>
        </w:rPr>
        <w:t xml:space="preserve"> </w:t>
      </w:r>
      <w:r w:rsidRPr="00D4309F">
        <w:t>use</w:t>
      </w:r>
      <w:r w:rsidRPr="00D4309F">
        <w:rPr>
          <w:spacing w:val="-3"/>
        </w:rPr>
        <w:t xml:space="preserve"> </w:t>
      </w:r>
      <w:r w:rsidRPr="00D4309F">
        <w:t>of</w:t>
      </w:r>
      <w:r w:rsidRPr="00D4309F">
        <w:rPr>
          <w:spacing w:val="-2"/>
        </w:rPr>
        <w:t xml:space="preserve"> </w:t>
      </w:r>
      <w:r w:rsidRPr="00D4309F">
        <w:t>the</w:t>
      </w:r>
      <w:r w:rsidRPr="00D4309F">
        <w:rPr>
          <w:spacing w:val="-2"/>
        </w:rPr>
        <w:t xml:space="preserve"> </w:t>
      </w:r>
      <w:r w:rsidRPr="00D4309F">
        <w:t>empirical</w:t>
      </w:r>
      <w:r w:rsidRPr="00D4309F">
        <w:rPr>
          <w:spacing w:val="-2"/>
        </w:rPr>
        <w:t xml:space="preserve"> </w:t>
      </w:r>
      <w:r w:rsidRPr="00D4309F">
        <w:t>sand</w:t>
      </w:r>
      <w:r w:rsidRPr="00D4309F">
        <w:rPr>
          <w:spacing w:val="-2"/>
        </w:rPr>
        <w:t xml:space="preserve"> </w:t>
      </w:r>
      <w:r w:rsidRPr="00D4309F">
        <w:t>shoal indicator model with real time wave data to infer a sand shoal trend. Options to improve the prediction timeframe should be considered to allow for earlier survey and contact with local dredge contractors.</w:t>
      </w:r>
    </w:p>
    <w:p w14:paraId="4394D304" w14:textId="77777777" w:rsidR="00725977" w:rsidRPr="00D4309F" w:rsidRDefault="00725977" w:rsidP="00725977">
      <w:pPr>
        <w:pStyle w:val="BodyText"/>
      </w:pPr>
      <w:r w:rsidRPr="00D4309F">
        <w:t>The</w:t>
      </w:r>
      <w:r w:rsidRPr="00D4309F">
        <w:rPr>
          <w:spacing w:val="-3"/>
        </w:rPr>
        <w:t xml:space="preserve"> </w:t>
      </w:r>
      <w:r w:rsidRPr="00D4309F">
        <w:t>use</w:t>
      </w:r>
      <w:r w:rsidRPr="00D4309F">
        <w:rPr>
          <w:spacing w:val="-3"/>
        </w:rPr>
        <w:t xml:space="preserve"> </w:t>
      </w:r>
      <w:r w:rsidRPr="00D4309F">
        <w:t>of</w:t>
      </w:r>
      <w:r w:rsidRPr="00D4309F">
        <w:rPr>
          <w:spacing w:val="-3"/>
        </w:rPr>
        <w:t xml:space="preserve"> </w:t>
      </w:r>
      <w:r w:rsidRPr="00D4309F">
        <w:t>forecasted</w:t>
      </w:r>
      <w:r w:rsidRPr="00D4309F">
        <w:rPr>
          <w:spacing w:val="-3"/>
        </w:rPr>
        <w:t xml:space="preserve"> </w:t>
      </w:r>
      <w:r w:rsidRPr="00D4309F">
        <w:t>weather</w:t>
      </w:r>
      <w:r w:rsidRPr="00D4309F">
        <w:rPr>
          <w:spacing w:val="-2"/>
        </w:rPr>
        <w:t xml:space="preserve"> </w:t>
      </w:r>
      <w:r w:rsidRPr="00D4309F">
        <w:t>conditions</w:t>
      </w:r>
      <w:r w:rsidRPr="00D4309F">
        <w:rPr>
          <w:spacing w:val="-2"/>
        </w:rPr>
        <w:t xml:space="preserve"> </w:t>
      </w:r>
      <w:r w:rsidRPr="00D4309F">
        <w:t>could</w:t>
      </w:r>
      <w:r w:rsidRPr="00D4309F">
        <w:rPr>
          <w:spacing w:val="-3"/>
        </w:rPr>
        <w:t xml:space="preserve"> </w:t>
      </w:r>
      <w:r w:rsidRPr="00D4309F">
        <w:t>be</w:t>
      </w:r>
      <w:r w:rsidRPr="00D4309F">
        <w:rPr>
          <w:spacing w:val="-3"/>
        </w:rPr>
        <w:t xml:space="preserve"> </w:t>
      </w:r>
      <w:r w:rsidRPr="00D4309F">
        <w:t>trialled</w:t>
      </w:r>
      <w:r w:rsidRPr="00D4309F">
        <w:rPr>
          <w:spacing w:val="-3"/>
        </w:rPr>
        <w:t xml:space="preserve"> </w:t>
      </w:r>
      <w:r w:rsidRPr="00D4309F">
        <w:t>either</w:t>
      </w:r>
      <w:r w:rsidRPr="00D4309F">
        <w:rPr>
          <w:spacing w:val="-2"/>
        </w:rPr>
        <w:t xml:space="preserve"> </w:t>
      </w:r>
      <w:r w:rsidRPr="00D4309F">
        <w:t>with</w:t>
      </w:r>
      <w:r w:rsidRPr="00D4309F">
        <w:rPr>
          <w:spacing w:val="-3"/>
        </w:rPr>
        <w:t xml:space="preserve"> </w:t>
      </w:r>
      <w:r w:rsidRPr="00D4309F">
        <w:t>the</w:t>
      </w:r>
      <w:r w:rsidRPr="00D4309F">
        <w:rPr>
          <w:spacing w:val="-3"/>
        </w:rPr>
        <w:t xml:space="preserve"> </w:t>
      </w:r>
      <w:r w:rsidRPr="00D4309F">
        <w:t>existing</w:t>
      </w:r>
      <w:r w:rsidRPr="00D4309F">
        <w:rPr>
          <w:spacing w:val="-3"/>
        </w:rPr>
        <w:t xml:space="preserve"> </w:t>
      </w:r>
      <w:r w:rsidRPr="00D4309F">
        <w:t>tool</w:t>
      </w:r>
      <w:r w:rsidRPr="00D4309F">
        <w:rPr>
          <w:spacing w:val="-3"/>
        </w:rPr>
        <w:t xml:space="preserve"> </w:t>
      </w:r>
      <w:r w:rsidRPr="00D4309F">
        <w:t>or</w:t>
      </w:r>
      <w:r w:rsidRPr="00D4309F">
        <w:rPr>
          <w:spacing w:val="-2"/>
        </w:rPr>
        <w:t xml:space="preserve"> </w:t>
      </w:r>
      <w:r w:rsidRPr="00D4309F">
        <w:t>an</w:t>
      </w:r>
      <w:r w:rsidRPr="00D4309F">
        <w:rPr>
          <w:spacing w:val="-3"/>
        </w:rPr>
        <w:t xml:space="preserve"> </w:t>
      </w:r>
      <w:r w:rsidRPr="00D4309F">
        <w:t>upgraded numerical modelling tool to predict sand shoal likelihood in the near-term.</w:t>
      </w:r>
    </w:p>
    <w:p w14:paraId="3F701041" w14:textId="77777777" w:rsidR="00725977" w:rsidRPr="00D4309F" w:rsidRDefault="00725977" w:rsidP="00725977">
      <w:pPr>
        <w:pStyle w:val="BodyText"/>
      </w:pPr>
      <w:r w:rsidRPr="00D4309F">
        <w:t>However, accurate weather forecasts are limited to 1 – 2 weeks which does not provide much time to mobilise</w:t>
      </w:r>
      <w:r w:rsidRPr="00D4309F">
        <w:rPr>
          <w:spacing w:val="-3"/>
        </w:rPr>
        <w:t xml:space="preserve"> </w:t>
      </w:r>
      <w:r w:rsidRPr="00D4309F">
        <w:t>a</w:t>
      </w:r>
      <w:r w:rsidRPr="00D4309F">
        <w:rPr>
          <w:spacing w:val="-3"/>
        </w:rPr>
        <w:t xml:space="preserve"> </w:t>
      </w:r>
      <w:r w:rsidRPr="00D4309F">
        <w:t>hydrographic</w:t>
      </w:r>
      <w:r w:rsidRPr="00D4309F">
        <w:rPr>
          <w:spacing w:val="-2"/>
        </w:rPr>
        <w:t xml:space="preserve"> </w:t>
      </w:r>
      <w:r w:rsidRPr="00D4309F">
        <w:t>surveyor</w:t>
      </w:r>
      <w:r w:rsidRPr="00D4309F">
        <w:rPr>
          <w:spacing w:val="-2"/>
        </w:rPr>
        <w:t xml:space="preserve"> </w:t>
      </w:r>
      <w:r w:rsidRPr="00D4309F">
        <w:t>to</w:t>
      </w:r>
      <w:r w:rsidRPr="00D4309F">
        <w:rPr>
          <w:spacing w:val="-3"/>
        </w:rPr>
        <w:t xml:space="preserve"> </w:t>
      </w:r>
      <w:r w:rsidRPr="00D4309F">
        <w:t>confirm</w:t>
      </w:r>
      <w:r w:rsidRPr="00D4309F">
        <w:rPr>
          <w:spacing w:val="-3"/>
        </w:rPr>
        <w:t xml:space="preserve"> </w:t>
      </w:r>
      <w:r w:rsidRPr="00D4309F">
        <w:t>depths</w:t>
      </w:r>
      <w:r w:rsidRPr="00D4309F">
        <w:rPr>
          <w:spacing w:val="-2"/>
        </w:rPr>
        <w:t xml:space="preserve"> </w:t>
      </w:r>
      <w:r w:rsidRPr="00D4309F">
        <w:t>and</w:t>
      </w:r>
      <w:r w:rsidRPr="00D4309F">
        <w:rPr>
          <w:spacing w:val="-3"/>
        </w:rPr>
        <w:t xml:space="preserve"> </w:t>
      </w:r>
      <w:r w:rsidRPr="00D4309F">
        <w:t>a</w:t>
      </w:r>
      <w:r w:rsidRPr="00D4309F">
        <w:rPr>
          <w:spacing w:val="-3"/>
        </w:rPr>
        <w:t xml:space="preserve"> </w:t>
      </w:r>
      <w:r w:rsidRPr="00D4309F">
        <w:t>dredger</w:t>
      </w:r>
      <w:r w:rsidRPr="00D4309F">
        <w:rPr>
          <w:spacing w:val="-2"/>
        </w:rPr>
        <w:t xml:space="preserve"> </w:t>
      </w:r>
      <w:r w:rsidRPr="00D4309F">
        <w:t>in</w:t>
      </w:r>
      <w:r w:rsidRPr="00D4309F">
        <w:rPr>
          <w:spacing w:val="-3"/>
        </w:rPr>
        <w:t xml:space="preserve"> </w:t>
      </w:r>
      <w:r w:rsidRPr="00D4309F">
        <w:t>advanced</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event</w:t>
      </w:r>
      <w:r w:rsidRPr="00D4309F">
        <w:rPr>
          <w:spacing w:val="-3"/>
        </w:rPr>
        <w:t xml:space="preserve"> </w:t>
      </w:r>
      <w:r w:rsidRPr="00D4309F">
        <w:t>(unless</w:t>
      </w:r>
      <w:r w:rsidRPr="00D4309F">
        <w:rPr>
          <w:spacing w:val="-2"/>
        </w:rPr>
        <w:t xml:space="preserve"> </w:t>
      </w:r>
      <w:r w:rsidRPr="00D4309F">
        <w:t>one</w:t>
      </w:r>
      <w:r w:rsidRPr="00D4309F">
        <w:rPr>
          <w:spacing w:val="-3"/>
        </w:rPr>
        <w:t xml:space="preserve"> </w:t>
      </w:r>
      <w:r w:rsidRPr="00D4309F">
        <w:t>was available on standby), with reactive dredging likely undertaken following the event.</w:t>
      </w:r>
    </w:p>
    <w:p w14:paraId="492C523F" w14:textId="77777777" w:rsidR="00725977" w:rsidRPr="00D4309F" w:rsidRDefault="00725977" w:rsidP="00725977">
      <w:pPr>
        <w:pStyle w:val="BodyText"/>
      </w:pPr>
      <w:r w:rsidRPr="00D4309F">
        <w:t>Alternatively,</w:t>
      </w:r>
      <w:r w:rsidRPr="00D4309F">
        <w:rPr>
          <w:spacing w:val="-5"/>
        </w:rPr>
        <w:t xml:space="preserve"> </w:t>
      </w:r>
      <w:r w:rsidRPr="00D4309F">
        <w:t>assumed</w:t>
      </w:r>
      <w:r w:rsidRPr="00D4309F">
        <w:rPr>
          <w:spacing w:val="-3"/>
        </w:rPr>
        <w:t xml:space="preserve"> </w:t>
      </w:r>
      <w:r w:rsidRPr="00D4309F">
        <w:t>seasonal</w:t>
      </w:r>
      <w:r w:rsidRPr="00D4309F">
        <w:rPr>
          <w:spacing w:val="-3"/>
        </w:rPr>
        <w:t xml:space="preserve"> </w:t>
      </w:r>
      <w:r w:rsidRPr="00D4309F">
        <w:t>weather</w:t>
      </w:r>
      <w:r w:rsidRPr="00D4309F">
        <w:rPr>
          <w:spacing w:val="-2"/>
        </w:rPr>
        <w:t xml:space="preserve"> </w:t>
      </w:r>
      <w:r w:rsidRPr="00D4309F">
        <w:t>conditions</w:t>
      </w:r>
      <w:r w:rsidRPr="00D4309F">
        <w:rPr>
          <w:spacing w:val="-2"/>
        </w:rPr>
        <w:t xml:space="preserve"> </w:t>
      </w:r>
      <w:r w:rsidRPr="00D4309F">
        <w:t>could</w:t>
      </w:r>
      <w:r w:rsidRPr="00D4309F">
        <w:rPr>
          <w:spacing w:val="-3"/>
        </w:rPr>
        <w:t xml:space="preserve"> </w:t>
      </w:r>
      <w:r w:rsidRPr="00D4309F">
        <w:t>be</w:t>
      </w:r>
      <w:r w:rsidRPr="00D4309F">
        <w:rPr>
          <w:spacing w:val="-3"/>
        </w:rPr>
        <w:t xml:space="preserve"> </w:t>
      </w:r>
      <w:r w:rsidRPr="00D4309F">
        <w:t>used</w:t>
      </w:r>
      <w:r w:rsidRPr="00D4309F">
        <w:rPr>
          <w:spacing w:val="-3"/>
        </w:rPr>
        <w:t xml:space="preserve"> </w:t>
      </w:r>
      <w:r w:rsidRPr="00D4309F">
        <w:t>to</w:t>
      </w:r>
      <w:r w:rsidRPr="00D4309F">
        <w:rPr>
          <w:spacing w:val="-3"/>
        </w:rPr>
        <w:t xml:space="preserve"> </w:t>
      </w:r>
      <w:r w:rsidRPr="00D4309F">
        <w:t>check</w:t>
      </w:r>
      <w:r w:rsidRPr="00D4309F">
        <w:rPr>
          <w:spacing w:val="-2"/>
        </w:rPr>
        <w:t xml:space="preserve"> </w:t>
      </w:r>
      <w:r w:rsidRPr="00D4309F">
        <w:t>the</w:t>
      </w:r>
      <w:r w:rsidRPr="00D4309F">
        <w:rPr>
          <w:spacing w:val="-3"/>
        </w:rPr>
        <w:t xml:space="preserve"> </w:t>
      </w:r>
      <w:r w:rsidRPr="00D4309F">
        <w:t>likelihood</w:t>
      </w:r>
      <w:r w:rsidRPr="00D4309F">
        <w:rPr>
          <w:spacing w:val="-3"/>
        </w:rPr>
        <w:t xml:space="preserve"> </w:t>
      </w:r>
      <w:r w:rsidRPr="00D4309F">
        <w:t>of</w:t>
      </w:r>
      <w:r w:rsidRPr="00D4309F">
        <w:rPr>
          <w:spacing w:val="-3"/>
        </w:rPr>
        <w:t xml:space="preserve"> </w:t>
      </w:r>
      <w:r w:rsidRPr="00D4309F">
        <w:t>sand</w:t>
      </w:r>
      <w:r w:rsidRPr="00D4309F">
        <w:rPr>
          <w:spacing w:val="-3"/>
        </w:rPr>
        <w:t xml:space="preserve"> </w:t>
      </w:r>
      <w:r w:rsidRPr="00D4309F">
        <w:t>shoals over the next several months.</w:t>
      </w:r>
    </w:p>
    <w:p w14:paraId="445C2369" w14:textId="77777777" w:rsidR="00725977" w:rsidRDefault="00725977" w:rsidP="00725977">
      <w:pPr>
        <w:pStyle w:val="BodyText"/>
        <w:rPr>
          <w:spacing w:val="-2"/>
        </w:rPr>
      </w:pPr>
      <w:r w:rsidRPr="00D4309F">
        <w:t>While short-term shoal prediction may be possible with modelled weather forecasts and accurate site data, there remains longer-term uncertainty with predictions of shoaling events. Influence of decadal weather cycles or global weather patterns (e.g., El Nino/La Nina) is not</w:t>
      </w:r>
      <w:r w:rsidRPr="00D4309F">
        <w:rPr>
          <w:spacing w:val="-1"/>
        </w:rPr>
        <w:t xml:space="preserve"> </w:t>
      </w:r>
      <w:r w:rsidRPr="00D4309F">
        <w:t>known. Longer term predictive indicators may not</w:t>
      </w:r>
      <w:r w:rsidRPr="00D4309F">
        <w:rPr>
          <w:spacing w:val="-3"/>
        </w:rPr>
        <w:t xml:space="preserve"> </w:t>
      </w:r>
      <w:r w:rsidRPr="00D4309F">
        <w:t>be</w:t>
      </w:r>
      <w:r w:rsidRPr="00D4309F">
        <w:rPr>
          <w:spacing w:val="-3"/>
        </w:rPr>
        <w:t xml:space="preserve"> </w:t>
      </w:r>
      <w:r w:rsidRPr="00D4309F">
        <w:t>available.</w:t>
      </w:r>
      <w:r w:rsidRPr="00D4309F">
        <w:rPr>
          <w:spacing w:val="-3"/>
        </w:rPr>
        <w:t xml:space="preserve"> </w:t>
      </w:r>
      <w:r w:rsidRPr="00D4309F">
        <w:t>Therefore,</w:t>
      </w:r>
      <w:r w:rsidRPr="00D4309F">
        <w:rPr>
          <w:spacing w:val="-3"/>
        </w:rPr>
        <w:t xml:space="preserve"> </w:t>
      </w:r>
      <w:r w:rsidRPr="00D4309F">
        <w:t>proactive</w:t>
      </w:r>
      <w:r w:rsidRPr="00D4309F">
        <w:rPr>
          <w:spacing w:val="-3"/>
        </w:rPr>
        <w:t xml:space="preserve"> </w:t>
      </w:r>
      <w:r w:rsidRPr="00D4309F">
        <w:t>options</w:t>
      </w:r>
      <w:r w:rsidRPr="00D4309F">
        <w:rPr>
          <w:spacing w:val="-2"/>
        </w:rPr>
        <w:t xml:space="preserve"> </w:t>
      </w:r>
      <w:r w:rsidRPr="00D4309F">
        <w:t>to</w:t>
      </w:r>
      <w:r w:rsidRPr="00D4309F">
        <w:rPr>
          <w:spacing w:val="-3"/>
        </w:rPr>
        <w:t xml:space="preserve"> </w:t>
      </w:r>
      <w:r w:rsidRPr="00D4309F">
        <w:t>mitigating</w:t>
      </w:r>
      <w:r w:rsidRPr="00D4309F">
        <w:rPr>
          <w:spacing w:val="-3"/>
        </w:rPr>
        <w:t xml:space="preserve"> </w:t>
      </w:r>
      <w:r w:rsidRPr="00D4309F">
        <w:t>shoal</w:t>
      </w:r>
      <w:r w:rsidRPr="00D4309F">
        <w:rPr>
          <w:spacing w:val="-4"/>
        </w:rPr>
        <w:t xml:space="preserve"> </w:t>
      </w:r>
      <w:r w:rsidRPr="00D4309F">
        <w:t>events</w:t>
      </w:r>
      <w:r w:rsidRPr="00D4309F">
        <w:rPr>
          <w:spacing w:val="-3"/>
        </w:rPr>
        <w:t xml:space="preserve"> </w:t>
      </w:r>
      <w:r w:rsidRPr="00D4309F">
        <w:t>are</w:t>
      </w:r>
      <w:r w:rsidRPr="00D4309F">
        <w:rPr>
          <w:spacing w:val="-3"/>
        </w:rPr>
        <w:t xml:space="preserve"> </w:t>
      </w:r>
      <w:r w:rsidRPr="00D4309F">
        <w:t>recommended</w:t>
      </w:r>
      <w:r w:rsidRPr="00D4309F">
        <w:rPr>
          <w:spacing w:val="-3"/>
        </w:rPr>
        <w:t xml:space="preserve"> </w:t>
      </w:r>
      <w:r w:rsidRPr="00D4309F">
        <w:t>to</w:t>
      </w:r>
      <w:r w:rsidRPr="00D4309F">
        <w:rPr>
          <w:spacing w:val="-3"/>
        </w:rPr>
        <w:t xml:space="preserve"> </w:t>
      </w:r>
      <w:r w:rsidRPr="00D4309F">
        <w:t>account</w:t>
      </w:r>
      <w:r w:rsidRPr="00D4309F">
        <w:rPr>
          <w:spacing w:val="-3"/>
        </w:rPr>
        <w:t xml:space="preserve"> </w:t>
      </w:r>
      <w:r w:rsidRPr="00D4309F">
        <w:t>for</w:t>
      </w:r>
      <w:r w:rsidRPr="00D4309F">
        <w:rPr>
          <w:spacing w:val="-2"/>
        </w:rPr>
        <w:t xml:space="preserve"> </w:t>
      </w:r>
      <w:r w:rsidRPr="00D4309F">
        <w:t xml:space="preserve">this </w:t>
      </w:r>
      <w:r w:rsidRPr="00D4309F">
        <w:rPr>
          <w:spacing w:val="-2"/>
        </w:rPr>
        <w:t>uncertainty.</w:t>
      </w:r>
    </w:p>
    <w:p w14:paraId="49E1AA54" w14:textId="77777777" w:rsidR="00734866" w:rsidRPr="00D4309F" w:rsidRDefault="00734866" w:rsidP="00734866">
      <w:pPr>
        <w:pStyle w:val="BodyText"/>
      </w:pPr>
      <w:r w:rsidRPr="00D4309F">
        <w:t>The</w:t>
      </w:r>
      <w:r w:rsidRPr="00D4309F">
        <w:rPr>
          <w:spacing w:val="-3"/>
        </w:rPr>
        <w:t xml:space="preserve"> </w:t>
      </w:r>
      <w:r w:rsidRPr="00D4309F">
        <w:t>following</w:t>
      </w:r>
      <w:r w:rsidRPr="00D4309F">
        <w:rPr>
          <w:spacing w:val="-4"/>
        </w:rPr>
        <w:t xml:space="preserve"> </w:t>
      </w:r>
      <w:r w:rsidRPr="00D4309F">
        <w:t>are</w:t>
      </w:r>
      <w:r w:rsidRPr="00D4309F">
        <w:rPr>
          <w:spacing w:val="-3"/>
        </w:rPr>
        <w:t xml:space="preserve"> </w:t>
      </w:r>
      <w:r w:rsidRPr="00D4309F">
        <w:t>high-level</w:t>
      </w:r>
      <w:r w:rsidRPr="00D4309F">
        <w:rPr>
          <w:spacing w:val="-3"/>
        </w:rPr>
        <w:t xml:space="preserve"> </w:t>
      </w:r>
      <w:r w:rsidRPr="00D4309F">
        <w:t>coastal,</w:t>
      </w:r>
      <w:r w:rsidRPr="00D4309F">
        <w:rPr>
          <w:spacing w:val="-3"/>
        </w:rPr>
        <w:t xml:space="preserve"> </w:t>
      </w:r>
      <w:r w:rsidRPr="00D4309F">
        <w:t>social,</w:t>
      </w:r>
      <w:r w:rsidRPr="00D4309F">
        <w:rPr>
          <w:spacing w:val="-3"/>
        </w:rPr>
        <w:t xml:space="preserve"> </w:t>
      </w:r>
      <w:r w:rsidRPr="00D4309F">
        <w:t>environmental</w:t>
      </w:r>
      <w:r w:rsidRPr="00D4309F">
        <w:rPr>
          <w:spacing w:val="-3"/>
        </w:rPr>
        <w:t xml:space="preserve"> </w:t>
      </w:r>
      <w:r w:rsidRPr="00D4309F">
        <w:t>and</w:t>
      </w:r>
      <w:r w:rsidRPr="00D4309F">
        <w:rPr>
          <w:spacing w:val="-3"/>
        </w:rPr>
        <w:t xml:space="preserve"> </w:t>
      </w:r>
      <w:r w:rsidRPr="00D4309F">
        <w:t>economic</w:t>
      </w:r>
      <w:r w:rsidRPr="00D4309F">
        <w:rPr>
          <w:spacing w:val="-3"/>
        </w:rPr>
        <w:t xml:space="preserve"> </w:t>
      </w:r>
      <w:r w:rsidRPr="00D4309F">
        <w:t>impacts</w:t>
      </w:r>
      <w:r w:rsidRPr="00D4309F">
        <w:rPr>
          <w:spacing w:val="-2"/>
        </w:rPr>
        <w:t xml:space="preserve"> </w:t>
      </w:r>
      <w:r w:rsidRPr="00D4309F">
        <w:t>caused</w:t>
      </w:r>
      <w:r w:rsidRPr="00D4309F">
        <w:rPr>
          <w:spacing w:val="-3"/>
        </w:rPr>
        <w:t xml:space="preserve"> </w:t>
      </w:r>
      <w:r w:rsidRPr="00D4309F">
        <w:t>by</w:t>
      </w:r>
      <w:r w:rsidRPr="00D4309F">
        <w:rPr>
          <w:spacing w:val="-2"/>
        </w:rPr>
        <w:t xml:space="preserve"> </w:t>
      </w:r>
      <w:r w:rsidRPr="00D4309F">
        <w:t>the</w:t>
      </w:r>
      <w:r w:rsidRPr="00D4309F">
        <w:rPr>
          <w:spacing w:val="-3"/>
        </w:rPr>
        <w:t xml:space="preserve"> </w:t>
      </w:r>
      <w:r w:rsidRPr="00D4309F">
        <w:t>presence</w:t>
      </w:r>
      <w:r w:rsidRPr="00D4309F">
        <w:rPr>
          <w:spacing w:val="-3"/>
        </w:rPr>
        <w:t xml:space="preserve"> </w:t>
      </w:r>
      <w:r w:rsidRPr="00D4309F">
        <w:t>of sand shoal events.</w:t>
      </w:r>
    </w:p>
    <w:p w14:paraId="041D377D" w14:textId="07FF7FBF" w:rsidR="00725977" w:rsidRDefault="00725977" w:rsidP="00734866">
      <w:pPr>
        <w:pStyle w:val="BodyText"/>
        <w:pageBreakBefore/>
        <w:jc w:val="center"/>
      </w:pPr>
      <w:r w:rsidRPr="00D4309F">
        <w:rPr>
          <w:noProof/>
        </w:rPr>
        <w:lastRenderedPageBreak/>
        <w:drawing>
          <wp:inline distT="0" distB="0" distL="0" distR="0" wp14:anchorId="651BCBD1" wp14:editId="5723BF69">
            <wp:extent cx="4458640" cy="2573274"/>
            <wp:effectExtent l="0" t="0" r="0" b="0"/>
            <wp:docPr id="1993732068" name="Image 25" descr="This is a line graph that shows the historical sand shoaling indicator results between 1997 and 2025.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3732068" name="Image 25" descr="This is a line graph that shows the historical sand shoaling indicator results between 1997 and 2025. "/>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458640" cy="2573274"/>
                    </a:xfrm>
                    <a:prstGeom prst="rect">
                      <a:avLst/>
                    </a:prstGeom>
                  </pic:spPr>
                </pic:pic>
              </a:graphicData>
            </a:graphic>
          </wp:inline>
        </w:drawing>
      </w:r>
    </w:p>
    <w:p w14:paraId="0796FF28" w14:textId="34ED298C" w:rsidR="00734866" w:rsidRDefault="00734866" w:rsidP="00734866">
      <w:pPr>
        <w:pStyle w:val="Caption"/>
        <w:jc w:val="center"/>
        <w:rPr>
          <w:spacing w:val="-4"/>
        </w:rPr>
      </w:pPr>
      <w:bookmarkStart w:id="35" w:name="_Toc216699593"/>
      <w:r>
        <w:t xml:space="preserve">Figure </w:t>
      </w:r>
      <w:r w:rsidR="00B538D4">
        <w:fldChar w:fldCharType="begin" w:fldLock="1"/>
      </w:r>
      <w:r w:rsidR="00B538D4">
        <w:instrText xml:space="preserve"> STYLEREF 1 \s </w:instrText>
      </w:r>
      <w:r w:rsidR="00B538D4">
        <w:fldChar w:fldCharType="separate"/>
      </w:r>
      <w:r w:rsidR="00B538D4">
        <w:rPr>
          <w:noProof/>
        </w:rPr>
        <w:t>4</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3</w:t>
      </w:r>
      <w:r w:rsidR="00B538D4">
        <w:fldChar w:fldCharType="end"/>
      </w:r>
      <w:r>
        <w:t>:</w:t>
      </w:r>
      <w:r>
        <w:tab/>
      </w:r>
      <w:r w:rsidRPr="00D4309F">
        <w:t>Historical</w:t>
      </w:r>
      <w:r w:rsidRPr="00D4309F">
        <w:rPr>
          <w:spacing w:val="-3"/>
        </w:rPr>
        <w:t xml:space="preserve"> </w:t>
      </w:r>
      <w:r w:rsidRPr="00D4309F">
        <w:t>sand</w:t>
      </w:r>
      <w:r w:rsidRPr="00D4309F">
        <w:rPr>
          <w:spacing w:val="-3"/>
        </w:rPr>
        <w:t xml:space="preserve"> </w:t>
      </w:r>
      <w:r w:rsidRPr="00D4309F">
        <w:t>shoaling</w:t>
      </w:r>
      <w:r w:rsidRPr="00D4309F">
        <w:rPr>
          <w:spacing w:val="-4"/>
        </w:rPr>
        <w:t xml:space="preserve"> </w:t>
      </w:r>
      <w:r w:rsidRPr="00D4309F">
        <w:t>indicator</w:t>
      </w:r>
      <w:r w:rsidRPr="00D4309F">
        <w:rPr>
          <w:spacing w:val="-3"/>
        </w:rPr>
        <w:t xml:space="preserve"> </w:t>
      </w:r>
      <w:r w:rsidRPr="00D4309F">
        <w:t>results</w:t>
      </w:r>
      <w:r w:rsidRPr="00D4309F">
        <w:rPr>
          <w:spacing w:val="-2"/>
        </w:rPr>
        <w:t xml:space="preserve"> </w:t>
      </w:r>
      <w:r w:rsidRPr="00D4309F">
        <w:t>between</w:t>
      </w:r>
      <w:r w:rsidRPr="00D4309F">
        <w:rPr>
          <w:spacing w:val="-3"/>
        </w:rPr>
        <w:t xml:space="preserve"> </w:t>
      </w:r>
      <w:r w:rsidRPr="00D4309F">
        <w:t>1997</w:t>
      </w:r>
      <w:r w:rsidRPr="00D4309F">
        <w:rPr>
          <w:spacing w:val="-2"/>
        </w:rPr>
        <w:t xml:space="preserve"> </w:t>
      </w:r>
      <w:r w:rsidRPr="00D4309F">
        <w:t>and</w:t>
      </w:r>
      <w:r w:rsidRPr="00D4309F">
        <w:rPr>
          <w:spacing w:val="-2"/>
        </w:rPr>
        <w:t xml:space="preserve"> </w:t>
      </w:r>
      <w:r w:rsidRPr="00D4309F">
        <w:rPr>
          <w:spacing w:val="-4"/>
        </w:rPr>
        <w:t>2025</w:t>
      </w:r>
      <w:bookmarkEnd w:id="35"/>
    </w:p>
    <w:p w14:paraId="0B943303" w14:textId="77777777" w:rsidR="00F06E88" w:rsidRPr="00F06E88" w:rsidRDefault="00F06E88" w:rsidP="00F06E88">
      <w:pPr>
        <w:pStyle w:val="BodyText"/>
      </w:pPr>
    </w:p>
    <w:p w14:paraId="6D2CF55A" w14:textId="77777777" w:rsidR="00725977" w:rsidRPr="00D4309F" w:rsidRDefault="00725977" w:rsidP="00725977">
      <w:pPr>
        <w:pStyle w:val="Heading4"/>
      </w:pPr>
      <w:bookmarkStart w:id="36" w:name="_bookmark11"/>
      <w:bookmarkEnd w:id="36"/>
      <w:r w:rsidRPr="00D4309F">
        <w:t>Coastal</w:t>
      </w:r>
      <w:r w:rsidRPr="00D4309F">
        <w:rPr>
          <w:spacing w:val="-4"/>
        </w:rPr>
        <w:t xml:space="preserve"> </w:t>
      </w:r>
      <w:r w:rsidRPr="00D4309F">
        <w:rPr>
          <w:spacing w:val="-2"/>
        </w:rPr>
        <w:t>impacts</w:t>
      </w:r>
    </w:p>
    <w:p w14:paraId="70CD67DE" w14:textId="77777777" w:rsidR="00725977" w:rsidRPr="00D4309F" w:rsidRDefault="00725977" w:rsidP="00725977">
      <w:pPr>
        <w:pStyle w:val="BodyText"/>
      </w:pPr>
      <w:r w:rsidRPr="00D4309F">
        <w:t>Coastal</w:t>
      </w:r>
      <w:r w:rsidRPr="00D4309F">
        <w:rPr>
          <w:spacing w:val="-2"/>
        </w:rPr>
        <w:t xml:space="preserve"> </w:t>
      </w:r>
      <w:r w:rsidRPr="00D4309F">
        <w:t>processes</w:t>
      </w:r>
      <w:r w:rsidRPr="00D4309F">
        <w:rPr>
          <w:spacing w:val="-1"/>
        </w:rPr>
        <w:t xml:space="preserve"> </w:t>
      </w:r>
      <w:r w:rsidRPr="00D4309F">
        <w:t>at</w:t>
      </w:r>
      <w:r w:rsidRPr="00D4309F">
        <w:rPr>
          <w:spacing w:val="-2"/>
        </w:rPr>
        <w:t xml:space="preserve"> </w:t>
      </w:r>
      <w:r w:rsidRPr="00D4309F">
        <w:t>the</w:t>
      </w:r>
      <w:r w:rsidRPr="00D4309F">
        <w:rPr>
          <w:spacing w:val="-2"/>
        </w:rPr>
        <w:t xml:space="preserve"> </w:t>
      </w:r>
      <w:r w:rsidRPr="00D4309F">
        <w:t>entrance</w:t>
      </w:r>
      <w:r w:rsidRPr="00D4309F">
        <w:rPr>
          <w:spacing w:val="-2"/>
        </w:rPr>
        <w:t xml:space="preserve"> </w:t>
      </w:r>
      <w:r w:rsidRPr="00D4309F">
        <w:t>and</w:t>
      </w:r>
      <w:r w:rsidRPr="00D4309F">
        <w:rPr>
          <w:spacing w:val="-3"/>
        </w:rPr>
        <w:t xml:space="preserve"> </w:t>
      </w:r>
      <w:r w:rsidRPr="00D4309F">
        <w:t>around</w:t>
      </w:r>
      <w:r w:rsidRPr="00D4309F">
        <w:rPr>
          <w:spacing w:val="-2"/>
        </w:rPr>
        <w:t xml:space="preserve"> </w:t>
      </w:r>
      <w:r w:rsidRPr="00D4309F">
        <w:t>the</w:t>
      </w:r>
      <w:r w:rsidRPr="00D4309F">
        <w:rPr>
          <w:spacing w:val="-2"/>
        </w:rPr>
        <w:t xml:space="preserve"> </w:t>
      </w:r>
      <w:r w:rsidRPr="00D4309F">
        <w:t>shoaling</w:t>
      </w:r>
      <w:r w:rsidRPr="00D4309F">
        <w:rPr>
          <w:spacing w:val="-2"/>
        </w:rPr>
        <w:t xml:space="preserve"> </w:t>
      </w:r>
      <w:r w:rsidRPr="00D4309F">
        <w:t>events</w:t>
      </w:r>
      <w:r w:rsidRPr="00D4309F">
        <w:rPr>
          <w:spacing w:val="-2"/>
        </w:rPr>
        <w:t xml:space="preserve"> </w:t>
      </w:r>
      <w:r w:rsidRPr="00D4309F">
        <w:t>is</w:t>
      </w:r>
      <w:r w:rsidRPr="00D4309F">
        <w:rPr>
          <w:spacing w:val="-1"/>
        </w:rPr>
        <w:t xml:space="preserve"> </w:t>
      </w:r>
      <w:r w:rsidRPr="00D4309F">
        <w:t>complex</w:t>
      </w:r>
      <w:r w:rsidRPr="00D4309F">
        <w:rPr>
          <w:spacing w:val="-1"/>
        </w:rPr>
        <w:t xml:space="preserve"> </w:t>
      </w:r>
      <w:r w:rsidRPr="00D4309F">
        <w:t>and</w:t>
      </w:r>
      <w:r w:rsidRPr="00D4309F">
        <w:rPr>
          <w:spacing w:val="-2"/>
        </w:rPr>
        <w:t xml:space="preserve"> </w:t>
      </w:r>
      <w:r w:rsidRPr="00D4309F">
        <w:t>affected</w:t>
      </w:r>
      <w:r w:rsidRPr="00D4309F">
        <w:rPr>
          <w:spacing w:val="-2"/>
        </w:rPr>
        <w:t xml:space="preserve"> </w:t>
      </w:r>
      <w:r w:rsidRPr="00D4309F">
        <w:t>by</w:t>
      </w:r>
      <w:r w:rsidRPr="00D4309F">
        <w:rPr>
          <w:spacing w:val="-1"/>
        </w:rPr>
        <w:t xml:space="preserve"> </w:t>
      </w:r>
      <w:r w:rsidRPr="00D4309F">
        <w:t>a</w:t>
      </w:r>
      <w:r w:rsidRPr="00D4309F">
        <w:rPr>
          <w:spacing w:val="-2"/>
        </w:rPr>
        <w:t xml:space="preserve"> </w:t>
      </w:r>
      <w:r w:rsidRPr="00D4309F">
        <w:t>range</w:t>
      </w:r>
      <w:r w:rsidRPr="00D4309F">
        <w:rPr>
          <w:spacing w:val="-2"/>
        </w:rPr>
        <w:t xml:space="preserve"> </w:t>
      </w:r>
      <w:r w:rsidRPr="00D4309F">
        <w:t xml:space="preserve">of dynamic weather and site conditions. However, the following high-level coastal impacts appear to be </w:t>
      </w:r>
      <w:r w:rsidRPr="00D4309F">
        <w:rPr>
          <w:spacing w:val="-2"/>
        </w:rPr>
        <w:t>occurring:</w:t>
      </w:r>
    </w:p>
    <w:p w14:paraId="13169854" w14:textId="00ABD2B9" w:rsidR="00725977" w:rsidRPr="00D4309F" w:rsidRDefault="00725977" w:rsidP="00CB0B13">
      <w:pPr>
        <w:pStyle w:val="ListBullet"/>
      </w:pPr>
      <w:r w:rsidRPr="00D4309F">
        <w:t>Increased</w:t>
      </w:r>
      <w:r w:rsidRPr="00D4309F">
        <w:rPr>
          <w:spacing w:val="-2"/>
        </w:rPr>
        <w:t xml:space="preserve"> </w:t>
      </w:r>
      <w:r w:rsidRPr="00D4309F">
        <w:t>wave</w:t>
      </w:r>
      <w:r w:rsidRPr="00D4309F">
        <w:rPr>
          <w:spacing w:val="-2"/>
        </w:rPr>
        <w:t xml:space="preserve"> </w:t>
      </w:r>
      <w:r w:rsidRPr="00D4309F">
        <w:t>height</w:t>
      </w:r>
      <w:r w:rsidRPr="00D4309F">
        <w:rPr>
          <w:spacing w:val="-2"/>
        </w:rPr>
        <w:t xml:space="preserve"> </w:t>
      </w:r>
      <w:r w:rsidRPr="00D4309F">
        <w:t>and</w:t>
      </w:r>
      <w:r w:rsidRPr="00D4309F">
        <w:rPr>
          <w:spacing w:val="-3"/>
        </w:rPr>
        <w:t xml:space="preserve"> </w:t>
      </w:r>
      <w:r w:rsidRPr="00D4309F">
        <w:t>steepness</w:t>
      </w:r>
      <w:r w:rsidRPr="00D4309F">
        <w:rPr>
          <w:spacing w:val="-1"/>
        </w:rPr>
        <w:t xml:space="preserve"> </w:t>
      </w:r>
      <w:r w:rsidRPr="00D4309F">
        <w:t>over</w:t>
      </w:r>
      <w:r w:rsidRPr="00D4309F">
        <w:rPr>
          <w:spacing w:val="-1"/>
        </w:rPr>
        <w:t xml:space="preserve"> </w:t>
      </w:r>
      <w:r w:rsidRPr="00D4309F">
        <w:t>the</w:t>
      </w:r>
      <w:r w:rsidRPr="00D4309F">
        <w:rPr>
          <w:spacing w:val="-3"/>
        </w:rPr>
        <w:t xml:space="preserve"> </w:t>
      </w:r>
      <w:r w:rsidRPr="00D4309F">
        <w:t>accumulation</w:t>
      </w:r>
      <w:r w:rsidRPr="00D4309F">
        <w:rPr>
          <w:spacing w:val="-2"/>
        </w:rPr>
        <w:t xml:space="preserve"> </w:t>
      </w:r>
      <w:r w:rsidRPr="00D4309F">
        <w:t>of</w:t>
      </w:r>
      <w:r w:rsidRPr="00D4309F">
        <w:rPr>
          <w:spacing w:val="-2"/>
        </w:rPr>
        <w:t xml:space="preserve"> </w:t>
      </w:r>
      <w:r w:rsidRPr="00D4309F">
        <w:t>sand,</w:t>
      </w:r>
      <w:r w:rsidRPr="00D4309F">
        <w:rPr>
          <w:spacing w:val="-2"/>
        </w:rPr>
        <w:t xml:space="preserve"> </w:t>
      </w:r>
      <w:r w:rsidRPr="00D4309F">
        <w:t>due</w:t>
      </w:r>
      <w:r w:rsidRPr="00D4309F">
        <w:rPr>
          <w:spacing w:val="-2"/>
        </w:rPr>
        <w:t xml:space="preserve"> </w:t>
      </w:r>
      <w:r w:rsidRPr="00D4309F">
        <w:t>to</w:t>
      </w:r>
      <w:r w:rsidRPr="00D4309F">
        <w:rPr>
          <w:spacing w:val="-2"/>
        </w:rPr>
        <w:t xml:space="preserve"> </w:t>
      </w:r>
      <w:r w:rsidRPr="00D4309F">
        <w:t>wave</w:t>
      </w:r>
      <w:r w:rsidRPr="00D4309F">
        <w:rPr>
          <w:spacing w:val="-3"/>
        </w:rPr>
        <w:t xml:space="preserve"> </w:t>
      </w:r>
      <w:r w:rsidRPr="00D4309F">
        <w:t>shoaling,</w:t>
      </w:r>
      <w:r w:rsidRPr="00D4309F">
        <w:rPr>
          <w:spacing w:val="-4"/>
        </w:rPr>
        <w:t xml:space="preserve"> </w:t>
      </w:r>
      <w:r w:rsidRPr="00D4309F">
        <w:t>as</w:t>
      </w:r>
      <w:r w:rsidRPr="00D4309F">
        <w:rPr>
          <w:spacing w:val="-1"/>
        </w:rPr>
        <w:t xml:space="preserve"> </w:t>
      </w:r>
      <w:r w:rsidRPr="00D4309F">
        <w:t>shown</w:t>
      </w:r>
      <w:r w:rsidRPr="00D4309F">
        <w:rPr>
          <w:spacing w:val="-2"/>
        </w:rPr>
        <w:t xml:space="preserve"> </w:t>
      </w:r>
      <w:r w:rsidRPr="00D4309F">
        <w:t xml:space="preserve">in </w:t>
      </w:r>
      <w:hyperlink w:anchor="_bookmark13" w:history="1">
        <w:r w:rsidRPr="00D4309F">
          <w:t>Figure 4-4.</w:t>
        </w:r>
      </w:hyperlink>
      <w:r w:rsidRPr="00D4309F">
        <w:t xml:space="preserve"> This effect results in more hazardous marine conditions at the entrance.</w:t>
      </w:r>
    </w:p>
    <w:p w14:paraId="64DE788C" w14:textId="77777777" w:rsidR="00725977" w:rsidRPr="00D4309F" w:rsidRDefault="00725977" w:rsidP="00CB0B13">
      <w:pPr>
        <w:pStyle w:val="ListBullet"/>
      </w:pPr>
      <w:r w:rsidRPr="00D4309F">
        <w:t>Wave</w:t>
      </w:r>
      <w:r w:rsidRPr="00D4309F">
        <w:rPr>
          <w:spacing w:val="-2"/>
        </w:rPr>
        <w:t xml:space="preserve"> </w:t>
      </w:r>
      <w:r w:rsidRPr="00D4309F">
        <w:t>refraction</w:t>
      </w:r>
      <w:r w:rsidRPr="00D4309F">
        <w:rPr>
          <w:spacing w:val="-3"/>
        </w:rPr>
        <w:t xml:space="preserve"> </w:t>
      </w:r>
      <w:r w:rsidRPr="00D4309F">
        <w:t>and</w:t>
      </w:r>
      <w:r w:rsidRPr="00D4309F">
        <w:rPr>
          <w:spacing w:val="-2"/>
        </w:rPr>
        <w:t xml:space="preserve"> </w:t>
      </w:r>
      <w:r w:rsidRPr="00D4309F">
        <w:t>impacts</w:t>
      </w:r>
      <w:r w:rsidRPr="00D4309F">
        <w:rPr>
          <w:spacing w:val="-2"/>
        </w:rPr>
        <w:t xml:space="preserve"> </w:t>
      </w:r>
      <w:r w:rsidRPr="00D4309F">
        <w:t>to</w:t>
      </w:r>
      <w:r w:rsidRPr="00D4309F">
        <w:rPr>
          <w:spacing w:val="-2"/>
        </w:rPr>
        <w:t xml:space="preserve"> </w:t>
      </w:r>
      <w:r w:rsidRPr="00D4309F">
        <w:t>the</w:t>
      </w:r>
      <w:r w:rsidRPr="00D4309F">
        <w:rPr>
          <w:spacing w:val="-3"/>
        </w:rPr>
        <w:t xml:space="preserve"> </w:t>
      </w:r>
      <w:r w:rsidRPr="00D4309F">
        <w:t>wave</w:t>
      </w:r>
      <w:r w:rsidRPr="00D4309F">
        <w:rPr>
          <w:spacing w:val="-2"/>
        </w:rPr>
        <w:t xml:space="preserve"> </w:t>
      </w:r>
      <w:r w:rsidRPr="00D4309F">
        <w:t>field</w:t>
      </w:r>
      <w:r w:rsidRPr="00D4309F">
        <w:rPr>
          <w:spacing w:val="-3"/>
        </w:rPr>
        <w:t xml:space="preserve"> </w:t>
      </w:r>
      <w:r w:rsidRPr="00D4309F">
        <w:t>caused</w:t>
      </w:r>
      <w:r w:rsidRPr="00D4309F">
        <w:rPr>
          <w:spacing w:val="-2"/>
        </w:rPr>
        <w:t xml:space="preserve"> </w:t>
      </w:r>
      <w:r w:rsidRPr="00D4309F">
        <w:t>by</w:t>
      </w:r>
      <w:r w:rsidRPr="00D4309F">
        <w:rPr>
          <w:spacing w:val="-2"/>
        </w:rPr>
        <w:t xml:space="preserve"> </w:t>
      </w:r>
      <w:r w:rsidRPr="00D4309F">
        <w:t>wave</w:t>
      </w:r>
      <w:r w:rsidRPr="00D4309F">
        <w:rPr>
          <w:spacing w:val="-2"/>
        </w:rPr>
        <w:t xml:space="preserve"> </w:t>
      </w:r>
      <w:r w:rsidRPr="00D4309F">
        <w:t>breaking</w:t>
      </w:r>
      <w:r w:rsidRPr="00D4309F">
        <w:rPr>
          <w:spacing w:val="-3"/>
        </w:rPr>
        <w:t xml:space="preserve"> </w:t>
      </w:r>
      <w:r w:rsidRPr="00D4309F">
        <w:t>and</w:t>
      </w:r>
      <w:r w:rsidRPr="00D4309F">
        <w:rPr>
          <w:spacing w:val="-2"/>
        </w:rPr>
        <w:t xml:space="preserve"> </w:t>
      </w:r>
      <w:r w:rsidRPr="00D4309F">
        <w:t>shoaling</w:t>
      </w:r>
      <w:r w:rsidRPr="00D4309F">
        <w:rPr>
          <w:spacing w:val="-3"/>
        </w:rPr>
        <w:t xml:space="preserve"> </w:t>
      </w:r>
      <w:r w:rsidRPr="00D4309F">
        <w:t>can</w:t>
      </w:r>
      <w:r w:rsidRPr="00D4309F">
        <w:rPr>
          <w:spacing w:val="-3"/>
        </w:rPr>
        <w:t xml:space="preserve"> </w:t>
      </w:r>
      <w:r w:rsidRPr="00D4309F">
        <w:t>also</w:t>
      </w:r>
      <w:r w:rsidRPr="00D4309F">
        <w:rPr>
          <w:spacing w:val="-2"/>
        </w:rPr>
        <w:t xml:space="preserve"> </w:t>
      </w:r>
      <w:r w:rsidRPr="00D4309F">
        <w:t>contribute to more challenging navigation conditions at the entrance.</w:t>
      </w:r>
    </w:p>
    <w:p w14:paraId="45C38F3E" w14:textId="77777777" w:rsidR="00725977" w:rsidRDefault="00725977" w:rsidP="00CB0B13">
      <w:pPr>
        <w:pStyle w:val="ListBullet"/>
      </w:pPr>
      <w:r w:rsidRPr="00D4309F">
        <w:t>Evidence</w:t>
      </w:r>
      <w:r w:rsidRPr="00D4309F">
        <w:rPr>
          <w:spacing w:val="-2"/>
        </w:rPr>
        <w:t xml:space="preserve"> </w:t>
      </w:r>
      <w:r w:rsidRPr="00D4309F">
        <w:t>of</w:t>
      </w:r>
      <w:r w:rsidRPr="00D4309F">
        <w:rPr>
          <w:spacing w:val="-2"/>
        </w:rPr>
        <w:t xml:space="preserve"> </w:t>
      </w:r>
      <w:r w:rsidRPr="00D4309F">
        <w:t>redirection</w:t>
      </w:r>
      <w:r w:rsidRPr="00D4309F">
        <w:rPr>
          <w:spacing w:val="-2"/>
        </w:rPr>
        <w:t xml:space="preserve"> </w:t>
      </w:r>
      <w:r w:rsidRPr="00D4309F">
        <w:t>of</w:t>
      </w:r>
      <w:r w:rsidRPr="00D4309F">
        <w:rPr>
          <w:spacing w:val="-2"/>
        </w:rPr>
        <w:t xml:space="preserve"> </w:t>
      </w:r>
      <w:r w:rsidRPr="00D4309F">
        <w:t>tidal</w:t>
      </w:r>
      <w:r w:rsidRPr="00D4309F">
        <w:rPr>
          <w:spacing w:val="-2"/>
        </w:rPr>
        <w:t xml:space="preserve"> </w:t>
      </w:r>
      <w:r w:rsidRPr="00D4309F">
        <w:t>ebb</w:t>
      </w:r>
      <w:r w:rsidRPr="00D4309F">
        <w:rPr>
          <w:spacing w:val="-2"/>
        </w:rPr>
        <w:t xml:space="preserve"> </w:t>
      </w:r>
      <w:r w:rsidRPr="00D4309F">
        <w:t>and</w:t>
      </w:r>
      <w:r w:rsidRPr="00D4309F">
        <w:rPr>
          <w:spacing w:val="-2"/>
        </w:rPr>
        <w:t xml:space="preserve"> </w:t>
      </w:r>
      <w:r w:rsidRPr="00D4309F">
        <w:t>flood</w:t>
      </w:r>
      <w:r w:rsidRPr="00D4309F">
        <w:rPr>
          <w:spacing w:val="-2"/>
        </w:rPr>
        <w:t xml:space="preserve"> </w:t>
      </w:r>
      <w:r w:rsidRPr="00D4309F">
        <w:t>flows</w:t>
      </w:r>
      <w:r w:rsidRPr="00D4309F">
        <w:rPr>
          <w:spacing w:val="-1"/>
        </w:rPr>
        <w:t xml:space="preserve"> </w:t>
      </w:r>
      <w:r w:rsidRPr="00D4309F">
        <w:t>at</w:t>
      </w:r>
      <w:r w:rsidRPr="00D4309F">
        <w:rPr>
          <w:spacing w:val="-2"/>
        </w:rPr>
        <w:t xml:space="preserve"> </w:t>
      </w:r>
      <w:r w:rsidRPr="00D4309F">
        <w:t>the</w:t>
      </w:r>
      <w:r w:rsidRPr="00D4309F">
        <w:rPr>
          <w:spacing w:val="-2"/>
        </w:rPr>
        <w:t xml:space="preserve"> </w:t>
      </w:r>
      <w:r w:rsidRPr="00D4309F">
        <w:t>entrance</w:t>
      </w:r>
      <w:r w:rsidRPr="00D4309F">
        <w:rPr>
          <w:spacing w:val="-2"/>
        </w:rPr>
        <w:t xml:space="preserve"> </w:t>
      </w:r>
      <w:r w:rsidRPr="00D4309F">
        <w:t>as</w:t>
      </w:r>
      <w:r w:rsidRPr="00D4309F">
        <w:rPr>
          <w:spacing w:val="-1"/>
        </w:rPr>
        <w:t xml:space="preserve"> </w:t>
      </w:r>
      <w:r w:rsidRPr="00D4309F">
        <w:t>the</w:t>
      </w:r>
      <w:r w:rsidRPr="00D4309F">
        <w:rPr>
          <w:spacing w:val="-2"/>
        </w:rPr>
        <w:t xml:space="preserve"> </w:t>
      </w:r>
      <w:r w:rsidRPr="00D4309F">
        <w:t>shoal</w:t>
      </w:r>
      <w:r w:rsidRPr="00D4309F">
        <w:rPr>
          <w:spacing w:val="-2"/>
        </w:rPr>
        <w:t xml:space="preserve"> </w:t>
      </w:r>
      <w:r w:rsidRPr="00D4309F">
        <w:t>forms</w:t>
      </w:r>
      <w:r w:rsidRPr="00D4309F">
        <w:rPr>
          <w:spacing w:val="-1"/>
        </w:rPr>
        <w:t xml:space="preserve"> </w:t>
      </w:r>
      <w:r w:rsidRPr="00D4309F">
        <w:t>from</w:t>
      </w:r>
      <w:r w:rsidRPr="00D4309F">
        <w:rPr>
          <w:spacing w:val="-2"/>
        </w:rPr>
        <w:t xml:space="preserve"> </w:t>
      </w:r>
      <w:r w:rsidRPr="00D4309F">
        <w:t>the</w:t>
      </w:r>
      <w:r w:rsidRPr="00D4309F">
        <w:rPr>
          <w:spacing w:val="-2"/>
        </w:rPr>
        <w:t xml:space="preserve"> </w:t>
      </w:r>
      <w:r w:rsidRPr="00D4309F">
        <w:t>east towards the west, typically directing the tidal channel to a more westward direction.</w:t>
      </w:r>
    </w:p>
    <w:p w14:paraId="2DACE5B0" w14:textId="77777777" w:rsidR="00734866" w:rsidRDefault="00734866" w:rsidP="00734866">
      <w:pPr>
        <w:pStyle w:val="BodyText"/>
      </w:pPr>
    </w:p>
    <w:p w14:paraId="6DE624DA" w14:textId="6E838C4A" w:rsidR="00725977" w:rsidRDefault="00725977" w:rsidP="00734866">
      <w:pPr>
        <w:pStyle w:val="BodyText"/>
        <w:jc w:val="center"/>
        <w:rPr>
          <w:b/>
          <w:sz w:val="18"/>
        </w:rPr>
      </w:pPr>
      <w:r w:rsidRPr="00D4309F">
        <w:rPr>
          <w:noProof/>
        </w:rPr>
        <w:drawing>
          <wp:inline distT="0" distB="0" distL="0" distR="0" wp14:anchorId="67DE5521" wp14:editId="00458F3D">
            <wp:extent cx="4893961" cy="2686716"/>
            <wp:effectExtent l="0" t="0" r="1905" b="0"/>
            <wp:docPr id="105721629" name="Image 26" descr="Image is a photograph from the breakwater at the Mooloolaba Boat Harbour Entrance, looking towards the end of the breakwater to show an example of waves shoaling and breaking during a sand shoal event at the entranc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721629" name="Image 26" descr="Image is a photograph from the breakwater at the Mooloolaba Boat Harbour Entrance, looking towards the end of the breakwater to show an example of waves shoaling and breaking during a sand shoal event at the entrance. "/>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893961" cy="2686716"/>
                    </a:xfrm>
                    <a:prstGeom prst="rect">
                      <a:avLst/>
                    </a:prstGeom>
                  </pic:spPr>
                </pic:pic>
              </a:graphicData>
            </a:graphic>
          </wp:inline>
        </w:drawing>
      </w:r>
      <w:bookmarkStart w:id="37" w:name="_bookmark13"/>
      <w:bookmarkEnd w:id="37"/>
    </w:p>
    <w:p w14:paraId="15184EDC" w14:textId="1A425510" w:rsidR="00734866" w:rsidRPr="002405BF" w:rsidRDefault="00734866" w:rsidP="00734866">
      <w:pPr>
        <w:pStyle w:val="Caption"/>
        <w:jc w:val="center"/>
        <w:rPr>
          <w:noProof/>
          <w:color w:val="221E1F"/>
          <w:sz w:val="20"/>
        </w:rPr>
      </w:pPr>
      <w:bookmarkStart w:id="38" w:name="_Toc216699594"/>
      <w:r>
        <w:t xml:space="preserve">Figure </w:t>
      </w:r>
      <w:r w:rsidR="00B538D4">
        <w:fldChar w:fldCharType="begin" w:fldLock="1"/>
      </w:r>
      <w:r w:rsidR="00B538D4">
        <w:instrText xml:space="preserve"> STYLEREF 1 \s </w:instrText>
      </w:r>
      <w:r w:rsidR="00B538D4">
        <w:fldChar w:fldCharType="separate"/>
      </w:r>
      <w:r w:rsidR="00B538D4">
        <w:rPr>
          <w:noProof/>
        </w:rPr>
        <w:t>4</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4</w:t>
      </w:r>
      <w:r w:rsidR="00B538D4">
        <w:fldChar w:fldCharType="end"/>
      </w:r>
      <w:r>
        <w:t>:</w:t>
      </w:r>
      <w:r>
        <w:tab/>
      </w:r>
      <w:r w:rsidRPr="00D4309F">
        <w:rPr>
          <w:color w:val="211E1F"/>
        </w:rPr>
        <w:t>Example</w:t>
      </w:r>
      <w:r w:rsidRPr="00D4309F">
        <w:rPr>
          <w:color w:val="211E1F"/>
          <w:spacing w:val="-5"/>
        </w:rPr>
        <w:t xml:space="preserve"> </w:t>
      </w:r>
      <w:r w:rsidRPr="00D4309F">
        <w:rPr>
          <w:color w:val="211E1F"/>
        </w:rPr>
        <w:t>of</w:t>
      </w:r>
      <w:r w:rsidRPr="00D4309F">
        <w:rPr>
          <w:color w:val="211E1F"/>
          <w:spacing w:val="-2"/>
        </w:rPr>
        <w:t xml:space="preserve"> </w:t>
      </w:r>
      <w:r w:rsidRPr="00D4309F">
        <w:rPr>
          <w:color w:val="211E1F"/>
        </w:rPr>
        <w:t>waves</w:t>
      </w:r>
      <w:r w:rsidRPr="00D4309F">
        <w:rPr>
          <w:color w:val="211E1F"/>
          <w:spacing w:val="-3"/>
        </w:rPr>
        <w:t xml:space="preserve"> </w:t>
      </w:r>
      <w:r w:rsidRPr="00D4309F">
        <w:rPr>
          <w:color w:val="211E1F"/>
        </w:rPr>
        <w:t>shoaling</w:t>
      </w:r>
      <w:r w:rsidRPr="00D4309F">
        <w:rPr>
          <w:color w:val="211E1F"/>
          <w:spacing w:val="-2"/>
        </w:rPr>
        <w:t xml:space="preserve"> </w:t>
      </w:r>
      <w:r w:rsidRPr="00D4309F">
        <w:rPr>
          <w:color w:val="211E1F"/>
        </w:rPr>
        <w:t>and</w:t>
      </w:r>
      <w:r w:rsidRPr="00D4309F">
        <w:rPr>
          <w:color w:val="211E1F"/>
          <w:spacing w:val="-2"/>
        </w:rPr>
        <w:t xml:space="preserve"> </w:t>
      </w:r>
      <w:r w:rsidRPr="00D4309F">
        <w:rPr>
          <w:color w:val="211E1F"/>
        </w:rPr>
        <w:t>breaking</w:t>
      </w:r>
      <w:r w:rsidRPr="00D4309F">
        <w:rPr>
          <w:color w:val="211E1F"/>
          <w:spacing w:val="-3"/>
        </w:rPr>
        <w:t xml:space="preserve"> </w:t>
      </w:r>
      <w:r w:rsidRPr="00D4309F">
        <w:rPr>
          <w:color w:val="211E1F"/>
        </w:rPr>
        <w:t>during</w:t>
      </w:r>
      <w:r w:rsidRPr="00D4309F">
        <w:rPr>
          <w:color w:val="211E1F"/>
          <w:spacing w:val="-2"/>
        </w:rPr>
        <w:t xml:space="preserve"> </w:t>
      </w:r>
      <w:r w:rsidRPr="00D4309F">
        <w:rPr>
          <w:color w:val="211E1F"/>
        </w:rPr>
        <w:t>a</w:t>
      </w:r>
      <w:r w:rsidRPr="00D4309F">
        <w:rPr>
          <w:color w:val="211E1F"/>
          <w:spacing w:val="-3"/>
        </w:rPr>
        <w:t xml:space="preserve"> </w:t>
      </w:r>
      <w:r w:rsidRPr="00D4309F">
        <w:rPr>
          <w:color w:val="211E1F"/>
        </w:rPr>
        <w:t>sand</w:t>
      </w:r>
      <w:r w:rsidRPr="00D4309F">
        <w:rPr>
          <w:color w:val="211E1F"/>
          <w:spacing w:val="-3"/>
        </w:rPr>
        <w:t xml:space="preserve"> </w:t>
      </w:r>
      <w:r w:rsidRPr="00D4309F">
        <w:rPr>
          <w:color w:val="211E1F"/>
        </w:rPr>
        <w:t>shoal</w:t>
      </w:r>
      <w:r w:rsidRPr="00D4309F">
        <w:rPr>
          <w:color w:val="211E1F"/>
          <w:spacing w:val="-1"/>
        </w:rPr>
        <w:t xml:space="preserve"> </w:t>
      </w:r>
      <w:r w:rsidRPr="00D4309F">
        <w:rPr>
          <w:color w:val="211E1F"/>
        </w:rPr>
        <w:t>event</w:t>
      </w:r>
      <w:r w:rsidRPr="00D4309F">
        <w:rPr>
          <w:color w:val="211E1F"/>
          <w:spacing w:val="-2"/>
        </w:rPr>
        <w:t xml:space="preserve"> </w:t>
      </w:r>
      <w:r w:rsidRPr="00D4309F">
        <w:rPr>
          <w:color w:val="211E1F"/>
        </w:rPr>
        <w:t>at</w:t>
      </w:r>
      <w:r w:rsidRPr="00D4309F">
        <w:rPr>
          <w:color w:val="211E1F"/>
          <w:spacing w:val="-2"/>
        </w:rPr>
        <w:t xml:space="preserve"> </w:t>
      </w:r>
      <w:r w:rsidRPr="00D4309F">
        <w:rPr>
          <w:color w:val="211E1F"/>
        </w:rPr>
        <w:t>the</w:t>
      </w:r>
      <w:r w:rsidRPr="00D4309F">
        <w:rPr>
          <w:color w:val="211E1F"/>
          <w:spacing w:val="-2"/>
        </w:rPr>
        <w:t xml:space="preserve"> entrance</w:t>
      </w:r>
      <w:bookmarkEnd w:id="38"/>
    </w:p>
    <w:p w14:paraId="4BDFA0B9" w14:textId="77777777" w:rsidR="00734866" w:rsidRPr="00D4309F" w:rsidRDefault="00734866" w:rsidP="00725977">
      <w:pPr>
        <w:rPr>
          <w:b/>
          <w:sz w:val="18"/>
        </w:rPr>
        <w:sectPr w:rsidR="00734866" w:rsidRPr="00D4309F" w:rsidSect="00A8441C">
          <w:pgSz w:w="11910" w:h="16840"/>
          <w:pgMar w:top="1418" w:right="1134" w:bottom="1418" w:left="1134" w:header="916" w:footer="1147" w:gutter="0"/>
          <w:cols w:space="720"/>
          <w:docGrid w:linePitch="272"/>
        </w:sectPr>
      </w:pPr>
    </w:p>
    <w:p w14:paraId="5D25A6AE" w14:textId="77777777" w:rsidR="00725977" w:rsidRPr="00D4309F" w:rsidRDefault="00725977" w:rsidP="00223AC9">
      <w:pPr>
        <w:pStyle w:val="Heading1"/>
      </w:pPr>
      <w:bookmarkStart w:id="39" w:name="_bookmark14"/>
      <w:bookmarkStart w:id="40" w:name="_Toc216699302"/>
      <w:bookmarkEnd w:id="39"/>
      <w:r w:rsidRPr="00D4309F">
        <w:lastRenderedPageBreak/>
        <w:t>EXISTING</w:t>
      </w:r>
      <w:r w:rsidRPr="00D4309F">
        <w:rPr>
          <w:spacing w:val="-3"/>
        </w:rPr>
        <w:t xml:space="preserve"> </w:t>
      </w:r>
      <w:r w:rsidRPr="00D4309F">
        <w:t>ENVIRONMENT</w:t>
      </w:r>
      <w:bookmarkEnd w:id="40"/>
    </w:p>
    <w:p w14:paraId="71177F44" w14:textId="0574326A" w:rsidR="00F06E88" w:rsidRPr="00C3632A" w:rsidRDefault="00725977" w:rsidP="00725977">
      <w:pPr>
        <w:pStyle w:val="BodyText"/>
        <w:rPr>
          <w:spacing w:val="-2"/>
        </w:rPr>
      </w:pPr>
      <w:r w:rsidRPr="00D4309F">
        <w:t>This section describes the key environmental characteristics (terrestrial and marine) of the area surrounding the Mooloolaba Boat Harbour entrance channel potentially impacted by the current and proposed short- or long-term shoaling management options. This area includes Point Cartwright and La Balsa Park, the Mooloolaba</w:t>
      </w:r>
      <w:r w:rsidRPr="00D4309F">
        <w:rPr>
          <w:spacing w:val="-2"/>
        </w:rPr>
        <w:t xml:space="preserve"> </w:t>
      </w:r>
      <w:r w:rsidRPr="00D4309F">
        <w:t>foreshore</w:t>
      </w:r>
      <w:r w:rsidRPr="00D4309F">
        <w:rPr>
          <w:spacing w:val="-2"/>
        </w:rPr>
        <w:t xml:space="preserve"> </w:t>
      </w:r>
      <w:r w:rsidRPr="00D4309F">
        <w:t>and</w:t>
      </w:r>
      <w:r w:rsidRPr="00D4309F">
        <w:rPr>
          <w:spacing w:val="-3"/>
        </w:rPr>
        <w:t xml:space="preserve"> </w:t>
      </w:r>
      <w:r w:rsidRPr="00D4309F">
        <w:t>shoreline</w:t>
      </w:r>
      <w:r w:rsidRPr="00D4309F">
        <w:rPr>
          <w:spacing w:val="-2"/>
        </w:rPr>
        <w:t xml:space="preserve"> </w:t>
      </w:r>
      <w:r w:rsidRPr="00D4309F">
        <w:t>from</w:t>
      </w:r>
      <w:r w:rsidRPr="00D4309F">
        <w:rPr>
          <w:spacing w:val="-2"/>
        </w:rPr>
        <w:t xml:space="preserve"> </w:t>
      </w:r>
      <w:r w:rsidRPr="00D4309F">
        <w:t>the</w:t>
      </w:r>
      <w:r w:rsidRPr="00D4309F">
        <w:rPr>
          <w:spacing w:val="-2"/>
        </w:rPr>
        <w:t xml:space="preserve"> </w:t>
      </w:r>
      <w:r w:rsidRPr="00D4309F">
        <w:t>southern</w:t>
      </w:r>
      <w:r w:rsidRPr="00D4309F">
        <w:rPr>
          <w:spacing w:val="-2"/>
        </w:rPr>
        <w:t xml:space="preserve"> </w:t>
      </w:r>
      <w:r w:rsidRPr="00D4309F">
        <w:t>end</w:t>
      </w:r>
      <w:r w:rsidRPr="00D4309F">
        <w:rPr>
          <w:spacing w:val="-2"/>
        </w:rPr>
        <w:t xml:space="preserve"> </w:t>
      </w:r>
      <w:r w:rsidRPr="00D4309F">
        <w:t>of</w:t>
      </w:r>
      <w:r w:rsidRPr="00D4309F">
        <w:rPr>
          <w:spacing w:val="-2"/>
        </w:rPr>
        <w:t xml:space="preserve"> </w:t>
      </w:r>
      <w:r w:rsidRPr="00D4309F">
        <w:t>Buddina</w:t>
      </w:r>
      <w:r w:rsidRPr="00D4309F">
        <w:rPr>
          <w:spacing w:val="-2"/>
        </w:rPr>
        <w:t xml:space="preserve"> </w:t>
      </w:r>
      <w:r w:rsidRPr="00D4309F">
        <w:t>beach</w:t>
      </w:r>
      <w:r w:rsidRPr="00D4309F">
        <w:rPr>
          <w:spacing w:val="-2"/>
        </w:rPr>
        <w:t xml:space="preserve"> </w:t>
      </w:r>
      <w:r w:rsidRPr="00D4309F">
        <w:t>to</w:t>
      </w:r>
      <w:r w:rsidRPr="00D4309F">
        <w:rPr>
          <w:spacing w:val="-2"/>
        </w:rPr>
        <w:t xml:space="preserve"> </w:t>
      </w:r>
      <w:r w:rsidRPr="00D4309F">
        <w:t>the</w:t>
      </w:r>
      <w:r w:rsidRPr="00D4309F">
        <w:rPr>
          <w:spacing w:val="-2"/>
        </w:rPr>
        <w:t xml:space="preserve"> </w:t>
      </w:r>
      <w:r w:rsidRPr="00D4309F">
        <w:t>north</w:t>
      </w:r>
      <w:r w:rsidRPr="00D4309F">
        <w:rPr>
          <w:spacing w:val="-2"/>
        </w:rPr>
        <w:t xml:space="preserve"> </w:t>
      </w:r>
      <w:r w:rsidRPr="00D4309F">
        <w:t>end</w:t>
      </w:r>
      <w:r w:rsidRPr="00D4309F">
        <w:rPr>
          <w:spacing w:val="-2"/>
        </w:rPr>
        <w:t xml:space="preserve"> </w:t>
      </w:r>
      <w:r w:rsidRPr="00D4309F">
        <w:t>of</w:t>
      </w:r>
      <w:r w:rsidRPr="00D4309F">
        <w:rPr>
          <w:spacing w:val="-2"/>
        </w:rPr>
        <w:t xml:space="preserve"> </w:t>
      </w:r>
      <w:r w:rsidRPr="00D4309F">
        <w:t xml:space="preserve">Mooloolaba </w:t>
      </w:r>
      <w:r w:rsidRPr="00D4309F">
        <w:rPr>
          <w:spacing w:val="-2"/>
        </w:rPr>
        <w:t>beach.</w:t>
      </w:r>
    </w:p>
    <w:p w14:paraId="1E7F6961" w14:textId="77777777" w:rsidR="00725977" w:rsidRPr="00D4309F" w:rsidRDefault="00725977" w:rsidP="00223AC9">
      <w:pPr>
        <w:pStyle w:val="Heading2"/>
      </w:pPr>
      <w:bookmarkStart w:id="41" w:name="_bookmark15"/>
      <w:bookmarkStart w:id="42" w:name="_Toc216699303"/>
      <w:bookmarkEnd w:id="41"/>
      <w:r w:rsidRPr="00D4309F">
        <w:t>Physical</w:t>
      </w:r>
      <w:r w:rsidRPr="00D4309F">
        <w:rPr>
          <w:spacing w:val="-14"/>
        </w:rPr>
        <w:t xml:space="preserve"> </w:t>
      </w:r>
      <w:r w:rsidRPr="00D4309F">
        <w:t>environment</w:t>
      </w:r>
      <w:bookmarkEnd w:id="42"/>
    </w:p>
    <w:p w14:paraId="18FA7F9D" w14:textId="77777777" w:rsidR="00725977" w:rsidRPr="00D4309F" w:rsidRDefault="00725977" w:rsidP="00223AC9">
      <w:pPr>
        <w:pStyle w:val="Heading3"/>
      </w:pPr>
      <w:bookmarkStart w:id="43" w:name="_Toc216699304"/>
      <w:r w:rsidRPr="00D4309F">
        <w:t>Hydrodynamics</w:t>
      </w:r>
      <w:bookmarkEnd w:id="43"/>
    </w:p>
    <w:p w14:paraId="4898A0F6" w14:textId="541D35B1" w:rsidR="00F06E88" w:rsidRPr="00C3632A" w:rsidRDefault="00725977" w:rsidP="00725977">
      <w:pPr>
        <w:pStyle w:val="BodyText"/>
        <w:rPr>
          <w:spacing w:val="-2"/>
        </w:rPr>
      </w:pPr>
      <w:r w:rsidRPr="00D4309F">
        <w:t>The</w:t>
      </w:r>
      <w:r w:rsidRPr="00D4309F">
        <w:rPr>
          <w:spacing w:val="-3"/>
        </w:rPr>
        <w:t xml:space="preserve"> </w:t>
      </w:r>
      <w:r w:rsidRPr="00D4309F">
        <w:t>Mooloolaba</w:t>
      </w:r>
      <w:r w:rsidRPr="00D4309F">
        <w:rPr>
          <w:spacing w:val="-3"/>
        </w:rPr>
        <w:t xml:space="preserve"> </w:t>
      </w:r>
      <w:r w:rsidRPr="00D4309F">
        <w:t>shoreline</w:t>
      </w:r>
      <w:r w:rsidRPr="00D4309F">
        <w:rPr>
          <w:spacing w:val="-3"/>
        </w:rPr>
        <w:t xml:space="preserve"> </w:t>
      </w:r>
      <w:r w:rsidRPr="00D4309F">
        <w:t>is</w:t>
      </w:r>
      <w:r w:rsidRPr="00D4309F">
        <w:rPr>
          <w:spacing w:val="-2"/>
        </w:rPr>
        <w:t xml:space="preserve"> </w:t>
      </w:r>
      <w:r w:rsidRPr="00D4309F">
        <w:t>shaped</w:t>
      </w:r>
      <w:r w:rsidRPr="00D4309F">
        <w:rPr>
          <w:spacing w:val="-3"/>
        </w:rPr>
        <w:t xml:space="preserve"> </w:t>
      </w:r>
      <w:r w:rsidRPr="00D4309F">
        <w:t>by</w:t>
      </w:r>
      <w:r w:rsidRPr="00D4309F">
        <w:rPr>
          <w:spacing w:val="-3"/>
        </w:rPr>
        <w:t xml:space="preserve"> </w:t>
      </w:r>
      <w:r w:rsidRPr="00D4309F">
        <w:t>waves,</w:t>
      </w:r>
      <w:r w:rsidRPr="00D4309F">
        <w:rPr>
          <w:spacing w:val="-3"/>
        </w:rPr>
        <w:t xml:space="preserve"> </w:t>
      </w:r>
      <w:r w:rsidRPr="00D4309F">
        <w:t>tides</w:t>
      </w:r>
      <w:r w:rsidRPr="00D4309F">
        <w:rPr>
          <w:spacing w:val="-3"/>
        </w:rPr>
        <w:t xml:space="preserve"> </w:t>
      </w:r>
      <w:r w:rsidRPr="00D4309F">
        <w:t>and</w:t>
      </w:r>
      <w:r w:rsidRPr="00D4309F">
        <w:rPr>
          <w:spacing w:val="-3"/>
        </w:rPr>
        <w:t xml:space="preserve"> </w:t>
      </w:r>
      <w:r w:rsidRPr="00D4309F">
        <w:t>long-shore</w:t>
      </w:r>
      <w:r w:rsidRPr="00D4309F">
        <w:rPr>
          <w:spacing w:val="-3"/>
        </w:rPr>
        <w:t xml:space="preserve"> </w:t>
      </w:r>
      <w:r w:rsidRPr="00D4309F">
        <w:t>sand</w:t>
      </w:r>
      <w:r w:rsidRPr="00D4309F">
        <w:rPr>
          <w:spacing w:val="-3"/>
        </w:rPr>
        <w:t xml:space="preserve"> </w:t>
      </w:r>
      <w:r w:rsidRPr="00D4309F">
        <w:t>movement,</w:t>
      </w:r>
      <w:r w:rsidRPr="00D4309F">
        <w:rPr>
          <w:spacing w:val="-3"/>
        </w:rPr>
        <w:t xml:space="preserve"> </w:t>
      </w:r>
      <w:r w:rsidRPr="00D4309F">
        <w:t>its</w:t>
      </w:r>
      <w:r w:rsidRPr="00D4309F">
        <w:rPr>
          <w:spacing w:val="-2"/>
        </w:rPr>
        <w:t xml:space="preserve"> </w:t>
      </w:r>
      <w:r w:rsidRPr="00D4309F">
        <w:t>beaches</w:t>
      </w:r>
      <w:r w:rsidRPr="00D4309F">
        <w:rPr>
          <w:spacing w:val="-2"/>
        </w:rPr>
        <w:t xml:space="preserve"> </w:t>
      </w:r>
      <w:r w:rsidRPr="00D4309F">
        <w:t>and</w:t>
      </w:r>
      <w:r w:rsidRPr="00D4309F">
        <w:rPr>
          <w:spacing w:val="-3"/>
        </w:rPr>
        <w:t xml:space="preserve"> </w:t>
      </w:r>
      <w:r w:rsidRPr="00D4309F">
        <w:t xml:space="preserve">dunes form a dynamic system that both absorbs energy from storms and nourishes surf-quality sands. The Mooloolah River system drains a relatively small catchment with an area of 196 square kilometres that extends 25 kilometres inland from the coast. It flows east-northeast from the Blackall Range, discharging to the sea between Mooloolaba and Point Cartwright (Sunshine Coast Council, 2023a). The net sediment transport is northward; sand is transported around Point Cartwright from Buddina Beach when there is sufficient accumulation at the northern end of Buddina Beach and favourable wave conditions occur (BMT, </w:t>
      </w:r>
      <w:r w:rsidRPr="00D4309F">
        <w:rPr>
          <w:spacing w:val="-2"/>
        </w:rPr>
        <w:t>2013).</w:t>
      </w:r>
    </w:p>
    <w:p w14:paraId="26D76AEF" w14:textId="77777777" w:rsidR="00725977" w:rsidRPr="00D4309F" w:rsidRDefault="00725977" w:rsidP="00223AC9">
      <w:pPr>
        <w:pStyle w:val="Heading3"/>
      </w:pPr>
      <w:bookmarkStart w:id="44" w:name="_Toc216699305"/>
      <w:r w:rsidRPr="00D4309F">
        <w:t>Climate</w:t>
      </w:r>
      <w:bookmarkEnd w:id="44"/>
    </w:p>
    <w:p w14:paraId="3A921E00" w14:textId="596B24D8" w:rsidR="00F06E88" w:rsidRPr="00D4309F" w:rsidRDefault="00725977" w:rsidP="00725977">
      <w:pPr>
        <w:pStyle w:val="BodyText"/>
      </w:pPr>
      <w:r w:rsidRPr="00D4309F">
        <w:t>The</w:t>
      </w:r>
      <w:r w:rsidRPr="00D4309F">
        <w:rPr>
          <w:spacing w:val="-2"/>
        </w:rPr>
        <w:t xml:space="preserve"> </w:t>
      </w:r>
      <w:r w:rsidRPr="00D4309F">
        <w:t>Sunshine</w:t>
      </w:r>
      <w:r w:rsidRPr="00D4309F">
        <w:rPr>
          <w:spacing w:val="-2"/>
        </w:rPr>
        <w:t xml:space="preserve"> </w:t>
      </w:r>
      <w:r w:rsidRPr="00D4309F">
        <w:t>Coast</w:t>
      </w:r>
      <w:r w:rsidRPr="00D4309F">
        <w:rPr>
          <w:spacing w:val="-2"/>
        </w:rPr>
        <w:t xml:space="preserve"> </w:t>
      </w:r>
      <w:r w:rsidRPr="00D4309F">
        <w:t>experiences</w:t>
      </w:r>
      <w:r w:rsidRPr="00D4309F">
        <w:rPr>
          <w:spacing w:val="-1"/>
        </w:rPr>
        <w:t xml:space="preserve"> </w:t>
      </w:r>
      <w:r w:rsidRPr="00D4309F">
        <w:t>a</w:t>
      </w:r>
      <w:r w:rsidRPr="00D4309F">
        <w:rPr>
          <w:spacing w:val="-2"/>
        </w:rPr>
        <w:t xml:space="preserve"> </w:t>
      </w:r>
      <w:r w:rsidRPr="00D4309F">
        <w:t>sub-tropical</w:t>
      </w:r>
      <w:r w:rsidRPr="00D4309F">
        <w:rPr>
          <w:spacing w:val="-3"/>
        </w:rPr>
        <w:t xml:space="preserve"> </w:t>
      </w:r>
      <w:r w:rsidRPr="00D4309F">
        <w:t>climate</w:t>
      </w:r>
      <w:r w:rsidRPr="00D4309F">
        <w:rPr>
          <w:spacing w:val="-2"/>
        </w:rPr>
        <w:t xml:space="preserve"> </w:t>
      </w:r>
      <w:r w:rsidRPr="00D4309F">
        <w:t>with</w:t>
      </w:r>
      <w:r w:rsidRPr="00D4309F">
        <w:rPr>
          <w:spacing w:val="-2"/>
        </w:rPr>
        <w:t xml:space="preserve"> </w:t>
      </w:r>
      <w:r w:rsidRPr="00D4309F">
        <w:t>long</w:t>
      </w:r>
      <w:r w:rsidRPr="00D4309F">
        <w:rPr>
          <w:spacing w:val="-3"/>
        </w:rPr>
        <w:t xml:space="preserve"> </w:t>
      </w:r>
      <w:r w:rsidRPr="00D4309F">
        <w:t>summers</w:t>
      </w:r>
      <w:r w:rsidRPr="00D4309F">
        <w:rPr>
          <w:spacing w:val="-1"/>
        </w:rPr>
        <w:t xml:space="preserve"> </w:t>
      </w:r>
      <w:r w:rsidRPr="00D4309F">
        <w:t>that</w:t>
      </w:r>
      <w:r w:rsidRPr="00D4309F">
        <w:rPr>
          <w:spacing w:val="-4"/>
        </w:rPr>
        <w:t xml:space="preserve"> </w:t>
      </w:r>
      <w:r w:rsidRPr="00D4309F">
        <w:t>are</w:t>
      </w:r>
      <w:r w:rsidRPr="00D4309F">
        <w:rPr>
          <w:spacing w:val="-2"/>
        </w:rPr>
        <w:t xml:space="preserve"> </w:t>
      </w:r>
      <w:r w:rsidRPr="00D4309F">
        <w:t>warm</w:t>
      </w:r>
      <w:r w:rsidRPr="00D4309F">
        <w:rPr>
          <w:spacing w:val="-2"/>
        </w:rPr>
        <w:t xml:space="preserve"> </w:t>
      </w:r>
      <w:r w:rsidRPr="00D4309F">
        <w:t>and</w:t>
      </w:r>
      <w:r w:rsidRPr="00D4309F">
        <w:rPr>
          <w:spacing w:val="-2"/>
        </w:rPr>
        <w:t xml:space="preserve"> </w:t>
      </w:r>
      <w:r w:rsidRPr="00D4309F">
        <w:t>wet</w:t>
      </w:r>
      <w:r w:rsidRPr="00D4309F">
        <w:rPr>
          <w:spacing w:val="-2"/>
        </w:rPr>
        <w:t xml:space="preserve"> </w:t>
      </w:r>
      <w:r w:rsidRPr="00D4309F">
        <w:t>and</w:t>
      </w:r>
      <w:r w:rsidRPr="00D4309F">
        <w:rPr>
          <w:spacing w:val="-2"/>
        </w:rPr>
        <w:t xml:space="preserve"> </w:t>
      </w:r>
      <w:r w:rsidRPr="00D4309F">
        <w:t>mild winters that are short, cool, and relatively dry. Mean minimum and maximum temperatures vary between 20 and 29.1 °C in summer and 9.7 and 22.3 °C in winter (BOM, 2025). Annual rainfall is approximately 1500 mm, with an average of 600 mm falling over 48 days. The Sunshine Coast experiences a seasonal wind climate. Winds are predominantly from the south-east; east to south-easterly trade winds dominate between April and September (BMT, 2013). During the summer months lighter east to north-easterly sea breezes occur.</w:t>
      </w:r>
      <w:r w:rsidRPr="00D4309F">
        <w:rPr>
          <w:spacing w:val="-1"/>
        </w:rPr>
        <w:t xml:space="preserve"> </w:t>
      </w:r>
      <w:r w:rsidRPr="00D4309F">
        <w:t>Generally,</w:t>
      </w:r>
      <w:r w:rsidRPr="00D4309F">
        <w:rPr>
          <w:spacing w:val="-1"/>
        </w:rPr>
        <w:t xml:space="preserve"> </w:t>
      </w:r>
      <w:r w:rsidRPr="00D4309F">
        <w:t>November to</w:t>
      </w:r>
      <w:r w:rsidRPr="00D4309F">
        <w:rPr>
          <w:spacing w:val="-2"/>
        </w:rPr>
        <w:t xml:space="preserve"> </w:t>
      </w:r>
      <w:r w:rsidRPr="00D4309F">
        <w:t>April</w:t>
      </w:r>
      <w:r w:rsidRPr="00D4309F">
        <w:rPr>
          <w:spacing w:val="-1"/>
        </w:rPr>
        <w:t xml:space="preserve"> </w:t>
      </w:r>
      <w:r w:rsidRPr="00D4309F">
        <w:t>is the</w:t>
      </w:r>
      <w:r w:rsidRPr="00D4309F">
        <w:rPr>
          <w:spacing w:val="-1"/>
        </w:rPr>
        <w:t xml:space="preserve"> </w:t>
      </w:r>
      <w:r w:rsidRPr="00D4309F">
        <w:t>tropical</w:t>
      </w:r>
      <w:r w:rsidRPr="00D4309F">
        <w:rPr>
          <w:spacing w:val="-2"/>
        </w:rPr>
        <w:t xml:space="preserve"> </w:t>
      </w:r>
      <w:r w:rsidRPr="00D4309F">
        <w:t>cyclone</w:t>
      </w:r>
      <w:r w:rsidRPr="00D4309F">
        <w:rPr>
          <w:spacing w:val="-2"/>
        </w:rPr>
        <w:t xml:space="preserve"> </w:t>
      </w:r>
      <w:r w:rsidRPr="00D4309F">
        <w:t>season.</w:t>
      </w:r>
      <w:r w:rsidRPr="00D4309F">
        <w:rPr>
          <w:spacing w:val="-1"/>
        </w:rPr>
        <w:t xml:space="preserve"> </w:t>
      </w:r>
      <w:r w:rsidRPr="00D4309F">
        <w:t>Tropical</w:t>
      </w:r>
      <w:r w:rsidRPr="00D4309F">
        <w:rPr>
          <w:spacing w:val="-1"/>
        </w:rPr>
        <w:t xml:space="preserve"> </w:t>
      </w:r>
      <w:r w:rsidRPr="00D4309F">
        <w:t>cyclones</w:t>
      </w:r>
      <w:r w:rsidRPr="00D4309F">
        <w:rPr>
          <w:spacing w:val="-1"/>
        </w:rPr>
        <w:t xml:space="preserve"> </w:t>
      </w:r>
      <w:r w:rsidRPr="00D4309F">
        <w:t>and</w:t>
      </w:r>
      <w:r w:rsidRPr="00D4309F">
        <w:rPr>
          <w:spacing w:val="-1"/>
        </w:rPr>
        <w:t xml:space="preserve"> </w:t>
      </w:r>
      <w:r w:rsidRPr="00D4309F">
        <w:t>east</w:t>
      </w:r>
      <w:r w:rsidRPr="00D4309F">
        <w:rPr>
          <w:spacing w:val="-1"/>
        </w:rPr>
        <w:t xml:space="preserve"> </w:t>
      </w:r>
      <w:r w:rsidRPr="00D4309F">
        <w:t>coast low</w:t>
      </w:r>
      <w:r w:rsidRPr="00D4309F">
        <w:rPr>
          <w:spacing w:val="-2"/>
        </w:rPr>
        <w:t xml:space="preserve"> </w:t>
      </w:r>
      <w:r w:rsidRPr="00D4309F">
        <w:t>pressure</w:t>
      </w:r>
      <w:r w:rsidRPr="00D4309F">
        <w:rPr>
          <w:spacing w:val="-4"/>
        </w:rPr>
        <w:t xml:space="preserve"> </w:t>
      </w:r>
      <w:r w:rsidRPr="00D4309F">
        <w:t>systems</w:t>
      </w:r>
      <w:r w:rsidRPr="00D4309F">
        <w:rPr>
          <w:spacing w:val="-2"/>
        </w:rPr>
        <w:t xml:space="preserve"> </w:t>
      </w:r>
      <w:r w:rsidRPr="00D4309F">
        <w:t>often</w:t>
      </w:r>
      <w:r w:rsidRPr="00D4309F">
        <w:rPr>
          <w:spacing w:val="-3"/>
        </w:rPr>
        <w:t xml:space="preserve"> </w:t>
      </w:r>
      <w:r w:rsidRPr="00D4309F">
        <w:t>bring</w:t>
      </w:r>
      <w:r w:rsidRPr="00D4309F">
        <w:rPr>
          <w:spacing w:val="-3"/>
        </w:rPr>
        <w:t xml:space="preserve"> </w:t>
      </w:r>
      <w:r w:rsidRPr="00D4309F">
        <w:t>destructive</w:t>
      </w:r>
      <w:r w:rsidRPr="00D4309F">
        <w:rPr>
          <w:spacing w:val="-4"/>
        </w:rPr>
        <w:t xml:space="preserve"> </w:t>
      </w:r>
      <w:r w:rsidRPr="00D4309F">
        <w:t>wind</w:t>
      </w:r>
      <w:r w:rsidRPr="00D4309F">
        <w:rPr>
          <w:spacing w:val="-3"/>
        </w:rPr>
        <w:t xml:space="preserve"> </w:t>
      </w:r>
      <w:r w:rsidRPr="00D4309F">
        <w:t>to</w:t>
      </w:r>
      <w:r w:rsidRPr="00D4309F">
        <w:rPr>
          <w:spacing w:val="-3"/>
        </w:rPr>
        <w:t xml:space="preserve"> </w:t>
      </w:r>
      <w:r w:rsidRPr="00D4309F">
        <w:t>the</w:t>
      </w:r>
      <w:r w:rsidRPr="00D4309F">
        <w:rPr>
          <w:spacing w:val="-3"/>
        </w:rPr>
        <w:t xml:space="preserve"> </w:t>
      </w:r>
      <w:r w:rsidRPr="00D4309F">
        <w:t>region,</w:t>
      </w:r>
      <w:r w:rsidRPr="00D4309F">
        <w:rPr>
          <w:spacing w:val="-3"/>
        </w:rPr>
        <w:t xml:space="preserve"> </w:t>
      </w:r>
      <w:r w:rsidRPr="00D4309F">
        <w:t>generating</w:t>
      </w:r>
      <w:r w:rsidRPr="00D4309F">
        <w:rPr>
          <w:spacing w:val="-3"/>
        </w:rPr>
        <w:t xml:space="preserve"> </w:t>
      </w:r>
      <w:r w:rsidRPr="00D4309F">
        <w:t>storm</w:t>
      </w:r>
      <w:r w:rsidRPr="00D4309F">
        <w:rPr>
          <w:spacing w:val="-3"/>
        </w:rPr>
        <w:t xml:space="preserve"> </w:t>
      </w:r>
      <w:r w:rsidRPr="00D4309F">
        <w:t>surges</w:t>
      </w:r>
      <w:r w:rsidRPr="00D4309F">
        <w:rPr>
          <w:spacing w:val="-2"/>
        </w:rPr>
        <w:t xml:space="preserve"> </w:t>
      </w:r>
      <w:r w:rsidRPr="00D4309F">
        <w:t>and</w:t>
      </w:r>
      <w:r w:rsidRPr="00D4309F">
        <w:rPr>
          <w:spacing w:val="-4"/>
        </w:rPr>
        <w:t xml:space="preserve"> </w:t>
      </w:r>
      <w:r w:rsidRPr="00D4309F">
        <w:t>extreme</w:t>
      </w:r>
      <w:r w:rsidRPr="00D4309F">
        <w:rPr>
          <w:spacing w:val="-3"/>
        </w:rPr>
        <w:t xml:space="preserve"> </w:t>
      </w:r>
      <w:r w:rsidRPr="00D4309F">
        <w:t>waves (BMT, 2013).</w:t>
      </w:r>
    </w:p>
    <w:p w14:paraId="511E6254" w14:textId="77777777" w:rsidR="00725977" w:rsidRPr="00D4309F" w:rsidRDefault="00725977" w:rsidP="00223AC9">
      <w:pPr>
        <w:pStyle w:val="Heading3"/>
      </w:pPr>
      <w:bookmarkStart w:id="45" w:name="_Toc216699306"/>
      <w:r w:rsidRPr="00D4309F">
        <w:t>Water</w:t>
      </w:r>
      <w:r w:rsidRPr="00D4309F">
        <w:rPr>
          <w:spacing w:val="-3"/>
        </w:rPr>
        <w:t xml:space="preserve"> </w:t>
      </w:r>
      <w:r w:rsidRPr="00D4309F">
        <w:t>quality</w:t>
      </w:r>
      <w:bookmarkEnd w:id="45"/>
    </w:p>
    <w:p w14:paraId="4EB36799" w14:textId="01721011" w:rsidR="00F06E88" w:rsidRPr="00D4309F" w:rsidRDefault="00725977" w:rsidP="00725977">
      <w:pPr>
        <w:pStyle w:val="BodyText"/>
      </w:pPr>
      <w:r w:rsidRPr="00D4309F">
        <w:t xml:space="preserve">Maintaining water quality in the Maroochy estuary and nearby coastal waters is fundamental to preserving these interconnected habitats. The </w:t>
      </w:r>
      <w:r w:rsidRPr="00D4309F">
        <w:rPr>
          <w:i/>
        </w:rPr>
        <w:t xml:space="preserve">Maroochy River Environmental Values and Water Quality Objectives report </w:t>
      </w:r>
      <w:r w:rsidRPr="00D4309F">
        <w:t>(DESI, 2022) recognises protection of aquatic ecosystems as its primary goal and requires that developments</w:t>
      </w:r>
      <w:r w:rsidRPr="00D4309F">
        <w:rPr>
          <w:spacing w:val="-2"/>
        </w:rPr>
        <w:t xml:space="preserve"> </w:t>
      </w:r>
      <w:r w:rsidRPr="00D4309F">
        <w:t>avoid</w:t>
      </w:r>
      <w:r w:rsidRPr="00D4309F">
        <w:rPr>
          <w:spacing w:val="-3"/>
        </w:rPr>
        <w:t xml:space="preserve"> </w:t>
      </w:r>
      <w:r w:rsidRPr="00D4309F">
        <w:t>increases</w:t>
      </w:r>
      <w:r w:rsidRPr="00D4309F">
        <w:rPr>
          <w:spacing w:val="-2"/>
        </w:rPr>
        <w:t xml:space="preserve"> </w:t>
      </w:r>
      <w:r w:rsidRPr="00D4309F">
        <w:t>in</w:t>
      </w:r>
      <w:r w:rsidRPr="00D4309F">
        <w:rPr>
          <w:spacing w:val="-3"/>
        </w:rPr>
        <w:t xml:space="preserve"> </w:t>
      </w:r>
      <w:r w:rsidRPr="00D4309F">
        <w:t>turbidity,</w:t>
      </w:r>
      <w:r w:rsidRPr="00D4309F">
        <w:rPr>
          <w:spacing w:val="-3"/>
        </w:rPr>
        <w:t xml:space="preserve"> </w:t>
      </w:r>
      <w:r w:rsidRPr="00D4309F">
        <w:t>suspended</w:t>
      </w:r>
      <w:r w:rsidRPr="00D4309F">
        <w:rPr>
          <w:spacing w:val="-3"/>
        </w:rPr>
        <w:t xml:space="preserve"> </w:t>
      </w:r>
      <w:r w:rsidRPr="00D4309F">
        <w:t>solids</w:t>
      </w:r>
      <w:r w:rsidRPr="00D4309F">
        <w:rPr>
          <w:spacing w:val="-2"/>
        </w:rPr>
        <w:t xml:space="preserve"> </w:t>
      </w:r>
      <w:r w:rsidRPr="00D4309F">
        <w:t>or</w:t>
      </w:r>
      <w:r w:rsidRPr="00D4309F">
        <w:rPr>
          <w:spacing w:val="-2"/>
        </w:rPr>
        <w:t xml:space="preserve"> </w:t>
      </w:r>
      <w:r w:rsidRPr="00D4309F">
        <w:t>nutrient</w:t>
      </w:r>
      <w:r w:rsidRPr="00D4309F">
        <w:rPr>
          <w:spacing w:val="-3"/>
        </w:rPr>
        <w:t xml:space="preserve"> </w:t>
      </w:r>
      <w:r w:rsidRPr="00D4309F">
        <w:t>loads</w:t>
      </w:r>
      <w:r w:rsidRPr="00D4309F">
        <w:rPr>
          <w:spacing w:val="-2"/>
        </w:rPr>
        <w:t xml:space="preserve"> </w:t>
      </w:r>
      <w:r w:rsidRPr="00D4309F">
        <w:t>that</w:t>
      </w:r>
      <w:r w:rsidRPr="00D4309F">
        <w:rPr>
          <w:spacing w:val="-3"/>
        </w:rPr>
        <w:t xml:space="preserve"> </w:t>
      </w:r>
      <w:r w:rsidRPr="00D4309F">
        <w:t>could</w:t>
      </w:r>
      <w:r w:rsidRPr="00D4309F">
        <w:rPr>
          <w:spacing w:val="-3"/>
        </w:rPr>
        <w:t xml:space="preserve"> </w:t>
      </w:r>
      <w:r w:rsidRPr="00D4309F">
        <w:t>smother</w:t>
      </w:r>
      <w:r w:rsidRPr="00D4309F">
        <w:rPr>
          <w:spacing w:val="-2"/>
        </w:rPr>
        <w:t xml:space="preserve"> </w:t>
      </w:r>
      <w:r w:rsidRPr="00D4309F">
        <w:t>seagrass</w:t>
      </w:r>
      <w:r w:rsidRPr="00D4309F">
        <w:rPr>
          <w:spacing w:val="-2"/>
        </w:rPr>
        <w:t xml:space="preserve"> </w:t>
      </w:r>
      <w:r w:rsidRPr="00D4309F">
        <w:t>or disrupt</w:t>
      </w:r>
      <w:r w:rsidRPr="00D4309F">
        <w:rPr>
          <w:spacing w:val="-2"/>
        </w:rPr>
        <w:t xml:space="preserve"> </w:t>
      </w:r>
      <w:r w:rsidRPr="00D4309F">
        <w:t>food</w:t>
      </w:r>
      <w:r w:rsidRPr="00D4309F">
        <w:rPr>
          <w:spacing w:val="-3"/>
        </w:rPr>
        <w:t xml:space="preserve"> </w:t>
      </w:r>
      <w:r w:rsidRPr="00D4309F">
        <w:t>webs.</w:t>
      </w:r>
      <w:r w:rsidRPr="00D4309F">
        <w:rPr>
          <w:spacing w:val="-2"/>
        </w:rPr>
        <w:t xml:space="preserve"> </w:t>
      </w:r>
      <w:r w:rsidRPr="00D4309F">
        <w:t>The</w:t>
      </w:r>
      <w:r w:rsidRPr="00D4309F">
        <w:rPr>
          <w:spacing w:val="-2"/>
        </w:rPr>
        <w:t xml:space="preserve"> </w:t>
      </w:r>
      <w:r w:rsidRPr="00D4309F">
        <w:t>estuarine</w:t>
      </w:r>
      <w:r w:rsidRPr="00D4309F">
        <w:rPr>
          <w:spacing w:val="-3"/>
        </w:rPr>
        <w:t xml:space="preserve"> </w:t>
      </w:r>
      <w:r w:rsidRPr="00D4309F">
        <w:t>water</w:t>
      </w:r>
      <w:r w:rsidRPr="00D4309F">
        <w:rPr>
          <w:spacing w:val="-1"/>
        </w:rPr>
        <w:t xml:space="preserve"> </w:t>
      </w:r>
      <w:r w:rsidRPr="00D4309F">
        <w:t>quality</w:t>
      </w:r>
      <w:r w:rsidRPr="00D4309F">
        <w:rPr>
          <w:spacing w:val="-1"/>
        </w:rPr>
        <w:t xml:space="preserve"> </w:t>
      </w:r>
      <w:r w:rsidRPr="00D4309F">
        <w:t>in</w:t>
      </w:r>
      <w:r w:rsidRPr="00D4309F">
        <w:rPr>
          <w:spacing w:val="-2"/>
        </w:rPr>
        <w:t xml:space="preserve"> </w:t>
      </w:r>
      <w:r w:rsidRPr="00D4309F">
        <w:t>the</w:t>
      </w:r>
      <w:r w:rsidRPr="00D4309F">
        <w:rPr>
          <w:spacing w:val="-3"/>
        </w:rPr>
        <w:t xml:space="preserve"> </w:t>
      </w:r>
      <w:r w:rsidRPr="00D4309F">
        <w:t>Mooloolaba</w:t>
      </w:r>
      <w:r w:rsidRPr="00D4309F">
        <w:rPr>
          <w:spacing w:val="-3"/>
        </w:rPr>
        <w:t xml:space="preserve"> </w:t>
      </w:r>
      <w:r w:rsidRPr="00D4309F">
        <w:t>Boat</w:t>
      </w:r>
      <w:r w:rsidRPr="00D4309F">
        <w:rPr>
          <w:spacing w:val="-2"/>
        </w:rPr>
        <w:t xml:space="preserve"> </w:t>
      </w:r>
      <w:r w:rsidRPr="00D4309F">
        <w:t>Harbour</w:t>
      </w:r>
      <w:r w:rsidRPr="00D4309F">
        <w:rPr>
          <w:spacing w:val="-3"/>
        </w:rPr>
        <w:t xml:space="preserve"> </w:t>
      </w:r>
      <w:r w:rsidRPr="00D4309F">
        <w:t>was</w:t>
      </w:r>
      <w:r w:rsidRPr="00D4309F">
        <w:rPr>
          <w:spacing w:val="-1"/>
        </w:rPr>
        <w:t xml:space="preserve"> </w:t>
      </w:r>
      <w:r w:rsidRPr="00D4309F">
        <w:t>described</w:t>
      </w:r>
      <w:r w:rsidRPr="00D4309F">
        <w:rPr>
          <w:spacing w:val="-2"/>
        </w:rPr>
        <w:t xml:space="preserve"> </w:t>
      </w:r>
      <w:r w:rsidRPr="00D4309F">
        <w:t>as</w:t>
      </w:r>
      <w:r w:rsidRPr="00D4309F">
        <w:rPr>
          <w:spacing w:val="-1"/>
        </w:rPr>
        <w:t xml:space="preserve"> </w:t>
      </w:r>
      <w:r w:rsidRPr="00D4309F">
        <w:t>excellent</w:t>
      </w:r>
      <w:r w:rsidRPr="00D4309F">
        <w:rPr>
          <w:spacing w:val="-4"/>
        </w:rPr>
        <w:t xml:space="preserve"> </w:t>
      </w:r>
      <w:r w:rsidRPr="00D4309F">
        <w:t>in the 2021 catchment summary by HLW (2021) despite a slight decrease in dissolved oxygen in the mid-estuary. Where there are seagrass meadows, good local water clarity for light penetration is required to safeguard their extent, species diversity and depth limits (Sunshine Coast Council, 2023a).</w:t>
      </w:r>
    </w:p>
    <w:p w14:paraId="7915C0BE" w14:textId="77777777" w:rsidR="00725977" w:rsidRPr="00D4309F" w:rsidRDefault="00725977" w:rsidP="00223AC9">
      <w:pPr>
        <w:pStyle w:val="Heading3"/>
      </w:pPr>
      <w:bookmarkStart w:id="46" w:name="_bookmark16"/>
      <w:bookmarkStart w:id="47" w:name="_Ref216022347"/>
      <w:bookmarkStart w:id="48" w:name="_Toc216699307"/>
      <w:bookmarkEnd w:id="46"/>
      <w:r w:rsidRPr="00D4309F">
        <w:t>Sediment</w:t>
      </w:r>
      <w:r w:rsidRPr="00D4309F">
        <w:rPr>
          <w:spacing w:val="-5"/>
        </w:rPr>
        <w:t xml:space="preserve"> </w:t>
      </w:r>
      <w:r w:rsidRPr="00D4309F">
        <w:rPr>
          <w:spacing w:val="-2"/>
        </w:rPr>
        <w:t>quality</w:t>
      </w:r>
      <w:bookmarkEnd w:id="47"/>
      <w:bookmarkEnd w:id="48"/>
    </w:p>
    <w:p w14:paraId="52902EBC" w14:textId="77777777" w:rsidR="00725977" w:rsidRPr="00D4309F" w:rsidRDefault="00725977" w:rsidP="00725977">
      <w:pPr>
        <w:pStyle w:val="BodyText"/>
      </w:pPr>
      <w:r w:rsidRPr="00D4309F">
        <w:t>The</w:t>
      </w:r>
      <w:r w:rsidRPr="00D4309F">
        <w:rPr>
          <w:spacing w:val="-3"/>
        </w:rPr>
        <w:t xml:space="preserve"> </w:t>
      </w:r>
      <w:r w:rsidRPr="00D4309F">
        <w:t>physical</w:t>
      </w:r>
      <w:r w:rsidRPr="00D4309F">
        <w:rPr>
          <w:spacing w:val="-4"/>
        </w:rPr>
        <w:t xml:space="preserve"> </w:t>
      </w:r>
      <w:r w:rsidRPr="00D4309F">
        <w:t>and</w:t>
      </w:r>
      <w:r w:rsidRPr="00D4309F">
        <w:rPr>
          <w:spacing w:val="-3"/>
        </w:rPr>
        <w:t xml:space="preserve"> </w:t>
      </w:r>
      <w:r w:rsidRPr="00D4309F">
        <w:t>chemical</w:t>
      </w:r>
      <w:r w:rsidRPr="00D4309F">
        <w:rPr>
          <w:spacing w:val="-4"/>
        </w:rPr>
        <w:t xml:space="preserve"> </w:t>
      </w:r>
      <w:r w:rsidRPr="00D4309F">
        <w:t>properties</w:t>
      </w:r>
      <w:r w:rsidRPr="00D4309F">
        <w:rPr>
          <w:spacing w:val="-2"/>
        </w:rPr>
        <w:t xml:space="preserve"> </w:t>
      </w:r>
      <w:r w:rsidRPr="00D4309F">
        <w:t>of</w:t>
      </w:r>
      <w:r w:rsidRPr="00D4309F">
        <w:rPr>
          <w:spacing w:val="-3"/>
        </w:rPr>
        <w:t xml:space="preserve"> </w:t>
      </w:r>
      <w:r w:rsidRPr="00D4309F">
        <w:t>sediments</w:t>
      </w:r>
      <w:r w:rsidRPr="00D4309F">
        <w:rPr>
          <w:spacing w:val="-4"/>
        </w:rPr>
        <w:t xml:space="preserve"> </w:t>
      </w:r>
      <w:r w:rsidRPr="00D4309F">
        <w:t>at and adjacent to the Mooloolaba Harbour Entrance and the existing disposal area offshore of Mooloolaba Main Beach in 2009 (FRC, 2009). The results indicated that the settling rates of these sediments were relatively quick with 90% of particles setting within 18 seconds. Organic carbon and nutrients levels were found to be relatively low, and all tested metals/metalloids and organic compounds were either below the limit of reporting or below the relevant NAGD (DEWHA, 2009) guidelines.</w:t>
      </w:r>
    </w:p>
    <w:p w14:paraId="005DC9ED" w14:textId="77777777" w:rsidR="00725977" w:rsidRPr="00D4309F" w:rsidRDefault="00725977" w:rsidP="00725977">
      <w:pPr>
        <w:pStyle w:val="BodyText"/>
      </w:pPr>
      <w:r w:rsidRPr="00D4309F">
        <w:t>Further, the</w:t>
      </w:r>
      <w:r w:rsidRPr="00D4309F">
        <w:rPr>
          <w:spacing w:val="-3"/>
        </w:rPr>
        <w:t xml:space="preserve"> </w:t>
      </w:r>
      <w:r w:rsidRPr="00D4309F">
        <w:t>sediments</w:t>
      </w:r>
      <w:r w:rsidRPr="00D4309F">
        <w:rPr>
          <w:spacing w:val="-4"/>
        </w:rPr>
        <w:t xml:space="preserve"> </w:t>
      </w:r>
      <w:r w:rsidRPr="00D4309F">
        <w:t>in</w:t>
      </w:r>
      <w:r w:rsidRPr="00D4309F">
        <w:rPr>
          <w:spacing w:val="-3"/>
        </w:rPr>
        <w:t xml:space="preserve"> </w:t>
      </w:r>
      <w:r w:rsidRPr="00D4309F">
        <w:t>the</w:t>
      </w:r>
      <w:r w:rsidRPr="00D4309F">
        <w:rPr>
          <w:spacing w:val="-3"/>
        </w:rPr>
        <w:t xml:space="preserve"> </w:t>
      </w:r>
      <w:r w:rsidRPr="00D4309F">
        <w:t>Mooloolaba</w:t>
      </w:r>
      <w:r w:rsidRPr="00D4309F">
        <w:rPr>
          <w:spacing w:val="-3"/>
        </w:rPr>
        <w:t xml:space="preserve"> </w:t>
      </w:r>
      <w:r w:rsidRPr="00D4309F">
        <w:t>Harbour</w:t>
      </w:r>
      <w:r w:rsidRPr="00D4309F">
        <w:rPr>
          <w:spacing w:val="-2"/>
        </w:rPr>
        <w:t xml:space="preserve"> </w:t>
      </w:r>
      <w:r w:rsidRPr="00D4309F">
        <w:t>were</w:t>
      </w:r>
      <w:r w:rsidRPr="00D4309F">
        <w:rPr>
          <w:spacing w:val="-3"/>
        </w:rPr>
        <w:t xml:space="preserve"> </w:t>
      </w:r>
      <w:r w:rsidRPr="00D4309F">
        <w:t>assessed</w:t>
      </w:r>
      <w:r w:rsidRPr="00D4309F">
        <w:rPr>
          <w:spacing w:val="-4"/>
        </w:rPr>
        <w:t xml:space="preserve"> </w:t>
      </w:r>
      <w:r w:rsidRPr="00D4309F">
        <w:t>by</w:t>
      </w:r>
      <w:r w:rsidRPr="00D4309F">
        <w:rPr>
          <w:spacing w:val="-2"/>
        </w:rPr>
        <w:t xml:space="preserve"> </w:t>
      </w:r>
      <w:r w:rsidRPr="00D4309F">
        <w:t>BMT</w:t>
      </w:r>
      <w:r w:rsidRPr="00D4309F">
        <w:rPr>
          <w:spacing w:val="-3"/>
        </w:rPr>
        <w:t xml:space="preserve"> </w:t>
      </w:r>
      <w:r w:rsidRPr="00D4309F">
        <w:t xml:space="preserve">(2018) ahead of maintenance dredging works in the harbour. The results of the sediment sampling showed that concentrations of all tested metals/metalloids and organic compounds were below the relevant NAGD (DEWHA, 2009) and NEPM (NEPC, 2013) guidelines. These results indicate the sediment within the Harbour was free of contaminants and can be considered clean and suitable for ocean disposal or beach nourishment. </w:t>
      </w:r>
    </w:p>
    <w:p w14:paraId="3A0C130B" w14:textId="0EFCDFAF" w:rsidR="00F06E88" w:rsidRPr="00D4309F" w:rsidRDefault="00725977" w:rsidP="00725977">
      <w:pPr>
        <w:pStyle w:val="BodyText"/>
      </w:pPr>
      <w:r w:rsidRPr="00D4309F">
        <w:lastRenderedPageBreak/>
        <w:t>It is noted that MSQ is in the process of obtaining recent data that will be reviewed when available.</w:t>
      </w:r>
    </w:p>
    <w:p w14:paraId="230C373D" w14:textId="77777777" w:rsidR="00725977" w:rsidRPr="00D4309F" w:rsidRDefault="00725977" w:rsidP="00223AC9">
      <w:pPr>
        <w:pStyle w:val="Heading2"/>
      </w:pPr>
      <w:bookmarkStart w:id="49" w:name="_bookmark17"/>
      <w:bookmarkStart w:id="50" w:name="_Toc216699308"/>
      <w:bookmarkEnd w:id="49"/>
      <w:r w:rsidRPr="00D4309F">
        <w:t>Biological</w:t>
      </w:r>
      <w:r w:rsidRPr="00D4309F">
        <w:rPr>
          <w:spacing w:val="-17"/>
        </w:rPr>
        <w:t xml:space="preserve"> </w:t>
      </w:r>
      <w:r w:rsidRPr="00D4309F">
        <w:rPr>
          <w:spacing w:val="-2"/>
        </w:rPr>
        <w:t>environment</w:t>
      </w:r>
      <w:bookmarkEnd w:id="50"/>
    </w:p>
    <w:p w14:paraId="26AFF3FB" w14:textId="77777777" w:rsidR="00725977" w:rsidRPr="00D4309F" w:rsidRDefault="00725977" w:rsidP="00725977">
      <w:pPr>
        <w:pStyle w:val="BodyText"/>
      </w:pPr>
      <w:r w:rsidRPr="00D4309F">
        <w:t>Over 60 percent of the Sunshine Coast</w:t>
      </w:r>
      <w:r w:rsidRPr="00D4309F">
        <w:rPr>
          <w:rFonts w:ascii="Source Sans Pro" w:hAnsi="Source Sans Pro"/>
        </w:rPr>
        <w:t>’</w:t>
      </w:r>
      <w:r w:rsidRPr="00D4309F">
        <w:t>s foreshores remain in a natural or near-natural state, sustaining iconic</w:t>
      </w:r>
      <w:r w:rsidRPr="00D4309F">
        <w:rPr>
          <w:spacing w:val="-2"/>
        </w:rPr>
        <w:t xml:space="preserve"> </w:t>
      </w:r>
      <w:r w:rsidRPr="00D4309F">
        <w:t>species</w:t>
      </w:r>
      <w:r w:rsidRPr="00D4309F">
        <w:rPr>
          <w:spacing w:val="-2"/>
        </w:rPr>
        <w:t xml:space="preserve"> </w:t>
      </w:r>
      <w:r w:rsidRPr="00D4309F">
        <w:t>such</w:t>
      </w:r>
      <w:r w:rsidRPr="00D4309F">
        <w:rPr>
          <w:spacing w:val="-3"/>
        </w:rPr>
        <w:t xml:space="preserve"> </w:t>
      </w:r>
      <w:r w:rsidRPr="00D4309F">
        <w:t>as</w:t>
      </w:r>
      <w:r w:rsidRPr="00D4309F">
        <w:rPr>
          <w:spacing w:val="-2"/>
        </w:rPr>
        <w:t xml:space="preserve"> </w:t>
      </w:r>
      <w:r w:rsidRPr="00D4309F">
        <w:t>marine</w:t>
      </w:r>
      <w:r w:rsidRPr="00D4309F">
        <w:rPr>
          <w:spacing w:val="-3"/>
        </w:rPr>
        <w:t xml:space="preserve"> </w:t>
      </w:r>
      <w:r w:rsidRPr="00D4309F">
        <w:t>turtles,</w:t>
      </w:r>
      <w:r w:rsidRPr="00D4309F">
        <w:rPr>
          <w:spacing w:val="-3"/>
        </w:rPr>
        <w:t xml:space="preserve"> </w:t>
      </w:r>
      <w:r w:rsidRPr="00D4309F">
        <w:t>dugong,</w:t>
      </w:r>
      <w:r w:rsidRPr="00D4309F">
        <w:rPr>
          <w:spacing w:val="-3"/>
        </w:rPr>
        <w:t xml:space="preserve"> </w:t>
      </w:r>
      <w:r w:rsidRPr="00D4309F">
        <w:t>migratory</w:t>
      </w:r>
      <w:r w:rsidRPr="00D4309F">
        <w:rPr>
          <w:spacing w:val="-2"/>
        </w:rPr>
        <w:t xml:space="preserve"> </w:t>
      </w:r>
      <w:r w:rsidRPr="00D4309F">
        <w:t>birds</w:t>
      </w:r>
      <w:r w:rsidRPr="00D4309F">
        <w:rPr>
          <w:spacing w:val="-2"/>
        </w:rPr>
        <w:t xml:space="preserve"> </w:t>
      </w:r>
      <w:r w:rsidRPr="00D4309F">
        <w:t>and</w:t>
      </w:r>
      <w:r w:rsidRPr="00D4309F">
        <w:rPr>
          <w:spacing w:val="-3"/>
        </w:rPr>
        <w:t xml:space="preserve"> </w:t>
      </w:r>
      <w:r w:rsidRPr="00D4309F">
        <w:t>whales</w:t>
      </w:r>
      <w:r w:rsidRPr="00D4309F">
        <w:rPr>
          <w:spacing w:val="-2"/>
        </w:rPr>
        <w:t xml:space="preserve"> </w:t>
      </w:r>
      <w:r w:rsidRPr="00D4309F">
        <w:t>(Sunshine</w:t>
      </w:r>
      <w:r w:rsidRPr="00D4309F">
        <w:rPr>
          <w:spacing w:val="-3"/>
        </w:rPr>
        <w:t xml:space="preserve"> </w:t>
      </w:r>
      <w:r w:rsidRPr="00D4309F">
        <w:t>Coast</w:t>
      </w:r>
      <w:r w:rsidRPr="00D4309F">
        <w:rPr>
          <w:spacing w:val="-3"/>
        </w:rPr>
        <w:t xml:space="preserve"> </w:t>
      </w:r>
      <w:r w:rsidRPr="00D4309F">
        <w:t>Council,</w:t>
      </w:r>
      <w:r w:rsidRPr="00D4309F">
        <w:rPr>
          <w:spacing w:val="-4"/>
        </w:rPr>
        <w:t xml:space="preserve"> </w:t>
      </w:r>
      <w:r w:rsidRPr="00D4309F">
        <w:t>2023a). Specifically, La Balsa Park and Point Cartwright Reserve provides habitat for several of these species.</w:t>
      </w:r>
    </w:p>
    <w:p w14:paraId="0A8E05CB" w14:textId="62A69833" w:rsidR="00F06E88" w:rsidRPr="00D4309F" w:rsidRDefault="00725977" w:rsidP="00725977">
      <w:pPr>
        <w:pStyle w:val="BodyText"/>
      </w:pPr>
      <w:r w:rsidRPr="00D4309F">
        <w:t>Further, the coast off Mooloolaba supports a range of intertidal and marine communities whose health underpins both ecological resilience and the recreational character of the region. Extending from nearshore seagrass meadows through to mangrove fringes and saltmarsh to offshore reef systems, these habitats provide critical nursery and feeding grounds for turtles, fish, crustaceans and shorebirds, while stabilising sediments and cycling nutrients essential to coastal waters. The Point Cartwright and La Balsa Park Master Plan highlight the importance of maintaining nearshore hard</w:t>
      </w:r>
      <w:r w:rsidRPr="00D4309F">
        <w:rPr>
          <w:rFonts w:ascii="Cambria Math"/>
        </w:rPr>
        <w:t>-</w:t>
      </w:r>
      <w:r w:rsidRPr="00D4309F">
        <w:t xml:space="preserve">coral assemblages beyond the surf zone and protecting fish habitat areas under the </w:t>
      </w:r>
      <w:r w:rsidRPr="00D4309F">
        <w:rPr>
          <w:i/>
        </w:rPr>
        <w:t xml:space="preserve">Fisheries Act 1994 </w:t>
      </w:r>
      <w:r w:rsidRPr="00D4309F">
        <w:t>(Sunshine Coast Council 2023a and DESI 2022). Riparian</w:t>
      </w:r>
      <w:r w:rsidRPr="00D4309F">
        <w:rPr>
          <w:spacing w:val="-4"/>
        </w:rPr>
        <w:t xml:space="preserve"> </w:t>
      </w:r>
      <w:r w:rsidRPr="00D4309F">
        <w:t>corridors</w:t>
      </w:r>
      <w:r w:rsidRPr="00D4309F">
        <w:rPr>
          <w:spacing w:val="-2"/>
        </w:rPr>
        <w:t xml:space="preserve"> </w:t>
      </w:r>
      <w:r w:rsidRPr="00D4309F">
        <w:t>and</w:t>
      </w:r>
      <w:r w:rsidRPr="00D4309F">
        <w:rPr>
          <w:spacing w:val="-3"/>
        </w:rPr>
        <w:t xml:space="preserve"> </w:t>
      </w:r>
      <w:r w:rsidRPr="00D4309F">
        <w:t>adjacent</w:t>
      </w:r>
      <w:r w:rsidRPr="00D4309F">
        <w:rPr>
          <w:spacing w:val="-3"/>
        </w:rPr>
        <w:t xml:space="preserve"> </w:t>
      </w:r>
      <w:r w:rsidRPr="00D4309F">
        <w:t>wetlands</w:t>
      </w:r>
      <w:r w:rsidRPr="00D4309F">
        <w:rPr>
          <w:spacing w:val="-3"/>
        </w:rPr>
        <w:t xml:space="preserve"> </w:t>
      </w:r>
      <w:r w:rsidRPr="00D4309F">
        <w:t>further</w:t>
      </w:r>
      <w:r w:rsidRPr="00D4309F">
        <w:rPr>
          <w:spacing w:val="-2"/>
        </w:rPr>
        <w:t xml:space="preserve"> </w:t>
      </w:r>
      <w:r w:rsidRPr="00D4309F">
        <w:t>enhance</w:t>
      </w:r>
      <w:r w:rsidRPr="00D4309F">
        <w:rPr>
          <w:spacing w:val="-3"/>
        </w:rPr>
        <w:t xml:space="preserve"> </w:t>
      </w:r>
      <w:r w:rsidRPr="00D4309F">
        <w:t>this</w:t>
      </w:r>
      <w:r w:rsidRPr="00D4309F">
        <w:rPr>
          <w:spacing w:val="-2"/>
        </w:rPr>
        <w:t xml:space="preserve"> </w:t>
      </w:r>
      <w:r w:rsidRPr="00D4309F">
        <w:t>diversity,</w:t>
      </w:r>
      <w:r w:rsidRPr="00D4309F">
        <w:rPr>
          <w:spacing w:val="-3"/>
        </w:rPr>
        <w:t xml:space="preserve"> </w:t>
      </w:r>
      <w:r w:rsidRPr="00D4309F">
        <w:t>offering</w:t>
      </w:r>
      <w:r w:rsidRPr="00D4309F">
        <w:rPr>
          <w:spacing w:val="-3"/>
        </w:rPr>
        <w:t xml:space="preserve"> </w:t>
      </w:r>
      <w:r w:rsidRPr="00D4309F">
        <w:t>refuge</w:t>
      </w:r>
      <w:r w:rsidRPr="00D4309F">
        <w:rPr>
          <w:spacing w:val="-3"/>
        </w:rPr>
        <w:t xml:space="preserve"> </w:t>
      </w:r>
      <w:r w:rsidRPr="00D4309F">
        <w:t>for</w:t>
      </w:r>
      <w:r w:rsidRPr="00D4309F">
        <w:rPr>
          <w:spacing w:val="-2"/>
        </w:rPr>
        <w:t xml:space="preserve"> </w:t>
      </w:r>
      <w:r w:rsidRPr="00D4309F">
        <w:t>waterbirds,</w:t>
      </w:r>
      <w:r w:rsidRPr="00D4309F">
        <w:rPr>
          <w:spacing w:val="-3"/>
        </w:rPr>
        <w:t xml:space="preserve"> </w:t>
      </w:r>
      <w:r w:rsidRPr="00D4309F">
        <w:t>turtles and aquatic mammals.</w:t>
      </w:r>
    </w:p>
    <w:p w14:paraId="702C1B03" w14:textId="77777777" w:rsidR="00725977" w:rsidRPr="00EC018A" w:rsidRDefault="00725977" w:rsidP="00EC018A">
      <w:pPr>
        <w:pStyle w:val="Heading3"/>
        <w:rPr>
          <w:i/>
          <w:iCs/>
        </w:rPr>
      </w:pPr>
      <w:bookmarkStart w:id="51" w:name="_Toc216699309"/>
      <w:r w:rsidRPr="00EC018A">
        <w:rPr>
          <w:i/>
          <w:iCs/>
        </w:rPr>
        <w:t>Environment</w:t>
      </w:r>
      <w:r w:rsidRPr="00EC018A">
        <w:rPr>
          <w:i/>
          <w:iCs/>
          <w:spacing w:val="-6"/>
        </w:rPr>
        <w:t xml:space="preserve"> </w:t>
      </w:r>
      <w:r w:rsidRPr="00EC018A">
        <w:rPr>
          <w:i/>
          <w:iCs/>
        </w:rPr>
        <w:t>Protection</w:t>
      </w:r>
      <w:r w:rsidRPr="00EC018A">
        <w:rPr>
          <w:i/>
          <w:iCs/>
          <w:spacing w:val="-6"/>
        </w:rPr>
        <w:t xml:space="preserve"> </w:t>
      </w:r>
      <w:r w:rsidRPr="00EC018A">
        <w:rPr>
          <w:i/>
          <w:iCs/>
        </w:rPr>
        <w:t>and</w:t>
      </w:r>
      <w:r w:rsidRPr="00EC018A">
        <w:rPr>
          <w:i/>
          <w:iCs/>
          <w:spacing w:val="-6"/>
        </w:rPr>
        <w:t xml:space="preserve"> </w:t>
      </w:r>
      <w:r w:rsidRPr="00EC018A">
        <w:rPr>
          <w:i/>
          <w:iCs/>
        </w:rPr>
        <w:t>Biodiversity</w:t>
      </w:r>
      <w:r w:rsidRPr="00EC018A">
        <w:rPr>
          <w:i/>
          <w:iCs/>
          <w:spacing w:val="-5"/>
        </w:rPr>
        <w:t xml:space="preserve"> </w:t>
      </w:r>
      <w:r w:rsidRPr="00EC018A">
        <w:rPr>
          <w:i/>
          <w:iCs/>
        </w:rPr>
        <w:t>Conservation</w:t>
      </w:r>
      <w:r w:rsidRPr="00EC018A">
        <w:rPr>
          <w:i/>
          <w:iCs/>
          <w:spacing w:val="-5"/>
        </w:rPr>
        <w:t xml:space="preserve"> </w:t>
      </w:r>
      <w:r w:rsidRPr="00EC018A">
        <w:rPr>
          <w:i/>
          <w:iCs/>
        </w:rPr>
        <w:t>Act</w:t>
      </w:r>
      <w:r w:rsidRPr="00EC018A">
        <w:rPr>
          <w:i/>
          <w:iCs/>
          <w:spacing w:val="-5"/>
        </w:rPr>
        <w:t xml:space="preserve"> </w:t>
      </w:r>
      <w:r w:rsidRPr="00EC018A">
        <w:rPr>
          <w:i/>
          <w:iCs/>
          <w:spacing w:val="-4"/>
        </w:rPr>
        <w:t>1999</w:t>
      </w:r>
      <w:bookmarkEnd w:id="51"/>
      <w:r w:rsidRPr="00EC018A">
        <w:rPr>
          <w:i/>
          <w:iCs/>
          <w:spacing w:val="-4"/>
        </w:rPr>
        <w:t xml:space="preserve"> </w:t>
      </w:r>
    </w:p>
    <w:p w14:paraId="345DF746" w14:textId="77777777" w:rsidR="00725977" w:rsidRPr="00D4309F" w:rsidRDefault="00725977" w:rsidP="00725977">
      <w:pPr>
        <w:pStyle w:val="BodyText"/>
      </w:pPr>
      <w:r w:rsidRPr="00D4309F">
        <w:t>A</w:t>
      </w:r>
      <w:r w:rsidRPr="00D4309F">
        <w:rPr>
          <w:spacing w:val="-2"/>
        </w:rPr>
        <w:t xml:space="preserve"> </w:t>
      </w:r>
      <w:r w:rsidRPr="00D4309F">
        <w:t>review</w:t>
      </w:r>
      <w:r w:rsidRPr="00D4309F">
        <w:rPr>
          <w:spacing w:val="-1"/>
        </w:rPr>
        <w:t xml:space="preserve"> </w:t>
      </w:r>
      <w:r w:rsidRPr="00D4309F">
        <w:t>of</w:t>
      </w:r>
      <w:r w:rsidRPr="00D4309F">
        <w:rPr>
          <w:spacing w:val="-2"/>
        </w:rPr>
        <w:t xml:space="preserve"> </w:t>
      </w:r>
      <w:r w:rsidRPr="00D4309F">
        <w:t>the</w:t>
      </w:r>
      <w:r w:rsidRPr="00D4309F">
        <w:rPr>
          <w:spacing w:val="-2"/>
        </w:rPr>
        <w:t xml:space="preserve"> </w:t>
      </w:r>
      <w:r w:rsidRPr="00D4309F">
        <w:rPr>
          <w:i/>
        </w:rPr>
        <w:t>Environment</w:t>
      </w:r>
      <w:r w:rsidRPr="00D4309F">
        <w:rPr>
          <w:i/>
          <w:spacing w:val="-2"/>
        </w:rPr>
        <w:t xml:space="preserve"> </w:t>
      </w:r>
      <w:r w:rsidRPr="00D4309F">
        <w:rPr>
          <w:i/>
        </w:rPr>
        <w:t>Protection</w:t>
      </w:r>
      <w:r w:rsidRPr="00D4309F">
        <w:rPr>
          <w:i/>
          <w:spacing w:val="-3"/>
        </w:rPr>
        <w:t xml:space="preserve"> </w:t>
      </w:r>
      <w:r w:rsidRPr="00D4309F">
        <w:rPr>
          <w:i/>
        </w:rPr>
        <w:t>and</w:t>
      </w:r>
      <w:r w:rsidRPr="00D4309F">
        <w:rPr>
          <w:i/>
          <w:spacing w:val="-2"/>
        </w:rPr>
        <w:t xml:space="preserve"> </w:t>
      </w:r>
      <w:r w:rsidRPr="00D4309F">
        <w:rPr>
          <w:i/>
        </w:rPr>
        <w:t>Biodiversity</w:t>
      </w:r>
      <w:r w:rsidRPr="00D4309F">
        <w:rPr>
          <w:i/>
          <w:spacing w:val="-1"/>
        </w:rPr>
        <w:t xml:space="preserve"> </w:t>
      </w:r>
      <w:r w:rsidRPr="00D4309F">
        <w:rPr>
          <w:i/>
        </w:rPr>
        <w:t>Conservation</w:t>
      </w:r>
      <w:r w:rsidRPr="00D4309F">
        <w:rPr>
          <w:i/>
          <w:spacing w:val="-2"/>
        </w:rPr>
        <w:t xml:space="preserve"> </w:t>
      </w:r>
      <w:r w:rsidRPr="00D4309F">
        <w:rPr>
          <w:i/>
        </w:rPr>
        <w:t>Act</w:t>
      </w:r>
      <w:r w:rsidRPr="00D4309F">
        <w:rPr>
          <w:i/>
          <w:spacing w:val="-2"/>
        </w:rPr>
        <w:t xml:space="preserve"> </w:t>
      </w:r>
      <w:r w:rsidRPr="00D4309F">
        <w:rPr>
          <w:i/>
        </w:rPr>
        <w:t>1999</w:t>
      </w:r>
      <w:r w:rsidRPr="00D4309F">
        <w:rPr>
          <w:i/>
          <w:spacing w:val="-4"/>
        </w:rPr>
        <w:t xml:space="preserve"> </w:t>
      </w:r>
      <w:r w:rsidRPr="00D4309F">
        <w:t>(EPBC)</w:t>
      </w:r>
      <w:r w:rsidRPr="00D4309F">
        <w:rPr>
          <w:spacing w:val="-1"/>
        </w:rPr>
        <w:t xml:space="preserve"> </w:t>
      </w:r>
      <w:r w:rsidRPr="00D4309F">
        <w:t>Protected</w:t>
      </w:r>
      <w:r w:rsidRPr="00D4309F">
        <w:rPr>
          <w:spacing w:val="-2"/>
        </w:rPr>
        <w:t xml:space="preserve"> </w:t>
      </w:r>
      <w:r w:rsidRPr="00D4309F">
        <w:t>Matters Search Tool (PMST) results (DCCEEW, 2025) was undertaken to determine if any species listed under Matters of National Environmental Significance (MNES)</w:t>
      </w:r>
      <w:r w:rsidRPr="00D4309F">
        <w:rPr>
          <w:spacing w:val="-3"/>
        </w:rPr>
        <w:t xml:space="preserve"> </w:t>
      </w:r>
      <w:r w:rsidRPr="00D4309F">
        <w:t>occur</w:t>
      </w:r>
      <w:r w:rsidRPr="00D4309F">
        <w:rPr>
          <w:spacing w:val="-2"/>
        </w:rPr>
        <w:t xml:space="preserve"> </w:t>
      </w:r>
      <w:r w:rsidRPr="00D4309F">
        <w:t>within</w:t>
      </w:r>
      <w:r w:rsidRPr="00D4309F">
        <w:rPr>
          <w:spacing w:val="-3"/>
        </w:rPr>
        <w:t xml:space="preserve"> </w:t>
      </w:r>
      <w:r w:rsidRPr="00D4309F">
        <w:t>or</w:t>
      </w:r>
      <w:r w:rsidRPr="00D4309F">
        <w:rPr>
          <w:spacing w:val="-2"/>
        </w:rPr>
        <w:t xml:space="preserve"> </w:t>
      </w:r>
      <w:r w:rsidRPr="00D4309F">
        <w:t>in</w:t>
      </w:r>
      <w:r w:rsidRPr="00D4309F">
        <w:rPr>
          <w:spacing w:val="-3"/>
        </w:rPr>
        <w:t xml:space="preserve"> </w:t>
      </w:r>
      <w:r w:rsidRPr="00D4309F">
        <w:t>the</w:t>
      </w:r>
      <w:r w:rsidRPr="00D4309F">
        <w:rPr>
          <w:spacing w:val="-3"/>
        </w:rPr>
        <w:t xml:space="preserve"> </w:t>
      </w:r>
      <w:r w:rsidRPr="00D4309F">
        <w:t>vicinity</w:t>
      </w:r>
      <w:r w:rsidRPr="00D4309F">
        <w:rPr>
          <w:spacing w:val="-2"/>
        </w:rPr>
        <w:t xml:space="preserve"> </w:t>
      </w:r>
      <w:r w:rsidRPr="00D4309F">
        <w:t>of</w:t>
      </w:r>
      <w:r w:rsidRPr="00D4309F">
        <w:rPr>
          <w:spacing w:val="-3"/>
        </w:rPr>
        <w:t xml:space="preserve"> </w:t>
      </w:r>
      <w:r w:rsidRPr="00D4309F">
        <w:t>the</w:t>
      </w:r>
      <w:r w:rsidRPr="00D4309F">
        <w:rPr>
          <w:spacing w:val="-3"/>
        </w:rPr>
        <w:t xml:space="preserve"> </w:t>
      </w:r>
      <w:r w:rsidRPr="00D4309F">
        <w:t>potential</w:t>
      </w:r>
      <w:r w:rsidRPr="00D4309F">
        <w:rPr>
          <w:spacing w:val="-3"/>
        </w:rPr>
        <w:t xml:space="preserve"> </w:t>
      </w:r>
      <w:r w:rsidRPr="00D4309F">
        <w:t>areas</w:t>
      </w:r>
      <w:r w:rsidRPr="00D4309F">
        <w:rPr>
          <w:spacing w:val="-2"/>
        </w:rPr>
        <w:t xml:space="preserve"> </w:t>
      </w:r>
      <w:r w:rsidRPr="00D4309F">
        <w:t>of</w:t>
      </w:r>
      <w:r w:rsidRPr="00D4309F">
        <w:rPr>
          <w:spacing w:val="-3"/>
        </w:rPr>
        <w:t xml:space="preserve"> </w:t>
      </w:r>
      <w:r w:rsidRPr="00D4309F">
        <w:t>disturbance.</w:t>
      </w:r>
      <w:r w:rsidRPr="00D4309F">
        <w:rPr>
          <w:spacing w:val="-3"/>
        </w:rPr>
        <w:t xml:space="preserve"> </w:t>
      </w:r>
      <w:r w:rsidRPr="00D4309F">
        <w:t>The</w:t>
      </w:r>
      <w:r w:rsidRPr="00D4309F">
        <w:rPr>
          <w:spacing w:val="-3"/>
        </w:rPr>
        <w:t xml:space="preserve"> </w:t>
      </w:r>
      <w:r w:rsidRPr="00D4309F">
        <w:t>search</w:t>
      </w:r>
      <w:r w:rsidRPr="00D4309F">
        <w:rPr>
          <w:spacing w:val="-3"/>
        </w:rPr>
        <w:t xml:space="preserve"> </w:t>
      </w:r>
      <w:r w:rsidRPr="00D4309F">
        <w:t>was</w:t>
      </w:r>
      <w:r w:rsidRPr="00D4309F">
        <w:rPr>
          <w:spacing w:val="-2"/>
        </w:rPr>
        <w:t xml:space="preserve"> </w:t>
      </w:r>
      <w:r w:rsidRPr="00D4309F">
        <w:t>undertaken</w:t>
      </w:r>
      <w:r w:rsidRPr="00D4309F">
        <w:rPr>
          <w:spacing w:val="-3"/>
        </w:rPr>
        <w:t xml:space="preserve"> </w:t>
      </w:r>
      <w:r w:rsidRPr="00D4309F">
        <w:t>over an area centred on the current dredge and dredge disposal areas with a 2 km radius and the full PMST results are detailed in Appendix A.</w:t>
      </w:r>
    </w:p>
    <w:p w14:paraId="13E40EE6" w14:textId="77777777" w:rsidR="00725977" w:rsidRPr="00D4309F" w:rsidRDefault="00725977" w:rsidP="00725977">
      <w:pPr>
        <w:pStyle w:val="BodyText"/>
      </w:pPr>
      <w:r w:rsidRPr="00D4309F">
        <w:t>While</w:t>
      </w:r>
      <w:r w:rsidRPr="00D4309F">
        <w:rPr>
          <w:spacing w:val="-2"/>
        </w:rPr>
        <w:t xml:space="preserve"> </w:t>
      </w:r>
      <w:r w:rsidRPr="00D4309F">
        <w:t>no</w:t>
      </w:r>
      <w:r w:rsidRPr="00D4309F">
        <w:rPr>
          <w:spacing w:val="-2"/>
        </w:rPr>
        <w:t xml:space="preserve"> </w:t>
      </w:r>
      <w:r w:rsidRPr="00D4309F">
        <w:t>critical</w:t>
      </w:r>
      <w:r w:rsidRPr="00D4309F">
        <w:rPr>
          <w:spacing w:val="-2"/>
        </w:rPr>
        <w:t xml:space="preserve"> </w:t>
      </w:r>
      <w:r w:rsidRPr="00D4309F">
        <w:t>habitats</w:t>
      </w:r>
      <w:r w:rsidRPr="00D4309F">
        <w:rPr>
          <w:spacing w:val="-1"/>
        </w:rPr>
        <w:t xml:space="preserve"> </w:t>
      </w:r>
      <w:r w:rsidRPr="00D4309F">
        <w:t>are</w:t>
      </w:r>
      <w:r w:rsidRPr="00D4309F">
        <w:rPr>
          <w:spacing w:val="-2"/>
        </w:rPr>
        <w:t xml:space="preserve"> </w:t>
      </w:r>
      <w:r w:rsidRPr="00D4309F">
        <w:t>listed</w:t>
      </w:r>
      <w:r w:rsidRPr="00D4309F">
        <w:rPr>
          <w:spacing w:val="-2"/>
        </w:rPr>
        <w:t xml:space="preserve"> </w:t>
      </w:r>
      <w:r w:rsidRPr="00D4309F">
        <w:t>as</w:t>
      </w:r>
      <w:r w:rsidRPr="00D4309F">
        <w:rPr>
          <w:spacing w:val="-1"/>
        </w:rPr>
        <w:t xml:space="preserve"> </w:t>
      </w:r>
      <w:r w:rsidRPr="00D4309F">
        <w:t>present</w:t>
      </w:r>
      <w:r w:rsidRPr="00D4309F">
        <w:rPr>
          <w:spacing w:val="-2"/>
        </w:rPr>
        <w:t xml:space="preserve"> </w:t>
      </w:r>
      <w:r w:rsidRPr="00D4309F">
        <w:t>in</w:t>
      </w:r>
      <w:r w:rsidRPr="00D4309F">
        <w:rPr>
          <w:spacing w:val="-2"/>
        </w:rPr>
        <w:t xml:space="preserve"> </w:t>
      </w:r>
      <w:r w:rsidRPr="00D4309F">
        <w:t>the</w:t>
      </w:r>
      <w:r w:rsidRPr="00D4309F">
        <w:rPr>
          <w:spacing w:val="-2"/>
        </w:rPr>
        <w:t xml:space="preserve"> </w:t>
      </w:r>
      <w:r w:rsidRPr="00D4309F">
        <w:t>search</w:t>
      </w:r>
      <w:r w:rsidRPr="00D4309F">
        <w:rPr>
          <w:spacing w:val="-2"/>
        </w:rPr>
        <w:t xml:space="preserve"> </w:t>
      </w:r>
      <w:r w:rsidRPr="00D4309F">
        <w:t>area,</w:t>
      </w:r>
      <w:r w:rsidRPr="00D4309F">
        <w:rPr>
          <w:spacing w:val="-2"/>
        </w:rPr>
        <w:t xml:space="preserve"> </w:t>
      </w:r>
      <w:r w:rsidRPr="00D4309F">
        <w:t>one</w:t>
      </w:r>
      <w:r w:rsidRPr="00D4309F">
        <w:rPr>
          <w:spacing w:val="-2"/>
        </w:rPr>
        <w:t xml:space="preserve"> </w:t>
      </w:r>
      <w:r w:rsidRPr="00D4309F">
        <w:t>habitat</w:t>
      </w:r>
      <w:r w:rsidRPr="00D4309F">
        <w:rPr>
          <w:spacing w:val="-2"/>
        </w:rPr>
        <w:t xml:space="preserve"> </w:t>
      </w:r>
      <w:r w:rsidRPr="00D4309F">
        <w:t>critical</w:t>
      </w:r>
      <w:r w:rsidRPr="00D4309F">
        <w:rPr>
          <w:spacing w:val="-2"/>
        </w:rPr>
        <w:t xml:space="preserve"> </w:t>
      </w:r>
      <w:r w:rsidRPr="00D4309F">
        <w:t>to</w:t>
      </w:r>
      <w:r w:rsidRPr="00D4309F">
        <w:rPr>
          <w:spacing w:val="-2"/>
        </w:rPr>
        <w:t xml:space="preserve"> </w:t>
      </w:r>
      <w:r w:rsidRPr="00D4309F">
        <w:t>the</w:t>
      </w:r>
      <w:r w:rsidRPr="00D4309F">
        <w:rPr>
          <w:spacing w:val="-2"/>
        </w:rPr>
        <w:t xml:space="preserve"> </w:t>
      </w:r>
      <w:r w:rsidRPr="00D4309F">
        <w:t>survival</w:t>
      </w:r>
      <w:r w:rsidRPr="00D4309F">
        <w:rPr>
          <w:spacing w:val="-2"/>
        </w:rPr>
        <w:t xml:space="preserve"> </w:t>
      </w:r>
      <w:r w:rsidRPr="00D4309F">
        <w:t>of</w:t>
      </w:r>
      <w:r w:rsidRPr="00D4309F">
        <w:rPr>
          <w:spacing w:val="-2"/>
        </w:rPr>
        <w:t xml:space="preserve"> </w:t>
      </w:r>
      <w:r w:rsidRPr="00D4309F">
        <w:t>marine turtles which is known to occur in the study area: Loggerhead turtle nesting between November and February (DCCEEW, 2025). The PMST results lists the following biologically important areas (BIAs) known to occur in the search area:</w:t>
      </w:r>
    </w:p>
    <w:p w14:paraId="2F1C588F" w14:textId="77777777" w:rsidR="00725977" w:rsidRPr="00D4309F" w:rsidRDefault="00725977" w:rsidP="00CB0B13">
      <w:pPr>
        <w:pStyle w:val="ListBullet"/>
      </w:pPr>
      <w:r w:rsidRPr="00D4309F">
        <w:t>Breeding</w:t>
      </w:r>
      <w:r w:rsidRPr="00D4309F">
        <w:rPr>
          <w:spacing w:val="-7"/>
        </w:rPr>
        <w:t xml:space="preserve"> </w:t>
      </w:r>
      <w:r w:rsidRPr="00D4309F">
        <w:t>BIA</w:t>
      </w:r>
      <w:r w:rsidRPr="00D4309F">
        <w:rPr>
          <w:spacing w:val="-5"/>
        </w:rPr>
        <w:t xml:space="preserve"> </w:t>
      </w:r>
      <w:r w:rsidRPr="00D4309F">
        <w:t>for</w:t>
      </w:r>
      <w:r w:rsidRPr="00D4309F">
        <w:rPr>
          <w:spacing w:val="-3"/>
        </w:rPr>
        <w:t xml:space="preserve"> </w:t>
      </w:r>
      <w:r w:rsidRPr="00D4309F">
        <w:t>Indo-Pacific</w:t>
      </w:r>
      <w:r w:rsidRPr="00D4309F">
        <w:rPr>
          <w:spacing w:val="-4"/>
        </w:rPr>
        <w:t xml:space="preserve"> </w:t>
      </w:r>
      <w:r w:rsidRPr="00D4309F">
        <w:t>Humpback</w:t>
      </w:r>
      <w:r w:rsidRPr="00D4309F">
        <w:rPr>
          <w:spacing w:val="-4"/>
        </w:rPr>
        <w:t xml:space="preserve"> </w:t>
      </w:r>
      <w:r w:rsidRPr="00D4309F">
        <w:t>Dolphin</w:t>
      </w:r>
      <w:r w:rsidRPr="00D4309F">
        <w:rPr>
          <w:spacing w:val="-5"/>
        </w:rPr>
        <w:t xml:space="preserve"> </w:t>
      </w:r>
      <w:r w:rsidRPr="00D4309F">
        <w:t>(</w:t>
      </w:r>
      <w:r w:rsidRPr="00D4309F">
        <w:rPr>
          <w:i/>
        </w:rPr>
        <w:t>Sousa</w:t>
      </w:r>
      <w:r w:rsidRPr="00D4309F">
        <w:rPr>
          <w:i/>
          <w:spacing w:val="-4"/>
        </w:rPr>
        <w:t xml:space="preserve"> </w:t>
      </w:r>
      <w:r w:rsidRPr="00D4309F">
        <w:rPr>
          <w:i/>
          <w:spacing w:val="-2"/>
        </w:rPr>
        <w:t>chinensis</w:t>
      </w:r>
      <w:r w:rsidRPr="00D4309F">
        <w:rPr>
          <w:spacing w:val="-2"/>
        </w:rPr>
        <w:t>)</w:t>
      </w:r>
    </w:p>
    <w:p w14:paraId="6D7E38F8" w14:textId="77777777" w:rsidR="00725977" w:rsidRPr="00D4309F" w:rsidRDefault="00725977" w:rsidP="00CB0B13">
      <w:pPr>
        <w:pStyle w:val="ListBullet"/>
      </w:pPr>
      <w:r w:rsidRPr="00D4309F">
        <w:t>Breeding</w:t>
      </w:r>
      <w:r w:rsidRPr="00D4309F">
        <w:rPr>
          <w:spacing w:val="-8"/>
        </w:rPr>
        <w:t xml:space="preserve"> </w:t>
      </w:r>
      <w:r w:rsidRPr="00D4309F">
        <w:t>BIA</w:t>
      </w:r>
      <w:r w:rsidRPr="00D4309F">
        <w:rPr>
          <w:spacing w:val="-6"/>
        </w:rPr>
        <w:t xml:space="preserve"> </w:t>
      </w:r>
      <w:r w:rsidRPr="00D4309F">
        <w:t>for</w:t>
      </w:r>
      <w:r w:rsidRPr="00D4309F">
        <w:rPr>
          <w:spacing w:val="-5"/>
        </w:rPr>
        <w:t xml:space="preserve"> </w:t>
      </w:r>
      <w:r w:rsidRPr="00D4309F">
        <w:t>Indo-Pacific/Spotted</w:t>
      </w:r>
      <w:r w:rsidRPr="00D4309F">
        <w:rPr>
          <w:spacing w:val="-5"/>
        </w:rPr>
        <w:t xml:space="preserve"> </w:t>
      </w:r>
      <w:r w:rsidRPr="00D4309F">
        <w:t>Bottlenose</w:t>
      </w:r>
      <w:r w:rsidRPr="00D4309F">
        <w:rPr>
          <w:spacing w:val="-6"/>
        </w:rPr>
        <w:t xml:space="preserve"> </w:t>
      </w:r>
      <w:r w:rsidRPr="00D4309F">
        <w:t>Dolphin</w:t>
      </w:r>
      <w:r w:rsidRPr="00D4309F">
        <w:rPr>
          <w:spacing w:val="-6"/>
        </w:rPr>
        <w:t xml:space="preserve"> </w:t>
      </w:r>
      <w:r w:rsidRPr="00D4309F">
        <w:t>(</w:t>
      </w:r>
      <w:r w:rsidRPr="00D4309F">
        <w:rPr>
          <w:i/>
        </w:rPr>
        <w:t>Tursiops</w:t>
      </w:r>
      <w:r w:rsidRPr="00D4309F">
        <w:rPr>
          <w:i/>
          <w:spacing w:val="-4"/>
        </w:rPr>
        <w:t xml:space="preserve"> </w:t>
      </w:r>
      <w:r w:rsidRPr="00D4309F">
        <w:rPr>
          <w:i/>
          <w:spacing w:val="-2"/>
        </w:rPr>
        <w:t>aduncus</w:t>
      </w:r>
      <w:r w:rsidRPr="00D4309F">
        <w:rPr>
          <w:spacing w:val="-2"/>
        </w:rPr>
        <w:t>)</w:t>
      </w:r>
    </w:p>
    <w:p w14:paraId="1E5C65D3" w14:textId="77777777" w:rsidR="00725977" w:rsidRPr="00D4309F" w:rsidRDefault="00725977" w:rsidP="00CB0B13">
      <w:pPr>
        <w:pStyle w:val="ListBullet"/>
      </w:pPr>
      <w:r w:rsidRPr="00D4309F">
        <w:t>Nesting</w:t>
      </w:r>
      <w:r w:rsidRPr="00D4309F">
        <w:rPr>
          <w:spacing w:val="-5"/>
        </w:rPr>
        <w:t xml:space="preserve"> </w:t>
      </w:r>
      <w:r w:rsidRPr="00D4309F">
        <w:t>BIA</w:t>
      </w:r>
      <w:r w:rsidRPr="00D4309F">
        <w:rPr>
          <w:spacing w:val="-5"/>
        </w:rPr>
        <w:t xml:space="preserve"> </w:t>
      </w:r>
      <w:r w:rsidRPr="00D4309F">
        <w:t>for</w:t>
      </w:r>
      <w:r w:rsidRPr="00D4309F">
        <w:rPr>
          <w:spacing w:val="-4"/>
        </w:rPr>
        <w:t xml:space="preserve"> </w:t>
      </w:r>
      <w:r w:rsidRPr="00D4309F">
        <w:t>Loggerhead</w:t>
      </w:r>
      <w:r w:rsidRPr="00D4309F">
        <w:rPr>
          <w:spacing w:val="-5"/>
        </w:rPr>
        <w:t xml:space="preserve"> </w:t>
      </w:r>
      <w:r w:rsidRPr="00D4309F">
        <w:t>Turtles</w:t>
      </w:r>
      <w:r w:rsidRPr="00D4309F">
        <w:rPr>
          <w:spacing w:val="-4"/>
        </w:rPr>
        <w:t xml:space="preserve"> </w:t>
      </w:r>
      <w:r w:rsidRPr="00D4309F">
        <w:t>(</w:t>
      </w:r>
      <w:r w:rsidRPr="00D4309F">
        <w:rPr>
          <w:i/>
        </w:rPr>
        <w:t>Caretta</w:t>
      </w:r>
      <w:r w:rsidRPr="00D4309F">
        <w:rPr>
          <w:i/>
          <w:spacing w:val="-4"/>
        </w:rPr>
        <w:t xml:space="preserve"> </w:t>
      </w:r>
      <w:r w:rsidRPr="00D4309F">
        <w:rPr>
          <w:i/>
          <w:spacing w:val="-2"/>
        </w:rPr>
        <w:t>caretta</w:t>
      </w:r>
      <w:r w:rsidRPr="00D4309F">
        <w:rPr>
          <w:spacing w:val="-2"/>
        </w:rPr>
        <w:t>)</w:t>
      </w:r>
    </w:p>
    <w:p w14:paraId="59BB2080" w14:textId="77777777" w:rsidR="00725977" w:rsidRPr="00D4309F" w:rsidRDefault="00725977" w:rsidP="00CB0B13">
      <w:pPr>
        <w:pStyle w:val="ListBullet"/>
      </w:pPr>
      <w:r w:rsidRPr="00D4309F">
        <w:t>Foraging</w:t>
      </w:r>
      <w:r w:rsidRPr="00D4309F">
        <w:rPr>
          <w:spacing w:val="-4"/>
        </w:rPr>
        <w:t xml:space="preserve"> </w:t>
      </w:r>
      <w:r w:rsidRPr="00D4309F">
        <w:t>BIA</w:t>
      </w:r>
      <w:r w:rsidRPr="00D4309F">
        <w:rPr>
          <w:spacing w:val="-4"/>
        </w:rPr>
        <w:t xml:space="preserve"> </w:t>
      </w:r>
      <w:r w:rsidRPr="00D4309F">
        <w:t>for</w:t>
      </w:r>
      <w:r w:rsidRPr="00D4309F">
        <w:rPr>
          <w:spacing w:val="-3"/>
        </w:rPr>
        <w:t xml:space="preserve"> </w:t>
      </w:r>
      <w:r w:rsidRPr="00D4309F">
        <w:t>Grey</w:t>
      </w:r>
      <w:r w:rsidRPr="00D4309F">
        <w:rPr>
          <w:spacing w:val="-3"/>
        </w:rPr>
        <w:t xml:space="preserve"> </w:t>
      </w:r>
      <w:r w:rsidRPr="00D4309F">
        <w:t>Nurse</w:t>
      </w:r>
      <w:r w:rsidRPr="00D4309F">
        <w:rPr>
          <w:spacing w:val="-4"/>
        </w:rPr>
        <w:t xml:space="preserve"> </w:t>
      </w:r>
      <w:r w:rsidRPr="00D4309F">
        <w:t>Shark</w:t>
      </w:r>
      <w:r w:rsidRPr="00D4309F">
        <w:rPr>
          <w:spacing w:val="-3"/>
        </w:rPr>
        <w:t xml:space="preserve"> </w:t>
      </w:r>
      <w:r w:rsidRPr="00D4309F">
        <w:t>(</w:t>
      </w:r>
      <w:r w:rsidRPr="00D4309F">
        <w:rPr>
          <w:i/>
        </w:rPr>
        <w:t>Carcharias</w:t>
      </w:r>
      <w:r w:rsidRPr="00D4309F">
        <w:rPr>
          <w:i/>
          <w:spacing w:val="-2"/>
        </w:rPr>
        <w:t xml:space="preserve"> taurus</w:t>
      </w:r>
      <w:r w:rsidRPr="00D4309F">
        <w:rPr>
          <w:spacing w:val="-2"/>
        </w:rPr>
        <w:t>)</w:t>
      </w:r>
    </w:p>
    <w:p w14:paraId="7ADAA7F6" w14:textId="77777777" w:rsidR="00725977" w:rsidRPr="00D4309F" w:rsidRDefault="00725977" w:rsidP="00CB0B13">
      <w:pPr>
        <w:pStyle w:val="ListBullet"/>
      </w:pPr>
      <w:r w:rsidRPr="00D4309F">
        <w:t>Migration</w:t>
      </w:r>
      <w:r w:rsidRPr="00D4309F">
        <w:rPr>
          <w:spacing w:val="-8"/>
        </w:rPr>
        <w:t xml:space="preserve"> </w:t>
      </w:r>
      <w:r w:rsidRPr="00D4309F">
        <w:t>BIA</w:t>
      </w:r>
      <w:r w:rsidRPr="00D4309F">
        <w:rPr>
          <w:spacing w:val="-5"/>
        </w:rPr>
        <w:t xml:space="preserve"> </w:t>
      </w:r>
      <w:r w:rsidRPr="00D4309F">
        <w:t>for</w:t>
      </w:r>
      <w:r w:rsidRPr="00D4309F">
        <w:rPr>
          <w:spacing w:val="-4"/>
        </w:rPr>
        <w:t xml:space="preserve"> </w:t>
      </w:r>
      <w:r w:rsidRPr="00D4309F">
        <w:t>Humpback</w:t>
      </w:r>
      <w:r w:rsidRPr="00D4309F">
        <w:rPr>
          <w:spacing w:val="-4"/>
        </w:rPr>
        <w:t xml:space="preserve"> </w:t>
      </w:r>
      <w:r w:rsidRPr="00D4309F">
        <w:t>Whales</w:t>
      </w:r>
      <w:r w:rsidRPr="00D4309F">
        <w:rPr>
          <w:spacing w:val="-4"/>
        </w:rPr>
        <w:t xml:space="preserve"> </w:t>
      </w:r>
      <w:r w:rsidRPr="00D4309F">
        <w:t>(</w:t>
      </w:r>
      <w:r w:rsidRPr="00D4309F">
        <w:rPr>
          <w:i/>
        </w:rPr>
        <w:t>Megaptera</w:t>
      </w:r>
      <w:r w:rsidRPr="00D4309F">
        <w:rPr>
          <w:i/>
          <w:spacing w:val="-5"/>
        </w:rPr>
        <w:t xml:space="preserve"> </w:t>
      </w:r>
      <w:r w:rsidRPr="00D4309F">
        <w:rPr>
          <w:i/>
          <w:spacing w:val="-2"/>
        </w:rPr>
        <w:t>novaeangliae</w:t>
      </w:r>
      <w:r w:rsidRPr="00D4309F">
        <w:rPr>
          <w:spacing w:val="-2"/>
        </w:rPr>
        <w:t>)</w:t>
      </w:r>
    </w:p>
    <w:p w14:paraId="316A83ED" w14:textId="77777777" w:rsidR="00725977" w:rsidRPr="00D4309F" w:rsidRDefault="00725977" w:rsidP="00725977">
      <w:pPr>
        <w:pStyle w:val="BodyText"/>
      </w:pPr>
      <w:r w:rsidRPr="00D4309F">
        <w:t>Five</w:t>
      </w:r>
      <w:r w:rsidRPr="00D4309F">
        <w:rPr>
          <w:spacing w:val="-3"/>
        </w:rPr>
        <w:t xml:space="preserve"> </w:t>
      </w:r>
      <w:r w:rsidRPr="00D4309F">
        <w:t>threatened</w:t>
      </w:r>
      <w:r w:rsidRPr="00D4309F">
        <w:rPr>
          <w:spacing w:val="-3"/>
        </w:rPr>
        <w:t xml:space="preserve"> </w:t>
      </w:r>
      <w:r w:rsidRPr="00D4309F">
        <w:t>ecological</w:t>
      </w:r>
      <w:r w:rsidRPr="00D4309F">
        <w:rPr>
          <w:spacing w:val="-4"/>
        </w:rPr>
        <w:t xml:space="preserve"> </w:t>
      </w:r>
      <w:r w:rsidRPr="00D4309F">
        <w:t>communities</w:t>
      </w:r>
      <w:r w:rsidRPr="00D4309F">
        <w:rPr>
          <w:spacing w:val="-2"/>
        </w:rPr>
        <w:t xml:space="preserve"> </w:t>
      </w:r>
      <w:r w:rsidRPr="00D4309F">
        <w:t>(TEC)</w:t>
      </w:r>
      <w:r w:rsidRPr="00D4309F">
        <w:rPr>
          <w:spacing w:val="-3"/>
        </w:rPr>
        <w:t xml:space="preserve"> </w:t>
      </w:r>
      <w:r w:rsidRPr="00D4309F">
        <w:t>are</w:t>
      </w:r>
      <w:r w:rsidRPr="00D4309F">
        <w:rPr>
          <w:spacing w:val="-3"/>
        </w:rPr>
        <w:t xml:space="preserve"> </w:t>
      </w:r>
      <w:r w:rsidRPr="00D4309F">
        <w:t>listed</w:t>
      </w:r>
      <w:r w:rsidRPr="00D4309F">
        <w:rPr>
          <w:spacing w:val="-3"/>
        </w:rPr>
        <w:t xml:space="preserve"> </w:t>
      </w:r>
      <w:r w:rsidRPr="00D4309F">
        <w:t>as</w:t>
      </w:r>
      <w:r w:rsidRPr="00D4309F">
        <w:rPr>
          <w:spacing w:val="-2"/>
        </w:rPr>
        <w:t xml:space="preserve"> </w:t>
      </w:r>
      <w:r w:rsidRPr="00D4309F">
        <w:t>present</w:t>
      </w:r>
      <w:r w:rsidRPr="00D4309F">
        <w:rPr>
          <w:spacing w:val="-5"/>
        </w:rPr>
        <w:t xml:space="preserve"> </w:t>
      </w:r>
      <w:r w:rsidRPr="00D4309F">
        <w:t>in</w:t>
      </w:r>
      <w:r w:rsidRPr="00D4309F">
        <w:rPr>
          <w:spacing w:val="-3"/>
        </w:rPr>
        <w:t xml:space="preserve"> </w:t>
      </w:r>
      <w:r w:rsidRPr="00D4309F">
        <w:t>the</w:t>
      </w:r>
      <w:r w:rsidRPr="00D4309F">
        <w:rPr>
          <w:spacing w:val="-3"/>
        </w:rPr>
        <w:t xml:space="preserve"> </w:t>
      </w:r>
      <w:r w:rsidRPr="00D4309F">
        <w:t>PMST</w:t>
      </w:r>
      <w:r w:rsidRPr="00D4309F">
        <w:rPr>
          <w:spacing w:val="-2"/>
        </w:rPr>
        <w:t xml:space="preserve"> </w:t>
      </w:r>
      <w:r w:rsidRPr="00D4309F">
        <w:t>search</w:t>
      </w:r>
      <w:r w:rsidRPr="00D4309F">
        <w:rPr>
          <w:spacing w:val="-3"/>
        </w:rPr>
        <w:t xml:space="preserve"> </w:t>
      </w:r>
      <w:r w:rsidRPr="00D4309F">
        <w:t>area.</w:t>
      </w:r>
      <w:r w:rsidRPr="00D4309F">
        <w:rPr>
          <w:spacing w:val="-4"/>
        </w:rPr>
        <w:t xml:space="preserve"> </w:t>
      </w:r>
      <w:r w:rsidRPr="00D4309F">
        <w:t>The</w:t>
      </w:r>
      <w:r w:rsidRPr="00D4309F">
        <w:rPr>
          <w:spacing w:val="-3"/>
        </w:rPr>
        <w:t xml:space="preserve"> </w:t>
      </w:r>
      <w:r w:rsidRPr="00D4309F">
        <w:t>PMST results lists the following TECs that are likely to or may occur in the search area:</w:t>
      </w:r>
    </w:p>
    <w:p w14:paraId="5E53E2CD" w14:textId="77777777" w:rsidR="00725977" w:rsidRPr="00D4309F" w:rsidRDefault="00725977" w:rsidP="00CB0B13">
      <w:pPr>
        <w:pStyle w:val="ListBullet"/>
      </w:pPr>
      <w:r w:rsidRPr="00D4309F">
        <w:t>Subtropical</w:t>
      </w:r>
      <w:r w:rsidRPr="00D4309F">
        <w:rPr>
          <w:spacing w:val="-3"/>
        </w:rPr>
        <w:t xml:space="preserve"> </w:t>
      </w:r>
      <w:r w:rsidRPr="00D4309F">
        <w:t>eucalypt</w:t>
      </w:r>
      <w:r w:rsidRPr="00D4309F">
        <w:rPr>
          <w:spacing w:val="-3"/>
        </w:rPr>
        <w:t xml:space="preserve"> </w:t>
      </w:r>
      <w:r w:rsidRPr="00D4309F">
        <w:t>floodplain</w:t>
      </w:r>
      <w:r w:rsidRPr="00D4309F">
        <w:rPr>
          <w:spacing w:val="-3"/>
        </w:rPr>
        <w:t xml:space="preserve"> </w:t>
      </w:r>
      <w:r w:rsidRPr="00D4309F">
        <w:t>forest</w:t>
      </w:r>
      <w:r w:rsidRPr="00D4309F">
        <w:rPr>
          <w:spacing w:val="-3"/>
        </w:rPr>
        <w:t xml:space="preserve"> </w:t>
      </w:r>
      <w:r w:rsidRPr="00D4309F">
        <w:t>and</w:t>
      </w:r>
      <w:r w:rsidRPr="00D4309F">
        <w:rPr>
          <w:spacing w:val="-3"/>
        </w:rPr>
        <w:t xml:space="preserve"> </w:t>
      </w:r>
      <w:r w:rsidRPr="00D4309F">
        <w:t>woodland</w:t>
      </w:r>
      <w:r w:rsidRPr="00D4309F">
        <w:rPr>
          <w:spacing w:val="-4"/>
        </w:rPr>
        <w:t xml:space="preserve"> </w:t>
      </w:r>
      <w:r w:rsidRPr="00D4309F">
        <w:t>of</w:t>
      </w:r>
      <w:r w:rsidRPr="00D4309F">
        <w:rPr>
          <w:spacing w:val="-3"/>
        </w:rPr>
        <w:t xml:space="preserve"> </w:t>
      </w:r>
      <w:r w:rsidRPr="00D4309F">
        <w:t>the</w:t>
      </w:r>
      <w:r w:rsidRPr="00D4309F">
        <w:rPr>
          <w:spacing w:val="-3"/>
        </w:rPr>
        <w:t xml:space="preserve"> </w:t>
      </w:r>
      <w:r w:rsidRPr="00D4309F">
        <w:t>New</w:t>
      </w:r>
      <w:r w:rsidRPr="00D4309F">
        <w:rPr>
          <w:spacing w:val="-2"/>
        </w:rPr>
        <w:t xml:space="preserve"> </w:t>
      </w:r>
      <w:r w:rsidRPr="00D4309F">
        <w:t>South</w:t>
      </w:r>
      <w:r w:rsidRPr="00D4309F">
        <w:rPr>
          <w:spacing w:val="-3"/>
        </w:rPr>
        <w:t xml:space="preserve"> </w:t>
      </w:r>
      <w:r w:rsidRPr="00D4309F">
        <w:t>Wales</w:t>
      </w:r>
      <w:r w:rsidRPr="00D4309F">
        <w:rPr>
          <w:spacing w:val="-3"/>
        </w:rPr>
        <w:t xml:space="preserve"> </w:t>
      </w:r>
      <w:r w:rsidRPr="00D4309F">
        <w:t>North</w:t>
      </w:r>
      <w:r w:rsidRPr="00D4309F">
        <w:rPr>
          <w:spacing w:val="-3"/>
        </w:rPr>
        <w:t xml:space="preserve"> </w:t>
      </w:r>
      <w:r w:rsidRPr="00D4309F">
        <w:t>Coast</w:t>
      </w:r>
      <w:r w:rsidRPr="00D4309F">
        <w:rPr>
          <w:spacing w:val="-3"/>
        </w:rPr>
        <w:t xml:space="preserve"> </w:t>
      </w:r>
      <w:r w:rsidRPr="00D4309F">
        <w:t>and</w:t>
      </w:r>
      <w:r w:rsidRPr="00D4309F">
        <w:rPr>
          <w:spacing w:val="-3"/>
        </w:rPr>
        <w:t xml:space="preserve"> </w:t>
      </w:r>
      <w:r w:rsidRPr="00D4309F">
        <w:t>South East Queensland bioregions endangered TEC likely to occur.</w:t>
      </w:r>
    </w:p>
    <w:p w14:paraId="5330CC28" w14:textId="77777777" w:rsidR="00725977" w:rsidRPr="00D4309F" w:rsidRDefault="00725977" w:rsidP="00CB0B13">
      <w:pPr>
        <w:pStyle w:val="ListBullet"/>
      </w:pPr>
      <w:r w:rsidRPr="00D4309F">
        <w:t>Coastal</w:t>
      </w:r>
      <w:r w:rsidRPr="00D4309F">
        <w:rPr>
          <w:spacing w:val="-3"/>
        </w:rPr>
        <w:t xml:space="preserve"> </w:t>
      </w:r>
      <w:r w:rsidRPr="00D4309F">
        <w:t>Swamp</w:t>
      </w:r>
      <w:r w:rsidRPr="00D4309F">
        <w:rPr>
          <w:spacing w:val="-3"/>
        </w:rPr>
        <w:t xml:space="preserve"> </w:t>
      </w:r>
      <w:r w:rsidRPr="00D4309F">
        <w:t>Sclerophyll</w:t>
      </w:r>
      <w:r w:rsidRPr="00D4309F">
        <w:rPr>
          <w:spacing w:val="-3"/>
        </w:rPr>
        <w:t xml:space="preserve"> </w:t>
      </w:r>
      <w:r w:rsidRPr="00D4309F">
        <w:t>Forest</w:t>
      </w:r>
      <w:r w:rsidRPr="00D4309F">
        <w:rPr>
          <w:spacing w:val="-3"/>
        </w:rPr>
        <w:t xml:space="preserve"> </w:t>
      </w:r>
      <w:r w:rsidRPr="00D4309F">
        <w:t>of</w:t>
      </w:r>
      <w:r w:rsidRPr="00D4309F">
        <w:rPr>
          <w:spacing w:val="-3"/>
        </w:rPr>
        <w:t xml:space="preserve"> </w:t>
      </w:r>
      <w:r w:rsidRPr="00D4309F">
        <w:t>New</w:t>
      </w:r>
      <w:r w:rsidRPr="00D4309F">
        <w:rPr>
          <w:spacing w:val="-2"/>
        </w:rPr>
        <w:t xml:space="preserve"> </w:t>
      </w:r>
      <w:r w:rsidRPr="00D4309F">
        <w:t>South</w:t>
      </w:r>
      <w:r w:rsidRPr="00D4309F">
        <w:rPr>
          <w:spacing w:val="-4"/>
        </w:rPr>
        <w:t xml:space="preserve"> </w:t>
      </w:r>
      <w:r w:rsidRPr="00D4309F">
        <w:t>Wales</w:t>
      </w:r>
      <w:r w:rsidRPr="00D4309F">
        <w:rPr>
          <w:spacing w:val="-2"/>
        </w:rPr>
        <w:t xml:space="preserve"> </w:t>
      </w:r>
      <w:r w:rsidRPr="00D4309F">
        <w:t>and</w:t>
      </w:r>
      <w:r w:rsidRPr="00D4309F">
        <w:rPr>
          <w:spacing w:val="-3"/>
        </w:rPr>
        <w:t xml:space="preserve"> </w:t>
      </w:r>
      <w:r w:rsidRPr="00D4309F">
        <w:t>South</w:t>
      </w:r>
      <w:r w:rsidRPr="00D4309F">
        <w:rPr>
          <w:spacing w:val="-4"/>
        </w:rPr>
        <w:t xml:space="preserve"> </w:t>
      </w:r>
      <w:r w:rsidRPr="00D4309F">
        <w:t>East</w:t>
      </w:r>
      <w:r w:rsidRPr="00D4309F">
        <w:rPr>
          <w:spacing w:val="-3"/>
        </w:rPr>
        <w:t xml:space="preserve"> </w:t>
      </w:r>
      <w:r w:rsidRPr="00D4309F">
        <w:t>Queensland</w:t>
      </w:r>
      <w:r w:rsidRPr="00D4309F">
        <w:rPr>
          <w:spacing w:val="-4"/>
        </w:rPr>
        <w:t xml:space="preserve"> </w:t>
      </w:r>
      <w:r w:rsidRPr="00D4309F">
        <w:t>endangered</w:t>
      </w:r>
      <w:r w:rsidRPr="00D4309F">
        <w:rPr>
          <w:spacing w:val="-3"/>
        </w:rPr>
        <w:t xml:space="preserve"> </w:t>
      </w:r>
      <w:r w:rsidRPr="00D4309F">
        <w:t>TEC likely to occur.</w:t>
      </w:r>
    </w:p>
    <w:p w14:paraId="1214F3C6" w14:textId="77777777" w:rsidR="00725977" w:rsidRPr="00D4309F" w:rsidRDefault="00725977" w:rsidP="00CB0B13">
      <w:pPr>
        <w:pStyle w:val="ListBullet"/>
      </w:pPr>
      <w:r w:rsidRPr="00D4309F">
        <w:t>Coastal</w:t>
      </w:r>
      <w:r w:rsidRPr="00D4309F">
        <w:rPr>
          <w:spacing w:val="-3"/>
        </w:rPr>
        <w:t xml:space="preserve"> </w:t>
      </w:r>
      <w:r w:rsidRPr="00D4309F">
        <w:t>Swamp</w:t>
      </w:r>
      <w:r w:rsidRPr="00D4309F">
        <w:rPr>
          <w:spacing w:val="-3"/>
        </w:rPr>
        <w:t xml:space="preserve"> </w:t>
      </w:r>
      <w:r w:rsidRPr="00D4309F">
        <w:t>Oak</w:t>
      </w:r>
      <w:r w:rsidRPr="00D4309F">
        <w:rPr>
          <w:spacing w:val="-2"/>
        </w:rPr>
        <w:t xml:space="preserve"> </w:t>
      </w:r>
      <w:r w:rsidRPr="00D4309F">
        <w:t>(</w:t>
      </w:r>
      <w:r w:rsidRPr="00D4309F">
        <w:rPr>
          <w:i/>
        </w:rPr>
        <w:t>Casuarina</w:t>
      </w:r>
      <w:r w:rsidRPr="00D4309F">
        <w:rPr>
          <w:i/>
          <w:spacing w:val="-3"/>
        </w:rPr>
        <w:t xml:space="preserve"> </w:t>
      </w:r>
      <w:r w:rsidRPr="00D4309F">
        <w:rPr>
          <w:i/>
        </w:rPr>
        <w:t>glauca</w:t>
      </w:r>
      <w:r w:rsidRPr="00D4309F">
        <w:t>)</w:t>
      </w:r>
      <w:r w:rsidRPr="00D4309F">
        <w:rPr>
          <w:spacing w:val="-2"/>
        </w:rPr>
        <w:t xml:space="preserve"> </w:t>
      </w:r>
      <w:r w:rsidRPr="00D4309F">
        <w:t>Forest</w:t>
      </w:r>
      <w:r w:rsidRPr="00D4309F">
        <w:rPr>
          <w:spacing w:val="-4"/>
        </w:rPr>
        <w:t xml:space="preserve"> </w:t>
      </w:r>
      <w:r w:rsidRPr="00D4309F">
        <w:t>of</w:t>
      </w:r>
      <w:r w:rsidRPr="00D4309F">
        <w:rPr>
          <w:spacing w:val="-3"/>
        </w:rPr>
        <w:t xml:space="preserve"> </w:t>
      </w:r>
      <w:r w:rsidRPr="00D4309F">
        <w:t>New</w:t>
      </w:r>
      <w:r w:rsidRPr="00D4309F">
        <w:rPr>
          <w:spacing w:val="-2"/>
        </w:rPr>
        <w:t xml:space="preserve"> </w:t>
      </w:r>
      <w:r w:rsidRPr="00D4309F">
        <w:t>South</w:t>
      </w:r>
      <w:r w:rsidRPr="00D4309F">
        <w:rPr>
          <w:spacing w:val="-3"/>
        </w:rPr>
        <w:t xml:space="preserve"> </w:t>
      </w:r>
      <w:r w:rsidRPr="00D4309F">
        <w:t>Wales</w:t>
      </w:r>
      <w:r w:rsidRPr="00D4309F">
        <w:rPr>
          <w:spacing w:val="-2"/>
        </w:rPr>
        <w:t xml:space="preserve"> </w:t>
      </w:r>
      <w:r w:rsidRPr="00D4309F">
        <w:t>and</w:t>
      </w:r>
      <w:r w:rsidRPr="00D4309F">
        <w:rPr>
          <w:spacing w:val="-3"/>
        </w:rPr>
        <w:t xml:space="preserve"> </w:t>
      </w:r>
      <w:r w:rsidRPr="00D4309F">
        <w:t>South</w:t>
      </w:r>
      <w:r w:rsidRPr="00D4309F">
        <w:rPr>
          <w:spacing w:val="-4"/>
        </w:rPr>
        <w:t xml:space="preserve"> </w:t>
      </w:r>
      <w:r w:rsidRPr="00D4309F">
        <w:t>East</w:t>
      </w:r>
      <w:r w:rsidRPr="00D4309F">
        <w:rPr>
          <w:spacing w:val="-3"/>
        </w:rPr>
        <w:t xml:space="preserve"> </w:t>
      </w:r>
      <w:r w:rsidRPr="00D4309F">
        <w:t>Queensland endangered TEC likely to occur.</w:t>
      </w:r>
    </w:p>
    <w:p w14:paraId="48D8B338" w14:textId="77777777" w:rsidR="00725977" w:rsidRPr="00D4309F" w:rsidRDefault="00725977" w:rsidP="00CB0B13">
      <w:pPr>
        <w:pStyle w:val="ListBullet"/>
      </w:pPr>
      <w:r w:rsidRPr="00D4309F">
        <w:t>Subtropical</w:t>
      </w:r>
      <w:r w:rsidRPr="00D4309F">
        <w:rPr>
          <w:spacing w:val="-7"/>
        </w:rPr>
        <w:t xml:space="preserve"> </w:t>
      </w:r>
      <w:r w:rsidRPr="00D4309F">
        <w:t>and</w:t>
      </w:r>
      <w:r w:rsidRPr="00D4309F">
        <w:rPr>
          <w:spacing w:val="-5"/>
        </w:rPr>
        <w:t xml:space="preserve"> </w:t>
      </w:r>
      <w:r w:rsidRPr="00D4309F">
        <w:t>Temperate</w:t>
      </w:r>
      <w:r w:rsidRPr="00D4309F">
        <w:rPr>
          <w:spacing w:val="-4"/>
        </w:rPr>
        <w:t xml:space="preserve"> </w:t>
      </w:r>
      <w:r w:rsidRPr="00D4309F">
        <w:t>Coastal</w:t>
      </w:r>
      <w:r w:rsidRPr="00D4309F">
        <w:rPr>
          <w:spacing w:val="-5"/>
        </w:rPr>
        <w:t xml:space="preserve"> </w:t>
      </w:r>
      <w:r w:rsidRPr="00D4309F">
        <w:t>Saltmarsh</w:t>
      </w:r>
      <w:r w:rsidRPr="00D4309F">
        <w:rPr>
          <w:spacing w:val="-5"/>
        </w:rPr>
        <w:t xml:space="preserve"> </w:t>
      </w:r>
      <w:r w:rsidRPr="00D4309F">
        <w:t>vulnerable</w:t>
      </w:r>
      <w:r w:rsidRPr="00D4309F">
        <w:rPr>
          <w:spacing w:val="-4"/>
        </w:rPr>
        <w:t xml:space="preserve"> </w:t>
      </w:r>
      <w:r w:rsidRPr="00D4309F">
        <w:t>TEC</w:t>
      </w:r>
      <w:r w:rsidRPr="00D4309F">
        <w:rPr>
          <w:spacing w:val="-4"/>
        </w:rPr>
        <w:t xml:space="preserve"> </w:t>
      </w:r>
      <w:r w:rsidRPr="00D4309F">
        <w:t>likely</w:t>
      </w:r>
      <w:r w:rsidRPr="00D4309F">
        <w:rPr>
          <w:spacing w:val="-4"/>
        </w:rPr>
        <w:t xml:space="preserve"> </w:t>
      </w:r>
      <w:r w:rsidRPr="00D4309F">
        <w:t>to</w:t>
      </w:r>
      <w:r w:rsidRPr="00D4309F">
        <w:rPr>
          <w:spacing w:val="-4"/>
        </w:rPr>
        <w:t xml:space="preserve"> </w:t>
      </w:r>
      <w:r w:rsidRPr="00D4309F">
        <w:rPr>
          <w:spacing w:val="-2"/>
        </w:rPr>
        <w:t>occur.</w:t>
      </w:r>
    </w:p>
    <w:p w14:paraId="536AB7D5" w14:textId="6A85874F" w:rsidR="00725977" w:rsidRPr="00D4309F" w:rsidRDefault="00725977" w:rsidP="00725977">
      <w:pPr>
        <w:pStyle w:val="ListBullet"/>
      </w:pPr>
      <w:r w:rsidRPr="00D4309F">
        <w:t>Lowland</w:t>
      </w:r>
      <w:r w:rsidRPr="00D4309F">
        <w:rPr>
          <w:spacing w:val="-8"/>
        </w:rPr>
        <w:t xml:space="preserve"> </w:t>
      </w:r>
      <w:r w:rsidRPr="00D4309F">
        <w:t>Rainforest</w:t>
      </w:r>
      <w:r w:rsidRPr="00D4309F">
        <w:rPr>
          <w:spacing w:val="-5"/>
        </w:rPr>
        <w:t xml:space="preserve"> </w:t>
      </w:r>
      <w:r w:rsidRPr="00D4309F">
        <w:t>of</w:t>
      </w:r>
      <w:r w:rsidRPr="00D4309F">
        <w:rPr>
          <w:spacing w:val="-5"/>
        </w:rPr>
        <w:t xml:space="preserve"> </w:t>
      </w:r>
      <w:r w:rsidRPr="00D4309F">
        <w:t>Subtropical</w:t>
      </w:r>
      <w:r w:rsidRPr="00D4309F">
        <w:rPr>
          <w:spacing w:val="-4"/>
        </w:rPr>
        <w:t xml:space="preserve"> </w:t>
      </w:r>
      <w:r w:rsidRPr="00D4309F">
        <w:t>Australia</w:t>
      </w:r>
      <w:r w:rsidRPr="00D4309F">
        <w:rPr>
          <w:spacing w:val="-5"/>
        </w:rPr>
        <w:t xml:space="preserve"> </w:t>
      </w:r>
      <w:r w:rsidRPr="00D4309F">
        <w:t>critically</w:t>
      </w:r>
      <w:r w:rsidRPr="00D4309F">
        <w:rPr>
          <w:spacing w:val="-4"/>
        </w:rPr>
        <w:t xml:space="preserve"> </w:t>
      </w:r>
      <w:r w:rsidRPr="00D4309F">
        <w:t>endangered</w:t>
      </w:r>
      <w:r w:rsidRPr="00D4309F">
        <w:rPr>
          <w:spacing w:val="-5"/>
        </w:rPr>
        <w:t xml:space="preserve"> </w:t>
      </w:r>
      <w:r w:rsidRPr="00D4309F">
        <w:t>TEC</w:t>
      </w:r>
      <w:r w:rsidRPr="00D4309F">
        <w:rPr>
          <w:spacing w:val="-4"/>
        </w:rPr>
        <w:t xml:space="preserve"> </w:t>
      </w:r>
      <w:r w:rsidRPr="00D4309F">
        <w:t>may</w:t>
      </w:r>
      <w:r w:rsidRPr="00D4309F">
        <w:rPr>
          <w:spacing w:val="-3"/>
        </w:rPr>
        <w:t xml:space="preserve"> </w:t>
      </w:r>
      <w:r w:rsidRPr="00D4309F">
        <w:rPr>
          <w:spacing w:val="-2"/>
        </w:rPr>
        <w:t>occur.</w:t>
      </w:r>
    </w:p>
    <w:p w14:paraId="401B4E4E" w14:textId="77777777" w:rsidR="00725977" w:rsidRPr="00EC018A" w:rsidRDefault="00725977" w:rsidP="00EC018A">
      <w:pPr>
        <w:pStyle w:val="Heading3"/>
        <w:rPr>
          <w:i/>
          <w:iCs/>
        </w:rPr>
      </w:pPr>
      <w:bookmarkStart w:id="52" w:name="_bookmark18"/>
      <w:bookmarkStart w:id="53" w:name="_Toc216699310"/>
      <w:bookmarkEnd w:id="52"/>
      <w:r w:rsidRPr="00EC018A">
        <w:rPr>
          <w:i/>
          <w:iCs/>
        </w:rPr>
        <w:t>Nature</w:t>
      </w:r>
      <w:r w:rsidRPr="00EC018A">
        <w:rPr>
          <w:i/>
          <w:iCs/>
          <w:spacing w:val="-4"/>
        </w:rPr>
        <w:t xml:space="preserve"> </w:t>
      </w:r>
      <w:r w:rsidRPr="00EC018A">
        <w:rPr>
          <w:i/>
          <w:iCs/>
        </w:rPr>
        <w:t>Conservation</w:t>
      </w:r>
      <w:r w:rsidRPr="00EC018A">
        <w:rPr>
          <w:i/>
          <w:iCs/>
          <w:spacing w:val="-4"/>
        </w:rPr>
        <w:t xml:space="preserve"> </w:t>
      </w:r>
      <w:r w:rsidRPr="00EC018A">
        <w:rPr>
          <w:i/>
          <w:iCs/>
        </w:rPr>
        <w:t>Act</w:t>
      </w:r>
      <w:r w:rsidRPr="00EC018A">
        <w:rPr>
          <w:i/>
          <w:iCs/>
          <w:spacing w:val="-6"/>
        </w:rPr>
        <w:t xml:space="preserve"> </w:t>
      </w:r>
      <w:r w:rsidRPr="00EC018A">
        <w:rPr>
          <w:i/>
          <w:iCs/>
        </w:rPr>
        <w:t>1992</w:t>
      </w:r>
      <w:r w:rsidRPr="00EC018A">
        <w:rPr>
          <w:i/>
          <w:iCs/>
          <w:spacing w:val="-5"/>
        </w:rPr>
        <w:t xml:space="preserve"> </w:t>
      </w:r>
      <w:r w:rsidRPr="00EC018A">
        <w:rPr>
          <w:i/>
          <w:iCs/>
        </w:rPr>
        <w:t>Threatened</w:t>
      </w:r>
      <w:r w:rsidRPr="00EC018A">
        <w:rPr>
          <w:i/>
          <w:iCs/>
          <w:spacing w:val="-4"/>
        </w:rPr>
        <w:t xml:space="preserve"> </w:t>
      </w:r>
      <w:r w:rsidRPr="00EC018A">
        <w:rPr>
          <w:i/>
          <w:iCs/>
          <w:spacing w:val="-2"/>
        </w:rPr>
        <w:t>Species</w:t>
      </w:r>
      <w:bookmarkEnd w:id="53"/>
    </w:p>
    <w:p w14:paraId="7297DDB3" w14:textId="04487156" w:rsidR="00725977" w:rsidRPr="00D4309F" w:rsidRDefault="00725977" w:rsidP="00725977">
      <w:pPr>
        <w:pStyle w:val="BodyText"/>
      </w:pPr>
      <w:r w:rsidRPr="00D4309F">
        <w:t xml:space="preserve">A review of the Wildnet database (DETSI, 2025) managed by the Department of Environment and Science, was undertaken to determine if any species of conservation significance under the </w:t>
      </w:r>
      <w:r w:rsidRPr="00D4309F">
        <w:rPr>
          <w:i/>
        </w:rPr>
        <w:t xml:space="preserve">Queensland Nature Conservation Act 1992 </w:t>
      </w:r>
      <w:r w:rsidRPr="00D4309F">
        <w:t xml:space="preserve">(NC Act) occur within or in the vicinity of the potential areas of disturbance. The search was undertaken over an area centred on the entrance to the Mooloolaba Boat Harbour with a 2 km search radius and the full Wildnet results are detailed in Appendix A. A total of 136 species of fauna were </w:t>
      </w:r>
      <w:r w:rsidRPr="00D4309F">
        <w:lastRenderedPageBreak/>
        <w:t xml:space="preserve">recorded on the Wildnet database within or in the vicinity of </w:t>
      </w:r>
      <w:r w:rsidR="00875728">
        <w:t>the</w:t>
      </w:r>
      <w:r w:rsidRPr="00D4309F">
        <w:t xml:space="preserve"> study area, comprising two amphibia,</w:t>
      </w:r>
      <w:r w:rsidRPr="00D4309F">
        <w:rPr>
          <w:spacing w:val="-3"/>
        </w:rPr>
        <w:t xml:space="preserve"> </w:t>
      </w:r>
      <w:r w:rsidRPr="00D4309F">
        <w:t>120</w:t>
      </w:r>
      <w:r w:rsidRPr="00D4309F">
        <w:rPr>
          <w:spacing w:val="-3"/>
        </w:rPr>
        <w:t xml:space="preserve"> </w:t>
      </w:r>
      <w:r w:rsidRPr="00D4309F">
        <w:t>aves,</w:t>
      </w:r>
      <w:r w:rsidRPr="00D4309F">
        <w:rPr>
          <w:spacing w:val="-3"/>
        </w:rPr>
        <w:t xml:space="preserve"> </w:t>
      </w:r>
      <w:r w:rsidRPr="00D4309F">
        <w:t>five</w:t>
      </w:r>
      <w:r w:rsidRPr="00D4309F">
        <w:rPr>
          <w:spacing w:val="-3"/>
        </w:rPr>
        <w:t xml:space="preserve"> </w:t>
      </w:r>
      <w:r w:rsidRPr="00D4309F">
        <w:t>insecta,</w:t>
      </w:r>
      <w:r w:rsidRPr="00D4309F">
        <w:rPr>
          <w:spacing w:val="-3"/>
        </w:rPr>
        <w:t xml:space="preserve"> </w:t>
      </w:r>
      <w:r w:rsidRPr="00D4309F">
        <w:t>three</w:t>
      </w:r>
      <w:r w:rsidRPr="00D4309F">
        <w:rPr>
          <w:spacing w:val="-4"/>
        </w:rPr>
        <w:t xml:space="preserve"> </w:t>
      </w:r>
      <w:r w:rsidRPr="00D4309F">
        <w:t>mammalia</w:t>
      </w:r>
      <w:r w:rsidRPr="00D4309F">
        <w:rPr>
          <w:spacing w:val="-3"/>
        </w:rPr>
        <w:t xml:space="preserve"> </w:t>
      </w:r>
      <w:r w:rsidRPr="00D4309F">
        <w:t>and</w:t>
      </w:r>
      <w:r w:rsidRPr="00D4309F">
        <w:rPr>
          <w:spacing w:val="-3"/>
        </w:rPr>
        <w:t xml:space="preserve"> </w:t>
      </w:r>
      <w:r w:rsidRPr="00D4309F">
        <w:t>six</w:t>
      </w:r>
      <w:r w:rsidRPr="00D4309F">
        <w:rPr>
          <w:spacing w:val="-3"/>
        </w:rPr>
        <w:t xml:space="preserve"> </w:t>
      </w:r>
      <w:r w:rsidRPr="00D4309F">
        <w:t>reptilia</w:t>
      </w:r>
      <w:r w:rsidRPr="00D4309F">
        <w:rPr>
          <w:spacing w:val="-3"/>
        </w:rPr>
        <w:t xml:space="preserve"> </w:t>
      </w:r>
      <w:r w:rsidRPr="00D4309F">
        <w:t>(DETSI,</w:t>
      </w:r>
      <w:r w:rsidRPr="00D4309F">
        <w:rPr>
          <w:spacing w:val="-3"/>
        </w:rPr>
        <w:t xml:space="preserve"> </w:t>
      </w:r>
      <w:r w:rsidRPr="00D4309F">
        <w:t>2025).</w:t>
      </w:r>
      <w:r w:rsidRPr="00D4309F">
        <w:rPr>
          <w:spacing w:val="-3"/>
        </w:rPr>
        <w:t xml:space="preserve"> </w:t>
      </w:r>
      <w:r w:rsidRPr="00D4309F">
        <w:t>The</w:t>
      </w:r>
      <w:r w:rsidRPr="00D4309F">
        <w:rPr>
          <w:spacing w:val="-3"/>
        </w:rPr>
        <w:t xml:space="preserve"> </w:t>
      </w:r>
      <w:r w:rsidRPr="00D4309F">
        <w:t>majority</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species listed</w:t>
      </w:r>
      <w:r w:rsidRPr="00D4309F">
        <w:rPr>
          <w:spacing w:val="-2"/>
        </w:rPr>
        <w:t xml:space="preserve"> </w:t>
      </w:r>
      <w:r w:rsidRPr="00D4309F">
        <w:t>as</w:t>
      </w:r>
      <w:r w:rsidRPr="00D4309F">
        <w:rPr>
          <w:spacing w:val="-1"/>
        </w:rPr>
        <w:t xml:space="preserve"> </w:t>
      </w:r>
      <w:r w:rsidRPr="00D4309F">
        <w:t>conservation</w:t>
      </w:r>
      <w:r w:rsidRPr="00D4309F">
        <w:rPr>
          <w:spacing w:val="-2"/>
        </w:rPr>
        <w:t xml:space="preserve"> </w:t>
      </w:r>
      <w:r w:rsidRPr="00D4309F">
        <w:t>significant</w:t>
      </w:r>
      <w:r w:rsidRPr="00D4309F">
        <w:rPr>
          <w:spacing w:val="-2"/>
        </w:rPr>
        <w:t xml:space="preserve"> </w:t>
      </w:r>
      <w:r w:rsidRPr="00D4309F">
        <w:t>species</w:t>
      </w:r>
      <w:r w:rsidRPr="00D4309F">
        <w:rPr>
          <w:spacing w:val="-2"/>
        </w:rPr>
        <w:t xml:space="preserve"> </w:t>
      </w:r>
      <w:r w:rsidRPr="00D4309F">
        <w:t>under</w:t>
      </w:r>
      <w:r w:rsidRPr="00D4309F">
        <w:rPr>
          <w:spacing w:val="-1"/>
        </w:rPr>
        <w:t xml:space="preserve"> </w:t>
      </w:r>
      <w:r w:rsidRPr="00D4309F">
        <w:t>the</w:t>
      </w:r>
      <w:r w:rsidRPr="00D4309F">
        <w:rPr>
          <w:spacing w:val="-3"/>
        </w:rPr>
        <w:t xml:space="preserve"> </w:t>
      </w:r>
      <w:r w:rsidRPr="00D4309F">
        <w:t>NC</w:t>
      </w:r>
      <w:r w:rsidRPr="00D4309F">
        <w:rPr>
          <w:spacing w:val="-1"/>
        </w:rPr>
        <w:t xml:space="preserve"> </w:t>
      </w:r>
      <w:r w:rsidRPr="00D4309F">
        <w:t>Act</w:t>
      </w:r>
      <w:r w:rsidRPr="00D4309F">
        <w:rPr>
          <w:spacing w:val="-3"/>
        </w:rPr>
        <w:t xml:space="preserve"> </w:t>
      </w:r>
      <w:r w:rsidRPr="00D4309F">
        <w:t>and</w:t>
      </w:r>
      <w:r w:rsidRPr="00D4309F">
        <w:rPr>
          <w:spacing w:val="-3"/>
        </w:rPr>
        <w:t xml:space="preserve"> </w:t>
      </w:r>
      <w:r w:rsidRPr="00D4309F">
        <w:t>were</w:t>
      </w:r>
      <w:r w:rsidRPr="00D4309F">
        <w:rPr>
          <w:spacing w:val="-2"/>
        </w:rPr>
        <w:t xml:space="preserve"> </w:t>
      </w:r>
      <w:r w:rsidRPr="00D4309F">
        <w:t>recorded</w:t>
      </w:r>
      <w:r w:rsidRPr="00D4309F">
        <w:rPr>
          <w:spacing w:val="-2"/>
        </w:rPr>
        <w:t xml:space="preserve"> </w:t>
      </w:r>
      <w:r w:rsidRPr="00D4309F">
        <w:t>in</w:t>
      </w:r>
      <w:r w:rsidRPr="00D4309F">
        <w:rPr>
          <w:spacing w:val="-2"/>
        </w:rPr>
        <w:t xml:space="preserve"> </w:t>
      </w:r>
      <w:r w:rsidRPr="00D4309F">
        <w:t>the</w:t>
      </w:r>
      <w:r w:rsidRPr="00D4309F">
        <w:rPr>
          <w:spacing w:val="-2"/>
        </w:rPr>
        <w:t xml:space="preserve"> </w:t>
      </w:r>
      <w:r w:rsidRPr="00D4309F">
        <w:t>La</w:t>
      </w:r>
      <w:r w:rsidRPr="00D4309F">
        <w:rPr>
          <w:spacing w:val="-2"/>
        </w:rPr>
        <w:t xml:space="preserve"> </w:t>
      </w:r>
      <w:r w:rsidRPr="00D4309F">
        <w:t>Balsa</w:t>
      </w:r>
      <w:r w:rsidRPr="00D4309F">
        <w:rPr>
          <w:spacing w:val="-2"/>
        </w:rPr>
        <w:t xml:space="preserve"> </w:t>
      </w:r>
      <w:r w:rsidRPr="00D4309F">
        <w:t>Park</w:t>
      </w:r>
      <w:r w:rsidRPr="00D4309F">
        <w:rPr>
          <w:spacing w:val="-1"/>
        </w:rPr>
        <w:t xml:space="preserve"> </w:t>
      </w:r>
      <w:r w:rsidRPr="00D4309F">
        <w:t>and Point Cartwright Reserve.</w:t>
      </w:r>
    </w:p>
    <w:p w14:paraId="047E87DC" w14:textId="3CD3D014" w:rsidR="00F06E88" w:rsidRPr="00C3632A" w:rsidRDefault="00725977" w:rsidP="00725977">
      <w:pPr>
        <w:pStyle w:val="BodyText"/>
        <w:rPr>
          <w:spacing w:val="-2"/>
        </w:rPr>
      </w:pPr>
      <w:r w:rsidRPr="00D4309F">
        <w:t>Additionally,</w:t>
      </w:r>
      <w:r w:rsidRPr="00D4309F">
        <w:rPr>
          <w:spacing w:val="-2"/>
        </w:rPr>
        <w:t xml:space="preserve"> </w:t>
      </w:r>
      <w:r w:rsidRPr="00D4309F">
        <w:t>a</w:t>
      </w:r>
      <w:r w:rsidRPr="00D4309F">
        <w:rPr>
          <w:spacing w:val="-2"/>
        </w:rPr>
        <w:t xml:space="preserve"> </w:t>
      </w:r>
      <w:r w:rsidRPr="00D4309F">
        <w:t>search</w:t>
      </w:r>
      <w:r w:rsidRPr="00D4309F">
        <w:rPr>
          <w:spacing w:val="-3"/>
        </w:rPr>
        <w:t xml:space="preserve"> </w:t>
      </w:r>
      <w:r w:rsidRPr="00D4309F">
        <w:t>of</w:t>
      </w:r>
      <w:r w:rsidRPr="00D4309F">
        <w:rPr>
          <w:spacing w:val="-2"/>
        </w:rPr>
        <w:t xml:space="preserve"> </w:t>
      </w:r>
      <w:r w:rsidRPr="00D4309F">
        <w:t>the</w:t>
      </w:r>
      <w:r w:rsidRPr="00D4309F">
        <w:rPr>
          <w:spacing w:val="-2"/>
        </w:rPr>
        <w:t xml:space="preserve"> </w:t>
      </w:r>
      <w:r w:rsidRPr="00D4309F">
        <w:t>ATLAS</w:t>
      </w:r>
      <w:r w:rsidRPr="00D4309F">
        <w:rPr>
          <w:spacing w:val="-3"/>
        </w:rPr>
        <w:t xml:space="preserve"> </w:t>
      </w:r>
      <w:r w:rsidRPr="00D4309F">
        <w:t>of</w:t>
      </w:r>
      <w:r w:rsidRPr="00D4309F">
        <w:rPr>
          <w:spacing w:val="-2"/>
        </w:rPr>
        <w:t xml:space="preserve"> </w:t>
      </w:r>
      <w:r w:rsidRPr="00D4309F">
        <w:t>living</w:t>
      </w:r>
      <w:r w:rsidRPr="00D4309F">
        <w:rPr>
          <w:spacing w:val="-2"/>
        </w:rPr>
        <w:t xml:space="preserve"> </w:t>
      </w:r>
      <w:r w:rsidRPr="00D4309F">
        <w:t>Australia</w:t>
      </w:r>
      <w:r w:rsidRPr="00D4309F">
        <w:rPr>
          <w:spacing w:val="-3"/>
        </w:rPr>
        <w:t xml:space="preserve"> </w:t>
      </w:r>
      <w:r w:rsidRPr="00D4309F">
        <w:t>database</w:t>
      </w:r>
      <w:r w:rsidRPr="00D4309F">
        <w:rPr>
          <w:spacing w:val="-2"/>
        </w:rPr>
        <w:t xml:space="preserve"> </w:t>
      </w:r>
      <w:r w:rsidRPr="00D4309F">
        <w:t>(ALA,</w:t>
      </w:r>
      <w:r w:rsidRPr="00D4309F">
        <w:rPr>
          <w:spacing w:val="-2"/>
        </w:rPr>
        <w:t xml:space="preserve"> </w:t>
      </w:r>
      <w:r w:rsidRPr="00D4309F">
        <w:t>2025)</w:t>
      </w:r>
      <w:r w:rsidRPr="00D4309F">
        <w:rPr>
          <w:spacing w:val="-3"/>
        </w:rPr>
        <w:t xml:space="preserve"> </w:t>
      </w:r>
      <w:r w:rsidRPr="00D4309F">
        <w:t>was</w:t>
      </w:r>
      <w:r w:rsidRPr="00D4309F">
        <w:rPr>
          <w:spacing w:val="-2"/>
        </w:rPr>
        <w:t xml:space="preserve"> </w:t>
      </w:r>
      <w:r w:rsidRPr="00D4309F">
        <w:t>undertaken</w:t>
      </w:r>
      <w:r w:rsidRPr="00D4309F">
        <w:rPr>
          <w:spacing w:val="-3"/>
        </w:rPr>
        <w:t xml:space="preserve"> </w:t>
      </w:r>
      <w:r w:rsidRPr="00D4309F">
        <w:t>to</w:t>
      </w:r>
      <w:r w:rsidRPr="00D4309F">
        <w:rPr>
          <w:spacing w:val="-2"/>
        </w:rPr>
        <w:t xml:space="preserve"> </w:t>
      </w:r>
      <w:r w:rsidRPr="00D4309F">
        <w:t>compare</w:t>
      </w:r>
      <w:r w:rsidRPr="00D4309F">
        <w:rPr>
          <w:spacing w:val="-2"/>
        </w:rPr>
        <w:t xml:space="preserve"> </w:t>
      </w:r>
      <w:r w:rsidRPr="00D4309F">
        <w:t>and verify the species of conservation significance under the NC Act returned from the Wildnet database. The search</w:t>
      </w:r>
      <w:r w:rsidRPr="00D4309F">
        <w:rPr>
          <w:spacing w:val="-2"/>
        </w:rPr>
        <w:t xml:space="preserve"> </w:t>
      </w:r>
      <w:r w:rsidRPr="00D4309F">
        <w:t>was</w:t>
      </w:r>
      <w:r w:rsidRPr="00D4309F">
        <w:rPr>
          <w:spacing w:val="-1"/>
        </w:rPr>
        <w:t xml:space="preserve"> </w:t>
      </w:r>
      <w:r w:rsidRPr="00D4309F">
        <w:t>undertaken</w:t>
      </w:r>
      <w:r w:rsidRPr="00D4309F">
        <w:rPr>
          <w:spacing w:val="-2"/>
        </w:rPr>
        <w:t xml:space="preserve"> </w:t>
      </w:r>
      <w:r w:rsidRPr="00D4309F">
        <w:t>over</w:t>
      </w:r>
      <w:r w:rsidRPr="00D4309F">
        <w:rPr>
          <w:spacing w:val="-1"/>
        </w:rPr>
        <w:t xml:space="preserve"> </w:t>
      </w:r>
      <w:r w:rsidRPr="00D4309F">
        <w:t>the</w:t>
      </w:r>
      <w:r w:rsidRPr="00D4309F">
        <w:rPr>
          <w:spacing w:val="-2"/>
        </w:rPr>
        <w:t xml:space="preserve"> </w:t>
      </w:r>
      <w:r w:rsidRPr="00D4309F">
        <w:t>same</w:t>
      </w:r>
      <w:r w:rsidRPr="00D4309F">
        <w:rPr>
          <w:spacing w:val="-2"/>
        </w:rPr>
        <w:t xml:space="preserve"> </w:t>
      </w:r>
      <w:r w:rsidRPr="00D4309F">
        <w:t>area</w:t>
      </w:r>
      <w:r w:rsidRPr="00D4309F">
        <w:rPr>
          <w:spacing w:val="-2"/>
        </w:rPr>
        <w:t xml:space="preserve"> </w:t>
      </w:r>
      <w:r w:rsidRPr="00D4309F">
        <w:t>as</w:t>
      </w:r>
      <w:r w:rsidRPr="00D4309F">
        <w:rPr>
          <w:spacing w:val="-1"/>
        </w:rPr>
        <w:t xml:space="preserve"> </w:t>
      </w:r>
      <w:r w:rsidRPr="00D4309F">
        <w:t>the</w:t>
      </w:r>
      <w:r w:rsidRPr="00D4309F">
        <w:rPr>
          <w:spacing w:val="-2"/>
        </w:rPr>
        <w:t xml:space="preserve"> </w:t>
      </w:r>
      <w:r w:rsidRPr="00D4309F">
        <w:t>Wildnet</w:t>
      </w:r>
      <w:r w:rsidRPr="00D4309F">
        <w:rPr>
          <w:spacing w:val="-2"/>
        </w:rPr>
        <w:t xml:space="preserve"> </w:t>
      </w:r>
      <w:r w:rsidRPr="00D4309F">
        <w:t>search.</w:t>
      </w:r>
      <w:r w:rsidRPr="00D4309F">
        <w:rPr>
          <w:spacing w:val="-3"/>
        </w:rPr>
        <w:t xml:space="preserve"> </w:t>
      </w:r>
      <w:r w:rsidRPr="00D4309F">
        <w:t>These</w:t>
      </w:r>
      <w:r w:rsidRPr="00D4309F">
        <w:rPr>
          <w:spacing w:val="-2"/>
        </w:rPr>
        <w:t xml:space="preserve"> </w:t>
      </w:r>
      <w:r w:rsidRPr="00D4309F">
        <w:t>results</w:t>
      </w:r>
      <w:r w:rsidRPr="00D4309F">
        <w:rPr>
          <w:spacing w:val="-2"/>
        </w:rPr>
        <w:t xml:space="preserve"> </w:t>
      </w:r>
      <w:r w:rsidRPr="00D4309F">
        <w:t>are</w:t>
      </w:r>
      <w:r w:rsidRPr="00D4309F">
        <w:rPr>
          <w:spacing w:val="-2"/>
        </w:rPr>
        <w:t xml:space="preserve"> </w:t>
      </w:r>
      <w:r w:rsidRPr="00D4309F">
        <w:t>detailed</w:t>
      </w:r>
      <w:r w:rsidRPr="00D4309F">
        <w:rPr>
          <w:spacing w:val="-2"/>
        </w:rPr>
        <w:t xml:space="preserve"> </w:t>
      </w:r>
      <w:r w:rsidRPr="00D4309F">
        <w:t>in</w:t>
      </w:r>
      <w:r w:rsidRPr="00D4309F">
        <w:rPr>
          <w:spacing w:val="-2"/>
        </w:rPr>
        <w:t xml:space="preserve"> </w:t>
      </w:r>
      <w:r w:rsidRPr="00D4309F">
        <w:t>the</w:t>
      </w:r>
      <w:r w:rsidRPr="00D4309F">
        <w:rPr>
          <w:spacing w:val="-2"/>
        </w:rPr>
        <w:t xml:space="preserve"> </w:t>
      </w:r>
      <w:r w:rsidRPr="00D4309F">
        <w:t xml:space="preserve">following </w:t>
      </w:r>
      <w:r w:rsidRPr="00D4309F">
        <w:rPr>
          <w:spacing w:val="-2"/>
        </w:rPr>
        <w:t>sections.</w:t>
      </w:r>
    </w:p>
    <w:p w14:paraId="5B1422E3" w14:textId="77777777" w:rsidR="00725977" w:rsidRPr="00D4309F" w:rsidRDefault="00725977" w:rsidP="00C5678D">
      <w:pPr>
        <w:pStyle w:val="Heading3"/>
      </w:pPr>
      <w:bookmarkStart w:id="54" w:name="_Toc216699311"/>
      <w:r w:rsidRPr="00D4309F">
        <w:t>Marine</w:t>
      </w:r>
      <w:r w:rsidRPr="00D4309F">
        <w:rPr>
          <w:spacing w:val="-3"/>
        </w:rPr>
        <w:t xml:space="preserve"> </w:t>
      </w:r>
      <w:r w:rsidRPr="00CB0B13">
        <w:t>fauna</w:t>
      </w:r>
      <w:r w:rsidRPr="00D4309F">
        <w:rPr>
          <w:spacing w:val="-2"/>
        </w:rPr>
        <w:t xml:space="preserve"> </w:t>
      </w:r>
      <w:r w:rsidRPr="00D4309F">
        <w:t>and</w:t>
      </w:r>
      <w:r w:rsidRPr="00D4309F">
        <w:rPr>
          <w:spacing w:val="-2"/>
        </w:rPr>
        <w:t xml:space="preserve"> </w:t>
      </w:r>
      <w:r w:rsidRPr="00D4309F">
        <w:rPr>
          <w:spacing w:val="-4"/>
        </w:rPr>
        <w:t>flora</w:t>
      </w:r>
      <w:bookmarkEnd w:id="54"/>
    </w:p>
    <w:p w14:paraId="2E8B4DA9" w14:textId="77777777" w:rsidR="00725977" w:rsidRPr="00D4309F" w:rsidRDefault="00725977" w:rsidP="00C5678D">
      <w:pPr>
        <w:pStyle w:val="Heading4"/>
      </w:pPr>
      <w:bookmarkStart w:id="55" w:name="_bookmark19"/>
      <w:bookmarkStart w:id="56" w:name="_Ref216022344"/>
      <w:bookmarkEnd w:id="55"/>
      <w:r w:rsidRPr="00D4309F">
        <w:t>Turtles</w:t>
      </w:r>
      <w:bookmarkEnd w:id="56"/>
    </w:p>
    <w:p w14:paraId="312F1527" w14:textId="77777777" w:rsidR="00725977" w:rsidRPr="00D4309F" w:rsidRDefault="00725977" w:rsidP="00725977">
      <w:pPr>
        <w:pStyle w:val="BodyText"/>
      </w:pPr>
      <w:r w:rsidRPr="00D4309F">
        <w:t>Turtle species listed under the EPBC Act identified in the PMST search (DCCEEW, 2025) that may be impacted</w:t>
      </w:r>
      <w:r w:rsidRPr="00D4309F">
        <w:rPr>
          <w:spacing w:val="-3"/>
        </w:rPr>
        <w:t xml:space="preserve"> </w:t>
      </w:r>
      <w:r w:rsidRPr="00D4309F">
        <w:t>by</w:t>
      </w:r>
      <w:r w:rsidRPr="00D4309F">
        <w:rPr>
          <w:spacing w:val="-3"/>
        </w:rPr>
        <w:t xml:space="preserve"> </w:t>
      </w:r>
      <w:r w:rsidRPr="00D4309F">
        <w:t>activities</w:t>
      </w:r>
      <w:r w:rsidRPr="00D4309F">
        <w:rPr>
          <w:spacing w:val="-2"/>
        </w:rPr>
        <w:t xml:space="preserve"> </w:t>
      </w:r>
      <w:r w:rsidRPr="00D4309F">
        <w:t>at</w:t>
      </w:r>
      <w:r w:rsidRPr="00D4309F">
        <w:rPr>
          <w:spacing w:val="-3"/>
        </w:rPr>
        <w:t xml:space="preserve"> </w:t>
      </w:r>
      <w:r w:rsidRPr="00D4309F">
        <w:t>the</w:t>
      </w:r>
      <w:r w:rsidRPr="00D4309F">
        <w:rPr>
          <w:spacing w:val="-3"/>
        </w:rPr>
        <w:t xml:space="preserve"> </w:t>
      </w:r>
      <w:r w:rsidRPr="00D4309F">
        <w:t>Mooloolaba</w:t>
      </w:r>
      <w:r w:rsidRPr="00D4309F">
        <w:rPr>
          <w:spacing w:val="-4"/>
        </w:rPr>
        <w:t xml:space="preserve"> </w:t>
      </w:r>
      <w:r w:rsidRPr="00D4309F">
        <w:t>Boat</w:t>
      </w:r>
      <w:r w:rsidRPr="00D4309F">
        <w:rPr>
          <w:spacing w:val="-3"/>
        </w:rPr>
        <w:t xml:space="preserve"> </w:t>
      </w:r>
      <w:r w:rsidRPr="00D4309F">
        <w:t>Harbour</w:t>
      </w:r>
      <w:r w:rsidRPr="00D4309F">
        <w:rPr>
          <w:spacing w:val="-3"/>
        </w:rPr>
        <w:t xml:space="preserve"> </w:t>
      </w:r>
      <w:r w:rsidRPr="00D4309F">
        <w:t>include</w:t>
      </w:r>
      <w:r w:rsidRPr="00D4309F">
        <w:rPr>
          <w:spacing w:val="-3"/>
        </w:rPr>
        <w:t xml:space="preserve"> </w:t>
      </w:r>
      <w:r w:rsidRPr="00D4309F">
        <w:t>the</w:t>
      </w:r>
      <w:r w:rsidRPr="00D4309F">
        <w:rPr>
          <w:spacing w:val="-3"/>
        </w:rPr>
        <w:t xml:space="preserve"> </w:t>
      </w:r>
      <w:r w:rsidRPr="00D4309F">
        <w:t>leatherback</w:t>
      </w:r>
      <w:r w:rsidRPr="00D4309F">
        <w:rPr>
          <w:spacing w:val="-2"/>
        </w:rPr>
        <w:t xml:space="preserve"> </w:t>
      </w:r>
      <w:r w:rsidRPr="00D4309F">
        <w:t>turtle,</w:t>
      </w:r>
      <w:r w:rsidRPr="00D4309F">
        <w:rPr>
          <w:spacing w:val="-3"/>
        </w:rPr>
        <w:t xml:space="preserve"> </w:t>
      </w:r>
      <w:r w:rsidRPr="00D4309F">
        <w:t>loggerhead</w:t>
      </w:r>
      <w:r w:rsidRPr="00D4309F">
        <w:rPr>
          <w:spacing w:val="-3"/>
        </w:rPr>
        <w:t xml:space="preserve"> </w:t>
      </w:r>
      <w:r w:rsidRPr="00D4309F">
        <w:t>turtle,</w:t>
      </w:r>
      <w:r w:rsidRPr="00D4309F">
        <w:rPr>
          <w:spacing w:val="-3"/>
        </w:rPr>
        <w:t xml:space="preserve"> </w:t>
      </w:r>
      <w:r w:rsidRPr="00D4309F">
        <w:t>olive ridley turtle, green turtle, flatback turtle and hawksbill turtle. The ATLAS of Living Australia contains records of the green turtles in the area, which is listed as vulnerable under the NC Act, although the Wildnet search of this area did not identify this species (ALA, 2025).</w:t>
      </w:r>
    </w:p>
    <w:p w14:paraId="764B3AF4" w14:textId="77777777" w:rsidR="00725977" w:rsidRPr="00D4309F" w:rsidRDefault="00725977" w:rsidP="00725977">
      <w:pPr>
        <w:pStyle w:val="BodyText"/>
      </w:pPr>
      <w:r w:rsidRPr="00D4309F">
        <w:t>The</w:t>
      </w:r>
      <w:r w:rsidRPr="00D4309F">
        <w:rPr>
          <w:spacing w:val="-2"/>
        </w:rPr>
        <w:t xml:space="preserve"> </w:t>
      </w:r>
      <w:r w:rsidRPr="00D4309F">
        <w:t>EPBC</w:t>
      </w:r>
      <w:r w:rsidRPr="00D4309F">
        <w:rPr>
          <w:spacing w:val="-1"/>
        </w:rPr>
        <w:t xml:space="preserve"> </w:t>
      </w:r>
      <w:r w:rsidRPr="00D4309F">
        <w:t>Act</w:t>
      </w:r>
      <w:r w:rsidRPr="00D4309F">
        <w:rPr>
          <w:spacing w:val="-3"/>
        </w:rPr>
        <w:t xml:space="preserve"> </w:t>
      </w:r>
      <w:r w:rsidRPr="00D4309F">
        <w:t>PMST</w:t>
      </w:r>
      <w:r w:rsidRPr="00D4309F">
        <w:rPr>
          <w:spacing w:val="-2"/>
        </w:rPr>
        <w:t xml:space="preserve"> </w:t>
      </w:r>
      <w:r w:rsidRPr="00D4309F">
        <w:t>search</w:t>
      </w:r>
      <w:r w:rsidRPr="00D4309F">
        <w:rPr>
          <w:spacing w:val="-2"/>
        </w:rPr>
        <w:t xml:space="preserve"> </w:t>
      </w:r>
      <w:r w:rsidRPr="00D4309F">
        <w:t>listed</w:t>
      </w:r>
      <w:r w:rsidRPr="00D4309F">
        <w:rPr>
          <w:spacing w:val="-2"/>
        </w:rPr>
        <w:t xml:space="preserve"> </w:t>
      </w:r>
      <w:r w:rsidRPr="00D4309F">
        <w:t>a</w:t>
      </w:r>
      <w:r w:rsidRPr="00D4309F">
        <w:rPr>
          <w:spacing w:val="-2"/>
        </w:rPr>
        <w:t xml:space="preserve"> </w:t>
      </w:r>
      <w:r w:rsidRPr="00D4309F">
        <w:t>loggerhead</w:t>
      </w:r>
      <w:r w:rsidRPr="00D4309F">
        <w:rPr>
          <w:spacing w:val="-2"/>
        </w:rPr>
        <w:t xml:space="preserve"> </w:t>
      </w:r>
      <w:r w:rsidRPr="00D4309F">
        <w:t>turtle</w:t>
      </w:r>
      <w:r w:rsidRPr="00D4309F">
        <w:rPr>
          <w:spacing w:val="-2"/>
        </w:rPr>
        <w:t xml:space="preserve"> </w:t>
      </w:r>
      <w:r w:rsidRPr="00D4309F">
        <w:t>(endangered)</w:t>
      </w:r>
      <w:r w:rsidRPr="00D4309F">
        <w:rPr>
          <w:spacing w:val="-2"/>
        </w:rPr>
        <w:t xml:space="preserve"> </w:t>
      </w:r>
      <w:r w:rsidRPr="00D4309F">
        <w:t>nesting</w:t>
      </w:r>
      <w:r w:rsidRPr="00D4309F">
        <w:rPr>
          <w:spacing w:val="-2"/>
        </w:rPr>
        <w:t xml:space="preserve"> </w:t>
      </w:r>
      <w:r w:rsidRPr="00D4309F">
        <w:t>BIA</w:t>
      </w:r>
      <w:r w:rsidRPr="00D4309F">
        <w:rPr>
          <w:spacing w:val="-2"/>
        </w:rPr>
        <w:t xml:space="preserve"> </w:t>
      </w:r>
      <w:r w:rsidRPr="00D4309F">
        <w:t>in</w:t>
      </w:r>
      <w:r w:rsidRPr="00D4309F">
        <w:rPr>
          <w:spacing w:val="-2"/>
        </w:rPr>
        <w:t xml:space="preserve"> </w:t>
      </w:r>
      <w:r w:rsidRPr="00D4309F">
        <w:t>the</w:t>
      </w:r>
      <w:r w:rsidRPr="00D4309F">
        <w:rPr>
          <w:spacing w:val="-2"/>
        </w:rPr>
        <w:t xml:space="preserve"> </w:t>
      </w:r>
      <w:r w:rsidRPr="00D4309F">
        <w:t>area</w:t>
      </w:r>
      <w:r w:rsidRPr="00D4309F">
        <w:rPr>
          <w:spacing w:val="-3"/>
        </w:rPr>
        <w:t xml:space="preserve"> </w:t>
      </w:r>
      <w:r w:rsidRPr="00D4309F">
        <w:t>as</w:t>
      </w:r>
      <w:r w:rsidRPr="00D4309F">
        <w:rPr>
          <w:spacing w:val="-1"/>
        </w:rPr>
        <w:t xml:space="preserve"> </w:t>
      </w:r>
      <w:r w:rsidRPr="00D4309F">
        <w:t>well</w:t>
      </w:r>
      <w:r w:rsidRPr="00D4309F">
        <w:rPr>
          <w:spacing w:val="-2"/>
        </w:rPr>
        <w:t xml:space="preserve"> </w:t>
      </w:r>
      <w:r w:rsidRPr="00D4309F">
        <w:t>as</w:t>
      </w:r>
      <w:r w:rsidRPr="00D4309F">
        <w:rPr>
          <w:spacing w:val="-2"/>
        </w:rPr>
        <w:t xml:space="preserve"> </w:t>
      </w:r>
      <w:r w:rsidRPr="00D4309F">
        <w:t>a habitat critical to the survival of loggerhead turtles.</w:t>
      </w:r>
    </w:p>
    <w:p w14:paraId="3F218EEA" w14:textId="26AC153D" w:rsidR="00725977" w:rsidRPr="00D4309F" w:rsidRDefault="00725977" w:rsidP="00725977">
      <w:pPr>
        <w:pStyle w:val="BodyText"/>
      </w:pPr>
      <w:r w:rsidRPr="00D4309F">
        <w:t>Loggerhead</w:t>
      </w:r>
      <w:r w:rsidRPr="00D4309F">
        <w:rPr>
          <w:spacing w:val="-1"/>
        </w:rPr>
        <w:t xml:space="preserve"> </w:t>
      </w:r>
      <w:r w:rsidRPr="00D4309F">
        <w:t>turtles,</w:t>
      </w:r>
      <w:r w:rsidRPr="00D4309F">
        <w:rPr>
          <w:spacing w:val="-2"/>
        </w:rPr>
        <w:t xml:space="preserve"> </w:t>
      </w:r>
      <w:r w:rsidRPr="00D4309F">
        <w:t>(listed</w:t>
      </w:r>
      <w:r w:rsidRPr="00D4309F">
        <w:rPr>
          <w:spacing w:val="-2"/>
        </w:rPr>
        <w:t xml:space="preserve"> </w:t>
      </w:r>
      <w:r w:rsidRPr="00D4309F">
        <w:t>as endangered</w:t>
      </w:r>
      <w:r w:rsidRPr="00D4309F">
        <w:rPr>
          <w:spacing w:val="-1"/>
        </w:rPr>
        <w:t xml:space="preserve"> </w:t>
      </w:r>
      <w:r w:rsidRPr="00D4309F">
        <w:t>under the</w:t>
      </w:r>
      <w:r w:rsidRPr="00D4309F">
        <w:rPr>
          <w:spacing w:val="-1"/>
        </w:rPr>
        <w:t xml:space="preserve"> </w:t>
      </w:r>
      <w:r w:rsidRPr="00D4309F">
        <w:t>EPBC Act)</w:t>
      </w:r>
      <w:r w:rsidRPr="00D4309F">
        <w:rPr>
          <w:spacing w:val="-1"/>
        </w:rPr>
        <w:t xml:space="preserve"> </w:t>
      </w:r>
      <w:r w:rsidRPr="00D4309F">
        <w:t>and</w:t>
      </w:r>
      <w:r w:rsidRPr="00D4309F">
        <w:rPr>
          <w:spacing w:val="-2"/>
        </w:rPr>
        <w:t xml:space="preserve"> </w:t>
      </w:r>
      <w:r w:rsidRPr="00D4309F">
        <w:t>Geen</w:t>
      </w:r>
      <w:r w:rsidRPr="00D4309F">
        <w:rPr>
          <w:spacing w:val="-1"/>
        </w:rPr>
        <w:t xml:space="preserve"> </w:t>
      </w:r>
      <w:r w:rsidRPr="00D4309F">
        <w:t>turtles</w:t>
      </w:r>
      <w:r w:rsidRPr="00D4309F">
        <w:rPr>
          <w:spacing w:val="-1"/>
        </w:rPr>
        <w:t xml:space="preserve"> </w:t>
      </w:r>
      <w:r w:rsidRPr="00D4309F">
        <w:t>and</w:t>
      </w:r>
      <w:r w:rsidRPr="00D4309F">
        <w:rPr>
          <w:spacing w:val="-1"/>
        </w:rPr>
        <w:t xml:space="preserve"> </w:t>
      </w:r>
      <w:r w:rsidRPr="00D4309F">
        <w:t>Flatback turtles</w:t>
      </w:r>
      <w:r w:rsidRPr="00D4309F">
        <w:rPr>
          <w:spacing w:val="-1"/>
        </w:rPr>
        <w:t xml:space="preserve"> </w:t>
      </w:r>
      <w:r w:rsidRPr="00D4309F">
        <w:t>(listed as vulnerable under the EPBC Act) are known to breed in the dunes and beaches around Mooloolaba Boat Harbour, with a Loggerhead turtle nesting BIA in a habitat critical to the survival of Loggerhead turtles listed in</w:t>
      </w:r>
      <w:r w:rsidRPr="00D4309F">
        <w:rPr>
          <w:spacing w:val="-2"/>
        </w:rPr>
        <w:t xml:space="preserve"> </w:t>
      </w:r>
      <w:r w:rsidRPr="00D4309F">
        <w:t>the</w:t>
      </w:r>
      <w:r w:rsidRPr="00D4309F">
        <w:rPr>
          <w:spacing w:val="-2"/>
        </w:rPr>
        <w:t xml:space="preserve"> </w:t>
      </w:r>
      <w:r w:rsidRPr="00D4309F">
        <w:t>PMST</w:t>
      </w:r>
      <w:r w:rsidRPr="00D4309F">
        <w:rPr>
          <w:spacing w:val="-2"/>
        </w:rPr>
        <w:t xml:space="preserve"> </w:t>
      </w:r>
      <w:r w:rsidRPr="00D4309F">
        <w:t>search.</w:t>
      </w:r>
      <w:r w:rsidRPr="00D4309F">
        <w:rPr>
          <w:spacing w:val="-2"/>
        </w:rPr>
        <w:t xml:space="preserve"> </w:t>
      </w:r>
      <w:r w:rsidRPr="00D4309F">
        <w:t>Surveys</w:t>
      </w:r>
      <w:r w:rsidRPr="00D4309F">
        <w:rPr>
          <w:spacing w:val="-2"/>
        </w:rPr>
        <w:t xml:space="preserve"> </w:t>
      </w:r>
      <w:r w:rsidRPr="00D4309F">
        <w:t>and</w:t>
      </w:r>
      <w:r w:rsidRPr="00D4309F">
        <w:rPr>
          <w:spacing w:val="-2"/>
        </w:rPr>
        <w:t xml:space="preserve"> </w:t>
      </w:r>
      <w:r w:rsidRPr="00D4309F">
        <w:t>turtle</w:t>
      </w:r>
      <w:r w:rsidRPr="00D4309F">
        <w:rPr>
          <w:spacing w:val="-3"/>
        </w:rPr>
        <w:t xml:space="preserve"> </w:t>
      </w:r>
      <w:r w:rsidRPr="00D4309F">
        <w:t>monitoring</w:t>
      </w:r>
      <w:r w:rsidRPr="00D4309F">
        <w:rPr>
          <w:spacing w:val="-2"/>
        </w:rPr>
        <w:t xml:space="preserve"> </w:t>
      </w:r>
      <w:r w:rsidRPr="00D4309F">
        <w:t>conducted</w:t>
      </w:r>
      <w:r w:rsidRPr="00D4309F">
        <w:rPr>
          <w:spacing w:val="-2"/>
        </w:rPr>
        <w:t xml:space="preserve"> </w:t>
      </w:r>
      <w:r w:rsidRPr="00D4309F">
        <w:t>by</w:t>
      </w:r>
      <w:r w:rsidRPr="00D4309F">
        <w:rPr>
          <w:spacing w:val="-3"/>
        </w:rPr>
        <w:t xml:space="preserve"> </w:t>
      </w:r>
      <w:r w:rsidRPr="00D4309F">
        <w:t>TurtleCare</w:t>
      </w:r>
      <w:r w:rsidRPr="00D4309F">
        <w:rPr>
          <w:spacing w:val="-2"/>
        </w:rPr>
        <w:t xml:space="preserve"> </w:t>
      </w:r>
      <w:r w:rsidRPr="00D4309F">
        <w:t>Sunshine</w:t>
      </w:r>
      <w:r w:rsidRPr="00D4309F">
        <w:rPr>
          <w:spacing w:val="-3"/>
        </w:rPr>
        <w:t xml:space="preserve"> </w:t>
      </w:r>
      <w:r w:rsidRPr="00D4309F">
        <w:t>Coast</w:t>
      </w:r>
      <w:r w:rsidRPr="00D4309F">
        <w:rPr>
          <w:spacing w:val="-2"/>
        </w:rPr>
        <w:t xml:space="preserve"> </w:t>
      </w:r>
      <w:r w:rsidRPr="00D4309F">
        <w:t>have</w:t>
      </w:r>
      <w:r w:rsidRPr="00D4309F">
        <w:rPr>
          <w:spacing w:val="-2"/>
        </w:rPr>
        <w:t xml:space="preserve"> </w:t>
      </w:r>
      <w:r w:rsidRPr="00D4309F">
        <w:t>found</w:t>
      </w:r>
      <w:r w:rsidRPr="00D4309F">
        <w:rPr>
          <w:spacing w:val="-2"/>
        </w:rPr>
        <w:t xml:space="preserve"> </w:t>
      </w:r>
      <w:r w:rsidRPr="00D4309F">
        <w:t>the predominant species of nesting turtles in the area are Loggerhead and Green turtles, and monitoring has found Buddina Beach, specifically the northern part closest to Point Cartwright, contains one of the highest numbers</w:t>
      </w:r>
      <w:r w:rsidRPr="00D4309F">
        <w:rPr>
          <w:spacing w:val="-1"/>
        </w:rPr>
        <w:t xml:space="preserve"> </w:t>
      </w:r>
      <w:r w:rsidRPr="00D4309F">
        <w:t>of</w:t>
      </w:r>
      <w:r w:rsidRPr="00D4309F">
        <w:rPr>
          <w:spacing w:val="-2"/>
        </w:rPr>
        <w:t xml:space="preserve"> </w:t>
      </w:r>
      <w:r w:rsidRPr="00D4309F">
        <w:t>nest</w:t>
      </w:r>
      <w:r w:rsidRPr="00D4309F">
        <w:rPr>
          <w:spacing w:val="-2"/>
        </w:rPr>
        <w:t xml:space="preserve"> </w:t>
      </w:r>
      <w:r w:rsidRPr="00D4309F">
        <w:t>sites</w:t>
      </w:r>
      <w:r w:rsidRPr="00D4309F">
        <w:rPr>
          <w:spacing w:val="-1"/>
        </w:rPr>
        <w:t xml:space="preserve"> </w:t>
      </w:r>
      <w:r w:rsidRPr="00D4309F">
        <w:t>on</w:t>
      </w:r>
      <w:r w:rsidRPr="00D4309F">
        <w:rPr>
          <w:spacing w:val="-2"/>
        </w:rPr>
        <w:t xml:space="preserve"> </w:t>
      </w:r>
      <w:r w:rsidRPr="00D4309F">
        <w:t>the</w:t>
      </w:r>
      <w:r w:rsidRPr="00D4309F">
        <w:rPr>
          <w:spacing w:val="-2"/>
        </w:rPr>
        <w:t xml:space="preserve"> </w:t>
      </w:r>
      <w:r w:rsidRPr="00D4309F">
        <w:t>Sunshine</w:t>
      </w:r>
      <w:r w:rsidRPr="00D4309F">
        <w:rPr>
          <w:spacing w:val="-3"/>
        </w:rPr>
        <w:t xml:space="preserve"> </w:t>
      </w:r>
      <w:r w:rsidRPr="00D4309F">
        <w:t>Coast,</w:t>
      </w:r>
      <w:r w:rsidRPr="00D4309F">
        <w:rPr>
          <w:spacing w:val="-2"/>
        </w:rPr>
        <w:t xml:space="preserve"> </w:t>
      </w:r>
      <w:r w:rsidRPr="00D4309F">
        <w:t>due</w:t>
      </w:r>
      <w:r w:rsidRPr="00D4309F">
        <w:rPr>
          <w:spacing w:val="-2"/>
        </w:rPr>
        <w:t xml:space="preserve"> </w:t>
      </w:r>
      <w:r w:rsidRPr="00D4309F">
        <w:t>to</w:t>
      </w:r>
      <w:r w:rsidRPr="00D4309F">
        <w:rPr>
          <w:spacing w:val="-3"/>
        </w:rPr>
        <w:t xml:space="preserve"> </w:t>
      </w:r>
      <w:r w:rsidRPr="00D4309F">
        <w:t>the</w:t>
      </w:r>
      <w:r w:rsidRPr="00D4309F">
        <w:rPr>
          <w:spacing w:val="-2"/>
        </w:rPr>
        <w:t xml:space="preserve"> </w:t>
      </w:r>
      <w:r w:rsidRPr="00D4309F">
        <w:t>landform</w:t>
      </w:r>
      <w:r w:rsidRPr="00D4309F">
        <w:rPr>
          <w:spacing w:val="-3"/>
        </w:rPr>
        <w:t xml:space="preserve"> </w:t>
      </w:r>
      <w:r w:rsidRPr="00D4309F">
        <w:t>including</w:t>
      </w:r>
      <w:r w:rsidRPr="00D4309F">
        <w:rPr>
          <w:spacing w:val="-2"/>
        </w:rPr>
        <w:t xml:space="preserve"> </w:t>
      </w:r>
      <w:r w:rsidRPr="00D4309F">
        <w:t>a</w:t>
      </w:r>
      <w:r w:rsidRPr="00D4309F">
        <w:rPr>
          <w:spacing w:val="-2"/>
        </w:rPr>
        <w:t xml:space="preserve"> </w:t>
      </w:r>
      <w:r w:rsidRPr="00D4309F">
        <w:t>high</w:t>
      </w:r>
      <w:r w:rsidRPr="00D4309F">
        <w:rPr>
          <w:spacing w:val="-2"/>
        </w:rPr>
        <w:t xml:space="preserve"> </w:t>
      </w:r>
      <w:r w:rsidRPr="00D4309F">
        <w:t>dune</w:t>
      </w:r>
      <w:r w:rsidRPr="00D4309F">
        <w:rPr>
          <w:spacing w:val="-2"/>
        </w:rPr>
        <w:t xml:space="preserve"> </w:t>
      </w:r>
      <w:r w:rsidRPr="00D4309F">
        <w:t>system</w:t>
      </w:r>
      <w:r w:rsidRPr="00D4309F">
        <w:rPr>
          <w:spacing w:val="-2"/>
        </w:rPr>
        <w:t xml:space="preserve"> </w:t>
      </w:r>
      <w:r w:rsidRPr="00D4309F">
        <w:t>that</w:t>
      </w:r>
      <w:r w:rsidRPr="00D4309F">
        <w:rPr>
          <w:spacing w:val="-2"/>
        </w:rPr>
        <w:t xml:space="preserve"> </w:t>
      </w:r>
      <w:r w:rsidRPr="00D4309F">
        <w:t>creates a dark land silhouette (</w:t>
      </w:r>
      <w:r w:rsidR="00514070">
        <w:fldChar w:fldCharType="begin" w:fldLock="1"/>
      </w:r>
      <w:r w:rsidR="00514070">
        <w:instrText xml:space="preserve"> REF _Ref215909672 \h </w:instrText>
      </w:r>
      <w:r w:rsidR="00514070">
        <w:fldChar w:fldCharType="separate"/>
      </w:r>
      <w:r w:rsidR="001E5652">
        <w:t xml:space="preserve">Figure </w:t>
      </w:r>
      <w:r w:rsidR="001E5652">
        <w:rPr>
          <w:noProof/>
        </w:rPr>
        <w:t>5</w:t>
      </w:r>
      <w:r w:rsidR="001E5652">
        <w:noBreakHyphen/>
      </w:r>
      <w:r w:rsidR="001E5652">
        <w:rPr>
          <w:noProof/>
        </w:rPr>
        <w:t>1</w:t>
      </w:r>
      <w:r w:rsidR="00514070">
        <w:fldChar w:fldCharType="end"/>
      </w:r>
      <w:r w:rsidRPr="00D4309F">
        <w:t>).</w:t>
      </w:r>
    </w:p>
    <w:p w14:paraId="5E77B96C" w14:textId="03DE5601" w:rsidR="00725977" w:rsidRPr="00D4309F" w:rsidRDefault="00725977" w:rsidP="00725977">
      <w:pPr>
        <w:pStyle w:val="BodyText"/>
      </w:pPr>
      <w:r w:rsidRPr="00D4309F">
        <w:t>Turtles nest on the Sunshine Coast in Summer, typically from October to December, with peak nesting occurring over the first two weeks of November (Hofmeister et al. 2019). Specifically, loggerhead turtle nesting occurs between November and February. Turtle nest data in the Sunshine Coast Turtle Nesting Technical</w:t>
      </w:r>
      <w:r w:rsidRPr="00D4309F">
        <w:rPr>
          <w:spacing w:val="-3"/>
        </w:rPr>
        <w:t xml:space="preserve"> </w:t>
      </w:r>
      <w:r w:rsidRPr="00D4309F">
        <w:t>Report</w:t>
      </w:r>
      <w:r w:rsidRPr="00D4309F">
        <w:rPr>
          <w:spacing w:val="-3"/>
        </w:rPr>
        <w:t xml:space="preserve"> </w:t>
      </w:r>
      <w:r w:rsidRPr="00D4309F">
        <w:t>2005</w:t>
      </w:r>
      <w:r w:rsidRPr="00D4309F">
        <w:rPr>
          <w:spacing w:val="-3"/>
        </w:rPr>
        <w:t xml:space="preserve"> </w:t>
      </w:r>
      <w:r w:rsidRPr="00D4309F">
        <w:t>–</w:t>
      </w:r>
      <w:r w:rsidRPr="00D4309F">
        <w:rPr>
          <w:spacing w:val="-3"/>
        </w:rPr>
        <w:t xml:space="preserve"> </w:t>
      </w:r>
      <w:r w:rsidRPr="00D4309F">
        <w:t>2016</w:t>
      </w:r>
      <w:r w:rsidRPr="00D4309F">
        <w:rPr>
          <w:spacing w:val="-3"/>
        </w:rPr>
        <w:t xml:space="preserve"> </w:t>
      </w:r>
      <w:r w:rsidRPr="00D4309F">
        <w:t>(Hofmeister</w:t>
      </w:r>
      <w:r w:rsidRPr="00D4309F">
        <w:rPr>
          <w:spacing w:val="-3"/>
        </w:rPr>
        <w:t xml:space="preserve"> </w:t>
      </w:r>
      <w:r w:rsidRPr="00D4309F">
        <w:t>et</w:t>
      </w:r>
      <w:r w:rsidRPr="00D4309F">
        <w:rPr>
          <w:spacing w:val="-3"/>
        </w:rPr>
        <w:t xml:space="preserve"> </w:t>
      </w:r>
      <w:r w:rsidRPr="00D4309F">
        <w:t>al.</w:t>
      </w:r>
      <w:r w:rsidRPr="00D4309F">
        <w:rPr>
          <w:spacing w:val="-3"/>
        </w:rPr>
        <w:t xml:space="preserve"> </w:t>
      </w:r>
      <w:r w:rsidRPr="00D4309F">
        <w:t>2019)</w:t>
      </w:r>
      <w:r w:rsidRPr="00D4309F">
        <w:rPr>
          <w:spacing w:val="-2"/>
        </w:rPr>
        <w:t xml:space="preserve"> </w:t>
      </w:r>
      <w:r w:rsidRPr="00D4309F">
        <w:t>indicates</w:t>
      </w:r>
      <w:r w:rsidRPr="00D4309F">
        <w:rPr>
          <w:spacing w:val="-2"/>
        </w:rPr>
        <w:t xml:space="preserve"> </w:t>
      </w:r>
      <w:r w:rsidRPr="00D4309F">
        <w:t>loggerhead</w:t>
      </w:r>
      <w:r w:rsidRPr="00D4309F">
        <w:rPr>
          <w:spacing w:val="-3"/>
        </w:rPr>
        <w:t xml:space="preserve"> </w:t>
      </w:r>
      <w:r w:rsidRPr="00D4309F">
        <w:t>and</w:t>
      </w:r>
      <w:r w:rsidRPr="00D4309F">
        <w:rPr>
          <w:spacing w:val="-3"/>
        </w:rPr>
        <w:t xml:space="preserve"> </w:t>
      </w:r>
      <w:r w:rsidRPr="00D4309F">
        <w:t>green</w:t>
      </w:r>
      <w:r w:rsidRPr="00D4309F">
        <w:rPr>
          <w:spacing w:val="-3"/>
        </w:rPr>
        <w:t xml:space="preserve"> </w:t>
      </w:r>
      <w:r w:rsidRPr="00D4309F">
        <w:t>turtle</w:t>
      </w:r>
      <w:r w:rsidRPr="00D4309F">
        <w:rPr>
          <w:spacing w:val="-4"/>
        </w:rPr>
        <w:t xml:space="preserve"> </w:t>
      </w:r>
      <w:r w:rsidRPr="00D4309F">
        <w:t>nests</w:t>
      </w:r>
      <w:r w:rsidRPr="00D4309F">
        <w:rPr>
          <w:spacing w:val="-3"/>
        </w:rPr>
        <w:t xml:space="preserve"> </w:t>
      </w:r>
      <w:r w:rsidRPr="00D4309F">
        <w:t>were</w:t>
      </w:r>
      <w:r w:rsidRPr="00D4309F">
        <w:rPr>
          <w:spacing w:val="-3"/>
        </w:rPr>
        <w:t xml:space="preserve"> </w:t>
      </w:r>
      <w:r w:rsidRPr="00D4309F">
        <w:t>on average 31.5 cm and 30 cm deep (to the top of the eggs), respectively.</w:t>
      </w:r>
    </w:p>
    <w:p w14:paraId="32113DC6" w14:textId="77777777" w:rsidR="00725977" w:rsidRPr="00D4309F" w:rsidRDefault="00725977" w:rsidP="00725977">
      <w:pPr>
        <w:pStyle w:val="BodyText"/>
      </w:pPr>
      <w:r w:rsidRPr="00D4309F">
        <w:t>Artificial</w:t>
      </w:r>
      <w:r w:rsidRPr="00D4309F">
        <w:rPr>
          <w:spacing w:val="-2"/>
        </w:rPr>
        <w:t xml:space="preserve"> </w:t>
      </w:r>
      <w:r w:rsidRPr="00D4309F">
        <w:t>light</w:t>
      </w:r>
      <w:r w:rsidRPr="00D4309F">
        <w:rPr>
          <w:spacing w:val="-2"/>
        </w:rPr>
        <w:t xml:space="preserve"> </w:t>
      </w:r>
      <w:r w:rsidRPr="00D4309F">
        <w:t>is</w:t>
      </w:r>
      <w:r w:rsidRPr="00D4309F">
        <w:rPr>
          <w:spacing w:val="-1"/>
        </w:rPr>
        <w:t xml:space="preserve"> </w:t>
      </w:r>
      <w:r w:rsidRPr="00D4309F">
        <w:t>one</w:t>
      </w:r>
      <w:r w:rsidRPr="00D4309F">
        <w:rPr>
          <w:spacing w:val="-2"/>
        </w:rPr>
        <w:t xml:space="preserve"> </w:t>
      </w:r>
      <w:r w:rsidRPr="00D4309F">
        <w:t>of</w:t>
      </w:r>
      <w:r w:rsidRPr="00D4309F">
        <w:rPr>
          <w:spacing w:val="-2"/>
        </w:rPr>
        <w:t xml:space="preserve"> </w:t>
      </w:r>
      <w:r w:rsidRPr="00D4309F">
        <w:t>the</w:t>
      </w:r>
      <w:r w:rsidRPr="00D4309F">
        <w:rPr>
          <w:spacing w:val="-3"/>
        </w:rPr>
        <w:t xml:space="preserve"> </w:t>
      </w:r>
      <w:r w:rsidRPr="00D4309F">
        <w:t>main</w:t>
      </w:r>
      <w:r w:rsidRPr="00D4309F">
        <w:rPr>
          <w:spacing w:val="-2"/>
        </w:rPr>
        <w:t xml:space="preserve"> </w:t>
      </w:r>
      <w:r w:rsidRPr="00D4309F">
        <w:t>threats</w:t>
      </w:r>
      <w:r w:rsidRPr="00D4309F">
        <w:rPr>
          <w:spacing w:val="-1"/>
        </w:rPr>
        <w:t xml:space="preserve"> </w:t>
      </w:r>
      <w:r w:rsidRPr="00D4309F">
        <w:t>to</w:t>
      </w:r>
      <w:r w:rsidRPr="00D4309F">
        <w:rPr>
          <w:spacing w:val="-2"/>
        </w:rPr>
        <w:t xml:space="preserve"> </w:t>
      </w:r>
      <w:r w:rsidRPr="00D4309F">
        <w:t>nesting</w:t>
      </w:r>
      <w:r w:rsidRPr="00D4309F">
        <w:rPr>
          <w:spacing w:val="-2"/>
        </w:rPr>
        <w:t xml:space="preserve"> </w:t>
      </w:r>
      <w:r w:rsidRPr="00D4309F">
        <w:t>turtles,</w:t>
      </w:r>
      <w:r w:rsidRPr="00D4309F">
        <w:rPr>
          <w:spacing w:val="-2"/>
        </w:rPr>
        <w:t xml:space="preserve"> </w:t>
      </w:r>
      <w:r w:rsidRPr="00D4309F">
        <w:t>leading</w:t>
      </w:r>
      <w:r w:rsidRPr="00D4309F">
        <w:rPr>
          <w:spacing w:val="-2"/>
        </w:rPr>
        <w:t xml:space="preserve"> </w:t>
      </w:r>
      <w:r w:rsidRPr="00D4309F">
        <w:t>to</w:t>
      </w:r>
      <w:r w:rsidRPr="00D4309F">
        <w:rPr>
          <w:spacing w:val="-4"/>
        </w:rPr>
        <w:t xml:space="preserve"> </w:t>
      </w:r>
      <w:r w:rsidRPr="00D4309F">
        <w:t>deterrence</w:t>
      </w:r>
      <w:r w:rsidRPr="00D4309F">
        <w:rPr>
          <w:spacing w:val="-2"/>
        </w:rPr>
        <w:t xml:space="preserve"> </w:t>
      </w:r>
      <w:r w:rsidRPr="00D4309F">
        <w:t>of</w:t>
      </w:r>
      <w:r w:rsidRPr="00D4309F">
        <w:rPr>
          <w:spacing w:val="-2"/>
        </w:rPr>
        <w:t xml:space="preserve"> </w:t>
      </w:r>
      <w:r w:rsidRPr="00D4309F">
        <w:t>nesting</w:t>
      </w:r>
      <w:r w:rsidRPr="00D4309F">
        <w:rPr>
          <w:spacing w:val="-2"/>
        </w:rPr>
        <w:t xml:space="preserve"> </w:t>
      </w:r>
      <w:r w:rsidRPr="00D4309F">
        <w:t>behaviour</w:t>
      </w:r>
      <w:r w:rsidRPr="00D4309F">
        <w:rPr>
          <w:spacing w:val="-1"/>
        </w:rPr>
        <w:t xml:space="preserve"> </w:t>
      </w:r>
      <w:r w:rsidRPr="00D4309F">
        <w:t>and disorientation of hatchlings leading to exhaustion, dehydration and predation.</w:t>
      </w:r>
    </w:p>
    <w:p w14:paraId="5A7BB117" w14:textId="77777777" w:rsidR="00725977" w:rsidRPr="00D4309F" w:rsidRDefault="00725977" w:rsidP="00725977">
      <w:pPr>
        <w:pStyle w:val="BodyText"/>
      </w:pPr>
    </w:p>
    <w:p w14:paraId="1764496E" w14:textId="77777777" w:rsidR="00741F4A" w:rsidRDefault="00725977" w:rsidP="00741F4A">
      <w:pPr>
        <w:pStyle w:val="BodyText"/>
        <w:keepNext/>
        <w:jc w:val="center"/>
      </w:pPr>
      <w:r w:rsidRPr="00D4309F">
        <w:rPr>
          <w:noProof/>
        </w:rPr>
        <w:lastRenderedPageBreak/>
        <mc:AlternateContent>
          <mc:Choice Requires="wpg">
            <w:drawing>
              <wp:inline distT="0" distB="0" distL="0" distR="0" wp14:anchorId="33B50011" wp14:editId="10968B97">
                <wp:extent cx="4566285" cy="5120640"/>
                <wp:effectExtent l="0" t="0" r="0" b="3810"/>
                <wp:docPr id="27" name="Group 27" descr="Image is an arial photo of the Mooloolaba Boat Harbour Entrance and Cartwright Point, showing the marine turtle nesting areas as identified in 2020 - 2021.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66285" cy="5120640"/>
                          <a:chOff x="0" y="0"/>
                          <a:chExt cx="4566285" cy="5120640"/>
                        </a:xfrm>
                      </wpg:grpSpPr>
                      <pic:pic xmlns:pic="http://schemas.openxmlformats.org/drawingml/2006/picture">
                        <pic:nvPicPr>
                          <pic:cNvPr id="28" name="Image 28" descr="An aerial view of a beach  Description automatically generated "/>
                          <pic:cNvPicPr/>
                        </pic:nvPicPr>
                        <pic:blipFill>
                          <a:blip r:embed="rId44" cstate="print"/>
                          <a:stretch>
                            <a:fillRect/>
                          </a:stretch>
                        </pic:blipFill>
                        <pic:spPr>
                          <a:xfrm>
                            <a:off x="0" y="0"/>
                            <a:ext cx="4565903" cy="5120512"/>
                          </a:xfrm>
                          <a:prstGeom prst="rect">
                            <a:avLst/>
                          </a:prstGeom>
                        </pic:spPr>
                      </pic:pic>
                      <pic:pic xmlns:pic="http://schemas.openxmlformats.org/drawingml/2006/picture">
                        <pic:nvPicPr>
                          <pic:cNvPr id="29" name="Image 29"/>
                          <pic:cNvPicPr/>
                        </pic:nvPicPr>
                        <pic:blipFill>
                          <a:blip r:embed="rId45" cstate="print"/>
                          <a:stretch>
                            <a:fillRect/>
                          </a:stretch>
                        </pic:blipFill>
                        <pic:spPr>
                          <a:xfrm>
                            <a:off x="2660967" y="4291839"/>
                            <a:ext cx="1857298" cy="803184"/>
                          </a:xfrm>
                          <a:prstGeom prst="rect">
                            <a:avLst/>
                          </a:prstGeom>
                        </pic:spPr>
                      </pic:pic>
                    </wpg:wgp>
                  </a:graphicData>
                </a:graphic>
              </wp:inline>
            </w:drawing>
          </mc:Choice>
          <mc:Fallback>
            <w:pict>
              <v:group w14:anchorId="78B3BD1C" id="Group 27" o:spid="_x0000_s1026" alt="Image is an arial photo of the Mooloolaba Boat Harbour Entrance and Cartwright Point, showing the marine turtle nesting areas as identified in 2020 - 2021. " style="width:359.55pt;height:403.2pt;mso-position-horizontal-relative:char;mso-position-vertical-relative:line" coordsize="45662,512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">
                <v:shape id="Image 28" o:spid="_x0000_s1027" type="#_x0000_t75" alt="An aerial view of a beach  Description automatically generated " style="position:absolute;width:45659;height:51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">
                  <v:imagedata r:id="rId46" o:title="An aerial view of a beach  Description automatically generated "/>
                </v:shape>
                <v:shape id="Image 29" o:spid="_x0000_s1028" type="#_x0000_t75" style="position:absolute;left:26609;top:42918;width:18573;height:8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">
                  <v:imagedata r:id="rId47" o:title=""/>
                </v:shape>
                <w10:anchorlock/>
              </v:group>
            </w:pict>
          </mc:Fallback>
        </mc:AlternateContent>
      </w:r>
    </w:p>
    <w:p w14:paraId="69BE43BB" w14:textId="7BFFB019" w:rsidR="00725977" w:rsidRDefault="00741F4A" w:rsidP="00741F4A">
      <w:pPr>
        <w:pStyle w:val="Caption"/>
        <w:jc w:val="center"/>
        <w:rPr>
          <w:spacing w:val="-2"/>
        </w:rPr>
      </w:pPr>
      <w:bookmarkStart w:id="57" w:name="_Ref215909672"/>
      <w:bookmarkStart w:id="58" w:name="_Toc216699595"/>
      <w:r>
        <w:t xml:space="preserve">Figure </w:t>
      </w:r>
      <w:r w:rsidR="00B538D4">
        <w:fldChar w:fldCharType="begin" w:fldLock="1"/>
      </w:r>
      <w:r w:rsidR="00B538D4">
        <w:instrText xml:space="preserve"> STYLEREF 1 \s </w:instrText>
      </w:r>
      <w:r w:rsidR="00B538D4">
        <w:fldChar w:fldCharType="separate"/>
      </w:r>
      <w:r w:rsidR="00B538D4">
        <w:rPr>
          <w:noProof/>
        </w:rPr>
        <w:t>5</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1</w:t>
      </w:r>
      <w:r w:rsidR="00B538D4">
        <w:fldChar w:fldCharType="end"/>
      </w:r>
      <w:bookmarkEnd w:id="57"/>
      <w:r>
        <w:t>:</w:t>
      </w:r>
      <w:r>
        <w:tab/>
      </w:r>
      <w:r w:rsidRPr="00D4309F">
        <w:t>Marine</w:t>
      </w:r>
      <w:r w:rsidRPr="00D4309F">
        <w:rPr>
          <w:spacing w:val="-3"/>
        </w:rPr>
        <w:t xml:space="preserve"> </w:t>
      </w:r>
      <w:r w:rsidRPr="00D4309F">
        <w:t>turtle</w:t>
      </w:r>
      <w:r w:rsidRPr="00D4309F">
        <w:rPr>
          <w:spacing w:val="-3"/>
        </w:rPr>
        <w:t xml:space="preserve"> </w:t>
      </w:r>
      <w:r w:rsidRPr="00D4309F">
        <w:t>nesting</w:t>
      </w:r>
      <w:r w:rsidRPr="00D4309F">
        <w:rPr>
          <w:spacing w:val="-2"/>
        </w:rPr>
        <w:t xml:space="preserve"> </w:t>
      </w:r>
      <w:r w:rsidRPr="00D4309F">
        <w:t>areas</w:t>
      </w:r>
      <w:r w:rsidRPr="00D4309F">
        <w:rPr>
          <w:spacing w:val="-1"/>
        </w:rPr>
        <w:t xml:space="preserve"> </w:t>
      </w:r>
      <w:r w:rsidRPr="00D4309F">
        <w:t>identified</w:t>
      </w:r>
      <w:r w:rsidRPr="00D4309F">
        <w:rPr>
          <w:spacing w:val="-3"/>
        </w:rPr>
        <w:t xml:space="preserve"> </w:t>
      </w:r>
      <w:r w:rsidRPr="00D4309F">
        <w:t>in</w:t>
      </w:r>
      <w:r w:rsidRPr="00D4309F">
        <w:rPr>
          <w:spacing w:val="-3"/>
        </w:rPr>
        <w:t xml:space="preserve"> </w:t>
      </w:r>
      <w:r w:rsidRPr="00D4309F">
        <w:t>2020</w:t>
      </w:r>
      <w:r w:rsidRPr="00D4309F">
        <w:rPr>
          <w:spacing w:val="-3"/>
        </w:rPr>
        <w:t xml:space="preserve"> </w:t>
      </w:r>
      <w:r w:rsidRPr="00D4309F">
        <w:t>–</w:t>
      </w:r>
      <w:r w:rsidRPr="00D4309F">
        <w:rPr>
          <w:spacing w:val="-2"/>
        </w:rPr>
        <w:t xml:space="preserve"> </w:t>
      </w:r>
      <w:r w:rsidRPr="00D4309F">
        <w:t>2021</w:t>
      </w:r>
      <w:r w:rsidRPr="00D4309F">
        <w:rPr>
          <w:spacing w:val="-3"/>
        </w:rPr>
        <w:t xml:space="preserve"> </w:t>
      </w:r>
      <w:r w:rsidRPr="00D4309F">
        <w:t>(Source:</w:t>
      </w:r>
      <w:r w:rsidRPr="00D4309F">
        <w:rPr>
          <w:spacing w:val="-2"/>
        </w:rPr>
        <w:t xml:space="preserve"> </w:t>
      </w:r>
      <w:r w:rsidRPr="00D4309F">
        <w:t>FPE,</w:t>
      </w:r>
      <w:r w:rsidRPr="00D4309F">
        <w:rPr>
          <w:spacing w:val="-1"/>
        </w:rPr>
        <w:t xml:space="preserve"> </w:t>
      </w:r>
      <w:r w:rsidRPr="00D4309F">
        <w:rPr>
          <w:spacing w:val="-2"/>
        </w:rPr>
        <w:t>2022)</w:t>
      </w:r>
      <w:bookmarkEnd w:id="58"/>
    </w:p>
    <w:p w14:paraId="6E4CEC89" w14:textId="77777777" w:rsidR="00F06E88" w:rsidRPr="00F06E88" w:rsidRDefault="00F06E88" w:rsidP="00F06E88">
      <w:pPr>
        <w:pStyle w:val="BodyText"/>
      </w:pPr>
    </w:p>
    <w:p w14:paraId="433954F8" w14:textId="77777777" w:rsidR="00725977" w:rsidRPr="00D4309F" w:rsidRDefault="00725977" w:rsidP="00CB0B13">
      <w:pPr>
        <w:pStyle w:val="Heading4"/>
      </w:pPr>
      <w:bookmarkStart w:id="59" w:name="_bookmark21"/>
      <w:bookmarkEnd w:id="59"/>
      <w:r w:rsidRPr="00D4309F">
        <w:t>Marine mammals</w:t>
      </w:r>
    </w:p>
    <w:p w14:paraId="097D877D" w14:textId="77777777" w:rsidR="00725977" w:rsidRPr="00D4309F" w:rsidRDefault="00725977" w:rsidP="00725977">
      <w:pPr>
        <w:pStyle w:val="BodyText"/>
      </w:pPr>
      <w:r w:rsidRPr="00D4309F">
        <w:t xml:space="preserve">Eight marine mammal species listed as threatened and/or migratory under the EPBC Act were identified through a PMST search for the area and all have a migratory status. Two are classified as endangered (blue whale and southern right whale) and two as vulnerable (Australian snubfin dolphin and Australian humpback dolphin). ATLAS of Living Australia returned some records of </w:t>
      </w:r>
      <w:r w:rsidRPr="00D4309F">
        <w:rPr>
          <w:i/>
        </w:rPr>
        <w:t xml:space="preserve">Sousa sahulensis </w:t>
      </w:r>
      <w:r w:rsidRPr="00D4309F">
        <w:t>(Australian humpbacked</w:t>
      </w:r>
      <w:r w:rsidRPr="00D4309F">
        <w:rPr>
          <w:spacing w:val="-3"/>
        </w:rPr>
        <w:t xml:space="preserve"> </w:t>
      </w:r>
      <w:r w:rsidRPr="00D4309F">
        <w:t>dolphin)</w:t>
      </w:r>
      <w:r w:rsidRPr="00D4309F">
        <w:rPr>
          <w:spacing w:val="-2"/>
        </w:rPr>
        <w:t xml:space="preserve"> </w:t>
      </w:r>
      <w:r w:rsidRPr="00D4309F">
        <w:t>and</w:t>
      </w:r>
      <w:r w:rsidRPr="00D4309F">
        <w:rPr>
          <w:spacing w:val="-3"/>
        </w:rPr>
        <w:t xml:space="preserve"> </w:t>
      </w:r>
      <w:r w:rsidRPr="00D4309F">
        <w:rPr>
          <w:i/>
        </w:rPr>
        <w:t>Orcaella</w:t>
      </w:r>
      <w:r w:rsidRPr="00D4309F">
        <w:rPr>
          <w:i/>
          <w:spacing w:val="-3"/>
        </w:rPr>
        <w:t xml:space="preserve"> </w:t>
      </w:r>
      <w:r w:rsidRPr="00D4309F">
        <w:rPr>
          <w:i/>
        </w:rPr>
        <w:t>heinsohni</w:t>
      </w:r>
      <w:r w:rsidRPr="00D4309F">
        <w:rPr>
          <w:i/>
          <w:spacing w:val="-3"/>
        </w:rPr>
        <w:t xml:space="preserve"> </w:t>
      </w:r>
      <w:r w:rsidRPr="00D4309F">
        <w:t>(Australian</w:t>
      </w:r>
      <w:r w:rsidRPr="00D4309F">
        <w:rPr>
          <w:spacing w:val="-3"/>
        </w:rPr>
        <w:t xml:space="preserve"> </w:t>
      </w:r>
      <w:r w:rsidRPr="00D4309F">
        <w:t>snubfin</w:t>
      </w:r>
      <w:r w:rsidRPr="00D4309F">
        <w:rPr>
          <w:spacing w:val="-3"/>
        </w:rPr>
        <w:t xml:space="preserve"> </w:t>
      </w:r>
      <w:r w:rsidRPr="00D4309F">
        <w:t>dolphin),</w:t>
      </w:r>
      <w:r w:rsidRPr="00D4309F">
        <w:rPr>
          <w:spacing w:val="-3"/>
        </w:rPr>
        <w:t xml:space="preserve"> </w:t>
      </w:r>
      <w:r w:rsidRPr="00D4309F">
        <w:t>listed</w:t>
      </w:r>
      <w:r w:rsidRPr="00D4309F">
        <w:rPr>
          <w:spacing w:val="-4"/>
        </w:rPr>
        <w:t xml:space="preserve"> </w:t>
      </w:r>
      <w:r w:rsidRPr="00D4309F">
        <w:t>as</w:t>
      </w:r>
      <w:r w:rsidRPr="00D4309F">
        <w:rPr>
          <w:spacing w:val="-2"/>
        </w:rPr>
        <w:t xml:space="preserve"> </w:t>
      </w:r>
      <w:r w:rsidRPr="00D4309F">
        <w:t>vulnerable</w:t>
      </w:r>
      <w:r w:rsidRPr="00D4309F">
        <w:rPr>
          <w:spacing w:val="-3"/>
        </w:rPr>
        <w:t xml:space="preserve"> </w:t>
      </w:r>
      <w:r w:rsidRPr="00D4309F">
        <w:t>NC</w:t>
      </w:r>
      <w:r w:rsidRPr="00D4309F">
        <w:rPr>
          <w:spacing w:val="-2"/>
        </w:rPr>
        <w:t xml:space="preserve"> </w:t>
      </w:r>
      <w:r w:rsidRPr="00D4309F">
        <w:t>Act</w:t>
      </w:r>
      <w:r w:rsidRPr="00D4309F">
        <w:rPr>
          <w:spacing w:val="-3"/>
        </w:rPr>
        <w:t xml:space="preserve"> </w:t>
      </w:r>
      <w:r w:rsidRPr="00D4309F">
        <w:t xml:space="preserve">(ALA, </w:t>
      </w:r>
      <w:r w:rsidRPr="00D4309F">
        <w:rPr>
          <w:spacing w:val="-2"/>
        </w:rPr>
        <w:t>2025).</w:t>
      </w:r>
    </w:p>
    <w:p w14:paraId="2FC36E46" w14:textId="77777777" w:rsidR="00725977" w:rsidRPr="00D4309F" w:rsidRDefault="00725977" w:rsidP="00725977">
      <w:pPr>
        <w:pStyle w:val="BodyText"/>
      </w:pPr>
      <w:r w:rsidRPr="00D4309F">
        <w:t xml:space="preserve">Further, multiple marine mammal species have BIAs in waters near to the Mooloolaba Boat Harbour. </w:t>
      </w:r>
      <w:r w:rsidRPr="00D4309F">
        <w:rPr>
          <w:i/>
        </w:rPr>
        <w:t xml:space="preserve">Megaptera novaeangliae </w:t>
      </w:r>
      <w:r w:rsidRPr="00D4309F">
        <w:t>(humpback whale) have a migration BIA through the region and their seasonal migration runs from June to early October. In 2020 local groups reported a total of 23 whale sighting events around Point Cartwright (FPE, 2022). There is potential for humpback whales with calves to use the Mooloolaba</w:t>
      </w:r>
      <w:r w:rsidRPr="00D4309F">
        <w:rPr>
          <w:spacing w:val="-3"/>
        </w:rPr>
        <w:t xml:space="preserve"> </w:t>
      </w:r>
      <w:r w:rsidRPr="00D4309F">
        <w:t>beach</w:t>
      </w:r>
      <w:r w:rsidRPr="00D4309F">
        <w:rPr>
          <w:spacing w:val="-3"/>
        </w:rPr>
        <w:t xml:space="preserve"> </w:t>
      </w:r>
      <w:r w:rsidRPr="00D4309F">
        <w:t>area</w:t>
      </w:r>
      <w:r w:rsidRPr="00D4309F">
        <w:rPr>
          <w:spacing w:val="-3"/>
        </w:rPr>
        <w:t xml:space="preserve"> </w:t>
      </w:r>
      <w:r w:rsidRPr="00D4309F">
        <w:t>as</w:t>
      </w:r>
      <w:r w:rsidRPr="00D4309F">
        <w:rPr>
          <w:spacing w:val="-3"/>
        </w:rPr>
        <w:t xml:space="preserve"> </w:t>
      </w:r>
      <w:r w:rsidRPr="00D4309F">
        <w:t>resting</w:t>
      </w:r>
      <w:r w:rsidRPr="00D4309F">
        <w:rPr>
          <w:spacing w:val="-3"/>
        </w:rPr>
        <w:t xml:space="preserve"> </w:t>
      </w:r>
      <w:r w:rsidRPr="00D4309F">
        <w:t>place</w:t>
      </w:r>
      <w:r w:rsidRPr="00D4309F">
        <w:rPr>
          <w:spacing w:val="-4"/>
        </w:rPr>
        <w:t xml:space="preserve"> </w:t>
      </w:r>
      <w:r w:rsidRPr="00D4309F">
        <w:t>during</w:t>
      </w:r>
      <w:r w:rsidRPr="00D4309F">
        <w:rPr>
          <w:spacing w:val="-3"/>
        </w:rPr>
        <w:t xml:space="preserve"> </w:t>
      </w:r>
      <w:r w:rsidRPr="00D4309F">
        <w:t>their</w:t>
      </w:r>
      <w:r w:rsidRPr="00D4309F">
        <w:rPr>
          <w:spacing w:val="-2"/>
        </w:rPr>
        <w:t xml:space="preserve"> </w:t>
      </w:r>
      <w:r w:rsidRPr="00D4309F">
        <w:t>migration,</w:t>
      </w:r>
      <w:r w:rsidRPr="00D4309F">
        <w:rPr>
          <w:spacing w:val="-3"/>
        </w:rPr>
        <w:t xml:space="preserve"> </w:t>
      </w:r>
      <w:r w:rsidRPr="00D4309F">
        <w:t>however</w:t>
      </w:r>
      <w:r w:rsidRPr="00D4309F">
        <w:rPr>
          <w:spacing w:val="-2"/>
        </w:rPr>
        <w:t xml:space="preserve"> </w:t>
      </w:r>
      <w:r w:rsidRPr="00D4309F">
        <w:t>there</w:t>
      </w:r>
      <w:r w:rsidRPr="00D4309F">
        <w:rPr>
          <w:spacing w:val="-3"/>
        </w:rPr>
        <w:t xml:space="preserve"> </w:t>
      </w:r>
      <w:r w:rsidRPr="00D4309F">
        <w:t>is</w:t>
      </w:r>
      <w:r w:rsidRPr="00D4309F">
        <w:rPr>
          <w:spacing w:val="-3"/>
        </w:rPr>
        <w:t xml:space="preserve"> </w:t>
      </w:r>
      <w:r w:rsidRPr="00D4309F">
        <w:t>currently</w:t>
      </w:r>
      <w:r w:rsidRPr="00D4309F">
        <w:rPr>
          <w:spacing w:val="-2"/>
        </w:rPr>
        <w:t xml:space="preserve"> </w:t>
      </w:r>
      <w:r w:rsidRPr="00D4309F">
        <w:t>no</w:t>
      </w:r>
      <w:r w:rsidRPr="00D4309F">
        <w:rPr>
          <w:spacing w:val="-3"/>
        </w:rPr>
        <w:t xml:space="preserve"> </w:t>
      </w:r>
      <w:r w:rsidRPr="00D4309F">
        <w:t>data</w:t>
      </w:r>
      <w:r w:rsidRPr="00D4309F">
        <w:rPr>
          <w:spacing w:val="-3"/>
        </w:rPr>
        <w:t xml:space="preserve"> </w:t>
      </w:r>
      <w:r w:rsidRPr="00D4309F">
        <w:t xml:space="preserve">supporting </w:t>
      </w:r>
      <w:r w:rsidRPr="00D4309F">
        <w:rPr>
          <w:spacing w:val="-2"/>
        </w:rPr>
        <w:t>this.</w:t>
      </w:r>
    </w:p>
    <w:p w14:paraId="776A3F2E" w14:textId="77777777" w:rsidR="00725977" w:rsidRPr="00D4309F" w:rsidRDefault="00725977" w:rsidP="00725977">
      <w:pPr>
        <w:pStyle w:val="BodyText"/>
      </w:pPr>
      <w:r w:rsidRPr="00D4309F">
        <w:t>The waters surrounding Point Cartwright are also breeding BIAs for Australian humpback dolphin (</w:t>
      </w:r>
      <w:r w:rsidRPr="00D4309F">
        <w:rPr>
          <w:i/>
        </w:rPr>
        <w:t>Sousa sahulensis</w:t>
      </w:r>
      <w:r w:rsidRPr="00D4309F">
        <w:t>) and Indo-Pacific/spotted bottlenose dolphin (</w:t>
      </w:r>
      <w:r w:rsidRPr="00D4309F">
        <w:rPr>
          <w:i/>
        </w:rPr>
        <w:t>Tursiops aduncus</w:t>
      </w:r>
      <w:r w:rsidRPr="00D4309F">
        <w:t>). However, the Indo-Pacific/spotted bottlenose dolphin breeding BIA encompasses all coastal waters in Queensland and NSW (DoE,</w:t>
      </w:r>
      <w:r w:rsidRPr="00D4309F">
        <w:rPr>
          <w:spacing w:val="-3"/>
        </w:rPr>
        <w:t xml:space="preserve"> </w:t>
      </w:r>
      <w:r w:rsidRPr="00D4309F">
        <w:t>2025a)</w:t>
      </w:r>
      <w:r w:rsidRPr="00D4309F">
        <w:rPr>
          <w:spacing w:val="-4"/>
        </w:rPr>
        <w:t xml:space="preserve"> </w:t>
      </w:r>
      <w:r w:rsidRPr="00D4309F">
        <w:t>and</w:t>
      </w:r>
      <w:r w:rsidRPr="00D4309F">
        <w:rPr>
          <w:spacing w:val="-3"/>
        </w:rPr>
        <w:t xml:space="preserve"> </w:t>
      </w:r>
      <w:r w:rsidRPr="00D4309F">
        <w:t>the</w:t>
      </w:r>
      <w:r w:rsidRPr="00D4309F">
        <w:rPr>
          <w:spacing w:val="-3"/>
        </w:rPr>
        <w:t xml:space="preserve"> </w:t>
      </w:r>
      <w:r w:rsidRPr="00D4309F">
        <w:t>Australian</w:t>
      </w:r>
      <w:r w:rsidRPr="00D4309F">
        <w:rPr>
          <w:spacing w:val="-3"/>
        </w:rPr>
        <w:t xml:space="preserve"> </w:t>
      </w:r>
      <w:r w:rsidRPr="00D4309F">
        <w:t>humpback</w:t>
      </w:r>
      <w:r w:rsidRPr="00D4309F">
        <w:rPr>
          <w:spacing w:val="-2"/>
        </w:rPr>
        <w:t xml:space="preserve"> </w:t>
      </w:r>
      <w:r w:rsidRPr="00D4309F">
        <w:t>dolphin</w:t>
      </w:r>
      <w:r w:rsidRPr="00D4309F">
        <w:rPr>
          <w:spacing w:val="-3"/>
        </w:rPr>
        <w:t xml:space="preserve"> </w:t>
      </w:r>
      <w:r w:rsidRPr="00D4309F">
        <w:t>breeding</w:t>
      </w:r>
      <w:r w:rsidRPr="00D4309F">
        <w:rPr>
          <w:spacing w:val="-3"/>
        </w:rPr>
        <w:t xml:space="preserve"> </w:t>
      </w:r>
      <w:r w:rsidRPr="00D4309F">
        <w:t>BIA</w:t>
      </w:r>
      <w:r w:rsidRPr="00D4309F">
        <w:rPr>
          <w:spacing w:val="-3"/>
        </w:rPr>
        <w:t xml:space="preserve"> </w:t>
      </w:r>
      <w:r w:rsidRPr="00D4309F">
        <w:t>covers</w:t>
      </w:r>
      <w:r w:rsidRPr="00D4309F">
        <w:rPr>
          <w:spacing w:val="-2"/>
        </w:rPr>
        <w:t xml:space="preserve"> </w:t>
      </w:r>
      <w:r w:rsidRPr="00D4309F">
        <w:t>most</w:t>
      </w:r>
      <w:r w:rsidRPr="00D4309F">
        <w:rPr>
          <w:spacing w:val="-3"/>
        </w:rPr>
        <w:t xml:space="preserve"> </w:t>
      </w:r>
      <w:r w:rsidRPr="00D4309F">
        <w:t>coastal</w:t>
      </w:r>
      <w:r w:rsidRPr="00D4309F">
        <w:rPr>
          <w:spacing w:val="-4"/>
        </w:rPr>
        <w:t xml:space="preserve"> </w:t>
      </w:r>
      <w:r w:rsidRPr="00D4309F">
        <w:t>waters</w:t>
      </w:r>
      <w:r w:rsidRPr="00D4309F">
        <w:rPr>
          <w:spacing w:val="-3"/>
        </w:rPr>
        <w:t xml:space="preserve"> </w:t>
      </w:r>
      <w:r w:rsidRPr="00D4309F">
        <w:t>of</w:t>
      </w:r>
      <w:r w:rsidRPr="00D4309F">
        <w:rPr>
          <w:spacing w:val="-3"/>
        </w:rPr>
        <w:t xml:space="preserve"> </w:t>
      </w:r>
      <w:r w:rsidRPr="00D4309F">
        <w:t xml:space="preserve">south-east Queensland, including all of the Sunshine coast (DoE, 2025b), indicating these BIAs are unlikely to be </w:t>
      </w:r>
      <w:r w:rsidRPr="00D4309F">
        <w:lastRenderedPageBreak/>
        <w:t>significantly</w:t>
      </w:r>
      <w:r w:rsidRPr="00D4309F">
        <w:rPr>
          <w:spacing w:val="-2"/>
        </w:rPr>
        <w:t xml:space="preserve"> </w:t>
      </w:r>
      <w:r w:rsidRPr="00D4309F">
        <w:t>impacted</w:t>
      </w:r>
      <w:r w:rsidRPr="00D4309F">
        <w:rPr>
          <w:spacing w:val="-3"/>
        </w:rPr>
        <w:t xml:space="preserve"> </w:t>
      </w:r>
      <w:r w:rsidRPr="00D4309F">
        <w:t>by</w:t>
      </w:r>
      <w:r w:rsidRPr="00D4309F">
        <w:rPr>
          <w:spacing w:val="-2"/>
        </w:rPr>
        <w:t xml:space="preserve"> </w:t>
      </w:r>
      <w:r w:rsidRPr="00D4309F">
        <w:t>the</w:t>
      </w:r>
      <w:r w:rsidRPr="00D4309F">
        <w:rPr>
          <w:spacing w:val="-3"/>
        </w:rPr>
        <w:t xml:space="preserve"> </w:t>
      </w:r>
      <w:r w:rsidRPr="00D4309F">
        <w:t>proposed</w:t>
      </w:r>
      <w:r w:rsidRPr="00D4309F">
        <w:rPr>
          <w:spacing w:val="-4"/>
        </w:rPr>
        <w:t xml:space="preserve"> </w:t>
      </w:r>
      <w:r w:rsidRPr="00D4309F">
        <w:t>activities</w:t>
      </w:r>
      <w:r w:rsidRPr="00D4309F">
        <w:rPr>
          <w:spacing w:val="-3"/>
        </w:rPr>
        <w:t xml:space="preserve"> </w:t>
      </w:r>
      <w:r w:rsidRPr="00D4309F">
        <w:t>near</w:t>
      </w:r>
      <w:r w:rsidRPr="00D4309F">
        <w:rPr>
          <w:spacing w:val="-4"/>
        </w:rPr>
        <w:t xml:space="preserve"> </w:t>
      </w:r>
      <w:r w:rsidRPr="00D4309F">
        <w:t>the</w:t>
      </w:r>
      <w:r w:rsidRPr="00D4309F">
        <w:rPr>
          <w:spacing w:val="-3"/>
        </w:rPr>
        <w:t xml:space="preserve"> </w:t>
      </w:r>
      <w:r w:rsidRPr="00D4309F">
        <w:t>Mooloolaba</w:t>
      </w:r>
      <w:r w:rsidRPr="00D4309F">
        <w:rPr>
          <w:spacing w:val="-3"/>
        </w:rPr>
        <w:t xml:space="preserve"> </w:t>
      </w:r>
      <w:r w:rsidRPr="00D4309F">
        <w:t>Boat</w:t>
      </w:r>
      <w:r w:rsidRPr="00D4309F">
        <w:rPr>
          <w:spacing w:val="-3"/>
        </w:rPr>
        <w:t xml:space="preserve"> </w:t>
      </w:r>
      <w:r w:rsidRPr="00D4309F">
        <w:t>Harbour.</w:t>
      </w:r>
      <w:r w:rsidRPr="00D4309F">
        <w:rPr>
          <w:spacing w:val="-4"/>
        </w:rPr>
        <w:t xml:space="preserve"> </w:t>
      </w:r>
      <w:r w:rsidRPr="00D4309F">
        <w:t>There</w:t>
      </w:r>
      <w:r w:rsidRPr="00D4309F">
        <w:rPr>
          <w:spacing w:val="-3"/>
        </w:rPr>
        <w:t xml:space="preserve"> </w:t>
      </w:r>
      <w:r w:rsidRPr="00D4309F">
        <w:t>is</w:t>
      </w:r>
      <w:r w:rsidRPr="00D4309F">
        <w:rPr>
          <w:spacing w:val="-2"/>
        </w:rPr>
        <w:t xml:space="preserve"> </w:t>
      </w:r>
      <w:r w:rsidRPr="00D4309F">
        <w:t>little</w:t>
      </w:r>
      <w:r w:rsidRPr="00D4309F">
        <w:rPr>
          <w:spacing w:val="-3"/>
        </w:rPr>
        <w:t xml:space="preserve"> </w:t>
      </w:r>
      <w:r w:rsidRPr="00D4309F">
        <w:t>available data about the presence of these species in the area.</w:t>
      </w:r>
    </w:p>
    <w:p w14:paraId="66429946" w14:textId="1535A067" w:rsidR="00F06E88" w:rsidRPr="00D4309F" w:rsidRDefault="00725977" w:rsidP="00725977">
      <w:pPr>
        <w:pStyle w:val="BodyText"/>
      </w:pPr>
      <w:r w:rsidRPr="00D4309F">
        <w:t xml:space="preserve">In addition, Wildnet and ATLAS of Living Australia have records for the area that include </w:t>
      </w:r>
      <w:r w:rsidRPr="00D4309F">
        <w:rPr>
          <w:i/>
        </w:rPr>
        <w:t>Arctocephalus tropicalis</w:t>
      </w:r>
      <w:r w:rsidRPr="00D4309F">
        <w:rPr>
          <w:i/>
          <w:spacing w:val="-3"/>
        </w:rPr>
        <w:t xml:space="preserve"> </w:t>
      </w:r>
      <w:r w:rsidRPr="00D4309F">
        <w:t>(Subantarctic</w:t>
      </w:r>
      <w:r w:rsidRPr="00D4309F">
        <w:rPr>
          <w:spacing w:val="-2"/>
        </w:rPr>
        <w:t xml:space="preserve"> </w:t>
      </w:r>
      <w:r w:rsidRPr="00D4309F">
        <w:t>fur</w:t>
      </w:r>
      <w:r w:rsidRPr="00D4309F">
        <w:rPr>
          <w:spacing w:val="-2"/>
        </w:rPr>
        <w:t xml:space="preserve"> </w:t>
      </w:r>
      <w:r w:rsidRPr="00D4309F">
        <w:t>seal),</w:t>
      </w:r>
      <w:r w:rsidRPr="00D4309F">
        <w:rPr>
          <w:spacing w:val="-3"/>
        </w:rPr>
        <w:t xml:space="preserve"> </w:t>
      </w:r>
      <w:r w:rsidRPr="00D4309F">
        <w:t>which</w:t>
      </w:r>
      <w:r w:rsidRPr="00D4309F">
        <w:rPr>
          <w:spacing w:val="-3"/>
        </w:rPr>
        <w:t xml:space="preserve"> </w:t>
      </w:r>
      <w:r w:rsidRPr="00D4309F">
        <w:t>is</w:t>
      </w:r>
      <w:r w:rsidRPr="00D4309F">
        <w:rPr>
          <w:spacing w:val="-2"/>
        </w:rPr>
        <w:t xml:space="preserve"> </w:t>
      </w:r>
      <w:r w:rsidRPr="00D4309F">
        <w:t>listed</w:t>
      </w:r>
      <w:r w:rsidRPr="00D4309F">
        <w:rPr>
          <w:spacing w:val="-3"/>
        </w:rPr>
        <w:t xml:space="preserve"> </w:t>
      </w:r>
      <w:r w:rsidRPr="00D4309F">
        <w:t>under</w:t>
      </w:r>
      <w:r w:rsidRPr="00D4309F">
        <w:rPr>
          <w:spacing w:val="-4"/>
        </w:rPr>
        <w:t xml:space="preserve"> </w:t>
      </w:r>
      <w:r w:rsidRPr="00D4309F">
        <w:t>the</w:t>
      </w:r>
      <w:r w:rsidRPr="00D4309F">
        <w:rPr>
          <w:spacing w:val="-3"/>
        </w:rPr>
        <w:t xml:space="preserve"> </w:t>
      </w:r>
      <w:r w:rsidRPr="00D4309F">
        <w:t>NC</w:t>
      </w:r>
      <w:r w:rsidRPr="00D4309F">
        <w:rPr>
          <w:spacing w:val="-2"/>
        </w:rPr>
        <w:t xml:space="preserve"> </w:t>
      </w:r>
      <w:r w:rsidRPr="00D4309F">
        <w:t>Act</w:t>
      </w:r>
      <w:r w:rsidRPr="00D4309F">
        <w:rPr>
          <w:spacing w:val="-3"/>
        </w:rPr>
        <w:t xml:space="preserve"> </w:t>
      </w:r>
      <w:r w:rsidRPr="00D4309F">
        <w:t>as</w:t>
      </w:r>
      <w:r w:rsidRPr="00D4309F">
        <w:rPr>
          <w:spacing w:val="-2"/>
        </w:rPr>
        <w:t xml:space="preserve"> </w:t>
      </w:r>
      <w:r w:rsidRPr="00D4309F">
        <w:t>vulnerable</w:t>
      </w:r>
      <w:r w:rsidRPr="00D4309F">
        <w:rPr>
          <w:spacing w:val="-4"/>
        </w:rPr>
        <w:t xml:space="preserve"> </w:t>
      </w:r>
      <w:r w:rsidRPr="00D4309F">
        <w:t>(DETSI</w:t>
      </w:r>
      <w:r w:rsidRPr="00D4309F">
        <w:rPr>
          <w:spacing w:val="-3"/>
        </w:rPr>
        <w:t xml:space="preserve"> </w:t>
      </w:r>
      <w:r w:rsidRPr="00D4309F">
        <w:t>2025</w:t>
      </w:r>
      <w:r w:rsidRPr="00D4309F">
        <w:rPr>
          <w:spacing w:val="-4"/>
        </w:rPr>
        <w:t xml:space="preserve"> </w:t>
      </w:r>
      <w:r w:rsidRPr="00D4309F">
        <w:t>and</w:t>
      </w:r>
      <w:r w:rsidRPr="00D4309F">
        <w:rPr>
          <w:spacing w:val="-3"/>
        </w:rPr>
        <w:t xml:space="preserve"> </w:t>
      </w:r>
      <w:r w:rsidRPr="00D4309F">
        <w:t>ALA</w:t>
      </w:r>
      <w:r w:rsidRPr="00D4309F">
        <w:rPr>
          <w:spacing w:val="-3"/>
        </w:rPr>
        <w:t xml:space="preserve"> </w:t>
      </w:r>
      <w:r w:rsidRPr="00D4309F">
        <w:t xml:space="preserve">2025). Further, there have been observations of </w:t>
      </w:r>
      <w:r w:rsidRPr="00D4309F">
        <w:rPr>
          <w:i/>
        </w:rPr>
        <w:t xml:space="preserve">Arctocephalus forsteri </w:t>
      </w:r>
      <w:r w:rsidRPr="00D4309F">
        <w:t xml:space="preserve">(New Zealand fur seal) and </w:t>
      </w:r>
      <w:r w:rsidRPr="00D4309F">
        <w:rPr>
          <w:i/>
        </w:rPr>
        <w:t xml:space="preserve">Dugong dugon </w:t>
      </w:r>
      <w:r w:rsidRPr="00D4309F">
        <w:t>(dugong) within the waters surrounding Point Cartwright (FPE, 2022).</w:t>
      </w:r>
    </w:p>
    <w:p w14:paraId="37787F92" w14:textId="77777777" w:rsidR="00725977" w:rsidRPr="00D4309F" w:rsidRDefault="00725977" w:rsidP="00C5678D">
      <w:pPr>
        <w:pStyle w:val="Heading4"/>
      </w:pPr>
      <w:bookmarkStart w:id="60" w:name="_Ref216022345"/>
      <w:r w:rsidRPr="00D4309F">
        <w:t>Seabirds,</w:t>
      </w:r>
      <w:r w:rsidRPr="00D4309F">
        <w:rPr>
          <w:spacing w:val="-5"/>
        </w:rPr>
        <w:t xml:space="preserve"> </w:t>
      </w:r>
      <w:r w:rsidRPr="00D4309F">
        <w:t>Shorebirds</w:t>
      </w:r>
      <w:r w:rsidRPr="00D4309F">
        <w:rPr>
          <w:spacing w:val="-5"/>
        </w:rPr>
        <w:t xml:space="preserve"> </w:t>
      </w:r>
      <w:r w:rsidRPr="00D4309F">
        <w:t>and</w:t>
      </w:r>
      <w:r w:rsidRPr="00D4309F">
        <w:rPr>
          <w:spacing w:val="-4"/>
        </w:rPr>
        <w:t xml:space="preserve"> </w:t>
      </w:r>
      <w:r w:rsidRPr="00D4309F">
        <w:rPr>
          <w:spacing w:val="-2"/>
        </w:rPr>
        <w:t>Raptors</w:t>
      </w:r>
      <w:bookmarkEnd w:id="60"/>
    </w:p>
    <w:p w14:paraId="24C2D171" w14:textId="77777777" w:rsidR="00725977" w:rsidRPr="00D4309F" w:rsidRDefault="00725977" w:rsidP="00725977">
      <w:pPr>
        <w:pStyle w:val="BodyText"/>
      </w:pPr>
      <w:r w:rsidRPr="00D4309F">
        <w:t>Note,</w:t>
      </w:r>
      <w:r w:rsidRPr="00D4309F">
        <w:rPr>
          <w:spacing w:val="-2"/>
        </w:rPr>
        <w:t xml:space="preserve"> </w:t>
      </w:r>
      <w:r w:rsidRPr="00D4309F">
        <w:t>while</w:t>
      </w:r>
      <w:r w:rsidRPr="00D4309F">
        <w:rPr>
          <w:spacing w:val="-2"/>
        </w:rPr>
        <w:t xml:space="preserve"> </w:t>
      </w:r>
      <w:r w:rsidRPr="00D4309F">
        <w:t>shorebirds</w:t>
      </w:r>
      <w:r w:rsidRPr="00D4309F">
        <w:rPr>
          <w:spacing w:val="-1"/>
        </w:rPr>
        <w:t xml:space="preserve"> </w:t>
      </w:r>
      <w:r w:rsidRPr="00D4309F">
        <w:t>and</w:t>
      </w:r>
      <w:r w:rsidRPr="00D4309F">
        <w:rPr>
          <w:spacing w:val="-3"/>
        </w:rPr>
        <w:t xml:space="preserve"> </w:t>
      </w:r>
      <w:r w:rsidRPr="00D4309F">
        <w:t>raptors</w:t>
      </w:r>
      <w:r w:rsidRPr="00D4309F">
        <w:rPr>
          <w:spacing w:val="-1"/>
        </w:rPr>
        <w:t xml:space="preserve"> </w:t>
      </w:r>
      <w:r w:rsidRPr="00D4309F">
        <w:t>are</w:t>
      </w:r>
      <w:r w:rsidRPr="00D4309F">
        <w:rPr>
          <w:spacing w:val="-2"/>
        </w:rPr>
        <w:t xml:space="preserve"> </w:t>
      </w:r>
      <w:r w:rsidRPr="00D4309F">
        <w:t>not</w:t>
      </w:r>
      <w:r w:rsidRPr="00D4309F">
        <w:rPr>
          <w:spacing w:val="-3"/>
        </w:rPr>
        <w:t xml:space="preserve"> </w:t>
      </w:r>
      <w:r w:rsidRPr="00D4309F">
        <w:t>marine</w:t>
      </w:r>
      <w:r w:rsidRPr="00D4309F">
        <w:rPr>
          <w:spacing w:val="-2"/>
        </w:rPr>
        <w:t xml:space="preserve"> </w:t>
      </w:r>
      <w:r w:rsidRPr="00D4309F">
        <w:t>fauna,</w:t>
      </w:r>
      <w:r w:rsidRPr="00D4309F">
        <w:rPr>
          <w:spacing w:val="-2"/>
        </w:rPr>
        <w:t xml:space="preserve"> </w:t>
      </w:r>
      <w:r w:rsidRPr="00D4309F">
        <w:t>they</w:t>
      </w:r>
      <w:r w:rsidRPr="00D4309F">
        <w:rPr>
          <w:spacing w:val="-1"/>
        </w:rPr>
        <w:t xml:space="preserve"> </w:t>
      </w:r>
      <w:r w:rsidRPr="00D4309F">
        <w:t>are</w:t>
      </w:r>
      <w:r w:rsidRPr="00D4309F">
        <w:rPr>
          <w:spacing w:val="-2"/>
        </w:rPr>
        <w:t xml:space="preserve"> </w:t>
      </w:r>
      <w:r w:rsidRPr="00D4309F">
        <w:t>discussed</w:t>
      </w:r>
      <w:r w:rsidRPr="00D4309F">
        <w:rPr>
          <w:spacing w:val="-2"/>
        </w:rPr>
        <w:t xml:space="preserve"> </w:t>
      </w:r>
      <w:r w:rsidRPr="00D4309F">
        <w:t>in</w:t>
      </w:r>
      <w:r w:rsidRPr="00D4309F">
        <w:rPr>
          <w:spacing w:val="-2"/>
        </w:rPr>
        <w:t xml:space="preserve"> </w:t>
      </w:r>
      <w:r w:rsidRPr="00D4309F">
        <w:t>this</w:t>
      </w:r>
      <w:r w:rsidRPr="00D4309F">
        <w:rPr>
          <w:spacing w:val="-1"/>
        </w:rPr>
        <w:t xml:space="preserve"> </w:t>
      </w:r>
      <w:r w:rsidRPr="00D4309F">
        <w:t>section</w:t>
      </w:r>
      <w:r w:rsidRPr="00D4309F">
        <w:rPr>
          <w:spacing w:val="-4"/>
        </w:rPr>
        <w:t xml:space="preserve"> </w:t>
      </w:r>
      <w:r w:rsidRPr="00D4309F">
        <w:t>so</w:t>
      </w:r>
      <w:r w:rsidRPr="00D4309F">
        <w:rPr>
          <w:spacing w:val="-2"/>
        </w:rPr>
        <w:t xml:space="preserve"> </w:t>
      </w:r>
      <w:r w:rsidRPr="00D4309F">
        <w:t>that</w:t>
      </w:r>
      <w:r w:rsidRPr="00D4309F">
        <w:rPr>
          <w:spacing w:val="-3"/>
        </w:rPr>
        <w:t xml:space="preserve"> </w:t>
      </w:r>
      <w:r w:rsidRPr="00D4309F">
        <w:t>all</w:t>
      </w:r>
      <w:r w:rsidRPr="00D4309F">
        <w:rPr>
          <w:spacing w:val="-2"/>
        </w:rPr>
        <w:t xml:space="preserve"> </w:t>
      </w:r>
      <w:r w:rsidRPr="00D4309F">
        <w:t>bird-related topics are kept together.</w:t>
      </w:r>
    </w:p>
    <w:p w14:paraId="60E9A7E0" w14:textId="77777777" w:rsidR="00725977" w:rsidRPr="00D4309F" w:rsidRDefault="00725977" w:rsidP="00725977">
      <w:pPr>
        <w:pStyle w:val="BodyText"/>
      </w:pPr>
      <w:r w:rsidRPr="00D4309F">
        <w:t>Point Cartwright Reserve is considered to hold value as a roosting and feeding location for resident and migratory seabirds and shorebirds, including conservation significant species (Sunshine Coast Council, 2023a). As such, the Commonwealth Shorebird Conservation Action Plan (2020), which provides a framework to guide the conservation of migratory shorebirds and their habitat in Australia, includes the Point Cartwright</w:t>
      </w:r>
      <w:r w:rsidRPr="00D4309F">
        <w:rPr>
          <w:spacing w:val="-2"/>
        </w:rPr>
        <w:t xml:space="preserve"> </w:t>
      </w:r>
      <w:r w:rsidRPr="00D4309F">
        <w:t>Reserve.</w:t>
      </w:r>
      <w:r w:rsidRPr="00D4309F">
        <w:rPr>
          <w:spacing w:val="-2"/>
        </w:rPr>
        <w:t xml:space="preserve"> </w:t>
      </w:r>
      <w:r w:rsidRPr="00D4309F">
        <w:t>The</w:t>
      </w:r>
      <w:r w:rsidRPr="00D4309F">
        <w:rPr>
          <w:spacing w:val="-2"/>
        </w:rPr>
        <w:t xml:space="preserve"> </w:t>
      </w:r>
      <w:r w:rsidRPr="00D4309F">
        <w:t>Sunshine</w:t>
      </w:r>
      <w:r w:rsidRPr="00D4309F">
        <w:rPr>
          <w:spacing w:val="-3"/>
        </w:rPr>
        <w:t xml:space="preserve"> </w:t>
      </w:r>
      <w:r w:rsidRPr="00D4309F">
        <w:t>Coast</w:t>
      </w:r>
      <w:r w:rsidRPr="00D4309F">
        <w:rPr>
          <w:spacing w:val="-3"/>
        </w:rPr>
        <w:t xml:space="preserve"> </w:t>
      </w:r>
      <w:r w:rsidRPr="00D4309F">
        <w:t>in</w:t>
      </w:r>
      <w:r w:rsidRPr="00D4309F">
        <w:rPr>
          <w:spacing w:val="-2"/>
        </w:rPr>
        <w:t xml:space="preserve"> </w:t>
      </w:r>
      <w:r w:rsidRPr="00D4309F">
        <w:t>general</w:t>
      </w:r>
      <w:r w:rsidRPr="00D4309F">
        <w:rPr>
          <w:spacing w:val="-2"/>
        </w:rPr>
        <w:t xml:space="preserve"> </w:t>
      </w:r>
      <w:r w:rsidRPr="00D4309F">
        <w:t>is</w:t>
      </w:r>
      <w:r w:rsidRPr="00D4309F">
        <w:rPr>
          <w:spacing w:val="-2"/>
        </w:rPr>
        <w:t xml:space="preserve"> </w:t>
      </w:r>
      <w:r w:rsidRPr="00D4309F">
        <w:t>an</w:t>
      </w:r>
      <w:r w:rsidRPr="00D4309F">
        <w:rPr>
          <w:spacing w:val="-2"/>
        </w:rPr>
        <w:t xml:space="preserve"> </w:t>
      </w:r>
      <w:r w:rsidRPr="00D4309F">
        <w:t>important</w:t>
      </w:r>
      <w:r w:rsidRPr="00D4309F">
        <w:rPr>
          <w:spacing w:val="-3"/>
        </w:rPr>
        <w:t xml:space="preserve"> </w:t>
      </w:r>
      <w:r w:rsidRPr="00D4309F">
        <w:t>nesting</w:t>
      </w:r>
      <w:r w:rsidRPr="00D4309F">
        <w:rPr>
          <w:spacing w:val="-2"/>
        </w:rPr>
        <w:t xml:space="preserve"> </w:t>
      </w:r>
      <w:r w:rsidRPr="00D4309F">
        <w:t>habitat</w:t>
      </w:r>
      <w:r w:rsidRPr="00D4309F">
        <w:rPr>
          <w:spacing w:val="-3"/>
        </w:rPr>
        <w:t xml:space="preserve"> </w:t>
      </w:r>
      <w:r w:rsidRPr="00D4309F">
        <w:t>for</w:t>
      </w:r>
      <w:r w:rsidRPr="00D4309F">
        <w:rPr>
          <w:spacing w:val="-1"/>
        </w:rPr>
        <w:t xml:space="preserve"> </w:t>
      </w:r>
      <w:r w:rsidRPr="00D4309F">
        <w:t>resident</w:t>
      </w:r>
      <w:r w:rsidRPr="00D4309F">
        <w:rPr>
          <w:spacing w:val="-4"/>
        </w:rPr>
        <w:t xml:space="preserve"> </w:t>
      </w:r>
      <w:r w:rsidRPr="00D4309F">
        <w:t>and</w:t>
      </w:r>
      <w:r w:rsidRPr="00D4309F">
        <w:rPr>
          <w:spacing w:val="-2"/>
        </w:rPr>
        <w:t xml:space="preserve"> </w:t>
      </w:r>
      <w:r w:rsidRPr="00D4309F">
        <w:t>migratory shorebirds and is an important habitat in the East Asian-Australasian Flyway, which is one of only eight international routes taken by migratory birds (Sunshine Coast Council, 2023a). Seabirds and shorebirds</w:t>
      </w:r>
      <w:r w:rsidRPr="00D4309F">
        <w:rPr>
          <w:spacing w:val="40"/>
        </w:rPr>
        <w:t xml:space="preserve"> </w:t>
      </w:r>
      <w:r w:rsidRPr="00D4309F">
        <w:t>most likely to be impacted by the Mooloolaba Boat Harbour current and proposed activities are those that roost and forage in the Point Cartwright and La Balsa Park area or on the Mooloolaba or Buddina beaches.</w:t>
      </w:r>
    </w:p>
    <w:p w14:paraId="7EDA35AE" w14:textId="77777777" w:rsidR="00725977" w:rsidRPr="00D4309F" w:rsidRDefault="00725977" w:rsidP="00725977">
      <w:pPr>
        <w:pStyle w:val="BodyText"/>
      </w:pPr>
      <w:r w:rsidRPr="00D4309F">
        <w:t>Surveys conducted by the Queensland Wader Study group in the Point Cartwright and La Balsa Park area have recorded several species of birds, including conservation significant species, within the area, such as the</w:t>
      </w:r>
      <w:r w:rsidRPr="00D4309F">
        <w:rPr>
          <w:spacing w:val="-3"/>
        </w:rPr>
        <w:t xml:space="preserve"> </w:t>
      </w:r>
      <w:r w:rsidRPr="00D4309F">
        <w:t>eastern</w:t>
      </w:r>
      <w:r w:rsidRPr="00D4309F">
        <w:rPr>
          <w:spacing w:val="-3"/>
        </w:rPr>
        <w:t xml:space="preserve"> </w:t>
      </w:r>
      <w:r w:rsidRPr="00D4309F">
        <w:t>osprey</w:t>
      </w:r>
      <w:r w:rsidRPr="00D4309F">
        <w:rPr>
          <w:spacing w:val="-3"/>
        </w:rPr>
        <w:t xml:space="preserve"> </w:t>
      </w:r>
      <w:r w:rsidRPr="00D4309F">
        <w:t>(</w:t>
      </w:r>
      <w:r w:rsidRPr="00D4309F">
        <w:rPr>
          <w:i/>
        </w:rPr>
        <w:t>Pandion</w:t>
      </w:r>
      <w:r w:rsidRPr="00D4309F">
        <w:rPr>
          <w:i/>
          <w:spacing w:val="-3"/>
        </w:rPr>
        <w:t xml:space="preserve"> </w:t>
      </w:r>
      <w:r w:rsidRPr="00D4309F">
        <w:rPr>
          <w:i/>
        </w:rPr>
        <w:t>cristatus</w:t>
      </w:r>
      <w:r w:rsidRPr="00D4309F">
        <w:t>)</w:t>
      </w:r>
      <w:r w:rsidRPr="00D4309F">
        <w:rPr>
          <w:spacing w:val="-4"/>
        </w:rPr>
        <w:t xml:space="preserve"> </w:t>
      </w:r>
      <w:r w:rsidRPr="00D4309F">
        <w:t>and</w:t>
      </w:r>
      <w:r w:rsidRPr="00D4309F">
        <w:rPr>
          <w:spacing w:val="-3"/>
        </w:rPr>
        <w:t xml:space="preserve"> </w:t>
      </w:r>
      <w:r w:rsidRPr="00D4309F">
        <w:t>wandering</w:t>
      </w:r>
      <w:r w:rsidRPr="00D4309F">
        <w:rPr>
          <w:spacing w:val="-3"/>
        </w:rPr>
        <w:t xml:space="preserve"> </w:t>
      </w:r>
      <w:r w:rsidRPr="00D4309F">
        <w:t>tattler</w:t>
      </w:r>
      <w:r w:rsidRPr="00D4309F">
        <w:rPr>
          <w:spacing w:val="-2"/>
        </w:rPr>
        <w:t xml:space="preserve"> </w:t>
      </w:r>
      <w:r w:rsidRPr="00D4309F">
        <w:t>(</w:t>
      </w:r>
      <w:r w:rsidRPr="00D4309F">
        <w:rPr>
          <w:i/>
        </w:rPr>
        <w:t>Tringa</w:t>
      </w:r>
      <w:r w:rsidRPr="00D4309F">
        <w:rPr>
          <w:i/>
          <w:spacing w:val="-3"/>
        </w:rPr>
        <w:t xml:space="preserve"> </w:t>
      </w:r>
      <w:r w:rsidRPr="00D4309F">
        <w:rPr>
          <w:i/>
        </w:rPr>
        <w:t>incana</w:t>
      </w:r>
      <w:r w:rsidRPr="00D4309F">
        <w:t>)</w:t>
      </w:r>
      <w:r w:rsidRPr="00D4309F">
        <w:rPr>
          <w:spacing w:val="-2"/>
        </w:rPr>
        <w:t xml:space="preserve"> </w:t>
      </w:r>
      <w:r w:rsidRPr="00D4309F">
        <w:t>(FPE,</w:t>
      </w:r>
      <w:r w:rsidRPr="00D4309F">
        <w:rPr>
          <w:spacing w:val="-3"/>
        </w:rPr>
        <w:t xml:space="preserve"> </w:t>
      </w:r>
      <w:r w:rsidRPr="00D4309F">
        <w:t>2022).</w:t>
      </w:r>
      <w:r w:rsidRPr="00D4309F">
        <w:rPr>
          <w:spacing w:val="-4"/>
        </w:rPr>
        <w:t xml:space="preserve"> </w:t>
      </w:r>
      <w:r w:rsidRPr="00D4309F">
        <w:t>The</w:t>
      </w:r>
      <w:r w:rsidRPr="00D4309F">
        <w:rPr>
          <w:spacing w:val="-3"/>
        </w:rPr>
        <w:t xml:space="preserve"> </w:t>
      </w:r>
      <w:r w:rsidRPr="00D4309F">
        <w:t>PMST</w:t>
      </w:r>
      <w:r w:rsidRPr="00D4309F">
        <w:rPr>
          <w:spacing w:val="-3"/>
        </w:rPr>
        <w:t xml:space="preserve"> </w:t>
      </w:r>
      <w:r w:rsidRPr="00D4309F">
        <w:t>search returned 39 bird species that are classified as threatened under the EPBC Act: 5 critically endangered, 7 endangered</w:t>
      </w:r>
      <w:r w:rsidRPr="00D4309F">
        <w:rPr>
          <w:spacing w:val="-2"/>
        </w:rPr>
        <w:t xml:space="preserve"> </w:t>
      </w:r>
      <w:r w:rsidRPr="00D4309F">
        <w:t>and</w:t>
      </w:r>
      <w:r w:rsidRPr="00D4309F">
        <w:rPr>
          <w:spacing w:val="-1"/>
        </w:rPr>
        <w:t xml:space="preserve"> </w:t>
      </w:r>
      <w:r w:rsidRPr="00D4309F">
        <w:t>27</w:t>
      </w:r>
      <w:r w:rsidRPr="00D4309F">
        <w:rPr>
          <w:spacing w:val="-2"/>
        </w:rPr>
        <w:t xml:space="preserve"> </w:t>
      </w:r>
      <w:r w:rsidRPr="00D4309F">
        <w:t>vulnerable.</w:t>
      </w:r>
      <w:r w:rsidRPr="00D4309F">
        <w:rPr>
          <w:spacing w:val="-1"/>
        </w:rPr>
        <w:t xml:space="preserve"> </w:t>
      </w:r>
      <w:r w:rsidRPr="00D4309F">
        <w:t>Further,</w:t>
      </w:r>
      <w:r w:rsidRPr="00D4309F">
        <w:rPr>
          <w:spacing w:val="-3"/>
        </w:rPr>
        <w:t xml:space="preserve"> </w:t>
      </w:r>
      <w:r w:rsidRPr="00D4309F">
        <w:t>13</w:t>
      </w:r>
      <w:r w:rsidRPr="00D4309F">
        <w:rPr>
          <w:spacing w:val="-1"/>
        </w:rPr>
        <w:t xml:space="preserve"> </w:t>
      </w:r>
      <w:r w:rsidRPr="00D4309F">
        <w:t>bird</w:t>
      </w:r>
      <w:r w:rsidRPr="00D4309F">
        <w:rPr>
          <w:spacing w:val="-1"/>
        </w:rPr>
        <w:t xml:space="preserve"> </w:t>
      </w:r>
      <w:r w:rsidRPr="00D4309F">
        <w:t>species classified</w:t>
      </w:r>
      <w:r w:rsidRPr="00D4309F">
        <w:rPr>
          <w:spacing w:val="-2"/>
        </w:rPr>
        <w:t xml:space="preserve"> </w:t>
      </w:r>
      <w:r w:rsidRPr="00D4309F">
        <w:t>as migratory</w:t>
      </w:r>
      <w:r w:rsidRPr="00D4309F">
        <w:rPr>
          <w:spacing w:val="-1"/>
        </w:rPr>
        <w:t xml:space="preserve"> </w:t>
      </w:r>
      <w:r w:rsidRPr="00D4309F">
        <w:t>but</w:t>
      </w:r>
      <w:r w:rsidRPr="00D4309F">
        <w:rPr>
          <w:spacing w:val="-1"/>
        </w:rPr>
        <w:t xml:space="preserve"> </w:t>
      </w:r>
      <w:r w:rsidRPr="00D4309F">
        <w:t>not</w:t>
      </w:r>
      <w:r w:rsidRPr="00D4309F">
        <w:rPr>
          <w:spacing w:val="-1"/>
        </w:rPr>
        <w:t xml:space="preserve"> </w:t>
      </w:r>
      <w:r w:rsidRPr="00D4309F">
        <w:t>threatened</w:t>
      </w:r>
      <w:r w:rsidRPr="00D4309F">
        <w:rPr>
          <w:spacing w:val="-1"/>
        </w:rPr>
        <w:t xml:space="preserve"> </w:t>
      </w:r>
      <w:r w:rsidRPr="00D4309F">
        <w:t>under the EPBC Act were listed to potentially occur in the area.</w:t>
      </w:r>
    </w:p>
    <w:p w14:paraId="144A5757" w14:textId="77777777" w:rsidR="00725977" w:rsidRPr="00D4309F" w:rsidRDefault="00725977" w:rsidP="00725977">
      <w:pPr>
        <w:pStyle w:val="BodyText"/>
      </w:pPr>
      <w:r w:rsidRPr="00D4309F">
        <w:t>Birds</w:t>
      </w:r>
      <w:r w:rsidRPr="00D4309F">
        <w:rPr>
          <w:spacing w:val="-3"/>
        </w:rPr>
        <w:t xml:space="preserve"> </w:t>
      </w:r>
      <w:r w:rsidRPr="00D4309F">
        <w:t>contribute</w:t>
      </w:r>
      <w:r w:rsidRPr="00D4309F">
        <w:rPr>
          <w:spacing w:val="-3"/>
        </w:rPr>
        <w:t xml:space="preserve"> </w:t>
      </w:r>
      <w:r w:rsidRPr="00D4309F">
        <w:t>the</w:t>
      </w:r>
      <w:r w:rsidRPr="00D4309F">
        <w:rPr>
          <w:spacing w:val="-3"/>
        </w:rPr>
        <w:t xml:space="preserve"> </w:t>
      </w:r>
      <w:r w:rsidRPr="00D4309F">
        <w:t>majority</w:t>
      </w:r>
      <w:r w:rsidRPr="00D4309F">
        <w:rPr>
          <w:spacing w:val="-2"/>
        </w:rPr>
        <w:t xml:space="preserve"> </w:t>
      </w:r>
      <w:r w:rsidRPr="00D4309F">
        <w:t>of</w:t>
      </w:r>
      <w:r w:rsidRPr="00D4309F">
        <w:rPr>
          <w:spacing w:val="-3"/>
        </w:rPr>
        <w:t xml:space="preserve"> </w:t>
      </w:r>
      <w:r w:rsidRPr="00D4309F">
        <w:t>the</w:t>
      </w:r>
      <w:r w:rsidRPr="00D4309F">
        <w:rPr>
          <w:spacing w:val="-3"/>
        </w:rPr>
        <w:t xml:space="preserve"> </w:t>
      </w:r>
      <w:r w:rsidRPr="00D4309F">
        <w:t>conservation</w:t>
      </w:r>
      <w:r w:rsidRPr="00D4309F">
        <w:rPr>
          <w:spacing w:val="-3"/>
        </w:rPr>
        <w:t xml:space="preserve"> </w:t>
      </w:r>
      <w:r w:rsidRPr="00D4309F">
        <w:t>significant</w:t>
      </w:r>
      <w:r w:rsidRPr="00D4309F">
        <w:rPr>
          <w:spacing w:val="-3"/>
        </w:rPr>
        <w:t xml:space="preserve"> </w:t>
      </w:r>
      <w:r w:rsidRPr="00D4309F">
        <w:t>species</w:t>
      </w:r>
      <w:r w:rsidRPr="00D4309F">
        <w:rPr>
          <w:spacing w:val="-3"/>
        </w:rPr>
        <w:t xml:space="preserve"> </w:t>
      </w:r>
      <w:r w:rsidRPr="00D4309F">
        <w:t>under</w:t>
      </w:r>
      <w:r w:rsidRPr="00D4309F">
        <w:rPr>
          <w:spacing w:val="-2"/>
        </w:rPr>
        <w:t xml:space="preserve"> </w:t>
      </w:r>
      <w:r w:rsidRPr="00D4309F">
        <w:t>the</w:t>
      </w:r>
      <w:r w:rsidRPr="00D4309F">
        <w:rPr>
          <w:spacing w:val="-4"/>
        </w:rPr>
        <w:t xml:space="preserve"> </w:t>
      </w:r>
      <w:r w:rsidRPr="00D4309F">
        <w:t>NC</w:t>
      </w:r>
      <w:r w:rsidRPr="00D4309F">
        <w:rPr>
          <w:spacing w:val="-2"/>
        </w:rPr>
        <w:t xml:space="preserve"> </w:t>
      </w:r>
      <w:r w:rsidRPr="00D4309F">
        <w:t>Act</w:t>
      </w:r>
      <w:r w:rsidRPr="00D4309F">
        <w:rPr>
          <w:spacing w:val="-3"/>
        </w:rPr>
        <w:t xml:space="preserve"> </w:t>
      </w:r>
      <w:r w:rsidRPr="00D4309F">
        <w:t>that</w:t>
      </w:r>
      <w:r w:rsidRPr="00D4309F">
        <w:rPr>
          <w:spacing w:val="-3"/>
        </w:rPr>
        <w:t xml:space="preserve"> </w:t>
      </w:r>
      <w:r w:rsidRPr="00D4309F">
        <w:t>potentially</w:t>
      </w:r>
      <w:r w:rsidRPr="00D4309F">
        <w:rPr>
          <w:spacing w:val="-2"/>
        </w:rPr>
        <w:t xml:space="preserve"> </w:t>
      </w:r>
      <w:r w:rsidRPr="00D4309F">
        <w:t>occur</w:t>
      </w:r>
      <w:r w:rsidRPr="00D4309F">
        <w:rPr>
          <w:spacing w:val="-4"/>
        </w:rPr>
        <w:t xml:space="preserve"> </w:t>
      </w:r>
      <w:r w:rsidRPr="00D4309F">
        <w:t>in the area, based on searches of the Wildnet and ATLAS of Living Australia databases (DETSI 2025 and ALA 2025). Based on the Wildnet database,14 bird species listed as conservation significant under the NC Act may occur in areas (or in the vicinity of areas) potentially impacted by the short and/or long-term solutions, these are listed in Appendix A. Of the 14 conservation significant bird species under the NC Act, two</w:t>
      </w:r>
      <w:r w:rsidRPr="00D4309F">
        <w:rPr>
          <w:spacing w:val="40"/>
        </w:rPr>
        <w:t xml:space="preserve"> </w:t>
      </w:r>
      <w:r w:rsidRPr="00D4309F">
        <w:t>species, the Western Alaskan bar-tailed godwit and eastern curlew, also have national conservation significance under the EPBC Act. The birdlife database contains close to 6000 records of conservation significant bird species under the EPBC Act and/or NC Act, and/or migratory bird species for the Point Cartwright area and close to 2000 of the records are seabird records, based on a review of the Birdlife database (Birdlife Australia, 2025). The majority of the records in the Wildnet search were located in the La Balsa Park and Point Cartwright Reserve, which was reported as an area of high ecological value in the Point Cartwright Reserve and La Balsa Park Master Plan by the Sunshine Coast Council (2023a), based on the following site-based assessment:</w:t>
      </w:r>
    </w:p>
    <w:p w14:paraId="0305534A" w14:textId="77777777" w:rsidR="00725977" w:rsidRPr="00D4309F" w:rsidRDefault="00725977" w:rsidP="00EC018A">
      <w:pPr>
        <w:pStyle w:val="ListBullet"/>
      </w:pPr>
      <w:r w:rsidRPr="00D4309F">
        <w:t>identified</w:t>
      </w:r>
      <w:r w:rsidRPr="00D4309F">
        <w:rPr>
          <w:spacing w:val="-4"/>
        </w:rPr>
        <w:t xml:space="preserve"> </w:t>
      </w:r>
      <w:r w:rsidRPr="00D4309F">
        <w:t>high</w:t>
      </w:r>
      <w:r w:rsidRPr="00D4309F">
        <w:rPr>
          <w:spacing w:val="-4"/>
        </w:rPr>
        <w:t xml:space="preserve"> </w:t>
      </w:r>
      <w:r w:rsidRPr="00D4309F">
        <w:t>tide</w:t>
      </w:r>
      <w:r w:rsidRPr="00D4309F">
        <w:rPr>
          <w:spacing w:val="-4"/>
        </w:rPr>
        <w:t xml:space="preserve"> </w:t>
      </w:r>
      <w:r w:rsidRPr="00D4309F">
        <w:t>roost</w:t>
      </w:r>
      <w:r w:rsidRPr="00D4309F">
        <w:rPr>
          <w:spacing w:val="-4"/>
        </w:rPr>
        <w:t xml:space="preserve"> site</w:t>
      </w:r>
    </w:p>
    <w:p w14:paraId="7E58F793" w14:textId="77777777" w:rsidR="00725977" w:rsidRPr="00D4309F" w:rsidRDefault="00725977" w:rsidP="00EC018A">
      <w:pPr>
        <w:pStyle w:val="ListBullet"/>
      </w:pPr>
      <w:r w:rsidRPr="00D4309F">
        <w:t>presence</w:t>
      </w:r>
      <w:r w:rsidRPr="00D4309F">
        <w:rPr>
          <w:spacing w:val="-3"/>
        </w:rPr>
        <w:t xml:space="preserve"> </w:t>
      </w:r>
      <w:r w:rsidRPr="00D4309F">
        <w:t>of</w:t>
      </w:r>
      <w:r w:rsidRPr="00D4309F">
        <w:rPr>
          <w:spacing w:val="-3"/>
        </w:rPr>
        <w:t xml:space="preserve"> </w:t>
      </w:r>
      <w:r w:rsidRPr="00D4309F">
        <w:t>nesting</w:t>
      </w:r>
      <w:r w:rsidRPr="00D4309F">
        <w:rPr>
          <w:spacing w:val="-4"/>
        </w:rPr>
        <w:t xml:space="preserve"> </w:t>
      </w:r>
      <w:r w:rsidRPr="00D4309F">
        <w:t>species</w:t>
      </w:r>
      <w:r w:rsidRPr="00D4309F">
        <w:rPr>
          <w:spacing w:val="-2"/>
        </w:rPr>
        <w:t xml:space="preserve"> </w:t>
      </w:r>
      <w:r w:rsidRPr="00D4309F">
        <w:t>(Sooty</w:t>
      </w:r>
      <w:r w:rsidRPr="00D4309F">
        <w:rPr>
          <w:spacing w:val="-2"/>
        </w:rPr>
        <w:t xml:space="preserve"> </w:t>
      </w:r>
      <w:r w:rsidRPr="00D4309F">
        <w:t>Oystercatcher;</w:t>
      </w:r>
      <w:r w:rsidRPr="00D4309F">
        <w:rPr>
          <w:spacing w:val="-3"/>
        </w:rPr>
        <w:t xml:space="preserve"> </w:t>
      </w:r>
      <w:r w:rsidRPr="00D4309F">
        <w:t>listed</w:t>
      </w:r>
      <w:r w:rsidRPr="00D4309F">
        <w:rPr>
          <w:spacing w:val="-3"/>
        </w:rPr>
        <w:t xml:space="preserve"> </w:t>
      </w:r>
      <w:r w:rsidRPr="00D4309F">
        <w:t>species</w:t>
      </w:r>
      <w:r w:rsidRPr="00D4309F">
        <w:rPr>
          <w:spacing w:val="-2"/>
        </w:rPr>
        <w:t xml:space="preserve"> </w:t>
      </w:r>
      <w:r w:rsidRPr="00D4309F">
        <w:t>in</w:t>
      </w:r>
      <w:r w:rsidRPr="00D4309F">
        <w:rPr>
          <w:spacing w:val="-4"/>
        </w:rPr>
        <w:t xml:space="preserve"> </w:t>
      </w:r>
      <w:r w:rsidRPr="00D4309F">
        <w:t>NSW</w:t>
      </w:r>
      <w:r w:rsidRPr="00D4309F">
        <w:rPr>
          <w:spacing w:val="-2"/>
        </w:rPr>
        <w:t xml:space="preserve"> </w:t>
      </w:r>
      <w:r w:rsidRPr="00D4309F">
        <w:t>and</w:t>
      </w:r>
      <w:r w:rsidRPr="00D4309F">
        <w:rPr>
          <w:spacing w:val="-3"/>
        </w:rPr>
        <w:t xml:space="preserve"> </w:t>
      </w:r>
      <w:r w:rsidRPr="00D4309F">
        <w:t>Victoria,</w:t>
      </w:r>
      <w:r w:rsidRPr="00D4309F">
        <w:rPr>
          <w:spacing w:val="-3"/>
        </w:rPr>
        <w:t xml:space="preserve"> </w:t>
      </w:r>
      <w:r w:rsidRPr="00D4309F">
        <w:t>but</w:t>
      </w:r>
      <w:r w:rsidRPr="00D4309F">
        <w:rPr>
          <w:spacing w:val="-3"/>
        </w:rPr>
        <w:t xml:space="preserve"> </w:t>
      </w:r>
      <w:r w:rsidRPr="00D4309F">
        <w:t>not</w:t>
      </w:r>
      <w:r w:rsidRPr="00D4309F">
        <w:rPr>
          <w:spacing w:val="-3"/>
        </w:rPr>
        <w:t xml:space="preserve"> </w:t>
      </w:r>
      <w:r w:rsidRPr="00D4309F">
        <w:t xml:space="preserve">in </w:t>
      </w:r>
      <w:r w:rsidRPr="00D4309F">
        <w:rPr>
          <w:spacing w:val="-2"/>
        </w:rPr>
        <w:t>Queensland)</w:t>
      </w:r>
    </w:p>
    <w:p w14:paraId="361EBD5D" w14:textId="6449C3CD" w:rsidR="00725977" w:rsidRPr="00D4309F" w:rsidRDefault="00725977" w:rsidP="00EC018A">
      <w:pPr>
        <w:pStyle w:val="ListBullet"/>
      </w:pPr>
      <w:r w:rsidRPr="00D4309F">
        <w:t>presence</w:t>
      </w:r>
      <w:r w:rsidRPr="00D4309F">
        <w:rPr>
          <w:spacing w:val="-3"/>
        </w:rPr>
        <w:t xml:space="preserve"> </w:t>
      </w:r>
      <w:r w:rsidRPr="00D4309F">
        <w:t>of</w:t>
      </w:r>
      <w:r w:rsidRPr="00D4309F">
        <w:rPr>
          <w:spacing w:val="-3"/>
        </w:rPr>
        <w:t xml:space="preserve"> </w:t>
      </w:r>
      <w:r w:rsidRPr="00D4309F">
        <w:t>conservation</w:t>
      </w:r>
      <w:r w:rsidRPr="00D4309F">
        <w:rPr>
          <w:spacing w:val="-4"/>
        </w:rPr>
        <w:t xml:space="preserve"> </w:t>
      </w:r>
      <w:r w:rsidRPr="00D4309F">
        <w:t>significant</w:t>
      </w:r>
      <w:r w:rsidRPr="00D4309F">
        <w:rPr>
          <w:spacing w:val="-3"/>
        </w:rPr>
        <w:t xml:space="preserve"> </w:t>
      </w:r>
      <w:r w:rsidRPr="00D4309F">
        <w:t>species</w:t>
      </w:r>
      <w:r w:rsidRPr="00D4309F">
        <w:rPr>
          <w:spacing w:val="-2"/>
        </w:rPr>
        <w:t xml:space="preserve"> </w:t>
      </w:r>
      <w:r w:rsidRPr="00D4309F">
        <w:t>under</w:t>
      </w:r>
      <w:r w:rsidRPr="00D4309F">
        <w:rPr>
          <w:spacing w:val="-2"/>
        </w:rPr>
        <w:t xml:space="preserve"> </w:t>
      </w:r>
      <w:r w:rsidRPr="00D4309F">
        <w:t>the</w:t>
      </w:r>
      <w:r w:rsidRPr="00D4309F">
        <w:rPr>
          <w:spacing w:val="-3"/>
        </w:rPr>
        <w:t xml:space="preserve"> </w:t>
      </w:r>
      <w:r w:rsidRPr="00D4309F">
        <w:t>NC</w:t>
      </w:r>
      <w:r w:rsidRPr="00D4309F">
        <w:rPr>
          <w:spacing w:val="-2"/>
        </w:rPr>
        <w:t xml:space="preserve"> </w:t>
      </w:r>
      <w:r w:rsidRPr="00D4309F">
        <w:t>Act</w:t>
      </w:r>
      <w:r w:rsidRPr="00D4309F">
        <w:rPr>
          <w:spacing w:val="-3"/>
        </w:rPr>
        <w:t xml:space="preserve"> </w:t>
      </w:r>
      <w:r w:rsidRPr="00D4309F">
        <w:t>(terns,</w:t>
      </w:r>
      <w:r w:rsidRPr="00D4309F">
        <w:rPr>
          <w:spacing w:val="-3"/>
        </w:rPr>
        <w:t xml:space="preserve"> </w:t>
      </w:r>
      <w:r w:rsidRPr="00D4309F">
        <w:t>wandering</w:t>
      </w:r>
      <w:r w:rsidRPr="00D4309F">
        <w:rPr>
          <w:spacing w:val="-3"/>
        </w:rPr>
        <w:t xml:space="preserve"> </w:t>
      </w:r>
      <w:r w:rsidRPr="00D4309F">
        <w:t>tattler</w:t>
      </w:r>
      <w:r w:rsidRPr="00D4309F">
        <w:rPr>
          <w:spacing w:val="-2"/>
        </w:rPr>
        <w:t xml:space="preserve"> </w:t>
      </w:r>
      <w:r w:rsidRPr="00D4309F">
        <w:t>and</w:t>
      </w:r>
      <w:r w:rsidRPr="00D4309F">
        <w:rPr>
          <w:spacing w:val="-3"/>
        </w:rPr>
        <w:t xml:space="preserve"> </w:t>
      </w:r>
      <w:r w:rsidRPr="00D4309F">
        <w:t xml:space="preserve">eastern </w:t>
      </w:r>
      <w:r w:rsidRPr="00D4309F">
        <w:rPr>
          <w:spacing w:val="-2"/>
        </w:rPr>
        <w:t>ospreys)</w:t>
      </w:r>
    </w:p>
    <w:p w14:paraId="1E7E4B87" w14:textId="76D7D2ED" w:rsidR="00725977" w:rsidRPr="00D4309F" w:rsidRDefault="00725977" w:rsidP="00EC018A">
      <w:pPr>
        <w:pStyle w:val="ListBullet"/>
      </w:pPr>
      <w:r w:rsidRPr="00D4309F">
        <w:t>distance</w:t>
      </w:r>
      <w:r w:rsidRPr="00D4309F">
        <w:rPr>
          <w:spacing w:val="-4"/>
        </w:rPr>
        <w:t xml:space="preserve"> </w:t>
      </w:r>
      <w:r w:rsidRPr="00D4309F">
        <w:t>to</w:t>
      </w:r>
      <w:r w:rsidRPr="00D4309F">
        <w:rPr>
          <w:spacing w:val="-3"/>
        </w:rPr>
        <w:t xml:space="preserve"> </w:t>
      </w:r>
      <w:r w:rsidRPr="00D4309F">
        <w:t>other</w:t>
      </w:r>
      <w:r w:rsidRPr="00D4309F">
        <w:rPr>
          <w:spacing w:val="-3"/>
        </w:rPr>
        <w:t xml:space="preserve"> </w:t>
      </w:r>
      <w:r w:rsidRPr="00D4309F">
        <w:t>suitable</w:t>
      </w:r>
      <w:r w:rsidRPr="00D4309F">
        <w:rPr>
          <w:spacing w:val="-4"/>
        </w:rPr>
        <w:t xml:space="preserve"> </w:t>
      </w:r>
      <w:r w:rsidRPr="00D4309F">
        <w:t>roost</w:t>
      </w:r>
      <w:r w:rsidRPr="00D4309F">
        <w:rPr>
          <w:spacing w:val="-3"/>
        </w:rPr>
        <w:t xml:space="preserve"> </w:t>
      </w:r>
      <w:r w:rsidRPr="00D4309F">
        <w:rPr>
          <w:spacing w:val="-2"/>
        </w:rPr>
        <w:t>areas.</w:t>
      </w:r>
    </w:p>
    <w:p w14:paraId="6E242EDD" w14:textId="77777777" w:rsidR="00725977" w:rsidRPr="00D4309F" w:rsidRDefault="00725977" w:rsidP="00725977">
      <w:pPr>
        <w:pStyle w:val="BodyText"/>
      </w:pPr>
      <w:r w:rsidRPr="00D4309F">
        <w:t>Further, the conservation significant Eastern osprey is known to reside in Point Cartwright reserve; they are considered important and iconic raptors and often gain a large amount of public interest due to their hunting prowess, and reuse of nesting sites over many years (Sunshine Coast Council, 2023a). Artificial nesting platforms have been installed at many sites across the east coast due to a historical reduction in natural nesting</w:t>
      </w:r>
      <w:r w:rsidRPr="00D4309F">
        <w:rPr>
          <w:spacing w:val="-3"/>
        </w:rPr>
        <w:t xml:space="preserve"> </w:t>
      </w:r>
      <w:r w:rsidRPr="00D4309F">
        <w:t>sites,</w:t>
      </w:r>
      <w:r w:rsidRPr="00D4309F">
        <w:rPr>
          <w:spacing w:val="-3"/>
        </w:rPr>
        <w:t xml:space="preserve"> </w:t>
      </w:r>
      <w:r w:rsidRPr="00D4309F">
        <w:t>including</w:t>
      </w:r>
      <w:r w:rsidRPr="00D4309F">
        <w:rPr>
          <w:spacing w:val="-3"/>
        </w:rPr>
        <w:t xml:space="preserve"> </w:t>
      </w:r>
      <w:r w:rsidRPr="00D4309F">
        <w:t>the</w:t>
      </w:r>
      <w:r w:rsidRPr="00D4309F">
        <w:rPr>
          <w:spacing w:val="-4"/>
        </w:rPr>
        <w:t xml:space="preserve"> </w:t>
      </w:r>
      <w:r w:rsidRPr="00D4309F">
        <w:t>Mooloolaba</w:t>
      </w:r>
      <w:r w:rsidRPr="00D4309F">
        <w:rPr>
          <w:spacing w:val="-3"/>
        </w:rPr>
        <w:t xml:space="preserve"> </w:t>
      </w:r>
      <w:r w:rsidRPr="00D4309F">
        <w:t>Spit</w:t>
      </w:r>
      <w:r w:rsidRPr="00D4309F">
        <w:rPr>
          <w:spacing w:val="-3"/>
        </w:rPr>
        <w:t xml:space="preserve"> </w:t>
      </w:r>
      <w:r w:rsidRPr="00D4309F">
        <w:t>which</w:t>
      </w:r>
      <w:r w:rsidRPr="00D4309F">
        <w:rPr>
          <w:spacing w:val="-3"/>
        </w:rPr>
        <w:t xml:space="preserve"> </w:t>
      </w:r>
      <w:r w:rsidRPr="00D4309F">
        <w:t>has</w:t>
      </w:r>
      <w:r w:rsidRPr="00D4309F">
        <w:rPr>
          <w:spacing w:val="-2"/>
        </w:rPr>
        <w:t xml:space="preserve"> </w:t>
      </w:r>
      <w:r w:rsidRPr="00D4309F">
        <w:t>been</w:t>
      </w:r>
      <w:r w:rsidRPr="00D4309F">
        <w:rPr>
          <w:spacing w:val="-4"/>
        </w:rPr>
        <w:t xml:space="preserve"> </w:t>
      </w:r>
      <w:r w:rsidRPr="00D4309F">
        <w:t>successful</w:t>
      </w:r>
      <w:r w:rsidRPr="00D4309F">
        <w:rPr>
          <w:spacing w:val="-3"/>
        </w:rPr>
        <w:t xml:space="preserve"> </w:t>
      </w:r>
      <w:r w:rsidRPr="00D4309F">
        <w:t>in</w:t>
      </w:r>
      <w:r w:rsidRPr="00D4309F">
        <w:rPr>
          <w:spacing w:val="-3"/>
        </w:rPr>
        <w:t xml:space="preserve"> </w:t>
      </w:r>
      <w:r w:rsidRPr="00D4309F">
        <w:t>attracting</w:t>
      </w:r>
      <w:r w:rsidRPr="00D4309F">
        <w:rPr>
          <w:spacing w:val="-3"/>
        </w:rPr>
        <w:t xml:space="preserve"> </w:t>
      </w:r>
      <w:r w:rsidRPr="00D4309F">
        <w:t>revisiting</w:t>
      </w:r>
      <w:r w:rsidRPr="00D4309F">
        <w:rPr>
          <w:spacing w:val="-3"/>
        </w:rPr>
        <w:t xml:space="preserve"> </w:t>
      </w:r>
      <w:r w:rsidRPr="00D4309F">
        <w:t>mating</w:t>
      </w:r>
      <w:r w:rsidRPr="00D4309F">
        <w:rPr>
          <w:spacing w:val="-3"/>
        </w:rPr>
        <w:t xml:space="preserve"> </w:t>
      </w:r>
      <w:r w:rsidRPr="00D4309F">
        <w:t>pairs</w:t>
      </w:r>
      <w:r w:rsidRPr="00D4309F">
        <w:rPr>
          <w:spacing w:val="-2"/>
        </w:rPr>
        <w:t xml:space="preserve"> </w:t>
      </w:r>
      <w:r w:rsidRPr="00D4309F">
        <w:t>of ospreys (Sunshine Coast Council, 2023a).</w:t>
      </w:r>
    </w:p>
    <w:p w14:paraId="7D26D6A8" w14:textId="77777777" w:rsidR="00725977" w:rsidRPr="00D4309F" w:rsidRDefault="00725977" w:rsidP="00725977">
      <w:pPr>
        <w:pStyle w:val="BodyText"/>
      </w:pPr>
      <w:r w:rsidRPr="00D4309F">
        <w:t>Therefore,</w:t>
      </w:r>
      <w:r w:rsidRPr="00D4309F">
        <w:rPr>
          <w:spacing w:val="-3"/>
        </w:rPr>
        <w:t xml:space="preserve"> </w:t>
      </w:r>
      <w:r w:rsidRPr="00D4309F">
        <w:t>ongoing</w:t>
      </w:r>
      <w:r w:rsidRPr="00D4309F">
        <w:rPr>
          <w:spacing w:val="-3"/>
        </w:rPr>
        <w:t xml:space="preserve"> </w:t>
      </w:r>
      <w:r w:rsidRPr="00D4309F">
        <w:t>management</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Mooloolaba</w:t>
      </w:r>
      <w:r w:rsidRPr="00D4309F">
        <w:rPr>
          <w:spacing w:val="-3"/>
        </w:rPr>
        <w:t xml:space="preserve"> </w:t>
      </w:r>
      <w:r w:rsidRPr="00D4309F">
        <w:t>area</w:t>
      </w:r>
      <w:r w:rsidRPr="00D4309F">
        <w:rPr>
          <w:spacing w:val="-3"/>
        </w:rPr>
        <w:t xml:space="preserve"> </w:t>
      </w:r>
      <w:r w:rsidRPr="00D4309F">
        <w:t>to</w:t>
      </w:r>
      <w:r w:rsidRPr="00D4309F">
        <w:rPr>
          <w:spacing w:val="-3"/>
        </w:rPr>
        <w:t xml:space="preserve"> </w:t>
      </w:r>
      <w:r w:rsidRPr="00D4309F">
        <w:t>retain</w:t>
      </w:r>
      <w:r w:rsidRPr="00D4309F">
        <w:rPr>
          <w:spacing w:val="-3"/>
        </w:rPr>
        <w:t xml:space="preserve"> </w:t>
      </w:r>
      <w:r w:rsidRPr="00D4309F">
        <w:t>value</w:t>
      </w:r>
      <w:r w:rsidRPr="00D4309F">
        <w:rPr>
          <w:spacing w:val="-3"/>
        </w:rPr>
        <w:t xml:space="preserve"> </w:t>
      </w:r>
      <w:r w:rsidRPr="00D4309F">
        <w:t>for</w:t>
      </w:r>
      <w:r w:rsidRPr="00D4309F">
        <w:rPr>
          <w:spacing w:val="-2"/>
        </w:rPr>
        <w:t xml:space="preserve"> </w:t>
      </w:r>
      <w:r w:rsidRPr="00D4309F">
        <w:t>seabird</w:t>
      </w:r>
      <w:r w:rsidRPr="00D4309F">
        <w:rPr>
          <w:spacing w:val="-3"/>
        </w:rPr>
        <w:t xml:space="preserve"> </w:t>
      </w:r>
      <w:r w:rsidRPr="00D4309F">
        <w:t>and</w:t>
      </w:r>
      <w:r w:rsidRPr="00D4309F">
        <w:rPr>
          <w:spacing w:val="-4"/>
        </w:rPr>
        <w:t xml:space="preserve"> </w:t>
      </w:r>
      <w:r w:rsidRPr="00D4309F">
        <w:t>shorebird populations is an important consideration for shoaling management activities (FPE, 2022).</w:t>
      </w:r>
    </w:p>
    <w:p w14:paraId="5605ED55" w14:textId="77777777" w:rsidR="00725977" w:rsidRPr="00D4309F" w:rsidRDefault="00725977" w:rsidP="00725977">
      <w:pPr>
        <w:pStyle w:val="BodyText"/>
      </w:pPr>
      <w:r w:rsidRPr="00D4309F">
        <w:lastRenderedPageBreak/>
        <w:t>Habitat use, roosting, foraging and potentially nesting activities differ between seabirds and shorebirds. Seabirds</w:t>
      </w:r>
      <w:r w:rsidRPr="00D4309F">
        <w:rPr>
          <w:spacing w:val="-2"/>
        </w:rPr>
        <w:t xml:space="preserve"> </w:t>
      </w:r>
      <w:r w:rsidRPr="00D4309F">
        <w:t>are</w:t>
      </w:r>
      <w:r w:rsidRPr="00D4309F">
        <w:rPr>
          <w:spacing w:val="-4"/>
        </w:rPr>
        <w:t xml:space="preserve"> </w:t>
      </w:r>
      <w:r w:rsidRPr="00D4309F">
        <w:t>aerial</w:t>
      </w:r>
      <w:r w:rsidRPr="00D4309F">
        <w:rPr>
          <w:spacing w:val="-3"/>
        </w:rPr>
        <w:t xml:space="preserve"> </w:t>
      </w:r>
      <w:r w:rsidRPr="00D4309F">
        <w:t>feeders</w:t>
      </w:r>
      <w:r w:rsidRPr="00D4309F">
        <w:rPr>
          <w:spacing w:val="-3"/>
        </w:rPr>
        <w:t xml:space="preserve"> </w:t>
      </w:r>
      <w:r w:rsidRPr="00D4309F">
        <w:t>and</w:t>
      </w:r>
      <w:r w:rsidRPr="00D4309F">
        <w:rPr>
          <w:spacing w:val="-3"/>
        </w:rPr>
        <w:t xml:space="preserve"> </w:t>
      </w:r>
      <w:r w:rsidRPr="00D4309F">
        <w:t>are</w:t>
      </w:r>
      <w:r w:rsidRPr="00D4309F">
        <w:rPr>
          <w:spacing w:val="-3"/>
        </w:rPr>
        <w:t xml:space="preserve"> </w:t>
      </w:r>
      <w:r w:rsidRPr="00D4309F">
        <w:t>more</w:t>
      </w:r>
      <w:r w:rsidRPr="00D4309F">
        <w:rPr>
          <w:spacing w:val="-3"/>
        </w:rPr>
        <w:t xml:space="preserve"> </w:t>
      </w:r>
      <w:r w:rsidRPr="00D4309F">
        <w:t>susceptible</w:t>
      </w:r>
      <w:r w:rsidRPr="00D4309F">
        <w:rPr>
          <w:spacing w:val="-4"/>
        </w:rPr>
        <w:t xml:space="preserve"> </w:t>
      </w:r>
      <w:r w:rsidRPr="00D4309F">
        <w:t>to</w:t>
      </w:r>
      <w:r w:rsidRPr="00D4309F">
        <w:rPr>
          <w:spacing w:val="-3"/>
        </w:rPr>
        <w:t xml:space="preserve"> </w:t>
      </w:r>
      <w:r w:rsidRPr="00D4309F">
        <w:t>impacts</w:t>
      </w:r>
      <w:r w:rsidRPr="00D4309F">
        <w:rPr>
          <w:spacing w:val="-2"/>
        </w:rPr>
        <w:t xml:space="preserve"> </w:t>
      </w:r>
      <w:r w:rsidRPr="00D4309F">
        <w:t>to</w:t>
      </w:r>
      <w:r w:rsidRPr="00D4309F">
        <w:rPr>
          <w:spacing w:val="-3"/>
        </w:rPr>
        <w:t xml:space="preserve"> </w:t>
      </w:r>
      <w:r w:rsidRPr="00D4309F">
        <w:t>water</w:t>
      </w:r>
      <w:r w:rsidRPr="00D4309F">
        <w:rPr>
          <w:spacing w:val="-4"/>
        </w:rPr>
        <w:t xml:space="preserve"> </w:t>
      </w:r>
      <w:r w:rsidRPr="00D4309F">
        <w:t>clarity</w:t>
      </w:r>
      <w:r w:rsidRPr="00D4309F">
        <w:rPr>
          <w:spacing w:val="-3"/>
        </w:rPr>
        <w:t xml:space="preserve"> </w:t>
      </w:r>
      <w:r w:rsidRPr="00D4309F">
        <w:t>whereas</w:t>
      </w:r>
      <w:r w:rsidRPr="00D4309F">
        <w:rPr>
          <w:spacing w:val="-2"/>
        </w:rPr>
        <w:t xml:space="preserve"> </w:t>
      </w:r>
      <w:r w:rsidRPr="00D4309F">
        <w:t>shorebirds</w:t>
      </w:r>
      <w:r w:rsidRPr="00D4309F">
        <w:rPr>
          <w:spacing w:val="-3"/>
        </w:rPr>
        <w:t xml:space="preserve"> </w:t>
      </w:r>
      <w:r w:rsidRPr="00D4309F">
        <w:t xml:space="preserve">forage for food in soft sediments, often in the intertidal zone. Point Cartwright and Buddina beach are secondary shorebird habitats as a primary shorebird habitat exists to the north, around the lower Maroochy River (Sunshine Coat Council, 2020). </w:t>
      </w:r>
    </w:p>
    <w:p w14:paraId="3C6EAAEC" w14:textId="77777777" w:rsidR="00725977" w:rsidRPr="00D4309F" w:rsidRDefault="00725977" w:rsidP="00725977">
      <w:pPr>
        <w:pStyle w:val="BodyText"/>
      </w:pPr>
      <w:r w:rsidRPr="00D4309F">
        <w:t>Generally, primary habitats are more critical to shorebirds than secondary habitats</w:t>
      </w:r>
      <w:r w:rsidRPr="00D4309F">
        <w:rPr>
          <w:spacing w:val="-2"/>
        </w:rPr>
        <w:t xml:space="preserve"> </w:t>
      </w:r>
      <w:r w:rsidRPr="00D4309F">
        <w:t>because</w:t>
      </w:r>
      <w:r w:rsidRPr="00D4309F">
        <w:rPr>
          <w:spacing w:val="-4"/>
        </w:rPr>
        <w:t xml:space="preserve"> </w:t>
      </w:r>
      <w:r w:rsidRPr="00D4309F">
        <w:t>shorebirds</w:t>
      </w:r>
      <w:r w:rsidRPr="00D4309F">
        <w:rPr>
          <w:spacing w:val="-2"/>
        </w:rPr>
        <w:t xml:space="preserve"> </w:t>
      </w:r>
      <w:r w:rsidRPr="00D4309F">
        <w:t>prefer</w:t>
      </w:r>
      <w:r w:rsidRPr="00D4309F">
        <w:rPr>
          <w:spacing w:val="-2"/>
        </w:rPr>
        <w:t xml:space="preserve"> </w:t>
      </w:r>
      <w:r w:rsidRPr="00D4309F">
        <w:t>to</w:t>
      </w:r>
      <w:r w:rsidRPr="00D4309F">
        <w:rPr>
          <w:spacing w:val="-3"/>
        </w:rPr>
        <w:t xml:space="preserve"> </w:t>
      </w:r>
      <w:r w:rsidRPr="00D4309F">
        <w:t>forage</w:t>
      </w:r>
      <w:r w:rsidRPr="00D4309F">
        <w:rPr>
          <w:spacing w:val="-3"/>
        </w:rPr>
        <w:t xml:space="preserve"> </w:t>
      </w:r>
      <w:r w:rsidRPr="00D4309F">
        <w:t>and</w:t>
      </w:r>
      <w:r w:rsidRPr="00D4309F">
        <w:rPr>
          <w:spacing w:val="-3"/>
        </w:rPr>
        <w:t xml:space="preserve"> </w:t>
      </w:r>
      <w:r w:rsidRPr="00D4309F">
        <w:t>roost</w:t>
      </w:r>
      <w:r w:rsidRPr="00D4309F">
        <w:rPr>
          <w:spacing w:val="-5"/>
        </w:rPr>
        <w:t xml:space="preserve"> </w:t>
      </w:r>
      <w:r w:rsidRPr="00D4309F">
        <w:t>closer</w:t>
      </w:r>
      <w:r w:rsidRPr="00D4309F">
        <w:rPr>
          <w:spacing w:val="-3"/>
        </w:rPr>
        <w:t xml:space="preserve"> </w:t>
      </w:r>
      <w:r w:rsidRPr="00D4309F">
        <w:t>to</w:t>
      </w:r>
      <w:r w:rsidRPr="00D4309F">
        <w:rPr>
          <w:spacing w:val="-3"/>
        </w:rPr>
        <w:t xml:space="preserve"> </w:t>
      </w:r>
      <w:r w:rsidRPr="00D4309F">
        <w:t>these.</w:t>
      </w:r>
      <w:r w:rsidRPr="00D4309F">
        <w:rPr>
          <w:spacing w:val="-4"/>
        </w:rPr>
        <w:t xml:space="preserve"> </w:t>
      </w:r>
      <w:r w:rsidRPr="00D4309F">
        <w:t>Migratory</w:t>
      </w:r>
      <w:r w:rsidRPr="00D4309F">
        <w:rPr>
          <w:spacing w:val="-4"/>
        </w:rPr>
        <w:t xml:space="preserve"> </w:t>
      </w:r>
      <w:r w:rsidRPr="00D4309F">
        <w:t>shorebirds</w:t>
      </w:r>
      <w:r w:rsidRPr="00D4309F">
        <w:rPr>
          <w:spacing w:val="-2"/>
        </w:rPr>
        <w:t xml:space="preserve"> </w:t>
      </w:r>
      <w:r w:rsidRPr="00D4309F">
        <w:t>are</w:t>
      </w:r>
      <w:r w:rsidRPr="00D4309F">
        <w:rPr>
          <w:spacing w:val="-3"/>
        </w:rPr>
        <w:t xml:space="preserve"> </w:t>
      </w:r>
      <w:r w:rsidRPr="00D4309F">
        <w:t>most</w:t>
      </w:r>
      <w:r w:rsidRPr="00D4309F">
        <w:rPr>
          <w:spacing w:val="-3"/>
        </w:rPr>
        <w:t xml:space="preserve"> </w:t>
      </w:r>
      <w:r w:rsidRPr="00D4309F">
        <w:t>likely to</w:t>
      </w:r>
      <w:r w:rsidRPr="00D4309F">
        <w:rPr>
          <w:spacing w:val="-2"/>
        </w:rPr>
        <w:t xml:space="preserve"> </w:t>
      </w:r>
      <w:r w:rsidRPr="00D4309F">
        <w:t>occur</w:t>
      </w:r>
      <w:r w:rsidRPr="00D4309F">
        <w:rPr>
          <w:spacing w:val="-2"/>
        </w:rPr>
        <w:t xml:space="preserve"> </w:t>
      </w:r>
      <w:r w:rsidRPr="00D4309F">
        <w:t>at</w:t>
      </w:r>
      <w:r w:rsidRPr="00D4309F">
        <w:rPr>
          <w:spacing w:val="-2"/>
        </w:rPr>
        <w:t xml:space="preserve"> </w:t>
      </w:r>
      <w:r w:rsidRPr="00D4309F">
        <w:t>Point</w:t>
      </w:r>
      <w:r w:rsidRPr="00D4309F">
        <w:rPr>
          <w:spacing w:val="-2"/>
        </w:rPr>
        <w:t xml:space="preserve"> </w:t>
      </w:r>
      <w:r w:rsidRPr="00D4309F">
        <w:t>Cartwright</w:t>
      </w:r>
      <w:r w:rsidRPr="00D4309F">
        <w:rPr>
          <w:spacing w:val="-2"/>
        </w:rPr>
        <w:t xml:space="preserve"> </w:t>
      </w:r>
      <w:r w:rsidRPr="00D4309F">
        <w:t>and</w:t>
      </w:r>
      <w:r w:rsidRPr="00D4309F">
        <w:rPr>
          <w:spacing w:val="-2"/>
        </w:rPr>
        <w:t xml:space="preserve"> </w:t>
      </w:r>
      <w:r w:rsidRPr="00D4309F">
        <w:t>surrounding</w:t>
      </w:r>
      <w:r w:rsidRPr="00D4309F">
        <w:rPr>
          <w:spacing w:val="-2"/>
        </w:rPr>
        <w:t xml:space="preserve"> </w:t>
      </w:r>
      <w:r w:rsidRPr="00D4309F">
        <w:t>beaches</w:t>
      </w:r>
      <w:r w:rsidRPr="00D4309F">
        <w:rPr>
          <w:spacing w:val="-2"/>
        </w:rPr>
        <w:t xml:space="preserve"> </w:t>
      </w:r>
      <w:r w:rsidRPr="00D4309F">
        <w:t>in</w:t>
      </w:r>
      <w:r w:rsidRPr="00D4309F">
        <w:rPr>
          <w:spacing w:val="-2"/>
        </w:rPr>
        <w:t xml:space="preserve"> </w:t>
      </w:r>
      <w:r w:rsidRPr="00D4309F">
        <w:t>the</w:t>
      </w:r>
      <w:r w:rsidRPr="00D4309F">
        <w:rPr>
          <w:spacing w:val="-2"/>
        </w:rPr>
        <w:t xml:space="preserve"> </w:t>
      </w:r>
      <w:r w:rsidRPr="00D4309F">
        <w:t>summer</w:t>
      </w:r>
      <w:r w:rsidRPr="00D4309F">
        <w:rPr>
          <w:spacing w:val="-1"/>
        </w:rPr>
        <w:t xml:space="preserve"> </w:t>
      </w:r>
      <w:r w:rsidRPr="00D4309F">
        <w:t>because</w:t>
      </w:r>
      <w:r w:rsidRPr="00D4309F">
        <w:rPr>
          <w:spacing w:val="-2"/>
        </w:rPr>
        <w:t xml:space="preserve"> </w:t>
      </w:r>
      <w:r w:rsidRPr="00D4309F">
        <w:t>they</w:t>
      </w:r>
      <w:r w:rsidRPr="00D4309F">
        <w:rPr>
          <w:spacing w:val="-1"/>
        </w:rPr>
        <w:t xml:space="preserve"> </w:t>
      </w:r>
      <w:r w:rsidRPr="00D4309F">
        <w:t>spend</w:t>
      </w:r>
      <w:r w:rsidRPr="00D4309F">
        <w:rPr>
          <w:spacing w:val="-2"/>
        </w:rPr>
        <w:t xml:space="preserve"> </w:t>
      </w:r>
      <w:r w:rsidRPr="00D4309F">
        <w:t>their</w:t>
      </w:r>
      <w:r w:rsidRPr="00D4309F">
        <w:rPr>
          <w:spacing w:val="-1"/>
        </w:rPr>
        <w:t xml:space="preserve"> </w:t>
      </w:r>
      <w:r w:rsidRPr="00D4309F">
        <w:t>summers</w:t>
      </w:r>
      <w:r w:rsidRPr="00D4309F">
        <w:rPr>
          <w:spacing w:val="-1"/>
        </w:rPr>
        <w:t xml:space="preserve"> </w:t>
      </w:r>
      <w:r w:rsidRPr="00D4309F">
        <w:t>in Australia before migrating north (Sunshine Coast Council, 2023a). Point Cartwright contains habitat for a range of seabirds, which are likely to congregate in the area for roosting, feeding and potentially nesting.</w:t>
      </w:r>
    </w:p>
    <w:p w14:paraId="2124E358" w14:textId="2BE0E57A" w:rsidR="00725977" w:rsidRPr="00D4309F" w:rsidRDefault="00725977" w:rsidP="00725977">
      <w:pPr>
        <w:pStyle w:val="BodyText"/>
      </w:pPr>
      <w:r w:rsidRPr="00D4309F">
        <w:t>Little terns are one of the threatened seabirds that occur at Point Cartwright, with 332 records from around Point Cartwright in the birdlife database (Birdlife Australia, 2025) and are more susceptible to impacts to water</w:t>
      </w:r>
      <w:r w:rsidRPr="00D4309F">
        <w:rPr>
          <w:spacing w:val="-1"/>
        </w:rPr>
        <w:t xml:space="preserve"> </w:t>
      </w:r>
      <w:r w:rsidRPr="00D4309F">
        <w:t>clarity due to their small (50 m) foraging range</w:t>
      </w:r>
      <w:r w:rsidRPr="00D4309F">
        <w:rPr>
          <w:spacing w:val="-1"/>
        </w:rPr>
        <w:t xml:space="preserve"> </w:t>
      </w:r>
      <w:r w:rsidRPr="00D4309F">
        <w:t>from shore</w:t>
      </w:r>
      <w:r w:rsidRPr="00D4309F">
        <w:rPr>
          <w:spacing w:val="-1"/>
        </w:rPr>
        <w:t xml:space="preserve"> </w:t>
      </w:r>
      <w:r w:rsidRPr="00D4309F">
        <w:t>(DoE,</w:t>
      </w:r>
      <w:r w:rsidRPr="00D4309F">
        <w:rPr>
          <w:spacing w:val="-1"/>
        </w:rPr>
        <w:t xml:space="preserve"> </w:t>
      </w:r>
      <w:r w:rsidRPr="00D4309F">
        <w:t>2025c) compared to other threatened seabirds that potentially occur in the area based on the PMST search. Further assessment of bird occurrence</w:t>
      </w:r>
      <w:r w:rsidRPr="00D4309F">
        <w:rPr>
          <w:spacing w:val="-2"/>
        </w:rPr>
        <w:t xml:space="preserve"> </w:t>
      </w:r>
      <w:r w:rsidRPr="00D4309F">
        <w:t>and</w:t>
      </w:r>
      <w:r w:rsidRPr="00D4309F">
        <w:rPr>
          <w:spacing w:val="-2"/>
        </w:rPr>
        <w:t xml:space="preserve"> </w:t>
      </w:r>
      <w:r w:rsidRPr="00D4309F">
        <w:t>habitat</w:t>
      </w:r>
      <w:r w:rsidRPr="00D4309F">
        <w:rPr>
          <w:spacing w:val="-2"/>
        </w:rPr>
        <w:t xml:space="preserve"> </w:t>
      </w:r>
      <w:r w:rsidRPr="00D4309F">
        <w:t>use</w:t>
      </w:r>
      <w:r w:rsidRPr="00D4309F">
        <w:rPr>
          <w:spacing w:val="-2"/>
        </w:rPr>
        <w:t xml:space="preserve"> </w:t>
      </w:r>
      <w:r w:rsidRPr="00D4309F">
        <w:t>in</w:t>
      </w:r>
      <w:r w:rsidRPr="00D4309F">
        <w:rPr>
          <w:spacing w:val="-2"/>
        </w:rPr>
        <w:t xml:space="preserve"> </w:t>
      </w:r>
      <w:r w:rsidRPr="00D4309F">
        <w:t>the</w:t>
      </w:r>
      <w:r w:rsidRPr="00D4309F">
        <w:rPr>
          <w:spacing w:val="-2"/>
        </w:rPr>
        <w:t xml:space="preserve"> </w:t>
      </w:r>
      <w:r w:rsidRPr="00D4309F">
        <w:t>project</w:t>
      </w:r>
      <w:r w:rsidRPr="00D4309F">
        <w:rPr>
          <w:spacing w:val="-2"/>
        </w:rPr>
        <w:t xml:space="preserve"> </w:t>
      </w:r>
      <w:r w:rsidRPr="00D4309F">
        <w:t>area</w:t>
      </w:r>
      <w:r w:rsidRPr="00D4309F">
        <w:rPr>
          <w:spacing w:val="-2"/>
        </w:rPr>
        <w:t xml:space="preserve"> </w:t>
      </w:r>
      <w:r w:rsidRPr="00D4309F">
        <w:t>is</w:t>
      </w:r>
      <w:r w:rsidRPr="00D4309F">
        <w:rPr>
          <w:spacing w:val="-1"/>
        </w:rPr>
        <w:t xml:space="preserve"> </w:t>
      </w:r>
      <w:r w:rsidRPr="00D4309F">
        <w:t>required</w:t>
      </w:r>
      <w:r w:rsidRPr="00D4309F">
        <w:rPr>
          <w:spacing w:val="-2"/>
        </w:rPr>
        <w:t xml:space="preserve"> </w:t>
      </w:r>
      <w:r w:rsidRPr="00D4309F">
        <w:t>to</w:t>
      </w:r>
      <w:r w:rsidRPr="00D4309F">
        <w:rPr>
          <w:spacing w:val="-2"/>
        </w:rPr>
        <w:t xml:space="preserve"> </w:t>
      </w:r>
      <w:r w:rsidRPr="00D4309F">
        <w:t>fully</w:t>
      </w:r>
      <w:r w:rsidRPr="00D4309F">
        <w:rPr>
          <w:spacing w:val="-2"/>
        </w:rPr>
        <w:t xml:space="preserve"> </w:t>
      </w:r>
      <w:r w:rsidRPr="00D4309F">
        <w:t>assess</w:t>
      </w:r>
      <w:r w:rsidRPr="00D4309F">
        <w:rPr>
          <w:spacing w:val="-1"/>
        </w:rPr>
        <w:t xml:space="preserve"> </w:t>
      </w:r>
      <w:r w:rsidRPr="00D4309F">
        <w:t>the</w:t>
      </w:r>
      <w:r w:rsidRPr="00D4309F">
        <w:rPr>
          <w:spacing w:val="-2"/>
        </w:rPr>
        <w:t xml:space="preserve"> </w:t>
      </w:r>
      <w:r w:rsidRPr="00D4309F">
        <w:t>potential</w:t>
      </w:r>
      <w:r w:rsidRPr="00D4309F">
        <w:rPr>
          <w:spacing w:val="-2"/>
        </w:rPr>
        <w:t xml:space="preserve"> </w:t>
      </w:r>
      <w:r w:rsidRPr="00D4309F">
        <w:t>impact</w:t>
      </w:r>
      <w:r w:rsidRPr="00D4309F">
        <w:rPr>
          <w:spacing w:val="-2"/>
        </w:rPr>
        <w:t xml:space="preserve"> </w:t>
      </w:r>
      <w:r w:rsidRPr="00D4309F">
        <w:t>of</w:t>
      </w:r>
      <w:r w:rsidRPr="00D4309F">
        <w:rPr>
          <w:spacing w:val="-3"/>
        </w:rPr>
        <w:t xml:space="preserve"> </w:t>
      </w:r>
      <w:r w:rsidRPr="00D4309F">
        <w:t>the</w:t>
      </w:r>
      <w:r w:rsidRPr="00D4309F">
        <w:rPr>
          <w:spacing w:val="-2"/>
        </w:rPr>
        <w:t xml:space="preserve"> </w:t>
      </w:r>
      <w:r w:rsidRPr="00D4309F">
        <w:t>proposed shoaling management activities on the seabirds and shorebirds in this area.</w:t>
      </w:r>
    </w:p>
    <w:p w14:paraId="1F325D4B" w14:textId="77777777" w:rsidR="00725977" w:rsidRPr="00D4309F" w:rsidRDefault="00725977" w:rsidP="00EC018A">
      <w:pPr>
        <w:pStyle w:val="Heading4"/>
      </w:pPr>
      <w:bookmarkStart w:id="61" w:name="_bookmark22"/>
      <w:bookmarkEnd w:id="61"/>
      <w:r w:rsidRPr="00D4309F">
        <w:t>Other</w:t>
      </w:r>
      <w:r w:rsidRPr="00D4309F">
        <w:rPr>
          <w:spacing w:val="-5"/>
        </w:rPr>
        <w:t xml:space="preserve"> </w:t>
      </w:r>
      <w:r w:rsidRPr="00D4309F">
        <w:t>significant</w:t>
      </w:r>
      <w:r w:rsidRPr="00D4309F">
        <w:rPr>
          <w:spacing w:val="-4"/>
        </w:rPr>
        <w:t xml:space="preserve"> </w:t>
      </w:r>
      <w:r w:rsidRPr="00D4309F">
        <w:t>marine</w:t>
      </w:r>
      <w:r w:rsidRPr="00D4309F">
        <w:rPr>
          <w:spacing w:val="-4"/>
        </w:rPr>
        <w:t xml:space="preserve"> </w:t>
      </w:r>
      <w:r w:rsidRPr="00D4309F">
        <w:rPr>
          <w:spacing w:val="-2"/>
        </w:rPr>
        <w:t>fauna</w:t>
      </w:r>
    </w:p>
    <w:p w14:paraId="6A31D42B" w14:textId="77777777" w:rsidR="00725977" w:rsidRPr="00D4309F" w:rsidRDefault="00725977" w:rsidP="00EC018A">
      <w:pPr>
        <w:pStyle w:val="Heading5"/>
      </w:pPr>
      <w:r w:rsidRPr="00D4309F">
        <w:t>Site</w:t>
      </w:r>
      <w:r w:rsidRPr="00D4309F">
        <w:rPr>
          <w:spacing w:val="-8"/>
        </w:rPr>
        <w:t xml:space="preserve"> </w:t>
      </w:r>
      <w:r w:rsidRPr="00D4309F">
        <w:t>attached</w:t>
      </w:r>
      <w:r w:rsidRPr="00D4309F">
        <w:rPr>
          <w:spacing w:val="-7"/>
        </w:rPr>
        <w:t xml:space="preserve"> </w:t>
      </w:r>
      <w:r w:rsidRPr="00D4309F">
        <w:t>marine</w:t>
      </w:r>
      <w:r w:rsidRPr="00D4309F">
        <w:rPr>
          <w:spacing w:val="-8"/>
        </w:rPr>
        <w:t xml:space="preserve"> </w:t>
      </w:r>
      <w:r w:rsidRPr="00D4309F">
        <w:rPr>
          <w:spacing w:val="-2"/>
        </w:rPr>
        <w:t>fauna</w:t>
      </w:r>
    </w:p>
    <w:p w14:paraId="2A1BF789" w14:textId="77777777" w:rsidR="00725977" w:rsidRPr="00D4309F" w:rsidRDefault="00725977" w:rsidP="00725977">
      <w:pPr>
        <w:pStyle w:val="BodyText"/>
      </w:pPr>
      <w:r w:rsidRPr="00D4309F">
        <w:t>Two site-attached species of marine fauna, the White’s seahorse (</w:t>
      </w:r>
      <w:r w:rsidRPr="00D4309F">
        <w:rPr>
          <w:i/>
        </w:rPr>
        <w:t>Hippocampus whitei</w:t>
      </w:r>
      <w:r w:rsidRPr="00D4309F">
        <w:t>) and sand yabby (</w:t>
      </w:r>
      <w:r w:rsidRPr="00D4309F">
        <w:rPr>
          <w:i/>
        </w:rPr>
        <w:t>Cherax robustus</w:t>
      </w:r>
      <w:r w:rsidRPr="00D4309F">
        <w:t>), are classified as conservation significant under the EPBC Act and were listed to potentially occur in the area from the PMST search. The ATLAS of Living Australia contains records of White’s</w:t>
      </w:r>
      <w:r w:rsidRPr="00D4309F">
        <w:rPr>
          <w:spacing w:val="-2"/>
        </w:rPr>
        <w:t xml:space="preserve"> </w:t>
      </w:r>
      <w:r w:rsidRPr="00D4309F">
        <w:t>seahorses</w:t>
      </w:r>
      <w:r w:rsidRPr="00D4309F">
        <w:rPr>
          <w:spacing w:val="-2"/>
        </w:rPr>
        <w:t xml:space="preserve"> </w:t>
      </w:r>
      <w:r w:rsidRPr="00D4309F">
        <w:t>in</w:t>
      </w:r>
      <w:r w:rsidRPr="00D4309F">
        <w:rPr>
          <w:spacing w:val="-3"/>
        </w:rPr>
        <w:t xml:space="preserve"> </w:t>
      </w:r>
      <w:r w:rsidRPr="00D4309F">
        <w:t>the</w:t>
      </w:r>
      <w:r w:rsidRPr="00D4309F">
        <w:rPr>
          <w:spacing w:val="-3"/>
        </w:rPr>
        <w:t xml:space="preserve"> </w:t>
      </w:r>
      <w:r w:rsidRPr="00D4309F">
        <w:t>area,</w:t>
      </w:r>
      <w:r w:rsidRPr="00D4309F">
        <w:rPr>
          <w:spacing w:val="-3"/>
        </w:rPr>
        <w:t xml:space="preserve"> </w:t>
      </w:r>
      <w:r w:rsidRPr="00D4309F">
        <w:t>which</w:t>
      </w:r>
      <w:r w:rsidRPr="00D4309F">
        <w:rPr>
          <w:spacing w:val="-3"/>
        </w:rPr>
        <w:t xml:space="preserve"> </w:t>
      </w:r>
      <w:r w:rsidRPr="00D4309F">
        <w:t>are</w:t>
      </w:r>
      <w:r w:rsidRPr="00D4309F">
        <w:rPr>
          <w:spacing w:val="-3"/>
        </w:rPr>
        <w:t xml:space="preserve"> </w:t>
      </w:r>
      <w:r w:rsidRPr="00D4309F">
        <w:t>classified</w:t>
      </w:r>
      <w:r w:rsidRPr="00D4309F">
        <w:rPr>
          <w:spacing w:val="-3"/>
        </w:rPr>
        <w:t xml:space="preserve"> </w:t>
      </w:r>
      <w:r w:rsidRPr="00D4309F">
        <w:t>as</w:t>
      </w:r>
      <w:r w:rsidRPr="00D4309F">
        <w:rPr>
          <w:spacing w:val="-2"/>
        </w:rPr>
        <w:t xml:space="preserve"> </w:t>
      </w:r>
      <w:r w:rsidRPr="00D4309F">
        <w:t>endangered</w:t>
      </w:r>
      <w:r w:rsidRPr="00D4309F">
        <w:rPr>
          <w:spacing w:val="-4"/>
        </w:rPr>
        <w:t xml:space="preserve"> </w:t>
      </w:r>
      <w:r w:rsidRPr="00D4309F">
        <w:t>under</w:t>
      </w:r>
      <w:r w:rsidRPr="00D4309F">
        <w:rPr>
          <w:spacing w:val="-2"/>
        </w:rPr>
        <w:t xml:space="preserve"> </w:t>
      </w:r>
      <w:r w:rsidRPr="00D4309F">
        <w:t>both</w:t>
      </w:r>
      <w:r w:rsidRPr="00D4309F">
        <w:rPr>
          <w:spacing w:val="-3"/>
        </w:rPr>
        <w:t xml:space="preserve"> </w:t>
      </w:r>
      <w:r w:rsidRPr="00D4309F">
        <w:t>the</w:t>
      </w:r>
      <w:r w:rsidRPr="00D4309F">
        <w:rPr>
          <w:spacing w:val="-3"/>
        </w:rPr>
        <w:t xml:space="preserve"> </w:t>
      </w:r>
      <w:r w:rsidRPr="00D4309F">
        <w:t>EPBC</w:t>
      </w:r>
      <w:r w:rsidRPr="00D4309F">
        <w:rPr>
          <w:spacing w:val="-2"/>
        </w:rPr>
        <w:t xml:space="preserve"> </w:t>
      </w:r>
      <w:r w:rsidRPr="00D4309F">
        <w:t>Act</w:t>
      </w:r>
      <w:r w:rsidRPr="00D4309F">
        <w:rPr>
          <w:spacing w:val="-3"/>
        </w:rPr>
        <w:t xml:space="preserve"> </w:t>
      </w:r>
      <w:r w:rsidRPr="00D4309F">
        <w:t>and</w:t>
      </w:r>
      <w:r w:rsidRPr="00D4309F">
        <w:rPr>
          <w:spacing w:val="-3"/>
        </w:rPr>
        <w:t xml:space="preserve"> </w:t>
      </w:r>
      <w:r w:rsidRPr="00D4309F">
        <w:t>NC</w:t>
      </w:r>
      <w:r w:rsidRPr="00D4309F">
        <w:rPr>
          <w:spacing w:val="-2"/>
        </w:rPr>
        <w:t xml:space="preserve"> </w:t>
      </w:r>
      <w:r w:rsidRPr="00D4309F">
        <w:t>Act.</w:t>
      </w:r>
    </w:p>
    <w:p w14:paraId="0A63CF12" w14:textId="30127CA0" w:rsidR="00F06E88" w:rsidRPr="00D4309F" w:rsidRDefault="00725977" w:rsidP="00725977">
      <w:pPr>
        <w:pStyle w:val="BodyText"/>
      </w:pPr>
      <w:r w:rsidRPr="00D4309F">
        <w:t>Although they aren’t listed as conservation significant species, Nudibranchs commonly occur in lower reaches of the Mooloolah River (FPE, 2022). In total, 610 species of nudibranch have been documented by local dive groups over 7 years along the shores of La Balsa Park (FPE, 2022) and The Nudibranchs of the Sunshine Coast Queensland Australia and Indo-Pacific database (Cobb G, 2025) contains 749 records of Nudibranch</w:t>
      </w:r>
      <w:r w:rsidRPr="00D4309F">
        <w:rPr>
          <w:spacing w:val="-3"/>
        </w:rPr>
        <w:t xml:space="preserve"> </w:t>
      </w:r>
      <w:r w:rsidRPr="00D4309F">
        <w:t>in</w:t>
      </w:r>
      <w:r w:rsidRPr="00D4309F">
        <w:rPr>
          <w:spacing w:val="-3"/>
        </w:rPr>
        <w:t xml:space="preserve"> </w:t>
      </w:r>
      <w:r w:rsidRPr="00D4309F">
        <w:t>the</w:t>
      </w:r>
      <w:r w:rsidRPr="00D4309F">
        <w:rPr>
          <w:spacing w:val="-3"/>
        </w:rPr>
        <w:t xml:space="preserve"> </w:t>
      </w:r>
      <w:r w:rsidRPr="00D4309F">
        <w:t>Mooloolah</w:t>
      </w:r>
      <w:r w:rsidRPr="00D4309F">
        <w:rPr>
          <w:spacing w:val="-3"/>
        </w:rPr>
        <w:t xml:space="preserve"> </w:t>
      </w:r>
      <w:r w:rsidRPr="00D4309F">
        <w:t>River</w:t>
      </w:r>
      <w:r w:rsidRPr="00D4309F">
        <w:rPr>
          <w:spacing w:val="-2"/>
        </w:rPr>
        <w:t xml:space="preserve"> </w:t>
      </w:r>
      <w:r w:rsidRPr="00D4309F">
        <w:t>and</w:t>
      </w:r>
      <w:r w:rsidRPr="00D4309F">
        <w:rPr>
          <w:spacing w:val="-4"/>
        </w:rPr>
        <w:t xml:space="preserve"> </w:t>
      </w:r>
      <w:r w:rsidRPr="00D4309F">
        <w:t>La</w:t>
      </w:r>
      <w:r w:rsidRPr="00D4309F">
        <w:rPr>
          <w:spacing w:val="-3"/>
        </w:rPr>
        <w:t xml:space="preserve"> </w:t>
      </w:r>
      <w:r w:rsidRPr="00D4309F">
        <w:t>Balsa</w:t>
      </w:r>
      <w:r w:rsidRPr="00D4309F">
        <w:rPr>
          <w:spacing w:val="-3"/>
        </w:rPr>
        <w:t xml:space="preserve"> </w:t>
      </w:r>
      <w:r w:rsidRPr="00D4309F">
        <w:t>Park</w:t>
      </w:r>
      <w:r w:rsidRPr="00D4309F">
        <w:rPr>
          <w:spacing w:val="-2"/>
        </w:rPr>
        <w:t xml:space="preserve"> </w:t>
      </w:r>
      <w:r w:rsidRPr="00D4309F">
        <w:t>region.</w:t>
      </w:r>
      <w:r w:rsidRPr="00D4309F">
        <w:rPr>
          <w:spacing w:val="-3"/>
        </w:rPr>
        <w:t xml:space="preserve"> </w:t>
      </w:r>
      <w:r w:rsidRPr="00D4309F">
        <w:t>Nudibranchs</w:t>
      </w:r>
      <w:r w:rsidRPr="00D4309F">
        <w:rPr>
          <w:spacing w:val="-2"/>
        </w:rPr>
        <w:t xml:space="preserve"> </w:t>
      </w:r>
      <w:r w:rsidRPr="00D4309F">
        <w:t>short</w:t>
      </w:r>
      <w:r w:rsidRPr="00D4309F">
        <w:rPr>
          <w:spacing w:val="-3"/>
        </w:rPr>
        <w:t xml:space="preserve"> </w:t>
      </w:r>
      <w:r w:rsidRPr="00D4309F">
        <w:t>life</w:t>
      </w:r>
      <w:r w:rsidRPr="00D4309F">
        <w:rPr>
          <w:spacing w:val="-3"/>
        </w:rPr>
        <w:t xml:space="preserve"> </w:t>
      </w:r>
      <w:r w:rsidRPr="00D4309F">
        <w:t>span</w:t>
      </w:r>
      <w:r w:rsidRPr="00D4309F">
        <w:rPr>
          <w:spacing w:val="-3"/>
        </w:rPr>
        <w:t xml:space="preserve"> </w:t>
      </w:r>
      <w:r w:rsidRPr="00D4309F">
        <w:t>causes</w:t>
      </w:r>
      <w:r w:rsidRPr="00D4309F">
        <w:rPr>
          <w:spacing w:val="-2"/>
        </w:rPr>
        <w:t xml:space="preserve"> </w:t>
      </w:r>
      <w:r w:rsidRPr="00D4309F">
        <w:t>them</w:t>
      </w:r>
      <w:r w:rsidRPr="00D4309F">
        <w:rPr>
          <w:spacing w:val="-3"/>
        </w:rPr>
        <w:t xml:space="preserve"> </w:t>
      </w:r>
      <w:r w:rsidRPr="00D4309F">
        <w:t>to</w:t>
      </w:r>
      <w:r w:rsidRPr="00D4309F">
        <w:rPr>
          <w:spacing w:val="-4"/>
        </w:rPr>
        <w:t xml:space="preserve"> </w:t>
      </w:r>
      <w:r w:rsidRPr="00D4309F">
        <w:t>be susceptible to environmental disturbances.</w:t>
      </w:r>
    </w:p>
    <w:p w14:paraId="3B890340" w14:textId="77777777" w:rsidR="00725977" w:rsidRPr="00D4309F" w:rsidRDefault="00725977" w:rsidP="00EC018A">
      <w:pPr>
        <w:pStyle w:val="Heading5"/>
      </w:pPr>
      <w:r w:rsidRPr="00D4309F">
        <w:t>Mobile</w:t>
      </w:r>
      <w:r w:rsidRPr="00D4309F">
        <w:rPr>
          <w:spacing w:val="-8"/>
        </w:rPr>
        <w:t xml:space="preserve"> </w:t>
      </w:r>
      <w:r w:rsidRPr="00D4309F">
        <w:t>marine</w:t>
      </w:r>
      <w:r w:rsidRPr="00D4309F">
        <w:rPr>
          <w:spacing w:val="-8"/>
        </w:rPr>
        <w:t xml:space="preserve"> </w:t>
      </w:r>
      <w:r w:rsidRPr="00D4309F">
        <w:rPr>
          <w:spacing w:val="-2"/>
        </w:rPr>
        <w:t>fauna</w:t>
      </w:r>
    </w:p>
    <w:p w14:paraId="0452C51A" w14:textId="2D4A7AB8" w:rsidR="00F06E88" w:rsidRPr="00D4309F" w:rsidRDefault="00725977" w:rsidP="00725977">
      <w:pPr>
        <w:pStyle w:val="BodyText"/>
      </w:pPr>
      <w:r w:rsidRPr="00D4309F">
        <w:t>Grey nurse sharks (</w:t>
      </w:r>
      <w:r w:rsidRPr="00D4309F">
        <w:rPr>
          <w:i/>
        </w:rPr>
        <w:t>Carcharias taurus</w:t>
      </w:r>
      <w:r w:rsidRPr="00D4309F">
        <w:t xml:space="preserve">) have a known foraging BIA in the vicinity of the project area (DCCEEW, 2025). Grey nurse sharks (east coast population) are listed as critically endangered under the EPBC Act and are protected under the </w:t>
      </w:r>
      <w:r w:rsidRPr="00D4309F">
        <w:rPr>
          <w:i/>
        </w:rPr>
        <w:t xml:space="preserve">Fisheries Act 1994 </w:t>
      </w:r>
      <w:r w:rsidRPr="00D4309F">
        <w:t>and the east coast population of these sharks aren’t classified as migratory. The scalloped hammerhead (</w:t>
      </w:r>
      <w:r w:rsidRPr="00D4309F">
        <w:rPr>
          <w:i/>
        </w:rPr>
        <w:t>Sphyrna lewini</w:t>
      </w:r>
      <w:r w:rsidRPr="00D4309F">
        <w:t>) is listed as conservation dependent</w:t>
      </w:r>
      <w:r w:rsidRPr="00D4309F">
        <w:rPr>
          <w:spacing w:val="-2"/>
        </w:rPr>
        <w:t xml:space="preserve"> </w:t>
      </w:r>
      <w:r w:rsidRPr="00D4309F">
        <w:t>under</w:t>
      </w:r>
      <w:r w:rsidRPr="00D4309F">
        <w:rPr>
          <w:spacing w:val="-1"/>
        </w:rPr>
        <w:t xml:space="preserve"> </w:t>
      </w:r>
      <w:r w:rsidRPr="00D4309F">
        <w:t>the</w:t>
      </w:r>
      <w:r w:rsidRPr="00D4309F">
        <w:rPr>
          <w:spacing w:val="-2"/>
        </w:rPr>
        <w:t xml:space="preserve"> </w:t>
      </w:r>
      <w:r w:rsidRPr="00D4309F">
        <w:t>EPBC</w:t>
      </w:r>
      <w:r w:rsidRPr="00D4309F">
        <w:rPr>
          <w:spacing w:val="-3"/>
        </w:rPr>
        <w:t xml:space="preserve"> </w:t>
      </w:r>
      <w:r w:rsidRPr="00D4309F">
        <w:t>Act</w:t>
      </w:r>
      <w:r w:rsidRPr="00D4309F">
        <w:rPr>
          <w:spacing w:val="-3"/>
        </w:rPr>
        <w:t xml:space="preserve"> </w:t>
      </w:r>
      <w:r w:rsidRPr="00D4309F">
        <w:t>may</w:t>
      </w:r>
      <w:r w:rsidRPr="00D4309F">
        <w:rPr>
          <w:spacing w:val="-1"/>
        </w:rPr>
        <w:t xml:space="preserve"> </w:t>
      </w:r>
      <w:r w:rsidRPr="00D4309F">
        <w:t>occur</w:t>
      </w:r>
      <w:r w:rsidRPr="00D4309F">
        <w:rPr>
          <w:spacing w:val="-1"/>
        </w:rPr>
        <w:t xml:space="preserve"> </w:t>
      </w:r>
      <w:r w:rsidRPr="00D4309F">
        <w:t>in</w:t>
      </w:r>
      <w:r w:rsidRPr="00D4309F">
        <w:rPr>
          <w:spacing w:val="-2"/>
        </w:rPr>
        <w:t xml:space="preserve"> </w:t>
      </w:r>
      <w:r w:rsidRPr="00D4309F">
        <w:t>the</w:t>
      </w:r>
      <w:r w:rsidRPr="00D4309F">
        <w:rPr>
          <w:spacing w:val="-2"/>
        </w:rPr>
        <w:t xml:space="preserve"> </w:t>
      </w:r>
      <w:r w:rsidRPr="00D4309F">
        <w:t>coastal</w:t>
      </w:r>
      <w:r w:rsidRPr="00D4309F">
        <w:rPr>
          <w:spacing w:val="-2"/>
        </w:rPr>
        <w:t xml:space="preserve"> </w:t>
      </w:r>
      <w:r w:rsidRPr="00D4309F">
        <w:t>waters</w:t>
      </w:r>
      <w:r w:rsidRPr="00D4309F">
        <w:rPr>
          <w:spacing w:val="-2"/>
        </w:rPr>
        <w:t xml:space="preserve"> </w:t>
      </w:r>
      <w:r w:rsidRPr="00D4309F">
        <w:t>near</w:t>
      </w:r>
      <w:r w:rsidRPr="00D4309F">
        <w:rPr>
          <w:spacing w:val="-1"/>
        </w:rPr>
        <w:t xml:space="preserve"> </w:t>
      </w:r>
      <w:r w:rsidRPr="00D4309F">
        <w:t>to</w:t>
      </w:r>
      <w:r w:rsidRPr="00D4309F">
        <w:rPr>
          <w:spacing w:val="-2"/>
        </w:rPr>
        <w:t xml:space="preserve"> </w:t>
      </w:r>
      <w:r w:rsidRPr="00D4309F">
        <w:t>the</w:t>
      </w:r>
      <w:r w:rsidRPr="00D4309F">
        <w:rPr>
          <w:spacing w:val="-2"/>
        </w:rPr>
        <w:t xml:space="preserve"> </w:t>
      </w:r>
      <w:r w:rsidRPr="00D4309F">
        <w:t>Mooloolaba</w:t>
      </w:r>
      <w:r w:rsidRPr="00D4309F">
        <w:rPr>
          <w:spacing w:val="-2"/>
        </w:rPr>
        <w:t xml:space="preserve"> </w:t>
      </w:r>
      <w:r w:rsidRPr="00D4309F">
        <w:t>Boat</w:t>
      </w:r>
      <w:r w:rsidRPr="00D4309F">
        <w:rPr>
          <w:spacing w:val="-2"/>
        </w:rPr>
        <w:t xml:space="preserve"> </w:t>
      </w:r>
      <w:r w:rsidRPr="00D4309F">
        <w:t>Harbour.</w:t>
      </w:r>
      <w:r w:rsidRPr="00D4309F">
        <w:rPr>
          <w:spacing w:val="-3"/>
        </w:rPr>
        <w:t xml:space="preserve"> </w:t>
      </w:r>
      <w:r w:rsidRPr="00D4309F">
        <w:t>There are six other species of sharks and rays that are listed as conservation significant under the EPBC Act that may occur in waters near the Mooloolaba Boat Harbour based on the PMST search but are unlikely to be impacted by the activities being proposed at the Mooloolaba Boat Harbour due to their presence (“may” occur) or the large-size of their habitat, such as the White shark (</w:t>
      </w:r>
      <w:r w:rsidRPr="00D4309F">
        <w:rPr>
          <w:i/>
        </w:rPr>
        <w:t>Carcharodon carcharias</w:t>
      </w:r>
      <w:r w:rsidRPr="00D4309F">
        <w:t>). One freshwater species was returned</w:t>
      </w:r>
      <w:r w:rsidRPr="00D4309F">
        <w:rPr>
          <w:spacing w:val="-1"/>
        </w:rPr>
        <w:t xml:space="preserve"> </w:t>
      </w:r>
      <w:r w:rsidRPr="00D4309F">
        <w:t>in</w:t>
      </w:r>
      <w:r w:rsidRPr="00D4309F">
        <w:rPr>
          <w:spacing w:val="-1"/>
        </w:rPr>
        <w:t xml:space="preserve"> </w:t>
      </w:r>
      <w:r w:rsidRPr="00D4309F">
        <w:t>the</w:t>
      </w:r>
      <w:r w:rsidRPr="00D4309F">
        <w:rPr>
          <w:spacing w:val="-2"/>
        </w:rPr>
        <w:t xml:space="preserve"> </w:t>
      </w:r>
      <w:r w:rsidRPr="00D4309F">
        <w:t>PMST</w:t>
      </w:r>
      <w:r w:rsidRPr="00D4309F">
        <w:rPr>
          <w:spacing w:val="-1"/>
        </w:rPr>
        <w:t xml:space="preserve"> </w:t>
      </w:r>
      <w:r w:rsidRPr="00D4309F">
        <w:t>search</w:t>
      </w:r>
      <w:r w:rsidRPr="00D4309F">
        <w:rPr>
          <w:spacing w:val="-1"/>
        </w:rPr>
        <w:t xml:space="preserve"> </w:t>
      </w:r>
      <w:r w:rsidRPr="00D4309F">
        <w:t>that</w:t>
      </w:r>
      <w:r w:rsidRPr="00D4309F">
        <w:rPr>
          <w:spacing w:val="-1"/>
        </w:rPr>
        <w:t xml:space="preserve"> </w:t>
      </w:r>
      <w:r w:rsidRPr="00D4309F">
        <w:t>will</w:t>
      </w:r>
      <w:r w:rsidRPr="00D4309F">
        <w:rPr>
          <w:spacing w:val="-1"/>
        </w:rPr>
        <w:t xml:space="preserve"> </w:t>
      </w:r>
      <w:r w:rsidRPr="00D4309F">
        <w:t>not</w:t>
      </w:r>
      <w:r w:rsidRPr="00D4309F">
        <w:rPr>
          <w:spacing w:val="-1"/>
        </w:rPr>
        <w:t xml:space="preserve"> </w:t>
      </w:r>
      <w:r w:rsidRPr="00D4309F">
        <w:t>be</w:t>
      </w:r>
      <w:r w:rsidRPr="00D4309F">
        <w:rPr>
          <w:spacing w:val="-1"/>
        </w:rPr>
        <w:t xml:space="preserve"> </w:t>
      </w:r>
      <w:r w:rsidRPr="00D4309F">
        <w:t>impacted</w:t>
      </w:r>
      <w:r w:rsidRPr="00D4309F">
        <w:rPr>
          <w:spacing w:val="-2"/>
        </w:rPr>
        <w:t xml:space="preserve"> </w:t>
      </w:r>
      <w:r w:rsidRPr="00D4309F">
        <w:t>by the</w:t>
      </w:r>
      <w:r w:rsidRPr="00D4309F">
        <w:rPr>
          <w:spacing w:val="-1"/>
        </w:rPr>
        <w:t xml:space="preserve"> </w:t>
      </w:r>
      <w:r w:rsidRPr="00D4309F">
        <w:t>proposed</w:t>
      </w:r>
      <w:r w:rsidRPr="00D4309F">
        <w:rPr>
          <w:spacing w:val="-1"/>
        </w:rPr>
        <w:t xml:space="preserve"> </w:t>
      </w:r>
      <w:r w:rsidRPr="00D4309F">
        <w:t>activities because</w:t>
      </w:r>
      <w:r w:rsidRPr="00D4309F">
        <w:rPr>
          <w:spacing w:val="-1"/>
        </w:rPr>
        <w:t xml:space="preserve"> </w:t>
      </w:r>
      <w:r w:rsidRPr="00D4309F">
        <w:t>it</w:t>
      </w:r>
      <w:r w:rsidRPr="00D4309F">
        <w:rPr>
          <w:spacing w:val="-1"/>
        </w:rPr>
        <w:t xml:space="preserve"> </w:t>
      </w:r>
      <w:r w:rsidRPr="00D4309F">
        <w:t>only inhabits freshwaters, which won’t be impacted by the activities based on the current stage of design. The ATLAS of Living Australia contains records of the Australian lungfish (</w:t>
      </w:r>
      <w:r w:rsidRPr="00D4309F">
        <w:rPr>
          <w:rFonts w:ascii="Source Sans Pro" w:hAnsi="Source Sans Pro"/>
          <w:i/>
          <w:sz w:val="22"/>
        </w:rPr>
        <w:t>Neoceratodus forsteri</w:t>
      </w:r>
      <w:r w:rsidRPr="00D4309F">
        <w:t>) in the area, which is listed as vulnerable under the NC Act, although the Wildnet search of this area did not identify this species. Also, the PMST search listed four species of sharks and rays, which are not threatened, may migrate through the area but there is limited data available on these.</w:t>
      </w:r>
    </w:p>
    <w:p w14:paraId="3C6E8868" w14:textId="77777777" w:rsidR="00725977" w:rsidRPr="00D4309F" w:rsidRDefault="00725977" w:rsidP="00EC018A">
      <w:pPr>
        <w:pStyle w:val="Heading4"/>
      </w:pPr>
      <w:bookmarkStart w:id="62" w:name="_Ref216022346"/>
      <w:r w:rsidRPr="00D4309F">
        <w:t>Benthic</w:t>
      </w:r>
      <w:r w:rsidRPr="00D4309F">
        <w:rPr>
          <w:spacing w:val="-4"/>
        </w:rPr>
        <w:t xml:space="preserve"> </w:t>
      </w:r>
      <w:r w:rsidRPr="00D4309F">
        <w:rPr>
          <w:spacing w:val="-2"/>
        </w:rPr>
        <w:t>habitats</w:t>
      </w:r>
      <w:bookmarkEnd w:id="62"/>
    </w:p>
    <w:p w14:paraId="7773CFD3" w14:textId="7DD317C8" w:rsidR="00725977" w:rsidRPr="00D4309F" w:rsidRDefault="00725977" w:rsidP="00725977">
      <w:pPr>
        <w:pStyle w:val="BodyText"/>
      </w:pPr>
      <w:r w:rsidRPr="00D4309F">
        <w:t>The most recent benthic surveys within and near to the Mooloolaba Boat Harbour entrance indicates the benthic habitat in the area</w:t>
      </w:r>
      <w:r w:rsidRPr="00D4309F">
        <w:rPr>
          <w:spacing w:val="-1"/>
        </w:rPr>
        <w:t xml:space="preserve"> </w:t>
      </w:r>
      <w:r w:rsidRPr="00D4309F">
        <w:t>is comprised of predominantly bare sand with rocky rubble and minimal benthos (KBR, 2023</w:t>
      </w:r>
      <w:r w:rsidR="00CE0FD1">
        <w:t>;</w:t>
      </w:r>
      <w:r w:rsidR="000D1343">
        <w:t xml:space="preserve"> </w:t>
      </w:r>
      <w:r w:rsidR="000D1343">
        <w:fldChar w:fldCharType="begin" w:fldLock="1"/>
      </w:r>
      <w:r w:rsidR="000D1343">
        <w:instrText xml:space="preserve"> REF _Ref215979031 \h </w:instrText>
      </w:r>
      <w:r w:rsidR="000D1343">
        <w:fldChar w:fldCharType="separate"/>
      </w:r>
      <w:r w:rsidR="000D1343">
        <w:t xml:space="preserve">Table </w:t>
      </w:r>
      <w:r w:rsidR="000D1343">
        <w:rPr>
          <w:noProof/>
        </w:rPr>
        <w:t>5</w:t>
      </w:r>
      <w:r w:rsidR="000D1343">
        <w:noBreakHyphen/>
      </w:r>
      <w:r w:rsidR="000D1343">
        <w:rPr>
          <w:noProof/>
        </w:rPr>
        <w:t>1</w:t>
      </w:r>
      <w:r w:rsidR="000D1343">
        <w:fldChar w:fldCharType="end"/>
      </w:r>
      <w:r w:rsidRPr="00D4309F">
        <w:t xml:space="preserve">; </w:t>
      </w:r>
      <w:hyperlink w:anchor="_bookmark24" w:history="1">
        <w:r w:rsidRPr="00D4309F">
          <w:t>Figure 5-2</w:t>
        </w:r>
      </w:hyperlink>
      <w:r w:rsidRPr="00D4309F">
        <w:t>). The majority of the subtidal seabed in the area is characterised by bare mobile sand (</w:t>
      </w:r>
      <w:hyperlink w:anchor="_bookmark25" w:history="1">
        <w:r w:rsidRPr="00D4309F">
          <w:t>Figure 5-3</w:t>
        </w:r>
      </w:hyperlink>
      <w:r w:rsidRPr="00D4309F">
        <w:t>). Small patches of exposed rocky reef with minimal benthos occur further offshore and is interspersed with bare mobile sands with minimal benthos (</w:t>
      </w:r>
      <w:hyperlink w:anchor="_bookmark26" w:history="1">
        <w:r w:rsidRPr="00D4309F">
          <w:t>Figure 5-4</w:t>
        </w:r>
      </w:hyperlink>
      <w:r w:rsidRPr="00D4309F">
        <w:t xml:space="preserve">). Further inshore as water </w:t>
      </w:r>
      <w:r w:rsidRPr="00D4309F">
        <w:lastRenderedPageBreak/>
        <w:t>depth decreases</w:t>
      </w:r>
      <w:r w:rsidRPr="00D4309F">
        <w:rPr>
          <w:spacing w:val="-2"/>
        </w:rPr>
        <w:t xml:space="preserve"> </w:t>
      </w:r>
      <w:r w:rsidRPr="00D4309F">
        <w:t>marine</w:t>
      </w:r>
      <w:r w:rsidRPr="00D4309F">
        <w:rPr>
          <w:spacing w:val="-3"/>
        </w:rPr>
        <w:t xml:space="preserve"> </w:t>
      </w:r>
      <w:r w:rsidRPr="00D4309F">
        <w:t>benthos</w:t>
      </w:r>
      <w:r w:rsidRPr="00D4309F">
        <w:rPr>
          <w:spacing w:val="-3"/>
        </w:rPr>
        <w:t xml:space="preserve"> </w:t>
      </w:r>
      <w:r w:rsidRPr="00D4309F">
        <w:t>increases</w:t>
      </w:r>
      <w:r w:rsidRPr="00D4309F">
        <w:rPr>
          <w:spacing w:val="-3"/>
        </w:rPr>
        <w:t xml:space="preserve"> </w:t>
      </w:r>
      <w:r w:rsidRPr="00D4309F">
        <w:t>with</w:t>
      </w:r>
      <w:r w:rsidRPr="00D4309F">
        <w:rPr>
          <w:spacing w:val="-3"/>
        </w:rPr>
        <w:t xml:space="preserve"> </w:t>
      </w:r>
      <w:r w:rsidRPr="00D4309F">
        <w:t>the</w:t>
      </w:r>
      <w:r w:rsidRPr="00D4309F">
        <w:rPr>
          <w:spacing w:val="-3"/>
        </w:rPr>
        <w:t xml:space="preserve"> </w:t>
      </w:r>
      <w:r w:rsidRPr="00D4309F">
        <w:t>lower</w:t>
      </w:r>
      <w:r w:rsidRPr="00D4309F">
        <w:rPr>
          <w:spacing w:val="-2"/>
        </w:rPr>
        <w:t xml:space="preserve"> </w:t>
      </w:r>
      <w:r w:rsidRPr="00D4309F">
        <w:t>intertidal</w:t>
      </w:r>
      <w:r w:rsidRPr="00D4309F">
        <w:rPr>
          <w:spacing w:val="-3"/>
        </w:rPr>
        <w:t xml:space="preserve"> </w:t>
      </w:r>
      <w:r w:rsidRPr="00D4309F">
        <w:t>rocky</w:t>
      </w:r>
      <w:r w:rsidRPr="00D4309F">
        <w:rPr>
          <w:spacing w:val="-3"/>
        </w:rPr>
        <w:t xml:space="preserve"> </w:t>
      </w:r>
      <w:r w:rsidRPr="00D4309F">
        <w:t>reef</w:t>
      </w:r>
      <w:r w:rsidRPr="00D4309F">
        <w:rPr>
          <w:spacing w:val="-3"/>
        </w:rPr>
        <w:t xml:space="preserve"> </w:t>
      </w:r>
      <w:r w:rsidRPr="00D4309F">
        <w:t>system,</w:t>
      </w:r>
      <w:r w:rsidRPr="00D4309F">
        <w:rPr>
          <w:spacing w:val="-3"/>
        </w:rPr>
        <w:t xml:space="preserve"> </w:t>
      </w:r>
      <w:r w:rsidRPr="00D4309F">
        <w:t>supporting</w:t>
      </w:r>
      <w:r w:rsidRPr="00D4309F">
        <w:rPr>
          <w:spacing w:val="-3"/>
        </w:rPr>
        <w:t xml:space="preserve"> </w:t>
      </w:r>
      <w:r w:rsidRPr="00D4309F">
        <w:t>a</w:t>
      </w:r>
      <w:r w:rsidRPr="00D4309F">
        <w:rPr>
          <w:spacing w:val="-3"/>
        </w:rPr>
        <w:t xml:space="preserve"> </w:t>
      </w:r>
      <w:r w:rsidRPr="00D4309F">
        <w:t>diverse</w:t>
      </w:r>
      <w:r w:rsidRPr="00D4309F">
        <w:rPr>
          <w:spacing w:val="-3"/>
        </w:rPr>
        <w:t xml:space="preserve"> </w:t>
      </w:r>
      <w:r w:rsidRPr="00D4309F">
        <w:t>range of marine life, including red and green macroalgae species and Cunjevoi (</w:t>
      </w:r>
      <w:r w:rsidRPr="00D4309F">
        <w:rPr>
          <w:i/>
        </w:rPr>
        <w:t>Pyura stolonifera</w:t>
      </w:r>
      <w:r w:rsidRPr="00D4309F">
        <w:t xml:space="preserve">), </w:t>
      </w:r>
      <w:hyperlink w:anchor="_bookmark27" w:history="1">
        <w:r w:rsidRPr="00D4309F">
          <w:t>Figure 5-5</w:t>
        </w:r>
      </w:hyperlink>
      <w:r w:rsidRPr="00D4309F">
        <w:t xml:space="preserve"> (KBR, 2023).</w:t>
      </w:r>
    </w:p>
    <w:p w14:paraId="30F8CDE2" w14:textId="77777777" w:rsidR="00725977" w:rsidRPr="00D4309F" w:rsidRDefault="00725977" w:rsidP="00725977">
      <w:pPr>
        <w:pStyle w:val="BodyText"/>
      </w:pPr>
      <w:r w:rsidRPr="00D4309F">
        <w:t>The entrance channel to the Mooloolaba Boat Harbour is influenced by strong tidal and catchment flows within</w:t>
      </w:r>
      <w:r w:rsidRPr="00D4309F">
        <w:rPr>
          <w:spacing w:val="-3"/>
        </w:rPr>
        <w:t xml:space="preserve"> </w:t>
      </w:r>
      <w:r w:rsidRPr="00D4309F">
        <w:t>the</w:t>
      </w:r>
      <w:r w:rsidRPr="00D4309F">
        <w:rPr>
          <w:spacing w:val="-3"/>
        </w:rPr>
        <w:t xml:space="preserve"> </w:t>
      </w:r>
      <w:r w:rsidRPr="00D4309F">
        <w:t>Mooloolah</w:t>
      </w:r>
      <w:r w:rsidRPr="00D4309F">
        <w:rPr>
          <w:spacing w:val="-3"/>
        </w:rPr>
        <w:t xml:space="preserve"> </w:t>
      </w:r>
      <w:r w:rsidRPr="00D4309F">
        <w:t>River.</w:t>
      </w:r>
      <w:r w:rsidRPr="00D4309F">
        <w:rPr>
          <w:spacing w:val="-4"/>
        </w:rPr>
        <w:t xml:space="preserve"> </w:t>
      </w:r>
      <w:r w:rsidRPr="00D4309F">
        <w:t>The</w:t>
      </w:r>
      <w:r w:rsidRPr="00D4309F">
        <w:rPr>
          <w:spacing w:val="-3"/>
        </w:rPr>
        <w:t xml:space="preserve"> </w:t>
      </w:r>
      <w:r w:rsidRPr="00D4309F">
        <w:t>channel</w:t>
      </w:r>
      <w:r w:rsidRPr="00D4309F">
        <w:rPr>
          <w:spacing w:val="-3"/>
        </w:rPr>
        <w:t xml:space="preserve"> </w:t>
      </w:r>
      <w:r w:rsidRPr="00D4309F">
        <w:t>bed</w:t>
      </w:r>
      <w:r w:rsidRPr="00D4309F">
        <w:rPr>
          <w:spacing w:val="-3"/>
        </w:rPr>
        <w:t xml:space="preserve"> </w:t>
      </w:r>
      <w:r w:rsidRPr="00D4309F">
        <w:t>primarily</w:t>
      </w:r>
      <w:r w:rsidRPr="00D4309F">
        <w:rPr>
          <w:spacing w:val="-3"/>
        </w:rPr>
        <w:t xml:space="preserve"> </w:t>
      </w:r>
      <w:r w:rsidRPr="00D4309F">
        <w:t>consists</w:t>
      </w:r>
      <w:r w:rsidRPr="00D4309F">
        <w:rPr>
          <w:spacing w:val="-2"/>
        </w:rPr>
        <w:t xml:space="preserve"> </w:t>
      </w:r>
      <w:r w:rsidRPr="00D4309F">
        <w:t>of</w:t>
      </w:r>
      <w:r w:rsidRPr="00D4309F">
        <w:rPr>
          <w:spacing w:val="-3"/>
        </w:rPr>
        <w:t xml:space="preserve"> </w:t>
      </w:r>
      <w:r w:rsidRPr="00D4309F">
        <w:t>bare</w:t>
      </w:r>
      <w:r w:rsidRPr="00D4309F">
        <w:rPr>
          <w:spacing w:val="-3"/>
        </w:rPr>
        <w:t xml:space="preserve"> </w:t>
      </w:r>
      <w:r w:rsidRPr="00D4309F">
        <w:t>mobile</w:t>
      </w:r>
      <w:r w:rsidRPr="00D4309F">
        <w:rPr>
          <w:spacing w:val="-3"/>
        </w:rPr>
        <w:t xml:space="preserve"> </w:t>
      </w:r>
      <w:r w:rsidRPr="00D4309F">
        <w:t>sands</w:t>
      </w:r>
      <w:r w:rsidRPr="00D4309F">
        <w:rPr>
          <w:spacing w:val="-2"/>
        </w:rPr>
        <w:t xml:space="preserve"> </w:t>
      </w:r>
      <w:r w:rsidRPr="00D4309F">
        <w:t>with</w:t>
      </w:r>
      <w:r w:rsidRPr="00D4309F">
        <w:rPr>
          <w:spacing w:val="-3"/>
        </w:rPr>
        <w:t xml:space="preserve"> </w:t>
      </w:r>
      <w:r w:rsidRPr="00D4309F">
        <w:t>patches</w:t>
      </w:r>
      <w:r w:rsidRPr="00D4309F">
        <w:rPr>
          <w:spacing w:val="-2"/>
        </w:rPr>
        <w:t xml:space="preserve"> </w:t>
      </w:r>
      <w:r w:rsidRPr="00D4309F">
        <w:t>of</w:t>
      </w:r>
      <w:r w:rsidRPr="00D4309F">
        <w:rPr>
          <w:spacing w:val="-3"/>
        </w:rPr>
        <w:t xml:space="preserve"> </w:t>
      </w:r>
      <w:r w:rsidRPr="00D4309F">
        <w:t>rocky rubble</w:t>
      </w:r>
      <w:r w:rsidRPr="00D4309F">
        <w:rPr>
          <w:spacing w:val="-3"/>
        </w:rPr>
        <w:t xml:space="preserve"> </w:t>
      </w:r>
      <w:r w:rsidRPr="00D4309F">
        <w:t>observed</w:t>
      </w:r>
      <w:r w:rsidRPr="00D4309F">
        <w:rPr>
          <w:spacing w:val="-3"/>
        </w:rPr>
        <w:t xml:space="preserve"> </w:t>
      </w:r>
      <w:r w:rsidRPr="00D4309F">
        <w:t>along</w:t>
      </w:r>
      <w:r w:rsidRPr="00D4309F">
        <w:rPr>
          <w:spacing w:val="-3"/>
        </w:rPr>
        <w:t xml:space="preserve"> </w:t>
      </w:r>
      <w:r w:rsidRPr="00D4309F">
        <w:t>the</w:t>
      </w:r>
      <w:r w:rsidRPr="00D4309F">
        <w:rPr>
          <w:spacing w:val="-3"/>
        </w:rPr>
        <w:t xml:space="preserve"> </w:t>
      </w:r>
      <w:r w:rsidRPr="00D4309F">
        <w:t>south-western</w:t>
      </w:r>
      <w:r w:rsidRPr="00D4309F">
        <w:rPr>
          <w:spacing w:val="-3"/>
        </w:rPr>
        <w:t xml:space="preserve"> </w:t>
      </w:r>
      <w:r w:rsidRPr="00D4309F">
        <w:t>boundary</w:t>
      </w:r>
      <w:r w:rsidRPr="00D4309F">
        <w:rPr>
          <w:spacing w:val="-2"/>
        </w:rPr>
        <w:t xml:space="preserve"> </w:t>
      </w:r>
      <w:r w:rsidRPr="00D4309F">
        <w:t>of</w:t>
      </w:r>
      <w:r w:rsidRPr="00D4309F">
        <w:rPr>
          <w:spacing w:val="-5"/>
        </w:rPr>
        <w:t xml:space="preserve"> </w:t>
      </w:r>
      <w:r w:rsidRPr="00D4309F">
        <w:t>the</w:t>
      </w:r>
      <w:r w:rsidRPr="00D4309F">
        <w:rPr>
          <w:spacing w:val="-3"/>
        </w:rPr>
        <w:t xml:space="preserve"> </w:t>
      </w:r>
      <w:r w:rsidRPr="00D4309F">
        <w:t>survey</w:t>
      </w:r>
      <w:r w:rsidRPr="00D4309F">
        <w:rPr>
          <w:spacing w:val="-2"/>
        </w:rPr>
        <w:t xml:space="preserve"> </w:t>
      </w:r>
      <w:r w:rsidRPr="00D4309F">
        <w:t>area</w:t>
      </w:r>
      <w:r w:rsidRPr="00D4309F">
        <w:rPr>
          <w:spacing w:val="-3"/>
        </w:rPr>
        <w:t xml:space="preserve"> </w:t>
      </w:r>
      <w:r w:rsidRPr="00D4309F">
        <w:t>and</w:t>
      </w:r>
      <w:r w:rsidRPr="00D4309F">
        <w:rPr>
          <w:spacing w:val="-3"/>
        </w:rPr>
        <w:t xml:space="preserve"> </w:t>
      </w:r>
      <w:r w:rsidRPr="00D4309F">
        <w:t>running</w:t>
      </w:r>
      <w:r w:rsidRPr="00D4309F">
        <w:rPr>
          <w:spacing w:val="-3"/>
        </w:rPr>
        <w:t xml:space="preserve"> </w:t>
      </w:r>
      <w:r w:rsidRPr="00D4309F">
        <w:t>parallel</w:t>
      </w:r>
      <w:r w:rsidRPr="00D4309F">
        <w:rPr>
          <w:spacing w:val="-3"/>
        </w:rPr>
        <w:t xml:space="preserve"> </w:t>
      </w:r>
      <w:r w:rsidRPr="00D4309F">
        <w:t>to</w:t>
      </w:r>
      <w:r w:rsidRPr="00D4309F">
        <w:rPr>
          <w:spacing w:val="-3"/>
        </w:rPr>
        <w:t xml:space="preserve"> </w:t>
      </w:r>
      <w:r w:rsidRPr="00D4309F">
        <w:t>the</w:t>
      </w:r>
      <w:r w:rsidRPr="00D4309F">
        <w:rPr>
          <w:spacing w:val="-3"/>
        </w:rPr>
        <w:t xml:space="preserve"> </w:t>
      </w:r>
      <w:r w:rsidRPr="00D4309F">
        <w:t>eastern breakwater structure (KBR, 2023).</w:t>
      </w:r>
    </w:p>
    <w:p w14:paraId="183DA5EA" w14:textId="1A54102D" w:rsidR="00725977" w:rsidRDefault="00725977" w:rsidP="00CD771E">
      <w:pPr>
        <w:pStyle w:val="BodyText"/>
      </w:pPr>
      <w:r w:rsidRPr="00D4309F">
        <w:t>Further</w:t>
      </w:r>
      <w:r w:rsidRPr="00D4309F">
        <w:rPr>
          <w:spacing w:val="-2"/>
        </w:rPr>
        <w:t xml:space="preserve"> </w:t>
      </w:r>
      <w:r w:rsidRPr="00D4309F">
        <w:t>assessment,</w:t>
      </w:r>
      <w:r w:rsidRPr="00D4309F">
        <w:rPr>
          <w:spacing w:val="-3"/>
        </w:rPr>
        <w:t xml:space="preserve"> </w:t>
      </w:r>
      <w:r w:rsidRPr="00D4309F">
        <w:t>potentially</w:t>
      </w:r>
      <w:r w:rsidRPr="00D4309F">
        <w:rPr>
          <w:spacing w:val="-2"/>
        </w:rPr>
        <w:t xml:space="preserve"> </w:t>
      </w:r>
      <w:r w:rsidRPr="00D4309F">
        <w:t>including</w:t>
      </w:r>
      <w:r w:rsidRPr="00D4309F">
        <w:rPr>
          <w:spacing w:val="-4"/>
        </w:rPr>
        <w:t xml:space="preserve"> </w:t>
      </w:r>
      <w:r w:rsidRPr="00D4309F">
        <w:t>surveys,</w:t>
      </w:r>
      <w:r w:rsidRPr="00D4309F">
        <w:rPr>
          <w:spacing w:val="-3"/>
        </w:rPr>
        <w:t xml:space="preserve"> </w:t>
      </w:r>
      <w:r w:rsidRPr="00D4309F">
        <w:t>is</w:t>
      </w:r>
      <w:r w:rsidRPr="00D4309F">
        <w:rPr>
          <w:spacing w:val="-2"/>
        </w:rPr>
        <w:t xml:space="preserve"> </w:t>
      </w:r>
      <w:r w:rsidRPr="00D4309F">
        <w:t>required</w:t>
      </w:r>
      <w:r w:rsidRPr="00D4309F">
        <w:rPr>
          <w:spacing w:val="-3"/>
        </w:rPr>
        <w:t xml:space="preserve"> </w:t>
      </w:r>
      <w:r w:rsidRPr="00D4309F">
        <w:t>to</w:t>
      </w:r>
      <w:r w:rsidRPr="00D4309F">
        <w:rPr>
          <w:spacing w:val="-3"/>
        </w:rPr>
        <w:t xml:space="preserve"> </w:t>
      </w:r>
      <w:r w:rsidRPr="00D4309F">
        <w:t>identify</w:t>
      </w:r>
      <w:r w:rsidRPr="00D4309F">
        <w:rPr>
          <w:spacing w:val="-2"/>
        </w:rPr>
        <w:t xml:space="preserve"> </w:t>
      </w:r>
      <w:r w:rsidRPr="00D4309F">
        <w:t>all</w:t>
      </w:r>
      <w:r w:rsidRPr="00D4309F">
        <w:rPr>
          <w:spacing w:val="-3"/>
        </w:rPr>
        <w:t xml:space="preserve"> </w:t>
      </w:r>
      <w:r w:rsidRPr="00D4309F">
        <w:t>benthic</w:t>
      </w:r>
      <w:r w:rsidRPr="00D4309F">
        <w:rPr>
          <w:spacing w:val="-2"/>
        </w:rPr>
        <w:t xml:space="preserve"> </w:t>
      </w:r>
      <w:r w:rsidRPr="00D4309F">
        <w:t>habitats</w:t>
      </w:r>
      <w:r w:rsidRPr="00D4309F">
        <w:rPr>
          <w:spacing w:val="-2"/>
        </w:rPr>
        <w:t xml:space="preserve"> </w:t>
      </w:r>
      <w:r w:rsidRPr="00D4309F">
        <w:t>over</w:t>
      </w:r>
      <w:r w:rsidRPr="00D4309F">
        <w:rPr>
          <w:spacing w:val="-2"/>
        </w:rPr>
        <w:t xml:space="preserve"> </w:t>
      </w:r>
      <w:r w:rsidRPr="00D4309F">
        <w:t>the</w:t>
      </w:r>
      <w:r w:rsidRPr="00D4309F">
        <w:rPr>
          <w:spacing w:val="-3"/>
        </w:rPr>
        <w:t xml:space="preserve"> </w:t>
      </w:r>
      <w:r w:rsidRPr="00D4309F">
        <w:t>current dredge</w:t>
      </w:r>
      <w:r w:rsidRPr="00D4309F">
        <w:rPr>
          <w:spacing w:val="-3"/>
        </w:rPr>
        <w:t xml:space="preserve"> </w:t>
      </w:r>
      <w:r w:rsidRPr="00D4309F">
        <w:t>and</w:t>
      </w:r>
      <w:r w:rsidRPr="00D4309F">
        <w:rPr>
          <w:spacing w:val="-3"/>
        </w:rPr>
        <w:t xml:space="preserve"> </w:t>
      </w:r>
      <w:r w:rsidRPr="00D4309F">
        <w:t>dredge</w:t>
      </w:r>
      <w:r w:rsidRPr="00D4309F">
        <w:rPr>
          <w:spacing w:val="-3"/>
        </w:rPr>
        <w:t xml:space="preserve"> </w:t>
      </w:r>
      <w:r w:rsidRPr="00D4309F">
        <w:t>disposal</w:t>
      </w:r>
      <w:r w:rsidRPr="00D4309F">
        <w:rPr>
          <w:spacing w:val="-3"/>
        </w:rPr>
        <w:t xml:space="preserve"> </w:t>
      </w:r>
      <w:r w:rsidRPr="00D4309F">
        <w:t>areas</w:t>
      </w:r>
      <w:r w:rsidRPr="00D4309F">
        <w:rPr>
          <w:spacing w:val="-3"/>
        </w:rPr>
        <w:t xml:space="preserve"> </w:t>
      </w:r>
      <w:r w:rsidRPr="00D4309F">
        <w:t>and</w:t>
      </w:r>
      <w:r w:rsidRPr="00D4309F">
        <w:rPr>
          <w:spacing w:val="-3"/>
        </w:rPr>
        <w:t xml:space="preserve"> </w:t>
      </w:r>
      <w:r w:rsidRPr="00D4309F">
        <w:t>proposed</w:t>
      </w:r>
      <w:r w:rsidRPr="00D4309F">
        <w:rPr>
          <w:spacing w:val="-3"/>
        </w:rPr>
        <w:t xml:space="preserve"> </w:t>
      </w:r>
      <w:r w:rsidRPr="00D4309F">
        <w:t>long</w:t>
      </w:r>
      <w:r w:rsidRPr="00D4309F">
        <w:rPr>
          <w:spacing w:val="-3"/>
        </w:rPr>
        <w:t xml:space="preserve"> </w:t>
      </w:r>
      <w:r w:rsidRPr="00D4309F">
        <w:t>term</w:t>
      </w:r>
      <w:r w:rsidRPr="00D4309F">
        <w:rPr>
          <w:spacing w:val="-3"/>
        </w:rPr>
        <w:t xml:space="preserve"> </w:t>
      </w:r>
      <w:r w:rsidRPr="00D4309F">
        <w:t>options</w:t>
      </w:r>
      <w:r w:rsidRPr="00D4309F">
        <w:rPr>
          <w:spacing w:val="-2"/>
        </w:rPr>
        <w:t xml:space="preserve"> </w:t>
      </w:r>
      <w:r w:rsidRPr="00D4309F">
        <w:t>disturbance</w:t>
      </w:r>
      <w:r w:rsidRPr="00D4309F">
        <w:rPr>
          <w:spacing w:val="-4"/>
        </w:rPr>
        <w:t xml:space="preserve"> </w:t>
      </w:r>
      <w:r w:rsidRPr="00D4309F">
        <w:t>footprints,</w:t>
      </w:r>
      <w:r w:rsidRPr="00D4309F">
        <w:rPr>
          <w:spacing w:val="-3"/>
        </w:rPr>
        <w:t xml:space="preserve"> </w:t>
      </w:r>
      <w:r w:rsidRPr="00D4309F">
        <w:t>specifically</w:t>
      </w:r>
      <w:r w:rsidRPr="00D4309F">
        <w:rPr>
          <w:spacing w:val="-2"/>
        </w:rPr>
        <w:t xml:space="preserve"> </w:t>
      </w:r>
      <w:r w:rsidRPr="00D4309F">
        <w:t>those habitats where conservation significant marine fauna reside.</w:t>
      </w:r>
      <w:bookmarkStart w:id="63" w:name="_bookmark23"/>
      <w:bookmarkEnd w:id="63"/>
    </w:p>
    <w:p w14:paraId="5F8BD30E" w14:textId="77777777" w:rsidR="00F06E88" w:rsidRPr="00D4309F" w:rsidRDefault="00F06E88" w:rsidP="00CD771E">
      <w:pPr>
        <w:pStyle w:val="BodyText"/>
      </w:pPr>
    </w:p>
    <w:p w14:paraId="2E9E5DB8" w14:textId="5AE46C9E" w:rsidR="0045445D" w:rsidRDefault="0045445D" w:rsidP="00151534">
      <w:pPr>
        <w:pStyle w:val="Table-Caption"/>
      </w:pPr>
      <w:bookmarkStart w:id="64" w:name="_Ref215979031"/>
      <w:bookmarkStart w:id="65" w:name="_Toc216699534"/>
      <w:r>
        <w:t xml:space="preserve">Table </w:t>
      </w:r>
      <w:r w:rsidR="00151534">
        <w:fldChar w:fldCharType="begin" w:fldLock="1"/>
      </w:r>
      <w:r w:rsidR="00151534">
        <w:instrText xml:space="preserve"> STYLEREF 1 \s </w:instrText>
      </w:r>
      <w:r w:rsidR="00151534">
        <w:fldChar w:fldCharType="separate"/>
      </w:r>
      <w:r w:rsidR="00151534">
        <w:rPr>
          <w:noProof/>
        </w:rPr>
        <w:t>5</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1</w:t>
      </w:r>
      <w:r w:rsidR="00151534">
        <w:fldChar w:fldCharType="end"/>
      </w:r>
      <w:bookmarkEnd w:id="64"/>
      <w:r>
        <w:t>:</w:t>
      </w:r>
      <w:r>
        <w:tab/>
      </w:r>
      <w:r w:rsidRPr="00D4309F">
        <w:rPr>
          <w:color w:val="211E1F"/>
        </w:rPr>
        <w:t>Summary</w:t>
      </w:r>
      <w:r w:rsidRPr="00D4309F">
        <w:rPr>
          <w:color w:val="211E1F"/>
          <w:spacing w:val="-3"/>
        </w:rPr>
        <w:t xml:space="preserve"> </w:t>
      </w:r>
      <w:r w:rsidRPr="00D4309F">
        <w:rPr>
          <w:color w:val="211E1F"/>
        </w:rPr>
        <w:t>of</w:t>
      </w:r>
      <w:r w:rsidRPr="00D4309F">
        <w:rPr>
          <w:color w:val="211E1F"/>
          <w:spacing w:val="-1"/>
        </w:rPr>
        <w:t xml:space="preserve"> </w:t>
      </w:r>
      <w:r w:rsidRPr="00D4309F">
        <w:rPr>
          <w:color w:val="211E1F"/>
        </w:rPr>
        <w:t>marine</w:t>
      </w:r>
      <w:r w:rsidRPr="00D4309F">
        <w:rPr>
          <w:color w:val="211E1F"/>
          <w:spacing w:val="-3"/>
        </w:rPr>
        <w:t xml:space="preserve"> </w:t>
      </w:r>
      <w:r w:rsidRPr="00D4309F">
        <w:rPr>
          <w:color w:val="211E1F"/>
        </w:rPr>
        <w:t>benthic</w:t>
      </w:r>
      <w:r w:rsidRPr="00D4309F">
        <w:rPr>
          <w:color w:val="211E1F"/>
          <w:spacing w:val="-3"/>
        </w:rPr>
        <w:t xml:space="preserve"> </w:t>
      </w:r>
      <w:r w:rsidRPr="00D4309F">
        <w:rPr>
          <w:color w:val="211E1F"/>
        </w:rPr>
        <w:t>habitats</w:t>
      </w:r>
      <w:r w:rsidRPr="00D4309F">
        <w:rPr>
          <w:color w:val="211E1F"/>
          <w:spacing w:val="-2"/>
        </w:rPr>
        <w:t xml:space="preserve"> </w:t>
      </w:r>
      <w:r w:rsidRPr="00D4309F">
        <w:rPr>
          <w:color w:val="211E1F"/>
        </w:rPr>
        <w:t>mapped</w:t>
      </w:r>
      <w:r w:rsidRPr="00D4309F">
        <w:rPr>
          <w:color w:val="211E1F"/>
          <w:spacing w:val="-2"/>
        </w:rPr>
        <w:t xml:space="preserve"> </w:t>
      </w:r>
      <w:r w:rsidRPr="00D4309F">
        <w:rPr>
          <w:color w:val="211E1F"/>
        </w:rPr>
        <w:t>in</w:t>
      </w:r>
      <w:r w:rsidRPr="00D4309F">
        <w:rPr>
          <w:color w:val="211E1F"/>
          <w:spacing w:val="-2"/>
        </w:rPr>
        <w:t xml:space="preserve"> </w:t>
      </w:r>
      <w:hyperlink w:anchor="_bookmark24" w:history="1">
        <w:r w:rsidRPr="00D4309F">
          <w:rPr>
            <w:color w:val="211E1F"/>
          </w:rPr>
          <w:t>Figure</w:t>
        </w:r>
        <w:r w:rsidRPr="00D4309F">
          <w:rPr>
            <w:color w:val="211E1F"/>
            <w:spacing w:val="-2"/>
          </w:rPr>
          <w:t xml:space="preserve"> </w:t>
        </w:r>
        <w:r w:rsidRPr="00D4309F">
          <w:rPr>
            <w:color w:val="211E1F"/>
          </w:rPr>
          <w:t>5-2</w:t>
        </w:r>
      </w:hyperlink>
      <w:r w:rsidRPr="00D4309F">
        <w:rPr>
          <w:color w:val="211E1F"/>
          <w:spacing w:val="-2"/>
        </w:rPr>
        <w:t xml:space="preserve"> </w:t>
      </w:r>
      <w:r w:rsidRPr="00D4309F">
        <w:rPr>
          <w:color w:val="211E1F"/>
        </w:rPr>
        <w:t>(Source:</w:t>
      </w:r>
      <w:r w:rsidRPr="00D4309F">
        <w:rPr>
          <w:color w:val="211E1F"/>
          <w:spacing w:val="-1"/>
        </w:rPr>
        <w:t xml:space="preserve"> </w:t>
      </w:r>
      <w:r w:rsidRPr="00D4309F">
        <w:rPr>
          <w:color w:val="211E1F"/>
        </w:rPr>
        <w:t>KBR,</w:t>
      </w:r>
      <w:r w:rsidRPr="00D4309F">
        <w:rPr>
          <w:color w:val="211E1F"/>
          <w:spacing w:val="-2"/>
        </w:rPr>
        <w:t xml:space="preserve"> 2023)</w:t>
      </w:r>
      <w:bookmarkEnd w:id="65"/>
    </w:p>
    <w:tbl>
      <w:tblPr>
        <w:tblW w:w="0" w:type="auto"/>
        <w:tblLayout w:type="fixed"/>
        <w:tblCellMar>
          <w:left w:w="0" w:type="dxa"/>
          <w:right w:w="0" w:type="dxa"/>
        </w:tblCellMar>
        <w:tblLook w:val="01E0" w:firstRow="1" w:lastRow="1" w:firstColumn="1" w:lastColumn="1" w:noHBand="0" w:noVBand="0"/>
      </w:tblPr>
      <w:tblGrid>
        <w:gridCol w:w="2570"/>
        <w:gridCol w:w="7129"/>
      </w:tblGrid>
      <w:tr w:rsidR="00725977" w:rsidRPr="00D4309F" w14:paraId="40A27068" w14:textId="77777777" w:rsidTr="0045445D">
        <w:trPr>
          <w:trHeight w:val="286"/>
        </w:trPr>
        <w:tc>
          <w:tcPr>
            <w:tcW w:w="2570" w:type="dxa"/>
            <w:tcBorders>
              <w:bottom w:val="single" w:sz="4" w:space="0" w:color="000000"/>
            </w:tcBorders>
            <w:shd w:val="clear" w:color="auto" w:fill="D6D7D5"/>
          </w:tcPr>
          <w:p w14:paraId="1012C958" w14:textId="77777777" w:rsidR="00725977" w:rsidRPr="00D4309F" w:rsidRDefault="00725977" w:rsidP="00283105">
            <w:pPr>
              <w:pStyle w:val="Table-Heading"/>
            </w:pPr>
            <w:r w:rsidRPr="00D4309F">
              <w:t>Mapped</w:t>
            </w:r>
            <w:r w:rsidRPr="00D4309F">
              <w:rPr>
                <w:spacing w:val="-2"/>
              </w:rPr>
              <w:t xml:space="preserve"> </w:t>
            </w:r>
            <w:r w:rsidRPr="00D4309F">
              <w:rPr>
                <w:spacing w:val="-4"/>
              </w:rPr>
              <w:t>area</w:t>
            </w:r>
          </w:p>
        </w:tc>
        <w:tc>
          <w:tcPr>
            <w:tcW w:w="7129" w:type="dxa"/>
            <w:tcBorders>
              <w:bottom w:val="single" w:sz="4" w:space="0" w:color="000000"/>
            </w:tcBorders>
            <w:shd w:val="clear" w:color="auto" w:fill="D6D7D5"/>
          </w:tcPr>
          <w:p w14:paraId="3BC2F0F3" w14:textId="77777777" w:rsidR="00725977" w:rsidRPr="00D4309F" w:rsidRDefault="00725977" w:rsidP="00283105">
            <w:pPr>
              <w:pStyle w:val="Table-Heading"/>
            </w:pPr>
            <w:r w:rsidRPr="00D4309F">
              <w:t>Description</w:t>
            </w:r>
            <w:r w:rsidRPr="00D4309F">
              <w:rPr>
                <w:spacing w:val="-3"/>
              </w:rPr>
              <w:t xml:space="preserve"> </w:t>
            </w:r>
            <w:r w:rsidRPr="00D4309F">
              <w:t>of</w:t>
            </w:r>
            <w:r w:rsidRPr="00D4309F">
              <w:rPr>
                <w:spacing w:val="-3"/>
              </w:rPr>
              <w:t xml:space="preserve"> </w:t>
            </w:r>
            <w:r w:rsidRPr="00D4309F">
              <w:t>marine</w:t>
            </w:r>
            <w:r w:rsidRPr="00D4309F">
              <w:rPr>
                <w:spacing w:val="-3"/>
              </w:rPr>
              <w:t xml:space="preserve"> </w:t>
            </w:r>
            <w:r w:rsidRPr="00D4309F">
              <w:t>plant</w:t>
            </w:r>
            <w:r w:rsidRPr="00D4309F">
              <w:rPr>
                <w:spacing w:val="-3"/>
              </w:rPr>
              <w:t xml:space="preserve"> </w:t>
            </w:r>
            <w:r w:rsidRPr="00D4309F">
              <w:t>and</w:t>
            </w:r>
            <w:r w:rsidRPr="00D4309F">
              <w:rPr>
                <w:spacing w:val="-2"/>
              </w:rPr>
              <w:t xml:space="preserve"> </w:t>
            </w:r>
            <w:r w:rsidRPr="00D4309F">
              <w:t>benthic</w:t>
            </w:r>
            <w:r w:rsidRPr="00D4309F">
              <w:rPr>
                <w:spacing w:val="-3"/>
              </w:rPr>
              <w:t xml:space="preserve"> </w:t>
            </w:r>
            <w:r w:rsidRPr="00D4309F">
              <w:t>habitat</w:t>
            </w:r>
            <w:r w:rsidRPr="00D4309F">
              <w:rPr>
                <w:spacing w:val="-2"/>
              </w:rPr>
              <w:t xml:space="preserve"> characteristics</w:t>
            </w:r>
          </w:p>
        </w:tc>
      </w:tr>
      <w:tr w:rsidR="00725977" w:rsidRPr="00D4309F" w14:paraId="06663935" w14:textId="77777777" w:rsidTr="0045445D">
        <w:trPr>
          <w:trHeight w:val="287"/>
        </w:trPr>
        <w:tc>
          <w:tcPr>
            <w:tcW w:w="2570" w:type="dxa"/>
            <w:tcBorders>
              <w:top w:val="single" w:sz="4" w:space="0" w:color="000000"/>
              <w:bottom w:val="single" w:sz="4" w:space="0" w:color="000000"/>
            </w:tcBorders>
          </w:tcPr>
          <w:p w14:paraId="32BF2AF0" w14:textId="77777777" w:rsidR="00725977" w:rsidRPr="00D4309F" w:rsidRDefault="00725977" w:rsidP="00283105">
            <w:pPr>
              <w:pStyle w:val="Table-Text"/>
            </w:pPr>
            <w:r w:rsidRPr="00D4309F">
              <w:t>Bare</w:t>
            </w:r>
            <w:r w:rsidRPr="00D4309F">
              <w:rPr>
                <w:spacing w:val="-4"/>
              </w:rPr>
              <w:t xml:space="preserve"> </w:t>
            </w:r>
            <w:r w:rsidRPr="00D4309F">
              <w:t>mobile</w:t>
            </w:r>
            <w:r w:rsidRPr="00D4309F">
              <w:rPr>
                <w:spacing w:val="-3"/>
              </w:rPr>
              <w:t xml:space="preserve"> </w:t>
            </w:r>
            <w:r w:rsidRPr="00D4309F">
              <w:rPr>
                <w:spacing w:val="-4"/>
              </w:rPr>
              <w:t>sand</w:t>
            </w:r>
          </w:p>
        </w:tc>
        <w:tc>
          <w:tcPr>
            <w:tcW w:w="7129" w:type="dxa"/>
            <w:tcBorders>
              <w:top w:val="single" w:sz="4" w:space="0" w:color="000000"/>
              <w:bottom w:val="single" w:sz="4" w:space="0" w:color="000000"/>
            </w:tcBorders>
          </w:tcPr>
          <w:p w14:paraId="6ADEF4E7" w14:textId="77777777" w:rsidR="00725977" w:rsidRPr="00D4309F" w:rsidRDefault="00725977" w:rsidP="00283105">
            <w:pPr>
              <w:pStyle w:val="Table-Bullet"/>
            </w:pPr>
            <w:r w:rsidRPr="00D4309F">
              <w:t>Seabed</w:t>
            </w:r>
            <w:r w:rsidRPr="00D4309F">
              <w:rPr>
                <w:spacing w:val="-3"/>
              </w:rPr>
              <w:t xml:space="preserve"> </w:t>
            </w:r>
            <w:r w:rsidRPr="00D4309F">
              <w:t>dominated</w:t>
            </w:r>
            <w:r w:rsidRPr="00D4309F">
              <w:rPr>
                <w:spacing w:val="-3"/>
              </w:rPr>
              <w:t xml:space="preserve"> </w:t>
            </w:r>
            <w:r w:rsidRPr="00D4309F">
              <w:t>by</w:t>
            </w:r>
            <w:r w:rsidRPr="00D4309F">
              <w:rPr>
                <w:spacing w:val="-3"/>
              </w:rPr>
              <w:t xml:space="preserve"> </w:t>
            </w:r>
            <w:r w:rsidRPr="00D4309F">
              <w:t>bare</w:t>
            </w:r>
            <w:r w:rsidRPr="00D4309F">
              <w:rPr>
                <w:spacing w:val="-3"/>
              </w:rPr>
              <w:t xml:space="preserve"> </w:t>
            </w:r>
            <w:r w:rsidRPr="00D4309F">
              <w:t>mobile</w:t>
            </w:r>
            <w:r w:rsidRPr="00D4309F">
              <w:rPr>
                <w:spacing w:val="-3"/>
              </w:rPr>
              <w:t xml:space="preserve"> </w:t>
            </w:r>
            <w:r w:rsidRPr="00D4309F">
              <w:t>sand</w:t>
            </w:r>
            <w:r w:rsidRPr="00D4309F">
              <w:rPr>
                <w:spacing w:val="-3"/>
              </w:rPr>
              <w:t xml:space="preserve"> </w:t>
            </w:r>
            <w:r w:rsidRPr="00D4309F">
              <w:t>(100%</w:t>
            </w:r>
            <w:r w:rsidRPr="00D4309F">
              <w:rPr>
                <w:spacing w:val="-2"/>
              </w:rPr>
              <w:t xml:space="preserve"> </w:t>
            </w:r>
            <w:r w:rsidRPr="00D4309F">
              <w:t>bare</w:t>
            </w:r>
            <w:r w:rsidRPr="00D4309F">
              <w:rPr>
                <w:spacing w:val="-3"/>
              </w:rPr>
              <w:t xml:space="preserve"> </w:t>
            </w:r>
            <w:r w:rsidRPr="00D4309F">
              <w:rPr>
                <w:spacing w:val="-4"/>
              </w:rPr>
              <w:t>sand)</w:t>
            </w:r>
          </w:p>
        </w:tc>
      </w:tr>
      <w:tr w:rsidR="00725977" w:rsidRPr="00D4309F" w14:paraId="2506A619" w14:textId="77777777" w:rsidTr="0045445D">
        <w:trPr>
          <w:trHeight w:val="947"/>
        </w:trPr>
        <w:tc>
          <w:tcPr>
            <w:tcW w:w="2570" w:type="dxa"/>
            <w:tcBorders>
              <w:top w:val="single" w:sz="4" w:space="0" w:color="000000"/>
              <w:bottom w:val="single" w:sz="4" w:space="0" w:color="000000"/>
            </w:tcBorders>
          </w:tcPr>
          <w:p w14:paraId="1AAD6053" w14:textId="77777777" w:rsidR="00725977" w:rsidRPr="00D4309F" w:rsidRDefault="00725977" w:rsidP="00283105">
            <w:pPr>
              <w:pStyle w:val="Table-Text"/>
            </w:pPr>
            <w:r w:rsidRPr="00D4309F">
              <w:t>Rocky</w:t>
            </w:r>
            <w:r w:rsidRPr="00D4309F">
              <w:rPr>
                <w:spacing w:val="-4"/>
              </w:rPr>
              <w:t xml:space="preserve"> </w:t>
            </w:r>
            <w:r w:rsidRPr="00D4309F">
              <w:t>rubble</w:t>
            </w:r>
            <w:r w:rsidRPr="00D4309F">
              <w:rPr>
                <w:spacing w:val="-3"/>
              </w:rPr>
              <w:t xml:space="preserve"> </w:t>
            </w:r>
            <w:r w:rsidRPr="00D4309F">
              <w:t>on</w:t>
            </w:r>
            <w:r w:rsidRPr="00D4309F">
              <w:rPr>
                <w:spacing w:val="-2"/>
              </w:rPr>
              <w:t xml:space="preserve"> </w:t>
            </w:r>
            <w:r w:rsidRPr="00D4309F">
              <w:rPr>
                <w:spacing w:val="-4"/>
              </w:rPr>
              <w:t>sand</w:t>
            </w:r>
          </w:p>
        </w:tc>
        <w:tc>
          <w:tcPr>
            <w:tcW w:w="7129" w:type="dxa"/>
            <w:tcBorders>
              <w:top w:val="single" w:sz="4" w:space="0" w:color="000000"/>
              <w:bottom w:val="single" w:sz="4" w:space="0" w:color="000000"/>
            </w:tcBorders>
          </w:tcPr>
          <w:p w14:paraId="0855213A" w14:textId="77777777" w:rsidR="00725977" w:rsidRPr="00D4309F" w:rsidRDefault="00725977" w:rsidP="00283105">
            <w:pPr>
              <w:pStyle w:val="Table-Bullet"/>
            </w:pPr>
            <w:r w:rsidRPr="00D4309F">
              <w:t>Bare</w:t>
            </w:r>
            <w:r w:rsidRPr="00D4309F">
              <w:rPr>
                <w:spacing w:val="-5"/>
              </w:rPr>
              <w:t xml:space="preserve"> </w:t>
            </w:r>
            <w:r w:rsidRPr="00D4309F">
              <w:t>mobile</w:t>
            </w:r>
            <w:r w:rsidRPr="00D4309F">
              <w:rPr>
                <w:spacing w:val="-5"/>
              </w:rPr>
              <w:t xml:space="preserve"> </w:t>
            </w:r>
            <w:r w:rsidRPr="00D4309F">
              <w:t>sand</w:t>
            </w:r>
            <w:r w:rsidRPr="00D4309F">
              <w:rPr>
                <w:spacing w:val="-5"/>
              </w:rPr>
              <w:t xml:space="preserve"> </w:t>
            </w:r>
            <w:r w:rsidRPr="00D4309F">
              <w:t>with</w:t>
            </w:r>
            <w:r w:rsidRPr="00D4309F">
              <w:rPr>
                <w:spacing w:val="-5"/>
              </w:rPr>
              <w:t xml:space="preserve"> </w:t>
            </w:r>
            <w:r w:rsidRPr="00D4309F">
              <w:t>exposed</w:t>
            </w:r>
            <w:r w:rsidRPr="00D4309F">
              <w:rPr>
                <w:spacing w:val="-5"/>
              </w:rPr>
              <w:t xml:space="preserve"> </w:t>
            </w:r>
            <w:r w:rsidRPr="00D4309F">
              <w:t>patches</w:t>
            </w:r>
            <w:r w:rsidRPr="00D4309F">
              <w:rPr>
                <w:spacing w:val="-3"/>
              </w:rPr>
              <w:t xml:space="preserve"> </w:t>
            </w:r>
            <w:r w:rsidRPr="00D4309F">
              <w:t>of</w:t>
            </w:r>
            <w:r w:rsidRPr="00D4309F">
              <w:rPr>
                <w:spacing w:val="-4"/>
              </w:rPr>
              <w:t xml:space="preserve"> </w:t>
            </w:r>
            <w:r w:rsidRPr="00D4309F">
              <w:t>rocky</w:t>
            </w:r>
            <w:r w:rsidRPr="00D4309F">
              <w:rPr>
                <w:spacing w:val="-4"/>
              </w:rPr>
              <w:t xml:space="preserve"> </w:t>
            </w:r>
            <w:r w:rsidRPr="00D4309F">
              <w:t>rubble</w:t>
            </w:r>
            <w:r w:rsidRPr="00D4309F">
              <w:rPr>
                <w:spacing w:val="-5"/>
              </w:rPr>
              <w:t xml:space="preserve"> </w:t>
            </w:r>
            <w:r w:rsidRPr="00D4309F">
              <w:t>within</w:t>
            </w:r>
            <w:r w:rsidRPr="00D4309F">
              <w:rPr>
                <w:spacing w:val="-4"/>
              </w:rPr>
              <w:t xml:space="preserve"> </w:t>
            </w:r>
            <w:r w:rsidRPr="00D4309F">
              <w:t>subtidal</w:t>
            </w:r>
            <w:r w:rsidRPr="00D4309F">
              <w:rPr>
                <w:spacing w:val="-3"/>
              </w:rPr>
              <w:t xml:space="preserve"> </w:t>
            </w:r>
            <w:r w:rsidRPr="00D4309F">
              <w:t>and intertidal portions of the entrance channel.</w:t>
            </w:r>
          </w:p>
          <w:p w14:paraId="44E87614" w14:textId="77777777" w:rsidR="00725977" w:rsidRPr="00D4309F" w:rsidRDefault="00725977" w:rsidP="00283105">
            <w:pPr>
              <w:pStyle w:val="Table-Bullet"/>
            </w:pPr>
            <w:r w:rsidRPr="00D4309F">
              <w:t>Minimal</w:t>
            </w:r>
            <w:r w:rsidRPr="00D4309F">
              <w:rPr>
                <w:spacing w:val="-4"/>
              </w:rPr>
              <w:t xml:space="preserve"> </w:t>
            </w:r>
            <w:r w:rsidRPr="00D4309F">
              <w:t>benthos</w:t>
            </w:r>
            <w:r w:rsidRPr="00D4309F">
              <w:rPr>
                <w:spacing w:val="-4"/>
              </w:rPr>
              <w:t xml:space="preserve"> </w:t>
            </w:r>
            <w:r w:rsidRPr="00D4309F">
              <w:t>present</w:t>
            </w:r>
            <w:r w:rsidRPr="00D4309F">
              <w:rPr>
                <w:spacing w:val="-4"/>
              </w:rPr>
              <w:t xml:space="preserve"> </w:t>
            </w:r>
            <w:r w:rsidRPr="00D4309F">
              <w:t>with</w:t>
            </w:r>
            <w:r w:rsidRPr="00D4309F">
              <w:rPr>
                <w:spacing w:val="-3"/>
              </w:rPr>
              <w:t xml:space="preserve"> </w:t>
            </w:r>
            <w:r w:rsidRPr="00D4309F">
              <w:t>small</w:t>
            </w:r>
            <w:r w:rsidRPr="00D4309F">
              <w:rPr>
                <w:spacing w:val="-4"/>
              </w:rPr>
              <w:t xml:space="preserve"> </w:t>
            </w:r>
            <w:r w:rsidRPr="00D4309F">
              <w:t>amounts</w:t>
            </w:r>
            <w:r w:rsidRPr="00D4309F">
              <w:rPr>
                <w:spacing w:val="-3"/>
              </w:rPr>
              <w:t xml:space="preserve"> </w:t>
            </w:r>
            <w:r w:rsidRPr="00D4309F">
              <w:t>(&lt;5%</w:t>
            </w:r>
            <w:r w:rsidRPr="00D4309F">
              <w:rPr>
                <w:spacing w:val="-5"/>
              </w:rPr>
              <w:t xml:space="preserve"> </w:t>
            </w:r>
            <w:r w:rsidRPr="00D4309F">
              <w:t>cover)</w:t>
            </w:r>
            <w:r w:rsidRPr="00D4309F">
              <w:rPr>
                <w:spacing w:val="-4"/>
              </w:rPr>
              <w:t xml:space="preserve"> </w:t>
            </w:r>
            <w:r w:rsidRPr="00D4309F">
              <w:t>of</w:t>
            </w:r>
            <w:r w:rsidRPr="00D4309F">
              <w:rPr>
                <w:spacing w:val="-3"/>
              </w:rPr>
              <w:t xml:space="preserve"> </w:t>
            </w:r>
            <w:r w:rsidRPr="00D4309F">
              <w:t>green</w:t>
            </w:r>
            <w:r w:rsidRPr="00D4309F">
              <w:rPr>
                <w:spacing w:val="-5"/>
              </w:rPr>
              <w:t xml:space="preserve"> </w:t>
            </w:r>
            <w:r w:rsidRPr="00D4309F">
              <w:t>algal</w:t>
            </w:r>
            <w:r w:rsidRPr="00D4309F">
              <w:rPr>
                <w:spacing w:val="-4"/>
              </w:rPr>
              <w:t xml:space="preserve"> </w:t>
            </w:r>
            <w:r w:rsidRPr="00D4309F">
              <w:t>turf observed on the intertidal rocky rubble.</w:t>
            </w:r>
          </w:p>
        </w:tc>
      </w:tr>
      <w:tr w:rsidR="00725977" w:rsidRPr="00D4309F" w14:paraId="10F1C91A" w14:textId="77777777" w:rsidTr="0045445D">
        <w:trPr>
          <w:trHeight w:val="494"/>
        </w:trPr>
        <w:tc>
          <w:tcPr>
            <w:tcW w:w="2570" w:type="dxa"/>
            <w:tcBorders>
              <w:top w:val="single" w:sz="4" w:space="0" w:color="000000"/>
              <w:bottom w:val="single" w:sz="4" w:space="0" w:color="000000"/>
            </w:tcBorders>
          </w:tcPr>
          <w:p w14:paraId="0B1ED5D7" w14:textId="77777777" w:rsidR="00725977" w:rsidRPr="00D4309F" w:rsidRDefault="00725977" w:rsidP="00283105">
            <w:pPr>
              <w:pStyle w:val="Table-Text"/>
            </w:pPr>
            <w:r w:rsidRPr="00D4309F">
              <w:t>Breakwater</w:t>
            </w:r>
            <w:r w:rsidRPr="00D4309F">
              <w:rPr>
                <w:spacing w:val="-15"/>
              </w:rPr>
              <w:t xml:space="preserve"> </w:t>
            </w:r>
            <w:r w:rsidRPr="00D4309F">
              <w:t>rock</w:t>
            </w:r>
            <w:r w:rsidRPr="00D4309F">
              <w:rPr>
                <w:spacing w:val="-12"/>
              </w:rPr>
              <w:t xml:space="preserve"> </w:t>
            </w:r>
            <w:r w:rsidRPr="00D4309F">
              <w:t xml:space="preserve">subtidal </w:t>
            </w:r>
            <w:r w:rsidRPr="00D4309F">
              <w:rPr>
                <w:spacing w:val="-4"/>
              </w:rPr>
              <w:t>zone</w:t>
            </w:r>
          </w:p>
        </w:tc>
        <w:tc>
          <w:tcPr>
            <w:tcW w:w="7129" w:type="dxa"/>
            <w:tcBorders>
              <w:top w:val="single" w:sz="4" w:space="0" w:color="000000"/>
              <w:bottom w:val="single" w:sz="4" w:space="0" w:color="000000"/>
            </w:tcBorders>
          </w:tcPr>
          <w:p w14:paraId="38FE5AE5" w14:textId="77777777" w:rsidR="00725977" w:rsidRPr="00D4309F" w:rsidRDefault="00725977" w:rsidP="00283105">
            <w:pPr>
              <w:pStyle w:val="Table-Bullet"/>
            </w:pPr>
            <w:r w:rsidRPr="00D4309F">
              <w:t>Subtidal</w:t>
            </w:r>
            <w:r w:rsidRPr="00D4309F">
              <w:rPr>
                <w:spacing w:val="-5"/>
              </w:rPr>
              <w:t xml:space="preserve"> </w:t>
            </w:r>
            <w:r w:rsidRPr="00D4309F">
              <w:t>breakwater</w:t>
            </w:r>
            <w:r w:rsidRPr="00D4309F">
              <w:rPr>
                <w:spacing w:val="-2"/>
              </w:rPr>
              <w:t xml:space="preserve"> </w:t>
            </w:r>
            <w:r w:rsidRPr="00D4309F">
              <w:t>rock</w:t>
            </w:r>
            <w:r w:rsidRPr="00D4309F">
              <w:rPr>
                <w:spacing w:val="-3"/>
              </w:rPr>
              <w:t xml:space="preserve"> </w:t>
            </w:r>
            <w:r w:rsidRPr="00D4309F">
              <w:t>with</w:t>
            </w:r>
            <w:r w:rsidRPr="00D4309F">
              <w:rPr>
                <w:spacing w:val="-1"/>
              </w:rPr>
              <w:t xml:space="preserve"> </w:t>
            </w:r>
            <w:r w:rsidRPr="00D4309F">
              <w:t>minimal</w:t>
            </w:r>
            <w:r w:rsidRPr="00D4309F">
              <w:rPr>
                <w:spacing w:val="-3"/>
              </w:rPr>
              <w:t xml:space="preserve"> </w:t>
            </w:r>
            <w:r w:rsidRPr="00D4309F">
              <w:t>(5%</w:t>
            </w:r>
            <w:r w:rsidRPr="00D4309F">
              <w:rPr>
                <w:spacing w:val="-3"/>
              </w:rPr>
              <w:t xml:space="preserve"> </w:t>
            </w:r>
            <w:r w:rsidRPr="00D4309F">
              <w:t>cover)</w:t>
            </w:r>
            <w:r w:rsidRPr="00D4309F">
              <w:rPr>
                <w:spacing w:val="-2"/>
              </w:rPr>
              <w:t xml:space="preserve"> </w:t>
            </w:r>
            <w:r w:rsidRPr="00D4309F">
              <w:t>of</w:t>
            </w:r>
            <w:r w:rsidRPr="00D4309F">
              <w:rPr>
                <w:spacing w:val="-3"/>
              </w:rPr>
              <w:t xml:space="preserve"> </w:t>
            </w:r>
            <w:r w:rsidRPr="00D4309F">
              <w:t>benthos</w:t>
            </w:r>
            <w:r w:rsidRPr="00D4309F">
              <w:rPr>
                <w:spacing w:val="-2"/>
              </w:rPr>
              <w:t xml:space="preserve"> </w:t>
            </w:r>
            <w:r w:rsidRPr="00D4309F">
              <w:t>and</w:t>
            </w:r>
            <w:r w:rsidRPr="00D4309F">
              <w:rPr>
                <w:spacing w:val="-3"/>
              </w:rPr>
              <w:t xml:space="preserve"> </w:t>
            </w:r>
            <w:r w:rsidRPr="00D4309F">
              <w:rPr>
                <w:spacing w:val="-2"/>
              </w:rPr>
              <w:t>barnacles</w:t>
            </w:r>
          </w:p>
        </w:tc>
      </w:tr>
      <w:tr w:rsidR="00725977" w:rsidRPr="00D4309F" w14:paraId="47983213" w14:textId="77777777" w:rsidTr="0045445D">
        <w:trPr>
          <w:trHeight w:val="741"/>
        </w:trPr>
        <w:tc>
          <w:tcPr>
            <w:tcW w:w="2570" w:type="dxa"/>
            <w:tcBorders>
              <w:top w:val="single" w:sz="4" w:space="0" w:color="000000"/>
              <w:bottom w:val="single" w:sz="4" w:space="0" w:color="000000"/>
            </w:tcBorders>
          </w:tcPr>
          <w:p w14:paraId="26BCAFFB" w14:textId="77777777" w:rsidR="00725977" w:rsidRPr="00D4309F" w:rsidRDefault="00725977" w:rsidP="00283105">
            <w:pPr>
              <w:pStyle w:val="Table-Text"/>
            </w:pPr>
            <w:r w:rsidRPr="00D4309F">
              <w:t>Breakwater</w:t>
            </w:r>
            <w:r w:rsidRPr="00D4309F">
              <w:rPr>
                <w:spacing w:val="-15"/>
              </w:rPr>
              <w:t xml:space="preserve"> </w:t>
            </w:r>
            <w:r w:rsidRPr="00D4309F">
              <w:t>rock</w:t>
            </w:r>
            <w:r w:rsidRPr="00D4309F">
              <w:rPr>
                <w:spacing w:val="-12"/>
              </w:rPr>
              <w:t xml:space="preserve"> </w:t>
            </w:r>
            <w:r w:rsidRPr="00D4309F">
              <w:t xml:space="preserve">intertidal </w:t>
            </w:r>
            <w:r w:rsidRPr="00D4309F">
              <w:rPr>
                <w:spacing w:val="-4"/>
              </w:rPr>
              <w:t>zone</w:t>
            </w:r>
          </w:p>
        </w:tc>
        <w:tc>
          <w:tcPr>
            <w:tcW w:w="7129" w:type="dxa"/>
            <w:tcBorders>
              <w:top w:val="single" w:sz="4" w:space="0" w:color="000000"/>
              <w:bottom w:val="single" w:sz="4" w:space="0" w:color="000000"/>
            </w:tcBorders>
          </w:tcPr>
          <w:p w14:paraId="2FB7F93D" w14:textId="77777777" w:rsidR="00725977" w:rsidRPr="00D4309F" w:rsidRDefault="00725977" w:rsidP="00283105">
            <w:pPr>
              <w:pStyle w:val="Table-Bullet"/>
            </w:pPr>
            <w:r w:rsidRPr="00D4309F">
              <w:t>Lower</w:t>
            </w:r>
            <w:r w:rsidRPr="00D4309F">
              <w:rPr>
                <w:spacing w:val="-4"/>
              </w:rPr>
              <w:t xml:space="preserve"> </w:t>
            </w:r>
            <w:r w:rsidRPr="00D4309F">
              <w:t>intertidal</w:t>
            </w:r>
            <w:r w:rsidRPr="00D4309F">
              <w:rPr>
                <w:spacing w:val="-3"/>
              </w:rPr>
              <w:t xml:space="preserve"> </w:t>
            </w:r>
            <w:r w:rsidRPr="00D4309F">
              <w:t>breakwater</w:t>
            </w:r>
            <w:r w:rsidRPr="00D4309F">
              <w:rPr>
                <w:spacing w:val="-4"/>
              </w:rPr>
              <w:t xml:space="preserve"> </w:t>
            </w:r>
            <w:r w:rsidRPr="00D4309F">
              <w:t>rock</w:t>
            </w:r>
            <w:r w:rsidRPr="00D4309F">
              <w:rPr>
                <w:spacing w:val="-4"/>
              </w:rPr>
              <w:t xml:space="preserve"> </w:t>
            </w:r>
            <w:r w:rsidRPr="00D4309F">
              <w:t>dominated</w:t>
            </w:r>
            <w:r w:rsidRPr="00D4309F">
              <w:rPr>
                <w:spacing w:val="-5"/>
              </w:rPr>
              <w:t xml:space="preserve"> </w:t>
            </w:r>
            <w:r w:rsidRPr="00D4309F">
              <w:t>by</w:t>
            </w:r>
            <w:r w:rsidRPr="00D4309F">
              <w:rPr>
                <w:spacing w:val="-4"/>
              </w:rPr>
              <w:t xml:space="preserve"> </w:t>
            </w:r>
            <w:r w:rsidRPr="00D4309F">
              <w:t>Cunjevoi,</w:t>
            </w:r>
            <w:r w:rsidRPr="00D4309F">
              <w:rPr>
                <w:spacing w:val="-3"/>
              </w:rPr>
              <w:t xml:space="preserve"> </w:t>
            </w:r>
            <w:r w:rsidRPr="00D4309F">
              <w:t>Coralline</w:t>
            </w:r>
            <w:r w:rsidRPr="00D4309F">
              <w:rPr>
                <w:spacing w:val="-5"/>
              </w:rPr>
              <w:t xml:space="preserve"> </w:t>
            </w:r>
            <w:r w:rsidRPr="00D4309F">
              <w:t>algae</w:t>
            </w:r>
            <w:r w:rsidRPr="00D4309F">
              <w:rPr>
                <w:spacing w:val="-5"/>
              </w:rPr>
              <w:t xml:space="preserve"> </w:t>
            </w:r>
            <w:r w:rsidRPr="00D4309F">
              <w:t>and</w:t>
            </w:r>
            <w:r w:rsidRPr="00D4309F">
              <w:rPr>
                <w:spacing w:val="-5"/>
              </w:rPr>
              <w:t xml:space="preserve"> </w:t>
            </w:r>
            <w:r w:rsidRPr="00D4309F">
              <w:t>Red algae (30% cover)</w:t>
            </w:r>
          </w:p>
          <w:p w14:paraId="3FE176D2" w14:textId="77777777" w:rsidR="00725977" w:rsidRPr="00D4309F" w:rsidRDefault="00725977" w:rsidP="00283105">
            <w:pPr>
              <w:pStyle w:val="Table-Bullet"/>
            </w:pPr>
            <w:r w:rsidRPr="00D4309F">
              <w:t>Upper</w:t>
            </w:r>
            <w:r w:rsidRPr="00D4309F">
              <w:rPr>
                <w:spacing w:val="-3"/>
              </w:rPr>
              <w:t xml:space="preserve"> </w:t>
            </w:r>
            <w:r w:rsidRPr="00D4309F">
              <w:t>intertidal</w:t>
            </w:r>
            <w:r w:rsidRPr="00D4309F">
              <w:rPr>
                <w:spacing w:val="-2"/>
              </w:rPr>
              <w:t xml:space="preserve"> </w:t>
            </w:r>
            <w:r w:rsidRPr="00D4309F">
              <w:t>breakwater</w:t>
            </w:r>
            <w:r w:rsidRPr="00D4309F">
              <w:rPr>
                <w:spacing w:val="-3"/>
              </w:rPr>
              <w:t xml:space="preserve"> </w:t>
            </w:r>
            <w:r w:rsidRPr="00D4309F">
              <w:t>rock</w:t>
            </w:r>
            <w:r w:rsidRPr="00D4309F">
              <w:rPr>
                <w:spacing w:val="-3"/>
              </w:rPr>
              <w:t xml:space="preserve"> </w:t>
            </w:r>
            <w:r w:rsidRPr="00D4309F">
              <w:t>dominated</w:t>
            </w:r>
            <w:r w:rsidRPr="00D4309F">
              <w:rPr>
                <w:spacing w:val="-3"/>
              </w:rPr>
              <w:t xml:space="preserve"> </w:t>
            </w:r>
            <w:r w:rsidRPr="00D4309F">
              <w:t>by</w:t>
            </w:r>
            <w:r w:rsidRPr="00D4309F">
              <w:rPr>
                <w:spacing w:val="-3"/>
              </w:rPr>
              <w:t xml:space="preserve"> </w:t>
            </w:r>
            <w:r w:rsidRPr="00D4309F">
              <w:t>molluscs</w:t>
            </w:r>
            <w:r w:rsidRPr="00D4309F">
              <w:rPr>
                <w:spacing w:val="-3"/>
              </w:rPr>
              <w:t xml:space="preserve"> </w:t>
            </w:r>
            <w:r w:rsidRPr="00D4309F">
              <w:t>(10%</w:t>
            </w:r>
            <w:r w:rsidRPr="00D4309F">
              <w:rPr>
                <w:spacing w:val="-2"/>
              </w:rPr>
              <w:t xml:space="preserve"> cover)</w:t>
            </w:r>
          </w:p>
        </w:tc>
      </w:tr>
      <w:tr w:rsidR="00725977" w:rsidRPr="00D4309F" w14:paraId="2EB31985" w14:textId="77777777" w:rsidTr="0045445D">
        <w:trPr>
          <w:trHeight w:val="494"/>
        </w:trPr>
        <w:tc>
          <w:tcPr>
            <w:tcW w:w="2570" w:type="dxa"/>
            <w:tcBorders>
              <w:top w:val="single" w:sz="4" w:space="0" w:color="000000"/>
              <w:bottom w:val="single" w:sz="4" w:space="0" w:color="000000"/>
            </w:tcBorders>
          </w:tcPr>
          <w:p w14:paraId="34C5F04C" w14:textId="77777777" w:rsidR="00725977" w:rsidRPr="00D4309F" w:rsidRDefault="00725977" w:rsidP="00283105">
            <w:pPr>
              <w:pStyle w:val="Table-Text"/>
            </w:pPr>
            <w:r w:rsidRPr="00D4309F">
              <w:t>Breakwater</w:t>
            </w:r>
            <w:r w:rsidRPr="00D4309F">
              <w:rPr>
                <w:spacing w:val="-15"/>
              </w:rPr>
              <w:t xml:space="preserve"> </w:t>
            </w:r>
            <w:r w:rsidRPr="00D4309F">
              <w:t>rock</w:t>
            </w:r>
            <w:r w:rsidRPr="00D4309F">
              <w:rPr>
                <w:spacing w:val="-12"/>
              </w:rPr>
              <w:t xml:space="preserve"> </w:t>
            </w:r>
            <w:r w:rsidRPr="00D4309F">
              <w:t>intertidal zone entrance channel</w:t>
            </w:r>
          </w:p>
        </w:tc>
        <w:tc>
          <w:tcPr>
            <w:tcW w:w="7129" w:type="dxa"/>
            <w:tcBorders>
              <w:top w:val="single" w:sz="4" w:space="0" w:color="000000"/>
              <w:bottom w:val="single" w:sz="4" w:space="0" w:color="000000"/>
            </w:tcBorders>
          </w:tcPr>
          <w:p w14:paraId="28A074F1" w14:textId="77777777" w:rsidR="00725977" w:rsidRPr="00D4309F" w:rsidRDefault="00725977" w:rsidP="00283105">
            <w:pPr>
              <w:pStyle w:val="Table-Bullet"/>
            </w:pPr>
            <w:r w:rsidRPr="00D4309F">
              <w:t>Rock</w:t>
            </w:r>
            <w:r w:rsidRPr="00D4309F">
              <w:rPr>
                <w:spacing w:val="-3"/>
              </w:rPr>
              <w:t xml:space="preserve"> </w:t>
            </w:r>
            <w:r w:rsidRPr="00D4309F">
              <w:t>along</w:t>
            </w:r>
            <w:r w:rsidRPr="00D4309F">
              <w:rPr>
                <w:spacing w:val="-3"/>
              </w:rPr>
              <w:t xml:space="preserve"> </w:t>
            </w:r>
            <w:r w:rsidRPr="00D4309F">
              <w:t>toe</w:t>
            </w:r>
            <w:r w:rsidRPr="00D4309F">
              <w:rPr>
                <w:spacing w:val="-1"/>
              </w:rPr>
              <w:t xml:space="preserve"> </w:t>
            </w:r>
            <w:r w:rsidRPr="00D4309F">
              <w:t>of</w:t>
            </w:r>
            <w:r w:rsidRPr="00D4309F">
              <w:rPr>
                <w:spacing w:val="-2"/>
              </w:rPr>
              <w:t xml:space="preserve"> </w:t>
            </w:r>
            <w:r w:rsidRPr="00D4309F">
              <w:t>breakwater</w:t>
            </w:r>
            <w:r w:rsidRPr="00D4309F">
              <w:rPr>
                <w:spacing w:val="-1"/>
              </w:rPr>
              <w:t xml:space="preserve"> </w:t>
            </w:r>
            <w:r w:rsidRPr="00D4309F">
              <w:t>with</w:t>
            </w:r>
            <w:r w:rsidRPr="00D4309F">
              <w:rPr>
                <w:spacing w:val="-4"/>
              </w:rPr>
              <w:t xml:space="preserve"> </w:t>
            </w:r>
            <w:r w:rsidRPr="00D4309F">
              <w:t>occasional</w:t>
            </w:r>
            <w:r w:rsidRPr="00D4309F">
              <w:rPr>
                <w:spacing w:val="-1"/>
              </w:rPr>
              <w:t xml:space="preserve"> </w:t>
            </w:r>
            <w:r w:rsidRPr="00D4309F">
              <w:t>green</w:t>
            </w:r>
            <w:r w:rsidRPr="00D4309F">
              <w:rPr>
                <w:spacing w:val="-3"/>
              </w:rPr>
              <w:t xml:space="preserve"> </w:t>
            </w:r>
            <w:r w:rsidRPr="00D4309F">
              <w:t>algal</w:t>
            </w:r>
            <w:r w:rsidRPr="00D4309F">
              <w:rPr>
                <w:spacing w:val="-2"/>
              </w:rPr>
              <w:t xml:space="preserve"> </w:t>
            </w:r>
            <w:r w:rsidRPr="00D4309F">
              <w:t>turf</w:t>
            </w:r>
            <w:r w:rsidRPr="00D4309F">
              <w:rPr>
                <w:spacing w:val="-1"/>
              </w:rPr>
              <w:t xml:space="preserve"> </w:t>
            </w:r>
            <w:r w:rsidRPr="00D4309F">
              <w:t>(&lt;1%</w:t>
            </w:r>
            <w:r w:rsidRPr="00D4309F">
              <w:rPr>
                <w:spacing w:val="-3"/>
              </w:rPr>
              <w:t xml:space="preserve"> </w:t>
            </w:r>
            <w:r w:rsidRPr="00D4309F">
              <w:rPr>
                <w:spacing w:val="-2"/>
              </w:rPr>
              <w:t>cover)</w:t>
            </w:r>
          </w:p>
        </w:tc>
      </w:tr>
      <w:tr w:rsidR="00725977" w:rsidRPr="00D4309F" w14:paraId="1E0B0F7D" w14:textId="77777777" w:rsidTr="0045445D">
        <w:trPr>
          <w:trHeight w:val="493"/>
        </w:trPr>
        <w:tc>
          <w:tcPr>
            <w:tcW w:w="2570" w:type="dxa"/>
            <w:tcBorders>
              <w:top w:val="single" w:sz="4" w:space="0" w:color="000000"/>
              <w:bottom w:val="single" w:sz="4" w:space="0" w:color="000000"/>
            </w:tcBorders>
          </w:tcPr>
          <w:p w14:paraId="27E6C03C" w14:textId="77777777" w:rsidR="00725977" w:rsidRPr="00D4309F" w:rsidRDefault="00725977" w:rsidP="00283105">
            <w:pPr>
              <w:pStyle w:val="Table-Text"/>
            </w:pPr>
            <w:r w:rsidRPr="00D4309F">
              <w:t>Subtidal</w:t>
            </w:r>
            <w:r w:rsidRPr="00D4309F">
              <w:rPr>
                <w:spacing w:val="-5"/>
              </w:rPr>
              <w:t xml:space="preserve"> </w:t>
            </w:r>
            <w:r w:rsidRPr="00D4309F">
              <w:t>rocky</w:t>
            </w:r>
            <w:r w:rsidRPr="00D4309F">
              <w:rPr>
                <w:spacing w:val="-2"/>
              </w:rPr>
              <w:t xml:space="preserve"> </w:t>
            </w:r>
            <w:r w:rsidRPr="00D4309F">
              <w:rPr>
                <w:spacing w:val="-4"/>
              </w:rPr>
              <w:t>reef</w:t>
            </w:r>
          </w:p>
        </w:tc>
        <w:tc>
          <w:tcPr>
            <w:tcW w:w="7129" w:type="dxa"/>
            <w:tcBorders>
              <w:top w:val="single" w:sz="4" w:space="0" w:color="000000"/>
              <w:bottom w:val="single" w:sz="4" w:space="0" w:color="000000"/>
            </w:tcBorders>
          </w:tcPr>
          <w:p w14:paraId="5A698B1F" w14:textId="77777777" w:rsidR="00725977" w:rsidRPr="00D4309F" w:rsidRDefault="00725977" w:rsidP="00283105">
            <w:pPr>
              <w:pStyle w:val="Table-Bullet"/>
            </w:pPr>
            <w:r w:rsidRPr="00D4309F">
              <w:t>Subtidal</w:t>
            </w:r>
            <w:r w:rsidRPr="00D4309F">
              <w:rPr>
                <w:spacing w:val="-4"/>
              </w:rPr>
              <w:t xml:space="preserve"> </w:t>
            </w:r>
            <w:r w:rsidRPr="00D4309F">
              <w:t>exposed</w:t>
            </w:r>
            <w:r w:rsidRPr="00D4309F">
              <w:rPr>
                <w:spacing w:val="-5"/>
              </w:rPr>
              <w:t xml:space="preserve"> </w:t>
            </w:r>
            <w:r w:rsidRPr="00D4309F">
              <w:t>rocky</w:t>
            </w:r>
            <w:r w:rsidRPr="00D4309F">
              <w:rPr>
                <w:spacing w:val="-4"/>
              </w:rPr>
              <w:t xml:space="preserve"> </w:t>
            </w:r>
            <w:r w:rsidRPr="00D4309F">
              <w:t>reef</w:t>
            </w:r>
            <w:r w:rsidRPr="00D4309F">
              <w:rPr>
                <w:spacing w:val="-4"/>
              </w:rPr>
              <w:t xml:space="preserve"> </w:t>
            </w:r>
            <w:r w:rsidRPr="00D4309F">
              <w:t>with</w:t>
            </w:r>
            <w:r w:rsidRPr="00D4309F">
              <w:rPr>
                <w:spacing w:val="-5"/>
              </w:rPr>
              <w:t xml:space="preserve"> </w:t>
            </w:r>
            <w:r w:rsidRPr="00D4309F">
              <w:t>minimal</w:t>
            </w:r>
            <w:r w:rsidRPr="00D4309F">
              <w:rPr>
                <w:spacing w:val="-4"/>
              </w:rPr>
              <w:t xml:space="preserve"> </w:t>
            </w:r>
            <w:r w:rsidRPr="00D4309F">
              <w:t>(10%</w:t>
            </w:r>
            <w:r w:rsidRPr="00D4309F">
              <w:rPr>
                <w:spacing w:val="-5"/>
              </w:rPr>
              <w:t xml:space="preserve"> </w:t>
            </w:r>
            <w:r w:rsidRPr="00D4309F">
              <w:t>cover)</w:t>
            </w:r>
            <w:r w:rsidRPr="00D4309F">
              <w:rPr>
                <w:spacing w:val="-4"/>
              </w:rPr>
              <w:t xml:space="preserve"> </w:t>
            </w:r>
            <w:r w:rsidRPr="00D4309F">
              <w:t>marine</w:t>
            </w:r>
            <w:r w:rsidRPr="00D4309F">
              <w:rPr>
                <w:spacing w:val="-4"/>
              </w:rPr>
              <w:t xml:space="preserve"> </w:t>
            </w:r>
            <w:r w:rsidRPr="00D4309F">
              <w:t>benthos interspersed with mobile bare sands</w:t>
            </w:r>
          </w:p>
        </w:tc>
      </w:tr>
      <w:tr w:rsidR="00725977" w:rsidRPr="00D4309F" w14:paraId="2C7CED5F" w14:textId="77777777" w:rsidTr="0045445D">
        <w:trPr>
          <w:trHeight w:val="1401"/>
        </w:trPr>
        <w:tc>
          <w:tcPr>
            <w:tcW w:w="2570" w:type="dxa"/>
            <w:tcBorders>
              <w:top w:val="single" w:sz="4" w:space="0" w:color="000000"/>
              <w:bottom w:val="single" w:sz="4" w:space="0" w:color="000000"/>
            </w:tcBorders>
          </w:tcPr>
          <w:p w14:paraId="295DDF1E" w14:textId="77777777" w:rsidR="00725977" w:rsidRPr="00D4309F" w:rsidRDefault="00725977" w:rsidP="00283105">
            <w:pPr>
              <w:pStyle w:val="Table-Text"/>
            </w:pPr>
            <w:r w:rsidRPr="00D4309F">
              <w:t>Intertidal</w:t>
            </w:r>
            <w:r w:rsidRPr="00D4309F">
              <w:rPr>
                <w:spacing w:val="-5"/>
              </w:rPr>
              <w:t xml:space="preserve"> </w:t>
            </w:r>
            <w:r w:rsidRPr="00D4309F">
              <w:t>rocky</w:t>
            </w:r>
            <w:r w:rsidRPr="00D4309F">
              <w:rPr>
                <w:spacing w:val="-2"/>
              </w:rPr>
              <w:t xml:space="preserve"> </w:t>
            </w:r>
            <w:r w:rsidRPr="00D4309F">
              <w:rPr>
                <w:spacing w:val="-4"/>
              </w:rPr>
              <w:t>reef</w:t>
            </w:r>
          </w:p>
        </w:tc>
        <w:tc>
          <w:tcPr>
            <w:tcW w:w="7129" w:type="dxa"/>
            <w:tcBorders>
              <w:top w:val="single" w:sz="4" w:space="0" w:color="000000"/>
              <w:bottom w:val="single" w:sz="4" w:space="0" w:color="000000"/>
            </w:tcBorders>
          </w:tcPr>
          <w:p w14:paraId="114537ED" w14:textId="77777777" w:rsidR="00725977" w:rsidRPr="00D4309F" w:rsidRDefault="00725977" w:rsidP="00283105">
            <w:pPr>
              <w:pStyle w:val="Table-Bullet"/>
            </w:pPr>
            <w:r w:rsidRPr="00D4309F">
              <w:t>Intertidal</w:t>
            </w:r>
            <w:r w:rsidRPr="00D4309F">
              <w:rPr>
                <w:spacing w:val="-4"/>
              </w:rPr>
              <w:t xml:space="preserve"> </w:t>
            </w:r>
            <w:r w:rsidRPr="00D4309F">
              <w:t>rocky</w:t>
            </w:r>
            <w:r w:rsidRPr="00D4309F">
              <w:rPr>
                <w:spacing w:val="-3"/>
              </w:rPr>
              <w:t xml:space="preserve"> </w:t>
            </w:r>
            <w:r w:rsidRPr="00D4309F">
              <w:t>reef</w:t>
            </w:r>
            <w:r w:rsidRPr="00D4309F">
              <w:rPr>
                <w:spacing w:val="-4"/>
              </w:rPr>
              <w:t xml:space="preserve"> </w:t>
            </w:r>
            <w:r w:rsidRPr="00D4309F">
              <w:t>which</w:t>
            </w:r>
            <w:r w:rsidRPr="00D4309F">
              <w:rPr>
                <w:spacing w:val="-5"/>
              </w:rPr>
              <w:t xml:space="preserve"> </w:t>
            </w:r>
            <w:r w:rsidRPr="00D4309F">
              <w:t>supports</w:t>
            </w:r>
            <w:r w:rsidRPr="00D4309F">
              <w:rPr>
                <w:spacing w:val="-4"/>
              </w:rPr>
              <w:t xml:space="preserve"> </w:t>
            </w:r>
            <w:r w:rsidRPr="00D4309F">
              <w:t>a</w:t>
            </w:r>
            <w:r w:rsidRPr="00D4309F">
              <w:rPr>
                <w:spacing w:val="-5"/>
              </w:rPr>
              <w:t xml:space="preserve"> </w:t>
            </w:r>
            <w:r w:rsidRPr="00D4309F">
              <w:t>diverse</w:t>
            </w:r>
            <w:r w:rsidRPr="00D4309F">
              <w:rPr>
                <w:spacing w:val="-3"/>
              </w:rPr>
              <w:t xml:space="preserve"> </w:t>
            </w:r>
            <w:r w:rsidRPr="00D4309F">
              <w:t>range</w:t>
            </w:r>
            <w:r w:rsidRPr="00D4309F">
              <w:rPr>
                <w:spacing w:val="-5"/>
              </w:rPr>
              <w:t xml:space="preserve"> </w:t>
            </w:r>
            <w:r w:rsidRPr="00D4309F">
              <w:t>of</w:t>
            </w:r>
            <w:r w:rsidRPr="00D4309F">
              <w:rPr>
                <w:spacing w:val="-4"/>
              </w:rPr>
              <w:t xml:space="preserve"> </w:t>
            </w:r>
            <w:r w:rsidRPr="00D4309F">
              <w:t>marine</w:t>
            </w:r>
            <w:r w:rsidRPr="00D4309F">
              <w:rPr>
                <w:spacing w:val="-5"/>
              </w:rPr>
              <w:t xml:space="preserve"> </w:t>
            </w:r>
            <w:r w:rsidRPr="00D4309F">
              <w:t>species</w:t>
            </w:r>
            <w:r w:rsidRPr="00D4309F">
              <w:rPr>
                <w:spacing w:val="-4"/>
              </w:rPr>
              <w:t xml:space="preserve"> </w:t>
            </w:r>
            <w:r w:rsidRPr="00D4309F">
              <w:t>including macroalgae and seaweeds (30% cover)</w:t>
            </w:r>
          </w:p>
          <w:p w14:paraId="277F3127" w14:textId="77777777" w:rsidR="00725977" w:rsidRPr="00D4309F" w:rsidRDefault="00725977" w:rsidP="00283105">
            <w:pPr>
              <w:pStyle w:val="Table-Bullet"/>
            </w:pPr>
            <w:r w:rsidRPr="00D4309F">
              <w:t>Green</w:t>
            </w:r>
            <w:r w:rsidRPr="00D4309F">
              <w:rPr>
                <w:spacing w:val="-5"/>
              </w:rPr>
              <w:t xml:space="preserve"> </w:t>
            </w:r>
            <w:r w:rsidRPr="00D4309F">
              <w:t>and</w:t>
            </w:r>
            <w:r w:rsidRPr="00D4309F">
              <w:rPr>
                <w:spacing w:val="-5"/>
              </w:rPr>
              <w:t xml:space="preserve"> </w:t>
            </w:r>
            <w:r w:rsidRPr="00D4309F">
              <w:t>red</w:t>
            </w:r>
            <w:r w:rsidRPr="00D4309F">
              <w:rPr>
                <w:spacing w:val="-3"/>
              </w:rPr>
              <w:t xml:space="preserve"> </w:t>
            </w:r>
            <w:r w:rsidRPr="00D4309F">
              <w:t>macroalgae</w:t>
            </w:r>
            <w:r w:rsidRPr="00D4309F">
              <w:rPr>
                <w:spacing w:val="-5"/>
              </w:rPr>
              <w:t xml:space="preserve"> </w:t>
            </w:r>
            <w:r w:rsidRPr="00D4309F">
              <w:t>most</w:t>
            </w:r>
            <w:r w:rsidRPr="00D4309F">
              <w:rPr>
                <w:spacing w:val="-4"/>
              </w:rPr>
              <w:t xml:space="preserve"> </w:t>
            </w:r>
            <w:r w:rsidRPr="00D4309F">
              <w:t>prevalent,</w:t>
            </w:r>
            <w:r w:rsidRPr="00D4309F">
              <w:rPr>
                <w:spacing w:val="-4"/>
              </w:rPr>
              <w:t xml:space="preserve"> </w:t>
            </w:r>
            <w:r w:rsidRPr="00D4309F">
              <w:t>with</w:t>
            </w:r>
            <w:r w:rsidRPr="00D4309F">
              <w:rPr>
                <w:spacing w:val="-5"/>
              </w:rPr>
              <w:t xml:space="preserve"> </w:t>
            </w:r>
            <w:r w:rsidRPr="00D4309F">
              <w:t>Cunjevoi</w:t>
            </w:r>
            <w:r w:rsidRPr="00D4309F">
              <w:rPr>
                <w:spacing w:val="-4"/>
              </w:rPr>
              <w:t xml:space="preserve"> </w:t>
            </w:r>
            <w:r w:rsidRPr="00D4309F">
              <w:t>and</w:t>
            </w:r>
            <w:r w:rsidRPr="00D4309F">
              <w:rPr>
                <w:spacing w:val="-5"/>
              </w:rPr>
              <w:t xml:space="preserve"> </w:t>
            </w:r>
            <w:r w:rsidRPr="00D4309F">
              <w:t>red</w:t>
            </w:r>
            <w:r w:rsidRPr="00D4309F">
              <w:rPr>
                <w:spacing w:val="-5"/>
              </w:rPr>
              <w:t xml:space="preserve"> </w:t>
            </w:r>
            <w:r w:rsidRPr="00D4309F">
              <w:t>macroalgae increasing in density towards the lower intertidal zone</w:t>
            </w:r>
          </w:p>
          <w:p w14:paraId="558D6588" w14:textId="77777777" w:rsidR="00725977" w:rsidRPr="00D4309F" w:rsidRDefault="00725977" w:rsidP="00283105">
            <w:pPr>
              <w:pStyle w:val="Table-Bullet"/>
            </w:pPr>
            <w:r w:rsidRPr="00D4309F">
              <w:t>Other</w:t>
            </w:r>
            <w:r w:rsidRPr="00D4309F">
              <w:rPr>
                <w:spacing w:val="-5"/>
              </w:rPr>
              <w:t xml:space="preserve"> </w:t>
            </w:r>
            <w:r w:rsidRPr="00D4309F">
              <w:t>species</w:t>
            </w:r>
            <w:r w:rsidRPr="00D4309F">
              <w:rPr>
                <w:spacing w:val="-4"/>
              </w:rPr>
              <w:t xml:space="preserve"> </w:t>
            </w:r>
            <w:r w:rsidRPr="00D4309F">
              <w:t>observed</w:t>
            </w:r>
            <w:r w:rsidRPr="00D4309F">
              <w:rPr>
                <w:spacing w:val="-6"/>
              </w:rPr>
              <w:t xml:space="preserve"> </w:t>
            </w:r>
            <w:r w:rsidRPr="00D4309F">
              <w:t>include</w:t>
            </w:r>
            <w:r w:rsidRPr="00D4309F">
              <w:rPr>
                <w:spacing w:val="-6"/>
              </w:rPr>
              <w:t xml:space="preserve"> </w:t>
            </w:r>
            <w:r w:rsidRPr="00D4309F">
              <w:t>soft</w:t>
            </w:r>
            <w:r w:rsidRPr="00D4309F">
              <w:rPr>
                <w:spacing w:val="-5"/>
              </w:rPr>
              <w:t xml:space="preserve"> </w:t>
            </w:r>
            <w:r w:rsidRPr="00D4309F">
              <w:t>coral,</w:t>
            </w:r>
            <w:r w:rsidRPr="00D4309F">
              <w:rPr>
                <w:spacing w:val="-5"/>
              </w:rPr>
              <w:t xml:space="preserve"> </w:t>
            </w:r>
            <w:r w:rsidRPr="00D4309F">
              <w:t>anemones,</w:t>
            </w:r>
            <w:r w:rsidRPr="00D4309F">
              <w:rPr>
                <w:spacing w:val="-5"/>
              </w:rPr>
              <w:t xml:space="preserve"> </w:t>
            </w:r>
            <w:r w:rsidRPr="00D4309F">
              <w:t>sea</w:t>
            </w:r>
            <w:r w:rsidRPr="00D4309F">
              <w:rPr>
                <w:spacing w:val="-4"/>
              </w:rPr>
              <w:t xml:space="preserve"> </w:t>
            </w:r>
            <w:r w:rsidRPr="00D4309F">
              <w:t>cucumbers,</w:t>
            </w:r>
            <w:r w:rsidRPr="00D4309F">
              <w:rPr>
                <w:spacing w:val="-5"/>
              </w:rPr>
              <w:t xml:space="preserve"> </w:t>
            </w:r>
            <w:r w:rsidRPr="00D4309F">
              <w:t>chitons, whelks, periwinkles and sea hares.</w:t>
            </w:r>
          </w:p>
        </w:tc>
      </w:tr>
      <w:tr w:rsidR="00725977" w:rsidRPr="00D4309F" w14:paraId="2A94C3E0" w14:textId="77777777" w:rsidTr="0045445D">
        <w:trPr>
          <w:trHeight w:val="495"/>
        </w:trPr>
        <w:tc>
          <w:tcPr>
            <w:tcW w:w="2570" w:type="dxa"/>
            <w:tcBorders>
              <w:top w:val="single" w:sz="4" w:space="0" w:color="000000"/>
            </w:tcBorders>
          </w:tcPr>
          <w:p w14:paraId="4FAB1C9E" w14:textId="77777777" w:rsidR="00725977" w:rsidRPr="00D4309F" w:rsidRDefault="00725977" w:rsidP="00283105">
            <w:pPr>
              <w:pStyle w:val="Table-Text"/>
            </w:pPr>
            <w:r w:rsidRPr="00D4309F">
              <w:t>Upper</w:t>
            </w:r>
            <w:r w:rsidRPr="00D4309F">
              <w:rPr>
                <w:spacing w:val="-5"/>
              </w:rPr>
              <w:t xml:space="preserve"> </w:t>
            </w:r>
            <w:r w:rsidRPr="00D4309F">
              <w:t>intertidal</w:t>
            </w:r>
            <w:r w:rsidRPr="00D4309F">
              <w:rPr>
                <w:spacing w:val="-3"/>
              </w:rPr>
              <w:t xml:space="preserve"> </w:t>
            </w:r>
            <w:r w:rsidRPr="00D4309F">
              <w:t>rocky</w:t>
            </w:r>
            <w:r w:rsidRPr="00D4309F">
              <w:rPr>
                <w:spacing w:val="-2"/>
              </w:rPr>
              <w:t xml:space="preserve"> </w:t>
            </w:r>
            <w:r w:rsidRPr="00D4309F">
              <w:rPr>
                <w:spacing w:val="-4"/>
              </w:rPr>
              <w:t>reef</w:t>
            </w:r>
          </w:p>
        </w:tc>
        <w:tc>
          <w:tcPr>
            <w:tcW w:w="7129" w:type="dxa"/>
            <w:tcBorders>
              <w:top w:val="single" w:sz="4" w:space="0" w:color="000000"/>
            </w:tcBorders>
          </w:tcPr>
          <w:p w14:paraId="7275C1B2" w14:textId="77777777" w:rsidR="00725977" w:rsidRPr="00D4309F" w:rsidRDefault="00725977" w:rsidP="00283105">
            <w:pPr>
              <w:pStyle w:val="Table-Bullet"/>
            </w:pPr>
            <w:r w:rsidRPr="00D4309F">
              <w:t>Upper</w:t>
            </w:r>
            <w:r w:rsidRPr="00D4309F">
              <w:rPr>
                <w:spacing w:val="-5"/>
              </w:rPr>
              <w:t xml:space="preserve"> </w:t>
            </w:r>
            <w:r w:rsidRPr="00D4309F">
              <w:t>intertidal</w:t>
            </w:r>
            <w:r w:rsidRPr="00D4309F">
              <w:rPr>
                <w:spacing w:val="-4"/>
              </w:rPr>
              <w:t xml:space="preserve"> </w:t>
            </w:r>
            <w:r w:rsidRPr="00D4309F">
              <w:t>rocky</w:t>
            </w:r>
            <w:r w:rsidRPr="00D4309F">
              <w:rPr>
                <w:spacing w:val="-5"/>
              </w:rPr>
              <w:t xml:space="preserve"> </w:t>
            </w:r>
            <w:r w:rsidRPr="00D4309F">
              <w:t>reef</w:t>
            </w:r>
            <w:r w:rsidRPr="00D4309F">
              <w:rPr>
                <w:spacing w:val="-5"/>
              </w:rPr>
              <w:t xml:space="preserve"> </w:t>
            </w:r>
            <w:r w:rsidRPr="00D4309F">
              <w:t>characterised</w:t>
            </w:r>
            <w:r w:rsidRPr="00D4309F">
              <w:rPr>
                <w:spacing w:val="-6"/>
              </w:rPr>
              <w:t xml:space="preserve"> </w:t>
            </w:r>
            <w:r w:rsidRPr="00D4309F">
              <w:t>by</w:t>
            </w:r>
            <w:r w:rsidRPr="00D4309F">
              <w:rPr>
                <w:spacing w:val="-5"/>
              </w:rPr>
              <w:t xml:space="preserve"> </w:t>
            </w:r>
            <w:r w:rsidRPr="00D4309F">
              <w:t>exposed</w:t>
            </w:r>
            <w:r w:rsidRPr="00D4309F">
              <w:rPr>
                <w:spacing w:val="-6"/>
              </w:rPr>
              <w:t xml:space="preserve"> </w:t>
            </w:r>
            <w:r w:rsidRPr="00D4309F">
              <w:t>rock</w:t>
            </w:r>
            <w:r w:rsidRPr="00D4309F">
              <w:rPr>
                <w:spacing w:val="-5"/>
              </w:rPr>
              <w:t xml:space="preserve"> </w:t>
            </w:r>
            <w:r w:rsidRPr="00D4309F">
              <w:t>with green algal turf (10% cover of exposed rock)</w:t>
            </w:r>
          </w:p>
        </w:tc>
      </w:tr>
    </w:tbl>
    <w:p w14:paraId="6760BF52" w14:textId="77777777" w:rsidR="00741F4A" w:rsidRDefault="00725977" w:rsidP="00741F4A">
      <w:pPr>
        <w:pStyle w:val="BodyText"/>
        <w:keepNext/>
        <w:jc w:val="center"/>
      </w:pPr>
      <w:r w:rsidRPr="00D4309F">
        <w:rPr>
          <w:noProof/>
        </w:rPr>
        <w:lastRenderedPageBreak/>
        <w:drawing>
          <wp:inline distT="0" distB="0" distL="0" distR="0" wp14:anchorId="702358F0" wp14:editId="60DC8B3E">
            <wp:extent cx="6163367" cy="4315968"/>
            <wp:effectExtent l="0" t="0" r="0" b="0"/>
            <wp:docPr id="1165806911" name="Image 30" descr="Image is an arial photo of at the Mooloolaba Boat Harbour Entrance, mapping the Benthic habitat around Point Cartwrigh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5806911" name="Image 30" descr="Image is an arial photo of at the Mooloolaba Boat Harbour Entrance, mapping the Benthic habitat around Point Cartwright. "/>
                    <pic:cNvPicPr/>
                  </pic:nvPicPr>
                  <pic:blipFill>
                    <a:blip r:embed="rId48" cstate="print"/>
                    <a:stretch>
                      <a:fillRect/>
                    </a:stretch>
                  </pic:blipFill>
                  <pic:spPr>
                    <a:xfrm>
                      <a:off x="0" y="0"/>
                      <a:ext cx="6163367" cy="4315968"/>
                    </a:xfrm>
                    <a:prstGeom prst="rect">
                      <a:avLst/>
                    </a:prstGeom>
                  </pic:spPr>
                </pic:pic>
              </a:graphicData>
            </a:graphic>
          </wp:inline>
        </w:drawing>
      </w:r>
    </w:p>
    <w:p w14:paraId="1A53BACC" w14:textId="32FE544C" w:rsidR="00725977" w:rsidRPr="00D4309F" w:rsidRDefault="00741F4A" w:rsidP="00741F4A">
      <w:pPr>
        <w:pStyle w:val="Caption"/>
        <w:jc w:val="center"/>
      </w:pPr>
      <w:bookmarkStart w:id="66" w:name="_Toc216699596"/>
      <w:r>
        <w:t xml:space="preserve">Figure </w:t>
      </w:r>
      <w:r w:rsidR="00B538D4">
        <w:fldChar w:fldCharType="begin" w:fldLock="1"/>
      </w:r>
      <w:r w:rsidR="00B538D4">
        <w:instrText xml:space="preserve"> STYLEREF 1 \s </w:instrText>
      </w:r>
      <w:r w:rsidR="00B538D4">
        <w:fldChar w:fldCharType="separate"/>
      </w:r>
      <w:r w:rsidR="00B538D4">
        <w:rPr>
          <w:noProof/>
        </w:rPr>
        <w:t>5</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2</w:t>
      </w:r>
      <w:r w:rsidR="00B538D4">
        <w:fldChar w:fldCharType="end"/>
      </w:r>
      <w:r>
        <w:t>:</w:t>
      </w:r>
      <w:r>
        <w:tab/>
      </w:r>
      <w:r w:rsidRPr="00D4309F">
        <w:t>Benthic</w:t>
      </w:r>
      <w:r w:rsidRPr="00D4309F">
        <w:rPr>
          <w:spacing w:val="-4"/>
        </w:rPr>
        <w:t xml:space="preserve"> </w:t>
      </w:r>
      <w:r w:rsidRPr="00D4309F">
        <w:t>habitat</w:t>
      </w:r>
      <w:r w:rsidRPr="00D4309F">
        <w:rPr>
          <w:spacing w:val="-3"/>
        </w:rPr>
        <w:t xml:space="preserve"> </w:t>
      </w:r>
      <w:r w:rsidRPr="00D4309F">
        <w:t>map</w:t>
      </w:r>
      <w:r w:rsidRPr="00D4309F">
        <w:rPr>
          <w:spacing w:val="-3"/>
        </w:rPr>
        <w:t xml:space="preserve"> </w:t>
      </w:r>
      <w:r w:rsidRPr="00D4309F">
        <w:t>(Source:</w:t>
      </w:r>
      <w:r w:rsidRPr="00D4309F">
        <w:rPr>
          <w:spacing w:val="-3"/>
        </w:rPr>
        <w:t xml:space="preserve"> </w:t>
      </w:r>
      <w:r w:rsidRPr="00D4309F">
        <w:t>KBR,</w:t>
      </w:r>
      <w:r w:rsidRPr="00D4309F">
        <w:rPr>
          <w:spacing w:val="-3"/>
        </w:rPr>
        <w:t xml:space="preserve"> </w:t>
      </w:r>
      <w:r w:rsidRPr="00D4309F">
        <w:rPr>
          <w:spacing w:val="-2"/>
        </w:rPr>
        <w:t>2023)</w:t>
      </w:r>
      <w:bookmarkStart w:id="67" w:name="_bookmark24"/>
      <w:bookmarkEnd w:id="67"/>
      <w:r>
        <w:rPr>
          <w:noProof/>
        </w:rPr>
        <mc:AlternateContent>
          <mc:Choice Requires="wps">
            <w:drawing>
              <wp:anchor distT="0" distB="0" distL="114300" distR="114300" simplePos="0" relativeHeight="251658263" behindDoc="0" locked="0" layoutInCell="1" allowOverlap="1" wp14:anchorId="34D0E90B" wp14:editId="21687521">
                <wp:simplePos x="0" y="0"/>
                <wp:positionH relativeFrom="column">
                  <wp:posOffset>794385</wp:posOffset>
                </wp:positionH>
                <wp:positionV relativeFrom="paragraph">
                  <wp:posOffset>4010660</wp:posOffset>
                </wp:positionV>
                <wp:extent cx="4529455" cy="635"/>
                <wp:effectExtent l="0" t="0" r="0" b="0"/>
                <wp:wrapTopAndBottom/>
                <wp:docPr id="2005975080" name="Text Box 1" descr="P886TB28#y1"/>
                <wp:cNvGraphicFramePr/>
                <a:graphic xmlns:a="http://schemas.openxmlformats.org/drawingml/2006/main">
                  <a:graphicData uri="http://schemas.microsoft.com/office/word/2010/wordprocessingShape">
                    <wps:wsp>
                      <wps:cNvSpPr txBox="1"/>
                      <wps:spPr>
                        <a:xfrm>
                          <a:off x="0" y="0"/>
                          <a:ext cx="4529455" cy="635"/>
                        </a:xfrm>
                        <a:prstGeom prst="rect">
                          <a:avLst/>
                        </a:prstGeom>
                        <a:solidFill>
                          <a:prstClr val="white"/>
                        </a:solidFill>
                        <a:ln>
                          <a:noFill/>
                        </a:ln>
                      </wps:spPr>
                      <wps:txbx>
                        <w:txbxContent>
                          <w:p w14:paraId="67890905" w14:textId="0C734DF8" w:rsidR="00741F4A" w:rsidRPr="00803F25" w:rsidRDefault="00741F4A" w:rsidP="00741F4A">
                            <w:pPr>
                              <w:pStyle w:val="Caption"/>
                              <w:jc w:val="center"/>
                            </w:pPr>
                            <w:bookmarkStart w:id="68" w:name="_Toc216699597"/>
                            <w:r>
                              <w:t xml:space="preserve">Figure </w:t>
                            </w:r>
                            <w:r w:rsidR="00B538D4">
                              <w:fldChar w:fldCharType="begin" w:fldLock="1"/>
                            </w:r>
                            <w:r w:rsidR="00B538D4">
                              <w:instrText xml:space="preserve"> STYLEREF 1 \s </w:instrText>
                            </w:r>
                            <w:r w:rsidR="00B538D4">
                              <w:fldChar w:fldCharType="separate"/>
                            </w:r>
                            <w:r w:rsidR="00B538D4">
                              <w:rPr>
                                <w:noProof/>
                              </w:rPr>
                              <w:t>5</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3</w:t>
                            </w:r>
                            <w:r w:rsidR="00B538D4">
                              <w:fldChar w:fldCharType="end"/>
                            </w:r>
                            <w:r>
                              <w:t>:</w:t>
                            </w:r>
                            <w:r>
                              <w:tab/>
                            </w:r>
                            <w:r w:rsidRPr="00D4309F">
                              <w:t>Bare</w:t>
                            </w:r>
                            <w:r w:rsidRPr="00D4309F">
                              <w:rPr>
                                <w:spacing w:val="-4"/>
                              </w:rPr>
                              <w:t xml:space="preserve"> </w:t>
                            </w:r>
                            <w:r w:rsidRPr="00D4309F">
                              <w:t>mobile</w:t>
                            </w:r>
                            <w:r w:rsidRPr="00D4309F">
                              <w:rPr>
                                <w:spacing w:val="-3"/>
                              </w:rPr>
                              <w:t xml:space="preserve"> </w:t>
                            </w:r>
                            <w:r w:rsidRPr="00D4309F">
                              <w:t>sand</w:t>
                            </w:r>
                            <w:r w:rsidRPr="00D4309F">
                              <w:rPr>
                                <w:spacing w:val="-3"/>
                              </w:rPr>
                              <w:t xml:space="preserve"> </w:t>
                            </w:r>
                            <w:r w:rsidRPr="00D4309F">
                              <w:t>within</w:t>
                            </w:r>
                            <w:r w:rsidRPr="00D4309F">
                              <w:rPr>
                                <w:spacing w:val="-3"/>
                              </w:rPr>
                              <w:t xml:space="preserve"> </w:t>
                            </w:r>
                            <w:r w:rsidRPr="00D4309F">
                              <w:t>subtidal</w:t>
                            </w:r>
                            <w:r w:rsidRPr="00D4309F">
                              <w:rPr>
                                <w:spacing w:val="-3"/>
                              </w:rPr>
                              <w:t xml:space="preserve"> </w:t>
                            </w:r>
                            <w:r w:rsidRPr="00D4309F">
                              <w:t>waters</w:t>
                            </w:r>
                            <w:r w:rsidRPr="00D4309F">
                              <w:rPr>
                                <w:spacing w:val="-4"/>
                              </w:rPr>
                              <w:t xml:space="preserve"> </w:t>
                            </w:r>
                            <w:r w:rsidRPr="00D4309F">
                              <w:t>(Source:</w:t>
                            </w:r>
                            <w:r w:rsidRPr="00D4309F">
                              <w:rPr>
                                <w:spacing w:val="-2"/>
                              </w:rPr>
                              <w:t xml:space="preserve"> </w:t>
                            </w:r>
                            <w:r w:rsidRPr="00D4309F">
                              <w:t>KBR,</w:t>
                            </w:r>
                            <w:r w:rsidRPr="00D4309F">
                              <w:rPr>
                                <w:spacing w:val="-2"/>
                              </w:rPr>
                              <w:t xml:space="preserve"> 2023)</w:t>
                            </w:r>
                            <w:bookmarkEnd w:id="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D0E90B" id="Text Box 1" o:spid="_x0000_s1032" type="#_x0000_t202" alt="P886TB28#y1" style="position:absolute;left:0;text-align:left;margin-left:62.55pt;margin-top:315.8pt;width:356.65pt;height:.05pt;z-index:2516582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" stroked="f">
                <v:textbox style="mso-fit-shape-to-text:t" inset="0,0,0,0">
                  <w:txbxContent>
                    <w:p w14:paraId="67890905" w14:textId="0C734DF8" w:rsidR="00741F4A" w:rsidRPr="00803F25" w:rsidRDefault="00741F4A" w:rsidP="00741F4A">
                      <w:pPr>
                        <w:pStyle w:val="Caption"/>
                        <w:jc w:val="center"/>
                      </w:pPr>
                      <w:bookmarkStart w:id="69" w:name="_Toc216699597"/>
                      <w:r>
                        <w:t xml:space="preserve">Figure </w:t>
                      </w:r>
                      <w:r w:rsidR="00B538D4">
                        <w:fldChar w:fldCharType="begin" w:fldLock="1"/>
                      </w:r>
                      <w:r w:rsidR="00B538D4">
                        <w:instrText xml:space="preserve"> STYLEREF 1 \s </w:instrText>
                      </w:r>
                      <w:r w:rsidR="00B538D4">
                        <w:fldChar w:fldCharType="separate"/>
                      </w:r>
                      <w:r w:rsidR="00B538D4">
                        <w:rPr>
                          <w:noProof/>
                        </w:rPr>
                        <w:t>5</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3</w:t>
                      </w:r>
                      <w:r w:rsidR="00B538D4">
                        <w:fldChar w:fldCharType="end"/>
                      </w:r>
                      <w:r>
                        <w:t>:</w:t>
                      </w:r>
                      <w:r>
                        <w:tab/>
                      </w:r>
                      <w:r w:rsidRPr="00D4309F">
                        <w:t>Bare</w:t>
                      </w:r>
                      <w:r w:rsidRPr="00D4309F">
                        <w:rPr>
                          <w:spacing w:val="-4"/>
                        </w:rPr>
                        <w:t xml:space="preserve"> </w:t>
                      </w:r>
                      <w:r w:rsidRPr="00D4309F">
                        <w:t>mobile</w:t>
                      </w:r>
                      <w:r w:rsidRPr="00D4309F">
                        <w:rPr>
                          <w:spacing w:val="-3"/>
                        </w:rPr>
                        <w:t xml:space="preserve"> </w:t>
                      </w:r>
                      <w:r w:rsidRPr="00D4309F">
                        <w:t>sand</w:t>
                      </w:r>
                      <w:r w:rsidRPr="00D4309F">
                        <w:rPr>
                          <w:spacing w:val="-3"/>
                        </w:rPr>
                        <w:t xml:space="preserve"> </w:t>
                      </w:r>
                      <w:r w:rsidRPr="00D4309F">
                        <w:t>within</w:t>
                      </w:r>
                      <w:r w:rsidRPr="00D4309F">
                        <w:rPr>
                          <w:spacing w:val="-3"/>
                        </w:rPr>
                        <w:t xml:space="preserve"> </w:t>
                      </w:r>
                      <w:r w:rsidRPr="00D4309F">
                        <w:t>subtidal</w:t>
                      </w:r>
                      <w:r w:rsidRPr="00D4309F">
                        <w:rPr>
                          <w:spacing w:val="-3"/>
                        </w:rPr>
                        <w:t xml:space="preserve"> </w:t>
                      </w:r>
                      <w:r w:rsidRPr="00D4309F">
                        <w:t>waters</w:t>
                      </w:r>
                      <w:r w:rsidRPr="00D4309F">
                        <w:rPr>
                          <w:spacing w:val="-4"/>
                        </w:rPr>
                        <w:t xml:space="preserve"> </w:t>
                      </w:r>
                      <w:r w:rsidRPr="00D4309F">
                        <w:t>(Source:</w:t>
                      </w:r>
                      <w:r w:rsidRPr="00D4309F">
                        <w:rPr>
                          <w:spacing w:val="-2"/>
                        </w:rPr>
                        <w:t xml:space="preserve"> </w:t>
                      </w:r>
                      <w:r w:rsidRPr="00D4309F">
                        <w:t>KBR,</w:t>
                      </w:r>
                      <w:r w:rsidRPr="00D4309F">
                        <w:rPr>
                          <w:spacing w:val="-2"/>
                        </w:rPr>
                        <w:t xml:space="preserve"> 2023)</w:t>
                      </w:r>
                      <w:bookmarkEnd w:id="69"/>
                    </w:p>
                  </w:txbxContent>
                </v:textbox>
                <w10:wrap type="topAndBottom"/>
              </v:shape>
            </w:pict>
          </mc:Fallback>
        </mc:AlternateContent>
      </w:r>
      <w:r w:rsidR="00EC018A" w:rsidRPr="00EC018A">
        <w:rPr>
          <w:noProof/>
        </w:rPr>
        <w:drawing>
          <wp:anchor distT="0" distB="0" distL="0" distR="0" simplePos="0" relativeHeight="251658259" behindDoc="1" locked="0" layoutInCell="1" allowOverlap="1" wp14:anchorId="08E947E0" wp14:editId="2BE25184">
            <wp:simplePos x="0" y="0"/>
            <wp:positionH relativeFrom="margin">
              <wp:align>center</wp:align>
            </wp:positionH>
            <wp:positionV relativeFrom="paragraph">
              <wp:posOffset>332823</wp:posOffset>
            </wp:positionV>
            <wp:extent cx="4529462" cy="3621024"/>
            <wp:effectExtent l="0" t="0" r="4445" b="0"/>
            <wp:wrapTopAndBottom/>
            <wp:docPr id="1601853185" name="Image 31" descr="Image of sand at the bottom of the ocean floor, showing bare mobile sand within subtidal water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1853185" name="Image 31" descr="Image of sand at the bottom of the ocean floor, showing bare mobile sand within subtidal waters. "/>
                    <pic:cNvPicPr/>
                  </pic:nvPicPr>
                  <pic:blipFill>
                    <a:blip r:embed="rId49" cstate="print"/>
                    <a:stretch>
                      <a:fillRect/>
                    </a:stretch>
                  </pic:blipFill>
                  <pic:spPr>
                    <a:xfrm>
                      <a:off x="0" y="0"/>
                      <a:ext cx="4529462" cy="3621024"/>
                    </a:xfrm>
                    <a:prstGeom prst="rect">
                      <a:avLst/>
                    </a:prstGeom>
                  </pic:spPr>
                </pic:pic>
              </a:graphicData>
            </a:graphic>
          </wp:anchor>
        </w:drawing>
      </w:r>
      <w:bookmarkEnd w:id="66"/>
    </w:p>
    <w:p w14:paraId="44B7485E" w14:textId="77777777" w:rsidR="00741F4A" w:rsidRDefault="00725977" w:rsidP="00741F4A">
      <w:pPr>
        <w:pStyle w:val="BodyText"/>
        <w:keepNext/>
        <w:jc w:val="center"/>
      </w:pPr>
      <w:bookmarkStart w:id="70" w:name="_bookmark25"/>
      <w:bookmarkEnd w:id="70"/>
      <w:r w:rsidRPr="00D4309F">
        <w:rPr>
          <w:noProof/>
        </w:rPr>
        <w:lastRenderedPageBreak/>
        <w:drawing>
          <wp:inline distT="0" distB="0" distL="0" distR="0" wp14:anchorId="0CEF759E" wp14:editId="6AB3D584">
            <wp:extent cx="4529467" cy="3621024"/>
            <wp:effectExtent l="0" t="0" r="0" b="0"/>
            <wp:docPr id="32" name="Image 32" descr="Image of sand and rock on the seabed floor showing bare mobile sand with exposed subtidal rocky reef within the offshore are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descr="Image of sand and rock on the seabed floor showing bare mobile sand with exposed subtidal rocky reef within the offshore area"/>
                    <pic:cNvPicPr/>
                  </pic:nvPicPr>
                  <pic:blipFill>
                    <a:blip r:embed="rId50" cstate="print"/>
                    <a:stretch>
                      <a:fillRect/>
                    </a:stretch>
                  </pic:blipFill>
                  <pic:spPr>
                    <a:xfrm>
                      <a:off x="0" y="0"/>
                      <a:ext cx="4529467" cy="3621024"/>
                    </a:xfrm>
                    <a:prstGeom prst="rect">
                      <a:avLst/>
                    </a:prstGeom>
                  </pic:spPr>
                </pic:pic>
              </a:graphicData>
            </a:graphic>
          </wp:inline>
        </w:drawing>
      </w:r>
    </w:p>
    <w:p w14:paraId="06E9CE63" w14:textId="4AA6A2B7" w:rsidR="00725977" w:rsidRPr="00D4309F" w:rsidRDefault="00741F4A" w:rsidP="00741F4A">
      <w:pPr>
        <w:pStyle w:val="Caption"/>
        <w:jc w:val="center"/>
      </w:pPr>
      <w:bookmarkStart w:id="71" w:name="_Toc216699598"/>
      <w:r>
        <w:t xml:space="preserve">Figure </w:t>
      </w:r>
      <w:r w:rsidR="00B538D4">
        <w:fldChar w:fldCharType="begin" w:fldLock="1"/>
      </w:r>
      <w:r w:rsidR="00B538D4">
        <w:instrText xml:space="preserve"> STYLEREF 1 \s </w:instrText>
      </w:r>
      <w:r w:rsidR="00B538D4">
        <w:fldChar w:fldCharType="separate"/>
      </w:r>
      <w:r w:rsidR="00B538D4">
        <w:rPr>
          <w:noProof/>
        </w:rPr>
        <w:t>5</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4</w:t>
      </w:r>
      <w:r w:rsidR="00B538D4">
        <w:fldChar w:fldCharType="end"/>
      </w:r>
      <w:r>
        <w:t>:</w:t>
      </w:r>
      <w:r>
        <w:tab/>
      </w:r>
      <w:r w:rsidRPr="00D4309F">
        <w:t>Bare</w:t>
      </w:r>
      <w:r w:rsidRPr="00D4309F">
        <w:rPr>
          <w:spacing w:val="-6"/>
        </w:rPr>
        <w:t xml:space="preserve"> </w:t>
      </w:r>
      <w:r w:rsidRPr="00D4309F">
        <w:t>mobile</w:t>
      </w:r>
      <w:r w:rsidRPr="00D4309F">
        <w:rPr>
          <w:spacing w:val="-3"/>
        </w:rPr>
        <w:t xml:space="preserve"> </w:t>
      </w:r>
      <w:r w:rsidRPr="00D4309F">
        <w:t>sand</w:t>
      </w:r>
      <w:r w:rsidRPr="00D4309F">
        <w:rPr>
          <w:spacing w:val="-3"/>
        </w:rPr>
        <w:t xml:space="preserve"> </w:t>
      </w:r>
      <w:r w:rsidRPr="00D4309F">
        <w:t>with</w:t>
      </w:r>
      <w:r w:rsidRPr="00D4309F">
        <w:rPr>
          <w:spacing w:val="-2"/>
        </w:rPr>
        <w:t xml:space="preserve"> </w:t>
      </w:r>
      <w:r w:rsidRPr="00D4309F">
        <w:t>exposed</w:t>
      </w:r>
      <w:r w:rsidRPr="00D4309F">
        <w:rPr>
          <w:spacing w:val="-2"/>
        </w:rPr>
        <w:t xml:space="preserve"> </w:t>
      </w:r>
      <w:r w:rsidRPr="00D4309F">
        <w:t>subtidal</w:t>
      </w:r>
      <w:r w:rsidRPr="00D4309F">
        <w:rPr>
          <w:spacing w:val="-3"/>
        </w:rPr>
        <w:t xml:space="preserve"> </w:t>
      </w:r>
      <w:r w:rsidRPr="00D4309F">
        <w:t>rocky</w:t>
      </w:r>
      <w:r w:rsidRPr="00D4309F">
        <w:rPr>
          <w:spacing w:val="-3"/>
        </w:rPr>
        <w:t xml:space="preserve"> </w:t>
      </w:r>
      <w:r w:rsidRPr="00D4309F">
        <w:t>reef</w:t>
      </w:r>
      <w:r w:rsidRPr="00D4309F">
        <w:rPr>
          <w:spacing w:val="-2"/>
        </w:rPr>
        <w:t xml:space="preserve"> </w:t>
      </w:r>
      <w:r w:rsidRPr="00D4309F">
        <w:t>within</w:t>
      </w:r>
      <w:r w:rsidRPr="00D4309F">
        <w:rPr>
          <w:spacing w:val="-3"/>
        </w:rPr>
        <w:t xml:space="preserve"> </w:t>
      </w:r>
      <w:r w:rsidRPr="00D4309F">
        <w:t>the</w:t>
      </w:r>
      <w:r w:rsidRPr="00D4309F">
        <w:rPr>
          <w:spacing w:val="-4"/>
        </w:rPr>
        <w:t xml:space="preserve"> </w:t>
      </w:r>
      <w:r w:rsidRPr="00D4309F">
        <w:t>offshore</w:t>
      </w:r>
      <w:r w:rsidRPr="00D4309F">
        <w:rPr>
          <w:spacing w:val="-3"/>
        </w:rPr>
        <w:t xml:space="preserve"> </w:t>
      </w:r>
      <w:r w:rsidRPr="00D4309F">
        <w:t>area</w:t>
      </w:r>
      <w:r w:rsidRPr="00D4309F">
        <w:rPr>
          <w:spacing w:val="-4"/>
        </w:rPr>
        <w:t xml:space="preserve"> </w:t>
      </w:r>
      <w:r w:rsidRPr="00D4309F">
        <w:t>(Source:</w:t>
      </w:r>
      <w:r w:rsidRPr="00D4309F">
        <w:rPr>
          <w:spacing w:val="-2"/>
        </w:rPr>
        <w:t xml:space="preserve"> </w:t>
      </w:r>
      <w:r w:rsidRPr="00D4309F">
        <w:t>KBR,</w:t>
      </w:r>
      <w:r w:rsidRPr="00D4309F">
        <w:rPr>
          <w:spacing w:val="-2"/>
        </w:rPr>
        <w:t xml:space="preserve"> 2023)</w:t>
      </w:r>
      <w:bookmarkEnd w:id="71"/>
    </w:p>
    <w:p w14:paraId="2D250780" w14:textId="42D6D852" w:rsidR="00EC018A" w:rsidRPr="00283105" w:rsidRDefault="00F43A78" w:rsidP="00283105">
      <w:pPr>
        <w:pStyle w:val="Caption"/>
        <w:ind w:left="0" w:firstLine="0"/>
        <w:rPr>
          <w:spacing w:val="-2"/>
        </w:rPr>
      </w:pPr>
      <w:bookmarkStart w:id="72" w:name="_bookmark26"/>
      <w:bookmarkEnd w:id="72"/>
      <w:r>
        <w:rPr>
          <w:noProof/>
        </w:rPr>
        <mc:AlternateContent>
          <mc:Choice Requires="wps">
            <w:drawing>
              <wp:anchor distT="0" distB="0" distL="114300" distR="114300" simplePos="0" relativeHeight="251658264" behindDoc="0" locked="0" layoutInCell="1" allowOverlap="1" wp14:anchorId="4CAEDC80" wp14:editId="30A10755">
                <wp:simplePos x="0" y="0"/>
                <wp:positionH relativeFrom="column">
                  <wp:posOffset>779780</wp:posOffset>
                </wp:positionH>
                <wp:positionV relativeFrom="paragraph">
                  <wp:posOffset>3753485</wp:posOffset>
                </wp:positionV>
                <wp:extent cx="4528820" cy="635"/>
                <wp:effectExtent l="0" t="0" r="0" b="0"/>
                <wp:wrapTopAndBottom/>
                <wp:docPr id="236979252" name="Text Box 1" descr="P889TB29#y1"/>
                <wp:cNvGraphicFramePr/>
                <a:graphic xmlns:a="http://schemas.openxmlformats.org/drawingml/2006/main">
                  <a:graphicData uri="http://schemas.microsoft.com/office/word/2010/wordprocessingShape">
                    <wps:wsp>
                      <wps:cNvSpPr txBox="1"/>
                      <wps:spPr>
                        <a:xfrm>
                          <a:off x="0" y="0"/>
                          <a:ext cx="4528820" cy="635"/>
                        </a:xfrm>
                        <a:prstGeom prst="rect">
                          <a:avLst/>
                        </a:prstGeom>
                        <a:solidFill>
                          <a:prstClr val="white"/>
                        </a:solidFill>
                        <a:ln>
                          <a:noFill/>
                        </a:ln>
                      </wps:spPr>
                      <wps:txbx>
                        <w:txbxContent>
                          <w:p w14:paraId="7D02665B" w14:textId="582D59AB" w:rsidR="00F43A78" w:rsidRPr="00A4434A" w:rsidRDefault="00F43A78" w:rsidP="00A4434A">
                            <w:pPr>
                              <w:pStyle w:val="Caption"/>
                              <w:jc w:val="center"/>
                            </w:pPr>
                            <w:bookmarkStart w:id="73" w:name="_Toc216699599"/>
                            <w:r w:rsidRPr="00A4434A">
                              <w:t xml:space="preserve">Figure </w:t>
                            </w:r>
                            <w:r w:rsidR="00B538D4">
                              <w:fldChar w:fldCharType="begin" w:fldLock="1"/>
                            </w:r>
                            <w:r w:rsidR="00B538D4">
                              <w:instrText xml:space="preserve"> STYLEREF 1 \s </w:instrText>
                            </w:r>
                            <w:r w:rsidR="00B538D4">
                              <w:fldChar w:fldCharType="separate"/>
                            </w:r>
                            <w:r w:rsidR="00B538D4">
                              <w:rPr>
                                <w:noProof/>
                              </w:rPr>
                              <w:t>5</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5</w:t>
                            </w:r>
                            <w:r w:rsidR="00B538D4">
                              <w:fldChar w:fldCharType="end"/>
                            </w:r>
                            <w:r w:rsidRPr="00A4434A">
                              <w:t>:</w:t>
                            </w:r>
                            <w:r w:rsidRPr="00A4434A">
                              <w:tab/>
                              <w:t>Lower intertidal rocky reef with macroalgae (Source: KBR, 2023)</w:t>
                            </w:r>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AEDC80" id="_x0000_s1033" type="#_x0000_t202" alt="P889TB29#y1" style="position:absolute;margin-left:61.4pt;margin-top:295.55pt;width:356.6pt;height:.05pt;z-index:251658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" stroked="f">
                <v:textbox style="mso-fit-shape-to-text:t" inset="0,0,0,0">
                  <w:txbxContent>
                    <w:p w14:paraId="7D02665B" w14:textId="582D59AB" w:rsidR="00F43A78" w:rsidRPr="00A4434A" w:rsidRDefault="00F43A78" w:rsidP="00A4434A">
                      <w:pPr>
                        <w:pStyle w:val="Caption"/>
                        <w:jc w:val="center"/>
                      </w:pPr>
                      <w:bookmarkStart w:id="74" w:name="_Toc216699599"/>
                      <w:r w:rsidRPr="00A4434A">
                        <w:t xml:space="preserve">Figure </w:t>
                      </w:r>
                      <w:r w:rsidR="00B538D4">
                        <w:fldChar w:fldCharType="begin" w:fldLock="1"/>
                      </w:r>
                      <w:r w:rsidR="00B538D4">
                        <w:instrText xml:space="preserve"> STYLEREF 1 \s </w:instrText>
                      </w:r>
                      <w:r w:rsidR="00B538D4">
                        <w:fldChar w:fldCharType="separate"/>
                      </w:r>
                      <w:r w:rsidR="00B538D4">
                        <w:rPr>
                          <w:noProof/>
                        </w:rPr>
                        <w:t>5</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5</w:t>
                      </w:r>
                      <w:r w:rsidR="00B538D4">
                        <w:fldChar w:fldCharType="end"/>
                      </w:r>
                      <w:r w:rsidRPr="00A4434A">
                        <w:t>:</w:t>
                      </w:r>
                      <w:r w:rsidRPr="00A4434A">
                        <w:tab/>
                        <w:t>Lower intertidal rocky reef with macroalgae (Source: KBR, 2023)</w:t>
                      </w:r>
                      <w:bookmarkEnd w:id="74"/>
                    </w:p>
                  </w:txbxContent>
                </v:textbox>
                <w10:wrap type="topAndBottom"/>
              </v:shape>
            </w:pict>
          </mc:Fallback>
        </mc:AlternateContent>
      </w:r>
      <w:r w:rsidR="00725977" w:rsidRPr="00D4309F">
        <w:rPr>
          <w:noProof/>
        </w:rPr>
        <w:drawing>
          <wp:anchor distT="0" distB="0" distL="0" distR="0" simplePos="0" relativeHeight="251658260" behindDoc="1" locked="0" layoutInCell="1" allowOverlap="1" wp14:anchorId="1B1753E5" wp14:editId="419DCCEB">
            <wp:simplePos x="0" y="0"/>
            <wp:positionH relativeFrom="page">
              <wp:posOffset>1500188</wp:posOffset>
            </wp:positionH>
            <wp:positionV relativeFrom="paragraph">
              <wp:posOffset>76086</wp:posOffset>
            </wp:positionV>
            <wp:extent cx="4529313" cy="3621024"/>
            <wp:effectExtent l="0" t="0" r="0" b="0"/>
            <wp:wrapTopAndBottom/>
            <wp:docPr id="33" name="Image 33" descr="Image of coral on the seabed floor showing the lower intertidal rocky reef with macroalga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Image of coral on the seabed floor showing the lower intertidal rocky reef with macroalgae"/>
                    <pic:cNvPicPr/>
                  </pic:nvPicPr>
                  <pic:blipFill>
                    <a:blip r:embed="rId51" cstate="print"/>
                    <a:stretch>
                      <a:fillRect/>
                    </a:stretch>
                  </pic:blipFill>
                  <pic:spPr>
                    <a:xfrm>
                      <a:off x="0" y="0"/>
                      <a:ext cx="4529313" cy="3621024"/>
                    </a:xfrm>
                    <a:prstGeom prst="rect">
                      <a:avLst/>
                    </a:prstGeom>
                  </pic:spPr>
                </pic:pic>
              </a:graphicData>
            </a:graphic>
          </wp:anchor>
        </w:drawing>
      </w:r>
      <w:bookmarkStart w:id="75" w:name="_bookmark27"/>
      <w:bookmarkEnd w:id="75"/>
    </w:p>
    <w:p w14:paraId="7E26E623" w14:textId="77777777" w:rsidR="00725977" w:rsidRPr="00D4309F" w:rsidRDefault="00725977" w:rsidP="00D75AB2">
      <w:pPr>
        <w:pStyle w:val="Heading3"/>
      </w:pPr>
      <w:bookmarkStart w:id="76" w:name="_Toc216699312"/>
      <w:r w:rsidRPr="00D4309F">
        <w:lastRenderedPageBreak/>
        <w:t>Terrestrial</w:t>
      </w:r>
      <w:r w:rsidRPr="00D4309F">
        <w:rPr>
          <w:spacing w:val="-5"/>
        </w:rPr>
        <w:t xml:space="preserve"> </w:t>
      </w:r>
      <w:r w:rsidRPr="00D4309F">
        <w:t>fauna</w:t>
      </w:r>
      <w:r w:rsidRPr="00D4309F">
        <w:rPr>
          <w:spacing w:val="-3"/>
        </w:rPr>
        <w:t xml:space="preserve"> </w:t>
      </w:r>
      <w:r w:rsidRPr="00D4309F">
        <w:t>and</w:t>
      </w:r>
      <w:r w:rsidRPr="00D4309F">
        <w:rPr>
          <w:spacing w:val="-3"/>
        </w:rPr>
        <w:t xml:space="preserve"> </w:t>
      </w:r>
      <w:r w:rsidRPr="00D4309F">
        <w:rPr>
          <w:spacing w:val="-4"/>
        </w:rPr>
        <w:t>flora</w:t>
      </w:r>
      <w:bookmarkEnd w:id="76"/>
    </w:p>
    <w:p w14:paraId="3557B5D7" w14:textId="7B3BCE18" w:rsidR="00725977" w:rsidRDefault="00725977" w:rsidP="00725977">
      <w:pPr>
        <w:pStyle w:val="BodyText"/>
      </w:pPr>
      <w:r w:rsidRPr="00D4309F">
        <w:t>The Point Cartwright Reserve and its immediate surrounds comprise vegetation communities that provide habitat to a range of flora and fauna, some of which is critically endangered and nationally significant (Sunshine Coast Council, 2023a). The terrestrial habitats adjacent to the Mooloolaba Boat Harbour were mapped</w:t>
      </w:r>
      <w:r w:rsidRPr="00D4309F">
        <w:rPr>
          <w:spacing w:val="-3"/>
        </w:rPr>
        <w:t xml:space="preserve"> </w:t>
      </w:r>
      <w:r w:rsidRPr="00D4309F">
        <w:t>in</w:t>
      </w:r>
      <w:r w:rsidRPr="00D4309F">
        <w:rPr>
          <w:spacing w:val="-3"/>
        </w:rPr>
        <w:t xml:space="preserve"> </w:t>
      </w:r>
      <w:r w:rsidRPr="00D4309F">
        <w:t>2023</w:t>
      </w:r>
      <w:r w:rsidRPr="00D4309F">
        <w:rPr>
          <w:spacing w:val="-3"/>
        </w:rPr>
        <w:t xml:space="preserve"> </w:t>
      </w:r>
      <w:r w:rsidRPr="00D4309F">
        <w:t>(</w:t>
      </w:r>
      <w:r w:rsidR="00CE0FD1">
        <w:fldChar w:fldCharType="begin" w:fldLock="1"/>
      </w:r>
      <w:r w:rsidR="00CE0FD1">
        <w:instrText xml:space="preserve"> REF _Ref215979074 \h </w:instrText>
      </w:r>
      <w:r w:rsidR="00CE0FD1">
        <w:fldChar w:fldCharType="separate"/>
      </w:r>
      <w:r w:rsidR="00CE0FD1">
        <w:t xml:space="preserve">Table </w:t>
      </w:r>
      <w:r w:rsidR="00CE0FD1">
        <w:rPr>
          <w:noProof/>
        </w:rPr>
        <w:t>5</w:t>
      </w:r>
      <w:r w:rsidR="00CE0FD1">
        <w:noBreakHyphen/>
      </w:r>
      <w:r w:rsidR="00CE0FD1">
        <w:rPr>
          <w:noProof/>
        </w:rPr>
        <w:t>2</w:t>
      </w:r>
      <w:r w:rsidR="00CE0FD1">
        <w:fldChar w:fldCharType="end"/>
      </w:r>
      <w:r w:rsidR="00CE0FD1">
        <w:t xml:space="preserve">; </w:t>
      </w:r>
      <w:hyperlink w:anchor="_bookmark29" w:history="1">
        <w:r w:rsidRPr="00D4309F">
          <w:t>Figure</w:t>
        </w:r>
        <w:r w:rsidRPr="00D4309F">
          <w:rPr>
            <w:spacing w:val="-3"/>
          </w:rPr>
          <w:t xml:space="preserve"> </w:t>
        </w:r>
        <w:r w:rsidRPr="00D4309F">
          <w:t>5-6;</w:t>
        </w:r>
      </w:hyperlink>
      <w:r w:rsidRPr="00D4309F">
        <w:rPr>
          <w:spacing w:val="-3"/>
        </w:rPr>
        <w:t xml:space="preserve"> </w:t>
      </w:r>
      <w:r w:rsidRPr="00D4309F">
        <w:t>KBR,</w:t>
      </w:r>
      <w:r w:rsidRPr="00D4309F">
        <w:rPr>
          <w:spacing w:val="-3"/>
        </w:rPr>
        <w:t xml:space="preserve"> </w:t>
      </w:r>
      <w:r w:rsidRPr="00D4309F">
        <w:t>2023).</w:t>
      </w:r>
      <w:r w:rsidRPr="00D4309F">
        <w:rPr>
          <w:spacing w:val="-3"/>
        </w:rPr>
        <w:t xml:space="preserve"> </w:t>
      </w:r>
      <w:r w:rsidRPr="00D4309F">
        <w:t>The</w:t>
      </w:r>
      <w:r w:rsidRPr="00D4309F">
        <w:rPr>
          <w:spacing w:val="-3"/>
        </w:rPr>
        <w:t xml:space="preserve"> </w:t>
      </w:r>
      <w:r w:rsidRPr="00D4309F">
        <w:t>main</w:t>
      </w:r>
      <w:r w:rsidRPr="00D4309F">
        <w:rPr>
          <w:spacing w:val="-3"/>
        </w:rPr>
        <w:t xml:space="preserve"> </w:t>
      </w:r>
      <w:r w:rsidRPr="00D4309F">
        <w:t>target</w:t>
      </w:r>
      <w:r w:rsidRPr="00D4309F">
        <w:rPr>
          <w:spacing w:val="-3"/>
        </w:rPr>
        <w:t xml:space="preserve"> </w:t>
      </w:r>
      <w:r w:rsidRPr="00D4309F">
        <w:t>species</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KBR</w:t>
      </w:r>
      <w:r w:rsidRPr="00D4309F">
        <w:rPr>
          <w:spacing w:val="-2"/>
        </w:rPr>
        <w:t xml:space="preserve"> </w:t>
      </w:r>
      <w:r w:rsidRPr="00D4309F">
        <w:t>(2023)</w:t>
      </w:r>
      <w:r w:rsidRPr="00D4309F">
        <w:rPr>
          <w:spacing w:val="-3"/>
        </w:rPr>
        <w:t xml:space="preserve"> </w:t>
      </w:r>
      <w:r w:rsidRPr="00D4309F">
        <w:t>terrestrial</w:t>
      </w:r>
      <w:r w:rsidRPr="00D4309F">
        <w:rPr>
          <w:spacing w:val="-3"/>
        </w:rPr>
        <w:t xml:space="preserve"> </w:t>
      </w:r>
      <w:r w:rsidRPr="00D4309F">
        <w:t xml:space="preserve">vegetation survey was </w:t>
      </w:r>
      <w:r w:rsidRPr="00D4309F">
        <w:rPr>
          <w:i/>
        </w:rPr>
        <w:t>Acronychia littoralis</w:t>
      </w:r>
      <w:r w:rsidRPr="00D4309F">
        <w:t xml:space="preserve">, however the </w:t>
      </w:r>
      <w:r w:rsidRPr="00D4309F">
        <w:rPr>
          <w:i/>
        </w:rPr>
        <w:t xml:space="preserve">Acronychia </w:t>
      </w:r>
      <w:r w:rsidRPr="00D4309F">
        <w:t xml:space="preserve">species observed on site was </w:t>
      </w:r>
      <w:r w:rsidRPr="00D4309F">
        <w:rPr>
          <w:i/>
        </w:rPr>
        <w:t>Acronychia imperforata</w:t>
      </w:r>
      <w:r w:rsidRPr="00D4309F">
        <w:rPr>
          <w:i/>
          <w:spacing w:val="-3"/>
        </w:rPr>
        <w:t xml:space="preserve"> </w:t>
      </w:r>
      <w:r w:rsidRPr="00D4309F">
        <w:t>(listed</w:t>
      </w:r>
      <w:r w:rsidRPr="00D4309F">
        <w:rPr>
          <w:spacing w:val="-3"/>
        </w:rPr>
        <w:t xml:space="preserve"> </w:t>
      </w:r>
      <w:r w:rsidRPr="00D4309F">
        <w:t>by</w:t>
      </w:r>
      <w:r w:rsidRPr="00D4309F">
        <w:rPr>
          <w:spacing w:val="-2"/>
        </w:rPr>
        <w:t xml:space="preserve"> </w:t>
      </w:r>
      <w:r w:rsidRPr="00D4309F">
        <w:t>Department</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Environment,</w:t>
      </w:r>
      <w:r w:rsidRPr="00D4309F">
        <w:rPr>
          <w:spacing w:val="-3"/>
        </w:rPr>
        <w:t xml:space="preserve"> </w:t>
      </w:r>
      <w:r w:rsidRPr="00D4309F">
        <w:t>Tourism,</w:t>
      </w:r>
      <w:r w:rsidRPr="00D4309F">
        <w:rPr>
          <w:spacing w:val="-3"/>
        </w:rPr>
        <w:t xml:space="preserve"> </w:t>
      </w:r>
      <w:r w:rsidRPr="00D4309F">
        <w:t>Science</w:t>
      </w:r>
      <w:r w:rsidRPr="00D4309F">
        <w:rPr>
          <w:spacing w:val="-3"/>
        </w:rPr>
        <w:t xml:space="preserve"> </w:t>
      </w:r>
      <w:r w:rsidRPr="00D4309F">
        <w:t>and</w:t>
      </w:r>
      <w:r w:rsidRPr="00D4309F">
        <w:rPr>
          <w:spacing w:val="-3"/>
        </w:rPr>
        <w:t xml:space="preserve"> </w:t>
      </w:r>
      <w:r w:rsidRPr="00D4309F">
        <w:t>Innovation</w:t>
      </w:r>
      <w:r w:rsidRPr="00D4309F">
        <w:rPr>
          <w:spacing w:val="-4"/>
        </w:rPr>
        <w:t xml:space="preserve"> </w:t>
      </w:r>
      <w:r w:rsidRPr="00D4309F">
        <w:t>as</w:t>
      </w:r>
      <w:r w:rsidRPr="00D4309F">
        <w:rPr>
          <w:spacing w:val="-3"/>
        </w:rPr>
        <w:t xml:space="preserve"> </w:t>
      </w:r>
      <w:r w:rsidRPr="00D4309F">
        <w:t>Common).</w:t>
      </w:r>
    </w:p>
    <w:p w14:paraId="56AF0D06" w14:textId="7C79B561" w:rsidR="00F06E88" w:rsidRPr="00D4309F" w:rsidRDefault="00F06E88" w:rsidP="00725977">
      <w:pPr>
        <w:pStyle w:val="BodyText"/>
      </w:pPr>
    </w:p>
    <w:p w14:paraId="7842D14A" w14:textId="6125973A" w:rsidR="00F36D67" w:rsidRPr="00F36D67" w:rsidRDefault="00F36D67" w:rsidP="00151534">
      <w:pPr>
        <w:pStyle w:val="Table-Caption"/>
      </w:pPr>
      <w:bookmarkStart w:id="77" w:name="_bookmark28"/>
      <w:bookmarkStart w:id="78" w:name="_Ref215979074"/>
      <w:bookmarkStart w:id="79" w:name="_Toc216699535"/>
      <w:bookmarkEnd w:id="77"/>
      <w:r>
        <w:t xml:space="preserve">Table </w:t>
      </w:r>
      <w:r w:rsidR="00151534">
        <w:fldChar w:fldCharType="begin" w:fldLock="1"/>
      </w:r>
      <w:r w:rsidR="00151534">
        <w:instrText xml:space="preserve"> STYLEREF 1 \s </w:instrText>
      </w:r>
      <w:r w:rsidR="00151534">
        <w:fldChar w:fldCharType="separate"/>
      </w:r>
      <w:r w:rsidR="00151534">
        <w:rPr>
          <w:noProof/>
        </w:rPr>
        <w:t>5</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2</w:t>
      </w:r>
      <w:r w:rsidR="00151534">
        <w:fldChar w:fldCharType="end"/>
      </w:r>
      <w:bookmarkEnd w:id="78"/>
      <w:r>
        <w:t>:</w:t>
      </w:r>
      <w:r>
        <w:tab/>
      </w:r>
      <w:r w:rsidRPr="00F43A78">
        <w:t xml:space="preserve">Summary of terrestrial fauna habitats mapped in </w:t>
      </w:r>
      <w:hyperlink w:anchor="_bookmark29" w:history="1">
        <w:r w:rsidRPr="00F43A78">
          <w:t>Figure 5-6</w:t>
        </w:r>
      </w:hyperlink>
      <w:r w:rsidRPr="00F43A78">
        <w:t xml:space="preserve"> (Source: KBR, 2023)</w:t>
      </w:r>
      <w:bookmarkEnd w:id="79"/>
    </w:p>
    <w:tbl>
      <w:tblPr>
        <w:tblW w:w="5000" w:type="pct"/>
        <w:tblCellMar>
          <w:left w:w="0" w:type="dxa"/>
          <w:right w:w="0" w:type="dxa"/>
        </w:tblCellMar>
        <w:tblLook w:val="01E0" w:firstRow="1" w:lastRow="1" w:firstColumn="1" w:lastColumn="1" w:noHBand="0" w:noVBand="0"/>
      </w:tblPr>
      <w:tblGrid>
        <w:gridCol w:w="2694"/>
        <w:gridCol w:w="6948"/>
      </w:tblGrid>
      <w:tr w:rsidR="00725977" w:rsidRPr="00D4309F" w14:paraId="251E6592" w14:textId="77777777" w:rsidTr="00D75AB2">
        <w:trPr>
          <w:trHeight w:val="286"/>
        </w:trPr>
        <w:tc>
          <w:tcPr>
            <w:tcW w:w="1397" w:type="pct"/>
            <w:tcBorders>
              <w:bottom w:val="single" w:sz="4" w:space="0" w:color="000000"/>
            </w:tcBorders>
            <w:shd w:val="clear" w:color="auto" w:fill="D6D7D5"/>
          </w:tcPr>
          <w:p w14:paraId="57AE69EE" w14:textId="77777777" w:rsidR="00725977" w:rsidRPr="00D4309F" w:rsidRDefault="00725977" w:rsidP="00D75AB2">
            <w:pPr>
              <w:pStyle w:val="Table-Heading"/>
            </w:pPr>
            <w:r w:rsidRPr="00D4309F">
              <w:t>Mapped</w:t>
            </w:r>
            <w:r w:rsidRPr="00D4309F">
              <w:rPr>
                <w:spacing w:val="-2"/>
              </w:rPr>
              <w:t xml:space="preserve"> </w:t>
            </w:r>
            <w:r w:rsidRPr="00D4309F">
              <w:rPr>
                <w:spacing w:val="-4"/>
              </w:rPr>
              <w:t>area</w:t>
            </w:r>
          </w:p>
        </w:tc>
        <w:tc>
          <w:tcPr>
            <w:tcW w:w="3603" w:type="pct"/>
            <w:tcBorders>
              <w:bottom w:val="single" w:sz="4" w:space="0" w:color="000000"/>
            </w:tcBorders>
            <w:shd w:val="clear" w:color="auto" w:fill="D6D7D5"/>
          </w:tcPr>
          <w:p w14:paraId="5922BFA1" w14:textId="77777777" w:rsidR="00725977" w:rsidRPr="00D4309F" w:rsidRDefault="00725977" w:rsidP="00D75AB2">
            <w:pPr>
              <w:pStyle w:val="Table-Heading"/>
            </w:pPr>
            <w:r w:rsidRPr="00D4309F">
              <w:t>Description</w:t>
            </w:r>
            <w:r w:rsidRPr="00D4309F">
              <w:rPr>
                <w:spacing w:val="-4"/>
              </w:rPr>
              <w:t xml:space="preserve"> </w:t>
            </w:r>
            <w:r w:rsidRPr="00D4309F">
              <w:t>of</w:t>
            </w:r>
            <w:r w:rsidRPr="00D4309F">
              <w:rPr>
                <w:spacing w:val="-4"/>
              </w:rPr>
              <w:t xml:space="preserve"> </w:t>
            </w:r>
            <w:r w:rsidRPr="00D4309F">
              <w:t>terrestrial</w:t>
            </w:r>
            <w:r w:rsidRPr="00D4309F">
              <w:rPr>
                <w:spacing w:val="-3"/>
              </w:rPr>
              <w:t xml:space="preserve"> </w:t>
            </w:r>
            <w:r w:rsidRPr="00D4309F">
              <w:t>plant</w:t>
            </w:r>
            <w:r w:rsidRPr="00D4309F">
              <w:rPr>
                <w:spacing w:val="-2"/>
              </w:rPr>
              <w:t xml:space="preserve"> characteristics</w:t>
            </w:r>
          </w:p>
        </w:tc>
      </w:tr>
      <w:tr w:rsidR="00725977" w:rsidRPr="00D4309F" w14:paraId="3347D6DE" w14:textId="77777777" w:rsidTr="00D75AB2">
        <w:trPr>
          <w:trHeight w:val="1362"/>
        </w:trPr>
        <w:tc>
          <w:tcPr>
            <w:tcW w:w="1397" w:type="pct"/>
            <w:tcBorders>
              <w:top w:val="single" w:sz="4" w:space="0" w:color="000000"/>
              <w:bottom w:val="single" w:sz="4" w:space="0" w:color="000000"/>
            </w:tcBorders>
          </w:tcPr>
          <w:p w14:paraId="1A2B62F7" w14:textId="77777777" w:rsidR="00725977" w:rsidRPr="00D4309F" w:rsidRDefault="00725977" w:rsidP="00D75AB2">
            <w:pPr>
              <w:pStyle w:val="Table-Text"/>
            </w:pPr>
            <w:r w:rsidRPr="00D4309F">
              <w:t>Coastal spinifex (</w:t>
            </w:r>
            <w:r w:rsidRPr="00D4309F">
              <w:rPr>
                <w:i/>
              </w:rPr>
              <w:t>Spinifex sericeus</w:t>
            </w:r>
            <w:r w:rsidRPr="00D4309F">
              <w:t>)</w:t>
            </w:r>
            <w:r w:rsidRPr="00D4309F">
              <w:rPr>
                <w:spacing w:val="-8"/>
              </w:rPr>
              <w:t xml:space="preserve"> </w:t>
            </w:r>
            <w:r w:rsidRPr="00D4309F">
              <w:t>with</w:t>
            </w:r>
            <w:r w:rsidRPr="00D4309F">
              <w:rPr>
                <w:spacing w:val="-7"/>
              </w:rPr>
              <w:t xml:space="preserve"> </w:t>
            </w:r>
            <w:r w:rsidRPr="00D4309F">
              <w:t>a</w:t>
            </w:r>
            <w:r w:rsidRPr="00D4309F">
              <w:rPr>
                <w:spacing w:val="-9"/>
              </w:rPr>
              <w:t xml:space="preserve"> </w:t>
            </w:r>
            <w:r w:rsidRPr="00D4309F">
              <w:t>mix</w:t>
            </w:r>
            <w:r w:rsidRPr="00D4309F">
              <w:rPr>
                <w:spacing w:val="-8"/>
              </w:rPr>
              <w:t xml:space="preserve"> </w:t>
            </w:r>
            <w:r w:rsidRPr="00D4309F">
              <w:t>of</w:t>
            </w:r>
            <w:r w:rsidRPr="00D4309F">
              <w:rPr>
                <w:spacing w:val="-8"/>
              </w:rPr>
              <w:t xml:space="preserve"> </w:t>
            </w:r>
            <w:r w:rsidRPr="00D4309F">
              <w:t>ground cover species</w:t>
            </w:r>
          </w:p>
        </w:tc>
        <w:tc>
          <w:tcPr>
            <w:tcW w:w="3603" w:type="pct"/>
            <w:tcBorders>
              <w:top w:val="single" w:sz="4" w:space="0" w:color="000000"/>
              <w:bottom w:val="single" w:sz="4" w:space="0" w:color="000000"/>
            </w:tcBorders>
          </w:tcPr>
          <w:p w14:paraId="0D8057CE" w14:textId="77777777" w:rsidR="00725977" w:rsidRPr="00D4309F" w:rsidRDefault="00725977" w:rsidP="00D75AB2">
            <w:pPr>
              <w:pStyle w:val="Table-Text"/>
            </w:pPr>
            <w:r w:rsidRPr="00D4309F">
              <w:t>Small</w:t>
            </w:r>
            <w:r w:rsidRPr="00D4309F">
              <w:rPr>
                <w:spacing w:val="-4"/>
              </w:rPr>
              <w:t xml:space="preserve"> </w:t>
            </w:r>
            <w:r w:rsidRPr="00D4309F">
              <w:t>patches</w:t>
            </w:r>
            <w:r w:rsidRPr="00D4309F">
              <w:rPr>
                <w:spacing w:val="-3"/>
              </w:rPr>
              <w:t xml:space="preserve"> </w:t>
            </w:r>
            <w:r w:rsidRPr="00D4309F">
              <w:t>of</w:t>
            </w:r>
            <w:r w:rsidRPr="00D4309F">
              <w:rPr>
                <w:spacing w:val="-4"/>
              </w:rPr>
              <w:t xml:space="preserve"> </w:t>
            </w:r>
            <w:r w:rsidRPr="00D4309F">
              <w:t>Coastal</w:t>
            </w:r>
            <w:r w:rsidRPr="00D4309F">
              <w:rPr>
                <w:spacing w:val="-4"/>
              </w:rPr>
              <w:t xml:space="preserve"> </w:t>
            </w:r>
            <w:r w:rsidRPr="00D4309F">
              <w:t>Spinifex</w:t>
            </w:r>
            <w:r w:rsidRPr="00D4309F">
              <w:rPr>
                <w:spacing w:val="-4"/>
              </w:rPr>
              <w:t xml:space="preserve"> </w:t>
            </w:r>
            <w:r w:rsidRPr="00D4309F">
              <w:t>(</w:t>
            </w:r>
            <w:r w:rsidRPr="00D4309F">
              <w:rPr>
                <w:i/>
              </w:rPr>
              <w:t>Spinifex</w:t>
            </w:r>
            <w:r w:rsidRPr="00D4309F">
              <w:rPr>
                <w:i/>
                <w:spacing w:val="-4"/>
              </w:rPr>
              <w:t xml:space="preserve"> </w:t>
            </w:r>
            <w:r w:rsidRPr="00D4309F">
              <w:rPr>
                <w:i/>
              </w:rPr>
              <w:t>sericeus</w:t>
            </w:r>
            <w:r w:rsidRPr="00D4309F">
              <w:t>)</w:t>
            </w:r>
            <w:r w:rsidRPr="00D4309F">
              <w:rPr>
                <w:spacing w:val="-4"/>
              </w:rPr>
              <w:t xml:space="preserve"> </w:t>
            </w:r>
            <w:r w:rsidRPr="00D4309F">
              <w:t>within</w:t>
            </w:r>
            <w:r w:rsidRPr="00D4309F">
              <w:rPr>
                <w:spacing w:val="-5"/>
              </w:rPr>
              <w:t xml:space="preserve"> </w:t>
            </w:r>
            <w:r w:rsidRPr="00D4309F">
              <w:t>close</w:t>
            </w:r>
            <w:r w:rsidRPr="00D4309F">
              <w:rPr>
                <w:spacing w:val="-5"/>
              </w:rPr>
              <w:t xml:space="preserve"> </w:t>
            </w:r>
            <w:r w:rsidRPr="00D4309F">
              <w:t>proximity</w:t>
            </w:r>
            <w:r w:rsidRPr="00D4309F">
              <w:rPr>
                <w:spacing w:val="-3"/>
              </w:rPr>
              <w:t xml:space="preserve"> </w:t>
            </w:r>
            <w:r w:rsidRPr="00D4309F">
              <w:t>to</w:t>
            </w:r>
            <w:r w:rsidRPr="00D4309F">
              <w:rPr>
                <w:spacing w:val="-5"/>
              </w:rPr>
              <w:t xml:space="preserve"> </w:t>
            </w:r>
            <w:r w:rsidRPr="00D4309F">
              <w:t>the breakwater. Made up of approx. 90% Coastal Spinifex, 5% Dune Bean (</w:t>
            </w:r>
            <w:r w:rsidRPr="00D4309F">
              <w:rPr>
                <w:i/>
              </w:rPr>
              <w:t xml:space="preserve">Vigna marina), </w:t>
            </w:r>
            <w:r w:rsidRPr="00D4309F">
              <w:t>2% American sea-rocket (</w:t>
            </w:r>
            <w:r w:rsidRPr="00D4309F">
              <w:rPr>
                <w:i/>
              </w:rPr>
              <w:t>Cakile edentula</w:t>
            </w:r>
            <w:r w:rsidRPr="00D4309F">
              <w:t>). with the remainder as disturbance and Cobblers Pegs (</w:t>
            </w:r>
            <w:r w:rsidRPr="00D4309F">
              <w:rPr>
                <w:i/>
              </w:rPr>
              <w:t>Bidens Pilosa</w:t>
            </w:r>
            <w:r w:rsidRPr="00D4309F">
              <w:t>).</w:t>
            </w:r>
          </w:p>
          <w:p w14:paraId="0FB5248C" w14:textId="77777777" w:rsidR="00725977" w:rsidRPr="00D4309F" w:rsidRDefault="00725977" w:rsidP="00D75AB2">
            <w:pPr>
              <w:pStyle w:val="Table-Text"/>
            </w:pPr>
            <w:r w:rsidRPr="00D4309F">
              <w:t>Approximately</w:t>
            </w:r>
            <w:r w:rsidRPr="00D4309F">
              <w:rPr>
                <w:spacing w:val="-4"/>
              </w:rPr>
              <w:t xml:space="preserve"> </w:t>
            </w:r>
            <w:r w:rsidRPr="00D4309F">
              <w:t>3</w:t>
            </w:r>
            <w:r w:rsidRPr="00D4309F">
              <w:rPr>
                <w:spacing w:val="-5"/>
              </w:rPr>
              <w:t xml:space="preserve"> </w:t>
            </w:r>
            <w:r w:rsidRPr="00D4309F">
              <w:t>m</w:t>
            </w:r>
            <w:r w:rsidRPr="00D4309F">
              <w:rPr>
                <w:spacing w:val="-5"/>
              </w:rPr>
              <w:t xml:space="preserve"> </w:t>
            </w:r>
            <w:r w:rsidRPr="00D4309F">
              <w:t>strip</w:t>
            </w:r>
            <w:r w:rsidRPr="00D4309F">
              <w:rPr>
                <w:spacing w:val="-6"/>
              </w:rPr>
              <w:t xml:space="preserve"> </w:t>
            </w:r>
            <w:r w:rsidRPr="00D4309F">
              <w:t>of</w:t>
            </w:r>
            <w:r w:rsidRPr="00D4309F">
              <w:rPr>
                <w:spacing w:val="-5"/>
              </w:rPr>
              <w:t xml:space="preserve"> </w:t>
            </w:r>
            <w:r w:rsidRPr="00D4309F">
              <w:t>100%</w:t>
            </w:r>
            <w:r w:rsidRPr="00D4309F">
              <w:rPr>
                <w:spacing w:val="-6"/>
              </w:rPr>
              <w:t xml:space="preserve"> </w:t>
            </w:r>
            <w:r w:rsidRPr="00D4309F">
              <w:t>Coastal</w:t>
            </w:r>
            <w:r w:rsidRPr="00D4309F">
              <w:rPr>
                <w:spacing w:val="-5"/>
              </w:rPr>
              <w:t xml:space="preserve"> </w:t>
            </w:r>
            <w:r w:rsidRPr="00D4309F">
              <w:t>Spinifex</w:t>
            </w:r>
            <w:r w:rsidRPr="00D4309F">
              <w:rPr>
                <w:spacing w:val="-5"/>
              </w:rPr>
              <w:t xml:space="preserve"> </w:t>
            </w:r>
            <w:r w:rsidRPr="00D4309F">
              <w:t>(</w:t>
            </w:r>
            <w:r w:rsidRPr="00D4309F">
              <w:rPr>
                <w:i/>
              </w:rPr>
              <w:t>Spinifex</w:t>
            </w:r>
            <w:r w:rsidRPr="00D4309F">
              <w:rPr>
                <w:i/>
                <w:spacing w:val="-4"/>
              </w:rPr>
              <w:t xml:space="preserve"> </w:t>
            </w:r>
            <w:r w:rsidRPr="00D4309F">
              <w:rPr>
                <w:i/>
              </w:rPr>
              <w:t>sericeus</w:t>
            </w:r>
            <w:r w:rsidRPr="00D4309F">
              <w:t>),</w:t>
            </w:r>
            <w:r w:rsidRPr="00D4309F">
              <w:rPr>
                <w:spacing w:val="-5"/>
              </w:rPr>
              <w:t xml:space="preserve"> </w:t>
            </w:r>
            <w:r w:rsidRPr="00D4309F">
              <w:t>extending to 6 m width further east.</w:t>
            </w:r>
          </w:p>
        </w:tc>
      </w:tr>
      <w:tr w:rsidR="00725977" w:rsidRPr="00D4309F" w14:paraId="7B011403" w14:textId="77777777" w:rsidTr="00D75AB2">
        <w:trPr>
          <w:trHeight w:val="1361"/>
        </w:trPr>
        <w:tc>
          <w:tcPr>
            <w:tcW w:w="1397" w:type="pct"/>
            <w:tcBorders>
              <w:top w:val="single" w:sz="4" w:space="0" w:color="000000"/>
              <w:bottom w:val="single" w:sz="4" w:space="0" w:color="000000"/>
            </w:tcBorders>
          </w:tcPr>
          <w:p w14:paraId="660ACB7A" w14:textId="77777777" w:rsidR="00725977" w:rsidRPr="00D4309F" w:rsidRDefault="00725977" w:rsidP="00D75AB2">
            <w:pPr>
              <w:pStyle w:val="Table-Text"/>
            </w:pPr>
            <w:r w:rsidRPr="00D4309F">
              <w:t>Coastal</w:t>
            </w:r>
            <w:r w:rsidRPr="00D4309F">
              <w:rPr>
                <w:spacing w:val="-15"/>
              </w:rPr>
              <w:t xml:space="preserve"> </w:t>
            </w:r>
            <w:r w:rsidRPr="00D4309F">
              <w:t>she-oak</w:t>
            </w:r>
            <w:r w:rsidRPr="00D4309F">
              <w:rPr>
                <w:spacing w:val="-12"/>
              </w:rPr>
              <w:t xml:space="preserve"> </w:t>
            </w:r>
            <w:r w:rsidRPr="00D4309F">
              <w:t>(</w:t>
            </w:r>
            <w:r w:rsidRPr="00D4309F">
              <w:rPr>
                <w:i/>
              </w:rPr>
              <w:t xml:space="preserve">Casuarina </w:t>
            </w:r>
            <w:r w:rsidRPr="00D4309F">
              <w:rPr>
                <w:i/>
                <w:spacing w:val="-2"/>
              </w:rPr>
              <w:t>equisetifolia</w:t>
            </w:r>
            <w:r w:rsidRPr="00D4309F">
              <w:rPr>
                <w:spacing w:val="-2"/>
              </w:rPr>
              <w:t>)</w:t>
            </w:r>
          </w:p>
        </w:tc>
        <w:tc>
          <w:tcPr>
            <w:tcW w:w="3603" w:type="pct"/>
            <w:tcBorders>
              <w:top w:val="single" w:sz="4" w:space="0" w:color="000000"/>
              <w:bottom w:val="single" w:sz="4" w:space="0" w:color="000000"/>
            </w:tcBorders>
          </w:tcPr>
          <w:p w14:paraId="472CF670" w14:textId="77777777" w:rsidR="00725977" w:rsidRPr="00D4309F" w:rsidRDefault="00725977" w:rsidP="00D75AB2">
            <w:pPr>
              <w:pStyle w:val="Table-Text"/>
            </w:pPr>
            <w:r w:rsidRPr="00D4309F">
              <w:t>Four</w:t>
            </w:r>
            <w:r w:rsidRPr="00D4309F">
              <w:rPr>
                <w:spacing w:val="-6"/>
              </w:rPr>
              <w:t xml:space="preserve"> </w:t>
            </w:r>
            <w:r w:rsidRPr="00D4309F">
              <w:t>individual</w:t>
            </w:r>
            <w:r w:rsidRPr="00D4309F">
              <w:rPr>
                <w:spacing w:val="-5"/>
              </w:rPr>
              <w:t xml:space="preserve"> </w:t>
            </w:r>
            <w:r w:rsidRPr="00D4309F">
              <w:t>Coastal</w:t>
            </w:r>
            <w:r w:rsidRPr="00D4309F">
              <w:rPr>
                <w:spacing w:val="-6"/>
              </w:rPr>
              <w:t xml:space="preserve"> </w:t>
            </w:r>
            <w:r w:rsidRPr="00D4309F">
              <w:t>she-oaks</w:t>
            </w:r>
            <w:r w:rsidRPr="00D4309F">
              <w:rPr>
                <w:spacing w:val="-6"/>
              </w:rPr>
              <w:t xml:space="preserve"> </w:t>
            </w:r>
            <w:r w:rsidRPr="00D4309F">
              <w:t>(</w:t>
            </w:r>
            <w:r w:rsidRPr="00D4309F">
              <w:rPr>
                <w:i/>
              </w:rPr>
              <w:t>Casuarina</w:t>
            </w:r>
            <w:r w:rsidRPr="00D4309F">
              <w:rPr>
                <w:i/>
                <w:spacing w:val="-5"/>
              </w:rPr>
              <w:t xml:space="preserve"> </w:t>
            </w:r>
            <w:r w:rsidRPr="00D4309F">
              <w:rPr>
                <w:i/>
              </w:rPr>
              <w:t>equisetifolia)</w:t>
            </w:r>
            <w:r w:rsidRPr="00D4309F">
              <w:rPr>
                <w:i/>
                <w:spacing w:val="-5"/>
              </w:rPr>
              <w:t xml:space="preserve"> </w:t>
            </w:r>
            <w:r w:rsidRPr="00D4309F">
              <w:t>with</w:t>
            </w:r>
            <w:r w:rsidRPr="00D4309F">
              <w:rPr>
                <w:spacing w:val="-7"/>
              </w:rPr>
              <w:t xml:space="preserve"> </w:t>
            </w:r>
            <w:r w:rsidRPr="00D4309F">
              <w:t>patches</w:t>
            </w:r>
            <w:r w:rsidRPr="00D4309F">
              <w:rPr>
                <w:spacing w:val="-5"/>
              </w:rPr>
              <w:t xml:space="preserve"> </w:t>
            </w:r>
            <w:r w:rsidRPr="00D4309F">
              <w:t>of Coastal spinifex (</w:t>
            </w:r>
            <w:r w:rsidRPr="00D4309F">
              <w:rPr>
                <w:i/>
              </w:rPr>
              <w:t xml:space="preserve">Spinifex sericeus) </w:t>
            </w:r>
            <w:r w:rsidRPr="00D4309F">
              <w:t>east of the breakwater structure</w:t>
            </w:r>
          </w:p>
          <w:p w14:paraId="22F70ED7" w14:textId="77777777" w:rsidR="00725977" w:rsidRPr="00D4309F" w:rsidRDefault="00725977" w:rsidP="00D75AB2">
            <w:pPr>
              <w:pStyle w:val="Table-Text"/>
            </w:pPr>
            <w:r w:rsidRPr="00D4309F">
              <w:t>Two</w:t>
            </w:r>
            <w:r w:rsidRPr="00D4309F">
              <w:rPr>
                <w:spacing w:val="-5"/>
              </w:rPr>
              <w:t xml:space="preserve"> </w:t>
            </w:r>
            <w:r w:rsidRPr="00D4309F">
              <w:t>stands</w:t>
            </w:r>
            <w:r w:rsidRPr="00D4309F">
              <w:rPr>
                <w:spacing w:val="-4"/>
              </w:rPr>
              <w:t xml:space="preserve"> </w:t>
            </w:r>
            <w:r w:rsidRPr="00D4309F">
              <w:t>of</w:t>
            </w:r>
            <w:r w:rsidRPr="00D4309F">
              <w:rPr>
                <w:spacing w:val="-4"/>
              </w:rPr>
              <w:t xml:space="preserve"> </w:t>
            </w:r>
            <w:r w:rsidRPr="00D4309F">
              <w:t>Coastal</w:t>
            </w:r>
            <w:r w:rsidRPr="00D4309F">
              <w:rPr>
                <w:spacing w:val="-4"/>
              </w:rPr>
              <w:t xml:space="preserve"> </w:t>
            </w:r>
            <w:r w:rsidRPr="00D4309F">
              <w:t>She-oaks</w:t>
            </w:r>
            <w:r w:rsidRPr="00D4309F">
              <w:rPr>
                <w:spacing w:val="-4"/>
              </w:rPr>
              <w:t xml:space="preserve"> </w:t>
            </w:r>
            <w:r w:rsidRPr="00D4309F">
              <w:t>(</w:t>
            </w:r>
            <w:r w:rsidRPr="00D4309F">
              <w:rPr>
                <w:i/>
              </w:rPr>
              <w:t>Casuarina</w:t>
            </w:r>
            <w:r w:rsidRPr="00D4309F">
              <w:rPr>
                <w:i/>
                <w:spacing w:val="-3"/>
              </w:rPr>
              <w:t xml:space="preserve"> </w:t>
            </w:r>
            <w:r w:rsidRPr="00D4309F">
              <w:rPr>
                <w:i/>
              </w:rPr>
              <w:t>equisetifolia</w:t>
            </w:r>
            <w:r w:rsidRPr="00D4309F">
              <w:t>)</w:t>
            </w:r>
            <w:r w:rsidRPr="00D4309F">
              <w:rPr>
                <w:spacing w:val="-4"/>
              </w:rPr>
              <w:t xml:space="preserve"> </w:t>
            </w:r>
            <w:r w:rsidRPr="00D4309F">
              <w:t>with</w:t>
            </w:r>
            <w:r w:rsidRPr="00D4309F">
              <w:rPr>
                <w:spacing w:val="-5"/>
              </w:rPr>
              <w:t xml:space="preserve"> </w:t>
            </w:r>
            <w:r w:rsidRPr="00D4309F">
              <w:t>a</w:t>
            </w:r>
            <w:r w:rsidRPr="00D4309F">
              <w:rPr>
                <w:spacing w:val="-5"/>
              </w:rPr>
              <w:t xml:space="preserve"> </w:t>
            </w:r>
            <w:r w:rsidRPr="00D4309F">
              <w:t>ground</w:t>
            </w:r>
            <w:r w:rsidRPr="00D4309F">
              <w:rPr>
                <w:spacing w:val="-5"/>
              </w:rPr>
              <w:t xml:space="preserve"> </w:t>
            </w:r>
            <w:r w:rsidRPr="00D4309F">
              <w:t>cover</w:t>
            </w:r>
            <w:r w:rsidRPr="00D4309F">
              <w:rPr>
                <w:spacing w:val="-4"/>
              </w:rPr>
              <w:t xml:space="preserve"> </w:t>
            </w:r>
            <w:r w:rsidRPr="00D4309F">
              <w:t>of Dune bean (</w:t>
            </w:r>
            <w:r w:rsidRPr="00D4309F">
              <w:rPr>
                <w:i/>
              </w:rPr>
              <w:t>Vigna Marina</w:t>
            </w:r>
            <w:r w:rsidRPr="00D4309F">
              <w:t>) and Cobblers Pegs (</w:t>
            </w:r>
            <w:r w:rsidRPr="00D4309F">
              <w:rPr>
                <w:i/>
              </w:rPr>
              <w:t>Bidens Pilosa</w:t>
            </w:r>
            <w:r w:rsidRPr="00D4309F">
              <w:t>), with scattered Sea purslane (</w:t>
            </w:r>
            <w:r w:rsidRPr="00D4309F">
              <w:rPr>
                <w:i/>
              </w:rPr>
              <w:t>Sesuvium portulacastrum</w:t>
            </w:r>
            <w:r w:rsidRPr="00D4309F">
              <w:t>) extending to the east around the headland of Point Cartwright</w:t>
            </w:r>
          </w:p>
        </w:tc>
      </w:tr>
      <w:tr w:rsidR="00725977" w:rsidRPr="00D4309F" w14:paraId="7B92BD76" w14:textId="77777777" w:rsidTr="00D75AB2">
        <w:trPr>
          <w:trHeight w:val="700"/>
        </w:trPr>
        <w:tc>
          <w:tcPr>
            <w:tcW w:w="1397" w:type="pct"/>
            <w:tcBorders>
              <w:top w:val="single" w:sz="4" w:space="0" w:color="000000"/>
              <w:bottom w:val="single" w:sz="4" w:space="0" w:color="000000"/>
            </w:tcBorders>
          </w:tcPr>
          <w:p w14:paraId="7369A2FC" w14:textId="77777777" w:rsidR="00725977" w:rsidRPr="00D4309F" w:rsidRDefault="00725977" w:rsidP="00D75AB2">
            <w:pPr>
              <w:pStyle w:val="Table-Text"/>
              <w:rPr>
                <w:i/>
              </w:rPr>
            </w:pPr>
            <w:r w:rsidRPr="00D4309F">
              <w:t>Small</w:t>
            </w:r>
            <w:r w:rsidRPr="00D4309F">
              <w:rPr>
                <w:spacing w:val="-10"/>
              </w:rPr>
              <w:t xml:space="preserve"> </w:t>
            </w:r>
            <w:r w:rsidRPr="00D4309F">
              <w:t>patch</w:t>
            </w:r>
            <w:r w:rsidRPr="00D4309F">
              <w:rPr>
                <w:spacing w:val="-10"/>
              </w:rPr>
              <w:t xml:space="preserve"> </w:t>
            </w:r>
            <w:r w:rsidRPr="00D4309F">
              <w:t>of</w:t>
            </w:r>
            <w:r w:rsidRPr="00D4309F">
              <w:rPr>
                <w:spacing w:val="-10"/>
              </w:rPr>
              <w:t xml:space="preserve"> </w:t>
            </w:r>
            <w:r w:rsidRPr="00D4309F">
              <w:t>Green</w:t>
            </w:r>
            <w:r w:rsidRPr="00D4309F">
              <w:rPr>
                <w:spacing w:val="-10"/>
              </w:rPr>
              <w:t xml:space="preserve"> </w:t>
            </w:r>
            <w:r w:rsidRPr="00D4309F">
              <w:t>couch grass (</w:t>
            </w:r>
            <w:r w:rsidRPr="00D4309F">
              <w:rPr>
                <w:i/>
              </w:rPr>
              <w:t>Cynodon dactylon)</w:t>
            </w:r>
          </w:p>
        </w:tc>
        <w:tc>
          <w:tcPr>
            <w:tcW w:w="3603" w:type="pct"/>
            <w:tcBorders>
              <w:top w:val="single" w:sz="4" w:space="0" w:color="000000"/>
              <w:bottom w:val="single" w:sz="4" w:space="0" w:color="000000"/>
            </w:tcBorders>
          </w:tcPr>
          <w:p w14:paraId="369E8CF7" w14:textId="77777777" w:rsidR="00725977" w:rsidRPr="00D4309F" w:rsidRDefault="00725977" w:rsidP="00D75AB2">
            <w:pPr>
              <w:pStyle w:val="Table-Text"/>
            </w:pPr>
            <w:r w:rsidRPr="00D4309F">
              <w:t>Small</w:t>
            </w:r>
            <w:r w:rsidRPr="00D4309F">
              <w:rPr>
                <w:spacing w:val="-4"/>
              </w:rPr>
              <w:t xml:space="preserve"> </w:t>
            </w:r>
            <w:r w:rsidRPr="00D4309F">
              <w:t>patches</w:t>
            </w:r>
            <w:r w:rsidRPr="00D4309F">
              <w:rPr>
                <w:spacing w:val="-3"/>
              </w:rPr>
              <w:t xml:space="preserve"> </w:t>
            </w:r>
            <w:r w:rsidRPr="00D4309F">
              <w:t>of</w:t>
            </w:r>
            <w:r w:rsidRPr="00D4309F">
              <w:rPr>
                <w:spacing w:val="-4"/>
              </w:rPr>
              <w:t xml:space="preserve"> </w:t>
            </w:r>
            <w:r w:rsidRPr="00D4309F">
              <w:t>vegetation</w:t>
            </w:r>
            <w:r w:rsidRPr="00D4309F">
              <w:rPr>
                <w:spacing w:val="-5"/>
              </w:rPr>
              <w:t xml:space="preserve"> </w:t>
            </w:r>
            <w:r w:rsidRPr="00D4309F">
              <w:t>consisting</w:t>
            </w:r>
            <w:r w:rsidRPr="00D4309F">
              <w:rPr>
                <w:spacing w:val="-5"/>
              </w:rPr>
              <w:t xml:space="preserve"> </w:t>
            </w:r>
            <w:r w:rsidRPr="00D4309F">
              <w:t>of</w:t>
            </w:r>
            <w:r w:rsidRPr="00D4309F">
              <w:rPr>
                <w:spacing w:val="-4"/>
              </w:rPr>
              <w:t xml:space="preserve"> </w:t>
            </w:r>
            <w:r w:rsidRPr="00D4309F">
              <w:t>95%</w:t>
            </w:r>
            <w:r w:rsidRPr="00D4309F">
              <w:rPr>
                <w:spacing w:val="-5"/>
              </w:rPr>
              <w:t xml:space="preserve"> </w:t>
            </w:r>
            <w:r w:rsidRPr="00D4309F">
              <w:t>green</w:t>
            </w:r>
            <w:r w:rsidRPr="00D4309F">
              <w:rPr>
                <w:spacing w:val="-5"/>
              </w:rPr>
              <w:t xml:space="preserve"> </w:t>
            </w:r>
            <w:r w:rsidRPr="00D4309F">
              <w:t>couch</w:t>
            </w:r>
            <w:r w:rsidRPr="00D4309F">
              <w:rPr>
                <w:spacing w:val="-3"/>
              </w:rPr>
              <w:t xml:space="preserve"> </w:t>
            </w:r>
            <w:r w:rsidRPr="00D4309F">
              <w:t>gras</w:t>
            </w:r>
            <w:r w:rsidRPr="00D4309F">
              <w:rPr>
                <w:spacing w:val="-4"/>
              </w:rPr>
              <w:t xml:space="preserve"> </w:t>
            </w:r>
            <w:r w:rsidRPr="00D4309F">
              <w:t>(</w:t>
            </w:r>
            <w:r w:rsidRPr="00D4309F">
              <w:rPr>
                <w:i/>
              </w:rPr>
              <w:t>Cynodon dactylon</w:t>
            </w:r>
            <w:r w:rsidRPr="00D4309F">
              <w:t>) and approx. 5% of combined Warrigal greens (</w:t>
            </w:r>
            <w:r w:rsidRPr="00D4309F">
              <w:rPr>
                <w:i/>
              </w:rPr>
              <w:t xml:space="preserve">Tetragonia tetragonioides) </w:t>
            </w:r>
            <w:r w:rsidRPr="00D4309F">
              <w:t>and Blue Flax Lily (</w:t>
            </w:r>
            <w:r w:rsidRPr="00D4309F">
              <w:rPr>
                <w:i/>
              </w:rPr>
              <w:t>Dianella sp</w:t>
            </w:r>
            <w:r w:rsidRPr="00D4309F">
              <w:t>.)</w:t>
            </w:r>
          </w:p>
        </w:tc>
      </w:tr>
      <w:tr w:rsidR="00725977" w:rsidRPr="00D4309F" w14:paraId="1EBA99F6" w14:textId="77777777" w:rsidTr="00D75AB2">
        <w:trPr>
          <w:trHeight w:val="3926"/>
        </w:trPr>
        <w:tc>
          <w:tcPr>
            <w:tcW w:w="1397" w:type="pct"/>
            <w:tcBorders>
              <w:top w:val="single" w:sz="4" w:space="0" w:color="000000"/>
            </w:tcBorders>
          </w:tcPr>
          <w:p w14:paraId="477B60FC" w14:textId="77777777" w:rsidR="00725977" w:rsidRPr="00D4309F" w:rsidRDefault="00725977" w:rsidP="00D75AB2">
            <w:pPr>
              <w:pStyle w:val="Table-Text"/>
            </w:pPr>
            <w:r w:rsidRPr="00D4309F">
              <w:t>Coastal foreshore along breakwater</w:t>
            </w:r>
            <w:r w:rsidRPr="00D4309F">
              <w:rPr>
                <w:spacing w:val="-13"/>
              </w:rPr>
              <w:t xml:space="preserve"> </w:t>
            </w:r>
            <w:r w:rsidRPr="00D4309F">
              <w:t>structure</w:t>
            </w:r>
            <w:r w:rsidRPr="00D4309F">
              <w:rPr>
                <w:spacing w:val="-12"/>
              </w:rPr>
              <w:t xml:space="preserve"> </w:t>
            </w:r>
            <w:r w:rsidRPr="00D4309F">
              <w:t>and</w:t>
            </w:r>
            <w:r w:rsidRPr="00D4309F">
              <w:rPr>
                <w:spacing w:val="-13"/>
              </w:rPr>
              <w:t xml:space="preserve"> </w:t>
            </w:r>
            <w:r w:rsidRPr="00D4309F">
              <w:t xml:space="preserve">rock </w:t>
            </w:r>
            <w:r w:rsidRPr="00D4309F">
              <w:rPr>
                <w:spacing w:val="-2"/>
              </w:rPr>
              <w:t>revetment</w:t>
            </w:r>
          </w:p>
        </w:tc>
        <w:tc>
          <w:tcPr>
            <w:tcW w:w="3603" w:type="pct"/>
            <w:tcBorders>
              <w:top w:val="single" w:sz="4" w:space="0" w:color="000000"/>
            </w:tcBorders>
          </w:tcPr>
          <w:p w14:paraId="63448CF8" w14:textId="77777777" w:rsidR="00725977" w:rsidRPr="00D4309F" w:rsidRDefault="00725977" w:rsidP="00D75AB2">
            <w:pPr>
              <w:pStyle w:val="Table-Text"/>
            </w:pPr>
            <w:r w:rsidRPr="00D4309F">
              <w:t>Individual</w:t>
            </w:r>
            <w:r w:rsidRPr="00D4309F">
              <w:rPr>
                <w:spacing w:val="-3"/>
              </w:rPr>
              <w:t xml:space="preserve"> </w:t>
            </w:r>
            <w:r w:rsidRPr="00D4309F">
              <w:t>marine</w:t>
            </w:r>
            <w:r w:rsidRPr="00D4309F">
              <w:rPr>
                <w:spacing w:val="-4"/>
              </w:rPr>
              <w:t xml:space="preserve"> </w:t>
            </w:r>
            <w:r w:rsidRPr="00D4309F">
              <w:t>plants</w:t>
            </w:r>
            <w:r w:rsidRPr="00D4309F">
              <w:rPr>
                <w:spacing w:val="-3"/>
              </w:rPr>
              <w:t xml:space="preserve"> </w:t>
            </w:r>
            <w:r w:rsidRPr="00D4309F">
              <w:t>located</w:t>
            </w:r>
            <w:r w:rsidRPr="00D4309F">
              <w:rPr>
                <w:spacing w:val="-4"/>
              </w:rPr>
              <w:t xml:space="preserve"> </w:t>
            </w:r>
            <w:r w:rsidRPr="00D4309F">
              <w:t>on</w:t>
            </w:r>
            <w:r w:rsidRPr="00D4309F">
              <w:rPr>
                <w:spacing w:val="-4"/>
              </w:rPr>
              <w:t xml:space="preserve"> </w:t>
            </w:r>
            <w:r w:rsidRPr="00D4309F">
              <w:t>either</w:t>
            </w:r>
            <w:r w:rsidRPr="00D4309F">
              <w:rPr>
                <w:spacing w:val="-3"/>
              </w:rPr>
              <w:t xml:space="preserve"> </w:t>
            </w:r>
            <w:r w:rsidRPr="00D4309F">
              <w:t>side</w:t>
            </w:r>
            <w:r w:rsidRPr="00D4309F">
              <w:rPr>
                <w:spacing w:val="-4"/>
              </w:rPr>
              <w:t xml:space="preserve"> </w:t>
            </w:r>
            <w:r w:rsidRPr="00D4309F">
              <w:t>of</w:t>
            </w:r>
            <w:r w:rsidRPr="00D4309F">
              <w:rPr>
                <w:spacing w:val="-3"/>
              </w:rPr>
              <w:t xml:space="preserve"> </w:t>
            </w:r>
            <w:r w:rsidRPr="00D4309F">
              <w:t>the</w:t>
            </w:r>
            <w:r w:rsidRPr="00D4309F">
              <w:rPr>
                <w:spacing w:val="-4"/>
              </w:rPr>
              <w:t xml:space="preserve"> </w:t>
            </w:r>
            <w:r w:rsidRPr="00D4309F">
              <w:t>pathway</w:t>
            </w:r>
            <w:r w:rsidRPr="00D4309F">
              <w:rPr>
                <w:spacing w:val="-3"/>
              </w:rPr>
              <w:t xml:space="preserve"> </w:t>
            </w:r>
            <w:r w:rsidRPr="00D4309F">
              <w:t>on</w:t>
            </w:r>
            <w:r w:rsidRPr="00D4309F">
              <w:rPr>
                <w:spacing w:val="-4"/>
              </w:rPr>
              <w:t xml:space="preserve"> </w:t>
            </w:r>
            <w:r w:rsidRPr="00D4309F">
              <w:t>top</w:t>
            </w:r>
            <w:r w:rsidRPr="00D4309F">
              <w:rPr>
                <w:spacing w:val="-2"/>
              </w:rPr>
              <w:t xml:space="preserve"> </w:t>
            </w:r>
            <w:r w:rsidRPr="00D4309F">
              <w:t>of</w:t>
            </w:r>
            <w:r w:rsidRPr="00D4309F">
              <w:rPr>
                <w:spacing w:val="-3"/>
              </w:rPr>
              <w:t xml:space="preserve"> </w:t>
            </w:r>
            <w:r w:rsidRPr="00D4309F">
              <w:t>the breakwater structure:</w:t>
            </w:r>
          </w:p>
          <w:p w14:paraId="57E0F5BC" w14:textId="77777777" w:rsidR="00725977" w:rsidRPr="00D4309F" w:rsidRDefault="00725977" w:rsidP="00D75AB2">
            <w:pPr>
              <w:pStyle w:val="Table-Bullet"/>
            </w:pPr>
            <w:r w:rsidRPr="00D4309F">
              <w:t>4</w:t>
            </w:r>
            <w:r w:rsidRPr="00D4309F">
              <w:rPr>
                <w:spacing w:val="-4"/>
              </w:rPr>
              <w:t xml:space="preserve"> </w:t>
            </w:r>
            <w:r w:rsidRPr="00D4309F">
              <w:t>Coastal</w:t>
            </w:r>
            <w:r w:rsidRPr="00D4309F">
              <w:rPr>
                <w:spacing w:val="-2"/>
              </w:rPr>
              <w:t xml:space="preserve"> </w:t>
            </w:r>
            <w:r w:rsidRPr="00D4309F">
              <w:t>she-oaks</w:t>
            </w:r>
            <w:r w:rsidRPr="00D4309F">
              <w:rPr>
                <w:spacing w:val="-2"/>
              </w:rPr>
              <w:t xml:space="preserve"> </w:t>
            </w:r>
            <w:r w:rsidRPr="00D4309F">
              <w:t>(</w:t>
            </w:r>
            <w:r w:rsidRPr="0066501F">
              <w:rPr>
                <w:i/>
                <w:iCs/>
              </w:rPr>
              <w:t>Casuarina</w:t>
            </w:r>
            <w:r w:rsidRPr="0066501F">
              <w:rPr>
                <w:i/>
                <w:iCs/>
                <w:spacing w:val="-3"/>
              </w:rPr>
              <w:t xml:space="preserve"> </w:t>
            </w:r>
            <w:r w:rsidRPr="0066501F">
              <w:rPr>
                <w:i/>
                <w:iCs/>
                <w:spacing w:val="-2"/>
              </w:rPr>
              <w:t>equisetifolia</w:t>
            </w:r>
            <w:r w:rsidRPr="00D4309F">
              <w:rPr>
                <w:spacing w:val="-2"/>
              </w:rPr>
              <w:t>)</w:t>
            </w:r>
          </w:p>
          <w:p w14:paraId="6C401FDC" w14:textId="77777777" w:rsidR="00725977" w:rsidRPr="00D4309F" w:rsidRDefault="00725977" w:rsidP="00D75AB2">
            <w:pPr>
              <w:pStyle w:val="Table-Bullet"/>
            </w:pPr>
            <w:r w:rsidRPr="00D4309F">
              <w:t>Small</w:t>
            </w:r>
            <w:r w:rsidRPr="00D4309F">
              <w:rPr>
                <w:spacing w:val="-3"/>
              </w:rPr>
              <w:t xml:space="preserve"> </w:t>
            </w:r>
            <w:r w:rsidRPr="00D4309F">
              <w:t>patch</w:t>
            </w:r>
            <w:r w:rsidRPr="00D4309F">
              <w:rPr>
                <w:spacing w:val="-4"/>
              </w:rPr>
              <w:t xml:space="preserve"> </w:t>
            </w:r>
            <w:r w:rsidRPr="00D4309F">
              <w:t>of</w:t>
            </w:r>
            <w:r w:rsidRPr="00D4309F">
              <w:rPr>
                <w:spacing w:val="-3"/>
              </w:rPr>
              <w:t xml:space="preserve"> </w:t>
            </w:r>
            <w:r w:rsidRPr="00D4309F">
              <w:t>Boobialla</w:t>
            </w:r>
            <w:r w:rsidRPr="00D4309F">
              <w:rPr>
                <w:spacing w:val="-4"/>
              </w:rPr>
              <w:t xml:space="preserve"> </w:t>
            </w:r>
            <w:r w:rsidRPr="00D4309F">
              <w:t>(</w:t>
            </w:r>
            <w:r w:rsidRPr="0066501F">
              <w:rPr>
                <w:i/>
                <w:iCs/>
              </w:rPr>
              <w:t>Myoporum</w:t>
            </w:r>
            <w:r w:rsidRPr="0066501F">
              <w:rPr>
                <w:i/>
                <w:iCs/>
                <w:spacing w:val="-2"/>
              </w:rPr>
              <w:t xml:space="preserve"> acuminatum</w:t>
            </w:r>
            <w:r w:rsidRPr="00D4309F">
              <w:rPr>
                <w:spacing w:val="-2"/>
              </w:rPr>
              <w:t>)</w:t>
            </w:r>
          </w:p>
          <w:p w14:paraId="731330B5" w14:textId="77777777" w:rsidR="00725977" w:rsidRPr="00D4309F" w:rsidRDefault="00725977" w:rsidP="00D75AB2">
            <w:pPr>
              <w:pStyle w:val="Table-Bullet"/>
            </w:pPr>
            <w:r w:rsidRPr="00D4309F">
              <w:t>Individual</w:t>
            </w:r>
            <w:r w:rsidRPr="00D4309F">
              <w:rPr>
                <w:spacing w:val="-4"/>
              </w:rPr>
              <w:t xml:space="preserve"> </w:t>
            </w:r>
            <w:r w:rsidRPr="00D4309F">
              <w:t>plants</w:t>
            </w:r>
            <w:r w:rsidRPr="00D4309F">
              <w:rPr>
                <w:spacing w:val="-4"/>
              </w:rPr>
              <w:t xml:space="preserve"> </w:t>
            </w:r>
            <w:r w:rsidRPr="00D4309F">
              <w:t>located</w:t>
            </w:r>
            <w:r w:rsidRPr="00D4309F">
              <w:rPr>
                <w:spacing w:val="-5"/>
              </w:rPr>
              <w:t xml:space="preserve"> </w:t>
            </w:r>
            <w:r w:rsidRPr="00D4309F">
              <w:t>on</w:t>
            </w:r>
            <w:r w:rsidRPr="00D4309F">
              <w:rPr>
                <w:spacing w:val="-5"/>
              </w:rPr>
              <w:t xml:space="preserve"> </w:t>
            </w:r>
            <w:r w:rsidRPr="00D4309F">
              <w:t>the</w:t>
            </w:r>
            <w:r w:rsidRPr="00D4309F">
              <w:rPr>
                <w:spacing w:val="-5"/>
              </w:rPr>
              <w:t xml:space="preserve"> </w:t>
            </w:r>
            <w:r w:rsidRPr="00D4309F">
              <w:t>seaward</w:t>
            </w:r>
            <w:r w:rsidRPr="00D4309F">
              <w:rPr>
                <w:spacing w:val="-5"/>
              </w:rPr>
              <w:t xml:space="preserve"> </w:t>
            </w:r>
            <w:r w:rsidRPr="00D4309F">
              <w:t>side</w:t>
            </w:r>
            <w:r w:rsidRPr="00D4309F">
              <w:rPr>
                <w:spacing w:val="-3"/>
              </w:rPr>
              <w:t xml:space="preserve"> </w:t>
            </w:r>
            <w:r w:rsidRPr="00D4309F">
              <w:t>of</w:t>
            </w:r>
            <w:r w:rsidRPr="00D4309F">
              <w:rPr>
                <w:spacing w:val="-4"/>
              </w:rPr>
              <w:t xml:space="preserve"> </w:t>
            </w:r>
            <w:r w:rsidRPr="00D4309F">
              <w:t>the</w:t>
            </w:r>
            <w:r w:rsidRPr="00D4309F">
              <w:rPr>
                <w:spacing w:val="-5"/>
              </w:rPr>
              <w:t xml:space="preserve"> </w:t>
            </w:r>
            <w:r w:rsidRPr="00D4309F">
              <w:t>existing</w:t>
            </w:r>
            <w:r w:rsidRPr="00D4309F">
              <w:rPr>
                <w:spacing w:val="-3"/>
              </w:rPr>
              <w:t xml:space="preserve"> </w:t>
            </w:r>
            <w:r w:rsidRPr="00D4309F">
              <w:t>pathway</w:t>
            </w:r>
            <w:r w:rsidRPr="00D4309F">
              <w:rPr>
                <w:spacing w:val="-4"/>
              </w:rPr>
              <w:t xml:space="preserve"> </w:t>
            </w:r>
            <w:r w:rsidRPr="00D4309F">
              <w:t>which follows the rock revetment include:</w:t>
            </w:r>
          </w:p>
          <w:p w14:paraId="42407E46" w14:textId="77777777" w:rsidR="00725977" w:rsidRPr="00D4309F" w:rsidRDefault="00725977" w:rsidP="00D75AB2">
            <w:pPr>
              <w:pStyle w:val="Table-Bullet"/>
            </w:pPr>
            <w:r w:rsidRPr="00D4309F">
              <w:t>19</w:t>
            </w:r>
            <w:r w:rsidRPr="00D4309F">
              <w:rPr>
                <w:spacing w:val="-6"/>
              </w:rPr>
              <w:t xml:space="preserve"> </w:t>
            </w:r>
            <w:r w:rsidRPr="00D4309F">
              <w:t>Coastal</w:t>
            </w:r>
            <w:r w:rsidRPr="00D4309F">
              <w:rPr>
                <w:spacing w:val="-5"/>
              </w:rPr>
              <w:t xml:space="preserve"> </w:t>
            </w:r>
            <w:r w:rsidRPr="00D4309F">
              <w:t>she-oaks</w:t>
            </w:r>
            <w:r w:rsidRPr="00D4309F">
              <w:rPr>
                <w:spacing w:val="-5"/>
              </w:rPr>
              <w:t xml:space="preserve"> </w:t>
            </w:r>
            <w:r w:rsidRPr="00D4309F">
              <w:t>(</w:t>
            </w:r>
            <w:r w:rsidRPr="0066501F">
              <w:rPr>
                <w:i/>
                <w:iCs/>
              </w:rPr>
              <w:t>Casuarina</w:t>
            </w:r>
            <w:r w:rsidRPr="0066501F">
              <w:rPr>
                <w:i/>
                <w:iCs/>
                <w:spacing w:val="-6"/>
              </w:rPr>
              <w:t xml:space="preserve"> </w:t>
            </w:r>
            <w:r w:rsidRPr="0066501F">
              <w:rPr>
                <w:i/>
                <w:iCs/>
              </w:rPr>
              <w:t>equisetifolia</w:t>
            </w:r>
            <w:r w:rsidRPr="00D4309F">
              <w:t>)</w:t>
            </w:r>
            <w:r w:rsidRPr="00D4309F">
              <w:rPr>
                <w:spacing w:val="-5"/>
              </w:rPr>
              <w:t xml:space="preserve"> </w:t>
            </w:r>
            <w:r w:rsidRPr="00D4309F">
              <w:t>(adjacent</w:t>
            </w:r>
            <w:r w:rsidRPr="00D4309F">
              <w:rPr>
                <w:spacing w:val="-5"/>
              </w:rPr>
              <w:t xml:space="preserve"> </w:t>
            </w:r>
            <w:r w:rsidRPr="00D4309F">
              <w:t>to</w:t>
            </w:r>
            <w:r w:rsidRPr="00D4309F">
              <w:rPr>
                <w:spacing w:val="-6"/>
              </w:rPr>
              <w:t xml:space="preserve"> </w:t>
            </w:r>
            <w:r w:rsidRPr="00D4309F">
              <w:t>path</w:t>
            </w:r>
            <w:r w:rsidRPr="00D4309F">
              <w:rPr>
                <w:spacing w:val="-6"/>
              </w:rPr>
              <w:t xml:space="preserve"> </w:t>
            </w:r>
            <w:r w:rsidRPr="00D4309F">
              <w:t>amongst maintained lawn)</w:t>
            </w:r>
          </w:p>
          <w:p w14:paraId="3F391A46" w14:textId="77777777" w:rsidR="00725977" w:rsidRPr="00D4309F" w:rsidRDefault="00725977" w:rsidP="00D75AB2">
            <w:pPr>
              <w:pStyle w:val="Table-Bullet"/>
            </w:pPr>
            <w:r w:rsidRPr="00D4309F">
              <w:t>1</w:t>
            </w:r>
            <w:r w:rsidRPr="00D4309F">
              <w:rPr>
                <w:spacing w:val="-3"/>
              </w:rPr>
              <w:t xml:space="preserve"> </w:t>
            </w:r>
            <w:r w:rsidRPr="00D4309F">
              <w:t>mature</w:t>
            </w:r>
            <w:r w:rsidRPr="00D4309F">
              <w:rPr>
                <w:spacing w:val="-3"/>
              </w:rPr>
              <w:t xml:space="preserve"> </w:t>
            </w:r>
            <w:r w:rsidRPr="00D4309F">
              <w:t>Grey</w:t>
            </w:r>
            <w:r w:rsidRPr="00D4309F">
              <w:rPr>
                <w:spacing w:val="-2"/>
              </w:rPr>
              <w:t xml:space="preserve"> </w:t>
            </w:r>
            <w:r w:rsidRPr="00D4309F">
              <w:t>mangrove</w:t>
            </w:r>
            <w:r w:rsidRPr="00D4309F">
              <w:rPr>
                <w:spacing w:val="-3"/>
              </w:rPr>
              <w:t xml:space="preserve"> </w:t>
            </w:r>
            <w:r w:rsidRPr="00D4309F">
              <w:t>(</w:t>
            </w:r>
            <w:r w:rsidRPr="0066501F">
              <w:rPr>
                <w:i/>
                <w:iCs/>
              </w:rPr>
              <w:t>Avicennia</w:t>
            </w:r>
            <w:r w:rsidRPr="0066501F">
              <w:rPr>
                <w:i/>
                <w:iCs/>
                <w:spacing w:val="-3"/>
              </w:rPr>
              <w:t xml:space="preserve"> </w:t>
            </w:r>
            <w:r w:rsidRPr="0066501F">
              <w:rPr>
                <w:i/>
                <w:iCs/>
              </w:rPr>
              <w:t>marina</w:t>
            </w:r>
            <w:r w:rsidRPr="00D4309F">
              <w:t>)</w:t>
            </w:r>
            <w:r w:rsidRPr="00D4309F">
              <w:rPr>
                <w:spacing w:val="-1"/>
              </w:rPr>
              <w:t xml:space="preserve"> </w:t>
            </w:r>
            <w:r w:rsidRPr="00D4309F">
              <w:t>(on</w:t>
            </w:r>
            <w:r w:rsidRPr="00D4309F">
              <w:rPr>
                <w:spacing w:val="-3"/>
              </w:rPr>
              <w:t xml:space="preserve"> </w:t>
            </w:r>
            <w:r w:rsidRPr="00D4309F">
              <w:t>rock</w:t>
            </w:r>
            <w:r w:rsidRPr="00D4309F">
              <w:rPr>
                <w:spacing w:val="-1"/>
              </w:rPr>
              <w:t xml:space="preserve"> </w:t>
            </w:r>
            <w:r w:rsidRPr="00D4309F">
              <w:rPr>
                <w:spacing w:val="-2"/>
              </w:rPr>
              <w:t>revetment)</w:t>
            </w:r>
          </w:p>
          <w:p w14:paraId="0CB1B6EA" w14:textId="77777777" w:rsidR="00725977" w:rsidRPr="00D4309F" w:rsidRDefault="00725977" w:rsidP="00D75AB2">
            <w:pPr>
              <w:pStyle w:val="Table-Bullet"/>
            </w:pPr>
            <w:r w:rsidRPr="00D4309F">
              <w:t>2</w:t>
            </w:r>
            <w:r w:rsidRPr="00D4309F">
              <w:rPr>
                <w:spacing w:val="-6"/>
              </w:rPr>
              <w:t xml:space="preserve"> </w:t>
            </w:r>
            <w:r w:rsidRPr="00D4309F">
              <w:t>juvenile</w:t>
            </w:r>
            <w:r w:rsidRPr="00D4309F">
              <w:rPr>
                <w:spacing w:val="-3"/>
              </w:rPr>
              <w:t xml:space="preserve"> </w:t>
            </w:r>
            <w:r w:rsidRPr="00D4309F">
              <w:t>Grey</w:t>
            </w:r>
            <w:r w:rsidRPr="00D4309F">
              <w:rPr>
                <w:spacing w:val="-3"/>
              </w:rPr>
              <w:t xml:space="preserve"> </w:t>
            </w:r>
            <w:r w:rsidRPr="00D4309F">
              <w:t>mangroves</w:t>
            </w:r>
            <w:r w:rsidRPr="00D4309F">
              <w:rPr>
                <w:spacing w:val="-2"/>
              </w:rPr>
              <w:t xml:space="preserve"> </w:t>
            </w:r>
            <w:r w:rsidRPr="00D4309F">
              <w:t>(</w:t>
            </w:r>
            <w:r w:rsidRPr="0066501F">
              <w:rPr>
                <w:i/>
                <w:iCs/>
              </w:rPr>
              <w:t>Avicennia</w:t>
            </w:r>
            <w:r w:rsidRPr="0066501F">
              <w:rPr>
                <w:i/>
                <w:iCs/>
                <w:spacing w:val="-4"/>
              </w:rPr>
              <w:t xml:space="preserve"> </w:t>
            </w:r>
            <w:r w:rsidRPr="0066501F">
              <w:rPr>
                <w:i/>
                <w:iCs/>
              </w:rPr>
              <w:t>marina</w:t>
            </w:r>
            <w:r w:rsidRPr="00D4309F">
              <w:t>)</w:t>
            </w:r>
            <w:r w:rsidRPr="00D4309F">
              <w:rPr>
                <w:spacing w:val="-2"/>
              </w:rPr>
              <w:t xml:space="preserve"> </w:t>
            </w:r>
            <w:r w:rsidRPr="00D4309F">
              <w:t>(amongst</w:t>
            </w:r>
            <w:r w:rsidRPr="00D4309F">
              <w:rPr>
                <w:spacing w:val="-3"/>
              </w:rPr>
              <w:t xml:space="preserve"> </w:t>
            </w:r>
            <w:r w:rsidRPr="00D4309F">
              <w:t>rock</w:t>
            </w:r>
            <w:r w:rsidRPr="00D4309F">
              <w:rPr>
                <w:spacing w:val="-2"/>
              </w:rPr>
              <w:t xml:space="preserve"> revetement)</w:t>
            </w:r>
          </w:p>
          <w:p w14:paraId="18C2ED6D" w14:textId="77777777" w:rsidR="00725977" w:rsidRPr="00D4309F" w:rsidRDefault="00725977" w:rsidP="00D75AB2">
            <w:pPr>
              <w:pStyle w:val="Table-Bullet"/>
            </w:pPr>
            <w:r w:rsidRPr="00D4309F">
              <w:t>1</w:t>
            </w:r>
            <w:r w:rsidRPr="00D4309F">
              <w:rPr>
                <w:spacing w:val="-6"/>
              </w:rPr>
              <w:t xml:space="preserve"> </w:t>
            </w:r>
            <w:r w:rsidRPr="00D4309F">
              <w:t>regrowth</w:t>
            </w:r>
            <w:r w:rsidRPr="00D4309F">
              <w:rPr>
                <w:spacing w:val="-6"/>
              </w:rPr>
              <w:t xml:space="preserve"> </w:t>
            </w:r>
            <w:r w:rsidRPr="00D4309F">
              <w:t>Grey</w:t>
            </w:r>
            <w:r w:rsidRPr="00D4309F">
              <w:rPr>
                <w:spacing w:val="-5"/>
              </w:rPr>
              <w:t xml:space="preserve"> </w:t>
            </w:r>
            <w:r w:rsidRPr="00D4309F">
              <w:t>mangrove</w:t>
            </w:r>
            <w:r w:rsidRPr="00D4309F">
              <w:rPr>
                <w:spacing w:val="-6"/>
              </w:rPr>
              <w:t xml:space="preserve"> </w:t>
            </w:r>
            <w:r w:rsidRPr="00D4309F">
              <w:t>(juvenile)</w:t>
            </w:r>
            <w:r w:rsidRPr="00D4309F">
              <w:rPr>
                <w:spacing w:val="-5"/>
              </w:rPr>
              <w:t xml:space="preserve"> </w:t>
            </w:r>
            <w:r w:rsidRPr="00D4309F">
              <w:t>on</w:t>
            </w:r>
            <w:r w:rsidRPr="00D4309F">
              <w:rPr>
                <w:spacing w:val="-6"/>
              </w:rPr>
              <w:t xml:space="preserve"> </w:t>
            </w:r>
            <w:r w:rsidRPr="00D4309F">
              <w:t>trimmed</w:t>
            </w:r>
            <w:r w:rsidRPr="00D4309F">
              <w:rPr>
                <w:spacing w:val="-6"/>
              </w:rPr>
              <w:t xml:space="preserve"> </w:t>
            </w:r>
            <w:r w:rsidRPr="00D4309F">
              <w:t>mangrove</w:t>
            </w:r>
            <w:r w:rsidRPr="00D4309F">
              <w:rPr>
                <w:spacing w:val="-4"/>
              </w:rPr>
              <w:t xml:space="preserve"> </w:t>
            </w:r>
            <w:r w:rsidRPr="00D4309F">
              <w:t>roots</w:t>
            </w:r>
            <w:r w:rsidRPr="00D4309F">
              <w:rPr>
                <w:spacing w:val="-5"/>
              </w:rPr>
              <w:t xml:space="preserve"> </w:t>
            </w:r>
            <w:r w:rsidRPr="00D4309F">
              <w:t>(Avicennia marina) (on rock revetment)</w:t>
            </w:r>
          </w:p>
          <w:p w14:paraId="091B2DD7" w14:textId="77777777" w:rsidR="00725977" w:rsidRPr="00D4309F" w:rsidRDefault="00725977" w:rsidP="00D75AB2">
            <w:pPr>
              <w:pStyle w:val="Table-Bullet"/>
            </w:pPr>
            <w:r w:rsidRPr="00D4309F">
              <w:t>2</w:t>
            </w:r>
            <w:r w:rsidRPr="00D4309F">
              <w:rPr>
                <w:spacing w:val="-6"/>
              </w:rPr>
              <w:t xml:space="preserve"> </w:t>
            </w:r>
            <w:r w:rsidRPr="00D4309F">
              <w:t>mature</w:t>
            </w:r>
            <w:r w:rsidRPr="00D4309F">
              <w:rPr>
                <w:spacing w:val="-3"/>
              </w:rPr>
              <w:t xml:space="preserve"> </w:t>
            </w:r>
            <w:r w:rsidRPr="00D4309F">
              <w:t>Milky</w:t>
            </w:r>
            <w:r w:rsidRPr="00D4309F">
              <w:rPr>
                <w:spacing w:val="-1"/>
              </w:rPr>
              <w:t xml:space="preserve"> </w:t>
            </w:r>
            <w:r w:rsidRPr="00D4309F">
              <w:t>mangroves</w:t>
            </w:r>
            <w:r w:rsidRPr="00D4309F">
              <w:rPr>
                <w:spacing w:val="-3"/>
              </w:rPr>
              <w:t xml:space="preserve"> </w:t>
            </w:r>
            <w:r w:rsidRPr="00D4309F">
              <w:t>(</w:t>
            </w:r>
            <w:r w:rsidRPr="00ED166D">
              <w:rPr>
                <w:i/>
                <w:iCs/>
              </w:rPr>
              <w:t>Excoecaria</w:t>
            </w:r>
            <w:r w:rsidRPr="00ED166D">
              <w:rPr>
                <w:i/>
                <w:iCs/>
                <w:spacing w:val="-3"/>
              </w:rPr>
              <w:t xml:space="preserve"> </w:t>
            </w:r>
            <w:r w:rsidRPr="00ED166D">
              <w:rPr>
                <w:i/>
                <w:iCs/>
              </w:rPr>
              <w:t>agallocha</w:t>
            </w:r>
            <w:r w:rsidRPr="00D4309F">
              <w:t>)</w:t>
            </w:r>
            <w:r w:rsidRPr="00D4309F">
              <w:rPr>
                <w:spacing w:val="-2"/>
              </w:rPr>
              <w:t xml:space="preserve"> </w:t>
            </w:r>
            <w:r w:rsidRPr="00D4309F">
              <w:t>(on</w:t>
            </w:r>
            <w:r w:rsidRPr="00D4309F">
              <w:rPr>
                <w:spacing w:val="-3"/>
              </w:rPr>
              <w:t xml:space="preserve"> </w:t>
            </w:r>
            <w:r w:rsidRPr="00D4309F">
              <w:t>rock</w:t>
            </w:r>
            <w:r w:rsidRPr="00D4309F">
              <w:rPr>
                <w:spacing w:val="-2"/>
              </w:rPr>
              <w:t xml:space="preserve"> revetment)</w:t>
            </w:r>
          </w:p>
          <w:p w14:paraId="72BA5044" w14:textId="77777777" w:rsidR="00725977" w:rsidRPr="00D4309F" w:rsidRDefault="00725977" w:rsidP="00D75AB2">
            <w:pPr>
              <w:pStyle w:val="Table-Bullet"/>
            </w:pPr>
            <w:r w:rsidRPr="00D4309F">
              <w:t>1</w:t>
            </w:r>
            <w:r w:rsidRPr="00D4309F">
              <w:rPr>
                <w:spacing w:val="-3"/>
              </w:rPr>
              <w:t xml:space="preserve"> </w:t>
            </w:r>
            <w:r w:rsidRPr="00D4309F">
              <w:t>mature</w:t>
            </w:r>
            <w:r w:rsidRPr="00D4309F">
              <w:rPr>
                <w:spacing w:val="-3"/>
              </w:rPr>
              <w:t xml:space="preserve"> </w:t>
            </w:r>
            <w:r w:rsidRPr="00D4309F">
              <w:t>Cottonwood</w:t>
            </w:r>
            <w:r w:rsidRPr="00D4309F">
              <w:rPr>
                <w:spacing w:val="-3"/>
              </w:rPr>
              <w:t xml:space="preserve"> </w:t>
            </w:r>
            <w:r w:rsidRPr="00D4309F">
              <w:t>tree</w:t>
            </w:r>
            <w:r w:rsidRPr="00D4309F">
              <w:rPr>
                <w:spacing w:val="-3"/>
              </w:rPr>
              <w:t xml:space="preserve"> </w:t>
            </w:r>
            <w:r w:rsidRPr="00D4309F">
              <w:t>(</w:t>
            </w:r>
            <w:r w:rsidRPr="00ED166D">
              <w:rPr>
                <w:i/>
                <w:iCs/>
              </w:rPr>
              <w:t>Hibiscus</w:t>
            </w:r>
            <w:r w:rsidRPr="00ED166D">
              <w:rPr>
                <w:i/>
                <w:iCs/>
                <w:spacing w:val="-2"/>
              </w:rPr>
              <w:t xml:space="preserve"> </w:t>
            </w:r>
            <w:r w:rsidRPr="00ED166D">
              <w:rPr>
                <w:i/>
                <w:iCs/>
              </w:rPr>
              <w:t>tilliaceus</w:t>
            </w:r>
            <w:r w:rsidRPr="00D4309F">
              <w:t>)</w:t>
            </w:r>
            <w:r w:rsidRPr="00D4309F">
              <w:rPr>
                <w:spacing w:val="-2"/>
              </w:rPr>
              <w:t xml:space="preserve"> </w:t>
            </w:r>
            <w:r w:rsidRPr="00D4309F">
              <w:t>(on</w:t>
            </w:r>
            <w:r w:rsidRPr="00D4309F">
              <w:rPr>
                <w:spacing w:val="-3"/>
              </w:rPr>
              <w:t xml:space="preserve"> </w:t>
            </w:r>
            <w:r w:rsidRPr="00D4309F">
              <w:t>top</w:t>
            </w:r>
            <w:r w:rsidRPr="00D4309F">
              <w:rPr>
                <w:spacing w:val="-3"/>
              </w:rPr>
              <w:t xml:space="preserve"> </w:t>
            </w:r>
            <w:r w:rsidRPr="00D4309F">
              <w:t>of</w:t>
            </w:r>
            <w:r w:rsidRPr="00D4309F">
              <w:rPr>
                <w:spacing w:val="-2"/>
              </w:rPr>
              <w:t xml:space="preserve"> </w:t>
            </w:r>
            <w:r w:rsidRPr="00D4309F">
              <w:t>rock</w:t>
            </w:r>
            <w:r w:rsidRPr="00D4309F">
              <w:rPr>
                <w:spacing w:val="-2"/>
              </w:rPr>
              <w:t xml:space="preserve"> revetment)</w:t>
            </w:r>
          </w:p>
          <w:p w14:paraId="70A645A0" w14:textId="4E12330D" w:rsidR="00725977" w:rsidRPr="00D4309F" w:rsidRDefault="00725977" w:rsidP="00D75AB2">
            <w:pPr>
              <w:pStyle w:val="Table-Bullet"/>
            </w:pPr>
            <w:r w:rsidRPr="00D4309F">
              <w:t>Revetment</w:t>
            </w:r>
            <w:r w:rsidRPr="00D4309F">
              <w:rPr>
                <w:spacing w:val="-5"/>
              </w:rPr>
              <w:t xml:space="preserve"> </w:t>
            </w:r>
            <w:r w:rsidRPr="00D4309F">
              <w:t>is</w:t>
            </w:r>
            <w:r w:rsidRPr="00D4309F">
              <w:rPr>
                <w:spacing w:val="-2"/>
              </w:rPr>
              <w:t xml:space="preserve"> </w:t>
            </w:r>
            <w:r w:rsidRPr="00D4309F">
              <w:t>free</w:t>
            </w:r>
            <w:r w:rsidRPr="00D4309F">
              <w:rPr>
                <w:spacing w:val="-3"/>
              </w:rPr>
              <w:t xml:space="preserve"> </w:t>
            </w:r>
            <w:r w:rsidRPr="00D4309F">
              <w:t>of</w:t>
            </w:r>
            <w:r w:rsidRPr="00D4309F">
              <w:rPr>
                <w:spacing w:val="-2"/>
              </w:rPr>
              <w:t xml:space="preserve"> </w:t>
            </w:r>
            <w:r w:rsidRPr="00D4309F">
              <w:t>plants</w:t>
            </w:r>
            <w:r w:rsidRPr="00D4309F">
              <w:rPr>
                <w:spacing w:val="-2"/>
              </w:rPr>
              <w:t xml:space="preserve"> </w:t>
            </w:r>
            <w:r w:rsidRPr="00D4309F">
              <w:t>except</w:t>
            </w:r>
            <w:r w:rsidRPr="00D4309F">
              <w:rPr>
                <w:spacing w:val="-2"/>
              </w:rPr>
              <w:t xml:space="preserve"> </w:t>
            </w:r>
            <w:r w:rsidRPr="00D4309F">
              <w:t>10</w:t>
            </w:r>
            <w:r w:rsidR="0066501F">
              <w:t> </w:t>
            </w:r>
            <w:r w:rsidRPr="00D4309F">
              <w:t>cm</w:t>
            </w:r>
            <w:r w:rsidRPr="00D4309F">
              <w:rPr>
                <w:spacing w:val="-2"/>
              </w:rPr>
              <w:t xml:space="preserve"> </w:t>
            </w:r>
            <w:r w:rsidRPr="00D4309F">
              <w:t>diameter</w:t>
            </w:r>
            <w:r w:rsidRPr="00D4309F">
              <w:rPr>
                <w:spacing w:val="-2"/>
              </w:rPr>
              <w:t xml:space="preserve"> </w:t>
            </w:r>
            <w:r w:rsidRPr="00D4309F">
              <w:rPr>
                <w:spacing w:val="-5"/>
              </w:rPr>
              <w:t>of</w:t>
            </w:r>
          </w:p>
          <w:p w14:paraId="35C9EDF5" w14:textId="77777777" w:rsidR="00725977" w:rsidRPr="00D4309F" w:rsidRDefault="00725977" w:rsidP="00D75AB2">
            <w:pPr>
              <w:pStyle w:val="Table-Bullet"/>
            </w:pPr>
            <w:r w:rsidRPr="00D4309F">
              <w:t>Seablite</w:t>
            </w:r>
            <w:r w:rsidRPr="00D4309F">
              <w:rPr>
                <w:spacing w:val="-5"/>
              </w:rPr>
              <w:t xml:space="preserve"> </w:t>
            </w:r>
            <w:r w:rsidRPr="00D4309F">
              <w:t>(</w:t>
            </w:r>
            <w:r w:rsidRPr="00D4309F">
              <w:rPr>
                <w:i/>
              </w:rPr>
              <w:t>Suaeda</w:t>
            </w:r>
            <w:r w:rsidRPr="00D4309F">
              <w:rPr>
                <w:i/>
                <w:spacing w:val="-4"/>
              </w:rPr>
              <w:t xml:space="preserve"> </w:t>
            </w:r>
            <w:r w:rsidRPr="00D4309F">
              <w:rPr>
                <w:i/>
              </w:rPr>
              <w:t>australis</w:t>
            </w:r>
            <w:r w:rsidRPr="00D4309F">
              <w:t>)</w:t>
            </w:r>
            <w:r w:rsidRPr="00D4309F">
              <w:rPr>
                <w:spacing w:val="-3"/>
              </w:rPr>
              <w:t xml:space="preserve"> </w:t>
            </w:r>
            <w:r w:rsidRPr="00D4309F">
              <w:t>(north</w:t>
            </w:r>
            <w:r w:rsidRPr="00D4309F">
              <w:rPr>
                <w:spacing w:val="-5"/>
              </w:rPr>
              <w:t xml:space="preserve"> </w:t>
            </w:r>
            <w:r w:rsidRPr="00D4309F">
              <w:t>of</w:t>
            </w:r>
            <w:r w:rsidRPr="00D4309F">
              <w:rPr>
                <w:spacing w:val="-3"/>
              </w:rPr>
              <w:t xml:space="preserve"> </w:t>
            </w:r>
            <w:r w:rsidRPr="00D4309F">
              <w:t>Cottonwood</w:t>
            </w:r>
            <w:r w:rsidRPr="00D4309F">
              <w:rPr>
                <w:spacing w:val="-4"/>
              </w:rPr>
              <w:t xml:space="preserve"> </w:t>
            </w:r>
            <w:r w:rsidRPr="00D4309F">
              <w:rPr>
                <w:spacing w:val="-2"/>
              </w:rPr>
              <w:t>tree)</w:t>
            </w:r>
          </w:p>
        </w:tc>
      </w:tr>
    </w:tbl>
    <w:p w14:paraId="63A0AEA5" w14:textId="77777777" w:rsidR="00725977" w:rsidRPr="00D4309F" w:rsidRDefault="00725977" w:rsidP="000B7E19">
      <w:pPr>
        <w:pStyle w:val="BodyText"/>
        <w:jc w:val="center"/>
      </w:pPr>
      <w:r w:rsidRPr="00D4309F">
        <w:rPr>
          <w:noProof/>
        </w:rPr>
        <w:lastRenderedPageBreak/>
        <w:drawing>
          <wp:inline distT="0" distB="0" distL="0" distR="0" wp14:anchorId="5FC91809" wp14:editId="1FD02EBC">
            <wp:extent cx="6156596" cy="4261104"/>
            <wp:effectExtent l="0" t="0" r="0" b="0"/>
            <wp:docPr id="34" name="Image 34" descr="Image is an arial photo of Point Cartwright, with a map overlaid to show the terrestrial vegetation area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Image is an arial photo of Point Cartwright, with a map overlaid to show the terrestrial vegetation areas. "/>
                    <pic:cNvPicPr/>
                  </pic:nvPicPr>
                  <pic:blipFill>
                    <a:blip r:embed="rId52" cstate="print"/>
                    <a:stretch>
                      <a:fillRect/>
                    </a:stretch>
                  </pic:blipFill>
                  <pic:spPr>
                    <a:xfrm>
                      <a:off x="0" y="0"/>
                      <a:ext cx="6156596" cy="4261104"/>
                    </a:xfrm>
                    <a:prstGeom prst="rect">
                      <a:avLst/>
                    </a:prstGeom>
                  </pic:spPr>
                </pic:pic>
              </a:graphicData>
            </a:graphic>
          </wp:inline>
        </w:drawing>
      </w:r>
    </w:p>
    <w:p w14:paraId="1B53C21D" w14:textId="1D0FA30D" w:rsidR="00F06E88" w:rsidRDefault="000B7E19" w:rsidP="000B7E19">
      <w:pPr>
        <w:pStyle w:val="Caption"/>
        <w:jc w:val="center"/>
        <w:rPr>
          <w:spacing w:val="-2"/>
        </w:rPr>
      </w:pPr>
      <w:bookmarkStart w:id="80" w:name="_bookmark29"/>
      <w:bookmarkStart w:id="81" w:name="_Toc216699600"/>
      <w:bookmarkEnd w:id="80"/>
      <w:r>
        <w:t xml:space="preserve">Figure </w:t>
      </w:r>
      <w:r w:rsidR="00B538D4">
        <w:fldChar w:fldCharType="begin" w:fldLock="1"/>
      </w:r>
      <w:r w:rsidR="00B538D4">
        <w:instrText xml:space="preserve"> STYLEREF 1 \s </w:instrText>
      </w:r>
      <w:r w:rsidR="00B538D4">
        <w:fldChar w:fldCharType="separate"/>
      </w:r>
      <w:r w:rsidR="00B538D4">
        <w:rPr>
          <w:noProof/>
        </w:rPr>
        <w:t>5</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6</w:t>
      </w:r>
      <w:r w:rsidR="00B538D4">
        <w:fldChar w:fldCharType="end"/>
      </w:r>
      <w:r>
        <w:t>:</w:t>
      </w:r>
      <w:r>
        <w:tab/>
      </w:r>
      <w:r w:rsidRPr="00D4309F">
        <w:t>Terrestrial</w:t>
      </w:r>
      <w:r w:rsidRPr="00D4309F">
        <w:rPr>
          <w:spacing w:val="-4"/>
        </w:rPr>
        <w:t xml:space="preserve"> </w:t>
      </w:r>
      <w:r w:rsidRPr="00D4309F">
        <w:t>vegetation</w:t>
      </w:r>
      <w:r w:rsidRPr="00D4309F">
        <w:rPr>
          <w:spacing w:val="-4"/>
        </w:rPr>
        <w:t xml:space="preserve"> </w:t>
      </w:r>
      <w:r w:rsidRPr="00D4309F">
        <w:t>map</w:t>
      </w:r>
      <w:r w:rsidRPr="00D4309F">
        <w:rPr>
          <w:spacing w:val="-4"/>
        </w:rPr>
        <w:t xml:space="preserve"> </w:t>
      </w:r>
      <w:r w:rsidRPr="00D4309F">
        <w:t>(Source:</w:t>
      </w:r>
      <w:r w:rsidRPr="00D4309F">
        <w:rPr>
          <w:spacing w:val="-4"/>
        </w:rPr>
        <w:t xml:space="preserve"> </w:t>
      </w:r>
      <w:r w:rsidRPr="00D4309F">
        <w:t>KBR,</w:t>
      </w:r>
      <w:r w:rsidRPr="00D4309F">
        <w:rPr>
          <w:spacing w:val="-2"/>
        </w:rPr>
        <w:t xml:space="preserve"> 2023)</w:t>
      </w:r>
      <w:bookmarkEnd w:id="81"/>
    </w:p>
    <w:p w14:paraId="585C8A53" w14:textId="77777777" w:rsidR="000B7E19" w:rsidRPr="000B7E19" w:rsidRDefault="000B7E19" w:rsidP="000B7E19">
      <w:pPr>
        <w:pStyle w:val="BodyText"/>
      </w:pPr>
    </w:p>
    <w:p w14:paraId="274CD3B3" w14:textId="77777777" w:rsidR="00725977" w:rsidRPr="00D4309F" w:rsidRDefault="00725977" w:rsidP="00EC018A">
      <w:pPr>
        <w:pStyle w:val="Heading4"/>
      </w:pPr>
      <w:r w:rsidRPr="00D4309F">
        <w:t>State</w:t>
      </w:r>
      <w:r w:rsidRPr="00D4309F">
        <w:rPr>
          <w:spacing w:val="-4"/>
        </w:rPr>
        <w:t xml:space="preserve"> </w:t>
      </w:r>
      <w:r w:rsidRPr="00D4309F">
        <w:t>significant</w:t>
      </w:r>
      <w:r w:rsidRPr="00D4309F">
        <w:rPr>
          <w:spacing w:val="-4"/>
        </w:rPr>
        <w:t xml:space="preserve"> </w:t>
      </w:r>
      <w:r w:rsidRPr="00D4309F">
        <w:t>habitats</w:t>
      </w:r>
      <w:r w:rsidRPr="00D4309F">
        <w:rPr>
          <w:spacing w:val="-4"/>
        </w:rPr>
        <w:t xml:space="preserve"> </w:t>
      </w:r>
      <w:r w:rsidRPr="00D4309F">
        <w:t>and</w:t>
      </w:r>
      <w:r w:rsidRPr="00D4309F">
        <w:rPr>
          <w:spacing w:val="-3"/>
        </w:rPr>
        <w:t xml:space="preserve"> </w:t>
      </w:r>
      <w:r w:rsidRPr="00D4309F">
        <w:rPr>
          <w:spacing w:val="-2"/>
        </w:rPr>
        <w:t>flora</w:t>
      </w:r>
    </w:p>
    <w:p w14:paraId="49624DCC" w14:textId="77777777" w:rsidR="00725977" w:rsidRPr="00D4309F" w:rsidRDefault="00725977" w:rsidP="00725977">
      <w:pPr>
        <w:pStyle w:val="BodyText"/>
      </w:pPr>
      <w:r w:rsidRPr="00D4309F">
        <w:t>The</w:t>
      </w:r>
      <w:r w:rsidRPr="00D4309F">
        <w:rPr>
          <w:spacing w:val="-3"/>
        </w:rPr>
        <w:t xml:space="preserve"> </w:t>
      </w:r>
      <w:r w:rsidRPr="00D4309F">
        <w:t>Point</w:t>
      </w:r>
      <w:r w:rsidRPr="00D4309F">
        <w:rPr>
          <w:spacing w:val="-3"/>
        </w:rPr>
        <w:t xml:space="preserve"> </w:t>
      </w:r>
      <w:r w:rsidRPr="00D4309F">
        <w:t>Cartwright</w:t>
      </w:r>
      <w:r w:rsidRPr="00D4309F">
        <w:rPr>
          <w:spacing w:val="-3"/>
        </w:rPr>
        <w:t xml:space="preserve"> </w:t>
      </w:r>
      <w:r w:rsidRPr="00D4309F">
        <w:t>Reserve</w:t>
      </w:r>
      <w:r w:rsidRPr="00D4309F">
        <w:rPr>
          <w:spacing w:val="-3"/>
        </w:rPr>
        <w:t xml:space="preserve"> </w:t>
      </w:r>
      <w:r w:rsidRPr="00D4309F">
        <w:t>and</w:t>
      </w:r>
      <w:r w:rsidRPr="00D4309F">
        <w:rPr>
          <w:spacing w:val="-3"/>
        </w:rPr>
        <w:t xml:space="preserve"> </w:t>
      </w:r>
      <w:r w:rsidRPr="00D4309F">
        <w:t>Buddina</w:t>
      </w:r>
      <w:r w:rsidRPr="00D4309F">
        <w:rPr>
          <w:spacing w:val="-3"/>
        </w:rPr>
        <w:t xml:space="preserve"> </w:t>
      </w:r>
      <w:r w:rsidRPr="00D4309F">
        <w:t>Beach</w:t>
      </w:r>
      <w:r w:rsidRPr="00D4309F">
        <w:rPr>
          <w:spacing w:val="-3"/>
        </w:rPr>
        <w:t xml:space="preserve"> </w:t>
      </w:r>
      <w:r w:rsidRPr="00D4309F">
        <w:t>dune</w:t>
      </w:r>
      <w:r w:rsidRPr="00D4309F">
        <w:rPr>
          <w:spacing w:val="-3"/>
        </w:rPr>
        <w:t xml:space="preserve"> </w:t>
      </w:r>
      <w:r w:rsidRPr="00D4309F">
        <w:t>habitat</w:t>
      </w:r>
      <w:r w:rsidRPr="00D4309F">
        <w:rPr>
          <w:spacing w:val="-3"/>
        </w:rPr>
        <w:t xml:space="preserve"> </w:t>
      </w:r>
      <w:r w:rsidRPr="00D4309F">
        <w:t>include</w:t>
      </w:r>
      <w:r w:rsidRPr="00D4309F">
        <w:rPr>
          <w:spacing w:val="-4"/>
        </w:rPr>
        <w:t xml:space="preserve"> </w:t>
      </w:r>
      <w:r w:rsidRPr="00D4309F">
        <w:t>areas</w:t>
      </w:r>
      <w:r w:rsidRPr="00D4309F">
        <w:rPr>
          <w:spacing w:val="-2"/>
        </w:rPr>
        <w:t xml:space="preserve"> </w:t>
      </w:r>
      <w:r w:rsidRPr="00D4309F">
        <w:t>mapped</w:t>
      </w:r>
      <w:r w:rsidRPr="00D4309F">
        <w:rPr>
          <w:spacing w:val="-3"/>
        </w:rPr>
        <w:t xml:space="preserve"> </w:t>
      </w:r>
      <w:r w:rsidRPr="00D4309F">
        <w:t>by</w:t>
      </w:r>
      <w:r w:rsidRPr="00D4309F">
        <w:rPr>
          <w:spacing w:val="-2"/>
        </w:rPr>
        <w:t xml:space="preserve"> </w:t>
      </w:r>
      <w:r w:rsidRPr="00D4309F">
        <w:t>Queensland Government as Matters of State environmental significance (MSES), including:</w:t>
      </w:r>
    </w:p>
    <w:p w14:paraId="5B4F67CB" w14:textId="77777777" w:rsidR="00725977" w:rsidRPr="00D4309F" w:rsidRDefault="00725977" w:rsidP="00EC018A">
      <w:pPr>
        <w:pStyle w:val="ListBullet"/>
      </w:pPr>
      <w:r w:rsidRPr="00D4309F">
        <w:t>MSES</w:t>
      </w:r>
      <w:r w:rsidRPr="00D4309F">
        <w:rPr>
          <w:spacing w:val="-7"/>
        </w:rPr>
        <w:t xml:space="preserve"> </w:t>
      </w:r>
      <w:r w:rsidRPr="00D4309F">
        <w:t>high</w:t>
      </w:r>
      <w:r w:rsidRPr="00D4309F">
        <w:rPr>
          <w:spacing w:val="-5"/>
        </w:rPr>
        <w:t xml:space="preserve"> </w:t>
      </w:r>
      <w:r w:rsidRPr="00D4309F">
        <w:t>ecological</w:t>
      </w:r>
      <w:r w:rsidRPr="00D4309F">
        <w:rPr>
          <w:spacing w:val="-4"/>
        </w:rPr>
        <w:t xml:space="preserve"> </w:t>
      </w:r>
      <w:r w:rsidRPr="00D4309F">
        <w:t>significance</w:t>
      </w:r>
      <w:r w:rsidRPr="00D4309F">
        <w:rPr>
          <w:spacing w:val="-5"/>
        </w:rPr>
        <w:t xml:space="preserve"> </w:t>
      </w:r>
      <w:r w:rsidRPr="00D4309F">
        <w:t>wetlands</w:t>
      </w:r>
      <w:r w:rsidRPr="00D4309F">
        <w:rPr>
          <w:spacing w:val="-4"/>
        </w:rPr>
        <w:t xml:space="preserve"> </w:t>
      </w:r>
      <w:r w:rsidRPr="00D4309F">
        <w:t>–</w:t>
      </w:r>
      <w:r w:rsidRPr="00D4309F">
        <w:rPr>
          <w:spacing w:val="-5"/>
        </w:rPr>
        <w:t xml:space="preserve"> </w:t>
      </w:r>
      <w:r w:rsidRPr="00D4309F">
        <w:t>the</w:t>
      </w:r>
      <w:r w:rsidRPr="00D4309F">
        <w:rPr>
          <w:spacing w:val="-5"/>
        </w:rPr>
        <w:t xml:space="preserve"> </w:t>
      </w:r>
      <w:r w:rsidRPr="00D4309F">
        <w:t>entire</w:t>
      </w:r>
      <w:r w:rsidRPr="00D4309F">
        <w:rPr>
          <w:spacing w:val="-4"/>
        </w:rPr>
        <w:t xml:space="preserve"> </w:t>
      </w:r>
      <w:r w:rsidRPr="00D4309F">
        <w:t>rocky</w:t>
      </w:r>
      <w:r w:rsidRPr="00D4309F">
        <w:rPr>
          <w:spacing w:val="-4"/>
        </w:rPr>
        <w:t xml:space="preserve"> </w:t>
      </w:r>
      <w:r w:rsidRPr="00D4309F">
        <w:t>foreshore</w:t>
      </w:r>
      <w:r w:rsidRPr="00D4309F">
        <w:rPr>
          <w:spacing w:val="-4"/>
        </w:rPr>
        <w:t xml:space="preserve"> area</w:t>
      </w:r>
    </w:p>
    <w:p w14:paraId="104DCB0A" w14:textId="77777777" w:rsidR="00725977" w:rsidRPr="00D4309F" w:rsidRDefault="00725977" w:rsidP="00EC018A">
      <w:pPr>
        <w:pStyle w:val="ListBullet"/>
      </w:pPr>
      <w:r w:rsidRPr="00D4309F">
        <w:t>MSES</w:t>
      </w:r>
      <w:r w:rsidRPr="00D4309F">
        <w:rPr>
          <w:spacing w:val="-6"/>
        </w:rPr>
        <w:t xml:space="preserve"> </w:t>
      </w:r>
      <w:r w:rsidRPr="00D4309F">
        <w:t>wildlife</w:t>
      </w:r>
      <w:r w:rsidRPr="00D4309F">
        <w:rPr>
          <w:spacing w:val="-4"/>
        </w:rPr>
        <w:t xml:space="preserve"> </w:t>
      </w:r>
      <w:r w:rsidRPr="00D4309F">
        <w:t>habitat</w:t>
      </w:r>
      <w:r w:rsidRPr="00D4309F">
        <w:rPr>
          <w:spacing w:val="-4"/>
        </w:rPr>
        <w:t xml:space="preserve"> </w:t>
      </w:r>
      <w:r w:rsidRPr="00D4309F">
        <w:t>(endangered</w:t>
      </w:r>
      <w:r w:rsidRPr="00D4309F">
        <w:rPr>
          <w:spacing w:val="-4"/>
        </w:rPr>
        <w:t xml:space="preserve"> </w:t>
      </w:r>
      <w:r w:rsidRPr="00D4309F">
        <w:t>or</w:t>
      </w:r>
      <w:r w:rsidRPr="00D4309F">
        <w:rPr>
          <w:spacing w:val="-4"/>
        </w:rPr>
        <w:t xml:space="preserve"> </w:t>
      </w:r>
      <w:r w:rsidRPr="00D4309F">
        <w:t>vulnerable)</w:t>
      </w:r>
      <w:r w:rsidRPr="00D4309F">
        <w:rPr>
          <w:spacing w:val="-4"/>
        </w:rPr>
        <w:t xml:space="preserve"> </w:t>
      </w:r>
      <w:r w:rsidRPr="00D4309F">
        <w:t>–</w:t>
      </w:r>
      <w:r w:rsidRPr="00D4309F">
        <w:rPr>
          <w:spacing w:val="-4"/>
        </w:rPr>
        <w:t xml:space="preserve"> </w:t>
      </w:r>
      <w:r w:rsidRPr="00D4309F">
        <w:t>Buddina</w:t>
      </w:r>
      <w:r w:rsidRPr="00D4309F">
        <w:rPr>
          <w:spacing w:val="-4"/>
        </w:rPr>
        <w:t xml:space="preserve"> </w:t>
      </w:r>
      <w:r w:rsidRPr="00D4309F">
        <w:t>beach</w:t>
      </w:r>
      <w:r w:rsidRPr="00D4309F">
        <w:rPr>
          <w:spacing w:val="-4"/>
        </w:rPr>
        <w:t xml:space="preserve"> </w:t>
      </w:r>
      <w:r w:rsidRPr="00D4309F">
        <w:t>dunal</w:t>
      </w:r>
      <w:r w:rsidRPr="00D4309F">
        <w:rPr>
          <w:spacing w:val="-4"/>
        </w:rPr>
        <w:t xml:space="preserve"> </w:t>
      </w:r>
      <w:r w:rsidRPr="00D4309F">
        <w:rPr>
          <w:spacing w:val="-2"/>
        </w:rPr>
        <w:t>habitat</w:t>
      </w:r>
    </w:p>
    <w:p w14:paraId="1372EE84" w14:textId="77777777" w:rsidR="00725977" w:rsidRPr="00D4309F" w:rsidRDefault="00725977" w:rsidP="00EC018A">
      <w:pPr>
        <w:pStyle w:val="ListBullet"/>
      </w:pPr>
      <w:r w:rsidRPr="00D4309F">
        <w:t>MSES</w:t>
      </w:r>
      <w:r w:rsidRPr="00D4309F">
        <w:rPr>
          <w:spacing w:val="-6"/>
        </w:rPr>
        <w:t xml:space="preserve"> </w:t>
      </w:r>
      <w:r w:rsidRPr="00D4309F">
        <w:t>wildlife</w:t>
      </w:r>
      <w:r w:rsidRPr="00D4309F">
        <w:rPr>
          <w:spacing w:val="-4"/>
        </w:rPr>
        <w:t xml:space="preserve"> </w:t>
      </w:r>
      <w:r w:rsidRPr="00D4309F">
        <w:t>habitat</w:t>
      </w:r>
      <w:r w:rsidRPr="00D4309F">
        <w:rPr>
          <w:spacing w:val="-3"/>
        </w:rPr>
        <w:t xml:space="preserve"> </w:t>
      </w:r>
      <w:r w:rsidRPr="00D4309F">
        <w:t>(special</w:t>
      </w:r>
      <w:r w:rsidRPr="00D4309F">
        <w:rPr>
          <w:spacing w:val="-4"/>
        </w:rPr>
        <w:t xml:space="preserve"> </w:t>
      </w:r>
      <w:r w:rsidRPr="00D4309F">
        <w:t>least</w:t>
      </w:r>
      <w:r w:rsidRPr="00D4309F">
        <w:rPr>
          <w:spacing w:val="-3"/>
        </w:rPr>
        <w:t xml:space="preserve"> </w:t>
      </w:r>
      <w:r w:rsidRPr="00D4309F">
        <w:t>concern</w:t>
      </w:r>
      <w:r w:rsidRPr="00D4309F">
        <w:rPr>
          <w:spacing w:val="-4"/>
        </w:rPr>
        <w:t xml:space="preserve"> </w:t>
      </w:r>
      <w:r w:rsidRPr="00D4309F">
        <w:t>animal)</w:t>
      </w:r>
      <w:r w:rsidRPr="00D4309F">
        <w:rPr>
          <w:spacing w:val="-3"/>
        </w:rPr>
        <w:t xml:space="preserve"> </w:t>
      </w:r>
      <w:r w:rsidRPr="00D4309F">
        <w:t>–</w:t>
      </w:r>
      <w:r w:rsidRPr="00D4309F">
        <w:rPr>
          <w:spacing w:val="-5"/>
        </w:rPr>
        <w:t xml:space="preserve"> </w:t>
      </w:r>
      <w:r w:rsidRPr="00D4309F">
        <w:t>all</w:t>
      </w:r>
      <w:r w:rsidRPr="00D4309F">
        <w:rPr>
          <w:spacing w:val="-4"/>
        </w:rPr>
        <w:t xml:space="preserve"> </w:t>
      </w:r>
      <w:r w:rsidRPr="00D4309F">
        <w:t>naturally</w:t>
      </w:r>
      <w:r w:rsidRPr="00D4309F">
        <w:rPr>
          <w:spacing w:val="-2"/>
        </w:rPr>
        <w:t xml:space="preserve"> </w:t>
      </w:r>
      <w:r w:rsidRPr="00D4309F">
        <w:t>vegetated</w:t>
      </w:r>
      <w:r w:rsidRPr="00D4309F">
        <w:rPr>
          <w:spacing w:val="-4"/>
        </w:rPr>
        <w:t xml:space="preserve"> </w:t>
      </w:r>
      <w:r w:rsidRPr="00D4309F">
        <w:t>parts</w:t>
      </w:r>
      <w:r w:rsidRPr="00D4309F">
        <w:rPr>
          <w:spacing w:val="-2"/>
        </w:rPr>
        <w:t xml:space="preserve"> </w:t>
      </w:r>
      <w:r w:rsidRPr="00D4309F">
        <w:t>of</w:t>
      </w:r>
      <w:r w:rsidRPr="00D4309F">
        <w:rPr>
          <w:spacing w:val="-4"/>
        </w:rPr>
        <w:t xml:space="preserve"> </w:t>
      </w:r>
      <w:r w:rsidRPr="00D4309F">
        <w:t>the</w:t>
      </w:r>
      <w:r w:rsidRPr="00D4309F">
        <w:rPr>
          <w:spacing w:val="-3"/>
        </w:rPr>
        <w:t xml:space="preserve"> </w:t>
      </w:r>
      <w:r w:rsidRPr="00D4309F">
        <w:rPr>
          <w:spacing w:val="-4"/>
        </w:rPr>
        <w:t>site</w:t>
      </w:r>
    </w:p>
    <w:p w14:paraId="3B34F40D" w14:textId="77777777" w:rsidR="00725977" w:rsidRPr="00D4309F" w:rsidRDefault="00725977" w:rsidP="00EC018A">
      <w:pPr>
        <w:pStyle w:val="ListBullet"/>
      </w:pPr>
      <w:r w:rsidRPr="00D4309F">
        <w:t>MSES</w:t>
      </w:r>
      <w:r w:rsidRPr="00D4309F">
        <w:rPr>
          <w:spacing w:val="-6"/>
        </w:rPr>
        <w:t xml:space="preserve"> </w:t>
      </w:r>
      <w:r w:rsidRPr="00D4309F">
        <w:t>wildlife</w:t>
      </w:r>
      <w:r w:rsidRPr="00D4309F">
        <w:rPr>
          <w:spacing w:val="-3"/>
        </w:rPr>
        <w:t xml:space="preserve"> </w:t>
      </w:r>
      <w:r w:rsidRPr="00D4309F">
        <w:t>habitat</w:t>
      </w:r>
      <w:r w:rsidRPr="00D4309F">
        <w:rPr>
          <w:spacing w:val="-4"/>
        </w:rPr>
        <w:t xml:space="preserve"> </w:t>
      </w:r>
      <w:r w:rsidRPr="00D4309F">
        <w:t>(sea</w:t>
      </w:r>
      <w:r w:rsidRPr="00D4309F">
        <w:rPr>
          <w:spacing w:val="-3"/>
        </w:rPr>
        <w:t xml:space="preserve"> </w:t>
      </w:r>
      <w:r w:rsidRPr="00D4309F">
        <w:t>turtle</w:t>
      </w:r>
      <w:r w:rsidRPr="00D4309F">
        <w:rPr>
          <w:spacing w:val="-4"/>
        </w:rPr>
        <w:t xml:space="preserve"> </w:t>
      </w:r>
      <w:r w:rsidRPr="00D4309F">
        <w:t>nesting</w:t>
      </w:r>
      <w:r w:rsidRPr="00D4309F">
        <w:rPr>
          <w:spacing w:val="-4"/>
        </w:rPr>
        <w:t xml:space="preserve"> </w:t>
      </w:r>
      <w:r w:rsidRPr="00D4309F">
        <w:t>areas)</w:t>
      </w:r>
      <w:r w:rsidRPr="00D4309F">
        <w:rPr>
          <w:spacing w:val="-4"/>
        </w:rPr>
        <w:t xml:space="preserve"> </w:t>
      </w:r>
      <w:r w:rsidRPr="00D4309F">
        <w:t>–</w:t>
      </w:r>
      <w:r w:rsidRPr="00D4309F">
        <w:rPr>
          <w:spacing w:val="-3"/>
        </w:rPr>
        <w:t xml:space="preserve"> </w:t>
      </w:r>
      <w:r w:rsidRPr="00D4309F">
        <w:t>all</w:t>
      </w:r>
      <w:r w:rsidRPr="00D4309F">
        <w:rPr>
          <w:spacing w:val="-4"/>
        </w:rPr>
        <w:t xml:space="preserve"> </w:t>
      </w:r>
      <w:r w:rsidRPr="00D4309F">
        <w:t>ocean</w:t>
      </w:r>
      <w:r w:rsidRPr="00D4309F">
        <w:rPr>
          <w:spacing w:val="-3"/>
        </w:rPr>
        <w:t xml:space="preserve"> </w:t>
      </w:r>
      <w:r w:rsidRPr="00D4309F">
        <w:t>facing</w:t>
      </w:r>
      <w:r w:rsidRPr="00D4309F">
        <w:rPr>
          <w:spacing w:val="-4"/>
        </w:rPr>
        <w:t xml:space="preserve"> </w:t>
      </w:r>
      <w:r w:rsidRPr="00D4309F">
        <w:t>parts</w:t>
      </w:r>
      <w:r w:rsidRPr="00D4309F">
        <w:rPr>
          <w:spacing w:val="-2"/>
        </w:rPr>
        <w:t xml:space="preserve"> </w:t>
      </w:r>
      <w:r w:rsidRPr="00D4309F">
        <w:t>of</w:t>
      </w:r>
      <w:r w:rsidRPr="00D4309F">
        <w:rPr>
          <w:spacing w:val="-4"/>
        </w:rPr>
        <w:t xml:space="preserve"> </w:t>
      </w:r>
      <w:r w:rsidRPr="00D4309F">
        <w:t>the</w:t>
      </w:r>
      <w:r w:rsidRPr="00D4309F">
        <w:rPr>
          <w:spacing w:val="-3"/>
        </w:rPr>
        <w:t xml:space="preserve"> </w:t>
      </w:r>
      <w:r w:rsidRPr="00D4309F">
        <w:rPr>
          <w:spacing w:val="-4"/>
        </w:rPr>
        <w:t>site</w:t>
      </w:r>
    </w:p>
    <w:p w14:paraId="7983761A" w14:textId="77777777" w:rsidR="00725977" w:rsidRPr="00D4309F" w:rsidRDefault="00725977" w:rsidP="00EC018A">
      <w:pPr>
        <w:pStyle w:val="ListBullet"/>
      </w:pPr>
      <w:r w:rsidRPr="00D4309F">
        <w:t>MSES</w:t>
      </w:r>
      <w:r w:rsidRPr="00D4309F">
        <w:rPr>
          <w:spacing w:val="-6"/>
        </w:rPr>
        <w:t xml:space="preserve"> </w:t>
      </w:r>
      <w:r w:rsidRPr="00D4309F">
        <w:t>regulated</w:t>
      </w:r>
      <w:r w:rsidRPr="00D4309F">
        <w:rPr>
          <w:spacing w:val="-4"/>
        </w:rPr>
        <w:t xml:space="preserve"> </w:t>
      </w:r>
      <w:r w:rsidRPr="00D4309F">
        <w:t>vegetation</w:t>
      </w:r>
      <w:r w:rsidRPr="00D4309F">
        <w:rPr>
          <w:spacing w:val="-3"/>
        </w:rPr>
        <w:t xml:space="preserve"> </w:t>
      </w:r>
      <w:r w:rsidRPr="00D4309F">
        <w:t>(category</w:t>
      </w:r>
      <w:r w:rsidRPr="00D4309F">
        <w:rPr>
          <w:spacing w:val="-3"/>
        </w:rPr>
        <w:t xml:space="preserve"> </w:t>
      </w:r>
      <w:r w:rsidRPr="00D4309F">
        <w:t>B</w:t>
      </w:r>
      <w:r w:rsidRPr="00D4309F">
        <w:rPr>
          <w:spacing w:val="-6"/>
        </w:rPr>
        <w:t xml:space="preserve"> </w:t>
      </w:r>
      <w:r w:rsidRPr="00D4309F">
        <w:t>–</w:t>
      </w:r>
      <w:r w:rsidRPr="00D4309F">
        <w:rPr>
          <w:spacing w:val="-3"/>
        </w:rPr>
        <w:t xml:space="preserve"> </w:t>
      </w:r>
      <w:r w:rsidRPr="00D4309F">
        <w:t>endangered</w:t>
      </w:r>
      <w:r w:rsidRPr="00D4309F">
        <w:rPr>
          <w:spacing w:val="-4"/>
        </w:rPr>
        <w:t xml:space="preserve"> </w:t>
      </w:r>
      <w:r w:rsidRPr="00D4309F">
        <w:t>or</w:t>
      </w:r>
      <w:r w:rsidRPr="00D4309F">
        <w:rPr>
          <w:spacing w:val="-3"/>
        </w:rPr>
        <w:t xml:space="preserve"> </w:t>
      </w:r>
      <w:r w:rsidRPr="00D4309F">
        <w:t>of</w:t>
      </w:r>
      <w:r w:rsidRPr="00D4309F">
        <w:rPr>
          <w:spacing w:val="-3"/>
        </w:rPr>
        <w:t xml:space="preserve"> </w:t>
      </w:r>
      <w:r w:rsidRPr="00D4309F">
        <w:rPr>
          <w:spacing w:val="-2"/>
        </w:rPr>
        <w:t>concern)</w:t>
      </w:r>
    </w:p>
    <w:p w14:paraId="4356CC6A" w14:textId="77777777" w:rsidR="00725977" w:rsidRPr="00D4309F" w:rsidRDefault="00725977" w:rsidP="00EC018A">
      <w:pPr>
        <w:pStyle w:val="ListBullet"/>
      </w:pPr>
      <w:r w:rsidRPr="00D4309F">
        <w:t>MSES</w:t>
      </w:r>
      <w:r w:rsidRPr="00D4309F">
        <w:rPr>
          <w:spacing w:val="-7"/>
        </w:rPr>
        <w:t xml:space="preserve"> </w:t>
      </w:r>
      <w:r w:rsidRPr="00D4309F">
        <w:t>regulated</w:t>
      </w:r>
      <w:r w:rsidRPr="00D4309F">
        <w:rPr>
          <w:spacing w:val="-5"/>
        </w:rPr>
        <w:t xml:space="preserve"> </w:t>
      </w:r>
      <w:r w:rsidRPr="00D4309F">
        <w:t>vegetation</w:t>
      </w:r>
      <w:r w:rsidRPr="00D4309F">
        <w:rPr>
          <w:spacing w:val="-4"/>
        </w:rPr>
        <w:t xml:space="preserve"> </w:t>
      </w:r>
      <w:r w:rsidRPr="00D4309F">
        <w:t>(essential</w:t>
      </w:r>
      <w:r w:rsidRPr="00D4309F">
        <w:rPr>
          <w:spacing w:val="-5"/>
        </w:rPr>
        <w:t xml:space="preserve"> </w:t>
      </w:r>
      <w:r w:rsidRPr="00D4309F">
        <w:t>habitat)</w:t>
      </w:r>
      <w:r w:rsidRPr="00D4309F">
        <w:rPr>
          <w:spacing w:val="-5"/>
        </w:rPr>
        <w:t xml:space="preserve"> </w:t>
      </w:r>
      <w:r w:rsidRPr="00D4309F">
        <w:t>–</w:t>
      </w:r>
      <w:r w:rsidRPr="00D4309F">
        <w:rPr>
          <w:spacing w:val="-4"/>
        </w:rPr>
        <w:t xml:space="preserve"> </w:t>
      </w:r>
      <w:r w:rsidRPr="00D4309F">
        <w:t>Buddina</w:t>
      </w:r>
      <w:r w:rsidRPr="00D4309F">
        <w:rPr>
          <w:spacing w:val="-5"/>
        </w:rPr>
        <w:t xml:space="preserve"> </w:t>
      </w:r>
      <w:r w:rsidRPr="00D4309F">
        <w:t>Beach</w:t>
      </w:r>
      <w:r w:rsidRPr="00D4309F">
        <w:rPr>
          <w:spacing w:val="-5"/>
        </w:rPr>
        <w:t xml:space="preserve"> </w:t>
      </w:r>
      <w:r w:rsidRPr="00D4309F">
        <w:t>dune</w:t>
      </w:r>
      <w:r w:rsidRPr="00D4309F">
        <w:rPr>
          <w:spacing w:val="-4"/>
        </w:rPr>
        <w:t xml:space="preserve"> </w:t>
      </w:r>
      <w:r w:rsidRPr="00D4309F">
        <w:rPr>
          <w:spacing w:val="-2"/>
        </w:rPr>
        <w:t>vegetation.</w:t>
      </w:r>
    </w:p>
    <w:p w14:paraId="73ECD9D8" w14:textId="77777777" w:rsidR="00725977" w:rsidRPr="00D4309F" w:rsidRDefault="00725977" w:rsidP="00725977">
      <w:pPr>
        <w:pStyle w:val="BodyText"/>
      </w:pPr>
      <w:r w:rsidRPr="00D4309F">
        <w:t>Further,</w:t>
      </w:r>
      <w:r w:rsidRPr="00D4309F">
        <w:rPr>
          <w:spacing w:val="-3"/>
        </w:rPr>
        <w:t xml:space="preserve"> </w:t>
      </w:r>
      <w:r w:rsidRPr="00D4309F">
        <w:t>the</w:t>
      </w:r>
      <w:r w:rsidRPr="00D4309F">
        <w:rPr>
          <w:spacing w:val="-3"/>
        </w:rPr>
        <w:t xml:space="preserve"> </w:t>
      </w:r>
      <w:r w:rsidRPr="00D4309F">
        <w:t>area</w:t>
      </w:r>
      <w:r w:rsidRPr="00D4309F">
        <w:rPr>
          <w:spacing w:val="-3"/>
        </w:rPr>
        <w:t xml:space="preserve"> </w:t>
      </w:r>
      <w:r w:rsidRPr="00D4309F">
        <w:t>contains</w:t>
      </w:r>
      <w:r w:rsidRPr="00D4309F">
        <w:rPr>
          <w:spacing w:val="-2"/>
        </w:rPr>
        <w:t xml:space="preserve"> </w:t>
      </w:r>
      <w:r w:rsidRPr="00D4309F">
        <w:t>two</w:t>
      </w:r>
      <w:r w:rsidRPr="00D4309F">
        <w:rPr>
          <w:spacing w:val="-3"/>
        </w:rPr>
        <w:t xml:space="preserve"> </w:t>
      </w:r>
      <w:r w:rsidRPr="00D4309F">
        <w:t>regional</w:t>
      </w:r>
      <w:r w:rsidRPr="00D4309F">
        <w:rPr>
          <w:spacing w:val="-3"/>
        </w:rPr>
        <w:t xml:space="preserve"> </w:t>
      </w:r>
      <w:r w:rsidRPr="00D4309F">
        <w:t>ecosystems</w:t>
      </w:r>
      <w:r w:rsidRPr="00D4309F">
        <w:rPr>
          <w:spacing w:val="-2"/>
        </w:rPr>
        <w:t xml:space="preserve"> </w:t>
      </w:r>
      <w:r w:rsidRPr="00D4309F">
        <w:t>(RE)</w:t>
      </w:r>
      <w:r w:rsidRPr="00D4309F">
        <w:rPr>
          <w:spacing w:val="-3"/>
        </w:rPr>
        <w:t xml:space="preserve"> </w:t>
      </w:r>
      <w:r w:rsidRPr="00D4309F">
        <w:t>mapped</w:t>
      </w:r>
      <w:r w:rsidRPr="00D4309F">
        <w:rPr>
          <w:spacing w:val="-3"/>
        </w:rPr>
        <w:t xml:space="preserve"> </w:t>
      </w:r>
      <w:r w:rsidRPr="00D4309F">
        <w:t>by</w:t>
      </w:r>
      <w:r w:rsidRPr="00D4309F">
        <w:rPr>
          <w:spacing w:val="-2"/>
        </w:rPr>
        <w:t xml:space="preserve"> </w:t>
      </w:r>
      <w:r w:rsidRPr="00D4309F">
        <w:t>Department</w:t>
      </w:r>
      <w:r w:rsidRPr="00D4309F">
        <w:rPr>
          <w:spacing w:val="-5"/>
        </w:rPr>
        <w:t xml:space="preserve"> </w:t>
      </w:r>
      <w:r w:rsidRPr="00D4309F">
        <w:t>of</w:t>
      </w:r>
      <w:r w:rsidRPr="00D4309F">
        <w:rPr>
          <w:spacing w:val="-3"/>
        </w:rPr>
        <w:t xml:space="preserve"> </w:t>
      </w:r>
      <w:r w:rsidRPr="00D4309F">
        <w:t>the</w:t>
      </w:r>
      <w:r w:rsidRPr="00D4309F">
        <w:rPr>
          <w:spacing w:val="-3"/>
        </w:rPr>
        <w:t xml:space="preserve"> </w:t>
      </w:r>
      <w:r w:rsidRPr="00D4309F">
        <w:t xml:space="preserve">Environment, Tourism, Science and Innovation (DESI) and listed under the </w:t>
      </w:r>
      <w:r w:rsidRPr="00D4309F">
        <w:rPr>
          <w:i/>
        </w:rPr>
        <w:t>Vegetation Management Act 1999</w:t>
      </w:r>
      <w:r w:rsidRPr="00D4309F">
        <w:t>: (Queensland Herbarium, 2024):</w:t>
      </w:r>
    </w:p>
    <w:p w14:paraId="606E1D6A" w14:textId="77777777" w:rsidR="00725977" w:rsidRPr="00D4309F" w:rsidRDefault="00725977" w:rsidP="00EC018A">
      <w:pPr>
        <w:pStyle w:val="ListBullet"/>
      </w:pPr>
      <w:r w:rsidRPr="00D4309F">
        <w:t>Category</w:t>
      </w:r>
      <w:r w:rsidRPr="00D4309F">
        <w:rPr>
          <w:spacing w:val="-2"/>
        </w:rPr>
        <w:t xml:space="preserve"> </w:t>
      </w:r>
      <w:r w:rsidRPr="00D4309F">
        <w:t>B</w:t>
      </w:r>
      <w:r w:rsidRPr="00D4309F">
        <w:rPr>
          <w:spacing w:val="-3"/>
        </w:rPr>
        <w:t xml:space="preserve"> </w:t>
      </w:r>
      <w:r w:rsidRPr="00D4309F">
        <w:t>‘of</w:t>
      </w:r>
      <w:r w:rsidRPr="00D4309F">
        <w:rPr>
          <w:spacing w:val="-3"/>
        </w:rPr>
        <w:t xml:space="preserve"> </w:t>
      </w:r>
      <w:r w:rsidRPr="00D4309F">
        <w:t>concern’</w:t>
      </w:r>
      <w:r w:rsidRPr="00D4309F">
        <w:rPr>
          <w:spacing w:val="-4"/>
        </w:rPr>
        <w:t xml:space="preserve"> </w:t>
      </w:r>
      <w:r w:rsidRPr="00D4309F">
        <w:t>(RE</w:t>
      </w:r>
      <w:r w:rsidRPr="00D4309F">
        <w:rPr>
          <w:spacing w:val="-3"/>
        </w:rPr>
        <w:t xml:space="preserve"> </w:t>
      </w:r>
      <w:r w:rsidRPr="00D4309F">
        <w:t>12.12.19)</w:t>
      </w:r>
      <w:r w:rsidRPr="00D4309F">
        <w:rPr>
          <w:spacing w:val="-3"/>
        </w:rPr>
        <w:t xml:space="preserve"> </w:t>
      </w:r>
      <w:r w:rsidRPr="00D4309F">
        <w:t>–</w:t>
      </w:r>
      <w:r w:rsidRPr="00D4309F">
        <w:rPr>
          <w:spacing w:val="-4"/>
        </w:rPr>
        <w:t xml:space="preserve"> </w:t>
      </w:r>
      <w:r w:rsidRPr="00D4309F">
        <w:t>A</w:t>
      </w:r>
      <w:r w:rsidRPr="00D4309F">
        <w:rPr>
          <w:spacing w:val="-3"/>
        </w:rPr>
        <w:t xml:space="preserve"> </w:t>
      </w:r>
      <w:r w:rsidRPr="00D4309F">
        <w:t>vegetation</w:t>
      </w:r>
      <w:r w:rsidRPr="00D4309F">
        <w:rPr>
          <w:spacing w:val="-4"/>
        </w:rPr>
        <w:t xml:space="preserve"> </w:t>
      </w:r>
      <w:r w:rsidRPr="00D4309F">
        <w:t>complex</w:t>
      </w:r>
      <w:r w:rsidRPr="00D4309F">
        <w:rPr>
          <w:spacing w:val="-2"/>
        </w:rPr>
        <w:t xml:space="preserve"> </w:t>
      </w:r>
      <w:r w:rsidRPr="00D4309F">
        <w:t>of</w:t>
      </w:r>
      <w:r w:rsidRPr="00D4309F">
        <w:rPr>
          <w:spacing w:val="-3"/>
        </w:rPr>
        <w:t xml:space="preserve"> </w:t>
      </w:r>
      <w:r w:rsidRPr="00D4309F">
        <w:t>exposed</w:t>
      </w:r>
      <w:r w:rsidRPr="00D4309F">
        <w:rPr>
          <w:spacing w:val="-3"/>
        </w:rPr>
        <w:t xml:space="preserve"> </w:t>
      </w:r>
      <w:r w:rsidRPr="00D4309F">
        <w:t>headlands</w:t>
      </w:r>
      <w:r w:rsidRPr="00D4309F">
        <w:rPr>
          <w:spacing w:val="-2"/>
        </w:rPr>
        <w:t xml:space="preserve"> </w:t>
      </w:r>
      <w:r w:rsidRPr="00D4309F">
        <w:t>of</w:t>
      </w:r>
      <w:r w:rsidRPr="00D4309F">
        <w:rPr>
          <w:spacing w:val="-3"/>
        </w:rPr>
        <w:t xml:space="preserve"> </w:t>
      </w:r>
      <w:r w:rsidRPr="00D4309F">
        <w:t>remnant</w:t>
      </w:r>
      <w:r w:rsidRPr="00D4309F">
        <w:rPr>
          <w:spacing w:val="-3"/>
        </w:rPr>
        <w:t xml:space="preserve"> </w:t>
      </w:r>
      <w:r w:rsidRPr="00D4309F">
        <w:t xml:space="preserve">Tertiary surfaces. Typically, this vegetation type includes species such as </w:t>
      </w:r>
      <w:r w:rsidRPr="00D4309F">
        <w:rPr>
          <w:i/>
        </w:rPr>
        <w:t xml:space="preserve">Themeda triandra </w:t>
      </w:r>
      <w:r w:rsidRPr="00D4309F">
        <w:t>grassland</w:t>
      </w:r>
      <w:r w:rsidRPr="00D4309F">
        <w:rPr>
          <w:spacing w:val="-1"/>
        </w:rPr>
        <w:t xml:space="preserve"> </w:t>
      </w:r>
      <w:r w:rsidRPr="00D4309F">
        <w:t>and wind-sheared shrubland and woodland</w:t>
      </w:r>
    </w:p>
    <w:p w14:paraId="7B6B65B6" w14:textId="77777777" w:rsidR="00725977" w:rsidRPr="00D4309F" w:rsidRDefault="00725977" w:rsidP="00EC018A">
      <w:pPr>
        <w:pStyle w:val="ListBullet"/>
      </w:pPr>
      <w:r w:rsidRPr="00D4309F">
        <w:rPr>
          <w:color w:val="211E1F"/>
        </w:rPr>
        <w:t>Category B ‘least concern’ (RE 12.2.14) – A strand and foredune complex. This vegetation type tends to include</w:t>
      </w:r>
      <w:r w:rsidRPr="00D4309F">
        <w:rPr>
          <w:color w:val="211E1F"/>
          <w:spacing w:val="-3"/>
        </w:rPr>
        <w:t xml:space="preserve"> </w:t>
      </w:r>
      <w:r w:rsidRPr="00D4309F">
        <w:rPr>
          <w:color w:val="211E1F"/>
        </w:rPr>
        <w:t>species</w:t>
      </w:r>
      <w:r w:rsidRPr="00D4309F">
        <w:rPr>
          <w:color w:val="211E1F"/>
          <w:spacing w:val="-2"/>
        </w:rPr>
        <w:t xml:space="preserve"> </w:t>
      </w:r>
      <w:r w:rsidRPr="00D4309F">
        <w:rPr>
          <w:color w:val="211E1F"/>
        </w:rPr>
        <w:t>such</w:t>
      </w:r>
      <w:r w:rsidRPr="00D4309F">
        <w:rPr>
          <w:color w:val="211E1F"/>
          <w:spacing w:val="-3"/>
        </w:rPr>
        <w:t xml:space="preserve"> </w:t>
      </w:r>
      <w:r w:rsidRPr="00D4309F">
        <w:rPr>
          <w:color w:val="211E1F"/>
        </w:rPr>
        <w:t>as</w:t>
      </w:r>
      <w:r w:rsidRPr="00D4309F">
        <w:rPr>
          <w:color w:val="211E1F"/>
          <w:spacing w:val="-3"/>
        </w:rPr>
        <w:t xml:space="preserve"> </w:t>
      </w:r>
      <w:r w:rsidRPr="00D4309F">
        <w:rPr>
          <w:i/>
          <w:color w:val="211E1F"/>
        </w:rPr>
        <w:t>Spinifex</w:t>
      </w:r>
      <w:r w:rsidRPr="00D4309F">
        <w:rPr>
          <w:i/>
          <w:color w:val="211E1F"/>
          <w:spacing w:val="-3"/>
        </w:rPr>
        <w:t xml:space="preserve"> </w:t>
      </w:r>
      <w:r w:rsidRPr="00D4309F">
        <w:rPr>
          <w:i/>
          <w:color w:val="211E1F"/>
        </w:rPr>
        <w:t>sericeus</w:t>
      </w:r>
      <w:r w:rsidRPr="00D4309F">
        <w:rPr>
          <w:i/>
          <w:color w:val="211E1F"/>
          <w:spacing w:val="-3"/>
        </w:rPr>
        <w:t xml:space="preserve"> </w:t>
      </w:r>
      <w:r w:rsidRPr="00D4309F">
        <w:rPr>
          <w:color w:val="211E1F"/>
        </w:rPr>
        <w:t>grassland</w:t>
      </w:r>
      <w:r w:rsidRPr="00D4309F">
        <w:rPr>
          <w:color w:val="211E1F"/>
          <w:spacing w:val="-4"/>
        </w:rPr>
        <w:t xml:space="preserve"> </w:t>
      </w:r>
      <w:r w:rsidRPr="00D4309F">
        <w:rPr>
          <w:color w:val="211E1F"/>
        </w:rPr>
        <w:t>as</w:t>
      </w:r>
      <w:r w:rsidRPr="00D4309F">
        <w:rPr>
          <w:color w:val="211E1F"/>
          <w:spacing w:val="-2"/>
        </w:rPr>
        <w:t xml:space="preserve"> </w:t>
      </w:r>
      <w:r w:rsidRPr="00D4309F">
        <w:rPr>
          <w:color w:val="211E1F"/>
        </w:rPr>
        <w:t>well</w:t>
      </w:r>
      <w:r w:rsidRPr="00D4309F">
        <w:rPr>
          <w:color w:val="211E1F"/>
          <w:spacing w:val="-3"/>
        </w:rPr>
        <w:t xml:space="preserve"> </w:t>
      </w:r>
      <w:r w:rsidRPr="00D4309F">
        <w:rPr>
          <w:color w:val="211E1F"/>
        </w:rPr>
        <w:t>as</w:t>
      </w:r>
      <w:r w:rsidRPr="00D4309F">
        <w:rPr>
          <w:color w:val="211E1F"/>
          <w:spacing w:val="-4"/>
        </w:rPr>
        <w:t xml:space="preserve"> </w:t>
      </w:r>
      <w:r w:rsidRPr="00D4309F">
        <w:rPr>
          <w:i/>
          <w:color w:val="211E1F"/>
        </w:rPr>
        <w:t>Casuarina</w:t>
      </w:r>
      <w:r w:rsidRPr="00D4309F">
        <w:rPr>
          <w:i/>
          <w:color w:val="211E1F"/>
          <w:spacing w:val="-3"/>
        </w:rPr>
        <w:t xml:space="preserve"> </w:t>
      </w:r>
      <w:r w:rsidRPr="00D4309F">
        <w:rPr>
          <w:i/>
          <w:color w:val="211E1F"/>
        </w:rPr>
        <w:t>equisetifolia</w:t>
      </w:r>
      <w:r w:rsidRPr="00D4309F">
        <w:rPr>
          <w:i/>
          <w:color w:val="211E1F"/>
          <w:spacing w:val="-3"/>
        </w:rPr>
        <w:t xml:space="preserve"> </w:t>
      </w:r>
      <w:r w:rsidRPr="00D4309F">
        <w:rPr>
          <w:i/>
          <w:color w:val="211E1F"/>
        </w:rPr>
        <w:t>subsp.</w:t>
      </w:r>
      <w:r w:rsidRPr="00D4309F">
        <w:rPr>
          <w:i/>
          <w:color w:val="211E1F"/>
          <w:spacing w:val="-5"/>
        </w:rPr>
        <w:t xml:space="preserve"> </w:t>
      </w:r>
      <w:r w:rsidRPr="00D4309F">
        <w:rPr>
          <w:i/>
          <w:color w:val="211E1F"/>
        </w:rPr>
        <w:t>incana</w:t>
      </w:r>
      <w:r w:rsidRPr="00D4309F">
        <w:rPr>
          <w:i/>
          <w:color w:val="211E1F"/>
          <w:spacing w:val="-3"/>
        </w:rPr>
        <w:t xml:space="preserve"> </w:t>
      </w:r>
      <w:r w:rsidRPr="00D4309F">
        <w:rPr>
          <w:color w:val="211E1F"/>
        </w:rPr>
        <w:t xml:space="preserve">low woodland/open forest with </w:t>
      </w:r>
      <w:r w:rsidRPr="00D4309F">
        <w:rPr>
          <w:i/>
          <w:color w:val="211E1F"/>
        </w:rPr>
        <w:t xml:space="preserve">Acacia sp., Banksia integrifolia </w:t>
      </w:r>
      <w:r w:rsidRPr="00D4309F">
        <w:rPr>
          <w:color w:val="211E1F"/>
        </w:rPr>
        <w:t xml:space="preserve">and </w:t>
      </w:r>
      <w:r w:rsidRPr="00D4309F">
        <w:rPr>
          <w:i/>
          <w:color w:val="211E1F"/>
        </w:rPr>
        <w:t>Corymbia tessellaris</w:t>
      </w:r>
      <w:r w:rsidRPr="00D4309F">
        <w:rPr>
          <w:color w:val="211E1F"/>
        </w:rPr>
        <w:t>.</w:t>
      </w:r>
    </w:p>
    <w:p w14:paraId="04AA28BC" w14:textId="5803DBFE" w:rsidR="00F06E88" w:rsidRPr="00D4309F" w:rsidRDefault="00725977" w:rsidP="00725977">
      <w:pPr>
        <w:pStyle w:val="BodyText"/>
      </w:pPr>
      <w:r w:rsidRPr="00D4309F">
        <w:lastRenderedPageBreak/>
        <w:t>Two</w:t>
      </w:r>
      <w:r w:rsidRPr="00D4309F">
        <w:rPr>
          <w:spacing w:val="-2"/>
        </w:rPr>
        <w:t xml:space="preserve"> </w:t>
      </w:r>
      <w:r w:rsidRPr="00D4309F">
        <w:t>flora</w:t>
      </w:r>
      <w:r w:rsidRPr="00D4309F">
        <w:rPr>
          <w:spacing w:val="-2"/>
        </w:rPr>
        <w:t xml:space="preserve"> </w:t>
      </w:r>
      <w:r w:rsidRPr="00D4309F">
        <w:t>species</w:t>
      </w:r>
      <w:r w:rsidRPr="00D4309F">
        <w:rPr>
          <w:spacing w:val="-1"/>
        </w:rPr>
        <w:t xml:space="preserve"> </w:t>
      </w:r>
      <w:r w:rsidRPr="00D4309F">
        <w:t>listed</w:t>
      </w:r>
      <w:r w:rsidRPr="00D4309F">
        <w:rPr>
          <w:spacing w:val="-2"/>
        </w:rPr>
        <w:t xml:space="preserve"> </w:t>
      </w:r>
      <w:r w:rsidRPr="00D4309F">
        <w:t>as</w:t>
      </w:r>
      <w:r w:rsidRPr="00D4309F">
        <w:rPr>
          <w:spacing w:val="-2"/>
        </w:rPr>
        <w:t xml:space="preserve"> </w:t>
      </w:r>
      <w:r w:rsidRPr="00D4309F">
        <w:t>threatened</w:t>
      </w:r>
      <w:r w:rsidRPr="00D4309F">
        <w:rPr>
          <w:spacing w:val="-2"/>
        </w:rPr>
        <w:t xml:space="preserve"> </w:t>
      </w:r>
      <w:r w:rsidRPr="00D4309F">
        <w:t>under</w:t>
      </w:r>
      <w:r w:rsidRPr="00D4309F">
        <w:rPr>
          <w:spacing w:val="-1"/>
        </w:rPr>
        <w:t xml:space="preserve"> </w:t>
      </w:r>
      <w:r w:rsidRPr="00D4309F">
        <w:t>the</w:t>
      </w:r>
      <w:r w:rsidRPr="00D4309F">
        <w:rPr>
          <w:spacing w:val="-3"/>
        </w:rPr>
        <w:t xml:space="preserve"> </w:t>
      </w:r>
      <w:r w:rsidRPr="00D4309F">
        <w:t>NC</w:t>
      </w:r>
      <w:r w:rsidRPr="00D4309F">
        <w:rPr>
          <w:spacing w:val="-3"/>
        </w:rPr>
        <w:t xml:space="preserve"> </w:t>
      </w:r>
      <w:r w:rsidRPr="00D4309F">
        <w:t>Act</w:t>
      </w:r>
      <w:r w:rsidRPr="00D4309F">
        <w:rPr>
          <w:spacing w:val="-3"/>
        </w:rPr>
        <w:t xml:space="preserve"> </w:t>
      </w:r>
      <w:r w:rsidRPr="00D4309F">
        <w:t>have</w:t>
      </w:r>
      <w:r w:rsidRPr="00D4309F">
        <w:rPr>
          <w:spacing w:val="-2"/>
        </w:rPr>
        <w:t xml:space="preserve"> </w:t>
      </w:r>
      <w:r w:rsidRPr="00D4309F">
        <w:t>been</w:t>
      </w:r>
      <w:r w:rsidRPr="00D4309F">
        <w:rPr>
          <w:spacing w:val="-2"/>
        </w:rPr>
        <w:t xml:space="preserve"> </w:t>
      </w:r>
      <w:r w:rsidRPr="00D4309F">
        <w:t>reported</w:t>
      </w:r>
      <w:r w:rsidRPr="00D4309F">
        <w:rPr>
          <w:spacing w:val="-2"/>
        </w:rPr>
        <w:t xml:space="preserve"> </w:t>
      </w:r>
      <w:r w:rsidRPr="00D4309F">
        <w:t>in</w:t>
      </w:r>
      <w:r w:rsidRPr="00D4309F">
        <w:rPr>
          <w:spacing w:val="-3"/>
        </w:rPr>
        <w:t xml:space="preserve"> </w:t>
      </w:r>
      <w:r w:rsidRPr="00D4309F">
        <w:t>Point</w:t>
      </w:r>
      <w:r w:rsidRPr="00D4309F">
        <w:rPr>
          <w:spacing w:val="-2"/>
        </w:rPr>
        <w:t xml:space="preserve"> </w:t>
      </w:r>
      <w:r w:rsidRPr="00D4309F">
        <w:t>Cartwright</w:t>
      </w:r>
      <w:r w:rsidRPr="00D4309F">
        <w:rPr>
          <w:spacing w:val="-2"/>
        </w:rPr>
        <w:t xml:space="preserve"> </w:t>
      </w:r>
      <w:r w:rsidRPr="00D4309F">
        <w:t xml:space="preserve">Reserve: </w:t>
      </w:r>
      <w:r w:rsidRPr="00D4309F">
        <w:rPr>
          <w:i/>
        </w:rPr>
        <w:t>Pararistolochia</w:t>
      </w:r>
      <w:r w:rsidRPr="00D4309F">
        <w:rPr>
          <w:i/>
          <w:spacing w:val="-3"/>
        </w:rPr>
        <w:t xml:space="preserve"> </w:t>
      </w:r>
      <w:r w:rsidRPr="00D4309F">
        <w:rPr>
          <w:i/>
        </w:rPr>
        <w:t>praevenosa</w:t>
      </w:r>
      <w:r w:rsidRPr="00D4309F">
        <w:rPr>
          <w:i/>
          <w:spacing w:val="-4"/>
        </w:rPr>
        <w:t xml:space="preserve"> </w:t>
      </w:r>
      <w:r w:rsidRPr="00D4309F">
        <w:t>(Richmond</w:t>
      </w:r>
      <w:r w:rsidRPr="00D4309F">
        <w:rPr>
          <w:spacing w:val="-3"/>
        </w:rPr>
        <w:t xml:space="preserve"> </w:t>
      </w:r>
      <w:r w:rsidRPr="00D4309F">
        <w:t>birdwing</w:t>
      </w:r>
      <w:r w:rsidRPr="00D4309F">
        <w:rPr>
          <w:spacing w:val="-3"/>
        </w:rPr>
        <w:t xml:space="preserve"> </w:t>
      </w:r>
      <w:r w:rsidRPr="00D4309F">
        <w:t>butterfly</w:t>
      </w:r>
      <w:r w:rsidRPr="00D4309F">
        <w:rPr>
          <w:spacing w:val="-2"/>
        </w:rPr>
        <w:t xml:space="preserve"> </w:t>
      </w:r>
      <w:r w:rsidRPr="00D4309F">
        <w:t>vine)</w:t>
      </w:r>
      <w:r w:rsidRPr="00D4309F">
        <w:rPr>
          <w:spacing w:val="-3"/>
        </w:rPr>
        <w:t xml:space="preserve"> </w:t>
      </w:r>
      <w:r w:rsidRPr="00D4309F">
        <w:t>–</w:t>
      </w:r>
      <w:r w:rsidRPr="00D4309F">
        <w:rPr>
          <w:spacing w:val="-3"/>
        </w:rPr>
        <w:t xml:space="preserve"> </w:t>
      </w:r>
      <w:r w:rsidRPr="00D4309F">
        <w:t>‘near</w:t>
      </w:r>
      <w:r w:rsidRPr="00D4309F">
        <w:rPr>
          <w:spacing w:val="-2"/>
        </w:rPr>
        <w:t xml:space="preserve"> </w:t>
      </w:r>
      <w:r w:rsidRPr="00D4309F">
        <w:t>threatened’</w:t>
      </w:r>
      <w:r w:rsidRPr="00D4309F">
        <w:rPr>
          <w:spacing w:val="-3"/>
        </w:rPr>
        <w:t xml:space="preserve"> </w:t>
      </w:r>
      <w:r w:rsidRPr="00D4309F">
        <w:t>and</w:t>
      </w:r>
      <w:r w:rsidRPr="00D4309F">
        <w:rPr>
          <w:spacing w:val="-3"/>
        </w:rPr>
        <w:t xml:space="preserve"> </w:t>
      </w:r>
      <w:r w:rsidRPr="00D4309F">
        <w:rPr>
          <w:i/>
        </w:rPr>
        <w:t>Murraya</w:t>
      </w:r>
      <w:r w:rsidRPr="00D4309F">
        <w:rPr>
          <w:i/>
          <w:spacing w:val="-4"/>
        </w:rPr>
        <w:t xml:space="preserve"> </w:t>
      </w:r>
      <w:r w:rsidRPr="00D4309F">
        <w:rPr>
          <w:i/>
        </w:rPr>
        <w:t xml:space="preserve">crenulata </w:t>
      </w:r>
      <w:r w:rsidRPr="00D4309F">
        <w:t>(Smyrell's clausena) – ‘endangered’.</w:t>
      </w:r>
    </w:p>
    <w:p w14:paraId="007A65AC" w14:textId="77777777" w:rsidR="00725977" w:rsidRPr="00D4309F" w:rsidRDefault="00725977" w:rsidP="00725977">
      <w:pPr>
        <w:pStyle w:val="Heading4"/>
      </w:pPr>
      <w:r w:rsidRPr="00D4309F">
        <w:t>Commonwealth</w:t>
      </w:r>
      <w:r w:rsidRPr="00D4309F">
        <w:rPr>
          <w:color w:val="70004A"/>
          <w:spacing w:val="-5"/>
        </w:rPr>
        <w:t xml:space="preserve"> </w:t>
      </w:r>
      <w:r w:rsidRPr="00D4309F">
        <w:rPr>
          <w:color w:val="70004A"/>
        </w:rPr>
        <w:t>significant</w:t>
      </w:r>
      <w:r w:rsidRPr="00D4309F">
        <w:rPr>
          <w:color w:val="70004A"/>
          <w:spacing w:val="-3"/>
        </w:rPr>
        <w:t xml:space="preserve"> </w:t>
      </w:r>
      <w:r w:rsidRPr="00D4309F">
        <w:rPr>
          <w:color w:val="70004A"/>
        </w:rPr>
        <w:t>habitats,</w:t>
      </w:r>
      <w:r w:rsidRPr="00D4309F">
        <w:rPr>
          <w:color w:val="70004A"/>
          <w:spacing w:val="-6"/>
        </w:rPr>
        <w:t xml:space="preserve"> </w:t>
      </w:r>
      <w:r w:rsidRPr="00D4309F">
        <w:rPr>
          <w:color w:val="70004A"/>
        </w:rPr>
        <w:t>flora</w:t>
      </w:r>
      <w:r w:rsidRPr="00D4309F">
        <w:rPr>
          <w:color w:val="70004A"/>
          <w:spacing w:val="-5"/>
        </w:rPr>
        <w:t xml:space="preserve"> </w:t>
      </w:r>
      <w:r w:rsidRPr="00D4309F">
        <w:rPr>
          <w:color w:val="70004A"/>
        </w:rPr>
        <w:t>and</w:t>
      </w:r>
      <w:r w:rsidRPr="00D4309F">
        <w:rPr>
          <w:color w:val="70004A"/>
          <w:spacing w:val="-4"/>
        </w:rPr>
        <w:t xml:space="preserve"> </w:t>
      </w:r>
      <w:r w:rsidRPr="00D4309F">
        <w:rPr>
          <w:color w:val="70004A"/>
          <w:spacing w:val="-2"/>
        </w:rPr>
        <w:t>fauna</w:t>
      </w:r>
    </w:p>
    <w:p w14:paraId="729B35AC" w14:textId="77777777" w:rsidR="00725977" w:rsidRPr="00D4309F" w:rsidRDefault="00725977" w:rsidP="00725977">
      <w:pPr>
        <w:pStyle w:val="BodyText"/>
      </w:pPr>
      <w:r w:rsidRPr="00D4309F">
        <w:t>The</w:t>
      </w:r>
      <w:r w:rsidRPr="00D4309F">
        <w:rPr>
          <w:spacing w:val="-3"/>
        </w:rPr>
        <w:t xml:space="preserve"> </w:t>
      </w:r>
      <w:r w:rsidRPr="00D4309F">
        <w:t>Point</w:t>
      </w:r>
      <w:r w:rsidRPr="00D4309F">
        <w:rPr>
          <w:spacing w:val="-3"/>
        </w:rPr>
        <w:t xml:space="preserve"> </w:t>
      </w:r>
      <w:r w:rsidRPr="00D4309F">
        <w:t>Cartwright</w:t>
      </w:r>
      <w:r w:rsidRPr="00D4309F">
        <w:rPr>
          <w:spacing w:val="-3"/>
        </w:rPr>
        <w:t xml:space="preserve"> </w:t>
      </w:r>
      <w:r w:rsidRPr="00D4309F">
        <w:t>Reserve</w:t>
      </w:r>
      <w:r w:rsidRPr="00D4309F">
        <w:rPr>
          <w:spacing w:val="-3"/>
        </w:rPr>
        <w:t xml:space="preserve"> </w:t>
      </w:r>
      <w:r w:rsidRPr="00D4309F">
        <w:t>and</w:t>
      </w:r>
      <w:r w:rsidRPr="00D4309F">
        <w:rPr>
          <w:spacing w:val="-3"/>
        </w:rPr>
        <w:t xml:space="preserve"> </w:t>
      </w:r>
      <w:r w:rsidRPr="00D4309F">
        <w:t>nearby</w:t>
      </w:r>
      <w:r w:rsidRPr="00D4309F">
        <w:rPr>
          <w:spacing w:val="-2"/>
        </w:rPr>
        <w:t xml:space="preserve"> </w:t>
      </w:r>
      <w:r w:rsidRPr="00D4309F">
        <w:t>vegetated</w:t>
      </w:r>
      <w:r w:rsidRPr="00D4309F">
        <w:rPr>
          <w:spacing w:val="-3"/>
        </w:rPr>
        <w:t xml:space="preserve"> </w:t>
      </w:r>
      <w:r w:rsidRPr="00D4309F">
        <w:t>areas</w:t>
      </w:r>
      <w:r w:rsidRPr="00D4309F">
        <w:rPr>
          <w:spacing w:val="-2"/>
        </w:rPr>
        <w:t xml:space="preserve"> </w:t>
      </w:r>
      <w:r w:rsidRPr="00D4309F">
        <w:t>include</w:t>
      </w:r>
      <w:r w:rsidRPr="00D4309F">
        <w:rPr>
          <w:spacing w:val="-4"/>
        </w:rPr>
        <w:t xml:space="preserve"> </w:t>
      </w:r>
      <w:r w:rsidRPr="00D4309F">
        <w:t>areas</w:t>
      </w:r>
      <w:r w:rsidRPr="00D4309F">
        <w:rPr>
          <w:spacing w:val="-2"/>
        </w:rPr>
        <w:t xml:space="preserve"> </w:t>
      </w:r>
      <w:r w:rsidRPr="00D4309F">
        <w:t>of</w:t>
      </w:r>
      <w:r w:rsidRPr="00D4309F">
        <w:rPr>
          <w:spacing w:val="-3"/>
        </w:rPr>
        <w:t xml:space="preserve"> </w:t>
      </w:r>
      <w:r w:rsidRPr="00D4309F">
        <w:t>MNES,</w:t>
      </w:r>
      <w:r w:rsidRPr="00D4309F">
        <w:rPr>
          <w:spacing w:val="-3"/>
        </w:rPr>
        <w:t xml:space="preserve"> </w:t>
      </w:r>
      <w:r w:rsidRPr="00D4309F">
        <w:t>including</w:t>
      </w:r>
      <w:r w:rsidRPr="00D4309F">
        <w:rPr>
          <w:spacing w:val="-4"/>
        </w:rPr>
        <w:t xml:space="preserve"> </w:t>
      </w:r>
      <w:r w:rsidRPr="00D4309F">
        <w:t>five</w:t>
      </w:r>
      <w:r w:rsidRPr="00D4309F">
        <w:rPr>
          <w:spacing w:val="-3"/>
        </w:rPr>
        <w:t xml:space="preserve"> </w:t>
      </w:r>
      <w:r w:rsidRPr="00D4309F">
        <w:t>TECs</w:t>
      </w:r>
      <w:r w:rsidRPr="00D4309F">
        <w:rPr>
          <w:spacing w:val="-2"/>
        </w:rPr>
        <w:t xml:space="preserve"> </w:t>
      </w:r>
      <w:r w:rsidRPr="00D4309F">
        <w:t xml:space="preserve">listed under the EPBC Act PMST search (DCCEEW, 2025). The PMST search covered the current dredging and disposal areas with a 2 km buffer, which may have captured TECs that are inland of the area of interest and are unlikely to be impacted by the Mooloolaba Boat Harbour activities. Additionally, one study of the Point Cartwright and La Balsa Park area identified one TEC was present, the </w:t>
      </w:r>
      <w:r w:rsidRPr="00D4309F">
        <w:rPr>
          <w:i/>
        </w:rPr>
        <w:t xml:space="preserve">Littoral rainforest and coastal vine thickets of eastern Australia </w:t>
      </w:r>
      <w:r w:rsidRPr="00D4309F">
        <w:t>TEC (FPE, 2022), which was not listed in the PMST search. The investigation also determined the TEC Coastal Swamp Oak (</w:t>
      </w:r>
      <w:r w:rsidRPr="00D4309F">
        <w:rPr>
          <w:i/>
        </w:rPr>
        <w:t>Casuarina glauca</w:t>
      </w:r>
      <w:r w:rsidRPr="00D4309F">
        <w:t>) Forest of New South Wales and South East Queensland were not present in the Point Carwright and La Balsa Park area. Further, no threatened plant species have been reported immediately adjacent to the Mooloolaba Boat Harbour (KBR, 2023).</w:t>
      </w:r>
    </w:p>
    <w:p w14:paraId="4766FE8C" w14:textId="77777777" w:rsidR="00725977" w:rsidRDefault="00725977" w:rsidP="00725977">
      <w:pPr>
        <w:pStyle w:val="BodyText"/>
      </w:pPr>
      <w:r w:rsidRPr="00D4309F">
        <w:t>There are 13 terrestrial fauna species listed under a threatened category of the EPBC Act that were identified in the PMST search as potentially occurring in the area, including mammals, insects and reptiles (Appendix</w:t>
      </w:r>
      <w:r w:rsidRPr="00D4309F">
        <w:rPr>
          <w:spacing w:val="-2"/>
        </w:rPr>
        <w:t xml:space="preserve"> </w:t>
      </w:r>
      <w:r w:rsidRPr="00D4309F">
        <w:t>A).</w:t>
      </w:r>
      <w:r w:rsidRPr="00D4309F">
        <w:rPr>
          <w:spacing w:val="-3"/>
        </w:rPr>
        <w:t xml:space="preserve"> </w:t>
      </w:r>
      <w:r w:rsidRPr="00D4309F">
        <w:t>Further</w:t>
      </w:r>
      <w:r w:rsidRPr="00D4309F">
        <w:rPr>
          <w:spacing w:val="-2"/>
        </w:rPr>
        <w:t xml:space="preserve"> </w:t>
      </w:r>
      <w:r w:rsidRPr="00D4309F">
        <w:t>assessment</w:t>
      </w:r>
      <w:r w:rsidRPr="00D4309F">
        <w:rPr>
          <w:spacing w:val="-3"/>
        </w:rPr>
        <w:t xml:space="preserve"> </w:t>
      </w:r>
      <w:r w:rsidRPr="00D4309F">
        <w:t>will</w:t>
      </w:r>
      <w:r w:rsidRPr="00D4309F">
        <w:rPr>
          <w:spacing w:val="-3"/>
        </w:rPr>
        <w:t xml:space="preserve"> </w:t>
      </w:r>
      <w:r w:rsidRPr="00D4309F">
        <w:t>be</w:t>
      </w:r>
      <w:r w:rsidRPr="00D4309F">
        <w:rPr>
          <w:spacing w:val="-3"/>
        </w:rPr>
        <w:t xml:space="preserve"> </w:t>
      </w:r>
      <w:r w:rsidRPr="00D4309F">
        <w:t>required</w:t>
      </w:r>
      <w:r w:rsidRPr="00D4309F">
        <w:rPr>
          <w:spacing w:val="-3"/>
        </w:rPr>
        <w:t xml:space="preserve"> </w:t>
      </w:r>
      <w:r w:rsidRPr="00D4309F">
        <w:t>to</w:t>
      </w:r>
      <w:r w:rsidRPr="00D4309F">
        <w:rPr>
          <w:spacing w:val="-3"/>
        </w:rPr>
        <w:t xml:space="preserve"> </w:t>
      </w:r>
      <w:r w:rsidRPr="00D4309F">
        <w:t>determine</w:t>
      </w:r>
      <w:r w:rsidRPr="00D4309F">
        <w:rPr>
          <w:spacing w:val="-3"/>
        </w:rPr>
        <w:t xml:space="preserve"> </w:t>
      </w:r>
      <w:r w:rsidRPr="00D4309F">
        <w:t>if</w:t>
      </w:r>
      <w:r w:rsidRPr="00D4309F">
        <w:rPr>
          <w:spacing w:val="-3"/>
        </w:rPr>
        <w:t xml:space="preserve"> </w:t>
      </w:r>
      <w:r w:rsidRPr="00D4309F">
        <w:t>these</w:t>
      </w:r>
      <w:r w:rsidRPr="00D4309F">
        <w:rPr>
          <w:spacing w:val="-3"/>
        </w:rPr>
        <w:t xml:space="preserve"> </w:t>
      </w:r>
      <w:r w:rsidRPr="00D4309F">
        <w:t>occur</w:t>
      </w:r>
      <w:r w:rsidRPr="00D4309F">
        <w:rPr>
          <w:spacing w:val="-2"/>
        </w:rPr>
        <w:t xml:space="preserve"> </w:t>
      </w:r>
      <w:r w:rsidRPr="00D4309F">
        <w:t>in</w:t>
      </w:r>
      <w:r w:rsidRPr="00D4309F">
        <w:rPr>
          <w:spacing w:val="-4"/>
        </w:rPr>
        <w:t xml:space="preserve"> </w:t>
      </w:r>
      <w:r w:rsidRPr="00D4309F">
        <w:t>the</w:t>
      </w:r>
      <w:r w:rsidRPr="00D4309F">
        <w:rPr>
          <w:spacing w:val="-3"/>
        </w:rPr>
        <w:t xml:space="preserve"> </w:t>
      </w:r>
      <w:r w:rsidRPr="00D4309F">
        <w:t>immediate</w:t>
      </w:r>
      <w:r w:rsidRPr="00D4309F">
        <w:rPr>
          <w:spacing w:val="-3"/>
        </w:rPr>
        <w:t xml:space="preserve"> </w:t>
      </w:r>
      <w:r w:rsidRPr="00D4309F">
        <w:t>vicinity</w:t>
      </w:r>
      <w:r w:rsidRPr="00D4309F">
        <w:rPr>
          <w:spacing w:val="-2"/>
        </w:rPr>
        <w:t xml:space="preserve"> </w:t>
      </w:r>
      <w:r w:rsidRPr="00D4309F">
        <w:t>of</w:t>
      </w:r>
      <w:r w:rsidRPr="00D4309F">
        <w:rPr>
          <w:spacing w:val="-3"/>
        </w:rPr>
        <w:t xml:space="preserve"> </w:t>
      </w:r>
      <w:r w:rsidRPr="00D4309F">
        <w:t>the Mooloolaba Boat Harbour.</w:t>
      </w:r>
    </w:p>
    <w:p w14:paraId="11536546" w14:textId="77777777" w:rsidR="000D4B8F" w:rsidRDefault="000D4B8F" w:rsidP="00725977">
      <w:pPr>
        <w:pStyle w:val="BodyText"/>
        <w:sectPr w:rsidR="000D4B8F" w:rsidSect="009B62A3">
          <w:pgSz w:w="11910" w:h="16840"/>
          <w:pgMar w:top="1418" w:right="1134" w:bottom="1418" w:left="1134" w:header="919" w:footer="1145" w:gutter="0"/>
          <w:cols w:space="720"/>
          <w:docGrid w:linePitch="272"/>
        </w:sectPr>
      </w:pPr>
    </w:p>
    <w:p w14:paraId="16E59B5C" w14:textId="77777777" w:rsidR="00725977" w:rsidRPr="00D4309F" w:rsidRDefault="00725977" w:rsidP="00722389">
      <w:pPr>
        <w:pStyle w:val="Heading1"/>
      </w:pPr>
      <w:bookmarkStart w:id="82" w:name="_bookmark30"/>
      <w:bookmarkStart w:id="83" w:name="_Toc216699313"/>
      <w:bookmarkEnd w:id="82"/>
      <w:r w:rsidRPr="00D4309F">
        <w:lastRenderedPageBreak/>
        <w:t>SOCIAL</w:t>
      </w:r>
      <w:r w:rsidRPr="00D4309F">
        <w:rPr>
          <w:spacing w:val="-6"/>
        </w:rPr>
        <w:t xml:space="preserve"> </w:t>
      </w:r>
      <w:r w:rsidRPr="00D4309F">
        <w:t>IMPACT</w:t>
      </w:r>
      <w:r w:rsidRPr="00D4309F">
        <w:rPr>
          <w:spacing w:val="-3"/>
        </w:rPr>
        <w:t xml:space="preserve"> </w:t>
      </w:r>
      <w:r w:rsidRPr="00D4309F">
        <w:rPr>
          <w:spacing w:val="-2"/>
        </w:rPr>
        <w:t>EVALUATION</w:t>
      </w:r>
      <w:bookmarkEnd w:id="83"/>
    </w:p>
    <w:p w14:paraId="0185C65B" w14:textId="77777777" w:rsidR="00725977" w:rsidRPr="00D4309F" w:rsidRDefault="00725977" w:rsidP="009B62A3">
      <w:pPr>
        <w:pStyle w:val="BodyText"/>
      </w:pPr>
      <w:r w:rsidRPr="00D4309F">
        <w:t>In determining the best solution for the Mooloolaba Harbour Entrance, it is important to consider the long-term</w:t>
      </w:r>
      <w:r w:rsidRPr="00D4309F">
        <w:rPr>
          <w:spacing w:val="-1"/>
        </w:rPr>
        <w:t xml:space="preserve"> </w:t>
      </w:r>
      <w:r w:rsidRPr="00D4309F">
        <w:t>and</w:t>
      </w:r>
      <w:r w:rsidRPr="00D4309F">
        <w:rPr>
          <w:spacing w:val="-2"/>
        </w:rPr>
        <w:t xml:space="preserve"> </w:t>
      </w:r>
      <w:r w:rsidRPr="00D4309F">
        <w:t>short-term</w:t>
      </w:r>
      <w:r w:rsidRPr="00D4309F">
        <w:rPr>
          <w:spacing w:val="-1"/>
        </w:rPr>
        <w:t xml:space="preserve"> </w:t>
      </w:r>
      <w:r w:rsidRPr="00D4309F">
        <w:t>economic,</w:t>
      </w:r>
      <w:r w:rsidRPr="00D4309F">
        <w:rPr>
          <w:spacing w:val="-1"/>
        </w:rPr>
        <w:t xml:space="preserve"> </w:t>
      </w:r>
      <w:r w:rsidRPr="00D4309F">
        <w:t>environmental</w:t>
      </w:r>
      <w:r w:rsidRPr="00D4309F">
        <w:rPr>
          <w:spacing w:val="-1"/>
        </w:rPr>
        <w:t xml:space="preserve"> </w:t>
      </w:r>
      <w:r w:rsidRPr="00D4309F">
        <w:t>and</w:t>
      </w:r>
      <w:r w:rsidRPr="00D4309F">
        <w:rPr>
          <w:spacing w:val="-2"/>
        </w:rPr>
        <w:t xml:space="preserve"> </w:t>
      </w:r>
      <w:r w:rsidRPr="00D4309F">
        <w:t>social</w:t>
      </w:r>
      <w:r w:rsidRPr="00D4309F">
        <w:rPr>
          <w:spacing w:val="-1"/>
        </w:rPr>
        <w:t xml:space="preserve"> </w:t>
      </w:r>
      <w:r w:rsidRPr="00D4309F">
        <w:t>impacts of</w:t>
      </w:r>
      <w:r w:rsidRPr="00D4309F">
        <w:rPr>
          <w:spacing w:val="-1"/>
        </w:rPr>
        <w:t xml:space="preserve"> </w:t>
      </w:r>
      <w:r w:rsidRPr="00D4309F">
        <w:t>any option.</w:t>
      </w:r>
      <w:r w:rsidRPr="00D4309F">
        <w:rPr>
          <w:spacing w:val="-2"/>
        </w:rPr>
        <w:t xml:space="preserve"> </w:t>
      </w:r>
      <w:r w:rsidRPr="00D4309F">
        <w:t>This has been</w:t>
      </w:r>
      <w:r w:rsidRPr="00D4309F">
        <w:rPr>
          <w:spacing w:val="-1"/>
        </w:rPr>
        <w:t xml:space="preserve"> </w:t>
      </w:r>
      <w:r w:rsidRPr="00D4309F">
        <w:t>done</w:t>
      </w:r>
      <w:r w:rsidRPr="00D4309F">
        <w:rPr>
          <w:spacing w:val="-1"/>
        </w:rPr>
        <w:t xml:space="preserve"> </w:t>
      </w:r>
      <w:r w:rsidRPr="00D4309F">
        <w:t>through the</w:t>
      </w:r>
      <w:r w:rsidRPr="00D4309F">
        <w:rPr>
          <w:spacing w:val="-3"/>
        </w:rPr>
        <w:t xml:space="preserve"> </w:t>
      </w:r>
      <w:r w:rsidRPr="00D4309F">
        <w:t>development</w:t>
      </w:r>
      <w:r w:rsidRPr="00D4309F">
        <w:rPr>
          <w:spacing w:val="-3"/>
        </w:rPr>
        <w:t xml:space="preserve"> </w:t>
      </w:r>
      <w:r w:rsidRPr="00D4309F">
        <w:t>of</w:t>
      </w:r>
      <w:r w:rsidRPr="00D4309F">
        <w:rPr>
          <w:spacing w:val="-3"/>
        </w:rPr>
        <w:t xml:space="preserve"> </w:t>
      </w:r>
      <w:r w:rsidRPr="00D4309F">
        <w:t>a</w:t>
      </w:r>
      <w:r w:rsidRPr="00D4309F">
        <w:rPr>
          <w:spacing w:val="-3"/>
        </w:rPr>
        <w:t xml:space="preserve"> </w:t>
      </w:r>
      <w:r w:rsidRPr="00D4309F">
        <w:t>Social</w:t>
      </w:r>
      <w:r w:rsidRPr="00D4309F">
        <w:rPr>
          <w:spacing w:val="-3"/>
        </w:rPr>
        <w:t xml:space="preserve"> </w:t>
      </w:r>
      <w:r w:rsidRPr="00D4309F">
        <w:t>Impact</w:t>
      </w:r>
      <w:r w:rsidRPr="00D4309F">
        <w:rPr>
          <w:spacing w:val="-3"/>
        </w:rPr>
        <w:t xml:space="preserve"> </w:t>
      </w:r>
      <w:r w:rsidRPr="00D4309F">
        <w:t>Evaluation</w:t>
      </w:r>
      <w:r w:rsidRPr="00D4309F">
        <w:rPr>
          <w:spacing w:val="-3"/>
        </w:rPr>
        <w:t xml:space="preserve"> </w:t>
      </w:r>
      <w:r w:rsidRPr="00D4309F">
        <w:t>(SIE)</w:t>
      </w:r>
      <w:r w:rsidRPr="00D4309F">
        <w:rPr>
          <w:spacing w:val="-2"/>
        </w:rPr>
        <w:t xml:space="preserve"> </w:t>
      </w:r>
      <w:r w:rsidRPr="00D4309F">
        <w:t>in</w:t>
      </w:r>
      <w:r w:rsidRPr="00D4309F">
        <w:rPr>
          <w:spacing w:val="-4"/>
        </w:rPr>
        <w:t xml:space="preserve"> </w:t>
      </w:r>
      <w:r w:rsidRPr="00D4309F">
        <w:t>accordance</w:t>
      </w:r>
      <w:r w:rsidRPr="00D4309F">
        <w:rPr>
          <w:spacing w:val="-4"/>
        </w:rPr>
        <w:t xml:space="preserve"> </w:t>
      </w:r>
      <w:r w:rsidRPr="00D4309F">
        <w:t>with</w:t>
      </w:r>
      <w:r w:rsidRPr="00D4309F">
        <w:rPr>
          <w:spacing w:val="-3"/>
        </w:rPr>
        <w:t xml:space="preserve"> </w:t>
      </w:r>
      <w:r w:rsidRPr="00D4309F">
        <w:t>the</w:t>
      </w:r>
      <w:r w:rsidRPr="00D4309F">
        <w:rPr>
          <w:spacing w:val="-3"/>
        </w:rPr>
        <w:t xml:space="preserve"> </w:t>
      </w:r>
      <w:r w:rsidRPr="00D4309F">
        <w:rPr>
          <w:i/>
        </w:rPr>
        <w:t>Social</w:t>
      </w:r>
      <w:r w:rsidRPr="00D4309F">
        <w:rPr>
          <w:i/>
          <w:spacing w:val="-3"/>
        </w:rPr>
        <w:t xml:space="preserve"> </w:t>
      </w:r>
      <w:r w:rsidRPr="00D4309F">
        <w:rPr>
          <w:i/>
        </w:rPr>
        <w:t>Impact</w:t>
      </w:r>
      <w:r w:rsidRPr="00D4309F">
        <w:rPr>
          <w:i/>
          <w:spacing w:val="-3"/>
        </w:rPr>
        <w:t xml:space="preserve"> </w:t>
      </w:r>
      <w:r w:rsidRPr="00D4309F">
        <w:rPr>
          <w:i/>
        </w:rPr>
        <w:t>Evaluation</w:t>
      </w:r>
      <w:r w:rsidRPr="00D4309F">
        <w:rPr>
          <w:i/>
          <w:spacing w:val="-3"/>
        </w:rPr>
        <w:t xml:space="preserve"> </w:t>
      </w:r>
      <w:r w:rsidRPr="00D4309F">
        <w:rPr>
          <w:i/>
        </w:rPr>
        <w:t xml:space="preserve">Guide, Business Case Development Framework, Release 3 (2021) </w:t>
      </w:r>
      <w:r w:rsidRPr="00D4309F">
        <w:t>developed by the Queensland Government.</w:t>
      </w:r>
    </w:p>
    <w:p w14:paraId="041751CD" w14:textId="77777777" w:rsidR="00725977" w:rsidRPr="00D4309F" w:rsidRDefault="00725977" w:rsidP="00725977">
      <w:pPr>
        <w:pStyle w:val="BodyText"/>
      </w:pPr>
      <w:r w:rsidRPr="00D4309F">
        <w:t>An</w:t>
      </w:r>
      <w:r w:rsidRPr="00D4309F">
        <w:rPr>
          <w:spacing w:val="-3"/>
        </w:rPr>
        <w:t xml:space="preserve"> </w:t>
      </w:r>
      <w:r w:rsidRPr="00D4309F">
        <w:t>SIE</w:t>
      </w:r>
      <w:r w:rsidRPr="00D4309F">
        <w:rPr>
          <w:spacing w:val="-3"/>
        </w:rPr>
        <w:t xml:space="preserve"> </w:t>
      </w:r>
      <w:r w:rsidRPr="00D4309F">
        <w:t>is</w:t>
      </w:r>
      <w:r w:rsidRPr="00D4309F">
        <w:rPr>
          <w:spacing w:val="-2"/>
        </w:rPr>
        <w:t xml:space="preserve"> </w:t>
      </w:r>
      <w:r w:rsidRPr="00D4309F">
        <w:t>included</w:t>
      </w:r>
      <w:r w:rsidRPr="00D4309F">
        <w:rPr>
          <w:spacing w:val="-3"/>
        </w:rPr>
        <w:t xml:space="preserve"> </w:t>
      </w:r>
      <w:r w:rsidRPr="00D4309F">
        <w:t>in</w:t>
      </w:r>
      <w:r w:rsidRPr="00D4309F">
        <w:rPr>
          <w:spacing w:val="-3"/>
        </w:rPr>
        <w:t xml:space="preserve"> </w:t>
      </w:r>
      <w:r w:rsidRPr="00D4309F">
        <w:t>Appendix</w:t>
      </w:r>
      <w:r w:rsidRPr="00D4309F">
        <w:rPr>
          <w:spacing w:val="-2"/>
        </w:rPr>
        <w:t xml:space="preserve"> </w:t>
      </w:r>
      <w:r w:rsidRPr="00D4309F">
        <w:t>B</w:t>
      </w:r>
      <w:r w:rsidRPr="00D4309F">
        <w:rPr>
          <w:spacing w:val="-3"/>
        </w:rPr>
        <w:t xml:space="preserve"> </w:t>
      </w:r>
      <w:r w:rsidRPr="00D4309F">
        <w:t>and</w:t>
      </w:r>
      <w:r w:rsidRPr="00D4309F">
        <w:rPr>
          <w:spacing w:val="-3"/>
        </w:rPr>
        <w:t xml:space="preserve"> </w:t>
      </w:r>
      <w:r w:rsidRPr="00D4309F">
        <w:t>aims</w:t>
      </w:r>
      <w:r w:rsidRPr="00D4309F">
        <w:rPr>
          <w:spacing w:val="-2"/>
        </w:rPr>
        <w:t xml:space="preserve"> </w:t>
      </w:r>
      <w:r w:rsidRPr="00D4309F">
        <w:t>to</w:t>
      </w:r>
      <w:r w:rsidRPr="00D4309F">
        <w:rPr>
          <w:spacing w:val="-3"/>
        </w:rPr>
        <w:t xml:space="preserve"> </w:t>
      </w:r>
      <w:r w:rsidRPr="00D4309F">
        <w:t>identify</w:t>
      </w:r>
      <w:r w:rsidRPr="00D4309F">
        <w:rPr>
          <w:spacing w:val="-3"/>
        </w:rPr>
        <w:t xml:space="preserve"> </w:t>
      </w:r>
      <w:r w:rsidRPr="00D4309F">
        <w:t>the</w:t>
      </w:r>
      <w:r w:rsidRPr="00D4309F">
        <w:rPr>
          <w:spacing w:val="-3"/>
        </w:rPr>
        <w:t xml:space="preserve"> </w:t>
      </w:r>
      <w:r w:rsidRPr="00D4309F">
        <w:t>stakeholders</w:t>
      </w:r>
      <w:r w:rsidRPr="00D4309F">
        <w:rPr>
          <w:spacing w:val="-2"/>
        </w:rPr>
        <w:t xml:space="preserve"> </w:t>
      </w:r>
      <w:r w:rsidRPr="00D4309F">
        <w:t>and</w:t>
      </w:r>
      <w:r w:rsidRPr="00D4309F">
        <w:rPr>
          <w:spacing w:val="-3"/>
        </w:rPr>
        <w:t xml:space="preserve"> </w:t>
      </w:r>
      <w:r w:rsidRPr="00D4309F">
        <w:t>impacts</w:t>
      </w:r>
      <w:r w:rsidRPr="00D4309F">
        <w:rPr>
          <w:spacing w:val="-3"/>
        </w:rPr>
        <w:t xml:space="preserve"> </w:t>
      </w:r>
      <w:r w:rsidRPr="00D4309F">
        <w:t>(positive</w:t>
      </w:r>
      <w:r w:rsidRPr="00D4309F">
        <w:rPr>
          <w:spacing w:val="-4"/>
        </w:rPr>
        <w:t xml:space="preserve"> </w:t>
      </w:r>
      <w:r w:rsidRPr="00D4309F">
        <w:t>and</w:t>
      </w:r>
      <w:r w:rsidRPr="00D4309F">
        <w:rPr>
          <w:spacing w:val="-3"/>
        </w:rPr>
        <w:t xml:space="preserve"> </w:t>
      </w:r>
      <w:r w:rsidRPr="00D4309F">
        <w:t>negative) of the options under consideration and determine mitigation or enhancement measures that can be implemented to ensure lasting social and economic benefit.</w:t>
      </w:r>
    </w:p>
    <w:p w14:paraId="2BB1E36E" w14:textId="21700418" w:rsidR="00F06E88" w:rsidRPr="00D4309F" w:rsidRDefault="00725977" w:rsidP="00725977">
      <w:pPr>
        <w:pStyle w:val="BodyText"/>
      </w:pPr>
      <w:r w:rsidRPr="00D4309F">
        <w:t>The</w:t>
      </w:r>
      <w:r w:rsidRPr="00D4309F">
        <w:rPr>
          <w:spacing w:val="-2"/>
        </w:rPr>
        <w:t xml:space="preserve"> </w:t>
      </w:r>
      <w:r w:rsidRPr="00D4309F">
        <w:t>SIE</w:t>
      </w:r>
      <w:r w:rsidRPr="00D4309F">
        <w:rPr>
          <w:spacing w:val="-2"/>
        </w:rPr>
        <w:t xml:space="preserve"> </w:t>
      </w:r>
      <w:r w:rsidRPr="00D4309F">
        <w:t>has</w:t>
      </w:r>
      <w:r w:rsidRPr="00D4309F">
        <w:rPr>
          <w:spacing w:val="-2"/>
        </w:rPr>
        <w:t xml:space="preserve"> </w:t>
      </w:r>
      <w:r w:rsidRPr="00D4309F">
        <w:t>been</w:t>
      </w:r>
      <w:r w:rsidRPr="00D4309F">
        <w:rPr>
          <w:spacing w:val="-2"/>
        </w:rPr>
        <w:t xml:space="preserve"> </w:t>
      </w:r>
      <w:r w:rsidRPr="00D4309F">
        <w:t>informed</w:t>
      </w:r>
      <w:r w:rsidRPr="00D4309F">
        <w:rPr>
          <w:spacing w:val="-2"/>
        </w:rPr>
        <w:t xml:space="preserve"> </w:t>
      </w:r>
      <w:r w:rsidRPr="00D4309F">
        <w:t>through</w:t>
      </w:r>
      <w:r w:rsidRPr="00D4309F">
        <w:rPr>
          <w:spacing w:val="-2"/>
        </w:rPr>
        <w:t xml:space="preserve"> </w:t>
      </w:r>
      <w:r w:rsidRPr="00D4309F">
        <w:t>desktop</w:t>
      </w:r>
      <w:r w:rsidRPr="00D4309F">
        <w:rPr>
          <w:spacing w:val="-2"/>
        </w:rPr>
        <w:t xml:space="preserve"> </w:t>
      </w:r>
      <w:r w:rsidRPr="00D4309F">
        <w:t>research</w:t>
      </w:r>
      <w:r w:rsidRPr="00D4309F">
        <w:rPr>
          <w:spacing w:val="-3"/>
        </w:rPr>
        <w:t xml:space="preserve"> </w:t>
      </w:r>
      <w:r w:rsidRPr="00D4309F">
        <w:t>to</w:t>
      </w:r>
      <w:r w:rsidRPr="00D4309F">
        <w:rPr>
          <w:spacing w:val="-2"/>
        </w:rPr>
        <w:t xml:space="preserve"> </w:t>
      </w:r>
      <w:r w:rsidRPr="00D4309F">
        <w:t>establish</w:t>
      </w:r>
      <w:r w:rsidRPr="00D4309F">
        <w:rPr>
          <w:spacing w:val="-2"/>
        </w:rPr>
        <w:t xml:space="preserve"> </w:t>
      </w:r>
      <w:r w:rsidRPr="00D4309F">
        <w:t>a</w:t>
      </w:r>
      <w:r w:rsidRPr="00D4309F">
        <w:rPr>
          <w:spacing w:val="-2"/>
        </w:rPr>
        <w:t xml:space="preserve"> </w:t>
      </w:r>
      <w:r w:rsidRPr="00D4309F">
        <w:t>social</w:t>
      </w:r>
      <w:r w:rsidRPr="00D4309F">
        <w:rPr>
          <w:spacing w:val="-2"/>
        </w:rPr>
        <w:t xml:space="preserve"> </w:t>
      </w:r>
      <w:r w:rsidRPr="00D4309F">
        <w:t>baseline</w:t>
      </w:r>
      <w:r w:rsidRPr="00D4309F">
        <w:rPr>
          <w:spacing w:val="-2"/>
        </w:rPr>
        <w:t xml:space="preserve"> </w:t>
      </w:r>
      <w:r w:rsidRPr="00D4309F">
        <w:t>for</w:t>
      </w:r>
      <w:r w:rsidRPr="00D4309F">
        <w:rPr>
          <w:spacing w:val="-1"/>
        </w:rPr>
        <w:t xml:space="preserve"> </w:t>
      </w:r>
      <w:r w:rsidRPr="00D4309F">
        <w:t>the</w:t>
      </w:r>
      <w:r w:rsidRPr="00D4309F">
        <w:rPr>
          <w:spacing w:val="-2"/>
        </w:rPr>
        <w:t xml:space="preserve"> </w:t>
      </w:r>
      <w:r w:rsidRPr="00D4309F">
        <w:t>area</w:t>
      </w:r>
      <w:r w:rsidRPr="00D4309F">
        <w:rPr>
          <w:spacing w:val="-2"/>
        </w:rPr>
        <w:t xml:space="preserve"> </w:t>
      </w:r>
      <w:r w:rsidRPr="00D4309F">
        <w:t>along</w:t>
      </w:r>
      <w:r w:rsidRPr="00D4309F">
        <w:rPr>
          <w:spacing w:val="-2"/>
        </w:rPr>
        <w:t xml:space="preserve"> </w:t>
      </w:r>
      <w:r w:rsidRPr="00D4309F">
        <w:t>with valuable feedback provided by the Stakeholder Reference Group (SRG).</w:t>
      </w:r>
    </w:p>
    <w:p w14:paraId="4A941C54" w14:textId="77777777" w:rsidR="00725977" w:rsidRPr="00D4309F" w:rsidRDefault="00725977" w:rsidP="00716A1E">
      <w:pPr>
        <w:pStyle w:val="Heading2"/>
      </w:pPr>
      <w:bookmarkStart w:id="84" w:name="_bookmark31"/>
      <w:bookmarkStart w:id="85" w:name="_Toc216699314"/>
      <w:bookmarkEnd w:id="84"/>
      <w:r w:rsidRPr="00D4309F">
        <w:t>Stakeholder</w:t>
      </w:r>
      <w:r w:rsidRPr="00D4309F">
        <w:rPr>
          <w:spacing w:val="-18"/>
        </w:rPr>
        <w:t xml:space="preserve"> </w:t>
      </w:r>
      <w:r w:rsidRPr="00D4309F">
        <w:t>reference</w:t>
      </w:r>
      <w:r w:rsidRPr="00D4309F">
        <w:rPr>
          <w:spacing w:val="-17"/>
        </w:rPr>
        <w:t xml:space="preserve"> </w:t>
      </w:r>
      <w:r w:rsidRPr="00D4309F">
        <w:rPr>
          <w:spacing w:val="-4"/>
        </w:rPr>
        <w:t>group</w:t>
      </w:r>
      <w:bookmarkEnd w:id="85"/>
    </w:p>
    <w:p w14:paraId="2F0F8F78" w14:textId="77777777" w:rsidR="00725977" w:rsidRPr="00D4309F" w:rsidRDefault="00725977" w:rsidP="00725977">
      <w:pPr>
        <w:pStyle w:val="BodyText"/>
      </w:pPr>
      <w:r w:rsidRPr="00D4309F">
        <w:t>In 2022, a Stakeholder Reference Group (SRG) was formed with local representatives from the Coast</w:t>
      </w:r>
      <w:r w:rsidRPr="00D4309F">
        <w:rPr>
          <w:spacing w:val="40"/>
        </w:rPr>
        <w:t xml:space="preserve"> </w:t>
      </w:r>
      <w:r w:rsidRPr="00D4309F">
        <w:t>Guard,</w:t>
      </w:r>
      <w:r w:rsidRPr="00D4309F">
        <w:rPr>
          <w:spacing w:val="-3"/>
        </w:rPr>
        <w:t xml:space="preserve"> </w:t>
      </w:r>
      <w:r w:rsidRPr="00D4309F">
        <w:t>commercial</w:t>
      </w:r>
      <w:r w:rsidRPr="00D4309F">
        <w:rPr>
          <w:spacing w:val="-3"/>
        </w:rPr>
        <w:t xml:space="preserve"> </w:t>
      </w:r>
      <w:r w:rsidRPr="00D4309F">
        <w:t>and</w:t>
      </w:r>
      <w:r w:rsidRPr="00D4309F">
        <w:rPr>
          <w:spacing w:val="-4"/>
        </w:rPr>
        <w:t xml:space="preserve"> </w:t>
      </w:r>
      <w:r w:rsidRPr="00D4309F">
        <w:t>recreational</w:t>
      </w:r>
      <w:r w:rsidRPr="00D4309F">
        <w:rPr>
          <w:spacing w:val="-3"/>
        </w:rPr>
        <w:t xml:space="preserve"> </w:t>
      </w:r>
      <w:r w:rsidRPr="00D4309F">
        <w:t>fishers,</w:t>
      </w:r>
      <w:r w:rsidRPr="00D4309F">
        <w:rPr>
          <w:spacing w:val="-3"/>
        </w:rPr>
        <w:t xml:space="preserve"> </w:t>
      </w:r>
      <w:r w:rsidRPr="00D4309F">
        <w:t>harbour</w:t>
      </w:r>
      <w:r w:rsidRPr="00D4309F">
        <w:rPr>
          <w:spacing w:val="-4"/>
        </w:rPr>
        <w:t xml:space="preserve"> </w:t>
      </w:r>
      <w:r w:rsidRPr="00D4309F">
        <w:t>business</w:t>
      </w:r>
      <w:r w:rsidRPr="00D4309F">
        <w:rPr>
          <w:spacing w:val="-2"/>
        </w:rPr>
        <w:t xml:space="preserve"> </w:t>
      </w:r>
      <w:r w:rsidRPr="00D4309F">
        <w:t>owners,</w:t>
      </w:r>
      <w:r w:rsidRPr="00D4309F">
        <w:rPr>
          <w:spacing w:val="-3"/>
        </w:rPr>
        <w:t xml:space="preserve"> </w:t>
      </w:r>
      <w:r w:rsidRPr="00D4309F">
        <w:t>and</w:t>
      </w:r>
      <w:r w:rsidRPr="00D4309F">
        <w:rPr>
          <w:spacing w:val="-3"/>
        </w:rPr>
        <w:t xml:space="preserve"> </w:t>
      </w:r>
      <w:r w:rsidRPr="00D4309F">
        <w:t>residents</w:t>
      </w:r>
      <w:r w:rsidRPr="00D4309F">
        <w:rPr>
          <w:spacing w:val="-2"/>
        </w:rPr>
        <w:t xml:space="preserve"> </w:t>
      </w:r>
      <w:r w:rsidRPr="00D4309F">
        <w:t>and</w:t>
      </w:r>
      <w:r w:rsidRPr="00D4309F">
        <w:rPr>
          <w:spacing w:val="-3"/>
        </w:rPr>
        <w:t xml:space="preserve"> </w:t>
      </w:r>
      <w:r w:rsidRPr="00D4309F">
        <w:t>community</w:t>
      </w:r>
      <w:r w:rsidRPr="00D4309F">
        <w:rPr>
          <w:spacing w:val="-2"/>
        </w:rPr>
        <w:t xml:space="preserve"> </w:t>
      </w:r>
      <w:r w:rsidRPr="00D4309F">
        <w:t>groups. The</w:t>
      </w:r>
      <w:r w:rsidRPr="00D4309F">
        <w:rPr>
          <w:spacing w:val="-1"/>
        </w:rPr>
        <w:t xml:space="preserve"> </w:t>
      </w:r>
      <w:r w:rsidRPr="00D4309F">
        <w:t>role</w:t>
      </w:r>
      <w:r w:rsidRPr="00D4309F">
        <w:rPr>
          <w:spacing w:val="-1"/>
        </w:rPr>
        <w:t xml:space="preserve"> </w:t>
      </w:r>
      <w:r w:rsidRPr="00D4309F">
        <w:t>of</w:t>
      </w:r>
      <w:r w:rsidRPr="00D4309F">
        <w:rPr>
          <w:spacing w:val="-1"/>
        </w:rPr>
        <w:t xml:space="preserve"> </w:t>
      </w:r>
      <w:r w:rsidRPr="00D4309F">
        <w:t>the</w:t>
      </w:r>
      <w:r w:rsidRPr="00D4309F">
        <w:rPr>
          <w:spacing w:val="-1"/>
        </w:rPr>
        <w:t xml:space="preserve"> </w:t>
      </w:r>
      <w:r w:rsidRPr="00D4309F">
        <w:t>SRG</w:t>
      </w:r>
      <w:r w:rsidRPr="00D4309F">
        <w:rPr>
          <w:spacing w:val="-1"/>
        </w:rPr>
        <w:t xml:space="preserve"> </w:t>
      </w:r>
      <w:r w:rsidRPr="00D4309F">
        <w:t>has been</w:t>
      </w:r>
      <w:r w:rsidRPr="00D4309F">
        <w:rPr>
          <w:spacing w:val="-1"/>
        </w:rPr>
        <w:t xml:space="preserve"> </w:t>
      </w:r>
      <w:r w:rsidRPr="00D4309F">
        <w:t>to</w:t>
      </w:r>
      <w:r w:rsidRPr="00D4309F">
        <w:rPr>
          <w:spacing w:val="-1"/>
        </w:rPr>
        <w:t xml:space="preserve"> </w:t>
      </w:r>
      <w:r w:rsidRPr="00D4309F">
        <w:t>enable</w:t>
      </w:r>
      <w:r w:rsidRPr="00D4309F">
        <w:rPr>
          <w:spacing w:val="-2"/>
        </w:rPr>
        <w:t xml:space="preserve"> </w:t>
      </w:r>
      <w:r w:rsidRPr="00D4309F">
        <w:t>community input</w:t>
      </w:r>
      <w:r w:rsidRPr="00D4309F">
        <w:rPr>
          <w:spacing w:val="-1"/>
        </w:rPr>
        <w:t xml:space="preserve"> </w:t>
      </w:r>
      <w:r w:rsidRPr="00D4309F">
        <w:t>into</w:t>
      </w:r>
      <w:r w:rsidRPr="00D4309F">
        <w:rPr>
          <w:spacing w:val="-1"/>
        </w:rPr>
        <w:t xml:space="preserve"> </w:t>
      </w:r>
      <w:r w:rsidRPr="00D4309F">
        <w:t>the</w:t>
      </w:r>
      <w:r w:rsidRPr="00D4309F">
        <w:rPr>
          <w:spacing w:val="-1"/>
        </w:rPr>
        <w:t xml:space="preserve"> </w:t>
      </w:r>
      <w:r w:rsidRPr="00D4309F">
        <w:t>long-term</w:t>
      </w:r>
      <w:r w:rsidRPr="00D4309F">
        <w:rPr>
          <w:spacing w:val="-1"/>
        </w:rPr>
        <w:t xml:space="preserve"> </w:t>
      </w:r>
      <w:r w:rsidRPr="00D4309F">
        <w:t>solution</w:t>
      </w:r>
      <w:r w:rsidRPr="00D4309F">
        <w:rPr>
          <w:spacing w:val="-1"/>
        </w:rPr>
        <w:t xml:space="preserve"> </w:t>
      </w:r>
      <w:r w:rsidRPr="00D4309F">
        <w:t>for the</w:t>
      </w:r>
      <w:r w:rsidRPr="00D4309F">
        <w:rPr>
          <w:spacing w:val="-1"/>
        </w:rPr>
        <w:t xml:space="preserve"> </w:t>
      </w:r>
      <w:r w:rsidRPr="00D4309F">
        <w:t>Mooloolaba</w:t>
      </w:r>
      <w:r w:rsidRPr="00D4309F">
        <w:rPr>
          <w:spacing w:val="-1"/>
        </w:rPr>
        <w:t xml:space="preserve"> </w:t>
      </w:r>
      <w:r w:rsidRPr="00D4309F">
        <w:t>Boat Harbour entrance project and provide an opportunity for community issues to be addressed by</w:t>
      </w:r>
    </w:p>
    <w:p w14:paraId="02FFB6FB" w14:textId="77777777" w:rsidR="00725977" w:rsidRPr="00D4309F" w:rsidRDefault="00725977" w:rsidP="00725977">
      <w:pPr>
        <w:pStyle w:val="BodyText"/>
      </w:pPr>
      <w:r w:rsidRPr="00D4309F">
        <w:t>the project team. The SRG has been presented with data and modelling of shoaling events as well as a range of options, with benefits and constraints, to reduce the impacts of shoaling for consideration and discussion</w:t>
      </w:r>
      <w:r w:rsidRPr="00D4309F">
        <w:rPr>
          <w:spacing w:val="-3"/>
        </w:rPr>
        <w:t xml:space="preserve"> </w:t>
      </w:r>
      <w:r w:rsidRPr="00D4309F">
        <w:t>amongst</w:t>
      </w:r>
      <w:r w:rsidRPr="00D4309F">
        <w:rPr>
          <w:spacing w:val="-3"/>
        </w:rPr>
        <w:t xml:space="preserve"> </w:t>
      </w:r>
      <w:r w:rsidRPr="00D4309F">
        <w:t>the</w:t>
      </w:r>
      <w:r w:rsidRPr="00D4309F">
        <w:rPr>
          <w:spacing w:val="-3"/>
        </w:rPr>
        <w:t xml:space="preserve"> </w:t>
      </w:r>
      <w:r w:rsidRPr="00D4309F">
        <w:t>group.</w:t>
      </w:r>
      <w:r w:rsidRPr="00D4309F">
        <w:rPr>
          <w:spacing w:val="-3"/>
        </w:rPr>
        <w:t xml:space="preserve"> </w:t>
      </w:r>
      <w:r w:rsidRPr="00D4309F">
        <w:t>Through</w:t>
      </w:r>
      <w:r w:rsidRPr="00D4309F">
        <w:rPr>
          <w:spacing w:val="-4"/>
        </w:rPr>
        <w:t xml:space="preserve"> </w:t>
      </w:r>
      <w:r w:rsidRPr="00D4309F">
        <w:t>the</w:t>
      </w:r>
      <w:r w:rsidRPr="00D4309F">
        <w:rPr>
          <w:spacing w:val="-3"/>
        </w:rPr>
        <w:t xml:space="preserve"> </w:t>
      </w:r>
      <w:r w:rsidRPr="00D4309F">
        <w:t>SRG</w:t>
      </w:r>
      <w:r w:rsidRPr="00D4309F">
        <w:rPr>
          <w:spacing w:val="-3"/>
        </w:rPr>
        <w:t xml:space="preserve"> </w:t>
      </w:r>
      <w:r w:rsidRPr="00D4309F">
        <w:t>the</w:t>
      </w:r>
      <w:r w:rsidRPr="00D4309F">
        <w:rPr>
          <w:spacing w:val="-3"/>
        </w:rPr>
        <w:t xml:space="preserve"> </w:t>
      </w:r>
      <w:r w:rsidRPr="00D4309F">
        <w:t>current</w:t>
      </w:r>
      <w:r w:rsidRPr="00D4309F">
        <w:rPr>
          <w:spacing w:val="-3"/>
        </w:rPr>
        <w:t xml:space="preserve"> </w:t>
      </w:r>
      <w:r w:rsidRPr="00D4309F">
        <w:t>mitigation</w:t>
      </w:r>
      <w:r w:rsidRPr="00D4309F">
        <w:rPr>
          <w:spacing w:val="-3"/>
        </w:rPr>
        <w:t xml:space="preserve"> </w:t>
      </w:r>
      <w:r w:rsidRPr="00D4309F">
        <w:t>strategy</w:t>
      </w:r>
      <w:r w:rsidRPr="00D4309F">
        <w:rPr>
          <w:spacing w:val="-3"/>
        </w:rPr>
        <w:t xml:space="preserve"> </w:t>
      </w:r>
      <w:r w:rsidRPr="00D4309F">
        <w:t>was</w:t>
      </w:r>
      <w:r w:rsidRPr="00D4309F">
        <w:rPr>
          <w:spacing w:val="-2"/>
        </w:rPr>
        <w:t xml:space="preserve"> </w:t>
      </w:r>
      <w:r w:rsidRPr="00D4309F">
        <w:t>determined</w:t>
      </w:r>
      <w:r w:rsidRPr="00D4309F">
        <w:rPr>
          <w:spacing w:val="-3"/>
        </w:rPr>
        <w:t xml:space="preserve"> </w:t>
      </w:r>
      <w:r w:rsidRPr="00D4309F">
        <w:t>being</w:t>
      </w:r>
      <w:r w:rsidRPr="00D4309F">
        <w:rPr>
          <w:spacing w:val="-3"/>
        </w:rPr>
        <w:t xml:space="preserve"> </w:t>
      </w:r>
      <w:r w:rsidRPr="00D4309F">
        <w:t>the Western Channel Trail – to maintain a safe, navigable channel to the west of the harbour entrance.</w:t>
      </w:r>
    </w:p>
    <w:p w14:paraId="271B5A21" w14:textId="77777777" w:rsidR="00725977" w:rsidRPr="00D4309F" w:rsidRDefault="00725977" w:rsidP="00725977">
      <w:pPr>
        <w:pStyle w:val="BodyText"/>
      </w:pPr>
      <w:r w:rsidRPr="00D4309F">
        <w:t>The</w:t>
      </w:r>
      <w:r w:rsidRPr="00D4309F">
        <w:rPr>
          <w:spacing w:val="-3"/>
        </w:rPr>
        <w:t xml:space="preserve"> </w:t>
      </w:r>
      <w:r w:rsidRPr="00D4309F">
        <w:t>SRG</w:t>
      </w:r>
      <w:r w:rsidRPr="00D4309F">
        <w:rPr>
          <w:spacing w:val="-3"/>
        </w:rPr>
        <w:t xml:space="preserve"> </w:t>
      </w:r>
      <w:r w:rsidRPr="00D4309F">
        <w:t>has</w:t>
      </w:r>
      <w:r w:rsidRPr="00D4309F">
        <w:rPr>
          <w:spacing w:val="-2"/>
        </w:rPr>
        <w:t xml:space="preserve"> </w:t>
      </w:r>
      <w:r w:rsidRPr="00D4309F">
        <w:t>met</w:t>
      </w:r>
      <w:r w:rsidRPr="00D4309F">
        <w:rPr>
          <w:spacing w:val="-3"/>
        </w:rPr>
        <w:t xml:space="preserve"> </w:t>
      </w:r>
      <w:r w:rsidRPr="00D4309F">
        <w:t>on</w:t>
      </w:r>
      <w:r w:rsidRPr="00D4309F">
        <w:rPr>
          <w:spacing w:val="-3"/>
        </w:rPr>
        <w:t xml:space="preserve"> </w:t>
      </w:r>
      <w:r w:rsidRPr="00D4309F">
        <w:t>four</w:t>
      </w:r>
      <w:r w:rsidRPr="00D4309F">
        <w:rPr>
          <w:spacing w:val="-1"/>
        </w:rPr>
        <w:t xml:space="preserve"> </w:t>
      </w:r>
      <w:r w:rsidRPr="00D4309F">
        <w:t>occasions</w:t>
      </w:r>
      <w:r w:rsidRPr="00D4309F">
        <w:rPr>
          <w:spacing w:val="-2"/>
        </w:rPr>
        <w:t xml:space="preserve"> </w:t>
      </w:r>
      <w:r w:rsidRPr="00D4309F">
        <w:t>as</w:t>
      </w:r>
      <w:r w:rsidRPr="00D4309F">
        <w:rPr>
          <w:spacing w:val="-1"/>
        </w:rPr>
        <w:t xml:space="preserve"> </w:t>
      </w:r>
      <w:r w:rsidRPr="00D4309F">
        <w:rPr>
          <w:spacing w:val="-2"/>
        </w:rPr>
        <w:t>follows:</w:t>
      </w:r>
    </w:p>
    <w:p w14:paraId="5F5D7E81" w14:textId="77777777" w:rsidR="00725977" w:rsidRPr="00D4309F" w:rsidRDefault="00725977" w:rsidP="009B62A3">
      <w:pPr>
        <w:pStyle w:val="ListBullet"/>
      </w:pPr>
      <w:r w:rsidRPr="00D4309F">
        <w:t>Wednesday</w:t>
      </w:r>
      <w:r w:rsidRPr="00D4309F">
        <w:rPr>
          <w:spacing w:val="-3"/>
        </w:rPr>
        <w:t xml:space="preserve"> </w:t>
      </w:r>
      <w:r w:rsidRPr="00D4309F">
        <w:t>28</w:t>
      </w:r>
      <w:r w:rsidRPr="00D4309F">
        <w:rPr>
          <w:spacing w:val="-3"/>
        </w:rPr>
        <w:t xml:space="preserve"> </w:t>
      </w:r>
      <w:r w:rsidRPr="00D4309F">
        <w:t>September</w:t>
      </w:r>
      <w:r w:rsidRPr="00D4309F">
        <w:rPr>
          <w:spacing w:val="-3"/>
        </w:rPr>
        <w:t xml:space="preserve"> </w:t>
      </w:r>
      <w:r w:rsidRPr="00D4309F">
        <w:t>2022</w:t>
      </w:r>
      <w:r w:rsidRPr="00D4309F">
        <w:rPr>
          <w:spacing w:val="-3"/>
        </w:rPr>
        <w:t xml:space="preserve"> </w:t>
      </w:r>
      <w:r w:rsidRPr="00D4309F">
        <w:t>–</w:t>
      </w:r>
      <w:r w:rsidRPr="00D4309F">
        <w:rPr>
          <w:spacing w:val="-3"/>
        </w:rPr>
        <w:t xml:space="preserve"> </w:t>
      </w:r>
      <w:r w:rsidRPr="00D4309F">
        <w:t>24</w:t>
      </w:r>
      <w:r w:rsidRPr="00D4309F">
        <w:rPr>
          <w:spacing w:val="-4"/>
        </w:rPr>
        <w:t xml:space="preserve"> </w:t>
      </w:r>
      <w:r w:rsidRPr="00D4309F">
        <w:t>attendees,</w:t>
      </w:r>
      <w:r w:rsidRPr="00D4309F">
        <w:rPr>
          <w:spacing w:val="-3"/>
        </w:rPr>
        <w:t xml:space="preserve"> </w:t>
      </w:r>
      <w:r w:rsidRPr="00D4309F">
        <w:t>3</w:t>
      </w:r>
      <w:r w:rsidRPr="00D4309F">
        <w:rPr>
          <w:spacing w:val="-3"/>
        </w:rPr>
        <w:t xml:space="preserve"> </w:t>
      </w:r>
      <w:r w:rsidRPr="00D4309F">
        <w:rPr>
          <w:spacing w:val="-2"/>
        </w:rPr>
        <w:t>apologies</w:t>
      </w:r>
    </w:p>
    <w:p w14:paraId="20CAF587" w14:textId="77777777" w:rsidR="00725977" w:rsidRPr="00D4309F" w:rsidRDefault="00725977" w:rsidP="009B62A3">
      <w:pPr>
        <w:pStyle w:val="ListBullet"/>
      </w:pPr>
      <w:r w:rsidRPr="00D4309F">
        <w:t>Wednesday</w:t>
      </w:r>
      <w:r w:rsidRPr="00D4309F">
        <w:rPr>
          <w:spacing w:val="-3"/>
        </w:rPr>
        <w:t xml:space="preserve"> </w:t>
      </w:r>
      <w:r w:rsidRPr="00D4309F">
        <w:t>12</w:t>
      </w:r>
      <w:r w:rsidRPr="00D4309F">
        <w:rPr>
          <w:spacing w:val="-3"/>
        </w:rPr>
        <w:t xml:space="preserve"> </w:t>
      </w:r>
      <w:r w:rsidRPr="00D4309F">
        <w:t>October</w:t>
      </w:r>
      <w:r w:rsidRPr="00D4309F">
        <w:rPr>
          <w:spacing w:val="-3"/>
        </w:rPr>
        <w:t xml:space="preserve"> </w:t>
      </w:r>
      <w:r w:rsidRPr="00D4309F">
        <w:t>2022</w:t>
      </w:r>
      <w:r w:rsidRPr="00D4309F">
        <w:rPr>
          <w:spacing w:val="-3"/>
        </w:rPr>
        <w:t xml:space="preserve"> </w:t>
      </w:r>
      <w:r w:rsidRPr="00D4309F">
        <w:t>–</w:t>
      </w:r>
      <w:r w:rsidRPr="00D4309F">
        <w:rPr>
          <w:spacing w:val="-3"/>
        </w:rPr>
        <w:t xml:space="preserve"> </w:t>
      </w:r>
      <w:r w:rsidRPr="00D4309F">
        <w:t>19</w:t>
      </w:r>
      <w:r w:rsidRPr="00D4309F">
        <w:rPr>
          <w:spacing w:val="-4"/>
        </w:rPr>
        <w:t xml:space="preserve"> </w:t>
      </w:r>
      <w:r w:rsidRPr="00D4309F">
        <w:t>attendees,</w:t>
      </w:r>
      <w:r w:rsidRPr="00D4309F">
        <w:rPr>
          <w:spacing w:val="-3"/>
        </w:rPr>
        <w:t xml:space="preserve"> </w:t>
      </w:r>
      <w:r w:rsidRPr="00D4309F">
        <w:t>9</w:t>
      </w:r>
      <w:r w:rsidRPr="00D4309F">
        <w:rPr>
          <w:spacing w:val="-3"/>
        </w:rPr>
        <w:t xml:space="preserve"> </w:t>
      </w:r>
      <w:r w:rsidRPr="00D4309F">
        <w:rPr>
          <w:spacing w:val="-2"/>
        </w:rPr>
        <w:t>apologies</w:t>
      </w:r>
    </w:p>
    <w:p w14:paraId="253A0DA4" w14:textId="77777777" w:rsidR="00725977" w:rsidRPr="00D4309F" w:rsidRDefault="00725977" w:rsidP="009B62A3">
      <w:pPr>
        <w:pStyle w:val="ListBullet"/>
      </w:pPr>
      <w:r w:rsidRPr="00D4309F">
        <w:t>Tuesday</w:t>
      </w:r>
      <w:r w:rsidRPr="00D4309F">
        <w:rPr>
          <w:spacing w:val="-2"/>
        </w:rPr>
        <w:t xml:space="preserve"> </w:t>
      </w:r>
      <w:r w:rsidRPr="00D4309F">
        <w:t>30</w:t>
      </w:r>
      <w:r w:rsidRPr="00D4309F">
        <w:rPr>
          <w:spacing w:val="-3"/>
        </w:rPr>
        <w:t xml:space="preserve"> </w:t>
      </w:r>
      <w:r w:rsidRPr="00D4309F">
        <w:t>April</w:t>
      </w:r>
      <w:r w:rsidRPr="00D4309F">
        <w:rPr>
          <w:spacing w:val="-3"/>
        </w:rPr>
        <w:t xml:space="preserve"> </w:t>
      </w:r>
      <w:r w:rsidRPr="00D4309F">
        <w:t>2024</w:t>
      </w:r>
      <w:r w:rsidRPr="00D4309F">
        <w:rPr>
          <w:spacing w:val="-2"/>
        </w:rPr>
        <w:t xml:space="preserve"> </w:t>
      </w:r>
      <w:r w:rsidRPr="00D4309F">
        <w:t>–</w:t>
      </w:r>
      <w:r w:rsidRPr="00D4309F">
        <w:rPr>
          <w:spacing w:val="-3"/>
        </w:rPr>
        <w:t xml:space="preserve"> </w:t>
      </w:r>
      <w:r w:rsidRPr="00D4309F">
        <w:t>11</w:t>
      </w:r>
      <w:r w:rsidRPr="00D4309F">
        <w:rPr>
          <w:spacing w:val="-2"/>
        </w:rPr>
        <w:t xml:space="preserve"> </w:t>
      </w:r>
      <w:r w:rsidRPr="00D4309F">
        <w:t>attendees,</w:t>
      </w:r>
      <w:r w:rsidRPr="00D4309F">
        <w:rPr>
          <w:spacing w:val="-4"/>
        </w:rPr>
        <w:t xml:space="preserve"> </w:t>
      </w:r>
      <w:r w:rsidRPr="00D4309F">
        <w:t>6</w:t>
      </w:r>
      <w:r w:rsidRPr="00D4309F">
        <w:rPr>
          <w:spacing w:val="-3"/>
        </w:rPr>
        <w:t xml:space="preserve"> </w:t>
      </w:r>
      <w:r w:rsidRPr="00D4309F">
        <w:t>apologies,</w:t>
      </w:r>
      <w:r w:rsidRPr="00D4309F">
        <w:rPr>
          <w:spacing w:val="-4"/>
        </w:rPr>
        <w:t xml:space="preserve"> </w:t>
      </w:r>
      <w:r w:rsidRPr="00D4309F">
        <w:t>10</w:t>
      </w:r>
      <w:r w:rsidRPr="00D4309F">
        <w:rPr>
          <w:spacing w:val="-2"/>
        </w:rPr>
        <w:t xml:space="preserve"> absent</w:t>
      </w:r>
    </w:p>
    <w:p w14:paraId="3F2A1F00" w14:textId="77777777" w:rsidR="00725977" w:rsidRPr="00D4309F" w:rsidRDefault="00725977" w:rsidP="009B62A3">
      <w:pPr>
        <w:pStyle w:val="ListBullet"/>
      </w:pPr>
      <w:r w:rsidRPr="00D4309F">
        <w:t>Thursday</w:t>
      </w:r>
      <w:r w:rsidRPr="00D4309F">
        <w:rPr>
          <w:spacing w:val="-2"/>
        </w:rPr>
        <w:t xml:space="preserve"> </w:t>
      </w:r>
      <w:r w:rsidRPr="00D4309F">
        <w:t>2</w:t>
      </w:r>
      <w:r w:rsidRPr="00D4309F">
        <w:rPr>
          <w:spacing w:val="-3"/>
        </w:rPr>
        <w:t xml:space="preserve"> </w:t>
      </w:r>
      <w:r w:rsidRPr="00D4309F">
        <w:t>October</w:t>
      </w:r>
      <w:r w:rsidRPr="00D4309F">
        <w:rPr>
          <w:spacing w:val="-2"/>
        </w:rPr>
        <w:t xml:space="preserve"> </w:t>
      </w:r>
      <w:r w:rsidRPr="00D4309F">
        <w:t>2025</w:t>
      </w:r>
      <w:r w:rsidRPr="00D4309F">
        <w:rPr>
          <w:spacing w:val="-3"/>
        </w:rPr>
        <w:t xml:space="preserve"> </w:t>
      </w:r>
      <w:r w:rsidRPr="00D4309F">
        <w:t>–</w:t>
      </w:r>
      <w:r w:rsidRPr="00D4309F">
        <w:rPr>
          <w:spacing w:val="-4"/>
        </w:rPr>
        <w:t xml:space="preserve"> </w:t>
      </w:r>
      <w:r w:rsidRPr="00D4309F">
        <w:t>16</w:t>
      </w:r>
      <w:r w:rsidRPr="00D4309F">
        <w:rPr>
          <w:spacing w:val="-3"/>
        </w:rPr>
        <w:t xml:space="preserve"> </w:t>
      </w:r>
      <w:r w:rsidRPr="00D4309F">
        <w:t>attendees,</w:t>
      </w:r>
      <w:r w:rsidRPr="00D4309F">
        <w:rPr>
          <w:spacing w:val="-3"/>
        </w:rPr>
        <w:t xml:space="preserve"> </w:t>
      </w:r>
      <w:r w:rsidRPr="00D4309F">
        <w:t>31</w:t>
      </w:r>
      <w:r w:rsidRPr="00D4309F">
        <w:rPr>
          <w:spacing w:val="-2"/>
        </w:rPr>
        <w:t xml:space="preserve"> apologies</w:t>
      </w:r>
    </w:p>
    <w:p w14:paraId="4DF41558" w14:textId="77777777" w:rsidR="00725977" w:rsidRPr="00D4309F" w:rsidRDefault="00725977" w:rsidP="00725977">
      <w:pPr>
        <w:pStyle w:val="BodyText"/>
      </w:pPr>
      <w:r w:rsidRPr="00D4309F">
        <w:t>SRG</w:t>
      </w:r>
      <w:r w:rsidRPr="00D4309F">
        <w:rPr>
          <w:spacing w:val="-6"/>
        </w:rPr>
        <w:t xml:space="preserve"> </w:t>
      </w:r>
      <w:r w:rsidRPr="00D4309F">
        <w:t>members</w:t>
      </w:r>
      <w:r w:rsidRPr="00D4309F">
        <w:rPr>
          <w:spacing w:val="-3"/>
        </w:rPr>
        <w:t xml:space="preserve"> </w:t>
      </w:r>
      <w:r w:rsidRPr="00D4309F">
        <w:t>were</w:t>
      </w:r>
      <w:r w:rsidRPr="00D4309F">
        <w:rPr>
          <w:spacing w:val="-4"/>
        </w:rPr>
        <w:t xml:space="preserve"> </w:t>
      </w:r>
      <w:r w:rsidRPr="00D4309F">
        <w:t>provided</w:t>
      </w:r>
      <w:r w:rsidRPr="00D4309F">
        <w:rPr>
          <w:spacing w:val="-4"/>
        </w:rPr>
        <w:t xml:space="preserve"> </w:t>
      </w:r>
      <w:r w:rsidRPr="00D4309F">
        <w:t>with</w:t>
      </w:r>
      <w:r w:rsidRPr="00D4309F">
        <w:rPr>
          <w:spacing w:val="-4"/>
        </w:rPr>
        <w:t xml:space="preserve"> </w:t>
      </w:r>
      <w:r w:rsidRPr="00D4309F">
        <w:t>the</w:t>
      </w:r>
      <w:r w:rsidRPr="00D4309F">
        <w:rPr>
          <w:spacing w:val="-4"/>
        </w:rPr>
        <w:t xml:space="preserve"> </w:t>
      </w:r>
      <w:r w:rsidRPr="00D4309F">
        <w:t>history</w:t>
      </w:r>
      <w:r w:rsidRPr="00D4309F">
        <w:rPr>
          <w:spacing w:val="-3"/>
        </w:rPr>
        <w:t xml:space="preserve"> </w:t>
      </w:r>
      <w:r w:rsidRPr="00D4309F">
        <w:t>of</w:t>
      </w:r>
      <w:r w:rsidRPr="00D4309F">
        <w:rPr>
          <w:spacing w:val="-3"/>
        </w:rPr>
        <w:t xml:space="preserve"> </w:t>
      </w:r>
      <w:r w:rsidRPr="00D4309F">
        <w:t>the</w:t>
      </w:r>
      <w:r w:rsidRPr="00D4309F">
        <w:rPr>
          <w:spacing w:val="-4"/>
        </w:rPr>
        <w:t xml:space="preserve"> </w:t>
      </w:r>
      <w:r w:rsidRPr="00D4309F">
        <w:t>Mooloolaba</w:t>
      </w:r>
      <w:r w:rsidRPr="00D4309F">
        <w:rPr>
          <w:spacing w:val="-4"/>
        </w:rPr>
        <w:t xml:space="preserve"> </w:t>
      </w:r>
      <w:r w:rsidRPr="00D4309F">
        <w:t>Boat</w:t>
      </w:r>
      <w:r w:rsidRPr="00D4309F">
        <w:rPr>
          <w:spacing w:val="-4"/>
        </w:rPr>
        <w:t xml:space="preserve"> </w:t>
      </w:r>
      <w:r w:rsidRPr="00D4309F">
        <w:t>Harbour</w:t>
      </w:r>
      <w:r w:rsidRPr="00D4309F">
        <w:rPr>
          <w:spacing w:val="-3"/>
        </w:rPr>
        <w:t xml:space="preserve"> </w:t>
      </w:r>
      <w:r w:rsidRPr="00D4309F">
        <w:t>Entrance</w:t>
      </w:r>
      <w:r w:rsidRPr="00D4309F">
        <w:rPr>
          <w:spacing w:val="-4"/>
        </w:rPr>
        <w:t xml:space="preserve"> </w:t>
      </w:r>
      <w:r w:rsidRPr="00D4309F">
        <w:t>which</w:t>
      </w:r>
      <w:r w:rsidRPr="00D4309F">
        <w:rPr>
          <w:spacing w:val="-3"/>
        </w:rPr>
        <w:t xml:space="preserve"> </w:t>
      </w:r>
      <w:r w:rsidRPr="00D4309F">
        <w:rPr>
          <w:spacing w:val="-2"/>
        </w:rPr>
        <w:t>included:</w:t>
      </w:r>
    </w:p>
    <w:p w14:paraId="27E3C2B6" w14:textId="06E44AF7" w:rsidR="00725977" w:rsidRPr="00D4309F" w:rsidRDefault="00725977" w:rsidP="009B62A3">
      <w:pPr>
        <w:pStyle w:val="ListBullet"/>
      </w:pPr>
      <w:r w:rsidRPr="00D4309F">
        <w:t>Training</w:t>
      </w:r>
      <w:r w:rsidRPr="00D4309F">
        <w:rPr>
          <w:spacing w:val="-6"/>
        </w:rPr>
        <w:t xml:space="preserve"> </w:t>
      </w:r>
      <w:r w:rsidRPr="00D4309F">
        <w:t>walls</w:t>
      </w:r>
      <w:r w:rsidRPr="00D4309F">
        <w:rPr>
          <w:spacing w:val="-3"/>
        </w:rPr>
        <w:t xml:space="preserve"> </w:t>
      </w:r>
      <w:r w:rsidRPr="00D4309F">
        <w:t>built</w:t>
      </w:r>
      <w:r w:rsidRPr="00D4309F">
        <w:rPr>
          <w:spacing w:val="-4"/>
        </w:rPr>
        <w:t xml:space="preserve"> </w:t>
      </w:r>
      <w:r w:rsidRPr="00D4309F">
        <w:t>in</w:t>
      </w:r>
      <w:r w:rsidRPr="00D4309F">
        <w:rPr>
          <w:spacing w:val="-4"/>
        </w:rPr>
        <w:t xml:space="preserve"> </w:t>
      </w:r>
      <w:r w:rsidRPr="00D4309F">
        <w:t>late</w:t>
      </w:r>
      <w:r w:rsidRPr="00D4309F">
        <w:rPr>
          <w:spacing w:val="-3"/>
        </w:rPr>
        <w:t xml:space="preserve"> </w:t>
      </w:r>
      <w:r w:rsidRPr="00D4309F">
        <w:t>1960s;</w:t>
      </w:r>
      <w:r w:rsidRPr="00D4309F">
        <w:rPr>
          <w:spacing w:val="-4"/>
        </w:rPr>
        <w:t xml:space="preserve"> </w:t>
      </w:r>
      <w:r w:rsidRPr="00D4309F">
        <w:t>eastern</w:t>
      </w:r>
      <w:r w:rsidRPr="00D4309F">
        <w:rPr>
          <w:spacing w:val="-4"/>
        </w:rPr>
        <w:t xml:space="preserve"> </w:t>
      </w:r>
      <w:r w:rsidRPr="00D4309F">
        <w:t>breakwater</w:t>
      </w:r>
      <w:r w:rsidRPr="00D4309F">
        <w:rPr>
          <w:spacing w:val="-4"/>
        </w:rPr>
        <w:t xml:space="preserve"> </w:t>
      </w:r>
      <w:r w:rsidRPr="00D4309F">
        <w:t>shorter</w:t>
      </w:r>
      <w:r w:rsidRPr="00D4309F">
        <w:rPr>
          <w:spacing w:val="-3"/>
        </w:rPr>
        <w:t xml:space="preserve"> </w:t>
      </w:r>
      <w:r w:rsidRPr="00D4309F">
        <w:t>than</w:t>
      </w:r>
      <w:r w:rsidRPr="00D4309F">
        <w:rPr>
          <w:spacing w:val="-3"/>
        </w:rPr>
        <w:t xml:space="preserve"> </w:t>
      </w:r>
      <w:r w:rsidRPr="00D4309F">
        <w:rPr>
          <w:spacing w:val="-2"/>
        </w:rPr>
        <w:t>planned</w:t>
      </w:r>
    </w:p>
    <w:p w14:paraId="67B18F9D" w14:textId="7F1CAA10" w:rsidR="00725977" w:rsidRPr="00D4309F" w:rsidRDefault="00725977" w:rsidP="009B62A3">
      <w:pPr>
        <w:pStyle w:val="ListBullet"/>
      </w:pPr>
      <w:r w:rsidRPr="00D4309F">
        <w:t>Shoaling</w:t>
      </w:r>
      <w:r w:rsidRPr="00D4309F">
        <w:rPr>
          <w:spacing w:val="-2"/>
        </w:rPr>
        <w:t xml:space="preserve"> </w:t>
      </w:r>
      <w:r w:rsidRPr="00D4309F">
        <w:t>has</w:t>
      </w:r>
      <w:r w:rsidRPr="00D4309F">
        <w:rPr>
          <w:spacing w:val="-2"/>
        </w:rPr>
        <w:t xml:space="preserve"> </w:t>
      </w:r>
      <w:r w:rsidRPr="00D4309F">
        <w:t>increased</w:t>
      </w:r>
      <w:r w:rsidRPr="00D4309F">
        <w:rPr>
          <w:spacing w:val="-2"/>
        </w:rPr>
        <w:t xml:space="preserve"> </w:t>
      </w:r>
      <w:r w:rsidRPr="00D4309F">
        <w:t>in</w:t>
      </w:r>
      <w:r w:rsidRPr="00D4309F">
        <w:rPr>
          <w:spacing w:val="-3"/>
        </w:rPr>
        <w:t xml:space="preserve"> </w:t>
      </w:r>
      <w:r w:rsidRPr="00D4309F">
        <w:t>duration</w:t>
      </w:r>
      <w:r w:rsidRPr="00D4309F">
        <w:rPr>
          <w:spacing w:val="-2"/>
        </w:rPr>
        <w:t xml:space="preserve"> </w:t>
      </w:r>
      <w:r w:rsidRPr="00D4309F">
        <w:t>over</w:t>
      </w:r>
      <w:r w:rsidRPr="00D4309F">
        <w:rPr>
          <w:spacing w:val="-3"/>
        </w:rPr>
        <w:t xml:space="preserve"> </w:t>
      </w:r>
      <w:r w:rsidRPr="00D4309F">
        <w:t>the</w:t>
      </w:r>
      <w:r w:rsidRPr="00D4309F">
        <w:rPr>
          <w:spacing w:val="-2"/>
        </w:rPr>
        <w:t xml:space="preserve"> </w:t>
      </w:r>
      <w:r w:rsidRPr="00D4309F">
        <w:t>last</w:t>
      </w:r>
      <w:r w:rsidRPr="00D4309F">
        <w:rPr>
          <w:spacing w:val="-2"/>
        </w:rPr>
        <w:t xml:space="preserve"> </w:t>
      </w:r>
      <w:r w:rsidRPr="00D4309F">
        <w:t>10</w:t>
      </w:r>
      <w:r w:rsidRPr="00D4309F">
        <w:rPr>
          <w:spacing w:val="-2"/>
        </w:rPr>
        <w:t xml:space="preserve"> </w:t>
      </w:r>
      <w:r w:rsidRPr="00D4309F">
        <w:t>years,</w:t>
      </w:r>
      <w:r w:rsidRPr="00D4309F">
        <w:rPr>
          <w:spacing w:val="-4"/>
        </w:rPr>
        <w:t xml:space="preserve"> </w:t>
      </w:r>
      <w:r w:rsidRPr="00D4309F">
        <w:t>with</w:t>
      </w:r>
      <w:r w:rsidRPr="00D4309F">
        <w:rPr>
          <w:spacing w:val="-2"/>
        </w:rPr>
        <w:t xml:space="preserve"> </w:t>
      </w:r>
      <w:r w:rsidRPr="00D4309F">
        <w:t>significant</w:t>
      </w:r>
      <w:r w:rsidRPr="00D4309F">
        <w:rPr>
          <w:spacing w:val="-2"/>
        </w:rPr>
        <w:t xml:space="preserve"> </w:t>
      </w:r>
      <w:r w:rsidRPr="00D4309F">
        <w:t>sand</w:t>
      </w:r>
      <w:r w:rsidRPr="00D4309F">
        <w:rPr>
          <w:spacing w:val="-2"/>
        </w:rPr>
        <w:t xml:space="preserve"> </w:t>
      </w:r>
      <w:r w:rsidRPr="00D4309F">
        <w:t>movement</w:t>
      </w:r>
      <w:r w:rsidRPr="00D4309F">
        <w:rPr>
          <w:spacing w:val="-2"/>
        </w:rPr>
        <w:t xml:space="preserve"> </w:t>
      </w:r>
      <w:r w:rsidRPr="00D4309F">
        <w:t>during</w:t>
      </w:r>
      <w:r w:rsidRPr="00D4309F">
        <w:rPr>
          <w:spacing w:val="-2"/>
        </w:rPr>
        <w:t xml:space="preserve"> </w:t>
      </w:r>
      <w:r w:rsidRPr="00D4309F">
        <w:t>2011-2013 event</w:t>
      </w:r>
    </w:p>
    <w:p w14:paraId="21DF6F86" w14:textId="09B51AD5" w:rsidR="00725977" w:rsidRPr="00D4309F" w:rsidRDefault="00725977" w:rsidP="009B62A3">
      <w:pPr>
        <w:pStyle w:val="ListBullet"/>
      </w:pPr>
      <w:r w:rsidRPr="00D4309F">
        <w:t>Shoaling</w:t>
      </w:r>
      <w:r w:rsidRPr="00D4309F">
        <w:rPr>
          <w:spacing w:val="-3"/>
        </w:rPr>
        <w:t xml:space="preserve"> </w:t>
      </w:r>
      <w:r w:rsidRPr="00D4309F">
        <w:t>influenced</w:t>
      </w:r>
      <w:r w:rsidRPr="00D4309F">
        <w:rPr>
          <w:spacing w:val="-3"/>
        </w:rPr>
        <w:t xml:space="preserve"> </w:t>
      </w:r>
      <w:r w:rsidRPr="00D4309F">
        <w:t>by</w:t>
      </w:r>
      <w:r w:rsidRPr="00D4309F">
        <w:rPr>
          <w:spacing w:val="-2"/>
        </w:rPr>
        <w:t xml:space="preserve"> </w:t>
      </w:r>
      <w:r w:rsidRPr="00D4309F">
        <w:t>wave</w:t>
      </w:r>
      <w:r w:rsidRPr="00D4309F">
        <w:rPr>
          <w:spacing w:val="-3"/>
        </w:rPr>
        <w:t xml:space="preserve"> </w:t>
      </w:r>
      <w:r w:rsidRPr="00D4309F">
        <w:t>conditions,</w:t>
      </w:r>
      <w:r w:rsidRPr="00D4309F">
        <w:rPr>
          <w:spacing w:val="-3"/>
        </w:rPr>
        <w:t xml:space="preserve"> </w:t>
      </w:r>
      <w:r w:rsidRPr="00D4309F">
        <w:t>sand</w:t>
      </w:r>
      <w:r w:rsidRPr="00D4309F">
        <w:rPr>
          <w:spacing w:val="-3"/>
        </w:rPr>
        <w:t xml:space="preserve"> </w:t>
      </w:r>
      <w:r w:rsidRPr="00D4309F">
        <w:t>transport</w:t>
      </w:r>
      <w:r w:rsidRPr="00D4309F">
        <w:rPr>
          <w:spacing w:val="-3"/>
        </w:rPr>
        <w:t xml:space="preserve"> </w:t>
      </w:r>
      <w:r w:rsidRPr="00D4309F">
        <w:t>from</w:t>
      </w:r>
      <w:r w:rsidRPr="00D4309F">
        <w:rPr>
          <w:spacing w:val="-3"/>
        </w:rPr>
        <w:t xml:space="preserve"> </w:t>
      </w:r>
      <w:r w:rsidRPr="00D4309F">
        <w:t>Buddina</w:t>
      </w:r>
      <w:r w:rsidRPr="00D4309F">
        <w:rPr>
          <w:spacing w:val="-3"/>
        </w:rPr>
        <w:t xml:space="preserve"> </w:t>
      </w:r>
      <w:r w:rsidRPr="00D4309F">
        <w:t>Beach,</w:t>
      </w:r>
      <w:r w:rsidRPr="00D4309F">
        <w:rPr>
          <w:spacing w:val="-3"/>
        </w:rPr>
        <w:t xml:space="preserve"> </w:t>
      </w:r>
      <w:r w:rsidRPr="00D4309F">
        <w:t>and</w:t>
      </w:r>
      <w:r w:rsidRPr="00D4309F">
        <w:rPr>
          <w:spacing w:val="-4"/>
        </w:rPr>
        <w:t xml:space="preserve"> </w:t>
      </w:r>
      <w:r w:rsidRPr="00D4309F">
        <w:t>natural</w:t>
      </w:r>
      <w:r w:rsidRPr="00D4309F">
        <w:rPr>
          <w:spacing w:val="-3"/>
        </w:rPr>
        <w:t xml:space="preserve"> </w:t>
      </w:r>
      <w:r w:rsidRPr="00D4309F">
        <w:t xml:space="preserve">coastal </w:t>
      </w:r>
      <w:r w:rsidRPr="00D4309F">
        <w:rPr>
          <w:spacing w:val="-2"/>
        </w:rPr>
        <w:t>processes</w:t>
      </w:r>
    </w:p>
    <w:p w14:paraId="13C63A54" w14:textId="77777777" w:rsidR="00725977" w:rsidRPr="00D4309F" w:rsidRDefault="00725977" w:rsidP="009B62A3">
      <w:pPr>
        <w:pStyle w:val="ListBullet"/>
      </w:pPr>
      <w:r w:rsidRPr="00D4309F">
        <w:t>Questions</w:t>
      </w:r>
      <w:r w:rsidRPr="00D4309F">
        <w:rPr>
          <w:spacing w:val="-2"/>
        </w:rPr>
        <w:t xml:space="preserve"> </w:t>
      </w:r>
      <w:r w:rsidRPr="00D4309F">
        <w:t>addressed</w:t>
      </w:r>
      <w:r w:rsidRPr="00D4309F">
        <w:rPr>
          <w:spacing w:val="-3"/>
        </w:rPr>
        <w:t xml:space="preserve"> </w:t>
      </w:r>
      <w:r w:rsidRPr="00D4309F">
        <w:t>about</w:t>
      </w:r>
      <w:r w:rsidRPr="00D4309F">
        <w:rPr>
          <w:spacing w:val="-3"/>
        </w:rPr>
        <w:t xml:space="preserve"> </w:t>
      </w:r>
      <w:r w:rsidRPr="00D4309F">
        <w:t>wave</w:t>
      </w:r>
      <w:r w:rsidRPr="00D4309F">
        <w:rPr>
          <w:spacing w:val="-3"/>
        </w:rPr>
        <w:t xml:space="preserve"> </w:t>
      </w:r>
      <w:r w:rsidRPr="00D4309F">
        <w:t>directions,</w:t>
      </w:r>
      <w:r w:rsidRPr="00D4309F">
        <w:rPr>
          <w:spacing w:val="-3"/>
        </w:rPr>
        <w:t xml:space="preserve"> </w:t>
      </w:r>
      <w:r w:rsidRPr="00D4309F">
        <w:t>historical</w:t>
      </w:r>
      <w:r w:rsidRPr="00D4309F">
        <w:rPr>
          <w:spacing w:val="-4"/>
        </w:rPr>
        <w:t xml:space="preserve"> </w:t>
      </w:r>
      <w:r w:rsidRPr="00D4309F">
        <w:t>shoaling,</w:t>
      </w:r>
      <w:r w:rsidRPr="00D4309F">
        <w:rPr>
          <w:spacing w:val="-3"/>
        </w:rPr>
        <w:t xml:space="preserve"> </w:t>
      </w:r>
      <w:r w:rsidRPr="00D4309F">
        <w:t>dredging</w:t>
      </w:r>
      <w:r w:rsidRPr="00D4309F">
        <w:rPr>
          <w:spacing w:val="-3"/>
        </w:rPr>
        <w:t xml:space="preserve"> </w:t>
      </w:r>
      <w:r w:rsidRPr="00D4309F">
        <w:t>productivity,</w:t>
      </w:r>
      <w:r w:rsidRPr="00D4309F">
        <w:rPr>
          <w:spacing w:val="-3"/>
        </w:rPr>
        <w:t xml:space="preserve"> </w:t>
      </w:r>
      <w:r w:rsidRPr="00D4309F">
        <w:t>and</w:t>
      </w:r>
      <w:r w:rsidRPr="00D4309F">
        <w:rPr>
          <w:spacing w:val="-4"/>
        </w:rPr>
        <w:t xml:space="preserve"> </w:t>
      </w:r>
      <w:r w:rsidRPr="00D4309F">
        <w:t>sand</w:t>
      </w:r>
      <w:r w:rsidRPr="00D4309F">
        <w:rPr>
          <w:spacing w:val="-3"/>
        </w:rPr>
        <w:t xml:space="preserve"> </w:t>
      </w:r>
      <w:r w:rsidRPr="00D4309F">
        <w:t>impact inside harbour.</w:t>
      </w:r>
    </w:p>
    <w:p w14:paraId="36B86968" w14:textId="77777777" w:rsidR="00725977" w:rsidRPr="00D4309F" w:rsidRDefault="00725977" w:rsidP="00725977">
      <w:pPr>
        <w:pStyle w:val="BodyText"/>
      </w:pPr>
      <w:r w:rsidRPr="00D4309F">
        <w:t>At</w:t>
      </w:r>
      <w:r w:rsidRPr="00D4309F">
        <w:rPr>
          <w:spacing w:val="-6"/>
        </w:rPr>
        <w:t xml:space="preserve"> </w:t>
      </w:r>
      <w:r w:rsidRPr="00D4309F">
        <w:t>the</w:t>
      </w:r>
      <w:r w:rsidRPr="00D4309F">
        <w:rPr>
          <w:spacing w:val="-3"/>
        </w:rPr>
        <w:t xml:space="preserve"> </w:t>
      </w:r>
      <w:r w:rsidRPr="00D4309F">
        <w:t>SRG</w:t>
      </w:r>
      <w:r w:rsidRPr="00D4309F">
        <w:rPr>
          <w:spacing w:val="-4"/>
        </w:rPr>
        <w:t xml:space="preserve"> </w:t>
      </w:r>
      <w:r w:rsidRPr="00D4309F">
        <w:t>meetings,</w:t>
      </w:r>
      <w:r w:rsidRPr="00D4309F">
        <w:rPr>
          <w:spacing w:val="-3"/>
        </w:rPr>
        <w:t xml:space="preserve"> </w:t>
      </w:r>
      <w:r w:rsidRPr="00D4309F">
        <w:t>a</w:t>
      </w:r>
      <w:r w:rsidRPr="00D4309F">
        <w:rPr>
          <w:spacing w:val="-4"/>
        </w:rPr>
        <w:t xml:space="preserve"> </w:t>
      </w:r>
      <w:r w:rsidRPr="00D4309F">
        <w:t>number</w:t>
      </w:r>
      <w:r w:rsidRPr="00D4309F">
        <w:rPr>
          <w:spacing w:val="-2"/>
        </w:rPr>
        <w:t xml:space="preserve"> </w:t>
      </w:r>
      <w:r w:rsidRPr="00D4309F">
        <w:t>of</w:t>
      </w:r>
      <w:r w:rsidRPr="00D4309F">
        <w:rPr>
          <w:spacing w:val="-4"/>
        </w:rPr>
        <w:t xml:space="preserve"> </w:t>
      </w:r>
      <w:r w:rsidRPr="00D4309F">
        <w:t>options</w:t>
      </w:r>
      <w:r w:rsidRPr="00D4309F">
        <w:rPr>
          <w:spacing w:val="-2"/>
        </w:rPr>
        <w:t xml:space="preserve"> </w:t>
      </w:r>
      <w:r w:rsidRPr="00D4309F">
        <w:t>have</w:t>
      </w:r>
      <w:r w:rsidRPr="00D4309F">
        <w:rPr>
          <w:spacing w:val="-4"/>
        </w:rPr>
        <w:t xml:space="preserve"> </w:t>
      </w:r>
      <w:r w:rsidRPr="00D4309F">
        <w:t>been</w:t>
      </w:r>
      <w:r w:rsidRPr="00D4309F">
        <w:rPr>
          <w:spacing w:val="-3"/>
        </w:rPr>
        <w:t xml:space="preserve"> </w:t>
      </w:r>
      <w:r w:rsidRPr="00D4309F">
        <w:t>discussed</w:t>
      </w:r>
      <w:r w:rsidRPr="00D4309F">
        <w:rPr>
          <w:spacing w:val="-4"/>
        </w:rPr>
        <w:t xml:space="preserve"> </w:t>
      </w:r>
      <w:r w:rsidRPr="00D4309F">
        <w:t>and</w:t>
      </w:r>
      <w:r w:rsidRPr="00D4309F">
        <w:rPr>
          <w:spacing w:val="-3"/>
        </w:rPr>
        <w:t xml:space="preserve"> </w:t>
      </w:r>
      <w:r w:rsidRPr="00D4309F">
        <w:t>considered</w:t>
      </w:r>
      <w:r w:rsidRPr="00D4309F">
        <w:rPr>
          <w:spacing w:val="-3"/>
        </w:rPr>
        <w:t xml:space="preserve"> </w:t>
      </w:r>
      <w:r w:rsidRPr="00D4309F">
        <w:rPr>
          <w:spacing w:val="-2"/>
        </w:rPr>
        <w:t>including:</w:t>
      </w:r>
    </w:p>
    <w:p w14:paraId="5BB079CB" w14:textId="77777777" w:rsidR="00725977" w:rsidRPr="00D4309F" w:rsidRDefault="00725977" w:rsidP="009B62A3">
      <w:pPr>
        <w:pStyle w:val="ListBullet"/>
      </w:pPr>
      <w:r w:rsidRPr="00D4309F">
        <w:t>Option</w:t>
      </w:r>
      <w:r w:rsidRPr="00D4309F">
        <w:rPr>
          <w:spacing w:val="-7"/>
        </w:rPr>
        <w:t xml:space="preserve"> </w:t>
      </w:r>
      <w:r w:rsidRPr="00D4309F">
        <w:t>1:</w:t>
      </w:r>
      <w:r w:rsidRPr="00D4309F">
        <w:rPr>
          <w:spacing w:val="-5"/>
        </w:rPr>
        <w:t xml:space="preserve"> </w:t>
      </w:r>
      <w:r w:rsidRPr="00D4309F">
        <w:t>Permanent</w:t>
      </w:r>
      <w:r w:rsidRPr="00D4309F">
        <w:rPr>
          <w:spacing w:val="-4"/>
        </w:rPr>
        <w:t xml:space="preserve"> </w:t>
      </w:r>
      <w:r w:rsidRPr="00D4309F">
        <w:t>Automatic</w:t>
      </w:r>
      <w:r w:rsidRPr="00D4309F">
        <w:rPr>
          <w:spacing w:val="-3"/>
        </w:rPr>
        <w:t xml:space="preserve"> </w:t>
      </w:r>
      <w:r w:rsidRPr="00D4309F">
        <w:t>Sand</w:t>
      </w:r>
      <w:r w:rsidRPr="00D4309F">
        <w:rPr>
          <w:spacing w:val="-4"/>
        </w:rPr>
        <w:t xml:space="preserve"> </w:t>
      </w:r>
      <w:r w:rsidRPr="00D4309F">
        <w:t>Bypassing</w:t>
      </w:r>
      <w:r w:rsidRPr="00D4309F">
        <w:rPr>
          <w:spacing w:val="-4"/>
        </w:rPr>
        <w:t xml:space="preserve"> </w:t>
      </w:r>
      <w:r w:rsidRPr="00D4309F">
        <w:rPr>
          <w:spacing w:val="-2"/>
        </w:rPr>
        <w:t>System</w:t>
      </w:r>
    </w:p>
    <w:p w14:paraId="1C3D57BC" w14:textId="77777777" w:rsidR="00725977" w:rsidRPr="00D4309F" w:rsidRDefault="00725977" w:rsidP="009B62A3">
      <w:pPr>
        <w:pStyle w:val="ListBullet"/>
      </w:pPr>
      <w:r w:rsidRPr="00D4309F">
        <w:t>Option</w:t>
      </w:r>
      <w:r w:rsidRPr="00D4309F">
        <w:rPr>
          <w:spacing w:val="-4"/>
        </w:rPr>
        <w:t xml:space="preserve"> </w:t>
      </w:r>
      <w:r w:rsidRPr="00D4309F">
        <w:t>2:</w:t>
      </w:r>
      <w:r w:rsidRPr="00D4309F">
        <w:rPr>
          <w:spacing w:val="-4"/>
        </w:rPr>
        <w:t xml:space="preserve"> </w:t>
      </w:r>
      <w:r w:rsidRPr="00D4309F">
        <w:t>Increased</w:t>
      </w:r>
      <w:r w:rsidRPr="00D4309F">
        <w:rPr>
          <w:spacing w:val="-3"/>
        </w:rPr>
        <w:t xml:space="preserve"> </w:t>
      </w:r>
      <w:r w:rsidRPr="00D4309F">
        <w:t>dredge</w:t>
      </w:r>
      <w:r w:rsidRPr="00D4309F">
        <w:rPr>
          <w:spacing w:val="-4"/>
        </w:rPr>
        <w:t xml:space="preserve"> </w:t>
      </w:r>
      <w:r w:rsidRPr="00D4309F">
        <w:t>channel</w:t>
      </w:r>
      <w:r w:rsidRPr="00D4309F">
        <w:rPr>
          <w:spacing w:val="-4"/>
        </w:rPr>
        <w:t xml:space="preserve"> </w:t>
      </w:r>
      <w:r w:rsidRPr="00D4309F">
        <w:t>depth</w:t>
      </w:r>
      <w:r w:rsidRPr="00D4309F">
        <w:rPr>
          <w:spacing w:val="-3"/>
        </w:rPr>
        <w:t xml:space="preserve"> </w:t>
      </w:r>
      <w:r w:rsidRPr="00D4309F">
        <w:t>with</w:t>
      </w:r>
      <w:r w:rsidRPr="00D4309F">
        <w:rPr>
          <w:spacing w:val="-3"/>
        </w:rPr>
        <w:t xml:space="preserve"> </w:t>
      </w:r>
      <w:r w:rsidRPr="00D4309F">
        <w:t>rock</w:t>
      </w:r>
      <w:r w:rsidRPr="00D4309F">
        <w:rPr>
          <w:spacing w:val="-2"/>
        </w:rPr>
        <w:t xml:space="preserve"> excavation</w:t>
      </w:r>
    </w:p>
    <w:p w14:paraId="785B8BDA" w14:textId="77777777" w:rsidR="00725977" w:rsidRPr="00D4309F" w:rsidRDefault="00725977" w:rsidP="009B62A3">
      <w:pPr>
        <w:pStyle w:val="ListBullet"/>
      </w:pPr>
      <w:r w:rsidRPr="00D4309F">
        <w:t>Option</w:t>
      </w:r>
      <w:r w:rsidRPr="00D4309F">
        <w:rPr>
          <w:spacing w:val="-3"/>
        </w:rPr>
        <w:t xml:space="preserve"> </w:t>
      </w:r>
      <w:r w:rsidRPr="00D4309F">
        <w:t>3:</w:t>
      </w:r>
      <w:r w:rsidRPr="00D4309F">
        <w:rPr>
          <w:spacing w:val="-4"/>
        </w:rPr>
        <w:t xml:space="preserve"> </w:t>
      </w:r>
      <w:r w:rsidRPr="00D4309F">
        <w:t>Excavated</w:t>
      </w:r>
      <w:r w:rsidRPr="00D4309F">
        <w:rPr>
          <w:spacing w:val="-3"/>
        </w:rPr>
        <w:t xml:space="preserve"> </w:t>
      </w:r>
      <w:r w:rsidRPr="00D4309F">
        <w:t>sand</w:t>
      </w:r>
      <w:r w:rsidRPr="00D4309F">
        <w:rPr>
          <w:spacing w:val="-3"/>
        </w:rPr>
        <w:t xml:space="preserve"> </w:t>
      </w:r>
      <w:r w:rsidRPr="00D4309F">
        <w:t>trap</w:t>
      </w:r>
      <w:r w:rsidRPr="00D4309F">
        <w:rPr>
          <w:spacing w:val="-3"/>
        </w:rPr>
        <w:t xml:space="preserve"> </w:t>
      </w:r>
      <w:r w:rsidRPr="00D4309F">
        <w:t>on</w:t>
      </w:r>
      <w:r w:rsidRPr="00D4309F">
        <w:rPr>
          <w:spacing w:val="-2"/>
        </w:rPr>
        <w:t xml:space="preserve"> headland</w:t>
      </w:r>
    </w:p>
    <w:p w14:paraId="6B11321D" w14:textId="77777777" w:rsidR="00725977" w:rsidRPr="00D4309F" w:rsidRDefault="00725977" w:rsidP="009B62A3">
      <w:pPr>
        <w:pStyle w:val="ListBullet"/>
      </w:pPr>
      <w:r w:rsidRPr="00D4309F">
        <w:t>Option</w:t>
      </w:r>
      <w:r w:rsidRPr="00D4309F">
        <w:rPr>
          <w:spacing w:val="-4"/>
        </w:rPr>
        <w:t xml:space="preserve"> </w:t>
      </w:r>
      <w:r w:rsidRPr="00D4309F">
        <w:t>4:</w:t>
      </w:r>
      <w:r w:rsidRPr="00D4309F">
        <w:rPr>
          <w:spacing w:val="-4"/>
        </w:rPr>
        <w:t xml:space="preserve"> </w:t>
      </w:r>
      <w:r w:rsidRPr="00D4309F">
        <w:t>Breakwater</w:t>
      </w:r>
      <w:r w:rsidRPr="00D4309F">
        <w:rPr>
          <w:spacing w:val="-2"/>
        </w:rPr>
        <w:t xml:space="preserve"> extension</w:t>
      </w:r>
    </w:p>
    <w:p w14:paraId="0DBC6F8F" w14:textId="77777777" w:rsidR="00725977" w:rsidRPr="00D4309F" w:rsidRDefault="00725977" w:rsidP="009B62A3">
      <w:pPr>
        <w:pStyle w:val="ListBullet"/>
      </w:pPr>
      <w:r w:rsidRPr="00D4309F">
        <w:t>Option</w:t>
      </w:r>
      <w:r w:rsidRPr="00D4309F">
        <w:rPr>
          <w:spacing w:val="-3"/>
        </w:rPr>
        <w:t xml:space="preserve"> </w:t>
      </w:r>
      <w:r w:rsidRPr="00D4309F">
        <w:t>5:</w:t>
      </w:r>
      <w:r w:rsidRPr="00D4309F">
        <w:rPr>
          <w:spacing w:val="-4"/>
        </w:rPr>
        <w:t xml:space="preserve"> </w:t>
      </w:r>
      <w:r w:rsidRPr="00D4309F">
        <w:t>Buddina</w:t>
      </w:r>
      <w:r w:rsidRPr="00D4309F">
        <w:rPr>
          <w:spacing w:val="-3"/>
        </w:rPr>
        <w:t xml:space="preserve"> </w:t>
      </w:r>
      <w:r w:rsidRPr="00D4309F">
        <w:t>Beach</w:t>
      </w:r>
      <w:r w:rsidRPr="00D4309F">
        <w:rPr>
          <w:spacing w:val="-3"/>
        </w:rPr>
        <w:t xml:space="preserve"> </w:t>
      </w:r>
      <w:r w:rsidRPr="00D4309F">
        <w:t>sand</w:t>
      </w:r>
      <w:r w:rsidRPr="00D4309F">
        <w:rPr>
          <w:spacing w:val="-3"/>
        </w:rPr>
        <w:t xml:space="preserve"> </w:t>
      </w:r>
      <w:r w:rsidRPr="00D4309F">
        <w:rPr>
          <w:spacing w:val="-2"/>
        </w:rPr>
        <w:t>trap.</w:t>
      </w:r>
    </w:p>
    <w:p w14:paraId="40F8B821" w14:textId="68241CBB" w:rsidR="00725977" w:rsidRPr="00D4309F" w:rsidRDefault="00725977" w:rsidP="00725977">
      <w:pPr>
        <w:pStyle w:val="BodyText"/>
        <w:sectPr w:rsidR="00725977" w:rsidRPr="00D4309F" w:rsidSect="009B62A3">
          <w:pgSz w:w="11910" w:h="16840"/>
          <w:pgMar w:top="1418" w:right="1134" w:bottom="1418" w:left="1134" w:header="919" w:footer="1145" w:gutter="0"/>
          <w:cols w:space="720"/>
          <w:docGrid w:linePitch="272"/>
        </w:sectPr>
      </w:pPr>
      <w:r w:rsidRPr="00D4309F">
        <w:t>The</w:t>
      </w:r>
      <w:r w:rsidRPr="00D4309F">
        <w:rPr>
          <w:spacing w:val="-5"/>
        </w:rPr>
        <w:t xml:space="preserve"> </w:t>
      </w:r>
      <w:r w:rsidRPr="00D4309F">
        <w:t>feedback</w:t>
      </w:r>
      <w:r w:rsidRPr="00D4309F">
        <w:rPr>
          <w:spacing w:val="-3"/>
        </w:rPr>
        <w:t xml:space="preserve"> </w:t>
      </w:r>
      <w:r w:rsidRPr="00D4309F">
        <w:t>from</w:t>
      </w:r>
      <w:r w:rsidRPr="00D4309F">
        <w:rPr>
          <w:spacing w:val="-3"/>
        </w:rPr>
        <w:t xml:space="preserve"> </w:t>
      </w:r>
      <w:r w:rsidRPr="00D4309F">
        <w:t>the</w:t>
      </w:r>
      <w:r w:rsidRPr="00D4309F">
        <w:rPr>
          <w:spacing w:val="-3"/>
        </w:rPr>
        <w:t xml:space="preserve"> </w:t>
      </w:r>
      <w:r w:rsidRPr="00D4309F">
        <w:t>SRG</w:t>
      </w:r>
      <w:r w:rsidRPr="00D4309F">
        <w:rPr>
          <w:spacing w:val="-3"/>
        </w:rPr>
        <w:t xml:space="preserve"> </w:t>
      </w:r>
      <w:r w:rsidRPr="00D4309F">
        <w:t>on</w:t>
      </w:r>
      <w:r w:rsidRPr="00D4309F">
        <w:rPr>
          <w:spacing w:val="-3"/>
        </w:rPr>
        <w:t xml:space="preserve"> </w:t>
      </w:r>
      <w:r w:rsidRPr="00D4309F">
        <w:t>these</w:t>
      </w:r>
      <w:r w:rsidRPr="00D4309F">
        <w:rPr>
          <w:spacing w:val="-3"/>
        </w:rPr>
        <w:t xml:space="preserve"> </w:t>
      </w:r>
      <w:r w:rsidRPr="00D4309F">
        <w:t>options</w:t>
      </w:r>
      <w:r w:rsidRPr="00D4309F">
        <w:rPr>
          <w:spacing w:val="-2"/>
        </w:rPr>
        <w:t xml:space="preserve"> </w:t>
      </w:r>
      <w:r w:rsidRPr="00D4309F">
        <w:t>is</w:t>
      </w:r>
      <w:r w:rsidRPr="00D4309F">
        <w:rPr>
          <w:spacing w:val="-3"/>
        </w:rPr>
        <w:t xml:space="preserve"> </w:t>
      </w:r>
      <w:r w:rsidRPr="00D4309F">
        <w:t>detailed</w:t>
      </w:r>
      <w:r w:rsidRPr="00D4309F">
        <w:rPr>
          <w:spacing w:val="-3"/>
        </w:rPr>
        <w:t xml:space="preserve"> </w:t>
      </w:r>
      <w:r w:rsidRPr="00D4309F">
        <w:t>in</w:t>
      </w:r>
      <w:r w:rsidRPr="00D4309F">
        <w:rPr>
          <w:spacing w:val="-2"/>
        </w:rPr>
        <w:t xml:space="preserve"> </w:t>
      </w:r>
      <w:hyperlink w:anchor="_bookmark32" w:history="1">
        <w:r w:rsidR="00F322B7">
          <w:fldChar w:fldCharType="begin" w:fldLock="1"/>
        </w:r>
        <w:r w:rsidR="00F322B7">
          <w:instrText xml:space="preserve"> REF _Ref215979155 \h </w:instrText>
        </w:r>
        <w:r w:rsidR="00F322B7">
          <w:fldChar w:fldCharType="separate"/>
        </w:r>
        <w:r w:rsidR="00F322B7">
          <w:t xml:space="preserve">Table </w:t>
        </w:r>
        <w:r w:rsidR="00F322B7">
          <w:rPr>
            <w:noProof/>
          </w:rPr>
          <w:t>6</w:t>
        </w:r>
        <w:r w:rsidR="00F322B7">
          <w:noBreakHyphen/>
        </w:r>
        <w:r w:rsidR="00F322B7">
          <w:rPr>
            <w:noProof/>
          </w:rPr>
          <w:t>1</w:t>
        </w:r>
        <w:r w:rsidR="00F322B7">
          <w:fldChar w:fldCharType="end"/>
        </w:r>
        <w:r w:rsidRPr="00D4309F">
          <w:rPr>
            <w:spacing w:val="-5"/>
          </w:rPr>
          <w:t>.</w:t>
        </w:r>
      </w:hyperlink>
    </w:p>
    <w:p w14:paraId="5C4291B9" w14:textId="0FD804AB" w:rsidR="00CE0FD1" w:rsidRDefault="00CE0FD1" w:rsidP="00151534">
      <w:pPr>
        <w:pStyle w:val="Table-Caption"/>
        <w:rPr>
          <w:spacing w:val="-2"/>
        </w:rPr>
      </w:pPr>
      <w:bookmarkStart w:id="86" w:name="_bookmark32"/>
      <w:bookmarkStart w:id="87" w:name="_Ref215979155"/>
      <w:bookmarkStart w:id="88" w:name="_Toc216699536"/>
      <w:bookmarkEnd w:id="86"/>
      <w:r>
        <w:lastRenderedPageBreak/>
        <w:t xml:space="preserve">Table </w:t>
      </w:r>
      <w:r w:rsidR="00151534">
        <w:fldChar w:fldCharType="begin" w:fldLock="1"/>
      </w:r>
      <w:r w:rsidR="00151534">
        <w:instrText xml:space="preserve"> STYLEREF 1 \s </w:instrText>
      </w:r>
      <w:r w:rsidR="00151534">
        <w:fldChar w:fldCharType="separate"/>
      </w:r>
      <w:r w:rsidR="00151534">
        <w:rPr>
          <w:noProof/>
        </w:rPr>
        <w:t>6</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1</w:t>
      </w:r>
      <w:r w:rsidR="00151534">
        <w:fldChar w:fldCharType="end"/>
      </w:r>
      <w:bookmarkEnd w:id="87"/>
      <w:r>
        <w:t>:</w:t>
      </w:r>
      <w:r>
        <w:tab/>
      </w:r>
      <w:r w:rsidRPr="00D4309F">
        <w:t>Options</w:t>
      </w:r>
      <w:r w:rsidRPr="00D4309F">
        <w:rPr>
          <w:spacing w:val="-3"/>
        </w:rPr>
        <w:t xml:space="preserve"> </w:t>
      </w:r>
      <w:r w:rsidRPr="00D4309F">
        <w:t>presented</w:t>
      </w:r>
      <w:r w:rsidRPr="00D4309F">
        <w:rPr>
          <w:spacing w:val="-2"/>
        </w:rPr>
        <w:t xml:space="preserve"> </w:t>
      </w:r>
      <w:r w:rsidRPr="00D4309F">
        <w:t>to</w:t>
      </w:r>
      <w:r w:rsidRPr="00D4309F">
        <w:rPr>
          <w:spacing w:val="-3"/>
        </w:rPr>
        <w:t xml:space="preserve"> </w:t>
      </w:r>
      <w:r w:rsidRPr="00D4309F">
        <w:t>SRG</w:t>
      </w:r>
      <w:r w:rsidRPr="00D4309F">
        <w:rPr>
          <w:spacing w:val="-2"/>
        </w:rPr>
        <w:t xml:space="preserve"> </w:t>
      </w:r>
      <w:r w:rsidRPr="00D4309F">
        <w:t>and</w:t>
      </w:r>
      <w:r w:rsidRPr="00D4309F">
        <w:rPr>
          <w:spacing w:val="-3"/>
        </w:rPr>
        <w:t xml:space="preserve"> </w:t>
      </w:r>
      <w:r w:rsidRPr="00D4309F">
        <w:t>feedback</w:t>
      </w:r>
      <w:r w:rsidRPr="00D4309F">
        <w:rPr>
          <w:spacing w:val="-2"/>
        </w:rPr>
        <w:t xml:space="preserve"> received</w:t>
      </w:r>
      <w:bookmarkEnd w:id="88"/>
    </w:p>
    <w:tbl>
      <w:tblPr>
        <w:tblW w:w="5000" w:type="pct"/>
        <w:tblCellMar>
          <w:left w:w="0" w:type="dxa"/>
          <w:right w:w="0" w:type="dxa"/>
        </w:tblCellMar>
        <w:tblLook w:val="01E0" w:firstRow="1" w:lastRow="1" w:firstColumn="1" w:lastColumn="1" w:noHBand="0" w:noVBand="0"/>
      </w:tblPr>
      <w:tblGrid>
        <w:gridCol w:w="2148"/>
        <w:gridCol w:w="7494"/>
      </w:tblGrid>
      <w:tr w:rsidR="00725977" w:rsidRPr="00D4309F" w14:paraId="66EF3D22" w14:textId="77777777" w:rsidTr="009B62A3">
        <w:trPr>
          <w:trHeight w:val="286"/>
        </w:trPr>
        <w:tc>
          <w:tcPr>
            <w:tcW w:w="1114" w:type="pct"/>
            <w:tcBorders>
              <w:bottom w:val="single" w:sz="4" w:space="0" w:color="000000"/>
            </w:tcBorders>
            <w:shd w:val="clear" w:color="auto" w:fill="D6D7D5"/>
          </w:tcPr>
          <w:p w14:paraId="694C7811" w14:textId="77777777" w:rsidR="00725977" w:rsidRPr="00D4309F" w:rsidRDefault="00725977" w:rsidP="00475E5E">
            <w:pPr>
              <w:pStyle w:val="Table-Heading"/>
            </w:pPr>
            <w:r w:rsidRPr="00D4309F">
              <w:t>Option</w:t>
            </w:r>
          </w:p>
        </w:tc>
        <w:tc>
          <w:tcPr>
            <w:tcW w:w="3886" w:type="pct"/>
            <w:tcBorders>
              <w:bottom w:val="single" w:sz="4" w:space="0" w:color="000000"/>
            </w:tcBorders>
            <w:shd w:val="clear" w:color="auto" w:fill="D6D7D5"/>
          </w:tcPr>
          <w:p w14:paraId="35A71C23" w14:textId="77777777" w:rsidR="00725977" w:rsidRPr="00D4309F" w:rsidRDefault="00725977" w:rsidP="00475E5E">
            <w:pPr>
              <w:pStyle w:val="Table-Heading"/>
            </w:pPr>
            <w:r w:rsidRPr="00D4309F">
              <w:t>SRG feedback/questions</w:t>
            </w:r>
          </w:p>
        </w:tc>
      </w:tr>
      <w:tr w:rsidR="00725977" w:rsidRPr="00D4309F" w14:paraId="06CD361B" w14:textId="77777777" w:rsidTr="009B62A3">
        <w:trPr>
          <w:trHeight w:val="1361"/>
        </w:trPr>
        <w:tc>
          <w:tcPr>
            <w:tcW w:w="1114" w:type="pct"/>
            <w:tcBorders>
              <w:top w:val="single" w:sz="4" w:space="0" w:color="000000"/>
              <w:bottom w:val="single" w:sz="4" w:space="0" w:color="000000"/>
            </w:tcBorders>
          </w:tcPr>
          <w:p w14:paraId="03093A11" w14:textId="77777777" w:rsidR="00725977" w:rsidRPr="00475E5E" w:rsidRDefault="00725977" w:rsidP="00475E5E">
            <w:pPr>
              <w:pStyle w:val="Table-Text"/>
              <w:rPr>
                <w:b/>
                <w:bCs/>
              </w:rPr>
            </w:pPr>
            <w:r w:rsidRPr="00475E5E">
              <w:rPr>
                <w:b/>
                <w:bCs/>
              </w:rPr>
              <w:t xml:space="preserve">Option 1 – </w:t>
            </w:r>
            <w:r w:rsidRPr="00475E5E">
              <w:rPr>
                <w:b/>
                <w:bCs/>
                <w:spacing w:val="-2"/>
              </w:rPr>
              <w:t xml:space="preserve">Permanent </w:t>
            </w:r>
            <w:r w:rsidRPr="00475E5E">
              <w:rPr>
                <w:b/>
                <w:bCs/>
              </w:rPr>
              <w:t>Automatic Sand Bypassing</w:t>
            </w:r>
            <w:r w:rsidRPr="00475E5E">
              <w:rPr>
                <w:b/>
                <w:bCs/>
                <w:spacing w:val="-13"/>
              </w:rPr>
              <w:t xml:space="preserve"> </w:t>
            </w:r>
            <w:r w:rsidRPr="00475E5E">
              <w:rPr>
                <w:b/>
                <w:bCs/>
              </w:rPr>
              <w:t>System</w:t>
            </w:r>
          </w:p>
        </w:tc>
        <w:tc>
          <w:tcPr>
            <w:tcW w:w="3886" w:type="pct"/>
            <w:tcBorders>
              <w:top w:val="single" w:sz="4" w:space="0" w:color="000000"/>
              <w:bottom w:val="single" w:sz="4" w:space="0" w:color="000000"/>
            </w:tcBorders>
          </w:tcPr>
          <w:p w14:paraId="14054332" w14:textId="77777777" w:rsidR="00725977" w:rsidRPr="00D4309F" w:rsidRDefault="00725977" w:rsidP="00475E5E">
            <w:pPr>
              <w:pStyle w:val="Table-Text"/>
            </w:pPr>
            <w:r w:rsidRPr="00D4309F">
              <w:t>A number of questions were raised by the SRG including option to reduce visual impact</w:t>
            </w:r>
            <w:r w:rsidRPr="00D4309F">
              <w:rPr>
                <w:spacing w:val="40"/>
              </w:rPr>
              <w:t xml:space="preserve"> </w:t>
            </w:r>
            <w:r w:rsidRPr="00D4309F">
              <w:t>of</w:t>
            </w:r>
            <w:r w:rsidRPr="00D4309F">
              <w:rPr>
                <w:spacing w:val="-3"/>
              </w:rPr>
              <w:t xml:space="preserve"> </w:t>
            </w:r>
            <w:r w:rsidRPr="00D4309F">
              <w:t>the</w:t>
            </w:r>
            <w:r w:rsidRPr="00D4309F">
              <w:rPr>
                <w:spacing w:val="-4"/>
              </w:rPr>
              <w:t xml:space="preserve"> </w:t>
            </w:r>
            <w:r w:rsidRPr="00D4309F">
              <w:t>system,</w:t>
            </w:r>
            <w:r w:rsidRPr="00D4309F">
              <w:rPr>
                <w:spacing w:val="-3"/>
              </w:rPr>
              <w:t xml:space="preserve"> </w:t>
            </w:r>
            <w:r w:rsidRPr="00D4309F">
              <w:t>the</w:t>
            </w:r>
            <w:r w:rsidRPr="00D4309F">
              <w:rPr>
                <w:spacing w:val="-4"/>
              </w:rPr>
              <w:t xml:space="preserve"> </w:t>
            </w:r>
            <w:r w:rsidRPr="00D4309F">
              <w:t>costs</w:t>
            </w:r>
            <w:r w:rsidRPr="00D4309F">
              <w:rPr>
                <w:spacing w:val="-3"/>
              </w:rPr>
              <w:t xml:space="preserve"> </w:t>
            </w:r>
            <w:r w:rsidRPr="00D4309F">
              <w:t>for</w:t>
            </w:r>
            <w:r w:rsidRPr="00D4309F">
              <w:rPr>
                <w:spacing w:val="-3"/>
              </w:rPr>
              <w:t xml:space="preserve"> </w:t>
            </w:r>
            <w:r w:rsidRPr="00D4309F">
              <w:t>construction</w:t>
            </w:r>
            <w:r w:rsidRPr="00D4309F">
              <w:rPr>
                <w:spacing w:val="-4"/>
              </w:rPr>
              <w:t xml:space="preserve"> </w:t>
            </w:r>
            <w:r w:rsidRPr="00D4309F">
              <w:t>and</w:t>
            </w:r>
            <w:r w:rsidRPr="00D4309F">
              <w:rPr>
                <w:spacing w:val="-2"/>
              </w:rPr>
              <w:t xml:space="preserve"> </w:t>
            </w:r>
            <w:r w:rsidRPr="00D4309F">
              <w:t>operation</w:t>
            </w:r>
            <w:r w:rsidRPr="00D4309F">
              <w:rPr>
                <w:spacing w:val="-2"/>
              </w:rPr>
              <w:t xml:space="preserve"> </w:t>
            </w:r>
            <w:r w:rsidRPr="00D4309F">
              <w:t>and</w:t>
            </w:r>
            <w:r w:rsidRPr="00D4309F">
              <w:rPr>
                <w:spacing w:val="-4"/>
              </w:rPr>
              <w:t xml:space="preserve"> </w:t>
            </w:r>
            <w:r w:rsidRPr="00D4309F">
              <w:t>if</w:t>
            </w:r>
            <w:r w:rsidRPr="00D4309F">
              <w:rPr>
                <w:spacing w:val="-3"/>
              </w:rPr>
              <w:t xml:space="preserve"> </w:t>
            </w:r>
            <w:r w:rsidRPr="00D4309F">
              <w:t>it</w:t>
            </w:r>
            <w:r w:rsidRPr="00D4309F">
              <w:rPr>
                <w:spacing w:val="-3"/>
              </w:rPr>
              <w:t xml:space="preserve"> </w:t>
            </w:r>
            <w:r w:rsidRPr="00D4309F">
              <w:t>could</w:t>
            </w:r>
            <w:r w:rsidRPr="00D4309F">
              <w:rPr>
                <w:spacing w:val="-4"/>
              </w:rPr>
              <w:t xml:space="preserve"> </w:t>
            </w:r>
            <w:r w:rsidRPr="00D4309F">
              <w:t>be</w:t>
            </w:r>
            <w:r w:rsidRPr="00D4309F">
              <w:rPr>
                <w:spacing w:val="-4"/>
              </w:rPr>
              <w:t xml:space="preserve"> </w:t>
            </w:r>
            <w:r w:rsidRPr="00D4309F">
              <w:t>operated</w:t>
            </w:r>
            <w:r w:rsidRPr="00D4309F">
              <w:rPr>
                <w:spacing w:val="-4"/>
              </w:rPr>
              <w:t xml:space="preserve"> </w:t>
            </w:r>
            <w:r w:rsidRPr="00D4309F">
              <w:t>by</w:t>
            </w:r>
            <w:r w:rsidRPr="00D4309F">
              <w:rPr>
                <w:spacing w:val="-3"/>
              </w:rPr>
              <w:t xml:space="preserve"> </w:t>
            </w:r>
            <w:r w:rsidRPr="00D4309F">
              <w:t xml:space="preserve">solar </w:t>
            </w:r>
            <w:r w:rsidRPr="00D4309F">
              <w:rPr>
                <w:spacing w:val="-2"/>
              </w:rPr>
              <w:t>power.</w:t>
            </w:r>
          </w:p>
          <w:p w14:paraId="28EF7E4E" w14:textId="77777777" w:rsidR="00725977" w:rsidRPr="00D4309F" w:rsidRDefault="00725977" w:rsidP="00475E5E">
            <w:pPr>
              <w:pStyle w:val="Table-Text"/>
            </w:pPr>
            <w:r w:rsidRPr="00D4309F">
              <w:t>MSQ confirmed</w:t>
            </w:r>
            <w:r w:rsidRPr="00D4309F">
              <w:rPr>
                <w:spacing w:val="-1"/>
              </w:rPr>
              <w:t xml:space="preserve"> </w:t>
            </w:r>
            <w:r w:rsidRPr="00D4309F">
              <w:t>that the</w:t>
            </w:r>
            <w:r w:rsidRPr="00D4309F">
              <w:rPr>
                <w:spacing w:val="-1"/>
              </w:rPr>
              <w:t xml:space="preserve"> </w:t>
            </w:r>
            <w:r w:rsidRPr="00D4309F">
              <w:t>system would</w:t>
            </w:r>
            <w:r w:rsidRPr="00D4309F">
              <w:rPr>
                <w:spacing w:val="-1"/>
              </w:rPr>
              <w:t xml:space="preserve"> </w:t>
            </w:r>
            <w:r w:rsidRPr="00D4309F">
              <w:t>need</w:t>
            </w:r>
            <w:r w:rsidRPr="00D4309F">
              <w:rPr>
                <w:spacing w:val="-1"/>
              </w:rPr>
              <w:t xml:space="preserve"> </w:t>
            </w:r>
            <w:r w:rsidRPr="00D4309F">
              <w:t>to</w:t>
            </w:r>
            <w:r w:rsidRPr="00D4309F">
              <w:rPr>
                <w:spacing w:val="-1"/>
              </w:rPr>
              <w:t xml:space="preserve"> </w:t>
            </w:r>
            <w:r w:rsidRPr="00D4309F">
              <w:t>be</w:t>
            </w:r>
            <w:r w:rsidRPr="00D4309F">
              <w:rPr>
                <w:spacing w:val="-1"/>
              </w:rPr>
              <w:t xml:space="preserve"> </w:t>
            </w:r>
            <w:r w:rsidRPr="00D4309F">
              <w:t>high</w:t>
            </w:r>
            <w:r w:rsidRPr="00D4309F">
              <w:rPr>
                <w:spacing w:val="-1"/>
              </w:rPr>
              <w:t xml:space="preserve"> </w:t>
            </w:r>
            <w:r w:rsidRPr="00D4309F">
              <w:t>enough</w:t>
            </w:r>
            <w:r w:rsidRPr="00D4309F">
              <w:rPr>
                <w:spacing w:val="-1"/>
              </w:rPr>
              <w:t xml:space="preserve"> </w:t>
            </w:r>
            <w:r w:rsidRPr="00D4309F">
              <w:t>to</w:t>
            </w:r>
            <w:r w:rsidRPr="00D4309F">
              <w:rPr>
                <w:spacing w:val="-1"/>
              </w:rPr>
              <w:t xml:space="preserve"> </w:t>
            </w:r>
            <w:r w:rsidRPr="00D4309F">
              <w:t>be</w:t>
            </w:r>
            <w:r w:rsidRPr="00D4309F">
              <w:rPr>
                <w:spacing w:val="-1"/>
              </w:rPr>
              <w:t xml:space="preserve"> </w:t>
            </w:r>
            <w:r w:rsidRPr="00D4309F">
              <w:t>out of storm water levels,</w:t>
            </w:r>
            <w:r w:rsidRPr="00D4309F">
              <w:rPr>
                <w:spacing w:val="-3"/>
              </w:rPr>
              <w:t xml:space="preserve"> </w:t>
            </w:r>
            <w:r w:rsidRPr="00D4309F">
              <w:t>that</w:t>
            </w:r>
            <w:r w:rsidRPr="00D4309F">
              <w:rPr>
                <w:spacing w:val="-3"/>
              </w:rPr>
              <w:t xml:space="preserve"> </w:t>
            </w:r>
            <w:r w:rsidRPr="00D4309F">
              <w:t>costs</w:t>
            </w:r>
            <w:r w:rsidRPr="00D4309F">
              <w:rPr>
                <w:spacing w:val="-3"/>
              </w:rPr>
              <w:t xml:space="preserve"> </w:t>
            </w:r>
            <w:r w:rsidRPr="00D4309F">
              <w:t>were</w:t>
            </w:r>
            <w:r w:rsidRPr="00D4309F">
              <w:rPr>
                <w:spacing w:val="-4"/>
              </w:rPr>
              <w:t xml:space="preserve"> </w:t>
            </w:r>
            <w:r w:rsidRPr="00D4309F">
              <w:t>estimated</w:t>
            </w:r>
            <w:r w:rsidRPr="00D4309F">
              <w:rPr>
                <w:spacing w:val="-4"/>
              </w:rPr>
              <w:t xml:space="preserve"> </w:t>
            </w:r>
            <w:r w:rsidRPr="00D4309F">
              <w:t>to</w:t>
            </w:r>
            <w:r w:rsidRPr="00D4309F">
              <w:rPr>
                <w:spacing w:val="-3"/>
              </w:rPr>
              <w:t xml:space="preserve"> </w:t>
            </w:r>
            <w:r w:rsidRPr="00D4309F">
              <w:t>be</w:t>
            </w:r>
            <w:r w:rsidRPr="00D4309F">
              <w:rPr>
                <w:spacing w:val="-4"/>
              </w:rPr>
              <w:t xml:space="preserve"> </w:t>
            </w:r>
            <w:r w:rsidRPr="00D4309F">
              <w:t>$120m</w:t>
            </w:r>
            <w:r w:rsidRPr="00D4309F">
              <w:rPr>
                <w:spacing w:val="-3"/>
              </w:rPr>
              <w:t xml:space="preserve"> </w:t>
            </w:r>
            <w:r w:rsidRPr="00D4309F">
              <w:t>to</w:t>
            </w:r>
            <w:r w:rsidRPr="00D4309F">
              <w:rPr>
                <w:spacing w:val="-4"/>
              </w:rPr>
              <w:t xml:space="preserve"> </w:t>
            </w:r>
            <w:r w:rsidRPr="00D4309F">
              <w:t>construct</w:t>
            </w:r>
            <w:r w:rsidRPr="00D4309F">
              <w:rPr>
                <w:spacing w:val="-3"/>
              </w:rPr>
              <w:t xml:space="preserve"> </w:t>
            </w:r>
            <w:r w:rsidRPr="00D4309F">
              <w:t>and</w:t>
            </w:r>
            <w:r w:rsidRPr="00D4309F">
              <w:rPr>
                <w:spacing w:val="-4"/>
              </w:rPr>
              <w:t xml:space="preserve"> </w:t>
            </w:r>
            <w:r w:rsidRPr="00D4309F">
              <w:t>$2m</w:t>
            </w:r>
            <w:r w:rsidRPr="00D4309F">
              <w:rPr>
                <w:spacing w:val="-3"/>
              </w:rPr>
              <w:t xml:space="preserve"> </w:t>
            </w:r>
            <w:r w:rsidRPr="00D4309F">
              <w:t>per</w:t>
            </w:r>
            <w:r w:rsidRPr="00D4309F">
              <w:rPr>
                <w:spacing w:val="-3"/>
              </w:rPr>
              <w:t xml:space="preserve"> </w:t>
            </w:r>
            <w:r w:rsidRPr="00D4309F">
              <w:t>year</w:t>
            </w:r>
            <w:r w:rsidRPr="00D4309F">
              <w:rPr>
                <w:spacing w:val="-3"/>
              </w:rPr>
              <w:t xml:space="preserve"> </w:t>
            </w:r>
            <w:r w:rsidRPr="00D4309F">
              <w:t>to</w:t>
            </w:r>
            <w:r w:rsidRPr="00D4309F">
              <w:rPr>
                <w:spacing w:val="-4"/>
              </w:rPr>
              <w:t xml:space="preserve"> </w:t>
            </w:r>
            <w:r w:rsidRPr="00D4309F">
              <w:t>operate and that solar was not a suitable option due to the energy required to run the pumps.</w:t>
            </w:r>
          </w:p>
        </w:tc>
      </w:tr>
      <w:tr w:rsidR="00725977" w:rsidRPr="00D4309F" w14:paraId="1AB01A07" w14:textId="77777777" w:rsidTr="009B62A3">
        <w:trPr>
          <w:trHeight w:val="3017"/>
        </w:trPr>
        <w:tc>
          <w:tcPr>
            <w:tcW w:w="1114" w:type="pct"/>
            <w:tcBorders>
              <w:top w:val="single" w:sz="4" w:space="0" w:color="000000"/>
              <w:bottom w:val="single" w:sz="4" w:space="0" w:color="000000"/>
            </w:tcBorders>
          </w:tcPr>
          <w:p w14:paraId="09A14D07" w14:textId="77777777" w:rsidR="00725977" w:rsidRPr="00475E5E" w:rsidRDefault="00725977" w:rsidP="00475E5E">
            <w:pPr>
              <w:pStyle w:val="Table-Text"/>
              <w:rPr>
                <w:b/>
                <w:bCs/>
              </w:rPr>
            </w:pPr>
            <w:r w:rsidRPr="00475E5E">
              <w:rPr>
                <w:b/>
                <w:bCs/>
              </w:rPr>
              <w:t>Option</w:t>
            </w:r>
            <w:r w:rsidRPr="00475E5E">
              <w:rPr>
                <w:b/>
                <w:bCs/>
                <w:spacing w:val="-13"/>
              </w:rPr>
              <w:t xml:space="preserve"> </w:t>
            </w:r>
            <w:r w:rsidRPr="00475E5E">
              <w:rPr>
                <w:b/>
                <w:bCs/>
              </w:rPr>
              <w:t>2</w:t>
            </w:r>
            <w:r w:rsidRPr="00475E5E">
              <w:rPr>
                <w:b/>
                <w:bCs/>
                <w:spacing w:val="-12"/>
              </w:rPr>
              <w:t xml:space="preserve"> </w:t>
            </w:r>
            <w:r w:rsidRPr="00475E5E">
              <w:rPr>
                <w:b/>
                <w:bCs/>
              </w:rPr>
              <w:t>–</w:t>
            </w:r>
            <w:r w:rsidRPr="00475E5E">
              <w:rPr>
                <w:b/>
                <w:bCs/>
                <w:spacing w:val="-13"/>
              </w:rPr>
              <w:t xml:space="preserve"> </w:t>
            </w:r>
            <w:r w:rsidRPr="00475E5E">
              <w:rPr>
                <w:b/>
                <w:bCs/>
              </w:rPr>
              <w:t xml:space="preserve">Increased dredge channel depth with rock </w:t>
            </w:r>
            <w:r w:rsidRPr="00475E5E">
              <w:rPr>
                <w:b/>
                <w:bCs/>
                <w:spacing w:val="-2"/>
              </w:rPr>
              <w:t>excavation</w:t>
            </w:r>
          </w:p>
        </w:tc>
        <w:tc>
          <w:tcPr>
            <w:tcW w:w="3886" w:type="pct"/>
            <w:tcBorders>
              <w:top w:val="single" w:sz="4" w:space="0" w:color="000000"/>
              <w:bottom w:val="single" w:sz="4" w:space="0" w:color="000000"/>
            </w:tcBorders>
          </w:tcPr>
          <w:p w14:paraId="0C14C742" w14:textId="77777777" w:rsidR="00725977" w:rsidRPr="00D4309F" w:rsidRDefault="00725977" w:rsidP="00475E5E">
            <w:pPr>
              <w:pStyle w:val="Table-Text"/>
            </w:pPr>
            <w:r w:rsidRPr="00D4309F">
              <w:t>The SRG raised a number of questions including how much time a deeper dredge channel would provide benefit for during a shoaling event; the costs of the works; the integration of an automatic pump with this option; potential impacts to beaches to the north;</w:t>
            </w:r>
            <w:r w:rsidRPr="00D4309F">
              <w:rPr>
                <w:spacing w:val="-5"/>
              </w:rPr>
              <w:t xml:space="preserve"> </w:t>
            </w:r>
            <w:r w:rsidRPr="00D4309F">
              <w:t>the</w:t>
            </w:r>
            <w:r w:rsidRPr="00D4309F">
              <w:rPr>
                <w:spacing w:val="-3"/>
              </w:rPr>
              <w:t xml:space="preserve"> </w:t>
            </w:r>
            <w:r w:rsidRPr="00D4309F">
              <w:t>operation</w:t>
            </w:r>
            <w:r w:rsidRPr="00D4309F">
              <w:rPr>
                <w:spacing w:val="-3"/>
              </w:rPr>
              <w:t xml:space="preserve"> </w:t>
            </w:r>
            <w:r w:rsidRPr="00D4309F">
              <w:t>times</w:t>
            </w:r>
            <w:r w:rsidRPr="00D4309F">
              <w:rPr>
                <w:spacing w:val="-2"/>
              </w:rPr>
              <w:t xml:space="preserve"> </w:t>
            </w:r>
            <w:r w:rsidRPr="00D4309F">
              <w:t>of</w:t>
            </w:r>
            <w:r w:rsidRPr="00D4309F">
              <w:rPr>
                <w:spacing w:val="-2"/>
              </w:rPr>
              <w:t xml:space="preserve"> </w:t>
            </w:r>
            <w:r w:rsidRPr="00D4309F">
              <w:t>the</w:t>
            </w:r>
            <w:r w:rsidRPr="00D4309F">
              <w:rPr>
                <w:spacing w:val="-3"/>
              </w:rPr>
              <w:t xml:space="preserve"> </w:t>
            </w:r>
            <w:r w:rsidRPr="00D4309F">
              <w:t>dredge</w:t>
            </w:r>
            <w:r w:rsidRPr="00D4309F">
              <w:rPr>
                <w:spacing w:val="-3"/>
              </w:rPr>
              <w:t xml:space="preserve"> </w:t>
            </w:r>
            <w:r w:rsidRPr="00D4309F">
              <w:t>and</w:t>
            </w:r>
            <w:r w:rsidRPr="00D4309F">
              <w:rPr>
                <w:spacing w:val="-1"/>
              </w:rPr>
              <w:t xml:space="preserve"> </w:t>
            </w:r>
            <w:r w:rsidRPr="00D4309F">
              <w:t>where</w:t>
            </w:r>
            <w:r w:rsidRPr="00D4309F">
              <w:rPr>
                <w:spacing w:val="-3"/>
              </w:rPr>
              <w:t xml:space="preserve"> </w:t>
            </w:r>
            <w:r w:rsidRPr="00D4309F">
              <w:t>excavated</w:t>
            </w:r>
            <w:r w:rsidRPr="00D4309F">
              <w:rPr>
                <w:spacing w:val="-3"/>
              </w:rPr>
              <w:t xml:space="preserve"> </w:t>
            </w:r>
            <w:r w:rsidRPr="00D4309F">
              <w:t>material</w:t>
            </w:r>
            <w:r w:rsidRPr="00D4309F">
              <w:rPr>
                <w:spacing w:val="-2"/>
              </w:rPr>
              <w:t xml:space="preserve"> </w:t>
            </w:r>
            <w:r w:rsidRPr="00D4309F">
              <w:t>would</w:t>
            </w:r>
            <w:r w:rsidRPr="00D4309F">
              <w:rPr>
                <w:spacing w:val="-3"/>
              </w:rPr>
              <w:t xml:space="preserve"> </w:t>
            </w:r>
            <w:r w:rsidRPr="00D4309F">
              <w:t>be</w:t>
            </w:r>
            <w:r w:rsidRPr="00D4309F">
              <w:rPr>
                <w:spacing w:val="-3"/>
              </w:rPr>
              <w:t xml:space="preserve"> </w:t>
            </w:r>
            <w:r w:rsidRPr="00D4309F">
              <w:rPr>
                <w:spacing w:val="-2"/>
              </w:rPr>
              <w:t>located.</w:t>
            </w:r>
          </w:p>
          <w:p w14:paraId="142CEDEB" w14:textId="77777777" w:rsidR="00725977" w:rsidRPr="00D4309F" w:rsidRDefault="00725977" w:rsidP="00475E5E">
            <w:pPr>
              <w:pStyle w:val="Table-Text"/>
            </w:pPr>
            <w:r w:rsidRPr="00D4309F">
              <w:t>MSQ confirmed that the trench could maintain a months’ worth of shoaling; there are two benefits</w:t>
            </w:r>
            <w:r w:rsidRPr="00D4309F">
              <w:rPr>
                <w:spacing w:val="-2"/>
              </w:rPr>
              <w:t xml:space="preserve"> </w:t>
            </w:r>
            <w:r w:rsidRPr="00D4309F">
              <w:t>of</w:t>
            </w:r>
            <w:r w:rsidRPr="00D4309F">
              <w:rPr>
                <w:spacing w:val="-2"/>
              </w:rPr>
              <w:t xml:space="preserve"> </w:t>
            </w:r>
            <w:r w:rsidRPr="00D4309F">
              <w:t>the</w:t>
            </w:r>
            <w:r w:rsidRPr="00D4309F">
              <w:rPr>
                <w:spacing w:val="-3"/>
              </w:rPr>
              <w:t xml:space="preserve"> </w:t>
            </w:r>
            <w:r w:rsidRPr="00D4309F">
              <w:t>option,</w:t>
            </w:r>
            <w:r w:rsidRPr="00D4309F">
              <w:rPr>
                <w:spacing w:val="-2"/>
              </w:rPr>
              <w:t xml:space="preserve"> </w:t>
            </w:r>
            <w:r w:rsidRPr="00D4309F">
              <w:t>both</w:t>
            </w:r>
            <w:r w:rsidRPr="00D4309F">
              <w:rPr>
                <w:spacing w:val="-3"/>
              </w:rPr>
              <w:t xml:space="preserve"> </w:t>
            </w:r>
            <w:r w:rsidRPr="00D4309F">
              <w:t>maintaining</w:t>
            </w:r>
            <w:r w:rsidRPr="00D4309F">
              <w:rPr>
                <w:spacing w:val="-3"/>
              </w:rPr>
              <w:t xml:space="preserve"> </w:t>
            </w:r>
            <w:r w:rsidRPr="00D4309F">
              <w:t>a</w:t>
            </w:r>
            <w:r w:rsidRPr="00D4309F">
              <w:rPr>
                <w:spacing w:val="-3"/>
              </w:rPr>
              <w:t xml:space="preserve"> </w:t>
            </w:r>
            <w:r w:rsidRPr="00D4309F">
              <w:t>deeper</w:t>
            </w:r>
            <w:r w:rsidRPr="00D4309F">
              <w:rPr>
                <w:spacing w:val="-2"/>
              </w:rPr>
              <w:t xml:space="preserve"> </w:t>
            </w:r>
            <w:r w:rsidRPr="00D4309F">
              <w:t>channel</w:t>
            </w:r>
            <w:r w:rsidRPr="00D4309F">
              <w:rPr>
                <w:spacing w:val="-2"/>
              </w:rPr>
              <w:t xml:space="preserve"> </w:t>
            </w:r>
            <w:r w:rsidRPr="00D4309F">
              <w:t>to</w:t>
            </w:r>
            <w:r w:rsidRPr="00D4309F">
              <w:rPr>
                <w:spacing w:val="-3"/>
              </w:rPr>
              <w:t xml:space="preserve"> </w:t>
            </w:r>
            <w:r w:rsidRPr="00D4309F">
              <w:t>buffer</w:t>
            </w:r>
            <w:r w:rsidRPr="00D4309F">
              <w:rPr>
                <w:spacing w:val="-2"/>
              </w:rPr>
              <w:t xml:space="preserve"> </w:t>
            </w:r>
            <w:r w:rsidRPr="00D4309F">
              <w:t>shoaling</w:t>
            </w:r>
            <w:r w:rsidRPr="00D4309F">
              <w:rPr>
                <w:spacing w:val="-3"/>
              </w:rPr>
              <w:t xml:space="preserve"> </w:t>
            </w:r>
            <w:r w:rsidRPr="00D4309F">
              <w:t>events</w:t>
            </w:r>
            <w:r w:rsidRPr="00D4309F">
              <w:rPr>
                <w:spacing w:val="-2"/>
              </w:rPr>
              <w:t xml:space="preserve"> </w:t>
            </w:r>
            <w:r w:rsidRPr="00D4309F">
              <w:t>and</w:t>
            </w:r>
            <w:r w:rsidRPr="00D4309F">
              <w:rPr>
                <w:spacing w:val="-1"/>
              </w:rPr>
              <w:t xml:space="preserve"> </w:t>
            </w:r>
            <w:r w:rsidRPr="00D4309F">
              <w:t>to provide</w:t>
            </w:r>
            <w:r w:rsidRPr="00D4309F">
              <w:rPr>
                <w:spacing w:val="-4"/>
              </w:rPr>
              <w:t xml:space="preserve"> </w:t>
            </w:r>
            <w:r w:rsidRPr="00D4309F">
              <w:t>deeper</w:t>
            </w:r>
            <w:r w:rsidRPr="00D4309F">
              <w:rPr>
                <w:spacing w:val="-2"/>
              </w:rPr>
              <w:t xml:space="preserve"> </w:t>
            </w:r>
            <w:r w:rsidRPr="00D4309F">
              <w:t>margin</w:t>
            </w:r>
            <w:r w:rsidRPr="00D4309F">
              <w:rPr>
                <w:spacing w:val="-4"/>
              </w:rPr>
              <w:t xml:space="preserve"> </w:t>
            </w:r>
            <w:r w:rsidRPr="00D4309F">
              <w:t>for</w:t>
            </w:r>
            <w:r w:rsidRPr="00D4309F">
              <w:rPr>
                <w:spacing w:val="-3"/>
              </w:rPr>
              <w:t xml:space="preserve"> </w:t>
            </w:r>
            <w:r w:rsidRPr="00D4309F">
              <w:t>generating</w:t>
            </w:r>
            <w:r w:rsidRPr="00D4309F">
              <w:rPr>
                <w:spacing w:val="-4"/>
              </w:rPr>
              <w:t xml:space="preserve"> </w:t>
            </w:r>
            <w:r w:rsidRPr="00D4309F">
              <w:t>a</w:t>
            </w:r>
            <w:r w:rsidRPr="00D4309F">
              <w:rPr>
                <w:spacing w:val="-4"/>
              </w:rPr>
              <w:t xml:space="preserve"> </w:t>
            </w:r>
            <w:r w:rsidRPr="00D4309F">
              <w:t>buffer</w:t>
            </w:r>
            <w:r w:rsidRPr="00D4309F">
              <w:rPr>
                <w:spacing w:val="-2"/>
              </w:rPr>
              <w:t xml:space="preserve"> </w:t>
            </w:r>
            <w:r w:rsidRPr="00D4309F">
              <w:t>–</w:t>
            </w:r>
            <w:r w:rsidRPr="00D4309F">
              <w:rPr>
                <w:spacing w:val="-3"/>
              </w:rPr>
              <w:t xml:space="preserve"> </w:t>
            </w:r>
            <w:r w:rsidRPr="00D4309F">
              <w:t>the</w:t>
            </w:r>
            <w:r w:rsidRPr="00D4309F">
              <w:rPr>
                <w:spacing w:val="-4"/>
              </w:rPr>
              <w:t xml:space="preserve"> </w:t>
            </w:r>
            <w:r w:rsidRPr="00D4309F">
              <w:t>option</w:t>
            </w:r>
            <w:r w:rsidRPr="00D4309F">
              <w:rPr>
                <w:spacing w:val="-4"/>
              </w:rPr>
              <w:t xml:space="preserve"> </w:t>
            </w:r>
            <w:r w:rsidRPr="00D4309F">
              <w:t>still</w:t>
            </w:r>
            <w:r w:rsidRPr="00D4309F">
              <w:rPr>
                <w:spacing w:val="-3"/>
              </w:rPr>
              <w:t xml:space="preserve"> </w:t>
            </w:r>
            <w:r w:rsidRPr="00D4309F">
              <w:t>requires</w:t>
            </w:r>
            <w:r w:rsidRPr="00D4309F">
              <w:rPr>
                <w:spacing w:val="-3"/>
              </w:rPr>
              <w:t xml:space="preserve"> </w:t>
            </w:r>
            <w:r w:rsidRPr="00D4309F">
              <w:t>ongoing</w:t>
            </w:r>
            <w:r w:rsidRPr="00D4309F">
              <w:rPr>
                <w:spacing w:val="-4"/>
              </w:rPr>
              <w:t xml:space="preserve"> </w:t>
            </w:r>
            <w:r w:rsidRPr="00D4309F">
              <w:t>dredging; an automated pump requires removal for servicing and on-land support infrastructure, placing it in a channel presents logistical and navigational constraints; under the Coastal Protection and Management Act 2003, any final option that is chosen will have to ensure sand flow to the beach is maintained in perpetuity; the dredge occasionally works on weekends, however, this is discouraged as this is when the main recreational activity happens in the harbour; excavated material would need</w:t>
            </w:r>
            <w:r w:rsidRPr="00D4309F">
              <w:rPr>
                <w:spacing w:val="-1"/>
              </w:rPr>
              <w:t xml:space="preserve"> </w:t>
            </w:r>
            <w:r w:rsidRPr="00D4309F">
              <w:t>to be shipped</w:t>
            </w:r>
            <w:r w:rsidRPr="00D4309F">
              <w:rPr>
                <w:spacing w:val="-1"/>
              </w:rPr>
              <w:t xml:space="preserve"> </w:t>
            </w:r>
            <w:r w:rsidRPr="00D4309F">
              <w:t>or trucked out and may be problematic finding a location.</w:t>
            </w:r>
          </w:p>
        </w:tc>
      </w:tr>
      <w:tr w:rsidR="00725977" w:rsidRPr="00D4309F" w14:paraId="252FA6F4" w14:textId="77777777" w:rsidTr="009B62A3">
        <w:trPr>
          <w:trHeight w:val="1983"/>
        </w:trPr>
        <w:tc>
          <w:tcPr>
            <w:tcW w:w="1114" w:type="pct"/>
            <w:tcBorders>
              <w:top w:val="single" w:sz="4" w:space="0" w:color="000000"/>
              <w:bottom w:val="single" w:sz="4" w:space="0" w:color="000000"/>
            </w:tcBorders>
          </w:tcPr>
          <w:p w14:paraId="70E34739" w14:textId="77777777" w:rsidR="00725977" w:rsidRPr="00475E5E" w:rsidRDefault="00725977" w:rsidP="00475E5E">
            <w:pPr>
              <w:pStyle w:val="Table-Text"/>
              <w:rPr>
                <w:b/>
                <w:bCs/>
              </w:rPr>
            </w:pPr>
            <w:r w:rsidRPr="00475E5E">
              <w:rPr>
                <w:b/>
                <w:bCs/>
              </w:rPr>
              <w:t>Option</w:t>
            </w:r>
            <w:r w:rsidRPr="00475E5E">
              <w:rPr>
                <w:b/>
                <w:bCs/>
                <w:spacing w:val="-13"/>
              </w:rPr>
              <w:t xml:space="preserve"> </w:t>
            </w:r>
            <w:r w:rsidRPr="00475E5E">
              <w:rPr>
                <w:b/>
                <w:bCs/>
              </w:rPr>
              <w:t>3</w:t>
            </w:r>
            <w:r w:rsidRPr="00475E5E">
              <w:rPr>
                <w:b/>
                <w:bCs/>
                <w:spacing w:val="-12"/>
              </w:rPr>
              <w:t xml:space="preserve"> </w:t>
            </w:r>
            <w:r w:rsidRPr="00475E5E">
              <w:rPr>
                <w:b/>
                <w:bCs/>
              </w:rPr>
              <w:t>–</w:t>
            </w:r>
            <w:r w:rsidRPr="00475E5E">
              <w:rPr>
                <w:b/>
                <w:bCs/>
                <w:spacing w:val="-13"/>
              </w:rPr>
              <w:t xml:space="preserve"> </w:t>
            </w:r>
            <w:r w:rsidRPr="00475E5E">
              <w:rPr>
                <w:b/>
                <w:bCs/>
              </w:rPr>
              <w:t xml:space="preserve">Excavated sand trap – without </w:t>
            </w:r>
            <w:r w:rsidRPr="00475E5E">
              <w:rPr>
                <w:b/>
                <w:bCs/>
                <w:spacing w:val="-2"/>
              </w:rPr>
              <w:t>breakwater</w:t>
            </w:r>
            <w:r w:rsidRPr="00475E5E">
              <w:rPr>
                <w:b/>
                <w:bCs/>
                <w:spacing w:val="80"/>
              </w:rPr>
              <w:t xml:space="preserve"> </w:t>
            </w:r>
            <w:r w:rsidRPr="00475E5E">
              <w:rPr>
                <w:b/>
                <w:bCs/>
                <w:spacing w:val="-2"/>
              </w:rPr>
              <w:t>extension</w:t>
            </w:r>
          </w:p>
        </w:tc>
        <w:tc>
          <w:tcPr>
            <w:tcW w:w="3886" w:type="pct"/>
            <w:tcBorders>
              <w:top w:val="single" w:sz="4" w:space="0" w:color="000000"/>
              <w:bottom w:val="single" w:sz="4" w:space="0" w:color="000000"/>
            </w:tcBorders>
          </w:tcPr>
          <w:p w14:paraId="5A3036E3" w14:textId="77777777" w:rsidR="00725977" w:rsidRPr="00D4309F" w:rsidRDefault="00725977" w:rsidP="00475E5E">
            <w:pPr>
              <w:pStyle w:val="Table-Text"/>
            </w:pPr>
            <w:r w:rsidRPr="00D4309F">
              <w:t>The</w:t>
            </w:r>
            <w:r w:rsidRPr="00D4309F">
              <w:rPr>
                <w:spacing w:val="-4"/>
              </w:rPr>
              <w:t xml:space="preserve"> </w:t>
            </w:r>
            <w:r w:rsidRPr="00D4309F">
              <w:t>SRG</w:t>
            </w:r>
            <w:r w:rsidRPr="00D4309F">
              <w:rPr>
                <w:spacing w:val="-3"/>
              </w:rPr>
              <w:t xml:space="preserve"> </w:t>
            </w:r>
            <w:r w:rsidRPr="00D4309F">
              <w:t>raised</w:t>
            </w:r>
            <w:r w:rsidRPr="00D4309F">
              <w:rPr>
                <w:spacing w:val="-4"/>
              </w:rPr>
              <w:t xml:space="preserve"> </w:t>
            </w:r>
            <w:r w:rsidRPr="00D4309F">
              <w:t>a</w:t>
            </w:r>
            <w:r w:rsidRPr="00D4309F">
              <w:rPr>
                <w:spacing w:val="-4"/>
              </w:rPr>
              <w:t xml:space="preserve"> </w:t>
            </w:r>
            <w:r w:rsidRPr="00D4309F">
              <w:t>number</w:t>
            </w:r>
            <w:r w:rsidRPr="00D4309F">
              <w:rPr>
                <w:spacing w:val="-3"/>
              </w:rPr>
              <w:t xml:space="preserve"> </w:t>
            </w:r>
            <w:r w:rsidRPr="00D4309F">
              <w:t>of</w:t>
            </w:r>
            <w:r w:rsidRPr="00D4309F">
              <w:rPr>
                <w:spacing w:val="-3"/>
              </w:rPr>
              <w:t xml:space="preserve"> </w:t>
            </w:r>
            <w:r w:rsidRPr="00D4309F">
              <w:t>questions</w:t>
            </w:r>
            <w:r w:rsidRPr="00D4309F">
              <w:rPr>
                <w:spacing w:val="-3"/>
              </w:rPr>
              <w:t xml:space="preserve"> </w:t>
            </w:r>
            <w:r w:rsidRPr="00D4309F">
              <w:t>including:</w:t>
            </w:r>
            <w:r w:rsidRPr="00D4309F">
              <w:rPr>
                <w:spacing w:val="-3"/>
              </w:rPr>
              <w:t xml:space="preserve"> </w:t>
            </w:r>
            <w:r w:rsidRPr="00D4309F">
              <w:t>the</w:t>
            </w:r>
            <w:r w:rsidRPr="00D4309F">
              <w:rPr>
                <w:spacing w:val="-4"/>
              </w:rPr>
              <w:t xml:space="preserve"> </w:t>
            </w:r>
            <w:r w:rsidRPr="00D4309F">
              <w:t>required</w:t>
            </w:r>
            <w:r w:rsidRPr="00D4309F">
              <w:rPr>
                <w:spacing w:val="-4"/>
              </w:rPr>
              <w:t xml:space="preserve"> </w:t>
            </w:r>
            <w:r w:rsidRPr="00D4309F">
              <w:t>size</w:t>
            </w:r>
            <w:r w:rsidRPr="00D4309F">
              <w:rPr>
                <w:spacing w:val="-4"/>
              </w:rPr>
              <w:t xml:space="preserve"> </w:t>
            </w:r>
            <w:r w:rsidRPr="00D4309F">
              <w:t>of</w:t>
            </w:r>
            <w:r w:rsidRPr="00D4309F">
              <w:rPr>
                <w:spacing w:val="-3"/>
              </w:rPr>
              <w:t xml:space="preserve"> </w:t>
            </w:r>
            <w:r w:rsidRPr="00D4309F">
              <w:t>the</w:t>
            </w:r>
            <w:r w:rsidRPr="00D4309F">
              <w:rPr>
                <w:spacing w:val="-4"/>
              </w:rPr>
              <w:t xml:space="preserve"> </w:t>
            </w:r>
            <w:r w:rsidRPr="00D4309F">
              <w:t>hole,</w:t>
            </w:r>
            <w:r w:rsidRPr="00D4309F">
              <w:rPr>
                <w:spacing w:val="-3"/>
              </w:rPr>
              <w:t xml:space="preserve"> </w:t>
            </w:r>
            <w:r w:rsidRPr="00D4309F">
              <w:t>why</w:t>
            </w:r>
            <w:r w:rsidRPr="00D4309F">
              <w:rPr>
                <w:spacing w:val="-3"/>
              </w:rPr>
              <w:t xml:space="preserve"> </w:t>
            </w:r>
            <w:r w:rsidRPr="00D4309F">
              <w:t>it</w:t>
            </w:r>
            <w:r w:rsidRPr="00D4309F">
              <w:rPr>
                <w:spacing w:val="-3"/>
              </w:rPr>
              <w:t xml:space="preserve"> </w:t>
            </w:r>
            <w:r w:rsidRPr="00D4309F">
              <w:t>can be bigger than the entrance channel, if it can be located further east, if a longer channel could feed sand offshore, potential impacts to the surf break and if a crane can go out onto the current breakwater to reach the whole.</w:t>
            </w:r>
          </w:p>
          <w:p w14:paraId="06B692F0" w14:textId="77777777" w:rsidR="00725977" w:rsidRPr="00D4309F" w:rsidRDefault="00725977" w:rsidP="00475E5E">
            <w:pPr>
              <w:pStyle w:val="Table-Text"/>
            </w:pPr>
            <w:r w:rsidRPr="00D4309F">
              <w:t>MSQ confirmed that further investigations would need to occur to understand the size needed, the location can be flexible so long as it catches the sand before entering the entrance,</w:t>
            </w:r>
            <w:r w:rsidRPr="00D4309F">
              <w:rPr>
                <w:spacing w:val="-3"/>
              </w:rPr>
              <w:t xml:space="preserve"> </w:t>
            </w:r>
            <w:r w:rsidRPr="00D4309F">
              <w:t>it</w:t>
            </w:r>
            <w:r w:rsidRPr="00D4309F">
              <w:rPr>
                <w:spacing w:val="-3"/>
              </w:rPr>
              <w:t xml:space="preserve"> </w:t>
            </w:r>
            <w:r w:rsidRPr="00D4309F">
              <w:t>cannot</w:t>
            </w:r>
            <w:r w:rsidRPr="00D4309F">
              <w:rPr>
                <w:spacing w:val="-3"/>
              </w:rPr>
              <w:t xml:space="preserve"> </w:t>
            </w:r>
            <w:r w:rsidRPr="00D4309F">
              <w:t>be</w:t>
            </w:r>
            <w:r w:rsidRPr="00D4309F">
              <w:rPr>
                <w:spacing w:val="-4"/>
              </w:rPr>
              <w:t xml:space="preserve"> </w:t>
            </w:r>
            <w:r w:rsidRPr="00D4309F">
              <w:t>further</w:t>
            </w:r>
            <w:r w:rsidRPr="00D4309F">
              <w:rPr>
                <w:spacing w:val="-3"/>
              </w:rPr>
              <w:t xml:space="preserve"> </w:t>
            </w:r>
            <w:r w:rsidRPr="00D4309F">
              <w:t>offshore</w:t>
            </w:r>
            <w:r w:rsidRPr="00D4309F">
              <w:rPr>
                <w:spacing w:val="-4"/>
              </w:rPr>
              <w:t xml:space="preserve"> </w:t>
            </w:r>
            <w:r w:rsidRPr="00D4309F">
              <w:t>as</w:t>
            </w:r>
            <w:r w:rsidRPr="00D4309F">
              <w:rPr>
                <w:spacing w:val="-3"/>
              </w:rPr>
              <w:t xml:space="preserve"> </w:t>
            </w:r>
            <w:r w:rsidRPr="00D4309F">
              <w:t>it</w:t>
            </w:r>
            <w:r w:rsidRPr="00D4309F">
              <w:rPr>
                <w:spacing w:val="-3"/>
              </w:rPr>
              <w:t xml:space="preserve"> </w:t>
            </w:r>
            <w:r w:rsidRPr="00D4309F">
              <w:t>will</w:t>
            </w:r>
            <w:r w:rsidRPr="00D4309F">
              <w:rPr>
                <w:spacing w:val="-3"/>
              </w:rPr>
              <w:t xml:space="preserve"> </w:t>
            </w:r>
            <w:r w:rsidRPr="00D4309F">
              <w:t>just</w:t>
            </w:r>
            <w:r w:rsidRPr="00D4309F">
              <w:rPr>
                <w:spacing w:val="-3"/>
              </w:rPr>
              <w:t xml:space="preserve"> </w:t>
            </w:r>
            <w:r w:rsidRPr="00D4309F">
              <w:t>fill</w:t>
            </w:r>
            <w:r w:rsidRPr="00D4309F">
              <w:rPr>
                <w:spacing w:val="-3"/>
              </w:rPr>
              <w:t xml:space="preserve"> </w:t>
            </w:r>
            <w:r w:rsidRPr="00D4309F">
              <w:t>with</w:t>
            </w:r>
            <w:r w:rsidRPr="00D4309F">
              <w:rPr>
                <w:spacing w:val="-4"/>
              </w:rPr>
              <w:t xml:space="preserve"> </w:t>
            </w:r>
            <w:r w:rsidRPr="00D4309F">
              <w:t>sand</w:t>
            </w:r>
            <w:r w:rsidRPr="00D4309F">
              <w:rPr>
                <w:spacing w:val="-4"/>
              </w:rPr>
              <w:t xml:space="preserve"> </w:t>
            </w:r>
            <w:r w:rsidRPr="00D4309F">
              <w:t>without</w:t>
            </w:r>
            <w:r w:rsidRPr="00D4309F">
              <w:rPr>
                <w:spacing w:val="-3"/>
              </w:rPr>
              <w:t xml:space="preserve"> </w:t>
            </w:r>
            <w:r w:rsidRPr="00D4309F">
              <w:t>any</w:t>
            </w:r>
            <w:r w:rsidRPr="00D4309F">
              <w:rPr>
                <w:spacing w:val="-3"/>
              </w:rPr>
              <w:t xml:space="preserve"> </w:t>
            </w:r>
            <w:r w:rsidRPr="00D4309F">
              <w:t>wave</w:t>
            </w:r>
            <w:r w:rsidRPr="00D4309F">
              <w:rPr>
                <w:spacing w:val="-4"/>
              </w:rPr>
              <w:t xml:space="preserve"> </w:t>
            </w:r>
            <w:r w:rsidRPr="00D4309F">
              <w:t>energy, a large excavation on the head is likely to impact the headland waves, and a crane cannot use the current breakwater, it would need other transport options.</w:t>
            </w:r>
          </w:p>
        </w:tc>
      </w:tr>
      <w:tr w:rsidR="00725977" w:rsidRPr="00D4309F" w14:paraId="07A53A83" w14:textId="77777777" w:rsidTr="009B62A3">
        <w:trPr>
          <w:trHeight w:val="1816"/>
        </w:trPr>
        <w:tc>
          <w:tcPr>
            <w:tcW w:w="1114" w:type="pct"/>
            <w:tcBorders>
              <w:top w:val="single" w:sz="4" w:space="0" w:color="000000"/>
              <w:bottom w:val="single" w:sz="4" w:space="0" w:color="000000"/>
            </w:tcBorders>
          </w:tcPr>
          <w:p w14:paraId="3024A719" w14:textId="77777777" w:rsidR="00725977" w:rsidRPr="00475E5E" w:rsidRDefault="00725977" w:rsidP="00475E5E">
            <w:pPr>
              <w:pStyle w:val="Table-Text"/>
              <w:rPr>
                <w:b/>
                <w:bCs/>
              </w:rPr>
            </w:pPr>
            <w:r w:rsidRPr="00475E5E">
              <w:rPr>
                <w:b/>
                <w:bCs/>
              </w:rPr>
              <w:t>Option</w:t>
            </w:r>
            <w:r w:rsidRPr="00475E5E">
              <w:rPr>
                <w:b/>
                <w:bCs/>
                <w:spacing w:val="-13"/>
              </w:rPr>
              <w:t xml:space="preserve"> </w:t>
            </w:r>
            <w:r w:rsidRPr="00475E5E">
              <w:rPr>
                <w:b/>
                <w:bCs/>
              </w:rPr>
              <w:t>4</w:t>
            </w:r>
            <w:r w:rsidRPr="00475E5E">
              <w:rPr>
                <w:b/>
                <w:bCs/>
                <w:spacing w:val="-12"/>
              </w:rPr>
              <w:t xml:space="preserve"> </w:t>
            </w:r>
            <w:r w:rsidRPr="00475E5E">
              <w:rPr>
                <w:b/>
                <w:bCs/>
              </w:rPr>
              <w:t>–</w:t>
            </w:r>
            <w:r w:rsidRPr="00475E5E">
              <w:rPr>
                <w:b/>
                <w:bCs/>
                <w:spacing w:val="-13"/>
              </w:rPr>
              <w:t xml:space="preserve"> </w:t>
            </w:r>
            <w:r w:rsidRPr="00475E5E">
              <w:rPr>
                <w:b/>
                <w:bCs/>
              </w:rPr>
              <w:t xml:space="preserve">Extension to the eastern </w:t>
            </w:r>
            <w:r w:rsidRPr="00475E5E">
              <w:rPr>
                <w:b/>
                <w:bCs/>
                <w:spacing w:val="-2"/>
              </w:rPr>
              <w:t>breakwater</w:t>
            </w:r>
          </w:p>
        </w:tc>
        <w:tc>
          <w:tcPr>
            <w:tcW w:w="3886" w:type="pct"/>
            <w:tcBorders>
              <w:top w:val="single" w:sz="4" w:space="0" w:color="000000"/>
              <w:bottom w:val="single" w:sz="4" w:space="0" w:color="000000"/>
            </w:tcBorders>
          </w:tcPr>
          <w:p w14:paraId="092B365D" w14:textId="77777777" w:rsidR="00725977" w:rsidRPr="00D4309F" w:rsidRDefault="00725977" w:rsidP="00475E5E">
            <w:pPr>
              <w:pStyle w:val="Table-Text"/>
            </w:pPr>
            <w:r w:rsidRPr="00D4309F">
              <w:t>The</w:t>
            </w:r>
            <w:r w:rsidRPr="00D4309F">
              <w:rPr>
                <w:spacing w:val="-5"/>
              </w:rPr>
              <w:t xml:space="preserve"> </w:t>
            </w:r>
            <w:r w:rsidRPr="00D4309F">
              <w:t>SRG</w:t>
            </w:r>
            <w:r w:rsidRPr="00D4309F">
              <w:rPr>
                <w:spacing w:val="-1"/>
              </w:rPr>
              <w:t xml:space="preserve"> </w:t>
            </w:r>
            <w:r w:rsidRPr="00D4309F">
              <w:t>enquired</w:t>
            </w:r>
            <w:r w:rsidRPr="00D4309F">
              <w:rPr>
                <w:spacing w:val="-3"/>
              </w:rPr>
              <w:t xml:space="preserve"> </w:t>
            </w:r>
            <w:r w:rsidRPr="00D4309F">
              <w:t>as</w:t>
            </w:r>
            <w:r w:rsidRPr="00D4309F">
              <w:rPr>
                <w:spacing w:val="-1"/>
              </w:rPr>
              <w:t xml:space="preserve"> </w:t>
            </w:r>
            <w:r w:rsidRPr="00D4309F">
              <w:t>to</w:t>
            </w:r>
            <w:r w:rsidRPr="00D4309F">
              <w:rPr>
                <w:spacing w:val="-3"/>
              </w:rPr>
              <w:t xml:space="preserve"> </w:t>
            </w:r>
            <w:r w:rsidRPr="00D4309F">
              <w:t>the</w:t>
            </w:r>
            <w:r w:rsidRPr="00D4309F">
              <w:rPr>
                <w:spacing w:val="-2"/>
              </w:rPr>
              <w:t xml:space="preserve"> </w:t>
            </w:r>
            <w:r w:rsidRPr="00D4309F">
              <w:t>cost</w:t>
            </w:r>
            <w:r w:rsidRPr="00D4309F">
              <w:rPr>
                <w:spacing w:val="-1"/>
              </w:rPr>
              <w:t xml:space="preserve"> </w:t>
            </w:r>
            <w:r w:rsidRPr="00D4309F">
              <w:t>of</w:t>
            </w:r>
            <w:r w:rsidRPr="00D4309F">
              <w:rPr>
                <w:spacing w:val="-2"/>
              </w:rPr>
              <w:t xml:space="preserve"> </w:t>
            </w:r>
            <w:r w:rsidRPr="00D4309F">
              <w:t>the</w:t>
            </w:r>
            <w:r w:rsidRPr="00D4309F">
              <w:rPr>
                <w:spacing w:val="-2"/>
              </w:rPr>
              <w:t xml:space="preserve"> </w:t>
            </w:r>
            <w:r w:rsidRPr="00D4309F">
              <w:t>option</w:t>
            </w:r>
            <w:r w:rsidRPr="00D4309F">
              <w:rPr>
                <w:spacing w:val="-3"/>
              </w:rPr>
              <w:t xml:space="preserve"> </w:t>
            </w:r>
            <w:r w:rsidRPr="00D4309F">
              <w:t>and</w:t>
            </w:r>
            <w:r w:rsidRPr="00D4309F">
              <w:rPr>
                <w:spacing w:val="-2"/>
              </w:rPr>
              <w:t xml:space="preserve"> </w:t>
            </w:r>
            <w:r w:rsidRPr="00D4309F">
              <w:t>if</w:t>
            </w:r>
            <w:r w:rsidRPr="00D4309F">
              <w:rPr>
                <w:spacing w:val="-1"/>
              </w:rPr>
              <w:t xml:space="preserve"> </w:t>
            </w:r>
            <w:r w:rsidRPr="00D4309F">
              <w:t>a</w:t>
            </w:r>
            <w:r w:rsidRPr="00D4309F">
              <w:rPr>
                <w:spacing w:val="-3"/>
              </w:rPr>
              <w:t xml:space="preserve"> </w:t>
            </w:r>
            <w:r w:rsidRPr="00D4309F">
              <w:t>hole would</w:t>
            </w:r>
            <w:r w:rsidRPr="00D4309F">
              <w:rPr>
                <w:spacing w:val="-3"/>
              </w:rPr>
              <w:t xml:space="preserve"> </w:t>
            </w:r>
            <w:r w:rsidRPr="00D4309F">
              <w:t>still</w:t>
            </w:r>
            <w:r w:rsidRPr="00D4309F">
              <w:rPr>
                <w:spacing w:val="-1"/>
              </w:rPr>
              <w:t xml:space="preserve"> </w:t>
            </w:r>
            <w:r w:rsidRPr="00D4309F">
              <w:t>be</w:t>
            </w:r>
            <w:r w:rsidRPr="00D4309F">
              <w:rPr>
                <w:spacing w:val="-2"/>
              </w:rPr>
              <w:t xml:space="preserve"> needed.</w:t>
            </w:r>
          </w:p>
          <w:p w14:paraId="59D13DD0" w14:textId="77777777" w:rsidR="00725977" w:rsidRPr="00D4309F" w:rsidRDefault="00725977" w:rsidP="00475E5E">
            <w:pPr>
              <w:pStyle w:val="Table-Text"/>
            </w:pPr>
            <w:r w:rsidRPr="00D4309F">
              <w:t>MSQ</w:t>
            </w:r>
            <w:r w:rsidRPr="00D4309F">
              <w:rPr>
                <w:spacing w:val="-3"/>
              </w:rPr>
              <w:t xml:space="preserve"> </w:t>
            </w:r>
            <w:r w:rsidRPr="00D4309F">
              <w:t>confirmed</w:t>
            </w:r>
            <w:r w:rsidRPr="00D4309F">
              <w:rPr>
                <w:spacing w:val="-4"/>
              </w:rPr>
              <w:t xml:space="preserve"> </w:t>
            </w:r>
            <w:r w:rsidRPr="00D4309F">
              <w:t>the</w:t>
            </w:r>
            <w:r w:rsidRPr="00D4309F">
              <w:rPr>
                <w:spacing w:val="-4"/>
              </w:rPr>
              <w:t xml:space="preserve"> </w:t>
            </w:r>
            <w:r w:rsidRPr="00D4309F">
              <w:t>cost</w:t>
            </w:r>
            <w:r w:rsidRPr="00D4309F">
              <w:rPr>
                <w:spacing w:val="-3"/>
              </w:rPr>
              <w:t xml:space="preserve"> </w:t>
            </w:r>
            <w:r w:rsidRPr="00D4309F">
              <w:t>estimate</w:t>
            </w:r>
            <w:r w:rsidRPr="00D4309F">
              <w:rPr>
                <w:spacing w:val="-4"/>
              </w:rPr>
              <w:t xml:space="preserve"> </w:t>
            </w:r>
            <w:r w:rsidRPr="00D4309F">
              <w:t>at</w:t>
            </w:r>
            <w:r w:rsidRPr="00D4309F">
              <w:rPr>
                <w:spacing w:val="-3"/>
              </w:rPr>
              <w:t xml:space="preserve"> </w:t>
            </w:r>
            <w:r w:rsidRPr="00D4309F">
              <w:t>$22m</w:t>
            </w:r>
            <w:r w:rsidRPr="00D4309F">
              <w:rPr>
                <w:spacing w:val="-2"/>
              </w:rPr>
              <w:t xml:space="preserve"> </w:t>
            </w:r>
            <w:r w:rsidRPr="00D4309F">
              <w:t>and</w:t>
            </w:r>
            <w:r w:rsidRPr="00D4309F">
              <w:rPr>
                <w:spacing w:val="-4"/>
              </w:rPr>
              <w:t xml:space="preserve"> </w:t>
            </w:r>
            <w:r w:rsidRPr="00D4309F">
              <w:t>maintenance</w:t>
            </w:r>
            <w:r w:rsidRPr="00D4309F">
              <w:rPr>
                <w:spacing w:val="-4"/>
              </w:rPr>
              <w:t xml:space="preserve"> </w:t>
            </w:r>
            <w:r w:rsidRPr="00D4309F">
              <w:t>of</w:t>
            </w:r>
            <w:r w:rsidRPr="00D4309F">
              <w:rPr>
                <w:spacing w:val="-3"/>
              </w:rPr>
              <w:t xml:space="preserve"> </w:t>
            </w:r>
            <w:r w:rsidRPr="00D4309F">
              <w:t>around</w:t>
            </w:r>
            <w:r w:rsidRPr="00D4309F">
              <w:rPr>
                <w:spacing w:val="-4"/>
              </w:rPr>
              <w:t xml:space="preserve"> </w:t>
            </w:r>
            <w:r w:rsidRPr="00D4309F">
              <w:t>$1m</w:t>
            </w:r>
            <w:r w:rsidRPr="00D4309F">
              <w:rPr>
                <w:spacing w:val="-3"/>
              </w:rPr>
              <w:t xml:space="preserve"> </w:t>
            </w:r>
            <w:r w:rsidRPr="00D4309F">
              <w:t>per</w:t>
            </w:r>
            <w:r w:rsidRPr="00D4309F">
              <w:rPr>
                <w:spacing w:val="-3"/>
              </w:rPr>
              <w:t xml:space="preserve"> </w:t>
            </w:r>
            <w:r w:rsidRPr="00D4309F">
              <w:t>year</w:t>
            </w:r>
            <w:r w:rsidRPr="00D4309F">
              <w:rPr>
                <w:spacing w:val="-3"/>
              </w:rPr>
              <w:t xml:space="preserve"> </w:t>
            </w:r>
            <w:r w:rsidRPr="00D4309F">
              <w:t>and no hole would be necessary but would improve the collection of sand.</w:t>
            </w:r>
          </w:p>
          <w:p w14:paraId="4B3D3EF6" w14:textId="77777777" w:rsidR="00725977" w:rsidRPr="00D4309F" w:rsidRDefault="00725977" w:rsidP="00475E5E">
            <w:pPr>
              <w:pStyle w:val="Table-Text"/>
            </w:pPr>
            <w:r w:rsidRPr="00D4309F">
              <w:t>The majority of SRG members advised they believed the extension of the breakwater was a last resort option and requested all other alternatives be extensively exhausted before</w:t>
            </w:r>
            <w:r w:rsidRPr="00D4309F">
              <w:rPr>
                <w:spacing w:val="-4"/>
              </w:rPr>
              <w:t xml:space="preserve"> </w:t>
            </w:r>
            <w:r w:rsidRPr="00D4309F">
              <w:t>further</w:t>
            </w:r>
            <w:r w:rsidRPr="00D4309F">
              <w:rPr>
                <w:spacing w:val="-3"/>
              </w:rPr>
              <w:t xml:space="preserve"> </w:t>
            </w:r>
            <w:r w:rsidRPr="00D4309F">
              <w:t>considering</w:t>
            </w:r>
            <w:r w:rsidRPr="00D4309F">
              <w:rPr>
                <w:spacing w:val="-4"/>
              </w:rPr>
              <w:t xml:space="preserve"> </w:t>
            </w:r>
            <w:r w:rsidRPr="00D4309F">
              <w:t>this</w:t>
            </w:r>
            <w:r w:rsidRPr="00D4309F">
              <w:rPr>
                <w:spacing w:val="-2"/>
              </w:rPr>
              <w:t xml:space="preserve"> </w:t>
            </w:r>
            <w:r w:rsidRPr="00D4309F">
              <w:t>option.</w:t>
            </w:r>
            <w:r w:rsidRPr="00D4309F">
              <w:rPr>
                <w:spacing w:val="-2"/>
              </w:rPr>
              <w:t xml:space="preserve"> </w:t>
            </w:r>
            <w:r w:rsidRPr="00D4309F">
              <w:t>At</w:t>
            </w:r>
            <w:r w:rsidRPr="00D4309F">
              <w:rPr>
                <w:spacing w:val="-3"/>
              </w:rPr>
              <w:t xml:space="preserve"> </w:t>
            </w:r>
            <w:r w:rsidRPr="00D4309F">
              <w:t>meeting</w:t>
            </w:r>
            <w:r w:rsidRPr="00D4309F">
              <w:rPr>
                <w:spacing w:val="-4"/>
              </w:rPr>
              <w:t xml:space="preserve"> </w:t>
            </w:r>
            <w:r w:rsidRPr="00D4309F">
              <w:t>3</w:t>
            </w:r>
            <w:r w:rsidRPr="00D4309F">
              <w:rPr>
                <w:spacing w:val="-4"/>
              </w:rPr>
              <w:t xml:space="preserve"> </w:t>
            </w:r>
            <w:r w:rsidRPr="00D4309F">
              <w:t>it</w:t>
            </w:r>
            <w:r w:rsidRPr="00D4309F">
              <w:rPr>
                <w:spacing w:val="-3"/>
              </w:rPr>
              <w:t xml:space="preserve"> </w:t>
            </w:r>
            <w:r w:rsidRPr="00D4309F">
              <w:t>was</w:t>
            </w:r>
            <w:r w:rsidRPr="00D4309F">
              <w:rPr>
                <w:spacing w:val="-3"/>
              </w:rPr>
              <w:t xml:space="preserve"> </w:t>
            </w:r>
            <w:r w:rsidRPr="00D4309F">
              <w:t>agreed</w:t>
            </w:r>
            <w:r w:rsidRPr="00D4309F">
              <w:rPr>
                <w:spacing w:val="-4"/>
              </w:rPr>
              <w:t xml:space="preserve"> </w:t>
            </w:r>
            <w:r w:rsidRPr="00D4309F">
              <w:t>to</w:t>
            </w:r>
            <w:r w:rsidRPr="00D4309F">
              <w:rPr>
                <w:spacing w:val="-4"/>
              </w:rPr>
              <w:t xml:space="preserve"> </w:t>
            </w:r>
            <w:r w:rsidRPr="00D4309F">
              <w:t>continue</w:t>
            </w:r>
            <w:r w:rsidRPr="00D4309F">
              <w:rPr>
                <w:spacing w:val="-4"/>
              </w:rPr>
              <w:t xml:space="preserve"> </w:t>
            </w:r>
            <w:r w:rsidRPr="00D4309F">
              <w:t>to</w:t>
            </w:r>
            <w:r w:rsidRPr="00D4309F">
              <w:rPr>
                <w:spacing w:val="-4"/>
              </w:rPr>
              <w:t xml:space="preserve"> </w:t>
            </w:r>
            <w:r w:rsidRPr="00D4309F">
              <w:t>hold</w:t>
            </w:r>
            <w:r w:rsidRPr="00D4309F">
              <w:rPr>
                <w:spacing w:val="-2"/>
              </w:rPr>
              <w:t xml:space="preserve"> </w:t>
            </w:r>
            <w:r w:rsidRPr="00D4309F">
              <w:t>off work on the breakwater extension for now until the feasibility of the Western Channel Trial can be determined.</w:t>
            </w:r>
          </w:p>
        </w:tc>
      </w:tr>
      <w:tr w:rsidR="00725977" w:rsidRPr="00D4309F" w14:paraId="245D50AF" w14:textId="77777777" w:rsidTr="009B62A3">
        <w:trPr>
          <w:trHeight w:val="1361"/>
        </w:trPr>
        <w:tc>
          <w:tcPr>
            <w:tcW w:w="1114" w:type="pct"/>
            <w:tcBorders>
              <w:top w:val="single" w:sz="4" w:space="0" w:color="000000"/>
              <w:bottom w:val="single" w:sz="4" w:space="0" w:color="000000"/>
            </w:tcBorders>
          </w:tcPr>
          <w:p w14:paraId="68C27094" w14:textId="77777777" w:rsidR="00725977" w:rsidRPr="00475E5E" w:rsidRDefault="00725977" w:rsidP="00475E5E">
            <w:pPr>
              <w:pStyle w:val="Table-Text"/>
              <w:rPr>
                <w:b/>
                <w:bCs/>
              </w:rPr>
            </w:pPr>
            <w:r w:rsidRPr="00475E5E">
              <w:rPr>
                <w:b/>
                <w:bCs/>
              </w:rPr>
              <w:t>Option</w:t>
            </w:r>
            <w:r w:rsidRPr="00475E5E">
              <w:rPr>
                <w:b/>
                <w:bCs/>
                <w:spacing w:val="-12"/>
              </w:rPr>
              <w:t xml:space="preserve"> </w:t>
            </w:r>
            <w:r w:rsidRPr="00475E5E">
              <w:rPr>
                <w:b/>
                <w:bCs/>
              </w:rPr>
              <w:t>5</w:t>
            </w:r>
            <w:r w:rsidRPr="00475E5E">
              <w:rPr>
                <w:b/>
                <w:bCs/>
                <w:spacing w:val="-13"/>
              </w:rPr>
              <w:t xml:space="preserve"> </w:t>
            </w:r>
            <w:r w:rsidRPr="00475E5E">
              <w:rPr>
                <w:b/>
                <w:bCs/>
              </w:rPr>
              <w:t>–</w:t>
            </w:r>
            <w:r w:rsidRPr="00475E5E">
              <w:rPr>
                <w:b/>
                <w:bCs/>
                <w:spacing w:val="-11"/>
              </w:rPr>
              <w:t xml:space="preserve"> </w:t>
            </w:r>
            <w:r w:rsidRPr="00475E5E">
              <w:rPr>
                <w:b/>
                <w:bCs/>
              </w:rPr>
              <w:t>Buddina Beach Sand Trap</w:t>
            </w:r>
          </w:p>
        </w:tc>
        <w:tc>
          <w:tcPr>
            <w:tcW w:w="3886" w:type="pct"/>
            <w:tcBorders>
              <w:top w:val="single" w:sz="4" w:space="0" w:color="000000"/>
              <w:bottom w:val="single" w:sz="4" w:space="0" w:color="000000"/>
            </w:tcBorders>
          </w:tcPr>
          <w:p w14:paraId="0665D86D" w14:textId="77777777" w:rsidR="00725977" w:rsidRPr="00D4309F" w:rsidRDefault="00725977" w:rsidP="00475E5E">
            <w:pPr>
              <w:pStyle w:val="Table-Text"/>
            </w:pPr>
            <w:r w:rsidRPr="00D4309F">
              <w:t>The SRG shared feedback and questions including: what further studies are required, what</w:t>
            </w:r>
            <w:r w:rsidRPr="00D4309F">
              <w:rPr>
                <w:spacing w:val="-3"/>
              </w:rPr>
              <w:t xml:space="preserve"> </w:t>
            </w:r>
            <w:r w:rsidRPr="00D4309F">
              <w:t>impact</w:t>
            </w:r>
            <w:r w:rsidRPr="00D4309F">
              <w:rPr>
                <w:spacing w:val="-3"/>
              </w:rPr>
              <w:t xml:space="preserve"> </w:t>
            </w:r>
            <w:r w:rsidRPr="00D4309F">
              <w:t>the</w:t>
            </w:r>
            <w:r w:rsidRPr="00D4309F">
              <w:rPr>
                <w:spacing w:val="-4"/>
              </w:rPr>
              <w:t xml:space="preserve"> </w:t>
            </w:r>
            <w:r w:rsidRPr="00D4309F">
              <w:t>infrastructure</w:t>
            </w:r>
            <w:r w:rsidRPr="00D4309F">
              <w:rPr>
                <w:spacing w:val="-2"/>
              </w:rPr>
              <w:t xml:space="preserve"> </w:t>
            </w:r>
            <w:r w:rsidRPr="00D4309F">
              <w:t>would</w:t>
            </w:r>
            <w:r w:rsidRPr="00D4309F">
              <w:rPr>
                <w:spacing w:val="-4"/>
              </w:rPr>
              <w:t xml:space="preserve"> </w:t>
            </w:r>
            <w:r w:rsidRPr="00D4309F">
              <w:t>have,</w:t>
            </w:r>
            <w:r w:rsidRPr="00D4309F">
              <w:rPr>
                <w:spacing w:val="-3"/>
              </w:rPr>
              <w:t xml:space="preserve"> </w:t>
            </w:r>
            <w:r w:rsidRPr="00D4309F">
              <w:t>the</w:t>
            </w:r>
            <w:r w:rsidRPr="00D4309F">
              <w:rPr>
                <w:spacing w:val="-4"/>
              </w:rPr>
              <w:t xml:space="preserve"> </w:t>
            </w:r>
            <w:r w:rsidRPr="00D4309F">
              <w:t>challenges</w:t>
            </w:r>
            <w:r w:rsidRPr="00D4309F">
              <w:rPr>
                <w:spacing w:val="-3"/>
              </w:rPr>
              <w:t xml:space="preserve"> </w:t>
            </w:r>
            <w:r w:rsidRPr="00D4309F">
              <w:t>of</w:t>
            </w:r>
            <w:r w:rsidRPr="00D4309F">
              <w:rPr>
                <w:spacing w:val="-2"/>
              </w:rPr>
              <w:t xml:space="preserve"> </w:t>
            </w:r>
            <w:r w:rsidRPr="00D4309F">
              <w:t>the</w:t>
            </w:r>
            <w:r w:rsidRPr="00D4309F">
              <w:rPr>
                <w:spacing w:val="-4"/>
              </w:rPr>
              <w:t xml:space="preserve"> </w:t>
            </w:r>
            <w:r w:rsidRPr="00D4309F">
              <w:t>area,</w:t>
            </w:r>
            <w:r w:rsidRPr="00D4309F">
              <w:rPr>
                <w:spacing w:val="-3"/>
              </w:rPr>
              <w:t xml:space="preserve"> </w:t>
            </w:r>
            <w:r w:rsidRPr="00D4309F">
              <w:t>the</w:t>
            </w:r>
            <w:r w:rsidRPr="00D4309F">
              <w:rPr>
                <w:spacing w:val="-4"/>
              </w:rPr>
              <w:t xml:space="preserve"> </w:t>
            </w:r>
            <w:r w:rsidRPr="00D4309F">
              <w:t>impact</w:t>
            </w:r>
            <w:r w:rsidRPr="00D4309F">
              <w:rPr>
                <w:spacing w:val="-3"/>
              </w:rPr>
              <w:t xml:space="preserve"> </w:t>
            </w:r>
            <w:r w:rsidRPr="00D4309F">
              <w:t>on</w:t>
            </w:r>
            <w:r w:rsidRPr="00D4309F">
              <w:rPr>
                <w:spacing w:val="-4"/>
              </w:rPr>
              <w:t xml:space="preserve"> </w:t>
            </w:r>
            <w:r w:rsidRPr="00D4309F">
              <w:t>the surf break and beach nourishment, cost benefit analysis, monitoring of drift patterns, Buddina Beach erosion and wildlife impacts.</w:t>
            </w:r>
          </w:p>
          <w:p w14:paraId="0C2C8E57" w14:textId="77777777" w:rsidR="00725977" w:rsidRPr="00D4309F" w:rsidRDefault="00725977" w:rsidP="00475E5E">
            <w:pPr>
              <w:pStyle w:val="Table-Text"/>
            </w:pPr>
            <w:r w:rsidRPr="00D4309F">
              <w:t>There</w:t>
            </w:r>
            <w:r w:rsidRPr="00D4309F">
              <w:rPr>
                <w:spacing w:val="-4"/>
              </w:rPr>
              <w:t xml:space="preserve"> </w:t>
            </w:r>
            <w:r w:rsidRPr="00D4309F">
              <w:t>was</w:t>
            </w:r>
            <w:r w:rsidRPr="00D4309F">
              <w:rPr>
                <w:spacing w:val="-3"/>
              </w:rPr>
              <w:t xml:space="preserve"> </w:t>
            </w:r>
            <w:r w:rsidRPr="00D4309F">
              <w:t>limited</w:t>
            </w:r>
            <w:r w:rsidRPr="00D4309F">
              <w:rPr>
                <w:spacing w:val="-4"/>
              </w:rPr>
              <w:t xml:space="preserve"> </w:t>
            </w:r>
            <w:r w:rsidRPr="00D4309F">
              <w:t>support</w:t>
            </w:r>
            <w:r w:rsidRPr="00D4309F">
              <w:rPr>
                <w:spacing w:val="-3"/>
              </w:rPr>
              <w:t xml:space="preserve"> </w:t>
            </w:r>
            <w:r w:rsidRPr="00D4309F">
              <w:t>from</w:t>
            </w:r>
            <w:r w:rsidRPr="00D4309F">
              <w:rPr>
                <w:spacing w:val="-3"/>
              </w:rPr>
              <w:t xml:space="preserve"> </w:t>
            </w:r>
            <w:r w:rsidRPr="00D4309F">
              <w:t>the</w:t>
            </w:r>
            <w:r w:rsidRPr="00D4309F">
              <w:rPr>
                <w:spacing w:val="-4"/>
              </w:rPr>
              <w:t xml:space="preserve"> </w:t>
            </w:r>
            <w:r w:rsidRPr="00D4309F">
              <w:t>SRG</w:t>
            </w:r>
            <w:r w:rsidRPr="00D4309F">
              <w:rPr>
                <w:spacing w:val="-3"/>
              </w:rPr>
              <w:t xml:space="preserve"> </w:t>
            </w:r>
            <w:r w:rsidRPr="00D4309F">
              <w:t>for</w:t>
            </w:r>
            <w:r w:rsidRPr="00D4309F">
              <w:rPr>
                <w:spacing w:val="-4"/>
              </w:rPr>
              <w:t xml:space="preserve"> </w:t>
            </w:r>
            <w:r w:rsidRPr="00D4309F">
              <w:t>this</w:t>
            </w:r>
            <w:r w:rsidRPr="00D4309F">
              <w:rPr>
                <w:spacing w:val="-3"/>
              </w:rPr>
              <w:t xml:space="preserve"> </w:t>
            </w:r>
            <w:r w:rsidRPr="00D4309F">
              <w:t>option</w:t>
            </w:r>
            <w:r w:rsidRPr="00D4309F">
              <w:rPr>
                <w:spacing w:val="-4"/>
              </w:rPr>
              <w:t xml:space="preserve"> </w:t>
            </w:r>
            <w:r w:rsidRPr="00D4309F">
              <w:t>and</w:t>
            </w:r>
            <w:r w:rsidRPr="00D4309F">
              <w:rPr>
                <w:spacing w:val="-4"/>
              </w:rPr>
              <w:t xml:space="preserve"> </w:t>
            </w:r>
            <w:r w:rsidRPr="00D4309F">
              <w:t>no</w:t>
            </w:r>
            <w:r w:rsidRPr="00D4309F">
              <w:rPr>
                <w:spacing w:val="-4"/>
              </w:rPr>
              <w:t xml:space="preserve"> </w:t>
            </w:r>
            <w:r w:rsidRPr="00D4309F">
              <w:t>further</w:t>
            </w:r>
            <w:r w:rsidRPr="00D4309F">
              <w:rPr>
                <w:spacing w:val="-3"/>
              </w:rPr>
              <w:t xml:space="preserve"> </w:t>
            </w:r>
            <w:r w:rsidRPr="00D4309F">
              <w:t>investigations proceeded after meeting 3.</w:t>
            </w:r>
          </w:p>
        </w:tc>
      </w:tr>
      <w:tr w:rsidR="00725977" w:rsidRPr="00D4309F" w14:paraId="193D696E" w14:textId="77777777" w:rsidTr="009B62A3">
        <w:trPr>
          <w:trHeight w:val="1957"/>
        </w:trPr>
        <w:tc>
          <w:tcPr>
            <w:tcW w:w="1114" w:type="pct"/>
            <w:tcBorders>
              <w:top w:val="single" w:sz="4" w:space="0" w:color="000000"/>
            </w:tcBorders>
          </w:tcPr>
          <w:p w14:paraId="2AED2271" w14:textId="77777777" w:rsidR="00725977" w:rsidRPr="00475E5E" w:rsidRDefault="00725977" w:rsidP="00475E5E">
            <w:pPr>
              <w:pStyle w:val="Table-Text"/>
              <w:rPr>
                <w:b/>
                <w:bCs/>
              </w:rPr>
            </w:pPr>
            <w:r w:rsidRPr="00475E5E">
              <w:rPr>
                <w:b/>
                <w:bCs/>
              </w:rPr>
              <w:t>Other</w:t>
            </w:r>
            <w:r w:rsidRPr="00475E5E">
              <w:rPr>
                <w:b/>
                <w:bCs/>
                <w:spacing w:val="-2"/>
              </w:rPr>
              <w:t xml:space="preserve"> options</w:t>
            </w:r>
          </w:p>
        </w:tc>
        <w:tc>
          <w:tcPr>
            <w:tcW w:w="3886" w:type="pct"/>
            <w:tcBorders>
              <w:top w:val="single" w:sz="4" w:space="0" w:color="000000"/>
            </w:tcBorders>
          </w:tcPr>
          <w:p w14:paraId="664F0CDC" w14:textId="77777777" w:rsidR="00725977" w:rsidRPr="00D4309F" w:rsidRDefault="00725977" w:rsidP="00475E5E">
            <w:pPr>
              <w:pStyle w:val="Table-Text"/>
            </w:pPr>
            <w:r w:rsidRPr="00D4309F">
              <w:t>Other</w:t>
            </w:r>
            <w:r w:rsidRPr="00D4309F">
              <w:rPr>
                <w:spacing w:val="-3"/>
              </w:rPr>
              <w:t xml:space="preserve"> </w:t>
            </w:r>
            <w:r w:rsidRPr="00D4309F">
              <w:t>options</w:t>
            </w:r>
            <w:r w:rsidRPr="00D4309F">
              <w:rPr>
                <w:spacing w:val="-2"/>
              </w:rPr>
              <w:t xml:space="preserve"> </w:t>
            </w:r>
            <w:r w:rsidRPr="00D4309F">
              <w:t>raised</w:t>
            </w:r>
            <w:r w:rsidRPr="00D4309F">
              <w:rPr>
                <w:spacing w:val="-3"/>
              </w:rPr>
              <w:t xml:space="preserve"> </w:t>
            </w:r>
            <w:r w:rsidRPr="00D4309F">
              <w:t>by</w:t>
            </w:r>
            <w:r w:rsidRPr="00D4309F">
              <w:rPr>
                <w:spacing w:val="-2"/>
              </w:rPr>
              <w:t xml:space="preserve"> </w:t>
            </w:r>
            <w:r w:rsidRPr="00D4309F">
              <w:t>the</w:t>
            </w:r>
            <w:r w:rsidRPr="00D4309F">
              <w:rPr>
                <w:spacing w:val="-3"/>
              </w:rPr>
              <w:t xml:space="preserve"> </w:t>
            </w:r>
            <w:r w:rsidRPr="00D4309F">
              <w:t>SRG</w:t>
            </w:r>
            <w:r w:rsidRPr="00D4309F">
              <w:rPr>
                <w:spacing w:val="-2"/>
              </w:rPr>
              <w:t xml:space="preserve"> </w:t>
            </w:r>
            <w:r w:rsidRPr="00D4309F">
              <w:t>for</w:t>
            </w:r>
            <w:r w:rsidRPr="00D4309F">
              <w:rPr>
                <w:spacing w:val="-2"/>
              </w:rPr>
              <w:t xml:space="preserve"> </w:t>
            </w:r>
            <w:r w:rsidRPr="00D4309F">
              <w:t>investigation</w:t>
            </w:r>
            <w:r w:rsidRPr="00D4309F">
              <w:rPr>
                <w:spacing w:val="-3"/>
              </w:rPr>
              <w:t xml:space="preserve"> </w:t>
            </w:r>
            <w:r w:rsidRPr="00D4309F">
              <w:t>have</w:t>
            </w:r>
            <w:r w:rsidRPr="00D4309F">
              <w:rPr>
                <w:spacing w:val="-3"/>
              </w:rPr>
              <w:t xml:space="preserve"> </w:t>
            </w:r>
            <w:r w:rsidRPr="00D4309F">
              <w:rPr>
                <w:spacing w:val="-2"/>
              </w:rPr>
              <w:t>included:</w:t>
            </w:r>
          </w:p>
          <w:p w14:paraId="01AD3C87" w14:textId="77777777" w:rsidR="00725977" w:rsidRPr="00D4309F" w:rsidRDefault="00725977" w:rsidP="00475E5E">
            <w:pPr>
              <w:pStyle w:val="Table-Bullet"/>
            </w:pPr>
            <w:r w:rsidRPr="00D4309F">
              <w:t>Option</w:t>
            </w:r>
            <w:r w:rsidRPr="00D4309F">
              <w:rPr>
                <w:spacing w:val="-5"/>
              </w:rPr>
              <w:t xml:space="preserve"> </w:t>
            </w:r>
            <w:r w:rsidRPr="00D4309F">
              <w:t>for</w:t>
            </w:r>
            <w:r w:rsidRPr="00D4309F">
              <w:rPr>
                <w:spacing w:val="-2"/>
              </w:rPr>
              <w:t xml:space="preserve"> </w:t>
            </w:r>
            <w:r w:rsidRPr="00D4309F">
              <w:t>MSQ</w:t>
            </w:r>
            <w:r w:rsidRPr="00D4309F">
              <w:rPr>
                <w:spacing w:val="-1"/>
              </w:rPr>
              <w:t xml:space="preserve"> </w:t>
            </w:r>
            <w:r w:rsidRPr="00D4309F">
              <w:t>to</w:t>
            </w:r>
            <w:r w:rsidRPr="00D4309F">
              <w:rPr>
                <w:spacing w:val="-3"/>
              </w:rPr>
              <w:t xml:space="preserve"> </w:t>
            </w:r>
            <w:r w:rsidRPr="00D4309F">
              <w:t>own</w:t>
            </w:r>
            <w:r w:rsidRPr="00D4309F">
              <w:rPr>
                <w:spacing w:val="-2"/>
              </w:rPr>
              <w:t xml:space="preserve"> </w:t>
            </w:r>
            <w:r w:rsidRPr="00D4309F">
              <w:t>and</w:t>
            </w:r>
            <w:r w:rsidRPr="00D4309F">
              <w:rPr>
                <w:spacing w:val="-3"/>
              </w:rPr>
              <w:t xml:space="preserve"> </w:t>
            </w:r>
            <w:r w:rsidRPr="00D4309F">
              <w:t>operate</w:t>
            </w:r>
            <w:r w:rsidRPr="00D4309F">
              <w:rPr>
                <w:spacing w:val="-2"/>
              </w:rPr>
              <w:t xml:space="preserve"> </w:t>
            </w:r>
            <w:r w:rsidRPr="00D4309F">
              <w:t>its</w:t>
            </w:r>
            <w:r w:rsidRPr="00D4309F">
              <w:rPr>
                <w:spacing w:val="-2"/>
              </w:rPr>
              <w:t xml:space="preserve"> </w:t>
            </w:r>
            <w:r w:rsidRPr="00D4309F">
              <w:t>own</w:t>
            </w:r>
            <w:r w:rsidRPr="00D4309F">
              <w:rPr>
                <w:spacing w:val="-2"/>
              </w:rPr>
              <w:t xml:space="preserve"> dredge</w:t>
            </w:r>
          </w:p>
          <w:p w14:paraId="6DF7AA08" w14:textId="77777777" w:rsidR="00725977" w:rsidRPr="00D4309F" w:rsidRDefault="00725977" w:rsidP="00475E5E">
            <w:pPr>
              <w:pStyle w:val="Table-Bullet"/>
            </w:pPr>
            <w:r w:rsidRPr="00D4309F">
              <w:t>Alternative</w:t>
            </w:r>
            <w:r w:rsidRPr="00D4309F">
              <w:rPr>
                <w:spacing w:val="-3"/>
              </w:rPr>
              <w:t xml:space="preserve"> </w:t>
            </w:r>
            <w:r w:rsidRPr="00D4309F">
              <w:t>dredge</w:t>
            </w:r>
            <w:r w:rsidRPr="00D4309F">
              <w:rPr>
                <w:spacing w:val="-3"/>
              </w:rPr>
              <w:t xml:space="preserve"> </w:t>
            </w:r>
            <w:r w:rsidRPr="00D4309F">
              <w:t>options</w:t>
            </w:r>
            <w:r w:rsidRPr="00D4309F">
              <w:rPr>
                <w:spacing w:val="-2"/>
              </w:rPr>
              <w:t xml:space="preserve"> </w:t>
            </w:r>
            <w:r w:rsidRPr="00D4309F">
              <w:t>such</w:t>
            </w:r>
            <w:r w:rsidRPr="00D4309F">
              <w:rPr>
                <w:spacing w:val="-2"/>
              </w:rPr>
              <w:t xml:space="preserve"> </w:t>
            </w:r>
            <w:r w:rsidRPr="00D4309F">
              <w:t>as</w:t>
            </w:r>
            <w:r w:rsidRPr="00D4309F">
              <w:rPr>
                <w:spacing w:val="-2"/>
              </w:rPr>
              <w:t xml:space="preserve"> </w:t>
            </w:r>
            <w:r w:rsidRPr="00D4309F">
              <w:t>a</w:t>
            </w:r>
            <w:r w:rsidRPr="00D4309F">
              <w:rPr>
                <w:spacing w:val="-3"/>
              </w:rPr>
              <w:t xml:space="preserve"> </w:t>
            </w:r>
            <w:r w:rsidRPr="00D4309F">
              <w:t>jack</w:t>
            </w:r>
            <w:r w:rsidRPr="00D4309F">
              <w:rPr>
                <w:spacing w:val="-2"/>
              </w:rPr>
              <w:t xml:space="preserve"> </w:t>
            </w:r>
            <w:r w:rsidRPr="00D4309F">
              <w:t xml:space="preserve">up </w:t>
            </w:r>
            <w:r w:rsidRPr="00D4309F">
              <w:rPr>
                <w:spacing w:val="-4"/>
              </w:rPr>
              <w:t>barge</w:t>
            </w:r>
          </w:p>
          <w:p w14:paraId="5142EE71" w14:textId="77777777" w:rsidR="00725977" w:rsidRPr="00D4309F" w:rsidRDefault="00725977" w:rsidP="00475E5E">
            <w:pPr>
              <w:pStyle w:val="Table-Bullet"/>
            </w:pPr>
            <w:r w:rsidRPr="00D4309F">
              <w:t>Large</w:t>
            </w:r>
            <w:r w:rsidRPr="00D4309F">
              <w:rPr>
                <w:spacing w:val="-4"/>
              </w:rPr>
              <w:t xml:space="preserve"> </w:t>
            </w:r>
            <w:r w:rsidRPr="00D4309F">
              <w:t>scale</w:t>
            </w:r>
            <w:r w:rsidRPr="00D4309F">
              <w:rPr>
                <w:spacing w:val="-2"/>
              </w:rPr>
              <w:t xml:space="preserve"> </w:t>
            </w:r>
            <w:r w:rsidRPr="00D4309F">
              <w:t>dredging</w:t>
            </w:r>
            <w:r w:rsidRPr="00D4309F">
              <w:rPr>
                <w:spacing w:val="-2"/>
              </w:rPr>
              <w:t xml:space="preserve"> </w:t>
            </w:r>
            <w:r w:rsidRPr="00D4309F">
              <w:t>of</w:t>
            </w:r>
            <w:r w:rsidRPr="00D4309F">
              <w:rPr>
                <w:spacing w:val="-3"/>
              </w:rPr>
              <w:t xml:space="preserve"> </w:t>
            </w:r>
            <w:r w:rsidRPr="00D4309F">
              <w:t>the</w:t>
            </w:r>
            <w:r w:rsidRPr="00D4309F">
              <w:rPr>
                <w:spacing w:val="-4"/>
              </w:rPr>
              <w:t xml:space="preserve"> </w:t>
            </w:r>
            <w:r w:rsidRPr="00D4309F">
              <w:t>sand</w:t>
            </w:r>
            <w:r w:rsidRPr="00D4309F">
              <w:rPr>
                <w:spacing w:val="-4"/>
              </w:rPr>
              <w:t xml:space="preserve"> </w:t>
            </w:r>
            <w:r w:rsidRPr="00D4309F">
              <w:t>banks</w:t>
            </w:r>
            <w:r w:rsidRPr="00D4309F">
              <w:rPr>
                <w:spacing w:val="-3"/>
              </w:rPr>
              <w:t xml:space="preserve"> </w:t>
            </w:r>
            <w:r w:rsidRPr="00D4309F">
              <w:t>within</w:t>
            </w:r>
            <w:r w:rsidRPr="00D4309F">
              <w:rPr>
                <w:spacing w:val="-4"/>
              </w:rPr>
              <w:t xml:space="preserve"> </w:t>
            </w:r>
            <w:r w:rsidRPr="00D4309F">
              <w:t>and</w:t>
            </w:r>
            <w:r w:rsidRPr="00D4309F">
              <w:rPr>
                <w:spacing w:val="-4"/>
              </w:rPr>
              <w:t xml:space="preserve"> </w:t>
            </w:r>
            <w:r w:rsidRPr="00D4309F">
              <w:t>to</w:t>
            </w:r>
            <w:r w:rsidRPr="00D4309F">
              <w:rPr>
                <w:spacing w:val="-4"/>
              </w:rPr>
              <w:t xml:space="preserve"> </w:t>
            </w:r>
            <w:r w:rsidRPr="00D4309F">
              <w:t>the</w:t>
            </w:r>
            <w:r w:rsidRPr="00D4309F">
              <w:rPr>
                <w:spacing w:val="-4"/>
              </w:rPr>
              <w:t xml:space="preserve"> </w:t>
            </w:r>
            <w:r w:rsidRPr="00D4309F">
              <w:t>west</w:t>
            </w:r>
            <w:r w:rsidRPr="00D4309F">
              <w:rPr>
                <w:spacing w:val="-3"/>
              </w:rPr>
              <w:t xml:space="preserve"> </w:t>
            </w:r>
            <w:r w:rsidRPr="00D4309F">
              <w:t>of</w:t>
            </w:r>
            <w:r w:rsidRPr="00D4309F">
              <w:rPr>
                <w:spacing w:val="-3"/>
              </w:rPr>
              <w:t xml:space="preserve"> </w:t>
            </w:r>
            <w:r w:rsidRPr="00D4309F">
              <w:t>the</w:t>
            </w:r>
            <w:r w:rsidRPr="00D4309F">
              <w:rPr>
                <w:spacing w:val="-4"/>
              </w:rPr>
              <w:t xml:space="preserve"> </w:t>
            </w:r>
            <w:r w:rsidRPr="00D4309F">
              <w:t>entrance</w:t>
            </w:r>
            <w:r w:rsidRPr="00D4309F">
              <w:rPr>
                <w:spacing w:val="-4"/>
              </w:rPr>
              <w:t xml:space="preserve"> </w:t>
            </w:r>
            <w:r w:rsidRPr="00D4309F">
              <w:t>channel to be placed into the northern beach system</w:t>
            </w:r>
          </w:p>
          <w:p w14:paraId="0FC2476F" w14:textId="77777777" w:rsidR="00725977" w:rsidRPr="00D4309F" w:rsidRDefault="00725977" w:rsidP="00475E5E">
            <w:pPr>
              <w:pStyle w:val="Table-Bullet"/>
            </w:pPr>
            <w:r w:rsidRPr="00D4309F">
              <w:t>Viability</w:t>
            </w:r>
            <w:r w:rsidRPr="00D4309F">
              <w:rPr>
                <w:spacing w:val="-3"/>
              </w:rPr>
              <w:t xml:space="preserve"> </w:t>
            </w:r>
            <w:r w:rsidRPr="00D4309F">
              <w:t>of</w:t>
            </w:r>
            <w:r w:rsidRPr="00D4309F">
              <w:rPr>
                <w:spacing w:val="-3"/>
              </w:rPr>
              <w:t xml:space="preserve"> </w:t>
            </w:r>
            <w:r w:rsidRPr="00D4309F">
              <w:t>capturing</w:t>
            </w:r>
            <w:r w:rsidRPr="00D4309F">
              <w:rPr>
                <w:spacing w:val="-4"/>
              </w:rPr>
              <w:t xml:space="preserve"> </w:t>
            </w:r>
            <w:r w:rsidRPr="00D4309F">
              <w:t>sand</w:t>
            </w:r>
            <w:r w:rsidRPr="00D4309F">
              <w:rPr>
                <w:spacing w:val="-2"/>
              </w:rPr>
              <w:t xml:space="preserve"> </w:t>
            </w:r>
            <w:r w:rsidRPr="00D4309F">
              <w:t>off</w:t>
            </w:r>
            <w:r w:rsidRPr="00D4309F">
              <w:rPr>
                <w:spacing w:val="-3"/>
              </w:rPr>
              <w:t xml:space="preserve"> </w:t>
            </w:r>
            <w:r w:rsidRPr="00D4309F">
              <w:t>Point</w:t>
            </w:r>
            <w:r w:rsidRPr="00D4309F">
              <w:rPr>
                <w:spacing w:val="-3"/>
              </w:rPr>
              <w:t xml:space="preserve"> </w:t>
            </w:r>
            <w:r w:rsidRPr="00D4309F">
              <w:t>Cartwright</w:t>
            </w:r>
            <w:r w:rsidRPr="00D4309F">
              <w:rPr>
                <w:spacing w:val="-3"/>
              </w:rPr>
              <w:t xml:space="preserve"> </w:t>
            </w:r>
            <w:r w:rsidRPr="00D4309F">
              <w:t>before</w:t>
            </w:r>
            <w:r w:rsidRPr="00D4309F">
              <w:rPr>
                <w:spacing w:val="-4"/>
              </w:rPr>
              <w:t xml:space="preserve"> </w:t>
            </w:r>
            <w:r w:rsidRPr="00D4309F">
              <w:t>it</w:t>
            </w:r>
            <w:r w:rsidRPr="00D4309F">
              <w:rPr>
                <w:spacing w:val="-3"/>
              </w:rPr>
              <w:t xml:space="preserve"> </w:t>
            </w:r>
            <w:r w:rsidRPr="00D4309F">
              <w:t>moves</w:t>
            </w:r>
            <w:r w:rsidRPr="00D4309F">
              <w:rPr>
                <w:spacing w:val="-3"/>
              </w:rPr>
              <w:t xml:space="preserve"> </w:t>
            </w:r>
            <w:r w:rsidRPr="00D4309F">
              <w:t>west</w:t>
            </w:r>
            <w:r w:rsidRPr="00D4309F">
              <w:rPr>
                <w:spacing w:val="-3"/>
              </w:rPr>
              <w:t xml:space="preserve"> </w:t>
            </w:r>
            <w:r w:rsidRPr="00D4309F">
              <w:t>into</w:t>
            </w:r>
            <w:r w:rsidRPr="00D4309F">
              <w:rPr>
                <w:spacing w:val="-4"/>
              </w:rPr>
              <w:t xml:space="preserve"> </w:t>
            </w:r>
            <w:r w:rsidRPr="00D4309F">
              <w:t>the</w:t>
            </w:r>
            <w:r w:rsidRPr="00D4309F">
              <w:rPr>
                <w:spacing w:val="-4"/>
              </w:rPr>
              <w:t xml:space="preserve"> </w:t>
            </w:r>
            <w:r w:rsidRPr="00D4309F">
              <w:t xml:space="preserve">entrance </w:t>
            </w:r>
            <w:r w:rsidRPr="00D4309F">
              <w:rPr>
                <w:spacing w:val="-2"/>
              </w:rPr>
              <w:t>channel</w:t>
            </w:r>
          </w:p>
          <w:p w14:paraId="2B3B33C2" w14:textId="77777777" w:rsidR="00725977" w:rsidRPr="00D4309F" w:rsidRDefault="00725977" w:rsidP="00475E5E">
            <w:pPr>
              <w:pStyle w:val="Table-Bullet"/>
            </w:pPr>
            <w:r w:rsidRPr="00D4309F">
              <w:t>Shortening</w:t>
            </w:r>
            <w:r w:rsidRPr="00D4309F">
              <w:rPr>
                <w:spacing w:val="-4"/>
              </w:rPr>
              <w:t xml:space="preserve"> </w:t>
            </w:r>
            <w:r w:rsidRPr="00D4309F">
              <w:t>of</w:t>
            </w:r>
            <w:r w:rsidRPr="00D4309F">
              <w:rPr>
                <w:spacing w:val="-3"/>
              </w:rPr>
              <w:t xml:space="preserve"> </w:t>
            </w:r>
            <w:r w:rsidRPr="00D4309F">
              <w:t>the</w:t>
            </w:r>
            <w:r w:rsidRPr="00D4309F">
              <w:rPr>
                <w:spacing w:val="-4"/>
              </w:rPr>
              <w:t xml:space="preserve"> </w:t>
            </w:r>
            <w:r w:rsidRPr="00D4309F">
              <w:t>western</w:t>
            </w:r>
            <w:r w:rsidRPr="00D4309F">
              <w:rPr>
                <w:spacing w:val="-4"/>
              </w:rPr>
              <w:t xml:space="preserve"> </w:t>
            </w:r>
            <w:r w:rsidRPr="00D4309F">
              <w:t>breakwater</w:t>
            </w:r>
            <w:r w:rsidRPr="00D4309F">
              <w:rPr>
                <w:spacing w:val="-2"/>
              </w:rPr>
              <w:t xml:space="preserve"> wall.</w:t>
            </w:r>
          </w:p>
        </w:tc>
      </w:tr>
    </w:tbl>
    <w:p w14:paraId="64024D2B" w14:textId="77777777" w:rsidR="00725977" w:rsidRPr="00D4309F" w:rsidRDefault="00725977" w:rsidP="00745065">
      <w:pPr>
        <w:pStyle w:val="BodyText"/>
        <w:pageBreakBefore/>
      </w:pPr>
      <w:r w:rsidRPr="00D4309F">
        <w:lastRenderedPageBreak/>
        <w:t>At</w:t>
      </w:r>
      <w:r w:rsidRPr="00D4309F">
        <w:rPr>
          <w:spacing w:val="-2"/>
        </w:rPr>
        <w:t xml:space="preserve"> </w:t>
      </w:r>
      <w:r w:rsidRPr="00D4309F">
        <w:t>the</w:t>
      </w:r>
      <w:r w:rsidRPr="00D4309F">
        <w:rPr>
          <w:spacing w:val="-2"/>
        </w:rPr>
        <w:t xml:space="preserve"> </w:t>
      </w:r>
      <w:r w:rsidRPr="00D4309F">
        <w:t>most</w:t>
      </w:r>
      <w:r w:rsidRPr="00D4309F">
        <w:rPr>
          <w:spacing w:val="-2"/>
        </w:rPr>
        <w:t xml:space="preserve"> </w:t>
      </w:r>
      <w:r w:rsidRPr="00D4309F">
        <w:t>recent</w:t>
      </w:r>
      <w:r w:rsidRPr="00D4309F">
        <w:rPr>
          <w:spacing w:val="-2"/>
        </w:rPr>
        <w:t xml:space="preserve"> </w:t>
      </w:r>
      <w:r w:rsidRPr="00D4309F">
        <w:t>meeting</w:t>
      </w:r>
      <w:r w:rsidRPr="00D4309F">
        <w:rPr>
          <w:spacing w:val="-2"/>
        </w:rPr>
        <w:t xml:space="preserve"> </w:t>
      </w:r>
      <w:r w:rsidRPr="00D4309F">
        <w:t>of</w:t>
      </w:r>
      <w:r w:rsidRPr="00D4309F">
        <w:rPr>
          <w:spacing w:val="-2"/>
        </w:rPr>
        <w:t xml:space="preserve"> </w:t>
      </w:r>
      <w:r w:rsidRPr="00D4309F">
        <w:t>the</w:t>
      </w:r>
      <w:r w:rsidRPr="00D4309F">
        <w:rPr>
          <w:spacing w:val="-2"/>
        </w:rPr>
        <w:t xml:space="preserve"> </w:t>
      </w:r>
      <w:r w:rsidRPr="00D4309F">
        <w:t>SRG</w:t>
      </w:r>
      <w:r w:rsidRPr="00D4309F">
        <w:rPr>
          <w:spacing w:val="-2"/>
        </w:rPr>
        <w:t xml:space="preserve"> </w:t>
      </w:r>
      <w:r w:rsidRPr="00D4309F">
        <w:t>on</w:t>
      </w:r>
      <w:r w:rsidRPr="00D4309F">
        <w:rPr>
          <w:spacing w:val="-2"/>
        </w:rPr>
        <w:t xml:space="preserve"> </w:t>
      </w:r>
      <w:r w:rsidRPr="00D4309F">
        <w:t>2</w:t>
      </w:r>
      <w:r w:rsidRPr="00D4309F">
        <w:rPr>
          <w:spacing w:val="-2"/>
        </w:rPr>
        <w:t xml:space="preserve"> </w:t>
      </w:r>
      <w:r w:rsidRPr="00D4309F">
        <w:t>October</w:t>
      </w:r>
      <w:r w:rsidRPr="00D4309F">
        <w:rPr>
          <w:spacing w:val="-3"/>
        </w:rPr>
        <w:t xml:space="preserve"> </w:t>
      </w:r>
      <w:r w:rsidRPr="00D4309F">
        <w:t>2025,</w:t>
      </w:r>
      <w:r w:rsidRPr="00D4309F">
        <w:rPr>
          <w:spacing w:val="-2"/>
        </w:rPr>
        <w:t xml:space="preserve"> </w:t>
      </w:r>
      <w:r w:rsidRPr="00D4309F">
        <w:t>the</w:t>
      </w:r>
      <w:r w:rsidRPr="00D4309F">
        <w:rPr>
          <w:spacing w:val="-2"/>
        </w:rPr>
        <w:t xml:space="preserve"> </w:t>
      </w:r>
      <w:r w:rsidRPr="00D4309F">
        <w:t>following</w:t>
      </w:r>
      <w:r w:rsidRPr="00D4309F">
        <w:rPr>
          <w:spacing w:val="-2"/>
        </w:rPr>
        <w:t xml:space="preserve"> </w:t>
      </w:r>
      <w:r w:rsidRPr="00D4309F">
        <w:t>feedback</w:t>
      </w:r>
      <w:r w:rsidRPr="00D4309F">
        <w:rPr>
          <w:spacing w:val="-2"/>
        </w:rPr>
        <w:t xml:space="preserve"> </w:t>
      </w:r>
      <w:r w:rsidRPr="00D4309F">
        <w:t>was</w:t>
      </w:r>
      <w:r w:rsidRPr="00D4309F">
        <w:rPr>
          <w:spacing w:val="-1"/>
        </w:rPr>
        <w:t xml:space="preserve"> </w:t>
      </w:r>
      <w:r w:rsidRPr="00D4309F">
        <w:t>provided</w:t>
      </w:r>
      <w:r w:rsidRPr="00D4309F">
        <w:rPr>
          <w:spacing w:val="-2"/>
        </w:rPr>
        <w:t xml:space="preserve"> </w:t>
      </w:r>
      <w:r w:rsidRPr="00D4309F">
        <w:t>by</w:t>
      </w:r>
      <w:r w:rsidRPr="00D4309F">
        <w:rPr>
          <w:spacing w:val="-3"/>
        </w:rPr>
        <w:t xml:space="preserve"> </w:t>
      </w:r>
      <w:r w:rsidRPr="00D4309F">
        <w:t>and discussed with the SRG:</w:t>
      </w:r>
    </w:p>
    <w:p w14:paraId="47574AE7" w14:textId="77777777" w:rsidR="00725977" w:rsidRPr="00D4309F" w:rsidRDefault="00725977" w:rsidP="000E1A66">
      <w:pPr>
        <w:pStyle w:val="ListBullet"/>
      </w:pPr>
      <w:r w:rsidRPr="00D4309F">
        <w:t>Dredging</w:t>
      </w:r>
      <w:r w:rsidRPr="00D4309F">
        <w:rPr>
          <w:spacing w:val="-2"/>
        </w:rPr>
        <w:t xml:space="preserve"> </w:t>
      </w:r>
      <w:r w:rsidRPr="00D4309F">
        <w:t>has</w:t>
      </w:r>
      <w:r w:rsidRPr="00D4309F">
        <w:rPr>
          <w:spacing w:val="-2"/>
        </w:rPr>
        <w:t xml:space="preserve"> </w:t>
      </w:r>
      <w:r w:rsidRPr="00D4309F">
        <w:t>not</w:t>
      </w:r>
      <w:r w:rsidRPr="00D4309F">
        <w:rPr>
          <w:spacing w:val="-2"/>
        </w:rPr>
        <w:t xml:space="preserve"> </w:t>
      </w:r>
      <w:r w:rsidRPr="00D4309F">
        <w:t>been</w:t>
      </w:r>
      <w:r w:rsidRPr="00D4309F">
        <w:rPr>
          <w:spacing w:val="-2"/>
        </w:rPr>
        <w:t xml:space="preserve"> </w:t>
      </w:r>
      <w:r w:rsidRPr="00D4309F">
        <w:t>continuous;</w:t>
      </w:r>
      <w:r w:rsidRPr="00D4309F">
        <w:rPr>
          <w:spacing w:val="-2"/>
        </w:rPr>
        <w:t xml:space="preserve"> </w:t>
      </w:r>
      <w:r w:rsidRPr="00D4309F">
        <w:t>the</w:t>
      </w:r>
      <w:r w:rsidRPr="00D4309F">
        <w:rPr>
          <w:spacing w:val="-2"/>
        </w:rPr>
        <w:t xml:space="preserve"> </w:t>
      </w:r>
      <w:r w:rsidRPr="00D4309F">
        <w:t>SRG</w:t>
      </w:r>
      <w:r w:rsidRPr="00D4309F">
        <w:rPr>
          <w:spacing w:val="-2"/>
        </w:rPr>
        <w:t xml:space="preserve"> </w:t>
      </w:r>
      <w:r w:rsidRPr="00D4309F">
        <w:t>expects</w:t>
      </w:r>
      <w:r w:rsidRPr="00D4309F">
        <w:rPr>
          <w:spacing w:val="-2"/>
        </w:rPr>
        <w:t xml:space="preserve"> </w:t>
      </w:r>
      <w:r w:rsidRPr="00D4309F">
        <w:t>it</w:t>
      </w:r>
      <w:r w:rsidRPr="00D4309F">
        <w:rPr>
          <w:spacing w:val="-4"/>
        </w:rPr>
        <w:t xml:space="preserve"> </w:t>
      </w:r>
      <w:r w:rsidRPr="00D4309F">
        <w:t>to</w:t>
      </w:r>
      <w:r w:rsidRPr="00D4309F">
        <w:rPr>
          <w:spacing w:val="-2"/>
        </w:rPr>
        <w:t xml:space="preserve"> </w:t>
      </w:r>
      <w:r w:rsidRPr="00D4309F">
        <w:t>be</w:t>
      </w:r>
      <w:r w:rsidRPr="00D4309F">
        <w:rPr>
          <w:spacing w:val="-2"/>
        </w:rPr>
        <w:t xml:space="preserve"> </w:t>
      </w:r>
      <w:r w:rsidRPr="00D4309F">
        <w:t>carried</w:t>
      </w:r>
      <w:r w:rsidRPr="00D4309F">
        <w:rPr>
          <w:spacing w:val="-3"/>
        </w:rPr>
        <w:t xml:space="preserve"> </w:t>
      </w:r>
      <w:r w:rsidRPr="00D4309F">
        <w:t>out</w:t>
      </w:r>
      <w:r w:rsidRPr="00D4309F">
        <w:rPr>
          <w:spacing w:val="-2"/>
        </w:rPr>
        <w:t xml:space="preserve"> </w:t>
      </w:r>
      <w:r w:rsidRPr="00D4309F">
        <w:t>more</w:t>
      </w:r>
      <w:r w:rsidRPr="00D4309F">
        <w:rPr>
          <w:spacing w:val="-3"/>
        </w:rPr>
        <w:t xml:space="preserve"> </w:t>
      </w:r>
      <w:r w:rsidRPr="00D4309F">
        <w:t>responsively</w:t>
      </w:r>
      <w:r w:rsidRPr="00D4309F">
        <w:rPr>
          <w:spacing w:val="-2"/>
        </w:rPr>
        <w:t xml:space="preserve"> </w:t>
      </w:r>
      <w:r w:rsidRPr="00D4309F">
        <w:t xml:space="preserve">and </w:t>
      </w:r>
      <w:r w:rsidRPr="00D4309F">
        <w:rPr>
          <w:spacing w:val="-2"/>
        </w:rPr>
        <w:t>continuously.</w:t>
      </w:r>
    </w:p>
    <w:p w14:paraId="7AE1696A" w14:textId="77777777" w:rsidR="00725977" w:rsidRPr="00D4309F" w:rsidRDefault="00725977" w:rsidP="000E1A66">
      <w:pPr>
        <w:pStyle w:val="ListBullet"/>
      </w:pPr>
      <w:r w:rsidRPr="00D4309F">
        <w:t>Clearing</w:t>
      </w:r>
      <w:r w:rsidRPr="00D4309F">
        <w:rPr>
          <w:spacing w:val="-7"/>
        </w:rPr>
        <w:t xml:space="preserve"> </w:t>
      </w:r>
      <w:r w:rsidRPr="00D4309F">
        <w:t>shoals</w:t>
      </w:r>
      <w:r w:rsidRPr="00D4309F">
        <w:rPr>
          <w:spacing w:val="-3"/>
        </w:rPr>
        <w:t xml:space="preserve"> </w:t>
      </w:r>
      <w:r w:rsidRPr="00D4309F">
        <w:t>is</w:t>
      </w:r>
      <w:r w:rsidRPr="00D4309F">
        <w:rPr>
          <w:spacing w:val="-2"/>
        </w:rPr>
        <w:t xml:space="preserve"> </w:t>
      </w:r>
      <w:r w:rsidRPr="00D4309F">
        <w:t>essential</w:t>
      </w:r>
      <w:r w:rsidRPr="00D4309F">
        <w:rPr>
          <w:spacing w:val="-4"/>
        </w:rPr>
        <w:t xml:space="preserve"> </w:t>
      </w:r>
      <w:r w:rsidRPr="00D4309F">
        <w:t>for</w:t>
      </w:r>
      <w:r w:rsidRPr="00D4309F">
        <w:rPr>
          <w:spacing w:val="-3"/>
        </w:rPr>
        <w:t xml:space="preserve"> </w:t>
      </w:r>
      <w:r w:rsidRPr="00D4309F">
        <w:t>navigation</w:t>
      </w:r>
      <w:r w:rsidRPr="00D4309F">
        <w:rPr>
          <w:spacing w:val="-3"/>
        </w:rPr>
        <w:t xml:space="preserve"> </w:t>
      </w:r>
      <w:r w:rsidRPr="00D4309F">
        <w:t>safety</w:t>
      </w:r>
      <w:r w:rsidRPr="00D4309F">
        <w:rPr>
          <w:spacing w:val="-3"/>
        </w:rPr>
        <w:t xml:space="preserve"> </w:t>
      </w:r>
      <w:r w:rsidRPr="00D4309F">
        <w:t>and</w:t>
      </w:r>
      <w:r w:rsidRPr="00D4309F">
        <w:rPr>
          <w:spacing w:val="-4"/>
        </w:rPr>
        <w:t xml:space="preserve"> </w:t>
      </w:r>
      <w:r w:rsidRPr="00D4309F">
        <w:t>beach</w:t>
      </w:r>
      <w:r w:rsidRPr="00D4309F">
        <w:rPr>
          <w:spacing w:val="-4"/>
        </w:rPr>
        <w:t xml:space="preserve"> </w:t>
      </w:r>
      <w:r w:rsidRPr="00D4309F">
        <w:t>sand</w:t>
      </w:r>
      <w:r w:rsidRPr="00D4309F">
        <w:rPr>
          <w:spacing w:val="-4"/>
        </w:rPr>
        <w:t xml:space="preserve"> </w:t>
      </w:r>
      <w:r w:rsidRPr="00D4309F">
        <w:rPr>
          <w:spacing w:val="-2"/>
        </w:rPr>
        <w:t>nourishment.</w:t>
      </w:r>
    </w:p>
    <w:p w14:paraId="0A55C061" w14:textId="77777777" w:rsidR="00745065" w:rsidRPr="00D4309F" w:rsidRDefault="00745065" w:rsidP="00745065">
      <w:pPr>
        <w:pStyle w:val="ListBullet"/>
      </w:pPr>
      <w:r w:rsidRPr="00D4309F">
        <w:t>The</w:t>
      </w:r>
      <w:r w:rsidRPr="00D4309F">
        <w:rPr>
          <w:spacing w:val="-3"/>
        </w:rPr>
        <w:t xml:space="preserve"> </w:t>
      </w:r>
      <w:r w:rsidRPr="00D4309F">
        <w:t>Western</w:t>
      </w:r>
      <w:r w:rsidRPr="00D4309F">
        <w:rPr>
          <w:spacing w:val="-4"/>
        </w:rPr>
        <w:t xml:space="preserve"> </w:t>
      </w:r>
      <w:r w:rsidRPr="00D4309F">
        <w:t>Channel</w:t>
      </w:r>
      <w:r w:rsidRPr="00D4309F">
        <w:rPr>
          <w:spacing w:val="-3"/>
        </w:rPr>
        <w:t xml:space="preserve"> </w:t>
      </w:r>
      <w:r w:rsidRPr="00D4309F">
        <w:t>Trial</w:t>
      </w:r>
      <w:r w:rsidRPr="00D4309F">
        <w:rPr>
          <w:spacing w:val="-4"/>
        </w:rPr>
        <w:t xml:space="preserve"> </w:t>
      </w:r>
      <w:r w:rsidRPr="00D4309F">
        <w:t>has</w:t>
      </w:r>
      <w:r w:rsidRPr="00D4309F">
        <w:rPr>
          <w:spacing w:val="-3"/>
        </w:rPr>
        <w:t xml:space="preserve"> </w:t>
      </w:r>
      <w:r w:rsidRPr="00D4309F">
        <w:t>maintained</w:t>
      </w:r>
      <w:r w:rsidRPr="00D4309F">
        <w:rPr>
          <w:spacing w:val="-3"/>
        </w:rPr>
        <w:t xml:space="preserve"> </w:t>
      </w:r>
      <w:r w:rsidRPr="00D4309F">
        <w:t>access;</w:t>
      </w:r>
      <w:r w:rsidRPr="00D4309F">
        <w:rPr>
          <w:spacing w:val="-3"/>
        </w:rPr>
        <w:t xml:space="preserve"> </w:t>
      </w:r>
      <w:r w:rsidRPr="00D4309F">
        <w:t>however,</w:t>
      </w:r>
      <w:r w:rsidRPr="00D4309F">
        <w:rPr>
          <w:spacing w:val="-3"/>
        </w:rPr>
        <w:t xml:space="preserve"> </w:t>
      </w:r>
      <w:r w:rsidRPr="00D4309F">
        <w:t>the</w:t>
      </w:r>
      <w:r w:rsidRPr="00D4309F">
        <w:rPr>
          <w:spacing w:val="-3"/>
        </w:rPr>
        <w:t xml:space="preserve"> </w:t>
      </w:r>
      <w:r w:rsidRPr="00D4309F">
        <w:t>SRG</w:t>
      </w:r>
      <w:r w:rsidRPr="00D4309F">
        <w:rPr>
          <w:spacing w:val="-3"/>
        </w:rPr>
        <w:t xml:space="preserve"> </w:t>
      </w:r>
      <w:r w:rsidRPr="00D4309F">
        <w:t>questions</w:t>
      </w:r>
      <w:r w:rsidRPr="00D4309F">
        <w:rPr>
          <w:spacing w:val="-3"/>
        </w:rPr>
        <w:t xml:space="preserve"> </w:t>
      </w:r>
      <w:r w:rsidRPr="00D4309F">
        <w:t>the</w:t>
      </w:r>
      <w:r w:rsidRPr="00D4309F">
        <w:rPr>
          <w:spacing w:val="-3"/>
        </w:rPr>
        <w:t xml:space="preserve"> </w:t>
      </w:r>
      <w:r w:rsidRPr="00D4309F">
        <w:t>safety</w:t>
      </w:r>
      <w:r w:rsidRPr="00D4309F">
        <w:rPr>
          <w:spacing w:val="-2"/>
        </w:rPr>
        <w:t xml:space="preserve"> </w:t>
      </w:r>
      <w:r w:rsidRPr="00D4309F">
        <w:t>of</w:t>
      </w:r>
      <w:r w:rsidRPr="00D4309F">
        <w:rPr>
          <w:spacing w:val="-3"/>
        </w:rPr>
        <w:t xml:space="preserve"> </w:t>
      </w:r>
      <w:r w:rsidRPr="00D4309F">
        <w:t>that access, and there has not been a significant event to fully test it.</w:t>
      </w:r>
    </w:p>
    <w:p w14:paraId="16C1F42D" w14:textId="77777777" w:rsidR="00745065" w:rsidRPr="00D4309F" w:rsidRDefault="00745065" w:rsidP="00745065">
      <w:pPr>
        <w:pStyle w:val="ListBullet"/>
      </w:pPr>
      <w:r w:rsidRPr="00D4309F">
        <w:t>Options</w:t>
      </w:r>
      <w:r w:rsidRPr="00D4309F">
        <w:rPr>
          <w:spacing w:val="-5"/>
        </w:rPr>
        <w:t xml:space="preserve"> </w:t>
      </w:r>
      <w:r w:rsidRPr="00D4309F">
        <w:t>need</w:t>
      </w:r>
      <w:r w:rsidRPr="00D4309F">
        <w:rPr>
          <w:spacing w:val="-4"/>
        </w:rPr>
        <w:t xml:space="preserve"> </w:t>
      </w:r>
      <w:r w:rsidRPr="00D4309F">
        <w:t>to</w:t>
      </w:r>
      <w:r w:rsidRPr="00D4309F">
        <w:rPr>
          <w:spacing w:val="-3"/>
        </w:rPr>
        <w:t xml:space="preserve"> </w:t>
      </w:r>
      <w:r w:rsidRPr="00D4309F">
        <w:t>consider</w:t>
      </w:r>
      <w:r w:rsidRPr="00D4309F">
        <w:rPr>
          <w:spacing w:val="-2"/>
        </w:rPr>
        <w:t xml:space="preserve"> </w:t>
      </w:r>
      <w:r w:rsidRPr="00D4309F">
        <w:t>natural</w:t>
      </w:r>
      <w:r w:rsidRPr="00D4309F">
        <w:rPr>
          <w:spacing w:val="-3"/>
        </w:rPr>
        <w:t xml:space="preserve"> </w:t>
      </w:r>
      <w:r w:rsidRPr="00D4309F">
        <w:t>sand</w:t>
      </w:r>
      <w:r w:rsidRPr="00D4309F">
        <w:rPr>
          <w:spacing w:val="-3"/>
        </w:rPr>
        <w:t xml:space="preserve"> </w:t>
      </w:r>
      <w:r w:rsidRPr="00D4309F">
        <w:t>transport</w:t>
      </w:r>
      <w:r w:rsidRPr="00D4309F">
        <w:rPr>
          <w:spacing w:val="-3"/>
        </w:rPr>
        <w:t xml:space="preserve"> </w:t>
      </w:r>
      <w:r w:rsidRPr="00D4309F">
        <w:t>to</w:t>
      </w:r>
      <w:r w:rsidRPr="00D4309F">
        <w:rPr>
          <w:spacing w:val="-3"/>
        </w:rPr>
        <w:t xml:space="preserve"> </w:t>
      </w:r>
      <w:r w:rsidRPr="00D4309F">
        <w:t>the</w:t>
      </w:r>
      <w:r w:rsidRPr="00D4309F">
        <w:rPr>
          <w:spacing w:val="-4"/>
        </w:rPr>
        <w:t xml:space="preserve"> </w:t>
      </w:r>
      <w:r w:rsidRPr="00D4309F">
        <w:t>northern</w:t>
      </w:r>
      <w:r w:rsidRPr="00D4309F">
        <w:rPr>
          <w:spacing w:val="-3"/>
        </w:rPr>
        <w:t xml:space="preserve"> </w:t>
      </w:r>
      <w:r w:rsidRPr="00D4309F">
        <w:rPr>
          <w:spacing w:val="-2"/>
        </w:rPr>
        <w:t>beaches.</w:t>
      </w:r>
    </w:p>
    <w:p w14:paraId="29C118E6" w14:textId="77777777" w:rsidR="00745065" w:rsidRPr="00D4309F" w:rsidRDefault="00745065" w:rsidP="00745065">
      <w:pPr>
        <w:pStyle w:val="ListBullet"/>
      </w:pPr>
      <w:r w:rsidRPr="00D4309F">
        <w:t>Monitoring</w:t>
      </w:r>
      <w:r w:rsidRPr="00D4309F">
        <w:rPr>
          <w:spacing w:val="-7"/>
        </w:rPr>
        <w:t xml:space="preserve"> </w:t>
      </w:r>
      <w:r w:rsidRPr="00D4309F">
        <w:t>improvements</w:t>
      </w:r>
      <w:r w:rsidRPr="00D4309F">
        <w:rPr>
          <w:spacing w:val="-5"/>
        </w:rPr>
        <w:t xml:space="preserve"> </w:t>
      </w:r>
      <w:r w:rsidRPr="00D4309F">
        <w:t>and</w:t>
      </w:r>
      <w:r w:rsidRPr="00D4309F">
        <w:rPr>
          <w:spacing w:val="-5"/>
        </w:rPr>
        <w:t xml:space="preserve"> </w:t>
      </w:r>
      <w:r w:rsidRPr="00D4309F">
        <w:t>virtual</w:t>
      </w:r>
      <w:r w:rsidRPr="00D4309F">
        <w:rPr>
          <w:spacing w:val="-4"/>
        </w:rPr>
        <w:t xml:space="preserve"> </w:t>
      </w:r>
      <w:r w:rsidRPr="00D4309F">
        <w:t>buoy</w:t>
      </w:r>
      <w:r w:rsidRPr="00D4309F">
        <w:rPr>
          <w:spacing w:val="-5"/>
        </w:rPr>
        <w:t xml:space="preserve"> </w:t>
      </w:r>
      <w:r w:rsidRPr="00D4309F">
        <w:t>updates</w:t>
      </w:r>
      <w:r w:rsidRPr="00D4309F">
        <w:rPr>
          <w:spacing w:val="-4"/>
        </w:rPr>
        <w:t xml:space="preserve"> </w:t>
      </w:r>
      <w:r w:rsidRPr="00D4309F">
        <w:t>have</w:t>
      </w:r>
      <w:r w:rsidRPr="00D4309F">
        <w:rPr>
          <w:spacing w:val="-5"/>
        </w:rPr>
        <w:t xml:space="preserve"> </w:t>
      </w:r>
      <w:r w:rsidRPr="00D4309F">
        <w:t>been</w:t>
      </w:r>
      <w:r w:rsidRPr="00D4309F">
        <w:rPr>
          <w:spacing w:val="-5"/>
        </w:rPr>
        <w:t xml:space="preserve"> </w:t>
      </w:r>
      <w:r w:rsidRPr="00D4309F">
        <w:t>requested</w:t>
      </w:r>
      <w:r w:rsidRPr="00D4309F">
        <w:rPr>
          <w:spacing w:val="-5"/>
        </w:rPr>
        <w:t xml:space="preserve"> </w:t>
      </w:r>
      <w:r w:rsidRPr="00D4309F">
        <w:t>to</w:t>
      </w:r>
      <w:r w:rsidRPr="00D4309F">
        <w:rPr>
          <w:spacing w:val="-5"/>
        </w:rPr>
        <w:t xml:space="preserve"> </w:t>
      </w:r>
      <w:r w:rsidRPr="00D4309F">
        <w:t>enhance</w:t>
      </w:r>
      <w:r w:rsidRPr="00D4309F">
        <w:rPr>
          <w:spacing w:val="-5"/>
        </w:rPr>
        <w:t xml:space="preserve"> </w:t>
      </w:r>
      <w:r w:rsidRPr="00D4309F">
        <w:t>navigation</w:t>
      </w:r>
      <w:r w:rsidRPr="00D4309F">
        <w:rPr>
          <w:spacing w:val="-4"/>
        </w:rPr>
        <w:t xml:space="preserve"> </w:t>
      </w:r>
      <w:r w:rsidRPr="00D4309F">
        <w:rPr>
          <w:spacing w:val="-2"/>
        </w:rPr>
        <w:t>safety.</w:t>
      </w:r>
    </w:p>
    <w:p w14:paraId="6FE4EC05" w14:textId="77777777" w:rsidR="00745065" w:rsidRPr="00D4309F" w:rsidRDefault="00745065" w:rsidP="00745065">
      <w:pPr>
        <w:pStyle w:val="ListBullet"/>
      </w:pPr>
      <w:r w:rsidRPr="00D4309F">
        <w:t>Consideration</w:t>
      </w:r>
      <w:r w:rsidRPr="00D4309F">
        <w:rPr>
          <w:spacing w:val="-6"/>
        </w:rPr>
        <w:t xml:space="preserve"> </w:t>
      </w:r>
      <w:r w:rsidRPr="00D4309F">
        <w:t>is</w:t>
      </w:r>
      <w:r w:rsidRPr="00D4309F">
        <w:rPr>
          <w:spacing w:val="-3"/>
        </w:rPr>
        <w:t xml:space="preserve"> </w:t>
      </w:r>
      <w:r w:rsidRPr="00D4309F">
        <w:t>needed</w:t>
      </w:r>
      <w:r w:rsidRPr="00D4309F">
        <w:rPr>
          <w:spacing w:val="-3"/>
        </w:rPr>
        <w:t xml:space="preserve"> </w:t>
      </w:r>
      <w:r w:rsidRPr="00D4309F">
        <w:t>for</w:t>
      </w:r>
      <w:r w:rsidRPr="00D4309F">
        <w:rPr>
          <w:spacing w:val="-3"/>
        </w:rPr>
        <w:t xml:space="preserve"> </w:t>
      </w:r>
      <w:r w:rsidRPr="00D4309F">
        <w:t>where</w:t>
      </w:r>
      <w:r w:rsidRPr="00D4309F">
        <w:rPr>
          <w:spacing w:val="-3"/>
        </w:rPr>
        <w:t xml:space="preserve"> </w:t>
      </w:r>
      <w:r w:rsidRPr="00D4309F">
        <w:t>dredged</w:t>
      </w:r>
      <w:r w:rsidRPr="00D4309F">
        <w:rPr>
          <w:spacing w:val="-5"/>
        </w:rPr>
        <w:t xml:space="preserve"> </w:t>
      </w:r>
      <w:r w:rsidRPr="00D4309F">
        <w:t>sand</w:t>
      </w:r>
      <w:r w:rsidRPr="00D4309F">
        <w:rPr>
          <w:spacing w:val="-3"/>
        </w:rPr>
        <w:t xml:space="preserve"> </w:t>
      </w:r>
      <w:r w:rsidRPr="00D4309F">
        <w:t>is</w:t>
      </w:r>
      <w:r w:rsidRPr="00D4309F">
        <w:rPr>
          <w:spacing w:val="-4"/>
        </w:rPr>
        <w:t xml:space="preserve"> </w:t>
      </w:r>
      <w:r w:rsidRPr="00D4309F">
        <w:t>deposited</w:t>
      </w:r>
      <w:r w:rsidRPr="00D4309F">
        <w:rPr>
          <w:spacing w:val="-3"/>
        </w:rPr>
        <w:t xml:space="preserve"> </w:t>
      </w:r>
      <w:r w:rsidRPr="00D4309F">
        <w:t>–</w:t>
      </w:r>
      <w:r w:rsidRPr="00D4309F">
        <w:rPr>
          <w:spacing w:val="-5"/>
        </w:rPr>
        <w:t xml:space="preserve"> </w:t>
      </w:r>
      <w:r w:rsidRPr="00D4309F">
        <w:t>MSQ</w:t>
      </w:r>
      <w:r w:rsidRPr="00D4309F">
        <w:rPr>
          <w:spacing w:val="-3"/>
        </w:rPr>
        <w:t xml:space="preserve"> </w:t>
      </w:r>
      <w:r w:rsidRPr="00D4309F">
        <w:t>works</w:t>
      </w:r>
      <w:r w:rsidRPr="00D4309F">
        <w:rPr>
          <w:spacing w:val="-4"/>
        </w:rPr>
        <w:t xml:space="preserve"> </w:t>
      </w:r>
      <w:r w:rsidRPr="00D4309F">
        <w:t>with</w:t>
      </w:r>
      <w:r w:rsidRPr="00D4309F">
        <w:rPr>
          <w:spacing w:val="-3"/>
        </w:rPr>
        <w:t xml:space="preserve"> </w:t>
      </w:r>
      <w:r w:rsidRPr="00D4309F">
        <w:t>Council</w:t>
      </w:r>
      <w:r w:rsidRPr="00D4309F">
        <w:rPr>
          <w:spacing w:val="-4"/>
        </w:rPr>
        <w:t xml:space="preserve"> </w:t>
      </w:r>
      <w:r w:rsidRPr="00D4309F">
        <w:t>on</w:t>
      </w:r>
      <w:r w:rsidRPr="00D4309F">
        <w:rPr>
          <w:spacing w:val="-3"/>
        </w:rPr>
        <w:t xml:space="preserve"> </w:t>
      </w:r>
      <w:r w:rsidRPr="00D4309F">
        <w:rPr>
          <w:spacing w:val="-2"/>
        </w:rPr>
        <w:t>this.</w:t>
      </w:r>
    </w:p>
    <w:p w14:paraId="3C3F6C0F" w14:textId="77777777" w:rsidR="00745065" w:rsidRPr="00D4309F" w:rsidRDefault="00745065" w:rsidP="00745065">
      <w:pPr>
        <w:pStyle w:val="ListBullet"/>
      </w:pPr>
      <w:r w:rsidRPr="00D4309F">
        <w:t>More</w:t>
      </w:r>
      <w:r w:rsidRPr="00D4309F">
        <w:rPr>
          <w:spacing w:val="-5"/>
        </w:rPr>
        <w:t xml:space="preserve"> </w:t>
      </w:r>
      <w:r w:rsidRPr="00D4309F">
        <w:t>virtual</w:t>
      </w:r>
      <w:r w:rsidRPr="00D4309F">
        <w:rPr>
          <w:spacing w:val="-4"/>
        </w:rPr>
        <w:t xml:space="preserve"> </w:t>
      </w:r>
      <w:r w:rsidRPr="00D4309F">
        <w:t>markers</w:t>
      </w:r>
      <w:r w:rsidRPr="00D4309F">
        <w:rPr>
          <w:spacing w:val="-2"/>
        </w:rPr>
        <w:t xml:space="preserve"> </w:t>
      </w:r>
      <w:r w:rsidRPr="00D4309F">
        <w:t>are</w:t>
      </w:r>
      <w:r w:rsidRPr="00D4309F">
        <w:rPr>
          <w:spacing w:val="-4"/>
        </w:rPr>
        <w:t xml:space="preserve"> </w:t>
      </w:r>
      <w:r w:rsidRPr="00D4309F">
        <w:t>needed</w:t>
      </w:r>
      <w:r w:rsidRPr="00D4309F">
        <w:rPr>
          <w:spacing w:val="-3"/>
        </w:rPr>
        <w:t xml:space="preserve"> </w:t>
      </w:r>
      <w:r w:rsidRPr="00D4309F">
        <w:t>to</w:t>
      </w:r>
      <w:r w:rsidRPr="00D4309F">
        <w:rPr>
          <w:spacing w:val="-3"/>
        </w:rPr>
        <w:t xml:space="preserve"> </w:t>
      </w:r>
      <w:r w:rsidRPr="00D4309F">
        <w:t>guide</w:t>
      </w:r>
      <w:r w:rsidRPr="00D4309F">
        <w:rPr>
          <w:spacing w:val="-3"/>
        </w:rPr>
        <w:t xml:space="preserve"> </w:t>
      </w:r>
      <w:r w:rsidRPr="00D4309F">
        <w:t>channel</w:t>
      </w:r>
      <w:r w:rsidRPr="00D4309F">
        <w:rPr>
          <w:spacing w:val="-3"/>
        </w:rPr>
        <w:t xml:space="preserve"> </w:t>
      </w:r>
      <w:r w:rsidRPr="00D4309F">
        <w:rPr>
          <w:spacing w:val="-2"/>
        </w:rPr>
        <w:t>access.</w:t>
      </w:r>
    </w:p>
    <w:p w14:paraId="6821592F" w14:textId="77777777" w:rsidR="00745065" w:rsidRPr="00D4309F" w:rsidRDefault="00745065" w:rsidP="00745065">
      <w:pPr>
        <w:pStyle w:val="ListBullet"/>
      </w:pPr>
      <w:r w:rsidRPr="00D4309F">
        <w:t>Positive</w:t>
      </w:r>
      <w:r w:rsidRPr="00D4309F">
        <w:rPr>
          <w:spacing w:val="-6"/>
        </w:rPr>
        <w:t xml:space="preserve"> </w:t>
      </w:r>
      <w:r w:rsidRPr="00D4309F">
        <w:t>feedback</w:t>
      </w:r>
      <w:r w:rsidRPr="00D4309F">
        <w:rPr>
          <w:spacing w:val="-3"/>
        </w:rPr>
        <w:t xml:space="preserve"> </w:t>
      </w:r>
      <w:r w:rsidRPr="00D4309F">
        <w:t>was</w:t>
      </w:r>
      <w:r w:rsidRPr="00D4309F">
        <w:rPr>
          <w:spacing w:val="-3"/>
        </w:rPr>
        <w:t xml:space="preserve"> </w:t>
      </w:r>
      <w:r w:rsidRPr="00D4309F">
        <w:t>given</w:t>
      </w:r>
      <w:r w:rsidRPr="00D4309F">
        <w:rPr>
          <w:spacing w:val="-3"/>
        </w:rPr>
        <w:t xml:space="preserve"> </w:t>
      </w:r>
      <w:r w:rsidRPr="00D4309F">
        <w:t>on</w:t>
      </w:r>
      <w:r w:rsidRPr="00D4309F">
        <w:rPr>
          <w:spacing w:val="-4"/>
        </w:rPr>
        <w:t xml:space="preserve"> </w:t>
      </w:r>
      <w:r w:rsidRPr="00D4309F">
        <w:t>the</w:t>
      </w:r>
      <w:r w:rsidRPr="00D4309F">
        <w:rPr>
          <w:spacing w:val="-4"/>
        </w:rPr>
        <w:t xml:space="preserve"> </w:t>
      </w:r>
      <w:r w:rsidRPr="00D4309F">
        <w:t>drone</w:t>
      </w:r>
      <w:r w:rsidRPr="00D4309F">
        <w:rPr>
          <w:spacing w:val="-4"/>
        </w:rPr>
        <w:t xml:space="preserve"> </w:t>
      </w:r>
      <w:r w:rsidRPr="00D4309F">
        <w:t>pilot,</w:t>
      </w:r>
      <w:r w:rsidRPr="00D4309F">
        <w:rPr>
          <w:spacing w:val="-3"/>
        </w:rPr>
        <w:t xml:space="preserve"> </w:t>
      </w:r>
      <w:r w:rsidRPr="00D4309F">
        <w:t>with</w:t>
      </w:r>
      <w:r w:rsidRPr="00D4309F">
        <w:rPr>
          <w:spacing w:val="-4"/>
        </w:rPr>
        <w:t xml:space="preserve"> </w:t>
      </w:r>
      <w:r w:rsidRPr="00D4309F">
        <w:t>interest</w:t>
      </w:r>
      <w:r w:rsidRPr="00D4309F">
        <w:rPr>
          <w:spacing w:val="-4"/>
        </w:rPr>
        <w:t xml:space="preserve"> </w:t>
      </w:r>
      <w:r w:rsidRPr="00D4309F">
        <w:t>in</w:t>
      </w:r>
      <w:r w:rsidRPr="00D4309F">
        <w:rPr>
          <w:spacing w:val="-3"/>
        </w:rPr>
        <w:t xml:space="preserve"> </w:t>
      </w:r>
      <w:r w:rsidRPr="00D4309F">
        <w:t>outcomes</w:t>
      </w:r>
      <w:r w:rsidRPr="00D4309F">
        <w:rPr>
          <w:spacing w:val="-3"/>
        </w:rPr>
        <w:t xml:space="preserve"> </w:t>
      </w:r>
      <w:r w:rsidRPr="00D4309F">
        <w:t>and</w:t>
      </w:r>
      <w:r w:rsidRPr="00D4309F">
        <w:rPr>
          <w:spacing w:val="-4"/>
        </w:rPr>
        <w:t xml:space="preserve"> </w:t>
      </w:r>
      <w:r w:rsidRPr="00D4309F">
        <w:t>sharing</w:t>
      </w:r>
      <w:r w:rsidRPr="00D4309F">
        <w:rPr>
          <w:spacing w:val="-3"/>
        </w:rPr>
        <w:t xml:space="preserve"> </w:t>
      </w:r>
      <w:r w:rsidRPr="00D4309F">
        <w:rPr>
          <w:spacing w:val="-2"/>
        </w:rPr>
        <w:t>information.</w:t>
      </w:r>
    </w:p>
    <w:p w14:paraId="626742D4" w14:textId="77777777" w:rsidR="00745065" w:rsidRPr="00D4309F" w:rsidRDefault="00745065" w:rsidP="00745065">
      <w:pPr>
        <w:pStyle w:val="ListBullet"/>
      </w:pPr>
      <w:r w:rsidRPr="00D4309F">
        <w:t>Stakeholders,</w:t>
      </w:r>
      <w:r w:rsidRPr="00D4309F">
        <w:rPr>
          <w:spacing w:val="-5"/>
        </w:rPr>
        <w:t xml:space="preserve"> </w:t>
      </w:r>
      <w:r w:rsidRPr="00D4309F">
        <w:t>including</w:t>
      </w:r>
      <w:r w:rsidRPr="00D4309F">
        <w:rPr>
          <w:spacing w:val="-3"/>
        </w:rPr>
        <w:t xml:space="preserve"> </w:t>
      </w:r>
      <w:r w:rsidRPr="00D4309F">
        <w:t>Council,</w:t>
      </w:r>
      <w:r w:rsidRPr="00D4309F">
        <w:rPr>
          <w:spacing w:val="-3"/>
        </w:rPr>
        <w:t xml:space="preserve"> </w:t>
      </w:r>
      <w:r w:rsidRPr="00D4309F">
        <w:t>MSQ,</w:t>
      </w:r>
      <w:r w:rsidRPr="00D4309F">
        <w:rPr>
          <w:spacing w:val="-3"/>
        </w:rPr>
        <w:t xml:space="preserve"> </w:t>
      </w:r>
      <w:r w:rsidRPr="00D4309F">
        <w:t>Coast</w:t>
      </w:r>
      <w:r w:rsidRPr="00D4309F">
        <w:rPr>
          <w:spacing w:val="-3"/>
        </w:rPr>
        <w:t xml:space="preserve"> </w:t>
      </w:r>
      <w:r w:rsidRPr="00D4309F">
        <w:t>Guard,</w:t>
      </w:r>
      <w:r w:rsidRPr="00D4309F">
        <w:rPr>
          <w:spacing w:val="-5"/>
        </w:rPr>
        <w:t xml:space="preserve"> </w:t>
      </w:r>
      <w:r w:rsidRPr="00D4309F">
        <w:t>and</w:t>
      </w:r>
      <w:r w:rsidRPr="00D4309F">
        <w:rPr>
          <w:spacing w:val="-3"/>
        </w:rPr>
        <w:t xml:space="preserve"> </w:t>
      </w:r>
      <w:r w:rsidRPr="00D4309F">
        <w:t>local</w:t>
      </w:r>
      <w:r w:rsidRPr="00D4309F">
        <w:rPr>
          <w:spacing w:val="-3"/>
        </w:rPr>
        <w:t xml:space="preserve"> </w:t>
      </w:r>
      <w:r w:rsidRPr="00D4309F">
        <w:t>operators,</w:t>
      </w:r>
      <w:r w:rsidRPr="00D4309F">
        <w:rPr>
          <w:spacing w:val="-3"/>
        </w:rPr>
        <w:t xml:space="preserve"> </w:t>
      </w:r>
      <w:r w:rsidRPr="00D4309F">
        <w:t>should</w:t>
      </w:r>
      <w:r w:rsidRPr="00D4309F">
        <w:rPr>
          <w:spacing w:val="-3"/>
        </w:rPr>
        <w:t xml:space="preserve"> </w:t>
      </w:r>
      <w:r w:rsidRPr="00D4309F">
        <w:t>collaborate</w:t>
      </w:r>
      <w:r w:rsidRPr="00D4309F">
        <w:rPr>
          <w:spacing w:val="-3"/>
        </w:rPr>
        <w:t xml:space="preserve"> </w:t>
      </w:r>
      <w:r w:rsidRPr="00D4309F">
        <w:t>on management and data sharing.</w:t>
      </w:r>
    </w:p>
    <w:p w14:paraId="2E7BA84B" w14:textId="77777777" w:rsidR="00745065" w:rsidRPr="00D4309F" w:rsidRDefault="00745065" w:rsidP="00745065">
      <w:pPr>
        <w:pStyle w:val="ListBullet"/>
      </w:pPr>
      <w:r w:rsidRPr="00D4309F">
        <w:t>Waterways</w:t>
      </w:r>
      <w:r w:rsidRPr="00D4309F">
        <w:rPr>
          <w:spacing w:val="-7"/>
        </w:rPr>
        <w:t xml:space="preserve"> </w:t>
      </w:r>
      <w:r w:rsidRPr="00D4309F">
        <w:t>Authority</w:t>
      </w:r>
      <w:r w:rsidRPr="00D4309F">
        <w:rPr>
          <w:spacing w:val="-4"/>
        </w:rPr>
        <w:t xml:space="preserve"> </w:t>
      </w:r>
      <w:r w:rsidRPr="00D4309F">
        <w:t>establishment</w:t>
      </w:r>
      <w:r w:rsidRPr="00D4309F">
        <w:rPr>
          <w:spacing w:val="-5"/>
        </w:rPr>
        <w:t xml:space="preserve"> </w:t>
      </w:r>
      <w:r w:rsidRPr="00D4309F">
        <w:t>is</w:t>
      </w:r>
      <w:r w:rsidRPr="00D4309F">
        <w:rPr>
          <w:spacing w:val="-5"/>
        </w:rPr>
        <w:t xml:space="preserve"> </w:t>
      </w:r>
      <w:r w:rsidRPr="00D4309F">
        <w:t>underway;</w:t>
      </w:r>
      <w:r w:rsidRPr="00D4309F">
        <w:rPr>
          <w:spacing w:val="-5"/>
        </w:rPr>
        <w:t xml:space="preserve"> </w:t>
      </w:r>
      <w:r w:rsidRPr="00D4309F">
        <w:t>legislation</w:t>
      </w:r>
      <w:r w:rsidRPr="00D4309F">
        <w:rPr>
          <w:spacing w:val="-5"/>
        </w:rPr>
        <w:t xml:space="preserve"> </w:t>
      </w:r>
      <w:r w:rsidRPr="00D4309F">
        <w:t>is</w:t>
      </w:r>
      <w:r w:rsidRPr="00D4309F">
        <w:rPr>
          <w:spacing w:val="-4"/>
        </w:rPr>
        <w:t xml:space="preserve"> </w:t>
      </w:r>
      <w:r w:rsidRPr="00D4309F">
        <w:t>in</w:t>
      </w:r>
      <w:r w:rsidRPr="00D4309F">
        <w:rPr>
          <w:spacing w:val="-5"/>
        </w:rPr>
        <w:t xml:space="preserve"> </w:t>
      </w:r>
      <w:r w:rsidRPr="00D4309F">
        <w:rPr>
          <w:spacing w:val="-2"/>
        </w:rPr>
        <w:t>progress.</w:t>
      </w:r>
    </w:p>
    <w:p w14:paraId="4DED7A94" w14:textId="6837B420" w:rsidR="00F06E88" w:rsidRDefault="00745065" w:rsidP="00F06E88">
      <w:pPr>
        <w:pStyle w:val="ListBullet"/>
      </w:pPr>
      <w:r w:rsidRPr="00D4309F">
        <w:t>Communication</w:t>
      </w:r>
      <w:r w:rsidRPr="00D4309F">
        <w:rPr>
          <w:spacing w:val="-3"/>
        </w:rPr>
        <w:t xml:space="preserve"> </w:t>
      </w:r>
      <w:r w:rsidRPr="00D4309F">
        <w:t>to</w:t>
      </w:r>
      <w:r w:rsidRPr="00D4309F">
        <w:rPr>
          <w:spacing w:val="-3"/>
        </w:rPr>
        <w:t xml:space="preserve"> </w:t>
      </w:r>
      <w:r w:rsidRPr="00D4309F">
        <w:t>mariners</w:t>
      </w:r>
      <w:r w:rsidRPr="00D4309F">
        <w:rPr>
          <w:spacing w:val="-2"/>
        </w:rPr>
        <w:t xml:space="preserve"> </w:t>
      </w:r>
      <w:r w:rsidRPr="00D4309F">
        <w:t>about</w:t>
      </w:r>
      <w:r w:rsidRPr="00D4309F">
        <w:rPr>
          <w:spacing w:val="-3"/>
        </w:rPr>
        <w:t xml:space="preserve"> </w:t>
      </w:r>
      <w:r w:rsidRPr="00D4309F">
        <w:t>bar</w:t>
      </w:r>
      <w:r w:rsidRPr="00D4309F">
        <w:rPr>
          <w:spacing w:val="-2"/>
        </w:rPr>
        <w:t xml:space="preserve"> </w:t>
      </w:r>
      <w:r w:rsidRPr="00D4309F">
        <w:t>safety</w:t>
      </w:r>
      <w:r w:rsidRPr="00D4309F">
        <w:rPr>
          <w:spacing w:val="-2"/>
        </w:rPr>
        <w:t xml:space="preserve"> </w:t>
      </w:r>
      <w:r w:rsidRPr="00D4309F">
        <w:t>(Notice</w:t>
      </w:r>
      <w:r w:rsidRPr="00D4309F">
        <w:rPr>
          <w:spacing w:val="-4"/>
        </w:rPr>
        <w:t xml:space="preserve"> </w:t>
      </w:r>
      <w:r w:rsidRPr="00D4309F">
        <w:t>to</w:t>
      </w:r>
      <w:r w:rsidRPr="00D4309F">
        <w:rPr>
          <w:spacing w:val="-3"/>
        </w:rPr>
        <w:t xml:space="preserve"> </w:t>
      </w:r>
      <w:r w:rsidRPr="00D4309F">
        <w:t>Mariners)</w:t>
      </w:r>
      <w:r w:rsidRPr="00D4309F">
        <w:rPr>
          <w:spacing w:val="-4"/>
        </w:rPr>
        <w:t xml:space="preserve"> </w:t>
      </w:r>
      <w:r w:rsidRPr="00D4309F">
        <w:t>needs</w:t>
      </w:r>
      <w:r w:rsidRPr="00D4309F">
        <w:rPr>
          <w:spacing w:val="-2"/>
        </w:rPr>
        <w:t xml:space="preserve"> </w:t>
      </w:r>
      <w:r w:rsidRPr="00D4309F">
        <w:t>improvement</w:t>
      </w:r>
      <w:r w:rsidRPr="00D4309F">
        <w:rPr>
          <w:spacing w:val="-3"/>
        </w:rPr>
        <w:t xml:space="preserve"> </w:t>
      </w:r>
      <w:r w:rsidRPr="00D4309F">
        <w:t>for</w:t>
      </w:r>
      <w:r w:rsidRPr="00D4309F">
        <w:rPr>
          <w:spacing w:val="-2"/>
        </w:rPr>
        <w:t xml:space="preserve"> </w:t>
      </w:r>
      <w:r w:rsidRPr="00D4309F">
        <w:t>accuracy</w:t>
      </w:r>
      <w:r w:rsidRPr="00D4309F">
        <w:rPr>
          <w:spacing w:val="-2"/>
        </w:rPr>
        <w:t xml:space="preserve"> </w:t>
      </w:r>
      <w:r w:rsidRPr="00D4309F">
        <w:t xml:space="preserve">and </w:t>
      </w:r>
      <w:r w:rsidRPr="00D4309F">
        <w:rPr>
          <w:spacing w:val="-2"/>
        </w:rPr>
        <w:t>timeliness.</w:t>
      </w:r>
    </w:p>
    <w:p w14:paraId="0098AC90" w14:textId="77777777" w:rsidR="00745065" w:rsidRPr="00D4309F" w:rsidRDefault="00745065" w:rsidP="00745065">
      <w:pPr>
        <w:pStyle w:val="Heading2-nonumber"/>
      </w:pPr>
      <w:bookmarkStart w:id="89" w:name="_Toc216699315"/>
      <w:r w:rsidRPr="00D4309F">
        <w:t>Long-term,</w:t>
      </w:r>
      <w:r w:rsidRPr="00D4309F">
        <w:rPr>
          <w:spacing w:val="-8"/>
        </w:rPr>
        <w:t xml:space="preserve"> </w:t>
      </w:r>
      <w:r w:rsidRPr="00D4309F">
        <w:t>proactive</w:t>
      </w:r>
      <w:r w:rsidRPr="00D4309F">
        <w:rPr>
          <w:spacing w:val="-5"/>
        </w:rPr>
        <w:t xml:space="preserve"> </w:t>
      </w:r>
      <w:r w:rsidRPr="00D4309F">
        <w:t>solutions</w:t>
      </w:r>
      <w:r w:rsidRPr="00D4309F">
        <w:rPr>
          <w:spacing w:val="-4"/>
        </w:rPr>
        <w:t xml:space="preserve"> </w:t>
      </w:r>
      <w:r w:rsidRPr="00D4309F">
        <w:t>are</w:t>
      </w:r>
      <w:r w:rsidRPr="00D4309F">
        <w:rPr>
          <w:spacing w:val="-6"/>
        </w:rPr>
        <w:t xml:space="preserve"> </w:t>
      </w:r>
      <w:r w:rsidRPr="00D4309F">
        <w:t>preferred</w:t>
      </w:r>
      <w:r w:rsidRPr="00D4309F">
        <w:rPr>
          <w:spacing w:val="-5"/>
        </w:rPr>
        <w:t xml:space="preserve"> </w:t>
      </w:r>
      <w:r w:rsidRPr="00D4309F">
        <w:t>over</w:t>
      </w:r>
      <w:r w:rsidRPr="00D4309F">
        <w:rPr>
          <w:spacing w:val="-4"/>
        </w:rPr>
        <w:t xml:space="preserve"> </w:t>
      </w:r>
      <w:r w:rsidRPr="00D4309F">
        <w:t>reactive</w:t>
      </w:r>
      <w:r w:rsidRPr="00D4309F">
        <w:rPr>
          <w:spacing w:val="-5"/>
        </w:rPr>
        <w:t xml:space="preserve"> </w:t>
      </w:r>
      <w:r w:rsidRPr="00D4309F">
        <w:rPr>
          <w:spacing w:val="-2"/>
        </w:rPr>
        <w:t>approaches.</w:t>
      </w:r>
      <w:bookmarkEnd w:id="89"/>
    </w:p>
    <w:p w14:paraId="7C20C50F" w14:textId="77777777" w:rsidR="00745065" w:rsidRPr="00D4309F" w:rsidRDefault="00745065" w:rsidP="00745065">
      <w:pPr>
        <w:pStyle w:val="BodyText"/>
      </w:pPr>
      <w:r w:rsidRPr="00D4309F">
        <w:t>In</w:t>
      </w:r>
      <w:r w:rsidRPr="00D4309F">
        <w:rPr>
          <w:spacing w:val="-3"/>
        </w:rPr>
        <w:t xml:space="preserve"> </w:t>
      </w:r>
      <w:r w:rsidRPr="00D4309F">
        <w:t>developing</w:t>
      </w:r>
      <w:r w:rsidRPr="00D4309F">
        <w:rPr>
          <w:spacing w:val="-4"/>
        </w:rPr>
        <w:t xml:space="preserve"> </w:t>
      </w:r>
      <w:r w:rsidRPr="00D4309F">
        <w:t>the</w:t>
      </w:r>
      <w:r w:rsidRPr="00D4309F">
        <w:rPr>
          <w:spacing w:val="-3"/>
        </w:rPr>
        <w:t xml:space="preserve"> </w:t>
      </w:r>
      <w:r w:rsidRPr="00D4309F">
        <w:t>draft</w:t>
      </w:r>
      <w:r w:rsidRPr="00D4309F">
        <w:rPr>
          <w:spacing w:val="-3"/>
        </w:rPr>
        <w:t xml:space="preserve"> </w:t>
      </w:r>
      <w:r w:rsidRPr="00D4309F">
        <w:t>SIE,</w:t>
      </w:r>
      <w:r w:rsidRPr="00D4309F">
        <w:rPr>
          <w:spacing w:val="-2"/>
        </w:rPr>
        <w:t xml:space="preserve"> </w:t>
      </w:r>
      <w:r w:rsidRPr="00D4309F">
        <w:t>consideration</w:t>
      </w:r>
      <w:r w:rsidRPr="00D4309F">
        <w:rPr>
          <w:spacing w:val="-3"/>
        </w:rPr>
        <w:t xml:space="preserve"> </w:t>
      </w:r>
      <w:r w:rsidRPr="00D4309F">
        <w:t>was</w:t>
      </w:r>
      <w:r w:rsidRPr="00D4309F">
        <w:rPr>
          <w:spacing w:val="-2"/>
        </w:rPr>
        <w:t xml:space="preserve"> </w:t>
      </w:r>
      <w:r w:rsidRPr="00D4309F">
        <w:t>given</w:t>
      </w:r>
      <w:r w:rsidRPr="00D4309F">
        <w:rPr>
          <w:spacing w:val="-3"/>
        </w:rPr>
        <w:t xml:space="preserve"> </w:t>
      </w:r>
      <w:r w:rsidRPr="00D4309F">
        <w:t>to</w:t>
      </w:r>
      <w:r w:rsidRPr="00D4309F">
        <w:rPr>
          <w:spacing w:val="-3"/>
        </w:rPr>
        <w:t xml:space="preserve"> </w:t>
      </w:r>
      <w:r w:rsidRPr="00D4309F">
        <w:t>the</w:t>
      </w:r>
      <w:r w:rsidRPr="00D4309F">
        <w:rPr>
          <w:spacing w:val="-3"/>
        </w:rPr>
        <w:t xml:space="preserve"> </w:t>
      </w:r>
      <w:r w:rsidRPr="00D4309F">
        <w:t>impacts</w:t>
      </w:r>
      <w:r w:rsidRPr="00D4309F">
        <w:rPr>
          <w:spacing w:val="-3"/>
        </w:rPr>
        <w:t xml:space="preserve"> </w:t>
      </w:r>
      <w:r w:rsidRPr="00D4309F">
        <w:t>associated</w:t>
      </w:r>
      <w:r w:rsidRPr="00D4309F">
        <w:rPr>
          <w:spacing w:val="-3"/>
        </w:rPr>
        <w:t xml:space="preserve"> </w:t>
      </w:r>
      <w:r w:rsidRPr="00D4309F">
        <w:t>with</w:t>
      </w:r>
      <w:r w:rsidRPr="00D4309F">
        <w:rPr>
          <w:spacing w:val="-3"/>
        </w:rPr>
        <w:t xml:space="preserve"> </w:t>
      </w:r>
      <w:r w:rsidRPr="00D4309F">
        <w:t>each</w:t>
      </w:r>
      <w:r w:rsidRPr="00D4309F">
        <w:rPr>
          <w:spacing w:val="-4"/>
        </w:rPr>
        <w:t xml:space="preserve"> </w:t>
      </w:r>
      <w:r w:rsidRPr="00D4309F">
        <w:t>stakeholder</w:t>
      </w:r>
      <w:r w:rsidRPr="00D4309F">
        <w:rPr>
          <w:spacing w:val="-2"/>
        </w:rPr>
        <w:t xml:space="preserve"> </w:t>
      </w:r>
      <w:r w:rsidRPr="00D4309F">
        <w:t>group. A high-level list of impacts is included below which have been identified by stakeholder group and option in the interim SIE.</w:t>
      </w:r>
    </w:p>
    <w:p w14:paraId="1034CBDC" w14:textId="77777777" w:rsidR="00745065" w:rsidRPr="00D4309F" w:rsidRDefault="00745065" w:rsidP="00745065">
      <w:pPr>
        <w:pStyle w:val="ListBullet"/>
      </w:pPr>
      <w:r w:rsidRPr="00D4309F">
        <w:t>Environmental</w:t>
      </w:r>
      <w:r w:rsidRPr="00D4309F">
        <w:rPr>
          <w:spacing w:val="-6"/>
        </w:rPr>
        <w:t xml:space="preserve"> </w:t>
      </w:r>
      <w:r w:rsidRPr="00D4309F">
        <w:t>compliance</w:t>
      </w:r>
      <w:r w:rsidRPr="00D4309F">
        <w:rPr>
          <w:spacing w:val="-7"/>
        </w:rPr>
        <w:t xml:space="preserve"> </w:t>
      </w:r>
      <w:r w:rsidRPr="00D4309F">
        <w:t>and</w:t>
      </w:r>
      <w:r w:rsidRPr="00D4309F">
        <w:rPr>
          <w:spacing w:val="-6"/>
        </w:rPr>
        <w:t xml:space="preserve"> </w:t>
      </w:r>
      <w:r w:rsidRPr="00D4309F">
        <w:t>regulatory</w:t>
      </w:r>
      <w:r w:rsidRPr="00D4309F">
        <w:rPr>
          <w:spacing w:val="-4"/>
        </w:rPr>
        <w:t xml:space="preserve"> </w:t>
      </w:r>
      <w:r w:rsidRPr="00D4309F">
        <w:rPr>
          <w:spacing w:val="-2"/>
        </w:rPr>
        <w:t>responsibilities</w:t>
      </w:r>
    </w:p>
    <w:p w14:paraId="547D7C3B" w14:textId="77777777" w:rsidR="00745065" w:rsidRPr="00D4309F" w:rsidRDefault="00745065" w:rsidP="00745065">
      <w:pPr>
        <w:pStyle w:val="ListBullet"/>
      </w:pPr>
      <w:r w:rsidRPr="00D4309F">
        <w:t>Financial</w:t>
      </w:r>
      <w:r w:rsidRPr="00D4309F">
        <w:rPr>
          <w:spacing w:val="-5"/>
        </w:rPr>
        <w:t xml:space="preserve"> </w:t>
      </w:r>
      <w:r w:rsidRPr="00D4309F">
        <w:t>and</w:t>
      </w:r>
      <w:r w:rsidRPr="00D4309F">
        <w:rPr>
          <w:spacing w:val="-5"/>
        </w:rPr>
        <w:t xml:space="preserve"> </w:t>
      </w:r>
      <w:r w:rsidRPr="00D4309F">
        <w:t>economic</w:t>
      </w:r>
      <w:r w:rsidRPr="00D4309F">
        <w:rPr>
          <w:spacing w:val="-4"/>
        </w:rPr>
        <w:t xml:space="preserve"> </w:t>
      </w:r>
      <w:r w:rsidRPr="00D4309F">
        <w:rPr>
          <w:spacing w:val="-2"/>
        </w:rPr>
        <w:t>considerations</w:t>
      </w:r>
    </w:p>
    <w:p w14:paraId="6D13BDF2" w14:textId="77777777" w:rsidR="00745065" w:rsidRPr="00D4309F" w:rsidRDefault="00745065" w:rsidP="00745065">
      <w:pPr>
        <w:pStyle w:val="ListBullet"/>
      </w:pPr>
      <w:r w:rsidRPr="00D4309F">
        <w:t>Safety</w:t>
      </w:r>
      <w:r w:rsidRPr="00D4309F">
        <w:rPr>
          <w:spacing w:val="-2"/>
        </w:rPr>
        <w:t xml:space="preserve"> </w:t>
      </w:r>
      <w:r w:rsidRPr="00D4309F">
        <w:t>and</w:t>
      </w:r>
      <w:r w:rsidRPr="00D4309F">
        <w:rPr>
          <w:spacing w:val="-2"/>
        </w:rPr>
        <w:t xml:space="preserve"> access</w:t>
      </w:r>
    </w:p>
    <w:p w14:paraId="296AD6F0" w14:textId="77777777" w:rsidR="00745065" w:rsidRPr="00D4309F" w:rsidRDefault="00745065" w:rsidP="00745065">
      <w:pPr>
        <w:pStyle w:val="ListBullet"/>
      </w:pPr>
      <w:r w:rsidRPr="00D4309F">
        <w:t>Environmental</w:t>
      </w:r>
      <w:r w:rsidRPr="00D4309F">
        <w:rPr>
          <w:spacing w:val="-6"/>
        </w:rPr>
        <w:t xml:space="preserve"> </w:t>
      </w:r>
      <w:r w:rsidRPr="00D4309F">
        <w:t>and</w:t>
      </w:r>
      <w:r w:rsidRPr="00D4309F">
        <w:rPr>
          <w:spacing w:val="-6"/>
        </w:rPr>
        <w:t xml:space="preserve"> </w:t>
      </w:r>
      <w:r w:rsidRPr="00D4309F">
        <w:t>ecological</w:t>
      </w:r>
      <w:r w:rsidRPr="00D4309F">
        <w:rPr>
          <w:spacing w:val="-6"/>
        </w:rPr>
        <w:t xml:space="preserve"> </w:t>
      </w:r>
      <w:r w:rsidRPr="00D4309F">
        <w:rPr>
          <w:spacing w:val="-2"/>
        </w:rPr>
        <w:t>impacts</w:t>
      </w:r>
    </w:p>
    <w:p w14:paraId="02C48FEE" w14:textId="77777777" w:rsidR="00745065" w:rsidRPr="00D4309F" w:rsidRDefault="00745065" w:rsidP="00745065">
      <w:pPr>
        <w:pStyle w:val="ListBullet"/>
      </w:pPr>
      <w:r w:rsidRPr="00D4309F">
        <w:t>Community</w:t>
      </w:r>
      <w:r w:rsidRPr="00D4309F">
        <w:rPr>
          <w:spacing w:val="-6"/>
        </w:rPr>
        <w:t xml:space="preserve"> </w:t>
      </w:r>
      <w:r w:rsidRPr="00D4309F">
        <w:t>and</w:t>
      </w:r>
      <w:r w:rsidRPr="00D4309F">
        <w:rPr>
          <w:spacing w:val="-5"/>
        </w:rPr>
        <w:t xml:space="preserve"> </w:t>
      </w:r>
      <w:r w:rsidRPr="00D4309F">
        <w:t>stakeholder</w:t>
      </w:r>
      <w:r w:rsidRPr="00D4309F">
        <w:rPr>
          <w:spacing w:val="-5"/>
        </w:rPr>
        <w:t xml:space="preserve"> </w:t>
      </w:r>
      <w:r w:rsidRPr="00D4309F">
        <w:rPr>
          <w:spacing w:val="-2"/>
        </w:rPr>
        <w:t>considerations</w:t>
      </w:r>
    </w:p>
    <w:p w14:paraId="49D24FAA" w14:textId="77777777" w:rsidR="00745065" w:rsidRPr="00D4309F" w:rsidRDefault="00745065" w:rsidP="00745065">
      <w:pPr>
        <w:pStyle w:val="ListBullet"/>
      </w:pPr>
      <w:r w:rsidRPr="00D4309F">
        <w:t>Visual</w:t>
      </w:r>
      <w:r w:rsidRPr="00D4309F">
        <w:rPr>
          <w:spacing w:val="-4"/>
        </w:rPr>
        <w:t xml:space="preserve"> </w:t>
      </w:r>
      <w:r w:rsidRPr="00D4309F">
        <w:t>and</w:t>
      </w:r>
      <w:r w:rsidRPr="00D4309F">
        <w:rPr>
          <w:spacing w:val="-4"/>
        </w:rPr>
        <w:t xml:space="preserve"> </w:t>
      </w:r>
      <w:r w:rsidRPr="00D4309F">
        <w:t>amenity</w:t>
      </w:r>
      <w:r w:rsidRPr="00D4309F">
        <w:rPr>
          <w:spacing w:val="-3"/>
        </w:rPr>
        <w:t xml:space="preserve"> </w:t>
      </w:r>
      <w:r w:rsidRPr="00D4309F">
        <w:rPr>
          <w:spacing w:val="-2"/>
        </w:rPr>
        <w:t>impacts</w:t>
      </w:r>
    </w:p>
    <w:p w14:paraId="2446FB10" w14:textId="77777777" w:rsidR="00745065" w:rsidRPr="00D4309F" w:rsidRDefault="00745065" w:rsidP="00745065">
      <w:pPr>
        <w:pStyle w:val="ListBullet"/>
      </w:pPr>
      <w:r w:rsidRPr="00D4309F">
        <w:t>Harbour</w:t>
      </w:r>
      <w:r w:rsidRPr="00D4309F">
        <w:rPr>
          <w:spacing w:val="-4"/>
        </w:rPr>
        <w:t xml:space="preserve"> </w:t>
      </w:r>
      <w:r w:rsidRPr="00D4309F">
        <w:t>access</w:t>
      </w:r>
      <w:r w:rsidRPr="00D4309F">
        <w:rPr>
          <w:spacing w:val="-4"/>
        </w:rPr>
        <w:t xml:space="preserve"> </w:t>
      </w:r>
      <w:r w:rsidRPr="00D4309F">
        <w:t>and</w:t>
      </w:r>
      <w:r w:rsidRPr="00D4309F">
        <w:rPr>
          <w:spacing w:val="-5"/>
        </w:rPr>
        <w:t xml:space="preserve"> </w:t>
      </w:r>
      <w:r w:rsidRPr="00D4309F">
        <w:t>operational</w:t>
      </w:r>
      <w:r w:rsidRPr="00D4309F">
        <w:rPr>
          <w:spacing w:val="-4"/>
        </w:rPr>
        <w:t xml:space="preserve"> </w:t>
      </w:r>
      <w:r w:rsidRPr="00D4309F">
        <w:rPr>
          <w:spacing w:val="-2"/>
        </w:rPr>
        <w:t>disruptions</w:t>
      </w:r>
    </w:p>
    <w:p w14:paraId="521A582C" w14:textId="77777777" w:rsidR="00745065" w:rsidRPr="00D4309F" w:rsidRDefault="00745065" w:rsidP="00745065">
      <w:pPr>
        <w:pStyle w:val="ListBullet"/>
      </w:pPr>
      <w:r w:rsidRPr="00D4309F">
        <w:t>Long-term</w:t>
      </w:r>
      <w:r w:rsidRPr="00D4309F">
        <w:rPr>
          <w:spacing w:val="-4"/>
        </w:rPr>
        <w:t xml:space="preserve"> </w:t>
      </w:r>
      <w:r w:rsidRPr="00D4309F">
        <w:t>planning</w:t>
      </w:r>
      <w:r w:rsidRPr="00D4309F">
        <w:rPr>
          <w:spacing w:val="-4"/>
        </w:rPr>
        <w:t xml:space="preserve"> </w:t>
      </w:r>
      <w:r w:rsidRPr="00D4309F">
        <w:t>and</w:t>
      </w:r>
      <w:r w:rsidRPr="00D4309F">
        <w:rPr>
          <w:spacing w:val="-4"/>
        </w:rPr>
        <w:t xml:space="preserve"> </w:t>
      </w:r>
      <w:r w:rsidRPr="00D4309F">
        <w:rPr>
          <w:spacing w:val="-2"/>
        </w:rPr>
        <w:t>solutions</w:t>
      </w:r>
    </w:p>
    <w:p w14:paraId="41FE9463" w14:textId="4D924308" w:rsidR="00F06E88" w:rsidRPr="00D4309F" w:rsidRDefault="00745065" w:rsidP="00F06E88">
      <w:pPr>
        <w:pStyle w:val="ListBullet"/>
      </w:pPr>
      <w:r w:rsidRPr="00D4309F">
        <w:t>Visitor</w:t>
      </w:r>
      <w:r w:rsidRPr="00D4309F">
        <w:rPr>
          <w:spacing w:val="-4"/>
        </w:rPr>
        <w:t xml:space="preserve"> </w:t>
      </w:r>
      <w:r w:rsidRPr="00D4309F">
        <w:rPr>
          <w:spacing w:val="-2"/>
        </w:rPr>
        <w:t>experience.</w:t>
      </w:r>
    </w:p>
    <w:p w14:paraId="675BA1CB" w14:textId="77777777" w:rsidR="00745065" w:rsidRPr="00D4309F" w:rsidRDefault="00745065" w:rsidP="00745065">
      <w:pPr>
        <w:pStyle w:val="Heading3"/>
      </w:pPr>
      <w:bookmarkStart w:id="90" w:name="_bookmark35"/>
      <w:bookmarkStart w:id="91" w:name="_Toc216699316"/>
      <w:bookmarkEnd w:id="90"/>
      <w:r w:rsidRPr="00D4309F">
        <w:t>Social</w:t>
      </w:r>
      <w:r w:rsidRPr="00D4309F">
        <w:rPr>
          <w:spacing w:val="-11"/>
        </w:rPr>
        <w:t xml:space="preserve"> </w:t>
      </w:r>
      <w:r w:rsidRPr="00D4309F">
        <w:t>impacts</w:t>
      </w:r>
      <w:r w:rsidRPr="00D4309F">
        <w:rPr>
          <w:spacing w:val="-10"/>
        </w:rPr>
        <w:t xml:space="preserve"> </w:t>
      </w:r>
      <w:r w:rsidRPr="00D4309F">
        <w:t>of</w:t>
      </w:r>
      <w:r w:rsidRPr="00D4309F">
        <w:rPr>
          <w:spacing w:val="-11"/>
        </w:rPr>
        <w:t xml:space="preserve"> </w:t>
      </w:r>
      <w:r w:rsidRPr="00D4309F">
        <w:t>long-term</w:t>
      </w:r>
      <w:r w:rsidRPr="00D4309F">
        <w:rPr>
          <w:spacing w:val="-11"/>
        </w:rPr>
        <w:t xml:space="preserve"> </w:t>
      </w:r>
      <w:r w:rsidRPr="00D4309F">
        <w:rPr>
          <w:spacing w:val="-2"/>
        </w:rPr>
        <w:t>options</w:t>
      </w:r>
      <w:bookmarkEnd w:id="91"/>
    </w:p>
    <w:p w14:paraId="551139D2" w14:textId="211B979E" w:rsidR="00F06E88" w:rsidRPr="00D4309F" w:rsidRDefault="00745065" w:rsidP="00745065">
      <w:pPr>
        <w:pStyle w:val="BodyText"/>
      </w:pPr>
      <w:r w:rsidRPr="00D4309F">
        <w:t>The social impacts of the long-term options have been considered in the SIE in Appendix B and detail the mitigation and enhancement measures that are recommended for each impact. The impacts are assessed against the baseline which is the current state which includes the ongoing management measures being implemented.</w:t>
      </w:r>
      <w:r w:rsidRPr="00D4309F">
        <w:rPr>
          <w:spacing w:val="-5"/>
        </w:rPr>
        <w:t xml:space="preserve"> </w:t>
      </w:r>
      <w:r w:rsidRPr="00D4309F">
        <w:t>The</w:t>
      </w:r>
      <w:r w:rsidRPr="00D4309F">
        <w:rPr>
          <w:spacing w:val="-3"/>
        </w:rPr>
        <w:t xml:space="preserve"> </w:t>
      </w:r>
      <w:r w:rsidRPr="00D4309F">
        <w:t>outcome</w:t>
      </w:r>
      <w:r w:rsidRPr="00D4309F">
        <w:rPr>
          <w:spacing w:val="-4"/>
        </w:rPr>
        <w:t xml:space="preserve"> </w:t>
      </w:r>
      <w:r w:rsidRPr="00D4309F">
        <w:t>of</w:t>
      </w:r>
      <w:r w:rsidRPr="00D4309F">
        <w:rPr>
          <w:spacing w:val="-3"/>
        </w:rPr>
        <w:t xml:space="preserve"> </w:t>
      </w:r>
      <w:r w:rsidRPr="00D4309F">
        <w:t>this</w:t>
      </w:r>
      <w:r w:rsidRPr="00D4309F">
        <w:rPr>
          <w:spacing w:val="-2"/>
        </w:rPr>
        <w:t xml:space="preserve"> </w:t>
      </w:r>
      <w:r w:rsidRPr="00D4309F">
        <w:t>SIE</w:t>
      </w:r>
      <w:r w:rsidRPr="00D4309F">
        <w:rPr>
          <w:spacing w:val="-3"/>
        </w:rPr>
        <w:t xml:space="preserve"> </w:t>
      </w:r>
      <w:r w:rsidRPr="00D4309F">
        <w:t>assessment</w:t>
      </w:r>
      <w:r w:rsidRPr="00D4309F">
        <w:rPr>
          <w:spacing w:val="-3"/>
        </w:rPr>
        <w:t xml:space="preserve"> </w:t>
      </w:r>
      <w:r w:rsidRPr="00D4309F">
        <w:t>has</w:t>
      </w:r>
      <w:r w:rsidRPr="00D4309F">
        <w:rPr>
          <w:spacing w:val="-2"/>
        </w:rPr>
        <w:t xml:space="preserve"> </w:t>
      </w:r>
      <w:r w:rsidRPr="00D4309F">
        <w:t>informed</w:t>
      </w:r>
      <w:r w:rsidRPr="00D4309F">
        <w:rPr>
          <w:spacing w:val="-3"/>
        </w:rPr>
        <w:t xml:space="preserve"> </w:t>
      </w:r>
      <w:r w:rsidRPr="00D4309F">
        <w:t>the</w:t>
      </w:r>
      <w:r w:rsidRPr="00D4309F">
        <w:rPr>
          <w:spacing w:val="-3"/>
        </w:rPr>
        <w:t xml:space="preserve"> </w:t>
      </w:r>
      <w:r w:rsidRPr="00D4309F">
        <w:t>social</w:t>
      </w:r>
      <w:r w:rsidRPr="00D4309F">
        <w:rPr>
          <w:spacing w:val="-3"/>
        </w:rPr>
        <w:t xml:space="preserve"> </w:t>
      </w:r>
      <w:r w:rsidRPr="00D4309F">
        <w:t>and</w:t>
      </w:r>
      <w:r w:rsidRPr="00D4309F">
        <w:rPr>
          <w:spacing w:val="-4"/>
        </w:rPr>
        <w:t xml:space="preserve"> </w:t>
      </w:r>
      <w:r w:rsidRPr="00D4309F">
        <w:t>economic</w:t>
      </w:r>
      <w:r w:rsidRPr="00D4309F">
        <w:rPr>
          <w:spacing w:val="-3"/>
        </w:rPr>
        <w:t xml:space="preserve"> </w:t>
      </w:r>
      <w:r w:rsidRPr="00D4309F">
        <w:t>rankings</w:t>
      </w:r>
      <w:r w:rsidRPr="00D4309F">
        <w:rPr>
          <w:spacing w:val="-2"/>
        </w:rPr>
        <w:t xml:space="preserve"> </w:t>
      </w:r>
      <w:r w:rsidRPr="00D4309F">
        <w:t>for</w:t>
      </w:r>
      <w:r w:rsidRPr="00D4309F">
        <w:rPr>
          <w:spacing w:val="-2"/>
        </w:rPr>
        <w:t xml:space="preserve"> </w:t>
      </w:r>
      <w:r w:rsidRPr="00D4309F">
        <w:t>each of the long-term options.</w:t>
      </w:r>
    </w:p>
    <w:p w14:paraId="56517357" w14:textId="77777777" w:rsidR="00745065" w:rsidRPr="00D4309F" w:rsidRDefault="00745065" w:rsidP="0048770E">
      <w:pPr>
        <w:pStyle w:val="Heading3"/>
        <w:pageBreakBefore/>
      </w:pPr>
      <w:bookmarkStart w:id="92" w:name="_bookmark36"/>
      <w:bookmarkStart w:id="93" w:name="_Toc216699317"/>
      <w:bookmarkEnd w:id="92"/>
      <w:r w:rsidRPr="00D4309F">
        <w:lastRenderedPageBreak/>
        <w:t>Social</w:t>
      </w:r>
      <w:r w:rsidRPr="00D4309F">
        <w:rPr>
          <w:spacing w:val="-11"/>
        </w:rPr>
        <w:t xml:space="preserve"> </w:t>
      </w:r>
      <w:r w:rsidRPr="00D4309F">
        <w:rPr>
          <w:spacing w:val="-2"/>
        </w:rPr>
        <w:t>values</w:t>
      </w:r>
      <w:bookmarkEnd w:id="93"/>
    </w:p>
    <w:p w14:paraId="0DC2A1AE" w14:textId="77777777" w:rsidR="00745065" w:rsidRPr="00D4309F" w:rsidRDefault="00745065" w:rsidP="00745065">
      <w:pPr>
        <w:pStyle w:val="BodyText"/>
      </w:pPr>
      <w:r w:rsidRPr="00D4309F">
        <w:t>To inform the development of the SIE, social values have been primarily shaped by the contributions of the SRG. Providing a safe, navigable channel is a top priority, with a strong desire to identify a long-term, proactive</w:t>
      </w:r>
      <w:r w:rsidRPr="00D4309F">
        <w:rPr>
          <w:spacing w:val="-2"/>
        </w:rPr>
        <w:t xml:space="preserve"> </w:t>
      </w:r>
      <w:r w:rsidRPr="00D4309F">
        <w:t>solution.</w:t>
      </w:r>
      <w:r w:rsidRPr="00D4309F">
        <w:rPr>
          <w:spacing w:val="-2"/>
        </w:rPr>
        <w:t xml:space="preserve"> </w:t>
      </w:r>
      <w:r w:rsidRPr="00D4309F">
        <w:t>Based</w:t>
      </w:r>
      <w:r w:rsidRPr="00D4309F">
        <w:rPr>
          <w:spacing w:val="-3"/>
        </w:rPr>
        <w:t xml:space="preserve"> </w:t>
      </w:r>
      <w:r w:rsidRPr="00D4309F">
        <w:t>on</w:t>
      </w:r>
      <w:r w:rsidRPr="00D4309F">
        <w:rPr>
          <w:spacing w:val="-2"/>
        </w:rPr>
        <w:t xml:space="preserve"> </w:t>
      </w:r>
      <w:r w:rsidRPr="00D4309F">
        <w:t>a</w:t>
      </w:r>
      <w:r w:rsidRPr="00D4309F">
        <w:rPr>
          <w:spacing w:val="-2"/>
        </w:rPr>
        <w:t xml:space="preserve"> </w:t>
      </w:r>
      <w:r w:rsidRPr="00D4309F">
        <w:t>recent</w:t>
      </w:r>
      <w:r w:rsidRPr="00D4309F">
        <w:rPr>
          <w:spacing w:val="-2"/>
        </w:rPr>
        <w:t xml:space="preserve"> </w:t>
      </w:r>
      <w:r w:rsidRPr="00D4309F">
        <w:t>survey,</w:t>
      </w:r>
      <w:r w:rsidRPr="00D4309F">
        <w:rPr>
          <w:spacing w:val="-2"/>
        </w:rPr>
        <w:t xml:space="preserve"> </w:t>
      </w:r>
      <w:r w:rsidRPr="00D4309F">
        <w:t>the</w:t>
      </w:r>
      <w:r w:rsidRPr="00D4309F">
        <w:rPr>
          <w:spacing w:val="-2"/>
        </w:rPr>
        <w:t xml:space="preserve"> </w:t>
      </w:r>
      <w:r w:rsidRPr="00D4309F">
        <w:t>prevention</w:t>
      </w:r>
      <w:r w:rsidRPr="00D4309F">
        <w:rPr>
          <w:spacing w:val="-2"/>
        </w:rPr>
        <w:t xml:space="preserve"> </w:t>
      </w:r>
      <w:r w:rsidRPr="00D4309F">
        <w:t>of</w:t>
      </w:r>
      <w:r w:rsidRPr="00D4309F">
        <w:rPr>
          <w:spacing w:val="-2"/>
        </w:rPr>
        <w:t xml:space="preserve"> </w:t>
      </w:r>
      <w:r w:rsidRPr="00D4309F">
        <w:t>shoaling</w:t>
      </w:r>
      <w:r w:rsidRPr="00D4309F">
        <w:rPr>
          <w:spacing w:val="-2"/>
        </w:rPr>
        <w:t xml:space="preserve"> </w:t>
      </w:r>
      <w:r w:rsidRPr="00D4309F">
        <w:t>and</w:t>
      </w:r>
      <w:r w:rsidRPr="00D4309F">
        <w:rPr>
          <w:spacing w:val="-2"/>
        </w:rPr>
        <w:t xml:space="preserve"> </w:t>
      </w:r>
      <w:r w:rsidRPr="00D4309F">
        <w:t>the</w:t>
      </w:r>
      <w:r w:rsidRPr="00D4309F">
        <w:rPr>
          <w:spacing w:val="-2"/>
        </w:rPr>
        <w:t xml:space="preserve"> </w:t>
      </w:r>
      <w:r w:rsidRPr="00D4309F">
        <w:t>management</w:t>
      </w:r>
      <w:r w:rsidRPr="00D4309F">
        <w:rPr>
          <w:spacing w:val="-2"/>
        </w:rPr>
        <w:t xml:space="preserve"> </w:t>
      </w:r>
      <w:r w:rsidRPr="00D4309F">
        <w:t>of</w:t>
      </w:r>
      <w:r w:rsidRPr="00D4309F">
        <w:rPr>
          <w:spacing w:val="-2"/>
        </w:rPr>
        <w:t xml:space="preserve"> </w:t>
      </w:r>
      <w:r w:rsidRPr="00D4309F">
        <w:t>safe</w:t>
      </w:r>
      <w:r w:rsidRPr="00D4309F">
        <w:rPr>
          <w:spacing w:val="-2"/>
        </w:rPr>
        <w:t xml:space="preserve"> </w:t>
      </w:r>
      <w:r w:rsidRPr="00D4309F">
        <w:t>access are considered equally important by the SRG. In the same survey, 72 percent of respondents expressed support for a capital works solution; however, the SRG has previously emphasised that the Breakwater Extension option should be regarded as a last resort, to be considered only after all other alternatives have been thoroughly explored.</w:t>
      </w:r>
      <w:r w:rsidRPr="00D4309F">
        <w:rPr>
          <w:spacing w:val="-1"/>
        </w:rPr>
        <w:t xml:space="preserve"> </w:t>
      </w:r>
      <w:r w:rsidRPr="00D4309F">
        <w:t>The SRG also highlighted that solutions should respect natural coastal processes and showed a clear preference for options with minimal visual impact.</w:t>
      </w:r>
    </w:p>
    <w:p w14:paraId="3E5BABF9" w14:textId="77777777" w:rsidR="0048770E" w:rsidRPr="00D4309F" w:rsidRDefault="0048770E" w:rsidP="0048770E">
      <w:pPr>
        <w:pStyle w:val="BodyText"/>
      </w:pPr>
      <w:r w:rsidRPr="00D4309F">
        <w:t>Regarding</w:t>
      </w:r>
      <w:r w:rsidRPr="00D4309F">
        <w:rPr>
          <w:spacing w:val="-3"/>
        </w:rPr>
        <w:t xml:space="preserve"> </w:t>
      </w:r>
      <w:r w:rsidRPr="00D4309F">
        <w:t>short-term</w:t>
      </w:r>
      <w:r w:rsidRPr="00D4309F">
        <w:rPr>
          <w:spacing w:val="-3"/>
        </w:rPr>
        <w:t xml:space="preserve"> </w:t>
      </w:r>
      <w:r w:rsidRPr="00D4309F">
        <w:t>options,</w:t>
      </w:r>
      <w:r w:rsidRPr="00D4309F">
        <w:rPr>
          <w:spacing w:val="-3"/>
        </w:rPr>
        <w:t xml:space="preserve"> </w:t>
      </w:r>
      <w:r w:rsidRPr="00D4309F">
        <w:t>there</w:t>
      </w:r>
      <w:r w:rsidRPr="00D4309F">
        <w:rPr>
          <w:spacing w:val="-3"/>
        </w:rPr>
        <w:t xml:space="preserve"> </w:t>
      </w:r>
      <w:r w:rsidRPr="00D4309F">
        <w:t>was</w:t>
      </w:r>
      <w:r w:rsidRPr="00D4309F">
        <w:rPr>
          <w:spacing w:val="-3"/>
        </w:rPr>
        <w:t xml:space="preserve"> </w:t>
      </w:r>
      <w:r w:rsidRPr="00D4309F">
        <w:t>general</w:t>
      </w:r>
      <w:r w:rsidRPr="00D4309F">
        <w:rPr>
          <w:spacing w:val="-3"/>
        </w:rPr>
        <w:t xml:space="preserve"> </w:t>
      </w:r>
      <w:r w:rsidRPr="00D4309F">
        <w:t>acceptance</w:t>
      </w:r>
      <w:r w:rsidRPr="00D4309F">
        <w:rPr>
          <w:spacing w:val="-3"/>
        </w:rPr>
        <w:t xml:space="preserve"> </w:t>
      </w:r>
      <w:r w:rsidRPr="00D4309F">
        <w:t>that</w:t>
      </w:r>
      <w:r w:rsidRPr="00D4309F">
        <w:rPr>
          <w:spacing w:val="-3"/>
        </w:rPr>
        <w:t xml:space="preserve"> </w:t>
      </w:r>
      <w:r w:rsidRPr="00D4309F">
        <w:t>the</w:t>
      </w:r>
      <w:r w:rsidRPr="00D4309F">
        <w:rPr>
          <w:spacing w:val="-3"/>
        </w:rPr>
        <w:t xml:space="preserve"> </w:t>
      </w:r>
      <w:r w:rsidRPr="00D4309F">
        <w:t>Western</w:t>
      </w:r>
      <w:r w:rsidRPr="00D4309F">
        <w:rPr>
          <w:spacing w:val="-3"/>
        </w:rPr>
        <w:t xml:space="preserve"> </w:t>
      </w:r>
      <w:r w:rsidRPr="00D4309F">
        <w:t>Channel</w:t>
      </w:r>
      <w:r w:rsidRPr="00D4309F">
        <w:rPr>
          <w:spacing w:val="-3"/>
        </w:rPr>
        <w:t xml:space="preserve"> </w:t>
      </w:r>
      <w:r w:rsidRPr="00D4309F">
        <w:t>Trial</w:t>
      </w:r>
      <w:r w:rsidRPr="00D4309F">
        <w:rPr>
          <w:spacing w:val="-3"/>
        </w:rPr>
        <w:t xml:space="preserve"> </w:t>
      </w:r>
      <w:r w:rsidRPr="00D4309F">
        <w:t>would</w:t>
      </w:r>
      <w:r w:rsidRPr="00D4309F">
        <w:rPr>
          <w:spacing w:val="-3"/>
        </w:rPr>
        <w:t xml:space="preserve"> </w:t>
      </w:r>
      <w:r w:rsidRPr="00D4309F">
        <w:t>continue, supported by reactive dredging as needed. The SRG welcomed enhancements to the Pilot Entrance Monitoring System, particularly the improved drone monitoring model. There is a strong desire to improve access to timely, up-to-date information for channel users as a key measure to enhance safe navigation.</w:t>
      </w:r>
    </w:p>
    <w:p w14:paraId="63922533" w14:textId="768C9E11" w:rsidR="00F06E88" w:rsidRPr="00D4309F" w:rsidRDefault="0048770E" w:rsidP="0048770E">
      <w:pPr>
        <w:pStyle w:val="BodyText"/>
      </w:pPr>
      <w:r w:rsidRPr="00D4309F">
        <w:t>More broadly, the Sunshine Coast community places high value on its connection to nature, embracing the region’s beaches, forests, rivers, and subtropical climate as central to its identity and lifestyle. Residents consistently emphasise liveability as a defining feature, appreciating the balance of indoor-outdoor living, safety,</w:t>
      </w:r>
      <w:r w:rsidRPr="00D4309F">
        <w:rPr>
          <w:spacing w:val="-3"/>
        </w:rPr>
        <w:t xml:space="preserve"> </w:t>
      </w:r>
      <w:r w:rsidRPr="00D4309F">
        <w:t>green</w:t>
      </w:r>
      <w:r w:rsidRPr="00D4309F">
        <w:rPr>
          <w:spacing w:val="-4"/>
        </w:rPr>
        <w:t xml:space="preserve"> </w:t>
      </w:r>
      <w:r w:rsidRPr="00D4309F">
        <w:t>spaces,</w:t>
      </w:r>
      <w:r w:rsidRPr="00D4309F">
        <w:rPr>
          <w:spacing w:val="-3"/>
        </w:rPr>
        <w:t xml:space="preserve"> </w:t>
      </w:r>
      <w:r w:rsidRPr="00D4309F">
        <w:t>and</w:t>
      </w:r>
      <w:r w:rsidRPr="00D4309F">
        <w:rPr>
          <w:spacing w:val="-4"/>
        </w:rPr>
        <w:t xml:space="preserve"> </w:t>
      </w:r>
      <w:r w:rsidRPr="00D4309F">
        <w:t>affordability.</w:t>
      </w:r>
      <w:r w:rsidRPr="00D4309F">
        <w:rPr>
          <w:spacing w:val="-3"/>
        </w:rPr>
        <w:t xml:space="preserve"> </w:t>
      </w:r>
      <w:r w:rsidRPr="00D4309F">
        <w:t>Water</w:t>
      </w:r>
      <w:r w:rsidRPr="00D4309F">
        <w:rPr>
          <w:spacing w:val="-2"/>
        </w:rPr>
        <w:t xml:space="preserve"> </w:t>
      </w:r>
      <w:r w:rsidRPr="00D4309F">
        <w:t>and</w:t>
      </w:r>
      <w:r w:rsidRPr="00D4309F">
        <w:rPr>
          <w:spacing w:val="-3"/>
        </w:rPr>
        <w:t xml:space="preserve"> </w:t>
      </w:r>
      <w:r w:rsidRPr="00D4309F">
        <w:t>marine</w:t>
      </w:r>
      <w:r w:rsidRPr="00D4309F">
        <w:rPr>
          <w:spacing w:val="-3"/>
        </w:rPr>
        <w:t xml:space="preserve"> </w:t>
      </w:r>
      <w:r w:rsidRPr="00D4309F">
        <w:t>environments</w:t>
      </w:r>
      <w:r w:rsidRPr="00D4309F">
        <w:rPr>
          <w:spacing w:val="-3"/>
        </w:rPr>
        <w:t xml:space="preserve"> </w:t>
      </w:r>
      <w:r w:rsidRPr="00D4309F">
        <w:t>hold</w:t>
      </w:r>
      <w:r w:rsidRPr="00D4309F">
        <w:rPr>
          <w:spacing w:val="-3"/>
        </w:rPr>
        <w:t xml:space="preserve"> </w:t>
      </w:r>
      <w:r w:rsidRPr="00D4309F">
        <w:t>particular</w:t>
      </w:r>
      <w:r w:rsidRPr="00D4309F">
        <w:rPr>
          <w:spacing w:val="-2"/>
        </w:rPr>
        <w:t xml:space="preserve"> </w:t>
      </w:r>
      <w:r w:rsidRPr="00D4309F">
        <w:t>importance,</w:t>
      </w:r>
      <w:r w:rsidRPr="00D4309F">
        <w:rPr>
          <w:spacing w:val="-3"/>
        </w:rPr>
        <w:t xml:space="preserve"> </w:t>
      </w:r>
      <w:r w:rsidRPr="00D4309F">
        <w:t>not</w:t>
      </w:r>
      <w:r w:rsidRPr="00D4309F">
        <w:rPr>
          <w:spacing w:val="-3"/>
        </w:rPr>
        <w:t xml:space="preserve"> </w:t>
      </w:r>
      <w:r w:rsidRPr="00D4309F">
        <w:t>only for recreation but also for their ecological significance. Cultural identity values are also significant with a strong</w:t>
      </w:r>
      <w:r w:rsidRPr="00D4309F">
        <w:rPr>
          <w:spacing w:val="-2"/>
        </w:rPr>
        <w:t xml:space="preserve"> </w:t>
      </w:r>
      <w:r w:rsidRPr="00D4309F">
        <w:t>recognition</w:t>
      </w:r>
      <w:r w:rsidRPr="00D4309F">
        <w:rPr>
          <w:spacing w:val="-2"/>
        </w:rPr>
        <w:t xml:space="preserve"> </w:t>
      </w:r>
      <w:r w:rsidRPr="00D4309F">
        <w:t>of</w:t>
      </w:r>
      <w:r w:rsidRPr="00D4309F">
        <w:rPr>
          <w:spacing w:val="-2"/>
        </w:rPr>
        <w:t xml:space="preserve"> </w:t>
      </w:r>
      <w:r w:rsidRPr="00D4309F">
        <w:t>Indigenous</w:t>
      </w:r>
      <w:r w:rsidRPr="00D4309F">
        <w:rPr>
          <w:spacing w:val="-1"/>
        </w:rPr>
        <w:t xml:space="preserve"> </w:t>
      </w:r>
      <w:r w:rsidRPr="00D4309F">
        <w:t>heritage—especially</w:t>
      </w:r>
      <w:r w:rsidRPr="00D4309F">
        <w:rPr>
          <w:spacing w:val="-1"/>
        </w:rPr>
        <w:t xml:space="preserve"> </w:t>
      </w:r>
      <w:r w:rsidRPr="00D4309F">
        <w:t>that</w:t>
      </w:r>
      <w:r w:rsidRPr="00D4309F">
        <w:rPr>
          <w:spacing w:val="-2"/>
        </w:rPr>
        <w:t xml:space="preserve"> </w:t>
      </w:r>
      <w:r w:rsidRPr="00D4309F">
        <w:t>of</w:t>
      </w:r>
      <w:r w:rsidRPr="00D4309F">
        <w:rPr>
          <w:spacing w:val="-2"/>
        </w:rPr>
        <w:t xml:space="preserve"> </w:t>
      </w:r>
      <w:r w:rsidRPr="00D4309F">
        <w:t>the</w:t>
      </w:r>
      <w:r w:rsidRPr="00D4309F">
        <w:rPr>
          <w:spacing w:val="-2"/>
        </w:rPr>
        <w:t xml:space="preserve"> </w:t>
      </w:r>
      <w:r w:rsidRPr="00D4309F">
        <w:t>Kabi</w:t>
      </w:r>
      <w:r w:rsidRPr="00D4309F">
        <w:rPr>
          <w:spacing w:val="-2"/>
        </w:rPr>
        <w:t xml:space="preserve"> </w:t>
      </w:r>
      <w:r w:rsidRPr="00D4309F">
        <w:t>Kabi</w:t>
      </w:r>
      <w:r w:rsidRPr="00D4309F">
        <w:rPr>
          <w:spacing w:val="-2"/>
        </w:rPr>
        <w:t xml:space="preserve"> </w:t>
      </w:r>
      <w:r w:rsidRPr="00D4309F">
        <w:t>and</w:t>
      </w:r>
      <w:r w:rsidRPr="00D4309F">
        <w:rPr>
          <w:spacing w:val="-2"/>
        </w:rPr>
        <w:t xml:space="preserve"> </w:t>
      </w:r>
      <w:r w:rsidRPr="00D4309F">
        <w:t>Jinbara</w:t>
      </w:r>
      <w:r w:rsidRPr="00D4309F">
        <w:rPr>
          <w:spacing w:val="-2"/>
        </w:rPr>
        <w:t xml:space="preserve"> </w:t>
      </w:r>
      <w:r w:rsidRPr="00D4309F">
        <w:t>peoples—alongside a vibrant mix of artists, retirees, and innovators who contribute to the region’s character.</w:t>
      </w:r>
    </w:p>
    <w:p w14:paraId="0B495C5D" w14:textId="77777777" w:rsidR="00725977" w:rsidRPr="00D4309F" w:rsidRDefault="00725977" w:rsidP="0048770E">
      <w:pPr>
        <w:pStyle w:val="Heading2"/>
      </w:pPr>
      <w:bookmarkStart w:id="94" w:name="_bookmark37"/>
      <w:bookmarkStart w:id="95" w:name="_Toc216699318"/>
      <w:bookmarkEnd w:id="94"/>
      <w:r w:rsidRPr="00D4309F">
        <w:t>Environmental</w:t>
      </w:r>
      <w:r w:rsidRPr="00D4309F">
        <w:rPr>
          <w:spacing w:val="2"/>
        </w:rPr>
        <w:t xml:space="preserve"> </w:t>
      </w:r>
      <w:r w:rsidRPr="00D4309F">
        <w:t>values</w:t>
      </w:r>
      <w:bookmarkEnd w:id="95"/>
    </w:p>
    <w:p w14:paraId="186920F2" w14:textId="77777777" w:rsidR="00725977" w:rsidRPr="00D4309F" w:rsidRDefault="00725977" w:rsidP="00725977">
      <w:pPr>
        <w:pStyle w:val="BodyText"/>
      </w:pPr>
      <w:r w:rsidRPr="00D4309F">
        <w:t>The coast off Mooloolaba supports a range of intertidal and marine communities whose health underpins both ecological resilience and the recreational character of the region. Extending from the seagrass of the estuary through to mangrove fringes and saltmarsh to the offshore reef systems described in the Point Cartwright and La Balsa Park Master Plan (Sunshine Coast Council, 2023a), these habitats provide critical nursery and feeding grounds for fish, crustaceans and shorebirds, while stabilising sediments and cycling nutrients essential to coastal waters. The master plan also highlights the importance of maintaining nearshore hard</w:t>
      </w:r>
      <w:r w:rsidRPr="00D4309F">
        <w:rPr>
          <w:rFonts w:ascii="Cambria Math" w:hAnsi="Cambria Math"/>
        </w:rPr>
        <w:t>-</w:t>
      </w:r>
      <w:r w:rsidRPr="00D4309F">
        <w:t xml:space="preserve">coral assemblages beyond the surf zone and protecting fish habitat areas under the </w:t>
      </w:r>
      <w:r w:rsidRPr="00D4309F">
        <w:rPr>
          <w:i/>
        </w:rPr>
        <w:t xml:space="preserve">Fisheries Act 1994 </w:t>
      </w:r>
      <w:r w:rsidRPr="00D4309F">
        <w:t>(DESI, 2022)</w:t>
      </w:r>
      <w:r w:rsidRPr="00D4309F">
        <w:rPr>
          <w:i/>
        </w:rPr>
        <w:t xml:space="preserve">. </w:t>
      </w:r>
      <w:r w:rsidRPr="00D4309F">
        <w:t>Riparian corridors and adjacent wetlands further enhance this diversity, offering</w:t>
      </w:r>
      <w:r w:rsidRPr="00D4309F">
        <w:rPr>
          <w:spacing w:val="-3"/>
        </w:rPr>
        <w:t xml:space="preserve"> </w:t>
      </w:r>
      <w:r w:rsidRPr="00D4309F">
        <w:t>refuge</w:t>
      </w:r>
      <w:r w:rsidRPr="00D4309F">
        <w:rPr>
          <w:spacing w:val="-3"/>
        </w:rPr>
        <w:t xml:space="preserve"> </w:t>
      </w:r>
      <w:r w:rsidRPr="00D4309F">
        <w:t>for</w:t>
      </w:r>
      <w:r w:rsidRPr="00D4309F">
        <w:rPr>
          <w:spacing w:val="-2"/>
        </w:rPr>
        <w:t xml:space="preserve"> </w:t>
      </w:r>
      <w:r w:rsidRPr="00D4309F">
        <w:t>waterbirds,</w:t>
      </w:r>
      <w:r w:rsidRPr="00D4309F">
        <w:rPr>
          <w:spacing w:val="-3"/>
        </w:rPr>
        <w:t xml:space="preserve"> </w:t>
      </w:r>
      <w:r w:rsidRPr="00D4309F">
        <w:t>turtles</w:t>
      </w:r>
      <w:r w:rsidRPr="00D4309F">
        <w:rPr>
          <w:spacing w:val="-2"/>
        </w:rPr>
        <w:t xml:space="preserve"> </w:t>
      </w:r>
      <w:r w:rsidRPr="00D4309F">
        <w:t>and</w:t>
      </w:r>
      <w:r w:rsidRPr="00D4309F">
        <w:rPr>
          <w:spacing w:val="-3"/>
        </w:rPr>
        <w:t xml:space="preserve"> </w:t>
      </w:r>
      <w:r w:rsidRPr="00D4309F">
        <w:t>aquatic</w:t>
      </w:r>
      <w:r w:rsidRPr="00D4309F">
        <w:rPr>
          <w:spacing w:val="-2"/>
        </w:rPr>
        <w:t xml:space="preserve"> </w:t>
      </w:r>
      <w:r w:rsidRPr="00D4309F">
        <w:t>mammals.</w:t>
      </w:r>
      <w:r w:rsidRPr="00D4309F">
        <w:rPr>
          <w:spacing w:val="-3"/>
        </w:rPr>
        <w:t xml:space="preserve"> </w:t>
      </w:r>
      <w:r w:rsidRPr="00D4309F">
        <w:t>Today,</w:t>
      </w:r>
      <w:r w:rsidRPr="00D4309F">
        <w:rPr>
          <w:spacing w:val="-3"/>
        </w:rPr>
        <w:t xml:space="preserve"> </w:t>
      </w:r>
      <w:r w:rsidRPr="00D4309F">
        <w:t>over</w:t>
      </w:r>
      <w:r w:rsidRPr="00D4309F">
        <w:rPr>
          <w:spacing w:val="-2"/>
        </w:rPr>
        <w:t xml:space="preserve"> </w:t>
      </w:r>
      <w:r w:rsidRPr="00D4309F">
        <w:t>60</w:t>
      </w:r>
      <w:r w:rsidRPr="00D4309F">
        <w:rPr>
          <w:spacing w:val="-3"/>
        </w:rPr>
        <w:t xml:space="preserve"> </w:t>
      </w:r>
      <w:r w:rsidRPr="00D4309F">
        <w:t>percent</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Sunshine</w:t>
      </w:r>
      <w:r w:rsidRPr="00D4309F">
        <w:rPr>
          <w:spacing w:val="-4"/>
        </w:rPr>
        <w:t xml:space="preserve"> </w:t>
      </w:r>
      <w:r w:rsidRPr="00D4309F">
        <w:t>Coast</w:t>
      </w:r>
      <w:r w:rsidRPr="00D4309F">
        <w:rPr>
          <w:rFonts w:ascii="Source Sans Pro" w:hAnsi="Source Sans Pro"/>
        </w:rPr>
        <w:t>’</w:t>
      </w:r>
      <w:r w:rsidRPr="00D4309F">
        <w:t>s foreshores remain in a natural or near-natural state, sustaining iconic species such as marine turtles, dugong, migratory birds and whales (Sunshine Coast Council, 2023a).</w:t>
      </w:r>
    </w:p>
    <w:p w14:paraId="1421B07E" w14:textId="77777777" w:rsidR="00725977" w:rsidRPr="00D4309F" w:rsidRDefault="00725977" w:rsidP="00725977">
      <w:pPr>
        <w:pStyle w:val="BodyText"/>
      </w:pPr>
      <w:r w:rsidRPr="00D4309F">
        <w:t xml:space="preserve">Maintaining water quality in the Maroochy estuary and nearby coastal waters is fundamental to preserving these interconnected habitats. The </w:t>
      </w:r>
      <w:r w:rsidRPr="00D4309F">
        <w:rPr>
          <w:i/>
        </w:rPr>
        <w:t xml:space="preserve">Maroochy River Environmental Values and Water Quality Objectives report </w:t>
      </w:r>
      <w:r w:rsidRPr="00D4309F">
        <w:t>(DESI, 2022) recognises protection of aquatic ecosystems as its primary goal and requires that developments</w:t>
      </w:r>
      <w:r w:rsidRPr="00D4309F">
        <w:rPr>
          <w:spacing w:val="-2"/>
        </w:rPr>
        <w:t xml:space="preserve"> </w:t>
      </w:r>
      <w:r w:rsidRPr="00D4309F">
        <w:t>avoid</w:t>
      </w:r>
      <w:r w:rsidRPr="00D4309F">
        <w:rPr>
          <w:spacing w:val="-3"/>
        </w:rPr>
        <w:t xml:space="preserve"> </w:t>
      </w:r>
      <w:r w:rsidRPr="00D4309F">
        <w:t>increases</w:t>
      </w:r>
      <w:r w:rsidRPr="00D4309F">
        <w:rPr>
          <w:spacing w:val="-2"/>
        </w:rPr>
        <w:t xml:space="preserve"> </w:t>
      </w:r>
      <w:r w:rsidRPr="00D4309F">
        <w:t>in</w:t>
      </w:r>
      <w:r w:rsidRPr="00D4309F">
        <w:rPr>
          <w:spacing w:val="-3"/>
        </w:rPr>
        <w:t xml:space="preserve"> </w:t>
      </w:r>
      <w:r w:rsidRPr="00D4309F">
        <w:t>turbidity,</w:t>
      </w:r>
      <w:r w:rsidRPr="00D4309F">
        <w:rPr>
          <w:spacing w:val="-3"/>
        </w:rPr>
        <w:t xml:space="preserve"> </w:t>
      </w:r>
      <w:r w:rsidRPr="00D4309F">
        <w:t>suspended</w:t>
      </w:r>
      <w:r w:rsidRPr="00D4309F">
        <w:rPr>
          <w:spacing w:val="-3"/>
        </w:rPr>
        <w:t xml:space="preserve"> </w:t>
      </w:r>
      <w:r w:rsidRPr="00D4309F">
        <w:t>solids</w:t>
      </w:r>
      <w:r w:rsidRPr="00D4309F">
        <w:rPr>
          <w:spacing w:val="-2"/>
        </w:rPr>
        <w:t xml:space="preserve"> </w:t>
      </w:r>
      <w:r w:rsidRPr="00D4309F">
        <w:t>or</w:t>
      </w:r>
      <w:r w:rsidRPr="00D4309F">
        <w:rPr>
          <w:spacing w:val="-2"/>
        </w:rPr>
        <w:t xml:space="preserve"> </w:t>
      </w:r>
      <w:r w:rsidRPr="00D4309F">
        <w:t>nutrient</w:t>
      </w:r>
      <w:r w:rsidRPr="00D4309F">
        <w:rPr>
          <w:spacing w:val="-3"/>
        </w:rPr>
        <w:t xml:space="preserve"> </w:t>
      </w:r>
      <w:r w:rsidRPr="00D4309F">
        <w:t>loads</w:t>
      </w:r>
      <w:r w:rsidRPr="00D4309F">
        <w:rPr>
          <w:spacing w:val="-2"/>
        </w:rPr>
        <w:t xml:space="preserve"> </w:t>
      </w:r>
      <w:r w:rsidRPr="00D4309F">
        <w:t>that</w:t>
      </w:r>
      <w:r w:rsidRPr="00D4309F">
        <w:rPr>
          <w:spacing w:val="-3"/>
        </w:rPr>
        <w:t xml:space="preserve"> </w:t>
      </w:r>
      <w:r w:rsidRPr="00D4309F">
        <w:t>could</w:t>
      </w:r>
      <w:r w:rsidRPr="00D4309F">
        <w:rPr>
          <w:spacing w:val="-4"/>
        </w:rPr>
        <w:t xml:space="preserve"> </w:t>
      </w:r>
      <w:r w:rsidRPr="00D4309F">
        <w:t>smother</w:t>
      </w:r>
      <w:r w:rsidRPr="00D4309F">
        <w:rPr>
          <w:spacing w:val="-2"/>
        </w:rPr>
        <w:t xml:space="preserve"> </w:t>
      </w:r>
      <w:r w:rsidRPr="00D4309F">
        <w:t>seagrass</w:t>
      </w:r>
      <w:r w:rsidRPr="00D4309F">
        <w:rPr>
          <w:spacing w:val="-2"/>
        </w:rPr>
        <w:t xml:space="preserve"> </w:t>
      </w:r>
      <w:r w:rsidRPr="00D4309F">
        <w:t>or disrupt food webs. Where seagrass meadows remain intact, local water clarity and light penetration must be upheld to safeguard their extent, species diversity and depth limits.</w:t>
      </w:r>
    </w:p>
    <w:p w14:paraId="3121DF88" w14:textId="5B96D46A" w:rsidR="00F06E88" w:rsidRPr="00D4309F" w:rsidRDefault="00725977" w:rsidP="00725977">
      <w:pPr>
        <w:pStyle w:val="BodyText"/>
      </w:pPr>
      <w:r w:rsidRPr="00D4309F">
        <w:t>Because the Mooloolaba shoreline is shaped by waves, tides and long-shore sand movement, its beaches and dunes form a dynamic system that both absorbs energy from storms and nourishes surf-quality sands. The Point Cartwright and La Balsa Park Master Plan (Sunshine Coast Council, 2023a) calls for dune revegetation using native grasses and shrubs to enhance sand-trapping capacity, while the broader Environment and Liveability Strategy advocates integrating nature-based solutions—such as bio reefs and living</w:t>
      </w:r>
      <w:r w:rsidRPr="00D4309F">
        <w:rPr>
          <w:spacing w:val="-4"/>
        </w:rPr>
        <w:t xml:space="preserve"> </w:t>
      </w:r>
      <w:r w:rsidRPr="00D4309F">
        <w:t>shorelines—alongside</w:t>
      </w:r>
      <w:r w:rsidRPr="00D4309F">
        <w:rPr>
          <w:spacing w:val="-3"/>
        </w:rPr>
        <w:t xml:space="preserve"> </w:t>
      </w:r>
      <w:r w:rsidRPr="00D4309F">
        <w:t>engineered</w:t>
      </w:r>
      <w:r w:rsidRPr="00D4309F">
        <w:rPr>
          <w:spacing w:val="-4"/>
        </w:rPr>
        <w:t xml:space="preserve"> </w:t>
      </w:r>
      <w:r w:rsidRPr="00D4309F">
        <w:t>structures</w:t>
      </w:r>
      <w:r w:rsidRPr="00D4309F">
        <w:rPr>
          <w:spacing w:val="-2"/>
        </w:rPr>
        <w:t xml:space="preserve"> </w:t>
      </w:r>
      <w:r w:rsidRPr="00D4309F">
        <w:t>to</w:t>
      </w:r>
      <w:r w:rsidRPr="00D4309F">
        <w:rPr>
          <w:spacing w:val="-4"/>
        </w:rPr>
        <w:t xml:space="preserve"> </w:t>
      </w:r>
      <w:r w:rsidRPr="00D4309F">
        <w:t>bolster</w:t>
      </w:r>
      <w:r w:rsidRPr="00D4309F">
        <w:rPr>
          <w:spacing w:val="-2"/>
        </w:rPr>
        <w:t xml:space="preserve"> </w:t>
      </w:r>
      <w:r w:rsidRPr="00D4309F">
        <w:t>resilience</w:t>
      </w:r>
      <w:r w:rsidRPr="00D4309F">
        <w:rPr>
          <w:spacing w:val="-3"/>
        </w:rPr>
        <w:t xml:space="preserve"> </w:t>
      </w:r>
      <w:r w:rsidRPr="00D4309F">
        <w:t>against</w:t>
      </w:r>
      <w:r w:rsidRPr="00D4309F">
        <w:rPr>
          <w:spacing w:val="-3"/>
        </w:rPr>
        <w:t xml:space="preserve"> </w:t>
      </w:r>
      <w:r w:rsidRPr="00D4309F">
        <w:t>sea-level</w:t>
      </w:r>
      <w:r w:rsidRPr="00D4309F">
        <w:rPr>
          <w:spacing w:val="-4"/>
        </w:rPr>
        <w:t xml:space="preserve"> </w:t>
      </w:r>
      <w:r w:rsidRPr="00D4309F">
        <w:t>rise</w:t>
      </w:r>
      <w:r w:rsidRPr="00D4309F">
        <w:rPr>
          <w:spacing w:val="-3"/>
        </w:rPr>
        <w:t xml:space="preserve"> </w:t>
      </w:r>
      <w:r w:rsidRPr="00D4309F">
        <w:t>and</w:t>
      </w:r>
      <w:r w:rsidRPr="00D4309F">
        <w:rPr>
          <w:spacing w:val="-3"/>
        </w:rPr>
        <w:t xml:space="preserve"> </w:t>
      </w:r>
      <w:r w:rsidRPr="00D4309F">
        <w:t>storm-tide inundation (Sunshine Coast Council, 2023b).</w:t>
      </w:r>
    </w:p>
    <w:p w14:paraId="484EEA90" w14:textId="15BAD722" w:rsidR="00F06E88" w:rsidRPr="00F06E88" w:rsidRDefault="00725977">
      <w:pPr>
        <w:pStyle w:val="Heading2"/>
      </w:pPr>
      <w:bookmarkStart w:id="96" w:name="_bookmark38"/>
      <w:bookmarkStart w:id="97" w:name="_Toc216699319"/>
      <w:bookmarkEnd w:id="96"/>
      <w:r w:rsidRPr="00D4309F">
        <w:lastRenderedPageBreak/>
        <w:t>Economic</w:t>
      </w:r>
      <w:r w:rsidRPr="00F06E88">
        <w:rPr>
          <w:spacing w:val="-17"/>
        </w:rPr>
        <w:t xml:space="preserve"> </w:t>
      </w:r>
      <w:r w:rsidRPr="00F06E88">
        <w:rPr>
          <w:spacing w:val="-2"/>
        </w:rPr>
        <w:t>values</w:t>
      </w:r>
      <w:bookmarkEnd w:id="97"/>
    </w:p>
    <w:p w14:paraId="3EA3F7F4" w14:textId="77777777" w:rsidR="00725977" w:rsidRPr="00D4309F" w:rsidRDefault="00725977" w:rsidP="0048770E">
      <w:pPr>
        <w:pStyle w:val="Heading3"/>
      </w:pPr>
      <w:bookmarkStart w:id="98" w:name="_Toc216699320"/>
      <w:r w:rsidRPr="00D4309F">
        <w:t>Demographic</w:t>
      </w:r>
      <w:r w:rsidRPr="00D4309F">
        <w:rPr>
          <w:spacing w:val="-7"/>
        </w:rPr>
        <w:t xml:space="preserve"> </w:t>
      </w:r>
      <w:r w:rsidRPr="00D4309F">
        <w:rPr>
          <w:spacing w:val="-2"/>
        </w:rPr>
        <w:t>profile</w:t>
      </w:r>
      <w:bookmarkEnd w:id="98"/>
    </w:p>
    <w:p w14:paraId="336C1A3E" w14:textId="77777777" w:rsidR="00725977" w:rsidRPr="00D4309F" w:rsidRDefault="00725977" w:rsidP="00DA1200">
      <w:pPr>
        <w:pStyle w:val="BodyText"/>
        <w:keepNext/>
      </w:pPr>
      <w:r w:rsidRPr="00D4309F">
        <w:t>To</w:t>
      </w:r>
      <w:r w:rsidRPr="00D4309F">
        <w:rPr>
          <w:spacing w:val="-3"/>
        </w:rPr>
        <w:t xml:space="preserve"> </w:t>
      </w:r>
      <w:r w:rsidRPr="00D4309F">
        <w:t>establish</w:t>
      </w:r>
      <w:r w:rsidRPr="00D4309F">
        <w:rPr>
          <w:spacing w:val="-4"/>
        </w:rPr>
        <w:t xml:space="preserve"> </w:t>
      </w:r>
      <w:r w:rsidRPr="00D4309F">
        <w:t>a</w:t>
      </w:r>
      <w:r w:rsidRPr="00D4309F">
        <w:rPr>
          <w:spacing w:val="-3"/>
        </w:rPr>
        <w:t xml:space="preserve"> </w:t>
      </w:r>
      <w:r w:rsidRPr="00D4309F">
        <w:t>demographic</w:t>
      </w:r>
      <w:r w:rsidRPr="00D4309F">
        <w:rPr>
          <w:spacing w:val="-2"/>
        </w:rPr>
        <w:t xml:space="preserve"> </w:t>
      </w:r>
      <w:r w:rsidRPr="00D4309F">
        <w:t>profile</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local</w:t>
      </w:r>
      <w:r w:rsidRPr="00D4309F">
        <w:rPr>
          <w:spacing w:val="-3"/>
        </w:rPr>
        <w:t xml:space="preserve"> </w:t>
      </w:r>
      <w:r w:rsidRPr="00D4309F">
        <w:t>area,</w:t>
      </w:r>
      <w:r w:rsidRPr="00D4309F">
        <w:rPr>
          <w:spacing w:val="-4"/>
        </w:rPr>
        <w:t xml:space="preserve"> </w:t>
      </w:r>
      <w:r w:rsidRPr="00D4309F">
        <w:t>2021</w:t>
      </w:r>
      <w:r w:rsidRPr="00D4309F">
        <w:rPr>
          <w:spacing w:val="-3"/>
        </w:rPr>
        <w:t xml:space="preserve"> </w:t>
      </w:r>
      <w:r w:rsidRPr="00D4309F">
        <w:t>ABS</w:t>
      </w:r>
      <w:r w:rsidRPr="00D4309F">
        <w:rPr>
          <w:spacing w:val="-3"/>
        </w:rPr>
        <w:t xml:space="preserve"> </w:t>
      </w:r>
      <w:r w:rsidRPr="00D4309F">
        <w:t>Census</w:t>
      </w:r>
      <w:r w:rsidRPr="00D4309F">
        <w:rPr>
          <w:spacing w:val="-2"/>
        </w:rPr>
        <w:t xml:space="preserve"> </w:t>
      </w:r>
      <w:r w:rsidRPr="00D4309F">
        <w:t>data</w:t>
      </w:r>
      <w:r w:rsidRPr="00D4309F">
        <w:rPr>
          <w:spacing w:val="-3"/>
        </w:rPr>
        <w:t xml:space="preserve"> </w:t>
      </w:r>
      <w:r w:rsidRPr="00D4309F">
        <w:t>has</w:t>
      </w:r>
      <w:r w:rsidRPr="00D4309F">
        <w:rPr>
          <w:spacing w:val="-2"/>
        </w:rPr>
        <w:t xml:space="preserve"> </w:t>
      </w:r>
      <w:r w:rsidRPr="00D4309F">
        <w:t>been</w:t>
      </w:r>
      <w:r w:rsidRPr="00D4309F">
        <w:rPr>
          <w:spacing w:val="-3"/>
        </w:rPr>
        <w:t xml:space="preserve"> </w:t>
      </w:r>
      <w:r w:rsidRPr="00D4309F">
        <w:t>analysed</w:t>
      </w:r>
      <w:r w:rsidRPr="00D4309F">
        <w:rPr>
          <w:spacing w:val="-3"/>
        </w:rPr>
        <w:t xml:space="preserve"> </w:t>
      </w:r>
      <w:r w:rsidRPr="00D4309F">
        <w:t>for</w:t>
      </w:r>
      <w:r w:rsidRPr="00D4309F">
        <w:rPr>
          <w:spacing w:val="-2"/>
        </w:rPr>
        <w:t xml:space="preserve"> </w:t>
      </w:r>
      <w:r w:rsidRPr="00D4309F">
        <w:t>the following SA2s:</w:t>
      </w:r>
    </w:p>
    <w:p w14:paraId="553784C1" w14:textId="77777777" w:rsidR="00725977" w:rsidRPr="00D4309F" w:rsidRDefault="00725977" w:rsidP="007D4616">
      <w:pPr>
        <w:pStyle w:val="ListBullet"/>
      </w:pPr>
      <w:r w:rsidRPr="00D4309F">
        <w:t>Mooloolaba</w:t>
      </w:r>
      <w:r w:rsidRPr="00D4309F">
        <w:rPr>
          <w:spacing w:val="-4"/>
        </w:rPr>
        <w:t xml:space="preserve"> </w:t>
      </w:r>
      <w:r w:rsidRPr="00D4309F">
        <w:t>–</w:t>
      </w:r>
      <w:r w:rsidRPr="00D4309F">
        <w:rPr>
          <w:spacing w:val="-5"/>
        </w:rPr>
        <w:t xml:space="preserve"> </w:t>
      </w:r>
      <w:r w:rsidRPr="00D4309F">
        <w:t>Alexandra</w:t>
      </w:r>
      <w:r w:rsidRPr="00D4309F">
        <w:rPr>
          <w:spacing w:val="-4"/>
        </w:rPr>
        <w:t xml:space="preserve"> </w:t>
      </w:r>
      <w:r w:rsidRPr="00D4309F">
        <w:rPr>
          <w:spacing w:val="-2"/>
        </w:rPr>
        <w:t>Headland</w:t>
      </w:r>
    </w:p>
    <w:p w14:paraId="4DECBDD9" w14:textId="77777777" w:rsidR="00725977" w:rsidRPr="00D4309F" w:rsidRDefault="00725977" w:rsidP="007D4616">
      <w:pPr>
        <w:pStyle w:val="ListBullet"/>
      </w:pPr>
      <w:r w:rsidRPr="00D4309F">
        <w:t>Buddina</w:t>
      </w:r>
      <w:r w:rsidRPr="00D4309F">
        <w:rPr>
          <w:spacing w:val="-2"/>
        </w:rPr>
        <w:t xml:space="preserve"> </w:t>
      </w:r>
      <w:r w:rsidRPr="00D4309F">
        <w:t>–</w:t>
      </w:r>
      <w:r w:rsidRPr="00D4309F">
        <w:rPr>
          <w:spacing w:val="-2"/>
        </w:rPr>
        <w:t xml:space="preserve"> Minyama</w:t>
      </w:r>
    </w:p>
    <w:p w14:paraId="0E3C1097" w14:textId="1BA840CC" w:rsidR="00725977" w:rsidRPr="00D4309F" w:rsidRDefault="00725977" w:rsidP="00725977">
      <w:pPr>
        <w:pStyle w:val="BodyText"/>
      </w:pPr>
      <w:r w:rsidRPr="00D4309F">
        <w:t>The</w:t>
      </w:r>
      <w:r w:rsidRPr="00D4309F">
        <w:rPr>
          <w:spacing w:val="-3"/>
        </w:rPr>
        <w:t xml:space="preserve"> </w:t>
      </w:r>
      <w:r w:rsidRPr="00D4309F">
        <w:t>area</w:t>
      </w:r>
      <w:r w:rsidRPr="00D4309F">
        <w:rPr>
          <w:spacing w:val="-3"/>
        </w:rPr>
        <w:t xml:space="preserve"> </w:t>
      </w:r>
      <w:r w:rsidRPr="00514070">
        <w:t>is</w:t>
      </w:r>
      <w:r w:rsidRPr="00514070">
        <w:rPr>
          <w:spacing w:val="-2"/>
        </w:rPr>
        <w:t xml:space="preserve"> </w:t>
      </w:r>
      <w:r w:rsidRPr="00514070">
        <w:t>highlighted</w:t>
      </w:r>
      <w:r w:rsidRPr="00514070">
        <w:rPr>
          <w:spacing w:val="-3"/>
        </w:rPr>
        <w:t xml:space="preserve"> </w:t>
      </w:r>
      <w:r w:rsidRPr="00514070">
        <w:t>in</w:t>
      </w:r>
      <w:r w:rsidR="0048770E" w:rsidRPr="00514070">
        <w:rPr>
          <w:spacing w:val="-3"/>
        </w:rPr>
        <w:t xml:space="preserve"> </w:t>
      </w:r>
      <w:r w:rsidR="00514070" w:rsidRPr="00514070">
        <w:rPr>
          <w:spacing w:val="-3"/>
        </w:rPr>
        <w:fldChar w:fldCharType="begin" w:fldLock="1"/>
      </w:r>
      <w:r w:rsidR="00514070" w:rsidRPr="00514070">
        <w:rPr>
          <w:spacing w:val="-3"/>
        </w:rPr>
        <w:instrText xml:space="preserve"> REF _Ref215909736 \h </w:instrText>
      </w:r>
      <w:r w:rsidR="00514070">
        <w:rPr>
          <w:spacing w:val="-3"/>
        </w:rPr>
        <w:instrText xml:space="preserve"> \* MERGEFORMAT </w:instrText>
      </w:r>
      <w:r w:rsidR="00514070" w:rsidRPr="00514070">
        <w:rPr>
          <w:spacing w:val="-3"/>
        </w:rPr>
      </w:r>
      <w:r w:rsidR="00514070" w:rsidRPr="00514070">
        <w:rPr>
          <w:spacing w:val="-3"/>
        </w:rPr>
        <w:fldChar w:fldCharType="separate"/>
      </w:r>
      <w:r w:rsidR="001E5652">
        <w:t xml:space="preserve">Figure </w:t>
      </w:r>
      <w:r w:rsidR="001E5652">
        <w:rPr>
          <w:noProof/>
        </w:rPr>
        <w:t>6</w:t>
      </w:r>
      <w:r w:rsidR="001E5652">
        <w:rPr>
          <w:noProof/>
        </w:rPr>
        <w:noBreakHyphen/>
        <w:t>1</w:t>
      </w:r>
      <w:r w:rsidR="00514070" w:rsidRPr="00514070">
        <w:rPr>
          <w:spacing w:val="-3"/>
        </w:rPr>
        <w:fldChar w:fldCharType="end"/>
      </w:r>
      <w:r w:rsidR="00514070" w:rsidRPr="00514070">
        <w:rPr>
          <w:spacing w:val="-3"/>
        </w:rPr>
        <w:t>.</w:t>
      </w:r>
    </w:p>
    <w:p w14:paraId="2CAFC7E9" w14:textId="77777777" w:rsidR="00725977" w:rsidRPr="00D4309F" w:rsidRDefault="00725977" w:rsidP="00725977">
      <w:pPr>
        <w:pStyle w:val="BodyText"/>
      </w:pPr>
    </w:p>
    <w:p w14:paraId="6BA2BA9F" w14:textId="77777777" w:rsidR="007D4616" w:rsidRDefault="00725977" w:rsidP="007D4616">
      <w:pPr>
        <w:pStyle w:val="BodyText"/>
        <w:keepNext/>
        <w:jc w:val="center"/>
      </w:pPr>
      <w:r w:rsidRPr="00D4309F">
        <w:rPr>
          <w:noProof/>
        </w:rPr>
        <w:drawing>
          <wp:inline distT="0" distB="0" distL="0" distR="0" wp14:anchorId="1E6D2296" wp14:editId="2F870C08">
            <wp:extent cx="3438658" cy="3228975"/>
            <wp:effectExtent l="0" t="0" r="0" b="0"/>
            <wp:docPr id="1488931747" name="Image 35" descr="Arial map of Mooloolaba, showing the SA2 areas considered for the baseline demographic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8931747" name="Image 35" descr="Arial map of Mooloolaba, showing the SA2 areas considered for the baseline demographics. "/>
                    <pic:cNvPicPr/>
                  </pic:nvPicPr>
                  <pic:blipFill>
                    <a:blip r:embed="rId53" cstate="print"/>
                    <a:stretch>
                      <a:fillRect/>
                    </a:stretch>
                  </pic:blipFill>
                  <pic:spPr>
                    <a:xfrm>
                      <a:off x="0" y="0"/>
                      <a:ext cx="3438658" cy="3228975"/>
                    </a:xfrm>
                    <a:prstGeom prst="rect">
                      <a:avLst/>
                    </a:prstGeom>
                  </pic:spPr>
                </pic:pic>
              </a:graphicData>
            </a:graphic>
          </wp:inline>
        </w:drawing>
      </w:r>
    </w:p>
    <w:p w14:paraId="0DADB14D" w14:textId="50D26EC9" w:rsidR="0048770E" w:rsidRDefault="007D4616" w:rsidP="007D4616">
      <w:pPr>
        <w:pStyle w:val="Caption"/>
        <w:jc w:val="center"/>
      </w:pPr>
      <w:bookmarkStart w:id="99" w:name="_Ref215909736"/>
      <w:bookmarkStart w:id="100" w:name="_Toc216699601"/>
      <w:r>
        <w:t xml:space="preserve">Figure </w:t>
      </w:r>
      <w:r w:rsidR="00B538D4">
        <w:fldChar w:fldCharType="begin" w:fldLock="1"/>
      </w:r>
      <w:r w:rsidR="00B538D4">
        <w:instrText xml:space="preserve"> STYLEREF 1 \s </w:instrText>
      </w:r>
      <w:r w:rsidR="00B538D4">
        <w:fldChar w:fldCharType="separate"/>
      </w:r>
      <w:r w:rsidR="00B538D4">
        <w:rPr>
          <w:noProof/>
        </w:rPr>
        <w:t>6</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1</w:t>
      </w:r>
      <w:r w:rsidR="00B538D4">
        <w:fldChar w:fldCharType="end"/>
      </w:r>
      <w:bookmarkEnd w:id="99"/>
      <w:r>
        <w:t>:</w:t>
      </w:r>
      <w:r>
        <w:tab/>
      </w:r>
      <w:r w:rsidRPr="007D4616">
        <w:t>SA2 areas considered for the baseline demographics</w:t>
      </w:r>
      <w:bookmarkEnd w:id="100"/>
    </w:p>
    <w:p w14:paraId="1472C781" w14:textId="77777777" w:rsidR="000D4B8F" w:rsidRPr="000D4B8F" w:rsidRDefault="000D4B8F" w:rsidP="000D4B8F">
      <w:pPr>
        <w:pStyle w:val="BodyText"/>
      </w:pPr>
    </w:p>
    <w:p w14:paraId="3D5804F2" w14:textId="4C43975A" w:rsidR="00CF3755" w:rsidRDefault="00CF3755" w:rsidP="00151534">
      <w:pPr>
        <w:pStyle w:val="Table-Caption"/>
      </w:pPr>
      <w:bookmarkStart w:id="101" w:name="_bookmark39"/>
      <w:bookmarkStart w:id="102" w:name="_bookmark40"/>
      <w:bookmarkStart w:id="103" w:name="_Ref215979106"/>
      <w:bookmarkStart w:id="104" w:name="_Toc216699537"/>
      <w:bookmarkEnd w:id="101"/>
      <w:bookmarkEnd w:id="102"/>
      <w:r>
        <w:lastRenderedPageBreak/>
        <w:t xml:space="preserve">Table </w:t>
      </w:r>
      <w:r w:rsidR="00151534">
        <w:fldChar w:fldCharType="begin" w:fldLock="1"/>
      </w:r>
      <w:r w:rsidR="00151534">
        <w:instrText xml:space="preserve"> STYLEREF 1 \s </w:instrText>
      </w:r>
      <w:r w:rsidR="00151534">
        <w:fldChar w:fldCharType="separate"/>
      </w:r>
      <w:r w:rsidR="00151534">
        <w:rPr>
          <w:noProof/>
        </w:rPr>
        <w:t>6</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2</w:t>
      </w:r>
      <w:r w:rsidR="00151534">
        <w:fldChar w:fldCharType="end"/>
      </w:r>
      <w:bookmarkEnd w:id="103"/>
      <w:r>
        <w:t>:</w:t>
      </w:r>
      <w:r>
        <w:tab/>
      </w:r>
      <w:r w:rsidRPr="00D4309F">
        <w:rPr>
          <w:color w:val="211E1F"/>
        </w:rPr>
        <w:t>Demographic</w:t>
      </w:r>
      <w:r w:rsidRPr="00D4309F">
        <w:rPr>
          <w:color w:val="211E1F"/>
          <w:spacing w:val="-5"/>
        </w:rPr>
        <w:t xml:space="preserve"> </w:t>
      </w:r>
      <w:r w:rsidRPr="00D4309F">
        <w:rPr>
          <w:color w:val="211E1F"/>
        </w:rPr>
        <w:t>profile,</w:t>
      </w:r>
      <w:r w:rsidRPr="00D4309F">
        <w:rPr>
          <w:color w:val="211E1F"/>
          <w:spacing w:val="-3"/>
        </w:rPr>
        <w:t xml:space="preserve"> </w:t>
      </w:r>
      <w:r w:rsidRPr="00D4309F">
        <w:rPr>
          <w:color w:val="211E1F"/>
        </w:rPr>
        <w:t>2021</w:t>
      </w:r>
      <w:r w:rsidRPr="00D4309F">
        <w:rPr>
          <w:color w:val="211E1F"/>
          <w:spacing w:val="-4"/>
        </w:rPr>
        <w:t xml:space="preserve"> </w:t>
      </w:r>
      <w:r w:rsidRPr="00D4309F">
        <w:rPr>
          <w:color w:val="211E1F"/>
          <w:spacing w:val="-2"/>
        </w:rPr>
        <w:t>census</w:t>
      </w:r>
      <w:bookmarkEnd w:id="104"/>
    </w:p>
    <w:tbl>
      <w:tblPr>
        <w:tblW w:w="5000" w:type="pct"/>
        <w:tblCellMar>
          <w:left w:w="0" w:type="dxa"/>
          <w:right w:w="0" w:type="dxa"/>
        </w:tblCellMar>
        <w:tblLook w:val="01E0" w:firstRow="1" w:lastRow="1" w:firstColumn="1" w:lastColumn="1" w:noHBand="0" w:noVBand="0"/>
      </w:tblPr>
      <w:tblGrid>
        <w:gridCol w:w="2459"/>
        <w:gridCol w:w="2476"/>
        <w:gridCol w:w="1743"/>
        <w:gridCol w:w="1468"/>
        <w:gridCol w:w="1496"/>
      </w:tblGrid>
      <w:tr w:rsidR="00725977" w:rsidRPr="00D4309F" w14:paraId="3564FBB9" w14:textId="77777777" w:rsidTr="00C1475C">
        <w:trPr>
          <w:trHeight w:val="494"/>
        </w:trPr>
        <w:tc>
          <w:tcPr>
            <w:tcW w:w="1275" w:type="pct"/>
            <w:tcBorders>
              <w:bottom w:val="single" w:sz="4" w:space="0" w:color="000000"/>
            </w:tcBorders>
            <w:shd w:val="clear" w:color="auto" w:fill="D6D7D5"/>
          </w:tcPr>
          <w:p w14:paraId="60D829F1" w14:textId="77777777" w:rsidR="00725977" w:rsidRPr="00D4309F" w:rsidRDefault="00725977" w:rsidP="00F06E88">
            <w:pPr>
              <w:pStyle w:val="Table-Heading"/>
              <w:keepNext/>
            </w:pPr>
            <w:r w:rsidRPr="00D4309F">
              <w:t>Indicator</w:t>
            </w:r>
          </w:p>
        </w:tc>
        <w:tc>
          <w:tcPr>
            <w:tcW w:w="1284" w:type="pct"/>
            <w:tcBorders>
              <w:bottom w:val="single" w:sz="4" w:space="0" w:color="000000"/>
            </w:tcBorders>
            <w:shd w:val="clear" w:color="auto" w:fill="D6D7D5"/>
          </w:tcPr>
          <w:p w14:paraId="5FCDEEF8" w14:textId="77777777" w:rsidR="00725977" w:rsidRPr="00D4309F" w:rsidRDefault="00725977" w:rsidP="00F06E88">
            <w:pPr>
              <w:pStyle w:val="Table-Heading"/>
              <w:keepNext/>
            </w:pPr>
            <w:r w:rsidRPr="00D4309F">
              <w:t>Mooloolaba</w:t>
            </w:r>
            <w:r w:rsidRPr="00D4309F">
              <w:rPr>
                <w:spacing w:val="-15"/>
              </w:rPr>
              <w:t xml:space="preserve"> </w:t>
            </w:r>
            <w:r w:rsidRPr="00D4309F">
              <w:t>-</w:t>
            </w:r>
            <w:r w:rsidRPr="00D4309F">
              <w:rPr>
                <w:spacing w:val="-12"/>
              </w:rPr>
              <w:t xml:space="preserve"> </w:t>
            </w:r>
            <w:r w:rsidRPr="00D4309F">
              <w:t>Alexandra Headland SA2</w:t>
            </w:r>
          </w:p>
        </w:tc>
        <w:tc>
          <w:tcPr>
            <w:tcW w:w="904" w:type="pct"/>
            <w:tcBorders>
              <w:bottom w:val="single" w:sz="4" w:space="0" w:color="000000"/>
            </w:tcBorders>
            <w:shd w:val="clear" w:color="auto" w:fill="D6D7D5"/>
          </w:tcPr>
          <w:p w14:paraId="7A5599ED" w14:textId="77777777" w:rsidR="00725977" w:rsidRPr="00D4309F" w:rsidRDefault="00725977" w:rsidP="00F06E88">
            <w:pPr>
              <w:pStyle w:val="Table-Heading"/>
              <w:keepNext/>
            </w:pPr>
            <w:r w:rsidRPr="00D4309F">
              <w:t>Buddina – Minyama</w:t>
            </w:r>
            <w:r w:rsidRPr="00D4309F">
              <w:rPr>
                <w:spacing w:val="-13"/>
              </w:rPr>
              <w:t xml:space="preserve"> </w:t>
            </w:r>
            <w:r w:rsidRPr="00D4309F">
              <w:t>SA2</w:t>
            </w:r>
          </w:p>
        </w:tc>
        <w:tc>
          <w:tcPr>
            <w:tcW w:w="761" w:type="pct"/>
            <w:tcBorders>
              <w:bottom w:val="single" w:sz="4" w:space="0" w:color="000000"/>
            </w:tcBorders>
            <w:shd w:val="clear" w:color="auto" w:fill="D6D7D5"/>
          </w:tcPr>
          <w:p w14:paraId="40FF0046" w14:textId="77777777" w:rsidR="00725977" w:rsidRPr="00D4309F" w:rsidRDefault="00725977" w:rsidP="00F06E88">
            <w:pPr>
              <w:pStyle w:val="Table-Heading"/>
              <w:keepNext/>
            </w:pPr>
            <w:r w:rsidRPr="00D4309F">
              <w:t>Sunshine Coast</w:t>
            </w:r>
          </w:p>
        </w:tc>
        <w:tc>
          <w:tcPr>
            <w:tcW w:w="777" w:type="pct"/>
            <w:tcBorders>
              <w:bottom w:val="single" w:sz="4" w:space="0" w:color="000000"/>
            </w:tcBorders>
            <w:shd w:val="clear" w:color="auto" w:fill="D6D7D5"/>
          </w:tcPr>
          <w:p w14:paraId="11BA5BEB" w14:textId="77777777" w:rsidR="00725977" w:rsidRPr="00D4309F" w:rsidRDefault="00725977" w:rsidP="00F06E88">
            <w:pPr>
              <w:pStyle w:val="Table-Heading"/>
              <w:keepNext/>
            </w:pPr>
            <w:r w:rsidRPr="00D4309F">
              <w:t>Queensland</w:t>
            </w:r>
          </w:p>
        </w:tc>
      </w:tr>
      <w:tr w:rsidR="00725977" w:rsidRPr="00D4309F" w14:paraId="330C22C8" w14:textId="77777777" w:rsidTr="00C1475C">
        <w:trPr>
          <w:trHeight w:val="286"/>
        </w:trPr>
        <w:tc>
          <w:tcPr>
            <w:tcW w:w="1275" w:type="pct"/>
            <w:tcBorders>
              <w:top w:val="single" w:sz="4" w:space="0" w:color="000000"/>
              <w:bottom w:val="single" w:sz="4" w:space="0" w:color="000000"/>
            </w:tcBorders>
          </w:tcPr>
          <w:p w14:paraId="7E19A844" w14:textId="77777777" w:rsidR="00725977" w:rsidRPr="00D4309F" w:rsidRDefault="00725977" w:rsidP="00F06E88">
            <w:pPr>
              <w:pStyle w:val="Table-Text"/>
              <w:keepNext/>
            </w:pPr>
            <w:r w:rsidRPr="00D4309F">
              <w:t>Population</w:t>
            </w:r>
          </w:p>
        </w:tc>
        <w:tc>
          <w:tcPr>
            <w:tcW w:w="1284" w:type="pct"/>
            <w:tcBorders>
              <w:top w:val="single" w:sz="4" w:space="0" w:color="000000"/>
              <w:bottom w:val="single" w:sz="4" w:space="0" w:color="000000"/>
            </w:tcBorders>
          </w:tcPr>
          <w:p w14:paraId="39594485" w14:textId="77777777" w:rsidR="00725977" w:rsidRPr="00D4309F" w:rsidRDefault="00725977" w:rsidP="00F06E88">
            <w:pPr>
              <w:pStyle w:val="Table-Text"/>
              <w:keepNext/>
            </w:pPr>
            <w:r w:rsidRPr="00D4309F">
              <w:t>12,443</w:t>
            </w:r>
          </w:p>
        </w:tc>
        <w:tc>
          <w:tcPr>
            <w:tcW w:w="904" w:type="pct"/>
            <w:tcBorders>
              <w:top w:val="single" w:sz="4" w:space="0" w:color="000000"/>
              <w:bottom w:val="single" w:sz="4" w:space="0" w:color="000000"/>
            </w:tcBorders>
          </w:tcPr>
          <w:p w14:paraId="30A67A0F" w14:textId="77777777" w:rsidR="00725977" w:rsidRPr="00D4309F" w:rsidRDefault="00725977" w:rsidP="00F06E88">
            <w:pPr>
              <w:pStyle w:val="Table-Text"/>
              <w:keepNext/>
            </w:pPr>
            <w:r w:rsidRPr="00D4309F">
              <w:t>6,956</w:t>
            </w:r>
          </w:p>
        </w:tc>
        <w:tc>
          <w:tcPr>
            <w:tcW w:w="761" w:type="pct"/>
            <w:tcBorders>
              <w:top w:val="single" w:sz="4" w:space="0" w:color="000000"/>
              <w:bottom w:val="single" w:sz="4" w:space="0" w:color="000000"/>
            </w:tcBorders>
          </w:tcPr>
          <w:p w14:paraId="7DA55FD2" w14:textId="77777777" w:rsidR="00725977" w:rsidRPr="00D4309F" w:rsidRDefault="00725977" w:rsidP="00F06E88">
            <w:pPr>
              <w:pStyle w:val="Table-Text"/>
              <w:keepNext/>
            </w:pPr>
            <w:r w:rsidRPr="00D4309F">
              <w:t>342,541</w:t>
            </w:r>
          </w:p>
        </w:tc>
        <w:tc>
          <w:tcPr>
            <w:tcW w:w="777" w:type="pct"/>
            <w:tcBorders>
              <w:top w:val="single" w:sz="4" w:space="0" w:color="000000"/>
              <w:bottom w:val="single" w:sz="4" w:space="0" w:color="000000"/>
            </w:tcBorders>
          </w:tcPr>
          <w:p w14:paraId="4C59FB57" w14:textId="77777777" w:rsidR="00725977" w:rsidRPr="00D4309F" w:rsidRDefault="00725977" w:rsidP="00F06E88">
            <w:pPr>
              <w:pStyle w:val="Table-Text"/>
              <w:keepNext/>
            </w:pPr>
            <w:r w:rsidRPr="00D4309F">
              <w:t>5,156,138</w:t>
            </w:r>
          </w:p>
        </w:tc>
      </w:tr>
      <w:tr w:rsidR="00725977" w:rsidRPr="00D4309F" w14:paraId="372F6741" w14:textId="77777777" w:rsidTr="00C1475C">
        <w:trPr>
          <w:trHeight w:val="287"/>
        </w:trPr>
        <w:tc>
          <w:tcPr>
            <w:tcW w:w="1275" w:type="pct"/>
            <w:tcBorders>
              <w:top w:val="single" w:sz="4" w:space="0" w:color="000000"/>
              <w:bottom w:val="single" w:sz="4" w:space="0" w:color="000000"/>
            </w:tcBorders>
          </w:tcPr>
          <w:p w14:paraId="739F14E4" w14:textId="77777777" w:rsidR="00725977" w:rsidRPr="00D4309F" w:rsidRDefault="00725977" w:rsidP="00F06E88">
            <w:pPr>
              <w:pStyle w:val="Table-Text"/>
              <w:keepNext/>
            </w:pPr>
            <w:r w:rsidRPr="00D4309F">
              <w:t>Males</w:t>
            </w:r>
          </w:p>
        </w:tc>
        <w:tc>
          <w:tcPr>
            <w:tcW w:w="1284" w:type="pct"/>
            <w:tcBorders>
              <w:top w:val="single" w:sz="4" w:space="0" w:color="000000"/>
              <w:bottom w:val="single" w:sz="4" w:space="0" w:color="000000"/>
            </w:tcBorders>
          </w:tcPr>
          <w:p w14:paraId="38F15E8C" w14:textId="77777777" w:rsidR="00725977" w:rsidRPr="00D4309F" w:rsidRDefault="00725977" w:rsidP="00F06E88">
            <w:pPr>
              <w:pStyle w:val="Table-Text"/>
              <w:keepNext/>
            </w:pPr>
            <w:r w:rsidRPr="00D4309F">
              <w:rPr>
                <w:spacing w:val="-5"/>
              </w:rPr>
              <w:t>49%</w:t>
            </w:r>
          </w:p>
        </w:tc>
        <w:tc>
          <w:tcPr>
            <w:tcW w:w="904" w:type="pct"/>
            <w:tcBorders>
              <w:top w:val="single" w:sz="4" w:space="0" w:color="000000"/>
              <w:bottom w:val="single" w:sz="4" w:space="0" w:color="000000"/>
            </w:tcBorders>
          </w:tcPr>
          <w:p w14:paraId="1EC4F41B" w14:textId="77777777" w:rsidR="00725977" w:rsidRPr="00D4309F" w:rsidRDefault="00725977" w:rsidP="00F06E88">
            <w:pPr>
              <w:pStyle w:val="Table-Text"/>
              <w:keepNext/>
            </w:pPr>
            <w:r w:rsidRPr="00D4309F">
              <w:t>48.9%</w:t>
            </w:r>
          </w:p>
        </w:tc>
        <w:tc>
          <w:tcPr>
            <w:tcW w:w="761" w:type="pct"/>
            <w:tcBorders>
              <w:top w:val="single" w:sz="4" w:space="0" w:color="000000"/>
              <w:bottom w:val="single" w:sz="4" w:space="0" w:color="000000"/>
            </w:tcBorders>
          </w:tcPr>
          <w:p w14:paraId="04D58215" w14:textId="77777777" w:rsidR="00725977" w:rsidRPr="00D4309F" w:rsidRDefault="00725977" w:rsidP="00F06E88">
            <w:pPr>
              <w:pStyle w:val="Table-Text"/>
              <w:keepNext/>
            </w:pPr>
            <w:r w:rsidRPr="00D4309F">
              <w:t>48.1%</w:t>
            </w:r>
          </w:p>
        </w:tc>
        <w:tc>
          <w:tcPr>
            <w:tcW w:w="777" w:type="pct"/>
            <w:tcBorders>
              <w:top w:val="single" w:sz="4" w:space="0" w:color="000000"/>
              <w:bottom w:val="single" w:sz="4" w:space="0" w:color="000000"/>
            </w:tcBorders>
          </w:tcPr>
          <w:p w14:paraId="0DEC240B" w14:textId="77777777" w:rsidR="00725977" w:rsidRPr="00D4309F" w:rsidRDefault="00725977" w:rsidP="00F06E88">
            <w:pPr>
              <w:pStyle w:val="Table-Text"/>
              <w:keepNext/>
            </w:pPr>
            <w:r w:rsidRPr="00D4309F">
              <w:t>49.3%</w:t>
            </w:r>
          </w:p>
        </w:tc>
      </w:tr>
      <w:tr w:rsidR="00725977" w:rsidRPr="00D4309F" w14:paraId="6AD02621" w14:textId="77777777" w:rsidTr="00C1475C">
        <w:trPr>
          <w:trHeight w:val="286"/>
        </w:trPr>
        <w:tc>
          <w:tcPr>
            <w:tcW w:w="1275" w:type="pct"/>
            <w:tcBorders>
              <w:top w:val="single" w:sz="4" w:space="0" w:color="000000"/>
              <w:bottom w:val="single" w:sz="4" w:space="0" w:color="000000"/>
            </w:tcBorders>
          </w:tcPr>
          <w:p w14:paraId="3098F75D" w14:textId="77777777" w:rsidR="00725977" w:rsidRPr="00D4309F" w:rsidRDefault="00725977" w:rsidP="00F06E88">
            <w:pPr>
              <w:pStyle w:val="Table-Text"/>
              <w:keepNext/>
            </w:pPr>
            <w:r w:rsidRPr="00D4309F">
              <w:t>Females</w:t>
            </w:r>
          </w:p>
        </w:tc>
        <w:tc>
          <w:tcPr>
            <w:tcW w:w="1284" w:type="pct"/>
            <w:tcBorders>
              <w:top w:val="single" w:sz="4" w:space="0" w:color="000000"/>
              <w:bottom w:val="single" w:sz="4" w:space="0" w:color="000000"/>
            </w:tcBorders>
          </w:tcPr>
          <w:p w14:paraId="775680F3" w14:textId="77777777" w:rsidR="00725977" w:rsidRPr="00D4309F" w:rsidRDefault="00725977" w:rsidP="00F06E88">
            <w:pPr>
              <w:pStyle w:val="Table-Text"/>
              <w:keepNext/>
            </w:pPr>
            <w:r w:rsidRPr="00D4309F">
              <w:rPr>
                <w:spacing w:val="-5"/>
              </w:rPr>
              <w:t>51%</w:t>
            </w:r>
          </w:p>
        </w:tc>
        <w:tc>
          <w:tcPr>
            <w:tcW w:w="904" w:type="pct"/>
            <w:tcBorders>
              <w:top w:val="single" w:sz="4" w:space="0" w:color="000000"/>
              <w:bottom w:val="single" w:sz="4" w:space="0" w:color="000000"/>
            </w:tcBorders>
          </w:tcPr>
          <w:p w14:paraId="4C9DE622" w14:textId="77777777" w:rsidR="00725977" w:rsidRPr="00D4309F" w:rsidRDefault="00725977" w:rsidP="00F06E88">
            <w:pPr>
              <w:pStyle w:val="Table-Text"/>
              <w:keepNext/>
            </w:pPr>
            <w:r w:rsidRPr="00D4309F">
              <w:t>51.1%</w:t>
            </w:r>
          </w:p>
        </w:tc>
        <w:tc>
          <w:tcPr>
            <w:tcW w:w="761" w:type="pct"/>
            <w:tcBorders>
              <w:top w:val="single" w:sz="4" w:space="0" w:color="000000"/>
              <w:bottom w:val="single" w:sz="4" w:space="0" w:color="000000"/>
            </w:tcBorders>
          </w:tcPr>
          <w:p w14:paraId="609289EE" w14:textId="77777777" w:rsidR="00725977" w:rsidRPr="00D4309F" w:rsidRDefault="00725977" w:rsidP="00F06E88">
            <w:pPr>
              <w:pStyle w:val="Table-Text"/>
              <w:keepNext/>
            </w:pPr>
            <w:r w:rsidRPr="00D4309F">
              <w:t>51.9%</w:t>
            </w:r>
          </w:p>
        </w:tc>
        <w:tc>
          <w:tcPr>
            <w:tcW w:w="777" w:type="pct"/>
            <w:tcBorders>
              <w:top w:val="single" w:sz="4" w:space="0" w:color="000000"/>
              <w:bottom w:val="single" w:sz="4" w:space="0" w:color="000000"/>
            </w:tcBorders>
          </w:tcPr>
          <w:p w14:paraId="70C258A8" w14:textId="77777777" w:rsidR="00725977" w:rsidRPr="00D4309F" w:rsidRDefault="00725977" w:rsidP="00F06E88">
            <w:pPr>
              <w:pStyle w:val="Table-Text"/>
              <w:keepNext/>
            </w:pPr>
            <w:r w:rsidRPr="00D4309F">
              <w:t>50.7%</w:t>
            </w:r>
          </w:p>
        </w:tc>
      </w:tr>
      <w:tr w:rsidR="00725977" w:rsidRPr="00D4309F" w14:paraId="51205B04" w14:textId="77777777" w:rsidTr="00C1475C">
        <w:trPr>
          <w:trHeight w:val="287"/>
        </w:trPr>
        <w:tc>
          <w:tcPr>
            <w:tcW w:w="1275" w:type="pct"/>
            <w:tcBorders>
              <w:top w:val="single" w:sz="4" w:space="0" w:color="000000"/>
              <w:bottom w:val="single" w:sz="4" w:space="0" w:color="000000"/>
            </w:tcBorders>
          </w:tcPr>
          <w:p w14:paraId="4E53BEFE" w14:textId="77777777" w:rsidR="00725977" w:rsidRPr="00D4309F" w:rsidRDefault="00725977" w:rsidP="00F06E88">
            <w:pPr>
              <w:pStyle w:val="Table-Text"/>
              <w:keepNext/>
            </w:pPr>
            <w:r w:rsidRPr="00D4309F">
              <w:t>Median</w:t>
            </w:r>
            <w:r w:rsidRPr="00D4309F">
              <w:rPr>
                <w:spacing w:val="-4"/>
              </w:rPr>
              <w:t xml:space="preserve"> </w:t>
            </w:r>
            <w:r w:rsidRPr="00D4309F">
              <w:rPr>
                <w:spacing w:val="-5"/>
              </w:rPr>
              <w:t>age</w:t>
            </w:r>
          </w:p>
        </w:tc>
        <w:tc>
          <w:tcPr>
            <w:tcW w:w="1284" w:type="pct"/>
            <w:tcBorders>
              <w:top w:val="single" w:sz="4" w:space="0" w:color="000000"/>
              <w:bottom w:val="single" w:sz="4" w:space="0" w:color="000000"/>
            </w:tcBorders>
          </w:tcPr>
          <w:p w14:paraId="7DD2EB9D" w14:textId="77777777" w:rsidR="00725977" w:rsidRPr="00D4309F" w:rsidRDefault="00725977" w:rsidP="00F06E88">
            <w:pPr>
              <w:pStyle w:val="Table-Text"/>
              <w:keepNext/>
            </w:pPr>
            <w:r w:rsidRPr="00D4309F">
              <w:rPr>
                <w:spacing w:val="-5"/>
              </w:rPr>
              <w:t>45</w:t>
            </w:r>
          </w:p>
        </w:tc>
        <w:tc>
          <w:tcPr>
            <w:tcW w:w="904" w:type="pct"/>
            <w:tcBorders>
              <w:top w:val="single" w:sz="4" w:space="0" w:color="000000"/>
              <w:bottom w:val="single" w:sz="4" w:space="0" w:color="000000"/>
            </w:tcBorders>
          </w:tcPr>
          <w:p w14:paraId="1FA5E1F8" w14:textId="77777777" w:rsidR="00725977" w:rsidRPr="00D4309F" w:rsidRDefault="00725977" w:rsidP="00F06E88">
            <w:pPr>
              <w:pStyle w:val="Table-Text"/>
              <w:keepNext/>
            </w:pPr>
            <w:r w:rsidRPr="00D4309F">
              <w:rPr>
                <w:spacing w:val="-5"/>
              </w:rPr>
              <w:t>47</w:t>
            </w:r>
          </w:p>
        </w:tc>
        <w:tc>
          <w:tcPr>
            <w:tcW w:w="761" w:type="pct"/>
            <w:tcBorders>
              <w:top w:val="single" w:sz="4" w:space="0" w:color="000000"/>
              <w:bottom w:val="single" w:sz="4" w:space="0" w:color="000000"/>
            </w:tcBorders>
          </w:tcPr>
          <w:p w14:paraId="39DAAB5B" w14:textId="77777777" w:rsidR="00725977" w:rsidRPr="00D4309F" w:rsidRDefault="00725977" w:rsidP="00F06E88">
            <w:pPr>
              <w:pStyle w:val="Table-Text"/>
              <w:keepNext/>
            </w:pPr>
            <w:r w:rsidRPr="00D4309F">
              <w:rPr>
                <w:spacing w:val="-5"/>
              </w:rPr>
              <w:t>43</w:t>
            </w:r>
          </w:p>
        </w:tc>
        <w:tc>
          <w:tcPr>
            <w:tcW w:w="777" w:type="pct"/>
            <w:tcBorders>
              <w:top w:val="single" w:sz="4" w:space="0" w:color="000000"/>
              <w:bottom w:val="single" w:sz="4" w:space="0" w:color="000000"/>
            </w:tcBorders>
          </w:tcPr>
          <w:p w14:paraId="14EC87BF" w14:textId="77777777" w:rsidR="00725977" w:rsidRPr="00D4309F" w:rsidRDefault="00725977" w:rsidP="00F06E88">
            <w:pPr>
              <w:pStyle w:val="Table-Text"/>
              <w:keepNext/>
            </w:pPr>
            <w:r w:rsidRPr="00D4309F">
              <w:rPr>
                <w:spacing w:val="-5"/>
              </w:rPr>
              <w:t>38</w:t>
            </w:r>
          </w:p>
        </w:tc>
      </w:tr>
      <w:tr w:rsidR="00725977" w:rsidRPr="00D4309F" w14:paraId="7EFF1CD3" w14:textId="77777777" w:rsidTr="00C1475C">
        <w:trPr>
          <w:trHeight w:val="286"/>
        </w:trPr>
        <w:tc>
          <w:tcPr>
            <w:tcW w:w="1275" w:type="pct"/>
            <w:tcBorders>
              <w:top w:val="single" w:sz="4" w:space="0" w:color="000000"/>
              <w:bottom w:val="single" w:sz="4" w:space="0" w:color="000000"/>
            </w:tcBorders>
          </w:tcPr>
          <w:p w14:paraId="61507DDF" w14:textId="77777777" w:rsidR="00725977" w:rsidRPr="00D4309F" w:rsidRDefault="00725977" w:rsidP="00F06E88">
            <w:pPr>
              <w:pStyle w:val="Table-Text"/>
              <w:keepNext/>
            </w:pPr>
            <w:r w:rsidRPr="00D4309F">
              <w:t>Families</w:t>
            </w:r>
          </w:p>
        </w:tc>
        <w:tc>
          <w:tcPr>
            <w:tcW w:w="1284" w:type="pct"/>
            <w:tcBorders>
              <w:top w:val="single" w:sz="4" w:space="0" w:color="000000"/>
              <w:bottom w:val="single" w:sz="4" w:space="0" w:color="000000"/>
            </w:tcBorders>
          </w:tcPr>
          <w:p w14:paraId="67F9B08C" w14:textId="77777777" w:rsidR="00725977" w:rsidRPr="00D4309F" w:rsidRDefault="00725977" w:rsidP="00F06E88">
            <w:pPr>
              <w:pStyle w:val="Table-Text"/>
              <w:keepNext/>
            </w:pPr>
            <w:r w:rsidRPr="00D4309F">
              <w:t>3,220</w:t>
            </w:r>
          </w:p>
        </w:tc>
        <w:tc>
          <w:tcPr>
            <w:tcW w:w="904" w:type="pct"/>
            <w:tcBorders>
              <w:top w:val="single" w:sz="4" w:space="0" w:color="000000"/>
              <w:bottom w:val="single" w:sz="4" w:space="0" w:color="000000"/>
            </w:tcBorders>
          </w:tcPr>
          <w:p w14:paraId="70F6D135" w14:textId="77777777" w:rsidR="00725977" w:rsidRPr="00D4309F" w:rsidRDefault="00725977" w:rsidP="00F06E88">
            <w:pPr>
              <w:pStyle w:val="Table-Text"/>
              <w:keepNext/>
            </w:pPr>
            <w:r w:rsidRPr="00D4309F">
              <w:t>1,900</w:t>
            </w:r>
          </w:p>
        </w:tc>
        <w:tc>
          <w:tcPr>
            <w:tcW w:w="761" w:type="pct"/>
            <w:tcBorders>
              <w:top w:val="single" w:sz="4" w:space="0" w:color="000000"/>
              <w:bottom w:val="single" w:sz="4" w:space="0" w:color="000000"/>
            </w:tcBorders>
          </w:tcPr>
          <w:p w14:paraId="47C4E31A" w14:textId="77777777" w:rsidR="00725977" w:rsidRPr="00D4309F" w:rsidRDefault="00725977" w:rsidP="00F06E88">
            <w:pPr>
              <w:pStyle w:val="Table-Text"/>
              <w:keepNext/>
            </w:pPr>
            <w:r w:rsidRPr="00D4309F">
              <w:t>95,412</w:t>
            </w:r>
          </w:p>
        </w:tc>
        <w:tc>
          <w:tcPr>
            <w:tcW w:w="777" w:type="pct"/>
            <w:tcBorders>
              <w:top w:val="single" w:sz="4" w:space="0" w:color="000000"/>
              <w:bottom w:val="single" w:sz="4" w:space="0" w:color="000000"/>
            </w:tcBorders>
          </w:tcPr>
          <w:p w14:paraId="6749383B" w14:textId="77777777" w:rsidR="00725977" w:rsidRPr="00D4309F" w:rsidRDefault="00725977" w:rsidP="00F06E88">
            <w:pPr>
              <w:pStyle w:val="Table-Text"/>
              <w:keepNext/>
            </w:pPr>
            <w:r w:rsidRPr="00D4309F">
              <w:t>1,366,657</w:t>
            </w:r>
          </w:p>
        </w:tc>
      </w:tr>
      <w:tr w:rsidR="00725977" w:rsidRPr="00D4309F" w14:paraId="666A8FC3" w14:textId="77777777" w:rsidTr="00C1475C">
        <w:trPr>
          <w:trHeight w:val="287"/>
        </w:trPr>
        <w:tc>
          <w:tcPr>
            <w:tcW w:w="1275" w:type="pct"/>
            <w:tcBorders>
              <w:top w:val="single" w:sz="4" w:space="0" w:color="000000"/>
              <w:bottom w:val="single" w:sz="4" w:space="0" w:color="000000"/>
            </w:tcBorders>
          </w:tcPr>
          <w:p w14:paraId="1C01D25A" w14:textId="77777777" w:rsidR="00725977" w:rsidRPr="00D4309F" w:rsidRDefault="00725977" w:rsidP="00F06E88">
            <w:pPr>
              <w:pStyle w:val="Table-Text"/>
              <w:keepNext/>
            </w:pPr>
            <w:r w:rsidRPr="00D4309F">
              <w:t>Dwellings</w:t>
            </w:r>
          </w:p>
        </w:tc>
        <w:tc>
          <w:tcPr>
            <w:tcW w:w="1284" w:type="pct"/>
            <w:tcBorders>
              <w:top w:val="single" w:sz="4" w:space="0" w:color="000000"/>
              <w:bottom w:val="single" w:sz="4" w:space="0" w:color="000000"/>
            </w:tcBorders>
          </w:tcPr>
          <w:p w14:paraId="0CEF7860" w14:textId="77777777" w:rsidR="00725977" w:rsidRPr="00D4309F" w:rsidRDefault="00725977" w:rsidP="00F06E88">
            <w:pPr>
              <w:pStyle w:val="Table-Text"/>
              <w:keepNext/>
            </w:pPr>
            <w:r w:rsidRPr="00D4309F">
              <w:t>7,180</w:t>
            </w:r>
          </w:p>
        </w:tc>
        <w:tc>
          <w:tcPr>
            <w:tcW w:w="904" w:type="pct"/>
            <w:tcBorders>
              <w:top w:val="single" w:sz="4" w:space="0" w:color="000000"/>
              <w:bottom w:val="single" w:sz="4" w:space="0" w:color="000000"/>
            </w:tcBorders>
          </w:tcPr>
          <w:p w14:paraId="59E9BEC2" w14:textId="77777777" w:rsidR="00725977" w:rsidRPr="00D4309F" w:rsidRDefault="00725977" w:rsidP="00F06E88">
            <w:pPr>
              <w:pStyle w:val="Table-Text"/>
              <w:keepNext/>
            </w:pPr>
            <w:r w:rsidRPr="00D4309F">
              <w:t>3,271</w:t>
            </w:r>
          </w:p>
        </w:tc>
        <w:tc>
          <w:tcPr>
            <w:tcW w:w="761" w:type="pct"/>
            <w:tcBorders>
              <w:top w:val="single" w:sz="4" w:space="0" w:color="000000"/>
              <w:bottom w:val="single" w:sz="4" w:space="0" w:color="000000"/>
            </w:tcBorders>
          </w:tcPr>
          <w:p w14:paraId="7748080B" w14:textId="77777777" w:rsidR="00725977" w:rsidRPr="00D4309F" w:rsidRDefault="00725977" w:rsidP="00F06E88">
            <w:pPr>
              <w:pStyle w:val="Table-Text"/>
              <w:keepNext/>
            </w:pPr>
            <w:r w:rsidRPr="00D4309F">
              <w:t>148,638</w:t>
            </w:r>
          </w:p>
        </w:tc>
        <w:tc>
          <w:tcPr>
            <w:tcW w:w="777" w:type="pct"/>
            <w:tcBorders>
              <w:top w:val="single" w:sz="4" w:space="0" w:color="000000"/>
              <w:bottom w:val="single" w:sz="4" w:space="0" w:color="000000"/>
            </w:tcBorders>
          </w:tcPr>
          <w:p w14:paraId="21697998" w14:textId="77777777" w:rsidR="00725977" w:rsidRPr="00D4309F" w:rsidRDefault="00725977" w:rsidP="00F06E88">
            <w:pPr>
              <w:pStyle w:val="Table-Text"/>
              <w:keepNext/>
            </w:pPr>
            <w:r w:rsidRPr="00D4309F">
              <w:t>2,190,424</w:t>
            </w:r>
          </w:p>
        </w:tc>
      </w:tr>
      <w:tr w:rsidR="00725977" w:rsidRPr="00D4309F" w14:paraId="4EDB9EF3" w14:textId="77777777" w:rsidTr="00C1475C">
        <w:trPr>
          <w:trHeight w:val="493"/>
        </w:trPr>
        <w:tc>
          <w:tcPr>
            <w:tcW w:w="1275" w:type="pct"/>
            <w:tcBorders>
              <w:top w:val="single" w:sz="4" w:space="0" w:color="000000"/>
              <w:bottom w:val="single" w:sz="4" w:space="0" w:color="000000"/>
            </w:tcBorders>
          </w:tcPr>
          <w:p w14:paraId="211A19FD" w14:textId="77777777" w:rsidR="00725977" w:rsidRPr="00D4309F" w:rsidRDefault="00725977" w:rsidP="00F06E88">
            <w:pPr>
              <w:pStyle w:val="Table-Text"/>
              <w:keepNext/>
            </w:pPr>
            <w:r w:rsidRPr="00D4309F">
              <w:t>Average</w:t>
            </w:r>
            <w:r w:rsidRPr="00D4309F">
              <w:rPr>
                <w:spacing w:val="-11"/>
              </w:rPr>
              <w:t xml:space="preserve"> </w:t>
            </w:r>
            <w:r w:rsidRPr="00D4309F">
              <w:t>no.</w:t>
            </w:r>
            <w:r w:rsidRPr="00D4309F">
              <w:rPr>
                <w:spacing w:val="-10"/>
              </w:rPr>
              <w:t xml:space="preserve"> </w:t>
            </w:r>
            <w:r w:rsidRPr="00D4309F">
              <w:t>of</w:t>
            </w:r>
            <w:r w:rsidRPr="00D4309F">
              <w:rPr>
                <w:spacing w:val="-10"/>
              </w:rPr>
              <w:t xml:space="preserve"> </w:t>
            </w:r>
            <w:r w:rsidRPr="00D4309F">
              <w:t>people</w:t>
            </w:r>
            <w:r w:rsidRPr="00D4309F">
              <w:rPr>
                <w:spacing w:val="-10"/>
              </w:rPr>
              <w:t xml:space="preserve"> </w:t>
            </w:r>
            <w:r w:rsidRPr="00D4309F">
              <w:t>per household</w:t>
            </w:r>
          </w:p>
        </w:tc>
        <w:tc>
          <w:tcPr>
            <w:tcW w:w="1284" w:type="pct"/>
            <w:tcBorders>
              <w:top w:val="single" w:sz="4" w:space="0" w:color="000000"/>
              <w:bottom w:val="single" w:sz="4" w:space="0" w:color="000000"/>
            </w:tcBorders>
          </w:tcPr>
          <w:p w14:paraId="0163B2D7" w14:textId="77777777" w:rsidR="00725977" w:rsidRPr="00D4309F" w:rsidRDefault="00725977" w:rsidP="00F06E88">
            <w:pPr>
              <w:pStyle w:val="Table-Text"/>
              <w:keepNext/>
            </w:pPr>
            <w:r w:rsidRPr="00D4309F">
              <w:rPr>
                <w:spacing w:val="-5"/>
              </w:rPr>
              <w:t>2.1</w:t>
            </w:r>
          </w:p>
        </w:tc>
        <w:tc>
          <w:tcPr>
            <w:tcW w:w="904" w:type="pct"/>
            <w:tcBorders>
              <w:top w:val="single" w:sz="4" w:space="0" w:color="000000"/>
              <w:bottom w:val="single" w:sz="4" w:space="0" w:color="000000"/>
            </w:tcBorders>
          </w:tcPr>
          <w:p w14:paraId="68D090DC" w14:textId="77777777" w:rsidR="00725977" w:rsidRPr="00D4309F" w:rsidRDefault="00725977" w:rsidP="00F06E88">
            <w:pPr>
              <w:pStyle w:val="Table-Text"/>
              <w:keepNext/>
            </w:pPr>
            <w:r w:rsidRPr="00D4309F">
              <w:rPr>
                <w:spacing w:val="-5"/>
              </w:rPr>
              <w:t>2.4</w:t>
            </w:r>
          </w:p>
        </w:tc>
        <w:tc>
          <w:tcPr>
            <w:tcW w:w="761" w:type="pct"/>
            <w:tcBorders>
              <w:top w:val="single" w:sz="4" w:space="0" w:color="000000"/>
              <w:bottom w:val="single" w:sz="4" w:space="0" w:color="000000"/>
            </w:tcBorders>
          </w:tcPr>
          <w:p w14:paraId="24522EF4" w14:textId="77777777" w:rsidR="00725977" w:rsidRPr="00D4309F" w:rsidRDefault="00725977" w:rsidP="00F06E88">
            <w:pPr>
              <w:pStyle w:val="Table-Text"/>
              <w:keepNext/>
            </w:pPr>
            <w:r w:rsidRPr="00D4309F">
              <w:rPr>
                <w:spacing w:val="-5"/>
              </w:rPr>
              <w:t>2.5</w:t>
            </w:r>
          </w:p>
        </w:tc>
        <w:tc>
          <w:tcPr>
            <w:tcW w:w="777" w:type="pct"/>
            <w:tcBorders>
              <w:top w:val="single" w:sz="4" w:space="0" w:color="000000"/>
              <w:bottom w:val="single" w:sz="4" w:space="0" w:color="000000"/>
            </w:tcBorders>
          </w:tcPr>
          <w:p w14:paraId="7FDFFC36" w14:textId="77777777" w:rsidR="00725977" w:rsidRPr="00D4309F" w:rsidRDefault="00725977" w:rsidP="00F06E88">
            <w:pPr>
              <w:pStyle w:val="Table-Text"/>
              <w:keepNext/>
            </w:pPr>
            <w:r w:rsidRPr="00D4309F">
              <w:rPr>
                <w:spacing w:val="-5"/>
              </w:rPr>
              <w:t>2.5</w:t>
            </w:r>
          </w:p>
        </w:tc>
      </w:tr>
      <w:tr w:rsidR="00725977" w:rsidRPr="00D4309F" w14:paraId="19026387" w14:textId="77777777" w:rsidTr="00C1475C">
        <w:trPr>
          <w:trHeight w:val="493"/>
        </w:trPr>
        <w:tc>
          <w:tcPr>
            <w:tcW w:w="1275" w:type="pct"/>
            <w:tcBorders>
              <w:top w:val="single" w:sz="4" w:space="0" w:color="000000"/>
              <w:bottom w:val="single" w:sz="4" w:space="0" w:color="000000"/>
            </w:tcBorders>
          </w:tcPr>
          <w:p w14:paraId="5A6DA984" w14:textId="77777777" w:rsidR="00725977" w:rsidRPr="00D4309F" w:rsidRDefault="00725977" w:rsidP="00F06E88">
            <w:pPr>
              <w:pStyle w:val="Table-Text"/>
              <w:keepNext/>
            </w:pPr>
            <w:r w:rsidRPr="00D4309F">
              <w:t>Median</w:t>
            </w:r>
            <w:r w:rsidRPr="00D4309F">
              <w:rPr>
                <w:spacing w:val="-15"/>
              </w:rPr>
              <w:t xml:space="preserve"> </w:t>
            </w:r>
            <w:r w:rsidRPr="00D4309F">
              <w:t>weekly</w:t>
            </w:r>
            <w:r w:rsidRPr="00D4309F">
              <w:rPr>
                <w:spacing w:val="-12"/>
              </w:rPr>
              <w:t xml:space="preserve"> </w:t>
            </w:r>
            <w:r w:rsidRPr="00D4309F">
              <w:t>household income</w:t>
            </w:r>
          </w:p>
        </w:tc>
        <w:tc>
          <w:tcPr>
            <w:tcW w:w="1284" w:type="pct"/>
            <w:tcBorders>
              <w:top w:val="single" w:sz="4" w:space="0" w:color="000000"/>
              <w:bottom w:val="single" w:sz="4" w:space="0" w:color="000000"/>
            </w:tcBorders>
          </w:tcPr>
          <w:p w14:paraId="3C0D139B" w14:textId="77777777" w:rsidR="00725977" w:rsidRPr="00D4309F" w:rsidRDefault="00725977" w:rsidP="00F06E88">
            <w:pPr>
              <w:pStyle w:val="Table-Text"/>
              <w:keepNext/>
            </w:pPr>
            <w:r w:rsidRPr="00D4309F">
              <w:t>$1,559</w:t>
            </w:r>
          </w:p>
        </w:tc>
        <w:tc>
          <w:tcPr>
            <w:tcW w:w="904" w:type="pct"/>
            <w:tcBorders>
              <w:top w:val="single" w:sz="4" w:space="0" w:color="000000"/>
              <w:bottom w:val="single" w:sz="4" w:space="0" w:color="000000"/>
            </w:tcBorders>
          </w:tcPr>
          <w:p w14:paraId="5CB5F54D" w14:textId="77777777" w:rsidR="00725977" w:rsidRPr="00D4309F" w:rsidRDefault="00725977" w:rsidP="00F06E88">
            <w:pPr>
              <w:pStyle w:val="Table-Text"/>
              <w:keepNext/>
            </w:pPr>
            <w:r w:rsidRPr="00D4309F">
              <w:t>$1,719</w:t>
            </w:r>
          </w:p>
        </w:tc>
        <w:tc>
          <w:tcPr>
            <w:tcW w:w="761" w:type="pct"/>
            <w:tcBorders>
              <w:top w:val="single" w:sz="4" w:space="0" w:color="000000"/>
              <w:bottom w:val="single" w:sz="4" w:space="0" w:color="000000"/>
            </w:tcBorders>
          </w:tcPr>
          <w:p w14:paraId="4B907C90" w14:textId="77777777" w:rsidR="00725977" w:rsidRPr="00D4309F" w:rsidRDefault="00725977" w:rsidP="00F06E88">
            <w:pPr>
              <w:pStyle w:val="Table-Text"/>
              <w:keepNext/>
            </w:pPr>
            <w:r w:rsidRPr="00D4309F">
              <w:t>$1,595</w:t>
            </w:r>
          </w:p>
        </w:tc>
        <w:tc>
          <w:tcPr>
            <w:tcW w:w="777" w:type="pct"/>
            <w:tcBorders>
              <w:top w:val="single" w:sz="4" w:space="0" w:color="000000"/>
              <w:bottom w:val="single" w:sz="4" w:space="0" w:color="000000"/>
            </w:tcBorders>
          </w:tcPr>
          <w:p w14:paraId="0107883E" w14:textId="77777777" w:rsidR="00725977" w:rsidRPr="00D4309F" w:rsidRDefault="00725977" w:rsidP="00F06E88">
            <w:pPr>
              <w:pStyle w:val="Table-Text"/>
              <w:keepNext/>
            </w:pPr>
            <w:r w:rsidRPr="00D4309F">
              <w:t>$1,675</w:t>
            </w:r>
          </w:p>
        </w:tc>
      </w:tr>
      <w:tr w:rsidR="00725977" w:rsidRPr="00D4309F" w14:paraId="29B1EC5B" w14:textId="77777777" w:rsidTr="00C1475C">
        <w:trPr>
          <w:trHeight w:val="493"/>
        </w:trPr>
        <w:tc>
          <w:tcPr>
            <w:tcW w:w="1275" w:type="pct"/>
            <w:tcBorders>
              <w:top w:val="single" w:sz="4" w:space="0" w:color="000000"/>
              <w:bottom w:val="single" w:sz="4" w:space="0" w:color="000000"/>
            </w:tcBorders>
          </w:tcPr>
          <w:p w14:paraId="0BB103F2" w14:textId="77777777" w:rsidR="00725977" w:rsidRPr="00D4309F" w:rsidRDefault="00725977" w:rsidP="00F06E88">
            <w:pPr>
              <w:pStyle w:val="Table-Text"/>
              <w:keepNext/>
            </w:pPr>
            <w:r w:rsidRPr="00D4309F">
              <w:t>Median</w:t>
            </w:r>
            <w:r w:rsidRPr="00D4309F">
              <w:rPr>
                <w:spacing w:val="-15"/>
              </w:rPr>
              <w:t xml:space="preserve"> </w:t>
            </w:r>
            <w:r w:rsidRPr="00D4309F">
              <w:t>monthly</w:t>
            </w:r>
            <w:r w:rsidRPr="00D4309F">
              <w:rPr>
                <w:spacing w:val="-12"/>
              </w:rPr>
              <w:t xml:space="preserve"> </w:t>
            </w:r>
            <w:r w:rsidRPr="00D4309F">
              <w:t>mortgage repayments</w:t>
            </w:r>
          </w:p>
        </w:tc>
        <w:tc>
          <w:tcPr>
            <w:tcW w:w="1284" w:type="pct"/>
            <w:tcBorders>
              <w:top w:val="single" w:sz="4" w:space="0" w:color="000000"/>
              <w:bottom w:val="single" w:sz="4" w:space="0" w:color="000000"/>
            </w:tcBorders>
          </w:tcPr>
          <w:p w14:paraId="20F107FC" w14:textId="77777777" w:rsidR="00725977" w:rsidRPr="00D4309F" w:rsidRDefault="00725977" w:rsidP="00F06E88">
            <w:pPr>
              <w:pStyle w:val="Table-Text"/>
              <w:keepNext/>
            </w:pPr>
            <w:r w:rsidRPr="00D4309F">
              <w:t>$1,800</w:t>
            </w:r>
          </w:p>
        </w:tc>
        <w:tc>
          <w:tcPr>
            <w:tcW w:w="904" w:type="pct"/>
            <w:tcBorders>
              <w:top w:val="single" w:sz="4" w:space="0" w:color="000000"/>
              <w:bottom w:val="single" w:sz="4" w:space="0" w:color="000000"/>
            </w:tcBorders>
          </w:tcPr>
          <w:p w14:paraId="59CC1F0E" w14:textId="77777777" w:rsidR="00725977" w:rsidRPr="00D4309F" w:rsidRDefault="00725977" w:rsidP="00F06E88">
            <w:pPr>
              <w:pStyle w:val="Table-Text"/>
              <w:keepNext/>
            </w:pPr>
            <w:r w:rsidRPr="00D4309F">
              <w:t>$2,167</w:t>
            </w:r>
          </w:p>
        </w:tc>
        <w:tc>
          <w:tcPr>
            <w:tcW w:w="761" w:type="pct"/>
            <w:tcBorders>
              <w:top w:val="single" w:sz="4" w:space="0" w:color="000000"/>
              <w:bottom w:val="single" w:sz="4" w:space="0" w:color="000000"/>
            </w:tcBorders>
          </w:tcPr>
          <w:p w14:paraId="06D04FBE" w14:textId="77777777" w:rsidR="00725977" w:rsidRPr="00D4309F" w:rsidRDefault="00725977" w:rsidP="00F06E88">
            <w:pPr>
              <w:pStyle w:val="Table-Text"/>
              <w:keepNext/>
            </w:pPr>
            <w:r w:rsidRPr="00D4309F">
              <w:t>$1,915</w:t>
            </w:r>
          </w:p>
        </w:tc>
        <w:tc>
          <w:tcPr>
            <w:tcW w:w="777" w:type="pct"/>
            <w:tcBorders>
              <w:top w:val="single" w:sz="4" w:space="0" w:color="000000"/>
              <w:bottom w:val="single" w:sz="4" w:space="0" w:color="000000"/>
            </w:tcBorders>
          </w:tcPr>
          <w:p w14:paraId="008FDA2F" w14:textId="77777777" w:rsidR="00725977" w:rsidRPr="00D4309F" w:rsidRDefault="00725977" w:rsidP="00F06E88">
            <w:pPr>
              <w:pStyle w:val="Table-Text"/>
              <w:keepNext/>
            </w:pPr>
            <w:r w:rsidRPr="00D4309F">
              <w:t>$1,733</w:t>
            </w:r>
          </w:p>
        </w:tc>
      </w:tr>
      <w:tr w:rsidR="00725977" w:rsidRPr="00D4309F" w14:paraId="33CFA098" w14:textId="77777777" w:rsidTr="00C1475C">
        <w:trPr>
          <w:trHeight w:val="286"/>
        </w:trPr>
        <w:tc>
          <w:tcPr>
            <w:tcW w:w="1275" w:type="pct"/>
            <w:tcBorders>
              <w:top w:val="single" w:sz="4" w:space="0" w:color="000000"/>
              <w:bottom w:val="single" w:sz="4" w:space="0" w:color="000000"/>
            </w:tcBorders>
          </w:tcPr>
          <w:p w14:paraId="29C52A24" w14:textId="77777777" w:rsidR="00725977" w:rsidRPr="00D4309F" w:rsidRDefault="00725977" w:rsidP="00F06E88">
            <w:pPr>
              <w:pStyle w:val="Table-Text"/>
              <w:keepNext/>
            </w:pPr>
            <w:r w:rsidRPr="00D4309F">
              <w:t>Median</w:t>
            </w:r>
            <w:r w:rsidRPr="00D4309F">
              <w:rPr>
                <w:spacing w:val="-4"/>
              </w:rPr>
              <w:t xml:space="preserve"> </w:t>
            </w:r>
            <w:r w:rsidRPr="00D4309F">
              <w:t xml:space="preserve">weekly </w:t>
            </w:r>
            <w:r w:rsidRPr="00D4309F">
              <w:rPr>
                <w:spacing w:val="-4"/>
              </w:rPr>
              <w:t>rent</w:t>
            </w:r>
          </w:p>
        </w:tc>
        <w:tc>
          <w:tcPr>
            <w:tcW w:w="1284" w:type="pct"/>
            <w:tcBorders>
              <w:top w:val="single" w:sz="4" w:space="0" w:color="000000"/>
              <w:bottom w:val="single" w:sz="4" w:space="0" w:color="000000"/>
            </w:tcBorders>
          </w:tcPr>
          <w:p w14:paraId="0BEE6635" w14:textId="77777777" w:rsidR="00725977" w:rsidRPr="00D4309F" w:rsidRDefault="00725977" w:rsidP="00F06E88">
            <w:pPr>
              <w:pStyle w:val="Table-Text"/>
              <w:keepNext/>
            </w:pPr>
            <w:r w:rsidRPr="00D4309F">
              <w:rPr>
                <w:spacing w:val="-4"/>
              </w:rPr>
              <w:t>$400</w:t>
            </w:r>
          </w:p>
        </w:tc>
        <w:tc>
          <w:tcPr>
            <w:tcW w:w="904" w:type="pct"/>
            <w:tcBorders>
              <w:top w:val="single" w:sz="4" w:space="0" w:color="000000"/>
              <w:bottom w:val="single" w:sz="4" w:space="0" w:color="000000"/>
            </w:tcBorders>
          </w:tcPr>
          <w:p w14:paraId="53D3C726" w14:textId="77777777" w:rsidR="00725977" w:rsidRPr="00D4309F" w:rsidRDefault="00725977" w:rsidP="00F06E88">
            <w:pPr>
              <w:pStyle w:val="Table-Text"/>
              <w:keepNext/>
            </w:pPr>
            <w:r w:rsidRPr="00D4309F">
              <w:rPr>
                <w:spacing w:val="-4"/>
              </w:rPr>
              <w:t>$450</w:t>
            </w:r>
          </w:p>
        </w:tc>
        <w:tc>
          <w:tcPr>
            <w:tcW w:w="761" w:type="pct"/>
            <w:tcBorders>
              <w:top w:val="single" w:sz="4" w:space="0" w:color="000000"/>
              <w:bottom w:val="single" w:sz="4" w:space="0" w:color="000000"/>
            </w:tcBorders>
          </w:tcPr>
          <w:p w14:paraId="7E8BCE5C" w14:textId="77777777" w:rsidR="00725977" w:rsidRPr="00D4309F" w:rsidRDefault="00725977" w:rsidP="00F06E88">
            <w:pPr>
              <w:pStyle w:val="Table-Text"/>
              <w:keepNext/>
            </w:pPr>
            <w:r w:rsidRPr="00D4309F">
              <w:rPr>
                <w:spacing w:val="-4"/>
              </w:rPr>
              <w:t>$440</w:t>
            </w:r>
          </w:p>
        </w:tc>
        <w:tc>
          <w:tcPr>
            <w:tcW w:w="777" w:type="pct"/>
            <w:tcBorders>
              <w:top w:val="single" w:sz="4" w:space="0" w:color="000000"/>
              <w:bottom w:val="single" w:sz="4" w:space="0" w:color="000000"/>
            </w:tcBorders>
          </w:tcPr>
          <w:p w14:paraId="5478A7F1" w14:textId="77777777" w:rsidR="00725977" w:rsidRPr="00D4309F" w:rsidRDefault="00725977" w:rsidP="00F06E88">
            <w:pPr>
              <w:pStyle w:val="Table-Text"/>
              <w:keepNext/>
            </w:pPr>
            <w:r w:rsidRPr="00D4309F">
              <w:rPr>
                <w:spacing w:val="-4"/>
              </w:rPr>
              <w:t>$365</w:t>
            </w:r>
          </w:p>
        </w:tc>
      </w:tr>
      <w:tr w:rsidR="00725977" w:rsidRPr="00D4309F" w14:paraId="730D204D" w14:textId="77777777" w:rsidTr="00C1475C">
        <w:trPr>
          <w:trHeight w:val="454"/>
        </w:trPr>
        <w:tc>
          <w:tcPr>
            <w:tcW w:w="1275" w:type="pct"/>
            <w:tcBorders>
              <w:top w:val="single" w:sz="4" w:space="0" w:color="000000"/>
            </w:tcBorders>
          </w:tcPr>
          <w:p w14:paraId="3F50AB1B" w14:textId="77777777" w:rsidR="00725977" w:rsidRPr="00D4309F" w:rsidRDefault="00725977" w:rsidP="00CF3755">
            <w:pPr>
              <w:pStyle w:val="Table-Text"/>
            </w:pPr>
            <w:r w:rsidRPr="00D4309F">
              <w:t>Average no. motor vehicles</w:t>
            </w:r>
            <w:r w:rsidRPr="00D4309F">
              <w:rPr>
                <w:spacing w:val="-15"/>
              </w:rPr>
              <w:t xml:space="preserve"> </w:t>
            </w:r>
            <w:r w:rsidRPr="00D4309F">
              <w:t>per</w:t>
            </w:r>
            <w:r w:rsidRPr="00D4309F">
              <w:rPr>
                <w:spacing w:val="-12"/>
              </w:rPr>
              <w:t xml:space="preserve"> </w:t>
            </w:r>
            <w:r w:rsidRPr="00D4309F">
              <w:t>dwelling</w:t>
            </w:r>
          </w:p>
        </w:tc>
        <w:tc>
          <w:tcPr>
            <w:tcW w:w="1284" w:type="pct"/>
            <w:tcBorders>
              <w:top w:val="single" w:sz="4" w:space="0" w:color="000000"/>
            </w:tcBorders>
          </w:tcPr>
          <w:p w14:paraId="14C0F404" w14:textId="77777777" w:rsidR="00725977" w:rsidRPr="00D4309F" w:rsidRDefault="00725977" w:rsidP="00CF3755">
            <w:pPr>
              <w:pStyle w:val="Table-Text"/>
            </w:pPr>
            <w:r w:rsidRPr="00D4309F">
              <w:rPr>
                <w:spacing w:val="-5"/>
              </w:rPr>
              <w:t>1.7</w:t>
            </w:r>
          </w:p>
        </w:tc>
        <w:tc>
          <w:tcPr>
            <w:tcW w:w="904" w:type="pct"/>
            <w:tcBorders>
              <w:top w:val="single" w:sz="4" w:space="0" w:color="000000"/>
            </w:tcBorders>
          </w:tcPr>
          <w:p w14:paraId="495E02B0" w14:textId="77777777" w:rsidR="00725977" w:rsidRPr="00D4309F" w:rsidRDefault="00725977" w:rsidP="00CF3755">
            <w:pPr>
              <w:pStyle w:val="Table-Text"/>
            </w:pPr>
            <w:r w:rsidRPr="00D4309F">
              <w:rPr>
                <w:spacing w:val="-5"/>
              </w:rPr>
              <w:t>1.9</w:t>
            </w:r>
          </w:p>
        </w:tc>
        <w:tc>
          <w:tcPr>
            <w:tcW w:w="761" w:type="pct"/>
            <w:tcBorders>
              <w:top w:val="single" w:sz="4" w:space="0" w:color="000000"/>
            </w:tcBorders>
          </w:tcPr>
          <w:p w14:paraId="3699ED7C" w14:textId="77777777" w:rsidR="00725977" w:rsidRPr="00D4309F" w:rsidRDefault="00725977" w:rsidP="00CF3755">
            <w:pPr>
              <w:pStyle w:val="Table-Text"/>
            </w:pPr>
            <w:r w:rsidRPr="00D4309F">
              <w:rPr>
                <w:spacing w:val="-10"/>
              </w:rPr>
              <w:t>2</w:t>
            </w:r>
          </w:p>
        </w:tc>
        <w:tc>
          <w:tcPr>
            <w:tcW w:w="777" w:type="pct"/>
            <w:tcBorders>
              <w:top w:val="single" w:sz="4" w:space="0" w:color="000000"/>
            </w:tcBorders>
          </w:tcPr>
          <w:p w14:paraId="4A3875D4" w14:textId="77777777" w:rsidR="00725977" w:rsidRPr="00D4309F" w:rsidRDefault="00725977" w:rsidP="00CF3755">
            <w:pPr>
              <w:pStyle w:val="Table-Text"/>
            </w:pPr>
            <w:r w:rsidRPr="00D4309F">
              <w:rPr>
                <w:spacing w:val="-5"/>
              </w:rPr>
              <w:t>1.9</w:t>
            </w:r>
          </w:p>
        </w:tc>
      </w:tr>
    </w:tbl>
    <w:p w14:paraId="30B61100" w14:textId="77777777" w:rsidR="00F06E88" w:rsidRDefault="00F06E88" w:rsidP="00725977">
      <w:pPr>
        <w:pStyle w:val="BodyText"/>
      </w:pPr>
    </w:p>
    <w:p w14:paraId="599D2574" w14:textId="3A357AD5" w:rsidR="00725977" w:rsidRPr="00D4309F" w:rsidRDefault="00725977" w:rsidP="00725977">
      <w:pPr>
        <w:pStyle w:val="BodyText"/>
      </w:pPr>
      <w:r w:rsidRPr="00D4309F">
        <w:t>The</w:t>
      </w:r>
      <w:r w:rsidRPr="00D4309F">
        <w:rPr>
          <w:spacing w:val="-4"/>
        </w:rPr>
        <w:t xml:space="preserve"> </w:t>
      </w:r>
      <w:r w:rsidRPr="00D4309F">
        <w:t>two</w:t>
      </w:r>
      <w:r w:rsidRPr="00D4309F">
        <w:rPr>
          <w:spacing w:val="-4"/>
        </w:rPr>
        <w:t xml:space="preserve"> </w:t>
      </w:r>
      <w:r w:rsidRPr="00D4309F">
        <w:t>SA2</w:t>
      </w:r>
      <w:r w:rsidRPr="00D4309F">
        <w:rPr>
          <w:spacing w:val="-5"/>
        </w:rPr>
        <w:t xml:space="preserve"> </w:t>
      </w:r>
      <w:r w:rsidRPr="00D4309F">
        <w:t>areas—Mooloolaba–Alexandra</w:t>
      </w:r>
      <w:r w:rsidRPr="00D4309F">
        <w:rPr>
          <w:spacing w:val="-5"/>
        </w:rPr>
        <w:t xml:space="preserve"> </w:t>
      </w:r>
      <w:r w:rsidRPr="00D4309F">
        <w:t>Headland</w:t>
      </w:r>
      <w:r w:rsidRPr="00D4309F">
        <w:rPr>
          <w:spacing w:val="-4"/>
        </w:rPr>
        <w:t xml:space="preserve"> </w:t>
      </w:r>
      <w:r w:rsidRPr="00D4309F">
        <w:t>and</w:t>
      </w:r>
      <w:r w:rsidRPr="00D4309F">
        <w:rPr>
          <w:spacing w:val="-4"/>
        </w:rPr>
        <w:t xml:space="preserve"> </w:t>
      </w:r>
      <w:r w:rsidRPr="00D4309F">
        <w:t>Buddina–Minyama—are</w:t>
      </w:r>
      <w:r w:rsidRPr="00D4309F">
        <w:rPr>
          <w:spacing w:val="-5"/>
        </w:rPr>
        <w:t xml:space="preserve"> </w:t>
      </w:r>
      <w:r w:rsidRPr="00D4309F">
        <w:t>substantially</w:t>
      </w:r>
      <w:r w:rsidRPr="00D4309F">
        <w:rPr>
          <w:spacing w:val="-3"/>
        </w:rPr>
        <w:t xml:space="preserve"> </w:t>
      </w:r>
      <w:r w:rsidRPr="00D4309F">
        <w:t>smaller</w:t>
      </w:r>
      <w:r w:rsidRPr="00D4309F">
        <w:rPr>
          <w:spacing w:val="-5"/>
        </w:rPr>
        <w:t xml:space="preserve"> </w:t>
      </w:r>
      <w:r w:rsidRPr="00D4309F">
        <w:t>in population than the broader Sunshine Coast or Queensland, yet they display distinctive household and housing characteristics. Mooloolaba–Alexandra Headland’s 12,443 residents occupy 7,180 dwellings at an average of just 2.1 people per household, while Buddina–Minyama’s 6,956 residents live in 3,271 dwellings with</w:t>
      </w:r>
      <w:r w:rsidRPr="00D4309F">
        <w:rPr>
          <w:spacing w:val="-6"/>
        </w:rPr>
        <w:t xml:space="preserve"> </w:t>
      </w:r>
      <w:r w:rsidRPr="00D4309F">
        <w:t>2.4</w:t>
      </w:r>
      <w:r w:rsidRPr="00D4309F">
        <w:rPr>
          <w:spacing w:val="-4"/>
        </w:rPr>
        <w:t xml:space="preserve"> </w:t>
      </w:r>
      <w:r w:rsidRPr="00D4309F">
        <w:t>persons</w:t>
      </w:r>
      <w:r w:rsidRPr="00D4309F">
        <w:rPr>
          <w:spacing w:val="-3"/>
        </w:rPr>
        <w:t xml:space="preserve"> </w:t>
      </w:r>
      <w:r w:rsidRPr="00D4309F">
        <w:t>on</w:t>
      </w:r>
      <w:r w:rsidRPr="00D4309F">
        <w:rPr>
          <w:spacing w:val="-4"/>
        </w:rPr>
        <w:t xml:space="preserve"> </w:t>
      </w:r>
      <w:r w:rsidRPr="00D4309F">
        <w:t>average.</w:t>
      </w:r>
      <w:r w:rsidRPr="00D4309F">
        <w:rPr>
          <w:spacing w:val="-4"/>
        </w:rPr>
        <w:t xml:space="preserve"> </w:t>
      </w:r>
      <w:r w:rsidRPr="00D4309F">
        <w:t>By</w:t>
      </w:r>
      <w:r w:rsidRPr="00D4309F">
        <w:rPr>
          <w:spacing w:val="-3"/>
        </w:rPr>
        <w:t xml:space="preserve"> </w:t>
      </w:r>
      <w:r w:rsidRPr="00D4309F">
        <w:t>contrast,</w:t>
      </w:r>
      <w:r w:rsidRPr="00D4309F">
        <w:rPr>
          <w:spacing w:val="-3"/>
        </w:rPr>
        <w:t xml:space="preserve"> </w:t>
      </w:r>
      <w:r w:rsidRPr="00D4309F">
        <w:t>households</w:t>
      </w:r>
      <w:r w:rsidRPr="00D4309F">
        <w:rPr>
          <w:spacing w:val="-3"/>
        </w:rPr>
        <w:t xml:space="preserve"> </w:t>
      </w:r>
      <w:r w:rsidRPr="00D4309F">
        <w:t>across</w:t>
      </w:r>
      <w:r w:rsidRPr="00D4309F">
        <w:rPr>
          <w:spacing w:val="-3"/>
        </w:rPr>
        <w:t xml:space="preserve"> </w:t>
      </w:r>
      <w:r w:rsidRPr="00D4309F">
        <w:t>the</w:t>
      </w:r>
      <w:r w:rsidRPr="00D4309F">
        <w:rPr>
          <w:spacing w:val="-4"/>
        </w:rPr>
        <w:t xml:space="preserve"> </w:t>
      </w:r>
      <w:r w:rsidRPr="00D4309F">
        <w:t>Sunshine</w:t>
      </w:r>
      <w:r w:rsidRPr="00D4309F">
        <w:rPr>
          <w:spacing w:val="-4"/>
        </w:rPr>
        <w:t xml:space="preserve"> </w:t>
      </w:r>
      <w:r w:rsidRPr="00D4309F">
        <w:t>Coast</w:t>
      </w:r>
      <w:r w:rsidRPr="00D4309F">
        <w:rPr>
          <w:spacing w:val="-4"/>
        </w:rPr>
        <w:t xml:space="preserve"> </w:t>
      </w:r>
      <w:r w:rsidRPr="00D4309F">
        <w:t>and</w:t>
      </w:r>
      <w:r w:rsidRPr="00D4309F">
        <w:rPr>
          <w:spacing w:val="-4"/>
        </w:rPr>
        <w:t xml:space="preserve"> </w:t>
      </w:r>
      <w:r w:rsidRPr="00D4309F">
        <w:t>Queensland</w:t>
      </w:r>
      <w:r w:rsidRPr="00D4309F">
        <w:rPr>
          <w:spacing w:val="-3"/>
        </w:rPr>
        <w:t xml:space="preserve"> </w:t>
      </w:r>
      <w:r w:rsidRPr="00D4309F">
        <w:rPr>
          <w:spacing w:val="-2"/>
        </w:rPr>
        <w:t>average</w:t>
      </w:r>
    </w:p>
    <w:p w14:paraId="4FF94BDB" w14:textId="77777777" w:rsidR="005A2A87" w:rsidRDefault="00725977" w:rsidP="000D4B8F">
      <w:pPr>
        <w:pStyle w:val="BodyText"/>
      </w:pPr>
      <w:r w:rsidRPr="00D4309F">
        <w:t>2.5</w:t>
      </w:r>
      <w:r w:rsidRPr="00D4309F">
        <w:rPr>
          <w:spacing w:val="-3"/>
        </w:rPr>
        <w:t xml:space="preserve"> </w:t>
      </w:r>
      <w:r w:rsidRPr="00D4309F">
        <w:t>occupants.</w:t>
      </w:r>
      <w:r w:rsidRPr="00D4309F">
        <w:rPr>
          <w:spacing w:val="-3"/>
        </w:rPr>
        <w:t xml:space="preserve"> </w:t>
      </w:r>
      <w:r w:rsidRPr="00D4309F">
        <w:t>The</w:t>
      </w:r>
      <w:r w:rsidRPr="00D4309F">
        <w:rPr>
          <w:spacing w:val="-3"/>
        </w:rPr>
        <w:t xml:space="preserve"> </w:t>
      </w:r>
      <w:r w:rsidRPr="00D4309F">
        <w:t>relatively</w:t>
      </w:r>
      <w:r w:rsidRPr="00D4309F">
        <w:rPr>
          <w:spacing w:val="-2"/>
        </w:rPr>
        <w:t xml:space="preserve"> </w:t>
      </w:r>
      <w:r w:rsidRPr="00D4309F">
        <w:t>high</w:t>
      </w:r>
      <w:r w:rsidRPr="00D4309F">
        <w:rPr>
          <w:spacing w:val="-3"/>
        </w:rPr>
        <w:t xml:space="preserve"> </w:t>
      </w:r>
      <w:r w:rsidRPr="00D4309F">
        <w:t>dwelling-to-person</w:t>
      </w:r>
      <w:r w:rsidRPr="00D4309F">
        <w:rPr>
          <w:spacing w:val="-4"/>
        </w:rPr>
        <w:t xml:space="preserve"> </w:t>
      </w:r>
      <w:r w:rsidRPr="00D4309F">
        <w:t>ratios</w:t>
      </w:r>
      <w:r w:rsidRPr="00D4309F">
        <w:rPr>
          <w:spacing w:val="-2"/>
        </w:rPr>
        <w:t xml:space="preserve"> </w:t>
      </w:r>
      <w:r w:rsidRPr="00D4309F">
        <w:t>in</w:t>
      </w:r>
      <w:r w:rsidRPr="00D4309F">
        <w:rPr>
          <w:spacing w:val="-3"/>
        </w:rPr>
        <w:t xml:space="preserve"> </w:t>
      </w:r>
      <w:r w:rsidRPr="00D4309F">
        <w:t>these</w:t>
      </w:r>
      <w:r w:rsidRPr="00D4309F">
        <w:rPr>
          <w:spacing w:val="-3"/>
        </w:rPr>
        <w:t xml:space="preserve"> </w:t>
      </w:r>
      <w:r w:rsidRPr="00D4309F">
        <w:t>coastal</w:t>
      </w:r>
      <w:r w:rsidRPr="00D4309F">
        <w:rPr>
          <w:spacing w:val="-3"/>
        </w:rPr>
        <w:t xml:space="preserve"> </w:t>
      </w:r>
      <w:r w:rsidRPr="00D4309F">
        <w:t>suburbs</w:t>
      </w:r>
      <w:r w:rsidRPr="00D4309F">
        <w:rPr>
          <w:spacing w:val="-2"/>
        </w:rPr>
        <w:t xml:space="preserve"> </w:t>
      </w:r>
      <w:r w:rsidRPr="00D4309F">
        <w:t>suggest</w:t>
      </w:r>
      <w:r w:rsidRPr="00D4309F">
        <w:rPr>
          <w:spacing w:val="-3"/>
        </w:rPr>
        <w:t xml:space="preserve"> </w:t>
      </w:r>
      <w:r w:rsidRPr="00D4309F">
        <w:t>a</w:t>
      </w:r>
      <w:r w:rsidRPr="00D4309F">
        <w:rPr>
          <w:spacing w:val="-3"/>
        </w:rPr>
        <w:t xml:space="preserve"> </w:t>
      </w:r>
      <w:r w:rsidRPr="00D4309F">
        <w:t>prevalence</w:t>
      </w:r>
      <w:r w:rsidRPr="00D4309F">
        <w:rPr>
          <w:spacing w:val="-3"/>
        </w:rPr>
        <w:t xml:space="preserve"> </w:t>
      </w:r>
      <w:r w:rsidRPr="00D4309F">
        <w:t>of smaller household units—such as retirees or one- to two-person households—and possibly a mix of permanent and short-stay accommodation.</w:t>
      </w:r>
    </w:p>
    <w:p w14:paraId="1A648392" w14:textId="3C60285D" w:rsidR="007D4616" w:rsidRPr="00D4309F" w:rsidRDefault="00725977" w:rsidP="000D4B8F">
      <w:pPr>
        <w:pStyle w:val="BodyText"/>
      </w:pPr>
      <w:r w:rsidRPr="00D4309F">
        <w:t>Both SA2s are noticeably older than the region as a whole. Buddina–Minyama has a median age of 47 and Mooloolaba–Alexandra</w:t>
      </w:r>
      <w:r w:rsidRPr="00D4309F">
        <w:rPr>
          <w:spacing w:val="-3"/>
        </w:rPr>
        <w:t xml:space="preserve"> </w:t>
      </w:r>
      <w:r w:rsidRPr="00D4309F">
        <w:t>Headland</w:t>
      </w:r>
      <w:r w:rsidRPr="00D4309F">
        <w:rPr>
          <w:spacing w:val="-3"/>
        </w:rPr>
        <w:t xml:space="preserve"> </w:t>
      </w:r>
      <w:r w:rsidRPr="00D4309F">
        <w:t>45,</w:t>
      </w:r>
      <w:r w:rsidRPr="00D4309F">
        <w:rPr>
          <w:spacing w:val="-3"/>
        </w:rPr>
        <w:t xml:space="preserve"> </w:t>
      </w:r>
      <w:r w:rsidRPr="00D4309F">
        <w:t>compared</w:t>
      </w:r>
      <w:r w:rsidRPr="00D4309F">
        <w:rPr>
          <w:spacing w:val="-3"/>
        </w:rPr>
        <w:t xml:space="preserve"> </w:t>
      </w:r>
      <w:r w:rsidRPr="00D4309F">
        <w:t>with</w:t>
      </w:r>
      <w:r w:rsidRPr="00D4309F">
        <w:rPr>
          <w:spacing w:val="-4"/>
        </w:rPr>
        <w:t xml:space="preserve"> </w:t>
      </w:r>
      <w:r w:rsidRPr="00D4309F">
        <w:t>43</w:t>
      </w:r>
      <w:r w:rsidRPr="00D4309F">
        <w:rPr>
          <w:spacing w:val="-3"/>
        </w:rPr>
        <w:t xml:space="preserve"> </w:t>
      </w:r>
      <w:r w:rsidRPr="00D4309F">
        <w:t>on</w:t>
      </w:r>
      <w:r w:rsidRPr="00D4309F">
        <w:rPr>
          <w:spacing w:val="-3"/>
        </w:rPr>
        <w:t xml:space="preserve"> </w:t>
      </w:r>
      <w:r w:rsidRPr="00D4309F">
        <w:t>the</w:t>
      </w:r>
      <w:r w:rsidRPr="00D4309F">
        <w:rPr>
          <w:spacing w:val="-3"/>
        </w:rPr>
        <w:t xml:space="preserve"> </w:t>
      </w:r>
      <w:r w:rsidRPr="00D4309F">
        <w:t>Sunshine</w:t>
      </w:r>
      <w:r w:rsidRPr="00D4309F">
        <w:rPr>
          <w:spacing w:val="-3"/>
        </w:rPr>
        <w:t xml:space="preserve"> </w:t>
      </w:r>
      <w:r w:rsidRPr="00D4309F">
        <w:t>Coast</w:t>
      </w:r>
      <w:r w:rsidRPr="00D4309F">
        <w:rPr>
          <w:spacing w:val="-3"/>
        </w:rPr>
        <w:t xml:space="preserve"> </w:t>
      </w:r>
      <w:r w:rsidRPr="00D4309F">
        <w:t>and</w:t>
      </w:r>
      <w:r w:rsidRPr="00D4309F">
        <w:rPr>
          <w:spacing w:val="-3"/>
        </w:rPr>
        <w:t xml:space="preserve"> </w:t>
      </w:r>
      <w:r w:rsidRPr="00D4309F">
        <w:t>38</w:t>
      </w:r>
      <w:r w:rsidRPr="00D4309F">
        <w:rPr>
          <w:spacing w:val="-3"/>
        </w:rPr>
        <w:t xml:space="preserve"> </w:t>
      </w:r>
      <w:r w:rsidRPr="00D4309F">
        <w:t>for</w:t>
      </w:r>
      <w:r w:rsidRPr="00D4309F">
        <w:rPr>
          <w:spacing w:val="-4"/>
        </w:rPr>
        <w:t xml:space="preserve"> </w:t>
      </w:r>
      <w:r w:rsidRPr="00D4309F">
        <w:t>Queensland.</w:t>
      </w:r>
      <w:r w:rsidRPr="00D4309F">
        <w:rPr>
          <w:spacing w:val="-3"/>
        </w:rPr>
        <w:t xml:space="preserve"> </w:t>
      </w:r>
      <w:r w:rsidRPr="00D4309F">
        <w:t>This</w:t>
      </w:r>
      <w:r w:rsidR="007D4616">
        <w:t xml:space="preserve"> </w:t>
      </w:r>
      <w:r w:rsidR="007D4616" w:rsidRPr="00D4309F">
        <w:t>age</w:t>
      </w:r>
      <w:r w:rsidR="007D4616" w:rsidRPr="00D4309F">
        <w:rPr>
          <w:spacing w:val="-3"/>
        </w:rPr>
        <w:t xml:space="preserve"> </w:t>
      </w:r>
      <w:r w:rsidR="007D4616" w:rsidRPr="00D4309F">
        <w:t>skew</w:t>
      </w:r>
      <w:r w:rsidR="007D4616" w:rsidRPr="00D4309F">
        <w:rPr>
          <w:spacing w:val="-2"/>
        </w:rPr>
        <w:t xml:space="preserve"> </w:t>
      </w:r>
      <w:r w:rsidR="007D4616" w:rsidRPr="00D4309F">
        <w:t>points</w:t>
      </w:r>
      <w:r w:rsidR="007D4616" w:rsidRPr="00D4309F">
        <w:rPr>
          <w:spacing w:val="-2"/>
        </w:rPr>
        <w:t xml:space="preserve"> </w:t>
      </w:r>
      <w:r w:rsidR="007D4616" w:rsidRPr="00D4309F">
        <w:t>to</w:t>
      </w:r>
      <w:r w:rsidR="007D4616" w:rsidRPr="00D4309F">
        <w:rPr>
          <w:spacing w:val="-3"/>
        </w:rPr>
        <w:t xml:space="preserve"> </w:t>
      </w:r>
      <w:r w:rsidR="007D4616" w:rsidRPr="00D4309F">
        <w:t>a</w:t>
      </w:r>
      <w:r w:rsidR="007D4616" w:rsidRPr="00D4309F">
        <w:rPr>
          <w:spacing w:val="-3"/>
        </w:rPr>
        <w:t xml:space="preserve"> </w:t>
      </w:r>
      <w:r w:rsidR="007D4616" w:rsidRPr="00D4309F">
        <w:t>larger</w:t>
      </w:r>
      <w:r w:rsidR="007D4616" w:rsidRPr="00D4309F">
        <w:rPr>
          <w:spacing w:val="-4"/>
        </w:rPr>
        <w:t xml:space="preserve"> </w:t>
      </w:r>
      <w:r w:rsidR="007D4616" w:rsidRPr="00D4309F">
        <w:t>retiree</w:t>
      </w:r>
      <w:r w:rsidR="007D4616" w:rsidRPr="00D4309F">
        <w:rPr>
          <w:spacing w:val="-3"/>
        </w:rPr>
        <w:t xml:space="preserve"> </w:t>
      </w:r>
      <w:r w:rsidR="007D4616" w:rsidRPr="00D4309F">
        <w:t>or</w:t>
      </w:r>
      <w:r w:rsidR="007D4616" w:rsidRPr="00D4309F">
        <w:rPr>
          <w:spacing w:val="-2"/>
        </w:rPr>
        <w:t xml:space="preserve"> </w:t>
      </w:r>
      <w:r w:rsidR="007D4616" w:rsidRPr="00D4309F">
        <w:t>empty-nester</w:t>
      </w:r>
      <w:r w:rsidR="007D4616" w:rsidRPr="00D4309F">
        <w:rPr>
          <w:spacing w:val="-2"/>
        </w:rPr>
        <w:t xml:space="preserve"> </w:t>
      </w:r>
      <w:r w:rsidR="007D4616" w:rsidRPr="00D4309F">
        <w:t>population</w:t>
      </w:r>
      <w:r w:rsidR="007D4616" w:rsidRPr="00D4309F">
        <w:rPr>
          <w:spacing w:val="-3"/>
        </w:rPr>
        <w:t xml:space="preserve"> </w:t>
      </w:r>
      <w:r w:rsidR="007D4616" w:rsidRPr="00D4309F">
        <w:t>and</w:t>
      </w:r>
      <w:r w:rsidR="007D4616" w:rsidRPr="00D4309F">
        <w:rPr>
          <w:spacing w:val="-4"/>
        </w:rPr>
        <w:t xml:space="preserve"> </w:t>
      </w:r>
      <w:r w:rsidR="007D4616" w:rsidRPr="00D4309F">
        <w:t>a</w:t>
      </w:r>
      <w:r w:rsidR="007D4616" w:rsidRPr="00D4309F">
        <w:rPr>
          <w:spacing w:val="-3"/>
        </w:rPr>
        <w:t xml:space="preserve"> </w:t>
      </w:r>
      <w:r w:rsidR="007D4616" w:rsidRPr="00D4309F">
        <w:t>smaller</w:t>
      </w:r>
      <w:r w:rsidR="007D4616" w:rsidRPr="00D4309F">
        <w:rPr>
          <w:spacing w:val="-2"/>
        </w:rPr>
        <w:t xml:space="preserve"> </w:t>
      </w:r>
      <w:r w:rsidR="007D4616" w:rsidRPr="00D4309F">
        <w:t>proportion</w:t>
      </w:r>
      <w:r w:rsidR="007D4616" w:rsidRPr="00D4309F">
        <w:rPr>
          <w:spacing w:val="-3"/>
        </w:rPr>
        <w:t xml:space="preserve"> </w:t>
      </w:r>
      <w:r w:rsidR="007D4616" w:rsidRPr="00D4309F">
        <w:t>of</w:t>
      </w:r>
      <w:r w:rsidR="007D4616" w:rsidRPr="00D4309F">
        <w:rPr>
          <w:spacing w:val="-3"/>
        </w:rPr>
        <w:t xml:space="preserve"> </w:t>
      </w:r>
      <w:r w:rsidR="007D4616" w:rsidRPr="00D4309F">
        <w:t>young</w:t>
      </w:r>
      <w:r w:rsidR="007D4616" w:rsidRPr="00D4309F">
        <w:rPr>
          <w:spacing w:val="-3"/>
        </w:rPr>
        <w:t xml:space="preserve"> </w:t>
      </w:r>
      <w:r w:rsidR="007D4616" w:rsidRPr="00D4309F">
        <w:t>families</w:t>
      </w:r>
      <w:r w:rsidR="007D4616" w:rsidRPr="00D4309F">
        <w:rPr>
          <w:spacing w:val="-3"/>
        </w:rPr>
        <w:t xml:space="preserve"> </w:t>
      </w:r>
      <w:r w:rsidR="007D4616" w:rsidRPr="00D4309F">
        <w:t>with children relative to the wider region.</w:t>
      </w:r>
    </w:p>
    <w:p w14:paraId="1D1844EB" w14:textId="77777777" w:rsidR="007D4616" w:rsidRPr="00D4309F" w:rsidRDefault="007D4616" w:rsidP="007D4616">
      <w:pPr>
        <w:pStyle w:val="BodyText"/>
      </w:pPr>
      <w:r w:rsidRPr="00D4309F">
        <w:t>Income</w:t>
      </w:r>
      <w:r w:rsidRPr="00D4309F">
        <w:rPr>
          <w:spacing w:val="-3"/>
        </w:rPr>
        <w:t xml:space="preserve"> </w:t>
      </w:r>
      <w:r w:rsidRPr="00D4309F">
        <w:t>and</w:t>
      </w:r>
      <w:r w:rsidRPr="00D4309F">
        <w:rPr>
          <w:spacing w:val="-3"/>
        </w:rPr>
        <w:t xml:space="preserve"> </w:t>
      </w:r>
      <w:r w:rsidRPr="00D4309F">
        <w:t>housing</w:t>
      </w:r>
      <w:r w:rsidRPr="00D4309F">
        <w:rPr>
          <w:spacing w:val="-3"/>
        </w:rPr>
        <w:t xml:space="preserve"> </w:t>
      </w:r>
      <w:r w:rsidRPr="00D4309F">
        <w:t>costs</w:t>
      </w:r>
      <w:r w:rsidRPr="00D4309F">
        <w:rPr>
          <w:spacing w:val="-2"/>
        </w:rPr>
        <w:t xml:space="preserve"> </w:t>
      </w:r>
      <w:r w:rsidRPr="00D4309F">
        <w:t>in</w:t>
      </w:r>
      <w:r w:rsidRPr="00D4309F">
        <w:rPr>
          <w:spacing w:val="-3"/>
        </w:rPr>
        <w:t xml:space="preserve"> </w:t>
      </w:r>
      <w:r w:rsidRPr="00D4309F">
        <w:t>the</w:t>
      </w:r>
      <w:r w:rsidRPr="00D4309F">
        <w:rPr>
          <w:spacing w:val="-3"/>
        </w:rPr>
        <w:t xml:space="preserve"> </w:t>
      </w:r>
      <w:r w:rsidRPr="00D4309F">
        <w:t>two</w:t>
      </w:r>
      <w:r w:rsidRPr="00D4309F">
        <w:rPr>
          <w:spacing w:val="-3"/>
        </w:rPr>
        <w:t xml:space="preserve"> </w:t>
      </w:r>
      <w:r w:rsidRPr="00D4309F">
        <w:t>SA2s</w:t>
      </w:r>
      <w:r w:rsidRPr="00D4309F">
        <w:rPr>
          <w:spacing w:val="-2"/>
        </w:rPr>
        <w:t xml:space="preserve"> </w:t>
      </w:r>
      <w:r w:rsidRPr="00D4309F">
        <w:t>reflect</w:t>
      </w:r>
      <w:r w:rsidRPr="00D4309F">
        <w:rPr>
          <w:spacing w:val="-3"/>
        </w:rPr>
        <w:t xml:space="preserve"> </w:t>
      </w:r>
      <w:r w:rsidRPr="00D4309F">
        <w:t>their</w:t>
      </w:r>
      <w:r w:rsidRPr="00D4309F">
        <w:rPr>
          <w:spacing w:val="-2"/>
        </w:rPr>
        <w:t xml:space="preserve"> </w:t>
      </w:r>
      <w:r w:rsidRPr="00D4309F">
        <w:t>demographic</w:t>
      </w:r>
      <w:r w:rsidRPr="00D4309F">
        <w:rPr>
          <w:spacing w:val="-2"/>
        </w:rPr>
        <w:t xml:space="preserve"> </w:t>
      </w:r>
      <w:r w:rsidRPr="00D4309F">
        <w:t>profiles</w:t>
      </w:r>
      <w:r w:rsidRPr="00D4309F">
        <w:rPr>
          <w:spacing w:val="-2"/>
        </w:rPr>
        <w:t xml:space="preserve"> </w:t>
      </w:r>
      <w:r w:rsidRPr="00D4309F">
        <w:t>and</w:t>
      </w:r>
      <w:r w:rsidRPr="00D4309F">
        <w:rPr>
          <w:spacing w:val="-4"/>
        </w:rPr>
        <w:t xml:space="preserve"> </w:t>
      </w:r>
      <w:r w:rsidRPr="00D4309F">
        <w:t>housing</w:t>
      </w:r>
      <w:r w:rsidRPr="00D4309F">
        <w:rPr>
          <w:spacing w:val="-3"/>
        </w:rPr>
        <w:t xml:space="preserve"> </w:t>
      </w:r>
      <w:r w:rsidRPr="00D4309F">
        <w:t>markets.</w:t>
      </w:r>
      <w:r w:rsidRPr="00D4309F">
        <w:rPr>
          <w:spacing w:val="-3"/>
        </w:rPr>
        <w:t xml:space="preserve"> </w:t>
      </w:r>
      <w:r w:rsidRPr="00D4309F">
        <w:t>Buddina–Minyama households report the highest median weekly income at $1,719—surpassing both the Sunshine Coast’s $1,595 and Queensland’s $1,675—while Mooloolaba–Alexandra Headland sits slightly below the coast average at $1,559. Correspondingly, Buddina–Minyama commands the steepest housing outgoings, with median monthly mortgage repayments of $2,167 and weekly rents of $450. Mooloolaba–Alexandra Headland is somewhat more affordable (mortgages at $1,800 per month; rents at $400 per week), though still above Queensland’s medians.</w:t>
      </w:r>
    </w:p>
    <w:p w14:paraId="4718ACC9" w14:textId="77777777" w:rsidR="007D4616" w:rsidRPr="00D4309F" w:rsidRDefault="007D4616" w:rsidP="007D4616">
      <w:pPr>
        <w:pStyle w:val="BodyText"/>
      </w:pPr>
      <w:r w:rsidRPr="00D4309F">
        <w:t>Vehicle ownership patterns echo these living arrangements. Sunshine Coast households average two vehicles</w:t>
      </w:r>
      <w:r w:rsidRPr="00D4309F">
        <w:rPr>
          <w:spacing w:val="-2"/>
        </w:rPr>
        <w:t xml:space="preserve"> </w:t>
      </w:r>
      <w:r w:rsidRPr="00D4309F">
        <w:t>each,</w:t>
      </w:r>
      <w:r w:rsidRPr="00D4309F">
        <w:rPr>
          <w:spacing w:val="-3"/>
        </w:rPr>
        <w:t xml:space="preserve"> </w:t>
      </w:r>
      <w:r w:rsidRPr="00D4309F">
        <w:t>and</w:t>
      </w:r>
      <w:r w:rsidRPr="00D4309F">
        <w:rPr>
          <w:spacing w:val="-3"/>
        </w:rPr>
        <w:t xml:space="preserve"> </w:t>
      </w:r>
      <w:r w:rsidRPr="00D4309F">
        <w:t>Queensland</w:t>
      </w:r>
      <w:r w:rsidRPr="00D4309F">
        <w:rPr>
          <w:spacing w:val="-3"/>
        </w:rPr>
        <w:t xml:space="preserve"> </w:t>
      </w:r>
      <w:r w:rsidRPr="00D4309F">
        <w:t>as</w:t>
      </w:r>
      <w:r w:rsidRPr="00D4309F">
        <w:rPr>
          <w:spacing w:val="-2"/>
        </w:rPr>
        <w:t xml:space="preserve"> </w:t>
      </w:r>
      <w:r w:rsidRPr="00D4309F">
        <w:t>a</w:t>
      </w:r>
      <w:r w:rsidRPr="00D4309F">
        <w:rPr>
          <w:spacing w:val="-3"/>
        </w:rPr>
        <w:t xml:space="preserve"> </w:t>
      </w:r>
      <w:r w:rsidRPr="00D4309F">
        <w:t>whole</w:t>
      </w:r>
      <w:r w:rsidRPr="00D4309F">
        <w:rPr>
          <w:spacing w:val="-3"/>
        </w:rPr>
        <w:t xml:space="preserve"> </w:t>
      </w:r>
      <w:r w:rsidRPr="00D4309F">
        <w:t>averages</w:t>
      </w:r>
      <w:r w:rsidRPr="00D4309F">
        <w:rPr>
          <w:spacing w:val="-2"/>
        </w:rPr>
        <w:t xml:space="preserve"> </w:t>
      </w:r>
      <w:r w:rsidRPr="00D4309F">
        <w:t>1.9.</w:t>
      </w:r>
      <w:r w:rsidRPr="00D4309F">
        <w:rPr>
          <w:spacing w:val="-3"/>
        </w:rPr>
        <w:t xml:space="preserve"> </w:t>
      </w:r>
      <w:r w:rsidRPr="00D4309F">
        <w:t>Buddina–Minyama</w:t>
      </w:r>
      <w:r w:rsidRPr="00D4309F">
        <w:rPr>
          <w:spacing w:val="-3"/>
        </w:rPr>
        <w:t xml:space="preserve"> </w:t>
      </w:r>
      <w:r w:rsidRPr="00D4309F">
        <w:t>aligns</w:t>
      </w:r>
      <w:r w:rsidRPr="00D4309F">
        <w:rPr>
          <w:spacing w:val="-3"/>
        </w:rPr>
        <w:t xml:space="preserve"> </w:t>
      </w:r>
      <w:r w:rsidRPr="00D4309F">
        <w:t>with</w:t>
      </w:r>
      <w:r w:rsidRPr="00D4309F">
        <w:rPr>
          <w:spacing w:val="-3"/>
        </w:rPr>
        <w:t xml:space="preserve"> </w:t>
      </w:r>
      <w:r w:rsidRPr="00D4309F">
        <w:t>the</w:t>
      </w:r>
      <w:r w:rsidRPr="00D4309F">
        <w:rPr>
          <w:spacing w:val="-3"/>
        </w:rPr>
        <w:t xml:space="preserve"> </w:t>
      </w:r>
      <w:r w:rsidRPr="00D4309F">
        <w:t>state</w:t>
      </w:r>
      <w:r w:rsidRPr="00D4309F">
        <w:rPr>
          <w:spacing w:val="-3"/>
        </w:rPr>
        <w:t xml:space="preserve"> </w:t>
      </w:r>
      <w:r w:rsidRPr="00D4309F">
        <w:t>norm</w:t>
      </w:r>
      <w:r w:rsidRPr="00D4309F">
        <w:rPr>
          <w:spacing w:val="-3"/>
        </w:rPr>
        <w:t xml:space="preserve"> </w:t>
      </w:r>
      <w:r w:rsidRPr="00D4309F">
        <w:t>at</w:t>
      </w:r>
    </w:p>
    <w:p w14:paraId="18A96474" w14:textId="77777777" w:rsidR="007D4616" w:rsidRPr="00D4309F" w:rsidRDefault="007D4616" w:rsidP="007D4616">
      <w:pPr>
        <w:pStyle w:val="BodyText"/>
      </w:pPr>
      <w:r w:rsidRPr="00D4309F">
        <w:t>1.9</w:t>
      </w:r>
      <w:r w:rsidRPr="00D4309F">
        <w:rPr>
          <w:spacing w:val="-3"/>
        </w:rPr>
        <w:t xml:space="preserve"> </w:t>
      </w:r>
      <w:r w:rsidRPr="00D4309F">
        <w:t>vehicles</w:t>
      </w:r>
      <w:r w:rsidRPr="00D4309F">
        <w:rPr>
          <w:spacing w:val="-2"/>
        </w:rPr>
        <w:t xml:space="preserve"> </w:t>
      </w:r>
      <w:r w:rsidRPr="00D4309F">
        <w:t>per</w:t>
      </w:r>
      <w:r w:rsidRPr="00D4309F">
        <w:rPr>
          <w:spacing w:val="-2"/>
        </w:rPr>
        <w:t xml:space="preserve"> </w:t>
      </w:r>
      <w:r w:rsidRPr="00D4309F">
        <w:t>dwelling,</w:t>
      </w:r>
      <w:r w:rsidRPr="00D4309F">
        <w:rPr>
          <w:spacing w:val="-3"/>
        </w:rPr>
        <w:t xml:space="preserve"> </w:t>
      </w:r>
      <w:r w:rsidRPr="00D4309F">
        <w:t>while</w:t>
      </w:r>
      <w:r w:rsidRPr="00D4309F">
        <w:rPr>
          <w:spacing w:val="-3"/>
        </w:rPr>
        <w:t xml:space="preserve"> </w:t>
      </w:r>
      <w:r w:rsidRPr="00D4309F">
        <w:t>Mooloolaba–Alexandra</w:t>
      </w:r>
      <w:r w:rsidRPr="00D4309F">
        <w:rPr>
          <w:spacing w:val="-3"/>
        </w:rPr>
        <w:t xml:space="preserve"> </w:t>
      </w:r>
      <w:r w:rsidRPr="00D4309F">
        <w:t>Headland</w:t>
      </w:r>
      <w:r w:rsidRPr="00D4309F">
        <w:rPr>
          <w:spacing w:val="-4"/>
        </w:rPr>
        <w:t xml:space="preserve"> </w:t>
      </w:r>
      <w:r w:rsidRPr="00D4309F">
        <w:t>households</w:t>
      </w:r>
      <w:r w:rsidRPr="00D4309F">
        <w:rPr>
          <w:spacing w:val="-2"/>
        </w:rPr>
        <w:t xml:space="preserve"> </w:t>
      </w:r>
      <w:r w:rsidRPr="00D4309F">
        <w:t>average</w:t>
      </w:r>
      <w:r w:rsidRPr="00D4309F">
        <w:rPr>
          <w:spacing w:val="-3"/>
        </w:rPr>
        <w:t xml:space="preserve"> </w:t>
      </w:r>
      <w:r w:rsidRPr="00D4309F">
        <w:t>just</w:t>
      </w:r>
      <w:r w:rsidRPr="00D4309F">
        <w:rPr>
          <w:spacing w:val="-3"/>
        </w:rPr>
        <w:t xml:space="preserve"> </w:t>
      </w:r>
      <w:r w:rsidRPr="00D4309F">
        <w:t>1.7</w:t>
      </w:r>
      <w:r w:rsidRPr="00D4309F">
        <w:rPr>
          <w:spacing w:val="-4"/>
        </w:rPr>
        <w:t xml:space="preserve"> </w:t>
      </w:r>
      <w:r w:rsidRPr="00D4309F">
        <w:t>vehicles.</w:t>
      </w:r>
      <w:r w:rsidRPr="00D4309F">
        <w:rPr>
          <w:spacing w:val="-3"/>
        </w:rPr>
        <w:t xml:space="preserve"> </w:t>
      </w:r>
      <w:r w:rsidRPr="00D4309F">
        <w:t>This lower car ownership intensity may reflect higher-density living, a stronger local amenity that reduces car reliance, or a significant holiday-accommodation sector where residents and visitors own fewer vehicles.</w:t>
      </w:r>
    </w:p>
    <w:p w14:paraId="357F69EB" w14:textId="77777777" w:rsidR="007D4616" w:rsidRPr="00D4309F" w:rsidRDefault="007D4616" w:rsidP="007D4616">
      <w:pPr>
        <w:pStyle w:val="BodyText"/>
      </w:pPr>
      <w:r w:rsidRPr="00D4309F">
        <w:t>Gender</w:t>
      </w:r>
      <w:r w:rsidRPr="00D4309F">
        <w:rPr>
          <w:spacing w:val="-2"/>
        </w:rPr>
        <w:t xml:space="preserve"> </w:t>
      </w:r>
      <w:r w:rsidRPr="00D4309F">
        <w:t>balance</w:t>
      </w:r>
      <w:r w:rsidRPr="00D4309F">
        <w:rPr>
          <w:spacing w:val="-3"/>
        </w:rPr>
        <w:t xml:space="preserve"> </w:t>
      </w:r>
      <w:r w:rsidRPr="00D4309F">
        <w:t>is</w:t>
      </w:r>
      <w:r w:rsidRPr="00D4309F">
        <w:rPr>
          <w:spacing w:val="-3"/>
        </w:rPr>
        <w:t xml:space="preserve"> </w:t>
      </w:r>
      <w:r w:rsidRPr="00D4309F">
        <w:t>consistent</w:t>
      </w:r>
      <w:r w:rsidRPr="00D4309F">
        <w:rPr>
          <w:spacing w:val="-3"/>
        </w:rPr>
        <w:t xml:space="preserve"> </w:t>
      </w:r>
      <w:r w:rsidRPr="00D4309F">
        <w:t>across</w:t>
      </w:r>
      <w:r w:rsidRPr="00D4309F">
        <w:rPr>
          <w:spacing w:val="-2"/>
        </w:rPr>
        <w:t xml:space="preserve"> </w:t>
      </w:r>
      <w:r w:rsidRPr="00D4309F">
        <w:t>all</w:t>
      </w:r>
      <w:r w:rsidRPr="00D4309F">
        <w:rPr>
          <w:spacing w:val="-3"/>
        </w:rPr>
        <w:t xml:space="preserve"> </w:t>
      </w:r>
      <w:r w:rsidRPr="00D4309F">
        <w:t>geographies—roughly</w:t>
      </w:r>
      <w:r w:rsidRPr="00D4309F">
        <w:rPr>
          <w:spacing w:val="-2"/>
        </w:rPr>
        <w:t xml:space="preserve"> </w:t>
      </w:r>
      <w:r w:rsidRPr="00D4309F">
        <w:t>49</w:t>
      </w:r>
      <w:r w:rsidRPr="00D4309F">
        <w:rPr>
          <w:spacing w:val="-4"/>
        </w:rPr>
        <w:t xml:space="preserve"> </w:t>
      </w:r>
      <w:r w:rsidRPr="00D4309F">
        <w:t>percent</w:t>
      </w:r>
      <w:r w:rsidRPr="00D4309F">
        <w:rPr>
          <w:spacing w:val="-3"/>
        </w:rPr>
        <w:t xml:space="preserve"> </w:t>
      </w:r>
      <w:r w:rsidRPr="00D4309F">
        <w:t>male</w:t>
      </w:r>
      <w:r w:rsidRPr="00D4309F">
        <w:rPr>
          <w:spacing w:val="-3"/>
        </w:rPr>
        <w:t xml:space="preserve"> </w:t>
      </w:r>
      <w:r w:rsidRPr="00D4309F">
        <w:t>and</w:t>
      </w:r>
      <w:r w:rsidRPr="00D4309F">
        <w:rPr>
          <w:spacing w:val="-3"/>
        </w:rPr>
        <w:t xml:space="preserve"> </w:t>
      </w:r>
      <w:r w:rsidRPr="00D4309F">
        <w:t>51</w:t>
      </w:r>
      <w:r w:rsidRPr="00D4309F">
        <w:rPr>
          <w:spacing w:val="-3"/>
        </w:rPr>
        <w:t xml:space="preserve"> </w:t>
      </w:r>
      <w:r w:rsidRPr="00D4309F">
        <w:t>percent</w:t>
      </w:r>
      <w:r w:rsidRPr="00D4309F">
        <w:rPr>
          <w:spacing w:val="-3"/>
        </w:rPr>
        <w:t xml:space="preserve"> </w:t>
      </w:r>
      <w:r w:rsidRPr="00D4309F">
        <w:t>female—and families make up around 26–28 percent of households in each area. Both SA2s sit just below the Sunshine Coast average for family households, reinforcing the pattern of smaller or couple-only households dominating these suburbs.</w:t>
      </w:r>
    </w:p>
    <w:p w14:paraId="2DE4CAEB" w14:textId="1B5C739A" w:rsidR="00F06E88" w:rsidRDefault="007D4616" w:rsidP="00725977">
      <w:pPr>
        <w:pStyle w:val="BodyText"/>
      </w:pPr>
      <w:r w:rsidRPr="00D4309F">
        <w:t>In</w:t>
      </w:r>
      <w:r w:rsidRPr="00D4309F">
        <w:rPr>
          <w:spacing w:val="-3"/>
        </w:rPr>
        <w:t xml:space="preserve"> </w:t>
      </w:r>
      <w:r w:rsidRPr="00D4309F">
        <w:t>summary,</w:t>
      </w:r>
      <w:r w:rsidRPr="00D4309F">
        <w:rPr>
          <w:spacing w:val="-3"/>
        </w:rPr>
        <w:t xml:space="preserve"> </w:t>
      </w:r>
      <w:r w:rsidRPr="00D4309F">
        <w:t>Mooloolaba–Alexandra</w:t>
      </w:r>
      <w:r w:rsidRPr="00D4309F">
        <w:rPr>
          <w:spacing w:val="-3"/>
        </w:rPr>
        <w:t xml:space="preserve"> </w:t>
      </w:r>
      <w:r w:rsidRPr="00D4309F">
        <w:t>Headland</w:t>
      </w:r>
      <w:r w:rsidRPr="00D4309F">
        <w:rPr>
          <w:spacing w:val="-3"/>
        </w:rPr>
        <w:t xml:space="preserve"> </w:t>
      </w:r>
      <w:r w:rsidRPr="00D4309F">
        <w:t>and</w:t>
      </w:r>
      <w:r w:rsidRPr="00D4309F">
        <w:rPr>
          <w:spacing w:val="-3"/>
        </w:rPr>
        <w:t xml:space="preserve"> </w:t>
      </w:r>
      <w:r w:rsidRPr="00D4309F">
        <w:t>Buddina–Minyama</w:t>
      </w:r>
      <w:r w:rsidRPr="00D4309F">
        <w:rPr>
          <w:spacing w:val="-3"/>
        </w:rPr>
        <w:t xml:space="preserve"> </w:t>
      </w:r>
      <w:r w:rsidRPr="00D4309F">
        <w:t>stand</w:t>
      </w:r>
      <w:r w:rsidRPr="00D4309F">
        <w:rPr>
          <w:spacing w:val="-3"/>
        </w:rPr>
        <w:t xml:space="preserve"> </w:t>
      </w:r>
      <w:r w:rsidRPr="00D4309F">
        <w:t>out</w:t>
      </w:r>
      <w:r w:rsidRPr="00D4309F">
        <w:rPr>
          <w:spacing w:val="-3"/>
        </w:rPr>
        <w:t xml:space="preserve"> </w:t>
      </w:r>
      <w:r w:rsidRPr="00D4309F">
        <w:t>as</w:t>
      </w:r>
      <w:r w:rsidRPr="00D4309F">
        <w:rPr>
          <w:spacing w:val="-2"/>
        </w:rPr>
        <w:t xml:space="preserve"> </w:t>
      </w:r>
      <w:r w:rsidRPr="00D4309F">
        <w:t>older,</w:t>
      </w:r>
      <w:r w:rsidRPr="00D4309F">
        <w:rPr>
          <w:spacing w:val="-5"/>
        </w:rPr>
        <w:t xml:space="preserve"> </w:t>
      </w:r>
      <w:r w:rsidRPr="00D4309F">
        <w:t>smaller-household communities</w:t>
      </w:r>
      <w:r w:rsidRPr="00D4309F">
        <w:rPr>
          <w:spacing w:val="-2"/>
        </w:rPr>
        <w:t xml:space="preserve"> </w:t>
      </w:r>
      <w:r w:rsidRPr="00D4309F">
        <w:t>with</w:t>
      </w:r>
      <w:r w:rsidRPr="00D4309F">
        <w:rPr>
          <w:spacing w:val="-3"/>
        </w:rPr>
        <w:t xml:space="preserve"> </w:t>
      </w:r>
      <w:r w:rsidRPr="00D4309F">
        <w:t>relatively</w:t>
      </w:r>
      <w:r w:rsidRPr="00D4309F">
        <w:rPr>
          <w:spacing w:val="-3"/>
        </w:rPr>
        <w:t xml:space="preserve"> </w:t>
      </w:r>
      <w:r w:rsidRPr="00D4309F">
        <w:t>high</w:t>
      </w:r>
      <w:r w:rsidRPr="00D4309F">
        <w:rPr>
          <w:spacing w:val="-3"/>
        </w:rPr>
        <w:t xml:space="preserve"> </w:t>
      </w:r>
      <w:r w:rsidRPr="00D4309F">
        <w:t>housing</w:t>
      </w:r>
      <w:r w:rsidRPr="00D4309F">
        <w:rPr>
          <w:spacing w:val="-4"/>
        </w:rPr>
        <w:t xml:space="preserve"> </w:t>
      </w:r>
      <w:r w:rsidRPr="00D4309F">
        <w:t>costs.</w:t>
      </w:r>
      <w:r w:rsidRPr="00D4309F">
        <w:rPr>
          <w:spacing w:val="-3"/>
        </w:rPr>
        <w:t xml:space="preserve"> </w:t>
      </w:r>
      <w:r w:rsidRPr="00D4309F">
        <w:t>Buddina–Minyama</w:t>
      </w:r>
      <w:r w:rsidRPr="00D4309F">
        <w:rPr>
          <w:spacing w:val="-4"/>
        </w:rPr>
        <w:t xml:space="preserve"> </w:t>
      </w:r>
      <w:r w:rsidRPr="00D4309F">
        <w:t>is</w:t>
      </w:r>
      <w:r w:rsidRPr="00D4309F">
        <w:rPr>
          <w:spacing w:val="-2"/>
        </w:rPr>
        <w:t xml:space="preserve"> </w:t>
      </w:r>
      <w:r w:rsidRPr="00D4309F">
        <w:t>the</w:t>
      </w:r>
      <w:r w:rsidRPr="00D4309F">
        <w:rPr>
          <w:spacing w:val="-3"/>
        </w:rPr>
        <w:t xml:space="preserve"> </w:t>
      </w:r>
      <w:r w:rsidRPr="00D4309F">
        <w:t>more</w:t>
      </w:r>
      <w:r w:rsidRPr="00D4309F">
        <w:rPr>
          <w:spacing w:val="-3"/>
        </w:rPr>
        <w:t xml:space="preserve"> </w:t>
      </w:r>
      <w:r w:rsidRPr="00D4309F">
        <w:t>affluent</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two,</w:t>
      </w:r>
      <w:r w:rsidRPr="00D4309F">
        <w:rPr>
          <w:spacing w:val="-3"/>
        </w:rPr>
        <w:t xml:space="preserve"> </w:t>
      </w:r>
      <w:r w:rsidRPr="00D4309F">
        <w:t>with</w:t>
      </w:r>
      <w:r w:rsidRPr="00D4309F">
        <w:rPr>
          <w:spacing w:val="-3"/>
        </w:rPr>
        <w:t xml:space="preserve"> </w:t>
      </w:r>
      <w:r w:rsidRPr="00D4309F">
        <w:t xml:space="preserve">higher incomes and rental and mortgage levels. Mooloolaba–Alexandra Headland offers somewhat greater affordability but still exceeds Queensland averages. Together, these characteristics underscore the two </w:t>
      </w:r>
      <w:r w:rsidRPr="00D4309F">
        <w:lastRenderedPageBreak/>
        <w:t>SA2s’ appeal to retirees, downsizers, and those seeking a coastal lifestyle in smaller household arrangements rather than traditional family settings.</w:t>
      </w:r>
    </w:p>
    <w:p w14:paraId="2918FADD" w14:textId="77777777" w:rsidR="007D4616" w:rsidRPr="00D4309F" w:rsidRDefault="007D4616" w:rsidP="007D4616">
      <w:pPr>
        <w:pStyle w:val="Heading3"/>
      </w:pPr>
      <w:bookmarkStart w:id="105" w:name="_Toc216699321"/>
      <w:r w:rsidRPr="00D4309F">
        <w:t>Use</w:t>
      </w:r>
      <w:r w:rsidRPr="00D4309F">
        <w:rPr>
          <w:spacing w:val="-1"/>
        </w:rPr>
        <w:t xml:space="preserve"> </w:t>
      </w:r>
      <w:r w:rsidRPr="00D4309F">
        <w:t>profile</w:t>
      </w:r>
      <w:bookmarkEnd w:id="105"/>
    </w:p>
    <w:p w14:paraId="3E5CB24C" w14:textId="77777777" w:rsidR="007D4616" w:rsidRPr="00CF3755" w:rsidRDefault="007D4616" w:rsidP="007D4616">
      <w:pPr>
        <w:pStyle w:val="Heading4"/>
      </w:pPr>
      <w:r w:rsidRPr="00CF3755">
        <w:t>Commercial uses</w:t>
      </w:r>
    </w:p>
    <w:p w14:paraId="0530E86D" w14:textId="77777777" w:rsidR="007D4616" w:rsidRPr="00D4309F" w:rsidRDefault="007D4616" w:rsidP="007D4616">
      <w:pPr>
        <w:pStyle w:val="BodyText"/>
      </w:pPr>
      <w:r w:rsidRPr="00D4309F">
        <w:t>Mooloolaba</w:t>
      </w:r>
      <w:r w:rsidRPr="00D4309F">
        <w:rPr>
          <w:spacing w:val="-4"/>
        </w:rPr>
        <w:t xml:space="preserve"> </w:t>
      </w:r>
      <w:r w:rsidRPr="00D4309F">
        <w:t>Harbour</w:t>
      </w:r>
      <w:r w:rsidRPr="00D4309F">
        <w:rPr>
          <w:spacing w:val="-2"/>
        </w:rPr>
        <w:t xml:space="preserve"> </w:t>
      </w:r>
      <w:r w:rsidRPr="00D4309F">
        <w:t>serves</w:t>
      </w:r>
      <w:r w:rsidRPr="00D4309F">
        <w:rPr>
          <w:spacing w:val="-2"/>
        </w:rPr>
        <w:t xml:space="preserve"> </w:t>
      </w:r>
      <w:r w:rsidRPr="00D4309F">
        <w:t>as</w:t>
      </w:r>
      <w:r w:rsidRPr="00D4309F">
        <w:rPr>
          <w:spacing w:val="-2"/>
        </w:rPr>
        <w:t xml:space="preserve"> </w:t>
      </w:r>
      <w:r w:rsidRPr="00D4309F">
        <w:t>a</w:t>
      </w:r>
      <w:r w:rsidRPr="00D4309F">
        <w:rPr>
          <w:spacing w:val="-3"/>
        </w:rPr>
        <w:t xml:space="preserve"> </w:t>
      </w:r>
      <w:r w:rsidRPr="00D4309F">
        <w:t>vital</w:t>
      </w:r>
      <w:r w:rsidRPr="00D4309F">
        <w:rPr>
          <w:spacing w:val="-3"/>
        </w:rPr>
        <w:t xml:space="preserve"> </w:t>
      </w:r>
      <w:r w:rsidRPr="00D4309F">
        <w:t>commercial</w:t>
      </w:r>
      <w:r w:rsidRPr="00D4309F">
        <w:rPr>
          <w:spacing w:val="-3"/>
        </w:rPr>
        <w:t xml:space="preserve"> </w:t>
      </w:r>
      <w:r w:rsidRPr="00D4309F">
        <w:t>and</w:t>
      </w:r>
      <w:r w:rsidRPr="00D4309F">
        <w:rPr>
          <w:spacing w:val="-3"/>
        </w:rPr>
        <w:t xml:space="preserve"> </w:t>
      </w:r>
      <w:r w:rsidRPr="00D4309F">
        <w:t>maritime</w:t>
      </w:r>
      <w:r w:rsidRPr="00D4309F">
        <w:rPr>
          <w:spacing w:val="-3"/>
        </w:rPr>
        <w:t xml:space="preserve"> </w:t>
      </w:r>
      <w:r w:rsidRPr="00D4309F">
        <w:t>hub</w:t>
      </w:r>
      <w:r w:rsidRPr="00D4309F">
        <w:rPr>
          <w:spacing w:val="-3"/>
        </w:rPr>
        <w:t xml:space="preserve"> </w:t>
      </w:r>
      <w:r w:rsidRPr="00D4309F">
        <w:t>on</w:t>
      </w:r>
      <w:r w:rsidRPr="00D4309F">
        <w:rPr>
          <w:spacing w:val="-3"/>
        </w:rPr>
        <w:t xml:space="preserve"> </w:t>
      </w:r>
      <w:r w:rsidRPr="00D4309F">
        <w:t>the</w:t>
      </w:r>
      <w:r w:rsidRPr="00D4309F">
        <w:rPr>
          <w:spacing w:val="-3"/>
        </w:rPr>
        <w:t xml:space="preserve"> </w:t>
      </w:r>
      <w:r w:rsidRPr="00D4309F">
        <w:t>Sunshine</w:t>
      </w:r>
      <w:r w:rsidRPr="00D4309F">
        <w:rPr>
          <w:spacing w:val="-3"/>
        </w:rPr>
        <w:t xml:space="preserve"> </w:t>
      </w:r>
      <w:r w:rsidRPr="00D4309F">
        <w:t>Coast,</w:t>
      </w:r>
      <w:r w:rsidRPr="00D4309F">
        <w:rPr>
          <w:spacing w:val="-3"/>
        </w:rPr>
        <w:t xml:space="preserve"> </w:t>
      </w:r>
      <w:r w:rsidRPr="00D4309F">
        <w:t>supporting</w:t>
      </w:r>
      <w:r w:rsidRPr="00D4309F">
        <w:rPr>
          <w:spacing w:val="-3"/>
        </w:rPr>
        <w:t xml:space="preserve"> </w:t>
      </w:r>
      <w:r w:rsidRPr="00D4309F">
        <w:t>a diverse range of industries and users. The harbour is regularly used by dozens of commercial vessels, particularly those involved in the seafood</w:t>
      </w:r>
      <w:r w:rsidRPr="00D4309F">
        <w:rPr>
          <w:spacing w:val="-1"/>
        </w:rPr>
        <w:t xml:space="preserve"> </w:t>
      </w:r>
      <w:r w:rsidRPr="00D4309F">
        <w:t>and agrifood</w:t>
      </w:r>
      <w:r w:rsidRPr="00D4309F">
        <w:rPr>
          <w:spacing w:val="-1"/>
        </w:rPr>
        <w:t xml:space="preserve"> </w:t>
      </w:r>
      <w:r w:rsidRPr="00D4309F">
        <w:t xml:space="preserve">sectors. Mooloolaba Fisheries, for example, relies heavily on the harbour for its operations, with the seafood industry contributing significantly to the local </w:t>
      </w:r>
      <w:r w:rsidRPr="00D4309F">
        <w:rPr>
          <w:spacing w:val="-2"/>
        </w:rPr>
        <w:t>economy.</w:t>
      </w:r>
    </w:p>
    <w:p w14:paraId="405156C5" w14:textId="77777777" w:rsidR="007D4616" w:rsidRPr="00D4309F" w:rsidRDefault="007D4616" w:rsidP="007D4616">
      <w:pPr>
        <w:pStyle w:val="BodyText"/>
      </w:pPr>
      <w:r w:rsidRPr="00D4309F">
        <w:t>Beyond fisheries, the harbour accommodates maritime-related government services, sustainable boating activities,</w:t>
      </w:r>
      <w:r w:rsidRPr="00D4309F">
        <w:rPr>
          <w:spacing w:val="-2"/>
        </w:rPr>
        <w:t xml:space="preserve"> </w:t>
      </w:r>
      <w:r w:rsidRPr="00D4309F">
        <w:t>and</w:t>
      </w:r>
      <w:r w:rsidRPr="00D4309F">
        <w:rPr>
          <w:spacing w:val="-3"/>
        </w:rPr>
        <w:t xml:space="preserve"> </w:t>
      </w:r>
      <w:r w:rsidRPr="00D4309F">
        <w:t>tourism</w:t>
      </w:r>
      <w:r w:rsidRPr="00D4309F">
        <w:rPr>
          <w:spacing w:val="-2"/>
        </w:rPr>
        <w:t xml:space="preserve"> </w:t>
      </w:r>
      <w:r w:rsidRPr="00D4309F">
        <w:t>operators.</w:t>
      </w:r>
      <w:r w:rsidRPr="00D4309F">
        <w:rPr>
          <w:spacing w:val="-2"/>
        </w:rPr>
        <w:t xml:space="preserve"> </w:t>
      </w:r>
      <w:r w:rsidRPr="00D4309F">
        <w:t>It</w:t>
      </w:r>
      <w:r w:rsidRPr="00D4309F">
        <w:rPr>
          <w:spacing w:val="-2"/>
        </w:rPr>
        <w:t xml:space="preserve"> </w:t>
      </w:r>
      <w:r w:rsidRPr="00D4309F">
        <w:t>offers</w:t>
      </w:r>
      <w:r w:rsidRPr="00D4309F">
        <w:rPr>
          <w:spacing w:val="-2"/>
        </w:rPr>
        <w:t xml:space="preserve"> </w:t>
      </w:r>
      <w:r w:rsidRPr="00D4309F">
        <w:t>all-tide</w:t>
      </w:r>
      <w:r w:rsidRPr="00D4309F">
        <w:rPr>
          <w:spacing w:val="-2"/>
        </w:rPr>
        <w:t xml:space="preserve"> </w:t>
      </w:r>
      <w:r w:rsidRPr="00D4309F">
        <w:t>deep-water</w:t>
      </w:r>
      <w:r w:rsidRPr="00D4309F">
        <w:rPr>
          <w:spacing w:val="-1"/>
        </w:rPr>
        <w:t xml:space="preserve"> </w:t>
      </w:r>
      <w:r w:rsidRPr="00D4309F">
        <w:t>access,</w:t>
      </w:r>
      <w:r w:rsidRPr="00D4309F">
        <w:rPr>
          <w:spacing w:val="-4"/>
        </w:rPr>
        <w:t xml:space="preserve"> </w:t>
      </w:r>
      <w:r w:rsidRPr="00D4309F">
        <w:t>making</w:t>
      </w:r>
      <w:r w:rsidRPr="00D4309F">
        <w:rPr>
          <w:spacing w:val="-2"/>
        </w:rPr>
        <w:t xml:space="preserve"> </w:t>
      </w:r>
      <w:r w:rsidRPr="00D4309F">
        <w:t>it</w:t>
      </w:r>
      <w:r w:rsidRPr="00D4309F">
        <w:rPr>
          <w:spacing w:val="-2"/>
        </w:rPr>
        <w:t xml:space="preserve"> </w:t>
      </w:r>
      <w:r w:rsidRPr="00D4309F">
        <w:t>suitable</w:t>
      </w:r>
      <w:r w:rsidRPr="00D4309F">
        <w:rPr>
          <w:spacing w:val="-2"/>
        </w:rPr>
        <w:t xml:space="preserve"> </w:t>
      </w:r>
      <w:r w:rsidRPr="00D4309F">
        <w:t>for</w:t>
      </w:r>
      <w:r w:rsidRPr="00D4309F">
        <w:rPr>
          <w:spacing w:val="-1"/>
        </w:rPr>
        <w:t xml:space="preserve"> </w:t>
      </w:r>
      <w:r w:rsidRPr="00D4309F">
        <w:t>both</w:t>
      </w:r>
      <w:r w:rsidRPr="00D4309F">
        <w:rPr>
          <w:spacing w:val="-3"/>
        </w:rPr>
        <w:t xml:space="preserve"> </w:t>
      </w:r>
      <w:r w:rsidRPr="00D4309F">
        <w:t>recreational and commercial vessels (Sunshine Coast News, 2025). Charter boats in Mooloolaba offer diverse water-based experiences, including luxury river cruises, private event charters, deep-sea fishing expeditions, and activities like jet boat rides, with most operators depart from The Wharf Mooloolaba.</w:t>
      </w:r>
    </w:p>
    <w:p w14:paraId="452EF7CA" w14:textId="0DD12995" w:rsidR="00F06E88" w:rsidRPr="00D4309F" w:rsidRDefault="007D4616" w:rsidP="007D4616">
      <w:pPr>
        <w:pStyle w:val="BodyText"/>
      </w:pPr>
      <w:r w:rsidRPr="00D4309F">
        <w:t>Adjacent</w:t>
      </w:r>
      <w:r w:rsidRPr="00D4309F">
        <w:rPr>
          <w:spacing w:val="-1"/>
        </w:rPr>
        <w:t xml:space="preserve"> </w:t>
      </w:r>
      <w:r w:rsidRPr="00D4309F">
        <w:t>to</w:t>
      </w:r>
      <w:r w:rsidRPr="00D4309F">
        <w:rPr>
          <w:spacing w:val="-1"/>
        </w:rPr>
        <w:t xml:space="preserve"> </w:t>
      </w:r>
      <w:r w:rsidRPr="00D4309F">
        <w:t>the</w:t>
      </w:r>
      <w:r w:rsidRPr="00D4309F">
        <w:rPr>
          <w:spacing w:val="-1"/>
        </w:rPr>
        <w:t xml:space="preserve"> </w:t>
      </w:r>
      <w:r w:rsidRPr="00D4309F">
        <w:t>harbour,</w:t>
      </w:r>
      <w:r w:rsidRPr="00D4309F">
        <w:rPr>
          <w:spacing w:val="-2"/>
        </w:rPr>
        <w:t xml:space="preserve"> </w:t>
      </w:r>
      <w:r w:rsidRPr="00D4309F">
        <w:t>The</w:t>
      </w:r>
      <w:r w:rsidRPr="00D4309F">
        <w:rPr>
          <w:spacing w:val="-1"/>
        </w:rPr>
        <w:t xml:space="preserve"> </w:t>
      </w:r>
      <w:r w:rsidRPr="00D4309F">
        <w:t>Wharf</w:t>
      </w:r>
      <w:r w:rsidRPr="00D4309F">
        <w:rPr>
          <w:spacing w:val="-1"/>
        </w:rPr>
        <w:t xml:space="preserve"> </w:t>
      </w:r>
      <w:r w:rsidRPr="00D4309F">
        <w:t>Mooloolaba</w:t>
      </w:r>
      <w:r w:rsidRPr="00D4309F">
        <w:rPr>
          <w:spacing w:val="-1"/>
        </w:rPr>
        <w:t xml:space="preserve"> </w:t>
      </w:r>
      <w:r w:rsidRPr="00D4309F">
        <w:t>serves as a</w:t>
      </w:r>
      <w:r w:rsidRPr="00D4309F">
        <w:rPr>
          <w:spacing w:val="-2"/>
        </w:rPr>
        <w:t xml:space="preserve"> </w:t>
      </w:r>
      <w:r w:rsidRPr="00D4309F">
        <w:t>vibrant</w:t>
      </w:r>
      <w:r w:rsidRPr="00D4309F">
        <w:rPr>
          <w:spacing w:val="-3"/>
        </w:rPr>
        <w:t xml:space="preserve"> </w:t>
      </w:r>
      <w:r w:rsidRPr="00D4309F">
        <w:t>lifestyle</w:t>
      </w:r>
      <w:r w:rsidRPr="00D4309F">
        <w:rPr>
          <w:spacing w:val="-1"/>
        </w:rPr>
        <w:t xml:space="preserve"> </w:t>
      </w:r>
      <w:r w:rsidRPr="00D4309F">
        <w:t>precinct</w:t>
      </w:r>
      <w:r w:rsidRPr="00D4309F">
        <w:rPr>
          <w:spacing w:val="-1"/>
        </w:rPr>
        <w:t xml:space="preserve"> </w:t>
      </w:r>
      <w:r w:rsidRPr="00D4309F">
        <w:t>with</w:t>
      </w:r>
      <w:r w:rsidRPr="00D4309F">
        <w:rPr>
          <w:spacing w:val="-1"/>
        </w:rPr>
        <w:t xml:space="preserve"> </w:t>
      </w:r>
      <w:r w:rsidRPr="00D4309F">
        <w:t>waterfront</w:t>
      </w:r>
      <w:r w:rsidRPr="00D4309F">
        <w:rPr>
          <w:spacing w:val="-1"/>
        </w:rPr>
        <w:t xml:space="preserve"> </w:t>
      </w:r>
      <w:r w:rsidRPr="00D4309F">
        <w:t>dining, boutique shopping, and attractions like SEA LIFE Sunshine Coast, making it a popular destination for both locals and tourists (The Wharf Mooloolaba, 2025). The precinct adds a strong commercial dimension with over</w:t>
      </w:r>
      <w:r w:rsidRPr="00D4309F">
        <w:rPr>
          <w:spacing w:val="-2"/>
        </w:rPr>
        <w:t xml:space="preserve"> </w:t>
      </w:r>
      <w:r w:rsidRPr="00D4309F">
        <w:t>30</w:t>
      </w:r>
      <w:r w:rsidRPr="00D4309F">
        <w:rPr>
          <w:spacing w:val="-3"/>
        </w:rPr>
        <w:t xml:space="preserve"> </w:t>
      </w:r>
      <w:r w:rsidRPr="00D4309F">
        <w:t>tenanted</w:t>
      </w:r>
      <w:r w:rsidRPr="00D4309F">
        <w:rPr>
          <w:spacing w:val="-3"/>
        </w:rPr>
        <w:t xml:space="preserve"> </w:t>
      </w:r>
      <w:r w:rsidRPr="00D4309F">
        <w:t>retail</w:t>
      </w:r>
      <w:r w:rsidRPr="00D4309F">
        <w:rPr>
          <w:spacing w:val="-3"/>
        </w:rPr>
        <w:t xml:space="preserve"> </w:t>
      </w:r>
      <w:r w:rsidRPr="00D4309F">
        <w:t>and</w:t>
      </w:r>
      <w:r w:rsidRPr="00D4309F">
        <w:rPr>
          <w:spacing w:val="-4"/>
        </w:rPr>
        <w:t xml:space="preserve"> </w:t>
      </w:r>
      <w:r w:rsidRPr="00D4309F">
        <w:t>hospitality</w:t>
      </w:r>
      <w:r w:rsidRPr="00D4309F">
        <w:rPr>
          <w:spacing w:val="-2"/>
        </w:rPr>
        <w:t xml:space="preserve"> </w:t>
      </w:r>
      <w:r w:rsidRPr="00D4309F">
        <w:t>businesses,</w:t>
      </w:r>
      <w:r w:rsidRPr="00D4309F">
        <w:rPr>
          <w:spacing w:val="-3"/>
        </w:rPr>
        <w:t xml:space="preserve"> </w:t>
      </w:r>
      <w:r w:rsidRPr="00D4309F">
        <w:t>a</w:t>
      </w:r>
      <w:r w:rsidRPr="00D4309F">
        <w:rPr>
          <w:spacing w:val="-3"/>
        </w:rPr>
        <w:t xml:space="preserve"> </w:t>
      </w:r>
      <w:r w:rsidRPr="00D4309F">
        <w:t>57-berth</w:t>
      </w:r>
      <w:r w:rsidRPr="00D4309F">
        <w:rPr>
          <w:spacing w:val="-3"/>
        </w:rPr>
        <w:t xml:space="preserve"> </w:t>
      </w:r>
      <w:r w:rsidRPr="00D4309F">
        <w:t>marina,</w:t>
      </w:r>
      <w:r w:rsidRPr="00D4309F">
        <w:rPr>
          <w:spacing w:val="-3"/>
        </w:rPr>
        <w:t xml:space="preserve"> </w:t>
      </w:r>
      <w:r w:rsidRPr="00D4309F">
        <w:t>and</w:t>
      </w:r>
      <w:r w:rsidRPr="00D4309F">
        <w:rPr>
          <w:spacing w:val="-3"/>
        </w:rPr>
        <w:t xml:space="preserve"> </w:t>
      </w:r>
      <w:r w:rsidRPr="00D4309F">
        <w:t>tourism-oriented</w:t>
      </w:r>
      <w:r w:rsidRPr="00D4309F">
        <w:rPr>
          <w:spacing w:val="-3"/>
        </w:rPr>
        <w:t xml:space="preserve"> </w:t>
      </w:r>
      <w:r w:rsidRPr="00D4309F">
        <w:t>enterprises</w:t>
      </w:r>
      <w:r w:rsidRPr="00D4309F">
        <w:rPr>
          <w:spacing w:val="-2"/>
        </w:rPr>
        <w:t xml:space="preserve"> </w:t>
      </w:r>
      <w:r w:rsidRPr="00D4309F">
        <w:t>that attract more than 2.2 million visitors annually (The Wharf Mooloolaba, 2025).</w:t>
      </w:r>
    </w:p>
    <w:p w14:paraId="779CAB7B" w14:textId="77777777" w:rsidR="007D4616" w:rsidRPr="00CF3755" w:rsidRDefault="007D4616" w:rsidP="007D4616">
      <w:pPr>
        <w:pStyle w:val="Heading4"/>
      </w:pPr>
      <w:r w:rsidRPr="00CF3755">
        <w:t>Recreational boat users</w:t>
      </w:r>
    </w:p>
    <w:p w14:paraId="506B7861" w14:textId="77777777" w:rsidR="007D4616" w:rsidRPr="00D4309F" w:rsidRDefault="007D4616" w:rsidP="007D4616">
      <w:pPr>
        <w:pStyle w:val="BodyText"/>
      </w:pPr>
      <w:r w:rsidRPr="00D4309F">
        <w:t>Within</w:t>
      </w:r>
      <w:r w:rsidRPr="00D4309F">
        <w:rPr>
          <w:spacing w:val="-3"/>
        </w:rPr>
        <w:t xml:space="preserve"> </w:t>
      </w:r>
      <w:r w:rsidRPr="00D4309F">
        <w:t>the</w:t>
      </w:r>
      <w:r w:rsidRPr="00D4309F">
        <w:rPr>
          <w:spacing w:val="-3"/>
        </w:rPr>
        <w:t xml:space="preserve"> </w:t>
      </w:r>
      <w:r w:rsidRPr="00D4309F">
        <w:t>Sunshine</w:t>
      </w:r>
      <w:r w:rsidRPr="00D4309F">
        <w:rPr>
          <w:spacing w:val="-3"/>
        </w:rPr>
        <w:t xml:space="preserve"> </w:t>
      </w:r>
      <w:r w:rsidRPr="00D4309F">
        <w:t>Coast</w:t>
      </w:r>
      <w:r w:rsidRPr="00D4309F">
        <w:rPr>
          <w:spacing w:val="-3"/>
        </w:rPr>
        <w:t xml:space="preserve"> </w:t>
      </w:r>
      <w:r w:rsidRPr="00D4309F">
        <w:t>LGA</w:t>
      </w:r>
      <w:r w:rsidRPr="00D4309F">
        <w:rPr>
          <w:spacing w:val="-4"/>
        </w:rPr>
        <w:t xml:space="preserve"> </w:t>
      </w:r>
      <w:r w:rsidRPr="00D4309F">
        <w:t>the</w:t>
      </w:r>
      <w:r w:rsidRPr="00D4309F">
        <w:rPr>
          <w:spacing w:val="-3"/>
        </w:rPr>
        <w:t xml:space="preserve"> </w:t>
      </w:r>
      <w:r w:rsidRPr="00D4309F">
        <w:t>high</w:t>
      </w:r>
      <w:r w:rsidRPr="00D4309F">
        <w:rPr>
          <w:spacing w:val="-4"/>
        </w:rPr>
        <w:t xml:space="preserve"> </w:t>
      </w:r>
      <w:r w:rsidRPr="00D4309F">
        <w:t>demand</w:t>
      </w:r>
      <w:r w:rsidRPr="00D4309F">
        <w:rPr>
          <w:spacing w:val="-3"/>
        </w:rPr>
        <w:t xml:space="preserve"> </w:t>
      </w:r>
      <w:r w:rsidRPr="00D4309F">
        <w:t>for</w:t>
      </w:r>
      <w:r w:rsidRPr="00D4309F">
        <w:rPr>
          <w:spacing w:val="-2"/>
        </w:rPr>
        <w:t xml:space="preserve"> </w:t>
      </w:r>
      <w:r w:rsidRPr="00D4309F">
        <w:t>recreational</w:t>
      </w:r>
      <w:r w:rsidRPr="00D4309F">
        <w:rPr>
          <w:spacing w:val="-3"/>
        </w:rPr>
        <w:t xml:space="preserve"> </w:t>
      </w:r>
      <w:r w:rsidRPr="00D4309F">
        <w:t>boating</w:t>
      </w:r>
      <w:r w:rsidRPr="00D4309F">
        <w:rPr>
          <w:spacing w:val="-3"/>
        </w:rPr>
        <w:t xml:space="preserve"> </w:t>
      </w:r>
      <w:r w:rsidRPr="00D4309F">
        <w:t>and</w:t>
      </w:r>
      <w:r w:rsidRPr="00D4309F">
        <w:rPr>
          <w:spacing w:val="-3"/>
        </w:rPr>
        <w:t xml:space="preserve"> </w:t>
      </w:r>
      <w:r w:rsidRPr="00D4309F">
        <w:t>associated</w:t>
      </w:r>
      <w:r w:rsidRPr="00D4309F">
        <w:rPr>
          <w:spacing w:val="-3"/>
        </w:rPr>
        <w:t xml:space="preserve"> </w:t>
      </w:r>
      <w:r w:rsidRPr="00D4309F">
        <w:t>facilities</w:t>
      </w:r>
      <w:r w:rsidRPr="00D4309F">
        <w:rPr>
          <w:spacing w:val="-3"/>
        </w:rPr>
        <w:t xml:space="preserve"> </w:t>
      </w:r>
      <w:r w:rsidRPr="00D4309F">
        <w:t>are</w:t>
      </w:r>
      <w:r w:rsidRPr="00D4309F">
        <w:rPr>
          <w:spacing w:val="-3"/>
        </w:rPr>
        <w:t xml:space="preserve"> </w:t>
      </w:r>
      <w:r w:rsidRPr="00D4309F">
        <w:t>driven in part by the size of the population within the area and neighbouring LGAs, the large local recreational boating fleet, as well as several canal estates that include private pontoons with waterside residential properties. As of July 2022, there was a total of 22,256 vessels with a home registration within the Sunshine Coast LGA, with 96% being ‘trailable’ – and therefore requiring boat launching facilities – with vessels primarily used within the LGA and demand added to by vessels registered in surrounding LGAs such as Brisbane, Moreton Bay, Noosa and Toowoomba (BMT, 2023).</w:t>
      </w:r>
    </w:p>
    <w:p w14:paraId="45F61441" w14:textId="11AA2939" w:rsidR="007D4616" w:rsidRPr="006E505C" w:rsidRDefault="007D4616" w:rsidP="007D4616">
      <w:pPr>
        <w:pStyle w:val="BodyText"/>
      </w:pPr>
      <w:r w:rsidRPr="006E505C">
        <w:t>The Mooloolah River including the Mooloolaba Boat Harbour is a major recreational destination on the Sunshine Coast, supporting recreational boaters through offering safe, all-tide access for a variety of leisure activities including boating, fishing and sailing. Recreational users benefit from well-maintained facilities such as the Mooloolaba Boat Ramp on Parkyn Parade, which features multiple lanes, floating pontoons, and trailer parking to support ease of access for private vessels (BMT, 2023). The harbour also includes the Mooloolaba Marina, which provides short- and long-term berthing options for recreational boaters.</w:t>
      </w:r>
      <w:r w:rsidR="006D0876">
        <w:rPr>
          <w:rFonts w:ascii="ZWAdobeF" w:hAnsi="ZWAdobeF" w:cs="ZWAdobeF"/>
          <w:color w:val="auto"/>
          <w:sz w:val="2"/>
          <w:szCs w:val="2"/>
        </w:rPr>
        <w:t>0F</w:t>
      </w:r>
      <w:r w:rsidR="002521FA">
        <w:rPr>
          <w:rStyle w:val="FootnoteReference"/>
        </w:rPr>
        <w:footnoteReference w:id="1"/>
      </w:r>
      <w:r w:rsidRPr="006E505C">
        <w:t xml:space="preserve"> Each year the Marina hosts fishing competitions and waterfront festivals. For day-trippers, river cruises and whale-watching tours depart regularly in winter, while anglers launch small boats from public ramps.</w:t>
      </w:r>
    </w:p>
    <w:p w14:paraId="0C73D47D" w14:textId="04AE41D8" w:rsidR="007D4616" w:rsidRPr="006E505C" w:rsidRDefault="007D4616" w:rsidP="007D4616">
      <w:pPr>
        <w:pStyle w:val="BodyText"/>
      </w:pPr>
      <w:r w:rsidRPr="006E505C">
        <w:t>A recent demand study undertaken by BMT found that across the Sunshine Coast LGA, users accessing offshore destinations gave heavy preference to the facilities in the Mooloolah River, with the Parkyn Parade facility (Mooloolaba state boat harbour) preferred because of its better facilities, parking capacity and access to key open water destinations, as well as proximity to food and retail outlets.</w:t>
      </w:r>
      <w:r w:rsidR="006D0876">
        <w:rPr>
          <w:rFonts w:ascii="ZWAdobeF" w:hAnsi="ZWAdobeF" w:cs="ZWAdobeF"/>
          <w:color w:val="auto"/>
          <w:sz w:val="2"/>
          <w:szCs w:val="2"/>
        </w:rPr>
        <w:t>1F</w:t>
      </w:r>
      <w:r w:rsidR="002521FA">
        <w:rPr>
          <w:rStyle w:val="FootnoteReference"/>
        </w:rPr>
        <w:footnoteReference w:id="2"/>
      </w:r>
      <w:r w:rsidRPr="006E505C">
        <w:t xml:space="preserve"> The areas popularity with recreational boaters has resulted in high usage and congestion during peak periods.</w:t>
      </w:r>
    </w:p>
    <w:p w14:paraId="79695277" w14:textId="5BC3DA4A" w:rsidR="00F06E88" w:rsidRDefault="007D4616" w:rsidP="005A2A87">
      <w:pPr>
        <w:pStyle w:val="BodyText"/>
      </w:pPr>
      <w:r w:rsidRPr="006E505C">
        <w:t>Boat users seeking access to open water launching from facilities in the Mooloolah River have to traverse coastal bars that are subject to changes that can change regularly and impede safe navigation for recreational boats.</w:t>
      </w:r>
    </w:p>
    <w:p w14:paraId="309A42CD" w14:textId="1ECDB5F7" w:rsidR="006E505C" w:rsidRPr="00D4309F" w:rsidRDefault="006E505C" w:rsidP="005A2A87">
      <w:pPr>
        <w:pStyle w:val="Heading4"/>
      </w:pPr>
      <w:r w:rsidRPr="00D4309F">
        <w:lastRenderedPageBreak/>
        <w:t>Recreational</w:t>
      </w:r>
      <w:r w:rsidRPr="00D4309F">
        <w:rPr>
          <w:spacing w:val="-9"/>
        </w:rPr>
        <w:t xml:space="preserve"> </w:t>
      </w:r>
      <w:r w:rsidRPr="00D4309F">
        <w:rPr>
          <w:spacing w:val="-2"/>
        </w:rPr>
        <w:t>fishing</w:t>
      </w:r>
    </w:p>
    <w:p w14:paraId="4CCB2FD4" w14:textId="2F41884A" w:rsidR="00F06E88" w:rsidRPr="00D4309F" w:rsidRDefault="006E505C" w:rsidP="00725977">
      <w:pPr>
        <w:pStyle w:val="BodyText"/>
      </w:pPr>
      <w:r w:rsidRPr="00D4309F">
        <w:t>Recreational fishing is an important aspect of social, cultural, and economic life on the Sunshine Coast with recreational fishing being one of Australia’s most important leisure activities by participation, with nearly one in</w:t>
      </w:r>
      <w:r w:rsidRPr="00D4309F">
        <w:rPr>
          <w:spacing w:val="-1"/>
        </w:rPr>
        <w:t xml:space="preserve"> </w:t>
      </w:r>
      <w:r w:rsidRPr="00D4309F">
        <w:t>five</w:t>
      </w:r>
      <w:r w:rsidRPr="00D4309F">
        <w:rPr>
          <w:spacing w:val="-1"/>
        </w:rPr>
        <w:t xml:space="preserve"> </w:t>
      </w:r>
      <w:r w:rsidRPr="00D4309F">
        <w:t>people</w:t>
      </w:r>
      <w:r w:rsidRPr="00D4309F">
        <w:rPr>
          <w:spacing w:val="-2"/>
        </w:rPr>
        <w:t xml:space="preserve"> </w:t>
      </w:r>
      <w:r w:rsidRPr="00D4309F">
        <w:t>fishing</w:t>
      </w:r>
      <w:r w:rsidRPr="00D4309F">
        <w:rPr>
          <w:spacing w:val="-1"/>
        </w:rPr>
        <w:t xml:space="preserve"> </w:t>
      </w:r>
      <w:r w:rsidRPr="00D4309F">
        <w:t>in</w:t>
      </w:r>
      <w:r w:rsidRPr="00D4309F">
        <w:rPr>
          <w:spacing w:val="-1"/>
        </w:rPr>
        <w:t xml:space="preserve"> </w:t>
      </w:r>
      <w:r w:rsidRPr="00D4309F">
        <w:t>2023.</w:t>
      </w:r>
      <w:r w:rsidRPr="00D4309F">
        <w:rPr>
          <w:spacing w:val="-1"/>
        </w:rPr>
        <w:t xml:space="preserve"> </w:t>
      </w:r>
      <w:r w:rsidRPr="00D4309F">
        <w:t>Many</w:t>
      </w:r>
      <w:r w:rsidRPr="00D4309F">
        <w:rPr>
          <w:spacing w:val="-1"/>
        </w:rPr>
        <w:t xml:space="preserve"> </w:t>
      </w:r>
      <w:r w:rsidRPr="00D4309F">
        <w:t>Queensland</w:t>
      </w:r>
      <w:r w:rsidRPr="00D4309F">
        <w:rPr>
          <w:spacing w:val="-1"/>
        </w:rPr>
        <w:t xml:space="preserve"> </w:t>
      </w:r>
      <w:r w:rsidRPr="00D4309F">
        <w:t>fishers focus on</w:t>
      </w:r>
      <w:r w:rsidRPr="00D4309F">
        <w:rPr>
          <w:spacing w:val="-2"/>
        </w:rPr>
        <w:t xml:space="preserve"> </w:t>
      </w:r>
      <w:r w:rsidRPr="00D4309F">
        <w:t>saltwater fishing,</w:t>
      </w:r>
      <w:r w:rsidRPr="00D4309F">
        <w:rPr>
          <w:spacing w:val="-1"/>
        </w:rPr>
        <w:t xml:space="preserve"> </w:t>
      </w:r>
      <w:r w:rsidRPr="00D4309F">
        <w:t>with</w:t>
      </w:r>
      <w:r w:rsidRPr="00D4309F">
        <w:rPr>
          <w:spacing w:val="-1"/>
        </w:rPr>
        <w:t xml:space="preserve"> </w:t>
      </w:r>
      <w:r w:rsidRPr="00D4309F">
        <w:t>86.8% reporting</w:t>
      </w:r>
      <w:r w:rsidRPr="00D4309F">
        <w:rPr>
          <w:spacing w:val="-1"/>
        </w:rPr>
        <w:t xml:space="preserve"> </w:t>
      </w:r>
      <w:r w:rsidRPr="00D4309F">
        <w:t>they fished in saltwater areas within the last year with over 70% of all recreational fishing being boat based.</w:t>
      </w:r>
      <w:r w:rsidR="006D0876">
        <w:rPr>
          <w:rFonts w:ascii="ZWAdobeF" w:hAnsi="ZWAdobeF" w:cs="ZWAdobeF"/>
          <w:color w:val="auto"/>
          <w:sz w:val="2"/>
          <w:szCs w:val="2"/>
        </w:rPr>
        <w:t>2F</w:t>
      </w:r>
      <w:r w:rsidR="002521FA">
        <w:rPr>
          <w:rStyle w:val="FootnoteReference"/>
        </w:rPr>
        <w:footnoteReference w:id="3"/>
      </w:r>
      <w:r w:rsidR="002521FA" w:rsidRPr="00D4309F">
        <w:t xml:space="preserve"> </w:t>
      </w:r>
      <w:r w:rsidRPr="00D4309F">
        <w:t>In the Sunshine Coast, recreational fishing by both residents and visitors resulted in $24 million expenditure in 2019</w:t>
      </w:r>
      <w:r w:rsidR="002521FA">
        <w:t>–</w:t>
      </w:r>
      <w:r w:rsidRPr="00D4309F">
        <w:t>20,</w:t>
      </w:r>
      <w:r w:rsidRPr="00D4309F">
        <w:rPr>
          <w:spacing w:val="-2"/>
        </w:rPr>
        <w:t xml:space="preserve"> </w:t>
      </w:r>
      <w:r w:rsidRPr="00D4309F">
        <w:t>with</w:t>
      </w:r>
      <w:r w:rsidRPr="00D4309F">
        <w:rPr>
          <w:spacing w:val="-3"/>
        </w:rPr>
        <w:t xml:space="preserve"> </w:t>
      </w:r>
      <w:r w:rsidRPr="00D4309F">
        <w:t>trip</w:t>
      </w:r>
      <w:r w:rsidRPr="00D4309F">
        <w:rPr>
          <w:spacing w:val="-2"/>
        </w:rPr>
        <w:t xml:space="preserve"> </w:t>
      </w:r>
      <w:r w:rsidRPr="00D4309F">
        <w:t>costs</w:t>
      </w:r>
      <w:r w:rsidRPr="00D4309F">
        <w:rPr>
          <w:spacing w:val="-1"/>
        </w:rPr>
        <w:t xml:space="preserve"> </w:t>
      </w:r>
      <w:r w:rsidRPr="00D4309F">
        <w:t>which</w:t>
      </w:r>
      <w:r w:rsidRPr="00D4309F">
        <w:rPr>
          <w:spacing w:val="-2"/>
        </w:rPr>
        <w:t xml:space="preserve"> </w:t>
      </w:r>
      <w:r w:rsidRPr="00D4309F">
        <w:t>includes</w:t>
      </w:r>
      <w:r w:rsidRPr="00D4309F">
        <w:rPr>
          <w:spacing w:val="-1"/>
        </w:rPr>
        <w:t xml:space="preserve"> </w:t>
      </w:r>
      <w:r w:rsidRPr="00D4309F">
        <w:t>items</w:t>
      </w:r>
      <w:r w:rsidRPr="00D4309F">
        <w:rPr>
          <w:spacing w:val="-2"/>
        </w:rPr>
        <w:t xml:space="preserve"> </w:t>
      </w:r>
      <w:r w:rsidRPr="00D4309F">
        <w:t>such</w:t>
      </w:r>
      <w:r w:rsidRPr="00D4309F">
        <w:rPr>
          <w:spacing w:val="-2"/>
        </w:rPr>
        <w:t xml:space="preserve"> </w:t>
      </w:r>
      <w:r w:rsidRPr="00D4309F">
        <w:t>as</w:t>
      </w:r>
      <w:r w:rsidRPr="00D4309F">
        <w:rPr>
          <w:spacing w:val="-2"/>
        </w:rPr>
        <w:t xml:space="preserve"> </w:t>
      </w:r>
      <w:r w:rsidRPr="00D4309F">
        <w:t>bait,</w:t>
      </w:r>
      <w:r w:rsidRPr="00D4309F">
        <w:rPr>
          <w:spacing w:val="-2"/>
        </w:rPr>
        <w:t xml:space="preserve"> </w:t>
      </w:r>
      <w:r w:rsidRPr="00D4309F">
        <w:t>boat</w:t>
      </w:r>
      <w:r w:rsidRPr="00D4309F">
        <w:rPr>
          <w:spacing w:val="-2"/>
        </w:rPr>
        <w:t xml:space="preserve"> </w:t>
      </w:r>
      <w:r w:rsidRPr="00D4309F">
        <w:t>fuel</w:t>
      </w:r>
      <w:r w:rsidRPr="00D4309F">
        <w:rPr>
          <w:spacing w:val="-2"/>
        </w:rPr>
        <w:t xml:space="preserve"> </w:t>
      </w:r>
      <w:r w:rsidRPr="00D4309F">
        <w:t>and</w:t>
      </w:r>
      <w:r w:rsidRPr="00D4309F">
        <w:rPr>
          <w:spacing w:val="-2"/>
        </w:rPr>
        <w:t xml:space="preserve"> </w:t>
      </w:r>
      <w:r w:rsidRPr="00D4309F">
        <w:t>hire,</w:t>
      </w:r>
      <w:r w:rsidRPr="00D4309F">
        <w:rPr>
          <w:spacing w:val="-2"/>
        </w:rPr>
        <w:t xml:space="preserve"> </w:t>
      </w:r>
      <w:r w:rsidRPr="00D4309F">
        <w:t>charter/guide</w:t>
      </w:r>
      <w:r w:rsidRPr="00D4309F">
        <w:rPr>
          <w:spacing w:val="-2"/>
        </w:rPr>
        <w:t xml:space="preserve"> </w:t>
      </w:r>
      <w:r w:rsidRPr="00D4309F">
        <w:t>fees,</w:t>
      </w:r>
      <w:r w:rsidRPr="00D4309F">
        <w:rPr>
          <w:spacing w:val="-2"/>
        </w:rPr>
        <w:t xml:space="preserve"> </w:t>
      </w:r>
      <w:r w:rsidRPr="00D4309F">
        <w:t>car</w:t>
      </w:r>
      <w:r w:rsidRPr="00D4309F">
        <w:rPr>
          <w:spacing w:val="-1"/>
        </w:rPr>
        <w:t xml:space="preserve"> </w:t>
      </w:r>
      <w:r w:rsidRPr="00D4309F">
        <w:t>fuel</w:t>
      </w:r>
      <w:r w:rsidRPr="00D4309F">
        <w:rPr>
          <w:spacing w:val="-2"/>
        </w:rPr>
        <w:t xml:space="preserve"> </w:t>
      </w:r>
      <w:r w:rsidRPr="00D4309F">
        <w:t>and accommodation accounting for approximately $3.4 million (DPI, 2019-20). With an approximate 75,000 fishers estimated, this amounts to a current average annual spend of $57 per person ($45 in 2019 dollars).</w:t>
      </w:r>
    </w:p>
    <w:p w14:paraId="2674936C" w14:textId="77777777" w:rsidR="00725977" w:rsidRPr="006E505C" w:rsidRDefault="00725977" w:rsidP="007F6850">
      <w:pPr>
        <w:pStyle w:val="Heading4"/>
      </w:pPr>
      <w:r w:rsidRPr="006E505C">
        <w:t>Tourism</w:t>
      </w:r>
    </w:p>
    <w:p w14:paraId="61484E6E" w14:textId="34E3151A" w:rsidR="00725977" w:rsidRPr="00D4309F" w:rsidRDefault="00725977" w:rsidP="00725977">
      <w:pPr>
        <w:pStyle w:val="BodyText"/>
      </w:pPr>
      <w:r w:rsidRPr="00D4309F">
        <w:t>In 2023/24, tourism on the Sunshine Coast made a significant contribution to the region’s economy and employment. In 2024, over 6.1 million tourists visited the Sunshine Coast of which a majority (98%) were from</w:t>
      </w:r>
      <w:r w:rsidRPr="00D4309F">
        <w:rPr>
          <w:spacing w:val="-2"/>
        </w:rPr>
        <w:t xml:space="preserve"> </w:t>
      </w:r>
      <w:r w:rsidRPr="00D4309F">
        <w:t>within</w:t>
      </w:r>
      <w:r w:rsidRPr="00D4309F">
        <w:rPr>
          <w:spacing w:val="-2"/>
        </w:rPr>
        <w:t xml:space="preserve"> </w:t>
      </w:r>
      <w:r w:rsidRPr="00D4309F">
        <w:t>Australia,</w:t>
      </w:r>
      <w:r w:rsidRPr="00D4309F">
        <w:rPr>
          <w:spacing w:val="-2"/>
        </w:rPr>
        <w:t xml:space="preserve"> </w:t>
      </w:r>
      <w:r w:rsidRPr="00D4309F">
        <w:t>with</w:t>
      </w:r>
      <w:r w:rsidRPr="00D4309F">
        <w:rPr>
          <w:spacing w:val="-2"/>
        </w:rPr>
        <w:t xml:space="preserve"> </w:t>
      </w:r>
      <w:r w:rsidRPr="00D4309F">
        <w:t>top</w:t>
      </w:r>
      <w:r w:rsidRPr="00D4309F">
        <w:rPr>
          <w:spacing w:val="-2"/>
        </w:rPr>
        <w:t xml:space="preserve"> </w:t>
      </w:r>
      <w:r w:rsidRPr="00D4309F">
        <w:t>international</w:t>
      </w:r>
      <w:r w:rsidRPr="00D4309F">
        <w:rPr>
          <w:spacing w:val="-2"/>
        </w:rPr>
        <w:t xml:space="preserve"> </w:t>
      </w:r>
      <w:r w:rsidRPr="00D4309F">
        <w:t>markets</w:t>
      </w:r>
      <w:r w:rsidRPr="00D4309F">
        <w:rPr>
          <w:spacing w:val="-1"/>
        </w:rPr>
        <w:t xml:space="preserve"> </w:t>
      </w:r>
      <w:r w:rsidRPr="00D4309F">
        <w:t>being</w:t>
      </w:r>
      <w:r w:rsidRPr="00D4309F">
        <w:rPr>
          <w:spacing w:val="-2"/>
        </w:rPr>
        <w:t xml:space="preserve"> </w:t>
      </w:r>
      <w:r w:rsidRPr="00D4309F">
        <w:t>New</w:t>
      </w:r>
      <w:r w:rsidRPr="00D4309F">
        <w:rPr>
          <w:spacing w:val="-1"/>
        </w:rPr>
        <w:t xml:space="preserve"> </w:t>
      </w:r>
      <w:r w:rsidRPr="00D4309F">
        <w:t>Zealand,</w:t>
      </w:r>
      <w:r w:rsidRPr="00D4309F">
        <w:rPr>
          <w:spacing w:val="-2"/>
        </w:rPr>
        <w:t xml:space="preserve"> </w:t>
      </w:r>
      <w:r w:rsidRPr="00D4309F">
        <w:t>the</w:t>
      </w:r>
      <w:r w:rsidRPr="00D4309F">
        <w:rPr>
          <w:spacing w:val="-2"/>
        </w:rPr>
        <w:t xml:space="preserve"> </w:t>
      </w:r>
      <w:r w:rsidRPr="00D4309F">
        <w:t>United</w:t>
      </w:r>
      <w:r w:rsidRPr="00D4309F">
        <w:rPr>
          <w:spacing w:val="-2"/>
        </w:rPr>
        <w:t xml:space="preserve"> </w:t>
      </w:r>
      <w:r w:rsidRPr="00D4309F">
        <w:t>Kingdom</w:t>
      </w:r>
      <w:r w:rsidRPr="00D4309F">
        <w:rPr>
          <w:spacing w:val="-2"/>
        </w:rPr>
        <w:t xml:space="preserve"> </w:t>
      </w:r>
      <w:r w:rsidRPr="00D4309F">
        <w:t>and</w:t>
      </w:r>
      <w:r w:rsidRPr="00D4309F">
        <w:rPr>
          <w:spacing w:val="-2"/>
        </w:rPr>
        <w:t xml:space="preserve"> </w:t>
      </w:r>
      <w:r w:rsidRPr="00D4309F">
        <w:t>America.</w:t>
      </w:r>
      <w:r w:rsidR="006D0876">
        <w:rPr>
          <w:rFonts w:ascii="ZWAdobeF" w:hAnsi="ZWAdobeF" w:cs="ZWAdobeF"/>
          <w:color w:val="auto"/>
          <w:sz w:val="2"/>
          <w:szCs w:val="2"/>
        </w:rPr>
        <w:t>3F</w:t>
      </w:r>
      <w:r w:rsidR="008B0D85">
        <w:rPr>
          <w:rStyle w:val="FootnoteReference"/>
        </w:rPr>
        <w:footnoteReference w:id="4"/>
      </w:r>
      <w:r w:rsidR="008B0D85" w:rsidRPr="00D4309F">
        <w:t xml:space="preserve"> </w:t>
      </w:r>
      <w:r w:rsidRPr="00D4309F">
        <w:t>However, international visitors remained for significantly more nights on average compared to domestic visitors (16 and 3 nights respectively) and spent on average $1,386 per trip.</w:t>
      </w:r>
      <w:r w:rsidR="006D0876">
        <w:rPr>
          <w:rFonts w:ascii="ZWAdobeF" w:hAnsi="ZWAdobeF" w:cs="ZWAdobeF"/>
          <w:color w:val="auto"/>
          <w:sz w:val="2"/>
          <w:szCs w:val="2"/>
        </w:rPr>
        <w:t>4F</w:t>
      </w:r>
      <w:r w:rsidR="00D13430">
        <w:rPr>
          <w:rStyle w:val="FootnoteReference"/>
        </w:rPr>
        <w:footnoteReference w:id="5"/>
      </w:r>
      <w:r w:rsidR="00D13430" w:rsidRPr="00D4309F">
        <w:t xml:space="preserve"> </w:t>
      </w:r>
    </w:p>
    <w:p w14:paraId="2DF5B4A5" w14:textId="77777777" w:rsidR="00725977" w:rsidRPr="00D4309F" w:rsidRDefault="00725977" w:rsidP="00725977">
      <w:pPr>
        <w:pStyle w:val="BodyText"/>
      </w:pPr>
      <w:r w:rsidRPr="00D4309F">
        <w:t>The tourism sector supported a total of 18,544 jobs, with 10,498 in direct employment and 8,046 in indirect roles (NIEIR, 2025). This represented 10.2% of the region’s total industry employment and 6.4% of Queensland’s</w:t>
      </w:r>
      <w:r w:rsidRPr="00D4309F">
        <w:rPr>
          <w:spacing w:val="-3"/>
        </w:rPr>
        <w:t xml:space="preserve"> </w:t>
      </w:r>
      <w:r w:rsidRPr="00D4309F">
        <w:t>tourism-related</w:t>
      </w:r>
      <w:r w:rsidRPr="00D4309F">
        <w:rPr>
          <w:spacing w:val="-3"/>
        </w:rPr>
        <w:t xml:space="preserve"> </w:t>
      </w:r>
      <w:r w:rsidRPr="00D4309F">
        <w:t>employment</w:t>
      </w:r>
      <w:r w:rsidRPr="00D4309F">
        <w:rPr>
          <w:spacing w:val="-4"/>
        </w:rPr>
        <w:t xml:space="preserve"> </w:t>
      </w:r>
      <w:r w:rsidRPr="00D4309F">
        <w:t>(NIEIR,</w:t>
      </w:r>
      <w:r w:rsidRPr="00D4309F">
        <w:rPr>
          <w:spacing w:val="-3"/>
        </w:rPr>
        <w:t xml:space="preserve"> </w:t>
      </w:r>
      <w:r w:rsidRPr="00D4309F">
        <w:t>2025).</w:t>
      </w:r>
      <w:r w:rsidRPr="00D4309F">
        <w:rPr>
          <w:spacing w:val="-4"/>
        </w:rPr>
        <w:t xml:space="preserve"> </w:t>
      </w:r>
      <w:r w:rsidRPr="00D4309F">
        <w:t>In</w:t>
      </w:r>
      <w:r w:rsidRPr="00D4309F">
        <w:rPr>
          <w:spacing w:val="-3"/>
        </w:rPr>
        <w:t xml:space="preserve"> </w:t>
      </w:r>
      <w:r w:rsidRPr="00D4309F">
        <w:t>terms</w:t>
      </w:r>
      <w:r w:rsidRPr="00D4309F">
        <w:rPr>
          <w:spacing w:val="-2"/>
        </w:rPr>
        <w:t xml:space="preserve"> </w:t>
      </w:r>
      <w:r w:rsidRPr="00D4309F">
        <w:t>of</w:t>
      </w:r>
      <w:r w:rsidRPr="00D4309F">
        <w:rPr>
          <w:spacing w:val="-3"/>
        </w:rPr>
        <w:t xml:space="preserve"> </w:t>
      </w:r>
      <w:r w:rsidRPr="00D4309F">
        <w:t>economic</w:t>
      </w:r>
      <w:r w:rsidRPr="00D4309F">
        <w:rPr>
          <w:spacing w:val="-3"/>
        </w:rPr>
        <w:t xml:space="preserve"> </w:t>
      </w:r>
      <w:r w:rsidRPr="00D4309F">
        <w:t>output,</w:t>
      </w:r>
      <w:r w:rsidRPr="00D4309F">
        <w:rPr>
          <w:spacing w:val="-3"/>
        </w:rPr>
        <w:t xml:space="preserve"> </w:t>
      </w:r>
      <w:r w:rsidRPr="00D4309F">
        <w:t>tourism</w:t>
      </w:r>
      <w:r w:rsidRPr="00D4309F">
        <w:rPr>
          <w:spacing w:val="-3"/>
        </w:rPr>
        <w:t xml:space="preserve"> </w:t>
      </w:r>
      <w:r w:rsidRPr="00D4309F">
        <w:t>generated</w:t>
      </w:r>
      <w:r w:rsidRPr="00D4309F">
        <w:rPr>
          <w:spacing w:val="-4"/>
        </w:rPr>
        <w:t xml:space="preserve"> </w:t>
      </w:r>
      <w:r w:rsidRPr="00D4309F">
        <w:t>$4 billion in total sales, comprising $1.6 billion in direct output and $2.4 billion in indirect output (NIEIR, 2025).</w:t>
      </w:r>
    </w:p>
    <w:p w14:paraId="461FD9E2" w14:textId="77777777" w:rsidR="00725977" w:rsidRPr="00D4309F" w:rsidRDefault="00725977" w:rsidP="00725977">
      <w:pPr>
        <w:pStyle w:val="BodyText"/>
      </w:pPr>
      <w:r w:rsidRPr="00D4309F">
        <w:t>These figures accounted for 9.2% of the Sunshine Coast’s total industry output and 5.5% of Queensland’s tourism</w:t>
      </w:r>
      <w:r w:rsidRPr="00D4309F">
        <w:rPr>
          <w:spacing w:val="-3"/>
        </w:rPr>
        <w:t xml:space="preserve"> </w:t>
      </w:r>
      <w:r w:rsidRPr="00D4309F">
        <w:t>output</w:t>
      </w:r>
      <w:r w:rsidRPr="00D4309F">
        <w:rPr>
          <w:spacing w:val="-4"/>
        </w:rPr>
        <w:t xml:space="preserve"> </w:t>
      </w:r>
      <w:r w:rsidRPr="00D4309F">
        <w:t>(NIEIR,</w:t>
      </w:r>
      <w:r w:rsidRPr="00D4309F">
        <w:rPr>
          <w:spacing w:val="-3"/>
        </w:rPr>
        <w:t xml:space="preserve"> </w:t>
      </w:r>
      <w:r w:rsidRPr="00D4309F">
        <w:t>2025).</w:t>
      </w:r>
      <w:r w:rsidRPr="00D4309F">
        <w:rPr>
          <w:spacing w:val="-4"/>
        </w:rPr>
        <w:t xml:space="preserve"> </w:t>
      </w:r>
      <w:r w:rsidRPr="00D4309F">
        <w:t>The</w:t>
      </w:r>
      <w:r w:rsidRPr="00D4309F">
        <w:rPr>
          <w:spacing w:val="-3"/>
        </w:rPr>
        <w:t xml:space="preserve"> </w:t>
      </w:r>
      <w:r w:rsidRPr="00D4309F">
        <w:t>value</w:t>
      </w:r>
      <w:r w:rsidRPr="00D4309F">
        <w:rPr>
          <w:spacing w:val="-4"/>
        </w:rPr>
        <w:t xml:space="preserve"> </w:t>
      </w:r>
      <w:r w:rsidRPr="00D4309F">
        <w:t>added</w:t>
      </w:r>
      <w:r w:rsidRPr="00D4309F">
        <w:rPr>
          <w:spacing w:val="-3"/>
        </w:rPr>
        <w:t xml:space="preserve"> </w:t>
      </w:r>
      <w:r w:rsidRPr="00D4309F">
        <w:t>by</w:t>
      </w:r>
      <w:r w:rsidRPr="00D4309F">
        <w:rPr>
          <w:spacing w:val="-2"/>
        </w:rPr>
        <w:t xml:space="preserve"> </w:t>
      </w:r>
      <w:r w:rsidRPr="00D4309F">
        <w:t>tourism—reflecting</w:t>
      </w:r>
      <w:r w:rsidRPr="00D4309F">
        <w:rPr>
          <w:spacing w:val="-3"/>
        </w:rPr>
        <w:t xml:space="preserve"> </w:t>
      </w:r>
      <w:r w:rsidRPr="00D4309F">
        <w:t>its</w:t>
      </w:r>
      <w:r w:rsidRPr="00D4309F">
        <w:rPr>
          <w:spacing w:val="-2"/>
        </w:rPr>
        <w:t xml:space="preserve"> </w:t>
      </w:r>
      <w:r w:rsidRPr="00D4309F">
        <w:t>net</w:t>
      </w:r>
      <w:r w:rsidRPr="00D4309F">
        <w:rPr>
          <w:spacing w:val="-3"/>
        </w:rPr>
        <w:t xml:space="preserve"> </w:t>
      </w:r>
      <w:r w:rsidRPr="00D4309F">
        <w:t>economic</w:t>
      </w:r>
      <w:r w:rsidRPr="00D4309F">
        <w:rPr>
          <w:spacing w:val="-2"/>
        </w:rPr>
        <w:t xml:space="preserve"> </w:t>
      </w:r>
      <w:r w:rsidRPr="00D4309F">
        <w:t>contribution—was</w:t>
      </w:r>
      <w:r w:rsidRPr="00D4309F">
        <w:rPr>
          <w:spacing w:val="-2"/>
        </w:rPr>
        <w:t xml:space="preserve"> </w:t>
      </w:r>
      <w:r w:rsidRPr="00D4309F">
        <w:t>$2 billion, split between $817.56 million directly and $1.182 billion indirectly (NIEIR, 2025). This made up 9.6% of the Sunshine Coast’s total industry value added and 5.7% of Queensland’s tourism value added (NIEIR, 2025). Overall, the data highlights tourism’s vital role in the Sunshine Coast’s economy, both as a major employer and as a driver of regional output and value creation (NIEIR, 2025).</w:t>
      </w:r>
    </w:p>
    <w:p w14:paraId="4EF698EE" w14:textId="1A9B7A2D" w:rsidR="00725977" w:rsidRPr="00D4309F" w:rsidRDefault="00725977" w:rsidP="00725977">
      <w:pPr>
        <w:pStyle w:val="BodyText"/>
      </w:pPr>
      <w:r w:rsidRPr="00D4309F">
        <w:t>Mooloolaba</w:t>
      </w:r>
      <w:r w:rsidRPr="00D4309F">
        <w:rPr>
          <w:spacing w:val="-2"/>
        </w:rPr>
        <w:t xml:space="preserve"> </w:t>
      </w:r>
      <w:r w:rsidRPr="00D4309F">
        <w:t>plays</w:t>
      </w:r>
      <w:r w:rsidRPr="00D4309F">
        <w:rPr>
          <w:spacing w:val="-1"/>
        </w:rPr>
        <w:t xml:space="preserve"> </w:t>
      </w:r>
      <w:r w:rsidRPr="00D4309F">
        <w:t>a</w:t>
      </w:r>
      <w:r w:rsidRPr="00D4309F">
        <w:rPr>
          <w:spacing w:val="-2"/>
        </w:rPr>
        <w:t xml:space="preserve"> </w:t>
      </w:r>
      <w:r w:rsidRPr="00D4309F">
        <w:t>central</w:t>
      </w:r>
      <w:r w:rsidRPr="00D4309F">
        <w:rPr>
          <w:spacing w:val="-3"/>
        </w:rPr>
        <w:t xml:space="preserve"> </w:t>
      </w:r>
      <w:r w:rsidRPr="00D4309F">
        <w:t>and</w:t>
      </w:r>
      <w:r w:rsidRPr="00D4309F">
        <w:rPr>
          <w:spacing w:val="-2"/>
        </w:rPr>
        <w:t xml:space="preserve"> </w:t>
      </w:r>
      <w:r w:rsidRPr="00D4309F">
        <w:t>dynamic</w:t>
      </w:r>
      <w:r w:rsidRPr="00D4309F">
        <w:rPr>
          <w:spacing w:val="-2"/>
        </w:rPr>
        <w:t xml:space="preserve"> </w:t>
      </w:r>
      <w:r w:rsidRPr="00D4309F">
        <w:t>role</w:t>
      </w:r>
      <w:r w:rsidRPr="00D4309F">
        <w:rPr>
          <w:spacing w:val="-2"/>
        </w:rPr>
        <w:t xml:space="preserve"> </w:t>
      </w:r>
      <w:r w:rsidRPr="00D4309F">
        <w:t>in</w:t>
      </w:r>
      <w:r w:rsidRPr="00D4309F">
        <w:rPr>
          <w:spacing w:val="-2"/>
        </w:rPr>
        <w:t xml:space="preserve"> </w:t>
      </w:r>
      <w:r w:rsidRPr="00D4309F">
        <w:t>the</w:t>
      </w:r>
      <w:r w:rsidRPr="00D4309F">
        <w:rPr>
          <w:spacing w:val="-2"/>
        </w:rPr>
        <w:t xml:space="preserve"> </w:t>
      </w:r>
      <w:r w:rsidRPr="00D4309F">
        <w:t>Sunshine</w:t>
      </w:r>
      <w:r w:rsidRPr="00D4309F">
        <w:rPr>
          <w:spacing w:val="-3"/>
        </w:rPr>
        <w:t xml:space="preserve"> </w:t>
      </w:r>
      <w:r w:rsidRPr="00D4309F">
        <w:t>Coast’s</w:t>
      </w:r>
      <w:r w:rsidRPr="00D4309F">
        <w:rPr>
          <w:spacing w:val="-1"/>
        </w:rPr>
        <w:t xml:space="preserve"> </w:t>
      </w:r>
      <w:r w:rsidRPr="00D4309F">
        <w:t>tourism</w:t>
      </w:r>
      <w:r w:rsidRPr="00D4309F">
        <w:rPr>
          <w:spacing w:val="-2"/>
        </w:rPr>
        <w:t xml:space="preserve"> </w:t>
      </w:r>
      <w:r w:rsidRPr="00D4309F">
        <w:t>industry,</w:t>
      </w:r>
      <w:r w:rsidRPr="00D4309F">
        <w:rPr>
          <w:spacing w:val="-2"/>
        </w:rPr>
        <w:t xml:space="preserve"> </w:t>
      </w:r>
      <w:r w:rsidRPr="00D4309F">
        <w:t>serving</w:t>
      </w:r>
      <w:r w:rsidRPr="00D4309F">
        <w:rPr>
          <w:spacing w:val="-2"/>
        </w:rPr>
        <w:t xml:space="preserve"> </w:t>
      </w:r>
      <w:r w:rsidRPr="00D4309F">
        <w:t>as</w:t>
      </w:r>
      <w:r w:rsidRPr="00D4309F">
        <w:rPr>
          <w:spacing w:val="-1"/>
        </w:rPr>
        <w:t xml:space="preserve"> </w:t>
      </w:r>
      <w:r w:rsidRPr="00D4309F">
        <w:t>one</w:t>
      </w:r>
      <w:r w:rsidRPr="00D4309F">
        <w:rPr>
          <w:spacing w:val="-2"/>
        </w:rPr>
        <w:t xml:space="preserve"> </w:t>
      </w:r>
      <w:r w:rsidRPr="00D4309F">
        <w:t>of</w:t>
      </w:r>
      <w:r w:rsidRPr="00D4309F">
        <w:rPr>
          <w:spacing w:val="-2"/>
        </w:rPr>
        <w:t xml:space="preserve"> </w:t>
      </w:r>
      <w:r w:rsidRPr="00D4309F">
        <w:t>the region’s</w:t>
      </w:r>
      <w:r w:rsidRPr="00D4309F">
        <w:rPr>
          <w:spacing w:val="-1"/>
        </w:rPr>
        <w:t xml:space="preserve"> </w:t>
      </w:r>
      <w:r w:rsidRPr="00D4309F">
        <w:t>most</w:t>
      </w:r>
      <w:r w:rsidRPr="00D4309F">
        <w:rPr>
          <w:spacing w:val="-4"/>
        </w:rPr>
        <w:t xml:space="preserve"> </w:t>
      </w:r>
      <w:r w:rsidRPr="00D4309F">
        <w:t>popular</w:t>
      </w:r>
      <w:r w:rsidRPr="00D4309F">
        <w:rPr>
          <w:spacing w:val="-1"/>
        </w:rPr>
        <w:t xml:space="preserve"> </w:t>
      </w:r>
      <w:r w:rsidRPr="00D4309F">
        <w:t>and</w:t>
      </w:r>
      <w:r w:rsidRPr="00D4309F">
        <w:rPr>
          <w:spacing w:val="-3"/>
        </w:rPr>
        <w:t xml:space="preserve"> </w:t>
      </w:r>
      <w:r w:rsidRPr="00D4309F">
        <w:t>vibrant</w:t>
      </w:r>
      <w:r w:rsidRPr="00D4309F">
        <w:rPr>
          <w:spacing w:val="-2"/>
        </w:rPr>
        <w:t xml:space="preserve"> </w:t>
      </w:r>
      <w:r w:rsidRPr="00D4309F">
        <w:t>coastal</w:t>
      </w:r>
      <w:r w:rsidRPr="00D4309F">
        <w:rPr>
          <w:spacing w:val="-2"/>
        </w:rPr>
        <w:t xml:space="preserve"> </w:t>
      </w:r>
      <w:r w:rsidRPr="00D4309F">
        <w:t>destinations.</w:t>
      </w:r>
      <w:r w:rsidRPr="00D4309F">
        <w:rPr>
          <w:spacing w:val="-3"/>
        </w:rPr>
        <w:t xml:space="preserve"> </w:t>
      </w:r>
      <w:r w:rsidRPr="00D4309F">
        <w:t>Its</w:t>
      </w:r>
      <w:r w:rsidRPr="00D4309F">
        <w:rPr>
          <w:spacing w:val="-1"/>
        </w:rPr>
        <w:t xml:space="preserve"> </w:t>
      </w:r>
      <w:r w:rsidRPr="00D4309F">
        <w:t>strategic</w:t>
      </w:r>
      <w:r w:rsidRPr="00D4309F">
        <w:rPr>
          <w:spacing w:val="-1"/>
        </w:rPr>
        <w:t xml:space="preserve"> </w:t>
      </w:r>
      <w:r w:rsidRPr="00D4309F">
        <w:t>location—just</w:t>
      </w:r>
      <w:r w:rsidRPr="00D4309F">
        <w:rPr>
          <w:spacing w:val="-2"/>
        </w:rPr>
        <w:t xml:space="preserve"> </w:t>
      </w:r>
      <w:r w:rsidRPr="00D4309F">
        <w:t>15</w:t>
      </w:r>
      <w:r w:rsidRPr="00D4309F">
        <w:rPr>
          <w:spacing w:val="-2"/>
        </w:rPr>
        <w:t xml:space="preserve"> </w:t>
      </w:r>
      <w:r w:rsidRPr="00D4309F">
        <w:t>minutes</w:t>
      </w:r>
      <w:r w:rsidRPr="00D4309F">
        <w:rPr>
          <w:spacing w:val="-2"/>
        </w:rPr>
        <w:t xml:space="preserve"> </w:t>
      </w:r>
      <w:r w:rsidRPr="00D4309F">
        <w:t>from</w:t>
      </w:r>
      <w:r w:rsidRPr="00D4309F">
        <w:rPr>
          <w:spacing w:val="-2"/>
        </w:rPr>
        <w:t xml:space="preserve"> </w:t>
      </w:r>
      <w:r w:rsidRPr="00D4309F">
        <w:t>Sunshine Coast Airport and one hour from Brisbane—makes it a convenient gateway for domestic and international</w:t>
      </w:r>
      <w:r w:rsidR="00D857BD" w:rsidRPr="00D857BD">
        <w:t xml:space="preserve"> </w:t>
      </w:r>
      <w:r w:rsidR="00D857BD" w:rsidRPr="00D4309F">
        <w:t>visitors.</w:t>
      </w:r>
      <w:r w:rsidR="00D857BD" w:rsidRPr="00D4309F">
        <w:rPr>
          <w:spacing w:val="-4"/>
        </w:rPr>
        <w:t xml:space="preserve"> </w:t>
      </w:r>
      <w:r w:rsidR="00D857BD" w:rsidRPr="00D4309F">
        <w:t>Its</w:t>
      </w:r>
      <w:r w:rsidR="00D857BD" w:rsidRPr="00D4309F">
        <w:rPr>
          <w:spacing w:val="-2"/>
        </w:rPr>
        <w:t xml:space="preserve"> </w:t>
      </w:r>
      <w:r w:rsidR="00D857BD" w:rsidRPr="00D4309F">
        <w:t>north-facing</w:t>
      </w:r>
      <w:r w:rsidR="00D857BD" w:rsidRPr="00D4309F">
        <w:rPr>
          <w:spacing w:val="-3"/>
        </w:rPr>
        <w:t xml:space="preserve"> </w:t>
      </w:r>
      <w:r w:rsidR="00D857BD" w:rsidRPr="00D4309F">
        <w:t>beach</w:t>
      </w:r>
      <w:r w:rsidR="00D857BD" w:rsidRPr="00D4309F">
        <w:rPr>
          <w:spacing w:val="-3"/>
        </w:rPr>
        <w:t xml:space="preserve"> </w:t>
      </w:r>
      <w:r w:rsidR="00D857BD" w:rsidRPr="00D4309F">
        <w:t>is</w:t>
      </w:r>
      <w:r w:rsidR="00D857BD" w:rsidRPr="00D4309F">
        <w:rPr>
          <w:spacing w:val="-3"/>
        </w:rPr>
        <w:t xml:space="preserve"> </w:t>
      </w:r>
      <w:r w:rsidR="00D857BD" w:rsidRPr="00D4309F">
        <w:t>consistently</w:t>
      </w:r>
      <w:r w:rsidR="00D857BD" w:rsidRPr="00D4309F">
        <w:rPr>
          <w:spacing w:val="-2"/>
        </w:rPr>
        <w:t xml:space="preserve"> </w:t>
      </w:r>
      <w:r w:rsidR="00D857BD" w:rsidRPr="00D4309F">
        <w:t>ranked</w:t>
      </w:r>
      <w:r w:rsidR="00D857BD" w:rsidRPr="00D4309F">
        <w:rPr>
          <w:spacing w:val="-3"/>
        </w:rPr>
        <w:t xml:space="preserve"> </w:t>
      </w:r>
      <w:r w:rsidR="00D857BD" w:rsidRPr="00D4309F">
        <w:t>among</w:t>
      </w:r>
      <w:r w:rsidR="00D857BD" w:rsidRPr="00D4309F">
        <w:rPr>
          <w:spacing w:val="-3"/>
        </w:rPr>
        <w:t xml:space="preserve"> </w:t>
      </w:r>
      <w:r w:rsidR="00D857BD" w:rsidRPr="00D4309F">
        <w:t>Australia’s</w:t>
      </w:r>
      <w:r w:rsidR="00D857BD" w:rsidRPr="00D4309F">
        <w:rPr>
          <w:spacing w:val="-2"/>
        </w:rPr>
        <w:t xml:space="preserve"> </w:t>
      </w:r>
      <w:r w:rsidR="00D857BD" w:rsidRPr="00D4309F">
        <w:t>best,</w:t>
      </w:r>
      <w:r w:rsidR="00D857BD" w:rsidRPr="00D4309F">
        <w:rPr>
          <w:spacing w:val="-3"/>
        </w:rPr>
        <w:t xml:space="preserve"> </w:t>
      </w:r>
      <w:r w:rsidR="00D857BD" w:rsidRPr="00D4309F">
        <w:t>including</w:t>
      </w:r>
      <w:r w:rsidR="00D857BD" w:rsidRPr="00D4309F">
        <w:rPr>
          <w:spacing w:val="-3"/>
        </w:rPr>
        <w:t xml:space="preserve"> </w:t>
      </w:r>
      <w:r w:rsidR="00D857BD" w:rsidRPr="00D4309F">
        <w:t>a</w:t>
      </w:r>
      <w:r w:rsidR="00D857BD" w:rsidRPr="00D4309F">
        <w:rPr>
          <w:spacing w:val="-3"/>
        </w:rPr>
        <w:t xml:space="preserve"> </w:t>
      </w:r>
      <w:r w:rsidR="00D857BD" w:rsidRPr="00D4309F">
        <w:t>recent</w:t>
      </w:r>
      <w:r w:rsidR="00D857BD" w:rsidRPr="00D4309F">
        <w:rPr>
          <w:spacing w:val="-3"/>
        </w:rPr>
        <w:t xml:space="preserve"> </w:t>
      </w:r>
      <w:r w:rsidR="00D857BD" w:rsidRPr="00D4309F">
        <w:t>accolade</w:t>
      </w:r>
      <w:r w:rsidR="00D857BD" w:rsidRPr="00D4309F">
        <w:rPr>
          <w:spacing w:val="-3"/>
        </w:rPr>
        <w:t xml:space="preserve"> </w:t>
      </w:r>
      <w:r w:rsidR="00D857BD" w:rsidRPr="00D4309F">
        <w:t>as 6th in TripAdvisor’s Travellers’ Choice Best of the Beaches 2024.</w:t>
      </w:r>
      <w:r w:rsidR="006D0876">
        <w:rPr>
          <w:rFonts w:ascii="ZWAdobeF" w:hAnsi="ZWAdobeF" w:cs="ZWAdobeF"/>
          <w:color w:val="auto"/>
          <w:sz w:val="2"/>
          <w:szCs w:val="2"/>
        </w:rPr>
        <w:t>5F</w:t>
      </w:r>
      <w:r w:rsidR="00D13430">
        <w:rPr>
          <w:rStyle w:val="FootnoteReference"/>
        </w:rPr>
        <w:footnoteReference w:id="6"/>
      </w:r>
      <w:r w:rsidR="00D13430" w:rsidRPr="00D4309F">
        <w:t xml:space="preserve"> </w:t>
      </w:r>
    </w:p>
    <w:p w14:paraId="75AB0A6A" w14:textId="5B6E4EB5" w:rsidR="00725977" w:rsidRPr="00D4309F" w:rsidRDefault="00725977" w:rsidP="00725977">
      <w:pPr>
        <w:pStyle w:val="BodyText"/>
      </w:pPr>
      <w:r w:rsidRPr="00D4309F">
        <w:t>The area attracts visitors with its safe swimming conditions, scenic waterfront, and bustling esplanade lined with cafés, restaurants, and boutique shops.</w:t>
      </w:r>
      <w:r w:rsidR="006D0876">
        <w:rPr>
          <w:rFonts w:ascii="ZWAdobeF" w:hAnsi="ZWAdobeF" w:cs="ZWAdobeF"/>
          <w:color w:val="auto"/>
          <w:sz w:val="2"/>
          <w:szCs w:val="2"/>
        </w:rPr>
        <w:t>6F</w:t>
      </w:r>
      <w:r w:rsidR="005906AD">
        <w:rPr>
          <w:rStyle w:val="FootnoteReference"/>
        </w:rPr>
        <w:footnoteReference w:id="7"/>
      </w:r>
      <w:r w:rsidRPr="00D4309F">
        <w:t xml:space="preserve"> Mooloolaba is also home to key attractions like SEA LIFE Sunshine Coast, a multi-award-winning marine park that draws families and tourists year-round.</w:t>
      </w:r>
    </w:p>
    <w:p w14:paraId="78F50603" w14:textId="55CE3D25" w:rsidR="00F06E88" w:rsidRPr="00D4309F" w:rsidRDefault="00725977" w:rsidP="00725977">
      <w:pPr>
        <w:pStyle w:val="BodyText"/>
      </w:pPr>
      <w:r w:rsidRPr="00D4309F">
        <w:t>The</w:t>
      </w:r>
      <w:r w:rsidRPr="00D4309F">
        <w:rPr>
          <w:spacing w:val="-2"/>
        </w:rPr>
        <w:t xml:space="preserve"> </w:t>
      </w:r>
      <w:r w:rsidRPr="00D4309F">
        <w:t>suburb</w:t>
      </w:r>
      <w:r w:rsidRPr="00D4309F">
        <w:rPr>
          <w:spacing w:val="-2"/>
        </w:rPr>
        <w:t xml:space="preserve"> </w:t>
      </w:r>
      <w:r w:rsidRPr="00D4309F">
        <w:t>is</w:t>
      </w:r>
      <w:r w:rsidRPr="00D4309F">
        <w:rPr>
          <w:spacing w:val="-2"/>
        </w:rPr>
        <w:t xml:space="preserve"> </w:t>
      </w:r>
      <w:r w:rsidRPr="00D4309F">
        <w:t>undergoing</w:t>
      </w:r>
      <w:r w:rsidRPr="00D4309F">
        <w:rPr>
          <w:spacing w:val="-2"/>
        </w:rPr>
        <w:t xml:space="preserve"> </w:t>
      </w:r>
      <w:r w:rsidRPr="00D4309F">
        <w:t>a</w:t>
      </w:r>
      <w:r w:rsidRPr="00D4309F">
        <w:rPr>
          <w:spacing w:val="-3"/>
        </w:rPr>
        <w:t xml:space="preserve"> </w:t>
      </w:r>
      <w:r w:rsidRPr="00D4309F">
        <w:t>major</w:t>
      </w:r>
      <w:r w:rsidRPr="00D4309F">
        <w:rPr>
          <w:spacing w:val="-1"/>
        </w:rPr>
        <w:t xml:space="preserve"> </w:t>
      </w:r>
      <w:r w:rsidRPr="00D4309F">
        <w:t>transformation</w:t>
      </w:r>
      <w:r w:rsidRPr="00D4309F">
        <w:rPr>
          <w:spacing w:val="-2"/>
        </w:rPr>
        <w:t xml:space="preserve"> </w:t>
      </w:r>
      <w:r w:rsidRPr="00D4309F">
        <w:t>through</w:t>
      </w:r>
      <w:r w:rsidRPr="00D4309F">
        <w:rPr>
          <w:spacing w:val="-2"/>
        </w:rPr>
        <w:t xml:space="preserve"> </w:t>
      </w:r>
      <w:r w:rsidRPr="00D4309F">
        <w:t>the</w:t>
      </w:r>
      <w:r w:rsidRPr="00D4309F">
        <w:rPr>
          <w:spacing w:val="-2"/>
        </w:rPr>
        <w:t xml:space="preserve"> </w:t>
      </w:r>
      <w:r w:rsidRPr="00D4309F">
        <w:t>Mooloolaba</w:t>
      </w:r>
      <w:r w:rsidRPr="00D4309F">
        <w:rPr>
          <w:spacing w:val="-2"/>
        </w:rPr>
        <w:t xml:space="preserve"> </w:t>
      </w:r>
      <w:r w:rsidRPr="00D4309F">
        <w:t>Foreshore</w:t>
      </w:r>
      <w:r w:rsidRPr="00D4309F">
        <w:rPr>
          <w:spacing w:val="-2"/>
        </w:rPr>
        <w:t xml:space="preserve"> </w:t>
      </w:r>
      <w:r w:rsidRPr="00D4309F">
        <w:t>Revitalisation</w:t>
      </w:r>
      <w:r w:rsidRPr="00D4309F">
        <w:rPr>
          <w:spacing w:val="-2"/>
        </w:rPr>
        <w:t xml:space="preserve"> </w:t>
      </w:r>
      <w:r w:rsidRPr="00D4309F">
        <w:t>Project, which</w:t>
      </w:r>
      <w:r w:rsidRPr="00D4309F">
        <w:rPr>
          <w:spacing w:val="-3"/>
        </w:rPr>
        <w:t xml:space="preserve"> </w:t>
      </w:r>
      <w:r w:rsidRPr="00D4309F">
        <w:t>includes</w:t>
      </w:r>
      <w:r w:rsidRPr="00D4309F">
        <w:rPr>
          <w:spacing w:val="-2"/>
        </w:rPr>
        <w:t xml:space="preserve"> </w:t>
      </w:r>
      <w:r w:rsidRPr="00D4309F">
        <w:t>expanded</w:t>
      </w:r>
      <w:r w:rsidRPr="00D4309F">
        <w:rPr>
          <w:spacing w:val="-3"/>
        </w:rPr>
        <w:t xml:space="preserve"> </w:t>
      </w:r>
      <w:r w:rsidRPr="00D4309F">
        <w:t>beachfront</w:t>
      </w:r>
      <w:r w:rsidRPr="00D4309F">
        <w:rPr>
          <w:spacing w:val="-3"/>
        </w:rPr>
        <w:t xml:space="preserve"> </w:t>
      </w:r>
      <w:r w:rsidRPr="00D4309F">
        <w:t>parklands,</w:t>
      </w:r>
      <w:r w:rsidRPr="00D4309F">
        <w:rPr>
          <w:spacing w:val="-3"/>
        </w:rPr>
        <w:t xml:space="preserve"> </w:t>
      </w:r>
      <w:r w:rsidRPr="00D4309F">
        <w:t>improved</w:t>
      </w:r>
      <w:r w:rsidRPr="00D4309F">
        <w:rPr>
          <w:spacing w:val="-3"/>
        </w:rPr>
        <w:t xml:space="preserve"> </w:t>
      </w:r>
      <w:r w:rsidRPr="00D4309F">
        <w:t>accessibility,</w:t>
      </w:r>
      <w:r w:rsidRPr="00D4309F">
        <w:rPr>
          <w:spacing w:val="-3"/>
        </w:rPr>
        <w:t xml:space="preserve"> </w:t>
      </w:r>
      <w:r w:rsidRPr="00D4309F">
        <w:t>and</w:t>
      </w:r>
      <w:r w:rsidRPr="00D4309F">
        <w:rPr>
          <w:spacing w:val="-3"/>
        </w:rPr>
        <w:t xml:space="preserve"> </w:t>
      </w:r>
      <w:r w:rsidRPr="00D4309F">
        <w:t>new</w:t>
      </w:r>
      <w:r w:rsidRPr="00D4309F">
        <w:rPr>
          <w:spacing w:val="-2"/>
        </w:rPr>
        <w:t xml:space="preserve"> </w:t>
      </w:r>
      <w:r w:rsidRPr="00D4309F">
        <w:t>public</w:t>
      </w:r>
      <w:r w:rsidRPr="00D4309F">
        <w:rPr>
          <w:spacing w:val="-2"/>
        </w:rPr>
        <w:t xml:space="preserve"> </w:t>
      </w:r>
      <w:r w:rsidRPr="00D4309F">
        <w:t>spaces</w:t>
      </w:r>
      <w:r w:rsidRPr="00D4309F">
        <w:rPr>
          <w:spacing w:val="-3"/>
        </w:rPr>
        <w:t xml:space="preserve"> </w:t>
      </w:r>
      <w:r w:rsidRPr="00D4309F">
        <w:t>designed</w:t>
      </w:r>
      <w:r w:rsidRPr="00D4309F">
        <w:rPr>
          <w:spacing w:val="-3"/>
        </w:rPr>
        <w:t xml:space="preserve"> </w:t>
      </w:r>
      <w:r w:rsidRPr="00D4309F">
        <w:t>to enhance visitor experience and support local tourism operators.</w:t>
      </w:r>
      <w:r w:rsidR="006D0876">
        <w:rPr>
          <w:rFonts w:ascii="ZWAdobeF" w:hAnsi="ZWAdobeF" w:cs="ZWAdobeF"/>
          <w:color w:val="auto"/>
          <w:sz w:val="2"/>
          <w:szCs w:val="2"/>
        </w:rPr>
        <w:t>7F</w:t>
      </w:r>
      <w:r w:rsidR="005906AD">
        <w:rPr>
          <w:rStyle w:val="FootnoteReference"/>
        </w:rPr>
        <w:footnoteReference w:id="8"/>
      </w:r>
      <w:r w:rsidRPr="00D4309F">
        <w:t xml:space="preserve"> This multimillion-dollar investment underscores Mooloolaba’s importance as a tourism hub and its role in shaping the future of the Sunshine Coast’s visitor economy.</w:t>
      </w:r>
    </w:p>
    <w:p w14:paraId="52FC1BEB" w14:textId="77777777" w:rsidR="00725977" w:rsidRPr="00D4309F" w:rsidRDefault="00725977" w:rsidP="00C0520F">
      <w:pPr>
        <w:pStyle w:val="Heading4"/>
      </w:pPr>
      <w:r w:rsidRPr="00D4309F">
        <w:lastRenderedPageBreak/>
        <w:t>Recreational</w:t>
      </w:r>
      <w:r w:rsidRPr="00D4309F">
        <w:rPr>
          <w:spacing w:val="-6"/>
        </w:rPr>
        <w:t xml:space="preserve"> </w:t>
      </w:r>
      <w:r w:rsidRPr="00D4309F">
        <w:t>beach</w:t>
      </w:r>
      <w:r w:rsidRPr="00D4309F">
        <w:rPr>
          <w:spacing w:val="-4"/>
        </w:rPr>
        <w:t xml:space="preserve"> </w:t>
      </w:r>
      <w:r w:rsidRPr="00D4309F">
        <w:t>users</w:t>
      </w:r>
      <w:r w:rsidRPr="00D4309F">
        <w:rPr>
          <w:spacing w:val="-5"/>
        </w:rPr>
        <w:t xml:space="preserve"> </w:t>
      </w:r>
      <w:r w:rsidRPr="00D4309F">
        <w:t>and</w:t>
      </w:r>
      <w:r w:rsidRPr="00D4309F">
        <w:rPr>
          <w:spacing w:val="-4"/>
        </w:rPr>
        <w:t xml:space="preserve"> </w:t>
      </w:r>
      <w:r w:rsidRPr="00D4309F">
        <w:t>visual</w:t>
      </w:r>
      <w:r w:rsidRPr="00D4309F">
        <w:rPr>
          <w:spacing w:val="-3"/>
        </w:rPr>
        <w:t xml:space="preserve"> </w:t>
      </w:r>
      <w:r w:rsidRPr="00D4309F">
        <w:rPr>
          <w:spacing w:val="-2"/>
        </w:rPr>
        <w:t>amenity</w:t>
      </w:r>
    </w:p>
    <w:p w14:paraId="2CC7F9FD" w14:textId="77777777" w:rsidR="00725977" w:rsidRPr="00D4309F" w:rsidRDefault="00725977" w:rsidP="00725977">
      <w:pPr>
        <w:pStyle w:val="BodyText"/>
      </w:pPr>
      <w:r w:rsidRPr="00D4309F">
        <w:t>Reputation of the beaches is part of what makes the Sunshine Coast an attractive tourist destination, bringing</w:t>
      </w:r>
      <w:r w:rsidRPr="00D4309F">
        <w:rPr>
          <w:spacing w:val="-3"/>
        </w:rPr>
        <w:t xml:space="preserve"> </w:t>
      </w:r>
      <w:r w:rsidRPr="00D4309F">
        <w:t>people</w:t>
      </w:r>
      <w:r w:rsidRPr="00D4309F">
        <w:rPr>
          <w:spacing w:val="-3"/>
        </w:rPr>
        <w:t xml:space="preserve"> </w:t>
      </w:r>
      <w:r w:rsidRPr="00D4309F">
        <w:t>from</w:t>
      </w:r>
      <w:r w:rsidRPr="00D4309F">
        <w:rPr>
          <w:spacing w:val="-3"/>
        </w:rPr>
        <w:t xml:space="preserve"> </w:t>
      </w:r>
      <w:r w:rsidRPr="00D4309F">
        <w:t>across</w:t>
      </w:r>
      <w:r w:rsidRPr="00D4309F">
        <w:rPr>
          <w:spacing w:val="-2"/>
        </w:rPr>
        <w:t xml:space="preserve"> </w:t>
      </w:r>
      <w:r w:rsidRPr="00D4309F">
        <w:t>Australia</w:t>
      </w:r>
      <w:r w:rsidRPr="00D4309F">
        <w:rPr>
          <w:spacing w:val="-3"/>
        </w:rPr>
        <w:t xml:space="preserve"> </w:t>
      </w:r>
      <w:r w:rsidRPr="00D4309F">
        <w:t>and</w:t>
      </w:r>
      <w:r w:rsidRPr="00D4309F">
        <w:rPr>
          <w:spacing w:val="-3"/>
        </w:rPr>
        <w:t xml:space="preserve"> </w:t>
      </w:r>
      <w:r w:rsidRPr="00D4309F">
        <w:t>internationally</w:t>
      </w:r>
      <w:r w:rsidRPr="00D4309F">
        <w:rPr>
          <w:spacing w:val="-2"/>
        </w:rPr>
        <w:t xml:space="preserve"> </w:t>
      </w:r>
      <w:r w:rsidRPr="00D4309F">
        <w:t>to</w:t>
      </w:r>
      <w:r w:rsidRPr="00D4309F">
        <w:rPr>
          <w:spacing w:val="-3"/>
        </w:rPr>
        <w:t xml:space="preserve"> </w:t>
      </w:r>
      <w:r w:rsidRPr="00D4309F">
        <w:t>holiday</w:t>
      </w:r>
      <w:r w:rsidRPr="00D4309F">
        <w:rPr>
          <w:spacing w:val="-2"/>
        </w:rPr>
        <w:t xml:space="preserve"> </w:t>
      </w:r>
      <w:r w:rsidRPr="00D4309F">
        <w:t>in</w:t>
      </w:r>
      <w:r w:rsidRPr="00D4309F">
        <w:rPr>
          <w:spacing w:val="-3"/>
        </w:rPr>
        <w:t xml:space="preserve"> </w:t>
      </w:r>
      <w:r w:rsidRPr="00D4309F">
        <w:t>the</w:t>
      </w:r>
      <w:r w:rsidRPr="00D4309F">
        <w:rPr>
          <w:spacing w:val="-3"/>
        </w:rPr>
        <w:t xml:space="preserve"> </w:t>
      </w:r>
      <w:r w:rsidRPr="00D4309F">
        <w:t>area.</w:t>
      </w:r>
      <w:r w:rsidRPr="00D4309F">
        <w:rPr>
          <w:spacing w:val="-4"/>
        </w:rPr>
        <w:t xml:space="preserve"> </w:t>
      </w:r>
      <w:r w:rsidRPr="00D4309F">
        <w:t>The</w:t>
      </w:r>
      <w:r w:rsidRPr="00D4309F">
        <w:rPr>
          <w:spacing w:val="-3"/>
        </w:rPr>
        <w:t xml:space="preserve"> </w:t>
      </w:r>
      <w:r w:rsidRPr="00D4309F">
        <w:t>north-facing</w:t>
      </w:r>
      <w:r w:rsidRPr="00D4309F">
        <w:rPr>
          <w:spacing w:val="-3"/>
        </w:rPr>
        <w:t xml:space="preserve"> </w:t>
      </w:r>
      <w:r w:rsidRPr="00D4309F">
        <w:t>Mooloolaba Beach is a patrolled swimming beach popular for body boarding, paddleboarding and surfing. It is protected by the Point Cartwright Headland to the South enabling gentle waves reduced in height, making it safe for families with</w:t>
      </w:r>
      <w:r w:rsidRPr="00D4309F">
        <w:rPr>
          <w:spacing w:val="-2"/>
        </w:rPr>
        <w:t xml:space="preserve"> </w:t>
      </w:r>
      <w:r w:rsidRPr="00D4309F">
        <w:t>children.</w:t>
      </w:r>
      <w:r w:rsidRPr="00D4309F">
        <w:rPr>
          <w:spacing w:val="-1"/>
        </w:rPr>
        <w:t xml:space="preserve"> </w:t>
      </w:r>
      <w:r w:rsidRPr="00D4309F">
        <w:t>The</w:t>
      </w:r>
      <w:r w:rsidRPr="00D4309F">
        <w:rPr>
          <w:spacing w:val="-1"/>
        </w:rPr>
        <w:t xml:space="preserve"> </w:t>
      </w:r>
      <w:r w:rsidRPr="00D4309F">
        <w:t>beach’s curved</w:t>
      </w:r>
      <w:r w:rsidRPr="00D4309F">
        <w:rPr>
          <w:spacing w:val="-1"/>
        </w:rPr>
        <w:t xml:space="preserve"> </w:t>
      </w:r>
      <w:r w:rsidRPr="00D4309F">
        <w:t>shoreline</w:t>
      </w:r>
      <w:r w:rsidRPr="00D4309F">
        <w:rPr>
          <w:spacing w:val="-1"/>
        </w:rPr>
        <w:t xml:space="preserve"> </w:t>
      </w:r>
      <w:r w:rsidRPr="00D4309F">
        <w:t>is</w:t>
      </w:r>
      <w:r w:rsidRPr="00D4309F">
        <w:rPr>
          <w:spacing w:val="-1"/>
        </w:rPr>
        <w:t xml:space="preserve"> </w:t>
      </w:r>
      <w:r w:rsidRPr="00D4309F">
        <w:t>backed</w:t>
      </w:r>
      <w:r w:rsidRPr="00D4309F">
        <w:rPr>
          <w:spacing w:val="-1"/>
        </w:rPr>
        <w:t xml:space="preserve"> </w:t>
      </w:r>
      <w:r w:rsidRPr="00D4309F">
        <w:t>by a</w:t>
      </w:r>
      <w:r w:rsidRPr="00D4309F">
        <w:rPr>
          <w:spacing w:val="-1"/>
        </w:rPr>
        <w:t xml:space="preserve"> </w:t>
      </w:r>
      <w:r w:rsidRPr="00D4309F">
        <w:t>continuous</w:t>
      </w:r>
      <w:r w:rsidRPr="00D4309F">
        <w:rPr>
          <w:spacing w:val="-1"/>
        </w:rPr>
        <w:t xml:space="preserve"> </w:t>
      </w:r>
      <w:r w:rsidRPr="00D4309F">
        <w:t>foreshore</w:t>
      </w:r>
      <w:r w:rsidRPr="00D4309F">
        <w:rPr>
          <w:spacing w:val="-1"/>
        </w:rPr>
        <w:t xml:space="preserve"> </w:t>
      </w:r>
      <w:r w:rsidRPr="00D4309F">
        <w:t>reserve</w:t>
      </w:r>
      <w:r w:rsidRPr="00D4309F">
        <w:rPr>
          <w:spacing w:val="-1"/>
        </w:rPr>
        <w:t xml:space="preserve"> </w:t>
      </w:r>
      <w:r w:rsidRPr="00D4309F">
        <w:t>with</w:t>
      </w:r>
      <w:r w:rsidRPr="00D4309F">
        <w:rPr>
          <w:spacing w:val="-1"/>
        </w:rPr>
        <w:t xml:space="preserve"> </w:t>
      </w:r>
      <w:r w:rsidRPr="00D4309F">
        <w:t>green areas, picnic and barbecue facilities, playgrounds with active transport paths along the esplanade. Cycle-paths and pedestrian bridges crisscross the riverbanks, knitting the harbour, beach and town centre into a compact and highly walkable community.</w:t>
      </w:r>
    </w:p>
    <w:p w14:paraId="0ECE1CCE" w14:textId="77777777" w:rsidR="00725977" w:rsidRPr="00D4309F" w:rsidRDefault="00725977" w:rsidP="00725977">
      <w:pPr>
        <w:pStyle w:val="BodyText"/>
      </w:pPr>
      <w:r w:rsidRPr="00D4309F">
        <w:t>As</w:t>
      </w:r>
      <w:r w:rsidRPr="00D4309F">
        <w:rPr>
          <w:spacing w:val="-1"/>
        </w:rPr>
        <w:t xml:space="preserve"> </w:t>
      </w:r>
      <w:r w:rsidRPr="00D4309F">
        <w:t>recreational</w:t>
      </w:r>
      <w:r w:rsidRPr="00D4309F">
        <w:rPr>
          <w:spacing w:val="-2"/>
        </w:rPr>
        <w:t xml:space="preserve"> </w:t>
      </w:r>
      <w:r w:rsidRPr="00D4309F">
        <w:t>beach</w:t>
      </w:r>
      <w:r w:rsidRPr="00D4309F">
        <w:rPr>
          <w:spacing w:val="-2"/>
        </w:rPr>
        <w:t xml:space="preserve"> </w:t>
      </w:r>
      <w:r w:rsidRPr="00D4309F">
        <w:t>use</w:t>
      </w:r>
      <w:r w:rsidRPr="00D4309F">
        <w:rPr>
          <w:spacing w:val="-3"/>
        </w:rPr>
        <w:t xml:space="preserve"> </w:t>
      </w:r>
      <w:r w:rsidRPr="00D4309F">
        <w:t>is</w:t>
      </w:r>
      <w:r w:rsidRPr="00D4309F">
        <w:rPr>
          <w:spacing w:val="-1"/>
        </w:rPr>
        <w:t xml:space="preserve"> </w:t>
      </w:r>
      <w:r w:rsidRPr="00D4309F">
        <w:t>free</w:t>
      </w:r>
      <w:r w:rsidRPr="00D4309F">
        <w:rPr>
          <w:spacing w:val="-2"/>
        </w:rPr>
        <w:t xml:space="preserve"> </w:t>
      </w:r>
      <w:r w:rsidRPr="00D4309F">
        <w:t>for</w:t>
      </w:r>
      <w:r w:rsidRPr="00D4309F">
        <w:rPr>
          <w:spacing w:val="-1"/>
        </w:rPr>
        <w:t xml:space="preserve"> </w:t>
      </w:r>
      <w:r w:rsidRPr="00D4309F">
        <w:t>anyone</w:t>
      </w:r>
      <w:r w:rsidRPr="00D4309F">
        <w:rPr>
          <w:spacing w:val="-2"/>
        </w:rPr>
        <w:t xml:space="preserve"> </w:t>
      </w:r>
      <w:r w:rsidRPr="00D4309F">
        <w:t>to</w:t>
      </w:r>
      <w:r w:rsidRPr="00D4309F">
        <w:rPr>
          <w:spacing w:val="-2"/>
        </w:rPr>
        <w:t xml:space="preserve"> </w:t>
      </w:r>
      <w:r w:rsidRPr="00D4309F">
        <w:t>do,</w:t>
      </w:r>
      <w:r w:rsidRPr="00D4309F">
        <w:rPr>
          <w:spacing w:val="-3"/>
        </w:rPr>
        <w:t xml:space="preserve"> </w:t>
      </w:r>
      <w:r w:rsidRPr="00D4309F">
        <w:t>there</w:t>
      </w:r>
      <w:r w:rsidRPr="00D4309F">
        <w:rPr>
          <w:spacing w:val="-2"/>
        </w:rPr>
        <w:t xml:space="preserve"> </w:t>
      </w:r>
      <w:r w:rsidRPr="00D4309F">
        <w:t>is</w:t>
      </w:r>
      <w:r w:rsidRPr="00D4309F">
        <w:rPr>
          <w:spacing w:val="-1"/>
        </w:rPr>
        <w:t xml:space="preserve"> </w:t>
      </w:r>
      <w:r w:rsidRPr="00D4309F">
        <w:t>no</w:t>
      </w:r>
      <w:r w:rsidRPr="00D4309F">
        <w:rPr>
          <w:spacing w:val="-2"/>
        </w:rPr>
        <w:t xml:space="preserve"> </w:t>
      </w:r>
      <w:r w:rsidRPr="00D4309F">
        <w:t>market</w:t>
      </w:r>
      <w:r w:rsidRPr="00D4309F">
        <w:rPr>
          <w:spacing w:val="-3"/>
        </w:rPr>
        <w:t xml:space="preserve"> </w:t>
      </w:r>
      <w:r w:rsidRPr="00D4309F">
        <w:t>price</w:t>
      </w:r>
      <w:r w:rsidRPr="00D4309F">
        <w:rPr>
          <w:spacing w:val="-2"/>
        </w:rPr>
        <w:t xml:space="preserve"> </w:t>
      </w:r>
      <w:r w:rsidRPr="00D4309F">
        <w:t>able</w:t>
      </w:r>
      <w:r w:rsidRPr="00D4309F">
        <w:rPr>
          <w:spacing w:val="-2"/>
        </w:rPr>
        <w:t xml:space="preserve"> </w:t>
      </w:r>
      <w:r w:rsidRPr="00D4309F">
        <w:t>to</w:t>
      </w:r>
      <w:r w:rsidRPr="00D4309F">
        <w:rPr>
          <w:spacing w:val="-2"/>
        </w:rPr>
        <w:t xml:space="preserve"> </w:t>
      </w:r>
      <w:r w:rsidRPr="00D4309F">
        <w:t>be</w:t>
      </w:r>
      <w:r w:rsidRPr="00D4309F">
        <w:rPr>
          <w:spacing w:val="-2"/>
        </w:rPr>
        <w:t xml:space="preserve"> </w:t>
      </w:r>
      <w:r w:rsidRPr="00D4309F">
        <w:t>placed</w:t>
      </w:r>
      <w:r w:rsidRPr="00D4309F">
        <w:rPr>
          <w:spacing w:val="-2"/>
        </w:rPr>
        <w:t xml:space="preserve"> </w:t>
      </w:r>
      <w:r w:rsidRPr="00D4309F">
        <w:t>on</w:t>
      </w:r>
      <w:r w:rsidRPr="00D4309F">
        <w:rPr>
          <w:spacing w:val="-2"/>
        </w:rPr>
        <w:t xml:space="preserve"> </w:t>
      </w:r>
      <w:r w:rsidRPr="00D4309F">
        <w:t>undertaking this activity. To assign value to a non-market good a non-market valuation is applied by either surveying beneficiaries about how much they value certain outcomes (i.e., ‘stated preference’) or deriving an estimate for that value based on the behaviour of beneficiaries (i.e., ‘revealed preference’). The value of Mooloolaba beach to recreational users can be understood through other academic studies of similar beach assets.</w:t>
      </w:r>
    </w:p>
    <w:p w14:paraId="34997BB8" w14:textId="74105067" w:rsidR="00725977" w:rsidRDefault="00725977" w:rsidP="00725977">
      <w:pPr>
        <w:pStyle w:val="BodyText"/>
      </w:pPr>
      <w:r w:rsidRPr="00D4309F">
        <w:t>Based</w:t>
      </w:r>
      <w:r w:rsidRPr="00D4309F">
        <w:rPr>
          <w:spacing w:val="-3"/>
        </w:rPr>
        <w:t xml:space="preserve"> </w:t>
      </w:r>
      <w:r w:rsidRPr="00D4309F">
        <w:t>on</w:t>
      </w:r>
      <w:r w:rsidRPr="00D4309F">
        <w:rPr>
          <w:spacing w:val="-3"/>
        </w:rPr>
        <w:t xml:space="preserve"> </w:t>
      </w:r>
      <w:r w:rsidRPr="00D4309F">
        <w:t>a</w:t>
      </w:r>
      <w:r w:rsidRPr="00D4309F">
        <w:rPr>
          <w:spacing w:val="-3"/>
        </w:rPr>
        <w:t xml:space="preserve"> </w:t>
      </w:r>
      <w:r w:rsidRPr="00D4309F">
        <w:t>2019</w:t>
      </w:r>
      <w:r w:rsidRPr="00D4309F">
        <w:rPr>
          <w:spacing w:val="-3"/>
        </w:rPr>
        <w:t xml:space="preserve"> </w:t>
      </w:r>
      <w:r w:rsidRPr="00D4309F">
        <w:t>study</w:t>
      </w:r>
      <w:r w:rsidRPr="00D4309F">
        <w:rPr>
          <w:spacing w:val="-2"/>
        </w:rPr>
        <w:t xml:space="preserve"> </w:t>
      </w:r>
      <w:r w:rsidRPr="00D4309F">
        <w:t>by</w:t>
      </w:r>
      <w:r w:rsidRPr="00D4309F">
        <w:rPr>
          <w:spacing w:val="-3"/>
        </w:rPr>
        <w:t xml:space="preserve"> </w:t>
      </w:r>
      <w:r w:rsidRPr="00D4309F">
        <w:t>Pascoe</w:t>
      </w:r>
      <w:r w:rsidRPr="00D4309F">
        <w:rPr>
          <w:spacing w:val="-3"/>
        </w:rPr>
        <w:t xml:space="preserve"> </w:t>
      </w:r>
      <w:r w:rsidRPr="00D4309F">
        <w:t>(Pascoe</w:t>
      </w:r>
      <w:r w:rsidRPr="00D4309F">
        <w:rPr>
          <w:spacing w:val="-3"/>
        </w:rPr>
        <w:t xml:space="preserve"> </w:t>
      </w:r>
      <w:r w:rsidRPr="00D4309F">
        <w:t>S,</w:t>
      </w:r>
      <w:r w:rsidRPr="00D4309F">
        <w:rPr>
          <w:spacing w:val="-3"/>
        </w:rPr>
        <w:t xml:space="preserve"> </w:t>
      </w:r>
      <w:r w:rsidRPr="00D4309F">
        <w:t>2019),</w:t>
      </w:r>
      <w:r w:rsidRPr="00D4309F">
        <w:rPr>
          <w:spacing w:val="-5"/>
        </w:rPr>
        <w:t xml:space="preserve"> </w:t>
      </w:r>
      <w:r w:rsidRPr="00D4309F">
        <w:t>estimates</w:t>
      </w:r>
      <w:r w:rsidRPr="00D4309F">
        <w:rPr>
          <w:spacing w:val="-2"/>
        </w:rPr>
        <w:t xml:space="preserve"> </w:t>
      </w:r>
      <w:r w:rsidRPr="00D4309F">
        <w:t>of</w:t>
      </w:r>
      <w:r w:rsidRPr="00D4309F">
        <w:rPr>
          <w:spacing w:val="-3"/>
        </w:rPr>
        <w:t xml:space="preserve"> </w:t>
      </w:r>
      <w:r w:rsidRPr="00D4309F">
        <w:t>the</w:t>
      </w:r>
      <w:r w:rsidRPr="00D4309F">
        <w:rPr>
          <w:spacing w:val="-3"/>
        </w:rPr>
        <w:t xml:space="preserve"> </w:t>
      </w:r>
      <w:r w:rsidRPr="00D4309F">
        <w:t>non-market</w:t>
      </w:r>
      <w:r w:rsidRPr="00D4309F">
        <w:rPr>
          <w:spacing w:val="-3"/>
        </w:rPr>
        <w:t xml:space="preserve"> </w:t>
      </w:r>
      <w:r w:rsidRPr="00D4309F">
        <w:t>consumer</w:t>
      </w:r>
      <w:r w:rsidRPr="00D4309F">
        <w:rPr>
          <w:spacing w:val="-4"/>
        </w:rPr>
        <w:t xml:space="preserve"> </w:t>
      </w:r>
      <w:r w:rsidRPr="00D4309F">
        <w:t>surplus</w:t>
      </w:r>
      <w:r w:rsidRPr="00D4309F">
        <w:rPr>
          <w:spacing w:val="-2"/>
        </w:rPr>
        <w:t xml:space="preserve"> </w:t>
      </w:r>
      <w:r w:rsidRPr="00D4309F">
        <w:t>values of beach recreation at Sunshine Coast beaches indicate that beach recreation is worth between $9-24 per trip, with variation derived based on the activity being undertaken and whether the users are a resident or non-residents as shown in the table below.</w:t>
      </w:r>
      <w:bookmarkStart w:id="106" w:name="_bookmark46"/>
      <w:bookmarkEnd w:id="106"/>
    </w:p>
    <w:p w14:paraId="42FF8CE5" w14:textId="77777777" w:rsidR="00F06E88" w:rsidRPr="00D4309F" w:rsidRDefault="00F06E88" w:rsidP="00725977">
      <w:pPr>
        <w:pStyle w:val="BodyText"/>
      </w:pPr>
    </w:p>
    <w:p w14:paraId="02957302" w14:textId="364E119F" w:rsidR="002E2008" w:rsidRDefault="002E2008" w:rsidP="00151534">
      <w:pPr>
        <w:pStyle w:val="Table-Caption"/>
      </w:pPr>
      <w:bookmarkStart w:id="107" w:name="_Toc216699538"/>
      <w:r>
        <w:t xml:space="preserve">Table </w:t>
      </w:r>
      <w:r w:rsidR="00151534">
        <w:fldChar w:fldCharType="begin" w:fldLock="1"/>
      </w:r>
      <w:r w:rsidR="00151534">
        <w:instrText xml:space="preserve"> STYLEREF 1 \s </w:instrText>
      </w:r>
      <w:r w:rsidR="00151534">
        <w:fldChar w:fldCharType="separate"/>
      </w:r>
      <w:r w:rsidR="00151534">
        <w:rPr>
          <w:noProof/>
        </w:rPr>
        <w:t>6</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3</w:t>
      </w:r>
      <w:r w:rsidR="00151534">
        <w:fldChar w:fldCharType="end"/>
      </w:r>
      <w:r>
        <w:t>:</w:t>
      </w:r>
      <w:r>
        <w:tab/>
      </w:r>
      <w:r w:rsidRPr="00D4309F">
        <w:rPr>
          <w:color w:val="211E1F"/>
        </w:rPr>
        <w:t>Value</w:t>
      </w:r>
      <w:r w:rsidRPr="00D4309F">
        <w:rPr>
          <w:color w:val="211E1F"/>
          <w:spacing w:val="-6"/>
        </w:rPr>
        <w:t xml:space="preserve"> </w:t>
      </w:r>
      <w:r w:rsidRPr="00D4309F">
        <w:rPr>
          <w:color w:val="211E1F"/>
        </w:rPr>
        <w:t>of</w:t>
      </w:r>
      <w:r w:rsidRPr="00D4309F">
        <w:rPr>
          <w:color w:val="211E1F"/>
          <w:spacing w:val="-3"/>
        </w:rPr>
        <w:t xml:space="preserve"> </w:t>
      </w:r>
      <w:r w:rsidRPr="00D4309F">
        <w:rPr>
          <w:color w:val="211E1F"/>
        </w:rPr>
        <w:t>recreational</w:t>
      </w:r>
      <w:r w:rsidRPr="00D4309F">
        <w:rPr>
          <w:color w:val="211E1F"/>
          <w:spacing w:val="-3"/>
        </w:rPr>
        <w:t xml:space="preserve"> </w:t>
      </w:r>
      <w:r w:rsidRPr="00D4309F">
        <w:rPr>
          <w:color w:val="211E1F"/>
        </w:rPr>
        <w:t>beach</w:t>
      </w:r>
      <w:r w:rsidRPr="00D4309F">
        <w:rPr>
          <w:color w:val="211E1F"/>
          <w:spacing w:val="-3"/>
        </w:rPr>
        <w:t xml:space="preserve"> </w:t>
      </w:r>
      <w:r w:rsidRPr="00D4309F">
        <w:rPr>
          <w:color w:val="211E1F"/>
        </w:rPr>
        <w:t>activities</w:t>
      </w:r>
      <w:r w:rsidRPr="00D4309F">
        <w:rPr>
          <w:color w:val="211E1F"/>
          <w:spacing w:val="-4"/>
        </w:rPr>
        <w:t xml:space="preserve"> </w:t>
      </w:r>
      <w:r w:rsidRPr="00D4309F">
        <w:rPr>
          <w:color w:val="211E1F"/>
        </w:rPr>
        <w:t>(2025</w:t>
      </w:r>
      <w:r w:rsidRPr="00D4309F">
        <w:rPr>
          <w:color w:val="211E1F"/>
          <w:spacing w:val="-3"/>
        </w:rPr>
        <w:t xml:space="preserve"> </w:t>
      </w:r>
      <w:r w:rsidRPr="00D4309F">
        <w:rPr>
          <w:color w:val="211E1F"/>
          <w:spacing w:val="-2"/>
        </w:rPr>
        <w:t>dollars)</w:t>
      </w:r>
      <w:bookmarkEnd w:id="107"/>
    </w:p>
    <w:tbl>
      <w:tblPr>
        <w:tblW w:w="5000" w:type="pct"/>
        <w:tblCellMar>
          <w:left w:w="0" w:type="dxa"/>
          <w:right w:w="0" w:type="dxa"/>
        </w:tblCellMar>
        <w:tblLook w:val="01E0" w:firstRow="1" w:lastRow="1" w:firstColumn="1" w:lastColumn="1" w:noHBand="0" w:noVBand="0"/>
      </w:tblPr>
      <w:tblGrid>
        <w:gridCol w:w="2902"/>
        <w:gridCol w:w="2929"/>
        <w:gridCol w:w="3811"/>
      </w:tblGrid>
      <w:tr w:rsidR="00725977" w:rsidRPr="00D4309F" w14:paraId="768A00B5" w14:textId="77777777" w:rsidTr="002E2008">
        <w:trPr>
          <w:trHeight w:val="286"/>
        </w:trPr>
        <w:tc>
          <w:tcPr>
            <w:tcW w:w="1505" w:type="pct"/>
            <w:tcBorders>
              <w:bottom w:val="single" w:sz="4" w:space="0" w:color="000000"/>
            </w:tcBorders>
            <w:shd w:val="clear" w:color="auto" w:fill="D6D7D5"/>
          </w:tcPr>
          <w:p w14:paraId="7F2C16CF" w14:textId="77777777" w:rsidR="00725977" w:rsidRPr="00D4309F" w:rsidRDefault="00725977" w:rsidP="002E2008">
            <w:pPr>
              <w:pStyle w:val="Table-Heading"/>
            </w:pPr>
            <w:r w:rsidRPr="00D4309F">
              <w:t>Activity</w:t>
            </w:r>
          </w:p>
        </w:tc>
        <w:tc>
          <w:tcPr>
            <w:tcW w:w="1519" w:type="pct"/>
            <w:tcBorders>
              <w:bottom w:val="single" w:sz="4" w:space="0" w:color="000000"/>
            </w:tcBorders>
            <w:shd w:val="clear" w:color="auto" w:fill="D6D7D5"/>
          </w:tcPr>
          <w:p w14:paraId="597402A7" w14:textId="77777777" w:rsidR="00725977" w:rsidRPr="00D4309F" w:rsidRDefault="00725977" w:rsidP="002E2008">
            <w:pPr>
              <w:pStyle w:val="Table-Heading"/>
            </w:pPr>
            <w:r w:rsidRPr="00D4309F">
              <w:t>Resident</w:t>
            </w:r>
          </w:p>
        </w:tc>
        <w:tc>
          <w:tcPr>
            <w:tcW w:w="1976" w:type="pct"/>
            <w:tcBorders>
              <w:bottom w:val="single" w:sz="4" w:space="0" w:color="000000"/>
            </w:tcBorders>
            <w:shd w:val="clear" w:color="auto" w:fill="D6D7D5"/>
          </w:tcPr>
          <w:p w14:paraId="52969975" w14:textId="77777777" w:rsidR="00725977" w:rsidRPr="00D4309F" w:rsidRDefault="00725977" w:rsidP="002E2008">
            <w:pPr>
              <w:pStyle w:val="Table-Heading"/>
            </w:pPr>
            <w:r w:rsidRPr="00D4309F">
              <w:t>Non-resident</w:t>
            </w:r>
          </w:p>
        </w:tc>
      </w:tr>
      <w:tr w:rsidR="00725977" w:rsidRPr="00D4309F" w14:paraId="6B4B388E" w14:textId="77777777" w:rsidTr="002E2008">
        <w:trPr>
          <w:trHeight w:val="286"/>
        </w:trPr>
        <w:tc>
          <w:tcPr>
            <w:tcW w:w="1505" w:type="pct"/>
            <w:tcBorders>
              <w:top w:val="single" w:sz="4" w:space="0" w:color="000000"/>
              <w:bottom w:val="single" w:sz="4" w:space="0" w:color="000000"/>
            </w:tcBorders>
          </w:tcPr>
          <w:p w14:paraId="274A0C7A" w14:textId="77777777" w:rsidR="00725977" w:rsidRPr="00D4309F" w:rsidRDefault="00725977" w:rsidP="002E2008">
            <w:pPr>
              <w:pStyle w:val="Table-Text"/>
            </w:pPr>
            <w:r w:rsidRPr="00D4309F">
              <w:t>Swimming</w:t>
            </w:r>
          </w:p>
        </w:tc>
        <w:tc>
          <w:tcPr>
            <w:tcW w:w="1519" w:type="pct"/>
            <w:tcBorders>
              <w:top w:val="single" w:sz="4" w:space="0" w:color="000000"/>
              <w:bottom w:val="single" w:sz="4" w:space="0" w:color="000000"/>
            </w:tcBorders>
          </w:tcPr>
          <w:p w14:paraId="5ECD6D60" w14:textId="77777777" w:rsidR="00725977" w:rsidRPr="00D4309F" w:rsidRDefault="00725977" w:rsidP="002E2008">
            <w:pPr>
              <w:pStyle w:val="Table-Text"/>
            </w:pPr>
            <w:r w:rsidRPr="00D4309F">
              <w:t>$22.31</w:t>
            </w:r>
          </w:p>
        </w:tc>
        <w:tc>
          <w:tcPr>
            <w:tcW w:w="1976" w:type="pct"/>
            <w:tcBorders>
              <w:top w:val="single" w:sz="4" w:space="0" w:color="000000"/>
              <w:bottom w:val="single" w:sz="4" w:space="0" w:color="000000"/>
            </w:tcBorders>
          </w:tcPr>
          <w:p w14:paraId="09E9D98A" w14:textId="77777777" w:rsidR="00725977" w:rsidRPr="00D4309F" w:rsidRDefault="00725977" w:rsidP="002E2008">
            <w:pPr>
              <w:pStyle w:val="Table-Text"/>
            </w:pPr>
            <w:r w:rsidRPr="00D4309F">
              <w:t>$21.90</w:t>
            </w:r>
          </w:p>
        </w:tc>
      </w:tr>
      <w:tr w:rsidR="00725977" w:rsidRPr="00D4309F" w14:paraId="698A87A6" w14:textId="77777777" w:rsidTr="002E2008">
        <w:trPr>
          <w:trHeight w:val="287"/>
        </w:trPr>
        <w:tc>
          <w:tcPr>
            <w:tcW w:w="1505" w:type="pct"/>
            <w:tcBorders>
              <w:top w:val="single" w:sz="4" w:space="0" w:color="000000"/>
              <w:bottom w:val="single" w:sz="4" w:space="0" w:color="000000"/>
            </w:tcBorders>
          </w:tcPr>
          <w:p w14:paraId="3FC58CFB" w14:textId="77777777" w:rsidR="00725977" w:rsidRPr="00D4309F" w:rsidRDefault="00725977" w:rsidP="002E2008">
            <w:pPr>
              <w:pStyle w:val="Table-Text"/>
            </w:pPr>
            <w:r w:rsidRPr="00D4309F">
              <w:t>Surfing</w:t>
            </w:r>
          </w:p>
        </w:tc>
        <w:tc>
          <w:tcPr>
            <w:tcW w:w="1519" w:type="pct"/>
            <w:tcBorders>
              <w:top w:val="single" w:sz="4" w:space="0" w:color="000000"/>
              <w:bottom w:val="single" w:sz="4" w:space="0" w:color="000000"/>
            </w:tcBorders>
          </w:tcPr>
          <w:p w14:paraId="18BE5A85" w14:textId="77777777" w:rsidR="00725977" w:rsidRPr="00D4309F" w:rsidRDefault="00725977" w:rsidP="002E2008">
            <w:pPr>
              <w:pStyle w:val="Table-Text"/>
            </w:pPr>
            <w:r w:rsidRPr="00D4309F">
              <w:t>$24.18</w:t>
            </w:r>
          </w:p>
        </w:tc>
        <w:tc>
          <w:tcPr>
            <w:tcW w:w="1976" w:type="pct"/>
            <w:tcBorders>
              <w:top w:val="single" w:sz="4" w:space="0" w:color="000000"/>
              <w:bottom w:val="single" w:sz="4" w:space="0" w:color="000000"/>
            </w:tcBorders>
          </w:tcPr>
          <w:p w14:paraId="59A351EB" w14:textId="77777777" w:rsidR="00725977" w:rsidRPr="00D4309F" w:rsidRDefault="00725977" w:rsidP="002E2008">
            <w:pPr>
              <w:pStyle w:val="Table-Text"/>
            </w:pPr>
            <w:r w:rsidRPr="00D4309F">
              <w:t>$23.48</w:t>
            </w:r>
          </w:p>
        </w:tc>
      </w:tr>
      <w:tr w:rsidR="00725977" w:rsidRPr="00D4309F" w14:paraId="38172A5B" w14:textId="77777777" w:rsidTr="002E2008">
        <w:trPr>
          <w:trHeight w:val="246"/>
        </w:trPr>
        <w:tc>
          <w:tcPr>
            <w:tcW w:w="1505" w:type="pct"/>
            <w:tcBorders>
              <w:top w:val="single" w:sz="4" w:space="0" w:color="000000"/>
            </w:tcBorders>
          </w:tcPr>
          <w:p w14:paraId="0282DEFF" w14:textId="77777777" w:rsidR="00725977" w:rsidRPr="00D4309F" w:rsidRDefault="00725977" w:rsidP="002E2008">
            <w:pPr>
              <w:pStyle w:val="Table-Text"/>
            </w:pPr>
            <w:r w:rsidRPr="00D4309F">
              <w:t>Passive</w:t>
            </w:r>
            <w:r w:rsidRPr="00D4309F">
              <w:rPr>
                <w:spacing w:val="-5"/>
              </w:rPr>
              <w:t xml:space="preserve"> </w:t>
            </w:r>
            <w:r w:rsidRPr="00D4309F">
              <w:t>(viewing</w:t>
            </w:r>
            <w:r w:rsidRPr="00D4309F">
              <w:rPr>
                <w:spacing w:val="-4"/>
              </w:rPr>
              <w:t xml:space="preserve"> </w:t>
            </w:r>
            <w:r w:rsidRPr="00D4309F">
              <w:t>the</w:t>
            </w:r>
            <w:r w:rsidRPr="00D4309F">
              <w:rPr>
                <w:spacing w:val="-4"/>
              </w:rPr>
              <w:t xml:space="preserve"> </w:t>
            </w:r>
            <w:r w:rsidRPr="00D4309F">
              <w:t>beach)</w:t>
            </w:r>
          </w:p>
        </w:tc>
        <w:tc>
          <w:tcPr>
            <w:tcW w:w="1519" w:type="pct"/>
            <w:tcBorders>
              <w:top w:val="single" w:sz="4" w:space="0" w:color="000000"/>
            </w:tcBorders>
          </w:tcPr>
          <w:p w14:paraId="71B1A17E" w14:textId="77777777" w:rsidR="00725977" w:rsidRPr="00D4309F" w:rsidRDefault="00725977" w:rsidP="002E2008">
            <w:pPr>
              <w:pStyle w:val="Table-Text"/>
            </w:pPr>
            <w:r w:rsidRPr="00D4309F">
              <w:t>$12.59</w:t>
            </w:r>
          </w:p>
        </w:tc>
        <w:tc>
          <w:tcPr>
            <w:tcW w:w="1976" w:type="pct"/>
            <w:tcBorders>
              <w:top w:val="single" w:sz="4" w:space="0" w:color="000000"/>
            </w:tcBorders>
          </w:tcPr>
          <w:p w14:paraId="468D5C35" w14:textId="77777777" w:rsidR="00725977" w:rsidRPr="00D4309F" w:rsidRDefault="00725977" w:rsidP="002E2008">
            <w:pPr>
              <w:pStyle w:val="Table-Text"/>
            </w:pPr>
            <w:r w:rsidRPr="00D4309F">
              <w:t>$9.37</w:t>
            </w:r>
          </w:p>
        </w:tc>
      </w:tr>
    </w:tbl>
    <w:p w14:paraId="36C6F63B" w14:textId="77777777" w:rsidR="00F06E88" w:rsidRDefault="00F06E88" w:rsidP="00725977">
      <w:pPr>
        <w:pStyle w:val="BodyText"/>
      </w:pPr>
    </w:p>
    <w:p w14:paraId="6BC0BB60" w14:textId="60CD15B7" w:rsidR="00725977" w:rsidRPr="00D4309F" w:rsidRDefault="00725977" w:rsidP="00725977">
      <w:pPr>
        <w:pStyle w:val="BodyText"/>
      </w:pPr>
      <w:r w:rsidRPr="00D4309F">
        <w:t>Whilst</w:t>
      </w:r>
      <w:r w:rsidRPr="00D4309F">
        <w:rPr>
          <w:spacing w:val="-3"/>
        </w:rPr>
        <w:t xml:space="preserve"> </w:t>
      </w:r>
      <w:r w:rsidRPr="00D4309F">
        <w:t>Mooloolaba</w:t>
      </w:r>
      <w:r w:rsidRPr="00D4309F">
        <w:rPr>
          <w:spacing w:val="-3"/>
        </w:rPr>
        <w:t xml:space="preserve"> </w:t>
      </w:r>
      <w:r w:rsidRPr="00D4309F">
        <w:t>Beach</w:t>
      </w:r>
      <w:r w:rsidRPr="00D4309F">
        <w:rPr>
          <w:spacing w:val="-4"/>
        </w:rPr>
        <w:t xml:space="preserve"> </w:t>
      </w:r>
      <w:r w:rsidRPr="00D4309F">
        <w:t>and</w:t>
      </w:r>
      <w:r w:rsidRPr="00D4309F">
        <w:rPr>
          <w:spacing w:val="-3"/>
        </w:rPr>
        <w:t xml:space="preserve"> </w:t>
      </w:r>
      <w:r w:rsidRPr="00D4309F">
        <w:t>surrounds</w:t>
      </w:r>
      <w:r w:rsidRPr="00D4309F">
        <w:rPr>
          <w:spacing w:val="-3"/>
        </w:rPr>
        <w:t xml:space="preserve"> </w:t>
      </w:r>
      <w:r w:rsidRPr="00D4309F">
        <w:t>is</w:t>
      </w:r>
      <w:r w:rsidRPr="00D4309F">
        <w:rPr>
          <w:spacing w:val="-2"/>
        </w:rPr>
        <w:t xml:space="preserve"> </w:t>
      </w:r>
      <w:r w:rsidRPr="00D4309F">
        <w:t>not</w:t>
      </w:r>
      <w:r w:rsidRPr="00D4309F">
        <w:rPr>
          <w:spacing w:val="-3"/>
        </w:rPr>
        <w:t xml:space="preserve"> </w:t>
      </w:r>
      <w:r w:rsidRPr="00D4309F">
        <w:t>within</w:t>
      </w:r>
      <w:r w:rsidRPr="00D4309F">
        <w:rPr>
          <w:spacing w:val="-4"/>
        </w:rPr>
        <w:t xml:space="preserve"> </w:t>
      </w:r>
      <w:r w:rsidRPr="00D4309F">
        <w:t>the</w:t>
      </w:r>
      <w:r w:rsidRPr="00D4309F">
        <w:rPr>
          <w:spacing w:val="-3"/>
        </w:rPr>
        <w:t xml:space="preserve"> </w:t>
      </w:r>
      <w:r w:rsidRPr="00D4309F">
        <w:t>bounds</w:t>
      </w:r>
      <w:r w:rsidRPr="00D4309F">
        <w:rPr>
          <w:spacing w:val="-2"/>
        </w:rPr>
        <w:t xml:space="preserve"> </w:t>
      </w:r>
      <w:r w:rsidRPr="00D4309F">
        <w:t>of</w:t>
      </w:r>
      <w:r w:rsidRPr="00D4309F">
        <w:rPr>
          <w:spacing w:val="-3"/>
        </w:rPr>
        <w:t xml:space="preserve"> </w:t>
      </w:r>
      <w:r w:rsidRPr="00D4309F">
        <w:t>the</w:t>
      </w:r>
      <w:r w:rsidRPr="00D4309F">
        <w:rPr>
          <w:spacing w:val="-3"/>
        </w:rPr>
        <w:t xml:space="preserve"> </w:t>
      </w:r>
      <w:r w:rsidRPr="00D4309F">
        <w:t>harbour</w:t>
      </w:r>
      <w:r w:rsidRPr="00D4309F">
        <w:rPr>
          <w:spacing w:val="-4"/>
        </w:rPr>
        <w:t xml:space="preserve"> </w:t>
      </w:r>
      <w:r w:rsidRPr="00D4309F">
        <w:t>entrance</w:t>
      </w:r>
      <w:r w:rsidRPr="00D4309F">
        <w:rPr>
          <w:spacing w:val="-3"/>
        </w:rPr>
        <w:t xml:space="preserve"> </w:t>
      </w:r>
      <w:r w:rsidRPr="00D4309F">
        <w:t>project</w:t>
      </w:r>
      <w:r w:rsidRPr="00D4309F">
        <w:rPr>
          <w:spacing w:val="-3"/>
        </w:rPr>
        <w:t xml:space="preserve"> </w:t>
      </w:r>
      <w:r w:rsidRPr="00D4309F">
        <w:t>boundaries, any option taken forward must consider the potential impacts to users of the beach as well as those deriving visual amenity from the beach via the surrounding parklands, playgrounds and restaurants.</w:t>
      </w:r>
    </w:p>
    <w:p w14:paraId="04D5E71C" w14:textId="0421366E" w:rsidR="00725977" w:rsidRPr="00D4309F" w:rsidRDefault="00725977" w:rsidP="005906AD">
      <w:pPr>
        <w:pStyle w:val="BodyText"/>
      </w:pPr>
    </w:p>
    <w:p w14:paraId="1D0FCEB4" w14:textId="77777777" w:rsidR="00725977" w:rsidRPr="00D4309F" w:rsidRDefault="00725977" w:rsidP="00725977">
      <w:pPr>
        <w:spacing w:line="312" w:lineRule="auto"/>
        <w:rPr>
          <w:rFonts w:ascii="Times New Roman" w:hAnsi="Times New Roman"/>
          <w:sz w:val="16"/>
        </w:rPr>
        <w:sectPr w:rsidR="00725977" w:rsidRPr="00D4309F" w:rsidSect="00A8441C">
          <w:pgSz w:w="11910" w:h="16840"/>
          <w:pgMar w:top="1418" w:right="1134" w:bottom="1418" w:left="1134" w:header="916" w:footer="1147" w:gutter="0"/>
          <w:cols w:space="720"/>
          <w:docGrid w:linePitch="272"/>
        </w:sectPr>
      </w:pPr>
    </w:p>
    <w:p w14:paraId="02798558" w14:textId="77777777" w:rsidR="00725977" w:rsidRPr="00D4309F" w:rsidRDefault="00725977" w:rsidP="004426B8">
      <w:pPr>
        <w:pStyle w:val="Heading1"/>
      </w:pPr>
      <w:bookmarkStart w:id="108" w:name="_bookmark50"/>
      <w:bookmarkStart w:id="109" w:name="_Toc216699322"/>
      <w:bookmarkEnd w:id="108"/>
      <w:r w:rsidRPr="00D4309F">
        <w:lastRenderedPageBreak/>
        <w:t>CURRENT</w:t>
      </w:r>
      <w:r w:rsidRPr="00D4309F">
        <w:rPr>
          <w:spacing w:val="-8"/>
        </w:rPr>
        <w:t xml:space="preserve"> </w:t>
      </w:r>
      <w:r w:rsidRPr="00D4309F">
        <w:t>DREDGING</w:t>
      </w:r>
      <w:r w:rsidRPr="00D4309F">
        <w:rPr>
          <w:spacing w:val="-6"/>
        </w:rPr>
        <w:t xml:space="preserve"> </w:t>
      </w:r>
      <w:r w:rsidRPr="00D4309F">
        <w:t>MANAGEMENT</w:t>
      </w:r>
      <w:r w:rsidRPr="00D4309F">
        <w:rPr>
          <w:spacing w:val="-6"/>
        </w:rPr>
        <w:t xml:space="preserve"> </w:t>
      </w:r>
      <w:r w:rsidRPr="00D4309F">
        <w:rPr>
          <w:spacing w:val="-2"/>
        </w:rPr>
        <w:t>PRACTICES</w:t>
      </w:r>
      <w:bookmarkEnd w:id="109"/>
    </w:p>
    <w:p w14:paraId="0AFD2C0E" w14:textId="77777777" w:rsidR="00725977" w:rsidRPr="00D4309F" w:rsidRDefault="00725977" w:rsidP="004426B8">
      <w:pPr>
        <w:pStyle w:val="Heading2"/>
      </w:pPr>
      <w:bookmarkStart w:id="110" w:name="_bookmark51"/>
      <w:bookmarkStart w:id="111" w:name="_Toc216699323"/>
      <w:bookmarkEnd w:id="110"/>
      <w:r w:rsidRPr="00D4309F">
        <w:t>Dredging</w:t>
      </w:r>
      <w:r w:rsidRPr="00D4309F">
        <w:rPr>
          <w:spacing w:val="-17"/>
        </w:rPr>
        <w:t xml:space="preserve"> </w:t>
      </w:r>
      <w:r w:rsidRPr="00D4309F">
        <w:t>activities</w:t>
      </w:r>
      <w:bookmarkEnd w:id="111"/>
    </w:p>
    <w:p w14:paraId="2D8FD993" w14:textId="77777777" w:rsidR="00725977" w:rsidRPr="00D4309F" w:rsidRDefault="00725977" w:rsidP="00725977">
      <w:pPr>
        <w:pStyle w:val="BodyText"/>
      </w:pPr>
      <w:r w:rsidRPr="00D4309F">
        <w:t>The</w:t>
      </w:r>
      <w:r w:rsidRPr="00D4309F">
        <w:rPr>
          <w:spacing w:val="-2"/>
        </w:rPr>
        <w:t xml:space="preserve"> </w:t>
      </w:r>
      <w:r w:rsidRPr="00D4309F">
        <w:t>current</w:t>
      </w:r>
      <w:r w:rsidRPr="00D4309F">
        <w:rPr>
          <w:spacing w:val="-2"/>
        </w:rPr>
        <w:t xml:space="preserve"> </w:t>
      </w:r>
      <w:r w:rsidRPr="00D4309F">
        <w:t>approach</w:t>
      </w:r>
      <w:r w:rsidRPr="00D4309F">
        <w:rPr>
          <w:spacing w:val="-2"/>
        </w:rPr>
        <w:t xml:space="preserve"> </w:t>
      </w:r>
      <w:r w:rsidRPr="00D4309F">
        <w:t>to</w:t>
      </w:r>
      <w:r w:rsidRPr="00D4309F">
        <w:rPr>
          <w:spacing w:val="-2"/>
        </w:rPr>
        <w:t xml:space="preserve"> </w:t>
      </w:r>
      <w:r w:rsidRPr="00D4309F">
        <w:t>address</w:t>
      </w:r>
      <w:r w:rsidRPr="00D4309F">
        <w:rPr>
          <w:spacing w:val="-1"/>
        </w:rPr>
        <w:t xml:space="preserve"> </w:t>
      </w:r>
      <w:r w:rsidRPr="00D4309F">
        <w:t>the</w:t>
      </w:r>
      <w:r w:rsidRPr="00D4309F">
        <w:rPr>
          <w:spacing w:val="-3"/>
        </w:rPr>
        <w:t xml:space="preserve"> </w:t>
      </w:r>
      <w:r w:rsidRPr="00D4309F">
        <w:t>sand</w:t>
      </w:r>
      <w:r w:rsidRPr="00D4309F">
        <w:rPr>
          <w:spacing w:val="-2"/>
        </w:rPr>
        <w:t xml:space="preserve"> </w:t>
      </w:r>
      <w:r w:rsidRPr="00D4309F">
        <w:t>shoal</w:t>
      </w:r>
      <w:r w:rsidRPr="00D4309F">
        <w:rPr>
          <w:spacing w:val="-2"/>
        </w:rPr>
        <w:t xml:space="preserve"> </w:t>
      </w:r>
      <w:r w:rsidRPr="00D4309F">
        <w:t>at</w:t>
      </w:r>
      <w:r w:rsidRPr="00D4309F">
        <w:rPr>
          <w:spacing w:val="-2"/>
        </w:rPr>
        <w:t xml:space="preserve"> </w:t>
      </w:r>
      <w:r w:rsidRPr="00D4309F">
        <w:t>the</w:t>
      </w:r>
      <w:r w:rsidRPr="00D4309F">
        <w:rPr>
          <w:spacing w:val="-2"/>
        </w:rPr>
        <w:t xml:space="preserve"> </w:t>
      </w:r>
      <w:r w:rsidRPr="00D4309F">
        <w:t>entrance</w:t>
      </w:r>
      <w:r w:rsidRPr="00D4309F">
        <w:rPr>
          <w:spacing w:val="-2"/>
        </w:rPr>
        <w:t xml:space="preserve"> </w:t>
      </w:r>
      <w:r w:rsidRPr="00D4309F">
        <w:t>is</w:t>
      </w:r>
      <w:r w:rsidRPr="00D4309F">
        <w:rPr>
          <w:spacing w:val="-2"/>
        </w:rPr>
        <w:t xml:space="preserve"> </w:t>
      </w:r>
      <w:r w:rsidRPr="00D4309F">
        <w:t>reactive</w:t>
      </w:r>
      <w:r w:rsidRPr="00D4309F">
        <w:rPr>
          <w:spacing w:val="-2"/>
        </w:rPr>
        <w:t xml:space="preserve"> </w:t>
      </w:r>
      <w:r w:rsidRPr="00D4309F">
        <w:t>with</w:t>
      </w:r>
      <w:r w:rsidRPr="00D4309F">
        <w:rPr>
          <w:spacing w:val="-2"/>
        </w:rPr>
        <w:t xml:space="preserve"> </w:t>
      </w:r>
      <w:r w:rsidRPr="00D4309F">
        <w:t>the</w:t>
      </w:r>
      <w:r w:rsidRPr="00D4309F">
        <w:rPr>
          <w:spacing w:val="-2"/>
        </w:rPr>
        <w:t xml:space="preserve"> </w:t>
      </w:r>
      <w:r w:rsidRPr="00D4309F">
        <w:t>following</w:t>
      </w:r>
      <w:r w:rsidRPr="00D4309F">
        <w:rPr>
          <w:spacing w:val="-3"/>
        </w:rPr>
        <w:t xml:space="preserve"> </w:t>
      </w:r>
      <w:r w:rsidRPr="00D4309F">
        <w:t xml:space="preserve">management </w:t>
      </w:r>
      <w:r w:rsidRPr="00D4309F">
        <w:rPr>
          <w:spacing w:val="-2"/>
        </w:rPr>
        <w:t>strategy:</w:t>
      </w:r>
    </w:p>
    <w:p w14:paraId="029AA7A0" w14:textId="77777777" w:rsidR="00725977" w:rsidRPr="00D4309F" w:rsidRDefault="00725977" w:rsidP="00D27F26">
      <w:pPr>
        <w:pStyle w:val="ListNumber"/>
        <w:numPr>
          <w:ilvl w:val="0"/>
          <w:numId w:val="481"/>
        </w:numPr>
      </w:pPr>
      <w:r w:rsidRPr="00D4309F">
        <w:t>Monitor</w:t>
      </w:r>
      <w:r w:rsidRPr="005A46FB">
        <w:rPr>
          <w:spacing w:val="-5"/>
        </w:rPr>
        <w:t xml:space="preserve"> </w:t>
      </w:r>
      <w:r w:rsidRPr="00D4309F">
        <w:t>for</w:t>
      </w:r>
      <w:r w:rsidRPr="005A46FB">
        <w:rPr>
          <w:spacing w:val="-5"/>
        </w:rPr>
        <w:t xml:space="preserve"> </w:t>
      </w:r>
      <w:r w:rsidRPr="00D4309F">
        <w:t>shoaling</w:t>
      </w:r>
      <w:r w:rsidRPr="005A46FB">
        <w:rPr>
          <w:spacing w:val="-4"/>
        </w:rPr>
        <w:t xml:space="preserve"> </w:t>
      </w:r>
      <w:r w:rsidRPr="00D4309F">
        <w:t>events</w:t>
      </w:r>
      <w:r w:rsidRPr="005A46FB">
        <w:rPr>
          <w:spacing w:val="-4"/>
        </w:rPr>
        <w:t xml:space="preserve"> </w:t>
      </w:r>
      <w:r w:rsidRPr="00D4309F">
        <w:t>–</w:t>
      </w:r>
      <w:r w:rsidRPr="005A46FB">
        <w:rPr>
          <w:spacing w:val="-4"/>
        </w:rPr>
        <w:t xml:space="preserve"> </w:t>
      </w:r>
      <w:r w:rsidRPr="00D4309F">
        <w:t>using</w:t>
      </w:r>
      <w:r w:rsidRPr="005A46FB">
        <w:rPr>
          <w:spacing w:val="-4"/>
        </w:rPr>
        <w:t xml:space="preserve"> </w:t>
      </w:r>
      <w:r w:rsidRPr="00D4309F">
        <w:t>the</w:t>
      </w:r>
      <w:r w:rsidRPr="005A46FB">
        <w:rPr>
          <w:spacing w:val="-3"/>
        </w:rPr>
        <w:t xml:space="preserve"> </w:t>
      </w:r>
      <w:r w:rsidRPr="00D4309F">
        <w:t>existing</w:t>
      </w:r>
      <w:r w:rsidRPr="005A46FB">
        <w:rPr>
          <w:spacing w:val="-4"/>
        </w:rPr>
        <w:t xml:space="preserve"> </w:t>
      </w:r>
      <w:r w:rsidRPr="00D4309F">
        <w:t>wave</w:t>
      </w:r>
      <w:r w:rsidRPr="005A46FB">
        <w:rPr>
          <w:spacing w:val="-5"/>
        </w:rPr>
        <w:t xml:space="preserve"> </w:t>
      </w:r>
      <w:r w:rsidRPr="00D4309F">
        <w:t>buoy</w:t>
      </w:r>
      <w:r w:rsidRPr="005A46FB">
        <w:rPr>
          <w:spacing w:val="-2"/>
        </w:rPr>
        <w:t xml:space="preserve"> </w:t>
      </w:r>
      <w:r w:rsidRPr="00D4309F">
        <w:t>model</w:t>
      </w:r>
      <w:r w:rsidRPr="005A46FB">
        <w:rPr>
          <w:spacing w:val="-4"/>
        </w:rPr>
        <w:t xml:space="preserve"> </w:t>
      </w:r>
      <w:r w:rsidRPr="00D4309F">
        <w:t>and</w:t>
      </w:r>
      <w:r w:rsidRPr="005A46FB">
        <w:rPr>
          <w:spacing w:val="-4"/>
        </w:rPr>
        <w:t xml:space="preserve"> </w:t>
      </w:r>
      <w:r w:rsidRPr="00D4309F">
        <w:t>hydrographic</w:t>
      </w:r>
      <w:r w:rsidRPr="005A46FB">
        <w:rPr>
          <w:spacing w:val="-2"/>
        </w:rPr>
        <w:t xml:space="preserve"> survey.</w:t>
      </w:r>
    </w:p>
    <w:p w14:paraId="021D5772" w14:textId="77777777" w:rsidR="00725977" w:rsidRPr="00D4309F" w:rsidRDefault="00725977" w:rsidP="00D27F26">
      <w:pPr>
        <w:pStyle w:val="ListNumber"/>
        <w:numPr>
          <w:ilvl w:val="0"/>
          <w:numId w:val="481"/>
        </w:numPr>
      </w:pPr>
      <w:r w:rsidRPr="00D4309F">
        <w:t>Mobilise</w:t>
      </w:r>
      <w:r w:rsidRPr="005A46FB">
        <w:rPr>
          <w:spacing w:val="-5"/>
        </w:rPr>
        <w:t xml:space="preserve"> </w:t>
      </w:r>
      <w:r w:rsidRPr="00D4309F">
        <w:t>local</w:t>
      </w:r>
      <w:r w:rsidRPr="005A46FB">
        <w:rPr>
          <w:spacing w:val="-4"/>
        </w:rPr>
        <w:t xml:space="preserve"> </w:t>
      </w:r>
      <w:r w:rsidRPr="00D4309F">
        <w:t>dredge</w:t>
      </w:r>
      <w:r w:rsidRPr="005A46FB">
        <w:rPr>
          <w:spacing w:val="-4"/>
        </w:rPr>
        <w:t xml:space="preserve"> </w:t>
      </w:r>
      <w:r w:rsidRPr="005A46FB">
        <w:rPr>
          <w:spacing w:val="-2"/>
        </w:rPr>
        <w:t>contractor.</w:t>
      </w:r>
    </w:p>
    <w:p w14:paraId="19B20680" w14:textId="1D809AEF" w:rsidR="00F06E88" w:rsidRPr="00D4309F" w:rsidRDefault="00725977" w:rsidP="00F06E88">
      <w:pPr>
        <w:pStyle w:val="ListNumber"/>
        <w:numPr>
          <w:ilvl w:val="0"/>
          <w:numId w:val="481"/>
        </w:numPr>
      </w:pPr>
      <w:r w:rsidRPr="00D4309F">
        <w:t>Undertake</w:t>
      </w:r>
      <w:r w:rsidRPr="005A46FB">
        <w:rPr>
          <w:spacing w:val="-4"/>
        </w:rPr>
        <w:t xml:space="preserve"> </w:t>
      </w:r>
      <w:r w:rsidRPr="00D4309F">
        <w:t>re-active</w:t>
      </w:r>
      <w:r w:rsidRPr="005A46FB">
        <w:rPr>
          <w:spacing w:val="-4"/>
        </w:rPr>
        <w:t xml:space="preserve"> </w:t>
      </w:r>
      <w:r w:rsidRPr="00D4309F">
        <w:t>dredging</w:t>
      </w:r>
      <w:r w:rsidRPr="005A46FB">
        <w:rPr>
          <w:spacing w:val="-4"/>
        </w:rPr>
        <w:t xml:space="preserve"> </w:t>
      </w:r>
      <w:r w:rsidRPr="00D4309F">
        <w:t>and</w:t>
      </w:r>
      <w:r w:rsidRPr="005A46FB">
        <w:rPr>
          <w:spacing w:val="-4"/>
        </w:rPr>
        <w:t xml:space="preserve"> </w:t>
      </w:r>
      <w:r w:rsidRPr="00D4309F">
        <w:t>placement</w:t>
      </w:r>
      <w:r w:rsidRPr="005A46FB">
        <w:rPr>
          <w:spacing w:val="-4"/>
        </w:rPr>
        <w:t xml:space="preserve"> </w:t>
      </w:r>
      <w:r w:rsidRPr="00D4309F">
        <w:t>at</w:t>
      </w:r>
      <w:r w:rsidRPr="005A46FB">
        <w:rPr>
          <w:spacing w:val="-4"/>
        </w:rPr>
        <w:t xml:space="preserve"> </w:t>
      </w:r>
      <w:r w:rsidRPr="00D4309F">
        <w:t>Mooloolaba</w:t>
      </w:r>
      <w:r w:rsidRPr="005A46FB">
        <w:rPr>
          <w:spacing w:val="-4"/>
        </w:rPr>
        <w:t xml:space="preserve"> </w:t>
      </w:r>
      <w:r w:rsidRPr="00D4309F">
        <w:t>Beach</w:t>
      </w:r>
      <w:r w:rsidR="005A46FB" w:rsidRPr="005A46FB">
        <w:rPr>
          <w:spacing w:val="-5"/>
        </w:rPr>
        <w:t xml:space="preserve"> </w:t>
      </w:r>
      <w:r w:rsidRPr="00D4309F">
        <w:t>as</w:t>
      </w:r>
      <w:r w:rsidRPr="005A46FB">
        <w:rPr>
          <w:spacing w:val="-3"/>
        </w:rPr>
        <w:t xml:space="preserve"> </w:t>
      </w:r>
      <w:r w:rsidRPr="00D4309F">
        <w:t>required. A detailed operational ‘workflow’ has been provided by MSQ below.</w:t>
      </w:r>
    </w:p>
    <w:p w14:paraId="18EB7D7C" w14:textId="77777777" w:rsidR="00725977" w:rsidRPr="00D4309F" w:rsidRDefault="00725977" w:rsidP="004426B8">
      <w:pPr>
        <w:pStyle w:val="Heading3"/>
      </w:pPr>
      <w:bookmarkStart w:id="112" w:name="_Toc216699324"/>
      <w:r w:rsidRPr="00D4309F">
        <w:t>Current</w:t>
      </w:r>
      <w:r w:rsidRPr="00D4309F">
        <w:rPr>
          <w:spacing w:val="-6"/>
        </w:rPr>
        <w:t xml:space="preserve"> </w:t>
      </w:r>
      <w:r w:rsidRPr="00D4309F">
        <w:t>operational</w:t>
      </w:r>
      <w:r w:rsidRPr="00D4309F">
        <w:rPr>
          <w:spacing w:val="-6"/>
        </w:rPr>
        <w:t xml:space="preserve"> </w:t>
      </w:r>
      <w:r w:rsidRPr="00D4309F">
        <w:rPr>
          <w:spacing w:val="-2"/>
        </w:rPr>
        <w:t>workflow</w:t>
      </w:r>
      <w:bookmarkEnd w:id="112"/>
    </w:p>
    <w:p w14:paraId="1D39B5CC" w14:textId="77777777" w:rsidR="00725977" w:rsidRDefault="00725977" w:rsidP="00725977">
      <w:pPr>
        <w:pStyle w:val="BodyText"/>
        <w:rPr>
          <w:spacing w:val="-4"/>
        </w:rPr>
      </w:pPr>
      <w:r w:rsidRPr="00D4309F">
        <w:t>The</w:t>
      </w:r>
      <w:r w:rsidRPr="00D4309F">
        <w:rPr>
          <w:spacing w:val="-7"/>
        </w:rPr>
        <w:t xml:space="preserve"> </w:t>
      </w:r>
      <w:r w:rsidRPr="00D4309F">
        <w:t>following</w:t>
      </w:r>
      <w:r w:rsidRPr="00D4309F">
        <w:rPr>
          <w:spacing w:val="-5"/>
        </w:rPr>
        <w:t xml:space="preserve"> </w:t>
      </w:r>
      <w:r w:rsidRPr="00D4309F">
        <w:t>workflow</w:t>
      </w:r>
      <w:r w:rsidRPr="00D4309F">
        <w:rPr>
          <w:spacing w:val="-3"/>
        </w:rPr>
        <w:t xml:space="preserve"> </w:t>
      </w:r>
      <w:r w:rsidRPr="00D4309F">
        <w:t>is</w:t>
      </w:r>
      <w:r w:rsidRPr="00D4309F">
        <w:rPr>
          <w:spacing w:val="-3"/>
        </w:rPr>
        <w:t xml:space="preserve"> </w:t>
      </w:r>
      <w:r w:rsidRPr="00D4309F">
        <w:t>based</w:t>
      </w:r>
      <w:r w:rsidRPr="00D4309F">
        <w:rPr>
          <w:spacing w:val="-4"/>
        </w:rPr>
        <w:t xml:space="preserve"> </w:t>
      </w:r>
      <w:r w:rsidRPr="00D4309F">
        <w:t>on</w:t>
      </w:r>
      <w:r w:rsidRPr="00D4309F">
        <w:rPr>
          <w:spacing w:val="-4"/>
        </w:rPr>
        <w:t xml:space="preserve"> </w:t>
      </w:r>
      <w:r w:rsidRPr="00D4309F">
        <w:t>the</w:t>
      </w:r>
      <w:r w:rsidRPr="00D4309F">
        <w:rPr>
          <w:spacing w:val="-4"/>
        </w:rPr>
        <w:t xml:space="preserve"> </w:t>
      </w:r>
      <w:r w:rsidRPr="00D4309F">
        <w:t>direction</w:t>
      </w:r>
      <w:r w:rsidRPr="00D4309F">
        <w:rPr>
          <w:spacing w:val="-4"/>
        </w:rPr>
        <w:t xml:space="preserve"> </w:t>
      </w:r>
      <w:r w:rsidRPr="00D4309F">
        <w:t>of</w:t>
      </w:r>
      <w:r w:rsidRPr="00D4309F">
        <w:rPr>
          <w:spacing w:val="-4"/>
        </w:rPr>
        <w:t xml:space="preserve"> </w:t>
      </w:r>
      <w:r w:rsidRPr="00D4309F">
        <w:t>conversations</w:t>
      </w:r>
      <w:r w:rsidRPr="00D4309F">
        <w:rPr>
          <w:spacing w:val="-3"/>
        </w:rPr>
        <w:t xml:space="preserve"> </w:t>
      </w:r>
      <w:r w:rsidRPr="00D4309F">
        <w:t>with</w:t>
      </w:r>
      <w:r w:rsidRPr="00D4309F">
        <w:rPr>
          <w:spacing w:val="-4"/>
        </w:rPr>
        <w:t xml:space="preserve"> MSQ.</w:t>
      </w:r>
    </w:p>
    <w:p w14:paraId="07DF3D3A" w14:textId="77777777" w:rsidR="00F06E88" w:rsidRPr="00D4309F" w:rsidRDefault="00F06E88" w:rsidP="00725977">
      <w:pPr>
        <w:pStyle w:val="BodyText"/>
      </w:pPr>
    </w:p>
    <w:p w14:paraId="6CCF182D" w14:textId="1E2E890A" w:rsidR="00433F43" w:rsidRPr="00631812" w:rsidRDefault="00433F43" w:rsidP="00151534">
      <w:pPr>
        <w:pStyle w:val="Table-Caption"/>
      </w:pPr>
      <w:bookmarkStart w:id="113" w:name="_Toc530491316"/>
      <w:bookmarkStart w:id="114" w:name="_Toc534616983"/>
      <w:bookmarkStart w:id="115" w:name="_Toc216699539"/>
      <w:r w:rsidRPr="005906AD">
        <w:t xml:space="preserve">Table </w:t>
      </w:r>
      <w:r w:rsidR="00151534">
        <w:fldChar w:fldCharType="begin" w:fldLock="1"/>
      </w:r>
      <w:r w:rsidR="00151534">
        <w:instrText xml:space="preserve"> STYLEREF 1 \s </w:instrText>
      </w:r>
      <w:r w:rsidR="00151534">
        <w:fldChar w:fldCharType="separate"/>
      </w:r>
      <w:r w:rsidR="00151534">
        <w:rPr>
          <w:noProof/>
        </w:rPr>
        <w:t>7</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1</w:t>
      </w:r>
      <w:r w:rsidR="00151534">
        <w:fldChar w:fldCharType="end"/>
      </w:r>
      <w:r w:rsidRPr="005906AD">
        <w:t xml:space="preserve">: </w:t>
      </w:r>
      <w:bookmarkEnd w:id="113"/>
      <w:r w:rsidR="008F5CC4" w:rsidRPr="005906AD">
        <w:tab/>
      </w:r>
      <w:bookmarkEnd w:id="114"/>
      <w:r w:rsidR="008F5CC4" w:rsidRPr="005906AD">
        <w:t>Current operational workflow</w:t>
      </w:r>
      <w:bookmarkEnd w:id="115"/>
    </w:p>
    <w:tbl>
      <w:tblPr>
        <w:tblStyle w:val="Table1"/>
        <w:tblW w:w="5000" w:type="pct"/>
        <w:tblLayout w:type="fixed"/>
        <w:tblLook w:val="0620" w:firstRow="1" w:lastRow="0" w:firstColumn="0" w:lastColumn="0" w:noHBand="1" w:noVBand="1"/>
      </w:tblPr>
      <w:tblGrid>
        <w:gridCol w:w="851"/>
        <w:gridCol w:w="3402"/>
        <w:gridCol w:w="2979"/>
        <w:gridCol w:w="2410"/>
      </w:tblGrid>
      <w:tr w:rsidR="00433F43" w:rsidRPr="0078153E" w14:paraId="0EE917AF" w14:textId="77777777" w:rsidTr="00A02526">
        <w:trPr>
          <w:cnfStyle w:val="100000000000" w:firstRow="1" w:lastRow="0" w:firstColumn="0" w:lastColumn="0" w:oddVBand="0" w:evenVBand="0" w:oddHBand="0" w:evenHBand="0" w:firstRowFirstColumn="0" w:firstRowLastColumn="0" w:lastRowFirstColumn="0" w:lastRowLastColumn="0"/>
          <w:tblHeader/>
        </w:trPr>
        <w:tc>
          <w:tcPr>
            <w:tcW w:w="851" w:type="dxa"/>
            <w:hideMark/>
          </w:tcPr>
          <w:p w14:paraId="5FDF5C79" w14:textId="020673C9" w:rsidR="00433F43" w:rsidRPr="0078153E" w:rsidRDefault="00433F43" w:rsidP="00433F43">
            <w:pPr>
              <w:pStyle w:val="Table-Heading"/>
            </w:pPr>
            <w:r w:rsidRPr="00E8400E">
              <w:t>Step</w:t>
            </w:r>
          </w:p>
        </w:tc>
        <w:tc>
          <w:tcPr>
            <w:tcW w:w="3402" w:type="dxa"/>
          </w:tcPr>
          <w:p w14:paraId="15706BE5" w14:textId="4C949C91" w:rsidR="00433F43" w:rsidRPr="0078153E" w:rsidRDefault="00433F43" w:rsidP="00433F43">
            <w:pPr>
              <w:pStyle w:val="Table-Heading"/>
            </w:pPr>
            <w:r w:rsidRPr="00E8400E">
              <w:t>Workflow action</w:t>
            </w:r>
          </w:p>
        </w:tc>
        <w:tc>
          <w:tcPr>
            <w:tcW w:w="2979" w:type="dxa"/>
          </w:tcPr>
          <w:p w14:paraId="16EB7DFA" w14:textId="7C474981" w:rsidR="00433F43" w:rsidRPr="0078153E" w:rsidRDefault="00433F43" w:rsidP="00433F43">
            <w:pPr>
              <w:pStyle w:val="Table-Heading"/>
            </w:pPr>
            <w:r w:rsidRPr="00E8400E">
              <w:t>Independent query</w:t>
            </w:r>
          </w:p>
        </w:tc>
        <w:tc>
          <w:tcPr>
            <w:tcW w:w="2410" w:type="dxa"/>
          </w:tcPr>
          <w:p w14:paraId="634CA880" w14:textId="55DBE11C" w:rsidR="00433F43" w:rsidRPr="0078153E" w:rsidRDefault="00433F43" w:rsidP="00433F43">
            <w:pPr>
              <w:pStyle w:val="Table-Heading"/>
            </w:pPr>
            <w:r w:rsidRPr="00E8400E">
              <w:t>Potential actions</w:t>
            </w:r>
          </w:p>
        </w:tc>
      </w:tr>
      <w:tr w:rsidR="00D34271" w14:paraId="7F366B79" w14:textId="77777777" w:rsidTr="00A02526">
        <w:tc>
          <w:tcPr>
            <w:tcW w:w="851" w:type="dxa"/>
            <w:tcBorders>
              <w:top w:val="single" w:sz="4" w:space="0" w:color="5F6369" w:themeColor="text2"/>
              <w:left w:val="nil"/>
              <w:bottom w:val="single" w:sz="4" w:space="0" w:color="5F6369" w:themeColor="text2"/>
              <w:right w:val="nil"/>
            </w:tcBorders>
          </w:tcPr>
          <w:p w14:paraId="3C679661" w14:textId="36E59EC5" w:rsidR="00D34271" w:rsidRDefault="00D34271" w:rsidP="006024C7">
            <w:pPr>
              <w:pStyle w:val="Table-ListNumber"/>
              <w:rPr>
                <w:lang w:val="en-GB"/>
              </w:rPr>
            </w:pPr>
          </w:p>
        </w:tc>
        <w:tc>
          <w:tcPr>
            <w:tcW w:w="3402" w:type="dxa"/>
          </w:tcPr>
          <w:p w14:paraId="55A02E0C" w14:textId="2F34ECB6" w:rsidR="00D34271" w:rsidRDefault="00D34271" w:rsidP="00D34271">
            <w:pPr>
              <w:pStyle w:val="Table-Text"/>
              <w:rPr>
                <w:lang w:val="en-GB"/>
              </w:rPr>
            </w:pPr>
            <w:r w:rsidRPr="00D4309F">
              <w:rPr>
                <w:color w:val="211E1F"/>
              </w:rPr>
              <w:t>MSQ</w:t>
            </w:r>
            <w:r w:rsidRPr="00D4309F">
              <w:rPr>
                <w:color w:val="211E1F"/>
                <w:spacing w:val="-3"/>
              </w:rPr>
              <w:t xml:space="preserve"> </w:t>
            </w:r>
            <w:r w:rsidRPr="00D4309F">
              <w:rPr>
                <w:color w:val="211E1F"/>
              </w:rPr>
              <w:t>check</w:t>
            </w:r>
            <w:r w:rsidRPr="00D4309F">
              <w:rPr>
                <w:color w:val="211E1F"/>
                <w:spacing w:val="-2"/>
              </w:rPr>
              <w:t xml:space="preserve"> </w:t>
            </w:r>
            <w:r w:rsidRPr="00D4309F">
              <w:rPr>
                <w:color w:val="211E1F"/>
              </w:rPr>
              <w:t>weather</w:t>
            </w:r>
            <w:r w:rsidRPr="00D4309F">
              <w:rPr>
                <w:color w:val="211E1F"/>
                <w:spacing w:val="-2"/>
              </w:rPr>
              <w:t xml:space="preserve"> forecasts</w:t>
            </w:r>
          </w:p>
        </w:tc>
        <w:tc>
          <w:tcPr>
            <w:tcW w:w="2979" w:type="dxa"/>
            <w:tcBorders>
              <w:top w:val="single" w:sz="4" w:space="0" w:color="5F6369" w:themeColor="text2"/>
              <w:left w:val="nil"/>
              <w:bottom w:val="single" w:sz="4" w:space="0" w:color="5F6369" w:themeColor="text2"/>
              <w:right w:val="nil"/>
            </w:tcBorders>
          </w:tcPr>
          <w:p w14:paraId="6D00DFE0" w14:textId="4972D69D" w:rsidR="00D34271" w:rsidRDefault="00D34271" w:rsidP="00D34271">
            <w:pPr>
              <w:pStyle w:val="Table-Text"/>
              <w:rPr>
                <w:lang w:val="en-GB"/>
              </w:rPr>
            </w:pPr>
          </w:p>
        </w:tc>
        <w:tc>
          <w:tcPr>
            <w:tcW w:w="2410" w:type="dxa"/>
            <w:tcBorders>
              <w:top w:val="single" w:sz="4" w:space="0" w:color="5F6369" w:themeColor="text2"/>
              <w:left w:val="nil"/>
              <w:bottom w:val="single" w:sz="4" w:space="0" w:color="5F6369" w:themeColor="text2"/>
              <w:right w:val="nil"/>
            </w:tcBorders>
          </w:tcPr>
          <w:p w14:paraId="55999001" w14:textId="77777777" w:rsidR="00D34271" w:rsidRDefault="00D34271" w:rsidP="00D34271">
            <w:pPr>
              <w:pStyle w:val="Table-Text"/>
              <w:rPr>
                <w:lang w:val="en-GB"/>
              </w:rPr>
            </w:pPr>
          </w:p>
        </w:tc>
      </w:tr>
      <w:tr w:rsidR="00D34271" w14:paraId="49F8E26C" w14:textId="77777777" w:rsidTr="00A02526">
        <w:tc>
          <w:tcPr>
            <w:tcW w:w="851" w:type="dxa"/>
            <w:tcBorders>
              <w:top w:val="single" w:sz="4" w:space="0" w:color="5F6369" w:themeColor="text2"/>
              <w:left w:val="nil"/>
              <w:bottom w:val="single" w:sz="4" w:space="0" w:color="5F6369" w:themeColor="text2"/>
              <w:right w:val="nil"/>
            </w:tcBorders>
          </w:tcPr>
          <w:p w14:paraId="76C4C2B9" w14:textId="5AFDDD28" w:rsidR="00D34271" w:rsidRDefault="00D34271" w:rsidP="006024C7">
            <w:pPr>
              <w:pStyle w:val="Table-ListNumber"/>
              <w:rPr>
                <w:lang w:val="en-GB"/>
              </w:rPr>
            </w:pPr>
          </w:p>
        </w:tc>
        <w:tc>
          <w:tcPr>
            <w:tcW w:w="3402" w:type="dxa"/>
          </w:tcPr>
          <w:p w14:paraId="756F313C" w14:textId="376AA4B5" w:rsidR="00D34271" w:rsidRDefault="00D34271" w:rsidP="00D34271">
            <w:pPr>
              <w:pStyle w:val="Table-Text"/>
              <w:rPr>
                <w:lang w:val="en-GB"/>
              </w:rPr>
            </w:pPr>
            <w:r w:rsidRPr="00D4309F">
              <w:rPr>
                <w:color w:val="211E1F"/>
              </w:rPr>
              <w:t>Use</w:t>
            </w:r>
            <w:r w:rsidRPr="00D4309F">
              <w:rPr>
                <w:color w:val="211E1F"/>
                <w:spacing w:val="-4"/>
              </w:rPr>
              <w:t xml:space="preserve"> </w:t>
            </w:r>
            <w:r w:rsidRPr="00D4309F">
              <w:rPr>
                <w:color w:val="211E1F"/>
              </w:rPr>
              <w:t>BMT</w:t>
            </w:r>
            <w:r w:rsidRPr="00D4309F">
              <w:rPr>
                <w:color w:val="211E1F"/>
                <w:spacing w:val="-2"/>
              </w:rPr>
              <w:t xml:space="preserve"> </w:t>
            </w:r>
            <w:r w:rsidRPr="00D4309F">
              <w:rPr>
                <w:color w:val="211E1F"/>
              </w:rPr>
              <w:t>shoal</w:t>
            </w:r>
            <w:r w:rsidRPr="00D4309F">
              <w:rPr>
                <w:color w:val="211E1F"/>
                <w:spacing w:val="-2"/>
              </w:rPr>
              <w:t xml:space="preserve"> </w:t>
            </w:r>
            <w:r w:rsidRPr="00D4309F">
              <w:rPr>
                <w:color w:val="211E1F"/>
              </w:rPr>
              <w:t>indicator</w:t>
            </w:r>
            <w:r w:rsidRPr="00D4309F">
              <w:rPr>
                <w:color w:val="211E1F"/>
                <w:spacing w:val="-2"/>
              </w:rPr>
              <w:t xml:space="preserve"> </w:t>
            </w:r>
            <w:r w:rsidRPr="00D4309F">
              <w:rPr>
                <w:color w:val="211E1F"/>
                <w:spacing w:val="-4"/>
              </w:rPr>
              <w:t>model</w:t>
            </w:r>
            <w:r w:rsidRPr="00D4309F">
              <w:rPr>
                <w:color w:val="211E1F"/>
              </w:rPr>
              <w:t xml:space="preserve"> from</w:t>
            </w:r>
            <w:r w:rsidRPr="00D4309F">
              <w:rPr>
                <w:color w:val="211E1F"/>
                <w:spacing w:val="-4"/>
              </w:rPr>
              <w:t xml:space="preserve"> </w:t>
            </w:r>
            <w:r w:rsidRPr="00D4309F">
              <w:rPr>
                <w:color w:val="211E1F"/>
              </w:rPr>
              <w:t>2005</w:t>
            </w:r>
            <w:r w:rsidRPr="00D4309F">
              <w:rPr>
                <w:color w:val="211E1F"/>
                <w:spacing w:val="-3"/>
              </w:rPr>
              <w:t xml:space="preserve"> </w:t>
            </w:r>
            <w:r w:rsidRPr="00D4309F">
              <w:rPr>
                <w:color w:val="211E1F"/>
              </w:rPr>
              <w:t>with real</w:t>
            </w:r>
            <w:r w:rsidRPr="00D4309F">
              <w:rPr>
                <w:color w:val="211E1F"/>
                <w:spacing w:val="-2"/>
              </w:rPr>
              <w:t xml:space="preserve"> </w:t>
            </w:r>
            <w:r w:rsidRPr="00D4309F">
              <w:rPr>
                <w:color w:val="211E1F"/>
              </w:rPr>
              <w:t>time</w:t>
            </w:r>
            <w:r w:rsidRPr="00D4309F">
              <w:rPr>
                <w:color w:val="211E1F"/>
                <w:spacing w:val="-2"/>
              </w:rPr>
              <w:t xml:space="preserve"> </w:t>
            </w:r>
            <w:r w:rsidRPr="00D4309F">
              <w:rPr>
                <w:color w:val="211E1F"/>
                <w:spacing w:val="-4"/>
              </w:rPr>
              <w:t>wave</w:t>
            </w:r>
            <w:r w:rsidRPr="00D4309F">
              <w:rPr>
                <w:color w:val="211E1F"/>
              </w:rPr>
              <w:t xml:space="preserve"> data</w:t>
            </w:r>
            <w:r w:rsidRPr="00D4309F">
              <w:rPr>
                <w:color w:val="211E1F"/>
                <w:spacing w:val="-4"/>
              </w:rPr>
              <w:t xml:space="preserve"> </w:t>
            </w:r>
            <w:r w:rsidRPr="00D4309F">
              <w:rPr>
                <w:color w:val="211E1F"/>
              </w:rPr>
              <w:t>to</w:t>
            </w:r>
            <w:r w:rsidRPr="00D4309F">
              <w:rPr>
                <w:color w:val="211E1F"/>
                <w:spacing w:val="-3"/>
              </w:rPr>
              <w:t xml:space="preserve"> </w:t>
            </w:r>
            <w:r w:rsidRPr="00D4309F">
              <w:rPr>
                <w:color w:val="211E1F"/>
              </w:rPr>
              <w:t>check</w:t>
            </w:r>
            <w:r w:rsidRPr="00D4309F">
              <w:rPr>
                <w:color w:val="211E1F"/>
                <w:spacing w:val="-2"/>
              </w:rPr>
              <w:t xml:space="preserve"> </w:t>
            </w:r>
            <w:r w:rsidRPr="00D4309F">
              <w:rPr>
                <w:color w:val="211E1F"/>
              </w:rPr>
              <w:t>shoaling</w:t>
            </w:r>
            <w:r w:rsidRPr="00D4309F">
              <w:rPr>
                <w:color w:val="211E1F"/>
                <w:spacing w:val="-1"/>
              </w:rPr>
              <w:t xml:space="preserve"> </w:t>
            </w:r>
            <w:r w:rsidRPr="00D4309F">
              <w:rPr>
                <w:color w:val="211E1F"/>
                <w:spacing w:val="-2"/>
              </w:rPr>
              <w:t>trend.</w:t>
            </w:r>
          </w:p>
        </w:tc>
        <w:tc>
          <w:tcPr>
            <w:tcW w:w="2979" w:type="dxa"/>
            <w:tcBorders>
              <w:top w:val="single" w:sz="4" w:space="0" w:color="5F6369" w:themeColor="text2"/>
              <w:left w:val="nil"/>
              <w:bottom w:val="single" w:sz="4" w:space="0" w:color="5F6369" w:themeColor="text2"/>
              <w:right w:val="nil"/>
            </w:tcBorders>
          </w:tcPr>
          <w:p w14:paraId="42D41762" w14:textId="77777777" w:rsidR="00D34271" w:rsidRDefault="00D34271" w:rsidP="00D34271">
            <w:pPr>
              <w:pStyle w:val="Table-Text"/>
              <w:rPr>
                <w:color w:val="211E1F"/>
                <w:spacing w:val="-2"/>
              </w:rPr>
            </w:pPr>
            <w:r w:rsidRPr="00D4309F">
              <w:rPr>
                <w:color w:val="211E1F"/>
              </w:rPr>
              <w:t>Present</w:t>
            </w:r>
            <w:r w:rsidRPr="00D4309F">
              <w:rPr>
                <w:color w:val="211E1F"/>
                <w:spacing w:val="-4"/>
              </w:rPr>
              <w:t xml:space="preserve"> </w:t>
            </w:r>
            <w:r w:rsidRPr="00D4309F">
              <w:rPr>
                <w:color w:val="211E1F"/>
              </w:rPr>
              <w:t>reliability</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spacing w:val="-2"/>
              </w:rPr>
              <w:t>model.</w:t>
            </w:r>
          </w:p>
          <w:p w14:paraId="45C0B8B7" w14:textId="5D91D740" w:rsidR="00965B3A" w:rsidRDefault="00965B3A" w:rsidP="00D34271">
            <w:pPr>
              <w:pStyle w:val="Table-Text"/>
              <w:rPr>
                <w:lang w:val="en-GB"/>
              </w:rPr>
            </w:pPr>
            <w:r w:rsidRPr="00D4309F">
              <w:rPr>
                <w:color w:val="211E1F"/>
              </w:rPr>
              <w:t>Uses</w:t>
            </w:r>
            <w:r w:rsidRPr="00D4309F">
              <w:rPr>
                <w:color w:val="211E1F"/>
                <w:spacing w:val="-2"/>
              </w:rPr>
              <w:t xml:space="preserve"> </w:t>
            </w:r>
            <w:r w:rsidRPr="00D4309F">
              <w:rPr>
                <w:color w:val="211E1F"/>
              </w:rPr>
              <w:t>real</w:t>
            </w:r>
            <w:r w:rsidRPr="00D4309F">
              <w:rPr>
                <w:color w:val="211E1F"/>
                <w:spacing w:val="-2"/>
              </w:rPr>
              <w:t xml:space="preserve"> </w:t>
            </w:r>
            <w:r w:rsidRPr="00D4309F">
              <w:rPr>
                <w:color w:val="211E1F"/>
              </w:rPr>
              <w:t>time</w:t>
            </w:r>
            <w:r w:rsidRPr="00D4309F">
              <w:rPr>
                <w:color w:val="211E1F"/>
                <w:spacing w:val="-2"/>
              </w:rPr>
              <w:t xml:space="preserve"> </w:t>
            </w:r>
            <w:r w:rsidRPr="00D4309F">
              <w:rPr>
                <w:color w:val="211E1F"/>
              </w:rPr>
              <w:t>wave</w:t>
            </w:r>
            <w:r w:rsidRPr="00D4309F">
              <w:rPr>
                <w:color w:val="211E1F"/>
                <w:spacing w:val="-2"/>
              </w:rPr>
              <w:t xml:space="preserve"> </w:t>
            </w:r>
            <w:r w:rsidRPr="00D4309F">
              <w:rPr>
                <w:color w:val="211E1F"/>
              </w:rPr>
              <w:t>data</w:t>
            </w:r>
            <w:r w:rsidRPr="00D4309F">
              <w:rPr>
                <w:color w:val="211E1F"/>
                <w:spacing w:val="-3"/>
              </w:rPr>
              <w:t xml:space="preserve"> </w:t>
            </w:r>
            <w:r w:rsidRPr="00D4309F">
              <w:rPr>
                <w:color w:val="211E1F"/>
              </w:rPr>
              <w:t xml:space="preserve">only </w:t>
            </w:r>
            <w:r w:rsidRPr="00D4309F">
              <w:rPr>
                <w:color w:val="211E1F"/>
                <w:spacing w:val="-4"/>
              </w:rPr>
              <w:t>with</w:t>
            </w:r>
            <w:r w:rsidRPr="00D4309F">
              <w:rPr>
                <w:color w:val="211E1F"/>
              </w:rPr>
              <w:t xml:space="preserve"> limited</w:t>
            </w:r>
            <w:r w:rsidRPr="00D4309F">
              <w:rPr>
                <w:color w:val="211E1F"/>
                <w:spacing w:val="-11"/>
              </w:rPr>
              <w:t xml:space="preserve"> </w:t>
            </w:r>
            <w:r w:rsidRPr="00D4309F">
              <w:rPr>
                <w:color w:val="211E1F"/>
              </w:rPr>
              <w:t>shoal</w:t>
            </w:r>
            <w:r w:rsidRPr="00D4309F">
              <w:rPr>
                <w:color w:val="211E1F"/>
                <w:spacing w:val="-10"/>
              </w:rPr>
              <w:t xml:space="preserve"> </w:t>
            </w:r>
            <w:r w:rsidRPr="00D4309F">
              <w:rPr>
                <w:color w:val="211E1F"/>
              </w:rPr>
              <w:t>prediction</w:t>
            </w:r>
            <w:r w:rsidRPr="00D4309F">
              <w:rPr>
                <w:color w:val="211E1F"/>
                <w:spacing w:val="-11"/>
              </w:rPr>
              <w:t xml:space="preserve"> </w:t>
            </w:r>
            <w:r w:rsidRPr="00D4309F">
              <w:rPr>
                <w:color w:val="211E1F"/>
              </w:rPr>
              <w:t>with</w:t>
            </w:r>
            <w:r w:rsidRPr="00D4309F">
              <w:rPr>
                <w:color w:val="211E1F"/>
                <w:spacing w:val="-11"/>
              </w:rPr>
              <w:t xml:space="preserve"> </w:t>
            </w:r>
            <w:r w:rsidRPr="00D4309F">
              <w:rPr>
                <w:color w:val="211E1F"/>
              </w:rPr>
              <w:t xml:space="preserve">forecasted </w:t>
            </w:r>
            <w:r w:rsidRPr="00D4309F">
              <w:rPr>
                <w:color w:val="211E1F"/>
                <w:spacing w:val="-2"/>
              </w:rPr>
              <w:t>weather.</w:t>
            </w:r>
          </w:p>
        </w:tc>
        <w:tc>
          <w:tcPr>
            <w:tcW w:w="2410" w:type="dxa"/>
            <w:tcBorders>
              <w:top w:val="single" w:sz="4" w:space="0" w:color="5F6369" w:themeColor="text2"/>
              <w:left w:val="nil"/>
              <w:bottom w:val="single" w:sz="4" w:space="0" w:color="5F6369" w:themeColor="text2"/>
              <w:right w:val="nil"/>
            </w:tcBorders>
          </w:tcPr>
          <w:p w14:paraId="0D7B304E" w14:textId="34FF2456" w:rsidR="00D34271" w:rsidRDefault="00D34271" w:rsidP="00D34271">
            <w:pPr>
              <w:pStyle w:val="Table-Text"/>
              <w:rPr>
                <w:lang w:val="en-GB"/>
              </w:rPr>
            </w:pPr>
            <w:r w:rsidRPr="00D4309F">
              <w:rPr>
                <w:color w:val="211E1F"/>
              </w:rPr>
              <w:t>Consider</w:t>
            </w:r>
            <w:r w:rsidRPr="00D4309F">
              <w:rPr>
                <w:color w:val="211E1F"/>
                <w:spacing w:val="-4"/>
              </w:rPr>
              <w:t xml:space="preserve"> </w:t>
            </w:r>
            <w:r w:rsidRPr="00D4309F">
              <w:rPr>
                <w:color w:val="211E1F"/>
              </w:rPr>
              <w:t>options</w:t>
            </w:r>
            <w:r w:rsidRPr="00D4309F">
              <w:rPr>
                <w:color w:val="211E1F"/>
                <w:spacing w:val="-4"/>
              </w:rPr>
              <w:t xml:space="preserve"> </w:t>
            </w:r>
            <w:r w:rsidRPr="00D4309F">
              <w:rPr>
                <w:color w:val="211E1F"/>
                <w:spacing w:val="-5"/>
              </w:rPr>
              <w:t>to</w:t>
            </w:r>
            <w:r w:rsidR="00910F4F" w:rsidRPr="00D4309F">
              <w:t xml:space="preserve"> apply</w:t>
            </w:r>
            <w:r w:rsidR="00910F4F" w:rsidRPr="00D4309F">
              <w:rPr>
                <w:spacing w:val="-3"/>
              </w:rPr>
              <w:t xml:space="preserve"> </w:t>
            </w:r>
            <w:r w:rsidR="00910F4F" w:rsidRPr="00D4309F">
              <w:rPr>
                <w:spacing w:val="-2"/>
              </w:rPr>
              <w:t>forecasted</w:t>
            </w:r>
            <w:r w:rsidR="00910F4F" w:rsidRPr="00D4309F">
              <w:t xml:space="preserve"> weather</w:t>
            </w:r>
            <w:r w:rsidR="00910F4F" w:rsidRPr="00D4309F">
              <w:rPr>
                <w:spacing w:val="-5"/>
              </w:rPr>
              <w:t xml:space="preserve"> </w:t>
            </w:r>
            <w:r w:rsidR="00910F4F" w:rsidRPr="00D4309F">
              <w:t>conditions</w:t>
            </w:r>
            <w:r w:rsidR="00910F4F" w:rsidRPr="00D4309F">
              <w:rPr>
                <w:spacing w:val="-4"/>
              </w:rPr>
              <w:t xml:space="preserve"> </w:t>
            </w:r>
            <w:r w:rsidR="00910F4F" w:rsidRPr="00D4309F">
              <w:rPr>
                <w:spacing w:val="-5"/>
              </w:rPr>
              <w:t>in</w:t>
            </w:r>
            <w:r w:rsidR="00910F4F">
              <w:t xml:space="preserve"> </w:t>
            </w:r>
            <w:r w:rsidR="00910F4F" w:rsidRPr="00D4309F">
              <w:t>short-term and future season</w:t>
            </w:r>
            <w:r w:rsidR="00910F4F" w:rsidRPr="00D4309F">
              <w:rPr>
                <w:spacing w:val="-10"/>
              </w:rPr>
              <w:t xml:space="preserve"> </w:t>
            </w:r>
            <w:r w:rsidR="00910F4F" w:rsidRPr="00D4309F">
              <w:t>to</w:t>
            </w:r>
            <w:r w:rsidR="00910F4F" w:rsidRPr="00D4309F">
              <w:rPr>
                <w:spacing w:val="-10"/>
              </w:rPr>
              <w:t xml:space="preserve"> </w:t>
            </w:r>
            <w:r w:rsidR="00910F4F" w:rsidRPr="00D4309F">
              <w:t>predict</w:t>
            </w:r>
            <w:r w:rsidR="00910F4F" w:rsidRPr="00D4309F">
              <w:rPr>
                <w:spacing w:val="-10"/>
              </w:rPr>
              <w:t xml:space="preserve"> </w:t>
            </w:r>
            <w:r w:rsidR="00910F4F" w:rsidRPr="00D4309F">
              <w:t>risk</w:t>
            </w:r>
            <w:r w:rsidR="00910F4F" w:rsidRPr="00D4309F">
              <w:rPr>
                <w:spacing w:val="-10"/>
              </w:rPr>
              <w:t xml:space="preserve"> </w:t>
            </w:r>
            <w:r w:rsidR="00910F4F" w:rsidRPr="00D4309F">
              <w:t>of</w:t>
            </w:r>
            <w:r w:rsidR="00910F4F" w:rsidRPr="00D4309F">
              <w:rPr>
                <w:color w:val="211E1F"/>
              </w:rPr>
              <w:t xml:space="preserve"> shoaling</w:t>
            </w:r>
            <w:r w:rsidR="00910F4F" w:rsidRPr="00D4309F">
              <w:rPr>
                <w:color w:val="211E1F"/>
                <w:spacing w:val="-5"/>
              </w:rPr>
              <w:t xml:space="preserve"> </w:t>
            </w:r>
            <w:r w:rsidR="00910F4F" w:rsidRPr="00D4309F">
              <w:rPr>
                <w:color w:val="211E1F"/>
                <w:spacing w:val="-2"/>
              </w:rPr>
              <w:t>events.</w:t>
            </w:r>
          </w:p>
        </w:tc>
      </w:tr>
      <w:tr w:rsidR="00D34271" w14:paraId="1A670D50" w14:textId="77777777" w:rsidTr="00A02526">
        <w:tc>
          <w:tcPr>
            <w:tcW w:w="851" w:type="dxa"/>
            <w:tcBorders>
              <w:top w:val="single" w:sz="4" w:space="0" w:color="5F6369" w:themeColor="text2"/>
              <w:left w:val="nil"/>
              <w:bottom w:val="single" w:sz="4" w:space="0" w:color="5F6369" w:themeColor="text2"/>
              <w:right w:val="nil"/>
            </w:tcBorders>
          </w:tcPr>
          <w:p w14:paraId="7B9CA019" w14:textId="381FE098" w:rsidR="00D34271" w:rsidRPr="00910F4F" w:rsidRDefault="00D34271" w:rsidP="007644D3">
            <w:pPr>
              <w:pStyle w:val="Table-ListNumber"/>
              <w:rPr>
                <w:lang w:val="en-GB"/>
              </w:rPr>
            </w:pPr>
          </w:p>
        </w:tc>
        <w:tc>
          <w:tcPr>
            <w:tcW w:w="3402" w:type="dxa"/>
          </w:tcPr>
          <w:p w14:paraId="0856908F" w14:textId="77777777" w:rsidR="007644D3" w:rsidRPr="00523DEF" w:rsidRDefault="007644D3" w:rsidP="007644D3">
            <w:pPr>
              <w:pStyle w:val="Table-Text"/>
              <w:rPr>
                <w:lang w:val="en-GB"/>
              </w:rPr>
            </w:pPr>
            <w:r w:rsidRPr="00523DEF">
              <w:rPr>
                <w:lang w:val="en-GB"/>
              </w:rPr>
              <w:t>Order a hydrographic survey to</w:t>
            </w:r>
            <w:r>
              <w:rPr>
                <w:lang w:val="en-GB"/>
              </w:rPr>
              <w:t xml:space="preserve"> </w:t>
            </w:r>
            <w:r w:rsidRPr="00523DEF">
              <w:rPr>
                <w:lang w:val="en-GB"/>
              </w:rPr>
              <w:t>confirm and check web cameras</w:t>
            </w:r>
            <w:r>
              <w:rPr>
                <w:lang w:val="en-GB"/>
              </w:rPr>
              <w:t xml:space="preserve"> </w:t>
            </w:r>
            <w:r w:rsidRPr="00523DEF">
              <w:rPr>
                <w:lang w:val="en-GB"/>
              </w:rPr>
              <w:t>and local user feedback to</w:t>
            </w:r>
            <w:r>
              <w:rPr>
                <w:lang w:val="en-GB"/>
              </w:rPr>
              <w:t xml:space="preserve"> </w:t>
            </w:r>
            <w:r w:rsidRPr="00523DEF">
              <w:rPr>
                <w:lang w:val="en-GB"/>
              </w:rPr>
              <w:t>confirm shoal trend and intensity.</w:t>
            </w:r>
          </w:p>
          <w:p w14:paraId="7BF46775" w14:textId="77777777" w:rsidR="007644D3" w:rsidRPr="00523DEF" w:rsidRDefault="007644D3" w:rsidP="007644D3">
            <w:pPr>
              <w:pStyle w:val="Table-Text"/>
              <w:rPr>
                <w:lang w:val="en-GB"/>
              </w:rPr>
            </w:pPr>
            <w:r w:rsidRPr="00523DEF">
              <w:rPr>
                <w:lang w:val="en-GB"/>
              </w:rPr>
              <w:t>If shoal confirmed. Notice to</w:t>
            </w:r>
          </w:p>
          <w:p w14:paraId="42B6E07C" w14:textId="6A31E578" w:rsidR="00D34271" w:rsidRDefault="007644D3" w:rsidP="007644D3">
            <w:pPr>
              <w:pStyle w:val="Table-Text"/>
              <w:rPr>
                <w:lang w:val="en-GB"/>
              </w:rPr>
            </w:pPr>
            <w:r w:rsidRPr="00523DEF">
              <w:rPr>
                <w:lang w:val="en-GB"/>
              </w:rPr>
              <w:t>Mariners issued.</w:t>
            </w:r>
          </w:p>
        </w:tc>
        <w:tc>
          <w:tcPr>
            <w:tcW w:w="2979" w:type="dxa"/>
            <w:tcBorders>
              <w:top w:val="single" w:sz="4" w:space="0" w:color="5F6369" w:themeColor="text2"/>
              <w:left w:val="nil"/>
              <w:bottom w:val="single" w:sz="4" w:space="0" w:color="5F6369" w:themeColor="text2"/>
              <w:right w:val="nil"/>
            </w:tcBorders>
          </w:tcPr>
          <w:p w14:paraId="7CCEC332" w14:textId="7CAF0D8C" w:rsidR="00D34271" w:rsidRDefault="00D34271" w:rsidP="00D34271">
            <w:pPr>
              <w:pStyle w:val="Table-Text"/>
              <w:rPr>
                <w:lang w:val="en-GB"/>
              </w:rPr>
            </w:pPr>
          </w:p>
        </w:tc>
        <w:tc>
          <w:tcPr>
            <w:tcW w:w="2410" w:type="dxa"/>
            <w:tcBorders>
              <w:top w:val="single" w:sz="4" w:space="0" w:color="5F6369" w:themeColor="text2"/>
              <w:left w:val="nil"/>
              <w:bottom w:val="single" w:sz="4" w:space="0" w:color="5F6369" w:themeColor="text2"/>
              <w:right w:val="nil"/>
            </w:tcBorders>
          </w:tcPr>
          <w:p w14:paraId="23234050" w14:textId="74C54419" w:rsidR="00D34271" w:rsidRDefault="00D34271" w:rsidP="00D34271">
            <w:pPr>
              <w:pStyle w:val="Table-Text"/>
              <w:rPr>
                <w:lang w:val="en-GB"/>
              </w:rPr>
            </w:pPr>
          </w:p>
        </w:tc>
      </w:tr>
      <w:tr w:rsidR="00E5083B" w14:paraId="590D1A3A" w14:textId="77777777" w:rsidTr="00A02526">
        <w:tc>
          <w:tcPr>
            <w:tcW w:w="851" w:type="dxa"/>
            <w:tcBorders>
              <w:top w:val="single" w:sz="4" w:space="0" w:color="5F6369" w:themeColor="text2"/>
              <w:left w:val="nil"/>
              <w:bottom w:val="single" w:sz="4" w:space="0" w:color="5F6369" w:themeColor="text2"/>
              <w:right w:val="nil"/>
            </w:tcBorders>
          </w:tcPr>
          <w:p w14:paraId="089D8A18" w14:textId="22251676" w:rsidR="00E5083B" w:rsidRDefault="00E5083B" w:rsidP="00E5083B">
            <w:pPr>
              <w:pStyle w:val="Table-ListNumber"/>
              <w:rPr>
                <w:lang w:val="en-GB"/>
              </w:rPr>
            </w:pPr>
          </w:p>
        </w:tc>
        <w:tc>
          <w:tcPr>
            <w:tcW w:w="3402" w:type="dxa"/>
          </w:tcPr>
          <w:p w14:paraId="1EC75F49" w14:textId="64CCFC74" w:rsidR="00E5083B" w:rsidRDefault="00E5083B" w:rsidP="00E5083B">
            <w:pPr>
              <w:pStyle w:val="Table-Text"/>
              <w:rPr>
                <w:lang w:val="en-GB"/>
              </w:rPr>
            </w:pPr>
            <w:r w:rsidRPr="00244E4F">
              <w:rPr>
                <w:color w:val="211E1F"/>
              </w:rPr>
              <w:t>Contact</w:t>
            </w:r>
            <w:r w:rsidRPr="00244E4F">
              <w:rPr>
                <w:color w:val="211E1F"/>
                <w:spacing w:val="-13"/>
              </w:rPr>
              <w:t xml:space="preserve"> </w:t>
            </w:r>
            <w:r w:rsidRPr="00244E4F">
              <w:rPr>
                <w:color w:val="211E1F"/>
              </w:rPr>
              <w:t>local</w:t>
            </w:r>
            <w:r w:rsidRPr="00244E4F">
              <w:rPr>
                <w:color w:val="211E1F"/>
                <w:spacing w:val="-12"/>
              </w:rPr>
              <w:t xml:space="preserve"> </w:t>
            </w:r>
            <w:r w:rsidRPr="00244E4F">
              <w:rPr>
                <w:color w:val="211E1F"/>
              </w:rPr>
              <w:t>dredge</w:t>
            </w:r>
            <w:r w:rsidRPr="00244E4F">
              <w:rPr>
                <w:color w:val="211E1F"/>
                <w:spacing w:val="-13"/>
              </w:rPr>
              <w:t xml:space="preserve"> </w:t>
            </w:r>
            <w:r w:rsidRPr="00244E4F">
              <w:rPr>
                <w:color w:val="211E1F"/>
              </w:rPr>
              <w:t>contractor to mobilise.</w:t>
            </w:r>
          </w:p>
        </w:tc>
        <w:tc>
          <w:tcPr>
            <w:tcW w:w="2979" w:type="dxa"/>
            <w:tcBorders>
              <w:top w:val="single" w:sz="4" w:space="0" w:color="5F6369" w:themeColor="text2"/>
              <w:left w:val="nil"/>
              <w:bottom w:val="single" w:sz="4" w:space="0" w:color="5F6369" w:themeColor="text2"/>
              <w:right w:val="nil"/>
            </w:tcBorders>
          </w:tcPr>
          <w:p w14:paraId="097413CF" w14:textId="77777777" w:rsidR="00A02526" w:rsidRPr="00A02526" w:rsidRDefault="00A02526" w:rsidP="00A02526">
            <w:pPr>
              <w:pStyle w:val="Table-Text"/>
              <w:rPr>
                <w:lang w:val="en-GB"/>
              </w:rPr>
            </w:pPr>
            <w:r w:rsidRPr="00A02526">
              <w:rPr>
                <w:lang w:val="en-GB"/>
              </w:rPr>
              <w:t>Community concern with delays in mobilisation of crew – dependant on</w:t>
            </w:r>
          </w:p>
          <w:p w14:paraId="619F3F92" w14:textId="4528A452" w:rsidR="00E5083B" w:rsidRDefault="00A02526" w:rsidP="00A02526">
            <w:pPr>
              <w:pStyle w:val="Table-Text"/>
              <w:rPr>
                <w:lang w:val="en-GB"/>
              </w:rPr>
            </w:pPr>
            <w:r w:rsidRPr="00A02526">
              <w:rPr>
                <w:lang w:val="en-GB"/>
              </w:rPr>
              <w:t>availability.</w:t>
            </w:r>
          </w:p>
        </w:tc>
        <w:tc>
          <w:tcPr>
            <w:tcW w:w="2410" w:type="dxa"/>
            <w:tcBorders>
              <w:top w:val="single" w:sz="4" w:space="0" w:color="5F6369" w:themeColor="text2"/>
              <w:left w:val="nil"/>
              <w:bottom w:val="single" w:sz="4" w:space="0" w:color="5F6369" w:themeColor="text2"/>
              <w:right w:val="nil"/>
            </w:tcBorders>
          </w:tcPr>
          <w:p w14:paraId="3556ABE4" w14:textId="3094E20A" w:rsidR="00E5083B" w:rsidRDefault="00E5083B" w:rsidP="00E5083B">
            <w:pPr>
              <w:pStyle w:val="Table-Text"/>
              <w:rPr>
                <w:lang w:val="en-GB"/>
              </w:rPr>
            </w:pPr>
          </w:p>
        </w:tc>
      </w:tr>
      <w:tr w:rsidR="00E5083B" w14:paraId="0C506B9C" w14:textId="77777777" w:rsidTr="00A02526">
        <w:tc>
          <w:tcPr>
            <w:tcW w:w="851" w:type="dxa"/>
            <w:tcBorders>
              <w:top w:val="single" w:sz="4" w:space="0" w:color="5F6369" w:themeColor="text2"/>
              <w:left w:val="nil"/>
              <w:bottom w:val="single" w:sz="4" w:space="0" w:color="5F6369" w:themeColor="text2"/>
              <w:right w:val="nil"/>
            </w:tcBorders>
          </w:tcPr>
          <w:p w14:paraId="5DB1ADC5" w14:textId="77777777" w:rsidR="00E5083B" w:rsidRDefault="00E5083B" w:rsidP="00E5083B">
            <w:pPr>
              <w:pStyle w:val="Table-ListNumber"/>
              <w:rPr>
                <w:lang w:val="en-GB"/>
              </w:rPr>
            </w:pPr>
          </w:p>
        </w:tc>
        <w:tc>
          <w:tcPr>
            <w:tcW w:w="3402" w:type="dxa"/>
          </w:tcPr>
          <w:p w14:paraId="3D464737" w14:textId="77777777" w:rsidR="00E5083B" w:rsidRDefault="00E5083B" w:rsidP="00E5083B">
            <w:pPr>
              <w:pStyle w:val="Table-Text"/>
              <w:rPr>
                <w:lang w:val="en-GB"/>
              </w:rPr>
            </w:pPr>
            <w:r w:rsidRPr="007644D3">
              <w:rPr>
                <w:lang w:val="en-GB"/>
              </w:rPr>
              <w:t>Undertake Dredge maintenance.</w:t>
            </w:r>
          </w:p>
          <w:p w14:paraId="0464582E" w14:textId="4C26D1BC" w:rsidR="00E5083B" w:rsidRPr="007644D3" w:rsidRDefault="00E5083B" w:rsidP="00E5083B">
            <w:pPr>
              <w:pStyle w:val="Table-Text"/>
              <w:rPr>
                <w:lang w:val="en-GB"/>
              </w:rPr>
            </w:pPr>
            <w:r w:rsidRPr="007644D3">
              <w:rPr>
                <w:lang w:val="en-GB"/>
              </w:rPr>
              <w:t>Hydrograph surveys repeated</w:t>
            </w:r>
            <w:r>
              <w:rPr>
                <w:lang w:val="en-GB"/>
              </w:rPr>
              <w:t xml:space="preserve"> </w:t>
            </w:r>
            <w:r w:rsidRPr="007644D3">
              <w:rPr>
                <w:lang w:val="en-GB"/>
              </w:rPr>
              <w:t>during shoaling event and NTM</w:t>
            </w:r>
            <w:r>
              <w:rPr>
                <w:lang w:val="en-GB"/>
              </w:rPr>
              <w:t xml:space="preserve"> </w:t>
            </w:r>
            <w:r w:rsidRPr="007644D3">
              <w:rPr>
                <w:lang w:val="en-GB"/>
              </w:rPr>
              <w:t>updated as needing until shoal</w:t>
            </w:r>
            <w:r>
              <w:rPr>
                <w:lang w:val="en-GB"/>
              </w:rPr>
              <w:t xml:space="preserve"> </w:t>
            </w:r>
            <w:r w:rsidRPr="007644D3">
              <w:rPr>
                <w:lang w:val="en-GB"/>
              </w:rPr>
              <w:t>cleared.</w:t>
            </w:r>
          </w:p>
        </w:tc>
        <w:tc>
          <w:tcPr>
            <w:tcW w:w="2979" w:type="dxa"/>
            <w:tcBorders>
              <w:top w:val="single" w:sz="4" w:space="0" w:color="5F6369" w:themeColor="text2"/>
              <w:left w:val="nil"/>
              <w:bottom w:val="single" w:sz="4" w:space="0" w:color="5F6369" w:themeColor="text2"/>
              <w:right w:val="nil"/>
            </w:tcBorders>
          </w:tcPr>
          <w:p w14:paraId="1897889F" w14:textId="5F96696A" w:rsidR="00E5083B" w:rsidRDefault="00FD197A" w:rsidP="00E5083B">
            <w:pPr>
              <w:pStyle w:val="Table-Text"/>
              <w:rPr>
                <w:lang w:val="en-GB"/>
              </w:rPr>
            </w:pPr>
            <w:r w:rsidRPr="00244E4F">
              <w:rPr>
                <w:color w:val="211E1F"/>
              </w:rPr>
              <w:t>Works</w:t>
            </w:r>
            <w:r w:rsidRPr="00244E4F">
              <w:rPr>
                <w:color w:val="211E1F"/>
                <w:spacing w:val="-3"/>
              </w:rPr>
              <w:t xml:space="preserve"> </w:t>
            </w:r>
            <w:r w:rsidRPr="00244E4F">
              <w:rPr>
                <w:color w:val="211E1F"/>
              </w:rPr>
              <w:t>only</w:t>
            </w:r>
            <w:r w:rsidRPr="00244E4F">
              <w:rPr>
                <w:color w:val="211E1F"/>
                <w:spacing w:val="-2"/>
              </w:rPr>
              <w:t xml:space="preserve"> </w:t>
            </w:r>
            <w:r w:rsidRPr="00244E4F">
              <w:rPr>
                <w:color w:val="211E1F"/>
              </w:rPr>
              <w:t>within</w:t>
            </w:r>
            <w:r w:rsidRPr="00244E4F">
              <w:rPr>
                <w:color w:val="211E1F"/>
                <w:spacing w:val="-3"/>
              </w:rPr>
              <w:t xml:space="preserve"> </w:t>
            </w:r>
            <w:r w:rsidRPr="00244E4F">
              <w:rPr>
                <w:color w:val="211E1F"/>
              </w:rPr>
              <w:t>safe</w:t>
            </w:r>
            <w:r w:rsidRPr="00244E4F">
              <w:rPr>
                <w:color w:val="211E1F"/>
                <w:spacing w:val="-3"/>
              </w:rPr>
              <w:t xml:space="preserve"> </w:t>
            </w:r>
            <w:r w:rsidRPr="00244E4F">
              <w:rPr>
                <w:color w:val="211E1F"/>
              </w:rPr>
              <w:t>weather</w:t>
            </w:r>
            <w:r w:rsidRPr="00244E4F">
              <w:rPr>
                <w:color w:val="211E1F"/>
                <w:spacing w:val="-2"/>
              </w:rPr>
              <w:t xml:space="preserve"> window</w:t>
            </w:r>
          </w:p>
        </w:tc>
        <w:tc>
          <w:tcPr>
            <w:tcW w:w="2410" w:type="dxa"/>
            <w:tcBorders>
              <w:top w:val="single" w:sz="4" w:space="0" w:color="5F6369" w:themeColor="text2"/>
              <w:left w:val="nil"/>
              <w:bottom w:val="single" w:sz="4" w:space="0" w:color="5F6369" w:themeColor="text2"/>
              <w:right w:val="nil"/>
            </w:tcBorders>
          </w:tcPr>
          <w:p w14:paraId="0861002D" w14:textId="77777777" w:rsidR="00E5083B" w:rsidRDefault="00E5083B" w:rsidP="00E5083B">
            <w:pPr>
              <w:pStyle w:val="Table-Text"/>
              <w:rPr>
                <w:lang w:val="en-GB"/>
              </w:rPr>
            </w:pPr>
          </w:p>
        </w:tc>
      </w:tr>
      <w:tr w:rsidR="00E5083B" w14:paraId="4B873C02" w14:textId="77777777" w:rsidTr="00A02526">
        <w:tc>
          <w:tcPr>
            <w:tcW w:w="851" w:type="dxa"/>
            <w:tcBorders>
              <w:top w:val="single" w:sz="4" w:space="0" w:color="5F6369" w:themeColor="text2"/>
              <w:left w:val="nil"/>
              <w:bottom w:val="single" w:sz="4" w:space="0" w:color="5F6369" w:themeColor="text2"/>
              <w:right w:val="nil"/>
            </w:tcBorders>
          </w:tcPr>
          <w:p w14:paraId="757E128D" w14:textId="401A73AF" w:rsidR="00E5083B" w:rsidRDefault="00E5083B" w:rsidP="00E5083B">
            <w:pPr>
              <w:pStyle w:val="Table-ListNumber"/>
              <w:rPr>
                <w:lang w:val="en-GB"/>
              </w:rPr>
            </w:pPr>
          </w:p>
        </w:tc>
        <w:tc>
          <w:tcPr>
            <w:tcW w:w="3402" w:type="dxa"/>
          </w:tcPr>
          <w:p w14:paraId="009AA104" w14:textId="4B05788D" w:rsidR="00E5083B" w:rsidRDefault="00E5083B" w:rsidP="00E5083B">
            <w:pPr>
              <w:pStyle w:val="Table-Text"/>
              <w:rPr>
                <w:lang w:val="en-GB"/>
              </w:rPr>
            </w:pPr>
            <w:r w:rsidRPr="007644D3">
              <w:rPr>
                <w:lang w:val="en-GB"/>
              </w:rPr>
              <w:t>Sand placed at discretion on</w:t>
            </w:r>
            <w:r>
              <w:rPr>
                <w:lang w:val="en-GB"/>
              </w:rPr>
              <w:t xml:space="preserve"> </w:t>
            </w:r>
            <w:r w:rsidRPr="007644D3">
              <w:rPr>
                <w:lang w:val="en-GB"/>
              </w:rPr>
              <w:t>SCRC</w:t>
            </w:r>
          </w:p>
        </w:tc>
        <w:tc>
          <w:tcPr>
            <w:tcW w:w="2979" w:type="dxa"/>
            <w:tcBorders>
              <w:top w:val="single" w:sz="4" w:space="0" w:color="5F6369" w:themeColor="text2"/>
              <w:left w:val="nil"/>
              <w:bottom w:val="single" w:sz="4" w:space="0" w:color="5F6369" w:themeColor="text2"/>
              <w:right w:val="nil"/>
            </w:tcBorders>
          </w:tcPr>
          <w:p w14:paraId="471FB83F" w14:textId="36B191FC" w:rsidR="00E5083B" w:rsidRDefault="00E5083B" w:rsidP="00E5083B">
            <w:pPr>
              <w:pStyle w:val="Table-Text"/>
              <w:rPr>
                <w:lang w:val="en-GB"/>
              </w:rPr>
            </w:pPr>
            <w:r w:rsidRPr="007644D3">
              <w:rPr>
                <w:lang w:val="en-GB"/>
              </w:rPr>
              <w:t>Potential of sand placed close to</w:t>
            </w:r>
            <w:r>
              <w:rPr>
                <w:lang w:val="en-GB"/>
              </w:rPr>
              <w:t xml:space="preserve"> </w:t>
            </w:r>
            <w:r w:rsidRPr="007644D3">
              <w:rPr>
                <w:lang w:val="en-GB"/>
              </w:rPr>
              <w:t>entrance – potential circulation pattern</w:t>
            </w:r>
            <w:r>
              <w:rPr>
                <w:lang w:val="en-GB"/>
              </w:rPr>
              <w:t xml:space="preserve"> </w:t>
            </w:r>
            <w:r w:rsidRPr="007644D3">
              <w:rPr>
                <w:lang w:val="en-GB"/>
              </w:rPr>
              <w:t>reinterring system?</w:t>
            </w:r>
          </w:p>
        </w:tc>
        <w:tc>
          <w:tcPr>
            <w:tcW w:w="2410" w:type="dxa"/>
            <w:tcBorders>
              <w:top w:val="single" w:sz="4" w:space="0" w:color="5F6369" w:themeColor="text2"/>
              <w:left w:val="nil"/>
              <w:bottom w:val="single" w:sz="4" w:space="0" w:color="5F6369" w:themeColor="text2"/>
              <w:right w:val="nil"/>
            </w:tcBorders>
          </w:tcPr>
          <w:p w14:paraId="26EC1FA8" w14:textId="2F2FA8CC" w:rsidR="00E5083B" w:rsidRDefault="00E5083B" w:rsidP="00E5083B">
            <w:pPr>
              <w:pStyle w:val="Table-Text"/>
              <w:rPr>
                <w:lang w:val="en-GB"/>
              </w:rPr>
            </w:pPr>
            <w:r w:rsidRPr="007644D3">
              <w:rPr>
                <w:lang w:val="en-GB"/>
              </w:rPr>
              <w:t>Further investigation of</w:t>
            </w:r>
            <w:r>
              <w:rPr>
                <w:lang w:val="en-GB"/>
              </w:rPr>
              <w:t xml:space="preserve"> </w:t>
            </w:r>
            <w:r w:rsidRPr="007644D3">
              <w:rPr>
                <w:lang w:val="en-GB"/>
              </w:rPr>
              <w:t>currents along western breakwater, via</w:t>
            </w:r>
            <w:r>
              <w:rPr>
                <w:lang w:val="en-GB"/>
              </w:rPr>
              <w:t xml:space="preserve"> </w:t>
            </w:r>
            <w:r w:rsidRPr="007644D3">
              <w:rPr>
                <w:lang w:val="en-GB"/>
              </w:rPr>
              <w:t>hydrodynamic model</w:t>
            </w:r>
            <w:r>
              <w:rPr>
                <w:lang w:val="en-GB"/>
              </w:rPr>
              <w:t xml:space="preserve"> </w:t>
            </w:r>
            <w:r w:rsidRPr="007644D3">
              <w:rPr>
                <w:lang w:val="en-GB"/>
              </w:rPr>
              <w:t>and/or site-specific</w:t>
            </w:r>
            <w:r>
              <w:rPr>
                <w:lang w:val="en-GB"/>
              </w:rPr>
              <w:t xml:space="preserve"> </w:t>
            </w:r>
            <w:r w:rsidRPr="007644D3">
              <w:rPr>
                <w:lang w:val="en-GB"/>
              </w:rPr>
              <w:t>measurements.</w:t>
            </w:r>
          </w:p>
        </w:tc>
      </w:tr>
      <w:tr w:rsidR="00E5083B" w14:paraId="28143E90" w14:textId="77777777" w:rsidTr="00A02526">
        <w:tc>
          <w:tcPr>
            <w:tcW w:w="851" w:type="dxa"/>
            <w:tcBorders>
              <w:top w:val="single" w:sz="4" w:space="0" w:color="5F6369" w:themeColor="text2"/>
              <w:left w:val="nil"/>
              <w:bottom w:val="single" w:sz="4" w:space="0" w:color="5F6369" w:themeColor="text2"/>
              <w:right w:val="nil"/>
            </w:tcBorders>
          </w:tcPr>
          <w:p w14:paraId="2290F6E5" w14:textId="62A28F1A" w:rsidR="00E5083B" w:rsidRDefault="00E5083B" w:rsidP="00E5083B">
            <w:pPr>
              <w:pStyle w:val="Table-ListNumber"/>
              <w:rPr>
                <w:lang w:val="en-GB"/>
              </w:rPr>
            </w:pPr>
          </w:p>
        </w:tc>
        <w:tc>
          <w:tcPr>
            <w:tcW w:w="3402" w:type="dxa"/>
          </w:tcPr>
          <w:p w14:paraId="2E5C7387" w14:textId="0984C97A" w:rsidR="00E5083B" w:rsidRDefault="00E5083B" w:rsidP="00E5083B">
            <w:pPr>
              <w:pStyle w:val="Table-Text"/>
              <w:rPr>
                <w:lang w:val="en-GB"/>
              </w:rPr>
            </w:pPr>
            <w:r w:rsidRPr="00D4309F">
              <w:rPr>
                <w:color w:val="211E1F"/>
              </w:rPr>
              <w:t>Hydrographic</w:t>
            </w:r>
            <w:r w:rsidRPr="00D4309F">
              <w:rPr>
                <w:color w:val="211E1F"/>
                <w:spacing w:val="-4"/>
              </w:rPr>
              <w:t xml:space="preserve"> </w:t>
            </w:r>
            <w:r w:rsidRPr="00D4309F">
              <w:rPr>
                <w:color w:val="211E1F"/>
              </w:rPr>
              <w:t>survey</w:t>
            </w:r>
            <w:r w:rsidRPr="00D4309F">
              <w:rPr>
                <w:color w:val="211E1F"/>
                <w:spacing w:val="-3"/>
              </w:rPr>
              <w:t xml:space="preserve"> </w:t>
            </w:r>
            <w:r w:rsidRPr="00D4309F">
              <w:rPr>
                <w:color w:val="211E1F"/>
                <w:spacing w:val="-4"/>
              </w:rPr>
              <w:t>done</w:t>
            </w:r>
            <w:r>
              <w:rPr>
                <w:color w:val="211E1F"/>
                <w:spacing w:val="-4"/>
              </w:rPr>
              <w:t xml:space="preserve"> </w:t>
            </w:r>
            <w:r w:rsidRPr="00D4309F">
              <w:rPr>
                <w:color w:val="211E1F"/>
              </w:rPr>
              <w:t>during</w:t>
            </w:r>
            <w:r w:rsidRPr="00D4309F">
              <w:rPr>
                <w:color w:val="211E1F"/>
                <w:spacing w:val="-3"/>
              </w:rPr>
              <w:t xml:space="preserve"> </w:t>
            </w:r>
            <w:r w:rsidRPr="00D4309F">
              <w:rPr>
                <w:color w:val="211E1F"/>
              </w:rPr>
              <w:t>works</w:t>
            </w:r>
            <w:r w:rsidRPr="00D4309F">
              <w:rPr>
                <w:color w:val="211E1F"/>
                <w:spacing w:val="-2"/>
              </w:rPr>
              <w:t xml:space="preserve"> </w:t>
            </w:r>
            <w:r w:rsidRPr="00D4309F">
              <w:rPr>
                <w:color w:val="211E1F"/>
              </w:rPr>
              <w:t>and</w:t>
            </w:r>
            <w:r w:rsidRPr="00D4309F">
              <w:rPr>
                <w:color w:val="211E1F"/>
                <w:spacing w:val="-3"/>
              </w:rPr>
              <w:t xml:space="preserve"> </w:t>
            </w:r>
            <w:r w:rsidRPr="00D4309F">
              <w:rPr>
                <w:color w:val="211E1F"/>
              </w:rPr>
              <w:t>on</w:t>
            </w:r>
            <w:r w:rsidRPr="00D4309F">
              <w:rPr>
                <w:color w:val="211E1F"/>
                <w:spacing w:val="-2"/>
              </w:rPr>
              <w:t xml:space="preserve"> completion</w:t>
            </w:r>
          </w:p>
        </w:tc>
        <w:tc>
          <w:tcPr>
            <w:tcW w:w="2979" w:type="dxa"/>
            <w:tcBorders>
              <w:top w:val="single" w:sz="4" w:space="0" w:color="5F6369" w:themeColor="text2"/>
              <w:left w:val="nil"/>
              <w:bottom w:val="single" w:sz="4" w:space="0" w:color="5F6369" w:themeColor="text2"/>
              <w:right w:val="nil"/>
            </w:tcBorders>
          </w:tcPr>
          <w:p w14:paraId="2BC8CEB2" w14:textId="77777777" w:rsidR="00E5083B" w:rsidRDefault="00E5083B" w:rsidP="00E5083B">
            <w:pPr>
              <w:pStyle w:val="Table-Text"/>
              <w:rPr>
                <w:lang w:val="en-GB"/>
              </w:rPr>
            </w:pPr>
          </w:p>
        </w:tc>
        <w:tc>
          <w:tcPr>
            <w:tcW w:w="2410" w:type="dxa"/>
            <w:tcBorders>
              <w:top w:val="single" w:sz="4" w:space="0" w:color="5F6369" w:themeColor="text2"/>
              <w:left w:val="nil"/>
              <w:bottom w:val="single" w:sz="4" w:space="0" w:color="5F6369" w:themeColor="text2"/>
              <w:right w:val="nil"/>
            </w:tcBorders>
          </w:tcPr>
          <w:p w14:paraId="51AE5589" w14:textId="77777777" w:rsidR="00E5083B" w:rsidRDefault="00E5083B" w:rsidP="00E5083B">
            <w:pPr>
              <w:pStyle w:val="Table-Text"/>
              <w:rPr>
                <w:lang w:val="en-GB"/>
              </w:rPr>
            </w:pPr>
          </w:p>
        </w:tc>
      </w:tr>
      <w:tr w:rsidR="00E5083B" w14:paraId="0F37A937" w14:textId="77777777" w:rsidTr="00A02526">
        <w:tc>
          <w:tcPr>
            <w:tcW w:w="851" w:type="dxa"/>
            <w:tcBorders>
              <w:top w:val="single" w:sz="4" w:space="0" w:color="5F6369" w:themeColor="text2"/>
              <w:left w:val="nil"/>
              <w:bottom w:val="single" w:sz="18" w:space="0" w:color="5F6369" w:themeColor="text2"/>
              <w:right w:val="nil"/>
            </w:tcBorders>
          </w:tcPr>
          <w:p w14:paraId="3A1A3DCA" w14:textId="6379F8FC" w:rsidR="00E5083B" w:rsidRDefault="00E5083B" w:rsidP="00E5083B">
            <w:pPr>
              <w:pStyle w:val="Table-ListNumber"/>
              <w:rPr>
                <w:lang w:val="en-GB"/>
              </w:rPr>
            </w:pPr>
          </w:p>
        </w:tc>
        <w:tc>
          <w:tcPr>
            <w:tcW w:w="3402" w:type="dxa"/>
          </w:tcPr>
          <w:p w14:paraId="6CA6392C" w14:textId="7038BB1F" w:rsidR="00E5083B" w:rsidRDefault="00E5083B" w:rsidP="00E5083B">
            <w:pPr>
              <w:pStyle w:val="Table-Text"/>
              <w:rPr>
                <w:lang w:val="en-GB"/>
              </w:rPr>
            </w:pPr>
            <w:r w:rsidRPr="00D4309F">
              <w:rPr>
                <w:color w:val="211E1F"/>
              </w:rPr>
              <w:t>Dredge</w:t>
            </w:r>
            <w:r w:rsidRPr="00D4309F">
              <w:rPr>
                <w:color w:val="211E1F"/>
                <w:spacing w:val="-3"/>
              </w:rPr>
              <w:t xml:space="preserve"> </w:t>
            </w:r>
            <w:r w:rsidRPr="00D4309F">
              <w:rPr>
                <w:color w:val="211E1F"/>
              </w:rPr>
              <w:t>crew</w:t>
            </w:r>
            <w:r w:rsidRPr="00D4309F">
              <w:rPr>
                <w:color w:val="211E1F"/>
                <w:spacing w:val="-2"/>
              </w:rPr>
              <w:t xml:space="preserve"> demobilised</w:t>
            </w:r>
          </w:p>
        </w:tc>
        <w:tc>
          <w:tcPr>
            <w:tcW w:w="2979" w:type="dxa"/>
            <w:tcBorders>
              <w:top w:val="single" w:sz="4" w:space="0" w:color="5F6369" w:themeColor="text2"/>
              <w:left w:val="nil"/>
              <w:bottom w:val="single" w:sz="18" w:space="0" w:color="5F6369" w:themeColor="text2"/>
              <w:right w:val="nil"/>
            </w:tcBorders>
          </w:tcPr>
          <w:p w14:paraId="1BC152CA" w14:textId="4B6F8AB9" w:rsidR="00E5083B" w:rsidRDefault="00E5083B" w:rsidP="00E5083B">
            <w:pPr>
              <w:pStyle w:val="Table-Text"/>
              <w:rPr>
                <w:lang w:val="en-GB"/>
              </w:rPr>
            </w:pPr>
            <w:r w:rsidRPr="007644D3">
              <w:rPr>
                <w:lang w:val="en-GB"/>
              </w:rPr>
              <w:t>Dredge moored inside the channel</w:t>
            </w:r>
            <w:r>
              <w:rPr>
                <w:lang w:val="en-GB"/>
              </w:rPr>
              <w:t xml:space="preserve"> </w:t>
            </w:r>
            <w:r w:rsidRPr="007644D3">
              <w:rPr>
                <w:lang w:val="en-GB"/>
              </w:rPr>
              <w:t>(unless used on another project)</w:t>
            </w:r>
          </w:p>
        </w:tc>
        <w:tc>
          <w:tcPr>
            <w:tcW w:w="2410" w:type="dxa"/>
            <w:tcBorders>
              <w:top w:val="single" w:sz="4" w:space="0" w:color="5F6369" w:themeColor="text2"/>
              <w:left w:val="nil"/>
              <w:bottom w:val="single" w:sz="18" w:space="0" w:color="5F6369" w:themeColor="text2"/>
              <w:right w:val="nil"/>
            </w:tcBorders>
          </w:tcPr>
          <w:p w14:paraId="6291D224" w14:textId="77777777" w:rsidR="00E5083B" w:rsidRDefault="00E5083B" w:rsidP="00E5083B">
            <w:pPr>
              <w:pStyle w:val="Table-Text"/>
              <w:rPr>
                <w:lang w:val="en-GB"/>
              </w:rPr>
            </w:pPr>
          </w:p>
        </w:tc>
      </w:tr>
    </w:tbl>
    <w:p w14:paraId="75DE876A" w14:textId="77777777" w:rsidR="00F06E88" w:rsidRDefault="00F06E88" w:rsidP="00F06E88">
      <w:pPr>
        <w:pStyle w:val="BodyText"/>
      </w:pPr>
    </w:p>
    <w:p w14:paraId="353FC159" w14:textId="56F7A76B" w:rsidR="00725977" w:rsidRPr="00D4309F" w:rsidRDefault="005A46FB" w:rsidP="00984811">
      <w:pPr>
        <w:pStyle w:val="Heading3"/>
        <w:pageBreakBefore/>
      </w:pPr>
      <w:bookmarkStart w:id="116" w:name="_Toc216699325"/>
      <w:r w:rsidRPr="00D4309F">
        <w:lastRenderedPageBreak/>
        <w:t>Existing</w:t>
      </w:r>
      <w:r w:rsidRPr="00D4309F">
        <w:rPr>
          <w:spacing w:val="-6"/>
        </w:rPr>
        <w:t xml:space="preserve"> </w:t>
      </w:r>
      <w:r w:rsidRPr="00D4309F">
        <w:t>constraints</w:t>
      </w:r>
      <w:bookmarkEnd w:id="116"/>
    </w:p>
    <w:p w14:paraId="69E931AC" w14:textId="77777777" w:rsidR="00725977" w:rsidRPr="00D4309F" w:rsidRDefault="00725977" w:rsidP="00725977">
      <w:pPr>
        <w:pStyle w:val="BodyText"/>
      </w:pPr>
      <w:r w:rsidRPr="00D4309F">
        <w:t>There</w:t>
      </w:r>
      <w:r w:rsidRPr="00D4309F">
        <w:rPr>
          <w:spacing w:val="-3"/>
        </w:rPr>
        <w:t xml:space="preserve"> </w:t>
      </w:r>
      <w:r w:rsidRPr="00D4309F">
        <w:t>are</w:t>
      </w:r>
      <w:r w:rsidRPr="00D4309F">
        <w:rPr>
          <w:spacing w:val="-4"/>
        </w:rPr>
        <w:t xml:space="preserve"> </w:t>
      </w:r>
      <w:r w:rsidRPr="00D4309F">
        <w:t>several</w:t>
      </w:r>
      <w:r w:rsidRPr="00D4309F">
        <w:rPr>
          <w:spacing w:val="-3"/>
        </w:rPr>
        <w:t xml:space="preserve"> </w:t>
      </w:r>
      <w:r w:rsidRPr="00D4309F">
        <w:t>critical</w:t>
      </w:r>
      <w:r w:rsidRPr="00D4309F">
        <w:rPr>
          <w:spacing w:val="-4"/>
        </w:rPr>
        <w:t xml:space="preserve"> </w:t>
      </w:r>
      <w:r w:rsidRPr="00D4309F">
        <w:t>constraints</w:t>
      </w:r>
      <w:r w:rsidRPr="00D4309F">
        <w:rPr>
          <w:spacing w:val="-2"/>
        </w:rPr>
        <w:t xml:space="preserve"> </w:t>
      </w:r>
      <w:r w:rsidRPr="00D4309F">
        <w:t>to</w:t>
      </w:r>
      <w:r w:rsidRPr="00D4309F">
        <w:rPr>
          <w:spacing w:val="-3"/>
        </w:rPr>
        <w:t xml:space="preserve"> </w:t>
      </w:r>
      <w:r w:rsidRPr="00D4309F">
        <w:t>the</w:t>
      </w:r>
      <w:r w:rsidRPr="00D4309F">
        <w:rPr>
          <w:spacing w:val="-3"/>
        </w:rPr>
        <w:t xml:space="preserve"> </w:t>
      </w:r>
      <w:r w:rsidRPr="00D4309F">
        <w:t>current</w:t>
      </w:r>
      <w:r w:rsidRPr="00D4309F">
        <w:rPr>
          <w:spacing w:val="-3"/>
        </w:rPr>
        <w:t xml:space="preserve"> </w:t>
      </w:r>
      <w:r w:rsidRPr="00D4309F">
        <w:t>operational</w:t>
      </w:r>
      <w:r w:rsidRPr="00D4309F">
        <w:rPr>
          <w:spacing w:val="-3"/>
        </w:rPr>
        <w:t xml:space="preserve"> </w:t>
      </w:r>
      <w:r w:rsidRPr="00D4309F">
        <w:t>workflow</w:t>
      </w:r>
      <w:r w:rsidRPr="00D4309F">
        <w:rPr>
          <w:spacing w:val="-2"/>
        </w:rPr>
        <w:t xml:space="preserve"> </w:t>
      </w:r>
      <w:r w:rsidRPr="00D4309F">
        <w:t>for</w:t>
      </w:r>
      <w:r w:rsidRPr="00D4309F">
        <w:rPr>
          <w:spacing w:val="-2"/>
        </w:rPr>
        <w:t xml:space="preserve"> </w:t>
      </w:r>
      <w:r w:rsidRPr="00D4309F">
        <w:t>managing</w:t>
      </w:r>
      <w:r w:rsidRPr="00D4309F">
        <w:rPr>
          <w:spacing w:val="-4"/>
        </w:rPr>
        <w:t xml:space="preserve"> </w:t>
      </w:r>
      <w:r w:rsidRPr="00D4309F">
        <w:t>shoaling</w:t>
      </w:r>
      <w:r w:rsidRPr="00D4309F">
        <w:rPr>
          <w:spacing w:val="-3"/>
        </w:rPr>
        <w:t xml:space="preserve"> </w:t>
      </w:r>
      <w:r w:rsidRPr="00D4309F">
        <w:t>events. These include:</w:t>
      </w:r>
    </w:p>
    <w:p w14:paraId="24F3391D" w14:textId="5698CA75" w:rsidR="00725977" w:rsidRDefault="00725977" w:rsidP="005A46FB">
      <w:pPr>
        <w:pStyle w:val="ListBullet"/>
      </w:pPr>
      <w:r w:rsidRPr="00D4309F">
        <w:rPr>
          <w:b/>
        </w:rPr>
        <w:t>Rapid shoaling</w:t>
      </w:r>
      <w:r w:rsidRPr="00D4309F">
        <w:t>: Shoaling events can occur rapidly, leaving limited time for MSQ to simulate the shoaling</w:t>
      </w:r>
      <w:r w:rsidRPr="00D4309F">
        <w:rPr>
          <w:spacing w:val="-3"/>
        </w:rPr>
        <w:t xml:space="preserve"> </w:t>
      </w:r>
      <w:r w:rsidRPr="00D4309F">
        <w:t>event</w:t>
      </w:r>
      <w:r w:rsidRPr="00D4309F">
        <w:rPr>
          <w:spacing w:val="-3"/>
        </w:rPr>
        <w:t xml:space="preserve"> </w:t>
      </w:r>
      <w:r w:rsidRPr="00D4309F">
        <w:t>model,</w:t>
      </w:r>
      <w:r w:rsidRPr="00D4309F">
        <w:rPr>
          <w:spacing w:val="-3"/>
        </w:rPr>
        <w:t xml:space="preserve"> </w:t>
      </w:r>
      <w:r w:rsidRPr="00D4309F">
        <w:t>survey</w:t>
      </w:r>
      <w:r w:rsidRPr="00D4309F">
        <w:rPr>
          <w:spacing w:val="-2"/>
        </w:rPr>
        <w:t xml:space="preserve"> </w:t>
      </w:r>
      <w:r w:rsidRPr="00D4309F">
        <w:t>the</w:t>
      </w:r>
      <w:r w:rsidRPr="00D4309F">
        <w:rPr>
          <w:spacing w:val="-3"/>
        </w:rPr>
        <w:t xml:space="preserve"> </w:t>
      </w:r>
      <w:r w:rsidRPr="00D4309F">
        <w:t>site,</w:t>
      </w:r>
      <w:r w:rsidRPr="00D4309F">
        <w:rPr>
          <w:spacing w:val="-4"/>
        </w:rPr>
        <w:t xml:space="preserve"> </w:t>
      </w:r>
      <w:r w:rsidRPr="00D4309F">
        <w:t>mobilise</w:t>
      </w:r>
      <w:r w:rsidRPr="00D4309F">
        <w:rPr>
          <w:spacing w:val="-3"/>
        </w:rPr>
        <w:t xml:space="preserve"> </w:t>
      </w:r>
      <w:r w:rsidRPr="00D4309F">
        <w:t>a</w:t>
      </w:r>
      <w:r w:rsidRPr="00D4309F">
        <w:rPr>
          <w:spacing w:val="-3"/>
        </w:rPr>
        <w:t xml:space="preserve"> </w:t>
      </w:r>
      <w:r w:rsidRPr="00D4309F">
        <w:t>dredge</w:t>
      </w:r>
      <w:r w:rsidRPr="00D4309F">
        <w:rPr>
          <w:spacing w:val="-4"/>
        </w:rPr>
        <w:t xml:space="preserve"> </w:t>
      </w:r>
      <w:r w:rsidRPr="00D4309F">
        <w:t>contractor</w:t>
      </w:r>
      <w:r w:rsidRPr="00D4309F">
        <w:rPr>
          <w:spacing w:val="-2"/>
        </w:rPr>
        <w:t xml:space="preserve"> </w:t>
      </w:r>
      <w:r w:rsidRPr="00D4309F">
        <w:t>and</w:t>
      </w:r>
      <w:r w:rsidRPr="00D4309F">
        <w:rPr>
          <w:spacing w:val="-3"/>
        </w:rPr>
        <w:t xml:space="preserve"> </w:t>
      </w:r>
      <w:r w:rsidRPr="00D4309F">
        <w:t>undertake</w:t>
      </w:r>
      <w:r w:rsidRPr="00D4309F">
        <w:rPr>
          <w:spacing w:val="-3"/>
        </w:rPr>
        <w:t xml:space="preserve"> </w:t>
      </w:r>
      <w:r w:rsidRPr="00D4309F">
        <w:t>the</w:t>
      </w:r>
      <w:r w:rsidRPr="00D4309F">
        <w:rPr>
          <w:spacing w:val="-3"/>
        </w:rPr>
        <w:t xml:space="preserve"> </w:t>
      </w:r>
      <w:r w:rsidRPr="00D4309F">
        <w:t>dredge</w:t>
      </w:r>
      <w:r w:rsidRPr="00D4309F">
        <w:rPr>
          <w:spacing w:val="-3"/>
        </w:rPr>
        <w:t xml:space="preserve"> </w:t>
      </w:r>
      <w:r w:rsidRPr="00D4309F">
        <w:t>works.</w:t>
      </w:r>
    </w:p>
    <w:p w14:paraId="21E2D219" w14:textId="77777777" w:rsidR="005A46FB" w:rsidRPr="00D4309F" w:rsidRDefault="005A46FB" w:rsidP="005A46FB">
      <w:pPr>
        <w:pStyle w:val="ListBullet"/>
      </w:pPr>
      <w:r w:rsidRPr="00D4309F">
        <w:rPr>
          <w:b/>
        </w:rPr>
        <w:t>Mobilisation</w:t>
      </w:r>
      <w:r w:rsidRPr="00D4309F">
        <w:t>:</w:t>
      </w:r>
      <w:r w:rsidRPr="00D4309F">
        <w:rPr>
          <w:spacing w:val="-5"/>
        </w:rPr>
        <w:t xml:space="preserve"> </w:t>
      </w:r>
      <w:r w:rsidRPr="00D4309F">
        <w:t>Mobilisation</w:t>
      </w:r>
      <w:r w:rsidRPr="00D4309F">
        <w:rPr>
          <w:spacing w:val="-3"/>
        </w:rPr>
        <w:t xml:space="preserve"> </w:t>
      </w:r>
      <w:r w:rsidRPr="00D4309F">
        <w:t>of</w:t>
      </w:r>
      <w:r w:rsidRPr="00D4309F">
        <w:rPr>
          <w:spacing w:val="-3"/>
        </w:rPr>
        <w:t xml:space="preserve"> </w:t>
      </w:r>
      <w:r w:rsidRPr="00D4309F">
        <w:t>suitable</w:t>
      </w:r>
      <w:r w:rsidRPr="00D4309F">
        <w:rPr>
          <w:spacing w:val="-3"/>
        </w:rPr>
        <w:t xml:space="preserve"> </w:t>
      </w:r>
      <w:r w:rsidRPr="00D4309F">
        <w:t>dredging</w:t>
      </w:r>
      <w:r w:rsidRPr="00D4309F">
        <w:rPr>
          <w:spacing w:val="-3"/>
        </w:rPr>
        <w:t xml:space="preserve"> </w:t>
      </w:r>
      <w:r w:rsidRPr="00D4309F">
        <w:t>equipment</w:t>
      </w:r>
      <w:r w:rsidRPr="00D4309F">
        <w:rPr>
          <w:spacing w:val="-3"/>
        </w:rPr>
        <w:t xml:space="preserve"> </w:t>
      </w:r>
      <w:r w:rsidRPr="00D4309F">
        <w:t>can</w:t>
      </w:r>
      <w:r w:rsidRPr="00D4309F">
        <w:rPr>
          <w:spacing w:val="-3"/>
        </w:rPr>
        <w:t xml:space="preserve"> </w:t>
      </w:r>
      <w:r w:rsidRPr="00D4309F">
        <w:t>take</w:t>
      </w:r>
      <w:r w:rsidRPr="00D4309F">
        <w:rPr>
          <w:spacing w:val="-3"/>
        </w:rPr>
        <w:t xml:space="preserve"> </w:t>
      </w:r>
      <w:r w:rsidRPr="00D4309F">
        <w:t>considerable</w:t>
      </w:r>
      <w:r w:rsidRPr="00D4309F">
        <w:rPr>
          <w:spacing w:val="-3"/>
        </w:rPr>
        <w:t xml:space="preserve"> </w:t>
      </w:r>
      <w:r w:rsidRPr="00D4309F">
        <w:t>time</w:t>
      </w:r>
      <w:r w:rsidRPr="00D4309F">
        <w:rPr>
          <w:spacing w:val="-3"/>
        </w:rPr>
        <w:t xml:space="preserve"> </w:t>
      </w:r>
      <w:r w:rsidRPr="00D4309F">
        <w:t>as</w:t>
      </w:r>
      <w:r w:rsidRPr="00D4309F">
        <w:rPr>
          <w:spacing w:val="-2"/>
        </w:rPr>
        <w:t xml:space="preserve"> </w:t>
      </w:r>
      <w:r w:rsidRPr="00D4309F">
        <w:t>it</w:t>
      </w:r>
      <w:r w:rsidRPr="00D4309F">
        <w:rPr>
          <w:spacing w:val="-3"/>
        </w:rPr>
        <w:t xml:space="preserve"> </w:t>
      </w:r>
      <w:r w:rsidRPr="00D4309F">
        <w:t>is</w:t>
      </w:r>
      <w:r w:rsidRPr="00D4309F">
        <w:rPr>
          <w:spacing w:val="-2"/>
        </w:rPr>
        <w:t xml:space="preserve"> </w:t>
      </w:r>
      <w:r w:rsidRPr="00D4309F">
        <w:t>not</w:t>
      </w:r>
      <w:r w:rsidRPr="00D4309F">
        <w:rPr>
          <w:spacing w:val="-3"/>
        </w:rPr>
        <w:t xml:space="preserve"> </w:t>
      </w:r>
      <w:r w:rsidRPr="00D4309F">
        <w:t>on standby locally and dependent on staff availability and weather.</w:t>
      </w:r>
    </w:p>
    <w:p w14:paraId="15A2C447" w14:textId="00F810F3" w:rsidR="005A46FB" w:rsidRPr="00D4309F" w:rsidRDefault="005A46FB" w:rsidP="005A46FB">
      <w:pPr>
        <w:pStyle w:val="ListBullet"/>
      </w:pPr>
      <w:r w:rsidRPr="00D4309F">
        <w:rPr>
          <w:b/>
        </w:rPr>
        <w:t>Weather</w:t>
      </w:r>
      <w:r w:rsidRPr="00D4309F">
        <w:t>:</w:t>
      </w:r>
      <w:r w:rsidRPr="00D4309F">
        <w:rPr>
          <w:spacing w:val="-5"/>
        </w:rPr>
        <w:t xml:space="preserve"> </w:t>
      </w:r>
      <w:r w:rsidRPr="00D4309F">
        <w:t>Dredging</w:t>
      </w:r>
      <w:r w:rsidRPr="00D4309F">
        <w:rPr>
          <w:spacing w:val="-3"/>
        </w:rPr>
        <w:t xml:space="preserve"> </w:t>
      </w:r>
      <w:r w:rsidRPr="00D4309F">
        <w:t>operations</w:t>
      </w:r>
      <w:r w:rsidRPr="00D4309F">
        <w:rPr>
          <w:spacing w:val="-2"/>
        </w:rPr>
        <w:t xml:space="preserve"> </w:t>
      </w:r>
      <w:r w:rsidRPr="00D4309F">
        <w:t>may</w:t>
      </w:r>
      <w:r w:rsidRPr="00D4309F">
        <w:rPr>
          <w:spacing w:val="-2"/>
        </w:rPr>
        <w:t xml:space="preserve"> </w:t>
      </w:r>
      <w:r w:rsidRPr="00D4309F">
        <w:t>only</w:t>
      </w:r>
      <w:r w:rsidRPr="00D4309F">
        <w:rPr>
          <w:spacing w:val="-3"/>
        </w:rPr>
        <w:t xml:space="preserve"> </w:t>
      </w:r>
      <w:r w:rsidRPr="00D4309F">
        <w:t>be</w:t>
      </w:r>
      <w:r w:rsidRPr="00D4309F">
        <w:rPr>
          <w:spacing w:val="-3"/>
        </w:rPr>
        <w:t xml:space="preserve"> </w:t>
      </w:r>
      <w:r w:rsidRPr="00D4309F">
        <w:t>undertaken</w:t>
      </w:r>
      <w:r w:rsidRPr="00D4309F">
        <w:rPr>
          <w:spacing w:val="-3"/>
        </w:rPr>
        <w:t xml:space="preserve"> </w:t>
      </w:r>
      <w:r w:rsidRPr="00D4309F">
        <w:t>when</w:t>
      </w:r>
      <w:r w:rsidRPr="00D4309F">
        <w:rPr>
          <w:spacing w:val="-3"/>
        </w:rPr>
        <w:t xml:space="preserve"> </w:t>
      </w:r>
      <w:r w:rsidRPr="00D4309F">
        <w:t>safe</w:t>
      </w:r>
      <w:r w:rsidRPr="00D4309F">
        <w:rPr>
          <w:spacing w:val="-3"/>
        </w:rPr>
        <w:t xml:space="preserve"> </w:t>
      </w:r>
      <w:r w:rsidRPr="00D4309F">
        <w:t>to</w:t>
      </w:r>
      <w:r w:rsidRPr="00D4309F">
        <w:rPr>
          <w:spacing w:val="-3"/>
        </w:rPr>
        <w:t xml:space="preserve"> </w:t>
      </w:r>
      <w:r w:rsidRPr="00D4309F">
        <w:t>do</w:t>
      </w:r>
      <w:r w:rsidRPr="00D4309F">
        <w:rPr>
          <w:spacing w:val="-3"/>
        </w:rPr>
        <w:t xml:space="preserve"> </w:t>
      </w:r>
      <w:r w:rsidRPr="00D4309F">
        <w:t>so,</w:t>
      </w:r>
      <w:r w:rsidRPr="00D4309F">
        <w:rPr>
          <w:spacing w:val="-3"/>
        </w:rPr>
        <w:t xml:space="preserve"> </w:t>
      </w:r>
      <w:r w:rsidRPr="00D4309F">
        <w:t>which</w:t>
      </w:r>
      <w:r w:rsidRPr="00D4309F">
        <w:rPr>
          <w:spacing w:val="-3"/>
        </w:rPr>
        <w:t xml:space="preserve"> </w:t>
      </w:r>
      <w:r w:rsidRPr="00D4309F">
        <w:t>requires</w:t>
      </w:r>
      <w:r w:rsidRPr="00D4309F">
        <w:rPr>
          <w:spacing w:val="-2"/>
        </w:rPr>
        <w:t xml:space="preserve"> </w:t>
      </w:r>
      <w:r w:rsidRPr="00D4309F">
        <w:t>a</w:t>
      </w:r>
      <w:r w:rsidRPr="00D4309F">
        <w:rPr>
          <w:spacing w:val="-3"/>
        </w:rPr>
        <w:t xml:space="preserve"> </w:t>
      </w:r>
      <w:r w:rsidRPr="00D4309F">
        <w:t xml:space="preserve">favourable sea state, as shown in </w:t>
      </w:r>
      <w:hyperlink w:anchor="_bookmark52" w:history="1">
        <w:r w:rsidRPr="00D4309F">
          <w:t>Figure 7-1.</w:t>
        </w:r>
      </w:hyperlink>
      <w:r w:rsidRPr="00D4309F">
        <w:t xml:space="preserve"> For the existing cutter suction dredger, this is limited to about Hs of 1.0m. As sand shoal events are contingent on high wave conditions, dredging may be delayed until a substant volume as accumulated.</w:t>
      </w:r>
    </w:p>
    <w:p w14:paraId="20509E4E" w14:textId="77777777" w:rsidR="005A46FB" w:rsidRPr="00D4309F" w:rsidRDefault="005A46FB" w:rsidP="005A46FB">
      <w:pPr>
        <w:pStyle w:val="ListBullet"/>
      </w:pPr>
      <w:r w:rsidRPr="00D4309F">
        <w:rPr>
          <w:b/>
        </w:rPr>
        <w:t>Dredge depths</w:t>
      </w:r>
      <w:r w:rsidRPr="00D4309F">
        <w:t>: Sand thickness above the underlying rock shelf is relatively thin, even when significant sand</w:t>
      </w:r>
      <w:r w:rsidRPr="00D4309F">
        <w:rPr>
          <w:spacing w:val="-2"/>
        </w:rPr>
        <w:t xml:space="preserve"> </w:t>
      </w:r>
      <w:r w:rsidRPr="00D4309F">
        <w:t>shoal</w:t>
      </w:r>
      <w:r w:rsidRPr="00D4309F">
        <w:rPr>
          <w:spacing w:val="-2"/>
        </w:rPr>
        <w:t xml:space="preserve"> </w:t>
      </w:r>
      <w:r w:rsidRPr="00D4309F">
        <w:t>events</w:t>
      </w:r>
      <w:r w:rsidRPr="00D4309F">
        <w:rPr>
          <w:spacing w:val="-1"/>
        </w:rPr>
        <w:t xml:space="preserve"> </w:t>
      </w:r>
      <w:r w:rsidRPr="00D4309F">
        <w:t>have</w:t>
      </w:r>
      <w:r w:rsidRPr="00D4309F">
        <w:rPr>
          <w:spacing w:val="-2"/>
        </w:rPr>
        <w:t xml:space="preserve"> </w:t>
      </w:r>
      <w:r w:rsidRPr="00D4309F">
        <w:t>occurred.</w:t>
      </w:r>
      <w:r w:rsidRPr="00D4309F">
        <w:rPr>
          <w:spacing w:val="-3"/>
        </w:rPr>
        <w:t xml:space="preserve"> </w:t>
      </w:r>
      <w:r w:rsidRPr="00D4309F">
        <w:t>If</w:t>
      </w:r>
      <w:r w:rsidRPr="00D4309F">
        <w:rPr>
          <w:spacing w:val="-2"/>
        </w:rPr>
        <w:t xml:space="preserve"> </w:t>
      </w:r>
      <w:r w:rsidRPr="00D4309F">
        <w:t>dredging</w:t>
      </w:r>
      <w:r w:rsidRPr="00D4309F">
        <w:rPr>
          <w:spacing w:val="-2"/>
        </w:rPr>
        <w:t xml:space="preserve"> </w:t>
      </w:r>
      <w:r w:rsidRPr="00D4309F">
        <w:t>is</w:t>
      </w:r>
      <w:r w:rsidRPr="00D4309F">
        <w:rPr>
          <w:spacing w:val="-1"/>
        </w:rPr>
        <w:t xml:space="preserve"> </w:t>
      </w:r>
      <w:r w:rsidRPr="00D4309F">
        <w:t>undertaken</w:t>
      </w:r>
      <w:r w:rsidRPr="00D4309F">
        <w:rPr>
          <w:spacing w:val="-2"/>
        </w:rPr>
        <w:t xml:space="preserve"> </w:t>
      </w:r>
      <w:r w:rsidRPr="00D4309F">
        <w:t>to</w:t>
      </w:r>
      <w:r w:rsidRPr="00D4309F">
        <w:rPr>
          <w:spacing w:val="-2"/>
        </w:rPr>
        <w:t xml:space="preserve"> </w:t>
      </w:r>
      <w:r w:rsidRPr="00D4309F">
        <w:t>remove</w:t>
      </w:r>
      <w:r w:rsidRPr="00D4309F">
        <w:rPr>
          <w:spacing w:val="-2"/>
        </w:rPr>
        <w:t xml:space="preserve"> </w:t>
      </w:r>
      <w:r w:rsidRPr="00D4309F">
        <w:t>a</w:t>
      </w:r>
      <w:r w:rsidRPr="00D4309F">
        <w:rPr>
          <w:spacing w:val="-3"/>
        </w:rPr>
        <w:t xml:space="preserve"> </w:t>
      </w:r>
      <w:r w:rsidRPr="00D4309F">
        <w:t>sand</w:t>
      </w:r>
      <w:r w:rsidRPr="00D4309F">
        <w:rPr>
          <w:spacing w:val="-2"/>
        </w:rPr>
        <w:t xml:space="preserve"> </w:t>
      </w:r>
      <w:r w:rsidRPr="00D4309F">
        <w:t>shoal,</w:t>
      </w:r>
      <w:r w:rsidRPr="00D4309F">
        <w:rPr>
          <w:spacing w:val="-2"/>
        </w:rPr>
        <w:t xml:space="preserve"> </w:t>
      </w:r>
      <w:r w:rsidRPr="00D4309F">
        <w:t>the</w:t>
      </w:r>
      <w:r w:rsidRPr="00D4309F">
        <w:rPr>
          <w:spacing w:val="-2"/>
        </w:rPr>
        <w:t xml:space="preserve"> </w:t>
      </w:r>
      <w:r w:rsidRPr="00D4309F">
        <w:t>site</w:t>
      </w:r>
      <w:r w:rsidRPr="00D4309F">
        <w:rPr>
          <w:spacing w:val="-2"/>
        </w:rPr>
        <w:t xml:space="preserve"> </w:t>
      </w:r>
      <w:r w:rsidRPr="00D4309F">
        <w:t>may</w:t>
      </w:r>
      <w:r w:rsidRPr="00D4309F">
        <w:rPr>
          <w:spacing w:val="-1"/>
        </w:rPr>
        <w:t xml:space="preserve"> </w:t>
      </w:r>
      <w:r w:rsidRPr="00D4309F">
        <w:t>rapidly infill if shoaling event conditions persist. Weather conditions favourable for sand shoal events can continue for on-going periods of time.</w:t>
      </w:r>
    </w:p>
    <w:p w14:paraId="4FD5C6E4" w14:textId="766B14EA" w:rsidR="005A46FB" w:rsidRDefault="005A46FB" w:rsidP="005A46FB">
      <w:pPr>
        <w:pStyle w:val="ListBullet"/>
      </w:pPr>
      <w:r w:rsidRPr="00D4309F">
        <w:rPr>
          <w:b/>
        </w:rPr>
        <w:t>Approvals</w:t>
      </w:r>
      <w:r w:rsidRPr="00D4309F">
        <w:t>:</w:t>
      </w:r>
      <w:r w:rsidRPr="00D4309F">
        <w:rPr>
          <w:spacing w:val="-4"/>
        </w:rPr>
        <w:t xml:space="preserve"> </w:t>
      </w:r>
      <w:r w:rsidRPr="00D4309F">
        <w:t>Current</w:t>
      </w:r>
      <w:r w:rsidRPr="00D4309F">
        <w:rPr>
          <w:spacing w:val="-3"/>
        </w:rPr>
        <w:t xml:space="preserve"> </w:t>
      </w:r>
      <w:r w:rsidRPr="00D4309F">
        <w:t>dredging</w:t>
      </w:r>
      <w:r w:rsidRPr="00D4309F">
        <w:rPr>
          <w:spacing w:val="-3"/>
        </w:rPr>
        <w:t xml:space="preserve"> </w:t>
      </w:r>
      <w:r w:rsidRPr="00D4309F">
        <w:t>approvals</w:t>
      </w:r>
      <w:r w:rsidRPr="00D4309F">
        <w:rPr>
          <w:spacing w:val="-2"/>
        </w:rPr>
        <w:t xml:space="preserve"> </w:t>
      </w:r>
      <w:r w:rsidRPr="00D4309F">
        <w:t>are</w:t>
      </w:r>
      <w:r w:rsidRPr="00D4309F">
        <w:rPr>
          <w:spacing w:val="-3"/>
        </w:rPr>
        <w:t xml:space="preserve"> </w:t>
      </w:r>
      <w:r w:rsidRPr="00D4309F">
        <w:t>for</w:t>
      </w:r>
      <w:r w:rsidRPr="00D4309F">
        <w:rPr>
          <w:spacing w:val="-2"/>
        </w:rPr>
        <w:t xml:space="preserve"> </w:t>
      </w:r>
      <w:r w:rsidRPr="00D4309F">
        <w:t>ongoing</w:t>
      </w:r>
      <w:r w:rsidRPr="00D4309F">
        <w:rPr>
          <w:spacing w:val="-3"/>
        </w:rPr>
        <w:t xml:space="preserve"> </w:t>
      </w:r>
      <w:r w:rsidRPr="00D4309F">
        <w:t>maintenance</w:t>
      </w:r>
      <w:r w:rsidRPr="00D4309F">
        <w:rPr>
          <w:spacing w:val="-3"/>
        </w:rPr>
        <w:t xml:space="preserve"> </w:t>
      </w:r>
      <w:r w:rsidRPr="00D4309F">
        <w:t>works</w:t>
      </w:r>
      <w:r w:rsidRPr="00D4309F">
        <w:rPr>
          <w:spacing w:val="-2"/>
        </w:rPr>
        <w:t xml:space="preserve"> </w:t>
      </w:r>
      <w:r w:rsidRPr="00D4309F">
        <w:t>only</w:t>
      </w:r>
      <w:r w:rsidRPr="00D4309F">
        <w:rPr>
          <w:spacing w:val="-2"/>
        </w:rPr>
        <w:t xml:space="preserve"> </w:t>
      </w:r>
      <w:r w:rsidRPr="00D4309F">
        <w:t>and</w:t>
      </w:r>
      <w:r w:rsidRPr="00D4309F">
        <w:rPr>
          <w:spacing w:val="-3"/>
        </w:rPr>
        <w:t xml:space="preserve"> </w:t>
      </w:r>
      <w:r w:rsidRPr="00D4309F">
        <w:t>relate</w:t>
      </w:r>
      <w:r w:rsidRPr="00D4309F">
        <w:rPr>
          <w:spacing w:val="-4"/>
        </w:rPr>
        <w:t xml:space="preserve"> </w:t>
      </w:r>
      <w:r w:rsidRPr="00D4309F">
        <w:t>to</w:t>
      </w:r>
      <w:r w:rsidRPr="00D4309F">
        <w:rPr>
          <w:spacing w:val="-3"/>
        </w:rPr>
        <w:t xml:space="preserve"> </w:t>
      </w:r>
      <w:r w:rsidRPr="00D4309F">
        <w:t>sand extraction only. No capital works are permitted.</w:t>
      </w:r>
    </w:p>
    <w:p w14:paraId="0F022BBC" w14:textId="77777777" w:rsidR="005906AD" w:rsidRPr="00D4309F" w:rsidRDefault="005906AD" w:rsidP="005906AD">
      <w:pPr>
        <w:pStyle w:val="BodyText"/>
      </w:pPr>
    </w:p>
    <w:p w14:paraId="00A500B0" w14:textId="381E3431" w:rsidR="00725977" w:rsidRDefault="00725977" w:rsidP="005906AD">
      <w:pPr>
        <w:pStyle w:val="BodyText"/>
        <w:jc w:val="center"/>
      </w:pPr>
      <w:r w:rsidRPr="005A46FB">
        <w:rPr>
          <w:noProof/>
        </w:rPr>
        <w:drawing>
          <wp:inline distT="0" distB="0" distL="0" distR="0" wp14:anchorId="55B7749F" wp14:editId="6AAE5AF8">
            <wp:extent cx="4678962" cy="2944844"/>
            <wp:effectExtent l="0" t="0" r="7620" b="8255"/>
            <wp:docPr id="38" name="Image 38" descr="Graph that shows an example of the Mooloolaba dredging windows compared to wave conditions between 16 July 2010 and 29 August 2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descr="Graph that shows an example of the Mooloolaba dredging windows compared to wave conditions between 16 July 2010 and 29 August 201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678962" cy="2944844"/>
                    </a:xfrm>
                    <a:prstGeom prst="rect">
                      <a:avLst/>
                    </a:prstGeom>
                  </pic:spPr>
                </pic:pic>
              </a:graphicData>
            </a:graphic>
          </wp:inline>
        </w:drawing>
      </w:r>
      <w:bookmarkStart w:id="117" w:name="_bookmark52"/>
      <w:bookmarkEnd w:id="117"/>
    </w:p>
    <w:p w14:paraId="37DDA4E2" w14:textId="5D520487" w:rsidR="005906AD" w:rsidRDefault="005906AD" w:rsidP="005906AD">
      <w:pPr>
        <w:pStyle w:val="Caption"/>
        <w:jc w:val="center"/>
        <w:rPr>
          <w:color w:val="211E1F"/>
          <w:spacing w:val="-2"/>
        </w:rPr>
      </w:pPr>
      <w:bookmarkStart w:id="118" w:name="_Toc216699602"/>
      <w:r>
        <w:t xml:space="preserve">Figure </w:t>
      </w:r>
      <w:r w:rsidR="00B538D4">
        <w:fldChar w:fldCharType="begin" w:fldLock="1"/>
      </w:r>
      <w:r w:rsidR="00B538D4">
        <w:instrText xml:space="preserve"> STYLEREF 1 \s </w:instrText>
      </w:r>
      <w:r w:rsidR="00B538D4">
        <w:fldChar w:fldCharType="separate"/>
      </w:r>
      <w:r w:rsidR="00B538D4">
        <w:rPr>
          <w:noProof/>
        </w:rPr>
        <w:t>7</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1</w:t>
      </w:r>
      <w:r w:rsidR="00B538D4">
        <w:fldChar w:fldCharType="end"/>
      </w:r>
      <w:r>
        <w:t>:</w:t>
      </w:r>
      <w:r>
        <w:tab/>
      </w:r>
      <w:r w:rsidRPr="00D4309F">
        <w:rPr>
          <w:color w:val="211E1F"/>
        </w:rPr>
        <w:t>Example</w:t>
      </w:r>
      <w:r w:rsidRPr="00D4309F">
        <w:rPr>
          <w:color w:val="211E1F"/>
          <w:spacing w:val="-6"/>
        </w:rPr>
        <w:t xml:space="preserve"> </w:t>
      </w:r>
      <w:r w:rsidRPr="00D4309F">
        <w:rPr>
          <w:color w:val="211E1F"/>
        </w:rPr>
        <w:t>of</w:t>
      </w:r>
      <w:r w:rsidRPr="00D4309F">
        <w:rPr>
          <w:color w:val="211E1F"/>
          <w:spacing w:val="-2"/>
        </w:rPr>
        <w:t xml:space="preserve"> </w:t>
      </w:r>
      <w:r w:rsidRPr="00D4309F">
        <w:rPr>
          <w:color w:val="211E1F"/>
        </w:rPr>
        <w:t>Mooloolaba</w:t>
      </w:r>
      <w:r w:rsidRPr="00D4309F">
        <w:rPr>
          <w:color w:val="211E1F"/>
          <w:spacing w:val="-3"/>
        </w:rPr>
        <w:t xml:space="preserve"> </w:t>
      </w:r>
      <w:r w:rsidRPr="00D4309F">
        <w:rPr>
          <w:color w:val="211E1F"/>
        </w:rPr>
        <w:t>dredging</w:t>
      </w:r>
      <w:r w:rsidRPr="00D4309F">
        <w:rPr>
          <w:color w:val="211E1F"/>
          <w:spacing w:val="-2"/>
        </w:rPr>
        <w:t xml:space="preserve"> </w:t>
      </w:r>
      <w:r w:rsidRPr="00D4309F">
        <w:rPr>
          <w:color w:val="211E1F"/>
        </w:rPr>
        <w:t>windows</w:t>
      </w:r>
      <w:r w:rsidRPr="00D4309F">
        <w:rPr>
          <w:color w:val="211E1F"/>
          <w:spacing w:val="-4"/>
        </w:rPr>
        <w:t xml:space="preserve"> </w:t>
      </w:r>
      <w:r w:rsidRPr="00D4309F">
        <w:rPr>
          <w:color w:val="211E1F"/>
        </w:rPr>
        <w:t>compared</w:t>
      </w:r>
      <w:r w:rsidRPr="00D4309F">
        <w:rPr>
          <w:color w:val="211E1F"/>
          <w:spacing w:val="-2"/>
        </w:rPr>
        <w:t xml:space="preserve"> </w:t>
      </w:r>
      <w:r w:rsidRPr="00D4309F">
        <w:rPr>
          <w:color w:val="211E1F"/>
        </w:rPr>
        <w:t>to</w:t>
      </w:r>
      <w:r w:rsidRPr="00D4309F">
        <w:rPr>
          <w:color w:val="211E1F"/>
          <w:spacing w:val="-2"/>
        </w:rPr>
        <w:t xml:space="preserve"> </w:t>
      </w:r>
      <w:r w:rsidRPr="00D4309F">
        <w:rPr>
          <w:color w:val="211E1F"/>
        </w:rPr>
        <w:t>wave</w:t>
      </w:r>
      <w:r w:rsidRPr="00D4309F">
        <w:rPr>
          <w:color w:val="211E1F"/>
          <w:spacing w:val="-3"/>
        </w:rPr>
        <w:t xml:space="preserve"> </w:t>
      </w:r>
      <w:r w:rsidRPr="00D4309F">
        <w:rPr>
          <w:color w:val="211E1F"/>
          <w:spacing w:val="-2"/>
        </w:rPr>
        <w:t>conditions</w:t>
      </w:r>
      <w:bookmarkEnd w:id="118"/>
    </w:p>
    <w:p w14:paraId="1DDA5A9B" w14:textId="77777777" w:rsidR="00F06E88" w:rsidRPr="00F06E88" w:rsidRDefault="00F06E88" w:rsidP="00F06E88">
      <w:pPr>
        <w:pStyle w:val="BodyText"/>
      </w:pPr>
    </w:p>
    <w:p w14:paraId="55181CA1" w14:textId="77777777" w:rsidR="00725977" w:rsidRPr="00D4309F" w:rsidRDefault="00725977" w:rsidP="004426B8">
      <w:pPr>
        <w:pStyle w:val="Heading2"/>
      </w:pPr>
      <w:bookmarkStart w:id="119" w:name="_bookmark53"/>
      <w:bookmarkStart w:id="120" w:name="_Toc216699326"/>
      <w:bookmarkEnd w:id="119"/>
      <w:r w:rsidRPr="00D4309F">
        <w:t>Notices</w:t>
      </w:r>
      <w:r w:rsidRPr="00D4309F">
        <w:rPr>
          <w:spacing w:val="-8"/>
        </w:rPr>
        <w:t xml:space="preserve"> </w:t>
      </w:r>
      <w:r w:rsidRPr="00D4309F">
        <w:t>to</w:t>
      </w:r>
      <w:r w:rsidRPr="00D4309F">
        <w:rPr>
          <w:spacing w:val="-9"/>
        </w:rPr>
        <w:t xml:space="preserve"> </w:t>
      </w:r>
      <w:r w:rsidRPr="00D4309F">
        <w:rPr>
          <w:spacing w:val="-2"/>
        </w:rPr>
        <w:t>mariners</w:t>
      </w:r>
      <w:bookmarkEnd w:id="120"/>
    </w:p>
    <w:p w14:paraId="183FE892" w14:textId="402EBD9D" w:rsidR="00F06E88" w:rsidRPr="00DA1200" w:rsidRDefault="00725977" w:rsidP="00725977">
      <w:pPr>
        <w:pStyle w:val="BodyText"/>
        <w:rPr>
          <w:spacing w:val="-2"/>
        </w:rPr>
      </w:pPr>
      <w:r w:rsidRPr="00D4309F">
        <w:t>The</w:t>
      </w:r>
      <w:r w:rsidRPr="00D4309F">
        <w:rPr>
          <w:spacing w:val="-6"/>
        </w:rPr>
        <w:t xml:space="preserve"> </w:t>
      </w:r>
      <w:r w:rsidRPr="00D4309F">
        <w:t>following</w:t>
      </w:r>
      <w:r w:rsidRPr="00D4309F">
        <w:rPr>
          <w:spacing w:val="-4"/>
        </w:rPr>
        <w:t xml:space="preserve"> </w:t>
      </w:r>
      <w:r w:rsidRPr="00D4309F">
        <w:t>outlines</w:t>
      </w:r>
      <w:r w:rsidRPr="00D4309F">
        <w:rPr>
          <w:spacing w:val="-3"/>
        </w:rPr>
        <w:t xml:space="preserve"> </w:t>
      </w:r>
      <w:r w:rsidRPr="00D4309F">
        <w:t>the</w:t>
      </w:r>
      <w:r w:rsidRPr="00D4309F">
        <w:rPr>
          <w:spacing w:val="-4"/>
        </w:rPr>
        <w:t xml:space="preserve"> </w:t>
      </w:r>
      <w:r w:rsidRPr="00D4309F">
        <w:t>process</w:t>
      </w:r>
      <w:r w:rsidRPr="00D4309F">
        <w:rPr>
          <w:spacing w:val="-3"/>
        </w:rPr>
        <w:t xml:space="preserve"> </w:t>
      </w:r>
      <w:r w:rsidRPr="00D4309F">
        <w:t>undertaken</w:t>
      </w:r>
      <w:r w:rsidRPr="00D4309F">
        <w:rPr>
          <w:spacing w:val="-3"/>
        </w:rPr>
        <w:t xml:space="preserve"> </w:t>
      </w:r>
      <w:r w:rsidRPr="00D4309F">
        <w:t>by</w:t>
      </w:r>
      <w:r w:rsidRPr="00D4309F">
        <w:rPr>
          <w:spacing w:val="-3"/>
        </w:rPr>
        <w:t xml:space="preserve"> </w:t>
      </w:r>
      <w:r w:rsidRPr="00D4309F">
        <w:t>MSQ</w:t>
      </w:r>
      <w:r w:rsidRPr="00D4309F">
        <w:rPr>
          <w:spacing w:val="-3"/>
        </w:rPr>
        <w:t xml:space="preserve"> </w:t>
      </w:r>
      <w:r w:rsidRPr="00D4309F">
        <w:t>to</w:t>
      </w:r>
      <w:r w:rsidRPr="00D4309F">
        <w:rPr>
          <w:spacing w:val="-4"/>
        </w:rPr>
        <w:t xml:space="preserve"> </w:t>
      </w:r>
      <w:r w:rsidRPr="00D4309F">
        <w:t>issue</w:t>
      </w:r>
      <w:r w:rsidRPr="00D4309F">
        <w:rPr>
          <w:spacing w:val="-3"/>
        </w:rPr>
        <w:t xml:space="preserve"> </w:t>
      </w:r>
      <w:r w:rsidRPr="00D4309F">
        <w:t>a</w:t>
      </w:r>
      <w:r w:rsidRPr="00D4309F">
        <w:rPr>
          <w:spacing w:val="-4"/>
        </w:rPr>
        <w:t xml:space="preserve"> </w:t>
      </w:r>
      <w:r w:rsidRPr="00D4309F">
        <w:t>Notice</w:t>
      </w:r>
      <w:r w:rsidRPr="00D4309F">
        <w:rPr>
          <w:spacing w:val="-3"/>
        </w:rPr>
        <w:t xml:space="preserve"> </w:t>
      </w:r>
      <w:r w:rsidRPr="00D4309F">
        <w:t>to</w:t>
      </w:r>
      <w:r w:rsidRPr="00D4309F">
        <w:rPr>
          <w:spacing w:val="-4"/>
        </w:rPr>
        <w:t xml:space="preserve"> </w:t>
      </w:r>
      <w:r w:rsidRPr="00D4309F">
        <w:t>Mariners</w:t>
      </w:r>
      <w:r w:rsidRPr="00D4309F">
        <w:rPr>
          <w:spacing w:val="-2"/>
        </w:rPr>
        <w:t xml:space="preserve"> (NtM).</w:t>
      </w:r>
    </w:p>
    <w:p w14:paraId="5E90C1D3" w14:textId="77777777" w:rsidR="00725977" w:rsidRPr="00D4309F" w:rsidRDefault="00725977" w:rsidP="005906AD">
      <w:pPr>
        <w:pStyle w:val="Heading3-nonumber"/>
      </w:pPr>
      <w:bookmarkStart w:id="121" w:name="_Toc216699327"/>
      <w:r w:rsidRPr="00D4309F">
        <w:t>Identifying</w:t>
      </w:r>
      <w:r w:rsidRPr="00D4309F">
        <w:rPr>
          <w:spacing w:val="-3"/>
        </w:rPr>
        <w:t xml:space="preserve"> </w:t>
      </w:r>
      <w:r w:rsidRPr="003C54C1">
        <w:t>the</w:t>
      </w:r>
      <w:r w:rsidRPr="003C54C1">
        <w:rPr>
          <w:spacing w:val="-4"/>
        </w:rPr>
        <w:t xml:space="preserve"> </w:t>
      </w:r>
      <w:r w:rsidRPr="003C54C1">
        <w:t>need</w:t>
      </w:r>
      <w:r w:rsidRPr="003C54C1">
        <w:rPr>
          <w:spacing w:val="-2"/>
        </w:rPr>
        <w:t xml:space="preserve"> </w:t>
      </w:r>
      <w:r w:rsidRPr="003C54C1">
        <w:t>for</w:t>
      </w:r>
      <w:r w:rsidRPr="003C54C1">
        <w:rPr>
          <w:spacing w:val="-3"/>
        </w:rPr>
        <w:t xml:space="preserve"> </w:t>
      </w:r>
      <w:r w:rsidRPr="003C54C1">
        <w:t>an</w:t>
      </w:r>
      <w:r w:rsidRPr="003C54C1">
        <w:rPr>
          <w:spacing w:val="-3"/>
        </w:rPr>
        <w:t xml:space="preserve"> </w:t>
      </w:r>
      <w:r w:rsidRPr="003C54C1">
        <w:rPr>
          <w:spacing w:val="-5"/>
        </w:rPr>
        <w:t>NtM</w:t>
      </w:r>
      <w:bookmarkEnd w:id="121"/>
    </w:p>
    <w:p w14:paraId="726891E4" w14:textId="77777777" w:rsidR="00725977" w:rsidRPr="00D4309F" w:rsidRDefault="00725977" w:rsidP="00725977">
      <w:pPr>
        <w:pStyle w:val="BodyText"/>
      </w:pPr>
      <w:r w:rsidRPr="00D4309F">
        <w:t>The</w:t>
      </w:r>
      <w:r w:rsidRPr="00D4309F">
        <w:rPr>
          <w:spacing w:val="-6"/>
        </w:rPr>
        <w:t xml:space="preserve"> </w:t>
      </w:r>
      <w:r w:rsidRPr="00D4309F">
        <w:t>process</w:t>
      </w:r>
      <w:r w:rsidRPr="00D4309F">
        <w:rPr>
          <w:spacing w:val="-3"/>
        </w:rPr>
        <w:t xml:space="preserve"> </w:t>
      </w:r>
      <w:r w:rsidRPr="00D4309F">
        <w:t>starts</w:t>
      </w:r>
      <w:r w:rsidRPr="00D4309F">
        <w:rPr>
          <w:spacing w:val="-2"/>
        </w:rPr>
        <w:t xml:space="preserve"> </w:t>
      </w:r>
      <w:r w:rsidRPr="00D4309F">
        <w:t>with</w:t>
      </w:r>
      <w:r w:rsidRPr="00D4309F">
        <w:rPr>
          <w:spacing w:val="-4"/>
        </w:rPr>
        <w:t xml:space="preserve"> </w:t>
      </w:r>
      <w:r w:rsidRPr="00D4309F">
        <w:t>identifying</w:t>
      </w:r>
      <w:r w:rsidRPr="00D4309F">
        <w:rPr>
          <w:spacing w:val="-3"/>
        </w:rPr>
        <w:t xml:space="preserve"> </w:t>
      </w:r>
      <w:r w:rsidRPr="00D4309F">
        <w:t>whether</w:t>
      </w:r>
      <w:r w:rsidRPr="00D4309F">
        <w:rPr>
          <w:spacing w:val="-2"/>
        </w:rPr>
        <w:t xml:space="preserve"> </w:t>
      </w:r>
      <w:r w:rsidRPr="00D4309F">
        <w:t>there’s</w:t>
      </w:r>
      <w:r w:rsidRPr="00D4309F">
        <w:rPr>
          <w:spacing w:val="-3"/>
        </w:rPr>
        <w:t xml:space="preserve"> </w:t>
      </w:r>
      <w:r w:rsidRPr="00D4309F">
        <w:t>a</w:t>
      </w:r>
      <w:r w:rsidRPr="00D4309F">
        <w:rPr>
          <w:spacing w:val="-3"/>
        </w:rPr>
        <w:t xml:space="preserve"> </w:t>
      </w:r>
      <w:r w:rsidRPr="00D4309F">
        <w:t>need</w:t>
      </w:r>
      <w:r w:rsidRPr="00D4309F">
        <w:rPr>
          <w:spacing w:val="-3"/>
        </w:rPr>
        <w:t xml:space="preserve"> </w:t>
      </w:r>
      <w:r w:rsidRPr="00D4309F">
        <w:t>for</w:t>
      </w:r>
      <w:r w:rsidRPr="00D4309F">
        <w:rPr>
          <w:spacing w:val="-3"/>
        </w:rPr>
        <w:t xml:space="preserve"> </w:t>
      </w:r>
      <w:r w:rsidRPr="00D4309F">
        <w:t>an</w:t>
      </w:r>
      <w:r w:rsidRPr="00D4309F">
        <w:rPr>
          <w:spacing w:val="-4"/>
        </w:rPr>
        <w:t xml:space="preserve"> </w:t>
      </w:r>
      <w:r w:rsidRPr="00D4309F">
        <w:t>NtM.</w:t>
      </w:r>
      <w:r w:rsidRPr="00D4309F">
        <w:rPr>
          <w:spacing w:val="-3"/>
        </w:rPr>
        <w:t xml:space="preserve"> </w:t>
      </w:r>
      <w:r w:rsidRPr="00D4309F">
        <w:t>This</w:t>
      </w:r>
      <w:r w:rsidRPr="00D4309F">
        <w:rPr>
          <w:spacing w:val="-2"/>
        </w:rPr>
        <w:t xml:space="preserve"> </w:t>
      </w:r>
      <w:r w:rsidRPr="00D4309F">
        <w:t>can</w:t>
      </w:r>
      <w:r w:rsidRPr="00D4309F">
        <w:rPr>
          <w:spacing w:val="-4"/>
        </w:rPr>
        <w:t xml:space="preserve"> </w:t>
      </w:r>
      <w:r w:rsidRPr="00D4309F">
        <w:t>happen</w:t>
      </w:r>
      <w:r w:rsidRPr="00D4309F">
        <w:rPr>
          <w:spacing w:val="-3"/>
        </w:rPr>
        <w:t xml:space="preserve"> </w:t>
      </w:r>
      <w:r w:rsidRPr="00D4309F">
        <w:t>in</w:t>
      </w:r>
      <w:r w:rsidRPr="00D4309F">
        <w:rPr>
          <w:spacing w:val="-3"/>
        </w:rPr>
        <w:t xml:space="preserve"> </w:t>
      </w:r>
      <w:r w:rsidRPr="00D4309F">
        <w:t>several</w:t>
      </w:r>
      <w:r w:rsidRPr="00D4309F">
        <w:rPr>
          <w:spacing w:val="-3"/>
        </w:rPr>
        <w:t xml:space="preserve"> </w:t>
      </w:r>
      <w:r w:rsidRPr="00D4309F">
        <w:rPr>
          <w:spacing w:val="-2"/>
        </w:rPr>
        <w:t>ways:</w:t>
      </w:r>
    </w:p>
    <w:p w14:paraId="30B1DAA7" w14:textId="77777777" w:rsidR="00725977" w:rsidRPr="00D4309F" w:rsidRDefault="00725977" w:rsidP="005A46FB">
      <w:pPr>
        <w:pStyle w:val="ListBullet"/>
      </w:pPr>
      <w:r w:rsidRPr="00D4309F">
        <w:rPr>
          <w:b/>
        </w:rPr>
        <w:t>Monitoring</w:t>
      </w:r>
      <w:r w:rsidRPr="00D4309F">
        <w:rPr>
          <w:b/>
          <w:spacing w:val="-3"/>
        </w:rPr>
        <w:t xml:space="preserve"> </w:t>
      </w:r>
      <w:r w:rsidRPr="00D4309F">
        <w:rPr>
          <w:b/>
        </w:rPr>
        <w:t>shoaling</w:t>
      </w:r>
      <w:r w:rsidRPr="00D4309F">
        <w:rPr>
          <w:b/>
          <w:spacing w:val="-3"/>
        </w:rPr>
        <w:t xml:space="preserve"> </w:t>
      </w:r>
      <w:r w:rsidRPr="00D4309F">
        <w:rPr>
          <w:b/>
        </w:rPr>
        <w:t>events</w:t>
      </w:r>
      <w:r w:rsidRPr="00D4309F">
        <w:t>:</w:t>
      </w:r>
      <w:r w:rsidRPr="00D4309F">
        <w:rPr>
          <w:spacing w:val="-3"/>
        </w:rPr>
        <w:t xml:space="preserve"> </w:t>
      </w:r>
      <w:r w:rsidRPr="00D4309F">
        <w:t>Regular</w:t>
      </w:r>
      <w:r w:rsidRPr="00D4309F">
        <w:rPr>
          <w:spacing w:val="-2"/>
        </w:rPr>
        <w:t xml:space="preserve"> </w:t>
      </w:r>
      <w:r w:rsidRPr="00D4309F">
        <w:t>checks</w:t>
      </w:r>
      <w:r w:rsidRPr="00D4309F">
        <w:rPr>
          <w:spacing w:val="-2"/>
        </w:rPr>
        <w:t xml:space="preserve"> </w:t>
      </w:r>
      <w:r w:rsidRPr="00D4309F">
        <w:t>of</w:t>
      </w:r>
      <w:r w:rsidRPr="00D4309F">
        <w:rPr>
          <w:spacing w:val="-3"/>
        </w:rPr>
        <w:t xml:space="preserve"> </w:t>
      </w:r>
      <w:r w:rsidRPr="00D4309F">
        <w:t>the</w:t>
      </w:r>
      <w:r w:rsidRPr="00D4309F">
        <w:rPr>
          <w:spacing w:val="-3"/>
        </w:rPr>
        <w:t xml:space="preserve"> </w:t>
      </w:r>
      <w:r w:rsidRPr="00D4309F">
        <w:t>bar,</w:t>
      </w:r>
      <w:r w:rsidRPr="00D4309F">
        <w:rPr>
          <w:spacing w:val="-3"/>
        </w:rPr>
        <w:t xml:space="preserve"> </w:t>
      </w:r>
      <w:r w:rsidRPr="00D4309F">
        <w:t>especially</w:t>
      </w:r>
      <w:r w:rsidRPr="00D4309F">
        <w:rPr>
          <w:spacing w:val="-2"/>
        </w:rPr>
        <w:t xml:space="preserve"> </w:t>
      </w:r>
      <w:r w:rsidRPr="00D4309F">
        <w:t>after</w:t>
      </w:r>
      <w:r w:rsidRPr="00D4309F">
        <w:rPr>
          <w:spacing w:val="-2"/>
        </w:rPr>
        <w:t xml:space="preserve"> </w:t>
      </w:r>
      <w:r w:rsidRPr="00D4309F">
        <w:t>weather</w:t>
      </w:r>
      <w:r w:rsidRPr="00D4309F">
        <w:rPr>
          <w:spacing w:val="-2"/>
        </w:rPr>
        <w:t xml:space="preserve"> </w:t>
      </w:r>
      <w:r w:rsidRPr="00D4309F">
        <w:t>events,</w:t>
      </w:r>
      <w:r w:rsidRPr="00D4309F">
        <w:rPr>
          <w:spacing w:val="-3"/>
        </w:rPr>
        <w:t xml:space="preserve"> </w:t>
      </w:r>
      <w:r w:rsidRPr="00D4309F">
        <w:t>to</w:t>
      </w:r>
      <w:r w:rsidRPr="00D4309F">
        <w:rPr>
          <w:spacing w:val="-4"/>
        </w:rPr>
        <w:t xml:space="preserve"> </w:t>
      </w:r>
      <w:r w:rsidRPr="00D4309F">
        <w:t>detect shoaling or other changes.</w:t>
      </w:r>
    </w:p>
    <w:p w14:paraId="321E1834" w14:textId="0BE95263" w:rsidR="00725977" w:rsidRPr="00D4309F" w:rsidRDefault="00725977" w:rsidP="005A46FB">
      <w:pPr>
        <w:pStyle w:val="ListBullet"/>
      </w:pPr>
      <w:r w:rsidRPr="00D4309F">
        <w:rPr>
          <w:b/>
        </w:rPr>
        <w:lastRenderedPageBreak/>
        <w:t>Reports</w:t>
      </w:r>
      <w:r w:rsidRPr="00D4309F">
        <w:rPr>
          <w:b/>
          <w:spacing w:val="-4"/>
        </w:rPr>
        <w:t xml:space="preserve"> </w:t>
      </w:r>
      <w:r w:rsidRPr="00D4309F">
        <w:rPr>
          <w:b/>
        </w:rPr>
        <w:t>from</w:t>
      </w:r>
      <w:r w:rsidRPr="00D4309F">
        <w:rPr>
          <w:b/>
          <w:spacing w:val="-2"/>
        </w:rPr>
        <w:t xml:space="preserve"> </w:t>
      </w:r>
      <w:r w:rsidRPr="00D4309F">
        <w:rPr>
          <w:b/>
        </w:rPr>
        <w:t>stakeholders</w:t>
      </w:r>
      <w:r w:rsidRPr="00D4309F">
        <w:t>:</w:t>
      </w:r>
      <w:r w:rsidRPr="00D4309F">
        <w:rPr>
          <w:spacing w:val="-3"/>
        </w:rPr>
        <w:t xml:space="preserve"> </w:t>
      </w:r>
      <w:r w:rsidRPr="00D4309F">
        <w:t>Information</w:t>
      </w:r>
      <w:r w:rsidRPr="00D4309F">
        <w:rPr>
          <w:spacing w:val="-3"/>
        </w:rPr>
        <w:t xml:space="preserve"> </w:t>
      </w:r>
      <w:r w:rsidRPr="00D4309F">
        <w:t>from</w:t>
      </w:r>
      <w:r w:rsidRPr="00D4309F">
        <w:rPr>
          <w:spacing w:val="-3"/>
        </w:rPr>
        <w:t xml:space="preserve"> </w:t>
      </w:r>
      <w:r w:rsidRPr="00D4309F">
        <w:t>the</w:t>
      </w:r>
      <w:r w:rsidRPr="00D4309F">
        <w:rPr>
          <w:spacing w:val="-3"/>
        </w:rPr>
        <w:t xml:space="preserve"> </w:t>
      </w:r>
      <w:r w:rsidRPr="00D4309F">
        <w:t>Coast</w:t>
      </w:r>
      <w:r w:rsidRPr="00D4309F">
        <w:rPr>
          <w:spacing w:val="-3"/>
        </w:rPr>
        <w:t xml:space="preserve"> </w:t>
      </w:r>
      <w:r w:rsidRPr="00D4309F">
        <w:t>Guard,</w:t>
      </w:r>
      <w:r w:rsidRPr="00D4309F">
        <w:rPr>
          <w:spacing w:val="-5"/>
        </w:rPr>
        <w:t xml:space="preserve"> </w:t>
      </w:r>
      <w:r w:rsidRPr="00D4309F">
        <w:t>commercial</w:t>
      </w:r>
      <w:r w:rsidRPr="00D4309F">
        <w:rPr>
          <w:spacing w:val="-3"/>
        </w:rPr>
        <w:t xml:space="preserve"> </w:t>
      </w:r>
      <w:r w:rsidRPr="00D4309F">
        <w:t>operators,</w:t>
      </w:r>
      <w:r w:rsidRPr="00D4309F">
        <w:rPr>
          <w:spacing w:val="-3"/>
        </w:rPr>
        <w:t xml:space="preserve"> </w:t>
      </w:r>
      <w:r w:rsidRPr="00D4309F">
        <w:t>Water</w:t>
      </w:r>
      <w:r w:rsidRPr="00D4309F">
        <w:rPr>
          <w:spacing w:val="-2"/>
        </w:rPr>
        <w:t xml:space="preserve"> </w:t>
      </w:r>
      <w:r w:rsidRPr="00D4309F">
        <w:t>Police</w:t>
      </w:r>
      <w:r w:rsidR="00BD0AA2">
        <w:t xml:space="preserve">, Pilot </w:t>
      </w:r>
      <w:r w:rsidR="00B747DC">
        <w:t>vessels</w:t>
      </w:r>
      <w:r w:rsidRPr="00D4309F">
        <w:t>,</w:t>
      </w:r>
      <w:r w:rsidRPr="00D4309F">
        <w:rPr>
          <w:spacing w:val="-3"/>
        </w:rPr>
        <w:t xml:space="preserve"> </w:t>
      </w:r>
      <w:r w:rsidRPr="00D4309F">
        <w:t>or Marine Officers about changes in the bar’s condition.</w:t>
      </w:r>
    </w:p>
    <w:p w14:paraId="47934D12" w14:textId="77777777" w:rsidR="00725977" w:rsidRPr="00D4309F" w:rsidRDefault="00725977" w:rsidP="005A46FB">
      <w:pPr>
        <w:pStyle w:val="ListBullet"/>
      </w:pPr>
      <w:r w:rsidRPr="00D4309F">
        <w:rPr>
          <w:b/>
        </w:rPr>
        <w:t>Predictions</w:t>
      </w:r>
      <w:r w:rsidRPr="00D4309F">
        <w:t>:</w:t>
      </w:r>
      <w:r w:rsidRPr="00D4309F">
        <w:rPr>
          <w:spacing w:val="-5"/>
        </w:rPr>
        <w:t xml:space="preserve"> </w:t>
      </w:r>
      <w:r w:rsidRPr="00D4309F">
        <w:t>Anticipating</w:t>
      </w:r>
      <w:r w:rsidRPr="00D4309F">
        <w:rPr>
          <w:spacing w:val="-3"/>
        </w:rPr>
        <w:t xml:space="preserve"> </w:t>
      </w:r>
      <w:r w:rsidRPr="00D4309F">
        <w:t>issues</w:t>
      </w:r>
      <w:r w:rsidRPr="00D4309F">
        <w:rPr>
          <w:spacing w:val="-2"/>
        </w:rPr>
        <w:t xml:space="preserve"> </w:t>
      </w:r>
      <w:r w:rsidRPr="00D4309F">
        <w:t>based</w:t>
      </w:r>
      <w:r w:rsidRPr="00D4309F">
        <w:rPr>
          <w:spacing w:val="-4"/>
        </w:rPr>
        <w:t xml:space="preserve"> </w:t>
      </w:r>
      <w:r w:rsidRPr="00D4309F">
        <w:t>on</w:t>
      </w:r>
      <w:r w:rsidRPr="00D4309F">
        <w:rPr>
          <w:spacing w:val="-3"/>
        </w:rPr>
        <w:t xml:space="preserve"> </w:t>
      </w:r>
      <w:r w:rsidRPr="00D4309F">
        <w:t>weather</w:t>
      </w:r>
      <w:r w:rsidRPr="00D4309F">
        <w:rPr>
          <w:spacing w:val="-2"/>
        </w:rPr>
        <w:t xml:space="preserve"> </w:t>
      </w:r>
      <w:r w:rsidRPr="00D4309F">
        <w:t>forecasts</w:t>
      </w:r>
      <w:r w:rsidRPr="00D4309F">
        <w:rPr>
          <w:spacing w:val="-2"/>
        </w:rPr>
        <w:t xml:space="preserve"> </w:t>
      </w:r>
      <w:r w:rsidRPr="00D4309F">
        <w:t>or</w:t>
      </w:r>
      <w:r w:rsidRPr="00D4309F">
        <w:rPr>
          <w:spacing w:val="-2"/>
        </w:rPr>
        <w:t xml:space="preserve"> </w:t>
      </w:r>
      <w:r w:rsidRPr="00D4309F">
        <w:t>other</w:t>
      </w:r>
      <w:r w:rsidRPr="00D4309F">
        <w:rPr>
          <w:spacing w:val="-2"/>
        </w:rPr>
        <w:t xml:space="preserve"> </w:t>
      </w:r>
      <w:r w:rsidRPr="00D4309F">
        <w:t>data</w:t>
      </w:r>
      <w:r w:rsidRPr="00D4309F">
        <w:rPr>
          <w:spacing w:val="-3"/>
        </w:rPr>
        <w:t xml:space="preserve"> </w:t>
      </w:r>
      <w:r w:rsidRPr="00D4309F">
        <w:t>provided</w:t>
      </w:r>
      <w:r w:rsidRPr="00D4309F">
        <w:rPr>
          <w:spacing w:val="-3"/>
        </w:rPr>
        <w:t xml:space="preserve"> </w:t>
      </w:r>
      <w:r w:rsidRPr="00D4309F">
        <w:t>by</w:t>
      </w:r>
      <w:r w:rsidRPr="00D4309F">
        <w:rPr>
          <w:spacing w:val="-3"/>
        </w:rPr>
        <w:t xml:space="preserve"> </w:t>
      </w:r>
      <w:r w:rsidRPr="00D4309F">
        <w:t>Maritime</w:t>
      </w:r>
      <w:r w:rsidRPr="00D4309F">
        <w:rPr>
          <w:spacing w:val="-3"/>
        </w:rPr>
        <w:t xml:space="preserve"> </w:t>
      </w:r>
      <w:r w:rsidRPr="00D4309F">
        <w:t>Asset Infrastructure (MAI).</w:t>
      </w:r>
    </w:p>
    <w:p w14:paraId="17B03A14" w14:textId="5D7E3B8F" w:rsidR="00F06E88" w:rsidRDefault="00725977" w:rsidP="00725977">
      <w:pPr>
        <w:pStyle w:val="BodyText"/>
        <w:rPr>
          <w:spacing w:val="-2"/>
        </w:rPr>
      </w:pPr>
      <w:r w:rsidRPr="00D4309F">
        <w:t>At</w:t>
      </w:r>
      <w:r w:rsidRPr="00D4309F">
        <w:rPr>
          <w:spacing w:val="-6"/>
        </w:rPr>
        <w:t xml:space="preserve"> </w:t>
      </w:r>
      <w:r w:rsidRPr="00D4309F">
        <w:t>this</w:t>
      </w:r>
      <w:r w:rsidRPr="00D4309F">
        <w:rPr>
          <w:spacing w:val="-2"/>
        </w:rPr>
        <w:t xml:space="preserve"> </w:t>
      </w:r>
      <w:r w:rsidRPr="00D4309F">
        <w:t>stage,</w:t>
      </w:r>
      <w:r w:rsidRPr="00D4309F">
        <w:rPr>
          <w:spacing w:val="-3"/>
        </w:rPr>
        <w:t xml:space="preserve"> </w:t>
      </w:r>
      <w:r w:rsidRPr="00D4309F">
        <w:t>we’re</w:t>
      </w:r>
      <w:r w:rsidRPr="00D4309F">
        <w:rPr>
          <w:spacing w:val="-3"/>
        </w:rPr>
        <w:t xml:space="preserve"> </w:t>
      </w:r>
      <w:r w:rsidRPr="00D4309F">
        <w:t>looking</w:t>
      </w:r>
      <w:r w:rsidRPr="00D4309F">
        <w:rPr>
          <w:spacing w:val="-4"/>
        </w:rPr>
        <w:t xml:space="preserve"> </w:t>
      </w:r>
      <w:r w:rsidRPr="00D4309F">
        <w:t>for</w:t>
      </w:r>
      <w:r w:rsidRPr="00D4309F">
        <w:rPr>
          <w:spacing w:val="-2"/>
        </w:rPr>
        <w:t xml:space="preserve"> </w:t>
      </w:r>
      <w:r w:rsidRPr="00D4309F">
        <w:t>anything</w:t>
      </w:r>
      <w:r w:rsidRPr="00D4309F">
        <w:rPr>
          <w:spacing w:val="-3"/>
        </w:rPr>
        <w:t xml:space="preserve"> </w:t>
      </w:r>
      <w:r w:rsidRPr="00D4309F">
        <w:t>that</w:t>
      </w:r>
      <w:r w:rsidRPr="00D4309F">
        <w:rPr>
          <w:spacing w:val="-4"/>
        </w:rPr>
        <w:t xml:space="preserve"> </w:t>
      </w:r>
      <w:r w:rsidRPr="00D4309F">
        <w:t>could</w:t>
      </w:r>
      <w:r w:rsidRPr="00D4309F">
        <w:rPr>
          <w:spacing w:val="-3"/>
        </w:rPr>
        <w:t xml:space="preserve"> </w:t>
      </w:r>
      <w:r w:rsidRPr="00D4309F">
        <w:t>make</w:t>
      </w:r>
      <w:r w:rsidRPr="00D4309F">
        <w:rPr>
          <w:spacing w:val="-3"/>
        </w:rPr>
        <w:t xml:space="preserve"> </w:t>
      </w:r>
      <w:r w:rsidRPr="00D4309F">
        <w:t>the</w:t>
      </w:r>
      <w:r w:rsidRPr="00D4309F">
        <w:rPr>
          <w:spacing w:val="-3"/>
        </w:rPr>
        <w:t xml:space="preserve"> </w:t>
      </w:r>
      <w:r w:rsidRPr="00D4309F">
        <w:t>bar</w:t>
      </w:r>
      <w:r w:rsidRPr="00D4309F">
        <w:rPr>
          <w:spacing w:val="-2"/>
        </w:rPr>
        <w:t xml:space="preserve"> </w:t>
      </w:r>
      <w:r w:rsidRPr="00D4309F">
        <w:t>unsafe</w:t>
      </w:r>
      <w:r w:rsidRPr="00D4309F">
        <w:rPr>
          <w:spacing w:val="-3"/>
        </w:rPr>
        <w:t xml:space="preserve"> </w:t>
      </w:r>
      <w:r w:rsidRPr="00D4309F">
        <w:t>or</w:t>
      </w:r>
      <w:r w:rsidRPr="00D4309F">
        <w:rPr>
          <w:spacing w:val="-4"/>
        </w:rPr>
        <w:t xml:space="preserve"> </w:t>
      </w:r>
      <w:r w:rsidRPr="00D4309F">
        <w:t>difficult</w:t>
      </w:r>
      <w:r w:rsidRPr="00D4309F">
        <w:rPr>
          <w:spacing w:val="-3"/>
        </w:rPr>
        <w:t xml:space="preserve"> </w:t>
      </w:r>
      <w:r w:rsidRPr="00D4309F">
        <w:t>to</w:t>
      </w:r>
      <w:r w:rsidRPr="00D4309F">
        <w:rPr>
          <w:spacing w:val="-3"/>
        </w:rPr>
        <w:t xml:space="preserve"> </w:t>
      </w:r>
      <w:r w:rsidRPr="00D4309F">
        <w:rPr>
          <w:spacing w:val="-2"/>
        </w:rPr>
        <w:t>navigate</w:t>
      </w:r>
      <w:r w:rsidR="00984811">
        <w:rPr>
          <w:spacing w:val="-2"/>
        </w:rPr>
        <w:t>.</w:t>
      </w:r>
    </w:p>
    <w:p w14:paraId="5D53A8DF" w14:textId="77777777" w:rsidR="00725977" w:rsidRPr="00581BEA" w:rsidRDefault="00725977" w:rsidP="005906AD">
      <w:pPr>
        <w:pStyle w:val="Heading3-nonumber"/>
      </w:pPr>
      <w:bookmarkStart w:id="122" w:name="_Toc216699328"/>
      <w:r w:rsidRPr="00D4309F">
        <w:t>Requesting</w:t>
      </w:r>
      <w:r w:rsidRPr="00D4309F">
        <w:rPr>
          <w:spacing w:val="-5"/>
        </w:rPr>
        <w:t xml:space="preserve"> </w:t>
      </w:r>
      <w:r w:rsidRPr="00581BEA">
        <w:t>a</w:t>
      </w:r>
      <w:r w:rsidRPr="00581BEA">
        <w:rPr>
          <w:spacing w:val="-5"/>
        </w:rPr>
        <w:t xml:space="preserve"> </w:t>
      </w:r>
      <w:r w:rsidRPr="00581BEA">
        <w:t>hydrographic</w:t>
      </w:r>
      <w:r w:rsidRPr="00581BEA">
        <w:rPr>
          <w:spacing w:val="-5"/>
        </w:rPr>
        <w:t xml:space="preserve"> </w:t>
      </w:r>
      <w:r w:rsidRPr="00581BEA">
        <w:rPr>
          <w:spacing w:val="-2"/>
        </w:rPr>
        <w:t>survey</w:t>
      </w:r>
      <w:bookmarkEnd w:id="122"/>
    </w:p>
    <w:p w14:paraId="6D826C3E" w14:textId="77777777" w:rsidR="00725977" w:rsidRPr="00D4309F" w:rsidRDefault="00725977" w:rsidP="00725977">
      <w:pPr>
        <w:pStyle w:val="BodyText"/>
      </w:pPr>
      <w:r w:rsidRPr="00D4309F">
        <w:t>If</w:t>
      </w:r>
      <w:r w:rsidRPr="00D4309F">
        <w:rPr>
          <w:spacing w:val="-2"/>
        </w:rPr>
        <w:t xml:space="preserve"> </w:t>
      </w:r>
      <w:r w:rsidRPr="00D4309F">
        <w:t>MSQ</w:t>
      </w:r>
      <w:r w:rsidRPr="00D4309F">
        <w:rPr>
          <w:spacing w:val="-2"/>
        </w:rPr>
        <w:t xml:space="preserve"> </w:t>
      </w:r>
      <w:r w:rsidRPr="00D4309F">
        <w:t>suspect</w:t>
      </w:r>
      <w:r w:rsidRPr="00D4309F">
        <w:rPr>
          <w:spacing w:val="-2"/>
        </w:rPr>
        <w:t xml:space="preserve"> </w:t>
      </w:r>
      <w:r w:rsidRPr="00D4309F">
        <w:t>there’s</w:t>
      </w:r>
      <w:r w:rsidRPr="00D4309F">
        <w:rPr>
          <w:spacing w:val="-1"/>
        </w:rPr>
        <w:t xml:space="preserve"> </w:t>
      </w:r>
      <w:r w:rsidRPr="00D4309F">
        <w:t>an</w:t>
      </w:r>
      <w:r w:rsidRPr="00D4309F">
        <w:rPr>
          <w:spacing w:val="-2"/>
        </w:rPr>
        <w:t xml:space="preserve"> </w:t>
      </w:r>
      <w:r w:rsidRPr="00D4309F">
        <w:t>issue,</w:t>
      </w:r>
      <w:r w:rsidRPr="00D4309F">
        <w:rPr>
          <w:spacing w:val="-3"/>
        </w:rPr>
        <w:t xml:space="preserve"> </w:t>
      </w:r>
      <w:r w:rsidRPr="00D4309F">
        <w:t>MSQ</w:t>
      </w:r>
      <w:r w:rsidRPr="00D4309F">
        <w:rPr>
          <w:spacing w:val="-2"/>
        </w:rPr>
        <w:t xml:space="preserve"> </w:t>
      </w:r>
      <w:r w:rsidRPr="00D4309F">
        <w:t>or</w:t>
      </w:r>
      <w:r w:rsidRPr="00D4309F">
        <w:rPr>
          <w:spacing w:val="-3"/>
        </w:rPr>
        <w:t xml:space="preserve"> </w:t>
      </w:r>
      <w:r w:rsidRPr="00D4309F">
        <w:t>MAI</w:t>
      </w:r>
      <w:r w:rsidRPr="00D4309F">
        <w:rPr>
          <w:spacing w:val="-2"/>
        </w:rPr>
        <w:t xml:space="preserve"> </w:t>
      </w:r>
      <w:r w:rsidRPr="00D4309F">
        <w:t>request</w:t>
      </w:r>
      <w:r w:rsidRPr="00D4309F">
        <w:rPr>
          <w:spacing w:val="-2"/>
        </w:rPr>
        <w:t xml:space="preserve"> </w:t>
      </w:r>
      <w:r w:rsidRPr="00D4309F">
        <w:t>a</w:t>
      </w:r>
      <w:r w:rsidRPr="00D4309F">
        <w:rPr>
          <w:spacing w:val="-2"/>
        </w:rPr>
        <w:t xml:space="preserve"> </w:t>
      </w:r>
      <w:r w:rsidRPr="00D4309F">
        <w:t>hydrographic</w:t>
      </w:r>
      <w:r w:rsidRPr="00D4309F">
        <w:rPr>
          <w:spacing w:val="-1"/>
        </w:rPr>
        <w:t xml:space="preserve"> </w:t>
      </w:r>
      <w:r w:rsidRPr="00D4309F">
        <w:t>survey</w:t>
      </w:r>
      <w:r w:rsidRPr="00D4309F">
        <w:rPr>
          <w:spacing w:val="-1"/>
        </w:rPr>
        <w:t xml:space="preserve"> </w:t>
      </w:r>
      <w:r w:rsidRPr="00D4309F">
        <w:t>to</w:t>
      </w:r>
      <w:r w:rsidRPr="00D4309F">
        <w:rPr>
          <w:spacing w:val="-2"/>
        </w:rPr>
        <w:t xml:space="preserve"> </w:t>
      </w:r>
      <w:r w:rsidRPr="00D4309F">
        <w:t>confirm</w:t>
      </w:r>
      <w:r w:rsidRPr="00D4309F">
        <w:rPr>
          <w:spacing w:val="-2"/>
        </w:rPr>
        <w:t xml:space="preserve"> </w:t>
      </w:r>
      <w:r w:rsidRPr="00D4309F">
        <w:t>the</w:t>
      </w:r>
      <w:r w:rsidRPr="00D4309F">
        <w:rPr>
          <w:spacing w:val="-2"/>
        </w:rPr>
        <w:t xml:space="preserve"> </w:t>
      </w:r>
      <w:r w:rsidRPr="00D4309F">
        <w:t>bar’s</w:t>
      </w:r>
      <w:r w:rsidRPr="00D4309F">
        <w:rPr>
          <w:spacing w:val="-2"/>
        </w:rPr>
        <w:t xml:space="preserve"> </w:t>
      </w:r>
      <w:r w:rsidRPr="00D4309F">
        <w:t>condition. This involves:</w:t>
      </w:r>
    </w:p>
    <w:p w14:paraId="3F7F82AE" w14:textId="77777777" w:rsidR="00725977" w:rsidRPr="00D4309F" w:rsidRDefault="00725977" w:rsidP="00D27F26">
      <w:pPr>
        <w:pStyle w:val="ListNumber"/>
        <w:numPr>
          <w:ilvl w:val="0"/>
          <w:numId w:val="482"/>
        </w:numPr>
      </w:pPr>
      <w:r w:rsidRPr="00D4309F">
        <w:t>Consulting</w:t>
      </w:r>
      <w:r w:rsidRPr="005A46FB">
        <w:rPr>
          <w:spacing w:val="-4"/>
        </w:rPr>
        <w:t xml:space="preserve"> </w:t>
      </w:r>
      <w:r w:rsidRPr="00D4309F">
        <w:t>with</w:t>
      </w:r>
      <w:r w:rsidRPr="005A46FB">
        <w:rPr>
          <w:spacing w:val="-3"/>
        </w:rPr>
        <w:t xml:space="preserve"> </w:t>
      </w:r>
      <w:r w:rsidRPr="00D4309F">
        <w:t>the</w:t>
      </w:r>
      <w:r w:rsidRPr="005A46FB">
        <w:rPr>
          <w:spacing w:val="-4"/>
        </w:rPr>
        <w:t xml:space="preserve"> </w:t>
      </w:r>
      <w:r w:rsidRPr="00D4309F">
        <w:t>MAI</w:t>
      </w:r>
      <w:r w:rsidRPr="005A46FB">
        <w:rPr>
          <w:spacing w:val="-3"/>
        </w:rPr>
        <w:t xml:space="preserve"> </w:t>
      </w:r>
      <w:r w:rsidRPr="00D4309F">
        <w:t>team,</w:t>
      </w:r>
      <w:r w:rsidRPr="005A46FB">
        <w:rPr>
          <w:spacing w:val="-4"/>
        </w:rPr>
        <w:t xml:space="preserve"> </w:t>
      </w:r>
      <w:r w:rsidRPr="00D4309F">
        <w:t>who</w:t>
      </w:r>
      <w:r w:rsidRPr="005A46FB">
        <w:rPr>
          <w:spacing w:val="-3"/>
        </w:rPr>
        <w:t xml:space="preserve"> </w:t>
      </w:r>
      <w:r w:rsidRPr="00D4309F">
        <w:t>manage</w:t>
      </w:r>
      <w:r w:rsidRPr="005A46FB">
        <w:rPr>
          <w:spacing w:val="-4"/>
        </w:rPr>
        <w:t xml:space="preserve"> </w:t>
      </w:r>
      <w:r w:rsidRPr="00D4309F">
        <w:t>the</w:t>
      </w:r>
      <w:r w:rsidRPr="005A46FB">
        <w:rPr>
          <w:spacing w:val="-3"/>
        </w:rPr>
        <w:t xml:space="preserve"> </w:t>
      </w:r>
      <w:r w:rsidRPr="005A46FB">
        <w:rPr>
          <w:spacing w:val="-4"/>
        </w:rPr>
        <w:t>bar.</w:t>
      </w:r>
    </w:p>
    <w:p w14:paraId="19C5264E" w14:textId="77777777" w:rsidR="00725977" w:rsidRPr="00D4309F" w:rsidRDefault="00725977" w:rsidP="00D27F26">
      <w:pPr>
        <w:pStyle w:val="ListNumber"/>
        <w:numPr>
          <w:ilvl w:val="0"/>
          <w:numId w:val="482"/>
        </w:numPr>
      </w:pPr>
      <w:r w:rsidRPr="00D4309F">
        <w:t>Scheduling</w:t>
      </w:r>
      <w:r w:rsidRPr="005A46FB">
        <w:rPr>
          <w:spacing w:val="-6"/>
        </w:rPr>
        <w:t xml:space="preserve"> </w:t>
      </w:r>
      <w:r w:rsidRPr="00D4309F">
        <w:t>the</w:t>
      </w:r>
      <w:r w:rsidRPr="005A46FB">
        <w:rPr>
          <w:spacing w:val="-4"/>
        </w:rPr>
        <w:t xml:space="preserve"> </w:t>
      </w:r>
      <w:r w:rsidRPr="00D4309F">
        <w:t>survey</w:t>
      </w:r>
      <w:r w:rsidRPr="005A46FB">
        <w:rPr>
          <w:spacing w:val="-3"/>
        </w:rPr>
        <w:t xml:space="preserve"> </w:t>
      </w:r>
      <w:r w:rsidRPr="00D4309F">
        <w:t>based</w:t>
      </w:r>
      <w:r w:rsidRPr="005A46FB">
        <w:rPr>
          <w:spacing w:val="-3"/>
        </w:rPr>
        <w:t xml:space="preserve"> </w:t>
      </w:r>
      <w:r w:rsidRPr="00D4309F">
        <w:t>on</w:t>
      </w:r>
      <w:r w:rsidRPr="005A46FB">
        <w:rPr>
          <w:spacing w:val="-4"/>
        </w:rPr>
        <w:t xml:space="preserve"> </w:t>
      </w:r>
      <w:r w:rsidRPr="00D4309F">
        <w:t>weather</w:t>
      </w:r>
      <w:r w:rsidRPr="005A46FB">
        <w:rPr>
          <w:spacing w:val="-3"/>
        </w:rPr>
        <w:t xml:space="preserve"> </w:t>
      </w:r>
      <w:r w:rsidRPr="00D4309F">
        <w:t>conditions</w:t>
      </w:r>
      <w:r w:rsidRPr="005A46FB">
        <w:rPr>
          <w:spacing w:val="-3"/>
        </w:rPr>
        <w:t xml:space="preserve"> </w:t>
      </w:r>
      <w:r w:rsidRPr="00D4309F">
        <w:t>to</w:t>
      </w:r>
      <w:r w:rsidRPr="005A46FB">
        <w:rPr>
          <w:spacing w:val="-4"/>
        </w:rPr>
        <w:t xml:space="preserve"> </w:t>
      </w:r>
      <w:r w:rsidRPr="00D4309F">
        <w:t>ensure</w:t>
      </w:r>
      <w:r w:rsidRPr="005A46FB">
        <w:rPr>
          <w:spacing w:val="-3"/>
        </w:rPr>
        <w:t xml:space="preserve"> </w:t>
      </w:r>
      <w:r w:rsidRPr="00D4309F">
        <w:t>it’s</w:t>
      </w:r>
      <w:r w:rsidRPr="005A46FB">
        <w:rPr>
          <w:spacing w:val="-4"/>
        </w:rPr>
        <w:t xml:space="preserve"> </w:t>
      </w:r>
      <w:r w:rsidRPr="00D4309F">
        <w:t>safe</w:t>
      </w:r>
      <w:r w:rsidRPr="005A46FB">
        <w:rPr>
          <w:spacing w:val="-4"/>
        </w:rPr>
        <w:t xml:space="preserve"> </w:t>
      </w:r>
      <w:r w:rsidRPr="00D4309F">
        <w:t>and</w:t>
      </w:r>
      <w:r w:rsidRPr="005A46FB">
        <w:rPr>
          <w:spacing w:val="-3"/>
        </w:rPr>
        <w:t xml:space="preserve"> </w:t>
      </w:r>
      <w:r w:rsidRPr="005A46FB">
        <w:rPr>
          <w:spacing w:val="-2"/>
        </w:rPr>
        <w:t>accurate.</w:t>
      </w:r>
    </w:p>
    <w:p w14:paraId="0265BFEC" w14:textId="47B56E22" w:rsidR="00F06E88" w:rsidRPr="00D4309F" w:rsidRDefault="00725977" w:rsidP="00F06E88">
      <w:pPr>
        <w:pStyle w:val="ListNumber"/>
        <w:numPr>
          <w:ilvl w:val="0"/>
          <w:numId w:val="482"/>
        </w:numPr>
      </w:pPr>
      <w:r w:rsidRPr="00D4309F">
        <w:t>Providing</w:t>
      </w:r>
      <w:r w:rsidRPr="005A46FB">
        <w:rPr>
          <w:spacing w:val="-2"/>
        </w:rPr>
        <w:t xml:space="preserve"> </w:t>
      </w:r>
      <w:r w:rsidRPr="00D4309F">
        <w:t>a</w:t>
      </w:r>
      <w:r w:rsidRPr="005A46FB">
        <w:rPr>
          <w:spacing w:val="-3"/>
        </w:rPr>
        <w:t xml:space="preserve"> </w:t>
      </w:r>
      <w:r w:rsidRPr="00D4309F">
        <w:t>vessel</w:t>
      </w:r>
      <w:r w:rsidRPr="005A46FB">
        <w:rPr>
          <w:spacing w:val="-2"/>
        </w:rPr>
        <w:t xml:space="preserve"> </w:t>
      </w:r>
      <w:r w:rsidRPr="00D4309F">
        <w:t>and</w:t>
      </w:r>
      <w:r w:rsidRPr="005A46FB">
        <w:rPr>
          <w:spacing w:val="-2"/>
        </w:rPr>
        <w:t xml:space="preserve"> </w:t>
      </w:r>
      <w:r w:rsidRPr="00D4309F">
        <w:t>master</w:t>
      </w:r>
      <w:r w:rsidRPr="005A46FB">
        <w:rPr>
          <w:spacing w:val="-1"/>
        </w:rPr>
        <w:t xml:space="preserve"> </w:t>
      </w:r>
      <w:r w:rsidRPr="00D4309F">
        <w:t>from</w:t>
      </w:r>
      <w:r w:rsidRPr="005A46FB">
        <w:rPr>
          <w:spacing w:val="-2"/>
        </w:rPr>
        <w:t xml:space="preserve"> </w:t>
      </w:r>
      <w:r w:rsidRPr="00D4309F">
        <w:t>the</w:t>
      </w:r>
      <w:r w:rsidRPr="005A46FB">
        <w:rPr>
          <w:spacing w:val="-2"/>
        </w:rPr>
        <w:t xml:space="preserve"> </w:t>
      </w:r>
      <w:r w:rsidRPr="00D4309F">
        <w:t>MSQ</w:t>
      </w:r>
      <w:r w:rsidRPr="005A46FB">
        <w:rPr>
          <w:spacing w:val="-2"/>
        </w:rPr>
        <w:t xml:space="preserve"> </w:t>
      </w:r>
      <w:r w:rsidRPr="00D4309F">
        <w:t>Sunshine</w:t>
      </w:r>
      <w:r w:rsidRPr="005A46FB">
        <w:rPr>
          <w:spacing w:val="-2"/>
        </w:rPr>
        <w:t xml:space="preserve"> </w:t>
      </w:r>
      <w:r w:rsidRPr="00D4309F">
        <w:t>Coast</w:t>
      </w:r>
      <w:r w:rsidRPr="005A46FB">
        <w:rPr>
          <w:spacing w:val="-2"/>
        </w:rPr>
        <w:t xml:space="preserve"> </w:t>
      </w:r>
      <w:r w:rsidRPr="00D4309F">
        <w:t>team</w:t>
      </w:r>
      <w:r w:rsidRPr="005A46FB">
        <w:rPr>
          <w:spacing w:val="-2"/>
        </w:rPr>
        <w:t xml:space="preserve"> </w:t>
      </w:r>
      <w:r w:rsidRPr="00D4309F">
        <w:t>to</w:t>
      </w:r>
      <w:r w:rsidRPr="005A46FB">
        <w:rPr>
          <w:spacing w:val="-2"/>
        </w:rPr>
        <w:t xml:space="preserve"> </w:t>
      </w:r>
      <w:r w:rsidRPr="00D4309F">
        <w:t>take</w:t>
      </w:r>
      <w:r w:rsidRPr="005A46FB">
        <w:rPr>
          <w:spacing w:val="-2"/>
        </w:rPr>
        <w:t xml:space="preserve"> </w:t>
      </w:r>
      <w:r w:rsidRPr="00D4309F">
        <w:t>the</w:t>
      </w:r>
      <w:r w:rsidRPr="005A46FB">
        <w:rPr>
          <w:spacing w:val="-2"/>
        </w:rPr>
        <w:t xml:space="preserve"> </w:t>
      </w:r>
      <w:r w:rsidRPr="00D4309F">
        <w:t>surveyor</w:t>
      </w:r>
      <w:r w:rsidRPr="005A46FB">
        <w:rPr>
          <w:spacing w:val="-1"/>
        </w:rPr>
        <w:t xml:space="preserve"> </w:t>
      </w:r>
      <w:r w:rsidRPr="00D4309F">
        <w:t>out</w:t>
      </w:r>
      <w:r w:rsidRPr="005A46FB">
        <w:rPr>
          <w:spacing w:val="-2"/>
        </w:rPr>
        <w:t xml:space="preserve"> </w:t>
      </w:r>
      <w:r w:rsidRPr="00D4309F">
        <w:t>to</w:t>
      </w:r>
      <w:r w:rsidRPr="005A46FB">
        <w:rPr>
          <w:spacing w:val="-2"/>
        </w:rPr>
        <w:t xml:space="preserve"> </w:t>
      </w:r>
      <w:r w:rsidRPr="00D4309F">
        <w:t>the</w:t>
      </w:r>
      <w:r w:rsidRPr="005A46FB">
        <w:rPr>
          <w:spacing w:val="-2"/>
        </w:rPr>
        <w:t xml:space="preserve"> </w:t>
      </w:r>
      <w:r w:rsidRPr="00D4309F">
        <w:t>bar. The survey is the preferred method in order to provide precise data on the bar’s depth and condition.</w:t>
      </w:r>
    </w:p>
    <w:p w14:paraId="3467AC2D" w14:textId="77777777" w:rsidR="00725977" w:rsidRPr="000960AC" w:rsidRDefault="00725977" w:rsidP="005906AD">
      <w:pPr>
        <w:pStyle w:val="Heading3-nonumber"/>
      </w:pPr>
      <w:bookmarkStart w:id="123" w:name="_Toc216699329"/>
      <w:r w:rsidRPr="000960AC">
        <w:t>Conducting</w:t>
      </w:r>
      <w:r w:rsidRPr="000960AC">
        <w:rPr>
          <w:spacing w:val="-4"/>
        </w:rPr>
        <w:t xml:space="preserve"> </w:t>
      </w:r>
      <w:r w:rsidRPr="00581BEA">
        <w:t>the</w:t>
      </w:r>
      <w:r w:rsidRPr="00581BEA">
        <w:rPr>
          <w:spacing w:val="-5"/>
        </w:rPr>
        <w:t xml:space="preserve"> </w:t>
      </w:r>
      <w:r w:rsidRPr="00581BEA">
        <w:rPr>
          <w:spacing w:val="-2"/>
        </w:rPr>
        <w:t>survey</w:t>
      </w:r>
      <w:bookmarkEnd w:id="123"/>
    </w:p>
    <w:p w14:paraId="084504D5" w14:textId="77777777" w:rsidR="00725977" w:rsidRPr="00D4309F" w:rsidRDefault="00725977" w:rsidP="00725977">
      <w:pPr>
        <w:pStyle w:val="BodyText"/>
      </w:pPr>
      <w:r w:rsidRPr="00D4309F">
        <w:t>On</w:t>
      </w:r>
      <w:r w:rsidRPr="00D4309F">
        <w:rPr>
          <w:spacing w:val="-6"/>
        </w:rPr>
        <w:t xml:space="preserve"> </w:t>
      </w:r>
      <w:r w:rsidRPr="00D4309F">
        <w:t>the</w:t>
      </w:r>
      <w:r w:rsidRPr="00D4309F">
        <w:rPr>
          <w:spacing w:val="-4"/>
        </w:rPr>
        <w:t xml:space="preserve"> </w:t>
      </w:r>
      <w:r w:rsidRPr="00D4309F">
        <w:t>scheduled</w:t>
      </w:r>
      <w:r w:rsidRPr="00D4309F">
        <w:rPr>
          <w:spacing w:val="-4"/>
        </w:rPr>
        <w:t xml:space="preserve"> </w:t>
      </w:r>
      <w:r w:rsidRPr="00D4309F">
        <w:t>day,</w:t>
      </w:r>
      <w:r w:rsidRPr="00D4309F">
        <w:rPr>
          <w:spacing w:val="-4"/>
        </w:rPr>
        <w:t xml:space="preserve"> </w:t>
      </w:r>
      <w:r w:rsidRPr="00D4309F">
        <w:t>the</w:t>
      </w:r>
      <w:r w:rsidRPr="00D4309F">
        <w:rPr>
          <w:spacing w:val="-4"/>
        </w:rPr>
        <w:t xml:space="preserve"> </w:t>
      </w:r>
      <w:r w:rsidRPr="00D4309F">
        <w:t>Hydrographic</w:t>
      </w:r>
      <w:r w:rsidRPr="00D4309F">
        <w:rPr>
          <w:spacing w:val="-4"/>
        </w:rPr>
        <w:t xml:space="preserve"> </w:t>
      </w:r>
      <w:r w:rsidRPr="00D4309F">
        <w:t>Services</w:t>
      </w:r>
      <w:r w:rsidRPr="00D4309F">
        <w:rPr>
          <w:spacing w:val="-2"/>
        </w:rPr>
        <w:t xml:space="preserve"> </w:t>
      </w:r>
      <w:r w:rsidRPr="00D4309F">
        <w:t>team</w:t>
      </w:r>
      <w:r w:rsidRPr="00D4309F">
        <w:rPr>
          <w:spacing w:val="-4"/>
        </w:rPr>
        <w:t xml:space="preserve"> </w:t>
      </w:r>
      <w:r w:rsidRPr="00D4309F">
        <w:t>conducts</w:t>
      </w:r>
      <w:r w:rsidRPr="00D4309F">
        <w:rPr>
          <w:spacing w:val="-3"/>
        </w:rPr>
        <w:t xml:space="preserve"> </w:t>
      </w:r>
      <w:r w:rsidRPr="00D4309F">
        <w:t>the</w:t>
      </w:r>
      <w:r w:rsidRPr="00D4309F">
        <w:rPr>
          <w:spacing w:val="-4"/>
        </w:rPr>
        <w:t xml:space="preserve"> </w:t>
      </w:r>
      <w:r w:rsidRPr="00D4309F">
        <w:t>survey.</w:t>
      </w:r>
      <w:r w:rsidRPr="00D4309F">
        <w:rPr>
          <w:spacing w:val="-4"/>
        </w:rPr>
        <w:t xml:space="preserve"> </w:t>
      </w:r>
      <w:r w:rsidRPr="00D4309F">
        <w:t>They</w:t>
      </w:r>
      <w:r w:rsidRPr="00D4309F">
        <w:rPr>
          <w:spacing w:val="-3"/>
        </w:rPr>
        <w:t xml:space="preserve"> </w:t>
      </w:r>
      <w:r w:rsidRPr="00D4309F">
        <w:t>collect</w:t>
      </w:r>
      <w:r w:rsidRPr="00D4309F">
        <w:rPr>
          <w:spacing w:val="-4"/>
        </w:rPr>
        <w:t xml:space="preserve"> </w:t>
      </w:r>
      <w:r w:rsidRPr="00D4309F">
        <w:t>data</w:t>
      </w:r>
      <w:r w:rsidRPr="00D4309F">
        <w:rPr>
          <w:spacing w:val="-3"/>
        </w:rPr>
        <w:t xml:space="preserve"> </w:t>
      </w:r>
      <w:r w:rsidRPr="00D4309F">
        <w:rPr>
          <w:spacing w:val="-5"/>
        </w:rPr>
        <w:t>on:</w:t>
      </w:r>
    </w:p>
    <w:p w14:paraId="5AD7019F" w14:textId="77777777" w:rsidR="00725977" w:rsidRPr="00D4309F" w:rsidRDefault="00725977" w:rsidP="005A46FB">
      <w:pPr>
        <w:pStyle w:val="ListBullet"/>
      </w:pPr>
      <w:r w:rsidRPr="00D4309F">
        <w:t>The</w:t>
      </w:r>
      <w:r w:rsidRPr="00D4309F">
        <w:rPr>
          <w:spacing w:val="-3"/>
        </w:rPr>
        <w:t xml:space="preserve"> </w:t>
      </w:r>
      <w:r w:rsidRPr="00D4309F">
        <w:t>bar’s</w:t>
      </w:r>
      <w:r w:rsidRPr="00D4309F">
        <w:rPr>
          <w:spacing w:val="-1"/>
        </w:rPr>
        <w:t xml:space="preserve"> </w:t>
      </w:r>
      <w:r w:rsidRPr="00D4309F">
        <w:rPr>
          <w:spacing w:val="-2"/>
        </w:rPr>
        <w:t>depth</w:t>
      </w:r>
    </w:p>
    <w:p w14:paraId="05660AFB" w14:textId="77777777" w:rsidR="00725977" w:rsidRPr="00D4309F" w:rsidRDefault="00725977" w:rsidP="005A46FB">
      <w:pPr>
        <w:pStyle w:val="ListBullet"/>
      </w:pPr>
      <w:r w:rsidRPr="00D4309F">
        <w:t>Any</w:t>
      </w:r>
      <w:r w:rsidRPr="00D4309F">
        <w:rPr>
          <w:spacing w:val="-3"/>
        </w:rPr>
        <w:t xml:space="preserve"> </w:t>
      </w:r>
      <w:r w:rsidRPr="00D4309F">
        <w:t>changes</w:t>
      </w:r>
      <w:r w:rsidRPr="00D4309F">
        <w:rPr>
          <w:spacing w:val="-3"/>
        </w:rPr>
        <w:t xml:space="preserve"> </w:t>
      </w:r>
      <w:r w:rsidRPr="00D4309F">
        <w:t>since</w:t>
      </w:r>
      <w:r w:rsidRPr="00D4309F">
        <w:rPr>
          <w:spacing w:val="-4"/>
        </w:rPr>
        <w:t xml:space="preserve"> </w:t>
      </w:r>
      <w:r w:rsidRPr="00D4309F">
        <w:t>the</w:t>
      </w:r>
      <w:r w:rsidRPr="00D4309F">
        <w:rPr>
          <w:spacing w:val="-3"/>
        </w:rPr>
        <w:t xml:space="preserve"> </w:t>
      </w:r>
      <w:r w:rsidRPr="00D4309F">
        <w:t>last</w:t>
      </w:r>
      <w:r w:rsidRPr="00D4309F">
        <w:rPr>
          <w:spacing w:val="-3"/>
        </w:rPr>
        <w:t xml:space="preserve"> </w:t>
      </w:r>
      <w:r w:rsidRPr="00D4309F">
        <w:rPr>
          <w:spacing w:val="-2"/>
        </w:rPr>
        <w:t>survey.</w:t>
      </w:r>
    </w:p>
    <w:p w14:paraId="2CB89633" w14:textId="4A2FC00B" w:rsidR="00F06E88" w:rsidRPr="00DA1200" w:rsidRDefault="00725977" w:rsidP="00725977">
      <w:pPr>
        <w:pStyle w:val="BodyText"/>
        <w:rPr>
          <w:spacing w:val="-2"/>
        </w:rPr>
      </w:pPr>
      <w:r w:rsidRPr="00D4309F">
        <w:t>This</w:t>
      </w:r>
      <w:r w:rsidRPr="00D4309F">
        <w:rPr>
          <w:spacing w:val="-6"/>
        </w:rPr>
        <w:t xml:space="preserve"> </w:t>
      </w:r>
      <w:r w:rsidRPr="00D4309F">
        <w:t>step</w:t>
      </w:r>
      <w:r w:rsidRPr="00D4309F">
        <w:rPr>
          <w:spacing w:val="-3"/>
        </w:rPr>
        <w:t xml:space="preserve"> </w:t>
      </w:r>
      <w:r w:rsidRPr="00D4309F">
        <w:t>provides</w:t>
      </w:r>
      <w:r w:rsidRPr="00D4309F">
        <w:rPr>
          <w:spacing w:val="-2"/>
        </w:rPr>
        <w:t xml:space="preserve"> </w:t>
      </w:r>
      <w:r w:rsidRPr="00D4309F">
        <w:t>the</w:t>
      </w:r>
      <w:r w:rsidRPr="00D4309F">
        <w:rPr>
          <w:spacing w:val="-4"/>
        </w:rPr>
        <w:t xml:space="preserve"> </w:t>
      </w:r>
      <w:r w:rsidRPr="00D4309F">
        <w:t>basis</w:t>
      </w:r>
      <w:r w:rsidRPr="00D4309F">
        <w:rPr>
          <w:spacing w:val="-2"/>
        </w:rPr>
        <w:t xml:space="preserve"> </w:t>
      </w:r>
      <w:r w:rsidRPr="00D4309F">
        <w:t>for</w:t>
      </w:r>
      <w:r w:rsidRPr="00D4309F">
        <w:rPr>
          <w:spacing w:val="-2"/>
        </w:rPr>
        <w:t xml:space="preserve"> </w:t>
      </w:r>
      <w:r w:rsidRPr="00D4309F">
        <w:t>deciding</w:t>
      </w:r>
      <w:r w:rsidRPr="00D4309F">
        <w:rPr>
          <w:spacing w:val="-4"/>
        </w:rPr>
        <w:t xml:space="preserve"> </w:t>
      </w:r>
      <w:r w:rsidRPr="00D4309F">
        <w:t>whether</w:t>
      </w:r>
      <w:r w:rsidRPr="00D4309F">
        <w:rPr>
          <w:spacing w:val="-3"/>
        </w:rPr>
        <w:t xml:space="preserve"> </w:t>
      </w:r>
      <w:r w:rsidRPr="00D4309F">
        <w:t>an</w:t>
      </w:r>
      <w:r w:rsidRPr="00D4309F">
        <w:rPr>
          <w:spacing w:val="-4"/>
        </w:rPr>
        <w:t xml:space="preserve"> </w:t>
      </w:r>
      <w:r w:rsidRPr="00D4309F">
        <w:t>NtM</w:t>
      </w:r>
      <w:r w:rsidRPr="00D4309F">
        <w:rPr>
          <w:spacing w:val="-3"/>
        </w:rPr>
        <w:t xml:space="preserve"> </w:t>
      </w:r>
      <w:r w:rsidRPr="00D4309F">
        <w:t>is</w:t>
      </w:r>
      <w:r w:rsidRPr="00D4309F">
        <w:rPr>
          <w:spacing w:val="-2"/>
        </w:rPr>
        <w:t xml:space="preserve"> needed.</w:t>
      </w:r>
    </w:p>
    <w:p w14:paraId="2EDF51A0" w14:textId="77777777" w:rsidR="00725977" w:rsidRPr="00D4309F" w:rsidRDefault="00725977" w:rsidP="005906AD">
      <w:pPr>
        <w:pStyle w:val="Heading3-nonumber"/>
      </w:pPr>
      <w:bookmarkStart w:id="124" w:name="_Toc216699330"/>
      <w:r w:rsidRPr="00D4309F">
        <w:t>Reviewing</w:t>
      </w:r>
      <w:r w:rsidRPr="00D4309F">
        <w:rPr>
          <w:spacing w:val="-4"/>
        </w:rPr>
        <w:t xml:space="preserve"> </w:t>
      </w:r>
      <w:r w:rsidRPr="00581BEA">
        <w:t>the</w:t>
      </w:r>
      <w:r w:rsidRPr="00581BEA">
        <w:rPr>
          <w:spacing w:val="-4"/>
        </w:rPr>
        <w:t xml:space="preserve"> </w:t>
      </w:r>
      <w:r w:rsidRPr="00581BEA">
        <w:t>survey</w:t>
      </w:r>
      <w:r w:rsidRPr="00581BEA">
        <w:rPr>
          <w:spacing w:val="-3"/>
        </w:rPr>
        <w:t xml:space="preserve"> </w:t>
      </w:r>
      <w:r w:rsidRPr="00581BEA">
        <w:rPr>
          <w:spacing w:val="-4"/>
        </w:rPr>
        <w:t>data</w:t>
      </w:r>
      <w:bookmarkEnd w:id="124"/>
    </w:p>
    <w:p w14:paraId="484B2158" w14:textId="77777777" w:rsidR="00725977" w:rsidRPr="00D4309F" w:rsidRDefault="00725977" w:rsidP="00725977">
      <w:pPr>
        <w:pStyle w:val="BodyText"/>
      </w:pPr>
      <w:r w:rsidRPr="00D4309F">
        <w:t>Once</w:t>
      </w:r>
      <w:r w:rsidRPr="00D4309F">
        <w:rPr>
          <w:spacing w:val="-3"/>
        </w:rPr>
        <w:t xml:space="preserve"> </w:t>
      </w:r>
      <w:r w:rsidRPr="00D4309F">
        <w:t>the</w:t>
      </w:r>
      <w:r w:rsidRPr="00D4309F">
        <w:rPr>
          <w:spacing w:val="-3"/>
        </w:rPr>
        <w:t xml:space="preserve"> </w:t>
      </w:r>
      <w:r w:rsidRPr="00D4309F">
        <w:t>survey</w:t>
      </w:r>
      <w:r w:rsidRPr="00D4309F">
        <w:rPr>
          <w:spacing w:val="-2"/>
        </w:rPr>
        <w:t xml:space="preserve"> </w:t>
      </w:r>
      <w:r w:rsidRPr="00D4309F">
        <w:t>is</w:t>
      </w:r>
      <w:r w:rsidRPr="00D4309F">
        <w:rPr>
          <w:spacing w:val="-2"/>
        </w:rPr>
        <w:t xml:space="preserve"> </w:t>
      </w:r>
      <w:r w:rsidRPr="00D4309F">
        <w:t>complete,</w:t>
      </w:r>
      <w:r w:rsidRPr="00D4309F">
        <w:rPr>
          <w:spacing w:val="-3"/>
        </w:rPr>
        <w:t xml:space="preserve"> </w:t>
      </w:r>
      <w:r w:rsidRPr="00D4309F">
        <w:t>the</w:t>
      </w:r>
      <w:r w:rsidRPr="00D4309F">
        <w:rPr>
          <w:spacing w:val="-3"/>
        </w:rPr>
        <w:t xml:space="preserve"> </w:t>
      </w:r>
      <w:r w:rsidRPr="00D4309F">
        <w:t>preliminary</w:t>
      </w:r>
      <w:r w:rsidRPr="00D4309F">
        <w:rPr>
          <w:spacing w:val="-2"/>
        </w:rPr>
        <w:t xml:space="preserve"> </w:t>
      </w:r>
      <w:r w:rsidRPr="00D4309F">
        <w:t>data</w:t>
      </w:r>
      <w:r w:rsidRPr="00D4309F">
        <w:rPr>
          <w:spacing w:val="-3"/>
        </w:rPr>
        <w:t xml:space="preserve"> </w:t>
      </w:r>
      <w:r w:rsidRPr="00D4309F">
        <w:t>is</w:t>
      </w:r>
      <w:r w:rsidRPr="00D4309F">
        <w:rPr>
          <w:spacing w:val="-3"/>
        </w:rPr>
        <w:t xml:space="preserve"> </w:t>
      </w:r>
      <w:r w:rsidRPr="00D4309F">
        <w:t>sent</w:t>
      </w:r>
      <w:r w:rsidRPr="00D4309F">
        <w:rPr>
          <w:spacing w:val="-3"/>
        </w:rPr>
        <w:t xml:space="preserve"> </w:t>
      </w:r>
      <w:r w:rsidRPr="00D4309F">
        <w:t>to</w:t>
      </w:r>
      <w:r w:rsidRPr="00D4309F">
        <w:rPr>
          <w:spacing w:val="-4"/>
        </w:rPr>
        <w:t xml:space="preserve"> </w:t>
      </w:r>
      <w:r w:rsidRPr="00D4309F">
        <w:t>the</w:t>
      </w:r>
      <w:r w:rsidRPr="00D4309F">
        <w:rPr>
          <w:spacing w:val="-3"/>
        </w:rPr>
        <w:t xml:space="preserve"> </w:t>
      </w:r>
      <w:r w:rsidRPr="00D4309F">
        <w:t>MSQ</w:t>
      </w:r>
      <w:r w:rsidRPr="00D4309F">
        <w:rPr>
          <w:spacing w:val="-3"/>
        </w:rPr>
        <w:t xml:space="preserve"> </w:t>
      </w:r>
      <w:r w:rsidRPr="00D4309F">
        <w:t>Area</w:t>
      </w:r>
      <w:r w:rsidRPr="00D4309F">
        <w:rPr>
          <w:spacing w:val="-3"/>
        </w:rPr>
        <w:t xml:space="preserve"> </w:t>
      </w:r>
      <w:r w:rsidRPr="00D4309F">
        <w:t>Manager,</w:t>
      </w:r>
      <w:r w:rsidRPr="00D4309F">
        <w:rPr>
          <w:spacing w:val="-3"/>
        </w:rPr>
        <w:t xml:space="preserve"> </w:t>
      </w:r>
      <w:r w:rsidRPr="00D4309F">
        <w:t>the</w:t>
      </w:r>
      <w:r w:rsidRPr="00D4309F">
        <w:rPr>
          <w:spacing w:val="-3"/>
        </w:rPr>
        <w:t xml:space="preserve"> </w:t>
      </w:r>
      <w:r w:rsidRPr="00D4309F">
        <w:t>Regional</w:t>
      </w:r>
      <w:r w:rsidRPr="00D4309F">
        <w:rPr>
          <w:spacing w:val="-3"/>
        </w:rPr>
        <w:t xml:space="preserve"> </w:t>
      </w:r>
      <w:r w:rsidRPr="00D4309F">
        <w:t>Harbour Master (RHM), and the GIS Spatial Services team amongst others. Together, the team review the data to determine if a NtM is required.</w:t>
      </w:r>
    </w:p>
    <w:p w14:paraId="054B0BFB" w14:textId="77777777" w:rsidR="00725977" w:rsidRPr="00D4309F" w:rsidRDefault="00725977" w:rsidP="00725977">
      <w:pPr>
        <w:pStyle w:val="BodyText"/>
      </w:pPr>
      <w:r w:rsidRPr="00D4309F">
        <w:t>The</w:t>
      </w:r>
      <w:r w:rsidRPr="00D4309F">
        <w:rPr>
          <w:spacing w:val="-3"/>
        </w:rPr>
        <w:t xml:space="preserve"> </w:t>
      </w:r>
      <w:r w:rsidRPr="00D4309F">
        <w:t>decision</w:t>
      </w:r>
      <w:r w:rsidRPr="00D4309F">
        <w:rPr>
          <w:spacing w:val="-4"/>
        </w:rPr>
        <w:t xml:space="preserve"> </w:t>
      </w:r>
      <w:r w:rsidRPr="00D4309F">
        <w:t>is</w:t>
      </w:r>
      <w:r w:rsidRPr="00D4309F">
        <w:rPr>
          <w:spacing w:val="-2"/>
        </w:rPr>
        <w:t xml:space="preserve"> </w:t>
      </w:r>
      <w:r w:rsidRPr="00D4309F">
        <w:t>based</w:t>
      </w:r>
      <w:r w:rsidRPr="00D4309F">
        <w:rPr>
          <w:spacing w:val="-3"/>
        </w:rPr>
        <w:t xml:space="preserve"> </w:t>
      </w:r>
      <w:r w:rsidRPr="00D4309F">
        <w:rPr>
          <w:spacing w:val="-5"/>
        </w:rPr>
        <w:t>on:</w:t>
      </w:r>
    </w:p>
    <w:p w14:paraId="2B175BF3" w14:textId="77777777" w:rsidR="00725977" w:rsidRPr="00D4309F" w:rsidRDefault="00725977" w:rsidP="00984811">
      <w:pPr>
        <w:pStyle w:val="ListBullet"/>
      </w:pPr>
      <w:r w:rsidRPr="00D4309F">
        <w:t>Whether</w:t>
      </w:r>
      <w:r w:rsidRPr="00D4309F">
        <w:rPr>
          <w:spacing w:val="-2"/>
        </w:rPr>
        <w:t xml:space="preserve"> </w:t>
      </w:r>
      <w:r w:rsidRPr="00D4309F">
        <w:t>the</w:t>
      </w:r>
      <w:r w:rsidRPr="00D4309F">
        <w:rPr>
          <w:spacing w:val="-4"/>
        </w:rPr>
        <w:t xml:space="preserve"> </w:t>
      </w:r>
      <w:r w:rsidRPr="00D4309F">
        <w:t>bar</w:t>
      </w:r>
      <w:r w:rsidRPr="00D4309F">
        <w:rPr>
          <w:spacing w:val="-2"/>
        </w:rPr>
        <w:t xml:space="preserve"> </w:t>
      </w:r>
      <w:r w:rsidRPr="00D4309F">
        <w:t>is</w:t>
      </w:r>
      <w:r w:rsidRPr="00D4309F">
        <w:rPr>
          <w:spacing w:val="-2"/>
        </w:rPr>
        <w:t xml:space="preserve"> </w:t>
      </w:r>
      <w:r w:rsidRPr="00D4309F">
        <w:t>below</w:t>
      </w:r>
      <w:r w:rsidRPr="00D4309F">
        <w:rPr>
          <w:spacing w:val="-2"/>
        </w:rPr>
        <w:t xml:space="preserve"> </w:t>
      </w:r>
      <w:r w:rsidRPr="00D4309F">
        <w:t>the</w:t>
      </w:r>
      <w:r w:rsidRPr="00D4309F">
        <w:rPr>
          <w:spacing w:val="-2"/>
        </w:rPr>
        <w:t xml:space="preserve"> </w:t>
      </w:r>
      <w:r w:rsidRPr="00D4309F">
        <w:t>designed</w:t>
      </w:r>
      <w:r w:rsidRPr="00D4309F">
        <w:rPr>
          <w:spacing w:val="-4"/>
        </w:rPr>
        <w:t xml:space="preserve"> </w:t>
      </w:r>
      <w:r w:rsidRPr="00D4309F">
        <w:t>depth</w:t>
      </w:r>
      <w:r w:rsidRPr="00D4309F">
        <w:rPr>
          <w:spacing w:val="-3"/>
        </w:rPr>
        <w:t xml:space="preserve"> </w:t>
      </w:r>
      <w:r w:rsidRPr="00D4309F">
        <w:t>of</w:t>
      </w:r>
      <w:r w:rsidRPr="00D4309F">
        <w:rPr>
          <w:spacing w:val="-3"/>
        </w:rPr>
        <w:t xml:space="preserve"> </w:t>
      </w:r>
      <w:r w:rsidRPr="00D4309F">
        <w:t>2.5</w:t>
      </w:r>
      <w:r w:rsidRPr="00D4309F">
        <w:rPr>
          <w:spacing w:val="-2"/>
        </w:rPr>
        <w:t xml:space="preserve"> metres.</w:t>
      </w:r>
    </w:p>
    <w:p w14:paraId="30BC1946" w14:textId="7A4DCCD3" w:rsidR="00F06E88" w:rsidRPr="00D4309F" w:rsidRDefault="00725977" w:rsidP="00F06E88">
      <w:pPr>
        <w:pStyle w:val="ListBullet"/>
      </w:pPr>
      <w:r w:rsidRPr="00D4309F">
        <w:t>Whether</w:t>
      </w:r>
      <w:r w:rsidRPr="00D4309F">
        <w:rPr>
          <w:spacing w:val="-2"/>
        </w:rPr>
        <w:t xml:space="preserve"> </w:t>
      </w:r>
      <w:r w:rsidRPr="00D4309F">
        <w:t>there</w:t>
      </w:r>
      <w:r w:rsidRPr="00D4309F">
        <w:rPr>
          <w:spacing w:val="-3"/>
        </w:rPr>
        <w:t xml:space="preserve"> </w:t>
      </w:r>
      <w:r w:rsidRPr="00D4309F">
        <w:t>have</w:t>
      </w:r>
      <w:r w:rsidRPr="00D4309F">
        <w:rPr>
          <w:spacing w:val="-3"/>
        </w:rPr>
        <w:t xml:space="preserve"> </w:t>
      </w:r>
      <w:r w:rsidRPr="00D4309F">
        <w:t>been</w:t>
      </w:r>
      <w:r w:rsidRPr="00D4309F">
        <w:rPr>
          <w:spacing w:val="-3"/>
        </w:rPr>
        <w:t xml:space="preserve"> </w:t>
      </w:r>
      <w:r w:rsidRPr="00D4309F">
        <w:t>significant</w:t>
      </w:r>
      <w:r w:rsidRPr="00D4309F">
        <w:rPr>
          <w:spacing w:val="-3"/>
        </w:rPr>
        <w:t xml:space="preserve"> </w:t>
      </w:r>
      <w:r w:rsidRPr="00D4309F">
        <w:t>changes</w:t>
      </w:r>
      <w:r w:rsidRPr="00D4309F">
        <w:rPr>
          <w:spacing w:val="-2"/>
        </w:rPr>
        <w:t xml:space="preserve"> </w:t>
      </w:r>
      <w:r w:rsidRPr="00D4309F">
        <w:t>since</w:t>
      </w:r>
      <w:r w:rsidRPr="00D4309F">
        <w:rPr>
          <w:spacing w:val="-3"/>
        </w:rPr>
        <w:t xml:space="preserve"> </w:t>
      </w:r>
      <w:r w:rsidRPr="00D4309F">
        <w:t>the</w:t>
      </w:r>
      <w:r w:rsidRPr="00D4309F">
        <w:rPr>
          <w:spacing w:val="-3"/>
        </w:rPr>
        <w:t xml:space="preserve"> </w:t>
      </w:r>
      <w:r w:rsidRPr="00D4309F">
        <w:t>last</w:t>
      </w:r>
      <w:r w:rsidRPr="00D4309F">
        <w:rPr>
          <w:spacing w:val="-3"/>
        </w:rPr>
        <w:t xml:space="preserve"> </w:t>
      </w:r>
      <w:r w:rsidRPr="00D4309F">
        <w:t>survey</w:t>
      </w:r>
      <w:r w:rsidRPr="00D4309F">
        <w:rPr>
          <w:spacing w:val="-2"/>
        </w:rPr>
        <w:t xml:space="preserve"> </w:t>
      </w:r>
      <w:r w:rsidRPr="00D4309F">
        <w:t>that</w:t>
      </w:r>
      <w:r w:rsidRPr="00D4309F">
        <w:rPr>
          <w:spacing w:val="-3"/>
        </w:rPr>
        <w:t xml:space="preserve"> </w:t>
      </w:r>
      <w:r w:rsidRPr="00D4309F">
        <w:t>could</w:t>
      </w:r>
      <w:r w:rsidRPr="00D4309F">
        <w:rPr>
          <w:spacing w:val="-3"/>
        </w:rPr>
        <w:t xml:space="preserve"> </w:t>
      </w:r>
      <w:r w:rsidRPr="00D4309F">
        <w:t>impact</w:t>
      </w:r>
      <w:r w:rsidRPr="00D4309F">
        <w:rPr>
          <w:spacing w:val="-3"/>
        </w:rPr>
        <w:t xml:space="preserve"> </w:t>
      </w:r>
      <w:r w:rsidRPr="00D4309F">
        <w:t>navigation. If either of these conditions is met, MSQ move forward with issuing an NtM.</w:t>
      </w:r>
    </w:p>
    <w:p w14:paraId="4224B3A2" w14:textId="77777777" w:rsidR="00725977" w:rsidRPr="00D4309F" w:rsidRDefault="00725977" w:rsidP="005906AD">
      <w:pPr>
        <w:pStyle w:val="Heading3-nonumber"/>
      </w:pPr>
      <w:bookmarkStart w:id="125" w:name="_Toc216699331"/>
      <w:r w:rsidRPr="00D4309F">
        <w:t>Preparing</w:t>
      </w:r>
      <w:r w:rsidRPr="00D4309F">
        <w:rPr>
          <w:spacing w:val="-4"/>
        </w:rPr>
        <w:t xml:space="preserve"> </w:t>
      </w:r>
      <w:r w:rsidRPr="00581BEA">
        <w:t>the</w:t>
      </w:r>
      <w:r w:rsidRPr="00581BEA">
        <w:rPr>
          <w:spacing w:val="-3"/>
        </w:rPr>
        <w:t xml:space="preserve"> </w:t>
      </w:r>
      <w:r w:rsidRPr="00581BEA">
        <w:rPr>
          <w:spacing w:val="-5"/>
        </w:rPr>
        <w:t>NtM</w:t>
      </w:r>
      <w:bookmarkEnd w:id="125"/>
    </w:p>
    <w:p w14:paraId="150C3328" w14:textId="77777777" w:rsidR="00725977" w:rsidRPr="00D4309F" w:rsidRDefault="00725977" w:rsidP="00725977">
      <w:pPr>
        <w:pStyle w:val="BodyText"/>
      </w:pPr>
      <w:r w:rsidRPr="00D4309F">
        <w:t>If</w:t>
      </w:r>
      <w:r w:rsidRPr="00D4309F">
        <w:rPr>
          <w:spacing w:val="-5"/>
        </w:rPr>
        <w:t xml:space="preserve"> </w:t>
      </w:r>
      <w:r w:rsidRPr="00D4309F">
        <w:t>an</w:t>
      </w:r>
      <w:r w:rsidRPr="00D4309F">
        <w:rPr>
          <w:spacing w:val="-3"/>
        </w:rPr>
        <w:t xml:space="preserve"> </w:t>
      </w:r>
      <w:r w:rsidRPr="00D4309F">
        <w:t>NtM</w:t>
      </w:r>
      <w:r w:rsidRPr="00D4309F">
        <w:rPr>
          <w:spacing w:val="-2"/>
        </w:rPr>
        <w:t xml:space="preserve"> </w:t>
      </w:r>
      <w:r w:rsidRPr="00D4309F">
        <w:t>is</w:t>
      </w:r>
      <w:r w:rsidRPr="00D4309F">
        <w:rPr>
          <w:spacing w:val="-2"/>
        </w:rPr>
        <w:t xml:space="preserve"> </w:t>
      </w:r>
      <w:r w:rsidRPr="00D4309F">
        <w:t>needed,</w:t>
      </w:r>
      <w:r w:rsidRPr="00D4309F">
        <w:rPr>
          <w:spacing w:val="-3"/>
        </w:rPr>
        <w:t xml:space="preserve"> </w:t>
      </w:r>
      <w:r w:rsidRPr="00D4309F">
        <w:t>the</w:t>
      </w:r>
      <w:r w:rsidRPr="00D4309F">
        <w:rPr>
          <w:spacing w:val="-3"/>
        </w:rPr>
        <w:t xml:space="preserve"> </w:t>
      </w:r>
      <w:r w:rsidRPr="00D4309F">
        <w:t>following</w:t>
      </w:r>
      <w:r w:rsidRPr="00D4309F">
        <w:rPr>
          <w:spacing w:val="-2"/>
        </w:rPr>
        <w:t xml:space="preserve"> </w:t>
      </w:r>
      <w:r w:rsidRPr="00D4309F">
        <w:t>steps</w:t>
      </w:r>
      <w:r w:rsidRPr="00D4309F">
        <w:rPr>
          <w:spacing w:val="-3"/>
        </w:rPr>
        <w:t xml:space="preserve"> </w:t>
      </w:r>
      <w:r w:rsidRPr="00D4309F">
        <w:t>are</w:t>
      </w:r>
      <w:r w:rsidRPr="00D4309F">
        <w:rPr>
          <w:spacing w:val="-2"/>
        </w:rPr>
        <w:t xml:space="preserve"> taken:</w:t>
      </w:r>
    </w:p>
    <w:p w14:paraId="10134F30" w14:textId="77777777" w:rsidR="00725977" w:rsidRPr="00D4309F" w:rsidRDefault="00725977" w:rsidP="000960AC">
      <w:pPr>
        <w:pStyle w:val="ListBullet"/>
      </w:pPr>
      <w:r w:rsidRPr="00D4309F">
        <w:t>The</w:t>
      </w:r>
      <w:r w:rsidRPr="00D4309F">
        <w:rPr>
          <w:spacing w:val="-2"/>
        </w:rPr>
        <w:t xml:space="preserve"> </w:t>
      </w:r>
      <w:r w:rsidRPr="00D4309F">
        <w:t>GIS</w:t>
      </w:r>
      <w:r w:rsidRPr="00D4309F">
        <w:rPr>
          <w:spacing w:val="-2"/>
        </w:rPr>
        <w:t xml:space="preserve"> </w:t>
      </w:r>
      <w:r w:rsidRPr="00D4309F">
        <w:t>team</w:t>
      </w:r>
      <w:r w:rsidRPr="00D4309F">
        <w:rPr>
          <w:spacing w:val="-2"/>
        </w:rPr>
        <w:t xml:space="preserve"> </w:t>
      </w:r>
      <w:r w:rsidRPr="00D4309F">
        <w:t>prepares</w:t>
      </w:r>
      <w:r w:rsidRPr="00D4309F">
        <w:rPr>
          <w:spacing w:val="-1"/>
        </w:rPr>
        <w:t xml:space="preserve"> </w:t>
      </w:r>
      <w:r w:rsidRPr="00D4309F">
        <w:t>a</w:t>
      </w:r>
      <w:r w:rsidRPr="00D4309F">
        <w:rPr>
          <w:spacing w:val="-3"/>
        </w:rPr>
        <w:t xml:space="preserve"> </w:t>
      </w:r>
      <w:r w:rsidRPr="00D4309F">
        <w:t>survey</w:t>
      </w:r>
      <w:r w:rsidRPr="00D4309F">
        <w:rPr>
          <w:spacing w:val="-1"/>
        </w:rPr>
        <w:t xml:space="preserve"> </w:t>
      </w:r>
      <w:r w:rsidRPr="00D4309F">
        <w:t>map</w:t>
      </w:r>
      <w:r w:rsidRPr="00D4309F">
        <w:rPr>
          <w:spacing w:val="-3"/>
        </w:rPr>
        <w:t xml:space="preserve"> </w:t>
      </w:r>
      <w:r w:rsidRPr="00D4309F">
        <w:t>based</w:t>
      </w:r>
      <w:r w:rsidRPr="00D4309F">
        <w:rPr>
          <w:spacing w:val="-2"/>
        </w:rPr>
        <w:t xml:space="preserve"> </w:t>
      </w:r>
      <w:r w:rsidRPr="00D4309F">
        <w:t>on</w:t>
      </w:r>
      <w:r w:rsidRPr="00D4309F">
        <w:rPr>
          <w:spacing w:val="-2"/>
        </w:rPr>
        <w:t xml:space="preserve"> </w:t>
      </w:r>
      <w:r w:rsidRPr="00D4309F">
        <w:t>the</w:t>
      </w:r>
      <w:r w:rsidRPr="00D4309F">
        <w:rPr>
          <w:spacing w:val="-3"/>
        </w:rPr>
        <w:t xml:space="preserve"> </w:t>
      </w:r>
      <w:r w:rsidRPr="00D4309F">
        <w:t>data.</w:t>
      </w:r>
      <w:r w:rsidRPr="00D4309F">
        <w:rPr>
          <w:spacing w:val="-2"/>
        </w:rPr>
        <w:t xml:space="preserve"> </w:t>
      </w:r>
      <w:r w:rsidRPr="00D4309F">
        <w:t>If</w:t>
      </w:r>
      <w:r w:rsidRPr="00D4309F">
        <w:rPr>
          <w:spacing w:val="-2"/>
        </w:rPr>
        <w:t xml:space="preserve"> </w:t>
      </w:r>
      <w:r w:rsidRPr="00D4309F">
        <w:t>virtual</w:t>
      </w:r>
      <w:r w:rsidRPr="00D4309F">
        <w:rPr>
          <w:spacing w:val="-3"/>
        </w:rPr>
        <w:t xml:space="preserve"> </w:t>
      </w:r>
      <w:r w:rsidRPr="00D4309F">
        <w:t>navigation</w:t>
      </w:r>
      <w:r w:rsidRPr="00D4309F">
        <w:rPr>
          <w:spacing w:val="-2"/>
        </w:rPr>
        <w:t xml:space="preserve"> </w:t>
      </w:r>
      <w:r w:rsidRPr="00D4309F">
        <w:t>aids</w:t>
      </w:r>
      <w:r w:rsidRPr="00D4309F">
        <w:rPr>
          <w:spacing w:val="-1"/>
        </w:rPr>
        <w:t xml:space="preserve"> </w:t>
      </w:r>
      <w:r w:rsidRPr="00D4309F">
        <w:t>(navaids)</w:t>
      </w:r>
      <w:r w:rsidRPr="00D4309F">
        <w:rPr>
          <w:spacing w:val="-3"/>
        </w:rPr>
        <w:t xml:space="preserve"> </w:t>
      </w:r>
      <w:r w:rsidRPr="00D4309F">
        <w:t>are</w:t>
      </w:r>
      <w:r w:rsidRPr="00D4309F">
        <w:rPr>
          <w:spacing w:val="-2"/>
        </w:rPr>
        <w:t xml:space="preserve"> </w:t>
      </w:r>
      <w:r w:rsidRPr="00D4309F">
        <w:t>required to guide vessels through the deepest part of the channel, they are activated and included on the map.</w:t>
      </w:r>
    </w:p>
    <w:p w14:paraId="4FD1AD1E" w14:textId="77777777" w:rsidR="00725977" w:rsidRPr="00D4309F" w:rsidRDefault="00725977" w:rsidP="000960AC">
      <w:pPr>
        <w:pStyle w:val="ListBullet"/>
      </w:pPr>
      <w:r w:rsidRPr="00D4309F">
        <w:t>MSQ</w:t>
      </w:r>
      <w:r w:rsidRPr="00D4309F">
        <w:rPr>
          <w:spacing w:val="-3"/>
        </w:rPr>
        <w:t xml:space="preserve"> </w:t>
      </w:r>
      <w:r w:rsidRPr="00D4309F">
        <w:t>draft</w:t>
      </w:r>
      <w:r w:rsidRPr="00D4309F">
        <w:rPr>
          <w:spacing w:val="-3"/>
        </w:rPr>
        <w:t xml:space="preserve"> </w:t>
      </w:r>
      <w:r w:rsidRPr="00D4309F">
        <w:t>the</w:t>
      </w:r>
      <w:r w:rsidRPr="00D4309F">
        <w:rPr>
          <w:spacing w:val="-2"/>
        </w:rPr>
        <w:t xml:space="preserve"> </w:t>
      </w:r>
      <w:r w:rsidRPr="00D4309F">
        <w:t>NtM,</w:t>
      </w:r>
      <w:r w:rsidRPr="00D4309F">
        <w:rPr>
          <w:spacing w:val="-3"/>
        </w:rPr>
        <w:t xml:space="preserve"> </w:t>
      </w:r>
      <w:r w:rsidRPr="00D4309F">
        <w:t>which</w:t>
      </w:r>
      <w:r w:rsidRPr="00D4309F">
        <w:rPr>
          <w:spacing w:val="-3"/>
        </w:rPr>
        <w:t xml:space="preserve"> </w:t>
      </w:r>
      <w:r w:rsidRPr="00D4309F">
        <w:rPr>
          <w:spacing w:val="-2"/>
        </w:rPr>
        <w:t>includes:</w:t>
      </w:r>
    </w:p>
    <w:p w14:paraId="39EB3915" w14:textId="77777777" w:rsidR="00725977" w:rsidRPr="00D4309F" w:rsidRDefault="00725977" w:rsidP="000960AC">
      <w:pPr>
        <w:pStyle w:val="ListBullet2"/>
      </w:pPr>
      <w:r w:rsidRPr="00D4309F">
        <w:t>The</w:t>
      </w:r>
      <w:r w:rsidRPr="00D4309F">
        <w:rPr>
          <w:spacing w:val="-4"/>
        </w:rPr>
        <w:t xml:space="preserve"> </w:t>
      </w:r>
      <w:r w:rsidRPr="00D4309F">
        <w:t>survey</w:t>
      </w:r>
      <w:r w:rsidRPr="00D4309F">
        <w:rPr>
          <w:spacing w:val="-2"/>
        </w:rPr>
        <w:t xml:space="preserve"> </w:t>
      </w:r>
      <w:r w:rsidRPr="00D4309F">
        <w:t>findings,</w:t>
      </w:r>
      <w:r w:rsidRPr="00D4309F">
        <w:rPr>
          <w:spacing w:val="-4"/>
        </w:rPr>
        <w:t xml:space="preserve"> </w:t>
      </w:r>
      <w:r w:rsidRPr="00D4309F">
        <w:t>such</w:t>
      </w:r>
      <w:r w:rsidRPr="00D4309F">
        <w:rPr>
          <w:spacing w:val="-4"/>
        </w:rPr>
        <w:t xml:space="preserve"> </w:t>
      </w:r>
      <w:r w:rsidRPr="00D4309F">
        <w:t>as</w:t>
      </w:r>
      <w:r w:rsidRPr="00D4309F">
        <w:rPr>
          <w:spacing w:val="-3"/>
        </w:rPr>
        <w:t xml:space="preserve"> </w:t>
      </w:r>
      <w:r w:rsidRPr="00D4309F">
        <w:t>depth</w:t>
      </w:r>
      <w:r w:rsidRPr="00D4309F">
        <w:rPr>
          <w:spacing w:val="-3"/>
        </w:rPr>
        <w:t xml:space="preserve"> </w:t>
      </w:r>
      <w:r w:rsidRPr="00D4309F">
        <w:t>and</w:t>
      </w:r>
      <w:r w:rsidRPr="00D4309F">
        <w:rPr>
          <w:spacing w:val="-5"/>
        </w:rPr>
        <w:t xml:space="preserve"> </w:t>
      </w:r>
      <w:r w:rsidRPr="00D4309F">
        <w:t>any</w:t>
      </w:r>
      <w:r w:rsidRPr="00D4309F">
        <w:rPr>
          <w:spacing w:val="-2"/>
        </w:rPr>
        <w:t xml:space="preserve"> </w:t>
      </w:r>
      <w:r w:rsidRPr="00D4309F">
        <w:t>identified</w:t>
      </w:r>
      <w:r w:rsidRPr="00D4309F">
        <w:rPr>
          <w:spacing w:val="-4"/>
        </w:rPr>
        <w:t xml:space="preserve"> </w:t>
      </w:r>
      <w:r w:rsidRPr="00D4309F">
        <w:rPr>
          <w:spacing w:val="-2"/>
        </w:rPr>
        <w:t>hazards.</w:t>
      </w:r>
    </w:p>
    <w:p w14:paraId="0FF9A4A9" w14:textId="77777777" w:rsidR="00725977" w:rsidRPr="00D4309F" w:rsidRDefault="00725977" w:rsidP="000960AC">
      <w:pPr>
        <w:pStyle w:val="ListBullet2"/>
      </w:pPr>
      <w:r w:rsidRPr="00D4309F">
        <w:t>Additional</w:t>
      </w:r>
      <w:r w:rsidRPr="00D4309F">
        <w:rPr>
          <w:spacing w:val="-7"/>
        </w:rPr>
        <w:t xml:space="preserve"> </w:t>
      </w:r>
      <w:r w:rsidRPr="00D4309F">
        <w:t>considerations,</w:t>
      </w:r>
      <w:r w:rsidRPr="00D4309F">
        <w:rPr>
          <w:spacing w:val="-7"/>
        </w:rPr>
        <w:t xml:space="preserve"> </w:t>
      </w:r>
      <w:r w:rsidRPr="00D4309F">
        <w:t>like</w:t>
      </w:r>
      <w:r w:rsidRPr="00D4309F">
        <w:rPr>
          <w:spacing w:val="-4"/>
        </w:rPr>
        <w:t xml:space="preserve"> </w:t>
      </w:r>
      <w:r w:rsidRPr="00D4309F">
        <w:t>dredging</w:t>
      </w:r>
      <w:r w:rsidRPr="00D4309F">
        <w:rPr>
          <w:spacing w:val="-6"/>
        </w:rPr>
        <w:t xml:space="preserve"> </w:t>
      </w:r>
      <w:r w:rsidRPr="00D4309F">
        <w:t>operations</w:t>
      </w:r>
      <w:r w:rsidRPr="00D4309F">
        <w:rPr>
          <w:spacing w:val="-3"/>
        </w:rPr>
        <w:t xml:space="preserve"> </w:t>
      </w:r>
      <w:r w:rsidRPr="00D4309F">
        <w:t>or</w:t>
      </w:r>
      <w:r w:rsidRPr="00D4309F">
        <w:rPr>
          <w:spacing w:val="-6"/>
        </w:rPr>
        <w:t xml:space="preserve"> </w:t>
      </w:r>
      <w:r w:rsidRPr="00D4309F">
        <w:t>other</w:t>
      </w:r>
      <w:r w:rsidRPr="00D4309F">
        <w:rPr>
          <w:spacing w:val="-4"/>
        </w:rPr>
        <w:t xml:space="preserve"> </w:t>
      </w:r>
      <w:r w:rsidRPr="00D4309F">
        <w:t>activities</w:t>
      </w:r>
      <w:r w:rsidRPr="00D4309F">
        <w:rPr>
          <w:spacing w:val="-3"/>
        </w:rPr>
        <w:t xml:space="preserve"> </w:t>
      </w:r>
      <w:r w:rsidRPr="00D4309F">
        <w:t>in</w:t>
      </w:r>
      <w:r w:rsidRPr="00D4309F">
        <w:rPr>
          <w:spacing w:val="-5"/>
        </w:rPr>
        <w:t xml:space="preserve"> </w:t>
      </w:r>
      <w:r w:rsidRPr="00D4309F">
        <w:t>the</w:t>
      </w:r>
      <w:r w:rsidRPr="00D4309F">
        <w:rPr>
          <w:spacing w:val="-4"/>
        </w:rPr>
        <w:t xml:space="preserve"> </w:t>
      </w:r>
      <w:r w:rsidRPr="00D4309F">
        <w:rPr>
          <w:spacing w:val="-2"/>
        </w:rPr>
        <w:t>area.</w:t>
      </w:r>
    </w:p>
    <w:p w14:paraId="772EAC8D" w14:textId="77777777" w:rsidR="00725977" w:rsidRPr="00D4309F" w:rsidRDefault="00725977" w:rsidP="000960AC">
      <w:pPr>
        <w:pStyle w:val="ListBullet2"/>
      </w:pPr>
      <w:r w:rsidRPr="00D4309F">
        <w:t>Warnings</w:t>
      </w:r>
      <w:r w:rsidRPr="00D4309F">
        <w:rPr>
          <w:spacing w:val="-5"/>
        </w:rPr>
        <w:t xml:space="preserve"> </w:t>
      </w:r>
      <w:r w:rsidRPr="00D4309F">
        <w:t>about</w:t>
      </w:r>
      <w:r w:rsidRPr="00D4309F">
        <w:rPr>
          <w:spacing w:val="-3"/>
        </w:rPr>
        <w:t xml:space="preserve"> </w:t>
      </w:r>
      <w:r w:rsidRPr="00D4309F">
        <w:t>the</w:t>
      </w:r>
      <w:r w:rsidRPr="00D4309F">
        <w:rPr>
          <w:spacing w:val="-3"/>
        </w:rPr>
        <w:t xml:space="preserve"> </w:t>
      </w:r>
      <w:r w:rsidRPr="00D4309F">
        <w:t>dynamic</w:t>
      </w:r>
      <w:r w:rsidRPr="00D4309F">
        <w:rPr>
          <w:spacing w:val="-2"/>
        </w:rPr>
        <w:t xml:space="preserve"> </w:t>
      </w:r>
      <w:r w:rsidRPr="00D4309F">
        <w:t>nature</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bar</w:t>
      </w:r>
      <w:r w:rsidRPr="00D4309F">
        <w:rPr>
          <w:spacing w:val="-2"/>
        </w:rPr>
        <w:t xml:space="preserve"> </w:t>
      </w:r>
      <w:r w:rsidRPr="00D4309F">
        <w:t>and</w:t>
      </w:r>
      <w:r w:rsidRPr="00D4309F">
        <w:rPr>
          <w:spacing w:val="-3"/>
        </w:rPr>
        <w:t xml:space="preserve"> </w:t>
      </w:r>
      <w:r w:rsidRPr="00D4309F">
        <w:t>the</w:t>
      </w:r>
      <w:r w:rsidRPr="00D4309F">
        <w:rPr>
          <w:spacing w:val="-3"/>
        </w:rPr>
        <w:t xml:space="preserve"> </w:t>
      </w:r>
      <w:r w:rsidRPr="00D4309F">
        <w:t>need</w:t>
      </w:r>
      <w:r w:rsidRPr="00D4309F">
        <w:rPr>
          <w:spacing w:val="-3"/>
        </w:rPr>
        <w:t xml:space="preserve"> </w:t>
      </w:r>
      <w:r w:rsidRPr="00D4309F">
        <w:t>for</w:t>
      </w:r>
      <w:r w:rsidRPr="00D4309F">
        <w:rPr>
          <w:spacing w:val="-2"/>
        </w:rPr>
        <w:t xml:space="preserve"> </w:t>
      </w:r>
      <w:r w:rsidRPr="00D4309F">
        <w:t>caution</w:t>
      </w:r>
      <w:r w:rsidRPr="00D4309F">
        <w:rPr>
          <w:spacing w:val="-3"/>
        </w:rPr>
        <w:t xml:space="preserve"> </w:t>
      </w:r>
      <w:r w:rsidRPr="00D4309F">
        <w:t>when</w:t>
      </w:r>
      <w:r w:rsidRPr="00D4309F">
        <w:rPr>
          <w:spacing w:val="-3"/>
        </w:rPr>
        <w:t xml:space="preserve"> </w:t>
      </w:r>
      <w:r w:rsidRPr="00D4309F">
        <w:rPr>
          <w:spacing w:val="-2"/>
        </w:rPr>
        <w:t>crossing.</w:t>
      </w:r>
    </w:p>
    <w:p w14:paraId="549E9029" w14:textId="77777777" w:rsidR="00725977" w:rsidRPr="00D4309F" w:rsidRDefault="00725977" w:rsidP="000960AC">
      <w:pPr>
        <w:pStyle w:val="ListBullet2"/>
      </w:pPr>
      <w:r w:rsidRPr="00D4309F">
        <w:t>Safety</w:t>
      </w:r>
      <w:r w:rsidRPr="00D4309F">
        <w:rPr>
          <w:spacing w:val="-5"/>
        </w:rPr>
        <w:t xml:space="preserve"> </w:t>
      </w:r>
      <w:r w:rsidRPr="00D4309F">
        <w:t>information,</w:t>
      </w:r>
      <w:r w:rsidRPr="00D4309F">
        <w:rPr>
          <w:spacing w:val="-5"/>
        </w:rPr>
        <w:t xml:space="preserve"> </w:t>
      </w:r>
      <w:r w:rsidRPr="00D4309F">
        <w:t>including</w:t>
      </w:r>
      <w:r w:rsidRPr="00D4309F">
        <w:rPr>
          <w:spacing w:val="-5"/>
        </w:rPr>
        <w:t xml:space="preserve"> </w:t>
      </w:r>
      <w:r w:rsidRPr="00D4309F">
        <w:t>life</w:t>
      </w:r>
      <w:r w:rsidRPr="00D4309F">
        <w:rPr>
          <w:spacing w:val="-5"/>
        </w:rPr>
        <w:t xml:space="preserve"> </w:t>
      </w:r>
      <w:r w:rsidRPr="00D4309F">
        <w:t>jacket</w:t>
      </w:r>
      <w:r w:rsidRPr="00D4309F">
        <w:rPr>
          <w:spacing w:val="-5"/>
        </w:rPr>
        <w:t xml:space="preserve"> </w:t>
      </w:r>
      <w:r w:rsidRPr="00D4309F">
        <w:rPr>
          <w:spacing w:val="-2"/>
        </w:rPr>
        <w:t>laws.</w:t>
      </w:r>
    </w:p>
    <w:p w14:paraId="49709257" w14:textId="54118FD4" w:rsidR="00F06E88" w:rsidRPr="00DA1200" w:rsidRDefault="00725977" w:rsidP="00725977">
      <w:pPr>
        <w:pStyle w:val="BodyText"/>
        <w:rPr>
          <w:spacing w:val="-2"/>
        </w:rPr>
      </w:pPr>
      <w:r w:rsidRPr="00D4309F">
        <w:t>The</w:t>
      </w:r>
      <w:r w:rsidRPr="00D4309F">
        <w:rPr>
          <w:spacing w:val="-5"/>
        </w:rPr>
        <w:t xml:space="preserve"> </w:t>
      </w:r>
      <w:r w:rsidRPr="00D4309F">
        <w:t>aim</w:t>
      </w:r>
      <w:r w:rsidRPr="00D4309F">
        <w:rPr>
          <w:spacing w:val="-3"/>
        </w:rPr>
        <w:t xml:space="preserve"> </w:t>
      </w:r>
      <w:r w:rsidRPr="00D4309F">
        <w:t>is</w:t>
      </w:r>
      <w:r w:rsidRPr="00D4309F">
        <w:rPr>
          <w:spacing w:val="-3"/>
        </w:rPr>
        <w:t xml:space="preserve"> </w:t>
      </w:r>
      <w:r w:rsidRPr="00D4309F">
        <w:t>to</w:t>
      </w:r>
      <w:r w:rsidRPr="00D4309F">
        <w:rPr>
          <w:spacing w:val="-3"/>
        </w:rPr>
        <w:t xml:space="preserve"> </w:t>
      </w:r>
      <w:r w:rsidRPr="00D4309F">
        <w:t>ensure</w:t>
      </w:r>
      <w:r w:rsidRPr="00D4309F">
        <w:rPr>
          <w:spacing w:val="-3"/>
        </w:rPr>
        <w:t xml:space="preserve"> </w:t>
      </w:r>
      <w:r w:rsidRPr="00D4309F">
        <w:t>the</w:t>
      </w:r>
      <w:r w:rsidRPr="00D4309F">
        <w:rPr>
          <w:spacing w:val="-4"/>
        </w:rPr>
        <w:t xml:space="preserve"> </w:t>
      </w:r>
      <w:r w:rsidRPr="00D4309F">
        <w:t>NtM</w:t>
      </w:r>
      <w:r w:rsidRPr="00D4309F">
        <w:rPr>
          <w:spacing w:val="-3"/>
        </w:rPr>
        <w:t xml:space="preserve"> </w:t>
      </w:r>
      <w:r w:rsidRPr="00D4309F">
        <w:t>is</w:t>
      </w:r>
      <w:r w:rsidRPr="00D4309F">
        <w:rPr>
          <w:spacing w:val="-2"/>
        </w:rPr>
        <w:t xml:space="preserve"> </w:t>
      </w:r>
      <w:r w:rsidRPr="00D4309F">
        <w:t>clear,</w:t>
      </w:r>
      <w:r w:rsidRPr="00D4309F">
        <w:rPr>
          <w:spacing w:val="-3"/>
        </w:rPr>
        <w:t xml:space="preserve"> </w:t>
      </w:r>
      <w:r w:rsidRPr="00D4309F">
        <w:t>accurate,</w:t>
      </w:r>
      <w:r w:rsidRPr="00D4309F">
        <w:rPr>
          <w:spacing w:val="-3"/>
        </w:rPr>
        <w:t xml:space="preserve"> </w:t>
      </w:r>
      <w:r w:rsidRPr="00D4309F">
        <w:t>and</w:t>
      </w:r>
      <w:r w:rsidRPr="00D4309F">
        <w:rPr>
          <w:spacing w:val="-3"/>
        </w:rPr>
        <w:t xml:space="preserve"> </w:t>
      </w:r>
      <w:r w:rsidRPr="00D4309F">
        <w:t>provides</w:t>
      </w:r>
      <w:r w:rsidRPr="00D4309F">
        <w:rPr>
          <w:spacing w:val="-2"/>
        </w:rPr>
        <w:t xml:space="preserve"> </w:t>
      </w:r>
      <w:r w:rsidRPr="00D4309F">
        <w:t>all</w:t>
      </w:r>
      <w:r w:rsidRPr="00D4309F">
        <w:rPr>
          <w:spacing w:val="-3"/>
        </w:rPr>
        <w:t xml:space="preserve"> </w:t>
      </w:r>
      <w:r w:rsidRPr="00D4309F">
        <w:t>the</w:t>
      </w:r>
      <w:r w:rsidRPr="00D4309F">
        <w:rPr>
          <w:spacing w:val="-3"/>
        </w:rPr>
        <w:t xml:space="preserve"> </w:t>
      </w:r>
      <w:r w:rsidRPr="00D4309F">
        <w:t>necessary</w:t>
      </w:r>
      <w:r w:rsidRPr="00D4309F">
        <w:rPr>
          <w:spacing w:val="-2"/>
        </w:rPr>
        <w:t xml:space="preserve"> </w:t>
      </w:r>
      <w:r w:rsidRPr="00D4309F">
        <w:t>information</w:t>
      </w:r>
      <w:r w:rsidRPr="00D4309F">
        <w:rPr>
          <w:spacing w:val="-3"/>
        </w:rPr>
        <w:t xml:space="preserve"> </w:t>
      </w:r>
      <w:r w:rsidRPr="00D4309F">
        <w:t>for</w:t>
      </w:r>
      <w:r w:rsidRPr="00D4309F">
        <w:rPr>
          <w:spacing w:val="-2"/>
        </w:rPr>
        <w:t xml:space="preserve"> mariners.</w:t>
      </w:r>
    </w:p>
    <w:p w14:paraId="59E3D69F" w14:textId="77777777" w:rsidR="00725977" w:rsidRPr="00D4309F" w:rsidRDefault="00725977" w:rsidP="005906AD">
      <w:pPr>
        <w:pStyle w:val="Heading3-nonumber"/>
      </w:pPr>
      <w:bookmarkStart w:id="126" w:name="_Toc216699332"/>
      <w:r w:rsidRPr="00D4309F">
        <w:t>Publishing</w:t>
      </w:r>
      <w:r w:rsidRPr="00D4309F">
        <w:rPr>
          <w:spacing w:val="-7"/>
        </w:rPr>
        <w:t xml:space="preserve"> </w:t>
      </w:r>
      <w:r w:rsidRPr="00D4309F">
        <w:t>and</w:t>
      </w:r>
      <w:r w:rsidRPr="00D4309F">
        <w:rPr>
          <w:spacing w:val="-5"/>
        </w:rPr>
        <w:t xml:space="preserve"> </w:t>
      </w:r>
      <w:r w:rsidRPr="00D4309F">
        <w:t>disseminating</w:t>
      </w:r>
      <w:r w:rsidRPr="00D4309F">
        <w:rPr>
          <w:spacing w:val="-4"/>
        </w:rPr>
        <w:t xml:space="preserve"> </w:t>
      </w:r>
      <w:r w:rsidRPr="00581BEA">
        <w:t>the</w:t>
      </w:r>
      <w:r w:rsidRPr="00581BEA">
        <w:rPr>
          <w:spacing w:val="-4"/>
        </w:rPr>
        <w:t xml:space="preserve"> </w:t>
      </w:r>
      <w:r w:rsidRPr="00581BEA">
        <w:rPr>
          <w:spacing w:val="-5"/>
        </w:rPr>
        <w:t>NtM</w:t>
      </w:r>
      <w:bookmarkEnd w:id="126"/>
    </w:p>
    <w:p w14:paraId="14AD67C8" w14:textId="77777777" w:rsidR="00725977" w:rsidRPr="00D4309F" w:rsidRDefault="00725977" w:rsidP="00725977">
      <w:pPr>
        <w:pStyle w:val="BodyText"/>
      </w:pPr>
      <w:r w:rsidRPr="00D4309F">
        <w:t>Once</w:t>
      </w:r>
      <w:r w:rsidRPr="00D4309F">
        <w:rPr>
          <w:spacing w:val="-5"/>
        </w:rPr>
        <w:t xml:space="preserve"> </w:t>
      </w:r>
      <w:r w:rsidRPr="00D4309F">
        <w:t>the</w:t>
      </w:r>
      <w:r w:rsidRPr="00D4309F">
        <w:rPr>
          <w:spacing w:val="-2"/>
        </w:rPr>
        <w:t xml:space="preserve"> </w:t>
      </w:r>
      <w:r w:rsidRPr="00D4309F">
        <w:t>NtM</w:t>
      </w:r>
      <w:r w:rsidRPr="00D4309F">
        <w:rPr>
          <w:spacing w:val="-2"/>
        </w:rPr>
        <w:t xml:space="preserve"> </w:t>
      </w:r>
      <w:r w:rsidRPr="00D4309F">
        <w:t>is</w:t>
      </w:r>
      <w:r w:rsidRPr="00D4309F">
        <w:rPr>
          <w:spacing w:val="-1"/>
        </w:rPr>
        <w:t xml:space="preserve"> </w:t>
      </w:r>
      <w:r w:rsidRPr="00D4309F">
        <w:rPr>
          <w:spacing w:val="-2"/>
        </w:rPr>
        <w:t>finalised:</w:t>
      </w:r>
    </w:p>
    <w:p w14:paraId="5B732B36" w14:textId="77777777" w:rsidR="00725977" w:rsidRPr="00D4309F" w:rsidRDefault="00725977" w:rsidP="000960AC">
      <w:pPr>
        <w:pStyle w:val="ListBullet"/>
      </w:pPr>
      <w:r w:rsidRPr="00D4309F">
        <w:lastRenderedPageBreak/>
        <w:t>It</w:t>
      </w:r>
      <w:r w:rsidRPr="00D4309F">
        <w:rPr>
          <w:spacing w:val="-2"/>
        </w:rPr>
        <w:t xml:space="preserve"> </w:t>
      </w:r>
      <w:r w:rsidRPr="00D4309F">
        <w:t>is</w:t>
      </w:r>
      <w:r w:rsidRPr="00D4309F">
        <w:rPr>
          <w:spacing w:val="-1"/>
        </w:rPr>
        <w:t xml:space="preserve"> </w:t>
      </w:r>
      <w:r w:rsidRPr="00D4309F">
        <w:t>emailed,</w:t>
      </w:r>
      <w:r w:rsidRPr="00D4309F">
        <w:rPr>
          <w:spacing w:val="-2"/>
        </w:rPr>
        <w:t xml:space="preserve"> </w:t>
      </w:r>
      <w:r w:rsidRPr="00D4309F">
        <w:t>along</w:t>
      </w:r>
      <w:r w:rsidRPr="00D4309F">
        <w:rPr>
          <w:spacing w:val="-3"/>
        </w:rPr>
        <w:t xml:space="preserve"> </w:t>
      </w:r>
      <w:r w:rsidRPr="00D4309F">
        <w:t>with</w:t>
      </w:r>
      <w:r w:rsidRPr="00D4309F">
        <w:rPr>
          <w:spacing w:val="-2"/>
        </w:rPr>
        <w:t xml:space="preserve"> </w:t>
      </w:r>
      <w:r w:rsidRPr="00D4309F">
        <w:t>the</w:t>
      </w:r>
      <w:r w:rsidRPr="00D4309F">
        <w:rPr>
          <w:spacing w:val="-2"/>
        </w:rPr>
        <w:t xml:space="preserve"> </w:t>
      </w:r>
      <w:r w:rsidRPr="00D4309F">
        <w:t>survey</w:t>
      </w:r>
      <w:r w:rsidRPr="00D4309F">
        <w:rPr>
          <w:spacing w:val="-1"/>
        </w:rPr>
        <w:t xml:space="preserve"> </w:t>
      </w:r>
      <w:r w:rsidRPr="00D4309F">
        <w:t>map,</w:t>
      </w:r>
      <w:r w:rsidRPr="00D4309F">
        <w:rPr>
          <w:spacing w:val="-2"/>
        </w:rPr>
        <w:t xml:space="preserve"> </w:t>
      </w:r>
      <w:r w:rsidRPr="00D4309F">
        <w:t>to</w:t>
      </w:r>
      <w:r w:rsidRPr="00D4309F">
        <w:rPr>
          <w:spacing w:val="-2"/>
        </w:rPr>
        <w:t xml:space="preserve"> </w:t>
      </w:r>
      <w:r w:rsidRPr="00D4309F">
        <w:t>the</w:t>
      </w:r>
      <w:r w:rsidRPr="00D4309F">
        <w:rPr>
          <w:spacing w:val="-2"/>
        </w:rPr>
        <w:t xml:space="preserve"> </w:t>
      </w:r>
      <w:r w:rsidRPr="00D4309F">
        <w:t>NtM</w:t>
      </w:r>
      <w:r w:rsidRPr="00D4309F">
        <w:rPr>
          <w:spacing w:val="-2"/>
        </w:rPr>
        <w:t xml:space="preserve"> </w:t>
      </w:r>
      <w:r w:rsidRPr="00D4309F">
        <w:t>Publishing</w:t>
      </w:r>
      <w:r w:rsidRPr="00D4309F">
        <w:rPr>
          <w:spacing w:val="-2"/>
        </w:rPr>
        <w:t xml:space="preserve"> </w:t>
      </w:r>
      <w:r w:rsidRPr="00D4309F">
        <w:t>team</w:t>
      </w:r>
      <w:r w:rsidRPr="00D4309F">
        <w:rPr>
          <w:spacing w:val="-2"/>
        </w:rPr>
        <w:t xml:space="preserve"> </w:t>
      </w:r>
      <w:r w:rsidRPr="00D4309F">
        <w:t>by</w:t>
      </w:r>
      <w:r w:rsidRPr="00D4309F">
        <w:rPr>
          <w:spacing w:val="-1"/>
        </w:rPr>
        <w:t xml:space="preserve"> </w:t>
      </w:r>
      <w:r w:rsidRPr="00D4309F">
        <w:t>3:00</w:t>
      </w:r>
      <w:r w:rsidRPr="00D4309F">
        <w:rPr>
          <w:spacing w:val="-2"/>
        </w:rPr>
        <w:t xml:space="preserve"> </w:t>
      </w:r>
      <w:r w:rsidRPr="00D4309F">
        <w:t>PM</w:t>
      </w:r>
      <w:r w:rsidRPr="00D4309F">
        <w:rPr>
          <w:spacing w:val="-2"/>
        </w:rPr>
        <w:t xml:space="preserve"> </w:t>
      </w:r>
      <w:r w:rsidRPr="00D4309F">
        <w:t>on</w:t>
      </w:r>
      <w:r w:rsidRPr="00D4309F">
        <w:rPr>
          <w:spacing w:val="-2"/>
        </w:rPr>
        <w:t xml:space="preserve"> </w:t>
      </w:r>
      <w:r w:rsidRPr="00D4309F">
        <w:t>the</w:t>
      </w:r>
      <w:r w:rsidRPr="00D4309F">
        <w:rPr>
          <w:spacing w:val="-2"/>
        </w:rPr>
        <w:t xml:space="preserve"> </w:t>
      </w:r>
      <w:r w:rsidRPr="00D4309F">
        <w:t>business</w:t>
      </w:r>
      <w:r w:rsidRPr="00D4309F">
        <w:rPr>
          <w:spacing w:val="-1"/>
        </w:rPr>
        <w:t xml:space="preserve"> </w:t>
      </w:r>
      <w:r w:rsidRPr="00D4309F">
        <w:t>day before publication.</w:t>
      </w:r>
    </w:p>
    <w:p w14:paraId="6C4DA25D" w14:textId="77777777" w:rsidR="00725977" w:rsidRPr="00D4309F" w:rsidRDefault="00725977" w:rsidP="000960AC">
      <w:pPr>
        <w:pStyle w:val="ListBullet"/>
      </w:pPr>
      <w:r w:rsidRPr="00D4309F">
        <w:t>The</w:t>
      </w:r>
      <w:r w:rsidRPr="00D4309F">
        <w:rPr>
          <w:spacing w:val="-3"/>
        </w:rPr>
        <w:t xml:space="preserve"> </w:t>
      </w:r>
      <w:r w:rsidRPr="00D4309F">
        <w:t>NtM</w:t>
      </w:r>
      <w:r w:rsidRPr="00D4309F">
        <w:rPr>
          <w:spacing w:val="-3"/>
        </w:rPr>
        <w:t xml:space="preserve"> </w:t>
      </w:r>
      <w:r w:rsidRPr="00D4309F">
        <w:t>is</w:t>
      </w:r>
      <w:r w:rsidRPr="00D4309F">
        <w:rPr>
          <w:spacing w:val="-2"/>
        </w:rPr>
        <w:t xml:space="preserve"> </w:t>
      </w:r>
      <w:r w:rsidRPr="00D4309F">
        <w:t>published</w:t>
      </w:r>
      <w:r w:rsidRPr="00D4309F">
        <w:rPr>
          <w:spacing w:val="-3"/>
        </w:rPr>
        <w:t xml:space="preserve"> </w:t>
      </w:r>
      <w:r w:rsidRPr="00D4309F">
        <w:t>on</w:t>
      </w:r>
      <w:r w:rsidRPr="00D4309F">
        <w:rPr>
          <w:spacing w:val="-3"/>
        </w:rPr>
        <w:t xml:space="preserve"> </w:t>
      </w:r>
      <w:r w:rsidRPr="00D4309F">
        <w:t>the</w:t>
      </w:r>
      <w:r w:rsidRPr="00D4309F">
        <w:rPr>
          <w:spacing w:val="-3"/>
        </w:rPr>
        <w:t xml:space="preserve"> </w:t>
      </w:r>
      <w:r w:rsidRPr="00D4309F">
        <w:t>Queensland</w:t>
      </w:r>
      <w:r w:rsidRPr="00D4309F">
        <w:rPr>
          <w:spacing w:val="-3"/>
        </w:rPr>
        <w:t xml:space="preserve"> </w:t>
      </w:r>
      <w:r w:rsidRPr="00D4309F">
        <w:t>Government</w:t>
      </w:r>
      <w:r w:rsidRPr="00D4309F">
        <w:rPr>
          <w:spacing w:val="-3"/>
        </w:rPr>
        <w:t xml:space="preserve"> </w:t>
      </w:r>
      <w:r w:rsidRPr="00D4309F">
        <w:t>website,</w:t>
      </w:r>
      <w:r w:rsidRPr="00D4309F">
        <w:rPr>
          <w:spacing w:val="-3"/>
        </w:rPr>
        <w:t xml:space="preserve"> </w:t>
      </w:r>
      <w:r w:rsidRPr="00D4309F">
        <w:t>where</w:t>
      </w:r>
      <w:r w:rsidRPr="00D4309F">
        <w:rPr>
          <w:spacing w:val="-3"/>
        </w:rPr>
        <w:t xml:space="preserve"> </w:t>
      </w:r>
      <w:r w:rsidRPr="00D4309F">
        <w:t>it</w:t>
      </w:r>
      <w:r w:rsidRPr="00D4309F">
        <w:rPr>
          <w:spacing w:val="-3"/>
        </w:rPr>
        <w:t xml:space="preserve"> </w:t>
      </w:r>
      <w:r w:rsidRPr="00D4309F">
        <w:t>is</w:t>
      </w:r>
      <w:r w:rsidRPr="00D4309F">
        <w:rPr>
          <w:spacing w:val="-2"/>
        </w:rPr>
        <w:t xml:space="preserve"> </w:t>
      </w:r>
      <w:r w:rsidRPr="00D4309F">
        <w:t>available</w:t>
      </w:r>
      <w:r w:rsidRPr="00D4309F">
        <w:rPr>
          <w:spacing w:val="-3"/>
        </w:rPr>
        <w:t xml:space="preserve"> </w:t>
      </w:r>
      <w:r w:rsidRPr="00D4309F">
        <w:t>for</w:t>
      </w:r>
      <w:r w:rsidRPr="00D4309F">
        <w:rPr>
          <w:spacing w:val="-2"/>
        </w:rPr>
        <w:t xml:space="preserve"> </w:t>
      </w:r>
      <w:r w:rsidRPr="00D4309F">
        <w:t>other organisations such as Coast Guard to share on their social media pages.</w:t>
      </w:r>
    </w:p>
    <w:p w14:paraId="447E3AA9" w14:textId="09360B9B" w:rsidR="00F06E88" w:rsidRPr="00D4309F" w:rsidRDefault="00725977" w:rsidP="00725977">
      <w:pPr>
        <w:pStyle w:val="BodyText"/>
      </w:pPr>
      <w:r w:rsidRPr="00D4309F">
        <w:t>In addition to sharing the NtM, MSQ encourage the Coast Guard to share local advice if conditions change as</w:t>
      </w:r>
      <w:r w:rsidRPr="00D4309F">
        <w:rPr>
          <w:spacing w:val="-2"/>
        </w:rPr>
        <w:t xml:space="preserve"> </w:t>
      </w:r>
      <w:r w:rsidRPr="00D4309F">
        <w:t>shoal</w:t>
      </w:r>
      <w:r w:rsidRPr="00D4309F">
        <w:rPr>
          <w:spacing w:val="-3"/>
        </w:rPr>
        <w:t xml:space="preserve"> </w:t>
      </w:r>
      <w:r w:rsidRPr="00D4309F">
        <w:t>movement</w:t>
      </w:r>
      <w:r w:rsidRPr="00D4309F">
        <w:rPr>
          <w:spacing w:val="-3"/>
        </w:rPr>
        <w:t xml:space="preserve"> </w:t>
      </w:r>
      <w:r w:rsidRPr="00D4309F">
        <w:t>can</w:t>
      </w:r>
      <w:r w:rsidRPr="00D4309F">
        <w:rPr>
          <w:spacing w:val="-3"/>
        </w:rPr>
        <w:t xml:space="preserve"> </w:t>
      </w:r>
      <w:r w:rsidRPr="00D4309F">
        <w:t>be</w:t>
      </w:r>
      <w:r w:rsidRPr="00D4309F">
        <w:rPr>
          <w:spacing w:val="-4"/>
        </w:rPr>
        <w:t xml:space="preserve"> </w:t>
      </w:r>
      <w:r w:rsidRPr="00D4309F">
        <w:t>rapid.</w:t>
      </w:r>
      <w:r w:rsidRPr="00D4309F">
        <w:rPr>
          <w:spacing w:val="-4"/>
        </w:rPr>
        <w:t xml:space="preserve"> </w:t>
      </w:r>
      <w:r w:rsidRPr="00D4309F">
        <w:t>MSQ</w:t>
      </w:r>
      <w:r w:rsidRPr="00D4309F">
        <w:rPr>
          <w:spacing w:val="-4"/>
        </w:rPr>
        <w:t xml:space="preserve"> </w:t>
      </w:r>
      <w:r w:rsidRPr="00D4309F">
        <w:t>also</w:t>
      </w:r>
      <w:r w:rsidRPr="00D4309F">
        <w:rPr>
          <w:spacing w:val="-3"/>
        </w:rPr>
        <w:t xml:space="preserve"> </w:t>
      </w:r>
      <w:r w:rsidRPr="00D4309F">
        <w:t>encourages</w:t>
      </w:r>
      <w:r w:rsidRPr="00D4309F">
        <w:rPr>
          <w:spacing w:val="-3"/>
        </w:rPr>
        <w:t xml:space="preserve"> </w:t>
      </w:r>
      <w:r w:rsidRPr="00D4309F">
        <w:t>mariners</w:t>
      </w:r>
      <w:r w:rsidRPr="00D4309F">
        <w:rPr>
          <w:spacing w:val="-2"/>
        </w:rPr>
        <w:t xml:space="preserve"> </w:t>
      </w:r>
      <w:r w:rsidRPr="00D4309F">
        <w:t>to</w:t>
      </w:r>
      <w:r w:rsidRPr="00D4309F">
        <w:rPr>
          <w:spacing w:val="-3"/>
        </w:rPr>
        <w:t xml:space="preserve"> </w:t>
      </w:r>
      <w:r w:rsidRPr="00D4309F">
        <w:t>seek</w:t>
      </w:r>
      <w:r w:rsidRPr="00D4309F">
        <w:rPr>
          <w:spacing w:val="-2"/>
        </w:rPr>
        <w:t xml:space="preserve"> </w:t>
      </w:r>
      <w:r w:rsidRPr="00D4309F">
        <w:t>local</w:t>
      </w:r>
      <w:r w:rsidRPr="00D4309F">
        <w:rPr>
          <w:spacing w:val="-3"/>
        </w:rPr>
        <w:t xml:space="preserve"> </w:t>
      </w:r>
      <w:r w:rsidRPr="00D4309F">
        <w:t>knowledge</w:t>
      </w:r>
      <w:r w:rsidRPr="00D4309F">
        <w:rPr>
          <w:spacing w:val="-3"/>
        </w:rPr>
        <w:t xml:space="preserve"> </w:t>
      </w:r>
      <w:r w:rsidRPr="00D4309F">
        <w:t>prior</w:t>
      </w:r>
      <w:r w:rsidRPr="00D4309F">
        <w:rPr>
          <w:spacing w:val="-2"/>
        </w:rPr>
        <w:t xml:space="preserve"> </w:t>
      </w:r>
      <w:r w:rsidRPr="00D4309F">
        <w:t>to</w:t>
      </w:r>
      <w:r w:rsidRPr="00D4309F">
        <w:rPr>
          <w:spacing w:val="-3"/>
        </w:rPr>
        <w:t xml:space="preserve"> </w:t>
      </w:r>
      <w:r w:rsidRPr="00D4309F">
        <w:t>crossing the coastal bar.</w:t>
      </w:r>
    </w:p>
    <w:p w14:paraId="2058AC2C" w14:textId="77777777" w:rsidR="00725977" w:rsidRPr="00D4309F" w:rsidRDefault="00725977" w:rsidP="005906AD">
      <w:pPr>
        <w:pStyle w:val="Heading3-nonumber"/>
      </w:pPr>
      <w:bookmarkStart w:id="127" w:name="_Toc216699333"/>
      <w:r w:rsidRPr="00D4309F">
        <w:t>Ongoing</w:t>
      </w:r>
      <w:r w:rsidRPr="00D4309F">
        <w:rPr>
          <w:spacing w:val="-4"/>
        </w:rPr>
        <w:t xml:space="preserve"> </w:t>
      </w:r>
      <w:r w:rsidRPr="00581BEA">
        <w:t>monitoring</w:t>
      </w:r>
      <w:r w:rsidRPr="00581BEA">
        <w:rPr>
          <w:spacing w:val="-5"/>
        </w:rPr>
        <w:t xml:space="preserve"> </w:t>
      </w:r>
      <w:r w:rsidRPr="00581BEA">
        <w:t>and</w:t>
      </w:r>
      <w:r w:rsidRPr="00581BEA">
        <w:rPr>
          <w:spacing w:val="-4"/>
        </w:rPr>
        <w:t xml:space="preserve"> </w:t>
      </w:r>
      <w:r w:rsidRPr="00581BEA">
        <w:rPr>
          <w:spacing w:val="-2"/>
        </w:rPr>
        <w:t>updates</w:t>
      </w:r>
      <w:bookmarkEnd w:id="127"/>
    </w:p>
    <w:p w14:paraId="04D1CE0F" w14:textId="77777777" w:rsidR="00725977" w:rsidRPr="00D4309F" w:rsidRDefault="00725977" w:rsidP="00725977">
      <w:pPr>
        <w:pStyle w:val="BodyText"/>
      </w:pPr>
      <w:r w:rsidRPr="00D4309F">
        <w:t>The</w:t>
      </w:r>
      <w:r w:rsidRPr="00D4309F">
        <w:rPr>
          <w:spacing w:val="-3"/>
        </w:rPr>
        <w:t xml:space="preserve"> </w:t>
      </w:r>
      <w:r w:rsidRPr="00D4309F">
        <w:t>bar</w:t>
      </w:r>
      <w:r w:rsidRPr="00D4309F">
        <w:rPr>
          <w:spacing w:val="-2"/>
        </w:rPr>
        <w:t xml:space="preserve"> </w:t>
      </w:r>
      <w:r w:rsidRPr="00D4309F">
        <w:t>is</w:t>
      </w:r>
      <w:r w:rsidRPr="00D4309F">
        <w:rPr>
          <w:spacing w:val="-2"/>
        </w:rPr>
        <w:t xml:space="preserve"> </w:t>
      </w:r>
      <w:r w:rsidRPr="00D4309F">
        <w:t>continuously</w:t>
      </w:r>
      <w:r w:rsidRPr="00D4309F">
        <w:rPr>
          <w:spacing w:val="-2"/>
        </w:rPr>
        <w:t xml:space="preserve"> </w:t>
      </w:r>
      <w:r w:rsidRPr="00D4309F">
        <w:t>monitored,</w:t>
      </w:r>
      <w:r w:rsidRPr="00D4309F">
        <w:rPr>
          <w:spacing w:val="-3"/>
        </w:rPr>
        <w:t xml:space="preserve"> </w:t>
      </w:r>
      <w:r w:rsidRPr="00D4309F">
        <w:t>and</w:t>
      </w:r>
      <w:r w:rsidRPr="00D4309F">
        <w:rPr>
          <w:spacing w:val="-4"/>
        </w:rPr>
        <w:t xml:space="preserve"> </w:t>
      </w:r>
      <w:r w:rsidRPr="00D4309F">
        <w:t>new</w:t>
      </w:r>
      <w:r w:rsidRPr="00D4309F">
        <w:rPr>
          <w:spacing w:val="-4"/>
        </w:rPr>
        <w:t xml:space="preserve"> </w:t>
      </w:r>
      <w:r w:rsidRPr="00D4309F">
        <w:t>surveys</w:t>
      </w:r>
      <w:r w:rsidRPr="00D4309F">
        <w:rPr>
          <w:spacing w:val="-2"/>
        </w:rPr>
        <w:t xml:space="preserve"> </w:t>
      </w:r>
      <w:r w:rsidRPr="00D4309F">
        <w:t>are</w:t>
      </w:r>
      <w:r w:rsidRPr="00D4309F">
        <w:rPr>
          <w:spacing w:val="-3"/>
        </w:rPr>
        <w:t xml:space="preserve"> </w:t>
      </w:r>
      <w:r w:rsidRPr="00D4309F">
        <w:t>conducted</w:t>
      </w:r>
      <w:r w:rsidRPr="00D4309F">
        <w:rPr>
          <w:spacing w:val="-3"/>
        </w:rPr>
        <w:t xml:space="preserve"> </w:t>
      </w:r>
      <w:r w:rsidRPr="00D4309F">
        <w:t>as</w:t>
      </w:r>
      <w:r w:rsidRPr="00D4309F">
        <w:rPr>
          <w:spacing w:val="-2"/>
        </w:rPr>
        <w:t xml:space="preserve"> </w:t>
      </w:r>
      <w:r w:rsidRPr="00D4309F">
        <w:t>needed.</w:t>
      </w:r>
      <w:r w:rsidRPr="00D4309F">
        <w:rPr>
          <w:spacing w:val="-3"/>
        </w:rPr>
        <w:t xml:space="preserve"> </w:t>
      </w:r>
      <w:r w:rsidRPr="00D4309F">
        <w:t>If</w:t>
      </w:r>
      <w:r w:rsidRPr="00D4309F">
        <w:rPr>
          <w:spacing w:val="-3"/>
        </w:rPr>
        <w:t xml:space="preserve"> </w:t>
      </w:r>
      <w:r w:rsidRPr="00D4309F">
        <w:t>conditions</w:t>
      </w:r>
      <w:r w:rsidRPr="00D4309F">
        <w:rPr>
          <w:spacing w:val="-2"/>
        </w:rPr>
        <w:t xml:space="preserve"> </w:t>
      </w:r>
      <w:r w:rsidRPr="00D4309F">
        <w:t xml:space="preserve">change, updated NtMs are issued upon receiving accurate data to ensure mariners have the most current </w:t>
      </w:r>
      <w:r w:rsidRPr="00D4309F">
        <w:rPr>
          <w:spacing w:val="-2"/>
        </w:rPr>
        <w:t>information.</w:t>
      </w:r>
    </w:p>
    <w:p w14:paraId="682576DD" w14:textId="3E2D5365" w:rsidR="00F06E88" w:rsidRPr="00DA1200" w:rsidRDefault="00725977" w:rsidP="00725977">
      <w:pPr>
        <w:pStyle w:val="BodyText"/>
        <w:rPr>
          <w:spacing w:val="-2"/>
        </w:rPr>
      </w:pPr>
      <w:r w:rsidRPr="00D4309F">
        <w:t>This</w:t>
      </w:r>
      <w:r w:rsidRPr="00D4309F">
        <w:rPr>
          <w:spacing w:val="-7"/>
        </w:rPr>
        <w:t xml:space="preserve"> </w:t>
      </w:r>
      <w:r w:rsidRPr="00D4309F">
        <w:t>process</w:t>
      </w:r>
      <w:r w:rsidRPr="00D4309F">
        <w:rPr>
          <w:spacing w:val="-5"/>
        </w:rPr>
        <w:t xml:space="preserve"> </w:t>
      </w:r>
      <w:r w:rsidRPr="00D4309F">
        <w:t>remains</w:t>
      </w:r>
      <w:r w:rsidRPr="00D4309F">
        <w:rPr>
          <w:spacing w:val="-4"/>
        </w:rPr>
        <w:t xml:space="preserve"> </w:t>
      </w:r>
      <w:r w:rsidRPr="00D4309F">
        <w:t>responsive</w:t>
      </w:r>
      <w:r w:rsidRPr="00D4309F">
        <w:rPr>
          <w:spacing w:val="-5"/>
        </w:rPr>
        <w:t xml:space="preserve"> </w:t>
      </w:r>
      <w:r w:rsidRPr="00D4309F">
        <w:t>to</w:t>
      </w:r>
      <w:r w:rsidRPr="00D4309F">
        <w:rPr>
          <w:spacing w:val="-5"/>
        </w:rPr>
        <w:t xml:space="preserve"> </w:t>
      </w:r>
      <w:r w:rsidRPr="00D4309F">
        <w:t>changing</w:t>
      </w:r>
      <w:r w:rsidRPr="00D4309F">
        <w:rPr>
          <w:spacing w:val="-5"/>
        </w:rPr>
        <w:t xml:space="preserve"> </w:t>
      </w:r>
      <w:r w:rsidRPr="00D4309F">
        <w:t>conditions</w:t>
      </w:r>
      <w:r w:rsidRPr="00D4309F">
        <w:rPr>
          <w:spacing w:val="-5"/>
        </w:rPr>
        <w:t xml:space="preserve"> </w:t>
      </w:r>
      <w:r w:rsidRPr="00D4309F">
        <w:t>to</w:t>
      </w:r>
      <w:r w:rsidRPr="00D4309F">
        <w:rPr>
          <w:spacing w:val="-5"/>
        </w:rPr>
        <w:t xml:space="preserve"> </w:t>
      </w:r>
      <w:r w:rsidRPr="00D4309F">
        <w:t>enhance</w:t>
      </w:r>
      <w:r w:rsidRPr="00D4309F">
        <w:rPr>
          <w:spacing w:val="-5"/>
        </w:rPr>
        <w:t xml:space="preserve"> </w:t>
      </w:r>
      <w:r w:rsidRPr="00D4309F">
        <w:t>navigational</w:t>
      </w:r>
      <w:r w:rsidRPr="00D4309F">
        <w:rPr>
          <w:spacing w:val="-4"/>
        </w:rPr>
        <w:t xml:space="preserve"> </w:t>
      </w:r>
      <w:r w:rsidRPr="00D4309F">
        <w:rPr>
          <w:spacing w:val="-2"/>
        </w:rPr>
        <w:t>safety.</w:t>
      </w:r>
    </w:p>
    <w:p w14:paraId="6297E2D2" w14:textId="77777777" w:rsidR="00725977" w:rsidRPr="00D4309F" w:rsidRDefault="00725977" w:rsidP="004426B8">
      <w:pPr>
        <w:pStyle w:val="Heading2"/>
      </w:pPr>
      <w:bookmarkStart w:id="128" w:name="_bookmark54"/>
      <w:bookmarkStart w:id="129" w:name="_Toc216699334"/>
      <w:bookmarkEnd w:id="128"/>
      <w:r w:rsidRPr="00D4309F">
        <w:t>Crossing</w:t>
      </w:r>
      <w:r w:rsidRPr="00D4309F">
        <w:rPr>
          <w:spacing w:val="-15"/>
        </w:rPr>
        <w:t xml:space="preserve"> </w:t>
      </w:r>
      <w:r w:rsidRPr="00D4309F">
        <w:t>designated</w:t>
      </w:r>
      <w:r w:rsidRPr="00D4309F">
        <w:rPr>
          <w:spacing w:val="-15"/>
        </w:rPr>
        <w:t xml:space="preserve"> </w:t>
      </w:r>
      <w:r w:rsidRPr="00D4309F">
        <w:t>coastal</w:t>
      </w:r>
      <w:r w:rsidRPr="00D4309F">
        <w:rPr>
          <w:spacing w:val="-14"/>
        </w:rPr>
        <w:t xml:space="preserve"> </w:t>
      </w:r>
      <w:r w:rsidRPr="00D4309F">
        <w:rPr>
          <w:spacing w:val="-4"/>
        </w:rPr>
        <w:t>bars</w:t>
      </w:r>
      <w:bookmarkEnd w:id="129"/>
    </w:p>
    <w:p w14:paraId="77E5885F" w14:textId="77777777" w:rsidR="00725977" w:rsidRPr="00D4309F" w:rsidRDefault="00725977" w:rsidP="00725977">
      <w:pPr>
        <w:pStyle w:val="BodyText"/>
      </w:pPr>
      <w:r w:rsidRPr="00D4309F">
        <w:t>It’s</w:t>
      </w:r>
      <w:r w:rsidRPr="00D4309F">
        <w:rPr>
          <w:spacing w:val="-2"/>
        </w:rPr>
        <w:t xml:space="preserve"> </w:t>
      </w:r>
      <w:r w:rsidRPr="00D4309F">
        <w:t>important</w:t>
      </w:r>
      <w:r w:rsidRPr="00D4309F">
        <w:rPr>
          <w:spacing w:val="-5"/>
        </w:rPr>
        <w:t xml:space="preserve"> </w:t>
      </w:r>
      <w:r w:rsidRPr="00D4309F">
        <w:t>to</w:t>
      </w:r>
      <w:r w:rsidRPr="00D4309F">
        <w:rPr>
          <w:spacing w:val="-3"/>
        </w:rPr>
        <w:t xml:space="preserve"> </w:t>
      </w:r>
      <w:r w:rsidRPr="00D4309F">
        <w:t>note</w:t>
      </w:r>
      <w:r w:rsidRPr="00D4309F">
        <w:rPr>
          <w:spacing w:val="-3"/>
        </w:rPr>
        <w:t xml:space="preserve"> </w:t>
      </w:r>
      <w:r w:rsidRPr="00D4309F">
        <w:t>that</w:t>
      </w:r>
      <w:r w:rsidRPr="00D4309F">
        <w:rPr>
          <w:spacing w:val="-3"/>
        </w:rPr>
        <w:t xml:space="preserve"> </w:t>
      </w:r>
      <w:r w:rsidRPr="00D4309F">
        <w:t>most</w:t>
      </w:r>
      <w:r w:rsidRPr="00D4309F">
        <w:rPr>
          <w:spacing w:val="-3"/>
        </w:rPr>
        <w:t xml:space="preserve"> </w:t>
      </w:r>
      <w:r w:rsidRPr="00D4309F">
        <w:t>designated</w:t>
      </w:r>
      <w:r w:rsidRPr="00D4309F">
        <w:rPr>
          <w:spacing w:val="-3"/>
        </w:rPr>
        <w:t xml:space="preserve"> </w:t>
      </w:r>
      <w:r w:rsidRPr="00D4309F">
        <w:t>coastal</w:t>
      </w:r>
      <w:r w:rsidRPr="00D4309F">
        <w:rPr>
          <w:spacing w:val="-3"/>
        </w:rPr>
        <w:t xml:space="preserve"> </w:t>
      </w:r>
      <w:r w:rsidRPr="00D4309F">
        <w:t>bars</w:t>
      </w:r>
      <w:r w:rsidRPr="00D4309F">
        <w:rPr>
          <w:spacing w:val="-2"/>
        </w:rPr>
        <w:t xml:space="preserve"> </w:t>
      </w:r>
      <w:r w:rsidRPr="00D4309F">
        <w:t>in</w:t>
      </w:r>
      <w:r w:rsidRPr="00D4309F">
        <w:rPr>
          <w:spacing w:val="-3"/>
        </w:rPr>
        <w:t xml:space="preserve"> </w:t>
      </w:r>
      <w:r w:rsidRPr="00D4309F">
        <w:t>Queensland</w:t>
      </w:r>
      <w:r w:rsidRPr="00D4309F">
        <w:rPr>
          <w:spacing w:val="-3"/>
        </w:rPr>
        <w:t xml:space="preserve"> </w:t>
      </w:r>
      <w:r w:rsidRPr="00D4309F">
        <w:t>do</w:t>
      </w:r>
      <w:r w:rsidRPr="00D4309F">
        <w:rPr>
          <w:spacing w:val="-3"/>
        </w:rPr>
        <w:t xml:space="preserve"> </w:t>
      </w:r>
      <w:r w:rsidRPr="00D4309F">
        <w:t>not</w:t>
      </w:r>
      <w:r w:rsidRPr="00D4309F">
        <w:rPr>
          <w:spacing w:val="-3"/>
        </w:rPr>
        <w:t xml:space="preserve"> </w:t>
      </w:r>
      <w:r w:rsidRPr="00D4309F">
        <w:t>have</w:t>
      </w:r>
      <w:r w:rsidRPr="00D4309F">
        <w:rPr>
          <w:spacing w:val="-4"/>
        </w:rPr>
        <w:t xml:space="preserve"> </w:t>
      </w:r>
      <w:r w:rsidRPr="00D4309F">
        <w:t>NtMs</w:t>
      </w:r>
      <w:r w:rsidRPr="00D4309F">
        <w:rPr>
          <w:spacing w:val="-2"/>
        </w:rPr>
        <w:t xml:space="preserve"> </w:t>
      </w:r>
      <w:r w:rsidRPr="00D4309F">
        <w:t>issued</w:t>
      </w:r>
      <w:r w:rsidRPr="00D4309F">
        <w:rPr>
          <w:spacing w:val="-3"/>
        </w:rPr>
        <w:t xml:space="preserve"> </w:t>
      </w:r>
      <w:r w:rsidRPr="00D4309F">
        <w:t>when conditions change. This is because coastal bars are dynamic in nature, meaning their conditions are constantly shifting due to tides, weather, and other environmental factors.</w:t>
      </w:r>
    </w:p>
    <w:p w14:paraId="3BADAEE8" w14:textId="77777777" w:rsidR="00725977" w:rsidRPr="00D4309F" w:rsidRDefault="00725977" w:rsidP="00725977">
      <w:pPr>
        <w:pStyle w:val="BodyText"/>
      </w:pPr>
      <w:r w:rsidRPr="00D4309F">
        <w:t>Crossing a coastal bar is inherently dangerous, and the responsibility for ensuring a safe crossing lies entirely</w:t>
      </w:r>
      <w:r w:rsidRPr="00D4309F">
        <w:rPr>
          <w:spacing w:val="-2"/>
        </w:rPr>
        <w:t xml:space="preserve"> </w:t>
      </w:r>
      <w:r w:rsidRPr="00D4309F">
        <w:t>with</w:t>
      </w:r>
      <w:r w:rsidRPr="00D4309F">
        <w:rPr>
          <w:spacing w:val="-2"/>
        </w:rPr>
        <w:t xml:space="preserve"> </w:t>
      </w:r>
      <w:r w:rsidRPr="00D4309F">
        <w:t>the</w:t>
      </w:r>
      <w:r w:rsidRPr="00D4309F">
        <w:rPr>
          <w:spacing w:val="-2"/>
        </w:rPr>
        <w:t xml:space="preserve"> </w:t>
      </w:r>
      <w:r w:rsidRPr="00D4309F">
        <w:t>vessel’s</w:t>
      </w:r>
      <w:r w:rsidRPr="00D4309F">
        <w:rPr>
          <w:spacing w:val="-2"/>
        </w:rPr>
        <w:t xml:space="preserve"> </w:t>
      </w:r>
      <w:r w:rsidRPr="00D4309F">
        <w:t>master.</w:t>
      </w:r>
      <w:r w:rsidRPr="00D4309F">
        <w:rPr>
          <w:spacing w:val="-4"/>
        </w:rPr>
        <w:t xml:space="preserve"> </w:t>
      </w:r>
      <w:r w:rsidRPr="00D4309F">
        <w:t>While</w:t>
      </w:r>
      <w:r w:rsidRPr="00D4309F">
        <w:rPr>
          <w:spacing w:val="-3"/>
        </w:rPr>
        <w:t xml:space="preserve"> </w:t>
      </w:r>
      <w:r w:rsidRPr="00D4309F">
        <w:t>NtMs</w:t>
      </w:r>
      <w:r w:rsidRPr="00D4309F">
        <w:rPr>
          <w:spacing w:val="-2"/>
        </w:rPr>
        <w:t xml:space="preserve"> </w:t>
      </w:r>
      <w:r w:rsidRPr="00D4309F">
        <w:t>provide</w:t>
      </w:r>
      <w:r w:rsidRPr="00D4309F">
        <w:rPr>
          <w:spacing w:val="-3"/>
        </w:rPr>
        <w:t xml:space="preserve"> </w:t>
      </w:r>
      <w:r w:rsidRPr="00D4309F">
        <w:t>valuable</w:t>
      </w:r>
      <w:r w:rsidRPr="00D4309F">
        <w:rPr>
          <w:spacing w:val="-2"/>
        </w:rPr>
        <w:t xml:space="preserve"> </w:t>
      </w:r>
      <w:r w:rsidRPr="00D4309F">
        <w:t>information</w:t>
      </w:r>
      <w:r w:rsidRPr="00D4309F">
        <w:rPr>
          <w:spacing w:val="-2"/>
        </w:rPr>
        <w:t xml:space="preserve"> </w:t>
      </w:r>
      <w:r w:rsidRPr="00D4309F">
        <w:t>about</w:t>
      </w:r>
      <w:r w:rsidRPr="00D4309F">
        <w:rPr>
          <w:spacing w:val="-4"/>
        </w:rPr>
        <w:t xml:space="preserve"> </w:t>
      </w:r>
      <w:r w:rsidRPr="00D4309F">
        <w:t>conditions</w:t>
      </w:r>
      <w:r w:rsidRPr="00D4309F">
        <w:rPr>
          <w:spacing w:val="-2"/>
        </w:rPr>
        <w:t xml:space="preserve"> </w:t>
      </w:r>
      <w:r w:rsidRPr="00D4309F">
        <w:t>at</w:t>
      </w:r>
      <w:r w:rsidRPr="00D4309F">
        <w:rPr>
          <w:spacing w:val="-4"/>
        </w:rPr>
        <w:t xml:space="preserve"> </w:t>
      </w:r>
      <w:r w:rsidRPr="00D4309F">
        <w:t>specific</w:t>
      </w:r>
      <w:r w:rsidRPr="00D4309F">
        <w:rPr>
          <w:spacing w:val="-2"/>
        </w:rPr>
        <w:t xml:space="preserve"> </w:t>
      </w:r>
      <w:r w:rsidRPr="00D4309F">
        <w:t>times, they are not a substitute for the Master’s own preparation and judgement. Masters should:</w:t>
      </w:r>
    </w:p>
    <w:p w14:paraId="111BC0A4" w14:textId="77777777" w:rsidR="00725977" w:rsidRPr="00D4309F" w:rsidRDefault="00725977" w:rsidP="000960AC">
      <w:pPr>
        <w:pStyle w:val="ListBullet"/>
      </w:pPr>
      <w:r w:rsidRPr="00D4309F">
        <w:rPr>
          <w:b/>
        </w:rPr>
        <w:t>Seek</w:t>
      </w:r>
      <w:r w:rsidRPr="00D4309F">
        <w:rPr>
          <w:b/>
          <w:spacing w:val="-3"/>
        </w:rPr>
        <w:t xml:space="preserve"> </w:t>
      </w:r>
      <w:r w:rsidRPr="00D4309F">
        <w:rPr>
          <w:b/>
        </w:rPr>
        <w:t>out</w:t>
      </w:r>
      <w:r w:rsidRPr="00D4309F">
        <w:rPr>
          <w:b/>
          <w:spacing w:val="-4"/>
        </w:rPr>
        <w:t xml:space="preserve"> </w:t>
      </w:r>
      <w:r w:rsidRPr="00D4309F">
        <w:rPr>
          <w:b/>
        </w:rPr>
        <w:t>the</w:t>
      </w:r>
      <w:r w:rsidRPr="00D4309F">
        <w:rPr>
          <w:b/>
          <w:spacing w:val="-4"/>
        </w:rPr>
        <w:t xml:space="preserve"> </w:t>
      </w:r>
      <w:r w:rsidRPr="00D4309F">
        <w:rPr>
          <w:b/>
        </w:rPr>
        <w:t>latest</w:t>
      </w:r>
      <w:r w:rsidRPr="00D4309F">
        <w:rPr>
          <w:b/>
          <w:spacing w:val="-2"/>
        </w:rPr>
        <w:t xml:space="preserve"> </w:t>
      </w:r>
      <w:r w:rsidRPr="00D4309F">
        <w:rPr>
          <w:b/>
        </w:rPr>
        <w:t>information</w:t>
      </w:r>
      <w:r w:rsidRPr="00D4309F">
        <w:t>:</w:t>
      </w:r>
      <w:r w:rsidRPr="00D4309F">
        <w:rPr>
          <w:spacing w:val="-3"/>
        </w:rPr>
        <w:t xml:space="preserve"> </w:t>
      </w:r>
      <w:r w:rsidRPr="00D4309F">
        <w:t>Always</w:t>
      </w:r>
      <w:r w:rsidRPr="00D4309F">
        <w:rPr>
          <w:spacing w:val="-3"/>
        </w:rPr>
        <w:t xml:space="preserve"> </w:t>
      </w:r>
      <w:r w:rsidRPr="00D4309F">
        <w:t>check</w:t>
      </w:r>
      <w:r w:rsidRPr="00D4309F">
        <w:rPr>
          <w:spacing w:val="-2"/>
        </w:rPr>
        <w:t xml:space="preserve"> </w:t>
      </w:r>
      <w:r w:rsidRPr="00D4309F">
        <w:t>the</w:t>
      </w:r>
      <w:r w:rsidRPr="00D4309F">
        <w:rPr>
          <w:spacing w:val="-3"/>
        </w:rPr>
        <w:t xml:space="preserve"> </w:t>
      </w:r>
      <w:r w:rsidRPr="00D4309F">
        <w:t>most</w:t>
      </w:r>
      <w:r w:rsidRPr="00D4309F">
        <w:rPr>
          <w:spacing w:val="-3"/>
        </w:rPr>
        <w:t xml:space="preserve"> </w:t>
      </w:r>
      <w:r w:rsidRPr="00D4309F">
        <w:t>recent</w:t>
      </w:r>
      <w:r w:rsidRPr="00D4309F">
        <w:rPr>
          <w:spacing w:val="-3"/>
        </w:rPr>
        <w:t xml:space="preserve"> </w:t>
      </w:r>
      <w:r w:rsidRPr="00D4309F">
        <w:t>NtMs</w:t>
      </w:r>
      <w:r w:rsidRPr="00D4309F">
        <w:rPr>
          <w:spacing w:val="-2"/>
        </w:rPr>
        <w:t xml:space="preserve"> </w:t>
      </w:r>
      <w:r w:rsidRPr="00D4309F">
        <w:t>and</w:t>
      </w:r>
      <w:r w:rsidRPr="00D4309F">
        <w:rPr>
          <w:spacing w:val="-3"/>
        </w:rPr>
        <w:t xml:space="preserve"> </w:t>
      </w:r>
      <w:r w:rsidRPr="00D4309F">
        <w:t>other</w:t>
      </w:r>
      <w:r w:rsidRPr="00D4309F">
        <w:rPr>
          <w:spacing w:val="-2"/>
        </w:rPr>
        <w:t xml:space="preserve"> </w:t>
      </w:r>
      <w:r w:rsidRPr="00D4309F">
        <w:t>updates</w:t>
      </w:r>
      <w:r w:rsidRPr="00D4309F">
        <w:rPr>
          <w:spacing w:val="-2"/>
        </w:rPr>
        <w:t xml:space="preserve"> </w:t>
      </w:r>
      <w:r w:rsidRPr="00D4309F">
        <w:t>before attempting</w:t>
      </w:r>
      <w:r w:rsidRPr="00D4309F">
        <w:rPr>
          <w:spacing w:val="-1"/>
        </w:rPr>
        <w:t xml:space="preserve"> </w:t>
      </w:r>
      <w:r w:rsidRPr="00D4309F">
        <w:t>a</w:t>
      </w:r>
      <w:r w:rsidRPr="00D4309F">
        <w:rPr>
          <w:spacing w:val="-1"/>
        </w:rPr>
        <w:t xml:space="preserve"> </w:t>
      </w:r>
      <w:r w:rsidRPr="00D4309F">
        <w:t>crossing.</w:t>
      </w:r>
      <w:r w:rsidRPr="00D4309F">
        <w:rPr>
          <w:spacing w:val="-1"/>
        </w:rPr>
        <w:t xml:space="preserve"> </w:t>
      </w:r>
      <w:r w:rsidRPr="00D4309F">
        <w:t>For</w:t>
      </w:r>
      <w:r w:rsidRPr="00D4309F">
        <w:rPr>
          <w:spacing w:val="-2"/>
        </w:rPr>
        <w:t xml:space="preserve"> </w:t>
      </w:r>
      <w:r w:rsidRPr="00D4309F">
        <w:t>the</w:t>
      </w:r>
      <w:r w:rsidRPr="00D4309F">
        <w:rPr>
          <w:spacing w:val="-1"/>
        </w:rPr>
        <w:t xml:space="preserve"> </w:t>
      </w:r>
      <w:r w:rsidRPr="00D4309F">
        <w:t>Mooloolah</w:t>
      </w:r>
      <w:r w:rsidRPr="00D4309F">
        <w:rPr>
          <w:spacing w:val="-1"/>
        </w:rPr>
        <w:t xml:space="preserve"> </w:t>
      </w:r>
      <w:r w:rsidRPr="00D4309F">
        <w:t>River bar,</w:t>
      </w:r>
      <w:r w:rsidRPr="00D4309F">
        <w:rPr>
          <w:spacing w:val="-1"/>
        </w:rPr>
        <w:t xml:space="preserve"> </w:t>
      </w:r>
      <w:r w:rsidRPr="00D4309F">
        <w:t>this includes reviewing</w:t>
      </w:r>
      <w:r w:rsidRPr="00D4309F">
        <w:rPr>
          <w:spacing w:val="-1"/>
        </w:rPr>
        <w:t xml:space="preserve"> </w:t>
      </w:r>
      <w:r w:rsidRPr="00D4309F">
        <w:t>survey data</w:t>
      </w:r>
      <w:r w:rsidRPr="00D4309F">
        <w:rPr>
          <w:spacing w:val="-1"/>
        </w:rPr>
        <w:t xml:space="preserve"> </w:t>
      </w:r>
      <w:r w:rsidRPr="00D4309F">
        <w:t>and</w:t>
      </w:r>
      <w:r w:rsidRPr="00D4309F">
        <w:rPr>
          <w:spacing w:val="-1"/>
        </w:rPr>
        <w:t xml:space="preserve"> </w:t>
      </w:r>
      <w:r w:rsidRPr="00D4309F">
        <w:t>any warnings issued.</w:t>
      </w:r>
    </w:p>
    <w:p w14:paraId="70BA1C8E" w14:textId="77777777" w:rsidR="00725977" w:rsidRPr="00D4309F" w:rsidRDefault="00725977" w:rsidP="000960AC">
      <w:pPr>
        <w:pStyle w:val="ListBullet"/>
      </w:pPr>
      <w:r w:rsidRPr="00D4309F">
        <w:rPr>
          <w:b/>
        </w:rPr>
        <w:t>Gain</w:t>
      </w:r>
      <w:r w:rsidRPr="00D4309F">
        <w:rPr>
          <w:b/>
          <w:spacing w:val="-3"/>
        </w:rPr>
        <w:t xml:space="preserve"> </w:t>
      </w:r>
      <w:r w:rsidRPr="00D4309F">
        <w:rPr>
          <w:b/>
        </w:rPr>
        <w:t>experience</w:t>
      </w:r>
      <w:r w:rsidRPr="00D4309F">
        <w:t>:</w:t>
      </w:r>
      <w:r w:rsidRPr="00D4309F">
        <w:rPr>
          <w:spacing w:val="-3"/>
        </w:rPr>
        <w:t xml:space="preserve"> </w:t>
      </w:r>
      <w:r w:rsidRPr="00D4309F">
        <w:t>If</w:t>
      </w:r>
      <w:r w:rsidRPr="00D4309F">
        <w:rPr>
          <w:spacing w:val="-3"/>
        </w:rPr>
        <w:t xml:space="preserve"> </w:t>
      </w:r>
      <w:r w:rsidRPr="00D4309F">
        <w:t>unfamiliar</w:t>
      </w:r>
      <w:r w:rsidRPr="00D4309F">
        <w:rPr>
          <w:spacing w:val="-2"/>
        </w:rPr>
        <w:t xml:space="preserve"> </w:t>
      </w:r>
      <w:r w:rsidRPr="00D4309F">
        <w:t>with</w:t>
      </w:r>
      <w:r w:rsidRPr="00D4309F">
        <w:rPr>
          <w:spacing w:val="-3"/>
        </w:rPr>
        <w:t xml:space="preserve"> </w:t>
      </w:r>
      <w:r w:rsidRPr="00D4309F">
        <w:t>bar</w:t>
      </w:r>
      <w:r w:rsidRPr="00D4309F">
        <w:rPr>
          <w:spacing w:val="-2"/>
        </w:rPr>
        <w:t xml:space="preserve"> </w:t>
      </w:r>
      <w:r w:rsidRPr="00D4309F">
        <w:t>crossings,</w:t>
      </w:r>
      <w:r w:rsidRPr="00D4309F">
        <w:rPr>
          <w:spacing w:val="-3"/>
        </w:rPr>
        <w:t xml:space="preserve"> </w:t>
      </w:r>
      <w:r w:rsidRPr="00D4309F">
        <w:t>consider</w:t>
      </w:r>
      <w:r w:rsidRPr="00D4309F">
        <w:rPr>
          <w:spacing w:val="-2"/>
        </w:rPr>
        <w:t xml:space="preserve"> </w:t>
      </w:r>
      <w:r w:rsidRPr="00D4309F">
        <w:t>seeking</w:t>
      </w:r>
      <w:r w:rsidRPr="00D4309F">
        <w:rPr>
          <w:spacing w:val="-4"/>
        </w:rPr>
        <w:t xml:space="preserve"> </w:t>
      </w:r>
      <w:r w:rsidRPr="00D4309F">
        <w:t>advice</w:t>
      </w:r>
      <w:r w:rsidRPr="00D4309F">
        <w:rPr>
          <w:spacing w:val="-3"/>
        </w:rPr>
        <w:t xml:space="preserve"> </w:t>
      </w:r>
      <w:r w:rsidRPr="00D4309F">
        <w:t>or</w:t>
      </w:r>
      <w:r w:rsidRPr="00D4309F">
        <w:rPr>
          <w:spacing w:val="-2"/>
        </w:rPr>
        <w:t xml:space="preserve"> </w:t>
      </w:r>
      <w:r w:rsidRPr="00D4309F">
        <w:t>training</w:t>
      </w:r>
      <w:r w:rsidRPr="00D4309F">
        <w:rPr>
          <w:spacing w:val="-3"/>
        </w:rPr>
        <w:t xml:space="preserve"> </w:t>
      </w:r>
      <w:r w:rsidRPr="00D4309F">
        <w:t>to</w:t>
      </w:r>
      <w:r w:rsidRPr="00D4309F">
        <w:rPr>
          <w:spacing w:val="-3"/>
        </w:rPr>
        <w:t xml:space="preserve"> </w:t>
      </w:r>
      <w:r w:rsidRPr="00D4309F">
        <w:t>build</w:t>
      </w:r>
      <w:r w:rsidRPr="00D4309F">
        <w:rPr>
          <w:spacing w:val="-4"/>
        </w:rPr>
        <w:t xml:space="preserve"> </w:t>
      </w:r>
      <w:r w:rsidRPr="00D4309F">
        <w:t>confidence and</w:t>
      </w:r>
      <w:r w:rsidRPr="00D4309F">
        <w:rPr>
          <w:spacing w:val="-3"/>
        </w:rPr>
        <w:t xml:space="preserve"> </w:t>
      </w:r>
      <w:r w:rsidRPr="00D4309F">
        <w:t>skills.</w:t>
      </w:r>
      <w:r w:rsidRPr="00D4309F">
        <w:rPr>
          <w:spacing w:val="-3"/>
        </w:rPr>
        <w:t xml:space="preserve"> </w:t>
      </w:r>
      <w:r w:rsidRPr="00D4309F">
        <w:t>Experienced</w:t>
      </w:r>
      <w:r w:rsidRPr="00D4309F">
        <w:rPr>
          <w:spacing w:val="-3"/>
        </w:rPr>
        <w:t xml:space="preserve"> </w:t>
      </w:r>
      <w:r w:rsidRPr="00D4309F">
        <w:t>mariners</w:t>
      </w:r>
      <w:r w:rsidRPr="00D4309F">
        <w:rPr>
          <w:spacing w:val="-3"/>
        </w:rPr>
        <w:t xml:space="preserve"> </w:t>
      </w:r>
      <w:r w:rsidRPr="00D4309F">
        <w:t>can</w:t>
      </w:r>
      <w:r w:rsidRPr="00D4309F">
        <w:rPr>
          <w:spacing w:val="-3"/>
        </w:rPr>
        <w:t xml:space="preserve"> </w:t>
      </w:r>
      <w:r w:rsidRPr="00D4309F">
        <w:t>provide</w:t>
      </w:r>
      <w:r w:rsidRPr="00D4309F">
        <w:rPr>
          <w:spacing w:val="-4"/>
        </w:rPr>
        <w:t xml:space="preserve"> </w:t>
      </w:r>
      <w:r w:rsidRPr="00D4309F">
        <w:t>valuable</w:t>
      </w:r>
      <w:r w:rsidRPr="00D4309F">
        <w:rPr>
          <w:spacing w:val="-4"/>
        </w:rPr>
        <w:t xml:space="preserve"> </w:t>
      </w:r>
      <w:r w:rsidRPr="00D4309F">
        <w:t>insights</w:t>
      </w:r>
      <w:r w:rsidRPr="00D4309F">
        <w:rPr>
          <w:spacing w:val="-2"/>
        </w:rPr>
        <w:t xml:space="preserve"> </w:t>
      </w:r>
      <w:r w:rsidRPr="00D4309F">
        <w:t>into</w:t>
      </w:r>
      <w:r w:rsidRPr="00D4309F">
        <w:rPr>
          <w:spacing w:val="-3"/>
        </w:rPr>
        <w:t xml:space="preserve"> </w:t>
      </w:r>
      <w:r w:rsidRPr="00D4309F">
        <w:t>how</w:t>
      </w:r>
      <w:r w:rsidRPr="00D4309F">
        <w:rPr>
          <w:spacing w:val="-2"/>
        </w:rPr>
        <w:t xml:space="preserve"> </w:t>
      </w:r>
      <w:r w:rsidRPr="00D4309F">
        <w:t>to</w:t>
      </w:r>
      <w:r w:rsidRPr="00D4309F">
        <w:rPr>
          <w:spacing w:val="-3"/>
        </w:rPr>
        <w:t xml:space="preserve"> </w:t>
      </w:r>
      <w:r w:rsidRPr="00D4309F">
        <w:t>handle</w:t>
      </w:r>
      <w:r w:rsidRPr="00D4309F">
        <w:rPr>
          <w:spacing w:val="-4"/>
        </w:rPr>
        <w:t xml:space="preserve"> </w:t>
      </w:r>
      <w:r w:rsidRPr="00D4309F">
        <w:t>challenging</w:t>
      </w:r>
      <w:r w:rsidRPr="00D4309F">
        <w:rPr>
          <w:spacing w:val="-3"/>
        </w:rPr>
        <w:t xml:space="preserve"> </w:t>
      </w:r>
      <w:r w:rsidRPr="00D4309F">
        <w:t>conditions.</w:t>
      </w:r>
    </w:p>
    <w:p w14:paraId="2EE670A5" w14:textId="77777777" w:rsidR="00725977" w:rsidRPr="00D4309F" w:rsidRDefault="00725977" w:rsidP="000960AC">
      <w:pPr>
        <w:pStyle w:val="ListBullet"/>
      </w:pPr>
      <w:r w:rsidRPr="00D4309F">
        <w:rPr>
          <w:b/>
        </w:rPr>
        <w:t>Conduct</w:t>
      </w:r>
      <w:r w:rsidRPr="00D4309F">
        <w:rPr>
          <w:b/>
          <w:spacing w:val="-2"/>
        </w:rPr>
        <w:t xml:space="preserve"> </w:t>
      </w:r>
      <w:r w:rsidRPr="00D4309F">
        <w:rPr>
          <w:b/>
        </w:rPr>
        <w:t>a</w:t>
      </w:r>
      <w:r w:rsidRPr="00D4309F">
        <w:rPr>
          <w:b/>
          <w:spacing w:val="-3"/>
        </w:rPr>
        <w:t xml:space="preserve"> </w:t>
      </w:r>
      <w:r w:rsidRPr="00D4309F">
        <w:rPr>
          <w:b/>
        </w:rPr>
        <w:t>risk</w:t>
      </w:r>
      <w:r w:rsidRPr="00D4309F">
        <w:rPr>
          <w:b/>
          <w:spacing w:val="-3"/>
        </w:rPr>
        <w:t xml:space="preserve"> </w:t>
      </w:r>
      <w:r w:rsidRPr="00D4309F">
        <w:rPr>
          <w:b/>
        </w:rPr>
        <w:t>assessment</w:t>
      </w:r>
      <w:r w:rsidRPr="00D4309F">
        <w:t>:</w:t>
      </w:r>
      <w:r w:rsidRPr="00D4309F">
        <w:rPr>
          <w:spacing w:val="-3"/>
        </w:rPr>
        <w:t xml:space="preserve"> </w:t>
      </w:r>
      <w:r w:rsidRPr="00D4309F">
        <w:t>Assess</w:t>
      </w:r>
      <w:r w:rsidRPr="00D4309F">
        <w:rPr>
          <w:spacing w:val="-2"/>
        </w:rPr>
        <w:t xml:space="preserve"> </w:t>
      </w:r>
      <w:r w:rsidRPr="00D4309F">
        <w:t>the</w:t>
      </w:r>
      <w:r w:rsidRPr="00D4309F">
        <w:rPr>
          <w:spacing w:val="-3"/>
        </w:rPr>
        <w:t xml:space="preserve"> </w:t>
      </w:r>
      <w:r w:rsidRPr="00D4309F">
        <w:t>conditions</w:t>
      </w:r>
      <w:r w:rsidRPr="00D4309F">
        <w:rPr>
          <w:spacing w:val="-3"/>
        </w:rPr>
        <w:t xml:space="preserve"> </w:t>
      </w:r>
      <w:r w:rsidRPr="00D4309F">
        <w:t>on</w:t>
      </w:r>
      <w:r w:rsidRPr="00D4309F">
        <w:rPr>
          <w:spacing w:val="-3"/>
        </w:rPr>
        <w:t xml:space="preserve"> </w:t>
      </w:r>
      <w:r w:rsidRPr="00D4309F">
        <w:t>the</w:t>
      </w:r>
      <w:r w:rsidRPr="00D4309F">
        <w:rPr>
          <w:spacing w:val="-3"/>
        </w:rPr>
        <w:t xml:space="preserve"> </w:t>
      </w:r>
      <w:r w:rsidRPr="00D4309F">
        <w:t>day,</w:t>
      </w:r>
      <w:r w:rsidRPr="00D4309F">
        <w:rPr>
          <w:spacing w:val="-3"/>
        </w:rPr>
        <w:t xml:space="preserve"> </w:t>
      </w:r>
      <w:r w:rsidRPr="00D4309F">
        <w:t>including</w:t>
      </w:r>
      <w:r w:rsidRPr="00D4309F">
        <w:rPr>
          <w:spacing w:val="-3"/>
        </w:rPr>
        <w:t xml:space="preserve"> </w:t>
      </w:r>
      <w:r w:rsidRPr="00D4309F">
        <w:t>tide,</w:t>
      </w:r>
      <w:r w:rsidRPr="00D4309F">
        <w:rPr>
          <w:spacing w:val="-5"/>
        </w:rPr>
        <w:t xml:space="preserve"> </w:t>
      </w:r>
      <w:r w:rsidRPr="00D4309F">
        <w:t>swell,</w:t>
      </w:r>
      <w:r w:rsidRPr="00D4309F">
        <w:rPr>
          <w:spacing w:val="-3"/>
        </w:rPr>
        <w:t xml:space="preserve"> </w:t>
      </w:r>
      <w:r w:rsidRPr="00D4309F">
        <w:t>and</w:t>
      </w:r>
      <w:r w:rsidRPr="00D4309F">
        <w:rPr>
          <w:spacing w:val="-3"/>
        </w:rPr>
        <w:t xml:space="preserve"> </w:t>
      </w:r>
      <w:r w:rsidRPr="00D4309F">
        <w:t>weather,</w:t>
      </w:r>
      <w:r w:rsidRPr="00D4309F">
        <w:rPr>
          <w:spacing w:val="-3"/>
        </w:rPr>
        <w:t xml:space="preserve"> </w:t>
      </w:r>
      <w:r w:rsidRPr="00D4309F">
        <w:t>and decide whether it is safe to proceed. Even with favourable conditions, crossing a bar requires caution and skill.</w:t>
      </w:r>
    </w:p>
    <w:p w14:paraId="597C238F" w14:textId="77777777" w:rsidR="00725977" w:rsidRPr="00D4309F" w:rsidRDefault="00725977" w:rsidP="00725977">
      <w:pPr>
        <w:pStyle w:val="BodyText"/>
      </w:pPr>
      <w:r w:rsidRPr="00D4309F">
        <w:t>Mariners should also be aware of the legal requirements for wearing life jackets when crossing a designated coastal</w:t>
      </w:r>
      <w:r w:rsidRPr="00D4309F">
        <w:rPr>
          <w:spacing w:val="-2"/>
        </w:rPr>
        <w:t xml:space="preserve"> </w:t>
      </w:r>
      <w:r w:rsidRPr="00D4309F">
        <w:t>bar.</w:t>
      </w:r>
      <w:r w:rsidRPr="00D4309F">
        <w:rPr>
          <w:spacing w:val="-2"/>
        </w:rPr>
        <w:t xml:space="preserve"> </w:t>
      </w:r>
      <w:r w:rsidRPr="00D4309F">
        <w:t>These</w:t>
      </w:r>
      <w:r w:rsidRPr="00D4309F">
        <w:rPr>
          <w:spacing w:val="-2"/>
        </w:rPr>
        <w:t xml:space="preserve"> </w:t>
      </w:r>
      <w:r w:rsidRPr="00D4309F">
        <w:t>laws</w:t>
      </w:r>
      <w:r w:rsidRPr="00D4309F">
        <w:rPr>
          <w:spacing w:val="-1"/>
        </w:rPr>
        <w:t xml:space="preserve"> </w:t>
      </w:r>
      <w:r w:rsidRPr="00D4309F">
        <w:t>are</w:t>
      </w:r>
      <w:r w:rsidRPr="00D4309F">
        <w:rPr>
          <w:spacing w:val="-2"/>
        </w:rPr>
        <w:t xml:space="preserve"> </w:t>
      </w:r>
      <w:r w:rsidRPr="00D4309F">
        <w:t>in</w:t>
      </w:r>
      <w:r w:rsidRPr="00D4309F">
        <w:rPr>
          <w:spacing w:val="-2"/>
        </w:rPr>
        <w:t xml:space="preserve"> </w:t>
      </w:r>
      <w:r w:rsidRPr="00D4309F">
        <w:t>place</w:t>
      </w:r>
      <w:r w:rsidRPr="00D4309F">
        <w:rPr>
          <w:spacing w:val="-2"/>
        </w:rPr>
        <w:t xml:space="preserve"> </w:t>
      </w:r>
      <w:r w:rsidRPr="00D4309F">
        <w:t>to</w:t>
      </w:r>
      <w:r w:rsidRPr="00D4309F">
        <w:rPr>
          <w:spacing w:val="-2"/>
        </w:rPr>
        <w:t xml:space="preserve"> </w:t>
      </w:r>
      <w:r w:rsidRPr="00D4309F">
        <w:t>reduce</w:t>
      </w:r>
      <w:r w:rsidRPr="00D4309F">
        <w:rPr>
          <w:spacing w:val="-2"/>
        </w:rPr>
        <w:t xml:space="preserve"> </w:t>
      </w:r>
      <w:r w:rsidRPr="00D4309F">
        <w:t>the</w:t>
      </w:r>
      <w:r w:rsidRPr="00D4309F">
        <w:rPr>
          <w:spacing w:val="-2"/>
        </w:rPr>
        <w:t xml:space="preserve"> </w:t>
      </w:r>
      <w:r w:rsidRPr="00D4309F">
        <w:t>risk</w:t>
      </w:r>
      <w:r w:rsidRPr="00D4309F">
        <w:rPr>
          <w:spacing w:val="-1"/>
        </w:rPr>
        <w:t xml:space="preserve"> </w:t>
      </w:r>
      <w:r w:rsidRPr="00D4309F">
        <w:t>of</w:t>
      </w:r>
      <w:r w:rsidRPr="00D4309F">
        <w:rPr>
          <w:spacing w:val="-2"/>
        </w:rPr>
        <w:t xml:space="preserve"> </w:t>
      </w:r>
      <w:r w:rsidRPr="00D4309F">
        <w:t>fatalities</w:t>
      </w:r>
      <w:r w:rsidRPr="00D4309F">
        <w:rPr>
          <w:spacing w:val="-1"/>
        </w:rPr>
        <w:t xml:space="preserve"> </w:t>
      </w:r>
      <w:r w:rsidRPr="00D4309F">
        <w:t>in</w:t>
      </w:r>
      <w:r w:rsidRPr="00D4309F">
        <w:rPr>
          <w:spacing w:val="-2"/>
        </w:rPr>
        <w:t xml:space="preserve"> </w:t>
      </w:r>
      <w:r w:rsidRPr="00D4309F">
        <w:t>the</w:t>
      </w:r>
      <w:r w:rsidRPr="00D4309F">
        <w:rPr>
          <w:spacing w:val="-2"/>
        </w:rPr>
        <w:t xml:space="preserve"> </w:t>
      </w:r>
      <w:r w:rsidRPr="00D4309F">
        <w:t>event</w:t>
      </w:r>
      <w:r w:rsidRPr="00D4309F">
        <w:rPr>
          <w:spacing w:val="-2"/>
        </w:rPr>
        <w:t xml:space="preserve"> </w:t>
      </w:r>
      <w:r w:rsidRPr="00D4309F">
        <w:t>of</w:t>
      </w:r>
      <w:r w:rsidRPr="00D4309F">
        <w:rPr>
          <w:spacing w:val="-2"/>
        </w:rPr>
        <w:t xml:space="preserve"> </w:t>
      </w:r>
      <w:r w:rsidRPr="00D4309F">
        <w:t>an</w:t>
      </w:r>
      <w:r w:rsidRPr="00D4309F">
        <w:rPr>
          <w:spacing w:val="-2"/>
        </w:rPr>
        <w:t xml:space="preserve"> </w:t>
      </w:r>
      <w:r w:rsidRPr="00D4309F">
        <w:t>incident.</w:t>
      </w:r>
      <w:r w:rsidRPr="00D4309F">
        <w:rPr>
          <w:spacing w:val="-4"/>
        </w:rPr>
        <w:t xml:space="preserve"> </w:t>
      </w:r>
      <w:r w:rsidRPr="00D4309F">
        <w:t>Information</w:t>
      </w:r>
      <w:r w:rsidRPr="00D4309F">
        <w:rPr>
          <w:spacing w:val="-2"/>
        </w:rPr>
        <w:t xml:space="preserve"> </w:t>
      </w:r>
      <w:r w:rsidRPr="00D4309F">
        <w:t>and guidance can be found on the Maritime Safety Queensland website. By understanding the risks and taking appropriate precautions, vessel masters can significantly reduce the dangers associated with crossing coastal bars.</w:t>
      </w:r>
    </w:p>
    <w:p w14:paraId="0A6D18F1" w14:textId="77777777" w:rsidR="00725977" w:rsidRPr="00D4309F" w:rsidRDefault="00725977" w:rsidP="00725977">
      <w:pPr>
        <w:pStyle w:val="BodyText"/>
        <w:sectPr w:rsidR="00725977" w:rsidRPr="00D4309F" w:rsidSect="00A8441C">
          <w:pgSz w:w="11910" w:h="16840"/>
          <w:pgMar w:top="1418" w:right="1134" w:bottom="1418" w:left="1134" w:header="916" w:footer="1147" w:gutter="0"/>
          <w:cols w:space="720"/>
          <w:docGrid w:linePitch="272"/>
        </w:sectPr>
      </w:pPr>
    </w:p>
    <w:p w14:paraId="16628FEC" w14:textId="77777777" w:rsidR="00725977" w:rsidRPr="00D4309F" w:rsidRDefault="00725977" w:rsidP="004426B8">
      <w:pPr>
        <w:pStyle w:val="Heading1"/>
      </w:pPr>
      <w:bookmarkStart w:id="130" w:name="_bookmark55"/>
      <w:bookmarkStart w:id="131" w:name="_Toc216699335"/>
      <w:bookmarkEnd w:id="130"/>
      <w:r w:rsidRPr="00D4309F">
        <w:lastRenderedPageBreak/>
        <w:t>MSQ</w:t>
      </w:r>
      <w:r w:rsidRPr="00D4309F">
        <w:rPr>
          <w:spacing w:val="-5"/>
        </w:rPr>
        <w:t xml:space="preserve"> </w:t>
      </w:r>
      <w:r w:rsidRPr="00D4309F">
        <w:t>DREDGING</w:t>
      </w:r>
      <w:r w:rsidRPr="00D4309F">
        <w:rPr>
          <w:spacing w:val="-4"/>
        </w:rPr>
        <w:t xml:space="preserve"> </w:t>
      </w:r>
      <w:r w:rsidRPr="00D4309F">
        <w:t>OPTIONS</w:t>
      </w:r>
      <w:r w:rsidRPr="00D4309F">
        <w:rPr>
          <w:spacing w:val="-5"/>
        </w:rPr>
        <w:t xml:space="preserve"> </w:t>
      </w:r>
      <w:r w:rsidRPr="00D4309F">
        <w:t>–</w:t>
      </w:r>
      <w:r w:rsidRPr="00D4309F">
        <w:rPr>
          <w:spacing w:val="-4"/>
        </w:rPr>
        <w:t xml:space="preserve"> </w:t>
      </w:r>
      <w:r w:rsidRPr="00D4309F">
        <w:t>SHORT-</w:t>
      </w:r>
      <w:r w:rsidRPr="00D4309F">
        <w:rPr>
          <w:spacing w:val="-4"/>
        </w:rPr>
        <w:t>TERM</w:t>
      </w:r>
      <w:bookmarkEnd w:id="131"/>
    </w:p>
    <w:p w14:paraId="5E381751" w14:textId="77777777" w:rsidR="00725977" w:rsidRPr="00D4309F" w:rsidRDefault="00725977" w:rsidP="00725977">
      <w:pPr>
        <w:pStyle w:val="BodyText"/>
      </w:pPr>
      <w:r w:rsidRPr="00D4309F">
        <w:t>Short-term solutions are focused on immediate, reactive measures to ensure navigational safety and mitigate</w:t>
      </w:r>
      <w:r w:rsidRPr="00D4309F">
        <w:rPr>
          <w:spacing w:val="-3"/>
        </w:rPr>
        <w:t xml:space="preserve"> </w:t>
      </w:r>
      <w:r w:rsidRPr="00D4309F">
        <w:t>current</w:t>
      </w:r>
      <w:r w:rsidRPr="00D4309F">
        <w:rPr>
          <w:spacing w:val="-3"/>
        </w:rPr>
        <w:t xml:space="preserve"> </w:t>
      </w:r>
      <w:r w:rsidRPr="00D4309F">
        <w:t>shoaling</w:t>
      </w:r>
      <w:r w:rsidRPr="00D4309F">
        <w:rPr>
          <w:spacing w:val="-3"/>
        </w:rPr>
        <w:t xml:space="preserve"> </w:t>
      </w:r>
      <w:r w:rsidRPr="00D4309F">
        <w:t>hazards.</w:t>
      </w:r>
      <w:r w:rsidRPr="00D4309F">
        <w:rPr>
          <w:spacing w:val="-4"/>
        </w:rPr>
        <w:t xml:space="preserve"> </w:t>
      </w:r>
      <w:r w:rsidRPr="00D4309F">
        <w:t>For</w:t>
      </w:r>
      <w:r w:rsidRPr="00D4309F">
        <w:rPr>
          <w:spacing w:val="-2"/>
        </w:rPr>
        <w:t xml:space="preserve"> </w:t>
      </w:r>
      <w:r w:rsidRPr="00D4309F">
        <w:t>the</w:t>
      </w:r>
      <w:r w:rsidRPr="00D4309F">
        <w:rPr>
          <w:spacing w:val="-3"/>
        </w:rPr>
        <w:t xml:space="preserve"> </w:t>
      </w:r>
      <w:r w:rsidRPr="00D4309F">
        <w:t>purpose</w:t>
      </w:r>
      <w:r w:rsidRPr="00D4309F">
        <w:rPr>
          <w:spacing w:val="-3"/>
        </w:rPr>
        <w:t xml:space="preserve"> </w:t>
      </w:r>
      <w:r w:rsidRPr="00D4309F">
        <w:t>of</w:t>
      </w:r>
      <w:r w:rsidRPr="00D4309F">
        <w:rPr>
          <w:spacing w:val="-5"/>
        </w:rPr>
        <w:t xml:space="preserve"> </w:t>
      </w:r>
      <w:r w:rsidRPr="00D4309F">
        <w:t>this</w:t>
      </w:r>
      <w:r w:rsidRPr="00D4309F">
        <w:rPr>
          <w:spacing w:val="-2"/>
        </w:rPr>
        <w:t xml:space="preserve"> </w:t>
      </w:r>
      <w:r w:rsidRPr="00D4309F">
        <w:t>review,</w:t>
      </w:r>
      <w:r w:rsidRPr="00D4309F">
        <w:rPr>
          <w:spacing w:val="-5"/>
        </w:rPr>
        <w:t xml:space="preserve"> </w:t>
      </w:r>
      <w:r w:rsidRPr="00D4309F">
        <w:t>we</w:t>
      </w:r>
      <w:r w:rsidRPr="00D4309F">
        <w:rPr>
          <w:spacing w:val="-3"/>
        </w:rPr>
        <w:t xml:space="preserve"> </w:t>
      </w:r>
      <w:r w:rsidRPr="00D4309F">
        <w:t>consider</w:t>
      </w:r>
      <w:r w:rsidRPr="00D4309F">
        <w:rPr>
          <w:spacing w:val="-2"/>
        </w:rPr>
        <w:t xml:space="preserve"> </w:t>
      </w:r>
      <w:r w:rsidRPr="00D4309F">
        <w:t>‘interim’</w:t>
      </w:r>
      <w:r w:rsidRPr="00D4309F">
        <w:rPr>
          <w:spacing w:val="-3"/>
        </w:rPr>
        <w:t xml:space="preserve"> </w:t>
      </w:r>
      <w:r w:rsidRPr="00D4309F">
        <w:t>or</w:t>
      </w:r>
      <w:r w:rsidRPr="00D4309F">
        <w:rPr>
          <w:spacing w:val="-2"/>
        </w:rPr>
        <w:t xml:space="preserve"> </w:t>
      </w:r>
      <w:r w:rsidRPr="00D4309F">
        <w:t>‘short-term’</w:t>
      </w:r>
      <w:r w:rsidRPr="00D4309F">
        <w:rPr>
          <w:spacing w:val="-3"/>
        </w:rPr>
        <w:t xml:space="preserve"> </w:t>
      </w:r>
      <w:r w:rsidRPr="00D4309F">
        <w:t>works to include those that can be done within a relatively short timeframe (i.e., within 1 year).</w:t>
      </w:r>
    </w:p>
    <w:p w14:paraId="28E35C50" w14:textId="77777777" w:rsidR="00725977" w:rsidRPr="00D4309F" w:rsidRDefault="00725977" w:rsidP="00725977">
      <w:pPr>
        <w:pStyle w:val="BodyText"/>
      </w:pPr>
      <w:r w:rsidRPr="00D4309F">
        <w:t>The</w:t>
      </w:r>
      <w:r w:rsidRPr="00D4309F">
        <w:rPr>
          <w:spacing w:val="-2"/>
        </w:rPr>
        <w:t xml:space="preserve"> </w:t>
      </w:r>
      <w:r w:rsidRPr="00D4309F">
        <w:t>following</w:t>
      </w:r>
      <w:r w:rsidRPr="00D4309F">
        <w:rPr>
          <w:spacing w:val="-3"/>
        </w:rPr>
        <w:t xml:space="preserve"> </w:t>
      </w:r>
      <w:r w:rsidRPr="00D4309F">
        <w:t>options</w:t>
      </w:r>
      <w:r w:rsidRPr="00D4309F">
        <w:rPr>
          <w:spacing w:val="-1"/>
        </w:rPr>
        <w:t xml:space="preserve"> </w:t>
      </w:r>
      <w:r w:rsidRPr="00D4309F">
        <w:t>have</w:t>
      </w:r>
      <w:r w:rsidRPr="00D4309F">
        <w:rPr>
          <w:spacing w:val="-3"/>
        </w:rPr>
        <w:t xml:space="preserve"> </w:t>
      </w:r>
      <w:r w:rsidRPr="00D4309F">
        <w:t>been</w:t>
      </w:r>
      <w:r w:rsidRPr="00D4309F">
        <w:rPr>
          <w:spacing w:val="-2"/>
        </w:rPr>
        <w:t xml:space="preserve"> </w:t>
      </w:r>
      <w:r w:rsidRPr="00D4309F">
        <w:t>reviewed</w:t>
      </w:r>
      <w:r w:rsidRPr="00D4309F">
        <w:rPr>
          <w:spacing w:val="-2"/>
        </w:rPr>
        <w:t xml:space="preserve"> </w:t>
      </w:r>
      <w:r w:rsidRPr="00D4309F">
        <w:t>for</w:t>
      </w:r>
      <w:r w:rsidRPr="00D4309F">
        <w:rPr>
          <w:spacing w:val="-2"/>
        </w:rPr>
        <w:t xml:space="preserve"> </w:t>
      </w:r>
      <w:r w:rsidRPr="00D4309F">
        <w:t>interim</w:t>
      </w:r>
      <w:r w:rsidRPr="00D4309F">
        <w:rPr>
          <w:spacing w:val="-3"/>
        </w:rPr>
        <w:t xml:space="preserve"> </w:t>
      </w:r>
      <w:r w:rsidRPr="00D4309F">
        <w:t>solutions</w:t>
      </w:r>
      <w:r w:rsidRPr="00D4309F">
        <w:rPr>
          <w:spacing w:val="-1"/>
        </w:rPr>
        <w:t xml:space="preserve"> </w:t>
      </w:r>
      <w:r w:rsidRPr="00D4309F">
        <w:t>to</w:t>
      </w:r>
      <w:r w:rsidRPr="00D4309F">
        <w:rPr>
          <w:spacing w:val="-2"/>
        </w:rPr>
        <w:t xml:space="preserve"> </w:t>
      </w:r>
      <w:r w:rsidRPr="00D4309F">
        <w:t>address</w:t>
      </w:r>
      <w:r w:rsidRPr="00D4309F">
        <w:rPr>
          <w:spacing w:val="-1"/>
        </w:rPr>
        <w:t xml:space="preserve"> </w:t>
      </w:r>
      <w:r w:rsidRPr="00D4309F">
        <w:t>or</w:t>
      </w:r>
      <w:r w:rsidRPr="00D4309F">
        <w:rPr>
          <w:spacing w:val="-1"/>
        </w:rPr>
        <w:t xml:space="preserve"> </w:t>
      </w:r>
      <w:r w:rsidRPr="00D4309F">
        <w:t>improve</w:t>
      </w:r>
      <w:r w:rsidRPr="00D4309F">
        <w:rPr>
          <w:spacing w:val="-2"/>
        </w:rPr>
        <w:t xml:space="preserve"> </w:t>
      </w:r>
      <w:r w:rsidRPr="00D4309F">
        <w:t>the</w:t>
      </w:r>
      <w:r w:rsidRPr="00D4309F">
        <w:rPr>
          <w:spacing w:val="-2"/>
        </w:rPr>
        <w:t xml:space="preserve"> </w:t>
      </w:r>
      <w:r w:rsidRPr="00D4309F">
        <w:t>current</w:t>
      </w:r>
      <w:r w:rsidRPr="00D4309F">
        <w:rPr>
          <w:spacing w:val="-2"/>
        </w:rPr>
        <w:t xml:space="preserve"> </w:t>
      </w:r>
      <w:r w:rsidRPr="00D4309F">
        <w:t>situation</w:t>
      </w:r>
      <w:r w:rsidRPr="00D4309F">
        <w:rPr>
          <w:spacing w:val="-3"/>
        </w:rPr>
        <w:t xml:space="preserve"> </w:t>
      </w:r>
      <w:r w:rsidRPr="00D4309F">
        <w:t>at the entrance:</w:t>
      </w:r>
    </w:p>
    <w:p w14:paraId="35593364" w14:textId="77777777" w:rsidR="00725977" w:rsidRPr="00D4309F" w:rsidRDefault="00725977" w:rsidP="004426B8">
      <w:pPr>
        <w:pStyle w:val="ListBullet"/>
      </w:pPr>
      <w:r w:rsidRPr="00D4309F">
        <w:rPr>
          <w:b/>
        </w:rPr>
        <w:t>Maintenance</w:t>
      </w:r>
      <w:r w:rsidRPr="00D4309F">
        <w:rPr>
          <w:b/>
          <w:spacing w:val="-3"/>
        </w:rPr>
        <w:t xml:space="preserve"> </w:t>
      </w:r>
      <w:r w:rsidRPr="00D4309F">
        <w:rPr>
          <w:b/>
        </w:rPr>
        <w:t>dredging</w:t>
      </w:r>
      <w:r w:rsidRPr="00D4309F">
        <w:t>:</w:t>
      </w:r>
      <w:r w:rsidRPr="00D4309F">
        <w:rPr>
          <w:spacing w:val="-3"/>
        </w:rPr>
        <w:t xml:space="preserve"> </w:t>
      </w:r>
      <w:r w:rsidRPr="00D4309F">
        <w:t>This</w:t>
      </w:r>
      <w:r w:rsidRPr="00D4309F">
        <w:rPr>
          <w:spacing w:val="-3"/>
        </w:rPr>
        <w:t xml:space="preserve"> </w:t>
      </w:r>
      <w:r w:rsidRPr="00D4309F">
        <w:t>is</w:t>
      </w:r>
      <w:r w:rsidRPr="00D4309F">
        <w:rPr>
          <w:spacing w:val="-2"/>
        </w:rPr>
        <w:t xml:space="preserve"> </w:t>
      </w:r>
      <w:r w:rsidRPr="00D4309F">
        <w:t>the</w:t>
      </w:r>
      <w:r w:rsidRPr="00D4309F">
        <w:rPr>
          <w:spacing w:val="-3"/>
        </w:rPr>
        <w:t xml:space="preserve"> </w:t>
      </w:r>
      <w:r w:rsidRPr="00D4309F">
        <w:t>current</w:t>
      </w:r>
      <w:r w:rsidRPr="00D4309F">
        <w:rPr>
          <w:spacing w:val="-3"/>
        </w:rPr>
        <w:t xml:space="preserve"> </w:t>
      </w:r>
      <w:r w:rsidRPr="00D4309F">
        <w:t>and</w:t>
      </w:r>
      <w:r w:rsidRPr="00D4309F">
        <w:rPr>
          <w:spacing w:val="-3"/>
        </w:rPr>
        <w:t xml:space="preserve"> </w:t>
      </w:r>
      <w:r w:rsidRPr="00D4309F">
        <w:t>most</w:t>
      </w:r>
      <w:r w:rsidRPr="00D4309F">
        <w:rPr>
          <w:spacing w:val="-3"/>
        </w:rPr>
        <w:t xml:space="preserve"> </w:t>
      </w:r>
      <w:r w:rsidRPr="00D4309F">
        <w:t>critical</w:t>
      </w:r>
      <w:r w:rsidRPr="00D4309F">
        <w:rPr>
          <w:spacing w:val="-3"/>
        </w:rPr>
        <w:t xml:space="preserve"> </w:t>
      </w:r>
      <w:r w:rsidRPr="00D4309F">
        <w:t>short-term</w:t>
      </w:r>
      <w:r w:rsidRPr="00D4309F">
        <w:rPr>
          <w:spacing w:val="-4"/>
        </w:rPr>
        <w:t xml:space="preserve"> </w:t>
      </w:r>
      <w:r w:rsidRPr="00D4309F">
        <w:t>solution.</w:t>
      </w:r>
      <w:r w:rsidRPr="00D4309F">
        <w:rPr>
          <w:spacing w:val="-3"/>
        </w:rPr>
        <w:t xml:space="preserve"> </w:t>
      </w:r>
      <w:r w:rsidRPr="00D4309F">
        <w:t>Regular dredging</w:t>
      </w:r>
      <w:r w:rsidRPr="00D4309F">
        <w:rPr>
          <w:spacing w:val="-2"/>
        </w:rPr>
        <w:t xml:space="preserve"> </w:t>
      </w:r>
      <w:r w:rsidRPr="00D4309F">
        <w:t>using</w:t>
      </w:r>
      <w:r w:rsidRPr="00D4309F">
        <w:rPr>
          <w:spacing w:val="-2"/>
        </w:rPr>
        <w:t xml:space="preserve"> </w:t>
      </w:r>
      <w:r w:rsidRPr="00D4309F">
        <w:t>a</w:t>
      </w:r>
      <w:r w:rsidRPr="00D4309F">
        <w:rPr>
          <w:spacing w:val="-2"/>
        </w:rPr>
        <w:t xml:space="preserve"> </w:t>
      </w:r>
      <w:r w:rsidRPr="00D4309F">
        <w:t>cutter</w:t>
      </w:r>
      <w:r w:rsidRPr="00D4309F">
        <w:rPr>
          <w:spacing w:val="-3"/>
        </w:rPr>
        <w:t xml:space="preserve"> </w:t>
      </w:r>
      <w:r w:rsidRPr="00D4309F">
        <w:t>suction</w:t>
      </w:r>
      <w:r w:rsidRPr="00D4309F">
        <w:rPr>
          <w:spacing w:val="-2"/>
        </w:rPr>
        <w:t xml:space="preserve"> </w:t>
      </w:r>
      <w:r w:rsidRPr="00D4309F">
        <w:t>dredge</w:t>
      </w:r>
      <w:r w:rsidRPr="00D4309F">
        <w:rPr>
          <w:spacing w:val="-2"/>
        </w:rPr>
        <w:t xml:space="preserve"> </w:t>
      </w:r>
      <w:r w:rsidRPr="00D4309F">
        <w:t>is</w:t>
      </w:r>
      <w:r w:rsidRPr="00D4309F">
        <w:rPr>
          <w:spacing w:val="-2"/>
        </w:rPr>
        <w:t xml:space="preserve"> </w:t>
      </w:r>
      <w:r w:rsidRPr="00D4309F">
        <w:t>essential</w:t>
      </w:r>
      <w:r w:rsidRPr="00D4309F">
        <w:rPr>
          <w:spacing w:val="-2"/>
        </w:rPr>
        <w:t xml:space="preserve"> </w:t>
      </w:r>
      <w:r w:rsidRPr="00D4309F">
        <w:t>to</w:t>
      </w:r>
      <w:r w:rsidRPr="00D4309F">
        <w:rPr>
          <w:spacing w:val="-2"/>
        </w:rPr>
        <w:t xml:space="preserve"> </w:t>
      </w:r>
      <w:r w:rsidRPr="00D4309F">
        <w:t>remove</w:t>
      </w:r>
      <w:r w:rsidRPr="00D4309F">
        <w:rPr>
          <w:spacing w:val="-2"/>
        </w:rPr>
        <w:t xml:space="preserve"> </w:t>
      </w:r>
      <w:r w:rsidRPr="00D4309F">
        <w:t>sand</w:t>
      </w:r>
      <w:r w:rsidRPr="00D4309F">
        <w:rPr>
          <w:spacing w:val="-2"/>
        </w:rPr>
        <w:t xml:space="preserve"> </w:t>
      </w:r>
      <w:r w:rsidRPr="00D4309F">
        <w:t>from</w:t>
      </w:r>
      <w:r w:rsidRPr="00D4309F">
        <w:rPr>
          <w:spacing w:val="-2"/>
        </w:rPr>
        <w:t xml:space="preserve"> </w:t>
      </w:r>
      <w:r w:rsidRPr="00D4309F">
        <w:t>the</w:t>
      </w:r>
      <w:r w:rsidRPr="00D4309F">
        <w:rPr>
          <w:spacing w:val="-2"/>
        </w:rPr>
        <w:t xml:space="preserve"> </w:t>
      </w:r>
      <w:r w:rsidRPr="00D4309F">
        <w:t>entrance</w:t>
      </w:r>
      <w:r w:rsidRPr="00D4309F">
        <w:rPr>
          <w:spacing w:val="-3"/>
        </w:rPr>
        <w:t xml:space="preserve"> </w:t>
      </w:r>
      <w:r w:rsidRPr="00D4309F">
        <w:t>channel</w:t>
      </w:r>
      <w:r w:rsidRPr="00D4309F">
        <w:rPr>
          <w:spacing w:val="-3"/>
        </w:rPr>
        <w:t xml:space="preserve"> </w:t>
      </w:r>
      <w:r w:rsidRPr="00D4309F">
        <w:t>and restore safe depths. The dredged sand is typically pumped onto Mooloolaba Beach for beach nourishment and to combat coastal erosion.</w:t>
      </w:r>
    </w:p>
    <w:p w14:paraId="3A15645C" w14:textId="77777777" w:rsidR="00725977" w:rsidRPr="00D4309F" w:rsidRDefault="00725977" w:rsidP="004426B8">
      <w:pPr>
        <w:pStyle w:val="ListBullet"/>
      </w:pPr>
      <w:r w:rsidRPr="00D4309F">
        <w:rPr>
          <w:b/>
        </w:rPr>
        <w:t>Targeted</w:t>
      </w:r>
      <w:r w:rsidRPr="00D4309F">
        <w:rPr>
          <w:b/>
          <w:spacing w:val="-3"/>
        </w:rPr>
        <w:t xml:space="preserve"> </w:t>
      </w:r>
      <w:r w:rsidRPr="00D4309F">
        <w:rPr>
          <w:b/>
        </w:rPr>
        <w:t>dredging:</w:t>
      </w:r>
      <w:r w:rsidRPr="00D4309F">
        <w:rPr>
          <w:b/>
          <w:spacing w:val="-3"/>
        </w:rPr>
        <w:t xml:space="preserve"> </w:t>
      </w:r>
      <w:r w:rsidRPr="00D4309F">
        <w:t>In</w:t>
      </w:r>
      <w:r w:rsidRPr="00D4309F">
        <w:rPr>
          <w:spacing w:val="-3"/>
        </w:rPr>
        <w:t xml:space="preserve"> </w:t>
      </w:r>
      <w:r w:rsidRPr="00D4309F">
        <w:t>response</w:t>
      </w:r>
      <w:r w:rsidRPr="00D4309F">
        <w:rPr>
          <w:spacing w:val="-3"/>
        </w:rPr>
        <w:t xml:space="preserve"> </w:t>
      </w:r>
      <w:r w:rsidRPr="00D4309F">
        <w:t>to</w:t>
      </w:r>
      <w:r w:rsidRPr="00D4309F">
        <w:rPr>
          <w:spacing w:val="-3"/>
        </w:rPr>
        <w:t xml:space="preserve"> </w:t>
      </w:r>
      <w:r w:rsidRPr="00D4309F">
        <w:t>significant</w:t>
      </w:r>
      <w:r w:rsidRPr="00D4309F">
        <w:rPr>
          <w:spacing w:val="-3"/>
        </w:rPr>
        <w:t xml:space="preserve"> </w:t>
      </w:r>
      <w:r w:rsidRPr="00D4309F">
        <w:t>shoaling</w:t>
      </w:r>
      <w:r w:rsidRPr="00D4309F">
        <w:rPr>
          <w:spacing w:val="-3"/>
        </w:rPr>
        <w:t xml:space="preserve"> </w:t>
      </w:r>
      <w:r w:rsidRPr="00D4309F">
        <w:t>events,</w:t>
      </w:r>
      <w:r w:rsidRPr="00D4309F">
        <w:rPr>
          <w:spacing w:val="-3"/>
        </w:rPr>
        <w:t xml:space="preserve"> </w:t>
      </w:r>
      <w:r w:rsidRPr="00D4309F">
        <w:t>targeted</w:t>
      </w:r>
      <w:r w:rsidRPr="00D4309F">
        <w:rPr>
          <w:spacing w:val="-3"/>
        </w:rPr>
        <w:t xml:space="preserve"> </w:t>
      </w:r>
      <w:r w:rsidRPr="00D4309F">
        <w:t>and</w:t>
      </w:r>
      <w:r w:rsidRPr="00D4309F">
        <w:rPr>
          <w:spacing w:val="-4"/>
        </w:rPr>
        <w:t xml:space="preserve"> </w:t>
      </w:r>
      <w:r w:rsidRPr="00D4309F">
        <w:t>sometimes</w:t>
      </w:r>
      <w:r w:rsidRPr="00D4309F">
        <w:rPr>
          <w:spacing w:val="-3"/>
        </w:rPr>
        <w:t xml:space="preserve"> </w:t>
      </w:r>
      <w:r w:rsidRPr="00D4309F">
        <w:t>continuous dredging is required. For example, recent targeted dredging was undertaken recently as part of the Western Channel Trial.</w:t>
      </w:r>
    </w:p>
    <w:p w14:paraId="61B7FFE0" w14:textId="77777777" w:rsidR="00725977" w:rsidRPr="00D4309F" w:rsidRDefault="00725977" w:rsidP="004426B8">
      <w:pPr>
        <w:pStyle w:val="ListBullet"/>
      </w:pPr>
      <w:r w:rsidRPr="00D4309F">
        <w:rPr>
          <w:b/>
        </w:rPr>
        <w:t>Hydrographic surveys and monitoring</w:t>
      </w:r>
      <w:r w:rsidRPr="00D4309F">
        <w:t>: Frequent and high-frequency hydrographic surveys are necessary</w:t>
      </w:r>
      <w:r w:rsidRPr="00D4309F">
        <w:rPr>
          <w:spacing w:val="-2"/>
        </w:rPr>
        <w:t xml:space="preserve"> </w:t>
      </w:r>
      <w:r w:rsidRPr="00D4309F">
        <w:t>to</w:t>
      </w:r>
      <w:r w:rsidRPr="00D4309F">
        <w:rPr>
          <w:spacing w:val="-4"/>
        </w:rPr>
        <w:t xml:space="preserve"> </w:t>
      </w:r>
      <w:r w:rsidRPr="00D4309F">
        <w:t>monitor</w:t>
      </w:r>
      <w:r w:rsidRPr="00D4309F">
        <w:rPr>
          <w:spacing w:val="-2"/>
        </w:rPr>
        <w:t xml:space="preserve"> </w:t>
      </w:r>
      <w:r w:rsidRPr="00D4309F">
        <w:t>the</w:t>
      </w:r>
      <w:r w:rsidRPr="00D4309F">
        <w:rPr>
          <w:spacing w:val="-4"/>
        </w:rPr>
        <w:t xml:space="preserve"> </w:t>
      </w:r>
      <w:r w:rsidRPr="00D4309F">
        <w:t>shoaling</w:t>
      </w:r>
      <w:r w:rsidRPr="00D4309F">
        <w:rPr>
          <w:spacing w:val="-3"/>
        </w:rPr>
        <w:t xml:space="preserve"> </w:t>
      </w:r>
      <w:r w:rsidRPr="00D4309F">
        <w:t>process</w:t>
      </w:r>
      <w:r w:rsidRPr="00D4309F">
        <w:rPr>
          <w:spacing w:val="-2"/>
        </w:rPr>
        <w:t xml:space="preserve"> </w:t>
      </w:r>
      <w:r w:rsidRPr="00D4309F">
        <w:t>and</w:t>
      </w:r>
      <w:r w:rsidRPr="00D4309F">
        <w:rPr>
          <w:spacing w:val="-3"/>
        </w:rPr>
        <w:t xml:space="preserve"> </w:t>
      </w:r>
      <w:r w:rsidRPr="00D4309F">
        <w:t>identify</w:t>
      </w:r>
      <w:r w:rsidRPr="00D4309F">
        <w:rPr>
          <w:spacing w:val="-2"/>
        </w:rPr>
        <w:t xml:space="preserve"> </w:t>
      </w:r>
      <w:r w:rsidRPr="00D4309F">
        <w:t>changes</w:t>
      </w:r>
      <w:r w:rsidRPr="00D4309F">
        <w:rPr>
          <w:spacing w:val="-2"/>
        </w:rPr>
        <w:t xml:space="preserve"> </w:t>
      </w:r>
      <w:r w:rsidRPr="00D4309F">
        <w:t>in</w:t>
      </w:r>
      <w:r w:rsidRPr="00D4309F">
        <w:rPr>
          <w:spacing w:val="-4"/>
        </w:rPr>
        <w:t xml:space="preserve"> </w:t>
      </w:r>
      <w:r w:rsidRPr="00D4309F">
        <w:t>the</w:t>
      </w:r>
      <w:r w:rsidRPr="00D4309F">
        <w:rPr>
          <w:spacing w:val="-3"/>
        </w:rPr>
        <w:t xml:space="preserve"> </w:t>
      </w:r>
      <w:r w:rsidRPr="00D4309F">
        <w:t>channel</w:t>
      </w:r>
      <w:r w:rsidRPr="00D4309F">
        <w:rPr>
          <w:spacing w:val="-3"/>
        </w:rPr>
        <w:t xml:space="preserve"> </w:t>
      </w:r>
      <w:r w:rsidRPr="00D4309F">
        <w:t>depth.</w:t>
      </w:r>
      <w:r w:rsidRPr="00D4309F">
        <w:rPr>
          <w:spacing w:val="-3"/>
        </w:rPr>
        <w:t xml:space="preserve"> </w:t>
      </w:r>
      <w:r w:rsidRPr="00D4309F">
        <w:t>This</w:t>
      </w:r>
      <w:r w:rsidRPr="00D4309F">
        <w:rPr>
          <w:spacing w:val="-2"/>
        </w:rPr>
        <w:t xml:space="preserve"> </w:t>
      </w:r>
      <w:r w:rsidRPr="00D4309F">
        <w:t>data</w:t>
      </w:r>
      <w:r w:rsidRPr="00D4309F">
        <w:rPr>
          <w:spacing w:val="-3"/>
        </w:rPr>
        <w:t xml:space="preserve"> </w:t>
      </w:r>
      <w:r w:rsidRPr="00D4309F">
        <w:t>is</w:t>
      </w:r>
      <w:r w:rsidRPr="00D4309F">
        <w:rPr>
          <w:spacing w:val="-2"/>
        </w:rPr>
        <w:t xml:space="preserve"> </w:t>
      </w:r>
      <w:r w:rsidRPr="00D4309F">
        <w:t xml:space="preserve">crucial </w:t>
      </w:r>
      <w:r w:rsidRPr="00D4309F">
        <w:rPr>
          <w:spacing w:val="-4"/>
        </w:rPr>
        <w:t>for:</w:t>
      </w:r>
    </w:p>
    <w:p w14:paraId="6AE02823" w14:textId="77777777" w:rsidR="00725977" w:rsidRPr="00D4309F" w:rsidRDefault="00725977" w:rsidP="004426B8">
      <w:pPr>
        <w:pStyle w:val="ListBullet2"/>
      </w:pPr>
      <w:r w:rsidRPr="00D4309F">
        <w:t>Improve</w:t>
      </w:r>
      <w:r w:rsidRPr="00D4309F">
        <w:rPr>
          <w:spacing w:val="-5"/>
        </w:rPr>
        <w:t xml:space="preserve"> </w:t>
      </w:r>
      <w:r w:rsidRPr="00D4309F">
        <w:t>prediction</w:t>
      </w:r>
      <w:r w:rsidRPr="00D4309F">
        <w:rPr>
          <w:spacing w:val="-5"/>
        </w:rPr>
        <w:t xml:space="preserve"> </w:t>
      </w:r>
      <w:r w:rsidRPr="00D4309F">
        <w:t>tools</w:t>
      </w:r>
      <w:r w:rsidRPr="00D4309F">
        <w:rPr>
          <w:spacing w:val="-4"/>
        </w:rPr>
        <w:t xml:space="preserve"> </w:t>
      </w:r>
      <w:r w:rsidRPr="00D4309F">
        <w:t>for</w:t>
      </w:r>
      <w:r w:rsidRPr="00D4309F">
        <w:rPr>
          <w:spacing w:val="-5"/>
        </w:rPr>
        <w:t xml:space="preserve"> </w:t>
      </w:r>
      <w:r w:rsidRPr="00D4309F">
        <w:t>potential</w:t>
      </w:r>
      <w:r w:rsidRPr="00D4309F">
        <w:rPr>
          <w:spacing w:val="-5"/>
        </w:rPr>
        <w:t xml:space="preserve"> </w:t>
      </w:r>
      <w:r w:rsidRPr="00D4309F">
        <w:t>shoaling</w:t>
      </w:r>
      <w:r w:rsidRPr="00D4309F">
        <w:rPr>
          <w:spacing w:val="-4"/>
        </w:rPr>
        <w:t xml:space="preserve"> </w:t>
      </w:r>
      <w:r w:rsidRPr="00D4309F">
        <w:rPr>
          <w:spacing w:val="-2"/>
        </w:rPr>
        <w:t>events.</w:t>
      </w:r>
    </w:p>
    <w:p w14:paraId="3470B8E8" w14:textId="77777777" w:rsidR="00725977" w:rsidRPr="00D4309F" w:rsidRDefault="00725977" w:rsidP="004426B8">
      <w:pPr>
        <w:pStyle w:val="ListBullet2"/>
      </w:pPr>
      <w:r w:rsidRPr="00D4309F">
        <w:t>Determining</w:t>
      </w:r>
      <w:r w:rsidRPr="00D4309F">
        <w:rPr>
          <w:spacing w:val="-4"/>
        </w:rPr>
        <w:t xml:space="preserve"> </w:t>
      </w:r>
      <w:r w:rsidRPr="00D4309F">
        <w:t>the</w:t>
      </w:r>
      <w:r w:rsidRPr="00D4309F">
        <w:rPr>
          <w:spacing w:val="-4"/>
        </w:rPr>
        <w:t xml:space="preserve"> </w:t>
      </w:r>
      <w:r w:rsidRPr="00D4309F">
        <w:t>need</w:t>
      </w:r>
      <w:r w:rsidRPr="00D4309F">
        <w:rPr>
          <w:spacing w:val="-4"/>
        </w:rPr>
        <w:t xml:space="preserve"> </w:t>
      </w:r>
      <w:r w:rsidRPr="00D4309F">
        <w:t>and</w:t>
      </w:r>
      <w:r w:rsidRPr="00D4309F">
        <w:rPr>
          <w:spacing w:val="-4"/>
        </w:rPr>
        <w:t xml:space="preserve"> </w:t>
      </w:r>
      <w:r w:rsidRPr="00D4309F">
        <w:t>timing</w:t>
      </w:r>
      <w:r w:rsidRPr="00D4309F">
        <w:rPr>
          <w:spacing w:val="-4"/>
        </w:rPr>
        <w:t xml:space="preserve"> </w:t>
      </w:r>
      <w:r w:rsidRPr="00D4309F">
        <w:t>for</w:t>
      </w:r>
      <w:r w:rsidRPr="00D4309F">
        <w:rPr>
          <w:spacing w:val="-3"/>
        </w:rPr>
        <w:t xml:space="preserve"> </w:t>
      </w:r>
      <w:r w:rsidRPr="00D4309F">
        <w:t>dredging</w:t>
      </w:r>
      <w:r w:rsidRPr="00D4309F">
        <w:rPr>
          <w:spacing w:val="-3"/>
        </w:rPr>
        <w:t xml:space="preserve"> </w:t>
      </w:r>
      <w:r w:rsidRPr="00D4309F">
        <w:rPr>
          <w:spacing w:val="-2"/>
        </w:rPr>
        <w:t>operations.</w:t>
      </w:r>
    </w:p>
    <w:p w14:paraId="63726F3A" w14:textId="77777777" w:rsidR="00725977" w:rsidRPr="00D4309F" w:rsidRDefault="00725977" w:rsidP="004426B8">
      <w:pPr>
        <w:pStyle w:val="ListBullet2"/>
      </w:pPr>
      <w:r w:rsidRPr="00D4309F">
        <w:t>Providing</w:t>
      </w:r>
      <w:r w:rsidRPr="00D4309F">
        <w:rPr>
          <w:spacing w:val="-3"/>
        </w:rPr>
        <w:t xml:space="preserve"> </w:t>
      </w:r>
      <w:r w:rsidRPr="00D4309F">
        <w:t>the</w:t>
      </w:r>
      <w:r w:rsidRPr="00D4309F">
        <w:rPr>
          <w:spacing w:val="-4"/>
        </w:rPr>
        <w:t xml:space="preserve"> </w:t>
      </w:r>
      <w:r w:rsidRPr="00D4309F">
        <w:t>Harbour</w:t>
      </w:r>
      <w:r w:rsidRPr="00D4309F">
        <w:rPr>
          <w:spacing w:val="-2"/>
        </w:rPr>
        <w:t xml:space="preserve"> </w:t>
      </w:r>
      <w:r w:rsidRPr="00D4309F">
        <w:t>Master</w:t>
      </w:r>
      <w:r w:rsidRPr="00D4309F">
        <w:rPr>
          <w:spacing w:val="-2"/>
        </w:rPr>
        <w:t xml:space="preserve"> </w:t>
      </w:r>
      <w:r w:rsidRPr="00D4309F">
        <w:t>with</w:t>
      </w:r>
      <w:r w:rsidRPr="00D4309F">
        <w:rPr>
          <w:spacing w:val="-3"/>
        </w:rPr>
        <w:t xml:space="preserve"> </w:t>
      </w:r>
      <w:r w:rsidRPr="00D4309F">
        <w:t>up</w:t>
      </w:r>
      <w:r w:rsidRPr="00D4309F">
        <w:rPr>
          <w:spacing w:val="-3"/>
        </w:rPr>
        <w:t xml:space="preserve"> </w:t>
      </w:r>
      <w:r w:rsidRPr="00D4309F">
        <w:t>to</w:t>
      </w:r>
      <w:r w:rsidRPr="00D4309F">
        <w:rPr>
          <w:spacing w:val="-4"/>
        </w:rPr>
        <w:t xml:space="preserve"> </w:t>
      </w:r>
      <w:r w:rsidRPr="00D4309F">
        <w:t>date</w:t>
      </w:r>
      <w:r w:rsidRPr="00D4309F">
        <w:rPr>
          <w:spacing w:val="-3"/>
        </w:rPr>
        <w:t xml:space="preserve"> </w:t>
      </w:r>
      <w:r w:rsidRPr="00D4309F">
        <w:t>and</w:t>
      </w:r>
      <w:r w:rsidRPr="00D4309F">
        <w:rPr>
          <w:spacing w:val="-3"/>
        </w:rPr>
        <w:t xml:space="preserve"> </w:t>
      </w:r>
      <w:r w:rsidRPr="00D4309F">
        <w:t>accurate</w:t>
      </w:r>
      <w:r w:rsidRPr="00D4309F">
        <w:rPr>
          <w:spacing w:val="-3"/>
        </w:rPr>
        <w:t xml:space="preserve"> </w:t>
      </w:r>
      <w:r w:rsidRPr="00D4309F">
        <w:t>data</w:t>
      </w:r>
      <w:r w:rsidRPr="00D4309F">
        <w:rPr>
          <w:spacing w:val="-3"/>
        </w:rPr>
        <w:t xml:space="preserve"> </w:t>
      </w:r>
      <w:r w:rsidRPr="00D4309F">
        <w:t>to</w:t>
      </w:r>
      <w:r w:rsidRPr="00D4309F">
        <w:rPr>
          <w:spacing w:val="-4"/>
        </w:rPr>
        <w:t xml:space="preserve"> </w:t>
      </w:r>
      <w:r w:rsidRPr="00D4309F">
        <w:t>make</w:t>
      </w:r>
      <w:r w:rsidRPr="00D4309F">
        <w:rPr>
          <w:spacing w:val="-3"/>
        </w:rPr>
        <w:t xml:space="preserve"> </w:t>
      </w:r>
      <w:r w:rsidRPr="00D4309F">
        <w:t>informed</w:t>
      </w:r>
      <w:r w:rsidRPr="00D4309F">
        <w:rPr>
          <w:spacing w:val="-3"/>
        </w:rPr>
        <w:t xml:space="preserve"> </w:t>
      </w:r>
      <w:r w:rsidRPr="00D4309F">
        <w:t>decisions</w:t>
      </w:r>
      <w:r w:rsidRPr="00D4309F">
        <w:rPr>
          <w:spacing w:val="-2"/>
        </w:rPr>
        <w:t xml:space="preserve"> </w:t>
      </w:r>
      <w:r w:rsidRPr="00D4309F">
        <w:t>about navigational hazards.</w:t>
      </w:r>
    </w:p>
    <w:p w14:paraId="3821E0D5" w14:textId="77777777" w:rsidR="00725977" w:rsidRPr="00D4309F" w:rsidRDefault="00725977" w:rsidP="004426B8">
      <w:pPr>
        <w:pStyle w:val="ListBullet2"/>
      </w:pPr>
      <w:r w:rsidRPr="00D4309F">
        <w:t>Issuing</w:t>
      </w:r>
      <w:r w:rsidRPr="00D4309F">
        <w:rPr>
          <w:spacing w:val="-6"/>
        </w:rPr>
        <w:t xml:space="preserve"> </w:t>
      </w:r>
      <w:r w:rsidRPr="00D4309F">
        <w:t>timely</w:t>
      </w:r>
      <w:r w:rsidRPr="00D4309F">
        <w:rPr>
          <w:spacing w:val="-3"/>
        </w:rPr>
        <w:t xml:space="preserve"> </w:t>
      </w:r>
      <w:r w:rsidRPr="00D4309F">
        <w:t>and</w:t>
      </w:r>
      <w:r w:rsidRPr="00D4309F">
        <w:rPr>
          <w:spacing w:val="-3"/>
        </w:rPr>
        <w:t xml:space="preserve"> </w:t>
      </w:r>
      <w:r w:rsidRPr="00D4309F">
        <w:t>accurate</w:t>
      </w:r>
      <w:r w:rsidRPr="00D4309F">
        <w:rPr>
          <w:spacing w:val="-4"/>
        </w:rPr>
        <w:t xml:space="preserve"> </w:t>
      </w:r>
      <w:r w:rsidRPr="00D4309F">
        <w:t>Notices</w:t>
      </w:r>
      <w:r w:rsidRPr="00D4309F">
        <w:rPr>
          <w:spacing w:val="-3"/>
        </w:rPr>
        <w:t xml:space="preserve"> </w:t>
      </w:r>
      <w:r w:rsidRPr="00D4309F">
        <w:t>to</w:t>
      </w:r>
      <w:r w:rsidRPr="00D4309F">
        <w:rPr>
          <w:spacing w:val="-3"/>
        </w:rPr>
        <w:t xml:space="preserve"> </w:t>
      </w:r>
      <w:r w:rsidRPr="00D4309F">
        <w:t>Mariners</w:t>
      </w:r>
      <w:r w:rsidRPr="00D4309F">
        <w:rPr>
          <w:spacing w:val="-2"/>
        </w:rPr>
        <w:t xml:space="preserve"> </w:t>
      </w:r>
      <w:r w:rsidRPr="00D4309F">
        <w:t>to</w:t>
      </w:r>
      <w:r w:rsidRPr="00D4309F">
        <w:rPr>
          <w:spacing w:val="-4"/>
        </w:rPr>
        <w:t xml:space="preserve"> </w:t>
      </w:r>
      <w:r w:rsidRPr="00D4309F">
        <w:t>warn</w:t>
      </w:r>
      <w:r w:rsidRPr="00D4309F">
        <w:rPr>
          <w:spacing w:val="-3"/>
        </w:rPr>
        <w:t xml:space="preserve"> </w:t>
      </w:r>
      <w:r w:rsidRPr="00D4309F">
        <w:t>of</w:t>
      </w:r>
      <w:r w:rsidRPr="00D4309F">
        <w:rPr>
          <w:spacing w:val="-3"/>
        </w:rPr>
        <w:t xml:space="preserve"> </w:t>
      </w:r>
      <w:r w:rsidRPr="00D4309F">
        <w:t>changing</w:t>
      </w:r>
      <w:r w:rsidRPr="00D4309F">
        <w:rPr>
          <w:spacing w:val="-4"/>
        </w:rPr>
        <w:t xml:space="preserve"> </w:t>
      </w:r>
      <w:r w:rsidRPr="00D4309F">
        <w:t>bar</w:t>
      </w:r>
      <w:r w:rsidRPr="00D4309F">
        <w:rPr>
          <w:spacing w:val="-2"/>
        </w:rPr>
        <w:t xml:space="preserve"> conditions.</w:t>
      </w:r>
    </w:p>
    <w:p w14:paraId="06BB2047" w14:textId="77777777" w:rsidR="00725977" w:rsidRPr="00D4309F" w:rsidRDefault="00725977" w:rsidP="004426B8">
      <w:pPr>
        <w:pStyle w:val="ListBullet2"/>
      </w:pPr>
      <w:r w:rsidRPr="00D4309F">
        <w:t>Mooloolaba</w:t>
      </w:r>
      <w:r w:rsidRPr="00D4309F">
        <w:rPr>
          <w:spacing w:val="-6"/>
        </w:rPr>
        <w:t xml:space="preserve"> </w:t>
      </w:r>
      <w:r w:rsidRPr="00D4309F">
        <w:t>Drone</w:t>
      </w:r>
      <w:r w:rsidRPr="00D4309F">
        <w:rPr>
          <w:spacing w:val="-4"/>
        </w:rPr>
        <w:t xml:space="preserve"> </w:t>
      </w:r>
      <w:r w:rsidRPr="00D4309F">
        <w:t>Imagery</w:t>
      </w:r>
      <w:r w:rsidRPr="00D4309F">
        <w:rPr>
          <w:spacing w:val="-4"/>
        </w:rPr>
        <w:t xml:space="preserve"> </w:t>
      </w:r>
      <w:r w:rsidRPr="00D4309F">
        <w:t>Capture</w:t>
      </w:r>
      <w:r w:rsidRPr="00D4309F">
        <w:rPr>
          <w:spacing w:val="-4"/>
        </w:rPr>
        <w:t xml:space="preserve"> </w:t>
      </w:r>
      <w:r w:rsidRPr="00D4309F">
        <w:rPr>
          <w:spacing w:val="-2"/>
        </w:rPr>
        <w:t>Project.</w:t>
      </w:r>
    </w:p>
    <w:p w14:paraId="53D1EF8D" w14:textId="77777777" w:rsidR="00725977" w:rsidRPr="00D4309F" w:rsidRDefault="00725977" w:rsidP="004426B8">
      <w:pPr>
        <w:pStyle w:val="ListBullet"/>
      </w:pPr>
      <w:r w:rsidRPr="00D4309F">
        <w:rPr>
          <w:b/>
        </w:rPr>
        <w:t>Shoal</w:t>
      </w:r>
      <w:r w:rsidRPr="00D4309F">
        <w:rPr>
          <w:b/>
          <w:spacing w:val="-2"/>
        </w:rPr>
        <w:t xml:space="preserve"> </w:t>
      </w:r>
      <w:r w:rsidRPr="00D4309F">
        <w:rPr>
          <w:b/>
        </w:rPr>
        <w:t>sand</w:t>
      </w:r>
      <w:r w:rsidRPr="00D4309F">
        <w:rPr>
          <w:b/>
          <w:spacing w:val="-3"/>
        </w:rPr>
        <w:t xml:space="preserve"> </w:t>
      </w:r>
      <w:r w:rsidRPr="00D4309F">
        <w:rPr>
          <w:b/>
        </w:rPr>
        <w:t>numerical</w:t>
      </w:r>
      <w:r w:rsidRPr="00D4309F">
        <w:rPr>
          <w:b/>
          <w:spacing w:val="-2"/>
        </w:rPr>
        <w:t xml:space="preserve"> </w:t>
      </w:r>
      <w:r w:rsidRPr="00D4309F">
        <w:rPr>
          <w:b/>
        </w:rPr>
        <w:t>model</w:t>
      </w:r>
      <w:r w:rsidRPr="00D4309F">
        <w:t>:</w:t>
      </w:r>
      <w:r w:rsidRPr="00D4309F">
        <w:rPr>
          <w:spacing w:val="-3"/>
        </w:rPr>
        <w:t xml:space="preserve"> </w:t>
      </w:r>
      <w:r w:rsidRPr="00D4309F">
        <w:t>The</w:t>
      </w:r>
      <w:r w:rsidRPr="00D4309F">
        <w:rPr>
          <w:spacing w:val="-2"/>
        </w:rPr>
        <w:t xml:space="preserve"> </w:t>
      </w:r>
      <w:r w:rsidRPr="00D4309F">
        <w:t>following</w:t>
      </w:r>
      <w:r w:rsidRPr="00D4309F">
        <w:rPr>
          <w:spacing w:val="-2"/>
        </w:rPr>
        <w:t xml:space="preserve"> </w:t>
      </w:r>
      <w:r w:rsidRPr="00D4309F">
        <w:t>should</w:t>
      </w:r>
      <w:r w:rsidRPr="00D4309F">
        <w:rPr>
          <w:spacing w:val="-3"/>
        </w:rPr>
        <w:t xml:space="preserve"> </w:t>
      </w:r>
      <w:r w:rsidRPr="00D4309F">
        <w:t>be</w:t>
      </w:r>
      <w:r w:rsidRPr="00D4309F">
        <w:rPr>
          <w:spacing w:val="-2"/>
        </w:rPr>
        <w:t xml:space="preserve"> </w:t>
      </w:r>
      <w:r w:rsidRPr="00D4309F">
        <w:t>considered</w:t>
      </w:r>
      <w:r w:rsidRPr="00D4309F">
        <w:rPr>
          <w:spacing w:val="-2"/>
        </w:rPr>
        <w:t xml:space="preserve"> </w:t>
      </w:r>
      <w:r w:rsidRPr="00D4309F">
        <w:t>in</w:t>
      </w:r>
      <w:r w:rsidRPr="00D4309F">
        <w:rPr>
          <w:spacing w:val="-2"/>
        </w:rPr>
        <w:t xml:space="preserve"> </w:t>
      </w:r>
      <w:r w:rsidRPr="00D4309F">
        <w:t>to</w:t>
      </w:r>
      <w:r w:rsidRPr="00D4309F">
        <w:rPr>
          <w:spacing w:val="-2"/>
        </w:rPr>
        <w:t xml:space="preserve"> </w:t>
      </w:r>
      <w:r w:rsidRPr="00D4309F">
        <w:t>improve</w:t>
      </w:r>
      <w:r w:rsidRPr="00D4309F">
        <w:rPr>
          <w:spacing w:val="-2"/>
        </w:rPr>
        <w:t xml:space="preserve"> </w:t>
      </w:r>
      <w:r w:rsidRPr="00D4309F">
        <w:t>the</w:t>
      </w:r>
      <w:r w:rsidRPr="00D4309F">
        <w:rPr>
          <w:spacing w:val="-2"/>
        </w:rPr>
        <w:t xml:space="preserve"> </w:t>
      </w:r>
      <w:r w:rsidRPr="00D4309F">
        <w:t>use</w:t>
      </w:r>
      <w:r w:rsidRPr="00D4309F">
        <w:rPr>
          <w:spacing w:val="-2"/>
        </w:rPr>
        <w:t xml:space="preserve"> </w:t>
      </w:r>
      <w:r w:rsidRPr="00D4309F">
        <w:t>of</w:t>
      </w:r>
      <w:r w:rsidRPr="00D4309F">
        <w:rPr>
          <w:spacing w:val="-2"/>
        </w:rPr>
        <w:t xml:space="preserve"> </w:t>
      </w:r>
      <w:r w:rsidRPr="00D4309F">
        <w:t>the</w:t>
      </w:r>
      <w:r w:rsidRPr="00D4309F">
        <w:rPr>
          <w:spacing w:val="-2"/>
        </w:rPr>
        <w:t xml:space="preserve"> </w:t>
      </w:r>
      <w:r w:rsidRPr="00D4309F">
        <w:t>existing model or the overall monitoring and prediction of sand shoals:</w:t>
      </w:r>
    </w:p>
    <w:p w14:paraId="37DFD10F" w14:textId="77777777" w:rsidR="00725977" w:rsidRPr="00D4309F" w:rsidRDefault="00725977" w:rsidP="004426B8">
      <w:pPr>
        <w:pStyle w:val="ListBullet2"/>
      </w:pPr>
      <w:r w:rsidRPr="00D4309F">
        <w:t>Continue</w:t>
      </w:r>
      <w:r w:rsidRPr="00D4309F">
        <w:rPr>
          <w:spacing w:val="-3"/>
        </w:rPr>
        <w:t xml:space="preserve"> </w:t>
      </w:r>
      <w:r w:rsidRPr="00D4309F">
        <w:t>to</w:t>
      </w:r>
      <w:r w:rsidRPr="00D4309F">
        <w:rPr>
          <w:spacing w:val="-3"/>
        </w:rPr>
        <w:t xml:space="preserve"> </w:t>
      </w:r>
      <w:r w:rsidRPr="00D4309F">
        <w:t>incorporate</w:t>
      </w:r>
      <w:r w:rsidRPr="00D4309F">
        <w:rPr>
          <w:spacing w:val="-3"/>
        </w:rPr>
        <w:t xml:space="preserve"> </w:t>
      </w:r>
      <w:r w:rsidRPr="00D4309F">
        <w:t>use</w:t>
      </w:r>
      <w:r w:rsidRPr="00D4309F">
        <w:rPr>
          <w:spacing w:val="-3"/>
        </w:rPr>
        <w:t xml:space="preserve"> </w:t>
      </w:r>
      <w:r w:rsidRPr="00D4309F">
        <w:t>of</w:t>
      </w:r>
      <w:r w:rsidRPr="00D4309F">
        <w:rPr>
          <w:spacing w:val="-3"/>
        </w:rPr>
        <w:t xml:space="preserve"> </w:t>
      </w:r>
      <w:r w:rsidRPr="00D4309F">
        <w:t>drone</w:t>
      </w:r>
      <w:r w:rsidRPr="00D4309F">
        <w:rPr>
          <w:spacing w:val="-3"/>
        </w:rPr>
        <w:t xml:space="preserve"> </w:t>
      </w:r>
      <w:r w:rsidRPr="00D4309F">
        <w:t>monitoring</w:t>
      </w:r>
      <w:r w:rsidRPr="00D4309F">
        <w:rPr>
          <w:spacing w:val="-3"/>
        </w:rPr>
        <w:t xml:space="preserve"> </w:t>
      </w:r>
      <w:r w:rsidRPr="00D4309F">
        <w:t>data</w:t>
      </w:r>
      <w:r w:rsidRPr="00D4309F">
        <w:rPr>
          <w:spacing w:val="-4"/>
        </w:rPr>
        <w:t xml:space="preserve"> </w:t>
      </w:r>
      <w:r w:rsidRPr="00D4309F">
        <w:t>and</w:t>
      </w:r>
      <w:r w:rsidRPr="00D4309F">
        <w:rPr>
          <w:spacing w:val="-3"/>
        </w:rPr>
        <w:t xml:space="preserve"> </w:t>
      </w:r>
      <w:r w:rsidRPr="00D4309F">
        <w:t>available</w:t>
      </w:r>
      <w:r w:rsidRPr="00D4309F">
        <w:rPr>
          <w:spacing w:val="-3"/>
        </w:rPr>
        <w:t xml:space="preserve"> </w:t>
      </w:r>
      <w:r w:rsidRPr="00D4309F">
        <w:t>survey</w:t>
      </w:r>
      <w:r w:rsidRPr="00D4309F">
        <w:rPr>
          <w:spacing w:val="-2"/>
        </w:rPr>
        <w:t xml:space="preserve"> </w:t>
      </w:r>
      <w:r w:rsidRPr="00D4309F">
        <w:t>data</w:t>
      </w:r>
      <w:r w:rsidRPr="00D4309F">
        <w:rPr>
          <w:spacing w:val="-4"/>
        </w:rPr>
        <w:t xml:space="preserve"> </w:t>
      </w:r>
      <w:r w:rsidRPr="00D4309F">
        <w:t>to</w:t>
      </w:r>
      <w:r w:rsidRPr="00D4309F">
        <w:rPr>
          <w:spacing w:val="-3"/>
        </w:rPr>
        <w:t xml:space="preserve"> </w:t>
      </w:r>
      <w:r w:rsidRPr="00D4309F">
        <w:t>confirm</w:t>
      </w:r>
      <w:r w:rsidRPr="00D4309F">
        <w:rPr>
          <w:spacing w:val="-3"/>
        </w:rPr>
        <w:t xml:space="preserve"> </w:t>
      </w:r>
      <w:r w:rsidRPr="00D4309F">
        <w:t>reliability or re-calibrate the model over time.</w:t>
      </w:r>
    </w:p>
    <w:p w14:paraId="20640850" w14:textId="77777777" w:rsidR="00725977" w:rsidRPr="00D4309F" w:rsidRDefault="00725977" w:rsidP="004426B8">
      <w:pPr>
        <w:pStyle w:val="ListBullet2"/>
      </w:pPr>
      <w:r w:rsidRPr="00D4309F">
        <w:t>Automate</w:t>
      </w:r>
      <w:r w:rsidRPr="00D4309F">
        <w:rPr>
          <w:spacing w:val="-3"/>
        </w:rPr>
        <w:t xml:space="preserve"> </w:t>
      </w:r>
      <w:r w:rsidRPr="00D4309F">
        <w:t>the</w:t>
      </w:r>
      <w:r w:rsidRPr="00D4309F">
        <w:rPr>
          <w:spacing w:val="-4"/>
        </w:rPr>
        <w:t xml:space="preserve"> </w:t>
      </w:r>
      <w:r w:rsidRPr="00D4309F">
        <w:t>model</w:t>
      </w:r>
      <w:r w:rsidRPr="00D4309F">
        <w:rPr>
          <w:spacing w:val="-3"/>
        </w:rPr>
        <w:t xml:space="preserve"> </w:t>
      </w:r>
      <w:r w:rsidRPr="00D4309F">
        <w:t>as</w:t>
      </w:r>
      <w:r w:rsidRPr="00D4309F">
        <w:rPr>
          <w:spacing w:val="-2"/>
        </w:rPr>
        <w:t xml:space="preserve"> </w:t>
      </w:r>
      <w:r w:rsidRPr="00D4309F">
        <w:t>a</w:t>
      </w:r>
      <w:r w:rsidRPr="00D4309F">
        <w:rPr>
          <w:spacing w:val="-4"/>
        </w:rPr>
        <w:t xml:space="preserve"> </w:t>
      </w:r>
      <w:r w:rsidRPr="00D4309F">
        <w:t>real-time</w:t>
      </w:r>
      <w:r w:rsidRPr="00D4309F">
        <w:rPr>
          <w:spacing w:val="-3"/>
        </w:rPr>
        <w:t xml:space="preserve"> </w:t>
      </w:r>
      <w:r w:rsidRPr="00D4309F">
        <w:rPr>
          <w:spacing w:val="-2"/>
        </w:rPr>
        <w:t>service.</w:t>
      </w:r>
    </w:p>
    <w:p w14:paraId="389FB310" w14:textId="77777777" w:rsidR="00725977" w:rsidRPr="00D4309F" w:rsidRDefault="00725977" w:rsidP="004426B8">
      <w:pPr>
        <w:pStyle w:val="ListBullet2"/>
      </w:pPr>
      <w:r w:rsidRPr="00D4309F">
        <w:t>Use</w:t>
      </w:r>
      <w:r w:rsidRPr="00D4309F">
        <w:rPr>
          <w:spacing w:val="-6"/>
        </w:rPr>
        <w:t xml:space="preserve"> </w:t>
      </w:r>
      <w:r w:rsidRPr="00D4309F">
        <w:t>forecasted</w:t>
      </w:r>
      <w:r w:rsidRPr="00D4309F">
        <w:rPr>
          <w:spacing w:val="-3"/>
        </w:rPr>
        <w:t xml:space="preserve"> </w:t>
      </w:r>
      <w:r w:rsidRPr="00D4309F">
        <w:t>wave</w:t>
      </w:r>
      <w:r w:rsidRPr="00D4309F">
        <w:rPr>
          <w:spacing w:val="-3"/>
        </w:rPr>
        <w:t xml:space="preserve"> </w:t>
      </w:r>
      <w:r w:rsidRPr="00D4309F">
        <w:t>data</w:t>
      </w:r>
      <w:r w:rsidRPr="00D4309F">
        <w:rPr>
          <w:spacing w:val="-4"/>
        </w:rPr>
        <w:t xml:space="preserve"> </w:t>
      </w:r>
      <w:r w:rsidRPr="00D4309F">
        <w:t>(1</w:t>
      </w:r>
      <w:r w:rsidRPr="00D4309F">
        <w:rPr>
          <w:spacing w:val="-3"/>
        </w:rPr>
        <w:t xml:space="preserve"> </w:t>
      </w:r>
      <w:r w:rsidRPr="00D4309F">
        <w:t>–</w:t>
      </w:r>
      <w:r w:rsidRPr="00D4309F">
        <w:rPr>
          <w:spacing w:val="-3"/>
        </w:rPr>
        <w:t xml:space="preserve"> </w:t>
      </w:r>
      <w:r w:rsidRPr="00D4309F">
        <w:t>2</w:t>
      </w:r>
      <w:r w:rsidRPr="00D4309F">
        <w:rPr>
          <w:spacing w:val="-3"/>
        </w:rPr>
        <w:t xml:space="preserve"> </w:t>
      </w:r>
      <w:r w:rsidRPr="00D4309F">
        <w:t>weeks)</w:t>
      </w:r>
      <w:r w:rsidRPr="00D4309F">
        <w:rPr>
          <w:spacing w:val="-2"/>
        </w:rPr>
        <w:t xml:space="preserve"> </w:t>
      </w:r>
      <w:r w:rsidRPr="00D4309F">
        <w:t>and</w:t>
      </w:r>
      <w:r w:rsidRPr="00D4309F">
        <w:rPr>
          <w:spacing w:val="-3"/>
        </w:rPr>
        <w:t xml:space="preserve"> </w:t>
      </w:r>
      <w:r w:rsidRPr="00D4309F">
        <w:t>typical</w:t>
      </w:r>
      <w:r w:rsidRPr="00D4309F">
        <w:rPr>
          <w:spacing w:val="-4"/>
        </w:rPr>
        <w:t xml:space="preserve"> </w:t>
      </w:r>
      <w:r w:rsidRPr="00D4309F">
        <w:t>seasonal</w:t>
      </w:r>
      <w:r w:rsidRPr="00D4309F">
        <w:rPr>
          <w:spacing w:val="-3"/>
        </w:rPr>
        <w:t xml:space="preserve"> </w:t>
      </w:r>
      <w:r w:rsidRPr="00D4309F">
        <w:rPr>
          <w:spacing w:val="-2"/>
        </w:rPr>
        <w:t>conditions.</w:t>
      </w:r>
    </w:p>
    <w:p w14:paraId="61A54A06" w14:textId="77777777" w:rsidR="00725977" w:rsidRPr="00D4309F" w:rsidRDefault="00725977" w:rsidP="004426B8">
      <w:pPr>
        <w:pStyle w:val="ListBullet2"/>
      </w:pPr>
      <w:r w:rsidRPr="00D4309F">
        <w:t>Consider</w:t>
      </w:r>
      <w:r w:rsidRPr="00D4309F">
        <w:rPr>
          <w:spacing w:val="-2"/>
        </w:rPr>
        <w:t xml:space="preserve"> </w:t>
      </w:r>
      <w:r w:rsidRPr="00D4309F">
        <w:t>upgrading</w:t>
      </w:r>
      <w:r w:rsidRPr="00D4309F">
        <w:rPr>
          <w:spacing w:val="-3"/>
        </w:rPr>
        <w:t xml:space="preserve"> </w:t>
      </w:r>
      <w:r w:rsidRPr="00D4309F">
        <w:t>model</w:t>
      </w:r>
      <w:r w:rsidRPr="00D4309F">
        <w:rPr>
          <w:spacing w:val="-3"/>
        </w:rPr>
        <w:t xml:space="preserve"> </w:t>
      </w:r>
      <w:r w:rsidRPr="00D4309F">
        <w:t>to</w:t>
      </w:r>
      <w:r w:rsidRPr="00D4309F">
        <w:rPr>
          <w:spacing w:val="-3"/>
        </w:rPr>
        <w:t xml:space="preserve"> </w:t>
      </w:r>
      <w:r w:rsidRPr="00D4309F">
        <w:t>(or</w:t>
      </w:r>
      <w:r w:rsidRPr="00D4309F">
        <w:rPr>
          <w:spacing w:val="-2"/>
        </w:rPr>
        <w:t xml:space="preserve"> </w:t>
      </w:r>
      <w:r w:rsidRPr="00D4309F">
        <w:t>use</w:t>
      </w:r>
      <w:r w:rsidRPr="00D4309F">
        <w:rPr>
          <w:spacing w:val="-3"/>
        </w:rPr>
        <w:t xml:space="preserve"> </w:t>
      </w:r>
      <w:r w:rsidRPr="00D4309F">
        <w:t>in</w:t>
      </w:r>
      <w:r w:rsidRPr="00D4309F">
        <w:rPr>
          <w:spacing w:val="-3"/>
        </w:rPr>
        <w:t xml:space="preserve"> </w:t>
      </w:r>
      <w:r w:rsidRPr="00D4309F">
        <w:t>conjunction</w:t>
      </w:r>
      <w:r w:rsidRPr="00D4309F">
        <w:rPr>
          <w:spacing w:val="-4"/>
        </w:rPr>
        <w:t xml:space="preserve"> </w:t>
      </w:r>
      <w:r w:rsidRPr="00D4309F">
        <w:t>with)</w:t>
      </w:r>
      <w:r w:rsidRPr="00D4309F">
        <w:rPr>
          <w:spacing w:val="-2"/>
        </w:rPr>
        <w:t xml:space="preserve"> </w:t>
      </w:r>
      <w:r w:rsidRPr="00D4309F">
        <w:t>a</w:t>
      </w:r>
      <w:r w:rsidRPr="00D4309F">
        <w:rPr>
          <w:spacing w:val="-3"/>
        </w:rPr>
        <w:t xml:space="preserve"> </w:t>
      </w:r>
      <w:r w:rsidRPr="00D4309F">
        <w:t>calibrated</w:t>
      </w:r>
      <w:r w:rsidRPr="00D4309F">
        <w:rPr>
          <w:spacing w:val="-3"/>
        </w:rPr>
        <w:t xml:space="preserve"> </w:t>
      </w:r>
      <w:r w:rsidRPr="00D4309F">
        <w:t>numerical</w:t>
      </w:r>
      <w:r w:rsidRPr="00D4309F">
        <w:rPr>
          <w:spacing w:val="-3"/>
        </w:rPr>
        <w:t xml:space="preserve"> </w:t>
      </w:r>
      <w:r w:rsidRPr="00D4309F">
        <w:t>model</w:t>
      </w:r>
      <w:r w:rsidRPr="00D4309F">
        <w:rPr>
          <w:spacing w:val="-3"/>
        </w:rPr>
        <w:t xml:space="preserve"> </w:t>
      </w:r>
      <w:r w:rsidRPr="00D4309F">
        <w:t>which</w:t>
      </w:r>
      <w:r w:rsidRPr="00D4309F">
        <w:rPr>
          <w:spacing w:val="-3"/>
        </w:rPr>
        <w:t xml:space="preserve"> </w:t>
      </w:r>
      <w:r w:rsidRPr="00D4309F">
        <w:t>can provide</w:t>
      </w:r>
      <w:r w:rsidRPr="00D4309F">
        <w:rPr>
          <w:spacing w:val="-3"/>
        </w:rPr>
        <w:t xml:space="preserve"> </w:t>
      </w:r>
      <w:r w:rsidRPr="00D4309F">
        <w:t>not</w:t>
      </w:r>
      <w:r w:rsidRPr="00D4309F">
        <w:rPr>
          <w:spacing w:val="-3"/>
        </w:rPr>
        <w:t xml:space="preserve"> </w:t>
      </w:r>
      <w:r w:rsidRPr="00D4309F">
        <w:t>only</w:t>
      </w:r>
      <w:r w:rsidRPr="00D4309F">
        <w:rPr>
          <w:spacing w:val="-2"/>
        </w:rPr>
        <w:t xml:space="preserve"> </w:t>
      </w:r>
      <w:r w:rsidRPr="00D4309F">
        <w:t>a</w:t>
      </w:r>
      <w:r w:rsidRPr="00D4309F">
        <w:rPr>
          <w:spacing w:val="-3"/>
        </w:rPr>
        <w:t xml:space="preserve"> </w:t>
      </w:r>
      <w:r w:rsidRPr="00D4309F">
        <w:t>more</w:t>
      </w:r>
      <w:r w:rsidRPr="00D4309F">
        <w:rPr>
          <w:spacing w:val="-3"/>
        </w:rPr>
        <w:t xml:space="preserve"> </w:t>
      </w:r>
      <w:r w:rsidRPr="00D4309F">
        <w:t>reliable</w:t>
      </w:r>
      <w:r w:rsidRPr="00D4309F">
        <w:rPr>
          <w:spacing w:val="-3"/>
        </w:rPr>
        <w:t xml:space="preserve"> </w:t>
      </w:r>
      <w:r w:rsidRPr="00D4309F">
        <w:t>indicator</w:t>
      </w:r>
      <w:r w:rsidRPr="00D4309F">
        <w:rPr>
          <w:spacing w:val="-2"/>
        </w:rPr>
        <w:t xml:space="preserve"> </w:t>
      </w:r>
      <w:r w:rsidRPr="00D4309F">
        <w:t>of</w:t>
      </w:r>
      <w:r w:rsidRPr="00D4309F">
        <w:rPr>
          <w:spacing w:val="-3"/>
        </w:rPr>
        <w:t xml:space="preserve"> </w:t>
      </w:r>
      <w:r w:rsidRPr="00D4309F">
        <w:t>sand</w:t>
      </w:r>
      <w:r w:rsidRPr="00D4309F">
        <w:rPr>
          <w:spacing w:val="-3"/>
        </w:rPr>
        <w:t xml:space="preserve"> </w:t>
      </w:r>
      <w:r w:rsidRPr="00D4309F">
        <w:t>shoal</w:t>
      </w:r>
      <w:r w:rsidRPr="00D4309F">
        <w:rPr>
          <w:spacing w:val="-3"/>
        </w:rPr>
        <w:t xml:space="preserve"> </w:t>
      </w:r>
      <w:r w:rsidRPr="00D4309F">
        <w:t>events</w:t>
      </w:r>
      <w:r w:rsidRPr="00D4309F">
        <w:rPr>
          <w:spacing w:val="-2"/>
        </w:rPr>
        <w:t xml:space="preserve"> </w:t>
      </w:r>
      <w:r w:rsidRPr="00D4309F">
        <w:t>but</w:t>
      </w:r>
      <w:r w:rsidRPr="00D4309F">
        <w:rPr>
          <w:spacing w:val="-5"/>
        </w:rPr>
        <w:t xml:space="preserve"> </w:t>
      </w:r>
      <w:r w:rsidRPr="00D4309F">
        <w:t>a</w:t>
      </w:r>
      <w:r w:rsidRPr="00D4309F">
        <w:rPr>
          <w:spacing w:val="-3"/>
        </w:rPr>
        <w:t xml:space="preserve"> </w:t>
      </w:r>
      <w:r w:rsidRPr="00D4309F">
        <w:t>greater</w:t>
      </w:r>
      <w:r w:rsidRPr="00D4309F">
        <w:rPr>
          <w:spacing w:val="-2"/>
        </w:rPr>
        <w:t xml:space="preserve"> </w:t>
      </w:r>
      <w:r w:rsidRPr="00D4309F">
        <w:t>understanding</w:t>
      </w:r>
      <w:r w:rsidRPr="00D4309F">
        <w:rPr>
          <w:spacing w:val="-3"/>
        </w:rPr>
        <w:t xml:space="preserve"> </w:t>
      </w:r>
      <w:r w:rsidRPr="00D4309F">
        <w:t>of</w:t>
      </w:r>
      <w:r w:rsidRPr="00D4309F">
        <w:rPr>
          <w:spacing w:val="-3"/>
        </w:rPr>
        <w:t xml:space="preserve"> </w:t>
      </w:r>
      <w:r w:rsidRPr="00D4309F">
        <w:t>the extent and location of the sand shoal.</w:t>
      </w:r>
    </w:p>
    <w:p w14:paraId="1D15A086" w14:textId="77777777" w:rsidR="00725977" w:rsidRPr="00D4309F" w:rsidRDefault="00725977" w:rsidP="004426B8">
      <w:pPr>
        <w:pStyle w:val="ListBullet"/>
      </w:pPr>
      <w:r w:rsidRPr="00D4309F">
        <w:rPr>
          <w:b/>
        </w:rPr>
        <w:t>Navigational warnings and guidance</w:t>
      </w:r>
      <w:r w:rsidRPr="00D4309F">
        <w:t>: TMR, through Maritime Safety Queensland (MSQ), must continue to issue regular and detailed Notices to Mariners. These notices inform vessel masters of current</w:t>
      </w:r>
      <w:r w:rsidRPr="00D4309F">
        <w:rPr>
          <w:spacing w:val="-3"/>
        </w:rPr>
        <w:t xml:space="preserve"> </w:t>
      </w:r>
      <w:r w:rsidRPr="00D4309F">
        <w:t>shoaling,</w:t>
      </w:r>
      <w:r w:rsidRPr="00D4309F">
        <w:rPr>
          <w:spacing w:val="-3"/>
        </w:rPr>
        <w:t xml:space="preserve"> </w:t>
      </w:r>
      <w:r w:rsidRPr="00D4309F">
        <w:t>reduced</w:t>
      </w:r>
      <w:r w:rsidRPr="00D4309F">
        <w:rPr>
          <w:spacing w:val="-3"/>
        </w:rPr>
        <w:t xml:space="preserve"> </w:t>
      </w:r>
      <w:r w:rsidRPr="00D4309F">
        <w:t>depths,</w:t>
      </w:r>
      <w:r w:rsidRPr="00D4309F">
        <w:rPr>
          <w:spacing w:val="-3"/>
        </w:rPr>
        <w:t xml:space="preserve"> </w:t>
      </w:r>
      <w:r w:rsidRPr="00D4309F">
        <w:t>and</w:t>
      </w:r>
      <w:r w:rsidRPr="00D4309F">
        <w:rPr>
          <w:spacing w:val="-3"/>
        </w:rPr>
        <w:t xml:space="preserve"> </w:t>
      </w:r>
      <w:r w:rsidRPr="00D4309F">
        <w:t>provide</w:t>
      </w:r>
      <w:r w:rsidRPr="00D4309F">
        <w:rPr>
          <w:spacing w:val="-3"/>
        </w:rPr>
        <w:t xml:space="preserve"> </w:t>
      </w:r>
      <w:r w:rsidRPr="00D4309F">
        <w:t>guidance</w:t>
      </w:r>
      <w:r w:rsidRPr="00D4309F">
        <w:rPr>
          <w:spacing w:val="-3"/>
        </w:rPr>
        <w:t xml:space="preserve"> </w:t>
      </w:r>
      <w:r w:rsidRPr="00D4309F">
        <w:t>on</w:t>
      </w:r>
      <w:r w:rsidRPr="00D4309F">
        <w:rPr>
          <w:spacing w:val="-4"/>
        </w:rPr>
        <w:t xml:space="preserve"> </w:t>
      </w:r>
      <w:r w:rsidRPr="00D4309F">
        <w:t>safe</w:t>
      </w:r>
      <w:r w:rsidRPr="00D4309F">
        <w:rPr>
          <w:spacing w:val="-3"/>
        </w:rPr>
        <w:t xml:space="preserve"> </w:t>
      </w:r>
      <w:r w:rsidRPr="00D4309F">
        <w:t>navigation,</w:t>
      </w:r>
      <w:r w:rsidRPr="00D4309F">
        <w:rPr>
          <w:spacing w:val="-3"/>
        </w:rPr>
        <w:t xml:space="preserve"> </w:t>
      </w:r>
      <w:r w:rsidRPr="00D4309F">
        <w:t>including</w:t>
      </w:r>
      <w:r w:rsidRPr="00D4309F">
        <w:rPr>
          <w:spacing w:val="-3"/>
        </w:rPr>
        <w:t xml:space="preserve"> </w:t>
      </w:r>
      <w:r w:rsidRPr="00D4309F">
        <w:t>alternative</w:t>
      </w:r>
      <w:r w:rsidRPr="00D4309F">
        <w:rPr>
          <w:spacing w:val="-3"/>
        </w:rPr>
        <w:t xml:space="preserve"> </w:t>
      </w:r>
      <w:r w:rsidRPr="00D4309F">
        <w:t>routes where possible.</w:t>
      </w:r>
    </w:p>
    <w:p w14:paraId="61BBEE13" w14:textId="77777777" w:rsidR="00725977" w:rsidRPr="00D4309F" w:rsidRDefault="00725977" w:rsidP="004426B8">
      <w:pPr>
        <w:pStyle w:val="ListBullet"/>
      </w:pPr>
      <w:r w:rsidRPr="00D4309F">
        <w:rPr>
          <w:b/>
        </w:rPr>
        <w:t>Western</w:t>
      </w:r>
      <w:r w:rsidRPr="00D4309F">
        <w:rPr>
          <w:b/>
          <w:spacing w:val="-4"/>
        </w:rPr>
        <w:t xml:space="preserve"> </w:t>
      </w:r>
      <w:r w:rsidRPr="00D4309F">
        <w:rPr>
          <w:b/>
        </w:rPr>
        <w:t>Channel</w:t>
      </w:r>
      <w:r w:rsidRPr="00D4309F">
        <w:rPr>
          <w:b/>
          <w:spacing w:val="-3"/>
        </w:rPr>
        <w:t xml:space="preserve"> </w:t>
      </w:r>
      <w:r w:rsidRPr="00D4309F">
        <w:rPr>
          <w:b/>
        </w:rPr>
        <w:t>Trial</w:t>
      </w:r>
      <w:r w:rsidRPr="00D4309F">
        <w:t>:</w:t>
      </w:r>
      <w:r w:rsidRPr="00D4309F">
        <w:rPr>
          <w:spacing w:val="-3"/>
        </w:rPr>
        <w:t xml:space="preserve"> </w:t>
      </w:r>
      <w:r w:rsidRPr="00D4309F">
        <w:t>This</w:t>
      </w:r>
      <w:r w:rsidRPr="00D4309F">
        <w:rPr>
          <w:spacing w:val="-2"/>
        </w:rPr>
        <w:t xml:space="preserve"> </w:t>
      </w:r>
      <w:r w:rsidRPr="00D4309F">
        <w:t>initiative,</w:t>
      </w:r>
      <w:r w:rsidRPr="00D4309F">
        <w:rPr>
          <w:spacing w:val="-3"/>
        </w:rPr>
        <w:t xml:space="preserve"> </w:t>
      </w:r>
      <w:r w:rsidRPr="00D4309F">
        <w:t>commenced</w:t>
      </w:r>
      <w:r w:rsidRPr="00D4309F">
        <w:rPr>
          <w:spacing w:val="-3"/>
        </w:rPr>
        <w:t xml:space="preserve"> </w:t>
      </w:r>
      <w:r w:rsidRPr="00D4309F">
        <w:t>in</w:t>
      </w:r>
      <w:r w:rsidRPr="00D4309F">
        <w:rPr>
          <w:spacing w:val="-3"/>
        </w:rPr>
        <w:t xml:space="preserve"> </w:t>
      </w:r>
      <w:r w:rsidRPr="00D4309F">
        <w:t>2022,</w:t>
      </w:r>
      <w:r w:rsidRPr="00D4309F">
        <w:rPr>
          <w:spacing w:val="-3"/>
        </w:rPr>
        <w:t xml:space="preserve"> </w:t>
      </w:r>
      <w:r w:rsidRPr="00D4309F">
        <w:t>involves</w:t>
      </w:r>
      <w:r w:rsidRPr="00D4309F">
        <w:rPr>
          <w:spacing w:val="-2"/>
        </w:rPr>
        <w:t xml:space="preserve"> </w:t>
      </w:r>
      <w:r w:rsidRPr="00D4309F">
        <w:t>targeted</w:t>
      </w:r>
      <w:r w:rsidRPr="00D4309F">
        <w:rPr>
          <w:spacing w:val="-3"/>
        </w:rPr>
        <w:t xml:space="preserve"> </w:t>
      </w:r>
      <w:r w:rsidRPr="00D4309F">
        <w:t>dredging</w:t>
      </w:r>
      <w:r w:rsidRPr="00D4309F">
        <w:rPr>
          <w:spacing w:val="-3"/>
        </w:rPr>
        <w:t xml:space="preserve"> </w:t>
      </w:r>
      <w:r w:rsidRPr="00D4309F">
        <w:t>to</w:t>
      </w:r>
      <w:r w:rsidRPr="00D4309F">
        <w:rPr>
          <w:spacing w:val="-3"/>
        </w:rPr>
        <w:t xml:space="preserve"> </w:t>
      </w:r>
      <w:r w:rsidRPr="00D4309F">
        <w:t>maintain</w:t>
      </w:r>
      <w:r w:rsidRPr="00D4309F">
        <w:rPr>
          <w:spacing w:val="-3"/>
        </w:rPr>
        <w:t xml:space="preserve"> </w:t>
      </w:r>
      <w:r w:rsidRPr="00D4309F">
        <w:t>a basin area west of the entrance. This is an ongoing trial to assess its effectiveness in mitigating sand accumulation in the main channel.</w:t>
      </w:r>
    </w:p>
    <w:p w14:paraId="01A92DFE" w14:textId="77777777" w:rsidR="00725977" w:rsidRPr="000F1D18" w:rsidRDefault="00725977" w:rsidP="004426B8">
      <w:pPr>
        <w:pStyle w:val="ListBullet"/>
      </w:pPr>
      <w:r w:rsidRPr="000F1D18">
        <w:t>Condition</w:t>
      </w:r>
      <w:r w:rsidRPr="000F1D18">
        <w:rPr>
          <w:spacing w:val="-5"/>
        </w:rPr>
        <w:t xml:space="preserve"> </w:t>
      </w:r>
      <w:r w:rsidRPr="000F1D18">
        <w:t>Assessment</w:t>
      </w:r>
      <w:r w:rsidRPr="000F1D18">
        <w:rPr>
          <w:spacing w:val="-4"/>
        </w:rPr>
        <w:t xml:space="preserve"> </w:t>
      </w:r>
      <w:r w:rsidRPr="000F1D18">
        <w:t>of</w:t>
      </w:r>
      <w:r w:rsidRPr="000F1D18">
        <w:rPr>
          <w:spacing w:val="-5"/>
        </w:rPr>
        <w:t xml:space="preserve"> </w:t>
      </w:r>
      <w:r w:rsidRPr="000F1D18">
        <w:t>Eastern</w:t>
      </w:r>
      <w:r w:rsidRPr="000F1D18">
        <w:rPr>
          <w:spacing w:val="-4"/>
        </w:rPr>
        <w:t xml:space="preserve"> </w:t>
      </w:r>
      <w:r w:rsidRPr="000F1D18">
        <w:rPr>
          <w:spacing w:val="-2"/>
        </w:rPr>
        <w:t>Breakwater.</w:t>
      </w:r>
    </w:p>
    <w:p w14:paraId="525609A4" w14:textId="77777777" w:rsidR="00725977" w:rsidRPr="00D4309F" w:rsidRDefault="00725977" w:rsidP="00725977">
      <w:pPr>
        <w:pStyle w:val="ListParagraph"/>
        <w:jc w:val="both"/>
        <w:sectPr w:rsidR="00725977" w:rsidRPr="00D4309F" w:rsidSect="00A8441C">
          <w:pgSz w:w="11910" w:h="16840"/>
          <w:pgMar w:top="1418" w:right="1134" w:bottom="1418" w:left="1134" w:header="916" w:footer="1147" w:gutter="0"/>
          <w:cols w:space="720"/>
          <w:docGrid w:linePitch="272"/>
        </w:sectPr>
      </w:pPr>
    </w:p>
    <w:p w14:paraId="49BCC467" w14:textId="77777777" w:rsidR="00725977" w:rsidRPr="00D4309F" w:rsidRDefault="00725977" w:rsidP="004426B8">
      <w:pPr>
        <w:pStyle w:val="Heading1"/>
      </w:pPr>
      <w:bookmarkStart w:id="132" w:name="_bookmark56"/>
      <w:bookmarkStart w:id="133" w:name="_Toc216699336"/>
      <w:bookmarkEnd w:id="132"/>
      <w:r w:rsidRPr="00D4309F">
        <w:lastRenderedPageBreak/>
        <w:t>MSQ</w:t>
      </w:r>
      <w:r w:rsidRPr="00D4309F">
        <w:rPr>
          <w:spacing w:val="-3"/>
        </w:rPr>
        <w:t xml:space="preserve"> </w:t>
      </w:r>
      <w:r w:rsidRPr="00D4309F">
        <w:t>DREDGING</w:t>
      </w:r>
      <w:r w:rsidRPr="00D4309F">
        <w:rPr>
          <w:spacing w:val="-4"/>
        </w:rPr>
        <w:t xml:space="preserve"> </w:t>
      </w:r>
      <w:r w:rsidRPr="00D4309F">
        <w:t>OPTIONS</w:t>
      </w:r>
      <w:r w:rsidRPr="00D4309F">
        <w:rPr>
          <w:spacing w:val="-4"/>
        </w:rPr>
        <w:t xml:space="preserve"> </w:t>
      </w:r>
      <w:r w:rsidRPr="00D4309F">
        <w:t>–</w:t>
      </w:r>
      <w:r w:rsidRPr="00D4309F">
        <w:rPr>
          <w:spacing w:val="-4"/>
        </w:rPr>
        <w:t xml:space="preserve"> </w:t>
      </w:r>
      <w:r w:rsidRPr="00D4309F">
        <w:t>LONG</w:t>
      </w:r>
      <w:r w:rsidRPr="00D4309F">
        <w:rPr>
          <w:spacing w:val="-3"/>
        </w:rPr>
        <w:t>-</w:t>
      </w:r>
      <w:r w:rsidRPr="00D4309F">
        <w:rPr>
          <w:spacing w:val="-4"/>
        </w:rPr>
        <w:t>TERM</w:t>
      </w:r>
      <w:bookmarkEnd w:id="133"/>
    </w:p>
    <w:p w14:paraId="69C770F7" w14:textId="77777777" w:rsidR="00725977" w:rsidRPr="00D4309F" w:rsidRDefault="00725977" w:rsidP="00725977">
      <w:pPr>
        <w:pStyle w:val="BodyText"/>
      </w:pPr>
      <w:r w:rsidRPr="00D4309F">
        <w:t>Long-term</w:t>
      </w:r>
      <w:r w:rsidRPr="00D4309F">
        <w:rPr>
          <w:spacing w:val="-3"/>
        </w:rPr>
        <w:t xml:space="preserve"> </w:t>
      </w:r>
      <w:r w:rsidRPr="00D4309F">
        <w:t>solutions</w:t>
      </w:r>
      <w:r w:rsidRPr="00D4309F">
        <w:rPr>
          <w:spacing w:val="-1"/>
        </w:rPr>
        <w:t xml:space="preserve"> </w:t>
      </w:r>
      <w:r w:rsidRPr="00D4309F">
        <w:t>are</w:t>
      </w:r>
      <w:r w:rsidRPr="00D4309F">
        <w:rPr>
          <w:spacing w:val="-2"/>
        </w:rPr>
        <w:t xml:space="preserve"> </w:t>
      </w:r>
      <w:r w:rsidRPr="00D4309F">
        <w:t>aimed</w:t>
      </w:r>
      <w:r w:rsidRPr="00D4309F">
        <w:rPr>
          <w:spacing w:val="-2"/>
        </w:rPr>
        <w:t xml:space="preserve"> </w:t>
      </w:r>
      <w:r w:rsidRPr="00D4309F">
        <w:t>at</w:t>
      </w:r>
      <w:r w:rsidRPr="00D4309F">
        <w:rPr>
          <w:spacing w:val="-2"/>
        </w:rPr>
        <w:t xml:space="preserve"> </w:t>
      </w:r>
      <w:r w:rsidRPr="00D4309F">
        <w:t>addressing</w:t>
      </w:r>
      <w:r w:rsidRPr="00D4309F">
        <w:rPr>
          <w:spacing w:val="-2"/>
        </w:rPr>
        <w:t xml:space="preserve"> </w:t>
      </w:r>
      <w:r w:rsidRPr="00D4309F">
        <w:t>the</w:t>
      </w:r>
      <w:r w:rsidRPr="00D4309F">
        <w:rPr>
          <w:spacing w:val="-2"/>
        </w:rPr>
        <w:t xml:space="preserve"> </w:t>
      </w:r>
      <w:r w:rsidRPr="00D4309F">
        <w:t>root</w:t>
      </w:r>
      <w:r w:rsidRPr="00D4309F">
        <w:rPr>
          <w:spacing w:val="-2"/>
        </w:rPr>
        <w:t xml:space="preserve"> </w:t>
      </w:r>
      <w:r w:rsidRPr="00D4309F">
        <w:t>cause</w:t>
      </w:r>
      <w:r w:rsidRPr="00D4309F">
        <w:rPr>
          <w:spacing w:val="-2"/>
        </w:rPr>
        <w:t xml:space="preserve"> </w:t>
      </w:r>
      <w:r w:rsidRPr="00D4309F">
        <w:t>of</w:t>
      </w:r>
      <w:r w:rsidRPr="00D4309F">
        <w:rPr>
          <w:spacing w:val="-2"/>
        </w:rPr>
        <w:t xml:space="preserve"> </w:t>
      </w:r>
      <w:r w:rsidRPr="00D4309F">
        <w:t>the</w:t>
      </w:r>
      <w:r w:rsidRPr="00D4309F">
        <w:rPr>
          <w:spacing w:val="-2"/>
        </w:rPr>
        <w:t xml:space="preserve"> </w:t>
      </w:r>
      <w:r w:rsidRPr="00D4309F">
        <w:t>shoaling</w:t>
      </w:r>
      <w:r w:rsidRPr="00D4309F">
        <w:rPr>
          <w:spacing w:val="-2"/>
        </w:rPr>
        <w:t xml:space="preserve"> </w:t>
      </w:r>
      <w:r w:rsidRPr="00D4309F">
        <w:t>to</w:t>
      </w:r>
      <w:r w:rsidRPr="00D4309F">
        <w:rPr>
          <w:spacing w:val="-2"/>
        </w:rPr>
        <w:t xml:space="preserve"> </w:t>
      </w:r>
      <w:r w:rsidRPr="00D4309F">
        <w:t>reduce</w:t>
      </w:r>
      <w:r w:rsidRPr="00D4309F">
        <w:rPr>
          <w:spacing w:val="-2"/>
        </w:rPr>
        <w:t xml:space="preserve"> </w:t>
      </w:r>
      <w:r w:rsidRPr="00D4309F">
        <w:t>the</w:t>
      </w:r>
      <w:r w:rsidRPr="00D4309F">
        <w:rPr>
          <w:spacing w:val="-2"/>
        </w:rPr>
        <w:t xml:space="preserve"> </w:t>
      </w:r>
      <w:r w:rsidRPr="00D4309F">
        <w:t>frequency</w:t>
      </w:r>
      <w:r w:rsidRPr="00D4309F">
        <w:rPr>
          <w:spacing w:val="-1"/>
        </w:rPr>
        <w:t xml:space="preserve"> </w:t>
      </w:r>
      <w:r w:rsidRPr="00D4309F">
        <w:t>and</w:t>
      </w:r>
      <w:r w:rsidRPr="00D4309F">
        <w:rPr>
          <w:spacing w:val="-2"/>
        </w:rPr>
        <w:t xml:space="preserve"> </w:t>
      </w:r>
      <w:r w:rsidRPr="00D4309F">
        <w:t>cost of maintenance dredging.</w:t>
      </w:r>
    </w:p>
    <w:p w14:paraId="2345B3DC" w14:textId="77777777" w:rsidR="00725977" w:rsidRPr="00D4309F" w:rsidRDefault="00725977" w:rsidP="004426B8">
      <w:pPr>
        <w:pStyle w:val="ListBullet"/>
      </w:pPr>
      <w:r w:rsidRPr="00D4309F">
        <w:rPr>
          <w:b/>
        </w:rPr>
        <w:t>Option 1 – Permanent Automated Sand Bypassing System</w:t>
      </w:r>
      <w:r w:rsidRPr="00D4309F">
        <w:t>: This option involves a permanent system</w:t>
      </w:r>
      <w:r w:rsidRPr="00D4309F">
        <w:rPr>
          <w:spacing w:val="-3"/>
        </w:rPr>
        <w:t xml:space="preserve"> </w:t>
      </w:r>
      <w:r w:rsidRPr="00D4309F">
        <w:t>to</w:t>
      </w:r>
      <w:r w:rsidRPr="00D4309F">
        <w:rPr>
          <w:spacing w:val="-3"/>
        </w:rPr>
        <w:t xml:space="preserve"> </w:t>
      </w:r>
      <w:r w:rsidRPr="00D4309F">
        <w:t>mechanically</w:t>
      </w:r>
      <w:r w:rsidRPr="00D4309F">
        <w:rPr>
          <w:spacing w:val="-2"/>
        </w:rPr>
        <w:t xml:space="preserve"> </w:t>
      </w:r>
      <w:r w:rsidRPr="00D4309F">
        <w:t>transport</w:t>
      </w:r>
      <w:r w:rsidRPr="00D4309F">
        <w:rPr>
          <w:spacing w:val="-3"/>
        </w:rPr>
        <w:t xml:space="preserve"> </w:t>
      </w:r>
      <w:r w:rsidRPr="00D4309F">
        <w:t>sand</w:t>
      </w:r>
      <w:r w:rsidRPr="00D4309F">
        <w:rPr>
          <w:spacing w:val="-3"/>
        </w:rPr>
        <w:t xml:space="preserve"> </w:t>
      </w:r>
      <w:r w:rsidRPr="00D4309F">
        <w:t>from</w:t>
      </w:r>
      <w:r w:rsidRPr="00D4309F">
        <w:rPr>
          <w:spacing w:val="-3"/>
        </w:rPr>
        <w:t xml:space="preserve"> </w:t>
      </w:r>
      <w:r w:rsidRPr="00D4309F">
        <w:t>the</w:t>
      </w:r>
      <w:r w:rsidRPr="00D4309F">
        <w:rPr>
          <w:spacing w:val="-3"/>
        </w:rPr>
        <w:t xml:space="preserve"> </w:t>
      </w:r>
      <w:r w:rsidRPr="00D4309F">
        <w:t>updrift</w:t>
      </w:r>
      <w:r w:rsidRPr="00D4309F">
        <w:rPr>
          <w:spacing w:val="-3"/>
        </w:rPr>
        <w:t xml:space="preserve"> </w:t>
      </w:r>
      <w:r w:rsidRPr="00D4309F">
        <w:t>side</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bar</w:t>
      </w:r>
      <w:r w:rsidRPr="00D4309F">
        <w:rPr>
          <w:spacing w:val="-2"/>
        </w:rPr>
        <w:t xml:space="preserve"> </w:t>
      </w:r>
      <w:r w:rsidRPr="00D4309F">
        <w:t>(Point</w:t>
      </w:r>
      <w:r w:rsidRPr="00D4309F">
        <w:rPr>
          <w:spacing w:val="-3"/>
        </w:rPr>
        <w:t xml:space="preserve"> </w:t>
      </w:r>
      <w:r w:rsidRPr="00D4309F">
        <w:t>Cartwright)</w:t>
      </w:r>
      <w:r w:rsidRPr="00D4309F">
        <w:rPr>
          <w:spacing w:val="-2"/>
        </w:rPr>
        <w:t xml:space="preserve"> </w:t>
      </w:r>
      <w:r w:rsidRPr="00D4309F">
        <w:t>to</w:t>
      </w:r>
      <w:r w:rsidRPr="00D4309F">
        <w:rPr>
          <w:spacing w:val="-3"/>
        </w:rPr>
        <w:t xml:space="preserve"> </w:t>
      </w:r>
      <w:r w:rsidRPr="00D4309F">
        <w:t>the</w:t>
      </w:r>
      <w:r w:rsidRPr="00D4309F">
        <w:rPr>
          <w:spacing w:val="-3"/>
        </w:rPr>
        <w:t xml:space="preserve"> </w:t>
      </w:r>
      <w:r w:rsidRPr="00D4309F">
        <w:t>downdrift side (Mooloolaba Beach). While technically feasible, the capital and operational costs, as well as the environmental impact and visual amenity, require detailed consideration.</w:t>
      </w:r>
    </w:p>
    <w:p w14:paraId="4411C9A0" w14:textId="77777777" w:rsidR="00725977" w:rsidRPr="00D4309F" w:rsidRDefault="00725977" w:rsidP="004426B8">
      <w:pPr>
        <w:pStyle w:val="ListBullet"/>
      </w:pPr>
      <w:r w:rsidRPr="00D4309F">
        <w:rPr>
          <w:b/>
        </w:rPr>
        <w:t>Option</w:t>
      </w:r>
      <w:r w:rsidRPr="00D4309F">
        <w:rPr>
          <w:b/>
          <w:spacing w:val="-3"/>
        </w:rPr>
        <w:t xml:space="preserve"> </w:t>
      </w:r>
      <w:r w:rsidRPr="00D4309F">
        <w:rPr>
          <w:b/>
        </w:rPr>
        <w:t>2</w:t>
      </w:r>
      <w:r w:rsidRPr="00D4309F">
        <w:rPr>
          <w:b/>
          <w:spacing w:val="-3"/>
        </w:rPr>
        <w:t xml:space="preserve"> </w:t>
      </w:r>
      <w:r w:rsidRPr="00D4309F">
        <w:rPr>
          <w:b/>
        </w:rPr>
        <w:t>–</w:t>
      </w:r>
      <w:r w:rsidRPr="00D4309F">
        <w:rPr>
          <w:b/>
          <w:spacing w:val="-3"/>
        </w:rPr>
        <w:t xml:space="preserve"> </w:t>
      </w:r>
      <w:r w:rsidRPr="00D4309F">
        <w:rPr>
          <w:b/>
        </w:rPr>
        <w:t>Increased</w:t>
      </w:r>
      <w:r w:rsidRPr="00D4309F">
        <w:rPr>
          <w:b/>
          <w:spacing w:val="-3"/>
        </w:rPr>
        <w:t xml:space="preserve"> </w:t>
      </w:r>
      <w:r w:rsidRPr="00D4309F">
        <w:rPr>
          <w:b/>
        </w:rPr>
        <w:t>Dredge</w:t>
      </w:r>
      <w:r w:rsidRPr="00D4309F">
        <w:rPr>
          <w:b/>
          <w:spacing w:val="-3"/>
        </w:rPr>
        <w:t xml:space="preserve"> </w:t>
      </w:r>
      <w:r w:rsidRPr="00D4309F">
        <w:rPr>
          <w:b/>
        </w:rPr>
        <w:t>Channel</w:t>
      </w:r>
      <w:r w:rsidRPr="00D4309F">
        <w:rPr>
          <w:b/>
          <w:spacing w:val="-5"/>
        </w:rPr>
        <w:t xml:space="preserve"> </w:t>
      </w:r>
      <w:r w:rsidRPr="00D4309F">
        <w:rPr>
          <w:b/>
        </w:rPr>
        <w:t>Depth</w:t>
      </w:r>
      <w:r w:rsidRPr="00D4309F">
        <w:rPr>
          <w:b/>
          <w:spacing w:val="-3"/>
        </w:rPr>
        <w:t xml:space="preserve"> </w:t>
      </w:r>
      <w:r w:rsidRPr="00D4309F">
        <w:rPr>
          <w:b/>
        </w:rPr>
        <w:t>with</w:t>
      </w:r>
      <w:r w:rsidRPr="00D4309F">
        <w:rPr>
          <w:b/>
          <w:spacing w:val="-4"/>
        </w:rPr>
        <w:t xml:space="preserve"> </w:t>
      </w:r>
      <w:r w:rsidRPr="00D4309F">
        <w:rPr>
          <w:b/>
        </w:rPr>
        <w:t>Rock</w:t>
      </w:r>
      <w:r w:rsidRPr="00D4309F">
        <w:rPr>
          <w:b/>
          <w:spacing w:val="-3"/>
        </w:rPr>
        <w:t xml:space="preserve"> </w:t>
      </w:r>
      <w:r w:rsidRPr="00D4309F">
        <w:rPr>
          <w:b/>
        </w:rPr>
        <w:t>Excavation:</w:t>
      </w:r>
      <w:r w:rsidRPr="00D4309F">
        <w:rPr>
          <w:b/>
          <w:spacing w:val="-3"/>
        </w:rPr>
        <w:t xml:space="preserve"> </w:t>
      </w:r>
      <w:r w:rsidRPr="00D4309F">
        <w:t>This</w:t>
      </w:r>
      <w:r w:rsidRPr="00D4309F">
        <w:rPr>
          <w:spacing w:val="-2"/>
        </w:rPr>
        <w:t xml:space="preserve"> </w:t>
      </w:r>
      <w:r w:rsidRPr="00D4309F">
        <w:t>involves</w:t>
      </w:r>
      <w:r w:rsidRPr="00D4309F">
        <w:rPr>
          <w:spacing w:val="-2"/>
        </w:rPr>
        <w:t xml:space="preserve"> </w:t>
      </w:r>
      <w:r w:rsidRPr="00D4309F">
        <w:t>deepening</w:t>
      </w:r>
      <w:r w:rsidRPr="00D4309F">
        <w:rPr>
          <w:spacing w:val="-3"/>
        </w:rPr>
        <w:t xml:space="preserve"> </w:t>
      </w:r>
      <w:r w:rsidRPr="00D4309F">
        <w:t>the channel beyond the current -2.5m LAT design depth. This would likely require the excavation of underlying rock. While it would provide a greater buffer against shoaling, it is a significant and costly undertaking with potential environmental and engineering challenges.</w:t>
      </w:r>
    </w:p>
    <w:p w14:paraId="7970DCA2" w14:textId="77777777" w:rsidR="00725977" w:rsidRPr="00D4309F" w:rsidRDefault="00725977" w:rsidP="004426B8">
      <w:pPr>
        <w:pStyle w:val="ListBullet"/>
      </w:pPr>
      <w:r w:rsidRPr="00D4309F">
        <w:rPr>
          <w:b/>
        </w:rPr>
        <w:t>Option</w:t>
      </w:r>
      <w:r w:rsidRPr="00D4309F">
        <w:rPr>
          <w:b/>
          <w:spacing w:val="-3"/>
        </w:rPr>
        <w:t xml:space="preserve"> </w:t>
      </w:r>
      <w:r w:rsidRPr="00D4309F">
        <w:rPr>
          <w:b/>
        </w:rPr>
        <w:t>3</w:t>
      </w:r>
      <w:r w:rsidRPr="00D4309F">
        <w:rPr>
          <w:b/>
          <w:spacing w:val="-3"/>
        </w:rPr>
        <w:t xml:space="preserve"> </w:t>
      </w:r>
      <w:r w:rsidRPr="00D4309F">
        <w:rPr>
          <w:b/>
        </w:rPr>
        <w:t>–</w:t>
      </w:r>
      <w:r w:rsidRPr="00D4309F">
        <w:rPr>
          <w:b/>
          <w:spacing w:val="-3"/>
        </w:rPr>
        <w:t xml:space="preserve"> </w:t>
      </w:r>
      <w:r w:rsidRPr="00D4309F">
        <w:rPr>
          <w:b/>
        </w:rPr>
        <w:t>Eastern</w:t>
      </w:r>
      <w:r w:rsidRPr="00D4309F">
        <w:rPr>
          <w:b/>
          <w:spacing w:val="-3"/>
        </w:rPr>
        <w:t xml:space="preserve"> </w:t>
      </w:r>
      <w:r w:rsidRPr="00D4309F">
        <w:rPr>
          <w:b/>
        </w:rPr>
        <w:t>Breakwater</w:t>
      </w:r>
      <w:r w:rsidRPr="00D4309F">
        <w:rPr>
          <w:b/>
          <w:spacing w:val="-3"/>
        </w:rPr>
        <w:t xml:space="preserve"> </w:t>
      </w:r>
      <w:r w:rsidRPr="00D4309F">
        <w:rPr>
          <w:b/>
        </w:rPr>
        <w:t>Extension</w:t>
      </w:r>
      <w:r w:rsidRPr="00D4309F">
        <w:t>:</w:t>
      </w:r>
      <w:r w:rsidRPr="00D4309F">
        <w:rPr>
          <w:spacing w:val="-3"/>
        </w:rPr>
        <w:t xml:space="preserve"> </w:t>
      </w:r>
      <w:r w:rsidRPr="00D4309F">
        <w:t>A</w:t>
      </w:r>
      <w:r w:rsidRPr="00D4309F">
        <w:rPr>
          <w:spacing w:val="-3"/>
        </w:rPr>
        <w:t xml:space="preserve"> </w:t>
      </w:r>
      <w:r w:rsidRPr="00D4309F">
        <w:t>60-meter</w:t>
      </w:r>
      <w:r w:rsidRPr="00D4309F">
        <w:rPr>
          <w:spacing w:val="-2"/>
        </w:rPr>
        <w:t xml:space="preserve"> </w:t>
      </w:r>
      <w:r w:rsidRPr="00D4309F">
        <w:t>extension</w:t>
      </w:r>
      <w:r w:rsidRPr="00D4309F">
        <w:rPr>
          <w:spacing w:val="-3"/>
        </w:rPr>
        <w:t xml:space="preserve"> </w:t>
      </w:r>
      <w:r w:rsidRPr="00D4309F">
        <w:t>to</w:t>
      </w:r>
      <w:r w:rsidRPr="00D4309F">
        <w:rPr>
          <w:spacing w:val="-3"/>
        </w:rPr>
        <w:t xml:space="preserve"> </w:t>
      </w:r>
      <w:r w:rsidRPr="00D4309F">
        <w:t>the</w:t>
      </w:r>
      <w:r w:rsidRPr="00D4309F">
        <w:rPr>
          <w:spacing w:val="-3"/>
        </w:rPr>
        <w:t xml:space="preserve"> </w:t>
      </w:r>
      <w:r w:rsidRPr="00D4309F">
        <w:t>existing</w:t>
      </w:r>
      <w:r w:rsidRPr="00D4309F">
        <w:rPr>
          <w:spacing w:val="-3"/>
        </w:rPr>
        <w:t xml:space="preserve"> </w:t>
      </w:r>
      <w:r w:rsidRPr="00D4309F">
        <w:t>eastern</w:t>
      </w:r>
      <w:r w:rsidRPr="00D4309F">
        <w:rPr>
          <w:spacing w:val="-3"/>
        </w:rPr>
        <w:t xml:space="preserve"> </w:t>
      </w:r>
      <w:r w:rsidRPr="00D4309F">
        <w:t>breakwater</w:t>
      </w:r>
      <w:r w:rsidRPr="00D4309F">
        <w:rPr>
          <w:spacing w:val="-2"/>
        </w:rPr>
        <w:t xml:space="preserve"> </w:t>
      </w:r>
      <w:r w:rsidRPr="00D4309F">
        <w:t>is the preferred engineering solution. The objective is to intercept the majority of the northward sand drift before it can enter the navigation channel. A design report for this project has been completed, and it is considered the most effective long-term solution to reduce channel sedimentation.</w:t>
      </w:r>
    </w:p>
    <w:p w14:paraId="79CD2710" w14:textId="77777777" w:rsidR="00725977" w:rsidRPr="00D4309F" w:rsidRDefault="00725977" w:rsidP="004426B8">
      <w:pPr>
        <w:pStyle w:val="ListBullet"/>
      </w:pPr>
      <w:r w:rsidRPr="00D4309F">
        <w:rPr>
          <w:b/>
        </w:rPr>
        <w:t>Option</w:t>
      </w:r>
      <w:r w:rsidRPr="00D4309F">
        <w:rPr>
          <w:b/>
          <w:spacing w:val="-3"/>
        </w:rPr>
        <w:t xml:space="preserve"> </w:t>
      </w:r>
      <w:r w:rsidRPr="00D4309F">
        <w:rPr>
          <w:b/>
        </w:rPr>
        <w:t>4</w:t>
      </w:r>
      <w:r w:rsidRPr="00D4309F">
        <w:rPr>
          <w:b/>
          <w:spacing w:val="-3"/>
        </w:rPr>
        <w:t xml:space="preserve"> </w:t>
      </w:r>
      <w:r w:rsidRPr="00D4309F">
        <w:rPr>
          <w:b/>
        </w:rPr>
        <w:t>–</w:t>
      </w:r>
      <w:r w:rsidRPr="00D4309F">
        <w:rPr>
          <w:b/>
          <w:spacing w:val="-4"/>
        </w:rPr>
        <w:t xml:space="preserve"> </w:t>
      </w:r>
      <w:r w:rsidRPr="00D4309F">
        <w:rPr>
          <w:b/>
        </w:rPr>
        <w:t>Buddina</w:t>
      </w:r>
      <w:r w:rsidRPr="00D4309F">
        <w:rPr>
          <w:b/>
          <w:spacing w:val="-3"/>
        </w:rPr>
        <w:t xml:space="preserve"> </w:t>
      </w:r>
      <w:r w:rsidRPr="00D4309F">
        <w:rPr>
          <w:b/>
        </w:rPr>
        <w:t>Beach</w:t>
      </w:r>
      <w:r w:rsidRPr="00D4309F">
        <w:rPr>
          <w:b/>
          <w:spacing w:val="-3"/>
        </w:rPr>
        <w:t xml:space="preserve"> </w:t>
      </w:r>
      <w:r w:rsidRPr="00D4309F">
        <w:rPr>
          <w:b/>
        </w:rPr>
        <w:t>sand</w:t>
      </w:r>
      <w:r w:rsidRPr="00D4309F">
        <w:rPr>
          <w:b/>
          <w:spacing w:val="-3"/>
        </w:rPr>
        <w:t xml:space="preserve"> </w:t>
      </w:r>
      <w:r w:rsidRPr="00D4309F">
        <w:rPr>
          <w:b/>
        </w:rPr>
        <w:t>trap</w:t>
      </w:r>
      <w:r w:rsidRPr="00D4309F">
        <w:t>:</w:t>
      </w:r>
      <w:r w:rsidRPr="00D4309F">
        <w:rPr>
          <w:spacing w:val="-4"/>
        </w:rPr>
        <w:t xml:space="preserve"> </w:t>
      </w:r>
      <w:r w:rsidRPr="00D4309F">
        <w:t>Trailing</w:t>
      </w:r>
      <w:r w:rsidRPr="00D4309F">
        <w:rPr>
          <w:spacing w:val="-3"/>
        </w:rPr>
        <w:t xml:space="preserve"> </w:t>
      </w:r>
      <w:r w:rsidRPr="00D4309F">
        <w:t>suction</w:t>
      </w:r>
      <w:r w:rsidRPr="00D4309F">
        <w:rPr>
          <w:spacing w:val="-3"/>
        </w:rPr>
        <w:t xml:space="preserve"> </w:t>
      </w:r>
      <w:r w:rsidRPr="00D4309F">
        <w:t>hopper</w:t>
      </w:r>
      <w:r w:rsidRPr="00D4309F">
        <w:rPr>
          <w:spacing w:val="-2"/>
        </w:rPr>
        <w:t xml:space="preserve"> </w:t>
      </w:r>
      <w:r w:rsidRPr="00D4309F">
        <w:t>dredge,</w:t>
      </w:r>
      <w:r w:rsidRPr="00D4309F">
        <w:rPr>
          <w:spacing w:val="-3"/>
        </w:rPr>
        <w:t xml:space="preserve"> </w:t>
      </w:r>
      <w:r w:rsidRPr="00D4309F">
        <w:t>about</w:t>
      </w:r>
      <w:r w:rsidRPr="00D4309F">
        <w:rPr>
          <w:spacing w:val="-3"/>
        </w:rPr>
        <w:t xml:space="preserve"> </w:t>
      </w:r>
      <w:r w:rsidRPr="00D4309F">
        <w:t>100,000</w:t>
      </w:r>
      <w:r w:rsidRPr="00D4309F">
        <w:rPr>
          <w:spacing w:val="-3"/>
        </w:rPr>
        <w:t xml:space="preserve"> </w:t>
      </w:r>
      <w:r w:rsidRPr="00D4309F">
        <w:t>m</w:t>
      </w:r>
      <w:r w:rsidRPr="00D4309F">
        <w:rPr>
          <w:vertAlign w:val="superscript"/>
        </w:rPr>
        <w:t>3</w:t>
      </w:r>
      <w:r w:rsidRPr="00D4309F">
        <w:rPr>
          <w:spacing w:val="-3"/>
        </w:rPr>
        <w:t xml:space="preserve"> </w:t>
      </w:r>
      <w:r w:rsidRPr="00D4309F">
        <w:t>from</w:t>
      </w:r>
      <w:r w:rsidRPr="00D4309F">
        <w:rPr>
          <w:spacing w:val="-3"/>
        </w:rPr>
        <w:t xml:space="preserve"> </w:t>
      </w:r>
      <w:r w:rsidRPr="00D4309F">
        <w:t>trap</w:t>
      </w:r>
      <w:r w:rsidRPr="00D4309F">
        <w:rPr>
          <w:spacing w:val="-3"/>
        </w:rPr>
        <w:t xml:space="preserve"> </w:t>
      </w:r>
      <w:r w:rsidRPr="00D4309F">
        <w:t>to Sunshine Coast beaches. It was noted that this option was considered at the recent SRG as a viable opportunity but had not been fully considered at this stage.</w:t>
      </w:r>
    </w:p>
    <w:p w14:paraId="4E608686" w14:textId="77777777" w:rsidR="00725977" w:rsidRPr="00D4309F" w:rsidRDefault="00725977" w:rsidP="004426B8">
      <w:pPr>
        <w:pStyle w:val="ListBullet"/>
      </w:pPr>
      <w:r w:rsidRPr="00D4309F">
        <w:rPr>
          <w:b/>
        </w:rPr>
        <w:t>Option</w:t>
      </w:r>
      <w:r w:rsidRPr="00D4309F">
        <w:rPr>
          <w:b/>
          <w:spacing w:val="-1"/>
        </w:rPr>
        <w:t xml:space="preserve"> </w:t>
      </w:r>
      <w:r w:rsidRPr="00D4309F">
        <w:rPr>
          <w:b/>
        </w:rPr>
        <w:t>5</w:t>
      </w:r>
      <w:r w:rsidRPr="00D4309F">
        <w:rPr>
          <w:b/>
          <w:spacing w:val="-1"/>
        </w:rPr>
        <w:t xml:space="preserve"> </w:t>
      </w:r>
      <w:r w:rsidRPr="00D4309F">
        <w:rPr>
          <w:b/>
        </w:rPr>
        <w:t>–</w:t>
      </w:r>
      <w:r w:rsidRPr="00D4309F">
        <w:rPr>
          <w:b/>
          <w:spacing w:val="-2"/>
        </w:rPr>
        <w:t xml:space="preserve"> </w:t>
      </w:r>
      <w:r w:rsidRPr="00D4309F">
        <w:rPr>
          <w:b/>
        </w:rPr>
        <w:t>Western</w:t>
      </w:r>
      <w:r w:rsidRPr="00D4309F">
        <w:rPr>
          <w:b/>
          <w:spacing w:val="-1"/>
        </w:rPr>
        <w:t xml:space="preserve"> </w:t>
      </w:r>
      <w:r w:rsidRPr="00D4309F">
        <w:rPr>
          <w:b/>
        </w:rPr>
        <w:t>Channel</w:t>
      </w:r>
      <w:r w:rsidRPr="00D4309F">
        <w:rPr>
          <w:b/>
          <w:spacing w:val="-1"/>
        </w:rPr>
        <w:t xml:space="preserve"> </w:t>
      </w:r>
      <w:r w:rsidRPr="00D4309F">
        <w:rPr>
          <w:b/>
        </w:rPr>
        <w:t>Concept</w:t>
      </w:r>
      <w:r w:rsidRPr="00D4309F">
        <w:rPr>
          <w:b/>
          <w:spacing w:val="-2"/>
        </w:rPr>
        <w:t xml:space="preserve"> </w:t>
      </w:r>
      <w:r w:rsidRPr="00D4309F">
        <w:rPr>
          <w:b/>
        </w:rPr>
        <w:t>Plan</w:t>
      </w:r>
      <w:r w:rsidRPr="00D4309F">
        <w:rPr>
          <w:b/>
          <w:spacing w:val="-1"/>
        </w:rPr>
        <w:t xml:space="preserve"> </w:t>
      </w:r>
      <w:r w:rsidRPr="00D4309F">
        <w:t>–</w:t>
      </w:r>
      <w:r w:rsidRPr="00D4309F">
        <w:rPr>
          <w:spacing w:val="-1"/>
        </w:rPr>
        <w:t xml:space="preserve"> </w:t>
      </w:r>
      <w:r w:rsidRPr="00D4309F">
        <w:t>shorten</w:t>
      </w:r>
      <w:r w:rsidRPr="00D4309F">
        <w:rPr>
          <w:spacing w:val="-1"/>
        </w:rPr>
        <w:t xml:space="preserve"> </w:t>
      </w:r>
      <w:r w:rsidRPr="00D4309F">
        <w:t>western</w:t>
      </w:r>
      <w:r w:rsidRPr="00D4309F">
        <w:rPr>
          <w:spacing w:val="-2"/>
        </w:rPr>
        <w:t xml:space="preserve"> </w:t>
      </w:r>
      <w:r w:rsidRPr="00D4309F">
        <w:t>wall:</w:t>
      </w:r>
      <w:r w:rsidRPr="00D4309F">
        <w:rPr>
          <w:spacing w:val="-1"/>
        </w:rPr>
        <w:t xml:space="preserve"> </w:t>
      </w:r>
      <w:r w:rsidRPr="00D4309F">
        <w:t>Removal</w:t>
      </w:r>
      <w:r w:rsidRPr="00D4309F">
        <w:rPr>
          <w:spacing w:val="-1"/>
        </w:rPr>
        <w:t xml:space="preserve"> </w:t>
      </w:r>
      <w:r w:rsidRPr="00D4309F">
        <w:t>of</w:t>
      </w:r>
      <w:r w:rsidRPr="00D4309F">
        <w:rPr>
          <w:spacing w:val="-1"/>
        </w:rPr>
        <w:t xml:space="preserve"> </w:t>
      </w:r>
      <w:r w:rsidRPr="00D4309F">
        <w:t>a</w:t>
      </w:r>
      <w:r w:rsidRPr="00D4309F">
        <w:rPr>
          <w:spacing w:val="-1"/>
        </w:rPr>
        <w:t xml:space="preserve"> </w:t>
      </w:r>
      <w:r w:rsidRPr="00D4309F">
        <w:t>section</w:t>
      </w:r>
      <w:r w:rsidRPr="00D4309F">
        <w:rPr>
          <w:spacing w:val="-1"/>
        </w:rPr>
        <w:t xml:space="preserve"> </w:t>
      </w:r>
      <w:r w:rsidRPr="00D4309F">
        <w:t>of</w:t>
      </w:r>
      <w:r w:rsidRPr="00D4309F">
        <w:rPr>
          <w:spacing w:val="-1"/>
        </w:rPr>
        <w:t xml:space="preserve"> </w:t>
      </w:r>
      <w:r w:rsidRPr="00D4309F">
        <w:t>western breakwater</w:t>
      </w:r>
      <w:r w:rsidRPr="00D4309F">
        <w:rPr>
          <w:spacing w:val="-2"/>
        </w:rPr>
        <w:t xml:space="preserve"> </w:t>
      </w:r>
      <w:r w:rsidRPr="00D4309F">
        <w:t>wall</w:t>
      </w:r>
      <w:r w:rsidRPr="00D4309F">
        <w:rPr>
          <w:spacing w:val="-3"/>
        </w:rPr>
        <w:t xml:space="preserve"> </w:t>
      </w:r>
      <w:r w:rsidRPr="00D4309F">
        <w:t>to</w:t>
      </w:r>
      <w:r w:rsidRPr="00D4309F">
        <w:rPr>
          <w:spacing w:val="-3"/>
        </w:rPr>
        <w:t xml:space="preserve"> </w:t>
      </w:r>
      <w:r w:rsidRPr="00D4309F">
        <w:t>create</w:t>
      </w:r>
      <w:r w:rsidRPr="00D4309F">
        <w:rPr>
          <w:spacing w:val="-3"/>
        </w:rPr>
        <w:t xml:space="preserve"> </w:t>
      </w:r>
      <w:r w:rsidRPr="00D4309F">
        <w:t>a</w:t>
      </w:r>
      <w:r w:rsidRPr="00D4309F">
        <w:rPr>
          <w:spacing w:val="-3"/>
        </w:rPr>
        <w:t xml:space="preserve"> </w:t>
      </w:r>
      <w:r w:rsidRPr="00D4309F">
        <w:t>wider</w:t>
      </w:r>
      <w:r w:rsidRPr="00D4309F">
        <w:rPr>
          <w:spacing w:val="-3"/>
        </w:rPr>
        <w:t xml:space="preserve"> </w:t>
      </w:r>
      <w:r w:rsidRPr="00D4309F">
        <w:t>western</w:t>
      </w:r>
      <w:r w:rsidRPr="00D4309F">
        <w:rPr>
          <w:spacing w:val="-3"/>
        </w:rPr>
        <w:t xml:space="preserve"> </w:t>
      </w:r>
      <w:r w:rsidRPr="00D4309F">
        <w:t>channel</w:t>
      </w:r>
      <w:r w:rsidRPr="00D4309F">
        <w:rPr>
          <w:spacing w:val="-3"/>
        </w:rPr>
        <w:t xml:space="preserve"> </w:t>
      </w:r>
      <w:r w:rsidRPr="00D4309F">
        <w:t>for</w:t>
      </w:r>
      <w:r w:rsidRPr="00D4309F">
        <w:rPr>
          <w:spacing w:val="-3"/>
        </w:rPr>
        <w:t xml:space="preserve"> </w:t>
      </w:r>
      <w:r w:rsidRPr="00D4309F">
        <w:t>safe</w:t>
      </w:r>
      <w:r w:rsidRPr="00D4309F">
        <w:rPr>
          <w:spacing w:val="-3"/>
        </w:rPr>
        <w:t xml:space="preserve"> </w:t>
      </w:r>
      <w:r w:rsidRPr="00D4309F">
        <w:t>access</w:t>
      </w:r>
      <w:r w:rsidRPr="00D4309F">
        <w:rPr>
          <w:spacing w:val="-2"/>
        </w:rPr>
        <w:t xml:space="preserve"> </w:t>
      </w:r>
      <w:r w:rsidRPr="00D4309F">
        <w:t>during</w:t>
      </w:r>
      <w:r w:rsidRPr="00D4309F">
        <w:rPr>
          <w:spacing w:val="-3"/>
        </w:rPr>
        <w:t xml:space="preserve"> </w:t>
      </w:r>
      <w:r w:rsidRPr="00D4309F">
        <w:t>adverse</w:t>
      </w:r>
      <w:r w:rsidRPr="00D4309F">
        <w:rPr>
          <w:spacing w:val="-3"/>
        </w:rPr>
        <w:t xml:space="preserve"> </w:t>
      </w:r>
      <w:r w:rsidRPr="00D4309F">
        <w:t>shoaling</w:t>
      </w:r>
      <w:r w:rsidRPr="00D4309F">
        <w:rPr>
          <w:spacing w:val="-3"/>
        </w:rPr>
        <w:t xml:space="preserve"> </w:t>
      </w:r>
      <w:r w:rsidRPr="00D4309F">
        <w:t>conditions.</w:t>
      </w:r>
    </w:p>
    <w:p w14:paraId="6815AA4E" w14:textId="77777777" w:rsidR="00725977" w:rsidRPr="00D4309F" w:rsidRDefault="00725977" w:rsidP="004426B8">
      <w:pPr>
        <w:pStyle w:val="ListBullet"/>
      </w:pPr>
      <w:r w:rsidRPr="00D4309F">
        <w:rPr>
          <w:b/>
        </w:rPr>
        <w:t>Recommendation</w:t>
      </w:r>
      <w:r w:rsidRPr="00D4309F">
        <w:t>: As part of the short-term actions before completion of the final report, further investigation</w:t>
      </w:r>
      <w:r w:rsidRPr="00D4309F">
        <w:rPr>
          <w:spacing w:val="-3"/>
        </w:rPr>
        <w:t xml:space="preserve"> </w:t>
      </w:r>
      <w:r w:rsidRPr="00D4309F">
        <w:t>and</w:t>
      </w:r>
      <w:r w:rsidRPr="00D4309F">
        <w:rPr>
          <w:spacing w:val="-3"/>
        </w:rPr>
        <w:t xml:space="preserve"> </w:t>
      </w:r>
      <w:r w:rsidRPr="00D4309F">
        <w:t>feasibility</w:t>
      </w:r>
      <w:r w:rsidRPr="00D4309F">
        <w:rPr>
          <w:spacing w:val="-3"/>
        </w:rPr>
        <w:t xml:space="preserve"> </w:t>
      </w:r>
      <w:r w:rsidRPr="00D4309F">
        <w:t>analysis</w:t>
      </w:r>
      <w:r w:rsidRPr="00D4309F">
        <w:rPr>
          <w:spacing w:val="-2"/>
        </w:rPr>
        <w:t xml:space="preserve"> </w:t>
      </w:r>
      <w:r w:rsidRPr="00D4309F">
        <w:t>are</w:t>
      </w:r>
      <w:r w:rsidRPr="00D4309F">
        <w:rPr>
          <w:spacing w:val="-4"/>
        </w:rPr>
        <w:t xml:space="preserve"> </w:t>
      </w:r>
      <w:r w:rsidRPr="00D4309F">
        <w:t>undertaken</w:t>
      </w:r>
      <w:r w:rsidRPr="00D4309F">
        <w:rPr>
          <w:spacing w:val="-3"/>
        </w:rPr>
        <w:t xml:space="preserve"> </w:t>
      </w:r>
      <w:r w:rsidRPr="00D4309F">
        <w:t>to</w:t>
      </w:r>
      <w:r w:rsidRPr="00D4309F">
        <w:rPr>
          <w:spacing w:val="-4"/>
        </w:rPr>
        <w:t xml:space="preserve"> </w:t>
      </w:r>
      <w:r w:rsidRPr="00D4309F">
        <w:t>better</w:t>
      </w:r>
      <w:r w:rsidRPr="00D4309F">
        <w:rPr>
          <w:spacing w:val="-3"/>
        </w:rPr>
        <w:t xml:space="preserve"> </w:t>
      </w:r>
      <w:r w:rsidRPr="00D4309F">
        <w:t>inform</w:t>
      </w:r>
      <w:r w:rsidRPr="00D4309F">
        <w:rPr>
          <w:spacing w:val="-4"/>
        </w:rPr>
        <w:t xml:space="preserve"> </w:t>
      </w:r>
      <w:r w:rsidRPr="00D4309F">
        <w:t>the</w:t>
      </w:r>
      <w:r w:rsidRPr="00D4309F">
        <w:rPr>
          <w:spacing w:val="-3"/>
        </w:rPr>
        <w:t xml:space="preserve"> </w:t>
      </w:r>
      <w:r w:rsidRPr="00D4309F">
        <w:t>Buddina</w:t>
      </w:r>
      <w:r w:rsidRPr="00D4309F">
        <w:rPr>
          <w:spacing w:val="-4"/>
        </w:rPr>
        <w:t xml:space="preserve"> </w:t>
      </w:r>
      <w:r w:rsidRPr="00D4309F">
        <w:t>Beach</w:t>
      </w:r>
      <w:r w:rsidRPr="00D4309F">
        <w:rPr>
          <w:spacing w:val="-3"/>
        </w:rPr>
        <w:t xml:space="preserve"> </w:t>
      </w:r>
      <w:r w:rsidRPr="00D4309F">
        <w:t>Sand</w:t>
      </w:r>
      <w:r w:rsidRPr="00D4309F">
        <w:rPr>
          <w:spacing w:val="-4"/>
        </w:rPr>
        <w:t xml:space="preserve"> </w:t>
      </w:r>
      <w:r w:rsidRPr="00D4309F">
        <w:t xml:space="preserve">Trap </w:t>
      </w:r>
      <w:r w:rsidRPr="00D4309F">
        <w:rPr>
          <w:spacing w:val="-2"/>
        </w:rPr>
        <w:t>option.</w:t>
      </w:r>
    </w:p>
    <w:p w14:paraId="22335432" w14:textId="77777777" w:rsidR="00725977" w:rsidRPr="00D4309F" w:rsidRDefault="00725977" w:rsidP="00725977">
      <w:pPr>
        <w:pStyle w:val="BodyText"/>
      </w:pPr>
      <w:r w:rsidRPr="00D4309F">
        <w:t>The</w:t>
      </w:r>
      <w:r w:rsidRPr="00D4309F">
        <w:rPr>
          <w:spacing w:val="-3"/>
        </w:rPr>
        <w:t xml:space="preserve"> </w:t>
      </w:r>
      <w:r w:rsidRPr="00D4309F">
        <w:t>assessment</w:t>
      </w:r>
      <w:r w:rsidRPr="00D4309F">
        <w:rPr>
          <w:spacing w:val="-3"/>
        </w:rPr>
        <w:t xml:space="preserve"> </w:t>
      </w:r>
      <w:r w:rsidRPr="00D4309F">
        <w:t>of</w:t>
      </w:r>
      <w:r w:rsidRPr="00D4309F">
        <w:rPr>
          <w:spacing w:val="-4"/>
        </w:rPr>
        <w:t xml:space="preserve"> </w:t>
      </w:r>
      <w:r w:rsidRPr="00D4309F">
        <w:t>long-term</w:t>
      </w:r>
      <w:r w:rsidRPr="00D4309F">
        <w:rPr>
          <w:spacing w:val="-3"/>
        </w:rPr>
        <w:t xml:space="preserve"> </w:t>
      </w:r>
      <w:r w:rsidRPr="00D4309F">
        <w:t>options</w:t>
      </w:r>
      <w:r w:rsidRPr="00D4309F">
        <w:rPr>
          <w:spacing w:val="-2"/>
        </w:rPr>
        <w:t xml:space="preserve"> </w:t>
      </w:r>
      <w:r w:rsidRPr="00D4309F">
        <w:t>against</w:t>
      </w:r>
      <w:r w:rsidRPr="00D4309F">
        <w:rPr>
          <w:spacing w:val="-3"/>
        </w:rPr>
        <w:t xml:space="preserve"> </w:t>
      </w:r>
      <w:r w:rsidRPr="00D4309F">
        <w:t>social,</w:t>
      </w:r>
      <w:r w:rsidRPr="00D4309F">
        <w:rPr>
          <w:spacing w:val="-3"/>
        </w:rPr>
        <w:t xml:space="preserve"> </w:t>
      </w:r>
      <w:r w:rsidRPr="00D4309F">
        <w:t>economic</w:t>
      </w:r>
      <w:r w:rsidRPr="00D4309F">
        <w:rPr>
          <w:spacing w:val="-2"/>
        </w:rPr>
        <w:t xml:space="preserve"> </w:t>
      </w:r>
      <w:r w:rsidRPr="00D4309F">
        <w:t>and</w:t>
      </w:r>
      <w:r w:rsidRPr="00D4309F">
        <w:rPr>
          <w:spacing w:val="-4"/>
        </w:rPr>
        <w:t xml:space="preserve"> </w:t>
      </w:r>
      <w:r w:rsidRPr="00D4309F">
        <w:t>environmental</w:t>
      </w:r>
      <w:r w:rsidRPr="00D4309F">
        <w:rPr>
          <w:spacing w:val="-3"/>
        </w:rPr>
        <w:t xml:space="preserve"> </w:t>
      </w:r>
      <w:r w:rsidRPr="00D4309F">
        <w:t>considerations</w:t>
      </w:r>
      <w:r w:rsidRPr="00D4309F">
        <w:rPr>
          <w:spacing w:val="-3"/>
        </w:rPr>
        <w:t xml:space="preserve"> </w:t>
      </w:r>
      <w:r w:rsidRPr="00D4309F">
        <w:t>will</w:t>
      </w:r>
      <w:r w:rsidRPr="00D4309F">
        <w:rPr>
          <w:spacing w:val="-3"/>
        </w:rPr>
        <w:t xml:space="preserve"> </w:t>
      </w:r>
      <w:r w:rsidRPr="00D4309F">
        <w:t>occur in Part 2 of this report.</w:t>
      </w:r>
    </w:p>
    <w:p w14:paraId="2631BE2F" w14:textId="77777777" w:rsidR="00725977" w:rsidRPr="00D4309F" w:rsidRDefault="00725977" w:rsidP="00725977">
      <w:pPr>
        <w:pStyle w:val="BodyText"/>
        <w:sectPr w:rsidR="00725977" w:rsidRPr="00D4309F" w:rsidSect="00A8441C">
          <w:pgSz w:w="11910" w:h="16840"/>
          <w:pgMar w:top="1418" w:right="1134" w:bottom="1418" w:left="1134" w:header="916" w:footer="1147" w:gutter="0"/>
          <w:cols w:space="720"/>
          <w:docGrid w:linePitch="272"/>
        </w:sectPr>
      </w:pPr>
    </w:p>
    <w:p w14:paraId="5D59D781" w14:textId="77777777" w:rsidR="00725977" w:rsidRPr="00D4309F" w:rsidRDefault="00725977" w:rsidP="004426B8">
      <w:pPr>
        <w:pStyle w:val="Heading1"/>
      </w:pPr>
      <w:bookmarkStart w:id="134" w:name="_bookmark57"/>
      <w:bookmarkStart w:id="135" w:name="_Toc216699337"/>
      <w:bookmarkEnd w:id="134"/>
      <w:r w:rsidRPr="00D4309F">
        <w:lastRenderedPageBreak/>
        <w:t>ASSESSMENT</w:t>
      </w:r>
      <w:r w:rsidRPr="00D4309F">
        <w:rPr>
          <w:spacing w:val="-7"/>
        </w:rPr>
        <w:t xml:space="preserve"> </w:t>
      </w:r>
      <w:r w:rsidRPr="00D4309F">
        <w:t>OF</w:t>
      </w:r>
      <w:r w:rsidRPr="00D4309F">
        <w:rPr>
          <w:spacing w:val="-5"/>
        </w:rPr>
        <w:t xml:space="preserve"> </w:t>
      </w:r>
      <w:r w:rsidRPr="00D4309F">
        <w:t>SHORT-TERM</w:t>
      </w:r>
      <w:r w:rsidRPr="00D4309F">
        <w:rPr>
          <w:spacing w:val="-5"/>
        </w:rPr>
        <w:t xml:space="preserve"> </w:t>
      </w:r>
      <w:r w:rsidRPr="00D4309F">
        <w:t>DREDGING</w:t>
      </w:r>
      <w:r w:rsidRPr="00D4309F">
        <w:rPr>
          <w:spacing w:val="-4"/>
        </w:rPr>
        <w:t xml:space="preserve"> </w:t>
      </w:r>
      <w:r w:rsidRPr="00D4309F">
        <w:rPr>
          <w:spacing w:val="-2"/>
        </w:rPr>
        <w:t>OPTIONS</w:t>
      </w:r>
      <w:bookmarkEnd w:id="135"/>
    </w:p>
    <w:p w14:paraId="5AAD662C" w14:textId="77777777" w:rsidR="00725977" w:rsidRPr="00D4309F" w:rsidRDefault="00725977" w:rsidP="00725977">
      <w:pPr>
        <w:pStyle w:val="BodyText"/>
      </w:pPr>
      <w:r w:rsidRPr="00D4309F">
        <w:t>A</w:t>
      </w:r>
      <w:r w:rsidRPr="00D4309F">
        <w:rPr>
          <w:spacing w:val="-7"/>
        </w:rPr>
        <w:t xml:space="preserve"> </w:t>
      </w:r>
      <w:r w:rsidRPr="00D4309F">
        <w:t>range</w:t>
      </w:r>
      <w:r w:rsidRPr="00D4309F">
        <w:rPr>
          <w:spacing w:val="-4"/>
        </w:rPr>
        <w:t xml:space="preserve"> </w:t>
      </w:r>
      <w:r w:rsidRPr="00D4309F">
        <w:t>of</w:t>
      </w:r>
      <w:r w:rsidRPr="00D4309F">
        <w:rPr>
          <w:spacing w:val="-4"/>
        </w:rPr>
        <w:t xml:space="preserve"> </w:t>
      </w:r>
      <w:r w:rsidRPr="00D4309F">
        <w:t>short-term</w:t>
      </w:r>
      <w:r w:rsidRPr="00D4309F">
        <w:rPr>
          <w:spacing w:val="-4"/>
        </w:rPr>
        <w:t xml:space="preserve"> </w:t>
      </w:r>
      <w:r w:rsidRPr="00D4309F">
        <w:t>option</w:t>
      </w:r>
      <w:r w:rsidRPr="00D4309F">
        <w:rPr>
          <w:spacing w:val="-4"/>
        </w:rPr>
        <w:t xml:space="preserve"> </w:t>
      </w:r>
      <w:r w:rsidRPr="00D4309F">
        <w:t>have</w:t>
      </w:r>
      <w:r w:rsidRPr="00D4309F">
        <w:rPr>
          <w:spacing w:val="-4"/>
        </w:rPr>
        <w:t xml:space="preserve"> </w:t>
      </w:r>
      <w:r w:rsidRPr="00D4309F">
        <w:t>been</w:t>
      </w:r>
      <w:r w:rsidRPr="00D4309F">
        <w:rPr>
          <w:spacing w:val="-4"/>
        </w:rPr>
        <w:t xml:space="preserve"> </w:t>
      </w:r>
      <w:r w:rsidRPr="00D4309F">
        <w:t>considered</w:t>
      </w:r>
      <w:r w:rsidRPr="00D4309F">
        <w:rPr>
          <w:spacing w:val="-4"/>
        </w:rPr>
        <w:t xml:space="preserve"> </w:t>
      </w:r>
      <w:r w:rsidRPr="00D4309F">
        <w:t>in</w:t>
      </w:r>
      <w:r w:rsidRPr="00D4309F">
        <w:rPr>
          <w:spacing w:val="-5"/>
        </w:rPr>
        <w:t xml:space="preserve"> </w:t>
      </w:r>
      <w:r w:rsidRPr="00D4309F">
        <w:t>this</w:t>
      </w:r>
      <w:r w:rsidRPr="00D4309F">
        <w:rPr>
          <w:spacing w:val="-3"/>
        </w:rPr>
        <w:t xml:space="preserve"> </w:t>
      </w:r>
      <w:r w:rsidRPr="00D4309F">
        <w:t>section</w:t>
      </w:r>
      <w:r w:rsidRPr="00D4309F">
        <w:rPr>
          <w:spacing w:val="-4"/>
        </w:rPr>
        <w:t xml:space="preserve"> </w:t>
      </w:r>
      <w:r w:rsidRPr="00D4309F">
        <w:t>against</w:t>
      </w:r>
      <w:r w:rsidRPr="00D4309F">
        <w:rPr>
          <w:spacing w:val="-4"/>
        </w:rPr>
        <w:t xml:space="preserve"> </w:t>
      </w:r>
      <w:r w:rsidRPr="00D4309F">
        <w:t>the</w:t>
      </w:r>
      <w:r w:rsidRPr="00D4309F">
        <w:rPr>
          <w:spacing w:val="-4"/>
        </w:rPr>
        <w:t xml:space="preserve"> </w:t>
      </w:r>
      <w:r w:rsidRPr="00D4309F">
        <w:t>following</w:t>
      </w:r>
      <w:r w:rsidRPr="00D4309F">
        <w:rPr>
          <w:spacing w:val="-4"/>
        </w:rPr>
        <w:t xml:space="preserve"> </w:t>
      </w:r>
      <w:r w:rsidRPr="00D4309F">
        <w:t>assessment</w:t>
      </w:r>
      <w:r w:rsidRPr="00D4309F">
        <w:rPr>
          <w:spacing w:val="-4"/>
        </w:rPr>
        <w:t xml:space="preserve"> </w:t>
      </w:r>
      <w:r w:rsidRPr="00D4309F">
        <w:rPr>
          <w:spacing w:val="-2"/>
        </w:rPr>
        <w:t>criteria:</w:t>
      </w:r>
    </w:p>
    <w:p w14:paraId="49359EEB" w14:textId="77777777" w:rsidR="00725977" w:rsidRPr="00D4309F" w:rsidRDefault="00725977" w:rsidP="003C54C1">
      <w:pPr>
        <w:pStyle w:val="ListBullet"/>
      </w:pPr>
      <w:r w:rsidRPr="00D4309F">
        <w:t>Ensures</w:t>
      </w:r>
      <w:r w:rsidRPr="00D4309F">
        <w:rPr>
          <w:spacing w:val="-6"/>
        </w:rPr>
        <w:t xml:space="preserve"> </w:t>
      </w:r>
      <w:r w:rsidRPr="00D4309F">
        <w:t>navigational</w:t>
      </w:r>
      <w:r w:rsidRPr="00D4309F">
        <w:rPr>
          <w:spacing w:val="-6"/>
        </w:rPr>
        <w:t xml:space="preserve"> </w:t>
      </w:r>
      <w:r w:rsidRPr="00D4309F">
        <w:rPr>
          <w:spacing w:val="-2"/>
        </w:rPr>
        <w:t>safety</w:t>
      </w:r>
    </w:p>
    <w:p w14:paraId="291E7DA8" w14:textId="77777777" w:rsidR="00725977" w:rsidRPr="00D4309F" w:rsidRDefault="00725977" w:rsidP="003C54C1">
      <w:pPr>
        <w:pStyle w:val="ListBullet"/>
      </w:pPr>
      <w:r w:rsidRPr="00D4309F">
        <w:t>Mitigates</w:t>
      </w:r>
      <w:r w:rsidRPr="00D4309F">
        <w:rPr>
          <w:spacing w:val="-5"/>
        </w:rPr>
        <w:t xml:space="preserve"> </w:t>
      </w:r>
      <w:r w:rsidRPr="00D4309F">
        <w:t>current</w:t>
      </w:r>
      <w:r w:rsidRPr="00D4309F">
        <w:rPr>
          <w:spacing w:val="-5"/>
        </w:rPr>
        <w:t xml:space="preserve"> </w:t>
      </w:r>
      <w:r w:rsidRPr="00D4309F">
        <w:t>shoaling</w:t>
      </w:r>
      <w:r w:rsidRPr="00D4309F">
        <w:rPr>
          <w:spacing w:val="-5"/>
        </w:rPr>
        <w:t xml:space="preserve"> </w:t>
      </w:r>
      <w:r w:rsidRPr="00D4309F">
        <w:rPr>
          <w:spacing w:val="-2"/>
        </w:rPr>
        <w:t>hazards.</w:t>
      </w:r>
    </w:p>
    <w:p w14:paraId="04F9FC46" w14:textId="207A4D27" w:rsidR="00F06E88" w:rsidRPr="00D4309F" w:rsidRDefault="00725977" w:rsidP="00F06E88">
      <w:pPr>
        <w:pStyle w:val="ListBullet"/>
      </w:pPr>
      <w:r w:rsidRPr="00D4309F">
        <w:t>Impacts</w:t>
      </w:r>
      <w:r w:rsidRPr="00D4309F">
        <w:rPr>
          <w:spacing w:val="-2"/>
        </w:rPr>
        <w:t xml:space="preserve"> </w:t>
      </w:r>
      <w:r w:rsidRPr="00D4309F">
        <w:t>upon</w:t>
      </w:r>
      <w:r w:rsidRPr="00D4309F">
        <w:rPr>
          <w:spacing w:val="-4"/>
        </w:rPr>
        <w:t xml:space="preserve"> </w:t>
      </w:r>
      <w:r w:rsidRPr="00D4309F">
        <w:t>the</w:t>
      </w:r>
      <w:r w:rsidRPr="00D4309F">
        <w:rPr>
          <w:spacing w:val="-3"/>
        </w:rPr>
        <w:t xml:space="preserve"> </w:t>
      </w:r>
      <w:r w:rsidRPr="00D4309F">
        <w:t>values</w:t>
      </w:r>
      <w:r w:rsidRPr="00D4309F">
        <w:rPr>
          <w:spacing w:val="-2"/>
        </w:rPr>
        <w:t xml:space="preserve"> </w:t>
      </w:r>
      <w:r w:rsidRPr="00D4309F">
        <w:t>of</w:t>
      </w:r>
      <w:r w:rsidRPr="00D4309F">
        <w:rPr>
          <w:spacing w:val="-5"/>
        </w:rPr>
        <w:t xml:space="preserve"> </w:t>
      </w:r>
      <w:r w:rsidRPr="00D4309F">
        <w:t>the</w:t>
      </w:r>
      <w:r w:rsidRPr="00D4309F">
        <w:rPr>
          <w:spacing w:val="-3"/>
        </w:rPr>
        <w:t xml:space="preserve"> </w:t>
      </w:r>
      <w:r w:rsidRPr="00D4309F">
        <w:t>place</w:t>
      </w:r>
      <w:r w:rsidRPr="00D4309F">
        <w:rPr>
          <w:spacing w:val="-3"/>
        </w:rPr>
        <w:t xml:space="preserve"> </w:t>
      </w:r>
      <w:r w:rsidRPr="00D4309F">
        <w:t>that</w:t>
      </w:r>
      <w:r w:rsidRPr="00D4309F">
        <w:rPr>
          <w:spacing w:val="-3"/>
        </w:rPr>
        <w:t xml:space="preserve"> </w:t>
      </w:r>
      <w:r w:rsidRPr="00D4309F">
        <w:t>includes</w:t>
      </w:r>
      <w:r w:rsidRPr="00D4309F">
        <w:rPr>
          <w:spacing w:val="-2"/>
        </w:rPr>
        <w:t xml:space="preserve"> </w:t>
      </w:r>
      <w:r w:rsidRPr="00D4309F">
        <w:t>impacts</w:t>
      </w:r>
      <w:r w:rsidRPr="00D4309F">
        <w:rPr>
          <w:spacing w:val="-2"/>
        </w:rPr>
        <w:t xml:space="preserve"> </w:t>
      </w:r>
      <w:r w:rsidRPr="00D4309F">
        <w:t>upon</w:t>
      </w:r>
      <w:r w:rsidRPr="00D4309F">
        <w:rPr>
          <w:spacing w:val="-3"/>
        </w:rPr>
        <w:t xml:space="preserve"> </w:t>
      </w:r>
      <w:r w:rsidRPr="00D4309F">
        <w:t>the</w:t>
      </w:r>
      <w:r w:rsidRPr="00D4309F">
        <w:rPr>
          <w:spacing w:val="-4"/>
        </w:rPr>
        <w:t xml:space="preserve"> </w:t>
      </w:r>
      <w:r w:rsidRPr="00D4309F">
        <w:t>community,</w:t>
      </w:r>
      <w:r w:rsidRPr="00D4309F">
        <w:rPr>
          <w:spacing w:val="-3"/>
        </w:rPr>
        <w:t xml:space="preserve"> </w:t>
      </w:r>
      <w:r w:rsidRPr="00D4309F">
        <w:t>tourism</w:t>
      </w:r>
      <w:r w:rsidRPr="00D4309F">
        <w:rPr>
          <w:spacing w:val="-3"/>
        </w:rPr>
        <w:t xml:space="preserve"> </w:t>
      </w:r>
      <w:r w:rsidRPr="00D4309F">
        <w:t>operators, maritime and recreational users.</w:t>
      </w:r>
    </w:p>
    <w:p w14:paraId="560CB117" w14:textId="307A436A" w:rsidR="00725977" w:rsidRPr="00D4309F" w:rsidRDefault="00725977" w:rsidP="00F06E88">
      <w:pPr>
        <w:pStyle w:val="Heading2"/>
      </w:pPr>
      <w:bookmarkStart w:id="136" w:name="_bookmark58"/>
      <w:bookmarkStart w:id="137" w:name="_Toc216699338"/>
      <w:bookmarkEnd w:id="136"/>
      <w:r w:rsidRPr="00D4309F">
        <w:t>Modifications</w:t>
      </w:r>
      <w:r w:rsidRPr="00D4309F">
        <w:rPr>
          <w:spacing w:val="-14"/>
        </w:rPr>
        <w:t xml:space="preserve"> </w:t>
      </w:r>
      <w:r w:rsidRPr="00D4309F">
        <w:t>to</w:t>
      </w:r>
      <w:r w:rsidRPr="00D4309F">
        <w:rPr>
          <w:spacing w:val="-14"/>
        </w:rPr>
        <w:t xml:space="preserve"> </w:t>
      </w:r>
      <w:r w:rsidRPr="00D4309F">
        <w:t>dredging</w:t>
      </w:r>
      <w:r w:rsidRPr="00D4309F">
        <w:rPr>
          <w:spacing w:val="-13"/>
        </w:rPr>
        <w:t xml:space="preserve"> </w:t>
      </w:r>
      <w:r w:rsidRPr="00D4309F">
        <w:rPr>
          <w:spacing w:val="-2"/>
        </w:rPr>
        <w:t>s</w:t>
      </w:r>
      <w:r w:rsidRPr="00F06E88">
        <w:rPr>
          <w:spacing w:val="-2"/>
        </w:rPr>
        <w:t>trategy</w:t>
      </w:r>
      <w:bookmarkEnd w:id="137"/>
    </w:p>
    <w:p w14:paraId="3FF2B585" w14:textId="77777777" w:rsidR="00725977" w:rsidRPr="00D4309F" w:rsidRDefault="00725977" w:rsidP="00725977">
      <w:pPr>
        <w:pStyle w:val="BodyText"/>
      </w:pPr>
      <w:r w:rsidRPr="00D4309F">
        <w:t>The</w:t>
      </w:r>
      <w:r w:rsidRPr="00D4309F">
        <w:rPr>
          <w:spacing w:val="-6"/>
        </w:rPr>
        <w:t xml:space="preserve"> </w:t>
      </w:r>
      <w:r w:rsidRPr="00D4309F">
        <w:t>existing</w:t>
      </w:r>
      <w:r w:rsidRPr="00D4309F">
        <w:rPr>
          <w:spacing w:val="-4"/>
        </w:rPr>
        <w:t xml:space="preserve"> </w:t>
      </w:r>
      <w:r w:rsidRPr="00D4309F">
        <w:t>dredging</w:t>
      </w:r>
      <w:r w:rsidRPr="00D4309F">
        <w:rPr>
          <w:spacing w:val="-4"/>
        </w:rPr>
        <w:t xml:space="preserve"> </w:t>
      </w:r>
      <w:r w:rsidRPr="00D4309F">
        <w:t>strategy</w:t>
      </w:r>
      <w:r w:rsidRPr="00D4309F">
        <w:rPr>
          <w:spacing w:val="-2"/>
        </w:rPr>
        <w:t xml:space="preserve"> </w:t>
      </w:r>
      <w:r w:rsidRPr="00D4309F">
        <w:t>at</w:t>
      </w:r>
      <w:r w:rsidRPr="00D4309F">
        <w:rPr>
          <w:spacing w:val="-3"/>
        </w:rPr>
        <w:t xml:space="preserve"> </w:t>
      </w:r>
      <w:r w:rsidRPr="00D4309F">
        <w:t>the</w:t>
      </w:r>
      <w:r w:rsidRPr="00D4309F">
        <w:rPr>
          <w:spacing w:val="-4"/>
        </w:rPr>
        <w:t xml:space="preserve"> </w:t>
      </w:r>
      <w:r w:rsidRPr="00D4309F">
        <w:t>entrance</w:t>
      </w:r>
      <w:r w:rsidRPr="00D4309F">
        <w:rPr>
          <w:spacing w:val="-3"/>
        </w:rPr>
        <w:t xml:space="preserve"> </w:t>
      </w:r>
      <w:r w:rsidRPr="00D4309F">
        <w:t>is</w:t>
      </w:r>
      <w:r w:rsidRPr="00D4309F">
        <w:rPr>
          <w:spacing w:val="-2"/>
        </w:rPr>
        <w:t xml:space="preserve"> </w:t>
      </w:r>
      <w:r w:rsidRPr="00D4309F">
        <w:t>to</w:t>
      </w:r>
      <w:r w:rsidRPr="00D4309F">
        <w:rPr>
          <w:spacing w:val="-3"/>
        </w:rPr>
        <w:t xml:space="preserve"> </w:t>
      </w:r>
      <w:r w:rsidRPr="00D4309F">
        <w:t>undertake</w:t>
      </w:r>
      <w:r w:rsidRPr="00D4309F">
        <w:rPr>
          <w:spacing w:val="-3"/>
        </w:rPr>
        <w:t xml:space="preserve"> </w:t>
      </w:r>
      <w:r w:rsidRPr="00D4309F">
        <w:rPr>
          <w:spacing w:val="-2"/>
        </w:rPr>
        <w:t>both:</w:t>
      </w:r>
    </w:p>
    <w:p w14:paraId="5D2A73F3" w14:textId="77777777" w:rsidR="00725977" w:rsidRPr="00D4309F" w:rsidRDefault="00725977" w:rsidP="003C54C1">
      <w:pPr>
        <w:pStyle w:val="ListBullet"/>
      </w:pPr>
      <w:r w:rsidRPr="00D4309F">
        <w:rPr>
          <w:b/>
        </w:rPr>
        <w:t>Maintenance Dredging</w:t>
      </w:r>
      <w:r w:rsidRPr="00D4309F">
        <w:t>: This is the current and most critical short-term solution to regularly remove</w:t>
      </w:r>
      <w:r w:rsidRPr="00D4309F">
        <w:rPr>
          <w:spacing w:val="-4"/>
        </w:rPr>
        <w:t xml:space="preserve"> </w:t>
      </w:r>
      <w:r w:rsidRPr="00D4309F">
        <w:t>sand</w:t>
      </w:r>
      <w:r w:rsidRPr="00D4309F">
        <w:rPr>
          <w:spacing w:val="-3"/>
        </w:rPr>
        <w:t xml:space="preserve"> </w:t>
      </w:r>
      <w:r w:rsidRPr="00D4309F">
        <w:t>from</w:t>
      </w:r>
      <w:r w:rsidRPr="00D4309F">
        <w:rPr>
          <w:spacing w:val="-3"/>
        </w:rPr>
        <w:t xml:space="preserve"> </w:t>
      </w:r>
      <w:r w:rsidRPr="00D4309F">
        <w:t>the</w:t>
      </w:r>
      <w:r w:rsidRPr="00D4309F">
        <w:rPr>
          <w:spacing w:val="-3"/>
        </w:rPr>
        <w:t xml:space="preserve"> </w:t>
      </w:r>
      <w:r w:rsidRPr="00D4309F">
        <w:t>entrance</w:t>
      </w:r>
      <w:r w:rsidRPr="00D4309F">
        <w:rPr>
          <w:spacing w:val="-3"/>
        </w:rPr>
        <w:t xml:space="preserve"> </w:t>
      </w:r>
      <w:r w:rsidRPr="00D4309F">
        <w:t>channel</w:t>
      </w:r>
      <w:r w:rsidRPr="00D4309F">
        <w:rPr>
          <w:spacing w:val="-4"/>
        </w:rPr>
        <w:t xml:space="preserve"> </w:t>
      </w:r>
      <w:r w:rsidRPr="00D4309F">
        <w:t>and</w:t>
      </w:r>
      <w:r w:rsidRPr="00D4309F">
        <w:rPr>
          <w:spacing w:val="-3"/>
        </w:rPr>
        <w:t xml:space="preserve"> </w:t>
      </w:r>
      <w:r w:rsidRPr="00D4309F">
        <w:t>restore</w:t>
      </w:r>
      <w:r w:rsidRPr="00D4309F">
        <w:rPr>
          <w:spacing w:val="-3"/>
        </w:rPr>
        <w:t xml:space="preserve"> </w:t>
      </w:r>
      <w:r w:rsidRPr="00D4309F">
        <w:t>safe</w:t>
      </w:r>
      <w:r w:rsidRPr="00D4309F">
        <w:rPr>
          <w:spacing w:val="-3"/>
        </w:rPr>
        <w:t xml:space="preserve"> </w:t>
      </w:r>
      <w:r w:rsidRPr="00D4309F">
        <w:t>depths.</w:t>
      </w:r>
      <w:r w:rsidRPr="00D4309F">
        <w:rPr>
          <w:spacing w:val="-3"/>
        </w:rPr>
        <w:t xml:space="preserve"> </w:t>
      </w:r>
      <w:r w:rsidRPr="00D4309F">
        <w:t>The</w:t>
      </w:r>
      <w:r w:rsidRPr="00D4309F">
        <w:rPr>
          <w:spacing w:val="-3"/>
        </w:rPr>
        <w:t xml:space="preserve"> </w:t>
      </w:r>
      <w:r w:rsidRPr="00D4309F">
        <w:t>dredged</w:t>
      </w:r>
      <w:r w:rsidRPr="00D4309F">
        <w:rPr>
          <w:spacing w:val="-3"/>
        </w:rPr>
        <w:t xml:space="preserve"> </w:t>
      </w:r>
      <w:r w:rsidRPr="00D4309F">
        <w:t>sand</w:t>
      </w:r>
      <w:r w:rsidRPr="00D4309F">
        <w:rPr>
          <w:spacing w:val="-3"/>
        </w:rPr>
        <w:t xml:space="preserve"> </w:t>
      </w:r>
      <w:r w:rsidRPr="00D4309F">
        <w:t>is</w:t>
      </w:r>
      <w:r w:rsidRPr="00D4309F">
        <w:rPr>
          <w:spacing w:val="-2"/>
        </w:rPr>
        <w:t xml:space="preserve"> </w:t>
      </w:r>
      <w:r w:rsidRPr="00D4309F">
        <w:t>typically</w:t>
      </w:r>
      <w:r w:rsidRPr="00D4309F">
        <w:rPr>
          <w:spacing w:val="-2"/>
        </w:rPr>
        <w:t xml:space="preserve"> </w:t>
      </w:r>
      <w:r w:rsidRPr="00D4309F">
        <w:t>pumped onto Mooloolaba Beach for beach nourishment and to combat coastal erosion.</w:t>
      </w:r>
    </w:p>
    <w:p w14:paraId="40AF19CD" w14:textId="77777777" w:rsidR="00725977" w:rsidRPr="00D4309F" w:rsidRDefault="00725977" w:rsidP="003C54C1">
      <w:pPr>
        <w:pStyle w:val="ListBullet"/>
      </w:pPr>
      <w:r w:rsidRPr="00D4309F">
        <w:rPr>
          <w:b/>
        </w:rPr>
        <w:t>Targeted</w:t>
      </w:r>
      <w:r w:rsidRPr="00D4309F">
        <w:rPr>
          <w:b/>
          <w:spacing w:val="-4"/>
        </w:rPr>
        <w:t xml:space="preserve"> </w:t>
      </w:r>
      <w:r w:rsidRPr="00D4309F">
        <w:rPr>
          <w:b/>
        </w:rPr>
        <w:t>Dredging</w:t>
      </w:r>
      <w:r w:rsidRPr="00D4309F">
        <w:t>:</w:t>
      </w:r>
      <w:r w:rsidRPr="00D4309F">
        <w:rPr>
          <w:spacing w:val="-4"/>
        </w:rPr>
        <w:t xml:space="preserve"> </w:t>
      </w:r>
      <w:r w:rsidRPr="00D4309F">
        <w:t>In</w:t>
      </w:r>
      <w:r w:rsidRPr="00D4309F">
        <w:rPr>
          <w:spacing w:val="-3"/>
        </w:rPr>
        <w:t xml:space="preserve"> </w:t>
      </w:r>
      <w:r w:rsidRPr="00D4309F">
        <w:t>response</w:t>
      </w:r>
      <w:r w:rsidRPr="00D4309F">
        <w:rPr>
          <w:spacing w:val="-3"/>
        </w:rPr>
        <w:t xml:space="preserve"> </w:t>
      </w:r>
      <w:r w:rsidRPr="00D4309F">
        <w:t>to</w:t>
      </w:r>
      <w:r w:rsidRPr="00D4309F">
        <w:rPr>
          <w:spacing w:val="-3"/>
        </w:rPr>
        <w:t xml:space="preserve"> </w:t>
      </w:r>
      <w:r w:rsidRPr="00D4309F">
        <w:t>significant</w:t>
      </w:r>
      <w:r w:rsidRPr="00D4309F">
        <w:rPr>
          <w:spacing w:val="-3"/>
        </w:rPr>
        <w:t xml:space="preserve"> </w:t>
      </w:r>
      <w:r w:rsidRPr="00D4309F">
        <w:t>shoaling</w:t>
      </w:r>
      <w:r w:rsidRPr="00D4309F">
        <w:rPr>
          <w:spacing w:val="-3"/>
        </w:rPr>
        <w:t xml:space="preserve"> </w:t>
      </w:r>
      <w:r w:rsidRPr="00D4309F">
        <w:t>events,</w:t>
      </w:r>
      <w:r w:rsidRPr="00D4309F">
        <w:rPr>
          <w:spacing w:val="-3"/>
        </w:rPr>
        <w:t xml:space="preserve"> </w:t>
      </w:r>
      <w:r w:rsidRPr="00D4309F">
        <w:t>targeted</w:t>
      </w:r>
      <w:r w:rsidRPr="00D4309F">
        <w:rPr>
          <w:spacing w:val="-3"/>
        </w:rPr>
        <w:t xml:space="preserve"> </w:t>
      </w:r>
      <w:r w:rsidRPr="00D4309F">
        <w:t>and</w:t>
      </w:r>
      <w:r w:rsidRPr="00D4309F">
        <w:rPr>
          <w:spacing w:val="-3"/>
        </w:rPr>
        <w:t xml:space="preserve"> </w:t>
      </w:r>
      <w:r w:rsidRPr="00D4309F">
        <w:t>sometimes</w:t>
      </w:r>
      <w:r w:rsidRPr="00D4309F">
        <w:rPr>
          <w:spacing w:val="-3"/>
        </w:rPr>
        <w:t xml:space="preserve"> </w:t>
      </w:r>
      <w:r w:rsidRPr="00D4309F">
        <w:t>continuous dredging is required.</w:t>
      </w:r>
    </w:p>
    <w:p w14:paraId="187DB63A" w14:textId="77777777" w:rsidR="00725977" w:rsidRPr="00D4309F" w:rsidRDefault="00725977" w:rsidP="00725977">
      <w:pPr>
        <w:pStyle w:val="BodyText"/>
      </w:pPr>
      <w:r w:rsidRPr="00D4309F">
        <w:t>A range of potential alternative dredging strategies have been proposed by MSQ and community stakeholders as interim solutions to addressing sand shoal events in the entrance. The intent of this assessment</w:t>
      </w:r>
      <w:r w:rsidRPr="00D4309F">
        <w:rPr>
          <w:spacing w:val="-3"/>
        </w:rPr>
        <w:t xml:space="preserve"> </w:t>
      </w:r>
      <w:r w:rsidRPr="00D4309F">
        <w:t>is</w:t>
      </w:r>
      <w:r w:rsidRPr="00D4309F">
        <w:rPr>
          <w:spacing w:val="-2"/>
        </w:rPr>
        <w:t xml:space="preserve"> </w:t>
      </w:r>
      <w:r w:rsidRPr="00D4309F">
        <w:t>to</w:t>
      </w:r>
      <w:r w:rsidRPr="00D4309F">
        <w:rPr>
          <w:spacing w:val="-3"/>
        </w:rPr>
        <w:t xml:space="preserve"> </w:t>
      </w:r>
      <w:r w:rsidRPr="00D4309F">
        <w:t>identify</w:t>
      </w:r>
      <w:r w:rsidRPr="00D4309F">
        <w:rPr>
          <w:spacing w:val="-2"/>
        </w:rPr>
        <w:t xml:space="preserve"> </w:t>
      </w:r>
      <w:r w:rsidRPr="00D4309F">
        <w:t>whether</w:t>
      </w:r>
      <w:r w:rsidRPr="00D4309F">
        <w:rPr>
          <w:spacing w:val="-2"/>
        </w:rPr>
        <w:t xml:space="preserve"> </w:t>
      </w:r>
      <w:r w:rsidRPr="00D4309F">
        <w:t>modifications</w:t>
      </w:r>
      <w:r w:rsidRPr="00D4309F">
        <w:rPr>
          <w:spacing w:val="-2"/>
        </w:rPr>
        <w:t xml:space="preserve"> </w:t>
      </w:r>
      <w:r w:rsidRPr="00D4309F">
        <w:t>to</w:t>
      </w:r>
      <w:r w:rsidRPr="00D4309F">
        <w:rPr>
          <w:spacing w:val="-3"/>
        </w:rPr>
        <w:t xml:space="preserve"> </w:t>
      </w:r>
      <w:r w:rsidRPr="00D4309F">
        <w:t>the</w:t>
      </w:r>
      <w:r w:rsidRPr="00D4309F">
        <w:rPr>
          <w:spacing w:val="-4"/>
        </w:rPr>
        <w:t xml:space="preserve"> </w:t>
      </w:r>
      <w:r w:rsidRPr="00D4309F">
        <w:t>current</w:t>
      </w:r>
      <w:r w:rsidRPr="00D4309F">
        <w:rPr>
          <w:spacing w:val="-3"/>
        </w:rPr>
        <w:t xml:space="preserve"> </w:t>
      </w:r>
      <w:r w:rsidRPr="00D4309F">
        <w:t>dredging</w:t>
      </w:r>
      <w:r w:rsidRPr="00D4309F">
        <w:rPr>
          <w:spacing w:val="-3"/>
        </w:rPr>
        <w:t xml:space="preserve"> </w:t>
      </w:r>
      <w:r w:rsidRPr="00D4309F">
        <w:t>strategy</w:t>
      </w:r>
      <w:r w:rsidRPr="00D4309F">
        <w:rPr>
          <w:spacing w:val="-2"/>
        </w:rPr>
        <w:t xml:space="preserve"> </w:t>
      </w:r>
      <w:r w:rsidRPr="00D4309F">
        <w:t>could</w:t>
      </w:r>
      <w:r w:rsidRPr="00D4309F">
        <w:rPr>
          <w:spacing w:val="-3"/>
        </w:rPr>
        <w:t xml:space="preserve"> </w:t>
      </w:r>
      <w:r w:rsidRPr="00D4309F">
        <w:t>deliver</w:t>
      </w:r>
      <w:r w:rsidRPr="00D4309F">
        <w:rPr>
          <w:spacing w:val="-2"/>
        </w:rPr>
        <w:t xml:space="preserve"> </w:t>
      </w:r>
      <w:r w:rsidRPr="00D4309F">
        <w:t>improved outcomes to safe navigation of the entrance in the short-term, or whether continuation of the existing strategy remains the most appropriate option until the longer-term solutions can be implemented.</w:t>
      </w:r>
    </w:p>
    <w:p w14:paraId="29C48000" w14:textId="77777777" w:rsidR="00725977" w:rsidRPr="00D4309F" w:rsidRDefault="00725977" w:rsidP="00725977">
      <w:pPr>
        <w:pStyle w:val="BodyText"/>
      </w:pPr>
      <w:r w:rsidRPr="00D4309F">
        <w:t>The</w:t>
      </w:r>
      <w:r w:rsidRPr="00D4309F">
        <w:rPr>
          <w:spacing w:val="-4"/>
        </w:rPr>
        <w:t xml:space="preserve"> </w:t>
      </w:r>
      <w:r w:rsidRPr="00D4309F">
        <w:t>dredging</w:t>
      </w:r>
      <w:r w:rsidRPr="00D4309F">
        <w:rPr>
          <w:spacing w:val="-5"/>
        </w:rPr>
        <w:t xml:space="preserve"> </w:t>
      </w:r>
      <w:r w:rsidRPr="00D4309F">
        <w:t>options</w:t>
      </w:r>
      <w:r w:rsidRPr="00D4309F">
        <w:rPr>
          <w:spacing w:val="-4"/>
        </w:rPr>
        <w:t xml:space="preserve"> </w:t>
      </w:r>
      <w:r w:rsidRPr="00D4309F">
        <w:t>considered</w:t>
      </w:r>
      <w:r w:rsidRPr="00D4309F">
        <w:rPr>
          <w:spacing w:val="-3"/>
        </w:rPr>
        <w:t xml:space="preserve"> </w:t>
      </w:r>
      <w:r w:rsidRPr="00D4309F">
        <w:rPr>
          <w:spacing w:val="-2"/>
        </w:rPr>
        <w:t>included:</w:t>
      </w:r>
    </w:p>
    <w:p w14:paraId="726F4AED" w14:textId="77777777" w:rsidR="00725977" w:rsidRPr="00D4309F" w:rsidRDefault="00725977" w:rsidP="003C54C1">
      <w:pPr>
        <w:pStyle w:val="ListBullet"/>
      </w:pPr>
      <w:r w:rsidRPr="00D4309F">
        <w:t>Existing</w:t>
      </w:r>
      <w:r w:rsidRPr="00D4309F">
        <w:rPr>
          <w:spacing w:val="-6"/>
        </w:rPr>
        <w:t xml:space="preserve"> </w:t>
      </w:r>
      <w:r w:rsidRPr="00D4309F">
        <w:t>Dredge</w:t>
      </w:r>
      <w:r w:rsidRPr="00D4309F">
        <w:rPr>
          <w:spacing w:val="-5"/>
        </w:rPr>
        <w:t xml:space="preserve"> </w:t>
      </w:r>
      <w:r w:rsidRPr="00D4309F">
        <w:t>Strategy</w:t>
      </w:r>
      <w:r w:rsidRPr="00D4309F">
        <w:rPr>
          <w:spacing w:val="-4"/>
        </w:rPr>
        <w:t xml:space="preserve"> </w:t>
      </w:r>
      <w:r w:rsidRPr="00D4309F">
        <w:t>(Status</w:t>
      </w:r>
      <w:r w:rsidRPr="00D4309F">
        <w:rPr>
          <w:spacing w:val="-4"/>
        </w:rPr>
        <w:t xml:space="preserve"> Quo)</w:t>
      </w:r>
    </w:p>
    <w:p w14:paraId="329A5884" w14:textId="77777777" w:rsidR="00725977" w:rsidRPr="00D4309F" w:rsidRDefault="00725977" w:rsidP="003C54C1">
      <w:pPr>
        <w:pStyle w:val="ListBullet"/>
      </w:pPr>
      <w:r w:rsidRPr="00D4309F">
        <w:t>Contract</w:t>
      </w:r>
      <w:r w:rsidRPr="00D4309F">
        <w:rPr>
          <w:spacing w:val="-3"/>
        </w:rPr>
        <w:t xml:space="preserve"> </w:t>
      </w:r>
      <w:r w:rsidRPr="00D4309F">
        <w:t>Dredge</w:t>
      </w:r>
      <w:r w:rsidRPr="00D4309F">
        <w:rPr>
          <w:spacing w:val="-3"/>
        </w:rPr>
        <w:t xml:space="preserve"> </w:t>
      </w:r>
      <w:r w:rsidRPr="00D4309F">
        <w:t>on</w:t>
      </w:r>
      <w:r w:rsidRPr="00D4309F">
        <w:rPr>
          <w:spacing w:val="-3"/>
        </w:rPr>
        <w:t xml:space="preserve"> </w:t>
      </w:r>
      <w:r w:rsidRPr="00D4309F">
        <w:t>Standby</w:t>
      </w:r>
      <w:r w:rsidRPr="00D4309F">
        <w:rPr>
          <w:spacing w:val="-2"/>
        </w:rPr>
        <w:t xml:space="preserve"> </w:t>
      </w:r>
      <w:r w:rsidRPr="00D4309F">
        <w:t>(365</w:t>
      </w:r>
      <w:r w:rsidRPr="00D4309F">
        <w:rPr>
          <w:spacing w:val="-3"/>
        </w:rPr>
        <w:t xml:space="preserve"> </w:t>
      </w:r>
      <w:r w:rsidRPr="00D4309F">
        <w:t>days</w:t>
      </w:r>
      <w:r w:rsidRPr="00D4309F">
        <w:rPr>
          <w:spacing w:val="-2"/>
        </w:rPr>
        <w:t xml:space="preserve"> </w:t>
      </w:r>
      <w:r w:rsidRPr="00D4309F">
        <w:t>per</w:t>
      </w:r>
      <w:r w:rsidRPr="00D4309F">
        <w:rPr>
          <w:spacing w:val="-2"/>
        </w:rPr>
        <w:t xml:space="preserve"> </w:t>
      </w:r>
      <w:r w:rsidRPr="00D4309F">
        <w:rPr>
          <w:spacing w:val="-4"/>
        </w:rPr>
        <w:t>year)</w:t>
      </w:r>
    </w:p>
    <w:p w14:paraId="66428183" w14:textId="77777777" w:rsidR="00725977" w:rsidRPr="00D4309F" w:rsidRDefault="00725977" w:rsidP="003C54C1">
      <w:pPr>
        <w:pStyle w:val="ListBullet"/>
      </w:pPr>
      <w:r w:rsidRPr="00D4309F">
        <w:t>Use</w:t>
      </w:r>
      <w:r w:rsidRPr="00D4309F">
        <w:rPr>
          <w:spacing w:val="-6"/>
        </w:rPr>
        <w:t xml:space="preserve"> </w:t>
      </w:r>
      <w:r w:rsidRPr="00D4309F">
        <w:t>of</w:t>
      </w:r>
      <w:r w:rsidRPr="00D4309F">
        <w:rPr>
          <w:spacing w:val="-3"/>
        </w:rPr>
        <w:t xml:space="preserve"> </w:t>
      </w:r>
      <w:r w:rsidRPr="00D4309F">
        <w:t>Trailer</w:t>
      </w:r>
      <w:r w:rsidRPr="00D4309F">
        <w:rPr>
          <w:spacing w:val="-5"/>
        </w:rPr>
        <w:t xml:space="preserve"> </w:t>
      </w:r>
      <w:r w:rsidRPr="00D4309F">
        <w:t>Suction</w:t>
      </w:r>
      <w:r w:rsidRPr="00D4309F">
        <w:rPr>
          <w:spacing w:val="-3"/>
        </w:rPr>
        <w:t xml:space="preserve"> </w:t>
      </w:r>
      <w:r w:rsidRPr="00D4309F">
        <w:t>Hopper</w:t>
      </w:r>
      <w:r w:rsidRPr="00D4309F">
        <w:rPr>
          <w:spacing w:val="-3"/>
        </w:rPr>
        <w:t xml:space="preserve"> </w:t>
      </w:r>
      <w:r w:rsidRPr="00D4309F">
        <w:t>Dredge</w:t>
      </w:r>
      <w:r w:rsidRPr="00D4309F">
        <w:rPr>
          <w:spacing w:val="-3"/>
        </w:rPr>
        <w:t xml:space="preserve"> </w:t>
      </w:r>
      <w:r w:rsidRPr="00D4309F">
        <w:rPr>
          <w:spacing w:val="-2"/>
        </w:rPr>
        <w:t>(TSHD)</w:t>
      </w:r>
    </w:p>
    <w:p w14:paraId="206F7C52" w14:textId="77777777" w:rsidR="00725977" w:rsidRPr="00D4309F" w:rsidRDefault="00725977" w:rsidP="003C54C1">
      <w:pPr>
        <w:pStyle w:val="ListBullet"/>
      </w:pPr>
      <w:r w:rsidRPr="00D4309F">
        <w:t>Use</w:t>
      </w:r>
      <w:r w:rsidRPr="00D4309F">
        <w:rPr>
          <w:spacing w:val="-3"/>
        </w:rPr>
        <w:t xml:space="preserve"> </w:t>
      </w:r>
      <w:r w:rsidRPr="00D4309F">
        <w:t>of</w:t>
      </w:r>
      <w:r w:rsidRPr="00D4309F">
        <w:rPr>
          <w:spacing w:val="-3"/>
        </w:rPr>
        <w:t xml:space="preserve"> </w:t>
      </w:r>
      <w:r w:rsidRPr="00D4309F">
        <w:t>Jack-up</w:t>
      </w:r>
      <w:r w:rsidRPr="00D4309F">
        <w:rPr>
          <w:spacing w:val="-3"/>
        </w:rPr>
        <w:t xml:space="preserve"> </w:t>
      </w:r>
      <w:r w:rsidRPr="00D4309F">
        <w:rPr>
          <w:spacing w:val="-2"/>
        </w:rPr>
        <w:t>Barge</w:t>
      </w:r>
    </w:p>
    <w:p w14:paraId="700127AF" w14:textId="77777777" w:rsidR="00725977" w:rsidRPr="00D4309F" w:rsidRDefault="00725977" w:rsidP="003C54C1">
      <w:pPr>
        <w:pStyle w:val="ListBullet"/>
      </w:pPr>
      <w:r w:rsidRPr="00D4309F">
        <w:t>Bed</w:t>
      </w:r>
      <w:r w:rsidRPr="00D4309F">
        <w:rPr>
          <w:spacing w:val="-4"/>
        </w:rPr>
        <w:t xml:space="preserve"> </w:t>
      </w:r>
      <w:r w:rsidRPr="00D4309F">
        <w:rPr>
          <w:spacing w:val="-2"/>
        </w:rPr>
        <w:t>Levelling</w:t>
      </w:r>
    </w:p>
    <w:p w14:paraId="4877C59A" w14:textId="289DA678" w:rsidR="00F06E88" w:rsidRPr="00D4309F" w:rsidRDefault="00725977" w:rsidP="00F06E88">
      <w:pPr>
        <w:pStyle w:val="ListBullet"/>
      </w:pPr>
      <w:r w:rsidRPr="00D4309F">
        <w:t>Submarine</w:t>
      </w:r>
      <w:r w:rsidRPr="00D4309F">
        <w:rPr>
          <w:spacing w:val="-5"/>
        </w:rPr>
        <w:t xml:space="preserve"> </w:t>
      </w:r>
      <w:r w:rsidRPr="00D4309F">
        <w:t>Dredge</w:t>
      </w:r>
      <w:r w:rsidRPr="00D4309F">
        <w:rPr>
          <w:spacing w:val="-5"/>
        </w:rPr>
        <w:t xml:space="preserve"> </w:t>
      </w:r>
      <w:r w:rsidRPr="00D4309F">
        <w:t>(remotely</w:t>
      </w:r>
      <w:r w:rsidRPr="00D4309F">
        <w:rPr>
          <w:spacing w:val="-4"/>
        </w:rPr>
        <w:t xml:space="preserve"> </w:t>
      </w:r>
      <w:r w:rsidRPr="00D4309F">
        <w:rPr>
          <w:spacing w:val="-2"/>
        </w:rPr>
        <w:t>piloted)</w:t>
      </w:r>
    </w:p>
    <w:p w14:paraId="6382BC53" w14:textId="77777777" w:rsidR="00725977" w:rsidRDefault="00725977" w:rsidP="004426B8">
      <w:pPr>
        <w:pStyle w:val="Heading3"/>
        <w:rPr>
          <w:spacing w:val="-2"/>
        </w:rPr>
      </w:pPr>
      <w:bookmarkStart w:id="138" w:name="_Toc216699339"/>
      <w:r w:rsidRPr="00D4309F">
        <w:t>Existing</w:t>
      </w:r>
      <w:r w:rsidRPr="00D4309F">
        <w:rPr>
          <w:spacing w:val="-6"/>
        </w:rPr>
        <w:t xml:space="preserve"> </w:t>
      </w:r>
      <w:r w:rsidRPr="00D4309F">
        <w:t>dredge</w:t>
      </w:r>
      <w:r w:rsidRPr="00D4309F">
        <w:rPr>
          <w:spacing w:val="-3"/>
        </w:rPr>
        <w:t xml:space="preserve"> </w:t>
      </w:r>
      <w:r w:rsidRPr="00D4309F">
        <w:rPr>
          <w:spacing w:val="-2"/>
        </w:rPr>
        <w:t>strategy</w:t>
      </w:r>
      <w:bookmarkEnd w:id="138"/>
    </w:p>
    <w:p w14:paraId="60B26ADB" w14:textId="4B79BB24" w:rsidR="00E15019" w:rsidRPr="00631812" w:rsidRDefault="00E15019" w:rsidP="00151534">
      <w:pPr>
        <w:pStyle w:val="Table-Caption"/>
      </w:pPr>
      <w:bookmarkStart w:id="139" w:name="_Toc216699540"/>
      <w:r w:rsidRPr="0053392F">
        <w:t xml:space="preserve">Table </w:t>
      </w:r>
      <w:r w:rsidR="00151534">
        <w:fldChar w:fldCharType="begin" w:fldLock="1"/>
      </w:r>
      <w:r w:rsidR="00151534">
        <w:instrText xml:space="preserve"> STYLEREF 1 \s </w:instrText>
      </w:r>
      <w:r w:rsidR="00151534">
        <w:fldChar w:fldCharType="separate"/>
      </w:r>
      <w:r w:rsidR="00151534">
        <w:rPr>
          <w:noProof/>
        </w:rPr>
        <w:t>10</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1</w:t>
      </w:r>
      <w:r w:rsidR="00151534">
        <w:fldChar w:fldCharType="end"/>
      </w:r>
      <w:r w:rsidRPr="0053392F">
        <w:t xml:space="preserve">: </w:t>
      </w:r>
      <w:r w:rsidRPr="0053392F">
        <w:tab/>
        <w:t>Existing dredging strategy</w:t>
      </w:r>
      <w:bookmarkEnd w:id="139"/>
    </w:p>
    <w:tbl>
      <w:tblPr>
        <w:tblStyle w:val="Table1"/>
        <w:tblW w:w="5000" w:type="pct"/>
        <w:tblLook w:val="0620" w:firstRow="1" w:lastRow="0" w:firstColumn="0" w:lastColumn="0" w:noHBand="1" w:noVBand="1"/>
      </w:tblPr>
      <w:tblGrid>
        <w:gridCol w:w="2410"/>
        <w:gridCol w:w="7232"/>
      </w:tblGrid>
      <w:tr w:rsidR="00D44877" w14:paraId="26240D48" w14:textId="77777777" w:rsidTr="00D44877">
        <w:trPr>
          <w:cnfStyle w:val="100000000000" w:firstRow="1" w:lastRow="0" w:firstColumn="0" w:lastColumn="0" w:oddVBand="0" w:evenVBand="0" w:oddHBand="0" w:evenHBand="0" w:firstRowFirstColumn="0" w:firstRowLastColumn="0" w:lastRowFirstColumn="0" w:lastRowLastColumn="0"/>
        </w:trPr>
        <w:tc>
          <w:tcPr>
            <w:tcW w:w="1250" w:type="pct"/>
            <w:tcBorders>
              <w:top w:val="single" w:sz="4" w:space="0" w:color="5F6369" w:themeColor="text2"/>
              <w:bottom w:val="single" w:sz="4" w:space="0" w:color="5F6369" w:themeColor="text2"/>
            </w:tcBorders>
            <w:shd w:val="clear" w:color="auto" w:fill="auto"/>
            <w:hideMark/>
          </w:tcPr>
          <w:p w14:paraId="226B94EE" w14:textId="6A2DA0B4" w:rsidR="00D44877" w:rsidRPr="00D44877" w:rsidRDefault="00D44877" w:rsidP="00D44877">
            <w:pPr>
              <w:pStyle w:val="Table-Heading"/>
            </w:pPr>
            <w:r w:rsidRPr="00D44877">
              <w:t>Advantages</w:t>
            </w:r>
          </w:p>
        </w:tc>
        <w:tc>
          <w:tcPr>
            <w:tcW w:w="3750" w:type="pct"/>
            <w:tcBorders>
              <w:top w:val="single" w:sz="4" w:space="0" w:color="5F6369" w:themeColor="text2"/>
              <w:bottom w:val="single" w:sz="4" w:space="0" w:color="5F6369" w:themeColor="text2"/>
            </w:tcBorders>
            <w:shd w:val="clear" w:color="auto" w:fill="auto"/>
          </w:tcPr>
          <w:p w14:paraId="57CA9B12" w14:textId="77777777" w:rsidR="00D44877" w:rsidRPr="00D44877" w:rsidRDefault="00D44877" w:rsidP="00D44877">
            <w:pPr>
              <w:pStyle w:val="Table-Bullet"/>
              <w:rPr>
                <w:color w:val="000000" w:themeColor="text1"/>
              </w:rPr>
            </w:pPr>
            <w:r w:rsidRPr="00D44877">
              <w:rPr>
                <w:color w:val="000000" w:themeColor="text1"/>
              </w:rPr>
              <w:t>No</w:t>
            </w:r>
            <w:r w:rsidRPr="00D44877">
              <w:rPr>
                <w:color w:val="000000" w:themeColor="text1"/>
                <w:spacing w:val="-6"/>
              </w:rPr>
              <w:t xml:space="preserve"> </w:t>
            </w:r>
            <w:r w:rsidRPr="00D44877">
              <w:rPr>
                <w:color w:val="000000" w:themeColor="text1"/>
              </w:rPr>
              <w:t>additional</w:t>
            </w:r>
            <w:r w:rsidRPr="00D44877">
              <w:rPr>
                <w:color w:val="000000" w:themeColor="text1"/>
                <w:spacing w:val="-3"/>
              </w:rPr>
              <w:t xml:space="preserve"> </w:t>
            </w:r>
            <w:r w:rsidRPr="00D44877">
              <w:rPr>
                <w:color w:val="000000" w:themeColor="text1"/>
              </w:rPr>
              <w:t>studies</w:t>
            </w:r>
            <w:r w:rsidRPr="00D44877">
              <w:rPr>
                <w:color w:val="000000" w:themeColor="text1"/>
                <w:spacing w:val="-4"/>
              </w:rPr>
              <w:t xml:space="preserve"> </w:t>
            </w:r>
            <w:r w:rsidRPr="00D44877">
              <w:rPr>
                <w:color w:val="000000" w:themeColor="text1"/>
              </w:rPr>
              <w:t>or</w:t>
            </w:r>
            <w:r w:rsidRPr="00D44877">
              <w:rPr>
                <w:color w:val="000000" w:themeColor="text1"/>
                <w:spacing w:val="-3"/>
              </w:rPr>
              <w:t xml:space="preserve"> </w:t>
            </w:r>
            <w:r w:rsidRPr="00D44877">
              <w:rPr>
                <w:color w:val="000000" w:themeColor="text1"/>
              </w:rPr>
              <w:t>modelling</w:t>
            </w:r>
            <w:r w:rsidRPr="00D44877">
              <w:rPr>
                <w:color w:val="000000" w:themeColor="text1"/>
                <w:spacing w:val="-3"/>
              </w:rPr>
              <w:t xml:space="preserve"> </w:t>
            </w:r>
            <w:r w:rsidRPr="00D44877">
              <w:rPr>
                <w:color w:val="000000" w:themeColor="text1"/>
                <w:spacing w:val="-2"/>
              </w:rPr>
              <w:t>costs.</w:t>
            </w:r>
          </w:p>
          <w:p w14:paraId="12ABEF3D" w14:textId="77777777" w:rsidR="00D44877" w:rsidRPr="00D44877" w:rsidRDefault="00D44877" w:rsidP="00D44877">
            <w:pPr>
              <w:pStyle w:val="Table-Bullet"/>
              <w:rPr>
                <w:color w:val="000000" w:themeColor="text1"/>
              </w:rPr>
            </w:pPr>
            <w:r w:rsidRPr="00D44877">
              <w:rPr>
                <w:color w:val="000000" w:themeColor="text1"/>
              </w:rPr>
              <w:t>No</w:t>
            </w:r>
            <w:r w:rsidRPr="00D44877">
              <w:rPr>
                <w:color w:val="000000" w:themeColor="text1"/>
                <w:spacing w:val="-4"/>
              </w:rPr>
              <w:t xml:space="preserve"> </w:t>
            </w:r>
            <w:r w:rsidRPr="00D44877">
              <w:rPr>
                <w:color w:val="000000" w:themeColor="text1"/>
              </w:rPr>
              <w:t>new</w:t>
            </w:r>
            <w:r w:rsidRPr="00D44877">
              <w:rPr>
                <w:color w:val="000000" w:themeColor="text1"/>
                <w:spacing w:val="-3"/>
              </w:rPr>
              <w:t xml:space="preserve"> </w:t>
            </w:r>
            <w:r w:rsidRPr="00D44877">
              <w:rPr>
                <w:color w:val="000000" w:themeColor="text1"/>
              </w:rPr>
              <w:t>documentation,</w:t>
            </w:r>
            <w:r w:rsidRPr="00D44877">
              <w:rPr>
                <w:color w:val="000000" w:themeColor="text1"/>
                <w:spacing w:val="-3"/>
              </w:rPr>
              <w:t xml:space="preserve"> </w:t>
            </w:r>
            <w:r w:rsidRPr="00D44877">
              <w:rPr>
                <w:color w:val="000000" w:themeColor="text1"/>
              </w:rPr>
              <w:t>impact</w:t>
            </w:r>
            <w:r w:rsidRPr="00D44877">
              <w:rPr>
                <w:color w:val="000000" w:themeColor="text1"/>
                <w:spacing w:val="-3"/>
              </w:rPr>
              <w:t xml:space="preserve"> </w:t>
            </w:r>
            <w:r w:rsidRPr="00D44877">
              <w:rPr>
                <w:color w:val="000000" w:themeColor="text1"/>
              </w:rPr>
              <w:t>assessments</w:t>
            </w:r>
            <w:r w:rsidRPr="00D44877">
              <w:rPr>
                <w:color w:val="000000" w:themeColor="text1"/>
                <w:spacing w:val="-3"/>
              </w:rPr>
              <w:t xml:space="preserve"> </w:t>
            </w:r>
            <w:r w:rsidRPr="00D44877">
              <w:rPr>
                <w:color w:val="000000" w:themeColor="text1"/>
              </w:rPr>
              <w:t>or</w:t>
            </w:r>
            <w:r w:rsidRPr="00D44877">
              <w:rPr>
                <w:color w:val="000000" w:themeColor="text1"/>
                <w:spacing w:val="-3"/>
              </w:rPr>
              <w:t xml:space="preserve"> </w:t>
            </w:r>
            <w:r w:rsidRPr="00D44877">
              <w:rPr>
                <w:color w:val="000000" w:themeColor="text1"/>
              </w:rPr>
              <w:t>designs</w:t>
            </w:r>
            <w:r w:rsidRPr="00D44877">
              <w:rPr>
                <w:color w:val="000000" w:themeColor="text1"/>
                <w:spacing w:val="-2"/>
              </w:rPr>
              <w:t xml:space="preserve"> required.</w:t>
            </w:r>
          </w:p>
          <w:p w14:paraId="6905A7A3" w14:textId="77777777" w:rsidR="00D44877" w:rsidRPr="00D44877" w:rsidRDefault="00D44877" w:rsidP="00D44877">
            <w:pPr>
              <w:pStyle w:val="Table-Bullet"/>
              <w:rPr>
                <w:color w:val="000000" w:themeColor="text1"/>
              </w:rPr>
            </w:pPr>
            <w:r w:rsidRPr="00D44877">
              <w:rPr>
                <w:color w:val="000000" w:themeColor="text1"/>
              </w:rPr>
              <w:t>No</w:t>
            </w:r>
            <w:r w:rsidRPr="00D44877">
              <w:rPr>
                <w:color w:val="000000" w:themeColor="text1"/>
                <w:spacing w:val="-6"/>
              </w:rPr>
              <w:t xml:space="preserve"> </w:t>
            </w:r>
            <w:r w:rsidRPr="00D44877">
              <w:rPr>
                <w:color w:val="000000" w:themeColor="text1"/>
              </w:rPr>
              <w:t>re-approval</w:t>
            </w:r>
            <w:r w:rsidRPr="00D44877">
              <w:rPr>
                <w:color w:val="000000" w:themeColor="text1"/>
                <w:spacing w:val="-1"/>
              </w:rPr>
              <w:t xml:space="preserve"> </w:t>
            </w:r>
            <w:r w:rsidRPr="00D44877">
              <w:rPr>
                <w:color w:val="000000" w:themeColor="text1"/>
                <w:spacing w:val="-2"/>
              </w:rPr>
              <w:t>delays.</w:t>
            </w:r>
          </w:p>
          <w:p w14:paraId="143D3CB0" w14:textId="18FD0610" w:rsidR="00D44877" w:rsidRPr="00D44877" w:rsidRDefault="00D44877" w:rsidP="00D44877">
            <w:pPr>
              <w:pStyle w:val="Table-Bullet"/>
              <w:rPr>
                <w:color w:val="000000" w:themeColor="text1"/>
                <w:lang w:val="en-GB"/>
              </w:rPr>
            </w:pPr>
            <w:r w:rsidRPr="00D44877">
              <w:rPr>
                <w:color w:val="000000" w:themeColor="text1"/>
              </w:rPr>
              <w:t>Contractor</w:t>
            </w:r>
            <w:r w:rsidRPr="00D44877">
              <w:rPr>
                <w:color w:val="000000" w:themeColor="text1"/>
                <w:spacing w:val="-7"/>
              </w:rPr>
              <w:t xml:space="preserve"> </w:t>
            </w:r>
            <w:r w:rsidRPr="00D44877">
              <w:rPr>
                <w:color w:val="000000" w:themeColor="text1"/>
              </w:rPr>
              <w:t>familiarity</w:t>
            </w:r>
            <w:r w:rsidRPr="00D44877">
              <w:rPr>
                <w:color w:val="000000" w:themeColor="text1"/>
                <w:spacing w:val="-4"/>
              </w:rPr>
              <w:t xml:space="preserve"> </w:t>
            </w:r>
            <w:r w:rsidRPr="00D44877">
              <w:rPr>
                <w:color w:val="000000" w:themeColor="text1"/>
              </w:rPr>
              <w:t>and</w:t>
            </w:r>
            <w:r w:rsidRPr="00D44877">
              <w:rPr>
                <w:color w:val="000000" w:themeColor="text1"/>
                <w:spacing w:val="-5"/>
              </w:rPr>
              <w:t xml:space="preserve"> </w:t>
            </w:r>
            <w:r w:rsidRPr="00D44877">
              <w:rPr>
                <w:color w:val="000000" w:themeColor="text1"/>
              </w:rPr>
              <w:t>established</w:t>
            </w:r>
            <w:r w:rsidRPr="00D44877">
              <w:rPr>
                <w:color w:val="000000" w:themeColor="text1"/>
                <w:spacing w:val="-4"/>
              </w:rPr>
              <w:t xml:space="preserve"> </w:t>
            </w:r>
            <w:r w:rsidRPr="00D44877">
              <w:rPr>
                <w:color w:val="000000" w:themeColor="text1"/>
                <w:spacing w:val="-2"/>
              </w:rPr>
              <w:t>logistics.</w:t>
            </w:r>
          </w:p>
        </w:tc>
      </w:tr>
      <w:tr w:rsidR="00D44877" w14:paraId="45BB5516" w14:textId="77777777" w:rsidTr="00D44877">
        <w:tc>
          <w:tcPr>
            <w:tcW w:w="1250" w:type="pct"/>
            <w:tcBorders>
              <w:top w:val="single" w:sz="4" w:space="0" w:color="5F6369" w:themeColor="text2"/>
              <w:left w:val="nil"/>
              <w:bottom w:val="single" w:sz="4" w:space="0" w:color="5F6369" w:themeColor="text2"/>
              <w:right w:val="nil"/>
            </w:tcBorders>
          </w:tcPr>
          <w:p w14:paraId="298B12BD" w14:textId="555541B9" w:rsidR="00D44877" w:rsidRPr="00D4309F" w:rsidRDefault="00D44877" w:rsidP="00D44877">
            <w:pPr>
              <w:pStyle w:val="Table-Heading"/>
            </w:pPr>
            <w:r>
              <w:t>Disadvantages</w:t>
            </w:r>
          </w:p>
        </w:tc>
        <w:tc>
          <w:tcPr>
            <w:tcW w:w="3750" w:type="pct"/>
            <w:tcBorders>
              <w:top w:val="single" w:sz="4" w:space="0" w:color="5F6369" w:themeColor="text2"/>
              <w:left w:val="nil"/>
              <w:bottom w:val="single" w:sz="4" w:space="0" w:color="5F6369" w:themeColor="text2"/>
              <w:right w:val="nil"/>
            </w:tcBorders>
          </w:tcPr>
          <w:p w14:paraId="5FBC732D" w14:textId="77777777" w:rsidR="00D44877" w:rsidRPr="00D44877" w:rsidRDefault="00D44877" w:rsidP="00D44877">
            <w:pPr>
              <w:pStyle w:val="Table-Bullet"/>
              <w:rPr>
                <w:color w:val="000000" w:themeColor="text1"/>
                <w:lang w:val="en-GB"/>
              </w:rPr>
            </w:pPr>
            <w:r w:rsidRPr="00D44877">
              <w:rPr>
                <w:color w:val="000000" w:themeColor="text1"/>
                <w:lang w:val="en-GB"/>
              </w:rPr>
              <w:t>Remains a reactive dredge strategy only. Does not prevent sand shoal events from occurring.</w:t>
            </w:r>
          </w:p>
          <w:p w14:paraId="5B9B6554" w14:textId="77777777" w:rsidR="00D44877" w:rsidRPr="00D44877" w:rsidRDefault="00D44877" w:rsidP="00D44877">
            <w:pPr>
              <w:pStyle w:val="Table-Bullet"/>
              <w:rPr>
                <w:color w:val="000000" w:themeColor="text1"/>
                <w:lang w:val="en-GB"/>
              </w:rPr>
            </w:pPr>
            <w:r w:rsidRPr="00D44877">
              <w:rPr>
                <w:color w:val="000000" w:themeColor="text1"/>
                <w:lang w:val="en-GB"/>
              </w:rPr>
              <w:t>Remains limited to favourable weather conditions for dredging</w:t>
            </w:r>
          </w:p>
          <w:p w14:paraId="575AAA5C" w14:textId="738B3B80" w:rsidR="00D44877" w:rsidRPr="00D44877" w:rsidRDefault="00D44877" w:rsidP="00D44877">
            <w:pPr>
              <w:pStyle w:val="Table-Bullet"/>
              <w:rPr>
                <w:color w:val="000000" w:themeColor="text1"/>
                <w:lang w:val="en-GB"/>
              </w:rPr>
            </w:pPr>
            <w:r w:rsidRPr="00D44877">
              <w:rPr>
                <w:color w:val="000000" w:themeColor="text1"/>
              </w:rPr>
              <w:t>Perception</w:t>
            </w:r>
            <w:r w:rsidRPr="00D44877">
              <w:rPr>
                <w:color w:val="000000" w:themeColor="text1"/>
                <w:spacing w:val="-4"/>
              </w:rPr>
              <w:t xml:space="preserve"> </w:t>
            </w:r>
            <w:r w:rsidRPr="00D44877">
              <w:rPr>
                <w:color w:val="000000" w:themeColor="text1"/>
              </w:rPr>
              <w:t>of</w:t>
            </w:r>
            <w:r w:rsidRPr="00D44877">
              <w:rPr>
                <w:color w:val="000000" w:themeColor="text1"/>
                <w:spacing w:val="-2"/>
              </w:rPr>
              <w:t xml:space="preserve"> </w:t>
            </w:r>
            <w:r w:rsidRPr="00D44877">
              <w:rPr>
                <w:color w:val="000000" w:themeColor="text1"/>
              </w:rPr>
              <w:t>no</w:t>
            </w:r>
            <w:r w:rsidRPr="00D44877">
              <w:rPr>
                <w:color w:val="000000" w:themeColor="text1"/>
                <w:spacing w:val="-3"/>
              </w:rPr>
              <w:t xml:space="preserve"> </w:t>
            </w:r>
            <w:r w:rsidRPr="00D44877">
              <w:rPr>
                <w:color w:val="000000" w:themeColor="text1"/>
              </w:rPr>
              <w:t>action</w:t>
            </w:r>
            <w:r w:rsidRPr="00D44877">
              <w:rPr>
                <w:color w:val="000000" w:themeColor="text1"/>
                <w:spacing w:val="-3"/>
              </w:rPr>
              <w:t xml:space="preserve"> </w:t>
            </w:r>
            <w:r w:rsidRPr="00D44877">
              <w:rPr>
                <w:color w:val="000000" w:themeColor="text1"/>
              </w:rPr>
              <w:t>on</w:t>
            </w:r>
            <w:r w:rsidRPr="00D44877">
              <w:rPr>
                <w:color w:val="000000" w:themeColor="text1"/>
                <w:spacing w:val="-4"/>
              </w:rPr>
              <w:t xml:space="preserve"> </w:t>
            </w:r>
            <w:r w:rsidRPr="00D44877">
              <w:rPr>
                <w:color w:val="000000" w:themeColor="text1"/>
              </w:rPr>
              <w:t>improved</w:t>
            </w:r>
            <w:r w:rsidRPr="00D44877">
              <w:rPr>
                <w:color w:val="000000" w:themeColor="text1"/>
                <w:spacing w:val="-3"/>
              </w:rPr>
              <w:t xml:space="preserve"> </w:t>
            </w:r>
            <w:r w:rsidRPr="00D44877">
              <w:rPr>
                <w:color w:val="000000" w:themeColor="text1"/>
              </w:rPr>
              <w:t>management</w:t>
            </w:r>
            <w:r w:rsidRPr="00D44877">
              <w:rPr>
                <w:color w:val="000000" w:themeColor="text1"/>
                <w:spacing w:val="-2"/>
              </w:rPr>
              <w:t xml:space="preserve"> </w:t>
            </w:r>
            <w:r w:rsidRPr="00D44877">
              <w:rPr>
                <w:color w:val="000000" w:themeColor="text1"/>
              </w:rPr>
              <w:t>of</w:t>
            </w:r>
            <w:r w:rsidRPr="00D44877">
              <w:rPr>
                <w:color w:val="000000" w:themeColor="text1"/>
                <w:spacing w:val="-2"/>
              </w:rPr>
              <w:t xml:space="preserve"> </w:t>
            </w:r>
            <w:r w:rsidRPr="00D44877">
              <w:rPr>
                <w:color w:val="000000" w:themeColor="text1"/>
              </w:rPr>
              <w:t>sand</w:t>
            </w:r>
            <w:r w:rsidRPr="00D44877">
              <w:rPr>
                <w:color w:val="000000" w:themeColor="text1"/>
                <w:spacing w:val="-3"/>
              </w:rPr>
              <w:t xml:space="preserve"> </w:t>
            </w:r>
            <w:r w:rsidRPr="00D44877">
              <w:rPr>
                <w:color w:val="000000" w:themeColor="text1"/>
                <w:spacing w:val="-2"/>
              </w:rPr>
              <w:t>shoals</w:t>
            </w:r>
          </w:p>
        </w:tc>
      </w:tr>
      <w:tr w:rsidR="00D44877" w14:paraId="6D8DD8D6" w14:textId="77777777" w:rsidTr="00D44877">
        <w:tc>
          <w:tcPr>
            <w:tcW w:w="1250" w:type="pct"/>
            <w:tcBorders>
              <w:top w:val="single" w:sz="4" w:space="0" w:color="5F6369" w:themeColor="text2"/>
              <w:left w:val="nil"/>
              <w:bottom w:val="single" w:sz="4" w:space="0" w:color="5F6369" w:themeColor="text2"/>
              <w:right w:val="nil"/>
            </w:tcBorders>
          </w:tcPr>
          <w:p w14:paraId="3D6F4FAA" w14:textId="169A2E43" w:rsidR="00D44877" w:rsidRPr="00D4309F" w:rsidRDefault="00D44877" w:rsidP="00D44877">
            <w:pPr>
              <w:pStyle w:val="Table-Heading"/>
            </w:pPr>
            <w:r>
              <w:t>Cost</w:t>
            </w:r>
          </w:p>
        </w:tc>
        <w:tc>
          <w:tcPr>
            <w:tcW w:w="3750" w:type="pct"/>
            <w:tcBorders>
              <w:top w:val="single" w:sz="4" w:space="0" w:color="5F6369" w:themeColor="text2"/>
              <w:left w:val="nil"/>
              <w:bottom w:val="single" w:sz="4" w:space="0" w:color="5F6369" w:themeColor="text2"/>
              <w:right w:val="nil"/>
            </w:tcBorders>
          </w:tcPr>
          <w:p w14:paraId="724FFC7B" w14:textId="37AE90F6" w:rsidR="00D44877" w:rsidRPr="00D44877" w:rsidRDefault="00D44877" w:rsidP="00D44877">
            <w:pPr>
              <w:pStyle w:val="Table-Bullet"/>
              <w:rPr>
                <w:color w:val="000000" w:themeColor="text1"/>
                <w:lang w:val="en-GB"/>
              </w:rPr>
            </w:pPr>
            <w:r w:rsidRPr="00D44877">
              <w:rPr>
                <w:color w:val="000000" w:themeColor="text1"/>
              </w:rPr>
              <w:t>No</w:t>
            </w:r>
            <w:r w:rsidRPr="00D44877">
              <w:rPr>
                <w:color w:val="000000" w:themeColor="text1"/>
                <w:spacing w:val="-6"/>
              </w:rPr>
              <w:t xml:space="preserve"> </w:t>
            </w:r>
            <w:r w:rsidRPr="00D44877">
              <w:rPr>
                <w:color w:val="000000" w:themeColor="text1"/>
              </w:rPr>
              <w:t>change</w:t>
            </w:r>
            <w:r w:rsidRPr="00D44877">
              <w:rPr>
                <w:color w:val="000000" w:themeColor="text1"/>
                <w:spacing w:val="-3"/>
              </w:rPr>
              <w:t xml:space="preserve"> </w:t>
            </w:r>
            <w:r w:rsidRPr="00D44877">
              <w:rPr>
                <w:color w:val="000000" w:themeColor="text1"/>
              </w:rPr>
              <w:t>to</w:t>
            </w:r>
            <w:r w:rsidRPr="00D44877">
              <w:rPr>
                <w:color w:val="000000" w:themeColor="text1"/>
                <w:spacing w:val="-3"/>
              </w:rPr>
              <w:t xml:space="preserve"> </w:t>
            </w:r>
            <w:r w:rsidRPr="00D44877">
              <w:rPr>
                <w:color w:val="000000" w:themeColor="text1"/>
              </w:rPr>
              <w:t>existing</w:t>
            </w:r>
            <w:r w:rsidRPr="00D44877">
              <w:rPr>
                <w:color w:val="000000" w:themeColor="text1"/>
                <w:spacing w:val="-4"/>
              </w:rPr>
              <w:t xml:space="preserve"> </w:t>
            </w:r>
            <w:r w:rsidRPr="00D44877">
              <w:rPr>
                <w:color w:val="000000" w:themeColor="text1"/>
              </w:rPr>
              <w:t>entrance</w:t>
            </w:r>
            <w:r w:rsidRPr="00D44877">
              <w:rPr>
                <w:color w:val="000000" w:themeColor="text1"/>
                <w:spacing w:val="-3"/>
              </w:rPr>
              <w:t xml:space="preserve"> </w:t>
            </w:r>
            <w:r w:rsidRPr="00D44877">
              <w:rPr>
                <w:color w:val="000000" w:themeColor="text1"/>
              </w:rPr>
              <w:t>management</w:t>
            </w:r>
            <w:r w:rsidRPr="00D44877">
              <w:rPr>
                <w:color w:val="000000" w:themeColor="text1"/>
                <w:spacing w:val="-1"/>
              </w:rPr>
              <w:t xml:space="preserve"> </w:t>
            </w:r>
            <w:r w:rsidRPr="00D44877">
              <w:rPr>
                <w:color w:val="000000" w:themeColor="text1"/>
                <w:spacing w:val="-2"/>
              </w:rPr>
              <w:t>costs</w:t>
            </w:r>
          </w:p>
        </w:tc>
      </w:tr>
    </w:tbl>
    <w:p w14:paraId="5BC038E2" w14:textId="77777777" w:rsidR="00725977" w:rsidRPr="00D4309F" w:rsidRDefault="00725977" w:rsidP="00725977">
      <w:pPr>
        <w:pStyle w:val="BodyText"/>
      </w:pPr>
    </w:p>
    <w:p w14:paraId="78532691" w14:textId="77777777" w:rsidR="00725977" w:rsidRPr="00D4309F" w:rsidRDefault="00725977" w:rsidP="00F82ADC">
      <w:pPr>
        <w:pStyle w:val="Heading3"/>
        <w:pageBreakBefore/>
      </w:pPr>
      <w:bookmarkStart w:id="140" w:name="_Toc216699340"/>
      <w:r w:rsidRPr="00D4309F">
        <w:lastRenderedPageBreak/>
        <w:t>Contract</w:t>
      </w:r>
      <w:r w:rsidRPr="00D4309F">
        <w:rPr>
          <w:spacing w:val="-7"/>
        </w:rPr>
        <w:t xml:space="preserve"> </w:t>
      </w:r>
      <w:r w:rsidRPr="00D4309F">
        <w:t>Dredge</w:t>
      </w:r>
      <w:r w:rsidRPr="00D4309F">
        <w:rPr>
          <w:spacing w:val="-2"/>
        </w:rPr>
        <w:t xml:space="preserve"> </w:t>
      </w:r>
      <w:r w:rsidRPr="00D4309F">
        <w:t>on</w:t>
      </w:r>
      <w:r w:rsidRPr="00D4309F">
        <w:rPr>
          <w:spacing w:val="-3"/>
        </w:rPr>
        <w:t xml:space="preserve"> </w:t>
      </w:r>
      <w:r w:rsidRPr="00D4309F">
        <w:t>Standby</w:t>
      </w:r>
      <w:r w:rsidRPr="00D4309F">
        <w:rPr>
          <w:spacing w:val="-3"/>
        </w:rPr>
        <w:t xml:space="preserve"> </w:t>
      </w:r>
      <w:r w:rsidRPr="00D4309F">
        <w:t>(356</w:t>
      </w:r>
      <w:r w:rsidRPr="00D4309F">
        <w:rPr>
          <w:spacing w:val="-2"/>
        </w:rPr>
        <w:t xml:space="preserve"> </w:t>
      </w:r>
      <w:r w:rsidRPr="00D4309F">
        <w:t>days</w:t>
      </w:r>
      <w:r w:rsidRPr="00D4309F">
        <w:rPr>
          <w:spacing w:val="-2"/>
        </w:rPr>
        <w:t xml:space="preserve"> </w:t>
      </w:r>
      <w:r w:rsidRPr="00D4309F">
        <w:t>per</w:t>
      </w:r>
      <w:r w:rsidRPr="00D4309F">
        <w:rPr>
          <w:spacing w:val="-3"/>
        </w:rPr>
        <w:t xml:space="preserve"> </w:t>
      </w:r>
      <w:r w:rsidRPr="00D4309F">
        <w:rPr>
          <w:spacing w:val="-2"/>
        </w:rPr>
        <w:t>year)</w:t>
      </w:r>
      <w:bookmarkEnd w:id="140"/>
    </w:p>
    <w:p w14:paraId="28FB7B2B" w14:textId="77777777" w:rsidR="00725977" w:rsidRPr="00D4309F" w:rsidRDefault="00725977" w:rsidP="00725977">
      <w:pPr>
        <w:pStyle w:val="BodyText"/>
      </w:pPr>
      <w:r w:rsidRPr="00D4309F">
        <w:t>This</w:t>
      </w:r>
      <w:r w:rsidRPr="00D4309F">
        <w:rPr>
          <w:spacing w:val="-2"/>
        </w:rPr>
        <w:t xml:space="preserve"> </w:t>
      </w:r>
      <w:r w:rsidRPr="00D4309F">
        <w:t>option</w:t>
      </w:r>
      <w:r w:rsidRPr="00D4309F">
        <w:rPr>
          <w:spacing w:val="-3"/>
        </w:rPr>
        <w:t xml:space="preserve"> </w:t>
      </w:r>
      <w:r w:rsidRPr="00D4309F">
        <w:t>involves</w:t>
      </w:r>
      <w:r w:rsidRPr="00D4309F">
        <w:rPr>
          <w:spacing w:val="-2"/>
        </w:rPr>
        <w:t xml:space="preserve"> </w:t>
      </w:r>
      <w:r w:rsidRPr="00D4309F">
        <w:t>having</w:t>
      </w:r>
      <w:r w:rsidRPr="00D4309F">
        <w:rPr>
          <w:spacing w:val="-4"/>
        </w:rPr>
        <w:t xml:space="preserve"> </w:t>
      </w:r>
      <w:r w:rsidRPr="00D4309F">
        <w:t>a</w:t>
      </w:r>
      <w:r w:rsidRPr="00D4309F">
        <w:rPr>
          <w:spacing w:val="-3"/>
        </w:rPr>
        <w:t xml:space="preserve"> </w:t>
      </w:r>
      <w:r w:rsidRPr="00D4309F">
        <w:t>suitable</w:t>
      </w:r>
      <w:r w:rsidRPr="00D4309F">
        <w:rPr>
          <w:spacing w:val="-3"/>
        </w:rPr>
        <w:t xml:space="preserve"> </w:t>
      </w:r>
      <w:r w:rsidRPr="00D4309F">
        <w:t>dredger</w:t>
      </w:r>
      <w:r w:rsidRPr="00D4309F">
        <w:rPr>
          <w:spacing w:val="-2"/>
        </w:rPr>
        <w:t xml:space="preserve"> </w:t>
      </w:r>
      <w:r w:rsidRPr="00D4309F">
        <w:t>maintained</w:t>
      </w:r>
      <w:r w:rsidRPr="00D4309F">
        <w:rPr>
          <w:spacing w:val="-3"/>
        </w:rPr>
        <w:t xml:space="preserve"> </w:t>
      </w:r>
      <w:r w:rsidRPr="00D4309F">
        <w:t>on</w:t>
      </w:r>
      <w:r w:rsidRPr="00D4309F">
        <w:rPr>
          <w:spacing w:val="-4"/>
        </w:rPr>
        <w:t xml:space="preserve"> </w:t>
      </w:r>
      <w:r w:rsidRPr="00D4309F">
        <w:t>continuous</w:t>
      </w:r>
      <w:r w:rsidRPr="00D4309F">
        <w:rPr>
          <w:spacing w:val="-2"/>
        </w:rPr>
        <w:t xml:space="preserve"> </w:t>
      </w:r>
      <w:r w:rsidRPr="00D4309F">
        <w:t>standby</w:t>
      </w:r>
      <w:r w:rsidRPr="00D4309F">
        <w:rPr>
          <w:spacing w:val="-3"/>
        </w:rPr>
        <w:t xml:space="preserve"> </w:t>
      </w:r>
      <w:r w:rsidRPr="00D4309F">
        <w:t>throughout</w:t>
      </w:r>
      <w:r w:rsidRPr="00D4309F">
        <w:rPr>
          <w:spacing w:val="-3"/>
        </w:rPr>
        <w:t xml:space="preserve"> </w:t>
      </w:r>
      <w:r w:rsidRPr="00D4309F">
        <w:t>the</w:t>
      </w:r>
      <w:r w:rsidRPr="00D4309F">
        <w:rPr>
          <w:spacing w:val="-3"/>
        </w:rPr>
        <w:t xml:space="preserve"> </w:t>
      </w:r>
      <w:r w:rsidRPr="00D4309F">
        <w:t>year</w:t>
      </w:r>
      <w:r w:rsidRPr="00D4309F">
        <w:rPr>
          <w:spacing w:val="-2"/>
        </w:rPr>
        <w:t xml:space="preserve"> </w:t>
      </w:r>
      <w:r w:rsidRPr="00D4309F">
        <w:t>to enable immediate response to sand shoaling events within the entrance.</w:t>
      </w:r>
    </w:p>
    <w:p w14:paraId="52B0E913" w14:textId="77777777" w:rsidR="00725977" w:rsidRDefault="00725977" w:rsidP="00725977">
      <w:pPr>
        <w:pStyle w:val="BodyText"/>
      </w:pPr>
      <w:r w:rsidRPr="00D4309F">
        <w:t>Requires</w:t>
      </w:r>
      <w:r w:rsidRPr="00D4309F">
        <w:rPr>
          <w:spacing w:val="-2"/>
        </w:rPr>
        <w:t xml:space="preserve"> </w:t>
      </w:r>
      <w:r w:rsidRPr="00D4309F">
        <w:t>a</w:t>
      </w:r>
      <w:r w:rsidRPr="00D4309F">
        <w:rPr>
          <w:spacing w:val="-3"/>
        </w:rPr>
        <w:t xml:space="preserve"> </w:t>
      </w:r>
      <w:r w:rsidRPr="00D4309F">
        <w:t>more</w:t>
      </w:r>
      <w:r w:rsidRPr="00D4309F">
        <w:rPr>
          <w:spacing w:val="-3"/>
        </w:rPr>
        <w:t xml:space="preserve"> </w:t>
      </w:r>
      <w:r w:rsidRPr="00D4309F">
        <w:t>detailed</w:t>
      </w:r>
      <w:r w:rsidRPr="00D4309F">
        <w:rPr>
          <w:spacing w:val="-3"/>
        </w:rPr>
        <w:t xml:space="preserve"> </w:t>
      </w:r>
      <w:r w:rsidRPr="00D4309F">
        <w:t>review</w:t>
      </w:r>
      <w:r w:rsidRPr="00D4309F">
        <w:rPr>
          <w:spacing w:val="-2"/>
        </w:rPr>
        <w:t xml:space="preserve"> </w:t>
      </w:r>
      <w:r w:rsidRPr="00D4309F">
        <w:t>of</w:t>
      </w:r>
      <w:r w:rsidRPr="00D4309F">
        <w:rPr>
          <w:spacing w:val="-4"/>
        </w:rPr>
        <w:t xml:space="preserve"> </w:t>
      </w:r>
      <w:r w:rsidRPr="00D4309F">
        <w:t>potential</w:t>
      </w:r>
      <w:r w:rsidRPr="00D4309F">
        <w:rPr>
          <w:spacing w:val="-3"/>
        </w:rPr>
        <w:t xml:space="preserve"> </w:t>
      </w:r>
      <w:r w:rsidRPr="00D4309F">
        <w:t>current</w:t>
      </w:r>
      <w:r w:rsidRPr="00D4309F">
        <w:rPr>
          <w:spacing w:val="-3"/>
        </w:rPr>
        <w:t xml:space="preserve"> </w:t>
      </w:r>
      <w:r w:rsidRPr="00D4309F">
        <w:t>and</w:t>
      </w:r>
      <w:r w:rsidRPr="00D4309F">
        <w:rPr>
          <w:spacing w:val="-3"/>
        </w:rPr>
        <w:t xml:space="preserve"> </w:t>
      </w:r>
      <w:r w:rsidRPr="00D4309F">
        <w:t>future</w:t>
      </w:r>
      <w:r w:rsidRPr="00D4309F">
        <w:rPr>
          <w:spacing w:val="-3"/>
        </w:rPr>
        <w:t xml:space="preserve"> </w:t>
      </w:r>
      <w:r w:rsidRPr="00D4309F">
        <w:t>annual</w:t>
      </w:r>
      <w:r w:rsidRPr="00D4309F">
        <w:rPr>
          <w:spacing w:val="-3"/>
        </w:rPr>
        <w:t xml:space="preserve"> </w:t>
      </w:r>
      <w:r w:rsidRPr="00D4309F">
        <w:t>average</w:t>
      </w:r>
      <w:r w:rsidRPr="00D4309F">
        <w:rPr>
          <w:spacing w:val="-3"/>
        </w:rPr>
        <w:t xml:space="preserve"> </w:t>
      </w:r>
      <w:r w:rsidRPr="00D4309F">
        <w:t>dredging</w:t>
      </w:r>
      <w:r w:rsidRPr="00D4309F">
        <w:rPr>
          <w:spacing w:val="-3"/>
        </w:rPr>
        <w:t xml:space="preserve"> </w:t>
      </w:r>
      <w:r w:rsidRPr="00D4309F">
        <w:t>requirements, particularly in response to climate change, to determine utilisation rate and overall cost-benefit.</w:t>
      </w:r>
    </w:p>
    <w:p w14:paraId="342549F3" w14:textId="77777777" w:rsidR="00F06E88" w:rsidRPr="00D4309F" w:rsidRDefault="00F06E88" w:rsidP="00725977">
      <w:pPr>
        <w:pStyle w:val="BodyText"/>
      </w:pPr>
    </w:p>
    <w:p w14:paraId="5722D7E2" w14:textId="3DD3A6FA" w:rsidR="0053392F" w:rsidRDefault="0053392F" w:rsidP="00151534">
      <w:pPr>
        <w:pStyle w:val="Table-Caption"/>
      </w:pPr>
      <w:bookmarkStart w:id="141" w:name="_Toc216699541"/>
      <w:r>
        <w:t xml:space="preserve">Table </w:t>
      </w:r>
      <w:r w:rsidR="00151534">
        <w:fldChar w:fldCharType="begin" w:fldLock="1"/>
      </w:r>
      <w:r w:rsidR="00151534">
        <w:instrText xml:space="preserve"> STYLEREF 1 \s </w:instrText>
      </w:r>
      <w:r w:rsidR="00151534">
        <w:fldChar w:fldCharType="separate"/>
      </w:r>
      <w:r w:rsidR="00151534">
        <w:rPr>
          <w:noProof/>
        </w:rPr>
        <w:t>10</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2</w:t>
      </w:r>
      <w:r w:rsidR="00151534">
        <w:fldChar w:fldCharType="end"/>
      </w:r>
      <w:r>
        <w:t>:</w:t>
      </w:r>
      <w:r>
        <w:tab/>
      </w:r>
      <w:r w:rsidRPr="00D4309F">
        <w:rPr>
          <w:color w:val="211E1F"/>
        </w:rPr>
        <w:t>Contract</w:t>
      </w:r>
      <w:r w:rsidRPr="00D4309F">
        <w:rPr>
          <w:color w:val="211E1F"/>
          <w:spacing w:val="-1"/>
        </w:rPr>
        <w:t xml:space="preserve"> </w:t>
      </w:r>
      <w:r w:rsidRPr="00D4309F">
        <w:rPr>
          <w:color w:val="211E1F"/>
        </w:rPr>
        <w:t>Dredge</w:t>
      </w:r>
      <w:r w:rsidRPr="00D4309F">
        <w:rPr>
          <w:color w:val="211E1F"/>
          <w:spacing w:val="-3"/>
        </w:rPr>
        <w:t xml:space="preserve"> </w:t>
      </w:r>
      <w:r w:rsidRPr="00D4309F">
        <w:rPr>
          <w:color w:val="211E1F"/>
        </w:rPr>
        <w:t>on</w:t>
      </w:r>
      <w:r w:rsidRPr="00D4309F">
        <w:rPr>
          <w:color w:val="211E1F"/>
          <w:spacing w:val="-1"/>
        </w:rPr>
        <w:t xml:space="preserve"> </w:t>
      </w:r>
      <w:r w:rsidRPr="00D4309F">
        <w:rPr>
          <w:color w:val="211E1F"/>
        </w:rPr>
        <w:t>Standy</w:t>
      </w:r>
      <w:r w:rsidRPr="00D4309F">
        <w:rPr>
          <w:color w:val="211E1F"/>
          <w:spacing w:val="-4"/>
        </w:rPr>
        <w:t xml:space="preserve"> </w:t>
      </w:r>
      <w:r w:rsidRPr="00D4309F">
        <w:rPr>
          <w:color w:val="211E1F"/>
        </w:rPr>
        <w:t>(365</w:t>
      </w:r>
      <w:r w:rsidRPr="00D4309F">
        <w:rPr>
          <w:color w:val="211E1F"/>
          <w:spacing w:val="-2"/>
        </w:rPr>
        <w:t xml:space="preserve"> </w:t>
      </w:r>
      <w:r w:rsidRPr="00D4309F">
        <w:rPr>
          <w:color w:val="211E1F"/>
        </w:rPr>
        <w:t>days</w:t>
      </w:r>
      <w:r w:rsidRPr="00D4309F">
        <w:rPr>
          <w:color w:val="211E1F"/>
          <w:spacing w:val="-3"/>
        </w:rPr>
        <w:t xml:space="preserve"> </w:t>
      </w:r>
      <w:r w:rsidRPr="00D4309F">
        <w:rPr>
          <w:color w:val="211E1F"/>
        </w:rPr>
        <w:t xml:space="preserve">per </w:t>
      </w:r>
      <w:r w:rsidRPr="00D4309F">
        <w:rPr>
          <w:color w:val="211E1F"/>
          <w:spacing w:val="-4"/>
        </w:rPr>
        <w:t>year)</w:t>
      </w:r>
      <w:bookmarkEnd w:id="141"/>
    </w:p>
    <w:tbl>
      <w:tblPr>
        <w:tblStyle w:val="Table1"/>
        <w:tblW w:w="5000" w:type="pct"/>
        <w:tblLook w:val="0620" w:firstRow="1" w:lastRow="0" w:firstColumn="0" w:lastColumn="0" w:noHBand="1" w:noVBand="1"/>
      </w:tblPr>
      <w:tblGrid>
        <w:gridCol w:w="1984"/>
        <w:gridCol w:w="7658"/>
      </w:tblGrid>
      <w:tr w:rsidR="00D44877" w14:paraId="0AA7BFBB" w14:textId="77777777" w:rsidTr="00D44877">
        <w:trPr>
          <w:cnfStyle w:val="100000000000" w:firstRow="1" w:lastRow="0" w:firstColumn="0" w:lastColumn="0" w:oddVBand="0" w:evenVBand="0" w:oddHBand="0" w:evenHBand="0" w:firstRowFirstColumn="0" w:firstRowLastColumn="0" w:lastRowFirstColumn="0" w:lastRowLastColumn="0"/>
        </w:trPr>
        <w:tc>
          <w:tcPr>
            <w:tcW w:w="1029" w:type="pct"/>
            <w:tcBorders>
              <w:top w:val="single" w:sz="4" w:space="0" w:color="5F6369" w:themeColor="text2"/>
              <w:bottom w:val="single" w:sz="4" w:space="0" w:color="5F6369" w:themeColor="text2"/>
            </w:tcBorders>
            <w:shd w:val="clear" w:color="auto" w:fill="auto"/>
            <w:hideMark/>
          </w:tcPr>
          <w:p w14:paraId="09F91B2E" w14:textId="77777777" w:rsidR="00D44877" w:rsidRPr="00D44877" w:rsidRDefault="00D44877">
            <w:pPr>
              <w:pStyle w:val="Table-Heading"/>
            </w:pPr>
            <w:r w:rsidRPr="00D44877">
              <w:t>Advantages</w:t>
            </w:r>
          </w:p>
        </w:tc>
        <w:tc>
          <w:tcPr>
            <w:tcW w:w="3971" w:type="pct"/>
            <w:tcBorders>
              <w:top w:val="single" w:sz="4" w:space="0" w:color="5F6369" w:themeColor="text2"/>
              <w:bottom w:val="single" w:sz="4" w:space="0" w:color="5F6369" w:themeColor="text2"/>
            </w:tcBorders>
            <w:shd w:val="clear" w:color="auto" w:fill="auto"/>
          </w:tcPr>
          <w:p w14:paraId="02485D4B" w14:textId="77777777" w:rsidR="00D44877" w:rsidRPr="00D44877" w:rsidRDefault="00D44877" w:rsidP="00D44877">
            <w:pPr>
              <w:pStyle w:val="Table-Bullet"/>
              <w:rPr>
                <w:color w:val="000000" w:themeColor="text1"/>
              </w:rPr>
            </w:pPr>
            <w:r w:rsidRPr="00D44877">
              <w:rPr>
                <w:color w:val="000000" w:themeColor="text1"/>
              </w:rPr>
              <w:t>Provides maximum flexibility to undertake maintenance dredging immediately in response</w:t>
            </w:r>
            <w:r w:rsidRPr="00D44877">
              <w:rPr>
                <w:color w:val="000000" w:themeColor="text1"/>
                <w:spacing w:val="-5"/>
              </w:rPr>
              <w:t xml:space="preserve"> </w:t>
            </w:r>
            <w:r w:rsidRPr="00D44877">
              <w:rPr>
                <w:color w:val="000000" w:themeColor="text1"/>
              </w:rPr>
              <w:t>to</w:t>
            </w:r>
            <w:r w:rsidRPr="00D44877">
              <w:rPr>
                <w:color w:val="000000" w:themeColor="text1"/>
                <w:spacing w:val="-5"/>
              </w:rPr>
              <w:t xml:space="preserve"> </w:t>
            </w:r>
            <w:r w:rsidRPr="00D44877">
              <w:rPr>
                <w:color w:val="000000" w:themeColor="text1"/>
              </w:rPr>
              <w:t>sand</w:t>
            </w:r>
            <w:r w:rsidRPr="00D44877">
              <w:rPr>
                <w:color w:val="000000" w:themeColor="text1"/>
                <w:spacing w:val="-5"/>
              </w:rPr>
              <w:t xml:space="preserve"> </w:t>
            </w:r>
            <w:r w:rsidRPr="00D44877">
              <w:rPr>
                <w:color w:val="000000" w:themeColor="text1"/>
              </w:rPr>
              <w:t>shoaling</w:t>
            </w:r>
            <w:r w:rsidRPr="00D44877">
              <w:rPr>
                <w:color w:val="000000" w:themeColor="text1"/>
                <w:spacing w:val="-5"/>
              </w:rPr>
              <w:t xml:space="preserve"> </w:t>
            </w:r>
            <w:r w:rsidRPr="00D44877">
              <w:rPr>
                <w:color w:val="000000" w:themeColor="text1"/>
              </w:rPr>
              <w:t>events</w:t>
            </w:r>
            <w:r w:rsidRPr="00D44877">
              <w:rPr>
                <w:color w:val="000000" w:themeColor="text1"/>
                <w:spacing w:val="-4"/>
              </w:rPr>
              <w:t xml:space="preserve"> </w:t>
            </w:r>
            <w:r w:rsidRPr="00D44877">
              <w:rPr>
                <w:color w:val="000000" w:themeColor="text1"/>
              </w:rPr>
              <w:t>AND</w:t>
            </w:r>
            <w:r w:rsidRPr="00D44877">
              <w:rPr>
                <w:color w:val="000000" w:themeColor="text1"/>
                <w:spacing w:val="-4"/>
              </w:rPr>
              <w:t xml:space="preserve"> </w:t>
            </w:r>
            <w:r w:rsidRPr="00D44877">
              <w:rPr>
                <w:color w:val="000000" w:themeColor="text1"/>
              </w:rPr>
              <w:t>any</w:t>
            </w:r>
            <w:r w:rsidRPr="00D44877">
              <w:rPr>
                <w:color w:val="000000" w:themeColor="text1"/>
                <w:spacing w:val="-3"/>
              </w:rPr>
              <w:t xml:space="preserve"> </w:t>
            </w:r>
            <w:r w:rsidRPr="00D44877">
              <w:rPr>
                <w:color w:val="000000" w:themeColor="text1"/>
              </w:rPr>
              <w:t>additional</w:t>
            </w:r>
            <w:r w:rsidRPr="00D44877">
              <w:rPr>
                <w:color w:val="000000" w:themeColor="text1"/>
                <w:spacing w:val="-4"/>
              </w:rPr>
              <w:t xml:space="preserve"> </w:t>
            </w:r>
            <w:r w:rsidRPr="00D44877">
              <w:rPr>
                <w:color w:val="000000" w:themeColor="text1"/>
              </w:rPr>
              <w:t>dredging</w:t>
            </w:r>
            <w:r w:rsidRPr="00D44877">
              <w:rPr>
                <w:color w:val="000000" w:themeColor="text1"/>
                <w:spacing w:val="-5"/>
              </w:rPr>
              <w:t xml:space="preserve"> </w:t>
            </w:r>
            <w:r w:rsidRPr="00D44877">
              <w:rPr>
                <w:color w:val="000000" w:themeColor="text1"/>
              </w:rPr>
              <w:t>should</w:t>
            </w:r>
            <w:r w:rsidRPr="00D44877">
              <w:rPr>
                <w:color w:val="000000" w:themeColor="text1"/>
                <w:spacing w:val="-5"/>
              </w:rPr>
              <w:t xml:space="preserve"> </w:t>
            </w:r>
            <w:r w:rsidRPr="00D44877">
              <w:rPr>
                <w:color w:val="000000" w:themeColor="text1"/>
              </w:rPr>
              <w:t>sand</w:t>
            </w:r>
            <w:r w:rsidRPr="00D44877">
              <w:rPr>
                <w:color w:val="000000" w:themeColor="text1"/>
                <w:spacing w:val="-5"/>
              </w:rPr>
              <w:t xml:space="preserve"> </w:t>
            </w:r>
            <w:r w:rsidRPr="00D44877">
              <w:rPr>
                <w:color w:val="000000" w:themeColor="text1"/>
              </w:rPr>
              <w:t>shoaling conditions remain persistent.</w:t>
            </w:r>
          </w:p>
          <w:p w14:paraId="2D2FC437" w14:textId="77777777" w:rsidR="00D44877" w:rsidRPr="00D44877" w:rsidRDefault="00D44877" w:rsidP="00D44877">
            <w:pPr>
              <w:pStyle w:val="Table-Bullet"/>
              <w:rPr>
                <w:color w:val="000000" w:themeColor="text1"/>
              </w:rPr>
            </w:pPr>
            <w:r w:rsidRPr="00D44877">
              <w:rPr>
                <w:color w:val="000000" w:themeColor="text1"/>
              </w:rPr>
              <w:t>No</w:t>
            </w:r>
            <w:r w:rsidRPr="00D44877">
              <w:rPr>
                <w:color w:val="000000" w:themeColor="text1"/>
                <w:spacing w:val="-4"/>
              </w:rPr>
              <w:t xml:space="preserve"> </w:t>
            </w:r>
            <w:r w:rsidRPr="00D44877">
              <w:rPr>
                <w:color w:val="000000" w:themeColor="text1"/>
              </w:rPr>
              <w:t>additional</w:t>
            </w:r>
            <w:r w:rsidRPr="00D44877">
              <w:rPr>
                <w:color w:val="000000" w:themeColor="text1"/>
                <w:spacing w:val="-3"/>
              </w:rPr>
              <w:t xml:space="preserve"> </w:t>
            </w:r>
            <w:r w:rsidRPr="00D44877">
              <w:rPr>
                <w:color w:val="000000" w:themeColor="text1"/>
              </w:rPr>
              <w:t>study</w:t>
            </w:r>
            <w:r w:rsidRPr="00D44877">
              <w:rPr>
                <w:color w:val="000000" w:themeColor="text1"/>
                <w:spacing w:val="-3"/>
              </w:rPr>
              <w:t xml:space="preserve"> </w:t>
            </w:r>
            <w:r w:rsidRPr="00D44877">
              <w:rPr>
                <w:color w:val="000000" w:themeColor="text1"/>
              </w:rPr>
              <w:t>or</w:t>
            </w:r>
            <w:r w:rsidRPr="00D44877">
              <w:rPr>
                <w:color w:val="000000" w:themeColor="text1"/>
                <w:spacing w:val="-3"/>
              </w:rPr>
              <w:t xml:space="preserve"> </w:t>
            </w:r>
            <w:r w:rsidRPr="00D44877">
              <w:rPr>
                <w:color w:val="000000" w:themeColor="text1"/>
              </w:rPr>
              <w:t>modelling</w:t>
            </w:r>
            <w:r w:rsidRPr="00D44877">
              <w:rPr>
                <w:color w:val="000000" w:themeColor="text1"/>
                <w:spacing w:val="-3"/>
              </w:rPr>
              <w:t xml:space="preserve"> </w:t>
            </w:r>
            <w:r w:rsidRPr="00D44877">
              <w:rPr>
                <w:color w:val="000000" w:themeColor="text1"/>
                <w:spacing w:val="-2"/>
              </w:rPr>
              <w:t>costs.</w:t>
            </w:r>
          </w:p>
          <w:p w14:paraId="1C872DC7" w14:textId="77777777" w:rsidR="00D44877" w:rsidRPr="00D44877" w:rsidRDefault="00D44877" w:rsidP="00D44877">
            <w:pPr>
              <w:pStyle w:val="Table-Bullet"/>
              <w:rPr>
                <w:color w:val="000000" w:themeColor="text1"/>
              </w:rPr>
            </w:pPr>
            <w:r w:rsidRPr="00D44877">
              <w:rPr>
                <w:color w:val="000000" w:themeColor="text1"/>
              </w:rPr>
              <w:t>Adopts</w:t>
            </w:r>
            <w:r w:rsidRPr="00D44877">
              <w:rPr>
                <w:color w:val="000000" w:themeColor="text1"/>
                <w:spacing w:val="-5"/>
              </w:rPr>
              <w:t xml:space="preserve"> </w:t>
            </w:r>
            <w:r w:rsidRPr="00D44877">
              <w:rPr>
                <w:color w:val="000000" w:themeColor="text1"/>
              </w:rPr>
              <w:t>existing</w:t>
            </w:r>
            <w:r w:rsidRPr="00D44877">
              <w:rPr>
                <w:color w:val="000000" w:themeColor="text1"/>
                <w:spacing w:val="-2"/>
              </w:rPr>
              <w:t xml:space="preserve"> </w:t>
            </w:r>
            <w:r w:rsidRPr="00D44877">
              <w:rPr>
                <w:color w:val="000000" w:themeColor="text1"/>
              </w:rPr>
              <w:t>dredge</w:t>
            </w:r>
            <w:r w:rsidRPr="00D44877">
              <w:rPr>
                <w:color w:val="000000" w:themeColor="text1"/>
                <w:spacing w:val="-4"/>
              </w:rPr>
              <w:t xml:space="preserve"> </w:t>
            </w:r>
            <w:r w:rsidRPr="00D44877">
              <w:rPr>
                <w:color w:val="000000" w:themeColor="text1"/>
              </w:rPr>
              <w:t>response</w:t>
            </w:r>
            <w:r w:rsidRPr="00D44877">
              <w:rPr>
                <w:color w:val="000000" w:themeColor="text1"/>
                <w:spacing w:val="-4"/>
              </w:rPr>
              <w:t xml:space="preserve"> </w:t>
            </w:r>
            <w:r w:rsidRPr="00D44877">
              <w:rPr>
                <w:color w:val="000000" w:themeColor="text1"/>
              </w:rPr>
              <w:t>plan.</w:t>
            </w:r>
            <w:r w:rsidRPr="00D44877">
              <w:rPr>
                <w:color w:val="000000" w:themeColor="text1"/>
                <w:spacing w:val="-3"/>
              </w:rPr>
              <w:t xml:space="preserve"> </w:t>
            </w:r>
            <w:r w:rsidRPr="00D44877">
              <w:rPr>
                <w:color w:val="000000" w:themeColor="text1"/>
              </w:rPr>
              <w:t>No</w:t>
            </w:r>
            <w:r w:rsidRPr="00D44877">
              <w:rPr>
                <w:color w:val="000000" w:themeColor="text1"/>
                <w:spacing w:val="-4"/>
              </w:rPr>
              <w:t xml:space="preserve"> </w:t>
            </w:r>
            <w:r w:rsidRPr="00D44877">
              <w:rPr>
                <w:color w:val="000000" w:themeColor="text1"/>
              </w:rPr>
              <w:t>re-approval</w:t>
            </w:r>
            <w:r w:rsidRPr="00D44877">
              <w:rPr>
                <w:color w:val="000000" w:themeColor="text1"/>
                <w:spacing w:val="-2"/>
              </w:rPr>
              <w:t xml:space="preserve"> delays.</w:t>
            </w:r>
          </w:p>
          <w:p w14:paraId="08F3F3D4" w14:textId="77777777" w:rsidR="00D44877" w:rsidRPr="00D44877" w:rsidRDefault="00D44877" w:rsidP="00D44877">
            <w:pPr>
              <w:pStyle w:val="Table-Bullet"/>
              <w:rPr>
                <w:color w:val="000000" w:themeColor="text1"/>
              </w:rPr>
            </w:pPr>
            <w:r w:rsidRPr="00D44877">
              <w:rPr>
                <w:color w:val="000000" w:themeColor="text1"/>
              </w:rPr>
              <w:t>Contractor</w:t>
            </w:r>
            <w:r w:rsidRPr="00D44877">
              <w:rPr>
                <w:color w:val="000000" w:themeColor="text1"/>
                <w:spacing w:val="-7"/>
              </w:rPr>
              <w:t xml:space="preserve"> </w:t>
            </w:r>
            <w:r w:rsidRPr="00D44877">
              <w:rPr>
                <w:color w:val="000000" w:themeColor="text1"/>
              </w:rPr>
              <w:t>familiarity</w:t>
            </w:r>
            <w:r w:rsidRPr="00D44877">
              <w:rPr>
                <w:color w:val="000000" w:themeColor="text1"/>
                <w:spacing w:val="-4"/>
              </w:rPr>
              <w:t xml:space="preserve"> </w:t>
            </w:r>
            <w:r w:rsidRPr="00D44877">
              <w:rPr>
                <w:color w:val="000000" w:themeColor="text1"/>
              </w:rPr>
              <w:t>and</w:t>
            </w:r>
            <w:r w:rsidRPr="00D44877">
              <w:rPr>
                <w:color w:val="000000" w:themeColor="text1"/>
                <w:spacing w:val="-5"/>
              </w:rPr>
              <w:t xml:space="preserve"> </w:t>
            </w:r>
            <w:r w:rsidRPr="00D44877">
              <w:rPr>
                <w:color w:val="000000" w:themeColor="text1"/>
              </w:rPr>
              <w:t>established</w:t>
            </w:r>
            <w:r w:rsidRPr="00D44877">
              <w:rPr>
                <w:color w:val="000000" w:themeColor="text1"/>
                <w:spacing w:val="-4"/>
              </w:rPr>
              <w:t xml:space="preserve"> </w:t>
            </w:r>
            <w:r w:rsidRPr="00D44877">
              <w:rPr>
                <w:color w:val="000000" w:themeColor="text1"/>
                <w:spacing w:val="-2"/>
              </w:rPr>
              <w:t>logistics.</w:t>
            </w:r>
          </w:p>
          <w:p w14:paraId="41FFBAA2" w14:textId="779BB11D" w:rsidR="00D44877" w:rsidRPr="00D44877" w:rsidRDefault="00D44877" w:rsidP="00D44877">
            <w:pPr>
              <w:pStyle w:val="Table-Bullet"/>
              <w:rPr>
                <w:color w:val="000000" w:themeColor="text1"/>
                <w:lang w:val="en-GB"/>
              </w:rPr>
            </w:pPr>
            <w:r w:rsidRPr="00D44877">
              <w:rPr>
                <w:color w:val="000000" w:themeColor="text1"/>
              </w:rPr>
              <w:t>Perception</w:t>
            </w:r>
            <w:r w:rsidRPr="00D44877">
              <w:rPr>
                <w:color w:val="000000" w:themeColor="text1"/>
                <w:spacing w:val="-4"/>
              </w:rPr>
              <w:t xml:space="preserve"> </w:t>
            </w:r>
            <w:r w:rsidRPr="00D44877">
              <w:rPr>
                <w:color w:val="000000" w:themeColor="text1"/>
              </w:rPr>
              <w:t>of</w:t>
            </w:r>
            <w:r w:rsidRPr="00D44877">
              <w:rPr>
                <w:color w:val="000000" w:themeColor="text1"/>
                <w:spacing w:val="-2"/>
              </w:rPr>
              <w:t xml:space="preserve"> </w:t>
            </w:r>
            <w:r w:rsidRPr="00D44877">
              <w:rPr>
                <w:color w:val="000000" w:themeColor="text1"/>
              </w:rPr>
              <w:t>action</w:t>
            </w:r>
            <w:r w:rsidRPr="00D44877">
              <w:rPr>
                <w:color w:val="000000" w:themeColor="text1"/>
                <w:spacing w:val="-3"/>
              </w:rPr>
              <w:t xml:space="preserve"> </w:t>
            </w:r>
            <w:r w:rsidRPr="00D44877">
              <w:rPr>
                <w:color w:val="000000" w:themeColor="text1"/>
              </w:rPr>
              <w:t>to</w:t>
            </w:r>
            <w:r w:rsidRPr="00D44877">
              <w:rPr>
                <w:color w:val="000000" w:themeColor="text1"/>
                <w:spacing w:val="-3"/>
              </w:rPr>
              <w:t xml:space="preserve"> </w:t>
            </w:r>
            <w:r w:rsidRPr="00D44877">
              <w:rPr>
                <w:color w:val="000000" w:themeColor="text1"/>
              </w:rPr>
              <w:t>improve</w:t>
            </w:r>
            <w:r w:rsidRPr="00D44877">
              <w:rPr>
                <w:color w:val="000000" w:themeColor="text1"/>
                <w:spacing w:val="-3"/>
              </w:rPr>
              <w:t xml:space="preserve"> </w:t>
            </w:r>
            <w:r w:rsidRPr="00D44877">
              <w:rPr>
                <w:color w:val="000000" w:themeColor="text1"/>
              </w:rPr>
              <w:t>management</w:t>
            </w:r>
            <w:r w:rsidRPr="00D44877">
              <w:rPr>
                <w:color w:val="000000" w:themeColor="text1"/>
                <w:spacing w:val="-1"/>
              </w:rPr>
              <w:t xml:space="preserve"> </w:t>
            </w:r>
            <w:r w:rsidRPr="00D44877">
              <w:rPr>
                <w:color w:val="000000" w:themeColor="text1"/>
              </w:rPr>
              <w:t>of shoals</w:t>
            </w:r>
            <w:r w:rsidRPr="00D44877">
              <w:rPr>
                <w:color w:val="000000" w:themeColor="text1"/>
                <w:spacing w:val="-2"/>
              </w:rPr>
              <w:t xml:space="preserve"> </w:t>
            </w:r>
            <w:r w:rsidRPr="00D44877">
              <w:rPr>
                <w:color w:val="000000" w:themeColor="text1"/>
              </w:rPr>
              <w:t>and</w:t>
            </w:r>
            <w:r w:rsidRPr="00D44877">
              <w:rPr>
                <w:color w:val="000000" w:themeColor="text1"/>
                <w:spacing w:val="-1"/>
              </w:rPr>
              <w:t xml:space="preserve"> </w:t>
            </w:r>
            <w:r w:rsidRPr="00D44877">
              <w:rPr>
                <w:color w:val="000000" w:themeColor="text1"/>
              </w:rPr>
              <w:t>safety</w:t>
            </w:r>
            <w:r w:rsidRPr="00D44877">
              <w:rPr>
                <w:color w:val="000000" w:themeColor="text1"/>
                <w:spacing w:val="-2"/>
              </w:rPr>
              <w:t xml:space="preserve"> </w:t>
            </w:r>
            <w:r w:rsidRPr="00D44877">
              <w:rPr>
                <w:color w:val="000000" w:themeColor="text1"/>
              </w:rPr>
              <w:t>of</w:t>
            </w:r>
            <w:r w:rsidRPr="00D44877">
              <w:rPr>
                <w:color w:val="000000" w:themeColor="text1"/>
                <w:spacing w:val="-2"/>
              </w:rPr>
              <w:t xml:space="preserve"> channel</w:t>
            </w:r>
          </w:p>
        </w:tc>
      </w:tr>
      <w:tr w:rsidR="00D44877" w14:paraId="7CA5D896" w14:textId="77777777" w:rsidTr="00D44877">
        <w:tc>
          <w:tcPr>
            <w:tcW w:w="1029" w:type="pct"/>
            <w:tcBorders>
              <w:top w:val="single" w:sz="4" w:space="0" w:color="5F6369" w:themeColor="text2"/>
              <w:left w:val="nil"/>
              <w:bottom w:val="single" w:sz="4" w:space="0" w:color="5F6369" w:themeColor="text2"/>
              <w:right w:val="nil"/>
            </w:tcBorders>
          </w:tcPr>
          <w:p w14:paraId="60732B78" w14:textId="77777777" w:rsidR="00D44877" w:rsidRPr="00D4309F" w:rsidRDefault="00D44877">
            <w:pPr>
              <w:pStyle w:val="Table-Heading"/>
            </w:pPr>
            <w:r>
              <w:t>Disadvantages</w:t>
            </w:r>
          </w:p>
        </w:tc>
        <w:tc>
          <w:tcPr>
            <w:tcW w:w="3971" w:type="pct"/>
            <w:tcBorders>
              <w:top w:val="single" w:sz="4" w:space="0" w:color="5F6369" w:themeColor="text2"/>
              <w:left w:val="nil"/>
              <w:bottom w:val="single" w:sz="4" w:space="0" w:color="5F6369" w:themeColor="text2"/>
              <w:right w:val="nil"/>
            </w:tcBorders>
          </w:tcPr>
          <w:p w14:paraId="2A39415F" w14:textId="77777777" w:rsidR="00D44877" w:rsidRPr="00D44877" w:rsidRDefault="00D44877" w:rsidP="00D44877">
            <w:pPr>
              <w:pStyle w:val="Table-Bullet"/>
              <w:rPr>
                <w:color w:val="000000" w:themeColor="text1"/>
              </w:rPr>
            </w:pPr>
            <w:r w:rsidRPr="00D44877">
              <w:rPr>
                <w:color w:val="000000" w:themeColor="text1"/>
              </w:rPr>
              <w:t>Remains</w:t>
            </w:r>
            <w:r w:rsidRPr="00D44877">
              <w:rPr>
                <w:color w:val="000000" w:themeColor="text1"/>
                <w:spacing w:val="-5"/>
              </w:rPr>
              <w:t xml:space="preserve"> </w:t>
            </w:r>
            <w:r w:rsidRPr="00D44877">
              <w:rPr>
                <w:color w:val="000000" w:themeColor="text1"/>
              </w:rPr>
              <w:t>a</w:t>
            </w:r>
            <w:r w:rsidRPr="00D44877">
              <w:rPr>
                <w:color w:val="000000" w:themeColor="text1"/>
                <w:spacing w:val="-3"/>
              </w:rPr>
              <w:t xml:space="preserve"> </w:t>
            </w:r>
            <w:r w:rsidRPr="00D44877">
              <w:rPr>
                <w:color w:val="000000" w:themeColor="text1"/>
              </w:rPr>
              <w:t>reactive</w:t>
            </w:r>
            <w:r w:rsidRPr="00D44877">
              <w:rPr>
                <w:color w:val="000000" w:themeColor="text1"/>
                <w:spacing w:val="-4"/>
              </w:rPr>
              <w:t xml:space="preserve"> </w:t>
            </w:r>
            <w:r w:rsidRPr="00D44877">
              <w:rPr>
                <w:color w:val="000000" w:themeColor="text1"/>
              </w:rPr>
              <w:t>dredge</w:t>
            </w:r>
            <w:r w:rsidRPr="00D44877">
              <w:rPr>
                <w:color w:val="000000" w:themeColor="text1"/>
                <w:spacing w:val="-3"/>
              </w:rPr>
              <w:t xml:space="preserve"> </w:t>
            </w:r>
            <w:r w:rsidRPr="00D44877">
              <w:rPr>
                <w:color w:val="000000" w:themeColor="text1"/>
              </w:rPr>
              <w:t>strategy</w:t>
            </w:r>
            <w:r w:rsidRPr="00D44877">
              <w:rPr>
                <w:color w:val="000000" w:themeColor="text1"/>
                <w:spacing w:val="-2"/>
              </w:rPr>
              <w:t xml:space="preserve"> only.</w:t>
            </w:r>
          </w:p>
          <w:p w14:paraId="718DB3CC" w14:textId="77777777" w:rsidR="00D44877" w:rsidRPr="00D44877" w:rsidRDefault="00D44877" w:rsidP="00D44877">
            <w:pPr>
              <w:pStyle w:val="Table-Bullet"/>
              <w:rPr>
                <w:color w:val="000000" w:themeColor="text1"/>
              </w:rPr>
            </w:pPr>
            <w:r w:rsidRPr="00D44877">
              <w:rPr>
                <w:color w:val="000000" w:themeColor="text1"/>
              </w:rPr>
              <w:t>Remains</w:t>
            </w:r>
            <w:r w:rsidRPr="00D44877">
              <w:rPr>
                <w:color w:val="000000" w:themeColor="text1"/>
                <w:spacing w:val="-4"/>
              </w:rPr>
              <w:t xml:space="preserve"> </w:t>
            </w:r>
            <w:r w:rsidRPr="00D44877">
              <w:rPr>
                <w:color w:val="000000" w:themeColor="text1"/>
              </w:rPr>
              <w:t>limited</w:t>
            </w:r>
            <w:r w:rsidRPr="00D44877">
              <w:rPr>
                <w:color w:val="000000" w:themeColor="text1"/>
                <w:spacing w:val="-4"/>
              </w:rPr>
              <w:t xml:space="preserve"> </w:t>
            </w:r>
            <w:r w:rsidRPr="00D44877">
              <w:rPr>
                <w:color w:val="000000" w:themeColor="text1"/>
              </w:rPr>
              <w:t>to</w:t>
            </w:r>
            <w:r w:rsidRPr="00D44877">
              <w:rPr>
                <w:color w:val="000000" w:themeColor="text1"/>
                <w:spacing w:val="-4"/>
              </w:rPr>
              <w:t xml:space="preserve"> </w:t>
            </w:r>
            <w:r w:rsidRPr="00D44877">
              <w:rPr>
                <w:color w:val="000000" w:themeColor="text1"/>
              </w:rPr>
              <w:t>favourable</w:t>
            </w:r>
            <w:r w:rsidRPr="00D44877">
              <w:rPr>
                <w:color w:val="000000" w:themeColor="text1"/>
                <w:spacing w:val="-2"/>
              </w:rPr>
              <w:t xml:space="preserve"> </w:t>
            </w:r>
            <w:r w:rsidRPr="00D44877">
              <w:rPr>
                <w:color w:val="000000" w:themeColor="text1"/>
              </w:rPr>
              <w:t>weather</w:t>
            </w:r>
            <w:r w:rsidRPr="00D44877">
              <w:rPr>
                <w:color w:val="000000" w:themeColor="text1"/>
                <w:spacing w:val="-3"/>
              </w:rPr>
              <w:t xml:space="preserve"> </w:t>
            </w:r>
            <w:r w:rsidRPr="00D44877">
              <w:rPr>
                <w:color w:val="000000" w:themeColor="text1"/>
              </w:rPr>
              <w:t>conditions</w:t>
            </w:r>
            <w:r w:rsidRPr="00D44877">
              <w:rPr>
                <w:color w:val="000000" w:themeColor="text1"/>
                <w:spacing w:val="-3"/>
              </w:rPr>
              <w:t xml:space="preserve"> </w:t>
            </w:r>
            <w:r w:rsidRPr="00D44877">
              <w:rPr>
                <w:color w:val="000000" w:themeColor="text1"/>
              </w:rPr>
              <w:t>for</w:t>
            </w:r>
            <w:r w:rsidRPr="00D44877">
              <w:rPr>
                <w:color w:val="000000" w:themeColor="text1"/>
                <w:spacing w:val="-3"/>
              </w:rPr>
              <w:t xml:space="preserve"> </w:t>
            </w:r>
            <w:r w:rsidRPr="00D44877">
              <w:rPr>
                <w:color w:val="000000" w:themeColor="text1"/>
                <w:spacing w:val="-2"/>
              </w:rPr>
              <w:t>dredging.</w:t>
            </w:r>
          </w:p>
          <w:p w14:paraId="1414CA69" w14:textId="58E1CBDE" w:rsidR="00D44877" w:rsidRPr="00D44877" w:rsidRDefault="00D44877" w:rsidP="00D44877">
            <w:pPr>
              <w:pStyle w:val="Table-Bullet"/>
              <w:rPr>
                <w:color w:val="000000" w:themeColor="text1"/>
              </w:rPr>
            </w:pPr>
            <w:r w:rsidRPr="00D44877">
              <w:rPr>
                <w:color w:val="000000" w:themeColor="text1"/>
              </w:rPr>
              <w:t>High</w:t>
            </w:r>
            <w:r w:rsidRPr="00D44877">
              <w:rPr>
                <w:color w:val="000000" w:themeColor="text1"/>
                <w:spacing w:val="-4"/>
              </w:rPr>
              <w:t xml:space="preserve"> </w:t>
            </w:r>
            <w:r w:rsidRPr="00D44877">
              <w:rPr>
                <w:color w:val="000000" w:themeColor="text1"/>
              </w:rPr>
              <w:t>standby</w:t>
            </w:r>
            <w:r w:rsidRPr="00D44877">
              <w:rPr>
                <w:color w:val="000000" w:themeColor="text1"/>
                <w:spacing w:val="-3"/>
              </w:rPr>
              <w:t xml:space="preserve"> </w:t>
            </w:r>
            <w:r w:rsidRPr="00D44877">
              <w:rPr>
                <w:color w:val="000000" w:themeColor="text1"/>
              </w:rPr>
              <w:t>costs</w:t>
            </w:r>
            <w:r w:rsidRPr="00D44877">
              <w:rPr>
                <w:color w:val="000000" w:themeColor="text1"/>
                <w:spacing w:val="-3"/>
              </w:rPr>
              <w:t xml:space="preserve"> </w:t>
            </w:r>
            <w:r w:rsidRPr="00D44877">
              <w:rPr>
                <w:color w:val="000000" w:themeColor="text1"/>
              </w:rPr>
              <w:t>for</w:t>
            </w:r>
            <w:r w:rsidRPr="00D44877">
              <w:rPr>
                <w:color w:val="000000" w:themeColor="text1"/>
                <w:spacing w:val="-3"/>
              </w:rPr>
              <w:t xml:space="preserve"> </w:t>
            </w:r>
            <w:r w:rsidRPr="00D44877">
              <w:rPr>
                <w:color w:val="000000" w:themeColor="text1"/>
              </w:rPr>
              <w:t>dredge</w:t>
            </w:r>
            <w:r w:rsidRPr="00D44877">
              <w:rPr>
                <w:color w:val="000000" w:themeColor="text1"/>
                <w:spacing w:val="-2"/>
              </w:rPr>
              <w:t xml:space="preserve"> </w:t>
            </w:r>
            <w:r w:rsidRPr="00D44877">
              <w:rPr>
                <w:color w:val="000000" w:themeColor="text1"/>
              </w:rPr>
              <w:t>down</w:t>
            </w:r>
            <w:r w:rsidRPr="00D44877">
              <w:rPr>
                <w:color w:val="000000" w:themeColor="text1"/>
                <w:spacing w:val="-4"/>
              </w:rPr>
              <w:t xml:space="preserve"> </w:t>
            </w:r>
            <w:r w:rsidRPr="00D44877">
              <w:rPr>
                <w:color w:val="000000" w:themeColor="text1"/>
              </w:rPr>
              <w:t>time,</w:t>
            </w:r>
            <w:r w:rsidRPr="00D44877">
              <w:rPr>
                <w:color w:val="000000" w:themeColor="text1"/>
                <w:spacing w:val="-3"/>
              </w:rPr>
              <w:t xml:space="preserve"> </w:t>
            </w:r>
            <w:r w:rsidRPr="00D44877">
              <w:rPr>
                <w:color w:val="000000" w:themeColor="text1"/>
              </w:rPr>
              <w:t>which</w:t>
            </w:r>
            <w:r w:rsidRPr="00D44877">
              <w:rPr>
                <w:color w:val="000000" w:themeColor="text1"/>
                <w:spacing w:val="-4"/>
              </w:rPr>
              <w:t xml:space="preserve"> </w:t>
            </w:r>
            <w:r w:rsidRPr="00D44877">
              <w:rPr>
                <w:color w:val="000000" w:themeColor="text1"/>
              </w:rPr>
              <w:t>is</w:t>
            </w:r>
            <w:r w:rsidRPr="00D44877">
              <w:rPr>
                <w:color w:val="000000" w:themeColor="text1"/>
                <w:spacing w:val="-3"/>
              </w:rPr>
              <w:t xml:space="preserve"> </w:t>
            </w:r>
            <w:r w:rsidRPr="00D44877">
              <w:rPr>
                <w:color w:val="000000" w:themeColor="text1"/>
              </w:rPr>
              <w:t>subject</w:t>
            </w:r>
            <w:r w:rsidRPr="00D44877">
              <w:rPr>
                <w:color w:val="000000" w:themeColor="text1"/>
                <w:spacing w:val="-3"/>
              </w:rPr>
              <w:t xml:space="preserve"> </w:t>
            </w:r>
            <w:r w:rsidRPr="00D44877">
              <w:rPr>
                <w:color w:val="000000" w:themeColor="text1"/>
              </w:rPr>
              <w:t>to</w:t>
            </w:r>
            <w:r w:rsidRPr="00D44877">
              <w:rPr>
                <w:color w:val="000000" w:themeColor="text1"/>
                <w:spacing w:val="-4"/>
              </w:rPr>
              <w:t xml:space="preserve"> </w:t>
            </w:r>
            <w:r w:rsidRPr="00D44877">
              <w:rPr>
                <w:color w:val="000000" w:themeColor="text1"/>
              </w:rPr>
              <w:t>weather</w:t>
            </w:r>
            <w:r w:rsidRPr="00D44877">
              <w:rPr>
                <w:color w:val="000000" w:themeColor="text1"/>
                <w:spacing w:val="-3"/>
              </w:rPr>
              <w:t xml:space="preserve"> </w:t>
            </w:r>
            <w:r w:rsidRPr="00D44877">
              <w:rPr>
                <w:color w:val="000000" w:themeColor="text1"/>
              </w:rPr>
              <w:t>conditions</w:t>
            </w:r>
            <w:r w:rsidRPr="00D44877">
              <w:rPr>
                <w:color w:val="000000" w:themeColor="text1"/>
                <w:spacing w:val="-3"/>
              </w:rPr>
              <w:t xml:space="preserve"> </w:t>
            </w:r>
            <w:r w:rsidRPr="00D44877">
              <w:rPr>
                <w:color w:val="000000" w:themeColor="text1"/>
              </w:rPr>
              <w:t>and may be for extended periods of time.</w:t>
            </w:r>
          </w:p>
        </w:tc>
      </w:tr>
      <w:tr w:rsidR="00D44877" w14:paraId="3DF78E6F" w14:textId="77777777" w:rsidTr="00D44877">
        <w:trPr>
          <w:trHeight w:val="85"/>
        </w:trPr>
        <w:tc>
          <w:tcPr>
            <w:tcW w:w="1029" w:type="pct"/>
            <w:tcBorders>
              <w:top w:val="single" w:sz="4" w:space="0" w:color="5F6369" w:themeColor="text2"/>
              <w:left w:val="nil"/>
              <w:bottom w:val="single" w:sz="4" w:space="0" w:color="5F6369" w:themeColor="text2"/>
              <w:right w:val="nil"/>
            </w:tcBorders>
          </w:tcPr>
          <w:p w14:paraId="0172E669" w14:textId="77777777" w:rsidR="00D44877" w:rsidRPr="00D4309F" w:rsidRDefault="00D44877">
            <w:pPr>
              <w:pStyle w:val="Table-Heading"/>
            </w:pPr>
            <w:r>
              <w:t>Cost</w:t>
            </w:r>
          </w:p>
        </w:tc>
        <w:tc>
          <w:tcPr>
            <w:tcW w:w="3971" w:type="pct"/>
            <w:tcBorders>
              <w:top w:val="single" w:sz="4" w:space="0" w:color="5F6369" w:themeColor="text2"/>
              <w:left w:val="nil"/>
              <w:bottom w:val="single" w:sz="4" w:space="0" w:color="5F6369" w:themeColor="text2"/>
              <w:right w:val="nil"/>
            </w:tcBorders>
          </w:tcPr>
          <w:p w14:paraId="2FFDFD9F" w14:textId="2BFBA63F" w:rsidR="00D44877" w:rsidRPr="00D44877" w:rsidRDefault="00D44877" w:rsidP="00D44877">
            <w:pPr>
              <w:pStyle w:val="Table-Bullet"/>
              <w:rPr>
                <w:color w:val="000000" w:themeColor="text1"/>
                <w:lang w:val="en-GB"/>
              </w:rPr>
            </w:pPr>
            <w:r w:rsidRPr="00D44877">
              <w:rPr>
                <w:color w:val="000000" w:themeColor="text1"/>
              </w:rPr>
              <w:t>Very</w:t>
            </w:r>
            <w:r w:rsidRPr="00D44877">
              <w:rPr>
                <w:color w:val="000000" w:themeColor="text1"/>
                <w:spacing w:val="-3"/>
              </w:rPr>
              <w:t xml:space="preserve"> </w:t>
            </w:r>
            <w:r w:rsidRPr="00D44877">
              <w:rPr>
                <w:color w:val="000000" w:themeColor="text1"/>
              </w:rPr>
              <w:t>high</w:t>
            </w:r>
            <w:r w:rsidRPr="00D44877">
              <w:rPr>
                <w:color w:val="000000" w:themeColor="text1"/>
                <w:spacing w:val="-2"/>
              </w:rPr>
              <w:t xml:space="preserve"> </w:t>
            </w:r>
            <w:r w:rsidRPr="00D44877">
              <w:rPr>
                <w:color w:val="000000" w:themeColor="text1"/>
                <w:spacing w:val="-4"/>
              </w:rPr>
              <w:t>cost</w:t>
            </w:r>
          </w:p>
        </w:tc>
      </w:tr>
    </w:tbl>
    <w:p w14:paraId="60111254" w14:textId="77777777" w:rsidR="00D44877" w:rsidRPr="00D4309F" w:rsidRDefault="00D44877" w:rsidP="00725977">
      <w:pPr>
        <w:pStyle w:val="BodyText"/>
      </w:pPr>
    </w:p>
    <w:p w14:paraId="5F0D5CC0" w14:textId="77777777" w:rsidR="00725977" w:rsidRPr="00D4309F" w:rsidRDefault="00725977" w:rsidP="004426B8">
      <w:pPr>
        <w:pStyle w:val="Heading3"/>
      </w:pPr>
      <w:bookmarkStart w:id="142" w:name="_Toc216699341"/>
      <w:r w:rsidRPr="00D4309F">
        <w:t>Trailer</w:t>
      </w:r>
      <w:r w:rsidRPr="00D4309F">
        <w:rPr>
          <w:spacing w:val="-5"/>
        </w:rPr>
        <w:t xml:space="preserve"> </w:t>
      </w:r>
      <w:r w:rsidRPr="00D4309F">
        <w:t>Suction</w:t>
      </w:r>
      <w:r w:rsidRPr="00D4309F">
        <w:rPr>
          <w:spacing w:val="-4"/>
        </w:rPr>
        <w:t xml:space="preserve"> </w:t>
      </w:r>
      <w:r w:rsidRPr="00D4309F">
        <w:t>Hopper</w:t>
      </w:r>
      <w:r w:rsidRPr="00D4309F">
        <w:rPr>
          <w:spacing w:val="-4"/>
        </w:rPr>
        <w:t xml:space="preserve"> </w:t>
      </w:r>
      <w:r w:rsidRPr="00D4309F">
        <w:t>Dredger</w:t>
      </w:r>
      <w:r w:rsidRPr="00D4309F">
        <w:rPr>
          <w:spacing w:val="-4"/>
        </w:rPr>
        <w:t xml:space="preserve"> </w:t>
      </w:r>
      <w:r w:rsidRPr="00D4309F">
        <w:rPr>
          <w:spacing w:val="-2"/>
        </w:rPr>
        <w:t>(TSHD)</w:t>
      </w:r>
      <w:bookmarkEnd w:id="142"/>
    </w:p>
    <w:p w14:paraId="1EAC13FC" w14:textId="77777777" w:rsidR="00725977" w:rsidRPr="00D4309F" w:rsidRDefault="00725977" w:rsidP="00725977">
      <w:pPr>
        <w:pStyle w:val="BodyText"/>
      </w:pPr>
      <w:r w:rsidRPr="00D4309F">
        <w:t>This option involves the use of a trailing suction hopper dredger (TSHD) to undertake the dredging works instead</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existing</w:t>
      </w:r>
      <w:r w:rsidRPr="00D4309F">
        <w:rPr>
          <w:spacing w:val="-3"/>
        </w:rPr>
        <w:t xml:space="preserve"> </w:t>
      </w:r>
      <w:r w:rsidRPr="00D4309F">
        <w:t>cutter</w:t>
      </w:r>
      <w:r w:rsidRPr="00D4309F">
        <w:rPr>
          <w:spacing w:val="-2"/>
        </w:rPr>
        <w:t xml:space="preserve"> </w:t>
      </w:r>
      <w:r w:rsidRPr="00D4309F">
        <w:t>suction</w:t>
      </w:r>
      <w:r w:rsidRPr="00D4309F">
        <w:rPr>
          <w:spacing w:val="-3"/>
        </w:rPr>
        <w:t xml:space="preserve"> </w:t>
      </w:r>
      <w:r w:rsidRPr="00D4309F">
        <w:t>dredger.</w:t>
      </w:r>
      <w:r w:rsidRPr="00D4309F">
        <w:rPr>
          <w:spacing w:val="-3"/>
        </w:rPr>
        <w:t xml:space="preserve"> </w:t>
      </w:r>
      <w:r w:rsidRPr="00D4309F">
        <w:t>Dredged</w:t>
      </w:r>
      <w:r w:rsidRPr="00D4309F">
        <w:rPr>
          <w:spacing w:val="-4"/>
        </w:rPr>
        <w:t xml:space="preserve"> </w:t>
      </w:r>
      <w:r w:rsidRPr="00D4309F">
        <w:t>sediments</w:t>
      </w:r>
      <w:r w:rsidRPr="00D4309F">
        <w:rPr>
          <w:spacing w:val="-3"/>
        </w:rPr>
        <w:t xml:space="preserve"> </w:t>
      </w:r>
      <w:r w:rsidRPr="00D4309F">
        <w:t>would</w:t>
      </w:r>
      <w:r w:rsidRPr="00D4309F">
        <w:rPr>
          <w:spacing w:val="-3"/>
        </w:rPr>
        <w:t xml:space="preserve"> </w:t>
      </w:r>
      <w:r w:rsidRPr="00D4309F">
        <w:t>be</w:t>
      </w:r>
      <w:r w:rsidRPr="00D4309F">
        <w:rPr>
          <w:spacing w:val="-3"/>
        </w:rPr>
        <w:t xml:space="preserve"> </w:t>
      </w:r>
      <w:r w:rsidRPr="00D4309F">
        <w:t>placed</w:t>
      </w:r>
      <w:r w:rsidRPr="00D4309F">
        <w:rPr>
          <w:spacing w:val="-4"/>
        </w:rPr>
        <w:t xml:space="preserve"> </w:t>
      </w:r>
      <w:r w:rsidRPr="00D4309F">
        <w:t>offshore</w:t>
      </w:r>
      <w:r w:rsidRPr="00D4309F">
        <w:rPr>
          <w:spacing w:val="-3"/>
        </w:rPr>
        <w:t xml:space="preserve"> </w:t>
      </w:r>
      <w:r w:rsidRPr="00D4309F">
        <w:t>of</w:t>
      </w:r>
      <w:r w:rsidRPr="00D4309F">
        <w:rPr>
          <w:spacing w:val="-3"/>
        </w:rPr>
        <w:t xml:space="preserve"> </w:t>
      </w:r>
      <w:r w:rsidRPr="00D4309F">
        <w:t>Mooloolaba Beach or suitable alternate location.</w:t>
      </w:r>
    </w:p>
    <w:p w14:paraId="4A87630B" w14:textId="77777777" w:rsidR="00725977" w:rsidRPr="00D4309F" w:rsidRDefault="00725977" w:rsidP="00725977">
      <w:pPr>
        <w:pStyle w:val="BodyText"/>
      </w:pPr>
      <w:r w:rsidRPr="00D4309F">
        <w:t>Expectation</w:t>
      </w:r>
      <w:r w:rsidRPr="00D4309F">
        <w:rPr>
          <w:spacing w:val="-3"/>
        </w:rPr>
        <w:t xml:space="preserve"> </w:t>
      </w:r>
      <w:r w:rsidRPr="00D4309F">
        <w:t>is</w:t>
      </w:r>
      <w:r w:rsidRPr="00D4309F">
        <w:rPr>
          <w:spacing w:val="-2"/>
        </w:rPr>
        <w:t xml:space="preserve"> </w:t>
      </w:r>
      <w:r w:rsidRPr="00D4309F">
        <w:t>that</w:t>
      </w:r>
      <w:r w:rsidRPr="00D4309F">
        <w:rPr>
          <w:spacing w:val="-3"/>
        </w:rPr>
        <w:t xml:space="preserve"> </w:t>
      </w:r>
      <w:r w:rsidRPr="00D4309F">
        <w:t>the</w:t>
      </w:r>
      <w:r w:rsidRPr="00D4309F">
        <w:rPr>
          <w:spacing w:val="-3"/>
        </w:rPr>
        <w:t xml:space="preserve"> </w:t>
      </w:r>
      <w:r w:rsidRPr="00D4309F">
        <w:t>TSHD</w:t>
      </w:r>
      <w:r w:rsidRPr="00D4309F">
        <w:rPr>
          <w:spacing w:val="-4"/>
        </w:rPr>
        <w:t xml:space="preserve"> </w:t>
      </w:r>
      <w:r w:rsidRPr="00D4309F">
        <w:t>could</w:t>
      </w:r>
      <w:r w:rsidRPr="00D4309F">
        <w:rPr>
          <w:spacing w:val="-3"/>
        </w:rPr>
        <w:t xml:space="preserve"> </w:t>
      </w:r>
      <w:r w:rsidRPr="00D4309F">
        <w:t>operate</w:t>
      </w:r>
      <w:r w:rsidRPr="00D4309F">
        <w:rPr>
          <w:spacing w:val="-3"/>
        </w:rPr>
        <w:t xml:space="preserve"> </w:t>
      </w:r>
      <w:r w:rsidRPr="00D4309F">
        <w:t>in</w:t>
      </w:r>
      <w:r w:rsidRPr="00D4309F">
        <w:rPr>
          <w:spacing w:val="-3"/>
        </w:rPr>
        <w:t xml:space="preserve"> </w:t>
      </w:r>
      <w:r w:rsidRPr="00D4309F">
        <w:t>a</w:t>
      </w:r>
      <w:r w:rsidRPr="00D4309F">
        <w:rPr>
          <w:spacing w:val="-3"/>
        </w:rPr>
        <w:t xml:space="preserve"> </w:t>
      </w:r>
      <w:r w:rsidRPr="00D4309F">
        <w:t>wider</w:t>
      </w:r>
      <w:r w:rsidRPr="00D4309F">
        <w:rPr>
          <w:spacing w:val="-2"/>
        </w:rPr>
        <w:t xml:space="preserve"> </w:t>
      </w:r>
      <w:r w:rsidRPr="00D4309F">
        <w:t>range</w:t>
      </w:r>
      <w:r w:rsidRPr="00D4309F">
        <w:rPr>
          <w:spacing w:val="-3"/>
        </w:rPr>
        <w:t xml:space="preserve"> </w:t>
      </w:r>
      <w:r w:rsidRPr="00D4309F">
        <w:t>of</w:t>
      </w:r>
      <w:r w:rsidRPr="00D4309F">
        <w:rPr>
          <w:spacing w:val="-3"/>
        </w:rPr>
        <w:t xml:space="preserve"> </w:t>
      </w:r>
      <w:r w:rsidRPr="00D4309F">
        <w:t>marine</w:t>
      </w:r>
      <w:r w:rsidRPr="00D4309F">
        <w:rPr>
          <w:spacing w:val="-3"/>
        </w:rPr>
        <w:t xml:space="preserve"> </w:t>
      </w:r>
      <w:r w:rsidRPr="00D4309F">
        <w:t>conditions,</w:t>
      </w:r>
      <w:r w:rsidRPr="00D4309F">
        <w:rPr>
          <w:spacing w:val="-3"/>
        </w:rPr>
        <w:t xml:space="preserve"> </w:t>
      </w:r>
      <w:r w:rsidRPr="00D4309F">
        <w:t>improving</w:t>
      </w:r>
      <w:r w:rsidRPr="00D4309F">
        <w:rPr>
          <w:spacing w:val="-3"/>
        </w:rPr>
        <w:t xml:space="preserve"> </w:t>
      </w:r>
      <w:r w:rsidRPr="00D4309F">
        <w:t>the</w:t>
      </w:r>
      <w:r w:rsidRPr="00D4309F">
        <w:rPr>
          <w:spacing w:val="-3"/>
        </w:rPr>
        <w:t xml:space="preserve"> </w:t>
      </w:r>
      <w:r w:rsidRPr="00D4309F">
        <w:t>ability</w:t>
      </w:r>
      <w:r w:rsidRPr="00D4309F">
        <w:rPr>
          <w:spacing w:val="-2"/>
        </w:rPr>
        <w:t xml:space="preserve"> </w:t>
      </w:r>
      <w:r w:rsidRPr="00D4309F">
        <w:t>to address a sand shoal event. However, while TSHD dredgers may be able to dredge in wave conditions</w:t>
      </w:r>
    </w:p>
    <w:p w14:paraId="46EF7530" w14:textId="77777777" w:rsidR="00725977" w:rsidRPr="00D4309F" w:rsidRDefault="00725977" w:rsidP="00725977">
      <w:pPr>
        <w:pStyle w:val="BodyText"/>
      </w:pPr>
      <w:r w:rsidRPr="00D4309F">
        <w:t>&gt;2.0m,</w:t>
      </w:r>
      <w:r w:rsidRPr="00D4309F">
        <w:rPr>
          <w:spacing w:val="-5"/>
        </w:rPr>
        <w:t xml:space="preserve"> </w:t>
      </w:r>
      <w:r w:rsidRPr="00D4309F">
        <w:t>this</w:t>
      </w:r>
      <w:r w:rsidRPr="00D4309F">
        <w:rPr>
          <w:spacing w:val="-2"/>
        </w:rPr>
        <w:t xml:space="preserve"> </w:t>
      </w:r>
      <w:r w:rsidRPr="00D4309F">
        <w:t>is</w:t>
      </w:r>
      <w:r w:rsidRPr="00D4309F">
        <w:rPr>
          <w:spacing w:val="-3"/>
        </w:rPr>
        <w:t xml:space="preserve"> </w:t>
      </w:r>
      <w:r w:rsidRPr="00D4309F">
        <w:t>likely</w:t>
      </w:r>
      <w:r w:rsidRPr="00D4309F">
        <w:rPr>
          <w:spacing w:val="-1"/>
        </w:rPr>
        <w:t xml:space="preserve"> </w:t>
      </w:r>
      <w:r w:rsidRPr="00D4309F">
        <w:t>of</w:t>
      </w:r>
      <w:r w:rsidRPr="00D4309F">
        <w:rPr>
          <w:spacing w:val="-3"/>
        </w:rPr>
        <w:t xml:space="preserve"> </w:t>
      </w:r>
      <w:r w:rsidRPr="00D4309F">
        <w:t>minimal</w:t>
      </w:r>
      <w:r w:rsidRPr="00D4309F">
        <w:rPr>
          <w:spacing w:val="-3"/>
        </w:rPr>
        <w:t xml:space="preserve"> </w:t>
      </w:r>
      <w:r w:rsidRPr="00D4309F">
        <w:t>benefit</w:t>
      </w:r>
      <w:r w:rsidRPr="00D4309F">
        <w:rPr>
          <w:spacing w:val="-3"/>
        </w:rPr>
        <w:t xml:space="preserve"> </w:t>
      </w:r>
      <w:r w:rsidRPr="00D4309F">
        <w:t>given</w:t>
      </w:r>
      <w:r w:rsidRPr="00D4309F">
        <w:rPr>
          <w:spacing w:val="-2"/>
        </w:rPr>
        <w:t xml:space="preserve"> </w:t>
      </w:r>
      <w:r w:rsidRPr="00D4309F">
        <w:t>the</w:t>
      </w:r>
      <w:r w:rsidRPr="00D4309F">
        <w:rPr>
          <w:spacing w:val="-3"/>
        </w:rPr>
        <w:t xml:space="preserve"> </w:t>
      </w:r>
      <w:r w:rsidRPr="00D4309F">
        <w:t>high</w:t>
      </w:r>
      <w:r w:rsidRPr="00D4309F">
        <w:rPr>
          <w:spacing w:val="-3"/>
        </w:rPr>
        <w:t xml:space="preserve"> </w:t>
      </w:r>
      <w:r w:rsidRPr="00D4309F">
        <w:t>risk</w:t>
      </w:r>
      <w:r w:rsidRPr="00D4309F">
        <w:rPr>
          <w:spacing w:val="-2"/>
        </w:rPr>
        <w:t xml:space="preserve"> </w:t>
      </w:r>
      <w:r w:rsidRPr="00D4309F">
        <w:t>at</w:t>
      </w:r>
      <w:r w:rsidRPr="00D4309F">
        <w:rPr>
          <w:spacing w:val="-2"/>
        </w:rPr>
        <w:t xml:space="preserve"> </w:t>
      </w:r>
      <w:r w:rsidRPr="00D4309F">
        <w:t>the</w:t>
      </w:r>
      <w:r w:rsidRPr="00D4309F">
        <w:rPr>
          <w:spacing w:val="-3"/>
        </w:rPr>
        <w:t xml:space="preserve"> </w:t>
      </w:r>
      <w:r w:rsidRPr="00D4309F">
        <w:t>site</w:t>
      </w:r>
      <w:r w:rsidRPr="00D4309F">
        <w:rPr>
          <w:spacing w:val="-4"/>
        </w:rPr>
        <w:t xml:space="preserve"> </w:t>
      </w:r>
      <w:r w:rsidRPr="00D4309F">
        <w:t>due</w:t>
      </w:r>
      <w:r w:rsidRPr="00D4309F">
        <w:rPr>
          <w:spacing w:val="-2"/>
        </w:rPr>
        <w:t xml:space="preserve"> </w:t>
      </w:r>
      <w:r w:rsidRPr="00D4309F">
        <w:rPr>
          <w:spacing w:val="-5"/>
        </w:rPr>
        <w:t>to:</w:t>
      </w:r>
    </w:p>
    <w:p w14:paraId="6B6F8442" w14:textId="77777777" w:rsidR="00725977" w:rsidRPr="00D4309F" w:rsidRDefault="00725977" w:rsidP="00D27F26">
      <w:pPr>
        <w:pStyle w:val="ListParagraph"/>
        <w:widowControl w:val="0"/>
        <w:numPr>
          <w:ilvl w:val="0"/>
          <w:numId w:val="476"/>
        </w:numPr>
        <w:tabs>
          <w:tab w:val="left" w:pos="928"/>
        </w:tabs>
        <w:autoSpaceDE w:val="0"/>
        <w:autoSpaceDN w:val="0"/>
        <w:spacing w:before="119" w:after="0" w:line="240" w:lineRule="auto"/>
        <w:ind w:left="928"/>
        <w:contextualSpacing w:val="0"/>
      </w:pPr>
      <w:r w:rsidRPr="00D4309F">
        <w:rPr>
          <w:color w:val="211E1F"/>
        </w:rPr>
        <w:t>The</w:t>
      </w:r>
      <w:r w:rsidRPr="00D4309F">
        <w:rPr>
          <w:color w:val="211E1F"/>
          <w:spacing w:val="-6"/>
        </w:rPr>
        <w:t xml:space="preserve"> </w:t>
      </w:r>
      <w:r w:rsidRPr="00D4309F">
        <w:rPr>
          <w:color w:val="211E1F"/>
        </w:rPr>
        <w:t>inherently</w:t>
      </w:r>
      <w:r w:rsidRPr="00D4309F">
        <w:rPr>
          <w:color w:val="211E1F"/>
          <w:spacing w:val="-2"/>
        </w:rPr>
        <w:t xml:space="preserve"> </w:t>
      </w:r>
      <w:r w:rsidRPr="00D4309F">
        <w:rPr>
          <w:color w:val="211E1F"/>
        </w:rPr>
        <w:t>shallow</w:t>
      </w:r>
      <w:r w:rsidRPr="00D4309F">
        <w:rPr>
          <w:color w:val="211E1F"/>
          <w:spacing w:val="-2"/>
        </w:rPr>
        <w:t xml:space="preserve"> </w:t>
      </w:r>
      <w:r w:rsidRPr="00D4309F">
        <w:rPr>
          <w:color w:val="211E1F"/>
        </w:rPr>
        <w:t>depth</w:t>
      </w:r>
      <w:r w:rsidRPr="00D4309F">
        <w:rPr>
          <w:color w:val="211E1F"/>
          <w:spacing w:val="-4"/>
        </w:rPr>
        <w:t xml:space="preserve"> </w:t>
      </w:r>
      <w:r w:rsidRPr="00D4309F">
        <w:rPr>
          <w:color w:val="211E1F"/>
        </w:rPr>
        <w:t>of</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dredge</w:t>
      </w:r>
      <w:r w:rsidRPr="00D4309F">
        <w:rPr>
          <w:color w:val="211E1F"/>
          <w:spacing w:val="-3"/>
        </w:rPr>
        <w:t xml:space="preserve"> </w:t>
      </w:r>
      <w:r w:rsidRPr="00D4309F">
        <w:rPr>
          <w:color w:val="211E1F"/>
        </w:rPr>
        <w:t>area</w:t>
      </w:r>
      <w:r w:rsidRPr="00D4309F">
        <w:rPr>
          <w:color w:val="211E1F"/>
          <w:spacing w:val="-4"/>
        </w:rPr>
        <w:t xml:space="preserve"> </w:t>
      </w:r>
      <w:r w:rsidRPr="00D4309F">
        <w:rPr>
          <w:color w:val="211E1F"/>
        </w:rPr>
        <w:t>being</w:t>
      </w:r>
      <w:r w:rsidRPr="00D4309F">
        <w:rPr>
          <w:color w:val="211E1F"/>
          <w:spacing w:val="-4"/>
        </w:rPr>
        <w:t xml:space="preserve"> </w:t>
      </w:r>
      <w:r w:rsidRPr="00D4309F">
        <w:rPr>
          <w:color w:val="211E1F"/>
        </w:rPr>
        <w:t>the</w:t>
      </w:r>
      <w:r w:rsidRPr="00D4309F">
        <w:rPr>
          <w:color w:val="211E1F"/>
          <w:spacing w:val="-3"/>
        </w:rPr>
        <w:t xml:space="preserve"> </w:t>
      </w:r>
      <w:r w:rsidRPr="00D4309F">
        <w:rPr>
          <w:color w:val="211E1F"/>
        </w:rPr>
        <w:t>sand</w:t>
      </w:r>
      <w:r w:rsidRPr="00D4309F">
        <w:rPr>
          <w:color w:val="211E1F"/>
          <w:spacing w:val="-4"/>
        </w:rPr>
        <w:t xml:space="preserve"> </w:t>
      </w:r>
      <w:r w:rsidRPr="00D4309F">
        <w:rPr>
          <w:color w:val="211E1F"/>
          <w:spacing w:val="-2"/>
        </w:rPr>
        <w:t>shoal.</w:t>
      </w:r>
    </w:p>
    <w:p w14:paraId="3031BF4E" w14:textId="77777777" w:rsidR="00725977" w:rsidRPr="00D4309F" w:rsidRDefault="00725977" w:rsidP="00D27F26">
      <w:pPr>
        <w:pStyle w:val="ListParagraph"/>
        <w:widowControl w:val="0"/>
        <w:numPr>
          <w:ilvl w:val="0"/>
          <w:numId w:val="476"/>
        </w:numPr>
        <w:tabs>
          <w:tab w:val="left" w:pos="927"/>
        </w:tabs>
        <w:autoSpaceDE w:val="0"/>
        <w:autoSpaceDN w:val="0"/>
        <w:spacing w:before="118" w:after="0" w:line="240" w:lineRule="auto"/>
        <w:ind w:hanging="359"/>
        <w:contextualSpacing w:val="0"/>
      </w:pPr>
      <w:r w:rsidRPr="00D4309F">
        <w:rPr>
          <w:color w:val="211E1F"/>
        </w:rPr>
        <w:t>Likelihood</w:t>
      </w:r>
      <w:r w:rsidRPr="00D4309F">
        <w:rPr>
          <w:color w:val="211E1F"/>
          <w:spacing w:val="-6"/>
        </w:rPr>
        <w:t xml:space="preserve"> </w:t>
      </w:r>
      <w:r w:rsidRPr="00D4309F">
        <w:rPr>
          <w:color w:val="211E1F"/>
        </w:rPr>
        <w:t>of</w:t>
      </w:r>
      <w:r w:rsidRPr="00D4309F">
        <w:rPr>
          <w:color w:val="211E1F"/>
          <w:spacing w:val="-6"/>
        </w:rPr>
        <w:t xml:space="preserve"> </w:t>
      </w:r>
      <w:r w:rsidRPr="00D4309F">
        <w:rPr>
          <w:color w:val="211E1F"/>
        </w:rPr>
        <w:t>wave</w:t>
      </w:r>
      <w:r w:rsidRPr="00D4309F">
        <w:rPr>
          <w:color w:val="211E1F"/>
          <w:spacing w:val="-3"/>
        </w:rPr>
        <w:t xml:space="preserve"> </w:t>
      </w:r>
      <w:r w:rsidRPr="00D4309F">
        <w:rPr>
          <w:color w:val="211E1F"/>
        </w:rPr>
        <w:t>shoaling</w:t>
      </w:r>
      <w:r w:rsidRPr="00D4309F">
        <w:rPr>
          <w:color w:val="211E1F"/>
          <w:spacing w:val="-4"/>
        </w:rPr>
        <w:t xml:space="preserve"> </w:t>
      </w:r>
      <w:r w:rsidRPr="00D4309F">
        <w:rPr>
          <w:color w:val="211E1F"/>
        </w:rPr>
        <w:t>or</w:t>
      </w:r>
      <w:r w:rsidRPr="00D4309F">
        <w:rPr>
          <w:color w:val="211E1F"/>
          <w:spacing w:val="-2"/>
        </w:rPr>
        <w:t xml:space="preserve"> </w:t>
      </w:r>
      <w:r w:rsidRPr="00D4309F">
        <w:rPr>
          <w:color w:val="211E1F"/>
        </w:rPr>
        <w:t>wave</w:t>
      </w:r>
      <w:r w:rsidRPr="00D4309F">
        <w:rPr>
          <w:color w:val="211E1F"/>
          <w:spacing w:val="-4"/>
        </w:rPr>
        <w:t xml:space="preserve"> </w:t>
      </w:r>
      <w:r w:rsidRPr="00D4309F">
        <w:rPr>
          <w:color w:val="211E1F"/>
        </w:rPr>
        <w:t>breaking</w:t>
      </w:r>
      <w:r w:rsidRPr="00D4309F">
        <w:rPr>
          <w:color w:val="211E1F"/>
          <w:spacing w:val="-4"/>
        </w:rPr>
        <w:t xml:space="preserve"> </w:t>
      </w:r>
      <w:r w:rsidRPr="00D4309F">
        <w:rPr>
          <w:color w:val="211E1F"/>
        </w:rPr>
        <w:t>over</w:t>
      </w:r>
      <w:r w:rsidRPr="00D4309F">
        <w:rPr>
          <w:color w:val="211E1F"/>
          <w:spacing w:val="-2"/>
        </w:rPr>
        <w:t xml:space="preserve"> </w:t>
      </w:r>
      <w:r w:rsidRPr="00D4309F">
        <w:rPr>
          <w:color w:val="211E1F"/>
        </w:rPr>
        <w:t>the</w:t>
      </w:r>
      <w:r w:rsidRPr="00D4309F">
        <w:rPr>
          <w:color w:val="211E1F"/>
          <w:spacing w:val="-4"/>
        </w:rPr>
        <w:t xml:space="preserve"> </w:t>
      </w:r>
      <w:r w:rsidRPr="00D4309F">
        <w:rPr>
          <w:color w:val="211E1F"/>
        </w:rPr>
        <w:t>sand</w:t>
      </w:r>
      <w:r w:rsidRPr="00D4309F">
        <w:rPr>
          <w:color w:val="211E1F"/>
          <w:spacing w:val="-3"/>
        </w:rPr>
        <w:t xml:space="preserve"> </w:t>
      </w:r>
      <w:r w:rsidRPr="00D4309F">
        <w:rPr>
          <w:color w:val="211E1F"/>
          <w:spacing w:val="-2"/>
        </w:rPr>
        <w:t>shoal.</w:t>
      </w:r>
    </w:p>
    <w:p w14:paraId="7F84D964" w14:textId="77777777" w:rsidR="00725977" w:rsidRPr="00D4309F" w:rsidRDefault="00725977" w:rsidP="00D27F26">
      <w:pPr>
        <w:pStyle w:val="ListParagraph"/>
        <w:widowControl w:val="0"/>
        <w:numPr>
          <w:ilvl w:val="0"/>
          <w:numId w:val="476"/>
        </w:numPr>
        <w:tabs>
          <w:tab w:val="left" w:pos="927"/>
        </w:tabs>
        <w:autoSpaceDE w:val="0"/>
        <w:autoSpaceDN w:val="0"/>
        <w:spacing w:before="119" w:after="0" w:line="240" w:lineRule="auto"/>
        <w:contextualSpacing w:val="0"/>
      </w:pPr>
      <w:r w:rsidRPr="00D4309F">
        <w:rPr>
          <w:color w:val="211E1F"/>
        </w:rPr>
        <w:t>Shallow</w:t>
      </w:r>
      <w:r w:rsidRPr="00D4309F">
        <w:rPr>
          <w:color w:val="211E1F"/>
          <w:spacing w:val="-5"/>
        </w:rPr>
        <w:t xml:space="preserve"> </w:t>
      </w:r>
      <w:r w:rsidRPr="00D4309F">
        <w:rPr>
          <w:color w:val="211E1F"/>
        </w:rPr>
        <w:t>depth</w:t>
      </w:r>
      <w:r w:rsidRPr="00D4309F">
        <w:rPr>
          <w:color w:val="211E1F"/>
          <w:spacing w:val="-4"/>
        </w:rPr>
        <w:t xml:space="preserve"> </w:t>
      </w:r>
      <w:r w:rsidRPr="00D4309F">
        <w:rPr>
          <w:color w:val="211E1F"/>
        </w:rPr>
        <w:t>of</w:t>
      </w:r>
      <w:r w:rsidRPr="00D4309F">
        <w:rPr>
          <w:color w:val="211E1F"/>
          <w:spacing w:val="-4"/>
        </w:rPr>
        <w:t xml:space="preserve"> </w:t>
      </w:r>
      <w:r w:rsidRPr="00D4309F">
        <w:rPr>
          <w:color w:val="211E1F"/>
        </w:rPr>
        <w:t>the</w:t>
      </w:r>
      <w:r w:rsidRPr="00D4309F">
        <w:rPr>
          <w:color w:val="211E1F"/>
          <w:spacing w:val="-4"/>
        </w:rPr>
        <w:t xml:space="preserve"> </w:t>
      </w:r>
      <w:r w:rsidRPr="00D4309F">
        <w:rPr>
          <w:color w:val="211E1F"/>
        </w:rPr>
        <w:t>underlying</w:t>
      </w:r>
      <w:r w:rsidRPr="00D4309F">
        <w:rPr>
          <w:color w:val="211E1F"/>
          <w:spacing w:val="-4"/>
        </w:rPr>
        <w:t xml:space="preserve"> </w:t>
      </w:r>
      <w:r w:rsidRPr="00D4309F">
        <w:rPr>
          <w:color w:val="211E1F"/>
        </w:rPr>
        <w:t>rock</w:t>
      </w:r>
      <w:r w:rsidRPr="00D4309F">
        <w:rPr>
          <w:color w:val="211E1F"/>
          <w:spacing w:val="-2"/>
        </w:rPr>
        <w:t xml:space="preserve"> layer.</w:t>
      </w:r>
    </w:p>
    <w:p w14:paraId="2694CB2A" w14:textId="77777777" w:rsidR="00725977" w:rsidRPr="00F06E88" w:rsidRDefault="00725977" w:rsidP="00D27F26">
      <w:pPr>
        <w:pStyle w:val="ListParagraph"/>
        <w:widowControl w:val="0"/>
        <w:numPr>
          <w:ilvl w:val="0"/>
          <w:numId w:val="476"/>
        </w:numPr>
        <w:tabs>
          <w:tab w:val="left" w:pos="927"/>
        </w:tabs>
        <w:autoSpaceDE w:val="0"/>
        <w:autoSpaceDN w:val="0"/>
        <w:spacing w:before="118" w:after="0" w:line="240" w:lineRule="auto"/>
        <w:ind w:right="1294"/>
        <w:contextualSpacing w:val="0"/>
      </w:pPr>
      <w:r w:rsidRPr="00D4309F">
        <w:rPr>
          <w:color w:val="211E1F"/>
        </w:rPr>
        <w:t>Despite</w:t>
      </w:r>
      <w:r w:rsidRPr="00D4309F">
        <w:rPr>
          <w:color w:val="211E1F"/>
          <w:spacing w:val="-3"/>
        </w:rPr>
        <w:t xml:space="preserve"> </w:t>
      </w:r>
      <w:r w:rsidRPr="00D4309F">
        <w:rPr>
          <w:color w:val="211E1F"/>
        </w:rPr>
        <w:t>this,</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use</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TSHDs</w:t>
      </w:r>
      <w:r w:rsidRPr="00D4309F">
        <w:rPr>
          <w:color w:val="211E1F"/>
          <w:spacing w:val="-2"/>
        </w:rPr>
        <w:t xml:space="preserve"> </w:t>
      </w:r>
      <w:r w:rsidRPr="00D4309F">
        <w:rPr>
          <w:color w:val="211E1F"/>
        </w:rPr>
        <w:t>at</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site</w:t>
      </w:r>
      <w:r w:rsidRPr="00D4309F">
        <w:rPr>
          <w:color w:val="211E1F"/>
          <w:spacing w:val="-3"/>
        </w:rPr>
        <w:t xml:space="preserve"> </w:t>
      </w:r>
      <w:r w:rsidRPr="00D4309F">
        <w:rPr>
          <w:color w:val="211E1F"/>
        </w:rPr>
        <w:t>remains</w:t>
      </w:r>
      <w:r w:rsidRPr="00D4309F">
        <w:rPr>
          <w:color w:val="211E1F"/>
          <w:spacing w:val="-2"/>
        </w:rPr>
        <w:t xml:space="preserve"> </w:t>
      </w:r>
      <w:r w:rsidRPr="00D4309F">
        <w:rPr>
          <w:color w:val="211E1F"/>
        </w:rPr>
        <w:t>an</w:t>
      </w:r>
      <w:r w:rsidRPr="00D4309F">
        <w:rPr>
          <w:color w:val="211E1F"/>
          <w:spacing w:val="-3"/>
        </w:rPr>
        <w:t xml:space="preserve"> </w:t>
      </w:r>
      <w:r w:rsidRPr="00D4309F">
        <w:rPr>
          <w:color w:val="211E1F"/>
        </w:rPr>
        <w:t>effective</w:t>
      </w:r>
      <w:r w:rsidRPr="00D4309F">
        <w:rPr>
          <w:color w:val="211E1F"/>
          <w:spacing w:val="-3"/>
        </w:rPr>
        <w:t xml:space="preserve"> </w:t>
      </w:r>
      <w:r w:rsidRPr="00D4309F">
        <w:rPr>
          <w:color w:val="211E1F"/>
        </w:rPr>
        <w:t>alternative</w:t>
      </w:r>
      <w:r w:rsidRPr="00D4309F">
        <w:rPr>
          <w:color w:val="211E1F"/>
          <w:spacing w:val="-3"/>
        </w:rPr>
        <w:t xml:space="preserve"> </w:t>
      </w:r>
      <w:r w:rsidRPr="00D4309F">
        <w:rPr>
          <w:color w:val="211E1F"/>
        </w:rPr>
        <w:t>option</w:t>
      </w:r>
      <w:r w:rsidRPr="00D4309F">
        <w:rPr>
          <w:color w:val="211E1F"/>
          <w:spacing w:val="-4"/>
        </w:rPr>
        <w:t xml:space="preserve"> </w:t>
      </w:r>
      <w:r w:rsidRPr="00D4309F">
        <w:rPr>
          <w:color w:val="211E1F"/>
        </w:rPr>
        <w:t>to</w:t>
      </w:r>
      <w:r w:rsidRPr="00D4309F">
        <w:rPr>
          <w:color w:val="211E1F"/>
          <w:spacing w:val="-3"/>
        </w:rPr>
        <w:t xml:space="preserve"> </w:t>
      </w:r>
      <w:r w:rsidRPr="00D4309F">
        <w:rPr>
          <w:color w:val="211E1F"/>
        </w:rPr>
        <w:t>cutter</w:t>
      </w:r>
      <w:r w:rsidRPr="00D4309F">
        <w:rPr>
          <w:color w:val="211E1F"/>
          <w:spacing w:val="-2"/>
        </w:rPr>
        <w:t xml:space="preserve"> </w:t>
      </w:r>
      <w:r w:rsidRPr="00D4309F">
        <w:rPr>
          <w:color w:val="211E1F"/>
        </w:rPr>
        <w:t xml:space="preserve">suction </w:t>
      </w:r>
      <w:r w:rsidRPr="00D4309F">
        <w:rPr>
          <w:color w:val="211E1F"/>
          <w:spacing w:val="-2"/>
        </w:rPr>
        <w:t>dredgers.</w:t>
      </w:r>
    </w:p>
    <w:p w14:paraId="3CB213C7" w14:textId="77777777" w:rsidR="00F06E88" w:rsidRPr="00D4309F" w:rsidRDefault="00F06E88" w:rsidP="00D27F26">
      <w:pPr>
        <w:pStyle w:val="ListParagraph"/>
        <w:widowControl w:val="0"/>
        <w:numPr>
          <w:ilvl w:val="0"/>
          <w:numId w:val="476"/>
        </w:numPr>
        <w:tabs>
          <w:tab w:val="left" w:pos="927"/>
        </w:tabs>
        <w:autoSpaceDE w:val="0"/>
        <w:autoSpaceDN w:val="0"/>
        <w:spacing w:before="118" w:after="0" w:line="240" w:lineRule="auto"/>
        <w:ind w:right="1294"/>
        <w:contextualSpacing w:val="0"/>
      </w:pPr>
    </w:p>
    <w:p w14:paraId="229A4BD9" w14:textId="10072FE4" w:rsidR="0053392F" w:rsidRDefault="0053392F" w:rsidP="00151534">
      <w:pPr>
        <w:pStyle w:val="Table-Caption"/>
      </w:pPr>
      <w:bookmarkStart w:id="143" w:name="_bookmark61"/>
      <w:bookmarkStart w:id="144" w:name="_Toc216699542"/>
      <w:bookmarkEnd w:id="143"/>
      <w:r>
        <w:t xml:space="preserve">Table </w:t>
      </w:r>
      <w:r w:rsidR="00151534">
        <w:fldChar w:fldCharType="begin" w:fldLock="1"/>
      </w:r>
      <w:r w:rsidR="00151534">
        <w:instrText xml:space="preserve"> STYLEREF 1 \s </w:instrText>
      </w:r>
      <w:r w:rsidR="00151534">
        <w:fldChar w:fldCharType="separate"/>
      </w:r>
      <w:r w:rsidR="00151534">
        <w:rPr>
          <w:noProof/>
        </w:rPr>
        <w:t>10</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3</w:t>
      </w:r>
      <w:r w:rsidR="00151534">
        <w:fldChar w:fldCharType="end"/>
      </w:r>
      <w:r>
        <w:t>:</w:t>
      </w:r>
      <w:r>
        <w:tab/>
      </w:r>
      <w:r w:rsidRPr="00D4309F">
        <w:rPr>
          <w:color w:val="211E1F"/>
        </w:rPr>
        <w:t>Use</w:t>
      </w:r>
      <w:r w:rsidRPr="00D4309F">
        <w:rPr>
          <w:color w:val="211E1F"/>
          <w:spacing w:val="-1"/>
        </w:rPr>
        <w:t xml:space="preserve"> </w:t>
      </w:r>
      <w:r w:rsidRPr="00D4309F">
        <w:rPr>
          <w:color w:val="211E1F"/>
        </w:rPr>
        <w:t>of</w:t>
      </w:r>
      <w:r w:rsidRPr="00D4309F">
        <w:rPr>
          <w:color w:val="211E1F"/>
          <w:spacing w:val="-2"/>
        </w:rPr>
        <w:t xml:space="preserve"> </w:t>
      </w:r>
      <w:r w:rsidRPr="00D4309F">
        <w:rPr>
          <w:color w:val="211E1F"/>
        </w:rPr>
        <w:t>Trailer</w:t>
      </w:r>
      <w:r w:rsidRPr="00D4309F">
        <w:rPr>
          <w:color w:val="211E1F"/>
          <w:spacing w:val="-3"/>
        </w:rPr>
        <w:t xml:space="preserve"> </w:t>
      </w:r>
      <w:r w:rsidRPr="00D4309F">
        <w:rPr>
          <w:color w:val="211E1F"/>
        </w:rPr>
        <w:t>Suction</w:t>
      </w:r>
      <w:r w:rsidRPr="00D4309F">
        <w:rPr>
          <w:color w:val="211E1F"/>
          <w:spacing w:val="-2"/>
        </w:rPr>
        <w:t xml:space="preserve"> </w:t>
      </w:r>
      <w:r w:rsidRPr="00D4309F">
        <w:rPr>
          <w:color w:val="211E1F"/>
        </w:rPr>
        <w:t>Hopper</w:t>
      </w:r>
      <w:r w:rsidRPr="00D4309F">
        <w:rPr>
          <w:color w:val="211E1F"/>
          <w:spacing w:val="-2"/>
        </w:rPr>
        <w:t xml:space="preserve"> </w:t>
      </w:r>
      <w:r w:rsidRPr="00D4309F">
        <w:rPr>
          <w:color w:val="211E1F"/>
        </w:rPr>
        <w:t>Dredger</w:t>
      </w:r>
      <w:r w:rsidRPr="00D4309F">
        <w:rPr>
          <w:color w:val="211E1F"/>
          <w:spacing w:val="-1"/>
        </w:rPr>
        <w:t xml:space="preserve"> </w:t>
      </w:r>
      <w:r w:rsidRPr="00D4309F">
        <w:rPr>
          <w:color w:val="211E1F"/>
          <w:spacing w:val="-2"/>
        </w:rPr>
        <w:t>(TSHD)</w:t>
      </w:r>
      <w:bookmarkEnd w:id="144"/>
    </w:p>
    <w:tbl>
      <w:tblPr>
        <w:tblStyle w:val="Table1"/>
        <w:tblW w:w="5000" w:type="pct"/>
        <w:tblLook w:val="0620" w:firstRow="1" w:lastRow="0" w:firstColumn="0" w:lastColumn="0" w:noHBand="1" w:noVBand="1"/>
      </w:tblPr>
      <w:tblGrid>
        <w:gridCol w:w="1984"/>
        <w:gridCol w:w="7658"/>
      </w:tblGrid>
      <w:tr w:rsidR="008909E1" w14:paraId="5A06A2EF" w14:textId="77777777">
        <w:trPr>
          <w:cnfStyle w:val="100000000000" w:firstRow="1" w:lastRow="0" w:firstColumn="0" w:lastColumn="0" w:oddVBand="0" w:evenVBand="0" w:oddHBand="0" w:evenHBand="0" w:firstRowFirstColumn="0" w:firstRowLastColumn="0" w:lastRowFirstColumn="0" w:lastRowLastColumn="0"/>
        </w:trPr>
        <w:tc>
          <w:tcPr>
            <w:tcW w:w="1029" w:type="pct"/>
            <w:tcBorders>
              <w:top w:val="single" w:sz="4" w:space="0" w:color="5F6369" w:themeColor="text2"/>
              <w:bottom w:val="single" w:sz="4" w:space="0" w:color="5F6369" w:themeColor="text2"/>
            </w:tcBorders>
            <w:shd w:val="clear" w:color="auto" w:fill="auto"/>
            <w:hideMark/>
          </w:tcPr>
          <w:p w14:paraId="6766298B" w14:textId="77777777" w:rsidR="008909E1" w:rsidRPr="00D44877" w:rsidRDefault="008909E1">
            <w:pPr>
              <w:pStyle w:val="Table-Heading"/>
            </w:pPr>
            <w:r w:rsidRPr="00D44877">
              <w:t>Advantages</w:t>
            </w:r>
          </w:p>
        </w:tc>
        <w:tc>
          <w:tcPr>
            <w:tcW w:w="3971" w:type="pct"/>
            <w:tcBorders>
              <w:top w:val="single" w:sz="4" w:space="0" w:color="5F6369" w:themeColor="text2"/>
              <w:bottom w:val="single" w:sz="4" w:space="0" w:color="5F6369" w:themeColor="text2"/>
            </w:tcBorders>
            <w:shd w:val="clear" w:color="auto" w:fill="auto"/>
          </w:tcPr>
          <w:p w14:paraId="12EAEF26" w14:textId="77777777" w:rsidR="008909E1" w:rsidRPr="008909E1" w:rsidRDefault="008909E1" w:rsidP="008909E1">
            <w:pPr>
              <w:pStyle w:val="Table-Bullet"/>
              <w:rPr>
                <w:color w:val="000000" w:themeColor="text1"/>
              </w:rPr>
            </w:pPr>
            <w:r w:rsidRPr="008909E1">
              <w:rPr>
                <w:color w:val="000000" w:themeColor="text1"/>
              </w:rPr>
              <w:t>Additional</w:t>
            </w:r>
            <w:r w:rsidRPr="008909E1">
              <w:rPr>
                <w:color w:val="000000" w:themeColor="text1"/>
                <w:spacing w:val="-5"/>
              </w:rPr>
              <w:t xml:space="preserve"> </w:t>
            </w:r>
            <w:r w:rsidRPr="008909E1">
              <w:rPr>
                <w:color w:val="000000" w:themeColor="text1"/>
              </w:rPr>
              <w:t>dredging</w:t>
            </w:r>
            <w:r w:rsidRPr="008909E1">
              <w:rPr>
                <w:color w:val="000000" w:themeColor="text1"/>
                <w:spacing w:val="-3"/>
              </w:rPr>
              <w:t xml:space="preserve"> </w:t>
            </w:r>
            <w:r w:rsidRPr="008909E1">
              <w:rPr>
                <w:color w:val="000000" w:themeColor="text1"/>
              </w:rPr>
              <w:t>option</w:t>
            </w:r>
            <w:r w:rsidRPr="008909E1">
              <w:rPr>
                <w:color w:val="000000" w:themeColor="text1"/>
                <w:spacing w:val="-4"/>
              </w:rPr>
              <w:t xml:space="preserve"> </w:t>
            </w:r>
            <w:r w:rsidRPr="008909E1">
              <w:rPr>
                <w:color w:val="000000" w:themeColor="text1"/>
              </w:rPr>
              <w:t>in</w:t>
            </w:r>
            <w:r w:rsidRPr="008909E1">
              <w:rPr>
                <w:color w:val="000000" w:themeColor="text1"/>
                <w:spacing w:val="-3"/>
              </w:rPr>
              <w:t xml:space="preserve"> </w:t>
            </w:r>
            <w:r w:rsidRPr="008909E1">
              <w:rPr>
                <w:color w:val="000000" w:themeColor="text1"/>
              </w:rPr>
              <w:t>the</w:t>
            </w:r>
            <w:r w:rsidRPr="008909E1">
              <w:rPr>
                <w:color w:val="000000" w:themeColor="text1"/>
                <w:spacing w:val="-4"/>
              </w:rPr>
              <w:t xml:space="preserve"> </w:t>
            </w:r>
            <w:r w:rsidRPr="008909E1">
              <w:rPr>
                <w:color w:val="000000" w:themeColor="text1"/>
              </w:rPr>
              <w:t>event</w:t>
            </w:r>
            <w:r w:rsidRPr="008909E1">
              <w:rPr>
                <w:color w:val="000000" w:themeColor="text1"/>
                <w:spacing w:val="-2"/>
              </w:rPr>
              <w:t xml:space="preserve"> </w:t>
            </w:r>
            <w:r w:rsidRPr="008909E1">
              <w:rPr>
                <w:color w:val="000000" w:themeColor="text1"/>
              </w:rPr>
              <w:t>local</w:t>
            </w:r>
            <w:r w:rsidRPr="008909E1">
              <w:rPr>
                <w:color w:val="000000" w:themeColor="text1"/>
                <w:spacing w:val="-3"/>
              </w:rPr>
              <w:t xml:space="preserve"> </w:t>
            </w:r>
            <w:r w:rsidRPr="008909E1">
              <w:rPr>
                <w:color w:val="000000" w:themeColor="text1"/>
              </w:rPr>
              <w:t>cutter</w:t>
            </w:r>
            <w:r w:rsidRPr="008909E1">
              <w:rPr>
                <w:color w:val="000000" w:themeColor="text1"/>
                <w:spacing w:val="-2"/>
              </w:rPr>
              <w:t xml:space="preserve"> </w:t>
            </w:r>
            <w:r w:rsidRPr="008909E1">
              <w:rPr>
                <w:color w:val="000000" w:themeColor="text1"/>
              </w:rPr>
              <w:t>suction</w:t>
            </w:r>
            <w:r w:rsidRPr="008909E1">
              <w:rPr>
                <w:color w:val="000000" w:themeColor="text1"/>
                <w:spacing w:val="-4"/>
              </w:rPr>
              <w:t xml:space="preserve"> </w:t>
            </w:r>
            <w:r w:rsidRPr="008909E1">
              <w:rPr>
                <w:color w:val="000000" w:themeColor="text1"/>
              </w:rPr>
              <w:t>dredger</w:t>
            </w:r>
            <w:r w:rsidRPr="008909E1">
              <w:rPr>
                <w:color w:val="000000" w:themeColor="text1"/>
                <w:spacing w:val="-2"/>
              </w:rPr>
              <w:t xml:space="preserve"> </w:t>
            </w:r>
            <w:r w:rsidRPr="008909E1">
              <w:rPr>
                <w:color w:val="000000" w:themeColor="text1"/>
              </w:rPr>
              <w:t>not</w:t>
            </w:r>
            <w:r w:rsidRPr="008909E1">
              <w:rPr>
                <w:color w:val="000000" w:themeColor="text1"/>
                <w:spacing w:val="-2"/>
              </w:rPr>
              <w:t xml:space="preserve"> available.</w:t>
            </w:r>
          </w:p>
          <w:p w14:paraId="59E55174" w14:textId="77777777" w:rsidR="008909E1" w:rsidRPr="008909E1" w:rsidRDefault="008909E1" w:rsidP="008909E1">
            <w:pPr>
              <w:pStyle w:val="Table-Bullet"/>
              <w:rPr>
                <w:color w:val="000000" w:themeColor="text1"/>
              </w:rPr>
            </w:pPr>
            <w:r w:rsidRPr="008909E1">
              <w:rPr>
                <w:color w:val="000000" w:themeColor="text1"/>
              </w:rPr>
              <w:t>No</w:t>
            </w:r>
            <w:r w:rsidRPr="008909E1">
              <w:rPr>
                <w:color w:val="000000" w:themeColor="text1"/>
                <w:spacing w:val="-5"/>
              </w:rPr>
              <w:t xml:space="preserve"> </w:t>
            </w:r>
            <w:r w:rsidRPr="008909E1">
              <w:rPr>
                <w:color w:val="000000" w:themeColor="text1"/>
              </w:rPr>
              <w:t>pipeline</w:t>
            </w:r>
            <w:r w:rsidRPr="008909E1">
              <w:rPr>
                <w:color w:val="000000" w:themeColor="text1"/>
                <w:spacing w:val="-4"/>
              </w:rPr>
              <w:t xml:space="preserve"> </w:t>
            </w:r>
            <w:r w:rsidRPr="008909E1">
              <w:rPr>
                <w:color w:val="000000" w:themeColor="text1"/>
              </w:rPr>
              <w:t>mobilisation</w:t>
            </w:r>
            <w:r w:rsidRPr="008909E1">
              <w:rPr>
                <w:color w:val="000000" w:themeColor="text1"/>
                <w:spacing w:val="-4"/>
              </w:rPr>
              <w:t xml:space="preserve"> </w:t>
            </w:r>
            <w:r w:rsidRPr="008909E1">
              <w:rPr>
                <w:color w:val="000000" w:themeColor="text1"/>
                <w:spacing w:val="-2"/>
              </w:rPr>
              <w:t>required.</w:t>
            </w:r>
          </w:p>
          <w:p w14:paraId="080C46D9" w14:textId="5692B592" w:rsidR="008909E1" w:rsidRPr="008909E1" w:rsidRDefault="008909E1" w:rsidP="008909E1">
            <w:pPr>
              <w:pStyle w:val="Table-Bullet"/>
              <w:rPr>
                <w:color w:val="000000" w:themeColor="text1"/>
                <w:lang w:val="en-GB"/>
              </w:rPr>
            </w:pPr>
            <w:r w:rsidRPr="008909E1">
              <w:rPr>
                <w:color w:val="000000" w:themeColor="text1"/>
              </w:rPr>
              <w:t>Small</w:t>
            </w:r>
            <w:r w:rsidRPr="008909E1">
              <w:rPr>
                <w:color w:val="000000" w:themeColor="text1"/>
                <w:spacing w:val="-5"/>
              </w:rPr>
              <w:t xml:space="preserve"> </w:t>
            </w:r>
            <w:r w:rsidRPr="008909E1">
              <w:rPr>
                <w:color w:val="000000" w:themeColor="text1"/>
              </w:rPr>
              <w:t>improvement</w:t>
            </w:r>
            <w:r w:rsidRPr="008909E1">
              <w:rPr>
                <w:color w:val="000000" w:themeColor="text1"/>
                <w:spacing w:val="-5"/>
              </w:rPr>
              <w:t xml:space="preserve"> </w:t>
            </w:r>
            <w:r w:rsidRPr="008909E1">
              <w:rPr>
                <w:color w:val="000000" w:themeColor="text1"/>
              </w:rPr>
              <w:t>to</w:t>
            </w:r>
            <w:r w:rsidRPr="008909E1">
              <w:rPr>
                <w:color w:val="000000" w:themeColor="text1"/>
                <w:spacing w:val="-6"/>
              </w:rPr>
              <w:t xml:space="preserve"> </w:t>
            </w:r>
            <w:r w:rsidRPr="008909E1">
              <w:rPr>
                <w:color w:val="000000" w:themeColor="text1"/>
              </w:rPr>
              <w:t>potential</w:t>
            </w:r>
            <w:r w:rsidRPr="008909E1">
              <w:rPr>
                <w:color w:val="000000" w:themeColor="text1"/>
                <w:spacing w:val="-5"/>
              </w:rPr>
              <w:t xml:space="preserve"> </w:t>
            </w:r>
            <w:r w:rsidRPr="008909E1">
              <w:rPr>
                <w:color w:val="000000" w:themeColor="text1"/>
              </w:rPr>
              <w:t>marine conditions</w:t>
            </w:r>
            <w:r w:rsidRPr="008909E1">
              <w:rPr>
                <w:color w:val="000000" w:themeColor="text1"/>
                <w:spacing w:val="-5"/>
              </w:rPr>
              <w:t xml:space="preserve"> </w:t>
            </w:r>
            <w:r w:rsidRPr="008909E1">
              <w:rPr>
                <w:color w:val="000000" w:themeColor="text1"/>
              </w:rPr>
              <w:t>to</w:t>
            </w:r>
            <w:r w:rsidRPr="008909E1">
              <w:rPr>
                <w:color w:val="000000" w:themeColor="text1"/>
                <w:spacing w:val="-6"/>
              </w:rPr>
              <w:t xml:space="preserve"> </w:t>
            </w:r>
            <w:r w:rsidRPr="008909E1">
              <w:rPr>
                <w:color w:val="000000" w:themeColor="text1"/>
              </w:rPr>
              <w:t>operate</w:t>
            </w:r>
            <w:r w:rsidRPr="008909E1">
              <w:rPr>
                <w:color w:val="000000" w:themeColor="text1"/>
                <w:spacing w:val="-6"/>
              </w:rPr>
              <w:t xml:space="preserve"> </w:t>
            </w:r>
            <w:r w:rsidRPr="008909E1">
              <w:rPr>
                <w:color w:val="000000" w:themeColor="text1"/>
              </w:rPr>
              <w:t xml:space="preserve">in. </w:t>
            </w:r>
          </w:p>
        </w:tc>
      </w:tr>
      <w:tr w:rsidR="008909E1" w14:paraId="765E2D80" w14:textId="77777777">
        <w:tc>
          <w:tcPr>
            <w:tcW w:w="1029" w:type="pct"/>
            <w:tcBorders>
              <w:top w:val="single" w:sz="4" w:space="0" w:color="5F6369" w:themeColor="text2"/>
              <w:left w:val="nil"/>
              <w:bottom w:val="single" w:sz="4" w:space="0" w:color="5F6369" w:themeColor="text2"/>
              <w:right w:val="nil"/>
            </w:tcBorders>
          </w:tcPr>
          <w:p w14:paraId="4BA59C31" w14:textId="77777777" w:rsidR="008909E1" w:rsidRPr="00D4309F" w:rsidRDefault="008909E1">
            <w:pPr>
              <w:pStyle w:val="Table-Heading"/>
            </w:pPr>
            <w:r>
              <w:t>Disadvantages</w:t>
            </w:r>
          </w:p>
        </w:tc>
        <w:tc>
          <w:tcPr>
            <w:tcW w:w="3971" w:type="pct"/>
            <w:tcBorders>
              <w:top w:val="single" w:sz="4" w:space="0" w:color="5F6369" w:themeColor="text2"/>
              <w:left w:val="nil"/>
              <w:bottom w:val="single" w:sz="4" w:space="0" w:color="5F6369" w:themeColor="text2"/>
              <w:right w:val="nil"/>
            </w:tcBorders>
          </w:tcPr>
          <w:p w14:paraId="280EC852" w14:textId="77777777" w:rsidR="008909E1" w:rsidRPr="008909E1" w:rsidRDefault="008909E1" w:rsidP="008909E1">
            <w:pPr>
              <w:pStyle w:val="Table-Bullet"/>
              <w:rPr>
                <w:color w:val="000000" w:themeColor="text1"/>
              </w:rPr>
            </w:pPr>
            <w:r w:rsidRPr="008909E1">
              <w:rPr>
                <w:color w:val="000000" w:themeColor="text1"/>
              </w:rPr>
              <w:t>Dredger remains constrained to suitable weather conditions.</w:t>
            </w:r>
          </w:p>
          <w:p w14:paraId="4C744FED" w14:textId="77777777" w:rsidR="008909E1" w:rsidRPr="008909E1" w:rsidRDefault="008909E1" w:rsidP="008909E1">
            <w:pPr>
              <w:pStyle w:val="Table-Bullet"/>
              <w:rPr>
                <w:color w:val="000000" w:themeColor="text1"/>
              </w:rPr>
            </w:pPr>
            <w:r w:rsidRPr="008909E1">
              <w:rPr>
                <w:color w:val="000000" w:themeColor="text1"/>
              </w:rPr>
              <w:t>High</w:t>
            </w:r>
            <w:r w:rsidRPr="008909E1">
              <w:rPr>
                <w:color w:val="000000" w:themeColor="text1"/>
                <w:spacing w:val="-5"/>
              </w:rPr>
              <w:t xml:space="preserve"> </w:t>
            </w:r>
            <w:r w:rsidRPr="008909E1">
              <w:rPr>
                <w:color w:val="000000" w:themeColor="text1"/>
              </w:rPr>
              <w:t>risk</w:t>
            </w:r>
            <w:r w:rsidRPr="008909E1">
              <w:rPr>
                <w:color w:val="000000" w:themeColor="text1"/>
                <w:spacing w:val="-2"/>
              </w:rPr>
              <w:t xml:space="preserve"> </w:t>
            </w:r>
            <w:r w:rsidRPr="008909E1">
              <w:rPr>
                <w:color w:val="000000" w:themeColor="text1"/>
              </w:rPr>
              <w:t>due</w:t>
            </w:r>
            <w:r w:rsidRPr="008909E1">
              <w:rPr>
                <w:color w:val="000000" w:themeColor="text1"/>
                <w:spacing w:val="-2"/>
              </w:rPr>
              <w:t xml:space="preserve"> </w:t>
            </w:r>
            <w:r w:rsidRPr="008909E1">
              <w:rPr>
                <w:color w:val="000000" w:themeColor="text1"/>
              </w:rPr>
              <w:t>to</w:t>
            </w:r>
            <w:r w:rsidRPr="008909E1">
              <w:rPr>
                <w:color w:val="000000" w:themeColor="text1"/>
                <w:spacing w:val="-3"/>
              </w:rPr>
              <w:t xml:space="preserve"> </w:t>
            </w:r>
            <w:r w:rsidRPr="008909E1">
              <w:rPr>
                <w:color w:val="000000" w:themeColor="text1"/>
              </w:rPr>
              <w:t>site</w:t>
            </w:r>
            <w:r w:rsidRPr="008909E1">
              <w:rPr>
                <w:color w:val="000000" w:themeColor="text1"/>
                <w:spacing w:val="-3"/>
              </w:rPr>
              <w:t xml:space="preserve"> </w:t>
            </w:r>
            <w:r w:rsidRPr="008909E1">
              <w:rPr>
                <w:color w:val="000000" w:themeColor="text1"/>
              </w:rPr>
              <w:t>constraints</w:t>
            </w:r>
            <w:r w:rsidRPr="008909E1">
              <w:rPr>
                <w:color w:val="000000" w:themeColor="text1"/>
                <w:spacing w:val="-2"/>
              </w:rPr>
              <w:t xml:space="preserve"> </w:t>
            </w:r>
            <w:r w:rsidRPr="008909E1">
              <w:rPr>
                <w:color w:val="000000" w:themeColor="text1"/>
              </w:rPr>
              <w:t>(shallow</w:t>
            </w:r>
            <w:r w:rsidRPr="008909E1">
              <w:rPr>
                <w:color w:val="000000" w:themeColor="text1"/>
                <w:spacing w:val="-2"/>
              </w:rPr>
              <w:t xml:space="preserve"> </w:t>
            </w:r>
            <w:r w:rsidRPr="008909E1">
              <w:rPr>
                <w:color w:val="000000" w:themeColor="text1"/>
              </w:rPr>
              <w:t>depth,</w:t>
            </w:r>
            <w:r w:rsidRPr="008909E1">
              <w:rPr>
                <w:color w:val="000000" w:themeColor="text1"/>
                <w:spacing w:val="-2"/>
              </w:rPr>
              <w:t xml:space="preserve"> </w:t>
            </w:r>
            <w:r w:rsidRPr="008909E1">
              <w:rPr>
                <w:color w:val="000000" w:themeColor="text1"/>
              </w:rPr>
              <w:t>rocky</w:t>
            </w:r>
            <w:r w:rsidRPr="008909E1">
              <w:rPr>
                <w:color w:val="000000" w:themeColor="text1"/>
                <w:spacing w:val="-3"/>
              </w:rPr>
              <w:t xml:space="preserve"> </w:t>
            </w:r>
            <w:r w:rsidRPr="008909E1">
              <w:rPr>
                <w:color w:val="000000" w:themeColor="text1"/>
              </w:rPr>
              <w:t>shelf,</w:t>
            </w:r>
            <w:r w:rsidRPr="008909E1">
              <w:rPr>
                <w:color w:val="000000" w:themeColor="text1"/>
                <w:spacing w:val="-2"/>
              </w:rPr>
              <w:t xml:space="preserve"> </w:t>
            </w:r>
            <w:r w:rsidRPr="008909E1">
              <w:rPr>
                <w:color w:val="000000" w:themeColor="text1"/>
              </w:rPr>
              <w:t>wave</w:t>
            </w:r>
            <w:r w:rsidRPr="008909E1">
              <w:rPr>
                <w:color w:val="000000" w:themeColor="text1"/>
                <w:spacing w:val="-2"/>
              </w:rPr>
              <w:t xml:space="preserve"> exposure)</w:t>
            </w:r>
          </w:p>
          <w:p w14:paraId="252B14D6" w14:textId="77777777" w:rsidR="008909E1" w:rsidRPr="008909E1" w:rsidRDefault="008909E1" w:rsidP="008909E1">
            <w:pPr>
              <w:pStyle w:val="Table-Bullet"/>
              <w:rPr>
                <w:color w:val="000000" w:themeColor="text1"/>
              </w:rPr>
            </w:pPr>
            <w:r w:rsidRPr="008909E1">
              <w:rPr>
                <w:color w:val="000000" w:themeColor="text1"/>
              </w:rPr>
              <w:t>Dredger</w:t>
            </w:r>
            <w:r w:rsidRPr="008909E1">
              <w:rPr>
                <w:color w:val="000000" w:themeColor="text1"/>
                <w:spacing w:val="-3"/>
              </w:rPr>
              <w:t xml:space="preserve"> </w:t>
            </w:r>
            <w:r w:rsidRPr="008909E1">
              <w:rPr>
                <w:color w:val="000000" w:themeColor="text1"/>
              </w:rPr>
              <w:t>may</w:t>
            </w:r>
            <w:r w:rsidRPr="008909E1">
              <w:rPr>
                <w:color w:val="000000" w:themeColor="text1"/>
                <w:spacing w:val="-2"/>
              </w:rPr>
              <w:t xml:space="preserve"> </w:t>
            </w:r>
            <w:r w:rsidRPr="008909E1">
              <w:rPr>
                <w:color w:val="000000" w:themeColor="text1"/>
              </w:rPr>
              <w:t>not</w:t>
            </w:r>
            <w:r w:rsidRPr="008909E1">
              <w:rPr>
                <w:color w:val="000000" w:themeColor="text1"/>
                <w:spacing w:val="-2"/>
              </w:rPr>
              <w:t xml:space="preserve"> </w:t>
            </w:r>
            <w:r w:rsidRPr="008909E1">
              <w:rPr>
                <w:color w:val="000000" w:themeColor="text1"/>
              </w:rPr>
              <w:t>be</w:t>
            </w:r>
            <w:r w:rsidRPr="008909E1">
              <w:rPr>
                <w:color w:val="000000" w:themeColor="text1"/>
                <w:spacing w:val="-3"/>
              </w:rPr>
              <w:t xml:space="preserve"> </w:t>
            </w:r>
            <w:r w:rsidRPr="008909E1">
              <w:rPr>
                <w:color w:val="000000" w:themeColor="text1"/>
              </w:rPr>
              <w:t>readily</w:t>
            </w:r>
            <w:r w:rsidRPr="008909E1">
              <w:rPr>
                <w:color w:val="000000" w:themeColor="text1"/>
                <w:spacing w:val="-2"/>
              </w:rPr>
              <w:t xml:space="preserve"> available.</w:t>
            </w:r>
          </w:p>
          <w:p w14:paraId="00CB1223" w14:textId="77777777" w:rsidR="008909E1" w:rsidRPr="008909E1" w:rsidRDefault="008909E1" w:rsidP="008909E1">
            <w:pPr>
              <w:pStyle w:val="Table-Bullet"/>
              <w:rPr>
                <w:color w:val="000000" w:themeColor="text1"/>
              </w:rPr>
            </w:pPr>
            <w:r w:rsidRPr="008909E1">
              <w:rPr>
                <w:color w:val="000000" w:themeColor="text1"/>
              </w:rPr>
              <w:t>Mobilisation</w:t>
            </w:r>
          </w:p>
          <w:p w14:paraId="7BC60296" w14:textId="7A3DA2B4" w:rsidR="008909E1" w:rsidRPr="008909E1" w:rsidRDefault="008909E1" w:rsidP="008909E1">
            <w:pPr>
              <w:pStyle w:val="Table-Bullet"/>
              <w:rPr>
                <w:color w:val="000000" w:themeColor="text1"/>
              </w:rPr>
            </w:pPr>
            <w:r w:rsidRPr="008909E1">
              <w:rPr>
                <w:color w:val="000000" w:themeColor="text1"/>
              </w:rPr>
              <w:t>Sediment</w:t>
            </w:r>
            <w:r w:rsidRPr="008909E1">
              <w:rPr>
                <w:color w:val="000000" w:themeColor="text1"/>
                <w:spacing w:val="-3"/>
              </w:rPr>
              <w:t xml:space="preserve"> </w:t>
            </w:r>
            <w:r w:rsidRPr="008909E1">
              <w:rPr>
                <w:color w:val="000000" w:themeColor="text1"/>
              </w:rPr>
              <w:t>placement</w:t>
            </w:r>
            <w:r w:rsidRPr="008909E1">
              <w:rPr>
                <w:color w:val="000000" w:themeColor="text1"/>
                <w:spacing w:val="-3"/>
              </w:rPr>
              <w:t xml:space="preserve"> </w:t>
            </w:r>
            <w:r w:rsidRPr="008909E1">
              <w:rPr>
                <w:color w:val="000000" w:themeColor="text1"/>
              </w:rPr>
              <w:t>would</w:t>
            </w:r>
            <w:r w:rsidRPr="008909E1">
              <w:rPr>
                <w:color w:val="000000" w:themeColor="text1"/>
                <w:spacing w:val="-2"/>
              </w:rPr>
              <w:t xml:space="preserve"> </w:t>
            </w:r>
            <w:r w:rsidRPr="008909E1">
              <w:rPr>
                <w:color w:val="000000" w:themeColor="text1"/>
              </w:rPr>
              <w:t>be</w:t>
            </w:r>
            <w:r w:rsidRPr="008909E1">
              <w:rPr>
                <w:color w:val="000000" w:themeColor="text1"/>
                <w:spacing w:val="-4"/>
              </w:rPr>
              <w:t xml:space="preserve"> </w:t>
            </w:r>
            <w:r w:rsidRPr="008909E1">
              <w:rPr>
                <w:color w:val="000000" w:themeColor="text1"/>
              </w:rPr>
              <w:t>limited</w:t>
            </w:r>
            <w:r w:rsidRPr="008909E1">
              <w:rPr>
                <w:color w:val="000000" w:themeColor="text1"/>
                <w:spacing w:val="-4"/>
              </w:rPr>
              <w:t xml:space="preserve"> </w:t>
            </w:r>
            <w:r w:rsidRPr="008909E1">
              <w:rPr>
                <w:color w:val="000000" w:themeColor="text1"/>
              </w:rPr>
              <w:t>to</w:t>
            </w:r>
            <w:r w:rsidRPr="008909E1">
              <w:rPr>
                <w:color w:val="000000" w:themeColor="text1"/>
                <w:spacing w:val="-4"/>
              </w:rPr>
              <w:t xml:space="preserve"> </w:t>
            </w:r>
            <w:r w:rsidRPr="008909E1">
              <w:rPr>
                <w:color w:val="000000" w:themeColor="text1"/>
              </w:rPr>
              <w:t>the</w:t>
            </w:r>
            <w:r w:rsidRPr="008909E1">
              <w:rPr>
                <w:color w:val="000000" w:themeColor="text1"/>
                <w:spacing w:val="-4"/>
              </w:rPr>
              <w:t xml:space="preserve"> </w:t>
            </w:r>
            <w:r w:rsidRPr="008909E1">
              <w:rPr>
                <w:color w:val="000000" w:themeColor="text1"/>
              </w:rPr>
              <w:t>deeper</w:t>
            </w:r>
            <w:r w:rsidRPr="008909E1">
              <w:rPr>
                <w:color w:val="000000" w:themeColor="text1"/>
                <w:spacing w:val="-3"/>
              </w:rPr>
              <w:t xml:space="preserve"> </w:t>
            </w:r>
            <w:r w:rsidRPr="008909E1">
              <w:rPr>
                <w:color w:val="000000" w:themeColor="text1"/>
              </w:rPr>
              <w:t>nearshore</w:t>
            </w:r>
            <w:r w:rsidRPr="008909E1">
              <w:rPr>
                <w:color w:val="000000" w:themeColor="text1"/>
                <w:spacing w:val="-4"/>
              </w:rPr>
              <w:t xml:space="preserve"> </w:t>
            </w:r>
            <w:r w:rsidRPr="008909E1">
              <w:rPr>
                <w:color w:val="000000" w:themeColor="text1"/>
              </w:rPr>
              <w:t>section</w:t>
            </w:r>
            <w:r w:rsidRPr="008909E1">
              <w:rPr>
                <w:color w:val="000000" w:themeColor="text1"/>
                <w:spacing w:val="-4"/>
              </w:rPr>
              <w:t xml:space="preserve"> </w:t>
            </w:r>
            <w:r w:rsidRPr="008909E1">
              <w:rPr>
                <w:color w:val="000000" w:themeColor="text1"/>
              </w:rPr>
              <w:t>of</w:t>
            </w:r>
            <w:r w:rsidRPr="008909E1">
              <w:rPr>
                <w:color w:val="000000" w:themeColor="text1"/>
                <w:spacing w:val="-3"/>
              </w:rPr>
              <w:t xml:space="preserve"> </w:t>
            </w:r>
            <w:r w:rsidRPr="008909E1">
              <w:rPr>
                <w:color w:val="000000" w:themeColor="text1"/>
              </w:rPr>
              <w:t>the</w:t>
            </w:r>
            <w:r w:rsidRPr="008909E1">
              <w:rPr>
                <w:color w:val="000000" w:themeColor="text1"/>
                <w:spacing w:val="-4"/>
              </w:rPr>
              <w:t xml:space="preserve"> </w:t>
            </w:r>
            <w:r w:rsidRPr="008909E1">
              <w:rPr>
                <w:color w:val="000000" w:themeColor="text1"/>
              </w:rPr>
              <w:t xml:space="preserve">beach </w:t>
            </w:r>
            <w:r w:rsidRPr="008909E1">
              <w:rPr>
                <w:color w:val="000000" w:themeColor="text1"/>
                <w:spacing w:val="-2"/>
              </w:rPr>
              <w:t>profile.</w:t>
            </w:r>
          </w:p>
        </w:tc>
      </w:tr>
      <w:tr w:rsidR="008909E1" w14:paraId="37908960" w14:textId="77777777">
        <w:trPr>
          <w:trHeight w:val="85"/>
        </w:trPr>
        <w:tc>
          <w:tcPr>
            <w:tcW w:w="1029" w:type="pct"/>
            <w:tcBorders>
              <w:top w:val="single" w:sz="4" w:space="0" w:color="5F6369" w:themeColor="text2"/>
              <w:left w:val="nil"/>
              <w:bottom w:val="single" w:sz="4" w:space="0" w:color="5F6369" w:themeColor="text2"/>
              <w:right w:val="nil"/>
            </w:tcBorders>
          </w:tcPr>
          <w:p w14:paraId="16046ED4" w14:textId="77777777" w:rsidR="008909E1" w:rsidRPr="00D4309F" w:rsidRDefault="008909E1">
            <w:pPr>
              <w:pStyle w:val="Table-Heading"/>
            </w:pPr>
            <w:r>
              <w:t>Cost</w:t>
            </w:r>
          </w:p>
        </w:tc>
        <w:tc>
          <w:tcPr>
            <w:tcW w:w="3971" w:type="pct"/>
            <w:tcBorders>
              <w:top w:val="single" w:sz="4" w:space="0" w:color="5F6369" w:themeColor="text2"/>
              <w:left w:val="nil"/>
              <w:bottom w:val="single" w:sz="4" w:space="0" w:color="5F6369" w:themeColor="text2"/>
              <w:right w:val="nil"/>
            </w:tcBorders>
          </w:tcPr>
          <w:p w14:paraId="431C8113" w14:textId="2F660BE6" w:rsidR="008909E1" w:rsidRPr="008909E1" w:rsidRDefault="008909E1" w:rsidP="008909E1">
            <w:pPr>
              <w:pStyle w:val="Table-Bullet"/>
            </w:pPr>
            <w:r w:rsidRPr="00D4309F">
              <w:t>High</w:t>
            </w:r>
            <w:r w:rsidRPr="00D4309F">
              <w:rPr>
                <w:spacing w:val="-7"/>
              </w:rPr>
              <w:t xml:space="preserve"> </w:t>
            </w:r>
            <w:r w:rsidRPr="00D4309F">
              <w:t>mobilisation</w:t>
            </w:r>
            <w:r w:rsidRPr="00D4309F">
              <w:rPr>
                <w:spacing w:val="-5"/>
              </w:rPr>
              <w:t xml:space="preserve"> </w:t>
            </w:r>
            <w:r w:rsidRPr="00D4309F">
              <w:rPr>
                <w:spacing w:val="-2"/>
              </w:rPr>
              <w:t>costs.</w:t>
            </w:r>
          </w:p>
        </w:tc>
      </w:tr>
    </w:tbl>
    <w:p w14:paraId="46F0D235" w14:textId="77777777" w:rsidR="00F06E88" w:rsidRDefault="00F06E88" w:rsidP="00F06E88">
      <w:pPr>
        <w:pStyle w:val="BodyText"/>
      </w:pPr>
    </w:p>
    <w:p w14:paraId="1ADBA0A2" w14:textId="1A83A22A" w:rsidR="00725977" w:rsidRPr="00D4309F" w:rsidRDefault="00725977" w:rsidP="004426B8">
      <w:pPr>
        <w:pStyle w:val="Heading3"/>
      </w:pPr>
      <w:bookmarkStart w:id="145" w:name="_Toc216699342"/>
      <w:r w:rsidRPr="00D4309F">
        <w:lastRenderedPageBreak/>
        <w:t>Jack-up</w:t>
      </w:r>
      <w:r w:rsidRPr="00D4309F">
        <w:rPr>
          <w:spacing w:val="-4"/>
        </w:rPr>
        <w:t xml:space="preserve"> </w:t>
      </w:r>
      <w:r w:rsidRPr="00D4309F">
        <w:t>barge</w:t>
      </w:r>
      <w:r w:rsidRPr="00D4309F">
        <w:rPr>
          <w:spacing w:val="-3"/>
        </w:rPr>
        <w:t xml:space="preserve"> </w:t>
      </w:r>
      <w:r w:rsidRPr="00D4309F">
        <w:rPr>
          <w:spacing w:val="-2"/>
        </w:rPr>
        <w:t>option</w:t>
      </w:r>
      <w:bookmarkEnd w:id="145"/>
    </w:p>
    <w:p w14:paraId="76AE2D82" w14:textId="77777777" w:rsidR="00725977" w:rsidRDefault="00725977" w:rsidP="00725977">
      <w:pPr>
        <w:pStyle w:val="BodyText"/>
      </w:pPr>
      <w:r w:rsidRPr="00D4309F">
        <w:t>This</w:t>
      </w:r>
      <w:r w:rsidRPr="00D4309F">
        <w:rPr>
          <w:spacing w:val="-1"/>
        </w:rPr>
        <w:t xml:space="preserve"> </w:t>
      </w:r>
      <w:r w:rsidRPr="00D4309F">
        <w:t>option</w:t>
      </w:r>
      <w:r w:rsidRPr="00D4309F">
        <w:rPr>
          <w:spacing w:val="-2"/>
        </w:rPr>
        <w:t xml:space="preserve"> </w:t>
      </w:r>
      <w:r w:rsidRPr="00D4309F">
        <w:t>involves</w:t>
      </w:r>
      <w:r w:rsidRPr="00D4309F">
        <w:rPr>
          <w:spacing w:val="-1"/>
        </w:rPr>
        <w:t xml:space="preserve"> </w:t>
      </w:r>
      <w:r w:rsidRPr="00D4309F">
        <w:t>the</w:t>
      </w:r>
      <w:r w:rsidRPr="00D4309F">
        <w:rPr>
          <w:spacing w:val="-2"/>
        </w:rPr>
        <w:t xml:space="preserve"> </w:t>
      </w:r>
      <w:r w:rsidRPr="00D4309F">
        <w:t>use</w:t>
      </w:r>
      <w:r w:rsidRPr="00D4309F">
        <w:rPr>
          <w:spacing w:val="-2"/>
        </w:rPr>
        <w:t xml:space="preserve"> </w:t>
      </w:r>
      <w:r w:rsidRPr="00D4309F">
        <w:t>of</w:t>
      </w:r>
      <w:r w:rsidRPr="00D4309F">
        <w:rPr>
          <w:spacing w:val="-2"/>
        </w:rPr>
        <w:t xml:space="preserve"> </w:t>
      </w:r>
      <w:r w:rsidRPr="00D4309F">
        <w:t>a</w:t>
      </w:r>
      <w:r w:rsidRPr="00D4309F">
        <w:rPr>
          <w:spacing w:val="-2"/>
        </w:rPr>
        <w:t xml:space="preserve"> </w:t>
      </w:r>
      <w:r w:rsidRPr="00D4309F">
        <w:t>‘Jack-up’</w:t>
      </w:r>
      <w:r w:rsidRPr="00D4309F">
        <w:rPr>
          <w:spacing w:val="-2"/>
        </w:rPr>
        <w:t xml:space="preserve"> </w:t>
      </w:r>
      <w:r w:rsidRPr="00D4309F">
        <w:t>barge</w:t>
      </w:r>
      <w:r w:rsidRPr="00D4309F">
        <w:rPr>
          <w:spacing w:val="-2"/>
        </w:rPr>
        <w:t xml:space="preserve"> </w:t>
      </w:r>
      <w:r w:rsidRPr="00D4309F">
        <w:t>or</w:t>
      </w:r>
      <w:r w:rsidRPr="00D4309F">
        <w:rPr>
          <w:spacing w:val="-3"/>
        </w:rPr>
        <w:t xml:space="preserve"> </w:t>
      </w:r>
      <w:r w:rsidRPr="00D4309F">
        <w:t>spudded</w:t>
      </w:r>
      <w:r w:rsidRPr="00D4309F">
        <w:rPr>
          <w:spacing w:val="-2"/>
        </w:rPr>
        <w:t xml:space="preserve"> </w:t>
      </w:r>
      <w:r w:rsidRPr="00D4309F">
        <w:t>barge</w:t>
      </w:r>
      <w:r w:rsidRPr="00D4309F">
        <w:rPr>
          <w:spacing w:val="-3"/>
        </w:rPr>
        <w:t xml:space="preserve"> </w:t>
      </w:r>
      <w:r w:rsidRPr="00D4309F">
        <w:t>to</w:t>
      </w:r>
      <w:r w:rsidRPr="00D4309F">
        <w:rPr>
          <w:spacing w:val="-2"/>
        </w:rPr>
        <w:t xml:space="preserve"> </w:t>
      </w:r>
      <w:r w:rsidRPr="00D4309F">
        <w:t>allow</w:t>
      </w:r>
      <w:r w:rsidRPr="00D4309F">
        <w:rPr>
          <w:spacing w:val="-1"/>
        </w:rPr>
        <w:t xml:space="preserve"> </w:t>
      </w:r>
      <w:r w:rsidRPr="00D4309F">
        <w:t>for</w:t>
      </w:r>
      <w:r w:rsidRPr="00D4309F">
        <w:rPr>
          <w:spacing w:val="-1"/>
        </w:rPr>
        <w:t xml:space="preserve"> </w:t>
      </w:r>
      <w:r w:rsidRPr="00D4309F">
        <w:t>dredging</w:t>
      </w:r>
      <w:r w:rsidRPr="00D4309F">
        <w:rPr>
          <w:spacing w:val="-2"/>
        </w:rPr>
        <w:t xml:space="preserve"> </w:t>
      </w:r>
      <w:r w:rsidRPr="00D4309F">
        <w:t>of</w:t>
      </w:r>
      <w:r w:rsidRPr="00D4309F">
        <w:rPr>
          <w:spacing w:val="-2"/>
        </w:rPr>
        <w:t xml:space="preserve"> </w:t>
      </w:r>
      <w:r w:rsidRPr="00D4309F">
        <w:t>the</w:t>
      </w:r>
      <w:r w:rsidRPr="00D4309F">
        <w:rPr>
          <w:spacing w:val="-2"/>
        </w:rPr>
        <w:t xml:space="preserve"> </w:t>
      </w:r>
      <w:r w:rsidRPr="00D4309F">
        <w:t>entrance during marine conditions typically unsuitable for dredging by cutter suction or TSHD dredgers.</w:t>
      </w:r>
    </w:p>
    <w:p w14:paraId="0BB06327" w14:textId="77777777" w:rsidR="00F06E88" w:rsidRDefault="00F06E88" w:rsidP="00725977">
      <w:pPr>
        <w:pStyle w:val="BodyText"/>
      </w:pPr>
    </w:p>
    <w:p w14:paraId="4D391BEC" w14:textId="4C93D61F" w:rsidR="0053392F" w:rsidRDefault="0053392F" w:rsidP="00151534">
      <w:pPr>
        <w:pStyle w:val="Table-Caption"/>
      </w:pPr>
      <w:bookmarkStart w:id="146" w:name="_Toc216699543"/>
      <w:r>
        <w:t xml:space="preserve">Table </w:t>
      </w:r>
      <w:r w:rsidR="00151534">
        <w:fldChar w:fldCharType="begin" w:fldLock="1"/>
      </w:r>
      <w:r w:rsidR="00151534">
        <w:instrText xml:space="preserve"> STYLEREF 1 \s </w:instrText>
      </w:r>
      <w:r w:rsidR="00151534">
        <w:fldChar w:fldCharType="separate"/>
      </w:r>
      <w:r w:rsidR="00151534">
        <w:rPr>
          <w:noProof/>
        </w:rPr>
        <w:t>10</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4</w:t>
      </w:r>
      <w:r w:rsidR="00151534">
        <w:fldChar w:fldCharType="end"/>
      </w:r>
      <w:r>
        <w:t>:</w:t>
      </w:r>
      <w:r>
        <w:tab/>
      </w:r>
      <w:r w:rsidRPr="00D4309F">
        <w:rPr>
          <w:color w:val="211E1F"/>
        </w:rPr>
        <w:t>Use</w:t>
      </w:r>
      <w:r w:rsidRPr="00D4309F">
        <w:rPr>
          <w:color w:val="211E1F"/>
          <w:spacing w:val="-1"/>
        </w:rPr>
        <w:t xml:space="preserve"> </w:t>
      </w:r>
      <w:r w:rsidRPr="00D4309F">
        <w:rPr>
          <w:color w:val="211E1F"/>
        </w:rPr>
        <w:t>of</w:t>
      </w:r>
      <w:r w:rsidRPr="00D4309F">
        <w:rPr>
          <w:color w:val="211E1F"/>
          <w:spacing w:val="-1"/>
        </w:rPr>
        <w:t xml:space="preserve"> </w:t>
      </w:r>
      <w:r w:rsidRPr="00D4309F">
        <w:rPr>
          <w:color w:val="211E1F"/>
        </w:rPr>
        <w:t>jack-up</w:t>
      </w:r>
      <w:r w:rsidRPr="00D4309F">
        <w:rPr>
          <w:color w:val="211E1F"/>
          <w:spacing w:val="-1"/>
        </w:rPr>
        <w:t xml:space="preserve"> </w:t>
      </w:r>
      <w:r w:rsidRPr="00D4309F">
        <w:rPr>
          <w:color w:val="211E1F"/>
        </w:rPr>
        <w:t>barge</w:t>
      </w:r>
      <w:r w:rsidRPr="00D4309F">
        <w:rPr>
          <w:color w:val="211E1F"/>
          <w:spacing w:val="-2"/>
        </w:rPr>
        <w:t xml:space="preserve"> option</w:t>
      </w:r>
      <w:bookmarkEnd w:id="146"/>
    </w:p>
    <w:tbl>
      <w:tblPr>
        <w:tblStyle w:val="Table1"/>
        <w:tblW w:w="5000" w:type="pct"/>
        <w:tblLook w:val="0620" w:firstRow="1" w:lastRow="0" w:firstColumn="0" w:lastColumn="0" w:noHBand="1" w:noVBand="1"/>
      </w:tblPr>
      <w:tblGrid>
        <w:gridCol w:w="1984"/>
        <w:gridCol w:w="7658"/>
      </w:tblGrid>
      <w:tr w:rsidR="00C66D9D" w14:paraId="22794343" w14:textId="77777777">
        <w:trPr>
          <w:cnfStyle w:val="100000000000" w:firstRow="1" w:lastRow="0" w:firstColumn="0" w:lastColumn="0" w:oddVBand="0" w:evenVBand="0" w:oddHBand="0" w:evenHBand="0" w:firstRowFirstColumn="0" w:firstRowLastColumn="0" w:lastRowFirstColumn="0" w:lastRowLastColumn="0"/>
        </w:trPr>
        <w:tc>
          <w:tcPr>
            <w:tcW w:w="1029" w:type="pct"/>
            <w:tcBorders>
              <w:top w:val="single" w:sz="4" w:space="0" w:color="5F6369" w:themeColor="text2"/>
              <w:bottom w:val="single" w:sz="4" w:space="0" w:color="5F6369" w:themeColor="text2"/>
            </w:tcBorders>
            <w:shd w:val="clear" w:color="auto" w:fill="auto"/>
            <w:hideMark/>
          </w:tcPr>
          <w:p w14:paraId="0D318AB0" w14:textId="77777777" w:rsidR="00C66D9D" w:rsidRPr="00D44877" w:rsidRDefault="00C66D9D">
            <w:pPr>
              <w:pStyle w:val="Table-Heading"/>
            </w:pPr>
            <w:r w:rsidRPr="00D44877">
              <w:t>Advantages</w:t>
            </w:r>
          </w:p>
        </w:tc>
        <w:tc>
          <w:tcPr>
            <w:tcW w:w="3971" w:type="pct"/>
            <w:tcBorders>
              <w:top w:val="single" w:sz="4" w:space="0" w:color="5F6369" w:themeColor="text2"/>
              <w:bottom w:val="single" w:sz="4" w:space="0" w:color="5F6369" w:themeColor="text2"/>
            </w:tcBorders>
            <w:shd w:val="clear" w:color="auto" w:fill="auto"/>
          </w:tcPr>
          <w:p w14:paraId="02EB228D" w14:textId="77777777" w:rsidR="00C66D9D" w:rsidRPr="00C66D9D" w:rsidRDefault="00C66D9D" w:rsidP="00C66D9D">
            <w:pPr>
              <w:pStyle w:val="Table-Bullet"/>
              <w:rPr>
                <w:color w:val="000000" w:themeColor="text1"/>
              </w:rPr>
            </w:pPr>
            <w:r w:rsidRPr="00C66D9D">
              <w:rPr>
                <w:color w:val="000000" w:themeColor="text1"/>
              </w:rPr>
              <w:t>Potential</w:t>
            </w:r>
            <w:r w:rsidRPr="00C66D9D">
              <w:rPr>
                <w:color w:val="000000" w:themeColor="text1"/>
                <w:spacing w:val="-5"/>
              </w:rPr>
              <w:t xml:space="preserve"> </w:t>
            </w:r>
            <w:r w:rsidRPr="00C66D9D">
              <w:rPr>
                <w:color w:val="000000" w:themeColor="text1"/>
              </w:rPr>
              <w:t>to</w:t>
            </w:r>
            <w:r w:rsidRPr="00C66D9D">
              <w:rPr>
                <w:color w:val="000000" w:themeColor="text1"/>
                <w:spacing w:val="-4"/>
              </w:rPr>
              <w:t xml:space="preserve"> </w:t>
            </w:r>
            <w:r w:rsidRPr="00C66D9D">
              <w:rPr>
                <w:color w:val="000000" w:themeColor="text1"/>
              </w:rPr>
              <w:t>operate</w:t>
            </w:r>
            <w:r w:rsidRPr="00C66D9D">
              <w:rPr>
                <w:color w:val="000000" w:themeColor="text1"/>
                <w:spacing w:val="-3"/>
              </w:rPr>
              <w:t xml:space="preserve"> </w:t>
            </w:r>
            <w:r w:rsidRPr="00C66D9D">
              <w:rPr>
                <w:color w:val="000000" w:themeColor="text1"/>
              </w:rPr>
              <w:t>during</w:t>
            </w:r>
            <w:r w:rsidRPr="00C66D9D">
              <w:rPr>
                <w:color w:val="000000" w:themeColor="text1"/>
                <w:spacing w:val="-4"/>
              </w:rPr>
              <w:t xml:space="preserve"> </w:t>
            </w:r>
            <w:r w:rsidRPr="00C66D9D">
              <w:rPr>
                <w:color w:val="000000" w:themeColor="text1"/>
              </w:rPr>
              <w:t>larger</w:t>
            </w:r>
            <w:r w:rsidRPr="00C66D9D">
              <w:rPr>
                <w:color w:val="000000" w:themeColor="text1"/>
                <w:spacing w:val="-2"/>
              </w:rPr>
              <w:t xml:space="preserve"> </w:t>
            </w:r>
            <w:r w:rsidRPr="00C66D9D">
              <w:rPr>
                <w:color w:val="000000" w:themeColor="text1"/>
              </w:rPr>
              <w:t>wave</w:t>
            </w:r>
            <w:r w:rsidRPr="00C66D9D">
              <w:rPr>
                <w:color w:val="000000" w:themeColor="text1"/>
                <w:spacing w:val="-4"/>
              </w:rPr>
              <w:t xml:space="preserve"> </w:t>
            </w:r>
            <w:r w:rsidRPr="00C66D9D">
              <w:rPr>
                <w:color w:val="000000" w:themeColor="text1"/>
              </w:rPr>
              <w:t>conditions</w:t>
            </w:r>
            <w:r w:rsidRPr="00C66D9D">
              <w:rPr>
                <w:color w:val="000000" w:themeColor="text1"/>
                <w:spacing w:val="-2"/>
              </w:rPr>
              <w:t xml:space="preserve"> </w:t>
            </w:r>
            <w:r w:rsidRPr="00C66D9D">
              <w:rPr>
                <w:color w:val="000000" w:themeColor="text1"/>
              </w:rPr>
              <w:t>than</w:t>
            </w:r>
            <w:r w:rsidRPr="00C66D9D">
              <w:rPr>
                <w:color w:val="000000" w:themeColor="text1"/>
                <w:spacing w:val="-2"/>
              </w:rPr>
              <w:t xml:space="preserve"> </w:t>
            </w:r>
            <w:r w:rsidRPr="00C66D9D">
              <w:rPr>
                <w:color w:val="000000" w:themeColor="text1"/>
              </w:rPr>
              <w:t>other</w:t>
            </w:r>
            <w:r w:rsidRPr="00C66D9D">
              <w:rPr>
                <w:color w:val="000000" w:themeColor="text1"/>
                <w:spacing w:val="-2"/>
              </w:rPr>
              <w:t xml:space="preserve"> dredgers.</w:t>
            </w:r>
          </w:p>
          <w:p w14:paraId="7F7E11AE" w14:textId="6F982041" w:rsidR="00C66D9D" w:rsidRPr="00C66D9D" w:rsidRDefault="00C66D9D" w:rsidP="00C66D9D">
            <w:pPr>
              <w:pStyle w:val="Table-Bullet"/>
              <w:rPr>
                <w:color w:val="000000" w:themeColor="text1"/>
              </w:rPr>
            </w:pPr>
            <w:r w:rsidRPr="00C66D9D">
              <w:rPr>
                <w:color w:val="000000" w:themeColor="text1"/>
              </w:rPr>
              <w:t>Could</w:t>
            </w:r>
            <w:r w:rsidRPr="00C66D9D">
              <w:rPr>
                <w:color w:val="000000" w:themeColor="text1"/>
                <w:spacing w:val="-4"/>
              </w:rPr>
              <w:t xml:space="preserve"> </w:t>
            </w:r>
            <w:r w:rsidRPr="00C66D9D">
              <w:rPr>
                <w:color w:val="000000" w:themeColor="text1"/>
              </w:rPr>
              <w:t>remain</w:t>
            </w:r>
            <w:r w:rsidRPr="00C66D9D">
              <w:rPr>
                <w:color w:val="000000" w:themeColor="text1"/>
                <w:spacing w:val="-4"/>
              </w:rPr>
              <w:t xml:space="preserve"> </w:t>
            </w:r>
            <w:r w:rsidRPr="00C66D9D">
              <w:rPr>
                <w:color w:val="000000" w:themeColor="text1"/>
              </w:rPr>
              <w:t>deployed</w:t>
            </w:r>
            <w:r w:rsidRPr="00C66D9D">
              <w:rPr>
                <w:color w:val="000000" w:themeColor="text1"/>
                <w:spacing w:val="-4"/>
              </w:rPr>
              <w:t xml:space="preserve"> </w:t>
            </w:r>
            <w:r w:rsidRPr="00C66D9D">
              <w:rPr>
                <w:color w:val="000000" w:themeColor="text1"/>
              </w:rPr>
              <w:t>to</w:t>
            </w:r>
            <w:r w:rsidRPr="00C66D9D">
              <w:rPr>
                <w:color w:val="000000" w:themeColor="text1"/>
                <w:spacing w:val="-4"/>
              </w:rPr>
              <w:t xml:space="preserve"> </w:t>
            </w:r>
            <w:r w:rsidRPr="00C66D9D">
              <w:rPr>
                <w:color w:val="000000" w:themeColor="text1"/>
              </w:rPr>
              <w:t>manage</w:t>
            </w:r>
            <w:r w:rsidRPr="00C66D9D">
              <w:rPr>
                <w:color w:val="000000" w:themeColor="text1"/>
                <w:spacing w:val="-4"/>
              </w:rPr>
              <w:t xml:space="preserve"> </w:t>
            </w:r>
            <w:r w:rsidRPr="00C66D9D">
              <w:rPr>
                <w:color w:val="000000" w:themeColor="text1"/>
              </w:rPr>
              <w:t>sand</w:t>
            </w:r>
            <w:r w:rsidRPr="00C66D9D">
              <w:rPr>
                <w:color w:val="000000" w:themeColor="text1"/>
                <w:spacing w:val="-4"/>
              </w:rPr>
              <w:t xml:space="preserve"> </w:t>
            </w:r>
            <w:r w:rsidRPr="00C66D9D">
              <w:rPr>
                <w:color w:val="000000" w:themeColor="text1"/>
              </w:rPr>
              <w:t>shoals</w:t>
            </w:r>
            <w:r w:rsidRPr="00C66D9D">
              <w:rPr>
                <w:color w:val="000000" w:themeColor="text1"/>
                <w:spacing w:val="-4"/>
              </w:rPr>
              <w:t xml:space="preserve"> </w:t>
            </w:r>
            <w:r w:rsidRPr="00C66D9D">
              <w:rPr>
                <w:color w:val="000000" w:themeColor="text1"/>
              </w:rPr>
              <w:t>over</w:t>
            </w:r>
            <w:r w:rsidRPr="00C66D9D">
              <w:rPr>
                <w:color w:val="000000" w:themeColor="text1"/>
                <w:spacing w:val="-4"/>
              </w:rPr>
              <w:t xml:space="preserve"> </w:t>
            </w:r>
            <w:r w:rsidRPr="00C66D9D">
              <w:rPr>
                <w:color w:val="000000" w:themeColor="text1"/>
              </w:rPr>
              <w:t>time,</w:t>
            </w:r>
            <w:r w:rsidRPr="00C66D9D">
              <w:rPr>
                <w:color w:val="000000" w:themeColor="text1"/>
                <w:spacing w:val="-4"/>
              </w:rPr>
              <w:t xml:space="preserve"> </w:t>
            </w:r>
            <w:r w:rsidRPr="00C66D9D">
              <w:rPr>
                <w:color w:val="000000" w:themeColor="text1"/>
              </w:rPr>
              <w:t>removing</w:t>
            </w:r>
            <w:r w:rsidRPr="00C66D9D">
              <w:rPr>
                <w:color w:val="000000" w:themeColor="text1"/>
                <w:spacing w:val="-4"/>
              </w:rPr>
              <w:t xml:space="preserve"> </w:t>
            </w:r>
            <w:r w:rsidRPr="00C66D9D">
              <w:rPr>
                <w:color w:val="000000" w:themeColor="text1"/>
              </w:rPr>
              <w:t>mobilisation</w:t>
            </w:r>
            <w:r w:rsidRPr="00C66D9D">
              <w:rPr>
                <w:color w:val="000000" w:themeColor="text1"/>
                <w:spacing w:val="-4"/>
              </w:rPr>
              <w:t xml:space="preserve"> </w:t>
            </w:r>
            <w:r w:rsidRPr="00C66D9D">
              <w:rPr>
                <w:color w:val="000000" w:themeColor="text1"/>
              </w:rPr>
              <w:t>time (subject to standby costs).</w:t>
            </w:r>
          </w:p>
        </w:tc>
      </w:tr>
      <w:tr w:rsidR="00C66D9D" w14:paraId="6A77E789" w14:textId="77777777">
        <w:tc>
          <w:tcPr>
            <w:tcW w:w="1029" w:type="pct"/>
            <w:tcBorders>
              <w:top w:val="single" w:sz="4" w:space="0" w:color="5F6369" w:themeColor="text2"/>
              <w:left w:val="nil"/>
              <w:bottom w:val="single" w:sz="4" w:space="0" w:color="5F6369" w:themeColor="text2"/>
              <w:right w:val="nil"/>
            </w:tcBorders>
          </w:tcPr>
          <w:p w14:paraId="21162F58" w14:textId="77777777" w:rsidR="00C66D9D" w:rsidRPr="00D4309F" w:rsidRDefault="00C66D9D">
            <w:pPr>
              <w:pStyle w:val="Table-Heading"/>
            </w:pPr>
            <w:r>
              <w:t>Disadvantages</w:t>
            </w:r>
          </w:p>
        </w:tc>
        <w:tc>
          <w:tcPr>
            <w:tcW w:w="3971" w:type="pct"/>
            <w:tcBorders>
              <w:top w:val="single" w:sz="4" w:space="0" w:color="5F6369" w:themeColor="text2"/>
              <w:left w:val="nil"/>
              <w:bottom w:val="single" w:sz="4" w:space="0" w:color="5F6369" w:themeColor="text2"/>
              <w:right w:val="nil"/>
            </w:tcBorders>
          </w:tcPr>
          <w:p w14:paraId="469BFF6A" w14:textId="77777777" w:rsidR="00C66D9D" w:rsidRPr="00C66D9D" w:rsidRDefault="00C66D9D" w:rsidP="00C66D9D">
            <w:pPr>
              <w:pStyle w:val="Table-Bullet"/>
              <w:rPr>
                <w:color w:val="000000" w:themeColor="text1"/>
              </w:rPr>
            </w:pPr>
            <w:r w:rsidRPr="00C66D9D">
              <w:rPr>
                <w:color w:val="000000" w:themeColor="text1"/>
              </w:rPr>
              <w:t>Cannot</w:t>
            </w:r>
            <w:r w:rsidRPr="00C66D9D">
              <w:rPr>
                <w:color w:val="000000" w:themeColor="text1"/>
                <w:spacing w:val="-5"/>
              </w:rPr>
              <w:t xml:space="preserve"> </w:t>
            </w:r>
            <w:r w:rsidRPr="00C66D9D">
              <w:rPr>
                <w:color w:val="000000" w:themeColor="text1"/>
              </w:rPr>
              <w:t>be</w:t>
            </w:r>
            <w:r w:rsidRPr="00C66D9D">
              <w:rPr>
                <w:color w:val="000000" w:themeColor="text1"/>
                <w:spacing w:val="-3"/>
              </w:rPr>
              <w:t xml:space="preserve"> </w:t>
            </w:r>
            <w:r w:rsidRPr="00C66D9D">
              <w:rPr>
                <w:color w:val="000000" w:themeColor="text1"/>
              </w:rPr>
              <w:t>relocated</w:t>
            </w:r>
            <w:r w:rsidRPr="00C66D9D">
              <w:rPr>
                <w:color w:val="000000" w:themeColor="text1"/>
                <w:spacing w:val="-3"/>
              </w:rPr>
              <w:t xml:space="preserve"> </w:t>
            </w:r>
            <w:r w:rsidRPr="00C66D9D">
              <w:rPr>
                <w:color w:val="000000" w:themeColor="text1"/>
              </w:rPr>
              <w:t>during</w:t>
            </w:r>
            <w:r w:rsidRPr="00C66D9D">
              <w:rPr>
                <w:color w:val="000000" w:themeColor="text1"/>
                <w:spacing w:val="-3"/>
              </w:rPr>
              <w:t xml:space="preserve"> </w:t>
            </w:r>
            <w:r w:rsidRPr="00C66D9D">
              <w:rPr>
                <w:color w:val="000000" w:themeColor="text1"/>
              </w:rPr>
              <w:t>high</w:t>
            </w:r>
            <w:r w:rsidRPr="00C66D9D">
              <w:rPr>
                <w:color w:val="000000" w:themeColor="text1"/>
                <w:spacing w:val="-3"/>
              </w:rPr>
              <w:t xml:space="preserve"> </w:t>
            </w:r>
            <w:r w:rsidRPr="00C66D9D">
              <w:rPr>
                <w:color w:val="000000" w:themeColor="text1"/>
              </w:rPr>
              <w:t>wave</w:t>
            </w:r>
            <w:r w:rsidRPr="00C66D9D">
              <w:rPr>
                <w:color w:val="000000" w:themeColor="text1"/>
                <w:spacing w:val="-3"/>
              </w:rPr>
              <w:t xml:space="preserve"> </w:t>
            </w:r>
            <w:r w:rsidRPr="00C66D9D">
              <w:rPr>
                <w:color w:val="000000" w:themeColor="text1"/>
                <w:spacing w:val="-2"/>
              </w:rPr>
              <w:t>conditions.</w:t>
            </w:r>
          </w:p>
          <w:p w14:paraId="69A269C3" w14:textId="77777777" w:rsidR="00C66D9D" w:rsidRPr="00C66D9D" w:rsidRDefault="00C66D9D" w:rsidP="00C66D9D">
            <w:pPr>
              <w:pStyle w:val="Table-Bullet"/>
              <w:rPr>
                <w:color w:val="000000" w:themeColor="text1"/>
              </w:rPr>
            </w:pPr>
            <w:r w:rsidRPr="00C66D9D">
              <w:rPr>
                <w:color w:val="000000" w:themeColor="text1"/>
              </w:rPr>
              <w:t>While</w:t>
            </w:r>
            <w:r w:rsidRPr="00C66D9D">
              <w:rPr>
                <w:color w:val="000000" w:themeColor="text1"/>
                <w:spacing w:val="-4"/>
              </w:rPr>
              <w:t xml:space="preserve"> </w:t>
            </w:r>
            <w:r w:rsidRPr="00C66D9D">
              <w:rPr>
                <w:color w:val="000000" w:themeColor="text1"/>
              </w:rPr>
              <w:t>barge</w:t>
            </w:r>
            <w:r w:rsidRPr="00C66D9D">
              <w:rPr>
                <w:color w:val="000000" w:themeColor="text1"/>
                <w:spacing w:val="-4"/>
              </w:rPr>
              <w:t xml:space="preserve"> </w:t>
            </w:r>
            <w:r w:rsidRPr="00C66D9D">
              <w:rPr>
                <w:color w:val="000000" w:themeColor="text1"/>
              </w:rPr>
              <w:t>may</w:t>
            </w:r>
            <w:r w:rsidRPr="00C66D9D">
              <w:rPr>
                <w:color w:val="000000" w:themeColor="text1"/>
                <w:spacing w:val="-3"/>
              </w:rPr>
              <w:t xml:space="preserve"> </w:t>
            </w:r>
            <w:r w:rsidRPr="00C66D9D">
              <w:rPr>
                <w:color w:val="000000" w:themeColor="text1"/>
              </w:rPr>
              <w:t>be</w:t>
            </w:r>
            <w:r w:rsidRPr="00C66D9D">
              <w:rPr>
                <w:color w:val="000000" w:themeColor="text1"/>
                <w:spacing w:val="-4"/>
              </w:rPr>
              <w:t xml:space="preserve"> </w:t>
            </w:r>
            <w:r w:rsidRPr="00C66D9D">
              <w:rPr>
                <w:color w:val="000000" w:themeColor="text1"/>
              </w:rPr>
              <w:t>stable</w:t>
            </w:r>
            <w:r w:rsidRPr="00C66D9D">
              <w:rPr>
                <w:color w:val="000000" w:themeColor="text1"/>
                <w:spacing w:val="-4"/>
              </w:rPr>
              <w:t xml:space="preserve"> </w:t>
            </w:r>
            <w:r w:rsidRPr="00C66D9D">
              <w:rPr>
                <w:color w:val="000000" w:themeColor="text1"/>
              </w:rPr>
              <w:t>under</w:t>
            </w:r>
            <w:r w:rsidRPr="00C66D9D">
              <w:rPr>
                <w:color w:val="000000" w:themeColor="text1"/>
                <w:spacing w:val="-3"/>
              </w:rPr>
              <w:t xml:space="preserve"> </w:t>
            </w:r>
            <w:r w:rsidRPr="00C66D9D">
              <w:rPr>
                <w:color w:val="000000" w:themeColor="text1"/>
              </w:rPr>
              <w:t>wave</w:t>
            </w:r>
            <w:r w:rsidRPr="00C66D9D">
              <w:rPr>
                <w:color w:val="000000" w:themeColor="text1"/>
                <w:spacing w:val="-4"/>
              </w:rPr>
              <w:t xml:space="preserve"> </w:t>
            </w:r>
            <w:r w:rsidRPr="00C66D9D">
              <w:rPr>
                <w:color w:val="000000" w:themeColor="text1"/>
              </w:rPr>
              <w:t>conditions</w:t>
            </w:r>
            <w:r w:rsidRPr="00C66D9D">
              <w:rPr>
                <w:color w:val="000000" w:themeColor="text1"/>
                <w:spacing w:val="-3"/>
              </w:rPr>
              <w:t xml:space="preserve"> </w:t>
            </w:r>
            <w:r w:rsidRPr="00C66D9D">
              <w:rPr>
                <w:color w:val="000000" w:themeColor="text1"/>
              </w:rPr>
              <w:t>that</w:t>
            </w:r>
            <w:r w:rsidRPr="00C66D9D">
              <w:rPr>
                <w:color w:val="000000" w:themeColor="text1"/>
                <w:spacing w:val="-3"/>
              </w:rPr>
              <w:t xml:space="preserve"> </w:t>
            </w:r>
            <w:r w:rsidRPr="00C66D9D">
              <w:rPr>
                <w:color w:val="000000" w:themeColor="text1"/>
              </w:rPr>
              <w:t>would</w:t>
            </w:r>
            <w:r w:rsidRPr="00C66D9D">
              <w:rPr>
                <w:color w:val="000000" w:themeColor="text1"/>
                <w:spacing w:val="-4"/>
              </w:rPr>
              <w:t xml:space="preserve"> </w:t>
            </w:r>
            <w:r w:rsidRPr="00C66D9D">
              <w:rPr>
                <w:color w:val="000000" w:themeColor="text1"/>
              </w:rPr>
              <w:t>typically</w:t>
            </w:r>
            <w:r w:rsidRPr="00C66D9D">
              <w:rPr>
                <w:color w:val="000000" w:themeColor="text1"/>
                <w:spacing w:val="-3"/>
              </w:rPr>
              <w:t xml:space="preserve"> </w:t>
            </w:r>
            <w:r w:rsidRPr="00C66D9D">
              <w:rPr>
                <w:color w:val="000000" w:themeColor="text1"/>
              </w:rPr>
              <w:t>be</w:t>
            </w:r>
            <w:r w:rsidRPr="00C66D9D">
              <w:rPr>
                <w:color w:val="000000" w:themeColor="text1"/>
                <w:spacing w:val="-4"/>
              </w:rPr>
              <w:t xml:space="preserve"> </w:t>
            </w:r>
            <w:r w:rsidRPr="00C66D9D">
              <w:rPr>
                <w:color w:val="000000" w:themeColor="text1"/>
              </w:rPr>
              <w:t>unsuitable</w:t>
            </w:r>
            <w:r w:rsidRPr="00C66D9D">
              <w:rPr>
                <w:color w:val="000000" w:themeColor="text1"/>
                <w:spacing w:val="-4"/>
              </w:rPr>
              <w:t xml:space="preserve"> </w:t>
            </w:r>
            <w:r w:rsidRPr="00C66D9D">
              <w:rPr>
                <w:color w:val="000000" w:themeColor="text1"/>
              </w:rPr>
              <w:t>for other dredgers, operating the dredger during such conditions may still be a high-risk operation due to wave loading on the dredge equipment.</w:t>
            </w:r>
          </w:p>
          <w:p w14:paraId="16C05009" w14:textId="77777777" w:rsidR="00C66D9D" w:rsidRPr="00C66D9D" w:rsidRDefault="00C66D9D" w:rsidP="00C66D9D">
            <w:pPr>
              <w:pStyle w:val="Table-Bullet"/>
              <w:rPr>
                <w:color w:val="000000" w:themeColor="text1"/>
              </w:rPr>
            </w:pPr>
            <w:r w:rsidRPr="00C66D9D">
              <w:rPr>
                <w:color w:val="000000" w:themeColor="text1"/>
              </w:rPr>
              <w:t>Lower</w:t>
            </w:r>
            <w:r w:rsidRPr="00C66D9D">
              <w:rPr>
                <w:color w:val="000000" w:themeColor="text1"/>
                <w:spacing w:val="-5"/>
              </w:rPr>
              <w:t xml:space="preserve"> </w:t>
            </w:r>
            <w:r w:rsidRPr="00C66D9D">
              <w:rPr>
                <w:color w:val="000000" w:themeColor="text1"/>
              </w:rPr>
              <w:t>productivity</w:t>
            </w:r>
            <w:r w:rsidRPr="00C66D9D">
              <w:rPr>
                <w:color w:val="000000" w:themeColor="text1"/>
                <w:spacing w:val="-2"/>
              </w:rPr>
              <w:t xml:space="preserve"> </w:t>
            </w:r>
            <w:r w:rsidRPr="00C66D9D">
              <w:rPr>
                <w:color w:val="000000" w:themeColor="text1"/>
              </w:rPr>
              <w:t>compared</w:t>
            </w:r>
            <w:r w:rsidRPr="00C66D9D">
              <w:rPr>
                <w:color w:val="000000" w:themeColor="text1"/>
                <w:spacing w:val="-4"/>
              </w:rPr>
              <w:t xml:space="preserve"> </w:t>
            </w:r>
            <w:r w:rsidRPr="00C66D9D">
              <w:rPr>
                <w:color w:val="000000" w:themeColor="text1"/>
              </w:rPr>
              <w:t>to</w:t>
            </w:r>
            <w:r w:rsidRPr="00C66D9D">
              <w:rPr>
                <w:color w:val="000000" w:themeColor="text1"/>
                <w:spacing w:val="-3"/>
              </w:rPr>
              <w:t xml:space="preserve"> </w:t>
            </w:r>
            <w:r w:rsidRPr="00C66D9D">
              <w:rPr>
                <w:color w:val="000000" w:themeColor="text1"/>
              </w:rPr>
              <w:t>existing</w:t>
            </w:r>
            <w:r w:rsidRPr="00C66D9D">
              <w:rPr>
                <w:color w:val="000000" w:themeColor="text1"/>
                <w:spacing w:val="-3"/>
              </w:rPr>
              <w:t xml:space="preserve"> </w:t>
            </w:r>
            <w:r w:rsidRPr="00C66D9D">
              <w:rPr>
                <w:color w:val="000000" w:themeColor="text1"/>
              </w:rPr>
              <w:t>cutter</w:t>
            </w:r>
            <w:r w:rsidRPr="00C66D9D">
              <w:rPr>
                <w:color w:val="000000" w:themeColor="text1"/>
                <w:spacing w:val="-2"/>
              </w:rPr>
              <w:t xml:space="preserve"> </w:t>
            </w:r>
            <w:r w:rsidRPr="00C66D9D">
              <w:rPr>
                <w:color w:val="000000" w:themeColor="text1"/>
              </w:rPr>
              <w:t>suction</w:t>
            </w:r>
            <w:r w:rsidRPr="00C66D9D">
              <w:rPr>
                <w:color w:val="000000" w:themeColor="text1"/>
                <w:spacing w:val="-4"/>
              </w:rPr>
              <w:t xml:space="preserve"> </w:t>
            </w:r>
            <w:r w:rsidRPr="00C66D9D">
              <w:rPr>
                <w:color w:val="000000" w:themeColor="text1"/>
              </w:rPr>
              <w:t>dredger</w:t>
            </w:r>
            <w:r w:rsidRPr="00C66D9D">
              <w:rPr>
                <w:color w:val="000000" w:themeColor="text1"/>
                <w:spacing w:val="-2"/>
              </w:rPr>
              <w:t xml:space="preserve"> </w:t>
            </w:r>
            <w:r w:rsidRPr="00C66D9D">
              <w:rPr>
                <w:color w:val="000000" w:themeColor="text1"/>
              </w:rPr>
              <w:t>or</w:t>
            </w:r>
            <w:r w:rsidRPr="00C66D9D">
              <w:rPr>
                <w:color w:val="000000" w:themeColor="text1"/>
                <w:spacing w:val="-2"/>
              </w:rPr>
              <w:t xml:space="preserve"> TSHD.</w:t>
            </w:r>
          </w:p>
          <w:p w14:paraId="6ACB15D9" w14:textId="77777777" w:rsidR="00C66D9D" w:rsidRPr="00C66D9D" w:rsidRDefault="00C66D9D" w:rsidP="00C66D9D">
            <w:pPr>
              <w:pStyle w:val="Table-Bullet"/>
              <w:rPr>
                <w:color w:val="000000" w:themeColor="text1"/>
              </w:rPr>
            </w:pPr>
            <w:r w:rsidRPr="00C66D9D">
              <w:rPr>
                <w:color w:val="000000" w:themeColor="text1"/>
              </w:rPr>
              <w:t>Requires</w:t>
            </w:r>
            <w:r w:rsidRPr="00C66D9D">
              <w:rPr>
                <w:color w:val="000000" w:themeColor="text1"/>
                <w:spacing w:val="-3"/>
              </w:rPr>
              <w:t xml:space="preserve"> </w:t>
            </w:r>
            <w:r w:rsidRPr="00C66D9D">
              <w:rPr>
                <w:color w:val="000000" w:themeColor="text1"/>
              </w:rPr>
              <w:t>support</w:t>
            </w:r>
            <w:r w:rsidRPr="00C66D9D">
              <w:rPr>
                <w:color w:val="000000" w:themeColor="text1"/>
                <w:spacing w:val="-3"/>
              </w:rPr>
              <w:t xml:space="preserve"> </w:t>
            </w:r>
            <w:r w:rsidRPr="00C66D9D">
              <w:rPr>
                <w:color w:val="000000" w:themeColor="text1"/>
              </w:rPr>
              <w:t>vessels</w:t>
            </w:r>
            <w:r w:rsidRPr="00C66D9D">
              <w:rPr>
                <w:color w:val="000000" w:themeColor="text1"/>
                <w:spacing w:val="-2"/>
              </w:rPr>
              <w:t xml:space="preserve"> </w:t>
            </w:r>
            <w:r w:rsidRPr="00C66D9D">
              <w:rPr>
                <w:color w:val="000000" w:themeColor="text1"/>
              </w:rPr>
              <w:t>to</w:t>
            </w:r>
            <w:r w:rsidRPr="00C66D9D">
              <w:rPr>
                <w:color w:val="000000" w:themeColor="text1"/>
                <w:spacing w:val="-3"/>
              </w:rPr>
              <w:t xml:space="preserve"> </w:t>
            </w:r>
            <w:r w:rsidRPr="00C66D9D">
              <w:rPr>
                <w:color w:val="000000" w:themeColor="text1"/>
                <w:spacing w:val="-2"/>
              </w:rPr>
              <w:t>reposition.</w:t>
            </w:r>
          </w:p>
          <w:p w14:paraId="0C1228F6" w14:textId="77777777" w:rsidR="00C66D9D" w:rsidRPr="00C66D9D" w:rsidRDefault="00C66D9D" w:rsidP="00C66D9D">
            <w:pPr>
              <w:pStyle w:val="Table-Bullet"/>
              <w:rPr>
                <w:color w:val="000000" w:themeColor="text1"/>
              </w:rPr>
            </w:pPr>
            <w:r w:rsidRPr="00C66D9D">
              <w:rPr>
                <w:color w:val="000000" w:themeColor="text1"/>
              </w:rPr>
              <w:t>Stability</w:t>
            </w:r>
            <w:r w:rsidRPr="00C66D9D">
              <w:rPr>
                <w:color w:val="000000" w:themeColor="text1"/>
                <w:spacing w:val="-5"/>
              </w:rPr>
              <w:t xml:space="preserve"> </w:t>
            </w:r>
            <w:r w:rsidRPr="00C66D9D">
              <w:rPr>
                <w:color w:val="000000" w:themeColor="text1"/>
              </w:rPr>
              <w:t>concerns</w:t>
            </w:r>
            <w:r w:rsidRPr="00C66D9D">
              <w:rPr>
                <w:color w:val="000000" w:themeColor="text1"/>
                <w:spacing w:val="-3"/>
              </w:rPr>
              <w:t xml:space="preserve"> </w:t>
            </w:r>
            <w:r w:rsidRPr="00C66D9D">
              <w:rPr>
                <w:color w:val="000000" w:themeColor="text1"/>
              </w:rPr>
              <w:t>with</w:t>
            </w:r>
            <w:r w:rsidRPr="00C66D9D">
              <w:rPr>
                <w:color w:val="000000" w:themeColor="text1"/>
                <w:spacing w:val="-3"/>
              </w:rPr>
              <w:t xml:space="preserve"> </w:t>
            </w:r>
            <w:r w:rsidRPr="00C66D9D">
              <w:rPr>
                <w:color w:val="000000" w:themeColor="text1"/>
              </w:rPr>
              <w:t>limited</w:t>
            </w:r>
            <w:r w:rsidRPr="00C66D9D">
              <w:rPr>
                <w:color w:val="000000" w:themeColor="text1"/>
                <w:spacing w:val="-2"/>
              </w:rPr>
              <w:t xml:space="preserve"> </w:t>
            </w:r>
            <w:r w:rsidRPr="00C66D9D">
              <w:rPr>
                <w:color w:val="000000" w:themeColor="text1"/>
              </w:rPr>
              <w:t>penetration</w:t>
            </w:r>
            <w:r w:rsidRPr="00C66D9D">
              <w:rPr>
                <w:color w:val="000000" w:themeColor="text1"/>
                <w:spacing w:val="-4"/>
              </w:rPr>
              <w:t xml:space="preserve"> </w:t>
            </w:r>
            <w:r w:rsidRPr="00C66D9D">
              <w:rPr>
                <w:color w:val="000000" w:themeColor="text1"/>
              </w:rPr>
              <w:t>depth</w:t>
            </w:r>
            <w:r w:rsidRPr="00C66D9D">
              <w:rPr>
                <w:color w:val="000000" w:themeColor="text1"/>
                <w:spacing w:val="-3"/>
              </w:rPr>
              <w:t xml:space="preserve"> </w:t>
            </w:r>
            <w:r w:rsidRPr="00C66D9D">
              <w:rPr>
                <w:color w:val="000000" w:themeColor="text1"/>
              </w:rPr>
              <w:t>to</w:t>
            </w:r>
            <w:r w:rsidRPr="00C66D9D">
              <w:rPr>
                <w:color w:val="000000" w:themeColor="text1"/>
                <w:spacing w:val="-4"/>
              </w:rPr>
              <w:t xml:space="preserve"> </w:t>
            </w:r>
            <w:r w:rsidRPr="00C66D9D">
              <w:rPr>
                <w:color w:val="000000" w:themeColor="text1"/>
              </w:rPr>
              <w:t>rocky</w:t>
            </w:r>
            <w:r w:rsidRPr="00C66D9D">
              <w:rPr>
                <w:color w:val="000000" w:themeColor="text1"/>
                <w:spacing w:val="-2"/>
              </w:rPr>
              <w:t xml:space="preserve"> shelf.</w:t>
            </w:r>
          </w:p>
          <w:p w14:paraId="78D3A543" w14:textId="4711D036" w:rsidR="00C66D9D" w:rsidRPr="00C66D9D" w:rsidRDefault="00C66D9D" w:rsidP="00C66D9D">
            <w:pPr>
              <w:pStyle w:val="Table-Bullet"/>
              <w:rPr>
                <w:color w:val="000000" w:themeColor="text1"/>
              </w:rPr>
            </w:pPr>
            <w:r w:rsidRPr="00C66D9D">
              <w:rPr>
                <w:color w:val="000000" w:themeColor="text1"/>
              </w:rPr>
              <w:t>Visual</w:t>
            </w:r>
            <w:r w:rsidRPr="00C66D9D">
              <w:rPr>
                <w:color w:val="000000" w:themeColor="text1"/>
                <w:spacing w:val="-5"/>
              </w:rPr>
              <w:t xml:space="preserve"> </w:t>
            </w:r>
            <w:r w:rsidRPr="00C66D9D">
              <w:rPr>
                <w:color w:val="000000" w:themeColor="text1"/>
              </w:rPr>
              <w:t>and</w:t>
            </w:r>
            <w:r w:rsidRPr="00C66D9D">
              <w:rPr>
                <w:color w:val="000000" w:themeColor="text1"/>
                <w:spacing w:val="-2"/>
              </w:rPr>
              <w:t xml:space="preserve"> </w:t>
            </w:r>
            <w:r w:rsidRPr="00C66D9D">
              <w:rPr>
                <w:color w:val="000000" w:themeColor="text1"/>
              </w:rPr>
              <w:t>aesthetic</w:t>
            </w:r>
            <w:r w:rsidRPr="00C66D9D">
              <w:rPr>
                <w:color w:val="000000" w:themeColor="text1"/>
                <w:spacing w:val="-3"/>
              </w:rPr>
              <w:t xml:space="preserve"> </w:t>
            </w:r>
            <w:r w:rsidRPr="00C66D9D">
              <w:rPr>
                <w:color w:val="000000" w:themeColor="text1"/>
              </w:rPr>
              <w:t>impacts.</w:t>
            </w:r>
            <w:r w:rsidRPr="00C66D9D">
              <w:rPr>
                <w:color w:val="000000" w:themeColor="text1"/>
                <w:spacing w:val="-3"/>
              </w:rPr>
              <w:t xml:space="preserve"> </w:t>
            </w:r>
            <w:r w:rsidRPr="00C66D9D">
              <w:rPr>
                <w:color w:val="000000" w:themeColor="text1"/>
              </w:rPr>
              <w:t>Safety</w:t>
            </w:r>
            <w:r w:rsidRPr="00C66D9D">
              <w:rPr>
                <w:color w:val="000000" w:themeColor="text1"/>
                <w:spacing w:val="-3"/>
              </w:rPr>
              <w:t xml:space="preserve"> </w:t>
            </w:r>
            <w:r w:rsidRPr="00C66D9D">
              <w:rPr>
                <w:color w:val="000000" w:themeColor="text1"/>
              </w:rPr>
              <w:t>impacts</w:t>
            </w:r>
            <w:r w:rsidRPr="00C66D9D">
              <w:rPr>
                <w:color w:val="000000" w:themeColor="text1"/>
                <w:spacing w:val="-2"/>
              </w:rPr>
              <w:t xml:space="preserve"> </w:t>
            </w:r>
            <w:r w:rsidRPr="00C66D9D">
              <w:rPr>
                <w:color w:val="000000" w:themeColor="text1"/>
              </w:rPr>
              <w:t>to</w:t>
            </w:r>
            <w:r w:rsidRPr="00C66D9D">
              <w:rPr>
                <w:color w:val="000000" w:themeColor="text1"/>
                <w:spacing w:val="-4"/>
              </w:rPr>
              <w:t xml:space="preserve"> </w:t>
            </w:r>
            <w:r w:rsidRPr="00C66D9D">
              <w:rPr>
                <w:color w:val="000000" w:themeColor="text1"/>
              </w:rPr>
              <w:t>marine</w:t>
            </w:r>
            <w:r w:rsidRPr="00C66D9D">
              <w:rPr>
                <w:color w:val="000000" w:themeColor="text1"/>
                <w:spacing w:val="-4"/>
              </w:rPr>
              <w:t xml:space="preserve"> </w:t>
            </w:r>
            <w:r w:rsidRPr="00C66D9D">
              <w:rPr>
                <w:color w:val="000000" w:themeColor="text1"/>
              </w:rPr>
              <w:t>recreational</w:t>
            </w:r>
            <w:r w:rsidRPr="00C66D9D">
              <w:rPr>
                <w:color w:val="000000" w:themeColor="text1"/>
                <w:spacing w:val="-1"/>
              </w:rPr>
              <w:t xml:space="preserve"> </w:t>
            </w:r>
            <w:r w:rsidRPr="00C66D9D">
              <w:rPr>
                <w:color w:val="000000" w:themeColor="text1"/>
                <w:spacing w:val="-2"/>
              </w:rPr>
              <w:t>users.</w:t>
            </w:r>
          </w:p>
        </w:tc>
      </w:tr>
      <w:tr w:rsidR="00C66D9D" w14:paraId="0E03172E" w14:textId="77777777">
        <w:trPr>
          <w:trHeight w:val="85"/>
        </w:trPr>
        <w:tc>
          <w:tcPr>
            <w:tcW w:w="1029" w:type="pct"/>
            <w:tcBorders>
              <w:top w:val="single" w:sz="4" w:space="0" w:color="5F6369" w:themeColor="text2"/>
              <w:left w:val="nil"/>
              <w:bottom w:val="single" w:sz="4" w:space="0" w:color="5F6369" w:themeColor="text2"/>
              <w:right w:val="nil"/>
            </w:tcBorders>
          </w:tcPr>
          <w:p w14:paraId="14FA57B3" w14:textId="77777777" w:rsidR="00C66D9D" w:rsidRPr="00D4309F" w:rsidRDefault="00C66D9D">
            <w:pPr>
              <w:pStyle w:val="Table-Heading"/>
            </w:pPr>
            <w:r>
              <w:t>Cost</w:t>
            </w:r>
          </w:p>
        </w:tc>
        <w:tc>
          <w:tcPr>
            <w:tcW w:w="3971" w:type="pct"/>
            <w:tcBorders>
              <w:top w:val="single" w:sz="4" w:space="0" w:color="5F6369" w:themeColor="text2"/>
              <w:left w:val="nil"/>
              <w:bottom w:val="single" w:sz="4" w:space="0" w:color="5F6369" w:themeColor="text2"/>
              <w:right w:val="nil"/>
            </w:tcBorders>
          </w:tcPr>
          <w:p w14:paraId="63033B34" w14:textId="37EA113F" w:rsidR="00C66D9D" w:rsidRPr="00C66D9D" w:rsidRDefault="00C66D9D" w:rsidP="00C66D9D">
            <w:pPr>
              <w:pStyle w:val="Table-Bullet"/>
              <w:rPr>
                <w:color w:val="000000" w:themeColor="text1"/>
              </w:rPr>
            </w:pPr>
            <w:r w:rsidRPr="00C66D9D">
              <w:rPr>
                <w:color w:val="000000" w:themeColor="text1"/>
                <w:spacing w:val="-4"/>
              </w:rPr>
              <w:t>High</w:t>
            </w:r>
          </w:p>
        </w:tc>
      </w:tr>
    </w:tbl>
    <w:p w14:paraId="3B89743D" w14:textId="77777777" w:rsidR="00725977" w:rsidRPr="00D4309F" w:rsidRDefault="00725977" w:rsidP="00725977">
      <w:pPr>
        <w:pStyle w:val="BodyText"/>
      </w:pPr>
      <w:bookmarkStart w:id="147" w:name="_bookmark62"/>
      <w:bookmarkEnd w:id="147"/>
    </w:p>
    <w:p w14:paraId="233D2812" w14:textId="77777777" w:rsidR="00725977" w:rsidRPr="00D4309F" w:rsidRDefault="00725977" w:rsidP="004426B8">
      <w:pPr>
        <w:pStyle w:val="Heading3"/>
      </w:pPr>
      <w:bookmarkStart w:id="148" w:name="_Toc216699343"/>
      <w:r w:rsidRPr="00D4309F">
        <w:t>B</w:t>
      </w:r>
      <w:r w:rsidRPr="004426B8">
        <w:t>ed-levelling</w:t>
      </w:r>
      <w:bookmarkEnd w:id="148"/>
    </w:p>
    <w:p w14:paraId="7C370131" w14:textId="77777777" w:rsidR="00725977" w:rsidRDefault="00725977" w:rsidP="00725977">
      <w:pPr>
        <w:pStyle w:val="BodyText"/>
      </w:pPr>
      <w:r w:rsidRPr="00D4309F">
        <w:t>This</w:t>
      </w:r>
      <w:r w:rsidRPr="00D4309F">
        <w:rPr>
          <w:spacing w:val="-2"/>
        </w:rPr>
        <w:t xml:space="preserve"> </w:t>
      </w:r>
      <w:r w:rsidRPr="00D4309F">
        <w:t>option</w:t>
      </w:r>
      <w:r w:rsidRPr="00D4309F">
        <w:rPr>
          <w:spacing w:val="-3"/>
        </w:rPr>
        <w:t xml:space="preserve"> </w:t>
      </w:r>
      <w:r w:rsidRPr="00D4309F">
        <w:t>involves</w:t>
      </w:r>
      <w:r w:rsidRPr="00D4309F">
        <w:rPr>
          <w:spacing w:val="-2"/>
        </w:rPr>
        <w:t xml:space="preserve"> </w:t>
      </w:r>
      <w:r w:rsidRPr="00D4309F">
        <w:t>bed-levelling</w:t>
      </w:r>
      <w:r w:rsidRPr="00D4309F">
        <w:rPr>
          <w:spacing w:val="-3"/>
        </w:rPr>
        <w:t xml:space="preserve"> </w:t>
      </w:r>
      <w:r w:rsidRPr="00D4309F">
        <w:t>activities</w:t>
      </w:r>
      <w:r w:rsidRPr="00D4309F">
        <w:rPr>
          <w:spacing w:val="-2"/>
        </w:rPr>
        <w:t xml:space="preserve"> </w:t>
      </w:r>
      <w:r w:rsidRPr="00D4309F">
        <w:t>to</w:t>
      </w:r>
      <w:r w:rsidRPr="00D4309F">
        <w:rPr>
          <w:spacing w:val="-3"/>
        </w:rPr>
        <w:t xml:space="preserve"> </w:t>
      </w:r>
      <w:r w:rsidRPr="00D4309F">
        <w:t>manage</w:t>
      </w:r>
      <w:r w:rsidRPr="00D4309F">
        <w:rPr>
          <w:spacing w:val="-4"/>
        </w:rPr>
        <w:t xml:space="preserve"> </w:t>
      </w:r>
      <w:r w:rsidRPr="00D4309F">
        <w:t>sand</w:t>
      </w:r>
      <w:r w:rsidRPr="00D4309F">
        <w:rPr>
          <w:spacing w:val="-4"/>
        </w:rPr>
        <w:t xml:space="preserve"> </w:t>
      </w:r>
      <w:r w:rsidRPr="00D4309F">
        <w:t>shoals</w:t>
      </w:r>
      <w:r w:rsidRPr="00D4309F">
        <w:rPr>
          <w:spacing w:val="-3"/>
        </w:rPr>
        <w:t xml:space="preserve"> </w:t>
      </w:r>
      <w:r w:rsidRPr="00D4309F">
        <w:t>at</w:t>
      </w:r>
      <w:r w:rsidRPr="00D4309F">
        <w:rPr>
          <w:spacing w:val="-3"/>
        </w:rPr>
        <w:t xml:space="preserve"> </w:t>
      </w:r>
      <w:r w:rsidRPr="00D4309F">
        <w:t>the</w:t>
      </w:r>
      <w:r w:rsidRPr="00D4309F">
        <w:rPr>
          <w:spacing w:val="-3"/>
        </w:rPr>
        <w:t xml:space="preserve"> </w:t>
      </w:r>
      <w:r w:rsidRPr="00D4309F">
        <w:t>entrance.</w:t>
      </w:r>
      <w:r w:rsidRPr="00D4309F">
        <w:rPr>
          <w:spacing w:val="-4"/>
        </w:rPr>
        <w:t xml:space="preserve"> </w:t>
      </w:r>
      <w:r w:rsidRPr="00D4309F">
        <w:t>Due</w:t>
      </w:r>
      <w:r w:rsidRPr="00D4309F">
        <w:rPr>
          <w:spacing w:val="-3"/>
        </w:rPr>
        <w:t xml:space="preserve"> </w:t>
      </w:r>
      <w:r w:rsidRPr="00D4309F">
        <w:t>to</w:t>
      </w:r>
      <w:r w:rsidRPr="00D4309F">
        <w:rPr>
          <w:spacing w:val="-3"/>
        </w:rPr>
        <w:t xml:space="preserve"> </w:t>
      </w:r>
      <w:r w:rsidRPr="00D4309F">
        <w:t>challenges</w:t>
      </w:r>
      <w:r w:rsidRPr="00D4309F">
        <w:rPr>
          <w:spacing w:val="-2"/>
        </w:rPr>
        <w:t xml:space="preserve"> </w:t>
      </w:r>
      <w:r w:rsidRPr="00D4309F">
        <w:t>and risks associated with bed-levelling activities exposed to wave conditions at the entrance, this option is not recommended to be applied as an interim solution.</w:t>
      </w:r>
    </w:p>
    <w:p w14:paraId="7740ACC8" w14:textId="77777777" w:rsidR="00F06E88" w:rsidRDefault="00F06E88" w:rsidP="00725977">
      <w:pPr>
        <w:pStyle w:val="BodyText"/>
      </w:pPr>
    </w:p>
    <w:p w14:paraId="5ADE958D" w14:textId="6D98C0C7" w:rsidR="0053392F" w:rsidRDefault="0053392F" w:rsidP="00151534">
      <w:pPr>
        <w:pStyle w:val="Table-Caption"/>
      </w:pPr>
      <w:bookmarkStart w:id="149" w:name="_Toc216699544"/>
      <w:r>
        <w:t xml:space="preserve">Table </w:t>
      </w:r>
      <w:r w:rsidR="00151534">
        <w:fldChar w:fldCharType="begin" w:fldLock="1"/>
      </w:r>
      <w:r w:rsidR="00151534">
        <w:instrText xml:space="preserve"> STYLEREF 1 \s </w:instrText>
      </w:r>
      <w:r w:rsidR="00151534">
        <w:fldChar w:fldCharType="separate"/>
      </w:r>
      <w:r w:rsidR="00151534">
        <w:rPr>
          <w:noProof/>
        </w:rPr>
        <w:t>10</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5</w:t>
      </w:r>
      <w:r w:rsidR="00151534">
        <w:fldChar w:fldCharType="end"/>
      </w:r>
      <w:r>
        <w:t>:</w:t>
      </w:r>
      <w:r>
        <w:tab/>
      </w:r>
      <w:r w:rsidRPr="00D4309F">
        <w:rPr>
          <w:color w:val="211E1F"/>
        </w:rPr>
        <w:t>Use</w:t>
      </w:r>
      <w:r w:rsidRPr="00D4309F">
        <w:rPr>
          <w:color w:val="211E1F"/>
          <w:spacing w:val="-2"/>
        </w:rPr>
        <w:t xml:space="preserve"> </w:t>
      </w:r>
      <w:r w:rsidRPr="00D4309F">
        <w:rPr>
          <w:color w:val="211E1F"/>
        </w:rPr>
        <w:t>of</w:t>
      </w:r>
      <w:r w:rsidRPr="00D4309F">
        <w:rPr>
          <w:color w:val="211E1F"/>
          <w:spacing w:val="-1"/>
        </w:rPr>
        <w:t xml:space="preserve"> </w:t>
      </w:r>
      <w:r w:rsidRPr="00D4309F">
        <w:rPr>
          <w:color w:val="211E1F"/>
        </w:rPr>
        <w:t>bed-levelling</w:t>
      </w:r>
      <w:r w:rsidRPr="00D4309F">
        <w:rPr>
          <w:color w:val="211E1F"/>
          <w:spacing w:val="-2"/>
        </w:rPr>
        <w:t xml:space="preserve"> option</w:t>
      </w:r>
      <w:bookmarkEnd w:id="149"/>
    </w:p>
    <w:tbl>
      <w:tblPr>
        <w:tblStyle w:val="Table1"/>
        <w:tblW w:w="5000" w:type="pct"/>
        <w:tblLook w:val="0620" w:firstRow="1" w:lastRow="0" w:firstColumn="0" w:lastColumn="0" w:noHBand="1" w:noVBand="1"/>
      </w:tblPr>
      <w:tblGrid>
        <w:gridCol w:w="1984"/>
        <w:gridCol w:w="7658"/>
      </w:tblGrid>
      <w:tr w:rsidR="00C66D9D" w14:paraId="18DD0535" w14:textId="77777777">
        <w:trPr>
          <w:cnfStyle w:val="100000000000" w:firstRow="1" w:lastRow="0" w:firstColumn="0" w:lastColumn="0" w:oddVBand="0" w:evenVBand="0" w:oddHBand="0" w:evenHBand="0" w:firstRowFirstColumn="0" w:firstRowLastColumn="0" w:lastRowFirstColumn="0" w:lastRowLastColumn="0"/>
        </w:trPr>
        <w:tc>
          <w:tcPr>
            <w:tcW w:w="1029" w:type="pct"/>
            <w:tcBorders>
              <w:top w:val="single" w:sz="4" w:space="0" w:color="5F6369" w:themeColor="text2"/>
              <w:bottom w:val="single" w:sz="4" w:space="0" w:color="5F6369" w:themeColor="text2"/>
            </w:tcBorders>
            <w:shd w:val="clear" w:color="auto" w:fill="auto"/>
            <w:hideMark/>
          </w:tcPr>
          <w:p w14:paraId="1F249152" w14:textId="77777777" w:rsidR="00C66D9D" w:rsidRPr="00D44877" w:rsidRDefault="00C66D9D">
            <w:pPr>
              <w:pStyle w:val="Table-Heading"/>
            </w:pPr>
            <w:r w:rsidRPr="00D44877">
              <w:t>Advantages</w:t>
            </w:r>
          </w:p>
        </w:tc>
        <w:tc>
          <w:tcPr>
            <w:tcW w:w="3971" w:type="pct"/>
            <w:tcBorders>
              <w:top w:val="single" w:sz="4" w:space="0" w:color="5F6369" w:themeColor="text2"/>
              <w:bottom w:val="single" w:sz="4" w:space="0" w:color="5F6369" w:themeColor="text2"/>
            </w:tcBorders>
            <w:shd w:val="clear" w:color="auto" w:fill="auto"/>
          </w:tcPr>
          <w:p w14:paraId="4115BF87" w14:textId="77777777" w:rsidR="00C66D9D" w:rsidRPr="00C66D9D" w:rsidRDefault="00C66D9D" w:rsidP="00C66D9D">
            <w:pPr>
              <w:pStyle w:val="Table-Bullet"/>
              <w:rPr>
                <w:color w:val="000000" w:themeColor="text1"/>
              </w:rPr>
            </w:pPr>
            <w:r w:rsidRPr="00C66D9D">
              <w:rPr>
                <w:color w:val="000000" w:themeColor="text1"/>
              </w:rPr>
              <w:t>Low</w:t>
            </w:r>
            <w:r w:rsidRPr="00C66D9D">
              <w:rPr>
                <w:color w:val="000000" w:themeColor="text1"/>
                <w:spacing w:val="-5"/>
              </w:rPr>
              <w:t xml:space="preserve"> </w:t>
            </w:r>
            <w:r w:rsidRPr="00C66D9D">
              <w:rPr>
                <w:color w:val="000000" w:themeColor="text1"/>
              </w:rPr>
              <w:t>cost</w:t>
            </w:r>
            <w:r w:rsidRPr="00C66D9D">
              <w:rPr>
                <w:color w:val="000000" w:themeColor="text1"/>
                <w:spacing w:val="-3"/>
              </w:rPr>
              <w:t xml:space="preserve"> </w:t>
            </w:r>
            <w:r w:rsidRPr="00C66D9D">
              <w:rPr>
                <w:color w:val="000000" w:themeColor="text1"/>
              </w:rPr>
              <w:t>(under</w:t>
            </w:r>
            <w:r w:rsidRPr="00C66D9D">
              <w:rPr>
                <w:color w:val="000000" w:themeColor="text1"/>
                <w:spacing w:val="-3"/>
              </w:rPr>
              <w:t xml:space="preserve"> </w:t>
            </w:r>
            <w:r w:rsidRPr="00C66D9D">
              <w:rPr>
                <w:color w:val="000000" w:themeColor="text1"/>
              </w:rPr>
              <w:t>ideal</w:t>
            </w:r>
            <w:r w:rsidRPr="00C66D9D">
              <w:rPr>
                <w:color w:val="000000" w:themeColor="text1"/>
                <w:spacing w:val="-3"/>
              </w:rPr>
              <w:t xml:space="preserve"> </w:t>
            </w:r>
            <w:r w:rsidRPr="00C66D9D">
              <w:rPr>
                <w:color w:val="000000" w:themeColor="text1"/>
              </w:rPr>
              <w:t>weather</w:t>
            </w:r>
            <w:r w:rsidRPr="00C66D9D">
              <w:rPr>
                <w:color w:val="000000" w:themeColor="text1"/>
                <w:spacing w:val="-2"/>
              </w:rPr>
              <w:t xml:space="preserve"> </w:t>
            </w:r>
            <w:r w:rsidRPr="00C66D9D">
              <w:rPr>
                <w:color w:val="000000" w:themeColor="text1"/>
              </w:rPr>
              <w:t>circumstances</w:t>
            </w:r>
            <w:r w:rsidRPr="00C66D9D">
              <w:rPr>
                <w:color w:val="000000" w:themeColor="text1"/>
                <w:spacing w:val="-2"/>
              </w:rPr>
              <w:t xml:space="preserve"> </w:t>
            </w:r>
            <w:r w:rsidRPr="00C66D9D">
              <w:rPr>
                <w:color w:val="000000" w:themeColor="text1"/>
              </w:rPr>
              <w:t>and</w:t>
            </w:r>
            <w:r w:rsidRPr="00C66D9D">
              <w:rPr>
                <w:color w:val="000000" w:themeColor="text1"/>
                <w:spacing w:val="-3"/>
              </w:rPr>
              <w:t xml:space="preserve"> </w:t>
            </w:r>
            <w:r w:rsidRPr="00C66D9D">
              <w:rPr>
                <w:color w:val="000000" w:themeColor="text1"/>
              </w:rPr>
              <w:t>Contractor</w:t>
            </w:r>
            <w:r w:rsidRPr="00C66D9D">
              <w:rPr>
                <w:color w:val="000000" w:themeColor="text1"/>
                <w:spacing w:val="-3"/>
              </w:rPr>
              <w:t xml:space="preserve"> </w:t>
            </w:r>
            <w:r w:rsidRPr="00C66D9D">
              <w:rPr>
                <w:color w:val="000000" w:themeColor="text1"/>
              </w:rPr>
              <w:t>availability</w:t>
            </w:r>
            <w:r w:rsidRPr="00C66D9D">
              <w:rPr>
                <w:color w:val="000000" w:themeColor="text1"/>
                <w:spacing w:val="-3"/>
              </w:rPr>
              <w:t xml:space="preserve"> </w:t>
            </w:r>
            <w:r w:rsidRPr="00C66D9D">
              <w:rPr>
                <w:color w:val="000000" w:themeColor="text1"/>
              </w:rPr>
              <w:t>i.e.,</w:t>
            </w:r>
            <w:r w:rsidRPr="00C66D9D">
              <w:rPr>
                <w:color w:val="000000" w:themeColor="text1"/>
                <w:spacing w:val="-3"/>
              </w:rPr>
              <w:t xml:space="preserve"> </w:t>
            </w:r>
            <w:r w:rsidRPr="00C66D9D">
              <w:rPr>
                <w:color w:val="000000" w:themeColor="text1"/>
              </w:rPr>
              <w:t>no</w:t>
            </w:r>
            <w:r w:rsidRPr="00C66D9D">
              <w:rPr>
                <w:color w:val="000000" w:themeColor="text1"/>
                <w:spacing w:val="-3"/>
              </w:rPr>
              <w:t xml:space="preserve"> </w:t>
            </w:r>
            <w:r w:rsidRPr="00C66D9D">
              <w:rPr>
                <w:color w:val="000000" w:themeColor="text1"/>
                <w:spacing w:val="-2"/>
              </w:rPr>
              <w:t>standby)</w:t>
            </w:r>
          </w:p>
          <w:p w14:paraId="7A617D33" w14:textId="77777777" w:rsidR="00C66D9D" w:rsidRPr="00C66D9D" w:rsidRDefault="00C66D9D" w:rsidP="00C66D9D">
            <w:pPr>
              <w:pStyle w:val="Table-Bullet"/>
              <w:rPr>
                <w:color w:val="000000" w:themeColor="text1"/>
              </w:rPr>
            </w:pPr>
            <w:r w:rsidRPr="00C66D9D">
              <w:rPr>
                <w:color w:val="000000" w:themeColor="text1"/>
              </w:rPr>
              <w:t>Could</w:t>
            </w:r>
            <w:r w:rsidRPr="00C66D9D">
              <w:rPr>
                <w:color w:val="000000" w:themeColor="text1"/>
                <w:spacing w:val="-7"/>
              </w:rPr>
              <w:t xml:space="preserve"> </w:t>
            </w:r>
            <w:r w:rsidRPr="00C66D9D">
              <w:rPr>
                <w:color w:val="000000" w:themeColor="text1"/>
              </w:rPr>
              <w:t>potentially</w:t>
            </w:r>
            <w:r w:rsidRPr="00C66D9D">
              <w:rPr>
                <w:color w:val="000000" w:themeColor="text1"/>
                <w:spacing w:val="-3"/>
              </w:rPr>
              <w:t xml:space="preserve"> </w:t>
            </w:r>
            <w:r w:rsidRPr="00C66D9D">
              <w:rPr>
                <w:color w:val="000000" w:themeColor="text1"/>
              </w:rPr>
              <w:t>be</w:t>
            </w:r>
            <w:r w:rsidRPr="00C66D9D">
              <w:rPr>
                <w:color w:val="000000" w:themeColor="text1"/>
                <w:spacing w:val="-4"/>
              </w:rPr>
              <w:t xml:space="preserve"> </w:t>
            </w:r>
            <w:r w:rsidRPr="00C66D9D">
              <w:rPr>
                <w:color w:val="000000" w:themeColor="text1"/>
              </w:rPr>
              <w:t>rapidly</w:t>
            </w:r>
            <w:r w:rsidRPr="00C66D9D">
              <w:rPr>
                <w:color w:val="000000" w:themeColor="text1"/>
                <w:spacing w:val="-3"/>
              </w:rPr>
              <w:t xml:space="preserve"> </w:t>
            </w:r>
            <w:r w:rsidRPr="00C66D9D">
              <w:rPr>
                <w:color w:val="000000" w:themeColor="text1"/>
              </w:rPr>
              <w:t>deployed</w:t>
            </w:r>
            <w:r w:rsidRPr="00C66D9D">
              <w:rPr>
                <w:color w:val="000000" w:themeColor="text1"/>
                <w:spacing w:val="-5"/>
              </w:rPr>
              <w:t xml:space="preserve"> </w:t>
            </w:r>
            <w:r w:rsidRPr="00C66D9D">
              <w:rPr>
                <w:color w:val="000000" w:themeColor="text1"/>
              </w:rPr>
              <w:t>(provided</w:t>
            </w:r>
            <w:r w:rsidRPr="00C66D9D">
              <w:rPr>
                <w:color w:val="000000" w:themeColor="text1"/>
                <w:spacing w:val="-4"/>
              </w:rPr>
              <w:t xml:space="preserve"> </w:t>
            </w:r>
            <w:r w:rsidRPr="00C66D9D">
              <w:rPr>
                <w:color w:val="000000" w:themeColor="text1"/>
              </w:rPr>
              <w:t>weather</w:t>
            </w:r>
            <w:r w:rsidRPr="00C66D9D">
              <w:rPr>
                <w:color w:val="000000" w:themeColor="text1"/>
                <w:spacing w:val="-3"/>
              </w:rPr>
              <w:t xml:space="preserve"> </w:t>
            </w:r>
            <w:r w:rsidRPr="00C66D9D">
              <w:rPr>
                <w:color w:val="000000" w:themeColor="text1"/>
              </w:rPr>
              <w:t>conditions</w:t>
            </w:r>
            <w:r w:rsidRPr="00C66D9D">
              <w:rPr>
                <w:color w:val="000000" w:themeColor="text1"/>
                <w:spacing w:val="-3"/>
              </w:rPr>
              <w:t xml:space="preserve"> </w:t>
            </w:r>
            <w:r w:rsidRPr="00C66D9D">
              <w:rPr>
                <w:color w:val="000000" w:themeColor="text1"/>
              </w:rPr>
              <w:t>are</w:t>
            </w:r>
            <w:r w:rsidRPr="00C66D9D">
              <w:rPr>
                <w:color w:val="000000" w:themeColor="text1"/>
                <w:spacing w:val="-4"/>
              </w:rPr>
              <w:t xml:space="preserve"> </w:t>
            </w:r>
            <w:r w:rsidRPr="00C66D9D">
              <w:rPr>
                <w:color w:val="000000" w:themeColor="text1"/>
                <w:spacing w:val="-2"/>
              </w:rPr>
              <w:t>suitable).</w:t>
            </w:r>
          </w:p>
          <w:p w14:paraId="4ACC40C1" w14:textId="04318887" w:rsidR="00C66D9D" w:rsidRPr="00C66D9D" w:rsidRDefault="00C66D9D" w:rsidP="00C66D9D">
            <w:pPr>
              <w:pStyle w:val="Table-Bullet"/>
              <w:rPr>
                <w:color w:val="000000" w:themeColor="text1"/>
              </w:rPr>
            </w:pPr>
            <w:r w:rsidRPr="00C66D9D">
              <w:rPr>
                <w:color w:val="000000" w:themeColor="text1"/>
              </w:rPr>
              <w:t>Often</w:t>
            </w:r>
            <w:r w:rsidRPr="00C66D9D">
              <w:rPr>
                <w:color w:val="000000" w:themeColor="text1"/>
                <w:spacing w:val="-4"/>
              </w:rPr>
              <w:t xml:space="preserve"> </w:t>
            </w:r>
            <w:r w:rsidRPr="00C66D9D">
              <w:rPr>
                <w:color w:val="000000" w:themeColor="text1"/>
              </w:rPr>
              <w:t>lower</w:t>
            </w:r>
            <w:r w:rsidRPr="00C66D9D">
              <w:rPr>
                <w:color w:val="000000" w:themeColor="text1"/>
                <w:spacing w:val="-2"/>
              </w:rPr>
              <w:t xml:space="preserve"> </w:t>
            </w:r>
            <w:r w:rsidRPr="00C66D9D">
              <w:rPr>
                <w:color w:val="000000" w:themeColor="text1"/>
              </w:rPr>
              <w:t>crew</w:t>
            </w:r>
            <w:r w:rsidRPr="00C66D9D">
              <w:rPr>
                <w:color w:val="000000" w:themeColor="text1"/>
                <w:spacing w:val="-3"/>
              </w:rPr>
              <w:t xml:space="preserve"> </w:t>
            </w:r>
            <w:r w:rsidRPr="00C66D9D">
              <w:rPr>
                <w:color w:val="000000" w:themeColor="text1"/>
              </w:rPr>
              <w:t>requirements</w:t>
            </w:r>
            <w:r w:rsidRPr="00C66D9D">
              <w:rPr>
                <w:color w:val="000000" w:themeColor="text1"/>
                <w:spacing w:val="-2"/>
              </w:rPr>
              <w:t xml:space="preserve"> </w:t>
            </w:r>
            <w:r w:rsidRPr="00C66D9D">
              <w:rPr>
                <w:color w:val="000000" w:themeColor="text1"/>
              </w:rPr>
              <w:t>compared</w:t>
            </w:r>
            <w:r w:rsidRPr="00C66D9D">
              <w:rPr>
                <w:color w:val="000000" w:themeColor="text1"/>
                <w:spacing w:val="-4"/>
              </w:rPr>
              <w:t xml:space="preserve"> </w:t>
            </w:r>
            <w:r w:rsidRPr="00C66D9D">
              <w:rPr>
                <w:color w:val="000000" w:themeColor="text1"/>
              </w:rPr>
              <w:t>to</w:t>
            </w:r>
            <w:r w:rsidRPr="00C66D9D">
              <w:rPr>
                <w:color w:val="000000" w:themeColor="text1"/>
                <w:spacing w:val="-3"/>
              </w:rPr>
              <w:t xml:space="preserve"> </w:t>
            </w:r>
            <w:r w:rsidRPr="00C66D9D">
              <w:rPr>
                <w:color w:val="000000" w:themeColor="text1"/>
              </w:rPr>
              <w:t>other</w:t>
            </w:r>
            <w:r w:rsidRPr="00C66D9D">
              <w:rPr>
                <w:color w:val="000000" w:themeColor="text1"/>
                <w:spacing w:val="-3"/>
              </w:rPr>
              <w:t xml:space="preserve"> </w:t>
            </w:r>
            <w:r w:rsidRPr="00C66D9D">
              <w:rPr>
                <w:color w:val="000000" w:themeColor="text1"/>
              </w:rPr>
              <w:t>dredging</w:t>
            </w:r>
            <w:r w:rsidRPr="00C66D9D">
              <w:rPr>
                <w:color w:val="000000" w:themeColor="text1"/>
                <w:spacing w:val="-1"/>
              </w:rPr>
              <w:t xml:space="preserve"> </w:t>
            </w:r>
            <w:r w:rsidRPr="00C66D9D">
              <w:rPr>
                <w:color w:val="000000" w:themeColor="text1"/>
                <w:spacing w:val="-2"/>
              </w:rPr>
              <w:t>strategies.</w:t>
            </w:r>
          </w:p>
        </w:tc>
      </w:tr>
      <w:tr w:rsidR="00C66D9D" w14:paraId="074B832E" w14:textId="77777777" w:rsidTr="00C66D9D">
        <w:trPr>
          <w:trHeight w:val="1163"/>
        </w:trPr>
        <w:tc>
          <w:tcPr>
            <w:tcW w:w="1029" w:type="pct"/>
            <w:tcBorders>
              <w:top w:val="single" w:sz="4" w:space="0" w:color="5F6369" w:themeColor="text2"/>
              <w:left w:val="nil"/>
              <w:bottom w:val="single" w:sz="4" w:space="0" w:color="5F6369" w:themeColor="text2"/>
              <w:right w:val="nil"/>
            </w:tcBorders>
          </w:tcPr>
          <w:p w14:paraId="721D749A" w14:textId="77777777" w:rsidR="00C66D9D" w:rsidRPr="00D4309F" w:rsidRDefault="00C66D9D">
            <w:pPr>
              <w:pStyle w:val="Table-Heading"/>
            </w:pPr>
            <w:r>
              <w:t>Disadvantages</w:t>
            </w:r>
          </w:p>
        </w:tc>
        <w:tc>
          <w:tcPr>
            <w:tcW w:w="3971" w:type="pct"/>
            <w:tcBorders>
              <w:top w:val="single" w:sz="4" w:space="0" w:color="5F6369" w:themeColor="text2"/>
              <w:left w:val="nil"/>
              <w:bottom w:val="single" w:sz="4" w:space="0" w:color="5F6369" w:themeColor="text2"/>
              <w:right w:val="nil"/>
            </w:tcBorders>
          </w:tcPr>
          <w:p w14:paraId="72A9C559" w14:textId="77777777" w:rsidR="00C66D9D" w:rsidRPr="00C66D9D" w:rsidRDefault="00C66D9D" w:rsidP="00C66D9D">
            <w:pPr>
              <w:pStyle w:val="Table-Bullet"/>
              <w:rPr>
                <w:color w:val="000000" w:themeColor="text1"/>
              </w:rPr>
            </w:pPr>
            <w:r w:rsidRPr="00C66D9D">
              <w:rPr>
                <w:color w:val="000000" w:themeColor="text1"/>
              </w:rPr>
              <w:t>Constrained</w:t>
            </w:r>
            <w:r w:rsidRPr="00C66D9D">
              <w:rPr>
                <w:color w:val="000000" w:themeColor="text1"/>
                <w:spacing w:val="-6"/>
              </w:rPr>
              <w:t xml:space="preserve"> </w:t>
            </w:r>
            <w:r w:rsidRPr="00C66D9D">
              <w:rPr>
                <w:color w:val="000000" w:themeColor="text1"/>
              </w:rPr>
              <w:t>to</w:t>
            </w:r>
            <w:r w:rsidRPr="00C66D9D">
              <w:rPr>
                <w:color w:val="000000" w:themeColor="text1"/>
                <w:spacing w:val="-4"/>
              </w:rPr>
              <w:t xml:space="preserve"> </w:t>
            </w:r>
            <w:r w:rsidRPr="00C66D9D">
              <w:rPr>
                <w:color w:val="000000" w:themeColor="text1"/>
              </w:rPr>
              <w:t>calm</w:t>
            </w:r>
            <w:r w:rsidRPr="00C66D9D">
              <w:rPr>
                <w:color w:val="000000" w:themeColor="text1"/>
                <w:spacing w:val="-2"/>
              </w:rPr>
              <w:t xml:space="preserve"> </w:t>
            </w:r>
            <w:r w:rsidRPr="00C66D9D">
              <w:rPr>
                <w:color w:val="000000" w:themeColor="text1"/>
              </w:rPr>
              <w:t>marine</w:t>
            </w:r>
            <w:r w:rsidRPr="00C66D9D">
              <w:rPr>
                <w:color w:val="000000" w:themeColor="text1"/>
                <w:spacing w:val="-4"/>
              </w:rPr>
              <w:t xml:space="preserve"> </w:t>
            </w:r>
            <w:r w:rsidRPr="00C66D9D">
              <w:rPr>
                <w:color w:val="000000" w:themeColor="text1"/>
              </w:rPr>
              <w:t>conditions.</w:t>
            </w:r>
            <w:r w:rsidRPr="00C66D9D">
              <w:rPr>
                <w:color w:val="000000" w:themeColor="text1"/>
                <w:spacing w:val="-3"/>
              </w:rPr>
              <w:t xml:space="preserve"> </w:t>
            </w:r>
            <w:r w:rsidRPr="00C66D9D">
              <w:rPr>
                <w:color w:val="000000" w:themeColor="text1"/>
              </w:rPr>
              <w:t>Levelling</w:t>
            </w:r>
            <w:r w:rsidRPr="00C66D9D">
              <w:rPr>
                <w:color w:val="000000" w:themeColor="text1"/>
                <w:spacing w:val="-3"/>
              </w:rPr>
              <w:t xml:space="preserve"> </w:t>
            </w:r>
            <w:r w:rsidRPr="00C66D9D">
              <w:rPr>
                <w:color w:val="000000" w:themeColor="text1"/>
              </w:rPr>
              <w:t>not</w:t>
            </w:r>
            <w:r w:rsidRPr="00C66D9D">
              <w:rPr>
                <w:color w:val="000000" w:themeColor="text1"/>
                <w:spacing w:val="-3"/>
              </w:rPr>
              <w:t xml:space="preserve"> </w:t>
            </w:r>
            <w:r w:rsidRPr="00C66D9D">
              <w:rPr>
                <w:color w:val="000000" w:themeColor="text1"/>
              </w:rPr>
              <w:t>possible</w:t>
            </w:r>
            <w:r w:rsidRPr="00C66D9D">
              <w:rPr>
                <w:color w:val="000000" w:themeColor="text1"/>
                <w:spacing w:val="-3"/>
              </w:rPr>
              <w:t xml:space="preserve"> </w:t>
            </w:r>
            <w:r w:rsidRPr="00C66D9D">
              <w:rPr>
                <w:color w:val="000000" w:themeColor="text1"/>
              </w:rPr>
              <w:t>with</w:t>
            </w:r>
            <w:r w:rsidRPr="00C66D9D">
              <w:rPr>
                <w:color w:val="000000" w:themeColor="text1"/>
                <w:spacing w:val="-4"/>
              </w:rPr>
              <w:t xml:space="preserve"> </w:t>
            </w:r>
            <w:r w:rsidRPr="00C66D9D">
              <w:rPr>
                <w:color w:val="000000" w:themeColor="text1"/>
              </w:rPr>
              <w:t>wave</w:t>
            </w:r>
            <w:r w:rsidRPr="00C66D9D">
              <w:rPr>
                <w:color w:val="000000" w:themeColor="text1"/>
                <w:spacing w:val="-3"/>
              </w:rPr>
              <w:t xml:space="preserve"> </w:t>
            </w:r>
            <w:r w:rsidRPr="00C66D9D">
              <w:rPr>
                <w:color w:val="000000" w:themeColor="text1"/>
                <w:spacing w:val="-2"/>
              </w:rPr>
              <w:t>conditions.</w:t>
            </w:r>
          </w:p>
          <w:p w14:paraId="7604ED13" w14:textId="77777777" w:rsidR="00C66D9D" w:rsidRPr="00C66D9D" w:rsidRDefault="00C66D9D" w:rsidP="00C66D9D">
            <w:pPr>
              <w:pStyle w:val="Table-Bullet"/>
              <w:rPr>
                <w:color w:val="000000" w:themeColor="text1"/>
              </w:rPr>
            </w:pPr>
            <w:r w:rsidRPr="00C66D9D">
              <w:rPr>
                <w:color w:val="000000" w:themeColor="text1"/>
              </w:rPr>
              <w:t>Expected</w:t>
            </w:r>
            <w:r w:rsidRPr="00C66D9D">
              <w:rPr>
                <w:color w:val="000000" w:themeColor="text1"/>
                <w:spacing w:val="-3"/>
              </w:rPr>
              <w:t xml:space="preserve"> </w:t>
            </w:r>
            <w:r w:rsidRPr="00C66D9D">
              <w:rPr>
                <w:color w:val="000000" w:themeColor="text1"/>
              </w:rPr>
              <w:t>to</w:t>
            </w:r>
            <w:r w:rsidRPr="00C66D9D">
              <w:rPr>
                <w:color w:val="000000" w:themeColor="text1"/>
                <w:spacing w:val="-3"/>
              </w:rPr>
              <w:t xml:space="preserve"> </w:t>
            </w:r>
            <w:r w:rsidRPr="00C66D9D">
              <w:rPr>
                <w:color w:val="000000" w:themeColor="text1"/>
              </w:rPr>
              <w:t>be</w:t>
            </w:r>
            <w:r w:rsidRPr="00C66D9D">
              <w:rPr>
                <w:color w:val="000000" w:themeColor="text1"/>
                <w:spacing w:val="-1"/>
              </w:rPr>
              <w:t xml:space="preserve"> </w:t>
            </w:r>
            <w:r w:rsidRPr="00C66D9D">
              <w:rPr>
                <w:color w:val="000000" w:themeColor="text1"/>
              </w:rPr>
              <w:t>challenging</w:t>
            </w:r>
            <w:r w:rsidRPr="00C66D9D">
              <w:rPr>
                <w:color w:val="000000" w:themeColor="text1"/>
                <w:spacing w:val="-3"/>
              </w:rPr>
              <w:t xml:space="preserve"> </w:t>
            </w:r>
            <w:r w:rsidRPr="00C66D9D">
              <w:rPr>
                <w:color w:val="000000" w:themeColor="text1"/>
              </w:rPr>
              <w:t>to</w:t>
            </w:r>
            <w:r w:rsidRPr="00C66D9D">
              <w:rPr>
                <w:color w:val="000000" w:themeColor="text1"/>
                <w:spacing w:val="-3"/>
              </w:rPr>
              <w:t xml:space="preserve"> </w:t>
            </w:r>
            <w:r w:rsidRPr="00C66D9D">
              <w:rPr>
                <w:color w:val="000000" w:themeColor="text1"/>
              </w:rPr>
              <w:t>undertake</w:t>
            </w:r>
            <w:r w:rsidRPr="00C66D9D">
              <w:rPr>
                <w:color w:val="000000" w:themeColor="text1"/>
                <w:spacing w:val="-3"/>
              </w:rPr>
              <w:t xml:space="preserve"> </w:t>
            </w:r>
            <w:r w:rsidRPr="00C66D9D">
              <w:rPr>
                <w:color w:val="000000" w:themeColor="text1"/>
              </w:rPr>
              <w:t>at</w:t>
            </w:r>
            <w:r w:rsidRPr="00C66D9D">
              <w:rPr>
                <w:color w:val="000000" w:themeColor="text1"/>
                <w:spacing w:val="-2"/>
              </w:rPr>
              <w:t xml:space="preserve"> </w:t>
            </w:r>
            <w:r w:rsidRPr="00C66D9D">
              <w:rPr>
                <w:color w:val="000000" w:themeColor="text1"/>
              </w:rPr>
              <w:t>the</w:t>
            </w:r>
            <w:r w:rsidRPr="00C66D9D">
              <w:rPr>
                <w:color w:val="000000" w:themeColor="text1"/>
                <w:spacing w:val="-3"/>
              </w:rPr>
              <w:t xml:space="preserve"> </w:t>
            </w:r>
            <w:r w:rsidRPr="00C66D9D">
              <w:rPr>
                <w:color w:val="000000" w:themeColor="text1"/>
              </w:rPr>
              <w:t>site</w:t>
            </w:r>
            <w:r w:rsidRPr="00C66D9D">
              <w:rPr>
                <w:color w:val="000000" w:themeColor="text1"/>
                <w:spacing w:val="-3"/>
              </w:rPr>
              <w:t xml:space="preserve"> </w:t>
            </w:r>
            <w:r w:rsidRPr="00C66D9D">
              <w:rPr>
                <w:color w:val="000000" w:themeColor="text1"/>
              </w:rPr>
              <w:t>given</w:t>
            </w:r>
            <w:r w:rsidRPr="00C66D9D">
              <w:rPr>
                <w:color w:val="000000" w:themeColor="text1"/>
                <w:spacing w:val="-3"/>
              </w:rPr>
              <w:t xml:space="preserve"> </w:t>
            </w:r>
            <w:r w:rsidRPr="00C66D9D">
              <w:rPr>
                <w:color w:val="000000" w:themeColor="text1"/>
              </w:rPr>
              <w:t>exposure</w:t>
            </w:r>
            <w:r w:rsidRPr="00C66D9D">
              <w:rPr>
                <w:color w:val="000000" w:themeColor="text1"/>
                <w:spacing w:val="-3"/>
              </w:rPr>
              <w:t xml:space="preserve"> </w:t>
            </w:r>
            <w:r w:rsidRPr="00C66D9D">
              <w:rPr>
                <w:color w:val="000000" w:themeColor="text1"/>
              </w:rPr>
              <w:t>to</w:t>
            </w:r>
            <w:r w:rsidRPr="00C66D9D">
              <w:rPr>
                <w:color w:val="000000" w:themeColor="text1"/>
                <w:spacing w:val="-3"/>
              </w:rPr>
              <w:t xml:space="preserve"> </w:t>
            </w:r>
            <w:r w:rsidRPr="00C66D9D">
              <w:rPr>
                <w:color w:val="000000" w:themeColor="text1"/>
              </w:rPr>
              <w:t>ocean</w:t>
            </w:r>
            <w:r w:rsidRPr="00C66D9D">
              <w:rPr>
                <w:color w:val="000000" w:themeColor="text1"/>
                <w:spacing w:val="-3"/>
              </w:rPr>
              <w:t xml:space="preserve"> </w:t>
            </w:r>
            <w:r w:rsidRPr="00C66D9D">
              <w:rPr>
                <w:color w:val="000000" w:themeColor="text1"/>
              </w:rPr>
              <w:t>waves</w:t>
            </w:r>
            <w:r w:rsidRPr="00C66D9D">
              <w:rPr>
                <w:color w:val="000000" w:themeColor="text1"/>
                <w:spacing w:val="-2"/>
              </w:rPr>
              <w:t xml:space="preserve"> </w:t>
            </w:r>
            <w:r w:rsidRPr="00C66D9D">
              <w:rPr>
                <w:color w:val="000000" w:themeColor="text1"/>
              </w:rPr>
              <w:t>and wave shoaling.</w:t>
            </w:r>
          </w:p>
          <w:p w14:paraId="42385CC3" w14:textId="22EB05C1" w:rsidR="00C66D9D" w:rsidRPr="00C66D9D" w:rsidRDefault="00C66D9D" w:rsidP="00C66D9D">
            <w:pPr>
              <w:pStyle w:val="Table-Bullet"/>
              <w:rPr>
                <w:color w:val="000000" w:themeColor="text1"/>
              </w:rPr>
            </w:pPr>
            <w:r w:rsidRPr="00C66D9D">
              <w:rPr>
                <w:color w:val="000000" w:themeColor="text1"/>
              </w:rPr>
              <w:t>Levelling</w:t>
            </w:r>
            <w:r w:rsidRPr="00C66D9D">
              <w:rPr>
                <w:color w:val="000000" w:themeColor="text1"/>
                <w:spacing w:val="-4"/>
              </w:rPr>
              <w:t xml:space="preserve"> </w:t>
            </w:r>
            <w:r w:rsidRPr="00C66D9D">
              <w:rPr>
                <w:color w:val="000000" w:themeColor="text1"/>
              </w:rPr>
              <w:t>activities</w:t>
            </w:r>
            <w:r w:rsidRPr="00C66D9D">
              <w:rPr>
                <w:color w:val="000000" w:themeColor="text1"/>
                <w:spacing w:val="-3"/>
              </w:rPr>
              <w:t xml:space="preserve"> </w:t>
            </w:r>
            <w:r w:rsidRPr="00C66D9D">
              <w:rPr>
                <w:color w:val="000000" w:themeColor="text1"/>
              </w:rPr>
              <w:t>likely</w:t>
            </w:r>
            <w:r w:rsidRPr="00C66D9D">
              <w:rPr>
                <w:color w:val="000000" w:themeColor="text1"/>
                <w:spacing w:val="-3"/>
              </w:rPr>
              <w:t xml:space="preserve"> </w:t>
            </w:r>
            <w:r w:rsidRPr="00C66D9D">
              <w:rPr>
                <w:color w:val="000000" w:themeColor="text1"/>
              </w:rPr>
              <w:t>not</w:t>
            </w:r>
            <w:r w:rsidRPr="00C66D9D">
              <w:rPr>
                <w:color w:val="000000" w:themeColor="text1"/>
                <w:spacing w:val="-3"/>
              </w:rPr>
              <w:t xml:space="preserve"> </w:t>
            </w:r>
            <w:r w:rsidRPr="00C66D9D">
              <w:rPr>
                <w:color w:val="000000" w:themeColor="text1"/>
              </w:rPr>
              <w:t>possible</w:t>
            </w:r>
            <w:r w:rsidRPr="00C66D9D">
              <w:rPr>
                <w:color w:val="000000" w:themeColor="text1"/>
                <w:spacing w:val="-4"/>
              </w:rPr>
              <w:t xml:space="preserve"> </w:t>
            </w:r>
            <w:r w:rsidRPr="00C66D9D">
              <w:rPr>
                <w:color w:val="000000" w:themeColor="text1"/>
              </w:rPr>
              <w:t>during</w:t>
            </w:r>
            <w:r w:rsidRPr="00C66D9D">
              <w:rPr>
                <w:color w:val="000000" w:themeColor="text1"/>
                <w:spacing w:val="-4"/>
              </w:rPr>
              <w:t xml:space="preserve"> </w:t>
            </w:r>
            <w:r w:rsidRPr="00C66D9D">
              <w:rPr>
                <w:color w:val="000000" w:themeColor="text1"/>
              </w:rPr>
              <w:t>marine</w:t>
            </w:r>
            <w:r w:rsidRPr="00C66D9D">
              <w:rPr>
                <w:color w:val="000000" w:themeColor="text1"/>
                <w:spacing w:val="-4"/>
              </w:rPr>
              <w:t xml:space="preserve"> </w:t>
            </w:r>
            <w:r w:rsidRPr="00C66D9D">
              <w:rPr>
                <w:color w:val="000000" w:themeColor="text1"/>
              </w:rPr>
              <w:t>conditions</w:t>
            </w:r>
            <w:r w:rsidRPr="00C66D9D">
              <w:rPr>
                <w:color w:val="000000" w:themeColor="text1"/>
                <w:spacing w:val="-3"/>
              </w:rPr>
              <w:t xml:space="preserve"> </w:t>
            </w:r>
            <w:r w:rsidRPr="00C66D9D">
              <w:rPr>
                <w:color w:val="000000" w:themeColor="text1"/>
              </w:rPr>
              <w:t>that</w:t>
            </w:r>
            <w:r w:rsidRPr="00C66D9D">
              <w:rPr>
                <w:color w:val="000000" w:themeColor="text1"/>
                <w:spacing w:val="-3"/>
              </w:rPr>
              <w:t xml:space="preserve"> </w:t>
            </w:r>
            <w:r w:rsidRPr="00C66D9D">
              <w:rPr>
                <w:color w:val="000000" w:themeColor="text1"/>
              </w:rPr>
              <w:t>typically</w:t>
            </w:r>
            <w:r w:rsidRPr="00C66D9D">
              <w:rPr>
                <w:color w:val="000000" w:themeColor="text1"/>
                <w:spacing w:val="-3"/>
              </w:rPr>
              <w:t xml:space="preserve"> </w:t>
            </w:r>
            <w:r w:rsidRPr="00C66D9D">
              <w:rPr>
                <w:color w:val="000000" w:themeColor="text1"/>
              </w:rPr>
              <w:t>form</w:t>
            </w:r>
            <w:r w:rsidRPr="00C66D9D">
              <w:rPr>
                <w:color w:val="000000" w:themeColor="text1"/>
                <w:spacing w:val="-3"/>
              </w:rPr>
              <w:t xml:space="preserve"> </w:t>
            </w:r>
            <w:r w:rsidRPr="00C66D9D">
              <w:rPr>
                <w:color w:val="000000" w:themeColor="text1"/>
              </w:rPr>
              <w:t xml:space="preserve">sand </w:t>
            </w:r>
            <w:r w:rsidRPr="00C66D9D">
              <w:rPr>
                <w:color w:val="000000" w:themeColor="text1"/>
                <w:spacing w:val="-2"/>
              </w:rPr>
              <w:t>shoals</w:t>
            </w:r>
          </w:p>
        </w:tc>
      </w:tr>
      <w:tr w:rsidR="00C66D9D" w14:paraId="4CEB713D" w14:textId="77777777">
        <w:trPr>
          <w:trHeight w:val="85"/>
        </w:trPr>
        <w:tc>
          <w:tcPr>
            <w:tcW w:w="1029" w:type="pct"/>
            <w:tcBorders>
              <w:top w:val="single" w:sz="4" w:space="0" w:color="5F6369" w:themeColor="text2"/>
              <w:left w:val="nil"/>
              <w:bottom w:val="single" w:sz="4" w:space="0" w:color="5F6369" w:themeColor="text2"/>
              <w:right w:val="nil"/>
            </w:tcBorders>
          </w:tcPr>
          <w:p w14:paraId="76F4231F" w14:textId="77777777" w:rsidR="00C66D9D" w:rsidRPr="00D4309F" w:rsidRDefault="00C66D9D">
            <w:pPr>
              <w:pStyle w:val="Table-Heading"/>
            </w:pPr>
            <w:r>
              <w:t>Cost</w:t>
            </w:r>
          </w:p>
        </w:tc>
        <w:tc>
          <w:tcPr>
            <w:tcW w:w="3971" w:type="pct"/>
            <w:tcBorders>
              <w:top w:val="single" w:sz="4" w:space="0" w:color="5F6369" w:themeColor="text2"/>
              <w:left w:val="nil"/>
              <w:bottom w:val="single" w:sz="4" w:space="0" w:color="5F6369" w:themeColor="text2"/>
              <w:right w:val="nil"/>
            </w:tcBorders>
          </w:tcPr>
          <w:p w14:paraId="0EF44AEF" w14:textId="76776DC7" w:rsidR="00C66D9D" w:rsidRPr="00C66D9D" w:rsidRDefault="00C66D9D" w:rsidP="00C66D9D">
            <w:pPr>
              <w:pStyle w:val="Table-Bullet"/>
              <w:rPr>
                <w:color w:val="000000" w:themeColor="text1"/>
              </w:rPr>
            </w:pPr>
            <w:r w:rsidRPr="00C66D9D">
              <w:rPr>
                <w:color w:val="000000" w:themeColor="text1"/>
                <w:spacing w:val="-5"/>
              </w:rPr>
              <w:t>Low</w:t>
            </w:r>
          </w:p>
        </w:tc>
      </w:tr>
    </w:tbl>
    <w:p w14:paraId="445E61DD" w14:textId="77777777" w:rsidR="00725977" w:rsidRPr="00D4309F" w:rsidRDefault="00725977" w:rsidP="00725977">
      <w:pPr>
        <w:pStyle w:val="BodyText"/>
      </w:pPr>
    </w:p>
    <w:p w14:paraId="73DD217D" w14:textId="77777777" w:rsidR="00725977" w:rsidRPr="00D4309F" w:rsidRDefault="00725977" w:rsidP="004426B8">
      <w:pPr>
        <w:pStyle w:val="Heading3"/>
      </w:pPr>
      <w:bookmarkStart w:id="150" w:name="_Toc216699344"/>
      <w:r w:rsidRPr="00D4309F">
        <w:t>Submarine</w:t>
      </w:r>
      <w:r w:rsidRPr="00D4309F">
        <w:rPr>
          <w:spacing w:val="-5"/>
        </w:rPr>
        <w:t xml:space="preserve"> </w:t>
      </w:r>
      <w:r w:rsidRPr="00D4309F">
        <w:t>Dredge</w:t>
      </w:r>
      <w:r w:rsidRPr="00D4309F">
        <w:rPr>
          <w:spacing w:val="-6"/>
        </w:rPr>
        <w:t xml:space="preserve"> </w:t>
      </w:r>
      <w:r w:rsidRPr="00D4309F">
        <w:t>(remotely</w:t>
      </w:r>
      <w:r w:rsidRPr="00D4309F">
        <w:rPr>
          <w:spacing w:val="-6"/>
        </w:rPr>
        <w:t xml:space="preserve"> </w:t>
      </w:r>
      <w:r w:rsidRPr="00D4309F">
        <w:rPr>
          <w:spacing w:val="-2"/>
        </w:rPr>
        <w:t>piloted)</w:t>
      </w:r>
      <w:bookmarkEnd w:id="150"/>
    </w:p>
    <w:p w14:paraId="055AC02F" w14:textId="77777777" w:rsidR="00725977" w:rsidRPr="00D4309F" w:rsidRDefault="00725977" w:rsidP="00725977">
      <w:pPr>
        <w:pStyle w:val="BodyText"/>
      </w:pPr>
      <w:r w:rsidRPr="00D4309F">
        <w:t>This</w:t>
      </w:r>
      <w:r w:rsidRPr="00D4309F">
        <w:rPr>
          <w:spacing w:val="-2"/>
        </w:rPr>
        <w:t xml:space="preserve"> </w:t>
      </w:r>
      <w:r w:rsidRPr="00D4309F">
        <w:t>option</w:t>
      </w:r>
      <w:r w:rsidRPr="00D4309F">
        <w:rPr>
          <w:spacing w:val="-3"/>
        </w:rPr>
        <w:t xml:space="preserve"> </w:t>
      </w:r>
      <w:r w:rsidRPr="00D4309F">
        <w:t>involves</w:t>
      </w:r>
      <w:r w:rsidRPr="00D4309F">
        <w:rPr>
          <w:spacing w:val="-2"/>
        </w:rPr>
        <w:t xml:space="preserve"> </w:t>
      </w:r>
      <w:r w:rsidRPr="00D4309F">
        <w:t>the</w:t>
      </w:r>
      <w:r w:rsidRPr="00D4309F">
        <w:rPr>
          <w:spacing w:val="-3"/>
        </w:rPr>
        <w:t xml:space="preserve"> </w:t>
      </w:r>
      <w:r w:rsidRPr="00D4309F">
        <w:t>use</w:t>
      </w:r>
      <w:r w:rsidRPr="00D4309F">
        <w:rPr>
          <w:spacing w:val="-3"/>
        </w:rPr>
        <w:t xml:space="preserve"> </w:t>
      </w:r>
      <w:r w:rsidRPr="00D4309F">
        <w:t>of</w:t>
      </w:r>
      <w:r w:rsidRPr="00D4309F">
        <w:rPr>
          <w:spacing w:val="-3"/>
        </w:rPr>
        <w:t xml:space="preserve"> </w:t>
      </w:r>
      <w:r w:rsidRPr="00D4309F">
        <w:t>remotely</w:t>
      </w:r>
      <w:r w:rsidRPr="00D4309F">
        <w:rPr>
          <w:spacing w:val="-2"/>
        </w:rPr>
        <w:t xml:space="preserve"> </w:t>
      </w:r>
      <w:r w:rsidRPr="00D4309F">
        <w:t>piloted</w:t>
      </w:r>
      <w:r w:rsidRPr="00D4309F">
        <w:rPr>
          <w:spacing w:val="-3"/>
        </w:rPr>
        <w:t xml:space="preserve"> </w:t>
      </w:r>
      <w:r w:rsidRPr="00D4309F">
        <w:t>submarine</w:t>
      </w:r>
      <w:r w:rsidRPr="00D4309F">
        <w:rPr>
          <w:spacing w:val="-3"/>
        </w:rPr>
        <w:t xml:space="preserve"> </w:t>
      </w:r>
      <w:r w:rsidRPr="00D4309F">
        <w:t>dredge</w:t>
      </w:r>
      <w:r w:rsidRPr="00D4309F">
        <w:rPr>
          <w:spacing w:val="-4"/>
        </w:rPr>
        <w:t xml:space="preserve"> </w:t>
      </w:r>
      <w:r w:rsidRPr="00D4309F">
        <w:t>equipment</w:t>
      </w:r>
      <w:r w:rsidRPr="00D4309F">
        <w:rPr>
          <w:spacing w:val="-3"/>
        </w:rPr>
        <w:t xml:space="preserve"> </w:t>
      </w:r>
      <w:r w:rsidRPr="00D4309F">
        <w:t>to</w:t>
      </w:r>
      <w:r w:rsidRPr="00D4309F">
        <w:rPr>
          <w:spacing w:val="-3"/>
        </w:rPr>
        <w:t xml:space="preserve"> </w:t>
      </w:r>
      <w:r w:rsidRPr="00D4309F">
        <w:t>dredge</w:t>
      </w:r>
      <w:r w:rsidRPr="00D4309F">
        <w:rPr>
          <w:spacing w:val="-3"/>
        </w:rPr>
        <w:t xml:space="preserve"> </w:t>
      </w:r>
      <w:r w:rsidRPr="00D4309F">
        <w:t>the</w:t>
      </w:r>
      <w:r w:rsidRPr="00D4309F">
        <w:rPr>
          <w:spacing w:val="-3"/>
        </w:rPr>
        <w:t xml:space="preserve"> </w:t>
      </w:r>
      <w:r w:rsidRPr="00D4309F">
        <w:t>sand</w:t>
      </w:r>
      <w:r w:rsidRPr="00D4309F">
        <w:rPr>
          <w:spacing w:val="-3"/>
        </w:rPr>
        <w:t xml:space="preserve"> </w:t>
      </w:r>
      <w:r w:rsidRPr="00D4309F">
        <w:t>shoal during marine conditions that would typically be unsuitable for other dredge options.</w:t>
      </w:r>
    </w:p>
    <w:p w14:paraId="058B83A6" w14:textId="77777777" w:rsidR="00725977" w:rsidRPr="00D4309F" w:rsidRDefault="00725977" w:rsidP="00725977">
      <w:pPr>
        <w:pStyle w:val="BodyText"/>
      </w:pPr>
      <w:r w:rsidRPr="00D4309F">
        <w:t>Requires</w:t>
      </w:r>
      <w:r w:rsidRPr="00D4309F">
        <w:rPr>
          <w:spacing w:val="-2"/>
        </w:rPr>
        <w:t xml:space="preserve"> </w:t>
      </w:r>
      <w:r w:rsidRPr="00D4309F">
        <w:t>the</w:t>
      </w:r>
      <w:r w:rsidRPr="00D4309F">
        <w:rPr>
          <w:spacing w:val="-3"/>
        </w:rPr>
        <w:t xml:space="preserve"> </w:t>
      </w:r>
      <w:r w:rsidRPr="00D4309F">
        <w:t>use</w:t>
      </w:r>
      <w:r w:rsidRPr="00D4309F">
        <w:rPr>
          <w:spacing w:val="-3"/>
        </w:rPr>
        <w:t xml:space="preserve"> </w:t>
      </w:r>
      <w:r w:rsidRPr="00D4309F">
        <w:t>of</w:t>
      </w:r>
      <w:r w:rsidRPr="00D4309F">
        <w:rPr>
          <w:spacing w:val="-3"/>
        </w:rPr>
        <w:t xml:space="preserve"> </w:t>
      </w:r>
      <w:r w:rsidRPr="00D4309F">
        <w:t>specialist</w:t>
      </w:r>
      <w:r w:rsidRPr="00D4309F">
        <w:rPr>
          <w:spacing w:val="-3"/>
        </w:rPr>
        <w:t xml:space="preserve"> </w:t>
      </w:r>
      <w:r w:rsidRPr="00D4309F">
        <w:t>equipment</w:t>
      </w:r>
      <w:r w:rsidRPr="00D4309F">
        <w:rPr>
          <w:spacing w:val="-4"/>
        </w:rPr>
        <w:t xml:space="preserve"> </w:t>
      </w:r>
      <w:r w:rsidRPr="00D4309F">
        <w:t>that</w:t>
      </w:r>
      <w:r w:rsidRPr="00D4309F">
        <w:rPr>
          <w:spacing w:val="-3"/>
        </w:rPr>
        <w:t xml:space="preserve"> </w:t>
      </w:r>
      <w:r w:rsidRPr="00D4309F">
        <w:t>is</w:t>
      </w:r>
      <w:r w:rsidRPr="00D4309F">
        <w:rPr>
          <w:spacing w:val="-2"/>
        </w:rPr>
        <w:t xml:space="preserve"> </w:t>
      </w:r>
      <w:r w:rsidRPr="00D4309F">
        <w:t>typically</w:t>
      </w:r>
      <w:r w:rsidRPr="00D4309F">
        <w:rPr>
          <w:spacing w:val="-2"/>
        </w:rPr>
        <w:t xml:space="preserve"> </w:t>
      </w:r>
      <w:r w:rsidRPr="00D4309F">
        <w:t>utilised</w:t>
      </w:r>
      <w:r w:rsidRPr="00D4309F">
        <w:rPr>
          <w:spacing w:val="-3"/>
        </w:rPr>
        <w:t xml:space="preserve"> </w:t>
      </w:r>
      <w:r w:rsidRPr="00D4309F">
        <w:t>for</w:t>
      </w:r>
      <w:r w:rsidRPr="00D4309F">
        <w:rPr>
          <w:spacing w:val="-2"/>
        </w:rPr>
        <w:t xml:space="preserve"> </w:t>
      </w:r>
      <w:r w:rsidRPr="00D4309F">
        <w:t>deeper</w:t>
      </w:r>
      <w:r w:rsidRPr="00D4309F">
        <w:rPr>
          <w:spacing w:val="-2"/>
        </w:rPr>
        <w:t xml:space="preserve"> </w:t>
      </w:r>
      <w:r w:rsidRPr="00D4309F">
        <w:t>water</w:t>
      </w:r>
      <w:r w:rsidRPr="00D4309F">
        <w:rPr>
          <w:spacing w:val="-3"/>
        </w:rPr>
        <w:t xml:space="preserve"> </w:t>
      </w:r>
      <w:r w:rsidRPr="00D4309F">
        <w:t>operations</w:t>
      </w:r>
      <w:r w:rsidRPr="00D4309F">
        <w:rPr>
          <w:spacing w:val="-2"/>
        </w:rPr>
        <w:t xml:space="preserve"> </w:t>
      </w:r>
      <w:r w:rsidRPr="00D4309F">
        <w:t>and</w:t>
      </w:r>
      <w:r w:rsidRPr="00D4309F">
        <w:rPr>
          <w:spacing w:val="-3"/>
        </w:rPr>
        <w:t xml:space="preserve"> </w:t>
      </w:r>
      <w:r w:rsidRPr="00D4309F">
        <w:t>not</w:t>
      </w:r>
      <w:r w:rsidRPr="00D4309F">
        <w:rPr>
          <w:spacing w:val="-3"/>
        </w:rPr>
        <w:t xml:space="preserve"> </w:t>
      </w:r>
      <w:r w:rsidRPr="00D4309F">
        <w:t>shallow water areas exposed to wave breaking.</w:t>
      </w:r>
    </w:p>
    <w:p w14:paraId="1EAF6E38" w14:textId="38D00890" w:rsidR="00F06E88" w:rsidRDefault="00725977" w:rsidP="00725977">
      <w:pPr>
        <w:pStyle w:val="BodyText"/>
      </w:pPr>
      <w:r w:rsidRPr="00D4309F">
        <w:t>Due</w:t>
      </w:r>
      <w:r w:rsidRPr="00D4309F">
        <w:rPr>
          <w:spacing w:val="-3"/>
        </w:rPr>
        <w:t xml:space="preserve"> </w:t>
      </w:r>
      <w:r w:rsidRPr="00D4309F">
        <w:t>to</w:t>
      </w:r>
      <w:r w:rsidRPr="00D4309F">
        <w:rPr>
          <w:spacing w:val="-3"/>
        </w:rPr>
        <w:t xml:space="preserve"> </w:t>
      </w:r>
      <w:r w:rsidRPr="00D4309F">
        <w:t>the</w:t>
      </w:r>
      <w:r w:rsidRPr="00D4309F">
        <w:rPr>
          <w:spacing w:val="-3"/>
        </w:rPr>
        <w:t xml:space="preserve"> </w:t>
      </w:r>
      <w:r w:rsidRPr="00D4309F">
        <w:t>high</w:t>
      </w:r>
      <w:r w:rsidRPr="00D4309F">
        <w:rPr>
          <w:spacing w:val="-3"/>
        </w:rPr>
        <w:t xml:space="preserve"> </w:t>
      </w:r>
      <w:r w:rsidRPr="00D4309F">
        <w:t>costs,</w:t>
      </w:r>
      <w:r w:rsidRPr="00D4309F">
        <w:rPr>
          <w:spacing w:val="-3"/>
        </w:rPr>
        <w:t xml:space="preserve"> </w:t>
      </w:r>
      <w:r w:rsidRPr="00D4309F">
        <w:t>low</w:t>
      </w:r>
      <w:r w:rsidRPr="00D4309F">
        <w:rPr>
          <w:spacing w:val="-2"/>
        </w:rPr>
        <w:t xml:space="preserve"> </w:t>
      </w:r>
      <w:r w:rsidRPr="00D4309F">
        <w:t>contractor</w:t>
      </w:r>
      <w:r w:rsidRPr="00D4309F">
        <w:rPr>
          <w:spacing w:val="-2"/>
        </w:rPr>
        <w:t xml:space="preserve"> </w:t>
      </w:r>
      <w:r w:rsidRPr="00D4309F">
        <w:t>familiarity</w:t>
      </w:r>
      <w:r w:rsidRPr="00D4309F">
        <w:rPr>
          <w:spacing w:val="-2"/>
        </w:rPr>
        <w:t xml:space="preserve"> </w:t>
      </w:r>
      <w:r w:rsidRPr="00D4309F">
        <w:t>and</w:t>
      </w:r>
      <w:r w:rsidRPr="00D4309F">
        <w:rPr>
          <w:spacing w:val="-3"/>
        </w:rPr>
        <w:t xml:space="preserve"> </w:t>
      </w:r>
      <w:r w:rsidRPr="00D4309F">
        <w:t>relatively</w:t>
      </w:r>
      <w:r w:rsidRPr="00D4309F">
        <w:rPr>
          <w:spacing w:val="-2"/>
        </w:rPr>
        <w:t xml:space="preserve"> </w:t>
      </w:r>
      <w:r w:rsidRPr="00D4309F">
        <w:t>unproven</w:t>
      </w:r>
      <w:r w:rsidRPr="00D4309F">
        <w:rPr>
          <w:spacing w:val="-3"/>
        </w:rPr>
        <w:t xml:space="preserve"> </w:t>
      </w:r>
      <w:r w:rsidRPr="00D4309F">
        <w:t>performance</w:t>
      </w:r>
      <w:r w:rsidRPr="00D4309F">
        <w:rPr>
          <w:spacing w:val="-3"/>
        </w:rPr>
        <w:t xml:space="preserve"> </w:t>
      </w:r>
      <w:r w:rsidRPr="00D4309F">
        <w:t>of</w:t>
      </w:r>
      <w:r w:rsidRPr="00D4309F">
        <w:rPr>
          <w:spacing w:val="-3"/>
        </w:rPr>
        <w:t xml:space="preserve"> </w:t>
      </w:r>
      <w:r w:rsidRPr="00D4309F">
        <w:t>such</w:t>
      </w:r>
      <w:r w:rsidRPr="00D4309F">
        <w:rPr>
          <w:spacing w:val="-4"/>
        </w:rPr>
        <w:t xml:space="preserve"> </w:t>
      </w:r>
      <w:r w:rsidRPr="00D4309F">
        <w:t>equipment</w:t>
      </w:r>
      <w:r w:rsidRPr="00D4309F">
        <w:rPr>
          <w:spacing w:val="-3"/>
        </w:rPr>
        <w:t xml:space="preserve"> </w:t>
      </w:r>
      <w:r w:rsidRPr="00D4309F">
        <w:t>for addressing the sand shoal, this option is not recommended as a potential interim solution.</w:t>
      </w:r>
    </w:p>
    <w:p w14:paraId="37412A25" w14:textId="77777777" w:rsidR="00725977" w:rsidRPr="00D4309F" w:rsidRDefault="00725977" w:rsidP="004426B8">
      <w:pPr>
        <w:pStyle w:val="Heading3"/>
      </w:pPr>
      <w:bookmarkStart w:id="151" w:name="_Ref216022348"/>
      <w:bookmarkStart w:id="152" w:name="_Toc216699345"/>
      <w:r w:rsidRPr="00D4309F">
        <w:lastRenderedPageBreak/>
        <w:t>Summary</w:t>
      </w:r>
      <w:r w:rsidRPr="00D4309F">
        <w:rPr>
          <w:spacing w:val="-5"/>
        </w:rPr>
        <w:t xml:space="preserve"> </w:t>
      </w:r>
      <w:r w:rsidRPr="00D4309F">
        <w:t>of</w:t>
      </w:r>
      <w:r w:rsidRPr="00D4309F">
        <w:rPr>
          <w:spacing w:val="-3"/>
        </w:rPr>
        <w:t xml:space="preserve"> </w:t>
      </w:r>
      <w:r w:rsidRPr="00D4309F">
        <w:t>Dredging</w:t>
      </w:r>
      <w:r w:rsidRPr="00D4309F">
        <w:rPr>
          <w:spacing w:val="-3"/>
        </w:rPr>
        <w:t xml:space="preserve"> </w:t>
      </w:r>
      <w:r w:rsidRPr="00D4309F">
        <w:rPr>
          <w:spacing w:val="-2"/>
        </w:rPr>
        <w:t>Strategy</w:t>
      </w:r>
      <w:bookmarkEnd w:id="151"/>
      <w:bookmarkEnd w:id="152"/>
    </w:p>
    <w:p w14:paraId="59FA8FE7" w14:textId="77777777" w:rsidR="00725977" w:rsidRPr="00D4309F" w:rsidRDefault="00725977" w:rsidP="00725977">
      <w:pPr>
        <w:pStyle w:val="BodyText"/>
      </w:pPr>
      <w:r w:rsidRPr="00D4309F">
        <w:t>Based</w:t>
      </w:r>
      <w:r w:rsidRPr="00D4309F">
        <w:rPr>
          <w:spacing w:val="-3"/>
        </w:rPr>
        <w:t xml:space="preserve"> </w:t>
      </w:r>
      <w:r w:rsidRPr="00D4309F">
        <w:t>on</w:t>
      </w:r>
      <w:r w:rsidRPr="00D4309F">
        <w:rPr>
          <w:spacing w:val="-3"/>
        </w:rPr>
        <w:t xml:space="preserve"> </w:t>
      </w:r>
      <w:r w:rsidRPr="00D4309F">
        <w:t>our</w:t>
      </w:r>
      <w:r w:rsidRPr="00D4309F">
        <w:rPr>
          <w:spacing w:val="-4"/>
        </w:rPr>
        <w:t xml:space="preserve"> </w:t>
      </w:r>
      <w:r w:rsidRPr="00D4309F">
        <w:t>assessment</w:t>
      </w:r>
      <w:r w:rsidRPr="00D4309F">
        <w:rPr>
          <w:spacing w:val="-3"/>
        </w:rPr>
        <w:t xml:space="preserve"> </w:t>
      </w:r>
      <w:r w:rsidRPr="00D4309F">
        <w:t>and</w:t>
      </w:r>
      <w:r w:rsidRPr="00D4309F">
        <w:rPr>
          <w:spacing w:val="-3"/>
        </w:rPr>
        <w:t xml:space="preserve"> </w:t>
      </w:r>
      <w:r w:rsidRPr="00D4309F">
        <w:t>understanding</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coastal</w:t>
      </w:r>
      <w:r w:rsidRPr="00D4309F">
        <w:rPr>
          <w:spacing w:val="-4"/>
        </w:rPr>
        <w:t xml:space="preserve"> </w:t>
      </w:r>
      <w:r w:rsidRPr="00D4309F">
        <w:t>setting</w:t>
      </w:r>
      <w:r w:rsidRPr="00D4309F">
        <w:rPr>
          <w:spacing w:val="-4"/>
        </w:rPr>
        <w:t xml:space="preserve"> </w:t>
      </w:r>
      <w:r w:rsidRPr="00D4309F">
        <w:t>and</w:t>
      </w:r>
      <w:r w:rsidRPr="00D4309F">
        <w:rPr>
          <w:spacing w:val="-3"/>
        </w:rPr>
        <w:t xml:space="preserve"> </w:t>
      </w:r>
      <w:r w:rsidRPr="00D4309F">
        <w:t>available</w:t>
      </w:r>
      <w:r w:rsidRPr="00D4309F">
        <w:rPr>
          <w:spacing w:val="-3"/>
        </w:rPr>
        <w:t xml:space="preserve"> </w:t>
      </w:r>
      <w:r w:rsidRPr="00D4309F">
        <w:t>data,</w:t>
      </w:r>
      <w:r w:rsidRPr="00D4309F">
        <w:rPr>
          <w:spacing w:val="-3"/>
        </w:rPr>
        <w:t xml:space="preserve"> </w:t>
      </w:r>
      <w:r w:rsidRPr="00D4309F">
        <w:t>the</w:t>
      </w:r>
      <w:r w:rsidRPr="00D4309F">
        <w:rPr>
          <w:spacing w:val="-3"/>
        </w:rPr>
        <w:t xml:space="preserve"> </w:t>
      </w:r>
      <w:r w:rsidRPr="00D4309F">
        <w:t>following recommendations can be made for the dredging strategy:</w:t>
      </w:r>
    </w:p>
    <w:p w14:paraId="7C6F6F2D" w14:textId="77777777" w:rsidR="00725977" w:rsidRPr="00D4309F" w:rsidRDefault="00725977" w:rsidP="004426B8">
      <w:pPr>
        <w:pStyle w:val="ListBullet"/>
      </w:pPr>
      <w:r w:rsidRPr="00D4309F">
        <w:rPr>
          <w:b/>
        </w:rPr>
        <w:t>Recommendation:</w:t>
      </w:r>
      <w:r w:rsidRPr="00D4309F">
        <w:rPr>
          <w:b/>
          <w:spacing w:val="-4"/>
        </w:rPr>
        <w:t xml:space="preserve"> </w:t>
      </w:r>
      <w:r w:rsidRPr="00D4309F">
        <w:t>Continue</w:t>
      </w:r>
      <w:r w:rsidRPr="00D4309F">
        <w:rPr>
          <w:spacing w:val="-3"/>
        </w:rPr>
        <w:t xml:space="preserve"> </w:t>
      </w:r>
      <w:r w:rsidRPr="00D4309F">
        <w:t>with</w:t>
      </w:r>
      <w:r w:rsidRPr="00D4309F">
        <w:rPr>
          <w:spacing w:val="-3"/>
        </w:rPr>
        <w:t xml:space="preserve"> </w:t>
      </w:r>
      <w:r w:rsidRPr="00D4309F">
        <w:t>the</w:t>
      </w:r>
      <w:r w:rsidRPr="00D4309F">
        <w:rPr>
          <w:spacing w:val="-3"/>
        </w:rPr>
        <w:t xml:space="preserve"> </w:t>
      </w:r>
      <w:r w:rsidRPr="00D4309F">
        <w:t>existing</w:t>
      </w:r>
      <w:r w:rsidRPr="00D4309F">
        <w:rPr>
          <w:spacing w:val="-3"/>
        </w:rPr>
        <w:t xml:space="preserve"> </w:t>
      </w:r>
      <w:r w:rsidRPr="00D4309F">
        <w:t>maintenance</w:t>
      </w:r>
      <w:r w:rsidRPr="00D4309F">
        <w:rPr>
          <w:spacing w:val="-3"/>
        </w:rPr>
        <w:t xml:space="preserve"> </w:t>
      </w:r>
      <w:r w:rsidRPr="00D4309F">
        <w:t>and</w:t>
      </w:r>
      <w:r w:rsidRPr="00D4309F">
        <w:rPr>
          <w:spacing w:val="-3"/>
        </w:rPr>
        <w:t xml:space="preserve"> </w:t>
      </w:r>
      <w:r w:rsidRPr="00D4309F">
        <w:t>targeted</w:t>
      </w:r>
      <w:r w:rsidRPr="00D4309F">
        <w:rPr>
          <w:spacing w:val="-3"/>
        </w:rPr>
        <w:t xml:space="preserve"> </w:t>
      </w:r>
      <w:r w:rsidRPr="00D4309F">
        <w:t>dredging</w:t>
      </w:r>
      <w:r w:rsidRPr="00D4309F">
        <w:rPr>
          <w:spacing w:val="-4"/>
        </w:rPr>
        <w:t xml:space="preserve"> </w:t>
      </w:r>
      <w:r w:rsidRPr="00D4309F">
        <w:t>strategy</w:t>
      </w:r>
      <w:r w:rsidRPr="00D4309F">
        <w:rPr>
          <w:spacing w:val="-2"/>
        </w:rPr>
        <w:t xml:space="preserve"> </w:t>
      </w:r>
      <w:r w:rsidRPr="00D4309F">
        <w:t>in</w:t>
      </w:r>
      <w:r w:rsidRPr="00D4309F">
        <w:rPr>
          <w:spacing w:val="-3"/>
        </w:rPr>
        <w:t xml:space="preserve"> </w:t>
      </w:r>
      <w:r w:rsidRPr="00D4309F">
        <w:t>the short-term, with the use of cutter suction dredgers. This strategy is approved and the current most effective option to react to shoaling events and maintain safe channel depths in the entrance.</w:t>
      </w:r>
    </w:p>
    <w:p w14:paraId="594663AF" w14:textId="77777777" w:rsidR="004426B8" w:rsidRPr="00D4309F" w:rsidRDefault="004426B8" w:rsidP="004426B8">
      <w:pPr>
        <w:pStyle w:val="ListBullet"/>
      </w:pPr>
      <w:r w:rsidRPr="00D4309F">
        <w:rPr>
          <w:b/>
          <w:color w:val="211E1F"/>
        </w:rPr>
        <w:t>Recommendation</w:t>
      </w:r>
      <w:r w:rsidRPr="00D4309F">
        <w:rPr>
          <w:color w:val="211E1F"/>
        </w:rPr>
        <w:t>: Any improvements to site monitoring and the numerical modelling tool should be brought</w:t>
      </w:r>
      <w:r w:rsidRPr="00D4309F">
        <w:rPr>
          <w:color w:val="211E1F"/>
          <w:spacing w:val="-3"/>
        </w:rPr>
        <w:t xml:space="preserve"> </w:t>
      </w:r>
      <w:r w:rsidRPr="00D4309F">
        <w:rPr>
          <w:color w:val="211E1F"/>
        </w:rPr>
        <w:t>in</w:t>
      </w:r>
      <w:r w:rsidRPr="00D4309F">
        <w:rPr>
          <w:color w:val="211E1F"/>
          <w:spacing w:val="-3"/>
        </w:rPr>
        <w:t xml:space="preserve"> </w:t>
      </w:r>
      <w:r w:rsidRPr="00D4309F">
        <w:rPr>
          <w:color w:val="211E1F"/>
        </w:rPr>
        <w:t>to</w:t>
      </w:r>
      <w:r w:rsidRPr="00D4309F">
        <w:rPr>
          <w:color w:val="211E1F"/>
          <w:spacing w:val="-3"/>
        </w:rPr>
        <w:t xml:space="preserve"> </w:t>
      </w:r>
      <w:r w:rsidRPr="00D4309F">
        <w:rPr>
          <w:color w:val="211E1F"/>
        </w:rPr>
        <w:t>improve</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timeliness</w:t>
      </w:r>
      <w:r w:rsidRPr="00D4309F">
        <w:rPr>
          <w:color w:val="211E1F"/>
          <w:spacing w:val="-2"/>
        </w:rPr>
        <w:t xml:space="preserve"> </w:t>
      </w:r>
      <w:r w:rsidRPr="00D4309F">
        <w:rPr>
          <w:color w:val="211E1F"/>
        </w:rPr>
        <w:t>of</w:t>
      </w:r>
      <w:r w:rsidRPr="00D4309F">
        <w:rPr>
          <w:color w:val="211E1F"/>
          <w:spacing w:val="-4"/>
        </w:rPr>
        <w:t xml:space="preserve"> </w:t>
      </w:r>
      <w:r w:rsidRPr="00D4309F">
        <w:rPr>
          <w:color w:val="211E1F"/>
        </w:rPr>
        <w:t>maintenance</w:t>
      </w:r>
      <w:r w:rsidRPr="00D4309F">
        <w:rPr>
          <w:color w:val="211E1F"/>
          <w:spacing w:val="-3"/>
        </w:rPr>
        <w:t xml:space="preserve"> </w:t>
      </w:r>
      <w:r w:rsidRPr="00D4309F">
        <w:rPr>
          <w:color w:val="211E1F"/>
        </w:rPr>
        <w:t>dredging</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reactive</w:t>
      </w:r>
      <w:r w:rsidRPr="00D4309F">
        <w:rPr>
          <w:color w:val="211E1F"/>
          <w:spacing w:val="-3"/>
        </w:rPr>
        <w:t xml:space="preserve"> </w:t>
      </w:r>
      <w:r w:rsidRPr="00D4309F">
        <w:rPr>
          <w:color w:val="211E1F"/>
        </w:rPr>
        <w:t>targeted</w:t>
      </w:r>
      <w:r w:rsidRPr="00D4309F">
        <w:rPr>
          <w:color w:val="211E1F"/>
          <w:spacing w:val="-3"/>
        </w:rPr>
        <w:t xml:space="preserve"> </w:t>
      </w:r>
      <w:r w:rsidRPr="00D4309F">
        <w:rPr>
          <w:color w:val="211E1F"/>
        </w:rPr>
        <w:t>dredged</w:t>
      </w:r>
      <w:r w:rsidRPr="00D4309F">
        <w:rPr>
          <w:color w:val="211E1F"/>
          <w:spacing w:val="-3"/>
        </w:rPr>
        <w:t xml:space="preserve"> </w:t>
      </w:r>
      <w:r w:rsidRPr="00D4309F">
        <w:rPr>
          <w:color w:val="211E1F"/>
        </w:rPr>
        <w:t>as</w:t>
      </w:r>
      <w:r w:rsidRPr="00D4309F">
        <w:rPr>
          <w:color w:val="211E1F"/>
          <w:spacing w:val="-2"/>
        </w:rPr>
        <w:t xml:space="preserve"> </w:t>
      </w:r>
      <w:r w:rsidRPr="00D4309F">
        <w:rPr>
          <w:color w:val="211E1F"/>
        </w:rPr>
        <w:t>much</w:t>
      </w:r>
      <w:r w:rsidRPr="00D4309F">
        <w:rPr>
          <w:color w:val="211E1F"/>
          <w:spacing w:val="-3"/>
        </w:rPr>
        <w:t xml:space="preserve"> </w:t>
      </w:r>
      <w:r w:rsidRPr="00D4309F">
        <w:rPr>
          <w:color w:val="211E1F"/>
        </w:rPr>
        <w:t xml:space="preserve">as </w:t>
      </w:r>
      <w:r w:rsidRPr="00D4309F">
        <w:rPr>
          <w:color w:val="211E1F"/>
          <w:spacing w:val="-2"/>
        </w:rPr>
        <w:t>possible.</w:t>
      </w:r>
    </w:p>
    <w:p w14:paraId="7C6B15B9" w14:textId="77777777" w:rsidR="004426B8" w:rsidRPr="00D4309F" w:rsidRDefault="004426B8" w:rsidP="004426B8">
      <w:pPr>
        <w:pStyle w:val="ListBullet"/>
      </w:pPr>
      <w:r w:rsidRPr="00D4309F">
        <w:rPr>
          <w:b/>
          <w:color w:val="211E1F"/>
        </w:rPr>
        <w:t xml:space="preserve">Recommendation: </w:t>
      </w:r>
      <w:r w:rsidRPr="00D4309F">
        <w:rPr>
          <w:color w:val="211E1F"/>
        </w:rPr>
        <w:t>The use of TSHD dredgers could be considered as an alternative to the cutter suction</w:t>
      </w:r>
      <w:r w:rsidRPr="00D4309F">
        <w:rPr>
          <w:color w:val="211E1F"/>
          <w:spacing w:val="-3"/>
        </w:rPr>
        <w:t xml:space="preserve"> </w:t>
      </w:r>
      <w:r w:rsidRPr="00D4309F">
        <w:rPr>
          <w:color w:val="211E1F"/>
        </w:rPr>
        <w:t>dredgers</w:t>
      </w:r>
      <w:r w:rsidRPr="00D4309F">
        <w:rPr>
          <w:color w:val="211E1F"/>
          <w:spacing w:val="-2"/>
        </w:rPr>
        <w:t xml:space="preserve"> </w:t>
      </w:r>
      <w:r w:rsidRPr="00D4309F">
        <w:rPr>
          <w:color w:val="211E1F"/>
        </w:rPr>
        <w:t>but</w:t>
      </w:r>
      <w:r w:rsidRPr="00D4309F">
        <w:rPr>
          <w:color w:val="211E1F"/>
          <w:spacing w:val="-3"/>
        </w:rPr>
        <w:t xml:space="preserve"> </w:t>
      </w:r>
      <w:r w:rsidRPr="00D4309F">
        <w:rPr>
          <w:color w:val="211E1F"/>
        </w:rPr>
        <w:t>is</w:t>
      </w:r>
      <w:r w:rsidRPr="00D4309F">
        <w:rPr>
          <w:color w:val="211E1F"/>
          <w:spacing w:val="-2"/>
        </w:rPr>
        <w:t xml:space="preserve"> </w:t>
      </w:r>
      <w:r w:rsidRPr="00D4309F">
        <w:rPr>
          <w:color w:val="211E1F"/>
        </w:rPr>
        <w:t>not</w:t>
      </w:r>
      <w:r w:rsidRPr="00D4309F">
        <w:rPr>
          <w:color w:val="211E1F"/>
          <w:spacing w:val="-4"/>
        </w:rPr>
        <w:t xml:space="preserve"> </w:t>
      </w:r>
      <w:r w:rsidRPr="00D4309F">
        <w:rPr>
          <w:color w:val="211E1F"/>
        </w:rPr>
        <w:t>expected</w:t>
      </w:r>
      <w:r w:rsidRPr="00D4309F">
        <w:rPr>
          <w:color w:val="211E1F"/>
          <w:spacing w:val="-3"/>
        </w:rPr>
        <w:t xml:space="preserve"> </w:t>
      </w:r>
      <w:r w:rsidRPr="00D4309F">
        <w:rPr>
          <w:color w:val="211E1F"/>
        </w:rPr>
        <w:t>to</w:t>
      </w:r>
      <w:r w:rsidRPr="00D4309F">
        <w:rPr>
          <w:color w:val="211E1F"/>
          <w:spacing w:val="-3"/>
        </w:rPr>
        <w:t xml:space="preserve"> </w:t>
      </w:r>
      <w:r w:rsidRPr="00D4309F">
        <w:rPr>
          <w:color w:val="211E1F"/>
        </w:rPr>
        <w:t>greatly</w:t>
      </w:r>
      <w:r w:rsidRPr="00D4309F">
        <w:rPr>
          <w:color w:val="211E1F"/>
          <w:spacing w:val="-3"/>
        </w:rPr>
        <w:t xml:space="preserve"> </w:t>
      </w:r>
      <w:r w:rsidRPr="00D4309F">
        <w:rPr>
          <w:color w:val="211E1F"/>
        </w:rPr>
        <w:t>improve</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suitable</w:t>
      </w:r>
      <w:r w:rsidRPr="00D4309F">
        <w:rPr>
          <w:color w:val="211E1F"/>
          <w:spacing w:val="-3"/>
        </w:rPr>
        <w:t xml:space="preserve"> </w:t>
      </w:r>
      <w:r w:rsidRPr="00D4309F">
        <w:rPr>
          <w:color w:val="211E1F"/>
        </w:rPr>
        <w:t>dredge</w:t>
      </w:r>
      <w:r w:rsidRPr="00D4309F">
        <w:rPr>
          <w:color w:val="211E1F"/>
          <w:spacing w:val="-3"/>
        </w:rPr>
        <w:t xml:space="preserve"> </w:t>
      </w:r>
      <w:r w:rsidRPr="00D4309F">
        <w:rPr>
          <w:color w:val="211E1F"/>
        </w:rPr>
        <w:t>window</w:t>
      </w:r>
      <w:r w:rsidRPr="00D4309F">
        <w:rPr>
          <w:color w:val="211E1F"/>
          <w:spacing w:val="-3"/>
        </w:rPr>
        <w:t xml:space="preserve"> </w:t>
      </w:r>
      <w:r w:rsidRPr="00D4309F">
        <w:rPr>
          <w:color w:val="211E1F"/>
        </w:rPr>
        <w:t>due</w:t>
      </w:r>
      <w:r w:rsidRPr="00D4309F">
        <w:rPr>
          <w:color w:val="211E1F"/>
          <w:spacing w:val="-3"/>
        </w:rPr>
        <w:t xml:space="preserve"> </w:t>
      </w:r>
      <w:r w:rsidRPr="00D4309F">
        <w:rPr>
          <w:color w:val="211E1F"/>
        </w:rPr>
        <w:t>to</w:t>
      </w:r>
      <w:r w:rsidRPr="00D4309F">
        <w:rPr>
          <w:color w:val="211E1F"/>
          <w:spacing w:val="-3"/>
        </w:rPr>
        <w:t xml:space="preserve"> </w:t>
      </w:r>
      <w:r w:rsidRPr="00D4309F">
        <w:rPr>
          <w:color w:val="211E1F"/>
        </w:rPr>
        <w:t>constraints</w:t>
      </w:r>
      <w:r w:rsidRPr="00D4309F">
        <w:rPr>
          <w:color w:val="211E1F"/>
          <w:spacing w:val="-2"/>
        </w:rPr>
        <w:t xml:space="preserve"> </w:t>
      </w:r>
      <w:r w:rsidRPr="00D4309F">
        <w:rPr>
          <w:color w:val="211E1F"/>
        </w:rPr>
        <w:t>at the site (i.e., shallow depths, rocky layer, wave exposure).</w:t>
      </w:r>
    </w:p>
    <w:p w14:paraId="332D62A7" w14:textId="77777777" w:rsidR="004426B8" w:rsidRPr="00D4309F" w:rsidRDefault="004426B8" w:rsidP="004426B8">
      <w:pPr>
        <w:pStyle w:val="ListBullet"/>
      </w:pPr>
      <w:r w:rsidRPr="00D4309F">
        <w:rPr>
          <w:b/>
          <w:color w:val="211E1F"/>
        </w:rPr>
        <w:t>Recommendation:</w:t>
      </w:r>
      <w:r w:rsidRPr="00D4309F">
        <w:rPr>
          <w:b/>
          <w:color w:val="211E1F"/>
          <w:spacing w:val="-4"/>
        </w:rPr>
        <w:t xml:space="preserve"> </w:t>
      </w:r>
      <w:r w:rsidRPr="00D4309F">
        <w:rPr>
          <w:color w:val="211E1F"/>
        </w:rPr>
        <w:t>Use</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submarine</w:t>
      </w:r>
      <w:r w:rsidRPr="00D4309F">
        <w:rPr>
          <w:color w:val="211E1F"/>
          <w:spacing w:val="-3"/>
        </w:rPr>
        <w:t xml:space="preserve"> </w:t>
      </w:r>
      <w:r w:rsidRPr="00D4309F">
        <w:rPr>
          <w:color w:val="211E1F"/>
        </w:rPr>
        <w:t>dredger</w:t>
      </w:r>
      <w:r w:rsidRPr="00D4309F">
        <w:rPr>
          <w:color w:val="211E1F"/>
          <w:spacing w:val="-2"/>
        </w:rPr>
        <w:t xml:space="preserve"> </w:t>
      </w:r>
      <w:r w:rsidRPr="00D4309F">
        <w:rPr>
          <w:color w:val="211E1F"/>
        </w:rPr>
        <w:t>and</w:t>
      </w:r>
      <w:r w:rsidRPr="00D4309F">
        <w:rPr>
          <w:color w:val="211E1F"/>
          <w:spacing w:val="-3"/>
        </w:rPr>
        <w:t xml:space="preserve"> </w:t>
      </w:r>
      <w:r w:rsidRPr="00D4309F">
        <w:rPr>
          <w:color w:val="211E1F"/>
        </w:rPr>
        <w:t>jack-up</w:t>
      </w:r>
      <w:r w:rsidRPr="00D4309F">
        <w:rPr>
          <w:color w:val="211E1F"/>
          <w:spacing w:val="-3"/>
        </w:rPr>
        <w:t xml:space="preserve"> </w:t>
      </w:r>
      <w:r w:rsidRPr="00D4309F">
        <w:rPr>
          <w:color w:val="211E1F"/>
        </w:rPr>
        <w:t>barge</w:t>
      </w:r>
      <w:r w:rsidRPr="00D4309F">
        <w:rPr>
          <w:color w:val="211E1F"/>
          <w:spacing w:val="-3"/>
        </w:rPr>
        <w:t xml:space="preserve"> </w:t>
      </w:r>
      <w:r w:rsidRPr="00D4309F">
        <w:rPr>
          <w:color w:val="211E1F"/>
        </w:rPr>
        <w:t>options</w:t>
      </w:r>
      <w:r w:rsidRPr="00D4309F">
        <w:rPr>
          <w:color w:val="211E1F"/>
          <w:spacing w:val="-2"/>
        </w:rPr>
        <w:t xml:space="preserve"> </w:t>
      </w:r>
      <w:r w:rsidRPr="00D4309F">
        <w:rPr>
          <w:color w:val="211E1F"/>
        </w:rPr>
        <w:t>are</w:t>
      </w:r>
      <w:r w:rsidRPr="00D4309F">
        <w:rPr>
          <w:color w:val="211E1F"/>
          <w:spacing w:val="-3"/>
        </w:rPr>
        <w:t xml:space="preserve"> </w:t>
      </w:r>
      <w:r w:rsidRPr="00D4309F">
        <w:rPr>
          <w:color w:val="211E1F"/>
        </w:rPr>
        <w:t>not</w:t>
      </w:r>
      <w:r w:rsidRPr="00D4309F">
        <w:rPr>
          <w:color w:val="211E1F"/>
          <w:spacing w:val="-3"/>
        </w:rPr>
        <w:t xml:space="preserve"> </w:t>
      </w:r>
      <w:r w:rsidRPr="00D4309F">
        <w:rPr>
          <w:color w:val="211E1F"/>
        </w:rPr>
        <w:t>recommended</w:t>
      </w:r>
      <w:r w:rsidRPr="00D4309F">
        <w:rPr>
          <w:color w:val="211E1F"/>
          <w:spacing w:val="-3"/>
        </w:rPr>
        <w:t xml:space="preserve"> </w:t>
      </w:r>
      <w:r w:rsidRPr="00D4309F">
        <w:rPr>
          <w:color w:val="211E1F"/>
        </w:rPr>
        <w:t>due to the increased risks, costs and uncertainty of benefits.</w:t>
      </w:r>
    </w:p>
    <w:p w14:paraId="6F2E71AA" w14:textId="77777777" w:rsidR="004426B8" w:rsidRPr="00D4309F" w:rsidRDefault="004426B8" w:rsidP="004426B8">
      <w:pPr>
        <w:pStyle w:val="ListBullet"/>
      </w:pPr>
      <w:r w:rsidRPr="00D4309F">
        <w:rPr>
          <w:b/>
          <w:color w:val="211E1F"/>
        </w:rPr>
        <w:t>Recommendation:</w:t>
      </w:r>
      <w:r w:rsidRPr="00D4309F">
        <w:rPr>
          <w:b/>
          <w:color w:val="211E1F"/>
          <w:spacing w:val="-4"/>
        </w:rPr>
        <w:t xml:space="preserve"> </w:t>
      </w:r>
      <w:r w:rsidRPr="00D4309F">
        <w:rPr>
          <w:color w:val="211E1F"/>
        </w:rPr>
        <w:t>Use</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bed-levelling</w:t>
      </w:r>
      <w:r w:rsidRPr="00D4309F">
        <w:rPr>
          <w:color w:val="211E1F"/>
          <w:spacing w:val="-3"/>
        </w:rPr>
        <w:t xml:space="preserve"> </w:t>
      </w:r>
      <w:r w:rsidRPr="00D4309F">
        <w:rPr>
          <w:color w:val="211E1F"/>
        </w:rPr>
        <w:t>option</w:t>
      </w:r>
      <w:r w:rsidRPr="00D4309F">
        <w:rPr>
          <w:color w:val="211E1F"/>
          <w:spacing w:val="-3"/>
        </w:rPr>
        <w:t xml:space="preserve"> </w:t>
      </w:r>
      <w:r w:rsidRPr="00D4309F">
        <w:rPr>
          <w:color w:val="211E1F"/>
        </w:rPr>
        <w:t>is</w:t>
      </w:r>
      <w:r w:rsidRPr="00D4309F">
        <w:rPr>
          <w:color w:val="211E1F"/>
          <w:spacing w:val="-2"/>
        </w:rPr>
        <w:t xml:space="preserve"> </w:t>
      </w:r>
      <w:r w:rsidRPr="00D4309F">
        <w:rPr>
          <w:color w:val="211E1F"/>
        </w:rPr>
        <w:t>not</w:t>
      </w:r>
      <w:r w:rsidRPr="00D4309F">
        <w:rPr>
          <w:color w:val="211E1F"/>
          <w:spacing w:val="-3"/>
        </w:rPr>
        <w:t xml:space="preserve"> </w:t>
      </w:r>
      <w:r w:rsidRPr="00D4309F">
        <w:rPr>
          <w:color w:val="211E1F"/>
        </w:rPr>
        <w:t>recommended</w:t>
      </w:r>
      <w:r w:rsidRPr="00D4309F">
        <w:rPr>
          <w:color w:val="211E1F"/>
          <w:spacing w:val="-3"/>
        </w:rPr>
        <w:t xml:space="preserve"> </w:t>
      </w:r>
      <w:r w:rsidRPr="00D4309F">
        <w:rPr>
          <w:color w:val="211E1F"/>
        </w:rPr>
        <w:t>for</w:t>
      </w:r>
      <w:r w:rsidRPr="00D4309F">
        <w:rPr>
          <w:color w:val="211E1F"/>
          <w:spacing w:val="-2"/>
        </w:rPr>
        <w:t xml:space="preserve"> </w:t>
      </w:r>
      <w:r w:rsidRPr="00D4309F">
        <w:rPr>
          <w:color w:val="211E1F"/>
        </w:rPr>
        <w:t>addressing</w:t>
      </w:r>
      <w:r w:rsidRPr="00D4309F">
        <w:rPr>
          <w:color w:val="211E1F"/>
          <w:spacing w:val="-3"/>
        </w:rPr>
        <w:t xml:space="preserve"> </w:t>
      </w:r>
      <w:r w:rsidRPr="00D4309F">
        <w:rPr>
          <w:color w:val="211E1F"/>
        </w:rPr>
        <w:t>the</w:t>
      </w:r>
      <w:r w:rsidRPr="00D4309F">
        <w:rPr>
          <w:color w:val="211E1F"/>
          <w:spacing w:val="-4"/>
        </w:rPr>
        <w:t xml:space="preserve"> </w:t>
      </w:r>
      <w:r w:rsidRPr="00D4309F">
        <w:rPr>
          <w:color w:val="211E1F"/>
        </w:rPr>
        <w:t>sand</w:t>
      </w:r>
      <w:r w:rsidRPr="00D4309F">
        <w:rPr>
          <w:color w:val="211E1F"/>
          <w:spacing w:val="-3"/>
        </w:rPr>
        <w:t xml:space="preserve"> </w:t>
      </w:r>
      <w:r w:rsidRPr="00D4309F">
        <w:rPr>
          <w:color w:val="211E1F"/>
        </w:rPr>
        <w:t>shoal due to the sites wave climate and associated risks to bed-levelling operations.</w:t>
      </w:r>
    </w:p>
    <w:p w14:paraId="7DA51282" w14:textId="7B33C118" w:rsidR="00F06E88" w:rsidRPr="00D4309F" w:rsidRDefault="004426B8" w:rsidP="00F06E88">
      <w:pPr>
        <w:pStyle w:val="ListBullet"/>
      </w:pPr>
      <w:r w:rsidRPr="00D4309F">
        <w:rPr>
          <w:b/>
          <w:color w:val="211E1F"/>
        </w:rPr>
        <w:t>Recommendation:</w:t>
      </w:r>
      <w:r w:rsidRPr="00D4309F">
        <w:rPr>
          <w:b/>
          <w:color w:val="211E1F"/>
          <w:spacing w:val="-4"/>
        </w:rPr>
        <w:t xml:space="preserve"> </w:t>
      </w:r>
      <w:r w:rsidRPr="00D4309F">
        <w:rPr>
          <w:color w:val="211E1F"/>
        </w:rPr>
        <w:t>Contracting</w:t>
      </w:r>
      <w:r w:rsidRPr="00D4309F">
        <w:rPr>
          <w:color w:val="211E1F"/>
          <w:spacing w:val="-3"/>
        </w:rPr>
        <w:t xml:space="preserve"> </w:t>
      </w:r>
      <w:r w:rsidRPr="00D4309F">
        <w:rPr>
          <w:color w:val="211E1F"/>
        </w:rPr>
        <w:t>a</w:t>
      </w:r>
      <w:r w:rsidRPr="00D4309F">
        <w:rPr>
          <w:color w:val="211E1F"/>
          <w:spacing w:val="-3"/>
        </w:rPr>
        <w:t xml:space="preserve"> </w:t>
      </w:r>
      <w:r w:rsidRPr="00D4309F">
        <w:rPr>
          <w:color w:val="211E1F"/>
        </w:rPr>
        <w:t>dredger</w:t>
      </w:r>
      <w:r w:rsidRPr="00D4309F">
        <w:rPr>
          <w:color w:val="211E1F"/>
          <w:spacing w:val="-2"/>
        </w:rPr>
        <w:t xml:space="preserve"> </w:t>
      </w:r>
      <w:r w:rsidRPr="00D4309F">
        <w:rPr>
          <w:color w:val="211E1F"/>
        </w:rPr>
        <w:t>to</w:t>
      </w:r>
      <w:r w:rsidRPr="00D4309F">
        <w:rPr>
          <w:color w:val="211E1F"/>
          <w:spacing w:val="-3"/>
        </w:rPr>
        <w:t xml:space="preserve"> </w:t>
      </w:r>
      <w:r w:rsidRPr="00D4309F">
        <w:rPr>
          <w:color w:val="211E1F"/>
        </w:rPr>
        <w:t>be</w:t>
      </w:r>
      <w:r w:rsidRPr="00D4309F">
        <w:rPr>
          <w:color w:val="211E1F"/>
          <w:spacing w:val="-3"/>
        </w:rPr>
        <w:t xml:space="preserve"> </w:t>
      </w:r>
      <w:r w:rsidRPr="00D4309F">
        <w:rPr>
          <w:color w:val="211E1F"/>
        </w:rPr>
        <w:t>available</w:t>
      </w:r>
      <w:r w:rsidRPr="00D4309F">
        <w:rPr>
          <w:color w:val="211E1F"/>
          <w:spacing w:val="-3"/>
        </w:rPr>
        <w:t xml:space="preserve"> </w:t>
      </w:r>
      <w:r w:rsidRPr="00D4309F">
        <w:rPr>
          <w:color w:val="211E1F"/>
        </w:rPr>
        <w:t>for</w:t>
      </w:r>
      <w:r w:rsidRPr="00D4309F">
        <w:rPr>
          <w:color w:val="211E1F"/>
          <w:spacing w:val="-2"/>
        </w:rPr>
        <w:t xml:space="preserve"> </w:t>
      </w:r>
      <w:r w:rsidRPr="00D4309F">
        <w:rPr>
          <w:color w:val="211E1F"/>
        </w:rPr>
        <w:t>365</w:t>
      </w:r>
      <w:r w:rsidRPr="00D4309F">
        <w:rPr>
          <w:color w:val="211E1F"/>
          <w:spacing w:val="-3"/>
        </w:rPr>
        <w:t xml:space="preserve"> </w:t>
      </w:r>
      <w:r w:rsidRPr="00D4309F">
        <w:rPr>
          <w:color w:val="211E1F"/>
        </w:rPr>
        <w:t>days</w:t>
      </w:r>
      <w:r w:rsidRPr="00D4309F">
        <w:rPr>
          <w:color w:val="211E1F"/>
          <w:spacing w:val="-2"/>
        </w:rPr>
        <w:t xml:space="preserve"> </w:t>
      </w:r>
      <w:r w:rsidRPr="00D4309F">
        <w:rPr>
          <w:color w:val="211E1F"/>
        </w:rPr>
        <w:t>per</w:t>
      </w:r>
      <w:r w:rsidRPr="00D4309F">
        <w:rPr>
          <w:color w:val="211E1F"/>
          <w:spacing w:val="-4"/>
        </w:rPr>
        <w:t xml:space="preserve"> </w:t>
      </w:r>
      <w:r w:rsidRPr="00D4309F">
        <w:rPr>
          <w:color w:val="211E1F"/>
        </w:rPr>
        <w:t>year</w:t>
      </w:r>
      <w:r w:rsidRPr="00D4309F">
        <w:rPr>
          <w:color w:val="211E1F"/>
          <w:spacing w:val="-4"/>
        </w:rPr>
        <w:t xml:space="preserve"> </w:t>
      </w:r>
      <w:r w:rsidRPr="00D4309F">
        <w:rPr>
          <w:color w:val="211E1F"/>
        </w:rPr>
        <w:t>does</w:t>
      </w:r>
      <w:r w:rsidRPr="00D4309F">
        <w:rPr>
          <w:color w:val="211E1F"/>
          <w:spacing w:val="-2"/>
        </w:rPr>
        <w:t xml:space="preserve"> </w:t>
      </w:r>
      <w:r w:rsidRPr="00D4309F">
        <w:rPr>
          <w:color w:val="211E1F"/>
        </w:rPr>
        <w:t>have</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potential to maximise flexible dredging operations at the site and minimise mobilisation times. However, further analysis of potential annual average utilisation rates is required to determine overall cost-benefit of this option. This option would also not address inclement weather delays to dredging and at best requires frequent dredging of the channel to occur.</w:t>
      </w:r>
    </w:p>
    <w:p w14:paraId="7528FC0B" w14:textId="61262EF3" w:rsidR="004426B8" w:rsidRPr="00D4309F" w:rsidRDefault="004426B8" w:rsidP="004426B8">
      <w:pPr>
        <w:pStyle w:val="Heading4"/>
      </w:pPr>
      <w:bookmarkStart w:id="153" w:name="_bookmark64"/>
      <w:bookmarkEnd w:id="153"/>
      <w:r w:rsidRPr="00D4309F">
        <w:t>Potential</w:t>
      </w:r>
      <w:r w:rsidRPr="00D4309F">
        <w:rPr>
          <w:spacing w:val="-8"/>
        </w:rPr>
        <w:t xml:space="preserve"> </w:t>
      </w:r>
      <w:r w:rsidRPr="00D4309F">
        <w:t>environmental</w:t>
      </w:r>
      <w:r w:rsidRPr="00D4309F">
        <w:rPr>
          <w:spacing w:val="-5"/>
        </w:rPr>
        <w:t xml:space="preserve"> </w:t>
      </w:r>
      <w:r w:rsidRPr="00D4309F">
        <w:t>impacts</w:t>
      </w:r>
      <w:r w:rsidRPr="00D4309F">
        <w:rPr>
          <w:spacing w:val="-5"/>
        </w:rPr>
        <w:t xml:space="preserve"> </w:t>
      </w:r>
      <w:r w:rsidRPr="00D4309F">
        <w:t>of</w:t>
      </w:r>
      <w:r w:rsidRPr="00D4309F">
        <w:rPr>
          <w:spacing w:val="-5"/>
        </w:rPr>
        <w:t xml:space="preserve"> </w:t>
      </w:r>
      <w:r w:rsidRPr="00D4309F">
        <w:t>dredging</w:t>
      </w:r>
      <w:r w:rsidRPr="00D4309F">
        <w:rPr>
          <w:spacing w:val="-4"/>
        </w:rPr>
        <w:t xml:space="preserve"> </w:t>
      </w:r>
      <w:r w:rsidRPr="00D4309F">
        <w:rPr>
          <w:spacing w:val="-2"/>
        </w:rPr>
        <w:t>strategy</w:t>
      </w:r>
    </w:p>
    <w:p w14:paraId="405A271C" w14:textId="77777777" w:rsidR="004426B8" w:rsidRPr="00D4309F" w:rsidRDefault="004426B8" w:rsidP="004426B8">
      <w:pPr>
        <w:pStyle w:val="BodyText"/>
      </w:pPr>
      <w:r w:rsidRPr="00D4309F">
        <w:t>The potential environmental impacts resulting from the continuation of dredging at the Mooloolaba Boat Harbour</w:t>
      </w:r>
      <w:r w:rsidRPr="00D4309F">
        <w:rPr>
          <w:spacing w:val="-2"/>
        </w:rPr>
        <w:t xml:space="preserve"> </w:t>
      </w:r>
      <w:r w:rsidRPr="00D4309F">
        <w:t>entrance</w:t>
      </w:r>
      <w:r w:rsidRPr="00D4309F">
        <w:rPr>
          <w:spacing w:val="-3"/>
        </w:rPr>
        <w:t xml:space="preserve"> </w:t>
      </w:r>
      <w:r w:rsidRPr="00D4309F">
        <w:t>would</w:t>
      </w:r>
      <w:r w:rsidRPr="00D4309F">
        <w:rPr>
          <w:spacing w:val="-3"/>
        </w:rPr>
        <w:t xml:space="preserve"> </w:t>
      </w:r>
      <w:r w:rsidRPr="00D4309F">
        <w:t>need</w:t>
      </w:r>
      <w:r w:rsidRPr="00D4309F">
        <w:rPr>
          <w:spacing w:val="-3"/>
        </w:rPr>
        <w:t xml:space="preserve"> </w:t>
      </w:r>
      <w:r w:rsidRPr="00D4309F">
        <w:t>to</w:t>
      </w:r>
      <w:r w:rsidRPr="00D4309F">
        <w:rPr>
          <w:spacing w:val="-3"/>
        </w:rPr>
        <w:t xml:space="preserve"> </w:t>
      </w:r>
      <w:r w:rsidRPr="00D4309F">
        <w:t>be</w:t>
      </w:r>
      <w:r w:rsidRPr="00D4309F">
        <w:rPr>
          <w:spacing w:val="-3"/>
        </w:rPr>
        <w:t xml:space="preserve"> </w:t>
      </w:r>
      <w:r w:rsidRPr="00D4309F">
        <w:t>fully</w:t>
      </w:r>
      <w:r w:rsidRPr="00D4309F">
        <w:rPr>
          <w:spacing w:val="-2"/>
        </w:rPr>
        <w:t xml:space="preserve"> </w:t>
      </w:r>
      <w:r w:rsidRPr="00D4309F">
        <w:t>assessed</w:t>
      </w:r>
      <w:r w:rsidRPr="00D4309F">
        <w:rPr>
          <w:spacing w:val="-3"/>
        </w:rPr>
        <w:t xml:space="preserve"> </w:t>
      </w:r>
      <w:r w:rsidRPr="00D4309F">
        <w:t>to</w:t>
      </w:r>
      <w:r w:rsidRPr="00D4309F">
        <w:rPr>
          <w:spacing w:val="-4"/>
        </w:rPr>
        <w:t xml:space="preserve"> </w:t>
      </w:r>
      <w:r w:rsidRPr="00D4309F">
        <w:t>determine</w:t>
      </w:r>
      <w:r w:rsidRPr="00D4309F">
        <w:rPr>
          <w:spacing w:val="-3"/>
        </w:rPr>
        <w:t xml:space="preserve"> </w:t>
      </w:r>
      <w:r w:rsidRPr="00D4309F">
        <w:t>the</w:t>
      </w:r>
      <w:r w:rsidRPr="00D4309F">
        <w:rPr>
          <w:spacing w:val="-3"/>
        </w:rPr>
        <w:t xml:space="preserve"> </w:t>
      </w:r>
      <w:r w:rsidRPr="00D4309F">
        <w:t>appropriate</w:t>
      </w:r>
      <w:r w:rsidRPr="00D4309F">
        <w:rPr>
          <w:spacing w:val="-4"/>
        </w:rPr>
        <w:t xml:space="preserve"> </w:t>
      </w:r>
      <w:r w:rsidRPr="00D4309F">
        <w:t>environmental</w:t>
      </w:r>
      <w:r w:rsidRPr="00D4309F">
        <w:rPr>
          <w:spacing w:val="-3"/>
        </w:rPr>
        <w:t xml:space="preserve"> </w:t>
      </w:r>
      <w:r w:rsidRPr="00D4309F">
        <w:t>management requirements during works. However given the anticipated low risk of the works, the high-level potential impacts are as follows.</w:t>
      </w:r>
    </w:p>
    <w:p w14:paraId="5D9B336A" w14:textId="2385FC9D" w:rsidR="004426B8" w:rsidRPr="00D4309F" w:rsidRDefault="004426B8" w:rsidP="004426B8">
      <w:pPr>
        <w:pStyle w:val="ListBullet"/>
      </w:pPr>
      <w:r w:rsidRPr="00D4309F">
        <w:t xml:space="preserve">Dependant on the location and timing of dredge disposal works, there may be changes to the beach profile where sediment is disposed to Mooloolaba Beach resulting in impacts to turtle nesting, bird roosting and visual amenity of the immediate area (refer to Section </w:t>
      </w:r>
      <w:hyperlink w:anchor="_bookmark19" w:history="1">
        <w:r w:rsidR="00A22A30">
          <w:fldChar w:fldCharType="begin"/>
        </w:r>
        <w:r w:rsidR="00A22A30">
          <w:instrText xml:space="preserve"> REF _Ref216022344 \r \h </w:instrText>
        </w:r>
        <w:r w:rsidR="00A22A30">
          <w:fldChar w:fldCharType="separate"/>
        </w:r>
        <w:r w:rsidR="00A22A30">
          <w:t>5.2.3.1</w:t>
        </w:r>
        <w:r w:rsidR="00A22A30">
          <w:fldChar w:fldCharType="end"/>
        </w:r>
        <w:r w:rsidR="00A22A30">
          <w:t xml:space="preserve">, </w:t>
        </w:r>
        <w:r w:rsidR="00A22A30">
          <w:fldChar w:fldCharType="begin"/>
        </w:r>
        <w:r w:rsidR="00A22A30">
          <w:instrText xml:space="preserve"> REF _Ref216022345 \r \h </w:instrText>
        </w:r>
        <w:r w:rsidR="00A22A30">
          <w:fldChar w:fldCharType="separate"/>
        </w:r>
        <w:r w:rsidR="00A22A30">
          <w:t>5.2.3.3</w:t>
        </w:r>
        <w:r w:rsidR="00A22A30">
          <w:fldChar w:fldCharType="end"/>
        </w:r>
        <w:r w:rsidRPr="00D4309F">
          <w:t>,</w:t>
        </w:r>
      </w:hyperlink>
      <w:r w:rsidRPr="00D4309F">
        <w:t>). Additionally, downstream this could cause an increase sediment load at Maroochy River mouth. Further information regarding</w:t>
      </w:r>
      <w:r w:rsidRPr="00D4309F">
        <w:rPr>
          <w:spacing w:val="-3"/>
        </w:rPr>
        <w:t xml:space="preserve"> </w:t>
      </w:r>
      <w:r w:rsidRPr="00D4309F">
        <w:t>the</w:t>
      </w:r>
      <w:r w:rsidRPr="00D4309F">
        <w:rPr>
          <w:spacing w:val="-4"/>
        </w:rPr>
        <w:t xml:space="preserve"> </w:t>
      </w:r>
      <w:r w:rsidRPr="00D4309F">
        <w:t>dredging</w:t>
      </w:r>
      <w:r w:rsidRPr="00D4309F">
        <w:rPr>
          <w:spacing w:val="-3"/>
        </w:rPr>
        <w:t xml:space="preserve"> </w:t>
      </w:r>
      <w:r w:rsidRPr="00D4309F">
        <w:t>and</w:t>
      </w:r>
      <w:r w:rsidRPr="00D4309F">
        <w:rPr>
          <w:spacing w:val="-4"/>
        </w:rPr>
        <w:t xml:space="preserve"> </w:t>
      </w:r>
      <w:r w:rsidRPr="00D4309F">
        <w:t>disposal</w:t>
      </w:r>
      <w:r w:rsidRPr="00D4309F">
        <w:rPr>
          <w:spacing w:val="-3"/>
        </w:rPr>
        <w:t xml:space="preserve"> </w:t>
      </w:r>
      <w:r w:rsidRPr="00D4309F">
        <w:t>design,</w:t>
      </w:r>
      <w:r w:rsidRPr="00D4309F">
        <w:rPr>
          <w:spacing w:val="-3"/>
        </w:rPr>
        <w:t xml:space="preserve"> </w:t>
      </w:r>
      <w:r w:rsidRPr="00D4309F">
        <w:t>including</w:t>
      </w:r>
      <w:r w:rsidRPr="00D4309F">
        <w:rPr>
          <w:spacing w:val="-4"/>
        </w:rPr>
        <w:t xml:space="preserve"> </w:t>
      </w:r>
      <w:r w:rsidRPr="00D4309F">
        <w:t>footprints,</w:t>
      </w:r>
      <w:r w:rsidRPr="00D4309F">
        <w:rPr>
          <w:spacing w:val="-3"/>
        </w:rPr>
        <w:t xml:space="preserve"> </w:t>
      </w:r>
      <w:r w:rsidRPr="00D4309F">
        <w:t>methods</w:t>
      </w:r>
      <w:r w:rsidRPr="00D4309F">
        <w:rPr>
          <w:spacing w:val="-2"/>
        </w:rPr>
        <w:t xml:space="preserve"> </w:t>
      </w:r>
      <w:r w:rsidRPr="00D4309F">
        <w:t>and</w:t>
      </w:r>
      <w:r w:rsidRPr="00D4309F">
        <w:rPr>
          <w:spacing w:val="-3"/>
        </w:rPr>
        <w:t xml:space="preserve"> </w:t>
      </w:r>
      <w:r w:rsidRPr="00D4309F">
        <w:t>timings</w:t>
      </w:r>
      <w:r w:rsidRPr="00D4309F">
        <w:rPr>
          <w:spacing w:val="-3"/>
        </w:rPr>
        <w:t xml:space="preserve"> </w:t>
      </w:r>
      <w:r w:rsidRPr="00D4309F">
        <w:t>will</w:t>
      </w:r>
      <w:r w:rsidRPr="00D4309F">
        <w:rPr>
          <w:spacing w:val="-3"/>
        </w:rPr>
        <w:t xml:space="preserve"> </w:t>
      </w:r>
      <w:r w:rsidRPr="00D4309F">
        <w:t>inform</w:t>
      </w:r>
      <w:r w:rsidRPr="00D4309F">
        <w:rPr>
          <w:spacing w:val="-3"/>
        </w:rPr>
        <w:t xml:space="preserve"> </w:t>
      </w:r>
      <w:r w:rsidRPr="00D4309F">
        <w:t>a</w:t>
      </w:r>
      <w:r w:rsidRPr="00D4309F">
        <w:rPr>
          <w:spacing w:val="-3"/>
        </w:rPr>
        <w:t xml:space="preserve"> </w:t>
      </w:r>
      <w:r w:rsidRPr="00D4309F">
        <w:t>more detailed assessment.</w:t>
      </w:r>
    </w:p>
    <w:p w14:paraId="261045F9" w14:textId="77777777" w:rsidR="004426B8" w:rsidRPr="00D4309F" w:rsidRDefault="004426B8" w:rsidP="004426B8">
      <w:pPr>
        <w:pStyle w:val="ListBullet"/>
      </w:pPr>
      <w:r w:rsidRPr="00D4309F">
        <w:t>Dependant on the location and timing of dredge disposal works, there may be impacts to marine and terrestrial</w:t>
      </w:r>
      <w:r w:rsidRPr="00D4309F">
        <w:rPr>
          <w:spacing w:val="-3"/>
        </w:rPr>
        <w:t xml:space="preserve"> </w:t>
      </w:r>
      <w:r w:rsidRPr="00D4309F">
        <w:t>fauna,</w:t>
      </w:r>
      <w:r w:rsidRPr="00D4309F">
        <w:rPr>
          <w:spacing w:val="-3"/>
        </w:rPr>
        <w:t xml:space="preserve"> </w:t>
      </w:r>
      <w:r w:rsidRPr="00D4309F">
        <w:t>including</w:t>
      </w:r>
      <w:r w:rsidRPr="00D4309F">
        <w:rPr>
          <w:spacing w:val="-4"/>
        </w:rPr>
        <w:t xml:space="preserve"> </w:t>
      </w:r>
      <w:r w:rsidRPr="00D4309F">
        <w:t>nesting</w:t>
      </w:r>
      <w:r w:rsidRPr="00D4309F">
        <w:rPr>
          <w:spacing w:val="-3"/>
        </w:rPr>
        <w:t xml:space="preserve"> </w:t>
      </w:r>
      <w:r w:rsidRPr="00D4309F">
        <w:t>and</w:t>
      </w:r>
      <w:r w:rsidRPr="00D4309F">
        <w:rPr>
          <w:spacing w:val="-3"/>
        </w:rPr>
        <w:t xml:space="preserve"> </w:t>
      </w:r>
      <w:r w:rsidRPr="00D4309F">
        <w:t>foraging</w:t>
      </w:r>
      <w:r w:rsidRPr="00D4309F">
        <w:rPr>
          <w:spacing w:val="-3"/>
        </w:rPr>
        <w:t xml:space="preserve"> </w:t>
      </w:r>
      <w:r w:rsidRPr="00D4309F">
        <w:t>birds</w:t>
      </w:r>
      <w:r w:rsidRPr="00D4309F">
        <w:rPr>
          <w:spacing w:val="-3"/>
        </w:rPr>
        <w:t xml:space="preserve"> </w:t>
      </w:r>
      <w:r w:rsidRPr="00D4309F">
        <w:t>and</w:t>
      </w:r>
      <w:r w:rsidRPr="00D4309F">
        <w:rPr>
          <w:spacing w:val="-3"/>
        </w:rPr>
        <w:t xml:space="preserve"> </w:t>
      </w:r>
      <w:r w:rsidRPr="00D4309F">
        <w:t>turtles,</w:t>
      </w:r>
      <w:r w:rsidRPr="00D4309F">
        <w:rPr>
          <w:spacing w:val="-3"/>
        </w:rPr>
        <w:t xml:space="preserve"> </w:t>
      </w:r>
      <w:r w:rsidRPr="00D4309F">
        <w:t>due</w:t>
      </w:r>
      <w:r w:rsidRPr="00D4309F">
        <w:rPr>
          <w:spacing w:val="-3"/>
        </w:rPr>
        <w:t xml:space="preserve"> </w:t>
      </w:r>
      <w:r w:rsidRPr="00D4309F">
        <w:t>to</w:t>
      </w:r>
      <w:r w:rsidRPr="00D4309F">
        <w:rPr>
          <w:spacing w:val="-3"/>
        </w:rPr>
        <w:t xml:space="preserve"> </w:t>
      </w:r>
      <w:r w:rsidRPr="00D4309F">
        <w:t>noise</w:t>
      </w:r>
      <w:r w:rsidRPr="00D4309F">
        <w:rPr>
          <w:spacing w:val="-3"/>
        </w:rPr>
        <w:t xml:space="preserve"> </w:t>
      </w:r>
      <w:r w:rsidRPr="00D4309F">
        <w:t>generation</w:t>
      </w:r>
      <w:r w:rsidRPr="00D4309F">
        <w:rPr>
          <w:spacing w:val="-3"/>
        </w:rPr>
        <w:t xml:space="preserve"> </w:t>
      </w:r>
      <w:r w:rsidRPr="00D4309F">
        <w:t>from</w:t>
      </w:r>
      <w:r w:rsidRPr="00D4309F">
        <w:rPr>
          <w:spacing w:val="-3"/>
        </w:rPr>
        <w:t xml:space="preserve"> </w:t>
      </w:r>
      <w:r w:rsidRPr="00D4309F">
        <w:t>dredging plant and any required land-based plant, physical disturbance via direct contact with dredging or land-based plant or indirectly via the disturbance of habitat, light impacts if works are completed outside of daylight hours. Further information regarding the dredging and disposal design, including footprints, methods and timings will inform a more detailed assessment.</w:t>
      </w:r>
    </w:p>
    <w:p w14:paraId="59591A7A" w14:textId="5034632D" w:rsidR="004426B8" w:rsidRPr="00D4309F" w:rsidRDefault="004426B8" w:rsidP="004426B8">
      <w:pPr>
        <w:pStyle w:val="ListBullet"/>
      </w:pPr>
      <w:r w:rsidRPr="00D4309F">
        <w:t>Given</w:t>
      </w:r>
      <w:r w:rsidRPr="00D4309F">
        <w:rPr>
          <w:spacing w:val="-2"/>
        </w:rPr>
        <w:t xml:space="preserve"> </w:t>
      </w:r>
      <w:r w:rsidRPr="00D4309F">
        <w:t>the</w:t>
      </w:r>
      <w:r w:rsidRPr="00D4309F">
        <w:rPr>
          <w:spacing w:val="-2"/>
        </w:rPr>
        <w:t xml:space="preserve"> </w:t>
      </w:r>
      <w:r w:rsidRPr="00D4309F">
        <w:t>benthic</w:t>
      </w:r>
      <w:r w:rsidRPr="00D4309F">
        <w:rPr>
          <w:spacing w:val="-1"/>
        </w:rPr>
        <w:t xml:space="preserve"> </w:t>
      </w:r>
      <w:r w:rsidRPr="00D4309F">
        <w:t>habitat</w:t>
      </w:r>
      <w:r w:rsidRPr="00D4309F">
        <w:rPr>
          <w:spacing w:val="-3"/>
        </w:rPr>
        <w:t xml:space="preserve"> </w:t>
      </w:r>
      <w:r w:rsidRPr="00D4309F">
        <w:t>in</w:t>
      </w:r>
      <w:r w:rsidRPr="00D4309F">
        <w:rPr>
          <w:spacing w:val="-2"/>
        </w:rPr>
        <w:t xml:space="preserve"> </w:t>
      </w:r>
      <w:r w:rsidRPr="00D4309F">
        <w:t>the</w:t>
      </w:r>
      <w:r w:rsidRPr="00D4309F">
        <w:rPr>
          <w:spacing w:val="-2"/>
        </w:rPr>
        <w:t xml:space="preserve"> </w:t>
      </w:r>
      <w:r w:rsidRPr="00D4309F">
        <w:t>vicinity</w:t>
      </w:r>
      <w:r w:rsidRPr="00D4309F">
        <w:rPr>
          <w:spacing w:val="-2"/>
        </w:rPr>
        <w:t xml:space="preserve"> </w:t>
      </w:r>
      <w:r w:rsidRPr="00D4309F">
        <w:t>of</w:t>
      </w:r>
      <w:r w:rsidRPr="00D4309F">
        <w:rPr>
          <w:spacing w:val="-2"/>
        </w:rPr>
        <w:t xml:space="preserve"> </w:t>
      </w:r>
      <w:r w:rsidRPr="00D4309F">
        <w:t>the</w:t>
      </w:r>
      <w:r w:rsidRPr="00D4309F">
        <w:rPr>
          <w:spacing w:val="-2"/>
        </w:rPr>
        <w:t xml:space="preserve"> </w:t>
      </w:r>
      <w:r w:rsidRPr="00D4309F">
        <w:t>dredge</w:t>
      </w:r>
      <w:r w:rsidRPr="00D4309F">
        <w:rPr>
          <w:spacing w:val="-3"/>
        </w:rPr>
        <w:t xml:space="preserve"> </w:t>
      </w:r>
      <w:r w:rsidRPr="00D4309F">
        <w:t>area</w:t>
      </w:r>
      <w:r w:rsidRPr="00D4309F">
        <w:rPr>
          <w:spacing w:val="-2"/>
        </w:rPr>
        <w:t xml:space="preserve"> </w:t>
      </w:r>
      <w:r w:rsidRPr="00D4309F">
        <w:t>comprises</w:t>
      </w:r>
      <w:r w:rsidRPr="00D4309F">
        <w:rPr>
          <w:spacing w:val="-1"/>
        </w:rPr>
        <w:t xml:space="preserve"> </w:t>
      </w:r>
      <w:r w:rsidRPr="00D4309F">
        <w:t>bare</w:t>
      </w:r>
      <w:r w:rsidRPr="00D4309F">
        <w:rPr>
          <w:spacing w:val="-2"/>
        </w:rPr>
        <w:t xml:space="preserve"> </w:t>
      </w:r>
      <w:r w:rsidRPr="00D4309F">
        <w:t>sand</w:t>
      </w:r>
      <w:r w:rsidRPr="00D4309F">
        <w:rPr>
          <w:spacing w:val="-3"/>
        </w:rPr>
        <w:t xml:space="preserve"> </w:t>
      </w:r>
      <w:r w:rsidRPr="00D4309F">
        <w:t>with</w:t>
      </w:r>
      <w:r w:rsidRPr="00D4309F">
        <w:rPr>
          <w:spacing w:val="-2"/>
        </w:rPr>
        <w:t xml:space="preserve"> </w:t>
      </w:r>
      <w:r w:rsidRPr="00D4309F">
        <w:t>some</w:t>
      </w:r>
      <w:r w:rsidRPr="00D4309F">
        <w:rPr>
          <w:spacing w:val="-2"/>
        </w:rPr>
        <w:t xml:space="preserve"> </w:t>
      </w:r>
      <w:r w:rsidRPr="00D4309F">
        <w:t>subtidal</w:t>
      </w:r>
      <w:r w:rsidRPr="00D4309F">
        <w:rPr>
          <w:spacing w:val="-2"/>
        </w:rPr>
        <w:t xml:space="preserve"> </w:t>
      </w:r>
      <w:r w:rsidRPr="00D4309F">
        <w:t xml:space="preserve">rocky reef with minimal marine benthos (refer to Section </w:t>
      </w:r>
      <w:hyperlink w:anchor="_bookmark22" w:history="1">
        <w:r w:rsidR="00A22A30">
          <w:fldChar w:fldCharType="begin"/>
        </w:r>
        <w:r w:rsidR="00A22A30">
          <w:instrText xml:space="preserve"> REF _Ref216022346 \r \h </w:instrText>
        </w:r>
        <w:r w:rsidR="00A22A30">
          <w:fldChar w:fldCharType="separate"/>
        </w:r>
        <w:r w:rsidR="00A22A30">
          <w:t>5.2.3.5</w:t>
        </w:r>
        <w:r w:rsidR="00A22A30">
          <w:fldChar w:fldCharType="end"/>
        </w:r>
      </w:hyperlink>
      <w:r w:rsidRPr="00D4309F">
        <w:t>) and the previous dredging disturbance in the area, direct disturbance of benthic habitats is unlikely to be of environmental concern. However, a more detailed assessment of the benthic habitats within the dredge and disposal footprints will confirm this.</w:t>
      </w:r>
    </w:p>
    <w:p w14:paraId="4A599CED" w14:textId="77777777" w:rsidR="004426B8" w:rsidRPr="00D4309F" w:rsidRDefault="004426B8" w:rsidP="004426B8">
      <w:pPr>
        <w:pStyle w:val="ListBullet"/>
      </w:pPr>
      <w:r w:rsidRPr="00D4309F">
        <w:t>The generation of turbid plumes at the dredge and dredge disposal site could impact foraging seabirds as</w:t>
      </w:r>
      <w:r w:rsidRPr="00D4309F">
        <w:rPr>
          <w:spacing w:val="-2"/>
        </w:rPr>
        <w:t xml:space="preserve"> </w:t>
      </w:r>
      <w:r w:rsidRPr="00D4309F">
        <w:t>they</w:t>
      </w:r>
      <w:r w:rsidRPr="00D4309F">
        <w:rPr>
          <w:spacing w:val="-2"/>
        </w:rPr>
        <w:t xml:space="preserve"> </w:t>
      </w:r>
      <w:r w:rsidRPr="00D4309F">
        <w:t>require</w:t>
      </w:r>
      <w:r w:rsidRPr="00D4309F">
        <w:rPr>
          <w:spacing w:val="-3"/>
        </w:rPr>
        <w:t xml:space="preserve"> </w:t>
      </w:r>
      <w:r w:rsidRPr="00D4309F">
        <w:t>water</w:t>
      </w:r>
      <w:r w:rsidRPr="00D4309F">
        <w:rPr>
          <w:spacing w:val="-4"/>
        </w:rPr>
        <w:t xml:space="preserve"> </w:t>
      </w:r>
      <w:r w:rsidRPr="00D4309F">
        <w:t>clarity</w:t>
      </w:r>
      <w:r w:rsidRPr="00D4309F">
        <w:rPr>
          <w:spacing w:val="-2"/>
        </w:rPr>
        <w:t xml:space="preserve"> </w:t>
      </w:r>
      <w:r w:rsidRPr="00D4309F">
        <w:t>for</w:t>
      </w:r>
      <w:r w:rsidRPr="00D4309F">
        <w:rPr>
          <w:spacing w:val="-2"/>
        </w:rPr>
        <w:t xml:space="preserve"> </w:t>
      </w:r>
      <w:r w:rsidRPr="00D4309F">
        <w:t>aerial</w:t>
      </w:r>
      <w:r w:rsidRPr="00D4309F">
        <w:rPr>
          <w:spacing w:val="-3"/>
        </w:rPr>
        <w:t xml:space="preserve"> </w:t>
      </w:r>
      <w:r w:rsidRPr="00D4309F">
        <w:t>feeding.</w:t>
      </w:r>
      <w:r w:rsidRPr="00D4309F">
        <w:rPr>
          <w:spacing w:val="-4"/>
        </w:rPr>
        <w:t xml:space="preserve"> </w:t>
      </w:r>
      <w:r w:rsidRPr="00D4309F">
        <w:t>The</w:t>
      </w:r>
      <w:r w:rsidRPr="00D4309F">
        <w:rPr>
          <w:spacing w:val="-3"/>
        </w:rPr>
        <w:t xml:space="preserve"> </w:t>
      </w:r>
      <w:r w:rsidRPr="00D4309F">
        <w:t>impact</w:t>
      </w:r>
      <w:r w:rsidRPr="00D4309F">
        <w:rPr>
          <w:spacing w:val="-3"/>
        </w:rPr>
        <w:t xml:space="preserve"> </w:t>
      </w:r>
      <w:r w:rsidRPr="00D4309F">
        <w:t>of</w:t>
      </w:r>
      <w:r w:rsidRPr="00D4309F">
        <w:rPr>
          <w:spacing w:val="-3"/>
        </w:rPr>
        <w:t xml:space="preserve"> </w:t>
      </w:r>
      <w:r w:rsidRPr="00D4309F">
        <w:t>turbidity</w:t>
      </w:r>
      <w:r w:rsidRPr="00D4309F">
        <w:rPr>
          <w:spacing w:val="-2"/>
        </w:rPr>
        <w:t xml:space="preserve"> </w:t>
      </w:r>
      <w:r w:rsidRPr="00D4309F">
        <w:t>on</w:t>
      </w:r>
      <w:r w:rsidRPr="00D4309F">
        <w:rPr>
          <w:spacing w:val="-3"/>
        </w:rPr>
        <w:t xml:space="preserve"> </w:t>
      </w:r>
      <w:r w:rsidRPr="00D4309F">
        <w:t>benthic</w:t>
      </w:r>
      <w:r w:rsidRPr="00D4309F">
        <w:rPr>
          <w:spacing w:val="-3"/>
        </w:rPr>
        <w:t xml:space="preserve"> </w:t>
      </w:r>
      <w:r w:rsidRPr="00D4309F">
        <w:t>habitats</w:t>
      </w:r>
      <w:r w:rsidRPr="00D4309F">
        <w:rPr>
          <w:spacing w:val="-3"/>
        </w:rPr>
        <w:t xml:space="preserve"> </w:t>
      </w:r>
      <w:r w:rsidRPr="00D4309F">
        <w:t>is</w:t>
      </w:r>
      <w:r w:rsidRPr="00D4309F">
        <w:rPr>
          <w:spacing w:val="-2"/>
        </w:rPr>
        <w:t xml:space="preserve"> </w:t>
      </w:r>
      <w:r w:rsidRPr="00D4309F">
        <w:t>unlikely</w:t>
      </w:r>
      <w:r w:rsidRPr="00D4309F">
        <w:rPr>
          <w:spacing w:val="-2"/>
        </w:rPr>
        <w:t xml:space="preserve"> </w:t>
      </w:r>
      <w:r w:rsidRPr="00D4309F">
        <w:t>to</w:t>
      </w:r>
      <w:r w:rsidRPr="00D4309F">
        <w:rPr>
          <w:spacing w:val="-3"/>
        </w:rPr>
        <w:t xml:space="preserve"> </w:t>
      </w:r>
      <w:r w:rsidRPr="00D4309F">
        <w:t>be of environmental concern, however, a more detailed assessment of the benthic habitats within and directly adjacent to the dredge and disposal footprints will be required to confirm that any reduction in water quality will not potentially impact benthic habitats (specifically, seagrass meadows and corals) at and adjacent to these sites.</w:t>
      </w:r>
    </w:p>
    <w:p w14:paraId="6AE60B6F" w14:textId="4B8A24C8" w:rsidR="004426B8" w:rsidRPr="00D4309F" w:rsidRDefault="004426B8" w:rsidP="004426B8">
      <w:pPr>
        <w:pStyle w:val="ListBullet"/>
      </w:pPr>
      <w:r w:rsidRPr="00D4309F">
        <w:lastRenderedPageBreak/>
        <w:t>Based</w:t>
      </w:r>
      <w:r w:rsidRPr="00D4309F">
        <w:rPr>
          <w:spacing w:val="-2"/>
        </w:rPr>
        <w:t xml:space="preserve"> </w:t>
      </w:r>
      <w:r w:rsidRPr="00D4309F">
        <w:t>on</w:t>
      </w:r>
      <w:r w:rsidRPr="00D4309F">
        <w:rPr>
          <w:spacing w:val="-2"/>
        </w:rPr>
        <w:t xml:space="preserve"> </w:t>
      </w:r>
      <w:r w:rsidRPr="00D4309F">
        <w:t>the</w:t>
      </w:r>
      <w:r w:rsidRPr="00D4309F">
        <w:rPr>
          <w:spacing w:val="-3"/>
        </w:rPr>
        <w:t xml:space="preserve"> </w:t>
      </w:r>
      <w:r w:rsidRPr="00D4309F">
        <w:t>existing</w:t>
      </w:r>
      <w:r w:rsidRPr="00D4309F">
        <w:rPr>
          <w:spacing w:val="-2"/>
        </w:rPr>
        <w:t xml:space="preserve"> </w:t>
      </w:r>
      <w:r w:rsidRPr="00D4309F">
        <w:t>sediment</w:t>
      </w:r>
      <w:r w:rsidRPr="00D4309F">
        <w:rPr>
          <w:spacing w:val="-3"/>
        </w:rPr>
        <w:t xml:space="preserve"> </w:t>
      </w:r>
      <w:r w:rsidRPr="00D4309F">
        <w:t>quality</w:t>
      </w:r>
      <w:r w:rsidRPr="00D4309F">
        <w:rPr>
          <w:spacing w:val="-3"/>
        </w:rPr>
        <w:t xml:space="preserve"> </w:t>
      </w:r>
      <w:r w:rsidRPr="00D4309F">
        <w:t>data</w:t>
      </w:r>
      <w:r w:rsidRPr="00D4309F">
        <w:rPr>
          <w:spacing w:val="-2"/>
        </w:rPr>
        <w:t xml:space="preserve"> </w:t>
      </w:r>
      <w:r w:rsidRPr="00D4309F">
        <w:t>(refer</w:t>
      </w:r>
      <w:r w:rsidRPr="00D4309F">
        <w:rPr>
          <w:spacing w:val="-1"/>
        </w:rPr>
        <w:t xml:space="preserve"> </w:t>
      </w:r>
      <w:r w:rsidRPr="00D4309F">
        <w:t>to</w:t>
      </w:r>
      <w:r w:rsidRPr="00D4309F">
        <w:rPr>
          <w:spacing w:val="-3"/>
        </w:rPr>
        <w:t xml:space="preserve"> </w:t>
      </w:r>
      <w:r w:rsidRPr="00D4309F">
        <w:t>Section</w:t>
      </w:r>
      <w:r w:rsidRPr="00D4309F">
        <w:rPr>
          <w:spacing w:val="-2"/>
        </w:rPr>
        <w:t xml:space="preserve"> </w:t>
      </w:r>
      <w:hyperlink w:anchor="_bookmark16" w:history="1">
        <w:r w:rsidR="00A22A30">
          <w:fldChar w:fldCharType="begin"/>
        </w:r>
        <w:r w:rsidR="00A22A30">
          <w:instrText xml:space="preserve"> REF _Ref216022347 \r \h </w:instrText>
        </w:r>
        <w:r w:rsidR="00A22A30">
          <w:fldChar w:fldCharType="separate"/>
        </w:r>
        <w:r w:rsidR="00A22A30">
          <w:t>5.1.4</w:t>
        </w:r>
        <w:r w:rsidR="00A22A30">
          <w:fldChar w:fldCharType="end"/>
        </w:r>
      </w:hyperlink>
      <w:r w:rsidRPr="00D4309F">
        <w:t>),</w:t>
      </w:r>
      <w:r w:rsidRPr="00D4309F">
        <w:rPr>
          <w:spacing w:val="-2"/>
        </w:rPr>
        <w:t xml:space="preserve"> </w:t>
      </w:r>
      <w:r w:rsidRPr="00D4309F">
        <w:t>there</w:t>
      </w:r>
      <w:r w:rsidRPr="00D4309F">
        <w:rPr>
          <w:spacing w:val="-2"/>
        </w:rPr>
        <w:t xml:space="preserve"> </w:t>
      </w:r>
      <w:r w:rsidRPr="00D4309F">
        <w:t>is</w:t>
      </w:r>
      <w:r w:rsidRPr="00D4309F">
        <w:rPr>
          <w:spacing w:val="-1"/>
        </w:rPr>
        <w:t xml:space="preserve"> </w:t>
      </w:r>
      <w:r w:rsidRPr="00D4309F">
        <w:t>unlikely</w:t>
      </w:r>
      <w:r w:rsidRPr="00D4309F">
        <w:rPr>
          <w:spacing w:val="-1"/>
        </w:rPr>
        <w:t xml:space="preserve"> </w:t>
      </w:r>
      <w:r w:rsidRPr="00D4309F">
        <w:t>to</w:t>
      </w:r>
      <w:r w:rsidRPr="00D4309F">
        <w:rPr>
          <w:spacing w:val="-2"/>
        </w:rPr>
        <w:t xml:space="preserve"> </w:t>
      </w:r>
      <w:r w:rsidRPr="00D4309F">
        <w:t>be</w:t>
      </w:r>
      <w:r w:rsidRPr="00D4309F">
        <w:rPr>
          <w:spacing w:val="-2"/>
        </w:rPr>
        <w:t xml:space="preserve"> </w:t>
      </w:r>
      <w:r w:rsidRPr="00D4309F">
        <w:t>any</w:t>
      </w:r>
      <w:r w:rsidRPr="00D4309F">
        <w:rPr>
          <w:spacing w:val="-1"/>
        </w:rPr>
        <w:t xml:space="preserve"> </w:t>
      </w:r>
      <w:r w:rsidRPr="00D4309F">
        <w:t>release</w:t>
      </w:r>
      <w:r w:rsidRPr="00D4309F">
        <w:rPr>
          <w:spacing w:val="-2"/>
        </w:rPr>
        <w:t xml:space="preserve"> </w:t>
      </w:r>
      <w:r w:rsidRPr="00D4309F">
        <w:t>of contaminants or hypoxia impacting the marine environmental quality. However, recent sediment quality data from the entrance channel will confirm this.</w:t>
      </w:r>
    </w:p>
    <w:p w14:paraId="16518B47" w14:textId="77777777" w:rsidR="004426B8" w:rsidRPr="00D4309F" w:rsidRDefault="004426B8" w:rsidP="004426B8">
      <w:pPr>
        <w:pStyle w:val="ListBullet"/>
      </w:pPr>
      <w:r w:rsidRPr="00D4309F">
        <w:t>Other</w:t>
      </w:r>
      <w:r w:rsidRPr="00D4309F">
        <w:rPr>
          <w:spacing w:val="-2"/>
        </w:rPr>
        <w:t xml:space="preserve"> </w:t>
      </w:r>
      <w:r w:rsidRPr="00D4309F">
        <w:t>potential</w:t>
      </w:r>
      <w:r w:rsidRPr="00D4309F">
        <w:rPr>
          <w:spacing w:val="-3"/>
        </w:rPr>
        <w:t xml:space="preserve"> </w:t>
      </w:r>
      <w:r w:rsidRPr="00D4309F">
        <w:t>impacts</w:t>
      </w:r>
      <w:r w:rsidRPr="00D4309F">
        <w:rPr>
          <w:spacing w:val="-2"/>
        </w:rPr>
        <w:t xml:space="preserve"> </w:t>
      </w:r>
      <w:r w:rsidRPr="00D4309F">
        <w:t>from</w:t>
      </w:r>
      <w:r w:rsidRPr="00D4309F">
        <w:rPr>
          <w:spacing w:val="-3"/>
        </w:rPr>
        <w:t xml:space="preserve"> </w:t>
      </w:r>
      <w:r w:rsidRPr="00D4309F">
        <w:t>the</w:t>
      </w:r>
      <w:r w:rsidRPr="00D4309F">
        <w:rPr>
          <w:spacing w:val="-3"/>
        </w:rPr>
        <w:t xml:space="preserve"> </w:t>
      </w:r>
      <w:r w:rsidRPr="00D4309F">
        <w:t>presence</w:t>
      </w:r>
      <w:r w:rsidRPr="00D4309F">
        <w:rPr>
          <w:spacing w:val="-3"/>
        </w:rPr>
        <w:t xml:space="preserve"> </w:t>
      </w:r>
      <w:r w:rsidRPr="00D4309F">
        <w:t>and</w:t>
      </w:r>
      <w:r w:rsidRPr="00D4309F">
        <w:rPr>
          <w:spacing w:val="-3"/>
        </w:rPr>
        <w:t xml:space="preserve"> </w:t>
      </w:r>
      <w:r w:rsidRPr="00D4309F">
        <w:t>operation</w:t>
      </w:r>
      <w:r w:rsidRPr="00D4309F">
        <w:rPr>
          <w:spacing w:val="-3"/>
        </w:rPr>
        <w:t xml:space="preserve"> </w:t>
      </w:r>
      <w:r w:rsidRPr="00D4309F">
        <w:t>of</w:t>
      </w:r>
      <w:r w:rsidRPr="00D4309F">
        <w:rPr>
          <w:spacing w:val="-3"/>
        </w:rPr>
        <w:t xml:space="preserve"> </w:t>
      </w:r>
      <w:r w:rsidRPr="00D4309F">
        <w:t>dredging</w:t>
      </w:r>
      <w:r w:rsidRPr="00D4309F">
        <w:rPr>
          <w:spacing w:val="-3"/>
        </w:rPr>
        <w:t xml:space="preserve"> </w:t>
      </w:r>
      <w:r w:rsidRPr="00D4309F">
        <w:t>plant</w:t>
      </w:r>
      <w:r w:rsidRPr="00D4309F">
        <w:rPr>
          <w:spacing w:val="-3"/>
        </w:rPr>
        <w:t xml:space="preserve"> </w:t>
      </w:r>
      <w:r w:rsidRPr="00D4309F">
        <w:t>include:</w:t>
      </w:r>
      <w:r w:rsidRPr="00D4309F">
        <w:rPr>
          <w:spacing w:val="-3"/>
        </w:rPr>
        <w:t xml:space="preserve"> </w:t>
      </w:r>
      <w:r w:rsidRPr="00D4309F">
        <w:t>hydrocarbon</w:t>
      </w:r>
      <w:r w:rsidRPr="00D4309F">
        <w:rPr>
          <w:spacing w:val="-3"/>
        </w:rPr>
        <w:t xml:space="preserve"> </w:t>
      </w:r>
      <w:r w:rsidRPr="00D4309F">
        <w:t>spills and waste generation, introduced marine species from the dredging plant and introduction of navigational hazards due to presence of dredging plant.</w:t>
      </w:r>
    </w:p>
    <w:p w14:paraId="587BD1E6" w14:textId="22C64F13" w:rsidR="00F06E88" w:rsidRPr="00D4309F" w:rsidRDefault="004426B8" w:rsidP="00F06E88">
      <w:pPr>
        <w:pStyle w:val="ListBullet"/>
      </w:pPr>
      <w:r w:rsidRPr="00D4309F">
        <w:t>If</w:t>
      </w:r>
      <w:r w:rsidRPr="00D4309F">
        <w:rPr>
          <w:spacing w:val="-3"/>
        </w:rPr>
        <w:t xml:space="preserve"> </w:t>
      </w:r>
      <w:r w:rsidRPr="00D4309F">
        <w:t>any</w:t>
      </w:r>
      <w:r w:rsidRPr="00D4309F">
        <w:rPr>
          <w:spacing w:val="-2"/>
        </w:rPr>
        <w:t xml:space="preserve"> </w:t>
      </w:r>
      <w:r w:rsidRPr="00D4309F">
        <w:t>land-based</w:t>
      </w:r>
      <w:r w:rsidRPr="00D4309F">
        <w:rPr>
          <w:spacing w:val="-4"/>
        </w:rPr>
        <w:t xml:space="preserve"> </w:t>
      </w:r>
      <w:r w:rsidRPr="00D4309F">
        <w:t>work</w:t>
      </w:r>
      <w:r w:rsidRPr="00D4309F">
        <w:rPr>
          <w:spacing w:val="-2"/>
        </w:rPr>
        <w:t xml:space="preserve"> </w:t>
      </w:r>
      <w:r w:rsidRPr="00D4309F">
        <w:t>is</w:t>
      </w:r>
      <w:r w:rsidRPr="00D4309F">
        <w:rPr>
          <w:spacing w:val="-3"/>
        </w:rPr>
        <w:t xml:space="preserve"> </w:t>
      </w:r>
      <w:r w:rsidRPr="00D4309F">
        <w:t>required,</w:t>
      </w:r>
      <w:r w:rsidRPr="00D4309F">
        <w:rPr>
          <w:spacing w:val="-3"/>
        </w:rPr>
        <w:t xml:space="preserve"> </w:t>
      </w:r>
      <w:r w:rsidRPr="00D4309F">
        <w:t>i.e.</w:t>
      </w:r>
      <w:r w:rsidRPr="00D4309F">
        <w:rPr>
          <w:spacing w:val="-3"/>
        </w:rPr>
        <w:t xml:space="preserve"> </w:t>
      </w:r>
      <w:r w:rsidRPr="00D4309F">
        <w:t>for</w:t>
      </w:r>
      <w:r w:rsidRPr="00D4309F">
        <w:rPr>
          <w:spacing w:val="-2"/>
        </w:rPr>
        <w:t xml:space="preserve"> </w:t>
      </w:r>
      <w:r w:rsidRPr="00D4309F">
        <w:t>the</w:t>
      </w:r>
      <w:r w:rsidRPr="00D4309F">
        <w:rPr>
          <w:spacing w:val="-3"/>
        </w:rPr>
        <w:t xml:space="preserve"> </w:t>
      </w:r>
      <w:r w:rsidRPr="00D4309F">
        <w:t>placement</w:t>
      </w:r>
      <w:r w:rsidRPr="00D4309F">
        <w:rPr>
          <w:spacing w:val="-3"/>
        </w:rPr>
        <w:t xml:space="preserve"> </w:t>
      </w:r>
      <w:r w:rsidRPr="00D4309F">
        <w:t>and</w:t>
      </w:r>
      <w:r w:rsidRPr="00D4309F">
        <w:rPr>
          <w:spacing w:val="-3"/>
        </w:rPr>
        <w:t xml:space="preserve"> </w:t>
      </w:r>
      <w:r w:rsidRPr="00D4309F">
        <w:t>contouring</w:t>
      </w:r>
      <w:r w:rsidRPr="00D4309F">
        <w:rPr>
          <w:spacing w:val="-3"/>
        </w:rPr>
        <w:t xml:space="preserve"> </w:t>
      </w:r>
      <w:r w:rsidRPr="00D4309F">
        <w:t>of</w:t>
      </w:r>
      <w:r w:rsidRPr="00D4309F">
        <w:rPr>
          <w:spacing w:val="-3"/>
        </w:rPr>
        <w:t xml:space="preserve"> </w:t>
      </w:r>
      <w:r w:rsidRPr="00D4309F">
        <w:t>dredged</w:t>
      </w:r>
      <w:r w:rsidRPr="00D4309F">
        <w:rPr>
          <w:spacing w:val="-3"/>
        </w:rPr>
        <w:t xml:space="preserve"> </w:t>
      </w:r>
      <w:r w:rsidRPr="00D4309F">
        <w:t>material</w:t>
      </w:r>
      <w:r w:rsidRPr="00D4309F">
        <w:rPr>
          <w:spacing w:val="-4"/>
        </w:rPr>
        <w:t xml:space="preserve"> </w:t>
      </w:r>
      <w:r w:rsidRPr="00D4309F">
        <w:t>on</w:t>
      </w:r>
      <w:r w:rsidRPr="00D4309F">
        <w:rPr>
          <w:spacing w:val="-3"/>
        </w:rPr>
        <w:t xml:space="preserve"> </w:t>
      </w:r>
      <w:r w:rsidRPr="00D4309F">
        <w:t>the beach, there may be disturbance of dune vegetation or generation of wind-blown sand impacting</w:t>
      </w:r>
      <w:r>
        <w:t xml:space="preserve"> </w:t>
      </w:r>
      <w:r w:rsidRPr="00D4309F">
        <w:t>terrestrial</w:t>
      </w:r>
      <w:r w:rsidRPr="004426B8">
        <w:rPr>
          <w:spacing w:val="-3"/>
        </w:rPr>
        <w:t xml:space="preserve"> </w:t>
      </w:r>
      <w:r w:rsidRPr="00D4309F">
        <w:t>habitats.</w:t>
      </w:r>
      <w:r w:rsidRPr="004426B8">
        <w:rPr>
          <w:spacing w:val="-4"/>
        </w:rPr>
        <w:t xml:space="preserve"> </w:t>
      </w:r>
      <w:r w:rsidRPr="00D4309F">
        <w:t>Impacts</w:t>
      </w:r>
      <w:r w:rsidRPr="004426B8">
        <w:rPr>
          <w:spacing w:val="-3"/>
        </w:rPr>
        <w:t xml:space="preserve"> </w:t>
      </w:r>
      <w:r w:rsidRPr="00D4309F">
        <w:t>to</w:t>
      </w:r>
      <w:r w:rsidRPr="004426B8">
        <w:rPr>
          <w:spacing w:val="-3"/>
        </w:rPr>
        <w:t xml:space="preserve"> </w:t>
      </w:r>
      <w:r w:rsidRPr="00D4309F">
        <w:t>public</w:t>
      </w:r>
      <w:r w:rsidRPr="004426B8">
        <w:rPr>
          <w:spacing w:val="-2"/>
        </w:rPr>
        <w:t xml:space="preserve"> </w:t>
      </w:r>
      <w:r w:rsidRPr="00D4309F">
        <w:t>safety,</w:t>
      </w:r>
      <w:r w:rsidRPr="004426B8">
        <w:rPr>
          <w:spacing w:val="-3"/>
        </w:rPr>
        <w:t xml:space="preserve"> </w:t>
      </w:r>
      <w:r w:rsidRPr="00D4309F">
        <w:t>visual</w:t>
      </w:r>
      <w:r w:rsidRPr="004426B8">
        <w:rPr>
          <w:spacing w:val="-3"/>
        </w:rPr>
        <w:t xml:space="preserve"> </w:t>
      </w:r>
      <w:r w:rsidRPr="00D4309F">
        <w:t>amenity,</w:t>
      </w:r>
      <w:r w:rsidRPr="004426B8">
        <w:rPr>
          <w:spacing w:val="-3"/>
        </w:rPr>
        <w:t xml:space="preserve"> </w:t>
      </w:r>
      <w:r w:rsidRPr="00D4309F">
        <w:t>beach</w:t>
      </w:r>
      <w:r w:rsidRPr="004426B8">
        <w:rPr>
          <w:spacing w:val="-4"/>
        </w:rPr>
        <w:t xml:space="preserve"> </w:t>
      </w:r>
      <w:r w:rsidRPr="00D4309F">
        <w:t>access</w:t>
      </w:r>
      <w:r w:rsidRPr="004426B8">
        <w:rPr>
          <w:spacing w:val="-2"/>
        </w:rPr>
        <w:t xml:space="preserve"> </w:t>
      </w:r>
      <w:r w:rsidRPr="00D4309F">
        <w:t>by</w:t>
      </w:r>
      <w:r w:rsidRPr="004426B8">
        <w:rPr>
          <w:spacing w:val="-2"/>
        </w:rPr>
        <w:t xml:space="preserve"> </w:t>
      </w:r>
      <w:r w:rsidRPr="00D4309F">
        <w:t>presence</w:t>
      </w:r>
      <w:r w:rsidRPr="004426B8">
        <w:rPr>
          <w:spacing w:val="-3"/>
        </w:rPr>
        <w:t xml:space="preserve"> </w:t>
      </w:r>
      <w:r w:rsidRPr="00D4309F">
        <w:t>of</w:t>
      </w:r>
      <w:r w:rsidRPr="004426B8">
        <w:rPr>
          <w:spacing w:val="-3"/>
        </w:rPr>
        <w:t xml:space="preserve"> </w:t>
      </w:r>
      <w:r w:rsidRPr="00D4309F">
        <w:t>dredging</w:t>
      </w:r>
      <w:r w:rsidRPr="004426B8">
        <w:rPr>
          <w:spacing w:val="-3"/>
        </w:rPr>
        <w:t xml:space="preserve"> </w:t>
      </w:r>
      <w:r w:rsidRPr="00D4309F">
        <w:t>and any land-based plant</w:t>
      </w:r>
    </w:p>
    <w:p w14:paraId="6983AF05" w14:textId="77777777" w:rsidR="00725977" w:rsidRPr="00D4309F" w:rsidRDefault="00725977" w:rsidP="004426B8">
      <w:pPr>
        <w:pStyle w:val="Heading3"/>
      </w:pPr>
      <w:bookmarkStart w:id="154" w:name="_bookmark65"/>
      <w:bookmarkStart w:id="155" w:name="_Toc216699346"/>
      <w:bookmarkEnd w:id="154"/>
      <w:r w:rsidRPr="00D4309F">
        <w:t>Improvements</w:t>
      </w:r>
      <w:r w:rsidRPr="00D4309F">
        <w:rPr>
          <w:spacing w:val="-13"/>
        </w:rPr>
        <w:t xml:space="preserve"> </w:t>
      </w:r>
      <w:r w:rsidRPr="00D4309F">
        <w:t>to</w:t>
      </w:r>
      <w:r w:rsidRPr="00D4309F">
        <w:rPr>
          <w:spacing w:val="-14"/>
        </w:rPr>
        <w:t xml:space="preserve"> </w:t>
      </w:r>
      <w:r w:rsidRPr="00D4309F">
        <w:rPr>
          <w:spacing w:val="-2"/>
        </w:rPr>
        <w:t>monitoring</w:t>
      </w:r>
      <w:bookmarkEnd w:id="155"/>
    </w:p>
    <w:p w14:paraId="7BDE472D" w14:textId="77777777" w:rsidR="00725977" w:rsidRPr="00D4309F" w:rsidRDefault="00725977" w:rsidP="00725977">
      <w:pPr>
        <w:pStyle w:val="BodyText"/>
      </w:pPr>
      <w:r w:rsidRPr="00D4309F">
        <w:t>Monitoring</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shoaling</w:t>
      </w:r>
      <w:r w:rsidRPr="00D4309F">
        <w:rPr>
          <w:spacing w:val="-4"/>
        </w:rPr>
        <w:t xml:space="preserve"> </w:t>
      </w:r>
      <w:r w:rsidRPr="00D4309F">
        <w:t>processes</w:t>
      </w:r>
      <w:r w:rsidRPr="00D4309F">
        <w:rPr>
          <w:spacing w:val="-2"/>
        </w:rPr>
        <w:t xml:space="preserve"> </w:t>
      </w:r>
      <w:r w:rsidRPr="00D4309F">
        <w:t>and</w:t>
      </w:r>
      <w:r w:rsidRPr="00D4309F">
        <w:rPr>
          <w:spacing w:val="-3"/>
        </w:rPr>
        <w:t xml:space="preserve"> </w:t>
      </w:r>
      <w:r w:rsidRPr="00D4309F">
        <w:t>entrance</w:t>
      </w:r>
      <w:r w:rsidRPr="00D4309F">
        <w:rPr>
          <w:spacing w:val="-4"/>
        </w:rPr>
        <w:t xml:space="preserve"> </w:t>
      </w:r>
      <w:r w:rsidRPr="00D4309F">
        <w:t>conditions</w:t>
      </w:r>
      <w:r w:rsidRPr="00D4309F">
        <w:rPr>
          <w:spacing w:val="-2"/>
        </w:rPr>
        <w:t xml:space="preserve"> </w:t>
      </w:r>
      <w:r w:rsidRPr="00D4309F">
        <w:t>is</w:t>
      </w:r>
      <w:r w:rsidRPr="00D4309F">
        <w:rPr>
          <w:spacing w:val="-2"/>
        </w:rPr>
        <w:t xml:space="preserve"> </w:t>
      </w:r>
      <w:r w:rsidRPr="00D4309F">
        <w:t>crucial</w:t>
      </w:r>
      <w:r w:rsidRPr="00D4309F">
        <w:rPr>
          <w:spacing w:val="-3"/>
        </w:rPr>
        <w:t xml:space="preserve"> </w:t>
      </w:r>
      <w:r w:rsidRPr="00D4309F">
        <w:t>for</w:t>
      </w:r>
      <w:r w:rsidRPr="00D4309F">
        <w:rPr>
          <w:spacing w:val="-4"/>
        </w:rPr>
        <w:t xml:space="preserve"> </w:t>
      </w:r>
      <w:r w:rsidRPr="00D4309F">
        <w:t>safe</w:t>
      </w:r>
      <w:r w:rsidRPr="00D4309F">
        <w:rPr>
          <w:spacing w:val="-3"/>
        </w:rPr>
        <w:t xml:space="preserve"> </w:t>
      </w:r>
      <w:r w:rsidRPr="00D4309F">
        <w:t>and</w:t>
      </w:r>
      <w:r w:rsidRPr="00D4309F">
        <w:rPr>
          <w:spacing w:val="-3"/>
        </w:rPr>
        <w:t xml:space="preserve"> </w:t>
      </w:r>
      <w:r w:rsidRPr="00D4309F">
        <w:t>effective</w:t>
      </w:r>
      <w:r w:rsidRPr="00D4309F">
        <w:rPr>
          <w:spacing w:val="-3"/>
        </w:rPr>
        <w:t xml:space="preserve"> </w:t>
      </w:r>
      <w:r w:rsidRPr="00D4309F">
        <w:t>management</w:t>
      </w:r>
      <w:r w:rsidRPr="00D4309F">
        <w:rPr>
          <w:spacing w:val="-3"/>
        </w:rPr>
        <w:t xml:space="preserve"> </w:t>
      </w:r>
      <w:r w:rsidRPr="00D4309F">
        <w:t>of the entrance, including:</w:t>
      </w:r>
    </w:p>
    <w:p w14:paraId="195D8CED" w14:textId="77777777" w:rsidR="00725977" w:rsidRPr="00D4309F" w:rsidRDefault="00725977" w:rsidP="004426B8">
      <w:pPr>
        <w:pStyle w:val="ListBullet"/>
      </w:pPr>
      <w:r w:rsidRPr="00D4309F">
        <w:t>Improving</w:t>
      </w:r>
      <w:r w:rsidRPr="00D4309F">
        <w:rPr>
          <w:spacing w:val="-6"/>
        </w:rPr>
        <w:t xml:space="preserve"> </w:t>
      </w:r>
      <w:r w:rsidRPr="00D4309F">
        <w:t>prediction</w:t>
      </w:r>
      <w:r w:rsidRPr="00D4309F">
        <w:rPr>
          <w:spacing w:val="-5"/>
        </w:rPr>
        <w:t xml:space="preserve"> </w:t>
      </w:r>
      <w:r w:rsidRPr="00D4309F">
        <w:t>of</w:t>
      </w:r>
      <w:r w:rsidRPr="00D4309F">
        <w:rPr>
          <w:spacing w:val="-6"/>
        </w:rPr>
        <w:t xml:space="preserve"> </w:t>
      </w:r>
      <w:r w:rsidRPr="00D4309F">
        <w:t>potential</w:t>
      </w:r>
      <w:r w:rsidRPr="00D4309F">
        <w:rPr>
          <w:spacing w:val="-5"/>
        </w:rPr>
        <w:t xml:space="preserve"> </w:t>
      </w:r>
      <w:r w:rsidRPr="00D4309F">
        <w:t>shoaling</w:t>
      </w:r>
      <w:r w:rsidRPr="00D4309F">
        <w:rPr>
          <w:spacing w:val="-5"/>
        </w:rPr>
        <w:t xml:space="preserve"> </w:t>
      </w:r>
      <w:r w:rsidRPr="00D4309F">
        <w:rPr>
          <w:spacing w:val="-2"/>
        </w:rPr>
        <w:t>events.</w:t>
      </w:r>
    </w:p>
    <w:p w14:paraId="34F41213" w14:textId="77777777" w:rsidR="00725977" w:rsidRPr="00D4309F" w:rsidRDefault="00725977" w:rsidP="004426B8">
      <w:pPr>
        <w:pStyle w:val="ListBullet"/>
      </w:pPr>
      <w:r w:rsidRPr="00D4309F">
        <w:t>Determining</w:t>
      </w:r>
      <w:r w:rsidRPr="00D4309F">
        <w:rPr>
          <w:spacing w:val="-4"/>
        </w:rPr>
        <w:t xml:space="preserve"> </w:t>
      </w:r>
      <w:r w:rsidRPr="00D4309F">
        <w:t>the</w:t>
      </w:r>
      <w:r w:rsidRPr="00D4309F">
        <w:rPr>
          <w:spacing w:val="-4"/>
        </w:rPr>
        <w:t xml:space="preserve"> </w:t>
      </w:r>
      <w:r w:rsidRPr="00D4309F">
        <w:t>need</w:t>
      </w:r>
      <w:r w:rsidRPr="00D4309F">
        <w:rPr>
          <w:spacing w:val="-4"/>
        </w:rPr>
        <w:t xml:space="preserve"> </w:t>
      </w:r>
      <w:r w:rsidRPr="00D4309F">
        <w:t>and</w:t>
      </w:r>
      <w:r w:rsidRPr="00D4309F">
        <w:rPr>
          <w:spacing w:val="-4"/>
        </w:rPr>
        <w:t xml:space="preserve"> </w:t>
      </w:r>
      <w:r w:rsidRPr="00D4309F">
        <w:t>timing</w:t>
      </w:r>
      <w:r w:rsidRPr="00D4309F">
        <w:rPr>
          <w:spacing w:val="-4"/>
        </w:rPr>
        <w:t xml:space="preserve"> </w:t>
      </w:r>
      <w:r w:rsidRPr="00D4309F">
        <w:t>for</w:t>
      </w:r>
      <w:r w:rsidRPr="00D4309F">
        <w:rPr>
          <w:spacing w:val="-3"/>
        </w:rPr>
        <w:t xml:space="preserve"> </w:t>
      </w:r>
      <w:r w:rsidRPr="00D4309F">
        <w:t>dredging</w:t>
      </w:r>
      <w:r w:rsidRPr="00D4309F">
        <w:rPr>
          <w:spacing w:val="-3"/>
        </w:rPr>
        <w:t xml:space="preserve"> </w:t>
      </w:r>
      <w:r w:rsidRPr="00D4309F">
        <w:rPr>
          <w:spacing w:val="-2"/>
        </w:rPr>
        <w:t>operations.</w:t>
      </w:r>
    </w:p>
    <w:p w14:paraId="126642AA" w14:textId="77777777" w:rsidR="00725977" w:rsidRPr="00D4309F" w:rsidRDefault="00725977" w:rsidP="004426B8">
      <w:pPr>
        <w:pStyle w:val="ListBullet"/>
      </w:pPr>
      <w:r w:rsidRPr="00D4309F">
        <w:t>Providing</w:t>
      </w:r>
      <w:r w:rsidRPr="00D4309F">
        <w:rPr>
          <w:spacing w:val="-2"/>
        </w:rPr>
        <w:t xml:space="preserve"> </w:t>
      </w:r>
      <w:r w:rsidRPr="00D4309F">
        <w:t>the</w:t>
      </w:r>
      <w:r w:rsidRPr="00D4309F">
        <w:rPr>
          <w:spacing w:val="-3"/>
        </w:rPr>
        <w:t xml:space="preserve"> </w:t>
      </w:r>
      <w:r w:rsidRPr="00D4309F">
        <w:t>Harbour</w:t>
      </w:r>
      <w:r w:rsidRPr="00D4309F">
        <w:rPr>
          <w:spacing w:val="-1"/>
        </w:rPr>
        <w:t xml:space="preserve"> </w:t>
      </w:r>
      <w:r w:rsidRPr="00D4309F">
        <w:t>Master</w:t>
      </w:r>
      <w:r w:rsidRPr="00D4309F">
        <w:rPr>
          <w:spacing w:val="-1"/>
        </w:rPr>
        <w:t xml:space="preserve"> </w:t>
      </w:r>
      <w:r w:rsidRPr="00D4309F">
        <w:t>with</w:t>
      </w:r>
      <w:r w:rsidRPr="00D4309F">
        <w:rPr>
          <w:spacing w:val="-2"/>
        </w:rPr>
        <w:t xml:space="preserve"> </w:t>
      </w:r>
      <w:r w:rsidRPr="00D4309F">
        <w:t>up</w:t>
      </w:r>
      <w:r w:rsidRPr="00D4309F">
        <w:rPr>
          <w:spacing w:val="-2"/>
        </w:rPr>
        <w:t xml:space="preserve"> </w:t>
      </w:r>
      <w:r w:rsidRPr="00D4309F">
        <w:t>to</w:t>
      </w:r>
      <w:r w:rsidRPr="00D4309F">
        <w:rPr>
          <w:spacing w:val="-3"/>
        </w:rPr>
        <w:t xml:space="preserve"> </w:t>
      </w:r>
      <w:r w:rsidRPr="00D4309F">
        <w:t>date</w:t>
      </w:r>
      <w:r w:rsidRPr="00D4309F">
        <w:rPr>
          <w:spacing w:val="-2"/>
        </w:rPr>
        <w:t xml:space="preserve"> </w:t>
      </w:r>
      <w:r w:rsidRPr="00D4309F">
        <w:t>and</w:t>
      </w:r>
      <w:r w:rsidRPr="00D4309F">
        <w:rPr>
          <w:spacing w:val="-2"/>
        </w:rPr>
        <w:t xml:space="preserve"> </w:t>
      </w:r>
      <w:r w:rsidRPr="00D4309F">
        <w:t>accurate</w:t>
      </w:r>
      <w:r w:rsidRPr="00D4309F">
        <w:rPr>
          <w:spacing w:val="-2"/>
        </w:rPr>
        <w:t xml:space="preserve"> </w:t>
      </w:r>
      <w:r w:rsidRPr="00D4309F">
        <w:t>data</w:t>
      </w:r>
      <w:r w:rsidRPr="00D4309F">
        <w:rPr>
          <w:spacing w:val="-2"/>
        </w:rPr>
        <w:t xml:space="preserve"> </w:t>
      </w:r>
      <w:r w:rsidRPr="00D4309F">
        <w:t>to</w:t>
      </w:r>
      <w:r w:rsidRPr="00D4309F">
        <w:rPr>
          <w:spacing w:val="-3"/>
        </w:rPr>
        <w:t xml:space="preserve"> </w:t>
      </w:r>
      <w:r w:rsidRPr="00D4309F">
        <w:t>make</w:t>
      </w:r>
      <w:r w:rsidRPr="00D4309F">
        <w:rPr>
          <w:spacing w:val="-2"/>
        </w:rPr>
        <w:t xml:space="preserve"> </w:t>
      </w:r>
      <w:r w:rsidRPr="00D4309F">
        <w:t>informed</w:t>
      </w:r>
      <w:r w:rsidRPr="00D4309F">
        <w:rPr>
          <w:spacing w:val="-2"/>
        </w:rPr>
        <w:t xml:space="preserve"> </w:t>
      </w:r>
      <w:r w:rsidRPr="00D4309F">
        <w:t>decisions</w:t>
      </w:r>
      <w:r w:rsidRPr="00D4309F">
        <w:rPr>
          <w:spacing w:val="-1"/>
        </w:rPr>
        <w:t xml:space="preserve"> </w:t>
      </w:r>
      <w:r w:rsidRPr="00D4309F">
        <w:t>about navigational hazards and entrance management.</w:t>
      </w:r>
    </w:p>
    <w:p w14:paraId="78182C7A" w14:textId="77777777" w:rsidR="00725977" w:rsidRPr="00D4309F" w:rsidRDefault="00725977" w:rsidP="004426B8">
      <w:pPr>
        <w:pStyle w:val="ListBullet"/>
      </w:pPr>
      <w:r w:rsidRPr="00D4309F">
        <w:t>Issuing</w:t>
      </w:r>
      <w:r w:rsidRPr="00D4309F">
        <w:rPr>
          <w:spacing w:val="-6"/>
        </w:rPr>
        <w:t xml:space="preserve"> </w:t>
      </w:r>
      <w:r w:rsidRPr="00D4309F">
        <w:t>timely</w:t>
      </w:r>
      <w:r w:rsidRPr="00D4309F">
        <w:rPr>
          <w:spacing w:val="-3"/>
        </w:rPr>
        <w:t xml:space="preserve"> </w:t>
      </w:r>
      <w:r w:rsidRPr="00D4309F">
        <w:t>and</w:t>
      </w:r>
      <w:r w:rsidRPr="00D4309F">
        <w:rPr>
          <w:spacing w:val="-3"/>
        </w:rPr>
        <w:t xml:space="preserve"> </w:t>
      </w:r>
      <w:r w:rsidRPr="00D4309F">
        <w:t>accurate</w:t>
      </w:r>
      <w:r w:rsidRPr="00D4309F">
        <w:rPr>
          <w:spacing w:val="-4"/>
        </w:rPr>
        <w:t xml:space="preserve"> </w:t>
      </w:r>
      <w:r w:rsidRPr="00D4309F">
        <w:t>Notices</w:t>
      </w:r>
      <w:r w:rsidRPr="00D4309F">
        <w:rPr>
          <w:spacing w:val="-3"/>
        </w:rPr>
        <w:t xml:space="preserve"> </w:t>
      </w:r>
      <w:r w:rsidRPr="00D4309F">
        <w:t>to</w:t>
      </w:r>
      <w:r w:rsidRPr="00D4309F">
        <w:rPr>
          <w:spacing w:val="-3"/>
        </w:rPr>
        <w:t xml:space="preserve"> </w:t>
      </w:r>
      <w:r w:rsidRPr="00D4309F">
        <w:t>Mariners</w:t>
      </w:r>
      <w:r w:rsidRPr="00D4309F">
        <w:rPr>
          <w:spacing w:val="-2"/>
        </w:rPr>
        <w:t xml:space="preserve"> </w:t>
      </w:r>
      <w:r w:rsidRPr="00D4309F">
        <w:t>to</w:t>
      </w:r>
      <w:r w:rsidRPr="00D4309F">
        <w:rPr>
          <w:spacing w:val="-4"/>
        </w:rPr>
        <w:t xml:space="preserve"> </w:t>
      </w:r>
      <w:r w:rsidRPr="00D4309F">
        <w:t>warn</w:t>
      </w:r>
      <w:r w:rsidRPr="00D4309F">
        <w:rPr>
          <w:spacing w:val="-3"/>
        </w:rPr>
        <w:t xml:space="preserve"> </w:t>
      </w:r>
      <w:r w:rsidRPr="00D4309F">
        <w:t>of</w:t>
      </w:r>
      <w:r w:rsidRPr="00D4309F">
        <w:rPr>
          <w:spacing w:val="-3"/>
        </w:rPr>
        <w:t xml:space="preserve"> </w:t>
      </w:r>
      <w:r w:rsidRPr="00D4309F">
        <w:t>changing</w:t>
      </w:r>
      <w:r w:rsidRPr="00D4309F">
        <w:rPr>
          <w:spacing w:val="-4"/>
        </w:rPr>
        <w:t xml:space="preserve"> </w:t>
      </w:r>
      <w:r w:rsidRPr="00D4309F">
        <w:t>bar</w:t>
      </w:r>
      <w:r w:rsidRPr="00D4309F">
        <w:rPr>
          <w:spacing w:val="-2"/>
        </w:rPr>
        <w:t xml:space="preserve"> conditions.</w:t>
      </w:r>
    </w:p>
    <w:p w14:paraId="526F316A" w14:textId="77777777" w:rsidR="00725977" w:rsidRPr="00D4309F" w:rsidRDefault="00725977" w:rsidP="00725977">
      <w:pPr>
        <w:pStyle w:val="BodyText"/>
      </w:pPr>
      <w:r w:rsidRPr="00D4309F">
        <w:t>It</w:t>
      </w:r>
      <w:r w:rsidRPr="00D4309F">
        <w:rPr>
          <w:spacing w:val="-3"/>
        </w:rPr>
        <w:t xml:space="preserve"> </w:t>
      </w:r>
      <w:r w:rsidRPr="00D4309F">
        <w:t>is</w:t>
      </w:r>
      <w:r w:rsidRPr="00D4309F">
        <w:rPr>
          <w:spacing w:val="-2"/>
        </w:rPr>
        <w:t xml:space="preserve"> </w:t>
      </w:r>
      <w:r w:rsidRPr="00D4309F">
        <w:t>essential</w:t>
      </w:r>
      <w:r w:rsidRPr="00D4309F">
        <w:rPr>
          <w:spacing w:val="-3"/>
        </w:rPr>
        <w:t xml:space="preserve"> </w:t>
      </w:r>
      <w:r w:rsidRPr="00D4309F">
        <w:t>that</w:t>
      </w:r>
      <w:r w:rsidRPr="00D4309F">
        <w:rPr>
          <w:spacing w:val="-3"/>
        </w:rPr>
        <w:t xml:space="preserve"> </w:t>
      </w:r>
      <w:r w:rsidRPr="00D4309F">
        <w:t>frequent,</w:t>
      </w:r>
      <w:r w:rsidRPr="00D4309F">
        <w:rPr>
          <w:spacing w:val="-5"/>
        </w:rPr>
        <w:t xml:space="preserve"> </w:t>
      </w:r>
      <w:r w:rsidRPr="00D4309F">
        <w:t>reliable</w:t>
      </w:r>
      <w:r w:rsidRPr="00D4309F">
        <w:rPr>
          <w:spacing w:val="-3"/>
        </w:rPr>
        <w:t xml:space="preserve"> </w:t>
      </w:r>
      <w:r w:rsidRPr="00D4309F">
        <w:t>and</w:t>
      </w:r>
      <w:r w:rsidRPr="00D4309F">
        <w:rPr>
          <w:spacing w:val="-4"/>
        </w:rPr>
        <w:t xml:space="preserve"> </w:t>
      </w:r>
      <w:r w:rsidRPr="00D4309F">
        <w:t>high-resolution</w:t>
      </w:r>
      <w:r w:rsidRPr="00D4309F">
        <w:rPr>
          <w:spacing w:val="-3"/>
        </w:rPr>
        <w:t xml:space="preserve"> </w:t>
      </w:r>
      <w:r w:rsidRPr="00D4309F">
        <w:t>monitoring</w:t>
      </w:r>
      <w:r w:rsidRPr="00D4309F">
        <w:rPr>
          <w:spacing w:val="-4"/>
        </w:rPr>
        <w:t xml:space="preserve"> </w:t>
      </w:r>
      <w:r w:rsidRPr="00D4309F">
        <w:t>data</w:t>
      </w:r>
      <w:r w:rsidRPr="00D4309F">
        <w:rPr>
          <w:spacing w:val="-3"/>
        </w:rPr>
        <w:t xml:space="preserve"> </w:t>
      </w:r>
      <w:r w:rsidRPr="00D4309F">
        <w:t>is</w:t>
      </w:r>
      <w:r w:rsidRPr="00D4309F">
        <w:rPr>
          <w:spacing w:val="-2"/>
        </w:rPr>
        <w:t xml:space="preserve"> </w:t>
      </w:r>
      <w:r w:rsidRPr="00D4309F">
        <w:t>both</w:t>
      </w:r>
      <w:r w:rsidRPr="00D4309F">
        <w:rPr>
          <w:spacing w:val="-4"/>
        </w:rPr>
        <w:t xml:space="preserve"> </w:t>
      </w:r>
      <w:r w:rsidRPr="00D4309F">
        <w:t>collected,</w:t>
      </w:r>
      <w:r w:rsidRPr="00D4309F">
        <w:rPr>
          <w:spacing w:val="-3"/>
        </w:rPr>
        <w:t xml:space="preserve"> </w:t>
      </w:r>
      <w:r w:rsidRPr="00D4309F">
        <w:t>assessed</w:t>
      </w:r>
      <w:r w:rsidRPr="00D4309F">
        <w:rPr>
          <w:spacing w:val="-3"/>
        </w:rPr>
        <w:t xml:space="preserve"> </w:t>
      </w:r>
      <w:r w:rsidRPr="00D4309F">
        <w:t>and provided to relevant stakeholders. This includes:</w:t>
      </w:r>
    </w:p>
    <w:p w14:paraId="0EC79B55" w14:textId="77777777" w:rsidR="00725977" w:rsidRPr="00D4309F" w:rsidRDefault="00725977" w:rsidP="00D27F26">
      <w:pPr>
        <w:pStyle w:val="ListParagraph"/>
        <w:widowControl w:val="0"/>
        <w:numPr>
          <w:ilvl w:val="0"/>
          <w:numId w:val="475"/>
        </w:numPr>
        <w:tabs>
          <w:tab w:val="left" w:pos="925"/>
          <w:tab w:val="left" w:pos="927"/>
        </w:tabs>
        <w:autoSpaceDE w:val="0"/>
        <w:autoSpaceDN w:val="0"/>
        <w:spacing w:after="0" w:line="240" w:lineRule="auto"/>
        <w:ind w:right="926"/>
        <w:contextualSpacing w:val="0"/>
      </w:pPr>
      <w:r w:rsidRPr="00D4309F">
        <w:rPr>
          <w:color w:val="211E1F"/>
        </w:rPr>
        <w:t>Continue</w:t>
      </w:r>
      <w:r w:rsidRPr="00D4309F">
        <w:rPr>
          <w:color w:val="211E1F"/>
          <w:spacing w:val="-3"/>
        </w:rPr>
        <w:t xml:space="preserve"> </w:t>
      </w:r>
      <w:r w:rsidRPr="00D4309F">
        <w:rPr>
          <w:color w:val="211E1F"/>
        </w:rPr>
        <w:t>undertaking</w:t>
      </w:r>
      <w:r w:rsidRPr="00D4309F">
        <w:rPr>
          <w:color w:val="211E1F"/>
          <w:spacing w:val="-3"/>
        </w:rPr>
        <w:t xml:space="preserve"> </w:t>
      </w:r>
      <w:r w:rsidRPr="00D4309F">
        <w:rPr>
          <w:color w:val="211E1F"/>
        </w:rPr>
        <w:t>frequent</w:t>
      </w:r>
      <w:r w:rsidRPr="00D4309F">
        <w:rPr>
          <w:color w:val="211E1F"/>
          <w:spacing w:val="-3"/>
        </w:rPr>
        <w:t xml:space="preserve"> </w:t>
      </w:r>
      <w:r w:rsidRPr="00D4309F">
        <w:rPr>
          <w:color w:val="211E1F"/>
        </w:rPr>
        <w:t>high-resolution</w:t>
      </w:r>
      <w:r w:rsidRPr="00D4309F">
        <w:rPr>
          <w:color w:val="211E1F"/>
          <w:spacing w:val="-3"/>
        </w:rPr>
        <w:t xml:space="preserve"> </w:t>
      </w:r>
      <w:r w:rsidRPr="00D4309F">
        <w:rPr>
          <w:color w:val="211E1F"/>
        </w:rPr>
        <w:t>survey</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entrance,</w:t>
      </w:r>
      <w:r w:rsidRPr="00D4309F">
        <w:rPr>
          <w:color w:val="211E1F"/>
          <w:spacing w:val="-3"/>
        </w:rPr>
        <w:t xml:space="preserve"> </w:t>
      </w:r>
      <w:r w:rsidRPr="00D4309F">
        <w:rPr>
          <w:color w:val="211E1F"/>
        </w:rPr>
        <w:t>shoaling</w:t>
      </w:r>
      <w:r w:rsidRPr="00D4309F">
        <w:rPr>
          <w:color w:val="211E1F"/>
          <w:spacing w:val="-3"/>
        </w:rPr>
        <w:t xml:space="preserve"> </w:t>
      </w:r>
      <w:r w:rsidRPr="00D4309F">
        <w:rPr>
          <w:color w:val="211E1F"/>
        </w:rPr>
        <w:t>area</w:t>
      </w:r>
      <w:r w:rsidRPr="00D4309F">
        <w:rPr>
          <w:color w:val="211E1F"/>
          <w:spacing w:val="-3"/>
        </w:rPr>
        <w:t xml:space="preserve"> </w:t>
      </w:r>
      <w:r w:rsidRPr="00D4309F">
        <w:rPr>
          <w:color w:val="211E1F"/>
        </w:rPr>
        <w:t>and</w:t>
      </w:r>
      <w:r w:rsidRPr="00D4309F">
        <w:rPr>
          <w:color w:val="211E1F"/>
          <w:spacing w:val="-4"/>
        </w:rPr>
        <w:t xml:space="preserve"> </w:t>
      </w:r>
      <w:r w:rsidRPr="00D4309F">
        <w:rPr>
          <w:color w:val="211E1F"/>
        </w:rPr>
        <w:t>known</w:t>
      </w:r>
      <w:r w:rsidRPr="00D4309F">
        <w:rPr>
          <w:color w:val="211E1F"/>
          <w:spacing w:val="-3"/>
        </w:rPr>
        <w:t xml:space="preserve"> </w:t>
      </w:r>
      <w:r w:rsidRPr="00D4309F">
        <w:rPr>
          <w:color w:val="211E1F"/>
        </w:rPr>
        <w:t>sand stockpile areas around Point Cartwright.</w:t>
      </w:r>
    </w:p>
    <w:p w14:paraId="1A9ECDF8" w14:textId="77777777" w:rsidR="00725977" w:rsidRPr="00D4309F" w:rsidRDefault="00725977" w:rsidP="00D27F26">
      <w:pPr>
        <w:pStyle w:val="ListParagraph"/>
        <w:widowControl w:val="0"/>
        <w:numPr>
          <w:ilvl w:val="1"/>
          <w:numId w:val="475"/>
        </w:numPr>
        <w:tabs>
          <w:tab w:val="left" w:pos="1417"/>
        </w:tabs>
        <w:autoSpaceDE w:val="0"/>
        <w:autoSpaceDN w:val="0"/>
        <w:spacing w:after="0" w:line="240" w:lineRule="auto"/>
        <w:ind w:right="892"/>
        <w:contextualSpacing w:val="0"/>
        <w:rPr>
          <w:color w:val="5F6269"/>
        </w:rPr>
      </w:pPr>
      <w:r w:rsidRPr="00D4309F">
        <w:rPr>
          <w:color w:val="211E1F"/>
        </w:rPr>
        <w:t>This data is essential for both calibrating the shoal indicator model, detailed assessment of sediment</w:t>
      </w:r>
      <w:r w:rsidRPr="00D4309F">
        <w:rPr>
          <w:color w:val="211E1F"/>
          <w:spacing w:val="-3"/>
        </w:rPr>
        <w:t xml:space="preserve"> </w:t>
      </w:r>
      <w:r w:rsidRPr="00D4309F">
        <w:rPr>
          <w:color w:val="211E1F"/>
        </w:rPr>
        <w:t>transport</w:t>
      </w:r>
      <w:r w:rsidRPr="00D4309F">
        <w:rPr>
          <w:color w:val="211E1F"/>
          <w:spacing w:val="-3"/>
        </w:rPr>
        <w:t xml:space="preserve"> </w:t>
      </w:r>
      <w:r w:rsidRPr="00D4309F">
        <w:rPr>
          <w:color w:val="211E1F"/>
        </w:rPr>
        <w:t>volumes,</w:t>
      </w:r>
      <w:r w:rsidRPr="00D4309F">
        <w:rPr>
          <w:color w:val="211E1F"/>
          <w:spacing w:val="-4"/>
        </w:rPr>
        <w:t xml:space="preserve"> </w:t>
      </w:r>
      <w:r w:rsidRPr="00D4309F">
        <w:rPr>
          <w:color w:val="211E1F"/>
        </w:rPr>
        <w:t>bed</w:t>
      </w:r>
      <w:r w:rsidRPr="00D4309F">
        <w:rPr>
          <w:color w:val="211E1F"/>
          <w:spacing w:val="-3"/>
        </w:rPr>
        <w:t xml:space="preserve"> </w:t>
      </w:r>
      <w:r w:rsidRPr="00D4309F">
        <w:rPr>
          <w:color w:val="211E1F"/>
        </w:rPr>
        <w:t>level</w:t>
      </w:r>
      <w:r w:rsidRPr="00D4309F">
        <w:rPr>
          <w:color w:val="211E1F"/>
          <w:spacing w:val="-3"/>
        </w:rPr>
        <w:t xml:space="preserve"> </w:t>
      </w:r>
      <w:r w:rsidRPr="00D4309F">
        <w:rPr>
          <w:color w:val="211E1F"/>
        </w:rPr>
        <w:t>changes,</w:t>
      </w:r>
      <w:r w:rsidRPr="00D4309F">
        <w:rPr>
          <w:color w:val="211E1F"/>
          <w:spacing w:val="-4"/>
        </w:rPr>
        <w:t xml:space="preserve"> </w:t>
      </w:r>
      <w:r w:rsidRPr="00D4309F">
        <w:rPr>
          <w:color w:val="211E1F"/>
        </w:rPr>
        <w:t>maintenance</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targeting</w:t>
      </w:r>
      <w:r w:rsidRPr="00D4309F">
        <w:rPr>
          <w:color w:val="211E1F"/>
          <w:spacing w:val="-3"/>
        </w:rPr>
        <w:t xml:space="preserve"> </w:t>
      </w:r>
      <w:r w:rsidRPr="00D4309F">
        <w:rPr>
          <w:color w:val="211E1F"/>
        </w:rPr>
        <w:t>dredging</w:t>
      </w:r>
      <w:r w:rsidRPr="00D4309F">
        <w:rPr>
          <w:color w:val="211E1F"/>
          <w:spacing w:val="-3"/>
        </w:rPr>
        <w:t xml:space="preserve"> </w:t>
      </w:r>
      <w:r w:rsidRPr="00D4309F">
        <w:rPr>
          <w:color w:val="211E1F"/>
        </w:rPr>
        <w:t>works</w:t>
      </w:r>
      <w:r w:rsidRPr="00D4309F">
        <w:rPr>
          <w:color w:val="211E1F"/>
          <w:spacing w:val="-3"/>
        </w:rPr>
        <w:t xml:space="preserve"> </w:t>
      </w:r>
      <w:r w:rsidRPr="00D4309F">
        <w:rPr>
          <w:color w:val="211E1F"/>
        </w:rPr>
        <w:t>and calibrating satellite derived bathymetry.</w:t>
      </w:r>
    </w:p>
    <w:p w14:paraId="59505E83" w14:textId="77777777" w:rsidR="00725977" w:rsidRPr="00D4309F" w:rsidRDefault="00725977" w:rsidP="00D27F26">
      <w:pPr>
        <w:pStyle w:val="ListParagraph"/>
        <w:widowControl w:val="0"/>
        <w:numPr>
          <w:ilvl w:val="0"/>
          <w:numId w:val="475"/>
        </w:numPr>
        <w:tabs>
          <w:tab w:val="left" w:pos="925"/>
          <w:tab w:val="left" w:pos="927"/>
        </w:tabs>
        <w:autoSpaceDE w:val="0"/>
        <w:autoSpaceDN w:val="0"/>
        <w:spacing w:after="0" w:line="240" w:lineRule="auto"/>
        <w:ind w:right="605"/>
        <w:contextualSpacing w:val="0"/>
      </w:pPr>
      <w:r w:rsidRPr="00D4309F">
        <w:rPr>
          <w:color w:val="211E1F"/>
        </w:rPr>
        <w:t>Use</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satellite</w:t>
      </w:r>
      <w:r w:rsidRPr="00D4309F">
        <w:rPr>
          <w:color w:val="211E1F"/>
          <w:spacing w:val="-3"/>
        </w:rPr>
        <w:t xml:space="preserve"> </w:t>
      </w:r>
      <w:r w:rsidRPr="00D4309F">
        <w:rPr>
          <w:color w:val="211E1F"/>
        </w:rPr>
        <w:t>derived</w:t>
      </w:r>
      <w:r w:rsidRPr="00D4309F">
        <w:rPr>
          <w:color w:val="211E1F"/>
          <w:spacing w:val="-3"/>
        </w:rPr>
        <w:t xml:space="preserve"> </w:t>
      </w:r>
      <w:r w:rsidRPr="00D4309F">
        <w:rPr>
          <w:color w:val="211E1F"/>
        </w:rPr>
        <w:t>bathymetry</w:t>
      </w:r>
      <w:r w:rsidRPr="00D4309F">
        <w:rPr>
          <w:color w:val="211E1F"/>
          <w:spacing w:val="-3"/>
        </w:rPr>
        <w:t xml:space="preserve"> </w:t>
      </w:r>
      <w:r w:rsidRPr="00D4309F">
        <w:rPr>
          <w:color w:val="211E1F"/>
        </w:rPr>
        <w:t>(SDB),</w:t>
      </w:r>
      <w:r w:rsidRPr="00D4309F">
        <w:rPr>
          <w:color w:val="211E1F"/>
          <w:spacing w:val="-3"/>
        </w:rPr>
        <w:t xml:space="preserve"> </w:t>
      </w:r>
      <w:r w:rsidRPr="00D4309F">
        <w:rPr>
          <w:color w:val="211E1F"/>
        </w:rPr>
        <w:t>calibrated</w:t>
      </w:r>
      <w:r w:rsidRPr="00D4309F">
        <w:rPr>
          <w:color w:val="211E1F"/>
          <w:spacing w:val="-4"/>
        </w:rPr>
        <w:t xml:space="preserve"> </w:t>
      </w:r>
      <w:r w:rsidRPr="00D4309F">
        <w:rPr>
          <w:color w:val="211E1F"/>
        </w:rPr>
        <w:t>against</w:t>
      </w:r>
      <w:r w:rsidRPr="00D4309F">
        <w:rPr>
          <w:color w:val="211E1F"/>
          <w:spacing w:val="-3"/>
        </w:rPr>
        <w:t xml:space="preserve"> </w:t>
      </w:r>
      <w:r w:rsidRPr="00D4309F">
        <w:rPr>
          <w:color w:val="211E1F"/>
        </w:rPr>
        <w:t>most</w:t>
      </w:r>
      <w:r w:rsidRPr="00D4309F">
        <w:rPr>
          <w:color w:val="211E1F"/>
          <w:spacing w:val="-5"/>
        </w:rPr>
        <w:t xml:space="preserve"> </w:t>
      </w:r>
      <w:r w:rsidRPr="00D4309F">
        <w:rPr>
          <w:color w:val="211E1F"/>
        </w:rPr>
        <w:t>recent</w:t>
      </w:r>
      <w:r w:rsidRPr="00D4309F">
        <w:rPr>
          <w:color w:val="211E1F"/>
          <w:spacing w:val="-3"/>
        </w:rPr>
        <w:t xml:space="preserve"> </w:t>
      </w:r>
      <w:r w:rsidRPr="00D4309F">
        <w:rPr>
          <w:color w:val="211E1F"/>
        </w:rPr>
        <w:t>hydrographic</w:t>
      </w:r>
      <w:r w:rsidRPr="00D4309F">
        <w:rPr>
          <w:color w:val="211E1F"/>
          <w:spacing w:val="-3"/>
        </w:rPr>
        <w:t xml:space="preserve"> </w:t>
      </w:r>
      <w:r w:rsidRPr="00D4309F">
        <w:rPr>
          <w:color w:val="211E1F"/>
        </w:rPr>
        <w:t>survey</w:t>
      </w:r>
      <w:r w:rsidRPr="00D4309F">
        <w:rPr>
          <w:color w:val="211E1F"/>
          <w:spacing w:val="-2"/>
        </w:rPr>
        <w:t xml:space="preserve"> </w:t>
      </w:r>
      <w:r w:rsidRPr="00D4309F">
        <w:rPr>
          <w:color w:val="211E1F"/>
        </w:rPr>
        <w:t>to</w:t>
      </w:r>
      <w:r w:rsidRPr="00D4309F">
        <w:rPr>
          <w:color w:val="211E1F"/>
          <w:spacing w:val="-3"/>
        </w:rPr>
        <w:t xml:space="preserve"> </w:t>
      </w:r>
      <w:r w:rsidRPr="00D4309F">
        <w:rPr>
          <w:color w:val="211E1F"/>
        </w:rPr>
        <w:t>provide additional seabed data and shoal locations.</w:t>
      </w:r>
    </w:p>
    <w:p w14:paraId="7B46A300" w14:textId="77777777" w:rsidR="00725977" w:rsidRPr="00D4309F" w:rsidRDefault="00725977" w:rsidP="00D27F26">
      <w:pPr>
        <w:pStyle w:val="ListParagraph"/>
        <w:widowControl w:val="0"/>
        <w:numPr>
          <w:ilvl w:val="1"/>
          <w:numId w:val="475"/>
        </w:numPr>
        <w:tabs>
          <w:tab w:val="left" w:pos="1352"/>
        </w:tabs>
        <w:autoSpaceDE w:val="0"/>
        <w:autoSpaceDN w:val="0"/>
        <w:spacing w:before="121" w:after="0" w:line="240" w:lineRule="auto"/>
        <w:contextualSpacing w:val="0"/>
        <w:rPr>
          <w:color w:val="70004A"/>
        </w:rPr>
      </w:pPr>
      <w:r w:rsidRPr="00D4309F">
        <w:rPr>
          <w:color w:val="211E1F"/>
        </w:rPr>
        <w:t>Without</w:t>
      </w:r>
      <w:r w:rsidRPr="00D4309F">
        <w:rPr>
          <w:color w:val="211E1F"/>
          <w:spacing w:val="-7"/>
        </w:rPr>
        <w:t xml:space="preserve"> </w:t>
      </w:r>
      <w:r w:rsidRPr="00D4309F">
        <w:rPr>
          <w:color w:val="211E1F"/>
        </w:rPr>
        <w:t>calibration</w:t>
      </w:r>
      <w:r w:rsidRPr="00D4309F">
        <w:rPr>
          <w:color w:val="211E1F"/>
          <w:spacing w:val="-3"/>
        </w:rPr>
        <w:t xml:space="preserve"> </w:t>
      </w:r>
      <w:r w:rsidRPr="00D4309F">
        <w:rPr>
          <w:color w:val="211E1F"/>
        </w:rPr>
        <w:t>with</w:t>
      </w:r>
      <w:r w:rsidRPr="00D4309F">
        <w:rPr>
          <w:color w:val="211E1F"/>
          <w:spacing w:val="-4"/>
        </w:rPr>
        <w:t xml:space="preserve"> </w:t>
      </w:r>
      <w:r w:rsidRPr="00D4309F">
        <w:rPr>
          <w:color w:val="211E1F"/>
        </w:rPr>
        <w:t>real</w:t>
      </w:r>
      <w:r w:rsidRPr="00D4309F">
        <w:rPr>
          <w:color w:val="211E1F"/>
          <w:spacing w:val="-3"/>
        </w:rPr>
        <w:t xml:space="preserve"> </w:t>
      </w:r>
      <w:r w:rsidRPr="00D4309F">
        <w:rPr>
          <w:color w:val="211E1F"/>
        </w:rPr>
        <w:t>world</w:t>
      </w:r>
      <w:r w:rsidRPr="00D4309F">
        <w:rPr>
          <w:color w:val="211E1F"/>
          <w:spacing w:val="-4"/>
        </w:rPr>
        <w:t xml:space="preserve"> </w:t>
      </w:r>
      <w:r w:rsidRPr="00D4309F">
        <w:rPr>
          <w:color w:val="211E1F"/>
        </w:rPr>
        <w:t>depths,</w:t>
      </w:r>
      <w:r w:rsidRPr="00D4309F">
        <w:rPr>
          <w:color w:val="211E1F"/>
          <w:spacing w:val="-3"/>
        </w:rPr>
        <w:t xml:space="preserve"> </w:t>
      </w:r>
      <w:r w:rsidRPr="00D4309F">
        <w:rPr>
          <w:color w:val="211E1F"/>
        </w:rPr>
        <w:t>this</w:t>
      </w:r>
      <w:r w:rsidRPr="00D4309F">
        <w:rPr>
          <w:color w:val="211E1F"/>
          <w:spacing w:val="-3"/>
        </w:rPr>
        <w:t xml:space="preserve"> </w:t>
      </w:r>
      <w:r w:rsidRPr="00D4309F">
        <w:rPr>
          <w:color w:val="211E1F"/>
        </w:rPr>
        <w:t>data</w:t>
      </w:r>
      <w:r w:rsidRPr="00D4309F">
        <w:rPr>
          <w:color w:val="211E1F"/>
          <w:spacing w:val="-3"/>
        </w:rPr>
        <w:t xml:space="preserve"> </w:t>
      </w:r>
      <w:r w:rsidRPr="00D4309F">
        <w:rPr>
          <w:color w:val="211E1F"/>
        </w:rPr>
        <w:t>tends</w:t>
      </w:r>
      <w:r w:rsidRPr="00D4309F">
        <w:rPr>
          <w:color w:val="211E1F"/>
          <w:spacing w:val="-3"/>
        </w:rPr>
        <w:t xml:space="preserve"> </w:t>
      </w:r>
      <w:r w:rsidRPr="00D4309F">
        <w:rPr>
          <w:color w:val="211E1F"/>
        </w:rPr>
        <w:t>to</w:t>
      </w:r>
      <w:r w:rsidRPr="00D4309F">
        <w:rPr>
          <w:color w:val="211E1F"/>
          <w:spacing w:val="-3"/>
        </w:rPr>
        <w:t xml:space="preserve"> </w:t>
      </w:r>
      <w:r w:rsidRPr="00D4309F">
        <w:rPr>
          <w:color w:val="211E1F"/>
        </w:rPr>
        <w:t>be</w:t>
      </w:r>
      <w:r w:rsidRPr="00D4309F">
        <w:rPr>
          <w:color w:val="211E1F"/>
          <w:spacing w:val="-4"/>
        </w:rPr>
        <w:t xml:space="preserve"> </w:t>
      </w:r>
      <w:r w:rsidRPr="00D4309F">
        <w:rPr>
          <w:color w:val="211E1F"/>
        </w:rPr>
        <w:t>accurate</w:t>
      </w:r>
      <w:r w:rsidRPr="00D4309F">
        <w:rPr>
          <w:color w:val="211E1F"/>
          <w:spacing w:val="-3"/>
        </w:rPr>
        <w:t xml:space="preserve"> </w:t>
      </w:r>
      <w:r w:rsidRPr="00D4309F">
        <w:rPr>
          <w:color w:val="211E1F"/>
        </w:rPr>
        <w:t>to</w:t>
      </w:r>
      <w:r w:rsidRPr="00D4309F">
        <w:rPr>
          <w:color w:val="211E1F"/>
          <w:spacing w:val="-4"/>
        </w:rPr>
        <w:t xml:space="preserve"> </w:t>
      </w:r>
      <w:r w:rsidRPr="00D4309F">
        <w:rPr>
          <w:color w:val="211E1F"/>
        </w:rPr>
        <w:t>about</w:t>
      </w:r>
      <w:r w:rsidRPr="00D4309F">
        <w:rPr>
          <w:color w:val="211E1F"/>
          <w:spacing w:val="-3"/>
        </w:rPr>
        <w:t xml:space="preserve"> </w:t>
      </w:r>
      <w:r w:rsidRPr="00D4309F">
        <w:rPr>
          <w:color w:val="211E1F"/>
        </w:rPr>
        <w:t>1</w:t>
      </w:r>
      <w:r w:rsidRPr="00D4309F">
        <w:rPr>
          <w:color w:val="211E1F"/>
          <w:spacing w:val="-4"/>
        </w:rPr>
        <w:t xml:space="preserve"> </w:t>
      </w:r>
      <w:r w:rsidRPr="00D4309F">
        <w:rPr>
          <w:color w:val="211E1F"/>
          <w:spacing w:val="-5"/>
        </w:rPr>
        <w:t>m.</w:t>
      </w:r>
    </w:p>
    <w:p w14:paraId="5FE827EA" w14:textId="77777777" w:rsidR="00725977" w:rsidRPr="00D4309F" w:rsidRDefault="00725977" w:rsidP="00D27F26">
      <w:pPr>
        <w:pStyle w:val="ListParagraph"/>
        <w:widowControl w:val="0"/>
        <w:numPr>
          <w:ilvl w:val="1"/>
          <w:numId w:val="475"/>
        </w:numPr>
        <w:tabs>
          <w:tab w:val="left" w:pos="1352"/>
        </w:tabs>
        <w:autoSpaceDE w:val="0"/>
        <w:autoSpaceDN w:val="0"/>
        <w:spacing w:before="119" w:after="0" w:line="240" w:lineRule="auto"/>
        <w:contextualSpacing w:val="0"/>
        <w:rPr>
          <w:color w:val="70004A"/>
        </w:rPr>
      </w:pPr>
      <w:r w:rsidRPr="00D4309F">
        <w:rPr>
          <w:color w:val="211E1F"/>
        </w:rPr>
        <w:t>Limited</w:t>
      </w:r>
      <w:r w:rsidRPr="00D4309F">
        <w:rPr>
          <w:color w:val="211E1F"/>
          <w:spacing w:val="-4"/>
        </w:rPr>
        <w:t xml:space="preserve"> </w:t>
      </w:r>
      <w:r w:rsidRPr="00D4309F">
        <w:rPr>
          <w:color w:val="211E1F"/>
        </w:rPr>
        <w:t>by</w:t>
      </w:r>
      <w:r w:rsidRPr="00D4309F">
        <w:rPr>
          <w:color w:val="211E1F"/>
          <w:spacing w:val="-3"/>
        </w:rPr>
        <w:t xml:space="preserve"> </w:t>
      </w:r>
      <w:r w:rsidRPr="00D4309F">
        <w:rPr>
          <w:color w:val="211E1F"/>
        </w:rPr>
        <w:t>waves</w:t>
      </w:r>
      <w:r w:rsidRPr="00D4309F">
        <w:rPr>
          <w:color w:val="211E1F"/>
          <w:spacing w:val="-2"/>
        </w:rPr>
        <w:t xml:space="preserve"> </w:t>
      </w:r>
      <w:r w:rsidRPr="00D4309F">
        <w:rPr>
          <w:color w:val="211E1F"/>
        </w:rPr>
        <w:t>and</w:t>
      </w:r>
      <w:r w:rsidRPr="00D4309F">
        <w:rPr>
          <w:color w:val="211E1F"/>
          <w:spacing w:val="-4"/>
        </w:rPr>
        <w:t xml:space="preserve"> </w:t>
      </w:r>
      <w:r w:rsidRPr="00D4309F">
        <w:rPr>
          <w:color w:val="211E1F"/>
        </w:rPr>
        <w:t>cloud</w:t>
      </w:r>
      <w:r w:rsidRPr="00D4309F">
        <w:rPr>
          <w:color w:val="211E1F"/>
          <w:spacing w:val="-3"/>
        </w:rPr>
        <w:t xml:space="preserve"> </w:t>
      </w:r>
      <w:r w:rsidRPr="00D4309F">
        <w:rPr>
          <w:color w:val="211E1F"/>
          <w:spacing w:val="-2"/>
        </w:rPr>
        <w:t>conditions.</w:t>
      </w:r>
    </w:p>
    <w:p w14:paraId="68503205" w14:textId="77777777" w:rsidR="00725977" w:rsidRPr="00D4309F" w:rsidRDefault="00725977" w:rsidP="00D27F26">
      <w:pPr>
        <w:pStyle w:val="ListParagraph"/>
        <w:widowControl w:val="0"/>
        <w:numPr>
          <w:ilvl w:val="1"/>
          <w:numId w:val="475"/>
        </w:numPr>
        <w:tabs>
          <w:tab w:val="left" w:pos="1351"/>
        </w:tabs>
        <w:autoSpaceDE w:val="0"/>
        <w:autoSpaceDN w:val="0"/>
        <w:spacing w:before="121" w:after="0" w:line="240" w:lineRule="auto"/>
        <w:ind w:right="825"/>
        <w:contextualSpacing w:val="0"/>
        <w:rPr>
          <w:color w:val="70004A"/>
        </w:rPr>
      </w:pPr>
      <w:r w:rsidRPr="00D4309F">
        <w:rPr>
          <w:color w:val="211E1F"/>
        </w:rPr>
        <w:t>MSQ</w:t>
      </w:r>
      <w:r w:rsidRPr="00D4309F">
        <w:rPr>
          <w:color w:val="211E1F"/>
          <w:spacing w:val="-2"/>
        </w:rPr>
        <w:t xml:space="preserve"> </w:t>
      </w:r>
      <w:r w:rsidRPr="00D4309F">
        <w:rPr>
          <w:color w:val="211E1F"/>
        </w:rPr>
        <w:t>have</w:t>
      </w:r>
      <w:r w:rsidRPr="00D4309F">
        <w:rPr>
          <w:color w:val="211E1F"/>
          <w:spacing w:val="-2"/>
        </w:rPr>
        <w:t xml:space="preserve"> </w:t>
      </w:r>
      <w:r w:rsidRPr="00D4309F">
        <w:rPr>
          <w:color w:val="211E1F"/>
        </w:rPr>
        <w:t>advised</w:t>
      </w:r>
      <w:r w:rsidRPr="00D4309F">
        <w:rPr>
          <w:color w:val="211E1F"/>
          <w:spacing w:val="-2"/>
        </w:rPr>
        <w:t xml:space="preserve"> </w:t>
      </w:r>
      <w:r w:rsidRPr="00D4309F">
        <w:rPr>
          <w:color w:val="211E1F"/>
        </w:rPr>
        <w:t>that</w:t>
      </w:r>
      <w:r w:rsidRPr="00D4309F">
        <w:rPr>
          <w:color w:val="211E1F"/>
          <w:spacing w:val="-2"/>
        </w:rPr>
        <w:t xml:space="preserve"> </w:t>
      </w:r>
      <w:r w:rsidRPr="00D4309F">
        <w:rPr>
          <w:color w:val="211E1F"/>
        </w:rPr>
        <w:t>processing</w:t>
      </w:r>
      <w:r w:rsidRPr="00D4309F">
        <w:rPr>
          <w:color w:val="211E1F"/>
          <w:spacing w:val="-2"/>
        </w:rPr>
        <w:t xml:space="preserve"> </w:t>
      </w:r>
      <w:r w:rsidRPr="00D4309F">
        <w:rPr>
          <w:color w:val="211E1F"/>
        </w:rPr>
        <w:t>and</w:t>
      </w:r>
      <w:r w:rsidRPr="00D4309F">
        <w:rPr>
          <w:color w:val="211E1F"/>
          <w:spacing w:val="-2"/>
        </w:rPr>
        <w:t xml:space="preserve"> </w:t>
      </w:r>
      <w:r w:rsidRPr="00D4309F">
        <w:rPr>
          <w:color w:val="211E1F"/>
        </w:rPr>
        <w:t>delivery</w:t>
      </w:r>
      <w:r w:rsidRPr="00D4309F">
        <w:rPr>
          <w:color w:val="211E1F"/>
          <w:spacing w:val="-1"/>
        </w:rPr>
        <w:t xml:space="preserve"> </w:t>
      </w:r>
      <w:r w:rsidRPr="00D4309F">
        <w:rPr>
          <w:color w:val="211E1F"/>
        </w:rPr>
        <w:t>times</w:t>
      </w:r>
      <w:r w:rsidRPr="00D4309F">
        <w:rPr>
          <w:color w:val="211E1F"/>
          <w:spacing w:val="-2"/>
        </w:rPr>
        <w:t xml:space="preserve"> </w:t>
      </w:r>
      <w:r w:rsidRPr="00D4309F">
        <w:rPr>
          <w:color w:val="211E1F"/>
        </w:rPr>
        <w:t>for</w:t>
      </w:r>
      <w:r w:rsidRPr="00D4309F">
        <w:rPr>
          <w:color w:val="211E1F"/>
          <w:spacing w:val="-1"/>
        </w:rPr>
        <w:t xml:space="preserve"> </w:t>
      </w:r>
      <w:r w:rsidRPr="00D4309F">
        <w:rPr>
          <w:color w:val="211E1F"/>
        </w:rPr>
        <w:t>SDB</w:t>
      </w:r>
      <w:r w:rsidRPr="00D4309F">
        <w:rPr>
          <w:color w:val="211E1F"/>
          <w:spacing w:val="-2"/>
        </w:rPr>
        <w:t xml:space="preserve"> </w:t>
      </w:r>
      <w:r w:rsidRPr="00D4309F">
        <w:rPr>
          <w:color w:val="211E1F"/>
        </w:rPr>
        <w:t>may</w:t>
      </w:r>
      <w:r w:rsidRPr="00D4309F">
        <w:rPr>
          <w:color w:val="211E1F"/>
          <w:spacing w:val="-2"/>
        </w:rPr>
        <w:t xml:space="preserve"> </w:t>
      </w:r>
      <w:r w:rsidRPr="00D4309F">
        <w:rPr>
          <w:color w:val="211E1F"/>
        </w:rPr>
        <w:t>be</w:t>
      </w:r>
      <w:r w:rsidRPr="00D4309F">
        <w:rPr>
          <w:color w:val="211E1F"/>
          <w:spacing w:val="-2"/>
        </w:rPr>
        <w:t xml:space="preserve"> </w:t>
      </w:r>
      <w:r w:rsidRPr="00D4309F">
        <w:rPr>
          <w:color w:val="211E1F"/>
        </w:rPr>
        <w:t>too</w:t>
      </w:r>
      <w:r w:rsidRPr="00D4309F">
        <w:rPr>
          <w:color w:val="211E1F"/>
          <w:spacing w:val="-2"/>
        </w:rPr>
        <w:t xml:space="preserve"> </w:t>
      </w:r>
      <w:r w:rsidRPr="00D4309F">
        <w:rPr>
          <w:color w:val="211E1F"/>
        </w:rPr>
        <w:t>long</w:t>
      </w:r>
      <w:r w:rsidRPr="00D4309F">
        <w:rPr>
          <w:color w:val="211E1F"/>
          <w:spacing w:val="-2"/>
        </w:rPr>
        <w:t xml:space="preserve"> </w:t>
      </w:r>
      <w:r w:rsidRPr="00D4309F">
        <w:rPr>
          <w:color w:val="211E1F"/>
        </w:rPr>
        <w:t>to</w:t>
      </w:r>
      <w:r w:rsidRPr="00D4309F">
        <w:rPr>
          <w:color w:val="211E1F"/>
          <w:spacing w:val="-2"/>
        </w:rPr>
        <w:t xml:space="preserve"> </w:t>
      </w:r>
      <w:r w:rsidRPr="00D4309F">
        <w:rPr>
          <w:color w:val="211E1F"/>
        </w:rPr>
        <w:t>be</w:t>
      </w:r>
      <w:r w:rsidRPr="00D4309F">
        <w:rPr>
          <w:color w:val="211E1F"/>
          <w:spacing w:val="-2"/>
        </w:rPr>
        <w:t xml:space="preserve"> </w:t>
      </w:r>
      <w:r w:rsidRPr="00D4309F">
        <w:rPr>
          <w:color w:val="211E1F"/>
        </w:rPr>
        <w:t>effective</w:t>
      </w:r>
      <w:r w:rsidRPr="00D4309F">
        <w:rPr>
          <w:color w:val="211E1F"/>
          <w:spacing w:val="-3"/>
        </w:rPr>
        <w:t xml:space="preserve"> </w:t>
      </w:r>
      <w:r w:rsidRPr="00D4309F">
        <w:rPr>
          <w:color w:val="211E1F"/>
        </w:rPr>
        <w:t>for improving shoal monitoring. Therefore, SDB may be more practical to use if hydrographic survey cannot be undertaken.</w:t>
      </w:r>
    </w:p>
    <w:p w14:paraId="679BC6E0" w14:textId="77777777" w:rsidR="00725977" w:rsidRPr="00D4309F" w:rsidRDefault="00725977" w:rsidP="00D27F26">
      <w:pPr>
        <w:pStyle w:val="ListParagraph"/>
        <w:widowControl w:val="0"/>
        <w:numPr>
          <w:ilvl w:val="0"/>
          <w:numId w:val="475"/>
        </w:numPr>
        <w:tabs>
          <w:tab w:val="left" w:pos="925"/>
        </w:tabs>
        <w:autoSpaceDE w:val="0"/>
        <w:autoSpaceDN w:val="0"/>
        <w:spacing w:after="0" w:line="240" w:lineRule="auto"/>
        <w:contextualSpacing w:val="0"/>
      </w:pPr>
      <w:r w:rsidRPr="00D4309F">
        <w:rPr>
          <w:color w:val="211E1F"/>
        </w:rPr>
        <w:t>Continue</w:t>
      </w:r>
      <w:r w:rsidRPr="00D4309F">
        <w:rPr>
          <w:color w:val="211E1F"/>
          <w:spacing w:val="-6"/>
        </w:rPr>
        <w:t xml:space="preserve"> </w:t>
      </w:r>
      <w:r w:rsidRPr="00D4309F">
        <w:rPr>
          <w:color w:val="211E1F"/>
        </w:rPr>
        <w:t>with</w:t>
      </w:r>
      <w:r w:rsidRPr="00D4309F">
        <w:rPr>
          <w:color w:val="211E1F"/>
          <w:spacing w:val="-5"/>
        </w:rPr>
        <w:t xml:space="preserve"> </w:t>
      </w:r>
      <w:r w:rsidRPr="00D4309F">
        <w:rPr>
          <w:color w:val="211E1F"/>
        </w:rPr>
        <w:t>Drone</w:t>
      </w:r>
      <w:r w:rsidRPr="00D4309F">
        <w:rPr>
          <w:color w:val="211E1F"/>
          <w:spacing w:val="-4"/>
        </w:rPr>
        <w:t xml:space="preserve"> </w:t>
      </w:r>
      <w:r w:rsidRPr="00D4309F">
        <w:rPr>
          <w:color w:val="211E1F"/>
        </w:rPr>
        <w:t>Monitoring</w:t>
      </w:r>
      <w:r w:rsidRPr="00D4309F">
        <w:rPr>
          <w:color w:val="211E1F"/>
          <w:spacing w:val="-4"/>
        </w:rPr>
        <w:t xml:space="preserve"> </w:t>
      </w:r>
      <w:r w:rsidRPr="00D4309F">
        <w:rPr>
          <w:color w:val="211E1F"/>
        </w:rPr>
        <w:t>pilot</w:t>
      </w:r>
      <w:r w:rsidRPr="00D4309F">
        <w:rPr>
          <w:color w:val="211E1F"/>
          <w:spacing w:val="-4"/>
        </w:rPr>
        <w:t xml:space="preserve"> </w:t>
      </w:r>
      <w:r w:rsidRPr="00D4309F">
        <w:rPr>
          <w:color w:val="211E1F"/>
        </w:rPr>
        <w:t>program</w:t>
      </w:r>
      <w:r w:rsidRPr="00D4309F">
        <w:rPr>
          <w:color w:val="211E1F"/>
          <w:spacing w:val="-4"/>
        </w:rPr>
        <w:t xml:space="preserve"> </w:t>
      </w:r>
      <w:r w:rsidRPr="00D4309F">
        <w:rPr>
          <w:color w:val="211E1F"/>
        </w:rPr>
        <w:t>to</w:t>
      </w:r>
      <w:r w:rsidRPr="00D4309F">
        <w:rPr>
          <w:color w:val="211E1F"/>
          <w:spacing w:val="-4"/>
        </w:rPr>
        <w:t xml:space="preserve"> </w:t>
      </w:r>
      <w:r w:rsidRPr="00D4309F">
        <w:rPr>
          <w:color w:val="211E1F"/>
        </w:rPr>
        <w:t>visually</w:t>
      </w:r>
      <w:r w:rsidRPr="00D4309F">
        <w:rPr>
          <w:color w:val="211E1F"/>
          <w:spacing w:val="-3"/>
        </w:rPr>
        <w:t xml:space="preserve"> </w:t>
      </w:r>
      <w:r w:rsidRPr="00D4309F">
        <w:rPr>
          <w:color w:val="211E1F"/>
        </w:rPr>
        <w:t>track</w:t>
      </w:r>
      <w:r w:rsidRPr="00D4309F">
        <w:rPr>
          <w:color w:val="211E1F"/>
          <w:spacing w:val="-4"/>
        </w:rPr>
        <w:t xml:space="preserve"> </w:t>
      </w:r>
      <w:r w:rsidRPr="00D4309F">
        <w:rPr>
          <w:color w:val="211E1F"/>
        </w:rPr>
        <w:t>sand</w:t>
      </w:r>
      <w:r w:rsidRPr="00D4309F">
        <w:rPr>
          <w:color w:val="211E1F"/>
          <w:spacing w:val="-4"/>
        </w:rPr>
        <w:t xml:space="preserve"> </w:t>
      </w:r>
      <w:r w:rsidRPr="00D4309F">
        <w:rPr>
          <w:color w:val="211E1F"/>
          <w:spacing w:val="-2"/>
        </w:rPr>
        <w:t>movement.</w:t>
      </w:r>
    </w:p>
    <w:p w14:paraId="5E297024" w14:textId="77777777" w:rsidR="00725977" w:rsidRPr="00D4309F" w:rsidRDefault="00725977" w:rsidP="00D27F26">
      <w:pPr>
        <w:pStyle w:val="ListParagraph"/>
        <w:widowControl w:val="0"/>
        <w:numPr>
          <w:ilvl w:val="1"/>
          <w:numId w:val="475"/>
        </w:numPr>
        <w:tabs>
          <w:tab w:val="left" w:pos="1351"/>
        </w:tabs>
        <w:autoSpaceDE w:val="0"/>
        <w:autoSpaceDN w:val="0"/>
        <w:spacing w:before="119" w:after="0" w:line="240" w:lineRule="auto"/>
        <w:ind w:right="814"/>
        <w:contextualSpacing w:val="0"/>
        <w:rPr>
          <w:color w:val="70004A"/>
        </w:rPr>
      </w:pPr>
      <w:r w:rsidRPr="00D4309F">
        <w:rPr>
          <w:color w:val="211E1F"/>
        </w:rPr>
        <w:t>Provides</w:t>
      </w:r>
      <w:r w:rsidRPr="00D4309F">
        <w:rPr>
          <w:color w:val="211E1F"/>
          <w:spacing w:val="-3"/>
        </w:rPr>
        <w:t xml:space="preserve"> </w:t>
      </w:r>
      <w:r w:rsidRPr="00D4309F">
        <w:rPr>
          <w:color w:val="211E1F"/>
        </w:rPr>
        <w:t>frequent</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high-resolution</w:t>
      </w:r>
      <w:r w:rsidRPr="00D4309F">
        <w:rPr>
          <w:color w:val="211E1F"/>
          <w:spacing w:val="-3"/>
        </w:rPr>
        <w:t xml:space="preserve"> </w:t>
      </w:r>
      <w:r w:rsidRPr="00D4309F">
        <w:rPr>
          <w:color w:val="211E1F"/>
        </w:rPr>
        <w:t>imagery</w:t>
      </w:r>
      <w:r w:rsidRPr="00D4309F">
        <w:rPr>
          <w:color w:val="211E1F"/>
          <w:spacing w:val="-3"/>
        </w:rPr>
        <w:t xml:space="preserve"> </w:t>
      </w:r>
      <w:r w:rsidRPr="00D4309F">
        <w:rPr>
          <w:color w:val="211E1F"/>
        </w:rPr>
        <w:t>to</w:t>
      </w:r>
      <w:r w:rsidRPr="00D4309F">
        <w:rPr>
          <w:color w:val="211E1F"/>
          <w:spacing w:val="-3"/>
        </w:rPr>
        <w:t xml:space="preserve"> </w:t>
      </w:r>
      <w:r w:rsidRPr="00D4309F">
        <w:rPr>
          <w:color w:val="211E1F"/>
        </w:rPr>
        <w:t>visually</w:t>
      </w:r>
      <w:r w:rsidRPr="00D4309F">
        <w:rPr>
          <w:color w:val="211E1F"/>
          <w:spacing w:val="-3"/>
        </w:rPr>
        <w:t xml:space="preserve"> </w:t>
      </w:r>
      <w:r w:rsidRPr="00D4309F">
        <w:rPr>
          <w:color w:val="211E1F"/>
        </w:rPr>
        <w:t>track</w:t>
      </w:r>
      <w:r w:rsidRPr="00D4309F">
        <w:rPr>
          <w:color w:val="211E1F"/>
          <w:spacing w:val="-3"/>
        </w:rPr>
        <w:t xml:space="preserve"> </w:t>
      </w:r>
      <w:r w:rsidRPr="00D4309F">
        <w:rPr>
          <w:color w:val="211E1F"/>
        </w:rPr>
        <w:t>sand</w:t>
      </w:r>
      <w:r w:rsidRPr="00D4309F">
        <w:rPr>
          <w:color w:val="211E1F"/>
          <w:spacing w:val="-3"/>
        </w:rPr>
        <w:t xml:space="preserve"> </w:t>
      </w:r>
      <w:r w:rsidRPr="00D4309F">
        <w:rPr>
          <w:color w:val="211E1F"/>
        </w:rPr>
        <w:t>shoal</w:t>
      </w:r>
      <w:r w:rsidRPr="00D4309F">
        <w:rPr>
          <w:color w:val="211E1F"/>
          <w:spacing w:val="-3"/>
        </w:rPr>
        <w:t xml:space="preserve"> </w:t>
      </w:r>
      <w:r w:rsidRPr="00D4309F">
        <w:rPr>
          <w:color w:val="211E1F"/>
        </w:rPr>
        <w:t>locations</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 xml:space="preserve">entrance </w:t>
      </w:r>
      <w:r w:rsidRPr="00D4309F">
        <w:rPr>
          <w:color w:val="211E1F"/>
          <w:spacing w:val="-2"/>
        </w:rPr>
        <w:t>conditions.</w:t>
      </w:r>
    </w:p>
    <w:p w14:paraId="76BFFD13" w14:textId="77777777" w:rsidR="00725977" w:rsidRPr="00D4309F" w:rsidRDefault="00725977" w:rsidP="00D27F26">
      <w:pPr>
        <w:pStyle w:val="ListParagraph"/>
        <w:widowControl w:val="0"/>
        <w:numPr>
          <w:ilvl w:val="0"/>
          <w:numId w:val="475"/>
        </w:numPr>
        <w:tabs>
          <w:tab w:val="left" w:pos="924"/>
          <w:tab w:val="left" w:pos="926"/>
        </w:tabs>
        <w:autoSpaceDE w:val="0"/>
        <w:autoSpaceDN w:val="0"/>
        <w:spacing w:before="121" w:after="0" w:line="240" w:lineRule="auto"/>
        <w:ind w:right="1295"/>
        <w:contextualSpacing w:val="0"/>
      </w:pPr>
      <w:r w:rsidRPr="00D4309F">
        <w:rPr>
          <w:color w:val="211E1F"/>
        </w:rPr>
        <w:t>Consider</w:t>
      </w:r>
      <w:r w:rsidRPr="00D4309F">
        <w:rPr>
          <w:color w:val="211E1F"/>
          <w:spacing w:val="-2"/>
        </w:rPr>
        <w:t xml:space="preserve"> </w:t>
      </w:r>
      <w:r w:rsidRPr="00D4309F">
        <w:rPr>
          <w:color w:val="211E1F"/>
        </w:rPr>
        <w:t>installation</w:t>
      </w:r>
      <w:r w:rsidRPr="00D4309F">
        <w:rPr>
          <w:color w:val="211E1F"/>
          <w:spacing w:val="-3"/>
        </w:rPr>
        <w:t xml:space="preserve"> </w:t>
      </w:r>
      <w:r w:rsidRPr="00D4309F">
        <w:rPr>
          <w:color w:val="211E1F"/>
        </w:rPr>
        <w:t>of</w:t>
      </w:r>
      <w:r w:rsidRPr="00D4309F">
        <w:rPr>
          <w:color w:val="211E1F"/>
          <w:spacing w:val="-4"/>
        </w:rPr>
        <w:t xml:space="preserve"> </w:t>
      </w:r>
      <w:r w:rsidRPr="00D4309F">
        <w:rPr>
          <w:color w:val="211E1F"/>
        </w:rPr>
        <w:t>Surfline</w:t>
      </w:r>
      <w:r w:rsidRPr="00D4309F">
        <w:rPr>
          <w:color w:val="211E1F"/>
          <w:spacing w:val="-3"/>
        </w:rPr>
        <w:t xml:space="preserve"> </w:t>
      </w:r>
      <w:r w:rsidRPr="00D4309F">
        <w:rPr>
          <w:color w:val="211E1F"/>
        </w:rPr>
        <w:t>Coastal</w:t>
      </w:r>
      <w:r w:rsidRPr="00D4309F">
        <w:rPr>
          <w:color w:val="211E1F"/>
          <w:spacing w:val="-3"/>
        </w:rPr>
        <w:t xml:space="preserve"> </w:t>
      </w:r>
      <w:r w:rsidRPr="00D4309F">
        <w:rPr>
          <w:color w:val="211E1F"/>
        </w:rPr>
        <w:t>Intelligence</w:t>
      </w:r>
      <w:r w:rsidRPr="00D4309F">
        <w:rPr>
          <w:color w:val="211E1F"/>
          <w:spacing w:val="-4"/>
        </w:rPr>
        <w:t xml:space="preserve"> </w:t>
      </w:r>
      <w:r w:rsidRPr="00D4309F">
        <w:rPr>
          <w:color w:val="211E1F"/>
        </w:rPr>
        <w:t>system</w:t>
      </w:r>
      <w:r w:rsidRPr="00D4309F">
        <w:rPr>
          <w:color w:val="211E1F"/>
          <w:spacing w:val="-3"/>
        </w:rPr>
        <w:t xml:space="preserve"> </w:t>
      </w:r>
      <w:r w:rsidRPr="00D4309F">
        <w:rPr>
          <w:color w:val="211E1F"/>
        </w:rPr>
        <w:t>to</w:t>
      </w:r>
      <w:r w:rsidRPr="00D4309F">
        <w:rPr>
          <w:color w:val="211E1F"/>
          <w:spacing w:val="-3"/>
        </w:rPr>
        <w:t xml:space="preserve"> </w:t>
      </w:r>
      <w:r w:rsidRPr="00D4309F">
        <w:rPr>
          <w:color w:val="211E1F"/>
        </w:rPr>
        <w:t>provide</w:t>
      </w:r>
      <w:r w:rsidRPr="00D4309F">
        <w:rPr>
          <w:color w:val="211E1F"/>
          <w:spacing w:val="-3"/>
        </w:rPr>
        <w:t xml:space="preserve"> </w:t>
      </w:r>
      <w:r w:rsidRPr="00D4309F">
        <w:rPr>
          <w:color w:val="211E1F"/>
        </w:rPr>
        <w:t>real-time</w:t>
      </w:r>
      <w:r w:rsidRPr="00D4309F">
        <w:rPr>
          <w:color w:val="211E1F"/>
          <w:spacing w:val="-3"/>
        </w:rPr>
        <w:t xml:space="preserve"> </w:t>
      </w:r>
      <w:r w:rsidRPr="00D4309F">
        <w:rPr>
          <w:color w:val="211E1F"/>
        </w:rPr>
        <w:t>analysis</w:t>
      </w:r>
      <w:r w:rsidRPr="00D4309F">
        <w:rPr>
          <w:color w:val="211E1F"/>
          <w:spacing w:val="-2"/>
        </w:rPr>
        <w:t xml:space="preserve"> </w:t>
      </w:r>
      <w:r w:rsidRPr="00D4309F">
        <w:rPr>
          <w:color w:val="211E1F"/>
        </w:rPr>
        <w:t>of</w:t>
      </w:r>
      <w:r w:rsidRPr="00D4309F">
        <w:rPr>
          <w:color w:val="211E1F"/>
          <w:spacing w:val="-3"/>
        </w:rPr>
        <w:t xml:space="preserve"> </w:t>
      </w:r>
      <w:r w:rsidRPr="00D4309F">
        <w:rPr>
          <w:color w:val="211E1F"/>
        </w:rPr>
        <w:t>shoal location, wave breaking and safety at the entrance.</w:t>
      </w:r>
    </w:p>
    <w:p w14:paraId="3E5CC69A" w14:textId="77777777" w:rsidR="00725977" w:rsidRPr="00D4309F" w:rsidRDefault="00725977" w:rsidP="00D27F26">
      <w:pPr>
        <w:pStyle w:val="ListParagraph"/>
        <w:widowControl w:val="0"/>
        <w:numPr>
          <w:ilvl w:val="1"/>
          <w:numId w:val="475"/>
        </w:numPr>
        <w:tabs>
          <w:tab w:val="left" w:pos="1350"/>
        </w:tabs>
        <w:autoSpaceDE w:val="0"/>
        <w:autoSpaceDN w:val="0"/>
        <w:spacing w:after="0" w:line="240" w:lineRule="auto"/>
        <w:ind w:right="1115"/>
        <w:contextualSpacing w:val="0"/>
        <w:rPr>
          <w:color w:val="70004A"/>
        </w:rPr>
      </w:pPr>
      <w:r w:rsidRPr="00D4309F">
        <w:rPr>
          <w:color w:val="211E1F"/>
        </w:rPr>
        <w:t>Rapid</w:t>
      </w:r>
      <w:r w:rsidRPr="00D4309F">
        <w:rPr>
          <w:color w:val="211E1F"/>
          <w:spacing w:val="-3"/>
        </w:rPr>
        <w:t xml:space="preserve"> </w:t>
      </w:r>
      <w:r w:rsidRPr="00D4309F">
        <w:rPr>
          <w:color w:val="211E1F"/>
        </w:rPr>
        <w:t>coastal</w:t>
      </w:r>
      <w:r w:rsidRPr="00D4309F">
        <w:rPr>
          <w:color w:val="211E1F"/>
          <w:spacing w:val="-4"/>
        </w:rPr>
        <w:t xml:space="preserve"> </w:t>
      </w:r>
      <w:r w:rsidRPr="00D4309F">
        <w:rPr>
          <w:color w:val="211E1F"/>
        </w:rPr>
        <w:t>monitoring</w:t>
      </w:r>
      <w:r w:rsidRPr="00D4309F">
        <w:rPr>
          <w:color w:val="211E1F"/>
          <w:spacing w:val="-3"/>
        </w:rPr>
        <w:t xml:space="preserve"> </w:t>
      </w:r>
      <w:r w:rsidRPr="00D4309F">
        <w:rPr>
          <w:color w:val="211E1F"/>
        </w:rPr>
        <w:t>option</w:t>
      </w:r>
      <w:r w:rsidRPr="00D4309F">
        <w:rPr>
          <w:color w:val="211E1F"/>
          <w:spacing w:val="-3"/>
        </w:rPr>
        <w:t xml:space="preserve"> </w:t>
      </w:r>
      <w:r w:rsidRPr="00D4309F">
        <w:rPr>
          <w:color w:val="211E1F"/>
        </w:rPr>
        <w:t>using</w:t>
      </w:r>
      <w:r w:rsidRPr="00D4309F">
        <w:rPr>
          <w:color w:val="211E1F"/>
          <w:spacing w:val="-3"/>
        </w:rPr>
        <w:t xml:space="preserve"> </w:t>
      </w:r>
      <w:r w:rsidRPr="00D4309F">
        <w:rPr>
          <w:color w:val="211E1F"/>
        </w:rPr>
        <w:t>CCTV</w:t>
      </w:r>
      <w:r w:rsidRPr="00D4309F">
        <w:rPr>
          <w:color w:val="211E1F"/>
          <w:spacing w:val="-3"/>
        </w:rPr>
        <w:t xml:space="preserve"> </w:t>
      </w:r>
      <w:r w:rsidRPr="00D4309F">
        <w:rPr>
          <w:color w:val="211E1F"/>
        </w:rPr>
        <w:t>feeds.</w:t>
      </w:r>
      <w:r w:rsidRPr="00D4309F">
        <w:rPr>
          <w:color w:val="211E1F"/>
          <w:spacing w:val="-4"/>
        </w:rPr>
        <w:t xml:space="preserve"> </w:t>
      </w:r>
      <w:r w:rsidRPr="00D4309F">
        <w:rPr>
          <w:color w:val="211E1F"/>
        </w:rPr>
        <w:t>24</w:t>
      </w:r>
      <w:r w:rsidRPr="00D4309F">
        <w:rPr>
          <w:color w:val="211E1F"/>
          <w:spacing w:val="-3"/>
        </w:rPr>
        <w:t xml:space="preserve"> </w:t>
      </w:r>
      <w:r w:rsidRPr="00D4309F">
        <w:rPr>
          <w:color w:val="211E1F"/>
        </w:rPr>
        <w:t>Hz</w:t>
      </w:r>
      <w:r w:rsidRPr="00D4309F">
        <w:rPr>
          <w:color w:val="211E1F"/>
          <w:spacing w:val="-3"/>
        </w:rPr>
        <w:t xml:space="preserve"> </w:t>
      </w:r>
      <w:r w:rsidRPr="00D4309F">
        <w:rPr>
          <w:color w:val="211E1F"/>
        </w:rPr>
        <w:t>video</w:t>
      </w:r>
      <w:r w:rsidRPr="00D4309F">
        <w:rPr>
          <w:color w:val="211E1F"/>
          <w:spacing w:val="-3"/>
        </w:rPr>
        <w:t xml:space="preserve"> </w:t>
      </w:r>
      <w:r w:rsidRPr="00D4309F">
        <w:rPr>
          <w:color w:val="211E1F"/>
        </w:rPr>
        <w:t>capture,</w:t>
      </w:r>
      <w:r w:rsidRPr="00D4309F">
        <w:rPr>
          <w:color w:val="211E1F"/>
          <w:spacing w:val="-3"/>
        </w:rPr>
        <w:t xml:space="preserve"> </w:t>
      </w:r>
      <w:r w:rsidRPr="00D4309F">
        <w:rPr>
          <w:color w:val="211E1F"/>
        </w:rPr>
        <w:t>which</w:t>
      </w:r>
      <w:r w:rsidRPr="00D4309F">
        <w:rPr>
          <w:color w:val="211E1F"/>
          <w:spacing w:val="-3"/>
        </w:rPr>
        <w:t xml:space="preserve"> </w:t>
      </w:r>
      <w:r w:rsidRPr="00D4309F">
        <w:rPr>
          <w:color w:val="211E1F"/>
        </w:rPr>
        <w:t>is</w:t>
      </w:r>
      <w:r w:rsidRPr="00D4309F">
        <w:rPr>
          <w:color w:val="211E1F"/>
          <w:spacing w:val="-2"/>
        </w:rPr>
        <w:t xml:space="preserve"> </w:t>
      </w:r>
      <w:r w:rsidRPr="00D4309F">
        <w:rPr>
          <w:color w:val="211E1F"/>
        </w:rPr>
        <w:t>a</w:t>
      </w:r>
      <w:r w:rsidRPr="00D4309F">
        <w:rPr>
          <w:color w:val="211E1F"/>
          <w:spacing w:val="-3"/>
        </w:rPr>
        <w:t xml:space="preserve"> </w:t>
      </w:r>
      <w:r w:rsidRPr="00D4309F">
        <w:rPr>
          <w:color w:val="211E1F"/>
        </w:rPr>
        <w:t>significant improvement in data capture compared to the existing 15-minute interval snapshot.</w:t>
      </w:r>
    </w:p>
    <w:p w14:paraId="083BCFCD" w14:textId="77777777" w:rsidR="00725977" w:rsidRPr="00D4309F" w:rsidRDefault="00725977" w:rsidP="00D27F26">
      <w:pPr>
        <w:pStyle w:val="ListParagraph"/>
        <w:widowControl w:val="0"/>
        <w:numPr>
          <w:ilvl w:val="1"/>
          <w:numId w:val="475"/>
        </w:numPr>
        <w:tabs>
          <w:tab w:val="left" w:pos="1350"/>
        </w:tabs>
        <w:autoSpaceDE w:val="0"/>
        <w:autoSpaceDN w:val="0"/>
        <w:spacing w:before="121" w:after="0" w:line="240" w:lineRule="auto"/>
        <w:contextualSpacing w:val="0"/>
        <w:rPr>
          <w:color w:val="70004A"/>
        </w:rPr>
      </w:pPr>
      <w:r w:rsidRPr="00D4309F">
        <w:rPr>
          <w:color w:val="211E1F"/>
        </w:rPr>
        <w:t>Cloud-based</w:t>
      </w:r>
      <w:r w:rsidRPr="00D4309F">
        <w:rPr>
          <w:color w:val="211E1F"/>
          <w:spacing w:val="-8"/>
        </w:rPr>
        <w:t xml:space="preserve"> </w:t>
      </w:r>
      <w:r w:rsidRPr="00D4309F">
        <w:rPr>
          <w:color w:val="211E1F"/>
        </w:rPr>
        <w:t>dashboard</w:t>
      </w:r>
      <w:r w:rsidRPr="00D4309F">
        <w:rPr>
          <w:color w:val="211E1F"/>
          <w:spacing w:val="-4"/>
        </w:rPr>
        <w:t xml:space="preserve"> </w:t>
      </w:r>
      <w:r w:rsidRPr="00D4309F">
        <w:rPr>
          <w:color w:val="211E1F"/>
        </w:rPr>
        <w:t>that</w:t>
      </w:r>
      <w:r w:rsidRPr="00D4309F">
        <w:rPr>
          <w:color w:val="211E1F"/>
          <w:spacing w:val="-4"/>
        </w:rPr>
        <w:t xml:space="preserve"> </w:t>
      </w:r>
      <w:r w:rsidRPr="00D4309F">
        <w:rPr>
          <w:color w:val="211E1F"/>
        </w:rPr>
        <w:t>provides</w:t>
      </w:r>
      <w:r w:rsidRPr="00D4309F">
        <w:rPr>
          <w:color w:val="211E1F"/>
          <w:spacing w:val="-3"/>
        </w:rPr>
        <w:t xml:space="preserve"> </w:t>
      </w:r>
      <w:r w:rsidRPr="00D4309F">
        <w:rPr>
          <w:color w:val="211E1F"/>
        </w:rPr>
        <w:t>live</w:t>
      </w:r>
      <w:r w:rsidRPr="00D4309F">
        <w:rPr>
          <w:color w:val="211E1F"/>
          <w:spacing w:val="-4"/>
        </w:rPr>
        <w:t xml:space="preserve"> </w:t>
      </w:r>
      <w:r w:rsidRPr="00D4309F">
        <w:rPr>
          <w:color w:val="211E1F"/>
        </w:rPr>
        <w:t>video,</w:t>
      </w:r>
      <w:r w:rsidRPr="00D4309F">
        <w:rPr>
          <w:color w:val="211E1F"/>
          <w:spacing w:val="-4"/>
        </w:rPr>
        <w:t xml:space="preserve"> </w:t>
      </w:r>
      <w:r w:rsidRPr="00D4309F">
        <w:rPr>
          <w:color w:val="211E1F"/>
        </w:rPr>
        <w:t>data</w:t>
      </w:r>
      <w:r w:rsidRPr="00D4309F">
        <w:rPr>
          <w:color w:val="211E1F"/>
          <w:spacing w:val="-4"/>
        </w:rPr>
        <w:t xml:space="preserve"> </w:t>
      </w:r>
      <w:r w:rsidRPr="00D4309F">
        <w:rPr>
          <w:color w:val="211E1F"/>
        </w:rPr>
        <w:t>visualisation</w:t>
      </w:r>
      <w:r w:rsidRPr="00D4309F">
        <w:rPr>
          <w:color w:val="211E1F"/>
          <w:spacing w:val="-5"/>
        </w:rPr>
        <w:t xml:space="preserve"> </w:t>
      </w:r>
      <w:r w:rsidRPr="00D4309F">
        <w:rPr>
          <w:color w:val="211E1F"/>
        </w:rPr>
        <w:t>and</w:t>
      </w:r>
      <w:r w:rsidRPr="00D4309F">
        <w:rPr>
          <w:color w:val="211E1F"/>
          <w:spacing w:val="-4"/>
        </w:rPr>
        <w:t xml:space="preserve"> </w:t>
      </w:r>
      <w:r w:rsidRPr="00D4309F">
        <w:rPr>
          <w:color w:val="211E1F"/>
        </w:rPr>
        <w:t>historical</w:t>
      </w:r>
      <w:r w:rsidRPr="00D4309F">
        <w:rPr>
          <w:color w:val="211E1F"/>
          <w:spacing w:val="-5"/>
        </w:rPr>
        <w:t xml:space="preserve"> </w:t>
      </w:r>
      <w:r w:rsidRPr="00D4309F">
        <w:rPr>
          <w:color w:val="211E1F"/>
        </w:rPr>
        <w:t>data</w:t>
      </w:r>
      <w:r w:rsidRPr="00D4309F">
        <w:rPr>
          <w:color w:val="211E1F"/>
          <w:spacing w:val="-4"/>
        </w:rPr>
        <w:t xml:space="preserve"> </w:t>
      </w:r>
      <w:r w:rsidRPr="00D4309F">
        <w:rPr>
          <w:color w:val="211E1F"/>
        </w:rPr>
        <w:t>for</w:t>
      </w:r>
      <w:r w:rsidRPr="00D4309F">
        <w:rPr>
          <w:color w:val="211E1F"/>
          <w:spacing w:val="-3"/>
        </w:rPr>
        <w:t xml:space="preserve"> </w:t>
      </w:r>
      <w:r w:rsidRPr="00D4309F">
        <w:rPr>
          <w:color w:val="211E1F"/>
          <w:spacing w:val="-2"/>
        </w:rPr>
        <w:t>analysis.</w:t>
      </w:r>
    </w:p>
    <w:p w14:paraId="799F9461" w14:textId="77777777" w:rsidR="00725977" w:rsidRPr="00D4309F" w:rsidRDefault="00725977" w:rsidP="00D27F26">
      <w:pPr>
        <w:pStyle w:val="ListParagraph"/>
        <w:widowControl w:val="0"/>
        <w:numPr>
          <w:ilvl w:val="1"/>
          <w:numId w:val="475"/>
        </w:numPr>
        <w:tabs>
          <w:tab w:val="left" w:pos="1350"/>
        </w:tabs>
        <w:autoSpaceDE w:val="0"/>
        <w:autoSpaceDN w:val="0"/>
        <w:spacing w:before="119" w:after="0" w:line="240" w:lineRule="auto"/>
        <w:ind w:right="747"/>
        <w:contextualSpacing w:val="0"/>
        <w:rPr>
          <w:color w:val="70004A"/>
        </w:rPr>
      </w:pPr>
      <w:r w:rsidRPr="00D4309F">
        <w:rPr>
          <w:color w:val="211E1F"/>
        </w:rPr>
        <w:t>Operates</w:t>
      </w:r>
      <w:r w:rsidRPr="00D4309F">
        <w:rPr>
          <w:color w:val="211E1F"/>
          <w:spacing w:val="-2"/>
        </w:rPr>
        <w:t xml:space="preserve"> </w:t>
      </w:r>
      <w:r w:rsidRPr="00D4309F">
        <w:rPr>
          <w:color w:val="211E1F"/>
        </w:rPr>
        <w:t>during</w:t>
      </w:r>
      <w:r w:rsidRPr="00D4309F">
        <w:rPr>
          <w:color w:val="211E1F"/>
          <w:spacing w:val="-3"/>
        </w:rPr>
        <w:t xml:space="preserve"> </w:t>
      </w:r>
      <w:r w:rsidRPr="00D4309F">
        <w:rPr>
          <w:color w:val="211E1F"/>
        </w:rPr>
        <w:t>high</w:t>
      </w:r>
      <w:r w:rsidRPr="00D4309F">
        <w:rPr>
          <w:color w:val="211E1F"/>
          <w:spacing w:val="-4"/>
        </w:rPr>
        <w:t xml:space="preserve"> </w:t>
      </w:r>
      <w:r w:rsidRPr="00D4309F">
        <w:rPr>
          <w:color w:val="211E1F"/>
        </w:rPr>
        <w:t>wave</w:t>
      </w:r>
      <w:r w:rsidRPr="00D4309F">
        <w:rPr>
          <w:color w:val="211E1F"/>
          <w:spacing w:val="-4"/>
        </w:rPr>
        <w:t xml:space="preserve"> </w:t>
      </w:r>
      <w:r w:rsidRPr="00D4309F">
        <w:rPr>
          <w:color w:val="211E1F"/>
        </w:rPr>
        <w:t>energy</w:t>
      </w:r>
      <w:r w:rsidRPr="00D4309F">
        <w:rPr>
          <w:color w:val="211E1F"/>
          <w:spacing w:val="-2"/>
        </w:rPr>
        <w:t xml:space="preserve"> </w:t>
      </w:r>
      <w:r w:rsidRPr="00D4309F">
        <w:rPr>
          <w:color w:val="211E1F"/>
        </w:rPr>
        <w:t>conditions</w:t>
      </w:r>
      <w:r w:rsidRPr="00D4309F">
        <w:rPr>
          <w:color w:val="211E1F"/>
          <w:spacing w:val="-2"/>
        </w:rPr>
        <w:t xml:space="preserve"> </w:t>
      </w:r>
      <w:r w:rsidRPr="00D4309F">
        <w:rPr>
          <w:color w:val="211E1F"/>
        </w:rPr>
        <w:t>to</w:t>
      </w:r>
      <w:r w:rsidRPr="00D4309F">
        <w:rPr>
          <w:color w:val="211E1F"/>
          <w:spacing w:val="-3"/>
        </w:rPr>
        <w:t xml:space="preserve"> </w:t>
      </w:r>
      <w:r w:rsidRPr="00D4309F">
        <w:rPr>
          <w:color w:val="211E1F"/>
        </w:rPr>
        <w:t>provide</w:t>
      </w:r>
      <w:r w:rsidRPr="00D4309F">
        <w:rPr>
          <w:color w:val="211E1F"/>
          <w:spacing w:val="-3"/>
        </w:rPr>
        <w:t xml:space="preserve"> </w:t>
      </w:r>
      <w:r w:rsidRPr="00D4309F">
        <w:rPr>
          <w:color w:val="211E1F"/>
        </w:rPr>
        <w:t>inferred</w:t>
      </w:r>
      <w:r w:rsidRPr="00D4309F">
        <w:rPr>
          <w:color w:val="211E1F"/>
          <w:spacing w:val="-3"/>
        </w:rPr>
        <w:t xml:space="preserve"> </w:t>
      </w:r>
      <w:r w:rsidRPr="00D4309F">
        <w:rPr>
          <w:color w:val="211E1F"/>
        </w:rPr>
        <w:t>bathymetric</w:t>
      </w:r>
      <w:r w:rsidRPr="00D4309F">
        <w:rPr>
          <w:color w:val="211E1F"/>
          <w:spacing w:val="-2"/>
        </w:rPr>
        <w:t xml:space="preserve"> </w:t>
      </w:r>
      <w:r w:rsidRPr="00D4309F">
        <w:rPr>
          <w:color w:val="211E1F"/>
        </w:rPr>
        <w:t>data</w:t>
      </w:r>
      <w:r w:rsidRPr="00D4309F">
        <w:rPr>
          <w:color w:val="211E1F"/>
          <w:spacing w:val="-3"/>
        </w:rPr>
        <w:t xml:space="preserve"> </w:t>
      </w:r>
      <w:r w:rsidRPr="00D4309F">
        <w:rPr>
          <w:color w:val="211E1F"/>
        </w:rPr>
        <w:t>when</w:t>
      </w:r>
      <w:r w:rsidRPr="00D4309F">
        <w:rPr>
          <w:color w:val="211E1F"/>
          <w:spacing w:val="-3"/>
        </w:rPr>
        <w:t xml:space="preserve"> </w:t>
      </w:r>
      <w:r w:rsidRPr="00D4309F">
        <w:rPr>
          <w:color w:val="211E1F"/>
        </w:rPr>
        <w:t>traditional survey methods aren’t possible.</w:t>
      </w:r>
    </w:p>
    <w:p w14:paraId="7A0C542E" w14:textId="77777777" w:rsidR="00725977" w:rsidRPr="00D4309F" w:rsidRDefault="00725977" w:rsidP="00D27F26">
      <w:pPr>
        <w:pStyle w:val="ListParagraph"/>
        <w:keepLines/>
        <w:widowControl w:val="0"/>
        <w:numPr>
          <w:ilvl w:val="1"/>
          <w:numId w:val="475"/>
        </w:numPr>
        <w:tabs>
          <w:tab w:val="left" w:pos="1349"/>
        </w:tabs>
        <w:autoSpaceDE w:val="0"/>
        <w:autoSpaceDN w:val="0"/>
        <w:spacing w:after="0" w:line="240" w:lineRule="auto"/>
        <w:ind w:right="572"/>
        <w:contextualSpacing w:val="0"/>
        <w:rPr>
          <w:color w:val="70004A"/>
        </w:rPr>
      </w:pPr>
      <w:r w:rsidRPr="00D4309F">
        <w:rPr>
          <w:color w:val="211E1F"/>
        </w:rPr>
        <w:t>Implemented</w:t>
      </w:r>
      <w:r w:rsidRPr="00D4309F">
        <w:rPr>
          <w:color w:val="211E1F"/>
          <w:spacing w:val="-3"/>
        </w:rPr>
        <w:t xml:space="preserve"> </w:t>
      </w:r>
      <w:r w:rsidRPr="00D4309F">
        <w:rPr>
          <w:color w:val="211E1F"/>
        </w:rPr>
        <w:t>in</w:t>
      </w:r>
      <w:r w:rsidRPr="00D4309F">
        <w:rPr>
          <w:color w:val="211E1F"/>
          <w:spacing w:val="-3"/>
        </w:rPr>
        <w:t xml:space="preserve"> </w:t>
      </w:r>
      <w:r w:rsidRPr="00D4309F">
        <w:rPr>
          <w:color w:val="211E1F"/>
        </w:rPr>
        <w:t>conjunction</w:t>
      </w:r>
      <w:r w:rsidRPr="00D4309F">
        <w:rPr>
          <w:color w:val="211E1F"/>
          <w:spacing w:val="-4"/>
        </w:rPr>
        <w:t xml:space="preserve"> </w:t>
      </w:r>
      <w:r w:rsidRPr="00D4309F">
        <w:rPr>
          <w:color w:val="211E1F"/>
        </w:rPr>
        <w:t>with</w:t>
      </w:r>
      <w:r w:rsidRPr="00D4309F">
        <w:rPr>
          <w:color w:val="211E1F"/>
          <w:spacing w:val="-3"/>
        </w:rPr>
        <w:t xml:space="preserve"> </w:t>
      </w:r>
      <w:r w:rsidRPr="00D4309F">
        <w:rPr>
          <w:color w:val="211E1F"/>
        </w:rPr>
        <w:t>existing</w:t>
      </w:r>
      <w:r w:rsidRPr="00D4309F">
        <w:rPr>
          <w:color w:val="211E1F"/>
          <w:spacing w:val="-4"/>
        </w:rPr>
        <w:t xml:space="preserve"> </w:t>
      </w:r>
      <w:r w:rsidRPr="00D4309F">
        <w:rPr>
          <w:color w:val="211E1F"/>
        </w:rPr>
        <w:t>monitoring</w:t>
      </w:r>
      <w:r w:rsidRPr="00D4309F">
        <w:rPr>
          <w:color w:val="211E1F"/>
          <w:spacing w:val="-3"/>
        </w:rPr>
        <w:t xml:space="preserve"> </w:t>
      </w:r>
      <w:r w:rsidRPr="00D4309F">
        <w:rPr>
          <w:color w:val="211E1F"/>
        </w:rPr>
        <w:t>methods</w:t>
      </w:r>
      <w:r w:rsidRPr="00D4309F">
        <w:rPr>
          <w:color w:val="211E1F"/>
          <w:spacing w:val="-2"/>
        </w:rPr>
        <w:t xml:space="preserve"> </w:t>
      </w:r>
      <w:r w:rsidRPr="00D4309F">
        <w:rPr>
          <w:color w:val="211E1F"/>
        </w:rPr>
        <w:t>to</w:t>
      </w:r>
      <w:r w:rsidRPr="00D4309F">
        <w:rPr>
          <w:color w:val="211E1F"/>
          <w:spacing w:val="-3"/>
        </w:rPr>
        <w:t xml:space="preserve"> </w:t>
      </w:r>
      <w:r w:rsidRPr="00D4309F">
        <w:rPr>
          <w:color w:val="211E1F"/>
        </w:rPr>
        <w:t>improve</w:t>
      </w:r>
      <w:r w:rsidRPr="00D4309F">
        <w:rPr>
          <w:color w:val="211E1F"/>
          <w:spacing w:val="-4"/>
        </w:rPr>
        <w:t xml:space="preserve"> </w:t>
      </w:r>
      <w:r w:rsidRPr="00D4309F">
        <w:rPr>
          <w:color w:val="211E1F"/>
        </w:rPr>
        <w:t>tracking</w:t>
      </w:r>
      <w:r w:rsidRPr="00D4309F">
        <w:rPr>
          <w:color w:val="211E1F"/>
          <w:spacing w:val="-4"/>
        </w:rPr>
        <w:t xml:space="preserve"> </w:t>
      </w:r>
      <w:r w:rsidRPr="00D4309F">
        <w:rPr>
          <w:color w:val="211E1F"/>
        </w:rPr>
        <w:t>and</w:t>
      </w:r>
      <w:r w:rsidRPr="00D4309F">
        <w:rPr>
          <w:color w:val="211E1F"/>
          <w:spacing w:val="-3"/>
        </w:rPr>
        <w:t xml:space="preserve"> </w:t>
      </w:r>
      <w:r w:rsidRPr="00D4309F">
        <w:rPr>
          <w:color w:val="211E1F"/>
        </w:rPr>
        <w:t>understanding of shoaling events and provide practical data to entrance users.</w:t>
      </w:r>
    </w:p>
    <w:p w14:paraId="46066E28" w14:textId="77777777" w:rsidR="00725977" w:rsidRPr="00D4309F" w:rsidRDefault="00725977" w:rsidP="00725977">
      <w:pPr>
        <w:pStyle w:val="BodyText"/>
      </w:pPr>
    </w:p>
    <w:p w14:paraId="7FBCE1B3" w14:textId="77777777" w:rsidR="00725977" w:rsidRPr="00D4309F" w:rsidRDefault="00725977" w:rsidP="00725977">
      <w:pPr>
        <w:pStyle w:val="Heading4"/>
      </w:pPr>
      <w:r w:rsidRPr="00D4309F">
        <w:lastRenderedPageBreak/>
        <w:t>Surfline</w:t>
      </w:r>
      <w:r w:rsidRPr="00D4309F">
        <w:rPr>
          <w:spacing w:val="-6"/>
        </w:rPr>
        <w:t xml:space="preserve"> </w:t>
      </w:r>
      <w:r w:rsidRPr="00D4309F">
        <w:t>coastal</w:t>
      </w:r>
      <w:r w:rsidRPr="00D4309F">
        <w:rPr>
          <w:spacing w:val="-4"/>
        </w:rPr>
        <w:t xml:space="preserve"> </w:t>
      </w:r>
      <w:r w:rsidRPr="00D4309F">
        <w:rPr>
          <w:spacing w:val="-2"/>
        </w:rPr>
        <w:t>intelligence</w:t>
      </w:r>
    </w:p>
    <w:p w14:paraId="0C2B82D2" w14:textId="77777777" w:rsidR="00725977" w:rsidRPr="00D4309F" w:rsidRDefault="00725977" w:rsidP="00725977">
      <w:pPr>
        <w:pStyle w:val="BodyText"/>
      </w:pPr>
      <w:r w:rsidRPr="00D4309F">
        <w:t>The Surfline Coastal Intelligence system uses standard CCTV camera feeds to provide detailed and near real-time data on shoaling at the entrance, wave breaking conditions and safety at the entrance. The services</w:t>
      </w:r>
      <w:r w:rsidRPr="00D4309F">
        <w:rPr>
          <w:spacing w:val="-2"/>
        </w:rPr>
        <w:t xml:space="preserve"> </w:t>
      </w:r>
      <w:r w:rsidRPr="00D4309F">
        <w:t>are</w:t>
      </w:r>
      <w:r w:rsidRPr="00D4309F">
        <w:rPr>
          <w:spacing w:val="-3"/>
        </w:rPr>
        <w:t xml:space="preserve"> </w:t>
      </w:r>
      <w:r w:rsidRPr="00D4309F">
        <w:t>provided</w:t>
      </w:r>
      <w:r w:rsidRPr="00D4309F">
        <w:rPr>
          <w:spacing w:val="-3"/>
        </w:rPr>
        <w:t xml:space="preserve"> </w:t>
      </w:r>
      <w:r w:rsidRPr="00D4309F">
        <w:t>through</w:t>
      </w:r>
      <w:r w:rsidRPr="00D4309F">
        <w:rPr>
          <w:spacing w:val="-3"/>
        </w:rPr>
        <w:t xml:space="preserve"> </w:t>
      </w:r>
      <w:r w:rsidRPr="00D4309F">
        <w:t>a</w:t>
      </w:r>
      <w:r w:rsidRPr="00D4309F">
        <w:rPr>
          <w:spacing w:val="-3"/>
        </w:rPr>
        <w:t xml:space="preserve"> </w:t>
      </w:r>
      <w:r w:rsidRPr="00D4309F">
        <w:t>cloud-based</w:t>
      </w:r>
      <w:r w:rsidRPr="00D4309F">
        <w:rPr>
          <w:spacing w:val="-3"/>
        </w:rPr>
        <w:t xml:space="preserve"> </w:t>
      </w:r>
      <w:r w:rsidRPr="00D4309F">
        <w:t>dashboard</w:t>
      </w:r>
      <w:r w:rsidRPr="00D4309F">
        <w:rPr>
          <w:spacing w:val="-3"/>
        </w:rPr>
        <w:t xml:space="preserve"> </w:t>
      </w:r>
      <w:r w:rsidRPr="00D4309F">
        <w:t>that</w:t>
      </w:r>
      <w:r w:rsidRPr="00D4309F">
        <w:rPr>
          <w:spacing w:val="-3"/>
        </w:rPr>
        <w:t xml:space="preserve"> </w:t>
      </w:r>
      <w:r w:rsidRPr="00D4309F">
        <w:t>provides</w:t>
      </w:r>
      <w:r w:rsidRPr="00D4309F">
        <w:rPr>
          <w:spacing w:val="-2"/>
        </w:rPr>
        <w:t xml:space="preserve"> </w:t>
      </w:r>
      <w:r w:rsidRPr="00D4309F">
        <w:t>live</w:t>
      </w:r>
      <w:r w:rsidRPr="00D4309F">
        <w:rPr>
          <w:spacing w:val="-3"/>
        </w:rPr>
        <w:t xml:space="preserve"> </w:t>
      </w:r>
      <w:r w:rsidRPr="00D4309F">
        <w:t>video,</w:t>
      </w:r>
      <w:r w:rsidRPr="00D4309F">
        <w:rPr>
          <w:spacing w:val="-3"/>
        </w:rPr>
        <w:t xml:space="preserve"> </w:t>
      </w:r>
      <w:r w:rsidRPr="00D4309F">
        <w:t>inferred</w:t>
      </w:r>
      <w:r w:rsidRPr="00D4309F">
        <w:rPr>
          <w:spacing w:val="-3"/>
        </w:rPr>
        <w:t xml:space="preserve"> </w:t>
      </w:r>
      <w:r w:rsidRPr="00D4309F">
        <w:t>bathymetry,</w:t>
      </w:r>
      <w:r w:rsidRPr="00D4309F">
        <w:rPr>
          <w:spacing w:val="-3"/>
        </w:rPr>
        <w:t xml:space="preserve"> </w:t>
      </w:r>
      <w:r w:rsidRPr="00D4309F">
        <w:t>data visualisations and historical information for analysis and reporting.</w:t>
      </w:r>
    </w:p>
    <w:p w14:paraId="215BF48F" w14:textId="447487BB" w:rsidR="00725977" w:rsidRDefault="00725977" w:rsidP="00CE4DBC">
      <w:pPr>
        <w:pStyle w:val="BodyText"/>
        <w:jc w:val="center"/>
      </w:pPr>
      <w:r w:rsidRPr="00D4309F">
        <w:rPr>
          <w:noProof/>
        </w:rPr>
        <w:drawing>
          <wp:inline distT="0" distB="0" distL="0" distR="0" wp14:anchorId="32C3A71C" wp14:editId="0E7D4C87">
            <wp:extent cx="4065555" cy="3874770"/>
            <wp:effectExtent l="0" t="0" r="0" b="0"/>
            <wp:docPr id="65" name="Image 65" descr="Image of the Snapper Rocks Water Depth on 31 August 2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descr="Image of the Snapper Rocks Water Depth on 31 August 2025"/>
                    <pic:cNvPicPr/>
                  </pic:nvPicPr>
                  <pic:blipFill>
                    <a:blip r:embed="rId55" cstate="print"/>
                    <a:stretch>
                      <a:fillRect/>
                    </a:stretch>
                  </pic:blipFill>
                  <pic:spPr>
                    <a:xfrm>
                      <a:off x="0" y="0"/>
                      <a:ext cx="4065555" cy="3874770"/>
                    </a:xfrm>
                    <a:prstGeom prst="rect">
                      <a:avLst/>
                    </a:prstGeom>
                  </pic:spPr>
                </pic:pic>
              </a:graphicData>
            </a:graphic>
          </wp:inline>
        </w:drawing>
      </w:r>
      <w:r w:rsidR="00CE4DBC">
        <w:rPr>
          <w:noProof/>
        </w:rPr>
        <w:drawing>
          <wp:inline distT="0" distB="0" distL="0" distR="0" wp14:anchorId="036ADD71" wp14:editId="3796CAF0">
            <wp:extent cx="5114925" cy="2828925"/>
            <wp:effectExtent l="0" t="0" r="9525" b="9525"/>
            <wp:docPr id="1228949801" name="Picture 1" descr="Image of Snapper Rocks looking from the beach out toward the ocean. There is an overlay image that shows an example of SCI inferred bathymetry and shoreline change at Snapper Rocks following TC-Alf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49801" name="Picture 1" descr="Image of Snapper Rocks looking from the beach out toward the ocean. There is an overlay image that shows an example of SCI inferred bathymetry and shoreline change at Snapper Rocks following TC-Alfr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14925" cy="2828925"/>
                    </a:xfrm>
                    <a:prstGeom prst="rect">
                      <a:avLst/>
                    </a:prstGeom>
                    <a:noFill/>
                  </pic:spPr>
                </pic:pic>
              </a:graphicData>
            </a:graphic>
          </wp:inline>
        </w:drawing>
      </w:r>
    </w:p>
    <w:p w14:paraId="60E902F5" w14:textId="10225979" w:rsidR="00725977" w:rsidRDefault="005906AD" w:rsidP="00F06E88">
      <w:pPr>
        <w:pStyle w:val="Caption"/>
        <w:jc w:val="center"/>
      </w:pPr>
      <w:bookmarkStart w:id="156" w:name="_Toc216699603"/>
      <w:r>
        <w:t xml:space="preserve">Figure </w:t>
      </w:r>
      <w:r w:rsidR="00B538D4">
        <w:fldChar w:fldCharType="begin" w:fldLock="1"/>
      </w:r>
      <w:r w:rsidR="00B538D4">
        <w:instrText xml:space="preserve"> STYLEREF 1 \s </w:instrText>
      </w:r>
      <w:r w:rsidR="00B538D4">
        <w:fldChar w:fldCharType="separate"/>
      </w:r>
      <w:r w:rsidR="00B538D4">
        <w:rPr>
          <w:noProof/>
        </w:rPr>
        <w:t>10</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1</w:t>
      </w:r>
      <w:r w:rsidR="00B538D4">
        <w:fldChar w:fldCharType="end"/>
      </w:r>
      <w:r>
        <w:t>:</w:t>
      </w:r>
      <w:r>
        <w:tab/>
      </w:r>
      <w:r w:rsidRPr="00D4309F">
        <w:rPr>
          <w:color w:val="211E1F"/>
        </w:rPr>
        <w:t>Example</w:t>
      </w:r>
      <w:r w:rsidRPr="00D4309F">
        <w:rPr>
          <w:color w:val="211E1F"/>
          <w:spacing w:val="-3"/>
        </w:rPr>
        <w:t xml:space="preserve"> </w:t>
      </w:r>
      <w:r w:rsidRPr="00D4309F">
        <w:rPr>
          <w:color w:val="211E1F"/>
        </w:rPr>
        <w:t>of</w:t>
      </w:r>
      <w:r w:rsidRPr="00D4309F">
        <w:rPr>
          <w:color w:val="211E1F"/>
          <w:spacing w:val="-2"/>
        </w:rPr>
        <w:t xml:space="preserve"> </w:t>
      </w:r>
      <w:r w:rsidRPr="00D4309F">
        <w:rPr>
          <w:color w:val="211E1F"/>
        </w:rPr>
        <w:t>SCI</w:t>
      </w:r>
      <w:r w:rsidRPr="00D4309F">
        <w:rPr>
          <w:color w:val="211E1F"/>
          <w:spacing w:val="-2"/>
        </w:rPr>
        <w:t xml:space="preserve"> </w:t>
      </w:r>
      <w:r w:rsidRPr="00D4309F">
        <w:rPr>
          <w:color w:val="211E1F"/>
        </w:rPr>
        <w:t>inferred</w:t>
      </w:r>
      <w:r w:rsidRPr="00D4309F">
        <w:rPr>
          <w:color w:val="211E1F"/>
          <w:spacing w:val="-2"/>
        </w:rPr>
        <w:t xml:space="preserve"> </w:t>
      </w:r>
      <w:r w:rsidRPr="00D4309F">
        <w:rPr>
          <w:color w:val="211E1F"/>
        </w:rPr>
        <w:t>bathymetry</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shoreline</w:t>
      </w:r>
      <w:r w:rsidRPr="00D4309F">
        <w:rPr>
          <w:color w:val="211E1F"/>
          <w:spacing w:val="-3"/>
        </w:rPr>
        <w:t xml:space="preserve"> </w:t>
      </w:r>
      <w:r w:rsidRPr="00D4309F">
        <w:rPr>
          <w:color w:val="211E1F"/>
        </w:rPr>
        <w:t>change</w:t>
      </w:r>
      <w:r w:rsidRPr="00D4309F">
        <w:rPr>
          <w:color w:val="211E1F"/>
          <w:spacing w:val="-3"/>
        </w:rPr>
        <w:t xml:space="preserve"> </w:t>
      </w:r>
      <w:r w:rsidRPr="00D4309F">
        <w:rPr>
          <w:color w:val="211E1F"/>
        </w:rPr>
        <w:t>at</w:t>
      </w:r>
      <w:r w:rsidRPr="00D4309F">
        <w:rPr>
          <w:color w:val="211E1F"/>
          <w:spacing w:val="-2"/>
        </w:rPr>
        <w:t xml:space="preserve"> </w:t>
      </w:r>
      <w:r w:rsidRPr="00D4309F">
        <w:rPr>
          <w:color w:val="211E1F"/>
        </w:rPr>
        <w:t>Snapper</w:t>
      </w:r>
      <w:r w:rsidRPr="00D4309F">
        <w:rPr>
          <w:color w:val="211E1F"/>
          <w:spacing w:val="-3"/>
        </w:rPr>
        <w:t xml:space="preserve"> </w:t>
      </w:r>
      <w:r w:rsidRPr="00D4309F">
        <w:rPr>
          <w:color w:val="211E1F"/>
        </w:rPr>
        <w:t>Rocks</w:t>
      </w:r>
      <w:r w:rsidRPr="00D4309F">
        <w:rPr>
          <w:color w:val="211E1F"/>
          <w:spacing w:val="-3"/>
        </w:rPr>
        <w:t xml:space="preserve"> </w:t>
      </w:r>
      <w:r w:rsidRPr="00D4309F">
        <w:rPr>
          <w:color w:val="211E1F"/>
        </w:rPr>
        <w:t>following</w:t>
      </w:r>
      <w:r w:rsidRPr="00D4309F">
        <w:rPr>
          <w:color w:val="211E1F"/>
          <w:spacing w:val="-3"/>
        </w:rPr>
        <w:t xml:space="preserve"> </w:t>
      </w:r>
      <w:r w:rsidRPr="00D4309F">
        <w:rPr>
          <w:color w:val="211E1F"/>
        </w:rPr>
        <w:t>TC-</w:t>
      </w:r>
      <w:r w:rsidRPr="00D4309F">
        <w:rPr>
          <w:color w:val="211E1F"/>
          <w:spacing w:val="-2"/>
        </w:rPr>
        <w:t>Alfred</w:t>
      </w:r>
      <w:bookmarkStart w:id="157" w:name="_bookmark66"/>
      <w:bookmarkEnd w:id="156"/>
      <w:bookmarkEnd w:id="157"/>
    </w:p>
    <w:p w14:paraId="2B071282" w14:textId="77777777" w:rsidR="00CE4DBC" w:rsidRPr="00CE4DBC" w:rsidRDefault="00CE4DBC" w:rsidP="00CE4DBC">
      <w:pPr>
        <w:pStyle w:val="BodyText"/>
        <w:sectPr w:rsidR="00CE4DBC" w:rsidRPr="00CE4DBC" w:rsidSect="00A8441C">
          <w:pgSz w:w="11910" w:h="16840"/>
          <w:pgMar w:top="1418" w:right="1134" w:bottom="1418" w:left="1134" w:header="916" w:footer="1147" w:gutter="0"/>
          <w:cols w:space="720"/>
          <w:docGrid w:linePitch="272"/>
        </w:sectPr>
      </w:pPr>
    </w:p>
    <w:p w14:paraId="495DD087" w14:textId="77777777" w:rsidR="00725977" w:rsidRPr="00D4309F" w:rsidRDefault="00725977" w:rsidP="00725977">
      <w:pPr>
        <w:pStyle w:val="BodyText"/>
      </w:pPr>
    </w:p>
    <w:p w14:paraId="46A9B6BB" w14:textId="77777777" w:rsidR="00CF0FF9" w:rsidRDefault="00725977" w:rsidP="00CF0FF9">
      <w:pPr>
        <w:jc w:val="center"/>
      </w:pPr>
      <w:r w:rsidRPr="00D4309F">
        <w:rPr>
          <w:noProof/>
        </w:rPr>
        <w:drawing>
          <wp:inline distT="0" distB="0" distL="0" distR="0" wp14:anchorId="4A0DFFBA" wp14:editId="2036EA9C">
            <wp:extent cx="5929020" cy="2904363"/>
            <wp:effectExtent l="0" t="0" r="0" b="0"/>
            <wp:docPr id="932377642" name="Image 67" descr="Image is a screenshot on a computer that shows an example of cloud-based dashboard that provides live video feed, data visualisations and report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2377642" name="Image 67" descr="Image is a screenshot on a computer that shows an example of cloud-based dashboard that provides live video feed, data visualisations and reporting"/>
                    <pic:cNvPicPr/>
                  </pic:nvPicPr>
                  <pic:blipFill>
                    <a:blip r:embed="rId57" cstate="print"/>
                    <a:stretch>
                      <a:fillRect/>
                    </a:stretch>
                  </pic:blipFill>
                  <pic:spPr>
                    <a:xfrm>
                      <a:off x="0" y="0"/>
                      <a:ext cx="5929020" cy="2904363"/>
                    </a:xfrm>
                    <a:prstGeom prst="rect">
                      <a:avLst/>
                    </a:prstGeom>
                  </pic:spPr>
                </pic:pic>
              </a:graphicData>
            </a:graphic>
          </wp:inline>
        </w:drawing>
      </w:r>
    </w:p>
    <w:p w14:paraId="2F15B9F0" w14:textId="767F3C3F" w:rsidR="00725977" w:rsidRPr="00D4309F" w:rsidRDefault="00CF0FF9" w:rsidP="00CF0FF9">
      <w:pPr>
        <w:pStyle w:val="Caption"/>
        <w:jc w:val="center"/>
      </w:pPr>
      <w:bookmarkStart w:id="158" w:name="_Toc216699604"/>
      <w:r>
        <w:t xml:space="preserve">Figure </w:t>
      </w:r>
      <w:r w:rsidR="00B538D4">
        <w:fldChar w:fldCharType="begin" w:fldLock="1"/>
      </w:r>
      <w:r w:rsidR="00B538D4">
        <w:instrText xml:space="preserve"> STYLEREF 1 \s </w:instrText>
      </w:r>
      <w:r w:rsidR="00B538D4">
        <w:fldChar w:fldCharType="separate"/>
      </w:r>
      <w:r w:rsidR="00B538D4">
        <w:rPr>
          <w:noProof/>
        </w:rPr>
        <w:t>10</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2</w:t>
      </w:r>
      <w:r w:rsidR="00B538D4">
        <w:fldChar w:fldCharType="end"/>
      </w:r>
      <w:r>
        <w:t>:</w:t>
      </w:r>
      <w:r>
        <w:tab/>
      </w:r>
      <w:r w:rsidRPr="00D4309F">
        <w:rPr>
          <w:color w:val="211E1F"/>
        </w:rPr>
        <w:t>Example</w:t>
      </w:r>
      <w:r w:rsidRPr="00D4309F">
        <w:rPr>
          <w:color w:val="211E1F"/>
          <w:spacing w:val="-3"/>
        </w:rPr>
        <w:t xml:space="preserve"> </w:t>
      </w:r>
      <w:r w:rsidRPr="00D4309F">
        <w:rPr>
          <w:color w:val="211E1F"/>
        </w:rPr>
        <w:t>of</w:t>
      </w:r>
      <w:r w:rsidRPr="00D4309F">
        <w:rPr>
          <w:color w:val="211E1F"/>
          <w:spacing w:val="-2"/>
        </w:rPr>
        <w:t xml:space="preserve"> </w:t>
      </w:r>
      <w:r w:rsidRPr="00D4309F">
        <w:rPr>
          <w:color w:val="211E1F"/>
        </w:rPr>
        <w:t>cloud-based</w:t>
      </w:r>
      <w:r w:rsidRPr="00D4309F">
        <w:rPr>
          <w:color w:val="211E1F"/>
          <w:spacing w:val="-2"/>
        </w:rPr>
        <w:t xml:space="preserve"> </w:t>
      </w:r>
      <w:r w:rsidRPr="00D4309F">
        <w:rPr>
          <w:color w:val="211E1F"/>
        </w:rPr>
        <w:t>dashboard</w:t>
      </w:r>
      <w:r w:rsidRPr="00D4309F">
        <w:rPr>
          <w:color w:val="211E1F"/>
          <w:spacing w:val="-2"/>
        </w:rPr>
        <w:t xml:space="preserve"> </w:t>
      </w:r>
      <w:r w:rsidRPr="00D4309F">
        <w:rPr>
          <w:color w:val="211E1F"/>
        </w:rPr>
        <w:t>that</w:t>
      </w:r>
      <w:r w:rsidRPr="00D4309F">
        <w:rPr>
          <w:color w:val="211E1F"/>
          <w:spacing w:val="-3"/>
        </w:rPr>
        <w:t xml:space="preserve"> </w:t>
      </w:r>
      <w:r w:rsidRPr="00D4309F">
        <w:rPr>
          <w:color w:val="211E1F"/>
        </w:rPr>
        <w:t>provides</w:t>
      </w:r>
      <w:r w:rsidRPr="00D4309F">
        <w:rPr>
          <w:color w:val="211E1F"/>
          <w:spacing w:val="-4"/>
        </w:rPr>
        <w:t xml:space="preserve"> </w:t>
      </w:r>
      <w:r w:rsidRPr="00D4309F">
        <w:rPr>
          <w:color w:val="211E1F"/>
        </w:rPr>
        <w:t>live</w:t>
      </w:r>
      <w:r w:rsidRPr="00D4309F">
        <w:rPr>
          <w:color w:val="211E1F"/>
          <w:spacing w:val="-4"/>
        </w:rPr>
        <w:t xml:space="preserve"> </w:t>
      </w:r>
      <w:r w:rsidRPr="00D4309F">
        <w:rPr>
          <w:color w:val="211E1F"/>
        </w:rPr>
        <w:t>video</w:t>
      </w:r>
      <w:r w:rsidRPr="00D4309F">
        <w:rPr>
          <w:color w:val="211E1F"/>
          <w:spacing w:val="-3"/>
        </w:rPr>
        <w:t xml:space="preserve"> </w:t>
      </w:r>
      <w:r w:rsidRPr="00D4309F">
        <w:rPr>
          <w:color w:val="211E1F"/>
        </w:rPr>
        <w:t>feed,</w:t>
      </w:r>
      <w:r w:rsidRPr="00D4309F">
        <w:rPr>
          <w:color w:val="211E1F"/>
          <w:spacing w:val="-2"/>
        </w:rPr>
        <w:t xml:space="preserve"> </w:t>
      </w:r>
      <w:r w:rsidRPr="00D4309F">
        <w:rPr>
          <w:color w:val="211E1F"/>
        </w:rPr>
        <w:t>data</w:t>
      </w:r>
      <w:r w:rsidRPr="00D4309F">
        <w:rPr>
          <w:color w:val="211E1F"/>
          <w:spacing w:val="-3"/>
        </w:rPr>
        <w:t xml:space="preserve"> </w:t>
      </w:r>
      <w:r w:rsidRPr="00D4309F">
        <w:rPr>
          <w:color w:val="211E1F"/>
        </w:rPr>
        <w:t>visualisations</w:t>
      </w:r>
      <w:r w:rsidRPr="00D4309F">
        <w:rPr>
          <w:color w:val="211E1F"/>
          <w:spacing w:val="-3"/>
        </w:rPr>
        <w:t xml:space="preserve"> </w:t>
      </w:r>
      <w:r w:rsidRPr="00D4309F">
        <w:rPr>
          <w:color w:val="211E1F"/>
        </w:rPr>
        <w:t>and</w:t>
      </w:r>
      <w:r w:rsidRPr="00D4309F">
        <w:rPr>
          <w:color w:val="211E1F"/>
          <w:spacing w:val="-2"/>
        </w:rPr>
        <w:t xml:space="preserve"> reporting</w:t>
      </w:r>
      <w:bookmarkEnd w:id="158"/>
    </w:p>
    <w:p w14:paraId="5ADE7151" w14:textId="77777777" w:rsidR="00CF0FF9" w:rsidRDefault="00CF0FF9" w:rsidP="00725977">
      <w:pPr>
        <w:pStyle w:val="BodyText"/>
      </w:pPr>
      <w:bookmarkStart w:id="159" w:name="_bookmark67"/>
      <w:bookmarkEnd w:id="159"/>
    </w:p>
    <w:p w14:paraId="42761798" w14:textId="2677BEC6" w:rsidR="00725977" w:rsidRPr="00D4309F" w:rsidRDefault="00725977" w:rsidP="00725977">
      <w:pPr>
        <w:pStyle w:val="BodyText"/>
      </w:pPr>
      <w:r w:rsidRPr="00D4309F">
        <w:t>An</w:t>
      </w:r>
      <w:r w:rsidRPr="00D4309F">
        <w:rPr>
          <w:spacing w:val="-7"/>
        </w:rPr>
        <w:t xml:space="preserve"> </w:t>
      </w:r>
      <w:r w:rsidRPr="00D4309F">
        <w:t>indicative</w:t>
      </w:r>
      <w:r w:rsidRPr="00D4309F">
        <w:rPr>
          <w:spacing w:val="-5"/>
        </w:rPr>
        <w:t xml:space="preserve"> </w:t>
      </w:r>
      <w:r w:rsidRPr="00D4309F">
        <w:t>setup</w:t>
      </w:r>
      <w:r w:rsidRPr="00D4309F">
        <w:rPr>
          <w:spacing w:val="-4"/>
        </w:rPr>
        <w:t xml:space="preserve"> </w:t>
      </w:r>
      <w:r w:rsidRPr="00D4309F">
        <w:t>(subject</w:t>
      </w:r>
      <w:r w:rsidRPr="00D4309F">
        <w:rPr>
          <w:spacing w:val="-5"/>
        </w:rPr>
        <w:t xml:space="preserve"> </w:t>
      </w:r>
      <w:r w:rsidRPr="00D4309F">
        <w:t>to</w:t>
      </w:r>
      <w:r w:rsidRPr="00D4309F">
        <w:rPr>
          <w:spacing w:val="-4"/>
        </w:rPr>
        <w:t xml:space="preserve"> </w:t>
      </w:r>
      <w:r w:rsidRPr="00D4309F">
        <w:t>further</w:t>
      </w:r>
      <w:r w:rsidRPr="00D4309F">
        <w:rPr>
          <w:spacing w:val="-3"/>
        </w:rPr>
        <w:t xml:space="preserve"> </w:t>
      </w:r>
      <w:r w:rsidRPr="00D4309F">
        <w:t>investigation)</w:t>
      </w:r>
      <w:r w:rsidRPr="00D4309F">
        <w:rPr>
          <w:spacing w:val="-4"/>
        </w:rPr>
        <w:t xml:space="preserve"> </w:t>
      </w:r>
      <w:r w:rsidRPr="00D4309F">
        <w:t>would</w:t>
      </w:r>
      <w:r w:rsidRPr="00D4309F">
        <w:rPr>
          <w:spacing w:val="-4"/>
        </w:rPr>
        <w:t xml:space="preserve"> </w:t>
      </w:r>
      <w:r w:rsidRPr="00D4309F">
        <w:t>include</w:t>
      </w:r>
      <w:r w:rsidRPr="00D4309F">
        <w:rPr>
          <w:spacing w:val="-4"/>
        </w:rPr>
        <w:t xml:space="preserve"> </w:t>
      </w:r>
      <w:r w:rsidRPr="00D4309F">
        <w:t>the</w:t>
      </w:r>
      <w:r w:rsidRPr="00D4309F">
        <w:rPr>
          <w:spacing w:val="-4"/>
        </w:rPr>
        <w:t xml:space="preserve"> </w:t>
      </w:r>
      <w:r w:rsidRPr="00D4309F">
        <w:rPr>
          <w:spacing w:val="-2"/>
        </w:rPr>
        <w:t>following:</w:t>
      </w:r>
    </w:p>
    <w:p w14:paraId="47740D24" w14:textId="77777777" w:rsidR="00725977" w:rsidRPr="00D4309F" w:rsidRDefault="00725977" w:rsidP="004426B8">
      <w:pPr>
        <w:pStyle w:val="ListBullet"/>
      </w:pPr>
      <w:r w:rsidRPr="00D4309F">
        <w:rPr>
          <w:b/>
        </w:rPr>
        <w:t>Camera</w:t>
      </w:r>
      <w:r w:rsidRPr="00D4309F">
        <w:rPr>
          <w:b/>
          <w:spacing w:val="-3"/>
        </w:rPr>
        <w:t xml:space="preserve"> </w:t>
      </w:r>
      <w:r w:rsidRPr="00D4309F">
        <w:rPr>
          <w:b/>
        </w:rPr>
        <w:t>installation:</w:t>
      </w:r>
      <w:r w:rsidRPr="00D4309F">
        <w:rPr>
          <w:b/>
          <w:spacing w:val="-3"/>
        </w:rPr>
        <w:t xml:space="preserve"> </w:t>
      </w:r>
      <w:r w:rsidRPr="00D4309F">
        <w:t>NDAA</w:t>
      </w:r>
      <w:r w:rsidRPr="00D4309F">
        <w:rPr>
          <w:spacing w:val="-3"/>
        </w:rPr>
        <w:t xml:space="preserve"> </w:t>
      </w:r>
      <w:r w:rsidRPr="00D4309F">
        <w:t>compliant</w:t>
      </w:r>
      <w:r w:rsidRPr="00D4309F">
        <w:rPr>
          <w:spacing w:val="-5"/>
        </w:rPr>
        <w:t xml:space="preserve"> </w:t>
      </w:r>
      <w:r w:rsidRPr="00D4309F">
        <w:t>PTZ</w:t>
      </w:r>
      <w:r w:rsidRPr="00D4309F">
        <w:rPr>
          <w:spacing w:val="-3"/>
        </w:rPr>
        <w:t xml:space="preserve"> </w:t>
      </w:r>
      <w:r w:rsidRPr="00D4309F">
        <w:t>camera</w:t>
      </w:r>
      <w:r w:rsidRPr="00D4309F">
        <w:rPr>
          <w:spacing w:val="-4"/>
        </w:rPr>
        <w:t xml:space="preserve"> </w:t>
      </w:r>
      <w:r w:rsidRPr="00D4309F">
        <w:t>focused</w:t>
      </w:r>
      <w:r w:rsidRPr="00D4309F">
        <w:rPr>
          <w:spacing w:val="-3"/>
        </w:rPr>
        <w:t xml:space="preserve"> </w:t>
      </w:r>
      <w:r w:rsidRPr="00D4309F">
        <w:t>on</w:t>
      </w:r>
      <w:r w:rsidRPr="00D4309F">
        <w:rPr>
          <w:spacing w:val="-3"/>
        </w:rPr>
        <w:t xml:space="preserve"> </w:t>
      </w:r>
      <w:r w:rsidRPr="00D4309F">
        <w:t>the</w:t>
      </w:r>
      <w:r w:rsidRPr="00D4309F">
        <w:rPr>
          <w:spacing w:val="-3"/>
        </w:rPr>
        <w:t xml:space="preserve"> </w:t>
      </w:r>
      <w:r w:rsidRPr="00D4309F">
        <w:t>Mooloolaba</w:t>
      </w:r>
      <w:r w:rsidRPr="00D4309F">
        <w:rPr>
          <w:spacing w:val="-4"/>
        </w:rPr>
        <w:t xml:space="preserve"> </w:t>
      </w:r>
      <w:r w:rsidRPr="00D4309F">
        <w:t>Harbour</w:t>
      </w:r>
      <w:r w:rsidRPr="00D4309F">
        <w:rPr>
          <w:spacing w:val="-2"/>
        </w:rPr>
        <w:t xml:space="preserve"> </w:t>
      </w:r>
      <w:r w:rsidRPr="00D4309F">
        <w:t>entrance (typical shoaling area) capturing video at 24 Hz.</w:t>
      </w:r>
    </w:p>
    <w:p w14:paraId="4A28FFA2" w14:textId="77777777" w:rsidR="00725977" w:rsidRPr="00D4309F" w:rsidRDefault="00725977" w:rsidP="004426B8">
      <w:pPr>
        <w:pStyle w:val="ListBullet"/>
      </w:pPr>
      <w:r w:rsidRPr="00D4309F">
        <w:rPr>
          <w:b/>
        </w:rPr>
        <w:t>Live</w:t>
      </w:r>
      <w:r w:rsidRPr="00D4309F">
        <w:rPr>
          <w:b/>
          <w:spacing w:val="-3"/>
        </w:rPr>
        <w:t xml:space="preserve"> </w:t>
      </w:r>
      <w:r w:rsidRPr="00D4309F">
        <w:rPr>
          <w:b/>
        </w:rPr>
        <w:t>video</w:t>
      </w:r>
      <w:r w:rsidRPr="00D4309F">
        <w:rPr>
          <w:b/>
          <w:spacing w:val="-3"/>
        </w:rPr>
        <w:t xml:space="preserve"> </w:t>
      </w:r>
      <w:r w:rsidRPr="00D4309F">
        <w:rPr>
          <w:b/>
        </w:rPr>
        <w:t>feed</w:t>
      </w:r>
      <w:r w:rsidRPr="00D4309F">
        <w:t>:</w:t>
      </w:r>
      <w:r w:rsidRPr="00D4309F">
        <w:rPr>
          <w:spacing w:val="-3"/>
        </w:rPr>
        <w:t xml:space="preserve"> </w:t>
      </w:r>
      <w:r w:rsidRPr="00D4309F">
        <w:t>Publicly</w:t>
      </w:r>
      <w:r w:rsidRPr="00D4309F">
        <w:rPr>
          <w:spacing w:val="-2"/>
        </w:rPr>
        <w:t xml:space="preserve"> </w:t>
      </w:r>
      <w:r w:rsidRPr="00D4309F">
        <w:t>available</w:t>
      </w:r>
      <w:r w:rsidRPr="00D4309F">
        <w:rPr>
          <w:spacing w:val="-2"/>
        </w:rPr>
        <w:t xml:space="preserve"> </w:t>
      </w:r>
      <w:r w:rsidRPr="00D4309F">
        <w:t>through</w:t>
      </w:r>
      <w:r w:rsidRPr="00D4309F">
        <w:rPr>
          <w:spacing w:val="-3"/>
        </w:rPr>
        <w:t xml:space="preserve"> </w:t>
      </w:r>
      <w:r w:rsidRPr="00D4309F">
        <w:t>MSQ</w:t>
      </w:r>
      <w:r w:rsidRPr="00D4309F">
        <w:rPr>
          <w:spacing w:val="-3"/>
        </w:rPr>
        <w:t xml:space="preserve"> </w:t>
      </w:r>
      <w:r w:rsidRPr="00D4309F">
        <w:t>website</w:t>
      </w:r>
      <w:r w:rsidRPr="00D4309F">
        <w:rPr>
          <w:spacing w:val="-3"/>
        </w:rPr>
        <w:t xml:space="preserve"> </w:t>
      </w:r>
      <w:r w:rsidRPr="00D4309F">
        <w:t>for</w:t>
      </w:r>
      <w:r w:rsidRPr="00D4309F">
        <w:rPr>
          <w:spacing w:val="-2"/>
        </w:rPr>
        <w:t xml:space="preserve"> </w:t>
      </w:r>
      <w:r w:rsidRPr="00D4309F">
        <w:t>the</w:t>
      </w:r>
      <w:r w:rsidRPr="00D4309F">
        <w:rPr>
          <w:spacing w:val="-3"/>
        </w:rPr>
        <w:t xml:space="preserve"> </w:t>
      </w:r>
      <w:r w:rsidRPr="00D4309F">
        <w:t>entrance</w:t>
      </w:r>
      <w:r w:rsidRPr="00D4309F">
        <w:rPr>
          <w:spacing w:val="-3"/>
        </w:rPr>
        <w:t xml:space="preserve"> </w:t>
      </w:r>
      <w:r w:rsidRPr="00D4309F">
        <w:t>and</w:t>
      </w:r>
      <w:r w:rsidRPr="00D4309F">
        <w:rPr>
          <w:spacing w:val="-3"/>
        </w:rPr>
        <w:t xml:space="preserve"> </w:t>
      </w:r>
      <w:r w:rsidRPr="00D4309F">
        <w:t>archived</w:t>
      </w:r>
      <w:r w:rsidRPr="00D4309F">
        <w:rPr>
          <w:spacing w:val="-3"/>
        </w:rPr>
        <w:t xml:space="preserve"> </w:t>
      </w:r>
      <w:r w:rsidRPr="00D4309F">
        <w:t>on</w:t>
      </w:r>
      <w:r w:rsidRPr="00D4309F">
        <w:rPr>
          <w:spacing w:val="-3"/>
        </w:rPr>
        <w:t xml:space="preserve"> </w:t>
      </w:r>
      <w:r w:rsidRPr="00D4309F">
        <w:t>a</w:t>
      </w:r>
      <w:r w:rsidRPr="00D4309F">
        <w:rPr>
          <w:spacing w:val="-3"/>
        </w:rPr>
        <w:t xml:space="preserve"> </w:t>
      </w:r>
      <w:r w:rsidRPr="00D4309F">
        <w:t>rolling basis for 12 months.</w:t>
      </w:r>
    </w:p>
    <w:p w14:paraId="21E3D6B9" w14:textId="77777777" w:rsidR="00725977" w:rsidRPr="00D4309F" w:rsidRDefault="00725977" w:rsidP="004426B8">
      <w:pPr>
        <w:pStyle w:val="ListBullet"/>
      </w:pPr>
      <w:r w:rsidRPr="00D4309F">
        <w:rPr>
          <w:b/>
        </w:rPr>
        <w:t>Computer</w:t>
      </w:r>
      <w:r w:rsidRPr="00D4309F">
        <w:rPr>
          <w:b/>
          <w:spacing w:val="-3"/>
        </w:rPr>
        <w:t xml:space="preserve"> </w:t>
      </w:r>
      <w:r w:rsidRPr="00D4309F">
        <w:rPr>
          <w:b/>
        </w:rPr>
        <w:t>vision</w:t>
      </w:r>
      <w:r w:rsidRPr="00D4309F">
        <w:rPr>
          <w:b/>
          <w:spacing w:val="-3"/>
        </w:rPr>
        <w:t xml:space="preserve"> </w:t>
      </w:r>
      <w:r w:rsidRPr="00D4309F">
        <w:rPr>
          <w:b/>
        </w:rPr>
        <w:t>and</w:t>
      </w:r>
      <w:r w:rsidRPr="00D4309F">
        <w:rPr>
          <w:b/>
          <w:spacing w:val="-3"/>
        </w:rPr>
        <w:t xml:space="preserve"> </w:t>
      </w:r>
      <w:r w:rsidRPr="00D4309F">
        <w:rPr>
          <w:b/>
        </w:rPr>
        <w:t>detection:</w:t>
      </w:r>
      <w:r w:rsidRPr="00D4309F">
        <w:rPr>
          <w:b/>
          <w:spacing w:val="-3"/>
        </w:rPr>
        <w:t xml:space="preserve"> </w:t>
      </w:r>
      <w:r w:rsidRPr="00D4309F">
        <w:t>Use</w:t>
      </w:r>
      <w:r w:rsidRPr="00D4309F">
        <w:rPr>
          <w:spacing w:val="-4"/>
        </w:rPr>
        <w:t xml:space="preserve"> </w:t>
      </w:r>
      <w:r w:rsidRPr="00D4309F">
        <w:t>of</w:t>
      </w:r>
      <w:r w:rsidRPr="00D4309F">
        <w:rPr>
          <w:spacing w:val="-3"/>
        </w:rPr>
        <w:t xml:space="preserve"> </w:t>
      </w:r>
      <w:r w:rsidRPr="00D4309F">
        <w:t>proprietary</w:t>
      </w:r>
      <w:r w:rsidRPr="00D4309F">
        <w:rPr>
          <w:spacing w:val="-3"/>
        </w:rPr>
        <w:t xml:space="preserve"> </w:t>
      </w:r>
      <w:r w:rsidRPr="00D4309F">
        <w:t>Surfline</w:t>
      </w:r>
      <w:r w:rsidRPr="00D4309F">
        <w:rPr>
          <w:spacing w:val="-3"/>
        </w:rPr>
        <w:t xml:space="preserve"> </w:t>
      </w:r>
      <w:r w:rsidRPr="00D4309F">
        <w:t>Coastal</w:t>
      </w:r>
      <w:r w:rsidRPr="00D4309F">
        <w:rPr>
          <w:spacing w:val="-3"/>
        </w:rPr>
        <w:t xml:space="preserve"> </w:t>
      </w:r>
      <w:r w:rsidRPr="00D4309F">
        <w:t>Intelligence</w:t>
      </w:r>
      <w:r w:rsidRPr="00D4309F">
        <w:rPr>
          <w:spacing w:val="-3"/>
        </w:rPr>
        <w:t xml:space="preserve"> </w:t>
      </w:r>
      <w:r w:rsidRPr="00D4309F">
        <w:t>technology</w:t>
      </w:r>
      <w:r w:rsidRPr="00D4309F">
        <w:rPr>
          <w:spacing w:val="-2"/>
        </w:rPr>
        <w:t xml:space="preserve"> </w:t>
      </w:r>
      <w:r w:rsidRPr="00D4309F">
        <w:t>to</w:t>
      </w:r>
      <w:r w:rsidRPr="00D4309F">
        <w:rPr>
          <w:spacing w:val="-3"/>
        </w:rPr>
        <w:t xml:space="preserve"> </w:t>
      </w:r>
      <w:r w:rsidRPr="00D4309F">
        <w:t>detect the following:</w:t>
      </w:r>
    </w:p>
    <w:p w14:paraId="3CB14E20" w14:textId="77777777" w:rsidR="00725977" w:rsidRPr="00D4309F" w:rsidRDefault="00725977" w:rsidP="004426B8">
      <w:pPr>
        <w:pStyle w:val="ListBullet"/>
      </w:pPr>
      <w:r w:rsidRPr="00D4309F">
        <w:t>Wave</w:t>
      </w:r>
      <w:r w:rsidRPr="00D4309F">
        <w:rPr>
          <w:spacing w:val="-3"/>
        </w:rPr>
        <w:t xml:space="preserve"> </w:t>
      </w:r>
      <w:r w:rsidRPr="00D4309F">
        <w:t>activity</w:t>
      </w:r>
      <w:r w:rsidRPr="00D4309F">
        <w:rPr>
          <w:spacing w:val="-3"/>
        </w:rPr>
        <w:t xml:space="preserve"> </w:t>
      </w:r>
      <w:r w:rsidRPr="00D4309F">
        <w:t>at</w:t>
      </w:r>
      <w:r w:rsidRPr="00D4309F">
        <w:rPr>
          <w:spacing w:val="-3"/>
        </w:rPr>
        <w:t xml:space="preserve"> </w:t>
      </w:r>
      <w:r w:rsidRPr="00D4309F">
        <w:t>the</w:t>
      </w:r>
      <w:r w:rsidRPr="00D4309F">
        <w:rPr>
          <w:spacing w:val="-3"/>
        </w:rPr>
        <w:t xml:space="preserve"> </w:t>
      </w:r>
      <w:r w:rsidRPr="00D4309F">
        <w:t>entrance</w:t>
      </w:r>
      <w:r w:rsidRPr="00D4309F">
        <w:rPr>
          <w:spacing w:val="-3"/>
        </w:rPr>
        <w:t xml:space="preserve"> </w:t>
      </w:r>
      <w:r w:rsidRPr="00D4309F">
        <w:t>as</w:t>
      </w:r>
      <w:r w:rsidRPr="00D4309F">
        <w:rPr>
          <w:spacing w:val="-2"/>
        </w:rPr>
        <w:t xml:space="preserve"> </w:t>
      </w:r>
      <w:r w:rsidRPr="00D4309F">
        <w:t>a</w:t>
      </w:r>
      <w:r w:rsidRPr="00D4309F">
        <w:rPr>
          <w:spacing w:val="-3"/>
        </w:rPr>
        <w:t xml:space="preserve"> </w:t>
      </w:r>
      <w:r w:rsidRPr="00D4309F">
        <w:t>near-real-time</w:t>
      </w:r>
      <w:r w:rsidRPr="00D4309F">
        <w:rPr>
          <w:spacing w:val="-3"/>
        </w:rPr>
        <w:t xml:space="preserve"> </w:t>
      </w:r>
      <w:r w:rsidRPr="00D4309F">
        <w:t>indicator</w:t>
      </w:r>
      <w:r w:rsidRPr="00D4309F">
        <w:rPr>
          <w:spacing w:val="-2"/>
        </w:rPr>
        <w:t xml:space="preserve"> </w:t>
      </w:r>
      <w:r w:rsidRPr="00D4309F">
        <w:t>of</w:t>
      </w:r>
      <w:r w:rsidRPr="00D4309F">
        <w:rPr>
          <w:spacing w:val="-5"/>
        </w:rPr>
        <w:t xml:space="preserve"> </w:t>
      </w:r>
      <w:r w:rsidRPr="00D4309F">
        <w:t>shoaling</w:t>
      </w:r>
      <w:r w:rsidRPr="00D4309F">
        <w:rPr>
          <w:spacing w:val="-3"/>
        </w:rPr>
        <w:t xml:space="preserve"> </w:t>
      </w:r>
      <w:r w:rsidRPr="00D4309F">
        <w:t>events,</w:t>
      </w:r>
      <w:r w:rsidRPr="00D4309F">
        <w:rPr>
          <w:spacing w:val="-3"/>
        </w:rPr>
        <w:t xml:space="preserve"> </w:t>
      </w:r>
      <w:r w:rsidRPr="00D4309F">
        <w:t>including</w:t>
      </w:r>
      <w:r w:rsidRPr="00D4309F">
        <w:rPr>
          <w:spacing w:val="-3"/>
        </w:rPr>
        <w:t xml:space="preserve"> </w:t>
      </w:r>
      <w:r w:rsidRPr="00D4309F">
        <w:t>quantification of wave breaking frequency, breaking wave heights, direction etc.</w:t>
      </w:r>
    </w:p>
    <w:p w14:paraId="790EF012" w14:textId="77777777" w:rsidR="00725977" w:rsidRPr="00D4309F" w:rsidRDefault="00725977" w:rsidP="004426B8">
      <w:pPr>
        <w:pStyle w:val="ListBullet"/>
      </w:pPr>
      <w:r w:rsidRPr="00D4309F">
        <w:t>Presence</w:t>
      </w:r>
      <w:r w:rsidRPr="00D4309F">
        <w:rPr>
          <w:spacing w:val="-7"/>
        </w:rPr>
        <w:t xml:space="preserve"> </w:t>
      </w:r>
      <w:r w:rsidRPr="00D4309F">
        <w:t>of</w:t>
      </w:r>
      <w:r w:rsidRPr="00D4309F">
        <w:rPr>
          <w:spacing w:val="-5"/>
        </w:rPr>
        <w:t xml:space="preserve"> </w:t>
      </w:r>
      <w:r w:rsidRPr="00D4309F">
        <w:t>swimmers/surfers</w:t>
      </w:r>
      <w:r w:rsidRPr="00D4309F">
        <w:rPr>
          <w:spacing w:val="-4"/>
        </w:rPr>
        <w:t xml:space="preserve"> </w:t>
      </w:r>
      <w:r w:rsidRPr="00D4309F">
        <w:t>at</w:t>
      </w:r>
      <w:r w:rsidRPr="00D4309F">
        <w:rPr>
          <w:spacing w:val="-4"/>
        </w:rPr>
        <w:t xml:space="preserve"> </w:t>
      </w:r>
      <w:r w:rsidRPr="00D4309F">
        <w:t>entrance</w:t>
      </w:r>
      <w:r w:rsidRPr="00D4309F">
        <w:rPr>
          <w:spacing w:val="-5"/>
        </w:rPr>
        <w:t xml:space="preserve"> </w:t>
      </w:r>
      <w:r w:rsidRPr="00D4309F">
        <w:t>(if</w:t>
      </w:r>
      <w:r w:rsidRPr="00D4309F">
        <w:rPr>
          <w:spacing w:val="-4"/>
        </w:rPr>
        <w:t xml:space="preserve"> any).</w:t>
      </w:r>
    </w:p>
    <w:p w14:paraId="4D1CE98F" w14:textId="77777777" w:rsidR="00725977" w:rsidRPr="00D4309F" w:rsidRDefault="00725977" w:rsidP="004426B8">
      <w:pPr>
        <w:pStyle w:val="ListBullet"/>
      </w:pPr>
      <w:r w:rsidRPr="00D4309F">
        <w:t>Bathymetry</w:t>
      </w:r>
      <w:r w:rsidRPr="00D4309F">
        <w:rPr>
          <w:spacing w:val="-5"/>
        </w:rPr>
        <w:t xml:space="preserve"> </w:t>
      </w:r>
      <w:r w:rsidRPr="00D4309F">
        <w:t>and</w:t>
      </w:r>
      <w:r w:rsidRPr="00D4309F">
        <w:rPr>
          <w:spacing w:val="-4"/>
        </w:rPr>
        <w:t xml:space="preserve"> </w:t>
      </w:r>
      <w:r w:rsidRPr="00D4309F">
        <w:t>seabed</w:t>
      </w:r>
      <w:r w:rsidRPr="00D4309F">
        <w:rPr>
          <w:spacing w:val="-4"/>
        </w:rPr>
        <w:t xml:space="preserve"> </w:t>
      </w:r>
      <w:r w:rsidRPr="00D4309F">
        <w:t>change</w:t>
      </w:r>
      <w:r w:rsidRPr="00D4309F">
        <w:rPr>
          <w:spacing w:val="-4"/>
        </w:rPr>
        <w:t xml:space="preserve"> </w:t>
      </w:r>
      <w:r w:rsidRPr="00D4309F">
        <w:t>based</w:t>
      </w:r>
      <w:r w:rsidRPr="00D4309F">
        <w:rPr>
          <w:spacing w:val="-4"/>
        </w:rPr>
        <w:t xml:space="preserve"> </w:t>
      </w:r>
      <w:r w:rsidRPr="00D4309F">
        <w:t>on</w:t>
      </w:r>
      <w:r w:rsidRPr="00D4309F">
        <w:rPr>
          <w:spacing w:val="-4"/>
        </w:rPr>
        <w:t xml:space="preserve"> </w:t>
      </w:r>
      <w:r w:rsidRPr="00D4309F">
        <w:t>wave</w:t>
      </w:r>
      <w:r w:rsidRPr="00D4309F">
        <w:rPr>
          <w:spacing w:val="-3"/>
        </w:rPr>
        <w:t xml:space="preserve"> </w:t>
      </w:r>
      <w:r w:rsidRPr="00D4309F">
        <w:rPr>
          <w:spacing w:val="-2"/>
        </w:rPr>
        <w:t>breaking.</w:t>
      </w:r>
    </w:p>
    <w:p w14:paraId="6938F913" w14:textId="77777777" w:rsidR="00725977" w:rsidRPr="00D4309F" w:rsidRDefault="00725977" w:rsidP="004426B8">
      <w:pPr>
        <w:pStyle w:val="ListBullet"/>
      </w:pPr>
      <w:r w:rsidRPr="00D4309F">
        <w:rPr>
          <w:b/>
        </w:rPr>
        <w:t>Automatic stakeholder alerts</w:t>
      </w:r>
      <w:r w:rsidRPr="00D4309F">
        <w:t>: Detected wave and people activity data flagged to MSQ to identify potential</w:t>
      </w:r>
      <w:r w:rsidRPr="00D4309F">
        <w:rPr>
          <w:spacing w:val="-3"/>
        </w:rPr>
        <w:t xml:space="preserve"> </w:t>
      </w:r>
      <w:r w:rsidRPr="00D4309F">
        <w:t>shoaling</w:t>
      </w:r>
      <w:r w:rsidRPr="00D4309F">
        <w:rPr>
          <w:spacing w:val="-3"/>
        </w:rPr>
        <w:t xml:space="preserve"> </w:t>
      </w:r>
      <w:r w:rsidRPr="00D4309F">
        <w:t>risks.</w:t>
      </w:r>
      <w:r w:rsidRPr="00D4309F">
        <w:rPr>
          <w:spacing w:val="-4"/>
        </w:rPr>
        <w:t xml:space="preserve"> </w:t>
      </w:r>
      <w:r w:rsidRPr="00D4309F">
        <w:t>Potential</w:t>
      </w:r>
      <w:r w:rsidRPr="00D4309F">
        <w:rPr>
          <w:spacing w:val="-3"/>
        </w:rPr>
        <w:t xml:space="preserve"> </w:t>
      </w:r>
      <w:r w:rsidRPr="00D4309F">
        <w:t>to</w:t>
      </w:r>
      <w:r w:rsidRPr="00D4309F">
        <w:rPr>
          <w:spacing w:val="-3"/>
        </w:rPr>
        <w:t xml:space="preserve"> </w:t>
      </w:r>
      <w:r w:rsidRPr="00D4309F">
        <w:t>apply</w:t>
      </w:r>
      <w:r w:rsidRPr="00D4309F">
        <w:rPr>
          <w:spacing w:val="-2"/>
        </w:rPr>
        <w:t xml:space="preserve"> </w:t>
      </w:r>
      <w:r w:rsidRPr="00D4309F">
        <w:t>forecasted</w:t>
      </w:r>
      <w:r w:rsidRPr="00D4309F">
        <w:rPr>
          <w:spacing w:val="-3"/>
        </w:rPr>
        <w:t xml:space="preserve"> </w:t>
      </w:r>
      <w:r w:rsidRPr="00D4309F">
        <w:t>wave</w:t>
      </w:r>
      <w:r w:rsidRPr="00D4309F">
        <w:rPr>
          <w:spacing w:val="-3"/>
        </w:rPr>
        <w:t xml:space="preserve"> </w:t>
      </w:r>
      <w:r w:rsidRPr="00D4309F">
        <w:t>conditions</w:t>
      </w:r>
      <w:r w:rsidRPr="00D4309F">
        <w:rPr>
          <w:spacing w:val="-3"/>
        </w:rPr>
        <w:t xml:space="preserve"> </w:t>
      </w:r>
      <w:r w:rsidRPr="00D4309F">
        <w:t>with</w:t>
      </w:r>
      <w:r w:rsidRPr="00D4309F">
        <w:rPr>
          <w:spacing w:val="-3"/>
        </w:rPr>
        <w:t xml:space="preserve"> </w:t>
      </w:r>
      <w:r w:rsidRPr="00D4309F">
        <w:t>latest</w:t>
      </w:r>
      <w:r w:rsidRPr="00D4309F">
        <w:rPr>
          <w:spacing w:val="-4"/>
        </w:rPr>
        <w:t xml:space="preserve"> </w:t>
      </w:r>
      <w:r w:rsidRPr="00D4309F">
        <w:t>inferred</w:t>
      </w:r>
      <w:r w:rsidRPr="00D4309F">
        <w:rPr>
          <w:spacing w:val="-3"/>
        </w:rPr>
        <w:t xml:space="preserve"> </w:t>
      </w:r>
      <w:r w:rsidRPr="00D4309F">
        <w:t>bathymetry</w:t>
      </w:r>
      <w:r w:rsidRPr="00D4309F">
        <w:rPr>
          <w:spacing w:val="-3"/>
        </w:rPr>
        <w:t xml:space="preserve"> </w:t>
      </w:r>
      <w:r w:rsidRPr="00D4309F">
        <w:t>to provide indication of shoal hazard.</w:t>
      </w:r>
    </w:p>
    <w:p w14:paraId="49B83DD8" w14:textId="77777777" w:rsidR="00725977" w:rsidRPr="00D4309F" w:rsidRDefault="00725977" w:rsidP="004426B8">
      <w:pPr>
        <w:pStyle w:val="ListBullet"/>
      </w:pPr>
      <w:r w:rsidRPr="00D4309F">
        <w:rPr>
          <w:b/>
        </w:rPr>
        <w:t>Public-facing</w:t>
      </w:r>
      <w:r w:rsidRPr="00D4309F">
        <w:rPr>
          <w:b/>
          <w:spacing w:val="-3"/>
        </w:rPr>
        <w:t xml:space="preserve"> </w:t>
      </w:r>
      <w:r w:rsidRPr="00D4309F">
        <w:t>information:</w:t>
      </w:r>
      <w:r w:rsidRPr="00D4309F">
        <w:rPr>
          <w:spacing w:val="-5"/>
        </w:rPr>
        <w:t xml:space="preserve"> </w:t>
      </w:r>
      <w:r w:rsidRPr="00D4309F">
        <w:t>Processed</w:t>
      </w:r>
      <w:r w:rsidRPr="00D4309F">
        <w:rPr>
          <w:spacing w:val="-3"/>
        </w:rPr>
        <w:t xml:space="preserve"> </w:t>
      </w:r>
      <w:r w:rsidRPr="00D4309F">
        <w:t>data</w:t>
      </w:r>
      <w:r w:rsidRPr="00D4309F">
        <w:rPr>
          <w:spacing w:val="-3"/>
        </w:rPr>
        <w:t xml:space="preserve"> </w:t>
      </w:r>
      <w:r w:rsidRPr="00D4309F">
        <w:t>and</w:t>
      </w:r>
      <w:r w:rsidRPr="00D4309F">
        <w:rPr>
          <w:spacing w:val="-3"/>
        </w:rPr>
        <w:t xml:space="preserve"> </w:t>
      </w:r>
      <w:r w:rsidRPr="00D4309F">
        <w:t>video</w:t>
      </w:r>
      <w:r w:rsidRPr="00D4309F">
        <w:rPr>
          <w:spacing w:val="-4"/>
        </w:rPr>
        <w:t xml:space="preserve"> </w:t>
      </w:r>
      <w:r w:rsidRPr="00D4309F">
        <w:t>outputs</w:t>
      </w:r>
      <w:r w:rsidRPr="00D4309F">
        <w:rPr>
          <w:spacing w:val="-2"/>
        </w:rPr>
        <w:t xml:space="preserve"> </w:t>
      </w:r>
      <w:r w:rsidRPr="00D4309F">
        <w:t>provided</w:t>
      </w:r>
      <w:r w:rsidRPr="00D4309F">
        <w:rPr>
          <w:spacing w:val="-3"/>
        </w:rPr>
        <w:t xml:space="preserve"> </w:t>
      </w:r>
      <w:r w:rsidRPr="00D4309F">
        <w:t>to</w:t>
      </w:r>
      <w:r w:rsidRPr="00D4309F">
        <w:rPr>
          <w:spacing w:val="-3"/>
        </w:rPr>
        <w:t xml:space="preserve"> </w:t>
      </w:r>
      <w:r w:rsidRPr="00D4309F">
        <w:t>keep</w:t>
      </w:r>
      <w:r w:rsidRPr="00D4309F">
        <w:rPr>
          <w:spacing w:val="-3"/>
        </w:rPr>
        <w:t xml:space="preserve"> </w:t>
      </w:r>
      <w:r w:rsidRPr="00D4309F">
        <w:t>entrance</w:t>
      </w:r>
      <w:r w:rsidRPr="00D4309F">
        <w:rPr>
          <w:spacing w:val="-3"/>
        </w:rPr>
        <w:t xml:space="preserve"> </w:t>
      </w:r>
      <w:r w:rsidRPr="00D4309F">
        <w:t>users</w:t>
      </w:r>
      <w:r w:rsidRPr="00D4309F">
        <w:rPr>
          <w:spacing w:val="-3"/>
        </w:rPr>
        <w:t xml:space="preserve"> </w:t>
      </w:r>
      <w:r w:rsidRPr="00D4309F">
        <w:t>and</w:t>
      </w:r>
      <w:r w:rsidRPr="00D4309F">
        <w:rPr>
          <w:spacing w:val="-3"/>
        </w:rPr>
        <w:t xml:space="preserve"> </w:t>
      </w:r>
      <w:r w:rsidRPr="00D4309F">
        <w:t>local community informed of real-time entrance conditions.</w:t>
      </w:r>
    </w:p>
    <w:p w14:paraId="3C296F8B" w14:textId="77777777" w:rsidR="00725977" w:rsidRPr="00D4309F" w:rsidRDefault="00725977" w:rsidP="004426B8">
      <w:pPr>
        <w:pStyle w:val="ListBullet"/>
      </w:pPr>
      <w:r w:rsidRPr="00D4309F">
        <w:rPr>
          <w:b/>
        </w:rPr>
        <w:t xml:space="preserve">Reporting </w:t>
      </w:r>
      <w:r w:rsidRPr="00D4309F">
        <w:t xml:space="preserve">and </w:t>
      </w:r>
      <w:r w:rsidRPr="00D4309F">
        <w:rPr>
          <w:b/>
        </w:rPr>
        <w:t>analysis</w:t>
      </w:r>
      <w:r w:rsidRPr="00D4309F">
        <w:t>: Automatic generation of reports and visual outputs, including heat maps or event</w:t>
      </w:r>
      <w:r w:rsidRPr="00D4309F">
        <w:rPr>
          <w:spacing w:val="-3"/>
        </w:rPr>
        <w:t xml:space="preserve"> </w:t>
      </w:r>
      <w:r w:rsidRPr="00D4309F">
        <w:t>frequency</w:t>
      </w:r>
      <w:r w:rsidRPr="00D4309F">
        <w:rPr>
          <w:spacing w:val="-3"/>
        </w:rPr>
        <w:t xml:space="preserve"> </w:t>
      </w:r>
      <w:r w:rsidRPr="00D4309F">
        <w:t>charts</w:t>
      </w:r>
      <w:r w:rsidRPr="00D4309F">
        <w:rPr>
          <w:spacing w:val="-2"/>
        </w:rPr>
        <w:t xml:space="preserve"> </w:t>
      </w:r>
      <w:r w:rsidRPr="00D4309F">
        <w:t>of</w:t>
      </w:r>
      <w:r w:rsidRPr="00D4309F">
        <w:rPr>
          <w:spacing w:val="-4"/>
        </w:rPr>
        <w:t xml:space="preserve"> </w:t>
      </w:r>
      <w:r w:rsidRPr="00D4309F">
        <w:t>wave</w:t>
      </w:r>
      <w:r w:rsidRPr="00D4309F">
        <w:rPr>
          <w:spacing w:val="-4"/>
        </w:rPr>
        <w:t xml:space="preserve"> </w:t>
      </w:r>
      <w:r w:rsidRPr="00D4309F">
        <w:t>conditions</w:t>
      </w:r>
      <w:r w:rsidRPr="00D4309F">
        <w:rPr>
          <w:spacing w:val="-2"/>
        </w:rPr>
        <w:t xml:space="preserve"> </w:t>
      </w:r>
      <w:r w:rsidRPr="00D4309F">
        <w:t>to</w:t>
      </w:r>
      <w:r w:rsidRPr="00D4309F">
        <w:rPr>
          <w:spacing w:val="-3"/>
        </w:rPr>
        <w:t xml:space="preserve"> </w:t>
      </w:r>
      <w:r w:rsidRPr="00D4309F">
        <w:t>help</w:t>
      </w:r>
      <w:r w:rsidRPr="00D4309F">
        <w:rPr>
          <w:spacing w:val="-3"/>
        </w:rPr>
        <w:t xml:space="preserve"> </w:t>
      </w:r>
      <w:r w:rsidRPr="00D4309F">
        <w:t>quantify</w:t>
      </w:r>
      <w:r w:rsidRPr="00D4309F">
        <w:rPr>
          <w:spacing w:val="-2"/>
        </w:rPr>
        <w:t xml:space="preserve"> </w:t>
      </w:r>
      <w:r w:rsidRPr="00D4309F">
        <w:t>shoaling</w:t>
      </w:r>
      <w:r w:rsidRPr="00D4309F">
        <w:rPr>
          <w:spacing w:val="-4"/>
        </w:rPr>
        <w:t xml:space="preserve"> </w:t>
      </w:r>
      <w:r w:rsidRPr="00D4309F">
        <w:t>conditions,</w:t>
      </w:r>
      <w:r w:rsidRPr="00D4309F">
        <w:rPr>
          <w:spacing w:val="-3"/>
        </w:rPr>
        <w:t xml:space="preserve"> </w:t>
      </w:r>
      <w:r w:rsidRPr="00D4309F">
        <w:t>shoaling</w:t>
      </w:r>
      <w:r w:rsidRPr="00D4309F">
        <w:rPr>
          <w:spacing w:val="-3"/>
        </w:rPr>
        <w:t xml:space="preserve"> </w:t>
      </w:r>
      <w:r w:rsidRPr="00D4309F">
        <w:t>frequency</w:t>
      </w:r>
      <w:r w:rsidRPr="00D4309F">
        <w:rPr>
          <w:spacing w:val="-2"/>
        </w:rPr>
        <w:t xml:space="preserve"> </w:t>
      </w:r>
      <w:r w:rsidRPr="00D4309F">
        <w:t>etc.</w:t>
      </w:r>
    </w:p>
    <w:p w14:paraId="1CA90CCD" w14:textId="77777777" w:rsidR="00725977" w:rsidRPr="00D4309F" w:rsidRDefault="00725977" w:rsidP="009F675A">
      <w:pPr>
        <w:pStyle w:val="Heading7"/>
        <w:keepNext w:val="0"/>
        <w:keepLines w:val="0"/>
        <w:widowControl w:val="0"/>
        <w:numPr>
          <w:ilvl w:val="6"/>
          <w:numId w:val="0"/>
        </w:numPr>
        <w:autoSpaceDE w:val="0"/>
        <w:autoSpaceDN w:val="0"/>
        <w:spacing w:before="119" w:after="0"/>
        <w:ind w:left="907" w:hanging="907"/>
      </w:pPr>
      <w:r w:rsidRPr="00D4309F">
        <w:rPr>
          <w:color w:val="211E1F"/>
        </w:rPr>
        <w:t>Indicative</w:t>
      </w:r>
      <w:r w:rsidRPr="00D4309F">
        <w:rPr>
          <w:color w:val="211E1F"/>
          <w:spacing w:val="-4"/>
        </w:rPr>
        <w:t xml:space="preserve"> </w:t>
      </w:r>
      <w:r w:rsidRPr="00D4309F">
        <w:rPr>
          <w:color w:val="211E1F"/>
          <w:spacing w:val="-2"/>
        </w:rPr>
        <w:t>pricing:</w:t>
      </w:r>
    </w:p>
    <w:p w14:paraId="1C5CDE21" w14:textId="77777777" w:rsidR="00725977" w:rsidRPr="00D4309F" w:rsidRDefault="00725977" w:rsidP="004426B8">
      <w:pPr>
        <w:pStyle w:val="ListBullet"/>
      </w:pPr>
      <w:r w:rsidRPr="00D4309F">
        <w:t>Typical</w:t>
      </w:r>
      <w:r w:rsidRPr="00D4309F">
        <w:rPr>
          <w:spacing w:val="-5"/>
        </w:rPr>
        <w:t xml:space="preserve"> </w:t>
      </w:r>
      <w:r w:rsidRPr="00D4309F">
        <w:t>term:</w:t>
      </w:r>
      <w:r w:rsidRPr="00D4309F">
        <w:rPr>
          <w:spacing w:val="-4"/>
        </w:rPr>
        <w:t xml:space="preserve"> </w:t>
      </w:r>
      <w:r w:rsidRPr="00D4309F">
        <w:t>1</w:t>
      </w:r>
      <w:r w:rsidRPr="00D4309F">
        <w:rPr>
          <w:spacing w:val="-2"/>
        </w:rPr>
        <w:t xml:space="preserve"> year.</w:t>
      </w:r>
    </w:p>
    <w:p w14:paraId="31C260AB" w14:textId="77777777" w:rsidR="00725977" w:rsidRPr="00D4309F" w:rsidRDefault="00725977" w:rsidP="004426B8">
      <w:pPr>
        <w:pStyle w:val="ListBullet"/>
      </w:pPr>
      <w:r w:rsidRPr="00D4309F">
        <w:t>Annual</w:t>
      </w:r>
      <w:r w:rsidRPr="00D4309F">
        <w:rPr>
          <w:spacing w:val="-3"/>
        </w:rPr>
        <w:t xml:space="preserve"> </w:t>
      </w:r>
      <w:r w:rsidRPr="00D4309F">
        <w:t>licensing</w:t>
      </w:r>
      <w:r w:rsidRPr="00D4309F">
        <w:rPr>
          <w:spacing w:val="-3"/>
        </w:rPr>
        <w:t xml:space="preserve"> </w:t>
      </w:r>
      <w:r w:rsidRPr="00D4309F">
        <w:t>and</w:t>
      </w:r>
      <w:r w:rsidRPr="00D4309F">
        <w:rPr>
          <w:spacing w:val="-3"/>
        </w:rPr>
        <w:t xml:space="preserve"> </w:t>
      </w:r>
      <w:r w:rsidRPr="00D4309F">
        <w:t>data</w:t>
      </w:r>
      <w:r w:rsidRPr="00D4309F">
        <w:rPr>
          <w:spacing w:val="-3"/>
        </w:rPr>
        <w:t xml:space="preserve"> </w:t>
      </w:r>
      <w:r w:rsidRPr="00D4309F">
        <w:t>access:</w:t>
      </w:r>
      <w:r w:rsidRPr="00D4309F">
        <w:rPr>
          <w:spacing w:val="-3"/>
        </w:rPr>
        <w:t xml:space="preserve"> </w:t>
      </w:r>
      <w:r w:rsidRPr="00D4309F">
        <w:t>Estimated</w:t>
      </w:r>
      <w:r w:rsidRPr="00D4309F">
        <w:rPr>
          <w:spacing w:val="-3"/>
        </w:rPr>
        <w:t xml:space="preserve"> </w:t>
      </w:r>
      <w:r w:rsidRPr="00D4309F">
        <w:t>AUD</w:t>
      </w:r>
      <w:r w:rsidRPr="00D4309F">
        <w:rPr>
          <w:spacing w:val="-2"/>
        </w:rPr>
        <w:t xml:space="preserve"> </w:t>
      </w:r>
      <w:r w:rsidRPr="00D4309F">
        <w:t>$20,000</w:t>
      </w:r>
      <w:r w:rsidRPr="00D4309F">
        <w:rPr>
          <w:spacing w:val="-3"/>
        </w:rPr>
        <w:t xml:space="preserve"> </w:t>
      </w:r>
      <w:r w:rsidRPr="00D4309F">
        <w:t>(including</w:t>
      </w:r>
      <w:r w:rsidRPr="00D4309F">
        <w:rPr>
          <w:spacing w:val="-3"/>
        </w:rPr>
        <w:t xml:space="preserve"> </w:t>
      </w:r>
      <w:r w:rsidRPr="00D4309F">
        <w:t>video</w:t>
      </w:r>
      <w:r w:rsidRPr="00D4309F">
        <w:rPr>
          <w:spacing w:val="-3"/>
        </w:rPr>
        <w:t xml:space="preserve"> </w:t>
      </w:r>
      <w:r w:rsidRPr="00D4309F">
        <w:t>access</w:t>
      </w:r>
      <w:r w:rsidRPr="00D4309F">
        <w:rPr>
          <w:spacing w:val="-2"/>
        </w:rPr>
        <w:t xml:space="preserve"> </w:t>
      </w:r>
      <w:r w:rsidRPr="00D4309F">
        <w:t>and</w:t>
      </w:r>
      <w:r w:rsidRPr="00D4309F">
        <w:rPr>
          <w:spacing w:val="-3"/>
        </w:rPr>
        <w:t xml:space="preserve"> </w:t>
      </w:r>
      <w:r w:rsidRPr="00D4309F">
        <w:t>SCI</w:t>
      </w:r>
      <w:r w:rsidRPr="00D4309F">
        <w:rPr>
          <w:spacing w:val="-5"/>
        </w:rPr>
        <w:t xml:space="preserve"> </w:t>
      </w:r>
      <w:r w:rsidRPr="00D4309F">
        <w:t>data services), subject to further investigation and detailed quote.</w:t>
      </w:r>
    </w:p>
    <w:p w14:paraId="0903614F" w14:textId="77777777" w:rsidR="00725977" w:rsidRPr="00D4309F" w:rsidRDefault="00725977" w:rsidP="004426B8">
      <w:pPr>
        <w:pStyle w:val="ListBullet"/>
      </w:pPr>
      <w:r w:rsidRPr="00D4309F">
        <w:t>Hardware and installation: Provided by Surfline at no cost, including hardware supply, installation, maintenance</w:t>
      </w:r>
      <w:r w:rsidRPr="00D4309F">
        <w:rPr>
          <w:spacing w:val="-3"/>
        </w:rPr>
        <w:t xml:space="preserve"> </w:t>
      </w:r>
      <w:r w:rsidRPr="00D4309F">
        <w:t>and</w:t>
      </w:r>
      <w:r w:rsidRPr="00D4309F">
        <w:rPr>
          <w:spacing w:val="-3"/>
        </w:rPr>
        <w:t xml:space="preserve"> </w:t>
      </w:r>
      <w:r w:rsidRPr="00D4309F">
        <w:t>connection.</w:t>
      </w:r>
      <w:r w:rsidRPr="00D4309F">
        <w:rPr>
          <w:spacing w:val="-3"/>
        </w:rPr>
        <w:t xml:space="preserve"> </w:t>
      </w:r>
      <w:r w:rsidRPr="00D4309F">
        <w:t>Surfline</w:t>
      </w:r>
      <w:r w:rsidRPr="00D4309F">
        <w:rPr>
          <w:spacing w:val="-3"/>
        </w:rPr>
        <w:t xml:space="preserve"> </w:t>
      </w:r>
      <w:r w:rsidRPr="00D4309F">
        <w:t>only</w:t>
      </w:r>
      <w:r w:rsidRPr="00D4309F">
        <w:rPr>
          <w:spacing w:val="-2"/>
        </w:rPr>
        <w:t xml:space="preserve"> </w:t>
      </w:r>
      <w:r w:rsidRPr="00D4309F">
        <w:t>require</w:t>
      </w:r>
      <w:r w:rsidRPr="00D4309F">
        <w:rPr>
          <w:spacing w:val="-3"/>
        </w:rPr>
        <w:t xml:space="preserve"> </w:t>
      </w:r>
      <w:r w:rsidRPr="00D4309F">
        <w:t>local</w:t>
      </w:r>
      <w:r w:rsidRPr="00D4309F">
        <w:rPr>
          <w:spacing w:val="-4"/>
        </w:rPr>
        <w:t xml:space="preserve"> </w:t>
      </w:r>
      <w:r w:rsidRPr="00D4309F">
        <w:t>power</w:t>
      </w:r>
      <w:r w:rsidRPr="00D4309F">
        <w:rPr>
          <w:spacing w:val="-2"/>
        </w:rPr>
        <w:t xml:space="preserve"> </w:t>
      </w:r>
      <w:r w:rsidRPr="00D4309F">
        <w:t>supply</w:t>
      </w:r>
      <w:r w:rsidRPr="00D4309F">
        <w:rPr>
          <w:spacing w:val="-2"/>
        </w:rPr>
        <w:t xml:space="preserve"> </w:t>
      </w:r>
      <w:r w:rsidRPr="00D4309F">
        <w:t>to</w:t>
      </w:r>
      <w:r w:rsidRPr="00D4309F">
        <w:rPr>
          <w:spacing w:val="-3"/>
        </w:rPr>
        <w:t xml:space="preserve"> </w:t>
      </w:r>
      <w:r w:rsidRPr="00D4309F">
        <w:t>be</w:t>
      </w:r>
      <w:r w:rsidRPr="00D4309F">
        <w:rPr>
          <w:spacing w:val="-3"/>
        </w:rPr>
        <w:t xml:space="preserve"> </w:t>
      </w:r>
      <w:r w:rsidRPr="00D4309F">
        <w:t>provided.</w:t>
      </w:r>
      <w:r w:rsidRPr="00D4309F">
        <w:rPr>
          <w:spacing w:val="-3"/>
        </w:rPr>
        <w:t xml:space="preserve"> </w:t>
      </w:r>
      <w:r w:rsidRPr="00D4309F">
        <w:t>All</w:t>
      </w:r>
      <w:r w:rsidRPr="00D4309F">
        <w:rPr>
          <w:spacing w:val="-3"/>
        </w:rPr>
        <w:t xml:space="preserve"> </w:t>
      </w:r>
      <w:r w:rsidRPr="00D4309F">
        <w:t>installation provided by the Surfline operations team.</w:t>
      </w:r>
    </w:p>
    <w:p w14:paraId="22DFD226" w14:textId="77777777" w:rsidR="00F06E88" w:rsidRDefault="00F06E88" w:rsidP="00F06E88">
      <w:pPr>
        <w:pStyle w:val="BodyText"/>
      </w:pPr>
      <w:bookmarkStart w:id="160" w:name="_bookmark68"/>
      <w:bookmarkEnd w:id="160"/>
    </w:p>
    <w:p w14:paraId="065F5650" w14:textId="3A246FBF" w:rsidR="00725977" w:rsidRPr="00D4309F" w:rsidRDefault="00725977" w:rsidP="00725977">
      <w:pPr>
        <w:pStyle w:val="Heading3"/>
      </w:pPr>
      <w:bookmarkStart w:id="161" w:name="_Toc216699347"/>
      <w:r w:rsidRPr="00D4309F">
        <w:lastRenderedPageBreak/>
        <w:t>Navigational</w:t>
      </w:r>
      <w:r w:rsidRPr="00D4309F">
        <w:rPr>
          <w:spacing w:val="-14"/>
        </w:rPr>
        <w:t xml:space="preserve"> </w:t>
      </w:r>
      <w:r w:rsidRPr="00D4309F">
        <w:t>warnings</w:t>
      </w:r>
      <w:r w:rsidRPr="00D4309F">
        <w:rPr>
          <w:spacing w:val="-14"/>
        </w:rPr>
        <w:t xml:space="preserve"> </w:t>
      </w:r>
      <w:r w:rsidRPr="00D4309F">
        <w:t>and</w:t>
      </w:r>
      <w:r w:rsidRPr="00D4309F">
        <w:rPr>
          <w:spacing w:val="-14"/>
        </w:rPr>
        <w:t xml:space="preserve"> </w:t>
      </w:r>
      <w:r w:rsidRPr="00D4309F">
        <w:rPr>
          <w:spacing w:val="-2"/>
        </w:rPr>
        <w:t>guidance</w:t>
      </w:r>
      <w:bookmarkEnd w:id="161"/>
    </w:p>
    <w:p w14:paraId="127EE147" w14:textId="77777777" w:rsidR="00725977" w:rsidRPr="00D4309F" w:rsidRDefault="00725977" w:rsidP="00725977">
      <w:pPr>
        <w:pStyle w:val="BodyText"/>
      </w:pPr>
      <w:r w:rsidRPr="00D4309F">
        <w:t>To</w:t>
      </w:r>
      <w:r w:rsidRPr="00D4309F">
        <w:rPr>
          <w:spacing w:val="-3"/>
        </w:rPr>
        <w:t xml:space="preserve"> </w:t>
      </w:r>
      <w:r w:rsidRPr="00D4309F">
        <w:t>ensure</w:t>
      </w:r>
      <w:r w:rsidRPr="00D4309F">
        <w:rPr>
          <w:spacing w:val="-3"/>
        </w:rPr>
        <w:t xml:space="preserve"> </w:t>
      </w:r>
      <w:r w:rsidRPr="00D4309F">
        <w:t>navigational</w:t>
      </w:r>
      <w:r w:rsidRPr="00D4309F">
        <w:rPr>
          <w:spacing w:val="-3"/>
        </w:rPr>
        <w:t xml:space="preserve"> </w:t>
      </w:r>
      <w:r w:rsidRPr="00D4309F">
        <w:t>safety</w:t>
      </w:r>
      <w:r w:rsidRPr="00D4309F">
        <w:rPr>
          <w:spacing w:val="-2"/>
        </w:rPr>
        <w:t xml:space="preserve"> </w:t>
      </w:r>
      <w:r w:rsidRPr="00D4309F">
        <w:t>in</w:t>
      </w:r>
      <w:r w:rsidRPr="00D4309F">
        <w:rPr>
          <w:spacing w:val="-3"/>
        </w:rPr>
        <w:t xml:space="preserve"> </w:t>
      </w:r>
      <w:r w:rsidRPr="00D4309F">
        <w:t>the</w:t>
      </w:r>
      <w:r w:rsidRPr="00D4309F">
        <w:rPr>
          <w:spacing w:val="-3"/>
        </w:rPr>
        <w:t xml:space="preserve"> </w:t>
      </w:r>
      <w:r w:rsidRPr="00D4309F">
        <w:t>event</w:t>
      </w:r>
      <w:r w:rsidRPr="00D4309F">
        <w:rPr>
          <w:spacing w:val="-4"/>
        </w:rPr>
        <w:t xml:space="preserve"> </w:t>
      </w:r>
      <w:r w:rsidRPr="00D4309F">
        <w:t>hazardous</w:t>
      </w:r>
      <w:r w:rsidRPr="00D4309F">
        <w:rPr>
          <w:spacing w:val="-3"/>
        </w:rPr>
        <w:t xml:space="preserve"> </w:t>
      </w:r>
      <w:r w:rsidRPr="00D4309F">
        <w:t>sand</w:t>
      </w:r>
      <w:r w:rsidRPr="00D4309F">
        <w:rPr>
          <w:spacing w:val="-3"/>
        </w:rPr>
        <w:t xml:space="preserve"> </w:t>
      </w:r>
      <w:r w:rsidRPr="00D4309F">
        <w:t>shoaling</w:t>
      </w:r>
      <w:r w:rsidRPr="00D4309F">
        <w:rPr>
          <w:spacing w:val="-3"/>
        </w:rPr>
        <w:t xml:space="preserve"> </w:t>
      </w:r>
      <w:r w:rsidRPr="00D4309F">
        <w:t>events</w:t>
      </w:r>
      <w:r w:rsidRPr="00D4309F">
        <w:rPr>
          <w:spacing w:val="-2"/>
        </w:rPr>
        <w:t xml:space="preserve"> </w:t>
      </w:r>
      <w:r w:rsidRPr="00D4309F">
        <w:t>occur,</w:t>
      </w:r>
      <w:r w:rsidRPr="00D4309F">
        <w:rPr>
          <w:spacing w:val="-4"/>
        </w:rPr>
        <w:t xml:space="preserve"> </w:t>
      </w:r>
      <w:r w:rsidRPr="00D4309F">
        <w:t>effective</w:t>
      </w:r>
      <w:r w:rsidRPr="00D4309F">
        <w:rPr>
          <w:spacing w:val="-3"/>
        </w:rPr>
        <w:t xml:space="preserve"> </w:t>
      </w:r>
      <w:r w:rsidRPr="00D4309F">
        <w:t>warnings</w:t>
      </w:r>
      <w:r w:rsidRPr="00D4309F">
        <w:rPr>
          <w:spacing w:val="-2"/>
        </w:rPr>
        <w:t xml:space="preserve"> </w:t>
      </w:r>
      <w:r w:rsidRPr="00D4309F">
        <w:t>and guidance must be communicated to entrance users and relevant stakeholders.</w:t>
      </w:r>
    </w:p>
    <w:p w14:paraId="28952CB2" w14:textId="77777777" w:rsidR="00725977" w:rsidRPr="00D4309F" w:rsidRDefault="00725977" w:rsidP="00725977">
      <w:pPr>
        <w:pStyle w:val="BodyText"/>
      </w:pPr>
      <w:r w:rsidRPr="00D4309F">
        <w:rPr>
          <w:b/>
        </w:rPr>
        <w:t xml:space="preserve">Recommendation: </w:t>
      </w:r>
      <w:r w:rsidRPr="00D4309F">
        <w:t>Maritime Safety Queensland (MSQ), continue to issue regular and detailed Notices to Mariners.</w:t>
      </w:r>
      <w:r w:rsidRPr="00D4309F">
        <w:rPr>
          <w:spacing w:val="-3"/>
        </w:rPr>
        <w:t xml:space="preserve"> </w:t>
      </w:r>
      <w:r w:rsidRPr="00D4309F">
        <w:t>These</w:t>
      </w:r>
      <w:r w:rsidRPr="00D4309F">
        <w:rPr>
          <w:spacing w:val="-3"/>
        </w:rPr>
        <w:t xml:space="preserve"> </w:t>
      </w:r>
      <w:r w:rsidRPr="00D4309F">
        <w:t>notices</w:t>
      </w:r>
      <w:r w:rsidRPr="00D4309F">
        <w:rPr>
          <w:spacing w:val="-2"/>
        </w:rPr>
        <w:t xml:space="preserve"> </w:t>
      </w:r>
      <w:r w:rsidRPr="00D4309F">
        <w:t>inform</w:t>
      </w:r>
      <w:r w:rsidRPr="00D4309F">
        <w:rPr>
          <w:spacing w:val="-3"/>
        </w:rPr>
        <w:t xml:space="preserve"> </w:t>
      </w:r>
      <w:r w:rsidRPr="00D4309F">
        <w:t>vessel</w:t>
      </w:r>
      <w:r w:rsidRPr="00D4309F">
        <w:rPr>
          <w:spacing w:val="-4"/>
        </w:rPr>
        <w:t xml:space="preserve"> </w:t>
      </w:r>
      <w:r w:rsidRPr="00D4309F">
        <w:t>masters</w:t>
      </w:r>
      <w:r w:rsidRPr="00D4309F">
        <w:rPr>
          <w:spacing w:val="-2"/>
        </w:rPr>
        <w:t xml:space="preserve"> </w:t>
      </w:r>
      <w:r w:rsidRPr="00D4309F">
        <w:t>of</w:t>
      </w:r>
      <w:r w:rsidRPr="00D4309F">
        <w:rPr>
          <w:spacing w:val="-3"/>
        </w:rPr>
        <w:t xml:space="preserve"> </w:t>
      </w:r>
      <w:r w:rsidRPr="00D4309F">
        <w:t>current</w:t>
      </w:r>
      <w:r w:rsidRPr="00D4309F">
        <w:rPr>
          <w:spacing w:val="-3"/>
        </w:rPr>
        <w:t xml:space="preserve"> </w:t>
      </w:r>
      <w:r w:rsidRPr="00D4309F">
        <w:t>shoaling,</w:t>
      </w:r>
      <w:r w:rsidRPr="00D4309F">
        <w:rPr>
          <w:spacing w:val="-3"/>
        </w:rPr>
        <w:t xml:space="preserve"> </w:t>
      </w:r>
      <w:r w:rsidRPr="00D4309F">
        <w:t>reduced</w:t>
      </w:r>
      <w:r w:rsidRPr="00D4309F">
        <w:rPr>
          <w:spacing w:val="-3"/>
        </w:rPr>
        <w:t xml:space="preserve"> </w:t>
      </w:r>
      <w:r w:rsidRPr="00D4309F">
        <w:t>depths,</w:t>
      </w:r>
      <w:r w:rsidRPr="00D4309F">
        <w:rPr>
          <w:spacing w:val="-3"/>
        </w:rPr>
        <w:t xml:space="preserve"> </w:t>
      </w:r>
      <w:r w:rsidRPr="00D4309F">
        <w:t>and</w:t>
      </w:r>
      <w:r w:rsidRPr="00D4309F">
        <w:rPr>
          <w:spacing w:val="-3"/>
        </w:rPr>
        <w:t xml:space="preserve"> </w:t>
      </w:r>
      <w:r w:rsidRPr="00D4309F">
        <w:t>provide</w:t>
      </w:r>
      <w:r w:rsidRPr="00D4309F">
        <w:rPr>
          <w:spacing w:val="-3"/>
        </w:rPr>
        <w:t xml:space="preserve"> </w:t>
      </w:r>
      <w:r w:rsidRPr="00D4309F">
        <w:t>guidance</w:t>
      </w:r>
      <w:r w:rsidRPr="00D4309F">
        <w:rPr>
          <w:spacing w:val="-4"/>
        </w:rPr>
        <w:t xml:space="preserve"> </w:t>
      </w:r>
      <w:r w:rsidRPr="00D4309F">
        <w:t>on safe navigation, including alternative routes where possible.</w:t>
      </w:r>
    </w:p>
    <w:p w14:paraId="7DE08293" w14:textId="77777777" w:rsidR="00725977" w:rsidRPr="00D4309F" w:rsidRDefault="00725977" w:rsidP="00725977">
      <w:pPr>
        <w:pStyle w:val="BodyText"/>
      </w:pPr>
      <w:r w:rsidRPr="00D4309F">
        <w:t>In</w:t>
      </w:r>
      <w:r w:rsidRPr="00D4309F">
        <w:rPr>
          <w:spacing w:val="-2"/>
        </w:rPr>
        <w:t xml:space="preserve"> </w:t>
      </w:r>
      <w:r w:rsidRPr="00D4309F">
        <w:t>addition</w:t>
      </w:r>
      <w:r w:rsidRPr="00D4309F">
        <w:rPr>
          <w:spacing w:val="-3"/>
        </w:rPr>
        <w:t xml:space="preserve"> </w:t>
      </w:r>
      <w:r w:rsidRPr="00D4309F">
        <w:t>to</w:t>
      </w:r>
      <w:r w:rsidRPr="00D4309F">
        <w:rPr>
          <w:spacing w:val="-2"/>
        </w:rPr>
        <w:t xml:space="preserve"> </w:t>
      </w:r>
      <w:r w:rsidRPr="00D4309F">
        <w:t>this,</w:t>
      </w:r>
      <w:r w:rsidRPr="00D4309F">
        <w:rPr>
          <w:spacing w:val="-3"/>
        </w:rPr>
        <w:t xml:space="preserve"> </w:t>
      </w:r>
      <w:r w:rsidRPr="00D4309F">
        <w:t>the</w:t>
      </w:r>
      <w:r w:rsidRPr="00D4309F">
        <w:rPr>
          <w:spacing w:val="-2"/>
        </w:rPr>
        <w:t xml:space="preserve"> </w:t>
      </w:r>
      <w:r w:rsidRPr="00D4309F">
        <w:t>following</w:t>
      </w:r>
      <w:r w:rsidRPr="00D4309F">
        <w:rPr>
          <w:spacing w:val="-3"/>
        </w:rPr>
        <w:t xml:space="preserve"> </w:t>
      </w:r>
      <w:r w:rsidRPr="00D4309F">
        <w:t>improvements</w:t>
      </w:r>
      <w:r w:rsidRPr="00D4309F">
        <w:rPr>
          <w:spacing w:val="-2"/>
        </w:rPr>
        <w:t xml:space="preserve"> </w:t>
      </w:r>
      <w:r w:rsidRPr="00D4309F">
        <w:t>to</w:t>
      </w:r>
      <w:r w:rsidRPr="00D4309F">
        <w:rPr>
          <w:spacing w:val="-2"/>
        </w:rPr>
        <w:t xml:space="preserve"> </w:t>
      </w:r>
      <w:r w:rsidRPr="00D4309F">
        <w:t>communication</w:t>
      </w:r>
      <w:r w:rsidRPr="00D4309F">
        <w:rPr>
          <w:spacing w:val="-3"/>
        </w:rPr>
        <w:t xml:space="preserve"> </w:t>
      </w:r>
      <w:r w:rsidRPr="00D4309F">
        <w:t>and</w:t>
      </w:r>
      <w:r w:rsidRPr="00D4309F">
        <w:rPr>
          <w:spacing w:val="-2"/>
        </w:rPr>
        <w:t xml:space="preserve"> </w:t>
      </w:r>
      <w:r w:rsidRPr="00D4309F">
        <w:t>guidance</w:t>
      </w:r>
      <w:r w:rsidRPr="00D4309F">
        <w:rPr>
          <w:spacing w:val="-3"/>
        </w:rPr>
        <w:t xml:space="preserve"> </w:t>
      </w:r>
      <w:r w:rsidRPr="00D4309F">
        <w:t>should</w:t>
      </w:r>
      <w:r w:rsidRPr="00D4309F">
        <w:rPr>
          <w:spacing w:val="-3"/>
        </w:rPr>
        <w:t xml:space="preserve"> </w:t>
      </w:r>
      <w:r w:rsidRPr="00D4309F">
        <w:t>be</w:t>
      </w:r>
      <w:r w:rsidRPr="00D4309F">
        <w:rPr>
          <w:spacing w:val="-3"/>
        </w:rPr>
        <w:t xml:space="preserve"> </w:t>
      </w:r>
      <w:r w:rsidRPr="00D4309F">
        <w:t>considered</w:t>
      </w:r>
      <w:r w:rsidRPr="00D4309F">
        <w:rPr>
          <w:spacing w:val="-2"/>
        </w:rPr>
        <w:t xml:space="preserve"> </w:t>
      </w:r>
      <w:r w:rsidRPr="00D4309F">
        <w:t>in</w:t>
      </w:r>
      <w:r w:rsidRPr="00D4309F">
        <w:rPr>
          <w:spacing w:val="-3"/>
        </w:rPr>
        <w:t xml:space="preserve"> </w:t>
      </w:r>
      <w:r w:rsidRPr="00D4309F">
        <w:t xml:space="preserve">the </w:t>
      </w:r>
      <w:r w:rsidRPr="00D4309F">
        <w:rPr>
          <w:spacing w:val="-2"/>
        </w:rPr>
        <w:t>interim:</w:t>
      </w:r>
    </w:p>
    <w:p w14:paraId="28FE4068" w14:textId="77777777" w:rsidR="00725977" w:rsidRPr="00D4309F" w:rsidRDefault="00725977" w:rsidP="000D5B19">
      <w:pPr>
        <w:pStyle w:val="ListBullet"/>
      </w:pPr>
      <w:r w:rsidRPr="00D4309F">
        <w:t>Ensure</w:t>
      </w:r>
      <w:r w:rsidRPr="00D4309F">
        <w:rPr>
          <w:spacing w:val="-6"/>
        </w:rPr>
        <w:t xml:space="preserve"> </w:t>
      </w:r>
      <w:r w:rsidRPr="00D4309F">
        <w:t>warning</w:t>
      </w:r>
      <w:r w:rsidRPr="00D4309F">
        <w:rPr>
          <w:spacing w:val="-4"/>
        </w:rPr>
        <w:t xml:space="preserve"> </w:t>
      </w:r>
      <w:r w:rsidRPr="00D4309F">
        <w:t>and</w:t>
      </w:r>
      <w:r w:rsidRPr="00D4309F">
        <w:rPr>
          <w:spacing w:val="-3"/>
        </w:rPr>
        <w:t xml:space="preserve"> </w:t>
      </w:r>
      <w:r w:rsidRPr="00D4309F">
        <w:t>notices</w:t>
      </w:r>
      <w:r w:rsidRPr="00D4309F">
        <w:rPr>
          <w:spacing w:val="-3"/>
        </w:rPr>
        <w:t xml:space="preserve"> </w:t>
      </w:r>
      <w:r w:rsidRPr="00D4309F">
        <w:t>are</w:t>
      </w:r>
      <w:r w:rsidRPr="00D4309F">
        <w:rPr>
          <w:spacing w:val="-4"/>
        </w:rPr>
        <w:t xml:space="preserve"> </w:t>
      </w:r>
      <w:r w:rsidRPr="00D4309F">
        <w:t>physically</w:t>
      </w:r>
      <w:r w:rsidRPr="00D4309F">
        <w:rPr>
          <w:spacing w:val="-2"/>
        </w:rPr>
        <w:t xml:space="preserve"> </w:t>
      </w:r>
      <w:r w:rsidRPr="00D4309F">
        <w:t>present</w:t>
      </w:r>
      <w:r w:rsidRPr="00D4309F">
        <w:rPr>
          <w:spacing w:val="-4"/>
        </w:rPr>
        <w:t xml:space="preserve"> </w:t>
      </w:r>
      <w:r w:rsidRPr="00D4309F">
        <w:t>at</w:t>
      </w:r>
      <w:r w:rsidRPr="00D4309F">
        <w:rPr>
          <w:spacing w:val="-4"/>
        </w:rPr>
        <w:t xml:space="preserve"> </w:t>
      </w:r>
      <w:r w:rsidRPr="00D4309F">
        <w:t>local</w:t>
      </w:r>
      <w:r w:rsidRPr="00D4309F">
        <w:rPr>
          <w:spacing w:val="-3"/>
        </w:rPr>
        <w:t xml:space="preserve"> </w:t>
      </w:r>
      <w:r w:rsidRPr="00D4309F">
        <w:t>boat</w:t>
      </w:r>
      <w:r w:rsidRPr="00D4309F">
        <w:rPr>
          <w:spacing w:val="-4"/>
        </w:rPr>
        <w:t xml:space="preserve"> </w:t>
      </w:r>
      <w:r w:rsidRPr="00D4309F">
        <w:t>ramps</w:t>
      </w:r>
      <w:r w:rsidRPr="00D4309F">
        <w:rPr>
          <w:spacing w:val="-3"/>
        </w:rPr>
        <w:t xml:space="preserve"> </w:t>
      </w:r>
      <w:r w:rsidRPr="00D4309F">
        <w:t>and</w:t>
      </w:r>
      <w:r w:rsidRPr="00D4309F">
        <w:rPr>
          <w:spacing w:val="-3"/>
        </w:rPr>
        <w:t xml:space="preserve"> </w:t>
      </w:r>
      <w:r w:rsidRPr="00D4309F">
        <w:t>harbour</w:t>
      </w:r>
      <w:r w:rsidRPr="00D4309F">
        <w:rPr>
          <w:spacing w:val="-3"/>
        </w:rPr>
        <w:t xml:space="preserve"> </w:t>
      </w:r>
      <w:r w:rsidRPr="00D4309F">
        <w:t>notice</w:t>
      </w:r>
      <w:r w:rsidRPr="00D4309F">
        <w:rPr>
          <w:spacing w:val="-3"/>
        </w:rPr>
        <w:t xml:space="preserve"> </w:t>
      </w:r>
      <w:r w:rsidRPr="00D4309F">
        <w:rPr>
          <w:spacing w:val="-2"/>
        </w:rPr>
        <w:t>boards.</w:t>
      </w:r>
    </w:p>
    <w:p w14:paraId="3CF9AB20" w14:textId="77777777" w:rsidR="00725977" w:rsidRPr="00D4309F" w:rsidRDefault="00725977" w:rsidP="000D5B19">
      <w:pPr>
        <w:pStyle w:val="ListBullet"/>
      </w:pPr>
      <w:r w:rsidRPr="00D4309F">
        <w:t>Provide</w:t>
      </w:r>
      <w:r w:rsidRPr="00D4309F">
        <w:rPr>
          <w:spacing w:val="-3"/>
        </w:rPr>
        <w:t xml:space="preserve"> </w:t>
      </w:r>
      <w:r w:rsidRPr="00D4309F">
        <w:t>a</w:t>
      </w:r>
      <w:r w:rsidRPr="00D4309F">
        <w:rPr>
          <w:spacing w:val="-3"/>
        </w:rPr>
        <w:t xml:space="preserve"> </w:t>
      </w:r>
      <w:r w:rsidRPr="00D4309F">
        <w:t>platform</w:t>
      </w:r>
      <w:r w:rsidRPr="00D4309F">
        <w:rPr>
          <w:spacing w:val="-3"/>
        </w:rPr>
        <w:t xml:space="preserve"> </w:t>
      </w:r>
      <w:r w:rsidRPr="00D4309F">
        <w:t>for</w:t>
      </w:r>
      <w:r w:rsidRPr="00D4309F">
        <w:rPr>
          <w:spacing w:val="-3"/>
        </w:rPr>
        <w:t xml:space="preserve"> </w:t>
      </w:r>
      <w:r w:rsidRPr="00D4309F">
        <w:t>up-to-date</w:t>
      </w:r>
      <w:r w:rsidRPr="00D4309F">
        <w:rPr>
          <w:spacing w:val="-3"/>
        </w:rPr>
        <w:t xml:space="preserve"> </w:t>
      </w:r>
      <w:r w:rsidRPr="00D4309F">
        <w:t>aerial</w:t>
      </w:r>
      <w:r w:rsidRPr="00D4309F">
        <w:rPr>
          <w:spacing w:val="-3"/>
        </w:rPr>
        <w:t xml:space="preserve"> </w:t>
      </w:r>
      <w:r w:rsidRPr="00D4309F">
        <w:t>images</w:t>
      </w:r>
      <w:r w:rsidRPr="00D4309F">
        <w:rPr>
          <w:spacing w:val="-2"/>
        </w:rPr>
        <w:t xml:space="preserve"> </w:t>
      </w:r>
      <w:r w:rsidRPr="00D4309F">
        <w:t>from</w:t>
      </w:r>
      <w:r w:rsidRPr="00D4309F">
        <w:rPr>
          <w:spacing w:val="-3"/>
        </w:rPr>
        <w:t xml:space="preserve"> </w:t>
      </w:r>
      <w:r w:rsidRPr="00D4309F">
        <w:t>the</w:t>
      </w:r>
      <w:r w:rsidRPr="00D4309F">
        <w:rPr>
          <w:spacing w:val="-3"/>
        </w:rPr>
        <w:t xml:space="preserve"> </w:t>
      </w:r>
      <w:r w:rsidRPr="00D4309F">
        <w:t>Drone</w:t>
      </w:r>
      <w:r w:rsidRPr="00D4309F">
        <w:rPr>
          <w:spacing w:val="-3"/>
        </w:rPr>
        <w:t xml:space="preserve"> </w:t>
      </w:r>
      <w:r w:rsidRPr="00D4309F">
        <w:t>Monitoring</w:t>
      </w:r>
      <w:r w:rsidRPr="00D4309F">
        <w:rPr>
          <w:spacing w:val="-3"/>
        </w:rPr>
        <w:t xml:space="preserve"> </w:t>
      </w:r>
      <w:r w:rsidRPr="00D4309F">
        <w:t>program</w:t>
      </w:r>
      <w:r w:rsidRPr="00D4309F">
        <w:rPr>
          <w:spacing w:val="-3"/>
        </w:rPr>
        <w:t xml:space="preserve"> </w:t>
      </w:r>
      <w:r w:rsidRPr="00D4309F">
        <w:t>to</w:t>
      </w:r>
      <w:r w:rsidRPr="00D4309F">
        <w:rPr>
          <w:spacing w:val="-3"/>
        </w:rPr>
        <w:t xml:space="preserve"> </w:t>
      </w:r>
      <w:r w:rsidRPr="00D4309F">
        <w:t>be</w:t>
      </w:r>
      <w:r w:rsidRPr="00D4309F">
        <w:rPr>
          <w:spacing w:val="-3"/>
        </w:rPr>
        <w:t xml:space="preserve"> </w:t>
      </w:r>
      <w:r w:rsidRPr="00D4309F">
        <w:t>communicated to entrance users.</w:t>
      </w:r>
    </w:p>
    <w:p w14:paraId="5126C031" w14:textId="77777777" w:rsidR="00725977" w:rsidRPr="00D4309F" w:rsidRDefault="00725977" w:rsidP="000D5B19">
      <w:pPr>
        <w:pStyle w:val="ListBullet"/>
      </w:pPr>
      <w:r w:rsidRPr="00D4309F">
        <w:t>Consider</w:t>
      </w:r>
      <w:r w:rsidRPr="00D4309F">
        <w:rPr>
          <w:spacing w:val="-3"/>
        </w:rPr>
        <w:t xml:space="preserve"> </w:t>
      </w:r>
      <w:r w:rsidRPr="00D4309F">
        <w:t>the</w:t>
      </w:r>
      <w:r w:rsidRPr="00D4309F">
        <w:rPr>
          <w:spacing w:val="-4"/>
        </w:rPr>
        <w:t xml:space="preserve"> </w:t>
      </w:r>
      <w:r w:rsidRPr="00D4309F">
        <w:t>development</w:t>
      </w:r>
      <w:r w:rsidRPr="00D4309F">
        <w:rPr>
          <w:spacing w:val="-3"/>
        </w:rPr>
        <w:t xml:space="preserve"> </w:t>
      </w:r>
      <w:r w:rsidRPr="00D4309F">
        <w:t>of</w:t>
      </w:r>
      <w:r w:rsidRPr="00D4309F">
        <w:rPr>
          <w:spacing w:val="-3"/>
        </w:rPr>
        <w:t xml:space="preserve"> </w:t>
      </w:r>
      <w:r w:rsidRPr="00D4309F">
        <w:t>a</w:t>
      </w:r>
      <w:r w:rsidRPr="00D4309F">
        <w:rPr>
          <w:spacing w:val="-3"/>
        </w:rPr>
        <w:t xml:space="preserve"> </w:t>
      </w:r>
      <w:r w:rsidRPr="00D4309F">
        <w:t>Mooloolaba</w:t>
      </w:r>
      <w:r w:rsidRPr="00D4309F">
        <w:rPr>
          <w:spacing w:val="-3"/>
        </w:rPr>
        <w:t xml:space="preserve"> </w:t>
      </w:r>
      <w:r w:rsidRPr="00D4309F">
        <w:t>Entrance</w:t>
      </w:r>
      <w:r w:rsidRPr="00D4309F">
        <w:rPr>
          <w:spacing w:val="-4"/>
        </w:rPr>
        <w:t xml:space="preserve"> </w:t>
      </w:r>
      <w:r w:rsidRPr="00D4309F">
        <w:t>App,</w:t>
      </w:r>
      <w:r w:rsidRPr="00D4309F">
        <w:rPr>
          <w:spacing w:val="-3"/>
        </w:rPr>
        <w:t xml:space="preserve"> </w:t>
      </w:r>
      <w:r w:rsidRPr="00D4309F">
        <w:t>similar</w:t>
      </w:r>
      <w:r w:rsidRPr="00D4309F">
        <w:rPr>
          <w:spacing w:val="-2"/>
        </w:rPr>
        <w:t xml:space="preserve"> </w:t>
      </w:r>
      <w:r w:rsidRPr="00D4309F">
        <w:t>to</w:t>
      </w:r>
      <w:r w:rsidRPr="00D4309F">
        <w:rPr>
          <w:spacing w:val="-3"/>
        </w:rPr>
        <w:t xml:space="preserve"> </w:t>
      </w:r>
      <w:r w:rsidRPr="00D4309F">
        <w:t>the</w:t>
      </w:r>
      <w:r w:rsidRPr="00D4309F">
        <w:rPr>
          <w:spacing w:val="-3"/>
        </w:rPr>
        <w:t xml:space="preserve"> </w:t>
      </w:r>
      <w:r w:rsidRPr="00D4309F">
        <w:t>Tweed</w:t>
      </w:r>
      <w:r w:rsidRPr="00D4309F">
        <w:rPr>
          <w:spacing w:val="-3"/>
        </w:rPr>
        <w:t xml:space="preserve"> </w:t>
      </w:r>
      <w:r w:rsidRPr="00D4309F">
        <w:t>Entrance</w:t>
      </w:r>
      <w:r w:rsidRPr="00D4309F">
        <w:rPr>
          <w:spacing w:val="-4"/>
        </w:rPr>
        <w:t xml:space="preserve"> </w:t>
      </w:r>
      <w:r w:rsidRPr="00D4309F">
        <w:t>app</w:t>
      </w:r>
      <w:r w:rsidRPr="00D4309F">
        <w:rPr>
          <w:spacing w:val="-4"/>
        </w:rPr>
        <w:t xml:space="preserve"> </w:t>
      </w:r>
      <w:r w:rsidRPr="00D4309F">
        <w:t xml:space="preserve">that </w:t>
      </w:r>
      <w:r w:rsidRPr="00D4309F">
        <w:rPr>
          <w:spacing w:val="-2"/>
        </w:rPr>
        <w:t>provides:</w:t>
      </w:r>
    </w:p>
    <w:p w14:paraId="56A80246" w14:textId="77777777" w:rsidR="00725977" w:rsidRPr="00D4309F" w:rsidRDefault="00725977" w:rsidP="000D5B19">
      <w:pPr>
        <w:pStyle w:val="ListBullet2"/>
      </w:pPr>
      <w:r w:rsidRPr="00D4309F">
        <w:t>Up</w:t>
      </w:r>
      <w:r w:rsidRPr="00D4309F">
        <w:rPr>
          <w:spacing w:val="-3"/>
        </w:rPr>
        <w:t xml:space="preserve"> </w:t>
      </w:r>
      <w:r w:rsidRPr="00D4309F">
        <w:t>to</w:t>
      </w:r>
      <w:r w:rsidRPr="00D4309F">
        <w:rPr>
          <w:spacing w:val="-2"/>
        </w:rPr>
        <w:t xml:space="preserve"> </w:t>
      </w:r>
      <w:r w:rsidRPr="00D4309F">
        <w:t>date</w:t>
      </w:r>
      <w:r w:rsidRPr="00D4309F">
        <w:rPr>
          <w:spacing w:val="-3"/>
        </w:rPr>
        <w:t xml:space="preserve"> </w:t>
      </w:r>
      <w:r w:rsidRPr="00D4309F">
        <w:t>entrance</w:t>
      </w:r>
      <w:r w:rsidRPr="00D4309F">
        <w:rPr>
          <w:spacing w:val="-2"/>
        </w:rPr>
        <w:t xml:space="preserve"> conditions.</w:t>
      </w:r>
    </w:p>
    <w:p w14:paraId="066C158B" w14:textId="77777777" w:rsidR="00725977" w:rsidRPr="00D4309F" w:rsidRDefault="00725977" w:rsidP="000D5B19">
      <w:pPr>
        <w:pStyle w:val="ListBullet2"/>
      </w:pPr>
      <w:r w:rsidRPr="00D4309F">
        <w:t>Weather</w:t>
      </w:r>
      <w:r w:rsidRPr="00D4309F">
        <w:rPr>
          <w:spacing w:val="-4"/>
        </w:rPr>
        <w:t xml:space="preserve"> </w:t>
      </w:r>
      <w:r w:rsidRPr="00D4309F">
        <w:t>observations</w:t>
      </w:r>
      <w:r w:rsidRPr="00D4309F">
        <w:rPr>
          <w:spacing w:val="-4"/>
        </w:rPr>
        <w:t xml:space="preserve"> </w:t>
      </w:r>
      <w:r w:rsidRPr="00D4309F">
        <w:t>and</w:t>
      </w:r>
      <w:r w:rsidRPr="00D4309F">
        <w:rPr>
          <w:spacing w:val="-5"/>
        </w:rPr>
        <w:t xml:space="preserve"> </w:t>
      </w:r>
      <w:r w:rsidRPr="00D4309F">
        <w:t>forecasts</w:t>
      </w:r>
      <w:r w:rsidRPr="00D4309F">
        <w:rPr>
          <w:spacing w:val="-4"/>
        </w:rPr>
        <w:t xml:space="preserve"> </w:t>
      </w:r>
      <w:r w:rsidRPr="00D4309F">
        <w:t>(wind,</w:t>
      </w:r>
      <w:r w:rsidRPr="00D4309F">
        <w:rPr>
          <w:spacing w:val="-4"/>
        </w:rPr>
        <w:t xml:space="preserve"> </w:t>
      </w:r>
      <w:r w:rsidRPr="00D4309F">
        <w:t>wave</w:t>
      </w:r>
      <w:r w:rsidRPr="00D4309F">
        <w:rPr>
          <w:spacing w:val="-4"/>
        </w:rPr>
        <w:t xml:space="preserve"> </w:t>
      </w:r>
      <w:r w:rsidRPr="00D4309F">
        <w:t>and</w:t>
      </w:r>
      <w:r w:rsidRPr="00D4309F">
        <w:rPr>
          <w:spacing w:val="-4"/>
        </w:rPr>
        <w:t xml:space="preserve"> </w:t>
      </w:r>
      <w:r w:rsidRPr="00D4309F">
        <w:t>tide</w:t>
      </w:r>
      <w:r w:rsidRPr="00D4309F">
        <w:rPr>
          <w:spacing w:val="-4"/>
        </w:rPr>
        <w:t xml:space="preserve"> etc)</w:t>
      </w:r>
    </w:p>
    <w:p w14:paraId="7B832E5D" w14:textId="77777777" w:rsidR="00725977" w:rsidRPr="00D4309F" w:rsidRDefault="00725977" w:rsidP="000D5B19">
      <w:pPr>
        <w:pStyle w:val="ListBullet2"/>
      </w:pPr>
      <w:r w:rsidRPr="00D4309F">
        <w:t>Latest</w:t>
      </w:r>
      <w:r w:rsidRPr="00D4309F">
        <w:rPr>
          <w:spacing w:val="-5"/>
        </w:rPr>
        <w:t xml:space="preserve"> </w:t>
      </w:r>
      <w:r w:rsidRPr="00D4309F">
        <w:t>accurate</w:t>
      </w:r>
      <w:r w:rsidRPr="00D4309F">
        <w:rPr>
          <w:spacing w:val="-4"/>
        </w:rPr>
        <w:t xml:space="preserve"> </w:t>
      </w:r>
      <w:r w:rsidRPr="00D4309F">
        <w:t>entrance</w:t>
      </w:r>
      <w:r w:rsidRPr="00D4309F">
        <w:rPr>
          <w:spacing w:val="-4"/>
        </w:rPr>
        <w:t xml:space="preserve"> </w:t>
      </w:r>
      <w:r w:rsidRPr="00D4309F">
        <w:rPr>
          <w:spacing w:val="-2"/>
        </w:rPr>
        <w:t>bathymetry.</w:t>
      </w:r>
    </w:p>
    <w:p w14:paraId="7296A0D1" w14:textId="77777777" w:rsidR="00725977" w:rsidRPr="00D4309F" w:rsidRDefault="00725977" w:rsidP="000D5B19">
      <w:pPr>
        <w:pStyle w:val="ListBullet2"/>
      </w:pPr>
      <w:r w:rsidRPr="00D4309F">
        <w:t>Notices</w:t>
      </w:r>
      <w:r w:rsidRPr="00D4309F">
        <w:rPr>
          <w:spacing w:val="-4"/>
        </w:rPr>
        <w:t xml:space="preserve"> </w:t>
      </w:r>
      <w:r w:rsidRPr="00D4309F">
        <w:t>to</w:t>
      </w:r>
      <w:r w:rsidRPr="00D4309F">
        <w:rPr>
          <w:spacing w:val="-4"/>
        </w:rPr>
        <w:t xml:space="preserve"> </w:t>
      </w:r>
      <w:r w:rsidRPr="00D4309F">
        <w:t>Mariners,</w:t>
      </w:r>
      <w:r w:rsidRPr="00D4309F">
        <w:rPr>
          <w:spacing w:val="-5"/>
        </w:rPr>
        <w:t xml:space="preserve"> </w:t>
      </w:r>
      <w:r w:rsidRPr="00D4309F">
        <w:t>warnings</w:t>
      </w:r>
      <w:r w:rsidRPr="00D4309F">
        <w:rPr>
          <w:spacing w:val="-3"/>
        </w:rPr>
        <w:t xml:space="preserve"> </w:t>
      </w:r>
      <w:r w:rsidRPr="00D4309F">
        <w:t>and</w:t>
      </w:r>
      <w:r w:rsidRPr="00D4309F">
        <w:rPr>
          <w:spacing w:val="-4"/>
        </w:rPr>
        <w:t xml:space="preserve"> </w:t>
      </w:r>
      <w:r w:rsidRPr="00D4309F">
        <w:rPr>
          <w:spacing w:val="-2"/>
        </w:rPr>
        <w:t>advice.</w:t>
      </w:r>
    </w:p>
    <w:p w14:paraId="17A455A8" w14:textId="77777777" w:rsidR="00725977" w:rsidRPr="005906AD" w:rsidRDefault="00725977" w:rsidP="000D5B19">
      <w:pPr>
        <w:pStyle w:val="ListBullet2"/>
      </w:pPr>
      <w:r w:rsidRPr="00D4309F">
        <w:t>Access</w:t>
      </w:r>
      <w:r w:rsidRPr="00D4309F">
        <w:rPr>
          <w:spacing w:val="-3"/>
        </w:rPr>
        <w:t xml:space="preserve"> </w:t>
      </w:r>
      <w:r w:rsidRPr="00D4309F">
        <w:t>to</w:t>
      </w:r>
      <w:r w:rsidRPr="00D4309F">
        <w:rPr>
          <w:spacing w:val="-3"/>
        </w:rPr>
        <w:t xml:space="preserve"> </w:t>
      </w:r>
      <w:r w:rsidRPr="00D4309F">
        <w:t>webcams</w:t>
      </w:r>
      <w:r w:rsidRPr="00D4309F">
        <w:rPr>
          <w:spacing w:val="-3"/>
        </w:rPr>
        <w:t xml:space="preserve"> </w:t>
      </w:r>
      <w:r w:rsidRPr="00D4309F">
        <w:t>of</w:t>
      </w:r>
      <w:r w:rsidRPr="00D4309F">
        <w:rPr>
          <w:spacing w:val="-3"/>
        </w:rPr>
        <w:t xml:space="preserve"> </w:t>
      </w:r>
      <w:r w:rsidRPr="00D4309F">
        <w:t>entrance</w:t>
      </w:r>
      <w:r w:rsidRPr="00D4309F">
        <w:rPr>
          <w:spacing w:val="-3"/>
        </w:rPr>
        <w:t xml:space="preserve"> </w:t>
      </w:r>
      <w:r w:rsidRPr="00D4309F">
        <w:rPr>
          <w:spacing w:val="-2"/>
        </w:rPr>
        <w:t>conditions.</w:t>
      </w:r>
    </w:p>
    <w:p w14:paraId="0F7FE64A" w14:textId="77777777" w:rsidR="005906AD" w:rsidRPr="00D4309F" w:rsidRDefault="005906AD" w:rsidP="005906AD">
      <w:pPr>
        <w:pStyle w:val="BodyText"/>
      </w:pPr>
    </w:p>
    <w:p w14:paraId="62F72AF9" w14:textId="77777777" w:rsidR="00725977" w:rsidRDefault="00725977" w:rsidP="005906AD">
      <w:pPr>
        <w:pStyle w:val="BodyText"/>
        <w:jc w:val="center"/>
      </w:pPr>
      <w:r w:rsidRPr="00D4309F">
        <w:rPr>
          <w:noProof/>
        </w:rPr>
        <w:drawing>
          <wp:inline distT="0" distB="0" distL="0" distR="0" wp14:anchorId="411968BF" wp14:editId="5B825BE2">
            <wp:extent cx="4571571" cy="3886200"/>
            <wp:effectExtent l="0" t="0" r="635" b="0"/>
            <wp:docPr id="68" name="Image 68" descr="Image is a screenshot example of the Tweed River entrance conditions webp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descr="Image is a screenshot example of the Tweed River entrance conditions webpag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571571" cy="3886200"/>
                    </a:xfrm>
                    <a:prstGeom prst="rect">
                      <a:avLst/>
                    </a:prstGeom>
                  </pic:spPr>
                </pic:pic>
              </a:graphicData>
            </a:graphic>
          </wp:inline>
        </w:drawing>
      </w:r>
      <w:bookmarkStart w:id="162" w:name="_bookmark69"/>
      <w:bookmarkEnd w:id="162"/>
    </w:p>
    <w:p w14:paraId="68F0E15F" w14:textId="29F65A5A" w:rsidR="005906AD" w:rsidRDefault="005906AD" w:rsidP="00EF4321">
      <w:pPr>
        <w:pStyle w:val="Caption"/>
        <w:rPr>
          <w:spacing w:val="-2"/>
        </w:rPr>
      </w:pPr>
      <w:bookmarkStart w:id="163" w:name="_Toc216699605"/>
      <w:r>
        <w:t xml:space="preserve">Figure </w:t>
      </w:r>
      <w:r w:rsidR="00B538D4">
        <w:fldChar w:fldCharType="begin" w:fldLock="1"/>
      </w:r>
      <w:r w:rsidR="00B538D4">
        <w:instrText xml:space="preserve"> STYLEREF 1 \s </w:instrText>
      </w:r>
      <w:r w:rsidR="00B538D4">
        <w:fldChar w:fldCharType="separate"/>
      </w:r>
      <w:r w:rsidR="00B538D4">
        <w:rPr>
          <w:noProof/>
        </w:rPr>
        <w:t>10</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3</w:t>
      </w:r>
      <w:r w:rsidR="00B538D4">
        <w:fldChar w:fldCharType="end"/>
      </w:r>
      <w:r>
        <w:t>:</w:t>
      </w:r>
      <w:r>
        <w:tab/>
      </w:r>
      <w:r w:rsidRPr="00D4309F">
        <w:t>Example</w:t>
      </w:r>
      <w:r w:rsidRPr="00D4309F">
        <w:rPr>
          <w:spacing w:val="-3"/>
        </w:rPr>
        <w:t xml:space="preserve"> </w:t>
      </w:r>
      <w:r w:rsidRPr="00D4309F">
        <w:t>of</w:t>
      </w:r>
      <w:r w:rsidRPr="00D4309F">
        <w:rPr>
          <w:spacing w:val="-2"/>
        </w:rPr>
        <w:t xml:space="preserve"> </w:t>
      </w:r>
      <w:r w:rsidRPr="00D4309F">
        <w:t>Tweed</w:t>
      </w:r>
      <w:r w:rsidRPr="00D4309F">
        <w:rPr>
          <w:spacing w:val="-2"/>
        </w:rPr>
        <w:t xml:space="preserve"> </w:t>
      </w:r>
      <w:r w:rsidRPr="00D4309F">
        <w:t>River</w:t>
      </w:r>
      <w:r w:rsidRPr="00D4309F">
        <w:rPr>
          <w:spacing w:val="-3"/>
        </w:rPr>
        <w:t xml:space="preserve"> </w:t>
      </w:r>
      <w:r w:rsidRPr="00D4309F">
        <w:t>Entrance</w:t>
      </w:r>
      <w:r w:rsidRPr="00D4309F">
        <w:rPr>
          <w:spacing w:val="-3"/>
        </w:rPr>
        <w:t xml:space="preserve"> </w:t>
      </w:r>
      <w:r w:rsidRPr="00D4309F">
        <w:t>conditions</w:t>
      </w:r>
      <w:r w:rsidRPr="00D4309F">
        <w:rPr>
          <w:spacing w:val="-2"/>
        </w:rPr>
        <w:t xml:space="preserve"> webpage</w:t>
      </w:r>
      <w:bookmarkEnd w:id="163"/>
    </w:p>
    <w:p w14:paraId="7DBBB2AE" w14:textId="77777777" w:rsidR="00F06E88" w:rsidRPr="00F06E88" w:rsidRDefault="00F06E88" w:rsidP="00F06E88">
      <w:pPr>
        <w:pStyle w:val="BodyText"/>
      </w:pPr>
    </w:p>
    <w:p w14:paraId="30AD62A0" w14:textId="77777777" w:rsidR="00725977" w:rsidRPr="00D4309F" w:rsidRDefault="00725977" w:rsidP="00725977">
      <w:pPr>
        <w:pStyle w:val="Heading3"/>
      </w:pPr>
      <w:bookmarkStart w:id="164" w:name="_bookmark70"/>
      <w:bookmarkStart w:id="165" w:name="_Toc216699348"/>
      <w:bookmarkEnd w:id="164"/>
      <w:r w:rsidRPr="00D4309F">
        <w:lastRenderedPageBreak/>
        <w:t>Western</w:t>
      </w:r>
      <w:r w:rsidRPr="00D4309F">
        <w:rPr>
          <w:spacing w:val="-15"/>
        </w:rPr>
        <w:t xml:space="preserve"> </w:t>
      </w:r>
      <w:r w:rsidRPr="00D4309F">
        <w:t>Channel</w:t>
      </w:r>
      <w:r w:rsidRPr="00D4309F">
        <w:rPr>
          <w:spacing w:val="-13"/>
        </w:rPr>
        <w:t xml:space="preserve"> </w:t>
      </w:r>
      <w:r w:rsidRPr="00D4309F">
        <w:rPr>
          <w:spacing w:val="-2"/>
        </w:rPr>
        <w:t>Trial</w:t>
      </w:r>
      <w:bookmarkEnd w:id="165"/>
    </w:p>
    <w:p w14:paraId="06AD607B" w14:textId="5304F54E" w:rsidR="00725977" w:rsidRPr="00D4309F" w:rsidRDefault="00725977" w:rsidP="00725977">
      <w:pPr>
        <w:pStyle w:val="BodyText"/>
      </w:pPr>
      <w:r w:rsidRPr="00D4309F">
        <w:t>The</w:t>
      </w:r>
      <w:r w:rsidRPr="00D4309F">
        <w:rPr>
          <w:spacing w:val="-2"/>
        </w:rPr>
        <w:t xml:space="preserve"> </w:t>
      </w:r>
      <w:r w:rsidRPr="00D4309F">
        <w:t>Western</w:t>
      </w:r>
      <w:r w:rsidRPr="00D4309F">
        <w:rPr>
          <w:spacing w:val="-3"/>
        </w:rPr>
        <w:t xml:space="preserve"> </w:t>
      </w:r>
      <w:r w:rsidRPr="00D4309F">
        <w:t>Channel</w:t>
      </w:r>
      <w:r w:rsidRPr="00D4309F">
        <w:rPr>
          <w:spacing w:val="-2"/>
        </w:rPr>
        <w:t xml:space="preserve"> </w:t>
      </w:r>
      <w:r w:rsidRPr="00D4309F">
        <w:t>Trial</w:t>
      </w:r>
      <w:r w:rsidRPr="00D4309F">
        <w:rPr>
          <w:spacing w:val="-3"/>
        </w:rPr>
        <w:t xml:space="preserve"> </w:t>
      </w:r>
      <w:r w:rsidRPr="00D4309F">
        <w:t>was</w:t>
      </w:r>
      <w:r w:rsidRPr="00D4309F">
        <w:rPr>
          <w:spacing w:val="-1"/>
        </w:rPr>
        <w:t xml:space="preserve"> </w:t>
      </w:r>
      <w:r w:rsidRPr="00D4309F">
        <w:t>implemented</w:t>
      </w:r>
      <w:r w:rsidRPr="00D4309F">
        <w:rPr>
          <w:spacing w:val="-2"/>
        </w:rPr>
        <w:t xml:space="preserve"> </w:t>
      </w:r>
      <w:r w:rsidRPr="00D4309F">
        <w:t>in</w:t>
      </w:r>
      <w:r w:rsidRPr="00D4309F">
        <w:rPr>
          <w:spacing w:val="-2"/>
        </w:rPr>
        <w:t xml:space="preserve"> </w:t>
      </w:r>
      <w:r w:rsidRPr="00D4309F">
        <w:t>late</w:t>
      </w:r>
      <w:r w:rsidRPr="00D4309F">
        <w:rPr>
          <w:spacing w:val="-2"/>
        </w:rPr>
        <w:t xml:space="preserve"> </w:t>
      </w:r>
      <w:r w:rsidRPr="00D4309F">
        <w:t>2022</w:t>
      </w:r>
      <w:r w:rsidRPr="00D4309F">
        <w:rPr>
          <w:spacing w:val="-2"/>
        </w:rPr>
        <w:t xml:space="preserve"> </w:t>
      </w:r>
      <w:r w:rsidRPr="00D4309F">
        <w:t>with</w:t>
      </w:r>
      <w:r w:rsidRPr="00D4309F">
        <w:rPr>
          <w:spacing w:val="-2"/>
        </w:rPr>
        <w:t xml:space="preserve"> </w:t>
      </w:r>
      <w:r w:rsidRPr="00D4309F">
        <w:t>the</w:t>
      </w:r>
      <w:r w:rsidRPr="00D4309F">
        <w:rPr>
          <w:spacing w:val="-2"/>
        </w:rPr>
        <w:t xml:space="preserve"> </w:t>
      </w:r>
      <w:r w:rsidRPr="00D4309F">
        <w:t>intention</w:t>
      </w:r>
      <w:r w:rsidRPr="00D4309F">
        <w:rPr>
          <w:spacing w:val="-2"/>
        </w:rPr>
        <w:t xml:space="preserve"> </w:t>
      </w:r>
      <w:r w:rsidRPr="00D4309F">
        <w:t>to</w:t>
      </w:r>
      <w:r w:rsidRPr="00D4309F">
        <w:rPr>
          <w:spacing w:val="-2"/>
        </w:rPr>
        <w:t xml:space="preserve"> </w:t>
      </w:r>
      <w:r w:rsidRPr="00D4309F">
        <w:t>maintain</w:t>
      </w:r>
      <w:r w:rsidRPr="00D4309F">
        <w:rPr>
          <w:spacing w:val="-2"/>
        </w:rPr>
        <w:t xml:space="preserve"> </w:t>
      </w:r>
      <w:r w:rsidRPr="00D4309F">
        <w:t>an</w:t>
      </w:r>
      <w:r w:rsidRPr="00D4309F">
        <w:rPr>
          <w:spacing w:val="-2"/>
        </w:rPr>
        <w:t xml:space="preserve"> </w:t>
      </w:r>
      <w:r w:rsidRPr="00D4309F">
        <w:t>access</w:t>
      </w:r>
      <w:r w:rsidRPr="00D4309F">
        <w:rPr>
          <w:spacing w:val="-2"/>
        </w:rPr>
        <w:t xml:space="preserve"> </w:t>
      </w:r>
      <w:r w:rsidRPr="00D4309F">
        <w:t>channel</w:t>
      </w:r>
      <w:r w:rsidRPr="00D4309F">
        <w:rPr>
          <w:spacing w:val="-4"/>
        </w:rPr>
        <w:t xml:space="preserve"> </w:t>
      </w:r>
      <w:r w:rsidRPr="00D4309F">
        <w:t>to the west of the entrance.</w:t>
      </w:r>
      <w:r w:rsidRPr="00D4309F">
        <w:rPr>
          <w:spacing w:val="-1"/>
        </w:rPr>
        <w:t xml:space="preserve"> </w:t>
      </w:r>
      <w:r w:rsidRPr="00D4309F">
        <w:t xml:space="preserve">Dredging of a basin to the west of the entrance was </w:t>
      </w:r>
      <w:r w:rsidR="001057ED">
        <w:t>completed in</w:t>
      </w:r>
      <w:r w:rsidRPr="00D4309F">
        <w:t xml:space="preserve"> </w:t>
      </w:r>
      <w:r w:rsidR="00E95BA2">
        <w:t xml:space="preserve">March </w:t>
      </w:r>
      <w:r w:rsidRPr="00D4309F">
        <w:t>2023</w:t>
      </w:r>
      <w:r w:rsidR="001057ED">
        <w:t xml:space="preserve">. </w:t>
      </w:r>
      <w:r w:rsidRPr="00D4309F">
        <w:t xml:space="preserve"> </w:t>
      </w:r>
      <w:r w:rsidR="001057ED">
        <w:t>It</w:t>
      </w:r>
      <w:r w:rsidRPr="00D4309F">
        <w:t xml:space="preserve"> has subsequently been maintained in conjunction with regular dredging of the entrance.</w:t>
      </w:r>
    </w:p>
    <w:p w14:paraId="445B05AE" w14:textId="77777777" w:rsidR="00725977" w:rsidRPr="00D4309F" w:rsidRDefault="00725977" w:rsidP="00D27F26">
      <w:pPr>
        <w:pStyle w:val="ListNumber"/>
        <w:numPr>
          <w:ilvl w:val="0"/>
          <w:numId w:val="484"/>
        </w:numPr>
      </w:pPr>
      <w:r w:rsidRPr="00D4309F">
        <w:t>The</w:t>
      </w:r>
      <w:r w:rsidRPr="00684B07">
        <w:rPr>
          <w:spacing w:val="-6"/>
        </w:rPr>
        <w:t xml:space="preserve"> </w:t>
      </w:r>
      <w:r w:rsidRPr="00D4309F">
        <w:t>latest</w:t>
      </w:r>
      <w:r w:rsidRPr="00684B07">
        <w:rPr>
          <w:spacing w:val="-4"/>
        </w:rPr>
        <w:t xml:space="preserve"> </w:t>
      </w:r>
      <w:r w:rsidRPr="00D4309F">
        <w:t>outcomes</w:t>
      </w:r>
      <w:r w:rsidRPr="00684B07">
        <w:rPr>
          <w:spacing w:val="-2"/>
        </w:rPr>
        <w:t xml:space="preserve"> </w:t>
      </w:r>
      <w:r w:rsidRPr="00D4309F">
        <w:t>of</w:t>
      </w:r>
      <w:r w:rsidRPr="00684B07">
        <w:rPr>
          <w:spacing w:val="-3"/>
        </w:rPr>
        <w:t xml:space="preserve"> </w:t>
      </w:r>
      <w:r w:rsidRPr="00D4309F">
        <w:t>the</w:t>
      </w:r>
      <w:r w:rsidRPr="00684B07">
        <w:rPr>
          <w:spacing w:val="-4"/>
        </w:rPr>
        <w:t xml:space="preserve"> </w:t>
      </w:r>
      <w:r w:rsidRPr="00D4309F">
        <w:t>trial</w:t>
      </w:r>
      <w:r w:rsidRPr="00684B07">
        <w:rPr>
          <w:spacing w:val="-3"/>
        </w:rPr>
        <w:t xml:space="preserve"> </w:t>
      </w:r>
      <w:r w:rsidRPr="00D4309F">
        <w:t>indicate</w:t>
      </w:r>
      <w:r w:rsidRPr="00684B07">
        <w:rPr>
          <w:spacing w:val="-4"/>
        </w:rPr>
        <w:t xml:space="preserve"> </w:t>
      </w:r>
      <w:r w:rsidRPr="00D4309F">
        <w:t>that</w:t>
      </w:r>
      <w:r w:rsidRPr="00684B07">
        <w:rPr>
          <w:spacing w:val="-3"/>
        </w:rPr>
        <w:t xml:space="preserve"> </w:t>
      </w:r>
      <w:r w:rsidRPr="00D4309F">
        <w:t>the</w:t>
      </w:r>
      <w:r w:rsidRPr="00684B07">
        <w:rPr>
          <w:spacing w:val="-3"/>
        </w:rPr>
        <w:t xml:space="preserve"> </w:t>
      </w:r>
      <w:r w:rsidRPr="00D4309F">
        <w:t>channel</w:t>
      </w:r>
      <w:r w:rsidRPr="00684B07">
        <w:rPr>
          <w:spacing w:val="-3"/>
        </w:rPr>
        <w:t xml:space="preserve"> </w:t>
      </w:r>
      <w:r w:rsidRPr="00D4309F">
        <w:t>has</w:t>
      </w:r>
      <w:r w:rsidRPr="00684B07">
        <w:rPr>
          <w:spacing w:val="-2"/>
        </w:rPr>
        <w:t xml:space="preserve"> </w:t>
      </w:r>
      <w:r w:rsidRPr="00D4309F">
        <w:t>improved</w:t>
      </w:r>
      <w:r w:rsidRPr="00684B07">
        <w:rPr>
          <w:spacing w:val="-3"/>
        </w:rPr>
        <w:t xml:space="preserve"> </w:t>
      </w:r>
      <w:r w:rsidRPr="00D4309F">
        <w:t>safe</w:t>
      </w:r>
      <w:r w:rsidRPr="00684B07">
        <w:rPr>
          <w:spacing w:val="-3"/>
        </w:rPr>
        <w:t xml:space="preserve"> </w:t>
      </w:r>
      <w:r w:rsidRPr="00684B07">
        <w:rPr>
          <w:spacing w:val="-2"/>
        </w:rPr>
        <w:t>access.</w:t>
      </w:r>
    </w:p>
    <w:p w14:paraId="72F5CA7C" w14:textId="77777777" w:rsidR="00725977" w:rsidRPr="00D4309F" w:rsidRDefault="00725977" w:rsidP="00D27F26">
      <w:pPr>
        <w:pStyle w:val="ListNumber"/>
        <w:numPr>
          <w:ilvl w:val="0"/>
          <w:numId w:val="484"/>
        </w:numPr>
      </w:pPr>
      <w:r w:rsidRPr="00D4309F">
        <w:t>A</w:t>
      </w:r>
      <w:r w:rsidRPr="00684B07">
        <w:rPr>
          <w:spacing w:val="-6"/>
        </w:rPr>
        <w:t xml:space="preserve"> </w:t>
      </w:r>
      <w:r w:rsidRPr="00D4309F">
        <w:t>high-level</w:t>
      </w:r>
      <w:r w:rsidRPr="00684B07">
        <w:rPr>
          <w:spacing w:val="-4"/>
        </w:rPr>
        <w:t xml:space="preserve"> </w:t>
      </w:r>
      <w:r w:rsidRPr="00D4309F">
        <w:t>review</w:t>
      </w:r>
      <w:r w:rsidRPr="00684B07">
        <w:rPr>
          <w:spacing w:val="-2"/>
        </w:rPr>
        <w:t xml:space="preserve"> </w:t>
      </w:r>
      <w:r w:rsidRPr="00D4309F">
        <w:t>of</w:t>
      </w:r>
      <w:r w:rsidRPr="00684B07">
        <w:rPr>
          <w:spacing w:val="-4"/>
        </w:rPr>
        <w:t xml:space="preserve"> </w:t>
      </w:r>
      <w:r w:rsidRPr="00D4309F">
        <w:t>survey</w:t>
      </w:r>
      <w:r w:rsidRPr="00684B07">
        <w:rPr>
          <w:spacing w:val="-3"/>
        </w:rPr>
        <w:t xml:space="preserve"> </w:t>
      </w:r>
      <w:r w:rsidRPr="00D4309F">
        <w:t>data</w:t>
      </w:r>
      <w:r w:rsidRPr="00684B07">
        <w:rPr>
          <w:spacing w:val="-4"/>
        </w:rPr>
        <w:t xml:space="preserve"> </w:t>
      </w:r>
      <w:r w:rsidRPr="00D4309F">
        <w:t>suggests</w:t>
      </w:r>
      <w:r w:rsidRPr="00684B07">
        <w:rPr>
          <w:spacing w:val="-3"/>
        </w:rPr>
        <w:t xml:space="preserve"> </w:t>
      </w:r>
      <w:r w:rsidRPr="00D4309F">
        <w:t>that</w:t>
      </w:r>
      <w:r w:rsidRPr="00684B07">
        <w:rPr>
          <w:spacing w:val="-5"/>
        </w:rPr>
        <w:t xml:space="preserve"> </w:t>
      </w:r>
      <w:r w:rsidRPr="00D4309F">
        <w:t>during</w:t>
      </w:r>
      <w:r w:rsidRPr="00684B07">
        <w:rPr>
          <w:spacing w:val="-3"/>
        </w:rPr>
        <w:t xml:space="preserve"> </w:t>
      </w:r>
      <w:r w:rsidRPr="00D4309F">
        <w:t>sand</w:t>
      </w:r>
      <w:r w:rsidRPr="00684B07">
        <w:rPr>
          <w:spacing w:val="-4"/>
        </w:rPr>
        <w:t xml:space="preserve"> </w:t>
      </w:r>
      <w:r w:rsidRPr="00D4309F">
        <w:t>shoaling</w:t>
      </w:r>
      <w:r w:rsidRPr="00684B07">
        <w:rPr>
          <w:spacing w:val="-3"/>
        </w:rPr>
        <w:t xml:space="preserve"> </w:t>
      </w:r>
      <w:r w:rsidRPr="00684B07">
        <w:rPr>
          <w:spacing w:val="-2"/>
        </w:rPr>
        <w:t>events:</w:t>
      </w:r>
    </w:p>
    <w:p w14:paraId="5A65F4ED" w14:textId="77777777" w:rsidR="00725977" w:rsidRPr="00D4309F" w:rsidRDefault="00725977" w:rsidP="00D27F26">
      <w:pPr>
        <w:pStyle w:val="ListNumber2"/>
      </w:pPr>
      <w:r w:rsidRPr="00D27F26">
        <w:t>Sand shoals tend to occur and be the largest (and most hazardous) seaward of the entrance where there is the greatest net difference in sediment transport across the bay, as well as interactions with ebb/flood tidal flows from the river.</w:t>
      </w:r>
    </w:p>
    <w:p w14:paraId="147207EF" w14:textId="77777777" w:rsidR="00725977" w:rsidRPr="00D4309F" w:rsidRDefault="00725977" w:rsidP="00D27F26">
      <w:pPr>
        <w:pStyle w:val="ListNumber2"/>
      </w:pPr>
      <w:r w:rsidRPr="00D27F26">
        <w:t>As the sand shoal gradually migrates westwards, the shoal tends to naturally disperse across Mooloolaba Bay and ‘weld’ into the nearshore system at Mooloolaba Beach.</w:t>
      </w:r>
    </w:p>
    <w:p w14:paraId="75A71B83" w14:textId="77777777" w:rsidR="00725977" w:rsidRPr="00D4309F" w:rsidRDefault="00725977" w:rsidP="00D27F26">
      <w:pPr>
        <w:pStyle w:val="ListNumber2"/>
      </w:pPr>
      <w:r w:rsidRPr="00D27F26">
        <w:t>During such shoaling events, safe navigation of the entrance through the western channel is more likely to be available (subject to safe marine conditions) and provide a viable alternative until the main entrance channel can be re-dredged.</w:t>
      </w:r>
    </w:p>
    <w:p w14:paraId="26D75991" w14:textId="77777777" w:rsidR="00725977" w:rsidRPr="00D4309F" w:rsidRDefault="00725977" w:rsidP="00684B07">
      <w:pPr>
        <w:pStyle w:val="ListNumber"/>
      </w:pPr>
      <w:r w:rsidRPr="00D4309F">
        <w:t>While</w:t>
      </w:r>
      <w:r w:rsidRPr="00D4309F">
        <w:rPr>
          <w:spacing w:val="-6"/>
        </w:rPr>
        <w:t xml:space="preserve"> </w:t>
      </w:r>
      <w:r w:rsidRPr="00D4309F">
        <w:t>the</w:t>
      </w:r>
      <w:r w:rsidRPr="00D4309F">
        <w:rPr>
          <w:spacing w:val="-5"/>
        </w:rPr>
        <w:t xml:space="preserve"> </w:t>
      </w:r>
      <w:r w:rsidRPr="00D4309F">
        <w:t>Western</w:t>
      </w:r>
      <w:r w:rsidRPr="00D4309F">
        <w:rPr>
          <w:spacing w:val="-5"/>
        </w:rPr>
        <w:t xml:space="preserve"> </w:t>
      </w:r>
      <w:r w:rsidRPr="00D4309F">
        <w:t>Channel</w:t>
      </w:r>
      <w:r w:rsidRPr="00D4309F">
        <w:rPr>
          <w:spacing w:val="-4"/>
        </w:rPr>
        <w:t xml:space="preserve"> </w:t>
      </w:r>
      <w:r w:rsidRPr="00D4309F">
        <w:t>has</w:t>
      </w:r>
      <w:r w:rsidRPr="00D4309F">
        <w:rPr>
          <w:spacing w:val="-2"/>
        </w:rPr>
        <w:t xml:space="preserve"> </w:t>
      </w:r>
      <w:r w:rsidRPr="00D4309F">
        <w:t>been</w:t>
      </w:r>
      <w:r w:rsidRPr="00D4309F">
        <w:rPr>
          <w:spacing w:val="-4"/>
        </w:rPr>
        <w:t xml:space="preserve"> </w:t>
      </w:r>
      <w:r w:rsidRPr="00D4309F">
        <w:t>shown</w:t>
      </w:r>
      <w:r w:rsidRPr="00D4309F">
        <w:rPr>
          <w:spacing w:val="-4"/>
        </w:rPr>
        <w:t xml:space="preserve"> </w:t>
      </w:r>
      <w:r w:rsidRPr="00D4309F">
        <w:t>to</w:t>
      </w:r>
      <w:r w:rsidRPr="00D4309F">
        <w:rPr>
          <w:spacing w:val="-4"/>
        </w:rPr>
        <w:t xml:space="preserve"> </w:t>
      </w:r>
      <w:r w:rsidRPr="00D4309F">
        <w:t>improve</w:t>
      </w:r>
      <w:r w:rsidRPr="00D4309F">
        <w:rPr>
          <w:spacing w:val="-4"/>
        </w:rPr>
        <w:t xml:space="preserve"> </w:t>
      </w:r>
      <w:r w:rsidRPr="00D4309F">
        <w:t>safe</w:t>
      </w:r>
      <w:r w:rsidRPr="00D4309F">
        <w:rPr>
          <w:spacing w:val="-3"/>
        </w:rPr>
        <w:t xml:space="preserve"> </w:t>
      </w:r>
      <w:r w:rsidRPr="00D4309F">
        <w:t>access,</w:t>
      </w:r>
      <w:r w:rsidRPr="00D4309F">
        <w:rPr>
          <w:spacing w:val="-4"/>
        </w:rPr>
        <w:t xml:space="preserve"> </w:t>
      </w:r>
      <w:r w:rsidRPr="00D4309F">
        <w:t>the</w:t>
      </w:r>
      <w:r w:rsidRPr="00D4309F">
        <w:rPr>
          <w:spacing w:val="-4"/>
        </w:rPr>
        <w:t xml:space="preserve"> </w:t>
      </w:r>
      <w:r w:rsidRPr="00D4309F">
        <w:t>following</w:t>
      </w:r>
      <w:r w:rsidRPr="00D4309F">
        <w:rPr>
          <w:spacing w:val="-4"/>
        </w:rPr>
        <w:t xml:space="preserve"> </w:t>
      </w:r>
      <w:r w:rsidRPr="00D4309F">
        <w:t>safety</w:t>
      </w:r>
      <w:r w:rsidRPr="00D4309F">
        <w:rPr>
          <w:spacing w:val="-3"/>
        </w:rPr>
        <w:t xml:space="preserve"> </w:t>
      </w:r>
      <w:r w:rsidRPr="00D4309F">
        <w:t>issues</w:t>
      </w:r>
      <w:r w:rsidRPr="00D4309F">
        <w:rPr>
          <w:spacing w:val="-2"/>
        </w:rPr>
        <w:t xml:space="preserve"> remain:</w:t>
      </w:r>
    </w:p>
    <w:p w14:paraId="2E93D596" w14:textId="77777777" w:rsidR="00725977" w:rsidRPr="00D4309F" w:rsidRDefault="00725977" w:rsidP="00CF6628">
      <w:pPr>
        <w:pStyle w:val="ListNumber2"/>
      </w:pPr>
      <w:r w:rsidRPr="00CF6628">
        <w:t>The channel alignment may require mariners to travel more parallel to incident wave fronts, increasing navigational risks.</w:t>
      </w:r>
    </w:p>
    <w:p w14:paraId="7875A106" w14:textId="77777777" w:rsidR="00725977" w:rsidRPr="00D4309F" w:rsidRDefault="00725977" w:rsidP="00CF6628">
      <w:pPr>
        <w:pStyle w:val="ListNumber2"/>
      </w:pPr>
      <w:r w:rsidRPr="00CF6628">
        <w:t>The western channel is a longer pathway for mariners to reach deeper water.</w:t>
      </w:r>
    </w:p>
    <w:p w14:paraId="53AF5299" w14:textId="77777777" w:rsidR="00725977" w:rsidRPr="00D4309F" w:rsidRDefault="00725977" w:rsidP="00CF6628">
      <w:pPr>
        <w:pStyle w:val="ListNumber2"/>
      </w:pPr>
      <w:r w:rsidRPr="00CF6628">
        <w:t>Sand shoal location is dynamic, requiring mariners to navigate safely around it.</w:t>
      </w:r>
    </w:p>
    <w:p w14:paraId="08009552" w14:textId="77777777" w:rsidR="00725977" w:rsidRDefault="00725977" w:rsidP="00725977">
      <w:pPr>
        <w:pStyle w:val="BodyText"/>
      </w:pPr>
      <w:r w:rsidRPr="00D4309F">
        <w:rPr>
          <w:b/>
        </w:rPr>
        <w:t>Recommendation</w:t>
      </w:r>
      <w:r w:rsidRPr="00D4309F">
        <w:t>: Continue with the Western Channel Trial to provide interim improvements to navigation and</w:t>
      </w:r>
      <w:r w:rsidRPr="00D4309F">
        <w:rPr>
          <w:spacing w:val="-3"/>
        </w:rPr>
        <w:t xml:space="preserve"> </w:t>
      </w:r>
      <w:r w:rsidRPr="00D4309F">
        <w:t>inform</w:t>
      </w:r>
      <w:r w:rsidRPr="00D4309F">
        <w:rPr>
          <w:spacing w:val="-3"/>
        </w:rPr>
        <w:t xml:space="preserve"> </w:t>
      </w:r>
      <w:r w:rsidRPr="00D4309F">
        <w:t>longer-term</w:t>
      </w:r>
      <w:r w:rsidRPr="00D4309F">
        <w:rPr>
          <w:spacing w:val="-3"/>
        </w:rPr>
        <w:t xml:space="preserve"> </w:t>
      </w:r>
      <w:r w:rsidRPr="00D4309F">
        <w:t>strategies</w:t>
      </w:r>
      <w:r w:rsidRPr="00D4309F">
        <w:rPr>
          <w:spacing w:val="-2"/>
        </w:rPr>
        <w:t xml:space="preserve"> </w:t>
      </w:r>
      <w:r w:rsidRPr="00D4309F">
        <w:t>that</w:t>
      </w:r>
      <w:r w:rsidRPr="00D4309F">
        <w:rPr>
          <w:spacing w:val="-3"/>
        </w:rPr>
        <w:t xml:space="preserve"> </w:t>
      </w:r>
      <w:r w:rsidRPr="00D4309F">
        <w:t>incorporate</w:t>
      </w:r>
      <w:r w:rsidRPr="00D4309F">
        <w:rPr>
          <w:spacing w:val="-3"/>
        </w:rPr>
        <w:t xml:space="preserve"> </w:t>
      </w:r>
      <w:r w:rsidRPr="00D4309F">
        <w:t>the</w:t>
      </w:r>
      <w:r w:rsidRPr="00D4309F">
        <w:rPr>
          <w:spacing w:val="-3"/>
        </w:rPr>
        <w:t xml:space="preserve"> </w:t>
      </w:r>
      <w:r w:rsidRPr="00D4309F">
        <w:t>western</w:t>
      </w:r>
      <w:r w:rsidRPr="00D4309F">
        <w:rPr>
          <w:spacing w:val="-4"/>
        </w:rPr>
        <w:t xml:space="preserve"> </w:t>
      </w:r>
      <w:r w:rsidRPr="00D4309F">
        <w:t>channel.</w:t>
      </w:r>
      <w:r w:rsidRPr="00D4309F">
        <w:rPr>
          <w:spacing w:val="-4"/>
        </w:rPr>
        <w:t xml:space="preserve"> </w:t>
      </w:r>
      <w:r w:rsidRPr="00D4309F">
        <w:t>That</w:t>
      </w:r>
      <w:r w:rsidRPr="00D4309F">
        <w:rPr>
          <w:spacing w:val="-4"/>
        </w:rPr>
        <w:t xml:space="preserve"> </w:t>
      </w:r>
      <w:r w:rsidRPr="00D4309F">
        <w:t>this</w:t>
      </w:r>
      <w:r w:rsidRPr="00D4309F">
        <w:rPr>
          <w:spacing w:val="-2"/>
        </w:rPr>
        <w:t xml:space="preserve"> </w:t>
      </w:r>
      <w:r w:rsidRPr="00D4309F">
        <w:t>area</w:t>
      </w:r>
      <w:r w:rsidRPr="00D4309F">
        <w:rPr>
          <w:spacing w:val="-3"/>
        </w:rPr>
        <w:t xml:space="preserve"> </w:t>
      </w:r>
      <w:r w:rsidRPr="00D4309F">
        <w:t>is</w:t>
      </w:r>
      <w:r w:rsidRPr="00D4309F">
        <w:rPr>
          <w:spacing w:val="-2"/>
        </w:rPr>
        <w:t xml:space="preserve"> </w:t>
      </w:r>
      <w:r w:rsidRPr="00D4309F">
        <w:t>regularly</w:t>
      </w:r>
      <w:r w:rsidRPr="00D4309F">
        <w:rPr>
          <w:spacing w:val="-2"/>
        </w:rPr>
        <w:t xml:space="preserve"> </w:t>
      </w:r>
      <w:r w:rsidRPr="00D4309F">
        <w:t>monitored or surveyed, such as with up-to-date satellite deriver bathymetry, to always provide mariners with the indicative location of the sand shoal and safe navigation pathway.</w:t>
      </w:r>
    </w:p>
    <w:p w14:paraId="5A6B6566" w14:textId="77777777" w:rsidR="00F06E88" w:rsidRPr="00D4309F" w:rsidRDefault="00F06E88" w:rsidP="00725977">
      <w:pPr>
        <w:pStyle w:val="BodyText"/>
      </w:pPr>
    </w:p>
    <w:p w14:paraId="196D272F" w14:textId="3A1C86FF" w:rsidR="00725977" w:rsidRPr="00D4309F" w:rsidRDefault="00725977" w:rsidP="00725977">
      <w:pPr>
        <w:pStyle w:val="BodyText"/>
      </w:pPr>
      <w:r w:rsidRPr="00D4309F">
        <w:rPr>
          <w:noProof/>
        </w:rPr>
        <w:drawing>
          <wp:inline distT="0" distB="0" distL="0" distR="0" wp14:anchorId="16BD6C6B" wp14:editId="5CABF9E6">
            <wp:extent cx="6101121" cy="2657475"/>
            <wp:effectExtent l="0" t="0" r="0" b="0"/>
            <wp:docPr id="69" name="Image 69" descr="Three images have been collaged into one image, demonstrating the progression of sand shoal event across Mooloolaba Bay in 2025. First image is from March 2025, second image is from April 2025 and the last image is May 2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descr="Three images have been collaged into one image, demonstrating the progression of sand shoal event across Mooloolaba Bay in 2025. First image is from March 2025, second image is from April 2025 and the last image is May 2025."/>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01121" cy="2657475"/>
                    </a:xfrm>
                    <a:prstGeom prst="rect">
                      <a:avLst/>
                    </a:prstGeom>
                  </pic:spPr>
                </pic:pic>
              </a:graphicData>
            </a:graphic>
          </wp:inline>
        </w:drawing>
      </w:r>
    </w:p>
    <w:p w14:paraId="3ACC5B14" w14:textId="397AFC15" w:rsidR="005906AD" w:rsidRPr="004C59F9" w:rsidRDefault="005906AD" w:rsidP="00EF4321">
      <w:pPr>
        <w:pStyle w:val="Caption"/>
        <w:rPr>
          <w:noProof/>
          <w:color w:val="221E1F"/>
          <w:sz w:val="20"/>
        </w:rPr>
      </w:pPr>
      <w:bookmarkStart w:id="166" w:name="_bookmark71"/>
      <w:bookmarkStart w:id="167" w:name="_Toc216699606"/>
      <w:bookmarkEnd w:id="166"/>
      <w:r>
        <w:t xml:space="preserve">Figure </w:t>
      </w:r>
      <w:r w:rsidR="00B538D4">
        <w:fldChar w:fldCharType="begin" w:fldLock="1"/>
      </w:r>
      <w:r w:rsidR="00B538D4">
        <w:instrText xml:space="preserve"> STYLEREF 1 \s </w:instrText>
      </w:r>
      <w:r w:rsidR="00B538D4">
        <w:fldChar w:fldCharType="separate"/>
      </w:r>
      <w:r w:rsidR="00B538D4">
        <w:rPr>
          <w:noProof/>
        </w:rPr>
        <w:t>10</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4</w:t>
      </w:r>
      <w:r w:rsidR="00B538D4">
        <w:fldChar w:fldCharType="end"/>
      </w:r>
      <w:r>
        <w:t>:</w:t>
      </w:r>
      <w:r>
        <w:tab/>
      </w:r>
      <w:r w:rsidRPr="00EC0289">
        <w:t>Progression of sand shoal event across Mooloolaba Bay in 2025</w:t>
      </w:r>
      <w:bookmarkEnd w:id="167"/>
    </w:p>
    <w:p w14:paraId="0750BD42" w14:textId="77777777" w:rsidR="00725977" w:rsidRPr="00D4309F" w:rsidRDefault="00725977" w:rsidP="00725977">
      <w:pPr>
        <w:pStyle w:val="BodyText"/>
      </w:pPr>
    </w:p>
    <w:p w14:paraId="3F793B0F" w14:textId="77777777" w:rsidR="00725977" w:rsidRPr="00D4309F" w:rsidRDefault="00725977" w:rsidP="00725977">
      <w:pPr>
        <w:pStyle w:val="Heading4"/>
      </w:pPr>
      <w:r w:rsidRPr="00D4309F">
        <w:t>Potential</w:t>
      </w:r>
      <w:r w:rsidRPr="00D4309F">
        <w:rPr>
          <w:spacing w:val="-8"/>
        </w:rPr>
        <w:t xml:space="preserve"> </w:t>
      </w:r>
      <w:r w:rsidRPr="00D4309F">
        <w:t>environmental</w:t>
      </w:r>
      <w:r w:rsidRPr="00D4309F">
        <w:rPr>
          <w:spacing w:val="-5"/>
        </w:rPr>
        <w:t xml:space="preserve"> </w:t>
      </w:r>
      <w:r w:rsidRPr="00D4309F">
        <w:t>impacts</w:t>
      </w:r>
      <w:r w:rsidRPr="00D4309F">
        <w:rPr>
          <w:spacing w:val="-5"/>
        </w:rPr>
        <w:t xml:space="preserve"> </w:t>
      </w:r>
      <w:r w:rsidRPr="00D4309F">
        <w:t>of</w:t>
      </w:r>
      <w:r w:rsidRPr="00D4309F">
        <w:rPr>
          <w:spacing w:val="-5"/>
        </w:rPr>
        <w:t xml:space="preserve"> </w:t>
      </w:r>
      <w:r w:rsidRPr="00D4309F">
        <w:t>maintaining</w:t>
      </w:r>
      <w:r w:rsidRPr="00D4309F">
        <w:rPr>
          <w:spacing w:val="-5"/>
        </w:rPr>
        <w:t xml:space="preserve"> </w:t>
      </w:r>
      <w:r w:rsidRPr="00D4309F">
        <w:t>the</w:t>
      </w:r>
      <w:r w:rsidRPr="00D4309F">
        <w:rPr>
          <w:spacing w:val="-4"/>
        </w:rPr>
        <w:t xml:space="preserve"> </w:t>
      </w:r>
      <w:r w:rsidRPr="00D4309F">
        <w:t>western</w:t>
      </w:r>
      <w:r w:rsidRPr="00D4309F">
        <w:rPr>
          <w:spacing w:val="-4"/>
        </w:rPr>
        <w:t xml:space="preserve"> </w:t>
      </w:r>
      <w:r w:rsidRPr="00D4309F">
        <w:rPr>
          <w:spacing w:val="-2"/>
        </w:rPr>
        <w:t>channel</w:t>
      </w:r>
    </w:p>
    <w:p w14:paraId="28DB7D20" w14:textId="3B83A0C8" w:rsidR="00725977" w:rsidRDefault="00725977" w:rsidP="00725977">
      <w:pPr>
        <w:pStyle w:val="BodyText"/>
      </w:pPr>
      <w:r w:rsidRPr="00D4309F">
        <w:t>The</w:t>
      </w:r>
      <w:r w:rsidRPr="00D4309F">
        <w:rPr>
          <w:spacing w:val="-3"/>
        </w:rPr>
        <w:t xml:space="preserve"> </w:t>
      </w:r>
      <w:r w:rsidRPr="00D4309F">
        <w:t>potential</w:t>
      </w:r>
      <w:r w:rsidRPr="00D4309F">
        <w:rPr>
          <w:spacing w:val="-4"/>
        </w:rPr>
        <w:t xml:space="preserve"> </w:t>
      </w:r>
      <w:r w:rsidRPr="00D4309F">
        <w:t>environmental</w:t>
      </w:r>
      <w:r w:rsidRPr="00D4309F">
        <w:rPr>
          <w:spacing w:val="-3"/>
        </w:rPr>
        <w:t xml:space="preserve"> </w:t>
      </w:r>
      <w:r w:rsidRPr="00D4309F">
        <w:t>impacts</w:t>
      </w:r>
      <w:r w:rsidRPr="00D4309F">
        <w:rPr>
          <w:spacing w:val="-3"/>
        </w:rPr>
        <w:t xml:space="preserve"> </w:t>
      </w:r>
      <w:r w:rsidRPr="00D4309F">
        <w:t>resulting</w:t>
      </w:r>
      <w:r w:rsidRPr="00D4309F">
        <w:rPr>
          <w:spacing w:val="-3"/>
        </w:rPr>
        <w:t xml:space="preserve"> </w:t>
      </w:r>
      <w:r w:rsidRPr="00D4309F">
        <w:t>from</w:t>
      </w:r>
      <w:r w:rsidRPr="00D4309F">
        <w:rPr>
          <w:spacing w:val="-3"/>
        </w:rPr>
        <w:t xml:space="preserve"> </w:t>
      </w:r>
      <w:r w:rsidRPr="00D4309F">
        <w:t>the</w:t>
      </w:r>
      <w:r w:rsidRPr="00D4309F">
        <w:rPr>
          <w:spacing w:val="-4"/>
        </w:rPr>
        <w:t xml:space="preserve"> </w:t>
      </w:r>
      <w:r w:rsidRPr="00D4309F">
        <w:t>maintenance</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western</w:t>
      </w:r>
      <w:r w:rsidRPr="00D4309F">
        <w:rPr>
          <w:spacing w:val="-3"/>
        </w:rPr>
        <w:t xml:space="preserve"> </w:t>
      </w:r>
      <w:r w:rsidRPr="00D4309F">
        <w:t>channel</w:t>
      </w:r>
      <w:r w:rsidRPr="00D4309F">
        <w:rPr>
          <w:spacing w:val="-4"/>
        </w:rPr>
        <w:t xml:space="preserve"> </w:t>
      </w:r>
      <w:r w:rsidRPr="00D4309F">
        <w:t>will</w:t>
      </w:r>
      <w:r w:rsidRPr="00D4309F">
        <w:rPr>
          <w:spacing w:val="-3"/>
        </w:rPr>
        <w:t xml:space="preserve"> </w:t>
      </w:r>
      <w:r w:rsidRPr="00D4309F">
        <w:t>be</w:t>
      </w:r>
      <w:r w:rsidRPr="00D4309F">
        <w:rPr>
          <w:spacing w:val="-3"/>
        </w:rPr>
        <w:t xml:space="preserve"> </w:t>
      </w:r>
      <w:r w:rsidRPr="00D4309F">
        <w:t>similar</w:t>
      </w:r>
      <w:r w:rsidRPr="00D4309F">
        <w:rPr>
          <w:spacing w:val="-4"/>
        </w:rPr>
        <w:t xml:space="preserve"> </w:t>
      </w:r>
      <w:r w:rsidRPr="00D4309F">
        <w:t>to those of the dredging strategy (refer to Section</w:t>
      </w:r>
      <w:r w:rsidR="00A22A30">
        <w:t xml:space="preserve"> </w:t>
      </w:r>
      <w:r w:rsidR="00A22A30">
        <w:fldChar w:fldCharType="begin"/>
      </w:r>
      <w:r w:rsidR="00A22A30">
        <w:instrText xml:space="preserve"> REF _Ref216022348 \r \h </w:instrText>
      </w:r>
      <w:r w:rsidR="00A22A30">
        <w:fldChar w:fldCharType="separate"/>
      </w:r>
      <w:r w:rsidR="00A22A30">
        <w:t>10.1.7</w:t>
      </w:r>
      <w:r w:rsidR="00A22A30">
        <w:fldChar w:fldCharType="end"/>
      </w:r>
      <w:r w:rsidRPr="00D4309F">
        <w:t>) and can be refined via further assessment.</w:t>
      </w:r>
    </w:p>
    <w:p w14:paraId="290B7085" w14:textId="77777777" w:rsidR="0069057E" w:rsidRDefault="0069057E" w:rsidP="00725977">
      <w:pPr>
        <w:pStyle w:val="BodyText"/>
      </w:pPr>
    </w:p>
    <w:p w14:paraId="700B8F44" w14:textId="59286691" w:rsidR="00725977" w:rsidRPr="00D4309F" w:rsidRDefault="00725977" w:rsidP="00725977">
      <w:pPr>
        <w:pStyle w:val="Heading3"/>
      </w:pPr>
      <w:bookmarkStart w:id="168" w:name="_bookmark72"/>
      <w:bookmarkStart w:id="169" w:name="_Toc216699349"/>
      <w:bookmarkEnd w:id="168"/>
      <w:r w:rsidRPr="00D4309F">
        <w:lastRenderedPageBreak/>
        <w:t>Condition</w:t>
      </w:r>
      <w:r w:rsidRPr="00D4309F">
        <w:rPr>
          <w:spacing w:val="-14"/>
        </w:rPr>
        <w:t xml:space="preserve"> </w:t>
      </w:r>
      <w:r w:rsidRPr="00D4309F">
        <w:t>assessment</w:t>
      </w:r>
      <w:r w:rsidRPr="00D4309F">
        <w:rPr>
          <w:spacing w:val="-12"/>
        </w:rPr>
        <w:t xml:space="preserve"> </w:t>
      </w:r>
      <w:r w:rsidRPr="00D4309F">
        <w:t>of</w:t>
      </w:r>
      <w:r w:rsidRPr="00D4309F">
        <w:rPr>
          <w:spacing w:val="-12"/>
        </w:rPr>
        <w:t xml:space="preserve"> </w:t>
      </w:r>
      <w:r w:rsidRPr="00D4309F">
        <w:t>eastern</w:t>
      </w:r>
      <w:r w:rsidRPr="00D4309F">
        <w:rPr>
          <w:spacing w:val="-14"/>
        </w:rPr>
        <w:t xml:space="preserve"> </w:t>
      </w:r>
      <w:r w:rsidRPr="00D4309F">
        <w:rPr>
          <w:spacing w:val="-2"/>
        </w:rPr>
        <w:t>breakwater</w:t>
      </w:r>
      <w:bookmarkEnd w:id="169"/>
    </w:p>
    <w:p w14:paraId="068406D6" w14:textId="6E0BC7F6" w:rsidR="00725977" w:rsidRDefault="00725977" w:rsidP="00EC0289">
      <w:pPr>
        <w:pStyle w:val="BodyText"/>
      </w:pPr>
      <w:r w:rsidRPr="00D4309F">
        <w:t>A</w:t>
      </w:r>
      <w:r w:rsidRPr="00D4309F">
        <w:rPr>
          <w:spacing w:val="-3"/>
        </w:rPr>
        <w:t xml:space="preserve"> </w:t>
      </w:r>
      <w:r w:rsidRPr="00D4309F">
        <w:t>review</w:t>
      </w:r>
      <w:r w:rsidRPr="00D4309F">
        <w:rPr>
          <w:spacing w:val="-2"/>
        </w:rPr>
        <w:t xml:space="preserve"> </w:t>
      </w:r>
      <w:r w:rsidRPr="00D4309F">
        <w:t>of</w:t>
      </w:r>
      <w:r w:rsidRPr="00D4309F">
        <w:rPr>
          <w:spacing w:val="-3"/>
        </w:rPr>
        <w:t xml:space="preserve"> </w:t>
      </w:r>
      <w:r w:rsidRPr="00D4309F">
        <w:t>aerial</w:t>
      </w:r>
      <w:r w:rsidRPr="00D4309F">
        <w:rPr>
          <w:spacing w:val="-3"/>
        </w:rPr>
        <w:t xml:space="preserve"> </w:t>
      </w:r>
      <w:r w:rsidRPr="00D4309F">
        <w:t>images</w:t>
      </w:r>
      <w:r w:rsidRPr="00D4309F">
        <w:rPr>
          <w:spacing w:val="-2"/>
        </w:rPr>
        <w:t xml:space="preserve"> </w:t>
      </w:r>
      <w:r w:rsidRPr="00D4309F">
        <w:t>of</w:t>
      </w:r>
      <w:r w:rsidRPr="00D4309F">
        <w:rPr>
          <w:spacing w:val="-3"/>
        </w:rPr>
        <w:t xml:space="preserve"> </w:t>
      </w:r>
      <w:r w:rsidRPr="00D4309F">
        <w:t>the</w:t>
      </w:r>
      <w:r w:rsidRPr="00D4309F">
        <w:rPr>
          <w:spacing w:val="-3"/>
        </w:rPr>
        <w:t xml:space="preserve"> </w:t>
      </w:r>
      <w:r w:rsidRPr="00D4309F">
        <w:t>site</w:t>
      </w:r>
      <w:r w:rsidRPr="00D4309F">
        <w:rPr>
          <w:spacing w:val="-3"/>
        </w:rPr>
        <w:t xml:space="preserve"> </w:t>
      </w:r>
      <w:r w:rsidRPr="00D4309F">
        <w:t>indicated</w:t>
      </w:r>
      <w:r w:rsidRPr="00D4309F">
        <w:rPr>
          <w:spacing w:val="-3"/>
        </w:rPr>
        <w:t xml:space="preserve"> </w:t>
      </w:r>
      <w:r w:rsidRPr="00D4309F">
        <w:t>potential</w:t>
      </w:r>
      <w:r w:rsidRPr="00D4309F">
        <w:rPr>
          <w:spacing w:val="-3"/>
        </w:rPr>
        <w:t xml:space="preserve"> </w:t>
      </w:r>
      <w:r w:rsidRPr="00D4309F">
        <w:t>sand</w:t>
      </w:r>
      <w:r w:rsidRPr="00D4309F">
        <w:rPr>
          <w:spacing w:val="-4"/>
        </w:rPr>
        <w:t xml:space="preserve"> </w:t>
      </w:r>
      <w:r w:rsidRPr="00D4309F">
        <w:t>leakage</w:t>
      </w:r>
      <w:r w:rsidRPr="00D4309F">
        <w:rPr>
          <w:spacing w:val="-3"/>
        </w:rPr>
        <w:t xml:space="preserve"> </w:t>
      </w:r>
      <w:r w:rsidRPr="00D4309F">
        <w:t>through</w:t>
      </w:r>
      <w:r w:rsidRPr="00D4309F">
        <w:rPr>
          <w:spacing w:val="-3"/>
        </w:rPr>
        <w:t xml:space="preserve"> </w:t>
      </w:r>
      <w:r w:rsidRPr="00D4309F">
        <w:t>the</w:t>
      </w:r>
      <w:r w:rsidRPr="00D4309F">
        <w:rPr>
          <w:spacing w:val="-3"/>
        </w:rPr>
        <w:t xml:space="preserve"> </w:t>
      </w:r>
      <w:r w:rsidRPr="00D4309F">
        <w:t>eastern</w:t>
      </w:r>
      <w:r w:rsidRPr="00D4309F">
        <w:rPr>
          <w:spacing w:val="-3"/>
        </w:rPr>
        <w:t xml:space="preserve"> </w:t>
      </w:r>
      <w:r w:rsidRPr="00D4309F">
        <w:t>breakwater,</w:t>
      </w:r>
      <w:r w:rsidRPr="00D4309F">
        <w:rPr>
          <w:spacing w:val="-3"/>
        </w:rPr>
        <w:t xml:space="preserve"> </w:t>
      </w:r>
      <w:r w:rsidRPr="00D4309F">
        <w:t xml:space="preserve">as shown in </w:t>
      </w:r>
      <w:hyperlink w:anchor="_bookmark73" w:history="1">
        <w:r w:rsidRPr="00D4309F">
          <w:t>Figure 10-5</w:t>
        </w:r>
      </w:hyperlink>
      <w:r w:rsidRPr="00D4309F">
        <w:t xml:space="preserve"> below. While it is most likely that this sand was deposited from seaward of the entrance, having bypassed the breakwater, a condition assessment of the eastern breakwater is recommended in the interim to identify potential pathways for sand leakage through the armour rock.</w:t>
      </w:r>
    </w:p>
    <w:p w14:paraId="24553DAC" w14:textId="6F5A4807" w:rsidR="00EC0289" w:rsidRDefault="00EC0289" w:rsidP="00EC0289">
      <w:pPr>
        <w:pStyle w:val="BodyText"/>
        <w:jc w:val="center"/>
      </w:pPr>
      <w:r w:rsidRPr="00D4309F">
        <w:rPr>
          <w:noProof/>
        </w:rPr>
        <w:drawing>
          <wp:inline distT="0" distB="0" distL="0" distR="0" wp14:anchorId="24D4DBE4" wp14:editId="2D87D469">
            <wp:extent cx="4641850" cy="3062605"/>
            <wp:effectExtent l="0" t="0" r="6350" b="4445"/>
            <wp:docPr id="70" name="Image 70" descr="drone image from the ocean looking toward Point Cartwright and the Mooloolaba Boat Harbour entrance, showing the potential contribution of sediments to sand shoal from leakage through the eastern breakwa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descr="drone image from the ocean looking toward Point Cartwright and the Mooloolaba Boat Harbour entrance, showing the potential contribution of sediments to sand shoal from leakage through the eastern breakwater"/>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641850" cy="3062605"/>
                    </a:xfrm>
                    <a:prstGeom prst="rect">
                      <a:avLst/>
                    </a:prstGeom>
                  </pic:spPr>
                </pic:pic>
              </a:graphicData>
            </a:graphic>
          </wp:inline>
        </w:drawing>
      </w:r>
    </w:p>
    <w:p w14:paraId="69A8A3EF" w14:textId="6B420228" w:rsidR="005906AD" w:rsidRPr="0031233C" w:rsidRDefault="005906AD" w:rsidP="005906AD">
      <w:pPr>
        <w:pStyle w:val="Caption"/>
        <w:jc w:val="center"/>
        <w:rPr>
          <w:noProof/>
          <w:color w:val="221E1F"/>
          <w:sz w:val="20"/>
        </w:rPr>
      </w:pPr>
      <w:bookmarkStart w:id="170" w:name="_Toc216699607"/>
      <w:r>
        <w:t xml:space="preserve">Figure </w:t>
      </w:r>
      <w:r w:rsidR="00B538D4">
        <w:fldChar w:fldCharType="begin" w:fldLock="1"/>
      </w:r>
      <w:r w:rsidR="00B538D4">
        <w:instrText xml:space="preserve"> STYLEREF 1 \s </w:instrText>
      </w:r>
      <w:r w:rsidR="00B538D4">
        <w:fldChar w:fldCharType="separate"/>
      </w:r>
      <w:r w:rsidR="00B538D4">
        <w:rPr>
          <w:noProof/>
        </w:rPr>
        <w:t>10</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5</w:t>
      </w:r>
      <w:r w:rsidR="00B538D4">
        <w:fldChar w:fldCharType="end"/>
      </w:r>
      <w:r>
        <w:t>:</w:t>
      </w:r>
      <w:r>
        <w:tab/>
      </w:r>
      <w:r w:rsidRPr="00D4309F">
        <w:rPr>
          <w:color w:val="211E1F"/>
        </w:rPr>
        <w:t>Potential</w:t>
      </w:r>
      <w:r w:rsidRPr="00D4309F">
        <w:rPr>
          <w:color w:val="211E1F"/>
          <w:spacing w:val="-2"/>
        </w:rPr>
        <w:t xml:space="preserve"> </w:t>
      </w:r>
      <w:r w:rsidRPr="00D4309F">
        <w:rPr>
          <w:color w:val="211E1F"/>
        </w:rPr>
        <w:t>contribution</w:t>
      </w:r>
      <w:r w:rsidRPr="00D4309F">
        <w:rPr>
          <w:color w:val="211E1F"/>
          <w:spacing w:val="-3"/>
        </w:rPr>
        <w:t xml:space="preserve"> </w:t>
      </w:r>
      <w:r w:rsidRPr="00D4309F">
        <w:rPr>
          <w:color w:val="211E1F"/>
        </w:rPr>
        <w:t>of</w:t>
      </w:r>
      <w:r w:rsidRPr="00D4309F">
        <w:rPr>
          <w:color w:val="211E1F"/>
          <w:spacing w:val="-2"/>
        </w:rPr>
        <w:t xml:space="preserve"> </w:t>
      </w:r>
      <w:r w:rsidRPr="00D4309F">
        <w:rPr>
          <w:color w:val="211E1F"/>
        </w:rPr>
        <w:t>sediments</w:t>
      </w:r>
      <w:r w:rsidRPr="00D4309F">
        <w:rPr>
          <w:color w:val="211E1F"/>
          <w:spacing w:val="-3"/>
        </w:rPr>
        <w:t xml:space="preserve"> </w:t>
      </w:r>
      <w:r w:rsidRPr="00D4309F">
        <w:rPr>
          <w:color w:val="211E1F"/>
        </w:rPr>
        <w:t>to</w:t>
      </w:r>
      <w:r w:rsidRPr="00D4309F">
        <w:rPr>
          <w:color w:val="211E1F"/>
          <w:spacing w:val="-2"/>
        </w:rPr>
        <w:t xml:space="preserve"> </w:t>
      </w:r>
      <w:r w:rsidRPr="00D4309F">
        <w:rPr>
          <w:color w:val="211E1F"/>
        </w:rPr>
        <w:t>sand</w:t>
      </w:r>
      <w:r w:rsidRPr="00D4309F">
        <w:rPr>
          <w:color w:val="211E1F"/>
          <w:spacing w:val="-2"/>
        </w:rPr>
        <w:t xml:space="preserve"> </w:t>
      </w:r>
      <w:r w:rsidRPr="00D4309F">
        <w:rPr>
          <w:color w:val="211E1F"/>
        </w:rPr>
        <w:t>shoal</w:t>
      </w:r>
      <w:r w:rsidRPr="00D4309F">
        <w:rPr>
          <w:color w:val="211E1F"/>
          <w:spacing w:val="-3"/>
        </w:rPr>
        <w:t xml:space="preserve"> </w:t>
      </w:r>
      <w:r w:rsidRPr="00D4309F">
        <w:rPr>
          <w:color w:val="211E1F"/>
        </w:rPr>
        <w:t>from</w:t>
      </w:r>
      <w:r w:rsidRPr="00D4309F">
        <w:rPr>
          <w:color w:val="211E1F"/>
          <w:spacing w:val="-3"/>
        </w:rPr>
        <w:t xml:space="preserve"> </w:t>
      </w:r>
      <w:r w:rsidRPr="00D4309F">
        <w:rPr>
          <w:color w:val="211E1F"/>
        </w:rPr>
        <w:t>leakage</w:t>
      </w:r>
      <w:r w:rsidRPr="00D4309F">
        <w:rPr>
          <w:color w:val="211E1F"/>
          <w:spacing w:val="-3"/>
        </w:rPr>
        <w:t xml:space="preserve"> </w:t>
      </w:r>
      <w:r w:rsidRPr="00D4309F">
        <w:rPr>
          <w:color w:val="211E1F"/>
        </w:rPr>
        <w:t>through</w:t>
      </w:r>
      <w:r w:rsidRPr="00D4309F">
        <w:rPr>
          <w:color w:val="211E1F"/>
          <w:spacing w:val="-2"/>
        </w:rPr>
        <w:t xml:space="preserve"> </w:t>
      </w:r>
      <w:r w:rsidRPr="00D4309F">
        <w:rPr>
          <w:color w:val="211E1F"/>
        </w:rPr>
        <w:t>the</w:t>
      </w:r>
      <w:r w:rsidRPr="00D4309F">
        <w:rPr>
          <w:color w:val="211E1F"/>
          <w:spacing w:val="-3"/>
        </w:rPr>
        <w:t xml:space="preserve"> </w:t>
      </w:r>
      <w:r w:rsidRPr="00D4309F">
        <w:rPr>
          <w:color w:val="211E1F"/>
        </w:rPr>
        <w:t>eastern</w:t>
      </w:r>
      <w:r w:rsidRPr="00D4309F">
        <w:rPr>
          <w:color w:val="211E1F"/>
          <w:spacing w:val="-2"/>
        </w:rPr>
        <w:t xml:space="preserve"> breakwater</w:t>
      </w:r>
      <w:bookmarkEnd w:id="170"/>
    </w:p>
    <w:p w14:paraId="29D73F85" w14:textId="77777777" w:rsidR="00CC0B1C" w:rsidRDefault="00CC0B1C" w:rsidP="00725977">
      <w:pPr>
        <w:pStyle w:val="BodyText"/>
        <w:rPr>
          <w:b/>
        </w:rPr>
      </w:pPr>
    </w:p>
    <w:p w14:paraId="19A40A5A" w14:textId="72E72DDC" w:rsidR="00725977" w:rsidRPr="00D4309F" w:rsidRDefault="00725977" w:rsidP="00725977">
      <w:pPr>
        <w:pStyle w:val="BodyText"/>
      </w:pPr>
      <w:r w:rsidRPr="00D4309F">
        <w:rPr>
          <w:b/>
        </w:rPr>
        <w:t>Recommendation</w:t>
      </w:r>
      <w:r w:rsidRPr="00D4309F">
        <w:t>:</w:t>
      </w:r>
      <w:r w:rsidRPr="00D4309F">
        <w:rPr>
          <w:spacing w:val="-3"/>
        </w:rPr>
        <w:t xml:space="preserve"> </w:t>
      </w:r>
      <w:r w:rsidRPr="00D4309F">
        <w:t>Conduct</w:t>
      </w:r>
      <w:r w:rsidRPr="00D4309F">
        <w:rPr>
          <w:spacing w:val="-3"/>
        </w:rPr>
        <w:t xml:space="preserve"> </w:t>
      </w:r>
      <w:r w:rsidRPr="00D4309F">
        <w:t>an</w:t>
      </w:r>
      <w:r w:rsidRPr="00D4309F">
        <w:rPr>
          <w:spacing w:val="-3"/>
        </w:rPr>
        <w:t xml:space="preserve"> </w:t>
      </w:r>
      <w:r w:rsidRPr="00D4309F">
        <w:t>integrity</w:t>
      </w:r>
      <w:r w:rsidRPr="00D4309F">
        <w:rPr>
          <w:spacing w:val="-3"/>
        </w:rPr>
        <w:t xml:space="preserve"> </w:t>
      </w:r>
      <w:r w:rsidRPr="00D4309F">
        <w:t>assessment</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eastern</w:t>
      </w:r>
      <w:r w:rsidRPr="00D4309F">
        <w:rPr>
          <w:spacing w:val="-4"/>
        </w:rPr>
        <w:t xml:space="preserve"> </w:t>
      </w:r>
      <w:r w:rsidRPr="00D4309F">
        <w:t>breakwater</w:t>
      </w:r>
      <w:r w:rsidRPr="00D4309F">
        <w:rPr>
          <w:spacing w:val="-3"/>
        </w:rPr>
        <w:t xml:space="preserve"> </w:t>
      </w:r>
      <w:r w:rsidRPr="00D4309F">
        <w:t>to</w:t>
      </w:r>
      <w:r w:rsidRPr="00D4309F">
        <w:rPr>
          <w:spacing w:val="-3"/>
        </w:rPr>
        <w:t xml:space="preserve"> </w:t>
      </w:r>
      <w:r w:rsidRPr="00D4309F">
        <w:t>identify</w:t>
      </w:r>
      <w:r w:rsidRPr="00D4309F">
        <w:rPr>
          <w:spacing w:val="-2"/>
        </w:rPr>
        <w:t xml:space="preserve"> </w:t>
      </w:r>
      <w:r w:rsidRPr="00D4309F">
        <w:t>potential</w:t>
      </w:r>
      <w:r w:rsidRPr="00D4309F">
        <w:rPr>
          <w:spacing w:val="-4"/>
        </w:rPr>
        <w:t xml:space="preserve"> </w:t>
      </w:r>
      <w:r w:rsidRPr="00D4309F">
        <w:t>pathways for sand leakage.</w:t>
      </w:r>
    </w:p>
    <w:p w14:paraId="452DDC23" w14:textId="77777777" w:rsidR="00725977" w:rsidRPr="00D4309F" w:rsidRDefault="00725977" w:rsidP="00725977">
      <w:pPr>
        <w:pStyle w:val="BodyText"/>
        <w:sectPr w:rsidR="00725977" w:rsidRPr="00D4309F" w:rsidSect="00A8441C">
          <w:pgSz w:w="11910" w:h="16840"/>
          <w:pgMar w:top="1418" w:right="1134" w:bottom="1418" w:left="1134" w:header="916" w:footer="1147" w:gutter="0"/>
          <w:cols w:space="720"/>
          <w:docGrid w:linePitch="272"/>
        </w:sectPr>
      </w:pPr>
    </w:p>
    <w:p w14:paraId="0B630276" w14:textId="77777777" w:rsidR="00725977" w:rsidRPr="00D4309F" w:rsidRDefault="00725977" w:rsidP="0016610C">
      <w:pPr>
        <w:pStyle w:val="Heading1"/>
      </w:pPr>
      <w:bookmarkStart w:id="171" w:name="_bookmark74"/>
      <w:bookmarkStart w:id="172" w:name="_Toc216699350"/>
      <w:bookmarkEnd w:id="171"/>
      <w:r w:rsidRPr="00D4309F">
        <w:lastRenderedPageBreak/>
        <w:t>PART</w:t>
      </w:r>
      <w:r w:rsidRPr="00D4309F">
        <w:rPr>
          <w:spacing w:val="-5"/>
        </w:rPr>
        <w:t xml:space="preserve"> </w:t>
      </w:r>
      <w:r w:rsidRPr="00D4309F">
        <w:t>1</w:t>
      </w:r>
      <w:r w:rsidRPr="00D4309F">
        <w:rPr>
          <w:spacing w:val="-3"/>
        </w:rPr>
        <w:t xml:space="preserve"> </w:t>
      </w:r>
      <w:r w:rsidRPr="00D4309F">
        <w:t>–</w:t>
      </w:r>
      <w:r w:rsidRPr="00D4309F">
        <w:rPr>
          <w:spacing w:val="-1"/>
        </w:rPr>
        <w:t xml:space="preserve"> </w:t>
      </w:r>
      <w:r w:rsidRPr="00D4309F">
        <w:t>CONCLUSIONS</w:t>
      </w:r>
      <w:r w:rsidRPr="00D4309F">
        <w:rPr>
          <w:spacing w:val="-3"/>
        </w:rPr>
        <w:t xml:space="preserve"> </w:t>
      </w:r>
      <w:r w:rsidRPr="00D4309F">
        <w:t>AND</w:t>
      </w:r>
      <w:r w:rsidRPr="00D4309F">
        <w:rPr>
          <w:spacing w:val="-3"/>
        </w:rPr>
        <w:t xml:space="preserve"> </w:t>
      </w:r>
      <w:r w:rsidRPr="00D4309F">
        <w:rPr>
          <w:spacing w:val="-2"/>
        </w:rPr>
        <w:t>RECOMMENDATIONS</w:t>
      </w:r>
      <w:bookmarkEnd w:id="172"/>
    </w:p>
    <w:p w14:paraId="706210E0" w14:textId="77777777" w:rsidR="00725977" w:rsidRPr="00D4309F" w:rsidRDefault="00725977" w:rsidP="00725977">
      <w:pPr>
        <w:pStyle w:val="BodyText"/>
      </w:pPr>
      <w:r w:rsidRPr="00D4309F">
        <w:t>An</w:t>
      </w:r>
      <w:r w:rsidRPr="00D4309F">
        <w:rPr>
          <w:spacing w:val="-3"/>
        </w:rPr>
        <w:t xml:space="preserve"> </w:t>
      </w:r>
      <w:r w:rsidRPr="00D4309F">
        <w:t>initial</w:t>
      </w:r>
      <w:r w:rsidRPr="00D4309F">
        <w:rPr>
          <w:spacing w:val="-3"/>
        </w:rPr>
        <w:t xml:space="preserve"> </w:t>
      </w:r>
      <w:r w:rsidRPr="00D4309F">
        <w:t>desktop</w:t>
      </w:r>
      <w:r w:rsidRPr="00D4309F">
        <w:rPr>
          <w:spacing w:val="-3"/>
        </w:rPr>
        <w:t xml:space="preserve"> </w:t>
      </w:r>
      <w:r w:rsidRPr="00D4309F">
        <w:t>review</w:t>
      </w:r>
      <w:r w:rsidRPr="00D4309F">
        <w:rPr>
          <w:spacing w:val="-2"/>
        </w:rPr>
        <w:t xml:space="preserve"> </w:t>
      </w:r>
      <w:r w:rsidRPr="00D4309F">
        <w:t>of</w:t>
      </w:r>
      <w:r w:rsidRPr="00D4309F">
        <w:rPr>
          <w:spacing w:val="-3"/>
        </w:rPr>
        <w:t xml:space="preserve"> </w:t>
      </w:r>
      <w:r w:rsidRPr="00D4309F">
        <w:t>previous</w:t>
      </w:r>
      <w:r w:rsidRPr="00D4309F">
        <w:rPr>
          <w:spacing w:val="-3"/>
        </w:rPr>
        <w:t xml:space="preserve"> </w:t>
      </w:r>
      <w:r w:rsidRPr="00D4309F">
        <w:t>reports</w:t>
      </w:r>
      <w:r w:rsidRPr="00D4309F">
        <w:rPr>
          <w:spacing w:val="-2"/>
        </w:rPr>
        <w:t xml:space="preserve"> </w:t>
      </w:r>
      <w:r w:rsidRPr="00D4309F">
        <w:t>and</w:t>
      </w:r>
      <w:r w:rsidRPr="00D4309F">
        <w:rPr>
          <w:spacing w:val="-3"/>
        </w:rPr>
        <w:t xml:space="preserve"> </w:t>
      </w:r>
      <w:r w:rsidRPr="00D4309F">
        <w:t>studies</w:t>
      </w:r>
      <w:r w:rsidRPr="00D4309F">
        <w:rPr>
          <w:spacing w:val="-2"/>
        </w:rPr>
        <w:t xml:space="preserve"> </w:t>
      </w:r>
      <w:r w:rsidRPr="00D4309F">
        <w:t>relating</w:t>
      </w:r>
      <w:r w:rsidRPr="00D4309F">
        <w:rPr>
          <w:spacing w:val="-3"/>
        </w:rPr>
        <w:t xml:space="preserve"> </w:t>
      </w:r>
      <w:r w:rsidRPr="00D4309F">
        <w:t>to</w:t>
      </w:r>
      <w:r w:rsidRPr="00D4309F">
        <w:rPr>
          <w:spacing w:val="-3"/>
        </w:rPr>
        <w:t xml:space="preserve"> </w:t>
      </w:r>
      <w:r w:rsidRPr="00D4309F">
        <w:t>the</w:t>
      </w:r>
      <w:r w:rsidRPr="00D4309F">
        <w:rPr>
          <w:spacing w:val="-3"/>
        </w:rPr>
        <w:t xml:space="preserve"> </w:t>
      </w:r>
      <w:r w:rsidRPr="00D4309F">
        <w:t>cause</w:t>
      </w:r>
      <w:r w:rsidRPr="00D4309F">
        <w:rPr>
          <w:spacing w:val="-3"/>
        </w:rPr>
        <w:t xml:space="preserve"> </w:t>
      </w:r>
      <w:r w:rsidRPr="00D4309F">
        <w:t>and</w:t>
      </w:r>
      <w:r w:rsidRPr="00D4309F">
        <w:rPr>
          <w:spacing w:val="-3"/>
        </w:rPr>
        <w:t xml:space="preserve"> </w:t>
      </w:r>
      <w:r w:rsidRPr="00D4309F">
        <w:t>impacts</w:t>
      </w:r>
      <w:r w:rsidRPr="00D4309F">
        <w:rPr>
          <w:spacing w:val="-2"/>
        </w:rPr>
        <w:t xml:space="preserve"> </w:t>
      </w:r>
      <w:r w:rsidRPr="00D4309F">
        <w:t>of</w:t>
      </w:r>
      <w:r w:rsidRPr="00D4309F">
        <w:rPr>
          <w:spacing w:val="-3"/>
        </w:rPr>
        <w:t xml:space="preserve"> </w:t>
      </w:r>
      <w:r w:rsidRPr="00D4309F">
        <w:t>shoaling</w:t>
      </w:r>
      <w:r w:rsidRPr="00D4309F">
        <w:rPr>
          <w:spacing w:val="-3"/>
        </w:rPr>
        <w:t xml:space="preserve"> </w:t>
      </w:r>
      <w:r w:rsidRPr="00D4309F">
        <w:t>events has been undertaken that has:</w:t>
      </w:r>
    </w:p>
    <w:p w14:paraId="7D2E616D" w14:textId="77777777" w:rsidR="00725977" w:rsidRPr="00D4309F" w:rsidRDefault="00725977" w:rsidP="000D5B19">
      <w:pPr>
        <w:pStyle w:val="ListBullet"/>
      </w:pPr>
      <w:r w:rsidRPr="00D4309F">
        <w:t>Confirmed</w:t>
      </w:r>
      <w:r w:rsidRPr="00D4309F">
        <w:rPr>
          <w:spacing w:val="-4"/>
        </w:rPr>
        <w:t xml:space="preserve"> </w:t>
      </w:r>
      <w:r w:rsidRPr="00D4309F">
        <w:t>the</w:t>
      </w:r>
      <w:r w:rsidRPr="00D4309F">
        <w:rPr>
          <w:spacing w:val="-4"/>
        </w:rPr>
        <w:t xml:space="preserve"> </w:t>
      </w:r>
      <w:r w:rsidRPr="00D4309F">
        <w:t>causes</w:t>
      </w:r>
      <w:r w:rsidRPr="00D4309F">
        <w:rPr>
          <w:spacing w:val="-4"/>
        </w:rPr>
        <w:t xml:space="preserve"> </w:t>
      </w:r>
      <w:r w:rsidRPr="00D4309F">
        <w:t>for</w:t>
      </w:r>
      <w:r w:rsidRPr="00D4309F">
        <w:rPr>
          <w:spacing w:val="-3"/>
        </w:rPr>
        <w:t xml:space="preserve"> </w:t>
      </w:r>
      <w:r w:rsidRPr="00D4309F">
        <w:t>the</w:t>
      </w:r>
      <w:r w:rsidRPr="00D4309F">
        <w:rPr>
          <w:spacing w:val="-4"/>
        </w:rPr>
        <w:t xml:space="preserve"> </w:t>
      </w:r>
      <w:r w:rsidRPr="00D4309F">
        <w:t>shoaling</w:t>
      </w:r>
      <w:r w:rsidRPr="00D4309F">
        <w:rPr>
          <w:spacing w:val="-4"/>
        </w:rPr>
        <w:t xml:space="preserve"> </w:t>
      </w:r>
      <w:r w:rsidRPr="00D4309F">
        <w:rPr>
          <w:spacing w:val="-2"/>
        </w:rPr>
        <w:t>events</w:t>
      </w:r>
    </w:p>
    <w:p w14:paraId="775C7CC5" w14:textId="77777777" w:rsidR="00725977" w:rsidRPr="00D4309F" w:rsidRDefault="00725977" w:rsidP="000D5B19">
      <w:pPr>
        <w:pStyle w:val="ListBullet2"/>
      </w:pPr>
      <w:r w:rsidRPr="00D4309F">
        <w:t>The</w:t>
      </w:r>
      <w:r w:rsidRPr="00D4309F">
        <w:rPr>
          <w:spacing w:val="-2"/>
        </w:rPr>
        <w:t xml:space="preserve"> </w:t>
      </w:r>
      <w:r w:rsidRPr="00D4309F">
        <w:t>exact</w:t>
      </w:r>
      <w:r w:rsidRPr="00D4309F">
        <w:rPr>
          <w:spacing w:val="-2"/>
        </w:rPr>
        <w:t xml:space="preserve"> </w:t>
      </w:r>
      <w:r w:rsidRPr="00D4309F">
        <w:t>location</w:t>
      </w:r>
      <w:r w:rsidRPr="00D4309F">
        <w:rPr>
          <w:spacing w:val="-2"/>
        </w:rPr>
        <w:t xml:space="preserve"> </w:t>
      </w:r>
      <w:r w:rsidRPr="00D4309F">
        <w:t>and</w:t>
      </w:r>
      <w:r w:rsidRPr="00D4309F">
        <w:rPr>
          <w:spacing w:val="-3"/>
        </w:rPr>
        <w:t xml:space="preserve"> </w:t>
      </w:r>
      <w:r w:rsidRPr="00D4309F">
        <w:t>shape</w:t>
      </w:r>
      <w:r w:rsidRPr="00D4309F">
        <w:rPr>
          <w:spacing w:val="-2"/>
        </w:rPr>
        <w:t xml:space="preserve"> </w:t>
      </w:r>
      <w:r w:rsidRPr="00D4309F">
        <w:t>of</w:t>
      </w:r>
      <w:r w:rsidRPr="00D4309F">
        <w:rPr>
          <w:spacing w:val="-2"/>
        </w:rPr>
        <w:t xml:space="preserve"> </w:t>
      </w:r>
      <w:r w:rsidRPr="00D4309F">
        <w:t>the</w:t>
      </w:r>
      <w:r w:rsidRPr="00D4309F">
        <w:rPr>
          <w:spacing w:val="-2"/>
        </w:rPr>
        <w:t xml:space="preserve"> </w:t>
      </w:r>
      <w:r w:rsidRPr="00D4309F">
        <w:t>sand</w:t>
      </w:r>
      <w:r w:rsidRPr="00D4309F">
        <w:rPr>
          <w:spacing w:val="-2"/>
        </w:rPr>
        <w:t xml:space="preserve"> </w:t>
      </w:r>
      <w:r w:rsidRPr="00D4309F">
        <w:t>shoal</w:t>
      </w:r>
      <w:r w:rsidRPr="00D4309F">
        <w:rPr>
          <w:spacing w:val="-2"/>
        </w:rPr>
        <w:t xml:space="preserve"> </w:t>
      </w:r>
      <w:r w:rsidRPr="00D4309F">
        <w:t>events</w:t>
      </w:r>
      <w:r w:rsidRPr="00D4309F">
        <w:rPr>
          <w:spacing w:val="-1"/>
        </w:rPr>
        <w:t xml:space="preserve"> </w:t>
      </w:r>
      <w:r w:rsidRPr="00D4309F">
        <w:t>is</w:t>
      </w:r>
      <w:r w:rsidRPr="00D4309F">
        <w:rPr>
          <w:spacing w:val="-1"/>
        </w:rPr>
        <w:t xml:space="preserve"> </w:t>
      </w:r>
      <w:r w:rsidRPr="00D4309F">
        <w:t>a</w:t>
      </w:r>
      <w:r w:rsidRPr="00D4309F">
        <w:rPr>
          <w:spacing w:val="-2"/>
        </w:rPr>
        <w:t xml:space="preserve"> </w:t>
      </w:r>
      <w:r w:rsidRPr="00D4309F">
        <w:t>complex</w:t>
      </w:r>
      <w:r w:rsidRPr="00D4309F">
        <w:rPr>
          <w:spacing w:val="-1"/>
        </w:rPr>
        <w:t xml:space="preserve"> </w:t>
      </w:r>
      <w:r w:rsidRPr="00D4309F">
        <w:t>result</w:t>
      </w:r>
      <w:r w:rsidRPr="00D4309F">
        <w:rPr>
          <w:spacing w:val="-2"/>
        </w:rPr>
        <w:t xml:space="preserve"> </w:t>
      </w:r>
      <w:r w:rsidRPr="00D4309F">
        <w:t>of</w:t>
      </w:r>
      <w:r w:rsidRPr="00D4309F">
        <w:rPr>
          <w:spacing w:val="-2"/>
        </w:rPr>
        <w:t xml:space="preserve"> </w:t>
      </w:r>
      <w:r w:rsidRPr="00D4309F">
        <w:t>the</w:t>
      </w:r>
      <w:r w:rsidRPr="00D4309F">
        <w:rPr>
          <w:spacing w:val="-3"/>
        </w:rPr>
        <w:t xml:space="preserve"> </w:t>
      </w:r>
      <w:r w:rsidRPr="00D4309F">
        <w:t>interaction</w:t>
      </w:r>
      <w:r w:rsidRPr="00D4309F">
        <w:rPr>
          <w:spacing w:val="-2"/>
        </w:rPr>
        <w:t xml:space="preserve"> </w:t>
      </w:r>
      <w:r w:rsidRPr="00D4309F">
        <w:t>between a</w:t>
      </w:r>
      <w:r w:rsidRPr="00D4309F">
        <w:rPr>
          <w:spacing w:val="-2"/>
        </w:rPr>
        <w:t xml:space="preserve"> </w:t>
      </w:r>
      <w:r w:rsidRPr="00D4309F">
        <w:t>range</w:t>
      </w:r>
      <w:r w:rsidRPr="00D4309F">
        <w:rPr>
          <w:spacing w:val="-2"/>
        </w:rPr>
        <w:t xml:space="preserve"> </w:t>
      </w:r>
      <w:r w:rsidRPr="00D4309F">
        <w:t>of</w:t>
      </w:r>
      <w:r w:rsidRPr="00D4309F">
        <w:rPr>
          <w:spacing w:val="-2"/>
        </w:rPr>
        <w:t xml:space="preserve"> </w:t>
      </w:r>
      <w:r w:rsidRPr="00D4309F">
        <w:t>dynamic</w:t>
      </w:r>
      <w:r w:rsidRPr="00D4309F">
        <w:rPr>
          <w:spacing w:val="-2"/>
        </w:rPr>
        <w:t xml:space="preserve"> </w:t>
      </w:r>
      <w:r w:rsidRPr="00D4309F">
        <w:t>coastal</w:t>
      </w:r>
      <w:r w:rsidRPr="00D4309F">
        <w:rPr>
          <w:spacing w:val="-3"/>
        </w:rPr>
        <w:t xml:space="preserve"> </w:t>
      </w:r>
      <w:r w:rsidRPr="00D4309F">
        <w:t>processes</w:t>
      </w:r>
      <w:r w:rsidRPr="00D4309F">
        <w:rPr>
          <w:spacing w:val="-1"/>
        </w:rPr>
        <w:t xml:space="preserve"> </w:t>
      </w:r>
      <w:r w:rsidRPr="00D4309F">
        <w:t>that</w:t>
      </w:r>
      <w:r w:rsidRPr="00D4309F">
        <w:rPr>
          <w:spacing w:val="-2"/>
        </w:rPr>
        <w:t xml:space="preserve"> </w:t>
      </w:r>
      <w:r w:rsidRPr="00D4309F">
        <w:t>occur</w:t>
      </w:r>
      <w:r w:rsidRPr="00D4309F">
        <w:rPr>
          <w:spacing w:val="-1"/>
        </w:rPr>
        <w:t xml:space="preserve"> </w:t>
      </w:r>
      <w:r w:rsidRPr="00D4309F">
        <w:t>at</w:t>
      </w:r>
      <w:r w:rsidRPr="00D4309F">
        <w:rPr>
          <w:spacing w:val="-2"/>
        </w:rPr>
        <w:t xml:space="preserve"> </w:t>
      </w:r>
      <w:r w:rsidRPr="00D4309F">
        <w:t>the</w:t>
      </w:r>
      <w:r w:rsidRPr="00D4309F">
        <w:rPr>
          <w:spacing w:val="-2"/>
        </w:rPr>
        <w:t xml:space="preserve"> </w:t>
      </w:r>
      <w:r w:rsidRPr="00D4309F">
        <w:t>entrance</w:t>
      </w:r>
      <w:r w:rsidRPr="00D4309F">
        <w:rPr>
          <w:spacing w:val="-2"/>
        </w:rPr>
        <w:t xml:space="preserve"> </w:t>
      </w:r>
      <w:r w:rsidRPr="00D4309F">
        <w:t>including</w:t>
      </w:r>
      <w:r w:rsidRPr="00D4309F">
        <w:rPr>
          <w:spacing w:val="-2"/>
        </w:rPr>
        <w:t xml:space="preserve"> </w:t>
      </w:r>
      <w:r w:rsidRPr="00D4309F">
        <w:t>but</w:t>
      </w:r>
      <w:r w:rsidRPr="00D4309F">
        <w:rPr>
          <w:spacing w:val="-2"/>
        </w:rPr>
        <w:t xml:space="preserve"> </w:t>
      </w:r>
      <w:r w:rsidRPr="00D4309F">
        <w:t>not</w:t>
      </w:r>
      <w:r w:rsidRPr="00D4309F">
        <w:rPr>
          <w:spacing w:val="-2"/>
        </w:rPr>
        <w:t xml:space="preserve"> </w:t>
      </w:r>
      <w:r w:rsidRPr="00D4309F">
        <w:t>necessarily</w:t>
      </w:r>
      <w:r w:rsidRPr="00D4309F">
        <w:rPr>
          <w:spacing w:val="-2"/>
        </w:rPr>
        <w:t xml:space="preserve"> </w:t>
      </w:r>
      <w:r w:rsidRPr="00D4309F">
        <w:t>limited to the incident wave conditions, reflected and refracted waves within Mooloolaba Bay, tidal current flow from the entrance, longshore currents at the breakwaters, net sediment supply to the shoal etc.</w:t>
      </w:r>
    </w:p>
    <w:p w14:paraId="322B7A3E" w14:textId="77777777" w:rsidR="00725977" w:rsidRPr="00D4309F" w:rsidRDefault="00725977" w:rsidP="000D5B19">
      <w:pPr>
        <w:pStyle w:val="ListBullet2"/>
      </w:pPr>
      <w:r w:rsidRPr="00D4309F">
        <w:t>Despite this complexity, available survey data indicates that the sand shoal events occur in a relatively</w:t>
      </w:r>
      <w:r w:rsidRPr="00D4309F">
        <w:rPr>
          <w:spacing w:val="-3"/>
        </w:rPr>
        <w:t xml:space="preserve"> </w:t>
      </w:r>
      <w:r w:rsidRPr="00D4309F">
        <w:t>consistent</w:t>
      </w:r>
      <w:r w:rsidRPr="00D4309F">
        <w:rPr>
          <w:spacing w:val="-3"/>
        </w:rPr>
        <w:t xml:space="preserve"> </w:t>
      </w:r>
      <w:r w:rsidRPr="00D4309F">
        <w:t>pattern</w:t>
      </w:r>
      <w:r w:rsidRPr="00D4309F">
        <w:rPr>
          <w:spacing w:val="-3"/>
        </w:rPr>
        <w:t xml:space="preserve"> </w:t>
      </w:r>
      <w:r w:rsidRPr="00D4309F">
        <w:t>at</w:t>
      </w:r>
      <w:r w:rsidRPr="00D4309F">
        <w:rPr>
          <w:spacing w:val="-3"/>
        </w:rPr>
        <w:t xml:space="preserve"> </w:t>
      </w:r>
      <w:r w:rsidRPr="00D4309F">
        <w:t>the</w:t>
      </w:r>
      <w:r w:rsidRPr="00D4309F">
        <w:rPr>
          <w:spacing w:val="-3"/>
        </w:rPr>
        <w:t xml:space="preserve"> </w:t>
      </w:r>
      <w:r w:rsidRPr="00D4309F">
        <w:t>entrance,</w:t>
      </w:r>
      <w:r w:rsidRPr="00D4309F">
        <w:rPr>
          <w:spacing w:val="-3"/>
        </w:rPr>
        <w:t xml:space="preserve"> </w:t>
      </w:r>
      <w:r w:rsidRPr="00D4309F">
        <w:t>forming</w:t>
      </w:r>
      <w:r w:rsidRPr="00D4309F">
        <w:rPr>
          <w:spacing w:val="-3"/>
        </w:rPr>
        <w:t xml:space="preserve"> </w:t>
      </w:r>
      <w:r w:rsidRPr="00D4309F">
        <w:t>from</w:t>
      </w:r>
      <w:r w:rsidRPr="00D4309F">
        <w:rPr>
          <w:spacing w:val="-3"/>
        </w:rPr>
        <w:t xml:space="preserve"> </w:t>
      </w:r>
      <w:r w:rsidRPr="00D4309F">
        <w:t>the</w:t>
      </w:r>
      <w:r w:rsidRPr="00D4309F">
        <w:rPr>
          <w:spacing w:val="-3"/>
        </w:rPr>
        <w:t xml:space="preserve"> </w:t>
      </w:r>
      <w:r w:rsidRPr="00D4309F">
        <w:t>east</w:t>
      </w:r>
      <w:r w:rsidRPr="00D4309F">
        <w:rPr>
          <w:spacing w:val="-3"/>
        </w:rPr>
        <w:t xml:space="preserve"> </w:t>
      </w:r>
      <w:r w:rsidRPr="00D4309F">
        <w:t>and</w:t>
      </w:r>
      <w:r w:rsidRPr="00D4309F">
        <w:rPr>
          <w:spacing w:val="-3"/>
        </w:rPr>
        <w:t xml:space="preserve"> </w:t>
      </w:r>
      <w:r w:rsidRPr="00D4309F">
        <w:t>migrating</w:t>
      </w:r>
      <w:r w:rsidRPr="00D4309F">
        <w:rPr>
          <w:spacing w:val="-4"/>
        </w:rPr>
        <w:t xml:space="preserve"> </w:t>
      </w:r>
      <w:r w:rsidRPr="00D4309F">
        <w:t>towards</w:t>
      </w:r>
      <w:r w:rsidRPr="00D4309F">
        <w:rPr>
          <w:spacing w:val="-2"/>
        </w:rPr>
        <w:t xml:space="preserve"> </w:t>
      </w:r>
      <w:r w:rsidRPr="00D4309F">
        <w:t>the</w:t>
      </w:r>
      <w:r w:rsidRPr="00D4309F">
        <w:rPr>
          <w:spacing w:val="-4"/>
        </w:rPr>
        <w:t xml:space="preserve"> </w:t>
      </w:r>
      <w:r w:rsidRPr="00D4309F">
        <w:t>west.</w:t>
      </w:r>
    </w:p>
    <w:p w14:paraId="48FD6CEC" w14:textId="77777777" w:rsidR="00725977" w:rsidRPr="00D4309F" w:rsidRDefault="00725977" w:rsidP="000D5B19">
      <w:pPr>
        <w:pStyle w:val="ListBullet"/>
      </w:pPr>
      <w:r w:rsidRPr="00D4309F">
        <w:t>Identified</w:t>
      </w:r>
      <w:r w:rsidRPr="00D4309F">
        <w:rPr>
          <w:spacing w:val="-5"/>
        </w:rPr>
        <w:t xml:space="preserve"> </w:t>
      </w:r>
      <w:r w:rsidRPr="00D4309F">
        <w:t>high-level</w:t>
      </w:r>
      <w:r w:rsidRPr="00D4309F">
        <w:rPr>
          <w:spacing w:val="-4"/>
        </w:rPr>
        <w:t xml:space="preserve"> </w:t>
      </w:r>
      <w:r w:rsidRPr="00D4309F">
        <w:t>coastal</w:t>
      </w:r>
      <w:r w:rsidRPr="00D4309F">
        <w:rPr>
          <w:spacing w:val="-5"/>
        </w:rPr>
        <w:t xml:space="preserve"> </w:t>
      </w:r>
      <w:r w:rsidRPr="00D4309F">
        <w:t>impacts</w:t>
      </w:r>
      <w:r w:rsidRPr="00D4309F">
        <w:rPr>
          <w:spacing w:val="-3"/>
        </w:rPr>
        <w:t xml:space="preserve"> </w:t>
      </w:r>
      <w:r w:rsidRPr="00D4309F">
        <w:t>of</w:t>
      </w:r>
      <w:r w:rsidRPr="00D4309F">
        <w:rPr>
          <w:spacing w:val="-5"/>
        </w:rPr>
        <w:t xml:space="preserve"> </w:t>
      </w:r>
      <w:r w:rsidRPr="00D4309F">
        <w:t>the</w:t>
      </w:r>
      <w:r w:rsidRPr="00D4309F">
        <w:rPr>
          <w:spacing w:val="-4"/>
        </w:rPr>
        <w:t xml:space="preserve"> </w:t>
      </w:r>
      <w:r w:rsidRPr="00D4309F">
        <w:t>shoaling</w:t>
      </w:r>
      <w:r w:rsidRPr="00D4309F">
        <w:rPr>
          <w:spacing w:val="-5"/>
        </w:rPr>
        <w:t xml:space="preserve"> </w:t>
      </w:r>
      <w:r w:rsidRPr="00D4309F">
        <w:rPr>
          <w:spacing w:val="-2"/>
        </w:rPr>
        <w:t>events</w:t>
      </w:r>
    </w:p>
    <w:p w14:paraId="3D486FC1" w14:textId="77777777" w:rsidR="00725977" w:rsidRPr="00D4309F" w:rsidRDefault="00725977" w:rsidP="000D5B19">
      <w:pPr>
        <w:pStyle w:val="ListBullet2"/>
      </w:pPr>
      <w:r w:rsidRPr="00D4309F">
        <w:t>Increased</w:t>
      </w:r>
      <w:r w:rsidRPr="00D4309F">
        <w:rPr>
          <w:spacing w:val="-3"/>
        </w:rPr>
        <w:t xml:space="preserve"> </w:t>
      </w:r>
      <w:r w:rsidRPr="00D4309F">
        <w:t>wave</w:t>
      </w:r>
      <w:r w:rsidRPr="00D4309F">
        <w:rPr>
          <w:spacing w:val="-3"/>
        </w:rPr>
        <w:t xml:space="preserve"> </w:t>
      </w:r>
      <w:r w:rsidRPr="00D4309F">
        <w:t>height</w:t>
      </w:r>
      <w:r w:rsidRPr="00D4309F">
        <w:rPr>
          <w:spacing w:val="-3"/>
        </w:rPr>
        <w:t xml:space="preserve"> </w:t>
      </w:r>
      <w:r w:rsidRPr="00D4309F">
        <w:t>and</w:t>
      </w:r>
      <w:r w:rsidRPr="00D4309F">
        <w:rPr>
          <w:spacing w:val="-4"/>
        </w:rPr>
        <w:t xml:space="preserve"> </w:t>
      </w:r>
      <w:r w:rsidRPr="00D4309F">
        <w:t>steepness</w:t>
      </w:r>
      <w:r w:rsidRPr="00D4309F">
        <w:rPr>
          <w:spacing w:val="-2"/>
        </w:rPr>
        <w:t xml:space="preserve"> </w:t>
      </w:r>
      <w:r w:rsidRPr="00D4309F">
        <w:t>over</w:t>
      </w:r>
      <w:r w:rsidRPr="00D4309F">
        <w:rPr>
          <w:spacing w:val="-2"/>
        </w:rPr>
        <w:t xml:space="preserve"> </w:t>
      </w:r>
      <w:r w:rsidRPr="00D4309F">
        <w:t>the</w:t>
      </w:r>
      <w:r w:rsidRPr="00D4309F">
        <w:rPr>
          <w:spacing w:val="-4"/>
        </w:rPr>
        <w:t xml:space="preserve"> </w:t>
      </w:r>
      <w:r w:rsidRPr="00D4309F">
        <w:t>accumulation</w:t>
      </w:r>
      <w:r w:rsidRPr="00D4309F">
        <w:rPr>
          <w:spacing w:val="-3"/>
        </w:rPr>
        <w:t xml:space="preserve"> </w:t>
      </w:r>
      <w:r w:rsidRPr="00D4309F">
        <w:t>of</w:t>
      </w:r>
      <w:r w:rsidRPr="00D4309F">
        <w:rPr>
          <w:spacing w:val="-3"/>
        </w:rPr>
        <w:t xml:space="preserve"> </w:t>
      </w:r>
      <w:r w:rsidRPr="00D4309F">
        <w:t>sand,</w:t>
      </w:r>
      <w:r w:rsidRPr="00D4309F">
        <w:rPr>
          <w:spacing w:val="-3"/>
        </w:rPr>
        <w:t xml:space="preserve"> </w:t>
      </w:r>
      <w:r w:rsidRPr="00D4309F">
        <w:t>due</w:t>
      </w:r>
      <w:r w:rsidRPr="00D4309F">
        <w:rPr>
          <w:spacing w:val="-3"/>
        </w:rPr>
        <w:t xml:space="preserve"> </w:t>
      </w:r>
      <w:r w:rsidRPr="00D4309F">
        <w:t>to</w:t>
      </w:r>
      <w:r w:rsidRPr="00D4309F">
        <w:rPr>
          <w:spacing w:val="-3"/>
        </w:rPr>
        <w:t xml:space="preserve"> </w:t>
      </w:r>
      <w:r w:rsidRPr="00D4309F">
        <w:t>wave</w:t>
      </w:r>
      <w:r w:rsidRPr="00D4309F">
        <w:rPr>
          <w:spacing w:val="-4"/>
        </w:rPr>
        <w:t xml:space="preserve"> </w:t>
      </w:r>
      <w:r w:rsidRPr="00D4309F">
        <w:t>shoaling.</w:t>
      </w:r>
      <w:r w:rsidRPr="00D4309F">
        <w:rPr>
          <w:spacing w:val="-5"/>
        </w:rPr>
        <w:t xml:space="preserve"> </w:t>
      </w:r>
      <w:r w:rsidRPr="00D4309F">
        <w:t>This effect results in more hazardous marine conditions at the entrance.</w:t>
      </w:r>
    </w:p>
    <w:p w14:paraId="1EF406AC" w14:textId="77777777" w:rsidR="00725977" w:rsidRPr="00D4309F" w:rsidRDefault="00725977" w:rsidP="000D5B19">
      <w:pPr>
        <w:pStyle w:val="ListBullet2"/>
      </w:pPr>
      <w:r w:rsidRPr="00D4309F">
        <w:t>Wave</w:t>
      </w:r>
      <w:r w:rsidRPr="00D4309F">
        <w:rPr>
          <w:spacing w:val="-3"/>
        </w:rPr>
        <w:t xml:space="preserve"> </w:t>
      </w:r>
      <w:r w:rsidRPr="00D4309F">
        <w:t>refraction</w:t>
      </w:r>
      <w:r w:rsidRPr="00D4309F">
        <w:rPr>
          <w:spacing w:val="-3"/>
        </w:rPr>
        <w:t xml:space="preserve"> </w:t>
      </w:r>
      <w:r w:rsidRPr="00D4309F">
        <w:t>and</w:t>
      </w:r>
      <w:r w:rsidRPr="00D4309F">
        <w:rPr>
          <w:spacing w:val="-3"/>
        </w:rPr>
        <w:t xml:space="preserve"> </w:t>
      </w:r>
      <w:r w:rsidRPr="00D4309F">
        <w:t>impacts</w:t>
      </w:r>
      <w:r w:rsidRPr="00D4309F">
        <w:rPr>
          <w:spacing w:val="-2"/>
        </w:rPr>
        <w:t xml:space="preserve"> </w:t>
      </w:r>
      <w:r w:rsidRPr="00D4309F">
        <w:t>to</w:t>
      </w:r>
      <w:r w:rsidRPr="00D4309F">
        <w:rPr>
          <w:spacing w:val="-3"/>
        </w:rPr>
        <w:t xml:space="preserve"> </w:t>
      </w:r>
      <w:r w:rsidRPr="00D4309F">
        <w:t>the</w:t>
      </w:r>
      <w:r w:rsidRPr="00D4309F">
        <w:rPr>
          <w:spacing w:val="-3"/>
        </w:rPr>
        <w:t xml:space="preserve"> </w:t>
      </w:r>
      <w:r w:rsidRPr="00D4309F">
        <w:t>wave</w:t>
      </w:r>
      <w:r w:rsidRPr="00D4309F">
        <w:rPr>
          <w:spacing w:val="-3"/>
        </w:rPr>
        <w:t xml:space="preserve"> </w:t>
      </w:r>
      <w:r w:rsidRPr="00D4309F">
        <w:t>field</w:t>
      </w:r>
      <w:r w:rsidRPr="00D4309F">
        <w:rPr>
          <w:spacing w:val="-3"/>
        </w:rPr>
        <w:t xml:space="preserve"> </w:t>
      </w:r>
      <w:r w:rsidRPr="00D4309F">
        <w:t>caused</w:t>
      </w:r>
      <w:r w:rsidRPr="00D4309F">
        <w:rPr>
          <w:spacing w:val="-3"/>
        </w:rPr>
        <w:t xml:space="preserve"> </w:t>
      </w:r>
      <w:r w:rsidRPr="00D4309F">
        <w:t>by</w:t>
      </w:r>
      <w:r w:rsidRPr="00D4309F">
        <w:rPr>
          <w:spacing w:val="-2"/>
        </w:rPr>
        <w:t xml:space="preserve"> </w:t>
      </w:r>
      <w:r w:rsidRPr="00D4309F">
        <w:t>wave</w:t>
      </w:r>
      <w:r w:rsidRPr="00D4309F">
        <w:rPr>
          <w:spacing w:val="-3"/>
        </w:rPr>
        <w:t xml:space="preserve"> </w:t>
      </w:r>
      <w:r w:rsidRPr="00D4309F">
        <w:t>breaking</w:t>
      </w:r>
      <w:r w:rsidRPr="00D4309F">
        <w:rPr>
          <w:spacing w:val="-3"/>
        </w:rPr>
        <w:t xml:space="preserve"> </w:t>
      </w:r>
      <w:r w:rsidRPr="00D4309F">
        <w:t>and</w:t>
      </w:r>
      <w:r w:rsidRPr="00D4309F">
        <w:rPr>
          <w:spacing w:val="-3"/>
        </w:rPr>
        <w:t xml:space="preserve"> </w:t>
      </w:r>
      <w:r w:rsidRPr="00D4309F">
        <w:t>shoaling</w:t>
      </w:r>
      <w:r w:rsidRPr="00D4309F">
        <w:rPr>
          <w:spacing w:val="-3"/>
        </w:rPr>
        <w:t xml:space="preserve"> </w:t>
      </w:r>
      <w:r w:rsidRPr="00D4309F">
        <w:t>can</w:t>
      </w:r>
      <w:r w:rsidRPr="00D4309F">
        <w:rPr>
          <w:spacing w:val="-4"/>
        </w:rPr>
        <w:t xml:space="preserve"> </w:t>
      </w:r>
      <w:r w:rsidRPr="00D4309F">
        <w:t>also contribute to more challenging navigation conditions at the entrance.</w:t>
      </w:r>
    </w:p>
    <w:p w14:paraId="12B0B9DF" w14:textId="77777777" w:rsidR="00725977" w:rsidRPr="00D4309F" w:rsidRDefault="00725977" w:rsidP="000D5B19">
      <w:pPr>
        <w:pStyle w:val="ListBullet2"/>
      </w:pPr>
      <w:r w:rsidRPr="00D4309F">
        <w:t>Evidence</w:t>
      </w:r>
      <w:r w:rsidRPr="00D4309F">
        <w:rPr>
          <w:spacing w:val="-2"/>
        </w:rPr>
        <w:t xml:space="preserve"> </w:t>
      </w:r>
      <w:r w:rsidRPr="00D4309F">
        <w:t>of</w:t>
      </w:r>
      <w:r w:rsidRPr="00D4309F">
        <w:rPr>
          <w:spacing w:val="-2"/>
        </w:rPr>
        <w:t xml:space="preserve"> </w:t>
      </w:r>
      <w:r w:rsidRPr="00D4309F">
        <w:t>redirection</w:t>
      </w:r>
      <w:r w:rsidRPr="00D4309F">
        <w:rPr>
          <w:spacing w:val="-2"/>
        </w:rPr>
        <w:t xml:space="preserve"> </w:t>
      </w:r>
      <w:r w:rsidRPr="00D4309F">
        <w:t>of</w:t>
      </w:r>
      <w:r w:rsidRPr="00D4309F">
        <w:rPr>
          <w:spacing w:val="-2"/>
        </w:rPr>
        <w:t xml:space="preserve"> </w:t>
      </w:r>
      <w:r w:rsidRPr="00D4309F">
        <w:t>tidal</w:t>
      </w:r>
      <w:r w:rsidRPr="00D4309F">
        <w:rPr>
          <w:spacing w:val="-2"/>
        </w:rPr>
        <w:t xml:space="preserve"> </w:t>
      </w:r>
      <w:r w:rsidRPr="00D4309F">
        <w:t>ebb</w:t>
      </w:r>
      <w:r w:rsidRPr="00D4309F">
        <w:rPr>
          <w:spacing w:val="-2"/>
        </w:rPr>
        <w:t xml:space="preserve"> </w:t>
      </w:r>
      <w:r w:rsidRPr="00D4309F">
        <w:t>and</w:t>
      </w:r>
      <w:r w:rsidRPr="00D4309F">
        <w:rPr>
          <w:spacing w:val="-2"/>
        </w:rPr>
        <w:t xml:space="preserve"> </w:t>
      </w:r>
      <w:r w:rsidRPr="00D4309F">
        <w:t>flood</w:t>
      </w:r>
      <w:r w:rsidRPr="00D4309F">
        <w:rPr>
          <w:spacing w:val="-2"/>
        </w:rPr>
        <w:t xml:space="preserve"> </w:t>
      </w:r>
      <w:r w:rsidRPr="00D4309F">
        <w:t>flows</w:t>
      </w:r>
      <w:r w:rsidRPr="00D4309F">
        <w:rPr>
          <w:spacing w:val="-1"/>
        </w:rPr>
        <w:t xml:space="preserve"> </w:t>
      </w:r>
      <w:r w:rsidRPr="00D4309F">
        <w:t>at</w:t>
      </w:r>
      <w:r w:rsidRPr="00D4309F">
        <w:rPr>
          <w:spacing w:val="-2"/>
        </w:rPr>
        <w:t xml:space="preserve"> </w:t>
      </w:r>
      <w:r w:rsidRPr="00D4309F">
        <w:t>the</w:t>
      </w:r>
      <w:r w:rsidRPr="00D4309F">
        <w:rPr>
          <w:spacing w:val="-2"/>
        </w:rPr>
        <w:t xml:space="preserve"> </w:t>
      </w:r>
      <w:r w:rsidRPr="00D4309F">
        <w:t>entrance</w:t>
      </w:r>
      <w:r w:rsidRPr="00D4309F">
        <w:rPr>
          <w:spacing w:val="-2"/>
        </w:rPr>
        <w:t xml:space="preserve"> </w:t>
      </w:r>
      <w:r w:rsidRPr="00D4309F">
        <w:t>as</w:t>
      </w:r>
      <w:r w:rsidRPr="00D4309F">
        <w:rPr>
          <w:spacing w:val="-1"/>
        </w:rPr>
        <w:t xml:space="preserve"> </w:t>
      </w:r>
      <w:r w:rsidRPr="00D4309F">
        <w:t>the</w:t>
      </w:r>
      <w:r w:rsidRPr="00D4309F">
        <w:rPr>
          <w:spacing w:val="-2"/>
        </w:rPr>
        <w:t xml:space="preserve"> </w:t>
      </w:r>
      <w:r w:rsidRPr="00D4309F">
        <w:t>shoal</w:t>
      </w:r>
      <w:r w:rsidRPr="00D4309F">
        <w:rPr>
          <w:spacing w:val="-2"/>
        </w:rPr>
        <w:t xml:space="preserve"> </w:t>
      </w:r>
      <w:r w:rsidRPr="00D4309F">
        <w:t>forms</w:t>
      </w:r>
      <w:r w:rsidRPr="00D4309F">
        <w:rPr>
          <w:spacing w:val="-1"/>
        </w:rPr>
        <w:t xml:space="preserve"> </w:t>
      </w:r>
      <w:r w:rsidRPr="00D4309F">
        <w:t>from</w:t>
      </w:r>
      <w:r w:rsidRPr="00D4309F">
        <w:rPr>
          <w:spacing w:val="-2"/>
        </w:rPr>
        <w:t xml:space="preserve"> </w:t>
      </w:r>
      <w:r w:rsidRPr="00D4309F">
        <w:t>the</w:t>
      </w:r>
      <w:r w:rsidRPr="00D4309F">
        <w:rPr>
          <w:spacing w:val="-2"/>
        </w:rPr>
        <w:t xml:space="preserve"> </w:t>
      </w:r>
      <w:r w:rsidRPr="00D4309F">
        <w:t>east towards the west, typically directing the tidal channel to a more westward direction.</w:t>
      </w:r>
    </w:p>
    <w:p w14:paraId="20D75B22" w14:textId="77777777" w:rsidR="00725977" w:rsidRPr="00D4309F" w:rsidRDefault="00725977" w:rsidP="000D5B19">
      <w:pPr>
        <w:pStyle w:val="ListBullet"/>
      </w:pPr>
      <w:r w:rsidRPr="00D4309F">
        <w:t>Assessed</w:t>
      </w:r>
      <w:r w:rsidRPr="00D4309F">
        <w:rPr>
          <w:spacing w:val="-3"/>
        </w:rPr>
        <w:t xml:space="preserve"> </w:t>
      </w:r>
      <w:r w:rsidRPr="00D4309F">
        <w:t>the</w:t>
      </w:r>
      <w:r w:rsidRPr="00D4309F">
        <w:rPr>
          <w:spacing w:val="-4"/>
        </w:rPr>
        <w:t xml:space="preserve"> </w:t>
      </w:r>
      <w:r w:rsidRPr="00D4309F">
        <w:t>effectiveness</w:t>
      </w:r>
      <w:r w:rsidRPr="00D4309F">
        <w:rPr>
          <w:spacing w:val="-3"/>
        </w:rPr>
        <w:t xml:space="preserve"> </w:t>
      </w:r>
      <w:r w:rsidRPr="00D4309F">
        <w:t>and</w:t>
      </w:r>
      <w:r w:rsidRPr="00D4309F">
        <w:rPr>
          <w:spacing w:val="-3"/>
        </w:rPr>
        <w:t xml:space="preserve"> </w:t>
      </w:r>
      <w:r w:rsidRPr="00D4309F">
        <w:t>impact</w:t>
      </w:r>
      <w:r w:rsidRPr="00D4309F">
        <w:rPr>
          <w:spacing w:val="-3"/>
        </w:rPr>
        <w:t xml:space="preserve"> </w:t>
      </w:r>
      <w:r w:rsidRPr="00D4309F">
        <w:t>of</w:t>
      </w:r>
      <w:r w:rsidRPr="00D4309F">
        <w:rPr>
          <w:spacing w:val="-3"/>
        </w:rPr>
        <w:t xml:space="preserve"> </w:t>
      </w:r>
      <w:r w:rsidRPr="00D4309F">
        <w:t>options</w:t>
      </w:r>
      <w:r w:rsidRPr="00D4309F">
        <w:rPr>
          <w:spacing w:val="-2"/>
        </w:rPr>
        <w:t xml:space="preserve"> </w:t>
      </w:r>
      <w:r w:rsidRPr="00D4309F">
        <w:t>to</w:t>
      </w:r>
      <w:r w:rsidRPr="00D4309F">
        <w:rPr>
          <w:spacing w:val="-3"/>
        </w:rPr>
        <w:t xml:space="preserve"> </w:t>
      </w:r>
      <w:r w:rsidRPr="00D4309F">
        <w:t>prevent</w:t>
      </w:r>
      <w:r w:rsidRPr="00D4309F">
        <w:rPr>
          <w:spacing w:val="-3"/>
        </w:rPr>
        <w:t xml:space="preserve"> </w:t>
      </w:r>
      <w:r w:rsidRPr="00D4309F">
        <w:t>and/or</w:t>
      </w:r>
      <w:r w:rsidRPr="00D4309F">
        <w:rPr>
          <w:spacing w:val="-4"/>
        </w:rPr>
        <w:t xml:space="preserve"> </w:t>
      </w:r>
      <w:r w:rsidRPr="00D4309F">
        <w:t>mitigate</w:t>
      </w:r>
      <w:r w:rsidRPr="00D4309F">
        <w:rPr>
          <w:spacing w:val="-3"/>
        </w:rPr>
        <w:t xml:space="preserve"> </w:t>
      </w:r>
      <w:r w:rsidRPr="00D4309F">
        <w:t>shoaling</w:t>
      </w:r>
      <w:r w:rsidRPr="00D4309F">
        <w:rPr>
          <w:spacing w:val="-3"/>
        </w:rPr>
        <w:t xml:space="preserve"> </w:t>
      </w:r>
      <w:r w:rsidRPr="00D4309F">
        <w:t>events</w:t>
      </w:r>
      <w:r w:rsidRPr="00D4309F">
        <w:rPr>
          <w:spacing w:val="-2"/>
        </w:rPr>
        <w:t xml:space="preserve"> </w:t>
      </w:r>
      <w:r w:rsidRPr="00D4309F">
        <w:t>as</w:t>
      </w:r>
      <w:r w:rsidRPr="00D4309F">
        <w:rPr>
          <w:spacing w:val="-3"/>
        </w:rPr>
        <w:t xml:space="preserve"> </w:t>
      </w:r>
      <w:r w:rsidRPr="00D4309F">
        <w:t>they relate to a wide range of stakeholders through the completion of a social impact evaluation.</w:t>
      </w:r>
    </w:p>
    <w:p w14:paraId="5F36800D" w14:textId="749E71D7" w:rsidR="00FE6959" w:rsidRPr="00D4309F" w:rsidRDefault="00725977" w:rsidP="00FE6959">
      <w:pPr>
        <w:pStyle w:val="ListBullet"/>
      </w:pPr>
      <w:r w:rsidRPr="00D4309F">
        <w:t>Identified</w:t>
      </w:r>
      <w:r w:rsidRPr="00D4309F">
        <w:rPr>
          <w:spacing w:val="-8"/>
        </w:rPr>
        <w:t xml:space="preserve"> </w:t>
      </w:r>
      <w:r w:rsidRPr="00D4309F">
        <w:t>short-term</w:t>
      </w:r>
      <w:r w:rsidRPr="00D4309F">
        <w:rPr>
          <w:spacing w:val="-6"/>
        </w:rPr>
        <w:t xml:space="preserve"> </w:t>
      </w:r>
      <w:r w:rsidRPr="00D4309F">
        <w:t>recommendations</w:t>
      </w:r>
      <w:r w:rsidRPr="00D4309F">
        <w:rPr>
          <w:spacing w:val="-4"/>
        </w:rPr>
        <w:t xml:space="preserve"> </w:t>
      </w:r>
      <w:r w:rsidRPr="00D4309F">
        <w:t>to</w:t>
      </w:r>
      <w:r w:rsidRPr="00D4309F">
        <w:rPr>
          <w:spacing w:val="-5"/>
        </w:rPr>
        <w:t xml:space="preserve"> </w:t>
      </w:r>
      <w:r w:rsidRPr="00D4309F">
        <w:t>stabilise</w:t>
      </w:r>
      <w:r w:rsidRPr="00D4309F">
        <w:rPr>
          <w:spacing w:val="-6"/>
        </w:rPr>
        <w:t xml:space="preserve"> </w:t>
      </w:r>
      <w:r w:rsidRPr="00D4309F">
        <w:t>the</w:t>
      </w:r>
      <w:r w:rsidRPr="00D4309F">
        <w:rPr>
          <w:spacing w:val="-6"/>
        </w:rPr>
        <w:t xml:space="preserve"> </w:t>
      </w:r>
      <w:r w:rsidRPr="00D4309F">
        <w:t>situation</w:t>
      </w:r>
      <w:r w:rsidRPr="00D4309F">
        <w:rPr>
          <w:spacing w:val="-5"/>
        </w:rPr>
        <w:t xml:space="preserve"> </w:t>
      </w:r>
      <w:r w:rsidRPr="00D4309F">
        <w:t>for</w:t>
      </w:r>
      <w:r w:rsidRPr="00D4309F">
        <w:rPr>
          <w:spacing w:val="-6"/>
        </w:rPr>
        <w:t xml:space="preserve"> </w:t>
      </w:r>
      <w:r w:rsidRPr="00D4309F">
        <w:t>consideration</w:t>
      </w:r>
      <w:r w:rsidRPr="00D4309F">
        <w:rPr>
          <w:spacing w:val="-6"/>
        </w:rPr>
        <w:t xml:space="preserve"> </w:t>
      </w:r>
      <w:r w:rsidRPr="00D4309F">
        <w:t>by</w:t>
      </w:r>
      <w:r w:rsidRPr="00D4309F">
        <w:rPr>
          <w:spacing w:val="-4"/>
        </w:rPr>
        <w:t xml:space="preserve"> </w:t>
      </w:r>
      <w:r w:rsidRPr="00D4309F">
        <w:rPr>
          <w:spacing w:val="-2"/>
        </w:rPr>
        <w:t>Government.</w:t>
      </w:r>
    </w:p>
    <w:p w14:paraId="300A79BA" w14:textId="77777777" w:rsidR="00725977" w:rsidRPr="00D4309F" w:rsidRDefault="00725977" w:rsidP="00725977">
      <w:pPr>
        <w:pStyle w:val="Heading3"/>
      </w:pPr>
      <w:bookmarkStart w:id="173" w:name="_bookmark75"/>
      <w:bookmarkStart w:id="174" w:name="_Toc216699351"/>
      <w:bookmarkEnd w:id="173"/>
      <w:r w:rsidRPr="00D4309F">
        <w:t>Recommendations</w:t>
      </w:r>
      <w:bookmarkEnd w:id="174"/>
    </w:p>
    <w:p w14:paraId="1CEC9DDA" w14:textId="77777777" w:rsidR="00725977" w:rsidRPr="00D4309F" w:rsidRDefault="00725977" w:rsidP="00725977">
      <w:pPr>
        <w:pStyle w:val="BodyText"/>
      </w:pPr>
      <w:r w:rsidRPr="00D4309F">
        <w:t>Following</w:t>
      </w:r>
      <w:r w:rsidRPr="00D4309F">
        <w:rPr>
          <w:spacing w:val="-6"/>
        </w:rPr>
        <w:t xml:space="preserve"> </w:t>
      </w:r>
      <w:r w:rsidRPr="00D4309F">
        <w:t>are</w:t>
      </w:r>
      <w:r w:rsidRPr="00D4309F">
        <w:rPr>
          <w:spacing w:val="-6"/>
        </w:rPr>
        <w:t xml:space="preserve"> </w:t>
      </w:r>
      <w:r w:rsidRPr="00D4309F">
        <w:t>recommendations</w:t>
      </w:r>
      <w:r w:rsidRPr="00D4309F">
        <w:rPr>
          <w:spacing w:val="-4"/>
        </w:rPr>
        <w:t xml:space="preserve"> </w:t>
      </w:r>
      <w:r w:rsidRPr="00D4309F">
        <w:t>for</w:t>
      </w:r>
      <w:r w:rsidRPr="00D4309F">
        <w:rPr>
          <w:spacing w:val="-6"/>
        </w:rPr>
        <w:t xml:space="preserve"> </w:t>
      </w:r>
      <w:r w:rsidRPr="00D4309F">
        <w:t>short-term</w:t>
      </w:r>
      <w:r w:rsidRPr="00D4309F">
        <w:rPr>
          <w:spacing w:val="-5"/>
        </w:rPr>
        <w:t xml:space="preserve"> </w:t>
      </w:r>
      <w:r w:rsidRPr="00D4309F">
        <w:rPr>
          <w:spacing w:val="-2"/>
        </w:rPr>
        <w:t>actions.</w:t>
      </w:r>
    </w:p>
    <w:p w14:paraId="3C708066" w14:textId="77777777" w:rsidR="00725977" w:rsidRPr="00D4309F" w:rsidRDefault="00725977" w:rsidP="00D27F26">
      <w:pPr>
        <w:pStyle w:val="ListNumber"/>
        <w:numPr>
          <w:ilvl w:val="0"/>
          <w:numId w:val="483"/>
        </w:numPr>
      </w:pPr>
      <w:r w:rsidRPr="00D4309F">
        <w:t>Continue</w:t>
      </w:r>
      <w:r w:rsidRPr="0053392F">
        <w:rPr>
          <w:spacing w:val="-3"/>
        </w:rPr>
        <w:t xml:space="preserve"> </w:t>
      </w:r>
      <w:r w:rsidRPr="00D4309F">
        <w:t>with</w:t>
      </w:r>
      <w:r w:rsidRPr="0053392F">
        <w:rPr>
          <w:spacing w:val="-4"/>
        </w:rPr>
        <w:t xml:space="preserve"> </w:t>
      </w:r>
      <w:r w:rsidRPr="00D4309F">
        <w:t>the</w:t>
      </w:r>
      <w:r w:rsidRPr="0053392F">
        <w:rPr>
          <w:spacing w:val="-3"/>
        </w:rPr>
        <w:t xml:space="preserve"> </w:t>
      </w:r>
      <w:r w:rsidRPr="00D4309F">
        <w:t>existing</w:t>
      </w:r>
      <w:r w:rsidRPr="0053392F">
        <w:rPr>
          <w:spacing w:val="-3"/>
        </w:rPr>
        <w:t xml:space="preserve"> </w:t>
      </w:r>
      <w:r w:rsidRPr="00D4309F">
        <w:t>maintenance</w:t>
      </w:r>
      <w:r w:rsidRPr="0053392F">
        <w:rPr>
          <w:spacing w:val="-3"/>
        </w:rPr>
        <w:t xml:space="preserve"> </w:t>
      </w:r>
      <w:r w:rsidRPr="00D4309F">
        <w:t>and</w:t>
      </w:r>
      <w:r w:rsidRPr="0053392F">
        <w:rPr>
          <w:spacing w:val="-3"/>
        </w:rPr>
        <w:t xml:space="preserve"> </w:t>
      </w:r>
      <w:r w:rsidRPr="00D4309F">
        <w:t>targeted</w:t>
      </w:r>
      <w:r w:rsidRPr="0053392F">
        <w:rPr>
          <w:spacing w:val="-3"/>
        </w:rPr>
        <w:t xml:space="preserve"> </w:t>
      </w:r>
      <w:r w:rsidRPr="00D4309F">
        <w:t>dredging</w:t>
      </w:r>
      <w:r w:rsidRPr="0053392F">
        <w:rPr>
          <w:spacing w:val="-3"/>
        </w:rPr>
        <w:t xml:space="preserve"> </w:t>
      </w:r>
      <w:r w:rsidRPr="00D4309F">
        <w:t>strategy</w:t>
      </w:r>
      <w:r w:rsidRPr="0053392F">
        <w:rPr>
          <w:spacing w:val="-2"/>
        </w:rPr>
        <w:t xml:space="preserve"> </w:t>
      </w:r>
      <w:r w:rsidRPr="00D4309F">
        <w:t>in</w:t>
      </w:r>
      <w:r w:rsidRPr="0053392F">
        <w:rPr>
          <w:spacing w:val="-3"/>
        </w:rPr>
        <w:t xml:space="preserve"> </w:t>
      </w:r>
      <w:r w:rsidRPr="00D4309F">
        <w:t>the</w:t>
      </w:r>
      <w:r w:rsidRPr="0053392F">
        <w:rPr>
          <w:spacing w:val="-3"/>
        </w:rPr>
        <w:t xml:space="preserve"> </w:t>
      </w:r>
      <w:r w:rsidRPr="00D4309F">
        <w:t>short-term,</w:t>
      </w:r>
      <w:r w:rsidRPr="0053392F">
        <w:rPr>
          <w:spacing w:val="-3"/>
        </w:rPr>
        <w:t xml:space="preserve"> </w:t>
      </w:r>
      <w:r w:rsidRPr="00D4309F">
        <w:t>with</w:t>
      </w:r>
      <w:r w:rsidRPr="0053392F">
        <w:rPr>
          <w:spacing w:val="-3"/>
        </w:rPr>
        <w:t xml:space="preserve"> </w:t>
      </w:r>
      <w:r w:rsidRPr="00D4309F">
        <w:t>the use</w:t>
      </w:r>
      <w:r w:rsidRPr="0053392F">
        <w:rPr>
          <w:spacing w:val="-1"/>
        </w:rPr>
        <w:t xml:space="preserve"> </w:t>
      </w:r>
      <w:r w:rsidRPr="00D4309F">
        <w:t>of</w:t>
      </w:r>
      <w:r w:rsidRPr="0053392F">
        <w:rPr>
          <w:spacing w:val="-1"/>
        </w:rPr>
        <w:t xml:space="preserve"> </w:t>
      </w:r>
      <w:r w:rsidRPr="00D4309F">
        <w:t>cutter</w:t>
      </w:r>
      <w:r w:rsidRPr="0053392F">
        <w:rPr>
          <w:spacing w:val="-2"/>
        </w:rPr>
        <w:t xml:space="preserve"> </w:t>
      </w:r>
      <w:r w:rsidRPr="00D4309F">
        <w:t>suction</w:t>
      </w:r>
      <w:r w:rsidRPr="0053392F">
        <w:rPr>
          <w:spacing w:val="-1"/>
        </w:rPr>
        <w:t xml:space="preserve"> </w:t>
      </w:r>
      <w:r w:rsidRPr="00D4309F">
        <w:t>dredgers.</w:t>
      </w:r>
      <w:r w:rsidRPr="0053392F">
        <w:rPr>
          <w:spacing w:val="-1"/>
        </w:rPr>
        <w:t xml:space="preserve"> </w:t>
      </w:r>
      <w:r w:rsidRPr="00D4309F">
        <w:t>This strategy is approved</w:t>
      </w:r>
      <w:r w:rsidRPr="0053392F">
        <w:rPr>
          <w:spacing w:val="-1"/>
        </w:rPr>
        <w:t xml:space="preserve"> </w:t>
      </w:r>
      <w:r w:rsidRPr="00D4309F">
        <w:t>and</w:t>
      </w:r>
      <w:r w:rsidRPr="0053392F">
        <w:rPr>
          <w:spacing w:val="-1"/>
        </w:rPr>
        <w:t xml:space="preserve"> </w:t>
      </w:r>
      <w:r w:rsidRPr="00D4309F">
        <w:t>the</w:t>
      </w:r>
      <w:r w:rsidRPr="0053392F">
        <w:rPr>
          <w:spacing w:val="-2"/>
        </w:rPr>
        <w:t xml:space="preserve"> </w:t>
      </w:r>
      <w:r w:rsidRPr="00D4309F">
        <w:t>current</w:t>
      </w:r>
      <w:r w:rsidRPr="0053392F">
        <w:rPr>
          <w:spacing w:val="-1"/>
        </w:rPr>
        <w:t xml:space="preserve"> </w:t>
      </w:r>
      <w:r w:rsidRPr="00D4309F">
        <w:t>most</w:t>
      </w:r>
      <w:r w:rsidRPr="0053392F">
        <w:rPr>
          <w:spacing w:val="-1"/>
        </w:rPr>
        <w:t xml:space="preserve"> </w:t>
      </w:r>
      <w:r w:rsidRPr="00D4309F">
        <w:t>effective</w:t>
      </w:r>
      <w:r w:rsidRPr="0053392F">
        <w:rPr>
          <w:spacing w:val="-1"/>
        </w:rPr>
        <w:t xml:space="preserve"> </w:t>
      </w:r>
      <w:r w:rsidRPr="00D4309F">
        <w:t>option</w:t>
      </w:r>
      <w:r w:rsidRPr="0053392F">
        <w:rPr>
          <w:spacing w:val="-2"/>
        </w:rPr>
        <w:t xml:space="preserve"> </w:t>
      </w:r>
      <w:r w:rsidRPr="00D4309F">
        <w:t>to</w:t>
      </w:r>
      <w:r w:rsidRPr="0053392F">
        <w:rPr>
          <w:spacing w:val="-1"/>
        </w:rPr>
        <w:t xml:space="preserve"> </w:t>
      </w:r>
      <w:r w:rsidRPr="00D4309F">
        <w:t>react</w:t>
      </w:r>
      <w:r w:rsidRPr="0053392F">
        <w:rPr>
          <w:spacing w:val="-1"/>
        </w:rPr>
        <w:t xml:space="preserve"> </w:t>
      </w:r>
      <w:r w:rsidRPr="00D4309F">
        <w:t>to shoaling events and maintain safe channel depths in the entrance.</w:t>
      </w:r>
    </w:p>
    <w:p w14:paraId="42FA987B" w14:textId="77777777" w:rsidR="00725977" w:rsidRPr="00D4309F" w:rsidRDefault="00725977" w:rsidP="0053392F">
      <w:pPr>
        <w:pStyle w:val="ListNumber"/>
      </w:pPr>
      <w:r w:rsidRPr="00D4309F">
        <w:t>Any improvements to site monitoring and the numerical modelling tool should be brought in to improve the</w:t>
      </w:r>
      <w:r w:rsidRPr="00D4309F">
        <w:rPr>
          <w:spacing w:val="-3"/>
        </w:rPr>
        <w:t xml:space="preserve"> </w:t>
      </w:r>
      <w:r w:rsidRPr="00D4309F">
        <w:t>timeliness</w:t>
      </w:r>
      <w:r w:rsidRPr="00D4309F">
        <w:rPr>
          <w:spacing w:val="-3"/>
        </w:rPr>
        <w:t xml:space="preserve"> </w:t>
      </w:r>
      <w:r w:rsidRPr="00D4309F">
        <w:t>of</w:t>
      </w:r>
      <w:r w:rsidRPr="00D4309F">
        <w:rPr>
          <w:spacing w:val="-3"/>
        </w:rPr>
        <w:t xml:space="preserve"> </w:t>
      </w:r>
      <w:r w:rsidRPr="00D4309F">
        <w:t>maintenance</w:t>
      </w:r>
      <w:r w:rsidRPr="00D4309F">
        <w:rPr>
          <w:spacing w:val="-3"/>
        </w:rPr>
        <w:t xml:space="preserve"> </w:t>
      </w:r>
      <w:r w:rsidRPr="00D4309F">
        <w:t>dredging</w:t>
      </w:r>
      <w:r w:rsidRPr="00D4309F">
        <w:rPr>
          <w:spacing w:val="-3"/>
        </w:rPr>
        <w:t xml:space="preserve"> </w:t>
      </w:r>
      <w:r w:rsidRPr="00D4309F">
        <w:t>and</w:t>
      </w:r>
      <w:r w:rsidRPr="00D4309F">
        <w:rPr>
          <w:spacing w:val="-3"/>
        </w:rPr>
        <w:t xml:space="preserve"> </w:t>
      </w:r>
      <w:r w:rsidRPr="00D4309F">
        <w:t>reactive</w:t>
      </w:r>
      <w:r w:rsidRPr="00D4309F">
        <w:rPr>
          <w:spacing w:val="-3"/>
        </w:rPr>
        <w:t xml:space="preserve"> </w:t>
      </w:r>
      <w:r w:rsidRPr="00D4309F">
        <w:t>targeted</w:t>
      </w:r>
      <w:r w:rsidRPr="00D4309F">
        <w:rPr>
          <w:spacing w:val="-3"/>
        </w:rPr>
        <w:t xml:space="preserve"> </w:t>
      </w:r>
      <w:r w:rsidRPr="00D4309F">
        <w:t>dredged</w:t>
      </w:r>
      <w:r w:rsidRPr="00D4309F">
        <w:rPr>
          <w:spacing w:val="-3"/>
        </w:rPr>
        <w:t xml:space="preserve"> </w:t>
      </w:r>
      <w:r w:rsidRPr="00D4309F">
        <w:t>as</w:t>
      </w:r>
      <w:r w:rsidRPr="00D4309F">
        <w:rPr>
          <w:spacing w:val="-2"/>
        </w:rPr>
        <w:t xml:space="preserve"> </w:t>
      </w:r>
      <w:r w:rsidRPr="00D4309F">
        <w:t>much</w:t>
      </w:r>
      <w:r w:rsidRPr="00D4309F">
        <w:rPr>
          <w:spacing w:val="-3"/>
        </w:rPr>
        <w:t xml:space="preserve"> </w:t>
      </w:r>
      <w:r w:rsidRPr="00D4309F">
        <w:t>as</w:t>
      </w:r>
      <w:r w:rsidRPr="00D4309F">
        <w:rPr>
          <w:spacing w:val="-2"/>
        </w:rPr>
        <w:t xml:space="preserve"> </w:t>
      </w:r>
      <w:r w:rsidRPr="00D4309F">
        <w:t>possible.</w:t>
      </w:r>
      <w:r w:rsidRPr="00D4309F">
        <w:rPr>
          <w:spacing w:val="-5"/>
        </w:rPr>
        <w:t xml:space="preserve"> </w:t>
      </w:r>
      <w:r w:rsidRPr="00D4309F">
        <w:t>In</w:t>
      </w:r>
      <w:r w:rsidRPr="00D4309F">
        <w:rPr>
          <w:spacing w:val="-3"/>
        </w:rPr>
        <w:t xml:space="preserve"> </w:t>
      </w:r>
      <w:r w:rsidRPr="00D4309F">
        <w:t>regard</w:t>
      </w:r>
      <w:r w:rsidRPr="00D4309F">
        <w:rPr>
          <w:spacing w:val="-3"/>
        </w:rPr>
        <w:t xml:space="preserve"> </w:t>
      </w:r>
      <w:r w:rsidRPr="00D4309F">
        <w:t>to the Shoal Sand Numerical Model, the following should be considered to improve the use of the existing model or the overall monitoring and prediction of sand shoals:</w:t>
      </w:r>
    </w:p>
    <w:p w14:paraId="22B86ED7" w14:textId="77777777" w:rsidR="00725977" w:rsidRPr="00D4309F" w:rsidRDefault="00725977" w:rsidP="0053392F">
      <w:pPr>
        <w:pStyle w:val="ListNumber2"/>
      </w:pPr>
      <w:r w:rsidRPr="00D4309F">
        <w:t>Continue</w:t>
      </w:r>
      <w:r w:rsidRPr="00D4309F">
        <w:rPr>
          <w:spacing w:val="-3"/>
        </w:rPr>
        <w:t xml:space="preserve"> </w:t>
      </w:r>
      <w:r w:rsidRPr="00D4309F">
        <w:t>to</w:t>
      </w:r>
      <w:r w:rsidRPr="00D4309F">
        <w:rPr>
          <w:spacing w:val="-3"/>
        </w:rPr>
        <w:t xml:space="preserve"> </w:t>
      </w:r>
      <w:r w:rsidRPr="00D4309F">
        <w:t>incorporate</w:t>
      </w:r>
      <w:r w:rsidRPr="00D4309F">
        <w:rPr>
          <w:spacing w:val="-3"/>
        </w:rPr>
        <w:t xml:space="preserve"> </w:t>
      </w:r>
      <w:r w:rsidRPr="00D4309F">
        <w:t>use</w:t>
      </w:r>
      <w:r w:rsidRPr="00D4309F">
        <w:rPr>
          <w:spacing w:val="-3"/>
        </w:rPr>
        <w:t xml:space="preserve"> </w:t>
      </w:r>
      <w:r w:rsidRPr="00D4309F">
        <w:t>of</w:t>
      </w:r>
      <w:r w:rsidRPr="00D4309F">
        <w:rPr>
          <w:spacing w:val="-3"/>
        </w:rPr>
        <w:t xml:space="preserve"> </w:t>
      </w:r>
      <w:r w:rsidRPr="00D4309F">
        <w:t>drone</w:t>
      </w:r>
      <w:r w:rsidRPr="00D4309F">
        <w:rPr>
          <w:spacing w:val="-3"/>
        </w:rPr>
        <w:t xml:space="preserve"> </w:t>
      </w:r>
      <w:r w:rsidRPr="00D4309F">
        <w:t>monitoring</w:t>
      </w:r>
      <w:r w:rsidRPr="00D4309F">
        <w:rPr>
          <w:spacing w:val="-3"/>
        </w:rPr>
        <w:t xml:space="preserve"> </w:t>
      </w:r>
      <w:r w:rsidRPr="00D4309F">
        <w:t>data</w:t>
      </w:r>
      <w:r w:rsidRPr="00D4309F">
        <w:rPr>
          <w:spacing w:val="-4"/>
        </w:rPr>
        <w:t xml:space="preserve"> </w:t>
      </w:r>
      <w:r w:rsidRPr="00D4309F">
        <w:t>and</w:t>
      </w:r>
      <w:r w:rsidRPr="00D4309F">
        <w:rPr>
          <w:spacing w:val="-3"/>
        </w:rPr>
        <w:t xml:space="preserve"> </w:t>
      </w:r>
      <w:r w:rsidRPr="00D4309F">
        <w:t>available</w:t>
      </w:r>
      <w:r w:rsidRPr="00D4309F">
        <w:rPr>
          <w:spacing w:val="-3"/>
        </w:rPr>
        <w:t xml:space="preserve"> </w:t>
      </w:r>
      <w:r w:rsidRPr="00D4309F">
        <w:t>survey</w:t>
      </w:r>
      <w:r w:rsidRPr="00D4309F">
        <w:rPr>
          <w:spacing w:val="-2"/>
        </w:rPr>
        <w:t xml:space="preserve"> </w:t>
      </w:r>
      <w:r w:rsidRPr="00D4309F">
        <w:t>data</w:t>
      </w:r>
      <w:r w:rsidRPr="00D4309F">
        <w:rPr>
          <w:spacing w:val="-4"/>
        </w:rPr>
        <w:t xml:space="preserve"> </w:t>
      </w:r>
      <w:r w:rsidRPr="00D4309F">
        <w:t>to</w:t>
      </w:r>
      <w:r w:rsidRPr="00D4309F">
        <w:rPr>
          <w:spacing w:val="-3"/>
        </w:rPr>
        <w:t xml:space="preserve"> </w:t>
      </w:r>
      <w:r w:rsidRPr="00D4309F">
        <w:t>confirm</w:t>
      </w:r>
      <w:r w:rsidRPr="00D4309F">
        <w:rPr>
          <w:spacing w:val="-3"/>
        </w:rPr>
        <w:t xml:space="preserve"> </w:t>
      </w:r>
      <w:r w:rsidRPr="00D4309F">
        <w:t>reliability or re-calibrate the model over time.</w:t>
      </w:r>
    </w:p>
    <w:p w14:paraId="188104E0" w14:textId="77777777" w:rsidR="00725977" w:rsidRPr="00D4309F" w:rsidRDefault="00725977" w:rsidP="0053392F">
      <w:pPr>
        <w:pStyle w:val="ListNumber2"/>
      </w:pPr>
      <w:r w:rsidRPr="00D4309F">
        <w:t>Automate</w:t>
      </w:r>
      <w:r w:rsidRPr="00D4309F">
        <w:rPr>
          <w:spacing w:val="-3"/>
        </w:rPr>
        <w:t xml:space="preserve"> </w:t>
      </w:r>
      <w:r w:rsidRPr="00D4309F">
        <w:t>the</w:t>
      </w:r>
      <w:r w:rsidRPr="00D4309F">
        <w:rPr>
          <w:spacing w:val="-4"/>
        </w:rPr>
        <w:t xml:space="preserve"> </w:t>
      </w:r>
      <w:r w:rsidRPr="00D4309F">
        <w:t>model</w:t>
      </w:r>
      <w:r w:rsidRPr="00D4309F">
        <w:rPr>
          <w:spacing w:val="-3"/>
        </w:rPr>
        <w:t xml:space="preserve"> </w:t>
      </w:r>
      <w:r w:rsidRPr="00D4309F">
        <w:t>as</w:t>
      </w:r>
      <w:r w:rsidRPr="00D4309F">
        <w:rPr>
          <w:spacing w:val="-2"/>
        </w:rPr>
        <w:t xml:space="preserve"> </w:t>
      </w:r>
      <w:r w:rsidRPr="00D4309F">
        <w:t>a</w:t>
      </w:r>
      <w:r w:rsidRPr="00D4309F">
        <w:rPr>
          <w:spacing w:val="-4"/>
        </w:rPr>
        <w:t xml:space="preserve"> </w:t>
      </w:r>
      <w:r w:rsidRPr="00D4309F">
        <w:t>real-time</w:t>
      </w:r>
      <w:r w:rsidRPr="00D4309F">
        <w:rPr>
          <w:spacing w:val="-3"/>
        </w:rPr>
        <w:t xml:space="preserve"> </w:t>
      </w:r>
      <w:r w:rsidRPr="00D4309F">
        <w:rPr>
          <w:spacing w:val="-2"/>
        </w:rPr>
        <w:t>service.</w:t>
      </w:r>
    </w:p>
    <w:p w14:paraId="28A4C5E4" w14:textId="77777777" w:rsidR="00725977" w:rsidRPr="00D4309F" w:rsidRDefault="00725977" w:rsidP="0053392F">
      <w:pPr>
        <w:pStyle w:val="ListNumber2"/>
      </w:pPr>
      <w:r w:rsidRPr="00D4309F">
        <w:t>Use</w:t>
      </w:r>
      <w:r w:rsidRPr="00D4309F">
        <w:rPr>
          <w:spacing w:val="-6"/>
        </w:rPr>
        <w:t xml:space="preserve"> </w:t>
      </w:r>
      <w:r w:rsidRPr="00D4309F">
        <w:t>forecasted</w:t>
      </w:r>
      <w:r w:rsidRPr="00D4309F">
        <w:rPr>
          <w:spacing w:val="-3"/>
        </w:rPr>
        <w:t xml:space="preserve"> </w:t>
      </w:r>
      <w:r w:rsidRPr="00D4309F">
        <w:t>wave</w:t>
      </w:r>
      <w:r w:rsidRPr="00D4309F">
        <w:rPr>
          <w:spacing w:val="-3"/>
        </w:rPr>
        <w:t xml:space="preserve"> </w:t>
      </w:r>
      <w:r w:rsidRPr="00D4309F">
        <w:t>data</w:t>
      </w:r>
      <w:r w:rsidRPr="00D4309F">
        <w:rPr>
          <w:spacing w:val="-4"/>
        </w:rPr>
        <w:t xml:space="preserve"> </w:t>
      </w:r>
      <w:r w:rsidRPr="00D4309F">
        <w:t>(1</w:t>
      </w:r>
      <w:r w:rsidRPr="00D4309F">
        <w:rPr>
          <w:spacing w:val="-3"/>
        </w:rPr>
        <w:t xml:space="preserve"> </w:t>
      </w:r>
      <w:r w:rsidRPr="00D4309F">
        <w:t>–</w:t>
      </w:r>
      <w:r w:rsidRPr="00D4309F">
        <w:rPr>
          <w:spacing w:val="-3"/>
        </w:rPr>
        <w:t xml:space="preserve"> </w:t>
      </w:r>
      <w:r w:rsidRPr="00D4309F">
        <w:t>2</w:t>
      </w:r>
      <w:r w:rsidRPr="00D4309F">
        <w:rPr>
          <w:spacing w:val="-3"/>
        </w:rPr>
        <w:t xml:space="preserve"> </w:t>
      </w:r>
      <w:r w:rsidRPr="00D4309F">
        <w:t>weeks)</w:t>
      </w:r>
      <w:r w:rsidRPr="00D4309F">
        <w:rPr>
          <w:spacing w:val="-2"/>
        </w:rPr>
        <w:t xml:space="preserve"> </w:t>
      </w:r>
      <w:r w:rsidRPr="00D4309F">
        <w:t>and</w:t>
      </w:r>
      <w:r w:rsidRPr="00D4309F">
        <w:rPr>
          <w:spacing w:val="-3"/>
        </w:rPr>
        <w:t xml:space="preserve"> </w:t>
      </w:r>
      <w:r w:rsidRPr="00D4309F">
        <w:t>typical</w:t>
      </w:r>
      <w:r w:rsidRPr="00D4309F">
        <w:rPr>
          <w:spacing w:val="-4"/>
        </w:rPr>
        <w:t xml:space="preserve"> </w:t>
      </w:r>
      <w:r w:rsidRPr="00D4309F">
        <w:t>seasonal</w:t>
      </w:r>
      <w:r w:rsidRPr="00D4309F">
        <w:rPr>
          <w:spacing w:val="-3"/>
        </w:rPr>
        <w:t xml:space="preserve"> </w:t>
      </w:r>
      <w:r w:rsidRPr="00D4309F">
        <w:rPr>
          <w:spacing w:val="-2"/>
        </w:rPr>
        <w:t>conditions.</w:t>
      </w:r>
    </w:p>
    <w:p w14:paraId="54487E5D" w14:textId="77777777" w:rsidR="00725977" w:rsidRPr="00D4309F" w:rsidRDefault="00725977" w:rsidP="0053392F">
      <w:pPr>
        <w:pStyle w:val="ListNumber2"/>
      </w:pPr>
      <w:r w:rsidRPr="00D4309F">
        <w:t>Consider</w:t>
      </w:r>
      <w:r w:rsidRPr="00D4309F">
        <w:rPr>
          <w:spacing w:val="-2"/>
        </w:rPr>
        <w:t xml:space="preserve"> </w:t>
      </w:r>
      <w:r w:rsidRPr="00D4309F">
        <w:t>upgrading</w:t>
      </w:r>
      <w:r w:rsidRPr="00D4309F">
        <w:rPr>
          <w:spacing w:val="-3"/>
        </w:rPr>
        <w:t xml:space="preserve"> </w:t>
      </w:r>
      <w:r w:rsidRPr="00D4309F">
        <w:t>model</w:t>
      </w:r>
      <w:r w:rsidRPr="00D4309F">
        <w:rPr>
          <w:spacing w:val="-3"/>
        </w:rPr>
        <w:t xml:space="preserve"> </w:t>
      </w:r>
      <w:r w:rsidRPr="00D4309F">
        <w:t>to</w:t>
      </w:r>
      <w:r w:rsidRPr="00D4309F">
        <w:rPr>
          <w:spacing w:val="-3"/>
        </w:rPr>
        <w:t xml:space="preserve"> </w:t>
      </w:r>
      <w:r w:rsidRPr="00D4309F">
        <w:t>(or</w:t>
      </w:r>
      <w:r w:rsidRPr="00D4309F">
        <w:rPr>
          <w:spacing w:val="-2"/>
        </w:rPr>
        <w:t xml:space="preserve"> </w:t>
      </w:r>
      <w:r w:rsidRPr="00D4309F">
        <w:t>use</w:t>
      </w:r>
      <w:r w:rsidRPr="00D4309F">
        <w:rPr>
          <w:spacing w:val="-3"/>
        </w:rPr>
        <w:t xml:space="preserve"> </w:t>
      </w:r>
      <w:r w:rsidRPr="00D4309F">
        <w:t>in</w:t>
      </w:r>
      <w:r w:rsidRPr="00D4309F">
        <w:rPr>
          <w:spacing w:val="-3"/>
        </w:rPr>
        <w:t xml:space="preserve"> </w:t>
      </w:r>
      <w:r w:rsidRPr="00D4309F">
        <w:t>conjunction</w:t>
      </w:r>
      <w:r w:rsidRPr="00D4309F">
        <w:rPr>
          <w:spacing w:val="-4"/>
        </w:rPr>
        <w:t xml:space="preserve"> </w:t>
      </w:r>
      <w:r w:rsidRPr="00D4309F">
        <w:t>with)</w:t>
      </w:r>
      <w:r w:rsidRPr="00D4309F">
        <w:rPr>
          <w:spacing w:val="-2"/>
        </w:rPr>
        <w:t xml:space="preserve"> </w:t>
      </w:r>
      <w:r w:rsidRPr="00D4309F">
        <w:t>a</w:t>
      </w:r>
      <w:r w:rsidRPr="00D4309F">
        <w:rPr>
          <w:spacing w:val="-3"/>
        </w:rPr>
        <w:t xml:space="preserve"> </w:t>
      </w:r>
      <w:r w:rsidRPr="00D4309F">
        <w:t>calibrated</w:t>
      </w:r>
      <w:r w:rsidRPr="00D4309F">
        <w:rPr>
          <w:spacing w:val="-3"/>
        </w:rPr>
        <w:t xml:space="preserve"> </w:t>
      </w:r>
      <w:r w:rsidRPr="00D4309F">
        <w:t>numerical</w:t>
      </w:r>
      <w:r w:rsidRPr="00D4309F">
        <w:rPr>
          <w:spacing w:val="-3"/>
        </w:rPr>
        <w:t xml:space="preserve"> </w:t>
      </w:r>
      <w:r w:rsidRPr="00D4309F">
        <w:t>model</w:t>
      </w:r>
      <w:r w:rsidRPr="00D4309F">
        <w:rPr>
          <w:spacing w:val="-3"/>
        </w:rPr>
        <w:t xml:space="preserve"> </w:t>
      </w:r>
      <w:r w:rsidRPr="00D4309F">
        <w:t>which</w:t>
      </w:r>
      <w:r w:rsidRPr="00D4309F">
        <w:rPr>
          <w:spacing w:val="-3"/>
        </w:rPr>
        <w:t xml:space="preserve"> </w:t>
      </w:r>
      <w:r w:rsidRPr="00D4309F">
        <w:t>can provide</w:t>
      </w:r>
      <w:r w:rsidRPr="00D4309F">
        <w:rPr>
          <w:spacing w:val="-3"/>
        </w:rPr>
        <w:t xml:space="preserve"> </w:t>
      </w:r>
      <w:r w:rsidRPr="00D4309F">
        <w:t>not</w:t>
      </w:r>
      <w:r w:rsidRPr="00D4309F">
        <w:rPr>
          <w:spacing w:val="-3"/>
        </w:rPr>
        <w:t xml:space="preserve"> </w:t>
      </w:r>
      <w:r w:rsidRPr="00D4309F">
        <w:t>only</w:t>
      </w:r>
      <w:r w:rsidRPr="00D4309F">
        <w:rPr>
          <w:spacing w:val="-2"/>
        </w:rPr>
        <w:t xml:space="preserve"> </w:t>
      </w:r>
      <w:r w:rsidRPr="00D4309F">
        <w:t>a</w:t>
      </w:r>
      <w:r w:rsidRPr="00D4309F">
        <w:rPr>
          <w:spacing w:val="-3"/>
        </w:rPr>
        <w:t xml:space="preserve"> </w:t>
      </w:r>
      <w:r w:rsidRPr="00D4309F">
        <w:t>more</w:t>
      </w:r>
      <w:r w:rsidRPr="00D4309F">
        <w:rPr>
          <w:spacing w:val="-3"/>
        </w:rPr>
        <w:t xml:space="preserve"> </w:t>
      </w:r>
      <w:r w:rsidRPr="00D4309F">
        <w:t>reliable</w:t>
      </w:r>
      <w:r w:rsidRPr="00D4309F">
        <w:rPr>
          <w:spacing w:val="-3"/>
        </w:rPr>
        <w:t xml:space="preserve"> </w:t>
      </w:r>
      <w:r w:rsidRPr="00D4309F">
        <w:t>indicator</w:t>
      </w:r>
      <w:r w:rsidRPr="00D4309F">
        <w:rPr>
          <w:spacing w:val="-2"/>
        </w:rPr>
        <w:t xml:space="preserve"> </w:t>
      </w:r>
      <w:r w:rsidRPr="00D4309F">
        <w:t>of</w:t>
      </w:r>
      <w:r w:rsidRPr="00D4309F">
        <w:rPr>
          <w:spacing w:val="-3"/>
        </w:rPr>
        <w:t xml:space="preserve"> </w:t>
      </w:r>
      <w:r w:rsidRPr="00D4309F">
        <w:t>sand</w:t>
      </w:r>
      <w:r w:rsidRPr="00D4309F">
        <w:rPr>
          <w:spacing w:val="-3"/>
        </w:rPr>
        <w:t xml:space="preserve"> </w:t>
      </w:r>
      <w:r w:rsidRPr="00D4309F">
        <w:t>shoal</w:t>
      </w:r>
      <w:r w:rsidRPr="00D4309F">
        <w:rPr>
          <w:spacing w:val="-3"/>
        </w:rPr>
        <w:t xml:space="preserve"> </w:t>
      </w:r>
      <w:r w:rsidRPr="00D4309F">
        <w:t>events</w:t>
      </w:r>
      <w:r w:rsidRPr="00D4309F">
        <w:rPr>
          <w:spacing w:val="-2"/>
        </w:rPr>
        <w:t xml:space="preserve"> </w:t>
      </w:r>
      <w:r w:rsidRPr="00D4309F">
        <w:t>but</w:t>
      </w:r>
      <w:r w:rsidRPr="00D4309F">
        <w:rPr>
          <w:spacing w:val="-5"/>
        </w:rPr>
        <w:t xml:space="preserve"> </w:t>
      </w:r>
      <w:r w:rsidRPr="00D4309F">
        <w:t>a</w:t>
      </w:r>
      <w:r w:rsidRPr="00D4309F">
        <w:rPr>
          <w:spacing w:val="-3"/>
        </w:rPr>
        <w:t xml:space="preserve"> </w:t>
      </w:r>
      <w:r w:rsidRPr="00D4309F">
        <w:t>greater</w:t>
      </w:r>
      <w:r w:rsidRPr="00D4309F">
        <w:rPr>
          <w:spacing w:val="-2"/>
        </w:rPr>
        <w:t xml:space="preserve"> </w:t>
      </w:r>
      <w:r w:rsidRPr="00D4309F">
        <w:t>understanding</w:t>
      </w:r>
      <w:r w:rsidRPr="00D4309F">
        <w:rPr>
          <w:spacing w:val="-3"/>
        </w:rPr>
        <w:t xml:space="preserve"> </w:t>
      </w:r>
      <w:r w:rsidRPr="00D4309F">
        <w:t>of</w:t>
      </w:r>
      <w:r w:rsidRPr="00D4309F">
        <w:rPr>
          <w:spacing w:val="-3"/>
        </w:rPr>
        <w:t xml:space="preserve"> </w:t>
      </w:r>
      <w:r w:rsidRPr="00D4309F">
        <w:t>the extent and location of the sand shoal.</w:t>
      </w:r>
    </w:p>
    <w:p w14:paraId="7C249B03" w14:textId="77777777" w:rsidR="00725977" w:rsidRPr="00D4309F" w:rsidRDefault="00725977" w:rsidP="0053392F">
      <w:pPr>
        <w:pStyle w:val="ListNumber2"/>
      </w:pPr>
      <w:r w:rsidRPr="00D4309F">
        <w:t>Integrate</w:t>
      </w:r>
      <w:r w:rsidRPr="00D4309F">
        <w:rPr>
          <w:spacing w:val="-7"/>
        </w:rPr>
        <w:t xml:space="preserve"> </w:t>
      </w:r>
      <w:r w:rsidRPr="00D4309F">
        <w:t>the</w:t>
      </w:r>
      <w:r w:rsidRPr="00D4309F">
        <w:rPr>
          <w:spacing w:val="-5"/>
        </w:rPr>
        <w:t xml:space="preserve"> </w:t>
      </w:r>
      <w:r w:rsidRPr="00D4309F">
        <w:t>SurflineAI</w:t>
      </w:r>
      <w:r w:rsidRPr="00D4309F">
        <w:rPr>
          <w:spacing w:val="-4"/>
        </w:rPr>
        <w:t xml:space="preserve"> </w:t>
      </w:r>
      <w:r w:rsidRPr="00D4309F">
        <w:t>camera</w:t>
      </w:r>
      <w:r w:rsidRPr="00D4309F">
        <w:rPr>
          <w:spacing w:val="-4"/>
        </w:rPr>
        <w:t xml:space="preserve"> </w:t>
      </w:r>
      <w:r w:rsidRPr="00D4309F">
        <w:t>technology</w:t>
      </w:r>
      <w:r w:rsidRPr="00D4309F">
        <w:rPr>
          <w:spacing w:val="-4"/>
        </w:rPr>
        <w:t xml:space="preserve"> </w:t>
      </w:r>
      <w:r w:rsidRPr="00D4309F">
        <w:t>for</w:t>
      </w:r>
      <w:r w:rsidRPr="00D4309F">
        <w:rPr>
          <w:spacing w:val="-3"/>
        </w:rPr>
        <w:t xml:space="preserve"> </w:t>
      </w:r>
      <w:r w:rsidRPr="00D4309F">
        <w:t>improved</w:t>
      </w:r>
      <w:r w:rsidRPr="00D4309F">
        <w:rPr>
          <w:spacing w:val="-4"/>
        </w:rPr>
        <w:t xml:space="preserve"> </w:t>
      </w:r>
      <w:r w:rsidRPr="00D4309F">
        <w:t>real</w:t>
      </w:r>
      <w:r w:rsidRPr="00D4309F">
        <w:rPr>
          <w:spacing w:val="-4"/>
        </w:rPr>
        <w:t xml:space="preserve"> </w:t>
      </w:r>
      <w:r w:rsidRPr="00D4309F">
        <w:t>time</w:t>
      </w:r>
      <w:r w:rsidRPr="00D4309F">
        <w:rPr>
          <w:spacing w:val="-5"/>
        </w:rPr>
        <w:t xml:space="preserve"> </w:t>
      </w:r>
      <w:r w:rsidRPr="00D4309F">
        <w:rPr>
          <w:spacing w:val="-2"/>
        </w:rPr>
        <w:t>monitoring</w:t>
      </w:r>
    </w:p>
    <w:p w14:paraId="235BAB24" w14:textId="77777777" w:rsidR="00725977" w:rsidRPr="00D4309F" w:rsidRDefault="00725977" w:rsidP="0053392F">
      <w:pPr>
        <w:pStyle w:val="ListNumber"/>
      </w:pPr>
      <w:r w:rsidRPr="00D4309F">
        <w:t>Continue with the Western Channel Trial to provide interim improvements to navigation and inform longer-term</w:t>
      </w:r>
      <w:r w:rsidRPr="00D4309F">
        <w:rPr>
          <w:spacing w:val="-3"/>
        </w:rPr>
        <w:t xml:space="preserve"> </w:t>
      </w:r>
      <w:r w:rsidRPr="00D4309F">
        <w:t>strategies</w:t>
      </w:r>
      <w:r w:rsidRPr="00D4309F">
        <w:rPr>
          <w:spacing w:val="-2"/>
        </w:rPr>
        <w:t xml:space="preserve"> </w:t>
      </w:r>
      <w:r w:rsidRPr="00D4309F">
        <w:t>that</w:t>
      </w:r>
      <w:r w:rsidRPr="00D4309F">
        <w:rPr>
          <w:spacing w:val="-3"/>
        </w:rPr>
        <w:t xml:space="preserve"> </w:t>
      </w:r>
      <w:r w:rsidRPr="00D4309F">
        <w:t>incorporate</w:t>
      </w:r>
      <w:r w:rsidRPr="00D4309F">
        <w:rPr>
          <w:spacing w:val="-3"/>
        </w:rPr>
        <w:t xml:space="preserve"> </w:t>
      </w:r>
      <w:r w:rsidRPr="00D4309F">
        <w:t>the</w:t>
      </w:r>
      <w:r w:rsidRPr="00D4309F">
        <w:rPr>
          <w:spacing w:val="-3"/>
        </w:rPr>
        <w:t xml:space="preserve"> </w:t>
      </w:r>
      <w:r w:rsidRPr="00D4309F">
        <w:t>western</w:t>
      </w:r>
      <w:r w:rsidRPr="00D4309F">
        <w:rPr>
          <w:spacing w:val="-4"/>
        </w:rPr>
        <w:t xml:space="preserve"> </w:t>
      </w:r>
      <w:r w:rsidRPr="00D4309F">
        <w:t>channel.</w:t>
      </w:r>
      <w:r w:rsidRPr="00D4309F">
        <w:rPr>
          <w:spacing w:val="-4"/>
        </w:rPr>
        <w:t xml:space="preserve"> </w:t>
      </w:r>
      <w:r w:rsidRPr="00D4309F">
        <w:t>That</w:t>
      </w:r>
      <w:r w:rsidRPr="00D4309F">
        <w:rPr>
          <w:spacing w:val="-4"/>
        </w:rPr>
        <w:t xml:space="preserve"> </w:t>
      </w:r>
      <w:r w:rsidRPr="00D4309F">
        <w:t>this</w:t>
      </w:r>
      <w:r w:rsidRPr="00D4309F">
        <w:rPr>
          <w:spacing w:val="-2"/>
        </w:rPr>
        <w:t xml:space="preserve"> </w:t>
      </w:r>
      <w:r w:rsidRPr="00D4309F">
        <w:t>area</w:t>
      </w:r>
      <w:r w:rsidRPr="00D4309F">
        <w:rPr>
          <w:spacing w:val="-3"/>
        </w:rPr>
        <w:t xml:space="preserve"> </w:t>
      </w:r>
      <w:r w:rsidRPr="00D4309F">
        <w:t>is</w:t>
      </w:r>
      <w:r w:rsidRPr="00D4309F">
        <w:rPr>
          <w:spacing w:val="-2"/>
        </w:rPr>
        <w:t xml:space="preserve"> </w:t>
      </w:r>
      <w:r w:rsidRPr="00D4309F">
        <w:t>regularly</w:t>
      </w:r>
      <w:r w:rsidRPr="00D4309F">
        <w:rPr>
          <w:spacing w:val="-2"/>
        </w:rPr>
        <w:t xml:space="preserve"> </w:t>
      </w:r>
      <w:r w:rsidRPr="00D4309F">
        <w:t>monitored</w:t>
      </w:r>
      <w:r w:rsidRPr="00D4309F">
        <w:rPr>
          <w:spacing w:val="-3"/>
        </w:rPr>
        <w:t xml:space="preserve"> </w:t>
      </w:r>
      <w:r w:rsidRPr="00D4309F">
        <w:t>or surveyed, such as with up-to-date satellite deriver bathymetry, to always provide mariners with the indicative location of the sand shoal and safe navigation pathway.</w:t>
      </w:r>
    </w:p>
    <w:p w14:paraId="70C172E3" w14:textId="20022AED" w:rsidR="00725977" w:rsidRDefault="00725977" w:rsidP="0053392F">
      <w:pPr>
        <w:pStyle w:val="ListNumber"/>
      </w:pPr>
      <w:r w:rsidRPr="00D4309F">
        <w:t>Maritime</w:t>
      </w:r>
      <w:r w:rsidRPr="00D4309F">
        <w:rPr>
          <w:spacing w:val="-3"/>
        </w:rPr>
        <w:t xml:space="preserve"> </w:t>
      </w:r>
      <w:r w:rsidRPr="00D4309F">
        <w:t>Safety</w:t>
      </w:r>
      <w:r w:rsidRPr="00D4309F">
        <w:rPr>
          <w:spacing w:val="-2"/>
        </w:rPr>
        <w:t xml:space="preserve"> </w:t>
      </w:r>
      <w:r w:rsidRPr="00D4309F">
        <w:t>Queensland</w:t>
      </w:r>
      <w:r w:rsidRPr="00D4309F">
        <w:rPr>
          <w:spacing w:val="-3"/>
        </w:rPr>
        <w:t xml:space="preserve"> </w:t>
      </w:r>
      <w:r w:rsidRPr="00D4309F">
        <w:t>(MSQ),</w:t>
      </w:r>
      <w:r w:rsidRPr="00D4309F">
        <w:rPr>
          <w:spacing w:val="-3"/>
        </w:rPr>
        <w:t xml:space="preserve"> </w:t>
      </w:r>
      <w:r w:rsidRPr="00D4309F">
        <w:t>continue</w:t>
      </w:r>
      <w:r w:rsidRPr="00D4309F">
        <w:rPr>
          <w:spacing w:val="-3"/>
        </w:rPr>
        <w:t xml:space="preserve"> </w:t>
      </w:r>
      <w:r w:rsidRPr="00D4309F">
        <w:t>to</w:t>
      </w:r>
      <w:r w:rsidRPr="00D4309F">
        <w:rPr>
          <w:spacing w:val="-3"/>
        </w:rPr>
        <w:t xml:space="preserve"> </w:t>
      </w:r>
      <w:r w:rsidRPr="00D4309F">
        <w:t>issue</w:t>
      </w:r>
      <w:r w:rsidRPr="00D4309F">
        <w:rPr>
          <w:spacing w:val="-3"/>
        </w:rPr>
        <w:t xml:space="preserve"> </w:t>
      </w:r>
      <w:r w:rsidRPr="00D4309F">
        <w:t>regular</w:t>
      </w:r>
      <w:r w:rsidRPr="00D4309F">
        <w:rPr>
          <w:spacing w:val="-2"/>
        </w:rPr>
        <w:t xml:space="preserve"> </w:t>
      </w:r>
      <w:r w:rsidRPr="00D4309F">
        <w:t>and</w:t>
      </w:r>
      <w:r w:rsidRPr="00D4309F">
        <w:rPr>
          <w:spacing w:val="-4"/>
        </w:rPr>
        <w:t xml:space="preserve"> </w:t>
      </w:r>
      <w:r w:rsidRPr="00D4309F">
        <w:t>detailed</w:t>
      </w:r>
      <w:r w:rsidRPr="00D4309F">
        <w:rPr>
          <w:spacing w:val="-3"/>
        </w:rPr>
        <w:t xml:space="preserve"> </w:t>
      </w:r>
      <w:r w:rsidRPr="00D4309F">
        <w:t>Notices</w:t>
      </w:r>
      <w:r w:rsidRPr="00D4309F">
        <w:rPr>
          <w:spacing w:val="-2"/>
        </w:rPr>
        <w:t xml:space="preserve"> </w:t>
      </w:r>
      <w:r w:rsidRPr="00D4309F">
        <w:t>to</w:t>
      </w:r>
      <w:r w:rsidRPr="00D4309F">
        <w:rPr>
          <w:spacing w:val="-3"/>
        </w:rPr>
        <w:t xml:space="preserve"> </w:t>
      </w:r>
      <w:r w:rsidRPr="00D4309F">
        <w:t>Mariners.</w:t>
      </w:r>
      <w:r w:rsidRPr="00D4309F">
        <w:rPr>
          <w:spacing w:val="-3"/>
        </w:rPr>
        <w:t xml:space="preserve"> </w:t>
      </w:r>
      <w:r w:rsidRPr="00D4309F">
        <w:t>These notices inform vessel masters of current shoaling, reduced depths, and provide guidance on safe navigation, including alternative routes where possible.</w:t>
      </w:r>
    </w:p>
    <w:p w14:paraId="48616381" w14:textId="77777777" w:rsidR="0053392F" w:rsidRPr="00D4309F" w:rsidRDefault="0053392F" w:rsidP="0053392F">
      <w:pPr>
        <w:pStyle w:val="ListNumber"/>
      </w:pPr>
      <w:r w:rsidRPr="00D4309F">
        <w:lastRenderedPageBreak/>
        <w:t>The</w:t>
      </w:r>
      <w:r w:rsidRPr="00D4309F">
        <w:rPr>
          <w:spacing w:val="-2"/>
        </w:rPr>
        <w:t xml:space="preserve"> </w:t>
      </w:r>
      <w:r w:rsidRPr="00D4309F">
        <w:t>use</w:t>
      </w:r>
      <w:r w:rsidRPr="00D4309F">
        <w:rPr>
          <w:spacing w:val="-2"/>
        </w:rPr>
        <w:t xml:space="preserve"> </w:t>
      </w:r>
      <w:r w:rsidRPr="00D4309F">
        <w:t>of</w:t>
      </w:r>
      <w:r w:rsidRPr="00D4309F">
        <w:rPr>
          <w:spacing w:val="-2"/>
        </w:rPr>
        <w:t xml:space="preserve"> </w:t>
      </w:r>
      <w:r w:rsidRPr="00D4309F">
        <w:t>TSHD</w:t>
      </w:r>
      <w:r w:rsidRPr="00D4309F">
        <w:rPr>
          <w:spacing w:val="-1"/>
        </w:rPr>
        <w:t xml:space="preserve"> </w:t>
      </w:r>
      <w:r w:rsidRPr="00D4309F">
        <w:t>dredgers</w:t>
      </w:r>
      <w:r w:rsidRPr="00D4309F">
        <w:rPr>
          <w:spacing w:val="-1"/>
        </w:rPr>
        <w:t xml:space="preserve"> </w:t>
      </w:r>
      <w:r w:rsidRPr="00D4309F">
        <w:t>could</w:t>
      </w:r>
      <w:r w:rsidRPr="00D4309F">
        <w:rPr>
          <w:spacing w:val="-2"/>
        </w:rPr>
        <w:t xml:space="preserve"> </w:t>
      </w:r>
      <w:r w:rsidRPr="00D4309F">
        <w:t>be</w:t>
      </w:r>
      <w:r w:rsidRPr="00D4309F">
        <w:rPr>
          <w:spacing w:val="-3"/>
        </w:rPr>
        <w:t xml:space="preserve"> </w:t>
      </w:r>
      <w:r w:rsidRPr="00D4309F">
        <w:t>considered</w:t>
      </w:r>
      <w:r w:rsidRPr="00D4309F">
        <w:rPr>
          <w:spacing w:val="-2"/>
        </w:rPr>
        <w:t xml:space="preserve"> </w:t>
      </w:r>
      <w:r w:rsidRPr="00D4309F">
        <w:t>as</w:t>
      </w:r>
      <w:r w:rsidRPr="00D4309F">
        <w:rPr>
          <w:spacing w:val="-1"/>
        </w:rPr>
        <w:t xml:space="preserve"> </w:t>
      </w:r>
      <w:r w:rsidRPr="00D4309F">
        <w:t>an</w:t>
      </w:r>
      <w:r w:rsidRPr="00D4309F">
        <w:rPr>
          <w:spacing w:val="-2"/>
        </w:rPr>
        <w:t xml:space="preserve"> </w:t>
      </w:r>
      <w:r w:rsidRPr="00D4309F">
        <w:t>alternative</w:t>
      </w:r>
      <w:r w:rsidRPr="00D4309F">
        <w:rPr>
          <w:spacing w:val="-2"/>
        </w:rPr>
        <w:t xml:space="preserve"> </w:t>
      </w:r>
      <w:r w:rsidRPr="00D4309F">
        <w:t>to</w:t>
      </w:r>
      <w:r w:rsidRPr="00D4309F">
        <w:rPr>
          <w:spacing w:val="-2"/>
        </w:rPr>
        <w:t xml:space="preserve"> </w:t>
      </w:r>
      <w:r w:rsidRPr="00D4309F">
        <w:t>the</w:t>
      </w:r>
      <w:r w:rsidRPr="00D4309F">
        <w:rPr>
          <w:spacing w:val="-2"/>
        </w:rPr>
        <w:t xml:space="preserve"> </w:t>
      </w:r>
      <w:r w:rsidRPr="00D4309F">
        <w:t>cutter</w:t>
      </w:r>
      <w:r w:rsidRPr="00D4309F">
        <w:rPr>
          <w:spacing w:val="-3"/>
        </w:rPr>
        <w:t xml:space="preserve"> </w:t>
      </w:r>
      <w:r w:rsidRPr="00D4309F">
        <w:t>suction</w:t>
      </w:r>
      <w:r w:rsidRPr="00D4309F">
        <w:rPr>
          <w:spacing w:val="-2"/>
        </w:rPr>
        <w:t xml:space="preserve"> </w:t>
      </w:r>
      <w:r w:rsidRPr="00D4309F">
        <w:t>dredgers</w:t>
      </w:r>
      <w:r w:rsidRPr="00D4309F">
        <w:rPr>
          <w:spacing w:val="-1"/>
        </w:rPr>
        <w:t xml:space="preserve"> </w:t>
      </w:r>
      <w:r w:rsidRPr="00D4309F">
        <w:t>but</w:t>
      </w:r>
      <w:r w:rsidRPr="00D4309F">
        <w:rPr>
          <w:spacing w:val="-2"/>
        </w:rPr>
        <w:t xml:space="preserve"> </w:t>
      </w:r>
      <w:r w:rsidRPr="00D4309F">
        <w:t>is</w:t>
      </w:r>
      <w:r w:rsidRPr="00D4309F">
        <w:rPr>
          <w:spacing w:val="-1"/>
        </w:rPr>
        <w:t xml:space="preserve"> </w:t>
      </w:r>
      <w:r w:rsidRPr="00D4309F">
        <w:t>not expected to greatly improve the suitable dredge window due to constraints at the site (i.e., shallow depths, rocky layer, wave exposure).</w:t>
      </w:r>
    </w:p>
    <w:p w14:paraId="5B331B36" w14:textId="77777777" w:rsidR="0053392F" w:rsidRPr="00D4309F" w:rsidRDefault="0053392F" w:rsidP="0053392F">
      <w:pPr>
        <w:pStyle w:val="ListNumber"/>
      </w:pPr>
      <w:r w:rsidRPr="00D4309F">
        <w:t>Use</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submarine</w:t>
      </w:r>
      <w:r w:rsidRPr="00D4309F">
        <w:rPr>
          <w:spacing w:val="-3"/>
        </w:rPr>
        <w:t xml:space="preserve"> </w:t>
      </w:r>
      <w:r w:rsidRPr="00D4309F">
        <w:t>dredger</w:t>
      </w:r>
      <w:r w:rsidRPr="00D4309F">
        <w:rPr>
          <w:spacing w:val="-2"/>
        </w:rPr>
        <w:t xml:space="preserve"> </w:t>
      </w:r>
      <w:r w:rsidRPr="00D4309F">
        <w:t>and</w:t>
      </w:r>
      <w:r w:rsidRPr="00D4309F">
        <w:rPr>
          <w:spacing w:val="-3"/>
        </w:rPr>
        <w:t xml:space="preserve"> </w:t>
      </w:r>
      <w:r w:rsidRPr="00D4309F">
        <w:t>jack-up</w:t>
      </w:r>
      <w:r w:rsidRPr="00D4309F">
        <w:rPr>
          <w:spacing w:val="-3"/>
        </w:rPr>
        <w:t xml:space="preserve"> </w:t>
      </w:r>
      <w:r w:rsidRPr="00D4309F">
        <w:t>barge</w:t>
      </w:r>
      <w:r w:rsidRPr="00D4309F">
        <w:rPr>
          <w:spacing w:val="-3"/>
        </w:rPr>
        <w:t xml:space="preserve"> </w:t>
      </w:r>
      <w:r w:rsidRPr="00D4309F">
        <w:t>options</w:t>
      </w:r>
      <w:r w:rsidRPr="00D4309F">
        <w:rPr>
          <w:spacing w:val="-2"/>
        </w:rPr>
        <w:t xml:space="preserve"> </w:t>
      </w:r>
      <w:r w:rsidRPr="00D4309F">
        <w:t>are</w:t>
      </w:r>
      <w:r w:rsidRPr="00D4309F">
        <w:rPr>
          <w:spacing w:val="-3"/>
        </w:rPr>
        <w:t xml:space="preserve"> </w:t>
      </w:r>
      <w:r w:rsidRPr="00D4309F">
        <w:t>not</w:t>
      </w:r>
      <w:r w:rsidRPr="00D4309F">
        <w:rPr>
          <w:spacing w:val="-3"/>
        </w:rPr>
        <w:t xml:space="preserve"> </w:t>
      </w:r>
      <w:r w:rsidRPr="00D4309F">
        <w:t>recommended</w:t>
      </w:r>
      <w:r w:rsidRPr="00D4309F">
        <w:rPr>
          <w:spacing w:val="-4"/>
        </w:rPr>
        <w:t xml:space="preserve"> </w:t>
      </w:r>
      <w:r w:rsidRPr="00D4309F">
        <w:t>due</w:t>
      </w:r>
      <w:r w:rsidRPr="00D4309F">
        <w:rPr>
          <w:spacing w:val="-3"/>
        </w:rPr>
        <w:t xml:space="preserve"> </w:t>
      </w:r>
      <w:r w:rsidRPr="00D4309F">
        <w:t>significant</w:t>
      </w:r>
      <w:r w:rsidRPr="00D4309F">
        <w:rPr>
          <w:spacing w:val="-3"/>
        </w:rPr>
        <w:t xml:space="preserve"> </w:t>
      </w:r>
      <w:r w:rsidRPr="00D4309F">
        <w:t>visual and amenity impact and increase risks public safety (e.g. recreational ocean users) risks, costs and uncertainty of benefits.</w:t>
      </w:r>
    </w:p>
    <w:p w14:paraId="52A7CE2B" w14:textId="77777777" w:rsidR="0053392F" w:rsidRPr="00D4309F" w:rsidRDefault="0053392F" w:rsidP="0053392F">
      <w:pPr>
        <w:pStyle w:val="ListNumber"/>
      </w:pPr>
      <w:r w:rsidRPr="00D4309F">
        <w:t>Use</w:t>
      </w:r>
      <w:r w:rsidRPr="00D4309F">
        <w:rPr>
          <w:spacing w:val="-2"/>
        </w:rPr>
        <w:t xml:space="preserve"> </w:t>
      </w:r>
      <w:r w:rsidRPr="00D4309F">
        <w:t>of</w:t>
      </w:r>
      <w:r w:rsidRPr="00D4309F">
        <w:rPr>
          <w:spacing w:val="-2"/>
        </w:rPr>
        <w:t xml:space="preserve"> </w:t>
      </w:r>
      <w:r w:rsidRPr="00D4309F">
        <w:t>the</w:t>
      </w:r>
      <w:r w:rsidRPr="00D4309F">
        <w:rPr>
          <w:spacing w:val="-2"/>
        </w:rPr>
        <w:t xml:space="preserve"> </w:t>
      </w:r>
      <w:r w:rsidRPr="00D4309F">
        <w:t>bed-levelling</w:t>
      </w:r>
      <w:r w:rsidRPr="00D4309F">
        <w:rPr>
          <w:spacing w:val="-2"/>
        </w:rPr>
        <w:t xml:space="preserve"> </w:t>
      </w:r>
      <w:r w:rsidRPr="00D4309F">
        <w:t>option</w:t>
      </w:r>
      <w:r w:rsidRPr="00D4309F">
        <w:rPr>
          <w:spacing w:val="-2"/>
        </w:rPr>
        <w:t xml:space="preserve"> </w:t>
      </w:r>
      <w:r w:rsidRPr="00D4309F">
        <w:t>is</w:t>
      </w:r>
      <w:r w:rsidRPr="00D4309F">
        <w:rPr>
          <w:spacing w:val="-1"/>
        </w:rPr>
        <w:t xml:space="preserve"> </w:t>
      </w:r>
      <w:r w:rsidRPr="00D4309F">
        <w:t>not</w:t>
      </w:r>
      <w:r w:rsidRPr="00D4309F">
        <w:rPr>
          <w:spacing w:val="-2"/>
        </w:rPr>
        <w:t xml:space="preserve"> </w:t>
      </w:r>
      <w:r w:rsidRPr="00D4309F">
        <w:t>recommended</w:t>
      </w:r>
      <w:r w:rsidRPr="00D4309F">
        <w:rPr>
          <w:spacing w:val="-2"/>
        </w:rPr>
        <w:t xml:space="preserve"> </w:t>
      </w:r>
      <w:r w:rsidRPr="00D4309F">
        <w:t>for</w:t>
      </w:r>
      <w:r w:rsidRPr="00D4309F">
        <w:rPr>
          <w:spacing w:val="-1"/>
        </w:rPr>
        <w:t xml:space="preserve"> </w:t>
      </w:r>
      <w:r w:rsidRPr="00D4309F">
        <w:t>addressing</w:t>
      </w:r>
      <w:r w:rsidRPr="00D4309F">
        <w:rPr>
          <w:spacing w:val="-2"/>
        </w:rPr>
        <w:t xml:space="preserve"> </w:t>
      </w:r>
      <w:r w:rsidRPr="00D4309F">
        <w:t>the</w:t>
      </w:r>
      <w:r w:rsidRPr="00D4309F">
        <w:rPr>
          <w:spacing w:val="-2"/>
        </w:rPr>
        <w:t xml:space="preserve"> </w:t>
      </w:r>
      <w:r w:rsidRPr="00D4309F">
        <w:t>sand</w:t>
      </w:r>
      <w:r w:rsidRPr="00D4309F">
        <w:rPr>
          <w:spacing w:val="-2"/>
        </w:rPr>
        <w:t xml:space="preserve"> </w:t>
      </w:r>
      <w:r w:rsidRPr="00D4309F">
        <w:t>shoal</w:t>
      </w:r>
      <w:r w:rsidRPr="00D4309F">
        <w:rPr>
          <w:spacing w:val="-2"/>
        </w:rPr>
        <w:t xml:space="preserve"> </w:t>
      </w:r>
      <w:r w:rsidRPr="00D4309F">
        <w:t>due</w:t>
      </w:r>
      <w:r w:rsidRPr="00D4309F">
        <w:rPr>
          <w:spacing w:val="-2"/>
        </w:rPr>
        <w:t xml:space="preserve"> </w:t>
      </w:r>
      <w:r w:rsidRPr="00D4309F">
        <w:t>to</w:t>
      </w:r>
      <w:r w:rsidRPr="00D4309F">
        <w:rPr>
          <w:spacing w:val="-2"/>
        </w:rPr>
        <w:t xml:space="preserve"> </w:t>
      </w:r>
      <w:r w:rsidRPr="00D4309F">
        <w:t>the</w:t>
      </w:r>
      <w:r w:rsidRPr="00D4309F">
        <w:rPr>
          <w:spacing w:val="-2"/>
        </w:rPr>
        <w:t xml:space="preserve"> </w:t>
      </w:r>
      <w:r w:rsidRPr="00D4309F">
        <w:t>sites</w:t>
      </w:r>
      <w:r w:rsidRPr="00D4309F">
        <w:rPr>
          <w:spacing w:val="-1"/>
        </w:rPr>
        <w:t xml:space="preserve"> </w:t>
      </w:r>
      <w:r w:rsidRPr="00D4309F">
        <w:t>wave climate and associated risks to bed-levelling operations.</w:t>
      </w:r>
    </w:p>
    <w:p w14:paraId="0A9D2283" w14:textId="77777777" w:rsidR="0053392F" w:rsidRPr="00D4309F" w:rsidRDefault="0053392F" w:rsidP="0053392F">
      <w:pPr>
        <w:pStyle w:val="ListNumber"/>
      </w:pPr>
      <w:r w:rsidRPr="00D4309F">
        <w:t>Contracting</w:t>
      </w:r>
      <w:r w:rsidRPr="00D4309F">
        <w:rPr>
          <w:spacing w:val="-3"/>
        </w:rPr>
        <w:t xml:space="preserve"> </w:t>
      </w:r>
      <w:r w:rsidRPr="00D4309F">
        <w:t>a</w:t>
      </w:r>
      <w:r w:rsidRPr="00D4309F">
        <w:rPr>
          <w:spacing w:val="-4"/>
        </w:rPr>
        <w:t xml:space="preserve"> </w:t>
      </w:r>
      <w:r w:rsidRPr="00D4309F">
        <w:t>dredger</w:t>
      </w:r>
      <w:r w:rsidRPr="00D4309F">
        <w:rPr>
          <w:spacing w:val="-2"/>
        </w:rPr>
        <w:t xml:space="preserve"> </w:t>
      </w:r>
      <w:r w:rsidRPr="00D4309F">
        <w:t>to</w:t>
      </w:r>
      <w:r w:rsidRPr="00D4309F">
        <w:rPr>
          <w:spacing w:val="-3"/>
        </w:rPr>
        <w:t xml:space="preserve"> </w:t>
      </w:r>
      <w:r w:rsidRPr="00D4309F">
        <w:t>be</w:t>
      </w:r>
      <w:r w:rsidRPr="00D4309F">
        <w:rPr>
          <w:spacing w:val="-3"/>
        </w:rPr>
        <w:t xml:space="preserve"> </w:t>
      </w:r>
      <w:r w:rsidRPr="00D4309F">
        <w:t>available</w:t>
      </w:r>
      <w:r w:rsidRPr="00D4309F">
        <w:rPr>
          <w:spacing w:val="-3"/>
        </w:rPr>
        <w:t xml:space="preserve"> </w:t>
      </w:r>
      <w:r w:rsidRPr="00D4309F">
        <w:t>for</w:t>
      </w:r>
      <w:r w:rsidRPr="00D4309F">
        <w:rPr>
          <w:spacing w:val="-2"/>
        </w:rPr>
        <w:t xml:space="preserve"> </w:t>
      </w:r>
      <w:r w:rsidRPr="00D4309F">
        <w:t>365</w:t>
      </w:r>
      <w:r w:rsidRPr="00D4309F">
        <w:rPr>
          <w:spacing w:val="-3"/>
        </w:rPr>
        <w:t xml:space="preserve"> </w:t>
      </w:r>
      <w:r w:rsidRPr="00D4309F">
        <w:t>days</w:t>
      </w:r>
      <w:r w:rsidRPr="00D4309F">
        <w:rPr>
          <w:spacing w:val="-2"/>
        </w:rPr>
        <w:t xml:space="preserve"> </w:t>
      </w:r>
      <w:r w:rsidRPr="00D4309F">
        <w:t>per</w:t>
      </w:r>
      <w:r w:rsidRPr="00D4309F">
        <w:rPr>
          <w:spacing w:val="-2"/>
        </w:rPr>
        <w:t xml:space="preserve"> </w:t>
      </w:r>
      <w:r w:rsidRPr="00D4309F">
        <w:t>year</w:t>
      </w:r>
      <w:r w:rsidRPr="00D4309F">
        <w:rPr>
          <w:spacing w:val="-2"/>
        </w:rPr>
        <w:t xml:space="preserve"> </w:t>
      </w:r>
      <w:r w:rsidRPr="00D4309F">
        <w:t>does</w:t>
      </w:r>
      <w:r w:rsidRPr="00D4309F">
        <w:rPr>
          <w:spacing w:val="-2"/>
        </w:rPr>
        <w:t xml:space="preserve"> </w:t>
      </w:r>
      <w:r w:rsidRPr="00D4309F">
        <w:t>have</w:t>
      </w:r>
      <w:r w:rsidRPr="00D4309F">
        <w:rPr>
          <w:spacing w:val="-3"/>
        </w:rPr>
        <w:t xml:space="preserve"> </w:t>
      </w:r>
      <w:r w:rsidRPr="00D4309F">
        <w:t>the</w:t>
      </w:r>
      <w:r w:rsidRPr="00D4309F">
        <w:rPr>
          <w:spacing w:val="-3"/>
        </w:rPr>
        <w:t xml:space="preserve"> </w:t>
      </w:r>
      <w:r w:rsidRPr="00D4309F">
        <w:t>potential</w:t>
      </w:r>
      <w:r w:rsidRPr="00D4309F">
        <w:rPr>
          <w:spacing w:val="-3"/>
        </w:rPr>
        <w:t xml:space="preserve"> </w:t>
      </w:r>
      <w:r w:rsidRPr="00D4309F">
        <w:t>to</w:t>
      </w:r>
      <w:r w:rsidRPr="00D4309F">
        <w:rPr>
          <w:spacing w:val="-3"/>
        </w:rPr>
        <w:t xml:space="preserve"> </w:t>
      </w:r>
      <w:r w:rsidRPr="00D4309F">
        <w:t>maximise</w:t>
      </w:r>
      <w:r w:rsidRPr="00D4309F">
        <w:rPr>
          <w:spacing w:val="-3"/>
        </w:rPr>
        <w:t xml:space="preserve"> </w:t>
      </w:r>
      <w:r w:rsidRPr="00D4309F">
        <w:t>flexible dredging operations at the site and minimise mobilisation times. However, further analysis of potential annual average utilisation rates is required to determine overall cost-benefit of this option. This option would also not address inclement weather delays to dredging and at best requires frequent dredging of the channel to occur.</w:t>
      </w:r>
    </w:p>
    <w:p w14:paraId="4941BBBA" w14:textId="77777777" w:rsidR="0053392F" w:rsidRPr="00D4309F" w:rsidRDefault="0053392F" w:rsidP="0053392F">
      <w:pPr>
        <w:pStyle w:val="ListNumber"/>
      </w:pPr>
      <w:r w:rsidRPr="00D4309F">
        <w:t>Conduct</w:t>
      </w:r>
      <w:r w:rsidRPr="00D4309F">
        <w:rPr>
          <w:spacing w:val="-3"/>
        </w:rPr>
        <w:t xml:space="preserve"> </w:t>
      </w:r>
      <w:r w:rsidRPr="00D4309F">
        <w:t>an</w:t>
      </w:r>
      <w:r w:rsidRPr="00D4309F">
        <w:rPr>
          <w:spacing w:val="-3"/>
        </w:rPr>
        <w:t xml:space="preserve"> </w:t>
      </w:r>
      <w:r w:rsidRPr="00D4309F">
        <w:t>integrity</w:t>
      </w:r>
      <w:r w:rsidRPr="00D4309F">
        <w:rPr>
          <w:spacing w:val="-2"/>
        </w:rPr>
        <w:t xml:space="preserve"> </w:t>
      </w:r>
      <w:r w:rsidRPr="00D4309F">
        <w:t>assessment</w:t>
      </w:r>
      <w:r w:rsidRPr="00D4309F">
        <w:rPr>
          <w:spacing w:val="-3"/>
        </w:rPr>
        <w:t xml:space="preserve"> </w:t>
      </w:r>
      <w:r w:rsidRPr="00D4309F">
        <w:t>of</w:t>
      </w:r>
      <w:r w:rsidRPr="00D4309F">
        <w:rPr>
          <w:spacing w:val="-3"/>
        </w:rPr>
        <w:t xml:space="preserve"> </w:t>
      </w:r>
      <w:r w:rsidRPr="00D4309F">
        <w:t>the</w:t>
      </w:r>
      <w:r w:rsidRPr="00D4309F">
        <w:rPr>
          <w:spacing w:val="-4"/>
        </w:rPr>
        <w:t xml:space="preserve"> </w:t>
      </w:r>
      <w:r w:rsidRPr="00D4309F">
        <w:t>eastern</w:t>
      </w:r>
      <w:r w:rsidRPr="00D4309F">
        <w:rPr>
          <w:spacing w:val="-3"/>
        </w:rPr>
        <w:t xml:space="preserve"> </w:t>
      </w:r>
      <w:r w:rsidRPr="00D4309F">
        <w:t>breakwater</w:t>
      </w:r>
      <w:r w:rsidRPr="00D4309F">
        <w:rPr>
          <w:spacing w:val="-2"/>
        </w:rPr>
        <w:t xml:space="preserve"> </w:t>
      </w:r>
      <w:r w:rsidRPr="00D4309F">
        <w:t>to</w:t>
      </w:r>
      <w:r w:rsidRPr="00D4309F">
        <w:rPr>
          <w:spacing w:val="-3"/>
        </w:rPr>
        <w:t xml:space="preserve"> </w:t>
      </w:r>
      <w:r w:rsidRPr="00D4309F">
        <w:t>identify</w:t>
      </w:r>
      <w:r w:rsidRPr="00D4309F">
        <w:rPr>
          <w:spacing w:val="-2"/>
        </w:rPr>
        <w:t xml:space="preserve"> </w:t>
      </w:r>
      <w:r w:rsidRPr="00D4309F">
        <w:t>potential</w:t>
      </w:r>
      <w:r w:rsidRPr="00D4309F">
        <w:rPr>
          <w:spacing w:val="-4"/>
        </w:rPr>
        <w:t xml:space="preserve"> </w:t>
      </w:r>
      <w:r w:rsidRPr="00D4309F">
        <w:t>pathways</w:t>
      </w:r>
      <w:r w:rsidRPr="00D4309F">
        <w:rPr>
          <w:spacing w:val="-2"/>
        </w:rPr>
        <w:t xml:space="preserve"> </w:t>
      </w:r>
      <w:r w:rsidRPr="00D4309F">
        <w:t>for</w:t>
      </w:r>
      <w:r w:rsidRPr="00D4309F">
        <w:rPr>
          <w:spacing w:val="-4"/>
        </w:rPr>
        <w:t xml:space="preserve"> </w:t>
      </w:r>
      <w:r w:rsidRPr="00D4309F">
        <w:t xml:space="preserve">sand </w:t>
      </w:r>
      <w:r w:rsidRPr="00D4309F">
        <w:rPr>
          <w:spacing w:val="-2"/>
        </w:rPr>
        <w:t>leakage.</w:t>
      </w:r>
    </w:p>
    <w:p w14:paraId="79CBBAFD" w14:textId="77777777" w:rsidR="0053392F" w:rsidRPr="00D4309F" w:rsidRDefault="0053392F" w:rsidP="0053392F">
      <w:pPr>
        <w:pStyle w:val="ListNumber"/>
      </w:pPr>
      <w:r w:rsidRPr="00D4309F">
        <w:t>Further</w:t>
      </w:r>
      <w:r w:rsidRPr="00D4309F">
        <w:rPr>
          <w:spacing w:val="-2"/>
        </w:rPr>
        <w:t xml:space="preserve"> </w:t>
      </w:r>
      <w:r w:rsidRPr="00D4309F">
        <w:t>investigation</w:t>
      </w:r>
      <w:r w:rsidRPr="00D4309F">
        <w:rPr>
          <w:spacing w:val="-3"/>
        </w:rPr>
        <w:t xml:space="preserve"> </w:t>
      </w:r>
      <w:r w:rsidRPr="00D4309F">
        <w:t>and</w:t>
      </w:r>
      <w:r w:rsidRPr="00D4309F">
        <w:rPr>
          <w:spacing w:val="-3"/>
        </w:rPr>
        <w:t xml:space="preserve"> </w:t>
      </w:r>
      <w:r w:rsidRPr="00D4309F">
        <w:t>feasibility</w:t>
      </w:r>
      <w:r w:rsidRPr="00D4309F">
        <w:rPr>
          <w:spacing w:val="-2"/>
        </w:rPr>
        <w:t xml:space="preserve"> </w:t>
      </w:r>
      <w:r w:rsidRPr="00D4309F">
        <w:t>analysis</w:t>
      </w:r>
      <w:r w:rsidRPr="00D4309F">
        <w:rPr>
          <w:spacing w:val="-2"/>
        </w:rPr>
        <w:t xml:space="preserve"> </w:t>
      </w:r>
      <w:r w:rsidRPr="00D4309F">
        <w:t>are</w:t>
      </w:r>
      <w:r w:rsidRPr="00D4309F">
        <w:rPr>
          <w:spacing w:val="-3"/>
        </w:rPr>
        <w:t xml:space="preserve"> </w:t>
      </w:r>
      <w:r w:rsidRPr="00D4309F">
        <w:t>undertaken</w:t>
      </w:r>
      <w:r w:rsidRPr="00D4309F">
        <w:rPr>
          <w:spacing w:val="-3"/>
        </w:rPr>
        <w:t xml:space="preserve"> </w:t>
      </w:r>
      <w:r w:rsidRPr="00D4309F">
        <w:t>to</w:t>
      </w:r>
      <w:r w:rsidRPr="00D4309F">
        <w:rPr>
          <w:spacing w:val="-3"/>
        </w:rPr>
        <w:t xml:space="preserve"> </w:t>
      </w:r>
      <w:r w:rsidRPr="00D4309F">
        <w:t>better</w:t>
      </w:r>
      <w:r w:rsidRPr="00D4309F">
        <w:rPr>
          <w:spacing w:val="-4"/>
        </w:rPr>
        <w:t xml:space="preserve"> </w:t>
      </w:r>
      <w:r w:rsidRPr="00D4309F">
        <w:t>inform</w:t>
      </w:r>
      <w:r w:rsidRPr="00D4309F">
        <w:rPr>
          <w:spacing w:val="-3"/>
        </w:rPr>
        <w:t xml:space="preserve"> </w:t>
      </w:r>
      <w:r w:rsidRPr="00D4309F">
        <w:t>Buddina</w:t>
      </w:r>
      <w:r w:rsidRPr="00D4309F">
        <w:rPr>
          <w:spacing w:val="-3"/>
        </w:rPr>
        <w:t xml:space="preserve"> </w:t>
      </w:r>
      <w:r w:rsidRPr="00D4309F">
        <w:t>Beach</w:t>
      </w:r>
      <w:r w:rsidRPr="00D4309F">
        <w:rPr>
          <w:spacing w:val="-3"/>
        </w:rPr>
        <w:t xml:space="preserve"> </w:t>
      </w:r>
      <w:r w:rsidRPr="00D4309F">
        <w:t>Sand</w:t>
      </w:r>
      <w:r w:rsidRPr="00D4309F">
        <w:rPr>
          <w:spacing w:val="-3"/>
        </w:rPr>
        <w:t xml:space="preserve"> </w:t>
      </w:r>
      <w:r w:rsidRPr="00D4309F">
        <w:t>Trap long term option.</w:t>
      </w:r>
    </w:p>
    <w:p w14:paraId="294E684A" w14:textId="77777777" w:rsidR="0053392F" w:rsidRPr="00D4309F" w:rsidRDefault="0053392F" w:rsidP="00725977">
      <w:pPr>
        <w:pStyle w:val="ListParagraph"/>
        <w:sectPr w:rsidR="0053392F" w:rsidRPr="00D4309F" w:rsidSect="00A8441C">
          <w:pgSz w:w="11910" w:h="16840"/>
          <w:pgMar w:top="1418" w:right="1134" w:bottom="1418" w:left="1134" w:header="916" w:footer="1147" w:gutter="0"/>
          <w:cols w:space="720"/>
          <w:docGrid w:linePitch="272"/>
        </w:sectPr>
      </w:pPr>
    </w:p>
    <w:p w14:paraId="66F856A6" w14:textId="77777777" w:rsidR="00725977" w:rsidRPr="00AD2837" w:rsidRDefault="00725977" w:rsidP="00AD2837">
      <w:pPr>
        <w:pStyle w:val="Heading1-nonumber"/>
        <w:jc w:val="right"/>
        <w:rPr>
          <w:color w:val="5F6369"/>
        </w:rPr>
      </w:pPr>
      <w:bookmarkStart w:id="175" w:name="_Toc216699352"/>
      <w:r w:rsidRPr="00AD2837">
        <w:rPr>
          <w:color w:val="5F6369"/>
        </w:rPr>
        <w:lastRenderedPageBreak/>
        <w:t>PART</w:t>
      </w:r>
      <w:r w:rsidRPr="00AD2837">
        <w:rPr>
          <w:color w:val="5F6369"/>
          <w:spacing w:val="-12"/>
        </w:rPr>
        <w:t xml:space="preserve"> </w:t>
      </w:r>
      <w:r w:rsidRPr="00AD2837">
        <w:rPr>
          <w:color w:val="5F6369"/>
          <w:spacing w:val="-10"/>
        </w:rPr>
        <w:t>2</w:t>
      </w:r>
      <w:bookmarkEnd w:id="175"/>
    </w:p>
    <w:p w14:paraId="700F84BE" w14:textId="77777777" w:rsidR="00725977" w:rsidRPr="00D4309F" w:rsidRDefault="00725977" w:rsidP="000D5B19">
      <w:pPr>
        <w:pStyle w:val="BodyText"/>
      </w:pPr>
      <w:r w:rsidRPr="00D4309F">
        <w:t>The</w:t>
      </w:r>
      <w:r w:rsidRPr="00D4309F">
        <w:rPr>
          <w:spacing w:val="-3"/>
        </w:rPr>
        <w:t xml:space="preserve"> </w:t>
      </w:r>
      <w:r w:rsidRPr="00D4309F">
        <w:t>objectives</w:t>
      </w:r>
      <w:r w:rsidRPr="00D4309F">
        <w:rPr>
          <w:spacing w:val="-1"/>
        </w:rPr>
        <w:t xml:space="preserve"> </w:t>
      </w:r>
      <w:r w:rsidRPr="00D4309F">
        <w:t>of</w:t>
      </w:r>
      <w:r w:rsidRPr="00D4309F">
        <w:rPr>
          <w:spacing w:val="-2"/>
        </w:rPr>
        <w:t xml:space="preserve"> </w:t>
      </w:r>
      <w:r w:rsidRPr="00D4309F">
        <w:t>Part</w:t>
      </w:r>
      <w:r w:rsidRPr="00D4309F">
        <w:rPr>
          <w:spacing w:val="-3"/>
        </w:rPr>
        <w:t xml:space="preserve"> </w:t>
      </w:r>
      <w:r w:rsidRPr="00D4309F">
        <w:t>2</w:t>
      </w:r>
      <w:r w:rsidRPr="00D4309F">
        <w:rPr>
          <w:spacing w:val="-2"/>
        </w:rPr>
        <w:t xml:space="preserve"> </w:t>
      </w:r>
      <w:r w:rsidRPr="00D4309F">
        <w:t>of</w:t>
      </w:r>
      <w:r w:rsidRPr="00D4309F">
        <w:rPr>
          <w:spacing w:val="-2"/>
        </w:rPr>
        <w:t xml:space="preserve"> </w:t>
      </w:r>
      <w:r w:rsidRPr="00D4309F">
        <w:t>the</w:t>
      </w:r>
      <w:r w:rsidRPr="00D4309F">
        <w:rPr>
          <w:spacing w:val="-2"/>
        </w:rPr>
        <w:t xml:space="preserve"> </w:t>
      </w:r>
      <w:r w:rsidRPr="00D4309F">
        <w:t>Report</w:t>
      </w:r>
      <w:r w:rsidRPr="00D4309F">
        <w:rPr>
          <w:spacing w:val="-3"/>
        </w:rPr>
        <w:t xml:space="preserve"> </w:t>
      </w:r>
      <w:r w:rsidRPr="00D4309F">
        <w:rPr>
          <w:spacing w:val="-4"/>
        </w:rPr>
        <w:t>are:</w:t>
      </w:r>
    </w:p>
    <w:p w14:paraId="1E646609" w14:textId="77777777" w:rsidR="00725977" w:rsidRPr="00D4309F" w:rsidRDefault="00725977" w:rsidP="000D5B19">
      <w:pPr>
        <w:pStyle w:val="ListBullet"/>
      </w:pPr>
      <w:r w:rsidRPr="00D4309F">
        <w:t>Assessing</w:t>
      </w:r>
      <w:r w:rsidRPr="00D4309F">
        <w:rPr>
          <w:spacing w:val="-3"/>
        </w:rPr>
        <w:t xml:space="preserve"> </w:t>
      </w:r>
      <w:r w:rsidRPr="00D4309F">
        <w:t>the</w:t>
      </w:r>
      <w:r w:rsidRPr="00D4309F">
        <w:rPr>
          <w:spacing w:val="-3"/>
        </w:rPr>
        <w:t xml:space="preserve"> </w:t>
      </w:r>
      <w:r w:rsidRPr="00D4309F">
        <w:t>effectiveness</w:t>
      </w:r>
      <w:r w:rsidRPr="00D4309F">
        <w:rPr>
          <w:spacing w:val="-2"/>
        </w:rPr>
        <w:t xml:space="preserve"> </w:t>
      </w:r>
      <w:r w:rsidRPr="00D4309F">
        <w:t>and</w:t>
      </w:r>
      <w:r w:rsidRPr="00D4309F">
        <w:rPr>
          <w:spacing w:val="-3"/>
        </w:rPr>
        <w:t xml:space="preserve"> </w:t>
      </w:r>
      <w:r w:rsidRPr="00D4309F">
        <w:t>impact</w:t>
      </w:r>
      <w:r w:rsidRPr="00D4309F">
        <w:rPr>
          <w:spacing w:val="-3"/>
        </w:rPr>
        <w:t xml:space="preserve"> </w:t>
      </w:r>
      <w:r w:rsidRPr="00D4309F">
        <w:t>of</w:t>
      </w:r>
      <w:r w:rsidRPr="00D4309F">
        <w:rPr>
          <w:spacing w:val="-3"/>
        </w:rPr>
        <w:t xml:space="preserve"> </w:t>
      </w:r>
      <w:r w:rsidRPr="00D4309F">
        <w:t>options</w:t>
      </w:r>
      <w:r w:rsidRPr="00D4309F">
        <w:rPr>
          <w:spacing w:val="-2"/>
        </w:rPr>
        <w:t xml:space="preserve"> </w:t>
      </w:r>
      <w:r w:rsidRPr="00D4309F">
        <w:t>to</w:t>
      </w:r>
      <w:r w:rsidRPr="00D4309F">
        <w:rPr>
          <w:spacing w:val="-3"/>
        </w:rPr>
        <w:t xml:space="preserve"> </w:t>
      </w:r>
      <w:r w:rsidRPr="00D4309F">
        <w:t>prevent</w:t>
      </w:r>
      <w:r w:rsidRPr="00D4309F">
        <w:rPr>
          <w:spacing w:val="-3"/>
        </w:rPr>
        <w:t xml:space="preserve"> </w:t>
      </w:r>
      <w:r w:rsidRPr="00D4309F">
        <w:t>and/or</w:t>
      </w:r>
      <w:r w:rsidRPr="00D4309F">
        <w:rPr>
          <w:spacing w:val="-2"/>
        </w:rPr>
        <w:t xml:space="preserve"> </w:t>
      </w:r>
      <w:r w:rsidRPr="00D4309F">
        <w:t>mitigate</w:t>
      </w:r>
      <w:r w:rsidRPr="00D4309F">
        <w:rPr>
          <w:spacing w:val="-3"/>
        </w:rPr>
        <w:t xml:space="preserve"> </w:t>
      </w:r>
      <w:r w:rsidRPr="00D4309F">
        <w:t>shoaling</w:t>
      </w:r>
      <w:r w:rsidRPr="00D4309F">
        <w:rPr>
          <w:spacing w:val="-3"/>
        </w:rPr>
        <w:t xml:space="preserve"> </w:t>
      </w:r>
      <w:r w:rsidRPr="00D4309F">
        <w:t>events</w:t>
      </w:r>
      <w:r w:rsidRPr="00D4309F">
        <w:rPr>
          <w:spacing w:val="-3"/>
        </w:rPr>
        <w:t xml:space="preserve"> </w:t>
      </w:r>
      <w:r w:rsidRPr="00D4309F">
        <w:t>as</w:t>
      </w:r>
      <w:r w:rsidRPr="00D4309F">
        <w:rPr>
          <w:spacing w:val="-2"/>
        </w:rPr>
        <w:t xml:space="preserve"> </w:t>
      </w:r>
      <w:r w:rsidRPr="00D4309F">
        <w:t>they relate to a wide range of stakeholders</w:t>
      </w:r>
    </w:p>
    <w:p w14:paraId="0CAB283C" w14:textId="77777777" w:rsidR="00725977" w:rsidRPr="00D4309F" w:rsidRDefault="00725977" w:rsidP="000D5B19">
      <w:pPr>
        <w:pStyle w:val="ListBullet"/>
      </w:pPr>
      <w:r w:rsidRPr="00D4309F">
        <w:t>Developing</w:t>
      </w:r>
      <w:r w:rsidRPr="00D4309F">
        <w:rPr>
          <w:spacing w:val="-3"/>
        </w:rPr>
        <w:t xml:space="preserve"> </w:t>
      </w:r>
      <w:r w:rsidRPr="00D4309F">
        <w:t>longer-term</w:t>
      </w:r>
      <w:r w:rsidRPr="00D4309F">
        <w:rPr>
          <w:spacing w:val="-3"/>
        </w:rPr>
        <w:t xml:space="preserve"> </w:t>
      </w:r>
      <w:r w:rsidRPr="00D4309F">
        <w:t>recommendations</w:t>
      </w:r>
      <w:r w:rsidRPr="00D4309F">
        <w:rPr>
          <w:spacing w:val="-2"/>
        </w:rPr>
        <w:t xml:space="preserve"> </w:t>
      </w:r>
      <w:r w:rsidRPr="00D4309F">
        <w:t>to</w:t>
      </w:r>
      <w:r w:rsidRPr="00D4309F">
        <w:rPr>
          <w:spacing w:val="-3"/>
        </w:rPr>
        <w:t xml:space="preserve"> </w:t>
      </w:r>
      <w:r w:rsidRPr="00D4309F">
        <w:t>reduce</w:t>
      </w:r>
      <w:r w:rsidRPr="00D4309F">
        <w:rPr>
          <w:spacing w:val="-3"/>
        </w:rPr>
        <w:t xml:space="preserve"> </w:t>
      </w:r>
      <w:r w:rsidRPr="00D4309F">
        <w:t>the</w:t>
      </w:r>
      <w:r w:rsidRPr="00D4309F">
        <w:rPr>
          <w:spacing w:val="-3"/>
        </w:rPr>
        <w:t xml:space="preserve"> </w:t>
      </w:r>
      <w:r w:rsidRPr="00D4309F">
        <w:t>likelihood</w:t>
      </w:r>
      <w:r w:rsidRPr="00D4309F">
        <w:rPr>
          <w:spacing w:val="-3"/>
        </w:rPr>
        <w:t xml:space="preserve"> </w:t>
      </w:r>
      <w:r w:rsidRPr="00D4309F">
        <w:t>of</w:t>
      </w:r>
      <w:r w:rsidRPr="00D4309F">
        <w:rPr>
          <w:spacing w:val="-5"/>
        </w:rPr>
        <w:t xml:space="preserve"> </w:t>
      </w:r>
      <w:r w:rsidRPr="00D4309F">
        <w:t>shoaling</w:t>
      </w:r>
      <w:r w:rsidRPr="00D4309F">
        <w:rPr>
          <w:spacing w:val="-3"/>
        </w:rPr>
        <w:t xml:space="preserve"> </w:t>
      </w:r>
      <w:r w:rsidRPr="00D4309F">
        <w:t>events</w:t>
      </w:r>
      <w:r w:rsidRPr="00D4309F">
        <w:rPr>
          <w:spacing w:val="-2"/>
        </w:rPr>
        <w:t xml:space="preserve"> </w:t>
      </w:r>
      <w:r w:rsidRPr="00D4309F">
        <w:t>occurring</w:t>
      </w:r>
      <w:r w:rsidRPr="00D4309F">
        <w:rPr>
          <w:spacing w:val="-4"/>
        </w:rPr>
        <w:t xml:space="preserve"> </w:t>
      </w:r>
      <w:r w:rsidRPr="00D4309F">
        <w:t>and</w:t>
      </w:r>
      <w:r w:rsidRPr="00D4309F">
        <w:rPr>
          <w:spacing w:val="-3"/>
        </w:rPr>
        <w:t xml:space="preserve"> </w:t>
      </w:r>
      <w:r w:rsidRPr="00D4309F">
        <w:t>the navigational risk should a shoaling event occur.</w:t>
      </w:r>
    </w:p>
    <w:p w14:paraId="1D334BC8" w14:textId="77777777" w:rsidR="00725977" w:rsidRPr="00D4309F" w:rsidRDefault="00725977" w:rsidP="000D5B19">
      <w:pPr>
        <w:pStyle w:val="ListBullet"/>
      </w:pPr>
      <w:r w:rsidRPr="00D4309F">
        <w:t>Undertaking</w:t>
      </w:r>
      <w:r w:rsidRPr="00D4309F">
        <w:rPr>
          <w:spacing w:val="-4"/>
        </w:rPr>
        <w:t xml:space="preserve"> </w:t>
      </w:r>
      <w:r w:rsidRPr="00D4309F">
        <w:t>consultation</w:t>
      </w:r>
      <w:r w:rsidRPr="00D4309F">
        <w:rPr>
          <w:spacing w:val="-3"/>
        </w:rPr>
        <w:t xml:space="preserve"> </w:t>
      </w:r>
      <w:r w:rsidRPr="00D4309F">
        <w:t>with</w:t>
      </w:r>
      <w:r w:rsidRPr="00D4309F">
        <w:rPr>
          <w:spacing w:val="-3"/>
        </w:rPr>
        <w:t xml:space="preserve"> </w:t>
      </w:r>
      <w:r w:rsidRPr="00D4309F">
        <w:t>the</w:t>
      </w:r>
      <w:r w:rsidRPr="00D4309F">
        <w:rPr>
          <w:spacing w:val="-3"/>
        </w:rPr>
        <w:t xml:space="preserve"> </w:t>
      </w:r>
      <w:r w:rsidRPr="00D4309F">
        <w:t>Stakeholder</w:t>
      </w:r>
      <w:r w:rsidRPr="00D4309F">
        <w:rPr>
          <w:spacing w:val="-2"/>
        </w:rPr>
        <w:t xml:space="preserve"> </w:t>
      </w:r>
      <w:r w:rsidRPr="00D4309F">
        <w:t>Reference</w:t>
      </w:r>
      <w:r w:rsidRPr="00D4309F">
        <w:rPr>
          <w:spacing w:val="-3"/>
        </w:rPr>
        <w:t xml:space="preserve"> </w:t>
      </w:r>
      <w:r w:rsidRPr="00D4309F">
        <w:t>Group</w:t>
      </w:r>
      <w:r w:rsidRPr="00D4309F">
        <w:rPr>
          <w:spacing w:val="-3"/>
        </w:rPr>
        <w:t xml:space="preserve"> </w:t>
      </w:r>
      <w:r w:rsidRPr="00D4309F">
        <w:t>regarding</w:t>
      </w:r>
      <w:r w:rsidRPr="00D4309F">
        <w:rPr>
          <w:spacing w:val="-4"/>
        </w:rPr>
        <w:t xml:space="preserve"> </w:t>
      </w:r>
      <w:r w:rsidRPr="00D4309F">
        <w:t>causes,</w:t>
      </w:r>
      <w:r w:rsidRPr="00D4309F">
        <w:rPr>
          <w:spacing w:val="-3"/>
        </w:rPr>
        <w:t xml:space="preserve"> </w:t>
      </w:r>
      <w:r w:rsidRPr="00D4309F">
        <w:t>impacts</w:t>
      </w:r>
      <w:r w:rsidRPr="00D4309F">
        <w:rPr>
          <w:spacing w:val="-3"/>
        </w:rPr>
        <w:t xml:space="preserve"> </w:t>
      </w:r>
      <w:r w:rsidRPr="00D4309F">
        <w:t>and</w:t>
      </w:r>
      <w:r w:rsidRPr="00D4309F">
        <w:rPr>
          <w:spacing w:val="-3"/>
        </w:rPr>
        <w:t xml:space="preserve"> </w:t>
      </w:r>
      <w:r w:rsidRPr="00D4309F">
        <w:t>short-and longer-term recommendations</w:t>
      </w:r>
    </w:p>
    <w:p w14:paraId="53EF0428" w14:textId="77777777" w:rsidR="00725977" w:rsidRPr="00D4309F" w:rsidRDefault="00725977" w:rsidP="000D5B19">
      <w:pPr>
        <w:pStyle w:val="ListBullet"/>
      </w:pPr>
      <w:r w:rsidRPr="00D4309F">
        <w:t>Consideration</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impact</w:t>
      </w:r>
      <w:r w:rsidRPr="00D4309F">
        <w:rPr>
          <w:spacing w:val="-3"/>
        </w:rPr>
        <w:t xml:space="preserve"> </w:t>
      </w:r>
      <w:r w:rsidRPr="00D4309F">
        <w:t>arising</w:t>
      </w:r>
      <w:r w:rsidRPr="00D4309F">
        <w:rPr>
          <w:spacing w:val="-3"/>
        </w:rPr>
        <w:t xml:space="preserve"> </w:t>
      </w:r>
      <w:r w:rsidRPr="00D4309F">
        <w:t>from</w:t>
      </w:r>
      <w:r w:rsidRPr="00D4309F">
        <w:rPr>
          <w:spacing w:val="-3"/>
        </w:rPr>
        <w:t xml:space="preserve"> </w:t>
      </w:r>
      <w:r w:rsidRPr="00D4309F">
        <w:t>any</w:t>
      </w:r>
      <w:r w:rsidRPr="00D4309F">
        <w:rPr>
          <w:spacing w:val="-2"/>
        </w:rPr>
        <w:t xml:space="preserve"> </w:t>
      </w:r>
      <w:r w:rsidRPr="00D4309F">
        <w:t>proposed</w:t>
      </w:r>
      <w:r w:rsidRPr="00D4309F">
        <w:rPr>
          <w:spacing w:val="-3"/>
        </w:rPr>
        <w:t xml:space="preserve"> </w:t>
      </w:r>
      <w:r w:rsidRPr="00D4309F">
        <w:t>intervention</w:t>
      </w:r>
      <w:r w:rsidRPr="00D4309F">
        <w:rPr>
          <w:spacing w:val="-3"/>
        </w:rPr>
        <w:t xml:space="preserve"> </w:t>
      </w:r>
      <w:r w:rsidRPr="00D4309F">
        <w:t>on</w:t>
      </w:r>
      <w:r w:rsidRPr="00D4309F">
        <w:rPr>
          <w:spacing w:val="-3"/>
        </w:rPr>
        <w:t xml:space="preserve"> </w:t>
      </w:r>
      <w:r w:rsidRPr="00D4309F">
        <w:t>the</w:t>
      </w:r>
      <w:r w:rsidRPr="00D4309F">
        <w:rPr>
          <w:spacing w:val="-3"/>
        </w:rPr>
        <w:t xml:space="preserve"> </w:t>
      </w:r>
      <w:r w:rsidRPr="00D4309F">
        <w:t>community,</w:t>
      </w:r>
      <w:r w:rsidRPr="00D4309F">
        <w:rPr>
          <w:spacing w:val="-3"/>
        </w:rPr>
        <w:t xml:space="preserve"> </w:t>
      </w:r>
      <w:r w:rsidRPr="00D4309F">
        <w:t>tourism</w:t>
      </w:r>
      <w:r w:rsidRPr="00D4309F">
        <w:rPr>
          <w:spacing w:val="-3"/>
        </w:rPr>
        <w:t xml:space="preserve"> </w:t>
      </w:r>
      <w:r w:rsidRPr="00D4309F">
        <w:t>operators, maritime and recreational users.</w:t>
      </w:r>
    </w:p>
    <w:p w14:paraId="137F5DD5" w14:textId="77777777" w:rsidR="00725977" w:rsidRPr="00D4309F" w:rsidRDefault="00725977" w:rsidP="000D5B19">
      <w:pPr>
        <w:pStyle w:val="ListBullet"/>
      </w:pPr>
      <w:r w:rsidRPr="00D4309F">
        <w:t>Assessment</w:t>
      </w:r>
      <w:r w:rsidRPr="00D4309F">
        <w:rPr>
          <w:spacing w:val="-7"/>
        </w:rPr>
        <w:t xml:space="preserve"> </w:t>
      </w:r>
      <w:r w:rsidRPr="00D4309F">
        <w:t>of</w:t>
      </w:r>
      <w:r w:rsidRPr="00D4309F">
        <w:rPr>
          <w:spacing w:val="-5"/>
        </w:rPr>
        <w:t xml:space="preserve"> </w:t>
      </w:r>
      <w:r w:rsidRPr="00D4309F">
        <w:t>existing</w:t>
      </w:r>
      <w:r w:rsidRPr="00D4309F">
        <w:rPr>
          <w:spacing w:val="-4"/>
        </w:rPr>
        <w:t xml:space="preserve"> </w:t>
      </w:r>
      <w:r w:rsidRPr="00D4309F">
        <w:t>analysis,</w:t>
      </w:r>
      <w:r w:rsidRPr="00D4309F">
        <w:rPr>
          <w:spacing w:val="-5"/>
        </w:rPr>
        <w:t xml:space="preserve"> </w:t>
      </w:r>
      <w:r w:rsidRPr="00D4309F">
        <w:t>outcomes</w:t>
      </w:r>
      <w:r w:rsidRPr="00D4309F">
        <w:rPr>
          <w:spacing w:val="-4"/>
        </w:rPr>
        <w:t xml:space="preserve"> </w:t>
      </w:r>
      <w:r w:rsidRPr="00D4309F">
        <w:t>of</w:t>
      </w:r>
      <w:r w:rsidRPr="00D4309F">
        <w:rPr>
          <w:spacing w:val="-4"/>
        </w:rPr>
        <w:t xml:space="preserve"> </w:t>
      </w:r>
      <w:r w:rsidRPr="00D4309F">
        <w:t>consultation,</w:t>
      </w:r>
      <w:r w:rsidRPr="00D4309F">
        <w:rPr>
          <w:spacing w:val="-5"/>
        </w:rPr>
        <w:t xml:space="preserve"> </w:t>
      </w:r>
      <w:r w:rsidRPr="00D4309F">
        <w:t>and</w:t>
      </w:r>
      <w:r w:rsidRPr="00D4309F">
        <w:rPr>
          <w:spacing w:val="-5"/>
        </w:rPr>
        <w:t xml:space="preserve"> </w:t>
      </w:r>
      <w:r w:rsidRPr="00D4309F">
        <w:t>short-</w:t>
      </w:r>
      <w:r w:rsidRPr="00D4309F">
        <w:rPr>
          <w:spacing w:val="-4"/>
        </w:rPr>
        <w:t xml:space="preserve"> </w:t>
      </w:r>
      <w:r w:rsidRPr="00D4309F">
        <w:t>and</w:t>
      </w:r>
      <w:r w:rsidRPr="00D4309F">
        <w:rPr>
          <w:spacing w:val="-5"/>
        </w:rPr>
        <w:t xml:space="preserve"> </w:t>
      </w:r>
      <w:r w:rsidRPr="00D4309F">
        <w:t>long-term</w:t>
      </w:r>
      <w:r w:rsidRPr="00D4309F">
        <w:rPr>
          <w:spacing w:val="-5"/>
        </w:rPr>
        <w:t xml:space="preserve"> </w:t>
      </w:r>
      <w:r w:rsidRPr="00D4309F">
        <w:rPr>
          <w:spacing w:val="-2"/>
        </w:rPr>
        <w:t>recommendations.</w:t>
      </w:r>
    </w:p>
    <w:p w14:paraId="183F6C0E" w14:textId="77777777" w:rsidR="00725977" w:rsidRPr="00D4309F" w:rsidRDefault="00725977" w:rsidP="00725977">
      <w:pPr>
        <w:pStyle w:val="ListParagraph"/>
        <w:sectPr w:rsidR="00725977" w:rsidRPr="00D4309F" w:rsidSect="00A8441C">
          <w:pgSz w:w="11910" w:h="16840"/>
          <w:pgMar w:top="1418" w:right="1134" w:bottom="1418" w:left="1134" w:header="919" w:footer="1145" w:gutter="0"/>
          <w:cols w:space="720"/>
        </w:sectPr>
      </w:pPr>
    </w:p>
    <w:p w14:paraId="542106FD" w14:textId="77777777" w:rsidR="00725977" w:rsidRPr="00D4309F" w:rsidRDefault="00725977" w:rsidP="0016610C">
      <w:pPr>
        <w:pStyle w:val="Heading1"/>
      </w:pPr>
      <w:bookmarkStart w:id="176" w:name="_bookmark76"/>
      <w:bookmarkStart w:id="177" w:name="_Toc216699353"/>
      <w:bookmarkEnd w:id="176"/>
      <w:r w:rsidRPr="00D4309F">
        <w:lastRenderedPageBreak/>
        <w:t>THE</w:t>
      </w:r>
      <w:r w:rsidRPr="00D4309F">
        <w:rPr>
          <w:spacing w:val="-3"/>
        </w:rPr>
        <w:t xml:space="preserve"> </w:t>
      </w:r>
      <w:r w:rsidRPr="00D4309F">
        <w:t>NEED</w:t>
      </w:r>
      <w:r w:rsidRPr="00D4309F">
        <w:rPr>
          <w:spacing w:val="-2"/>
        </w:rPr>
        <w:t xml:space="preserve"> </w:t>
      </w:r>
      <w:r w:rsidRPr="00D4309F">
        <w:t>FOR</w:t>
      </w:r>
      <w:r w:rsidRPr="00D4309F">
        <w:rPr>
          <w:spacing w:val="-4"/>
        </w:rPr>
        <w:t xml:space="preserve"> </w:t>
      </w:r>
      <w:r w:rsidRPr="00D4309F">
        <w:t>LONG</w:t>
      </w:r>
      <w:r w:rsidRPr="00D4309F">
        <w:rPr>
          <w:spacing w:val="-3"/>
        </w:rPr>
        <w:t xml:space="preserve"> </w:t>
      </w:r>
      <w:r w:rsidRPr="00D4309F">
        <w:t>TERM</w:t>
      </w:r>
      <w:r w:rsidRPr="00D4309F">
        <w:rPr>
          <w:spacing w:val="-2"/>
        </w:rPr>
        <w:t xml:space="preserve"> SOLUTIONS</w:t>
      </w:r>
      <w:bookmarkEnd w:id="177"/>
    </w:p>
    <w:p w14:paraId="1215F0B4" w14:textId="77777777" w:rsidR="00725977" w:rsidRPr="00D4309F" w:rsidRDefault="00725977" w:rsidP="00725977">
      <w:pPr>
        <w:pStyle w:val="BodyText"/>
      </w:pPr>
      <w:r w:rsidRPr="00D4309F">
        <w:t>While</w:t>
      </w:r>
      <w:r w:rsidRPr="00D4309F">
        <w:rPr>
          <w:spacing w:val="-3"/>
        </w:rPr>
        <w:t xml:space="preserve"> </w:t>
      </w:r>
      <w:r w:rsidRPr="00D4309F">
        <w:t>the</w:t>
      </w:r>
      <w:r w:rsidRPr="00D4309F">
        <w:rPr>
          <w:spacing w:val="-4"/>
        </w:rPr>
        <w:t xml:space="preserve"> </w:t>
      </w:r>
      <w:r w:rsidRPr="00D4309F">
        <w:t>short-term</w:t>
      </w:r>
      <w:r w:rsidRPr="00D4309F">
        <w:rPr>
          <w:spacing w:val="-3"/>
        </w:rPr>
        <w:t xml:space="preserve"> </w:t>
      </w:r>
      <w:r w:rsidRPr="00D4309F">
        <w:t>measures</w:t>
      </w:r>
      <w:r w:rsidRPr="00D4309F">
        <w:rPr>
          <w:spacing w:val="-2"/>
        </w:rPr>
        <w:t xml:space="preserve"> </w:t>
      </w:r>
      <w:r w:rsidRPr="00D4309F">
        <w:t>identified</w:t>
      </w:r>
      <w:r w:rsidRPr="00D4309F">
        <w:rPr>
          <w:spacing w:val="-3"/>
        </w:rPr>
        <w:t xml:space="preserve"> </w:t>
      </w:r>
      <w:r w:rsidRPr="00D4309F">
        <w:t>Part</w:t>
      </w:r>
      <w:r w:rsidRPr="00D4309F">
        <w:rPr>
          <w:spacing w:val="-3"/>
        </w:rPr>
        <w:t xml:space="preserve"> </w:t>
      </w:r>
      <w:r w:rsidRPr="00D4309F">
        <w:t>1</w:t>
      </w:r>
      <w:r w:rsidRPr="00D4309F">
        <w:rPr>
          <w:spacing w:val="-3"/>
        </w:rPr>
        <w:t xml:space="preserve"> </w:t>
      </w:r>
      <w:r w:rsidRPr="00D4309F">
        <w:t>of</w:t>
      </w:r>
      <w:r w:rsidRPr="00D4309F">
        <w:rPr>
          <w:spacing w:val="-3"/>
        </w:rPr>
        <w:t xml:space="preserve"> </w:t>
      </w:r>
      <w:r w:rsidRPr="00D4309F">
        <w:t>this</w:t>
      </w:r>
      <w:r w:rsidRPr="00D4309F">
        <w:rPr>
          <w:spacing w:val="-2"/>
        </w:rPr>
        <w:t xml:space="preserve"> </w:t>
      </w:r>
      <w:r w:rsidRPr="00D4309F">
        <w:t>Report</w:t>
      </w:r>
      <w:r w:rsidRPr="00D4309F">
        <w:rPr>
          <w:spacing w:val="-4"/>
        </w:rPr>
        <w:t xml:space="preserve"> </w:t>
      </w:r>
      <w:r w:rsidRPr="00D4309F">
        <w:t>are</w:t>
      </w:r>
      <w:r w:rsidRPr="00D4309F">
        <w:rPr>
          <w:spacing w:val="-4"/>
        </w:rPr>
        <w:t xml:space="preserve"> </w:t>
      </w:r>
      <w:r w:rsidRPr="00D4309F">
        <w:t>expected</w:t>
      </w:r>
      <w:r w:rsidRPr="00D4309F">
        <w:rPr>
          <w:spacing w:val="-3"/>
        </w:rPr>
        <w:t xml:space="preserve"> </w:t>
      </w:r>
      <w:r w:rsidRPr="00D4309F">
        <w:t>to</w:t>
      </w:r>
      <w:r w:rsidRPr="00D4309F">
        <w:rPr>
          <w:spacing w:val="-3"/>
        </w:rPr>
        <w:t xml:space="preserve"> </w:t>
      </w:r>
      <w:r w:rsidRPr="00D4309F">
        <w:t>improve</w:t>
      </w:r>
      <w:r w:rsidRPr="00D4309F">
        <w:rPr>
          <w:spacing w:val="-3"/>
        </w:rPr>
        <w:t xml:space="preserve"> </w:t>
      </w:r>
      <w:r w:rsidRPr="00D4309F">
        <w:t>day-to-day</w:t>
      </w:r>
      <w:r w:rsidRPr="00D4309F">
        <w:rPr>
          <w:spacing w:val="-2"/>
        </w:rPr>
        <w:t xml:space="preserve"> </w:t>
      </w:r>
      <w:r w:rsidRPr="00D4309F">
        <w:t>usability</w:t>
      </w:r>
      <w:r w:rsidRPr="00D4309F">
        <w:rPr>
          <w:spacing w:val="-2"/>
        </w:rPr>
        <w:t xml:space="preserve"> </w:t>
      </w:r>
      <w:r w:rsidRPr="00D4309F">
        <w:t>of the Mooloolaba Boat Harbour, particularly through enhanced communication, data sharing, and coordinated dredging management, they do not fundamentally alter the underlying coastal processes operating at the site. Sand transport and subsequent shoaling within the entrance channel are natural and ongoing phenomena driven by wave climate, littoral drift, and storm activity.</w:t>
      </w:r>
    </w:p>
    <w:p w14:paraId="6EBFE63B" w14:textId="77777777" w:rsidR="00725977" w:rsidRPr="00D4309F" w:rsidRDefault="00725977" w:rsidP="00725977">
      <w:pPr>
        <w:pStyle w:val="BodyText"/>
      </w:pPr>
      <w:r w:rsidRPr="00D4309F">
        <w:t>Without</w:t>
      </w:r>
      <w:r w:rsidRPr="00D4309F">
        <w:rPr>
          <w:spacing w:val="-3"/>
        </w:rPr>
        <w:t xml:space="preserve"> </w:t>
      </w:r>
      <w:r w:rsidRPr="00D4309F">
        <w:t>intervention</w:t>
      </w:r>
      <w:r w:rsidRPr="00D4309F">
        <w:rPr>
          <w:spacing w:val="-3"/>
        </w:rPr>
        <w:t xml:space="preserve"> </w:t>
      </w:r>
      <w:r w:rsidRPr="00D4309F">
        <w:t>at</w:t>
      </w:r>
      <w:r w:rsidRPr="00D4309F">
        <w:rPr>
          <w:spacing w:val="-3"/>
        </w:rPr>
        <w:t xml:space="preserve"> </w:t>
      </w:r>
      <w:r w:rsidRPr="00D4309F">
        <w:t>a</w:t>
      </w:r>
      <w:r w:rsidRPr="00D4309F">
        <w:rPr>
          <w:spacing w:val="-3"/>
        </w:rPr>
        <w:t xml:space="preserve"> </w:t>
      </w:r>
      <w:r w:rsidRPr="00D4309F">
        <w:t>broader,</w:t>
      </w:r>
      <w:r w:rsidRPr="00D4309F">
        <w:rPr>
          <w:spacing w:val="-3"/>
        </w:rPr>
        <w:t xml:space="preserve"> </w:t>
      </w:r>
      <w:r w:rsidRPr="00D4309F">
        <w:t>system</w:t>
      </w:r>
      <w:r w:rsidRPr="00D4309F">
        <w:rPr>
          <w:spacing w:val="-3"/>
        </w:rPr>
        <w:t xml:space="preserve"> </w:t>
      </w:r>
      <w:r w:rsidRPr="00D4309F">
        <w:t>level,</w:t>
      </w:r>
      <w:r w:rsidRPr="00D4309F">
        <w:rPr>
          <w:spacing w:val="-3"/>
        </w:rPr>
        <w:t xml:space="preserve"> </w:t>
      </w:r>
      <w:r w:rsidRPr="00D4309F">
        <w:t>shoaling</w:t>
      </w:r>
      <w:r w:rsidRPr="00D4309F">
        <w:rPr>
          <w:spacing w:val="-3"/>
        </w:rPr>
        <w:t xml:space="preserve"> </w:t>
      </w:r>
      <w:r w:rsidRPr="00D4309F">
        <w:t>will</w:t>
      </w:r>
      <w:r w:rsidRPr="00D4309F">
        <w:rPr>
          <w:spacing w:val="-3"/>
        </w:rPr>
        <w:t xml:space="preserve"> </w:t>
      </w:r>
      <w:r w:rsidRPr="00D4309F">
        <w:t>continue</w:t>
      </w:r>
      <w:r w:rsidRPr="00D4309F">
        <w:rPr>
          <w:spacing w:val="-3"/>
        </w:rPr>
        <w:t xml:space="preserve"> </w:t>
      </w:r>
      <w:r w:rsidRPr="00D4309F">
        <w:t>to</w:t>
      </w:r>
      <w:r w:rsidRPr="00D4309F">
        <w:rPr>
          <w:spacing w:val="-3"/>
        </w:rPr>
        <w:t xml:space="preserve"> </w:t>
      </w:r>
      <w:r w:rsidRPr="00D4309F">
        <w:t>occur,</w:t>
      </w:r>
      <w:r w:rsidRPr="00D4309F">
        <w:rPr>
          <w:spacing w:val="-3"/>
        </w:rPr>
        <w:t xml:space="preserve"> </w:t>
      </w:r>
      <w:r w:rsidRPr="00D4309F">
        <w:t>requiring</w:t>
      </w:r>
      <w:r w:rsidRPr="00D4309F">
        <w:rPr>
          <w:spacing w:val="-3"/>
        </w:rPr>
        <w:t xml:space="preserve"> </w:t>
      </w:r>
      <w:r w:rsidRPr="00D4309F">
        <w:t>ongoing</w:t>
      </w:r>
      <w:r w:rsidRPr="00D4309F">
        <w:rPr>
          <w:spacing w:val="-3"/>
        </w:rPr>
        <w:t xml:space="preserve"> </w:t>
      </w:r>
      <w:r w:rsidRPr="00D4309F">
        <w:t>dredging</w:t>
      </w:r>
      <w:r w:rsidRPr="00D4309F">
        <w:rPr>
          <w:spacing w:val="-3"/>
        </w:rPr>
        <w:t xml:space="preserve"> </w:t>
      </w:r>
      <w:r w:rsidRPr="00D4309F">
        <w:t>to maintain</w:t>
      </w:r>
      <w:r w:rsidRPr="00D4309F">
        <w:rPr>
          <w:spacing w:val="-2"/>
        </w:rPr>
        <w:t xml:space="preserve"> </w:t>
      </w:r>
      <w:r w:rsidRPr="00D4309F">
        <w:t>navigable</w:t>
      </w:r>
      <w:r w:rsidRPr="00D4309F">
        <w:rPr>
          <w:spacing w:val="-2"/>
        </w:rPr>
        <w:t xml:space="preserve"> </w:t>
      </w:r>
      <w:r w:rsidRPr="00D4309F">
        <w:t>depths.</w:t>
      </w:r>
      <w:r w:rsidRPr="00D4309F">
        <w:rPr>
          <w:spacing w:val="-2"/>
        </w:rPr>
        <w:t xml:space="preserve"> </w:t>
      </w:r>
      <w:r w:rsidRPr="00D4309F">
        <w:t>Moreover,</w:t>
      </w:r>
      <w:r w:rsidRPr="00D4309F">
        <w:rPr>
          <w:spacing w:val="-2"/>
        </w:rPr>
        <w:t xml:space="preserve"> </w:t>
      </w:r>
      <w:r w:rsidRPr="00D4309F">
        <w:t>these</w:t>
      </w:r>
      <w:r w:rsidRPr="00D4309F">
        <w:rPr>
          <w:spacing w:val="-3"/>
        </w:rPr>
        <w:t xml:space="preserve"> </w:t>
      </w:r>
      <w:r w:rsidRPr="00D4309F">
        <w:t>challenges</w:t>
      </w:r>
      <w:r w:rsidRPr="00D4309F">
        <w:rPr>
          <w:spacing w:val="-1"/>
        </w:rPr>
        <w:t xml:space="preserve"> </w:t>
      </w:r>
      <w:r w:rsidRPr="00D4309F">
        <w:t>are</w:t>
      </w:r>
      <w:r w:rsidRPr="00D4309F">
        <w:rPr>
          <w:spacing w:val="-2"/>
        </w:rPr>
        <w:t xml:space="preserve"> </w:t>
      </w:r>
      <w:r w:rsidRPr="00D4309F">
        <w:t>anticipated</w:t>
      </w:r>
      <w:r w:rsidRPr="00D4309F">
        <w:rPr>
          <w:spacing w:val="-2"/>
        </w:rPr>
        <w:t xml:space="preserve"> </w:t>
      </w:r>
      <w:r w:rsidRPr="00D4309F">
        <w:t>to</w:t>
      </w:r>
      <w:r w:rsidRPr="00D4309F">
        <w:rPr>
          <w:spacing w:val="-2"/>
        </w:rPr>
        <w:t xml:space="preserve"> </w:t>
      </w:r>
      <w:r w:rsidRPr="00D4309F">
        <w:t>intensify</w:t>
      </w:r>
      <w:r w:rsidRPr="00D4309F">
        <w:rPr>
          <w:spacing w:val="-1"/>
        </w:rPr>
        <w:t xml:space="preserve"> </w:t>
      </w:r>
      <w:r w:rsidRPr="00D4309F">
        <w:t>in</w:t>
      </w:r>
      <w:r w:rsidRPr="00D4309F">
        <w:rPr>
          <w:spacing w:val="-2"/>
        </w:rPr>
        <w:t xml:space="preserve"> </w:t>
      </w:r>
      <w:r w:rsidRPr="00D4309F">
        <w:t>the</w:t>
      </w:r>
      <w:r w:rsidRPr="00D4309F">
        <w:rPr>
          <w:spacing w:val="-2"/>
        </w:rPr>
        <w:t xml:space="preserve"> </w:t>
      </w:r>
      <w:r w:rsidRPr="00D4309F">
        <w:t>future</w:t>
      </w:r>
      <w:r w:rsidRPr="00D4309F">
        <w:rPr>
          <w:spacing w:val="-2"/>
        </w:rPr>
        <w:t xml:space="preserve"> </w:t>
      </w:r>
      <w:r w:rsidRPr="00D4309F">
        <w:t>as</w:t>
      </w:r>
      <w:r w:rsidRPr="00D4309F">
        <w:rPr>
          <w:spacing w:val="-1"/>
        </w:rPr>
        <w:t xml:space="preserve"> </w:t>
      </w:r>
      <w:r w:rsidRPr="00D4309F">
        <w:t>a</w:t>
      </w:r>
      <w:r w:rsidRPr="00D4309F">
        <w:rPr>
          <w:spacing w:val="-2"/>
        </w:rPr>
        <w:t xml:space="preserve"> </w:t>
      </w:r>
      <w:r w:rsidRPr="00D4309F">
        <w:t>result</w:t>
      </w:r>
      <w:r w:rsidRPr="00D4309F">
        <w:rPr>
          <w:spacing w:val="-4"/>
        </w:rPr>
        <w:t xml:space="preserve"> </w:t>
      </w:r>
      <w:r w:rsidRPr="00D4309F">
        <w:t>of increased storm frequency and intensity, sea level rise, and potential shifts in sediment supply and coastal morphology. These factors may amplify the rate and extent of sediment deposition at the entrance, further constraining navigational safety and access reliability.</w:t>
      </w:r>
    </w:p>
    <w:p w14:paraId="2CC5956F" w14:textId="70599F24" w:rsidR="00FE6959" w:rsidRPr="00D4309F" w:rsidRDefault="00725977" w:rsidP="00725977">
      <w:pPr>
        <w:pStyle w:val="BodyText"/>
      </w:pPr>
      <w:r w:rsidRPr="00D4309F">
        <w:t>Accordingly,</w:t>
      </w:r>
      <w:r w:rsidRPr="00D4309F">
        <w:rPr>
          <w:spacing w:val="-3"/>
        </w:rPr>
        <w:t xml:space="preserve"> </w:t>
      </w:r>
      <w:r w:rsidRPr="00D4309F">
        <w:t>it</w:t>
      </w:r>
      <w:r w:rsidRPr="00D4309F">
        <w:rPr>
          <w:spacing w:val="-3"/>
        </w:rPr>
        <w:t xml:space="preserve"> </w:t>
      </w:r>
      <w:r w:rsidRPr="00D4309F">
        <w:t>is</w:t>
      </w:r>
      <w:r w:rsidRPr="00D4309F">
        <w:rPr>
          <w:spacing w:val="-2"/>
        </w:rPr>
        <w:t xml:space="preserve"> </w:t>
      </w:r>
      <w:r w:rsidRPr="00D4309F">
        <w:t>essential</w:t>
      </w:r>
      <w:r w:rsidRPr="00D4309F">
        <w:rPr>
          <w:spacing w:val="-3"/>
        </w:rPr>
        <w:t xml:space="preserve"> </w:t>
      </w:r>
      <w:r w:rsidRPr="00D4309F">
        <w:t>that</w:t>
      </w:r>
      <w:r w:rsidRPr="00D4309F">
        <w:rPr>
          <w:spacing w:val="-3"/>
        </w:rPr>
        <w:t xml:space="preserve"> </w:t>
      </w:r>
      <w:r w:rsidRPr="00D4309F">
        <w:t>long-term</w:t>
      </w:r>
      <w:r w:rsidRPr="00D4309F">
        <w:rPr>
          <w:spacing w:val="-4"/>
        </w:rPr>
        <w:t xml:space="preserve"> </w:t>
      </w:r>
      <w:r w:rsidRPr="00D4309F">
        <w:t>engineering</w:t>
      </w:r>
      <w:r w:rsidRPr="00D4309F">
        <w:rPr>
          <w:spacing w:val="-3"/>
        </w:rPr>
        <w:t xml:space="preserve"> </w:t>
      </w:r>
      <w:r w:rsidRPr="00D4309F">
        <w:t>and</w:t>
      </w:r>
      <w:r w:rsidRPr="00D4309F">
        <w:rPr>
          <w:spacing w:val="-3"/>
        </w:rPr>
        <w:t xml:space="preserve"> </w:t>
      </w:r>
      <w:r w:rsidRPr="00D4309F">
        <w:t>management</w:t>
      </w:r>
      <w:r w:rsidRPr="00D4309F">
        <w:rPr>
          <w:spacing w:val="-3"/>
        </w:rPr>
        <w:t xml:space="preserve"> </w:t>
      </w:r>
      <w:r w:rsidRPr="00D4309F">
        <w:t>solutions</w:t>
      </w:r>
      <w:r w:rsidRPr="00D4309F">
        <w:rPr>
          <w:spacing w:val="-2"/>
        </w:rPr>
        <w:t xml:space="preserve"> </w:t>
      </w:r>
      <w:r w:rsidRPr="00D4309F">
        <w:t>be</w:t>
      </w:r>
      <w:r w:rsidRPr="00D4309F">
        <w:rPr>
          <w:spacing w:val="-3"/>
        </w:rPr>
        <w:t xml:space="preserve"> </w:t>
      </w:r>
      <w:r w:rsidRPr="00D4309F">
        <w:t>considered</w:t>
      </w:r>
      <w:r w:rsidRPr="00D4309F">
        <w:rPr>
          <w:spacing w:val="-3"/>
        </w:rPr>
        <w:t xml:space="preserve"> </w:t>
      </w:r>
      <w:r w:rsidRPr="00D4309F">
        <w:t>to</w:t>
      </w:r>
      <w:r w:rsidRPr="00D4309F">
        <w:rPr>
          <w:spacing w:val="-3"/>
        </w:rPr>
        <w:t xml:space="preserve"> </w:t>
      </w:r>
      <w:r w:rsidRPr="00D4309F">
        <w:t>achieve</w:t>
      </w:r>
      <w:r w:rsidRPr="00D4309F">
        <w:rPr>
          <w:spacing w:val="-4"/>
        </w:rPr>
        <w:t xml:space="preserve"> </w:t>
      </w:r>
      <w:r w:rsidRPr="00D4309F">
        <w:t>a more sustainable balance between maintaining safe navigation, reducing maintenance requirements, and protecting coastal and community values. The pursuit of such solutions offers the potential for enhanced safety, improved usability, and broader social and economic benefits for all harbour users and the surrounding community.</w:t>
      </w:r>
    </w:p>
    <w:p w14:paraId="73BA0526" w14:textId="77777777" w:rsidR="00725977" w:rsidRPr="00D4309F" w:rsidRDefault="00725977" w:rsidP="0016610C">
      <w:pPr>
        <w:pStyle w:val="Heading2"/>
      </w:pPr>
      <w:bookmarkStart w:id="178" w:name="_bookmark77"/>
      <w:bookmarkStart w:id="179" w:name="_Toc216699354"/>
      <w:bookmarkEnd w:id="178"/>
      <w:r w:rsidRPr="00D4309F">
        <w:t>The</w:t>
      </w:r>
      <w:r w:rsidRPr="00D4309F">
        <w:rPr>
          <w:spacing w:val="-9"/>
        </w:rPr>
        <w:t xml:space="preserve"> </w:t>
      </w:r>
      <w:r w:rsidRPr="00D4309F">
        <w:t>goals</w:t>
      </w:r>
      <w:r w:rsidRPr="00D4309F">
        <w:rPr>
          <w:spacing w:val="-8"/>
        </w:rPr>
        <w:t xml:space="preserve"> </w:t>
      </w:r>
      <w:r w:rsidRPr="00D4309F">
        <w:t>of</w:t>
      </w:r>
      <w:r w:rsidRPr="00D4309F">
        <w:rPr>
          <w:spacing w:val="-8"/>
        </w:rPr>
        <w:t xml:space="preserve"> </w:t>
      </w:r>
      <w:r w:rsidRPr="00D4309F">
        <w:t>the</w:t>
      </w:r>
      <w:r w:rsidRPr="00D4309F">
        <w:rPr>
          <w:spacing w:val="-8"/>
        </w:rPr>
        <w:t xml:space="preserve"> </w:t>
      </w:r>
      <w:r w:rsidRPr="00D4309F">
        <w:t>long-term</w:t>
      </w:r>
      <w:r w:rsidRPr="00D4309F">
        <w:rPr>
          <w:spacing w:val="-9"/>
        </w:rPr>
        <w:t xml:space="preserve"> </w:t>
      </w:r>
      <w:r w:rsidRPr="00D4309F">
        <w:rPr>
          <w:spacing w:val="-2"/>
        </w:rPr>
        <w:t>solution</w:t>
      </w:r>
      <w:bookmarkEnd w:id="179"/>
    </w:p>
    <w:p w14:paraId="426484F5" w14:textId="77777777" w:rsidR="00725977" w:rsidRPr="00D4309F" w:rsidRDefault="00725977" w:rsidP="00725977">
      <w:pPr>
        <w:pStyle w:val="BodyText"/>
      </w:pPr>
      <w:r w:rsidRPr="00D4309F">
        <w:t>The</w:t>
      </w:r>
      <w:r w:rsidRPr="00D4309F">
        <w:rPr>
          <w:spacing w:val="-2"/>
        </w:rPr>
        <w:t xml:space="preserve"> </w:t>
      </w:r>
      <w:r w:rsidRPr="00D4309F">
        <w:t>overarching</w:t>
      </w:r>
      <w:r w:rsidRPr="00D4309F">
        <w:rPr>
          <w:spacing w:val="-2"/>
        </w:rPr>
        <w:t xml:space="preserve"> </w:t>
      </w:r>
      <w:r w:rsidRPr="00D4309F">
        <w:t>goal</w:t>
      </w:r>
      <w:r w:rsidRPr="00D4309F">
        <w:rPr>
          <w:spacing w:val="-2"/>
        </w:rPr>
        <w:t xml:space="preserve"> </w:t>
      </w:r>
      <w:r w:rsidRPr="00D4309F">
        <w:t>of</w:t>
      </w:r>
      <w:r w:rsidRPr="00D4309F">
        <w:rPr>
          <w:spacing w:val="-2"/>
        </w:rPr>
        <w:t xml:space="preserve"> </w:t>
      </w:r>
      <w:r w:rsidRPr="00D4309F">
        <w:t>the</w:t>
      </w:r>
      <w:r w:rsidRPr="00D4309F">
        <w:rPr>
          <w:spacing w:val="-3"/>
        </w:rPr>
        <w:t xml:space="preserve"> </w:t>
      </w:r>
      <w:r w:rsidRPr="00D4309F">
        <w:t>long-term</w:t>
      </w:r>
      <w:r w:rsidRPr="00D4309F">
        <w:rPr>
          <w:spacing w:val="-2"/>
        </w:rPr>
        <w:t xml:space="preserve"> </w:t>
      </w:r>
      <w:r w:rsidRPr="00D4309F">
        <w:t>solution</w:t>
      </w:r>
      <w:r w:rsidRPr="00D4309F">
        <w:rPr>
          <w:spacing w:val="-2"/>
        </w:rPr>
        <w:t xml:space="preserve"> </w:t>
      </w:r>
      <w:r w:rsidRPr="00D4309F">
        <w:t>for</w:t>
      </w:r>
      <w:r w:rsidRPr="00D4309F">
        <w:rPr>
          <w:spacing w:val="-2"/>
        </w:rPr>
        <w:t xml:space="preserve"> </w:t>
      </w:r>
      <w:r w:rsidRPr="00D4309F">
        <w:t>the</w:t>
      </w:r>
      <w:r w:rsidRPr="00D4309F">
        <w:rPr>
          <w:spacing w:val="-3"/>
        </w:rPr>
        <w:t xml:space="preserve"> </w:t>
      </w:r>
      <w:r w:rsidRPr="00D4309F">
        <w:t>Mooloolaba</w:t>
      </w:r>
      <w:r w:rsidRPr="00D4309F">
        <w:rPr>
          <w:spacing w:val="-2"/>
        </w:rPr>
        <w:t xml:space="preserve"> </w:t>
      </w:r>
      <w:r w:rsidRPr="00D4309F">
        <w:t>Boat</w:t>
      </w:r>
      <w:r w:rsidRPr="00D4309F">
        <w:rPr>
          <w:spacing w:val="-2"/>
        </w:rPr>
        <w:t xml:space="preserve"> </w:t>
      </w:r>
      <w:r w:rsidRPr="00D4309F">
        <w:t>Harbour</w:t>
      </w:r>
      <w:r w:rsidRPr="00D4309F">
        <w:rPr>
          <w:spacing w:val="-2"/>
        </w:rPr>
        <w:t xml:space="preserve"> </w:t>
      </w:r>
      <w:r w:rsidRPr="00D4309F">
        <w:t>entrance</w:t>
      </w:r>
      <w:r w:rsidRPr="00D4309F">
        <w:rPr>
          <w:spacing w:val="-2"/>
        </w:rPr>
        <w:t xml:space="preserve"> </w:t>
      </w:r>
      <w:r w:rsidRPr="00D4309F">
        <w:t>is</w:t>
      </w:r>
      <w:r w:rsidRPr="00D4309F">
        <w:rPr>
          <w:spacing w:val="-2"/>
        </w:rPr>
        <w:t xml:space="preserve"> </w:t>
      </w:r>
      <w:r w:rsidRPr="00D4309F">
        <w:t>to</w:t>
      </w:r>
      <w:r w:rsidRPr="00D4309F">
        <w:rPr>
          <w:spacing w:val="-3"/>
        </w:rPr>
        <w:t xml:space="preserve"> </w:t>
      </w:r>
      <w:r w:rsidRPr="00D4309F">
        <w:t>maintain</w:t>
      </w:r>
      <w:r w:rsidRPr="00D4309F">
        <w:rPr>
          <w:spacing w:val="-2"/>
        </w:rPr>
        <w:t xml:space="preserve"> </w:t>
      </w:r>
      <w:r w:rsidRPr="00D4309F">
        <w:t>safe and reliable all-tide access for mariners at all times. Achieving this requires effectively managing the movement of sand within the coastal system, specifically, to transfer sand from the updrift area east of the entrance</w:t>
      </w:r>
      <w:r w:rsidRPr="00D4309F">
        <w:rPr>
          <w:spacing w:val="-3"/>
        </w:rPr>
        <w:t xml:space="preserve"> </w:t>
      </w:r>
      <w:r w:rsidRPr="00D4309F">
        <w:t>(Area</w:t>
      </w:r>
      <w:r w:rsidRPr="00D4309F">
        <w:rPr>
          <w:spacing w:val="-2"/>
        </w:rPr>
        <w:t xml:space="preserve"> </w:t>
      </w:r>
      <w:r w:rsidRPr="00D4309F">
        <w:t>A)</w:t>
      </w:r>
      <w:r w:rsidRPr="00D4309F">
        <w:rPr>
          <w:spacing w:val="-1"/>
        </w:rPr>
        <w:t xml:space="preserve"> </w:t>
      </w:r>
      <w:r w:rsidRPr="00D4309F">
        <w:t>to</w:t>
      </w:r>
      <w:r w:rsidRPr="00D4309F">
        <w:rPr>
          <w:spacing w:val="-2"/>
        </w:rPr>
        <w:t xml:space="preserve"> </w:t>
      </w:r>
      <w:r w:rsidRPr="00D4309F">
        <w:t>the</w:t>
      </w:r>
      <w:r w:rsidRPr="00D4309F">
        <w:rPr>
          <w:spacing w:val="-2"/>
        </w:rPr>
        <w:t xml:space="preserve"> </w:t>
      </w:r>
      <w:r w:rsidRPr="00D4309F">
        <w:t>downdrift</w:t>
      </w:r>
      <w:r w:rsidRPr="00D4309F">
        <w:rPr>
          <w:spacing w:val="-2"/>
        </w:rPr>
        <w:t xml:space="preserve"> </w:t>
      </w:r>
      <w:r w:rsidRPr="00D4309F">
        <w:t>area</w:t>
      </w:r>
      <w:r w:rsidRPr="00D4309F">
        <w:rPr>
          <w:spacing w:val="-3"/>
        </w:rPr>
        <w:t xml:space="preserve"> </w:t>
      </w:r>
      <w:r w:rsidRPr="00D4309F">
        <w:t>west</w:t>
      </w:r>
      <w:r w:rsidRPr="00D4309F">
        <w:rPr>
          <w:spacing w:val="-2"/>
        </w:rPr>
        <w:t xml:space="preserve"> </w:t>
      </w:r>
      <w:r w:rsidRPr="00D4309F">
        <w:t>of</w:t>
      </w:r>
      <w:r w:rsidRPr="00D4309F">
        <w:rPr>
          <w:spacing w:val="-2"/>
        </w:rPr>
        <w:t xml:space="preserve"> </w:t>
      </w:r>
      <w:r w:rsidRPr="00D4309F">
        <w:t>the</w:t>
      </w:r>
      <w:r w:rsidRPr="00D4309F">
        <w:rPr>
          <w:spacing w:val="-2"/>
        </w:rPr>
        <w:t xml:space="preserve"> </w:t>
      </w:r>
      <w:r w:rsidRPr="00D4309F">
        <w:t>entrance</w:t>
      </w:r>
      <w:r w:rsidRPr="00D4309F">
        <w:rPr>
          <w:spacing w:val="-2"/>
        </w:rPr>
        <w:t xml:space="preserve"> </w:t>
      </w:r>
      <w:r w:rsidRPr="00D4309F">
        <w:t>(Area</w:t>
      </w:r>
      <w:r w:rsidRPr="00D4309F">
        <w:rPr>
          <w:spacing w:val="-3"/>
        </w:rPr>
        <w:t xml:space="preserve"> </w:t>
      </w:r>
      <w:r w:rsidRPr="00D4309F">
        <w:t>B)</w:t>
      </w:r>
      <w:r w:rsidRPr="00D4309F">
        <w:rPr>
          <w:spacing w:val="-1"/>
        </w:rPr>
        <w:t xml:space="preserve"> </w:t>
      </w:r>
      <w:r w:rsidRPr="00D4309F">
        <w:t>in</w:t>
      </w:r>
      <w:r w:rsidRPr="00D4309F">
        <w:rPr>
          <w:spacing w:val="-2"/>
        </w:rPr>
        <w:t xml:space="preserve"> </w:t>
      </w:r>
      <w:r w:rsidRPr="00D4309F">
        <w:t>a</w:t>
      </w:r>
      <w:r w:rsidRPr="00D4309F">
        <w:rPr>
          <w:spacing w:val="-2"/>
        </w:rPr>
        <w:t xml:space="preserve"> </w:t>
      </w:r>
      <w:r w:rsidRPr="00D4309F">
        <w:t>manner</w:t>
      </w:r>
      <w:r w:rsidRPr="00D4309F">
        <w:rPr>
          <w:spacing w:val="-1"/>
        </w:rPr>
        <w:t xml:space="preserve"> </w:t>
      </w:r>
      <w:r w:rsidRPr="00D4309F">
        <w:t>that</w:t>
      </w:r>
      <w:r w:rsidRPr="00D4309F">
        <w:rPr>
          <w:spacing w:val="-2"/>
        </w:rPr>
        <w:t xml:space="preserve"> </w:t>
      </w:r>
      <w:r w:rsidRPr="00D4309F">
        <w:t>replicates</w:t>
      </w:r>
      <w:r w:rsidRPr="00D4309F">
        <w:rPr>
          <w:spacing w:val="-1"/>
        </w:rPr>
        <w:t xml:space="preserve"> </w:t>
      </w:r>
      <w:r w:rsidRPr="00D4309F">
        <w:t>the</w:t>
      </w:r>
      <w:r w:rsidRPr="00D4309F">
        <w:rPr>
          <w:spacing w:val="-2"/>
        </w:rPr>
        <w:t xml:space="preserve"> </w:t>
      </w:r>
      <w:r w:rsidRPr="00D4309F">
        <w:t>natural coastal sediment bypassing process. Note that Area A and Area B have been shown indicatively for discussion purposes and are not real boundaries.</w:t>
      </w:r>
    </w:p>
    <w:p w14:paraId="254D721D" w14:textId="77777777" w:rsidR="00725977" w:rsidRPr="00D4309F" w:rsidRDefault="00725977" w:rsidP="00725977">
      <w:pPr>
        <w:pStyle w:val="BodyText"/>
      </w:pPr>
      <w:r w:rsidRPr="00D4309F">
        <w:t>Under natural conditions, wave action and longshore drift would transport sand westward across the entrance. However, the presence of the training walls and the altered shoreline geometry prevent this process from occurring naturally. As a result, sand accumulates within the entrance channel, constricting navigation</w:t>
      </w:r>
      <w:r w:rsidRPr="00D4309F">
        <w:rPr>
          <w:spacing w:val="-3"/>
        </w:rPr>
        <w:t xml:space="preserve"> </w:t>
      </w:r>
      <w:r w:rsidRPr="00D4309F">
        <w:t>and</w:t>
      </w:r>
      <w:r w:rsidRPr="00D4309F">
        <w:rPr>
          <w:spacing w:val="-3"/>
        </w:rPr>
        <w:t xml:space="preserve"> </w:t>
      </w:r>
      <w:r w:rsidRPr="00D4309F">
        <w:t>creating</w:t>
      </w:r>
      <w:r w:rsidRPr="00D4309F">
        <w:rPr>
          <w:spacing w:val="-3"/>
        </w:rPr>
        <w:t xml:space="preserve"> </w:t>
      </w:r>
      <w:r w:rsidRPr="00D4309F">
        <w:t>ongoing</w:t>
      </w:r>
      <w:r w:rsidRPr="00D4309F">
        <w:rPr>
          <w:spacing w:val="-4"/>
        </w:rPr>
        <w:t xml:space="preserve"> </w:t>
      </w:r>
      <w:r w:rsidRPr="00D4309F">
        <w:t>safety</w:t>
      </w:r>
      <w:r w:rsidRPr="00D4309F">
        <w:rPr>
          <w:spacing w:val="-3"/>
        </w:rPr>
        <w:t xml:space="preserve"> </w:t>
      </w:r>
      <w:r w:rsidRPr="00D4309F">
        <w:t>and</w:t>
      </w:r>
      <w:r w:rsidRPr="00D4309F">
        <w:rPr>
          <w:spacing w:val="-3"/>
        </w:rPr>
        <w:t xml:space="preserve"> </w:t>
      </w:r>
      <w:r w:rsidRPr="00D4309F">
        <w:t>access</w:t>
      </w:r>
      <w:r w:rsidRPr="00D4309F">
        <w:rPr>
          <w:spacing w:val="-2"/>
        </w:rPr>
        <w:t xml:space="preserve"> </w:t>
      </w:r>
      <w:r w:rsidRPr="00D4309F">
        <w:t>challenges.</w:t>
      </w:r>
      <w:r w:rsidRPr="00D4309F">
        <w:rPr>
          <w:spacing w:val="-5"/>
        </w:rPr>
        <w:t xml:space="preserve"> </w:t>
      </w:r>
      <w:r w:rsidRPr="00D4309F">
        <w:t>Historically,</w:t>
      </w:r>
      <w:r w:rsidRPr="00D4309F">
        <w:rPr>
          <w:spacing w:val="-3"/>
        </w:rPr>
        <w:t xml:space="preserve"> </w:t>
      </w:r>
      <w:r w:rsidRPr="00D4309F">
        <w:t>this</w:t>
      </w:r>
      <w:r w:rsidRPr="00D4309F">
        <w:rPr>
          <w:spacing w:val="-3"/>
        </w:rPr>
        <w:t xml:space="preserve"> </w:t>
      </w:r>
      <w:r w:rsidRPr="00D4309F">
        <w:t>sediment</w:t>
      </w:r>
      <w:r w:rsidRPr="00D4309F">
        <w:rPr>
          <w:spacing w:val="-3"/>
        </w:rPr>
        <w:t xml:space="preserve"> </w:t>
      </w:r>
      <w:r w:rsidRPr="00D4309F">
        <w:t>transfer</w:t>
      </w:r>
      <w:r w:rsidRPr="00D4309F">
        <w:rPr>
          <w:spacing w:val="-2"/>
        </w:rPr>
        <w:t xml:space="preserve"> </w:t>
      </w:r>
      <w:r w:rsidRPr="00D4309F">
        <w:t>has</w:t>
      </w:r>
      <w:r w:rsidRPr="00D4309F">
        <w:rPr>
          <w:spacing w:val="-2"/>
        </w:rPr>
        <w:t xml:space="preserve"> </w:t>
      </w:r>
      <w:r w:rsidRPr="00D4309F">
        <w:t>been artificially maintained through maintenance dredging, with material periodically removed from Area A and placed in or near Area B. While this approach provides short-term relief, it is costly, disruptive, and increasingly unsustainable, particularly given the growing frequency of shoaling events.</w:t>
      </w:r>
    </w:p>
    <w:p w14:paraId="271F8479" w14:textId="77777777" w:rsidR="00725977" w:rsidRPr="00D4309F" w:rsidRDefault="00725977" w:rsidP="00725977">
      <w:pPr>
        <w:pStyle w:val="BodyText"/>
      </w:pPr>
      <w:r w:rsidRPr="00D4309F">
        <w:t>Therefore, the goal of the long-term solution is to establish a sustainable mechanism to bypass sand from Area</w:t>
      </w:r>
      <w:r w:rsidRPr="00D4309F">
        <w:rPr>
          <w:spacing w:val="-2"/>
        </w:rPr>
        <w:t xml:space="preserve"> </w:t>
      </w:r>
      <w:r w:rsidRPr="00D4309F">
        <w:t>A</w:t>
      </w:r>
      <w:r w:rsidRPr="00D4309F">
        <w:rPr>
          <w:spacing w:val="-2"/>
        </w:rPr>
        <w:t xml:space="preserve"> </w:t>
      </w:r>
      <w:r w:rsidRPr="00D4309F">
        <w:t>to</w:t>
      </w:r>
      <w:r w:rsidRPr="00D4309F">
        <w:rPr>
          <w:spacing w:val="-2"/>
        </w:rPr>
        <w:t xml:space="preserve"> </w:t>
      </w:r>
      <w:r w:rsidRPr="00D4309F">
        <w:t>Area</w:t>
      </w:r>
      <w:r w:rsidRPr="00D4309F">
        <w:rPr>
          <w:spacing w:val="-2"/>
        </w:rPr>
        <w:t xml:space="preserve"> </w:t>
      </w:r>
      <w:r w:rsidRPr="00D4309F">
        <w:t>B</w:t>
      </w:r>
      <w:r w:rsidRPr="00D4309F">
        <w:rPr>
          <w:spacing w:val="-3"/>
        </w:rPr>
        <w:t xml:space="preserve"> </w:t>
      </w:r>
      <w:r w:rsidRPr="00D4309F">
        <w:t>while</w:t>
      </w:r>
      <w:r w:rsidRPr="00D4309F">
        <w:rPr>
          <w:spacing w:val="-2"/>
        </w:rPr>
        <w:t xml:space="preserve"> </w:t>
      </w:r>
      <w:r w:rsidRPr="00D4309F">
        <w:t>maintaining</w:t>
      </w:r>
      <w:r w:rsidRPr="00D4309F">
        <w:rPr>
          <w:spacing w:val="-2"/>
        </w:rPr>
        <w:t xml:space="preserve"> </w:t>
      </w:r>
      <w:r w:rsidRPr="00D4309F">
        <w:t>a</w:t>
      </w:r>
      <w:r w:rsidRPr="00D4309F">
        <w:rPr>
          <w:spacing w:val="-3"/>
        </w:rPr>
        <w:t xml:space="preserve"> </w:t>
      </w:r>
      <w:r w:rsidRPr="00D4309F">
        <w:t>clear,</w:t>
      </w:r>
      <w:r w:rsidRPr="00D4309F">
        <w:rPr>
          <w:spacing w:val="-2"/>
        </w:rPr>
        <w:t xml:space="preserve"> </w:t>
      </w:r>
      <w:r w:rsidRPr="00D4309F">
        <w:t>safe</w:t>
      </w:r>
      <w:r w:rsidRPr="00D4309F">
        <w:rPr>
          <w:spacing w:val="-2"/>
        </w:rPr>
        <w:t xml:space="preserve"> </w:t>
      </w:r>
      <w:r w:rsidRPr="00D4309F">
        <w:t>navigation</w:t>
      </w:r>
      <w:r w:rsidRPr="00D4309F">
        <w:rPr>
          <w:spacing w:val="-2"/>
        </w:rPr>
        <w:t xml:space="preserve"> </w:t>
      </w:r>
      <w:r w:rsidRPr="00D4309F">
        <w:t>channel</w:t>
      </w:r>
      <w:r w:rsidRPr="00D4309F">
        <w:rPr>
          <w:spacing w:val="-3"/>
        </w:rPr>
        <w:t xml:space="preserve"> </w:t>
      </w:r>
      <w:r w:rsidRPr="00D4309F">
        <w:t>under</w:t>
      </w:r>
      <w:r w:rsidRPr="00D4309F">
        <w:rPr>
          <w:spacing w:val="-1"/>
        </w:rPr>
        <w:t xml:space="preserve"> </w:t>
      </w:r>
      <w:r w:rsidRPr="00D4309F">
        <w:t>all</w:t>
      </w:r>
      <w:r w:rsidRPr="00D4309F">
        <w:rPr>
          <w:spacing w:val="-2"/>
        </w:rPr>
        <w:t xml:space="preserve"> </w:t>
      </w:r>
      <w:r w:rsidRPr="00D4309F">
        <w:t>tidal</w:t>
      </w:r>
      <w:r w:rsidRPr="00D4309F">
        <w:rPr>
          <w:spacing w:val="-2"/>
        </w:rPr>
        <w:t xml:space="preserve"> </w:t>
      </w:r>
      <w:r w:rsidRPr="00D4309F">
        <w:t>and</w:t>
      </w:r>
      <w:r w:rsidRPr="00D4309F">
        <w:rPr>
          <w:spacing w:val="-2"/>
        </w:rPr>
        <w:t xml:space="preserve"> </w:t>
      </w:r>
      <w:r w:rsidRPr="00D4309F">
        <w:t>weather</w:t>
      </w:r>
      <w:r w:rsidRPr="00D4309F">
        <w:rPr>
          <w:spacing w:val="-3"/>
        </w:rPr>
        <w:t xml:space="preserve"> </w:t>
      </w:r>
      <w:r w:rsidRPr="00D4309F">
        <w:t>conditions.</w:t>
      </w:r>
      <w:r w:rsidRPr="00D4309F">
        <w:rPr>
          <w:spacing w:val="-2"/>
        </w:rPr>
        <w:t xml:space="preserve"> </w:t>
      </w:r>
      <w:r w:rsidRPr="00D4309F">
        <w:t>In pursuing this goal, solutions should aim to minimise environmental impacts, be cost-effective to operate and maintain, and achieve broad social acceptance. These principles underpin the evaluation criteria and option development discussed in the following sections of this report.</w:t>
      </w:r>
    </w:p>
    <w:p w14:paraId="05FB4122" w14:textId="77777777" w:rsidR="00725977" w:rsidRPr="00D4309F" w:rsidRDefault="00725977" w:rsidP="00725977">
      <w:pPr>
        <w:pStyle w:val="BodyText"/>
      </w:pPr>
    </w:p>
    <w:p w14:paraId="4F32EEF2" w14:textId="77777777" w:rsidR="00CC0B1C" w:rsidRDefault="00725977" w:rsidP="00CC0B1C">
      <w:pPr>
        <w:jc w:val="center"/>
      </w:pPr>
      <w:r w:rsidRPr="00D4309F">
        <w:rPr>
          <w:noProof/>
        </w:rPr>
        <w:lastRenderedPageBreak/>
        <w:drawing>
          <wp:inline distT="0" distB="0" distL="0" distR="0" wp14:anchorId="680F129C" wp14:editId="316825A2">
            <wp:extent cx="6168425" cy="4224528"/>
            <wp:effectExtent l="0" t="0" r="0" b="0"/>
            <wp:docPr id="1431019828" name="Image 71" descr="Arial image of Point Cartwright and the Mooloolaba Boat Harbour Entrance, showing the Long term goal/objective for sand movement. The map shows Area A, which is around the headland of Point Cartwright, and Area B, where the sand would travel toward the shore at Mooloolaba beach.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1019828" name="Image 71" descr="Arial image of Point Cartwright and the Mooloolaba Boat Harbour Entrance, showing the Long term goal/objective for sand movement. The map shows Area A, which is around the headland of Point Cartwright, and Area B, where the sand would travel toward the shore at Mooloolaba beach. "/>
                    <pic:cNvPicPr/>
                  </pic:nvPicPr>
                  <pic:blipFill>
                    <a:blip r:embed="rId61" cstate="print"/>
                    <a:stretch>
                      <a:fillRect/>
                    </a:stretch>
                  </pic:blipFill>
                  <pic:spPr>
                    <a:xfrm>
                      <a:off x="0" y="0"/>
                      <a:ext cx="6168425" cy="4224528"/>
                    </a:xfrm>
                    <a:prstGeom prst="rect">
                      <a:avLst/>
                    </a:prstGeom>
                  </pic:spPr>
                </pic:pic>
              </a:graphicData>
            </a:graphic>
          </wp:inline>
        </w:drawing>
      </w:r>
    </w:p>
    <w:p w14:paraId="12FE58F2" w14:textId="00A5A2F3" w:rsidR="00725977" w:rsidRDefault="00CC0B1C" w:rsidP="00EF4321">
      <w:pPr>
        <w:pStyle w:val="Caption"/>
        <w:rPr>
          <w:color w:val="211E1F"/>
          <w:szCs w:val="18"/>
        </w:rPr>
      </w:pPr>
      <w:bookmarkStart w:id="180" w:name="_Toc216699608"/>
      <w:r>
        <w:t xml:space="preserve">Figure </w:t>
      </w:r>
      <w:r w:rsidR="00B538D4">
        <w:fldChar w:fldCharType="begin" w:fldLock="1"/>
      </w:r>
      <w:r w:rsidR="00B538D4">
        <w:instrText xml:space="preserve"> STYLEREF 1 \s </w:instrText>
      </w:r>
      <w:r w:rsidR="00B538D4">
        <w:fldChar w:fldCharType="separate"/>
      </w:r>
      <w:r w:rsidR="00B538D4">
        <w:rPr>
          <w:noProof/>
        </w:rPr>
        <w:t>12</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1</w:t>
      </w:r>
      <w:r w:rsidR="00B538D4">
        <w:fldChar w:fldCharType="end"/>
      </w:r>
      <w:r>
        <w:t>:</w:t>
      </w:r>
      <w:r>
        <w:tab/>
      </w:r>
      <w:r w:rsidRPr="00D4309F">
        <w:rPr>
          <w:color w:val="211E1F"/>
          <w:szCs w:val="18"/>
        </w:rPr>
        <w:t>Long</w:t>
      </w:r>
      <w:r w:rsidRPr="00D4309F">
        <w:rPr>
          <w:color w:val="211E1F"/>
          <w:spacing w:val="-2"/>
          <w:szCs w:val="18"/>
        </w:rPr>
        <w:t xml:space="preserve"> </w:t>
      </w:r>
      <w:r w:rsidRPr="00D4309F">
        <w:rPr>
          <w:color w:val="211E1F"/>
          <w:szCs w:val="18"/>
        </w:rPr>
        <w:t>term</w:t>
      </w:r>
      <w:r w:rsidRPr="00D4309F">
        <w:rPr>
          <w:color w:val="211E1F"/>
          <w:spacing w:val="-3"/>
          <w:szCs w:val="18"/>
        </w:rPr>
        <w:t xml:space="preserve"> </w:t>
      </w:r>
      <w:r w:rsidRPr="00D4309F">
        <w:rPr>
          <w:color w:val="211E1F"/>
          <w:szCs w:val="18"/>
        </w:rPr>
        <w:t>goal/objective</w:t>
      </w:r>
      <w:r w:rsidRPr="00D4309F">
        <w:rPr>
          <w:color w:val="211E1F"/>
          <w:spacing w:val="-3"/>
          <w:szCs w:val="18"/>
        </w:rPr>
        <w:t xml:space="preserve"> </w:t>
      </w:r>
      <w:r w:rsidRPr="00D4309F">
        <w:rPr>
          <w:color w:val="211E1F"/>
          <w:szCs w:val="18"/>
        </w:rPr>
        <w:t>(Note</w:t>
      </w:r>
      <w:r w:rsidRPr="00D4309F">
        <w:rPr>
          <w:color w:val="211E1F"/>
          <w:spacing w:val="-3"/>
          <w:szCs w:val="18"/>
        </w:rPr>
        <w:t xml:space="preserve"> </w:t>
      </w:r>
      <w:r w:rsidRPr="00D4309F">
        <w:rPr>
          <w:color w:val="211E1F"/>
          <w:szCs w:val="18"/>
        </w:rPr>
        <w:t>that</w:t>
      </w:r>
      <w:r w:rsidRPr="00D4309F">
        <w:rPr>
          <w:color w:val="211E1F"/>
          <w:spacing w:val="-2"/>
          <w:szCs w:val="18"/>
        </w:rPr>
        <w:t xml:space="preserve"> </w:t>
      </w:r>
      <w:r w:rsidRPr="00D4309F">
        <w:rPr>
          <w:color w:val="211E1F"/>
          <w:szCs w:val="18"/>
        </w:rPr>
        <w:t>￼area</w:t>
      </w:r>
      <w:r w:rsidRPr="00D4309F">
        <w:rPr>
          <w:color w:val="211E1F"/>
          <w:spacing w:val="-3"/>
          <w:szCs w:val="18"/>
        </w:rPr>
        <w:t xml:space="preserve"> </w:t>
      </w:r>
      <w:r w:rsidRPr="00D4309F">
        <w:rPr>
          <w:color w:val="211E1F"/>
          <w:szCs w:val="18"/>
        </w:rPr>
        <w:t>boxes</w:t>
      </w:r>
      <w:r w:rsidRPr="00D4309F">
        <w:rPr>
          <w:color w:val="211E1F"/>
          <w:spacing w:val="-3"/>
          <w:szCs w:val="18"/>
        </w:rPr>
        <w:t xml:space="preserve"> </w:t>
      </w:r>
      <w:r w:rsidRPr="00D4309F">
        <w:rPr>
          <w:color w:val="211E1F"/>
          <w:szCs w:val="18"/>
        </w:rPr>
        <w:t>are</w:t>
      </w:r>
      <w:r w:rsidRPr="00D4309F">
        <w:rPr>
          <w:color w:val="211E1F"/>
          <w:spacing w:val="-1"/>
          <w:szCs w:val="18"/>
        </w:rPr>
        <w:t xml:space="preserve"> </w:t>
      </w:r>
      <w:r w:rsidRPr="00D4309F">
        <w:rPr>
          <w:color w:val="211E1F"/>
          <w:szCs w:val="18"/>
        </w:rPr>
        <w:t>shown</w:t>
      </w:r>
      <w:r w:rsidRPr="00D4309F">
        <w:rPr>
          <w:color w:val="211E1F"/>
          <w:spacing w:val="-3"/>
          <w:szCs w:val="18"/>
        </w:rPr>
        <w:t xml:space="preserve"> </w:t>
      </w:r>
      <w:r w:rsidRPr="00D4309F">
        <w:rPr>
          <w:color w:val="211E1F"/>
          <w:szCs w:val="18"/>
        </w:rPr>
        <w:t>indicatively</w:t>
      </w:r>
      <w:r w:rsidRPr="00D4309F">
        <w:rPr>
          <w:color w:val="211E1F"/>
          <w:spacing w:val="-3"/>
          <w:szCs w:val="18"/>
        </w:rPr>
        <w:t xml:space="preserve"> </w:t>
      </w:r>
      <w:r w:rsidRPr="00D4309F">
        <w:rPr>
          <w:color w:val="211E1F"/>
          <w:szCs w:val="18"/>
        </w:rPr>
        <w:t>and</w:t>
      </w:r>
      <w:r w:rsidRPr="00D4309F">
        <w:rPr>
          <w:color w:val="211E1F"/>
          <w:spacing w:val="-2"/>
          <w:szCs w:val="18"/>
        </w:rPr>
        <w:t xml:space="preserve"> </w:t>
      </w:r>
      <w:r w:rsidRPr="00D4309F">
        <w:rPr>
          <w:color w:val="211E1F"/>
          <w:szCs w:val="18"/>
        </w:rPr>
        <w:t>are</w:t>
      </w:r>
      <w:r w:rsidRPr="00D4309F">
        <w:rPr>
          <w:color w:val="211E1F"/>
          <w:spacing w:val="-3"/>
          <w:szCs w:val="18"/>
        </w:rPr>
        <w:t xml:space="preserve"> </w:t>
      </w:r>
      <w:r w:rsidRPr="00D4309F">
        <w:rPr>
          <w:color w:val="211E1F"/>
          <w:szCs w:val="18"/>
        </w:rPr>
        <w:t>not</w:t>
      </w:r>
      <w:r w:rsidRPr="00D4309F">
        <w:rPr>
          <w:color w:val="211E1F"/>
          <w:spacing w:val="-2"/>
          <w:szCs w:val="18"/>
        </w:rPr>
        <w:t xml:space="preserve"> </w:t>
      </w:r>
      <w:r w:rsidRPr="00D4309F">
        <w:rPr>
          <w:color w:val="211E1F"/>
          <w:szCs w:val="18"/>
        </w:rPr>
        <w:t>representative of any restrictive limits)</w:t>
      </w:r>
      <w:bookmarkEnd w:id="180"/>
    </w:p>
    <w:p w14:paraId="70A45C3F" w14:textId="77777777" w:rsidR="00FE6959" w:rsidRPr="00FE6959" w:rsidRDefault="00FE6959" w:rsidP="00FE6959">
      <w:pPr>
        <w:pStyle w:val="BodyText"/>
      </w:pPr>
    </w:p>
    <w:p w14:paraId="12947CC2" w14:textId="77777777" w:rsidR="00725977" w:rsidRPr="00D4309F" w:rsidRDefault="00725977" w:rsidP="0016610C">
      <w:pPr>
        <w:pStyle w:val="Heading3"/>
      </w:pPr>
      <w:bookmarkStart w:id="181" w:name="_bookmark78"/>
      <w:bookmarkStart w:id="182" w:name="_Toc216699355"/>
      <w:bookmarkEnd w:id="181"/>
      <w:r w:rsidRPr="00D4309F">
        <w:t>High</w:t>
      </w:r>
      <w:r w:rsidRPr="00D4309F">
        <w:rPr>
          <w:spacing w:val="-4"/>
        </w:rPr>
        <w:t xml:space="preserve"> </w:t>
      </w:r>
      <w:r w:rsidRPr="00D4309F">
        <w:t>level</w:t>
      </w:r>
      <w:r w:rsidRPr="00D4309F">
        <w:rPr>
          <w:spacing w:val="-4"/>
        </w:rPr>
        <w:t xml:space="preserve"> </w:t>
      </w:r>
      <w:r w:rsidRPr="00D4309F">
        <w:t>goal</w:t>
      </w:r>
      <w:r w:rsidRPr="00D4309F">
        <w:rPr>
          <w:spacing w:val="-2"/>
        </w:rPr>
        <w:t xml:space="preserve"> </w:t>
      </w:r>
      <w:r w:rsidRPr="00D4309F">
        <w:rPr>
          <w:spacing w:val="-4"/>
        </w:rPr>
        <w:t>list</w:t>
      </w:r>
      <w:bookmarkEnd w:id="182"/>
    </w:p>
    <w:p w14:paraId="6582D58C" w14:textId="77777777" w:rsidR="00725977" w:rsidRPr="00D4309F" w:rsidRDefault="00725977" w:rsidP="0053392F">
      <w:pPr>
        <w:pStyle w:val="ListBullet"/>
      </w:pPr>
      <w:r w:rsidRPr="00D4309F">
        <w:t>Maintain</w:t>
      </w:r>
      <w:r w:rsidRPr="00D4309F">
        <w:rPr>
          <w:spacing w:val="-3"/>
        </w:rPr>
        <w:t xml:space="preserve"> </w:t>
      </w:r>
      <w:r w:rsidRPr="00D4309F">
        <w:t>safe,</w:t>
      </w:r>
      <w:r w:rsidRPr="00D4309F">
        <w:rPr>
          <w:spacing w:val="-3"/>
        </w:rPr>
        <w:t xml:space="preserve"> </w:t>
      </w:r>
      <w:r w:rsidRPr="00D4309F">
        <w:t>reliable</w:t>
      </w:r>
      <w:r w:rsidRPr="00D4309F">
        <w:rPr>
          <w:spacing w:val="-3"/>
        </w:rPr>
        <w:t xml:space="preserve"> </w:t>
      </w:r>
      <w:r w:rsidRPr="00D4309F">
        <w:t>all-tide</w:t>
      </w:r>
      <w:r w:rsidRPr="00D4309F">
        <w:rPr>
          <w:spacing w:val="-3"/>
        </w:rPr>
        <w:t xml:space="preserve"> </w:t>
      </w:r>
      <w:r w:rsidRPr="00D4309F">
        <w:t>access</w:t>
      </w:r>
      <w:r w:rsidRPr="00D4309F">
        <w:rPr>
          <w:spacing w:val="-2"/>
        </w:rPr>
        <w:t xml:space="preserve"> </w:t>
      </w:r>
      <w:r w:rsidRPr="00D4309F">
        <w:t>for</w:t>
      </w:r>
      <w:r w:rsidRPr="00D4309F">
        <w:rPr>
          <w:spacing w:val="-4"/>
        </w:rPr>
        <w:t xml:space="preserve"> </w:t>
      </w:r>
      <w:r w:rsidRPr="00D4309F">
        <w:t>mariners</w:t>
      </w:r>
      <w:r w:rsidRPr="00D4309F">
        <w:rPr>
          <w:spacing w:val="-2"/>
        </w:rPr>
        <w:t xml:space="preserve"> </w:t>
      </w:r>
      <w:r w:rsidRPr="00D4309F">
        <w:t>through</w:t>
      </w:r>
      <w:r w:rsidRPr="00D4309F">
        <w:rPr>
          <w:spacing w:val="-3"/>
        </w:rPr>
        <w:t xml:space="preserve"> </w:t>
      </w:r>
      <w:r w:rsidRPr="00D4309F">
        <w:t>the</w:t>
      </w:r>
      <w:r w:rsidRPr="00D4309F">
        <w:rPr>
          <w:spacing w:val="-3"/>
        </w:rPr>
        <w:t xml:space="preserve"> </w:t>
      </w:r>
      <w:r w:rsidRPr="00D4309F">
        <w:t>Mooloolaba</w:t>
      </w:r>
      <w:r w:rsidRPr="00D4309F">
        <w:rPr>
          <w:spacing w:val="-3"/>
        </w:rPr>
        <w:t xml:space="preserve"> </w:t>
      </w:r>
      <w:r w:rsidRPr="00D4309F">
        <w:t>Boat</w:t>
      </w:r>
      <w:r w:rsidRPr="00D4309F">
        <w:rPr>
          <w:spacing w:val="-3"/>
        </w:rPr>
        <w:t xml:space="preserve"> </w:t>
      </w:r>
      <w:r w:rsidRPr="00D4309F">
        <w:t>Harbour</w:t>
      </w:r>
      <w:r w:rsidRPr="00D4309F">
        <w:rPr>
          <w:spacing w:val="-2"/>
        </w:rPr>
        <w:t xml:space="preserve"> </w:t>
      </w:r>
      <w:r w:rsidRPr="00D4309F">
        <w:t>entrance</w:t>
      </w:r>
      <w:r w:rsidRPr="00D4309F">
        <w:rPr>
          <w:spacing w:val="-3"/>
        </w:rPr>
        <w:t xml:space="preserve"> </w:t>
      </w:r>
      <w:r w:rsidRPr="00D4309F">
        <w:t>at</w:t>
      </w:r>
      <w:r w:rsidRPr="00D4309F">
        <w:rPr>
          <w:spacing w:val="-3"/>
        </w:rPr>
        <w:t xml:space="preserve"> </w:t>
      </w:r>
      <w:r w:rsidRPr="00D4309F">
        <w:t xml:space="preserve">all </w:t>
      </w:r>
      <w:r w:rsidRPr="00D4309F">
        <w:rPr>
          <w:spacing w:val="-2"/>
        </w:rPr>
        <w:t>times.</w:t>
      </w:r>
    </w:p>
    <w:p w14:paraId="6747491A" w14:textId="77777777" w:rsidR="00725977" w:rsidRPr="00D4309F" w:rsidRDefault="00725977" w:rsidP="0053392F">
      <w:pPr>
        <w:pStyle w:val="ListBullet"/>
      </w:pPr>
      <w:r w:rsidRPr="00D4309F">
        <w:t>Facilitate</w:t>
      </w:r>
      <w:r w:rsidRPr="00D4309F">
        <w:rPr>
          <w:spacing w:val="-2"/>
        </w:rPr>
        <w:t xml:space="preserve"> </w:t>
      </w:r>
      <w:r w:rsidRPr="00D4309F">
        <w:t>the</w:t>
      </w:r>
      <w:r w:rsidRPr="00D4309F">
        <w:rPr>
          <w:spacing w:val="-3"/>
        </w:rPr>
        <w:t xml:space="preserve"> </w:t>
      </w:r>
      <w:r w:rsidRPr="00D4309F">
        <w:t>natural</w:t>
      </w:r>
      <w:r w:rsidRPr="00D4309F">
        <w:rPr>
          <w:spacing w:val="-2"/>
        </w:rPr>
        <w:t xml:space="preserve"> </w:t>
      </w:r>
      <w:r w:rsidRPr="00D4309F">
        <w:t>movement</w:t>
      </w:r>
      <w:r w:rsidRPr="00D4309F">
        <w:rPr>
          <w:spacing w:val="-2"/>
        </w:rPr>
        <w:t xml:space="preserve"> </w:t>
      </w:r>
      <w:r w:rsidRPr="00D4309F">
        <w:t>of</w:t>
      </w:r>
      <w:r w:rsidRPr="00D4309F">
        <w:rPr>
          <w:spacing w:val="-2"/>
        </w:rPr>
        <w:t xml:space="preserve"> </w:t>
      </w:r>
      <w:r w:rsidRPr="00D4309F">
        <w:t>sand</w:t>
      </w:r>
      <w:r w:rsidRPr="00D4309F">
        <w:rPr>
          <w:spacing w:val="-3"/>
        </w:rPr>
        <w:t xml:space="preserve"> </w:t>
      </w:r>
      <w:r w:rsidRPr="00D4309F">
        <w:t>by</w:t>
      </w:r>
      <w:r w:rsidRPr="00D4309F">
        <w:rPr>
          <w:spacing w:val="-1"/>
        </w:rPr>
        <w:t xml:space="preserve"> </w:t>
      </w:r>
      <w:r w:rsidRPr="00D4309F">
        <w:t>transferring</w:t>
      </w:r>
      <w:r w:rsidRPr="00D4309F">
        <w:rPr>
          <w:spacing w:val="-2"/>
        </w:rPr>
        <w:t xml:space="preserve"> </w:t>
      </w:r>
      <w:r w:rsidRPr="00D4309F">
        <w:t>material</w:t>
      </w:r>
      <w:r w:rsidRPr="00D4309F">
        <w:rPr>
          <w:spacing w:val="-2"/>
        </w:rPr>
        <w:t xml:space="preserve"> </w:t>
      </w:r>
      <w:r w:rsidRPr="00D4309F">
        <w:t>from</w:t>
      </w:r>
      <w:r w:rsidRPr="00D4309F">
        <w:rPr>
          <w:spacing w:val="-2"/>
        </w:rPr>
        <w:t xml:space="preserve"> </w:t>
      </w:r>
      <w:r w:rsidRPr="00D4309F">
        <w:t>the</w:t>
      </w:r>
      <w:r w:rsidRPr="00D4309F">
        <w:rPr>
          <w:spacing w:val="-2"/>
        </w:rPr>
        <w:t xml:space="preserve"> </w:t>
      </w:r>
      <w:r w:rsidRPr="00D4309F">
        <w:t>updrift</w:t>
      </w:r>
      <w:r w:rsidRPr="00D4309F">
        <w:rPr>
          <w:spacing w:val="-2"/>
        </w:rPr>
        <w:t xml:space="preserve"> </w:t>
      </w:r>
      <w:r w:rsidRPr="00D4309F">
        <w:t>area</w:t>
      </w:r>
      <w:r w:rsidRPr="00D4309F">
        <w:rPr>
          <w:spacing w:val="-2"/>
        </w:rPr>
        <w:t xml:space="preserve"> </w:t>
      </w:r>
      <w:r w:rsidRPr="00D4309F">
        <w:t>east</w:t>
      </w:r>
      <w:r w:rsidRPr="00D4309F">
        <w:rPr>
          <w:spacing w:val="-2"/>
        </w:rPr>
        <w:t xml:space="preserve"> </w:t>
      </w:r>
      <w:r w:rsidRPr="00D4309F">
        <w:t>of</w:t>
      </w:r>
      <w:r w:rsidRPr="00D4309F">
        <w:rPr>
          <w:spacing w:val="-2"/>
        </w:rPr>
        <w:t xml:space="preserve"> </w:t>
      </w:r>
      <w:r w:rsidRPr="00D4309F">
        <w:t>the entrance (Area A) to the downdrift area west of the entrance (Area B).</w:t>
      </w:r>
    </w:p>
    <w:p w14:paraId="34CC6434" w14:textId="77777777" w:rsidR="00725977" w:rsidRPr="00D4309F" w:rsidRDefault="00725977" w:rsidP="0053392F">
      <w:pPr>
        <w:pStyle w:val="ListBullet"/>
      </w:pPr>
      <w:r w:rsidRPr="00D4309F">
        <w:t>Replicate</w:t>
      </w:r>
      <w:r w:rsidRPr="00D4309F">
        <w:rPr>
          <w:spacing w:val="-3"/>
        </w:rPr>
        <w:t xml:space="preserve"> </w:t>
      </w:r>
      <w:r w:rsidRPr="00D4309F">
        <w:t>natural</w:t>
      </w:r>
      <w:r w:rsidRPr="00D4309F">
        <w:rPr>
          <w:spacing w:val="-3"/>
        </w:rPr>
        <w:t xml:space="preserve"> </w:t>
      </w:r>
      <w:r w:rsidRPr="00D4309F">
        <w:t>coastal</w:t>
      </w:r>
      <w:r w:rsidRPr="00D4309F">
        <w:rPr>
          <w:spacing w:val="-3"/>
        </w:rPr>
        <w:t xml:space="preserve"> </w:t>
      </w:r>
      <w:r w:rsidRPr="00D4309F">
        <w:t>bypassing</w:t>
      </w:r>
      <w:r w:rsidRPr="00D4309F">
        <w:rPr>
          <w:spacing w:val="-3"/>
        </w:rPr>
        <w:t xml:space="preserve"> </w:t>
      </w:r>
      <w:r w:rsidRPr="00D4309F">
        <w:t>processes</w:t>
      </w:r>
      <w:r w:rsidRPr="00D4309F">
        <w:rPr>
          <w:spacing w:val="-3"/>
        </w:rPr>
        <w:t xml:space="preserve"> </w:t>
      </w:r>
      <w:r w:rsidRPr="00D4309F">
        <w:t>to</w:t>
      </w:r>
      <w:r w:rsidRPr="00D4309F">
        <w:rPr>
          <w:spacing w:val="-3"/>
        </w:rPr>
        <w:t xml:space="preserve"> </w:t>
      </w:r>
      <w:r w:rsidRPr="00D4309F">
        <w:t>maintain</w:t>
      </w:r>
      <w:r w:rsidRPr="00D4309F">
        <w:rPr>
          <w:spacing w:val="-3"/>
        </w:rPr>
        <w:t xml:space="preserve"> </w:t>
      </w:r>
      <w:r w:rsidRPr="00D4309F">
        <w:t>sediment</w:t>
      </w:r>
      <w:r w:rsidRPr="00D4309F">
        <w:rPr>
          <w:spacing w:val="-3"/>
        </w:rPr>
        <w:t xml:space="preserve"> </w:t>
      </w:r>
      <w:r w:rsidRPr="00D4309F">
        <w:t>balance</w:t>
      </w:r>
      <w:r w:rsidRPr="00D4309F">
        <w:rPr>
          <w:spacing w:val="-3"/>
        </w:rPr>
        <w:t xml:space="preserve"> </w:t>
      </w:r>
      <w:r w:rsidRPr="00D4309F">
        <w:t>while</w:t>
      </w:r>
      <w:r w:rsidRPr="00D4309F">
        <w:rPr>
          <w:spacing w:val="-3"/>
        </w:rPr>
        <w:t xml:space="preserve"> </w:t>
      </w:r>
      <w:r w:rsidRPr="00D4309F">
        <w:t>preventing</w:t>
      </w:r>
      <w:r w:rsidRPr="00D4309F">
        <w:rPr>
          <w:spacing w:val="-3"/>
        </w:rPr>
        <w:t xml:space="preserve"> </w:t>
      </w:r>
      <w:r w:rsidRPr="00D4309F">
        <w:t>sand accumulation within the entrance channel.</w:t>
      </w:r>
    </w:p>
    <w:p w14:paraId="202CFF1A" w14:textId="77777777" w:rsidR="00725977" w:rsidRPr="00D4309F" w:rsidRDefault="00725977" w:rsidP="0053392F">
      <w:pPr>
        <w:pStyle w:val="ListBullet"/>
      </w:pPr>
      <w:r w:rsidRPr="00D4309F">
        <w:t>Reduce</w:t>
      </w:r>
      <w:r w:rsidRPr="00D4309F">
        <w:rPr>
          <w:spacing w:val="-3"/>
        </w:rPr>
        <w:t xml:space="preserve"> </w:t>
      </w:r>
      <w:r w:rsidRPr="00D4309F">
        <w:t>reliance</w:t>
      </w:r>
      <w:r w:rsidRPr="00D4309F">
        <w:rPr>
          <w:spacing w:val="-3"/>
        </w:rPr>
        <w:t xml:space="preserve"> </w:t>
      </w:r>
      <w:r w:rsidRPr="00D4309F">
        <w:t>on</w:t>
      </w:r>
      <w:r w:rsidRPr="00D4309F">
        <w:rPr>
          <w:spacing w:val="-3"/>
        </w:rPr>
        <w:t xml:space="preserve"> </w:t>
      </w:r>
      <w:r w:rsidRPr="00D4309F">
        <w:t>the</w:t>
      </w:r>
      <w:r w:rsidRPr="00D4309F">
        <w:rPr>
          <w:spacing w:val="-3"/>
        </w:rPr>
        <w:t xml:space="preserve"> </w:t>
      </w:r>
      <w:r w:rsidRPr="00D4309F">
        <w:t>current</w:t>
      </w:r>
      <w:r w:rsidRPr="00D4309F">
        <w:rPr>
          <w:spacing w:val="-3"/>
        </w:rPr>
        <w:t xml:space="preserve"> </w:t>
      </w:r>
      <w:r w:rsidRPr="00D4309F">
        <w:t>ongoing</w:t>
      </w:r>
      <w:r w:rsidRPr="00D4309F">
        <w:rPr>
          <w:spacing w:val="-4"/>
        </w:rPr>
        <w:t xml:space="preserve"> </w:t>
      </w:r>
      <w:r w:rsidRPr="00D4309F">
        <w:t>maintenance</w:t>
      </w:r>
      <w:r w:rsidRPr="00D4309F">
        <w:rPr>
          <w:spacing w:val="-4"/>
        </w:rPr>
        <w:t xml:space="preserve"> </w:t>
      </w:r>
      <w:r w:rsidRPr="00D4309F">
        <w:t>dredging,</w:t>
      </w:r>
      <w:r w:rsidRPr="00D4309F">
        <w:rPr>
          <w:spacing w:val="-3"/>
        </w:rPr>
        <w:t xml:space="preserve"> </w:t>
      </w:r>
      <w:r w:rsidRPr="00D4309F">
        <w:t>which</w:t>
      </w:r>
      <w:r w:rsidRPr="00D4309F">
        <w:rPr>
          <w:spacing w:val="-3"/>
        </w:rPr>
        <w:t xml:space="preserve"> </w:t>
      </w:r>
      <w:r w:rsidRPr="00D4309F">
        <w:t>is</w:t>
      </w:r>
      <w:r w:rsidRPr="00D4309F">
        <w:rPr>
          <w:spacing w:val="-2"/>
        </w:rPr>
        <w:t xml:space="preserve"> </w:t>
      </w:r>
      <w:r w:rsidRPr="00D4309F">
        <w:t>disruptive</w:t>
      </w:r>
      <w:r w:rsidRPr="00D4309F">
        <w:rPr>
          <w:spacing w:val="-3"/>
        </w:rPr>
        <w:t xml:space="preserve"> </w:t>
      </w:r>
      <w:r w:rsidRPr="00D4309F">
        <w:t>to</w:t>
      </w:r>
      <w:r w:rsidRPr="00D4309F">
        <w:rPr>
          <w:spacing w:val="-3"/>
        </w:rPr>
        <w:t xml:space="preserve"> </w:t>
      </w:r>
      <w:r w:rsidRPr="00D4309F">
        <w:t>navigation,</w:t>
      </w:r>
      <w:r w:rsidRPr="00D4309F">
        <w:rPr>
          <w:spacing w:val="-3"/>
        </w:rPr>
        <w:t xml:space="preserve"> </w:t>
      </w:r>
      <w:r w:rsidRPr="00D4309F">
        <w:t>and operationally constrained by weather and sea conditions.</w:t>
      </w:r>
    </w:p>
    <w:p w14:paraId="7943449C" w14:textId="77777777" w:rsidR="00725977" w:rsidRPr="00D4309F" w:rsidRDefault="00725977" w:rsidP="0053392F">
      <w:pPr>
        <w:pStyle w:val="ListBullet"/>
      </w:pPr>
      <w:r w:rsidRPr="00D4309F">
        <w:t>Develop</w:t>
      </w:r>
      <w:r w:rsidRPr="00D4309F">
        <w:rPr>
          <w:spacing w:val="-3"/>
        </w:rPr>
        <w:t xml:space="preserve"> </w:t>
      </w:r>
      <w:r w:rsidRPr="00D4309F">
        <w:t>a</w:t>
      </w:r>
      <w:r w:rsidRPr="00D4309F">
        <w:rPr>
          <w:spacing w:val="-3"/>
        </w:rPr>
        <w:t xml:space="preserve"> </w:t>
      </w:r>
      <w:r w:rsidRPr="00D4309F">
        <w:t>sustainable,</w:t>
      </w:r>
      <w:r w:rsidRPr="00D4309F">
        <w:rPr>
          <w:spacing w:val="-3"/>
        </w:rPr>
        <w:t xml:space="preserve"> </w:t>
      </w:r>
      <w:r w:rsidRPr="00D4309F">
        <w:t>long-term</w:t>
      </w:r>
      <w:r w:rsidRPr="00D4309F">
        <w:rPr>
          <w:spacing w:val="-4"/>
        </w:rPr>
        <w:t xml:space="preserve"> </w:t>
      </w:r>
      <w:r w:rsidRPr="00D4309F">
        <w:t>sediment</w:t>
      </w:r>
      <w:r w:rsidRPr="00D4309F">
        <w:rPr>
          <w:spacing w:val="-3"/>
        </w:rPr>
        <w:t xml:space="preserve"> </w:t>
      </w:r>
      <w:r w:rsidRPr="00D4309F">
        <w:t>management</w:t>
      </w:r>
      <w:r w:rsidRPr="00D4309F">
        <w:rPr>
          <w:spacing w:val="-3"/>
        </w:rPr>
        <w:t xml:space="preserve"> </w:t>
      </w:r>
      <w:r w:rsidRPr="00D4309F">
        <w:t>mechanism</w:t>
      </w:r>
      <w:r w:rsidRPr="00D4309F">
        <w:rPr>
          <w:spacing w:val="-3"/>
        </w:rPr>
        <w:t xml:space="preserve"> </w:t>
      </w:r>
      <w:r w:rsidRPr="00D4309F">
        <w:t>that</w:t>
      </w:r>
      <w:r w:rsidRPr="00D4309F">
        <w:rPr>
          <w:spacing w:val="-3"/>
        </w:rPr>
        <w:t xml:space="preserve"> </w:t>
      </w:r>
      <w:r w:rsidRPr="00D4309F">
        <w:t>maintains</w:t>
      </w:r>
      <w:r w:rsidRPr="00D4309F">
        <w:rPr>
          <w:spacing w:val="-3"/>
        </w:rPr>
        <w:t xml:space="preserve"> </w:t>
      </w:r>
      <w:r w:rsidRPr="00D4309F">
        <w:t>a</w:t>
      </w:r>
      <w:r w:rsidRPr="00D4309F">
        <w:rPr>
          <w:spacing w:val="-3"/>
        </w:rPr>
        <w:t xml:space="preserve"> </w:t>
      </w:r>
      <w:r w:rsidRPr="00D4309F">
        <w:t>clear</w:t>
      </w:r>
      <w:r w:rsidRPr="00D4309F">
        <w:rPr>
          <w:spacing w:val="-3"/>
        </w:rPr>
        <w:t xml:space="preserve"> </w:t>
      </w:r>
      <w:r w:rsidRPr="00D4309F">
        <w:t>navigational channel under all tidal and seasonal conditions.</w:t>
      </w:r>
    </w:p>
    <w:p w14:paraId="24AC0F68" w14:textId="77777777" w:rsidR="00725977" w:rsidRPr="00D4309F" w:rsidRDefault="00725977" w:rsidP="0053392F">
      <w:pPr>
        <w:pStyle w:val="ListBullet"/>
      </w:pPr>
      <w:r w:rsidRPr="00D4309F">
        <w:t>Minimise</w:t>
      </w:r>
      <w:r w:rsidRPr="00D4309F">
        <w:rPr>
          <w:spacing w:val="-7"/>
        </w:rPr>
        <w:t xml:space="preserve"> </w:t>
      </w:r>
      <w:r w:rsidRPr="00D4309F">
        <w:t>environmental</w:t>
      </w:r>
      <w:r w:rsidRPr="00D4309F">
        <w:rPr>
          <w:spacing w:val="-5"/>
        </w:rPr>
        <w:t xml:space="preserve"> </w:t>
      </w:r>
      <w:r w:rsidRPr="00D4309F">
        <w:t>impacts</w:t>
      </w:r>
      <w:r w:rsidRPr="00D4309F">
        <w:rPr>
          <w:spacing w:val="-4"/>
        </w:rPr>
        <w:t xml:space="preserve"> </w:t>
      </w:r>
      <w:r w:rsidRPr="00D4309F">
        <w:t>on</w:t>
      </w:r>
      <w:r w:rsidRPr="00D4309F">
        <w:rPr>
          <w:spacing w:val="-5"/>
        </w:rPr>
        <w:t xml:space="preserve"> </w:t>
      </w:r>
      <w:r w:rsidRPr="00D4309F">
        <w:t>coastal</w:t>
      </w:r>
      <w:r w:rsidRPr="00D4309F">
        <w:rPr>
          <w:spacing w:val="-5"/>
        </w:rPr>
        <w:t xml:space="preserve"> </w:t>
      </w:r>
      <w:r w:rsidRPr="00D4309F">
        <w:t>and</w:t>
      </w:r>
      <w:r w:rsidRPr="00D4309F">
        <w:rPr>
          <w:spacing w:val="-5"/>
        </w:rPr>
        <w:t xml:space="preserve"> </w:t>
      </w:r>
      <w:r w:rsidRPr="00D4309F">
        <w:t>marine</w:t>
      </w:r>
      <w:r w:rsidRPr="00D4309F">
        <w:rPr>
          <w:spacing w:val="-4"/>
        </w:rPr>
        <w:t xml:space="preserve"> </w:t>
      </w:r>
      <w:r w:rsidRPr="00D4309F">
        <w:rPr>
          <w:spacing w:val="-2"/>
        </w:rPr>
        <w:t>habitats.</w:t>
      </w:r>
    </w:p>
    <w:p w14:paraId="77D7D0A2" w14:textId="77777777" w:rsidR="00725977" w:rsidRPr="00D4309F" w:rsidRDefault="00725977" w:rsidP="0053392F">
      <w:pPr>
        <w:pStyle w:val="ListBullet"/>
      </w:pPr>
      <w:r w:rsidRPr="00D4309F">
        <w:t>Ensure</w:t>
      </w:r>
      <w:r w:rsidRPr="00D4309F">
        <w:rPr>
          <w:spacing w:val="-7"/>
        </w:rPr>
        <w:t xml:space="preserve"> </w:t>
      </w:r>
      <w:r w:rsidRPr="00D4309F">
        <w:t>cost-effectiveness</w:t>
      </w:r>
      <w:r w:rsidRPr="00D4309F">
        <w:rPr>
          <w:spacing w:val="-5"/>
        </w:rPr>
        <w:t xml:space="preserve"> </w:t>
      </w:r>
      <w:r w:rsidRPr="00D4309F">
        <w:t>in</w:t>
      </w:r>
      <w:r w:rsidRPr="00D4309F">
        <w:rPr>
          <w:spacing w:val="-4"/>
        </w:rPr>
        <w:t xml:space="preserve"> </w:t>
      </w:r>
      <w:r w:rsidRPr="00D4309F">
        <w:t>both</w:t>
      </w:r>
      <w:r w:rsidRPr="00D4309F">
        <w:rPr>
          <w:spacing w:val="-5"/>
        </w:rPr>
        <w:t xml:space="preserve"> </w:t>
      </w:r>
      <w:r w:rsidRPr="00D4309F">
        <w:t>capital</w:t>
      </w:r>
      <w:r w:rsidRPr="00D4309F">
        <w:rPr>
          <w:spacing w:val="-4"/>
        </w:rPr>
        <w:t xml:space="preserve"> </w:t>
      </w:r>
      <w:r w:rsidRPr="00D4309F">
        <w:t>investment</w:t>
      </w:r>
      <w:r w:rsidRPr="00D4309F">
        <w:rPr>
          <w:spacing w:val="-5"/>
        </w:rPr>
        <w:t xml:space="preserve"> </w:t>
      </w:r>
      <w:r w:rsidRPr="00D4309F">
        <w:t>and</w:t>
      </w:r>
      <w:r w:rsidRPr="00D4309F">
        <w:rPr>
          <w:spacing w:val="-4"/>
        </w:rPr>
        <w:t xml:space="preserve"> </w:t>
      </w:r>
      <w:r w:rsidRPr="00D4309F">
        <w:t>ongoing</w:t>
      </w:r>
      <w:r w:rsidRPr="00D4309F">
        <w:rPr>
          <w:spacing w:val="-6"/>
        </w:rPr>
        <w:t xml:space="preserve"> </w:t>
      </w:r>
      <w:r w:rsidRPr="00D4309F">
        <w:t>operation</w:t>
      </w:r>
      <w:r w:rsidRPr="00D4309F">
        <w:rPr>
          <w:spacing w:val="-4"/>
        </w:rPr>
        <w:t xml:space="preserve"> </w:t>
      </w:r>
      <w:r w:rsidRPr="00D4309F">
        <w:t>and</w:t>
      </w:r>
      <w:r w:rsidRPr="00D4309F">
        <w:rPr>
          <w:spacing w:val="-5"/>
        </w:rPr>
        <w:t xml:space="preserve"> </w:t>
      </w:r>
      <w:r w:rsidRPr="00D4309F">
        <w:rPr>
          <w:spacing w:val="-2"/>
        </w:rPr>
        <w:t>maintenance.</w:t>
      </w:r>
    </w:p>
    <w:p w14:paraId="32CA9A8E" w14:textId="75A5B509" w:rsidR="00FE6959" w:rsidRPr="00D4309F" w:rsidRDefault="00725977" w:rsidP="00FE6959">
      <w:pPr>
        <w:pStyle w:val="ListBullet"/>
      </w:pPr>
      <w:r w:rsidRPr="00D4309F">
        <w:t>Achieve</w:t>
      </w:r>
      <w:r w:rsidRPr="00D4309F">
        <w:rPr>
          <w:spacing w:val="-4"/>
        </w:rPr>
        <w:t xml:space="preserve"> </w:t>
      </w:r>
      <w:r w:rsidRPr="00D4309F">
        <w:t>social</w:t>
      </w:r>
      <w:r w:rsidRPr="00D4309F">
        <w:rPr>
          <w:spacing w:val="-4"/>
        </w:rPr>
        <w:t xml:space="preserve"> </w:t>
      </w:r>
      <w:r w:rsidRPr="00D4309F">
        <w:t>acceptance</w:t>
      </w:r>
      <w:r w:rsidRPr="00D4309F">
        <w:rPr>
          <w:spacing w:val="-4"/>
        </w:rPr>
        <w:t xml:space="preserve"> </w:t>
      </w:r>
      <w:r w:rsidRPr="00D4309F">
        <w:t>by</w:t>
      </w:r>
      <w:r w:rsidRPr="00D4309F">
        <w:rPr>
          <w:spacing w:val="-3"/>
        </w:rPr>
        <w:t xml:space="preserve"> </w:t>
      </w:r>
      <w:r w:rsidRPr="00D4309F">
        <w:t>supporting</w:t>
      </w:r>
      <w:r w:rsidRPr="00D4309F">
        <w:rPr>
          <w:spacing w:val="-4"/>
        </w:rPr>
        <w:t xml:space="preserve"> </w:t>
      </w:r>
      <w:r w:rsidRPr="00D4309F">
        <w:t>harbour</w:t>
      </w:r>
      <w:r w:rsidRPr="00D4309F">
        <w:rPr>
          <w:spacing w:val="-3"/>
        </w:rPr>
        <w:t xml:space="preserve"> </w:t>
      </w:r>
      <w:r w:rsidRPr="00D4309F">
        <w:t>usability,</w:t>
      </w:r>
      <w:r w:rsidRPr="00D4309F">
        <w:rPr>
          <w:spacing w:val="-4"/>
        </w:rPr>
        <w:t xml:space="preserve"> </w:t>
      </w:r>
      <w:r w:rsidRPr="00D4309F">
        <w:t>recreational</w:t>
      </w:r>
      <w:r w:rsidRPr="00D4309F">
        <w:rPr>
          <w:spacing w:val="-4"/>
        </w:rPr>
        <w:t xml:space="preserve"> </w:t>
      </w:r>
      <w:r w:rsidRPr="00D4309F">
        <w:t>values,</w:t>
      </w:r>
      <w:r w:rsidRPr="00D4309F">
        <w:rPr>
          <w:spacing w:val="-4"/>
        </w:rPr>
        <w:t xml:space="preserve"> </w:t>
      </w:r>
      <w:r w:rsidRPr="00D4309F">
        <w:t>and</w:t>
      </w:r>
      <w:r w:rsidRPr="00D4309F">
        <w:rPr>
          <w:spacing w:val="-4"/>
        </w:rPr>
        <w:t xml:space="preserve"> </w:t>
      </w:r>
      <w:r w:rsidRPr="00D4309F">
        <w:t xml:space="preserve">community </w:t>
      </w:r>
      <w:r w:rsidRPr="00D4309F">
        <w:rPr>
          <w:spacing w:val="-2"/>
        </w:rPr>
        <w:t>expectations.</w:t>
      </w:r>
    </w:p>
    <w:p w14:paraId="7BF86FC8" w14:textId="77777777" w:rsidR="00725977" w:rsidRPr="00D4309F" w:rsidRDefault="00725977" w:rsidP="0016610C">
      <w:pPr>
        <w:pStyle w:val="Heading2"/>
      </w:pPr>
      <w:bookmarkStart w:id="183" w:name="_bookmark79"/>
      <w:bookmarkStart w:id="184" w:name="_Toc216699356"/>
      <w:bookmarkEnd w:id="183"/>
      <w:r w:rsidRPr="00D4309F">
        <w:lastRenderedPageBreak/>
        <w:t>Objectives</w:t>
      </w:r>
      <w:r w:rsidRPr="00D4309F">
        <w:rPr>
          <w:spacing w:val="-10"/>
        </w:rPr>
        <w:t xml:space="preserve"> </w:t>
      </w:r>
      <w:r w:rsidRPr="00D4309F">
        <w:t>and</w:t>
      </w:r>
      <w:r w:rsidRPr="00D4309F">
        <w:rPr>
          <w:spacing w:val="-11"/>
        </w:rPr>
        <w:t xml:space="preserve"> </w:t>
      </w:r>
      <w:r w:rsidRPr="00D4309F">
        <w:t>limitations</w:t>
      </w:r>
      <w:r w:rsidRPr="00D4309F">
        <w:rPr>
          <w:spacing w:val="-10"/>
        </w:rPr>
        <w:t xml:space="preserve"> </w:t>
      </w:r>
      <w:r w:rsidRPr="00D4309F">
        <w:t>of</w:t>
      </w:r>
      <w:r w:rsidRPr="00D4309F">
        <w:rPr>
          <w:spacing w:val="-9"/>
        </w:rPr>
        <w:t xml:space="preserve"> </w:t>
      </w:r>
      <w:r w:rsidRPr="00D4309F">
        <w:t>this</w:t>
      </w:r>
      <w:r w:rsidRPr="00D4309F">
        <w:rPr>
          <w:spacing w:val="-11"/>
        </w:rPr>
        <w:t xml:space="preserve"> </w:t>
      </w:r>
      <w:r w:rsidRPr="00D4309F">
        <w:t>expert</w:t>
      </w:r>
      <w:r w:rsidRPr="00D4309F">
        <w:rPr>
          <w:spacing w:val="-10"/>
        </w:rPr>
        <w:t xml:space="preserve"> </w:t>
      </w:r>
      <w:r w:rsidRPr="00D4309F">
        <w:rPr>
          <w:spacing w:val="-2"/>
        </w:rPr>
        <w:t>review</w:t>
      </w:r>
      <w:bookmarkEnd w:id="184"/>
    </w:p>
    <w:p w14:paraId="60AE4E4E" w14:textId="77777777" w:rsidR="00725977" w:rsidRDefault="00725977" w:rsidP="00725977">
      <w:pPr>
        <w:pStyle w:val="BodyText"/>
      </w:pPr>
      <w:r w:rsidRPr="00D4309F">
        <w:t>This</w:t>
      </w:r>
      <w:r w:rsidRPr="00D4309F">
        <w:rPr>
          <w:spacing w:val="-2"/>
        </w:rPr>
        <w:t xml:space="preserve"> </w:t>
      </w:r>
      <w:r w:rsidRPr="00D4309F">
        <w:t>expert</w:t>
      </w:r>
      <w:r w:rsidRPr="00D4309F">
        <w:rPr>
          <w:spacing w:val="-3"/>
        </w:rPr>
        <w:t xml:space="preserve"> </w:t>
      </w:r>
      <w:r w:rsidRPr="00D4309F">
        <w:t>review</w:t>
      </w:r>
      <w:r w:rsidRPr="00D4309F">
        <w:rPr>
          <w:spacing w:val="-2"/>
        </w:rPr>
        <w:t xml:space="preserve"> </w:t>
      </w:r>
      <w:r w:rsidRPr="00D4309F">
        <w:t>has</w:t>
      </w:r>
      <w:r w:rsidRPr="00D4309F">
        <w:rPr>
          <w:spacing w:val="-2"/>
        </w:rPr>
        <w:t xml:space="preserve"> </w:t>
      </w:r>
      <w:r w:rsidRPr="00D4309F">
        <w:t>been</w:t>
      </w:r>
      <w:r w:rsidRPr="00D4309F">
        <w:rPr>
          <w:spacing w:val="-3"/>
        </w:rPr>
        <w:t xml:space="preserve"> </w:t>
      </w:r>
      <w:r w:rsidRPr="00D4309F">
        <w:t>undertaken</w:t>
      </w:r>
      <w:r w:rsidRPr="00D4309F">
        <w:rPr>
          <w:spacing w:val="-4"/>
        </w:rPr>
        <w:t xml:space="preserve"> </w:t>
      </w:r>
      <w:r w:rsidRPr="00D4309F">
        <w:t>to</w:t>
      </w:r>
      <w:r w:rsidRPr="00D4309F">
        <w:rPr>
          <w:spacing w:val="-3"/>
        </w:rPr>
        <w:t xml:space="preserve"> </w:t>
      </w:r>
      <w:r w:rsidRPr="00D4309F">
        <w:t>provide</w:t>
      </w:r>
      <w:r w:rsidRPr="00D4309F">
        <w:rPr>
          <w:spacing w:val="-3"/>
        </w:rPr>
        <w:t xml:space="preserve"> </w:t>
      </w:r>
      <w:r w:rsidRPr="00D4309F">
        <w:t>a</w:t>
      </w:r>
      <w:r w:rsidRPr="00D4309F">
        <w:rPr>
          <w:spacing w:val="-3"/>
        </w:rPr>
        <w:t xml:space="preserve"> </w:t>
      </w:r>
      <w:r w:rsidRPr="00D4309F">
        <w:t>high-level,</w:t>
      </w:r>
      <w:r w:rsidRPr="00D4309F">
        <w:rPr>
          <w:spacing w:val="-3"/>
        </w:rPr>
        <w:t xml:space="preserve"> </w:t>
      </w:r>
      <w:r w:rsidRPr="00D4309F">
        <w:t>conceptual</w:t>
      </w:r>
      <w:r w:rsidRPr="00D4309F">
        <w:rPr>
          <w:spacing w:val="-3"/>
        </w:rPr>
        <w:t xml:space="preserve"> </w:t>
      </w:r>
      <w:r w:rsidRPr="00D4309F">
        <w:t>assessment</w:t>
      </w:r>
      <w:r w:rsidRPr="00D4309F">
        <w:rPr>
          <w:spacing w:val="-3"/>
        </w:rPr>
        <w:t xml:space="preserve"> </w:t>
      </w:r>
      <w:r w:rsidRPr="00D4309F">
        <w:t>of</w:t>
      </w:r>
      <w:r w:rsidRPr="00D4309F">
        <w:rPr>
          <w:spacing w:val="-3"/>
        </w:rPr>
        <w:t xml:space="preserve"> </w:t>
      </w:r>
      <w:r w:rsidRPr="00D4309F">
        <w:t>potential</w:t>
      </w:r>
      <w:r w:rsidRPr="00D4309F">
        <w:rPr>
          <w:spacing w:val="-3"/>
        </w:rPr>
        <w:t xml:space="preserve"> </w:t>
      </w:r>
      <w:r w:rsidRPr="00D4309F">
        <w:t>long-term solutions for managing sediment accumulation at the Mooloolaba Boat Harbour entrance. As noted, there are two primary areas of consideration in the coastal system:</w:t>
      </w:r>
    </w:p>
    <w:p w14:paraId="6274C34F" w14:textId="77777777" w:rsidR="00725977" w:rsidRPr="00D4309F" w:rsidRDefault="00725977" w:rsidP="000D5B19">
      <w:pPr>
        <w:pStyle w:val="ListBullet"/>
      </w:pPr>
      <w:r w:rsidRPr="00D4309F">
        <w:t>Area</w:t>
      </w:r>
      <w:r w:rsidRPr="00D4309F">
        <w:rPr>
          <w:spacing w:val="-2"/>
        </w:rPr>
        <w:t xml:space="preserve"> </w:t>
      </w:r>
      <w:r w:rsidRPr="00D4309F">
        <w:t>A</w:t>
      </w:r>
      <w:r w:rsidRPr="00D4309F">
        <w:rPr>
          <w:spacing w:val="-2"/>
        </w:rPr>
        <w:t xml:space="preserve"> </w:t>
      </w:r>
      <w:r w:rsidRPr="00D4309F">
        <w:t>–</w:t>
      </w:r>
      <w:r w:rsidRPr="00D4309F">
        <w:rPr>
          <w:spacing w:val="-2"/>
        </w:rPr>
        <w:t xml:space="preserve"> </w:t>
      </w:r>
      <w:r w:rsidRPr="00D4309F">
        <w:t>located</w:t>
      </w:r>
      <w:r w:rsidRPr="00D4309F">
        <w:rPr>
          <w:spacing w:val="-2"/>
        </w:rPr>
        <w:t xml:space="preserve"> </w:t>
      </w:r>
      <w:r w:rsidRPr="00D4309F">
        <w:t>to</w:t>
      </w:r>
      <w:r w:rsidRPr="00D4309F">
        <w:rPr>
          <w:spacing w:val="-2"/>
        </w:rPr>
        <w:t xml:space="preserve"> </w:t>
      </w:r>
      <w:r w:rsidRPr="00D4309F">
        <w:t>the</w:t>
      </w:r>
      <w:r w:rsidRPr="00D4309F">
        <w:rPr>
          <w:spacing w:val="-2"/>
        </w:rPr>
        <w:t xml:space="preserve"> </w:t>
      </w:r>
      <w:r w:rsidRPr="00D4309F">
        <w:t>east</w:t>
      </w:r>
      <w:r w:rsidRPr="00D4309F">
        <w:rPr>
          <w:spacing w:val="-2"/>
        </w:rPr>
        <w:t xml:space="preserve"> </w:t>
      </w:r>
      <w:r w:rsidRPr="00D4309F">
        <w:t>of</w:t>
      </w:r>
      <w:r w:rsidRPr="00D4309F">
        <w:rPr>
          <w:spacing w:val="-2"/>
        </w:rPr>
        <w:t xml:space="preserve"> </w:t>
      </w:r>
      <w:r w:rsidRPr="00D4309F">
        <w:t>the</w:t>
      </w:r>
      <w:r w:rsidRPr="00D4309F">
        <w:rPr>
          <w:spacing w:val="-2"/>
        </w:rPr>
        <w:t xml:space="preserve"> </w:t>
      </w:r>
      <w:r w:rsidRPr="00D4309F">
        <w:t>entrance,</w:t>
      </w:r>
      <w:r w:rsidRPr="00D4309F">
        <w:rPr>
          <w:spacing w:val="-2"/>
        </w:rPr>
        <w:t xml:space="preserve"> </w:t>
      </w:r>
      <w:r w:rsidRPr="00D4309F">
        <w:t>where</w:t>
      </w:r>
      <w:r w:rsidRPr="00D4309F">
        <w:rPr>
          <w:spacing w:val="-2"/>
        </w:rPr>
        <w:t xml:space="preserve"> </w:t>
      </w:r>
      <w:r w:rsidRPr="00D4309F">
        <w:t>sand</w:t>
      </w:r>
      <w:r w:rsidRPr="00D4309F">
        <w:rPr>
          <w:spacing w:val="-2"/>
        </w:rPr>
        <w:t xml:space="preserve"> </w:t>
      </w:r>
      <w:r w:rsidRPr="00D4309F">
        <w:t>naturally</w:t>
      </w:r>
      <w:r w:rsidRPr="00D4309F">
        <w:rPr>
          <w:spacing w:val="-1"/>
        </w:rPr>
        <w:t xml:space="preserve"> </w:t>
      </w:r>
      <w:r w:rsidRPr="00D4309F">
        <w:t>accumulates</w:t>
      </w:r>
      <w:r w:rsidRPr="00D4309F">
        <w:rPr>
          <w:spacing w:val="-2"/>
        </w:rPr>
        <w:t xml:space="preserve"> </w:t>
      </w:r>
      <w:r w:rsidRPr="00D4309F">
        <w:t>due</w:t>
      </w:r>
      <w:r w:rsidRPr="00D4309F">
        <w:rPr>
          <w:spacing w:val="-2"/>
        </w:rPr>
        <w:t xml:space="preserve"> </w:t>
      </w:r>
      <w:r w:rsidRPr="00D4309F">
        <w:t>to</w:t>
      </w:r>
      <w:r w:rsidRPr="00D4309F">
        <w:rPr>
          <w:spacing w:val="-2"/>
        </w:rPr>
        <w:t xml:space="preserve"> </w:t>
      </w:r>
      <w:r w:rsidRPr="00D4309F">
        <w:t>littoral</w:t>
      </w:r>
      <w:r w:rsidRPr="00D4309F">
        <w:rPr>
          <w:spacing w:val="-2"/>
        </w:rPr>
        <w:t xml:space="preserve"> </w:t>
      </w:r>
      <w:r w:rsidRPr="00D4309F">
        <w:t>transport and wave-driven processes.</w:t>
      </w:r>
    </w:p>
    <w:p w14:paraId="3475A79C" w14:textId="77777777" w:rsidR="00725977" w:rsidRPr="00D4309F" w:rsidRDefault="00725977" w:rsidP="000D5B19">
      <w:pPr>
        <w:pStyle w:val="ListBullet"/>
      </w:pPr>
      <w:r w:rsidRPr="00D4309F">
        <w:t>Area</w:t>
      </w:r>
      <w:r w:rsidRPr="00D4309F">
        <w:rPr>
          <w:spacing w:val="-2"/>
        </w:rPr>
        <w:t xml:space="preserve"> </w:t>
      </w:r>
      <w:r w:rsidRPr="00D4309F">
        <w:t>B</w:t>
      </w:r>
      <w:r w:rsidRPr="00D4309F">
        <w:rPr>
          <w:spacing w:val="-2"/>
        </w:rPr>
        <w:t xml:space="preserve"> </w:t>
      </w:r>
      <w:r w:rsidRPr="00D4309F">
        <w:t>–</w:t>
      </w:r>
      <w:r w:rsidRPr="00D4309F">
        <w:rPr>
          <w:spacing w:val="-2"/>
        </w:rPr>
        <w:t xml:space="preserve"> </w:t>
      </w:r>
      <w:r w:rsidRPr="00D4309F">
        <w:t>located</w:t>
      </w:r>
      <w:r w:rsidRPr="00D4309F">
        <w:rPr>
          <w:spacing w:val="-2"/>
        </w:rPr>
        <w:t xml:space="preserve"> </w:t>
      </w:r>
      <w:r w:rsidRPr="00D4309F">
        <w:t>to</w:t>
      </w:r>
      <w:r w:rsidRPr="00D4309F">
        <w:rPr>
          <w:spacing w:val="-2"/>
        </w:rPr>
        <w:t xml:space="preserve"> </w:t>
      </w:r>
      <w:r w:rsidRPr="00D4309F">
        <w:t>the</w:t>
      </w:r>
      <w:r w:rsidRPr="00D4309F">
        <w:rPr>
          <w:spacing w:val="-2"/>
        </w:rPr>
        <w:t xml:space="preserve"> </w:t>
      </w:r>
      <w:r w:rsidRPr="00D4309F">
        <w:t>west</w:t>
      </w:r>
      <w:r w:rsidRPr="00D4309F">
        <w:rPr>
          <w:spacing w:val="-2"/>
        </w:rPr>
        <w:t xml:space="preserve"> </w:t>
      </w:r>
      <w:r w:rsidRPr="00D4309F">
        <w:t>of</w:t>
      </w:r>
      <w:r w:rsidRPr="00D4309F">
        <w:rPr>
          <w:spacing w:val="-2"/>
        </w:rPr>
        <w:t xml:space="preserve"> </w:t>
      </w:r>
      <w:r w:rsidRPr="00D4309F">
        <w:t>the</w:t>
      </w:r>
      <w:r w:rsidRPr="00D4309F">
        <w:rPr>
          <w:spacing w:val="-2"/>
        </w:rPr>
        <w:t xml:space="preserve"> </w:t>
      </w:r>
      <w:r w:rsidRPr="00D4309F">
        <w:t>entrance,</w:t>
      </w:r>
      <w:r w:rsidRPr="00D4309F">
        <w:rPr>
          <w:spacing w:val="-2"/>
        </w:rPr>
        <w:t xml:space="preserve"> </w:t>
      </w:r>
      <w:r w:rsidRPr="00D4309F">
        <w:t>where</w:t>
      </w:r>
      <w:r w:rsidRPr="00D4309F">
        <w:rPr>
          <w:spacing w:val="-2"/>
        </w:rPr>
        <w:t xml:space="preserve"> </w:t>
      </w:r>
      <w:r w:rsidRPr="00D4309F">
        <w:t>sand</w:t>
      </w:r>
      <w:r w:rsidRPr="00D4309F">
        <w:rPr>
          <w:spacing w:val="-2"/>
        </w:rPr>
        <w:t xml:space="preserve"> </w:t>
      </w:r>
      <w:r w:rsidRPr="00D4309F">
        <w:t>would</w:t>
      </w:r>
      <w:r w:rsidRPr="00D4309F">
        <w:rPr>
          <w:spacing w:val="-2"/>
        </w:rPr>
        <w:t xml:space="preserve"> </w:t>
      </w:r>
      <w:r w:rsidRPr="00D4309F">
        <w:t>naturally</w:t>
      </w:r>
      <w:r w:rsidRPr="00D4309F">
        <w:rPr>
          <w:spacing w:val="-1"/>
        </w:rPr>
        <w:t xml:space="preserve"> </w:t>
      </w:r>
      <w:r w:rsidRPr="00D4309F">
        <w:t>deposit</w:t>
      </w:r>
      <w:r w:rsidRPr="00D4309F">
        <w:rPr>
          <w:spacing w:val="-2"/>
        </w:rPr>
        <w:t xml:space="preserve"> </w:t>
      </w:r>
      <w:r w:rsidRPr="00D4309F">
        <w:t>if</w:t>
      </w:r>
      <w:r w:rsidRPr="00D4309F">
        <w:rPr>
          <w:spacing w:val="-2"/>
        </w:rPr>
        <w:t xml:space="preserve"> </w:t>
      </w:r>
      <w:r w:rsidRPr="00D4309F">
        <w:t>uninterrupted</w:t>
      </w:r>
      <w:r w:rsidRPr="00D4309F">
        <w:rPr>
          <w:spacing w:val="-2"/>
        </w:rPr>
        <w:t xml:space="preserve"> </w:t>
      </w:r>
      <w:r w:rsidRPr="00D4309F">
        <w:t>by</w:t>
      </w:r>
      <w:r w:rsidRPr="00D4309F">
        <w:rPr>
          <w:spacing w:val="-1"/>
        </w:rPr>
        <w:t xml:space="preserve"> </w:t>
      </w:r>
      <w:r w:rsidRPr="00D4309F">
        <w:t>the existing entrance and training wall structures.</w:t>
      </w:r>
    </w:p>
    <w:p w14:paraId="20ABD375" w14:textId="77777777" w:rsidR="00725977" w:rsidRPr="00D4309F" w:rsidRDefault="00725977" w:rsidP="00725977">
      <w:pPr>
        <w:pStyle w:val="BodyText"/>
      </w:pPr>
      <w:r w:rsidRPr="00D4309F">
        <w:t>The focus of this review is primarily on Area A, investigating how and where accumulated sand can be collected and</w:t>
      </w:r>
      <w:r w:rsidRPr="00D4309F">
        <w:rPr>
          <w:spacing w:val="-1"/>
        </w:rPr>
        <w:t xml:space="preserve"> </w:t>
      </w:r>
      <w:r w:rsidRPr="00D4309F">
        <w:t>moved to maintain navigable depths. Area B remains under the management of</w:t>
      </w:r>
      <w:r w:rsidRPr="00D4309F">
        <w:rPr>
          <w:spacing w:val="-2"/>
        </w:rPr>
        <w:t xml:space="preserve"> </w:t>
      </w:r>
      <w:r w:rsidRPr="00D4309F">
        <w:t>the Sunshine Coast</w:t>
      </w:r>
      <w:r w:rsidRPr="00D4309F">
        <w:rPr>
          <w:spacing w:val="-3"/>
        </w:rPr>
        <w:t xml:space="preserve"> </w:t>
      </w:r>
      <w:r w:rsidRPr="00D4309F">
        <w:t>Regional</w:t>
      </w:r>
      <w:r w:rsidRPr="00D4309F">
        <w:rPr>
          <w:spacing w:val="-3"/>
        </w:rPr>
        <w:t xml:space="preserve"> </w:t>
      </w:r>
      <w:r w:rsidRPr="00D4309F">
        <w:t>Council</w:t>
      </w:r>
      <w:r w:rsidRPr="00D4309F">
        <w:rPr>
          <w:spacing w:val="-3"/>
        </w:rPr>
        <w:t xml:space="preserve"> </w:t>
      </w:r>
      <w:r w:rsidRPr="00D4309F">
        <w:t>(SCRC),</w:t>
      </w:r>
      <w:r w:rsidRPr="00D4309F">
        <w:rPr>
          <w:spacing w:val="-3"/>
        </w:rPr>
        <w:t xml:space="preserve"> </w:t>
      </w:r>
      <w:r w:rsidRPr="00D4309F">
        <w:t>which</w:t>
      </w:r>
      <w:r w:rsidRPr="00D4309F">
        <w:rPr>
          <w:spacing w:val="-3"/>
        </w:rPr>
        <w:t xml:space="preserve"> </w:t>
      </w:r>
      <w:r w:rsidRPr="00D4309F">
        <w:t>oversees</w:t>
      </w:r>
      <w:r w:rsidRPr="00D4309F">
        <w:rPr>
          <w:spacing w:val="-2"/>
        </w:rPr>
        <w:t xml:space="preserve"> </w:t>
      </w:r>
      <w:r w:rsidRPr="00D4309F">
        <w:t>the</w:t>
      </w:r>
      <w:r w:rsidRPr="00D4309F">
        <w:rPr>
          <w:spacing w:val="-3"/>
        </w:rPr>
        <w:t xml:space="preserve"> </w:t>
      </w:r>
      <w:r w:rsidRPr="00D4309F">
        <w:t>maintenance</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adjacent</w:t>
      </w:r>
      <w:r w:rsidRPr="00D4309F">
        <w:rPr>
          <w:spacing w:val="-3"/>
        </w:rPr>
        <w:t xml:space="preserve"> </w:t>
      </w:r>
      <w:r w:rsidRPr="00D4309F">
        <w:t>beaches</w:t>
      </w:r>
      <w:r w:rsidRPr="00D4309F">
        <w:rPr>
          <w:spacing w:val="-2"/>
        </w:rPr>
        <w:t xml:space="preserve"> </w:t>
      </w:r>
      <w:r w:rsidRPr="00D4309F">
        <w:t>and</w:t>
      </w:r>
      <w:r w:rsidRPr="00D4309F">
        <w:rPr>
          <w:spacing w:val="-3"/>
        </w:rPr>
        <w:t xml:space="preserve"> </w:t>
      </w:r>
      <w:r w:rsidRPr="00D4309F">
        <w:t>coordinates with Maritime Safety Queensland (MSQ) regarding suitable placement locations for dredged material from Area A at the time of works.</w:t>
      </w:r>
    </w:p>
    <w:p w14:paraId="7ADBE36D" w14:textId="77777777" w:rsidR="00725977" w:rsidRPr="00D4309F" w:rsidRDefault="00725977" w:rsidP="00725977">
      <w:pPr>
        <w:pStyle w:val="BodyText"/>
      </w:pPr>
      <w:r w:rsidRPr="00D4309F">
        <w:t>In the short term, continued coordination between SCRC and MSQ will be essential to ensure the effective placement of dredged material and maintenance of coastal amenity. However, as detailed design and longer-term strategies are developed, closer collaboration will be required to explore opportunities for a mutually</w:t>
      </w:r>
      <w:r w:rsidRPr="00D4309F">
        <w:rPr>
          <w:spacing w:val="-3"/>
        </w:rPr>
        <w:t xml:space="preserve"> </w:t>
      </w:r>
      <w:r w:rsidRPr="00D4309F">
        <w:t>beneficial</w:t>
      </w:r>
      <w:r w:rsidRPr="00D4309F">
        <w:rPr>
          <w:spacing w:val="-4"/>
        </w:rPr>
        <w:t xml:space="preserve"> </w:t>
      </w:r>
      <w:r w:rsidRPr="00D4309F">
        <w:t>and</w:t>
      </w:r>
      <w:r w:rsidRPr="00D4309F">
        <w:rPr>
          <w:spacing w:val="-4"/>
        </w:rPr>
        <w:t xml:space="preserve"> </w:t>
      </w:r>
      <w:r w:rsidRPr="00D4309F">
        <w:t>more</w:t>
      </w:r>
      <w:r w:rsidRPr="00D4309F">
        <w:rPr>
          <w:spacing w:val="-4"/>
        </w:rPr>
        <w:t xml:space="preserve"> </w:t>
      </w:r>
      <w:r w:rsidRPr="00D4309F">
        <w:t>consistent</w:t>
      </w:r>
      <w:r w:rsidRPr="00D4309F">
        <w:rPr>
          <w:spacing w:val="-4"/>
        </w:rPr>
        <w:t xml:space="preserve"> </w:t>
      </w:r>
      <w:r w:rsidRPr="00D4309F">
        <w:t>sediment</w:t>
      </w:r>
      <w:r w:rsidRPr="00D4309F">
        <w:rPr>
          <w:spacing w:val="-4"/>
        </w:rPr>
        <w:t xml:space="preserve"> </w:t>
      </w:r>
      <w:r w:rsidRPr="00D4309F">
        <w:t>management</w:t>
      </w:r>
      <w:r w:rsidRPr="00D4309F">
        <w:rPr>
          <w:spacing w:val="-4"/>
        </w:rPr>
        <w:t xml:space="preserve"> </w:t>
      </w:r>
      <w:r w:rsidRPr="00D4309F">
        <w:t>framework,</w:t>
      </w:r>
      <w:r w:rsidRPr="00D4309F">
        <w:rPr>
          <w:spacing w:val="-4"/>
        </w:rPr>
        <w:t xml:space="preserve"> </w:t>
      </w:r>
      <w:r w:rsidRPr="00D4309F">
        <w:t>potentially</w:t>
      </w:r>
      <w:r w:rsidRPr="00D4309F">
        <w:rPr>
          <w:spacing w:val="-3"/>
        </w:rPr>
        <w:t xml:space="preserve"> </w:t>
      </w:r>
      <w:r w:rsidRPr="00D4309F">
        <w:t>replacing</w:t>
      </w:r>
      <w:r w:rsidRPr="00D4309F">
        <w:rPr>
          <w:spacing w:val="-4"/>
        </w:rPr>
        <w:t xml:space="preserve"> </w:t>
      </w:r>
      <w:r w:rsidRPr="00D4309F">
        <w:t>the</w:t>
      </w:r>
      <w:r w:rsidRPr="00D4309F">
        <w:rPr>
          <w:spacing w:val="-4"/>
        </w:rPr>
        <w:t xml:space="preserve"> </w:t>
      </w:r>
      <w:r w:rsidRPr="00D4309F">
        <w:t>current relatively ad-hoc approach.</w:t>
      </w:r>
    </w:p>
    <w:p w14:paraId="60B0C814" w14:textId="77777777" w:rsidR="00725977" w:rsidRPr="00D4309F" w:rsidRDefault="00725977" w:rsidP="00725977">
      <w:pPr>
        <w:pStyle w:val="BodyText"/>
      </w:pPr>
      <w:r w:rsidRPr="00D4309F">
        <w:t>For the purposes of this review, it has been assumed that sand from Area A may be placed within a defined “placement</w:t>
      </w:r>
      <w:r w:rsidRPr="00D4309F">
        <w:rPr>
          <w:spacing w:val="-2"/>
        </w:rPr>
        <w:t xml:space="preserve"> </w:t>
      </w:r>
      <w:r w:rsidRPr="00D4309F">
        <w:t>box”</w:t>
      </w:r>
      <w:r w:rsidRPr="00D4309F">
        <w:rPr>
          <w:spacing w:val="-1"/>
        </w:rPr>
        <w:t xml:space="preserve"> </w:t>
      </w:r>
      <w:r w:rsidRPr="00D4309F">
        <w:t>in</w:t>
      </w:r>
      <w:r w:rsidRPr="00D4309F">
        <w:rPr>
          <w:spacing w:val="-2"/>
        </w:rPr>
        <w:t xml:space="preserve"> </w:t>
      </w:r>
      <w:r w:rsidRPr="00D4309F">
        <w:t>Area</w:t>
      </w:r>
      <w:r w:rsidRPr="00D4309F">
        <w:rPr>
          <w:spacing w:val="-2"/>
        </w:rPr>
        <w:t xml:space="preserve"> </w:t>
      </w:r>
      <w:r w:rsidRPr="00D4309F">
        <w:t>B</w:t>
      </w:r>
      <w:r w:rsidRPr="00D4309F">
        <w:rPr>
          <w:spacing w:val="-3"/>
        </w:rPr>
        <w:t xml:space="preserve"> </w:t>
      </w:r>
      <w:r w:rsidRPr="00D4309F">
        <w:t>(note</w:t>
      </w:r>
      <w:r w:rsidRPr="00D4309F">
        <w:rPr>
          <w:spacing w:val="-2"/>
        </w:rPr>
        <w:t xml:space="preserve"> </w:t>
      </w:r>
      <w:r w:rsidRPr="00D4309F">
        <w:t>again</w:t>
      </w:r>
      <w:r w:rsidRPr="00D4309F">
        <w:rPr>
          <w:spacing w:val="-2"/>
        </w:rPr>
        <w:t xml:space="preserve"> </w:t>
      </w:r>
      <w:r w:rsidRPr="00D4309F">
        <w:t>that</w:t>
      </w:r>
      <w:r w:rsidRPr="00D4309F">
        <w:rPr>
          <w:spacing w:val="-2"/>
        </w:rPr>
        <w:t xml:space="preserve"> </w:t>
      </w:r>
      <w:r w:rsidRPr="00D4309F">
        <w:t>this</w:t>
      </w:r>
      <w:r w:rsidRPr="00D4309F">
        <w:rPr>
          <w:spacing w:val="-1"/>
        </w:rPr>
        <w:t xml:space="preserve"> </w:t>
      </w:r>
      <w:r w:rsidRPr="00D4309F">
        <w:t>box</w:t>
      </w:r>
      <w:r w:rsidRPr="00D4309F">
        <w:rPr>
          <w:spacing w:val="-1"/>
        </w:rPr>
        <w:t xml:space="preserve"> </w:t>
      </w:r>
      <w:r w:rsidRPr="00D4309F">
        <w:t>is</w:t>
      </w:r>
      <w:r w:rsidRPr="00D4309F">
        <w:rPr>
          <w:spacing w:val="-1"/>
        </w:rPr>
        <w:t xml:space="preserve"> </w:t>
      </w:r>
      <w:r w:rsidRPr="00D4309F">
        <w:t>not</w:t>
      </w:r>
      <w:r w:rsidRPr="00D4309F">
        <w:rPr>
          <w:spacing w:val="-2"/>
        </w:rPr>
        <w:t xml:space="preserve"> </w:t>
      </w:r>
      <w:r w:rsidRPr="00D4309F">
        <w:t>limiting</w:t>
      </w:r>
      <w:r w:rsidRPr="00D4309F">
        <w:rPr>
          <w:spacing w:val="-2"/>
        </w:rPr>
        <w:t xml:space="preserve"> </w:t>
      </w:r>
      <w:r w:rsidRPr="00D4309F">
        <w:t>and</w:t>
      </w:r>
      <w:r w:rsidRPr="00D4309F">
        <w:rPr>
          <w:spacing w:val="-2"/>
        </w:rPr>
        <w:t xml:space="preserve"> </w:t>
      </w:r>
      <w:r w:rsidRPr="00D4309F">
        <w:t>only</w:t>
      </w:r>
      <w:r w:rsidRPr="00D4309F">
        <w:rPr>
          <w:spacing w:val="-1"/>
        </w:rPr>
        <w:t xml:space="preserve"> </w:t>
      </w:r>
      <w:r w:rsidRPr="00D4309F">
        <w:t>shown</w:t>
      </w:r>
      <w:r w:rsidRPr="00D4309F">
        <w:rPr>
          <w:spacing w:val="-2"/>
        </w:rPr>
        <w:t xml:space="preserve"> </w:t>
      </w:r>
      <w:r w:rsidRPr="00D4309F">
        <w:t>as</w:t>
      </w:r>
      <w:r w:rsidRPr="00D4309F">
        <w:rPr>
          <w:spacing w:val="-1"/>
        </w:rPr>
        <w:t xml:space="preserve"> </w:t>
      </w:r>
      <w:r w:rsidRPr="00D4309F">
        <w:t>an</w:t>
      </w:r>
      <w:r w:rsidRPr="00D4309F">
        <w:rPr>
          <w:spacing w:val="-2"/>
        </w:rPr>
        <w:t xml:space="preserve"> </w:t>
      </w:r>
      <w:r w:rsidRPr="00D4309F">
        <w:t>indicative</w:t>
      </w:r>
      <w:r w:rsidRPr="00D4309F">
        <w:rPr>
          <w:spacing w:val="-2"/>
        </w:rPr>
        <w:t xml:space="preserve"> </w:t>
      </w:r>
      <w:r w:rsidRPr="00D4309F">
        <w:t>east</w:t>
      </w:r>
      <w:r w:rsidRPr="00D4309F">
        <w:rPr>
          <w:spacing w:val="-2"/>
        </w:rPr>
        <w:t xml:space="preserve"> </w:t>
      </w:r>
      <w:r w:rsidRPr="00D4309F">
        <w:t>of</w:t>
      </w:r>
      <w:r w:rsidRPr="00D4309F">
        <w:rPr>
          <w:spacing w:val="-2"/>
        </w:rPr>
        <w:t xml:space="preserve"> </w:t>
      </w:r>
      <w:r w:rsidRPr="00D4309F">
        <w:t>the entrance). Within this placement box, two general options are recognised:</w:t>
      </w:r>
    </w:p>
    <w:p w14:paraId="78F88E4A" w14:textId="77777777" w:rsidR="00725977" w:rsidRPr="00D4309F" w:rsidRDefault="00725977" w:rsidP="000D5B19">
      <w:pPr>
        <w:pStyle w:val="ListBullet"/>
      </w:pPr>
      <w:r w:rsidRPr="00D4309F">
        <w:t>Beach</w:t>
      </w:r>
      <w:r w:rsidRPr="00D4309F">
        <w:rPr>
          <w:spacing w:val="-6"/>
        </w:rPr>
        <w:t xml:space="preserve"> </w:t>
      </w:r>
      <w:r w:rsidRPr="00D4309F">
        <w:t>nourishment,</w:t>
      </w:r>
      <w:r w:rsidRPr="00D4309F">
        <w:rPr>
          <w:spacing w:val="-4"/>
        </w:rPr>
        <w:t xml:space="preserve"> </w:t>
      </w:r>
      <w:r w:rsidRPr="00D4309F">
        <w:t>involving</w:t>
      </w:r>
      <w:r w:rsidRPr="00D4309F">
        <w:rPr>
          <w:spacing w:val="-3"/>
        </w:rPr>
        <w:t xml:space="preserve"> </w:t>
      </w:r>
      <w:r w:rsidRPr="00D4309F">
        <w:t>direct</w:t>
      </w:r>
      <w:r w:rsidRPr="00D4309F">
        <w:rPr>
          <w:spacing w:val="-4"/>
        </w:rPr>
        <w:t xml:space="preserve"> </w:t>
      </w:r>
      <w:r w:rsidRPr="00D4309F">
        <w:t>placement</w:t>
      </w:r>
      <w:r w:rsidRPr="00D4309F">
        <w:rPr>
          <w:spacing w:val="-4"/>
        </w:rPr>
        <w:t xml:space="preserve"> </w:t>
      </w:r>
      <w:r w:rsidRPr="00D4309F">
        <w:t>of</w:t>
      </w:r>
      <w:r w:rsidRPr="00D4309F">
        <w:rPr>
          <w:spacing w:val="-3"/>
        </w:rPr>
        <w:t xml:space="preserve"> </w:t>
      </w:r>
      <w:r w:rsidRPr="00D4309F">
        <w:t>material</w:t>
      </w:r>
      <w:r w:rsidRPr="00D4309F">
        <w:rPr>
          <w:spacing w:val="-4"/>
        </w:rPr>
        <w:t xml:space="preserve"> </w:t>
      </w:r>
      <w:r w:rsidRPr="00D4309F">
        <w:t>on</w:t>
      </w:r>
      <w:r w:rsidRPr="00D4309F">
        <w:rPr>
          <w:spacing w:val="-4"/>
        </w:rPr>
        <w:t xml:space="preserve"> </w:t>
      </w:r>
      <w:r w:rsidRPr="00D4309F">
        <w:t>the</w:t>
      </w:r>
      <w:r w:rsidRPr="00D4309F">
        <w:rPr>
          <w:spacing w:val="-3"/>
        </w:rPr>
        <w:t xml:space="preserve"> </w:t>
      </w:r>
      <w:r w:rsidRPr="00D4309F">
        <w:t>upper</w:t>
      </w:r>
      <w:r w:rsidRPr="00D4309F">
        <w:rPr>
          <w:spacing w:val="-5"/>
        </w:rPr>
        <w:t xml:space="preserve"> </w:t>
      </w:r>
      <w:r w:rsidRPr="00D4309F">
        <w:t>(dry)</w:t>
      </w:r>
      <w:r w:rsidRPr="00D4309F">
        <w:rPr>
          <w:spacing w:val="-3"/>
        </w:rPr>
        <w:t xml:space="preserve"> </w:t>
      </w:r>
      <w:r w:rsidRPr="00D4309F">
        <w:t>beach</w:t>
      </w:r>
      <w:r w:rsidRPr="00D4309F">
        <w:rPr>
          <w:spacing w:val="-3"/>
        </w:rPr>
        <w:t xml:space="preserve"> </w:t>
      </w:r>
      <w:r w:rsidRPr="00D4309F">
        <w:rPr>
          <w:spacing w:val="-2"/>
        </w:rPr>
        <w:t>area.</w:t>
      </w:r>
    </w:p>
    <w:p w14:paraId="7277A3B7" w14:textId="77777777" w:rsidR="00725977" w:rsidRPr="00D4309F" w:rsidRDefault="00725977" w:rsidP="000D5B19">
      <w:pPr>
        <w:pStyle w:val="ListBullet"/>
      </w:pPr>
      <w:r w:rsidRPr="00D4309F">
        <w:t>Nearshore</w:t>
      </w:r>
      <w:r w:rsidRPr="00D4309F">
        <w:rPr>
          <w:spacing w:val="-3"/>
        </w:rPr>
        <w:t xml:space="preserve"> </w:t>
      </w:r>
      <w:r w:rsidRPr="00D4309F">
        <w:t>placement,</w:t>
      </w:r>
      <w:r w:rsidRPr="00D4309F">
        <w:rPr>
          <w:spacing w:val="-3"/>
        </w:rPr>
        <w:t xml:space="preserve"> </w:t>
      </w:r>
      <w:r w:rsidRPr="00D4309F">
        <w:t>where</w:t>
      </w:r>
      <w:r w:rsidRPr="00D4309F">
        <w:rPr>
          <w:spacing w:val="-3"/>
        </w:rPr>
        <w:t xml:space="preserve"> </w:t>
      </w:r>
      <w:r w:rsidRPr="00D4309F">
        <w:t>material</w:t>
      </w:r>
      <w:r w:rsidRPr="00D4309F">
        <w:rPr>
          <w:spacing w:val="-3"/>
        </w:rPr>
        <w:t xml:space="preserve"> </w:t>
      </w:r>
      <w:r w:rsidRPr="00D4309F">
        <w:t>is</w:t>
      </w:r>
      <w:r w:rsidRPr="00D4309F">
        <w:rPr>
          <w:spacing w:val="-2"/>
        </w:rPr>
        <w:t xml:space="preserve"> </w:t>
      </w:r>
      <w:r w:rsidRPr="00D4309F">
        <w:t>deposited</w:t>
      </w:r>
      <w:r w:rsidRPr="00D4309F">
        <w:rPr>
          <w:spacing w:val="-3"/>
        </w:rPr>
        <w:t xml:space="preserve"> </w:t>
      </w:r>
      <w:r w:rsidRPr="00D4309F">
        <w:t>offshore</w:t>
      </w:r>
      <w:r w:rsidRPr="00D4309F">
        <w:rPr>
          <w:spacing w:val="-3"/>
        </w:rPr>
        <w:t xml:space="preserve"> </w:t>
      </w:r>
      <w:r w:rsidRPr="00D4309F">
        <w:t>to</w:t>
      </w:r>
      <w:r w:rsidRPr="00D4309F">
        <w:rPr>
          <w:spacing w:val="-3"/>
        </w:rPr>
        <w:t xml:space="preserve"> </w:t>
      </w:r>
      <w:r w:rsidRPr="00D4309F">
        <w:t>allow</w:t>
      </w:r>
      <w:r w:rsidRPr="00D4309F">
        <w:rPr>
          <w:spacing w:val="-2"/>
        </w:rPr>
        <w:t xml:space="preserve"> </w:t>
      </w:r>
      <w:r w:rsidRPr="00D4309F">
        <w:t>natural</w:t>
      </w:r>
      <w:r w:rsidRPr="00D4309F">
        <w:rPr>
          <w:spacing w:val="-3"/>
        </w:rPr>
        <w:t xml:space="preserve"> </w:t>
      </w:r>
      <w:r w:rsidRPr="00D4309F">
        <w:t>coastal</w:t>
      </w:r>
      <w:r w:rsidRPr="00D4309F">
        <w:rPr>
          <w:spacing w:val="-3"/>
        </w:rPr>
        <w:t xml:space="preserve"> </w:t>
      </w:r>
      <w:r w:rsidRPr="00D4309F">
        <w:t>processes</w:t>
      </w:r>
      <w:r w:rsidRPr="00D4309F">
        <w:rPr>
          <w:spacing w:val="-2"/>
        </w:rPr>
        <w:t xml:space="preserve"> </w:t>
      </w:r>
      <w:r w:rsidRPr="00D4309F">
        <w:t>to gradually return sand to the beach system.</w:t>
      </w:r>
    </w:p>
    <w:p w14:paraId="72D0A6FA" w14:textId="77777777" w:rsidR="00725977" w:rsidRPr="00D4309F" w:rsidRDefault="00725977" w:rsidP="00725977">
      <w:pPr>
        <w:pStyle w:val="BodyText"/>
      </w:pPr>
      <w:r w:rsidRPr="00D4309F">
        <w:t>Other limitations of</w:t>
      </w:r>
      <w:r w:rsidRPr="00D4309F">
        <w:rPr>
          <w:spacing w:val="-1"/>
        </w:rPr>
        <w:t xml:space="preserve"> </w:t>
      </w:r>
      <w:r w:rsidRPr="00D4309F">
        <w:t>this</w:t>
      </w:r>
      <w:r w:rsidRPr="00D4309F">
        <w:rPr>
          <w:spacing w:val="-1"/>
        </w:rPr>
        <w:t xml:space="preserve"> </w:t>
      </w:r>
      <w:r w:rsidRPr="00D4309F">
        <w:t>review include</w:t>
      </w:r>
      <w:r w:rsidRPr="00D4309F">
        <w:rPr>
          <w:spacing w:val="-1"/>
        </w:rPr>
        <w:t xml:space="preserve"> </w:t>
      </w:r>
      <w:r w:rsidRPr="00D4309F">
        <w:t>the</w:t>
      </w:r>
      <w:r w:rsidRPr="00D4309F">
        <w:rPr>
          <w:spacing w:val="-1"/>
        </w:rPr>
        <w:t xml:space="preserve"> </w:t>
      </w:r>
      <w:r w:rsidRPr="00D4309F">
        <w:t>scope</w:t>
      </w:r>
      <w:r w:rsidRPr="00D4309F">
        <w:rPr>
          <w:spacing w:val="-1"/>
        </w:rPr>
        <w:t xml:space="preserve"> </w:t>
      </w:r>
      <w:r w:rsidRPr="00D4309F">
        <w:t>and</w:t>
      </w:r>
      <w:r w:rsidRPr="00D4309F">
        <w:rPr>
          <w:spacing w:val="-2"/>
        </w:rPr>
        <w:t xml:space="preserve"> </w:t>
      </w:r>
      <w:r w:rsidRPr="00D4309F">
        <w:t>level</w:t>
      </w:r>
      <w:r w:rsidRPr="00D4309F">
        <w:rPr>
          <w:spacing w:val="-1"/>
        </w:rPr>
        <w:t xml:space="preserve"> </w:t>
      </w:r>
      <w:r w:rsidRPr="00D4309F">
        <w:t>of</w:t>
      </w:r>
      <w:r w:rsidRPr="00D4309F">
        <w:rPr>
          <w:spacing w:val="-1"/>
        </w:rPr>
        <w:t xml:space="preserve"> </w:t>
      </w:r>
      <w:r w:rsidRPr="00D4309F">
        <w:t>detail.</w:t>
      </w:r>
      <w:r w:rsidRPr="00D4309F">
        <w:rPr>
          <w:spacing w:val="-1"/>
        </w:rPr>
        <w:t xml:space="preserve"> </w:t>
      </w:r>
      <w:r w:rsidRPr="00D4309F">
        <w:t>Due</w:t>
      </w:r>
      <w:r w:rsidRPr="00D4309F">
        <w:rPr>
          <w:spacing w:val="-1"/>
        </w:rPr>
        <w:t xml:space="preserve"> </w:t>
      </w:r>
      <w:r w:rsidRPr="00D4309F">
        <w:t>to</w:t>
      </w:r>
      <w:r w:rsidRPr="00D4309F">
        <w:rPr>
          <w:spacing w:val="-1"/>
        </w:rPr>
        <w:t xml:space="preserve"> </w:t>
      </w:r>
      <w:r w:rsidRPr="00D4309F">
        <w:t>the</w:t>
      </w:r>
      <w:r w:rsidRPr="00D4309F">
        <w:rPr>
          <w:spacing w:val="-1"/>
        </w:rPr>
        <w:t xml:space="preserve"> </w:t>
      </w:r>
      <w:r w:rsidRPr="00D4309F">
        <w:t>urgent</w:t>
      </w:r>
      <w:r w:rsidRPr="00D4309F">
        <w:rPr>
          <w:spacing w:val="-1"/>
        </w:rPr>
        <w:t xml:space="preserve"> </w:t>
      </w:r>
      <w:r w:rsidRPr="00D4309F">
        <w:t>nature</w:t>
      </w:r>
      <w:r w:rsidRPr="00D4309F">
        <w:rPr>
          <w:spacing w:val="-2"/>
        </w:rPr>
        <w:t xml:space="preserve"> </w:t>
      </w:r>
      <w:r w:rsidRPr="00D4309F">
        <w:t>of</w:t>
      </w:r>
      <w:r w:rsidRPr="00D4309F">
        <w:rPr>
          <w:spacing w:val="-1"/>
        </w:rPr>
        <w:t xml:space="preserve"> </w:t>
      </w:r>
      <w:r w:rsidRPr="00D4309F">
        <w:t>the</w:t>
      </w:r>
      <w:r w:rsidRPr="00D4309F">
        <w:rPr>
          <w:spacing w:val="-1"/>
        </w:rPr>
        <w:t xml:space="preserve"> </w:t>
      </w:r>
      <w:r w:rsidRPr="00D4309F">
        <w:t>request and the requirement for timely delivery, this assessment is provided at a conceptual level for comparative and</w:t>
      </w:r>
      <w:r w:rsidRPr="00D4309F">
        <w:rPr>
          <w:spacing w:val="-3"/>
        </w:rPr>
        <w:t xml:space="preserve"> </w:t>
      </w:r>
      <w:r w:rsidRPr="00D4309F">
        <w:t>discussion</w:t>
      </w:r>
      <w:r w:rsidRPr="00D4309F">
        <w:rPr>
          <w:spacing w:val="-3"/>
        </w:rPr>
        <w:t xml:space="preserve"> </w:t>
      </w:r>
      <w:r w:rsidRPr="00D4309F">
        <w:t>purposes</w:t>
      </w:r>
      <w:r w:rsidRPr="00D4309F">
        <w:rPr>
          <w:spacing w:val="-2"/>
        </w:rPr>
        <w:t xml:space="preserve"> </w:t>
      </w:r>
      <w:r w:rsidRPr="00D4309F">
        <w:t>only.</w:t>
      </w:r>
      <w:r w:rsidRPr="00D4309F">
        <w:rPr>
          <w:spacing w:val="-3"/>
        </w:rPr>
        <w:t xml:space="preserve"> </w:t>
      </w:r>
      <w:r w:rsidRPr="00D4309F">
        <w:t>No</w:t>
      </w:r>
      <w:r w:rsidRPr="00D4309F">
        <w:rPr>
          <w:spacing w:val="-3"/>
        </w:rPr>
        <w:t xml:space="preserve"> </w:t>
      </w:r>
      <w:r w:rsidRPr="00D4309F">
        <w:t>new</w:t>
      </w:r>
      <w:r w:rsidRPr="00D4309F">
        <w:rPr>
          <w:spacing w:val="-3"/>
        </w:rPr>
        <w:t xml:space="preserve"> </w:t>
      </w:r>
      <w:r w:rsidRPr="00D4309F">
        <w:t>site</w:t>
      </w:r>
      <w:r w:rsidRPr="00D4309F">
        <w:rPr>
          <w:spacing w:val="-3"/>
        </w:rPr>
        <w:t xml:space="preserve"> </w:t>
      </w:r>
      <w:r w:rsidRPr="00D4309F">
        <w:t>data</w:t>
      </w:r>
      <w:r w:rsidRPr="00D4309F">
        <w:rPr>
          <w:spacing w:val="-3"/>
        </w:rPr>
        <w:t xml:space="preserve"> </w:t>
      </w:r>
      <w:r w:rsidRPr="00D4309F">
        <w:t>has</w:t>
      </w:r>
      <w:r w:rsidRPr="00D4309F">
        <w:rPr>
          <w:spacing w:val="-2"/>
        </w:rPr>
        <w:t xml:space="preserve"> </w:t>
      </w:r>
      <w:r w:rsidRPr="00D4309F">
        <w:t>been</w:t>
      </w:r>
      <w:r w:rsidRPr="00D4309F">
        <w:rPr>
          <w:spacing w:val="-3"/>
        </w:rPr>
        <w:t xml:space="preserve"> </w:t>
      </w:r>
      <w:r w:rsidRPr="00D4309F">
        <w:t>collected,</w:t>
      </w:r>
      <w:r w:rsidRPr="00D4309F">
        <w:rPr>
          <w:spacing w:val="-3"/>
        </w:rPr>
        <w:t xml:space="preserve"> </w:t>
      </w:r>
      <w:r w:rsidRPr="00D4309F">
        <w:t>and</w:t>
      </w:r>
      <w:r w:rsidRPr="00D4309F">
        <w:rPr>
          <w:spacing w:val="-3"/>
        </w:rPr>
        <w:t xml:space="preserve"> </w:t>
      </w:r>
      <w:r w:rsidRPr="00D4309F">
        <w:t>the</w:t>
      </w:r>
      <w:r w:rsidRPr="00D4309F">
        <w:rPr>
          <w:spacing w:val="-3"/>
        </w:rPr>
        <w:t xml:space="preserve"> </w:t>
      </w:r>
      <w:r w:rsidRPr="00D4309F">
        <w:t>review</w:t>
      </w:r>
      <w:r w:rsidRPr="00D4309F">
        <w:rPr>
          <w:spacing w:val="-2"/>
        </w:rPr>
        <w:t xml:space="preserve"> </w:t>
      </w:r>
      <w:r w:rsidRPr="00D4309F">
        <w:t>relies</w:t>
      </w:r>
      <w:r w:rsidRPr="00D4309F">
        <w:rPr>
          <w:spacing w:val="-3"/>
        </w:rPr>
        <w:t xml:space="preserve"> </w:t>
      </w:r>
      <w:r w:rsidRPr="00D4309F">
        <w:t>solely</w:t>
      </w:r>
      <w:r w:rsidRPr="00D4309F">
        <w:rPr>
          <w:spacing w:val="-2"/>
        </w:rPr>
        <w:t xml:space="preserve"> </w:t>
      </w:r>
      <w:r w:rsidRPr="00D4309F">
        <w:t>on</w:t>
      </w:r>
      <w:r w:rsidRPr="00D4309F">
        <w:rPr>
          <w:spacing w:val="-3"/>
        </w:rPr>
        <w:t xml:space="preserve"> </w:t>
      </w:r>
      <w:r w:rsidRPr="00D4309F">
        <w:t xml:space="preserve">existing information provided by relevant agencies and publicly available sources. Further investigations, detailed modelling, and design development will be required prior to implementation of any preferred long-term </w:t>
      </w:r>
      <w:r w:rsidRPr="00D4309F">
        <w:rPr>
          <w:spacing w:val="-2"/>
        </w:rPr>
        <w:t>solution.</w:t>
      </w:r>
    </w:p>
    <w:p w14:paraId="3CA7F05D" w14:textId="0D35E17F" w:rsidR="00FE6959" w:rsidRPr="00D4309F" w:rsidRDefault="00725977" w:rsidP="00725977">
      <w:pPr>
        <w:pStyle w:val="BodyText"/>
      </w:pPr>
      <w:r w:rsidRPr="00D4309F">
        <w:t>The options assessed in this review were identified through a combination of sources, including concepts previously developed and provided by MSQ, ideas and feedback arising from the Stakeholder Reference Group (SRG) and broader community engagement, and the professional judgement and experience of the review team as coastal engineers familiar with sediment dynamics and harbour management along the Queensland</w:t>
      </w:r>
      <w:r w:rsidRPr="00D4309F">
        <w:rPr>
          <w:spacing w:val="-3"/>
        </w:rPr>
        <w:t xml:space="preserve"> </w:t>
      </w:r>
      <w:r w:rsidRPr="00D4309F">
        <w:t>coast.</w:t>
      </w:r>
      <w:r w:rsidRPr="00D4309F">
        <w:rPr>
          <w:spacing w:val="-2"/>
        </w:rPr>
        <w:t xml:space="preserve"> </w:t>
      </w:r>
      <w:r w:rsidRPr="00D4309F">
        <w:t>This</w:t>
      </w:r>
      <w:r w:rsidRPr="00D4309F">
        <w:rPr>
          <w:spacing w:val="-2"/>
        </w:rPr>
        <w:t xml:space="preserve"> </w:t>
      </w:r>
      <w:r w:rsidRPr="00D4309F">
        <w:t>collective</w:t>
      </w:r>
      <w:r w:rsidRPr="00D4309F">
        <w:rPr>
          <w:spacing w:val="-2"/>
        </w:rPr>
        <w:t xml:space="preserve"> </w:t>
      </w:r>
      <w:r w:rsidRPr="00D4309F">
        <w:t>input</w:t>
      </w:r>
      <w:r w:rsidRPr="00D4309F">
        <w:rPr>
          <w:spacing w:val="-4"/>
        </w:rPr>
        <w:t xml:space="preserve"> </w:t>
      </w:r>
      <w:r w:rsidRPr="00D4309F">
        <w:t>has</w:t>
      </w:r>
      <w:r w:rsidRPr="00D4309F">
        <w:rPr>
          <w:spacing w:val="-1"/>
        </w:rPr>
        <w:t xml:space="preserve"> </w:t>
      </w:r>
      <w:r w:rsidRPr="00D4309F">
        <w:t>ensured</w:t>
      </w:r>
      <w:r w:rsidRPr="00D4309F">
        <w:rPr>
          <w:spacing w:val="-3"/>
        </w:rPr>
        <w:t xml:space="preserve"> </w:t>
      </w:r>
      <w:r w:rsidRPr="00D4309F">
        <w:t>that</w:t>
      </w:r>
      <w:r w:rsidRPr="00D4309F">
        <w:rPr>
          <w:spacing w:val="-2"/>
        </w:rPr>
        <w:t xml:space="preserve"> </w:t>
      </w:r>
      <w:r w:rsidRPr="00D4309F">
        <w:t>the</w:t>
      </w:r>
      <w:r w:rsidRPr="00D4309F">
        <w:rPr>
          <w:spacing w:val="-2"/>
        </w:rPr>
        <w:t xml:space="preserve"> </w:t>
      </w:r>
      <w:r w:rsidRPr="00D4309F">
        <w:t>range</w:t>
      </w:r>
      <w:r w:rsidRPr="00D4309F">
        <w:rPr>
          <w:spacing w:val="-2"/>
        </w:rPr>
        <w:t xml:space="preserve"> </w:t>
      </w:r>
      <w:r w:rsidRPr="00D4309F">
        <w:t>of</w:t>
      </w:r>
      <w:r w:rsidRPr="00D4309F">
        <w:rPr>
          <w:spacing w:val="-2"/>
        </w:rPr>
        <w:t xml:space="preserve"> </w:t>
      </w:r>
      <w:r w:rsidRPr="00D4309F">
        <w:t>options</w:t>
      </w:r>
      <w:r w:rsidRPr="00D4309F">
        <w:rPr>
          <w:spacing w:val="-2"/>
        </w:rPr>
        <w:t xml:space="preserve"> </w:t>
      </w:r>
      <w:r w:rsidRPr="00D4309F">
        <w:t>considered</w:t>
      </w:r>
      <w:r w:rsidRPr="00D4309F">
        <w:rPr>
          <w:spacing w:val="-2"/>
        </w:rPr>
        <w:t xml:space="preserve"> </w:t>
      </w:r>
      <w:r w:rsidRPr="00D4309F">
        <w:t>reflects</w:t>
      </w:r>
      <w:r w:rsidRPr="00D4309F">
        <w:rPr>
          <w:spacing w:val="-1"/>
        </w:rPr>
        <w:t xml:space="preserve"> </w:t>
      </w:r>
      <w:r w:rsidRPr="00D4309F">
        <w:t>both</w:t>
      </w:r>
      <w:r w:rsidRPr="00D4309F">
        <w:rPr>
          <w:spacing w:val="-2"/>
        </w:rPr>
        <w:t xml:space="preserve"> </w:t>
      </w:r>
      <w:r w:rsidRPr="00D4309F">
        <w:t>local knowledge and technical feasibility, providing a balanced foundation for further investigation.</w:t>
      </w:r>
    </w:p>
    <w:p w14:paraId="30C538B4" w14:textId="77777777" w:rsidR="00725977" w:rsidRPr="00D4309F" w:rsidRDefault="00725977" w:rsidP="0016610C">
      <w:pPr>
        <w:pStyle w:val="Heading2"/>
      </w:pPr>
      <w:bookmarkStart w:id="185" w:name="_bookmark80"/>
      <w:bookmarkStart w:id="186" w:name="_Toc216699357"/>
      <w:bookmarkEnd w:id="185"/>
      <w:r w:rsidRPr="00D4309F">
        <w:t>Our</w:t>
      </w:r>
      <w:r w:rsidRPr="00D4309F">
        <w:rPr>
          <w:spacing w:val="-9"/>
        </w:rPr>
        <w:t xml:space="preserve"> </w:t>
      </w:r>
      <w:r w:rsidRPr="00D4309F">
        <w:t>approach</w:t>
      </w:r>
      <w:r w:rsidRPr="00D4309F">
        <w:rPr>
          <w:spacing w:val="-10"/>
        </w:rPr>
        <w:t xml:space="preserve"> </w:t>
      </w:r>
      <w:r w:rsidRPr="00D4309F">
        <w:t>to</w:t>
      </w:r>
      <w:r w:rsidRPr="00D4309F">
        <w:rPr>
          <w:spacing w:val="-10"/>
        </w:rPr>
        <w:t xml:space="preserve"> </w:t>
      </w:r>
      <w:r w:rsidRPr="00D4309F">
        <w:t>the</w:t>
      </w:r>
      <w:r w:rsidRPr="00D4309F">
        <w:rPr>
          <w:spacing w:val="-9"/>
        </w:rPr>
        <w:t xml:space="preserve"> </w:t>
      </w:r>
      <w:r w:rsidRPr="00D4309F">
        <w:t>long-term</w:t>
      </w:r>
      <w:r w:rsidRPr="00D4309F">
        <w:rPr>
          <w:spacing w:val="-10"/>
        </w:rPr>
        <w:t xml:space="preserve"> </w:t>
      </w:r>
      <w:r w:rsidRPr="00D4309F">
        <w:rPr>
          <w:spacing w:val="-2"/>
        </w:rPr>
        <w:t>solutions</w:t>
      </w:r>
      <w:bookmarkEnd w:id="186"/>
    </w:p>
    <w:p w14:paraId="191D17E7" w14:textId="77777777" w:rsidR="00725977" w:rsidRPr="00D4309F" w:rsidRDefault="00725977" w:rsidP="00725977">
      <w:pPr>
        <w:pStyle w:val="BodyText"/>
      </w:pPr>
      <w:r w:rsidRPr="00D4309F">
        <w:t>Our approach is to begin with softer, lower-risk interventions and only escalate to more engineered (“hard”) options</w:t>
      </w:r>
      <w:r w:rsidRPr="00D4309F">
        <w:rPr>
          <w:spacing w:val="-2"/>
        </w:rPr>
        <w:t xml:space="preserve"> </w:t>
      </w:r>
      <w:r w:rsidRPr="00D4309F">
        <w:t>if</w:t>
      </w:r>
      <w:r w:rsidRPr="00D4309F">
        <w:rPr>
          <w:spacing w:val="-3"/>
        </w:rPr>
        <w:t xml:space="preserve"> </w:t>
      </w:r>
      <w:r w:rsidRPr="00D4309F">
        <w:t>monitoring</w:t>
      </w:r>
      <w:r w:rsidRPr="00D4309F">
        <w:rPr>
          <w:spacing w:val="-4"/>
        </w:rPr>
        <w:t xml:space="preserve"> </w:t>
      </w:r>
      <w:r w:rsidRPr="00D4309F">
        <w:t>shows</w:t>
      </w:r>
      <w:r w:rsidRPr="00D4309F">
        <w:rPr>
          <w:spacing w:val="-2"/>
        </w:rPr>
        <w:t xml:space="preserve"> </w:t>
      </w:r>
      <w:r w:rsidRPr="00D4309F">
        <w:t>they’re</w:t>
      </w:r>
      <w:r w:rsidRPr="00D4309F">
        <w:rPr>
          <w:spacing w:val="-3"/>
        </w:rPr>
        <w:t xml:space="preserve"> </w:t>
      </w:r>
      <w:r w:rsidRPr="00D4309F">
        <w:t>needed.</w:t>
      </w:r>
      <w:r w:rsidRPr="00D4309F">
        <w:rPr>
          <w:spacing w:val="-3"/>
        </w:rPr>
        <w:t xml:space="preserve"> </w:t>
      </w:r>
      <w:r w:rsidRPr="00D4309F">
        <w:t>This</w:t>
      </w:r>
      <w:r w:rsidRPr="00D4309F">
        <w:rPr>
          <w:spacing w:val="-2"/>
        </w:rPr>
        <w:t xml:space="preserve"> </w:t>
      </w:r>
      <w:r w:rsidRPr="00D4309F">
        <w:t>aligns</w:t>
      </w:r>
      <w:r w:rsidRPr="00D4309F">
        <w:rPr>
          <w:spacing w:val="-2"/>
        </w:rPr>
        <w:t xml:space="preserve"> </w:t>
      </w:r>
      <w:r w:rsidRPr="00D4309F">
        <w:t>with</w:t>
      </w:r>
      <w:r w:rsidRPr="00D4309F">
        <w:rPr>
          <w:spacing w:val="-3"/>
        </w:rPr>
        <w:t xml:space="preserve"> </w:t>
      </w:r>
      <w:r w:rsidRPr="00D4309F">
        <w:t>MSQ’s</w:t>
      </w:r>
      <w:r w:rsidRPr="00D4309F">
        <w:rPr>
          <w:spacing w:val="-2"/>
        </w:rPr>
        <w:t xml:space="preserve"> </w:t>
      </w:r>
      <w:r w:rsidRPr="00D4309F">
        <w:t>current</w:t>
      </w:r>
      <w:r w:rsidRPr="00D4309F">
        <w:rPr>
          <w:spacing w:val="-3"/>
        </w:rPr>
        <w:t xml:space="preserve"> </w:t>
      </w:r>
      <w:r w:rsidRPr="00D4309F">
        <w:t>management</w:t>
      </w:r>
      <w:r w:rsidRPr="00D4309F">
        <w:rPr>
          <w:spacing w:val="-3"/>
        </w:rPr>
        <w:t xml:space="preserve"> </w:t>
      </w:r>
      <w:r w:rsidRPr="00D4309F">
        <w:t>direction,</w:t>
      </w:r>
      <w:r w:rsidRPr="00D4309F">
        <w:rPr>
          <w:spacing w:val="-3"/>
        </w:rPr>
        <w:t xml:space="preserve"> </w:t>
      </w:r>
      <w:r w:rsidRPr="00D4309F">
        <w:t>including its implementation of the Western Channel Trial, a softer, adaptive change to entrance management intended to maintain access while minimising structural impacts.</w:t>
      </w:r>
    </w:p>
    <w:p w14:paraId="3D6E0DAE" w14:textId="021DF7EC" w:rsidR="00FE6959" w:rsidRPr="00D4309F" w:rsidRDefault="00725977" w:rsidP="00725977">
      <w:pPr>
        <w:pStyle w:val="BodyText"/>
      </w:pPr>
      <w:r w:rsidRPr="00D4309F">
        <w:t>In practice, we prioritise incremental, reversible measures that can be trialled and monitored (e.g., targeted sediment management and operational refinements) before considering capital works. This staged methodology responds to the SRG and broader community preference to trial less intrusive solutions first, while</w:t>
      </w:r>
      <w:r w:rsidRPr="00D4309F">
        <w:rPr>
          <w:spacing w:val="-3"/>
        </w:rPr>
        <w:t xml:space="preserve"> </w:t>
      </w:r>
      <w:r w:rsidRPr="00D4309F">
        <w:t>keeping</w:t>
      </w:r>
      <w:r w:rsidRPr="00D4309F">
        <w:rPr>
          <w:spacing w:val="-3"/>
        </w:rPr>
        <w:t xml:space="preserve"> </w:t>
      </w:r>
      <w:r w:rsidRPr="00D4309F">
        <w:t>proven</w:t>
      </w:r>
      <w:r w:rsidRPr="00D4309F">
        <w:rPr>
          <w:spacing w:val="-2"/>
        </w:rPr>
        <w:t xml:space="preserve"> </w:t>
      </w:r>
      <w:r w:rsidRPr="00D4309F">
        <w:t>hard-engineering</w:t>
      </w:r>
      <w:r w:rsidRPr="00D4309F">
        <w:rPr>
          <w:spacing w:val="-3"/>
        </w:rPr>
        <w:t xml:space="preserve"> </w:t>
      </w:r>
      <w:r w:rsidRPr="00D4309F">
        <w:t>options</w:t>
      </w:r>
      <w:r w:rsidRPr="00D4309F">
        <w:rPr>
          <w:spacing w:val="-2"/>
        </w:rPr>
        <w:t xml:space="preserve"> </w:t>
      </w:r>
      <w:r w:rsidRPr="00D4309F">
        <w:t>in</w:t>
      </w:r>
      <w:r w:rsidRPr="00D4309F">
        <w:rPr>
          <w:spacing w:val="-2"/>
        </w:rPr>
        <w:t xml:space="preserve"> </w:t>
      </w:r>
      <w:r w:rsidRPr="00D4309F">
        <w:t>reserve.</w:t>
      </w:r>
      <w:r w:rsidRPr="00D4309F">
        <w:rPr>
          <w:spacing w:val="-3"/>
        </w:rPr>
        <w:t xml:space="preserve"> </w:t>
      </w:r>
      <w:r w:rsidRPr="00D4309F">
        <w:t>By</w:t>
      </w:r>
      <w:r w:rsidRPr="00D4309F">
        <w:rPr>
          <w:spacing w:val="-2"/>
        </w:rPr>
        <w:t xml:space="preserve"> </w:t>
      </w:r>
      <w:r w:rsidRPr="00D4309F">
        <w:t>doing</w:t>
      </w:r>
      <w:r w:rsidRPr="00D4309F">
        <w:rPr>
          <w:spacing w:val="-3"/>
        </w:rPr>
        <w:t xml:space="preserve"> </w:t>
      </w:r>
      <w:r w:rsidRPr="00D4309F">
        <w:t>so,</w:t>
      </w:r>
      <w:r w:rsidRPr="00D4309F">
        <w:rPr>
          <w:spacing w:val="-2"/>
        </w:rPr>
        <w:t xml:space="preserve"> </w:t>
      </w:r>
      <w:r w:rsidRPr="00D4309F">
        <w:t>we</w:t>
      </w:r>
      <w:r w:rsidRPr="00D4309F">
        <w:rPr>
          <w:spacing w:val="-3"/>
        </w:rPr>
        <w:t xml:space="preserve"> </w:t>
      </w:r>
      <w:r w:rsidRPr="00D4309F">
        <w:t>aim</w:t>
      </w:r>
      <w:r w:rsidRPr="00D4309F">
        <w:rPr>
          <w:spacing w:val="-2"/>
        </w:rPr>
        <w:t xml:space="preserve"> </w:t>
      </w:r>
      <w:r w:rsidRPr="00D4309F">
        <w:t>to</w:t>
      </w:r>
      <w:r w:rsidRPr="00D4309F">
        <w:rPr>
          <w:spacing w:val="-3"/>
        </w:rPr>
        <w:t xml:space="preserve"> </w:t>
      </w:r>
      <w:r w:rsidRPr="00D4309F">
        <w:t>balance</w:t>
      </w:r>
      <w:r w:rsidRPr="00D4309F">
        <w:rPr>
          <w:spacing w:val="-2"/>
        </w:rPr>
        <w:t xml:space="preserve"> </w:t>
      </w:r>
      <w:r w:rsidRPr="00D4309F">
        <w:t>navigation</w:t>
      </w:r>
      <w:r w:rsidRPr="00D4309F">
        <w:rPr>
          <w:spacing w:val="-3"/>
        </w:rPr>
        <w:t xml:space="preserve"> </w:t>
      </w:r>
      <w:r w:rsidRPr="00D4309F">
        <w:t>safety and reliability with environmental sensitivity, social acceptance, and cost-effectiveness, and to build an evidence base that de-risks any future escalation to more permanent works.</w:t>
      </w:r>
    </w:p>
    <w:p w14:paraId="6EAE53DF" w14:textId="77777777" w:rsidR="00725977" w:rsidRPr="00D4309F" w:rsidRDefault="00725977" w:rsidP="0016610C">
      <w:pPr>
        <w:pStyle w:val="Heading2"/>
      </w:pPr>
      <w:bookmarkStart w:id="187" w:name="_bookmark81"/>
      <w:bookmarkStart w:id="188" w:name="_Toc216699358"/>
      <w:bookmarkEnd w:id="187"/>
      <w:r w:rsidRPr="00D4309F">
        <w:lastRenderedPageBreak/>
        <w:t>How</w:t>
      </w:r>
      <w:r w:rsidRPr="00D4309F">
        <w:rPr>
          <w:spacing w:val="-11"/>
        </w:rPr>
        <w:t xml:space="preserve"> </w:t>
      </w:r>
      <w:r w:rsidRPr="00D4309F">
        <w:t>we</w:t>
      </w:r>
      <w:r w:rsidRPr="00D4309F">
        <w:rPr>
          <w:spacing w:val="-10"/>
        </w:rPr>
        <w:t xml:space="preserve"> </w:t>
      </w:r>
      <w:r w:rsidRPr="00D4309F">
        <w:t>considered</w:t>
      </w:r>
      <w:r w:rsidRPr="00D4309F">
        <w:rPr>
          <w:spacing w:val="-10"/>
        </w:rPr>
        <w:t xml:space="preserve"> </w:t>
      </w:r>
      <w:r w:rsidRPr="00D4309F">
        <w:t>social</w:t>
      </w:r>
      <w:r w:rsidRPr="00D4309F">
        <w:rPr>
          <w:spacing w:val="-10"/>
        </w:rPr>
        <w:t xml:space="preserve"> </w:t>
      </w:r>
      <w:r w:rsidRPr="00D4309F">
        <w:rPr>
          <w:spacing w:val="-2"/>
        </w:rPr>
        <w:t>impacts</w:t>
      </w:r>
      <w:bookmarkEnd w:id="188"/>
    </w:p>
    <w:p w14:paraId="4201DD69" w14:textId="61EB9482" w:rsidR="00FE6959" w:rsidRPr="00D4309F" w:rsidRDefault="00725977" w:rsidP="00725977">
      <w:pPr>
        <w:pStyle w:val="BodyText"/>
      </w:pPr>
      <w:r w:rsidRPr="00D4309F">
        <w:t xml:space="preserve">A Social Impact Evaluation (SIE) was developed providing a streamlined assessment considerate of the </w:t>
      </w:r>
      <w:r w:rsidRPr="00D4309F">
        <w:rPr>
          <w:i/>
        </w:rPr>
        <w:t>Social</w:t>
      </w:r>
      <w:r w:rsidRPr="00D4309F">
        <w:rPr>
          <w:i/>
          <w:spacing w:val="-3"/>
        </w:rPr>
        <w:t xml:space="preserve"> </w:t>
      </w:r>
      <w:r w:rsidRPr="00D4309F">
        <w:rPr>
          <w:i/>
        </w:rPr>
        <w:t>Impact</w:t>
      </w:r>
      <w:r w:rsidRPr="00D4309F">
        <w:rPr>
          <w:i/>
          <w:spacing w:val="-5"/>
        </w:rPr>
        <w:t xml:space="preserve"> </w:t>
      </w:r>
      <w:r w:rsidRPr="00D4309F">
        <w:rPr>
          <w:i/>
        </w:rPr>
        <w:t>Evaluation</w:t>
      </w:r>
      <w:r w:rsidRPr="00D4309F">
        <w:rPr>
          <w:i/>
          <w:spacing w:val="-3"/>
        </w:rPr>
        <w:t xml:space="preserve"> </w:t>
      </w:r>
      <w:r w:rsidRPr="00D4309F">
        <w:rPr>
          <w:i/>
        </w:rPr>
        <w:t>Guide,</w:t>
      </w:r>
      <w:r w:rsidRPr="00D4309F">
        <w:rPr>
          <w:i/>
          <w:spacing w:val="-3"/>
        </w:rPr>
        <w:t xml:space="preserve"> </w:t>
      </w:r>
      <w:r w:rsidRPr="00D4309F">
        <w:rPr>
          <w:i/>
        </w:rPr>
        <w:t>Business</w:t>
      </w:r>
      <w:r w:rsidRPr="00D4309F">
        <w:rPr>
          <w:i/>
          <w:spacing w:val="-2"/>
        </w:rPr>
        <w:t xml:space="preserve"> </w:t>
      </w:r>
      <w:r w:rsidRPr="00D4309F">
        <w:rPr>
          <w:i/>
        </w:rPr>
        <w:t>Case</w:t>
      </w:r>
      <w:r w:rsidRPr="00D4309F">
        <w:rPr>
          <w:i/>
          <w:spacing w:val="-4"/>
        </w:rPr>
        <w:t xml:space="preserve"> </w:t>
      </w:r>
      <w:r w:rsidRPr="00D4309F">
        <w:rPr>
          <w:i/>
        </w:rPr>
        <w:t>Development</w:t>
      </w:r>
      <w:r w:rsidRPr="00D4309F">
        <w:rPr>
          <w:i/>
          <w:spacing w:val="-3"/>
        </w:rPr>
        <w:t xml:space="preserve"> </w:t>
      </w:r>
      <w:r w:rsidRPr="00D4309F">
        <w:rPr>
          <w:i/>
        </w:rPr>
        <w:t>Framework,</w:t>
      </w:r>
      <w:r w:rsidRPr="00D4309F">
        <w:rPr>
          <w:i/>
          <w:spacing w:val="-3"/>
        </w:rPr>
        <w:t xml:space="preserve"> </w:t>
      </w:r>
      <w:r w:rsidRPr="00D4309F">
        <w:rPr>
          <w:i/>
        </w:rPr>
        <w:t>Release</w:t>
      </w:r>
      <w:r w:rsidRPr="00D4309F">
        <w:rPr>
          <w:i/>
          <w:spacing w:val="-3"/>
        </w:rPr>
        <w:t xml:space="preserve"> </w:t>
      </w:r>
      <w:r w:rsidRPr="00D4309F">
        <w:rPr>
          <w:i/>
        </w:rPr>
        <w:t>3</w:t>
      </w:r>
      <w:r w:rsidRPr="00D4309F">
        <w:rPr>
          <w:i/>
          <w:spacing w:val="-3"/>
        </w:rPr>
        <w:t xml:space="preserve"> </w:t>
      </w:r>
      <w:r w:rsidRPr="00D4309F">
        <w:rPr>
          <w:i/>
        </w:rPr>
        <w:t>(2021)</w:t>
      </w:r>
      <w:r w:rsidRPr="00D4309F">
        <w:rPr>
          <w:i/>
          <w:spacing w:val="-4"/>
        </w:rPr>
        <w:t xml:space="preserve"> </w:t>
      </w:r>
      <w:r w:rsidRPr="00D4309F">
        <w:t>developed</w:t>
      </w:r>
      <w:r w:rsidRPr="00D4309F">
        <w:rPr>
          <w:spacing w:val="-3"/>
        </w:rPr>
        <w:t xml:space="preserve"> </w:t>
      </w:r>
      <w:r w:rsidRPr="00D4309F">
        <w:t>by the Queensland Government. The SIE considered both the positive and negative impacts for each option. The impacts have been assessed against the social baseline, which is the current state of the harbour including the ongoing management activities. Impacts are considered in terms of the change between the baseline and the anticipated stakeholder experience following mitigation. Each impact is categorised</w:t>
      </w:r>
      <w:r w:rsidR="00B872A7">
        <w:t xml:space="preserve"> </w:t>
      </w:r>
      <w:r w:rsidRPr="00D4309F">
        <w:t>according to the 11 impact categories identified in the guidance: Community, Culture, Health, Intergenerational,</w:t>
      </w:r>
      <w:r w:rsidRPr="00D4309F">
        <w:rPr>
          <w:spacing w:val="-4"/>
        </w:rPr>
        <w:t xml:space="preserve"> </w:t>
      </w:r>
      <w:r w:rsidRPr="00D4309F">
        <w:t>Lifestyle,</w:t>
      </w:r>
      <w:r w:rsidRPr="00D4309F">
        <w:rPr>
          <w:spacing w:val="-4"/>
        </w:rPr>
        <w:t xml:space="preserve"> </w:t>
      </w:r>
      <w:r w:rsidRPr="00D4309F">
        <w:t>Personal</w:t>
      </w:r>
      <w:r w:rsidRPr="00D4309F">
        <w:rPr>
          <w:spacing w:val="-4"/>
        </w:rPr>
        <w:t xml:space="preserve"> </w:t>
      </w:r>
      <w:r w:rsidRPr="00D4309F">
        <w:t>and</w:t>
      </w:r>
      <w:r w:rsidRPr="00D4309F">
        <w:rPr>
          <w:spacing w:val="-4"/>
        </w:rPr>
        <w:t xml:space="preserve"> </w:t>
      </w:r>
      <w:r w:rsidRPr="00D4309F">
        <w:t>Property</w:t>
      </w:r>
      <w:r w:rsidRPr="00D4309F">
        <w:rPr>
          <w:spacing w:val="-3"/>
        </w:rPr>
        <w:t xml:space="preserve"> </w:t>
      </w:r>
      <w:r w:rsidRPr="00D4309F">
        <w:t>Rights,</w:t>
      </w:r>
      <w:r w:rsidRPr="00D4309F">
        <w:rPr>
          <w:spacing w:val="-4"/>
        </w:rPr>
        <w:t xml:space="preserve"> </w:t>
      </w:r>
      <w:r w:rsidRPr="00D4309F">
        <w:t>Institutional,</w:t>
      </w:r>
      <w:r w:rsidRPr="00D4309F">
        <w:rPr>
          <w:spacing w:val="-4"/>
        </w:rPr>
        <w:t xml:space="preserve"> </w:t>
      </w:r>
      <w:r w:rsidRPr="00D4309F">
        <w:t>legal,</w:t>
      </w:r>
      <w:r w:rsidRPr="00D4309F">
        <w:rPr>
          <w:spacing w:val="-4"/>
        </w:rPr>
        <w:t xml:space="preserve"> </w:t>
      </w:r>
      <w:r w:rsidRPr="00D4309F">
        <w:t>political</w:t>
      </w:r>
      <w:r w:rsidRPr="00D4309F">
        <w:rPr>
          <w:spacing w:val="-4"/>
        </w:rPr>
        <w:t xml:space="preserve"> </w:t>
      </w:r>
      <w:r w:rsidRPr="00D4309F">
        <w:t>systems</w:t>
      </w:r>
      <w:r w:rsidRPr="00D4309F">
        <w:rPr>
          <w:spacing w:val="-3"/>
        </w:rPr>
        <w:t xml:space="preserve"> </w:t>
      </w:r>
      <w:r w:rsidRPr="00D4309F">
        <w:t>and</w:t>
      </w:r>
      <w:r w:rsidRPr="00D4309F">
        <w:rPr>
          <w:spacing w:val="-4"/>
        </w:rPr>
        <w:t xml:space="preserve"> </w:t>
      </w:r>
      <w:r w:rsidRPr="00D4309F">
        <w:t>equity, Quality of Life, Economic, Environmental and Gender relations. The SIE is included in Appendix B. The findings of the SIE have informed the social and economic rankings provided for each option.</w:t>
      </w:r>
    </w:p>
    <w:p w14:paraId="788C8414" w14:textId="77777777" w:rsidR="00725977" w:rsidRPr="00D4309F" w:rsidRDefault="00725977" w:rsidP="0016610C">
      <w:pPr>
        <w:pStyle w:val="Heading2"/>
      </w:pPr>
      <w:bookmarkStart w:id="189" w:name="_bookmark82"/>
      <w:bookmarkStart w:id="190" w:name="_Toc216699359"/>
      <w:bookmarkEnd w:id="189"/>
      <w:r w:rsidRPr="00D4309F">
        <w:t>How</w:t>
      </w:r>
      <w:r w:rsidRPr="00D4309F">
        <w:rPr>
          <w:spacing w:val="-9"/>
        </w:rPr>
        <w:t xml:space="preserve"> </w:t>
      </w:r>
      <w:r w:rsidRPr="00D4309F">
        <w:t>we</w:t>
      </w:r>
      <w:r w:rsidRPr="00D4309F">
        <w:rPr>
          <w:spacing w:val="-8"/>
        </w:rPr>
        <w:t xml:space="preserve"> </w:t>
      </w:r>
      <w:r w:rsidRPr="00D4309F">
        <w:t>reviewed</w:t>
      </w:r>
      <w:r w:rsidRPr="00D4309F">
        <w:rPr>
          <w:spacing w:val="-9"/>
        </w:rPr>
        <w:t xml:space="preserve"> </w:t>
      </w:r>
      <w:r w:rsidRPr="00D4309F">
        <w:t>options</w:t>
      </w:r>
      <w:r w:rsidRPr="00D4309F">
        <w:rPr>
          <w:spacing w:val="-7"/>
        </w:rPr>
        <w:t xml:space="preserve"> </w:t>
      </w:r>
      <w:r w:rsidRPr="00D4309F">
        <w:t>in</w:t>
      </w:r>
      <w:r w:rsidRPr="00D4309F">
        <w:rPr>
          <w:spacing w:val="-9"/>
        </w:rPr>
        <w:t xml:space="preserve"> </w:t>
      </w:r>
      <w:r w:rsidRPr="00D4309F">
        <w:t>this</w:t>
      </w:r>
      <w:r w:rsidRPr="00D4309F">
        <w:rPr>
          <w:spacing w:val="-8"/>
        </w:rPr>
        <w:t xml:space="preserve"> </w:t>
      </w:r>
      <w:r w:rsidRPr="00D4309F">
        <w:rPr>
          <w:spacing w:val="-2"/>
        </w:rPr>
        <w:t>report</w:t>
      </w:r>
      <w:bookmarkEnd w:id="190"/>
    </w:p>
    <w:p w14:paraId="41B3F9C3" w14:textId="77777777" w:rsidR="00725977" w:rsidRPr="00D4309F" w:rsidRDefault="00725977" w:rsidP="00725977">
      <w:pPr>
        <w:pStyle w:val="BodyText"/>
      </w:pPr>
      <w:r w:rsidRPr="00D4309F">
        <w:t>Our review considers both options already advanced to varying stages of concept/design and ideas emerging</w:t>
      </w:r>
      <w:r w:rsidRPr="00D4309F">
        <w:rPr>
          <w:spacing w:val="-2"/>
        </w:rPr>
        <w:t xml:space="preserve"> </w:t>
      </w:r>
      <w:r w:rsidRPr="00D4309F">
        <w:t>from</w:t>
      </w:r>
      <w:r w:rsidRPr="00D4309F">
        <w:rPr>
          <w:spacing w:val="-2"/>
        </w:rPr>
        <w:t xml:space="preserve"> </w:t>
      </w:r>
      <w:r w:rsidRPr="00D4309F">
        <w:t>community</w:t>
      </w:r>
      <w:r w:rsidRPr="00D4309F">
        <w:rPr>
          <w:spacing w:val="-2"/>
        </w:rPr>
        <w:t xml:space="preserve"> </w:t>
      </w:r>
      <w:r w:rsidRPr="00D4309F">
        <w:t>and</w:t>
      </w:r>
      <w:r w:rsidRPr="00D4309F">
        <w:rPr>
          <w:spacing w:val="-2"/>
        </w:rPr>
        <w:t xml:space="preserve"> </w:t>
      </w:r>
      <w:r w:rsidRPr="00D4309F">
        <w:t>SRG</w:t>
      </w:r>
      <w:r w:rsidRPr="00D4309F">
        <w:rPr>
          <w:spacing w:val="-2"/>
        </w:rPr>
        <w:t xml:space="preserve"> </w:t>
      </w:r>
      <w:r w:rsidRPr="00D4309F">
        <w:t>input</w:t>
      </w:r>
      <w:r w:rsidRPr="00D4309F">
        <w:rPr>
          <w:spacing w:val="-3"/>
        </w:rPr>
        <w:t xml:space="preserve"> </w:t>
      </w:r>
      <w:r w:rsidRPr="00D4309F">
        <w:t>to</w:t>
      </w:r>
      <w:r w:rsidRPr="00D4309F">
        <w:rPr>
          <w:spacing w:val="-2"/>
        </w:rPr>
        <w:t xml:space="preserve"> </w:t>
      </w:r>
      <w:r w:rsidRPr="00D4309F">
        <w:t>achieve</w:t>
      </w:r>
      <w:r w:rsidRPr="00D4309F">
        <w:rPr>
          <w:spacing w:val="-3"/>
        </w:rPr>
        <w:t xml:space="preserve"> </w:t>
      </w:r>
      <w:r w:rsidRPr="00D4309F">
        <w:t>the</w:t>
      </w:r>
      <w:r w:rsidRPr="00D4309F">
        <w:rPr>
          <w:spacing w:val="-2"/>
        </w:rPr>
        <w:t xml:space="preserve"> </w:t>
      </w:r>
      <w:r w:rsidRPr="00D4309F">
        <w:t>long-term</w:t>
      </w:r>
      <w:r w:rsidRPr="00D4309F">
        <w:rPr>
          <w:spacing w:val="-3"/>
        </w:rPr>
        <w:t xml:space="preserve"> </w:t>
      </w:r>
      <w:r w:rsidRPr="00D4309F">
        <w:t>goal:</w:t>
      </w:r>
      <w:r w:rsidRPr="00D4309F">
        <w:rPr>
          <w:spacing w:val="-2"/>
        </w:rPr>
        <w:t xml:space="preserve"> </w:t>
      </w:r>
      <w:r w:rsidRPr="00D4309F">
        <w:t>moving</w:t>
      </w:r>
      <w:r w:rsidRPr="00D4309F">
        <w:rPr>
          <w:spacing w:val="-3"/>
        </w:rPr>
        <w:t xml:space="preserve"> </w:t>
      </w:r>
      <w:r w:rsidRPr="00D4309F">
        <w:t>sufficient</w:t>
      </w:r>
      <w:r w:rsidRPr="00D4309F">
        <w:rPr>
          <w:spacing w:val="-2"/>
        </w:rPr>
        <w:t xml:space="preserve"> </w:t>
      </w:r>
      <w:r w:rsidRPr="00D4309F">
        <w:t>sand</w:t>
      </w:r>
      <w:r w:rsidRPr="00D4309F">
        <w:rPr>
          <w:spacing w:val="-2"/>
        </w:rPr>
        <w:t xml:space="preserve"> </w:t>
      </w:r>
      <w:r w:rsidRPr="00D4309F">
        <w:t>from</w:t>
      </w:r>
      <w:r w:rsidRPr="00D4309F">
        <w:rPr>
          <w:spacing w:val="-2"/>
        </w:rPr>
        <w:t xml:space="preserve"> </w:t>
      </w:r>
      <w:r w:rsidRPr="00D4309F">
        <w:t>Area</w:t>
      </w:r>
      <w:r w:rsidRPr="00D4309F">
        <w:rPr>
          <w:spacing w:val="-3"/>
        </w:rPr>
        <w:t xml:space="preserve"> </w:t>
      </w:r>
      <w:r w:rsidRPr="00D4309F">
        <w:t>A (east) to Area B (west) to maintain a clear, safe entrance at all times.</w:t>
      </w:r>
    </w:p>
    <w:p w14:paraId="3081897A" w14:textId="77777777" w:rsidR="00725977" w:rsidRPr="00D4309F" w:rsidRDefault="00725977" w:rsidP="00725977">
      <w:pPr>
        <w:pStyle w:val="BodyText"/>
      </w:pPr>
      <w:r w:rsidRPr="00D4309F">
        <w:t>Each</w:t>
      </w:r>
      <w:r w:rsidRPr="00D4309F">
        <w:rPr>
          <w:spacing w:val="-6"/>
        </w:rPr>
        <w:t xml:space="preserve"> </w:t>
      </w:r>
      <w:r w:rsidRPr="00D4309F">
        <w:t>option</w:t>
      </w:r>
      <w:r w:rsidRPr="00D4309F">
        <w:rPr>
          <w:spacing w:val="-4"/>
        </w:rPr>
        <w:t xml:space="preserve"> </w:t>
      </w:r>
      <w:r w:rsidRPr="00D4309F">
        <w:t>has</w:t>
      </w:r>
      <w:r w:rsidRPr="00D4309F">
        <w:rPr>
          <w:spacing w:val="-2"/>
        </w:rPr>
        <w:t xml:space="preserve"> </w:t>
      </w:r>
      <w:r w:rsidRPr="00D4309F">
        <w:t>been</w:t>
      </w:r>
      <w:r w:rsidRPr="00D4309F">
        <w:rPr>
          <w:spacing w:val="-4"/>
        </w:rPr>
        <w:t xml:space="preserve"> </w:t>
      </w:r>
      <w:r w:rsidRPr="00D4309F">
        <w:t>assessed</w:t>
      </w:r>
      <w:r w:rsidRPr="00D4309F">
        <w:rPr>
          <w:spacing w:val="-3"/>
        </w:rPr>
        <w:t xml:space="preserve"> </w:t>
      </w:r>
      <w:r w:rsidRPr="00D4309F">
        <w:t>in</w:t>
      </w:r>
      <w:r w:rsidRPr="00D4309F">
        <w:rPr>
          <w:spacing w:val="-4"/>
        </w:rPr>
        <w:t xml:space="preserve"> </w:t>
      </w:r>
      <w:r w:rsidRPr="00D4309F">
        <w:t>relation</w:t>
      </w:r>
      <w:r w:rsidRPr="00D4309F">
        <w:rPr>
          <w:spacing w:val="-3"/>
        </w:rPr>
        <w:t xml:space="preserve"> </w:t>
      </w:r>
      <w:r w:rsidRPr="00D4309F">
        <w:rPr>
          <w:spacing w:val="-5"/>
        </w:rPr>
        <w:t>to:</w:t>
      </w:r>
    </w:p>
    <w:p w14:paraId="7483ECC7" w14:textId="77777777" w:rsidR="00725977" w:rsidRPr="00D4309F" w:rsidRDefault="00725977" w:rsidP="000D5B19">
      <w:pPr>
        <w:pStyle w:val="ListBullet"/>
      </w:pPr>
      <w:r w:rsidRPr="00D4309F">
        <w:t>Effectiveness</w:t>
      </w:r>
      <w:r w:rsidRPr="00D4309F">
        <w:rPr>
          <w:spacing w:val="-7"/>
        </w:rPr>
        <w:t xml:space="preserve"> </w:t>
      </w:r>
      <w:r w:rsidRPr="00D4309F">
        <w:t>of</w:t>
      </w:r>
      <w:r w:rsidRPr="00D4309F">
        <w:rPr>
          <w:spacing w:val="-5"/>
        </w:rPr>
        <w:t xml:space="preserve"> </w:t>
      </w:r>
      <w:r w:rsidRPr="00D4309F">
        <w:t>the</w:t>
      </w:r>
      <w:r w:rsidRPr="00D4309F">
        <w:rPr>
          <w:spacing w:val="-4"/>
        </w:rPr>
        <w:t xml:space="preserve"> </w:t>
      </w:r>
      <w:r w:rsidRPr="00D4309F">
        <w:t>coastal</w:t>
      </w:r>
      <w:r w:rsidRPr="00D4309F">
        <w:rPr>
          <w:spacing w:val="-5"/>
        </w:rPr>
        <w:t xml:space="preserve"> </w:t>
      </w:r>
      <w:r w:rsidRPr="00D4309F">
        <w:t>engineering</w:t>
      </w:r>
      <w:r w:rsidRPr="00D4309F">
        <w:rPr>
          <w:spacing w:val="-4"/>
        </w:rPr>
        <w:t xml:space="preserve"> </w:t>
      </w:r>
      <w:r w:rsidRPr="00D4309F">
        <w:t>solutions</w:t>
      </w:r>
      <w:r w:rsidRPr="00D4309F">
        <w:rPr>
          <w:spacing w:val="-5"/>
        </w:rPr>
        <w:t xml:space="preserve"> </w:t>
      </w:r>
      <w:r w:rsidRPr="00D4309F">
        <w:t>to</w:t>
      </w:r>
      <w:r w:rsidRPr="00D4309F">
        <w:rPr>
          <w:spacing w:val="-5"/>
        </w:rPr>
        <w:t xml:space="preserve"> </w:t>
      </w:r>
      <w:r w:rsidRPr="00D4309F">
        <w:t>achieve</w:t>
      </w:r>
      <w:r w:rsidRPr="00D4309F">
        <w:rPr>
          <w:spacing w:val="-4"/>
        </w:rPr>
        <w:t xml:space="preserve"> </w:t>
      </w:r>
      <w:r w:rsidRPr="00D4309F">
        <w:t>the</w:t>
      </w:r>
      <w:r w:rsidRPr="00D4309F">
        <w:rPr>
          <w:spacing w:val="-5"/>
        </w:rPr>
        <w:t xml:space="preserve"> </w:t>
      </w:r>
      <w:r w:rsidRPr="00D4309F">
        <w:t>long-term</w:t>
      </w:r>
      <w:r w:rsidRPr="00D4309F">
        <w:rPr>
          <w:spacing w:val="-4"/>
        </w:rPr>
        <w:t xml:space="preserve"> </w:t>
      </w:r>
      <w:r w:rsidRPr="00D4309F">
        <w:rPr>
          <w:spacing w:val="-2"/>
        </w:rPr>
        <w:t>goal.</w:t>
      </w:r>
    </w:p>
    <w:p w14:paraId="041F77DF" w14:textId="77777777" w:rsidR="00725977" w:rsidRPr="00D4309F" w:rsidRDefault="00725977" w:rsidP="000D5B19">
      <w:pPr>
        <w:pStyle w:val="ListBullet"/>
      </w:pPr>
      <w:r w:rsidRPr="00D4309F">
        <w:t>Potential</w:t>
      </w:r>
      <w:r w:rsidRPr="00D4309F">
        <w:rPr>
          <w:spacing w:val="-4"/>
        </w:rPr>
        <w:t xml:space="preserve"> </w:t>
      </w:r>
      <w:r w:rsidRPr="00D4309F">
        <w:t>for</w:t>
      </w:r>
      <w:r w:rsidRPr="00D4309F">
        <w:rPr>
          <w:spacing w:val="-4"/>
        </w:rPr>
        <w:t xml:space="preserve"> </w:t>
      </w:r>
      <w:r w:rsidRPr="00D4309F">
        <w:t>social</w:t>
      </w:r>
      <w:r w:rsidRPr="00D4309F">
        <w:rPr>
          <w:spacing w:val="-3"/>
        </w:rPr>
        <w:t xml:space="preserve"> </w:t>
      </w:r>
      <w:r w:rsidRPr="00D4309F">
        <w:t>and</w:t>
      </w:r>
      <w:r w:rsidRPr="00D4309F">
        <w:rPr>
          <w:spacing w:val="-4"/>
        </w:rPr>
        <w:t xml:space="preserve"> </w:t>
      </w:r>
      <w:r w:rsidRPr="00D4309F">
        <w:t>economic</w:t>
      </w:r>
      <w:r w:rsidRPr="00D4309F">
        <w:rPr>
          <w:spacing w:val="-3"/>
        </w:rPr>
        <w:t xml:space="preserve"> </w:t>
      </w:r>
      <w:r w:rsidRPr="00D4309F">
        <w:rPr>
          <w:spacing w:val="-2"/>
        </w:rPr>
        <w:t>impacts</w:t>
      </w:r>
    </w:p>
    <w:p w14:paraId="464656F1" w14:textId="77777777" w:rsidR="00725977" w:rsidRPr="00D4309F" w:rsidRDefault="00725977" w:rsidP="000D5B19">
      <w:pPr>
        <w:pStyle w:val="ListBullet"/>
      </w:pPr>
      <w:r w:rsidRPr="00D4309F">
        <w:t>Potential</w:t>
      </w:r>
      <w:r w:rsidRPr="00D4309F">
        <w:rPr>
          <w:spacing w:val="-6"/>
        </w:rPr>
        <w:t xml:space="preserve"> </w:t>
      </w:r>
      <w:r w:rsidRPr="00D4309F">
        <w:t>for</w:t>
      </w:r>
      <w:r w:rsidRPr="00D4309F">
        <w:rPr>
          <w:spacing w:val="-4"/>
        </w:rPr>
        <w:t xml:space="preserve"> </w:t>
      </w:r>
      <w:r w:rsidRPr="00D4309F">
        <w:t>environmental</w:t>
      </w:r>
      <w:r w:rsidRPr="00D4309F">
        <w:rPr>
          <w:spacing w:val="-5"/>
        </w:rPr>
        <w:t xml:space="preserve"> </w:t>
      </w:r>
      <w:r w:rsidRPr="00D4309F">
        <w:rPr>
          <w:spacing w:val="-2"/>
        </w:rPr>
        <w:t>impacts</w:t>
      </w:r>
    </w:p>
    <w:p w14:paraId="1382267B" w14:textId="77777777" w:rsidR="00725977" w:rsidRPr="00D4309F" w:rsidRDefault="00725977" w:rsidP="00725977">
      <w:pPr>
        <w:pStyle w:val="BodyText"/>
      </w:pPr>
      <w:r w:rsidRPr="00D4309F">
        <w:t>Evaluation</w:t>
      </w:r>
      <w:r w:rsidRPr="00D4309F">
        <w:rPr>
          <w:spacing w:val="-3"/>
        </w:rPr>
        <w:t xml:space="preserve"> </w:t>
      </w:r>
      <w:r w:rsidRPr="00D4309F">
        <w:t>of</w:t>
      </w:r>
      <w:r w:rsidRPr="00D4309F">
        <w:rPr>
          <w:spacing w:val="-3"/>
        </w:rPr>
        <w:t xml:space="preserve"> </w:t>
      </w:r>
      <w:r w:rsidRPr="00D4309F">
        <w:t>long-term</w:t>
      </w:r>
      <w:r w:rsidRPr="00D4309F">
        <w:rPr>
          <w:spacing w:val="-3"/>
        </w:rPr>
        <w:t xml:space="preserve"> </w:t>
      </w:r>
      <w:r w:rsidRPr="00D4309F">
        <w:t>options</w:t>
      </w:r>
      <w:r w:rsidRPr="00D4309F">
        <w:rPr>
          <w:spacing w:val="-3"/>
        </w:rPr>
        <w:t xml:space="preserve"> </w:t>
      </w:r>
      <w:r w:rsidRPr="00D4309F">
        <w:t>uses</w:t>
      </w:r>
      <w:r w:rsidRPr="00D4309F">
        <w:rPr>
          <w:spacing w:val="-2"/>
        </w:rPr>
        <w:t xml:space="preserve"> </w:t>
      </w:r>
      <w:r w:rsidRPr="00D4309F">
        <w:t>a</w:t>
      </w:r>
      <w:r w:rsidRPr="00D4309F">
        <w:rPr>
          <w:spacing w:val="-3"/>
        </w:rPr>
        <w:t xml:space="preserve"> </w:t>
      </w:r>
      <w:r w:rsidRPr="00D4309F">
        <w:t>multi-criteria</w:t>
      </w:r>
      <w:r w:rsidRPr="00D4309F">
        <w:rPr>
          <w:spacing w:val="-3"/>
        </w:rPr>
        <w:t xml:space="preserve"> </w:t>
      </w:r>
      <w:r w:rsidRPr="00D4309F">
        <w:t>analysis</w:t>
      </w:r>
      <w:r w:rsidRPr="00D4309F">
        <w:rPr>
          <w:spacing w:val="-2"/>
        </w:rPr>
        <w:t xml:space="preserve"> </w:t>
      </w:r>
      <w:r w:rsidRPr="00D4309F">
        <w:t>(MCA)</w:t>
      </w:r>
      <w:r w:rsidRPr="00D4309F">
        <w:rPr>
          <w:spacing w:val="-2"/>
        </w:rPr>
        <w:t xml:space="preserve"> </w:t>
      </w:r>
      <w:r w:rsidRPr="00D4309F">
        <w:t>process</w:t>
      </w:r>
      <w:r w:rsidRPr="00D4309F">
        <w:rPr>
          <w:spacing w:val="-2"/>
        </w:rPr>
        <w:t xml:space="preserve"> </w:t>
      </w:r>
      <w:r w:rsidRPr="00D4309F">
        <w:t>to</w:t>
      </w:r>
      <w:r w:rsidRPr="00D4309F">
        <w:rPr>
          <w:spacing w:val="-3"/>
        </w:rPr>
        <w:t xml:space="preserve"> </w:t>
      </w:r>
      <w:r w:rsidRPr="00D4309F">
        <w:t>determine</w:t>
      </w:r>
      <w:r w:rsidRPr="00D4309F">
        <w:rPr>
          <w:spacing w:val="-3"/>
        </w:rPr>
        <w:t xml:space="preserve"> </w:t>
      </w:r>
      <w:r w:rsidRPr="00D4309F">
        <w:t>preferred</w:t>
      </w:r>
      <w:r w:rsidRPr="00D4309F">
        <w:rPr>
          <w:spacing w:val="-3"/>
        </w:rPr>
        <w:t xml:space="preserve"> </w:t>
      </w:r>
      <w:r w:rsidRPr="00D4309F">
        <w:t>options that meet the long-term goal. The assessment blends coastal engineering analysis with environmental, social, operational, and economic considerations, informed by our experience delivering similar projects in comparable coastal settings.</w:t>
      </w:r>
    </w:p>
    <w:p w14:paraId="030B08BD" w14:textId="77777777" w:rsidR="00725977" w:rsidRPr="00D4309F" w:rsidRDefault="00725977" w:rsidP="00725977">
      <w:pPr>
        <w:pStyle w:val="BodyText"/>
      </w:pPr>
      <w:r w:rsidRPr="00D4309F">
        <w:t>The</w:t>
      </w:r>
      <w:r w:rsidRPr="00D4309F">
        <w:rPr>
          <w:spacing w:val="-2"/>
        </w:rPr>
        <w:t xml:space="preserve"> </w:t>
      </w:r>
      <w:r w:rsidRPr="00D4309F">
        <w:t>MCA</w:t>
      </w:r>
      <w:r w:rsidRPr="00D4309F">
        <w:rPr>
          <w:spacing w:val="-4"/>
        </w:rPr>
        <w:t xml:space="preserve"> </w:t>
      </w:r>
      <w:r w:rsidRPr="00D4309F">
        <w:t>scoring</w:t>
      </w:r>
      <w:r w:rsidRPr="00D4309F">
        <w:rPr>
          <w:spacing w:val="-2"/>
        </w:rPr>
        <w:t xml:space="preserve"> </w:t>
      </w:r>
      <w:r w:rsidRPr="00D4309F">
        <w:t>was</w:t>
      </w:r>
      <w:r w:rsidRPr="00D4309F">
        <w:rPr>
          <w:spacing w:val="-1"/>
        </w:rPr>
        <w:t xml:space="preserve"> </w:t>
      </w:r>
      <w:r w:rsidRPr="00D4309F">
        <w:t>undertaken</w:t>
      </w:r>
      <w:r w:rsidRPr="00D4309F">
        <w:rPr>
          <w:spacing w:val="-2"/>
        </w:rPr>
        <w:t xml:space="preserve"> </w:t>
      </w:r>
      <w:r w:rsidRPr="00D4309F">
        <w:t>by</w:t>
      </w:r>
      <w:r w:rsidRPr="00D4309F">
        <w:rPr>
          <w:spacing w:val="-1"/>
        </w:rPr>
        <w:t xml:space="preserve"> </w:t>
      </w:r>
      <w:r w:rsidRPr="00D4309F">
        <w:t>the</w:t>
      </w:r>
      <w:r w:rsidRPr="00D4309F">
        <w:rPr>
          <w:spacing w:val="-2"/>
        </w:rPr>
        <w:t xml:space="preserve"> </w:t>
      </w:r>
      <w:r w:rsidRPr="00D4309F">
        <w:t>ICM</w:t>
      </w:r>
      <w:r w:rsidRPr="00D4309F">
        <w:rPr>
          <w:spacing w:val="-2"/>
        </w:rPr>
        <w:t xml:space="preserve"> </w:t>
      </w:r>
      <w:r w:rsidRPr="00D4309F">
        <w:t>and</w:t>
      </w:r>
      <w:r w:rsidRPr="00D4309F">
        <w:rPr>
          <w:spacing w:val="-2"/>
        </w:rPr>
        <w:t xml:space="preserve"> </w:t>
      </w:r>
      <w:r w:rsidRPr="00D4309F">
        <w:t>RPS</w:t>
      </w:r>
      <w:r w:rsidRPr="00D4309F">
        <w:rPr>
          <w:spacing w:val="-2"/>
        </w:rPr>
        <w:t xml:space="preserve"> </w:t>
      </w:r>
      <w:r w:rsidRPr="00D4309F">
        <w:t>technical</w:t>
      </w:r>
      <w:r w:rsidRPr="00D4309F">
        <w:rPr>
          <w:spacing w:val="-2"/>
        </w:rPr>
        <w:t xml:space="preserve"> </w:t>
      </w:r>
      <w:r w:rsidRPr="00D4309F">
        <w:t>leads</w:t>
      </w:r>
      <w:r w:rsidRPr="00D4309F">
        <w:rPr>
          <w:spacing w:val="-1"/>
        </w:rPr>
        <w:t xml:space="preserve"> </w:t>
      </w:r>
      <w:r w:rsidRPr="00D4309F">
        <w:t>from</w:t>
      </w:r>
      <w:r w:rsidRPr="00D4309F">
        <w:rPr>
          <w:spacing w:val="-2"/>
        </w:rPr>
        <w:t xml:space="preserve"> </w:t>
      </w:r>
      <w:r w:rsidRPr="00D4309F">
        <w:t>the</w:t>
      </w:r>
      <w:r w:rsidRPr="00D4309F">
        <w:rPr>
          <w:spacing w:val="-3"/>
        </w:rPr>
        <w:t xml:space="preserve"> </w:t>
      </w:r>
      <w:r w:rsidRPr="00D4309F">
        <w:t>project</w:t>
      </w:r>
      <w:r w:rsidRPr="00D4309F">
        <w:rPr>
          <w:spacing w:val="-2"/>
        </w:rPr>
        <w:t xml:space="preserve"> </w:t>
      </w:r>
      <w:r w:rsidRPr="00D4309F">
        <w:t>team.</w:t>
      </w:r>
      <w:r w:rsidRPr="00D4309F">
        <w:rPr>
          <w:spacing w:val="-3"/>
        </w:rPr>
        <w:t xml:space="preserve"> </w:t>
      </w:r>
      <w:r w:rsidRPr="00D4309F">
        <w:t>No</w:t>
      </w:r>
      <w:r w:rsidRPr="00D4309F">
        <w:rPr>
          <w:spacing w:val="-2"/>
        </w:rPr>
        <w:t xml:space="preserve"> </w:t>
      </w:r>
      <w:r w:rsidRPr="00D4309F">
        <w:t>weighting or sensitivity has been applied to the scoring.</w:t>
      </w:r>
    </w:p>
    <w:p w14:paraId="595AFC25" w14:textId="77777777" w:rsidR="00725977" w:rsidRPr="00D4309F" w:rsidRDefault="00725977" w:rsidP="00725977">
      <w:pPr>
        <w:pStyle w:val="BodyText"/>
      </w:pPr>
      <w:r w:rsidRPr="00D4309F">
        <w:t>The</w:t>
      </w:r>
      <w:r w:rsidRPr="00D4309F">
        <w:rPr>
          <w:spacing w:val="-6"/>
        </w:rPr>
        <w:t xml:space="preserve"> </w:t>
      </w:r>
      <w:r w:rsidRPr="00D4309F">
        <w:t>key</w:t>
      </w:r>
      <w:r w:rsidRPr="00D4309F">
        <w:rPr>
          <w:spacing w:val="-3"/>
        </w:rPr>
        <w:t xml:space="preserve"> </w:t>
      </w:r>
      <w:r w:rsidRPr="00D4309F">
        <w:t>steps</w:t>
      </w:r>
      <w:r w:rsidRPr="00D4309F">
        <w:rPr>
          <w:spacing w:val="-2"/>
        </w:rPr>
        <w:t xml:space="preserve"> </w:t>
      </w:r>
      <w:r w:rsidRPr="00D4309F">
        <w:t>undertaken</w:t>
      </w:r>
      <w:r w:rsidRPr="00D4309F">
        <w:rPr>
          <w:spacing w:val="-4"/>
        </w:rPr>
        <w:t xml:space="preserve"> </w:t>
      </w:r>
      <w:r w:rsidRPr="00D4309F">
        <w:t>by</w:t>
      </w:r>
      <w:r w:rsidRPr="00D4309F">
        <w:rPr>
          <w:spacing w:val="-2"/>
        </w:rPr>
        <w:t xml:space="preserve"> </w:t>
      </w:r>
      <w:r w:rsidRPr="00D4309F">
        <w:t>the</w:t>
      </w:r>
      <w:r w:rsidRPr="00D4309F">
        <w:rPr>
          <w:spacing w:val="-3"/>
        </w:rPr>
        <w:t xml:space="preserve"> </w:t>
      </w:r>
      <w:r w:rsidRPr="00D4309F">
        <w:t>project</w:t>
      </w:r>
      <w:r w:rsidRPr="00D4309F">
        <w:rPr>
          <w:spacing w:val="-3"/>
        </w:rPr>
        <w:t xml:space="preserve"> </w:t>
      </w:r>
      <w:r w:rsidRPr="00D4309F">
        <w:t>team</w:t>
      </w:r>
      <w:r w:rsidRPr="00D4309F">
        <w:rPr>
          <w:spacing w:val="-3"/>
        </w:rPr>
        <w:t xml:space="preserve"> </w:t>
      </w:r>
      <w:r w:rsidRPr="00D4309F">
        <w:t>in</w:t>
      </w:r>
      <w:r w:rsidRPr="00D4309F">
        <w:rPr>
          <w:spacing w:val="-3"/>
        </w:rPr>
        <w:t xml:space="preserve"> </w:t>
      </w:r>
      <w:r w:rsidRPr="00D4309F">
        <w:t>the</w:t>
      </w:r>
      <w:r w:rsidRPr="00D4309F">
        <w:rPr>
          <w:spacing w:val="-3"/>
        </w:rPr>
        <w:t xml:space="preserve"> </w:t>
      </w:r>
      <w:r w:rsidRPr="00D4309F">
        <w:t>MCA</w:t>
      </w:r>
      <w:r w:rsidRPr="00D4309F">
        <w:rPr>
          <w:spacing w:val="-3"/>
        </w:rPr>
        <w:t xml:space="preserve"> </w:t>
      </w:r>
      <w:r w:rsidRPr="00D4309F">
        <w:t>process</w:t>
      </w:r>
      <w:r w:rsidRPr="00D4309F">
        <w:rPr>
          <w:spacing w:val="-3"/>
        </w:rPr>
        <w:t xml:space="preserve"> </w:t>
      </w:r>
      <w:r w:rsidRPr="00D4309F">
        <w:rPr>
          <w:spacing w:val="-2"/>
        </w:rPr>
        <w:t>include:</w:t>
      </w:r>
    </w:p>
    <w:p w14:paraId="12880E35" w14:textId="77777777" w:rsidR="00725977" w:rsidRPr="00D4309F" w:rsidRDefault="00725977" w:rsidP="000D5B19">
      <w:pPr>
        <w:pStyle w:val="ListBullet"/>
      </w:pPr>
      <w:r w:rsidRPr="00D4309F">
        <w:t>Develop</w:t>
      </w:r>
      <w:r w:rsidRPr="00D4309F">
        <w:rPr>
          <w:spacing w:val="-3"/>
        </w:rPr>
        <w:t xml:space="preserve"> </w:t>
      </w:r>
      <w:r w:rsidRPr="00D4309F">
        <w:t>and</w:t>
      </w:r>
      <w:r w:rsidRPr="00D4309F">
        <w:rPr>
          <w:spacing w:val="-4"/>
        </w:rPr>
        <w:t xml:space="preserve"> </w:t>
      </w:r>
      <w:r w:rsidRPr="00D4309F">
        <w:t>agree</w:t>
      </w:r>
      <w:r w:rsidRPr="00D4309F">
        <w:rPr>
          <w:spacing w:val="-3"/>
        </w:rPr>
        <w:t xml:space="preserve"> </w:t>
      </w:r>
      <w:r w:rsidRPr="00D4309F">
        <w:t>on</w:t>
      </w:r>
      <w:r w:rsidRPr="00D4309F">
        <w:rPr>
          <w:spacing w:val="-3"/>
        </w:rPr>
        <w:t xml:space="preserve"> </w:t>
      </w:r>
      <w:r w:rsidRPr="00D4309F">
        <w:t>the</w:t>
      </w:r>
      <w:r w:rsidRPr="00D4309F">
        <w:rPr>
          <w:spacing w:val="-3"/>
        </w:rPr>
        <w:t xml:space="preserve"> </w:t>
      </w:r>
      <w:r w:rsidRPr="00D4309F">
        <w:t>list</w:t>
      </w:r>
      <w:r w:rsidRPr="00D4309F">
        <w:rPr>
          <w:spacing w:val="-3"/>
        </w:rPr>
        <w:t xml:space="preserve"> </w:t>
      </w:r>
      <w:r w:rsidRPr="00D4309F">
        <w:t>of</w:t>
      </w:r>
      <w:r w:rsidRPr="00D4309F">
        <w:rPr>
          <w:spacing w:val="-3"/>
        </w:rPr>
        <w:t xml:space="preserve"> </w:t>
      </w:r>
      <w:r w:rsidRPr="00D4309F">
        <w:t>MCA</w:t>
      </w:r>
      <w:r w:rsidRPr="00D4309F">
        <w:rPr>
          <w:spacing w:val="-3"/>
        </w:rPr>
        <w:t xml:space="preserve"> </w:t>
      </w:r>
      <w:r w:rsidRPr="00D4309F">
        <w:t>categories</w:t>
      </w:r>
      <w:r w:rsidRPr="00D4309F">
        <w:rPr>
          <w:spacing w:val="-2"/>
        </w:rPr>
        <w:t xml:space="preserve"> </w:t>
      </w:r>
      <w:r w:rsidRPr="00D4309F">
        <w:t>and</w:t>
      </w:r>
      <w:r w:rsidRPr="00D4309F">
        <w:rPr>
          <w:spacing w:val="-3"/>
        </w:rPr>
        <w:t xml:space="preserve"> </w:t>
      </w:r>
      <w:r w:rsidRPr="00D4309F">
        <w:rPr>
          <w:spacing w:val="-2"/>
        </w:rPr>
        <w:t>criteria</w:t>
      </w:r>
    </w:p>
    <w:p w14:paraId="0895CDEA" w14:textId="77777777" w:rsidR="00725977" w:rsidRPr="00D4309F" w:rsidRDefault="00725977" w:rsidP="000D5B19">
      <w:pPr>
        <w:pStyle w:val="ListBullet"/>
      </w:pPr>
      <w:r w:rsidRPr="00D4309F">
        <w:t>Score</w:t>
      </w:r>
      <w:r w:rsidRPr="00D4309F">
        <w:rPr>
          <w:spacing w:val="-4"/>
        </w:rPr>
        <w:t xml:space="preserve"> </w:t>
      </w:r>
      <w:r w:rsidRPr="00D4309F">
        <w:t>each</w:t>
      </w:r>
      <w:r w:rsidRPr="00D4309F">
        <w:rPr>
          <w:spacing w:val="-3"/>
        </w:rPr>
        <w:t xml:space="preserve"> </w:t>
      </w:r>
      <w:r w:rsidRPr="00D4309F">
        <w:t>option</w:t>
      </w:r>
      <w:r w:rsidRPr="00D4309F">
        <w:rPr>
          <w:spacing w:val="-3"/>
        </w:rPr>
        <w:t xml:space="preserve"> </w:t>
      </w:r>
      <w:r w:rsidRPr="00D4309F">
        <w:t>with</w:t>
      </w:r>
      <w:r w:rsidRPr="00D4309F">
        <w:rPr>
          <w:spacing w:val="-4"/>
        </w:rPr>
        <w:t xml:space="preserve"> </w:t>
      </w:r>
      <w:r w:rsidRPr="00D4309F">
        <w:t>respect</w:t>
      </w:r>
      <w:r w:rsidRPr="00D4309F">
        <w:rPr>
          <w:spacing w:val="-3"/>
        </w:rPr>
        <w:t xml:space="preserve"> </w:t>
      </w:r>
      <w:r w:rsidRPr="00D4309F">
        <w:t>to</w:t>
      </w:r>
      <w:r w:rsidRPr="00D4309F">
        <w:rPr>
          <w:spacing w:val="-3"/>
        </w:rPr>
        <w:t xml:space="preserve"> </w:t>
      </w:r>
      <w:r w:rsidRPr="00D4309F">
        <w:t>each</w:t>
      </w:r>
      <w:r w:rsidRPr="00D4309F">
        <w:rPr>
          <w:spacing w:val="-4"/>
        </w:rPr>
        <w:t xml:space="preserve"> </w:t>
      </w:r>
      <w:r w:rsidRPr="00D4309F">
        <w:rPr>
          <w:spacing w:val="-2"/>
        </w:rPr>
        <w:t>criterion</w:t>
      </w:r>
    </w:p>
    <w:p w14:paraId="7609487F" w14:textId="77777777" w:rsidR="00725977" w:rsidRPr="00D4309F" w:rsidRDefault="00725977" w:rsidP="000D5B19">
      <w:pPr>
        <w:pStyle w:val="ListBullet"/>
      </w:pPr>
      <w:r w:rsidRPr="00D4309F">
        <w:t>Combine</w:t>
      </w:r>
      <w:r w:rsidRPr="00D4309F">
        <w:rPr>
          <w:spacing w:val="-6"/>
        </w:rPr>
        <w:t xml:space="preserve"> </w:t>
      </w:r>
      <w:r w:rsidRPr="00D4309F">
        <w:t>the</w:t>
      </w:r>
      <w:r w:rsidRPr="00D4309F">
        <w:rPr>
          <w:spacing w:val="-4"/>
        </w:rPr>
        <w:t xml:space="preserve"> </w:t>
      </w:r>
      <w:r w:rsidRPr="00D4309F">
        <w:t>scores</w:t>
      </w:r>
      <w:r w:rsidRPr="00D4309F">
        <w:rPr>
          <w:spacing w:val="-2"/>
        </w:rPr>
        <w:t xml:space="preserve"> </w:t>
      </w:r>
      <w:r w:rsidRPr="00D4309F">
        <w:t>for</w:t>
      </w:r>
      <w:r w:rsidRPr="00D4309F">
        <w:rPr>
          <w:spacing w:val="-2"/>
        </w:rPr>
        <w:t xml:space="preserve"> </w:t>
      </w:r>
      <w:r w:rsidRPr="00D4309F">
        <w:t>each</w:t>
      </w:r>
      <w:r w:rsidRPr="00D4309F">
        <w:rPr>
          <w:spacing w:val="-3"/>
        </w:rPr>
        <w:t xml:space="preserve"> </w:t>
      </w:r>
      <w:r w:rsidRPr="00D4309F">
        <w:t>MCA</w:t>
      </w:r>
      <w:r w:rsidRPr="00D4309F">
        <w:rPr>
          <w:spacing w:val="-5"/>
        </w:rPr>
        <w:t xml:space="preserve"> </w:t>
      </w:r>
      <w:r w:rsidRPr="00D4309F">
        <w:t>category</w:t>
      </w:r>
      <w:r w:rsidRPr="00D4309F">
        <w:rPr>
          <w:spacing w:val="-2"/>
        </w:rPr>
        <w:t xml:space="preserve"> </w:t>
      </w:r>
      <w:r w:rsidRPr="00D4309F">
        <w:t>to</w:t>
      </w:r>
      <w:r w:rsidRPr="00D4309F">
        <w:rPr>
          <w:spacing w:val="-4"/>
        </w:rPr>
        <w:t xml:space="preserve"> </w:t>
      </w:r>
      <w:r w:rsidRPr="00D4309F">
        <w:t>provide</w:t>
      </w:r>
      <w:r w:rsidRPr="00D4309F">
        <w:rPr>
          <w:spacing w:val="-3"/>
        </w:rPr>
        <w:t xml:space="preserve"> </w:t>
      </w:r>
      <w:r w:rsidRPr="00D4309F">
        <w:t>a</w:t>
      </w:r>
      <w:r w:rsidRPr="00D4309F">
        <w:rPr>
          <w:spacing w:val="-3"/>
        </w:rPr>
        <w:t xml:space="preserve"> </w:t>
      </w:r>
      <w:r w:rsidRPr="00D4309F">
        <w:t>total</w:t>
      </w:r>
      <w:r w:rsidRPr="00D4309F">
        <w:rPr>
          <w:spacing w:val="-3"/>
        </w:rPr>
        <w:t xml:space="preserve"> </w:t>
      </w:r>
      <w:r w:rsidRPr="00D4309F">
        <w:t>score</w:t>
      </w:r>
      <w:r w:rsidRPr="00D4309F">
        <w:rPr>
          <w:spacing w:val="-3"/>
        </w:rPr>
        <w:t xml:space="preserve"> </w:t>
      </w:r>
      <w:r w:rsidRPr="00D4309F">
        <w:t>for</w:t>
      </w:r>
      <w:r w:rsidRPr="00D4309F">
        <w:rPr>
          <w:spacing w:val="-2"/>
        </w:rPr>
        <w:t xml:space="preserve"> </w:t>
      </w:r>
      <w:r w:rsidRPr="00D4309F">
        <w:t>the</w:t>
      </w:r>
      <w:r w:rsidRPr="00D4309F">
        <w:rPr>
          <w:spacing w:val="-3"/>
        </w:rPr>
        <w:t xml:space="preserve"> </w:t>
      </w:r>
      <w:r w:rsidRPr="00D4309F">
        <w:rPr>
          <w:spacing w:val="-2"/>
        </w:rPr>
        <w:t>option</w:t>
      </w:r>
    </w:p>
    <w:p w14:paraId="5D2F1CB5" w14:textId="77777777" w:rsidR="00725977" w:rsidRPr="00D4309F" w:rsidRDefault="00725977" w:rsidP="000D5B19">
      <w:pPr>
        <w:pStyle w:val="ListBullet"/>
      </w:pPr>
      <w:r w:rsidRPr="00D4309F">
        <w:t>Select</w:t>
      </w:r>
      <w:r w:rsidRPr="00D4309F">
        <w:rPr>
          <w:spacing w:val="-4"/>
        </w:rPr>
        <w:t xml:space="preserve"> </w:t>
      </w:r>
      <w:r w:rsidRPr="00D4309F">
        <w:t>the</w:t>
      </w:r>
      <w:r w:rsidRPr="00D4309F">
        <w:rPr>
          <w:spacing w:val="-4"/>
        </w:rPr>
        <w:t xml:space="preserve"> </w:t>
      </w:r>
      <w:r w:rsidRPr="00D4309F">
        <w:t>preferred</w:t>
      </w:r>
      <w:r w:rsidRPr="00D4309F">
        <w:rPr>
          <w:spacing w:val="-4"/>
        </w:rPr>
        <w:t xml:space="preserve"> </w:t>
      </w:r>
      <w:r w:rsidRPr="00D4309F">
        <w:t>option(s)</w:t>
      </w:r>
      <w:r w:rsidRPr="00D4309F">
        <w:rPr>
          <w:spacing w:val="-3"/>
        </w:rPr>
        <w:t xml:space="preserve"> </w:t>
      </w:r>
      <w:r w:rsidRPr="00D4309F">
        <w:t>with</w:t>
      </w:r>
      <w:r w:rsidRPr="00D4309F">
        <w:rPr>
          <w:spacing w:val="-4"/>
        </w:rPr>
        <w:t xml:space="preserve"> </w:t>
      </w:r>
      <w:r w:rsidRPr="00D4309F">
        <w:t>highest</w:t>
      </w:r>
      <w:r w:rsidRPr="00D4309F">
        <w:rPr>
          <w:spacing w:val="-3"/>
        </w:rPr>
        <w:t xml:space="preserve"> </w:t>
      </w:r>
      <w:r w:rsidRPr="00D4309F">
        <w:rPr>
          <w:spacing w:val="-2"/>
        </w:rPr>
        <w:t>score(s).</w:t>
      </w:r>
    </w:p>
    <w:p w14:paraId="736D2D3C" w14:textId="77777777" w:rsidR="00725977" w:rsidRDefault="00725977" w:rsidP="00725977">
      <w:pPr>
        <w:pStyle w:val="BodyText"/>
        <w:rPr>
          <w:spacing w:val="-2"/>
        </w:rPr>
      </w:pPr>
      <w:r w:rsidRPr="00D4309F">
        <w:t>Note,</w:t>
      </w:r>
      <w:r w:rsidRPr="00D4309F">
        <w:rPr>
          <w:spacing w:val="-6"/>
        </w:rPr>
        <w:t xml:space="preserve"> </w:t>
      </w:r>
      <w:r w:rsidRPr="00D4309F">
        <w:t>no</w:t>
      </w:r>
      <w:r w:rsidRPr="00D4309F">
        <w:rPr>
          <w:spacing w:val="-3"/>
        </w:rPr>
        <w:t xml:space="preserve"> </w:t>
      </w:r>
      <w:r w:rsidRPr="00D4309F">
        <w:t>weighting</w:t>
      </w:r>
      <w:r w:rsidRPr="00D4309F">
        <w:rPr>
          <w:spacing w:val="-4"/>
        </w:rPr>
        <w:t xml:space="preserve"> </w:t>
      </w:r>
      <w:r w:rsidRPr="00D4309F">
        <w:t>of</w:t>
      </w:r>
      <w:r w:rsidRPr="00D4309F">
        <w:rPr>
          <w:spacing w:val="-3"/>
        </w:rPr>
        <w:t xml:space="preserve"> </w:t>
      </w:r>
      <w:r w:rsidRPr="00D4309F">
        <w:t>scoring</w:t>
      </w:r>
      <w:r w:rsidRPr="00D4309F">
        <w:rPr>
          <w:spacing w:val="-4"/>
        </w:rPr>
        <w:t xml:space="preserve"> </w:t>
      </w:r>
      <w:r w:rsidRPr="00D4309F">
        <w:t>for</w:t>
      </w:r>
      <w:r w:rsidRPr="00D4309F">
        <w:rPr>
          <w:spacing w:val="-2"/>
        </w:rPr>
        <w:t xml:space="preserve"> </w:t>
      </w:r>
      <w:r w:rsidRPr="00D4309F">
        <w:t>MCA</w:t>
      </w:r>
      <w:r w:rsidRPr="00D4309F">
        <w:rPr>
          <w:spacing w:val="-5"/>
        </w:rPr>
        <w:t xml:space="preserve"> </w:t>
      </w:r>
      <w:r w:rsidRPr="00D4309F">
        <w:t>criteria</w:t>
      </w:r>
      <w:r w:rsidRPr="00D4309F">
        <w:rPr>
          <w:spacing w:val="-4"/>
        </w:rPr>
        <w:t xml:space="preserve"> </w:t>
      </w:r>
      <w:r w:rsidRPr="00D4309F">
        <w:t>or</w:t>
      </w:r>
      <w:r w:rsidRPr="00D4309F">
        <w:rPr>
          <w:spacing w:val="-2"/>
        </w:rPr>
        <w:t xml:space="preserve"> </w:t>
      </w:r>
      <w:r w:rsidRPr="00D4309F">
        <w:t>sensitivity</w:t>
      </w:r>
      <w:r w:rsidRPr="00D4309F">
        <w:rPr>
          <w:spacing w:val="-3"/>
        </w:rPr>
        <w:t xml:space="preserve"> </w:t>
      </w:r>
      <w:r w:rsidRPr="00D4309F">
        <w:t>analysis</w:t>
      </w:r>
      <w:r w:rsidRPr="00D4309F">
        <w:rPr>
          <w:spacing w:val="-3"/>
        </w:rPr>
        <w:t xml:space="preserve"> </w:t>
      </w:r>
      <w:r w:rsidRPr="00D4309F">
        <w:t>applied</w:t>
      </w:r>
      <w:r w:rsidRPr="00D4309F">
        <w:rPr>
          <w:spacing w:val="-4"/>
        </w:rPr>
        <w:t xml:space="preserve"> </w:t>
      </w:r>
      <w:r w:rsidRPr="00D4309F">
        <w:t>to</w:t>
      </w:r>
      <w:r w:rsidRPr="00D4309F">
        <w:rPr>
          <w:spacing w:val="-3"/>
        </w:rPr>
        <w:t xml:space="preserve"> </w:t>
      </w:r>
      <w:r w:rsidRPr="00D4309F">
        <w:t>MCA</w:t>
      </w:r>
      <w:r w:rsidRPr="00D4309F">
        <w:rPr>
          <w:spacing w:val="-3"/>
        </w:rPr>
        <w:t xml:space="preserve"> </w:t>
      </w:r>
      <w:r w:rsidRPr="00D4309F">
        <w:rPr>
          <w:spacing w:val="-2"/>
        </w:rPr>
        <w:t>categories.</w:t>
      </w:r>
    </w:p>
    <w:p w14:paraId="09107E8A" w14:textId="77777777" w:rsidR="00FE6959" w:rsidRPr="00D4309F" w:rsidRDefault="00FE6959" w:rsidP="00725977">
      <w:pPr>
        <w:pStyle w:val="BodyText"/>
      </w:pPr>
    </w:p>
    <w:p w14:paraId="205F6E8D" w14:textId="537FDFCE" w:rsidR="0048332C" w:rsidRDefault="0048332C" w:rsidP="00151534">
      <w:pPr>
        <w:pStyle w:val="Table-Caption"/>
      </w:pPr>
      <w:bookmarkStart w:id="191" w:name="_bookmark83"/>
      <w:bookmarkStart w:id="192" w:name="_Toc216699545"/>
      <w:bookmarkEnd w:id="191"/>
      <w:r>
        <w:lastRenderedPageBreak/>
        <w:t xml:space="preserve">Table </w:t>
      </w:r>
      <w:r w:rsidR="00151534">
        <w:fldChar w:fldCharType="begin" w:fldLock="1"/>
      </w:r>
      <w:r w:rsidR="00151534">
        <w:instrText xml:space="preserve"> STYLEREF 1 \s </w:instrText>
      </w:r>
      <w:r w:rsidR="00151534">
        <w:fldChar w:fldCharType="separate"/>
      </w:r>
      <w:r w:rsidR="00151534">
        <w:rPr>
          <w:noProof/>
        </w:rPr>
        <w:t>12</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1</w:t>
      </w:r>
      <w:r w:rsidR="00151534">
        <w:fldChar w:fldCharType="end"/>
      </w:r>
      <w:r>
        <w:t>:</w:t>
      </w:r>
      <w:r>
        <w:tab/>
        <w:t>MCA scoring criteria</w:t>
      </w:r>
      <w:bookmarkEnd w:id="192"/>
    </w:p>
    <w:tbl>
      <w:tblPr>
        <w:tblStyle w:val="Table1"/>
        <w:tblW w:w="5000" w:type="pct"/>
        <w:tblLook w:val="0620" w:firstRow="1" w:lastRow="0" w:firstColumn="0" w:lastColumn="0" w:noHBand="1" w:noVBand="1"/>
      </w:tblPr>
      <w:tblGrid>
        <w:gridCol w:w="1984"/>
        <w:gridCol w:w="7658"/>
      </w:tblGrid>
      <w:tr w:rsidR="00EE6B5F" w:rsidRPr="0078153E" w14:paraId="686365A3" w14:textId="77777777" w:rsidTr="00826C4C">
        <w:trPr>
          <w:cnfStyle w:val="100000000000" w:firstRow="1" w:lastRow="0" w:firstColumn="0" w:lastColumn="0" w:oddVBand="0" w:evenVBand="0" w:oddHBand="0" w:evenHBand="0" w:firstRowFirstColumn="0" w:firstRowLastColumn="0" w:lastRowFirstColumn="0" w:lastRowLastColumn="0"/>
          <w:tblHeader/>
        </w:trPr>
        <w:tc>
          <w:tcPr>
            <w:tcW w:w="1029" w:type="pct"/>
            <w:hideMark/>
          </w:tcPr>
          <w:p w14:paraId="1F56A3A0" w14:textId="1D7BAF38" w:rsidR="00EE6B5F" w:rsidRPr="0078153E" w:rsidRDefault="00EE6B5F" w:rsidP="00B872A7">
            <w:pPr>
              <w:pStyle w:val="Table-Heading"/>
              <w:keepNext/>
            </w:pPr>
            <w:r>
              <w:t>MCA category</w:t>
            </w:r>
          </w:p>
        </w:tc>
        <w:tc>
          <w:tcPr>
            <w:tcW w:w="3971" w:type="pct"/>
          </w:tcPr>
          <w:p w14:paraId="59CFF10A" w14:textId="3688D2E9" w:rsidR="00EE6B5F" w:rsidRPr="0078153E" w:rsidRDefault="00EE6B5F" w:rsidP="00B872A7">
            <w:pPr>
              <w:pStyle w:val="Table-Heading"/>
              <w:keepNext/>
            </w:pPr>
            <w:r>
              <w:t>MCA criteria</w:t>
            </w:r>
          </w:p>
        </w:tc>
      </w:tr>
      <w:tr w:rsidR="00EE6B5F" w14:paraId="265414ED" w14:textId="77777777" w:rsidTr="00826C4C">
        <w:tc>
          <w:tcPr>
            <w:tcW w:w="1029" w:type="pct"/>
            <w:tcBorders>
              <w:top w:val="single" w:sz="4" w:space="0" w:color="5F6369" w:themeColor="text2"/>
              <w:left w:val="nil"/>
              <w:bottom w:val="single" w:sz="4" w:space="0" w:color="5F6369" w:themeColor="text2"/>
              <w:right w:val="nil"/>
            </w:tcBorders>
          </w:tcPr>
          <w:p w14:paraId="483F0444" w14:textId="058B43B1" w:rsidR="00EE6B5F" w:rsidRPr="007B7606" w:rsidRDefault="00EE6B5F" w:rsidP="00B872A7">
            <w:pPr>
              <w:pStyle w:val="Table-Text"/>
              <w:keepNext/>
            </w:pPr>
            <w:r w:rsidRPr="00D4309F">
              <w:t>Coastal engineering</w:t>
            </w:r>
          </w:p>
        </w:tc>
        <w:tc>
          <w:tcPr>
            <w:tcW w:w="3971" w:type="pct"/>
            <w:tcBorders>
              <w:top w:val="single" w:sz="4" w:space="0" w:color="5F6369" w:themeColor="text2"/>
              <w:left w:val="nil"/>
              <w:bottom w:val="single" w:sz="4" w:space="0" w:color="5F6369" w:themeColor="text2"/>
              <w:right w:val="nil"/>
            </w:tcBorders>
          </w:tcPr>
          <w:p w14:paraId="4304A20A" w14:textId="77777777" w:rsidR="00EE6B5F" w:rsidRPr="00D4309F" w:rsidRDefault="00EE6B5F" w:rsidP="00B872A7">
            <w:pPr>
              <w:pStyle w:val="Table-Bullet"/>
              <w:keepNext/>
            </w:pPr>
            <w:r w:rsidRPr="00D4309F">
              <w:t>Effectiveness:</w:t>
            </w:r>
            <w:r w:rsidRPr="00D4309F">
              <w:rPr>
                <w:spacing w:val="-3"/>
              </w:rPr>
              <w:t xml:space="preserve"> </w:t>
            </w:r>
            <w:r w:rsidRPr="00D4309F">
              <w:t>Likely</w:t>
            </w:r>
            <w:r w:rsidRPr="00D4309F">
              <w:rPr>
                <w:spacing w:val="-2"/>
              </w:rPr>
              <w:t xml:space="preserve"> </w:t>
            </w:r>
            <w:r w:rsidRPr="00D4309F">
              <w:t>ability</w:t>
            </w:r>
            <w:r w:rsidRPr="00D4309F">
              <w:rPr>
                <w:spacing w:val="-3"/>
              </w:rPr>
              <w:t xml:space="preserve"> </w:t>
            </w:r>
            <w:r w:rsidRPr="00D4309F">
              <w:t>to</w:t>
            </w:r>
            <w:r w:rsidRPr="00D4309F">
              <w:rPr>
                <w:spacing w:val="-4"/>
              </w:rPr>
              <w:t xml:space="preserve"> </w:t>
            </w:r>
            <w:r w:rsidRPr="00D4309F">
              <w:t>shift</w:t>
            </w:r>
            <w:r w:rsidRPr="00D4309F">
              <w:rPr>
                <w:spacing w:val="-3"/>
              </w:rPr>
              <w:t xml:space="preserve"> </w:t>
            </w:r>
            <w:r w:rsidRPr="00D4309F">
              <w:t>enough</w:t>
            </w:r>
            <w:r w:rsidRPr="00D4309F">
              <w:rPr>
                <w:spacing w:val="-4"/>
              </w:rPr>
              <w:t xml:space="preserve"> </w:t>
            </w:r>
            <w:r w:rsidRPr="00D4309F">
              <w:t>sand</w:t>
            </w:r>
            <w:r w:rsidRPr="00D4309F">
              <w:rPr>
                <w:spacing w:val="-4"/>
              </w:rPr>
              <w:t xml:space="preserve"> </w:t>
            </w:r>
            <w:r w:rsidRPr="00D4309F">
              <w:t>past</w:t>
            </w:r>
            <w:r w:rsidRPr="00D4309F">
              <w:rPr>
                <w:spacing w:val="-3"/>
              </w:rPr>
              <w:t xml:space="preserve"> </w:t>
            </w:r>
            <w:r w:rsidRPr="00D4309F">
              <w:t>the</w:t>
            </w:r>
            <w:r w:rsidRPr="00D4309F">
              <w:rPr>
                <w:spacing w:val="-4"/>
              </w:rPr>
              <w:t xml:space="preserve"> </w:t>
            </w:r>
            <w:r w:rsidRPr="00D4309F">
              <w:t>entrance</w:t>
            </w:r>
            <w:r w:rsidRPr="00D4309F">
              <w:rPr>
                <w:spacing w:val="-4"/>
              </w:rPr>
              <w:t xml:space="preserve"> </w:t>
            </w:r>
            <w:r w:rsidRPr="00D4309F">
              <w:t>(bypassing</w:t>
            </w:r>
            <w:r w:rsidRPr="00D4309F">
              <w:rPr>
                <w:spacing w:val="-4"/>
              </w:rPr>
              <w:t xml:space="preserve"> </w:t>
            </w:r>
            <w:r w:rsidRPr="00D4309F">
              <w:t>efficiency,</w:t>
            </w:r>
            <w:r w:rsidRPr="00D4309F">
              <w:rPr>
                <w:spacing w:val="-3"/>
              </w:rPr>
              <w:t xml:space="preserve"> </w:t>
            </w:r>
            <w:r w:rsidRPr="00D4309F">
              <w:t>trap capture rate, reduction in shoal frequency/magnitude, entrance depth reliability).</w:t>
            </w:r>
          </w:p>
          <w:p w14:paraId="23C94382" w14:textId="77777777" w:rsidR="00EE6B5F" w:rsidRPr="00D4309F" w:rsidRDefault="00EE6B5F" w:rsidP="00B872A7">
            <w:pPr>
              <w:pStyle w:val="Table-Bullet"/>
              <w:keepNext/>
            </w:pPr>
            <w:r w:rsidRPr="00D4309F">
              <w:t>Impacts</w:t>
            </w:r>
            <w:r w:rsidRPr="00D4309F">
              <w:rPr>
                <w:spacing w:val="-3"/>
              </w:rPr>
              <w:t xml:space="preserve"> </w:t>
            </w:r>
            <w:r w:rsidRPr="00D4309F">
              <w:t>on</w:t>
            </w:r>
            <w:r w:rsidRPr="00D4309F">
              <w:rPr>
                <w:spacing w:val="-4"/>
              </w:rPr>
              <w:t xml:space="preserve"> </w:t>
            </w:r>
            <w:r w:rsidRPr="00D4309F">
              <w:t>coastal</w:t>
            </w:r>
            <w:r w:rsidRPr="00D4309F">
              <w:rPr>
                <w:spacing w:val="-3"/>
              </w:rPr>
              <w:t xml:space="preserve"> </w:t>
            </w:r>
            <w:r w:rsidRPr="00D4309F">
              <w:t>processes:</w:t>
            </w:r>
            <w:r w:rsidRPr="00D4309F">
              <w:rPr>
                <w:spacing w:val="-3"/>
              </w:rPr>
              <w:t xml:space="preserve"> </w:t>
            </w:r>
            <w:r w:rsidRPr="00D4309F">
              <w:t>the</w:t>
            </w:r>
            <w:r w:rsidRPr="00D4309F">
              <w:rPr>
                <w:spacing w:val="-3"/>
              </w:rPr>
              <w:t xml:space="preserve"> </w:t>
            </w:r>
            <w:r w:rsidRPr="00D4309F">
              <w:t>level</w:t>
            </w:r>
            <w:r w:rsidRPr="00D4309F">
              <w:rPr>
                <w:spacing w:val="-3"/>
              </w:rPr>
              <w:t xml:space="preserve"> </w:t>
            </w:r>
            <w:r w:rsidRPr="00D4309F">
              <w:t>in</w:t>
            </w:r>
            <w:r w:rsidRPr="00D4309F">
              <w:rPr>
                <w:spacing w:val="-4"/>
              </w:rPr>
              <w:t xml:space="preserve"> </w:t>
            </w:r>
            <w:r w:rsidRPr="00D4309F">
              <w:t>which</w:t>
            </w:r>
            <w:r w:rsidRPr="00D4309F">
              <w:rPr>
                <w:spacing w:val="-4"/>
              </w:rPr>
              <w:t xml:space="preserve"> </w:t>
            </w:r>
            <w:r w:rsidRPr="00D4309F">
              <w:t>it</w:t>
            </w:r>
            <w:r w:rsidRPr="00D4309F">
              <w:rPr>
                <w:spacing w:val="-3"/>
              </w:rPr>
              <w:t xml:space="preserve"> </w:t>
            </w:r>
            <w:r w:rsidRPr="00D4309F">
              <w:t>changes</w:t>
            </w:r>
            <w:r w:rsidRPr="00D4309F">
              <w:rPr>
                <w:spacing w:val="-2"/>
              </w:rPr>
              <w:t xml:space="preserve"> </w:t>
            </w:r>
            <w:r w:rsidRPr="00D4309F">
              <w:t>or</w:t>
            </w:r>
            <w:r w:rsidRPr="00D4309F">
              <w:rPr>
                <w:spacing w:val="-3"/>
              </w:rPr>
              <w:t xml:space="preserve"> </w:t>
            </w:r>
            <w:r w:rsidRPr="00D4309F">
              <w:t>has</w:t>
            </w:r>
            <w:r w:rsidRPr="00D4309F">
              <w:rPr>
                <w:spacing w:val="-3"/>
              </w:rPr>
              <w:t xml:space="preserve"> </w:t>
            </w:r>
            <w:r w:rsidRPr="00D4309F">
              <w:t>negative</w:t>
            </w:r>
            <w:r w:rsidRPr="00D4309F">
              <w:rPr>
                <w:spacing w:val="-4"/>
              </w:rPr>
              <w:t xml:space="preserve"> </w:t>
            </w:r>
            <w:r w:rsidRPr="00D4309F">
              <w:t>impacts</w:t>
            </w:r>
            <w:r w:rsidRPr="00D4309F">
              <w:rPr>
                <w:spacing w:val="-3"/>
              </w:rPr>
              <w:t xml:space="preserve"> </w:t>
            </w:r>
            <w:r w:rsidRPr="00D4309F">
              <w:t>on</w:t>
            </w:r>
            <w:r w:rsidRPr="00D4309F">
              <w:rPr>
                <w:spacing w:val="-4"/>
              </w:rPr>
              <w:t xml:space="preserve"> </w:t>
            </w:r>
            <w:r w:rsidRPr="00D4309F">
              <w:t>existing coastal processes</w:t>
            </w:r>
          </w:p>
          <w:p w14:paraId="7B2F9EF3" w14:textId="77777777" w:rsidR="00EE6B5F" w:rsidRPr="00D4309F" w:rsidRDefault="00EE6B5F" w:rsidP="00B872A7">
            <w:pPr>
              <w:pStyle w:val="Table-Bullet"/>
              <w:keepNext/>
            </w:pPr>
            <w:r w:rsidRPr="00D4309F">
              <w:t>Design</w:t>
            </w:r>
            <w:r w:rsidRPr="00D4309F">
              <w:rPr>
                <w:spacing w:val="-3"/>
              </w:rPr>
              <w:t xml:space="preserve"> </w:t>
            </w:r>
            <w:r w:rsidRPr="00D4309F">
              <w:t>and</w:t>
            </w:r>
            <w:r w:rsidRPr="00D4309F">
              <w:rPr>
                <w:spacing w:val="-3"/>
              </w:rPr>
              <w:t xml:space="preserve"> </w:t>
            </w:r>
            <w:r w:rsidRPr="00D4309F">
              <w:t>approvals:</w:t>
            </w:r>
            <w:r w:rsidRPr="00D4309F">
              <w:rPr>
                <w:spacing w:val="-3"/>
              </w:rPr>
              <w:t xml:space="preserve"> </w:t>
            </w:r>
            <w:r w:rsidRPr="00D4309F">
              <w:t>how</w:t>
            </w:r>
            <w:r w:rsidRPr="00D4309F">
              <w:rPr>
                <w:spacing w:val="-3"/>
              </w:rPr>
              <w:t xml:space="preserve"> </w:t>
            </w:r>
            <w:r w:rsidRPr="00D4309F">
              <w:t>far</w:t>
            </w:r>
            <w:r w:rsidRPr="00D4309F">
              <w:rPr>
                <w:spacing w:val="-3"/>
              </w:rPr>
              <w:t xml:space="preserve"> </w:t>
            </w:r>
            <w:r w:rsidRPr="00D4309F">
              <w:t>is</w:t>
            </w:r>
            <w:r w:rsidRPr="00D4309F">
              <w:rPr>
                <w:spacing w:val="-3"/>
              </w:rPr>
              <w:t xml:space="preserve"> </w:t>
            </w:r>
            <w:r w:rsidRPr="00D4309F">
              <w:t>the</w:t>
            </w:r>
            <w:r w:rsidRPr="00D4309F">
              <w:rPr>
                <w:spacing w:val="-3"/>
              </w:rPr>
              <w:t xml:space="preserve"> </w:t>
            </w:r>
            <w:r w:rsidRPr="00D4309F">
              <w:t>option</w:t>
            </w:r>
            <w:r w:rsidRPr="00D4309F">
              <w:rPr>
                <w:spacing w:val="-2"/>
              </w:rPr>
              <w:t xml:space="preserve"> </w:t>
            </w:r>
            <w:r w:rsidRPr="00D4309F">
              <w:t>progressed</w:t>
            </w:r>
            <w:r w:rsidRPr="00D4309F">
              <w:rPr>
                <w:spacing w:val="-3"/>
              </w:rPr>
              <w:t xml:space="preserve"> </w:t>
            </w:r>
            <w:r w:rsidRPr="00D4309F">
              <w:t>with</w:t>
            </w:r>
            <w:r w:rsidRPr="00D4309F">
              <w:rPr>
                <w:spacing w:val="-3"/>
              </w:rPr>
              <w:t xml:space="preserve"> </w:t>
            </w:r>
            <w:r w:rsidRPr="00D4309F">
              <w:t>design</w:t>
            </w:r>
            <w:r w:rsidRPr="00D4309F">
              <w:rPr>
                <w:spacing w:val="-3"/>
              </w:rPr>
              <w:t xml:space="preserve"> </w:t>
            </w:r>
            <w:r w:rsidRPr="00D4309F">
              <w:t>and</w:t>
            </w:r>
            <w:r w:rsidRPr="00D4309F">
              <w:rPr>
                <w:spacing w:val="-3"/>
              </w:rPr>
              <w:t xml:space="preserve"> </w:t>
            </w:r>
            <w:r w:rsidRPr="00D4309F">
              <w:t>approvals</w:t>
            </w:r>
            <w:r w:rsidRPr="00D4309F">
              <w:rPr>
                <w:spacing w:val="-3"/>
              </w:rPr>
              <w:t xml:space="preserve"> </w:t>
            </w:r>
            <w:r w:rsidRPr="00D4309F">
              <w:t>and</w:t>
            </w:r>
            <w:r w:rsidRPr="00D4309F">
              <w:rPr>
                <w:spacing w:val="-3"/>
              </w:rPr>
              <w:t xml:space="preserve"> </w:t>
            </w:r>
            <w:r w:rsidRPr="00D4309F">
              <w:t>how</w:t>
            </w:r>
            <w:r w:rsidRPr="00D4309F">
              <w:rPr>
                <w:spacing w:val="-3"/>
              </w:rPr>
              <w:t xml:space="preserve"> </w:t>
            </w:r>
            <w:r w:rsidRPr="00D4309F">
              <w:t>much would be required</w:t>
            </w:r>
          </w:p>
          <w:p w14:paraId="6CF1D07A" w14:textId="77777777" w:rsidR="00EE6B5F" w:rsidRPr="00D4309F" w:rsidRDefault="00EE6B5F" w:rsidP="00B872A7">
            <w:pPr>
              <w:pStyle w:val="Table-Bullet"/>
              <w:keepNext/>
            </w:pPr>
            <w:r w:rsidRPr="00D4309F">
              <w:t>Capital</w:t>
            </w:r>
            <w:r w:rsidRPr="00D4309F">
              <w:rPr>
                <w:spacing w:val="-5"/>
              </w:rPr>
              <w:t xml:space="preserve"> </w:t>
            </w:r>
            <w:r w:rsidRPr="00D4309F">
              <w:t>works: how</w:t>
            </w:r>
            <w:r w:rsidRPr="00D4309F">
              <w:rPr>
                <w:spacing w:val="-2"/>
              </w:rPr>
              <w:t xml:space="preserve"> </w:t>
            </w:r>
            <w:r w:rsidRPr="00D4309F">
              <w:t>significant</w:t>
            </w:r>
            <w:r w:rsidRPr="00D4309F">
              <w:rPr>
                <w:spacing w:val="-2"/>
              </w:rPr>
              <w:t xml:space="preserve"> </w:t>
            </w:r>
            <w:r w:rsidRPr="00D4309F">
              <w:t>the</w:t>
            </w:r>
            <w:r w:rsidRPr="00D4309F">
              <w:rPr>
                <w:spacing w:val="-3"/>
              </w:rPr>
              <w:t xml:space="preserve"> </w:t>
            </w:r>
            <w:r w:rsidRPr="00D4309F">
              <w:t>capital</w:t>
            </w:r>
            <w:r w:rsidRPr="00D4309F">
              <w:rPr>
                <w:spacing w:val="-2"/>
              </w:rPr>
              <w:t xml:space="preserve"> </w:t>
            </w:r>
            <w:r w:rsidRPr="00D4309F">
              <w:t>works</w:t>
            </w:r>
            <w:r w:rsidRPr="00D4309F">
              <w:rPr>
                <w:spacing w:val="-2"/>
              </w:rPr>
              <w:t xml:space="preserve"> </w:t>
            </w:r>
            <w:r w:rsidRPr="00D4309F">
              <w:t>would</w:t>
            </w:r>
            <w:r w:rsidRPr="00D4309F">
              <w:rPr>
                <w:spacing w:val="-3"/>
              </w:rPr>
              <w:t xml:space="preserve"> </w:t>
            </w:r>
            <w:r w:rsidRPr="00D4309F">
              <w:t>be</w:t>
            </w:r>
            <w:r w:rsidRPr="00D4309F">
              <w:rPr>
                <w:spacing w:val="-4"/>
              </w:rPr>
              <w:t xml:space="preserve"> </w:t>
            </w:r>
            <w:r w:rsidRPr="00D4309F">
              <w:t>and</w:t>
            </w:r>
            <w:r w:rsidRPr="00D4309F">
              <w:rPr>
                <w:spacing w:val="-3"/>
              </w:rPr>
              <w:t xml:space="preserve"> </w:t>
            </w:r>
            <w:r w:rsidRPr="00D4309F">
              <w:t>their</w:t>
            </w:r>
            <w:r w:rsidRPr="00D4309F">
              <w:rPr>
                <w:spacing w:val="-2"/>
              </w:rPr>
              <w:t xml:space="preserve"> </w:t>
            </w:r>
            <w:r w:rsidRPr="00D4309F">
              <w:t>impacts</w:t>
            </w:r>
            <w:r w:rsidRPr="00D4309F">
              <w:rPr>
                <w:spacing w:val="-2"/>
              </w:rPr>
              <w:t xml:space="preserve"> </w:t>
            </w:r>
            <w:r w:rsidRPr="00D4309F">
              <w:t>during</w:t>
            </w:r>
            <w:r w:rsidRPr="00D4309F">
              <w:rPr>
                <w:spacing w:val="-3"/>
              </w:rPr>
              <w:t xml:space="preserve"> </w:t>
            </w:r>
            <w:r w:rsidRPr="00D4309F">
              <w:t>the</w:t>
            </w:r>
            <w:r w:rsidRPr="00D4309F">
              <w:rPr>
                <w:spacing w:val="-3"/>
              </w:rPr>
              <w:t xml:space="preserve"> </w:t>
            </w:r>
            <w:r w:rsidRPr="00D4309F">
              <w:rPr>
                <w:spacing w:val="-2"/>
              </w:rPr>
              <w:t>process</w:t>
            </w:r>
          </w:p>
          <w:p w14:paraId="13D7D06F" w14:textId="77777777" w:rsidR="00EE6B5F" w:rsidRPr="00D4309F" w:rsidRDefault="00EE6B5F" w:rsidP="00B872A7">
            <w:pPr>
              <w:pStyle w:val="Table-Bullet"/>
              <w:keepNext/>
            </w:pPr>
            <w:r w:rsidRPr="00D4309F">
              <w:t>Operational</w:t>
            </w:r>
            <w:r w:rsidRPr="00D4309F">
              <w:rPr>
                <w:spacing w:val="-3"/>
              </w:rPr>
              <w:t xml:space="preserve"> </w:t>
            </w:r>
            <w:r w:rsidRPr="00D4309F">
              <w:t>works:</w:t>
            </w:r>
            <w:r w:rsidRPr="00D4309F">
              <w:rPr>
                <w:spacing w:val="-3"/>
              </w:rPr>
              <w:t xml:space="preserve"> </w:t>
            </w:r>
            <w:r w:rsidRPr="00D4309F">
              <w:t>how</w:t>
            </w:r>
            <w:r w:rsidRPr="00D4309F">
              <w:rPr>
                <w:spacing w:val="-3"/>
              </w:rPr>
              <w:t xml:space="preserve"> </w:t>
            </w:r>
            <w:r w:rsidRPr="00D4309F">
              <w:t>significant</w:t>
            </w:r>
            <w:r w:rsidRPr="00D4309F">
              <w:rPr>
                <w:spacing w:val="-3"/>
              </w:rPr>
              <w:t xml:space="preserve"> </w:t>
            </w:r>
            <w:r w:rsidRPr="00D4309F">
              <w:t>the</w:t>
            </w:r>
            <w:r w:rsidRPr="00D4309F">
              <w:rPr>
                <w:spacing w:val="-4"/>
              </w:rPr>
              <w:t xml:space="preserve"> </w:t>
            </w:r>
            <w:r w:rsidRPr="00D4309F">
              <w:t>operational</w:t>
            </w:r>
            <w:r w:rsidRPr="00D4309F">
              <w:rPr>
                <w:spacing w:val="-3"/>
              </w:rPr>
              <w:t xml:space="preserve"> </w:t>
            </w:r>
            <w:r w:rsidRPr="00D4309F">
              <w:t>works</w:t>
            </w:r>
            <w:r w:rsidRPr="00D4309F">
              <w:rPr>
                <w:spacing w:val="-3"/>
              </w:rPr>
              <w:t xml:space="preserve"> </w:t>
            </w:r>
            <w:r w:rsidRPr="00D4309F">
              <w:t>would</w:t>
            </w:r>
            <w:r w:rsidRPr="00D4309F">
              <w:rPr>
                <w:spacing w:val="-4"/>
              </w:rPr>
              <w:t xml:space="preserve"> </w:t>
            </w:r>
            <w:r w:rsidRPr="00D4309F">
              <w:t>be</w:t>
            </w:r>
            <w:r w:rsidRPr="00D4309F">
              <w:rPr>
                <w:spacing w:val="-4"/>
              </w:rPr>
              <w:t xml:space="preserve"> </w:t>
            </w:r>
            <w:r w:rsidRPr="00D4309F">
              <w:t>and</w:t>
            </w:r>
            <w:r w:rsidRPr="00D4309F">
              <w:rPr>
                <w:spacing w:val="-4"/>
              </w:rPr>
              <w:t xml:space="preserve"> </w:t>
            </w:r>
            <w:r w:rsidRPr="00D4309F">
              <w:t>their</w:t>
            </w:r>
            <w:r w:rsidRPr="00D4309F">
              <w:rPr>
                <w:spacing w:val="-3"/>
              </w:rPr>
              <w:t xml:space="preserve"> </w:t>
            </w:r>
            <w:r w:rsidRPr="00D4309F">
              <w:t>impacts</w:t>
            </w:r>
            <w:r w:rsidRPr="00D4309F">
              <w:rPr>
                <w:spacing w:val="-3"/>
              </w:rPr>
              <w:t xml:space="preserve"> </w:t>
            </w:r>
            <w:r w:rsidRPr="00D4309F">
              <w:t>during</w:t>
            </w:r>
            <w:r w:rsidRPr="00D4309F">
              <w:rPr>
                <w:spacing w:val="-4"/>
              </w:rPr>
              <w:t xml:space="preserve"> </w:t>
            </w:r>
            <w:r w:rsidRPr="00D4309F">
              <w:t xml:space="preserve">the </w:t>
            </w:r>
            <w:r w:rsidRPr="00D4309F">
              <w:rPr>
                <w:spacing w:val="-2"/>
              </w:rPr>
              <w:t>process</w:t>
            </w:r>
          </w:p>
          <w:p w14:paraId="5963EC64" w14:textId="77777777" w:rsidR="00EE6B5F" w:rsidRPr="00D4309F" w:rsidRDefault="00EE6B5F" w:rsidP="00B872A7">
            <w:pPr>
              <w:pStyle w:val="Table-Bullet"/>
              <w:keepNext/>
            </w:pPr>
            <w:r w:rsidRPr="00D4309F">
              <w:t>Future</w:t>
            </w:r>
            <w:r w:rsidRPr="00D4309F">
              <w:rPr>
                <w:spacing w:val="-3"/>
              </w:rPr>
              <w:t xml:space="preserve"> </w:t>
            </w:r>
            <w:r w:rsidRPr="00D4309F">
              <w:t>adaption:</w:t>
            </w:r>
            <w:r w:rsidRPr="00D4309F">
              <w:rPr>
                <w:spacing w:val="-2"/>
              </w:rPr>
              <w:t xml:space="preserve"> </w:t>
            </w:r>
            <w:r w:rsidRPr="00D4309F">
              <w:t>how</w:t>
            </w:r>
            <w:r w:rsidRPr="00D4309F">
              <w:rPr>
                <w:spacing w:val="-2"/>
              </w:rPr>
              <w:t xml:space="preserve"> </w:t>
            </w:r>
            <w:r w:rsidRPr="00D4309F">
              <w:t>well</w:t>
            </w:r>
            <w:r w:rsidRPr="00D4309F">
              <w:rPr>
                <w:spacing w:val="-2"/>
              </w:rPr>
              <w:t xml:space="preserve"> </w:t>
            </w:r>
            <w:r w:rsidRPr="00D4309F">
              <w:t>the</w:t>
            </w:r>
            <w:r w:rsidRPr="00D4309F">
              <w:rPr>
                <w:spacing w:val="-1"/>
              </w:rPr>
              <w:t xml:space="preserve"> </w:t>
            </w:r>
            <w:r w:rsidRPr="00D4309F">
              <w:t>option</w:t>
            </w:r>
            <w:r w:rsidRPr="00D4309F">
              <w:rPr>
                <w:spacing w:val="-3"/>
              </w:rPr>
              <w:t xml:space="preserve"> </w:t>
            </w:r>
            <w:r w:rsidRPr="00D4309F">
              <w:t>be</w:t>
            </w:r>
            <w:r w:rsidRPr="00D4309F">
              <w:rPr>
                <w:spacing w:val="-3"/>
              </w:rPr>
              <w:t xml:space="preserve"> </w:t>
            </w:r>
            <w:r w:rsidRPr="00D4309F">
              <w:t>adapted</w:t>
            </w:r>
            <w:r w:rsidRPr="00D4309F">
              <w:rPr>
                <w:spacing w:val="-3"/>
              </w:rPr>
              <w:t xml:space="preserve"> </w:t>
            </w:r>
            <w:r w:rsidRPr="00D4309F">
              <w:t>to</w:t>
            </w:r>
            <w:r w:rsidRPr="00D4309F">
              <w:rPr>
                <w:spacing w:val="-3"/>
              </w:rPr>
              <w:t xml:space="preserve"> </w:t>
            </w:r>
            <w:r w:rsidRPr="00D4309F">
              <w:t>future</w:t>
            </w:r>
            <w:r w:rsidRPr="00D4309F">
              <w:rPr>
                <w:spacing w:val="-3"/>
              </w:rPr>
              <w:t xml:space="preserve"> </w:t>
            </w:r>
            <w:r w:rsidRPr="00D4309F">
              <w:rPr>
                <w:spacing w:val="-2"/>
              </w:rPr>
              <w:t>conditions</w:t>
            </w:r>
          </w:p>
          <w:p w14:paraId="34938DAE" w14:textId="572F5976" w:rsidR="00EE6B5F" w:rsidRPr="007B7606" w:rsidRDefault="00EE6B5F" w:rsidP="00B872A7">
            <w:pPr>
              <w:pStyle w:val="Table-Bullet"/>
              <w:keepNext/>
            </w:pPr>
          </w:p>
        </w:tc>
      </w:tr>
      <w:tr w:rsidR="00EE6B5F" w14:paraId="45A20A06" w14:textId="77777777" w:rsidTr="00826C4C">
        <w:tc>
          <w:tcPr>
            <w:tcW w:w="1029" w:type="pct"/>
            <w:tcBorders>
              <w:top w:val="single" w:sz="4" w:space="0" w:color="5F6369" w:themeColor="text2"/>
              <w:left w:val="nil"/>
              <w:bottom w:val="single" w:sz="4" w:space="0" w:color="5F6369" w:themeColor="text2"/>
              <w:right w:val="nil"/>
            </w:tcBorders>
          </w:tcPr>
          <w:p w14:paraId="02B39547" w14:textId="2D5B22D7" w:rsidR="00EE6B5F" w:rsidRDefault="00EE6B5F" w:rsidP="00B872A7">
            <w:pPr>
              <w:pStyle w:val="Table-Text"/>
              <w:keepNext/>
              <w:rPr>
                <w:lang w:val="en-GB"/>
              </w:rPr>
            </w:pPr>
            <w:r w:rsidRPr="00D4309F">
              <w:rPr>
                <w:position w:val="1"/>
              </w:rPr>
              <w:t>Safety</w:t>
            </w:r>
          </w:p>
        </w:tc>
        <w:tc>
          <w:tcPr>
            <w:tcW w:w="3971" w:type="pct"/>
            <w:tcBorders>
              <w:top w:val="single" w:sz="4" w:space="0" w:color="5F6369" w:themeColor="text2"/>
              <w:left w:val="nil"/>
              <w:bottom w:val="single" w:sz="4" w:space="0" w:color="5F6369" w:themeColor="text2"/>
              <w:right w:val="nil"/>
            </w:tcBorders>
          </w:tcPr>
          <w:p w14:paraId="3E727BB7" w14:textId="21BC0058" w:rsidR="00EE6B5F" w:rsidRDefault="00EE6B5F" w:rsidP="00B872A7">
            <w:pPr>
              <w:pStyle w:val="Table-Bullet"/>
              <w:keepNext/>
              <w:rPr>
                <w:lang w:val="en-GB"/>
              </w:rPr>
            </w:pPr>
            <w:r w:rsidRPr="00D4309F">
              <w:t>Mariner</w:t>
            </w:r>
            <w:r w:rsidRPr="00D4309F">
              <w:rPr>
                <w:spacing w:val="-3"/>
              </w:rPr>
              <w:t xml:space="preserve"> </w:t>
            </w:r>
            <w:r w:rsidRPr="00D4309F">
              <w:t>safety</w:t>
            </w:r>
            <w:r w:rsidRPr="00D4309F">
              <w:rPr>
                <w:spacing w:val="-2"/>
              </w:rPr>
              <w:t xml:space="preserve"> </w:t>
            </w:r>
            <w:r w:rsidRPr="00D4309F">
              <w:t>and</w:t>
            </w:r>
            <w:r w:rsidRPr="00D4309F">
              <w:rPr>
                <w:spacing w:val="-3"/>
              </w:rPr>
              <w:t xml:space="preserve"> </w:t>
            </w:r>
            <w:r w:rsidRPr="00D4309F">
              <w:t>reliability</w:t>
            </w:r>
            <w:r w:rsidRPr="00D4309F">
              <w:rPr>
                <w:spacing w:val="-2"/>
              </w:rPr>
              <w:t xml:space="preserve"> </w:t>
            </w:r>
            <w:r w:rsidRPr="00D4309F">
              <w:t>of</w:t>
            </w:r>
            <w:r w:rsidRPr="00D4309F">
              <w:rPr>
                <w:spacing w:val="-3"/>
              </w:rPr>
              <w:t xml:space="preserve"> </w:t>
            </w:r>
            <w:r w:rsidRPr="00D4309F">
              <w:t>all-tide</w:t>
            </w:r>
            <w:r w:rsidRPr="00D4309F">
              <w:rPr>
                <w:spacing w:val="-3"/>
              </w:rPr>
              <w:t xml:space="preserve"> </w:t>
            </w:r>
            <w:r w:rsidRPr="00D4309F">
              <w:t>access;</w:t>
            </w:r>
            <w:r w:rsidRPr="00D4309F">
              <w:rPr>
                <w:spacing w:val="-2"/>
              </w:rPr>
              <w:t xml:space="preserve"> </w:t>
            </w:r>
            <w:r w:rsidRPr="00D4309F">
              <w:t>clarity</w:t>
            </w:r>
            <w:r w:rsidRPr="00D4309F">
              <w:rPr>
                <w:spacing w:val="-2"/>
              </w:rPr>
              <w:t xml:space="preserve"> </w:t>
            </w:r>
            <w:r w:rsidRPr="00D4309F">
              <w:t>of</w:t>
            </w:r>
            <w:r w:rsidRPr="00D4309F">
              <w:rPr>
                <w:spacing w:val="-2"/>
              </w:rPr>
              <w:t xml:space="preserve"> navigation</w:t>
            </w:r>
          </w:p>
        </w:tc>
      </w:tr>
      <w:tr w:rsidR="00826C4C" w14:paraId="4F2EA45F" w14:textId="77777777" w:rsidTr="0048332C">
        <w:trPr>
          <w:trHeight w:val="2631"/>
        </w:trPr>
        <w:tc>
          <w:tcPr>
            <w:tcW w:w="1029" w:type="pct"/>
            <w:tcBorders>
              <w:top w:val="single" w:sz="4" w:space="0" w:color="5F6369" w:themeColor="text2"/>
              <w:left w:val="nil"/>
              <w:bottom w:val="single" w:sz="4" w:space="0" w:color="5F6369" w:themeColor="text2"/>
              <w:right w:val="nil"/>
            </w:tcBorders>
          </w:tcPr>
          <w:p w14:paraId="74675E92" w14:textId="6B896A5C" w:rsidR="00826C4C" w:rsidRPr="00826C4C" w:rsidRDefault="00826C4C" w:rsidP="00826C4C">
            <w:pPr>
              <w:pStyle w:val="Table-Text"/>
            </w:pPr>
            <w:r w:rsidRPr="00D4309F">
              <w:t>Social</w:t>
            </w:r>
            <w:r w:rsidRPr="00D4309F">
              <w:rPr>
                <w:spacing w:val="-13"/>
              </w:rPr>
              <w:t xml:space="preserve"> </w:t>
            </w:r>
            <w:r w:rsidRPr="00D4309F">
              <w:t>and economic</w:t>
            </w:r>
          </w:p>
        </w:tc>
        <w:tc>
          <w:tcPr>
            <w:tcW w:w="3971" w:type="pct"/>
            <w:tcBorders>
              <w:top w:val="single" w:sz="4" w:space="0" w:color="5F6369" w:themeColor="text2"/>
              <w:left w:val="nil"/>
              <w:bottom w:val="single" w:sz="4" w:space="0" w:color="5F6369" w:themeColor="text2"/>
              <w:right w:val="nil"/>
            </w:tcBorders>
          </w:tcPr>
          <w:p w14:paraId="20EF3301" w14:textId="77777777" w:rsidR="00826C4C" w:rsidRPr="00D4309F" w:rsidRDefault="00826C4C" w:rsidP="00A2018A">
            <w:pPr>
              <w:pStyle w:val="Table-Bullet"/>
            </w:pPr>
            <w:r w:rsidRPr="00D4309F">
              <w:t>Achieves</w:t>
            </w:r>
            <w:r w:rsidRPr="00D4309F">
              <w:rPr>
                <w:spacing w:val="-5"/>
              </w:rPr>
              <w:t xml:space="preserve"> </w:t>
            </w:r>
            <w:r w:rsidRPr="00D4309F">
              <w:t>SRG</w:t>
            </w:r>
            <w:r w:rsidRPr="00D4309F">
              <w:rPr>
                <w:spacing w:val="-3"/>
              </w:rPr>
              <w:t xml:space="preserve"> </w:t>
            </w:r>
            <w:r w:rsidRPr="00D4309F">
              <w:t>preference</w:t>
            </w:r>
            <w:r w:rsidRPr="00D4309F">
              <w:rPr>
                <w:spacing w:val="-3"/>
              </w:rPr>
              <w:t xml:space="preserve"> </w:t>
            </w:r>
            <w:r w:rsidRPr="00D4309F">
              <w:t>for</w:t>
            </w:r>
            <w:r w:rsidRPr="00D4309F">
              <w:rPr>
                <w:spacing w:val="-3"/>
              </w:rPr>
              <w:t xml:space="preserve"> </w:t>
            </w:r>
            <w:r w:rsidRPr="00D4309F">
              <w:t>lower</w:t>
            </w:r>
            <w:r w:rsidRPr="00D4309F">
              <w:rPr>
                <w:spacing w:val="-3"/>
              </w:rPr>
              <w:t xml:space="preserve"> </w:t>
            </w:r>
            <w:r w:rsidRPr="00D4309F">
              <w:t>impact,</w:t>
            </w:r>
            <w:r w:rsidRPr="00D4309F">
              <w:rPr>
                <w:spacing w:val="-3"/>
              </w:rPr>
              <w:t xml:space="preserve"> </w:t>
            </w:r>
            <w:r w:rsidRPr="00D4309F">
              <w:t>“softer”</w:t>
            </w:r>
            <w:r w:rsidRPr="00D4309F">
              <w:rPr>
                <w:spacing w:val="-2"/>
              </w:rPr>
              <w:t xml:space="preserve"> </w:t>
            </w:r>
            <w:r w:rsidRPr="00D4309F">
              <w:t>measures</w:t>
            </w:r>
            <w:r w:rsidRPr="00D4309F">
              <w:rPr>
                <w:spacing w:val="-3"/>
              </w:rPr>
              <w:t xml:space="preserve"> </w:t>
            </w:r>
            <w:r w:rsidRPr="00D4309F">
              <w:t>where</w:t>
            </w:r>
            <w:r w:rsidRPr="00D4309F">
              <w:rPr>
                <w:spacing w:val="-3"/>
              </w:rPr>
              <w:t xml:space="preserve"> </w:t>
            </w:r>
            <w:r w:rsidRPr="00D4309F">
              <w:rPr>
                <w:spacing w:val="-2"/>
              </w:rPr>
              <w:t>practicable</w:t>
            </w:r>
          </w:p>
          <w:p w14:paraId="13847B5E" w14:textId="77777777" w:rsidR="00826C4C" w:rsidRPr="00D4309F" w:rsidRDefault="00826C4C" w:rsidP="00A2018A">
            <w:pPr>
              <w:pStyle w:val="Table-Bullet"/>
            </w:pPr>
            <w:r w:rsidRPr="00D4309F">
              <w:t>Traditional</w:t>
            </w:r>
            <w:r w:rsidRPr="00D4309F">
              <w:rPr>
                <w:spacing w:val="-3"/>
              </w:rPr>
              <w:t xml:space="preserve"> </w:t>
            </w:r>
            <w:r w:rsidRPr="00D4309F">
              <w:t>Owners</w:t>
            </w:r>
            <w:r w:rsidRPr="00D4309F">
              <w:rPr>
                <w:spacing w:val="-3"/>
              </w:rPr>
              <w:t xml:space="preserve"> </w:t>
            </w:r>
            <w:r w:rsidRPr="00D4309F">
              <w:t>do</w:t>
            </w:r>
            <w:r w:rsidRPr="00D4309F">
              <w:rPr>
                <w:spacing w:val="-3"/>
              </w:rPr>
              <w:t xml:space="preserve"> </w:t>
            </w:r>
            <w:r w:rsidRPr="00D4309F">
              <w:t>not</w:t>
            </w:r>
            <w:r w:rsidRPr="00D4309F">
              <w:rPr>
                <w:spacing w:val="-3"/>
              </w:rPr>
              <w:t xml:space="preserve"> </w:t>
            </w:r>
            <w:r w:rsidRPr="00D4309F">
              <w:t>experience</w:t>
            </w:r>
            <w:r w:rsidRPr="00D4309F">
              <w:rPr>
                <w:spacing w:val="-3"/>
              </w:rPr>
              <w:t xml:space="preserve"> </w:t>
            </w:r>
            <w:r w:rsidRPr="00D4309F">
              <w:t>disturbance</w:t>
            </w:r>
            <w:r w:rsidRPr="00D4309F">
              <w:rPr>
                <w:spacing w:val="-3"/>
              </w:rPr>
              <w:t xml:space="preserve"> </w:t>
            </w:r>
            <w:r w:rsidRPr="00D4309F">
              <w:t>to</w:t>
            </w:r>
            <w:r w:rsidRPr="00D4309F">
              <w:rPr>
                <w:spacing w:val="-4"/>
              </w:rPr>
              <w:t xml:space="preserve"> </w:t>
            </w:r>
            <w:r w:rsidRPr="00D4309F">
              <w:t>cultural</w:t>
            </w:r>
            <w:r w:rsidRPr="00D4309F">
              <w:rPr>
                <w:spacing w:val="-2"/>
              </w:rPr>
              <w:t xml:space="preserve"> values</w:t>
            </w:r>
          </w:p>
          <w:p w14:paraId="5C7D7BFF" w14:textId="77777777" w:rsidR="00826C4C" w:rsidRPr="00D4309F" w:rsidRDefault="00826C4C" w:rsidP="00A2018A">
            <w:pPr>
              <w:pStyle w:val="Table-Bullet"/>
            </w:pPr>
            <w:r w:rsidRPr="00D4309F">
              <w:t>Visual</w:t>
            </w:r>
            <w:r w:rsidRPr="00D4309F">
              <w:rPr>
                <w:spacing w:val="-5"/>
              </w:rPr>
              <w:t xml:space="preserve"> </w:t>
            </w:r>
            <w:r w:rsidRPr="00D4309F">
              <w:rPr>
                <w:spacing w:val="-2"/>
              </w:rPr>
              <w:t>amenity</w:t>
            </w:r>
          </w:p>
          <w:p w14:paraId="550ABDFA" w14:textId="77777777" w:rsidR="00826C4C" w:rsidRPr="00D4309F" w:rsidRDefault="00826C4C" w:rsidP="00A2018A">
            <w:pPr>
              <w:pStyle w:val="Table-Bullet"/>
            </w:pPr>
            <w:r w:rsidRPr="00D4309F">
              <w:t>Community</w:t>
            </w:r>
            <w:r w:rsidRPr="00D4309F">
              <w:rPr>
                <w:spacing w:val="-3"/>
              </w:rPr>
              <w:t xml:space="preserve"> </w:t>
            </w:r>
            <w:r w:rsidRPr="00D4309F">
              <w:t>amenity</w:t>
            </w:r>
            <w:r w:rsidRPr="00D4309F">
              <w:rPr>
                <w:spacing w:val="-3"/>
              </w:rPr>
              <w:t xml:space="preserve"> </w:t>
            </w:r>
            <w:r w:rsidRPr="00D4309F">
              <w:t>(including</w:t>
            </w:r>
            <w:r w:rsidRPr="00D4309F">
              <w:rPr>
                <w:spacing w:val="-3"/>
              </w:rPr>
              <w:t xml:space="preserve"> </w:t>
            </w:r>
            <w:r w:rsidRPr="00D4309F">
              <w:t>noise</w:t>
            </w:r>
            <w:r w:rsidRPr="00D4309F">
              <w:rPr>
                <w:spacing w:val="-3"/>
              </w:rPr>
              <w:t xml:space="preserve"> </w:t>
            </w:r>
            <w:r w:rsidRPr="00D4309F">
              <w:t>from</w:t>
            </w:r>
            <w:r w:rsidRPr="00D4309F">
              <w:rPr>
                <w:spacing w:val="-3"/>
              </w:rPr>
              <w:t xml:space="preserve"> </w:t>
            </w:r>
            <w:r w:rsidRPr="00D4309F">
              <w:rPr>
                <w:spacing w:val="-2"/>
              </w:rPr>
              <w:t>pumps)</w:t>
            </w:r>
          </w:p>
          <w:p w14:paraId="1826FF95" w14:textId="77777777" w:rsidR="00826C4C" w:rsidRPr="00D4309F" w:rsidRDefault="00826C4C" w:rsidP="00A2018A">
            <w:pPr>
              <w:pStyle w:val="Table-Bullet"/>
            </w:pPr>
            <w:r w:rsidRPr="00D4309F">
              <w:t>Beach</w:t>
            </w:r>
            <w:r w:rsidRPr="00D4309F">
              <w:rPr>
                <w:spacing w:val="-4"/>
              </w:rPr>
              <w:t xml:space="preserve"> </w:t>
            </w:r>
            <w:r w:rsidRPr="00D4309F">
              <w:t>users</w:t>
            </w:r>
            <w:r w:rsidRPr="00D4309F">
              <w:rPr>
                <w:spacing w:val="-2"/>
              </w:rPr>
              <w:t xml:space="preserve"> </w:t>
            </w:r>
            <w:r w:rsidRPr="00D4309F">
              <w:t>experience</w:t>
            </w:r>
            <w:r w:rsidRPr="00D4309F">
              <w:rPr>
                <w:spacing w:val="-3"/>
              </w:rPr>
              <w:t xml:space="preserve"> </w:t>
            </w:r>
            <w:r w:rsidRPr="00D4309F">
              <w:t>(including</w:t>
            </w:r>
            <w:r w:rsidRPr="00D4309F">
              <w:rPr>
                <w:spacing w:val="-3"/>
              </w:rPr>
              <w:t xml:space="preserve"> </w:t>
            </w:r>
            <w:r w:rsidRPr="00D4309F">
              <w:t>impacts</w:t>
            </w:r>
            <w:r w:rsidRPr="00D4309F">
              <w:rPr>
                <w:spacing w:val="-2"/>
              </w:rPr>
              <w:t xml:space="preserve"> </w:t>
            </w:r>
            <w:r w:rsidRPr="00D4309F">
              <w:t>to</w:t>
            </w:r>
            <w:r w:rsidRPr="00D4309F">
              <w:rPr>
                <w:spacing w:val="-3"/>
              </w:rPr>
              <w:t xml:space="preserve"> </w:t>
            </w:r>
            <w:r w:rsidRPr="00D4309F">
              <w:rPr>
                <w:spacing w:val="-2"/>
              </w:rPr>
              <w:t>demand)</w:t>
            </w:r>
          </w:p>
          <w:p w14:paraId="2B27AFDA" w14:textId="77777777" w:rsidR="00826C4C" w:rsidRPr="00D4309F" w:rsidRDefault="00826C4C" w:rsidP="00A2018A">
            <w:pPr>
              <w:pStyle w:val="Table-Bullet"/>
            </w:pPr>
            <w:r w:rsidRPr="00D4309F">
              <w:t>Safe</w:t>
            </w:r>
            <w:r w:rsidRPr="00D4309F">
              <w:rPr>
                <w:spacing w:val="-4"/>
              </w:rPr>
              <w:t xml:space="preserve"> </w:t>
            </w:r>
            <w:r w:rsidRPr="00D4309F">
              <w:t>access</w:t>
            </w:r>
            <w:r w:rsidRPr="00D4309F">
              <w:rPr>
                <w:spacing w:val="-2"/>
              </w:rPr>
              <w:t xml:space="preserve"> </w:t>
            </w:r>
            <w:r w:rsidRPr="00D4309F">
              <w:t>for</w:t>
            </w:r>
            <w:r w:rsidRPr="00D4309F">
              <w:rPr>
                <w:spacing w:val="-2"/>
              </w:rPr>
              <w:t xml:space="preserve"> </w:t>
            </w:r>
            <w:r w:rsidRPr="00D4309F">
              <w:t>business</w:t>
            </w:r>
            <w:r w:rsidRPr="00D4309F">
              <w:rPr>
                <w:spacing w:val="-3"/>
              </w:rPr>
              <w:t xml:space="preserve"> </w:t>
            </w:r>
            <w:r w:rsidRPr="00D4309F">
              <w:t>and</w:t>
            </w:r>
            <w:r w:rsidRPr="00D4309F">
              <w:rPr>
                <w:spacing w:val="-3"/>
              </w:rPr>
              <w:t xml:space="preserve"> </w:t>
            </w:r>
            <w:r w:rsidRPr="00D4309F">
              <w:t>recreational</w:t>
            </w:r>
            <w:r w:rsidRPr="00D4309F">
              <w:rPr>
                <w:spacing w:val="-2"/>
              </w:rPr>
              <w:t xml:space="preserve"> </w:t>
            </w:r>
            <w:r w:rsidRPr="00D4309F">
              <w:rPr>
                <w:spacing w:val="-4"/>
              </w:rPr>
              <w:t>users</w:t>
            </w:r>
          </w:p>
          <w:p w14:paraId="2C9204EE" w14:textId="77777777" w:rsidR="00826C4C" w:rsidRPr="00D4309F" w:rsidRDefault="00826C4C" w:rsidP="00A2018A">
            <w:pPr>
              <w:pStyle w:val="Table-Bullet"/>
            </w:pPr>
            <w:r w:rsidRPr="00D4309F">
              <w:t>Reliable</w:t>
            </w:r>
            <w:r w:rsidRPr="00D4309F">
              <w:rPr>
                <w:spacing w:val="-4"/>
              </w:rPr>
              <w:t xml:space="preserve"> </w:t>
            </w:r>
            <w:r w:rsidRPr="00D4309F">
              <w:t>access</w:t>
            </w:r>
            <w:r w:rsidRPr="00D4309F">
              <w:rPr>
                <w:spacing w:val="-3"/>
              </w:rPr>
              <w:t xml:space="preserve"> </w:t>
            </w:r>
            <w:r w:rsidRPr="00D4309F">
              <w:t>for</w:t>
            </w:r>
            <w:r w:rsidRPr="00D4309F">
              <w:rPr>
                <w:spacing w:val="-3"/>
              </w:rPr>
              <w:t xml:space="preserve"> </w:t>
            </w:r>
            <w:r w:rsidRPr="00D4309F">
              <w:t>business</w:t>
            </w:r>
            <w:r w:rsidRPr="00D4309F">
              <w:rPr>
                <w:spacing w:val="-3"/>
              </w:rPr>
              <w:t xml:space="preserve"> </w:t>
            </w:r>
            <w:r w:rsidRPr="00D4309F">
              <w:t>and</w:t>
            </w:r>
            <w:r w:rsidRPr="00D4309F">
              <w:rPr>
                <w:spacing w:val="-3"/>
              </w:rPr>
              <w:t xml:space="preserve"> </w:t>
            </w:r>
            <w:r w:rsidRPr="00D4309F">
              <w:t>recreational</w:t>
            </w:r>
            <w:r w:rsidRPr="00D4309F">
              <w:rPr>
                <w:spacing w:val="-3"/>
              </w:rPr>
              <w:t xml:space="preserve"> </w:t>
            </w:r>
            <w:r w:rsidRPr="00D4309F">
              <w:rPr>
                <w:spacing w:val="-4"/>
              </w:rPr>
              <w:t>users</w:t>
            </w:r>
          </w:p>
          <w:p w14:paraId="78D3E3EB" w14:textId="77777777" w:rsidR="00826C4C" w:rsidRPr="00D4309F" w:rsidRDefault="00826C4C" w:rsidP="00A2018A">
            <w:pPr>
              <w:pStyle w:val="Table-Bullet"/>
            </w:pPr>
            <w:r w:rsidRPr="00D4309F">
              <w:t>Broader</w:t>
            </w:r>
            <w:r w:rsidRPr="00D4309F">
              <w:rPr>
                <w:spacing w:val="-6"/>
              </w:rPr>
              <w:t xml:space="preserve"> </w:t>
            </w:r>
            <w:r w:rsidRPr="00D4309F">
              <w:t>economic</w:t>
            </w:r>
            <w:r w:rsidRPr="00D4309F">
              <w:rPr>
                <w:spacing w:val="-4"/>
              </w:rPr>
              <w:t xml:space="preserve"> </w:t>
            </w:r>
            <w:r w:rsidRPr="00D4309F">
              <w:t>considerations</w:t>
            </w:r>
            <w:r w:rsidRPr="00D4309F">
              <w:rPr>
                <w:spacing w:val="-3"/>
              </w:rPr>
              <w:t xml:space="preserve"> </w:t>
            </w:r>
            <w:r w:rsidRPr="00D4309F">
              <w:t>during</w:t>
            </w:r>
            <w:r w:rsidRPr="00D4309F">
              <w:rPr>
                <w:spacing w:val="-5"/>
              </w:rPr>
              <w:t xml:space="preserve"> </w:t>
            </w:r>
            <w:r w:rsidRPr="00D4309F">
              <w:t>construction</w:t>
            </w:r>
            <w:r w:rsidRPr="00D4309F">
              <w:rPr>
                <w:spacing w:val="-4"/>
              </w:rPr>
              <w:t xml:space="preserve"> </w:t>
            </w:r>
            <w:r w:rsidRPr="00D4309F">
              <w:t>and</w:t>
            </w:r>
            <w:r w:rsidRPr="00D4309F">
              <w:rPr>
                <w:spacing w:val="-4"/>
              </w:rPr>
              <w:t xml:space="preserve"> </w:t>
            </w:r>
            <w:r w:rsidRPr="00D4309F">
              <w:rPr>
                <w:spacing w:val="-2"/>
              </w:rPr>
              <w:t>operation</w:t>
            </w:r>
          </w:p>
          <w:p w14:paraId="71A070EB" w14:textId="77777777" w:rsidR="00826C4C" w:rsidRPr="00826C4C" w:rsidRDefault="00826C4C" w:rsidP="00826C4C">
            <w:pPr>
              <w:pStyle w:val="Table-Bullet"/>
            </w:pPr>
            <w:r w:rsidRPr="00D4309F">
              <w:t>Environmental</w:t>
            </w:r>
            <w:r w:rsidRPr="00D4309F">
              <w:rPr>
                <w:spacing w:val="-5"/>
              </w:rPr>
              <w:t xml:space="preserve"> </w:t>
            </w:r>
            <w:r w:rsidRPr="00D4309F">
              <w:t>impact</w:t>
            </w:r>
            <w:r w:rsidRPr="00D4309F">
              <w:rPr>
                <w:spacing w:val="-4"/>
              </w:rPr>
              <w:t xml:space="preserve"> </w:t>
            </w:r>
            <w:r w:rsidRPr="00D4309F">
              <w:rPr>
                <w:spacing w:val="-2"/>
              </w:rPr>
              <w:t>perceptions</w:t>
            </w:r>
          </w:p>
          <w:p w14:paraId="3CA3F170" w14:textId="2DB2031A" w:rsidR="00826C4C" w:rsidRPr="00826C4C" w:rsidRDefault="00826C4C" w:rsidP="00826C4C">
            <w:pPr>
              <w:pStyle w:val="Table-Bullet"/>
            </w:pPr>
            <w:r w:rsidRPr="00244E4F">
              <w:t>Reliable</w:t>
            </w:r>
            <w:r w:rsidRPr="00826C4C">
              <w:rPr>
                <w:spacing w:val="-4"/>
              </w:rPr>
              <w:t xml:space="preserve"> </w:t>
            </w:r>
            <w:r w:rsidRPr="00244E4F">
              <w:t>access</w:t>
            </w:r>
            <w:r w:rsidRPr="00826C4C">
              <w:rPr>
                <w:spacing w:val="-3"/>
              </w:rPr>
              <w:t xml:space="preserve"> </w:t>
            </w:r>
            <w:r w:rsidRPr="00244E4F">
              <w:t>for</w:t>
            </w:r>
            <w:r w:rsidRPr="00826C4C">
              <w:rPr>
                <w:spacing w:val="-3"/>
              </w:rPr>
              <w:t xml:space="preserve"> </w:t>
            </w:r>
            <w:r w:rsidRPr="00244E4F">
              <w:t>business</w:t>
            </w:r>
            <w:r w:rsidRPr="00826C4C">
              <w:rPr>
                <w:spacing w:val="-3"/>
              </w:rPr>
              <w:t xml:space="preserve"> </w:t>
            </w:r>
            <w:r w:rsidRPr="00244E4F">
              <w:t>and</w:t>
            </w:r>
            <w:r w:rsidRPr="00826C4C">
              <w:rPr>
                <w:spacing w:val="-3"/>
              </w:rPr>
              <w:t xml:space="preserve"> </w:t>
            </w:r>
            <w:r w:rsidRPr="00244E4F">
              <w:t>recreational</w:t>
            </w:r>
            <w:r w:rsidRPr="00826C4C">
              <w:rPr>
                <w:spacing w:val="-3"/>
              </w:rPr>
              <w:t xml:space="preserve"> </w:t>
            </w:r>
            <w:r w:rsidRPr="00826C4C">
              <w:rPr>
                <w:spacing w:val="-4"/>
              </w:rPr>
              <w:t>users</w:t>
            </w:r>
          </w:p>
        </w:tc>
      </w:tr>
      <w:tr w:rsidR="0048332C" w14:paraId="48554032" w14:textId="77777777" w:rsidTr="0048332C">
        <w:trPr>
          <w:trHeight w:val="592"/>
        </w:trPr>
        <w:tc>
          <w:tcPr>
            <w:tcW w:w="1029" w:type="pct"/>
            <w:tcBorders>
              <w:top w:val="single" w:sz="4" w:space="0" w:color="5F6369" w:themeColor="text2"/>
              <w:left w:val="nil"/>
              <w:bottom w:val="single" w:sz="4" w:space="0" w:color="5F6369" w:themeColor="text2"/>
              <w:right w:val="nil"/>
            </w:tcBorders>
          </w:tcPr>
          <w:p w14:paraId="2722A92F" w14:textId="5CF051C7" w:rsidR="0048332C" w:rsidRPr="00D4309F" w:rsidRDefault="0048332C" w:rsidP="0048332C">
            <w:pPr>
              <w:pStyle w:val="Table-Text"/>
            </w:pPr>
            <w:r w:rsidRPr="00D4309F">
              <w:rPr>
                <w:color w:val="211E1F"/>
                <w:spacing w:val="-2"/>
                <w:position w:val="1"/>
              </w:rPr>
              <w:t>Environmental</w:t>
            </w:r>
          </w:p>
        </w:tc>
        <w:tc>
          <w:tcPr>
            <w:tcW w:w="3971" w:type="pct"/>
            <w:tcBorders>
              <w:top w:val="single" w:sz="4" w:space="0" w:color="5F6369" w:themeColor="text2"/>
              <w:left w:val="nil"/>
              <w:bottom w:val="single" w:sz="4" w:space="0" w:color="5F6369" w:themeColor="text2"/>
              <w:right w:val="nil"/>
            </w:tcBorders>
          </w:tcPr>
          <w:p w14:paraId="0A7E1D08" w14:textId="77777777" w:rsidR="0048332C" w:rsidRDefault="0048332C" w:rsidP="0048332C">
            <w:pPr>
              <w:pStyle w:val="Table-Bullet"/>
              <w:rPr>
                <w:spacing w:val="-2"/>
              </w:rPr>
            </w:pPr>
            <w:r w:rsidRPr="00D4309F">
              <w:t>Marine</w:t>
            </w:r>
            <w:r w:rsidRPr="00D4309F">
              <w:rPr>
                <w:spacing w:val="-4"/>
              </w:rPr>
              <w:t xml:space="preserve"> </w:t>
            </w:r>
            <w:r w:rsidRPr="00D4309F">
              <w:t>water</w:t>
            </w:r>
            <w:r w:rsidRPr="00D4309F">
              <w:rPr>
                <w:spacing w:val="-3"/>
              </w:rPr>
              <w:t xml:space="preserve"> </w:t>
            </w:r>
            <w:r w:rsidRPr="00D4309F">
              <w:t>quality</w:t>
            </w:r>
            <w:r w:rsidRPr="00D4309F">
              <w:rPr>
                <w:spacing w:val="-3"/>
              </w:rPr>
              <w:t xml:space="preserve"> </w:t>
            </w:r>
            <w:r w:rsidRPr="00D4309F">
              <w:rPr>
                <w:spacing w:val="-2"/>
              </w:rPr>
              <w:t>impacts</w:t>
            </w:r>
          </w:p>
          <w:p w14:paraId="232C784D" w14:textId="77777777" w:rsidR="0048332C" w:rsidRPr="00D4309F" w:rsidRDefault="0048332C" w:rsidP="0048332C">
            <w:pPr>
              <w:pStyle w:val="Table-Bullet"/>
            </w:pPr>
            <w:r w:rsidRPr="00D4309F">
              <w:t>Marine</w:t>
            </w:r>
            <w:r w:rsidRPr="00D4309F">
              <w:rPr>
                <w:spacing w:val="-4"/>
              </w:rPr>
              <w:t xml:space="preserve"> </w:t>
            </w:r>
            <w:r w:rsidRPr="00D4309F">
              <w:t>habitats</w:t>
            </w:r>
            <w:r w:rsidRPr="00D4309F">
              <w:rPr>
                <w:spacing w:val="-3"/>
              </w:rPr>
              <w:t xml:space="preserve"> </w:t>
            </w:r>
            <w:r w:rsidRPr="00D4309F">
              <w:t>and</w:t>
            </w:r>
            <w:r w:rsidRPr="00D4309F">
              <w:rPr>
                <w:spacing w:val="-4"/>
              </w:rPr>
              <w:t xml:space="preserve"> </w:t>
            </w:r>
            <w:r w:rsidRPr="00D4309F">
              <w:t>protected</w:t>
            </w:r>
            <w:r w:rsidRPr="00D4309F">
              <w:rPr>
                <w:spacing w:val="-4"/>
              </w:rPr>
              <w:t xml:space="preserve"> </w:t>
            </w:r>
            <w:r w:rsidRPr="00D4309F">
              <w:t>species</w:t>
            </w:r>
            <w:r w:rsidRPr="00D4309F">
              <w:rPr>
                <w:spacing w:val="-2"/>
              </w:rPr>
              <w:t xml:space="preserve"> impacts</w:t>
            </w:r>
          </w:p>
          <w:p w14:paraId="77C1292B" w14:textId="7C0FE4E1" w:rsidR="0048332C" w:rsidRPr="00D4309F" w:rsidRDefault="0048332C" w:rsidP="0048332C">
            <w:pPr>
              <w:pStyle w:val="Table-Bullet"/>
            </w:pPr>
            <w:r w:rsidRPr="00D4309F">
              <w:t>Terrestrial</w:t>
            </w:r>
            <w:r w:rsidRPr="00D4309F">
              <w:rPr>
                <w:spacing w:val="-4"/>
              </w:rPr>
              <w:t xml:space="preserve"> </w:t>
            </w:r>
            <w:r w:rsidRPr="00D4309F">
              <w:t>habitats</w:t>
            </w:r>
            <w:r w:rsidRPr="00D4309F">
              <w:rPr>
                <w:spacing w:val="-3"/>
              </w:rPr>
              <w:t xml:space="preserve"> </w:t>
            </w:r>
            <w:r w:rsidRPr="00D4309F">
              <w:t>and</w:t>
            </w:r>
            <w:r w:rsidRPr="00D4309F">
              <w:rPr>
                <w:spacing w:val="-3"/>
              </w:rPr>
              <w:t xml:space="preserve"> </w:t>
            </w:r>
            <w:r w:rsidRPr="00D4309F">
              <w:t>protected</w:t>
            </w:r>
            <w:r w:rsidRPr="00D4309F">
              <w:rPr>
                <w:spacing w:val="-3"/>
              </w:rPr>
              <w:t xml:space="preserve"> </w:t>
            </w:r>
            <w:r w:rsidRPr="00D4309F">
              <w:t>species</w:t>
            </w:r>
            <w:r w:rsidRPr="00D4309F">
              <w:rPr>
                <w:spacing w:val="-3"/>
              </w:rPr>
              <w:t xml:space="preserve"> </w:t>
            </w:r>
            <w:r w:rsidRPr="00D4309F">
              <w:rPr>
                <w:spacing w:val="-2"/>
              </w:rPr>
              <w:t>impacts</w:t>
            </w:r>
          </w:p>
        </w:tc>
      </w:tr>
      <w:tr w:rsidR="0048332C" w14:paraId="348B13D7" w14:textId="77777777" w:rsidTr="0048332C">
        <w:trPr>
          <w:trHeight w:val="219"/>
        </w:trPr>
        <w:tc>
          <w:tcPr>
            <w:tcW w:w="1029" w:type="pct"/>
            <w:tcBorders>
              <w:top w:val="single" w:sz="4" w:space="0" w:color="5F6369" w:themeColor="text2"/>
              <w:left w:val="nil"/>
              <w:right w:val="nil"/>
            </w:tcBorders>
          </w:tcPr>
          <w:p w14:paraId="69D59260" w14:textId="08CC93D0" w:rsidR="0048332C" w:rsidRPr="00D4309F" w:rsidRDefault="0048332C" w:rsidP="0048332C">
            <w:pPr>
              <w:pStyle w:val="Table-Text"/>
            </w:pPr>
            <w:r w:rsidRPr="00D4309F">
              <w:rPr>
                <w:color w:val="211E1F"/>
                <w:spacing w:val="-2"/>
                <w:position w:val="1"/>
              </w:rPr>
              <w:t>Financial</w:t>
            </w:r>
          </w:p>
        </w:tc>
        <w:tc>
          <w:tcPr>
            <w:tcW w:w="3971" w:type="pct"/>
            <w:tcBorders>
              <w:top w:val="single" w:sz="4" w:space="0" w:color="5F6369" w:themeColor="text2"/>
              <w:left w:val="nil"/>
              <w:right w:val="nil"/>
            </w:tcBorders>
          </w:tcPr>
          <w:p w14:paraId="2B4F40A5" w14:textId="77777777" w:rsidR="0048332C" w:rsidRPr="00D4309F" w:rsidRDefault="0048332C" w:rsidP="0048332C">
            <w:pPr>
              <w:pStyle w:val="Table-Bullet"/>
            </w:pPr>
            <w:r w:rsidRPr="00D4309F">
              <w:t>CAPEX</w:t>
            </w:r>
            <w:r w:rsidRPr="00D4309F">
              <w:rPr>
                <w:spacing w:val="-1"/>
              </w:rPr>
              <w:t xml:space="preserve"> </w:t>
            </w:r>
            <w:r w:rsidRPr="00D4309F">
              <w:rPr>
                <w:spacing w:val="-2"/>
              </w:rPr>
              <w:t>costs</w:t>
            </w:r>
          </w:p>
          <w:p w14:paraId="415D54CD" w14:textId="1A6FC89E" w:rsidR="0048332C" w:rsidRPr="00D4309F" w:rsidRDefault="0048332C" w:rsidP="0048332C">
            <w:pPr>
              <w:pStyle w:val="Table-Bullet"/>
            </w:pPr>
            <w:r w:rsidRPr="00D4309F">
              <w:t>OPEX</w:t>
            </w:r>
            <w:r w:rsidRPr="00D4309F">
              <w:rPr>
                <w:spacing w:val="-3"/>
              </w:rPr>
              <w:t xml:space="preserve"> </w:t>
            </w:r>
            <w:r w:rsidRPr="00D4309F">
              <w:t>costs</w:t>
            </w:r>
            <w:r w:rsidRPr="00D4309F">
              <w:rPr>
                <w:spacing w:val="-3"/>
              </w:rPr>
              <w:t xml:space="preserve"> </w:t>
            </w:r>
            <w:r w:rsidRPr="00D4309F">
              <w:t>–</w:t>
            </w:r>
            <w:r w:rsidRPr="00D4309F">
              <w:rPr>
                <w:spacing w:val="-5"/>
              </w:rPr>
              <w:t xml:space="preserve"> </w:t>
            </w:r>
            <w:r w:rsidRPr="00D4309F">
              <w:t>operations,</w:t>
            </w:r>
            <w:r w:rsidRPr="00D4309F">
              <w:rPr>
                <w:spacing w:val="-2"/>
              </w:rPr>
              <w:t xml:space="preserve"> </w:t>
            </w:r>
            <w:r w:rsidRPr="00D4309F">
              <w:t>maintenance,</w:t>
            </w:r>
            <w:r w:rsidRPr="00D4309F">
              <w:rPr>
                <w:spacing w:val="-3"/>
              </w:rPr>
              <w:t xml:space="preserve"> </w:t>
            </w:r>
            <w:r w:rsidRPr="00D4309F">
              <w:t>monitoring</w:t>
            </w:r>
            <w:r w:rsidRPr="00D4309F">
              <w:rPr>
                <w:spacing w:val="-4"/>
              </w:rPr>
              <w:t xml:space="preserve"> </w:t>
            </w:r>
            <w:r w:rsidRPr="00D4309F">
              <w:t>and</w:t>
            </w:r>
            <w:r w:rsidRPr="00D4309F">
              <w:rPr>
                <w:spacing w:val="-3"/>
              </w:rPr>
              <w:t xml:space="preserve"> </w:t>
            </w:r>
            <w:r w:rsidRPr="00D4309F">
              <w:rPr>
                <w:spacing w:val="-2"/>
              </w:rPr>
              <w:t>contingency</w:t>
            </w:r>
          </w:p>
        </w:tc>
      </w:tr>
    </w:tbl>
    <w:p w14:paraId="216C6271" w14:textId="77777777" w:rsidR="00FE6959" w:rsidRDefault="00FE6959" w:rsidP="00FE6959">
      <w:pPr>
        <w:pStyle w:val="BodyText"/>
      </w:pPr>
      <w:bookmarkStart w:id="193" w:name="_bookmark84"/>
      <w:bookmarkEnd w:id="193"/>
    </w:p>
    <w:p w14:paraId="289F7FE4" w14:textId="07CAF761" w:rsidR="002A5F65" w:rsidRDefault="002A5F65" w:rsidP="00151534">
      <w:pPr>
        <w:pStyle w:val="Table-Caption"/>
      </w:pPr>
      <w:bookmarkStart w:id="194" w:name="_Toc216699546"/>
      <w:r>
        <w:t xml:space="preserve">Table </w:t>
      </w:r>
      <w:r w:rsidR="00151534">
        <w:fldChar w:fldCharType="begin" w:fldLock="1"/>
      </w:r>
      <w:r w:rsidR="00151534">
        <w:instrText xml:space="preserve"> STYLEREF 1 \s </w:instrText>
      </w:r>
      <w:r w:rsidR="00151534">
        <w:fldChar w:fldCharType="separate"/>
      </w:r>
      <w:r w:rsidR="00151534">
        <w:rPr>
          <w:noProof/>
        </w:rPr>
        <w:t>12</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2</w:t>
      </w:r>
      <w:r w:rsidR="00151534">
        <w:fldChar w:fldCharType="end"/>
      </w:r>
      <w:r>
        <w:t>:</w:t>
      </w:r>
      <w:r>
        <w:tab/>
        <w:t>MCA scoring</w:t>
      </w:r>
      <w:bookmarkEnd w:id="194"/>
    </w:p>
    <w:tbl>
      <w:tblPr>
        <w:tblStyle w:val="Table1"/>
        <w:tblW w:w="5000" w:type="pct"/>
        <w:tblLook w:val="0620" w:firstRow="1" w:lastRow="0" w:firstColumn="0" w:lastColumn="0" w:noHBand="1" w:noVBand="1"/>
      </w:tblPr>
      <w:tblGrid>
        <w:gridCol w:w="2551"/>
        <w:gridCol w:w="7091"/>
      </w:tblGrid>
      <w:tr w:rsidR="002A5F65" w:rsidRPr="0078153E" w14:paraId="3C0201DC" w14:textId="77777777" w:rsidTr="002A5F65">
        <w:trPr>
          <w:cnfStyle w:val="100000000000" w:firstRow="1" w:lastRow="0" w:firstColumn="0" w:lastColumn="0" w:oddVBand="0" w:evenVBand="0" w:oddHBand="0" w:evenHBand="0" w:firstRowFirstColumn="0" w:firstRowLastColumn="0" w:lastRowFirstColumn="0" w:lastRowLastColumn="0"/>
          <w:tblHeader/>
        </w:trPr>
        <w:tc>
          <w:tcPr>
            <w:tcW w:w="1323" w:type="pct"/>
            <w:hideMark/>
          </w:tcPr>
          <w:p w14:paraId="05BEFFEB" w14:textId="040B4A2A" w:rsidR="002A5F65" w:rsidRPr="0078153E" w:rsidRDefault="002A5F65">
            <w:pPr>
              <w:pStyle w:val="Table-Heading"/>
            </w:pPr>
            <w:r>
              <w:t>Score</w:t>
            </w:r>
          </w:p>
        </w:tc>
        <w:tc>
          <w:tcPr>
            <w:tcW w:w="3677" w:type="pct"/>
          </w:tcPr>
          <w:p w14:paraId="0B6C8695" w14:textId="1BCEC00F" w:rsidR="002A5F65" w:rsidRPr="0078153E" w:rsidRDefault="002A5F65">
            <w:pPr>
              <w:pStyle w:val="Table-Heading"/>
            </w:pPr>
            <w:r>
              <w:t>Description of scores</w:t>
            </w:r>
          </w:p>
        </w:tc>
      </w:tr>
      <w:tr w:rsidR="002A5F65" w14:paraId="778D6374" w14:textId="77777777" w:rsidTr="002A5F65">
        <w:tc>
          <w:tcPr>
            <w:tcW w:w="1323" w:type="pct"/>
            <w:tcBorders>
              <w:top w:val="single" w:sz="4" w:space="0" w:color="5F6369" w:themeColor="text2"/>
              <w:left w:val="nil"/>
              <w:bottom w:val="single" w:sz="4" w:space="0" w:color="5F6369" w:themeColor="text2"/>
              <w:right w:val="nil"/>
            </w:tcBorders>
          </w:tcPr>
          <w:p w14:paraId="340E252C" w14:textId="5AA49956" w:rsidR="002A5F65" w:rsidRPr="007B7606" w:rsidRDefault="002A5F65" w:rsidP="002A5F65">
            <w:pPr>
              <w:pStyle w:val="Table-Text"/>
            </w:pPr>
            <w:r>
              <w:t>1</w:t>
            </w:r>
          </w:p>
        </w:tc>
        <w:tc>
          <w:tcPr>
            <w:tcW w:w="3677" w:type="pct"/>
            <w:tcBorders>
              <w:top w:val="single" w:sz="4" w:space="0" w:color="5F6369" w:themeColor="text2"/>
              <w:left w:val="nil"/>
              <w:bottom w:val="single" w:sz="4" w:space="0" w:color="5F6369" w:themeColor="text2"/>
              <w:right w:val="nil"/>
            </w:tcBorders>
          </w:tcPr>
          <w:p w14:paraId="1DB4D111" w14:textId="4AF580D6" w:rsidR="002A5F65" w:rsidRPr="007B7606" w:rsidRDefault="002A5F65" w:rsidP="002A5F65">
            <w:pPr>
              <w:pStyle w:val="Table-Text"/>
            </w:pPr>
            <w:r w:rsidRPr="00D4309F">
              <w:rPr>
                <w:color w:val="211E1F"/>
              </w:rPr>
              <w:t>Worst</w:t>
            </w:r>
            <w:r w:rsidRPr="00D4309F">
              <w:rPr>
                <w:color w:val="211E1F"/>
                <w:spacing w:val="-6"/>
              </w:rPr>
              <w:t xml:space="preserve"> </w:t>
            </w:r>
            <w:r w:rsidRPr="00D4309F">
              <w:rPr>
                <w:color w:val="211E1F"/>
              </w:rPr>
              <w:t>performance</w:t>
            </w:r>
            <w:r w:rsidRPr="00D4309F">
              <w:rPr>
                <w:color w:val="211E1F"/>
                <w:spacing w:val="-4"/>
              </w:rPr>
              <w:t xml:space="preserve"> </w:t>
            </w:r>
            <w:r w:rsidRPr="00D4309F">
              <w:rPr>
                <w:color w:val="211E1F"/>
              </w:rPr>
              <w:t>or</w:t>
            </w:r>
            <w:r w:rsidRPr="00D4309F">
              <w:rPr>
                <w:color w:val="211E1F"/>
                <w:spacing w:val="-3"/>
              </w:rPr>
              <w:t xml:space="preserve"> </w:t>
            </w:r>
            <w:r w:rsidRPr="00D4309F">
              <w:rPr>
                <w:color w:val="211E1F"/>
              </w:rPr>
              <w:t>Significant</w:t>
            </w:r>
            <w:r w:rsidRPr="00D4309F">
              <w:rPr>
                <w:color w:val="211E1F"/>
                <w:spacing w:val="-3"/>
              </w:rPr>
              <w:t xml:space="preserve"> </w:t>
            </w:r>
            <w:r w:rsidRPr="00D4309F">
              <w:rPr>
                <w:color w:val="211E1F"/>
                <w:spacing w:val="-2"/>
              </w:rPr>
              <w:t>impacts</w:t>
            </w:r>
          </w:p>
        </w:tc>
      </w:tr>
      <w:tr w:rsidR="002A5F65" w14:paraId="02782424" w14:textId="77777777" w:rsidTr="002A5F65">
        <w:tc>
          <w:tcPr>
            <w:tcW w:w="1323" w:type="pct"/>
            <w:tcBorders>
              <w:top w:val="single" w:sz="4" w:space="0" w:color="5F6369" w:themeColor="text2"/>
              <w:left w:val="nil"/>
              <w:bottom w:val="single" w:sz="4" w:space="0" w:color="5F6369" w:themeColor="text2"/>
              <w:right w:val="nil"/>
            </w:tcBorders>
          </w:tcPr>
          <w:p w14:paraId="062D41AB" w14:textId="779B5659" w:rsidR="002A5F65" w:rsidRDefault="002A5F65" w:rsidP="002A5F65">
            <w:pPr>
              <w:pStyle w:val="Table-Text"/>
              <w:rPr>
                <w:lang w:val="en-GB"/>
              </w:rPr>
            </w:pPr>
            <w:r>
              <w:rPr>
                <w:lang w:val="en-GB"/>
              </w:rPr>
              <w:t>2</w:t>
            </w:r>
          </w:p>
        </w:tc>
        <w:tc>
          <w:tcPr>
            <w:tcW w:w="3677" w:type="pct"/>
            <w:tcBorders>
              <w:top w:val="single" w:sz="4" w:space="0" w:color="5F6369" w:themeColor="text2"/>
              <w:left w:val="nil"/>
              <w:bottom w:val="single" w:sz="4" w:space="0" w:color="5F6369" w:themeColor="text2"/>
              <w:right w:val="nil"/>
            </w:tcBorders>
          </w:tcPr>
          <w:p w14:paraId="113CFF96" w14:textId="455AC777" w:rsidR="002A5F65" w:rsidRPr="002A5F65" w:rsidRDefault="002A5F65" w:rsidP="002A5F65">
            <w:pPr>
              <w:pStyle w:val="Table-Text"/>
            </w:pPr>
            <w:r w:rsidRPr="00D4309F">
              <w:rPr>
                <w:color w:val="211E1F"/>
              </w:rPr>
              <w:t>Poor</w:t>
            </w:r>
            <w:r w:rsidRPr="00D4309F">
              <w:rPr>
                <w:color w:val="211E1F"/>
                <w:spacing w:val="-5"/>
              </w:rPr>
              <w:t xml:space="preserve"> </w:t>
            </w:r>
            <w:r w:rsidRPr="00D4309F">
              <w:rPr>
                <w:color w:val="211E1F"/>
              </w:rPr>
              <w:t>performance</w:t>
            </w:r>
            <w:r w:rsidRPr="00D4309F">
              <w:rPr>
                <w:color w:val="211E1F"/>
                <w:spacing w:val="-2"/>
              </w:rPr>
              <w:t xml:space="preserve"> </w:t>
            </w:r>
            <w:r w:rsidRPr="00D4309F">
              <w:rPr>
                <w:color w:val="211E1F"/>
              </w:rPr>
              <w:t>or</w:t>
            </w:r>
            <w:r w:rsidRPr="00D4309F">
              <w:rPr>
                <w:color w:val="211E1F"/>
                <w:spacing w:val="-2"/>
              </w:rPr>
              <w:t xml:space="preserve"> </w:t>
            </w:r>
            <w:r w:rsidRPr="00D4309F">
              <w:rPr>
                <w:color w:val="211E1F"/>
              </w:rPr>
              <w:t>Major</w:t>
            </w:r>
            <w:r w:rsidRPr="00D4309F">
              <w:rPr>
                <w:color w:val="211E1F"/>
                <w:spacing w:val="-2"/>
              </w:rPr>
              <w:t xml:space="preserve"> impacts</w:t>
            </w:r>
          </w:p>
        </w:tc>
      </w:tr>
      <w:tr w:rsidR="002A5F65" w14:paraId="78B4BE93" w14:textId="77777777" w:rsidTr="002A5F65">
        <w:tc>
          <w:tcPr>
            <w:tcW w:w="1323" w:type="pct"/>
            <w:tcBorders>
              <w:top w:val="single" w:sz="4" w:space="0" w:color="5F6369" w:themeColor="text2"/>
              <w:left w:val="nil"/>
              <w:bottom w:val="single" w:sz="4" w:space="0" w:color="5F6369" w:themeColor="text2"/>
              <w:right w:val="nil"/>
            </w:tcBorders>
          </w:tcPr>
          <w:p w14:paraId="560F1F37" w14:textId="1D4C99EE" w:rsidR="002A5F65" w:rsidRDefault="002A5F65" w:rsidP="002A5F65">
            <w:pPr>
              <w:pStyle w:val="Table-Text"/>
              <w:rPr>
                <w:lang w:val="en-GB"/>
              </w:rPr>
            </w:pPr>
            <w:r>
              <w:rPr>
                <w:lang w:val="en-GB"/>
              </w:rPr>
              <w:t>3</w:t>
            </w:r>
          </w:p>
        </w:tc>
        <w:tc>
          <w:tcPr>
            <w:tcW w:w="3677" w:type="pct"/>
            <w:tcBorders>
              <w:top w:val="single" w:sz="4" w:space="0" w:color="5F6369" w:themeColor="text2"/>
              <w:left w:val="nil"/>
              <w:bottom w:val="single" w:sz="4" w:space="0" w:color="5F6369" w:themeColor="text2"/>
              <w:right w:val="nil"/>
            </w:tcBorders>
          </w:tcPr>
          <w:p w14:paraId="1D2D6C48" w14:textId="5B757F6F" w:rsidR="002A5F65" w:rsidRDefault="002A5F65" w:rsidP="002A5F65">
            <w:pPr>
              <w:pStyle w:val="Table-Text"/>
              <w:rPr>
                <w:lang w:val="en-GB"/>
              </w:rPr>
            </w:pPr>
            <w:r w:rsidRPr="00D4309F">
              <w:rPr>
                <w:color w:val="211E1F"/>
              </w:rPr>
              <w:t>Average</w:t>
            </w:r>
            <w:r w:rsidRPr="00D4309F">
              <w:rPr>
                <w:color w:val="211E1F"/>
                <w:spacing w:val="-6"/>
              </w:rPr>
              <w:t xml:space="preserve"> </w:t>
            </w:r>
            <w:r w:rsidRPr="00D4309F">
              <w:rPr>
                <w:color w:val="211E1F"/>
              </w:rPr>
              <w:t>performance</w:t>
            </w:r>
            <w:r w:rsidRPr="00D4309F">
              <w:rPr>
                <w:color w:val="211E1F"/>
                <w:spacing w:val="-3"/>
              </w:rPr>
              <w:t xml:space="preserve"> </w:t>
            </w:r>
            <w:r w:rsidRPr="00D4309F">
              <w:rPr>
                <w:color w:val="211E1F"/>
              </w:rPr>
              <w:t>or</w:t>
            </w:r>
            <w:r w:rsidRPr="00D4309F">
              <w:rPr>
                <w:color w:val="211E1F"/>
                <w:spacing w:val="-4"/>
              </w:rPr>
              <w:t xml:space="preserve"> </w:t>
            </w:r>
            <w:r w:rsidRPr="00D4309F">
              <w:rPr>
                <w:color w:val="211E1F"/>
              </w:rPr>
              <w:t>Moderate</w:t>
            </w:r>
            <w:r w:rsidRPr="00D4309F">
              <w:rPr>
                <w:color w:val="211E1F"/>
                <w:spacing w:val="-3"/>
              </w:rPr>
              <w:t xml:space="preserve"> </w:t>
            </w:r>
            <w:r w:rsidRPr="00D4309F">
              <w:rPr>
                <w:color w:val="211E1F"/>
                <w:spacing w:val="-2"/>
              </w:rPr>
              <w:t>impacts</w:t>
            </w:r>
            <w:r w:rsidRPr="00D4309F">
              <w:rPr>
                <w:color w:val="211E1F"/>
              </w:rPr>
              <w:t xml:space="preserve"> Average</w:t>
            </w:r>
            <w:r w:rsidRPr="00D4309F">
              <w:rPr>
                <w:color w:val="211E1F"/>
                <w:spacing w:val="-6"/>
              </w:rPr>
              <w:t xml:space="preserve"> </w:t>
            </w:r>
            <w:r w:rsidRPr="00D4309F">
              <w:rPr>
                <w:color w:val="211E1F"/>
              </w:rPr>
              <w:t>performance</w:t>
            </w:r>
            <w:r w:rsidRPr="00D4309F">
              <w:rPr>
                <w:color w:val="211E1F"/>
                <w:spacing w:val="-3"/>
              </w:rPr>
              <w:t xml:space="preserve"> </w:t>
            </w:r>
            <w:r w:rsidRPr="00D4309F">
              <w:rPr>
                <w:color w:val="211E1F"/>
              </w:rPr>
              <w:t>or</w:t>
            </w:r>
            <w:r w:rsidRPr="00D4309F">
              <w:rPr>
                <w:color w:val="211E1F"/>
                <w:spacing w:val="-4"/>
              </w:rPr>
              <w:t xml:space="preserve"> </w:t>
            </w:r>
            <w:r w:rsidRPr="00D4309F">
              <w:rPr>
                <w:color w:val="211E1F"/>
              </w:rPr>
              <w:t>Moderate</w:t>
            </w:r>
            <w:r w:rsidRPr="00D4309F">
              <w:rPr>
                <w:color w:val="211E1F"/>
                <w:spacing w:val="-3"/>
              </w:rPr>
              <w:t xml:space="preserve"> </w:t>
            </w:r>
            <w:r w:rsidRPr="00D4309F">
              <w:rPr>
                <w:color w:val="211E1F"/>
                <w:spacing w:val="-2"/>
              </w:rPr>
              <w:t>impacts</w:t>
            </w:r>
          </w:p>
        </w:tc>
      </w:tr>
      <w:tr w:rsidR="002A5F65" w14:paraId="5BD7BC78" w14:textId="77777777" w:rsidTr="002A5F65">
        <w:tc>
          <w:tcPr>
            <w:tcW w:w="1323" w:type="pct"/>
            <w:tcBorders>
              <w:top w:val="single" w:sz="4" w:space="0" w:color="5F6369" w:themeColor="text2"/>
              <w:left w:val="nil"/>
              <w:bottom w:val="single" w:sz="4" w:space="0" w:color="5F6369" w:themeColor="text2"/>
              <w:right w:val="nil"/>
            </w:tcBorders>
          </w:tcPr>
          <w:p w14:paraId="715F22C3" w14:textId="7E6627A6" w:rsidR="002A5F65" w:rsidRDefault="002A5F65" w:rsidP="002A5F65">
            <w:pPr>
              <w:pStyle w:val="Table-Text"/>
              <w:rPr>
                <w:lang w:val="en-GB"/>
              </w:rPr>
            </w:pPr>
            <w:r>
              <w:rPr>
                <w:lang w:val="en-GB"/>
              </w:rPr>
              <w:t>4</w:t>
            </w:r>
          </w:p>
        </w:tc>
        <w:tc>
          <w:tcPr>
            <w:tcW w:w="3677" w:type="pct"/>
            <w:tcBorders>
              <w:top w:val="single" w:sz="4" w:space="0" w:color="5F6369" w:themeColor="text2"/>
              <w:left w:val="nil"/>
              <w:bottom w:val="single" w:sz="4" w:space="0" w:color="5F6369" w:themeColor="text2"/>
              <w:right w:val="nil"/>
            </w:tcBorders>
          </w:tcPr>
          <w:p w14:paraId="69C59450" w14:textId="23E8C096" w:rsidR="002A5F65" w:rsidRDefault="002A5F65" w:rsidP="002A5F65">
            <w:pPr>
              <w:pStyle w:val="Table-Text"/>
              <w:rPr>
                <w:lang w:val="en-GB"/>
              </w:rPr>
            </w:pPr>
            <w:r w:rsidRPr="00D4309F">
              <w:rPr>
                <w:color w:val="211E1F"/>
              </w:rPr>
              <w:t>Good</w:t>
            </w:r>
            <w:r w:rsidRPr="00D4309F">
              <w:rPr>
                <w:color w:val="211E1F"/>
                <w:spacing w:val="-5"/>
              </w:rPr>
              <w:t xml:space="preserve"> </w:t>
            </w:r>
            <w:r w:rsidRPr="00D4309F">
              <w:rPr>
                <w:color w:val="211E1F"/>
              </w:rPr>
              <w:t>performance</w:t>
            </w:r>
            <w:r w:rsidRPr="00D4309F">
              <w:rPr>
                <w:color w:val="211E1F"/>
                <w:spacing w:val="-2"/>
              </w:rPr>
              <w:t xml:space="preserve"> </w:t>
            </w:r>
            <w:r w:rsidRPr="00D4309F">
              <w:rPr>
                <w:color w:val="211E1F"/>
              </w:rPr>
              <w:t>or</w:t>
            </w:r>
            <w:r w:rsidRPr="00D4309F">
              <w:rPr>
                <w:color w:val="211E1F"/>
                <w:spacing w:val="-2"/>
              </w:rPr>
              <w:t xml:space="preserve"> </w:t>
            </w:r>
            <w:r w:rsidRPr="00D4309F">
              <w:rPr>
                <w:color w:val="211E1F"/>
              </w:rPr>
              <w:t>Minor</w:t>
            </w:r>
            <w:r w:rsidRPr="00D4309F">
              <w:rPr>
                <w:color w:val="211E1F"/>
                <w:spacing w:val="-2"/>
              </w:rPr>
              <w:t xml:space="preserve"> impacts</w:t>
            </w:r>
          </w:p>
        </w:tc>
      </w:tr>
      <w:tr w:rsidR="002A5F65" w14:paraId="0C94CA10" w14:textId="77777777" w:rsidTr="002A5F65">
        <w:tc>
          <w:tcPr>
            <w:tcW w:w="1323" w:type="pct"/>
            <w:tcBorders>
              <w:top w:val="single" w:sz="4" w:space="0" w:color="5F6369" w:themeColor="text2"/>
              <w:left w:val="nil"/>
              <w:bottom w:val="single" w:sz="18" w:space="0" w:color="5F6369" w:themeColor="text2"/>
              <w:right w:val="nil"/>
            </w:tcBorders>
          </w:tcPr>
          <w:p w14:paraId="0205B6AB" w14:textId="300C0643" w:rsidR="002A5F65" w:rsidRDefault="002A5F65" w:rsidP="002A5F65">
            <w:pPr>
              <w:pStyle w:val="Table-Text"/>
              <w:rPr>
                <w:lang w:val="en-GB"/>
              </w:rPr>
            </w:pPr>
            <w:r>
              <w:rPr>
                <w:lang w:val="en-GB"/>
              </w:rPr>
              <w:t>5</w:t>
            </w:r>
          </w:p>
        </w:tc>
        <w:tc>
          <w:tcPr>
            <w:tcW w:w="3677" w:type="pct"/>
            <w:tcBorders>
              <w:top w:val="single" w:sz="4" w:space="0" w:color="5F6369" w:themeColor="text2"/>
              <w:left w:val="nil"/>
              <w:bottom w:val="single" w:sz="18" w:space="0" w:color="5F6369" w:themeColor="text2"/>
              <w:right w:val="nil"/>
            </w:tcBorders>
          </w:tcPr>
          <w:p w14:paraId="303D611D" w14:textId="5027513E" w:rsidR="002A5F65" w:rsidRDefault="002A5F65" w:rsidP="002A5F65">
            <w:pPr>
              <w:pStyle w:val="Table-Text"/>
              <w:rPr>
                <w:lang w:val="en-GB"/>
              </w:rPr>
            </w:pPr>
            <w:r w:rsidRPr="00D4309F">
              <w:rPr>
                <w:color w:val="211E1F"/>
              </w:rPr>
              <w:t>Excellent</w:t>
            </w:r>
            <w:r w:rsidRPr="00D4309F">
              <w:rPr>
                <w:color w:val="211E1F"/>
                <w:spacing w:val="-6"/>
              </w:rPr>
              <w:t xml:space="preserve"> </w:t>
            </w:r>
            <w:r w:rsidRPr="00D4309F">
              <w:rPr>
                <w:color w:val="211E1F"/>
              </w:rPr>
              <w:t>performance</w:t>
            </w:r>
            <w:r w:rsidRPr="00D4309F">
              <w:rPr>
                <w:color w:val="211E1F"/>
                <w:spacing w:val="-4"/>
              </w:rPr>
              <w:t xml:space="preserve"> </w:t>
            </w:r>
            <w:r w:rsidRPr="00D4309F">
              <w:rPr>
                <w:color w:val="211E1F"/>
              </w:rPr>
              <w:t>or</w:t>
            </w:r>
            <w:r w:rsidRPr="00D4309F">
              <w:rPr>
                <w:color w:val="211E1F"/>
                <w:spacing w:val="-4"/>
              </w:rPr>
              <w:t xml:space="preserve"> </w:t>
            </w:r>
            <w:r w:rsidRPr="00D4309F">
              <w:rPr>
                <w:color w:val="211E1F"/>
              </w:rPr>
              <w:t>Insignificant</w:t>
            </w:r>
            <w:r w:rsidRPr="00D4309F">
              <w:rPr>
                <w:color w:val="211E1F"/>
                <w:spacing w:val="-4"/>
              </w:rPr>
              <w:t xml:space="preserve"> </w:t>
            </w:r>
            <w:r w:rsidRPr="00D4309F">
              <w:rPr>
                <w:color w:val="211E1F"/>
                <w:spacing w:val="-2"/>
              </w:rPr>
              <w:t>impacts</w:t>
            </w:r>
          </w:p>
        </w:tc>
      </w:tr>
    </w:tbl>
    <w:p w14:paraId="4F421FED" w14:textId="77777777" w:rsidR="00FE6959" w:rsidRDefault="00FE6959" w:rsidP="00FE6959">
      <w:pPr>
        <w:pStyle w:val="BodyText"/>
      </w:pPr>
    </w:p>
    <w:p w14:paraId="1DF6460C" w14:textId="27AFAC71" w:rsidR="00C77441" w:rsidRDefault="00C77441" w:rsidP="00151534">
      <w:pPr>
        <w:pStyle w:val="Table-Caption"/>
      </w:pPr>
      <w:bookmarkStart w:id="195" w:name="_Toc216699547"/>
      <w:r>
        <w:lastRenderedPageBreak/>
        <w:t xml:space="preserve">Table </w:t>
      </w:r>
      <w:r w:rsidR="00151534">
        <w:fldChar w:fldCharType="begin" w:fldLock="1"/>
      </w:r>
      <w:r w:rsidR="00151534">
        <w:instrText xml:space="preserve"> STYLEREF 1 \s </w:instrText>
      </w:r>
      <w:r w:rsidR="00151534">
        <w:fldChar w:fldCharType="separate"/>
      </w:r>
      <w:r w:rsidR="00151534">
        <w:rPr>
          <w:noProof/>
        </w:rPr>
        <w:t>12</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3</w:t>
      </w:r>
      <w:r w:rsidR="00151534">
        <w:fldChar w:fldCharType="end"/>
      </w:r>
      <w:r>
        <w:t>:</w:t>
      </w:r>
      <w:r>
        <w:tab/>
        <w:t>Impacts description</w:t>
      </w:r>
      <w:bookmarkEnd w:id="195"/>
    </w:p>
    <w:tbl>
      <w:tblPr>
        <w:tblStyle w:val="Table1"/>
        <w:tblW w:w="5000" w:type="pct"/>
        <w:tblLook w:val="0620" w:firstRow="1" w:lastRow="0" w:firstColumn="0" w:lastColumn="0" w:noHBand="1" w:noVBand="1"/>
      </w:tblPr>
      <w:tblGrid>
        <w:gridCol w:w="1701"/>
        <w:gridCol w:w="7941"/>
      </w:tblGrid>
      <w:tr w:rsidR="002A5F65" w:rsidRPr="0078153E" w14:paraId="5545338E" w14:textId="77777777" w:rsidTr="002A5F65">
        <w:trPr>
          <w:cnfStyle w:val="100000000000" w:firstRow="1" w:lastRow="0" w:firstColumn="0" w:lastColumn="0" w:oddVBand="0" w:evenVBand="0" w:oddHBand="0" w:evenHBand="0" w:firstRowFirstColumn="0" w:firstRowLastColumn="0" w:lastRowFirstColumn="0" w:lastRowLastColumn="0"/>
          <w:tblHeader/>
        </w:trPr>
        <w:tc>
          <w:tcPr>
            <w:tcW w:w="882" w:type="pct"/>
            <w:hideMark/>
          </w:tcPr>
          <w:p w14:paraId="6D946866" w14:textId="0D0B2C11" w:rsidR="002A5F65" w:rsidRPr="0078153E" w:rsidRDefault="002A5F65" w:rsidP="00B872A7">
            <w:pPr>
              <w:pStyle w:val="Table-Heading"/>
              <w:keepNext/>
            </w:pPr>
            <w:r w:rsidRPr="00D4309F">
              <w:rPr>
                <w:color w:val="70004A"/>
                <w:spacing w:val="-2"/>
                <w:sz w:val="18"/>
              </w:rPr>
              <w:t>Impact</w:t>
            </w:r>
          </w:p>
        </w:tc>
        <w:tc>
          <w:tcPr>
            <w:tcW w:w="4118" w:type="pct"/>
          </w:tcPr>
          <w:p w14:paraId="7175F502" w14:textId="5F4CC09F" w:rsidR="002A5F65" w:rsidRPr="0078153E" w:rsidRDefault="002A5F65" w:rsidP="00B872A7">
            <w:pPr>
              <w:pStyle w:val="Table-Heading"/>
              <w:keepNext/>
            </w:pPr>
            <w:r>
              <w:t>Description of impact</w:t>
            </w:r>
          </w:p>
        </w:tc>
      </w:tr>
      <w:tr w:rsidR="002A5F65" w14:paraId="6DEBD3C3" w14:textId="77777777" w:rsidTr="002A5F65">
        <w:tc>
          <w:tcPr>
            <w:tcW w:w="882" w:type="pct"/>
            <w:tcBorders>
              <w:top w:val="single" w:sz="4" w:space="0" w:color="5F6369" w:themeColor="text2"/>
              <w:left w:val="nil"/>
              <w:bottom w:val="single" w:sz="4" w:space="0" w:color="5F6369" w:themeColor="text2"/>
              <w:right w:val="nil"/>
            </w:tcBorders>
          </w:tcPr>
          <w:p w14:paraId="5AD7A2BB" w14:textId="422391CD" w:rsidR="002A5F65" w:rsidRPr="007B7606" w:rsidRDefault="002A5F65" w:rsidP="00B872A7">
            <w:pPr>
              <w:pStyle w:val="Table-Text"/>
              <w:keepNext/>
            </w:pPr>
            <w:r w:rsidRPr="00D4309F">
              <w:rPr>
                <w:color w:val="211E1F"/>
                <w:spacing w:val="-2"/>
              </w:rPr>
              <w:t>Significant</w:t>
            </w:r>
          </w:p>
        </w:tc>
        <w:tc>
          <w:tcPr>
            <w:tcW w:w="4118" w:type="pct"/>
            <w:tcBorders>
              <w:top w:val="single" w:sz="4" w:space="0" w:color="5F6369" w:themeColor="text2"/>
              <w:left w:val="nil"/>
              <w:bottom w:val="single" w:sz="4" w:space="0" w:color="5F6369" w:themeColor="text2"/>
              <w:right w:val="nil"/>
            </w:tcBorders>
          </w:tcPr>
          <w:p w14:paraId="3E65C619" w14:textId="3839AF38" w:rsidR="002A5F65" w:rsidRPr="00D4309F" w:rsidRDefault="002A5F65" w:rsidP="00B872A7">
            <w:pPr>
              <w:pStyle w:val="Table-Bullet"/>
              <w:keepNext/>
            </w:pPr>
            <w:r w:rsidRPr="00D4309F">
              <w:t>Long-term,</w:t>
            </w:r>
            <w:r w:rsidRPr="00D4309F">
              <w:rPr>
                <w:spacing w:val="-3"/>
              </w:rPr>
              <w:t xml:space="preserve"> </w:t>
            </w:r>
            <w:r w:rsidRPr="00D4309F">
              <w:t>high-magnitude</w:t>
            </w:r>
            <w:r w:rsidRPr="00D4309F">
              <w:rPr>
                <w:spacing w:val="-2"/>
              </w:rPr>
              <w:t xml:space="preserve"> </w:t>
            </w:r>
            <w:r w:rsidRPr="00D4309F">
              <w:t>and</w:t>
            </w:r>
            <w:r w:rsidRPr="00D4309F">
              <w:rPr>
                <w:spacing w:val="-4"/>
              </w:rPr>
              <w:t xml:space="preserve"> </w:t>
            </w:r>
            <w:r w:rsidRPr="00D4309F">
              <w:t>far-reaching</w:t>
            </w:r>
            <w:r w:rsidRPr="00D4309F">
              <w:rPr>
                <w:spacing w:val="-4"/>
              </w:rPr>
              <w:t xml:space="preserve"> </w:t>
            </w:r>
            <w:r w:rsidRPr="00D4309F">
              <w:rPr>
                <w:spacing w:val="-2"/>
              </w:rPr>
              <w:t>impacts</w:t>
            </w:r>
          </w:p>
          <w:p w14:paraId="616D7C5B" w14:textId="77777777" w:rsidR="002A5F65" w:rsidRPr="00D4309F" w:rsidRDefault="002A5F65" w:rsidP="00B872A7">
            <w:pPr>
              <w:pStyle w:val="Table-Bullet"/>
              <w:keepNext/>
            </w:pPr>
            <w:r w:rsidRPr="00D4309F">
              <w:t>Positive</w:t>
            </w:r>
            <w:r w:rsidRPr="00D4309F">
              <w:rPr>
                <w:spacing w:val="-6"/>
              </w:rPr>
              <w:t xml:space="preserve"> </w:t>
            </w:r>
            <w:r w:rsidRPr="00D4309F">
              <w:t>impacts</w:t>
            </w:r>
            <w:r w:rsidRPr="00D4309F">
              <w:rPr>
                <w:spacing w:val="-2"/>
              </w:rPr>
              <w:t xml:space="preserve"> </w:t>
            </w:r>
            <w:r w:rsidRPr="00D4309F">
              <w:t>will</w:t>
            </w:r>
            <w:r w:rsidRPr="00D4309F">
              <w:rPr>
                <w:spacing w:val="-3"/>
              </w:rPr>
              <w:t xml:space="preserve"> </w:t>
            </w:r>
            <w:r w:rsidRPr="00D4309F">
              <w:t>provide</w:t>
            </w:r>
            <w:r w:rsidRPr="00D4309F">
              <w:rPr>
                <w:spacing w:val="-1"/>
              </w:rPr>
              <w:t xml:space="preserve"> </w:t>
            </w:r>
            <w:r w:rsidRPr="00D4309F">
              <w:t>enormous</w:t>
            </w:r>
            <w:r w:rsidRPr="00D4309F">
              <w:rPr>
                <w:spacing w:val="-3"/>
              </w:rPr>
              <w:t xml:space="preserve"> </w:t>
            </w:r>
            <w:r w:rsidRPr="00D4309F">
              <w:t>value</w:t>
            </w:r>
            <w:r w:rsidRPr="00D4309F">
              <w:rPr>
                <w:spacing w:val="-3"/>
              </w:rPr>
              <w:t xml:space="preserve"> </w:t>
            </w:r>
            <w:r w:rsidRPr="00D4309F">
              <w:t>both</w:t>
            </w:r>
            <w:r w:rsidRPr="00D4309F">
              <w:rPr>
                <w:spacing w:val="-4"/>
              </w:rPr>
              <w:t xml:space="preserve"> </w:t>
            </w:r>
            <w:r w:rsidRPr="00D4309F">
              <w:t>locally</w:t>
            </w:r>
            <w:r w:rsidRPr="00D4309F">
              <w:rPr>
                <w:spacing w:val="-2"/>
              </w:rPr>
              <w:t xml:space="preserve"> </w:t>
            </w:r>
            <w:r w:rsidRPr="00D4309F">
              <w:t>and</w:t>
            </w:r>
            <w:r w:rsidRPr="00D4309F">
              <w:rPr>
                <w:spacing w:val="-3"/>
              </w:rPr>
              <w:t xml:space="preserve"> </w:t>
            </w:r>
            <w:r w:rsidRPr="00D4309F">
              <w:rPr>
                <w:spacing w:val="-2"/>
              </w:rPr>
              <w:t>regionally</w:t>
            </w:r>
          </w:p>
          <w:p w14:paraId="1D8AB91A" w14:textId="40488FA4" w:rsidR="002A5F65" w:rsidRPr="007B7606" w:rsidRDefault="002A5F65" w:rsidP="00B872A7">
            <w:pPr>
              <w:pStyle w:val="Table-Bullet"/>
              <w:keepNext/>
            </w:pPr>
            <w:r w:rsidRPr="00D4309F">
              <w:t>Society</w:t>
            </w:r>
            <w:r w:rsidRPr="00D4309F">
              <w:rPr>
                <w:spacing w:val="-5"/>
              </w:rPr>
              <w:t xml:space="preserve"> </w:t>
            </w:r>
            <w:r w:rsidRPr="00D4309F">
              <w:t>has</w:t>
            </w:r>
            <w:r w:rsidRPr="00D4309F">
              <w:rPr>
                <w:spacing w:val="-2"/>
              </w:rPr>
              <w:t xml:space="preserve"> </w:t>
            </w:r>
            <w:r w:rsidRPr="00D4309F">
              <w:t>no</w:t>
            </w:r>
            <w:r w:rsidRPr="00D4309F">
              <w:rPr>
                <w:spacing w:val="-4"/>
              </w:rPr>
              <w:t xml:space="preserve"> </w:t>
            </w:r>
            <w:r w:rsidRPr="00D4309F">
              <w:t>capacity</w:t>
            </w:r>
            <w:r w:rsidRPr="00D4309F">
              <w:rPr>
                <w:spacing w:val="-2"/>
              </w:rPr>
              <w:t xml:space="preserve"> </w:t>
            </w:r>
            <w:r w:rsidRPr="00D4309F">
              <w:t>to</w:t>
            </w:r>
            <w:r w:rsidRPr="00D4309F">
              <w:rPr>
                <w:spacing w:val="-3"/>
              </w:rPr>
              <w:t xml:space="preserve"> </w:t>
            </w:r>
            <w:r w:rsidRPr="00D4309F">
              <w:t>cope</w:t>
            </w:r>
            <w:r w:rsidRPr="00D4309F">
              <w:rPr>
                <w:spacing w:val="-4"/>
              </w:rPr>
              <w:t xml:space="preserve"> </w:t>
            </w:r>
            <w:r w:rsidRPr="00D4309F">
              <w:t>with</w:t>
            </w:r>
            <w:r w:rsidRPr="00D4309F">
              <w:rPr>
                <w:spacing w:val="-3"/>
              </w:rPr>
              <w:t xml:space="preserve"> </w:t>
            </w:r>
            <w:r w:rsidRPr="00D4309F">
              <w:t>significant</w:t>
            </w:r>
            <w:r w:rsidRPr="00D4309F">
              <w:rPr>
                <w:spacing w:val="-2"/>
              </w:rPr>
              <w:t xml:space="preserve"> </w:t>
            </w:r>
            <w:r w:rsidRPr="00D4309F">
              <w:t>negative</w:t>
            </w:r>
            <w:r w:rsidRPr="00D4309F">
              <w:rPr>
                <w:spacing w:val="-3"/>
              </w:rPr>
              <w:t xml:space="preserve"> </w:t>
            </w:r>
            <w:r w:rsidRPr="00D4309F">
              <w:rPr>
                <w:spacing w:val="-2"/>
              </w:rPr>
              <w:t>impacts</w:t>
            </w:r>
          </w:p>
        </w:tc>
      </w:tr>
      <w:tr w:rsidR="002A5F65" w14:paraId="7F6D1106" w14:textId="77777777" w:rsidTr="002A5F65">
        <w:tc>
          <w:tcPr>
            <w:tcW w:w="882" w:type="pct"/>
            <w:tcBorders>
              <w:top w:val="single" w:sz="4" w:space="0" w:color="5F6369" w:themeColor="text2"/>
              <w:left w:val="nil"/>
              <w:bottom w:val="single" w:sz="4" w:space="0" w:color="5F6369" w:themeColor="text2"/>
              <w:right w:val="nil"/>
            </w:tcBorders>
          </w:tcPr>
          <w:p w14:paraId="0B27DE53" w14:textId="480760A1" w:rsidR="002A5F65" w:rsidRDefault="002A5F65" w:rsidP="00B872A7">
            <w:pPr>
              <w:pStyle w:val="Table-Text"/>
              <w:keepNext/>
              <w:rPr>
                <w:lang w:val="en-GB"/>
              </w:rPr>
            </w:pPr>
            <w:r w:rsidRPr="00D4309F">
              <w:rPr>
                <w:color w:val="211E1F"/>
                <w:spacing w:val="-2"/>
              </w:rPr>
              <w:t>Major</w:t>
            </w:r>
          </w:p>
        </w:tc>
        <w:tc>
          <w:tcPr>
            <w:tcW w:w="4118" w:type="pct"/>
            <w:tcBorders>
              <w:top w:val="single" w:sz="4" w:space="0" w:color="5F6369" w:themeColor="text2"/>
              <w:left w:val="nil"/>
              <w:bottom w:val="single" w:sz="4" w:space="0" w:color="5F6369" w:themeColor="text2"/>
              <w:right w:val="nil"/>
            </w:tcBorders>
          </w:tcPr>
          <w:p w14:paraId="5D3BFC84" w14:textId="77777777" w:rsidR="002A5F65" w:rsidRPr="00D4309F" w:rsidRDefault="002A5F65" w:rsidP="00B872A7">
            <w:pPr>
              <w:pStyle w:val="Table-Bullet"/>
              <w:keepNext/>
            </w:pPr>
            <w:r w:rsidRPr="00D4309F">
              <w:t>Long-term</w:t>
            </w:r>
            <w:r w:rsidRPr="00D4309F">
              <w:rPr>
                <w:spacing w:val="-3"/>
              </w:rPr>
              <w:t xml:space="preserve"> </w:t>
            </w:r>
            <w:r w:rsidRPr="00D4309F">
              <w:t>and</w:t>
            </w:r>
            <w:r w:rsidRPr="00D4309F">
              <w:rPr>
                <w:spacing w:val="-4"/>
              </w:rPr>
              <w:t xml:space="preserve"> </w:t>
            </w:r>
            <w:r w:rsidRPr="00D4309F">
              <w:t>potentially</w:t>
            </w:r>
            <w:r w:rsidRPr="00D4309F">
              <w:rPr>
                <w:spacing w:val="-3"/>
              </w:rPr>
              <w:t xml:space="preserve"> </w:t>
            </w:r>
            <w:r w:rsidRPr="00D4309F">
              <w:t>far-reaching</w:t>
            </w:r>
            <w:r w:rsidRPr="00D4309F">
              <w:rPr>
                <w:spacing w:val="-4"/>
              </w:rPr>
              <w:t xml:space="preserve"> </w:t>
            </w:r>
            <w:r w:rsidRPr="00D4309F">
              <w:rPr>
                <w:spacing w:val="-2"/>
              </w:rPr>
              <w:t>impacts</w:t>
            </w:r>
          </w:p>
          <w:p w14:paraId="61532F37" w14:textId="77777777" w:rsidR="002A5F65" w:rsidRPr="00D4309F" w:rsidRDefault="002A5F65" w:rsidP="00B872A7">
            <w:pPr>
              <w:pStyle w:val="Table-Bullet"/>
              <w:keepNext/>
            </w:pPr>
            <w:r w:rsidRPr="00D4309F">
              <w:t>Positive</w:t>
            </w:r>
            <w:r w:rsidRPr="00D4309F">
              <w:rPr>
                <w:spacing w:val="-6"/>
              </w:rPr>
              <w:t xml:space="preserve"> </w:t>
            </w:r>
            <w:r w:rsidRPr="00D4309F">
              <w:t>impacts</w:t>
            </w:r>
            <w:r w:rsidRPr="00D4309F">
              <w:rPr>
                <w:spacing w:val="-3"/>
              </w:rPr>
              <w:t xml:space="preserve"> </w:t>
            </w:r>
            <w:r w:rsidRPr="00D4309F">
              <w:t>will</w:t>
            </w:r>
            <w:r w:rsidRPr="00D4309F">
              <w:rPr>
                <w:spacing w:val="-2"/>
              </w:rPr>
              <w:t xml:space="preserve"> </w:t>
            </w:r>
            <w:r w:rsidRPr="00D4309F">
              <w:t>provide</w:t>
            </w:r>
            <w:r w:rsidRPr="00D4309F">
              <w:rPr>
                <w:spacing w:val="-2"/>
              </w:rPr>
              <w:t xml:space="preserve"> </w:t>
            </w:r>
            <w:r w:rsidRPr="00D4309F">
              <w:t>substantial</w:t>
            </w:r>
            <w:r w:rsidRPr="00D4309F">
              <w:rPr>
                <w:spacing w:val="-2"/>
              </w:rPr>
              <w:t xml:space="preserve"> </w:t>
            </w:r>
            <w:r w:rsidRPr="00D4309F">
              <w:t>value</w:t>
            </w:r>
            <w:r w:rsidRPr="00D4309F">
              <w:rPr>
                <w:spacing w:val="-4"/>
              </w:rPr>
              <w:t xml:space="preserve"> </w:t>
            </w:r>
            <w:r w:rsidRPr="00D4309F">
              <w:t>to</w:t>
            </w:r>
            <w:r w:rsidRPr="00D4309F">
              <w:rPr>
                <w:spacing w:val="-3"/>
              </w:rPr>
              <w:t xml:space="preserve"> </w:t>
            </w:r>
            <w:r w:rsidRPr="00D4309F">
              <w:rPr>
                <w:spacing w:val="-2"/>
              </w:rPr>
              <w:t>society</w:t>
            </w:r>
          </w:p>
          <w:p w14:paraId="1388BAA5" w14:textId="4BC8F6CC" w:rsidR="002A5F65" w:rsidRPr="002A5F65" w:rsidRDefault="002A5F65" w:rsidP="00B872A7">
            <w:pPr>
              <w:pStyle w:val="Table-Bullet"/>
              <w:keepNext/>
            </w:pPr>
            <w:r w:rsidRPr="00D4309F">
              <w:t>Society</w:t>
            </w:r>
            <w:r w:rsidRPr="00D4309F">
              <w:rPr>
                <w:spacing w:val="-5"/>
              </w:rPr>
              <w:t xml:space="preserve"> </w:t>
            </w:r>
            <w:r w:rsidRPr="00D4309F">
              <w:t>has</w:t>
            </w:r>
            <w:r w:rsidRPr="00D4309F">
              <w:rPr>
                <w:spacing w:val="-2"/>
              </w:rPr>
              <w:t xml:space="preserve"> </w:t>
            </w:r>
            <w:r w:rsidRPr="00D4309F">
              <w:t>limited</w:t>
            </w:r>
            <w:r w:rsidRPr="00D4309F">
              <w:rPr>
                <w:spacing w:val="-3"/>
              </w:rPr>
              <w:t xml:space="preserve"> </w:t>
            </w:r>
            <w:r w:rsidRPr="00D4309F">
              <w:t>capacity</w:t>
            </w:r>
            <w:r w:rsidRPr="00D4309F">
              <w:rPr>
                <w:spacing w:val="-2"/>
              </w:rPr>
              <w:t xml:space="preserve"> </w:t>
            </w:r>
            <w:r w:rsidRPr="00D4309F">
              <w:t>to</w:t>
            </w:r>
            <w:r w:rsidRPr="00D4309F">
              <w:rPr>
                <w:spacing w:val="-3"/>
              </w:rPr>
              <w:t xml:space="preserve"> </w:t>
            </w:r>
            <w:r w:rsidRPr="00D4309F">
              <w:t>adapt</w:t>
            </w:r>
            <w:r w:rsidRPr="00D4309F">
              <w:rPr>
                <w:spacing w:val="-3"/>
              </w:rPr>
              <w:t xml:space="preserve"> </w:t>
            </w:r>
            <w:r w:rsidRPr="00D4309F">
              <w:t>and</w:t>
            </w:r>
            <w:r w:rsidRPr="00D4309F">
              <w:rPr>
                <w:spacing w:val="-3"/>
              </w:rPr>
              <w:t xml:space="preserve"> </w:t>
            </w:r>
            <w:r w:rsidRPr="00D4309F">
              <w:t>cope</w:t>
            </w:r>
            <w:r w:rsidRPr="00D4309F">
              <w:rPr>
                <w:spacing w:val="-3"/>
              </w:rPr>
              <w:t xml:space="preserve"> </w:t>
            </w:r>
            <w:r w:rsidRPr="00D4309F">
              <w:t>with</w:t>
            </w:r>
            <w:r w:rsidRPr="00D4309F">
              <w:rPr>
                <w:spacing w:val="-3"/>
              </w:rPr>
              <w:t xml:space="preserve"> </w:t>
            </w:r>
            <w:r w:rsidRPr="00D4309F">
              <w:t>the</w:t>
            </w:r>
            <w:r w:rsidRPr="00D4309F">
              <w:rPr>
                <w:spacing w:val="-3"/>
              </w:rPr>
              <w:t xml:space="preserve"> </w:t>
            </w:r>
            <w:r w:rsidRPr="00D4309F">
              <w:t>negative</w:t>
            </w:r>
            <w:r w:rsidRPr="00D4309F">
              <w:rPr>
                <w:spacing w:val="-3"/>
              </w:rPr>
              <w:t xml:space="preserve"> </w:t>
            </w:r>
            <w:r w:rsidRPr="00D4309F">
              <w:rPr>
                <w:spacing w:val="-2"/>
              </w:rPr>
              <w:t>impacts</w:t>
            </w:r>
          </w:p>
        </w:tc>
      </w:tr>
      <w:tr w:rsidR="002A5F65" w14:paraId="0B1B5037" w14:textId="77777777" w:rsidTr="002A5F65">
        <w:tc>
          <w:tcPr>
            <w:tcW w:w="882" w:type="pct"/>
            <w:tcBorders>
              <w:top w:val="single" w:sz="4" w:space="0" w:color="5F6369" w:themeColor="text2"/>
              <w:left w:val="nil"/>
              <w:bottom w:val="single" w:sz="4" w:space="0" w:color="5F6369" w:themeColor="text2"/>
              <w:right w:val="nil"/>
            </w:tcBorders>
          </w:tcPr>
          <w:p w14:paraId="1632FF27" w14:textId="7B8E5D75" w:rsidR="002A5F65" w:rsidRDefault="002A5F65" w:rsidP="00B872A7">
            <w:pPr>
              <w:pStyle w:val="Table-Text"/>
              <w:keepNext/>
              <w:rPr>
                <w:lang w:val="en-GB"/>
              </w:rPr>
            </w:pPr>
            <w:r w:rsidRPr="00D4309F">
              <w:rPr>
                <w:color w:val="211E1F"/>
                <w:spacing w:val="-2"/>
              </w:rPr>
              <w:t>Moderate</w:t>
            </w:r>
          </w:p>
        </w:tc>
        <w:tc>
          <w:tcPr>
            <w:tcW w:w="4118" w:type="pct"/>
            <w:tcBorders>
              <w:top w:val="single" w:sz="4" w:space="0" w:color="5F6369" w:themeColor="text2"/>
              <w:left w:val="nil"/>
              <w:bottom w:val="single" w:sz="4" w:space="0" w:color="5F6369" w:themeColor="text2"/>
              <w:right w:val="nil"/>
            </w:tcBorders>
          </w:tcPr>
          <w:p w14:paraId="1E96EC3F" w14:textId="77777777" w:rsidR="002A5F65" w:rsidRPr="00D4309F" w:rsidRDefault="002A5F65" w:rsidP="00B872A7">
            <w:pPr>
              <w:pStyle w:val="Table-Bullet"/>
              <w:keepNext/>
            </w:pPr>
            <w:r w:rsidRPr="00D4309F">
              <w:t>Medium-term</w:t>
            </w:r>
            <w:r w:rsidRPr="00D4309F">
              <w:rPr>
                <w:spacing w:val="-1"/>
              </w:rPr>
              <w:t xml:space="preserve"> </w:t>
            </w:r>
            <w:r w:rsidRPr="00D4309F">
              <w:rPr>
                <w:spacing w:val="-2"/>
              </w:rPr>
              <w:t>impacts</w:t>
            </w:r>
          </w:p>
          <w:p w14:paraId="1EF2017C" w14:textId="77777777" w:rsidR="002A5F65" w:rsidRPr="00D4309F" w:rsidRDefault="002A5F65" w:rsidP="00B872A7">
            <w:pPr>
              <w:pStyle w:val="Table-Bullet"/>
              <w:keepNext/>
            </w:pPr>
            <w:r w:rsidRPr="00D4309F">
              <w:t>Positive</w:t>
            </w:r>
            <w:r w:rsidRPr="00D4309F">
              <w:rPr>
                <w:spacing w:val="-5"/>
              </w:rPr>
              <w:t xml:space="preserve"> </w:t>
            </w:r>
            <w:r w:rsidRPr="00D4309F">
              <w:t>impacts</w:t>
            </w:r>
            <w:r w:rsidRPr="00D4309F">
              <w:rPr>
                <w:spacing w:val="-2"/>
              </w:rPr>
              <w:t xml:space="preserve"> </w:t>
            </w:r>
            <w:r w:rsidRPr="00D4309F">
              <w:t>can</w:t>
            </w:r>
            <w:r w:rsidRPr="00D4309F">
              <w:rPr>
                <w:spacing w:val="-3"/>
              </w:rPr>
              <w:t xml:space="preserve"> </w:t>
            </w:r>
            <w:r w:rsidRPr="00D4309F">
              <w:t>be</w:t>
            </w:r>
            <w:r w:rsidRPr="00D4309F">
              <w:rPr>
                <w:spacing w:val="-3"/>
              </w:rPr>
              <w:t xml:space="preserve"> </w:t>
            </w:r>
            <w:r w:rsidRPr="00D4309F">
              <w:t>enhanced</w:t>
            </w:r>
            <w:r w:rsidRPr="00D4309F">
              <w:rPr>
                <w:spacing w:val="-3"/>
              </w:rPr>
              <w:t xml:space="preserve"> </w:t>
            </w:r>
            <w:r w:rsidRPr="00D4309F">
              <w:t>to</w:t>
            </w:r>
            <w:r w:rsidRPr="00D4309F">
              <w:rPr>
                <w:spacing w:val="-3"/>
              </w:rPr>
              <w:t xml:space="preserve"> </w:t>
            </w:r>
            <w:r w:rsidRPr="00D4309F">
              <w:t>provide</w:t>
            </w:r>
            <w:r w:rsidRPr="00D4309F">
              <w:rPr>
                <w:spacing w:val="-3"/>
              </w:rPr>
              <w:t xml:space="preserve"> </w:t>
            </w:r>
            <w:r w:rsidRPr="00D4309F">
              <w:t>substantial</w:t>
            </w:r>
            <w:r w:rsidRPr="00D4309F">
              <w:rPr>
                <w:spacing w:val="-2"/>
              </w:rPr>
              <w:t xml:space="preserve"> </w:t>
            </w:r>
            <w:r w:rsidRPr="00D4309F">
              <w:t>value</w:t>
            </w:r>
            <w:r w:rsidRPr="00D4309F">
              <w:rPr>
                <w:spacing w:val="-3"/>
              </w:rPr>
              <w:t xml:space="preserve"> </w:t>
            </w:r>
            <w:r w:rsidRPr="00D4309F">
              <w:t>to</w:t>
            </w:r>
            <w:r w:rsidRPr="00D4309F">
              <w:rPr>
                <w:spacing w:val="-2"/>
              </w:rPr>
              <w:t xml:space="preserve"> society</w:t>
            </w:r>
          </w:p>
          <w:p w14:paraId="3D734B44" w14:textId="29DAECAE" w:rsidR="002A5F65" w:rsidRPr="002A5F65" w:rsidRDefault="002A5F65" w:rsidP="00B872A7">
            <w:pPr>
              <w:pStyle w:val="Table-Bullet"/>
              <w:keepNext/>
            </w:pPr>
            <w:r w:rsidRPr="00D4309F">
              <w:t>Society</w:t>
            </w:r>
            <w:r w:rsidRPr="00D4309F">
              <w:rPr>
                <w:spacing w:val="-2"/>
              </w:rPr>
              <w:t xml:space="preserve"> </w:t>
            </w:r>
            <w:r w:rsidRPr="00D4309F">
              <w:t>has</w:t>
            </w:r>
            <w:r w:rsidRPr="00D4309F">
              <w:rPr>
                <w:spacing w:val="-2"/>
              </w:rPr>
              <w:t xml:space="preserve"> </w:t>
            </w:r>
            <w:r w:rsidRPr="00D4309F">
              <w:t>the</w:t>
            </w:r>
            <w:r w:rsidRPr="00D4309F">
              <w:rPr>
                <w:spacing w:val="-3"/>
              </w:rPr>
              <w:t xml:space="preserve"> </w:t>
            </w:r>
            <w:r w:rsidRPr="00D4309F">
              <w:t>capacity</w:t>
            </w:r>
            <w:r w:rsidRPr="00D4309F">
              <w:rPr>
                <w:spacing w:val="-2"/>
              </w:rPr>
              <w:t xml:space="preserve"> </w:t>
            </w:r>
            <w:r w:rsidRPr="00D4309F">
              <w:t>to</w:t>
            </w:r>
            <w:r w:rsidRPr="00D4309F">
              <w:rPr>
                <w:spacing w:val="-3"/>
              </w:rPr>
              <w:t xml:space="preserve"> </w:t>
            </w:r>
            <w:r w:rsidRPr="00D4309F">
              <w:t>adapt</w:t>
            </w:r>
            <w:r w:rsidRPr="00D4309F">
              <w:rPr>
                <w:spacing w:val="-2"/>
              </w:rPr>
              <w:t xml:space="preserve"> </w:t>
            </w:r>
            <w:r w:rsidRPr="00D4309F">
              <w:t>and</w:t>
            </w:r>
            <w:r w:rsidRPr="00D4309F">
              <w:rPr>
                <w:spacing w:val="-3"/>
              </w:rPr>
              <w:t xml:space="preserve"> </w:t>
            </w:r>
            <w:r w:rsidRPr="00D4309F">
              <w:t>cope</w:t>
            </w:r>
            <w:r w:rsidRPr="00D4309F">
              <w:rPr>
                <w:spacing w:val="-3"/>
              </w:rPr>
              <w:t xml:space="preserve"> </w:t>
            </w:r>
            <w:r w:rsidRPr="00D4309F">
              <w:t>with</w:t>
            </w:r>
            <w:r w:rsidRPr="00D4309F">
              <w:rPr>
                <w:spacing w:val="-3"/>
              </w:rPr>
              <w:t xml:space="preserve"> </w:t>
            </w:r>
            <w:r w:rsidRPr="00D4309F">
              <w:t>the</w:t>
            </w:r>
            <w:r w:rsidRPr="00D4309F">
              <w:rPr>
                <w:spacing w:val="-3"/>
              </w:rPr>
              <w:t xml:space="preserve"> </w:t>
            </w:r>
            <w:r w:rsidRPr="00D4309F">
              <w:t>negative</w:t>
            </w:r>
            <w:r w:rsidRPr="00D4309F">
              <w:rPr>
                <w:spacing w:val="-2"/>
              </w:rPr>
              <w:t xml:space="preserve"> impacts</w:t>
            </w:r>
          </w:p>
        </w:tc>
      </w:tr>
      <w:tr w:rsidR="002A5F65" w14:paraId="2643255D" w14:textId="77777777" w:rsidTr="002A5F65">
        <w:tc>
          <w:tcPr>
            <w:tcW w:w="882" w:type="pct"/>
            <w:tcBorders>
              <w:top w:val="single" w:sz="4" w:space="0" w:color="5F6369" w:themeColor="text2"/>
              <w:left w:val="nil"/>
              <w:bottom w:val="single" w:sz="4" w:space="0" w:color="5F6369" w:themeColor="text2"/>
              <w:right w:val="nil"/>
            </w:tcBorders>
          </w:tcPr>
          <w:p w14:paraId="31E0FFA9" w14:textId="7B908B01" w:rsidR="002A5F65" w:rsidRDefault="002A5F65">
            <w:pPr>
              <w:pStyle w:val="Table-Text"/>
              <w:rPr>
                <w:lang w:val="en-GB"/>
              </w:rPr>
            </w:pPr>
            <w:r w:rsidRPr="00D4309F">
              <w:rPr>
                <w:color w:val="211E1F"/>
                <w:spacing w:val="-2"/>
              </w:rPr>
              <w:t>Minor</w:t>
            </w:r>
          </w:p>
        </w:tc>
        <w:tc>
          <w:tcPr>
            <w:tcW w:w="4118" w:type="pct"/>
            <w:tcBorders>
              <w:top w:val="single" w:sz="4" w:space="0" w:color="5F6369" w:themeColor="text2"/>
              <w:left w:val="nil"/>
              <w:bottom w:val="single" w:sz="4" w:space="0" w:color="5F6369" w:themeColor="text2"/>
              <w:right w:val="nil"/>
            </w:tcBorders>
          </w:tcPr>
          <w:p w14:paraId="74A13A98" w14:textId="77777777" w:rsidR="002A5F65" w:rsidRPr="00D4309F" w:rsidRDefault="002A5F65" w:rsidP="002A5F65">
            <w:pPr>
              <w:pStyle w:val="Table-Bullet"/>
            </w:pPr>
            <w:r w:rsidRPr="00D4309F">
              <w:t>Short-term</w:t>
            </w:r>
            <w:r w:rsidRPr="00D4309F">
              <w:rPr>
                <w:spacing w:val="-2"/>
              </w:rPr>
              <w:t xml:space="preserve"> </w:t>
            </w:r>
            <w:r w:rsidRPr="00D4309F">
              <w:t>and</w:t>
            </w:r>
            <w:r w:rsidRPr="00D4309F">
              <w:rPr>
                <w:spacing w:val="-3"/>
              </w:rPr>
              <w:t xml:space="preserve"> </w:t>
            </w:r>
            <w:r w:rsidRPr="00D4309F">
              <w:t>mostly</w:t>
            </w:r>
            <w:r w:rsidRPr="00D4309F">
              <w:rPr>
                <w:spacing w:val="-2"/>
              </w:rPr>
              <w:t xml:space="preserve"> </w:t>
            </w:r>
            <w:r w:rsidRPr="00D4309F">
              <w:t>local</w:t>
            </w:r>
            <w:r w:rsidRPr="00D4309F">
              <w:rPr>
                <w:spacing w:val="-2"/>
              </w:rPr>
              <w:t xml:space="preserve"> impacts</w:t>
            </w:r>
          </w:p>
          <w:p w14:paraId="6851CFD4" w14:textId="77777777" w:rsidR="002A5F65" w:rsidRPr="00D4309F" w:rsidRDefault="002A5F65" w:rsidP="002A5F65">
            <w:pPr>
              <w:pStyle w:val="Table-Bullet"/>
            </w:pPr>
            <w:r w:rsidRPr="00D4309F">
              <w:t>Positive</w:t>
            </w:r>
            <w:r w:rsidRPr="00D4309F">
              <w:rPr>
                <w:spacing w:val="-5"/>
              </w:rPr>
              <w:t xml:space="preserve"> </w:t>
            </w:r>
            <w:r w:rsidRPr="00D4309F">
              <w:t>impacts</w:t>
            </w:r>
            <w:r w:rsidRPr="00D4309F">
              <w:rPr>
                <w:spacing w:val="-3"/>
              </w:rPr>
              <w:t xml:space="preserve"> </w:t>
            </w:r>
            <w:r w:rsidRPr="00D4309F">
              <w:t>provide</w:t>
            </w:r>
            <w:r w:rsidRPr="00D4309F">
              <w:rPr>
                <w:spacing w:val="-4"/>
              </w:rPr>
              <w:t xml:space="preserve"> </w:t>
            </w:r>
            <w:r w:rsidRPr="00D4309F">
              <w:t>some</w:t>
            </w:r>
            <w:r w:rsidRPr="00D4309F">
              <w:rPr>
                <w:spacing w:val="-4"/>
              </w:rPr>
              <w:t xml:space="preserve"> </w:t>
            </w:r>
            <w:r w:rsidRPr="00D4309F">
              <w:t>value</w:t>
            </w:r>
            <w:r w:rsidRPr="00D4309F">
              <w:rPr>
                <w:spacing w:val="-4"/>
              </w:rPr>
              <w:t xml:space="preserve"> </w:t>
            </w:r>
            <w:r w:rsidRPr="00D4309F">
              <w:t>to</w:t>
            </w:r>
            <w:r w:rsidRPr="00D4309F">
              <w:rPr>
                <w:spacing w:val="-4"/>
              </w:rPr>
              <w:t xml:space="preserve"> </w:t>
            </w:r>
            <w:r w:rsidRPr="00D4309F">
              <w:rPr>
                <w:spacing w:val="-2"/>
              </w:rPr>
              <w:t>society</w:t>
            </w:r>
          </w:p>
          <w:p w14:paraId="1FBCBA48" w14:textId="5E7A2789" w:rsidR="002A5F65" w:rsidRPr="002A5F65" w:rsidRDefault="002A5F65" w:rsidP="002A5F65">
            <w:pPr>
              <w:pStyle w:val="Table-Bullet"/>
            </w:pPr>
            <w:r w:rsidRPr="00D4309F">
              <w:t>Negative</w:t>
            </w:r>
            <w:r w:rsidRPr="00D4309F">
              <w:rPr>
                <w:spacing w:val="-3"/>
              </w:rPr>
              <w:t xml:space="preserve"> </w:t>
            </w:r>
            <w:r w:rsidRPr="00D4309F">
              <w:t>impacts</w:t>
            </w:r>
            <w:r w:rsidRPr="00D4309F">
              <w:rPr>
                <w:spacing w:val="-2"/>
              </w:rPr>
              <w:t xml:space="preserve"> </w:t>
            </w:r>
            <w:r w:rsidRPr="00D4309F">
              <w:t>can</w:t>
            </w:r>
            <w:r w:rsidRPr="00D4309F">
              <w:rPr>
                <w:spacing w:val="-3"/>
              </w:rPr>
              <w:t xml:space="preserve"> </w:t>
            </w:r>
            <w:r w:rsidRPr="00D4309F">
              <w:t>be</w:t>
            </w:r>
            <w:r w:rsidRPr="00D4309F">
              <w:rPr>
                <w:spacing w:val="-2"/>
              </w:rPr>
              <w:t xml:space="preserve"> </w:t>
            </w:r>
            <w:r w:rsidRPr="00D4309F">
              <w:t>easily</w:t>
            </w:r>
            <w:r w:rsidRPr="00D4309F">
              <w:rPr>
                <w:spacing w:val="-2"/>
              </w:rPr>
              <w:t xml:space="preserve"> </w:t>
            </w:r>
            <w:r w:rsidRPr="00D4309F">
              <w:t>adapted</w:t>
            </w:r>
            <w:r w:rsidRPr="00D4309F">
              <w:rPr>
                <w:spacing w:val="-3"/>
              </w:rPr>
              <w:t xml:space="preserve"> </w:t>
            </w:r>
            <w:r w:rsidRPr="00D4309F">
              <w:t>to</w:t>
            </w:r>
            <w:r w:rsidRPr="00D4309F">
              <w:rPr>
                <w:spacing w:val="-3"/>
              </w:rPr>
              <w:t xml:space="preserve"> </w:t>
            </w:r>
            <w:r w:rsidRPr="00D4309F">
              <w:t>by</w:t>
            </w:r>
            <w:r w:rsidRPr="00D4309F">
              <w:rPr>
                <w:spacing w:val="-1"/>
              </w:rPr>
              <w:t xml:space="preserve"> </w:t>
            </w:r>
            <w:r w:rsidRPr="00D4309F">
              <w:rPr>
                <w:spacing w:val="-2"/>
              </w:rPr>
              <w:t>society</w:t>
            </w:r>
          </w:p>
        </w:tc>
      </w:tr>
      <w:tr w:rsidR="002A5F65" w14:paraId="30ABF4A5" w14:textId="77777777" w:rsidTr="002A5F65">
        <w:tc>
          <w:tcPr>
            <w:tcW w:w="882" w:type="pct"/>
            <w:tcBorders>
              <w:top w:val="single" w:sz="4" w:space="0" w:color="5F6369" w:themeColor="text2"/>
              <w:left w:val="nil"/>
              <w:bottom w:val="single" w:sz="18" w:space="0" w:color="5F6369" w:themeColor="text2"/>
              <w:right w:val="nil"/>
            </w:tcBorders>
          </w:tcPr>
          <w:p w14:paraId="78FD2604" w14:textId="66D6DA6A" w:rsidR="002A5F65" w:rsidRDefault="002A5F65">
            <w:pPr>
              <w:pStyle w:val="Table-Text"/>
              <w:rPr>
                <w:lang w:val="en-GB"/>
              </w:rPr>
            </w:pPr>
            <w:r w:rsidRPr="00D4309F">
              <w:rPr>
                <w:color w:val="211E1F"/>
                <w:spacing w:val="-2"/>
              </w:rPr>
              <w:t>Insignificant</w:t>
            </w:r>
          </w:p>
        </w:tc>
        <w:tc>
          <w:tcPr>
            <w:tcW w:w="4118" w:type="pct"/>
            <w:tcBorders>
              <w:top w:val="single" w:sz="4" w:space="0" w:color="5F6369" w:themeColor="text2"/>
              <w:left w:val="nil"/>
              <w:bottom w:val="single" w:sz="18" w:space="0" w:color="5F6369" w:themeColor="text2"/>
              <w:right w:val="nil"/>
            </w:tcBorders>
          </w:tcPr>
          <w:p w14:paraId="22A8615D" w14:textId="3E914612" w:rsidR="002A5F65" w:rsidRPr="002A5F65" w:rsidRDefault="002A5F65" w:rsidP="002A5F65">
            <w:pPr>
              <w:pStyle w:val="Table-Bullet"/>
            </w:pPr>
            <w:r w:rsidRPr="00D4309F">
              <w:t>Small-scale impacts. These impacts provide limited value or costs to society. These</w:t>
            </w:r>
            <w:r w:rsidRPr="00D4309F">
              <w:rPr>
                <w:spacing w:val="-4"/>
              </w:rPr>
              <w:t xml:space="preserve"> </w:t>
            </w:r>
            <w:r w:rsidRPr="00D4309F">
              <w:t>impacts</w:t>
            </w:r>
            <w:r w:rsidRPr="00D4309F">
              <w:rPr>
                <w:spacing w:val="-3"/>
              </w:rPr>
              <w:t xml:space="preserve"> </w:t>
            </w:r>
            <w:r w:rsidRPr="00D4309F">
              <w:t>may</w:t>
            </w:r>
            <w:r w:rsidRPr="00D4309F">
              <w:rPr>
                <w:spacing w:val="-3"/>
              </w:rPr>
              <w:t xml:space="preserve"> </w:t>
            </w:r>
            <w:r w:rsidRPr="00D4309F">
              <w:t>require</w:t>
            </w:r>
            <w:r w:rsidRPr="00D4309F">
              <w:rPr>
                <w:spacing w:val="-4"/>
              </w:rPr>
              <w:t xml:space="preserve"> </w:t>
            </w:r>
            <w:r w:rsidRPr="00D4309F">
              <w:t>future</w:t>
            </w:r>
            <w:r w:rsidRPr="00D4309F">
              <w:rPr>
                <w:spacing w:val="-4"/>
              </w:rPr>
              <w:t xml:space="preserve"> </w:t>
            </w:r>
            <w:r w:rsidRPr="00D4309F">
              <w:t>consideration</w:t>
            </w:r>
            <w:r w:rsidRPr="00D4309F">
              <w:rPr>
                <w:spacing w:val="-4"/>
              </w:rPr>
              <w:t xml:space="preserve"> </w:t>
            </w:r>
            <w:r w:rsidRPr="00D4309F">
              <w:t>if</w:t>
            </w:r>
            <w:r w:rsidRPr="00D4309F">
              <w:rPr>
                <w:spacing w:val="-3"/>
              </w:rPr>
              <w:t xml:space="preserve"> </w:t>
            </w:r>
            <w:r w:rsidRPr="00D4309F">
              <w:t>there</w:t>
            </w:r>
            <w:r w:rsidRPr="00D4309F">
              <w:rPr>
                <w:spacing w:val="-4"/>
              </w:rPr>
              <w:t xml:space="preserve"> </w:t>
            </w:r>
            <w:r w:rsidRPr="00D4309F">
              <w:t>is</w:t>
            </w:r>
            <w:r w:rsidRPr="00D4309F">
              <w:rPr>
                <w:spacing w:val="-3"/>
              </w:rPr>
              <w:t xml:space="preserve"> </w:t>
            </w:r>
            <w:r w:rsidRPr="00D4309F">
              <w:t>change</w:t>
            </w:r>
            <w:r w:rsidRPr="00D4309F">
              <w:rPr>
                <w:spacing w:val="-4"/>
              </w:rPr>
              <w:t xml:space="preserve"> </w:t>
            </w:r>
            <w:r w:rsidRPr="00D4309F">
              <w:t>to</w:t>
            </w:r>
            <w:r w:rsidRPr="00D4309F">
              <w:rPr>
                <w:spacing w:val="-4"/>
              </w:rPr>
              <w:t xml:space="preserve"> </w:t>
            </w:r>
            <w:r w:rsidRPr="00D4309F">
              <w:t>the</w:t>
            </w:r>
            <w:r w:rsidRPr="00D4309F">
              <w:rPr>
                <w:spacing w:val="-4"/>
              </w:rPr>
              <w:t xml:space="preserve"> </w:t>
            </w:r>
            <w:r w:rsidRPr="00D4309F">
              <w:t>option reference design</w:t>
            </w:r>
          </w:p>
        </w:tc>
      </w:tr>
    </w:tbl>
    <w:p w14:paraId="49524BC2" w14:textId="77777777" w:rsidR="00FE6959" w:rsidRDefault="00FE6959" w:rsidP="00FE6959">
      <w:pPr>
        <w:pStyle w:val="BodyText"/>
      </w:pPr>
      <w:bookmarkStart w:id="196" w:name="_bookmark86"/>
      <w:bookmarkEnd w:id="196"/>
    </w:p>
    <w:p w14:paraId="06661755" w14:textId="4DBF9209" w:rsidR="00725977" w:rsidRPr="00D4309F" w:rsidRDefault="00725977" w:rsidP="0016610C">
      <w:pPr>
        <w:pStyle w:val="Heading2"/>
      </w:pPr>
      <w:bookmarkStart w:id="197" w:name="_Toc216699360"/>
      <w:r w:rsidRPr="00D4309F">
        <w:t>Long</w:t>
      </w:r>
      <w:r w:rsidRPr="00D4309F">
        <w:rPr>
          <w:spacing w:val="-10"/>
        </w:rPr>
        <w:t xml:space="preserve"> </w:t>
      </w:r>
      <w:r w:rsidRPr="00D4309F">
        <w:t>term</w:t>
      </w:r>
      <w:r w:rsidRPr="00D4309F">
        <w:rPr>
          <w:spacing w:val="-9"/>
        </w:rPr>
        <w:t xml:space="preserve"> </w:t>
      </w:r>
      <w:r w:rsidRPr="00D4309F">
        <w:t>options</w:t>
      </w:r>
      <w:r w:rsidRPr="00D4309F">
        <w:rPr>
          <w:spacing w:val="-10"/>
        </w:rPr>
        <w:t xml:space="preserve"> </w:t>
      </w:r>
      <w:r w:rsidRPr="00D4309F">
        <w:rPr>
          <w:spacing w:val="-2"/>
        </w:rPr>
        <w:t>reviewed</w:t>
      </w:r>
      <w:bookmarkEnd w:id="197"/>
    </w:p>
    <w:p w14:paraId="1599D0AD" w14:textId="77777777" w:rsidR="00725977" w:rsidRPr="00D4309F" w:rsidRDefault="00725977" w:rsidP="00725977">
      <w:pPr>
        <w:pStyle w:val="BodyText"/>
      </w:pPr>
      <w:r w:rsidRPr="00D4309F">
        <w:t>Long-term</w:t>
      </w:r>
      <w:r w:rsidRPr="00D4309F">
        <w:rPr>
          <w:spacing w:val="-3"/>
        </w:rPr>
        <w:t xml:space="preserve"> </w:t>
      </w:r>
      <w:r w:rsidRPr="00D4309F">
        <w:t>solutions</w:t>
      </w:r>
      <w:r w:rsidRPr="00D4309F">
        <w:rPr>
          <w:spacing w:val="-1"/>
        </w:rPr>
        <w:t xml:space="preserve"> </w:t>
      </w:r>
      <w:r w:rsidRPr="00D4309F">
        <w:t>are</w:t>
      </w:r>
      <w:r w:rsidRPr="00D4309F">
        <w:rPr>
          <w:spacing w:val="-2"/>
        </w:rPr>
        <w:t xml:space="preserve"> </w:t>
      </w:r>
      <w:r w:rsidRPr="00D4309F">
        <w:t>aimed</w:t>
      </w:r>
      <w:r w:rsidRPr="00D4309F">
        <w:rPr>
          <w:spacing w:val="-2"/>
        </w:rPr>
        <w:t xml:space="preserve"> </w:t>
      </w:r>
      <w:r w:rsidRPr="00D4309F">
        <w:t>at</w:t>
      </w:r>
      <w:r w:rsidRPr="00D4309F">
        <w:rPr>
          <w:spacing w:val="-2"/>
        </w:rPr>
        <w:t xml:space="preserve"> </w:t>
      </w:r>
      <w:r w:rsidRPr="00D4309F">
        <w:t>addressing</w:t>
      </w:r>
      <w:r w:rsidRPr="00D4309F">
        <w:rPr>
          <w:spacing w:val="-2"/>
        </w:rPr>
        <w:t xml:space="preserve"> </w:t>
      </w:r>
      <w:r w:rsidRPr="00D4309F">
        <w:t>the</w:t>
      </w:r>
      <w:r w:rsidRPr="00D4309F">
        <w:rPr>
          <w:spacing w:val="-2"/>
        </w:rPr>
        <w:t xml:space="preserve"> </w:t>
      </w:r>
      <w:r w:rsidRPr="00D4309F">
        <w:t>root</w:t>
      </w:r>
      <w:r w:rsidRPr="00D4309F">
        <w:rPr>
          <w:spacing w:val="-2"/>
        </w:rPr>
        <w:t xml:space="preserve"> </w:t>
      </w:r>
      <w:r w:rsidRPr="00D4309F">
        <w:t>cause</w:t>
      </w:r>
      <w:r w:rsidRPr="00D4309F">
        <w:rPr>
          <w:spacing w:val="-2"/>
        </w:rPr>
        <w:t xml:space="preserve"> </w:t>
      </w:r>
      <w:r w:rsidRPr="00D4309F">
        <w:t>of</w:t>
      </w:r>
      <w:r w:rsidRPr="00D4309F">
        <w:rPr>
          <w:spacing w:val="-2"/>
        </w:rPr>
        <w:t xml:space="preserve"> </w:t>
      </w:r>
      <w:r w:rsidRPr="00D4309F">
        <w:t>the</w:t>
      </w:r>
      <w:r w:rsidRPr="00D4309F">
        <w:rPr>
          <w:spacing w:val="-2"/>
        </w:rPr>
        <w:t xml:space="preserve"> </w:t>
      </w:r>
      <w:r w:rsidRPr="00D4309F">
        <w:t>shoaling</w:t>
      </w:r>
      <w:r w:rsidRPr="00D4309F">
        <w:rPr>
          <w:spacing w:val="-2"/>
        </w:rPr>
        <w:t xml:space="preserve"> </w:t>
      </w:r>
      <w:r w:rsidRPr="00D4309F">
        <w:t>to</w:t>
      </w:r>
      <w:r w:rsidRPr="00D4309F">
        <w:rPr>
          <w:spacing w:val="-2"/>
        </w:rPr>
        <w:t xml:space="preserve"> </w:t>
      </w:r>
      <w:r w:rsidRPr="00D4309F">
        <w:t>reduce</w:t>
      </w:r>
      <w:r w:rsidRPr="00D4309F">
        <w:rPr>
          <w:spacing w:val="-2"/>
        </w:rPr>
        <w:t xml:space="preserve"> </w:t>
      </w:r>
      <w:r w:rsidRPr="00D4309F">
        <w:t>the</w:t>
      </w:r>
      <w:r w:rsidRPr="00D4309F">
        <w:rPr>
          <w:spacing w:val="-2"/>
        </w:rPr>
        <w:t xml:space="preserve"> </w:t>
      </w:r>
      <w:r w:rsidRPr="00D4309F">
        <w:t>frequency</w:t>
      </w:r>
      <w:r w:rsidRPr="00D4309F">
        <w:rPr>
          <w:spacing w:val="-1"/>
        </w:rPr>
        <w:t xml:space="preserve"> </w:t>
      </w:r>
      <w:r w:rsidRPr="00D4309F">
        <w:t>and</w:t>
      </w:r>
      <w:r w:rsidRPr="00D4309F">
        <w:rPr>
          <w:spacing w:val="-2"/>
        </w:rPr>
        <w:t xml:space="preserve"> </w:t>
      </w:r>
      <w:r w:rsidRPr="00D4309F">
        <w:t>cost of maintenance dredging.</w:t>
      </w:r>
    </w:p>
    <w:p w14:paraId="48E74A8C" w14:textId="77777777" w:rsidR="00725977" w:rsidRPr="00D4309F" w:rsidRDefault="00725977" w:rsidP="000D5B19">
      <w:pPr>
        <w:pStyle w:val="ListBullet"/>
      </w:pPr>
      <w:r w:rsidRPr="00D4309F">
        <w:rPr>
          <w:b/>
        </w:rPr>
        <w:t>Option</w:t>
      </w:r>
      <w:r w:rsidRPr="00D4309F">
        <w:rPr>
          <w:b/>
          <w:spacing w:val="-2"/>
        </w:rPr>
        <w:t xml:space="preserve"> </w:t>
      </w:r>
      <w:r w:rsidRPr="00D4309F">
        <w:rPr>
          <w:b/>
        </w:rPr>
        <w:t>1</w:t>
      </w:r>
      <w:r w:rsidRPr="00D4309F">
        <w:rPr>
          <w:b/>
          <w:spacing w:val="-2"/>
        </w:rPr>
        <w:t xml:space="preserve"> </w:t>
      </w:r>
      <w:r w:rsidRPr="00D4309F">
        <w:rPr>
          <w:b/>
        </w:rPr>
        <w:t>–</w:t>
      </w:r>
      <w:r w:rsidRPr="00D4309F">
        <w:rPr>
          <w:b/>
          <w:spacing w:val="-3"/>
        </w:rPr>
        <w:t xml:space="preserve"> </w:t>
      </w:r>
      <w:r w:rsidRPr="00D4309F">
        <w:rPr>
          <w:b/>
        </w:rPr>
        <w:t>Buddina</w:t>
      </w:r>
      <w:r w:rsidRPr="00D4309F">
        <w:rPr>
          <w:b/>
          <w:spacing w:val="-2"/>
        </w:rPr>
        <w:t xml:space="preserve"> </w:t>
      </w:r>
      <w:r w:rsidRPr="00D4309F">
        <w:rPr>
          <w:b/>
        </w:rPr>
        <w:t>Beach</w:t>
      </w:r>
      <w:r w:rsidRPr="00D4309F">
        <w:rPr>
          <w:b/>
          <w:spacing w:val="-2"/>
        </w:rPr>
        <w:t xml:space="preserve"> </w:t>
      </w:r>
      <w:r w:rsidRPr="00D4309F">
        <w:rPr>
          <w:b/>
        </w:rPr>
        <w:t>Sand</w:t>
      </w:r>
      <w:r w:rsidRPr="00D4309F">
        <w:rPr>
          <w:b/>
          <w:spacing w:val="-2"/>
        </w:rPr>
        <w:t xml:space="preserve"> </w:t>
      </w:r>
      <w:r w:rsidRPr="00D4309F">
        <w:rPr>
          <w:b/>
        </w:rPr>
        <w:t>Trap</w:t>
      </w:r>
      <w:r w:rsidRPr="00D4309F">
        <w:t>:</w:t>
      </w:r>
      <w:r w:rsidRPr="00D4309F">
        <w:rPr>
          <w:spacing w:val="-4"/>
        </w:rPr>
        <w:t xml:space="preserve"> </w:t>
      </w:r>
      <w:r w:rsidRPr="00D4309F">
        <w:t>Trailing</w:t>
      </w:r>
      <w:r w:rsidRPr="00D4309F">
        <w:rPr>
          <w:spacing w:val="-3"/>
        </w:rPr>
        <w:t xml:space="preserve"> </w:t>
      </w:r>
      <w:r w:rsidRPr="00D4309F">
        <w:t>suction</w:t>
      </w:r>
      <w:r w:rsidRPr="00D4309F">
        <w:rPr>
          <w:spacing w:val="-2"/>
        </w:rPr>
        <w:t xml:space="preserve"> </w:t>
      </w:r>
      <w:r w:rsidRPr="00D4309F">
        <w:t>hopper</w:t>
      </w:r>
      <w:r w:rsidRPr="00D4309F">
        <w:rPr>
          <w:spacing w:val="-1"/>
        </w:rPr>
        <w:t xml:space="preserve"> </w:t>
      </w:r>
      <w:r w:rsidRPr="00D4309F">
        <w:t>dredge,</w:t>
      </w:r>
      <w:r w:rsidRPr="00D4309F">
        <w:rPr>
          <w:spacing w:val="-2"/>
        </w:rPr>
        <w:t xml:space="preserve"> </w:t>
      </w:r>
      <w:r w:rsidRPr="00D4309F">
        <w:t>about</w:t>
      </w:r>
      <w:r w:rsidRPr="00D4309F">
        <w:rPr>
          <w:spacing w:val="-2"/>
        </w:rPr>
        <w:t xml:space="preserve"> </w:t>
      </w:r>
      <w:r w:rsidRPr="00D4309F">
        <w:t>100,000</w:t>
      </w:r>
      <w:r w:rsidRPr="00D4309F">
        <w:rPr>
          <w:spacing w:val="-2"/>
        </w:rPr>
        <w:t xml:space="preserve"> </w:t>
      </w:r>
      <w:r w:rsidRPr="00D4309F">
        <w:t>m</w:t>
      </w:r>
      <w:r w:rsidRPr="00D4309F">
        <w:rPr>
          <w:vertAlign w:val="superscript"/>
        </w:rPr>
        <w:t>3</w:t>
      </w:r>
      <w:r w:rsidRPr="00D4309F">
        <w:rPr>
          <w:spacing w:val="-2"/>
        </w:rPr>
        <w:t xml:space="preserve"> </w:t>
      </w:r>
      <w:r w:rsidRPr="00D4309F">
        <w:t>from</w:t>
      </w:r>
      <w:r w:rsidRPr="00D4309F">
        <w:rPr>
          <w:spacing w:val="-2"/>
        </w:rPr>
        <w:t xml:space="preserve"> </w:t>
      </w:r>
      <w:r w:rsidRPr="00D4309F">
        <w:t>trap</w:t>
      </w:r>
      <w:r w:rsidRPr="00D4309F">
        <w:rPr>
          <w:spacing w:val="-2"/>
        </w:rPr>
        <w:t xml:space="preserve"> </w:t>
      </w:r>
      <w:r w:rsidRPr="00D4309F">
        <w:t>to Sunshine Coast beaches. It was noted that this option was considered at the recent SRG as a viable opportunity but had not been fully considered at this stage.</w:t>
      </w:r>
    </w:p>
    <w:p w14:paraId="6C23C48F" w14:textId="77777777" w:rsidR="00725977" w:rsidRPr="00D4309F" w:rsidRDefault="00725977" w:rsidP="000D5B19">
      <w:pPr>
        <w:pStyle w:val="ListBullet"/>
      </w:pPr>
      <w:r w:rsidRPr="00D4309F">
        <w:rPr>
          <w:b/>
        </w:rPr>
        <w:t>Option</w:t>
      </w:r>
      <w:r w:rsidRPr="00D4309F">
        <w:rPr>
          <w:b/>
          <w:spacing w:val="-3"/>
        </w:rPr>
        <w:t xml:space="preserve"> </w:t>
      </w:r>
      <w:r w:rsidRPr="00D4309F">
        <w:rPr>
          <w:b/>
        </w:rPr>
        <w:t>2</w:t>
      </w:r>
      <w:r w:rsidRPr="00D4309F">
        <w:rPr>
          <w:b/>
          <w:spacing w:val="-3"/>
        </w:rPr>
        <w:t xml:space="preserve"> </w:t>
      </w:r>
      <w:r w:rsidRPr="00D4309F">
        <w:rPr>
          <w:b/>
        </w:rPr>
        <w:t>–</w:t>
      </w:r>
      <w:r w:rsidRPr="00D4309F">
        <w:rPr>
          <w:b/>
          <w:spacing w:val="-3"/>
        </w:rPr>
        <w:t xml:space="preserve"> </w:t>
      </w:r>
      <w:r w:rsidRPr="00D4309F">
        <w:rPr>
          <w:b/>
        </w:rPr>
        <w:t>Increased</w:t>
      </w:r>
      <w:r w:rsidRPr="00D4309F">
        <w:rPr>
          <w:b/>
          <w:spacing w:val="-3"/>
        </w:rPr>
        <w:t xml:space="preserve"> </w:t>
      </w:r>
      <w:r w:rsidRPr="00D4309F">
        <w:rPr>
          <w:b/>
        </w:rPr>
        <w:t>Dredge</w:t>
      </w:r>
      <w:r w:rsidRPr="00D4309F">
        <w:rPr>
          <w:b/>
          <w:spacing w:val="-3"/>
        </w:rPr>
        <w:t xml:space="preserve"> </w:t>
      </w:r>
      <w:r w:rsidRPr="00D4309F">
        <w:rPr>
          <w:b/>
        </w:rPr>
        <w:t>Channel</w:t>
      </w:r>
      <w:r w:rsidRPr="00D4309F">
        <w:rPr>
          <w:b/>
          <w:spacing w:val="-5"/>
        </w:rPr>
        <w:t xml:space="preserve"> </w:t>
      </w:r>
      <w:r w:rsidRPr="00D4309F">
        <w:rPr>
          <w:b/>
        </w:rPr>
        <w:t>Depth</w:t>
      </w:r>
      <w:r w:rsidRPr="00D4309F">
        <w:rPr>
          <w:b/>
          <w:spacing w:val="-3"/>
        </w:rPr>
        <w:t xml:space="preserve"> </w:t>
      </w:r>
      <w:r w:rsidRPr="00D4309F">
        <w:rPr>
          <w:b/>
        </w:rPr>
        <w:t>with</w:t>
      </w:r>
      <w:r w:rsidRPr="00D4309F">
        <w:rPr>
          <w:b/>
          <w:spacing w:val="-4"/>
        </w:rPr>
        <w:t xml:space="preserve"> </w:t>
      </w:r>
      <w:r w:rsidRPr="00D4309F">
        <w:rPr>
          <w:b/>
        </w:rPr>
        <w:t>Rock</w:t>
      </w:r>
      <w:r w:rsidRPr="00D4309F">
        <w:rPr>
          <w:b/>
          <w:spacing w:val="-3"/>
        </w:rPr>
        <w:t xml:space="preserve"> </w:t>
      </w:r>
      <w:r w:rsidRPr="00D4309F">
        <w:rPr>
          <w:b/>
        </w:rPr>
        <w:t>Excavation</w:t>
      </w:r>
      <w:r w:rsidRPr="00D4309F">
        <w:t>:</w:t>
      </w:r>
      <w:r w:rsidRPr="00D4309F">
        <w:rPr>
          <w:spacing w:val="-3"/>
        </w:rPr>
        <w:t xml:space="preserve"> </w:t>
      </w:r>
      <w:r w:rsidRPr="00D4309F">
        <w:t>This</w:t>
      </w:r>
      <w:r w:rsidRPr="00D4309F">
        <w:rPr>
          <w:spacing w:val="-2"/>
        </w:rPr>
        <w:t xml:space="preserve"> </w:t>
      </w:r>
      <w:r w:rsidRPr="00D4309F">
        <w:t>involves</w:t>
      </w:r>
      <w:r w:rsidRPr="00D4309F">
        <w:rPr>
          <w:spacing w:val="-2"/>
        </w:rPr>
        <w:t xml:space="preserve"> </w:t>
      </w:r>
      <w:r w:rsidRPr="00D4309F">
        <w:t>deepening</w:t>
      </w:r>
      <w:r w:rsidRPr="00D4309F">
        <w:rPr>
          <w:spacing w:val="-3"/>
        </w:rPr>
        <w:t xml:space="preserve"> </w:t>
      </w:r>
      <w:r w:rsidRPr="00D4309F">
        <w:t>the channel beyond the current -2.5 m LAT design depth. This would likely require the excavation of underlying rock. While it would provide a greater buffer against shoaling, it is a significant and costly undertaking with potential environmental and engineering challenges.</w:t>
      </w:r>
    </w:p>
    <w:p w14:paraId="33388AC6" w14:textId="77777777" w:rsidR="00725977" w:rsidRPr="00D4309F" w:rsidRDefault="00725977" w:rsidP="000D5B19">
      <w:pPr>
        <w:pStyle w:val="ListBullet"/>
      </w:pPr>
      <w:r w:rsidRPr="00D4309F">
        <w:rPr>
          <w:b/>
        </w:rPr>
        <w:t>Option</w:t>
      </w:r>
      <w:r w:rsidRPr="00D4309F">
        <w:rPr>
          <w:b/>
          <w:spacing w:val="-3"/>
        </w:rPr>
        <w:t xml:space="preserve"> </w:t>
      </w:r>
      <w:r w:rsidRPr="00D4309F">
        <w:rPr>
          <w:b/>
        </w:rPr>
        <w:t>3</w:t>
      </w:r>
      <w:r w:rsidRPr="00D4309F">
        <w:rPr>
          <w:b/>
          <w:spacing w:val="-3"/>
        </w:rPr>
        <w:t xml:space="preserve"> </w:t>
      </w:r>
      <w:r w:rsidRPr="00D4309F">
        <w:rPr>
          <w:b/>
        </w:rPr>
        <w:t>–</w:t>
      </w:r>
      <w:r w:rsidRPr="00D4309F">
        <w:rPr>
          <w:b/>
          <w:spacing w:val="-3"/>
        </w:rPr>
        <w:t xml:space="preserve"> </w:t>
      </w:r>
      <w:r w:rsidRPr="00D4309F">
        <w:rPr>
          <w:b/>
        </w:rPr>
        <w:t>Eastern</w:t>
      </w:r>
      <w:r w:rsidRPr="00D4309F">
        <w:rPr>
          <w:b/>
          <w:spacing w:val="-3"/>
        </w:rPr>
        <w:t xml:space="preserve"> </w:t>
      </w:r>
      <w:r w:rsidRPr="00D4309F">
        <w:rPr>
          <w:b/>
        </w:rPr>
        <w:t>Breakwater</w:t>
      </w:r>
      <w:r w:rsidRPr="00D4309F">
        <w:rPr>
          <w:b/>
          <w:spacing w:val="-3"/>
        </w:rPr>
        <w:t xml:space="preserve"> </w:t>
      </w:r>
      <w:r w:rsidRPr="00D4309F">
        <w:rPr>
          <w:b/>
        </w:rPr>
        <w:t>Extension</w:t>
      </w:r>
      <w:r w:rsidRPr="00D4309F">
        <w:t>:</w:t>
      </w:r>
      <w:r w:rsidRPr="00D4309F">
        <w:rPr>
          <w:spacing w:val="-3"/>
        </w:rPr>
        <w:t xml:space="preserve"> </w:t>
      </w:r>
      <w:r w:rsidRPr="00D4309F">
        <w:t>A</w:t>
      </w:r>
      <w:r w:rsidRPr="00D4309F">
        <w:rPr>
          <w:spacing w:val="-3"/>
        </w:rPr>
        <w:t xml:space="preserve"> </w:t>
      </w:r>
      <w:r w:rsidRPr="00D4309F">
        <w:t>60-meter</w:t>
      </w:r>
      <w:r w:rsidRPr="00D4309F">
        <w:rPr>
          <w:spacing w:val="-2"/>
        </w:rPr>
        <w:t xml:space="preserve"> </w:t>
      </w:r>
      <w:r w:rsidRPr="00D4309F">
        <w:t>extension</w:t>
      </w:r>
      <w:r w:rsidRPr="00D4309F">
        <w:rPr>
          <w:spacing w:val="-3"/>
        </w:rPr>
        <w:t xml:space="preserve"> </w:t>
      </w:r>
      <w:r w:rsidRPr="00D4309F">
        <w:t>to</w:t>
      </w:r>
      <w:r w:rsidRPr="00D4309F">
        <w:rPr>
          <w:spacing w:val="-3"/>
        </w:rPr>
        <w:t xml:space="preserve"> </w:t>
      </w:r>
      <w:r w:rsidRPr="00D4309F">
        <w:t>the</w:t>
      </w:r>
      <w:r w:rsidRPr="00D4309F">
        <w:rPr>
          <w:spacing w:val="-3"/>
        </w:rPr>
        <w:t xml:space="preserve"> </w:t>
      </w:r>
      <w:r w:rsidRPr="00D4309F">
        <w:t>existing</w:t>
      </w:r>
      <w:r w:rsidRPr="00D4309F">
        <w:rPr>
          <w:spacing w:val="-3"/>
        </w:rPr>
        <w:t xml:space="preserve"> </w:t>
      </w:r>
      <w:r w:rsidRPr="00D4309F">
        <w:t>eastern</w:t>
      </w:r>
      <w:r w:rsidRPr="00D4309F">
        <w:rPr>
          <w:spacing w:val="-3"/>
        </w:rPr>
        <w:t xml:space="preserve"> </w:t>
      </w:r>
      <w:r w:rsidRPr="00D4309F">
        <w:t>breakwater</w:t>
      </w:r>
      <w:r w:rsidRPr="00D4309F">
        <w:rPr>
          <w:spacing w:val="-2"/>
        </w:rPr>
        <w:t xml:space="preserve"> </w:t>
      </w:r>
      <w:r w:rsidRPr="00D4309F">
        <w:t>is the preferred engineering solution. The objective is to intercept the majority of the northward sand drift before it can enter the navigation channel. A design report for this project has been completed, and it is considered the most effective long-term solution to reduce channel sedimentation.</w:t>
      </w:r>
    </w:p>
    <w:p w14:paraId="4BDE38A9" w14:textId="36B168A2" w:rsidR="00725977" w:rsidRDefault="00725977" w:rsidP="002202F3">
      <w:pPr>
        <w:pStyle w:val="ListBullet"/>
      </w:pPr>
      <w:r w:rsidRPr="00D4309F">
        <w:rPr>
          <w:b/>
        </w:rPr>
        <w:t xml:space="preserve">Option 4 – Permanent Automated Sand Bypassing System: </w:t>
      </w:r>
      <w:r w:rsidRPr="00D4309F">
        <w:t>This option involves a permanent system</w:t>
      </w:r>
      <w:r w:rsidRPr="00D4309F">
        <w:rPr>
          <w:spacing w:val="-3"/>
        </w:rPr>
        <w:t xml:space="preserve"> </w:t>
      </w:r>
      <w:r w:rsidRPr="00D4309F">
        <w:t>to</w:t>
      </w:r>
      <w:r w:rsidRPr="00D4309F">
        <w:rPr>
          <w:spacing w:val="-3"/>
        </w:rPr>
        <w:t xml:space="preserve"> </w:t>
      </w:r>
      <w:r w:rsidRPr="00D4309F">
        <w:t>mechanically</w:t>
      </w:r>
      <w:r w:rsidRPr="00D4309F">
        <w:rPr>
          <w:spacing w:val="-2"/>
        </w:rPr>
        <w:t xml:space="preserve"> </w:t>
      </w:r>
      <w:r w:rsidRPr="00D4309F">
        <w:t>transport</w:t>
      </w:r>
      <w:r w:rsidRPr="00D4309F">
        <w:rPr>
          <w:spacing w:val="-3"/>
        </w:rPr>
        <w:t xml:space="preserve"> </w:t>
      </w:r>
      <w:r w:rsidRPr="00D4309F">
        <w:t>sand</w:t>
      </w:r>
      <w:r w:rsidRPr="00D4309F">
        <w:rPr>
          <w:spacing w:val="-3"/>
        </w:rPr>
        <w:t xml:space="preserve"> </w:t>
      </w:r>
      <w:r w:rsidRPr="00D4309F">
        <w:t>from</w:t>
      </w:r>
      <w:r w:rsidRPr="00D4309F">
        <w:rPr>
          <w:spacing w:val="-3"/>
        </w:rPr>
        <w:t xml:space="preserve"> </w:t>
      </w:r>
      <w:r w:rsidRPr="00D4309F">
        <w:t>the</w:t>
      </w:r>
      <w:r w:rsidRPr="00D4309F">
        <w:rPr>
          <w:spacing w:val="-3"/>
        </w:rPr>
        <w:t xml:space="preserve"> </w:t>
      </w:r>
      <w:r w:rsidRPr="00D4309F">
        <w:t>updrift</w:t>
      </w:r>
      <w:r w:rsidRPr="00D4309F">
        <w:rPr>
          <w:spacing w:val="-3"/>
        </w:rPr>
        <w:t xml:space="preserve"> </w:t>
      </w:r>
      <w:r w:rsidRPr="00D4309F">
        <w:t>side</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bar</w:t>
      </w:r>
      <w:r w:rsidRPr="00D4309F">
        <w:rPr>
          <w:spacing w:val="-2"/>
        </w:rPr>
        <w:t xml:space="preserve"> </w:t>
      </w:r>
      <w:r w:rsidRPr="00D4309F">
        <w:t>(Point</w:t>
      </w:r>
      <w:r w:rsidRPr="00D4309F">
        <w:rPr>
          <w:spacing w:val="-3"/>
        </w:rPr>
        <w:t xml:space="preserve"> </w:t>
      </w:r>
      <w:r w:rsidRPr="00D4309F">
        <w:t>Cartwright)</w:t>
      </w:r>
      <w:r w:rsidRPr="00D4309F">
        <w:rPr>
          <w:spacing w:val="-2"/>
        </w:rPr>
        <w:t xml:space="preserve"> </w:t>
      </w:r>
      <w:r w:rsidRPr="00D4309F">
        <w:t>to</w:t>
      </w:r>
      <w:r w:rsidRPr="00D4309F">
        <w:rPr>
          <w:spacing w:val="-3"/>
        </w:rPr>
        <w:t xml:space="preserve"> </w:t>
      </w:r>
      <w:r w:rsidRPr="00D4309F">
        <w:t>the</w:t>
      </w:r>
      <w:r w:rsidRPr="00D4309F">
        <w:rPr>
          <w:spacing w:val="-3"/>
        </w:rPr>
        <w:t xml:space="preserve"> </w:t>
      </w:r>
      <w:r w:rsidRPr="00D4309F">
        <w:t>downdrift side (Mooloolaba Beach). While technically feasible, the capital and operational costs, as well as the environmental impact and visual amenity, require detailed consideration.</w:t>
      </w:r>
    </w:p>
    <w:p w14:paraId="57F58DEA" w14:textId="24601C85" w:rsidR="00FE6959" w:rsidRDefault="00C037FE" w:rsidP="00FE6959">
      <w:pPr>
        <w:pStyle w:val="ListBullet"/>
      </w:pPr>
      <w:r w:rsidRPr="00D4309F">
        <w:rPr>
          <w:b/>
        </w:rPr>
        <w:t>Option</w:t>
      </w:r>
      <w:r w:rsidRPr="00D4309F">
        <w:rPr>
          <w:b/>
          <w:spacing w:val="-2"/>
        </w:rPr>
        <w:t xml:space="preserve"> </w:t>
      </w:r>
      <w:r w:rsidRPr="00D4309F">
        <w:rPr>
          <w:b/>
        </w:rPr>
        <w:t>5</w:t>
      </w:r>
      <w:r w:rsidRPr="00D4309F">
        <w:rPr>
          <w:b/>
          <w:spacing w:val="-2"/>
        </w:rPr>
        <w:t xml:space="preserve"> </w:t>
      </w:r>
      <w:r w:rsidRPr="00D4309F">
        <w:rPr>
          <w:b/>
        </w:rPr>
        <w:t>–</w:t>
      </w:r>
      <w:r w:rsidRPr="00D4309F">
        <w:rPr>
          <w:b/>
          <w:spacing w:val="-3"/>
        </w:rPr>
        <w:t xml:space="preserve"> </w:t>
      </w:r>
      <w:r w:rsidRPr="00D4309F">
        <w:rPr>
          <w:b/>
        </w:rPr>
        <w:t>Western</w:t>
      </w:r>
      <w:r w:rsidRPr="00D4309F">
        <w:rPr>
          <w:b/>
          <w:spacing w:val="-2"/>
        </w:rPr>
        <w:t xml:space="preserve"> </w:t>
      </w:r>
      <w:r w:rsidRPr="00D4309F">
        <w:rPr>
          <w:b/>
        </w:rPr>
        <w:t>Channel</w:t>
      </w:r>
      <w:r w:rsidRPr="00D4309F">
        <w:rPr>
          <w:b/>
          <w:spacing w:val="-2"/>
        </w:rPr>
        <w:t xml:space="preserve"> </w:t>
      </w:r>
      <w:r w:rsidRPr="00D4309F">
        <w:rPr>
          <w:b/>
        </w:rPr>
        <w:t>Concept</w:t>
      </w:r>
      <w:r w:rsidRPr="00D4309F">
        <w:rPr>
          <w:b/>
          <w:spacing w:val="-3"/>
        </w:rPr>
        <w:t xml:space="preserve"> </w:t>
      </w:r>
      <w:r w:rsidRPr="00D4309F">
        <w:rPr>
          <w:b/>
        </w:rPr>
        <w:t>Plan</w:t>
      </w:r>
      <w:r w:rsidRPr="00D4309F">
        <w:rPr>
          <w:b/>
          <w:spacing w:val="-2"/>
        </w:rPr>
        <w:t xml:space="preserve"> </w:t>
      </w:r>
      <w:r w:rsidRPr="00D4309F">
        <w:rPr>
          <w:b/>
        </w:rPr>
        <w:t>–</w:t>
      </w:r>
      <w:r w:rsidRPr="00D4309F">
        <w:rPr>
          <w:b/>
          <w:spacing w:val="-2"/>
        </w:rPr>
        <w:t xml:space="preserve"> </w:t>
      </w:r>
      <w:r w:rsidRPr="00D4309F">
        <w:rPr>
          <w:b/>
        </w:rPr>
        <w:t>Shorten</w:t>
      </w:r>
      <w:r w:rsidRPr="00D4309F">
        <w:rPr>
          <w:b/>
          <w:spacing w:val="-2"/>
        </w:rPr>
        <w:t xml:space="preserve"> </w:t>
      </w:r>
      <w:r w:rsidRPr="00D4309F">
        <w:rPr>
          <w:b/>
        </w:rPr>
        <w:t>Western</w:t>
      </w:r>
      <w:r w:rsidRPr="00D4309F">
        <w:rPr>
          <w:b/>
          <w:spacing w:val="-2"/>
        </w:rPr>
        <w:t xml:space="preserve"> </w:t>
      </w:r>
      <w:r w:rsidRPr="00D4309F">
        <w:rPr>
          <w:b/>
        </w:rPr>
        <w:t>Wall</w:t>
      </w:r>
      <w:r w:rsidRPr="00D4309F">
        <w:t>:</w:t>
      </w:r>
      <w:r w:rsidRPr="00D4309F">
        <w:rPr>
          <w:spacing w:val="-2"/>
        </w:rPr>
        <w:t xml:space="preserve"> </w:t>
      </w:r>
      <w:r w:rsidRPr="00D4309F">
        <w:t>Removal</w:t>
      </w:r>
      <w:r w:rsidRPr="00D4309F">
        <w:rPr>
          <w:spacing w:val="-2"/>
        </w:rPr>
        <w:t xml:space="preserve"> </w:t>
      </w:r>
      <w:r w:rsidRPr="00D4309F">
        <w:t>of</w:t>
      </w:r>
      <w:r w:rsidRPr="00D4309F">
        <w:rPr>
          <w:spacing w:val="-2"/>
        </w:rPr>
        <w:t xml:space="preserve"> </w:t>
      </w:r>
      <w:r w:rsidRPr="00D4309F">
        <w:t>a</w:t>
      </w:r>
      <w:r w:rsidRPr="00D4309F">
        <w:rPr>
          <w:spacing w:val="-2"/>
        </w:rPr>
        <w:t xml:space="preserve"> </w:t>
      </w:r>
      <w:r w:rsidRPr="00D4309F">
        <w:t>section</w:t>
      </w:r>
      <w:r w:rsidRPr="00D4309F">
        <w:rPr>
          <w:spacing w:val="-2"/>
        </w:rPr>
        <w:t xml:space="preserve"> </w:t>
      </w:r>
      <w:r w:rsidRPr="00D4309F">
        <w:t>of</w:t>
      </w:r>
      <w:r w:rsidRPr="00D4309F">
        <w:rPr>
          <w:spacing w:val="-2"/>
        </w:rPr>
        <w:t xml:space="preserve"> </w:t>
      </w:r>
      <w:r w:rsidRPr="00D4309F">
        <w:t>western breakwater wall to create a wider western channel for safe access during adverse shoaling conditions.</w:t>
      </w:r>
    </w:p>
    <w:p w14:paraId="5F47ACBC" w14:textId="77777777" w:rsidR="002202F3" w:rsidRPr="00D4309F" w:rsidRDefault="002202F3" w:rsidP="002202F3">
      <w:pPr>
        <w:pStyle w:val="Heading3"/>
      </w:pPr>
      <w:bookmarkStart w:id="198" w:name="_Toc216699361"/>
      <w:r w:rsidRPr="00D4309F">
        <w:t>Options</w:t>
      </w:r>
      <w:r w:rsidRPr="00D4309F">
        <w:rPr>
          <w:spacing w:val="-5"/>
        </w:rPr>
        <w:t xml:space="preserve"> </w:t>
      </w:r>
      <w:r w:rsidRPr="00D4309F">
        <w:t>with</w:t>
      </w:r>
      <w:r w:rsidRPr="00D4309F">
        <w:rPr>
          <w:spacing w:val="-5"/>
        </w:rPr>
        <w:t xml:space="preserve"> </w:t>
      </w:r>
      <w:r w:rsidRPr="00D4309F">
        <w:t>operational</w:t>
      </w:r>
      <w:r w:rsidRPr="00D4309F">
        <w:rPr>
          <w:spacing w:val="-4"/>
        </w:rPr>
        <w:t xml:space="preserve"> </w:t>
      </w:r>
      <w:r w:rsidRPr="00D4309F">
        <w:rPr>
          <w:spacing w:val="-2"/>
        </w:rPr>
        <w:t>variations</w:t>
      </w:r>
      <w:bookmarkEnd w:id="198"/>
    </w:p>
    <w:p w14:paraId="5BBA9218" w14:textId="77777777" w:rsidR="002202F3" w:rsidRPr="00D4309F" w:rsidRDefault="002202F3" w:rsidP="002202F3">
      <w:pPr>
        <w:pStyle w:val="BodyText"/>
      </w:pPr>
      <w:r w:rsidRPr="00D4309F">
        <w:t>It</w:t>
      </w:r>
      <w:r w:rsidRPr="00D4309F">
        <w:rPr>
          <w:spacing w:val="-3"/>
        </w:rPr>
        <w:t xml:space="preserve"> </w:t>
      </w:r>
      <w:r w:rsidRPr="00D4309F">
        <w:t>is</w:t>
      </w:r>
      <w:r w:rsidRPr="00D4309F">
        <w:rPr>
          <w:spacing w:val="-2"/>
        </w:rPr>
        <w:t xml:space="preserve"> </w:t>
      </w:r>
      <w:r w:rsidRPr="00D4309F">
        <w:t>also</w:t>
      </w:r>
      <w:r w:rsidRPr="00D4309F">
        <w:rPr>
          <w:spacing w:val="-3"/>
        </w:rPr>
        <w:t xml:space="preserve"> </w:t>
      </w:r>
      <w:r w:rsidRPr="00D4309F">
        <w:t>important</w:t>
      </w:r>
      <w:r w:rsidRPr="00D4309F">
        <w:rPr>
          <w:spacing w:val="-3"/>
        </w:rPr>
        <w:t xml:space="preserve"> </w:t>
      </w:r>
      <w:r w:rsidRPr="00D4309F">
        <w:t>to</w:t>
      </w:r>
      <w:r w:rsidRPr="00D4309F">
        <w:rPr>
          <w:spacing w:val="-3"/>
        </w:rPr>
        <w:t xml:space="preserve"> </w:t>
      </w:r>
      <w:r w:rsidRPr="00D4309F">
        <w:t>note</w:t>
      </w:r>
      <w:r w:rsidRPr="00D4309F">
        <w:rPr>
          <w:spacing w:val="-3"/>
        </w:rPr>
        <w:t xml:space="preserve"> </w:t>
      </w:r>
      <w:r w:rsidRPr="00D4309F">
        <w:t>that</w:t>
      </w:r>
      <w:r w:rsidRPr="00D4309F">
        <w:rPr>
          <w:spacing w:val="-3"/>
        </w:rPr>
        <w:t xml:space="preserve"> </w:t>
      </w:r>
      <w:r w:rsidRPr="00D4309F">
        <w:t>some</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five</w:t>
      </w:r>
      <w:r w:rsidRPr="00D4309F">
        <w:rPr>
          <w:spacing w:val="-3"/>
        </w:rPr>
        <w:t xml:space="preserve"> </w:t>
      </w:r>
      <w:r w:rsidRPr="00D4309F">
        <w:t>primary</w:t>
      </w:r>
      <w:r w:rsidRPr="00D4309F">
        <w:rPr>
          <w:spacing w:val="-2"/>
        </w:rPr>
        <w:t xml:space="preserve"> </w:t>
      </w:r>
      <w:r w:rsidRPr="00D4309F">
        <w:t>options</w:t>
      </w:r>
      <w:r w:rsidRPr="00D4309F">
        <w:rPr>
          <w:spacing w:val="-2"/>
        </w:rPr>
        <w:t xml:space="preserve"> </w:t>
      </w:r>
      <w:r w:rsidRPr="00D4309F">
        <w:t>include</w:t>
      </w:r>
      <w:r w:rsidRPr="00D4309F">
        <w:rPr>
          <w:spacing w:val="-3"/>
        </w:rPr>
        <w:t xml:space="preserve"> </w:t>
      </w:r>
      <w:r w:rsidRPr="00D4309F">
        <w:t>sub-options</w:t>
      </w:r>
      <w:r w:rsidRPr="00D4309F">
        <w:rPr>
          <w:spacing w:val="-2"/>
        </w:rPr>
        <w:t xml:space="preserve"> </w:t>
      </w:r>
      <w:r w:rsidRPr="00D4309F">
        <w:t>or</w:t>
      </w:r>
      <w:r w:rsidRPr="00D4309F">
        <w:rPr>
          <w:spacing w:val="-2"/>
        </w:rPr>
        <w:t xml:space="preserve"> </w:t>
      </w:r>
      <w:r w:rsidRPr="00D4309F">
        <w:t>operational</w:t>
      </w:r>
      <w:r w:rsidRPr="00D4309F">
        <w:rPr>
          <w:spacing w:val="-3"/>
        </w:rPr>
        <w:t xml:space="preserve"> </w:t>
      </w:r>
      <w:r w:rsidRPr="00D4309F">
        <w:t>variations. For each option, there are typically two key components that influence performance:</w:t>
      </w:r>
    </w:p>
    <w:p w14:paraId="1F838ED8" w14:textId="77777777" w:rsidR="002202F3" w:rsidRPr="00D4309F" w:rsidRDefault="002202F3" w:rsidP="002202F3">
      <w:pPr>
        <w:pStyle w:val="ListBullet"/>
        <w:rPr>
          <w:rFonts w:ascii="Symbol" w:hAnsi="Symbol"/>
          <w:color w:val="70004A"/>
        </w:rPr>
      </w:pPr>
      <w:r w:rsidRPr="00D4309F">
        <w:t>How</w:t>
      </w:r>
      <w:r w:rsidRPr="00D4309F">
        <w:rPr>
          <w:spacing w:val="-5"/>
        </w:rPr>
        <w:t xml:space="preserve"> </w:t>
      </w:r>
      <w:r w:rsidRPr="00D4309F">
        <w:t>sand</w:t>
      </w:r>
      <w:r w:rsidRPr="00D4309F">
        <w:rPr>
          <w:spacing w:val="-3"/>
        </w:rPr>
        <w:t xml:space="preserve"> </w:t>
      </w:r>
      <w:r w:rsidRPr="00D4309F">
        <w:t>is</w:t>
      </w:r>
      <w:r w:rsidRPr="00D4309F">
        <w:rPr>
          <w:spacing w:val="-4"/>
        </w:rPr>
        <w:t xml:space="preserve"> </w:t>
      </w:r>
      <w:r w:rsidRPr="00D4309F">
        <w:t>collected</w:t>
      </w:r>
      <w:r w:rsidRPr="00D4309F">
        <w:rPr>
          <w:spacing w:val="-3"/>
        </w:rPr>
        <w:t xml:space="preserve"> </w:t>
      </w:r>
      <w:r w:rsidRPr="00D4309F">
        <w:t>in</w:t>
      </w:r>
      <w:r w:rsidRPr="00D4309F">
        <w:rPr>
          <w:spacing w:val="-3"/>
        </w:rPr>
        <w:t xml:space="preserve"> </w:t>
      </w:r>
      <w:r w:rsidRPr="00D4309F">
        <w:t>Area</w:t>
      </w:r>
      <w:r w:rsidRPr="00D4309F">
        <w:rPr>
          <w:spacing w:val="-4"/>
        </w:rPr>
        <w:t xml:space="preserve"> </w:t>
      </w:r>
      <w:r w:rsidRPr="00D4309F">
        <w:t>A</w:t>
      </w:r>
      <w:r w:rsidRPr="00D4309F">
        <w:rPr>
          <w:spacing w:val="-3"/>
        </w:rPr>
        <w:t xml:space="preserve"> </w:t>
      </w:r>
      <w:r w:rsidRPr="00D4309F">
        <w:t>(the</w:t>
      </w:r>
      <w:r w:rsidRPr="00D4309F">
        <w:rPr>
          <w:spacing w:val="-3"/>
        </w:rPr>
        <w:t xml:space="preserve"> </w:t>
      </w:r>
      <w:r w:rsidRPr="00D4309F">
        <w:t>updrift</w:t>
      </w:r>
      <w:r w:rsidRPr="00D4309F">
        <w:rPr>
          <w:spacing w:val="-4"/>
        </w:rPr>
        <w:t xml:space="preserve"> </w:t>
      </w:r>
      <w:r w:rsidRPr="00D4309F">
        <w:t>accumulation</w:t>
      </w:r>
      <w:r w:rsidRPr="00D4309F">
        <w:rPr>
          <w:spacing w:val="-3"/>
        </w:rPr>
        <w:t xml:space="preserve"> </w:t>
      </w:r>
      <w:r w:rsidRPr="00D4309F">
        <w:t>zone);</w:t>
      </w:r>
      <w:r w:rsidRPr="00D4309F">
        <w:rPr>
          <w:spacing w:val="-3"/>
        </w:rPr>
        <w:t xml:space="preserve"> </w:t>
      </w:r>
      <w:r w:rsidRPr="00D4309F">
        <w:rPr>
          <w:spacing w:val="-5"/>
        </w:rPr>
        <w:t>and</w:t>
      </w:r>
    </w:p>
    <w:p w14:paraId="150BAC12" w14:textId="77777777" w:rsidR="002202F3" w:rsidRPr="00D4309F" w:rsidRDefault="002202F3" w:rsidP="002202F3">
      <w:pPr>
        <w:pStyle w:val="ListBullet"/>
        <w:rPr>
          <w:rFonts w:ascii="Symbol" w:hAnsi="Symbol"/>
          <w:color w:val="70004A"/>
          <w:sz w:val="19"/>
        </w:rPr>
      </w:pPr>
      <w:r w:rsidRPr="00D4309F">
        <w:t>How</w:t>
      </w:r>
      <w:r w:rsidRPr="00D4309F">
        <w:rPr>
          <w:spacing w:val="-5"/>
        </w:rPr>
        <w:t xml:space="preserve"> </w:t>
      </w:r>
      <w:r w:rsidRPr="00D4309F">
        <w:t>sand</w:t>
      </w:r>
      <w:r w:rsidRPr="00D4309F">
        <w:rPr>
          <w:spacing w:val="-4"/>
        </w:rPr>
        <w:t xml:space="preserve"> </w:t>
      </w:r>
      <w:r w:rsidRPr="00D4309F">
        <w:t>is</w:t>
      </w:r>
      <w:r w:rsidRPr="00D4309F">
        <w:rPr>
          <w:spacing w:val="-3"/>
        </w:rPr>
        <w:t xml:space="preserve"> </w:t>
      </w:r>
      <w:r w:rsidRPr="00D4309F">
        <w:t>distributed</w:t>
      </w:r>
      <w:r w:rsidRPr="00D4309F">
        <w:rPr>
          <w:spacing w:val="-4"/>
        </w:rPr>
        <w:t xml:space="preserve"> </w:t>
      </w:r>
      <w:r w:rsidRPr="00D4309F">
        <w:t>to</w:t>
      </w:r>
      <w:r w:rsidRPr="00D4309F">
        <w:rPr>
          <w:spacing w:val="-3"/>
        </w:rPr>
        <w:t xml:space="preserve"> </w:t>
      </w:r>
      <w:r w:rsidRPr="00D4309F">
        <w:t>Area</w:t>
      </w:r>
      <w:r w:rsidRPr="00D4309F">
        <w:rPr>
          <w:spacing w:val="-4"/>
        </w:rPr>
        <w:t xml:space="preserve"> </w:t>
      </w:r>
      <w:r w:rsidRPr="00D4309F">
        <w:t>B</w:t>
      </w:r>
      <w:r w:rsidRPr="00D4309F">
        <w:rPr>
          <w:spacing w:val="-3"/>
        </w:rPr>
        <w:t xml:space="preserve"> </w:t>
      </w:r>
      <w:r w:rsidRPr="00D4309F">
        <w:t>(the</w:t>
      </w:r>
      <w:r w:rsidRPr="00D4309F">
        <w:rPr>
          <w:spacing w:val="-3"/>
        </w:rPr>
        <w:t xml:space="preserve"> </w:t>
      </w:r>
      <w:r w:rsidRPr="00D4309F">
        <w:t>downdrift</w:t>
      </w:r>
      <w:r w:rsidRPr="00D4309F">
        <w:rPr>
          <w:spacing w:val="-4"/>
        </w:rPr>
        <w:t xml:space="preserve"> </w:t>
      </w:r>
      <w:r w:rsidRPr="00D4309F">
        <w:t>deposition</w:t>
      </w:r>
      <w:r w:rsidRPr="00D4309F">
        <w:rPr>
          <w:spacing w:val="-3"/>
        </w:rPr>
        <w:t xml:space="preserve"> </w:t>
      </w:r>
      <w:r w:rsidRPr="00D4309F">
        <w:rPr>
          <w:spacing w:val="-2"/>
        </w:rPr>
        <w:t>area).</w:t>
      </w:r>
    </w:p>
    <w:p w14:paraId="42D4214B" w14:textId="163D2612" w:rsidR="00FE6959" w:rsidRDefault="002202F3" w:rsidP="002202F3">
      <w:pPr>
        <w:pStyle w:val="BodyText"/>
      </w:pPr>
      <w:r w:rsidRPr="00D4309F">
        <w:t xml:space="preserve">Different combinations of collection and placement methods may be possible within a single option, for example, using alternate dredging techniques or varying between direct beach placement and nearshore disposal. These sub-options represent different operational modes rather than distinct strategies and are </w:t>
      </w:r>
      <w:r w:rsidRPr="00D4309F">
        <w:lastRenderedPageBreak/>
        <w:t>considered</w:t>
      </w:r>
      <w:r w:rsidRPr="00D4309F">
        <w:rPr>
          <w:spacing w:val="-3"/>
        </w:rPr>
        <w:t xml:space="preserve"> </w:t>
      </w:r>
      <w:r w:rsidRPr="00D4309F">
        <w:t>in</w:t>
      </w:r>
      <w:r w:rsidRPr="00D4309F">
        <w:rPr>
          <w:spacing w:val="-4"/>
        </w:rPr>
        <w:t xml:space="preserve"> </w:t>
      </w:r>
      <w:r w:rsidRPr="00D4309F">
        <w:t>the</w:t>
      </w:r>
      <w:r w:rsidRPr="00D4309F">
        <w:rPr>
          <w:spacing w:val="-3"/>
        </w:rPr>
        <w:t xml:space="preserve"> </w:t>
      </w:r>
      <w:r w:rsidRPr="00D4309F">
        <w:t>review</w:t>
      </w:r>
      <w:r w:rsidRPr="00D4309F">
        <w:rPr>
          <w:spacing w:val="-2"/>
        </w:rPr>
        <w:t xml:space="preserve"> </w:t>
      </w:r>
      <w:r w:rsidRPr="00D4309F">
        <w:t>to</w:t>
      </w:r>
      <w:r w:rsidRPr="00D4309F">
        <w:rPr>
          <w:spacing w:val="-4"/>
        </w:rPr>
        <w:t xml:space="preserve"> </w:t>
      </w:r>
      <w:r w:rsidRPr="00D4309F">
        <w:t>highlight</w:t>
      </w:r>
      <w:r w:rsidRPr="00D4309F">
        <w:rPr>
          <w:spacing w:val="-3"/>
        </w:rPr>
        <w:t xml:space="preserve"> </w:t>
      </w:r>
      <w:r w:rsidRPr="00D4309F">
        <w:t>the</w:t>
      </w:r>
      <w:r w:rsidRPr="00D4309F">
        <w:rPr>
          <w:spacing w:val="-4"/>
        </w:rPr>
        <w:t xml:space="preserve"> </w:t>
      </w:r>
      <w:r w:rsidRPr="00D4309F">
        <w:t>flexibility,</w:t>
      </w:r>
      <w:r w:rsidRPr="00D4309F">
        <w:rPr>
          <w:spacing w:val="-3"/>
        </w:rPr>
        <w:t xml:space="preserve"> </w:t>
      </w:r>
      <w:r w:rsidRPr="00D4309F">
        <w:t>adaptability,</w:t>
      </w:r>
      <w:r w:rsidRPr="00D4309F">
        <w:rPr>
          <w:spacing w:val="-3"/>
        </w:rPr>
        <w:t xml:space="preserve"> </w:t>
      </w:r>
      <w:r w:rsidRPr="00D4309F">
        <w:t>and</w:t>
      </w:r>
      <w:r w:rsidRPr="00D4309F">
        <w:rPr>
          <w:spacing w:val="-4"/>
        </w:rPr>
        <w:t xml:space="preserve"> </w:t>
      </w:r>
      <w:r w:rsidRPr="00D4309F">
        <w:t>potential</w:t>
      </w:r>
      <w:r w:rsidRPr="00D4309F">
        <w:rPr>
          <w:spacing w:val="-3"/>
        </w:rPr>
        <w:t xml:space="preserve"> </w:t>
      </w:r>
      <w:r w:rsidRPr="00D4309F">
        <w:t>staging</w:t>
      </w:r>
      <w:r w:rsidRPr="00D4309F">
        <w:rPr>
          <w:spacing w:val="-3"/>
        </w:rPr>
        <w:t xml:space="preserve"> </w:t>
      </w:r>
      <w:r w:rsidRPr="00D4309F">
        <w:t>opportunities</w:t>
      </w:r>
      <w:r w:rsidRPr="00D4309F">
        <w:rPr>
          <w:spacing w:val="-2"/>
        </w:rPr>
        <w:t xml:space="preserve"> </w:t>
      </w:r>
      <w:r w:rsidRPr="00D4309F">
        <w:t>available within each broader long-term solution.</w:t>
      </w:r>
    </w:p>
    <w:p w14:paraId="6095A205" w14:textId="77777777" w:rsidR="002202F3" w:rsidRPr="00D4309F" w:rsidRDefault="002202F3" w:rsidP="002202F3">
      <w:pPr>
        <w:pStyle w:val="Heading2"/>
      </w:pPr>
      <w:bookmarkStart w:id="199" w:name="_Toc216699362"/>
      <w:r w:rsidRPr="00D4309F">
        <w:t>Key</w:t>
      </w:r>
      <w:r w:rsidRPr="00D4309F">
        <w:rPr>
          <w:spacing w:val="-7"/>
        </w:rPr>
        <w:t xml:space="preserve"> </w:t>
      </w:r>
      <w:r w:rsidRPr="00D4309F">
        <w:t>assumptions</w:t>
      </w:r>
      <w:bookmarkEnd w:id="199"/>
    </w:p>
    <w:p w14:paraId="6775753A" w14:textId="77777777" w:rsidR="002202F3" w:rsidRPr="00D4309F" w:rsidRDefault="002202F3" w:rsidP="002202F3">
      <w:pPr>
        <w:pStyle w:val="Heading3"/>
      </w:pPr>
      <w:bookmarkStart w:id="200" w:name="_Toc216699363"/>
      <w:r w:rsidRPr="00D4309F">
        <w:t>Sand</w:t>
      </w:r>
      <w:r w:rsidRPr="00D4309F">
        <w:rPr>
          <w:spacing w:val="-3"/>
        </w:rPr>
        <w:t xml:space="preserve"> </w:t>
      </w:r>
      <w:r w:rsidRPr="00D4309F">
        <w:t>transport</w:t>
      </w:r>
      <w:r w:rsidRPr="00D4309F">
        <w:rPr>
          <w:spacing w:val="-4"/>
        </w:rPr>
        <w:t xml:space="preserve"> </w:t>
      </w:r>
      <w:r w:rsidRPr="00D4309F">
        <w:t>rate</w:t>
      </w:r>
      <w:r w:rsidRPr="00D4309F">
        <w:rPr>
          <w:spacing w:val="-4"/>
        </w:rPr>
        <w:t xml:space="preserve"> </w:t>
      </w:r>
      <w:r w:rsidRPr="00D4309F">
        <w:t>(Area</w:t>
      </w:r>
      <w:r w:rsidRPr="00D4309F">
        <w:rPr>
          <w:spacing w:val="-2"/>
        </w:rPr>
        <w:t xml:space="preserve"> </w:t>
      </w:r>
      <w:r w:rsidRPr="00D4309F">
        <w:rPr>
          <w:spacing w:val="-5"/>
        </w:rPr>
        <w:t>A)</w:t>
      </w:r>
      <w:bookmarkEnd w:id="200"/>
    </w:p>
    <w:p w14:paraId="201F22FD" w14:textId="77777777" w:rsidR="002202F3" w:rsidRPr="00D4309F" w:rsidRDefault="002202F3" w:rsidP="002202F3">
      <w:pPr>
        <w:pStyle w:val="BodyText"/>
      </w:pPr>
      <w:r w:rsidRPr="00D4309F">
        <w:t>A</w:t>
      </w:r>
      <w:r w:rsidRPr="00D4309F">
        <w:rPr>
          <w:spacing w:val="-3"/>
        </w:rPr>
        <w:t xml:space="preserve"> </w:t>
      </w:r>
      <w:r w:rsidRPr="00D4309F">
        <w:t>key</w:t>
      </w:r>
      <w:r w:rsidRPr="00D4309F">
        <w:rPr>
          <w:spacing w:val="-2"/>
        </w:rPr>
        <w:t xml:space="preserve"> </w:t>
      </w:r>
      <w:r w:rsidRPr="00D4309F">
        <w:t>assumption</w:t>
      </w:r>
      <w:r w:rsidRPr="00D4309F">
        <w:rPr>
          <w:spacing w:val="-3"/>
        </w:rPr>
        <w:t xml:space="preserve"> </w:t>
      </w:r>
      <w:r w:rsidRPr="00D4309F">
        <w:t>underpinning</w:t>
      </w:r>
      <w:r w:rsidRPr="00D4309F">
        <w:rPr>
          <w:spacing w:val="-3"/>
        </w:rPr>
        <w:t xml:space="preserve"> </w:t>
      </w:r>
      <w:r w:rsidRPr="00D4309F">
        <w:t>all</w:t>
      </w:r>
      <w:r w:rsidRPr="00D4309F">
        <w:rPr>
          <w:spacing w:val="-4"/>
        </w:rPr>
        <w:t xml:space="preserve"> </w:t>
      </w:r>
      <w:r w:rsidRPr="00D4309F">
        <w:t>sand</w:t>
      </w:r>
      <w:r w:rsidRPr="00D4309F">
        <w:rPr>
          <w:spacing w:val="-3"/>
        </w:rPr>
        <w:t xml:space="preserve"> </w:t>
      </w:r>
      <w:r w:rsidRPr="00D4309F">
        <w:t>management</w:t>
      </w:r>
      <w:r w:rsidRPr="00D4309F">
        <w:rPr>
          <w:spacing w:val="-3"/>
        </w:rPr>
        <w:t xml:space="preserve"> </w:t>
      </w:r>
      <w:r w:rsidRPr="00D4309F">
        <w:t>options</w:t>
      </w:r>
      <w:r w:rsidRPr="00D4309F">
        <w:rPr>
          <w:spacing w:val="-2"/>
        </w:rPr>
        <w:t xml:space="preserve"> </w:t>
      </w:r>
      <w:r w:rsidRPr="00D4309F">
        <w:t>is</w:t>
      </w:r>
      <w:r w:rsidRPr="00D4309F">
        <w:rPr>
          <w:spacing w:val="-2"/>
        </w:rPr>
        <w:t xml:space="preserve"> </w:t>
      </w:r>
      <w:r w:rsidRPr="00D4309F">
        <w:t>the</w:t>
      </w:r>
      <w:r w:rsidRPr="00D4309F">
        <w:rPr>
          <w:spacing w:val="-3"/>
        </w:rPr>
        <w:t xml:space="preserve"> </w:t>
      </w:r>
      <w:r w:rsidRPr="00D4309F">
        <w:t>depth-dependent</w:t>
      </w:r>
      <w:r w:rsidRPr="00D4309F">
        <w:rPr>
          <w:spacing w:val="-3"/>
        </w:rPr>
        <w:t xml:space="preserve"> </w:t>
      </w:r>
      <w:r w:rsidRPr="00D4309F">
        <w:t>and</w:t>
      </w:r>
      <w:r w:rsidRPr="00D4309F">
        <w:rPr>
          <w:spacing w:val="-3"/>
        </w:rPr>
        <w:t xml:space="preserve"> </w:t>
      </w:r>
      <w:r w:rsidRPr="00D4309F">
        <w:t>episodic</w:t>
      </w:r>
      <w:r w:rsidRPr="00D4309F">
        <w:rPr>
          <w:spacing w:val="-2"/>
        </w:rPr>
        <w:t xml:space="preserve"> </w:t>
      </w:r>
      <w:r w:rsidRPr="00D4309F">
        <w:t>nature</w:t>
      </w:r>
      <w:r w:rsidRPr="00D4309F">
        <w:rPr>
          <w:spacing w:val="-3"/>
        </w:rPr>
        <w:t xml:space="preserve"> </w:t>
      </w:r>
      <w:r w:rsidRPr="00D4309F">
        <w:t>of sediment transport around Point Cartwright. Long-term monitoring and modelling (BMT, 2018; BMT, 2024) show that:</w:t>
      </w:r>
    </w:p>
    <w:p w14:paraId="658E137B" w14:textId="77777777" w:rsidR="002202F3" w:rsidRPr="00D4309F" w:rsidRDefault="002202F3" w:rsidP="002202F3">
      <w:pPr>
        <w:pStyle w:val="ListBullet"/>
      </w:pPr>
      <w:r w:rsidRPr="00D4309F">
        <w:t>Only</w:t>
      </w:r>
      <w:r w:rsidRPr="00D4309F">
        <w:rPr>
          <w:spacing w:val="-2"/>
        </w:rPr>
        <w:t xml:space="preserve"> </w:t>
      </w:r>
      <w:r w:rsidRPr="00D4309F">
        <w:t>5,000–10,000</w:t>
      </w:r>
      <w:r w:rsidRPr="00D4309F">
        <w:rPr>
          <w:spacing w:val="-3"/>
        </w:rPr>
        <w:t xml:space="preserve"> </w:t>
      </w:r>
      <w:r w:rsidRPr="00D4309F">
        <w:t>m</w:t>
      </w:r>
      <w:r w:rsidRPr="00D4309F">
        <w:rPr>
          <w:vertAlign w:val="superscript"/>
        </w:rPr>
        <w:t>3</w:t>
      </w:r>
      <w:r w:rsidRPr="00D4309F">
        <w:t>/year</w:t>
      </w:r>
      <w:r w:rsidRPr="00D4309F">
        <w:rPr>
          <w:spacing w:val="-2"/>
        </w:rPr>
        <w:t xml:space="preserve"> </w:t>
      </w:r>
      <w:r w:rsidRPr="00D4309F">
        <w:t>of</w:t>
      </w:r>
      <w:r w:rsidRPr="00D4309F">
        <w:rPr>
          <w:spacing w:val="-3"/>
        </w:rPr>
        <w:t xml:space="preserve"> </w:t>
      </w:r>
      <w:r w:rsidRPr="00D4309F">
        <w:t>sand</w:t>
      </w:r>
      <w:r w:rsidRPr="00D4309F">
        <w:rPr>
          <w:spacing w:val="-3"/>
        </w:rPr>
        <w:t xml:space="preserve"> </w:t>
      </w:r>
      <w:r w:rsidRPr="00D4309F">
        <w:t>typically</w:t>
      </w:r>
      <w:r w:rsidRPr="00D4309F">
        <w:rPr>
          <w:spacing w:val="-2"/>
        </w:rPr>
        <w:t xml:space="preserve"> </w:t>
      </w:r>
      <w:r w:rsidRPr="00D4309F">
        <w:t>accumulates</w:t>
      </w:r>
      <w:r w:rsidRPr="00D4309F">
        <w:rPr>
          <w:spacing w:val="-2"/>
        </w:rPr>
        <w:t xml:space="preserve"> </w:t>
      </w:r>
      <w:r w:rsidRPr="00D4309F">
        <w:t>in</w:t>
      </w:r>
      <w:r w:rsidRPr="00D4309F">
        <w:rPr>
          <w:spacing w:val="-3"/>
        </w:rPr>
        <w:t xml:space="preserve"> </w:t>
      </w:r>
      <w:r w:rsidRPr="00D4309F">
        <w:t>the</w:t>
      </w:r>
      <w:r w:rsidRPr="00D4309F">
        <w:rPr>
          <w:spacing w:val="-3"/>
        </w:rPr>
        <w:t xml:space="preserve"> </w:t>
      </w:r>
      <w:r w:rsidRPr="00D4309F">
        <w:t>shallow</w:t>
      </w:r>
      <w:r w:rsidRPr="00D4309F">
        <w:rPr>
          <w:spacing w:val="-4"/>
        </w:rPr>
        <w:t xml:space="preserve"> </w:t>
      </w:r>
      <w:r w:rsidRPr="00D4309F">
        <w:t>shoal</w:t>
      </w:r>
      <w:r w:rsidRPr="00D4309F">
        <w:rPr>
          <w:spacing w:val="-3"/>
        </w:rPr>
        <w:t xml:space="preserve"> </w:t>
      </w:r>
      <w:r w:rsidRPr="00D4309F">
        <w:t>zones</w:t>
      </w:r>
      <w:r w:rsidRPr="00D4309F">
        <w:rPr>
          <w:spacing w:val="-2"/>
        </w:rPr>
        <w:t xml:space="preserve"> </w:t>
      </w:r>
      <w:r w:rsidRPr="00D4309F">
        <w:t>above</w:t>
      </w:r>
      <w:r w:rsidRPr="00D4309F">
        <w:rPr>
          <w:spacing w:val="-3"/>
        </w:rPr>
        <w:t xml:space="preserve"> </w:t>
      </w:r>
      <w:r w:rsidRPr="00D4309F">
        <w:t>-3</w:t>
      </w:r>
      <w:r w:rsidRPr="00D4309F">
        <w:rPr>
          <w:spacing w:val="-3"/>
        </w:rPr>
        <w:t xml:space="preserve"> </w:t>
      </w:r>
      <w:r w:rsidRPr="00D4309F">
        <w:t>m</w:t>
      </w:r>
      <w:r w:rsidRPr="00D4309F">
        <w:rPr>
          <w:spacing w:val="-3"/>
        </w:rPr>
        <w:t xml:space="preserve"> </w:t>
      </w:r>
      <w:r w:rsidRPr="00D4309F">
        <w:t>LAT, which is the portion most relevant to navigation and maintenance dredging.</w:t>
      </w:r>
    </w:p>
    <w:p w14:paraId="168E5224" w14:textId="77777777" w:rsidR="002202F3" w:rsidRPr="00D4309F" w:rsidRDefault="002202F3" w:rsidP="002202F3">
      <w:pPr>
        <w:pStyle w:val="ListBullet"/>
      </w:pPr>
      <w:r w:rsidRPr="00D4309F">
        <w:t>In contrast, modelling during a persistent shoaling episode in late 2011 to mid-2012 estimated that approximately</w:t>
      </w:r>
      <w:r w:rsidRPr="00D4309F">
        <w:rPr>
          <w:spacing w:val="-2"/>
        </w:rPr>
        <w:t xml:space="preserve"> </w:t>
      </w:r>
      <w:r w:rsidRPr="00D4309F">
        <w:t>96,500</w:t>
      </w:r>
      <w:r w:rsidRPr="00D4309F">
        <w:rPr>
          <w:spacing w:val="-3"/>
        </w:rPr>
        <w:t xml:space="preserve"> </w:t>
      </w:r>
      <w:r w:rsidRPr="00D4309F">
        <w:t>m</w:t>
      </w:r>
      <w:r w:rsidRPr="00D4309F">
        <w:rPr>
          <w:vertAlign w:val="superscript"/>
        </w:rPr>
        <w:t>3</w:t>
      </w:r>
      <w:r w:rsidRPr="00D4309F">
        <w:rPr>
          <w:spacing w:val="-3"/>
        </w:rPr>
        <w:t xml:space="preserve"> </w:t>
      </w:r>
      <w:r w:rsidRPr="00D4309F">
        <w:t>of</w:t>
      </w:r>
      <w:r w:rsidRPr="00D4309F">
        <w:rPr>
          <w:spacing w:val="-3"/>
        </w:rPr>
        <w:t xml:space="preserve"> </w:t>
      </w:r>
      <w:r w:rsidRPr="00D4309F">
        <w:t>sand</w:t>
      </w:r>
      <w:r w:rsidRPr="00D4309F">
        <w:rPr>
          <w:spacing w:val="-3"/>
        </w:rPr>
        <w:t xml:space="preserve"> </w:t>
      </w:r>
      <w:r w:rsidRPr="00D4309F">
        <w:t>bypassed</w:t>
      </w:r>
      <w:r w:rsidRPr="00D4309F">
        <w:rPr>
          <w:spacing w:val="-3"/>
        </w:rPr>
        <w:t xml:space="preserve"> </w:t>
      </w:r>
      <w:r w:rsidRPr="00D4309F">
        <w:t>into</w:t>
      </w:r>
      <w:r w:rsidRPr="00D4309F">
        <w:rPr>
          <w:spacing w:val="-3"/>
        </w:rPr>
        <w:t xml:space="preserve"> </w:t>
      </w:r>
      <w:r w:rsidRPr="00D4309F">
        <w:t>Mooloolaba</w:t>
      </w:r>
      <w:r w:rsidRPr="00D4309F">
        <w:rPr>
          <w:spacing w:val="-3"/>
        </w:rPr>
        <w:t xml:space="preserve"> </w:t>
      </w:r>
      <w:r w:rsidRPr="00D4309F">
        <w:t>Bay</w:t>
      </w:r>
      <w:r w:rsidRPr="00D4309F">
        <w:rPr>
          <w:spacing w:val="-3"/>
        </w:rPr>
        <w:t xml:space="preserve"> </w:t>
      </w:r>
      <w:r w:rsidRPr="00D4309F">
        <w:t>in</w:t>
      </w:r>
      <w:r w:rsidRPr="00D4309F">
        <w:rPr>
          <w:spacing w:val="-3"/>
        </w:rPr>
        <w:t xml:space="preserve"> </w:t>
      </w:r>
      <w:r w:rsidRPr="00D4309F">
        <w:t>a</w:t>
      </w:r>
      <w:r w:rsidRPr="00D4309F">
        <w:rPr>
          <w:spacing w:val="-3"/>
        </w:rPr>
        <w:t xml:space="preserve"> </w:t>
      </w:r>
      <w:r w:rsidRPr="00D4309F">
        <w:t>single</w:t>
      </w:r>
      <w:r w:rsidRPr="00D4309F">
        <w:rPr>
          <w:spacing w:val="-3"/>
        </w:rPr>
        <w:t xml:space="preserve"> </w:t>
      </w:r>
      <w:r w:rsidRPr="00D4309F">
        <w:t>event,</w:t>
      </w:r>
      <w:r w:rsidRPr="00D4309F">
        <w:rPr>
          <w:spacing w:val="-3"/>
        </w:rPr>
        <w:t xml:space="preserve"> </w:t>
      </w:r>
      <w:r w:rsidRPr="00D4309F">
        <w:t>almost</w:t>
      </w:r>
      <w:r w:rsidRPr="00D4309F">
        <w:rPr>
          <w:spacing w:val="-3"/>
        </w:rPr>
        <w:t xml:space="preserve"> </w:t>
      </w:r>
      <w:r w:rsidRPr="00D4309F">
        <w:t>entirely</w:t>
      </w:r>
      <w:r w:rsidRPr="00D4309F">
        <w:rPr>
          <w:spacing w:val="-3"/>
        </w:rPr>
        <w:t xml:space="preserve"> </w:t>
      </w:r>
      <w:r w:rsidRPr="00D4309F">
        <w:t>within the -3 m to -10 m LAT depth band (BMT, 2018).</w:t>
      </w:r>
    </w:p>
    <w:p w14:paraId="6CF1FD9A" w14:textId="77777777" w:rsidR="002202F3" w:rsidRPr="00D4309F" w:rsidRDefault="002202F3" w:rsidP="002202F3">
      <w:pPr>
        <w:pStyle w:val="BodyText"/>
      </w:pPr>
      <w:r w:rsidRPr="00D4309F">
        <w:t>This</w:t>
      </w:r>
      <w:r w:rsidRPr="00D4309F">
        <w:rPr>
          <w:spacing w:val="-2"/>
        </w:rPr>
        <w:t xml:space="preserve"> </w:t>
      </w:r>
      <w:r w:rsidRPr="00D4309F">
        <w:t>behaviour</w:t>
      </w:r>
      <w:r w:rsidRPr="00D4309F">
        <w:rPr>
          <w:spacing w:val="-2"/>
        </w:rPr>
        <w:t xml:space="preserve"> </w:t>
      </w:r>
      <w:r w:rsidRPr="00D4309F">
        <w:t>supports</w:t>
      </w:r>
      <w:r w:rsidRPr="00D4309F">
        <w:rPr>
          <w:spacing w:val="-2"/>
        </w:rPr>
        <w:t xml:space="preserve"> </w:t>
      </w:r>
      <w:r w:rsidRPr="00D4309F">
        <w:t>a</w:t>
      </w:r>
      <w:r w:rsidRPr="00D4309F">
        <w:rPr>
          <w:spacing w:val="-4"/>
        </w:rPr>
        <w:t xml:space="preserve"> </w:t>
      </w:r>
      <w:r w:rsidRPr="00D4309F">
        <w:t>two-stage</w:t>
      </w:r>
      <w:r w:rsidRPr="00D4309F">
        <w:rPr>
          <w:spacing w:val="-3"/>
        </w:rPr>
        <w:t xml:space="preserve"> </w:t>
      </w:r>
      <w:r w:rsidRPr="00D4309F">
        <w:t>bypassing</w:t>
      </w:r>
      <w:r w:rsidRPr="00D4309F">
        <w:rPr>
          <w:spacing w:val="-3"/>
        </w:rPr>
        <w:t xml:space="preserve"> </w:t>
      </w:r>
      <w:r w:rsidRPr="00D4309F">
        <w:t>model</w:t>
      </w:r>
      <w:r w:rsidRPr="00D4309F">
        <w:rPr>
          <w:spacing w:val="-3"/>
        </w:rPr>
        <w:t xml:space="preserve"> </w:t>
      </w:r>
      <w:r w:rsidRPr="00D4309F">
        <w:t>previously</w:t>
      </w:r>
      <w:r w:rsidRPr="00D4309F">
        <w:rPr>
          <w:spacing w:val="-2"/>
        </w:rPr>
        <w:t xml:space="preserve"> </w:t>
      </w:r>
      <w:r w:rsidRPr="00D4309F">
        <w:t>described</w:t>
      </w:r>
      <w:r w:rsidRPr="00D4309F">
        <w:rPr>
          <w:spacing w:val="-3"/>
        </w:rPr>
        <w:t xml:space="preserve"> </w:t>
      </w:r>
      <w:r w:rsidRPr="00D4309F">
        <w:t>in</w:t>
      </w:r>
      <w:r w:rsidRPr="00D4309F">
        <w:rPr>
          <w:spacing w:val="-4"/>
        </w:rPr>
        <w:t xml:space="preserve"> </w:t>
      </w:r>
      <w:r w:rsidRPr="00D4309F">
        <w:t>where</w:t>
      </w:r>
      <w:r w:rsidRPr="00D4309F">
        <w:rPr>
          <w:spacing w:val="-3"/>
        </w:rPr>
        <w:t xml:space="preserve"> </w:t>
      </w:r>
      <w:r w:rsidRPr="00D4309F">
        <w:t>sand</w:t>
      </w:r>
      <w:r w:rsidRPr="00D4309F">
        <w:rPr>
          <w:spacing w:val="-3"/>
        </w:rPr>
        <w:t xml:space="preserve"> </w:t>
      </w:r>
      <w:r w:rsidRPr="00D4309F">
        <w:t>first</w:t>
      </w:r>
      <w:r w:rsidRPr="00D4309F">
        <w:rPr>
          <w:spacing w:val="-3"/>
        </w:rPr>
        <w:t xml:space="preserve"> </w:t>
      </w:r>
      <w:r w:rsidRPr="00D4309F">
        <w:t>accumulates offshore of Point Cartwright under net northerly transport, then moves westward into the entrance zone during subsequent high-energy events.</w:t>
      </w:r>
    </w:p>
    <w:p w14:paraId="1A9AE493" w14:textId="7758FBC3" w:rsidR="002202F3" w:rsidRPr="00D4309F" w:rsidRDefault="002202F3" w:rsidP="002202F3">
      <w:pPr>
        <w:pStyle w:val="BodyText"/>
      </w:pPr>
      <w:r w:rsidRPr="00D4309F">
        <w:t>This pulse-driven dynamic is fundamental to the observed shoaling cycles and directly informs the inconsistency</w:t>
      </w:r>
      <w:r w:rsidRPr="00D4309F">
        <w:rPr>
          <w:spacing w:val="-3"/>
        </w:rPr>
        <w:t xml:space="preserve"> </w:t>
      </w:r>
      <w:r w:rsidRPr="00D4309F">
        <w:t>and</w:t>
      </w:r>
      <w:r w:rsidRPr="00D4309F">
        <w:rPr>
          <w:spacing w:val="-3"/>
        </w:rPr>
        <w:t xml:space="preserve"> </w:t>
      </w:r>
      <w:r w:rsidRPr="00D4309F">
        <w:t>variability</w:t>
      </w:r>
      <w:r w:rsidRPr="00D4309F">
        <w:rPr>
          <w:spacing w:val="-2"/>
        </w:rPr>
        <w:t xml:space="preserve"> </w:t>
      </w:r>
      <w:r w:rsidRPr="00D4309F">
        <w:t>in</w:t>
      </w:r>
      <w:r w:rsidRPr="00D4309F">
        <w:rPr>
          <w:spacing w:val="-3"/>
        </w:rPr>
        <w:t xml:space="preserve"> </w:t>
      </w:r>
      <w:r w:rsidRPr="00D4309F">
        <w:t>annual</w:t>
      </w:r>
      <w:r w:rsidRPr="00D4309F">
        <w:rPr>
          <w:spacing w:val="-3"/>
        </w:rPr>
        <w:t xml:space="preserve"> </w:t>
      </w:r>
      <w:r w:rsidRPr="00D4309F">
        <w:t>peak</w:t>
      </w:r>
      <w:r w:rsidRPr="00D4309F">
        <w:rPr>
          <w:spacing w:val="-2"/>
        </w:rPr>
        <w:t xml:space="preserve"> </w:t>
      </w:r>
      <w:r w:rsidRPr="00D4309F">
        <w:t>and</w:t>
      </w:r>
      <w:r w:rsidRPr="00D4309F">
        <w:rPr>
          <w:spacing w:val="-3"/>
        </w:rPr>
        <w:t xml:space="preserve"> </w:t>
      </w:r>
      <w:r w:rsidRPr="00D4309F">
        <w:t>average</w:t>
      </w:r>
      <w:r w:rsidRPr="00D4309F">
        <w:rPr>
          <w:spacing w:val="-3"/>
        </w:rPr>
        <w:t xml:space="preserve"> </w:t>
      </w:r>
      <w:r w:rsidRPr="00D4309F">
        <w:t>bypassing</w:t>
      </w:r>
      <w:r w:rsidRPr="00D4309F">
        <w:rPr>
          <w:spacing w:val="-3"/>
        </w:rPr>
        <w:t xml:space="preserve"> </w:t>
      </w:r>
      <w:r w:rsidRPr="00D4309F">
        <w:t>rates.</w:t>
      </w:r>
      <w:r w:rsidRPr="00D4309F">
        <w:rPr>
          <w:spacing w:val="-5"/>
        </w:rPr>
        <w:t xml:space="preserve"> </w:t>
      </w:r>
      <w:r w:rsidRPr="00D4309F">
        <w:t>While</w:t>
      </w:r>
      <w:r w:rsidRPr="00D4309F">
        <w:rPr>
          <w:spacing w:val="-4"/>
        </w:rPr>
        <w:t xml:space="preserve"> </w:t>
      </w:r>
      <w:r w:rsidRPr="00D4309F">
        <w:t>the</w:t>
      </w:r>
      <w:r w:rsidRPr="00D4309F">
        <w:rPr>
          <w:spacing w:val="-3"/>
        </w:rPr>
        <w:t xml:space="preserve"> </w:t>
      </w:r>
      <w:r w:rsidRPr="00D4309F">
        <w:t>long-term</w:t>
      </w:r>
      <w:r w:rsidRPr="00D4309F">
        <w:rPr>
          <w:spacing w:val="-3"/>
        </w:rPr>
        <w:t xml:space="preserve"> </w:t>
      </w:r>
      <w:r w:rsidRPr="00D4309F">
        <w:t>average</w:t>
      </w:r>
      <w:r w:rsidRPr="00D4309F">
        <w:rPr>
          <w:spacing w:val="-3"/>
        </w:rPr>
        <w:t xml:space="preserve"> </w:t>
      </w:r>
      <w:r w:rsidRPr="00D4309F">
        <w:t>net transport is estimated at 75,000</w:t>
      </w:r>
      <w:r w:rsidRPr="00D4309F">
        <w:rPr>
          <w:spacing w:val="-10"/>
        </w:rPr>
        <w:t xml:space="preserve"> </w:t>
      </w:r>
      <w:r w:rsidRPr="00D4309F">
        <w:t>m³/year, the actual delivery of shoaling-prone material into the entrance occurs in irregular, event-driven pulses. As such, bypassing rates vary dramatically from year to year depending on the timing, intensity, and sequencing of storm events and prior accumulation (as shown in</w:t>
      </w:r>
      <w:r w:rsidR="00CC0B1C">
        <w:t xml:space="preserve"> </w:t>
      </w:r>
      <w:r w:rsidR="00CC0B1C">
        <w:fldChar w:fldCharType="begin" w:fldLock="1"/>
      </w:r>
      <w:r w:rsidR="00CC0B1C">
        <w:instrText xml:space="preserve"> REF _Ref215910208 \h </w:instrText>
      </w:r>
      <w:r w:rsidR="00CC0B1C">
        <w:fldChar w:fldCharType="separate"/>
      </w:r>
      <w:r w:rsidR="001E5652">
        <w:t xml:space="preserve">Figure </w:t>
      </w:r>
      <w:r w:rsidR="001E5652">
        <w:rPr>
          <w:noProof/>
        </w:rPr>
        <w:t>12</w:t>
      </w:r>
      <w:r w:rsidR="001E5652">
        <w:noBreakHyphen/>
      </w:r>
      <w:r w:rsidR="001E5652">
        <w:rPr>
          <w:noProof/>
        </w:rPr>
        <w:t>2</w:t>
      </w:r>
      <w:r w:rsidR="00CC0B1C">
        <w:fldChar w:fldCharType="end"/>
      </w:r>
      <w:r w:rsidRPr="00D4309F">
        <w:t>). This variability reinforces the need for management options that are not only sized for long-term averages but are also resilient and responsive to short-duration, high-volume transport pulses.</w:t>
      </w:r>
    </w:p>
    <w:p w14:paraId="433F96F8" w14:textId="77777777" w:rsidR="002202F3" w:rsidRPr="00D4309F" w:rsidRDefault="002202F3" w:rsidP="002202F3">
      <w:pPr>
        <w:pStyle w:val="BodyText"/>
      </w:pPr>
      <w:r w:rsidRPr="00D4309F">
        <w:t>The</w:t>
      </w:r>
      <w:r w:rsidRPr="00D4309F">
        <w:rPr>
          <w:spacing w:val="-3"/>
        </w:rPr>
        <w:t xml:space="preserve"> </w:t>
      </w:r>
      <w:r w:rsidRPr="00D4309F">
        <w:t>occurrence</w:t>
      </w:r>
      <w:r w:rsidRPr="00D4309F">
        <w:rPr>
          <w:spacing w:val="-3"/>
        </w:rPr>
        <w:t xml:space="preserve"> </w:t>
      </w:r>
      <w:r w:rsidRPr="00D4309F">
        <w:t>and</w:t>
      </w:r>
      <w:r w:rsidRPr="00D4309F">
        <w:rPr>
          <w:spacing w:val="-3"/>
        </w:rPr>
        <w:t xml:space="preserve"> </w:t>
      </w:r>
      <w:r w:rsidRPr="00D4309F">
        <w:t>magnitude</w:t>
      </w:r>
      <w:r w:rsidRPr="00D4309F">
        <w:rPr>
          <w:spacing w:val="-3"/>
        </w:rPr>
        <w:t xml:space="preserve"> </w:t>
      </w:r>
      <w:r w:rsidRPr="00D4309F">
        <w:t>of</w:t>
      </w:r>
      <w:r w:rsidRPr="00D4309F">
        <w:rPr>
          <w:spacing w:val="-3"/>
        </w:rPr>
        <w:t xml:space="preserve"> </w:t>
      </w:r>
      <w:r w:rsidRPr="00D4309F">
        <w:t>entrance</w:t>
      </w:r>
      <w:r w:rsidRPr="00D4309F">
        <w:rPr>
          <w:spacing w:val="-4"/>
        </w:rPr>
        <w:t xml:space="preserve"> </w:t>
      </w:r>
      <w:r w:rsidRPr="00D4309F">
        <w:t>shoaling</w:t>
      </w:r>
      <w:r w:rsidRPr="00D4309F">
        <w:rPr>
          <w:spacing w:val="-4"/>
        </w:rPr>
        <w:t xml:space="preserve"> </w:t>
      </w:r>
      <w:r w:rsidRPr="00D4309F">
        <w:t>depend</w:t>
      </w:r>
      <w:r w:rsidRPr="00D4309F">
        <w:rPr>
          <w:spacing w:val="-3"/>
        </w:rPr>
        <w:t xml:space="preserve"> </w:t>
      </w:r>
      <w:r w:rsidRPr="00D4309F">
        <w:t>on</w:t>
      </w:r>
      <w:r w:rsidRPr="00D4309F">
        <w:rPr>
          <w:spacing w:val="-3"/>
        </w:rPr>
        <w:t xml:space="preserve"> </w:t>
      </w:r>
      <w:r w:rsidRPr="00D4309F">
        <w:t>the</w:t>
      </w:r>
      <w:r w:rsidRPr="00D4309F">
        <w:rPr>
          <w:spacing w:val="-3"/>
        </w:rPr>
        <w:t xml:space="preserve"> </w:t>
      </w:r>
      <w:r w:rsidRPr="00D4309F">
        <w:t>joint</w:t>
      </w:r>
      <w:r w:rsidRPr="00D4309F">
        <w:rPr>
          <w:spacing w:val="-3"/>
        </w:rPr>
        <w:t xml:space="preserve"> </w:t>
      </w:r>
      <w:r w:rsidRPr="00D4309F">
        <w:t>probability</w:t>
      </w:r>
      <w:r w:rsidRPr="00D4309F">
        <w:rPr>
          <w:spacing w:val="-2"/>
        </w:rPr>
        <w:t xml:space="preserve"> </w:t>
      </w:r>
      <w:r w:rsidRPr="00D4309F">
        <w:t>and</w:t>
      </w:r>
      <w:r w:rsidRPr="00D4309F">
        <w:rPr>
          <w:spacing w:val="-3"/>
        </w:rPr>
        <w:t xml:space="preserve"> </w:t>
      </w:r>
      <w:r w:rsidRPr="00D4309F">
        <w:t>sequencing</w:t>
      </w:r>
      <w:r w:rsidRPr="00D4309F">
        <w:rPr>
          <w:spacing w:val="-3"/>
        </w:rPr>
        <w:t xml:space="preserve"> </w:t>
      </w:r>
      <w:r w:rsidRPr="00D4309F">
        <w:t>of</w:t>
      </w:r>
      <w:r w:rsidRPr="00D4309F">
        <w:rPr>
          <w:spacing w:val="-3"/>
        </w:rPr>
        <w:t xml:space="preserve"> </w:t>
      </w:r>
      <w:r w:rsidRPr="00D4309F">
        <w:t>these phases i.e., the timing between sand accumulation events and the arrival of wave conditions strong enough to trigger bypassing. Without both phases occurring in the right sequence, sand may remain offshore or bypass the entrance altogether.</w:t>
      </w:r>
    </w:p>
    <w:p w14:paraId="25B944F2" w14:textId="77777777" w:rsidR="002202F3" w:rsidRDefault="002202F3" w:rsidP="002202F3">
      <w:pPr>
        <w:pStyle w:val="BodyText"/>
      </w:pPr>
    </w:p>
    <w:p w14:paraId="23E3DDAC" w14:textId="77777777" w:rsidR="00CC0B1C" w:rsidRDefault="00CC0B1C" w:rsidP="00CC0B1C">
      <w:pPr>
        <w:keepNext/>
        <w:ind w:left="728"/>
        <w:jc w:val="center"/>
      </w:pPr>
      <w:r w:rsidRPr="00D4309F">
        <w:rPr>
          <w:noProof/>
        </w:rPr>
        <w:drawing>
          <wp:inline distT="0" distB="0" distL="0" distR="0" wp14:anchorId="7AB434B0" wp14:editId="6E563A3F">
            <wp:extent cx="4521988" cy="3318510"/>
            <wp:effectExtent l="0" t="0" r="0" b="0"/>
            <wp:docPr id="107" name="Image 107" descr="P1775#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descr="P1775#yIS1"/>
                    <pic:cNvPicPr/>
                  </pic:nvPicPr>
                  <pic:blipFill>
                    <a:blip r:embed="rId62" cstate="print"/>
                    <a:stretch>
                      <a:fillRect/>
                    </a:stretch>
                  </pic:blipFill>
                  <pic:spPr>
                    <a:xfrm>
                      <a:off x="0" y="0"/>
                      <a:ext cx="4521988" cy="3318510"/>
                    </a:xfrm>
                    <a:prstGeom prst="rect">
                      <a:avLst/>
                    </a:prstGeom>
                  </pic:spPr>
                </pic:pic>
              </a:graphicData>
            </a:graphic>
          </wp:inline>
        </w:drawing>
      </w:r>
    </w:p>
    <w:p w14:paraId="6A73E61F" w14:textId="2A7B0B6C" w:rsidR="00FE6959" w:rsidRDefault="00CC0B1C" w:rsidP="00EF4321">
      <w:pPr>
        <w:pStyle w:val="Caption"/>
      </w:pPr>
      <w:bookmarkStart w:id="201" w:name="_Ref215910208"/>
      <w:bookmarkStart w:id="202" w:name="_Toc216699609"/>
      <w:r>
        <w:t xml:space="preserve">Figure </w:t>
      </w:r>
      <w:r w:rsidR="00B538D4">
        <w:fldChar w:fldCharType="begin" w:fldLock="1"/>
      </w:r>
      <w:r w:rsidR="00B538D4">
        <w:instrText xml:space="preserve"> STYLEREF 1 \s </w:instrText>
      </w:r>
      <w:r w:rsidR="00B538D4">
        <w:fldChar w:fldCharType="separate"/>
      </w:r>
      <w:r w:rsidR="00B538D4">
        <w:rPr>
          <w:noProof/>
        </w:rPr>
        <w:t>12</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2</w:t>
      </w:r>
      <w:r w:rsidR="00B538D4">
        <w:fldChar w:fldCharType="end"/>
      </w:r>
      <w:bookmarkEnd w:id="201"/>
      <w:r>
        <w:t>:</w:t>
      </w:r>
      <w:r>
        <w:tab/>
      </w:r>
      <w:r w:rsidRPr="00CC0B1C">
        <w:t>Mooloolah River entrance shoaling indicator prognostic shoal volume output (peak volume events circled)</w:t>
      </w:r>
      <w:bookmarkStart w:id="203" w:name="_bookmark88"/>
      <w:bookmarkStart w:id="204" w:name="_bookmark87"/>
      <w:bookmarkEnd w:id="202"/>
      <w:bookmarkEnd w:id="203"/>
      <w:bookmarkEnd w:id="204"/>
    </w:p>
    <w:p w14:paraId="7D9CF919" w14:textId="433F3227" w:rsidR="00725977" w:rsidRPr="00D4309F" w:rsidRDefault="00725977" w:rsidP="0016610C">
      <w:pPr>
        <w:pStyle w:val="Heading3"/>
      </w:pPr>
      <w:bookmarkStart w:id="205" w:name="_Toc216699364"/>
      <w:r w:rsidRPr="00D4309F">
        <w:lastRenderedPageBreak/>
        <w:t>Sand</w:t>
      </w:r>
      <w:r w:rsidRPr="00D4309F">
        <w:rPr>
          <w:spacing w:val="-4"/>
        </w:rPr>
        <w:t xml:space="preserve"> </w:t>
      </w:r>
      <w:r w:rsidRPr="00D4309F">
        <w:t>placement</w:t>
      </w:r>
      <w:r w:rsidRPr="00D4309F">
        <w:rPr>
          <w:spacing w:val="-4"/>
        </w:rPr>
        <w:t xml:space="preserve"> </w:t>
      </w:r>
      <w:r w:rsidRPr="00D4309F">
        <w:t>(Area</w:t>
      </w:r>
      <w:r w:rsidRPr="00D4309F">
        <w:rPr>
          <w:spacing w:val="-2"/>
        </w:rPr>
        <w:t xml:space="preserve"> </w:t>
      </w:r>
      <w:r w:rsidRPr="00D4309F">
        <w:rPr>
          <w:spacing w:val="-5"/>
        </w:rPr>
        <w:t>B)</w:t>
      </w:r>
      <w:bookmarkEnd w:id="205"/>
    </w:p>
    <w:p w14:paraId="0A0D21EE" w14:textId="77777777" w:rsidR="00725977" w:rsidRPr="00D4309F" w:rsidRDefault="00725977" w:rsidP="00725977">
      <w:pPr>
        <w:pStyle w:val="BodyText"/>
      </w:pPr>
      <w:r w:rsidRPr="00D4309F">
        <w:t>In</w:t>
      </w:r>
      <w:r w:rsidRPr="00D4309F">
        <w:rPr>
          <w:spacing w:val="-3"/>
        </w:rPr>
        <w:t xml:space="preserve"> </w:t>
      </w:r>
      <w:r w:rsidRPr="00D4309F">
        <w:t>reviewing</w:t>
      </w:r>
      <w:r w:rsidRPr="00D4309F">
        <w:rPr>
          <w:spacing w:val="-3"/>
        </w:rPr>
        <w:t xml:space="preserve"> </w:t>
      </w:r>
      <w:r w:rsidRPr="00D4309F">
        <w:t>and</w:t>
      </w:r>
      <w:r w:rsidRPr="00D4309F">
        <w:rPr>
          <w:spacing w:val="-3"/>
        </w:rPr>
        <w:t xml:space="preserve"> </w:t>
      </w:r>
      <w:r w:rsidRPr="00D4309F">
        <w:t>comparing</w:t>
      </w:r>
      <w:r w:rsidRPr="00D4309F">
        <w:rPr>
          <w:spacing w:val="-3"/>
        </w:rPr>
        <w:t xml:space="preserve"> </w:t>
      </w:r>
      <w:r w:rsidRPr="00D4309F">
        <w:t>the</w:t>
      </w:r>
      <w:r w:rsidRPr="00D4309F">
        <w:rPr>
          <w:spacing w:val="-3"/>
        </w:rPr>
        <w:t xml:space="preserve"> </w:t>
      </w:r>
      <w:r w:rsidRPr="00D4309F">
        <w:t>long-term</w:t>
      </w:r>
      <w:r w:rsidRPr="00D4309F">
        <w:rPr>
          <w:spacing w:val="-3"/>
        </w:rPr>
        <w:t xml:space="preserve"> </w:t>
      </w:r>
      <w:r w:rsidRPr="00D4309F">
        <w:t>options,</w:t>
      </w:r>
      <w:r w:rsidRPr="00D4309F">
        <w:rPr>
          <w:spacing w:val="-3"/>
        </w:rPr>
        <w:t xml:space="preserve"> </w:t>
      </w:r>
      <w:r w:rsidRPr="00D4309F">
        <w:t>a</w:t>
      </w:r>
      <w:r w:rsidRPr="00D4309F">
        <w:rPr>
          <w:spacing w:val="-4"/>
        </w:rPr>
        <w:t xml:space="preserve"> </w:t>
      </w:r>
      <w:r w:rsidRPr="00D4309F">
        <w:t>number</w:t>
      </w:r>
      <w:r w:rsidRPr="00D4309F">
        <w:rPr>
          <w:spacing w:val="-2"/>
        </w:rPr>
        <w:t xml:space="preserve"> </w:t>
      </w:r>
      <w:r w:rsidRPr="00D4309F">
        <w:t>of</w:t>
      </w:r>
      <w:r w:rsidRPr="00D4309F">
        <w:rPr>
          <w:spacing w:val="-3"/>
        </w:rPr>
        <w:t xml:space="preserve"> </w:t>
      </w:r>
      <w:r w:rsidRPr="00D4309F">
        <w:t>operational</w:t>
      </w:r>
      <w:r w:rsidRPr="00D4309F">
        <w:rPr>
          <w:spacing w:val="-3"/>
        </w:rPr>
        <w:t xml:space="preserve"> </w:t>
      </w:r>
      <w:r w:rsidRPr="00D4309F">
        <w:t>assumptions</w:t>
      </w:r>
      <w:r w:rsidRPr="00D4309F">
        <w:rPr>
          <w:spacing w:val="-2"/>
        </w:rPr>
        <w:t xml:space="preserve"> </w:t>
      </w:r>
      <w:r w:rsidRPr="00D4309F">
        <w:t>have</w:t>
      </w:r>
      <w:r w:rsidRPr="00D4309F">
        <w:rPr>
          <w:spacing w:val="-3"/>
        </w:rPr>
        <w:t xml:space="preserve"> </w:t>
      </w:r>
      <w:r w:rsidRPr="00D4309F">
        <w:t>been</w:t>
      </w:r>
      <w:r w:rsidRPr="00D4309F">
        <w:rPr>
          <w:spacing w:val="-3"/>
        </w:rPr>
        <w:t xml:space="preserve"> </w:t>
      </w:r>
      <w:r w:rsidRPr="00D4309F">
        <w:t>made regarding the placement of material in Area B. These assumptions are necessary to enable consistent comparison between options and reflect typical practical and economic considerations for the site.</w:t>
      </w:r>
    </w:p>
    <w:p w14:paraId="34DB6607" w14:textId="77777777" w:rsidR="00725977" w:rsidRPr="00D4309F" w:rsidRDefault="00725977" w:rsidP="00725977">
      <w:pPr>
        <w:pStyle w:val="BodyText"/>
      </w:pPr>
      <w:r w:rsidRPr="00D4309F">
        <w:t>For options that rely on trailing suction hopper dredge (TSHD) operations, it has been assumed that sand placement would occur in the nearshore (offshore) zone. This approach is generally more cost-effective (then</w:t>
      </w:r>
      <w:r w:rsidRPr="00D4309F">
        <w:rPr>
          <w:spacing w:val="-3"/>
        </w:rPr>
        <w:t xml:space="preserve"> </w:t>
      </w:r>
      <w:r w:rsidRPr="00D4309F">
        <w:t>onshore</w:t>
      </w:r>
      <w:r w:rsidRPr="00D4309F">
        <w:rPr>
          <w:spacing w:val="-3"/>
        </w:rPr>
        <w:t xml:space="preserve"> </w:t>
      </w:r>
      <w:r w:rsidRPr="00D4309F">
        <w:t>placement),</w:t>
      </w:r>
      <w:r w:rsidRPr="00D4309F">
        <w:rPr>
          <w:spacing w:val="-3"/>
        </w:rPr>
        <w:t xml:space="preserve"> </w:t>
      </w:r>
      <w:r w:rsidRPr="00D4309F">
        <w:t>as</w:t>
      </w:r>
      <w:r w:rsidRPr="00D4309F">
        <w:rPr>
          <w:spacing w:val="-2"/>
        </w:rPr>
        <w:t xml:space="preserve"> </w:t>
      </w:r>
      <w:r w:rsidRPr="00D4309F">
        <w:t>it</w:t>
      </w:r>
      <w:r w:rsidRPr="00D4309F">
        <w:rPr>
          <w:spacing w:val="-3"/>
        </w:rPr>
        <w:t xml:space="preserve"> </w:t>
      </w:r>
      <w:r w:rsidRPr="00D4309F">
        <w:t>avoids</w:t>
      </w:r>
      <w:r w:rsidRPr="00D4309F">
        <w:rPr>
          <w:spacing w:val="-2"/>
        </w:rPr>
        <w:t xml:space="preserve"> </w:t>
      </w:r>
      <w:r w:rsidRPr="00D4309F">
        <w:t>the</w:t>
      </w:r>
      <w:r w:rsidRPr="00D4309F">
        <w:rPr>
          <w:spacing w:val="-3"/>
        </w:rPr>
        <w:t xml:space="preserve"> </w:t>
      </w:r>
      <w:r w:rsidRPr="00D4309F">
        <w:t>additional</w:t>
      </w:r>
      <w:r w:rsidRPr="00D4309F">
        <w:rPr>
          <w:spacing w:val="-4"/>
        </w:rPr>
        <w:t xml:space="preserve"> </w:t>
      </w:r>
      <w:r w:rsidRPr="00D4309F">
        <w:t>expense</w:t>
      </w:r>
      <w:r w:rsidRPr="00D4309F">
        <w:rPr>
          <w:spacing w:val="-3"/>
        </w:rPr>
        <w:t xml:space="preserve"> </w:t>
      </w:r>
      <w:r w:rsidRPr="00D4309F">
        <w:t>of</w:t>
      </w:r>
      <w:r w:rsidRPr="00D4309F">
        <w:rPr>
          <w:spacing w:val="-3"/>
        </w:rPr>
        <w:t xml:space="preserve"> </w:t>
      </w:r>
      <w:r w:rsidRPr="00D4309F">
        <w:t>pumping</w:t>
      </w:r>
      <w:r w:rsidRPr="00D4309F">
        <w:rPr>
          <w:spacing w:val="-3"/>
        </w:rPr>
        <w:t xml:space="preserve"> </w:t>
      </w:r>
      <w:r w:rsidRPr="00D4309F">
        <w:t>material</w:t>
      </w:r>
      <w:r w:rsidRPr="00D4309F">
        <w:rPr>
          <w:spacing w:val="-3"/>
        </w:rPr>
        <w:t xml:space="preserve"> </w:t>
      </w:r>
      <w:r w:rsidRPr="00D4309F">
        <w:t>ashore</w:t>
      </w:r>
      <w:r w:rsidRPr="00D4309F">
        <w:rPr>
          <w:spacing w:val="-3"/>
        </w:rPr>
        <w:t xml:space="preserve"> </w:t>
      </w:r>
      <w:r w:rsidRPr="00D4309F">
        <w:t>through</w:t>
      </w:r>
      <w:r w:rsidRPr="00D4309F">
        <w:rPr>
          <w:spacing w:val="-3"/>
        </w:rPr>
        <w:t xml:space="preserve"> </w:t>
      </w:r>
      <w:r w:rsidRPr="00D4309F">
        <w:t>pipelines. It also minimises disturbance to beach users, as works are undertaken offshore rather than</w:t>
      </w:r>
      <w:r w:rsidRPr="00D4309F">
        <w:rPr>
          <w:spacing w:val="-1"/>
        </w:rPr>
        <w:t xml:space="preserve"> </w:t>
      </w:r>
      <w:r w:rsidRPr="00D4309F">
        <w:t>within the active beach area. While sand placed in the nearshore will typically move onshore over time through natural coastal processes, providing a beneficial buffer against storm erosion, it does not provide immediate dry beach nourishment or visible widening. The placement is also not limited to within Area B, as the TSHD could ship to wherever the sand may be needed at the time.</w:t>
      </w:r>
    </w:p>
    <w:p w14:paraId="066694A7" w14:textId="30B01F5D" w:rsidR="00FE6959" w:rsidRPr="00D4309F" w:rsidRDefault="00725977" w:rsidP="00725977">
      <w:pPr>
        <w:pStyle w:val="BodyText"/>
      </w:pPr>
      <w:r w:rsidRPr="00D4309F">
        <w:t>Conversely, for options involving pipeline-based sand transfer systems (e.g. fixed or temporary sand pumping), it has been assumed that sand would be placed directly onto the dry beach. If sand is being actively pumped, it is more beneficial to deliver it directly to the beach to achieve immediate beach nourishment</w:t>
      </w:r>
      <w:r w:rsidRPr="00D4309F">
        <w:rPr>
          <w:spacing w:val="-5"/>
        </w:rPr>
        <w:t xml:space="preserve"> </w:t>
      </w:r>
      <w:r w:rsidRPr="00D4309F">
        <w:t>outcomes</w:t>
      </w:r>
      <w:r w:rsidRPr="00D4309F">
        <w:rPr>
          <w:spacing w:val="-2"/>
        </w:rPr>
        <w:t xml:space="preserve"> </w:t>
      </w:r>
      <w:r w:rsidRPr="00D4309F">
        <w:t>and</w:t>
      </w:r>
      <w:r w:rsidRPr="00D4309F">
        <w:rPr>
          <w:spacing w:val="-3"/>
        </w:rPr>
        <w:t xml:space="preserve"> </w:t>
      </w:r>
      <w:r w:rsidRPr="00D4309F">
        <w:t>enhanced</w:t>
      </w:r>
      <w:r w:rsidRPr="00D4309F">
        <w:rPr>
          <w:spacing w:val="-3"/>
        </w:rPr>
        <w:t xml:space="preserve"> </w:t>
      </w:r>
      <w:r w:rsidRPr="00D4309F">
        <w:t>recreational</w:t>
      </w:r>
      <w:r w:rsidRPr="00D4309F">
        <w:rPr>
          <w:spacing w:val="-3"/>
        </w:rPr>
        <w:t xml:space="preserve"> </w:t>
      </w:r>
      <w:r w:rsidRPr="00D4309F">
        <w:t>and</w:t>
      </w:r>
      <w:r w:rsidRPr="00D4309F">
        <w:rPr>
          <w:spacing w:val="-3"/>
        </w:rPr>
        <w:t xml:space="preserve"> </w:t>
      </w:r>
      <w:r w:rsidRPr="00D4309F">
        <w:t>aesthetic</w:t>
      </w:r>
      <w:r w:rsidRPr="00D4309F">
        <w:rPr>
          <w:spacing w:val="-3"/>
        </w:rPr>
        <w:t xml:space="preserve"> </w:t>
      </w:r>
      <w:r w:rsidRPr="00D4309F">
        <w:t>benefits.</w:t>
      </w:r>
      <w:r w:rsidRPr="00D4309F">
        <w:rPr>
          <w:spacing w:val="-3"/>
        </w:rPr>
        <w:t xml:space="preserve"> </w:t>
      </w:r>
      <w:r w:rsidRPr="00D4309F">
        <w:t>However,</w:t>
      </w:r>
      <w:r w:rsidRPr="00D4309F">
        <w:rPr>
          <w:spacing w:val="-3"/>
        </w:rPr>
        <w:t xml:space="preserve"> </w:t>
      </w:r>
      <w:r w:rsidRPr="00D4309F">
        <w:t>this</w:t>
      </w:r>
      <w:r w:rsidRPr="00D4309F">
        <w:rPr>
          <w:spacing w:val="-2"/>
        </w:rPr>
        <w:t xml:space="preserve"> </w:t>
      </w:r>
      <w:r w:rsidRPr="00D4309F">
        <w:t>method</w:t>
      </w:r>
      <w:r w:rsidRPr="00D4309F">
        <w:rPr>
          <w:spacing w:val="-3"/>
        </w:rPr>
        <w:t xml:space="preserve"> </w:t>
      </w:r>
      <w:r w:rsidRPr="00D4309F">
        <w:t>requires</w:t>
      </w:r>
      <w:r w:rsidRPr="00D4309F">
        <w:rPr>
          <w:spacing w:val="-2"/>
        </w:rPr>
        <w:t xml:space="preserve"> </w:t>
      </w:r>
      <w:r w:rsidRPr="00D4309F">
        <w:t>on-beach machinery (typically an excavator and loader) to distribute and level the placed material, which would result in short-term disruption to beach users during placement operations. These assumptions are applied consistently throughout the option assessments to allow meaningful comparison of costs, environmental effects, and social considerations between dredging-based and pipeline-based systems.</w:t>
      </w:r>
    </w:p>
    <w:p w14:paraId="596FE04C" w14:textId="77777777" w:rsidR="00725977" w:rsidRPr="00D4309F" w:rsidRDefault="00725977" w:rsidP="00815EB3">
      <w:pPr>
        <w:pStyle w:val="Heading3"/>
      </w:pPr>
      <w:bookmarkStart w:id="206" w:name="_Toc216699365"/>
      <w:r w:rsidRPr="00D4309F">
        <w:t>The</w:t>
      </w:r>
      <w:r w:rsidRPr="00D4309F">
        <w:rPr>
          <w:spacing w:val="-3"/>
        </w:rPr>
        <w:t xml:space="preserve"> </w:t>
      </w:r>
      <w:r w:rsidRPr="00D4309F">
        <w:t>existing</w:t>
      </w:r>
      <w:r w:rsidRPr="00D4309F">
        <w:rPr>
          <w:spacing w:val="-4"/>
        </w:rPr>
        <w:t xml:space="preserve"> </w:t>
      </w:r>
      <w:r w:rsidRPr="00D4309F">
        <w:t>pipe</w:t>
      </w:r>
      <w:r w:rsidRPr="00D4309F">
        <w:rPr>
          <w:spacing w:val="-2"/>
        </w:rPr>
        <w:t xml:space="preserve"> network</w:t>
      </w:r>
      <w:bookmarkEnd w:id="206"/>
    </w:p>
    <w:p w14:paraId="33FC9F3F" w14:textId="77777777" w:rsidR="00725977" w:rsidRPr="00D4309F" w:rsidRDefault="00725977" w:rsidP="00725977">
      <w:pPr>
        <w:pStyle w:val="BodyText"/>
      </w:pPr>
      <w:r w:rsidRPr="00D4309F">
        <w:t>A</w:t>
      </w:r>
      <w:r w:rsidRPr="00D4309F">
        <w:rPr>
          <w:spacing w:val="-2"/>
        </w:rPr>
        <w:t xml:space="preserve"> </w:t>
      </w:r>
      <w:r w:rsidRPr="00D4309F">
        <w:t>permanent</w:t>
      </w:r>
      <w:r w:rsidRPr="00D4309F">
        <w:rPr>
          <w:spacing w:val="-3"/>
        </w:rPr>
        <w:t xml:space="preserve"> </w:t>
      </w:r>
      <w:r w:rsidRPr="00D4309F">
        <w:t>pipeline</w:t>
      </w:r>
      <w:r w:rsidRPr="00D4309F">
        <w:rPr>
          <w:spacing w:val="-3"/>
        </w:rPr>
        <w:t xml:space="preserve"> </w:t>
      </w:r>
      <w:r w:rsidRPr="00D4309F">
        <w:t>system</w:t>
      </w:r>
      <w:r w:rsidRPr="00D4309F">
        <w:rPr>
          <w:spacing w:val="-2"/>
        </w:rPr>
        <w:t xml:space="preserve"> </w:t>
      </w:r>
      <w:r w:rsidRPr="00D4309F">
        <w:t>is</w:t>
      </w:r>
      <w:r w:rsidRPr="00D4309F">
        <w:rPr>
          <w:spacing w:val="-2"/>
        </w:rPr>
        <w:t xml:space="preserve"> </w:t>
      </w:r>
      <w:r w:rsidRPr="00D4309F">
        <w:t>already</w:t>
      </w:r>
      <w:r w:rsidRPr="00D4309F">
        <w:rPr>
          <w:spacing w:val="-2"/>
        </w:rPr>
        <w:t xml:space="preserve"> </w:t>
      </w:r>
      <w:r w:rsidRPr="00D4309F">
        <w:t>in</w:t>
      </w:r>
      <w:r w:rsidRPr="00D4309F">
        <w:rPr>
          <w:spacing w:val="-2"/>
        </w:rPr>
        <w:t xml:space="preserve"> </w:t>
      </w:r>
      <w:r w:rsidRPr="00D4309F">
        <w:t>place</w:t>
      </w:r>
      <w:r w:rsidRPr="00D4309F">
        <w:rPr>
          <w:spacing w:val="-3"/>
        </w:rPr>
        <w:t xml:space="preserve"> </w:t>
      </w:r>
      <w:r w:rsidRPr="00D4309F">
        <w:t>within</w:t>
      </w:r>
      <w:r w:rsidRPr="00D4309F">
        <w:rPr>
          <w:spacing w:val="-3"/>
        </w:rPr>
        <w:t xml:space="preserve"> </w:t>
      </w:r>
      <w:r w:rsidRPr="00D4309F">
        <w:t>and</w:t>
      </w:r>
      <w:r w:rsidRPr="00D4309F">
        <w:rPr>
          <w:spacing w:val="-2"/>
        </w:rPr>
        <w:t xml:space="preserve"> </w:t>
      </w:r>
      <w:r w:rsidRPr="00D4309F">
        <w:t>around</w:t>
      </w:r>
      <w:r w:rsidRPr="00D4309F">
        <w:rPr>
          <w:spacing w:val="-3"/>
        </w:rPr>
        <w:t xml:space="preserve"> </w:t>
      </w:r>
      <w:r w:rsidRPr="00D4309F">
        <w:t>the</w:t>
      </w:r>
      <w:r w:rsidRPr="00D4309F">
        <w:rPr>
          <w:spacing w:val="-2"/>
        </w:rPr>
        <w:t xml:space="preserve"> </w:t>
      </w:r>
      <w:r w:rsidRPr="00D4309F">
        <w:t>Mooloolah</w:t>
      </w:r>
      <w:r w:rsidRPr="00D4309F">
        <w:rPr>
          <w:spacing w:val="-3"/>
        </w:rPr>
        <w:t xml:space="preserve"> </w:t>
      </w:r>
      <w:r w:rsidRPr="00D4309F">
        <w:t>River</w:t>
      </w:r>
      <w:r w:rsidRPr="00D4309F">
        <w:rPr>
          <w:spacing w:val="-2"/>
        </w:rPr>
        <w:t xml:space="preserve"> </w:t>
      </w:r>
      <w:r w:rsidRPr="00D4309F">
        <w:t>entrance,</w:t>
      </w:r>
      <w:r w:rsidRPr="00D4309F">
        <w:rPr>
          <w:spacing w:val="-2"/>
        </w:rPr>
        <w:t xml:space="preserve"> </w:t>
      </w:r>
      <w:r w:rsidRPr="00D4309F">
        <w:t>providing established infrastructure for sediment transfer and beach nourishment activities. On both the eastern and western training walls, permanent pipelines are installed internally, including a fixed under-channel section that connects beneath the entrance and enables sand transfer between sides.</w:t>
      </w:r>
    </w:p>
    <w:p w14:paraId="45824695" w14:textId="5B7B0968" w:rsidR="002202F3" w:rsidRPr="00D4309F" w:rsidRDefault="00725977" w:rsidP="002202F3">
      <w:pPr>
        <w:pStyle w:val="BodyText"/>
      </w:pPr>
      <w:r w:rsidRPr="00D4309F">
        <w:t>Along the western side, a buried pipeline runs behind the dunes along Mooloolaba Beach, extending to the area</w:t>
      </w:r>
      <w:r w:rsidRPr="00D4309F">
        <w:rPr>
          <w:spacing w:val="-4"/>
        </w:rPr>
        <w:t xml:space="preserve"> </w:t>
      </w:r>
      <w:r w:rsidRPr="00D4309F">
        <w:t>known</w:t>
      </w:r>
      <w:r w:rsidRPr="00D4309F">
        <w:rPr>
          <w:spacing w:val="-3"/>
        </w:rPr>
        <w:t xml:space="preserve"> </w:t>
      </w:r>
      <w:r w:rsidRPr="00D4309F">
        <w:t>as</w:t>
      </w:r>
      <w:r w:rsidRPr="00D4309F">
        <w:rPr>
          <w:spacing w:val="-2"/>
        </w:rPr>
        <w:t xml:space="preserve"> </w:t>
      </w:r>
      <w:r w:rsidRPr="00D4309F">
        <w:t>the</w:t>
      </w:r>
      <w:r w:rsidRPr="00D4309F">
        <w:rPr>
          <w:spacing w:val="-3"/>
        </w:rPr>
        <w:t xml:space="preserve"> </w:t>
      </w:r>
      <w:r w:rsidRPr="00D4309F">
        <w:t>“cheese</w:t>
      </w:r>
      <w:r w:rsidRPr="00D4309F">
        <w:rPr>
          <w:spacing w:val="-4"/>
        </w:rPr>
        <w:t xml:space="preserve"> </w:t>
      </w:r>
      <w:r w:rsidRPr="00D4309F">
        <w:t>wedge.”</w:t>
      </w:r>
      <w:r w:rsidRPr="00D4309F">
        <w:rPr>
          <w:spacing w:val="-2"/>
        </w:rPr>
        <w:t xml:space="preserve"> </w:t>
      </w:r>
      <w:r w:rsidRPr="00D4309F">
        <w:t>This</w:t>
      </w:r>
      <w:r w:rsidRPr="00D4309F">
        <w:rPr>
          <w:spacing w:val="-3"/>
        </w:rPr>
        <w:t xml:space="preserve"> </w:t>
      </w:r>
      <w:r w:rsidRPr="00D4309F">
        <w:t>line</w:t>
      </w:r>
      <w:r w:rsidRPr="00D4309F">
        <w:rPr>
          <w:spacing w:val="-3"/>
        </w:rPr>
        <w:t xml:space="preserve"> </w:t>
      </w:r>
      <w:r w:rsidRPr="00D4309F">
        <w:t>features</w:t>
      </w:r>
      <w:r w:rsidRPr="00D4309F">
        <w:rPr>
          <w:spacing w:val="-2"/>
        </w:rPr>
        <w:t xml:space="preserve"> </w:t>
      </w:r>
      <w:r w:rsidRPr="00D4309F">
        <w:t>multiple</w:t>
      </w:r>
      <w:r w:rsidRPr="00D4309F">
        <w:rPr>
          <w:spacing w:val="-3"/>
        </w:rPr>
        <w:t xml:space="preserve"> </w:t>
      </w:r>
      <w:r w:rsidRPr="00D4309F">
        <w:t>outlets</w:t>
      </w:r>
      <w:r w:rsidRPr="00D4309F">
        <w:rPr>
          <w:spacing w:val="-2"/>
        </w:rPr>
        <w:t xml:space="preserve"> </w:t>
      </w:r>
      <w:r w:rsidRPr="00D4309F">
        <w:t>points</w:t>
      </w:r>
      <w:r w:rsidRPr="00D4309F">
        <w:rPr>
          <w:spacing w:val="-2"/>
        </w:rPr>
        <w:t xml:space="preserve"> </w:t>
      </w:r>
      <w:r w:rsidRPr="00D4309F">
        <w:t>to</w:t>
      </w:r>
      <w:r w:rsidRPr="00D4309F">
        <w:rPr>
          <w:spacing w:val="-3"/>
        </w:rPr>
        <w:t xml:space="preserve"> </w:t>
      </w:r>
      <w:r w:rsidRPr="00D4309F">
        <w:t>allow</w:t>
      </w:r>
      <w:r w:rsidRPr="00D4309F">
        <w:rPr>
          <w:spacing w:val="-2"/>
        </w:rPr>
        <w:t xml:space="preserve"> </w:t>
      </w:r>
      <w:r w:rsidRPr="00D4309F">
        <w:t>flexible</w:t>
      </w:r>
      <w:r w:rsidRPr="00D4309F">
        <w:rPr>
          <w:spacing w:val="-3"/>
        </w:rPr>
        <w:t xml:space="preserve"> </w:t>
      </w:r>
      <w:r w:rsidRPr="00D4309F">
        <w:t>sand</w:t>
      </w:r>
      <w:r w:rsidRPr="00D4309F">
        <w:rPr>
          <w:spacing w:val="-3"/>
        </w:rPr>
        <w:t xml:space="preserve"> </w:t>
      </w:r>
      <w:r w:rsidRPr="00D4309F">
        <w:t>placement along the beach. During recent dredging campaigns, this system has been extended temporarily, using a</w:t>
      </w:r>
      <w:r w:rsidR="002202F3" w:rsidRPr="002202F3">
        <w:t xml:space="preserve"> </w:t>
      </w:r>
      <w:r w:rsidR="002202F3" w:rsidRPr="00D4309F">
        <w:t>booster</w:t>
      </w:r>
      <w:r w:rsidR="002202F3" w:rsidRPr="00D4309F">
        <w:rPr>
          <w:spacing w:val="-2"/>
        </w:rPr>
        <w:t xml:space="preserve"> </w:t>
      </w:r>
      <w:r w:rsidR="002202F3" w:rsidRPr="00D4309F">
        <w:t>pump</w:t>
      </w:r>
      <w:r w:rsidR="002202F3" w:rsidRPr="00D4309F">
        <w:rPr>
          <w:spacing w:val="-4"/>
        </w:rPr>
        <w:t xml:space="preserve"> </w:t>
      </w:r>
      <w:r w:rsidR="002202F3" w:rsidRPr="00D4309F">
        <w:t>in</w:t>
      </w:r>
      <w:r w:rsidR="002202F3" w:rsidRPr="00D4309F">
        <w:rPr>
          <w:spacing w:val="-3"/>
        </w:rPr>
        <w:t xml:space="preserve"> </w:t>
      </w:r>
      <w:r w:rsidR="002202F3" w:rsidRPr="00D4309F">
        <w:t>collaboration</w:t>
      </w:r>
      <w:r w:rsidR="002202F3" w:rsidRPr="00D4309F">
        <w:rPr>
          <w:spacing w:val="-3"/>
        </w:rPr>
        <w:t xml:space="preserve"> </w:t>
      </w:r>
      <w:r w:rsidR="002202F3" w:rsidRPr="00D4309F">
        <w:t>with</w:t>
      </w:r>
      <w:r w:rsidR="002202F3" w:rsidRPr="00D4309F">
        <w:rPr>
          <w:spacing w:val="-3"/>
        </w:rPr>
        <w:t xml:space="preserve"> </w:t>
      </w:r>
      <w:r w:rsidR="002202F3" w:rsidRPr="00D4309F">
        <w:t>Sunshine</w:t>
      </w:r>
      <w:r w:rsidR="002202F3" w:rsidRPr="00D4309F">
        <w:rPr>
          <w:spacing w:val="-3"/>
        </w:rPr>
        <w:t xml:space="preserve"> </w:t>
      </w:r>
      <w:r w:rsidR="002202F3" w:rsidRPr="00D4309F">
        <w:t>Coast</w:t>
      </w:r>
      <w:r w:rsidR="002202F3" w:rsidRPr="00D4309F">
        <w:rPr>
          <w:spacing w:val="-3"/>
        </w:rPr>
        <w:t xml:space="preserve"> </w:t>
      </w:r>
      <w:r w:rsidR="002202F3" w:rsidRPr="00D4309F">
        <w:t>Council,</w:t>
      </w:r>
      <w:r w:rsidR="002202F3" w:rsidRPr="00D4309F">
        <w:rPr>
          <w:spacing w:val="-3"/>
        </w:rPr>
        <w:t xml:space="preserve"> </w:t>
      </w:r>
      <w:r w:rsidR="002202F3" w:rsidRPr="00D4309F">
        <w:t>to</w:t>
      </w:r>
      <w:r w:rsidR="002202F3" w:rsidRPr="00D4309F">
        <w:rPr>
          <w:spacing w:val="-3"/>
        </w:rPr>
        <w:t xml:space="preserve"> </w:t>
      </w:r>
      <w:r w:rsidR="002202F3" w:rsidRPr="00D4309F">
        <w:t>deliver</w:t>
      </w:r>
      <w:r w:rsidR="002202F3" w:rsidRPr="00D4309F">
        <w:rPr>
          <w:spacing w:val="-4"/>
        </w:rPr>
        <w:t xml:space="preserve"> </w:t>
      </w:r>
      <w:r w:rsidR="002202F3" w:rsidRPr="00D4309F">
        <w:t>sand</w:t>
      </w:r>
      <w:r w:rsidR="002202F3" w:rsidRPr="00D4309F">
        <w:rPr>
          <w:spacing w:val="-3"/>
        </w:rPr>
        <w:t xml:space="preserve"> </w:t>
      </w:r>
      <w:r w:rsidR="002202F3" w:rsidRPr="00D4309F">
        <w:t>further</w:t>
      </w:r>
      <w:r w:rsidR="002202F3" w:rsidRPr="00D4309F">
        <w:rPr>
          <w:spacing w:val="-2"/>
        </w:rPr>
        <w:t xml:space="preserve"> </w:t>
      </w:r>
      <w:r w:rsidR="002202F3" w:rsidRPr="00D4309F">
        <w:t>east</w:t>
      </w:r>
      <w:r w:rsidR="002202F3" w:rsidRPr="00D4309F">
        <w:rPr>
          <w:spacing w:val="-3"/>
        </w:rPr>
        <w:t xml:space="preserve"> </w:t>
      </w:r>
      <w:r w:rsidR="002202F3" w:rsidRPr="00D4309F">
        <w:t>toward</w:t>
      </w:r>
      <w:r w:rsidR="002202F3" w:rsidRPr="00D4309F">
        <w:rPr>
          <w:spacing w:val="-3"/>
        </w:rPr>
        <w:t xml:space="preserve"> </w:t>
      </w:r>
      <w:r w:rsidR="002202F3" w:rsidRPr="00D4309F">
        <w:t>the</w:t>
      </w:r>
      <w:r w:rsidR="002202F3" w:rsidRPr="00D4309F">
        <w:rPr>
          <w:spacing w:val="-3"/>
        </w:rPr>
        <w:t xml:space="preserve"> </w:t>
      </w:r>
      <w:r w:rsidR="002202F3" w:rsidRPr="00D4309F">
        <w:t>surf</w:t>
      </w:r>
      <w:r w:rsidR="002202F3" w:rsidRPr="00D4309F">
        <w:rPr>
          <w:spacing w:val="-3"/>
        </w:rPr>
        <w:t xml:space="preserve"> </w:t>
      </w:r>
      <w:r w:rsidR="002202F3" w:rsidRPr="00D4309F">
        <w:t>club for direct beach nourishment.</w:t>
      </w:r>
    </w:p>
    <w:p w14:paraId="31DA9753" w14:textId="77777777" w:rsidR="002202F3" w:rsidRPr="00D4309F" w:rsidRDefault="002202F3" w:rsidP="002202F3">
      <w:pPr>
        <w:pStyle w:val="BodyText"/>
      </w:pPr>
      <w:r w:rsidRPr="00D4309F">
        <w:t>Historically,</w:t>
      </w:r>
      <w:r w:rsidRPr="00D4309F">
        <w:rPr>
          <w:spacing w:val="-3"/>
        </w:rPr>
        <w:t xml:space="preserve"> </w:t>
      </w:r>
      <w:r w:rsidRPr="00D4309F">
        <w:t>dredged</w:t>
      </w:r>
      <w:r w:rsidRPr="00D4309F">
        <w:rPr>
          <w:spacing w:val="-3"/>
        </w:rPr>
        <w:t xml:space="preserve"> </w:t>
      </w:r>
      <w:r w:rsidRPr="00D4309F">
        <w:t>sand</w:t>
      </w:r>
      <w:r w:rsidRPr="00D4309F">
        <w:rPr>
          <w:spacing w:val="-4"/>
        </w:rPr>
        <w:t xml:space="preserve"> </w:t>
      </w:r>
      <w:r w:rsidRPr="00D4309F">
        <w:t>was</w:t>
      </w:r>
      <w:r w:rsidRPr="00D4309F">
        <w:rPr>
          <w:spacing w:val="-2"/>
        </w:rPr>
        <w:t xml:space="preserve"> </w:t>
      </w:r>
      <w:r w:rsidRPr="00D4309F">
        <w:t>placed</w:t>
      </w:r>
      <w:r w:rsidRPr="00D4309F">
        <w:rPr>
          <w:spacing w:val="-3"/>
        </w:rPr>
        <w:t xml:space="preserve"> </w:t>
      </w:r>
      <w:r w:rsidRPr="00D4309F">
        <w:t>in</w:t>
      </w:r>
      <w:r w:rsidRPr="00D4309F">
        <w:rPr>
          <w:spacing w:val="-4"/>
        </w:rPr>
        <w:t xml:space="preserve"> </w:t>
      </w:r>
      <w:r w:rsidRPr="00D4309F">
        <w:t>the</w:t>
      </w:r>
      <w:r w:rsidRPr="00D4309F">
        <w:rPr>
          <w:spacing w:val="-3"/>
        </w:rPr>
        <w:t xml:space="preserve"> </w:t>
      </w:r>
      <w:r w:rsidRPr="00D4309F">
        <w:t>western</w:t>
      </w:r>
      <w:r w:rsidRPr="00D4309F">
        <w:rPr>
          <w:spacing w:val="-4"/>
        </w:rPr>
        <w:t xml:space="preserve"> </w:t>
      </w:r>
      <w:r w:rsidRPr="00D4309F">
        <w:t>corner</w:t>
      </w:r>
      <w:r w:rsidRPr="00D4309F">
        <w:rPr>
          <w:spacing w:val="-2"/>
        </w:rPr>
        <w:t xml:space="preserve"> </w:t>
      </w:r>
      <w:r w:rsidRPr="00D4309F">
        <w:t>of</w:t>
      </w:r>
      <w:r w:rsidRPr="00D4309F">
        <w:rPr>
          <w:spacing w:val="-3"/>
        </w:rPr>
        <w:t xml:space="preserve"> </w:t>
      </w:r>
      <w:r w:rsidRPr="00D4309F">
        <w:t>the</w:t>
      </w:r>
      <w:r w:rsidRPr="00D4309F">
        <w:rPr>
          <w:spacing w:val="-3"/>
        </w:rPr>
        <w:t xml:space="preserve"> </w:t>
      </w:r>
      <w:r w:rsidRPr="00D4309F">
        <w:t>entrance;</w:t>
      </w:r>
      <w:r w:rsidRPr="00D4309F">
        <w:rPr>
          <w:spacing w:val="-3"/>
        </w:rPr>
        <w:t xml:space="preserve"> </w:t>
      </w:r>
      <w:r w:rsidRPr="00D4309F">
        <w:t>however,</w:t>
      </w:r>
      <w:r w:rsidRPr="00D4309F">
        <w:rPr>
          <w:spacing w:val="-3"/>
        </w:rPr>
        <w:t xml:space="preserve"> </w:t>
      </w:r>
      <w:r w:rsidRPr="00D4309F">
        <w:t>this</w:t>
      </w:r>
      <w:r w:rsidRPr="00D4309F">
        <w:rPr>
          <w:spacing w:val="-2"/>
        </w:rPr>
        <w:t xml:space="preserve"> </w:t>
      </w:r>
      <w:r w:rsidRPr="00D4309F">
        <w:t>is</w:t>
      </w:r>
      <w:r w:rsidRPr="00D4309F">
        <w:rPr>
          <w:spacing w:val="-3"/>
        </w:rPr>
        <w:t xml:space="preserve"> </w:t>
      </w:r>
      <w:r w:rsidRPr="00D4309F">
        <w:t>now</w:t>
      </w:r>
      <w:r w:rsidRPr="00D4309F">
        <w:rPr>
          <w:spacing w:val="-2"/>
        </w:rPr>
        <w:t xml:space="preserve"> </w:t>
      </w:r>
      <w:r w:rsidRPr="00D4309F">
        <w:t>only</w:t>
      </w:r>
      <w:r w:rsidRPr="00D4309F">
        <w:rPr>
          <w:spacing w:val="-2"/>
        </w:rPr>
        <w:t xml:space="preserve"> </w:t>
      </w:r>
      <w:r w:rsidRPr="00D4309F">
        <w:t>used when significant erosion occurs, as the default sand placement area is along Mooloolaba Beach via the established dune-backed pipeline network.</w:t>
      </w:r>
    </w:p>
    <w:p w14:paraId="3FAF9D6C" w14:textId="77777777" w:rsidR="00FE6959" w:rsidRDefault="002202F3" w:rsidP="00CC0B1C">
      <w:pPr>
        <w:pStyle w:val="BodyText"/>
      </w:pPr>
      <w:r w:rsidRPr="00D4309F">
        <w:t>This existing infrastructure provides a strong foundation for integration with future long-term sediment management</w:t>
      </w:r>
      <w:r w:rsidRPr="00D4309F">
        <w:rPr>
          <w:spacing w:val="-4"/>
        </w:rPr>
        <w:t xml:space="preserve"> </w:t>
      </w:r>
      <w:r w:rsidRPr="00D4309F">
        <w:t>options,</w:t>
      </w:r>
      <w:r w:rsidRPr="00D4309F">
        <w:rPr>
          <w:spacing w:val="-4"/>
        </w:rPr>
        <w:t xml:space="preserve"> </w:t>
      </w:r>
      <w:r w:rsidRPr="00D4309F">
        <w:t>particularly</w:t>
      </w:r>
      <w:r w:rsidRPr="00D4309F">
        <w:rPr>
          <w:spacing w:val="-3"/>
        </w:rPr>
        <w:t xml:space="preserve"> </w:t>
      </w:r>
      <w:r w:rsidRPr="00D4309F">
        <w:t>those</w:t>
      </w:r>
      <w:r w:rsidRPr="00D4309F">
        <w:rPr>
          <w:spacing w:val="-5"/>
        </w:rPr>
        <w:t xml:space="preserve"> </w:t>
      </w:r>
      <w:r w:rsidRPr="00D4309F">
        <w:t>that</w:t>
      </w:r>
      <w:r w:rsidRPr="00D4309F">
        <w:rPr>
          <w:spacing w:val="-4"/>
        </w:rPr>
        <w:t xml:space="preserve"> </w:t>
      </w:r>
      <w:r w:rsidRPr="00D4309F">
        <w:t>utilise</w:t>
      </w:r>
      <w:r w:rsidRPr="00D4309F">
        <w:rPr>
          <w:spacing w:val="-4"/>
        </w:rPr>
        <w:t xml:space="preserve"> </w:t>
      </w:r>
      <w:r w:rsidRPr="00D4309F">
        <w:t>on-demand</w:t>
      </w:r>
      <w:r w:rsidRPr="00D4309F">
        <w:rPr>
          <w:spacing w:val="-4"/>
        </w:rPr>
        <w:t xml:space="preserve"> </w:t>
      </w:r>
      <w:r w:rsidRPr="00D4309F">
        <w:t>pumping</w:t>
      </w:r>
      <w:r w:rsidRPr="00D4309F">
        <w:rPr>
          <w:spacing w:val="-4"/>
        </w:rPr>
        <w:t xml:space="preserve"> </w:t>
      </w:r>
      <w:r w:rsidRPr="00D4309F">
        <w:t>or</w:t>
      </w:r>
      <w:r w:rsidRPr="00D4309F">
        <w:rPr>
          <w:spacing w:val="-3"/>
        </w:rPr>
        <w:t xml:space="preserve"> </w:t>
      </w:r>
      <w:r w:rsidRPr="00D4309F">
        <w:t>bypass</w:t>
      </w:r>
      <w:r w:rsidRPr="00D4309F">
        <w:rPr>
          <w:spacing w:val="-3"/>
        </w:rPr>
        <w:t xml:space="preserve"> </w:t>
      </w:r>
      <w:r w:rsidRPr="00D4309F">
        <w:t>systems</w:t>
      </w:r>
      <w:r w:rsidRPr="00D4309F">
        <w:rPr>
          <w:spacing w:val="-3"/>
        </w:rPr>
        <w:t xml:space="preserve"> </w:t>
      </w:r>
      <w:r w:rsidRPr="00D4309F">
        <w:t>to</w:t>
      </w:r>
      <w:r w:rsidRPr="00D4309F">
        <w:rPr>
          <w:spacing w:val="-4"/>
        </w:rPr>
        <w:t xml:space="preserve"> </w:t>
      </w:r>
      <w:r w:rsidRPr="00D4309F">
        <w:t>improve efficiency and flexibility.</w:t>
      </w:r>
    </w:p>
    <w:p w14:paraId="28D54017" w14:textId="28618171" w:rsidR="00725977" w:rsidRDefault="002202F3" w:rsidP="00CC0B1C">
      <w:pPr>
        <w:pStyle w:val="BodyText"/>
        <w:rPr>
          <w:b/>
          <w:color w:val="211E1F"/>
          <w:spacing w:val="59"/>
          <w:sz w:val="18"/>
        </w:rPr>
      </w:pPr>
      <w:r w:rsidRPr="00D4309F">
        <w:rPr>
          <w:noProof/>
        </w:rPr>
        <w:lastRenderedPageBreak/>
        <w:drawing>
          <wp:inline distT="0" distB="0" distL="0" distR="0" wp14:anchorId="0114457A" wp14:editId="0EC041BA">
            <wp:extent cx="6162855" cy="4267200"/>
            <wp:effectExtent l="0" t="0" r="9525" b="0"/>
            <wp:docPr id="108" name="Image 108" descr="Arial image of the Mooloolaba Boat Harbour Entrance, with arrows and captions indicating the existing pipeline network for dredg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descr="Arial image of the Mooloolaba Boat Harbour Entrance, with arrows and captions indicating the existing pipeline network for dredgi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62855" cy="4267200"/>
                    </a:xfrm>
                    <a:prstGeom prst="rect">
                      <a:avLst/>
                    </a:prstGeom>
                  </pic:spPr>
                </pic:pic>
              </a:graphicData>
            </a:graphic>
          </wp:inline>
        </w:drawing>
      </w:r>
    </w:p>
    <w:p w14:paraId="33F230CE" w14:textId="0B97223D" w:rsidR="00B872A7" w:rsidRDefault="00B872A7" w:rsidP="00EF4321">
      <w:pPr>
        <w:pStyle w:val="Caption"/>
      </w:pPr>
      <w:bookmarkStart w:id="207" w:name="_Toc216699610"/>
      <w:r>
        <w:t xml:space="preserve">Figure </w:t>
      </w:r>
      <w:r w:rsidR="00B538D4">
        <w:fldChar w:fldCharType="begin" w:fldLock="1"/>
      </w:r>
      <w:r w:rsidR="00B538D4">
        <w:instrText xml:space="preserve"> STYLEREF 1 \s </w:instrText>
      </w:r>
      <w:r w:rsidR="00B538D4">
        <w:fldChar w:fldCharType="separate"/>
      </w:r>
      <w:r w:rsidR="00B538D4">
        <w:rPr>
          <w:noProof/>
        </w:rPr>
        <w:t>12</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3</w:t>
      </w:r>
      <w:r w:rsidR="00B538D4">
        <w:fldChar w:fldCharType="end"/>
      </w:r>
      <w:r>
        <w:t>:</w:t>
      </w:r>
      <w:r>
        <w:tab/>
      </w:r>
      <w:r w:rsidRPr="00CC0B1C">
        <w:t>Existing pipeline network</w:t>
      </w:r>
      <w:bookmarkEnd w:id="207"/>
    </w:p>
    <w:p w14:paraId="103E633F" w14:textId="77777777" w:rsidR="00FE6959" w:rsidRPr="00FE6959" w:rsidRDefault="00FE6959" w:rsidP="00FE6959">
      <w:pPr>
        <w:pStyle w:val="BodyText"/>
      </w:pPr>
    </w:p>
    <w:p w14:paraId="582E5603" w14:textId="77777777" w:rsidR="00CC0B1C" w:rsidRPr="00D4309F" w:rsidRDefault="00CC0B1C" w:rsidP="00CC0B1C">
      <w:pPr>
        <w:pStyle w:val="Heading3"/>
      </w:pPr>
      <w:bookmarkStart w:id="208" w:name="_Toc216699366"/>
      <w:r w:rsidRPr="00D4309F">
        <w:t>Common</w:t>
      </w:r>
      <w:r w:rsidRPr="00D4309F">
        <w:rPr>
          <w:spacing w:val="-14"/>
        </w:rPr>
        <w:t xml:space="preserve"> </w:t>
      </w:r>
      <w:r w:rsidRPr="00D4309F">
        <w:t>option</w:t>
      </w:r>
      <w:r w:rsidRPr="00D4309F">
        <w:rPr>
          <w:spacing w:val="-14"/>
        </w:rPr>
        <w:t xml:space="preserve"> </w:t>
      </w:r>
      <w:r w:rsidRPr="00D4309F">
        <w:rPr>
          <w:spacing w:val="-2"/>
        </w:rPr>
        <w:t>elements</w:t>
      </w:r>
      <w:bookmarkEnd w:id="208"/>
    </w:p>
    <w:p w14:paraId="6BFA6924" w14:textId="043C2FE6" w:rsidR="00FE6959" w:rsidRPr="00D4309F" w:rsidRDefault="00CC0B1C" w:rsidP="00725977">
      <w:pPr>
        <w:pStyle w:val="BodyText"/>
      </w:pPr>
      <w:r w:rsidRPr="00D4309F">
        <w:t>A</w:t>
      </w:r>
      <w:r w:rsidRPr="00D4309F">
        <w:rPr>
          <w:spacing w:val="-1"/>
        </w:rPr>
        <w:t xml:space="preserve"> </w:t>
      </w:r>
      <w:r w:rsidRPr="00D4309F">
        <w:t>number of</w:t>
      </w:r>
      <w:r w:rsidRPr="00D4309F">
        <w:rPr>
          <w:spacing w:val="-3"/>
        </w:rPr>
        <w:t xml:space="preserve"> </w:t>
      </w:r>
      <w:r w:rsidRPr="00D4309F">
        <w:t>core</w:t>
      </w:r>
      <w:r w:rsidRPr="00D4309F">
        <w:rPr>
          <w:spacing w:val="-1"/>
        </w:rPr>
        <w:t xml:space="preserve"> </w:t>
      </w:r>
      <w:r w:rsidRPr="00D4309F">
        <w:t>components are</w:t>
      </w:r>
      <w:r w:rsidRPr="00D4309F">
        <w:rPr>
          <w:spacing w:val="-1"/>
        </w:rPr>
        <w:t xml:space="preserve"> </w:t>
      </w:r>
      <w:r w:rsidRPr="00D4309F">
        <w:t>common</w:t>
      </w:r>
      <w:r w:rsidRPr="00D4309F">
        <w:rPr>
          <w:spacing w:val="-1"/>
        </w:rPr>
        <w:t xml:space="preserve"> </w:t>
      </w:r>
      <w:r w:rsidRPr="00D4309F">
        <w:t>to</w:t>
      </w:r>
      <w:r w:rsidRPr="00D4309F">
        <w:rPr>
          <w:spacing w:val="-1"/>
        </w:rPr>
        <w:t xml:space="preserve"> </w:t>
      </w:r>
      <w:r w:rsidRPr="00D4309F">
        <w:t>several</w:t>
      </w:r>
      <w:r w:rsidRPr="00D4309F">
        <w:rPr>
          <w:spacing w:val="-1"/>
        </w:rPr>
        <w:t xml:space="preserve"> </w:t>
      </w:r>
      <w:r w:rsidRPr="00D4309F">
        <w:t>of</w:t>
      </w:r>
      <w:r w:rsidRPr="00D4309F">
        <w:rPr>
          <w:spacing w:val="-1"/>
        </w:rPr>
        <w:t xml:space="preserve"> </w:t>
      </w:r>
      <w:r w:rsidRPr="00D4309F">
        <w:t>the</w:t>
      </w:r>
      <w:r w:rsidRPr="00D4309F">
        <w:rPr>
          <w:spacing w:val="-1"/>
        </w:rPr>
        <w:t xml:space="preserve"> </w:t>
      </w:r>
      <w:r w:rsidRPr="00D4309F">
        <w:t>long-term</w:t>
      </w:r>
      <w:r w:rsidRPr="00D4309F">
        <w:rPr>
          <w:spacing w:val="-1"/>
        </w:rPr>
        <w:t xml:space="preserve"> </w:t>
      </w:r>
      <w:r w:rsidRPr="00D4309F">
        <w:t>management</w:t>
      </w:r>
      <w:r w:rsidRPr="00D4309F">
        <w:rPr>
          <w:spacing w:val="-1"/>
        </w:rPr>
        <w:t xml:space="preserve"> </w:t>
      </w:r>
      <w:r w:rsidRPr="00D4309F">
        <w:t>options reviewed</w:t>
      </w:r>
      <w:r w:rsidRPr="00D4309F">
        <w:rPr>
          <w:spacing w:val="-1"/>
        </w:rPr>
        <w:t xml:space="preserve"> </w:t>
      </w:r>
      <w:r w:rsidRPr="00D4309F">
        <w:t>in</w:t>
      </w:r>
      <w:r w:rsidRPr="00D4309F">
        <w:rPr>
          <w:spacing w:val="-1"/>
        </w:rPr>
        <w:t xml:space="preserve"> </w:t>
      </w:r>
      <w:r w:rsidRPr="00D4309F">
        <w:t>this report. These include the use of Cutter Suction Dredges (CSDs) and Trailer Suction Hopper Dredges (TSHDs)</w:t>
      </w:r>
      <w:r w:rsidRPr="00D4309F">
        <w:rPr>
          <w:spacing w:val="-2"/>
        </w:rPr>
        <w:t xml:space="preserve"> </w:t>
      </w:r>
      <w:r w:rsidRPr="00D4309F">
        <w:t>for</w:t>
      </w:r>
      <w:r w:rsidRPr="00D4309F">
        <w:rPr>
          <w:spacing w:val="-4"/>
        </w:rPr>
        <w:t xml:space="preserve"> </w:t>
      </w:r>
      <w:r w:rsidRPr="00D4309F">
        <w:t>sand</w:t>
      </w:r>
      <w:r w:rsidRPr="00D4309F">
        <w:rPr>
          <w:spacing w:val="-3"/>
        </w:rPr>
        <w:t xml:space="preserve"> </w:t>
      </w:r>
      <w:r w:rsidRPr="00D4309F">
        <w:t>collection,</w:t>
      </w:r>
      <w:r w:rsidRPr="00D4309F">
        <w:rPr>
          <w:spacing w:val="-3"/>
        </w:rPr>
        <w:t xml:space="preserve"> </w:t>
      </w:r>
      <w:r w:rsidRPr="00D4309F">
        <w:t>as</w:t>
      </w:r>
      <w:r w:rsidRPr="00D4309F">
        <w:rPr>
          <w:spacing w:val="-2"/>
        </w:rPr>
        <w:t xml:space="preserve"> </w:t>
      </w:r>
      <w:r w:rsidRPr="00D4309F">
        <w:t>well</w:t>
      </w:r>
      <w:r w:rsidRPr="00D4309F">
        <w:rPr>
          <w:spacing w:val="-3"/>
        </w:rPr>
        <w:t xml:space="preserve"> </w:t>
      </w:r>
      <w:r w:rsidRPr="00D4309F">
        <w:t>as</w:t>
      </w:r>
      <w:r w:rsidRPr="00D4309F">
        <w:rPr>
          <w:spacing w:val="-2"/>
        </w:rPr>
        <w:t xml:space="preserve"> </w:t>
      </w:r>
      <w:r w:rsidRPr="00D4309F">
        <w:t>shore-based</w:t>
      </w:r>
      <w:r w:rsidRPr="00D4309F">
        <w:rPr>
          <w:spacing w:val="-3"/>
        </w:rPr>
        <w:t xml:space="preserve"> </w:t>
      </w:r>
      <w:r w:rsidRPr="00D4309F">
        <w:t>pump</w:t>
      </w:r>
      <w:r w:rsidRPr="00D4309F">
        <w:rPr>
          <w:spacing w:val="-3"/>
        </w:rPr>
        <w:t xml:space="preserve"> </w:t>
      </w:r>
      <w:r w:rsidRPr="00D4309F">
        <w:t>stations</w:t>
      </w:r>
      <w:r w:rsidRPr="00D4309F">
        <w:rPr>
          <w:spacing w:val="-3"/>
        </w:rPr>
        <w:t xml:space="preserve"> </w:t>
      </w:r>
      <w:r w:rsidRPr="00D4309F">
        <w:t>and</w:t>
      </w:r>
      <w:r w:rsidRPr="00D4309F">
        <w:rPr>
          <w:spacing w:val="-3"/>
        </w:rPr>
        <w:t xml:space="preserve"> </w:t>
      </w:r>
      <w:r w:rsidRPr="00D4309F">
        <w:t>slurry-pumping</w:t>
      </w:r>
      <w:r w:rsidRPr="00D4309F">
        <w:rPr>
          <w:spacing w:val="-3"/>
        </w:rPr>
        <w:t xml:space="preserve"> </w:t>
      </w:r>
      <w:r w:rsidRPr="00D4309F">
        <w:t>systems</w:t>
      </w:r>
      <w:r w:rsidRPr="00D4309F">
        <w:rPr>
          <w:spacing w:val="-2"/>
        </w:rPr>
        <w:t xml:space="preserve"> </w:t>
      </w:r>
      <w:r w:rsidRPr="00D4309F">
        <w:t>for</w:t>
      </w:r>
      <w:r w:rsidRPr="00D4309F">
        <w:rPr>
          <w:spacing w:val="-2"/>
        </w:rPr>
        <w:t xml:space="preserve"> </w:t>
      </w:r>
      <w:r w:rsidRPr="00D4309F">
        <w:t>sediment transfer. Supporting infrastructure such as buried or floating pipeline networks and beach outlet structures</w:t>
      </w:r>
      <w:r w:rsidRPr="00D4309F">
        <w:rPr>
          <w:spacing w:val="40"/>
        </w:rPr>
        <w:t xml:space="preserve"> </w:t>
      </w:r>
      <w:r w:rsidRPr="00D4309F">
        <w:t>(or diffusers) are also recurring elements.</w:t>
      </w:r>
    </w:p>
    <w:p w14:paraId="77C78D77" w14:textId="77777777" w:rsidR="00725977" w:rsidRPr="00D4309F" w:rsidRDefault="00725977" w:rsidP="00725977">
      <w:pPr>
        <w:pStyle w:val="Heading4"/>
      </w:pPr>
      <w:bookmarkStart w:id="209" w:name="_bookmark90"/>
      <w:bookmarkEnd w:id="209"/>
      <w:r w:rsidRPr="00D4309F">
        <w:t>Cutter</w:t>
      </w:r>
      <w:r w:rsidRPr="00D4309F">
        <w:rPr>
          <w:spacing w:val="-4"/>
        </w:rPr>
        <w:t xml:space="preserve"> </w:t>
      </w:r>
      <w:r w:rsidRPr="00D4309F">
        <w:t>suction</w:t>
      </w:r>
      <w:r w:rsidRPr="00D4309F">
        <w:rPr>
          <w:spacing w:val="-4"/>
        </w:rPr>
        <w:t xml:space="preserve"> </w:t>
      </w:r>
      <w:r w:rsidRPr="00D4309F">
        <w:rPr>
          <w:spacing w:val="-2"/>
        </w:rPr>
        <w:t>dredge</w:t>
      </w:r>
    </w:p>
    <w:p w14:paraId="3D8AFF86" w14:textId="77777777" w:rsidR="00725977" w:rsidRDefault="00725977" w:rsidP="00725977">
      <w:pPr>
        <w:pStyle w:val="BodyText"/>
      </w:pPr>
      <w:r w:rsidRPr="00D4309F">
        <w:t>The Navua Jade Platypus 300 HDDSX Series Cutter Suction Dredge is currently employed at the Mooloolaba Entrance as part of maintenance dredging operations. This dredge plays a critical</w:t>
      </w:r>
      <w:r w:rsidRPr="00D4309F">
        <w:rPr>
          <w:spacing w:val="-3"/>
        </w:rPr>
        <w:t xml:space="preserve"> </w:t>
      </w:r>
      <w:r w:rsidRPr="00D4309F">
        <w:t>role</w:t>
      </w:r>
      <w:r w:rsidRPr="00D4309F">
        <w:rPr>
          <w:spacing w:val="-3"/>
        </w:rPr>
        <w:t xml:space="preserve"> </w:t>
      </w:r>
      <w:r w:rsidRPr="00D4309F">
        <w:t>in</w:t>
      </w:r>
      <w:r w:rsidRPr="00D4309F">
        <w:rPr>
          <w:spacing w:val="-3"/>
        </w:rPr>
        <w:t xml:space="preserve"> </w:t>
      </w:r>
      <w:r w:rsidRPr="00D4309F">
        <w:t>maintaining</w:t>
      </w:r>
      <w:r w:rsidRPr="00D4309F">
        <w:rPr>
          <w:spacing w:val="-3"/>
        </w:rPr>
        <w:t xml:space="preserve"> </w:t>
      </w:r>
      <w:r w:rsidRPr="00D4309F">
        <w:t>safe</w:t>
      </w:r>
      <w:r w:rsidRPr="00D4309F">
        <w:rPr>
          <w:spacing w:val="-3"/>
        </w:rPr>
        <w:t xml:space="preserve"> </w:t>
      </w:r>
      <w:r w:rsidRPr="00D4309F">
        <w:t>navigation</w:t>
      </w:r>
      <w:r w:rsidRPr="00D4309F">
        <w:rPr>
          <w:spacing w:val="-3"/>
        </w:rPr>
        <w:t xml:space="preserve"> </w:t>
      </w:r>
      <w:r w:rsidRPr="00D4309F">
        <w:t>by</w:t>
      </w:r>
      <w:r w:rsidRPr="00D4309F">
        <w:rPr>
          <w:spacing w:val="-2"/>
        </w:rPr>
        <w:t xml:space="preserve"> </w:t>
      </w:r>
      <w:r w:rsidRPr="00D4309F">
        <w:t>removing</w:t>
      </w:r>
      <w:r w:rsidRPr="00D4309F">
        <w:rPr>
          <w:spacing w:val="-3"/>
        </w:rPr>
        <w:t xml:space="preserve"> </w:t>
      </w:r>
      <w:r w:rsidRPr="00D4309F">
        <w:t>sand</w:t>
      </w:r>
      <w:r w:rsidRPr="00D4309F">
        <w:rPr>
          <w:spacing w:val="-3"/>
        </w:rPr>
        <w:t xml:space="preserve"> </w:t>
      </w:r>
      <w:r w:rsidRPr="00D4309F">
        <w:t>shoals</w:t>
      </w:r>
      <w:r w:rsidRPr="00D4309F">
        <w:rPr>
          <w:spacing w:val="-2"/>
        </w:rPr>
        <w:t xml:space="preserve"> </w:t>
      </w:r>
      <w:r w:rsidRPr="00D4309F">
        <w:t>that</w:t>
      </w:r>
      <w:r w:rsidRPr="00D4309F">
        <w:rPr>
          <w:spacing w:val="-3"/>
        </w:rPr>
        <w:t xml:space="preserve"> </w:t>
      </w:r>
      <w:r w:rsidRPr="00D4309F">
        <w:t>accumulate</w:t>
      </w:r>
      <w:r w:rsidRPr="00D4309F">
        <w:rPr>
          <w:spacing w:val="-3"/>
        </w:rPr>
        <w:t xml:space="preserve"> </w:t>
      </w:r>
      <w:r w:rsidRPr="00D4309F">
        <w:t>in</w:t>
      </w:r>
      <w:r w:rsidRPr="00D4309F">
        <w:rPr>
          <w:spacing w:val="-3"/>
        </w:rPr>
        <w:t xml:space="preserve"> </w:t>
      </w:r>
      <w:r w:rsidRPr="00D4309F">
        <w:t>the</w:t>
      </w:r>
      <w:r w:rsidRPr="00D4309F">
        <w:rPr>
          <w:spacing w:val="-3"/>
        </w:rPr>
        <w:t xml:space="preserve"> </w:t>
      </w:r>
      <w:r w:rsidRPr="00D4309F">
        <w:t>entrance</w:t>
      </w:r>
      <w:r w:rsidRPr="00D4309F">
        <w:rPr>
          <w:spacing w:val="-3"/>
        </w:rPr>
        <w:t xml:space="preserve"> </w:t>
      </w:r>
      <w:r w:rsidRPr="00D4309F">
        <w:t>channel. The dredged material is pumped onto Mooloolaba Beach for beach nourishment, helping to counteract coastal erosion and support shoreline stability.</w:t>
      </w:r>
    </w:p>
    <w:p w14:paraId="4B5C9CE8" w14:textId="77777777" w:rsidR="00FE6959" w:rsidRPr="00D4309F" w:rsidRDefault="00FE6959" w:rsidP="00725977">
      <w:pPr>
        <w:pStyle w:val="BodyText"/>
      </w:pPr>
    </w:p>
    <w:p w14:paraId="1D6514E5" w14:textId="77777777" w:rsidR="00CC0B1C" w:rsidRDefault="00CC0B1C" w:rsidP="00CC0B1C">
      <w:pPr>
        <w:keepNext/>
        <w:ind w:left="568"/>
      </w:pPr>
      <w:r w:rsidRPr="00D4309F">
        <w:rPr>
          <w:noProof/>
        </w:rPr>
        <w:lastRenderedPageBreak/>
        <w:drawing>
          <wp:inline distT="0" distB="0" distL="0" distR="0" wp14:anchorId="63AB7F29" wp14:editId="7AF4DC2A">
            <wp:extent cx="5490459" cy="3372707"/>
            <wp:effectExtent l="0" t="0" r="0" b="0"/>
            <wp:docPr id="109" name="Image 109" descr="Image of a dredge working at the Mooloolaba Boat Harbour Entra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descr="Image of a dredge working at the Mooloolaba Boat Harbour Entrance"/>
                    <pic:cNvPicPr/>
                  </pic:nvPicPr>
                  <pic:blipFill>
                    <a:blip r:embed="rId64" cstate="print"/>
                    <a:stretch>
                      <a:fillRect/>
                    </a:stretch>
                  </pic:blipFill>
                  <pic:spPr>
                    <a:xfrm>
                      <a:off x="0" y="0"/>
                      <a:ext cx="5490459" cy="3372707"/>
                    </a:xfrm>
                    <a:prstGeom prst="rect">
                      <a:avLst/>
                    </a:prstGeom>
                  </pic:spPr>
                </pic:pic>
              </a:graphicData>
            </a:graphic>
          </wp:inline>
        </w:drawing>
      </w:r>
    </w:p>
    <w:p w14:paraId="0E2DE750" w14:textId="33824F2D" w:rsidR="00CC0B1C" w:rsidRPr="00D4309F" w:rsidRDefault="00CC0B1C" w:rsidP="00EF4321">
      <w:pPr>
        <w:pStyle w:val="Caption"/>
      </w:pPr>
      <w:bookmarkStart w:id="210" w:name="_Toc216699611"/>
      <w:r>
        <w:t xml:space="preserve">Figure </w:t>
      </w:r>
      <w:r w:rsidR="00B538D4">
        <w:fldChar w:fldCharType="begin" w:fldLock="1"/>
      </w:r>
      <w:r w:rsidR="00B538D4">
        <w:instrText xml:space="preserve"> STYLEREF 1 \s </w:instrText>
      </w:r>
      <w:r w:rsidR="00B538D4">
        <w:fldChar w:fldCharType="separate"/>
      </w:r>
      <w:r w:rsidR="00B538D4">
        <w:rPr>
          <w:noProof/>
        </w:rPr>
        <w:t>12</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4</w:t>
      </w:r>
      <w:r w:rsidR="00B538D4">
        <w:fldChar w:fldCharType="end"/>
      </w:r>
      <w:r>
        <w:t>:</w:t>
      </w:r>
      <w:r>
        <w:tab/>
      </w:r>
      <w:r w:rsidRPr="00CC0B1C">
        <w:t>Cutter Suction Dredge – Navua Jade Platypus removing shoal build up in Mooloolaba channel entrance (Halls, 2025)</w:t>
      </w:r>
      <w:bookmarkEnd w:id="210"/>
    </w:p>
    <w:p w14:paraId="28ABB8CE" w14:textId="77777777" w:rsidR="00CC0B1C" w:rsidRDefault="00CC0B1C" w:rsidP="00CC0B1C">
      <w:pPr>
        <w:pStyle w:val="BodyText"/>
      </w:pPr>
    </w:p>
    <w:p w14:paraId="7884D9C8" w14:textId="06488F3D" w:rsidR="00CC0B1C" w:rsidRPr="00D4309F" w:rsidRDefault="00CC0B1C" w:rsidP="00CC0B1C">
      <w:pPr>
        <w:pStyle w:val="BodyText"/>
      </w:pPr>
      <w:r w:rsidRPr="00D4309F">
        <w:t>The</w:t>
      </w:r>
      <w:r w:rsidRPr="00D4309F">
        <w:rPr>
          <w:spacing w:val="-3"/>
        </w:rPr>
        <w:t xml:space="preserve"> </w:t>
      </w:r>
      <w:r w:rsidRPr="00D4309F">
        <w:t>cutter</w:t>
      </w:r>
      <w:r w:rsidRPr="00D4309F">
        <w:rPr>
          <w:spacing w:val="-2"/>
        </w:rPr>
        <w:t xml:space="preserve"> </w:t>
      </w:r>
      <w:r w:rsidRPr="00D4309F">
        <w:t>suction</w:t>
      </w:r>
      <w:r w:rsidRPr="00D4309F">
        <w:rPr>
          <w:spacing w:val="-3"/>
        </w:rPr>
        <w:t xml:space="preserve"> </w:t>
      </w:r>
      <w:r w:rsidRPr="00D4309F">
        <w:t>dredge</w:t>
      </w:r>
      <w:r w:rsidRPr="00D4309F">
        <w:rPr>
          <w:spacing w:val="-3"/>
        </w:rPr>
        <w:t xml:space="preserve"> </w:t>
      </w:r>
      <w:r w:rsidRPr="00D4309F">
        <w:t>(CSD)</w:t>
      </w:r>
      <w:r w:rsidRPr="00D4309F">
        <w:rPr>
          <w:spacing w:val="-2"/>
        </w:rPr>
        <w:t xml:space="preserve"> </w:t>
      </w:r>
      <w:r w:rsidRPr="00D4309F">
        <w:t>is</w:t>
      </w:r>
      <w:r w:rsidRPr="00D4309F">
        <w:rPr>
          <w:spacing w:val="-2"/>
        </w:rPr>
        <w:t xml:space="preserve"> </w:t>
      </w:r>
      <w:r w:rsidRPr="00D4309F">
        <w:t>a</w:t>
      </w:r>
      <w:r w:rsidRPr="00D4309F">
        <w:rPr>
          <w:spacing w:val="-3"/>
        </w:rPr>
        <w:t xml:space="preserve"> </w:t>
      </w:r>
      <w:r w:rsidRPr="00D4309F">
        <w:t>floating</w:t>
      </w:r>
      <w:r w:rsidRPr="00D4309F">
        <w:rPr>
          <w:spacing w:val="-3"/>
        </w:rPr>
        <w:t xml:space="preserve"> </w:t>
      </w:r>
      <w:r w:rsidRPr="00D4309F">
        <w:t>mechanical</w:t>
      </w:r>
      <w:r w:rsidRPr="00D4309F">
        <w:rPr>
          <w:spacing w:val="-3"/>
        </w:rPr>
        <w:t xml:space="preserve"> </w:t>
      </w:r>
      <w:r w:rsidRPr="00D4309F">
        <w:t>dredge</w:t>
      </w:r>
      <w:r w:rsidRPr="00D4309F">
        <w:rPr>
          <w:spacing w:val="-3"/>
        </w:rPr>
        <w:t xml:space="preserve"> </w:t>
      </w:r>
      <w:r w:rsidRPr="00D4309F">
        <w:t>designed</w:t>
      </w:r>
      <w:r w:rsidRPr="00D4309F">
        <w:rPr>
          <w:spacing w:val="-3"/>
        </w:rPr>
        <w:t xml:space="preserve"> </w:t>
      </w:r>
      <w:r w:rsidRPr="00D4309F">
        <w:t>to</w:t>
      </w:r>
      <w:r w:rsidRPr="00D4309F">
        <w:rPr>
          <w:spacing w:val="-3"/>
        </w:rPr>
        <w:t xml:space="preserve"> </w:t>
      </w:r>
      <w:r w:rsidRPr="00D4309F">
        <w:t>excavate</w:t>
      </w:r>
      <w:r w:rsidRPr="00D4309F">
        <w:rPr>
          <w:spacing w:val="-3"/>
        </w:rPr>
        <w:t xml:space="preserve"> </w:t>
      </w:r>
      <w:r w:rsidRPr="00D4309F">
        <w:t>compacted</w:t>
      </w:r>
      <w:r w:rsidRPr="00D4309F">
        <w:rPr>
          <w:spacing w:val="-4"/>
        </w:rPr>
        <w:t xml:space="preserve"> </w:t>
      </w:r>
      <w:r w:rsidRPr="00D4309F">
        <w:t>sand</w:t>
      </w:r>
      <w:r w:rsidRPr="00D4309F">
        <w:rPr>
          <w:spacing w:val="-3"/>
        </w:rPr>
        <w:t xml:space="preserve"> </w:t>
      </w:r>
      <w:r w:rsidRPr="00D4309F">
        <w:t>and pump it via the existing pipeline at the entrance to the designated placement areas. It is currently used for:</w:t>
      </w:r>
    </w:p>
    <w:p w14:paraId="1BA3C52B" w14:textId="77777777" w:rsidR="00CC0B1C" w:rsidRPr="00D4309F" w:rsidRDefault="00CC0B1C" w:rsidP="00CC0B1C">
      <w:pPr>
        <w:pStyle w:val="ListBullet"/>
      </w:pPr>
      <w:r w:rsidRPr="00D4309F">
        <w:rPr>
          <w:spacing w:val="-3"/>
        </w:rPr>
        <w:t xml:space="preserve">Maintenance </w:t>
      </w:r>
      <w:r w:rsidRPr="00D4309F">
        <w:t>dredging</w:t>
      </w:r>
      <w:r w:rsidRPr="00D4309F">
        <w:rPr>
          <w:spacing w:val="-3"/>
        </w:rPr>
        <w:t xml:space="preserve"> </w:t>
      </w:r>
      <w:r w:rsidRPr="00D4309F">
        <w:t>following</w:t>
      </w:r>
      <w:r w:rsidRPr="00D4309F">
        <w:rPr>
          <w:spacing w:val="-3"/>
        </w:rPr>
        <w:t xml:space="preserve"> </w:t>
      </w:r>
      <w:r w:rsidRPr="00D4309F">
        <w:t>significant</w:t>
      </w:r>
      <w:r w:rsidRPr="00D4309F">
        <w:rPr>
          <w:spacing w:val="-3"/>
        </w:rPr>
        <w:t xml:space="preserve"> </w:t>
      </w:r>
      <w:r w:rsidRPr="00D4309F">
        <w:t>shoaling</w:t>
      </w:r>
      <w:r w:rsidRPr="00D4309F">
        <w:rPr>
          <w:spacing w:val="-3"/>
        </w:rPr>
        <w:t xml:space="preserve"> </w:t>
      </w:r>
      <w:r w:rsidRPr="00D4309F">
        <w:t>events,</w:t>
      </w:r>
      <w:r w:rsidRPr="00D4309F">
        <w:rPr>
          <w:spacing w:val="-3"/>
        </w:rPr>
        <w:t xml:space="preserve"> </w:t>
      </w:r>
      <w:r w:rsidRPr="00D4309F">
        <w:t>such</w:t>
      </w:r>
      <w:r w:rsidRPr="00D4309F">
        <w:rPr>
          <w:spacing w:val="-3"/>
        </w:rPr>
        <w:t xml:space="preserve"> </w:t>
      </w:r>
      <w:r w:rsidRPr="00D4309F">
        <w:t>as</w:t>
      </w:r>
      <w:r w:rsidRPr="00D4309F">
        <w:rPr>
          <w:spacing w:val="-2"/>
        </w:rPr>
        <w:t xml:space="preserve"> </w:t>
      </w:r>
      <w:r w:rsidRPr="00D4309F">
        <w:t>those</w:t>
      </w:r>
      <w:r w:rsidRPr="00D4309F">
        <w:rPr>
          <w:spacing w:val="-3"/>
        </w:rPr>
        <w:t xml:space="preserve"> </w:t>
      </w:r>
      <w:r w:rsidRPr="00D4309F">
        <w:t>observed</w:t>
      </w:r>
      <w:r w:rsidRPr="00D4309F">
        <w:rPr>
          <w:spacing w:val="-4"/>
        </w:rPr>
        <w:t xml:space="preserve"> </w:t>
      </w:r>
      <w:r w:rsidRPr="00D4309F">
        <w:t>during</w:t>
      </w:r>
      <w:r w:rsidRPr="00D4309F">
        <w:rPr>
          <w:spacing w:val="-3"/>
        </w:rPr>
        <w:t xml:space="preserve"> </w:t>
      </w:r>
      <w:r w:rsidRPr="00D4309F">
        <w:t>the</w:t>
      </w:r>
      <w:r w:rsidRPr="00D4309F">
        <w:rPr>
          <w:spacing w:val="-4"/>
        </w:rPr>
        <w:t xml:space="preserve"> </w:t>
      </w:r>
      <w:r w:rsidRPr="00D4309F">
        <w:t>Western Channel Trial.</w:t>
      </w:r>
    </w:p>
    <w:p w14:paraId="7B63DC8D" w14:textId="007AB24C" w:rsidR="00FE6959" w:rsidRPr="00D4309F" w:rsidRDefault="00CC0B1C" w:rsidP="00CC0B1C">
      <w:pPr>
        <w:pStyle w:val="BodyText"/>
      </w:pPr>
      <w:r w:rsidRPr="00D4309F">
        <w:t>Mobilisation of the dredge is managed through local contractors (Hall Contracting) and is dependent on equipment and crew availability. The CSD has proven effective for shallow sand removal, but operational constraints</w:t>
      </w:r>
      <w:r w:rsidRPr="00D4309F">
        <w:rPr>
          <w:spacing w:val="-2"/>
        </w:rPr>
        <w:t xml:space="preserve"> </w:t>
      </w:r>
      <w:r w:rsidRPr="00D4309F">
        <w:t>limit</w:t>
      </w:r>
      <w:r w:rsidRPr="00D4309F">
        <w:rPr>
          <w:spacing w:val="-3"/>
        </w:rPr>
        <w:t xml:space="preserve"> </w:t>
      </w:r>
      <w:r w:rsidRPr="00D4309F">
        <w:t>its</w:t>
      </w:r>
      <w:r w:rsidRPr="00D4309F">
        <w:rPr>
          <w:spacing w:val="-2"/>
        </w:rPr>
        <w:t xml:space="preserve"> </w:t>
      </w:r>
      <w:r w:rsidRPr="00D4309F">
        <w:t>efficiency</w:t>
      </w:r>
      <w:r w:rsidRPr="00D4309F">
        <w:rPr>
          <w:spacing w:val="-4"/>
        </w:rPr>
        <w:t xml:space="preserve"> </w:t>
      </w:r>
      <w:r w:rsidRPr="00D4309F">
        <w:t>(weather</w:t>
      </w:r>
      <w:r w:rsidRPr="00D4309F">
        <w:rPr>
          <w:spacing w:val="-2"/>
        </w:rPr>
        <w:t xml:space="preserve"> </w:t>
      </w:r>
      <w:r w:rsidRPr="00D4309F">
        <w:t>dependency,</w:t>
      </w:r>
      <w:r w:rsidRPr="00D4309F">
        <w:rPr>
          <w:spacing w:val="-4"/>
        </w:rPr>
        <w:t xml:space="preserve"> </w:t>
      </w:r>
      <w:r w:rsidRPr="00D4309F">
        <w:t>rapid</w:t>
      </w:r>
      <w:r w:rsidRPr="00D4309F">
        <w:rPr>
          <w:spacing w:val="-3"/>
        </w:rPr>
        <w:t xml:space="preserve"> </w:t>
      </w:r>
      <w:r w:rsidRPr="00D4309F">
        <w:t>shoaling,</w:t>
      </w:r>
      <w:r w:rsidRPr="00D4309F">
        <w:rPr>
          <w:spacing w:val="-4"/>
        </w:rPr>
        <w:t xml:space="preserve"> </w:t>
      </w:r>
      <w:r w:rsidRPr="00D4309F">
        <w:t>mobilisation</w:t>
      </w:r>
      <w:r w:rsidRPr="00D4309F">
        <w:rPr>
          <w:spacing w:val="-4"/>
        </w:rPr>
        <w:t xml:space="preserve"> </w:t>
      </w:r>
      <w:r w:rsidRPr="00D4309F">
        <w:t>delays</w:t>
      </w:r>
      <w:r w:rsidRPr="00D4309F">
        <w:rPr>
          <w:spacing w:val="-3"/>
        </w:rPr>
        <w:t xml:space="preserve"> </w:t>
      </w:r>
      <w:r w:rsidRPr="00D4309F">
        <w:t>depth</w:t>
      </w:r>
      <w:r w:rsidRPr="00D4309F">
        <w:rPr>
          <w:spacing w:val="-4"/>
        </w:rPr>
        <w:t xml:space="preserve"> </w:t>
      </w:r>
      <w:r w:rsidRPr="00D4309F">
        <w:t>limitations</w:t>
      </w:r>
      <w:r w:rsidRPr="00D4309F">
        <w:rPr>
          <w:spacing w:val="-3"/>
        </w:rPr>
        <w:t xml:space="preserve"> </w:t>
      </w:r>
      <w:r w:rsidRPr="00D4309F">
        <w:t>and regulatory limits).</w:t>
      </w:r>
    </w:p>
    <w:p w14:paraId="79A6ACFA" w14:textId="606F17DD" w:rsidR="00725977" w:rsidRPr="00D4309F" w:rsidRDefault="00725977" w:rsidP="00725977">
      <w:pPr>
        <w:pStyle w:val="Heading4"/>
      </w:pPr>
      <w:r w:rsidRPr="00D4309F">
        <w:t>Trailing</w:t>
      </w:r>
      <w:r w:rsidRPr="00D4309F">
        <w:rPr>
          <w:spacing w:val="-5"/>
        </w:rPr>
        <w:t xml:space="preserve"> </w:t>
      </w:r>
      <w:r w:rsidRPr="00D4309F">
        <w:t>Suction</w:t>
      </w:r>
      <w:r w:rsidRPr="00D4309F">
        <w:rPr>
          <w:spacing w:val="-4"/>
        </w:rPr>
        <w:t xml:space="preserve"> </w:t>
      </w:r>
      <w:r w:rsidRPr="00D4309F">
        <w:t>Hopper</w:t>
      </w:r>
      <w:r w:rsidRPr="00D4309F">
        <w:rPr>
          <w:spacing w:val="-4"/>
        </w:rPr>
        <w:t xml:space="preserve"> </w:t>
      </w:r>
      <w:r w:rsidRPr="00D4309F">
        <w:rPr>
          <w:spacing w:val="-2"/>
        </w:rPr>
        <w:t>Dredge</w:t>
      </w:r>
    </w:p>
    <w:p w14:paraId="0A46DA3A" w14:textId="77777777" w:rsidR="00725977" w:rsidRDefault="00725977" w:rsidP="00725977">
      <w:pPr>
        <w:pStyle w:val="BodyText"/>
      </w:pPr>
      <w:r w:rsidRPr="00D4309F">
        <w:t>A</w:t>
      </w:r>
      <w:r w:rsidRPr="00D4309F">
        <w:rPr>
          <w:spacing w:val="-3"/>
        </w:rPr>
        <w:t xml:space="preserve"> </w:t>
      </w:r>
      <w:r w:rsidRPr="00D4309F">
        <w:t>Trailing</w:t>
      </w:r>
      <w:r w:rsidRPr="00D4309F">
        <w:rPr>
          <w:spacing w:val="-3"/>
        </w:rPr>
        <w:t xml:space="preserve"> </w:t>
      </w:r>
      <w:r w:rsidRPr="00D4309F">
        <w:t>Suction</w:t>
      </w:r>
      <w:r w:rsidRPr="00D4309F">
        <w:rPr>
          <w:spacing w:val="-3"/>
        </w:rPr>
        <w:t xml:space="preserve"> </w:t>
      </w:r>
      <w:r w:rsidRPr="00D4309F">
        <w:t>Hopper</w:t>
      </w:r>
      <w:r w:rsidRPr="00D4309F">
        <w:rPr>
          <w:spacing w:val="-4"/>
        </w:rPr>
        <w:t xml:space="preserve"> </w:t>
      </w:r>
      <w:r w:rsidRPr="00D4309F">
        <w:t>Dredge</w:t>
      </w:r>
      <w:r w:rsidRPr="00D4309F">
        <w:rPr>
          <w:spacing w:val="-4"/>
        </w:rPr>
        <w:t xml:space="preserve"> </w:t>
      </w:r>
      <w:r w:rsidRPr="00D4309F">
        <w:t>(TSHD)</w:t>
      </w:r>
      <w:r w:rsidRPr="00D4309F">
        <w:rPr>
          <w:spacing w:val="-2"/>
        </w:rPr>
        <w:t xml:space="preserve"> </w:t>
      </w:r>
      <w:r w:rsidRPr="00D4309F">
        <w:t>is</w:t>
      </w:r>
      <w:r w:rsidRPr="00D4309F">
        <w:rPr>
          <w:spacing w:val="-2"/>
        </w:rPr>
        <w:t xml:space="preserve"> </w:t>
      </w:r>
      <w:r w:rsidRPr="00D4309F">
        <w:t>a</w:t>
      </w:r>
      <w:r w:rsidRPr="00D4309F">
        <w:rPr>
          <w:spacing w:val="-4"/>
        </w:rPr>
        <w:t xml:space="preserve"> </w:t>
      </w:r>
      <w:r w:rsidRPr="00D4309F">
        <w:t>self-propelled</w:t>
      </w:r>
      <w:r w:rsidRPr="00D4309F">
        <w:rPr>
          <w:spacing w:val="-3"/>
        </w:rPr>
        <w:t xml:space="preserve"> </w:t>
      </w:r>
      <w:r w:rsidRPr="00D4309F">
        <w:t>dredging</w:t>
      </w:r>
      <w:r w:rsidRPr="00D4309F">
        <w:rPr>
          <w:spacing w:val="-3"/>
        </w:rPr>
        <w:t xml:space="preserve"> </w:t>
      </w:r>
      <w:r w:rsidRPr="00D4309F">
        <w:t>vessel</w:t>
      </w:r>
      <w:r w:rsidRPr="00D4309F">
        <w:rPr>
          <w:spacing w:val="-3"/>
        </w:rPr>
        <w:t xml:space="preserve"> </w:t>
      </w:r>
      <w:r w:rsidRPr="00D4309F">
        <w:t>that</w:t>
      </w:r>
      <w:r w:rsidRPr="00D4309F">
        <w:rPr>
          <w:spacing w:val="-3"/>
        </w:rPr>
        <w:t xml:space="preserve"> </w:t>
      </w:r>
      <w:r w:rsidRPr="00D4309F">
        <w:t>collects</w:t>
      </w:r>
      <w:r w:rsidRPr="00D4309F">
        <w:rPr>
          <w:spacing w:val="-2"/>
        </w:rPr>
        <w:t xml:space="preserve"> </w:t>
      </w:r>
      <w:r w:rsidRPr="00D4309F">
        <w:t>sediment</w:t>
      </w:r>
      <w:r w:rsidRPr="00D4309F">
        <w:rPr>
          <w:spacing w:val="-3"/>
        </w:rPr>
        <w:t xml:space="preserve"> </w:t>
      </w:r>
      <w:r w:rsidRPr="00D4309F">
        <w:t>through trailing suction pipes equipped with drag heads. The dredged material is stored in an onboard hopper and later discharged either offshore or through controlled placement methods such as pumping or rainbowing. TSHDs are designed for efficient large-scale dredging and can operate in moderate sea conditions, making them suitable for broader coastal and channel maintenance works.</w:t>
      </w:r>
    </w:p>
    <w:p w14:paraId="4637209A" w14:textId="77777777" w:rsidR="00FE6959" w:rsidRPr="00D4309F" w:rsidRDefault="00FE6959" w:rsidP="00725977">
      <w:pPr>
        <w:pStyle w:val="BodyText"/>
      </w:pPr>
    </w:p>
    <w:p w14:paraId="02BDB889" w14:textId="77777777" w:rsidR="00BD46A3" w:rsidRDefault="00725977" w:rsidP="00BD46A3">
      <w:pPr>
        <w:keepNext/>
        <w:ind w:left="568"/>
      </w:pPr>
      <w:r w:rsidRPr="00D4309F">
        <w:rPr>
          <w:noProof/>
        </w:rPr>
        <w:lastRenderedPageBreak/>
        <mc:AlternateContent>
          <mc:Choice Requires="wpg">
            <w:drawing>
              <wp:inline distT="0" distB="0" distL="0" distR="0" wp14:anchorId="3A103171" wp14:editId="57BD3CF9">
                <wp:extent cx="5871845" cy="1906270"/>
                <wp:effectExtent l="0" t="0" r="0" b="8255"/>
                <wp:docPr id="110" name="Group 110" descr="Two images here, side by side. The left image is showing a McQuade Marine TSHD Bottom dumping in the ocean. The right image is showing rainbowing TSHD on the Gold coast Nearshor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1845" cy="1906270"/>
                          <a:chOff x="0" y="0"/>
                          <a:chExt cx="5871845" cy="1906270"/>
                        </a:xfrm>
                      </wpg:grpSpPr>
                      <pic:pic xmlns:pic="http://schemas.openxmlformats.org/drawingml/2006/picture">
                        <pic:nvPicPr>
                          <pic:cNvPr id="111" name="Image 111"/>
                          <pic:cNvPicPr/>
                        </pic:nvPicPr>
                        <pic:blipFill>
                          <a:blip r:embed="rId65" cstate="print"/>
                          <a:stretch>
                            <a:fillRect/>
                          </a:stretch>
                        </pic:blipFill>
                        <pic:spPr>
                          <a:xfrm>
                            <a:off x="0" y="0"/>
                            <a:ext cx="2857182" cy="1906143"/>
                          </a:xfrm>
                          <a:prstGeom prst="rect">
                            <a:avLst/>
                          </a:prstGeom>
                        </pic:spPr>
                      </pic:pic>
                      <pic:pic xmlns:pic="http://schemas.openxmlformats.org/drawingml/2006/picture">
                        <pic:nvPicPr>
                          <pic:cNvPr id="112" name="Image 112" descr="A boat in the water  AI-generated content may be incorrect. "/>
                          <pic:cNvPicPr/>
                        </pic:nvPicPr>
                        <pic:blipFill>
                          <a:blip r:embed="rId66" cstate="print"/>
                          <a:stretch>
                            <a:fillRect/>
                          </a:stretch>
                        </pic:blipFill>
                        <pic:spPr>
                          <a:xfrm>
                            <a:off x="2892784" y="20205"/>
                            <a:ext cx="2978781" cy="1885899"/>
                          </a:xfrm>
                          <a:prstGeom prst="rect">
                            <a:avLst/>
                          </a:prstGeom>
                        </pic:spPr>
                      </pic:pic>
                    </wpg:wgp>
                  </a:graphicData>
                </a:graphic>
              </wp:inline>
            </w:drawing>
          </mc:Choice>
          <mc:Fallback>
            <w:pict>
              <v:group w14:anchorId="2FC1B72A" id="Group 110" o:spid="_x0000_s1026" alt="Two images here, side by side. The left image is showing a McQuade Marine TSHD Bottom dumping in the ocean. The right image is showing rainbowing TSHD on the Gold coast Nearshore. " style="width:462.35pt;height:150.1pt;mso-position-horizontal-relative:char;mso-position-vertical-relative:line" coordsize="58718,190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">
                <v:shape id="Image 111" o:spid="_x0000_s1027" type="#_x0000_t75" style="position:absolute;width:28571;height:19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">
                  <v:imagedata r:id="rId67" o:title=""/>
                </v:shape>
                <v:shape id="Image 112" o:spid="_x0000_s1028" type="#_x0000_t75" alt="A boat in the water  AI-generated content may be incorrect. " style="position:absolute;left:28927;top:202;width:29788;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">
                  <v:imagedata r:id="rId68" o:title="A boat in the water  AI-generated content may be incorrect"/>
                </v:shape>
                <w10:anchorlock/>
              </v:group>
            </w:pict>
          </mc:Fallback>
        </mc:AlternateContent>
      </w:r>
    </w:p>
    <w:p w14:paraId="49B2F79A" w14:textId="7CC89B10" w:rsidR="00725977" w:rsidRDefault="00BD46A3" w:rsidP="00EF4321">
      <w:pPr>
        <w:pStyle w:val="Caption"/>
        <w:rPr>
          <w:color w:val="211E1F"/>
        </w:rPr>
      </w:pPr>
      <w:bookmarkStart w:id="211" w:name="_Toc216699612"/>
      <w:r>
        <w:t xml:space="preserve">Figure </w:t>
      </w:r>
      <w:r w:rsidR="00B538D4">
        <w:fldChar w:fldCharType="begin" w:fldLock="1"/>
      </w:r>
      <w:r w:rsidR="00B538D4">
        <w:instrText xml:space="preserve"> STYLEREF 1 \s </w:instrText>
      </w:r>
      <w:r w:rsidR="00B538D4">
        <w:fldChar w:fldCharType="separate"/>
      </w:r>
      <w:r w:rsidR="00B538D4">
        <w:rPr>
          <w:noProof/>
        </w:rPr>
        <w:t>12</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5</w:t>
      </w:r>
      <w:r w:rsidR="00B538D4">
        <w:fldChar w:fldCharType="end"/>
      </w:r>
      <w:r>
        <w:t>:</w:t>
      </w:r>
      <w:r>
        <w:tab/>
      </w:r>
      <w:r w:rsidRPr="00D4309F">
        <w:rPr>
          <w:color w:val="211E1F"/>
        </w:rPr>
        <w:t>Left</w:t>
      </w:r>
      <w:r w:rsidRPr="00D4309F">
        <w:rPr>
          <w:color w:val="211E1F"/>
          <w:spacing w:val="-2"/>
        </w:rPr>
        <w:t xml:space="preserve"> </w:t>
      </w:r>
      <w:r w:rsidRPr="00D4309F">
        <w:rPr>
          <w:color w:val="211E1F"/>
        </w:rPr>
        <w:t>McQuade</w:t>
      </w:r>
      <w:r w:rsidRPr="00D4309F">
        <w:rPr>
          <w:color w:val="211E1F"/>
          <w:spacing w:val="-3"/>
        </w:rPr>
        <w:t xml:space="preserve"> </w:t>
      </w:r>
      <w:r w:rsidRPr="00D4309F">
        <w:rPr>
          <w:color w:val="211E1F"/>
        </w:rPr>
        <w:t>Marine</w:t>
      </w:r>
      <w:r w:rsidRPr="00D4309F">
        <w:rPr>
          <w:color w:val="211E1F"/>
          <w:spacing w:val="-4"/>
        </w:rPr>
        <w:t xml:space="preserve"> </w:t>
      </w:r>
      <w:r w:rsidRPr="00D4309F">
        <w:rPr>
          <w:color w:val="211E1F"/>
        </w:rPr>
        <w:t>TSHD</w:t>
      </w:r>
      <w:r w:rsidRPr="00D4309F">
        <w:rPr>
          <w:color w:val="211E1F"/>
          <w:spacing w:val="-2"/>
        </w:rPr>
        <w:t xml:space="preserve"> </w:t>
      </w:r>
      <w:r w:rsidRPr="00D4309F">
        <w:rPr>
          <w:color w:val="211E1F"/>
        </w:rPr>
        <w:t>Bottom</w:t>
      </w:r>
      <w:r w:rsidRPr="00D4309F">
        <w:rPr>
          <w:color w:val="211E1F"/>
          <w:spacing w:val="-3"/>
        </w:rPr>
        <w:t xml:space="preserve"> </w:t>
      </w:r>
      <w:r w:rsidRPr="00D4309F">
        <w:rPr>
          <w:color w:val="211E1F"/>
        </w:rPr>
        <w:t>Dumping</w:t>
      </w:r>
      <w:r w:rsidRPr="00D4309F">
        <w:rPr>
          <w:color w:val="211E1F"/>
          <w:spacing w:val="-2"/>
        </w:rPr>
        <w:t xml:space="preserve"> </w:t>
      </w:r>
      <w:r w:rsidRPr="00D4309F">
        <w:rPr>
          <w:color w:val="211E1F"/>
        </w:rPr>
        <w:t>(Mcquade</w:t>
      </w:r>
      <w:r w:rsidRPr="00D4309F">
        <w:rPr>
          <w:color w:val="211E1F"/>
          <w:spacing w:val="-4"/>
        </w:rPr>
        <w:t xml:space="preserve"> </w:t>
      </w:r>
      <w:r w:rsidRPr="00D4309F">
        <w:rPr>
          <w:color w:val="211E1F"/>
        </w:rPr>
        <w:t>Marine,</w:t>
      </w:r>
      <w:r w:rsidRPr="00D4309F">
        <w:rPr>
          <w:color w:val="211E1F"/>
          <w:spacing w:val="-2"/>
        </w:rPr>
        <w:t xml:space="preserve"> </w:t>
      </w:r>
      <w:r w:rsidRPr="00D4309F">
        <w:rPr>
          <w:color w:val="211E1F"/>
        </w:rPr>
        <w:t>2024).</w:t>
      </w:r>
      <w:r w:rsidRPr="00D4309F">
        <w:rPr>
          <w:color w:val="211E1F"/>
          <w:spacing w:val="-1"/>
        </w:rPr>
        <w:t xml:space="preserve"> </w:t>
      </w:r>
      <w:r w:rsidRPr="00D4309F">
        <w:rPr>
          <w:color w:val="211E1F"/>
        </w:rPr>
        <w:t>Right:</w:t>
      </w:r>
      <w:r w:rsidRPr="00D4309F">
        <w:rPr>
          <w:color w:val="211E1F"/>
          <w:spacing w:val="-3"/>
        </w:rPr>
        <w:t xml:space="preserve"> </w:t>
      </w:r>
      <w:r w:rsidRPr="00D4309F">
        <w:rPr>
          <w:color w:val="211E1F"/>
        </w:rPr>
        <w:t>Rhode</w:t>
      </w:r>
      <w:r w:rsidRPr="00D4309F">
        <w:rPr>
          <w:color w:val="211E1F"/>
          <w:spacing w:val="-4"/>
        </w:rPr>
        <w:t xml:space="preserve"> </w:t>
      </w:r>
      <w:r w:rsidRPr="00D4309F">
        <w:rPr>
          <w:color w:val="211E1F"/>
        </w:rPr>
        <w:t>Nielsen Rainbowing TSHD onto the Gold Coast Nearshore (RN, 2025)</w:t>
      </w:r>
      <w:bookmarkEnd w:id="211"/>
    </w:p>
    <w:p w14:paraId="02847038" w14:textId="77777777" w:rsidR="00FE6959" w:rsidRPr="00FE6959" w:rsidRDefault="00FE6959" w:rsidP="00FE6959">
      <w:pPr>
        <w:pStyle w:val="BodyText"/>
      </w:pPr>
    </w:p>
    <w:p w14:paraId="135ED788" w14:textId="77777777" w:rsidR="00725977" w:rsidRPr="00D4309F" w:rsidRDefault="00725977" w:rsidP="00725977">
      <w:pPr>
        <w:pStyle w:val="BodyText"/>
      </w:pPr>
      <w:bookmarkStart w:id="212" w:name="_bookmark92"/>
      <w:bookmarkEnd w:id="212"/>
      <w:r w:rsidRPr="00D4309F">
        <w:t>Within</w:t>
      </w:r>
      <w:r w:rsidRPr="00D4309F">
        <w:rPr>
          <w:spacing w:val="-6"/>
        </w:rPr>
        <w:t xml:space="preserve"> </w:t>
      </w:r>
      <w:r w:rsidRPr="00D4309F">
        <w:t>the</w:t>
      </w:r>
      <w:r w:rsidRPr="00D4309F">
        <w:rPr>
          <w:spacing w:val="-4"/>
        </w:rPr>
        <w:t xml:space="preserve"> </w:t>
      </w:r>
      <w:r w:rsidRPr="00D4309F">
        <w:t>local</w:t>
      </w:r>
      <w:r w:rsidRPr="00D4309F">
        <w:rPr>
          <w:spacing w:val="-4"/>
        </w:rPr>
        <w:t xml:space="preserve"> </w:t>
      </w:r>
      <w:r w:rsidRPr="00D4309F">
        <w:t>region,</w:t>
      </w:r>
      <w:r w:rsidRPr="00D4309F">
        <w:rPr>
          <w:spacing w:val="-4"/>
        </w:rPr>
        <w:t xml:space="preserve"> </w:t>
      </w:r>
      <w:r w:rsidRPr="00D4309F">
        <w:t>two</w:t>
      </w:r>
      <w:r w:rsidRPr="00D4309F">
        <w:rPr>
          <w:spacing w:val="-5"/>
        </w:rPr>
        <w:t xml:space="preserve"> </w:t>
      </w:r>
      <w:r w:rsidRPr="00D4309F">
        <w:t>primary</w:t>
      </w:r>
      <w:r w:rsidRPr="00D4309F">
        <w:rPr>
          <w:spacing w:val="-3"/>
        </w:rPr>
        <w:t xml:space="preserve"> </w:t>
      </w:r>
      <w:r w:rsidRPr="00D4309F">
        <w:t>operators</w:t>
      </w:r>
      <w:r w:rsidRPr="00D4309F">
        <w:rPr>
          <w:spacing w:val="-3"/>
        </w:rPr>
        <w:t xml:space="preserve"> </w:t>
      </w:r>
      <w:r w:rsidRPr="00D4309F">
        <w:t>provide</w:t>
      </w:r>
      <w:r w:rsidRPr="00D4309F">
        <w:rPr>
          <w:spacing w:val="-4"/>
        </w:rPr>
        <w:t xml:space="preserve"> </w:t>
      </w:r>
      <w:r w:rsidRPr="00D4309F">
        <w:t>TSHD</w:t>
      </w:r>
      <w:r w:rsidRPr="00D4309F">
        <w:rPr>
          <w:spacing w:val="-5"/>
        </w:rPr>
        <w:t xml:space="preserve"> </w:t>
      </w:r>
      <w:r w:rsidRPr="00D4309F">
        <w:t>services</w:t>
      </w:r>
      <w:r w:rsidRPr="00D4309F">
        <w:rPr>
          <w:spacing w:val="-4"/>
        </w:rPr>
        <w:t xml:space="preserve"> </w:t>
      </w:r>
      <w:r w:rsidRPr="00D4309F">
        <w:t>—</w:t>
      </w:r>
      <w:r w:rsidRPr="00D4309F">
        <w:rPr>
          <w:spacing w:val="-4"/>
        </w:rPr>
        <w:t xml:space="preserve"> </w:t>
      </w:r>
      <w:r w:rsidRPr="00D4309F">
        <w:t>McQuade</w:t>
      </w:r>
      <w:r w:rsidRPr="00D4309F">
        <w:rPr>
          <w:spacing w:val="-4"/>
        </w:rPr>
        <w:t xml:space="preserve"> </w:t>
      </w:r>
      <w:r w:rsidRPr="00D4309F">
        <w:t>Marine</w:t>
      </w:r>
      <w:r w:rsidRPr="00D4309F">
        <w:rPr>
          <w:spacing w:val="-4"/>
        </w:rPr>
        <w:t xml:space="preserve"> </w:t>
      </w:r>
      <w:r w:rsidRPr="00D4309F">
        <w:t>and</w:t>
      </w:r>
      <w:r w:rsidRPr="00D4309F">
        <w:rPr>
          <w:spacing w:val="-4"/>
        </w:rPr>
        <w:t xml:space="preserve"> </w:t>
      </w:r>
      <w:r w:rsidRPr="00D4309F">
        <w:t>RN</w:t>
      </w:r>
      <w:r w:rsidRPr="00D4309F">
        <w:rPr>
          <w:spacing w:val="-4"/>
        </w:rPr>
        <w:t xml:space="preserve"> </w:t>
      </w:r>
      <w:r w:rsidRPr="00D4309F">
        <w:rPr>
          <w:spacing w:val="-2"/>
        </w:rPr>
        <w:t>Dredging.</w:t>
      </w:r>
    </w:p>
    <w:p w14:paraId="387F30C8" w14:textId="77777777" w:rsidR="00725977" w:rsidRPr="00D4309F" w:rsidRDefault="00725977" w:rsidP="006156B6">
      <w:pPr>
        <w:pStyle w:val="ListBullet"/>
      </w:pPr>
      <w:r w:rsidRPr="00D4309F">
        <w:t>McQuade Marine operates a Trailing Suction Hopper Dredge, which is well-suited for maintenance dredging and offshore sand relocation. Their vessels are capable of operating in more energetic sea states</w:t>
      </w:r>
      <w:r w:rsidRPr="00D4309F">
        <w:rPr>
          <w:spacing w:val="-2"/>
        </w:rPr>
        <w:t xml:space="preserve"> </w:t>
      </w:r>
      <w:r w:rsidRPr="00D4309F">
        <w:t>than</w:t>
      </w:r>
      <w:r w:rsidRPr="00D4309F">
        <w:rPr>
          <w:spacing w:val="-3"/>
        </w:rPr>
        <w:t xml:space="preserve"> </w:t>
      </w:r>
      <w:r w:rsidRPr="00D4309F">
        <w:t>smaller</w:t>
      </w:r>
      <w:r w:rsidRPr="00D4309F">
        <w:rPr>
          <w:spacing w:val="-2"/>
        </w:rPr>
        <w:t xml:space="preserve"> </w:t>
      </w:r>
      <w:r w:rsidRPr="00D4309F">
        <w:t>dredging</w:t>
      </w:r>
      <w:r w:rsidRPr="00D4309F">
        <w:rPr>
          <w:spacing w:val="-3"/>
        </w:rPr>
        <w:t xml:space="preserve"> </w:t>
      </w:r>
      <w:r w:rsidRPr="00D4309F">
        <w:t>units</w:t>
      </w:r>
      <w:r w:rsidRPr="00D4309F">
        <w:rPr>
          <w:spacing w:val="-2"/>
        </w:rPr>
        <w:t xml:space="preserve"> </w:t>
      </w:r>
      <w:r w:rsidRPr="00D4309F">
        <w:t>and</w:t>
      </w:r>
      <w:r w:rsidRPr="00D4309F">
        <w:rPr>
          <w:spacing w:val="-4"/>
        </w:rPr>
        <w:t xml:space="preserve"> </w:t>
      </w:r>
      <w:r w:rsidRPr="00D4309F">
        <w:t>can</w:t>
      </w:r>
      <w:r w:rsidRPr="00D4309F">
        <w:rPr>
          <w:spacing w:val="-3"/>
        </w:rPr>
        <w:t xml:space="preserve"> </w:t>
      </w:r>
      <w:r w:rsidRPr="00D4309F">
        <w:t>remove</w:t>
      </w:r>
      <w:r w:rsidRPr="00D4309F">
        <w:rPr>
          <w:spacing w:val="-3"/>
        </w:rPr>
        <w:t xml:space="preserve"> </w:t>
      </w:r>
      <w:r w:rsidRPr="00D4309F">
        <w:t>and</w:t>
      </w:r>
      <w:r w:rsidRPr="00D4309F">
        <w:rPr>
          <w:spacing w:val="-3"/>
        </w:rPr>
        <w:t xml:space="preserve"> </w:t>
      </w:r>
      <w:r w:rsidRPr="00D4309F">
        <w:t>transport</w:t>
      </w:r>
      <w:r w:rsidRPr="00D4309F">
        <w:rPr>
          <w:spacing w:val="-3"/>
        </w:rPr>
        <w:t xml:space="preserve"> </w:t>
      </w:r>
      <w:r w:rsidRPr="00D4309F">
        <w:t>large</w:t>
      </w:r>
      <w:r w:rsidRPr="00D4309F">
        <w:rPr>
          <w:spacing w:val="-4"/>
        </w:rPr>
        <w:t xml:space="preserve"> </w:t>
      </w:r>
      <w:r w:rsidRPr="00D4309F">
        <w:t>volumes</w:t>
      </w:r>
      <w:r w:rsidRPr="00D4309F">
        <w:rPr>
          <w:spacing w:val="-3"/>
        </w:rPr>
        <w:t xml:space="preserve"> </w:t>
      </w:r>
      <w:r w:rsidRPr="00D4309F">
        <w:t>of</w:t>
      </w:r>
      <w:r w:rsidRPr="00D4309F">
        <w:rPr>
          <w:spacing w:val="-3"/>
        </w:rPr>
        <w:t xml:space="preserve"> </w:t>
      </w:r>
      <w:r w:rsidRPr="00D4309F">
        <w:t>sediment</w:t>
      </w:r>
      <w:r w:rsidRPr="00D4309F">
        <w:rPr>
          <w:spacing w:val="-5"/>
        </w:rPr>
        <w:t xml:space="preserve"> </w:t>
      </w:r>
      <w:r w:rsidRPr="00D4309F">
        <w:t>efficiently over longer distances.</w:t>
      </w:r>
    </w:p>
    <w:p w14:paraId="027F413A" w14:textId="77777777" w:rsidR="00725977" w:rsidRPr="00D4309F" w:rsidRDefault="00725977" w:rsidP="006156B6">
      <w:pPr>
        <w:pStyle w:val="ListBullet"/>
      </w:pPr>
      <w:r w:rsidRPr="00D4309F">
        <w:t>RN Dredging offers specialised rainbowing capabilities, which allow dredged sand to be directly discharged to the nearshore via rainbowing of material. This technique is particularly useful for beach nourishment</w:t>
      </w:r>
      <w:r w:rsidRPr="00D4309F">
        <w:rPr>
          <w:spacing w:val="-5"/>
        </w:rPr>
        <w:t xml:space="preserve"> </w:t>
      </w:r>
      <w:r w:rsidRPr="00D4309F">
        <w:t>and</w:t>
      </w:r>
      <w:r w:rsidRPr="00D4309F">
        <w:rPr>
          <w:spacing w:val="-3"/>
        </w:rPr>
        <w:t xml:space="preserve"> </w:t>
      </w:r>
      <w:r w:rsidRPr="00D4309F">
        <w:t>coastal</w:t>
      </w:r>
      <w:r w:rsidRPr="00D4309F">
        <w:rPr>
          <w:spacing w:val="-3"/>
        </w:rPr>
        <w:t xml:space="preserve"> </w:t>
      </w:r>
      <w:r w:rsidRPr="00D4309F">
        <w:t>protection</w:t>
      </w:r>
      <w:r w:rsidRPr="00D4309F">
        <w:rPr>
          <w:spacing w:val="-3"/>
        </w:rPr>
        <w:t xml:space="preserve"> </w:t>
      </w:r>
      <w:r w:rsidRPr="00D4309F">
        <w:t>projects,</w:t>
      </w:r>
      <w:r w:rsidRPr="00D4309F">
        <w:rPr>
          <w:spacing w:val="-3"/>
        </w:rPr>
        <w:t xml:space="preserve"> </w:t>
      </w:r>
      <w:r w:rsidRPr="00D4309F">
        <w:t>enabling</w:t>
      </w:r>
      <w:r w:rsidRPr="00D4309F">
        <w:rPr>
          <w:spacing w:val="-3"/>
        </w:rPr>
        <w:t xml:space="preserve"> </w:t>
      </w:r>
      <w:r w:rsidRPr="00D4309F">
        <w:t>precise</w:t>
      </w:r>
      <w:r w:rsidRPr="00D4309F">
        <w:rPr>
          <w:spacing w:val="-3"/>
        </w:rPr>
        <w:t xml:space="preserve"> </w:t>
      </w:r>
      <w:r w:rsidRPr="00D4309F">
        <w:t>placement</w:t>
      </w:r>
      <w:r w:rsidRPr="00D4309F">
        <w:rPr>
          <w:spacing w:val="-3"/>
        </w:rPr>
        <w:t xml:space="preserve"> </w:t>
      </w:r>
      <w:r w:rsidRPr="00D4309F">
        <w:t>of</w:t>
      </w:r>
      <w:r w:rsidRPr="00D4309F">
        <w:rPr>
          <w:spacing w:val="-3"/>
        </w:rPr>
        <w:t xml:space="preserve"> </w:t>
      </w:r>
      <w:r w:rsidRPr="00D4309F">
        <w:t>sand</w:t>
      </w:r>
      <w:r w:rsidRPr="00D4309F">
        <w:rPr>
          <w:spacing w:val="-3"/>
        </w:rPr>
        <w:t xml:space="preserve"> </w:t>
      </w:r>
      <w:r w:rsidRPr="00D4309F">
        <w:t>along</w:t>
      </w:r>
      <w:r w:rsidRPr="00D4309F">
        <w:rPr>
          <w:spacing w:val="-3"/>
        </w:rPr>
        <w:t xml:space="preserve"> </w:t>
      </w:r>
      <w:r w:rsidRPr="00D4309F">
        <w:t>the</w:t>
      </w:r>
      <w:r w:rsidRPr="00D4309F">
        <w:rPr>
          <w:spacing w:val="-3"/>
        </w:rPr>
        <w:t xml:space="preserve"> </w:t>
      </w:r>
      <w:r w:rsidRPr="00D4309F">
        <w:t>foreshore</w:t>
      </w:r>
      <w:r w:rsidRPr="00D4309F">
        <w:rPr>
          <w:spacing w:val="-4"/>
        </w:rPr>
        <w:t xml:space="preserve"> </w:t>
      </w:r>
      <w:r w:rsidRPr="00D4309F">
        <w:t>to naturally drift onshore.</w:t>
      </w:r>
    </w:p>
    <w:p w14:paraId="348A5218" w14:textId="77777777" w:rsidR="00B872A7" w:rsidRDefault="00B872A7" w:rsidP="00725977">
      <w:pPr>
        <w:pStyle w:val="BodyText"/>
      </w:pPr>
    </w:p>
    <w:p w14:paraId="44D0D5D7" w14:textId="43266F58" w:rsidR="00B872A7" w:rsidRDefault="00725977" w:rsidP="00725977">
      <w:pPr>
        <w:pStyle w:val="BodyText"/>
      </w:pPr>
      <w:r w:rsidRPr="00D4309F">
        <w:rPr>
          <w:noProof/>
        </w:rPr>
        <w:drawing>
          <wp:inline distT="0" distB="0" distL="0" distR="0" wp14:anchorId="78D0D1CD" wp14:editId="779E6F53">
            <wp:extent cx="6047527" cy="2828544"/>
            <wp:effectExtent l="0" t="0" r="0" b="0"/>
            <wp:docPr id="113" name="Image 113" descr="Image is a graph of the Schematic showing Indicative Dredge Accessibility [Distorted Scale 1V:20H] for a typical Gold Coast beach profil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descr="Image is a graph of the Schematic showing Indicative Dredge Accessibility [Distorted Scale 1V:20H] for a typical Gold Coast beach profile "/>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047527" cy="2828544"/>
                    </a:xfrm>
                    <a:prstGeom prst="rect">
                      <a:avLst/>
                    </a:prstGeom>
                  </pic:spPr>
                </pic:pic>
              </a:graphicData>
            </a:graphic>
          </wp:inline>
        </w:drawing>
      </w:r>
    </w:p>
    <w:p w14:paraId="404F6F83" w14:textId="452076C7" w:rsidR="00D3074A" w:rsidRPr="00004866" w:rsidRDefault="00D3074A" w:rsidP="00EF4321">
      <w:pPr>
        <w:pStyle w:val="Caption"/>
        <w:rPr>
          <w:noProof/>
          <w:color w:val="221E1F"/>
          <w:sz w:val="20"/>
        </w:rPr>
      </w:pPr>
      <w:bookmarkStart w:id="213" w:name="_Toc216699613"/>
      <w:r>
        <w:t xml:space="preserve">Figure </w:t>
      </w:r>
      <w:r w:rsidR="00B538D4">
        <w:fldChar w:fldCharType="begin" w:fldLock="1"/>
      </w:r>
      <w:r w:rsidR="00B538D4">
        <w:instrText xml:space="preserve"> STYLEREF 1 \s </w:instrText>
      </w:r>
      <w:r w:rsidR="00B538D4">
        <w:fldChar w:fldCharType="separate"/>
      </w:r>
      <w:r w:rsidR="00B538D4">
        <w:rPr>
          <w:noProof/>
        </w:rPr>
        <w:t>12</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6</w:t>
      </w:r>
      <w:r w:rsidR="00B538D4">
        <w:fldChar w:fldCharType="end"/>
      </w:r>
      <w:r>
        <w:t>:</w:t>
      </w:r>
      <w:r>
        <w:tab/>
      </w:r>
      <w:r w:rsidRPr="00BD46A3">
        <w:t>Schematic showing Indicative Dredge Accessibility [Distorted Scale 1V:20H] for a typical Gold Coast beach profile (ICM, 2017)</w:t>
      </w:r>
      <w:bookmarkEnd w:id="213"/>
    </w:p>
    <w:p w14:paraId="37A14135" w14:textId="77777777" w:rsidR="00D3074A" w:rsidRDefault="00D3074A" w:rsidP="00725977">
      <w:pPr>
        <w:pStyle w:val="BodyText"/>
      </w:pPr>
    </w:p>
    <w:p w14:paraId="593883A3" w14:textId="482EC1E2" w:rsidR="00725977" w:rsidRPr="00BD46A3" w:rsidRDefault="00725977" w:rsidP="00725977">
      <w:pPr>
        <w:pStyle w:val="BodyText"/>
        <w:rPr>
          <w:b/>
          <w:sz w:val="18"/>
        </w:rPr>
      </w:pPr>
      <w:r w:rsidRPr="00D4309F">
        <w:t>Together,</w:t>
      </w:r>
      <w:r w:rsidRPr="00D4309F">
        <w:rPr>
          <w:spacing w:val="-3"/>
        </w:rPr>
        <w:t xml:space="preserve"> </w:t>
      </w:r>
      <w:r w:rsidRPr="00D4309F">
        <w:t>these</w:t>
      </w:r>
      <w:r w:rsidRPr="00D4309F">
        <w:rPr>
          <w:spacing w:val="-3"/>
        </w:rPr>
        <w:t xml:space="preserve"> </w:t>
      </w:r>
      <w:r w:rsidRPr="00D4309F">
        <w:t>contractors</w:t>
      </w:r>
      <w:r w:rsidRPr="00D4309F">
        <w:rPr>
          <w:spacing w:val="-2"/>
        </w:rPr>
        <w:t xml:space="preserve"> </w:t>
      </w:r>
      <w:r w:rsidRPr="00D4309F">
        <w:t>provide</w:t>
      </w:r>
      <w:r w:rsidRPr="00D4309F">
        <w:rPr>
          <w:spacing w:val="-3"/>
        </w:rPr>
        <w:t xml:space="preserve"> </w:t>
      </w:r>
      <w:r w:rsidRPr="00D4309F">
        <w:t>flexibility</w:t>
      </w:r>
      <w:r w:rsidRPr="00D4309F">
        <w:rPr>
          <w:spacing w:val="-2"/>
        </w:rPr>
        <w:t xml:space="preserve"> </w:t>
      </w:r>
      <w:r w:rsidRPr="00D4309F">
        <w:t>for</w:t>
      </w:r>
      <w:r w:rsidRPr="00D4309F">
        <w:rPr>
          <w:spacing w:val="-2"/>
        </w:rPr>
        <w:t xml:space="preserve"> </w:t>
      </w:r>
      <w:r w:rsidRPr="00D4309F">
        <w:t>a</w:t>
      </w:r>
      <w:r w:rsidRPr="00D4309F">
        <w:rPr>
          <w:spacing w:val="-3"/>
        </w:rPr>
        <w:t xml:space="preserve"> </w:t>
      </w:r>
      <w:r w:rsidRPr="00D4309F">
        <w:t>range</w:t>
      </w:r>
      <w:r w:rsidRPr="00D4309F">
        <w:rPr>
          <w:spacing w:val="-3"/>
        </w:rPr>
        <w:t xml:space="preserve"> </w:t>
      </w:r>
      <w:r w:rsidRPr="00D4309F">
        <w:t>of</w:t>
      </w:r>
      <w:r w:rsidRPr="00D4309F">
        <w:rPr>
          <w:spacing w:val="-3"/>
        </w:rPr>
        <w:t xml:space="preserve"> </w:t>
      </w:r>
      <w:r w:rsidRPr="00D4309F">
        <w:t>dredging</w:t>
      </w:r>
      <w:r w:rsidRPr="00D4309F">
        <w:rPr>
          <w:spacing w:val="-3"/>
        </w:rPr>
        <w:t xml:space="preserve"> </w:t>
      </w:r>
      <w:r w:rsidRPr="00D4309F">
        <w:t>tasks,</w:t>
      </w:r>
      <w:r w:rsidRPr="00D4309F">
        <w:rPr>
          <w:spacing w:val="-3"/>
        </w:rPr>
        <w:t xml:space="preserve"> </w:t>
      </w:r>
      <w:r w:rsidRPr="00D4309F">
        <w:t>from</w:t>
      </w:r>
      <w:r w:rsidRPr="00D4309F">
        <w:rPr>
          <w:spacing w:val="-4"/>
        </w:rPr>
        <w:t xml:space="preserve"> </w:t>
      </w:r>
      <w:r w:rsidRPr="00D4309F">
        <w:t>channel</w:t>
      </w:r>
      <w:r w:rsidRPr="00D4309F">
        <w:rPr>
          <w:spacing w:val="-3"/>
        </w:rPr>
        <w:t xml:space="preserve"> </w:t>
      </w:r>
      <w:r w:rsidRPr="00D4309F">
        <w:t>deepening</w:t>
      </w:r>
      <w:r w:rsidRPr="00D4309F">
        <w:rPr>
          <w:spacing w:val="-3"/>
        </w:rPr>
        <w:t xml:space="preserve"> </w:t>
      </w:r>
      <w:r w:rsidRPr="00D4309F">
        <w:t>and sand removal to beach replenishment and coastal restoration.</w:t>
      </w:r>
    </w:p>
    <w:p w14:paraId="681EDC67" w14:textId="77777777" w:rsidR="00725977" w:rsidRPr="00D4309F" w:rsidRDefault="00725977" w:rsidP="00725977">
      <w:pPr>
        <w:pStyle w:val="BodyText"/>
      </w:pPr>
      <w:r w:rsidRPr="00D4309F">
        <w:t>While TSHDs offer significant dredging capacity and efficiency, mobilisation delays remain a key limitation. Both McQuade and RN’s dredges are not permanently stationed at Mooloolaba, meaning mobilisation depends</w:t>
      </w:r>
      <w:r w:rsidRPr="00D4309F">
        <w:rPr>
          <w:spacing w:val="-2"/>
        </w:rPr>
        <w:t xml:space="preserve"> </w:t>
      </w:r>
      <w:r w:rsidRPr="00D4309F">
        <w:t>on</w:t>
      </w:r>
      <w:r w:rsidRPr="00D4309F">
        <w:rPr>
          <w:spacing w:val="-3"/>
        </w:rPr>
        <w:t xml:space="preserve"> </w:t>
      </w:r>
      <w:r w:rsidRPr="00D4309F">
        <w:t>vessel</w:t>
      </w:r>
      <w:r w:rsidRPr="00D4309F">
        <w:rPr>
          <w:spacing w:val="-3"/>
        </w:rPr>
        <w:t xml:space="preserve"> </w:t>
      </w:r>
      <w:r w:rsidRPr="00D4309F">
        <w:t>scheduling,</w:t>
      </w:r>
      <w:r w:rsidRPr="00D4309F">
        <w:rPr>
          <w:spacing w:val="-3"/>
        </w:rPr>
        <w:t xml:space="preserve"> </w:t>
      </w:r>
      <w:r w:rsidRPr="00D4309F">
        <w:t>crew</w:t>
      </w:r>
      <w:r w:rsidRPr="00D4309F">
        <w:rPr>
          <w:spacing w:val="-2"/>
        </w:rPr>
        <w:t xml:space="preserve"> </w:t>
      </w:r>
      <w:r w:rsidRPr="00D4309F">
        <w:t>availability,</w:t>
      </w:r>
      <w:r w:rsidRPr="00D4309F">
        <w:rPr>
          <w:spacing w:val="-3"/>
        </w:rPr>
        <w:t xml:space="preserve"> </w:t>
      </w:r>
      <w:r w:rsidRPr="00D4309F">
        <w:t>and</w:t>
      </w:r>
      <w:r w:rsidRPr="00D4309F">
        <w:rPr>
          <w:spacing w:val="-4"/>
        </w:rPr>
        <w:t xml:space="preserve"> </w:t>
      </w:r>
      <w:r w:rsidRPr="00D4309F">
        <w:t>weather</w:t>
      </w:r>
      <w:r w:rsidRPr="00D4309F">
        <w:rPr>
          <w:spacing w:val="-4"/>
        </w:rPr>
        <w:t xml:space="preserve"> </w:t>
      </w:r>
      <w:r w:rsidRPr="00D4309F">
        <w:t>conditions.</w:t>
      </w:r>
      <w:r w:rsidRPr="00D4309F">
        <w:rPr>
          <w:spacing w:val="-3"/>
        </w:rPr>
        <w:t xml:space="preserve"> </w:t>
      </w:r>
      <w:r w:rsidRPr="00D4309F">
        <w:t>This</w:t>
      </w:r>
      <w:r w:rsidRPr="00D4309F">
        <w:rPr>
          <w:spacing w:val="-2"/>
        </w:rPr>
        <w:t xml:space="preserve"> </w:t>
      </w:r>
      <w:r w:rsidRPr="00D4309F">
        <w:t>typically</w:t>
      </w:r>
      <w:r w:rsidRPr="00D4309F">
        <w:rPr>
          <w:spacing w:val="-2"/>
        </w:rPr>
        <w:t xml:space="preserve"> </w:t>
      </w:r>
      <w:r w:rsidRPr="00D4309F">
        <w:t>results</w:t>
      </w:r>
      <w:r w:rsidRPr="00D4309F">
        <w:rPr>
          <w:spacing w:val="-2"/>
        </w:rPr>
        <w:t xml:space="preserve"> </w:t>
      </w:r>
      <w:r w:rsidRPr="00D4309F">
        <w:t>in</w:t>
      </w:r>
      <w:r w:rsidRPr="00D4309F">
        <w:rPr>
          <w:spacing w:val="-3"/>
        </w:rPr>
        <w:t xml:space="preserve"> </w:t>
      </w:r>
      <w:r w:rsidRPr="00D4309F">
        <w:t>longer</w:t>
      </w:r>
      <w:r w:rsidRPr="00D4309F">
        <w:rPr>
          <w:spacing w:val="-2"/>
        </w:rPr>
        <w:t xml:space="preserve"> </w:t>
      </w:r>
      <w:r w:rsidRPr="00D4309F">
        <w:t xml:space="preserve">lead </w:t>
      </w:r>
      <w:r w:rsidRPr="00D4309F">
        <w:lastRenderedPageBreak/>
        <w:t>times and higher mobilisation costs compared to the local cutter suction dredge (CSD), which can be deployed more quickly for small-scale or urgent maintenance works.</w:t>
      </w:r>
    </w:p>
    <w:p w14:paraId="62EBC079" w14:textId="3F04915C" w:rsidR="00FE6959" w:rsidRPr="00D4309F" w:rsidRDefault="00725977" w:rsidP="006156B6">
      <w:pPr>
        <w:pStyle w:val="BodyText"/>
      </w:pPr>
      <w:r w:rsidRPr="00D4309F">
        <w:t>TSHDs operated by McQuade Marine and RN Dredging provide valuable large-scale dredging and sand transport</w:t>
      </w:r>
      <w:r w:rsidRPr="00D4309F">
        <w:rPr>
          <w:spacing w:val="-3"/>
        </w:rPr>
        <w:t xml:space="preserve"> </w:t>
      </w:r>
      <w:r w:rsidRPr="00D4309F">
        <w:t>capabilities,</w:t>
      </w:r>
      <w:r w:rsidRPr="00D4309F">
        <w:rPr>
          <w:spacing w:val="-3"/>
        </w:rPr>
        <w:t xml:space="preserve"> </w:t>
      </w:r>
      <w:r w:rsidRPr="00D4309F">
        <w:t>enhancing</w:t>
      </w:r>
      <w:r w:rsidRPr="00D4309F">
        <w:rPr>
          <w:spacing w:val="-3"/>
        </w:rPr>
        <w:t xml:space="preserve"> </w:t>
      </w:r>
      <w:r w:rsidRPr="00D4309F">
        <w:t>regional</w:t>
      </w:r>
      <w:r w:rsidRPr="00D4309F">
        <w:rPr>
          <w:spacing w:val="-3"/>
        </w:rPr>
        <w:t xml:space="preserve"> </w:t>
      </w:r>
      <w:r w:rsidRPr="00D4309F">
        <w:t>sediment</w:t>
      </w:r>
      <w:r w:rsidRPr="00D4309F">
        <w:rPr>
          <w:spacing w:val="-3"/>
        </w:rPr>
        <w:t xml:space="preserve"> </w:t>
      </w:r>
      <w:r w:rsidRPr="00D4309F">
        <w:t>management</w:t>
      </w:r>
      <w:r w:rsidRPr="00D4309F">
        <w:rPr>
          <w:spacing w:val="-3"/>
        </w:rPr>
        <w:t xml:space="preserve"> </w:t>
      </w:r>
      <w:r w:rsidRPr="00D4309F">
        <w:t>options.</w:t>
      </w:r>
      <w:r w:rsidRPr="00D4309F">
        <w:rPr>
          <w:spacing w:val="-3"/>
        </w:rPr>
        <w:t xml:space="preserve"> </w:t>
      </w:r>
      <w:r w:rsidRPr="00D4309F">
        <w:t>They</w:t>
      </w:r>
      <w:r w:rsidRPr="00D4309F">
        <w:rPr>
          <w:spacing w:val="-3"/>
        </w:rPr>
        <w:t xml:space="preserve"> </w:t>
      </w:r>
      <w:r w:rsidRPr="00D4309F">
        <w:t>are</w:t>
      </w:r>
      <w:r w:rsidRPr="00D4309F">
        <w:rPr>
          <w:spacing w:val="-3"/>
        </w:rPr>
        <w:t xml:space="preserve"> </w:t>
      </w:r>
      <w:r w:rsidRPr="00D4309F">
        <w:t>particularly</w:t>
      </w:r>
      <w:r w:rsidRPr="00D4309F">
        <w:rPr>
          <w:spacing w:val="-2"/>
        </w:rPr>
        <w:t xml:space="preserve"> </w:t>
      </w:r>
      <w:r w:rsidRPr="00D4309F">
        <w:t>effective</w:t>
      </w:r>
      <w:r w:rsidRPr="00D4309F">
        <w:rPr>
          <w:spacing w:val="-3"/>
        </w:rPr>
        <w:t xml:space="preserve"> </w:t>
      </w:r>
      <w:r w:rsidRPr="00D4309F">
        <w:t>for</w:t>
      </w:r>
      <w:r w:rsidR="006156B6">
        <w:t xml:space="preserve"> </w:t>
      </w:r>
      <w:r w:rsidR="006156B6" w:rsidRPr="00D4309F">
        <w:t>bulk</w:t>
      </w:r>
      <w:r w:rsidR="006156B6" w:rsidRPr="00D4309F">
        <w:rPr>
          <w:spacing w:val="-3"/>
        </w:rPr>
        <w:t xml:space="preserve"> </w:t>
      </w:r>
      <w:r w:rsidR="006156B6" w:rsidRPr="00D4309F">
        <w:t>sand</w:t>
      </w:r>
      <w:r w:rsidR="006156B6" w:rsidRPr="00D4309F">
        <w:rPr>
          <w:spacing w:val="-3"/>
        </w:rPr>
        <w:t xml:space="preserve"> </w:t>
      </w:r>
      <w:r w:rsidR="006156B6" w:rsidRPr="00D4309F">
        <w:t>removal,</w:t>
      </w:r>
      <w:r w:rsidR="006156B6" w:rsidRPr="00D4309F">
        <w:rPr>
          <w:spacing w:val="-3"/>
        </w:rPr>
        <w:t xml:space="preserve"> </w:t>
      </w:r>
      <w:r w:rsidR="006156B6" w:rsidRPr="00D4309F">
        <w:t>offshore</w:t>
      </w:r>
      <w:r w:rsidR="006156B6" w:rsidRPr="00D4309F">
        <w:rPr>
          <w:spacing w:val="-3"/>
        </w:rPr>
        <w:t xml:space="preserve"> </w:t>
      </w:r>
      <w:r w:rsidR="006156B6" w:rsidRPr="00D4309F">
        <w:t>disposal,</w:t>
      </w:r>
      <w:r w:rsidR="006156B6" w:rsidRPr="00D4309F">
        <w:rPr>
          <w:spacing w:val="-3"/>
        </w:rPr>
        <w:t xml:space="preserve"> </w:t>
      </w:r>
      <w:r w:rsidR="006156B6" w:rsidRPr="00D4309F">
        <w:t>and</w:t>
      </w:r>
      <w:r w:rsidR="006156B6" w:rsidRPr="00D4309F">
        <w:rPr>
          <w:spacing w:val="-3"/>
        </w:rPr>
        <w:t xml:space="preserve"> </w:t>
      </w:r>
      <w:r w:rsidR="006156B6" w:rsidRPr="00D4309F">
        <w:t>beach</w:t>
      </w:r>
      <w:r w:rsidR="006156B6" w:rsidRPr="00D4309F">
        <w:rPr>
          <w:spacing w:val="-3"/>
        </w:rPr>
        <w:t xml:space="preserve"> </w:t>
      </w:r>
      <w:r w:rsidR="006156B6" w:rsidRPr="00D4309F">
        <w:t>nourishment,</w:t>
      </w:r>
      <w:r w:rsidR="006156B6" w:rsidRPr="00D4309F">
        <w:rPr>
          <w:spacing w:val="-3"/>
        </w:rPr>
        <w:t xml:space="preserve"> </w:t>
      </w:r>
      <w:r w:rsidR="006156B6" w:rsidRPr="00D4309F">
        <w:t>especially</w:t>
      </w:r>
      <w:r w:rsidR="006156B6" w:rsidRPr="00D4309F">
        <w:rPr>
          <w:spacing w:val="-2"/>
        </w:rPr>
        <w:t xml:space="preserve"> </w:t>
      </w:r>
      <w:r w:rsidR="006156B6" w:rsidRPr="00D4309F">
        <w:t>where</w:t>
      </w:r>
      <w:r w:rsidR="006156B6" w:rsidRPr="00D4309F">
        <w:rPr>
          <w:spacing w:val="-3"/>
        </w:rPr>
        <w:t xml:space="preserve"> </w:t>
      </w:r>
      <w:r w:rsidR="006156B6" w:rsidRPr="00D4309F">
        <w:t>wave</w:t>
      </w:r>
      <w:r w:rsidR="006156B6" w:rsidRPr="00D4309F">
        <w:rPr>
          <w:spacing w:val="-3"/>
        </w:rPr>
        <w:t xml:space="preserve"> </w:t>
      </w:r>
      <w:r w:rsidR="006156B6" w:rsidRPr="00D4309F">
        <w:t>conditions</w:t>
      </w:r>
      <w:r w:rsidR="006156B6" w:rsidRPr="00D4309F">
        <w:rPr>
          <w:spacing w:val="-2"/>
        </w:rPr>
        <w:t xml:space="preserve"> </w:t>
      </w:r>
      <w:r w:rsidR="006156B6" w:rsidRPr="00D4309F">
        <w:t>are</w:t>
      </w:r>
      <w:r w:rsidR="006156B6" w:rsidRPr="00D4309F">
        <w:rPr>
          <w:spacing w:val="-3"/>
        </w:rPr>
        <w:t xml:space="preserve"> </w:t>
      </w:r>
      <w:r w:rsidR="006156B6" w:rsidRPr="00D4309F">
        <w:t>too challenging for a CSD.</w:t>
      </w:r>
    </w:p>
    <w:p w14:paraId="332E8852" w14:textId="77777777" w:rsidR="00725977" w:rsidRPr="00D4309F" w:rsidRDefault="00725977" w:rsidP="00725977">
      <w:pPr>
        <w:pStyle w:val="Heading4"/>
      </w:pPr>
      <w:r w:rsidRPr="00D4309F">
        <w:t>Submarine</w:t>
      </w:r>
      <w:r w:rsidRPr="00D4309F">
        <w:rPr>
          <w:spacing w:val="-4"/>
        </w:rPr>
        <w:t xml:space="preserve"> </w:t>
      </w:r>
      <w:r w:rsidRPr="00D4309F">
        <w:t>sand</w:t>
      </w:r>
      <w:r w:rsidRPr="00D4309F">
        <w:rPr>
          <w:spacing w:val="-4"/>
        </w:rPr>
        <w:t xml:space="preserve"> </w:t>
      </w:r>
      <w:r w:rsidRPr="00D4309F">
        <w:rPr>
          <w:spacing w:val="-2"/>
        </w:rPr>
        <w:t>shifter</w:t>
      </w:r>
    </w:p>
    <w:p w14:paraId="1B3090A7" w14:textId="77777777" w:rsidR="00725977" w:rsidRPr="00D4309F" w:rsidRDefault="00725977" w:rsidP="00725977">
      <w:pPr>
        <w:pStyle w:val="BodyText"/>
      </w:pPr>
      <w:r w:rsidRPr="00D4309F">
        <w:t>A sand slurry system is an engineered solution designed to manage sediment movement and maintain navigable channels in coastal and riverine environments. It works by capturing accumulated sand and transporting</w:t>
      </w:r>
      <w:r w:rsidRPr="00D4309F">
        <w:rPr>
          <w:spacing w:val="-3"/>
        </w:rPr>
        <w:t xml:space="preserve"> </w:t>
      </w:r>
      <w:r w:rsidRPr="00D4309F">
        <w:t>it—via</w:t>
      </w:r>
      <w:r w:rsidRPr="00D4309F">
        <w:rPr>
          <w:spacing w:val="-3"/>
        </w:rPr>
        <w:t xml:space="preserve"> </w:t>
      </w:r>
      <w:r w:rsidRPr="00D4309F">
        <w:t>a</w:t>
      </w:r>
      <w:r w:rsidRPr="00D4309F">
        <w:rPr>
          <w:spacing w:val="-4"/>
        </w:rPr>
        <w:t xml:space="preserve"> </w:t>
      </w:r>
      <w:r w:rsidRPr="00D4309F">
        <w:t>slurry</w:t>
      </w:r>
      <w:r w:rsidRPr="00D4309F">
        <w:rPr>
          <w:spacing w:val="-2"/>
        </w:rPr>
        <w:t xml:space="preserve"> </w:t>
      </w:r>
      <w:r w:rsidRPr="00D4309F">
        <w:t>pipeline—to</w:t>
      </w:r>
      <w:r w:rsidRPr="00D4309F">
        <w:rPr>
          <w:spacing w:val="-3"/>
        </w:rPr>
        <w:t xml:space="preserve"> </w:t>
      </w:r>
      <w:r w:rsidRPr="00D4309F">
        <w:t>a</w:t>
      </w:r>
      <w:r w:rsidRPr="00D4309F">
        <w:rPr>
          <w:spacing w:val="-4"/>
        </w:rPr>
        <w:t xml:space="preserve"> </w:t>
      </w:r>
      <w:r w:rsidRPr="00D4309F">
        <w:t>designated</w:t>
      </w:r>
      <w:r w:rsidRPr="00D4309F">
        <w:rPr>
          <w:spacing w:val="-3"/>
        </w:rPr>
        <w:t xml:space="preserve"> </w:t>
      </w:r>
      <w:r w:rsidRPr="00D4309F">
        <w:t>disposal</w:t>
      </w:r>
      <w:r w:rsidRPr="00D4309F">
        <w:rPr>
          <w:spacing w:val="-3"/>
        </w:rPr>
        <w:t xml:space="preserve"> </w:t>
      </w:r>
      <w:r w:rsidRPr="00D4309F">
        <w:t>or</w:t>
      </w:r>
      <w:r w:rsidRPr="00D4309F">
        <w:rPr>
          <w:spacing w:val="-2"/>
        </w:rPr>
        <w:t xml:space="preserve"> </w:t>
      </w:r>
      <w:r w:rsidRPr="00D4309F">
        <w:t>replenishment</w:t>
      </w:r>
      <w:r w:rsidRPr="00D4309F">
        <w:rPr>
          <w:spacing w:val="-3"/>
        </w:rPr>
        <w:t xml:space="preserve"> </w:t>
      </w:r>
      <w:r w:rsidRPr="00D4309F">
        <w:t>area.</w:t>
      </w:r>
      <w:r w:rsidRPr="00D4309F">
        <w:rPr>
          <w:spacing w:val="-3"/>
        </w:rPr>
        <w:t xml:space="preserve"> </w:t>
      </w:r>
      <w:r w:rsidRPr="00D4309F">
        <w:t>The</w:t>
      </w:r>
      <w:r w:rsidRPr="00D4309F">
        <w:rPr>
          <w:spacing w:val="-3"/>
        </w:rPr>
        <w:t xml:space="preserve"> </w:t>
      </w:r>
      <w:r w:rsidRPr="00D4309F">
        <w:t>system</w:t>
      </w:r>
      <w:r w:rsidRPr="00D4309F">
        <w:rPr>
          <w:spacing w:val="-3"/>
        </w:rPr>
        <w:t xml:space="preserve"> </w:t>
      </w:r>
      <w:r w:rsidRPr="00D4309F">
        <w:t>prevents excessive sand build-up and reduces the need for large-scale dredging operations.</w:t>
      </w:r>
    </w:p>
    <w:p w14:paraId="312A087F" w14:textId="77777777" w:rsidR="00725977" w:rsidRDefault="00725977" w:rsidP="00725977">
      <w:pPr>
        <w:pStyle w:val="BodyText"/>
      </w:pPr>
      <w:r w:rsidRPr="00D4309F">
        <w:t>The</w:t>
      </w:r>
      <w:r w:rsidRPr="00D4309F">
        <w:rPr>
          <w:spacing w:val="-3"/>
        </w:rPr>
        <w:t xml:space="preserve"> </w:t>
      </w:r>
      <w:r w:rsidRPr="00D4309F">
        <w:t>system</w:t>
      </w:r>
      <w:r w:rsidRPr="00D4309F">
        <w:rPr>
          <w:spacing w:val="-3"/>
        </w:rPr>
        <w:t xml:space="preserve"> </w:t>
      </w:r>
      <w:r w:rsidRPr="00D4309F">
        <w:t>typically</w:t>
      </w:r>
      <w:r w:rsidRPr="00D4309F">
        <w:rPr>
          <w:spacing w:val="-2"/>
        </w:rPr>
        <w:t xml:space="preserve"> </w:t>
      </w:r>
      <w:r w:rsidRPr="00D4309F">
        <w:t>consists</w:t>
      </w:r>
      <w:r w:rsidRPr="00D4309F">
        <w:rPr>
          <w:spacing w:val="-2"/>
        </w:rPr>
        <w:t xml:space="preserve"> </w:t>
      </w:r>
      <w:r w:rsidRPr="00D4309F">
        <w:t>of</w:t>
      </w:r>
      <w:r w:rsidRPr="00D4309F">
        <w:rPr>
          <w:spacing w:val="-3"/>
        </w:rPr>
        <w:t xml:space="preserve"> </w:t>
      </w:r>
      <w:r w:rsidRPr="00D4309F">
        <w:t>several</w:t>
      </w:r>
      <w:r w:rsidRPr="00D4309F">
        <w:rPr>
          <w:spacing w:val="-4"/>
        </w:rPr>
        <w:t xml:space="preserve"> </w:t>
      </w:r>
      <w:r w:rsidRPr="00D4309F">
        <w:t>submerged</w:t>
      </w:r>
      <w:r w:rsidRPr="00D4309F">
        <w:rPr>
          <w:spacing w:val="-3"/>
        </w:rPr>
        <w:t xml:space="preserve"> </w:t>
      </w:r>
      <w:r w:rsidRPr="00D4309F">
        <w:t>jet</w:t>
      </w:r>
      <w:r w:rsidRPr="00D4309F">
        <w:rPr>
          <w:spacing w:val="-3"/>
        </w:rPr>
        <w:t xml:space="preserve"> </w:t>
      </w:r>
      <w:r w:rsidRPr="00D4309F">
        <w:t>pumps</w:t>
      </w:r>
      <w:r w:rsidRPr="00D4309F">
        <w:rPr>
          <w:spacing w:val="-2"/>
        </w:rPr>
        <w:t xml:space="preserve"> </w:t>
      </w:r>
      <w:r w:rsidRPr="00D4309F">
        <w:t>or</w:t>
      </w:r>
      <w:r w:rsidRPr="00D4309F">
        <w:rPr>
          <w:spacing w:val="-2"/>
        </w:rPr>
        <w:t xml:space="preserve"> </w:t>
      </w:r>
      <w:r w:rsidRPr="00D4309F">
        <w:t>intake</w:t>
      </w:r>
      <w:r w:rsidRPr="00D4309F">
        <w:rPr>
          <w:spacing w:val="-3"/>
        </w:rPr>
        <w:t xml:space="preserve"> </w:t>
      </w:r>
      <w:r w:rsidRPr="00D4309F">
        <w:t>units</w:t>
      </w:r>
      <w:r w:rsidRPr="00D4309F">
        <w:rPr>
          <w:spacing w:val="-2"/>
        </w:rPr>
        <w:t xml:space="preserve"> </w:t>
      </w:r>
      <w:r w:rsidRPr="00D4309F">
        <w:t>located</w:t>
      </w:r>
      <w:r w:rsidRPr="00D4309F">
        <w:rPr>
          <w:spacing w:val="-4"/>
        </w:rPr>
        <w:t xml:space="preserve"> </w:t>
      </w:r>
      <w:r w:rsidRPr="00D4309F">
        <w:t>strategically</w:t>
      </w:r>
      <w:r w:rsidRPr="00D4309F">
        <w:rPr>
          <w:spacing w:val="-2"/>
        </w:rPr>
        <w:t xml:space="preserve"> </w:t>
      </w:r>
      <w:r w:rsidRPr="00D4309F">
        <w:t>along</w:t>
      </w:r>
      <w:r w:rsidRPr="00D4309F">
        <w:rPr>
          <w:spacing w:val="-3"/>
        </w:rPr>
        <w:t xml:space="preserve"> </w:t>
      </w:r>
      <w:r w:rsidRPr="00D4309F">
        <w:t>a channel or near structures such as breakwaters or boat ramps. These pumps are positioned to intercept sand moving alongshore or into navigation areas.</w:t>
      </w:r>
    </w:p>
    <w:p w14:paraId="731891B9" w14:textId="77777777" w:rsidR="00D3074A" w:rsidRPr="00D4309F" w:rsidRDefault="00D3074A" w:rsidP="00725977">
      <w:pPr>
        <w:pStyle w:val="BodyText"/>
      </w:pPr>
    </w:p>
    <w:p w14:paraId="5B368109" w14:textId="77777777" w:rsidR="00D3074A" w:rsidRDefault="00725977" w:rsidP="00725977">
      <w:pPr>
        <w:pStyle w:val="BodyText"/>
      </w:pPr>
      <w:r w:rsidRPr="00D4309F">
        <w:rPr>
          <w:noProof/>
        </w:rPr>
        <mc:AlternateContent>
          <mc:Choice Requires="wpg">
            <w:drawing>
              <wp:inline distT="0" distB="0" distL="0" distR="0" wp14:anchorId="6BC21937" wp14:editId="75F45191">
                <wp:extent cx="5829935" cy="1633220"/>
                <wp:effectExtent l="0" t="0" r="0" b="5080"/>
                <wp:docPr id="114" name="Group 114" descr="Two images side by side, both showing the work of a submarine sand shifter undertaken by Slurry Systems marine. Image shows 5 Jet Pumps utilised in Coffs Harbour channel entrance (Sand Slurry Systems, 20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9935" cy="1633220"/>
                          <a:chOff x="0" y="0"/>
                          <a:chExt cx="5829935" cy="1633220"/>
                        </a:xfrm>
                      </wpg:grpSpPr>
                      <pic:pic xmlns:pic="http://schemas.openxmlformats.org/drawingml/2006/picture">
                        <pic:nvPicPr>
                          <pic:cNvPr id="115" name="Image 115"/>
                          <pic:cNvPicPr/>
                        </pic:nvPicPr>
                        <pic:blipFill>
                          <a:blip r:embed="rId70" cstate="print"/>
                          <a:stretch>
                            <a:fillRect/>
                          </a:stretch>
                        </pic:blipFill>
                        <pic:spPr>
                          <a:xfrm>
                            <a:off x="0" y="4319"/>
                            <a:ext cx="2893058" cy="1628747"/>
                          </a:xfrm>
                          <a:prstGeom prst="rect">
                            <a:avLst/>
                          </a:prstGeom>
                        </pic:spPr>
                      </pic:pic>
                      <pic:pic xmlns:pic="http://schemas.openxmlformats.org/drawingml/2006/picture">
                        <pic:nvPicPr>
                          <pic:cNvPr id="116" name="Image 116"/>
                          <pic:cNvPicPr/>
                        </pic:nvPicPr>
                        <pic:blipFill>
                          <a:blip r:embed="rId71" cstate="print"/>
                          <a:stretch>
                            <a:fillRect/>
                          </a:stretch>
                        </pic:blipFill>
                        <pic:spPr>
                          <a:xfrm>
                            <a:off x="2928341" y="0"/>
                            <a:ext cx="2900984" cy="1633080"/>
                          </a:xfrm>
                          <a:prstGeom prst="rect">
                            <a:avLst/>
                          </a:prstGeom>
                        </pic:spPr>
                      </pic:pic>
                    </wpg:wgp>
                  </a:graphicData>
                </a:graphic>
              </wp:inline>
            </w:drawing>
          </mc:Choice>
          <mc:Fallback>
            <w:pict>
              <v:group w14:anchorId="3DC12583" id="Group 114" o:spid="_x0000_s1026" alt="Two images side by side, both showing the work of a submarine sand shifter undertaken by Slurry Systems marine. Image shows 5 Jet Pumps utilised in Coffs Harbour channel entrance (Sand Slurry Systems, 2025)" style="width:459.05pt;height:128.6pt;mso-position-horizontal-relative:char;mso-position-vertical-relative:line" coordsize="58299,163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">
                <v:shape id="Image 115" o:spid="_x0000_s1027" type="#_x0000_t75" style="position:absolute;top:43;width:28930;height:16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">
                  <v:imagedata r:id="rId72" o:title=""/>
                </v:shape>
                <v:shape id="Image 116" o:spid="_x0000_s1028" type="#_x0000_t75" style="position:absolute;left:29283;width:29010;height:16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">
                  <v:imagedata r:id="rId73" o:title=""/>
                </v:shape>
                <w10:anchorlock/>
              </v:group>
            </w:pict>
          </mc:Fallback>
        </mc:AlternateContent>
      </w:r>
    </w:p>
    <w:p w14:paraId="32D54C89" w14:textId="7012718A" w:rsidR="00D3074A" w:rsidRPr="00B13F99" w:rsidRDefault="00D3074A" w:rsidP="00EF4321">
      <w:pPr>
        <w:pStyle w:val="Caption"/>
        <w:rPr>
          <w:noProof/>
          <w:color w:val="221E1F"/>
          <w:sz w:val="20"/>
        </w:rPr>
      </w:pPr>
      <w:bookmarkStart w:id="214" w:name="_Toc216699614"/>
      <w:r>
        <w:t xml:space="preserve">Figure </w:t>
      </w:r>
      <w:r w:rsidR="00B538D4">
        <w:fldChar w:fldCharType="begin" w:fldLock="1"/>
      </w:r>
      <w:r w:rsidR="00B538D4">
        <w:instrText xml:space="preserve"> STYLEREF 1 \s </w:instrText>
      </w:r>
      <w:r w:rsidR="00B538D4">
        <w:fldChar w:fldCharType="separate"/>
      </w:r>
      <w:r w:rsidR="00B538D4">
        <w:rPr>
          <w:noProof/>
        </w:rPr>
        <w:t>12</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7</w:t>
      </w:r>
      <w:r w:rsidR="00B538D4">
        <w:fldChar w:fldCharType="end"/>
      </w:r>
      <w:r>
        <w:t>:</w:t>
      </w:r>
      <w:r>
        <w:tab/>
      </w:r>
      <w:r w:rsidRPr="00D4309F">
        <w:rPr>
          <w:color w:val="211E1F"/>
        </w:rPr>
        <w:t>Slurry</w:t>
      </w:r>
      <w:r w:rsidRPr="00D4309F">
        <w:rPr>
          <w:color w:val="211E1F"/>
          <w:spacing w:val="-3"/>
        </w:rPr>
        <w:t xml:space="preserve"> </w:t>
      </w:r>
      <w:r w:rsidRPr="00D4309F">
        <w:rPr>
          <w:color w:val="211E1F"/>
        </w:rPr>
        <w:t>Systems</w:t>
      </w:r>
      <w:r w:rsidRPr="00D4309F">
        <w:rPr>
          <w:color w:val="211E1F"/>
          <w:spacing w:val="-3"/>
        </w:rPr>
        <w:t xml:space="preserve"> </w:t>
      </w:r>
      <w:r w:rsidRPr="00D4309F">
        <w:rPr>
          <w:color w:val="211E1F"/>
        </w:rPr>
        <w:t>Marine</w:t>
      </w:r>
      <w:r w:rsidRPr="00D4309F">
        <w:rPr>
          <w:color w:val="211E1F"/>
          <w:spacing w:val="-3"/>
        </w:rPr>
        <w:t xml:space="preserve"> </w:t>
      </w:r>
      <w:r w:rsidRPr="00D4309F">
        <w:rPr>
          <w:color w:val="211E1F"/>
        </w:rPr>
        <w:t>–</w:t>
      </w:r>
      <w:r w:rsidRPr="00D4309F">
        <w:rPr>
          <w:color w:val="211E1F"/>
          <w:spacing w:val="-2"/>
        </w:rPr>
        <w:t xml:space="preserve"> </w:t>
      </w:r>
      <w:r w:rsidRPr="00D4309F">
        <w:rPr>
          <w:color w:val="211E1F"/>
        </w:rPr>
        <w:t>5</w:t>
      </w:r>
      <w:r w:rsidRPr="00D4309F">
        <w:rPr>
          <w:color w:val="211E1F"/>
          <w:spacing w:val="-3"/>
        </w:rPr>
        <w:t xml:space="preserve"> </w:t>
      </w:r>
      <w:r w:rsidRPr="00D4309F">
        <w:rPr>
          <w:color w:val="211E1F"/>
        </w:rPr>
        <w:t>Jet</w:t>
      </w:r>
      <w:r w:rsidRPr="00D4309F">
        <w:rPr>
          <w:color w:val="211E1F"/>
          <w:spacing w:val="-2"/>
        </w:rPr>
        <w:t xml:space="preserve"> </w:t>
      </w:r>
      <w:r w:rsidRPr="00D4309F">
        <w:rPr>
          <w:color w:val="211E1F"/>
        </w:rPr>
        <w:t>Pumps</w:t>
      </w:r>
      <w:r w:rsidRPr="00D4309F">
        <w:rPr>
          <w:color w:val="211E1F"/>
          <w:spacing w:val="-3"/>
        </w:rPr>
        <w:t xml:space="preserve"> </w:t>
      </w:r>
      <w:r w:rsidRPr="00D4309F">
        <w:rPr>
          <w:color w:val="211E1F"/>
        </w:rPr>
        <w:t>utilised</w:t>
      </w:r>
      <w:r w:rsidRPr="00D4309F">
        <w:rPr>
          <w:color w:val="211E1F"/>
          <w:spacing w:val="-2"/>
        </w:rPr>
        <w:t xml:space="preserve"> </w:t>
      </w:r>
      <w:r w:rsidRPr="00D4309F">
        <w:rPr>
          <w:color w:val="211E1F"/>
        </w:rPr>
        <w:t>in</w:t>
      </w:r>
      <w:r w:rsidRPr="00D4309F">
        <w:rPr>
          <w:color w:val="211E1F"/>
          <w:spacing w:val="-2"/>
        </w:rPr>
        <w:t xml:space="preserve"> </w:t>
      </w:r>
      <w:r w:rsidRPr="00D4309F">
        <w:rPr>
          <w:color w:val="211E1F"/>
        </w:rPr>
        <w:t>Coffs</w:t>
      </w:r>
      <w:r w:rsidRPr="00D4309F">
        <w:rPr>
          <w:color w:val="211E1F"/>
          <w:spacing w:val="-3"/>
        </w:rPr>
        <w:t xml:space="preserve"> </w:t>
      </w:r>
      <w:r w:rsidRPr="00D4309F">
        <w:rPr>
          <w:color w:val="211E1F"/>
        </w:rPr>
        <w:t>Harbour</w:t>
      </w:r>
      <w:r w:rsidRPr="00D4309F">
        <w:rPr>
          <w:color w:val="211E1F"/>
          <w:spacing w:val="-3"/>
        </w:rPr>
        <w:t xml:space="preserve"> </w:t>
      </w:r>
      <w:r w:rsidRPr="00D4309F">
        <w:rPr>
          <w:color w:val="211E1F"/>
        </w:rPr>
        <w:t>channel</w:t>
      </w:r>
      <w:r w:rsidRPr="00D4309F">
        <w:rPr>
          <w:color w:val="211E1F"/>
          <w:spacing w:val="-2"/>
        </w:rPr>
        <w:t xml:space="preserve"> </w:t>
      </w:r>
      <w:r w:rsidRPr="00D4309F">
        <w:rPr>
          <w:color w:val="211E1F"/>
        </w:rPr>
        <w:t>entrance</w:t>
      </w:r>
      <w:r w:rsidRPr="00D4309F">
        <w:rPr>
          <w:color w:val="211E1F"/>
          <w:spacing w:val="-3"/>
        </w:rPr>
        <w:t xml:space="preserve"> </w:t>
      </w:r>
      <w:r w:rsidRPr="00D4309F">
        <w:rPr>
          <w:color w:val="211E1F"/>
        </w:rPr>
        <w:t>(Sand</w:t>
      </w:r>
      <w:r w:rsidRPr="00D4309F">
        <w:rPr>
          <w:color w:val="211E1F"/>
          <w:spacing w:val="-2"/>
        </w:rPr>
        <w:t xml:space="preserve"> </w:t>
      </w:r>
      <w:r w:rsidRPr="00D4309F">
        <w:rPr>
          <w:color w:val="211E1F"/>
        </w:rPr>
        <w:t>Slurry Systems, 2025)</w:t>
      </w:r>
      <w:bookmarkEnd w:id="214"/>
    </w:p>
    <w:p w14:paraId="23FF1D6A" w14:textId="77777777" w:rsidR="00D3074A" w:rsidRDefault="00D3074A" w:rsidP="00725977">
      <w:pPr>
        <w:pStyle w:val="BodyText"/>
      </w:pPr>
    </w:p>
    <w:p w14:paraId="73DC71DC" w14:textId="55010A90" w:rsidR="00725977" w:rsidRPr="00BD46A3" w:rsidRDefault="00725977" w:rsidP="00725977">
      <w:pPr>
        <w:pStyle w:val="BodyText"/>
        <w:rPr>
          <w:b/>
          <w:sz w:val="18"/>
        </w:rPr>
      </w:pPr>
      <w:r w:rsidRPr="00D4309F">
        <w:t>Locating</w:t>
      </w:r>
      <w:r w:rsidRPr="00D4309F">
        <w:rPr>
          <w:spacing w:val="-4"/>
        </w:rPr>
        <w:t xml:space="preserve"> </w:t>
      </w:r>
      <w:r w:rsidRPr="00D4309F">
        <w:t>the</w:t>
      </w:r>
      <w:r w:rsidRPr="00D4309F">
        <w:rPr>
          <w:spacing w:val="-4"/>
        </w:rPr>
        <w:t xml:space="preserve"> </w:t>
      </w:r>
      <w:r w:rsidRPr="00D4309F">
        <w:t>pumps</w:t>
      </w:r>
      <w:r w:rsidRPr="00D4309F">
        <w:rPr>
          <w:spacing w:val="-2"/>
        </w:rPr>
        <w:t xml:space="preserve"> </w:t>
      </w:r>
      <w:r w:rsidRPr="00D4309F">
        <w:t>within</w:t>
      </w:r>
      <w:r w:rsidRPr="00D4309F">
        <w:rPr>
          <w:spacing w:val="-4"/>
        </w:rPr>
        <w:t xml:space="preserve"> </w:t>
      </w:r>
      <w:r w:rsidRPr="00D4309F">
        <w:t>the</w:t>
      </w:r>
      <w:r w:rsidRPr="00D4309F">
        <w:rPr>
          <w:spacing w:val="-3"/>
        </w:rPr>
        <w:t xml:space="preserve"> </w:t>
      </w:r>
      <w:r w:rsidRPr="00D4309F">
        <w:t>channel</w:t>
      </w:r>
      <w:r w:rsidRPr="00D4309F">
        <w:rPr>
          <w:spacing w:val="-3"/>
        </w:rPr>
        <w:t xml:space="preserve"> </w:t>
      </w:r>
      <w:r w:rsidRPr="00D4309F">
        <w:rPr>
          <w:spacing w:val="-2"/>
        </w:rPr>
        <w:t>ensures:</w:t>
      </w:r>
    </w:p>
    <w:p w14:paraId="6B08F7C9" w14:textId="77777777" w:rsidR="00725977" w:rsidRPr="00D4309F" w:rsidRDefault="00725977" w:rsidP="006156B6">
      <w:pPr>
        <w:pStyle w:val="ListBullet"/>
      </w:pPr>
      <w:r w:rsidRPr="00D4309F">
        <w:t>Sand</w:t>
      </w:r>
      <w:r w:rsidRPr="00D4309F">
        <w:rPr>
          <w:spacing w:val="-6"/>
        </w:rPr>
        <w:t xml:space="preserve"> </w:t>
      </w:r>
      <w:r w:rsidRPr="00D4309F">
        <w:t>cannot</w:t>
      </w:r>
      <w:r w:rsidRPr="00D4309F">
        <w:rPr>
          <w:spacing w:val="-4"/>
        </w:rPr>
        <w:t xml:space="preserve"> </w:t>
      </w:r>
      <w:r w:rsidRPr="00D4309F">
        <w:t>migrate</w:t>
      </w:r>
      <w:r w:rsidRPr="00D4309F">
        <w:rPr>
          <w:spacing w:val="-3"/>
        </w:rPr>
        <w:t xml:space="preserve"> </w:t>
      </w:r>
      <w:r w:rsidRPr="00D4309F">
        <w:t>past</w:t>
      </w:r>
      <w:r w:rsidRPr="00D4309F">
        <w:rPr>
          <w:spacing w:val="-3"/>
        </w:rPr>
        <w:t xml:space="preserve"> </w:t>
      </w:r>
      <w:r w:rsidRPr="00D4309F">
        <w:t>the</w:t>
      </w:r>
      <w:r w:rsidRPr="00D4309F">
        <w:rPr>
          <w:spacing w:val="-3"/>
        </w:rPr>
        <w:t xml:space="preserve"> </w:t>
      </w:r>
      <w:r w:rsidRPr="00D4309F">
        <w:t>intake</w:t>
      </w:r>
      <w:r w:rsidRPr="00D4309F">
        <w:rPr>
          <w:spacing w:val="-3"/>
        </w:rPr>
        <w:t xml:space="preserve"> </w:t>
      </w:r>
      <w:r w:rsidRPr="00D4309F">
        <w:rPr>
          <w:spacing w:val="-4"/>
        </w:rPr>
        <w:t>zone.</w:t>
      </w:r>
    </w:p>
    <w:p w14:paraId="5216C564" w14:textId="77777777" w:rsidR="00725977" w:rsidRPr="00D4309F" w:rsidRDefault="00725977" w:rsidP="006156B6">
      <w:pPr>
        <w:pStyle w:val="ListBullet"/>
      </w:pPr>
      <w:r w:rsidRPr="00D4309F">
        <w:t>Only</w:t>
      </w:r>
      <w:r w:rsidRPr="00D4309F">
        <w:rPr>
          <w:spacing w:val="-6"/>
        </w:rPr>
        <w:t xml:space="preserve"> </w:t>
      </w:r>
      <w:r w:rsidRPr="00D4309F">
        <w:t>sand</w:t>
      </w:r>
      <w:r w:rsidRPr="00D4309F">
        <w:rPr>
          <w:spacing w:val="-3"/>
        </w:rPr>
        <w:t xml:space="preserve"> </w:t>
      </w:r>
      <w:r w:rsidRPr="00D4309F">
        <w:t>that</w:t>
      </w:r>
      <w:r w:rsidRPr="00D4309F">
        <w:rPr>
          <w:spacing w:val="-4"/>
        </w:rPr>
        <w:t xml:space="preserve"> </w:t>
      </w:r>
      <w:r w:rsidRPr="00D4309F">
        <w:t>naturally</w:t>
      </w:r>
      <w:r w:rsidRPr="00D4309F">
        <w:rPr>
          <w:spacing w:val="-2"/>
        </w:rPr>
        <w:t xml:space="preserve"> </w:t>
      </w:r>
      <w:r w:rsidRPr="00D4309F">
        <w:t>accumulates</w:t>
      </w:r>
      <w:r w:rsidRPr="00D4309F">
        <w:rPr>
          <w:spacing w:val="-3"/>
        </w:rPr>
        <w:t xml:space="preserve"> </w:t>
      </w:r>
      <w:r w:rsidRPr="00D4309F">
        <w:t>in</w:t>
      </w:r>
      <w:r w:rsidRPr="00D4309F">
        <w:rPr>
          <w:spacing w:val="-4"/>
        </w:rPr>
        <w:t xml:space="preserve"> </w:t>
      </w:r>
      <w:r w:rsidRPr="00D4309F">
        <w:t>the</w:t>
      </w:r>
      <w:r w:rsidRPr="00D4309F">
        <w:rPr>
          <w:spacing w:val="-4"/>
        </w:rPr>
        <w:t xml:space="preserve"> </w:t>
      </w:r>
      <w:r w:rsidRPr="00D4309F">
        <w:t>channel</w:t>
      </w:r>
      <w:r w:rsidRPr="00D4309F">
        <w:rPr>
          <w:spacing w:val="-3"/>
        </w:rPr>
        <w:t xml:space="preserve"> </w:t>
      </w:r>
      <w:r w:rsidRPr="00D4309F">
        <w:t>is</w:t>
      </w:r>
      <w:r w:rsidRPr="00D4309F">
        <w:rPr>
          <w:spacing w:val="-2"/>
        </w:rPr>
        <w:t xml:space="preserve"> bypassed.</w:t>
      </w:r>
    </w:p>
    <w:p w14:paraId="4E9F7268" w14:textId="77777777" w:rsidR="00725977" w:rsidRPr="00D4309F" w:rsidRDefault="00725977" w:rsidP="006156B6">
      <w:pPr>
        <w:pStyle w:val="ListBullet"/>
      </w:pPr>
      <w:r w:rsidRPr="00D4309F">
        <w:t>Sand</w:t>
      </w:r>
      <w:r w:rsidRPr="00D4309F">
        <w:rPr>
          <w:spacing w:val="-6"/>
        </w:rPr>
        <w:t xml:space="preserve"> </w:t>
      </w:r>
      <w:r w:rsidRPr="00D4309F">
        <w:t>entering</w:t>
      </w:r>
      <w:r w:rsidRPr="00D4309F">
        <w:rPr>
          <w:spacing w:val="-4"/>
        </w:rPr>
        <w:t xml:space="preserve"> </w:t>
      </w:r>
      <w:r w:rsidRPr="00D4309F">
        <w:t>from</w:t>
      </w:r>
      <w:r w:rsidRPr="00D4309F">
        <w:rPr>
          <w:spacing w:val="-3"/>
        </w:rPr>
        <w:t xml:space="preserve"> </w:t>
      </w:r>
      <w:r w:rsidRPr="00D4309F">
        <w:t>any</w:t>
      </w:r>
      <w:r w:rsidRPr="00D4309F">
        <w:rPr>
          <w:spacing w:val="-3"/>
        </w:rPr>
        <w:t xml:space="preserve"> </w:t>
      </w:r>
      <w:r w:rsidRPr="00D4309F">
        <w:t>direction</w:t>
      </w:r>
      <w:r w:rsidRPr="00D4309F">
        <w:rPr>
          <w:spacing w:val="-4"/>
        </w:rPr>
        <w:t xml:space="preserve"> </w:t>
      </w:r>
      <w:r w:rsidRPr="00D4309F">
        <w:t>is</w:t>
      </w:r>
      <w:r w:rsidRPr="00D4309F">
        <w:rPr>
          <w:spacing w:val="-2"/>
        </w:rPr>
        <w:t xml:space="preserve"> </w:t>
      </w:r>
      <w:r w:rsidRPr="00D4309F">
        <w:t>trapped</w:t>
      </w:r>
      <w:r w:rsidRPr="00D4309F">
        <w:rPr>
          <w:spacing w:val="-4"/>
        </w:rPr>
        <w:t xml:space="preserve"> </w:t>
      </w:r>
      <w:r w:rsidRPr="00D4309F">
        <w:t>and</w:t>
      </w:r>
      <w:r w:rsidRPr="00D4309F">
        <w:rPr>
          <w:spacing w:val="-3"/>
        </w:rPr>
        <w:t xml:space="preserve"> </w:t>
      </w:r>
      <w:r w:rsidRPr="00D4309F">
        <w:rPr>
          <w:spacing w:val="-2"/>
        </w:rPr>
        <w:t>redirected.</w:t>
      </w:r>
    </w:p>
    <w:p w14:paraId="55F4DAE5" w14:textId="77777777" w:rsidR="00725977" w:rsidRPr="00D4309F" w:rsidRDefault="00725977" w:rsidP="006156B6">
      <w:pPr>
        <w:pStyle w:val="ListBullet"/>
      </w:pPr>
      <w:r w:rsidRPr="00D4309F">
        <w:t>Operation</w:t>
      </w:r>
      <w:r w:rsidRPr="00D4309F">
        <w:rPr>
          <w:spacing w:val="-5"/>
        </w:rPr>
        <w:t xml:space="preserve"> </w:t>
      </w:r>
      <w:r w:rsidRPr="00D4309F">
        <w:t>immediately</w:t>
      </w:r>
      <w:r w:rsidRPr="00D4309F">
        <w:rPr>
          <w:spacing w:val="-3"/>
        </w:rPr>
        <w:t xml:space="preserve"> </w:t>
      </w:r>
      <w:r w:rsidRPr="00D4309F">
        <w:t>clears</w:t>
      </w:r>
      <w:r w:rsidRPr="00D4309F">
        <w:rPr>
          <w:spacing w:val="-3"/>
        </w:rPr>
        <w:t xml:space="preserve"> </w:t>
      </w:r>
      <w:r w:rsidRPr="00D4309F">
        <w:t>the</w:t>
      </w:r>
      <w:r w:rsidRPr="00D4309F">
        <w:rPr>
          <w:spacing w:val="-5"/>
        </w:rPr>
        <w:t xml:space="preserve"> </w:t>
      </w:r>
      <w:r w:rsidRPr="00D4309F">
        <w:t>channel</w:t>
      </w:r>
      <w:r w:rsidRPr="00D4309F">
        <w:rPr>
          <w:spacing w:val="-4"/>
        </w:rPr>
        <w:t xml:space="preserve"> </w:t>
      </w:r>
      <w:r w:rsidRPr="00D4309F">
        <w:t>of</w:t>
      </w:r>
      <w:r w:rsidRPr="00D4309F">
        <w:rPr>
          <w:spacing w:val="-4"/>
        </w:rPr>
        <w:t xml:space="preserve"> </w:t>
      </w:r>
      <w:r w:rsidRPr="00D4309F">
        <w:rPr>
          <w:spacing w:val="-2"/>
        </w:rPr>
        <w:t>obstructions.</w:t>
      </w:r>
    </w:p>
    <w:p w14:paraId="2D7E583D" w14:textId="77777777" w:rsidR="00725977" w:rsidRPr="00D4309F" w:rsidRDefault="00725977" w:rsidP="006156B6">
      <w:pPr>
        <w:pStyle w:val="ListBullet"/>
      </w:pPr>
      <w:r w:rsidRPr="00D4309F">
        <w:t>Pump</w:t>
      </w:r>
      <w:r w:rsidRPr="00D4309F">
        <w:rPr>
          <w:spacing w:val="-3"/>
        </w:rPr>
        <w:t xml:space="preserve"> </w:t>
      </w:r>
      <w:r w:rsidRPr="00D4309F">
        <w:t>capacity</w:t>
      </w:r>
      <w:r w:rsidRPr="00D4309F">
        <w:rPr>
          <w:spacing w:val="-2"/>
        </w:rPr>
        <w:t xml:space="preserve"> </w:t>
      </w:r>
      <w:r w:rsidRPr="00D4309F">
        <w:t>does</w:t>
      </w:r>
      <w:r w:rsidRPr="00D4309F">
        <w:rPr>
          <w:spacing w:val="-2"/>
        </w:rPr>
        <w:t xml:space="preserve"> </w:t>
      </w:r>
      <w:r w:rsidRPr="00D4309F">
        <w:t>not</w:t>
      </w:r>
      <w:r w:rsidRPr="00D4309F">
        <w:rPr>
          <w:spacing w:val="-3"/>
        </w:rPr>
        <w:t xml:space="preserve"> </w:t>
      </w:r>
      <w:r w:rsidRPr="00D4309F">
        <w:t>need</w:t>
      </w:r>
      <w:r w:rsidRPr="00D4309F">
        <w:rPr>
          <w:spacing w:val="-3"/>
        </w:rPr>
        <w:t xml:space="preserve"> </w:t>
      </w:r>
      <w:r w:rsidRPr="00D4309F">
        <w:t>to</w:t>
      </w:r>
      <w:r w:rsidRPr="00D4309F">
        <w:rPr>
          <w:spacing w:val="-3"/>
        </w:rPr>
        <w:t xml:space="preserve"> </w:t>
      </w:r>
      <w:r w:rsidRPr="00D4309F">
        <w:t>match</w:t>
      </w:r>
      <w:r w:rsidRPr="00D4309F">
        <w:rPr>
          <w:spacing w:val="-3"/>
        </w:rPr>
        <w:t xml:space="preserve"> </w:t>
      </w:r>
      <w:r w:rsidRPr="00D4309F">
        <w:t>peak</w:t>
      </w:r>
      <w:r w:rsidRPr="00D4309F">
        <w:rPr>
          <w:spacing w:val="-3"/>
        </w:rPr>
        <w:t xml:space="preserve"> </w:t>
      </w:r>
      <w:r w:rsidRPr="00D4309F">
        <w:t>sand</w:t>
      </w:r>
      <w:r w:rsidRPr="00D4309F">
        <w:rPr>
          <w:spacing w:val="-3"/>
        </w:rPr>
        <w:t xml:space="preserve"> </w:t>
      </w:r>
      <w:r w:rsidRPr="00D4309F">
        <w:t>movement,</w:t>
      </w:r>
      <w:r w:rsidRPr="00D4309F">
        <w:rPr>
          <w:spacing w:val="-3"/>
        </w:rPr>
        <w:t xml:space="preserve"> </w:t>
      </w:r>
      <w:r w:rsidRPr="00D4309F">
        <w:t>allowing</w:t>
      </w:r>
      <w:r w:rsidRPr="00D4309F">
        <w:rPr>
          <w:spacing w:val="-3"/>
        </w:rPr>
        <w:t xml:space="preserve"> </w:t>
      </w:r>
      <w:r w:rsidRPr="00D4309F">
        <w:t>flexible</w:t>
      </w:r>
      <w:r w:rsidRPr="00D4309F">
        <w:rPr>
          <w:spacing w:val="-3"/>
        </w:rPr>
        <w:t xml:space="preserve"> </w:t>
      </w:r>
      <w:r w:rsidRPr="00D4309F">
        <w:t>and</w:t>
      </w:r>
      <w:r w:rsidRPr="00D4309F">
        <w:rPr>
          <w:spacing w:val="-3"/>
        </w:rPr>
        <w:t xml:space="preserve"> </w:t>
      </w:r>
      <w:r w:rsidRPr="00D4309F">
        <w:t>efficient</w:t>
      </w:r>
      <w:r w:rsidRPr="00D4309F">
        <w:rPr>
          <w:spacing w:val="-3"/>
        </w:rPr>
        <w:t xml:space="preserve"> </w:t>
      </w:r>
      <w:r w:rsidRPr="00D4309F">
        <w:t>operation. A standard sand slurry system includes:</w:t>
      </w:r>
    </w:p>
    <w:p w14:paraId="630BD5DA" w14:textId="77777777" w:rsidR="00725977" w:rsidRPr="00D4309F" w:rsidRDefault="00725977" w:rsidP="006156B6">
      <w:pPr>
        <w:pStyle w:val="ListBullet"/>
      </w:pPr>
      <w:r w:rsidRPr="00D4309F">
        <w:t>Jet</w:t>
      </w:r>
      <w:r w:rsidRPr="00D4309F">
        <w:rPr>
          <w:spacing w:val="-3"/>
        </w:rPr>
        <w:t xml:space="preserve"> </w:t>
      </w:r>
      <w:r w:rsidRPr="00D4309F">
        <w:t>pumps</w:t>
      </w:r>
      <w:r w:rsidRPr="00D4309F">
        <w:rPr>
          <w:spacing w:val="-2"/>
        </w:rPr>
        <w:t xml:space="preserve"> </w:t>
      </w:r>
      <w:r w:rsidRPr="00D4309F">
        <w:t>or</w:t>
      </w:r>
      <w:r w:rsidRPr="00D4309F">
        <w:rPr>
          <w:spacing w:val="-2"/>
        </w:rPr>
        <w:t xml:space="preserve"> </w:t>
      </w:r>
      <w:r w:rsidRPr="00D4309F">
        <w:t>intake</w:t>
      </w:r>
      <w:r w:rsidRPr="00D4309F">
        <w:rPr>
          <w:spacing w:val="-3"/>
        </w:rPr>
        <w:t xml:space="preserve"> </w:t>
      </w:r>
      <w:r w:rsidRPr="00D4309F">
        <w:t>units</w:t>
      </w:r>
      <w:r w:rsidRPr="00D4309F">
        <w:rPr>
          <w:spacing w:val="-2"/>
        </w:rPr>
        <w:t xml:space="preserve"> </w:t>
      </w:r>
      <w:r w:rsidRPr="00D4309F">
        <w:t>–</w:t>
      </w:r>
      <w:r w:rsidRPr="00D4309F">
        <w:rPr>
          <w:spacing w:val="-4"/>
        </w:rPr>
        <w:t xml:space="preserve"> </w:t>
      </w:r>
      <w:r w:rsidRPr="00D4309F">
        <w:t>Buried</w:t>
      </w:r>
      <w:r w:rsidRPr="00D4309F">
        <w:rPr>
          <w:spacing w:val="-3"/>
        </w:rPr>
        <w:t xml:space="preserve"> </w:t>
      </w:r>
      <w:r w:rsidRPr="00D4309F">
        <w:t>within</w:t>
      </w:r>
      <w:r w:rsidRPr="00D4309F">
        <w:rPr>
          <w:spacing w:val="-4"/>
        </w:rPr>
        <w:t xml:space="preserve"> </w:t>
      </w:r>
      <w:r w:rsidRPr="00D4309F">
        <w:t>the</w:t>
      </w:r>
      <w:r w:rsidRPr="00D4309F">
        <w:rPr>
          <w:spacing w:val="-3"/>
        </w:rPr>
        <w:t xml:space="preserve"> </w:t>
      </w:r>
      <w:r w:rsidRPr="00D4309F">
        <w:t>seabed,</w:t>
      </w:r>
      <w:r w:rsidRPr="00D4309F">
        <w:rPr>
          <w:spacing w:val="-3"/>
        </w:rPr>
        <w:t xml:space="preserve"> </w:t>
      </w:r>
      <w:r w:rsidRPr="00D4309F">
        <w:t>these</w:t>
      </w:r>
      <w:r w:rsidRPr="00D4309F">
        <w:rPr>
          <w:spacing w:val="-3"/>
        </w:rPr>
        <w:t xml:space="preserve"> </w:t>
      </w:r>
      <w:r w:rsidRPr="00D4309F">
        <w:t>create</w:t>
      </w:r>
      <w:r w:rsidRPr="00D4309F">
        <w:rPr>
          <w:spacing w:val="-3"/>
        </w:rPr>
        <w:t xml:space="preserve"> </w:t>
      </w:r>
      <w:r w:rsidRPr="00D4309F">
        <w:t>localised</w:t>
      </w:r>
      <w:r w:rsidRPr="00D4309F">
        <w:rPr>
          <w:spacing w:val="-3"/>
        </w:rPr>
        <w:t xml:space="preserve"> </w:t>
      </w:r>
      <w:r w:rsidRPr="00D4309F">
        <w:t>depressions</w:t>
      </w:r>
      <w:r w:rsidRPr="00D4309F">
        <w:rPr>
          <w:spacing w:val="-2"/>
        </w:rPr>
        <w:t xml:space="preserve"> </w:t>
      </w:r>
      <w:r w:rsidRPr="00D4309F">
        <w:t>that</w:t>
      </w:r>
      <w:r w:rsidRPr="00D4309F">
        <w:rPr>
          <w:spacing w:val="-3"/>
        </w:rPr>
        <w:t xml:space="preserve"> </w:t>
      </w:r>
      <w:r w:rsidRPr="00D4309F">
        <w:t>draw</w:t>
      </w:r>
      <w:r w:rsidRPr="00D4309F">
        <w:rPr>
          <w:spacing w:val="-2"/>
        </w:rPr>
        <w:t xml:space="preserve"> </w:t>
      </w:r>
      <w:r w:rsidRPr="00D4309F">
        <w:t>in sand and water to form the slurry.</w:t>
      </w:r>
    </w:p>
    <w:p w14:paraId="58180727" w14:textId="77777777" w:rsidR="00725977" w:rsidRPr="00D4309F" w:rsidRDefault="00725977" w:rsidP="006156B6">
      <w:pPr>
        <w:pStyle w:val="ListBullet"/>
      </w:pPr>
      <w:r w:rsidRPr="00D4309F">
        <w:t>Water</w:t>
      </w:r>
      <w:r w:rsidRPr="00D4309F">
        <w:rPr>
          <w:spacing w:val="-5"/>
        </w:rPr>
        <w:t xml:space="preserve"> </w:t>
      </w:r>
      <w:r w:rsidRPr="00D4309F">
        <w:t>supply</w:t>
      </w:r>
      <w:r w:rsidRPr="00D4309F">
        <w:rPr>
          <w:spacing w:val="-3"/>
        </w:rPr>
        <w:t xml:space="preserve"> </w:t>
      </w:r>
      <w:r w:rsidRPr="00D4309F">
        <w:t>pump</w:t>
      </w:r>
      <w:r w:rsidRPr="00D4309F">
        <w:rPr>
          <w:spacing w:val="-3"/>
        </w:rPr>
        <w:t xml:space="preserve"> </w:t>
      </w:r>
      <w:r w:rsidRPr="00D4309F">
        <w:t>–</w:t>
      </w:r>
      <w:r w:rsidRPr="00D4309F">
        <w:rPr>
          <w:spacing w:val="-4"/>
        </w:rPr>
        <w:t xml:space="preserve"> </w:t>
      </w:r>
      <w:r w:rsidRPr="00D4309F">
        <w:t>Provides</w:t>
      </w:r>
      <w:r w:rsidRPr="00D4309F">
        <w:rPr>
          <w:spacing w:val="-2"/>
        </w:rPr>
        <w:t xml:space="preserve"> </w:t>
      </w:r>
      <w:r w:rsidRPr="00D4309F">
        <w:t>high-pressure</w:t>
      </w:r>
      <w:r w:rsidRPr="00D4309F">
        <w:rPr>
          <w:spacing w:val="-3"/>
        </w:rPr>
        <w:t xml:space="preserve"> </w:t>
      </w:r>
      <w:r w:rsidRPr="00D4309F">
        <w:t>water</w:t>
      </w:r>
      <w:r w:rsidRPr="00D4309F">
        <w:rPr>
          <w:spacing w:val="-2"/>
        </w:rPr>
        <w:t xml:space="preserve"> </w:t>
      </w:r>
      <w:r w:rsidRPr="00D4309F">
        <w:t>to</w:t>
      </w:r>
      <w:r w:rsidRPr="00D4309F">
        <w:rPr>
          <w:spacing w:val="-4"/>
        </w:rPr>
        <w:t xml:space="preserve"> </w:t>
      </w:r>
      <w:r w:rsidRPr="00D4309F">
        <w:t>power</w:t>
      </w:r>
      <w:r w:rsidRPr="00D4309F">
        <w:rPr>
          <w:spacing w:val="-2"/>
        </w:rPr>
        <w:t xml:space="preserve"> </w:t>
      </w:r>
      <w:r w:rsidRPr="00D4309F">
        <w:t>the</w:t>
      </w:r>
      <w:r w:rsidRPr="00D4309F">
        <w:rPr>
          <w:spacing w:val="-3"/>
        </w:rPr>
        <w:t xml:space="preserve"> </w:t>
      </w:r>
      <w:r w:rsidRPr="00D4309F">
        <w:t>jet</w:t>
      </w:r>
      <w:r w:rsidRPr="00D4309F">
        <w:rPr>
          <w:spacing w:val="-3"/>
        </w:rPr>
        <w:t xml:space="preserve"> </w:t>
      </w:r>
      <w:r w:rsidRPr="00D4309F">
        <w:rPr>
          <w:spacing w:val="-2"/>
        </w:rPr>
        <w:t>pumps.</w:t>
      </w:r>
    </w:p>
    <w:p w14:paraId="2CD73FC8" w14:textId="77777777" w:rsidR="00725977" w:rsidRPr="00D4309F" w:rsidRDefault="00725977" w:rsidP="006156B6">
      <w:pPr>
        <w:pStyle w:val="ListBullet"/>
      </w:pPr>
      <w:r w:rsidRPr="00D4309F">
        <w:t>Dredge</w:t>
      </w:r>
      <w:r w:rsidRPr="00D4309F">
        <w:rPr>
          <w:spacing w:val="-3"/>
        </w:rPr>
        <w:t xml:space="preserve"> </w:t>
      </w:r>
      <w:r w:rsidRPr="00D4309F">
        <w:t>booster</w:t>
      </w:r>
      <w:r w:rsidRPr="00D4309F">
        <w:rPr>
          <w:spacing w:val="-2"/>
        </w:rPr>
        <w:t xml:space="preserve"> </w:t>
      </w:r>
      <w:r w:rsidRPr="00D4309F">
        <w:t>pump</w:t>
      </w:r>
      <w:r w:rsidRPr="00D4309F">
        <w:rPr>
          <w:spacing w:val="-3"/>
        </w:rPr>
        <w:t xml:space="preserve"> </w:t>
      </w:r>
      <w:r w:rsidRPr="00D4309F">
        <w:t>–</w:t>
      </w:r>
      <w:r w:rsidRPr="00D4309F">
        <w:rPr>
          <w:spacing w:val="-3"/>
        </w:rPr>
        <w:t xml:space="preserve"> </w:t>
      </w:r>
      <w:r w:rsidRPr="00D4309F">
        <w:t>Located</w:t>
      </w:r>
      <w:r w:rsidRPr="00D4309F">
        <w:rPr>
          <w:spacing w:val="-3"/>
        </w:rPr>
        <w:t xml:space="preserve"> </w:t>
      </w:r>
      <w:r w:rsidRPr="00D4309F">
        <w:t>onshore</w:t>
      </w:r>
      <w:r w:rsidRPr="00D4309F">
        <w:rPr>
          <w:spacing w:val="-3"/>
        </w:rPr>
        <w:t xml:space="preserve"> </w:t>
      </w:r>
      <w:r w:rsidRPr="00D4309F">
        <w:t>to</w:t>
      </w:r>
      <w:r w:rsidRPr="00D4309F">
        <w:rPr>
          <w:spacing w:val="-3"/>
        </w:rPr>
        <w:t xml:space="preserve"> </w:t>
      </w:r>
      <w:r w:rsidRPr="00D4309F">
        <w:t>increase</w:t>
      </w:r>
      <w:r w:rsidRPr="00D4309F">
        <w:rPr>
          <w:spacing w:val="-3"/>
        </w:rPr>
        <w:t xml:space="preserve"> </w:t>
      </w:r>
      <w:r w:rsidRPr="00D4309F">
        <w:t>pressure</w:t>
      </w:r>
      <w:r w:rsidRPr="00D4309F">
        <w:rPr>
          <w:spacing w:val="-3"/>
        </w:rPr>
        <w:t xml:space="preserve"> </w:t>
      </w:r>
      <w:r w:rsidRPr="00D4309F">
        <w:t>and</w:t>
      </w:r>
      <w:r w:rsidRPr="00D4309F">
        <w:rPr>
          <w:spacing w:val="-4"/>
        </w:rPr>
        <w:t xml:space="preserve"> </w:t>
      </w:r>
      <w:r w:rsidRPr="00D4309F">
        <w:t>move</w:t>
      </w:r>
      <w:r w:rsidRPr="00D4309F">
        <w:rPr>
          <w:spacing w:val="-3"/>
        </w:rPr>
        <w:t xml:space="preserve"> </w:t>
      </w:r>
      <w:r w:rsidRPr="00D4309F">
        <w:t>the</w:t>
      </w:r>
      <w:r w:rsidRPr="00D4309F">
        <w:rPr>
          <w:spacing w:val="-4"/>
        </w:rPr>
        <w:t xml:space="preserve"> </w:t>
      </w:r>
      <w:r w:rsidRPr="00D4309F">
        <w:t>slurry</w:t>
      </w:r>
      <w:r w:rsidRPr="00D4309F">
        <w:rPr>
          <w:spacing w:val="-2"/>
        </w:rPr>
        <w:t xml:space="preserve"> </w:t>
      </w:r>
      <w:r w:rsidRPr="00D4309F">
        <w:t>through</w:t>
      </w:r>
      <w:r w:rsidRPr="00D4309F">
        <w:rPr>
          <w:spacing w:val="-3"/>
        </w:rPr>
        <w:t xml:space="preserve"> </w:t>
      </w:r>
      <w:r w:rsidRPr="00D4309F">
        <w:t>the discharge pipeline.</w:t>
      </w:r>
    </w:p>
    <w:p w14:paraId="58B6A29D" w14:textId="77777777" w:rsidR="00725977" w:rsidRPr="00D4309F" w:rsidRDefault="00725977" w:rsidP="006156B6">
      <w:pPr>
        <w:pStyle w:val="ListBullet"/>
      </w:pPr>
      <w:r w:rsidRPr="00D4309F">
        <w:t>Discharge</w:t>
      </w:r>
      <w:r w:rsidRPr="00D4309F">
        <w:rPr>
          <w:spacing w:val="-2"/>
        </w:rPr>
        <w:t xml:space="preserve"> </w:t>
      </w:r>
      <w:r w:rsidRPr="00D4309F">
        <w:t>pipeline</w:t>
      </w:r>
      <w:r w:rsidRPr="00D4309F">
        <w:rPr>
          <w:spacing w:val="-2"/>
        </w:rPr>
        <w:t xml:space="preserve"> </w:t>
      </w:r>
      <w:r w:rsidRPr="00D4309F">
        <w:t>–</w:t>
      </w:r>
      <w:r w:rsidRPr="00D4309F">
        <w:rPr>
          <w:spacing w:val="-2"/>
        </w:rPr>
        <w:t xml:space="preserve"> </w:t>
      </w:r>
      <w:r w:rsidRPr="00D4309F">
        <w:t>Transfers</w:t>
      </w:r>
      <w:r w:rsidRPr="00D4309F">
        <w:rPr>
          <w:spacing w:val="-1"/>
        </w:rPr>
        <w:t xml:space="preserve"> </w:t>
      </w:r>
      <w:r w:rsidRPr="00D4309F">
        <w:t>the</w:t>
      </w:r>
      <w:r w:rsidRPr="00D4309F">
        <w:rPr>
          <w:spacing w:val="-3"/>
        </w:rPr>
        <w:t xml:space="preserve"> </w:t>
      </w:r>
      <w:r w:rsidRPr="00D4309F">
        <w:t>sand</w:t>
      </w:r>
      <w:r w:rsidRPr="00D4309F">
        <w:rPr>
          <w:spacing w:val="-2"/>
        </w:rPr>
        <w:t xml:space="preserve"> </w:t>
      </w:r>
      <w:r w:rsidRPr="00D4309F">
        <w:t>slurry</w:t>
      </w:r>
      <w:r w:rsidRPr="00D4309F">
        <w:rPr>
          <w:spacing w:val="-1"/>
        </w:rPr>
        <w:t xml:space="preserve"> </w:t>
      </w:r>
      <w:r w:rsidRPr="00D4309F">
        <w:t>to</w:t>
      </w:r>
      <w:r w:rsidRPr="00D4309F">
        <w:rPr>
          <w:spacing w:val="-2"/>
        </w:rPr>
        <w:t xml:space="preserve"> </w:t>
      </w:r>
      <w:r w:rsidRPr="00D4309F">
        <w:t>the</w:t>
      </w:r>
      <w:r w:rsidRPr="00D4309F">
        <w:rPr>
          <w:spacing w:val="-2"/>
        </w:rPr>
        <w:t xml:space="preserve"> </w:t>
      </w:r>
      <w:r w:rsidRPr="00D4309F">
        <w:t>disposal</w:t>
      </w:r>
      <w:r w:rsidRPr="00D4309F">
        <w:rPr>
          <w:spacing w:val="-2"/>
        </w:rPr>
        <w:t xml:space="preserve"> </w:t>
      </w:r>
      <w:r w:rsidRPr="00D4309F">
        <w:t>area,</w:t>
      </w:r>
      <w:r w:rsidRPr="00D4309F">
        <w:rPr>
          <w:spacing w:val="-4"/>
        </w:rPr>
        <w:t xml:space="preserve"> </w:t>
      </w:r>
      <w:r w:rsidRPr="00D4309F">
        <w:t>which</w:t>
      </w:r>
      <w:r w:rsidRPr="00D4309F">
        <w:rPr>
          <w:spacing w:val="-2"/>
        </w:rPr>
        <w:t xml:space="preserve"> </w:t>
      </w:r>
      <w:r w:rsidRPr="00D4309F">
        <w:t>may</w:t>
      </w:r>
      <w:r w:rsidRPr="00D4309F">
        <w:rPr>
          <w:spacing w:val="-1"/>
        </w:rPr>
        <w:t xml:space="preserve"> </w:t>
      </w:r>
      <w:r w:rsidRPr="00D4309F">
        <w:t>be</w:t>
      </w:r>
      <w:r w:rsidRPr="00D4309F">
        <w:rPr>
          <w:spacing w:val="-3"/>
        </w:rPr>
        <w:t xml:space="preserve"> </w:t>
      </w:r>
      <w:r w:rsidRPr="00D4309F">
        <w:t>several</w:t>
      </w:r>
      <w:r w:rsidRPr="00D4309F">
        <w:rPr>
          <w:spacing w:val="-2"/>
        </w:rPr>
        <w:t xml:space="preserve"> </w:t>
      </w:r>
      <w:r w:rsidRPr="00D4309F">
        <w:t>hundred metres away.</w:t>
      </w:r>
    </w:p>
    <w:p w14:paraId="71893B65" w14:textId="77777777" w:rsidR="00725977" w:rsidRPr="00D4309F" w:rsidRDefault="00725977" w:rsidP="006156B6">
      <w:pPr>
        <w:pStyle w:val="ListBullet"/>
      </w:pPr>
      <w:r w:rsidRPr="00D4309F">
        <w:t>Control</w:t>
      </w:r>
      <w:r w:rsidRPr="00D4309F">
        <w:rPr>
          <w:spacing w:val="-3"/>
        </w:rPr>
        <w:t xml:space="preserve"> </w:t>
      </w:r>
      <w:r w:rsidRPr="00D4309F">
        <w:t>units</w:t>
      </w:r>
      <w:r w:rsidRPr="00D4309F">
        <w:rPr>
          <w:spacing w:val="-4"/>
        </w:rPr>
        <w:t xml:space="preserve"> </w:t>
      </w:r>
      <w:r w:rsidRPr="00D4309F">
        <w:t>and</w:t>
      </w:r>
      <w:r w:rsidRPr="00D4309F">
        <w:rPr>
          <w:spacing w:val="-3"/>
        </w:rPr>
        <w:t xml:space="preserve"> </w:t>
      </w:r>
      <w:r w:rsidRPr="00D4309F">
        <w:t>power</w:t>
      </w:r>
      <w:r w:rsidRPr="00D4309F">
        <w:rPr>
          <w:spacing w:val="-2"/>
        </w:rPr>
        <w:t xml:space="preserve"> </w:t>
      </w:r>
      <w:r w:rsidRPr="00D4309F">
        <w:t>source</w:t>
      </w:r>
      <w:r w:rsidRPr="00D4309F">
        <w:rPr>
          <w:spacing w:val="-3"/>
        </w:rPr>
        <w:t xml:space="preserve"> </w:t>
      </w:r>
      <w:r w:rsidRPr="00D4309F">
        <w:t>–</w:t>
      </w:r>
      <w:r w:rsidRPr="00D4309F">
        <w:rPr>
          <w:spacing w:val="-3"/>
        </w:rPr>
        <w:t xml:space="preserve"> </w:t>
      </w:r>
      <w:r w:rsidRPr="00D4309F">
        <w:t>Diesel</w:t>
      </w:r>
      <w:r w:rsidRPr="00D4309F">
        <w:rPr>
          <w:spacing w:val="-4"/>
        </w:rPr>
        <w:t xml:space="preserve"> </w:t>
      </w:r>
      <w:r w:rsidRPr="00D4309F">
        <w:t>or</w:t>
      </w:r>
      <w:r w:rsidRPr="00D4309F">
        <w:rPr>
          <w:spacing w:val="-2"/>
        </w:rPr>
        <w:t xml:space="preserve"> </w:t>
      </w:r>
      <w:r w:rsidRPr="00D4309F">
        <w:t>electric-powered,</w:t>
      </w:r>
      <w:r w:rsidRPr="00D4309F">
        <w:rPr>
          <w:spacing w:val="-3"/>
        </w:rPr>
        <w:t xml:space="preserve"> </w:t>
      </w:r>
      <w:r w:rsidRPr="00D4309F">
        <w:t>typically</w:t>
      </w:r>
      <w:r w:rsidRPr="00D4309F">
        <w:rPr>
          <w:spacing w:val="-2"/>
        </w:rPr>
        <w:t xml:space="preserve"> </w:t>
      </w:r>
      <w:r w:rsidRPr="00D4309F">
        <w:t>housed</w:t>
      </w:r>
      <w:r w:rsidRPr="00D4309F">
        <w:rPr>
          <w:spacing w:val="-3"/>
        </w:rPr>
        <w:t xml:space="preserve"> </w:t>
      </w:r>
      <w:r w:rsidRPr="00D4309F">
        <w:t>in</w:t>
      </w:r>
      <w:r w:rsidRPr="00D4309F">
        <w:rPr>
          <w:spacing w:val="-3"/>
        </w:rPr>
        <w:t xml:space="preserve"> </w:t>
      </w:r>
      <w:r w:rsidRPr="00D4309F">
        <w:t>containerised</w:t>
      </w:r>
      <w:r w:rsidRPr="00D4309F">
        <w:rPr>
          <w:spacing w:val="-4"/>
        </w:rPr>
        <w:t xml:space="preserve"> </w:t>
      </w:r>
      <w:r w:rsidRPr="00D4309F">
        <w:t>units</w:t>
      </w:r>
      <w:r w:rsidRPr="00D4309F">
        <w:rPr>
          <w:spacing w:val="-2"/>
        </w:rPr>
        <w:t xml:space="preserve"> </w:t>
      </w:r>
      <w:r w:rsidRPr="00D4309F">
        <w:t>for ease of relocation.</w:t>
      </w:r>
    </w:p>
    <w:p w14:paraId="38B89424" w14:textId="77777777" w:rsidR="00725977" w:rsidRPr="00D4309F" w:rsidRDefault="00725977" w:rsidP="00725977">
      <w:pPr>
        <w:pStyle w:val="BodyText"/>
      </w:pPr>
      <w:r w:rsidRPr="00D4309F">
        <w:t>Typical systems can handle sand volumes in the range of 50–200 cubic metres per hour, depending on pump</w:t>
      </w:r>
      <w:r w:rsidRPr="00D4309F">
        <w:rPr>
          <w:spacing w:val="-2"/>
        </w:rPr>
        <w:t xml:space="preserve"> </w:t>
      </w:r>
      <w:r w:rsidRPr="00D4309F">
        <w:t>size,</w:t>
      </w:r>
      <w:r w:rsidRPr="00D4309F">
        <w:rPr>
          <w:spacing w:val="-2"/>
        </w:rPr>
        <w:t xml:space="preserve"> </w:t>
      </w:r>
      <w:r w:rsidRPr="00D4309F">
        <w:t>sediment</w:t>
      </w:r>
      <w:r w:rsidRPr="00D4309F">
        <w:rPr>
          <w:spacing w:val="-2"/>
        </w:rPr>
        <w:t xml:space="preserve"> </w:t>
      </w:r>
      <w:r w:rsidRPr="00D4309F">
        <w:t>type,</w:t>
      </w:r>
      <w:r w:rsidRPr="00D4309F">
        <w:rPr>
          <w:spacing w:val="-2"/>
        </w:rPr>
        <w:t xml:space="preserve"> </w:t>
      </w:r>
      <w:r w:rsidRPr="00D4309F">
        <w:t>and</w:t>
      </w:r>
      <w:r w:rsidRPr="00D4309F">
        <w:rPr>
          <w:spacing w:val="-2"/>
        </w:rPr>
        <w:t xml:space="preserve"> </w:t>
      </w:r>
      <w:r w:rsidRPr="00D4309F">
        <w:t>pipeline</w:t>
      </w:r>
      <w:r w:rsidRPr="00D4309F">
        <w:rPr>
          <w:spacing w:val="-3"/>
        </w:rPr>
        <w:t xml:space="preserve"> </w:t>
      </w:r>
      <w:r w:rsidRPr="00D4309F">
        <w:t>length.</w:t>
      </w:r>
      <w:r w:rsidRPr="00D4309F">
        <w:rPr>
          <w:spacing w:val="-2"/>
        </w:rPr>
        <w:t xml:space="preserve"> </w:t>
      </w:r>
      <w:r w:rsidRPr="00D4309F">
        <w:t>The</w:t>
      </w:r>
      <w:r w:rsidRPr="00D4309F">
        <w:rPr>
          <w:spacing w:val="-2"/>
        </w:rPr>
        <w:t xml:space="preserve"> </w:t>
      </w:r>
      <w:r w:rsidRPr="00D4309F">
        <w:t>installation</w:t>
      </w:r>
      <w:r w:rsidRPr="00D4309F">
        <w:rPr>
          <w:spacing w:val="-2"/>
        </w:rPr>
        <w:t xml:space="preserve"> </w:t>
      </w:r>
      <w:r w:rsidRPr="00D4309F">
        <w:t>layout</w:t>
      </w:r>
      <w:r w:rsidRPr="00D4309F">
        <w:rPr>
          <w:spacing w:val="-2"/>
        </w:rPr>
        <w:t xml:space="preserve"> </w:t>
      </w:r>
      <w:r w:rsidRPr="00D4309F">
        <w:t>and</w:t>
      </w:r>
      <w:r w:rsidRPr="00D4309F">
        <w:rPr>
          <w:spacing w:val="-2"/>
        </w:rPr>
        <w:t xml:space="preserve"> </w:t>
      </w:r>
      <w:r w:rsidRPr="00D4309F">
        <w:t>spacing</w:t>
      </w:r>
      <w:r w:rsidRPr="00D4309F">
        <w:rPr>
          <w:spacing w:val="-2"/>
        </w:rPr>
        <w:t xml:space="preserve"> </w:t>
      </w:r>
      <w:r w:rsidRPr="00D4309F">
        <w:t>of</w:t>
      </w:r>
      <w:r w:rsidRPr="00D4309F">
        <w:rPr>
          <w:spacing w:val="-2"/>
        </w:rPr>
        <w:t xml:space="preserve"> </w:t>
      </w:r>
      <w:r w:rsidRPr="00D4309F">
        <w:t>pumps</w:t>
      </w:r>
      <w:r w:rsidRPr="00D4309F">
        <w:rPr>
          <w:spacing w:val="-1"/>
        </w:rPr>
        <w:t xml:space="preserve"> </w:t>
      </w:r>
      <w:r w:rsidRPr="00D4309F">
        <w:t>depend</w:t>
      </w:r>
      <w:r w:rsidRPr="00D4309F">
        <w:rPr>
          <w:spacing w:val="-2"/>
        </w:rPr>
        <w:t xml:space="preserve"> </w:t>
      </w:r>
      <w:r w:rsidRPr="00D4309F">
        <w:t>on</w:t>
      </w:r>
      <w:r w:rsidRPr="00D4309F">
        <w:rPr>
          <w:spacing w:val="-2"/>
        </w:rPr>
        <w:t xml:space="preserve"> </w:t>
      </w:r>
      <w:r w:rsidRPr="00D4309F">
        <w:t xml:space="preserve">local </w:t>
      </w:r>
      <w:r w:rsidRPr="00D4309F">
        <w:lastRenderedPageBreak/>
        <w:t>seabed</w:t>
      </w:r>
      <w:r w:rsidRPr="00D4309F">
        <w:rPr>
          <w:spacing w:val="-1"/>
        </w:rPr>
        <w:t xml:space="preserve"> </w:t>
      </w:r>
      <w:r w:rsidRPr="00D4309F">
        <w:t>conditions and sand movement</w:t>
      </w:r>
      <w:r w:rsidRPr="00D4309F">
        <w:rPr>
          <w:spacing w:val="-2"/>
        </w:rPr>
        <w:t xml:space="preserve"> </w:t>
      </w:r>
      <w:r w:rsidRPr="00D4309F">
        <w:t>patterns. The</w:t>
      </w:r>
      <w:r w:rsidRPr="00D4309F">
        <w:rPr>
          <w:spacing w:val="-2"/>
        </w:rPr>
        <w:t xml:space="preserve"> </w:t>
      </w:r>
      <w:r w:rsidRPr="00D4309F">
        <w:t>system can</w:t>
      </w:r>
      <w:r w:rsidRPr="00D4309F">
        <w:rPr>
          <w:spacing w:val="-1"/>
        </w:rPr>
        <w:t xml:space="preserve"> </w:t>
      </w:r>
      <w:r w:rsidRPr="00D4309F">
        <w:t>be operated</w:t>
      </w:r>
      <w:r w:rsidRPr="00D4309F">
        <w:rPr>
          <w:spacing w:val="-1"/>
        </w:rPr>
        <w:t xml:space="preserve"> </w:t>
      </w:r>
      <w:r w:rsidRPr="00D4309F">
        <w:t>continuously or intermittently, based on monitoring of sand accumulation.</w:t>
      </w:r>
    </w:p>
    <w:p w14:paraId="0762C8F5" w14:textId="36DA96B0" w:rsidR="00FE6959" w:rsidRPr="00D4309F" w:rsidRDefault="00725977" w:rsidP="00725977">
      <w:pPr>
        <w:pStyle w:val="BodyText"/>
      </w:pPr>
      <w:r w:rsidRPr="00D4309F">
        <w:t>Maintenance</w:t>
      </w:r>
      <w:r w:rsidRPr="00D4309F">
        <w:rPr>
          <w:spacing w:val="-2"/>
        </w:rPr>
        <w:t xml:space="preserve"> </w:t>
      </w:r>
      <w:r w:rsidRPr="00D4309F">
        <w:t>requirements</w:t>
      </w:r>
      <w:r w:rsidRPr="00D4309F">
        <w:rPr>
          <w:spacing w:val="-2"/>
        </w:rPr>
        <w:t xml:space="preserve"> </w:t>
      </w:r>
      <w:r w:rsidRPr="00D4309F">
        <w:t>are</w:t>
      </w:r>
      <w:r w:rsidRPr="00D4309F">
        <w:rPr>
          <w:spacing w:val="-2"/>
        </w:rPr>
        <w:t xml:space="preserve"> </w:t>
      </w:r>
      <w:r w:rsidRPr="00D4309F">
        <w:t>generally</w:t>
      </w:r>
      <w:r w:rsidRPr="00D4309F">
        <w:rPr>
          <w:spacing w:val="-2"/>
        </w:rPr>
        <w:t xml:space="preserve"> </w:t>
      </w:r>
      <w:r w:rsidRPr="00D4309F">
        <w:t>low</w:t>
      </w:r>
      <w:r w:rsidRPr="00D4309F">
        <w:rPr>
          <w:spacing w:val="-1"/>
        </w:rPr>
        <w:t xml:space="preserve"> </w:t>
      </w:r>
      <w:r w:rsidRPr="00D4309F">
        <w:t>compared</w:t>
      </w:r>
      <w:r w:rsidRPr="00D4309F">
        <w:rPr>
          <w:spacing w:val="-2"/>
        </w:rPr>
        <w:t xml:space="preserve"> </w:t>
      </w:r>
      <w:r w:rsidRPr="00D4309F">
        <w:t>to</w:t>
      </w:r>
      <w:r w:rsidRPr="00D4309F">
        <w:rPr>
          <w:spacing w:val="-2"/>
        </w:rPr>
        <w:t xml:space="preserve"> </w:t>
      </w:r>
      <w:r w:rsidRPr="00D4309F">
        <w:t>mechanical</w:t>
      </w:r>
      <w:r w:rsidRPr="00D4309F">
        <w:rPr>
          <w:spacing w:val="-2"/>
        </w:rPr>
        <w:t xml:space="preserve"> </w:t>
      </w:r>
      <w:r w:rsidRPr="00D4309F">
        <w:t>dredging.</w:t>
      </w:r>
      <w:r w:rsidRPr="00D4309F">
        <w:rPr>
          <w:spacing w:val="-2"/>
        </w:rPr>
        <w:t xml:space="preserve"> </w:t>
      </w:r>
      <w:r w:rsidRPr="00D4309F">
        <w:t>Systems</w:t>
      </w:r>
      <w:r w:rsidRPr="00D4309F">
        <w:rPr>
          <w:spacing w:val="-1"/>
        </w:rPr>
        <w:t xml:space="preserve"> </w:t>
      </w:r>
      <w:r w:rsidRPr="00D4309F">
        <w:t>can</w:t>
      </w:r>
      <w:r w:rsidRPr="00D4309F">
        <w:rPr>
          <w:spacing w:val="-3"/>
        </w:rPr>
        <w:t xml:space="preserve"> </w:t>
      </w:r>
      <w:r w:rsidRPr="00D4309F">
        <w:t>often</w:t>
      </w:r>
      <w:r w:rsidRPr="00D4309F">
        <w:rPr>
          <w:spacing w:val="-2"/>
        </w:rPr>
        <w:t xml:space="preserve"> </w:t>
      </w:r>
      <w:r w:rsidRPr="00D4309F">
        <w:t>pump hundreds</w:t>
      </w:r>
      <w:r w:rsidRPr="00D4309F">
        <w:rPr>
          <w:spacing w:val="-1"/>
        </w:rPr>
        <w:t xml:space="preserve"> </w:t>
      </w:r>
      <w:r w:rsidRPr="00D4309F">
        <w:t>of</w:t>
      </w:r>
      <w:r w:rsidRPr="00D4309F">
        <w:rPr>
          <w:spacing w:val="-2"/>
        </w:rPr>
        <w:t xml:space="preserve"> </w:t>
      </w:r>
      <w:r w:rsidRPr="00D4309F">
        <w:t>thousands</w:t>
      </w:r>
      <w:r w:rsidRPr="00D4309F">
        <w:rPr>
          <w:spacing w:val="-1"/>
        </w:rPr>
        <w:t xml:space="preserve"> </w:t>
      </w:r>
      <w:r w:rsidRPr="00D4309F">
        <w:t>of</w:t>
      </w:r>
      <w:r w:rsidRPr="00D4309F">
        <w:rPr>
          <w:spacing w:val="-4"/>
        </w:rPr>
        <w:t xml:space="preserve"> </w:t>
      </w:r>
      <w:r w:rsidRPr="00D4309F">
        <w:t>cubic</w:t>
      </w:r>
      <w:r w:rsidRPr="00D4309F">
        <w:rPr>
          <w:spacing w:val="-1"/>
        </w:rPr>
        <w:t xml:space="preserve"> </w:t>
      </w:r>
      <w:r w:rsidRPr="00D4309F">
        <w:t>metres</w:t>
      </w:r>
      <w:r w:rsidRPr="00D4309F">
        <w:rPr>
          <w:spacing w:val="-2"/>
        </w:rPr>
        <w:t xml:space="preserve"> </w:t>
      </w:r>
      <w:r w:rsidRPr="00D4309F">
        <w:t>of</w:t>
      </w:r>
      <w:r w:rsidRPr="00D4309F">
        <w:rPr>
          <w:spacing w:val="-2"/>
        </w:rPr>
        <w:t xml:space="preserve"> </w:t>
      </w:r>
      <w:r w:rsidRPr="00D4309F">
        <w:t>sand</w:t>
      </w:r>
      <w:r w:rsidRPr="00D4309F">
        <w:rPr>
          <w:spacing w:val="-2"/>
        </w:rPr>
        <w:t xml:space="preserve"> </w:t>
      </w:r>
      <w:r w:rsidRPr="00D4309F">
        <w:t>before</w:t>
      </w:r>
      <w:r w:rsidRPr="00D4309F">
        <w:rPr>
          <w:spacing w:val="-2"/>
        </w:rPr>
        <w:t xml:space="preserve"> </w:t>
      </w:r>
      <w:r w:rsidRPr="00D4309F">
        <w:t>major</w:t>
      </w:r>
      <w:r w:rsidRPr="00D4309F">
        <w:rPr>
          <w:spacing w:val="-3"/>
        </w:rPr>
        <w:t xml:space="preserve"> </w:t>
      </w:r>
      <w:r w:rsidRPr="00D4309F">
        <w:t>servicing</w:t>
      </w:r>
      <w:r w:rsidRPr="00D4309F">
        <w:rPr>
          <w:spacing w:val="-2"/>
        </w:rPr>
        <w:t xml:space="preserve"> </w:t>
      </w:r>
      <w:r w:rsidRPr="00D4309F">
        <w:t>is</w:t>
      </w:r>
      <w:r w:rsidRPr="00D4309F">
        <w:rPr>
          <w:spacing w:val="-1"/>
        </w:rPr>
        <w:t xml:space="preserve"> </w:t>
      </w:r>
      <w:r w:rsidRPr="00D4309F">
        <w:t>required.</w:t>
      </w:r>
      <w:r w:rsidRPr="00D4309F">
        <w:rPr>
          <w:spacing w:val="-2"/>
        </w:rPr>
        <w:t xml:space="preserve"> </w:t>
      </w:r>
      <w:r w:rsidRPr="00D4309F">
        <w:t>The</w:t>
      </w:r>
      <w:r w:rsidRPr="00D4309F">
        <w:rPr>
          <w:spacing w:val="-2"/>
        </w:rPr>
        <w:t xml:space="preserve"> </w:t>
      </w:r>
      <w:r w:rsidRPr="00D4309F">
        <w:t>main</w:t>
      </w:r>
      <w:r w:rsidRPr="00D4309F">
        <w:rPr>
          <w:spacing w:val="-3"/>
        </w:rPr>
        <w:t xml:space="preserve"> </w:t>
      </w:r>
      <w:r w:rsidRPr="00D4309F">
        <w:t>maintenance tasks include checking pipelines for blockages, inspecting pump internals for wear, and ensuring efficient slurry</w:t>
      </w:r>
      <w:r w:rsidRPr="00D4309F">
        <w:rPr>
          <w:spacing w:val="-2"/>
        </w:rPr>
        <w:t xml:space="preserve"> </w:t>
      </w:r>
      <w:r w:rsidRPr="00D4309F">
        <w:t>flow.</w:t>
      </w:r>
      <w:r w:rsidRPr="00D4309F">
        <w:rPr>
          <w:spacing w:val="-3"/>
        </w:rPr>
        <w:t xml:space="preserve"> </w:t>
      </w:r>
      <w:r w:rsidRPr="00D4309F">
        <w:t>Electric</w:t>
      </w:r>
      <w:r w:rsidRPr="00D4309F">
        <w:rPr>
          <w:spacing w:val="-2"/>
        </w:rPr>
        <w:t xml:space="preserve"> </w:t>
      </w:r>
      <w:r w:rsidRPr="00D4309F">
        <w:t>operation</w:t>
      </w:r>
      <w:r w:rsidRPr="00D4309F">
        <w:rPr>
          <w:spacing w:val="-3"/>
        </w:rPr>
        <w:t xml:space="preserve"> </w:t>
      </w:r>
      <w:r w:rsidRPr="00D4309F">
        <w:t>is</w:t>
      </w:r>
      <w:r w:rsidRPr="00D4309F">
        <w:rPr>
          <w:spacing w:val="-2"/>
        </w:rPr>
        <w:t xml:space="preserve"> </w:t>
      </w:r>
      <w:r w:rsidRPr="00D4309F">
        <w:t>increasingly</w:t>
      </w:r>
      <w:r w:rsidRPr="00D4309F">
        <w:rPr>
          <w:spacing w:val="-2"/>
        </w:rPr>
        <w:t xml:space="preserve"> </w:t>
      </w:r>
      <w:r w:rsidRPr="00D4309F">
        <w:t>favoured</w:t>
      </w:r>
      <w:r w:rsidRPr="00D4309F">
        <w:rPr>
          <w:spacing w:val="-4"/>
        </w:rPr>
        <w:t xml:space="preserve"> </w:t>
      </w:r>
      <w:r w:rsidRPr="00D4309F">
        <w:t>due</w:t>
      </w:r>
      <w:r w:rsidRPr="00D4309F">
        <w:rPr>
          <w:spacing w:val="-3"/>
        </w:rPr>
        <w:t xml:space="preserve"> </w:t>
      </w:r>
      <w:r w:rsidRPr="00D4309F">
        <w:t>to</w:t>
      </w:r>
      <w:r w:rsidRPr="00D4309F">
        <w:rPr>
          <w:spacing w:val="-3"/>
        </w:rPr>
        <w:t xml:space="preserve"> </w:t>
      </w:r>
      <w:r w:rsidRPr="00D4309F">
        <w:t>lower</w:t>
      </w:r>
      <w:r w:rsidRPr="00D4309F">
        <w:rPr>
          <w:spacing w:val="-2"/>
        </w:rPr>
        <w:t xml:space="preserve"> </w:t>
      </w:r>
      <w:r w:rsidRPr="00D4309F">
        <w:t>running</w:t>
      </w:r>
      <w:r w:rsidRPr="00D4309F">
        <w:rPr>
          <w:spacing w:val="-3"/>
        </w:rPr>
        <w:t xml:space="preserve"> </w:t>
      </w:r>
      <w:r w:rsidRPr="00D4309F">
        <w:t>costs</w:t>
      </w:r>
      <w:r w:rsidRPr="00D4309F">
        <w:rPr>
          <w:spacing w:val="-3"/>
        </w:rPr>
        <w:t xml:space="preserve"> </w:t>
      </w:r>
      <w:r w:rsidRPr="00D4309F">
        <w:t>and</w:t>
      </w:r>
      <w:r w:rsidRPr="00D4309F">
        <w:rPr>
          <w:spacing w:val="-3"/>
        </w:rPr>
        <w:t xml:space="preserve"> </w:t>
      </w:r>
      <w:r w:rsidRPr="00D4309F">
        <w:t>the</w:t>
      </w:r>
      <w:r w:rsidRPr="00D4309F">
        <w:rPr>
          <w:spacing w:val="-3"/>
        </w:rPr>
        <w:t xml:space="preserve"> </w:t>
      </w:r>
      <w:r w:rsidRPr="00D4309F">
        <w:t>ability</w:t>
      </w:r>
      <w:r w:rsidRPr="00D4309F">
        <w:rPr>
          <w:spacing w:val="-2"/>
        </w:rPr>
        <w:t xml:space="preserve"> </w:t>
      </w:r>
      <w:r w:rsidRPr="00D4309F">
        <w:t>to</w:t>
      </w:r>
      <w:r w:rsidRPr="00D4309F">
        <w:rPr>
          <w:spacing w:val="-3"/>
        </w:rPr>
        <w:t xml:space="preserve"> </w:t>
      </w:r>
      <w:r w:rsidRPr="00D4309F">
        <w:t>use</w:t>
      </w:r>
      <w:r w:rsidRPr="00D4309F">
        <w:rPr>
          <w:spacing w:val="-3"/>
        </w:rPr>
        <w:t xml:space="preserve"> </w:t>
      </w:r>
      <w:r w:rsidRPr="00D4309F">
        <w:t>off-peak energy rates, though diesel systems remain common for remote or temporary setups.</w:t>
      </w:r>
    </w:p>
    <w:p w14:paraId="70B9CD0B" w14:textId="77777777" w:rsidR="00725977" w:rsidRPr="00D4309F" w:rsidRDefault="00725977" w:rsidP="00725977">
      <w:pPr>
        <w:pStyle w:val="Heading4"/>
      </w:pPr>
      <w:r w:rsidRPr="00D4309F">
        <w:t>Pump</w:t>
      </w:r>
      <w:r w:rsidRPr="00D4309F">
        <w:rPr>
          <w:spacing w:val="-4"/>
        </w:rPr>
        <w:t xml:space="preserve"> </w:t>
      </w:r>
      <w:r w:rsidRPr="00D4309F">
        <w:t>outfall</w:t>
      </w:r>
      <w:r w:rsidRPr="00D4309F">
        <w:rPr>
          <w:spacing w:val="-3"/>
        </w:rPr>
        <w:t xml:space="preserve"> </w:t>
      </w:r>
      <w:r w:rsidRPr="00D4309F">
        <w:t>onto</w:t>
      </w:r>
      <w:r w:rsidRPr="00D4309F">
        <w:rPr>
          <w:spacing w:val="-2"/>
        </w:rPr>
        <w:t xml:space="preserve"> </w:t>
      </w:r>
      <w:r w:rsidRPr="00D4309F">
        <w:rPr>
          <w:spacing w:val="-4"/>
        </w:rPr>
        <w:t>beach</w:t>
      </w:r>
    </w:p>
    <w:p w14:paraId="22FC1AEE" w14:textId="69E527A1" w:rsidR="00725977" w:rsidRPr="00D4309F" w:rsidRDefault="00725977" w:rsidP="00725977">
      <w:pPr>
        <w:pStyle w:val="BodyText"/>
      </w:pPr>
      <w:r w:rsidRPr="00D4309F">
        <w:t>The</w:t>
      </w:r>
      <w:r w:rsidRPr="00D4309F">
        <w:rPr>
          <w:spacing w:val="-6"/>
        </w:rPr>
        <w:t xml:space="preserve"> </w:t>
      </w:r>
      <w:r w:rsidRPr="00D4309F">
        <w:t>following</w:t>
      </w:r>
      <w:r w:rsidRPr="00D4309F">
        <w:rPr>
          <w:spacing w:val="-4"/>
        </w:rPr>
        <w:t xml:space="preserve"> </w:t>
      </w:r>
      <w:r w:rsidRPr="00D4309F">
        <w:t>is</w:t>
      </w:r>
      <w:r w:rsidRPr="00D4309F">
        <w:rPr>
          <w:spacing w:val="-2"/>
        </w:rPr>
        <w:t xml:space="preserve"> </w:t>
      </w:r>
      <w:r w:rsidRPr="00D4309F">
        <w:t>an</w:t>
      </w:r>
      <w:r w:rsidRPr="00D4309F">
        <w:rPr>
          <w:spacing w:val="-3"/>
        </w:rPr>
        <w:t xml:space="preserve"> </w:t>
      </w:r>
      <w:r w:rsidRPr="00D4309F">
        <w:t>example</w:t>
      </w:r>
      <w:r w:rsidRPr="00D4309F">
        <w:rPr>
          <w:spacing w:val="-3"/>
        </w:rPr>
        <w:t xml:space="preserve"> </w:t>
      </w:r>
      <w:r w:rsidRPr="00D4309F">
        <w:t>of</w:t>
      </w:r>
      <w:r w:rsidRPr="00D4309F">
        <w:rPr>
          <w:spacing w:val="-4"/>
        </w:rPr>
        <w:t xml:space="preserve"> </w:t>
      </w:r>
      <w:r w:rsidRPr="00D4309F">
        <w:t>temporary</w:t>
      </w:r>
      <w:r w:rsidRPr="00D4309F">
        <w:rPr>
          <w:spacing w:val="-2"/>
        </w:rPr>
        <w:t xml:space="preserve"> </w:t>
      </w:r>
      <w:r w:rsidRPr="00D4309F">
        <w:t>pipe</w:t>
      </w:r>
      <w:r w:rsidRPr="00D4309F">
        <w:rPr>
          <w:spacing w:val="-4"/>
        </w:rPr>
        <w:t xml:space="preserve"> </w:t>
      </w:r>
      <w:r w:rsidRPr="00D4309F">
        <w:t>with</w:t>
      </w:r>
      <w:r w:rsidRPr="00D4309F">
        <w:rPr>
          <w:spacing w:val="-4"/>
        </w:rPr>
        <w:t xml:space="preserve"> </w:t>
      </w:r>
      <w:r w:rsidRPr="00D4309F">
        <w:t>multiple</w:t>
      </w:r>
      <w:r w:rsidRPr="00D4309F">
        <w:rPr>
          <w:spacing w:val="-3"/>
        </w:rPr>
        <w:t xml:space="preserve"> </w:t>
      </w:r>
      <w:r w:rsidRPr="00D4309F">
        <w:t>pipe</w:t>
      </w:r>
      <w:r w:rsidRPr="00D4309F">
        <w:rPr>
          <w:spacing w:val="-3"/>
        </w:rPr>
        <w:t xml:space="preserve"> </w:t>
      </w:r>
      <w:r w:rsidRPr="00D4309F">
        <w:t>outlets</w:t>
      </w:r>
      <w:r w:rsidRPr="00D4309F">
        <w:rPr>
          <w:spacing w:val="-3"/>
        </w:rPr>
        <w:t xml:space="preserve"> </w:t>
      </w:r>
      <w:r w:rsidRPr="00D4309F">
        <w:t>shown</w:t>
      </w:r>
      <w:r w:rsidRPr="00D4309F">
        <w:rPr>
          <w:spacing w:val="-3"/>
        </w:rPr>
        <w:t xml:space="preserve"> </w:t>
      </w:r>
      <w:r w:rsidRPr="00D4309F">
        <w:t>on</w:t>
      </w:r>
      <w:r w:rsidRPr="00D4309F">
        <w:rPr>
          <w:spacing w:val="-3"/>
        </w:rPr>
        <w:t xml:space="preserve"> </w:t>
      </w:r>
      <w:r w:rsidRPr="00D4309F">
        <w:t>the</w:t>
      </w:r>
      <w:r w:rsidRPr="00D4309F">
        <w:rPr>
          <w:spacing w:val="-3"/>
        </w:rPr>
        <w:t xml:space="preserve"> </w:t>
      </w:r>
      <w:r w:rsidRPr="00D4309F">
        <w:t>Gold</w:t>
      </w:r>
      <w:r w:rsidRPr="00D4309F">
        <w:rPr>
          <w:spacing w:val="-4"/>
        </w:rPr>
        <w:t xml:space="preserve"> </w:t>
      </w:r>
      <w:r w:rsidRPr="00D4309F">
        <w:rPr>
          <w:spacing w:val="-2"/>
        </w:rPr>
        <w:t>Coast.</w:t>
      </w:r>
      <w:r w:rsidR="008E784A">
        <w:rPr>
          <w:spacing w:val="-2"/>
        </w:rPr>
        <w:t xml:space="preserve"> Refer to Appendix C for other examples of sand bypass and operating systems.</w:t>
      </w:r>
    </w:p>
    <w:p w14:paraId="3CA1E0B9" w14:textId="654B1ACF" w:rsidR="00725977" w:rsidRDefault="00725977" w:rsidP="00725977">
      <w:pPr>
        <w:pStyle w:val="BodyText"/>
      </w:pPr>
      <w:r w:rsidRPr="00D4309F">
        <w:t>The existing pipe network along Mooloolaba Beach has been in use and it is assumed that the setup for this will</w:t>
      </w:r>
      <w:r w:rsidRPr="00D4309F">
        <w:rPr>
          <w:spacing w:val="-2"/>
        </w:rPr>
        <w:t xml:space="preserve"> </w:t>
      </w:r>
      <w:r w:rsidRPr="00D4309F">
        <w:t>remain</w:t>
      </w:r>
      <w:r w:rsidRPr="00D4309F">
        <w:rPr>
          <w:spacing w:val="-2"/>
        </w:rPr>
        <w:t xml:space="preserve"> </w:t>
      </w:r>
      <w:r w:rsidRPr="00D4309F">
        <w:t>the</w:t>
      </w:r>
      <w:r w:rsidRPr="00D4309F">
        <w:rPr>
          <w:spacing w:val="-2"/>
        </w:rPr>
        <w:t xml:space="preserve"> </w:t>
      </w:r>
      <w:r w:rsidRPr="00D4309F">
        <w:t>same</w:t>
      </w:r>
      <w:r w:rsidRPr="00D4309F">
        <w:rPr>
          <w:spacing w:val="-3"/>
        </w:rPr>
        <w:t xml:space="preserve"> </w:t>
      </w:r>
      <w:r w:rsidRPr="00D4309F">
        <w:t>(considered</w:t>
      </w:r>
      <w:r w:rsidRPr="00D4309F">
        <w:rPr>
          <w:spacing w:val="-2"/>
        </w:rPr>
        <w:t xml:space="preserve"> </w:t>
      </w:r>
      <w:r w:rsidRPr="00D4309F">
        <w:t>as</w:t>
      </w:r>
      <w:r w:rsidRPr="00D4309F">
        <w:rPr>
          <w:spacing w:val="-1"/>
        </w:rPr>
        <w:t xml:space="preserve"> </w:t>
      </w:r>
      <w:r w:rsidRPr="00D4309F">
        <w:t>the</w:t>
      </w:r>
      <w:r w:rsidRPr="00D4309F">
        <w:rPr>
          <w:spacing w:val="-3"/>
        </w:rPr>
        <w:t xml:space="preserve"> </w:t>
      </w:r>
      <w:r w:rsidRPr="00D4309F">
        <w:t>same</w:t>
      </w:r>
      <w:r w:rsidRPr="00D4309F">
        <w:rPr>
          <w:spacing w:val="-2"/>
        </w:rPr>
        <w:t xml:space="preserve"> </w:t>
      </w:r>
      <w:r w:rsidRPr="00D4309F">
        <w:t>for</w:t>
      </w:r>
      <w:r w:rsidRPr="00D4309F">
        <w:rPr>
          <w:spacing w:val="-1"/>
        </w:rPr>
        <w:t xml:space="preserve"> </w:t>
      </w:r>
      <w:r w:rsidRPr="00D4309F">
        <w:t>our</w:t>
      </w:r>
      <w:r w:rsidRPr="00D4309F">
        <w:rPr>
          <w:spacing w:val="-3"/>
        </w:rPr>
        <w:t xml:space="preserve"> </w:t>
      </w:r>
      <w:r w:rsidRPr="00D4309F">
        <w:t>options</w:t>
      </w:r>
      <w:r w:rsidRPr="00D4309F">
        <w:rPr>
          <w:spacing w:val="-1"/>
        </w:rPr>
        <w:t xml:space="preserve"> </w:t>
      </w:r>
      <w:r w:rsidRPr="00D4309F">
        <w:t>comparison).</w:t>
      </w:r>
      <w:r w:rsidRPr="00D4309F">
        <w:rPr>
          <w:spacing w:val="-3"/>
        </w:rPr>
        <w:t xml:space="preserve"> </w:t>
      </w:r>
      <w:r w:rsidRPr="00D4309F">
        <w:t>This</w:t>
      </w:r>
      <w:r w:rsidRPr="00D4309F">
        <w:rPr>
          <w:spacing w:val="-1"/>
        </w:rPr>
        <w:t xml:space="preserve"> </w:t>
      </w:r>
      <w:r w:rsidRPr="00D4309F">
        <w:t>image</w:t>
      </w:r>
      <w:r w:rsidRPr="00D4309F">
        <w:rPr>
          <w:spacing w:val="-2"/>
        </w:rPr>
        <w:t xml:space="preserve"> </w:t>
      </w:r>
      <w:r w:rsidRPr="00D4309F">
        <w:t>below</w:t>
      </w:r>
      <w:r w:rsidRPr="00D4309F">
        <w:rPr>
          <w:spacing w:val="-1"/>
        </w:rPr>
        <w:t xml:space="preserve"> </w:t>
      </w:r>
      <w:r w:rsidRPr="00D4309F">
        <w:t>is</w:t>
      </w:r>
      <w:r w:rsidRPr="00D4309F">
        <w:rPr>
          <w:spacing w:val="-1"/>
        </w:rPr>
        <w:t xml:space="preserve"> </w:t>
      </w:r>
      <w:r w:rsidRPr="00D4309F">
        <w:t>only</w:t>
      </w:r>
      <w:r w:rsidRPr="00D4309F">
        <w:rPr>
          <w:spacing w:val="-1"/>
        </w:rPr>
        <w:t xml:space="preserve"> </w:t>
      </w:r>
      <w:r w:rsidRPr="00D4309F">
        <w:t>used</w:t>
      </w:r>
      <w:r w:rsidRPr="00D4309F">
        <w:rPr>
          <w:spacing w:val="-2"/>
        </w:rPr>
        <w:t xml:space="preserve"> </w:t>
      </w:r>
      <w:r w:rsidRPr="00D4309F">
        <w:t>for refence when more distribution of material is required on the beach through ‘splitter values’ to direct sand to multiple outlets at one time.</w:t>
      </w:r>
    </w:p>
    <w:p w14:paraId="430315FF" w14:textId="77777777" w:rsidR="00FE6959" w:rsidRDefault="00FE6959" w:rsidP="00725977">
      <w:pPr>
        <w:pStyle w:val="BodyText"/>
      </w:pPr>
    </w:p>
    <w:p w14:paraId="3911A7D2" w14:textId="69557990" w:rsidR="00725977" w:rsidRDefault="00BD46A3" w:rsidP="00BD46A3">
      <w:pPr>
        <w:pStyle w:val="BodyText"/>
        <w:jc w:val="center"/>
      </w:pPr>
      <w:r w:rsidRPr="00D4309F">
        <w:rPr>
          <w:noProof/>
        </w:rPr>
        <w:drawing>
          <wp:inline distT="0" distB="0" distL="0" distR="0" wp14:anchorId="0BF31FBE" wp14:editId="42D4479C">
            <wp:extent cx="1790820" cy="2387822"/>
            <wp:effectExtent l="0" t="0" r="0" b="0"/>
            <wp:docPr id="117" name="Image 117" descr="Image on the beach looking out toward the ocean, with a digger digging san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descr="Image on the beach looking out toward the ocean, with a digger digging sand. "/>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90820" cy="2387822"/>
                    </a:xfrm>
                    <a:prstGeom prst="rect">
                      <a:avLst/>
                    </a:prstGeom>
                  </pic:spPr>
                </pic:pic>
              </a:graphicData>
            </a:graphic>
          </wp:inline>
        </w:drawing>
      </w:r>
      <w:r w:rsidRPr="00D4309F">
        <w:rPr>
          <w:noProof/>
        </w:rPr>
        <w:drawing>
          <wp:inline distT="0" distB="0" distL="0" distR="0" wp14:anchorId="58B37E7B" wp14:editId="3A7CD78D">
            <wp:extent cx="3172609" cy="2379630"/>
            <wp:effectExtent l="0" t="0" r="8890" b="1905"/>
            <wp:docPr id="118" name="Image 118" descr="Image on the beach looking toward the ocean, with a digger i nthe background and a sand pipe with multiple outlets for beach deposi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descr="Image on the beach looking toward the ocean, with a digger i nthe background and a sand pipe with multiple outlets for beach deposition."/>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172609" cy="2379630"/>
                    </a:xfrm>
                    <a:prstGeom prst="rect">
                      <a:avLst/>
                    </a:prstGeom>
                  </pic:spPr>
                </pic:pic>
              </a:graphicData>
            </a:graphic>
          </wp:inline>
        </w:drawing>
      </w:r>
    </w:p>
    <w:p w14:paraId="1980696F" w14:textId="23EC87D9" w:rsidR="00D3074A" w:rsidRPr="00ED3A6F" w:rsidRDefault="00D3074A" w:rsidP="00D3074A">
      <w:pPr>
        <w:pStyle w:val="Caption"/>
        <w:jc w:val="center"/>
        <w:rPr>
          <w:noProof/>
          <w:color w:val="221E1F"/>
          <w:sz w:val="20"/>
        </w:rPr>
      </w:pPr>
      <w:bookmarkStart w:id="215" w:name="_Toc216699615"/>
      <w:r>
        <w:t xml:space="preserve">Figure </w:t>
      </w:r>
      <w:r w:rsidR="00B538D4">
        <w:fldChar w:fldCharType="begin" w:fldLock="1"/>
      </w:r>
      <w:r w:rsidR="00B538D4">
        <w:instrText xml:space="preserve"> STYLEREF 1 \s </w:instrText>
      </w:r>
      <w:r w:rsidR="00B538D4">
        <w:fldChar w:fldCharType="separate"/>
      </w:r>
      <w:r w:rsidR="00B538D4">
        <w:rPr>
          <w:noProof/>
        </w:rPr>
        <w:t>12</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8</w:t>
      </w:r>
      <w:r w:rsidR="00B538D4">
        <w:fldChar w:fldCharType="end"/>
      </w:r>
      <w:r>
        <w:t>:</w:t>
      </w:r>
      <w:r>
        <w:tab/>
        <w:t xml:space="preserve"> </w:t>
      </w:r>
      <w:r w:rsidRPr="00BD46A3">
        <w:t>Sand pipe with multiple outlets for beach deposition (ICM, 2024)</w:t>
      </w:r>
      <w:bookmarkEnd w:id="215"/>
    </w:p>
    <w:p w14:paraId="586799B4" w14:textId="77777777" w:rsidR="00D3074A" w:rsidRPr="00BD46A3" w:rsidRDefault="00D3074A" w:rsidP="00D3074A">
      <w:pPr>
        <w:pStyle w:val="BodyText"/>
      </w:pPr>
    </w:p>
    <w:p w14:paraId="755FF8B4" w14:textId="37EF0D71" w:rsidR="00725977" w:rsidRPr="00D4309F" w:rsidRDefault="00725977" w:rsidP="00725977">
      <w:pPr>
        <w:rPr>
          <w:b/>
          <w:sz w:val="18"/>
        </w:rPr>
        <w:sectPr w:rsidR="00725977" w:rsidRPr="00D4309F" w:rsidSect="00A8441C">
          <w:pgSz w:w="11910" w:h="16840"/>
          <w:pgMar w:top="1418" w:right="1134" w:bottom="1418" w:left="1134" w:header="916" w:footer="1147" w:gutter="0"/>
          <w:cols w:space="720"/>
        </w:sectPr>
      </w:pPr>
    </w:p>
    <w:p w14:paraId="7DD51449" w14:textId="77777777" w:rsidR="00725977" w:rsidRPr="00D4309F" w:rsidRDefault="00725977" w:rsidP="00EE2982">
      <w:pPr>
        <w:pStyle w:val="Heading1"/>
      </w:pPr>
      <w:bookmarkStart w:id="216" w:name="_bookmark96"/>
      <w:bookmarkStart w:id="217" w:name="_Toc216699367"/>
      <w:bookmarkEnd w:id="216"/>
      <w:r w:rsidRPr="00D4309F">
        <w:lastRenderedPageBreak/>
        <w:t>OPTION</w:t>
      </w:r>
      <w:r w:rsidRPr="00D4309F">
        <w:rPr>
          <w:spacing w:val="-6"/>
        </w:rPr>
        <w:t xml:space="preserve"> </w:t>
      </w:r>
      <w:r w:rsidRPr="00D4309F">
        <w:t>1</w:t>
      </w:r>
      <w:r w:rsidRPr="00D4309F">
        <w:rPr>
          <w:spacing w:val="-2"/>
        </w:rPr>
        <w:t xml:space="preserve"> </w:t>
      </w:r>
      <w:r w:rsidRPr="00D4309F">
        <w:t>–</w:t>
      </w:r>
      <w:r w:rsidRPr="00D4309F">
        <w:rPr>
          <w:spacing w:val="-3"/>
        </w:rPr>
        <w:t xml:space="preserve"> </w:t>
      </w:r>
      <w:r w:rsidRPr="00D4309F">
        <w:t>BUDDINA</w:t>
      </w:r>
      <w:r w:rsidRPr="00D4309F">
        <w:rPr>
          <w:spacing w:val="-3"/>
        </w:rPr>
        <w:t xml:space="preserve"> </w:t>
      </w:r>
      <w:r w:rsidRPr="00D4309F">
        <w:t>BEACH</w:t>
      </w:r>
      <w:r w:rsidRPr="00D4309F">
        <w:rPr>
          <w:spacing w:val="-4"/>
        </w:rPr>
        <w:t xml:space="preserve"> </w:t>
      </w:r>
      <w:r w:rsidRPr="00D4309F">
        <w:t>SAND</w:t>
      </w:r>
      <w:r w:rsidRPr="00D4309F">
        <w:rPr>
          <w:spacing w:val="-3"/>
        </w:rPr>
        <w:t xml:space="preserve"> </w:t>
      </w:r>
      <w:r w:rsidRPr="00D4309F">
        <w:rPr>
          <w:spacing w:val="-4"/>
        </w:rPr>
        <w:t>TRAP</w:t>
      </w:r>
      <w:bookmarkEnd w:id="217"/>
    </w:p>
    <w:p w14:paraId="7278414F" w14:textId="77777777" w:rsidR="00725977" w:rsidRPr="00D4309F" w:rsidRDefault="00725977" w:rsidP="00EE2982">
      <w:pPr>
        <w:pStyle w:val="Heading2"/>
      </w:pPr>
      <w:bookmarkStart w:id="218" w:name="_bookmark97"/>
      <w:bookmarkStart w:id="219" w:name="_Toc216699368"/>
      <w:bookmarkEnd w:id="218"/>
      <w:r w:rsidRPr="00D4309F">
        <w:t>Description</w:t>
      </w:r>
      <w:r w:rsidRPr="00D4309F">
        <w:rPr>
          <w:spacing w:val="-12"/>
        </w:rPr>
        <w:t xml:space="preserve"> </w:t>
      </w:r>
      <w:r w:rsidRPr="00D4309F">
        <w:t>of</w:t>
      </w:r>
      <w:r w:rsidRPr="00D4309F">
        <w:rPr>
          <w:spacing w:val="-12"/>
        </w:rPr>
        <w:t xml:space="preserve"> </w:t>
      </w:r>
      <w:r w:rsidRPr="00D4309F">
        <w:t>Option</w:t>
      </w:r>
      <w:r w:rsidRPr="00D4309F">
        <w:rPr>
          <w:spacing w:val="-12"/>
        </w:rPr>
        <w:t xml:space="preserve"> </w:t>
      </w:r>
      <w:r w:rsidRPr="00D4309F">
        <w:rPr>
          <w:spacing w:val="-10"/>
        </w:rPr>
        <w:t>1</w:t>
      </w:r>
      <w:bookmarkEnd w:id="219"/>
    </w:p>
    <w:p w14:paraId="0A6E593B" w14:textId="77777777" w:rsidR="00725977" w:rsidRPr="00D4309F" w:rsidRDefault="00725977" w:rsidP="00725977">
      <w:pPr>
        <w:pStyle w:val="BodyText"/>
      </w:pPr>
      <w:r w:rsidRPr="00D4309F">
        <w:t>Option 1 investigates a long-term sediment-management measure aimed at slowing the rate of sand shoaling</w:t>
      </w:r>
      <w:r w:rsidRPr="00D4309F">
        <w:rPr>
          <w:spacing w:val="-3"/>
        </w:rPr>
        <w:t xml:space="preserve"> </w:t>
      </w:r>
      <w:r w:rsidRPr="00D4309F">
        <w:t>at</w:t>
      </w:r>
      <w:r w:rsidRPr="00D4309F">
        <w:rPr>
          <w:spacing w:val="-3"/>
        </w:rPr>
        <w:t xml:space="preserve"> </w:t>
      </w:r>
      <w:r w:rsidRPr="00D4309F">
        <w:t>the</w:t>
      </w:r>
      <w:r w:rsidRPr="00D4309F">
        <w:rPr>
          <w:spacing w:val="-3"/>
        </w:rPr>
        <w:t xml:space="preserve"> </w:t>
      </w:r>
      <w:r w:rsidRPr="00D4309F">
        <w:t>Mooloolaba</w:t>
      </w:r>
      <w:r w:rsidRPr="00D4309F">
        <w:rPr>
          <w:spacing w:val="-4"/>
        </w:rPr>
        <w:t xml:space="preserve"> </w:t>
      </w:r>
      <w:r w:rsidRPr="00D4309F">
        <w:t>Harbour</w:t>
      </w:r>
      <w:r w:rsidRPr="00D4309F">
        <w:rPr>
          <w:spacing w:val="-2"/>
        </w:rPr>
        <w:t xml:space="preserve"> </w:t>
      </w:r>
      <w:r w:rsidRPr="00D4309F">
        <w:t>entrance.</w:t>
      </w:r>
      <w:r w:rsidRPr="00D4309F">
        <w:rPr>
          <w:spacing w:val="-3"/>
        </w:rPr>
        <w:t xml:space="preserve"> </w:t>
      </w:r>
      <w:r w:rsidRPr="00D4309F">
        <w:t>Shoaling</w:t>
      </w:r>
      <w:r w:rsidRPr="00D4309F">
        <w:rPr>
          <w:spacing w:val="-3"/>
        </w:rPr>
        <w:t xml:space="preserve"> </w:t>
      </w:r>
      <w:r w:rsidRPr="00D4309F">
        <w:t>occurs</w:t>
      </w:r>
      <w:r w:rsidRPr="00D4309F">
        <w:rPr>
          <w:spacing w:val="-2"/>
        </w:rPr>
        <w:t xml:space="preserve"> </w:t>
      </w:r>
      <w:r w:rsidRPr="00D4309F">
        <w:t>as</w:t>
      </w:r>
      <w:r w:rsidRPr="00D4309F">
        <w:rPr>
          <w:spacing w:val="-2"/>
        </w:rPr>
        <w:t xml:space="preserve"> </w:t>
      </w:r>
      <w:r w:rsidRPr="00D4309F">
        <w:t>sand</w:t>
      </w:r>
      <w:r w:rsidRPr="00D4309F">
        <w:rPr>
          <w:spacing w:val="-3"/>
        </w:rPr>
        <w:t xml:space="preserve"> </w:t>
      </w:r>
      <w:r w:rsidRPr="00D4309F">
        <w:t>naturally</w:t>
      </w:r>
      <w:r w:rsidRPr="00D4309F">
        <w:rPr>
          <w:spacing w:val="-2"/>
        </w:rPr>
        <w:t xml:space="preserve"> </w:t>
      </w:r>
      <w:r w:rsidRPr="00D4309F">
        <w:t>bypasses</w:t>
      </w:r>
      <w:r w:rsidRPr="00D4309F">
        <w:rPr>
          <w:spacing w:val="-2"/>
        </w:rPr>
        <w:t xml:space="preserve"> </w:t>
      </w:r>
      <w:r w:rsidRPr="00D4309F">
        <w:t>Point</w:t>
      </w:r>
      <w:r w:rsidRPr="00D4309F">
        <w:rPr>
          <w:spacing w:val="-3"/>
        </w:rPr>
        <w:t xml:space="preserve"> </w:t>
      </w:r>
      <w:r w:rsidRPr="00D4309F">
        <w:t>Cartwright and accumulates within the entrance channel, reducing navigable depths and requiring frequent maintenance dredging.</w:t>
      </w:r>
    </w:p>
    <w:p w14:paraId="4661E4B4" w14:textId="77777777" w:rsidR="00725977" w:rsidRPr="00D4309F" w:rsidRDefault="00725977" w:rsidP="00725977">
      <w:pPr>
        <w:pStyle w:val="BodyText"/>
      </w:pPr>
      <w:r w:rsidRPr="00D4309F">
        <w:t>This option seeks to interrupt and temporarily store part of the northward-moving littoral sand transport before</w:t>
      </w:r>
      <w:r w:rsidRPr="00D4309F">
        <w:rPr>
          <w:spacing w:val="-2"/>
        </w:rPr>
        <w:t xml:space="preserve"> </w:t>
      </w:r>
      <w:r w:rsidRPr="00D4309F">
        <w:t>it</w:t>
      </w:r>
      <w:r w:rsidRPr="00D4309F">
        <w:rPr>
          <w:spacing w:val="-2"/>
        </w:rPr>
        <w:t xml:space="preserve"> </w:t>
      </w:r>
      <w:r w:rsidRPr="00D4309F">
        <w:t>enters</w:t>
      </w:r>
      <w:r w:rsidRPr="00D4309F">
        <w:rPr>
          <w:spacing w:val="-1"/>
        </w:rPr>
        <w:t xml:space="preserve"> </w:t>
      </w:r>
      <w:r w:rsidRPr="00D4309F">
        <w:t>the</w:t>
      </w:r>
      <w:r w:rsidRPr="00D4309F">
        <w:rPr>
          <w:spacing w:val="-2"/>
        </w:rPr>
        <w:t xml:space="preserve"> </w:t>
      </w:r>
      <w:r w:rsidRPr="00D4309F">
        <w:t>Mooloolah</w:t>
      </w:r>
      <w:r w:rsidRPr="00D4309F">
        <w:rPr>
          <w:spacing w:val="-2"/>
        </w:rPr>
        <w:t xml:space="preserve"> </w:t>
      </w:r>
      <w:r w:rsidRPr="00D4309F">
        <w:t>River</w:t>
      </w:r>
      <w:r w:rsidRPr="00D4309F">
        <w:rPr>
          <w:spacing w:val="-1"/>
        </w:rPr>
        <w:t xml:space="preserve"> </w:t>
      </w:r>
      <w:r w:rsidRPr="00D4309F">
        <w:t>entrance.</w:t>
      </w:r>
      <w:r w:rsidRPr="00D4309F">
        <w:rPr>
          <w:spacing w:val="-2"/>
        </w:rPr>
        <w:t xml:space="preserve"> </w:t>
      </w:r>
      <w:r w:rsidRPr="00D4309F">
        <w:t>The</w:t>
      </w:r>
      <w:r w:rsidRPr="00D4309F">
        <w:rPr>
          <w:spacing w:val="-2"/>
        </w:rPr>
        <w:t xml:space="preserve"> </w:t>
      </w:r>
      <w:r w:rsidRPr="00D4309F">
        <w:t>overall</w:t>
      </w:r>
      <w:r w:rsidRPr="00D4309F">
        <w:rPr>
          <w:spacing w:val="-2"/>
        </w:rPr>
        <w:t xml:space="preserve"> </w:t>
      </w:r>
      <w:r w:rsidRPr="00D4309F">
        <w:t>objective</w:t>
      </w:r>
      <w:r w:rsidRPr="00D4309F">
        <w:rPr>
          <w:spacing w:val="-3"/>
        </w:rPr>
        <w:t xml:space="preserve"> </w:t>
      </w:r>
      <w:r w:rsidRPr="00D4309F">
        <w:t>is</w:t>
      </w:r>
      <w:r w:rsidRPr="00D4309F">
        <w:rPr>
          <w:spacing w:val="-1"/>
        </w:rPr>
        <w:t xml:space="preserve"> </w:t>
      </w:r>
      <w:r w:rsidRPr="00D4309F">
        <w:t>to</w:t>
      </w:r>
      <w:r w:rsidRPr="00D4309F">
        <w:rPr>
          <w:spacing w:val="-2"/>
        </w:rPr>
        <w:t xml:space="preserve"> </w:t>
      </w:r>
      <w:r w:rsidRPr="00D4309F">
        <w:t>reduce</w:t>
      </w:r>
      <w:r w:rsidRPr="00D4309F">
        <w:rPr>
          <w:spacing w:val="-2"/>
        </w:rPr>
        <w:t xml:space="preserve"> </w:t>
      </w:r>
      <w:r w:rsidRPr="00D4309F">
        <w:t>the</w:t>
      </w:r>
      <w:r w:rsidRPr="00D4309F">
        <w:rPr>
          <w:spacing w:val="-2"/>
        </w:rPr>
        <w:t xml:space="preserve"> </w:t>
      </w:r>
      <w:r w:rsidRPr="00D4309F">
        <w:t>rate</w:t>
      </w:r>
      <w:r w:rsidRPr="00D4309F">
        <w:rPr>
          <w:spacing w:val="-2"/>
        </w:rPr>
        <w:t xml:space="preserve"> </w:t>
      </w:r>
      <w:r w:rsidRPr="00D4309F">
        <w:t>and</w:t>
      </w:r>
      <w:r w:rsidRPr="00D4309F">
        <w:rPr>
          <w:spacing w:val="-2"/>
        </w:rPr>
        <w:t xml:space="preserve"> </w:t>
      </w:r>
      <w:r w:rsidRPr="00D4309F">
        <w:t>frequency</w:t>
      </w:r>
      <w:r w:rsidRPr="00D4309F">
        <w:rPr>
          <w:spacing w:val="-1"/>
        </w:rPr>
        <w:t xml:space="preserve"> </w:t>
      </w:r>
      <w:r w:rsidRPr="00D4309F">
        <w:t>of shoaling,</w:t>
      </w:r>
      <w:r w:rsidRPr="00D4309F">
        <w:rPr>
          <w:spacing w:val="-3"/>
        </w:rPr>
        <w:t xml:space="preserve"> </w:t>
      </w:r>
      <w:r w:rsidRPr="00D4309F">
        <w:t>improving</w:t>
      </w:r>
      <w:r w:rsidRPr="00D4309F">
        <w:rPr>
          <w:spacing w:val="-3"/>
        </w:rPr>
        <w:t xml:space="preserve"> </w:t>
      </w:r>
      <w:r w:rsidRPr="00D4309F">
        <w:t>navigation</w:t>
      </w:r>
      <w:r w:rsidRPr="00D4309F">
        <w:rPr>
          <w:spacing w:val="-3"/>
        </w:rPr>
        <w:t xml:space="preserve"> </w:t>
      </w:r>
      <w:r w:rsidRPr="00D4309F">
        <w:t>safety</w:t>
      </w:r>
      <w:r w:rsidRPr="00D4309F">
        <w:rPr>
          <w:spacing w:val="-2"/>
        </w:rPr>
        <w:t xml:space="preserve"> </w:t>
      </w:r>
      <w:r w:rsidRPr="00D4309F">
        <w:t>and</w:t>
      </w:r>
      <w:r w:rsidRPr="00D4309F">
        <w:rPr>
          <w:spacing w:val="-3"/>
        </w:rPr>
        <w:t xml:space="preserve"> </w:t>
      </w:r>
      <w:r w:rsidRPr="00D4309F">
        <w:t>reducing</w:t>
      </w:r>
      <w:r w:rsidRPr="00D4309F">
        <w:rPr>
          <w:spacing w:val="-3"/>
        </w:rPr>
        <w:t xml:space="preserve"> </w:t>
      </w:r>
      <w:r w:rsidRPr="00D4309F">
        <w:t>long-term</w:t>
      </w:r>
      <w:r w:rsidRPr="00D4309F">
        <w:rPr>
          <w:spacing w:val="-3"/>
        </w:rPr>
        <w:t xml:space="preserve"> </w:t>
      </w:r>
      <w:r w:rsidRPr="00D4309F">
        <w:t>dredging</w:t>
      </w:r>
      <w:r w:rsidRPr="00D4309F">
        <w:rPr>
          <w:spacing w:val="-3"/>
        </w:rPr>
        <w:t xml:space="preserve"> </w:t>
      </w:r>
      <w:r w:rsidRPr="00D4309F">
        <w:t>demand,</w:t>
      </w:r>
      <w:r w:rsidRPr="00D4309F">
        <w:rPr>
          <w:spacing w:val="-5"/>
        </w:rPr>
        <w:t xml:space="preserve"> </w:t>
      </w:r>
      <w:r w:rsidRPr="00D4309F">
        <w:t>while</w:t>
      </w:r>
      <w:r w:rsidRPr="00D4309F">
        <w:rPr>
          <w:spacing w:val="-3"/>
        </w:rPr>
        <w:t xml:space="preserve"> </w:t>
      </w:r>
      <w:r w:rsidRPr="00D4309F">
        <w:t>maintaining</w:t>
      </w:r>
      <w:r w:rsidRPr="00D4309F">
        <w:rPr>
          <w:spacing w:val="-3"/>
        </w:rPr>
        <w:t xml:space="preserve"> </w:t>
      </w:r>
      <w:r w:rsidRPr="00D4309F">
        <w:t>natural sediment processes as far as practicable.</w:t>
      </w:r>
    </w:p>
    <w:p w14:paraId="348FB70A" w14:textId="77777777" w:rsidR="00725977" w:rsidRPr="00D4309F" w:rsidRDefault="00725977" w:rsidP="00725977">
      <w:pPr>
        <w:pStyle w:val="BodyText"/>
      </w:pPr>
      <w:r w:rsidRPr="00D4309F">
        <w:t>The</w:t>
      </w:r>
      <w:r w:rsidRPr="00D4309F">
        <w:rPr>
          <w:spacing w:val="-3"/>
        </w:rPr>
        <w:t xml:space="preserve"> </w:t>
      </w:r>
      <w:r w:rsidRPr="00D4309F">
        <w:t>concept</w:t>
      </w:r>
      <w:r w:rsidRPr="00D4309F">
        <w:rPr>
          <w:spacing w:val="-3"/>
        </w:rPr>
        <w:t xml:space="preserve"> </w:t>
      </w:r>
      <w:r w:rsidRPr="00D4309F">
        <w:t>involves</w:t>
      </w:r>
      <w:r w:rsidRPr="00D4309F">
        <w:rPr>
          <w:spacing w:val="-2"/>
        </w:rPr>
        <w:t xml:space="preserve"> </w:t>
      </w:r>
      <w:r w:rsidRPr="00D4309F">
        <w:t>establishing</w:t>
      </w:r>
      <w:r w:rsidRPr="00D4309F">
        <w:rPr>
          <w:spacing w:val="-3"/>
        </w:rPr>
        <w:t xml:space="preserve"> </w:t>
      </w:r>
      <w:r w:rsidRPr="00D4309F">
        <w:t>a</w:t>
      </w:r>
      <w:r w:rsidRPr="00D4309F">
        <w:rPr>
          <w:spacing w:val="-3"/>
        </w:rPr>
        <w:t xml:space="preserve"> </w:t>
      </w:r>
      <w:r w:rsidRPr="00D4309F">
        <w:t>defined</w:t>
      </w:r>
      <w:r w:rsidRPr="00D4309F">
        <w:rPr>
          <w:spacing w:val="-3"/>
        </w:rPr>
        <w:t xml:space="preserve"> </w:t>
      </w:r>
      <w:r w:rsidRPr="00D4309F">
        <w:t>nearshore</w:t>
      </w:r>
      <w:r w:rsidRPr="00D4309F">
        <w:rPr>
          <w:spacing w:val="-4"/>
        </w:rPr>
        <w:t xml:space="preserve"> </w:t>
      </w:r>
      <w:r w:rsidRPr="00D4309F">
        <w:t>sand</w:t>
      </w:r>
      <w:r w:rsidRPr="00D4309F">
        <w:rPr>
          <w:spacing w:val="-3"/>
        </w:rPr>
        <w:t xml:space="preserve"> </w:t>
      </w:r>
      <w:r w:rsidRPr="00D4309F">
        <w:t>trap</w:t>
      </w:r>
      <w:r w:rsidRPr="00D4309F">
        <w:rPr>
          <w:spacing w:val="-3"/>
        </w:rPr>
        <w:t xml:space="preserve"> </w:t>
      </w:r>
      <w:r w:rsidRPr="00D4309F">
        <w:t>at</w:t>
      </w:r>
      <w:r w:rsidRPr="00D4309F">
        <w:rPr>
          <w:spacing w:val="-3"/>
        </w:rPr>
        <w:t xml:space="preserve"> </w:t>
      </w:r>
      <w:r w:rsidRPr="00D4309F">
        <w:t>northern</w:t>
      </w:r>
      <w:r w:rsidRPr="00D4309F">
        <w:rPr>
          <w:spacing w:val="-3"/>
        </w:rPr>
        <w:t xml:space="preserve"> </w:t>
      </w:r>
      <w:r w:rsidRPr="00D4309F">
        <w:t>Buddina</w:t>
      </w:r>
      <w:r w:rsidRPr="00D4309F">
        <w:rPr>
          <w:spacing w:val="-3"/>
        </w:rPr>
        <w:t xml:space="preserve"> </w:t>
      </w:r>
      <w:r w:rsidRPr="00D4309F">
        <w:t>Beach</w:t>
      </w:r>
      <w:r w:rsidRPr="00D4309F">
        <w:rPr>
          <w:spacing w:val="-3"/>
        </w:rPr>
        <w:t xml:space="preserve"> </w:t>
      </w:r>
      <w:r w:rsidRPr="00D4309F">
        <w:t>(Area</w:t>
      </w:r>
      <w:r w:rsidRPr="00D4309F">
        <w:rPr>
          <w:spacing w:val="-3"/>
        </w:rPr>
        <w:t xml:space="preserve"> </w:t>
      </w:r>
      <w:r w:rsidRPr="00D4309F">
        <w:t>A)</w:t>
      </w:r>
      <w:r w:rsidRPr="00D4309F">
        <w:rPr>
          <w:spacing w:val="-2"/>
        </w:rPr>
        <w:t xml:space="preserve"> </w:t>
      </w:r>
      <w:r w:rsidRPr="00D4309F">
        <w:t>where a persistent sand deposit exists. Sand accumulating within the trap would be periodically removed and transferred to</w:t>
      </w:r>
      <w:r w:rsidRPr="00D4309F">
        <w:rPr>
          <w:spacing w:val="-1"/>
        </w:rPr>
        <w:t xml:space="preserve"> </w:t>
      </w:r>
      <w:r w:rsidRPr="00D4309F">
        <w:t>a down-drift beach nourishment area (Area B) such as Mooloolaba Bay, Alexandra</w:t>
      </w:r>
      <w:r w:rsidRPr="00D4309F">
        <w:rPr>
          <w:spacing w:val="-1"/>
        </w:rPr>
        <w:t xml:space="preserve"> </w:t>
      </w:r>
      <w:r w:rsidRPr="00D4309F">
        <w:t>Headland, or Maroochydore. This approach functions as a controlled, repeatable sediment management system that manages sand before it reaches the entrance - slowing shoaling without completely halting the natural bypass cycle (BMT, 2024).</w:t>
      </w:r>
    </w:p>
    <w:p w14:paraId="086DD8D2" w14:textId="77777777" w:rsidR="00725977" w:rsidRPr="00D4309F" w:rsidRDefault="00725977" w:rsidP="00725977">
      <w:pPr>
        <w:pStyle w:val="BodyText"/>
      </w:pPr>
      <w:r w:rsidRPr="00D4309F">
        <w:t>Option 1 schematic:</w:t>
      </w:r>
    </w:p>
    <w:p w14:paraId="7923B020" w14:textId="2C2646E6" w:rsidR="00725977" w:rsidRPr="00D4309F" w:rsidRDefault="00725977" w:rsidP="006156B6">
      <w:pPr>
        <w:pStyle w:val="ListBullet"/>
      </w:pPr>
      <w:r w:rsidRPr="00D4309F">
        <w:t>Location:</w:t>
      </w:r>
      <w:r w:rsidRPr="00D4309F">
        <w:rPr>
          <w:spacing w:val="-3"/>
        </w:rPr>
        <w:t xml:space="preserve"> </w:t>
      </w:r>
      <w:r w:rsidRPr="00D4309F">
        <w:t>Offshore</w:t>
      </w:r>
      <w:r w:rsidRPr="00D4309F">
        <w:rPr>
          <w:spacing w:val="-3"/>
        </w:rPr>
        <w:t xml:space="preserve"> </w:t>
      </w:r>
      <w:r w:rsidRPr="00D4309F">
        <w:t>of</w:t>
      </w:r>
      <w:r w:rsidRPr="00D4309F">
        <w:rPr>
          <w:spacing w:val="-3"/>
        </w:rPr>
        <w:t xml:space="preserve"> </w:t>
      </w:r>
      <w:r w:rsidRPr="00D4309F">
        <w:t>northern</w:t>
      </w:r>
      <w:r w:rsidRPr="00D4309F">
        <w:rPr>
          <w:spacing w:val="-3"/>
        </w:rPr>
        <w:t xml:space="preserve"> </w:t>
      </w:r>
      <w:r w:rsidRPr="00D4309F">
        <w:t>Buddina</w:t>
      </w:r>
      <w:r w:rsidRPr="00D4309F">
        <w:rPr>
          <w:spacing w:val="-4"/>
        </w:rPr>
        <w:t xml:space="preserve"> </w:t>
      </w:r>
      <w:r w:rsidRPr="00D4309F">
        <w:t>Beach,</w:t>
      </w:r>
      <w:r w:rsidRPr="00D4309F">
        <w:rPr>
          <w:spacing w:val="-3"/>
        </w:rPr>
        <w:t xml:space="preserve"> </w:t>
      </w:r>
      <w:r w:rsidRPr="00D4309F">
        <w:t>adjacent</w:t>
      </w:r>
      <w:r w:rsidRPr="00D4309F">
        <w:rPr>
          <w:spacing w:val="-3"/>
        </w:rPr>
        <w:t xml:space="preserve"> </w:t>
      </w:r>
      <w:r w:rsidRPr="00D4309F">
        <w:t>to</w:t>
      </w:r>
      <w:r w:rsidRPr="00D4309F">
        <w:rPr>
          <w:spacing w:val="-3"/>
        </w:rPr>
        <w:t xml:space="preserve"> </w:t>
      </w:r>
      <w:r w:rsidRPr="00D4309F">
        <w:t>the</w:t>
      </w:r>
      <w:r w:rsidRPr="00D4309F">
        <w:rPr>
          <w:spacing w:val="-3"/>
        </w:rPr>
        <w:t xml:space="preserve"> </w:t>
      </w:r>
      <w:r w:rsidRPr="00D4309F">
        <w:t>eastern</w:t>
      </w:r>
      <w:r w:rsidRPr="00D4309F">
        <w:rPr>
          <w:spacing w:val="-3"/>
        </w:rPr>
        <w:t xml:space="preserve"> </w:t>
      </w:r>
      <w:r w:rsidRPr="00D4309F">
        <w:t>slope</w:t>
      </w:r>
      <w:r w:rsidRPr="00D4309F">
        <w:rPr>
          <w:spacing w:val="-3"/>
        </w:rPr>
        <w:t xml:space="preserve"> </w:t>
      </w:r>
      <w:r w:rsidRPr="00D4309F">
        <w:t>of</w:t>
      </w:r>
      <w:r w:rsidRPr="00D4309F">
        <w:rPr>
          <w:spacing w:val="-3"/>
        </w:rPr>
        <w:t xml:space="preserve"> </w:t>
      </w:r>
      <w:r w:rsidRPr="00D4309F">
        <w:t>Point</w:t>
      </w:r>
      <w:r w:rsidRPr="00D4309F">
        <w:rPr>
          <w:spacing w:val="-3"/>
        </w:rPr>
        <w:t xml:space="preserve"> </w:t>
      </w:r>
      <w:r w:rsidRPr="00D4309F">
        <w:t>Cartwright</w:t>
      </w:r>
      <w:r w:rsidRPr="00D4309F">
        <w:rPr>
          <w:spacing w:val="-3"/>
        </w:rPr>
        <w:t xml:space="preserve"> </w:t>
      </w:r>
      <w:r w:rsidRPr="00D4309F">
        <w:t xml:space="preserve">(see </w:t>
      </w:r>
      <w:hyperlink w:anchor="_bookmark98" w:history="1">
        <w:r w:rsidRPr="00D4309F">
          <w:t>Figure 13-1</w:t>
        </w:r>
      </w:hyperlink>
      <w:r w:rsidRPr="00D4309F">
        <w:t>)</w:t>
      </w:r>
    </w:p>
    <w:p w14:paraId="6928B289" w14:textId="77777777" w:rsidR="00725977" w:rsidRPr="00D4309F" w:rsidRDefault="00725977" w:rsidP="006156B6">
      <w:pPr>
        <w:pStyle w:val="ListBullet"/>
      </w:pPr>
      <w:r w:rsidRPr="00D4309F">
        <w:t>Dimensions:</w:t>
      </w:r>
      <w:r w:rsidRPr="00D4309F">
        <w:rPr>
          <w:spacing w:val="-6"/>
        </w:rPr>
        <w:t xml:space="preserve"> </w:t>
      </w:r>
      <w:r w:rsidRPr="00D4309F">
        <w:t>Approximately</w:t>
      </w:r>
      <w:r w:rsidRPr="00D4309F">
        <w:rPr>
          <w:spacing w:val="-3"/>
        </w:rPr>
        <w:t xml:space="preserve"> </w:t>
      </w:r>
      <w:r w:rsidRPr="00D4309F">
        <w:t>100</w:t>
      </w:r>
      <w:r w:rsidRPr="00D4309F">
        <w:rPr>
          <w:spacing w:val="-4"/>
        </w:rPr>
        <w:t xml:space="preserve"> </w:t>
      </w:r>
      <w:r w:rsidRPr="00D4309F">
        <w:t>m</w:t>
      </w:r>
      <w:r w:rsidRPr="00D4309F">
        <w:rPr>
          <w:spacing w:val="-5"/>
        </w:rPr>
        <w:t xml:space="preserve"> </w:t>
      </w:r>
      <w:r w:rsidRPr="00D4309F">
        <w:t>×</w:t>
      </w:r>
      <w:r w:rsidRPr="00D4309F">
        <w:rPr>
          <w:spacing w:val="-3"/>
        </w:rPr>
        <w:t xml:space="preserve"> </w:t>
      </w:r>
      <w:r w:rsidRPr="00D4309F">
        <w:t>280</w:t>
      </w:r>
      <w:r w:rsidRPr="00D4309F">
        <w:rPr>
          <w:spacing w:val="-3"/>
        </w:rPr>
        <w:t xml:space="preserve"> </w:t>
      </w:r>
      <w:r w:rsidRPr="00D4309F">
        <w:rPr>
          <w:spacing w:val="-5"/>
        </w:rPr>
        <w:t>m.</w:t>
      </w:r>
    </w:p>
    <w:p w14:paraId="595615CC" w14:textId="77777777" w:rsidR="00725977" w:rsidRPr="00D4309F" w:rsidRDefault="00725977" w:rsidP="006156B6">
      <w:pPr>
        <w:pStyle w:val="ListBullet"/>
      </w:pPr>
      <w:r w:rsidRPr="00D4309F">
        <w:t>Depth:</w:t>
      </w:r>
      <w:r w:rsidRPr="00D4309F">
        <w:rPr>
          <w:spacing w:val="-5"/>
        </w:rPr>
        <w:t xml:space="preserve"> </w:t>
      </w:r>
      <w:r w:rsidRPr="00D4309F">
        <w:t>Existing</w:t>
      </w:r>
      <w:r w:rsidRPr="00D4309F">
        <w:rPr>
          <w:spacing w:val="-3"/>
        </w:rPr>
        <w:t xml:space="preserve"> </w:t>
      </w:r>
      <w:r w:rsidRPr="00D4309F">
        <w:t>seabed</w:t>
      </w:r>
      <w:r w:rsidRPr="00D4309F">
        <w:rPr>
          <w:spacing w:val="-3"/>
        </w:rPr>
        <w:t xml:space="preserve"> </w:t>
      </w:r>
      <w:r w:rsidRPr="00D4309F">
        <w:t>levels</w:t>
      </w:r>
      <w:r w:rsidRPr="00D4309F">
        <w:rPr>
          <w:spacing w:val="-2"/>
        </w:rPr>
        <w:t xml:space="preserve"> </w:t>
      </w:r>
      <w:r w:rsidRPr="00D4309F">
        <w:t>-8</w:t>
      </w:r>
      <w:r w:rsidRPr="00D4309F">
        <w:rPr>
          <w:spacing w:val="-3"/>
        </w:rPr>
        <w:t xml:space="preserve"> </w:t>
      </w:r>
      <w:r w:rsidRPr="00D4309F">
        <w:t>m</w:t>
      </w:r>
      <w:r w:rsidRPr="00D4309F">
        <w:rPr>
          <w:spacing w:val="-3"/>
        </w:rPr>
        <w:t xml:space="preserve"> </w:t>
      </w:r>
      <w:r w:rsidRPr="00D4309F">
        <w:t>AHD</w:t>
      </w:r>
      <w:r w:rsidRPr="00D4309F">
        <w:rPr>
          <w:spacing w:val="-1"/>
        </w:rPr>
        <w:t xml:space="preserve"> </w:t>
      </w:r>
      <w:r w:rsidRPr="00D4309F">
        <w:t>to</w:t>
      </w:r>
      <w:r w:rsidRPr="00D4309F">
        <w:rPr>
          <w:spacing w:val="-3"/>
        </w:rPr>
        <w:t xml:space="preserve"> </w:t>
      </w:r>
      <w:r w:rsidRPr="00D4309F">
        <w:t>-12</w:t>
      </w:r>
      <w:r w:rsidRPr="00D4309F">
        <w:rPr>
          <w:spacing w:val="-3"/>
        </w:rPr>
        <w:t xml:space="preserve"> </w:t>
      </w:r>
      <w:r w:rsidRPr="00D4309F">
        <w:t>m</w:t>
      </w:r>
      <w:r w:rsidRPr="00D4309F">
        <w:rPr>
          <w:spacing w:val="-2"/>
        </w:rPr>
        <w:t xml:space="preserve"> </w:t>
      </w:r>
      <w:r w:rsidRPr="00D4309F">
        <w:t>AHD;</w:t>
      </w:r>
      <w:r w:rsidRPr="00D4309F">
        <w:rPr>
          <w:spacing w:val="-3"/>
        </w:rPr>
        <w:t xml:space="preserve"> </w:t>
      </w:r>
      <w:r w:rsidRPr="00D4309F">
        <w:t>dredging</w:t>
      </w:r>
      <w:r w:rsidRPr="00D4309F">
        <w:rPr>
          <w:spacing w:val="-4"/>
        </w:rPr>
        <w:t xml:space="preserve"> </w:t>
      </w:r>
      <w:r w:rsidRPr="00D4309F">
        <w:t>depth</w:t>
      </w:r>
      <w:r w:rsidRPr="00D4309F">
        <w:rPr>
          <w:spacing w:val="-2"/>
        </w:rPr>
        <w:t xml:space="preserve"> </w:t>
      </w:r>
      <w:r w:rsidRPr="00D4309F">
        <w:t>2.5</w:t>
      </w:r>
      <w:r w:rsidRPr="00D4309F">
        <w:rPr>
          <w:spacing w:val="-3"/>
        </w:rPr>
        <w:t xml:space="preserve"> </w:t>
      </w:r>
      <w:r w:rsidRPr="00D4309F">
        <w:t>–</w:t>
      </w:r>
      <w:r w:rsidRPr="00D4309F">
        <w:rPr>
          <w:spacing w:val="-3"/>
        </w:rPr>
        <w:t xml:space="preserve"> </w:t>
      </w:r>
      <w:r w:rsidRPr="00D4309F">
        <w:t>3.5</w:t>
      </w:r>
      <w:r w:rsidRPr="00D4309F">
        <w:rPr>
          <w:spacing w:val="-2"/>
        </w:rPr>
        <w:t xml:space="preserve"> </w:t>
      </w:r>
      <w:r w:rsidRPr="00D4309F">
        <w:rPr>
          <w:spacing w:val="-5"/>
        </w:rPr>
        <w:t>m.</w:t>
      </w:r>
    </w:p>
    <w:p w14:paraId="568F1FC1" w14:textId="77777777" w:rsidR="00725977" w:rsidRPr="00D4309F" w:rsidRDefault="00725977" w:rsidP="006156B6">
      <w:pPr>
        <w:pStyle w:val="ListBullet"/>
      </w:pPr>
      <w:r w:rsidRPr="00D4309F">
        <w:t>Expected</w:t>
      </w:r>
      <w:r w:rsidRPr="00D4309F">
        <w:rPr>
          <w:spacing w:val="-3"/>
        </w:rPr>
        <w:t xml:space="preserve"> </w:t>
      </w:r>
      <w:r w:rsidRPr="00D4309F">
        <w:t>yield:</w:t>
      </w:r>
      <w:r w:rsidRPr="00D4309F">
        <w:rPr>
          <w:spacing w:val="-3"/>
        </w:rPr>
        <w:t xml:space="preserve"> </w:t>
      </w:r>
      <w:r w:rsidRPr="00D4309F">
        <w:t>70,000</w:t>
      </w:r>
      <w:r w:rsidRPr="00D4309F">
        <w:rPr>
          <w:spacing w:val="-3"/>
        </w:rPr>
        <w:t xml:space="preserve"> </w:t>
      </w:r>
      <w:r w:rsidRPr="00D4309F">
        <w:t>–</w:t>
      </w:r>
      <w:r w:rsidRPr="00D4309F">
        <w:rPr>
          <w:spacing w:val="-3"/>
        </w:rPr>
        <w:t xml:space="preserve"> </w:t>
      </w:r>
      <w:r w:rsidRPr="00D4309F">
        <w:t>98,000</w:t>
      </w:r>
      <w:r w:rsidRPr="00D4309F">
        <w:rPr>
          <w:spacing w:val="-3"/>
        </w:rPr>
        <w:t xml:space="preserve"> </w:t>
      </w:r>
      <w:r w:rsidRPr="00D4309F">
        <w:t>m</w:t>
      </w:r>
      <w:r w:rsidRPr="00D4309F">
        <w:rPr>
          <w:vertAlign w:val="superscript"/>
        </w:rPr>
        <w:t>3</w:t>
      </w:r>
      <w:r w:rsidRPr="00D4309F">
        <w:rPr>
          <w:spacing w:val="-3"/>
        </w:rPr>
        <w:t xml:space="preserve"> </w:t>
      </w:r>
      <w:r w:rsidRPr="00D4309F">
        <w:t>per</w:t>
      </w:r>
      <w:r w:rsidRPr="00D4309F">
        <w:rPr>
          <w:spacing w:val="-4"/>
        </w:rPr>
        <w:t xml:space="preserve"> </w:t>
      </w:r>
      <w:r w:rsidRPr="00D4309F">
        <w:t>campaign</w:t>
      </w:r>
      <w:r w:rsidRPr="00D4309F">
        <w:rPr>
          <w:spacing w:val="-4"/>
        </w:rPr>
        <w:t xml:space="preserve"> </w:t>
      </w:r>
      <w:r w:rsidRPr="00D4309F">
        <w:t>(BMT,</w:t>
      </w:r>
      <w:r w:rsidRPr="00D4309F">
        <w:rPr>
          <w:spacing w:val="-3"/>
        </w:rPr>
        <w:t xml:space="preserve"> </w:t>
      </w:r>
      <w:r w:rsidRPr="00D4309F">
        <w:rPr>
          <w:spacing w:val="-2"/>
        </w:rPr>
        <w:t>2024).</w:t>
      </w:r>
    </w:p>
    <w:p w14:paraId="4BC2177D" w14:textId="77777777" w:rsidR="00725977" w:rsidRPr="00D4309F" w:rsidRDefault="00725977" w:rsidP="006156B6">
      <w:pPr>
        <w:pStyle w:val="ListBullet"/>
      </w:pPr>
      <w:r w:rsidRPr="00D4309F">
        <w:t>Potential</w:t>
      </w:r>
      <w:r w:rsidRPr="00D4309F">
        <w:rPr>
          <w:spacing w:val="-3"/>
        </w:rPr>
        <w:t xml:space="preserve"> </w:t>
      </w:r>
      <w:r w:rsidRPr="00D4309F">
        <w:t>modification:</w:t>
      </w:r>
      <w:r w:rsidRPr="00D4309F">
        <w:rPr>
          <w:spacing w:val="-3"/>
        </w:rPr>
        <w:t xml:space="preserve"> </w:t>
      </w:r>
      <w:r w:rsidRPr="00D4309F">
        <w:t>Extraction</w:t>
      </w:r>
      <w:r w:rsidRPr="00D4309F">
        <w:rPr>
          <w:spacing w:val="-3"/>
        </w:rPr>
        <w:t xml:space="preserve"> </w:t>
      </w:r>
      <w:r w:rsidRPr="00D4309F">
        <w:t>area</w:t>
      </w:r>
      <w:r w:rsidRPr="00D4309F">
        <w:rPr>
          <w:spacing w:val="-3"/>
        </w:rPr>
        <w:t xml:space="preserve"> </w:t>
      </w:r>
      <w:r w:rsidRPr="00D4309F">
        <w:t>may</w:t>
      </w:r>
      <w:r w:rsidRPr="00D4309F">
        <w:rPr>
          <w:spacing w:val="-2"/>
        </w:rPr>
        <w:t xml:space="preserve"> </w:t>
      </w:r>
      <w:r w:rsidRPr="00D4309F">
        <w:t>be</w:t>
      </w:r>
      <w:r w:rsidRPr="00D4309F">
        <w:rPr>
          <w:spacing w:val="-3"/>
        </w:rPr>
        <w:t xml:space="preserve"> </w:t>
      </w:r>
      <w:r w:rsidRPr="00D4309F">
        <w:t>extended</w:t>
      </w:r>
      <w:r w:rsidRPr="00D4309F">
        <w:rPr>
          <w:spacing w:val="-3"/>
        </w:rPr>
        <w:t xml:space="preserve"> </w:t>
      </w:r>
      <w:r w:rsidRPr="00D4309F">
        <w:t>or</w:t>
      </w:r>
      <w:r w:rsidRPr="00D4309F">
        <w:rPr>
          <w:spacing w:val="-2"/>
        </w:rPr>
        <w:t xml:space="preserve"> </w:t>
      </w:r>
      <w:r w:rsidRPr="00D4309F">
        <w:t>repositioned</w:t>
      </w:r>
      <w:r w:rsidRPr="00D4309F">
        <w:rPr>
          <w:spacing w:val="-4"/>
        </w:rPr>
        <w:t xml:space="preserve"> </w:t>
      </w:r>
      <w:r w:rsidRPr="00D4309F">
        <w:t>westward</w:t>
      </w:r>
      <w:r w:rsidRPr="00D4309F">
        <w:rPr>
          <w:spacing w:val="-3"/>
        </w:rPr>
        <w:t xml:space="preserve"> </w:t>
      </w:r>
      <w:r w:rsidRPr="00D4309F">
        <w:t>into</w:t>
      </w:r>
      <w:r w:rsidRPr="00D4309F">
        <w:rPr>
          <w:spacing w:val="-3"/>
        </w:rPr>
        <w:t xml:space="preserve"> </w:t>
      </w:r>
      <w:r w:rsidRPr="00D4309F">
        <w:t>shallower</w:t>
      </w:r>
      <w:r w:rsidRPr="00D4309F">
        <w:rPr>
          <w:spacing w:val="-4"/>
        </w:rPr>
        <w:t xml:space="preserve"> </w:t>
      </w:r>
      <w:r w:rsidRPr="00D4309F">
        <w:t>water</w:t>
      </w:r>
      <w:r w:rsidRPr="00D4309F">
        <w:rPr>
          <w:spacing w:val="-2"/>
        </w:rPr>
        <w:t xml:space="preserve"> </w:t>
      </w:r>
      <w:r w:rsidRPr="00D4309F">
        <w:t>to improve trapping efficiency, subject to operability and safety constraints (BMT, 2024).</w:t>
      </w:r>
    </w:p>
    <w:p w14:paraId="7612441F" w14:textId="77777777" w:rsidR="006156B6" w:rsidRDefault="00725977" w:rsidP="00725977">
      <w:pPr>
        <w:pStyle w:val="BodyText"/>
      </w:pPr>
      <w:r w:rsidRPr="00D4309F">
        <w:t>The</w:t>
      </w:r>
      <w:r w:rsidRPr="00D4309F">
        <w:rPr>
          <w:spacing w:val="-3"/>
        </w:rPr>
        <w:t xml:space="preserve"> </w:t>
      </w:r>
      <w:r w:rsidRPr="00D4309F">
        <w:t>sand</w:t>
      </w:r>
      <w:r w:rsidRPr="00D4309F">
        <w:rPr>
          <w:spacing w:val="-3"/>
        </w:rPr>
        <w:t xml:space="preserve"> </w:t>
      </w:r>
      <w:r w:rsidRPr="00D4309F">
        <w:t>trap</w:t>
      </w:r>
      <w:r w:rsidRPr="00D4309F">
        <w:rPr>
          <w:spacing w:val="-3"/>
        </w:rPr>
        <w:t xml:space="preserve"> </w:t>
      </w:r>
      <w:r w:rsidRPr="00D4309F">
        <w:t>is</w:t>
      </w:r>
      <w:r w:rsidRPr="00D4309F">
        <w:rPr>
          <w:spacing w:val="-2"/>
        </w:rPr>
        <w:t xml:space="preserve"> </w:t>
      </w:r>
      <w:r w:rsidRPr="00D4309F">
        <w:t>expected</w:t>
      </w:r>
      <w:r w:rsidRPr="00D4309F">
        <w:rPr>
          <w:spacing w:val="-4"/>
        </w:rPr>
        <w:t xml:space="preserve"> </w:t>
      </w:r>
      <w:r w:rsidRPr="00D4309F">
        <w:t>to</w:t>
      </w:r>
      <w:r w:rsidRPr="00D4309F">
        <w:rPr>
          <w:spacing w:val="-3"/>
        </w:rPr>
        <w:t xml:space="preserve"> </w:t>
      </w:r>
      <w:r w:rsidRPr="00D4309F">
        <w:t>refill</w:t>
      </w:r>
      <w:r w:rsidRPr="00D4309F">
        <w:rPr>
          <w:spacing w:val="-3"/>
        </w:rPr>
        <w:t xml:space="preserve"> </w:t>
      </w:r>
      <w:r w:rsidRPr="00D4309F">
        <w:t>over</w:t>
      </w:r>
      <w:r w:rsidRPr="00D4309F">
        <w:rPr>
          <w:spacing w:val="-2"/>
        </w:rPr>
        <w:t xml:space="preserve"> </w:t>
      </w:r>
      <w:r w:rsidRPr="00D4309F">
        <w:t>time,</w:t>
      </w:r>
      <w:r w:rsidRPr="00D4309F">
        <w:rPr>
          <w:spacing w:val="-3"/>
        </w:rPr>
        <w:t xml:space="preserve"> </w:t>
      </w:r>
      <w:r w:rsidRPr="00D4309F">
        <w:t>primarily</w:t>
      </w:r>
      <w:r w:rsidRPr="00D4309F">
        <w:rPr>
          <w:spacing w:val="-3"/>
        </w:rPr>
        <w:t xml:space="preserve"> </w:t>
      </w:r>
      <w:r w:rsidRPr="00D4309F">
        <w:t>under</w:t>
      </w:r>
      <w:r w:rsidRPr="00D4309F">
        <w:rPr>
          <w:spacing w:val="-4"/>
        </w:rPr>
        <w:t xml:space="preserve"> </w:t>
      </w:r>
      <w:r w:rsidRPr="00D4309F">
        <w:t>storm</w:t>
      </w:r>
      <w:r w:rsidRPr="00D4309F">
        <w:rPr>
          <w:spacing w:val="-4"/>
        </w:rPr>
        <w:t xml:space="preserve"> </w:t>
      </w:r>
      <w:r w:rsidRPr="00D4309F">
        <w:t>conditions,</w:t>
      </w:r>
      <w:r w:rsidRPr="00D4309F">
        <w:rPr>
          <w:spacing w:val="-3"/>
        </w:rPr>
        <w:t xml:space="preserve"> </w:t>
      </w:r>
      <w:r w:rsidRPr="00D4309F">
        <w:t>requiring</w:t>
      </w:r>
      <w:r w:rsidRPr="00D4309F">
        <w:rPr>
          <w:spacing w:val="-3"/>
        </w:rPr>
        <w:t xml:space="preserve"> </w:t>
      </w:r>
      <w:r w:rsidRPr="00D4309F">
        <w:t>periodic</w:t>
      </w:r>
      <w:r w:rsidRPr="00D4309F">
        <w:rPr>
          <w:spacing w:val="-2"/>
        </w:rPr>
        <w:t xml:space="preserve"> </w:t>
      </w:r>
      <w:r w:rsidRPr="00D4309F">
        <w:t>re-extraction every few years as part of a sustainable, long-term sediment management cycle.</w:t>
      </w:r>
    </w:p>
    <w:p w14:paraId="046DE8BD" w14:textId="77777777" w:rsidR="00D3074A" w:rsidRDefault="00D3074A" w:rsidP="00725977">
      <w:pPr>
        <w:pStyle w:val="BodyText"/>
      </w:pPr>
    </w:p>
    <w:p w14:paraId="542E8CA2" w14:textId="18E289FE" w:rsidR="00725977" w:rsidRDefault="00725977" w:rsidP="00D3074A">
      <w:pPr>
        <w:pStyle w:val="BodyText"/>
        <w:jc w:val="center"/>
      </w:pPr>
      <w:r w:rsidRPr="00D4309F">
        <w:rPr>
          <w:noProof/>
        </w:rPr>
        <w:drawing>
          <wp:inline distT="0" distB="0" distL="0" distR="0" wp14:anchorId="441E98A4" wp14:editId="1BD949DE">
            <wp:extent cx="4674870" cy="3140710"/>
            <wp:effectExtent l="0" t="0" r="0" b="2540"/>
            <wp:docPr id="119" name="Image 119" descr="Arial image of Point Cartwright and the Mooloolaba Boat Harbour Entrance showing the conceptional plan view of Option 1 - sand trap on northern Buddina Beach (ICM, 2025), with arrows in the direction of shoaling event which goes north along Buddina Beach, then west around the Point Cartwright headlan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descr="Arial image of Point Cartwright and the Mooloolaba Boat Harbour Entrance showing the conceptional plan view of Option 1 - sand trap on northern Buddina Beach (ICM, 2025), with arrows in the direction of shoaling event which goes north along Buddina Beach, then west around the Point Cartwright headland. "/>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674870" cy="3140710"/>
                    </a:xfrm>
                    <a:prstGeom prst="rect">
                      <a:avLst/>
                    </a:prstGeom>
                  </pic:spPr>
                </pic:pic>
              </a:graphicData>
            </a:graphic>
          </wp:inline>
        </w:drawing>
      </w:r>
      <w:bookmarkStart w:id="220" w:name="_bookmark98"/>
      <w:bookmarkEnd w:id="220"/>
    </w:p>
    <w:p w14:paraId="1ECFCF66" w14:textId="79AFEA39" w:rsidR="00D3074A" w:rsidRPr="00D4309F" w:rsidRDefault="00D3074A" w:rsidP="00EF4321">
      <w:pPr>
        <w:pStyle w:val="Caption"/>
        <w:jc w:val="both"/>
      </w:pPr>
      <w:bookmarkStart w:id="221" w:name="_Toc216699616"/>
      <w:r>
        <w:t xml:space="preserve">Figure </w:t>
      </w:r>
      <w:r w:rsidR="00B538D4">
        <w:fldChar w:fldCharType="begin" w:fldLock="1"/>
      </w:r>
      <w:r w:rsidR="00B538D4">
        <w:instrText xml:space="preserve"> STYLEREF 1 \s </w:instrText>
      </w:r>
      <w:r w:rsidR="00B538D4">
        <w:fldChar w:fldCharType="separate"/>
      </w:r>
      <w:r w:rsidR="00B538D4">
        <w:rPr>
          <w:noProof/>
        </w:rPr>
        <w:t>13</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1</w:t>
      </w:r>
      <w:r w:rsidR="00B538D4">
        <w:fldChar w:fldCharType="end"/>
      </w:r>
      <w:r>
        <w:t>:</w:t>
      </w:r>
      <w:r>
        <w:tab/>
      </w:r>
      <w:r w:rsidRPr="00D4309F">
        <w:rPr>
          <w:color w:val="211E1F"/>
        </w:rPr>
        <w:t>Conceptual</w:t>
      </w:r>
      <w:r w:rsidRPr="00D4309F">
        <w:rPr>
          <w:color w:val="211E1F"/>
          <w:spacing w:val="-1"/>
        </w:rPr>
        <w:t xml:space="preserve"> </w:t>
      </w:r>
      <w:r w:rsidRPr="00D4309F">
        <w:rPr>
          <w:color w:val="211E1F"/>
        </w:rPr>
        <w:t>plan</w:t>
      </w:r>
      <w:r w:rsidRPr="00D4309F">
        <w:rPr>
          <w:color w:val="211E1F"/>
          <w:spacing w:val="-2"/>
        </w:rPr>
        <w:t xml:space="preserve"> </w:t>
      </w:r>
      <w:r w:rsidRPr="00D4309F">
        <w:rPr>
          <w:color w:val="211E1F"/>
        </w:rPr>
        <w:t>view</w:t>
      </w:r>
      <w:r w:rsidRPr="00D4309F">
        <w:rPr>
          <w:color w:val="211E1F"/>
          <w:spacing w:val="-3"/>
        </w:rPr>
        <w:t xml:space="preserve"> </w:t>
      </w:r>
      <w:r w:rsidRPr="00D4309F">
        <w:rPr>
          <w:color w:val="211E1F"/>
        </w:rPr>
        <w:t>of</w:t>
      </w:r>
      <w:r w:rsidRPr="00D4309F">
        <w:rPr>
          <w:color w:val="211E1F"/>
          <w:spacing w:val="-2"/>
        </w:rPr>
        <w:t xml:space="preserve"> </w:t>
      </w:r>
      <w:r w:rsidRPr="00D4309F">
        <w:rPr>
          <w:color w:val="211E1F"/>
        </w:rPr>
        <w:t>Option</w:t>
      </w:r>
      <w:r w:rsidRPr="00D4309F">
        <w:rPr>
          <w:color w:val="211E1F"/>
          <w:spacing w:val="-2"/>
        </w:rPr>
        <w:t xml:space="preserve"> </w:t>
      </w:r>
      <w:r w:rsidRPr="00D4309F">
        <w:rPr>
          <w:color w:val="211E1F"/>
        </w:rPr>
        <w:t>1</w:t>
      </w:r>
      <w:r w:rsidRPr="00D4309F">
        <w:rPr>
          <w:color w:val="211E1F"/>
          <w:spacing w:val="-3"/>
        </w:rPr>
        <w:t xml:space="preserve"> </w:t>
      </w:r>
      <w:r w:rsidRPr="00D4309F">
        <w:rPr>
          <w:color w:val="211E1F"/>
        </w:rPr>
        <w:t>–</w:t>
      </w:r>
      <w:r w:rsidRPr="00D4309F">
        <w:rPr>
          <w:color w:val="211E1F"/>
          <w:spacing w:val="-2"/>
        </w:rPr>
        <w:t xml:space="preserve"> </w:t>
      </w:r>
      <w:r w:rsidRPr="00D4309F">
        <w:rPr>
          <w:color w:val="211E1F"/>
        </w:rPr>
        <w:t>Sand</w:t>
      </w:r>
      <w:r w:rsidRPr="00D4309F">
        <w:rPr>
          <w:color w:val="211E1F"/>
          <w:spacing w:val="-3"/>
        </w:rPr>
        <w:t xml:space="preserve"> </w:t>
      </w:r>
      <w:r w:rsidRPr="00D4309F">
        <w:rPr>
          <w:color w:val="211E1F"/>
        </w:rPr>
        <w:t>trap</w:t>
      </w:r>
      <w:r w:rsidRPr="00D4309F">
        <w:rPr>
          <w:color w:val="211E1F"/>
          <w:spacing w:val="-1"/>
        </w:rPr>
        <w:t xml:space="preserve"> </w:t>
      </w:r>
      <w:r w:rsidRPr="00D4309F">
        <w:rPr>
          <w:color w:val="211E1F"/>
        </w:rPr>
        <w:t>on</w:t>
      </w:r>
      <w:r w:rsidRPr="00D4309F">
        <w:rPr>
          <w:color w:val="211E1F"/>
          <w:spacing w:val="-2"/>
        </w:rPr>
        <w:t xml:space="preserve"> </w:t>
      </w:r>
      <w:r w:rsidRPr="00D4309F">
        <w:rPr>
          <w:color w:val="211E1F"/>
        </w:rPr>
        <w:t>northern</w:t>
      </w:r>
      <w:r w:rsidRPr="00D4309F">
        <w:rPr>
          <w:color w:val="211E1F"/>
          <w:spacing w:val="-2"/>
        </w:rPr>
        <w:t xml:space="preserve"> </w:t>
      </w:r>
      <w:r w:rsidRPr="00D4309F">
        <w:rPr>
          <w:color w:val="211E1F"/>
        </w:rPr>
        <w:t>Buddina</w:t>
      </w:r>
      <w:r w:rsidRPr="00D4309F">
        <w:rPr>
          <w:color w:val="211E1F"/>
          <w:spacing w:val="-2"/>
        </w:rPr>
        <w:t xml:space="preserve"> </w:t>
      </w:r>
      <w:r w:rsidRPr="00D4309F">
        <w:rPr>
          <w:color w:val="211E1F"/>
        </w:rPr>
        <w:t>Beach</w:t>
      </w:r>
      <w:r w:rsidRPr="00D4309F">
        <w:rPr>
          <w:color w:val="211E1F"/>
          <w:spacing w:val="-2"/>
        </w:rPr>
        <w:t xml:space="preserve"> </w:t>
      </w:r>
      <w:r w:rsidRPr="00D4309F">
        <w:rPr>
          <w:color w:val="211E1F"/>
        </w:rPr>
        <w:t>(ICM,</w:t>
      </w:r>
      <w:r w:rsidRPr="00D4309F">
        <w:rPr>
          <w:color w:val="211E1F"/>
          <w:spacing w:val="-1"/>
        </w:rPr>
        <w:t xml:space="preserve"> </w:t>
      </w:r>
      <w:r w:rsidRPr="00D4309F">
        <w:rPr>
          <w:color w:val="211E1F"/>
          <w:spacing w:val="-2"/>
        </w:rPr>
        <w:t>2025</w:t>
      </w:r>
      <w:r>
        <w:rPr>
          <w:color w:val="211E1F"/>
          <w:spacing w:val="-2"/>
        </w:rPr>
        <w:t>)</w:t>
      </w:r>
      <w:bookmarkEnd w:id="221"/>
    </w:p>
    <w:p w14:paraId="53687151" w14:textId="77777777" w:rsidR="00BD46A3" w:rsidRDefault="00725977" w:rsidP="00BD46A3">
      <w:pPr>
        <w:keepNext/>
        <w:ind w:left="2681"/>
      </w:pPr>
      <w:r w:rsidRPr="00D4309F">
        <w:rPr>
          <w:noProof/>
        </w:rPr>
        <w:lastRenderedPageBreak/>
        <w:drawing>
          <wp:inline distT="0" distB="0" distL="0" distR="0" wp14:anchorId="7F185770" wp14:editId="385151B2">
            <wp:extent cx="3462554" cy="3838575"/>
            <wp:effectExtent l="0" t="0" r="0" b="0"/>
            <wp:docPr id="120" name="Image 120" descr="Arial image of Point Cartwright and the Mooloolaba Boat Harbour Entrance showing the longshore sand transport conceptual model for north Buddina Beach and Point Cartwrigh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descr="Arial image of Point Cartwright and the Mooloolaba Boat Harbour Entrance showing the longshore sand transport conceptual model for north Buddina Beach and Point Cartwright."/>
                    <pic:cNvPicPr/>
                  </pic:nvPicPr>
                  <pic:blipFill>
                    <a:blip r:embed="rId77" cstate="print"/>
                    <a:stretch>
                      <a:fillRect/>
                    </a:stretch>
                  </pic:blipFill>
                  <pic:spPr>
                    <a:xfrm>
                      <a:off x="0" y="0"/>
                      <a:ext cx="3462554" cy="3838575"/>
                    </a:xfrm>
                    <a:prstGeom prst="rect">
                      <a:avLst/>
                    </a:prstGeom>
                  </pic:spPr>
                </pic:pic>
              </a:graphicData>
            </a:graphic>
          </wp:inline>
        </w:drawing>
      </w:r>
    </w:p>
    <w:p w14:paraId="18D6163E" w14:textId="4D052691" w:rsidR="00725977" w:rsidRPr="00D4309F" w:rsidRDefault="00BD46A3" w:rsidP="00EF4321">
      <w:pPr>
        <w:pStyle w:val="Caption"/>
      </w:pPr>
      <w:bookmarkStart w:id="222" w:name="_Toc216699617"/>
      <w:r>
        <w:t xml:space="preserve">Figure </w:t>
      </w:r>
      <w:r w:rsidR="00B538D4">
        <w:fldChar w:fldCharType="begin" w:fldLock="1"/>
      </w:r>
      <w:r w:rsidR="00B538D4">
        <w:instrText xml:space="preserve"> STYLEREF 1 \s </w:instrText>
      </w:r>
      <w:r w:rsidR="00B538D4">
        <w:fldChar w:fldCharType="separate"/>
      </w:r>
      <w:r w:rsidR="00B538D4">
        <w:rPr>
          <w:noProof/>
        </w:rPr>
        <w:t>13</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2</w:t>
      </w:r>
      <w:r w:rsidR="00B538D4">
        <w:fldChar w:fldCharType="end"/>
      </w:r>
      <w:r>
        <w:t>:</w:t>
      </w:r>
      <w:r>
        <w:tab/>
      </w:r>
      <w:r w:rsidRPr="00D4309F">
        <w:rPr>
          <w:color w:val="211E1F"/>
        </w:rPr>
        <w:t>Longshore</w:t>
      </w:r>
      <w:r w:rsidRPr="00D4309F">
        <w:rPr>
          <w:color w:val="211E1F"/>
          <w:spacing w:val="-3"/>
        </w:rPr>
        <w:t xml:space="preserve"> </w:t>
      </w:r>
      <w:r w:rsidRPr="00D4309F">
        <w:rPr>
          <w:color w:val="211E1F"/>
        </w:rPr>
        <w:t>sand</w:t>
      </w:r>
      <w:r w:rsidRPr="00D4309F">
        <w:rPr>
          <w:color w:val="211E1F"/>
          <w:spacing w:val="-2"/>
        </w:rPr>
        <w:t xml:space="preserve"> </w:t>
      </w:r>
      <w:r w:rsidRPr="00D4309F">
        <w:rPr>
          <w:color w:val="211E1F"/>
        </w:rPr>
        <w:t>transport</w:t>
      </w:r>
      <w:r w:rsidRPr="00D4309F">
        <w:rPr>
          <w:color w:val="211E1F"/>
          <w:spacing w:val="-2"/>
        </w:rPr>
        <w:t xml:space="preserve"> </w:t>
      </w:r>
      <w:r w:rsidRPr="00D4309F">
        <w:rPr>
          <w:color w:val="211E1F"/>
        </w:rPr>
        <w:t>conceptual</w:t>
      </w:r>
      <w:r w:rsidRPr="00D4309F">
        <w:rPr>
          <w:color w:val="211E1F"/>
          <w:spacing w:val="-2"/>
        </w:rPr>
        <w:t xml:space="preserve"> </w:t>
      </w:r>
      <w:r w:rsidRPr="00D4309F">
        <w:rPr>
          <w:color w:val="211E1F"/>
        </w:rPr>
        <w:t>model</w:t>
      </w:r>
      <w:r w:rsidRPr="00D4309F">
        <w:rPr>
          <w:color w:val="211E1F"/>
          <w:spacing w:val="-2"/>
        </w:rPr>
        <w:t xml:space="preserve"> </w:t>
      </w:r>
      <w:r w:rsidRPr="00D4309F">
        <w:rPr>
          <w:color w:val="211E1F"/>
        </w:rPr>
        <w:t>for</w:t>
      </w:r>
      <w:r w:rsidRPr="00D4309F">
        <w:rPr>
          <w:color w:val="211E1F"/>
          <w:spacing w:val="-3"/>
        </w:rPr>
        <w:t xml:space="preserve"> </w:t>
      </w:r>
      <w:r w:rsidRPr="00D4309F">
        <w:rPr>
          <w:color w:val="211E1F"/>
        </w:rPr>
        <w:t>north</w:t>
      </w:r>
      <w:r w:rsidRPr="00D4309F">
        <w:rPr>
          <w:color w:val="211E1F"/>
          <w:spacing w:val="-3"/>
        </w:rPr>
        <w:t xml:space="preserve"> </w:t>
      </w:r>
      <w:r w:rsidRPr="00D4309F">
        <w:rPr>
          <w:color w:val="211E1F"/>
        </w:rPr>
        <w:t>Buddina</w:t>
      </w:r>
      <w:r w:rsidRPr="00D4309F">
        <w:rPr>
          <w:color w:val="211E1F"/>
          <w:spacing w:val="-3"/>
        </w:rPr>
        <w:t xml:space="preserve"> </w:t>
      </w:r>
      <w:r w:rsidRPr="00D4309F">
        <w:rPr>
          <w:color w:val="211E1F"/>
        </w:rPr>
        <w:t>Beach</w:t>
      </w:r>
      <w:r w:rsidRPr="00D4309F">
        <w:rPr>
          <w:color w:val="211E1F"/>
          <w:spacing w:val="-2"/>
        </w:rPr>
        <w:t xml:space="preserve"> </w:t>
      </w:r>
      <w:r w:rsidRPr="00D4309F">
        <w:rPr>
          <w:color w:val="211E1F"/>
        </w:rPr>
        <w:t>and</w:t>
      </w:r>
      <w:r w:rsidRPr="00D4309F">
        <w:rPr>
          <w:color w:val="211E1F"/>
          <w:spacing w:val="-2"/>
        </w:rPr>
        <w:t xml:space="preserve"> </w:t>
      </w:r>
      <w:r w:rsidRPr="00D4309F">
        <w:rPr>
          <w:color w:val="211E1F"/>
        </w:rPr>
        <w:t>Point</w:t>
      </w:r>
      <w:r w:rsidRPr="00D4309F">
        <w:rPr>
          <w:color w:val="211E1F"/>
          <w:spacing w:val="-3"/>
        </w:rPr>
        <w:t xml:space="preserve"> </w:t>
      </w:r>
      <w:r w:rsidRPr="00D4309F">
        <w:rPr>
          <w:color w:val="211E1F"/>
        </w:rPr>
        <w:t>Cartwright</w:t>
      </w:r>
      <w:r w:rsidRPr="00D4309F">
        <w:rPr>
          <w:color w:val="211E1F"/>
          <w:spacing w:val="-2"/>
        </w:rPr>
        <w:t xml:space="preserve"> </w:t>
      </w:r>
      <w:r w:rsidRPr="00D4309F">
        <w:rPr>
          <w:color w:val="211E1F"/>
        </w:rPr>
        <w:t xml:space="preserve">(BMT, </w:t>
      </w:r>
      <w:r w:rsidRPr="00D4309F">
        <w:rPr>
          <w:color w:val="211E1F"/>
          <w:spacing w:val="-2"/>
        </w:rPr>
        <w:t>2024)</w:t>
      </w:r>
      <w:bookmarkEnd w:id="222"/>
    </w:p>
    <w:p w14:paraId="3240AD90" w14:textId="77777777" w:rsidR="00725977" w:rsidRPr="00D4309F" w:rsidRDefault="00725977" w:rsidP="00725977">
      <w:pPr>
        <w:pStyle w:val="BodyText"/>
      </w:pPr>
      <w:bookmarkStart w:id="223" w:name="_bookmark99"/>
      <w:bookmarkEnd w:id="223"/>
    </w:p>
    <w:p w14:paraId="764F4833" w14:textId="77777777" w:rsidR="00725977" w:rsidRPr="00D4309F" w:rsidRDefault="00725977" w:rsidP="00EE2982">
      <w:pPr>
        <w:pStyle w:val="Heading3"/>
      </w:pPr>
      <w:bookmarkStart w:id="224" w:name="_Toc216699369"/>
      <w:r w:rsidRPr="00D4309F">
        <w:t>Effectiveness</w:t>
      </w:r>
      <w:r w:rsidRPr="00D4309F">
        <w:rPr>
          <w:spacing w:val="-5"/>
        </w:rPr>
        <w:t xml:space="preserve"> </w:t>
      </w:r>
      <w:r w:rsidRPr="00D4309F">
        <w:t>of</w:t>
      </w:r>
      <w:r w:rsidRPr="00D4309F">
        <w:rPr>
          <w:spacing w:val="-5"/>
        </w:rPr>
        <w:t xml:space="preserve"> </w:t>
      </w:r>
      <w:r w:rsidRPr="00D4309F">
        <w:t>Option</w:t>
      </w:r>
      <w:r w:rsidRPr="00D4309F">
        <w:rPr>
          <w:spacing w:val="-4"/>
        </w:rPr>
        <w:t xml:space="preserve"> </w:t>
      </w:r>
      <w:r w:rsidRPr="00D4309F">
        <w:rPr>
          <w:spacing w:val="-10"/>
        </w:rPr>
        <w:t>1</w:t>
      </w:r>
      <w:bookmarkEnd w:id="224"/>
    </w:p>
    <w:p w14:paraId="5A91B307" w14:textId="77777777" w:rsidR="00725977" w:rsidRPr="00D4309F" w:rsidRDefault="00725977" w:rsidP="00725977">
      <w:pPr>
        <w:pStyle w:val="BodyText"/>
      </w:pPr>
      <w:r w:rsidRPr="00D4309F">
        <w:t>The Buddina Beach Sand Trap is designed to reduce, not eliminate, sand shoaling at the Mooloolaba Harbour</w:t>
      </w:r>
      <w:r w:rsidRPr="00D4309F">
        <w:rPr>
          <w:spacing w:val="-2"/>
        </w:rPr>
        <w:t xml:space="preserve"> </w:t>
      </w:r>
      <w:r w:rsidRPr="00D4309F">
        <w:t>entrance.</w:t>
      </w:r>
      <w:r w:rsidRPr="00D4309F">
        <w:rPr>
          <w:spacing w:val="-3"/>
        </w:rPr>
        <w:t xml:space="preserve"> </w:t>
      </w:r>
      <w:r w:rsidRPr="00D4309F">
        <w:t>By</w:t>
      </w:r>
      <w:r w:rsidRPr="00D4309F">
        <w:rPr>
          <w:spacing w:val="-2"/>
        </w:rPr>
        <w:t xml:space="preserve"> </w:t>
      </w:r>
      <w:r w:rsidRPr="00D4309F">
        <w:t>trapping</w:t>
      </w:r>
      <w:r w:rsidRPr="00D4309F">
        <w:rPr>
          <w:spacing w:val="-3"/>
        </w:rPr>
        <w:t xml:space="preserve"> </w:t>
      </w:r>
      <w:r w:rsidRPr="00D4309F">
        <w:t>a</w:t>
      </w:r>
      <w:r w:rsidRPr="00D4309F">
        <w:rPr>
          <w:spacing w:val="-3"/>
        </w:rPr>
        <w:t xml:space="preserve"> </w:t>
      </w:r>
      <w:r w:rsidRPr="00D4309F">
        <w:t>portion</w:t>
      </w:r>
      <w:r w:rsidRPr="00D4309F">
        <w:rPr>
          <w:spacing w:val="-4"/>
        </w:rPr>
        <w:t xml:space="preserve"> </w:t>
      </w:r>
      <w:r w:rsidRPr="00D4309F">
        <w:t>of</w:t>
      </w:r>
      <w:r w:rsidRPr="00D4309F">
        <w:rPr>
          <w:spacing w:val="-3"/>
        </w:rPr>
        <w:t xml:space="preserve"> </w:t>
      </w:r>
      <w:r w:rsidRPr="00D4309F">
        <w:t>the</w:t>
      </w:r>
      <w:r w:rsidRPr="00D4309F">
        <w:rPr>
          <w:spacing w:val="-3"/>
        </w:rPr>
        <w:t xml:space="preserve"> </w:t>
      </w:r>
      <w:r w:rsidRPr="00D4309F">
        <w:t>northward-moving</w:t>
      </w:r>
      <w:r w:rsidRPr="00D4309F">
        <w:rPr>
          <w:spacing w:val="-4"/>
        </w:rPr>
        <w:t xml:space="preserve"> </w:t>
      </w:r>
      <w:r w:rsidRPr="00D4309F">
        <w:t>sand</w:t>
      </w:r>
      <w:r w:rsidRPr="00D4309F">
        <w:rPr>
          <w:spacing w:val="-3"/>
        </w:rPr>
        <w:t xml:space="preserve"> </w:t>
      </w:r>
      <w:r w:rsidRPr="00D4309F">
        <w:t>before</w:t>
      </w:r>
      <w:r w:rsidRPr="00D4309F">
        <w:rPr>
          <w:spacing w:val="-3"/>
        </w:rPr>
        <w:t xml:space="preserve"> </w:t>
      </w:r>
      <w:r w:rsidRPr="00D4309F">
        <w:t>it</w:t>
      </w:r>
      <w:r w:rsidRPr="00D4309F">
        <w:rPr>
          <w:spacing w:val="-3"/>
        </w:rPr>
        <w:t xml:space="preserve"> </w:t>
      </w:r>
      <w:r w:rsidRPr="00D4309F">
        <w:t>rounds</w:t>
      </w:r>
      <w:r w:rsidRPr="00D4309F">
        <w:rPr>
          <w:spacing w:val="-2"/>
        </w:rPr>
        <w:t xml:space="preserve"> </w:t>
      </w:r>
      <w:r w:rsidRPr="00D4309F">
        <w:t>Point</w:t>
      </w:r>
      <w:r w:rsidRPr="00D4309F">
        <w:rPr>
          <w:spacing w:val="-3"/>
        </w:rPr>
        <w:t xml:space="preserve"> </w:t>
      </w:r>
      <w:r w:rsidRPr="00D4309F">
        <w:t>Cartwright,</w:t>
      </w:r>
      <w:r w:rsidRPr="00D4309F">
        <w:rPr>
          <w:spacing w:val="-3"/>
        </w:rPr>
        <w:t xml:space="preserve"> </w:t>
      </w:r>
      <w:r w:rsidRPr="00D4309F">
        <w:t xml:space="preserve">the option would slow the rate of shoal formation and extend the duration between maintenance dredging </w:t>
      </w:r>
      <w:r w:rsidRPr="00D4309F">
        <w:rPr>
          <w:spacing w:val="-2"/>
        </w:rPr>
        <w:t>campaigns.</w:t>
      </w:r>
    </w:p>
    <w:p w14:paraId="228DFFF7" w14:textId="77777777" w:rsidR="00725977" w:rsidRPr="00D4309F" w:rsidRDefault="00725977" w:rsidP="00725977">
      <w:pPr>
        <w:pStyle w:val="BodyText"/>
      </w:pPr>
      <w:r w:rsidRPr="00D4309F">
        <w:t>Modelling</w:t>
      </w:r>
      <w:r w:rsidRPr="00D4309F">
        <w:rPr>
          <w:spacing w:val="-3"/>
        </w:rPr>
        <w:t xml:space="preserve"> </w:t>
      </w:r>
      <w:r w:rsidRPr="00D4309F">
        <w:t>derived</w:t>
      </w:r>
      <w:r w:rsidRPr="00D4309F">
        <w:rPr>
          <w:spacing w:val="-3"/>
        </w:rPr>
        <w:t xml:space="preserve"> </w:t>
      </w:r>
      <w:r w:rsidRPr="00D4309F">
        <w:t>from</w:t>
      </w:r>
      <w:r w:rsidRPr="00D4309F">
        <w:rPr>
          <w:spacing w:val="-3"/>
        </w:rPr>
        <w:t xml:space="preserve"> </w:t>
      </w:r>
      <w:r w:rsidRPr="00D4309F">
        <w:t>the</w:t>
      </w:r>
      <w:r w:rsidRPr="00D4309F">
        <w:rPr>
          <w:spacing w:val="-3"/>
        </w:rPr>
        <w:t xml:space="preserve"> </w:t>
      </w:r>
      <w:r w:rsidRPr="00D4309F">
        <w:t>sand</w:t>
      </w:r>
      <w:r w:rsidRPr="00D4309F">
        <w:rPr>
          <w:spacing w:val="-3"/>
        </w:rPr>
        <w:t xml:space="preserve"> </w:t>
      </w:r>
      <w:r w:rsidRPr="00D4309F">
        <w:t>shoal</w:t>
      </w:r>
      <w:r w:rsidRPr="00D4309F">
        <w:rPr>
          <w:spacing w:val="-3"/>
        </w:rPr>
        <w:t xml:space="preserve"> </w:t>
      </w:r>
      <w:r w:rsidRPr="00D4309F">
        <w:t>indicator</w:t>
      </w:r>
      <w:r w:rsidRPr="00D4309F">
        <w:rPr>
          <w:spacing w:val="-3"/>
        </w:rPr>
        <w:t xml:space="preserve"> </w:t>
      </w:r>
      <w:r w:rsidRPr="00D4309F">
        <w:t>(BMT,2024)</w:t>
      </w:r>
      <w:r w:rsidRPr="00D4309F">
        <w:rPr>
          <w:spacing w:val="-2"/>
        </w:rPr>
        <w:t xml:space="preserve"> </w:t>
      </w:r>
      <w:r w:rsidRPr="00D4309F">
        <w:t>estimates</w:t>
      </w:r>
      <w:r w:rsidRPr="00D4309F">
        <w:rPr>
          <w:spacing w:val="-2"/>
        </w:rPr>
        <w:t xml:space="preserve"> </w:t>
      </w:r>
      <w:r w:rsidRPr="00D4309F">
        <w:t>a</w:t>
      </w:r>
      <w:r w:rsidRPr="00D4309F">
        <w:rPr>
          <w:spacing w:val="-3"/>
        </w:rPr>
        <w:t xml:space="preserve"> </w:t>
      </w:r>
      <w:r w:rsidRPr="00D4309F">
        <w:t>net</w:t>
      </w:r>
      <w:r w:rsidRPr="00D4309F">
        <w:rPr>
          <w:spacing w:val="-3"/>
        </w:rPr>
        <w:t xml:space="preserve"> </w:t>
      </w:r>
      <w:r w:rsidRPr="00D4309F">
        <w:t>northward</w:t>
      </w:r>
      <w:r w:rsidRPr="00D4309F">
        <w:rPr>
          <w:spacing w:val="-3"/>
        </w:rPr>
        <w:t xml:space="preserve"> </w:t>
      </w:r>
      <w:r w:rsidRPr="00D4309F">
        <w:t>longshore</w:t>
      </w:r>
      <w:r w:rsidRPr="00D4309F">
        <w:rPr>
          <w:spacing w:val="-3"/>
        </w:rPr>
        <w:t xml:space="preserve"> </w:t>
      </w:r>
      <w:r w:rsidRPr="00D4309F">
        <w:t>transport around Point Cartwright of approximately 75,000 m</w:t>
      </w:r>
      <w:r w:rsidRPr="00D4309F">
        <w:rPr>
          <w:vertAlign w:val="superscript"/>
        </w:rPr>
        <w:t>3</w:t>
      </w:r>
      <w:r w:rsidRPr="00D4309F">
        <w:t xml:space="preserve"> per year (), while the gross annual transport along Buddina beach is approximately 485,000 m</w:t>
      </w:r>
      <w:r w:rsidRPr="00D4309F">
        <w:rPr>
          <w:vertAlign w:val="superscript"/>
        </w:rPr>
        <w:t>3</w:t>
      </w:r>
      <w:r w:rsidRPr="00D4309F">
        <w:t xml:space="preserve"> per year (280,000 m</w:t>
      </w:r>
      <w:r w:rsidRPr="00D4309F">
        <w:rPr>
          <w:vertAlign w:val="superscript"/>
        </w:rPr>
        <w:t>3</w:t>
      </w:r>
      <w:r w:rsidRPr="00D4309F">
        <w:t xml:space="preserve"> northward and 205,000 m</w:t>
      </w:r>
      <w:r w:rsidRPr="00D4309F">
        <w:rPr>
          <w:vertAlign w:val="superscript"/>
        </w:rPr>
        <w:t>3</w:t>
      </w:r>
      <w:r w:rsidRPr="00D4309F">
        <w:t xml:space="preserve"> southward). The</w:t>
      </w:r>
      <w:r w:rsidRPr="00D4309F">
        <w:rPr>
          <w:spacing w:val="-1"/>
        </w:rPr>
        <w:t xml:space="preserve"> </w:t>
      </w:r>
      <w:r w:rsidRPr="00D4309F">
        <w:t>proposed</w:t>
      </w:r>
      <w:r w:rsidRPr="00D4309F">
        <w:rPr>
          <w:spacing w:val="-1"/>
        </w:rPr>
        <w:t xml:space="preserve"> </w:t>
      </w:r>
      <w:r w:rsidRPr="00D4309F">
        <w:t>trap</w:t>
      </w:r>
      <w:r w:rsidRPr="00D4309F">
        <w:rPr>
          <w:spacing w:val="-1"/>
        </w:rPr>
        <w:t xml:space="preserve"> </w:t>
      </w:r>
      <w:r w:rsidRPr="00D4309F">
        <w:t>could</w:t>
      </w:r>
      <w:r w:rsidRPr="00D4309F">
        <w:rPr>
          <w:spacing w:val="-1"/>
        </w:rPr>
        <w:t xml:space="preserve"> </w:t>
      </w:r>
      <w:r w:rsidRPr="00D4309F">
        <w:t>intercept</w:t>
      </w:r>
      <w:r w:rsidRPr="00D4309F">
        <w:rPr>
          <w:spacing w:val="-1"/>
        </w:rPr>
        <w:t xml:space="preserve"> </w:t>
      </w:r>
      <w:r w:rsidRPr="00D4309F">
        <w:t>28,000</w:t>
      </w:r>
      <w:r w:rsidRPr="00D4309F">
        <w:rPr>
          <w:spacing w:val="-1"/>
        </w:rPr>
        <w:t xml:space="preserve"> </w:t>
      </w:r>
      <w:r w:rsidRPr="00D4309F">
        <w:t>–</w:t>
      </w:r>
      <w:r w:rsidRPr="00D4309F">
        <w:rPr>
          <w:spacing w:val="-1"/>
        </w:rPr>
        <w:t xml:space="preserve"> </w:t>
      </w:r>
      <w:r w:rsidRPr="00D4309F">
        <w:t>95,000</w:t>
      </w:r>
      <w:r w:rsidRPr="00D4309F">
        <w:rPr>
          <w:spacing w:val="-1"/>
        </w:rPr>
        <w:t xml:space="preserve"> </w:t>
      </w:r>
      <w:r w:rsidRPr="00D4309F">
        <w:t>m</w:t>
      </w:r>
      <w:r w:rsidRPr="00D4309F">
        <w:rPr>
          <w:vertAlign w:val="superscript"/>
        </w:rPr>
        <w:t>3</w:t>
      </w:r>
      <w:r w:rsidRPr="00D4309F">
        <w:rPr>
          <w:spacing w:val="-1"/>
        </w:rPr>
        <w:t xml:space="preserve"> </w:t>
      </w:r>
      <w:r w:rsidRPr="00D4309F">
        <w:t>per year,</w:t>
      </w:r>
      <w:r w:rsidRPr="00D4309F">
        <w:rPr>
          <w:spacing w:val="-3"/>
        </w:rPr>
        <w:t xml:space="preserve"> </w:t>
      </w:r>
      <w:r w:rsidRPr="00D4309F">
        <w:t>equating</w:t>
      </w:r>
      <w:r w:rsidRPr="00D4309F">
        <w:rPr>
          <w:spacing w:val="-1"/>
        </w:rPr>
        <w:t xml:space="preserve"> </w:t>
      </w:r>
      <w:r w:rsidRPr="00D4309F">
        <w:t>to</w:t>
      </w:r>
      <w:r w:rsidRPr="00D4309F">
        <w:rPr>
          <w:spacing w:val="-1"/>
        </w:rPr>
        <w:t xml:space="preserve"> </w:t>
      </w:r>
      <w:r w:rsidRPr="00D4309F">
        <w:t>37</w:t>
      </w:r>
      <w:r w:rsidRPr="00D4309F">
        <w:rPr>
          <w:spacing w:val="-1"/>
        </w:rPr>
        <w:t xml:space="preserve"> </w:t>
      </w:r>
      <w:r w:rsidRPr="00D4309F">
        <w:t>–</w:t>
      </w:r>
      <w:r w:rsidRPr="00D4309F">
        <w:rPr>
          <w:spacing w:val="-1"/>
        </w:rPr>
        <w:t xml:space="preserve"> </w:t>
      </w:r>
      <w:r w:rsidRPr="00D4309F">
        <w:t>126</w:t>
      </w:r>
      <w:r w:rsidRPr="00D4309F">
        <w:rPr>
          <w:spacing w:val="-1"/>
        </w:rPr>
        <w:t xml:space="preserve"> </w:t>
      </w:r>
      <w:r w:rsidRPr="00D4309F">
        <w:t>% of</w:t>
      </w:r>
      <w:r w:rsidRPr="00D4309F">
        <w:rPr>
          <w:spacing w:val="-3"/>
        </w:rPr>
        <w:t xml:space="preserve"> </w:t>
      </w:r>
      <w:r w:rsidRPr="00D4309F">
        <w:t>the</w:t>
      </w:r>
      <w:r w:rsidRPr="00D4309F">
        <w:rPr>
          <w:spacing w:val="-1"/>
        </w:rPr>
        <w:t xml:space="preserve"> </w:t>
      </w:r>
      <w:r w:rsidRPr="00D4309F">
        <w:t>net</w:t>
      </w:r>
      <w:r w:rsidRPr="00D4309F">
        <w:rPr>
          <w:spacing w:val="-2"/>
        </w:rPr>
        <w:t xml:space="preserve"> </w:t>
      </w:r>
      <w:r w:rsidRPr="00D4309F">
        <w:t>average northward sand flux, depending on storm conditions (BMT, 2024).</w:t>
      </w:r>
    </w:p>
    <w:p w14:paraId="3CA17A33" w14:textId="77777777" w:rsidR="00725977" w:rsidRPr="00D4309F" w:rsidRDefault="00725977" w:rsidP="00725977">
      <w:pPr>
        <w:pStyle w:val="BodyText"/>
      </w:pPr>
      <w:r w:rsidRPr="00D4309F">
        <w:t>This</w:t>
      </w:r>
      <w:r w:rsidRPr="00D4309F">
        <w:rPr>
          <w:spacing w:val="-1"/>
        </w:rPr>
        <w:t xml:space="preserve"> </w:t>
      </w:r>
      <w:r w:rsidRPr="00D4309F">
        <w:t>means</w:t>
      </w:r>
      <w:r w:rsidRPr="00D4309F">
        <w:rPr>
          <w:spacing w:val="-1"/>
        </w:rPr>
        <w:t xml:space="preserve"> </w:t>
      </w:r>
      <w:r w:rsidRPr="00D4309F">
        <w:t>the</w:t>
      </w:r>
      <w:r w:rsidRPr="00D4309F">
        <w:rPr>
          <w:spacing w:val="-2"/>
        </w:rPr>
        <w:t xml:space="preserve"> </w:t>
      </w:r>
      <w:r w:rsidRPr="00D4309F">
        <w:t>trap</w:t>
      </w:r>
      <w:r w:rsidRPr="00D4309F">
        <w:rPr>
          <w:spacing w:val="-3"/>
        </w:rPr>
        <w:t xml:space="preserve"> </w:t>
      </w:r>
      <w:r w:rsidRPr="00D4309F">
        <w:t>could</w:t>
      </w:r>
      <w:r w:rsidRPr="00D4309F">
        <w:rPr>
          <w:spacing w:val="-3"/>
        </w:rPr>
        <w:t xml:space="preserve"> </w:t>
      </w:r>
      <w:r w:rsidRPr="00D4309F">
        <w:t>temporarily</w:t>
      </w:r>
      <w:r w:rsidRPr="00D4309F">
        <w:rPr>
          <w:spacing w:val="-1"/>
        </w:rPr>
        <w:t xml:space="preserve"> </w:t>
      </w:r>
      <w:r w:rsidRPr="00D4309F">
        <w:t>capture</w:t>
      </w:r>
      <w:r w:rsidRPr="00D4309F">
        <w:rPr>
          <w:spacing w:val="-2"/>
        </w:rPr>
        <w:t xml:space="preserve"> </w:t>
      </w:r>
      <w:r w:rsidRPr="00D4309F">
        <w:t>a</w:t>
      </w:r>
      <w:r w:rsidRPr="00D4309F">
        <w:rPr>
          <w:spacing w:val="-3"/>
        </w:rPr>
        <w:t xml:space="preserve"> </w:t>
      </w:r>
      <w:r w:rsidRPr="00D4309F">
        <w:t>significant</w:t>
      </w:r>
      <w:r w:rsidRPr="00D4309F">
        <w:rPr>
          <w:spacing w:val="-2"/>
        </w:rPr>
        <w:t xml:space="preserve"> </w:t>
      </w:r>
      <w:r w:rsidRPr="00D4309F">
        <w:t>proportion</w:t>
      </w:r>
      <w:r w:rsidRPr="00D4309F">
        <w:rPr>
          <w:spacing w:val="-2"/>
        </w:rPr>
        <w:t xml:space="preserve"> </w:t>
      </w:r>
      <w:r w:rsidRPr="00D4309F">
        <w:t>of</w:t>
      </w:r>
      <w:r w:rsidRPr="00D4309F">
        <w:rPr>
          <w:spacing w:val="-2"/>
        </w:rPr>
        <w:t xml:space="preserve"> </w:t>
      </w:r>
      <w:r w:rsidRPr="00D4309F">
        <w:t>the</w:t>
      </w:r>
      <w:r w:rsidRPr="00D4309F">
        <w:rPr>
          <w:spacing w:val="-2"/>
        </w:rPr>
        <w:t xml:space="preserve"> </w:t>
      </w:r>
      <w:r w:rsidRPr="00D4309F">
        <w:t>sand</w:t>
      </w:r>
      <w:r w:rsidRPr="00D4309F">
        <w:rPr>
          <w:spacing w:val="-2"/>
        </w:rPr>
        <w:t xml:space="preserve"> </w:t>
      </w:r>
      <w:r w:rsidRPr="00D4309F">
        <w:t>that</w:t>
      </w:r>
      <w:r w:rsidRPr="00D4309F">
        <w:rPr>
          <w:spacing w:val="-2"/>
        </w:rPr>
        <w:t xml:space="preserve"> </w:t>
      </w:r>
      <w:r w:rsidRPr="00D4309F">
        <w:t>would</w:t>
      </w:r>
      <w:r w:rsidRPr="00D4309F">
        <w:rPr>
          <w:spacing w:val="-3"/>
        </w:rPr>
        <w:t xml:space="preserve"> </w:t>
      </w:r>
      <w:r w:rsidRPr="00D4309F">
        <w:t>otherwise</w:t>
      </w:r>
      <w:r w:rsidRPr="00D4309F">
        <w:rPr>
          <w:spacing w:val="-2"/>
        </w:rPr>
        <w:t xml:space="preserve"> </w:t>
      </w:r>
      <w:r w:rsidRPr="00D4309F">
        <w:t>reach the entrance, thereby slowing the accumulation rate within the shoal zone. Infilling is expected to occur mainly during high-energy storm events when waves mobilise sediment beyond the -7 m contour, while moderate conditions would result in minimal trapping activity.</w:t>
      </w:r>
    </w:p>
    <w:p w14:paraId="19D9DDB5" w14:textId="77777777" w:rsidR="00725977" w:rsidRPr="00D4309F" w:rsidRDefault="00725977" w:rsidP="006156B6">
      <w:pPr>
        <w:pStyle w:val="ListBullet"/>
      </w:pPr>
      <w:r w:rsidRPr="00D4309F">
        <w:t>Primary</w:t>
      </w:r>
      <w:r w:rsidRPr="00D4309F">
        <w:rPr>
          <w:spacing w:val="-5"/>
        </w:rPr>
        <w:t xml:space="preserve"> </w:t>
      </w:r>
      <w:r w:rsidRPr="00D4309F">
        <w:t>function:</w:t>
      </w:r>
      <w:r w:rsidRPr="00D4309F">
        <w:rPr>
          <w:spacing w:val="-4"/>
        </w:rPr>
        <w:t xml:space="preserve"> </w:t>
      </w:r>
      <w:r w:rsidRPr="00D4309F">
        <w:t>Reduce</w:t>
      </w:r>
      <w:r w:rsidRPr="00D4309F">
        <w:rPr>
          <w:spacing w:val="-4"/>
        </w:rPr>
        <w:t xml:space="preserve"> </w:t>
      </w:r>
      <w:r w:rsidRPr="00D4309F">
        <w:t>(not</w:t>
      </w:r>
      <w:r w:rsidRPr="00D4309F">
        <w:rPr>
          <w:spacing w:val="-4"/>
        </w:rPr>
        <w:t xml:space="preserve"> </w:t>
      </w:r>
      <w:r w:rsidRPr="00D4309F">
        <w:t>prevent)</w:t>
      </w:r>
      <w:r w:rsidRPr="00D4309F">
        <w:rPr>
          <w:spacing w:val="-3"/>
        </w:rPr>
        <w:t xml:space="preserve"> </w:t>
      </w:r>
      <w:r w:rsidRPr="00D4309F">
        <w:t>shoaling</w:t>
      </w:r>
      <w:r w:rsidRPr="00D4309F">
        <w:rPr>
          <w:spacing w:val="-4"/>
        </w:rPr>
        <w:t xml:space="preserve"> </w:t>
      </w:r>
      <w:r w:rsidRPr="00D4309F">
        <w:t>by</w:t>
      </w:r>
      <w:r w:rsidRPr="00D4309F">
        <w:rPr>
          <w:spacing w:val="-3"/>
        </w:rPr>
        <w:t xml:space="preserve"> </w:t>
      </w:r>
      <w:r w:rsidRPr="00D4309F">
        <w:t>slowing</w:t>
      </w:r>
      <w:r w:rsidRPr="00D4309F">
        <w:rPr>
          <w:spacing w:val="-5"/>
        </w:rPr>
        <w:t xml:space="preserve"> </w:t>
      </w:r>
      <w:r w:rsidRPr="00D4309F">
        <w:t>sand</w:t>
      </w:r>
      <w:r w:rsidRPr="00D4309F">
        <w:rPr>
          <w:spacing w:val="-4"/>
        </w:rPr>
        <w:t xml:space="preserve"> </w:t>
      </w:r>
      <w:r w:rsidRPr="00D4309F">
        <w:t>delivery</w:t>
      </w:r>
      <w:r w:rsidRPr="00D4309F">
        <w:rPr>
          <w:spacing w:val="-3"/>
        </w:rPr>
        <w:t xml:space="preserve"> </w:t>
      </w:r>
      <w:r w:rsidRPr="00D4309F">
        <w:t>to</w:t>
      </w:r>
      <w:r w:rsidRPr="00D4309F">
        <w:rPr>
          <w:spacing w:val="-4"/>
        </w:rPr>
        <w:t xml:space="preserve"> </w:t>
      </w:r>
      <w:r w:rsidRPr="00D4309F">
        <w:t>the</w:t>
      </w:r>
      <w:r w:rsidRPr="00D4309F">
        <w:rPr>
          <w:spacing w:val="-3"/>
        </w:rPr>
        <w:t xml:space="preserve"> </w:t>
      </w:r>
      <w:r w:rsidRPr="00D4309F">
        <w:rPr>
          <w:spacing w:val="-2"/>
        </w:rPr>
        <w:t>entrance.</w:t>
      </w:r>
    </w:p>
    <w:p w14:paraId="561B20CD" w14:textId="77777777" w:rsidR="00725977" w:rsidRPr="00D4309F" w:rsidRDefault="00725977" w:rsidP="006156B6">
      <w:pPr>
        <w:pStyle w:val="ListBullet"/>
      </w:pPr>
      <w:r w:rsidRPr="00D4309F">
        <w:t>Bypassing</w:t>
      </w:r>
      <w:r w:rsidRPr="00D4309F">
        <w:rPr>
          <w:spacing w:val="-6"/>
        </w:rPr>
        <w:t xml:space="preserve"> </w:t>
      </w:r>
      <w:r w:rsidRPr="00D4309F">
        <w:t>efficiency:</w:t>
      </w:r>
      <w:r w:rsidRPr="00D4309F">
        <w:rPr>
          <w:spacing w:val="-3"/>
        </w:rPr>
        <w:t xml:space="preserve"> </w:t>
      </w:r>
      <w:r w:rsidRPr="00D4309F">
        <w:t>40%</w:t>
      </w:r>
      <w:r w:rsidRPr="00D4309F">
        <w:rPr>
          <w:spacing w:val="-4"/>
        </w:rPr>
        <w:t xml:space="preserve"> </w:t>
      </w:r>
      <w:r w:rsidRPr="00D4309F">
        <w:t>of</w:t>
      </w:r>
      <w:r w:rsidRPr="00D4309F">
        <w:rPr>
          <w:spacing w:val="-3"/>
        </w:rPr>
        <w:t xml:space="preserve"> </w:t>
      </w:r>
      <w:r w:rsidRPr="00D4309F">
        <w:t>the</w:t>
      </w:r>
      <w:r w:rsidRPr="00D4309F">
        <w:rPr>
          <w:spacing w:val="-3"/>
        </w:rPr>
        <w:t xml:space="preserve"> </w:t>
      </w:r>
      <w:r w:rsidRPr="00D4309F">
        <w:t>net</w:t>
      </w:r>
      <w:r w:rsidRPr="00D4309F">
        <w:rPr>
          <w:spacing w:val="-4"/>
        </w:rPr>
        <w:t xml:space="preserve"> </w:t>
      </w:r>
      <w:r w:rsidRPr="00D4309F">
        <w:t>longshore</w:t>
      </w:r>
      <w:r w:rsidRPr="00D4309F">
        <w:rPr>
          <w:spacing w:val="-4"/>
        </w:rPr>
        <w:t xml:space="preserve"> </w:t>
      </w:r>
      <w:r w:rsidRPr="00D4309F">
        <w:t>sand</w:t>
      </w:r>
      <w:r w:rsidRPr="00D4309F">
        <w:rPr>
          <w:spacing w:val="-4"/>
        </w:rPr>
        <w:t xml:space="preserve"> </w:t>
      </w:r>
      <w:r w:rsidRPr="00D4309F">
        <w:t>supply</w:t>
      </w:r>
      <w:r w:rsidRPr="00D4309F">
        <w:rPr>
          <w:spacing w:val="-2"/>
        </w:rPr>
        <w:t xml:space="preserve"> </w:t>
      </w:r>
      <w:r w:rsidRPr="00D4309F">
        <w:t>(BMT,</w:t>
      </w:r>
      <w:r w:rsidRPr="00D4309F">
        <w:rPr>
          <w:spacing w:val="-3"/>
        </w:rPr>
        <w:t xml:space="preserve"> </w:t>
      </w:r>
      <w:r w:rsidRPr="00D4309F">
        <w:rPr>
          <w:spacing w:val="-2"/>
        </w:rPr>
        <w:t>2024).</w:t>
      </w:r>
    </w:p>
    <w:p w14:paraId="69C62D37" w14:textId="77777777" w:rsidR="00725977" w:rsidRPr="00D4309F" w:rsidRDefault="00725977" w:rsidP="006156B6">
      <w:pPr>
        <w:pStyle w:val="ListBullet"/>
      </w:pPr>
      <w:r w:rsidRPr="00D4309F">
        <w:t>Trap</w:t>
      </w:r>
      <w:r w:rsidRPr="00D4309F">
        <w:rPr>
          <w:spacing w:val="-4"/>
        </w:rPr>
        <w:t xml:space="preserve"> </w:t>
      </w:r>
      <w:r w:rsidRPr="00D4309F">
        <w:t>capture</w:t>
      </w:r>
      <w:r w:rsidRPr="00D4309F">
        <w:rPr>
          <w:spacing w:val="-4"/>
        </w:rPr>
        <w:t xml:space="preserve"> </w:t>
      </w:r>
      <w:r w:rsidRPr="00D4309F">
        <w:t>rate:</w:t>
      </w:r>
      <w:r w:rsidRPr="00D4309F">
        <w:rPr>
          <w:spacing w:val="-3"/>
        </w:rPr>
        <w:t xml:space="preserve"> </w:t>
      </w:r>
      <w:r w:rsidRPr="00D4309F">
        <w:t>28,000</w:t>
      </w:r>
      <w:r w:rsidRPr="00D4309F">
        <w:rPr>
          <w:spacing w:val="-4"/>
        </w:rPr>
        <w:t xml:space="preserve"> </w:t>
      </w:r>
      <w:r w:rsidRPr="00D4309F">
        <w:t>–</w:t>
      </w:r>
      <w:r w:rsidRPr="00D4309F">
        <w:rPr>
          <w:spacing w:val="-3"/>
        </w:rPr>
        <w:t xml:space="preserve"> </w:t>
      </w:r>
      <w:r w:rsidRPr="00D4309F">
        <w:t>95,000</w:t>
      </w:r>
      <w:r w:rsidRPr="00D4309F">
        <w:rPr>
          <w:spacing w:val="-3"/>
        </w:rPr>
        <w:t xml:space="preserve"> </w:t>
      </w:r>
      <w:r w:rsidRPr="00D4309F">
        <w:t>m</w:t>
      </w:r>
      <w:r w:rsidRPr="00D4309F">
        <w:rPr>
          <w:vertAlign w:val="superscript"/>
        </w:rPr>
        <w:t>3</w:t>
      </w:r>
      <w:r w:rsidRPr="00D4309F">
        <w:t>/year,</w:t>
      </w:r>
      <w:r w:rsidRPr="00D4309F">
        <w:rPr>
          <w:spacing w:val="-3"/>
        </w:rPr>
        <w:t xml:space="preserve"> </w:t>
      </w:r>
      <w:r w:rsidRPr="00D4309F">
        <w:t>dependent</w:t>
      </w:r>
      <w:r w:rsidRPr="00D4309F">
        <w:rPr>
          <w:spacing w:val="-2"/>
        </w:rPr>
        <w:t xml:space="preserve"> </w:t>
      </w:r>
      <w:r w:rsidRPr="00D4309F">
        <w:t>on</w:t>
      </w:r>
      <w:r w:rsidRPr="00D4309F">
        <w:rPr>
          <w:spacing w:val="-3"/>
        </w:rPr>
        <w:t xml:space="preserve"> </w:t>
      </w:r>
      <w:r w:rsidRPr="00D4309F">
        <w:t>storm</w:t>
      </w:r>
      <w:r w:rsidRPr="00D4309F">
        <w:rPr>
          <w:spacing w:val="-3"/>
        </w:rPr>
        <w:t xml:space="preserve"> </w:t>
      </w:r>
      <w:r w:rsidRPr="00D4309F">
        <w:rPr>
          <w:spacing w:val="-2"/>
        </w:rPr>
        <w:t>frequency.</w:t>
      </w:r>
    </w:p>
    <w:p w14:paraId="72C18187" w14:textId="77777777" w:rsidR="00725977" w:rsidRPr="00D4309F" w:rsidRDefault="00725977" w:rsidP="006156B6">
      <w:pPr>
        <w:pStyle w:val="ListBullet"/>
      </w:pPr>
      <w:r w:rsidRPr="00D4309F">
        <w:t>Impact</w:t>
      </w:r>
      <w:r w:rsidRPr="00D4309F">
        <w:rPr>
          <w:spacing w:val="-6"/>
        </w:rPr>
        <w:t xml:space="preserve"> </w:t>
      </w:r>
      <w:r w:rsidRPr="00D4309F">
        <w:t>on</w:t>
      </w:r>
      <w:r w:rsidRPr="00D4309F">
        <w:rPr>
          <w:spacing w:val="-5"/>
        </w:rPr>
        <w:t xml:space="preserve"> </w:t>
      </w:r>
      <w:r w:rsidRPr="00D4309F">
        <w:t>shoaling</w:t>
      </w:r>
      <w:r w:rsidRPr="00D4309F">
        <w:rPr>
          <w:spacing w:val="-4"/>
        </w:rPr>
        <w:t xml:space="preserve"> </w:t>
      </w:r>
      <w:r w:rsidRPr="00D4309F">
        <w:t>frequency:</w:t>
      </w:r>
      <w:r w:rsidRPr="00D4309F">
        <w:rPr>
          <w:spacing w:val="-4"/>
        </w:rPr>
        <w:t xml:space="preserve"> </w:t>
      </w:r>
      <w:r w:rsidRPr="00D4309F">
        <w:t>Fewer</w:t>
      </w:r>
      <w:r w:rsidRPr="00D4309F">
        <w:rPr>
          <w:spacing w:val="-2"/>
        </w:rPr>
        <w:t xml:space="preserve"> </w:t>
      </w:r>
      <w:r w:rsidRPr="00D4309F">
        <w:t>and</w:t>
      </w:r>
      <w:r w:rsidRPr="00D4309F">
        <w:rPr>
          <w:spacing w:val="-4"/>
        </w:rPr>
        <w:t xml:space="preserve"> </w:t>
      </w:r>
      <w:r w:rsidRPr="00D4309F">
        <w:t>less</w:t>
      </w:r>
      <w:r w:rsidRPr="00D4309F">
        <w:rPr>
          <w:spacing w:val="-3"/>
        </w:rPr>
        <w:t xml:space="preserve"> </w:t>
      </w:r>
      <w:r w:rsidRPr="00D4309F">
        <w:t>severe</w:t>
      </w:r>
      <w:r w:rsidRPr="00D4309F">
        <w:rPr>
          <w:spacing w:val="-4"/>
        </w:rPr>
        <w:t xml:space="preserve"> </w:t>
      </w:r>
      <w:r w:rsidRPr="00D4309F">
        <w:t>shoaling</w:t>
      </w:r>
      <w:r w:rsidRPr="00D4309F">
        <w:rPr>
          <w:spacing w:val="-4"/>
        </w:rPr>
        <w:t xml:space="preserve"> </w:t>
      </w:r>
      <w:r w:rsidRPr="00D4309F">
        <w:t>events</w:t>
      </w:r>
      <w:r w:rsidRPr="00D4309F">
        <w:rPr>
          <w:spacing w:val="-2"/>
        </w:rPr>
        <w:t xml:space="preserve"> expected.</w:t>
      </w:r>
    </w:p>
    <w:p w14:paraId="0492FD20" w14:textId="77777777" w:rsidR="00725977" w:rsidRPr="00D4309F" w:rsidRDefault="00725977" w:rsidP="006156B6">
      <w:pPr>
        <w:pStyle w:val="ListBullet"/>
      </w:pPr>
      <w:r w:rsidRPr="00D4309F">
        <w:t>Entrance</w:t>
      </w:r>
      <w:r w:rsidRPr="00D4309F">
        <w:rPr>
          <w:spacing w:val="-4"/>
        </w:rPr>
        <w:t xml:space="preserve"> </w:t>
      </w:r>
      <w:r w:rsidRPr="00D4309F">
        <w:t>depth</w:t>
      </w:r>
      <w:r w:rsidRPr="00D4309F">
        <w:rPr>
          <w:spacing w:val="-4"/>
        </w:rPr>
        <w:t xml:space="preserve"> </w:t>
      </w:r>
      <w:r w:rsidRPr="00D4309F">
        <w:t>reliability:</w:t>
      </w:r>
      <w:r w:rsidRPr="00D4309F">
        <w:rPr>
          <w:spacing w:val="-4"/>
        </w:rPr>
        <w:t xml:space="preserve"> </w:t>
      </w:r>
      <w:r w:rsidRPr="00D4309F">
        <w:t>Improved</w:t>
      </w:r>
      <w:r w:rsidRPr="00D4309F">
        <w:rPr>
          <w:spacing w:val="-4"/>
        </w:rPr>
        <w:t xml:space="preserve"> </w:t>
      </w:r>
      <w:r w:rsidRPr="00D4309F">
        <w:t>through</w:t>
      </w:r>
      <w:r w:rsidRPr="00D4309F">
        <w:rPr>
          <w:spacing w:val="-4"/>
        </w:rPr>
        <w:t xml:space="preserve"> </w:t>
      </w:r>
      <w:r w:rsidRPr="00D4309F">
        <w:t>slower</w:t>
      </w:r>
      <w:r w:rsidRPr="00D4309F">
        <w:rPr>
          <w:spacing w:val="-3"/>
        </w:rPr>
        <w:t xml:space="preserve"> </w:t>
      </w:r>
      <w:r w:rsidRPr="00D4309F">
        <w:t>sediment</w:t>
      </w:r>
      <w:r w:rsidRPr="00D4309F">
        <w:rPr>
          <w:spacing w:val="-4"/>
        </w:rPr>
        <w:t xml:space="preserve"> </w:t>
      </w:r>
      <w:r w:rsidRPr="00D4309F">
        <w:t>accumulation</w:t>
      </w:r>
      <w:r w:rsidRPr="00D4309F">
        <w:rPr>
          <w:spacing w:val="-4"/>
        </w:rPr>
        <w:t xml:space="preserve"> </w:t>
      </w:r>
      <w:r w:rsidRPr="00D4309F">
        <w:t>and</w:t>
      </w:r>
      <w:r w:rsidRPr="00D4309F">
        <w:rPr>
          <w:spacing w:val="-4"/>
        </w:rPr>
        <w:t xml:space="preserve"> </w:t>
      </w:r>
      <w:r w:rsidRPr="00D4309F">
        <w:t>reduced</w:t>
      </w:r>
      <w:r w:rsidRPr="00D4309F">
        <w:rPr>
          <w:spacing w:val="-4"/>
        </w:rPr>
        <w:t xml:space="preserve"> </w:t>
      </w:r>
      <w:r w:rsidRPr="00D4309F">
        <w:t xml:space="preserve">dredging </w:t>
      </w:r>
      <w:r w:rsidRPr="00D4309F">
        <w:rPr>
          <w:spacing w:val="-2"/>
        </w:rPr>
        <w:t>frequency.</w:t>
      </w:r>
    </w:p>
    <w:p w14:paraId="1DFE7DC2" w14:textId="2D01D88D" w:rsidR="00FE6959" w:rsidRDefault="00725977" w:rsidP="00725977">
      <w:pPr>
        <w:pStyle w:val="BodyText"/>
      </w:pPr>
      <w:r w:rsidRPr="00D4309F">
        <w:t>Overall,</w:t>
      </w:r>
      <w:r w:rsidRPr="00D4309F">
        <w:rPr>
          <w:spacing w:val="-3"/>
        </w:rPr>
        <w:t xml:space="preserve"> </w:t>
      </w:r>
      <w:r w:rsidRPr="00D4309F">
        <w:t>the</w:t>
      </w:r>
      <w:r w:rsidRPr="00D4309F">
        <w:rPr>
          <w:spacing w:val="-3"/>
        </w:rPr>
        <w:t xml:space="preserve"> </w:t>
      </w:r>
      <w:r w:rsidRPr="00D4309F">
        <w:t>Buddina</w:t>
      </w:r>
      <w:r w:rsidRPr="00D4309F">
        <w:rPr>
          <w:spacing w:val="-3"/>
        </w:rPr>
        <w:t xml:space="preserve"> </w:t>
      </w:r>
      <w:r w:rsidRPr="00D4309F">
        <w:t>Sand</w:t>
      </w:r>
      <w:r w:rsidRPr="00D4309F">
        <w:rPr>
          <w:spacing w:val="-4"/>
        </w:rPr>
        <w:t xml:space="preserve"> </w:t>
      </w:r>
      <w:r w:rsidRPr="00D4309F">
        <w:t>Trap</w:t>
      </w:r>
      <w:r w:rsidRPr="00D4309F">
        <w:rPr>
          <w:spacing w:val="-3"/>
        </w:rPr>
        <w:t xml:space="preserve"> </w:t>
      </w:r>
      <w:r w:rsidRPr="00D4309F">
        <w:t>is</w:t>
      </w:r>
      <w:r w:rsidRPr="00D4309F">
        <w:rPr>
          <w:spacing w:val="-2"/>
        </w:rPr>
        <w:t xml:space="preserve"> </w:t>
      </w:r>
      <w:r w:rsidRPr="00D4309F">
        <w:t>assessed</w:t>
      </w:r>
      <w:r w:rsidRPr="00D4309F">
        <w:rPr>
          <w:spacing w:val="-3"/>
        </w:rPr>
        <w:t xml:space="preserve"> </w:t>
      </w:r>
      <w:r w:rsidRPr="00D4309F">
        <w:t>as</w:t>
      </w:r>
      <w:r w:rsidRPr="00D4309F">
        <w:rPr>
          <w:spacing w:val="-2"/>
        </w:rPr>
        <w:t xml:space="preserve"> </w:t>
      </w:r>
      <w:r w:rsidRPr="00D4309F">
        <w:t>having</w:t>
      </w:r>
      <w:r w:rsidRPr="00D4309F">
        <w:rPr>
          <w:spacing w:val="-3"/>
        </w:rPr>
        <w:t xml:space="preserve"> </w:t>
      </w:r>
      <w:r w:rsidRPr="00D4309F">
        <w:t>moderate</w:t>
      </w:r>
      <w:r w:rsidRPr="00D4309F">
        <w:rPr>
          <w:spacing w:val="-3"/>
        </w:rPr>
        <w:t xml:space="preserve"> </w:t>
      </w:r>
      <w:r w:rsidRPr="00D4309F">
        <w:t>potential</w:t>
      </w:r>
      <w:r w:rsidRPr="00D4309F">
        <w:rPr>
          <w:spacing w:val="-3"/>
        </w:rPr>
        <w:t xml:space="preserve"> </w:t>
      </w:r>
      <w:r w:rsidRPr="00D4309F">
        <w:t>effectiveness</w:t>
      </w:r>
      <w:r w:rsidRPr="00D4309F">
        <w:rPr>
          <w:spacing w:val="-2"/>
        </w:rPr>
        <w:t xml:space="preserve"> </w:t>
      </w:r>
      <w:r w:rsidRPr="00D4309F">
        <w:t>in</w:t>
      </w:r>
      <w:r w:rsidRPr="00D4309F">
        <w:rPr>
          <w:spacing w:val="-3"/>
        </w:rPr>
        <w:t xml:space="preserve"> </w:t>
      </w:r>
      <w:r w:rsidRPr="00D4309F">
        <w:t>slowing</w:t>
      </w:r>
      <w:r w:rsidRPr="00D4309F">
        <w:rPr>
          <w:spacing w:val="-4"/>
        </w:rPr>
        <w:t xml:space="preserve"> </w:t>
      </w:r>
      <w:r w:rsidRPr="00D4309F">
        <w:t>shoal formation and supporting long-term navigation management. Its success will rely on storm occurrence patterns, ongoing monitoring, and periodic maintenance dredging to maintain trap functionality.</w:t>
      </w:r>
    </w:p>
    <w:p w14:paraId="0C47ED53" w14:textId="77777777" w:rsidR="00725977" w:rsidRPr="00D4309F" w:rsidRDefault="00725977" w:rsidP="00EE2982">
      <w:pPr>
        <w:pStyle w:val="Heading2"/>
      </w:pPr>
      <w:bookmarkStart w:id="225" w:name="_bookmark100"/>
      <w:bookmarkStart w:id="226" w:name="_Toc216699370"/>
      <w:bookmarkEnd w:id="225"/>
      <w:r w:rsidRPr="00D4309F">
        <w:lastRenderedPageBreak/>
        <w:t>Variations</w:t>
      </w:r>
      <w:r w:rsidRPr="00D4309F">
        <w:rPr>
          <w:spacing w:val="-11"/>
        </w:rPr>
        <w:t xml:space="preserve"> </w:t>
      </w:r>
      <w:r w:rsidRPr="00D4309F">
        <w:t>of</w:t>
      </w:r>
      <w:r w:rsidRPr="00D4309F">
        <w:rPr>
          <w:spacing w:val="-11"/>
        </w:rPr>
        <w:t xml:space="preserve"> </w:t>
      </w:r>
      <w:r w:rsidRPr="00D4309F">
        <w:t>Option</w:t>
      </w:r>
      <w:r w:rsidRPr="00D4309F">
        <w:rPr>
          <w:spacing w:val="-12"/>
        </w:rPr>
        <w:t xml:space="preserve"> </w:t>
      </w:r>
      <w:r w:rsidRPr="00D4309F">
        <w:rPr>
          <w:spacing w:val="-10"/>
        </w:rPr>
        <w:t>1</w:t>
      </w:r>
      <w:bookmarkEnd w:id="226"/>
    </w:p>
    <w:p w14:paraId="3E6837C2" w14:textId="77777777" w:rsidR="00725977" w:rsidRPr="00D4309F" w:rsidRDefault="00725977" w:rsidP="00725977">
      <w:pPr>
        <w:pStyle w:val="BodyText"/>
      </w:pPr>
      <w:r w:rsidRPr="00D4309F">
        <w:t>Two practical variations of option 1 are proposed, which differ primarily in how sand is collected and transferred between Areas A and B. Option 1A represents a low-risk, passive approach</w:t>
      </w:r>
      <w:r w:rsidRPr="00D4309F">
        <w:rPr>
          <w:spacing w:val="-2"/>
        </w:rPr>
        <w:t xml:space="preserve"> </w:t>
      </w:r>
      <w:r w:rsidRPr="00D4309F">
        <w:t>suitable for pilot or trial implementation, while Option 1B introduces a more engineered, active system capable of delivering controlled,</w:t>
      </w:r>
      <w:r w:rsidRPr="00D4309F">
        <w:rPr>
          <w:spacing w:val="-3"/>
        </w:rPr>
        <w:t xml:space="preserve"> </w:t>
      </w:r>
      <w:r w:rsidRPr="00D4309F">
        <w:t>ongoing</w:t>
      </w:r>
      <w:r w:rsidRPr="00D4309F">
        <w:rPr>
          <w:spacing w:val="-4"/>
        </w:rPr>
        <w:t xml:space="preserve"> </w:t>
      </w:r>
      <w:r w:rsidRPr="00D4309F">
        <w:t>sand</w:t>
      </w:r>
      <w:r w:rsidRPr="00D4309F">
        <w:rPr>
          <w:spacing w:val="-3"/>
        </w:rPr>
        <w:t xml:space="preserve"> </w:t>
      </w:r>
      <w:r w:rsidRPr="00D4309F">
        <w:t>bypassing.</w:t>
      </w:r>
      <w:r w:rsidRPr="00D4309F">
        <w:rPr>
          <w:spacing w:val="-3"/>
        </w:rPr>
        <w:t xml:space="preserve"> </w:t>
      </w:r>
      <w:r w:rsidRPr="00D4309F">
        <w:t>Both</w:t>
      </w:r>
      <w:r w:rsidRPr="00D4309F">
        <w:rPr>
          <w:spacing w:val="-3"/>
        </w:rPr>
        <w:t xml:space="preserve"> </w:t>
      </w:r>
      <w:r w:rsidRPr="00D4309F">
        <w:t>are</w:t>
      </w:r>
      <w:r w:rsidRPr="00D4309F">
        <w:rPr>
          <w:spacing w:val="-3"/>
        </w:rPr>
        <w:t xml:space="preserve"> </w:t>
      </w:r>
      <w:r w:rsidRPr="00D4309F">
        <w:t>examined</w:t>
      </w:r>
      <w:r w:rsidRPr="00D4309F">
        <w:rPr>
          <w:spacing w:val="-3"/>
        </w:rPr>
        <w:t xml:space="preserve"> </w:t>
      </w:r>
      <w:r w:rsidRPr="00D4309F">
        <w:t>in</w:t>
      </w:r>
      <w:r w:rsidRPr="00D4309F">
        <w:rPr>
          <w:spacing w:val="-3"/>
        </w:rPr>
        <w:t xml:space="preserve"> </w:t>
      </w:r>
      <w:r w:rsidRPr="00D4309F">
        <w:t>the</w:t>
      </w:r>
      <w:r w:rsidRPr="00D4309F">
        <w:rPr>
          <w:spacing w:val="-3"/>
        </w:rPr>
        <w:t xml:space="preserve"> </w:t>
      </w:r>
      <w:r w:rsidRPr="00D4309F">
        <w:t>following</w:t>
      </w:r>
      <w:r w:rsidRPr="00D4309F">
        <w:rPr>
          <w:spacing w:val="-4"/>
        </w:rPr>
        <w:t xml:space="preserve"> </w:t>
      </w:r>
      <w:r w:rsidRPr="00D4309F">
        <w:t>subsections</w:t>
      </w:r>
      <w:r w:rsidRPr="00D4309F">
        <w:rPr>
          <w:spacing w:val="-2"/>
        </w:rPr>
        <w:t xml:space="preserve"> </w:t>
      </w:r>
      <w:r w:rsidRPr="00D4309F">
        <w:t>in</w:t>
      </w:r>
      <w:r w:rsidRPr="00D4309F">
        <w:rPr>
          <w:spacing w:val="-3"/>
        </w:rPr>
        <w:t xml:space="preserve"> </w:t>
      </w:r>
      <w:r w:rsidRPr="00D4309F">
        <w:t>terms</w:t>
      </w:r>
      <w:r w:rsidRPr="00D4309F">
        <w:rPr>
          <w:spacing w:val="-3"/>
        </w:rPr>
        <w:t xml:space="preserve"> </w:t>
      </w:r>
      <w:r w:rsidRPr="00D4309F">
        <w:t>of</w:t>
      </w:r>
      <w:r w:rsidRPr="00D4309F">
        <w:rPr>
          <w:spacing w:val="-3"/>
        </w:rPr>
        <w:t xml:space="preserve"> </w:t>
      </w:r>
      <w:r w:rsidRPr="00D4309F">
        <w:t>capital</w:t>
      </w:r>
      <w:r w:rsidRPr="00D4309F">
        <w:rPr>
          <w:spacing w:val="-3"/>
        </w:rPr>
        <w:t xml:space="preserve"> </w:t>
      </w:r>
      <w:r w:rsidRPr="00D4309F">
        <w:t>and operational works, physical processes, environmental and social implications, cost, and overall feasibility.</w:t>
      </w:r>
    </w:p>
    <w:p w14:paraId="3F2FE691" w14:textId="77777777" w:rsidR="00725977" w:rsidRPr="00D4309F" w:rsidRDefault="00725977" w:rsidP="00725977">
      <w:pPr>
        <w:pStyle w:val="BodyText"/>
      </w:pPr>
      <w:r w:rsidRPr="00D4309F">
        <w:t>Two</w:t>
      </w:r>
      <w:r w:rsidRPr="00D4309F">
        <w:rPr>
          <w:spacing w:val="-3"/>
        </w:rPr>
        <w:t xml:space="preserve"> </w:t>
      </w:r>
      <w:r w:rsidRPr="00D4309F">
        <w:t>potential</w:t>
      </w:r>
      <w:r w:rsidRPr="00D4309F">
        <w:rPr>
          <w:spacing w:val="-4"/>
        </w:rPr>
        <w:t xml:space="preserve"> </w:t>
      </w:r>
      <w:r w:rsidRPr="00D4309F">
        <w:t>variations</w:t>
      </w:r>
      <w:r w:rsidRPr="00D4309F">
        <w:rPr>
          <w:spacing w:val="-2"/>
        </w:rPr>
        <w:t xml:space="preserve"> </w:t>
      </w:r>
      <w:r w:rsidRPr="00D4309F">
        <w:t>have</w:t>
      </w:r>
      <w:r w:rsidRPr="00D4309F">
        <w:rPr>
          <w:spacing w:val="-3"/>
        </w:rPr>
        <w:t xml:space="preserve"> </w:t>
      </w:r>
      <w:r w:rsidRPr="00D4309F">
        <w:t>been</w:t>
      </w:r>
      <w:r w:rsidRPr="00D4309F">
        <w:rPr>
          <w:spacing w:val="-3"/>
        </w:rPr>
        <w:t xml:space="preserve"> </w:t>
      </w:r>
      <w:r w:rsidRPr="00D4309F">
        <w:t>identified</w:t>
      </w:r>
      <w:r w:rsidRPr="00D4309F">
        <w:rPr>
          <w:spacing w:val="-3"/>
        </w:rPr>
        <w:t xml:space="preserve"> </w:t>
      </w:r>
      <w:r w:rsidRPr="00D4309F">
        <w:t>within</w:t>
      </w:r>
      <w:r w:rsidRPr="00D4309F">
        <w:rPr>
          <w:spacing w:val="-3"/>
        </w:rPr>
        <w:t xml:space="preserve"> </w:t>
      </w:r>
      <w:r w:rsidRPr="00D4309F">
        <w:t>Option</w:t>
      </w:r>
      <w:r w:rsidRPr="00D4309F">
        <w:rPr>
          <w:spacing w:val="-3"/>
        </w:rPr>
        <w:t xml:space="preserve"> </w:t>
      </w:r>
      <w:r w:rsidRPr="00D4309F">
        <w:t>1,</w:t>
      </w:r>
      <w:r w:rsidRPr="00D4309F">
        <w:rPr>
          <w:spacing w:val="-3"/>
        </w:rPr>
        <w:t xml:space="preserve"> </w:t>
      </w:r>
      <w:r w:rsidRPr="00D4309F">
        <w:t>reflecting</w:t>
      </w:r>
      <w:r w:rsidRPr="00D4309F">
        <w:rPr>
          <w:spacing w:val="-3"/>
        </w:rPr>
        <w:t xml:space="preserve"> </w:t>
      </w:r>
      <w:r w:rsidRPr="00D4309F">
        <w:t>alternative</w:t>
      </w:r>
      <w:r w:rsidRPr="00D4309F">
        <w:rPr>
          <w:spacing w:val="-3"/>
        </w:rPr>
        <w:t xml:space="preserve"> </w:t>
      </w:r>
      <w:r w:rsidRPr="00D4309F">
        <w:t>ways</w:t>
      </w:r>
      <w:r w:rsidRPr="00D4309F">
        <w:rPr>
          <w:spacing w:val="-2"/>
        </w:rPr>
        <w:t xml:space="preserve"> </w:t>
      </w:r>
      <w:r w:rsidRPr="00D4309F">
        <w:t>to</w:t>
      </w:r>
      <w:r w:rsidRPr="00D4309F">
        <w:rPr>
          <w:spacing w:val="-3"/>
        </w:rPr>
        <w:t xml:space="preserve"> </w:t>
      </w:r>
      <w:r w:rsidRPr="00D4309F">
        <w:t>achieve</w:t>
      </w:r>
      <w:r w:rsidRPr="00D4309F">
        <w:rPr>
          <w:spacing w:val="-3"/>
        </w:rPr>
        <w:t xml:space="preserve"> </w:t>
      </w:r>
      <w:r w:rsidRPr="00D4309F">
        <w:t>the</w:t>
      </w:r>
      <w:r w:rsidRPr="00D4309F">
        <w:rPr>
          <w:spacing w:val="-4"/>
        </w:rPr>
        <w:t xml:space="preserve"> </w:t>
      </w:r>
      <w:r w:rsidRPr="00D4309F">
        <w:t>same sediment-management objective:</w:t>
      </w:r>
    </w:p>
    <w:p w14:paraId="2BAD2164" w14:textId="77777777" w:rsidR="00725977" w:rsidRPr="00D4309F" w:rsidRDefault="00725977" w:rsidP="00D27F26">
      <w:pPr>
        <w:pStyle w:val="ListParagraph"/>
        <w:widowControl w:val="0"/>
        <w:numPr>
          <w:ilvl w:val="0"/>
          <w:numId w:val="474"/>
        </w:numPr>
        <w:tabs>
          <w:tab w:val="left" w:pos="927"/>
        </w:tabs>
        <w:autoSpaceDE w:val="0"/>
        <w:autoSpaceDN w:val="0"/>
        <w:spacing w:before="121" w:after="0" w:line="240" w:lineRule="auto"/>
        <w:ind w:right="805"/>
        <w:contextualSpacing w:val="0"/>
      </w:pPr>
      <w:r w:rsidRPr="00D4309F">
        <w:rPr>
          <w:color w:val="211E1F"/>
        </w:rPr>
        <w:t>Option</w:t>
      </w:r>
      <w:r w:rsidRPr="00D4309F">
        <w:rPr>
          <w:color w:val="211E1F"/>
          <w:spacing w:val="-3"/>
        </w:rPr>
        <w:t xml:space="preserve"> </w:t>
      </w:r>
      <w:r w:rsidRPr="00D4309F">
        <w:rPr>
          <w:color w:val="211E1F"/>
        </w:rPr>
        <w:t>1A</w:t>
      </w:r>
      <w:r w:rsidRPr="00D4309F">
        <w:rPr>
          <w:color w:val="211E1F"/>
          <w:spacing w:val="-3"/>
        </w:rPr>
        <w:t xml:space="preserve"> </w:t>
      </w:r>
      <w:r w:rsidRPr="00D4309F">
        <w:rPr>
          <w:color w:val="211E1F"/>
        </w:rPr>
        <w:t>–</w:t>
      </w:r>
      <w:r w:rsidRPr="00D4309F">
        <w:rPr>
          <w:color w:val="211E1F"/>
          <w:spacing w:val="-4"/>
        </w:rPr>
        <w:t xml:space="preserve"> </w:t>
      </w:r>
      <w:r w:rsidRPr="00D4309F">
        <w:rPr>
          <w:color w:val="211E1F"/>
        </w:rPr>
        <w:t>Buddina</w:t>
      </w:r>
      <w:r w:rsidRPr="00D4309F">
        <w:rPr>
          <w:color w:val="211E1F"/>
          <w:spacing w:val="-3"/>
        </w:rPr>
        <w:t xml:space="preserve"> </w:t>
      </w:r>
      <w:r w:rsidRPr="00D4309F">
        <w:rPr>
          <w:color w:val="211E1F"/>
        </w:rPr>
        <w:t>Beach</w:t>
      </w:r>
      <w:r w:rsidRPr="00D4309F">
        <w:rPr>
          <w:color w:val="211E1F"/>
          <w:spacing w:val="-3"/>
        </w:rPr>
        <w:t xml:space="preserve"> </w:t>
      </w:r>
      <w:r w:rsidRPr="00D4309F">
        <w:rPr>
          <w:color w:val="211E1F"/>
        </w:rPr>
        <w:t>sand</w:t>
      </w:r>
      <w:r w:rsidRPr="00D4309F">
        <w:rPr>
          <w:color w:val="211E1F"/>
          <w:spacing w:val="-3"/>
        </w:rPr>
        <w:t xml:space="preserve"> </w:t>
      </w:r>
      <w:r w:rsidRPr="00D4309F">
        <w:rPr>
          <w:color w:val="211E1F"/>
        </w:rPr>
        <w:t>trap</w:t>
      </w:r>
      <w:r w:rsidRPr="00D4309F">
        <w:rPr>
          <w:color w:val="211E1F"/>
          <w:spacing w:val="-3"/>
        </w:rPr>
        <w:t xml:space="preserve"> </w:t>
      </w:r>
      <w:r w:rsidRPr="00D4309F">
        <w:rPr>
          <w:color w:val="211E1F"/>
        </w:rPr>
        <w:t>with</w:t>
      </w:r>
      <w:r w:rsidRPr="00D4309F">
        <w:rPr>
          <w:color w:val="211E1F"/>
          <w:spacing w:val="-3"/>
        </w:rPr>
        <w:t xml:space="preserve"> </w:t>
      </w:r>
      <w:r w:rsidRPr="00D4309F">
        <w:rPr>
          <w:color w:val="211E1F"/>
        </w:rPr>
        <w:t>TSHD</w:t>
      </w:r>
      <w:r w:rsidRPr="00D4309F">
        <w:rPr>
          <w:color w:val="211E1F"/>
          <w:spacing w:val="-2"/>
        </w:rPr>
        <w:t xml:space="preserve"> </w:t>
      </w:r>
      <w:r w:rsidRPr="00D4309F">
        <w:rPr>
          <w:color w:val="211E1F"/>
        </w:rPr>
        <w:t>transport:</w:t>
      </w:r>
      <w:r w:rsidRPr="00D4309F">
        <w:rPr>
          <w:color w:val="211E1F"/>
          <w:spacing w:val="-4"/>
        </w:rPr>
        <w:t xml:space="preserve"> </w:t>
      </w:r>
      <w:r w:rsidRPr="00D4309F">
        <w:rPr>
          <w:color w:val="211E1F"/>
        </w:rPr>
        <w:t>Establishment</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a</w:t>
      </w:r>
      <w:r w:rsidRPr="00D4309F">
        <w:rPr>
          <w:color w:val="211E1F"/>
          <w:spacing w:val="-3"/>
        </w:rPr>
        <w:t xml:space="preserve"> </w:t>
      </w:r>
      <w:r w:rsidRPr="00D4309F">
        <w:rPr>
          <w:color w:val="211E1F"/>
        </w:rPr>
        <w:t>defined</w:t>
      </w:r>
      <w:r w:rsidRPr="00D4309F">
        <w:rPr>
          <w:color w:val="211E1F"/>
          <w:spacing w:val="-3"/>
        </w:rPr>
        <w:t xml:space="preserve"> </w:t>
      </w:r>
      <w:r w:rsidRPr="00D4309F">
        <w:rPr>
          <w:color w:val="211E1F"/>
        </w:rPr>
        <w:t>nearshore</w:t>
      </w:r>
      <w:r w:rsidRPr="00D4309F">
        <w:rPr>
          <w:color w:val="211E1F"/>
          <w:spacing w:val="-3"/>
        </w:rPr>
        <w:t xml:space="preserve"> </w:t>
      </w:r>
      <w:r w:rsidRPr="00D4309F">
        <w:rPr>
          <w:color w:val="211E1F"/>
        </w:rPr>
        <w:t>trap area to capture and periodically dredge accumulated sand for beneficial reuse.</w:t>
      </w:r>
    </w:p>
    <w:p w14:paraId="2BE6D591" w14:textId="77777777" w:rsidR="00725977" w:rsidRPr="00D4309F" w:rsidRDefault="00725977" w:rsidP="00D27F26">
      <w:pPr>
        <w:pStyle w:val="ListParagraph"/>
        <w:widowControl w:val="0"/>
        <w:numPr>
          <w:ilvl w:val="0"/>
          <w:numId w:val="474"/>
        </w:numPr>
        <w:tabs>
          <w:tab w:val="left" w:pos="927"/>
        </w:tabs>
        <w:autoSpaceDE w:val="0"/>
        <w:autoSpaceDN w:val="0"/>
        <w:spacing w:before="118" w:after="0" w:line="240" w:lineRule="auto"/>
        <w:ind w:right="594"/>
        <w:contextualSpacing w:val="0"/>
      </w:pPr>
      <w:r w:rsidRPr="00D4309F">
        <w:rPr>
          <w:color w:val="211E1F"/>
        </w:rPr>
        <w:t>Option</w:t>
      </w:r>
      <w:r w:rsidRPr="00D4309F">
        <w:rPr>
          <w:color w:val="211E1F"/>
          <w:spacing w:val="-2"/>
        </w:rPr>
        <w:t xml:space="preserve"> </w:t>
      </w:r>
      <w:r w:rsidRPr="00D4309F">
        <w:rPr>
          <w:color w:val="211E1F"/>
        </w:rPr>
        <w:t>1B</w:t>
      </w:r>
      <w:r w:rsidRPr="00D4309F">
        <w:rPr>
          <w:color w:val="211E1F"/>
          <w:spacing w:val="-2"/>
        </w:rPr>
        <w:t xml:space="preserve"> </w:t>
      </w:r>
      <w:r w:rsidRPr="00D4309F">
        <w:rPr>
          <w:color w:val="211E1F"/>
        </w:rPr>
        <w:t>–</w:t>
      </w:r>
      <w:r w:rsidRPr="00D4309F">
        <w:rPr>
          <w:color w:val="211E1F"/>
          <w:spacing w:val="-3"/>
        </w:rPr>
        <w:t xml:space="preserve"> </w:t>
      </w:r>
      <w:r w:rsidRPr="00D4309F">
        <w:rPr>
          <w:color w:val="211E1F"/>
        </w:rPr>
        <w:t>Buddina</w:t>
      </w:r>
      <w:r w:rsidRPr="00D4309F">
        <w:rPr>
          <w:color w:val="211E1F"/>
          <w:spacing w:val="-2"/>
        </w:rPr>
        <w:t xml:space="preserve"> </w:t>
      </w:r>
      <w:r w:rsidRPr="00D4309F">
        <w:rPr>
          <w:color w:val="211E1F"/>
        </w:rPr>
        <w:t>Beach</w:t>
      </w:r>
      <w:r w:rsidRPr="00D4309F">
        <w:rPr>
          <w:color w:val="211E1F"/>
          <w:spacing w:val="-2"/>
        </w:rPr>
        <w:t xml:space="preserve"> </w:t>
      </w:r>
      <w:r w:rsidRPr="00D4309F">
        <w:rPr>
          <w:color w:val="211E1F"/>
        </w:rPr>
        <w:t>sand</w:t>
      </w:r>
      <w:r w:rsidRPr="00D4309F">
        <w:rPr>
          <w:color w:val="211E1F"/>
          <w:spacing w:val="-2"/>
        </w:rPr>
        <w:t xml:space="preserve"> </w:t>
      </w:r>
      <w:r w:rsidRPr="00D4309F">
        <w:rPr>
          <w:color w:val="211E1F"/>
        </w:rPr>
        <w:t>trap</w:t>
      </w:r>
      <w:r w:rsidRPr="00D4309F">
        <w:rPr>
          <w:color w:val="211E1F"/>
          <w:spacing w:val="-2"/>
        </w:rPr>
        <w:t xml:space="preserve"> </w:t>
      </w:r>
      <w:r w:rsidRPr="00D4309F">
        <w:rPr>
          <w:color w:val="211E1F"/>
        </w:rPr>
        <w:t>with</w:t>
      </w:r>
      <w:r w:rsidRPr="00D4309F">
        <w:rPr>
          <w:color w:val="211E1F"/>
          <w:spacing w:val="-2"/>
        </w:rPr>
        <w:t xml:space="preserve"> </w:t>
      </w:r>
      <w:r w:rsidRPr="00D4309F">
        <w:rPr>
          <w:color w:val="211E1F"/>
        </w:rPr>
        <w:t>pump</w:t>
      </w:r>
      <w:r w:rsidRPr="00D4309F">
        <w:rPr>
          <w:color w:val="211E1F"/>
          <w:spacing w:val="-3"/>
        </w:rPr>
        <w:t xml:space="preserve"> </w:t>
      </w:r>
      <w:r w:rsidRPr="00D4309F">
        <w:rPr>
          <w:color w:val="211E1F"/>
        </w:rPr>
        <w:t>system</w:t>
      </w:r>
      <w:r w:rsidRPr="00D4309F">
        <w:rPr>
          <w:color w:val="211E1F"/>
          <w:spacing w:val="-2"/>
        </w:rPr>
        <w:t xml:space="preserve"> </w:t>
      </w:r>
      <w:r w:rsidRPr="00D4309F">
        <w:rPr>
          <w:color w:val="211E1F"/>
        </w:rPr>
        <w:t>and</w:t>
      </w:r>
      <w:r w:rsidRPr="00D4309F">
        <w:rPr>
          <w:color w:val="211E1F"/>
          <w:spacing w:val="-2"/>
        </w:rPr>
        <w:t xml:space="preserve"> </w:t>
      </w:r>
      <w:r w:rsidRPr="00D4309F">
        <w:rPr>
          <w:color w:val="211E1F"/>
        </w:rPr>
        <w:t>pipeline</w:t>
      </w:r>
      <w:r w:rsidRPr="00D4309F">
        <w:rPr>
          <w:color w:val="211E1F"/>
          <w:spacing w:val="-2"/>
        </w:rPr>
        <w:t xml:space="preserve"> </w:t>
      </w:r>
      <w:r w:rsidRPr="00D4309F">
        <w:rPr>
          <w:color w:val="211E1F"/>
        </w:rPr>
        <w:t>across</w:t>
      </w:r>
      <w:r w:rsidRPr="00D4309F">
        <w:rPr>
          <w:color w:val="211E1F"/>
          <w:spacing w:val="-1"/>
        </w:rPr>
        <w:t xml:space="preserve"> </w:t>
      </w:r>
      <w:r w:rsidRPr="00D4309F">
        <w:rPr>
          <w:color w:val="211E1F"/>
        </w:rPr>
        <w:t>the</w:t>
      </w:r>
      <w:r w:rsidRPr="00D4309F">
        <w:rPr>
          <w:color w:val="211E1F"/>
          <w:spacing w:val="-2"/>
        </w:rPr>
        <w:t xml:space="preserve"> </w:t>
      </w:r>
      <w:r w:rsidRPr="00D4309F">
        <w:rPr>
          <w:color w:val="211E1F"/>
        </w:rPr>
        <w:t>entrance:</w:t>
      </w:r>
      <w:r w:rsidRPr="00D4309F">
        <w:rPr>
          <w:color w:val="211E1F"/>
          <w:spacing w:val="-3"/>
        </w:rPr>
        <w:t xml:space="preserve"> </w:t>
      </w:r>
      <w:r w:rsidRPr="00D4309F">
        <w:rPr>
          <w:color w:val="211E1F"/>
        </w:rPr>
        <w:t>Installation</w:t>
      </w:r>
      <w:r w:rsidRPr="00D4309F">
        <w:rPr>
          <w:color w:val="211E1F"/>
          <w:spacing w:val="-2"/>
        </w:rPr>
        <w:t xml:space="preserve"> </w:t>
      </w:r>
      <w:r w:rsidRPr="00D4309F">
        <w:rPr>
          <w:color w:val="211E1F"/>
        </w:rPr>
        <w:t>of a shore-based pump and buried pipeline network to directly transfer sand across the entrance to Mooloolaba Beach.</w:t>
      </w:r>
    </w:p>
    <w:p w14:paraId="4C437438" w14:textId="53ED14CD" w:rsidR="002F0FDA" w:rsidRPr="00DA1200" w:rsidRDefault="00725977" w:rsidP="00725977">
      <w:pPr>
        <w:pStyle w:val="BodyText"/>
        <w:rPr>
          <w:spacing w:val="-2"/>
        </w:rPr>
      </w:pPr>
      <w:r w:rsidRPr="00D4309F">
        <w:t>These</w:t>
      </w:r>
      <w:r w:rsidRPr="00D4309F">
        <w:rPr>
          <w:spacing w:val="-4"/>
        </w:rPr>
        <w:t xml:space="preserve"> </w:t>
      </w:r>
      <w:r w:rsidRPr="00D4309F">
        <w:t>variations</w:t>
      </w:r>
      <w:r w:rsidRPr="00D4309F">
        <w:rPr>
          <w:spacing w:val="-4"/>
        </w:rPr>
        <w:t xml:space="preserve"> </w:t>
      </w:r>
      <w:r w:rsidRPr="00D4309F">
        <w:t>are</w:t>
      </w:r>
      <w:r w:rsidRPr="00D4309F">
        <w:rPr>
          <w:spacing w:val="-4"/>
        </w:rPr>
        <w:t xml:space="preserve"> </w:t>
      </w:r>
      <w:r w:rsidRPr="00D4309F">
        <w:t>described</w:t>
      </w:r>
      <w:r w:rsidRPr="00D4309F">
        <w:rPr>
          <w:spacing w:val="-4"/>
        </w:rPr>
        <w:t xml:space="preserve"> </w:t>
      </w:r>
      <w:r w:rsidRPr="00D4309F">
        <w:t>further</w:t>
      </w:r>
      <w:r w:rsidRPr="00D4309F">
        <w:rPr>
          <w:spacing w:val="-3"/>
        </w:rPr>
        <w:t xml:space="preserve"> </w:t>
      </w:r>
      <w:r w:rsidRPr="00D4309F">
        <w:t>in</w:t>
      </w:r>
      <w:r w:rsidRPr="00D4309F">
        <w:rPr>
          <w:spacing w:val="-5"/>
        </w:rPr>
        <w:t xml:space="preserve"> </w:t>
      </w:r>
      <w:r w:rsidRPr="00D4309F">
        <w:t>the</w:t>
      </w:r>
      <w:r w:rsidRPr="00D4309F">
        <w:rPr>
          <w:spacing w:val="-4"/>
        </w:rPr>
        <w:t xml:space="preserve"> </w:t>
      </w:r>
      <w:r w:rsidRPr="00D4309F">
        <w:t>following</w:t>
      </w:r>
      <w:r w:rsidRPr="00D4309F">
        <w:rPr>
          <w:spacing w:val="-4"/>
        </w:rPr>
        <w:t xml:space="preserve"> </w:t>
      </w:r>
      <w:r w:rsidRPr="00D4309F">
        <w:rPr>
          <w:spacing w:val="-2"/>
        </w:rPr>
        <w:t>sections.</w:t>
      </w:r>
    </w:p>
    <w:p w14:paraId="00A3F9EF" w14:textId="77777777" w:rsidR="00725977" w:rsidRPr="00D4309F" w:rsidRDefault="00725977" w:rsidP="00EE2982">
      <w:pPr>
        <w:pStyle w:val="Heading2"/>
      </w:pPr>
      <w:bookmarkStart w:id="227" w:name="_bookmark101"/>
      <w:bookmarkStart w:id="228" w:name="_Toc216699371"/>
      <w:bookmarkEnd w:id="227"/>
      <w:r w:rsidRPr="00D4309F">
        <w:t>Option</w:t>
      </w:r>
      <w:r w:rsidRPr="00D4309F">
        <w:rPr>
          <w:spacing w:val="-9"/>
        </w:rPr>
        <w:t xml:space="preserve"> </w:t>
      </w:r>
      <w:r w:rsidRPr="00D4309F">
        <w:t>1A</w:t>
      </w:r>
      <w:r w:rsidRPr="00D4309F">
        <w:rPr>
          <w:spacing w:val="-9"/>
        </w:rPr>
        <w:t xml:space="preserve"> </w:t>
      </w:r>
      <w:r w:rsidRPr="00D4309F">
        <w:t>–</w:t>
      </w:r>
      <w:r w:rsidRPr="00D4309F">
        <w:rPr>
          <w:spacing w:val="-8"/>
        </w:rPr>
        <w:t xml:space="preserve"> </w:t>
      </w:r>
      <w:r w:rsidRPr="00D4309F">
        <w:t>Buddina</w:t>
      </w:r>
      <w:r w:rsidRPr="00D4309F">
        <w:rPr>
          <w:spacing w:val="-8"/>
        </w:rPr>
        <w:t xml:space="preserve"> </w:t>
      </w:r>
      <w:r w:rsidRPr="00D4309F">
        <w:t>Beach</w:t>
      </w:r>
      <w:r w:rsidRPr="00D4309F">
        <w:rPr>
          <w:spacing w:val="-8"/>
        </w:rPr>
        <w:t xml:space="preserve"> </w:t>
      </w:r>
      <w:r w:rsidRPr="00D4309F">
        <w:t>sand</w:t>
      </w:r>
      <w:r w:rsidRPr="00D4309F">
        <w:rPr>
          <w:spacing w:val="-7"/>
        </w:rPr>
        <w:t xml:space="preserve"> </w:t>
      </w:r>
      <w:r w:rsidRPr="00D4309F">
        <w:t>trap</w:t>
      </w:r>
      <w:r w:rsidRPr="00D4309F">
        <w:rPr>
          <w:spacing w:val="-9"/>
        </w:rPr>
        <w:t xml:space="preserve"> </w:t>
      </w:r>
      <w:r w:rsidRPr="00D4309F">
        <w:t>with</w:t>
      </w:r>
      <w:r w:rsidRPr="00D4309F">
        <w:rPr>
          <w:spacing w:val="-9"/>
        </w:rPr>
        <w:t xml:space="preserve"> </w:t>
      </w:r>
      <w:r w:rsidRPr="00D4309F">
        <w:t>TSHD</w:t>
      </w:r>
      <w:r w:rsidRPr="00D4309F">
        <w:rPr>
          <w:spacing w:val="-8"/>
        </w:rPr>
        <w:t xml:space="preserve"> </w:t>
      </w:r>
      <w:r w:rsidRPr="00D4309F">
        <w:rPr>
          <w:spacing w:val="-2"/>
        </w:rPr>
        <w:t>transport</w:t>
      </w:r>
      <w:bookmarkEnd w:id="228"/>
    </w:p>
    <w:p w14:paraId="2DB7ED9D" w14:textId="77777777" w:rsidR="00725977" w:rsidRPr="00D4309F" w:rsidRDefault="00725977" w:rsidP="00EE2982">
      <w:pPr>
        <w:pStyle w:val="Heading3"/>
      </w:pPr>
      <w:bookmarkStart w:id="229" w:name="_Toc216699372"/>
      <w:r w:rsidRPr="00D4309F">
        <w:t>Description</w:t>
      </w:r>
      <w:r w:rsidRPr="00D4309F">
        <w:rPr>
          <w:spacing w:val="-4"/>
        </w:rPr>
        <w:t xml:space="preserve"> </w:t>
      </w:r>
      <w:r w:rsidRPr="00D4309F">
        <w:t>of</w:t>
      </w:r>
      <w:r w:rsidRPr="00D4309F">
        <w:rPr>
          <w:spacing w:val="-4"/>
        </w:rPr>
        <w:t xml:space="preserve"> </w:t>
      </w:r>
      <w:r w:rsidRPr="00D4309F">
        <w:t>Option</w:t>
      </w:r>
      <w:r w:rsidRPr="00D4309F">
        <w:rPr>
          <w:spacing w:val="-4"/>
        </w:rPr>
        <w:t xml:space="preserve"> </w:t>
      </w:r>
      <w:r w:rsidRPr="00D4309F">
        <w:rPr>
          <w:spacing w:val="-5"/>
        </w:rPr>
        <w:t>1A</w:t>
      </w:r>
      <w:bookmarkEnd w:id="229"/>
    </w:p>
    <w:p w14:paraId="042364D3" w14:textId="77777777" w:rsidR="00725977" w:rsidRPr="00D4309F" w:rsidRDefault="00725977" w:rsidP="00725977">
      <w:pPr>
        <w:pStyle w:val="BodyText"/>
      </w:pPr>
      <w:r w:rsidRPr="00D4309F">
        <w:t>Option 1A proposes the construction of a controlled nearshore sand-trap area offshore of northern Buddina Beach,</w:t>
      </w:r>
      <w:r w:rsidRPr="00D4309F">
        <w:rPr>
          <w:spacing w:val="-2"/>
        </w:rPr>
        <w:t xml:space="preserve"> </w:t>
      </w:r>
      <w:r w:rsidRPr="00D4309F">
        <w:t>immediately</w:t>
      </w:r>
      <w:r w:rsidRPr="00D4309F">
        <w:rPr>
          <w:spacing w:val="-2"/>
        </w:rPr>
        <w:t xml:space="preserve"> </w:t>
      </w:r>
      <w:r w:rsidRPr="00D4309F">
        <w:t>south</w:t>
      </w:r>
      <w:r w:rsidRPr="00D4309F">
        <w:rPr>
          <w:spacing w:val="-3"/>
        </w:rPr>
        <w:t xml:space="preserve"> </w:t>
      </w:r>
      <w:r w:rsidRPr="00D4309F">
        <w:t>of</w:t>
      </w:r>
      <w:r w:rsidRPr="00D4309F">
        <w:rPr>
          <w:spacing w:val="-2"/>
        </w:rPr>
        <w:t xml:space="preserve"> </w:t>
      </w:r>
      <w:r w:rsidRPr="00D4309F">
        <w:t>Point</w:t>
      </w:r>
      <w:r w:rsidRPr="00D4309F">
        <w:rPr>
          <w:spacing w:val="-2"/>
        </w:rPr>
        <w:t xml:space="preserve"> </w:t>
      </w:r>
      <w:r w:rsidRPr="00D4309F">
        <w:t>Cartwright.</w:t>
      </w:r>
      <w:r w:rsidRPr="00D4309F">
        <w:rPr>
          <w:spacing w:val="-3"/>
        </w:rPr>
        <w:t xml:space="preserve"> </w:t>
      </w:r>
      <w:r w:rsidRPr="00D4309F">
        <w:t>The</w:t>
      </w:r>
      <w:r w:rsidRPr="00D4309F">
        <w:rPr>
          <w:spacing w:val="-2"/>
        </w:rPr>
        <w:t xml:space="preserve"> </w:t>
      </w:r>
      <w:r w:rsidRPr="00D4309F">
        <w:t>purpose</w:t>
      </w:r>
      <w:r w:rsidRPr="00D4309F">
        <w:rPr>
          <w:spacing w:val="-2"/>
        </w:rPr>
        <w:t xml:space="preserve"> </w:t>
      </w:r>
      <w:r w:rsidRPr="00D4309F">
        <w:t>of</w:t>
      </w:r>
      <w:r w:rsidRPr="00D4309F">
        <w:rPr>
          <w:spacing w:val="-2"/>
        </w:rPr>
        <w:t xml:space="preserve"> </w:t>
      </w:r>
      <w:r w:rsidRPr="00D4309F">
        <w:t>this</w:t>
      </w:r>
      <w:r w:rsidRPr="00D4309F">
        <w:rPr>
          <w:spacing w:val="-2"/>
        </w:rPr>
        <w:t xml:space="preserve"> </w:t>
      </w:r>
      <w:r w:rsidRPr="00D4309F">
        <w:t>option</w:t>
      </w:r>
      <w:r w:rsidRPr="00D4309F">
        <w:rPr>
          <w:spacing w:val="-2"/>
        </w:rPr>
        <w:t xml:space="preserve"> </w:t>
      </w:r>
      <w:r w:rsidRPr="00D4309F">
        <w:t>is</w:t>
      </w:r>
      <w:r w:rsidRPr="00D4309F">
        <w:rPr>
          <w:spacing w:val="-1"/>
        </w:rPr>
        <w:t xml:space="preserve"> </w:t>
      </w:r>
      <w:r w:rsidRPr="00D4309F">
        <w:t>to</w:t>
      </w:r>
      <w:r w:rsidRPr="00D4309F">
        <w:rPr>
          <w:spacing w:val="-2"/>
        </w:rPr>
        <w:t xml:space="preserve"> </w:t>
      </w:r>
      <w:r w:rsidRPr="00D4309F">
        <w:t>intercept</w:t>
      </w:r>
      <w:r w:rsidRPr="00D4309F">
        <w:rPr>
          <w:spacing w:val="-2"/>
        </w:rPr>
        <w:t xml:space="preserve"> </w:t>
      </w:r>
      <w:r w:rsidRPr="00D4309F">
        <w:t>and</w:t>
      </w:r>
      <w:r w:rsidRPr="00D4309F">
        <w:rPr>
          <w:spacing w:val="-2"/>
        </w:rPr>
        <w:t xml:space="preserve"> </w:t>
      </w:r>
      <w:r w:rsidRPr="00D4309F">
        <w:t>temporarily</w:t>
      </w:r>
      <w:r w:rsidRPr="00D4309F">
        <w:rPr>
          <w:spacing w:val="-1"/>
        </w:rPr>
        <w:t xml:space="preserve"> </w:t>
      </w:r>
      <w:r w:rsidRPr="00D4309F">
        <w:t>store a portion of the northward-moving littoral sand transport before it enters the Mooloolaba River entrance, thereby slowing the rate of shoaling within the navigation channel.</w:t>
      </w:r>
    </w:p>
    <w:p w14:paraId="5CDFA7E3" w14:textId="77777777" w:rsidR="00725977" w:rsidRPr="00D4309F" w:rsidRDefault="00725977" w:rsidP="00725977">
      <w:pPr>
        <w:pStyle w:val="BodyText"/>
      </w:pPr>
      <w:r w:rsidRPr="00D4309F">
        <w:t>Under Option</w:t>
      </w:r>
      <w:r w:rsidRPr="00D4309F">
        <w:rPr>
          <w:spacing w:val="-1"/>
        </w:rPr>
        <w:t xml:space="preserve"> </w:t>
      </w:r>
      <w:r w:rsidRPr="00D4309F">
        <w:t>1A, sand collection is achieved using a</w:t>
      </w:r>
      <w:r w:rsidRPr="00D4309F">
        <w:rPr>
          <w:spacing w:val="-1"/>
        </w:rPr>
        <w:t xml:space="preserve"> </w:t>
      </w:r>
      <w:r w:rsidRPr="00D4309F">
        <w:t>Trailer Suction Hopper</w:t>
      </w:r>
      <w:r w:rsidRPr="00D4309F">
        <w:rPr>
          <w:spacing w:val="-1"/>
        </w:rPr>
        <w:t xml:space="preserve"> </w:t>
      </w:r>
      <w:r w:rsidRPr="00D4309F">
        <w:t>Dredge (TSHD).</w:t>
      </w:r>
      <w:r w:rsidRPr="00D4309F">
        <w:rPr>
          <w:spacing w:val="-1"/>
        </w:rPr>
        <w:t xml:space="preserve"> </w:t>
      </w:r>
      <w:r w:rsidRPr="00D4309F">
        <w:t>The dredge would</w:t>
      </w:r>
      <w:r w:rsidRPr="00D4309F">
        <w:rPr>
          <w:spacing w:val="-3"/>
        </w:rPr>
        <w:t xml:space="preserve"> </w:t>
      </w:r>
      <w:r w:rsidRPr="00D4309F">
        <w:t>periodically</w:t>
      </w:r>
      <w:r w:rsidRPr="00D4309F">
        <w:rPr>
          <w:spacing w:val="-2"/>
        </w:rPr>
        <w:t xml:space="preserve"> </w:t>
      </w:r>
      <w:r w:rsidRPr="00D4309F">
        <w:t>remove</w:t>
      </w:r>
      <w:r w:rsidRPr="00D4309F">
        <w:rPr>
          <w:spacing w:val="-3"/>
        </w:rPr>
        <w:t xml:space="preserve"> </w:t>
      </w:r>
      <w:r w:rsidRPr="00D4309F">
        <w:t>material</w:t>
      </w:r>
      <w:r w:rsidRPr="00D4309F">
        <w:rPr>
          <w:spacing w:val="-3"/>
        </w:rPr>
        <w:t xml:space="preserve"> </w:t>
      </w:r>
      <w:r w:rsidRPr="00D4309F">
        <w:t>that</w:t>
      </w:r>
      <w:r w:rsidRPr="00D4309F">
        <w:rPr>
          <w:spacing w:val="-4"/>
        </w:rPr>
        <w:t xml:space="preserve"> </w:t>
      </w:r>
      <w:r w:rsidRPr="00D4309F">
        <w:t>has</w:t>
      </w:r>
      <w:r w:rsidRPr="00D4309F">
        <w:rPr>
          <w:spacing w:val="-2"/>
        </w:rPr>
        <w:t xml:space="preserve"> </w:t>
      </w:r>
      <w:r w:rsidRPr="00D4309F">
        <w:t>naturally</w:t>
      </w:r>
      <w:r w:rsidRPr="00D4309F">
        <w:rPr>
          <w:spacing w:val="-3"/>
        </w:rPr>
        <w:t xml:space="preserve"> </w:t>
      </w:r>
      <w:r w:rsidRPr="00D4309F">
        <w:t>accumulated</w:t>
      </w:r>
      <w:r w:rsidRPr="00D4309F">
        <w:rPr>
          <w:spacing w:val="-4"/>
        </w:rPr>
        <w:t xml:space="preserve"> </w:t>
      </w:r>
      <w:r w:rsidRPr="00D4309F">
        <w:t>in</w:t>
      </w:r>
      <w:r w:rsidRPr="00D4309F">
        <w:rPr>
          <w:spacing w:val="-3"/>
        </w:rPr>
        <w:t xml:space="preserve"> </w:t>
      </w:r>
      <w:r w:rsidRPr="00D4309F">
        <w:t>the</w:t>
      </w:r>
      <w:r w:rsidRPr="00D4309F">
        <w:rPr>
          <w:spacing w:val="-3"/>
        </w:rPr>
        <w:t xml:space="preserve"> </w:t>
      </w:r>
      <w:r w:rsidRPr="00D4309F">
        <w:t>trap</w:t>
      </w:r>
      <w:r w:rsidRPr="00D4309F">
        <w:rPr>
          <w:spacing w:val="-3"/>
        </w:rPr>
        <w:t xml:space="preserve"> </w:t>
      </w:r>
      <w:r w:rsidRPr="00D4309F">
        <w:t>and</w:t>
      </w:r>
      <w:r w:rsidRPr="00D4309F">
        <w:rPr>
          <w:spacing w:val="-3"/>
        </w:rPr>
        <w:t xml:space="preserve"> </w:t>
      </w:r>
      <w:r w:rsidRPr="00D4309F">
        <w:t>transport</w:t>
      </w:r>
      <w:r w:rsidRPr="00D4309F">
        <w:rPr>
          <w:spacing w:val="-3"/>
        </w:rPr>
        <w:t xml:space="preserve"> </w:t>
      </w:r>
      <w:r w:rsidRPr="00D4309F">
        <w:t>it</w:t>
      </w:r>
      <w:r w:rsidRPr="00D4309F">
        <w:rPr>
          <w:spacing w:val="-3"/>
        </w:rPr>
        <w:t xml:space="preserve"> </w:t>
      </w:r>
      <w:r w:rsidRPr="00D4309F">
        <w:t>for</w:t>
      </w:r>
      <w:r w:rsidRPr="00D4309F">
        <w:rPr>
          <w:spacing w:val="-2"/>
        </w:rPr>
        <w:t xml:space="preserve"> </w:t>
      </w:r>
      <w:r w:rsidRPr="00D4309F">
        <w:t>beneficial reuse at nearby beaches such as Mooloolaba Bay, Alexandra Headland, and Maroochydore.</w:t>
      </w:r>
    </w:p>
    <w:p w14:paraId="0B389EA0" w14:textId="77777777" w:rsidR="00725977" w:rsidRPr="00D4309F" w:rsidRDefault="00725977" w:rsidP="00725977">
      <w:pPr>
        <w:pStyle w:val="BodyText"/>
      </w:pPr>
      <w:r w:rsidRPr="00D4309F">
        <w:t>This contrasts with Option 1B, which employs a fixed pump and pipeline transfer system across the entrance.</w:t>
      </w:r>
      <w:r w:rsidRPr="00D4309F">
        <w:rPr>
          <w:spacing w:val="-4"/>
        </w:rPr>
        <w:t xml:space="preserve"> </w:t>
      </w:r>
      <w:r w:rsidRPr="00D4309F">
        <w:t>Accordingly,</w:t>
      </w:r>
      <w:r w:rsidRPr="00D4309F">
        <w:rPr>
          <w:spacing w:val="-3"/>
        </w:rPr>
        <w:t xml:space="preserve"> </w:t>
      </w:r>
      <w:r w:rsidRPr="00D4309F">
        <w:t>the</w:t>
      </w:r>
      <w:r w:rsidRPr="00D4309F">
        <w:rPr>
          <w:spacing w:val="-4"/>
        </w:rPr>
        <w:t xml:space="preserve"> </w:t>
      </w:r>
      <w:r w:rsidRPr="00D4309F">
        <w:t>key</w:t>
      </w:r>
      <w:r w:rsidRPr="00D4309F">
        <w:rPr>
          <w:spacing w:val="-2"/>
        </w:rPr>
        <w:t xml:space="preserve"> </w:t>
      </w:r>
      <w:r w:rsidRPr="00D4309F">
        <w:t>difference</w:t>
      </w:r>
      <w:r w:rsidRPr="00D4309F">
        <w:rPr>
          <w:spacing w:val="-3"/>
        </w:rPr>
        <w:t xml:space="preserve"> </w:t>
      </w:r>
      <w:r w:rsidRPr="00D4309F">
        <w:t>between</w:t>
      </w:r>
      <w:r w:rsidRPr="00D4309F">
        <w:rPr>
          <w:spacing w:val="-3"/>
        </w:rPr>
        <w:t xml:space="preserve"> </w:t>
      </w:r>
      <w:r w:rsidRPr="00D4309F">
        <w:t>the</w:t>
      </w:r>
      <w:r w:rsidRPr="00D4309F">
        <w:rPr>
          <w:spacing w:val="-3"/>
        </w:rPr>
        <w:t xml:space="preserve"> </w:t>
      </w:r>
      <w:r w:rsidRPr="00D4309F">
        <w:t>two</w:t>
      </w:r>
      <w:r w:rsidRPr="00D4309F">
        <w:rPr>
          <w:spacing w:val="-3"/>
        </w:rPr>
        <w:t xml:space="preserve"> </w:t>
      </w:r>
      <w:r w:rsidRPr="00D4309F">
        <w:t>sub-options</w:t>
      </w:r>
      <w:r w:rsidRPr="00D4309F">
        <w:rPr>
          <w:spacing w:val="-2"/>
        </w:rPr>
        <w:t xml:space="preserve"> </w:t>
      </w:r>
      <w:r w:rsidRPr="00D4309F">
        <w:t>lies</w:t>
      </w:r>
      <w:r w:rsidRPr="00D4309F">
        <w:rPr>
          <w:spacing w:val="-2"/>
        </w:rPr>
        <w:t xml:space="preserve"> </w:t>
      </w:r>
      <w:r w:rsidRPr="00D4309F">
        <w:t>in</w:t>
      </w:r>
      <w:r w:rsidRPr="00D4309F">
        <w:rPr>
          <w:spacing w:val="-3"/>
        </w:rPr>
        <w:t xml:space="preserve"> </w:t>
      </w:r>
      <w:r w:rsidRPr="00D4309F">
        <w:t>the</w:t>
      </w:r>
      <w:r w:rsidRPr="00D4309F">
        <w:rPr>
          <w:spacing w:val="-3"/>
        </w:rPr>
        <w:t xml:space="preserve"> </w:t>
      </w:r>
      <w:r w:rsidRPr="00D4309F">
        <w:t>deposition</w:t>
      </w:r>
      <w:r w:rsidRPr="00D4309F">
        <w:rPr>
          <w:spacing w:val="-4"/>
        </w:rPr>
        <w:t xml:space="preserve"> </w:t>
      </w:r>
      <w:r w:rsidRPr="00D4309F">
        <w:t>method,</w:t>
      </w:r>
      <w:r w:rsidRPr="00D4309F">
        <w:rPr>
          <w:spacing w:val="-3"/>
        </w:rPr>
        <w:t xml:space="preserve"> </w:t>
      </w:r>
      <w:r w:rsidRPr="00D4309F">
        <w:t>not</w:t>
      </w:r>
      <w:r w:rsidRPr="00D4309F">
        <w:rPr>
          <w:spacing w:val="-3"/>
        </w:rPr>
        <w:t xml:space="preserve"> </w:t>
      </w:r>
      <w:r w:rsidRPr="00D4309F">
        <w:t>the trap location or its sand-capture function.</w:t>
      </w:r>
    </w:p>
    <w:p w14:paraId="162A122E" w14:textId="77777777" w:rsidR="00725977" w:rsidRPr="00D4309F" w:rsidRDefault="00725977" w:rsidP="00725977">
      <w:pPr>
        <w:pStyle w:val="BodyText"/>
      </w:pPr>
      <w:r w:rsidRPr="00D4309F">
        <w:t>The trap</w:t>
      </w:r>
      <w:r w:rsidRPr="00D4309F">
        <w:rPr>
          <w:spacing w:val="-1"/>
        </w:rPr>
        <w:t xml:space="preserve"> </w:t>
      </w:r>
      <w:r w:rsidRPr="00D4309F">
        <w:t>would occupy an</w:t>
      </w:r>
      <w:r w:rsidRPr="00D4309F">
        <w:rPr>
          <w:spacing w:val="-1"/>
        </w:rPr>
        <w:t xml:space="preserve"> </w:t>
      </w:r>
      <w:r w:rsidRPr="00D4309F">
        <w:t>area of approximately 100</w:t>
      </w:r>
      <w:r w:rsidRPr="00D4309F">
        <w:rPr>
          <w:spacing w:val="-1"/>
        </w:rPr>
        <w:t xml:space="preserve"> </w:t>
      </w:r>
      <w:r w:rsidRPr="00D4309F">
        <w:t>m × 280 m in</w:t>
      </w:r>
      <w:r w:rsidRPr="00D4309F">
        <w:rPr>
          <w:spacing w:val="-1"/>
        </w:rPr>
        <w:t xml:space="preserve"> </w:t>
      </w:r>
      <w:r w:rsidRPr="00D4309F">
        <w:t>water depths of</w:t>
      </w:r>
      <w:r w:rsidRPr="00D4309F">
        <w:rPr>
          <w:spacing w:val="-1"/>
        </w:rPr>
        <w:t xml:space="preserve"> </w:t>
      </w:r>
      <w:r w:rsidRPr="00D4309F">
        <w:t>–8 m to –12 m AHD and provide a total capacity of 70 000 – 98 000 m</w:t>
      </w:r>
      <w:r w:rsidRPr="00D4309F">
        <w:rPr>
          <w:vertAlign w:val="superscript"/>
        </w:rPr>
        <w:t>3</w:t>
      </w:r>
      <w:r w:rsidRPr="00D4309F">
        <w:t xml:space="preserve"> per campaign. An initial capital dredging campaign of about 90 000 m</w:t>
      </w:r>
      <w:r w:rsidRPr="00D4309F">
        <w:rPr>
          <w:vertAlign w:val="superscript"/>
        </w:rPr>
        <w:t>3</w:t>
      </w:r>
      <w:r w:rsidRPr="00D4309F">
        <w:t xml:space="preserve"> (including over-dredge allowances) would establish the design depth. Captured material would then</w:t>
      </w:r>
      <w:r w:rsidRPr="00D4309F">
        <w:rPr>
          <w:spacing w:val="-1"/>
        </w:rPr>
        <w:t xml:space="preserve"> </w:t>
      </w:r>
      <w:r w:rsidRPr="00D4309F">
        <w:t>be</w:t>
      </w:r>
      <w:r w:rsidRPr="00D4309F">
        <w:rPr>
          <w:spacing w:val="-1"/>
        </w:rPr>
        <w:t xml:space="preserve"> </w:t>
      </w:r>
      <w:r w:rsidRPr="00D4309F">
        <w:t>periodically removed</w:t>
      </w:r>
      <w:r w:rsidRPr="00D4309F">
        <w:rPr>
          <w:spacing w:val="-1"/>
        </w:rPr>
        <w:t xml:space="preserve"> </w:t>
      </w:r>
      <w:r w:rsidRPr="00D4309F">
        <w:t>by the</w:t>
      </w:r>
      <w:r w:rsidRPr="00D4309F">
        <w:rPr>
          <w:spacing w:val="-1"/>
        </w:rPr>
        <w:t xml:space="preserve"> </w:t>
      </w:r>
      <w:r w:rsidRPr="00D4309F">
        <w:t>TSHD as part</w:t>
      </w:r>
      <w:r w:rsidRPr="00D4309F">
        <w:rPr>
          <w:spacing w:val="-1"/>
        </w:rPr>
        <w:t xml:space="preserve"> </w:t>
      </w:r>
      <w:r w:rsidRPr="00D4309F">
        <w:t>of</w:t>
      </w:r>
      <w:r w:rsidRPr="00D4309F">
        <w:rPr>
          <w:spacing w:val="-1"/>
        </w:rPr>
        <w:t xml:space="preserve"> </w:t>
      </w:r>
      <w:r w:rsidRPr="00D4309F">
        <w:t>an</w:t>
      </w:r>
      <w:r w:rsidRPr="00D4309F">
        <w:rPr>
          <w:spacing w:val="-1"/>
        </w:rPr>
        <w:t xml:space="preserve"> </w:t>
      </w:r>
      <w:r w:rsidRPr="00D4309F">
        <w:t>ongoing</w:t>
      </w:r>
      <w:r w:rsidRPr="00D4309F">
        <w:rPr>
          <w:spacing w:val="-1"/>
        </w:rPr>
        <w:t xml:space="preserve"> </w:t>
      </w:r>
      <w:r w:rsidRPr="00D4309F">
        <w:t>sediment-management</w:t>
      </w:r>
      <w:r w:rsidRPr="00D4309F">
        <w:rPr>
          <w:spacing w:val="-1"/>
        </w:rPr>
        <w:t xml:space="preserve"> </w:t>
      </w:r>
      <w:r w:rsidRPr="00D4309F">
        <w:t>cycle.</w:t>
      </w:r>
      <w:r w:rsidRPr="00D4309F">
        <w:rPr>
          <w:spacing w:val="-1"/>
        </w:rPr>
        <w:t xml:space="preserve"> </w:t>
      </w:r>
      <w:r w:rsidRPr="00D4309F">
        <w:t>The</w:t>
      </w:r>
      <w:r w:rsidRPr="00D4309F">
        <w:rPr>
          <w:spacing w:val="-1"/>
        </w:rPr>
        <w:t xml:space="preserve"> </w:t>
      </w:r>
      <w:r w:rsidRPr="00D4309F">
        <w:t>concept and</w:t>
      </w:r>
      <w:r w:rsidRPr="00D4309F">
        <w:rPr>
          <w:spacing w:val="-3"/>
        </w:rPr>
        <w:t xml:space="preserve"> </w:t>
      </w:r>
      <w:r w:rsidRPr="00D4309F">
        <w:t>indicative</w:t>
      </w:r>
      <w:r w:rsidRPr="00D4309F">
        <w:rPr>
          <w:spacing w:val="-4"/>
        </w:rPr>
        <w:t xml:space="preserve"> </w:t>
      </w:r>
      <w:r w:rsidRPr="00D4309F">
        <w:t>parameters</w:t>
      </w:r>
      <w:r w:rsidRPr="00D4309F">
        <w:rPr>
          <w:spacing w:val="-2"/>
        </w:rPr>
        <w:t xml:space="preserve"> </w:t>
      </w:r>
      <w:r w:rsidRPr="00D4309F">
        <w:t>are</w:t>
      </w:r>
      <w:r w:rsidRPr="00D4309F">
        <w:rPr>
          <w:spacing w:val="-3"/>
        </w:rPr>
        <w:t xml:space="preserve"> </w:t>
      </w:r>
      <w:r w:rsidRPr="00D4309F">
        <w:t>consistent</w:t>
      </w:r>
      <w:r w:rsidRPr="00D4309F">
        <w:rPr>
          <w:spacing w:val="-3"/>
        </w:rPr>
        <w:t xml:space="preserve"> </w:t>
      </w:r>
      <w:r w:rsidRPr="00D4309F">
        <w:t>with</w:t>
      </w:r>
      <w:r w:rsidRPr="00D4309F">
        <w:rPr>
          <w:spacing w:val="-3"/>
        </w:rPr>
        <w:t xml:space="preserve"> </w:t>
      </w:r>
      <w:r w:rsidRPr="00D4309F">
        <w:t>the</w:t>
      </w:r>
      <w:r w:rsidRPr="00D4309F">
        <w:rPr>
          <w:spacing w:val="-3"/>
        </w:rPr>
        <w:t xml:space="preserve"> </w:t>
      </w:r>
      <w:r w:rsidRPr="00D4309F">
        <w:t>investigations</w:t>
      </w:r>
      <w:r w:rsidRPr="00D4309F">
        <w:rPr>
          <w:spacing w:val="-2"/>
        </w:rPr>
        <w:t xml:space="preserve"> </w:t>
      </w:r>
      <w:r w:rsidRPr="00D4309F">
        <w:t>undertaken</w:t>
      </w:r>
      <w:r w:rsidRPr="00D4309F">
        <w:rPr>
          <w:spacing w:val="-3"/>
        </w:rPr>
        <w:t xml:space="preserve"> </w:t>
      </w:r>
      <w:r w:rsidRPr="00D4309F">
        <w:t>by</w:t>
      </w:r>
      <w:r w:rsidRPr="00D4309F">
        <w:rPr>
          <w:spacing w:val="-3"/>
        </w:rPr>
        <w:t xml:space="preserve"> </w:t>
      </w:r>
      <w:r w:rsidRPr="00D4309F">
        <w:t>BMT</w:t>
      </w:r>
      <w:r w:rsidRPr="00D4309F">
        <w:rPr>
          <w:spacing w:val="-3"/>
        </w:rPr>
        <w:t xml:space="preserve"> </w:t>
      </w:r>
      <w:r w:rsidRPr="00D4309F">
        <w:t>(2024)</w:t>
      </w:r>
      <w:r w:rsidRPr="00D4309F">
        <w:rPr>
          <w:spacing w:val="-2"/>
        </w:rPr>
        <w:t xml:space="preserve"> </w:t>
      </w:r>
      <w:r w:rsidRPr="00D4309F">
        <w:t>and</w:t>
      </w:r>
      <w:r w:rsidRPr="00D4309F">
        <w:rPr>
          <w:spacing w:val="-3"/>
        </w:rPr>
        <w:t xml:space="preserve"> </w:t>
      </w:r>
      <w:r w:rsidRPr="00D4309F">
        <w:t>earlier</w:t>
      </w:r>
      <w:r w:rsidRPr="00D4309F">
        <w:rPr>
          <w:spacing w:val="-2"/>
        </w:rPr>
        <w:t xml:space="preserve"> </w:t>
      </w:r>
      <w:r w:rsidRPr="00D4309F">
        <w:t>MSQ sediment-management</w:t>
      </w:r>
      <w:r w:rsidRPr="00D4309F">
        <w:rPr>
          <w:spacing w:val="-2"/>
        </w:rPr>
        <w:t xml:space="preserve"> </w:t>
      </w:r>
      <w:r w:rsidRPr="00D4309F">
        <w:t>studies,</w:t>
      </w:r>
      <w:r w:rsidRPr="00D4309F">
        <w:rPr>
          <w:spacing w:val="-2"/>
        </w:rPr>
        <w:t xml:space="preserve"> </w:t>
      </w:r>
      <w:r w:rsidRPr="00D4309F">
        <w:t>which</w:t>
      </w:r>
      <w:r w:rsidRPr="00D4309F">
        <w:rPr>
          <w:spacing w:val="-2"/>
        </w:rPr>
        <w:t xml:space="preserve"> </w:t>
      </w:r>
      <w:r w:rsidRPr="00D4309F">
        <w:t>confirmed</w:t>
      </w:r>
      <w:r w:rsidRPr="00D4309F">
        <w:rPr>
          <w:spacing w:val="-2"/>
        </w:rPr>
        <w:t xml:space="preserve"> </w:t>
      </w:r>
      <w:r w:rsidRPr="00D4309F">
        <w:t>both</w:t>
      </w:r>
      <w:r w:rsidRPr="00D4309F">
        <w:rPr>
          <w:spacing w:val="-3"/>
        </w:rPr>
        <w:t xml:space="preserve"> </w:t>
      </w:r>
      <w:r w:rsidRPr="00D4309F">
        <w:t>the</w:t>
      </w:r>
      <w:r w:rsidRPr="00D4309F">
        <w:rPr>
          <w:spacing w:val="-2"/>
        </w:rPr>
        <w:t xml:space="preserve"> </w:t>
      </w:r>
      <w:r w:rsidRPr="00D4309F">
        <w:t>presence</w:t>
      </w:r>
      <w:r w:rsidRPr="00D4309F">
        <w:rPr>
          <w:spacing w:val="-3"/>
        </w:rPr>
        <w:t xml:space="preserve"> </w:t>
      </w:r>
      <w:r w:rsidRPr="00D4309F">
        <w:t>of</w:t>
      </w:r>
      <w:r w:rsidRPr="00D4309F">
        <w:rPr>
          <w:spacing w:val="-2"/>
        </w:rPr>
        <w:t xml:space="preserve"> </w:t>
      </w:r>
      <w:r w:rsidRPr="00D4309F">
        <w:t>an</w:t>
      </w:r>
      <w:r w:rsidRPr="00D4309F">
        <w:rPr>
          <w:spacing w:val="-2"/>
        </w:rPr>
        <w:t xml:space="preserve"> </w:t>
      </w:r>
      <w:r w:rsidRPr="00D4309F">
        <w:t>accessible</w:t>
      </w:r>
      <w:r w:rsidRPr="00D4309F">
        <w:rPr>
          <w:spacing w:val="-2"/>
        </w:rPr>
        <w:t xml:space="preserve"> </w:t>
      </w:r>
      <w:r w:rsidRPr="00D4309F">
        <w:t>nearshore</w:t>
      </w:r>
      <w:r w:rsidRPr="00D4309F">
        <w:rPr>
          <w:spacing w:val="-3"/>
        </w:rPr>
        <w:t xml:space="preserve"> </w:t>
      </w:r>
      <w:r w:rsidRPr="00D4309F">
        <w:t>sand</w:t>
      </w:r>
      <w:r w:rsidRPr="00D4309F">
        <w:rPr>
          <w:spacing w:val="-3"/>
        </w:rPr>
        <w:t xml:space="preserve"> </w:t>
      </w:r>
      <w:r w:rsidRPr="00D4309F">
        <w:t>source and its potential role in reducing entrance shoaling.</w:t>
      </w:r>
    </w:p>
    <w:p w14:paraId="4002C6DE" w14:textId="77777777" w:rsidR="00725977" w:rsidRPr="00D4309F" w:rsidRDefault="00725977" w:rsidP="00725977">
      <w:pPr>
        <w:pStyle w:val="BodyText"/>
      </w:pPr>
    </w:p>
    <w:p w14:paraId="4CDCC0D7" w14:textId="77777777" w:rsidR="00BD46A3" w:rsidRDefault="00725977" w:rsidP="00BD46A3">
      <w:r w:rsidRPr="00D4309F">
        <w:rPr>
          <w:noProof/>
        </w:rPr>
        <w:lastRenderedPageBreak/>
        <w:drawing>
          <wp:inline distT="0" distB="0" distL="0" distR="0" wp14:anchorId="0B4A3C1D" wp14:editId="3D2DF3F1">
            <wp:extent cx="6219444" cy="4309110"/>
            <wp:effectExtent l="0" t="0" r="0" b="0"/>
            <wp:docPr id="121" name="Image 121" descr="Arial image of Point Cartwright and the Mooloolaba Boat Harbour Entrance showing the conceptional plan view of Option 1 - sand trap on northern Buddina Beach (ICM, 2025), with arrows in the direction of shoaling event which goes north along Buddina Beach, then west around the Point Cartwright headland.  It then has arrows showing that sand goes around the headland and then lands toward Mooloolaba beach.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descr="Arial image of Point Cartwright and the Mooloolaba Boat Harbour Entrance showing the conceptional plan view of Option 1 - sand trap on northern Buddina Beach (ICM, 2025), with arrows in the direction of shoaling event which goes north along Buddina Beach, then west around the Point Cartwright headland.  It then has arrows showing that sand goes around the headland and then lands toward Mooloolaba beach. "/>
                    <pic:cNvPicPr/>
                  </pic:nvPicPr>
                  <pic:blipFill>
                    <a:blip r:embed="rId78" cstate="print"/>
                    <a:stretch>
                      <a:fillRect/>
                    </a:stretch>
                  </pic:blipFill>
                  <pic:spPr>
                    <a:xfrm>
                      <a:off x="0" y="0"/>
                      <a:ext cx="6219444" cy="4309110"/>
                    </a:xfrm>
                    <a:prstGeom prst="rect">
                      <a:avLst/>
                    </a:prstGeom>
                  </pic:spPr>
                </pic:pic>
              </a:graphicData>
            </a:graphic>
          </wp:inline>
        </w:drawing>
      </w:r>
    </w:p>
    <w:p w14:paraId="4593F9C1" w14:textId="7DB1A84E" w:rsidR="00725977" w:rsidRPr="00D4309F" w:rsidRDefault="00BD46A3" w:rsidP="00EF4321">
      <w:pPr>
        <w:pStyle w:val="Caption"/>
      </w:pPr>
      <w:bookmarkStart w:id="230" w:name="_Toc216699618"/>
      <w:r>
        <w:t xml:space="preserve">Figure </w:t>
      </w:r>
      <w:r w:rsidR="00B538D4">
        <w:fldChar w:fldCharType="begin" w:fldLock="1"/>
      </w:r>
      <w:r w:rsidR="00B538D4">
        <w:instrText xml:space="preserve"> STYLEREF 1 \s </w:instrText>
      </w:r>
      <w:r w:rsidR="00B538D4">
        <w:fldChar w:fldCharType="separate"/>
      </w:r>
      <w:r w:rsidR="00B538D4">
        <w:rPr>
          <w:noProof/>
        </w:rPr>
        <w:t>13</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3</w:t>
      </w:r>
      <w:r w:rsidR="00B538D4">
        <w:fldChar w:fldCharType="end"/>
      </w:r>
      <w:r>
        <w:t>:</w:t>
      </w:r>
      <w:r>
        <w:tab/>
      </w:r>
      <w:r w:rsidRPr="00D4309F">
        <w:rPr>
          <w:color w:val="211E1F"/>
        </w:rPr>
        <w:t>Option</w:t>
      </w:r>
      <w:r w:rsidRPr="00D4309F">
        <w:rPr>
          <w:color w:val="211E1F"/>
          <w:spacing w:val="-2"/>
        </w:rPr>
        <w:t xml:space="preserve"> </w:t>
      </w:r>
      <w:r w:rsidRPr="00D4309F">
        <w:rPr>
          <w:color w:val="211E1F"/>
        </w:rPr>
        <w:t>1A</w:t>
      </w:r>
      <w:r w:rsidRPr="00D4309F">
        <w:rPr>
          <w:color w:val="211E1F"/>
          <w:spacing w:val="-1"/>
        </w:rPr>
        <w:t xml:space="preserve"> </w:t>
      </w:r>
      <w:r w:rsidRPr="00D4309F">
        <w:rPr>
          <w:color w:val="211E1F"/>
        </w:rPr>
        <w:t>–</w:t>
      </w:r>
      <w:r w:rsidRPr="00D4309F">
        <w:rPr>
          <w:color w:val="211E1F"/>
          <w:spacing w:val="-2"/>
        </w:rPr>
        <w:t xml:space="preserve"> </w:t>
      </w:r>
      <w:r w:rsidRPr="00D4309F">
        <w:rPr>
          <w:color w:val="211E1F"/>
        </w:rPr>
        <w:t>Buddina</w:t>
      </w:r>
      <w:r w:rsidRPr="00D4309F">
        <w:rPr>
          <w:color w:val="211E1F"/>
          <w:spacing w:val="-2"/>
        </w:rPr>
        <w:t xml:space="preserve"> </w:t>
      </w:r>
      <w:r w:rsidRPr="00D4309F">
        <w:rPr>
          <w:color w:val="211E1F"/>
        </w:rPr>
        <w:t>Sand</w:t>
      </w:r>
      <w:r w:rsidRPr="00D4309F">
        <w:rPr>
          <w:color w:val="211E1F"/>
          <w:spacing w:val="-2"/>
        </w:rPr>
        <w:t xml:space="preserve"> </w:t>
      </w:r>
      <w:r w:rsidRPr="00D4309F">
        <w:rPr>
          <w:color w:val="211E1F"/>
        </w:rPr>
        <w:t>Trap</w:t>
      </w:r>
      <w:r w:rsidRPr="00D4309F">
        <w:rPr>
          <w:color w:val="211E1F"/>
          <w:spacing w:val="-3"/>
        </w:rPr>
        <w:t xml:space="preserve"> </w:t>
      </w:r>
      <w:r w:rsidRPr="00D4309F">
        <w:rPr>
          <w:color w:val="211E1F"/>
        </w:rPr>
        <w:t>via</w:t>
      </w:r>
      <w:r w:rsidRPr="00D4309F">
        <w:rPr>
          <w:color w:val="211E1F"/>
          <w:spacing w:val="-2"/>
        </w:rPr>
        <w:t xml:space="preserve"> </w:t>
      </w:r>
      <w:r w:rsidRPr="00D4309F">
        <w:rPr>
          <w:color w:val="211E1F"/>
        </w:rPr>
        <w:t>a</w:t>
      </w:r>
      <w:r w:rsidRPr="00D4309F">
        <w:rPr>
          <w:color w:val="211E1F"/>
          <w:spacing w:val="-2"/>
        </w:rPr>
        <w:t xml:space="preserve"> </w:t>
      </w:r>
      <w:r w:rsidRPr="00D4309F">
        <w:rPr>
          <w:color w:val="211E1F"/>
        </w:rPr>
        <w:t>hopper</w:t>
      </w:r>
      <w:r w:rsidRPr="00D4309F">
        <w:rPr>
          <w:color w:val="211E1F"/>
          <w:spacing w:val="-2"/>
        </w:rPr>
        <w:t xml:space="preserve"> </w:t>
      </w:r>
      <w:r w:rsidRPr="00D4309F">
        <w:rPr>
          <w:color w:val="211E1F"/>
        </w:rPr>
        <w:t>dredge</w:t>
      </w:r>
      <w:r w:rsidRPr="00D4309F">
        <w:rPr>
          <w:color w:val="211E1F"/>
          <w:spacing w:val="-2"/>
        </w:rPr>
        <w:t xml:space="preserve"> </w:t>
      </w:r>
      <w:r w:rsidRPr="00D4309F">
        <w:rPr>
          <w:color w:val="211E1F"/>
        </w:rPr>
        <w:t>(ICM,</w:t>
      </w:r>
      <w:r w:rsidRPr="00D4309F">
        <w:rPr>
          <w:color w:val="211E1F"/>
          <w:spacing w:val="-1"/>
        </w:rPr>
        <w:t xml:space="preserve"> </w:t>
      </w:r>
      <w:r w:rsidRPr="00D4309F">
        <w:rPr>
          <w:color w:val="211E1F"/>
          <w:spacing w:val="-2"/>
        </w:rPr>
        <w:t>2025)</w:t>
      </w:r>
      <w:bookmarkEnd w:id="230"/>
    </w:p>
    <w:p w14:paraId="4A53CF5A" w14:textId="77777777" w:rsidR="00725977" w:rsidRPr="00D4309F" w:rsidRDefault="00725977" w:rsidP="00725977">
      <w:pPr>
        <w:pStyle w:val="BodyText"/>
      </w:pPr>
      <w:bookmarkStart w:id="231" w:name="_bookmark102"/>
      <w:bookmarkEnd w:id="231"/>
    </w:p>
    <w:p w14:paraId="0C467981" w14:textId="77777777" w:rsidR="00725977" w:rsidRPr="00D4309F" w:rsidRDefault="00725977" w:rsidP="00EE2982">
      <w:pPr>
        <w:pStyle w:val="Heading3"/>
      </w:pPr>
      <w:bookmarkStart w:id="232" w:name="_bookmark103"/>
      <w:bookmarkStart w:id="233" w:name="_Ref216022379"/>
      <w:bookmarkStart w:id="234" w:name="_Toc216699373"/>
      <w:bookmarkEnd w:id="232"/>
      <w:r w:rsidRPr="00D4309F">
        <w:t>Design</w:t>
      </w:r>
      <w:r w:rsidRPr="00D4309F">
        <w:rPr>
          <w:spacing w:val="-3"/>
        </w:rPr>
        <w:t xml:space="preserve"> </w:t>
      </w:r>
      <w:r w:rsidRPr="00D4309F">
        <w:t>and</w:t>
      </w:r>
      <w:r w:rsidRPr="00D4309F">
        <w:rPr>
          <w:spacing w:val="-3"/>
        </w:rPr>
        <w:t xml:space="preserve"> </w:t>
      </w:r>
      <w:r w:rsidRPr="00D4309F">
        <w:rPr>
          <w:spacing w:val="-2"/>
        </w:rPr>
        <w:t>approvals</w:t>
      </w:r>
      <w:bookmarkEnd w:id="233"/>
      <w:bookmarkEnd w:id="234"/>
    </w:p>
    <w:p w14:paraId="06AFFA1F" w14:textId="77777777" w:rsidR="00725977" w:rsidRPr="00D4309F" w:rsidRDefault="00725977" w:rsidP="00725977">
      <w:pPr>
        <w:pStyle w:val="BodyText"/>
      </w:pPr>
      <w:r w:rsidRPr="00D4309F">
        <w:t>The</w:t>
      </w:r>
      <w:r w:rsidRPr="00D4309F">
        <w:rPr>
          <w:spacing w:val="-3"/>
        </w:rPr>
        <w:t xml:space="preserve"> </w:t>
      </w:r>
      <w:r w:rsidRPr="00D4309F">
        <w:t>Buddina</w:t>
      </w:r>
      <w:r w:rsidRPr="00D4309F">
        <w:rPr>
          <w:spacing w:val="-4"/>
        </w:rPr>
        <w:t xml:space="preserve"> </w:t>
      </w:r>
      <w:r w:rsidRPr="00D4309F">
        <w:t>Beach</w:t>
      </w:r>
      <w:r w:rsidRPr="00D4309F">
        <w:rPr>
          <w:spacing w:val="-4"/>
        </w:rPr>
        <w:t xml:space="preserve"> </w:t>
      </w:r>
      <w:r w:rsidRPr="00D4309F">
        <w:t>concept</w:t>
      </w:r>
      <w:r w:rsidRPr="00D4309F">
        <w:rPr>
          <w:spacing w:val="-3"/>
        </w:rPr>
        <w:t xml:space="preserve"> </w:t>
      </w:r>
      <w:r w:rsidRPr="00D4309F">
        <w:t>has</w:t>
      </w:r>
      <w:r w:rsidRPr="00D4309F">
        <w:rPr>
          <w:spacing w:val="-2"/>
        </w:rPr>
        <w:t xml:space="preserve"> </w:t>
      </w:r>
      <w:r w:rsidRPr="00D4309F">
        <w:t>been</w:t>
      </w:r>
      <w:r w:rsidRPr="00D4309F">
        <w:rPr>
          <w:spacing w:val="-3"/>
        </w:rPr>
        <w:t xml:space="preserve"> </w:t>
      </w:r>
      <w:r w:rsidRPr="00D4309F">
        <w:t>progressed</w:t>
      </w:r>
      <w:r w:rsidRPr="00D4309F">
        <w:rPr>
          <w:spacing w:val="-3"/>
        </w:rPr>
        <w:t xml:space="preserve"> </w:t>
      </w:r>
      <w:r w:rsidRPr="00D4309F">
        <w:t>through</w:t>
      </w:r>
      <w:r w:rsidRPr="00D4309F">
        <w:rPr>
          <w:spacing w:val="-4"/>
        </w:rPr>
        <w:t xml:space="preserve"> </w:t>
      </w:r>
      <w:r w:rsidRPr="00D4309F">
        <w:t>several</w:t>
      </w:r>
      <w:r w:rsidRPr="00D4309F">
        <w:rPr>
          <w:spacing w:val="-3"/>
        </w:rPr>
        <w:t xml:space="preserve"> </w:t>
      </w:r>
      <w:r w:rsidRPr="00D4309F">
        <w:t>technical</w:t>
      </w:r>
      <w:r w:rsidRPr="00D4309F">
        <w:rPr>
          <w:spacing w:val="-4"/>
        </w:rPr>
        <w:t xml:space="preserve"> </w:t>
      </w:r>
      <w:r w:rsidRPr="00D4309F">
        <w:t>studies,</w:t>
      </w:r>
      <w:r w:rsidRPr="00D4309F">
        <w:rPr>
          <w:spacing w:val="-3"/>
        </w:rPr>
        <w:t xml:space="preserve"> </w:t>
      </w:r>
      <w:r w:rsidRPr="00D4309F">
        <w:t>including</w:t>
      </w:r>
      <w:r w:rsidRPr="00D4309F">
        <w:rPr>
          <w:spacing w:val="-4"/>
        </w:rPr>
        <w:t xml:space="preserve"> </w:t>
      </w:r>
      <w:r w:rsidRPr="00D4309F">
        <w:t>work</w:t>
      </w:r>
      <w:r w:rsidRPr="00D4309F">
        <w:rPr>
          <w:spacing w:val="-2"/>
        </w:rPr>
        <w:t xml:space="preserve"> </w:t>
      </w:r>
      <w:r w:rsidRPr="00D4309F">
        <w:t>by</w:t>
      </w:r>
      <w:r w:rsidRPr="00D4309F">
        <w:rPr>
          <w:spacing w:val="-2"/>
        </w:rPr>
        <w:t xml:space="preserve"> </w:t>
      </w:r>
      <w:r w:rsidRPr="00D4309F">
        <w:t>BMT (2024) and earlier investigations undertaken for MSQ. These studies have confirmed the presence of a significant nearshore sand deposit suitable for managed extraction and have provided a preliminary understanding of local sediment dynamics, potential dredge footprints, and indicative volumes.</w:t>
      </w:r>
    </w:p>
    <w:p w14:paraId="281B29D7" w14:textId="77777777" w:rsidR="00725977" w:rsidRPr="00D4309F" w:rsidRDefault="00725977" w:rsidP="00725977">
      <w:pPr>
        <w:pStyle w:val="BodyText"/>
      </w:pPr>
      <w:r w:rsidRPr="00D4309F">
        <w:t>At</w:t>
      </w:r>
      <w:r w:rsidRPr="00D4309F">
        <w:rPr>
          <w:spacing w:val="-3"/>
        </w:rPr>
        <w:t xml:space="preserve"> </w:t>
      </w:r>
      <w:r w:rsidRPr="00D4309F">
        <w:t>this</w:t>
      </w:r>
      <w:r w:rsidRPr="00D4309F">
        <w:rPr>
          <w:spacing w:val="-2"/>
        </w:rPr>
        <w:t xml:space="preserve"> </w:t>
      </w:r>
      <w:r w:rsidRPr="00D4309F">
        <w:t>stage,</w:t>
      </w:r>
      <w:r w:rsidRPr="00D4309F">
        <w:rPr>
          <w:spacing w:val="-3"/>
        </w:rPr>
        <w:t xml:space="preserve"> </w:t>
      </w:r>
      <w:r w:rsidRPr="00D4309F">
        <w:t>the</w:t>
      </w:r>
      <w:r w:rsidRPr="00D4309F">
        <w:rPr>
          <w:spacing w:val="-3"/>
        </w:rPr>
        <w:t xml:space="preserve"> </w:t>
      </w:r>
      <w:r w:rsidRPr="00D4309F">
        <w:t>concept</w:t>
      </w:r>
      <w:r w:rsidRPr="00D4309F">
        <w:rPr>
          <w:spacing w:val="-3"/>
        </w:rPr>
        <w:t xml:space="preserve"> </w:t>
      </w:r>
      <w:r w:rsidRPr="00D4309F">
        <w:t>remains</w:t>
      </w:r>
      <w:r w:rsidRPr="00D4309F">
        <w:rPr>
          <w:spacing w:val="-2"/>
        </w:rPr>
        <w:t xml:space="preserve"> </w:t>
      </w:r>
      <w:r w:rsidRPr="00D4309F">
        <w:t>at</w:t>
      </w:r>
      <w:r w:rsidRPr="00D4309F">
        <w:rPr>
          <w:spacing w:val="-3"/>
        </w:rPr>
        <w:t xml:space="preserve"> </w:t>
      </w:r>
      <w:r w:rsidRPr="00D4309F">
        <w:t>a</w:t>
      </w:r>
      <w:r w:rsidRPr="00D4309F">
        <w:rPr>
          <w:spacing w:val="-3"/>
        </w:rPr>
        <w:t xml:space="preserve"> </w:t>
      </w:r>
      <w:r w:rsidRPr="00D4309F">
        <w:t>high-level</w:t>
      </w:r>
      <w:r w:rsidRPr="00D4309F">
        <w:rPr>
          <w:spacing w:val="-3"/>
        </w:rPr>
        <w:t xml:space="preserve"> </w:t>
      </w:r>
      <w:r w:rsidRPr="00D4309F">
        <w:t>or</w:t>
      </w:r>
      <w:r w:rsidRPr="00D4309F">
        <w:rPr>
          <w:spacing w:val="-2"/>
        </w:rPr>
        <w:t xml:space="preserve"> </w:t>
      </w:r>
      <w:r w:rsidRPr="00D4309F">
        <w:t>conceptual</w:t>
      </w:r>
      <w:r w:rsidRPr="00D4309F">
        <w:rPr>
          <w:spacing w:val="-3"/>
        </w:rPr>
        <w:t xml:space="preserve"> </w:t>
      </w:r>
      <w:r w:rsidRPr="00D4309F">
        <w:t>design</w:t>
      </w:r>
      <w:r w:rsidRPr="00D4309F">
        <w:rPr>
          <w:spacing w:val="-3"/>
        </w:rPr>
        <w:t xml:space="preserve"> </w:t>
      </w:r>
      <w:r w:rsidRPr="00D4309F">
        <w:t>phase</w:t>
      </w:r>
      <w:r w:rsidRPr="00D4309F">
        <w:rPr>
          <w:spacing w:val="-3"/>
        </w:rPr>
        <w:t xml:space="preserve"> </w:t>
      </w:r>
      <w:r w:rsidRPr="00D4309F">
        <w:t>and</w:t>
      </w:r>
      <w:r w:rsidRPr="00D4309F">
        <w:rPr>
          <w:spacing w:val="-3"/>
        </w:rPr>
        <w:t xml:space="preserve"> </w:t>
      </w:r>
      <w:r w:rsidRPr="00D4309F">
        <w:t>is</w:t>
      </w:r>
      <w:r w:rsidRPr="00D4309F">
        <w:rPr>
          <w:spacing w:val="-2"/>
        </w:rPr>
        <w:t xml:space="preserve"> </w:t>
      </w:r>
      <w:r w:rsidRPr="00D4309F">
        <w:t>intended</w:t>
      </w:r>
      <w:r w:rsidRPr="00D4309F">
        <w:rPr>
          <w:spacing w:val="-3"/>
        </w:rPr>
        <w:t xml:space="preserve"> </w:t>
      </w:r>
      <w:r w:rsidRPr="00D4309F">
        <w:t>to</w:t>
      </w:r>
      <w:r w:rsidRPr="00D4309F">
        <w:rPr>
          <w:spacing w:val="-3"/>
        </w:rPr>
        <w:t xml:space="preserve"> </w:t>
      </w:r>
      <w:r w:rsidRPr="00D4309F">
        <w:t>guide</w:t>
      </w:r>
      <w:r w:rsidRPr="00D4309F">
        <w:rPr>
          <w:spacing w:val="-3"/>
        </w:rPr>
        <w:t xml:space="preserve"> </w:t>
      </w:r>
      <w:r w:rsidRPr="00D4309F">
        <w:t>further feasibility and detailed-design assessments rather than represent a final engineered solution.</w:t>
      </w:r>
    </w:p>
    <w:p w14:paraId="3520E7E3" w14:textId="77777777" w:rsidR="00725977" w:rsidRPr="00D4309F" w:rsidRDefault="00725977" w:rsidP="00725977">
      <w:pPr>
        <w:pStyle w:val="BodyText"/>
      </w:pPr>
      <w:r w:rsidRPr="00D4309F">
        <w:t>To</w:t>
      </w:r>
      <w:r w:rsidRPr="00D4309F">
        <w:rPr>
          <w:spacing w:val="-4"/>
        </w:rPr>
        <w:t xml:space="preserve"> </w:t>
      </w:r>
      <w:r w:rsidRPr="00D4309F">
        <w:t>advance</w:t>
      </w:r>
      <w:r w:rsidRPr="00D4309F">
        <w:rPr>
          <w:spacing w:val="-3"/>
        </w:rPr>
        <w:t xml:space="preserve"> </w:t>
      </w:r>
      <w:r w:rsidRPr="00D4309F">
        <w:t>option</w:t>
      </w:r>
      <w:r w:rsidRPr="00D4309F">
        <w:rPr>
          <w:spacing w:val="-4"/>
        </w:rPr>
        <w:t xml:space="preserve"> </w:t>
      </w:r>
      <w:r w:rsidRPr="00D4309F">
        <w:t>1A,</w:t>
      </w:r>
      <w:r w:rsidRPr="00D4309F">
        <w:rPr>
          <w:spacing w:val="-3"/>
        </w:rPr>
        <w:t xml:space="preserve"> </w:t>
      </w:r>
      <w:r w:rsidRPr="00D4309F">
        <w:t>the</w:t>
      </w:r>
      <w:r w:rsidRPr="00D4309F">
        <w:rPr>
          <w:spacing w:val="-4"/>
        </w:rPr>
        <w:t xml:space="preserve"> </w:t>
      </w:r>
      <w:r w:rsidRPr="00D4309F">
        <w:t>following</w:t>
      </w:r>
      <w:r w:rsidRPr="00D4309F">
        <w:rPr>
          <w:spacing w:val="-3"/>
        </w:rPr>
        <w:t xml:space="preserve"> </w:t>
      </w:r>
      <w:r w:rsidRPr="00D4309F">
        <w:t>studies</w:t>
      </w:r>
      <w:r w:rsidRPr="00D4309F">
        <w:rPr>
          <w:spacing w:val="-3"/>
        </w:rPr>
        <w:t xml:space="preserve"> </w:t>
      </w:r>
      <w:r w:rsidRPr="00D4309F">
        <w:t>are</w:t>
      </w:r>
      <w:r w:rsidRPr="00D4309F">
        <w:rPr>
          <w:spacing w:val="-3"/>
        </w:rPr>
        <w:t xml:space="preserve"> </w:t>
      </w:r>
      <w:r w:rsidRPr="00D4309F">
        <w:rPr>
          <w:spacing w:val="-2"/>
        </w:rPr>
        <w:t>recommended:</w:t>
      </w:r>
    </w:p>
    <w:p w14:paraId="4A6CAD95" w14:textId="77777777" w:rsidR="00725977" w:rsidRPr="00D4309F" w:rsidRDefault="00725977" w:rsidP="00035CBD">
      <w:pPr>
        <w:pStyle w:val="ListBullet"/>
      </w:pPr>
      <w:r w:rsidRPr="00D4309F">
        <w:t>Detailed</w:t>
      </w:r>
      <w:r w:rsidRPr="00D4309F">
        <w:rPr>
          <w:spacing w:val="-7"/>
        </w:rPr>
        <w:t xml:space="preserve"> </w:t>
      </w:r>
      <w:r w:rsidRPr="00D4309F">
        <w:t>2D/3D</w:t>
      </w:r>
      <w:r w:rsidRPr="00D4309F">
        <w:rPr>
          <w:spacing w:val="-4"/>
        </w:rPr>
        <w:t xml:space="preserve"> </w:t>
      </w:r>
      <w:r w:rsidRPr="00D4309F">
        <w:t>coastal</w:t>
      </w:r>
      <w:r w:rsidRPr="00D4309F">
        <w:rPr>
          <w:spacing w:val="-4"/>
        </w:rPr>
        <w:t xml:space="preserve"> </w:t>
      </w:r>
      <w:r w:rsidRPr="00D4309F">
        <w:t>process</w:t>
      </w:r>
      <w:r w:rsidRPr="00D4309F">
        <w:rPr>
          <w:spacing w:val="-5"/>
        </w:rPr>
        <w:t xml:space="preserve"> </w:t>
      </w:r>
      <w:r w:rsidRPr="00D4309F">
        <w:t>modelling</w:t>
      </w:r>
      <w:r w:rsidRPr="00D4309F">
        <w:rPr>
          <w:spacing w:val="-4"/>
        </w:rPr>
        <w:t xml:space="preserve"> </w:t>
      </w:r>
      <w:r w:rsidRPr="00D4309F">
        <w:t>to</w:t>
      </w:r>
      <w:r w:rsidRPr="00D4309F">
        <w:rPr>
          <w:spacing w:val="-4"/>
        </w:rPr>
        <w:t xml:space="preserve"> </w:t>
      </w:r>
      <w:r w:rsidRPr="00D4309F">
        <w:t>validate</w:t>
      </w:r>
      <w:r w:rsidRPr="00D4309F">
        <w:rPr>
          <w:spacing w:val="-4"/>
        </w:rPr>
        <w:t xml:space="preserve"> </w:t>
      </w:r>
      <w:r w:rsidRPr="00D4309F">
        <w:t>trap</w:t>
      </w:r>
      <w:r w:rsidRPr="00D4309F">
        <w:rPr>
          <w:spacing w:val="-5"/>
        </w:rPr>
        <w:t xml:space="preserve"> </w:t>
      </w:r>
      <w:r w:rsidRPr="00D4309F">
        <w:t>efficiency</w:t>
      </w:r>
      <w:r w:rsidRPr="00D4309F">
        <w:rPr>
          <w:spacing w:val="-4"/>
        </w:rPr>
        <w:t xml:space="preserve"> </w:t>
      </w:r>
      <w:r w:rsidRPr="00D4309F">
        <w:t>and</w:t>
      </w:r>
      <w:r w:rsidRPr="00D4309F">
        <w:rPr>
          <w:spacing w:val="-4"/>
        </w:rPr>
        <w:t xml:space="preserve"> </w:t>
      </w:r>
      <w:r w:rsidRPr="00D4309F">
        <w:t>local</w:t>
      </w:r>
      <w:r w:rsidRPr="00D4309F">
        <w:rPr>
          <w:spacing w:val="-4"/>
        </w:rPr>
        <w:t xml:space="preserve"> </w:t>
      </w:r>
      <w:r w:rsidRPr="00D4309F">
        <w:rPr>
          <w:spacing w:val="-2"/>
        </w:rPr>
        <w:t>hydrodynamics.</w:t>
      </w:r>
    </w:p>
    <w:p w14:paraId="464BF6DC" w14:textId="77777777" w:rsidR="00725977" w:rsidRPr="00D4309F" w:rsidRDefault="00725977" w:rsidP="00035CBD">
      <w:pPr>
        <w:pStyle w:val="ListBullet"/>
      </w:pPr>
      <w:r w:rsidRPr="00D4309F">
        <w:t>Environmental</w:t>
      </w:r>
      <w:r w:rsidRPr="00D4309F">
        <w:rPr>
          <w:spacing w:val="-4"/>
        </w:rPr>
        <w:t xml:space="preserve"> </w:t>
      </w:r>
      <w:r w:rsidRPr="00D4309F">
        <w:t>Impact</w:t>
      </w:r>
      <w:r w:rsidRPr="00D4309F">
        <w:rPr>
          <w:spacing w:val="-4"/>
        </w:rPr>
        <w:t xml:space="preserve"> </w:t>
      </w:r>
      <w:r w:rsidRPr="00D4309F">
        <w:t>Assessment</w:t>
      </w:r>
      <w:r w:rsidRPr="00D4309F">
        <w:rPr>
          <w:spacing w:val="-4"/>
        </w:rPr>
        <w:t xml:space="preserve"> </w:t>
      </w:r>
      <w:r w:rsidRPr="00D4309F">
        <w:t>(EIA)</w:t>
      </w:r>
      <w:r w:rsidRPr="00D4309F">
        <w:rPr>
          <w:spacing w:val="-3"/>
        </w:rPr>
        <w:t xml:space="preserve"> </w:t>
      </w:r>
      <w:r w:rsidRPr="00D4309F">
        <w:t>addressing</w:t>
      </w:r>
      <w:r w:rsidRPr="00D4309F">
        <w:rPr>
          <w:spacing w:val="-4"/>
        </w:rPr>
        <w:t xml:space="preserve"> </w:t>
      </w:r>
      <w:r w:rsidRPr="00D4309F">
        <w:t>turbidity,</w:t>
      </w:r>
      <w:r w:rsidRPr="00D4309F">
        <w:rPr>
          <w:spacing w:val="-4"/>
        </w:rPr>
        <w:t xml:space="preserve"> </w:t>
      </w:r>
      <w:r w:rsidRPr="00D4309F">
        <w:t>benthic-habitat</w:t>
      </w:r>
      <w:r w:rsidRPr="00D4309F">
        <w:rPr>
          <w:spacing w:val="-4"/>
        </w:rPr>
        <w:t xml:space="preserve"> </w:t>
      </w:r>
      <w:r w:rsidRPr="00D4309F">
        <w:t>effects,</w:t>
      </w:r>
      <w:r w:rsidRPr="00D4309F">
        <w:rPr>
          <w:spacing w:val="-4"/>
        </w:rPr>
        <w:t xml:space="preserve"> </w:t>
      </w:r>
      <w:r w:rsidRPr="00D4309F">
        <w:t>impacts</w:t>
      </w:r>
      <w:r w:rsidRPr="00D4309F">
        <w:rPr>
          <w:spacing w:val="-3"/>
        </w:rPr>
        <w:t xml:space="preserve"> </w:t>
      </w:r>
      <w:r w:rsidRPr="00D4309F">
        <w:t>to</w:t>
      </w:r>
      <w:r w:rsidRPr="00D4309F">
        <w:rPr>
          <w:spacing w:val="-4"/>
        </w:rPr>
        <w:t xml:space="preserve"> </w:t>
      </w:r>
      <w:r w:rsidRPr="00D4309F">
        <w:t>marine fauna and shoreline response.</w:t>
      </w:r>
    </w:p>
    <w:p w14:paraId="6B4A2591" w14:textId="77777777" w:rsidR="00725977" w:rsidRPr="00D4309F" w:rsidRDefault="00725977" w:rsidP="00035CBD">
      <w:pPr>
        <w:pStyle w:val="ListBullet"/>
      </w:pPr>
      <w:r w:rsidRPr="00D4309F">
        <w:t>Operational</w:t>
      </w:r>
      <w:r w:rsidRPr="00D4309F">
        <w:rPr>
          <w:spacing w:val="-7"/>
        </w:rPr>
        <w:t xml:space="preserve"> </w:t>
      </w:r>
      <w:r w:rsidRPr="00D4309F">
        <w:t>safety</w:t>
      </w:r>
      <w:r w:rsidRPr="00D4309F">
        <w:rPr>
          <w:spacing w:val="-2"/>
        </w:rPr>
        <w:t xml:space="preserve"> </w:t>
      </w:r>
      <w:r w:rsidRPr="00D4309F">
        <w:t>assessment</w:t>
      </w:r>
      <w:r w:rsidRPr="00D4309F">
        <w:rPr>
          <w:spacing w:val="-3"/>
        </w:rPr>
        <w:t xml:space="preserve"> </w:t>
      </w:r>
      <w:r w:rsidRPr="00D4309F">
        <w:t>for</w:t>
      </w:r>
      <w:r w:rsidRPr="00D4309F">
        <w:rPr>
          <w:spacing w:val="-2"/>
        </w:rPr>
        <w:t xml:space="preserve"> </w:t>
      </w:r>
      <w:r w:rsidRPr="00D4309F">
        <w:t>dredging</w:t>
      </w:r>
      <w:r w:rsidRPr="00D4309F">
        <w:rPr>
          <w:spacing w:val="-4"/>
        </w:rPr>
        <w:t xml:space="preserve"> </w:t>
      </w:r>
      <w:r w:rsidRPr="00D4309F">
        <w:t>near</w:t>
      </w:r>
      <w:r w:rsidRPr="00D4309F">
        <w:rPr>
          <w:spacing w:val="-2"/>
        </w:rPr>
        <w:t xml:space="preserve"> </w:t>
      </w:r>
      <w:r w:rsidRPr="00D4309F">
        <w:t>the</w:t>
      </w:r>
      <w:r w:rsidRPr="00D4309F">
        <w:rPr>
          <w:spacing w:val="-5"/>
        </w:rPr>
        <w:t xml:space="preserve"> </w:t>
      </w:r>
      <w:r w:rsidRPr="00D4309F">
        <w:t>-8</w:t>
      </w:r>
      <w:r w:rsidRPr="00D4309F">
        <w:rPr>
          <w:spacing w:val="-3"/>
        </w:rPr>
        <w:t xml:space="preserve"> </w:t>
      </w:r>
      <w:r w:rsidRPr="00D4309F">
        <w:t>m</w:t>
      </w:r>
      <w:r w:rsidRPr="00D4309F">
        <w:rPr>
          <w:spacing w:val="-3"/>
        </w:rPr>
        <w:t xml:space="preserve"> </w:t>
      </w:r>
      <w:r w:rsidRPr="00D4309F">
        <w:rPr>
          <w:spacing w:val="-2"/>
        </w:rPr>
        <w:t>contour.</w:t>
      </w:r>
    </w:p>
    <w:p w14:paraId="16902F1A" w14:textId="77777777" w:rsidR="00725977" w:rsidRPr="00D4309F" w:rsidRDefault="00725977" w:rsidP="00035CBD">
      <w:pPr>
        <w:pStyle w:val="ListBullet"/>
      </w:pPr>
      <w:r w:rsidRPr="00D4309F">
        <w:t>Pilot</w:t>
      </w:r>
      <w:r w:rsidRPr="00D4309F">
        <w:rPr>
          <w:spacing w:val="-7"/>
        </w:rPr>
        <w:t xml:space="preserve"> </w:t>
      </w:r>
      <w:r w:rsidRPr="00D4309F">
        <w:t>dredging</w:t>
      </w:r>
      <w:r w:rsidRPr="00D4309F">
        <w:rPr>
          <w:spacing w:val="-5"/>
        </w:rPr>
        <w:t xml:space="preserve"> </w:t>
      </w:r>
      <w:r w:rsidRPr="00D4309F">
        <w:t>program</w:t>
      </w:r>
      <w:r w:rsidRPr="00D4309F">
        <w:rPr>
          <w:spacing w:val="-4"/>
        </w:rPr>
        <w:t xml:space="preserve"> </w:t>
      </w:r>
      <w:r w:rsidRPr="00D4309F">
        <w:t>with</w:t>
      </w:r>
      <w:r w:rsidRPr="00D4309F">
        <w:rPr>
          <w:spacing w:val="-5"/>
        </w:rPr>
        <w:t xml:space="preserve"> </w:t>
      </w:r>
      <w:r w:rsidRPr="00D4309F">
        <w:t>targeted</w:t>
      </w:r>
      <w:r w:rsidRPr="00D4309F">
        <w:rPr>
          <w:spacing w:val="-5"/>
        </w:rPr>
        <w:t xml:space="preserve"> </w:t>
      </w:r>
      <w:r w:rsidRPr="00D4309F">
        <w:t>monitoring</w:t>
      </w:r>
      <w:r w:rsidRPr="00D4309F">
        <w:rPr>
          <w:spacing w:val="-4"/>
        </w:rPr>
        <w:t xml:space="preserve"> </w:t>
      </w:r>
      <w:r w:rsidRPr="00D4309F">
        <w:t>to</w:t>
      </w:r>
      <w:r w:rsidRPr="00D4309F">
        <w:rPr>
          <w:spacing w:val="-4"/>
        </w:rPr>
        <w:t xml:space="preserve"> </w:t>
      </w:r>
      <w:r w:rsidRPr="00D4309F">
        <w:t>evaluate</w:t>
      </w:r>
      <w:r w:rsidRPr="00D4309F">
        <w:rPr>
          <w:spacing w:val="-4"/>
        </w:rPr>
        <w:t xml:space="preserve"> </w:t>
      </w:r>
      <w:r w:rsidRPr="00D4309F">
        <w:t>trap</w:t>
      </w:r>
      <w:r w:rsidRPr="00D4309F">
        <w:rPr>
          <w:spacing w:val="-4"/>
        </w:rPr>
        <w:t xml:space="preserve"> </w:t>
      </w:r>
      <w:r w:rsidRPr="00D4309F">
        <w:t>infilling</w:t>
      </w:r>
      <w:r w:rsidRPr="00D4309F">
        <w:rPr>
          <w:spacing w:val="-5"/>
        </w:rPr>
        <w:t xml:space="preserve"> </w:t>
      </w:r>
      <w:r w:rsidRPr="00D4309F">
        <w:t>rates</w:t>
      </w:r>
      <w:r w:rsidRPr="00D4309F">
        <w:rPr>
          <w:spacing w:val="-3"/>
        </w:rPr>
        <w:t xml:space="preserve"> </w:t>
      </w:r>
      <w:r w:rsidRPr="00D4309F">
        <w:t>and</w:t>
      </w:r>
      <w:r w:rsidRPr="00D4309F">
        <w:rPr>
          <w:spacing w:val="-4"/>
        </w:rPr>
        <w:t xml:space="preserve"> </w:t>
      </w:r>
      <w:r w:rsidRPr="00D4309F">
        <w:t>post-dredge</w:t>
      </w:r>
      <w:r w:rsidRPr="00D4309F">
        <w:rPr>
          <w:spacing w:val="-4"/>
        </w:rPr>
        <w:t xml:space="preserve"> </w:t>
      </w:r>
      <w:r w:rsidRPr="00D4309F">
        <w:rPr>
          <w:spacing w:val="-2"/>
        </w:rPr>
        <w:t>recovery.</w:t>
      </w:r>
    </w:p>
    <w:p w14:paraId="346BC300" w14:textId="77777777" w:rsidR="00725977" w:rsidRPr="00D4309F" w:rsidRDefault="00725977" w:rsidP="00035CBD">
      <w:pPr>
        <w:pStyle w:val="ListBullet"/>
      </w:pPr>
      <w:r w:rsidRPr="00D4309F">
        <w:t>Review</w:t>
      </w:r>
      <w:r w:rsidRPr="00D4309F">
        <w:rPr>
          <w:spacing w:val="-7"/>
        </w:rPr>
        <w:t xml:space="preserve"> </w:t>
      </w:r>
      <w:r w:rsidRPr="00D4309F">
        <w:t>of</w:t>
      </w:r>
      <w:r w:rsidRPr="00D4309F">
        <w:rPr>
          <w:spacing w:val="-5"/>
        </w:rPr>
        <w:t xml:space="preserve"> </w:t>
      </w:r>
      <w:r w:rsidRPr="00D4309F">
        <w:t>engineering</w:t>
      </w:r>
      <w:r w:rsidRPr="00D4309F">
        <w:rPr>
          <w:spacing w:val="-5"/>
        </w:rPr>
        <w:t xml:space="preserve"> </w:t>
      </w:r>
      <w:r w:rsidRPr="00D4309F">
        <w:t>design</w:t>
      </w:r>
      <w:r w:rsidRPr="00D4309F">
        <w:rPr>
          <w:spacing w:val="-5"/>
        </w:rPr>
        <w:t xml:space="preserve"> </w:t>
      </w:r>
      <w:r w:rsidRPr="00D4309F">
        <w:t>parameters</w:t>
      </w:r>
      <w:r w:rsidRPr="00D4309F">
        <w:rPr>
          <w:spacing w:val="-4"/>
        </w:rPr>
        <w:t xml:space="preserve"> </w:t>
      </w:r>
      <w:r w:rsidRPr="00D4309F">
        <w:t>(trap</w:t>
      </w:r>
      <w:r w:rsidRPr="00D4309F">
        <w:rPr>
          <w:spacing w:val="-5"/>
        </w:rPr>
        <w:t xml:space="preserve"> </w:t>
      </w:r>
      <w:r w:rsidRPr="00D4309F">
        <w:t>dimensions,</w:t>
      </w:r>
      <w:r w:rsidRPr="00D4309F">
        <w:rPr>
          <w:spacing w:val="-5"/>
        </w:rPr>
        <w:t xml:space="preserve"> </w:t>
      </w:r>
      <w:r w:rsidRPr="00D4309F">
        <w:t>slope</w:t>
      </w:r>
      <w:r w:rsidRPr="00D4309F">
        <w:rPr>
          <w:spacing w:val="-6"/>
        </w:rPr>
        <w:t xml:space="preserve"> </w:t>
      </w:r>
      <w:r w:rsidRPr="00D4309F">
        <w:t>stability,</w:t>
      </w:r>
      <w:r w:rsidRPr="00D4309F">
        <w:rPr>
          <w:spacing w:val="-5"/>
        </w:rPr>
        <w:t xml:space="preserve"> </w:t>
      </w:r>
      <w:r w:rsidRPr="00D4309F">
        <w:t>and</w:t>
      </w:r>
      <w:r w:rsidRPr="00D4309F">
        <w:rPr>
          <w:spacing w:val="-5"/>
        </w:rPr>
        <w:t xml:space="preserve"> </w:t>
      </w:r>
      <w:r w:rsidRPr="00D4309F">
        <w:t>maintenance</w:t>
      </w:r>
      <w:r w:rsidRPr="00D4309F">
        <w:rPr>
          <w:spacing w:val="-5"/>
        </w:rPr>
        <w:t xml:space="preserve"> </w:t>
      </w:r>
      <w:r w:rsidRPr="00D4309F">
        <w:rPr>
          <w:spacing w:val="-2"/>
        </w:rPr>
        <w:t>frequency).</w:t>
      </w:r>
    </w:p>
    <w:p w14:paraId="0A172B80" w14:textId="6A2884BB" w:rsidR="00725977" w:rsidRPr="00D4309F" w:rsidRDefault="00725977" w:rsidP="00725977">
      <w:pPr>
        <w:pStyle w:val="BodyText"/>
      </w:pPr>
      <w:r w:rsidRPr="00D4309F">
        <w:t>The</w:t>
      </w:r>
      <w:r w:rsidRPr="00D4309F">
        <w:rPr>
          <w:spacing w:val="-3"/>
        </w:rPr>
        <w:t xml:space="preserve"> </w:t>
      </w:r>
      <w:r w:rsidRPr="00D4309F">
        <w:t>concept</w:t>
      </w:r>
      <w:r w:rsidRPr="00D4309F">
        <w:rPr>
          <w:spacing w:val="-3"/>
        </w:rPr>
        <w:t xml:space="preserve"> </w:t>
      </w:r>
      <w:r w:rsidRPr="00D4309F">
        <w:t>has</w:t>
      </w:r>
      <w:r w:rsidRPr="00D4309F">
        <w:rPr>
          <w:spacing w:val="-2"/>
        </w:rPr>
        <w:t xml:space="preserve"> </w:t>
      </w:r>
      <w:r w:rsidRPr="00D4309F">
        <w:t>progressed</w:t>
      </w:r>
      <w:r w:rsidRPr="00D4309F">
        <w:rPr>
          <w:spacing w:val="-3"/>
        </w:rPr>
        <w:t xml:space="preserve"> </w:t>
      </w:r>
      <w:r w:rsidRPr="00D4309F">
        <w:t>to</w:t>
      </w:r>
      <w:r w:rsidRPr="00D4309F">
        <w:rPr>
          <w:spacing w:val="-3"/>
        </w:rPr>
        <w:t xml:space="preserve"> </w:t>
      </w:r>
      <w:r w:rsidRPr="00D4309F">
        <w:t>schematic</w:t>
      </w:r>
      <w:r w:rsidRPr="00D4309F">
        <w:rPr>
          <w:spacing w:val="-2"/>
        </w:rPr>
        <w:t xml:space="preserve"> </w:t>
      </w:r>
      <w:r w:rsidRPr="00D4309F">
        <w:t>design,</w:t>
      </w:r>
      <w:r w:rsidRPr="00D4309F">
        <w:rPr>
          <w:spacing w:val="-3"/>
        </w:rPr>
        <w:t xml:space="preserve"> </w:t>
      </w:r>
      <w:r w:rsidRPr="00D4309F">
        <w:t>supported</w:t>
      </w:r>
      <w:r w:rsidRPr="00D4309F">
        <w:rPr>
          <w:spacing w:val="-3"/>
        </w:rPr>
        <w:t xml:space="preserve"> </w:t>
      </w:r>
      <w:r w:rsidRPr="00D4309F">
        <w:t>by</w:t>
      </w:r>
      <w:r w:rsidRPr="00D4309F">
        <w:rPr>
          <w:spacing w:val="-3"/>
        </w:rPr>
        <w:t xml:space="preserve"> </w:t>
      </w:r>
      <w:r w:rsidRPr="00D4309F">
        <w:t>recent</w:t>
      </w:r>
      <w:r w:rsidRPr="00D4309F">
        <w:rPr>
          <w:spacing w:val="-3"/>
        </w:rPr>
        <w:t xml:space="preserve"> </w:t>
      </w:r>
      <w:r w:rsidRPr="00D4309F">
        <w:t>technical</w:t>
      </w:r>
      <w:r w:rsidRPr="00D4309F">
        <w:rPr>
          <w:spacing w:val="-4"/>
        </w:rPr>
        <w:t xml:space="preserve"> </w:t>
      </w:r>
      <w:r w:rsidRPr="00D4309F">
        <w:t>studies</w:t>
      </w:r>
      <w:r w:rsidRPr="00D4309F">
        <w:rPr>
          <w:spacing w:val="-2"/>
        </w:rPr>
        <w:t xml:space="preserve"> </w:t>
      </w:r>
      <w:r w:rsidRPr="00D4309F">
        <w:t>confirming</w:t>
      </w:r>
      <w:r w:rsidRPr="00D4309F">
        <w:rPr>
          <w:spacing w:val="-3"/>
        </w:rPr>
        <w:t xml:space="preserve"> </w:t>
      </w:r>
      <w:r w:rsidRPr="00D4309F">
        <w:t>feasibility and outlining key design parameters. While further modelling, environmental assessment, and validation are needed, the current definition provides a reasonable foundation for approvals.</w:t>
      </w:r>
    </w:p>
    <w:p w14:paraId="35EC75AA" w14:textId="77777777" w:rsidR="00725977" w:rsidRPr="00D4309F" w:rsidRDefault="00725977" w:rsidP="00EE2982">
      <w:pPr>
        <w:pStyle w:val="Heading3"/>
      </w:pPr>
      <w:bookmarkStart w:id="235" w:name="_Toc216699374"/>
      <w:r w:rsidRPr="00D4309F">
        <w:lastRenderedPageBreak/>
        <w:t>Capital</w:t>
      </w:r>
      <w:r w:rsidRPr="00D4309F">
        <w:rPr>
          <w:spacing w:val="-4"/>
        </w:rPr>
        <w:t xml:space="preserve"> </w:t>
      </w:r>
      <w:r w:rsidRPr="00D4309F">
        <w:rPr>
          <w:spacing w:val="-2"/>
        </w:rPr>
        <w:t>works</w:t>
      </w:r>
      <w:bookmarkEnd w:id="235"/>
    </w:p>
    <w:p w14:paraId="4E12E8E3" w14:textId="38C94BAF" w:rsidR="00725977" w:rsidRDefault="00725977" w:rsidP="00725977">
      <w:pPr>
        <w:pStyle w:val="BodyText"/>
      </w:pPr>
      <w:r w:rsidRPr="00D4309F">
        <w:t>Implementation</w:t>
      </w:r>
      <w:r w:rsidRPr="00D4309F">
        <w:rPr>
          <w:spacing w:val="-4"/>
        </w:rPr>
        <w:t xml:space="preserve"> </w:t>
      </w:r>
      <w:r w:rsidRPr="00D4309F">
        <w:t>of</w:t>
      </w:r>
      <w:r w:rsidRPr="00D4309F">
        <w:rPr>
          <w:spacing w:val="-3"/>
        </w:rPr>
        <w:t xml:space="preserve"> </w:t>
      </w:r>
      <w:r w:rsidRPr="00D4309F">
        <w:t>Option</w:t>
      </w:r>
      <w:r w:rsidRPr="00D4309F">
        <w:rPr>
          <w:spacing w:val="-4"/>
        </w:rPr>
        <w:t xml:space="preserve"> </w:t>
      </w:r>
      <w:r w:rsidRPr="00D4309F">
        <w:t>1A</w:t>
      </w:r>
      <w:r w:rsidRPr="00D4309F">
        <w:rPr>
          <w:spacing w:val="-3"/>
        </w:rPr>
        <w:t xml:space="preserve"> </w:t>
      </w:r>
      <w:r w:rsidRPr="00D4309F">
        <w:t>would</w:t>
      </w:r>
      <w:r w:rsidRPr="00D4309F">
        <w:rPr>
          <w:spacing w:val="-3"/>
        </w:rPr>
        <w:t xml:space="preserve"> </w:t>
      </w:r>
      <w:r w:rsidRPr="00D4309F">
        <w:rPr>
          <w:spacing w:val="-2"/>
        </w:rPr>
        <w:t>involve:</w:t>
      </w:r>
    </w:p>
    <w:p w14:paraId="467D2B53" w14:textId="77777777" w:rsidR="000D5B19" w:rsidRPr="00D4309F" w:rsidRDefault="000D5B19" w:rsidP="000D5B19">
      <w:pPr>
        <w:pStyle w:val="ListBullet"/>
      </w:pPr>
      <w:r w:rsidRPr="00D4309F">
        <w:t>Excavation</w:t>
      </w:r>
      <w:r w:rsidRPr="00D4309F">
        <w:rPr>
          <w:spacing w:val="-5"/>
        </w:rPr>
        <w:t xml:space="preserve"> </w:t>
      </w:r>
      <w:r w:rsidRPr="00D4309F">
        <w:t>of</w:t>
      </w:r>
      <w:r w:rsidRPr="00D4309F">
        <w:rPr>
          <w:spacing w:val="-3"/>
        </w:rPr>
        <w:t xml:space="preserve"> </w:t>
      </w:r>
      <w:r w:rsidRPr="00D4309F">
        <w:t>a</w:t>
      </w:r>
      <w:r w:rsidRPr="00D4309F">
        <w:rPr>
          <w:spacing w:val="-3"/>
        </w:rPr>
        <w:t xml:space="preserve"> </w:t>
      </w:r>
      <w:r w:rsidRPr="00D4309F">
        <w:t>defined</w:t>
      </w:r>
      <w:r w:rsidRPr="00D4309F">
        <w:rPr>
          <w:spacing w:val="-3"/>
        </w:rPr>
        <w:t xml:space="preserve"> </w:t>
      </w:r>
      <w:r w:rsidRPr="00D4309F">
        <w:t>sand</w:t>
      </w:r>
      <w:r w:rsidRPr="00D4309F">
        <w:rPr>
          <w:spacing w:val="-3"/>
        </w:rPr>
        <w:t xml:space="preserve"> </w:t>
      </w:r>
      <w:r w:rsidRPr="00D4309F">
        <w:t>trap</w:t>
      </w:r>
      <w:r w:rsidRPr="00D4309F">
        <w:rPr>
          <w:spacing w:val="-3"/>
        </w:rPr>
        <w:t xml:space="preserve"> </w:t>
      </w:r>
      <w:r w:rsidRPr="00D4309F">
        <w:t>area</w:t>
      </w:r>
      <w:r w:rsidRPr="00D4309F">
        <w:rPr>
          <w:spacing w:val="-3"/>
        </w:rPr>
        <w:t xml:space="preserve"> </w:t>
      </w:r>
      <w:r w:rsidRPr="00D4309F">
        <w:t>(approximately</w:t>
      </w:r>
      <w:r w:rsidRPr="00D4309F">
        <w:rPr>
          <w:spacing w:val="-3"/>
        </w:rPr>
        <w:t xml:space="preserve"> </w:t>
      </w:r>
      <w:r w:rsidRPr="00D4309F">
        <w:t>100</w:t>
      </w:r>
      <w:r w:rsidRPr="00D4309F">
        <w:rPr>
          <w:spacing w:val="-3"/>
        </w:rPr>
        <w:t xml:space="preserve"> </w:t>
      </w:r>
      <w:r w:rsidRPr="00D4309F">
        <w:t>m</w:t>
      </w:r>
      <w:r w:rsidRPr="00D4309F">
        <w:rPr>
          <w:spacing w:val="-3"/>
        </w:rPr>
        <w:t xml:space="preserve"> </w:t>
      </w:r>
      <w:r w:rsidRPr="00D4309F">
        <w:t>x</w:t>
      </w:r>
      <w:r w:rsidRPr="00D4309F">
        <w:rPr>
          <w:spacing w:val="-3"/>
        </w:rPr>
        <w:t xml:space="preserve"> </w:t>
      </w:r>
      <w:r w:rsidRPr="00D4309F">
        <w:t>280</w:t>
      </w:r>
      <w:r w:rsidRPr="00D4309F">
        <w:rPr>
          <w:spacing w:val="-3"/>
        </w:rPr>
        <w:t xml:space="preserve"> </w:t>
      </w:r>
      <w:r w:rsidRPr="00D4309F">
        <w:t>m)</w:t>
      </w:r>
      <w:r w:rsidRPr="00D4309F">
        <w:rPr>
          <w:spacing w:val="-2"/>
        </w:rPr>
        <w:t xml:space="preserve"> </w:t>
      </w:r>
      <w:r w:rsidRPr="00D4309F">
        <w:t>in</w:t>
      </w:r>
      <w:r w:rsidRPr="00D4309F">
        <w:rPr>
          <w:spacing w:val="-3"/>
        </w:rPr>
        <w:t xml:space="preserve"> </w:t>
      </w:r>
      <w:r w:rsidRPr="00D4309F">
        <w:t>the</w:t>
      </w:r>
      <w:r w:rsidRPr="00D4309F">
        <w:rPr>
          <w:spacing w:val="-3"/>
        </w:rPr>
        <w:t xml:space="preserve"> </w:t>
      </w:r>
      <w:r w:rsidRPr="00D4309F">
        <w:t>nearshore</w:t>
      </w:r>
      <w:r w:rsidRPr="00D4309F">
        <w:rPr>
          <w:spacing w:val="-3"/>
        </w:rPr>
        <w:t xml:space="preserve"> </w:t>
      </w:r>
      <w:r w:rsidRPr="00D4309F">
        <w:t>zone</w:t>
      </w:r>
      <w:r w:rsidRPr="00D4309F">
        <w:rPr>
          <w:spacing w:val="-3"/>
        </w:rPr>
        <w:t xml:space="preserve"> </w:t>
      </w:r>
      <w:r w:rsidRPr="00D4309F">
        <w:rPr>
          <w:spacing w:val="-2"/>
        </w:rPr>
        <w:t>(between</w:t>
      </w:r>
    </w:p>
    <w:p w14:paraId="4AF3E758" w14:textId="77777777" w:rsidR="000D5B19" w:rsidRPr="00D4309F" w:rsidRDefault="000D5B19" w:rsidP="000D5B19">
      <w:pPr>
        <w:pStyle w:val="BodyText"/>
      </w:pPr>
      <w:r w:rsidRPr="00D4309F">
        <w:t>-8</w:t>
      </w:r>
      <w:r w:rsidRPr="00D4309F">
        <w:rPr>
          <w:spacing w:val="-5"/>
        </w:rPr>
        <w:t xml:space="preserve"> </w:t>
      </w:r>
      <w:r w:rsidRPr="00D4309F">
        <w:t>m</w:t>
      </w:r>
      <w:r w:rsidRPr="00D4309F">
        <w:rPr>
          <w:spacing w:val="-2"/>
        </w:rPr>
        <w:t xml:space="preserve"> </w:t>
      </w:r>
      <w:r w:rsidRPr="00D4309F">
        <w:t>to</w:t>
      </w:r>
      <w:r w:rsidRPr="00D4309F">
        <w:rPr>
          <w:spacing w:val="-3"/>
        </w:rPr>
        <w:t xml:space="preserve"> </w:t>
      </w:r>
      <w:r w:rsidRPr="00D4309F">
        <w:t>-12</w:t>
      </w:r>
      <w:r w:rsidRPr="00D4309F">
        <w:rPr>
          <w:spacing w:val="-2"/>
        </w:rPr>
        <w:t xml:space="preserve"> </w:t>
      </w:r>
      <w:r w:rsidRPr="00D4309F">
        <w:t>m</w:t>
      </w:r>
      <w:r w:rsidRPr="00D4309F">
        <w:rPr>
          <w:spacing w:val="-3"/>
        </w:rPr>
        <w:t xml:space="preserve"> </w:t>
      </w:r>
      <w:r w:rsidRPr="00D4309F">
        <w:t>AHD)</w:t>
      </w:r>
      <w:r w:rsidRPr="00D4309F">
        <w:rPr>
          <w:spacing w:val="-2"/>
        </w:rPr>
        <w:t xml:space="preserve"> </w:t>
      </w:r>
      <w:r w:rsidRPr="00D4309F">
        <w:t>adjacent</w:t>
      </w:r>
      <w:r w:rsidRPr="00D4309F">
        <w:rPr>
          <w:spacing w:val="-2"/>
        </w:rPr>
        <w:t xml:space="preserve"> </w:t>
      </w:r>
      <w:r w:rsidRPr="00D4309F">
        <w:t>to</w:t>
      </w:r>
      <w:r w:rsidRPr="00D4309F">
        <w:rPr>
          <w:spacing w:val="-3"/>
        </w:rPr>
        <w:t xml:space="preserve"> </w:t>
      </w:r>
      <w:r w:rsidRPr="00D4309F">
        <w:t>Northern</w:t>
      </w:r>
      <w:r w:rsidRPr="00D4309F">
        <w:rPr>
          <w:spacing w:val="-3"/>
        </w:rPr>
        <w:t xml:space="preserve"> </w:t>
      </w:r>
      <w:r w:rsidRPr="00D4309F">
        <w:t>Buddina</w:t>
      </w:r>
      <w:r w:rsidRPr="00D4309F">
        <w:rPr>
          <w:spacing w:val="-2"/>
        </w:rPr>
        <w:t xml:space="preserve"> Beach.</w:t>
      </w:r>
    </w:p>
    <w:p w14:paraId="09FEECCB" w14:textId="77777777" w:rsidR="000D5B19" w:rsidRPr="00D4309F" w:rsidRDefault="000D5B19" w:rsidP="000D5B19">
      <w:pPr>
        <w:pStyle w:val="ListBullet"/>
      </w:pPr>
      <w:r w:rsidRPr="00D4309F">
        <w:t>Initial</w:t>
      </w:r>
      <w:r w:rsidRPr="00D4309F">
        <w:rPr>
          <w:spacing w:val="-3"/>
        </w:rPr>
        <w:t xml:space="preserve"> </w:t>
      </w:r>
      <w:r w:rsidRPr="00D4309F">
        <w:t>capital</w:t>
      </w:r>
      <w:r w:rsidRPr="00D4309F">
        <w:rPr>
          <w:spacing w:val="-4"/>
        </w:rPr>
        <w:t xml:space="preserve"> </w:t>
      </w:r>
      <w:r w:rsidRPr="00D4309F">
        <w:t>dredging</w:t>
      </w:r>
      <w:r w:rsidRPr="00D4309F">
        <w:rPr>
          <w:spacing w:val="-4"/>
        </w:rPr>
        <w:t xml:space="preserve"> </w:t>
      </w:r>
      <w:r w:rsidRPr="00D4309F">
        <w:t>campaign</w:t>
      </w:r>
      <w:r w:rsidRPr="00D4309F">
        <w:rPr>
          <w:spacing w:val="-3"/>
        </w:rPr>
        <w:t xml:space="preserve"> </w:t>
      </w:r>
      <w:r w:rsidRPr="00D4309F">
        <w:t>of</w:t>
      </w:r>
      <w:r w:rsidRPr="00D4309F">
        <w:rPr>
          <w:spacing w:val="-3"/>
        </w:rPr>
        <w:t xml:space="preserve"> </w:t>
      </w:r>
      <w:r w:rsidRPr="00D4309F">
        <w:t>90,000</w:t>
      </w:r>
      <w:r w:rsidRPr="00D4309F">
        <w:rPr>
          <w:spacing w:val="-3"/>
        </w:rPr>
        <w:t xml:space="preserve"> </w:t>
      </w:r>
      <w:r w:rsidRPr="00D4309F">
        <w:t>m</w:t>
      </w:r>
      <w:r w:rsidRPr="00D4309F">
        <w:rPr>
          <w:vertAlign w:val="superscript"/>
        </w:rPr>
        <w:t>3</w:t>
      </w:r>
      <w:r w:rsidRPr="00D4309F">
        <w:rPr>
          <w:spacing w:val="-3"/>
        </w:rPr>
        <w:t xml:space="preserve"> </w:t>
      </w:r>
      <w:r w:rsidRPr="00D4309F">
        <w:t>(including</w:t>
      </w:r>
      <w:r w:rsidRPr="00D4309F">
        <w:rPr>
          <w:spacing w:val="-3"/>
        </w:rPr>
        <w:t xml:space="preserve"> </w:t>
      </w:r>
      <w:r w:rsidRPr="00D4309F">
        <w:t>over-dredge</w:t>
      </w:r>
      <w:r w:rsidRPr="00D4309F">
        <w:rPr>
          <w:spacing w:val="-3"/>
        </w:rPr>
        <w:t xml:space="preserve"> </w:t>
      </w:r>
      <w:r w:rsidRPr="00D4309F">
        <w:t>allowances)</w:t>
      </w:r>
      <w:r w:rsidRPr="00D4309F">
        <w:rPr>
          <w:spacing w:val="-3"/>
        </w:rPr>
        <w:t xml:space="preserve"> </w:t>
      </w:r>
      <w:r w:rsidRPr="00D4309F">
        <w:t>to</w:t>
      </w:r>
      <w:r w:rsidRPr="00D4309F">
        <w:rPr>
          <w:spacing w:val="-3"/>
        </w:rPr>
        <w:t xml:space="preserve"> </w:t>
      </w:r>
      <w:r w:rsidRPr="00D4309F">
        <w:t>achieve</w:t>
      </w:r>
      <w:r w:rsidRPr="00D4309F">
        <w:rPr>
          <w:spacing w:val="-4"/>
        </w:rPr>
        <w:t xml:space="preserve"> </w:t>
      </w:r>
      <w:r w:rsidRPr="00D4309F">
        <w:t>design depth and trap capacity.</w:t>
      </w:r>
    </w:p>
    <w:p w14:paraId="13CEE8B6" w14:textId="77777777" w:rsidR="000D5B19" w:rsidRPr="00D4309F" w:rsidRDefault="000D5B19" w:rsidP="000D5B19">
      <w:pPr>
        <w:pStyle w:val="ListBullet"/>
      </w:pPr>
      <w:r w:rsidRPr="00D4309F">
        <w:t>Establishment</w:t>
      </w:r>
      <w:r w:rsidRPr="00D4309F">
        <w:rPr>
          <w:spacing w:val="-3"/>
        </w:rPr>
        <w:t xml:space="preserve"> </w:t>
      </w:r>
      <w:r w:rsidRPr="00D4309F">
        <w:t>of</w:t>
      </w:r>
      <w:r w:rsidRPr="00D4309F">
        <w:rPr>
          <w:spacing w:val="-3"/>
        </w:rPr>
        <w:t xml:space="preserve"> </w:t>
      </w:r>
      <w:r w:rsidRPr="00D4309F">
        <w:t>temporary</w:t>
      </w:r>
      <w:r w:rsidRPr="00D4309F">
        <w:rPr>
          <w:spacing w:val="-2"/>
        </w:rPr>
        <w:t xml:space="preserve"> </w:t>
      </w:r>
      <w:r w:rsidRPr="00D4309F">
        <w:t>access</w:t>
      </w:r>
      <w:r w:rsidRPr="00D4309F">
        <w:rPr>
          <w:spacing w:val="-2"/>
        </w:rPr>
        <w:t xml:space="preserve"> </w:t>
      </w:r>
      <w:r w:rsidRPr="00D4309F">
        <w:t>or</w:t>
      </w:r>
      <w:r w:rsidRPr="00D4309F">
        <w:rPr>
          <w:spacing w:val="-2"/>
        </w:rPr>
        <w:t xml:space="preserve"> </w:t>
      </w:r>
      <w:r w:rsidRPr="00D4309F">
        <w:t>offshore</w:t>
      </w:r>
      <w:r w:rsidRPr="00D4309F">
        <w:rPr>
          <w:spacing w:val="-3"/>
        </w:rPr>
        <w:t xml:space="preserve"> </w:t>
      </w:r>
      <w:r w:rsidRPr="00D4309F">
        <w:t>mooring</w:t>
      </w:r>
      <w:r w:rsidRPr="00D4309F">
        <w:rPr>
          <w:spacing w:val="-3"/>
        </w:rPr>
        <w:t xml:space="preserve"> </w:t>
      </w:r>
      <w:r w:rsidRPr="00D4309F">
        <w:t>locations</w:t>
      </w:r>
      <w:r w:rsidRPr="00D4309F">
        <w:rPr>
          <w:spacing w:val="-2"/>
        </w:rPr>
        <w:t xml:space="preserve"> </w:t>
      </w:r>
      <w:r w:rsidRPr="00D4309F">
        <w:t>for</w:t>
      </w:r>
      <w:r w:rsidRPr="00D4309F">
        <w:rPr>
          <w:spacing w:val="-2"/>
        </w:rPr>
        <w:t xml:space="preserve"> </w:t>
      </w:r>
      <w:r w:rsidRPr="00D4309F">
        <w:t>dredge</w:t>
      </w:r>
      <w:r w:rsidRPr="00D4309F">
        <w:rPr>
          <w:spacing w:val="-3"/>
        </w:rPr>
        <w:t xml:space="preserve"> </w:t>
      </w:r>
      <w:r w:rsidRPr="00D4309F">
        <w:t>mobilisation</w:t>
      </w:r>
      <w:r w:rsidRPr="00D4309F">
        <w:rPr>
          <w:spacing w:val="-4"/>
        </w:rPr>
        <w:t xml:space="preserve"> </w:t>
      </w:r>
      <w:r w:rsidRPr="00D4309F">
        <w:t>and</w:t>
      </w:r>
      <w:r w:rsidRPr="00D4309F">
        <w:rPr>
          <w:spacing w:val="-4"/>
        </w:rPr>
        <w:t xml:space="preserve"> </w:t>
      </w:r>
      <w:r w:rsidRPr="00D4309F">
        <w:t>material transfer operations.</w:t>
      </w:r>
    </w:p>
    <w:p w14:paraId="03C2541B" w14:textId="77777777" w:rsidR="000D5B19" w:rsidRPr="00D4309F" w:rsidRDefault="000D5B19" w:rsidP="000D5B19">
      <w:pPr>
        <w:pStyle w:val="ListBullet"/>
      </w:pPr>
      <w:r w:rsidRPr="00D4309F">
        <w:t>No</w:t>
      </w:r>
      <w:r w:rsidRPr="00D4309F">
        <w:rPr>
          <w:spacing w:val="-7"/>
        </w:rPr>
        <w:t xml:space="preserve"> </w:t>
      </w:r>
      <w:r w:rsidRPr="00D4309F">
        <w:t>permanent</w:t>
      </w:r>
      <w:r w:rsidRPr="00D4309F">
        <w:rPr>
          <w:spacing w:val="-5"/>
        </w:rPr>
        <w:t xml:space="preserve"> </w:t>
      </w:r>
      <w:r w:rsidRPr="00D4309F">
        <w:t>onshore</w:t>
      </w:r>
      <w:r w:rsidRPr="00D4309F">
        <w:rPr>
          <w:spacing w:val="-5"/>
        </w:rPr>
        <w:t xml:space="preserve"> </w:t>
      </w:r>
      <w:r w:rsidRPr="00D4309F">
        <w:t>infrastructure</w:t>
      </w:r>
      <w:r w:rsidRPr="00D4309F">
        <w:rPr>
          <w:spacing w:val="-5"/>
        </w:rPr>
        <w:t xml:space="preserve"> </w:t>
      </w:r>
      <w:r w:rsidRPr="00D4309F">
        <w:t>is</w:t>
      </w:r>
      <w:r w:rsidRPr="00D4309F">
        <w:rPr>
          <w:spacing w:val="-4"/>
        </w:rPr>
        <w:t xml:space="preserve"> </w:t>
      </w:r>
      <w:r w:rsidRPr="00D4309F">
        <w:rPr>
          <w:spacing w:val="-2"/>
        </w:rPr>
        <w:t>anticipated.</w:t>
      </w:r>
    </w:p>
    <w:p w14:paraId="512135F2" w14:textId="77777777" w:rsidR="000D5B19" w:rsidRPr="00D4309F" w:rsidRDefault="000D5B19" w:rsidP="000D5B19">
      <w:pPr>
        <w:pStyle w:val="BodyText"/>
      </w:pPr>
      <w:r w:rsidRPr="00D4309F">
        <w:t>This</w:t>
      </w:r>
      <w:r w:rsidRPr="00D4309F">
        <w:rPr>
          <w:spacing w:val="-1"/>
        </w:rPr>
        <w:t xml:space="preserve"> </w:t>
      </w:r>
      <w:r w:rsidRPr="00D4309F">
        <w:t>option</w:t>
      </w:r>
      <w:r w:rsidRPr="00D4309F">
        <w:rPr>
          <w:spacing w:val="-2"/>
        </w:rPr>
        <w:t xml:space="preserve"> </w:t>
      </w:r>
      <w:r w:rsidRPr="00D4309F">
        <w:t>represents</w:t>
      </w:r>
      <w:r w:rsidRPr="00D4309F">
        <w:rPr>
          <w:spacing w:val="-1"/>
        </w:rPr>
        <w:t xml:space="preserve"> </w:t>
      </w:r>
      <w:r w:rsidRPr="00D4309F">
        <w:t>a</w:t>
      </w:r>
      <w:r w:rsidRPr="00D4309F">
        <w:rPr>
          <w:spacing w:val="-2"/>
        </w:rPr>
        <w:t xml:space="preserve"> </w:t>
      </w:r>
      <w:r w:rsidRPr="00D4309F">
        <w:t>substantial</w:t>
      </w:r>
      <w:r w:rsidRPr="00D4309F">
        <w:rPr>
          <w:spacing w:val="-3"/>
        </w:rPr>
        <w:t xml:space="preserve"> </w:t>
      </w:r>
      <w:r w:rsidRPr="00D4309F">
        <w:t>volume</w:t>
      </w:r>
      <w:r w:rsidRPr="00D4309F">
        <w:rPr>
          <w:spacing w:val="-2"/>
        </w:rPr>
        <w:t xml:space="preserve"> </w:t>
      </w:r>
      <w:r w:rsidRPr="00D4309F">
        <w:t>of</w:t>
      </w:r>
      <w:r w:rsidRPr="00D4309F">
        <w:rPr>
          <w:spacing w:val="-2"/>
        </w:rPr>
        <w:t xml:space="preserve"> </w:t>
      </w:r>
      <w:r w:rsidRPr="00D4309F">
        <w:t>dredging</w:t>
      </w:r>
      <w:r w:rsidRPr="00D4309F">
        <w:rPr>
          <w:spacing w:val="-2"/>
        </w:rPr>
        <w:t xml:space="preserve"> </w:t>
      </w:r>
      <w:r w:rsidRPr="00D4309F">
        <w:t>using</w:t>
      </w:r>
      <w:r w:rsidRPr="00D4309F">
        <w:rPr>
          <w:spacing w:val="-2"/>
        </w:rPr>
        <w:t xml:space="preserve"> </w:t>
      </w:r>
      <w:r w:rsidRPr="00D4309F">
        <w:t>standard</w:t>
      </w:r>
      <w:r w:rsidRPr="00D4309F">
        <w:rPr>
          <w:spacing w:val="-2"/>
        </w:rPr>
        <w:t xml:space="preserve"> </w:t>
      </w:r>
      <w:r w:rsidRPr="00D4309F">
        <w:t>dredging</w:t>
      </w:r>
      <w:r w:rsidRPr="00D4309F">
        <w:rPr>
          <w:spacing w:val="-3"/>
        </w:rPr>
        <w:t xml:space="preserve"> </w:t>
      </w:r>
      <w:r w:rsidRPr="00D4309F">
        <w:t>plant</w:t>
      </w:r>
      <w:r w:rsidRPr="00D4309F">
        <w:rPr>
          <w:spacing w:val="-2"/>
        </w:rPr>
        <w:t xml:space="preserve"> </w:t>
      </w:r>
      <w:r w:rsidRPr="00D4309F">
        <w:t>and</w:t>
      </w:r>
      <w:r w:rsidRPr="00D4309F">
        <w:rPr>
          <w:spacing w:val="-2"/>
        </w:rPr>
        <w:t xml:space="preserve"> </w:t>
      </w:r>
      <w:r w:rsidRPr="00D4309F">
        <w:t>techniques.</w:t>
      </w:r>
      <w:r w:rsidRPr="00D4309F">
        <w:rPr>
          <w:spacing w:val="-3"/>
        </w:rPr>
        <w:t xml:space="preserve"> </w:t>
      </w:r>
      <w:r w:rsidRPr="00D4309F">
        <w:t>The use of a Trailer Suction Hopper Dredge (TSHD) for both sand collection and nearshore nourishment is a well-proven and highly reliable method of sediment management along the Australian coastline. Similar operations are</w:t>
      </w:r>
      <w:r w:rsidRPr="00D4309F">
        <w:rPr>
          <w:spacing w:val="-1"/>
        </w:rPr>
        <w:t xml:space="preserve"> </w:t>
      </w:r>
      <w:r w:rsidRPr="00D4309F">
        <w:t>routinely undertaken</w:t>
      </w:r>
      <w:r w:rsidRPr="00D4309F">
        <w:rPr>
          <w:spacing w:val="-1"/>
        </w:rPr>
        <w:t xml:space="preserve"> </w:t>
      </w:r>
      <w:r w:rsidRPr="00D4309F">
        <w:t>at</w:t>
      </w:r>
      <w:r w:rsidRPr="00D4309F">
        <w:rPr>
          <w:spacing w:val="-1"/>
        </w:rPr>
        <w:t xml:space="preserve"> </w:t>
      </w:r>
      <w:r w:rsidRPr="00D4309F">
        <w:t>major ports and</w:t>
      </w:r>
      <w:r w:rsidRPr="00D4309F">
        <w:rPr>
          <w:spacing w:val="-2"/>
        </w:rPr>
        <w:t xml:space="preserve"> </w:t>
      </w:r>
      <w:r w:rsidRPr="00D4309F">
        <w:t>coastal</w:t>
      </w:r>
      <w:r w:rsidRPr="00D4309F">
        <w:rPr>
          <w:spacing w:val="-1"/>
        </w:rPr>
        <w:t xml:space="preserve"> </w:t>
      </w:r>
      <w:r w:rsidRPr="00D4309F">
        <w:t>locations</w:t>
      </w:r>
      <w:r w:rsidRPr="00D4309F">
        <w:rPr>
          <w:spacing w:val="-1"/>
        </w:rPr>
        <w:t xml:space="preserve"> </w:t>
      </w:r>
      <w:r w:rsidRPr="00D4309F">
        <w:t>such</w:t>
      </w:r>
      <w:r w:rsidRPr="00D4309F">
        <w:rPr>
          <w:spacing w:val="-1"/>
        </w:rPr>
        <w:t xml:space="preserve"> </w:t>
      </w:r>
      <w:r w:rsidRPr="00D4309F">
        <w:t>as Moreton</w:t>
      </w:r>
      <w:r w:rsidRPr="00D4309F">
        <w:rPr>
          <w:spacing w:val="-1"/>
        </w:rPr>
        <w:t xml:space="preserve"> </w:t>
      </w:r>
      <w:r w:rsidRPr="00D4309F">
        <w:t>Bay,</w:t>
      </w:r>
      <w:r w:rsidRPr="00D4309F">
        <w:rPr>
          <w:spacing w:val="-3"/>
        </w:rPr>
        <w:t xml:space="preserve"> </w:t>
      </w:r>
      <w:r w:rsidRPr="00D4309F">
        <w:t>Gold</w:t>
      </w:r>
      <w:r w:rsidRPr="00D4309F">
        <w:rPr>
          <w:spacing w:val="-1"/>
        </w:rPr>
        <w:t xml:space="preserve"> </w:t>
      </w:r>
      <w:r w:rsidRPr="00D4309F">
        <w:t>Coast, Tweed</w:t>
      </w:r>
      <w:r w:rsidRPr="00D4309F">
        <w:rPr>
          <w:spacing w:val="-3"/>
        </w:rPr>
        <w:t xml:space="preserve"> </w:t>
      </w:r>
      <w:r w:rsidRPr="00D4309F">
        <w:t>River,</w:t>
      </w:r>
      <w:r w:rsidRPr="00D4309F">
        <w:rPr>
          <w:spacing w:val="-3"/>
        </w:rPr>
        <w:t xml:space="preserve"> </w:t>
      </w:r>
      <w:r w:rsidRPr="00D4309F">
        <w:t>and</w:t>
      </w:r>
      <w:r w:rsidRPr="00D4309F">
        <w:rPr>
          <w:spacing w:val="-3"/>
        </w:rPr>
        <w:t xml:space="preserve"> </w:t>
      </w:r>
      <w:r w:rsidRPr="00D4309F">
        <w:t>Newcastle,</w:t>
      </w:r>
      <w:r w:rsidRPr="00D4309F">
        <w:rPr>
          <w:spacing w:val="-3"/>
        </w:rPr>
        <w:t xml:space="preserve"> </w:t>
      </w:r>
      <w:r w:rsidRPr="00D4309F">
        <w:t>where</w:t>
      </w:r>
      <w:r w:rsidRPr="00D4309F">
        <w:rPr>
          <w:spacing w:val="-3"/>
        </w:rPr>
        <w:t xml:space="preserve"> </w:t>
      </w:r>
      <w:r w:rsidRPr="00D4309F">
        <w:t>TSHDs</w:t>
      </w:r>
      <w:r w:rsidRPr="00D4309F">
        <w:rPr>
          <w:spacing w:val="-2"/>
        </w:rPr>
        <w:t xml:space="preserve"> </w:t>
      </w:r>
      <w:r w:rsidRPr="00D4309F">
        <w:t>are</w:t>
      </w:r>
      <w:r w:rsidRPr="00D4309F">
        <w:rPr>
          <w:spacing w:val="-3"/>
        </w:rPr>
        <w:t xml:space="preserve"> </w:t>
      </w:r>
      <w:r w:rsidRPr="00D4309F">
        <w:t>used</w:t>
      </w:r>
      <w:r w:rsidRPr="00D4309F">
        <w:rPr>
          <w:spacing w:val="-4"/>
        </w:rPr>
        <w:t xml:space="preserve"> </w:t>
      </w:r>
      <w:r w:rsidRPr="00D4309F">
        <w:t>to</w:t>
      </w:r>
      <w:r w:rsidRPr="00D4309F">
        <w:rPr>
          <w:spacing w:val="-3"/>
        </w:rPr>
        <w:t xml:space="preserve"> </w:t>
      </w:r>
      <w:r w:rsidRPr="00D4309F">
        <w:t>relocate</w:t>
      </w:r>
      <w:r w:rsidRPr="00D4309F">
        <w:rPr>
          <w:spacing w:val="-4"/>
        </w:rPr>
        <w:t xml:space="preserve"> </w:t>
      </w:r>
      <w:r w:rsidRPr="00D4309F">
        <w:t>sand</w:t>
      </w:r>
      <w:r w:rsidRPr="00D4309F">
        <w:rPr>
          <w:spacing w:val="-3"/>
        </w:rPr>
        <w:t xml:space="preserve"> </w:t>
      </w:r>
      <w:r w:rsidRPr="00D4309F">
        <w:t>for</w:t>
      </w:r>
      <w:r w:rsidRPr="00D4309F">
        <w:rPr>
          <w:spacing w:val="-2"/>
        </w:rPr>
        <w:t xml:space="preserve"> </w:t>
      </w:r>
      <w:r w:rsidRPr="00D4309F">
        <w:t>beach</w:t>
      </w:r>
      <w:r w:rsidRPr="00D4309F">
        <w:rPr>
          <w:spacing w:val="-4"/>
        </w:rPr>
        <w:t xml:space="preserve"> </w:t>
      </w:r>
      <w:r w:rsidRPr="00D4309F">
        <w:t>nourishment</w:t>
      </w:r>
      <w:r w:rsidRPr="00D4309F">
        <w:rPr>
          <w:spacing w:val="-3"/>
        </w:rPr>
        <w:t xml:space="preserve"> </w:t>
      </w:r>
      <w:r w:rsidRPr="00D4309F">
        <w:t>and</w:t>
      </w:r>
      <w:r w:rsidRPr="00D4309F">
        <w:rPr>
          <w:spacing w:val="-3"/>
        </w:rPr>
        <w:t xml:space="preserve"> </w:t>
      </w:r>
      <w:r w:rsidRPr="00D4309F">
        <w:t xml:space="preserve">entrance </w:t>
      </w:r>
      <w:r w:rsidRPr="00D4309F">
        <w:rPr>
          <w:spacing w:val="-2"/>
        </w:rPr>
        <w:t>maintenance.</w:t>
      </w:r>
    </w:p>
    <w:p w14:paraId="65BA3229" w14:textId="7AEC092B" w:rsidR="002F0FDA" w:rsidRDefault="000D5B19" w:rsidP="00725977">
      <w:pPr>
        <w:pStyle w:val="BodyText"/>
      </w:pPr>
      <w:r w:rsidRPr="00D4309F">
        <w:t>With</w:t>
      </w:r>
      <w:r w:rsidRPr="00D4309F">
        <w:rPr>
          <w:spacing w:val="-3"/>
        </w:rPr>
        <w:t xml:space="preserve"> </w:t>
      </w:r>
      <w:r w:rsidRPr="00D4309F">
        <w:t>minimal</w:t>
      </w:r>
      <w:r w:rsidRPr="00D4309F">
        <w:rPr>
          <w:spacing w:val="-4"/>
        </w:rPr>
        <w:t xml:space="preserve"> </w:t>
      </w:r>
      <w:r w:rsidRPr="00D4309F">
        <w:t>onshore</w:t>
      </w:r>
      <w:r w:rsidRPr="00D4309F">
        <w:rPr>
          <w:spacing w:val="-3"/>
        </w:rPr>
        <w:t xml:space="preserve"> </w:t>
      </w:r>
      <w:r w:rsidRPr="00D4309F">
        <w:t>impacts</w:t>
      </w:r>
      <w:r w:rsidRPr="00D4309F">
        <w:rPr>
          <w:spacing w:val="-2"/>
        </w:rPr>
        <w:t xml:space="preserve"> </w:t>
      </w:r>
      <w:r w:rsidRPr="00D4309F">
        <w:t>and</w:t>
      </w:r>
      <w:r w:rsidRPr="00D4309F">
        <w:rPr>
          <w:spacing w:val="-3"/>
        </w:rPr>
        <w:t xml:space="preserve"> </w:t>
      </w:r>
      <w:r w:rsidRPr="00D4309F">
        <w:t>no</w:t>
      </w:r>
      <w:r w:rsidRPr="00D4309F">
        <w:rPr>
          <w:spacing w:val="-3"/>
        </w:rPr>
        <w:t xml:space="preserve"> </w:t>
      </w:r>
      <w:r w:rsidRPr="00D4309F">
        <w:t>permanent</w:t>
      </w:r>
      <w:r w:rsidRPr="00D4309F">
        <w:rPr>
          <w:spacing w:val="-3"/>
        </w:rPr>
        <w:t xml:space="preserve"> </w:t>
      </w:r>
      <w:r w:rsidRPr="00D4309F">
        <w:t>infrastructure</w:t>
      </w:r>
      <w:r w:rsidRPr="00D4309F">
        <w:rPr>
          <w:spacing w:val="-3"/>
        </w:rPr>
        <w:t xml:space="preserve"> </w:t>
      </w:r>
      <w:r w:rsidRPr="00D4309F">
        <w:t>requirements,</w:t>
      </w:r>
      <w:r w:rsidRPr="00D4309F">
        <w:rPr>
          <w:spacing w:val="-3"/>
        </w:rPr>
        <w:t xml:space="preserve"> </w:t>
      </w:r>
      <w:r w:rsidRPr="00D4309F">
        <w:t>the</w:t>
      </w:r>
      <w:r w:rsidRPr="00D4309F">
        <w:rPr>
          <w:spacing w:val="-3"/>
        </w:rPr>
        <w:t xml:space="preserve"> </w:t>
      </w:r>
      <w:r w:rsidRPr="00D4309F">
        <w:t>works</w:t>
      </w:r>
      <w:r w:rsidRPr="00D4309F">
        <w:rPr>
          <w:spacing w:val="-2"/>
        </w:rPr>
        <w:t xml:space="preserve"> </w:t>
      </w:r>
      <w:r w:rsidRPr="00D4309F">
        <w:t>are</w:t>
      </w:r>
      <w:r w:rsidRPr="00D4309F">
        <w:rPr>
          <w:spacing w:val="-3"/>
        </w:rPr>
        <w:t xml:space="preserve"> </w:t>
      </w:r>
      <w:r w:rsidRPr="00D4309F">
        <w:t>considered highly feasible with low environmental and operational risk.</w:t>
      </w:r>
    </w:p>
    <w:p w14:paraId="79CBB61A" w14:textId="77777777" w:rsidR="00A546D7" w:rsidRPr="00D4309F" w:rsidRDefault="00A546D7" w:rsidP="00EE2982">
      <w:pPr>
        <w:pStyle w:val="Heading3"/>
      </w:pPr>
      <w:bookmarkStart w:id="236" w:name="_Toc216699375"/>
      <w:r w:rsidRPr="00D4309F">
        <w:t>Operational</w:t>
      </w:r>
      <w:r w:rsidRPr="00D4309F">
        <w:rPr>
          <w:spacing w:val="-7"/>
        </w:rPr>
        <w:t xml:space="preserve"> </w:t>
      </w:r>
      <w:r w:rsidRPr="00D4309F">
        <w:rPr>
          <w:spacing w:val="-2"/>
        </w:rPr>
        <w:t>works</w:t>
      </w:r>
      <w:bookmarkEnd w:id="236"/>
    </w:p>
    <w:p w14:paraId="1715ED8C" w14:textId="77777777" w:rsidR="00A546D7" w:rsidRPr="00D4309F" w:rsidRDefault="00A546D7" w:rsidP="00A546D7">
      <w:pPr>
        <w:pStyle w:val="BodyText"/>
      </w:pPr>
      <w:r w:rsidRPr="00D4309F">
        <w:t>Ongoing</w:t>
      </w:r>
      <w:r w:rsidRPr="00D4309F">
        <w:rPr>
          <w:spacing w:val="-2"/>
        </w:rPr>
        <w:t xml:space="preserve"> </w:t>
      </w:r>
      <w:r w:rsidRPr="00D4309F">
        <w:t>operation</w:t>
      </w:r>
      <w:r w:rsidRPr="00D4309F">
        <w:rPr>
          <w:spacing w:val="-2"/>
        </w:rPr>
        <w:t xml:space="preserve"> </w:t>
      </w:r>
      <w:r w:rsidRPr="00D4309F">
        <w:t>of</w:t>
      </w:r>
      <w:r w:rsidRPr="00D4309F">
        <w:rPr>
          <w:spacing w:val="-2"/>
        </w:rPr>
        <w:t xml:space="preserve"> </w:t>
      </w:r>
      <w:r w:rsidRPr="00D4309F">
        <w:t>Option</w:t>
      </w:r>
      <w:r w:rsidRPr="00D4309F">
        <w:rPr>
          <w:spacing w:val="-2"/>
        </w:rPr>
        <w:t xml:space="preserve"> </w:t>
      </w:r>
      <w:r w:rsidRPr="00D4309F">
        <w:t>1A</w:t>
      </w:r>
      <w:r w:rsidRPr="00D4309F">
        <w:rPr>
          <w:spacing w:val="-2"/>
        </w:rPr>
        <w:t xml:space="preserve"> </w:t>
      </w:r>
      <w:r w:rsidRPr="00D4309F">
        <w:t>would</w:t>
      </w:r>
      <w:r w:rsidRPr="00D4309F">
        <w:rPr>
          <w:spacing w:val="-2"/>
        </w:rPr>
        <w:t xml:space="preserve"> </w:t>
      </w:r>
      <w:r w:rsidRPr="00D4309F">
        <w:t>involve</w:t>
      </w:r>
      <w:r w:rsidRPr="00D4309F">
        <w:rPr>
          <w:spacing w:val="-2"/>
        </w:rPr>
        <w:t xml:space="preserve"> </w:t>
      </w:r>
      <w:r w:rsidRPr="00D4309F">
        <w:t>the</w:t>
      </w:r>
      <w:r w:rsidRPr="00D4309F">
        <w:rPr>
          <w:spacing w:val="-2"/>
        </w:rPr>
        <w:t xml:space="preserve"> </w:t>
      </w:r>
      <w:r w:rsidRPr="00D4309F">
        <w:t>periodic</w:t>
      </w:r>
      <w:r w:rsidRPr="00D4309F">
        <w:rPr>
          <w:spacing w:val="-2"/>
        </w:rPr>
        <w:t xml:space="preserve"> </w:t>
      </w:r>
      <w:r w:rsidRPr="00D4309F">
        <w:t>removal</w:t>
      </w:r>
      <w:r w:rsidRPr="00D4309F">
        <w:rPr>
          <w:spacing w:val="-3"/>
        </w:rPr>
        <w:t xml:space="preserve"> </w:t>
      </w:r>
      <w:r w:rsidRPr="00D4309F">
        <w:t>of</w:t>
      </w:r>
      <w:r w:rsidRPr="00D4309F">
        <w:rPr>
          <w:spacing w:val="-2"/>
        </w:rPr>
        <w:t xml:space="preserve"> </w:t>
      </w:r>
      <w:r w:rsidRPr="00D4309F">
        <w:t>accumulated</w:t>
      </w:r>
      <w:r w:rsidRPr="00D4309F">
        <w:rPr>
          <w:spacing w:val="-2"/>
        </w:rPr>
        <w:t xml:space="preserve"> </w:t>
      </w:r>
      <w:r w:rsidRPr="00D4309F">
        <w:t>sand</w:t>
      </w:r>
      <w:r w:rsidRPr="00D4309F">
        <w:rPr>
          <w:spacing w:val="-2"/>
        </w:rPr>
        <w:t xml:space="preserve"> </w:t>
      </w:r>
      <w:r w:rsidRPr="00D4309F">
        <w:t>from</w:t>
      </w:r>
      <w:r w:rsidRPr="00D4309F">
        <w:rPr>
          <w:spacing w:val="-3"/>
        </w:rPr>
        <w:t xml:space="preserve"> </w:t>
      </w:r>
      <w:r w:rsidRPr="00D4309F">
        <w:t>the</w:t>
      </w:r>
      <w:r w:rsidRPr="00D4309F">
        <w:rPr>
          <w:spacing w:val="-2"/>
        </w:rPr>
        <w:t xml:space="preserve"> </w:t>
      </w:r>
      <w:r w:rsidRPr="00D4309F">
        <w:t>Buddina Beach sand trap using a Trailer Suction Hopper Dredge (TSHD), with subsequent placement at identified nourishment sites along the Sunshine Coast (Mooloolaba, Alexandra Headland or Maroochydore). This cyclical approach maintains the trap’s effectiveness while delivering regional coastal benefits through strategic sand recycling.</w:t>
      </w:r>
    </w:p>
    <w:p w14:paraId="3F46CF21" w14:textId="77777777" w:rsidR="00A546D7" w:rsidRPr="00D4309F" w:rsidRDefault="00A546D7" w:rsidP="00A546D7">
      <w:pPr>
        <w:pStyle w:val="ListBullet"/>
      </w:pPr>
      <w:r w:rsidRPr="00D4309F">
        <w:t>Sand</w:t>
      </w:r>
      <w:r w:rsidRPr="00D4309F">
        <w:rPr>
          <w:spacing w:val="-4"/>
        </w:rPr>
        <w:t xml:space="preserve"> </w:t>
      </w:r>
      <w:r w:rsidRPr="00D4309F">
        <w:t>collection</w:t>
      </w:r>
    </w:p>
    <w:p w14:paraId="1A84F277" w14:textId="77777777" w:rsidR="00A546D7" w:rsidRPr="00D4309F" w:rsidRDefault="00A546D7" w:rsidP="00A546D7">
      <w:pPr>
        <w:pStyle w:val="ListBullet2"/>
      </w:pPr>
      <w:r w:rsidRPr="00D4309F">
        <w:t>Sediment</w:t>
      </w:r>
      <w:r w:rsidRPr="00D4309F">
        <w:rPr>
          <w:spacing w:val="-3"/>
        </w:rPr>
        <w:t xml:space="preserve"> </w:t>
      </w:r>
      <w:r w:rsidRPr="00D4309F">
        <w:t>will</w:t>
      </w:r>
      <w:r w:rsidRPr="00D4309F">
        <w:rPr>
          <w:spacing w:val="-4"/>
        </w:rPr>
        <w:t xml:space="preserve"> </w:t>
      </w:r>
      <w:r w:rsidRPr="00D4309F">
        <w:t>accumulate</w:t>
      </w:r>
      <w:r w:rsidRPr="00D4309F">
        <w:rPr>
          <w:spacing w:val="-4"/>
        </w:rPr>
        <w:t xml:space="preserve"> </w:t>
      </w:r>
      <w:r w:rsidRPr="00D4309F">
        <w:t>naturally</w:t>
      </w:r>
      <w:r w:rsidRPr="00D4309F">
        <w:rPr>
          <w:spacing w:val="-2"/>
        </w:rPr>
        <w:t xml:space="preserve"> </w:t>
      </w:r>
      <w:r w:rsidRPr="00D4309F">
        <w:t>within</w:t>
      </w:r>
      <w:r w:rsidRPr="00D4309F">
        <w:rPr>
          <w:spacing w:val="-3"/>
        </w:rPr>
        <w:t xml:space="preserve"> </w:t>
      </w:r>
      <w:r w:rsidRPr="00D4309F">
        <w:t>the</w:t>
      </w:r>
      <w:r w:rsidRPr="00D4309F">
        <w:rPr>
          <w:spacing w:val="-3"/>
        </w:rPr>
        <w:t xml:space="preserve"> </w:t>
      </w:r>
      <w:r w:rsidRPr="00D4309F">
        <w:t>sand</w:t>
      </w:r>
      <w:r w:rsidRPr="00D4309F">
        <w:rPr>
          <w:spacing w:val="-3"/>
        </w:rPr>
        <w:t xml:space="preserve"> </w:t>
      </w:r>
      <w:r w:rsidRPr="00D4309F">
        <w:t>trap</w:t>
      </w:r>
      <w:r w:rsidRPr="00D4309F">
        <w:rPr>
          <w:spacing w:val="-3"/>
        </w:rPr>
        <w:t xml:space="preserve"> </w:t>
      </w:r>
      <w:r w:rsidRPr="00D4309F">
        <w:t>through</w:t>
      </w:r>
      <w:r w:rsidRPr="00D4309F">
        <w:rPr>
          <w:spacing w:val="-3"/>
        </w:rPr>
        <w:t xml:space="preserve"> </w:t>
      </w:r>
      <w:r w:rsidRPr="00D4309F">
        <w:t>longshore</w:t>
      </w:r>
      <w:r w:rsidRPr="00D4309F">
        <w:rPr>
          <w:spacing w:val="-3"/>
        </w:rPr>
        <w:t xml:space="preserve"> </w:t>
      </w:r>
      <w:r w:rsidRPr="00D4309F">
        <w:t>transport</w:t>
      </w:r>
      <w:r w:rsidRPr="00D4309F">
        <w:rPr>
          <w:spacing w:val="-3"/>
        </w:rPr>
        <w:t xml:space="preserve"> </w:t>
      </w:r>
      <w:r w:rsidRPr="00D4309F">
        <w:t>processes, particularly following</w:t>
      </w:r>
      <w:r w:rsidRPr="00D4309F">
        <w:rPr>
          <w:spacing w:val="-1"/>
        </w:rPr>
        <w:t xml:space="preserve"> </w:t>
      </w:r>
      <w:r w:rsidRPr="00D4309F">
        <w:t>moderate</w:t>
      </w:r>
      <w:r w:rsidRPr="00D4309F">
        <w:rPr>
          <w:spacing w:val="-1"/>
        </w:rPr>
        <w:t xml:space="preserve"> </w:t>
      </w:r>
      <w:r w:rsidRPr="00D4309F">
        <w:t>to</w:t>
      </w:r>
      <w:r w:rsidRPr="00D4309F">
        <w:rPr>
          <w:spacing w:val="-1"/>
        </w:rPr>
        <w:t xml:space="preserve"> </w:t>
      </w:r>
      <w:r w:rsidRPr="00D4309F">
        <w:t>high-energy storm</w:t>
      </w:r>
      <w:r w:rsidRPr="00D4309F">
        <w:rPr>
          <w:spacing w:val="-1"/>
        </w:rPr>
        <w:t xml:space="preserve"> </w:t>
      </w:r>
      <w:r w:rsidRPr="00D4309F">
        <w:t>events that</w:t>
      </w:r>
      <w:r w:rsidRPr="00D4309F">
        <w:rPr>
          <w:spacing w:val="-1"/>
        </w:rPr>
        <w:t xml:space="preserve"> </w:t>
      </w:r>
      <w:r w:rsidRPr="00D4309F">
        <w:t>mobilise</w:t>
      </w:r>
      <w:r w:rsidRPr="00D4309F">
        <w:rPr>
          <w:spacing w:val="-1"/>
        </w:rPr>
        <w:t xml:space="preserve"> </w:t>
      </w:r>
      <w:r w:rsidRPr="00D4309F">
        <w:t>the</w:t>
      </w:r>
      <w:r w:rsidRPr="00D4309F">
        <w:rPr>
          <w:spacing w:val="-1"/>
        </w:rPr>
        <w:t xml:space="preserve"> </w:t>
      </w:r>
      <w:r w:rsidRPr="00D4309F">
        <w:t>nearshore</w:t>
      </w:r>
      <w:r w:rsidRPr="00D4309F">
        <w:rPr>
          <w:spacing w:val="-1"/>
        </w:rPr>
        <w:t xml:space="preserve"> </w:t>
      </w:r>
      <w:r w:rsidRPr="00D4309F">
        <w:t>profile.</w:t>
      </w:r>
    </w:p>
    <w:p w14:paraId="79569206" w14:textId="77777777" w:rsidR="00A546D7" w:rsidRPr="00D4309F" w:rsidRDefault="00A546D7" w:rsidP="00A546D7">
      <w:pPr>
        <w:pStyle w:val="ListBullet2"/>
      </w:pPr>
      <w:r w:rsidRPr="00D4309F">
        <w:t>Once</w:t>
      </w:r>
      <w:r w:rsidRPr="00D4309F">
        <w:rPr>
          <w:spacing w:val="-3"/>
        </w:rPr>
        <w:t xml:space="preserve"> </w:t>
      </w:r>
      <w:r w:rsidRPr="00D4309F">
        <w:t>monitoring</w:t>
      </w:r>
      <w:r w:rsidRPr="00D4309F">
        <w:rPr>
          <w:spacing w:val="-3"/>
        </w:rPr>
        <w:t xml:space="preserve"> </w:t>
      </w:r>
      <w:r w:rsidRPr="00D4309F">
        <w:t>data</w:t>
      </w:r>
      <w:r w:rsidRPr="00D4309F">
        <w:rPr>
          <w:spacing w:val="-3"/>
        </w:rPr>
        <w:t xml:space="preserve"> </w:t>
      </w:r>
      <w:r w:rsidRPr="00D4309F">
        <w:t>indicate</w:t>
      </w:r>
      <w:r w:rsidRPr="00D4309F">
        <w:rPr>
          <w:spacing w:val="-3"/>
        </w:rPr>
        <w:t xml:space="preserve"> </w:t>
      </w:r>
      <w:r w:rsidRPr="00D4309F">
        <w:t>(sand</w:t>
      </w:r>
      <w:r w:rsidRPr="00D4309F">
        <w:rPr>
          <w:spacing w:val="-3"/>
        </w:rPr>
        <w:t xml:space="preserve"> </w:t>
      </w:r>
      <w:r w:rsidRPr="00D4309F">
        <w:t>shoal</w:t>
      </w:r>
      <w:r w:rsidRPr="00D4309F">
        <w:rPr>
          <w:spacing w:val="-3"/>
        </w:rPr>
        <w:t xml:space="preserve"> </w:t>
      </w:r>
      <w:r w:rsidRPr="00D4309F">
        <w:t>indicator</w:t>
      </w:r>
      <w:r w:rsidRPr="00D4309F">
        <w:rPr>
          <w:spacing w:val="-3"/>
        </w:rPr>
        <w:t xml:space="preserve"> </w:t>
      </w:r>
      <w:r w:rsidRPr="00D4309F">
        <w:t>and</w:t>
      </w:r>
      <w:r w:rsidRPr="00D4309F">
        <w:rPr>
          <w:spacing w:val="-3"/>
        </w:rPr>
        <w:t xml:space="preserve"> </w:t>
      </w:r>
      <w:r w:rsidRPr="00D4309F">
        <w:t>hydrographic</w:t>
      </w:r>
      <w:r w:rsidRPr="00D4309F">
        <w:rPr>
          <w:spacing w:val="-2"/>
        </w:rPr>
        <w:t xml:space="preserve"> </w:t>
      </w:r>
      <w:r w:rsidRPr="00D4309F">
        <w:t>surveys)</w:t>
      </w:r>
      <w:r w:rsidRPr="00D4309F">
        <w:rPr>
          <w:spacing w:val="-3"/>
        </w:rPr>
        <w:t xml:space="preserve"> </w:t>
      </w:r>
      <w:r w:rsidRPr="00D4309F">
        <w:t>that</w:t>
      </w:r>
      <w:r w:rsidRPr="00D4309F">
        <w:rPr>
          <w:spacing w:val="-3"/>
        </w:rPr>
        <w:t xml:space="preserve"> </w:t>
      </w:r>
      <w:r w:rsidRPr="00D4309F">
        <w:t>the</w:t>
      </w:r>
      <w:r w:rsidRPr="00D4309F">
        <w:rPr>
          <w:spacing w:val="-3"/>
        </w:rPr>
        <w:t xml:space="preserve"> </w:t>
      </w:r>
      <w:r w:rsidRPr="00D4309F">
        <w:t>trap</w:t>
      </w:r>
      <w:r w:rsidRPr="00D4309F">
        <w:rPr>
          <w:spacing w:val="-3"/>
        </w:rPr>
        <w:t xml:space="preserve"> </w:t>
      </w:r>
      <w:r w:rsidRPr="00D4309F">
        <w:t xml:space="preserve">is nearing its design capacity, a TSHD will mobilise to the site to undertake controlled dredging </w:t>
      </w:r>
      <w:r w:rsidRPr="00D4309F">
        <w:rPr>
          <w:spacing w:val="-2"/>
        </w:rPr>
        <w:t>operations.</w:t>
      </w:r>
    </w:p>
    <w:p w14:paraId="092CE55F" w14:textId="77777777" w:rsidR="00A546D7" w:rsidRPr="00D4309F" w:rsidRDefault="00A546D7" w:rsidP="00A546D7">
      <w:pPr>
        <w:pStyle w:val="ListBullet2"/>
      </w:pPr>
      <w:r w:rsidRPr="00D4309F">
        <w:t>Dredging</w:t>
      </w:r>
      <w:r w:rsidRPr="00D4309F">
        <w:rPr>
          <w:spacing w:val="-3"/>
        </w:rPr>
        <w:t xml:space="preserve"> </w:t>
      </w:r>
      <w:r w:rsidRPr="00D4309F">
        <w:t>would</w:t>
      </w:r>
      <w:r w:rsidRPr="00D4309F">
        <w:rPr>
          <w:spacing w:val="-3"/>
        </w:rPr>
        <w:t xml:space="preserve"> </w:t>
      </w:r>
      <w:r w:rsidRPr="00D4309F">
        <w:t>typically</w:t>
      </w:r>
      <w:r w:rsidRPr="00D4309F">
        <w:rPr>
          <w:spacing w:val="-3"/>
        </w:rPr>
        <w:t xml:space="preserve"> </w:t>
      </w:r>
      <w:r w:rsidRPr="00D4309F">
        <w:t>occur</w:t>
      </w:r>
      <w:r w:rsidRPr="00D4309F">
        <w:rPr>
          <w:spacing w:val="-3"/>
        </w:rPr>
        <w:t xml:space="preserve"> </w:t>
      </w:r>
      <w:r w:rsidRPr="00D4309F">
        <w:t>within</w:t>
      </w:r>
      <w:r w:rsidRPr="00D4309F">
        <w:rPr>
          <w:spacing w:val="-3"/>
        </w:rPr>
        <w:t xml:space="preserve"> </w:t>
      </w:r>
      <w:r w:rsidRPr="00D4309F">
        <w:t>the</w:t>
      </w:r>
      <w:r w:rsidRPr="00D4309F">
        <w:rPr>
          <w:spacing w:val="-3"/>
        </w:rPr>
        <w:t xml:space="preserve"> </w:t>
      </w:r>
      <w:r w:rsidRPr="00D4309F">
        <w:t>existing</w:t>
      </w:r>
      <w:r w:rsidRPr="00D4309F">
        <w:rPr>
          <w:spacing w:val="-3"/>
        </w:rPr>
        <w:t xml:space="preserve"> </w:t>
      </w:r>
      <w:r w:rsidRPr="00D4309F">
        <w:t>trap</w:t>
      </w:r>
      <w:r w:rsidRPr="00D4309F">
        <w:rPr>
          <w:spacing w:val="-3"/>
        </w:rPr>
        <w:t xml:space="preserve"> </w:t>
      </w:r>
      <w:r w:rsidRPr="00D4309F">
        <w:t>footprint,</w:t>
      </w:r>
      <w:r w:rsidRPr="00D4309F">
        <w:rPr>
          <w:spacing w:val="-3"/>
        </w:rPr>
        <w:t xml:space="preserve"> </w:t>
      </w:r>
      <w:r w:rsidRPr="00D4309F">
        <w:t>following</w:t>
      </w:r>
      <w:r w:rsidRPr="00D4309F">
        <w:rPr>
          <w:spacing w:val="-3"/>
        </w:rPr>
        <w:t xml:space="preserve"> </w:t>
      </w:r>
      <w:r w:rsidRPr="00D4309F">
        <w:t>pre-approved</w:t>
      </w:r>
      <w:r w:rsidRPr="00D4309F">
        <w:rPr>
          <w:spacing w:val="-3"/>
        </w:rPr>
        <w:t xml:space="preserve"> </w:t>
      </w:r>
      <w:r w:rsidRPr="00D4309F">
        <w:t>bathymetric and environmental constraints.</w:t>
      </w:r>
    </w:p>
    <w:p w14:paraId="1A682449" w14:textId="77777777" w:rsidR="00A546D7" w:rsidRPr="00D4309F" w:rsidRDefault="00A546D7" w:rsidP="00A546D7">
      <w:pPr>
        <w:pStyle w:val="ListBullet2"/>
      </w:pPr>
      <w:r w:rsidRPr="00D4309F">
        <w:t>The</w:t>
      </w:r>
      <w:r w:rsidRPr="00D4309F">
        <w:rPr>
          <w:spacing w:val="-2"/>
        </w:rPr>
        <w:t xml:space="preserve"> </w:t>
      </w:r>
      <w:r w:rsidRPr="00D4309F">
        <w:t>TSHD</w:t>
      </w:r>
      <w:r w:rsidRPr="00D4309F">
        <w:rPr>
          <w:spacing w:val="-2"/>
        </w:rPr>
        <w:t xml:space="preserve"> </w:t>
      </w:r>
      <w:r w:rsidRPr="00D4309F">
        <w:t>is</w:t>
      </w:r>
      <w:r w:rsidRPr="00D4309F">
        <w:rPr>
          <w:spacing w:val="-2"/>
        </w:rPr>
        <w:t xml:space="preserve"> </w:t>
      </w:r>
      <w:r w:rsidRPr="00D4309F">
        <w:t>capable</w:t>
      </w:r>
      <w:r w:rsidRPr="00D4309F">
        <w:rPr>
          <w:spacing w:val="-2"/>
        </w:rPr>
        <w:t xml:space="preserve"> </w:t>
      </w:r>
      <w:r w:rsidRPr="00D4309F">
        <w:t>of</w:t>
      </w:r>
      <w:r w:rsidRPr="00D4309F">
        <w:rPr>
          <w:spacing w:val="-2"/>
        </w:rPr>
        <w:t xml:space="preserve"> </w:t>
      </w:r>
      <w:r w:rsidRPr="00D4309F">
        <w:t>operating</w:t>
      </w:r>
      <w:r w:rsidRPr="00D4309F">
        <w:rPr>
          <w:spacing w:val="-2"/>
        </w:rPr>
        <w:t xml:space="preserve"> </w:t>
      </w:r>
      <w:r w:rsidRPr="00D4309F">
        <w:t>efficiently</w:t>
      </w:r>
      <w:r w:rsidRPr="00D4309F">
        <w:rPr>
          <w:spacing w:val="-2"/>
        </w:rPr>
        <w:t xml:space="preserve"> </w:t>
      </w:r>
      <w:r w:rsidRPr="00D4309F">
        <w:t>at</w:t>
      </w:r>
      <w:r w:rsidRPr="00D4309F">
        <w:rPr>
          <w:spacing w:val="-2"/>
        </w:rPr>
        <w:t xml:space="preserve"> </w:t>
      </w:r>
      <w:r w:rsidRPr="00D4309F">
        <w:t>depths</w:t>
      </w:r>
      <w:r w:rsidRPr="00D4309F">
        <w:rPr>
          <w:spacing w:val="-2"/>
        </w:rPr>
        <w:t xml:space="preserve"> </w:t>
      </w:r>
      <w:r w:rsidRPr="00D4309F">
        <w:t>between</w:t>
      </w:r>
      <w:r w:rsidRPr="00D4309F">
        <w:rPr>
          <w:spacing w:val="-3"/>
        </w:rPr>
        <w:t xml:space="preserve"> </w:t>
      </w:r>
      <w:r w:rsidRPr="00D4309F">
        <w:t>-8</w:t>
      </w:r>
      <w:r w:rsidRPr="00D4309F">
        <w:rPr>
          <w:spacing w:val="-3"/>
        </w:rPr>
        <w:t xml:space="preserve"> </w:t>
      </w:r>
      <w:r w:rsidRPr="00D4309F">
        <w:t>m</w:t>
      </w:r>
      <w:r w:rsidRPr="00D4309F">
        <w:rPr>
          <w:spacing w:val="-2"/>
        </w:rPr>
        <w:t xml:space="preserve"> </w:t>
      </w:r>
      <w:r w:rsidRPr="00D4309F">
        <w:t>AHD</w:t>
      </w:r>
      <w:r w:rsidRPr="00D4309F">
        <w:rPr>
          <w:spacing w:val="-2"/>
        </w:rPr>
        <w:t xml:space="preserve"> </w:t>
      </w:r>
      <w:r w:rsidRPr="00D4309F">
        <w:t>and</w:t>
      </w:r>
      <w:r w:rsidRPr="00D4309F">
        <w:rPr>
          <w:spacing w:val="-2"/>
        </w:rPr>
        <w:t xml:space="preserve"> </w:t>
      </w:r>
      <w:r w:rsidRPr="00D4309F">
        <w:t>-12</w:t>
      </w:r>
      <w:r w:rsidRPr="00D4309F">
        <w:rPr>
          <w:spacing w:val="-2"/>
        </w:rPr>
        <w:t xml:space="preserve"> </w:t>
      </w:r>
      <w:r w:rsidRPr="00D4309F">
        <w:t>m</w:t>
      </w:r>
      <w:r w:rsidRPr="00D4309F">
        <w:rPr>
          <w:spacing w:val="-2"/>
        </w:rPr>
        <w:t xml:space="preserve"> </w:t>
      </w:r>
      <w:r w:rsidRPr="00D4309F">
        <w:t>AHD,</w:t>
      </w:r>
      <w:r w:rsidRPr="00D4309F">
        <w:rPr>
          <w:spacing w:val="-2"/>
        </w:rPr>
        <w:t xml:space="preserve"> </w:t>
      </w:r>
      <w:r w:rsidRPr="00D4309F">
        <w:t>making</w:t>
      </w:r>
      <w:r w:rsidRPr="00D4309F">
        <w:rPr>
          <w:spacing w:val="-2"/>
        </w:rPr>
        <w:t xml:space="preserve"> </w:t>
      </w:r>
      <w:r w:rsidRPr="00D4309F">
        <w:t>it well suited to the local seabed conditions and wave climate.</w:t>
      </w:r>
    </w:p>
    <w:p w14:paraId="2844D5E5" w14:textId="77777777" w:rsidR="00A546D7" w:rsidRPr="00D4309F" w:rsidRDefault="00A546D7" w:rsidP="00A546D7">
      <w:pPr>
        <w:pStyle w:val="ListBullet2"/>
      </w:pPr>
      <w:r w:rsidRPr="00D4309F">
        <w:t>Each</w:t>
      </w:r>
      <w:r w:rsidRPr="00D4309F">
        <w:rPr>
          <w:spacing w:val="-3"/>
        </w:rPr>
        <w:t xml:space="preserve"> </w:t>
      </w:r>
      <w:r w:rsidRPr="00D4309F">
        <w:t>dredging</w:t>
      </w:r>
      <w:r w:rsidRPr="00D4309F">
        <w:rPr>
          <w:spacing w:val="-3"/>
        </w:rPr>
        <w:t xml:space="preserve"> </w:t>
      </w:r>
      <w:r w:rsidRPr="00D4309F">
        <w:t>cycle</w:t>
      </w:r>
      <w:r w:rsidRPr="00D4309F">
        <w:rPr>
          <w:spacing w:val="-3"/>
        </w:rPr>
        <w:t xml:space="preserve"> </w:t>
      </w:r>
      <w:r w:rsidRPr="00D4309F">
        <w:t>is</w:t>
      </w:r>
      <w:r w:rsidRPr="00D4309F">
        <w:rPr>
          <w:spacing w:val="-2"/>
        </w:rPr>
        <w:t xml:space="preserve"> </w:t>
      </w:r>
      <w:r w:rsidRPr="00D4309F">
        <w:t>expected</w:t>
      </w:r>
      <w:r w:rsidRPr="00D4309F">
        <w:rPr>
          <w:spacing w:val="-3"/>
        </w:rPr>
        <w:t xml:space="preserve"> </w:t>
      </w:r>
      <w:r w:rsidRPr="00D4309F">
        <w:t>to</w:t>
      </w:r>
      <w:r w:rsidRPr="00D4309F">
        <w:rPr>
          <w:spacing w:val="-3"/>
        </w:rPr>
        <w:t xml:space="preserve"> </w:t>
      </w:r>
      <w:r w:rsidRPr="00D4309F">
        <w:t>recover</w:t>
      </w:r>
      <w:r w:rsidRPr="00D4309F">
        <w:rPr>
          <w:spacing w:val="-2"/>
        </w:rPr>
        <w:t xml:space="preserve"> </w:t>
      </w:r>
      <w:r w:rsidRPr="00D4309F">
        <w:t>60,000</w:t>
      </w:r>
      <w:r w:rsidRPr="00D4309F">
        <w:rPr>
          <w:spacing w:val="-3"/>
        </w:rPr>
        <w:t xml:space="preserve"> </w:t>
      </w:r>
      <w:r w:rsidRPr="00D4309F">
        <w:t>–</w:t>
      </w:r>
      <w:r w:rsidRPr="00D4309F">
        <w:rPr>
          <w:spacing w:val="-4"/>
        </w:rPr>
        <w:t xml:space="preserve"> </w:t>
      </w:r>
      <w:r w:rsidRPr="00D4309F">
        <w:t>90,000</w:t>
      </w:r>
      <w:r w:rsidRPr="00D4309F">
        <w:rPr>
          <w:spacing w:val="-3"/>
        </w:rPr>
        <w:t xml:space="preserve"> </w:t>
      </w:r>
      <w:r w:rsidRPr="00D4309F">
        <w:t>m</w:t>
      </w:r>
      <w:r w:rsidRPr="00D4309F">
        <w:rPr>
          <w:vertAlign w:val="superscript"/>
        </w:rPr>
        <w:t>3</w:t>
      </w:r>
      <w:r w:rsidRPr="00D4309F">
        <w:rPr>
          <w:spacing w:val="-3"/>
        </w:rPr>
        <w:t xml:space="preserve"> </w:t>
      </w:r>
      <w:r w:rsidRPr="00D4309F">
        <w:t>of</w:t>
      </w:r>
      <w:r w:rsidRPr="00D4309F">
        <w:rPr>
          <w:spacing w:val="-3"/>
        </w:rPr>
        <w:t xml:space="preserve"> </w:t>
      </w:r>
      <w:r w:rsidRPr="00D4309F">
        <w:t>material,</w:t>
      </w:r>
      <w:r w:rsidRPr="00D4309F">
        <w:rPr>
          <w:spacing w:val="-3"/>
        </w:rPr>
        <w:t xml:space="preserve"> </w:t>
      </w:r>
      <w:r w:rsidRPr="00D4309F">
        <w:t>depending</w:t>
      </w:r>
      <w:r w:rsidRPr="00D4309F">
        <w:rPr>
          <w:spacing w:val="-3"/>
        </w:rPr>
        <w:t xml:space="preserve"> </w:t>
      </w:r>
      <w:r w:rsidRPr="00D4309F">
        <w:t>on</w:t>
      </w:r>
      <w:r w:rsidRPr="00D4309F">
        <w:rPr>
          <w:spacing w:val="-3"/>
        </w:rPr>
        <w:t xml:space="preserve"> </w:t>
      </w:r>
      <w:r w:rsidRPr="00D4309F">
        <w:t>the degree of natural infill since the previous campaign.</w:t>
      </w:r>
    </w:p>
    <w:p w14:paraId="73CE6FB4" w14:textId="77777777" w:rsidR="00A546D7" w:rsidRPr="00D4309F" w:rsidRDefault="00A546D7" w:rsidP="00A546D7">
      <w:pPr>
        <w:pStyle w:val="ListBullet"/>
      </w:pPr>
      <w:r w:rsidRPr="00D4309F">
        <w:t>Sand placement</w:t>
      </w:r>
    </w:p>
    <w:p w14:paraId="51A05176" w14:textId="77777777" w:rsidR="00A546D7" w:rsidRPr="00D4309F" w:rsidRDefault="00A546D7" w:rsidP="00A546D7">
      <w:pPr>
        <w:pStyle w:val="ListBullet2"/>
      </w:pPr>
      <w:r w:rsidRPr="00D4309F">
        <w:t>Collected</w:t>
      </w:r>
      <w:r w:rsidRPr="00D4309F">
        <w:rPr>
          <w:spacing w:val="-3"/>
        </w:rPr>
        <w:t xml:space="preserve"> </w:t>
      </w:r>
      <w:r w:rsidRPr="00D4309F">
        <w:t>material</w:t>
      </w:r>
      <w:r w:rsidRPr="00D4309F">
        <w:rPr>
          <w:spacing w:val="-3"/>
        </w:rPr>
        <w:t xml:space="preserve"> </w:t>
      </w:r>
      <w:r w:rsidRPr="00D4309F">
        <w:t>will</w:t>
      </w:r>
      <w:r w:rsidRPr="00D4309F">
        <w:rPr>
          <w:spacing w:val="-3"/>
        </w:rPr>
        <w:t xml:space="preserve"> </w:t>
      </w:r>
      <w:r w:rsidRPr="00D4309F">
        <w:t>be</w:t>
      </w:r>
      <w:r w:rsidRPr="00D4309F">
        <w:rPr>
          <w:spacing w:val="-3"/>
        </w:rPr>
        <w:t xml:space="preserve"> </w:t>
      </w:r>
      <w:r w:rsidRPr="00D4309F">
        <w:t>beneficially</w:t>
      </w:r>
      <w:r w:rsidRPr="00D4309F">
        <w:rPr>
          <w:spacing w:val="-2"/>
        </w:rPr>
        <w:t xml:space="preserve"> </w:t>
      </w:r>
      <w:r w:rsidRPr="00D4309F">
        <w:t>reused</w:t>
      </w:r>
      <w:r w:rsidRPr="00D4309F">
        <w:rPr>
          <w:spacing w:val="-3"/>
        </w:rPr>
        <w:t xml:space="preserve"> </w:t>
      </w:r>
      <w:r w:rsidRPr="00D4309F">
        <w:t>to</w:t>
      </w:r>
      <w:r w:rsidRPr="00D4309F">
        <w:rPr>
          <w:spacing w:val="-3"/>
        </w:rPr>
        <w:t xml:space="preserve"> </w:t>
      </w:r>
      <w:r w:rsidRPr="00D4309F">
        <w:t>nourish</w:t>
      </w:r>
      <w:r w:rsidRPr="00D4309F">
        <w:rPr>
          <w:spacing w:val="-3"/>
        </w:rPr>
        <w:t xml:space="preserve"> </w:t>
      </w:r>
      <w:r w:rsidRPr="00D4309F">
        <w:t>nearby</w:t>
      </w:r>
      <w:r w:rsidRPr="00D4309F">
        <w:rPr>
          <w:spacing w:val="-2"/>
        </w:rPr>
        <w:t xml:space="preserve"> </w:t>
      </w:r>
      <w:r w:rsidRPr="00D4309F">
        <w:t>beaches</w:t>
      </w:r>
      <w:r w:rsidRPr="00D4309F">
        <w:rPr>
          <w:spacing w:val="-2"/>
        </w:rPr>
        <w:t xml:space="preserve"> </w:t>
      </w:r>
      <w:r w:rsidRPr="00D4309F">
        <w:t>within</w:t>
      </w:r>
      <w:r w:rsidRPr="00D4309F">
        <w:rPr>
          <w:spacing w:val="-3"/>
        </w:rPr>
        <w:t xml:space="preserve"> </w:t>
      </w:r>
      <w:r w:rsidRPr="00D4309F">
        <w:t>the</w:t>
      </w:r>
      <w:r w:rsidRPr="00D4309F">
        <w:rPr>
          <w:spacing w:val="-3"/>
        </w:rPr>
        <w:t xml:space="preserve"> </w:t>
      </w:r>
      <w:r w:rsidRPr="00D4309F">
        <w:t>regional</w:t>
      </w:r>
      <w:r w:rsidRPr="00D4309F">
        <w:rPr>
          <w:spacing w:val="-3"/>
        </w:rPr>
        <w:t xml:space="preserve"> </w:t>
      </w:r>
      <w:r w:rsidRPr="00D4309F">
        <w:t>sediment cell, maintaining a balanced littoral system.</w:t>
      </w:r>
    </w:p>
    <w:p w14:paraId="0E620C7D" w14:textId="77777777" w:rsidR="00A546D7" w:rsidRPr="00D4309F" w:rsidRDefault="00A546D7" w:rsidP="00A546D7">
      <w:pPr>
        <w:pStyle w:val="ListBullet2"/>
      </w:pPr>
      <w:r w:rsidRPr="00D4309F">
        <w:t>Preferred placement sites include Mooloolaba Bay, Alexandra Headland, and Maroochydore, selected</w:t>
      </w:r>
      <w:r w:rsidRPr="00D4309F">
        <w:rPr>
          <w:spacing w:val="-3"/>
        </w:rPr>
        <w:t xml:space="preserve"> </w:t>
      </w:r>
      <w:r w:rsidRPr="00D4309F">
        <w:t>for</w:t>
      </w:r>
      <w:r w:rsidRPr="00D4309F">
        <w:rPr>
          <w:spacing w:val="-2"/>
        </w:rPr>
        <w:t xml:space="preserve"> </w:t>
      </w:r>
      <w:r w:rsidRPr="00D4309F">
        <w:t>their</w:t>
      </w:r>
      <w:r w:rsidRPr="00D4309F">
        <w:rPr>
          <w:spacing w:val="-2"/>
        </w:rPr>
        <w:t xml:space="preserve"> </w:t>
      </w:r>
      <w:r w:rsidRPr="00D4309F">
        <w:t>ongoing</w:t>
      </w:r>
      <w:r w:rsidRPr="00D4309F">
        <w:rPr>
          <w:spacing w:val="-3"/>
        </w:rPr>
        <w:t xml:space="preserve"> </w:t>
      </w:r>
      <w:r w:rsidRPr="00D4309F">
        <w:t>erosion</w:t>
      </w:r>
      <w:r w:rsidRPr="00D4309F">
        <w:rPr>
          <w:spacing w:val="-3"/>
        </w:rPr>
        <w:t xml:space="preserve"> </w:t>
      </w:r>
      <w:r w:rsidRPr="00D4309F">
        <w:t>management</w:t>
      </w:r>
      <w:r w:rsidRPr="00D4309F">
        <w:rPr>
          <w:spacing w:val="-3"/>
        </w:rPr>
        <w:t xml:space="preserve"> </w:t>
      </w:r>
      <w:r w:rsidRPr="00D4309F">
        <w:t>needs</w:t>
      </w:r>
      <w:r w:rsidRPr="00D4309F">
        <w:rPr>
          <w:spacing w:val="-2"/>
        </w:rPr>
        <w:t xml:space="preserve"> </w:t>
      </w:r>
      <w:r w:rsidRPr="00D4309F">
        <w:t>and</w:t>
      </w:r>
      <w:r w:rsidRPr="00D4309F">
        <w:rPr>
          <w:spacing w:val="-4"/>
        </w:rPr>
        <w:t xml:space="preserve"> </w:t>
      </w:r>
      <w:r w:rsidRPr="00D4309F">
        <w:t>compatibility</w:t>
      </w:r>
      <w:r w:rsidRPr="00D4309F">
        <w:rPr>
          <w:spacing w:val="-2"/>
        </w:rPr>
        <w:t xml:space="preserve"> </w:t>
      </w:r>
      <w:r w:rsidRPr="00D4309F">
        <w:t>with</w:t>
      </w:r>
      <w:r w:rsidRPr="00D4309F">
        <w:rPr>
          <w:spacing w:val="-3"/>
        </w:rPr>
        <w:t xml:space="preserve"> </w:t>
      </w:r>
      <w:r w:rsidRPr="00D4309F">
        <w:t>the</w:t>
      </w:r>
      <w:r w:rsidRPr="00D4309F">
        <w:rPr>
          <w:spacing w:val="-4"/>
        </w:rPr>
        <w:t xml:space="preserve"> </w:t>
      </w:r>
      <w:r w:rsidRPr="00D4309F">
        <w:t>dredged</w:t>
      </w:r>
      <w:r w:rsidRPr="00D4309F">
        <w:rPr>
          <w:spacing w:val="-3"/>
        </w:rPr>
        <w:t xml:space="preserve"> </w:t>
      </w:r>
      <w:r w:rsidRPr="00D4309F">
        <w:t xml:space="preserve">material </w:t>
      </w:r>
      <w:r w:rsidRPr="00D4309F">
        <w:rPr>
          <w:spacing w:val="-2"/>
        </w:rPr>
        <w:t>characteristics.</w:t>
      </w:r>
    </w:p>
    <w:p w14:paraId="6285CB1C" w14:textId="77777777" w:rsidR="00A546D7" w:rsidRPr="00D4309F" w:rsidRDefault="00A546D7" w:rsidP="00A546D7">
      <w:pPr>
        <w:pStyle w:val="ListBullet2"/>
      </w:pPr>
      <w:r w:rsidRPr="00D4309F">
        <w:t>Sand</w:t>
      </w:r>
      <w:r w:rsidRPr="00D4309F">
        <w:rPr>
          <w:spacing w:val="-3"/>
        </w:rPr>
        <w:t xml:space="preserve"> </w:t>
      </w:r>
      <w:r w:rsidRPr="00D4309F">
        <w:t>placement</w:t>
      </w:r>
      <w:r w:rsidRPr="00D4309F">
        <w:rPr>
          <w:spacing w:val="-3"/>
        </w:rPr>
        <w:t xml:space="preserve"> </w:t>
      </w:r>
      <w:r w:rsidRPr="00D4309F">
        <w:t>may</w:t>
      </w:r>
      <w:r w:rsidRPr="00D4309F">
        <w:rPr>
          <w:spacing w:val="-2"/>
        </w:rPr>
        <w:t xml:space="preserve"> </w:t>
      </w:r>
      <w:r w:rsidRPr="00D4309F">
        <w:t>be</w:t>
      </w:r>
      <w:r w:rsidRPr="00D4309F">
        <w:rPr>
          <w:spacing w:val="-4"/>
        </w:rPr>
        <w:t xml:space="preserve"> </w:t>
      </w:r>
      <w:r w:rsidRPr="00D4309F">
        <w:t>carried</w:t>
      </w:r>
      <w:r w:rsidRPr="00D4309F">
        <w:rPr>
          <w:spacing w:val="-3"/>
        </w:rPr>
        <w:t xml:space="preserve"> </w:t>
      </w:r>
      <w:r w:rsidRPr="00D4309F">
        <w:t>out</w:t>
      </w:r>
      <w:r w:rsidRPr="00D4309F">
        <w:rPr>
          <w:spacing w:val="-3"/>
        </w:rPr>
        <w:t xml:space="preserve"> </w:t>
      </w:r>
      <w:r w:rsidRPr="00D4309F">
        <w:t>by</w:t>
      </w:r>
      <w:r w:rsidRPr="00D4309F">
        <w:rPr>
          <w:spacing w:val="-2"/>
        </w:rPr>
        <w:t xml:space="preserve"> </w:t>
      </w:r>
      <w:r w:rsidRPr="00D4309F">
        <w:t>direct</w:t>
      </w:r>
      <w:r w:rsidRPr="00D4309F">
        <w:rPr>
          <w:spacing w:val="-3"/>
        </w:rPr>
        <w:t xml:space="preserve"> </w:t>
      </w:r>
      <w:r w:rsidRPr="00D4309F">
        <w:t>pump-out</w:t>
      </w:r>
      <w:r w:rsidRPr="00D4309F">
        <w:rPr>
          <w:spacing w:val="-3"/>
        </w:rPr>
        <w:t xml:space="preserve"> </w:t>
      </w:r>
      <w:r w:rsidRPr="00D4309F">
        <w:t>to</w:t>
      </w:r>
      <w:r w:rsidRPr="00D4309F">
        <w:rPr>
          <w:spacing w:val="-3"/>
        </w:rPr>
        <w:t xml:space="preserve"> </w:t>
      </w:r>
      <w:r w:rsidRPr="00D4309F">
        <w:t>the</w:t>
      </w:r>
      <w:r w:rsidRPr="00D4309F">
        <w:rPr>
          <w:spacing w:val="-3"/>
        </w:rPr>
        <w:t xml:space="preserve"> </w:t>
      </w:r>
      <w:r w:rsidRPr="00D4309F">
        <w:t>nearshore</w:t>
      </w:r>
      <w:r w:rsidRPr="00D4309F">
        <w:rPr>
          <w:spacing w:val="-3"/>
        </w:rPr>
        <w:t xml:space="preserve"> </w:t>
      </w:r>
      <w:r w:rsidRPr="00D4309F">
        <w:t>zone,</w:t>
      </w:r>
      <w:r w:rsidRPr="00D4309F">
        <w:rPr>
          <w:spacing w:val="-3"/>
        </w:rPr>
        <w:t xml:space="preserve"> </w:t>
      </w:r>
      <w:r w:rsidRPr="00D4309F">
        <w:t>rainbow</w:t>
      </w:r>
      <w:r w:rsidRPr="00D4309F">
        <w:rPr>
          <w:spacing w:val="-2"/>
        </w:rPr>
        <w:t xml:space="preserve"> </w:t>
      </w:r>
      <w:r w:rsidRPr="00D4309F">
        <w:t>discharge,</w:t>
      </w:r>
      <w:r w:rsidRPr="00D4309F">
        <w:rPr>
          <w:spacing w:val="-3"/>
        </w:rPr>
        <w:t xml:space="preserve"> </w:t>
      </w:r>
      <w:r w:rsidRPr="00D4309F">
        <w:t xml:space="preserve">or bottom-dumping within approved nourishment polygons, depending on site conditions and permit </w:t>
      </w:r>
      <w:r w:rsidRPr="00D4309F">
        <w:rPr>
          <w:spacing w:val="-2"/>
        </w:rPr>
        <w:t>requirements.</w:t>
      </w:r>
    </w:p>
    <w:p w14:paraId="41CDD7C0" w14:textId="77777777" w:rsidR="00A546D7" w:rsidRPr="00D4309F" w:rsidRDefault="00A546D7" w:rsidP="00A546D7">
      <w:pPr>
        <w:pStyle w:val="ListBullet2"/>
      </w:pPr>
      <w:r w:rsidRPr="00D4309F">
        <w:t xml:space="preserve">This methodology mirrors proven beach-nourishment practices employed at other Queensland and New South Wales locations such as the Gold Coast, Moreton Bay, and Tweed River Entrance </w:t>
      </w:r>
      <w:r w:rsidRPr="00D4309F">
        <w:lastRenderedPageBreak/>
        <w:t>Sand Bypassing</w:t>
      </w:r>
      <w:r w:rsidRPr="00D4309F">
        <w:rPr>
          <w:spacing w:val="-3"/>
        </w:rPr>
        <w:t xml:space="preserve"> </w:t>
      </w:r>
      <w:r w:rsidRPr="00D4309F">
        <w:t>Project,</w:t>
      </w:r>
      <w:r w:rsidRPr="00D4309F">
        <w:rPr>
          <w:spacing w:val="-3"/>
        </w:rPr>
        <w:t xml:space="preserve"> </w:t>
      </w:r>
      <w:r w:rsidRPr="00D4309F">
        <w:t>where</w:t>
      </w:r>
      <w:r w:rsidRPr="00D4309F">
        <w:rPr>
          <w:spacing w:val="-4"/>
        </w:rPr>
        <w:t xml:space="preserve"> </w:t>
      </w:r>
      <w:r w:rsidRPr="00D4309F">
        <w:t>TSHD-based</w:t>
      </w:r>
      <w:r w:rsidRPr="00D4309F">
        <w:rPr>
          <w:spacing w:val="-3"/>
        </w:rPr>
        <w:t xml:space="preserve"> </w:t>
      </w:r>
      <w:r w:rsidRPr="00D4309F">
        <w:t>recycling</w:t>
      </w:r>
      <w:r w:rsidRPr="00D4309F">
        <w:rPr>
          <w:spacing w:val="-3"/>
        </w:rPr>
        <w:t xml:space="preserve"> </w:t>
      </w:r>
      <w:r w:rsidRPr="00D4309F">
        <w:t>has</w:t>
      </w:r>
      <w:r w:rsidRPr="00D4309F">
        <w:rPr>
          <w:spacing w:val="-3"/>
        </w:rPr>
        <w:t xml:space="preserve"> </w:t>
      </w:r>
      <w:r w:rsidRPr="00D4309F">
        <w:t>been</w:t>
      </w:r>
      <w:r w:rsidRPr="00D4309F">
        <w:rPr>
          <w:spacing w:val="-3"/>
        </w:rPr>
        <w:t xml:space="preserve"> </w:t>
      </w:r>
      <w:r w:rsidRPr="00D4309F">
        <w:t>demonstrated</w:t>
      </w:r>
      <w:r w:rsidRPr="00D4309F">
        <w:rPr>
          <w:spacing w:val="-3"/>
        </w:rPr>
        <w:t xml:space="preserve"> </w:t>
      </w:r>
      <w:r w:rsidRPr="00D4309F">
        <w:t>to</w:t>
      </w:r>
      <w:r w:rsidRPr="00D4309F">
        <w:rPr>
          <w:spacing w:val="-3"/>
        </w:rPr>
        <w:t xml:space="preserve"> </w:t>
      </w:r>
      <w:r w:rsidRPr="00D4309F">
        <w:t>be</w:t>
      </w:r>
      <w:r w:rsidRPr="00D4309F">
        <w:rPr>
          <w:spacing w:val="-3"/>
        </w:rPr>
        <w:t xml:space="preserve"> </w:t>
      </w:r>
      <w:r w:rsidRPr="00D4309F">
        <w:t>effective,</w:t>
      </w:r>
      <w:r w:rsidRPr="00D4309F">
        <w:rPr>
          <w:spacing w:val="-3"/>
        </w:rPr>
        <w:t xml:space="preserve"> </w:t>
      </w:r>
      <w:r w:rsidRPr="00D4309F">
        <w:t>repeatable, and environmentally sustainable.</w:t>
      </w:r>
    </w:p>
    <w:p w14:paraId="10DAADC8" w14:textId="77777777" w:rsidR="00A546D7" w:rsidRDefault="00A546D7" w:rsidP="00A546D7">
      <w:pPr>
        <w:pStyle w:val="ListBullet"/>
      </w:pPr>
      <w:r w:rsidRPr="00D4309F">
        <w:t>Frequency</w:t>
      </w:r>
      <w:r w:rsidRPr="00D4309F">
        <w:rPr>
          <w:spacing w:val="-3"/>
        </w:rPr>
        <w:t xml:space="preserve"> </w:t>
      </w:r>
      <w:r w:rsidRPr="00D4309F">
        <w:t>of</w:t>
      </w:r>
      <w:r w:rsidRPr="00D4309F">
        <w:rPr>
          <w:spacing w:val="-3"/>
        </w:rPr>
        <w:t xml:space="preserve"> </w:t>
      </w:r>
      <w:r w:rsidRPr="00D4309F">
        <w:rPr>
          <w:spacing w:val="-2"/>
        </w:rPr>
        <w:t>operations</w:t>
      </w:r>
    </w:p>
    <w:p w14:paraId="30497AA5" w14:textId="77777777" w:rsidR="00A546D7" w:rsidRPr="00D4309F" w:rsidRDefault="00A546D7" w:rsidP="00A546D7">
      <w:pPr>
        <w:pStyle w:val="ListBullet2"/>
      </w:pPr>
      <w:r w:rsidRPr="00D4309F">
        <w:t>The</w:t>
      </w:r>
      <w:r w:rsidRPr="00D4309F">
        <w:rPr>
          <w:spacing w:val="-3"/>
        </w:rPr>
        <w:t xml:space="preserve"> </w:t>
      </w:r>
      <w:r w:rsidRPr="00D4309F">
        <w:t>re-dredging</w:t>
      </w:r>
      <w:r w:rsidRPr="00D4309F">
        <w:rPr>
          <w:spacing w:val="-3"/>
        </w:rPr>
        <w:t xml:space="preserve"> </w:t>
      </w:r>
      <w:r w:rsidRPr="00D4309F">
        <w:t>interval</w:t>
      </w:r>
      <w:r w:rsidRPr="00D4309F">
        <w:rPr>
          <w:spacing w:val="-3"/>
        </w:rPr>
        <w:t xml:space="preserve"> </w:t>
      </w:r>
      <w:r w:rsidRPr="00D4309F">
        <w:t>is</w:t>
      </w:r>
      <w:r w:rsidRPr="00D4309F">
        <w:rPr>
          <w:spacing w:val="-3"/>
        </w:rPr>
        <w:t xml:space="preserve"> </w:t>
      </w:r>
      <w:r w:rsidRPr="00D4309F">
        <w:t>expected</w:t>
      </w:r>
      <w:r w:rsidRPr="00D4309F">
        <w:rPr>
          <w:spacing w:val="-3"/>
        </w:rPr>
        <w:t xml:space="preserve"> </w:t>
      </w:r>
      <w:r w:rsidRPr="00D4309F">
        <w:t>to</w:t>
      </w:r>
      <w:r w:rsidRPr="00D4309F">
        <w:rPr>
          <w:spacing w:val="-3"/>
        </w:rPr>
        <w:t xml:space="preserve"> </w:t>
      </w:r>
      <w:r w:rsidRPr="00D4309F">
        <w:t>be</w:t>
      </w:r>
      <w:r w:rsidRPr="00D4309F">
        <w:rPr>
          <w:spacing w:val="-3"/>
        </w:rPr>
        <w:t xml:space="preserve"> </w:t>
      </w:r>
      <w:r w:rsidRPr="00D4309F">
        <w:t>approximately</w:t>
      </w:r>
      <w:r w:rsidRPr="00D4309F">
        <w:rPr>
          <w:spacing w:val="-2"/>
        </w:rPr>
        <w:t xml:space="preserve"> </w:t>
      </w:r>
      <w:r w:rsidRPr="00D4309F">
        <w:t>every</w:t>
      </w:r>
      <w:r w:rsidRPr="00D4309F">
        <w:rPr>
          <w:spacing w:val="-3"/>
        </w:rPr>
        <w:t xml:space="preserve"> </w:t>
      </w:r>
      <w:r w:rsidRPr="00D4309F">
        <w:t>2–3</w:t>
      </w:r>
      <w:r w:rsidRPr="00D4309F">
        <w:rPr>
          <w:spacing w:val="-4"/>
        </w:rPr>
        <w:t xml:space="preserve"> </w:t>
      </w:r>
      <w:r w:rsidRPr="00D4309F">
        <w:t>years,</w:t>
      </w:r>
      <w:r w:rsidRPr="00D4309F">
        <w:rPr>
          <w:spacing w:val="-3"/>
        </w:rPr>
        <w:t xml:space="preserve"> </w:t>
      </w:r>
      <w:r w:rsidRPr="00D4309F">
        <w:t>contingent</w:t>
      </w:r>
      <w:r w:rsidRPr="00D4309F">
        <w:rPr>
          <w:spacing w:val="-3"/>
        </w:rPr>
        <w:t xml:space="preserve"> </w:t>
      </w:r>
      <w:r w:rsidRPr="00D4309F">
        <w:t>on</w:t>
      </w:r>
      <w:r w:rsidRPr="00D4309F">
        <w:rPr>
          <w:spacing w:val="-3"/>
        </w:rPr>
        <w:t xml:space="preserve"> </w:t>
      </w:r>
      <w:r w:rsidRPr="00D4309F">
        <w:t>storm frequency and observed infill rates.</w:t>
      </w:r>
    </w:p>
    <w:p w14:paraId="0DF2CD22" w14:textId="77777777" w:rsidR="00A546D7" w:rsidRPr="00D4309F" w:rsidRDefault="00A546D7" w:rsidP="00A546D7">
      <w:pPr>
        <w:pStyle w:val="ListBullet2"/>
      </w:pPr>
      <w:r w:rsidRPr="00D4309F">
        <w:t>Monitoring</w:t>
      </w:r>
      <w:r w:rsidRPr="00D4309F">
        <w:rPr>
          <w:spacing w:val="-3"/>
        </w:rPr>
        <w:t xml:space="preserve"> </w:t>
      </w:r>
      <w:r w:rsidRPr="00D4309F">
        <w:t>of</w:t>
      </w:r>
      <w:r w:rsidRPr="00D4309F">
        <w:rPr>
          <w:spacing w:val="-3"/>
        </w:rPr>
        <w:t xml:space="preserve"> </w:t>
      </w:r>
      <w:r w:rsidRPr="00D4309F">
        <w:t>bathymetry,</w:t>
      </w:r>
      <w:r w:rsidRPr="00D4309F">
        <w:rPr>
          <w:spacing w:val="-3"/>
        </w:rPr>
        <w:t xml:space="preserve"> </w:t>
      </w:r>
      <w:r w:rsidRPr="00D4309F">
        <w:t>sediment</w:t>
      </w:r>
      <w:r w:rsidRPr="00D4309F">
        <w:rPr>
          <w:spacing w:val="-3"/>
        </w:rPr>
        <w:t xml:space="preserve"> </w:t>
      </w:r>
      <w:r w:rsidRPr="00D4309F">
        <w:t>characteristics,</w:t>
      </w:r>
      <w:r w:rsidRPr="00D4309F">
        <w:rPr>
          <w:spacing w:val="-3"/>
        </w:rPr>
        <w:t xml:space="preserve"> </w:t>
      </w:r>
      <w:r w:rsidRPr="00D4309F">
        <w:t>and</w:t>
      </w:r>
      <w:r w:rsidRPr="00D4309F">
        <w:rPr>
          <w:spacing w:val="-3"/>
        </w:rPr>
        <w:t xml:space="preserve"> </w:t>
      </w:r>
      <w:r w:rsidRPr="00D4309F">
        <w:t>shoreline</w:t>
      </w:r>
      <w:r w:rsidRPr="00D4309F">
        <w:rPr>
          <w:spacing w:val="-3"/>
        </w:rPr>
        <w:t xml:space="preserve"> </w:t>
      </w:r>
      <w:r w:rsidRPr="00D4309F">
        <w:t>response</w:t>
      </w:r>
      <w:r w:rsidRPr="00D4309F">
        <w:rPr>
          <w:spacing w:val="-3"/>
        </w:rPr>
        <w:t xml:space="preserve"> </w:t>
      </w:r>
      <w:r w:rsidRPr="00D4309F">
        <w:t>will</w:t>
      </w:r>
      <w:r w:rsidRPr="00D4309F">
        <w:rPr>
          <w:spacing w:val="-3"/>
        </w:rPr>
        <w:t xml:space="preserve"> </w:t>
      </w:r>
      <w:r w:rsidRPr="00D4309F">
        <w:t>guide</w:t>
      </w:r>
      <w:r w:rsidRPr="00D4309F">
        <w:rPr>
          <w:spacing w:val="-3"/>
        </w:rPr>
        <w:t xml:space="preserve"> </w:t>
      </w:r>
      <w:r w:rsidRPr="00D4309F">
        <w:t>the</w:t>
      </w:r>
      <w:r w:rsidRPr="00D4309F">
        <w:rPr>
          <w:spacing w:val="-3"/>
        </w:rPr>
        <w:t xml:space="preserve"> </w:t>
      </w:r>
      <w:r w:rsidRPr="00D4309F">
        <w:t>timing</w:t>
      </w:r>
      <w:r w:rsidRPr="00D4309F">
        <w:rPr>
          <w:spacing w:val="-3"/>
        </w:rPr>
        <w:t xml:space="preserve"> </w:t>
      </w:r>
      <w:r w:rsidRPr="00D4309F">
        <w:t xml:space="preserve">of each maintenance cycle to ensure optimal trap performance while minimising environmental </w:t>
      </w:r>
      <w:r w:rsidRPr="00D4309F">
        <w:rPr>
          <w:spacing w:val="-2"/>
        </w:rPr>
        <w:t>disturbance.</w:t>
      </w:r>
    </w:p>
    <w:p w14:paraId="36B445E1" w14:textId="77777777" w:rsidR="00A546D7" w:rsidRPr="00D4309F" w:rsidRDefault="00A546D7" w:rsidP="00A546D7">
      <w:pPr>
        <w:pStyle w:val="ListBullet"/>
      </w:pPr>
      <w:r w:rsidRPr="00D4309F">
        <w:t>Coordination</w:t>
      </w:r>
      <w:r w:rsidRPr="00D4309F">
        <w:rPr>
          <w:spacing w:val="-6"/>
        </w:rPr>
        <w:t xml:space="preserve"> </w:t>
      </w:r>
      <w:r w:rsidRPr="00D4309F">
        <w:t>and</w:t>
      </w:r>
      <w:r w:rsidRPr="00D4309F">
        <w:rPr>
          <w:spacing w:val="-4"/>
        </w:rPr>
        <w:t xml:space="preserve"> </w:t>
      </w:r>
      <w:r w:rsidRPr="00D4309F">
        <w:rPr>
          <w:spacing w:val="-2"/>
        </w:rPr>
        <w:t>management</w:t>
      </w:r>
    </w:p>
    <w:p w14:paraId="3CE988E1" w14:textId="77777777" w:rsidR="00A546D7" w:rsidRPr="00D4309F" w:rsidRDefault="00A546D7" w:rsidP="00A546D7">
      <w:pPr>
        <w:pStyle w:val="ListBullet2"/>
      </w:pPr>
      <w:r w:rsidRPr="00D4309F">
        <w:t>Operational</w:t>
      </w:r>
      <w:r w:rsidRPr="00D4309F">
        <w:rPr>
          <w:spacing w:val="-4"/>
        </w:rPr>
        <w:t xml:space="preserve"> </w:t>
      </w:r>
      <w:r w:rsidRPr="00D4309F">
        <w:t>works</w:t>
      </w:r>
      <w:r w:rsidRPr="00D4309F">
        <w:rPr>
          <w:spacing w:val="-2"/>
        </w:rPr>
        <w:t xml:space="preserve"> </w:t>
      </w:r>
      <w:r w:rsidRPr="00D4309F">
        <w:t>will</w:t>
      </w:r>
      <w:r w:rsidRPr="00D4309F">
        <w:rPr>
          <w:spacing w:val="-3"/>
        </w:rPr>
        <w:t xml:space="preserve"> </w:t>
      </w:r>
      <w:r w:rsidRPr="00D4309F">
        <w:t>be</w:t>
      </w:r>
      <w:r w:rsidRPr="00D4309F">
        <w:rPr>
          <w:spacing w:val="-4"/>
        </w:rPr>
        <w:t xml:space="preserve"> </w:t>
      </w:r>
      <w:r w:rsidRPr="00D4309F">
        <w:t>jointly</w:t>
      </w:r>
      <w:r w:rsidRPr="00D4309F">
        <w:rPr>
          <w:spacing w:val="-2"/>
        </w:rPr>
        <w:t xml:space="preserve"> </w:t>
      </w:r>
      <w:r w:rsidRPr="00D4309F">
        <w:t>planned</w:t>
      </w:r>
      <w:r w:rsidRPr="00D4309F">
        <w:rPr>
          <w:spacing w:val="-3"/>
        </w:rPr>
        <w:t xml:space="preserve"> </w:t>
      </w:r>
      <w:r w:rsidRPr="00D4309F">
        <w:t>and</w:t>
      </w:r>
      <w:r w:rsidRPr="00D4309F">
        <w:rPr>
          <w:spacing w:val="-3"/>
        </w:rPr>
        <w:t xml:space="preserve"> </w:t>
      </w:r>
      <w:r w:rsidRPr="00D4309F">
        <w:t>coordinated</w:t>
      </w:r>
      <w:r w:rsidRPr="00D4309F">
        <w:rPr>
          <w:spacing w:val="-3"/>
        </w:rPr>
        <w:t xml:space="preserve"> </w:t>
      </w:r>
      <w:r w:rsidRPr="00D4309F">
        <w:t>between</w:t>
      </w:r>
      <w:r w:rsidRPr="00D4309F">
        <w:rPr>
          <w:spacing w:val="-4"/>
        </w:rPr>
        <w:t xml:space="preserve"> </w:t>
      </w:r>
      <w:r w:rsidRPr="00D4309F">
        <w:t>Maritime</w:t>
      </w:r>
      <w:r w:rsidRPr="00D4309F">
        <w:rPr>
          <w:spacing w:val="-3"/>
        </w:rPr>
        <w:t xml:space="preserve"> </w:t>
      </w:r>
      <w:r w:rsidRPr="00D4309F">
        <w:t>Safety</w:t>
      </w:r>
      <w:r w:rsidRPr="00D4309F">
        <w:rPr>
          <w:spacing w:val="-2"/>
        </w:rPr>
        <w:t xml:space="preserve"> </w:t>
      </w:r>
      <w:r w:rsidRPr="00D4309F">
        <w:t>Queensland (MSQ), the Sunshine Coast Regional Council (SCRC), and other relevant state agencies.</w:t>
      </w:r>
    </w:p>
    <w:p w14:paraId="6634E5CB" w14:textId="77777777" w:rsidR="00A546D7" w:rsidRPr="00D4309F" w:rsidRDefault="00A546D7" w:rsidP="00A546D7">
      <w:pPr>
        <w:pStyle w:val="ListBullet2"/>
      </w:pPr>
      <w:r w:rsidRPr="00D4309F">
        <w:t>Campaigns</w:t>
      </w:r>
      <w:r w:rsidRPr="00D4309F">
        <w:rPr>
          <w:spacing w:val="-3"/>
        </w:rPr>
        <w:t xml:space="preserve"> </w:t>
      </w:r>
      <w:r w:rsidRPr="00D4309F">
        <w:t>will</w:t>
      </w:r>
      <w:r w:rsidRPr="00D4309F">
        <w:rPr>
          <w:spacing w:val="-3"/>
        </w:rPr>
        <w:t xml:space="preserve"> </w:t>
      </w:r>
      <w:r w:rsidRPr="00D4309F">
        <w:t>be</w:t>
      </w:r>
      <w:r w:rsidRPr="00D4309F">
        <w:rPr>
          <w:spacing w:val="-3"/>
        </w:rPr>
        <w:t xml:space="preserve"> </w:t>
      </w:r>
      <w:r w:rsidRPr="00D4309F">
        <w:t>scheduled</w:t>
      </w:r>
      <w:r w:rsidRPr="00D4309F">
        <w:rPr>
          <w:spacing w:val="-3"/>
        </w:rPr>
        <w:t xml:space="preserve"> </w:t>
      </w:r>
      <w:r w:rsidRPr="00D4309F">
        <w:t>to</w:t>
      </w:r>
      <w:r w:rsidRPr="00D4309F">
        <w:rPr>
          <w:spacing w:val="-3"/>
        </w:rPr>
        <w:t xml:space="preserve"> </w:t>
      </w:r>
      <w:r w:rsidRPr="00D4309F">
        <w:t>align</w:t>
      </w:r>
      <w:r w:rsidRPr="00D4309F">
        <w:rPr>
          <w:spacing w:val="-3"/>
        </w:rPr>
        <w:t xml:space="preserve"> </w:t>
      </w:r>
      <w:r w:rsidRPr="00D4309F">
        <w:t>with</w:t>
      </w:r>
      <w:r w:rsidRPr="00D4309F">
        <w:rPr>
          <w:spacing w:val="-3"/>
        </w:rPr>
        <w:t xml:space="preserve"> </w:t>
      </w:r>
      <w:r w:rsidRPr="00D4309F">
        <w:t>existing</w:t>
      </w:r>
      <w:r w:rsidRPr="00D4309F">
        <w:rPr>
          <w:spacing w:val="-3"/>
        </w:rPr>
        <w:t xml:space="preserve"> </w:t>
      </w:r>
      <w:r w:rsidRPr="00D4309F">
        <w:t>regional</w:t>
      </w:r>
      <w:r w:rsidRPr="00D4309F">
        <w:rPr>
          <w:spacing w:val="-3"/>
        </w:rPr>
        <w:t xml:space="preserve"> </w:t>
      </w:r>
      <w:r w:rsidRPr="00D4309F">
        <w:t>coastal-management</w:t>
      </w:r>
      <w:r w:rsidRPr="00D4309F">
        <w:rPr>
          <w:spacing w:val="-3"/>
        </w:rPr>
        <w:t xml:space="preserve"> </w:t>
      </w:r>
      <w:r w:rsidRPr="00D4309F">
        <w:t>and</w:t>
      </w:r>
      <w:r w:rsidRPr="00D4309F">
        <w:rPr>
          <w:spacing w:val="-3"/>
        </w:rPr>
        <w:t xml:space="preserve"> </w:t>
      </w:r>
      <w:r w:rsidRPr="00D4309F">
        <w:t>nourishment programs, ensuring efficient resource use and consistent sediment-budget outcomes.</w:t>
      </w:r>
    </w:p>
    <w:p w14:paraId="16609695" w14:textId="77777777" w:rsidR="00A546D7" w:rsidRPr="00D4309F" w:rsidRDefault="00A546D7" w:rsidP="00A546D7">
      <w:pPr>
        <w:pStyle w:val="ListBullet2"/>
      </w:pPr>
      <w:r w:rsidRPr="00D4309F">
        <w:t>All</w:t>
      </w:r>
      <w:r w:rsidRPr="00D4309F">
        <w:rPr>
          <w:spacing w:val="-3"/>
        </w:rPr>
        <w:t xml:space="preserve"> </w:t>
      </w:r>
      <w:r w:rsidRPr="00D4309F">
        <w:t>dredging</w:t>
      </w:r>
      <w:r w:rsidRPr="00D4309F">
        <w:rPr>
          <w:spacing w:val="-3"/>
        </w:rPr>
        <w:t xml:space="preserve"> </w:t>
      </w:r>
      <w:r w:rsidRPr="00D4309F">
        <w:t>and</w:t>
      </w:r>
      <w:r w:rsidRPr="00D4309F">
        <w:rPr>
          <w:spacing w:val="-3"/>
        </w:rPr>
        <w:t xml:space="preserve"> </w:t>
      </w:r>
      <w:r w:rsidRPr="00D4309F">
        <w:t>placement</w:t>
      </w:r>
      <w:r w:rsidRPr="00D4309F">
        <w:rPr>
          <w:spacing w:val="-3"/>
        </w:rPr>
        <w:t xml:space="preserve"> </w:t>
      </w:r>
      <w:r w:rsidRPr="00D4309F">
        <w:t>activities</w:t>
      </w:r>
      <w:r w:rsidRPr="00D4309F">
        <w:rPr>
          <w:spacing w:val="-2"/>
        </w:rPr>
        <w:t xml:space="preserve"> </w:t>
      </w:r>
      <w:r w:rsidRPr="00D4309F">
        <w:t>will</w:t>
      </w:r>
      <w:r w:rsidRPr="00D4309F">
        <w:rPr>
          <w:spacing w:val="-4"/>
        </w:rPr>
        <w:t xml:space="preserve"> </w:t>
      </w:r>
      <w:r w:rsidRPr="00D4309F">
        <w:t>be</w:t>
      </w:r>
      <w:r w:rsidRPr="00D4309F">
        <w:rPr>
          <w:spacing w:val="-3"/>
        </w:rPr>
        <w:t xml:space="preserve"> </w:t>
      </w:r>
      <w:r w:rsidRPr="00D4309F">
        <w:t>undertaken</w:t>
      </w:r>
      <w:r w:rsidRPr="00D4309F">
        <w:rPr>
          <w:spacing w:val="-3"/>
        </w:rPr>
        <w:t xml:space="preserve"> </w:t>
      </w:r>
      <w:r w:rsidRPr="00D4309F">
        <w:t>under</w:t>
      </w:r>
      <w:r w:rsidRPr="00D4309F">
        <w:rPr>
          <w:spacing w:val="-2"/>
        </w:rPr>
        <w:t xml:space="preserve"> </w:t>
      </w:r>
      <w:r w:rsidRPr="00D4309F">
        <w:t>approved</w:t>
      </w:r>
      <w:r w:rsidRPr="00D4309F">
        <w:rPr>
          <w:spacing w:val="-3"/>
        </w:rPr>
        <w:t xml:space="preserve"> </w:t>
      </w:r>
      <w:r w:rsidRPr="00D4309F">
        <w:t>environmental</w:t>
      </w:r>
      <w:r w:rsidRPr="00D4309F">
        <w:rPr>
          <w:spacing w:val="-3"/>
        </w:rPr>
        <w:t xml:space="preserve"> </w:t>
      </w:r>
      <w:r w:rsidRPr="00D4309F">
        <w:t xml:space="preserve">management plans, incorporating turbidity controls, exclusion zones, and post-dredge monitoring to confirm </w:t>
      </w:r>
      <w:r w:rsidRPr="00D4309F">
        <w:rPr>
          <w:spacing w:val="-2"/>
        </w:rPr>
        <w:t>compliance.</w:t>
      </w:r>
    </w:p>
    <w:p w14:paraId="536F6973" w14:textId="4202FC8E" w:rsidR="002F0FDA" w:rsidRDefault="00A546D7" w:rsidP="00725977">
      <w:pPr>
        <w:pStyle w:val="BodyText"/>
        <w:rPr>
          <w:spacing w:val="-2"/>
        </w:rPr>
      </w:pPr>
      <w:r w:rsidRPr="00D4309F">
        <w:t>Operation</w:t>
      </w:r>
      <w:r w:rsidRPr="00D4309F">
        <w:rPr>
          <w:spacing w:val="-1"/>
        </w:rPr>
        <w:t xml:space="preserve"> </w:t>
      </w:r>
      <w:r w:rsidRPr="00D4309F">
        <w:t>of</w:t>
      </w:r>
      <w:r w:rsidRPr="00D4309F">
        <w:rPr>
          <w:spacing w:val="-1"/>
        </w:rPr>
        <w:t xml:space="preserve"> </w:t>
      </w:r>
      <w:r w:rsidRPr="00D4309F">
        <w:t>Option</w:t>
      </w:r>
      <w:r w:rsidRPr="00D4309F">
        <w:rPr>
          <w:spacing w:val="-1"/>
        </w:rPr>
        <w:t xml:space="preserve"> </w:t>
      </w:r>
      <w:r w:rsidRPr="00D4309F">
        <w:t>1A</w:t>
      </w:r>
      <w:r w:rsidRPr="00D4309F">
        <w:rPr>
          <w:spacing w:val="-1"/>
        </w:rPr>
        <w:t xml:space="preserve"> </w:t>
      </w:r>
      <w:r w:rsidRPr="00D4309F">
        <w:t>involves periodic</w:t>
      </w:r>
      <w:r w:rsidRPr="00D4309F">
        <w:rPr>
          <w:spacing w:val="-1"/>
        </w:rPr>
        <w:t xml:space="preserve"> </w:t>
      </w:r>
      <w:r w:rsidRPr="00D4309F">
        <w:t>TSHD dredging</w:t>
      </w:r>
      <w:r w:rsidRPr="00D4309F">
        <w:rPr>
          <w:spacing w:val="-1"/>
        </w:rPr>
        <w:t xml:space="preserve"> </w:t>
      </w:r>
      <w:r w:rsidRPr="00D4309F">
        <w:t>and</w:t>
      </w:r>
      <w:r w:rsidRPr="00D4309F">
        <w:rPr>
          <w:spacing w:val="-2"/>
        </w:rPr>
        <w:t xml:space="preserve"> </w:t>
      </w:r>
      <w:r w:rsidRPr="00D4309F">
        <w:t>sand</w:t>
      </w:r>
      <w:r w:rsidRPr="00D4309F">
        <w:rPr>
          <w:spacing w:val="-1"/>
        </w:rPr>
        <w:t xml:space="preserve"> </w:t>
      </w:r>
      <w:r w:rsidRPr="00D4309F">
        <w:t>recycling</w:t>
      </w:r>
      <w:r w:rsidRPr="00D4309F">
        <w:rPr>
          <w:spacing w:val="-1"/>
        </w:rPr>
        <w:t xml:space="preserve"> </w:t>
      </w:r>
      <w:r w:rsidRPr="00D4309F">
        <w:t>to</w:t>
      </w:r>
      <w:r w:rsidRPr="00D4309F">
        <w:rPr>
          <w:spacing w:val="-1"/>
        </w:rPr>
        <w:t xml:space="preserve"> </w:t>
      </w:r>
      <w:r w:rsidRPr="00D4309F">
        <w:t>nearby beaches,</w:t>
      </w:r>
      <w:r w:rsidRPr="00D4309F">
        <w:rPr>
          <w:spacing w:val="-1"/>
        </w:rPr>
        <w:t xml:space="preserve"> </w:t>
      </w:r>
      <w:r w:rsidRPr="00D4309F">
        <w:t>maintaining trap efficiency and regional sediment balance. The approach is proven, low-impact, and well-integrated with existing coastal programs. However, this approach does require substantial dredge volume and the efficiency</w:t>
      </w:r>
      <w:r w:rsidRPr="00D4309F">
        <w:rPr>
          <w:spacing w:val="-2"/>
        </w:rPr>
        <w:t xml:space="preserve"> </w:t>
      </w:r>
      <w:r w:rsidRPr="00D4309F">
        <w:t>of</w:t>
      </w:r>
      <w:r w:rsidRPr="00D4309F">
        <w:rPr>
          <w:spacing w:val="-3"/>
        </w:rPr>
        <w:t xml:space="preserve"> </w:t>
      </w:r>
      <w:r w:rsidRPr="00D4309F">
        <w:t>removal</w:t>
      </w:r>
      <w:r w:rsidRPr="00D4309F">
        <w:rPr>
          <w:spacing w:val="-3"/>
        </w:rPr>
        <w:t xml:space="preserve"> </w:t>
      </w:r>
      <w:r w:rsidRPr="00D4309F">
        <w:t>of</w:t>
      </w:r>
      <w:r w:rsidRPr="00D4309F">
        <w:rPr>
          <w:spacing w:val="-3"/>
        </w:rPr>
        <w:t xml:space="preserve"> </w:t>
      </w:r>
      <w:r w:rsidRPr="00D4309F">
        <w:t>materials</w:t>
      </w:r>
      <w:r w:rsidRPr="00D4309F">
        <w:rPr>
          <w:spacing w:val="-2"/>
        </w:rPr>
        <w:t xml:space="preserve"> </w:t>
      </w:r>
      <w:r w:rsidRPr="00D4309F">
        <w:t>is</w:t>
      </w:r>
      <w:r w:rsidRPr="00D4309F">
        <w:rPr>
          <w:spacing w:val="-2"/>
        </w:rPr>
        <w:t xml:space="preserve"> </w:t>
      </w:r>
      <w:r w:rsidRPr="00D4309F">
        <w:t>likely</w:t>
      </w:r>
      <w:r w:rsidRPr="00D4309F">
        <w:rPr>
          <w:spacing w:val="-2"/>
        </w:rPr>
        <w:t xml:space="preserve"> </w:t>
      </w:r>
      <w:r w:rsidRPr="00D4309F">
        <w:t>much</w:t>
      </w:r>
      <w:r w:rsidRPr="00D4309F">
        <w:rPr>
          <w:spacing w:val="-3"/>
        </w:rPr>
        <w:t xml:space="preserve"> </w:t>
      </w:r>
      <w:r w:rsidRPr="00D4309F">
        <w:t>lower,</w:t>
      </w:r>
      <w:r w:rsidRPr="00D4309F">
        <w:rPr>
          <w:spacing w:val="-3"/>
        </w:rPr>
        <w:t xml:space="preserve"> </w:t>
      </w:r>
      <w:r w:rsidRPr="00D4309F">
        <w:t>than</w:t>
      </w:r>
      <w:r w:rsidRPr="00D4309F">
        <w:rPr>
          <w:spacing w:val="-3"/>
        </w:rPr>
        <w:t xml:space="preserve"> </w:t>
      </w:r>
      <w:r w:rsidRPr="00D4309F">
        <w:t>dredging</w:t>
      </w:r>
      <w:r w:rsidRPr="00D4309F">
        <w:rPr>
          <w:spacing w:val="-3"/>
        </w:rPr>
        <w:t xml:space="preserve"> </w:t>
      </w:r>
      <w:r w:rsidRPr="00D4309F">
        <w:t>undertaken</w:t>
      </w:r>
      <w:r w:rsidRPr="00D4309F">
        <w:rPr>
          <w:spacing w:val="-4"/>
        </w:rPr>
        <w:t xml:space="preserve"> </w:t>
      </w:r>
      <w:r w:rsidRPr="00D4309F">
        <w:t>directly</w:t>
      </w:r>
      <w:r w:rsidRPr="00D4309F">
        <w:rPr>
          <w:spacing w:val="-2"/>
        </w:rPr>
        <w:t xml:space="preserve"> </w:t>
      </w:r>
      <w:r w:rsidRPr="00D4309F">
        <w:t>at</w:t>
      </w:r>
      <w:r w:rsidRPr="00D4309F">
        <w:rPr>
          <w:spacing w:val="-3"/>
        </w:rPr>
        <w:t xml:space="preserve"> </w:t>
      </w:r>
      <w:r w:rsidRPr="00D4309F">
        <w:t>or</w:t>
      </w:r>
      <w:r w:rsidRPr="00D4309F">
        <w:rPr>
          <w:spacing w:val="-4"/>
        </w:rPr>
        <w:t xml:space="preserve"> </w:t>
      </w:r>
      <w:r w:rsidRPr="00D4309F">
        <w:t>adjacent</w:t>
      </w:r>
      <w:r w:rsidRPr="00D4309F">
        <w:rPr>
          <w:spacing w:val="-3"/>
        </w:rPr>
        <w:t xml:space="preserve"> </w:t>
      </w:r>
      <w:r w:rsidRPr="00D4309F">
        <w:t>to</w:t>
      </w:r>
      <w:r w:rsidRPr="00D4309F">
        <w:rPr>
          <w:spacing w:val="-3"/>
        </w:rPr>
        <w:t xml:space="preserve"> </w:t>
      </w:r>
      <w:r w:rsidRPr="00D4309F">
        <w:t xml:space="preserve">the </w:t>
      </w:r>
      <w:r w:rsidRPr="00D4309F">
        <w:rPr>
          <w:spacing w:val="-2"/>
        </w:rPr>
        <w:t>entrance.</w:t>
      </w:r>
    </w:p>
    <w:p w14:paraId="4ACE5121" w14:textId="77777777" w:rsidR="00A546D7" w:rsidRPr="00D4309F" w:rsidRDefault="00A546D7" w:rsidP="00EE2982">
      <w:pPr>
        <w:pStyle w:val="Heading3"/>
      </w:pPr>
      <w:bookmarkStart w:id="237" w:name="_Toc216699376"/>
      <w:r w:rsidRPr="00D4309F">
        <w:t>Coastal</w:t>
      </w:r>
      <w:r w:rsidRPr="00D4309F">
        <w:rPr>
          <w:spacing w:val="-4"/>
        </w:rPr>
        <w:t xml:space="preserve"> </w:t>
      </w:r>
      <w:r w:rsidRPr="00D4309F">
        <w:t>process</w:t>
      </w:r>
      <w:r w:rsidRPr="00D4309F">
        <w:rPr>
          <w:spacing w:val="-4"/>
        </w:rPr>
        <w:t xml:space="preserve"> </w:t>
      </w:r>
      <w:r w:rsidRPr="00D4309F">
        <w:rPr>
          <w:spacing w:val="-2"/>
        </w:rPr>
        <w:t>considerations</w:t>
      </w:r>
      <w:bookmarkEnd w:id="237"/>
    </w:p>
    <w:p w14:paraId="680B3454" w14:textId="77777777" w:rsidR="00A546D7" w:rsidRPr="00D4309F" w:rsidRDefault="00A546D7" w:rsidP="00EE2982">
      <w:pPr>
        <w:pStyle w:val="Heading4"/>
      </w:pPr>
      <w:r w:rsidRPr="00D4309F">
        <w:t>Longshore</w:t>
      </w:r>
      <w:r w:rsidRPr="00D4309F">
        <w:rPr>
          <w:spacing w:val="-6"/>
        </w:rPr>
        <w:t xml:space="preserve"> </w:t>
      </w:r>
      <w:r w:rsidRPr="00D4309F">
        <w:t>sediment</w:t>
      </w:r>
      <w:r w:rsidRPr="00D4309F">
        <w:rPr>
          <w:spacing w:val="-4"/>
        </w:rPr>
        <w:t xml:space="preserve"> </w:t>
      </w:r>
      <w:r w:rsidRPr="00D4309F">
        <w:rPr>
          <w:spacing w:val="-2"/>
        </w:rPr>
        <w:t>transport</w:t>
      </w:r>
    </w:p>
    <w:p w14:paraId="10E37673" w14:textId="77777777" w:rsidR="00A546D7" w:rsidRPr="00D4309F" w:rsidRDefault="00A546D7" w:rsidP="00A546D7">
      <w:pPr>
        <w:pStyle w:val="BodyText"/>
      </w:pPr>
      <w:r w:rsidRPr="00D4309F">
        <w:t>The Mooloolaba–Buddina coastal cell is characterised by a highly dynamic littoral transport system, with sand</w:t>
      </w:r>
      <w:r w:rsidRPr="00D4309F">
        <w:rPr>
          <w:spacing w:val="-3"/>
        </w:rPr>
        <w:t xml:space="preserve"> </w:t>
      </w:r>
      <w:r w:rsidRPr="00D4309F">
        <w:t>moving</w:t>
      </w:r>
      <w:r w:rsidRPr="00D4309F">
        <w:rPr>
          <w:spacing w:val="-4"/>
        </w:rPr>
        <w:t xml:space="preserve"> </w:t>
      </w:r>
      <w:r w:rsidRPr="00D4309F">
        <w:t>both</w:t>
      </w:r>
      <w:r w:rsidRPr="00D4309F">
        <w:rPr>
          <w:spacing w:val="-3"/>
        </w:rPr>
        <w:t xml:space="preserve"> </w:t>
      </w:r>
      <w:r w:rsidRPr="00D4309F">
        <w:t>northward</w:t>
      </w:r>
      <w:r w:rsidRPr="00D4309F">
        <w:rPr>
          <w:spacing w:val="-3"/>
        </w:rPr>
        <w:t xml:space="preserve"> </w:t>
      </w:r>
      <w:r w:rsidRPr="00D4309F">
        <w:t>and</w:t>
      </w:r>
      <w:r w:rsidRPr="00D4309F">
        <w:rPr>
          <w:spacing w:val="-3"/>
        </w:rPr>
        <w:t xml:space="preserve"> </w:t>
      </w:r>
      <w:r w:rsidRPr="00D4309F">
        <w:t>southward</w:t>
      </w:r>
      <w:r w:rsidRPr="00D4309F">
        <w:rPr>
          <w:spacing w:val="-3"/>
        </w:rPr>
        <w:t xml:space="preserve"> </w:t>
      </w:r>
      <w:r w:rsidRPr="00D4309F">
        <w:t>under</w:t>
      </w:r>
      <w:r w:rsidRPr="00D4309F">
        <w:rPr>
          <w:spacing w:val="-2"/>
        </w:rPr>
        <w:t xml:space="preserve"> </w:t>
      </w:r>
      <w:r w:rsidRPr="00D4309F">
        <w:t>varying</w:t>
      </w:r>
      <w:r w:rsidRPr="00D4309F">
        <w:rPr>
          <w:spacing w:val="-4"/>
        </w:rPr>
        <w:t xml:space="preserve"> </w:t>
      </w:r>
      <w:r w:rsidRPr="00D4309F">
        <w:t>wave</w:t>
      </w:r>
      <w:r w:rsidRPr="00D4309F">
        <w:rPr>
          <w:spacing w:val="-3"/>
        </w:rPr>
        <w:t xml:space="preserve"> </w:t>
      </w:r>
      <w:r w:rsidRPr="00D4309F">
        <w:t>conditions.</w:t>
      </w:r>
      <w:r w:rsidRPr="00D4309F">
        <w:rPr>
          <w:spacing w:val="-4"/>
        </w:rPr>
        <w:t xml:space="preserve"> </w:t>
      </w:r>
      <w:r w:rsidRPr="00D4309F">
        <w:t>Modelling</w:t>
      </w:r>
      <w:r w:rsidRPr="00D4309F">
        <w:rPr>
          <w:spacing w:val="-3"/>
        </w:rPr>
        <w:t xml:space="preserve"> </w:t>
      </w:r>
      <w:r w:rsidRPr="00D4309F">
        <w:t>conducted</w:t>
      </w:r>
      <w:r w:rsidRPr="00D4309F">
        <w:rPr>
          <w:spacing w:val="-3"/>
        </w:rPr>
        <w:t xml:space="preserve"> </w:t>
      </w:r>
      <w:r w:rsidRPr="00D4309F">
        <w:t>by</w:t>
      </w:r>
      <w:r w:rsidRPr="00D4309F">
        <w:rPr>
          <w:spacing w:val="-3"/>
        </w:rPr>
        <w:t xml:space="preserve"> </w:t>
      </w:r>
      <w:r w:rsidRPr="00D4309F">
        <w:t>BMT (2024) indicates a net northward longshore transport rate around Point Cartwright of approximately 75,000 m</w:t>
      </w:r>
      <w:r w:rsidRPr="00D4309F">
        <w:rPr>
          <w:vertAlign w:val="superscript"/>
        </w:rPr>
        <w:t>3</w:t>
      </w:r>
      <w:r w:rsidRPr="00D4309F">
        <w:t xml:space="preserve"> per year, which represents the volume of sediment typically bypassing the headland and contributing to shoaling at the Mooloolaba Harbour entrance.</w:t>
      </w:r>
    </w:p>
    <w:p w14:paraId="0143DDE4" w14:textId="77777777" w:rsidR="00A546D7" w:rsidRPr="00D4309F" w:rsidRDefault="00A546D7" w:rsidP="00A546D7">
      <w:pPr>
        <w:pStyle w:val="BodyText"/>
      </w:pPr>
      <w:r w:rsidRPr="00D4309F">
        <w:t>In</w:t>
      </w:r>
      <w:r w:rsidRPr="00D4309F">
        <w:rPr>
          <w:spacing w:val="-2"/>
        </w:rPr>
        <w:t xml:space="preserve"> </w:t>
      </w:r>
      <w:r w:rsidRPr="00D4309F">
        <w:t>contrast,</w:t>
      </w:r>
      <w:r w:rsidRPr="00D4309F">
        <w:rPr>
          <w:spacing w:val="-2"/>
        </w:rPr>
        <w:t xml:space="preserve"> </w:t>
      </w:r>
      <w:r w:rsidRPr="00D4309F">
        <w:t>the</w:t>
      </w:r>
      <w:r w:rsidRPr="00D4309F">
        <w:rPr>
          <w:spacing w:val="-2"/>
        </w:rPr>
        <w:t xml:space="preserve"> </w:t>
      </w:r>
      <w:r w:rsidRPr="00D4309F">
        <w:t>gross</w:t>
      </w:r>
      <w:r w:rsidRPr="00D4309F">
        <w:rPr>
          <w:spacing w:val="-1"/>
        </w:rPr>
        <w:t xml:space="preserve"> </w:t>
      </w:r>
      <w:r w:rsidRPr="00D4309F">
        <w:t>annual</w:t>
      </w:r>
      <w:r w:rsidRPr="00D4309F">
        <w:rPr>
          <w:spacing w:val="-2"/>
        </w:rPr>
        <w:t xml:space="preserve"> </w:t>
      </w:r>
      <w:r w:rsidRPr="00D4309F">
        <w:t>transport</w:t>
      </w:r>
      <w:r w:rsidRPr="00D4309F">
        <w:rPr>
          <w:spacing w:val="-2"/>
        </w:rPr>
        <w:t xml:space="preserve"> </w:t>
      </w:r>
      <w:r w:rsidRPr="00D4309F">
        <w:t>along</w:t>
      </w:r>
      <w:r w:rsidRPr="00D4309F">
        <w:rPr>
          <w:spacing w:val="-2"/>
        </w:rPr>
        <w:t xml:space="preserve"> </w:t>
      </w:r>
      <w:r w:rsidRPr="00D4309F">
        <w:t>Buddina</w:t>
      </w:r>
      <w:r w:rsidRPr="00D4309F">
        <w:rPr>
          <w:spacing w:val="-3"/>
        </w:rPr>
        <w:t xml:space="preserve"> </w:t>
      </w:r>
      <w:r w:rsidRPr="00D4309F">
        <w:t>Beach</w:t>
      </w:r>
      <w:r w:rsidRPr="00D4309F">
        <w:rPr>
          <w:spacing w:val="-2"/>
        </w:rPr>
        <w:t xml:space="preserve"> </w:t>
      </w:r>
      <w:r w:rsidRPr="00D4309F">
        <w:t>is</w:t>
      </w:r>
      <w:r w:rsidRPr="00D4309F">
        <w:rPr>
          <w:spacing w:val="-1"/>
        </w:rPr>
        <w:t xml:space="preserve"> </w:t>
      </w:r>
      <w:r w:rsidRPr="00D4309F">
        <w:t>significantly</w:t>
      </w:r>
      <w:r w:rsidRPr="00D4309F">
        <w:rPr>
          <w:spacing w:val="-1"/>
        </w:rPr>
        <w:t xml:space="preserve"> </w:t>
      </w:r>
      <w:r w:rsidRPr="00D4309F">
        <w:t>higher</w:t>
      </w:r>
      <w:r w:rsidRPr="00D4309F">
        <w:rPr>
          <w:spacing w:val="-2"/>
        </w:rPr>
        <w:t xml:space="preserve"> </w:t>
      </w:r>
      <w:r w:rsidRPr="00D4309F">
        <w:t>—</w:t>
      </w:r>
      <w:r w:rsidRPr="00D4309F">
        <w:rPr>
          <w:spacing w:val="-2"/>
        </w:rPr>
        <w:t xml:space="preserve"> </w:t>
      </w:r>
      <w:r w:rsidRPr="00D4309F">
        <w:t>around</w:t>
      </w:r>
      <w:r w:rsidRPr="00D4309F">
        <w:rPr>
          <w:spacing w:val="-2"/>
        </w:rPr>
        <w:t xml:space="preserve"> </w:t>
      </w:r>
      <w:r w:rsidRPr="00D4309F">
        <w:t>485,000</w:t>
      </w:r>
      <w:r w:rsidRPr="00D4309F">
        <w:rPr>
          <w:spacing w:val="-2"/>
        </w:rPr>
        <w:t xml:space="preserve"> </w:t>
      </w:r>
      <w:r w:rsidRPr="00D4309F">
        <w:t>m</w:t>
      </w:r>
      <w:r w:rsidRPr="00D4309F">
        <w:rPr>
          <w:vertAlign w:val="superscript"/>
        </w:rPr>
        <w:t>3</w:t>
      </w:r>
      <w:r w:rsidRPr="00D4309F">
        <w:rPr>
          <w:spacing w:val="-2"/>
        </w:rPr>
        <w:t xml:space="preserve"> </w:t>
      </w:r>
      <w:r w:rsidRPr="00D4309F">
        <w:t>per year, comprising 280,000 m</w:t>
      </w:r>
      <w:r w:rsidRPr="00D4309F">
        <w:rPr>
          <w:vertAlign w:val="superscript"/>
        </w:rPr>
        <w:t>3</w:t>
      </w:r>
      <w:r w:rsidRPr="00D4309F">
        <w:t xml:space="preserve"> northward and 205,000 m</w:t>
      </w:r>
      <w:r w:rsidRPr="00D4309F">
        <w:rPr>
          <w:vertAlign w:val="superscript"/>
        </w:rPr>
        <w:t>3</w:t>
      </w:r>
      <w:r w:rsidRPr="00D4309F">
        <w:t xml:space="preserve"> southward. This highlights the bidirectional nature and</w:t>
      </w:r>
      <w:r w:rsidRPr="00D4309F">
        <w:rPr>
          <w:spacing w:val="-3"/>
        </w:rPr>
        <w:t xml:space="preserve"> </w:t>
      </w:r>
      <w:r w:rsidRPr="00D4309F">
        <w:t>high</w:t>
      </w:r>
      <w:r w:rsidRPr="00D4309F">
        <w:rPr>
          <w:spacing w:val="-3"/>
        </w:rPr>
        <w:t xml:space="preserve"> </w:t>
      </w:r>
      <w:r w:rsidRPr="00D4309F">
        <w:t>mobility</w:t>
      </w:r>
      <w:r w:rsidRPr="00D4309F">
        <w:rPr>
          <w:spacing w:val="-2"/>
        </w:rPr>
        <w:t xml:space="preserve"> </w:t>
      </w:r>
      <w:r w:rsidRPr="00D4309F">
        <w:t>of</w:t>
      </w:r>
      <w:r w:rsidRPr="00D4309F">
        <w:rPr>
          <w:spacing w:val="-3"/>
        </w:rPr>
        <w:t xml:space="preserve"> </w:t>
      </w:r>
      <w:r w:rsidRPr="00D4309F">
        <w:t>sand</w:t>
      </w:r>
      <w:r w:rsidRPr="00D4309F">
        <w:rPr>
          <w:spacing w:val="-4"/>
        </w:rPr>
        <w:t xml:space="preserve"> </w:t>
      </w:r>
      <w:r w:rsidRPr="00D4309F">
        <w:t>within</w:t>
      </w:r>
      <w:r w:rsidRPr="00D4309F">
        <w:rPr>
          <w:spacing w:val="-3"/>
        </w:rPr>
        <w:t xml:space="preserve"> </w:t>
      </w:r>
      <w:r w:rsidRPr="00D4309F">
        <w:t>this</w:t>
      </w:r>
      <w:r w:rsidRPr="00D4309F">
        <w:rPr>
          <w:spacing w:val="-2"/>
        </w:rPr>
        <w:t xml:space="preserve"> </w:t>
      </w:r>
      <w:r w:rsidRPr="00D4309F">
        <w:t>section</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coastline,</w:t>
      </w:r>
      <w:r w:rsidRPr="00D4309F">
        <w:rPr>
          <w:spacing w:val="-3"/>
        </w:rPr>
        <w:t xml:space="preserve"> </w:t>
      </w:r>
      <w:r w:rsidRPr="00D4309F">
        <w:t>where</w:t>
      </w:r>
      <w:r w:rsidRPr="00D4309F">
        <w:rPr>
          <w:spacing w:val="-4"/>
        </w:rPr>
        <w:t xml:space="preserve"> </w:t>
      </w:r>
      <w:r w:rsidRPr="00D4309F">
        <w:t>short-term</w:t>
      </w:r>
      <w:r w:rsidRPr="00D4309F">
        <w:rPr>
          <w:spacing w:val="-3"/>
        </w:rPr>
        <w:t xml:space="preserve"> </w:t>
      </w:r>
      <w:r w:rsidRPr="00D4309F">
        <w:t>reversals</w:t>
      </w:r>
      <w:r w:rsidRPr="00D4309F">
        <w:rPr>
          <w:spacing w:val="-2"/>
        </w:rPr>
        <w:t xml:space="preserve"> </w:t>
      </w:r>
      <w:r w:rsidRPr="00D4309F">
        <w:t>in</w:t>
      </w:r>
      <w:r w:rsidRPr="00D4309F">
        <w:rPr>
          <w:spacing w:val="-3"/>
        </w:rPr>
        <w:t xml:space="preserve"> </w:t>
      </w:r>
      <w:r w:rsidRPr="00D4309F">
        <w:t>transport</w:t>
      </w:r>
      <w:r w:rsidRPr="00D4309F">
        <w:rPr>
          <w:spacing w:val="-3"/>
        </w:rPr>
        <w:t xml:space="preserve"> </w:t>
      </w:r>
      <w:r w:rsidRPr="00D4309F">
        <w:t>direction occur frequently in response to seasonal and storm-driven wave conditions (BMT, 2024).</w:t>
      </w:r>
    </w:p>
    <w:p w14:paraId="23A42B94" w14:textId="77777777" w:rsidR="00A546D7" w:rsidRPr="00D4309F" w:rsidRDefault="00A546D7" w:rsidP="00A546D7">
      <w:pPr>
        <w:pStyle w:val="BodyText"/>
      </w:pPr>
      <w:r w:rsidRPr="00D4309F">
        <w:t>The proposed Buddina Beach Sand Trap is designed to intercept a portion of this northward-moving sediment</w:t>
      </w:r>
      <w:r w:rsidRPr="00D4309F">
        <w:rPr>
          <w:spacing w:val="-3"/>
        </w:rPr>
        <w:t xml:space="preserve"> </w:t>
      </w:r>
      <w:r w:rsidRPr="00D4309F">
        <w:t>before</w:t>
      </w:r>
      <w:r w:rsidRPr="00D4309F">
        <w:rPr>
          <w:spacing w:val="-3"/>
        </w:rPr>
        <w:t xml:space="preserve"> </w:t>
      </w:r>
      <w:r w:rsidRPr="00D4309F">
        <w:t>it</w:t>
      </w:r>
      <w:r w:rsidRPr="00D4309F">
        <w:rPr>
          <w:spacing w:val="-3"/>
        </w:rPr>
        <w:t xml:space="preserve"> </w:t>
      </w:r>
      <w:r w:rsidRPr="00D4309F">
        <w:t>rounds</w:t>
      </w:r>
      <w:r w:rsidRPr="00D4309F">
        <w:rPr>
          <w:spacing w:val="-2"/>
        </w:rPr>
        <w:t xml:space="preserve"> </w:t>
      </w:r>
      <w:r w:rsidRPr="00D4309F">
        <w:t>Point</w:t>
      </w:r>
      <w:r w:rsidRPr="00D4309F">
        <w:rPr>
          <w:spacing w:val="-3"/>
        </w:rPr>
        <w:t xml:space="preserve"> </w:t>
      </w:r>
      <w:r w:rsidRPr="00D4309F">
        <w:t>Cartwright.</w:t>
      </w:r>
      <w:r w:rsidRPr="00D4309F">
        <w:rPr>
          <w:spacing w:val="-4"/>
        </w:rPr>
        <w:t xml:space="preserve"> </w:t>
      </w:r>
      <w:r w:rsidRPr="00D4309F">
        <w:t>Modelled</w:t>
      </w:r>
      <w:r w:rsidRPr="00D4309F">
        <w:rPr>
          <w:spacing w:val="-4"/>
        </w:rPr>
        <w:t xml:space="preserve"> </w:t>
      </w:r>
      <w:r w:rsidRPr="00D4309F">
        <w:t>estimates</w:t>
      </w:r>
      <w:r w:rsidRPr="00D4309F">
        <w:rPr>
          <w:spacing w:val="-2"/>
        </w:rPr>
        <w:t xml:space="preserve"> </w:t>
      </w:r>
      <w:r w:rsidRPr="00D4309F">
        <w:t>suggest</w:t>
      </w:r>
      <w:r w:rsidRPr="00D4309F">
        <w:rPr>
          <w:spacing w:val="-3"/>
        </w:rPr>
        <w:t xml:space="preserve"> </w:t>
      </w:r>
      <w:r w:rsidRPr="00D4309F">
        <w:t>the</w:t>
      </w:r>
      <w:r w:rsidRPr="00D4309F">
        <w:rPr>
          <w:spacing w:val="-3"/>
        </w:rPr>
        <w:t xml:space="preserve"> </w:t>
      </w:r>
      <w:r w:rsidRPr="00D4309F">
        <w:t>trap</w:t>
      </w:r>
      <w:r w:rsidRPr="00D4309F">
        <w:rPr>
          <w:spacing w:val="-4"/>
        </w:rPr>
        <w:t xml:space="preserve"> </w:t>
      </w:r>
      <w:r w:rsidRPr="00D4309F">
        <w:t>could</w:t>
      </w:r>
      <w:r w:rsidRPr="00D4309F">
        <w:rPr>
          <w:spacing w:val="-4"/>
        </w:rPr>
        <w:t xml:space="preserve"> </w:t>
      </w:r>
      <w:r w:rsidRPr="00D4309F">
        <w:t>capture</w:t>
      </w:r>
      <w:r w:rsidRPr="00D4309F">
        <w:rPr>
          <w:spacing w:val="-3"/>
        </w:rPr>
        <w:t xml:space="preserve"> </w:t>
      </w:r>
      <w:r w:rsidRPr="00D4309F">
        <w:t>between 28,000 and 95,000 m</w:t>
      </w:r>
      <w:r w:rsidRPr="00D4309F">
        <w:rPr>
          <w:vertAlign w:val="superscript"/>
        </w:rPr>
        <w:t>3</w:t>
      </w:r>
      <w:r w:rsidRPr="00D4309F">
        <w:t xml:space="preserve"> per year, equating to approximately 37–126 % of the net northward sand flux, depending on storm frequency and wave climate (BMT, 2024).</w:t>
      </w:r>
    </w:p>
    <w:p w14:paraId="6C2885A3" w14:textId="77777777" w:rsidR="00A546D7" w:rsidRPr="00D4309F" w:rsidRDefault="00A546D7" w:rsidP="00A546D7">
      <w:pPr>
        <w:pStyle w:val="BodyText"/>
      </w:pPr>
      <w:r w:rsidRPr="00D4309F">
        <w:t>This</w:t>
      </w:r>
      <w:r w:rsidRPr="00D4309F">
        <w:rPr>
          <w:spacing w:val="-1"/>
        </w:rPr>
        <w:t xml:space="preserve"> </w:t>
      </w:r>
      <w:r w:rsidRPr="00D4309F">
        <w:t>reduction</w:t>
      </w:r>
      <w:r w:rsidRPr="00D4309F">
        <w:rPr>
          <w:spacing w:val="-2"/>
        </w:rPr>
        <w:t xml:space="preserve"> </w:t>
      </w:r>
      <w:r w:rsidRPr="00D4309F">
        <w:t>in</w:t>
      </w:r>
      <w:r w:rsidRPr="00D4309F">
        <w:rPr>
          <w:spacing w:val="-2"/>
        </w:rPr>
        <w:t xml:space="preserve"> </w:t>
      </w:r>
      <w:r w:rsidRPr="00D4309F">
        <w:t>volume</w:t>
      </w:r>
      <w:r w:rsidRPr="00D4309F">
        <w:rPr>
          <w:spacing w:val="-2"/>
        </w:rPr>
        <w:t xml:space="preserve"> </w:t>
      </w:r>
      <w:r w:rsidRPr="00D4309F">
        <w:t>of</w:t>
      </w:r>
      <w:r w:rsidRPr="00D4309F">
        <w:rPr>
          <w:spacing w:val="-2"/>
        </w:rPr>
        <w:t xml:space="preserve"> </w:t>
      </w:r>
      <w:r w:rsidRPr="00D4309F">
        <w:t>sand</w:t>
      </w:r>
      <w:r w:rsidRPr="00D4309F">
        <w:rPr>
          <w:spacing w:val="-2"/>
        </w:rPr>
        <w:t xml:space="preserve"> </w:t>
      </w:r>
      <w:r w:rsidRPr="00D4309F">
        <w:t>naturally</w:t>
      </w:r>
      <w:r w:rsidRPr="00D4309F">
        <w:rPr>
          <w:spacing w:val="-1"/>
        </w:rPr>
        <w:t xml:space="preserve"> </w:t>
      </w:r>
      <w:r w:rsidRPr="00D4309F">
        <w:t>bypassing</w:t>
      </w:r>
      <w:r w:rsidRPr="00D4309F">
        <w:rPr>
          <w:spacing w:val="-3"/>
        </w:rPr>
        <w:t xml:space="preserve"> </w:t>
      </w:r>
      <w:r w:rsidRPr="00D4309F">
        <w:t>Point</w:t>
      </w:r>
      <w:r w:rsidRPr="00D4309F">
        <w:rPr>
          <w:spacing w:val="-2"/>
        </w:rPr>
        <w:t xml:space="preserve"> </w:t>
      </w:r>
      <w:r w:rsidRPr="00D4309F">
        <w:t>Cartwright,</w:t>
      </w:r>
      <w:r w:rsidRPr="00D4309F">
        <w:rPr>
          <w:spacing w:val="-3"/>
        </w:rPr>
        <w:t xml:space="preserve"> </w:t>
      </w:r>
      <w:r w:rsidRPr="00D4309F">
        <w:t>will</w:t>
      </w:r>
      <w:r w:rsidRPr="00D4309F">
        <w:rPr>
          <w:spacing w:val="-2"/>
        </w:rPr>
        <w:t xml:space="preserve"> </w:t>
      </w:r>
      <w:r w:rsidRPr="00D4309F">
        <w:t>result</w:t>
      </w:r>
      <w:r w:rsidRPr="00D4309F">
        <w:rPr>
          <w:spacing w:val="-2"/>
        </w:rPr>
        <w:t xml:space="preserve"> </w:t>
      </w:r>
      <w:r w:rsidRPr="00D4309F">
        <w:t>in</w:t>
      </w:r>
      <w:r w:rsidRPr="00D4309F">
        <w:rPr>
          <w:spacing w:val="-2"/>
        </w:rPr>
        <w:t xml:space="preserve"> </w:t>
      </w:r>
      <w:r w:rsidRPr="00D4309F">
        <w:t>a</w:t>
      </w:r>
      <w:r w:rsidRPr="00D4309F">
        <w:rPr>
          <w:spacing w:val="-2"/>
        </w:rPr>
        <w:t xml:space="preserve"> </w:t>
      </w:r>
      <w:r w:rsidRPr="00D4309F">
        <w:t>modest</w:t>
      </w:r>
      <w:r w:rsidRPr="00D4309F">
        <w:rPr>
          <w:spacing w:val="-4"/>
        </w:rPr>
        <w:t xml:space="preserve"> </w:t>
      </w:r>
      <w:r w:rsidRPr="00D4309F">
        <w:t>decrease</w:t>
      </w:r>
      <w:r w:rsidRPr="00D4309F">
        <w:rPr>
          <w:spacing w:val="-2"/>
        </w:rPr>
        <w:t xml:space="preserve"> </w:t>
      </w:r>
      <w:r w:rsidRPr="00D4309F">
        <w:t>in</w:t>
      </w:r>
      <w:r w:rsidRPr="00D4309F">
        <w:rPr>
          <w:spacing w:val="-2"/>
        </w:rPr>
        <w:t xml:space="preserve"> </w:t>
      </w:r>
      <w:r w:rsidRPr="00D4309F">
        <w:t>the sediment supply available to the northern beaches. This reduction will likely slow the natural replenishment of these beaches; however, the impact is expected to be minor because the trapped material will be periodically re-dredged and reintroduced to the system through targeted nourishment campaigns. This managed sand recycling approach will maintain the overall sediment balance of the coastal cell, ensuring that while shoaling at the Mooloolaba entrance is reduced, the northern beaches continue to receive sufficient sand to sustain their natural dynamic equilibrium.</w:t>
      </w:r>
    </w:p>
    <w:p w14:paraId="699B9E62" w14:textId="3786F399" w:rsidR="00A546D7" w:rsidRPr="00D4309F" w:rsidRDefault="00A546D7" w:rsidP="00A546D7">
      <w:pPr>
        <w:pStyle w:val="BodyText"/>
      </w:pPr>
      <w:r w:rsidRPr="00D4309F">
        <w:t>The</w:t>
      </w:r>
      <w:r w:rsidRPr="00D4309F">
        <w:rPr>
          <w:spacing w:val="-3"/>
        </w:rPr>
        <w:t xml:space="preserve"> </w:t>
      </w:r>
      <w:r w:rsidRPr="00D4309F">
        <w:t>longshore</w:t>
      </w:r>
      <w:r w:rsidRPr="00D4309F">
        <w:rPr>
          <w:spacing w:val="-3"/>
        </w:rPr>
        <w:t xml:space="preserve"> </w:t>
      </w:r>
      <w:r w:rsidRPr="00D4309F">
        <w:t>transport</w:t>
      </w:r>
      <w:r w:rsidRPr="00D4309F">
        <w:rPr>
          <w:spacing w:val="-3"/>
        </w:rPr>
        <w:t xml:space="preserve"> </w:t>
      </w:r>
      <w:r w:rsidRPr="00D4309F">
        <w:t>analysis</w:t>
      </w:r>
      <w:r w:rsidRPr="00D4309F">
        <w:rPr>
          <w:spacing w:val="-3"/>
        </w:rPr>
        <w:t xml:space="preserve"> </w:t>
      </w:r>
      <w:r w:rsidRPr="00D4309F">
        <w:t>(</w:t>
      </w:r>
      <w:hyperlink w:anchor="_bookmark105" w:history="1">
        <w:r w:rsidRPr="00D4309F">
          <w:t>Figure</w:t>
        </w:r>
        <w:r w:rsidRPr="00D4309F">
          <w:rPr>
            <w:spacing w:val="-3"/>
          </w:rPr>
          <w:t xml:space="preserve"> </w:t>
        </w:r>
        <w:r w:rsidRPr="00D4309F">
          <w:t>13-4</w:t>
        </w:r>
      </w:hyperlink>
      <w:r w:rsidRPr="00D4309F">
        <w:t>)</w:t>
      </w:r>
      <w:r w:rsidRPr="00D4309F">
        <w:rPr>
          <w:spacing w:val="-2"/>
        </w:rPr>
        <w:t xml:space="preserve"> </w:t>
      </w:r>
      <w:r w:rsidRPr="00D4309F">
        <w:t>also</w:t>
      </w:r>
      <w:r w:rsidRPr="00D4309F">
        <w:rPr>
          <w:spacing w:val="-3"/>
        </w:rPr>
        <w:t xml:space="preserve"> </w:t>
      </w:r>
      <w:r w:rsidRPr="00D4309F">
        <w:t>highlights</w:t>
      </w:r>
      <w:r w:rsidRPr="00D4309F">
        <w:rPr>
          <w:spacing w:val="-2"/>
        </w:rPr>
        <w:t xml:space="preserve"> </w:t>
      </w:r>
      <w:r w:rsidRPr="00D4309F">
        <w:t>that</w:t>
      </w:r>
      <w:r w:rsidRPr="00D4309F">
        <w:rPr>
          <w:spacing w:val="-3"/>
        </w:rPr>
        <w:t xml:space="preserve"> </w:t>
      </w:r>
      <w:r w:rsidRPr="00D4309F">
        <w:t>trap</w:t>
      </w:r>
      <w:r w:rsidRPr="00D4309F">
        <w:rPr>
          <w:spacing w:val="-3"/>
        </w:rPr>
        <w:t xml:space="preserve"> </w:t>
      </w:r>
      <w:r w:rsidRPr="00D4309F">
        <w:t>performance</w:t>
      </w:r>
      <w:r w:rsidRPr="00D4309F">
        <w:rPr>
          <w:spacing w:val="-4"/>
        </w:rPr>
        <w:t xml:space="preserve"> </w:t>
      </w:r>
      <w:r w:rsidRPr="00D4309F">
        <w:t>will</w:t>
      </w:r>
      <w:r w:rsidRPr="00D4309F">
        <w:rPr>
          <w:spacing w:val="-3"/>
        </w:rPr>
        <w:t xml:space="preserve"> </w:t>
      </w:r>
      <w:r w:rsidRPr="00D4309F">
        <w:t>be</w:t>
      </w:r>
      <w:r w:rsidRPr="00D4309F">
        <w:rPr>
          <w:spacing w:val="-3"/>
        </w:rPr>
        <w:t xml:space="preserve"> </w:t>
      </w:r>
      <w:r w:rsidRPr="00D4309F">
        <w:t>episodic,</w:t>
      </w:r>
      <w:r w:rsidRPr="00D4309F">
        <w:rPr>
          <w:spacing w:val="-3"/>
        </w:rPr>
        <w:t xml:space="preserve"> </w:t>
      </w:r>
      <w:r w:rsidRPr="00D4309F">
        <w:t>with</w:t>
      </w:r>
      <w:r w:rsidRPr="00D4309F">
        <w:rPr>
          <w:spacing w:val="-3"/>
        </w:rPr>
        <w:t xml:space="preserve"> </w:t>
      </w:r>
      <w:r w:rsidRPr="00D4309F">
        <w:t>the greatest capture efficiency occurring during large wave events when sand is mobilised in deeper water.</w:t>
      </w:r>
    </w:p>
    <w:p w14:paraId="226E80AF" w14:textId="04CD73A5" w:rsidR="00A632EB" w:rsidRPr="00D4309F" w:rsidRDefault="00A546D7" w:rsidP="00A632EB">
      <w:pPr>
        <w:pStyle w:val="BodyText"/>
      </w:pPr>
      <w:r w:rsidRPr="00D4309F">
        <w:t>Under</w:t>
      </w:r>
      <w:r w:rsidRPr="00D4309F">
        <w:rPr>
          <w:spacing w:val="-2"/>
        </w:rPr>
        <w:t xml:space="preserve"> </w:t>
      </w:r>
      <w:r w:rsidRPr="00D4309F">
        <w:t>typical</w:t>
      </w:r>
      <w:r w:rsidRPr="00D4309F">
        <w:rPr>
          <w:spacing w:val="-4"/>
        </w:rPr>
        <w:t xml:space="preserve"> </w:t>
      </w:r>
      <w:r w:rsidRPr="00D4309F">
        <w:t>calm</w:t>
      </w:r>
      <w:r w:rsidRPr="00D4309F">
        <w:rPr>
          <w:spacing w:val="-3"/>
        </w:rPr>
        <w:t xml:space="preserve"> </w:t>
      </w:r>
      <w:r w:rsidRPr="00D4309F">
        <w:t>conditions,</w:t>
      </w:r>
      <w:r w:rsidRPr="00D4309F">
        <w:rPr>
          <w:spacing w:val="-3"/>
        </w:rPr>
        <w:t xml:space="preserve"> </w:t>
      </w:r>
      <w:r w:rsidRPr="00D4309F">
        <w:t>most</w:t>
      </w:r>
      <w:r w:rsidRPr="00D4309F">
        <w:rPr>
          <w:spacing w:val="-3"/>
        </w:rPr>
        <w:t xml:space="preserve"> </w:t>
      </w:r>
      <w:r w:rsidRPr="00D4309F">
        <w:t>sediment</w:t>
      </w:r>
      <w:r w:rsidRPr="00D4309F">
        <w:rPr>
          <w:spacing w:val="-3"/>
        </w:rPr>
        <w:t xml:space="preserve"> </w:t>
      </w:r>
      <w:r w:rsidRPr="00D4309F">
        <w:t>transport</w:t>
      </w:r>
      <w:r w:rsidRPr="00D4309F">
        <w:rPr>
          <w:spacing w:val="-3"/>
        </w:rPr>
        <w:t xml:space="preserve"> </w:t>
      </w:r>
      <w:r w:rsidRPr="00D4309F">
        <w:t>remains</w:t>
      </w:r>
      <w:r w:rsidRPr="00D4309F">
        <w:rPr>
          <w:spacing w:val="-2"/>
        </w:rPr>
        <w:t xml:space="preserve"> </w:t>
      </w:r>
      <w:r w:rsidRPr="00D4309F">
        <w:t>landward</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-7</w:t>
      </w:r>
      <w:r w:rsidRPr="00D4309F">
        <w:rPr>
          <w:spacing w:val="-3"/>
        </w:rPr>
        <w:t xml:space="preserve"> </w:t>
      </w:r>
      <w:r w:rsidRPr="00D4309F">
        <w:t>m</w:t>
      </w:r>
      <w:r w:rsidRPr="00D4309F">
        <w:rPr>
          <w:spacing w:val="-3"/>
        </w:rPr>
        <w:t xml:space="preserve"> </w:t>
      </w:r>
      <w:r w:rsidRPr="00D4309F">
        <w:t>AHD</w:t>
      </w:r>
      <w:r w:rsidRPr="00D4309F">
        <w:rPr>
          <w:spacing w:val="-2"/>
        </w:rPr>
        <w:t xml:space="preserve"> </w:t>
      </w:r>
      <w:r w:rsidRPr="00D4309F">
        <w:t>contour,</w:t>
      </w:r>
      <w:r w:rsidRPr="00D4309F">
        <w:rPr>
          <w:spacing w:val="-3"/>
        </w:rPr>
        <w:t xml:space="preserve"> </w:t>
      </w:r>
      <w:r w:rsidRPr="00D4309F">
        <w:t>resulting in minimal ongoing infill. This behaviour ensures that the sand trap fills gradually rather than continuously, allowing manageable re-dredging intervals.</w:t>
      </w:r>
    </w:p>
    <w:p w14:paraId="62223D6A" w14:textId="77777777" w:rsidR="00BD46A3" w:rsidRDefault="00A632EB" w:rsidP="00BD46A3">
      <w:pPr>
        <w:keepNext/>
        <w:ind w:left="1817"/>
      </w:pPr>
      <w:r w:rsidRPr="00D4309F">
        <w:rPr>
          <w:noProof/>
        </w:rPr>
        <w:lastRenderedPageBreak/>
        <w:drawing>
          <wp:inline distT="0" distB="0" distL="0" distR="0" wp14:anchorId="2ADAA0A9" wp14:editId="5A10280E">
            <wp:extent cx="4548475" cy="5873496"/>
            <wp:effectExtent l="0" t="0" r="0" b="0"/>
            <wp:docPr id="122" name="Image 122" descr="Image is two graphs, one on top of each other, that shows the cross-shore distribution of longshore transport at proposed north Buddina extr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descr="Image is two graphs, one on top of each other, that shows the cross-shore distribution of longshore transport at proposed north Buddina extration"/>
                    <pic:cNvPicPr/>
                  </pic:nvPicPr>
                  <pic:blipFill>
                    <a:blip r:embed="rId79" cstate="print"/>
                    <a:stretch>
                      <a:fillRect/>
                    </a:stretch>
                  </pic:blipFill>
                  <pic:spPr>
                    <a:xfrm>
                      <a:off x="0" y="0"/>
                      <a:ext cx="4548475" cy="5873496"/>
                    </a:xfrm>
                    <a:prstGeom prst="rect">
                      <a:avLst/>
                    </a:prstGeom>
                  </pic:spPr>
                </pic:pic>
              </a:graphicData>
            </a:graphic>
          </wp:inline>
        </w:drawing>
      </w:r>
    </w:p>
    <w:p w14:paraId="03CC51D4" w14:textId="205CAD2A" w:rsidR="00A632EB" w:rsidRDefault="00BD46A3" w:rsidP="00EF4321">
      <w:pPr>
        <w:pStyle w:val="Caption"/>
        <w:rPr>
          <w:color w:val="211E1F"/>
          <w:spacing w:val="-2"/>
        </w:rPr>
      </w:pPr>
      <w:bookmarkStart w:id="238" w:name="_Toc216699619"/>
      <w:r>
        <w:t xml:space="preserve">Figure </w:t>
      </w:r>
      <w:r w:rsidR="00B538D4">
        <w:fldChar w:fldCharType="begin" w:fldLock="1"/>
      </w:r>
      <w:r w:rsidR="00B538D4">
        <w:instrText xml:space="preserve"> STYLEREF 1 \s </w:instrText>
      </w:r>
      <w:r w:rsidR="00B538D4">
        <w:fldChar w:fldCharType="separate"/>
      </w:r>
      <w:r w:rsidR="00B538D4">
        <w:rPr>
          <w:noProof/>
        </w:rPr>
        <w:t>13</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4</w:t>
      </w:r>
      <w:r w:rsidR="00B538D4">
        <w:fldChar w:fldCharType="end"/>
      </w:r>
      <w:r>
        <w:t>:</w:t>
      </w:r>
      <w:r>
        <w:tab/>
      </w:r>
      <w:r w:rsidRPr="00D4309F">
        <w:rPr>
          <w:color w:val="211E1F"/>
        </w:rPr>
        <w:t>Cross-shore</w:t>
      </w:r>
      <w:r w:rsidRPr="00D4309F">
        <w:rPr>
          <w:color w:val="211E1F"/>
          <w:spacing w:val="-3"/>
        </w:rPr>
        <w:t xml:space="preserve"> </w:t>
      </w:r>
      <w:r w:rsidRPr="00D4309F">
        <w:rPr>
          <w:color w:val="211E1F"/>
        </w:rPr>
        <w:t>distribution</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longshore</w:t>
      </w:r>
      <w:r w:rsidRPr="00D4309F">
        <w:rPr>
          <w:color w:val="211E1F"/>
          <w:spacing w:val="-3"/>
        </w:rPr>
        <w:t xml:space="preserve"> </w:t>
      </w:r>
      <w:r w:rsidRPr="00D4309F">
        <w:rPr>
          <w:color w:val="211E1F"/>
        </w:rPr>
        <w:t>transport</w:t>
      </w:r>
      <w:r w:rsidRPr="00D4309F">
        <w:rPr>
          <w:color w:val="211E1F"/>
          <w:spacing w:val="-2"/>
        </w:rPr>
        <w:t xml:space="preserve"> </w:t>
      </w:r>
      <w:r w:rsidRPr="00D4309F">
        <w:rPr>
          <w:color w:val="211E1F"/>
        </w:rPr>
        <w:t>at</w:t>
      </w:r>
      <w:r w:rsidRPr="00D4309F">
        <w:rPr>
          <w:color w:val="211E1F"/>
          <w:spacing w:val="-3"/>
        </w:rPr>
        <w:t xml:space="preserve"> </w:t>
      </w:r>
      <w:r w:rsidRPr="00D4309F">
        <w:rPr>
          <w:color w:val="211E1F"/>
        </w:rPr>
        <w:t>proposed</w:t>
      </w:r>
      <w:r w:rsidRPr="00D4309F">
        <w:rPr>
          <w:color w:val="211E1F"/>
          <w:spacing w:val="-2"/>
        </w:rPr>
        <w:t xml:space="preserve"> </w:t>
      </w:r>
      <w:r w:rsidRPr="00D4309F">
        <w:rPr>
          <w:color w:val="211E1F"/>
        </w:rPr>
        <w:t>north</w:t>
      </w:r>
      <w:r w:rsidRPr="00D4309F">
        <w:rPr>
          <w:color w:val="211E1F"/>
          <w:spacing w:val="-2"/>
        </w:rPr>
        <w:t xml:space="preserve"> </w:t>
      </w:r>
      <w:r w:rsidRPr="00D4309F">
        <w:rPr>
          <w:color w:val="211E1F"/>
        </w:rPr>
        <w:t>Buddina</w:t>
      </w:r>
      <w:r w:rsidRPr="00D4309F">
        <w:rPr>
          <w:color w:val="211E1F"/>
          <w:spacing w:val="-3"/>
        </w:rPr>
        <w:t xml:space="preserve"> </w:t>
      </w:r>
      <w:r w:rsidRPr="00D4309F">
        <w:rPr>
          <w:color w:val="211E1F"/>
          <w:spacing w:val="-2"/>
        </w:rPr>
        <w:t>extraction</w:t>
      </w:r>
      <w:bookmarkStart w:id="239" w:name="_bookmark105"/>
      <w:bookmarkEnd w:id="238"/>
      <w:bookmarkEnd w:id="239"/>
    </w:p>
    <w:p w14:paraId="1708BF6E" w14:textId="77777777" w:rsidR="002F0FDA" w:rsidRPr="002F0FDA" w:rsidRDefault="002F0FDA" w:rsidP="002F0FDA">
      <w:pPr>
        <w:pStyle w:val="BodyText"/>
      </w:pPr>
    </w:p>
    <w:p w14:paraId="506BE3B1" w14:textId="77777777" w:rsidR="00A632EB" w:rsidRPr="00D4309F" w:rsidRDefault="00A632EB" w:rsidP="00EE2982">
      <w:pPr>
        <w:pStyle w:val="Heading4"/>
      </w:pPr>
      <w:r w:rsidRPr="00D4309F">
        <w:t>Cross-shore</w:t>
      </w:r>
      <w:r w:rsidRPr="00D4309F">
        <w:rPr>
          <w:spacing w:val="-5"/>
        </w:rPr>
        <w:t xml:space="preserve"> </w:t>
      </w:r>
      <w:r w:rsidRPr="00D4309F">
        <w:rPr>
          <w:spacing w:val="-2"/>
        </w:rPr>
        <w:t>dynamics</w:t>
      </w:r>
    </w:p>
    <w:p w14:paraId="560AE78C" w14:textId="77777777" w:rsidR="00A632EB" w:rsidRPr="00D4309F" w:rsidRDefault="00A632EB" w:rsidP="00A632EB">
      <w:pPr>
        <w:pStyle w:val="BodyText"/>
      </w:pPr>
      <w:r w:rsidRPr="00D4309F">
        <w:t>Cross-shore</w:t>
      </w:r>
      <w:r w:rsidRPr="00D4309F">
        <w:rPr>
          <w:spacing w:val="-3"/>
        </w:rPr>
        <w:t xml:space="preserve"> </w:t>
      </w:r>
      <w:r w:rsidRPr="00D4309F">
        <w:t>sediment</w:t>
      </w:r>
      <w:r w:rsidRPr="00D4309F">
        <w:rPr>
          <w:spacing w:val="-2"/>
        </w:rPr>
        <w:t xml:space="preserve"> </w:t>
      </w:r>
      <w:r w:rsidRPr="00D4309F">
        <w:t>exchange</w:t>
      </w:r>
      <w:r w:rsidRPr="00D4309F">
        <w:rPr>
          <w:spacing w:val="-2"/>
        </w:rPr>
        <w:t xml:space="preserve"> </w:t>
      </w:r>
      <w:r w:rsidRPr="00D4309F">
        <w:t>plays</w:t>
      </w:r>
      <w:r w:rsidRPr="00D4309F">
        <w:rPr>
          <w:spacing w:val="-2"/>
        </w:rPr>
        <w:t xml:space="preserve"> </w:t>
      </w:r>
      <w:r w:rsidRPr="00D4309F">
        <w:t>a</w:t>
      </w:r>
      <w:r w:rsidRPr="00D4309F">
        <w:rPr>
          <w:spacing w:val="-2"/>
        </w:rPr>
        <w:t xml:space="preserve"> </w:t>
      </w:r>
      <w:r w:rsidRPr="00D4309F">
        <w:t>significant</w:t>
      </w:r>
      <w:r w:rsidRPr="00D4309F">
        <w:rPr>
          <w:spacing w:val="-2"/>
        </w:rPr>
        <w:t xml:space="preserve"> </w:t>
      </w:r>
      <w:r w:rsidRPr="00D4309F">
        <w:t>role</w:t>
      </w:r>
      <w:r w:rsidRPr="00D4309F">
        <w:rPr>
          <w:spacing w:val="-2"/>
        </w:rPr>
        <w:t xml:space="preserve"> </w:t>
      </w:r>
      <w:r w:rsidRPr="00D4309F">
        <w:t>in</w:t>
      </w:r>
      <w:r w:rsidRPr="00D4309F">
        <w:rPr>
          <w:spacing w:val="-2"/>
        </w:rPr>
        <w:t xml:space="preserve"> </w:t>
      </w:r>
      <w:r w:rsidRPr="00D4309F">
        <w:t>determining</w:t>
      </w:r>
      <w:r w:rsidRPr="00D4309F">
        <w:rPr>
          <w:spacing w:val="-2"/>
        </w:rPr>
        <w:t xml:space="preserve"> </w:t>
      </w:r>
      <w:r w:rsidRPr="00D4309F">
        <w:t>both</w:t>
      </w:r>
      <w:r w:rsidRPr="00D4309F">
        <w:rPr>
          <w:spacing w:val="-2"/>
        </w:rPr>
        <w:t xml:space="preserve"> </w:t>
      </w:r>
      <w:r w:rsidRPr="00D4309F">
        <w:t>the</w:t>
      </w:r>
      <w:r w:rsidRPr="00D4309F">
        <w:rPr>
          <w:spacing w:val="-3"/>
        </w:rPr>
        <w:t xml:space="preserve"> </w:t>
      </w:r>
      <w:r w:rsidRPr="00D4309F">
        <w:t>rate</w:t>
      </w:r>
      <w:r w:rsidRPr="00D4309F">
        <w:rPr>
          <w:spacing w:val="-2"/>
        </w:rPr>
        <w:t xml:space="preserve"> </w:t>
      </w:r>
      <w:r w:rsidRPr="00D4309F">
        <w:t>of</w:t>
      </w:r>
      <w:r w:rsidRPr="00D4309F">
        <w:rPr>
          <w:spacing w:val="-2"/>
        </w:rPr>
        <w:t xml:space="preserve"> </w:t>
      </w:r>
      <w:r w:rsidRPr="00D4309F">
        <w:t>sand</w:t>
      </w:r>
      <w:r w:rsidRPr="00D4309F">
        <w:rPr>
          <w:spacing w:val="-2"/>
        </w:rPr>
        <w:t xml:space="preserve"> </w:t>
      </w:r>
      <w:r w:rsidRPr="00D4309F">
        <w:t>trap</w:t>
      </w:r>
      <w:r w:rsidRPr="00D4309F">
        <w:rPr>
          <w:spacing w:val="-2"/>
        </w:rPr>
        <w:t xml:space="preserve"> </w:t>
      </w:r>
      <w:r w:rsidRPr="00D4309F">
        <w:t>infill</w:t>
      </w:r>
      <w:r w:rsidRPr="00D4309F">
        <w:rPr>
          <w:spacing w:val="-2"/>
        </w:rPr>
        <w:t xml:space="preserve"> </w:t>
      </w:r>
      <w:r w:rsidRPr="00D4309F">
        <w:t>and</w:t>
      </w:r>
      <w:r w:rsidRPr="00D4309F">
        <w:rPr>
          <w:spacing w:val="-2"/>
        </w:rPr>
        <w:t xml:space="preserve"> </w:t>
      </w:r>
      <w:r w:rsidRPr="00D4309F">
        <w:t>the response of the adjacent shoreline. Modelling using the SBEACH numerical model was applied to assess potential cross-shore sediment movement during both historical and design storm events.</w:t>
      </w:r>
    </w:p>
    <w:p w14:paraId="7B61D56D" w14:textId="77777777" w:rsidR="00A632EB" w:rsidRPr="00D4309F" w:rsidRDefault="00A632EB" w:rsidP="00A632EB">
      <w:pPr>
        <w:pStyle w:val="BodyText"/>
      </w:pPr>
      <w:r w:rsidRPr="00D4309F">
        <w:t>Two</w:t>
      </w:r>
      <w:r w:rsidRPr="00D4309F">
        <w:rPr>
          <w:spacing w:val="-4"/>
        </w:rPr>
        <w:t xml:space="preserve"> </w:t>
      </w:r>
      <w:r w:rsidRPr="00D4309F">
        <w:t>storm</w:t>
      </w:r>
      <w:r w:rsidRPr="00D4309F">
        <w:rPr>
          <w:spacing w:val="-3"/>
        </w:rPr>
        <w:t xml:space="preserve"> </w:t>
      </w:r>
      <w:r w:rsidRPr="00D4309F">
        <w:t>scenarios</w:t>
      </w:r>
      <w:r w:rsidRPr="00D4309F">
        <w:rPr>
          <w:spacing w:val="-3"/>
        </w:rPr>
        <w:t xml:space="preserve"> </w:t>
      </w:r>
      <w:r w:rsidRPr="00D4309F">
        <w:t>were</w:t>
      </w:r>
      <w:r w:rsidRPr="00D4309F">
        <w:rPr>
          <w:spacing w:val="-3"/>
        </w:rPr>
        <w:t xml:space="preserve"> </w:t>
      </w:r>
      <w:r w:rsidRPr="00D4309F">
        <w:rPr>
          <w:spacing w:val="-2"/>
        </w:rPr>
        <w:t>modelled:</w:t>
      </w:r>
    </w:p>
    <w:p w14:paraId="7345A231" w14:textId="77777777" w:rsidR="00A632EB" w:rsidRPr="00D4309F" w:rsidRDefault="00A632EB" w:rsidP="00D27F26">
      <w:pPr>
        <w:pStyle w:val="ListNumber"/>
        <w:numPr>
          <w:ilvl w:val="0"/>
          <w:numId w:val="486"/>
        </w:numPr>
      </w:pPr>
      <w:r w:rsidRPr="00D4309F">
        <w:t>Ex-Tropical</w:t>
      </w:r>
      <w:r w:rsidRPr="00D33C9A">
        <w:rPr>
          <w:spacing w:val="-8"/>
        </w:rPr>
        <w:t xml:space="preserve"> </w:t>
      </w:r>
      <w:r w:rsidRPr="00D4309F">
        <w:t>Cyclone</w:t>
      </w:r>
      <w:r w:rsidRPr="00D33C9A">
        <w:rPr>
          <w:spacing w:val="-4"/>
        </w:rPr>
        <w:t xml:space="preserve"> </w:t>
      </w:r>
      <w:r w:rsidRPr="00D4309F">
        <w:t>Oswald</w:t>
      </w:r>
      <w:r w:rsidRPr="00D33C9A">
        <w:rPr>
          <w:spacing w:val="-4"/>
        </w:rPr>
        <w:t xml:space="preserve"> </w:t>
      </w:r>
      <w:r w:rsidRPr="00D4309F">
        <w:t>(2013)</w:t>
      </w:r>
      <w:r w:rsidRPr="00D33C9A">
        <w:rPr>
          <w:spacing w:val="-4"/>
        </w:rPr>
        <w:t xml:space="preserve"> </w:t>
      </w:r>
      <w:r w:rsidRPr="00D4309F">
        <w:t>–</w:t>
      </w:r>
      <w:r w:rsidRPr="00D33C9A">
        <w:rPr>
          <w:spacing w:val="-4"/>
        </w:rPr>
        <w:t xml:space="preserve"> </w:t>
      </w:r>
      <w:r w:rsidRPr="00D4309F">
        <w:t>representative</w:t>
      </w:r>
      <w:r w:rsidRPr="00D33C9A">
        <w:rPr>
          <w:spacing w:val="-5"/>
        </w:rPr>
        <w:t xml:space="preserve"> </w:t>
      </w:r>
      <w:r w:rsidRPr="00D4309F">
        <w:t>of</w:t>
      </w:r>
      <w:r w:rsidRPr="00D33C9A">
        <w:rPr>
          <w:spacing w:val="-4"/>
        </w:rPr>
        <w:t xml:space="preserve"> </w:t>
      </w:r>
      <w:r w:rsidRPr="00D4309F">
        <w:t>a</w:t>
      </w:r>
      <w:r w:rsidRPr="00D33C9A">
        <w:rPr>
          <w:spacing w:val="-4"/>
        </w:rPr>
        <w:t xml:space="preserve"> </w:t>
      </w:r>
      <w:r w:rsidRPr="00D4309F">
        <w:t>1-in-20-year</w:t>
      </w:r>
      <w:r w:rsidRPr="00D33C9A">
        <w:rPr>
          <w:spacing w:val="-4"/>
        </w:rPr>
        <w:t xml:space="preserve"> </w:t>
      </w:r>
      <w:r w:rsidRPr="00D33C9A">
        <w:rPr>
          <w:spacing w:val="-2"/>
        </w:rPr>
        <w:t>event.</w:t>
      </w:r>
    </w:p>
    <w:p w14:paraId="516C2BB5" w14:textId="77777777" w:rsidR="00A632EB" w:rsidRPr="00D4309F" w:rsidRDefault="00A632EB" w:rsidP="00D33C9A">
      <w:pPr>
        <w:pStyle w:val="ListBullet2"/>
      </w:pPr>
      <w:r w:rsidRPr="00D4309F">
        <w:t>A</w:t>
      </w:r>
      <w:r w:rsidRPr="00D4309F">
        <w:rPr>
          <w:spacing w:val="-2"/>
        </w:rPr>
        <w:t xml:space="preserve"> </w:t>
      </w:r>
      <w:r w:rsidRPr="00D4309F">
        <w:t>synthetic</w:t>
      </w:r>
      <w:r w:rsidRPr="00D4309F">
        <w:rPr>
          <w:spacing w:val="-1"/>
        </w:rPr>
        <w:t xml:space="preserve"> </w:t>
      </w:r>
      <w:r w:rsidRPr="00D4309F">
        <w:t>“design”</w:t>
      </w:r>
      <w:r w:rsidRPr="00D4309F">
        <w:rPr>
          <w:spacing w:val="-1"/>
        </w:rPr>
        <w:t xml:space="preserve"> </w:t>
      </w:r>
      <w:r w:rsidRPr="00D4309F">
        <w:t>storm</w:t>
      </w:r>
      <w:r w:rsidRPr="00D4309F">
        <w:rPr>
          <w:spacing w:val="-3"/>
        </w:rPr>
        <w:t xml:space="preserve"> </w:t>
      </w:r>
      <w:r w:rsidRPr="00D4309F">
        <w:t>with</w:t>
      </w:r>
      <w:r w:rsidRPr="00D4309F">
        <w:rPr>
          <w:spacing w:val="-2"/>
        </w:rPr>
        <w:t xml:space="preserve"> </w:t>
      </w:r>
      <w:r w:rsidRPr="00D4309F">
        <w:t>a</w:t>
      </w:r>
      <w:r w:rsidRPr="00D4309F">
        <w:rPr>
          <w:spacing w:val="-2"/>
        </w:rPr>
        <w:t xml:space="preserve"> </w:t>
      </w:r>
      <w:r w:rsidRPr="00D4309F">
        <w:t>significant</w:t>
      </w:r>
      <w:r w:rsidRPr="00D4309F">
        <w:rPr>
          <w:spacing w:val="-2"/>
        </w:rPr>
        <w:t xml:space="preserve"> </w:t>
      </w:r>
      <w:r w:rsidRPr="00D4309F">
        <w:t>wave</w:t>
      </w:r>
      <w:r w:rsidRPr="00D4309F">
        <w:rPr>
          <w:spacing w:val="-2"/>
        </w:rPr>
        <w:t xml:space="preserve"> </w:t>
      </w:r>
      <w:r w:rsidRPr="00D4309F">
        <w:t>height</w:t>
      </w:r>
      <w:r w:rsidRPr="00D4309F">
        <w:rPr>
          <w:spacing w:val="-2"/>
        </w:rPr>
        <w:t xml:space="preserve"> </w:t>
      </w:r>
      <w:r w:rsidRPr="00D4309F">
        <w:t>of</w:t>
      </w:r>
      <w:r w:rsidRPr="00D4309F">
        <w:rPr>
          <w:spacing w:val="-2"/>
        </w:rPr>
        <w:t xml:space="preserve"> </w:t>
      </w:r>
      <w:r w:rsidRPr="00D4309F">
        <w:t>8.1</w:t>
      </w:r>
      <w:r w:rsidRPr="00D4309F">
        <w:rPr>
          <w:spacing w:val="-2"/>
        </w:rPr>
        <w:t xml:space="preserve"> </w:t>
      </w:r>
      <w:r w:rsidRPr="00D4309F">
        <w:t>m</w:t>
      </w:r>
      <w:r w:rsidRPr="00D4309F">
        <w:rPr>
          <w:spacing w:val="-2"/>
        </w:rPr>
        <w:t xml:space="preserve"> </w:t>
      </w:r>
      <w:r w:rsidRPr="00D4309F">
        <w:t>and</w:t>
      </w:r>
      <w:r w:rsidRPr="00D4309F">
        <w:rPr>
          <w:spacing w:val="-2"/>
        </w:rPr>
        <w:t xml:space="preserve"> </w:t>
      </w:r>
      <w:r w:rsidRPr="00D4309F">
        <w:t>water</w:t>
      </w:r>
      <w:r w:rsidRPr="00D4309F">
        <w:rPr>
          <w:spacing w:val="-1"/>
        </w:rPr>
        <w:t xml:space="preserve"> </w:t>
      </w:r>
      <w:r w:rsidRPr="00D4309F">
        <w:t>level</w:t>
      </w:r>
      <w:r w:rsidRPr="00D4309F">
        <w:rPr>
          <w:spacing w:val="-2"/>
        </w:rPr>
        <w:t xml:space="preserve"> </w:t>
      </w:r>
      <w:r w:rsidRPr="00D4309F">
        <w:t>of</w:t>
      </w:r>
      <w:r w:rsidRPr="00D4309F">
        <w:rPr>
          <w:spacing w:val="-2"/>
        </w:rPr>
        <w:t xml:space="preserve"> </w:t>
      </w:r>
      <w:r w:rsidRPr="00D4309F">
        <w:t>1.6</w:t>
      </w:r>
      <w:r w:rsidRPr="00D4309F">
        <w:rPr>
          <w:spacing w:val="-2"/>
        </w:rPr>
        <w:t xml:space="preserve"> </w:t>
      </w:r>
      <w:r w:rsidRPr="00D4309F">
        <w:t>m</w:t>
      </w:r>
      <w:r w:rsidRPr="00D4309F">
        <w:rPr>
          <w:spacing w:val="-2"/>
        </w:rPr>
        <w:t xml:space="preserve"> </w:t>
      </w:r>
      <w:r w:rsidRPr="00D4309F">
        <w:t>AHD, representing a 1-in-100-year extreme event.</w:t>
      </w:r>
    </w:p>
    <w:p w14:paraId="3DD5ACF9" w14:textId="77777777" w:rsidR="00A632EB" w:rsidRPr="00D4309F" w:rsidRDefault="00A632EB" w:rsidP="00091945">
      <w:pPr>
        <w:pStyle w:val="ListNumber"/>
      </w:pPr>
      <w:r w:rsidRPr="00091945">
        <w:t>Results</w:t>
      </w:r>
      <w:r w:rsidRPr="00091945">
        <w:rPr>
          <w:spacing w:val="-4"/>
        </w:rPr>
        <w:t xml:space="preserve"> </w:t>
      </w:r>
      <w:r w:rsidRPr="00091945">
        <w:t>indicated:</w:t>
      </w:r>
    </w:p>
    <w:p w14:paraId="4056069D" w14:textId="5A20EBED" w:rsidR="00A632EB" w:rsidRDefault="00A632EB" w:rsidP="00D33C9A">
      <w:pPr>
        <w:pStyle w:val="ListBullet2"/>
      </w:pPr>
      <w:r w:rsidRPr="00D4309F">
        <w:t>The</w:t>
      </w:r>
      <w:r w:rsidRPr="00D4309F">
        <w:rPr>
          <w:spacing w:val="-2"/>
        </w:rPr>
        <w:t xml:space="preserve"> </w:t>
      </w:r>
      <w:r w:rsidRPr="00D4309F">
        <w:t>borrow</w:t>
      </w:r>
      <w:r w:rsidRPr="00D4309F">
        <w:rPr>
          <w:spacing w:val="-1"/>
        </w:rPr>
        <w:t xml:space="preserve"> </w:t>
      </w:r>
      <w:r w:rsidRPr="00D4309F">
        <w:t>area</w:t>
      </w:r>
      <w:r w:rsidRPr="00D4309F">
        <w:rPr>
          <w:spacing w:val="-2"/>
        </w:rPr>
        <w:t xml:space="preserve"> </w:t>
      </w:r>
      <w:r w:rsidRPr="00D4309F">
        <w:t>would</w:t>
      </w:r>
      <w:r w:rsidRPr="00D4309F">
        <w:rPr>
          <w:spacing w:val="-2"/>
        </w:rPr>
        <w:t xml:space="preserve"> </w:t>
      </w:r>
      <w:r w:rsidRPr="00D4309F">
        <w:t>experience</w:t>
      </w:r>
      <w:r w:rsidRPr="00D4309F">
        <w:rPr>
          <w:spacing w:val="-2"/>
        </w:rPr>
        <w:t xml:space="preserve"> </w:t>
      </w:r>
      <w:r w:rsidRPr="00D4309F">
        <w:t>partial</w:t>
      </w:r>
      <w:r w:rsidRPr="00D4309F">
        <w:rPr>
          <w:spacing w:val="-2"/>
        </w:rPr>
        <w:t xml:space="preserve"> </w:t>
      </w:r>
      <w:r w:rsidRPr="00D4309F">
        <w:t>infilling</w:t>
      </w:r>
      <w:r w:rsidRPr="00D4309F">
        <w:rPr>
          <w:spacing w:val="-2"/>
        </w:rPr>
        <w:t xml:space="preserve"> </w:t>
      </w:r>
      <w:r w:rsidRPr="00D4309F">
        <w:t>of</w:t>
      </w:r>
      <w:r w:rsidRPr="00D4309F">
        <w:rPr>
          <w:spacing w:val="-2"/>
        </w:rPr>
        <w:t xml:space="preserve"> </w:t>
      </w:r>
      <w:r w:rsidRPr="00D4309F">
        <w:t>up</w:t>
      </w:r>
      <w:r w:rsidRPr="00D4309F">
        <w:rPr>
          <w:spacing w:val="-2"/>
        </w:rPr>
        <w:t xml:space="preserve"> </w:t>
      </w:r>
      <w:r w:rsidRPr="00D4309F">
        <w:t>to</w:t>
      </w:r>
      <w:r w:rsidRPr="00D4309F">
        <w:rPr>
          <w:spacing w:val="-2"/>
        </w:rPr>
        <w:t xml:space="preserve"> </w:t>
      </w:r>
      <w:r w:rsidRPr="00D4309F">
        <w:t>30%</w:t>
      </w:r>
      <w:r w:rsidRPr="00D4309F">
        <w:rPr>
          <w:spacing w:val="-1"/>
        </w:rPr>
        <w:t xml:space="preserve"> </w:t>
      </w:r>
      <w:r w:rsidRPr="00D4309F">
        <w:t>of</w:t>
      </w:r>
      <w:r w:rsidRPr="00D4309F">
        <w:rPr>
          <w:spacing w:val="-2"/>
        </w:rPr>
        <w:t xml:space="preserve"> </w:t>
      </w:r>
      <w:r w:rsidRPr="00D4309F">
        <w:t>the</w:t>
      </w:r>
      <w:r w:rsidRPr="00D4309F">
        <w:rPr>
          <w:spacing w:val="-2"/>
        </w:rPr>
        <w:t xml:space="preserve"> </w:t>
      </w:r>
      <w:r w:rsidRPr="00D4309F">
        <w:t>dredged</w:t>
      </w:r>
      <w:r w:rsidRPr="00D4309F">
        <w:rPr>
          <w:spacing w:val="-2"/>
        </w:rPr>
        <w:t xml:space="preserve"> </w:t>
      </w:r>
      <w:r w:rsidRPr="00D4309F">
        <w:t>volume</w:t>
      </w:r>
      <w:r w:rsidRPr="00D4309F">
        <w:rPr>
          <w:spacing w:val="-2"/>
        </w:rPr>
        <w:t xml:space="preserve"> </w:t>
      </w:r>
      <w:r w:rsidRPr="00D4309F">
        <w:t>during</w:t>
      </w:r>
      <w:r w:rsidRPr="00D4309F">
        <w:rPr>
          <w:spacing w:val="-3"/>
        </w:rPr>
        <w:t xml:space="preserve"> </w:t>
      </w:r>
      <w:r w:rsidRPr="00D4309F">
        <w:t>major storm events due to offshore sand bar migration.</w:t>
      </w:r>
    </w:p>
    <w:p w14:paraId="3F488A74" w14:textId="77777777" w:rsidR="00D33C9A" w:rsidRPr="00D4309F" w:rsidRDefault="00D33C9A" w:rsidP="00D33C9A">
      <w:pPr>
        <w:pStyle w:val="ListBullet2"/>
      </w:pPr>
      <w:r w:rsidRPr="00D4309F">
        <w:lastRenderedPageBreak/>
        <w:t>There would be a slight increase (4–7%) in upper-beach storm-bite erosion under these extreme conditions,</w:t>
      </w:r>
      <w:r w:rsidRPr="00D4309F">
        <w:rPr>
          <w:spacing w:val="-3"/>
        </w:rPr>
        <w:t xml:space="preserve"> </w:t>
      </w:r>
      <w:r w:rsidRPr="00D4309F">
        <w:t>attributed</w:t>
      </w:r>
      <w:r w:rsidRPr="00D4309F">
        <w:rPr>
          <w:spacing w:val="-3"/>
        </w:rPr>
        <w:t xml:space="preserve"> </w:t>
      </w:r>
      <w:r w:rsidRPr="00D4309F">
        <w:t>to</w:t>
      </w:r>
      <w:r w:rsidRPr="00D4309F">
        <w:rPr>
          <w:spacing w:val="-3"/>
        </w:rPr>
        <w:t xml:space="preserve"> </w:t>
      </w:r>
      <w:r w:rsidRPr="00D4309F">
        <w:t>reduced</w:t>
      </w:r>
      <w:r w:rsidRPr="00D4309F">
        <w:rPr>
          <w:spacing w:val="-3"/>
        </w:rPr>
        <w:t xml:space="preserve"> </w:t>
      </w:r>
      <w:r w:rsidRPr="00D4309F">
        <w:t>wave</w:t>
      </w:r>
      <w:r w:rsidRPr="00D4309F">
        <w:rPr>
          <w:spacing w:val="-3"/>
        </w:rPr>
        <w:t xml:space="preserve"> </w:t>
      </w:r>
      <w:r w:rsidRPr="00D4309F">
        <w:t>breaking</w:t>
      </w:r>
      <w:r w:rsidRPr="00D4309F">
        <w:rPr>
          <w:spacing w:val="-3"/>
        </w:rPr>
        <w:t xml:space="preserve"> </w:t>
      </w:r>
      <w:r w:rsidRPr="00D4309F">
        <w:t>and</w:t>
      </w:r>
      <w:r w:rsidRPr="00D4309F">
        <w:rPr>
          <w:spacing w:val="-4"/>
        </w:rPr>
        <w:t xml:space="preserve"> </w:t>
      </w:r>
      <w:r w:rsidRPr="00D4309F">
        <w:t>energy</w:t>
      </w:r>
      <w:r w:rsidRPr="00D4309F">
        <w:rPr>
          <w:spacing w:val="-2"/>
        </w:rPr>
        <w:t xml:space="preserve"> </w:t>
      </w:r>
      <w:r w:rsidRPr="00D4309F">
        <w:t>dissipation</w:t>
      </w:r>
      <w:r w:rsidRPr="00D4309F">
        <w:rPr>
          <w:spacing w:val="-3"/>
        </w:rPr>
        <w:t xml:space="preserve"> </w:t>
      </w:r>
      <w:r w:rsidRPr="00D4309F">
        <w:t>over</w:t>
      </w:r>
      <w:r w:rsidRPr="00D4309F">
        <w:rPr>
          <w:spacing w:val="-2"/>
        </w:rPr>
        <w:t xml:space="preserve"> </w:t>
      </w:r>
      <w:r w:rsidRPr="00D4309F">
        <w:t>the</w:t>
      </w:r>
      <w:r w:rsidRPr="00D4309F">
        <w:rPr>
          <w:spacing w:val="-4"/>
        </w:rPr>
        <w:t xml:space="preserve"> </w:t>
      </w:r>
      <w:r w:rsidRPr="00D4309F">
        <w:t>deeper</w:t>
      </w:r>
      <w:r w:rsidRPr="00D4309F">
        <w:rPr>
          <w:spacing w:val="-2"/>
        </w:rPr>
        <w:t xml:space="preserve"> </w:t>
      </w:r>
      <w:r w:rsidRPr="00D4309F">
        <w:t>bathymetry of the sand trap (BMT, 2024).</w:t>
      </w:r>
    </w:p>
    <w:p w14:paraId="1B3DAE41" w14:textId="2196291D" w:rsidR="00091945" w:rsidRPr="00D4309F" w:rsidRDefault="00D33C9A" w:rsidP="00091945">
      <w:pPr>
        <w:pStyle w:val="ListBullet2"/>
      </w:pPr>
      <w:r w:rsidRPr="00D4309F">
        <w:t>For</w:t>
      </w:r>
      <w:r w:rsidRPr="00D4309F">
        <w:rPr>
          <w:spacing w:val="-5"/>
        </w:rPr>
        <w:t xml:space="preserve"> </w:t>
      </w:r>
      <w:r w:rsidRPr="00D4309F">
        <w:t>the</w:t>
      </w:r>
      <w:r w:rsidRPr="00D4309F">
        <w:rPr>
          <w:spacing w:val="-3"/>
        </w:rPr>
        <w:t xml:space="preserve"> </w:t>
      </w:r>
      <w:r w:rsidRPr="00D4309F">
        <w:t>vast</w:t>
      </w:r>
      <w:r w:rsidRPr="00D4309F">
        <w:rPr>
          <w:spacing w:val="-4"/>
        </w:rPr>
        <w:t xml:space="preserve"> </w:t>
      </w:r>
      <w:r w:rsidRPr="00D4309F">
        <w:t>majority</w:t>
      </w:r>
      <w:r w:rsidRPr="00D4309F">
        <w:rPr>
          <w:spacing w:val="-2"/>
        </w:rPr>
        <w:t xml:space="preserve"> </w:t>
      </w:r>
      <w:r w:rsidRPr="00D4309F">
        <w:t>of</w:t>
      </w:r>
      <w:r w:rsidRPr="00D4309F">
        <w:rPr>
          <w:spacing w:val="-3"/>
        </w:rPr>
        <w:t xml:space="preserve"> </w:t>
      </w:r>
      <w:r w:rsidRPr="00D4309F">
        <w:t>conditions</w:t>
      </w:r>
      <w:r w:rsidRPr="00D4309F">
        <w:rPr>
          <w:spacing w:val="-3"/>
        </w:rPr>
        <w:t xml:space="preserve"> </w:t>
      </w:r>
      <w:r w:rsidRPr="00D4309F">
        <w:t>(99</w:t>
      </w:r>
      <w:r w:rsidRPr="00D4309F">
        <w:rPr>
          <w:spacing w:val="-3"/>
        </w:rPr>
        <w:t xml:space="preserve"> </w:t>
      </w:r>
      <w:r w:rsidRPr="00D4309F">
        <w:t>%</w:t>
      </w:r>
      <w:r w:rsidRPr="00D4309F">
        <w:rPr>
          <w:spacing w:val="-2"/>
        </w:rPr>
        <w:t xml:space="preserve"> </w:t>
      </w:r>
      <w:r w:rsidRPr="00D4309F">
        <w:t>of</w:t>
      </w:r>
      <w:r w:rsidRPr="00D4309F">
        <w:rPr>
          <w:spacing w:val="-3"/>
        </w:rPr>
        <w:t xml:space="preserve"> </w:t>
      </w:r>
      <w:r w:rsidRPr="00D4309F">
        <w:t>the</w:t>
      </w:r>
      <w:r w:rsidRPr="00D4309F">
        <w:rPr>
          <w:spacing w:val="-3"/>
        </w:rPr>
        <w:t xml:space="preserve"> </w:t>
      </w:r>
      <w:r w:rsidRPr="00D4309F">
        <w:t>time),</w:t>
      </w:r>
      <w:r w:rsidRPr="00D4309F">
        <w:rPr>
          <w:spacing w:val="-3"/>
        </w:rPr>
        <w:t xml:space="preserve"> </w:t>
      </w:r>
      <w:r w:rsidRPr="00D4309F">
        <w:t>the</w:t>
      </w:r>
      <w:r w:rsidRPr="00D4309F">
        <w:rPr>
          <w:spacing w:val="-3"/>
        </w:rPr>
        <w:t xml:space="preserve"> </w:t>
      </w:r>
      <w:r w:rsidRPr="00D4309F">
        <w:t>active</w:t>
      </w:r>
      <w:r w:rsidRPr="00D4309F">
        <w:rPr>
          <w:spacing w:val="-3"/>
        </w:rPr>
        <w:t xml:space="preserve"> </w:t>
      </w:r>
      <w:r w:rsidRPr="00D4309F">
        <w:t>surf</w:t>
      </w:r>
      <w:r w:rsidRPr="00D4309F">
        <w:rPr>
          <w:spacing w:val="-3"/>
        </w:rPr>
        <w:t xml:space="preserve"> </w:t>
      </w:r>
      <w:r w:rsidRPr="00D4309F">
        <w:t>zone</w:t>
      </w:r>
      <w:r w:rsidRPr="00D4309F">
        <w:rPr>
          <w:spacing w:val="-3"/>
        </w:rPr>
        <w:t xml:space="preserve"> </w:t>
      </w:r>
      <w:r w:rsidRPr="00D4309F">
        <w:t>remains</w:t>
      </w:r>
      <w:r w:rsidRPr="00D4309F">
        <w:rPr>
          <w:spacing w:val="-2"/>
        </w:rPr>
        <w:t xml:space="preserve"> </w:t>
      </w:r>
      <w:r w:rsidRPr="00D4309F">
        <w:t>landward</w:t>
      </w:r>
      <w:r w:rsidRPr="00D4309F">
        <w:rPr>
          <w:spacing w:val="-3"/>
        </w:rPr>
        <w:t xml:space="preserve"> </w:t>
      </w:r>
      <w:r w:rsidRPr="00D4309F">
        <w:rPr>
          <w:spacing w:val="-5"/>
        </w:rPr>
        <w:t>of</w:t>
      </w:r>
      <w:r w:rsidR="00091945">
        <w:rPr>
          <w:spacing w:val="-5"/>
        </w:rPr>
        <w:t xml:space="preserve"> </w:t>
      </w:r>
      <w:r w:rsidR="00091945" w:rsidRPr="00D4309F">
        <w:t>-7</w:t>
      </w:r>
      <w:r w:rsidR="00091945" w:rsidRPr="00091945">
        <w:rPr>
          <w:spacing w:val="-3"/>
        </w:rPr>
        <w:t xml:space="preserve"> </w:t>
      </w:r>
      <w:r w:rsidR="00091945" w:rsidRPr="00D4309F">
        <w:t>m</w:t>
      </w:r>
      <w:r w:rsidR="00091945" w:rsidRPr="00091945">
        <w:rPr>
          <w:spacing w:val="-3"/>
        </w:rPr>
        <w:t xml:space="preserve"> </w:t>
      </w:r>
      <w:r w:rsidR="00091945" w:rsidRPr="00D4309F">
        <w:t>AHD,</w:t>
      </w:r>
      <w:r w:rsidR="00091945" w:rsidRPr="00091945">
        <w:rPr>
          <w:spacing w:val="-3"/>
        </w:rPr>
        <w:t xml:space="preserve"> </w:t>
      </w:r>
      <w:r w:rsidR="00091945" w:rsidRPr="00D4309F">
        <w:t>meaning</w:t>
      </w:r>
      <w:r w:rsidR="00091945" w:rsidRPr="00091945">
        <w:rPr>
          <w:spacing w:val="-3"/>
        </w:rPr>
        <w:t xml:space="preserve"> </w:t>
      </w:r>
      <w:r w:rsidR="00091945" w:rsidRPr="00D4309F">
        <w:t>sand</w:t>
      </w:r>
      <w:r w:rsidR="00091945" w:rsidRPr="00091945">
        <w:rPr>
          <w:spacing w:val="-3"/>
        </w:rPr>
        <w:t xml:space="preserve"> </w:t>
      </w:r>
      <w:r w:rsidR="00091945" w:rsidRPr="00D4309F">
        <w:t>transport</w:t>
      </w:r>
      <w:r w:rsidR="00091945" w:rsidRPr="00091945">
        <w:rPr>
          <w:spacing w:val="-3"/>
        </w:rPr>
        <w:t xml:space="preserve"> </w:t>
      </w:r>
      <w:r w:rsidR="00091945" w:rsidRPr="00D4309F">
        <w:t>into</w:t>
      </w:r>
      <w:r w:rsidR="00091945" w:rsidRPr="00091945">
        <w:rPr>
          <w:spacing w:val="-3"/>
        </w:rPr>
        <w:t xml:space="preserve"> </w:t>
      </w:r>
      <w:r w:rsidR="00091945" w:rsidRPr="00D4309F">
        <w:t>the</w:t>
      </w:r>
      <w:r w:rsidR="00091945" w:rsidRPr="00091945">
        <w:rPr>
          <w:spacing w:val="-3"/>
        </w:rPr>
        <w:t xml:space="preserve"> </w:t>
      </w:r>
      <w:r w:rsidR="00091945" w:rsidRPr="00D4309F">
        <w:t>trap</w:t>
      </w:r>
      <w:r w:rsidR="00091945" w:rsidRPr="00091945">
        <w:rPr>
          <w:spacing w:val="-3"/>
        </w:rPr>
        <w:t xml:space="preserve"> </w:t>
      </w:r>
      <w:r w:rsidR="00091945" w:rsidRPr="00D4309F">
        <w:t>is</w:t>
      </w:r>
      <w:r w:rsidR="00091945" w:rsidRPr="00091945">
        <w:rPr>
          <w:spacing w:val="-2"/>
        </w:rPr>
        <w:t xml:space="preserve"> </w:t>
      </w:r>
      <w:r w:rsidR="00091945" w:rsidRPr="00D4309F">
        <w:t>primarily</w:t>
      </w:r>
      <w:r w:rsidR="00091945" w:rsidRPr="00091945">
        <w:rPr>
          <w:spacing w:val="-2"/>
        </w:rPr>
        <w:t xml:space="preserve"> </w:t>
      </w:r>
      <w:r w:rsidR="00091945" w:rsidRPr="00D4309F">
        <w:t>episodic</w:t>
      </w:r>
      <w:r w:rsidR="00091945" w:rsidRPr="00091945">
        <w:rPr>
          <w:spacing w:val="-2"/>
        </w:rPr>
        <w:t xml:space="preserve"> </w:t>
      </w:r>
      <w:r w:rsidR="00091945" w:rsidRPr="00D4309F">
        <w:t>and</w:t>
      </w:r>
      <w:r w:rsidR="00091945" w:rsidRPr="00091945">
        <w:rPr>
          <w:spacing w:val="-4"/>
        </w:rPr>
        <w:t xml:space="preserve"> </w:t>
      </w:r>
      <w:r w:rsidR="00091945" w:rsidRPr="00D4309F">
        <w:t>storm-driven</w:t>
      </w:r>
      <w:r w:rsidR="00091945" w:rsidRPr="00091945">
        <w:rPr>
          <w:spacing w:val="-3"/>
        </w:rPr>
        <w:t xml:space="preserve"> </w:t>
      </w:r>
      <w:r w:rsidR="00091945" w:rsidRPr="00D4309F">
        <w:t>rather</w:t>
      </w:r>
      <w:r w:rsidR="00091945" w:rsidRPr="00091945">
        <w:rPr>
          <w:spacing w:val="-2"/>
        </w:rPr>
        <w:t xml:space="preserve"> </w:t>
      </w:r>
      <w:r w:rsidR="00091945" w:rsidRPr="00D4309F">
        <w:t xml:space="preserve">than </w:t>
      </w:r>
      <w:r w:rsidR="00091945" w:rsidRPr="00091945">
        <w:rPr>
          <w:spacing w:val="-2"/>
        </w:rPr>
        <w:t>continuous.</w:t>
      </w:r>
    </w:p>
    <w:p w14:paraId="3ACAFFC6" w14:textId="13694D19" w:rsidR="00D33C9A" w:rsidRDefault="00091945" w:rsidP="00091945">
      <w:pPr>
        <w:pStyle w:val="ListBullet"/>
      </w:pPr>
      <w:r w:rsidRPr="00D4309F">
        <w:t>This modelling confirms (</w:t>
      </w:r>
      <w:hyperlink w:anchor="_bookmark106" w:history="1">
        <w:r w:rsidRPr="00D4309F">
          <w:t>Figure 13-5</w:t>
        </w:r>
      </w:hyperlink>
      <w:r w:rsidRPr="00D4309F">
        <w:t xml:space="preserve"> and </w:t>
      </w:r>
      <w:hyperlink w:anchor="_bookmark107" w:history="1">
        <w:r w:rsidRPr="00D4309F">
          <w:t>Figure 13-6</w:t>
        </w:r>
      </w:hyperlink>
      <w:r w:rsidRPr="00D4309F">
        <w:t>) that the sand trap will operate effectively as an intermittent</w:t>
      </w:r>
      <w:r w:rsidRPr="00D4309F">
        <w:rPr>
          <w:spacing w:val="-3"/>
        </w:rPr>
        <w:t xml:space="preserve"> </w:t>
      </w:r>
      <w:r w:rsidRPr="00D4309F">
        <w:t>sediment</w:t>
      </w:r>
      <w:r w:rsidRPr="00D4309F">
        <w:rPr>
          <w:spacing w:val="-3"/>
        </w:rPr>
        <w:t xml:space="preserve"> </w:t>
      </w:r>
      <w:r w:rsidRPr="00D4309F">
        <w:t>sink,</w:t>
      </w:r>
      <w:r w:rsidRPr="00D4309F">
        <w:rPr>
          <w:spacing w:val="-5"/>
        </w:rPr>
        <w:t xml:space="preserve"> </w:t>
      </w:r>
      <w:r w:rsidRPr="00D4309F">
        <w:t>filling</w:t>
      </w:r>
      <w:r w:rsidRPr="00D4309F">
        <w:rPr>
          <w:spacing w:val="-3"/>
        </w:rPr>
        <w:t xml:space="preserve"> </w:t>
      </w:r>
      <w:r w:rsidRPr="00D4309F">
        <w:t>progressively</w:t>
      </w:r>
      <w:r w:rsidRPr="00D4309F">
        <w:rPr>
          <w:spacing w:val="-2"/>
        </w:rPr>
        <w:t xml:space="preserve"> </w:t>
      </w:r>
      <w:r w:rsidRPr="00D4309F">
        <w:t>during</w:t>
      </w:r>
      <w:r w:rsidRPr="00D4309F">
        <w:rPr>
          <w:spacing w:val="-4"/>
        </w:rPr>
        <w:t xml:space="preserve"> </w:t>
      </w:r>
      <w:r w:rsidRPr="00D4309F">
        <w:t>high-energy</w:t>
      </w:r>
      <w:r w:rsidRPr="00D4309F">
        <w:rPr>
          <w:spacing w:val="-2"/>
        </w:rPr>
        <w:t xml:space="preserve"> </w:t>
      </w:r>
      <w:r w:rsidRPr="00D4309F">
        <w:t>events</w:t>
      </w:r>
      <w:r w:rsidRPr="00D4309F">
        <w:rPr>
          <w:spacing w:val="-2"/>
        </w:rPr>
        <w:t xml:space="preserve"> </w:t>
      </w:r>
      <w:r w:rsidRPr="00D4309F">
        <w:t>while</w:t>
      </w:r>
      <w:r w:rsidRPr="00D4309F">
        <w:rPr>
          <w:spacing w:val="-4"/>
        </w:rPr>
        <w:t xml:space="preserve"> </w:t>
      </w:r>
      <w:r w:rsidRPr="00D4309F">
        <w:t>exerting</w:t>
      </w:r>
      <w:r w:rsidRPr="00D4309F">
        <w:rPr>
          <w:spacing w:val="-3"/>
        </w:rPr>
        <w:t xml:space="preserve"> </w:t>
      </w:r>
      <w:r w:rsidRPr="00D4309F">
        <w:t>only</w:t>
      </w:r>
      <w:r w:rsidRPr="00D4309F">
        <w:rPr>
          <w:spacing w:val="-3"/>
        </w:rPr>
        <w:t xml:space="preserve"> </w:t>
      </w:r>
      <w:r w:rsidRPr="00D4309F">
        <w:t>a</w:t>
      </w:r>
      <w:r w:rsidRPr="00D4309F">
        <w:rPr>
          <w:spacing w:val="-3"/>
        </w:rPr>
        <w:t xml:space="preserve"> </w:t>
      </w:r>
      <w:r w:rsidRPr="00D4309F">
        <w:t>minor</w:t>
      </w:r>
      <w:r w:rsidRPr="00D4309F">
        <w:rPr>
          <w:spacing w:val="-2"/>
        </w:rPr>
        <w:t xml:space="preserve"> </w:t>
      </w:r>
      <w:r w:rsidRPr="00D4309F">
        <w:t>and manageable influence on the upper beach profile. The limited increase in storm-bite erosion (4–7%) is considered within the bounds of natural variability and would not significantly alter the overall beach alignment or amenity at northern Buddina.</w:t>
      </w:r>
    </w:p>
    <w:p w14:paraId="6C3ECA89" w14:textId="77777777" w:rsidR="001C33A0" w:rsidRDefault="001C33A0" w:rsidP="001C33A0">
      <w:pPr>
        <w:pStyle w:val="ListBullet"/>
        <w:numPr>
          <w:ilvl w:val="0"/>
          <w:numId w:val="0"/>
        </w:numPr>
        <w:ind w:left="425" w:hanging="425"/>
      </w:pPr>
    </w:p>
    <w:p w14:paraId="652F25CE" w14:textId="77777777" w:rsidR="001C33A0" w:rsidRDefault="001C33A0" w:rsidP="001C33A0">
      <w:pPr>
        <w:pStyle w:val="ListBullet"/>
        <w:numPr>
          <w:ilvl w:val="0"/>
          <w:numId w:val="0"/>
        </w:numPr>
      </w:pPr>
      <w:r w:rsidRPr="00D4309F">
        <w:rPr>
          <w:noProof/>
        </w:rPr>
        <w:drawing>
          <wp:inline distT="0" distB="0" distL="0" distR="0" wp14:anchorId="7C8B81CA" wp14:editId="1EC207BC">
            <wp:extent cx="6134543" cy="4066032"/>
            <wp:effectExtent l="0" t="0" r="0" b="0"/>
            <wp:docPr id="123" name="Image 123" descr="Image is a line graph of the SBEACH simulated cross-shore profile response to Ex-TC Oswal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descr="Image is a line graph of the SBEACH simulated cross-shore profile response to Ex-TC Oswald "/>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34543" cy="4066032"/>
                    </a:xfrm>
                    <a:prstGeom prst="rect">
                      <a:avLst/>
                    </a:prstGeom>
                  </pic:spPr>
                </pic:pic>
              </a:graphicData>
            </a:graphic>
          </wp:inline>
        </w:drawing>
      </w:r>
    </w:p>
    <w:p w14:paraId="0161D24E" w14:textId="48839391" w:rsidR="00FD13CD" w:rsidRPr="00FF5F9B" w:rsidRDefault="00FD13CD" w:rsidP="00EF4321">
      <w:pPr>
        <w:pStyle w:val="Caption"/>
        <w:rPr>
          <w:noProof/>
          <w:color w:val="221E1F"/>
          <w:sz w:val="20"/>
        </w:rPr>
      </w:pPr>
      <w:bookmarkStart w:id="240" w:name="_Toc216699620"/>
      <w:r>
        <w:t xml:space="preserve">Figure </w:t>
      </w:r>
      <w:r w:rsidR="00B538D4">
        <w:fldChar w:fldCharType="begin" w:fldLock="1"/>
      </w:r>
      <w:r w:rsidR="00B538D4">
        <w:instrText xml:space="preserve"> STYLEREF 1 \s </w:instrText>
      </w:r>
      <w:r w:rsidR="00B538D4">
        <w:fldChar w:fldCharType="separate"/>
      </w:r>
      <w:r w:rsidR="00B538D4">
        <w:rPr>
          <w:noProof/>
        </w:rPr>
        <w:t>13</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5</w:t>
      </w:r>
      <w:r w:rsidR="00B538D4">
        <w:fldChar w:fldCharType="end"/>
      </w:r>
      <w:r>
        <w:t>:</w:t>
      </w:r>
      <w:r>
        <w:tab/>
      </w:r>
      <w:r w:rsidRPr="00D4309F">
        <w:rPr>
          <w:color w:val="211E1F"/>
        </w:rPr>
        <w:t>SBEACH</w:t>
      </w:r>
      <w:r w:rsidRPr="00D4309F">
        <w:rPr>
          <w:color w:val="211E1F"/>
          <w:spacing w:val="-2"/>
        </w:rPr>
        <w:t xml:space="preserve"> </w:t>
      </w:r>
      <w:r w:rsidRPr="00D4309F">
        <w:rPr>
          <w:color w:val="211E1F"/>
        </w:rPr>
        <w:t>simulated</w:t>
      </w:r>
      <w:r w:rsidRPr="00D4309F">
        <w:rPr>
          <w:color w:val="211E1F"/>
          <w:spacing w:val="-3"/>
        </w:rPr>
        <w:t xml:space="preserve"> </w:t>
      </w:r>
      <w:r w:rsidRPr="00D4309F">
        <w:rPr>
          <w:color w:val="211E1F"/>
        </w:rPr>
        <w:t>cross-shore</w:t>
      </w:r>
      <w:r w:rsidRPr="00D4309F">
        <w:rPr>
          <w:color w:val="211E1F"/>
          <w:spacing w:val="-3"/>
        </w:rPr>
        <w:t xml:space="preserve"> </w:t>
      </w:r>
      <w:r w:rsidRPr="00D4309F">
        <w:rPr>
          <w:color w:val="211E1F"/>
        </w:rPr>
        <w:t>profile</w:t>
      </w:r>
      <w:r w:rsidRPr="00D4309F">
        <w:rPr>
          <w:color w:val="211E1F"/>
          <w:spacing w:val="-3"/>
        </w:rPr>
        <w:t xml:space="preserve"> </w:t>
      </w:r>
      <w:r w:rsidRPr="00D4309F">
        <w:rPr>
          <w:color w:val="211E1F"/>
        </w:rPr>
        <w:t>response</w:t>
      </w:r>
      <w:r w:rsidRPr="00D4309F">
        <w:rPr>
          <w:color w:val="211E1F"/>
          <w:spacing w:val="-4"/>
        </w:rPr>
        <w:t xml:space="preserve"> </w:t>
      </w:r>
      <w:r w:rsidRPr="00D4309F">
        <w:rPr>
          <w:color w:val="211E1F"/>
        </w:rPr>
        <w:t>to</w:t>
      </w:r>
      <w:r w:rsidRPr="00D4309F">
        <w:rPr>
          <w:color w:val="211E1F"/>
          <w:spacing w:val="-2"/>
        </w:rPr>
        <w:t xml:space="preserve"> </w:t>
      </w:r>
      <w:r w:rsidRPr="00D4309F">
        <w:rPr>
          <w:color w:val="211E1F"/>
        </w:rPr>
        <w:t>Ex-TC</w:t>
      </w:r>
      <w:r w:rsidRPr="00D4309F">
        <w:rPr>
          <w:color w:val="211E1F"/>
          <w:spacing w:val="-4"/>
        </w:rPr>
        <w:t xml:space="preserve"> </w:t>
      </w:r>
      <w:r w:rsidRPr="00D4309F">
        <w:rPr>
          <w:color w:val="211E1F"/>
        </w:rPr>
        <w:t>Oswald</w:t>
      </w:r>
      <w:r w:rsidRPr="00D4309F">
        <w:rPr>
          <w:color w:val="211E1F"/>
          <w:spacing w:val="-2"/>
        </w:rPr>
        <w:t xml:space="preserve"> (BMT,2024)</w:t>
      </w:r>
      <w:bookmarkEnd w:id="240"/>
    </w:p>
    <w:p w14:paraId="0AD755AA" w14:textId="77777777" w:rsidR="00FD13CD" w:rsidRDefault="00FD13CD" w:rsidP="001C33A0">
      <w:pPr>
        <w:pStyle w:val="ListBullet"/>
        <w:numPr>
          <w:ilvl w:val="0"/>
          <w:numId w:val="0"/>
        </w:numPr>
      </w:pPr>
    </w:p>
    <w:p w14:paraId="453E0F9E" w14:textId="7AAB2E9C" w:rsidR="00A632EB" w:rsidRPr="00D4309F" w:rsidRDefault="00ED2949" w:rsidP="000B7E19">
      <w:pPr>
        <w:jc w:val="center"/>
      </w:pPr>
      <w:bookmarkStart w:id="241" w:name="_bookmark106"/>
      <w:bookmarkEnd w:id="241"/>
      <w:r w:rsidRPr="00D4309F">
        <w:rPr>
          <w:noProof/>
        </w:rPr>
        <w:lastRenderedPageBreak/>
        <w:drawing>
          <wp:inline distT="0" distB="0" distL="0" distR="0" wp14:anchorId="14280BA3" wp14:editId="7BF2F7CB">
            <wp:extent cx="6116917" cy="3969639"/>
            <wp:effectExtent l="0" t="0" r="0" b="0"/>
            <wp:docPr id="124" name="Image 124" descr="Image is a line graph of the SBEACH simulated cross-shore profile response to the “design ev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descr="Image is a line graph of the SBEACH simulated cross-shore profile response to the “design event” "/>
                    <pic:cNvPicPr/>
                  </pic:nvPicPr>
                  <pic:blipFill>
                    <a:blip r:embed="rId81" cstate="print"/>
                    <a:stretch>
                      <a:fillRect/>
                    </a:stretch>
                  </pic:blipFill>
                  <pic:spPr>
                    <a:xfrm>
                      <a:off x="0" y="0"/>
                      <a:ext cx="6116917" cy="3969639"/>
                    </a:xfrm>
                    <a:prstGeom prst="rect">
                      <a:avLst/>
                    </a:prstGeom>
                  </pic:spPr>
                </pic:pic>
              </a:graphicData>
            </a:graphic>
          </wp:inline>
        </w:drawing>
      </w:r>
    </w:p>
    <w:p w14:paraId="421254C4" w14:textId="7A5DEB4E" w:rsidR="00A632EB" w:rsidRPr="00D4309F" w:rsidRDefault="000B7E19" w:rsidP="00EF4321">
      <w:pPr>
        <w:pStyle w:val="Caption"/>
      </w:pPr>
      <w:bookmarkStart w:id="242" w:name="_bookmark107"/>
      <w:bookmarkStart w:id="243" w:name="_Toc216699621"/>
      <w:bookmarkEnd w:id="242"/>
      <w:r>
        <w:t xml:space="preserve">Figure </w:t>
      </w:r>
      <w:r w:rsidR="00B538D4">
        <w:fldChar w:fldCharType="begin" w:fldLock="1"/>
      </w:r>
      <w:r w:rsidR="00B538D4">
        <w:instrText xml:space="preserve"> STYLEREF 1 \s </w:instrText>
      </w:r>
      <w:r w:rsidR="00B538D4">
        <w:fldChar w:fldCharType="separate"/>
      </w:r>
      <w:r w:rsidR="00B538D4">
        <w:rPr>
          <w:noProof/>
        </w:rPr>
        <w:t>13</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6</w:t>
      </w:r>
      <w:r w:rsidR="00B538D4">
        <w:fldChar w:fldCharType="end"/>
      </w:r>
      <w:r>
        <w:t>:</w:t>
      </w:r>
      <w:r>
        <w:tab/>
      </w:r>
      <w:r w:rsidRPr="00D4309F">
        <w:rPr>
          <w:color w:val="211E1F"/>
        </w:rPr>
        <w:t>SBEACH</w:t>
      </w:r>
      <w:r w:rsidRPr="00D4309F">
        <w:rPr>
          <w:color w:val="211E1F"/>
          <w:spacing w:val="-2"/>
        </w:rPr>
        <w:t xml:space="preserve"> </w:t>
      </w:r>
      <w:r w:rsidRPr="00D4309F">
        <w:rPr>
          <w:color w:val="211E1F"/>
        </w:rPr>
        <w:t>simulated</w:t>
      </w:r>
      <w:r w:rsidRPr="00D4309F">
        <w:rPr>
          <w:color w:val="211E1F"/>
          <w:spacing w:val="-2"/>
        </w:rPr>
        <w:t xml:space="preserve"> </w:t>
      </w:r>
      <w:r w:rsidRPr="00D4309F">
        <w:rPr>
          <w:color w:val="211E1F"/>
        </w:rPr>
        <w:t>cross-shore</w:t>
      </w:r>
      <w:r w:rsidRPr="00D4309F">
        <w:rPr>
          <w:color w:val="211E1F"/>
          <w:spacing w:val="-3"/>
        </w:rPr>
        <w:t xml:space="preserve"> </w:t>
      </w:r>
      <w:r w:rsidRPr="00D4309F">
        <w:rPr>
          <w:color w:val="211E1F"/>
        </w:rPr>
        <w:t>profile</w:t>
      </w:r>
      <w:r w:rsidRPr="00D4309F">
        <w:rPr>
          <w:color w:val="211E1F"/>
          <w:spacing w:val="-4"/>
        </w:rPr>
        <w:t xml:space="preserve"> </w:t>
      </w:r>
      <w:r w:rsidRPr="00D4309F">
        <w:rPr>
          <w:color w:val="211E1F"/>
        </w:rPr>
        <w:t>response</w:t>
      </w:r>
      <w:r w:rsidRPr="00D4309F">
        <w:rPr>
          <w:color w:val="211E1F"/>
          <w:spacing w:val="-3"/>
        </w:rPr>
        <w:t xml:space="preserve"> </w:t>
      </w:r>
      <w:r w:rsidRPr="00D4309F">
        <w:rPr>
          <w:color w:val="211E1F"/>
        </w:rPr>
        <w:t>to</w:t>
      </w:r>
      <w:r w:rsidRPr="00D4309F">
        <w:rPr>
          <w:color w:val="211E1F"/>
          <w:spacing w:val="-2"/>
        </w:rPr>
        <w:t xml:space="preserve"> </w:t>
      </w:r>
      <w:r w:rsidRPr="00D4309F">
        <w:rPr>
          <w:color w:val="211E1F"/>
        </w:rPr>
        <w:t>the</w:t>
      </w:r>
      <w:r w:rsidRPr="00D4309F">
        <w:rPr>
          <w:color w:val="211E1F"/>
          <w:spacing w:val="-4"/>
        </w:rPr>
        <w:t xml:space="preserve"> </w:t>
      </w:r>
      <w:r w:rsidRPr="00D4309F">
        <w:rPr>
          <w:color w:val="211E1F"/>
        </w:rPr>
        <w:t>“design</w:t>
      </w:r>
      <w:r w:rsidRPr="00D4309F">
        <w:rPr>
          <w:color w:val="211E1F"/>
          <w:spacing w:val="-2"/>
        </w:rPr>
        <w:t xml:space="preserve"> </w:t>
      </w:r>
      <w:r w:rsidRPr="00D4309F">
        <w:rPr>
          <w:color w:val="211E1F"/>
        </w:rPr>
        <w:t>event”</w:t>
      </w:r>
      <w:r w:rsidRPr="00D4309F">
        <w:rPr>
          <w:color w:val="211E1F"/>
          <w:spacing w:val="-2"/>
        </w:rPr>
        <w:t xml:space="preserve"> (BMT,2024)</w:t>
      </w:r>
      <w:bookmarkEnd w:id="243"/>
    </w:p>
    <w:p w14:paraId="544AB2DA" w14:textId="77777777" w:rsidR="00A632EB" w:rsidRPr="00D4309F" w:rsidRDefault="00A632EB" w:rsidP="00FE6959">
      <w:pPr>
        <w:pStyle w:val="Heading4"/>
      </w:pPr>
      <w:r w:rsidRPr="00D4309F">
        <w:t>Summary</w:t>
      </w:r>
      <w:r w:rsidRPr="00D4309F">
        <w:rPr>
          <w:spacing w:val="-4"/>
        </w:rPr>
        <w:t xml:space="preserve"> </w:t>
      </w:r>
      <w:r w:rsidRPr="00D4309F">
        <w:t>of</w:t>
      </w:r>
      <w:r w:rsidRPr="00D4309F">
        <w:rPr>
          <w:spacing w:val="-3"/>
        </w:rPr>
        <w:t xml:space="preserve"> </w:t>
      </w:r>
      <w:r w:rsidRPr="00D4309F">
        <w:t>coastal</w:t>
      </w:r>
      <w:r w:rsidRPr="00D4309F">
        <w:rPr>
          <w:spacing w:val="-4"/>
        </w:rPr>
        <w:t xml:space="preserve"> </w:t>
      </w:r>
      <w:r w:rsidRPr="00D4309F">
        <w:t>process</w:t>
      </w:r>
      <w:r w:rsidRPr="00D4309F">
        <w:rPr>
          <w:spacing w:val="-3"/>
        </w:rPr>
        <w:t xml:space="preserve"> </w:t>
      </w:r>
      <w:r w:rsidRPr="00D4309F">
        <w:rPr>
          <w:spacing w:val="-2"/>
        </w:rPr>
        <w:t>response</w:t>
      </w:r>
    </w:p>
    <w:p w14:paraId="50BC3241" w14:textId="77777777" w:rsidR="00A632EB" w:rsidRPr="00D4309F" w:rsidRDefault="00A632EB" w:rsidP="00A632EB">
      <w:pPr>
        <w:pStyle w:val="BodyText"/>
      </w:pPr>
      <w:r w:rsidRPr="00D4309F">
        <w:t>In</w:t>
      </w:r>
      <w:r w:rsidRPr="00D4309F">
        <w:rPr>
          <w:spacing w:val="-3"/>
        </w:rPr>
        <w:t xml:space="preserve"> </w:t>
      </w:r>
      <w:r w:rsidRPr="00D4309F">
        <w:t>summary,</w:t>
      </w:r>
      <w:r w:rsidRPr="00D4309F">
        <w:rPr>
          <w:spacing w:val="-3"/>
        </w:rPr>
        <w:t xml:space="preserve"> </w:t>
      </w:r>
      <w:r w:rsidRPr="00D4309F">
        <w:t>the</w:t>
      </w:r>
      <w:r w:rsidRPr="00D4309F">
        <w:rPr>
          <w:spacing w:val="-3"/>
        </w:rPr>
        <w:t xml:space="preserve"> </w:t>
      </w:r>
      <w:r w:rsidRPr="00D4309F">
        <w:t>Buddina</w:t>
      </w:r>
      <w:r w:rsidRPr="00D4309F">
        <w:rPr>
          <w:spacing w:val="-3"/>
        </w:rPr>
        <w:t xml:space="preserve"> </w:t>
      </w:r>
      <w:r w:rsidRPr="00D4309F">
        <w:t>Beach</w:t>
      </w:r>
      <w:r w:rsidRPr="00D4309F">
        <w:rPr>
          <w:spacing w:val="-3"/>
        </w:rPr>
        <w:t xml:space="preserve"> </w:t>
      </w:r>
      <w:r w:rsidRPr="00D4309F">
        <w:t>Sand</w:t>
      </w:r>
      <w:r w:rsidRPr="00D4309F">
        <w:rPr>
          <w:spacing w:val="-3"/>
        </w:rPr>
        <w:t xml:space="preserve"> </w:t>
      </w:r>
      <w:r w:rsidRPr="00D4309F">
        <w:t>Trap</w:t>
      </w:r>
      <w:r w:rsidRPr="00D4309F">
        <w:rPr>
          <w:spacing w:val="-3"/>
        </w:rPr>
        <w:t xml:space="preserve"> </w:t>
      </w:r>
      <w:r w:rsidRPr="00D4309F">
        <w:t>(Option</w:t>
      </w:r>
      <w:r w:rsidRPr="00D4309F">
        <w:rPr>
          <w:spacing w:val="-3"/>
        </w:rPr>
        <w:t xml:space="preserve"> </w:t>
      </w:r>
      <w:r w:rsidRPr="00D4309F">
        <w:t>1A)</w:t>
      </w:r>
      <w:r w:rsidRPr="00D4309F">
        <w:rPr>
          <w:spacing w:val="-2"/>
        </w:rPr>
        <w:t xml:space="preserve"> </w:t>
      </w:r>
      <w:r w:rsidRPr="00D4309F">
        <w:t>interacts</w:t>
      </w:r>
      <w:r w:rsidRPr="00D4309F">
        <w:rPr>
          <w:spacing w:val="-3"/>
        </w:rPr>
        <w:t xml:space="preserve"> </w:t>
      </w:r>
      <w:r w:rsidRPr="00D4309F">
        <w:t>with</w:t>
      </w:r>
      <w:r w:rsidRPr="00D4309F">
        <w:rPr>
          <w:spacing w:val="-3"/>
        </w:rPr>
        <w:t xml:space="preserve"> </w:t>
      </w:r>
      <w:r w:rsidRPr="00D4309F">
        <w:t>local</w:t>
      </w:r>
      <w:r w:rsidRPr="00D4309F">
        <w:rPr>
          <w:spacing w:val="-3"/>
        </w:rPr>
        <w:t xml:space="preserve"> </w:t>
      </w:r>
      <w:r w:rsidRPr="00D4309F">
        <w:t>coastal</w:t>
      </w:r>
      <w:r w:rsidRPr="00D4309F">
        <w:rPr>
          <w:spacing w:val="-3"/>
        </w:rPr>
        <w:t xml:space="preserve"> </w:t>
      </w:r>
      <w:r w:rsidRPr="00D4309F">
        <w:t>processes</w:t>
      </w:r>
      <w:r w:rsidRPr="00D4309F">
        <w:rPr>
          <w:spacing w:val="-2"/>
        </w:rPr>
        <w:t xml:space="preserve"> </w:t>
      </w:r>
      <w:r w:rsidRPr="00D4309F">
        <w:t>in</w:t>
      </w:r>
      <w:r w:rsidRPr="00D4309F">
        <w:rPr>
          <w:spacing w:val="-3"/>
        </w:rPr>
        <w:t xml:space="preserve"> </w:t>
      </w:r>
      <w:r w:rsidRPr="00D4309F">
        <w:t>a predictable and manageable manner:</w:t>
      </w:r>
    </w:p>
    <w:p w14:paraId="5EE0D861" w14:textId="77777777" w:rsidR="00A632EB" w:rsidRPr="00D4309F" w:rsidRDefault="00A632EB" w:rsidP="00035CBD">
      <w:pPr>
        <w:pStyle w:val="ListBullet"/>
      </w:pPr>
      <w:r w:rsidRPr="00D4309F">
        <w:t>It</w:t>
      </w:r>
      <w:r w:rsidRPr="00D4309F">
        <w:rPr>
          <w:spacing w:val="-6"/>
        </w:rPr>
        <w:t xml:space="preserve"> </w:t>
      </w:r>
      <w:r w:rsidRPr="00D4309F">
        <w:t>targets</w:t>
      </w:r>
      <w:r w:rsidRPr="00D4309F">
        <w:rPr>
          <w:spacing w:val="-3"/>
        </w:rPr>
        <w:t xml:space="preserve"> </w:t>
      </w:r>
      <w:r w:rsidRPr="00D4309F">
        <w:t>the</w:t>
      </w:r>
      <w:r w:rsidRPr="00D4309F">
        <w:rPr>
          <w:spacing w:val="-3"/>
        </w:rPr>
        <w:t xml:space="preserve"> </w:t>
      </w:r>
      <w:r w:rsidRPr="00D4309F">
        <w:t>dominant</w:t>
      </w:r>
      <w:r w:rsidRPr="00D4309F">
        <w:rPr>
          <w:spacing w:val="-4"/>
        </w:rPr>
        <w:t xml:space="preserve"> </w:t>
      </w:r>
      <w:r w:rsidRPr="00D4309F">
        <w:t>northward</w:t>
      </w:r>
      <w:r w:rsidRPr="00D4309F">
        <w:rPr>
          <w:spacing w:val="-3"/>
        </w:rPr>
        <w:t xml:space="preserve"> </w:t>
      </w:r>
      <w:r w:rsidRPr="00D4309F">
        <w:t>longshore</w:t>
      </w:r>
      <w:r w:rsidRPr="00D4309F">
        <w:rPr>
          <w:spacing w:val="-4"/>
        </w:rPr>
        <w:t xml:space="preserve"> </w:t>
      </w:r>
      <w:r w:rsidRPr="00D4309F">
        <w:t>transport</w:t>
      </w:r>
      <w:r w:rsidRPr="00D4309F">
        <w:rPr>
          <w:spacing w:val="-6"/>
        </w:rPr>
        <w:t xml:space="preserve"> </w:t>
      </w:r>
      <w:r w:rsidRPr="00D4309F">
        <w:t>that</w:t>
      </w:r>
      <w:r w:rsidRPr="00D4309F">
        <w:rPr>
          <w:spacing w:val="-3"/>
        </w:rPr>
        <w:t xml:space="preserve"> </w:t>
      </w:r>
      <w:r w:rsidRPr="00D4309F">
        <w:t>drives</w:t>
      </w:r>
      <w:r w:rsidRPr="00D4309F">
        <w:rPr>
          <w:spacing w:val="-4"/>
        </w:rPr>
        <w:t xml:space="preserve"> </w:t>
      </w:r>
      <w:r w:rsidRPr="00D4309F">
        <w:t>shoaling</w:t>
      </w:r>
      <w:r w:rsidRPr="00D4309F">
        <w:rPr>
          <w:spacing w:val="-3"/>
        </w:rPr>
        <w:t xml:space="preserve"> </w:t>
      </w:r>
      <w:r w:rsidRPr="00D4309F">
        <w:t>at</w:t>
      </w:r>
      <w:r w:rsidRPr="00D4309F">
        <w:rPr>
          <w:spacing w:val="-4"/>
        </w:rPr>
        <w:t xml:space="preserve"> </w:t>
      </w:r>
      <w:r w:rsidRPr="00D4309F">
        <w:t>the</w:t>
      </w:r>
      <w:r w:rsidRPr="00D4309F">
        <w:rPr>
          <w:spacing w:val="-4"/>
        </w:rPr>
        <w:t xml:space="preserve"> </w:t>
      </w:r>
      <w:r w:rsidRPr="00D4309F">
        <w:rPr>
          <w:spacing w:val="-2"/>
        </w:rPr>
        <w:t>entrance.</w:t>
      </w:r>
    </w:p>
    <w:p w14:paraId="72D9E93C" w14:textId="77777777" w:rsidR="00A632EB" w:rsidRPr="00D4309F" w:rsidRDefault="00A632EB" w:rsidP="00035CBD">
      <w:pPr>
        <w:pStyle w:val="ListBullet"/>
      </w:pPr>
      <w:r w:rsidRPr="00D4309F">
        <w:t>Episodic</w:t>
      </w:r>
      <w:r w:rsidRPr="00D4309F">
        <w:rPr>
          <w:spacing w:val="-3"/>
        </w:rPr>
        <w:t xml:space="preserve"> </w:t>
      </w:r>
      <w:r w:rsidRPr="00D4309F">
        <w:t>infill</w:t>
      </w:r>
      <w:r w:rsidRPr="00D4309F">
        <w:rPr>
          <w:spacing w:val="-4"/>
        </w:rPr>
        <w:t xml:space="preserve"> </w:t>
      </w:r>
      <w:r w:rsidRPr="00D4309F">
        <w:t>during</w:t>
      </w:r>
      <w:r w:rsidRPr="00D4309F">
        <w:rPr>
          <w:spacing w:val="-4"/>
        </w:rPr>
        <w:t xml:space="preserve"> </w:t>
      </w:r>
      <w:r w:rsidRPr="00D4309F">
        <w:t>storm</w:t>
      </w:r>
      <w:r w:rsidRPr="00D4309F">
        <w:rPr>
          <w:spacing w:val="-4"/>
        </w:rPr>
        <w:t xml:space="preserve"> </w:t>
      </w:r>
      <w:r w:rsidRPr="00D4309F">
        <w:t>events</w:t>
      </w:r>
      <w:r w:rsidRPr="00D4309F">
        <w:rPr>
          <w:spacing w:val="-3"/>
        </w:rPr>
        <w:t xml:space="preserve"> </w:t>
      </w:r>
      <w:r w:rsidRPr="00D4309F">
        <w:t>ensures</w:t>
      </w:r>
      <w:r w:rsidRPr="00D4309F">
        <w:rPr>
          <w:spacing w:val="-3"/>
        </w:rPr>
        <w:t xml:space="preserve"> </w:t>
      </w:r>
      <w:r w:rsidRPr="00D4309F">
        <w:t>sustainable</w:t>
      </w:r>
      <w:r w:rsidRPr="00D4309F">
        <w:rPr>
          <w:spacing w:val="-4"/>
        </w:rPr>
        <w:t xml:space="preserve"> </w:t>
      </w:r>
      <w:r w:rsidRPr="00D4309F">
        <w:t>trap</w:t>
      </w:r>
      <w:r w:rsidRPr="00D4309F">
        <w:rPr>
          <w:spacing w:val="-4"/>
        </w:rPr>
        <w:t xml:space="preserve"> </w:t>
      </w:r>
      <w:r w:rsidRPr="00D4309F">
        <w:t>operation</w:t>
      </w:r>
      <w:r w:rsidRPr="00D4309F">
        <w:rPr>
          <w:spacing w:val="-4"/>
        </w:rPr>
        <w:t xml:space="preserve"> </w:t>
      </w:r>
      <w:r w:rsidRPr="00D4309F">
        <w:t>with</w:t>
      </w:r>
      <w:r w:rsidRPr="00D4309F">
        <w:rPr>
          <w:spacing w:val="-4"/>
        </w:rPr>
        <w:t xml:space="preserve"> </w:t>
      </w:r>
      <w:r w:rsidRPr="00D4309F">
        <w:t>manageable</w:t>
      </w:r>
      <w:r w:rsidRPr="00D4309F">
        <w:rPr>
          <w:spacing w:val="-4"/>
        </w:rPr>
        <w:t xml:space="preserve"> </w:t>
      </w:r>
      <w:r w:rsidRPr="00D4309F">
        <w:t xml:space="preserve">maintenance </w:t>
      </w:r>
      <w:r w:rsidRPr="00D4309F">
        <w:rPr>
          <w:spacing w:val="-2"/>
        </w:rPr>
        <w:t>intervals.</w:t>
      </w:r>
    </w:p>
    <w:p w14:paraId="2CD5A77F" w14:textId="77777777" w:rsidR="00A632EB" w:rsidRPr="00D4309F" w:rsidRDefault="00A632EB" w:rsidP="00035CBD">
      <w:pPr>
        <w:pStyle w:val="ListBullet"/>
      </w:pPr>
      <w:r w:rsidRPr="00D4309F">
        <w:t>Minor</w:t>
      </w:r>
      <w:r w:rsidRPr="00D4309F">
        <w:rPr>
          <w:spacing w:val="-2"/>
        </w:rPr>
        <w:t xml:space="preserve"> </w:t>
      </w:r>
      <w:r w:rsidRPr="00D4309F">
        <w:t>localised</w:t>
      </w:r>
      <w:r w:rsidRPr="00D4309F">
        <w:rPr>
          <w:spacing w:val="-3"/>
        </w:rPr>
        <w:t xml:space="preserve"> </w:t>
      </w:r>
      <w:r w:rsidRPr="00D4309F">
        <w:t>erosion</w:t>
      </w:r>
      <w:r w:rsidRPr="00D4309F">
        <w:rPr>
          <w:spacing w:val="-3"/>
        </w:rPr>
        <w:t xml:space="preserve"> </w:t>
      </w:r>
      <w:r w:rsidRPr="00D4309F">
        <w:t>effects</w:t>
      </w:r>
      <w:r w:rsidRPr="00D4309F">
        <w:rPr>
          <w:spacing w:val="-2"/>
        </w:rPr>
        <w:t xml:space="preserve"> </w:t>
      </w:r>
      <w:r w:rsidRPr="00D4309F">
        <w:t>are</w:t>
      </w:r>
      <w:r w:rsidRPr="00D4309F">
        <w:rPr>
          <w:spacing w:val="-3"/>
        </w:rPr>
        <w:t xml:space="preserve"> </w:t>
      </w:r>
      <w:r w:rsidRPr="00D4309F">
        <w:t>expected</w:t>
      </w:r>
      <w:r w:rsidRPr="00D4309F">
        <w:rPr>
          <w:spacing w:val="-3"/>
        </w:rPr>
        <w:t xml:space="preserve"> </w:t>
      </w:r>
      <w:r w:rsidRPr="00D4309F">
        <w:t>but</w:t>
      </w:r>
      <w:r w:rsidRPr="00D4309F">
        <w:rPr>
          <w:spacing w:val="-3"/>
        </w:rPr>
        <w:t xml:space="preserve"> </w:t>
      </w:r>
      <w:r w:rsidRPr="00D4309F">
        <w:t>remain</w:t>
      </w:r>
      <w:r w:rsidRPr="00D4309F">
        <w:rPr>
          <w:spacing w:val="-3"/>
        </w:rPr>
        <w:t xml:space="preserve"> </w:t>
      </w:r>
      <w:r w:rsidRPr="00D4309F">
        <w:t>within</w:t>
      </w:r>
      <w:r w:rsidRPr="00D4309F">
        <w:rPr>
          <w:spacing w:val="-3"/>
        </w:rPr>
        <w:t xml:space="preserve"> </w:t>
      </w:r>
      <w:r w:rsidRPr="00D4309F">
        <w:t>the</w:t>
      </w:r>
      <w:r w:rsidRPr="00D4309F">
        <w:rPr>
          <w:spacing w:val="-3"/>
        </w:rPr>
        <w:t xml:space="preserve"> </w:t>
      </w:r>
      <w:r w:rsidRPr="00D4309F">
        <w:t>natural</w:t>
      </w:r>
      <w:r w:rsidRPr="00D4309F">
        <w:rPr>
          <w:spacing w:val="-3"/>
        </w:rPr>
        <w:t xml:space="preserve"> </w:t>
      </w:r>
      <w:r w:rsidRPr="00D4309F">
        <w:t>dynamic</w:t>
      </w:r>
      <w:r w:rsidRPr="00D4309F">
        <w:rPr>
          <w:spacing w:val="-2"/>
        </w:rPr>
        <w:t xml:space="preserve"> </w:t>
      </w:r>
      <w:r w:rsidRPr="00D4309F">
        <w:t>range</w:t>
      </w:r>
      <w:r w:rsidRPr="00D4309F">
        <w:rPr>
          <w:spacing w:val="-3"/>
        </w:rPr>
        <w:t xml:space="preserve"> </w:t>
      </w:r>
      <w:r w:rsidRPr="00D4309F">
        <w:t>of</w:t>
      </w:r>
      <w:r w:rsidRPr="00D4309F">
        <w:rPr>
          <w:spacing w:val="-3"/>
        </w:rPr>
        <w:t xml:space="preserve"> </w:t>
      </w:r>
      <w:r w:rsidRPr="00D4309F">
        <w:t xml:space="preserve">Buddina </w:t>
      </w:r>
      <w:r w:rsidRPr="00D4309F">
        <w:rPr>
          <w:spacing w:val="-2"/>
        </w:rPr>
        <w:t>Beach.</w:t>
      </w:r>
    </w:p>
    <w:p w14:paraId="1B8780FD" w14:textId="77777777" w:rsidR="00A632EB" w:rsidRPr="00D4309F" w:rsidRDefault="00A632EB" w:rsidP="00035CBD">
      <w:pPr>
        <w:pStyle w:val="ListBullet"/>
      </w:pPr>
      <w:r w:rsidRPr="00D4309F">
        <w:t>The concept aligns with established sediment-management practices used successfully at similar dynamic</w:t>
      </w:r>
      <w:r w:rsidRPr="00D4309F">
        <w:rPr>
          <w:spacing w:val="-3"/>
        </w:rPr>
        <w:t xml:space="preserve"> </w:t>
      </w:r>
      <w:r w:rsidRPr="00D4309F">
        <w:t>coastal</w:t>
      </w:r>
      <w:r w:rsidRPr="00D4309F">
        <w:rPr>
          <w:spacing w:val="-3"/>
        </w:rPr>
        <w:t xml:space="preserve"> </w:t>
      </w:r>
      <w:r w:rsidRPr="00D4309F">
        <w:t>inlets</w:t>
      </w:r>
      <w:r w:rsidRPr="00D4309F">
        <w:rPr>
          <w:spacing w:val="-2"/>
        </w:rPr>
        <w:t xml:space="preserve"> </w:t>
      </w:r>
      <w:r w:rsidRPr="00D4309F">
        <w:t>along</w:t>
      </w:r>
      <w:r w:rsidRPr="00D4309F">
        <w:rPr>
          <w:spacing w:val="-3"/>
        </w:rPr>
        <w:t xml:space="preserve"> </w:t>
      </w:r>
      <w:r w:rsidRPr="00D4309F">
        <w:t>the</w:t>
      </w:r>
      <w:r w:rsidRPr="00D4309F">
        <w:rPr>
          <w:spacing w:val="-3"/>
        </w:rPr>
        <w:t xml:space="preserve"> </w:t>
      </w:r>
      <w:r w:rsidRPr="00D4309F">
        <w:t>Queensland</w:t>
      </w:r>
      <w:r w:rsidRPr="00D4309F">
        <w:rPr>
          <w:spacing w:val="-3"/>
        </w:rPr>
        <w:t xml:space="preserve"> </w:t>
      </w:r>
      <w:r w:rsidRPr="00D4309F">
        <w:t>and</w:t>
      </w:r>
      <w:r w:rsidRPr="00D4309F">
        <w:rPr>
          <w:spacing w:val="-3"/>
        </w:rPr>
        <w:t xml:space="preserve"> </w:t>
      </w:r>
      <w:r w:rsidRPr="00D4309F">
        <w:t>New</w:t>
      </w:r>
      <w:r w:rsidRPr="00D4309F">
        <w:rPr>
          <w:spacing w:val="-4"/>
        </w:rPr>
        <w:t xml:space="preserve"> </w:t>
      </w:r>
      <w:r w:rsidRPr="00D4309F">
        <w:t>South</w:t>
      </w:r>
      <w:r w:rsidRPr="00D4309F">
        <w:rPr>
          <w:spacing w:val="-3"/>
        </w:rPr>
        <w:t xml:space="preserve"> </w:t>
      </w:r>
      <w:r w:rsidRPr="00D4309F">
        <w:t>Wales</w:t>
      </w:r>
      <w:r w:rsidRPr="00D4309F">
        <w:rPr>
          <w:spacing w:val="-3"/>
        </w:rPr>
        <w:t xml:space="preserve"> </w:t>
      </w:r>
      <w:r w:rsidRPr="00D4309F">
        <w:t>coasts,</w:t>
      </w:r>
      <w:r w:rsidRPr="00D4309F">
        <w:rPr>
          <w:spacing w:val="-3"/>
        </w:rPr>
        <w:t xml:space="preserve"> </w:t>
      </w:r>
      <w:r w:rsidRPr="00D4309F">
        <w:t>such</w:t>
      </w:r>
      <w:r w:rsidRPr="00D4309F">
        <w:rPr>
          <w:spacing w:val="-4"/>
        </w:rPr>
        <w:t xml:space="preserve"> </w:t>
      </w:r>
      <w:r w:rsidRPr="00D4309F">
        <w:t>as</w:t>
      </w:r>
      <w:r w:rsidRPr="00D4309F">
        <w:rPr>
          <w:spacing w:val="-2"/>
        </w:rPr>
        <w:t xml:space="preserve"> </w:t>
      </w:r>
      <w:r w:rsidRPr="00D4309F">
        <w:t>the</w:t>
      </w:r>
      <w:r w:rsidRPr="00D4309F">
        <w:rPr>
          <w:spacing w:val="-3"/>
        </w:rPr>
        <w:t xml:space="preserve"> </w:t>
      </w:r>
      <w:r w:rsidRPr="00D4309F">
        <w:t>Tweed</w:t>
      </w:r>
      <w:r w:rsidRPr="00D4309F">
        <w:rPr>
          <w:spacing w:val="-4"/>
        </w:rPr>
        <w:t xml:space="preserve"> </w:t>
      </w:r>
      <w:r w:rsidRPr="00D4309F">
        <w:t>River Entrance Sand Bypassing Project and the Gold Coast Seaway.</w:t>
      </w:r>
    </w:p>
    <w:p w14:paraId="386C392F" w14:textId="77777777" w:rsidR="00A632EB" w:rsidRPr="00D4309F" w:rsidRDefault="00A632EB" w:rsidP="00A632EB">
      <w:pPr>
        <w:pStyle w:val="BodyText"/>
      </w:pPr>
      <w:r w:rsidRPr="00D4309F">
        <w:t>Overall,</w:t>
      </w:r>
      <w:r w:rsidRPr="00D4309F">
        <w:rPr>
          <w:spacing w:val="-3"/>
        </w:rPr>
        <w:t xml:space="preserve"> </w:t>
      </w:r>
      <w:r w:rsidRPr="00D4309F">
        <w:t>coastal</w:t>
      </w:r>
      <w:r w:rsidRPr="00D4309F">
        <w:rPr>
          <w:spacing w:val="-3"/>
        </w:rPr>
        <w:t xml:space="preserve"> </w:t>
      </w:r>
      <w:r w:rsidRPr="00D4309F">
        <w:t>process</w:t>
      </w:r>
      <w:r w:rsidRPr="00D4309F">
        <w:rPr>
          <w:spacing w:val="-2"/>
        </w:rPr>
        <w:t xml:space="preserve"> </w:t>
      </w:r>
      <w:r w:rsidRPr="00D4309F">
        <w:t>modelling</w:t>
      </w:r>
      <w:r w:rsidRPr="00D4309F">
        <w:rPr>
          <w:spacing w:val="-4"/>
        </w:rPr>
        <w:t xml:space="preserve"> </w:t>
      </w:r>
      <w:r w:rsidRPr="00D4309F">
        <w:t>supports</w:t>
      </w:r>
      <w:r w:rsidRPr="00D4309F">
        <w:rPr>
          <w:spacing w:val="-2"/>
        </w:rPr>
        <w:t xml:space="preserve"> </w:t>
      </w:r>
      <w:r w:rsidRPr="00D4309F">
        <w:t>the</w:t>
      </w:r>
      <w:r w:rsidRPr="00D4309F">
        <w:rPr>
          <w:spacing w:val="-4"/>
        </w:rPr>
        <w:t xml:space="preserve"> </w:t>
      </w:r>
      <w:r w:rsidRPr="00D4309F">
        <w:t>conclusion</w:t>
      </w:r>
      <w:r w:rsidRPr="00D4309F">
        <w:rPr>
          <w:spacing w:val="-3"/>
        </w:rPr>
        <w:t xml:space="preserve"> </w:t>
      </w:r>
      <w:r w:rsidRPr="00D4309F">
        <w:t>that</w:t>
      </w:r>
      <w:r w:rsidRPr="00D4309F">
        <w:rPr>
          <w:spacing w:val="-3"/>
        </w:rPr>
        <w:t xml:space="preserve"> </w:t>
      </w:r>
      <w:r w:rsidRPr="00D4309F">
        <w:t>Option</w:t>
      </w:r>
      <w:r w:rsidRPr="00D4309F">
        <w:rPr>
          <w:spacing w:val="-3"/>
        </w:rPr>
        <w:t xml:space="preserve"> </w:t>
      </w:r>
      <w:r w:rsidRPr="00D4309F">
        <w:t>1A</w:t>
      </w:r>
      <w:r w:rsidRPr="00D4309F">
        <w:rPr>
          <w:spacing w:val="-3"/>
        </w:rPr>
        <w:t xml:space="preserve"> </w:t>
      </w:r>
      <w:r w:rsidRPr="00D4309F">
        <w:t>would</w:t>
      </w:r>
      <w:r w:rsidRPr="00D4309F">
        <w:rPr>
          <w:spacing w:val="-4"/>
        </w:rPr>
        <w:t xml:space="preserve"> </w:t>
      </w:r>
      <w:r w:rsidRPr="00D4309F">
        <w:t>effectively</w:t>
      </w:r>
      <w:r w:rsidRPr="00D4309F">
        <w:rPr>
          <w:spacing w:val="-2"/>
        </w:rPr>
        <w:t xml:space="preserve"> </w:t>
      </w:r>
      <w:r w:rsidRPr="00D4309F">
        <w:t>slow</w:t>
      </w:r>
      <w:r w:rsidRPr="00D4309F">
        <w:rPr>
          <w:spacing w:val="-2"/>
        </w:rPr>
        <w:t xml:space="preserve"> </w:t>
      </w:r>
      <w:r w:rsidRPr="00D4309F">
        <w:t>sand shoaling at the Mooloolaba Harbour entrance while maintaining acceptable and predictable coastal behaviour along Buddina Beach.</w:t>
      </w:r>
    </w:p>
    <w:p w14:paraId="2A6162E9" w14:textId="77777777" w:rsidR="00A632EB" w:rsidRDefault="00A632EB" w:rsidP="00A632EB"/>
    <w:p w14:paraId="5AC50F47" w14:textId="77777777" w:rsidR="00A632EB" w:rsidRDefault="00A632EB" w:rsidP="00A632EB">
      <w:pPr>
        <w:pageBreakBefore/>
        <w:sectPr w:rsidR="00A632EB" w:rsidSect="00A8441C">
          <w:pgSz w:w="11910" w:h="16840"/>
          <w:pgMar w:top="1418" w:right="1134" w:bottom="1418" w:left="1134" w:header="916" w:footer="1147" w:gutter="0"/>
          <w:cols w:space="720"/>
        </w:sectPr>
      </w:pPr>
    </w:p>
    <w:p w14:paraId="04051812" w14:textId="77777777" w:rsidR="00725977" w:rsidRPr="00D4309F" w:rsidRDefault="00725977" w:rsidP="00F4416A">
      <w:pPr>
        <w:pStyle w:val="Heading3"/>
      </w:pPr>
      <w:bookmarkStart w:id="244" w:name="_bookmark104"/>
      <w:bookmarkStart w:id="245" w:name="_Toc216699377"/>
      <w:bookmarkEnd w:id="244"/>
      <w:r w:rsidRPr="00D4309F">
        <w:lastRenderedPageBreak/>
        <w:t>Environmental</w:t>
      </w:r>
      <w:r w:rsidRPr="00D4309F">
        <w:rPr>
          <w:spacing w:val="-9"/>
        </w:rPr>
        <w:t xml:space="preserve"> </w:t>
      </w:r>
      <w:r w:rsidRPr="00D4309F">
        <w:rPr>
          <w:spacing w:val="-2"/>
        </w:rPr>
        <w:t>constraints</w:t>
      </w:r>
      <w:bookmarkEnd w:id="245"/>
    </w:p>
    <w:p w14:paraId="52791D6A" w14:textId="15A825D4" w:rsidR="00725977" w:rsidRPr="00D4309F" w:rsidRDefault="00725977" w:rsidP="00725977">
      <w:pPr>
        <w:pStyle w:val="BodyText"/>
      </w:pPr>
      <w:r w:rsidRPr="00D4309F">
        <w:t>A</w:t>
      </w:r>
      <w:r w:rsidRPr="00D4309F">
        <w:rPr>
          <w:spacing w:val="-2"/>
        </w:rPr>
        <w:t xml:space="preserve"> </w:t>
      </w:r>
      <w:r w:rsidRPr="00D4309F">
        <w:t>preliminary</w:t>
      </w:r>
      <w:r w:rsidRPr="00D4309F">
        <w:rPr>
          <w:spacing w:val="-1"/>
        </w:rPr>
        <w:t xml:space="preserve"> </w:t>
      </w:r>
      <w:r w:rsidRPr="00D4309F">
        <w:t>assessment</w:t>
      </w:r>
      <w:r w:rsidRPr="00D4309F">
        <w:rPr>
          <w:spacing w:val="-2"/>
        </w:rPr>
        <w:t xml:space="preserve"> </w:t>
      </w:r>
      <w:r w:rsidRPr="00D4309F">
        <w:t>of</w:t>
      </w:r>
      <w:r w:rsidRPr="00D4309F">
        <w:rPr>
          <w:spacing w:val="-2"/>
        </w:rPr>
        <w:t xml:space="preserve"> </w:t>
      </w:r>
      <w:r w:rsidRPr="00D4309F">
        <w:t>environmental</w:t>
      </w:r>
      <w:r w:rsidRPr="00D4309F">
        <w:rPr>
          <w:spacing w:val="-2"/>
        </w:rPr>
        <w:t xml:space="preserve"> </w:t>
      </w:r>
      <w:r w:rsidRPr="00D4309F">
        <w:t>constraints</w:t>
      </w:r>
      <w:r w:rsidRPr="00D4309F">
        <w:rPr>
          <w:spacing w:val="-1"/>
        </w:rPr>
        <w:t xml:space="preserve"> </w:t>
      </w:r>
      <w:r w:rsidRPr="00D4309F">
        <w:t>for</w:t>
      </w:r>
      <w:r w:rsidRPr="00D4309F">
        <w:rPr>
          <w:spacing w:val="-2"/>
        </w:rPr>
        <w:t xml:space="preserve"> </w:t>
      </w:r>
      <w:r w:rsidRPr="00D4309F">
        <w:t>the</w:t>
      </w:r>
      <w:r w:rsidRPr="00D4309F">
        <w:rPr>
          <w:spacing w:val="-2"/>
        </w:rPr>
        <w:t xml:space="preserve"> </w:t>
      </w:r>
      <w:r w:rsidRPr="00D4309F">
        <w:t>Buddina</w:t>
      </w:r>
      <w:r w:rsidRPr="00D4309F">
        <w:rPr>
          <w:spacing w:val="-2"/>
        </w:rPr>
        <w:t xml:space="preserve"> </w:t>
      </w:r>
      <w:r w:rsidRPr="00D4309F">
        <w:t>Beach</w:t>
      </w:r>
      <w:r w:rsidRPr="00D4309F">
        <w:rPr>
          <w:spacing w:val="-2"/>
        </w:rPr>
        <w:t xml:space="preserve"> </w:t>
      </w:r>
      <w:r w:rsidRPr="00D4309F">
        <w:t>Sand</w:t>
      </w:r>
      <w:r w:rsidRPr="00D4309F">
        <w:rPr>
          <w:spacing w:val="-2"/>
        </w:rPr>
        <w:t xml:space="preserve"> </w:t>
      </w:r>
      <w:r w:rsidRPr="00D4309F">
        <w:t>Trap</w:t>
      </w:r>
      <w:r w:rsidRPr="00D4309F">
        <w:rPr>
          <w:spacing w:val="-2"/>
        </w:rPr>
        <w:t xml:space="preserve"> </w:t>
      </w:r>
      <w:r w:rsidRPr="00D4309F">
        <w:t>(Option</w:t>
      </w:r>
      <w:r w:rsidRPr="00D4309F">
        <w:rPr>
          <w:spacing w:val="-2"/>
        </w:rPr>
        <w:t xml:space="preserve"> </w:t>
      </w:r>
      <w:r w:rsidRPr="00D4309F">
        <w:t>1A),</w:t>
      </w:r>
      <w:r w:rsidRPr="00D4309F">
        <w:rPr>
          <w:spacing w:val="-2"/>
        </w:rPr>
        <w:t xml:space="preserve"> </w:t>
      </w:r>
      <w:r w:rsidRPr="00D4309F">
        <w:t>based</w:t>
      </w:r>
      <w:r w:rsidRPr="00D4309F">
        <w:rPr>
          <w:spacing w:val="-2"/>
        </w:rPr>
        <w:t xml:space="preserve"> </w:t>
      </w:r>
      <w:r w:rsidRPr="00D4309F">
        <w:t>on</w:t>
      </w:r>
      <w:r w:rsidRPr="00D4309F">
        <w:rPr>
          <w:spacing w:val="-2"/>
        </w:rPr>
        <w:t xml:space="preserve"> </w:t>
      </w:r>
      <w:r w:rsidRPr="00D4309F">
        <w:t>the</w:t>
      </w:r>
      <w:r w:rsidRPr="00D4309F">
        <w:rPr>
          <w:spacing w:val="-2"/>
        </w:rPr>
        <w:t xml:space="preserve"> </w:t>
      </w:r>
      <w:r w:rsidRPr="00D4309F">
        <w:t>constraints</w:t>
      </w:r>
      <w:r w:rsidRPr="00D4309F">
        <w:rPr>
          <w:spacing w:val="-1"/>
        </w:rPr>
        <w:t xml:space="preserve"> </w:t>
      </w:r>
      <w:r w:rsidRPr="00D4309F">
        <w:t>analysis</w:t>
      </w:r>
      <w:r w:rsidRPr="00D4309F">
        <w:rPr>
          <w:spacing w:val="-2"/>
        </w:rPr>
        <w:t xml:space="preserve"> </w:t>
      </w:r>
      <w:r w:rsidRPr="00D4309F">
        <w:t>criteria</w:t>
      </w:r>
      <w:r w:rsidRPr="00D4309F">
        <w:rPr>
          <w:spacing w:val="-2"/>
        </w:rPr>
        <w:t xml:space="preserve"> </w:t>
      </w:r>
      <w:r w:rsidRPr="00D4309F">
        <w:t>in</w:t>
      </w:r>
      <w:r w:rsidRPr="00D4309F">
        <w:rPr>
          <w:spacing w:val="-4"/>
        </w:rPr>
        <w:t xml:space="preserve"> </w:t>
      </w:r>
      <w:hyperlink w:anchor="_bookmark108" w:history="1">
        <w:r w:rsidR="009213C9">
          <w:fldChar w:fldCharType="begin" w:fldLock="1"/>
        </w:r>
        <w:r w:rsidR="009213C9">
          <w:instrText xml:space="preserve"> REF _Ref215979273 \h </w:instrText>
        </w:r>
        <w:r w:rsidR="009213C9">
          <w:fldChar w:fldCharType="separate"/>
        </w:r>
        <w:r w:rsidR="009213C9">
          <w:t xml:space="preserve">Table </w:t>
        </w:r>
        <w:r w:rsidR="009213C9">
          <w:rPr>
            <w:noProof/>
          </w:rPr>
          <w:t>13</w:t>
        </w:r>
        <w:r w:rsidR="009213C9">
          <w:noBreakHyphen/>
        </w:r>
        <w:r w:rsidR="009213C9">
          <w:rPr>
            <w:noProof/>
          </w:rPr>
          <w:t>1</w:t>
        </w:r>
        <w:r w:rsidR="009213C9">
          <w:fldChar w:fldCharType="end"/>
        </w:r>
        <w:r w:rsidRPr="00D4309F">
          <w:t>,</w:t>
        </w:r>
      </w:hyperlink>
      <w:r w:rsidRPr="00D4309F">
        <w:rPr>
          <w:spacing w:val="-2"/>
        </w:rPr>
        <w:t xml:space="preserve"> </w:t>
      </w:r>
      <w:r w:rsidRPr="00D4309F">
        <w:t>is</w:t>
      </w:r>
      <w:r w:rsidRPr="00D4309F">
        <w:rPr>
          <w:spacing w:val="-1"/>
        </w:rPr>
        <w:t xml:space="preserve"> </w:t>
      </w:r>
      <w:r w:rsidRPr="00D4309F">
        <w:t xml:space="preserve">detailed in </w:t>
      </w:r>
      <w:hyperlink w:anchor="_bookmark109" w:history="1">
        <w:r w:rsidR="009213C9">
          <w:fldChar w:fldCharType="begin" w:fldLock="1"/>
        </w:r>
        <w:r w:rsidR="009213C9">
          <w:instrText xml:space="preserve"> REF _Ref215979295 \h </w:instrText>
        </w:r>
        <w:r w:rsidR="009213C9">
          <w:fldChar w:fldCharType="separate"/>
        </w:r>
        <w:r w:rsidR="009213C9">
          <w:t xml:space="preserve">Table </w:t>
        </w:r>
        <w:r w:rsidR="009213C9">
          <w:rPr>
            <w:noProof/>
          </w:rPr>
          <w:t>13</w:t>
        </w:r>
        <w:r w:rsidR="009213C9">
          <w:noBreakHyphen/>
        </w:r>
        <w:r w:rsidR="009213C9">
          <w:rPr>
            <w:noProof/>
          </w:rPr>
          <w:t>2</w:t>
        </w:r>
        <w:r w:rsidR="009213C9">
          <w:fldChar w:fldCharType="end"/>
        </w:r>
        <w:r w:rsidRPr="00D4309F">
          <w:t>.</w:t>
        </w:r>
      </w:hyperlink>
    </w:p>
    <w:p w14:paraId="42F0EFDC" w14:textId="01516C93" w:rsidR="00ED2949" w:rsidRPr="00447D52" w:rsidRDefault="00ED2949" w:rsidP="00151534">
      <w:pPr>
        <w:pStyle w:val="Table-Caption"/>
      </w:pPr>
      <w:bookmarkStart w:id="246" w:name="_bookmark108"/>
      <w:bookmarkStart w:id="247" w:name="_Ref215979273"/>
      <w:bookmarkStart w:id="248" w:name="_Toc216699548"/>
      <w:bookmarkEnd w:id="246"/>
      <w:r>
        <w:t xml:space="preserve">Table </w:t>
      </w:r>
      <w:r w:rsidR="00151534">
        <w:fldChar w:fldCharType="begin" w:fldLock="1"/>
      </w:r>
      <w:r w:rsidR="00151534">
        <w:instrText xml:space="preserve"> STYLEREF 1 \s </w:instrText>
      </w:r>
      <w:r w:rsidR="00151534">
        <w:fldChar w:fldCharType="separate"/>
      </w:r>
      <w:r w:rsidR="00151534">
        <w:rPr>
          <w:noProof/>
        </w:rPr>
        <w:t>13</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1</w:t>
      </w:r>
      <w:r w:rsidR="00151534">
        <w:fldChar w:fldCharType="end"/>
      </w:r>
      <w:bookmarkEnd w:id="247"/>
      <w:r>
        <w:t>:</w:t>
      </w:r>
      <w:r>
        <w:tab/>
      </w:r>
      <w:r w:rsidRPr="00D4309F">
        <w:rPr>
          <w:color w:val="211E1F"/>
        </w:rPr>
        <w:t>Constraints</w:t>
      </w:r>
      <w:r w:rsidRPr="00D4309F">
        <w:rPr>
          <w:color w:val="211E1F"/>
          <w:spacing w:val="-3"/>
        </w:rPr>
        <w:t xml:space="preserve"> </w:t>
      </w:r>
      <w:r w:rsidRPr="00D4309F">
        <w:rPr>
          <w:color w:val="211E1F"/>
        </w:rPr>
        <w:t>analysis</w:t>
      </w:r>
      <w:r w:rsidRPr="00D4309F">
        <w:rPr>
          <w:color w:val="211E1F"/>
          <w:spacing w:val="-2"/>
        </w:rPr>
        <w:t xml:space="preserve"> criteria</w:t>
      </w:r>
      <w:bookmarkEnd w:id="248"/>
    </w:p>
    <w:tbl>
      <w:tblPr>
        <w:tblW w:w="5000" w:type="pct"/>
        <w:tblCellMar>
          <w:left w:w="0" w:type="dxa"/>
          <w:right w:w="0" w:type="dxa"/>
        </w:tblCellMar>
        <w:tblLook w:val="01E0" w:firstRow="1" w:lastRow="1" w:firstColumn="1" w:lastColumn="1" w:noHBand="0" w:noVBand="0"/>
      </w:tblPr>
      <w:tblGrid>
        <w:gridCol w:w="1750"/>
        <w:gridCol w:w="13106"/>
      </w:tblGrid>
      <w:tr w:rsidR="00725977" w:rsidRPr="00D4309F" w14:paraId="510D9775" w14:textId="77777777" w:rsidTr="001C33A0">
        <w:trPr>
          <w:trHeight w:val="286"/>
        </w:trPr>
        <w:tc>
          <w:tcPr>
            <w:tcW w:w="589" w:type="pct"/>
            <w:tcBorders>
              <w:bottom w:val="single" w:sz="4" w:space="0" w:color="000000"/>
            </w:tcBorders>
            <w:shd w:val="clear" w:color="auto" w:fill="D6D7D5"/>
          </w:tcPr>
          <w:p w14:paraId="64E7700E" w14:textId="77777777" w:rsidR="00725977" w:rsidRPr="00D4309F" w:rsidRDefault="00725977">
            <w:pPr>
              <w:pStyle w:val="TableParagraph"/>
              <w:spacing w:before="40"/>
              <w:ind w:left="165"/>
              <w:rPr>
                <w:b/>
                <w:sz w:val="18"/>
              </w:rPr>
            </w:pPr>
            <w:r w:rsidRPr="00D4309F">
              <w:rPr>
                <w:b/>
                <w:color w:val="70004A"/>
                <w:sz w:val="18"/>
              </w:rPr>
              <w:t>Constraint</w:t>
            </w:r>
            <w:r w:rsidRPr="00D4309F">
              <w:rPr>
                <w:b/>
                <w:color w:val="70004A"/>
                <w:spacing w:val="-4"/>
                <w:sz w:val="18"/>
              </w:rPr>
              <w:t xml:space="preserve"> </w:t>
            </w:r>
            <w:r w:rsidRPr="00D4309F">
              <w:rPr>
                <w:b/>
                <w:color w:val="70004A"/>
                <w:spacing w:val="-2"/>
                <w:sz w:val="18"/>
              </w:rPr>
              <w:t>level</w:t>
            </w:r>
          </w:p>
        </w:tc>
        <w:tc>
          <w:tcPr>
            <w:tcW w:w="4411" w:type="pct"/>
            <w:tcBorders>
              <w:bottom w:val="single" w:sz="4" w:space="0" w:color="000000"/>
            </w:tcBorders>
            <w:shd w:val="clear" w:color="auto" w:fill="D6D7D5"/>
          </w:tcPr>
          <w:p w14:paraId="1DC2B104" w14:textId="77777777" w:rsidR="00725977" w:rsidRPr="00D4309F" w:rsidRDefault="00725977">
            <w:pPr>
              <w:pStyle w:val="TableParagraph"/>
              <w:spacing w:before="40"/>
              <w:ind w:left="163"/>
              <w:rPr>
                <w:b/>
                <w:sz w:val="18"/>
              </w:rPr>
            </w:pPr>
            <w:r w:rsidRPr="00D4309F">
              <w:rPr>
                <w:b/>
                <w:color w:val="70004A"/>
                <w:spacing w:val="-2"/>
                <w:sz w:val="18"/>
              </w:rPr>
              <w:t>Description</w:t>
            </w:r>
          </w:p>
        </w:tc>
      </w:tr>
      <w:tr w:rsidR="00725977" w:rsidRPr="00D4309F" w14:paraId="2606D68F" w14:textId="77777777" w:rsidTr="001C33A0">
        <w:trPr>
          <w:trHeight w:val="287"/>
        </w:trPr>
        <w:tc>
          <w:tcPr>
            <w:tcW w:w="589" w:type="pct"/>
            <w:tcBorders>
              <w:top w:val="single" w:sz="4" w:space="0" w:color="000000"/>
              <w:bottom w:val="single" w:sz="4" w:space="0" w:color="000000"/>
            </w:tcBorders>
            <w:shd w:val="clear" w:color="auto" w:fill="BDB7B3"/>
          </w:tcPr>
          <w:p w14:paraId="11783567" w14:textId="77777777" w:rsidR="00725977" w:rsidRPr="00D4309F" w:rsidRDefault="00725977">
            <w:pPr>
              <w:pStyle w:val="TableParagraph"/>
              <w:spacing w:before="41"/>
              <w:ind w:left="165"/>
              <w:rPr>
                <w:b/>
                <w:sz w:val="18"/>
              </w:rPr>
            </w:pPr>
            <w:r w:rsidRPr="00D4309F">
              <w:rPr>
                <w:b/>
                <w:color w:val="211E1F"/>
                <w:sz w:val="18"/>
              </w:rPr>
              <w:t>No</w:t>
            </w:r>
            <w:r w:rsidRPr="00D4309F">
              <w:rPr>
                <w:b/>
                <w:color w:val="211E1F"/>
                <w:spacing w:val="-3"/>
                <w:sz w:val="18"/>
              </w:rPr>
              <w:t xml:space="preserve"> </w:t>
            </w:r>
            <w:r w:rsidRPr="00D4309F">
              <w:rPr>
                <w:b/>
                <w:color w:val="211E1F"/>
                <w:spacing w:val="-2"/>
                <w:sz w:val="18"/>
              </w:rPr>
              <w:t>impact</w:t>
            </w:r>
          </w:p>
        </w:tc>
        <w:tc>
          <w:tcPr>
            <w:tcW w:w="4411" w:type="pct"/>
            <w:tcBorders>
              <w:top w:val="single" w:sz="4" w:space="0" w:color="000000"/>
              <w:bottom w:val="single" w:sz="4" w:space="0" w:color="000000"/>
            </w:tcBorders>
          </w:tcPr>
          <w:p w14:paraId="4BA57859" w14:textId="77777777" w:rsidR="00725977" w:rsidRPr="00D4309F" w:rsidRDefault="00725977">
            <w:pPr>
              <w:pStyle w:val="TableParagraph"/>
              <w:spacing w:before="41"/>
              <w:ind w:left="163"/>
              <w:rPr>
                <w:sz w:val="18"/>
              </w:rPr>
            </w:pPr>
            <w:r w:rsidRPr="00D4309F">
              <w:rPr>
                <w:color w:val="211E1F"/>
                <w:sz w:val="18"/>
              </w:rPr>
              <w:t>There</w:t>
            </w:r>
            <w:r w:rsidRPr="00D4309F">
              <w:rPr>
                <w:color w:val="211E1F"/>
                <w:spacing w:val="-6"/>
                <w:sz w:val="18"/>
              </w:rPr>
              <w:t xml:space="preserve"> </w:t>
            </w:r>
            <w:r w:rsidRPr="00D4309F">
              <w:rPr>
                <w:color w:val="211E1F"/>
                <w:sz w:val="18"/>
              </w:rPr>
              <w:t>is</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impact</w:t>
            </w:r>
            <w:r w:rsidRPr="00D4309F">
              <w:rPr>
                <w:color w:val="211E1F"/>
                <w:spacing w:val="-2"/>
                <w:sz w:val="18"/>
              </w:rPr>
              <w:t xml:space="preserve"> </w:t>
            </w:r>
            <w:r w:rsidRPr="00D4309F">
              <w:rPr>
                <w:color w:val="211E1F"/>
                <w:sz w:val="18"/>
              </w:rPr>
              <w:t>pathway</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1"/>
                <w:sz w:val="18"/>
              </w:rPr>
              <w:t xml:space="preserve"> </w:t>
            </w:r>
            <w:r w:rsidRPr="00D4309F">
              <w:rPr>
                <w:color w:val="211E1F"/>
                <w:sz w:val="18"/>
              </w:rPr>
              <w:t>receptor.</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required.</w:t>
            </w:r>
          </w:p>
        </w:tc>
      </w:tr>
      <w:tr w:rsidR="00725977" w:rsidRPr="00D4309F" w14:paraId="6631AB77" w14:textId="77777777" w:rsidTr="001C33A0">
        <w:trPr>
          <w:trHeight w:val="286"/>
        </w:trPr>
        <w:tc>
          <w:tcPr>
            <w:tcW w:w="589" w:type="pct"/>
            <w:tcBorders>
              <w:top w:val="single" w:sz="4" w:space="0" w:color="000000"/>
              <w:bottom w:val="single" w:sz="4" w:space="0" w:color="000000"/>
            </w:tcBorders>
            <w:shd w:val="clear" w:color="auto" w:fill="92D050"/>
          </w:tcPr>
          <w:p w14:paraId="6F61F8D3" w14:textId="77777777" w:rsidR="00725977" w:rsidRPr="00D4309F" w:rsidRDefault="00725977">
            <w:pPr>
              <w:pStyle w:val="TableParagraph"/>
              <w:spacing w:before="39"/>
              <w:ind w:left="165"/>
              <w:rPr>
                <w:b/>
                <w:sz w:val="18"/>
              </w:rPr>
            </w:pPr>
            <w:r w:rsidRPr="00D4309F">
              <w:rPr>
                <w:b/>
                <w:color w:val="211E1F"/>
                <w:spacing w:val="-5"/>
                <w:sz w:val="18"/>
              </w:rPr>
              <w:t>Low</w:t>
            </w:r>
          </w:p>
        </w:tc>
        <w:tc>
          <w:tcPr>
            <w:tcW w:w="4411" w:type="pct"/>
            <w:tcBorders>
              <w:top w:val="single" w:sz="4" w:space="0" w:color="000000"/>
              <w:bottom w:val="single" w:sz="4" w:space="0" w:color="000000"/>
            </w:tcBorders>
          </w:tcPr>
          <w:p w14:paraId="1C939E6E" w14:textId="77777777" w:rsidR="00725977" w:rsidRPr="00D4309F" w:rsidRDefault="00725977">
            <w:pPr>
              <w:pStyle w:val="TableParagraph"/>
              <w:spacing w:before="39"/>
              <w:ind w:left="163"/>
              <w:rPr>
                <w:sz w:val="18"/>
              </w:rPr>
            </w:pPr>
            <w:r w:rsidRPr="00D4309F">
              <w:rPr>
                <w:color w:val="211E1F"/>
                <w:sz w:val="18"/>
              </w:rPr>
              <w:t>There</w:t>
            </w:r>
            <w:r w:rsidRPr="00D4309F">
              <w:rPr>
                <w:color w:val="211E1F"/>
                <w:spacing w:val="-6"/>
                <w:sz w:val="18"/>
              </w:rPr>
              <w:t xml:space="preserve"> </w:t>
            </w:r>
            <w:r w:rsidRPr="00D4309F">
              <w:rPr>
                <w:color w:val="211E1F"/>
                <w:sz w:val="18"/>
              </w:rPr>
              <w:t>is</w:t>
            </w:r>
            <w:r w:rsidRPr="00D4309F">
              <w:rPr>
                <w:color w:val="211E1F"/>
                <w:spacing w:val="-2"/>
                <w:sz w:val="18"/>
              </w:rPr>
              <w:t xml:space="preserve"> </w:t>
            </w:r>
            <w:r w:rsidRPr="00D4309F">
              <w:rPr>
                <w:color w:val="211E1F"/>
                <w:sz w:val="18"/>
              </w:rPr>
              <w:t>low</w:t>
            </w:r>
            <w:r w:rsidRPr="00D4309F">
              <w:rPr>
                <w:color w:val="211E1F"/>
                <w:spacing w:val="-2"/>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3"/>
                <w:sz w:val="18"/>
              </w:rPr>
              <w:t xml:space="preserve"> </w:t>
            </w:r>
            <w:r w:rsidRPr="00D4309F">
              <w:rPr>
                <w:color w:val="211E1F"/>
                <w:sz w:val="18"/>
              </w:rPr>
              <w:t>No</w:t>
            </w:r>
            <w:r w:rsidRPr="00D4309F">
              <w:rPr>
                <w:color w:val="211E1F"/>
                <w:spacing w:val="-3"/>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required.</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or</w:t>
            </w:r>
            <w:r w:rsidRPr="00D4309F">
              <w:rPr>
                <w:color w:val="211E1F"/>
                <w:spacing w:val="-2"/>
                <w:sz w:val="18"/>
              </w:rPr>
              <w:t xml:space="preserve"> </w:t>
            </w:r>
            <w:r w:rsidRPr="00D4309F">
              <w:rPr>
                <w:color w:val="211E1F"/>
                <w:sz w:val="18"/>
              </w:rPr>
              <w:t>standard</w:t>
            </w:r>
            <w:r w:rsidRPr="00D4309F">
              <w:rPr>
                <w:color w:val="211E1F"/>
                <w:spacing w:val="-3"/>
                <w:sz w:val="18"/>
              </w:rPr>
              <w:t xml:space="preserve"> </w:t>
            </w:r>
            <w:r w:rsidRPr="00D4309F">
              <w:rPr>
                <w:color w:val="211E1F"/>
                <w:sz w:val="18"/>
              </w:rPr>
              <w:t>management</w:t>
            </w:r>
            <w:r w:rsidRPr="00D4309F">
              <w:rPr>
                <w:color w:val="211E1F"/>
                <w:spacing w:val="-2"/>
                <w:sz w:val="18"/>
              </w:rPr>
              <w:t xml:space="preserve"> likely.</w:t>
            </w:r>
          </w:p>
        </w:tc>
      </w:tr>
      <w:tr w:rsidR="00725977" w:rsidRPr="00D4309F" w14:paraId="46D8C267" w14:textId="77777777" w:rsidTr="001C33A0">
        <w:trPr>
          <w:trHeight w:val="493"/>
        </w:trPr>
        <w:tc>
          <w:tcPr>
            <w:tcW w:w="589" w:type="pct"/>
            <w:tcBorders>
              <w:top w:val="single" w:sz="4" w:space="0" w:color="000000"/>
              <w:bottom w:val="single" w:sz="4" w:space="0" w:color="000000"/>
            </w:tcBorders>
            <w:shd w:val="clear" w:color="auto" w:fill="FFFF00"/>
          </w:tcPr>
          <w:p w14:paraId="1A8BD557" w14:textId="77777777" w:rsidR="00725977" w:rsidRPr="00D4309F" w:rsidRDefault="00725977">
            <w:pPr>
              <w:pStyle w:val="TableParagraph"/>
              <w:spacing w:before="144"/>
              <w:ind w:left="165"/>
              <w:rPr>
                <w:b/>
                <w:sz w:val="18"/>
              </w:rPr>
            </w:pPr>
            <w:r w:rsidRPr="00D4309F">
              <w:rPr>
                <w:b/>
                <w:color w:val="211E1F"/>
                <w:spacing w:val="-2"/>
                <w:sz w:val="18"/>
              </w:rPr>
              <w:t>Moderate</w:t>
            </w:r>
          </w:p>
        </w:tc>
        <w:tc>
          <w:tcPr>
            <w:tcW w:w="4411" w:type="pct"/>
            <w:tcBorders>
              <w:top w:val="single" w:sz="4" w:space="0" w:color="000000"/>
              <w:bottom w:val="single" w:sz="4" w:space="0" w:color="000000"/>
            </w:tcBorders>
          </w:tcPr>
          <w:p w14:paraId="01842DAC" w14:textId="77777777" w:rsidR="00725977" w:rsidRPr="00D4309F" w:rsidRDefault="00725977">
            <w:pPr>
              <w:pStyle w:val="TableParagraph"/>
              <w:spacing w:before="41"/>
              <w:ind w:left="163"/>
              <w:rPr>
                <w:sz w:val="18"/>
              </w:rPr>
            </w:pPr>
            <w:r w:rsidRPr="00D4309F">
              <w:rPr>
                <w:color w:val="211E1F"/>
                <w:sz w:val="18"/>
              </w:rPr>
              <w:t>There</w:t>
            </w:r>
            <w:r w:rsidRPr="00D4309F">
              <w:rPr>
                <w:color w:val="211E1F"/>
                <w:spacing w:val="-3"/>
                <w:sz w:val="18"/>
              </w:rPr>
              <w:t xml:space="preserve"> </w:t>
            </w:r>
            <w:r w:rsidRPr="00D4309F">
              <w:rPr>
                <w:color w:val="211E1F"/>
                <w:sz w:val="18"/>
              </w:rPr>
              <w:t>is</w:t>
            </w:r>
            <w:r w:rsidRPr="00D4309F">
              <w:rPr>
                <w:color w:val="211E1F"/>
                <w:spacing w:val="-2"/>
                <w:sz w:val="18"/>
              </w:rPr>
              <w:t xml:space="preserve"> </w:t>
            </w:r>
            <w:r w:rsidRPr="00D4309F">
              <w:rPr>
                <w:color w:val="211E1F"/>
                <w:sz w:val="18"/>
              </w:rPr>
              <w:t>a</w:t>
            </w:r>
            <w:r w:rsidRPr="00D4309F">
              <w:rPr>
                <w:color w:val="211E1F"/>
                <w:spacing w:val="-3"/>
                <w:sz w:val="18"/>
              </w:rPr>
              <w:t xml:space="preserve"> </w:t>
            </w:r>
            <w:r w:rsidRPr="00D4309F">
              <w:rPr>
                <w:color w:val="211E1F"/>
                <w:sz w:val="18"/>
              </w:rPr>
              <w:t>moderate</w:t>
            </w:r>
            <w:r w:rsidRPr="00D4309F">
              <w:rPr>
                <w:color w:val="211E1F"/>
                <w:spacing w:val="-3"/>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2"/>
                <w:sz w:val="18"/>
              </w:rPr>
              <w:t xml:space="preserve"> </w:t>
            </w:r>
            <w:r w:rsidRPr="00D4309F">
              <w:rPr>
                <w:color w:val="211E1F"/>
                <w:sz w:val="18"/>
              </w:rPr>
              <w:t>which</w:t>
            </w:r>
            <w:r w:rsidRPr="00D4309F">
              <w:rPr>
                <w:color w:val="211E1F"/>
                <w:spacing w:val="-3"/>
                <w:sz w:val="18"/>
              </w:rPr>
              <w:t xml:space="preserve"> </w:t>
            </w:r>
            <w:r w:rsidRPr="00D4309F">
              <w:rPr>
                <w:color w:val="211E1F"/>
                <w:sz w:val="18"/>
              </w:rPr>
              <w:t>will</w:t>
            </w:r>
            <w:r w:rsidRPr="00D4309F">
              <w:rPr>
                <w:color w:val="211E1F"/>
                <w:spacing w:val="-1"/>
                <w:sz w:val="18"/>
              </w:rPr>
              <w:t xml:space="preserve"> </w:t>
            </w:r>
            <w:r w:rsidRPr="00D4309F">
              <w:rPr>
                <w:color w:val="211E1F"/>
                <w:sz w:val="18"/>
              </w:rPr>
              <w:t>require</w:t>
            </w:r>
            <w:r w:rsidRPr="00D4309F">
              <w:rPr>
                <w:color w:val="211E1F"/>
                <w:spacing w:val="-3"/>
                <w:sz w:val="18"/>
              </w:rPr>
              <w:t xml:space="preserve"> </w:t>
            </w:r>
            <w:r w:rsidRPr="00D4309F">
              <w:rPr>
                <w:color w:val="211E1F"/>
                <w:sz w:val="18"/>
              </w:rPr>
              <w:t>further</w:t>
            </w:r>
            <w:r w:rsidRPr="00D4309F">
              <w:rPr>
                <w:color w:val="211E1F"/>
                <w:spacing w:val="-1"/>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to</w:t>
            </w:r>
            <w:r w:rsidRPr="00D4309F">
              <w:rPr>
                <w:color w:val="211E1F"/>
                <w:spacing w:val="-1"/>
                <w:sz w:val="18"/>
              </w:rPr>
              <w:t xml:space="preserve"> </w:t>
            </w:r>
            <w:r w:rsidRPr="00D4309F">
              <w:rPr>
                <w:color w:val="211E1F"/>
                <w:sz w:val="18"/>
              </w:rPr>
              <w:t>determine</w:t>
            </w:r>
            <w:r w:rsidRPr="00D4309F">
              <w:rPr>
                <w:color w:val="211E1F"/>
                <w:spacing w:val="-3"/>
                <w:sz w:val="18"/>
              </w:rPr>
              <w:t xml:space="preserve"> </w:t>
            </w:r>
            <w:r w:rsidRPr="00D4309F">
              <w:rPr>
                <w:color w:val="211E1F"/>
                <w:sz w:val="18"/>
              </w:rPr>
              <w:t>the</w:t>
            </w:r>
            <w:r w:rsidRPr="00D4309F">
              <w:rPr>
                <w:color w:val="211E1F"/>
                <w:spacing w:val="-1"/>
                <w:sz w:val="18"/>
              </w:rPr>
              <w:t xml:space="preserve"> </w:t>
            </w:r>
            <w:r w:rsidRPr="00D4309F">
              <w:rPr>
                <w:color w:val="211E1F"/>
                <w:sz w:val="18"/>
              </w:rPr>
              <w:t>significance</w:t>
            </w:r>
            <w:r w:rsidRPr="00D4309F">
              <w:rPr>
                <w:color w:val="211E1F"/>
                <w:spacing w:val="-3"/>
                <w:sz w:val="18"/>
              </w:rPr>
              <w:t xml:space="preserve"> </w:t>
            </w:r>
            <w:r w:rsidRPr="00D4309F">
              <w:rPr>
                <w:color w:val="211E1F"/>
                <w:sz w:val="18"/>
              </w:rPr>
              <w:t>of</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Likely</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be manageable or engineered to minimise potential impacts on the receiving environment.</w:t>
            </w:r>
          </w:p>
        </w:tc>
      </w:tr>
      <w:tr w:rsidR="00725977" w:rsidRPr="00D4309F" w14:paraId="2ED219CF" w14:textId="77777777" w:rsidTr="001C33A0">
        <w:trPr>
          <w:trHeight w:val="494"/>
        </w:trPr>
        <w:tc>
          <w:tcPr>
            <w:tcW w:w="589" w:type="pct"/>
            <w:tcBorders>
              <w:top w:val="single" w:sz="4" w:space="0" w:color="000000"/>
            </w:tcBorders>
            <w:shd w:val="clear" w:color="auto" w:fill="FFC000"/>
          </w:tcPr>
          <w:p w14:paraId="04A6B5A0" w14:textId="77777777" w:rsidR="00725977" w:rsidRPr="00D4309F" w:rsidRDefault="00725977">
            <w:pPr>
              <w:pStyle w:val="TableParagraph"/>
              <w:spacing w:before="144"/>
              <w:ind w:left="165"/>
              <w:rPr>
                <w:b/>
                <w:sz w:val="18"/>
              </w:rPr>
            </w:pPr>
            <w:r w:rsidRPr="00D4309F">
              <w:rPr>
                <w:b/>
                <w:color w:val="211E1F"/>
                <w:spacing w:val="-4"/>
                <w:sz w:val="18"/>
              </w:rPr>
              <w:t>High</w:t>
            </w:r>
          </w:p>
        </w:tc>
        <w:tc>
          <w:tcPr>
            <w:tcW w:w="4411" w:type="pct"/>
            <w:tcBorders>
              <w:top w:val="single" w:sz="4" w:space="0" w:color="000000"/>
            </w:tcBorders>
          </w:tcPr>
          <w:p w14:paraId="0A926FA7" w14:textId="77777777" w:rsidR="00725977" w:rsidRPr="00D4309F" w:rsidRDefault="00725977">
            <w:pPr>
              <w:pStyle w:val="TableParagraph"/>
              <w:spacing w:before="41"/>
              <w:ind w:left="163"/>
              <w:rPr>
                <w:sz w:val="18"/>
              </w:rPr>
            </w:pPr>
            <w:r w:rsidRPr="00D4309F">
              <w:rPr>
                <w:color w:val="211E1F"/>
                <w:sz w:val="18"/>
              </w:rPr>
              <w:t>There</w:t>
            </w:r>
            <w:r w:rsidRPr="00D4309F">
              <w:rPr>
                <w:color w:val="211E1F"/>
                <w:spacing w:val="-3"/>
                <w:sz w:val="18"/>
              </w:rPr>
              <w:t xml:space="preserve"> </w:t>
            </w:r>
            <w:r w:rsidRPr="00D4309F">
              <w:rPr>
                <w:color w:val="211E1F"/>
                <w:sz w:val="18"/>
              </w:rPr>
              <w:t>is</w:t>
            </w:r>
            <w:r w:rsidRPr="00D4309F">
              <w:rPr>
                <w:color w:val="211E1F"/>
                <w:spacing w:val="-2"/>
                <w:sz w:val="18"/>
              </w:rPr>
              <w:t xml:space="preserve"> </w:t>
            </w:r>
            <w:r w:rsidRPr="00D4309F">
              <w:rPr>
                <w:color w:val="211E1F"/>
                <w:sz w:val="18"/>
              </w:rPr>
              <w:t>a</w:t>
            </w:r>
            <w:r w:rsidRPr="00D4309F">
              <w:rPr>
                <w:color w:val="211E1F"/>
                <w:spacing w:val="-3"/>
                <w:sz w:val="18"/>
              </w:rPr>
              <w:t xml:space="preserve"> </w:t>
            </w:r>
            <w:r w:rsidRPr="00D4309F">
              <w:rPr>
                <w:color w:val="211E1F"/>
                <w:sz w:val="18"/>
              </w:rPr>
              <w:t>high</w:t>
            </w:r>
            <w:r w:rsidRPr="00D4309F">
              <w:rPr>
                <w:color w:val="211E1F"/>
                <w:spacing w:val="-1"/>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2"/>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required</w:t>
            </w:r>
            <w:r w:rsidRPr="00D4309F">
              <w:rPr>
                <w:color w:val="211E1F"/>
                <w:spacing w:val="-3"/>
                <w:sz w:val="18"/>
              </w:rPr>
              <w:t xml:space="preserve"> </w:t>
            </w:r>
            <w:r w:rsidRPr="00D4309F">
              <w:rPr>
                <w:color w:val="211E1F"/>
                <w:sz w:val="18"/>
              </w:rPr>
              <w:t>to</w:t>
            </w:r>
            <w:r w:rsidRPr="00D4309F">
              <w:rPr>
                <w:color w:val="211E1F"/>
                <w:spacing w:val="-3"/>
                <w:sz w:val="18"/>
              </w:rPr>
              <w:t xml:space="preserve"> </w:t>
            </w:r>
            <w:r w:rsidRPr="00D4309F">
              <w:rPr>
                <w:color w:val="211E1F"/>
                <w:sz w:val="18"/>
              </w:rPr>
              <w:t>determine</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significance</w:t>
            </w:r>
            <w:r w:rsidRPr="00D4309F">
              <w:rPr>
                <w:color w:val="211E1F"/>
                <w:spacing w:val="-1"/>
                <w:sz w:val="18"/>
              </w:rPr>
              <w:t xml:space="preserve"> </w:t>
            </w:r>
            <w:r w:rsidRPr="00D4309F">
              <w:rPr>
                <w:color w:val="211E1F"/>
                <w:sz w:val="18"/>
              </w:rPr>
              <w:t>of</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and</w:t>
            </w:r>
            <w:r w:rsidRPr="00D4309F">
              <w:rPr>
                <w:color w:val="211E1F"/>
                <w:spacing w:val="-3"/>
                <w:sz w:val="18"/>
              </w:rPr>
              <w:t xml:space="preserve"> </w:t>
            </w:r>
            <w:r w:rsidRPr="00D4309F">
              <w:rPr>
                <w:color w:val="211E1F"/>
                <w:sz w:val="18"/>
              </w:rPr>
              <w:t>mitigation</w:t>
            </w:r>
            <w:r w:rsidRPr="00D4309F">
              <w:rPr>
                <w:color w:val="211E1F"/>
                <w:spacing w:val="-1"/>
                <w:sz w:val="18"/>
              </w:rPr>
              <w:t xml:space="preserve"> </w:t>
            </w:r>
            <w:r w:rsidRPr="00D4309F">
              <w:rPr>
                <w:color w:val="211E1F"/>
                <w:sz w:val="18"/>
              </w:rPr>
              <w:t>strategy. Consideration for regulatory approvals.</w:t>
            </w:r>
          </w:p>
        </w:tc>
      </w:tr>
    </w:tbl>
    <w:p w14:paraId="67D87E2E" w14:textId="77777777" w:rsidR="00151534" w:rsidRDefault="00151534" w:rsidP="00ED2949">
      <w:pPr>
        <w:pStyle w:val="Caption"/>
      </w:pPr>
      <w:bookmarkStart w:id="249" w:name="_bookmark109"/>
      <w:bookmarkStart w:id="250" w:name="_Ref215979295"/>
      <w:bookmarkEnd w:id="249"/>
    </w:p>
    <w:p w14:paraId="08684887" w14:textId="34C2A5E9" w:rsidR="00ED2949" w:rsidRPr="00447D52" w:rsidRDefault="00ED2949" w:rsidP="00151534">
      <w:pPr>
        <w:pStyle w:val="Table-Caption"/>
      </w:pPr>
      <w:bookmarkStart w:id="251" w:name="_Toc216699549"/>
      <w:r>
        <w:t xml:space="preserve">Table </w:t>
      </w:r>
      <w:r w:rsidR="00151534">
        <w:fldChar w:fldCharType="begin" w:fldLock="1"/>
      </w:r>
      <w:r w:rsidR="00151534">
        <w:instrText xml:space="preserve"> STYLEREF 1 \s </w:instrText>
      </w:r>
      <w:r w:rsidR="00151534">
        <w:fldChar w:fldCharType="separate"/>
      </w:r>
      <w:r w:rsidR="00151534">
        <w:rPr>
          <w:noProof/>
        </w:rPr>
        <w:t>13</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2</w:t>
      </w:r>
      <w:r w:rsidR="00151534">
        <w:fldChar w:fldCharType="end"/>
      </w:r>
      <w:bookmarkEnd w:id="250"/>
      <w:r>
        <w:t>:</w:t>
      </w:r>
      <w:r>
        <w:tab/>
      </w:r>
      <w:r w:rsidRPr="00D4309F">
        <w:t>Environmental</w:t>
      </w:r>
      <w:r w:rsidRPr="00D4309F">
        <w:rPr>
          <w:spacing w:val="-2"/>
        </w:rPr>
        <w:t xml:space="preserve"> </w:t>
      </w:r>
      <w:r w:rsidRPr="00D4309F">
        <w:t>constraints</w:t>
      </w:r>
      <w:r w:rsidRPr="00D4309F">
        <w:rPr>
          <w:spacing w:val="-3"/>
        </w:rPr>
        <w:t xml:space="preserve"> </w:t>
      </w:r>
      <w:r w:rsidRPr="00D4309F">
        <w:t>for</w:t>
      </w:r>
      <w:r w:rsidRPr="00D4309F">
        <w:rPr>
          <w:spacing w:val="-4"/>
        </w:rPr>
        <w:t xml:space="preserve"> </w:t>
      </w:r>
      <w:r w:rsidRPr="00D4309F">
        <w:t>Buddina</w:t>
      </w:r>
      <w:r w:rsidRPr="00D4309F">
        <w:rPr>
          <w:spacing w:val="-3"/>
        </w:rPr>
        <w:t xml:space="preserve"> </w:t>
      </w:r>
      <w:r w:rsidRPr="00D4309F">
        <w:t>Beach</w:t>
      </w:r>
      <w:r w:rsidRPr="00D4309F">
        <w:rPr>
          <w:spacing w:val="-2"/>
        </w:rPr>
        <w:t xml:space="preserve"> </w:t>
      </w:r>
      <w:r w:rsidRPr="00D4309F">
        <w:t>Sand</w:t>
      </w:r>
      <w:r w:rsidRPr="00D4309F">
        <w:rPr>
          <w:spacing w:val="-2"/>
        </w:rPr>
        <w:t xml:space="preserve"> </w:t>
      </w:r>
      <w:r w:rsidRPr="00D4309F">
        <w:t>Trap</w:t>
      </w:r>
      <w:r w:rsidRPr="00D4309F">
        <w:rPr>
          <w:spacing w:val="-2"/>
        </w:rPr>
        <w:t xml:space="preserve"> </w:t>
      </w:r>
      <w:r w:rsidRPr="00D4309F">
        <w:t>(Option</w:t>
      </w:r>
      <w:r w:rsidRPr="00D4309F">
        <w:rPr>
          <w:spacing w:val="-3"/>
        </w:rPr>
        <w:t xml:space="preserve"> </w:t>
      </w:r>
      <w:r w:rsidRPr="00D4309F">
        <w:rPr>
          <w:spacing w:val="-5"/>
        </w:rPr>
        <w:t>1A)</w:t>
      </w:r>
      <w:bookmarkEnd w:id="251"/>
    </w:p>
    <w:tbl>
      <w:tblPr>
        <w:tblW w:w="5000" w:type="pct"/>
        <w:tblCellMar>
          <w:left w:w="0" w:type="dxa"/>
          <w:right w:w="0" w:type="dxa"/>
        </w:tblCellMar>
        <w:tblLook w:val="01E0" w:firstRow="1" w:lastRow="1" w:firstColumn="1" w:lastColumn="1" w:noHBand="0" w:noVBand="0"/>
      </w:tblPr>
      <w:tblGrid>
        <w:gridCol w:w="1459"/>
        <w:gridCol w:w="1536"/>
        <w:gridCol w:w="2930"/>
        <w:gridCol w:w="1266"/>
        <w:gridCol w:w="3081"/>
        <w:gridCol w:w="2255"/>
        <w:gridCol w:w="2329"/>
      </w:tblGrid>
      <w:tr w:rsidR="00725977" w:rsidRPr="00D4309F" w14:paraId="65F44E2B" w14:textId="77777777" w:rsidTr="00891147">
        <w:trPr>
          <w:cantSplit/>
          <w:trHeight w:val="20"/>
          <w:tblHeader/>
        </w:trPr>
        <w:tc>
          <w:tcPr>
            <w:tcW w:w="491" w:type="pct"/>
            <w:tcBorders>
              <w:bottom w:val="single" w:sz="4" w:space="0" w:color="000000"/>
            </w:tcBorders>
            <w:shd w:val="clear" w:color="auto" w:fill="D6D7D5"/>
            <w:vAlign w:val="center"/>
          </w:tcPr>
          <w:p w14:paraId="6C691A44" w14:textId="77777777" w:rsidR="00725977" w:rsidRPr="00D4309F" w:rsidRDefault="00725977" w:rsidP="006A0C95">
            <w:pPr>
              <w:pStyle w:val="TableParagraph"/>
              <w:ind w:left="195"/>
              <w:rPr>
                <w:b/>
                <w:sz w:val="18"/>
              </w:rPr>
            </w:pPr>
            <w:r w:rsidRPr="00D4309F">
              <w:rPr>
                <w:b/>
                <w:color w:val="70004A"/>
                <w:spacing w:val="-2"/>
                <w:sz w:val="18"/>
              </w:rPr>
              <w:t>Category</w:t>
            </w:r>
          </w:p>
        </w:tc>
        <w:tc>
          <w:tcPr>
            <w:tcW w:w="517" w:type="pct"/>
            <w:tcBorders>
              <w:bottom w:val="single" w:sz="4" w:space="0" w:color="000000"/>
            </w:tcBorders>
            <w:shd w:val="clear" w:color="auto" w:fill="D6D7D5"/>
            <w:vAlign w:val="center"/>
          </w:tcPr>
          <w:p w14:paraId="7BA97738" w14:textId="77777777" w:rsidR="00725977" w:rsidRPr="00D4309F" w:rsidRDefault="00725977" w:rsidP="006A0C95">
            <w:pPr>
              <w:pStyle w:val="TableParagraph"/>
              <w:ind w:left="215"/>
              <w:rPr>
                <w:b/>
                <w:sz w:val="18"/>
              </w:rPr>
            </w:pPr>
            <w:r w:rsidRPr="00D4309F">
              <w:rPr>
                <w:b/>
                <w:color w:val="70004A"/>
                <w:spacing w:val="-2"/>
                <w:sz w:val="18"/>
              </w:rPr>
              <w:t>Receptor</w:t>
            </w:r>
          </w:p>
        </w:tc>
        <w:tc>
          <w:tcPr>
            <w:tcW w:w="986" w:type="pct"/>
            <w:tcBorders>
              <w:bottom w:val="single" w:sz="4" w:space="0" w:color="000000"/>
            </w:tcBorders>
            <w:shd w:val="clear" w:color="auto" w:fill="D6D7D5"/>
            <w:vAlign w:val="center"/>
          </w:tcPr>
          <w:p w14:paraId="1D18AAA4" w14:textId="77777777" w:rsidR="00725977" w:rsidRPr="00D4309F" w:rsidRDefault="00725977" w:rsidP="006A0C95">
            <w:pPr>
              <w:pStyle w:val="TableParagraph"/>
              <w:ind w:left="230"/>
              <w:rPr>
                <w:b/>
                <w:sz w:val="18"/>
              </w:rPr>
            </w:pPr>
            <w:r w:rsidRPr="00D4309F">
              <w:rPr>
                <w:b/>
                <w:color w:val="70004A"/>
                <w:sz w:val="18"/>
              </w:rPr>
              <w:t>Impact</w:t>
            </w:r>
            <w:r w:rsidRPr="00D4309F">
              <w:rPr>
                <w:b/>
                <w:color w:val="70004A"/>
                <w:spacing w:val="-3"/>
                <w:sz w:val="18"/>
              </w:rPr>
              <w:t xml:space="preserve"> </w:t>
            </w:r>
            <w:r w:rsidRPr="00D4309F">
              <w:rPr>
                <w:b/>
                <w:color w:val="70004A"/>
                <w:spacing w:val="-2"/>
                <w:sz w:val="18"/>
              </w:rPr>
              <w:t>pathway</w:t>
            </w:r>
          </w:p>
        </w:tc>
        <w:tc>
          <w:tcPr>
            <w:tcW w:w="426" w:type="pct"/>
            <w:tcBorders>
              <w:bottom w:val="single" w:sz="4" w:space="0" w:color="000000"/>
            </w:tcBorders>
            <w:shd w:val="clear" w:color="auto" w:fill="D6D7D5"/>
            <w:vAlign w:val="center"/>
          </w:tcPr>
          <w:p w14:paraId="64F1C506" w14:textId="77777777" w:rsidR="00725977" w:rsidRPr="00D4309F" w:rsidRDefault="00725977" w:rsidP="006A0C95">
            <w:pPr>
              <w:pStyle w:val="TableParagraph"/>
              <w:ind w:left="164" w:right="196"/>
              <w:rPr>
                <w:b/>
                <w:sz w:val="18"/>
              </w:rPr>
            </w:pPr>
            <w:r w:rsidRPr="00D4309F">
              <w:rPr>
                <w:b/>
                <w:color w:val="70004A"/>
                <w:spacing w:val="-2"/>
                <w:sz w:val="18"/>
              </w:rPr>
              <w:t>Constraint level</w:t>
            </w:r>
          </w:p>
        </w:tc>
        <w:tc>
          <w:tcPr>
            <w:tcW w:w="1037" w:type="pct"/>
            <w:tcBorders>
              <w:bottom w:val="single" w:sz="4" w:space="0" w:color="000000"/>
            </w:tcBorders>
            <w:shd w:val="clear" w:color="auto" w:fill="D6D7D5"/>
            <w:vAlign w:val="center"/>
          </w:tcPr>
          <w:p w14:paraId="353B59B4" w14:textId="77777777" w:rsidR="00725977" w:rsidRPr="00D4309F" w:rsidRDefault="00725977" w:rsidP="006A0C95">
            <w:pPr>
              <w:pStyle w:val="TableParagraph"/>
              <w:ind w:left="163"/>
              <w:rPr>
                <w:b/>
                <w:sz w:val="18"/>
              </w:rPr>
            </w:pPr>
            <w:r w:rsidRPr="00D4309F">
              <w:rPr>
                <w:b/>
                <w:color w:val="70004A"/>
                <w:spacing w:val="-2"/>
                <w:sz w:val="18"/>
              </w:rPr>
              <w:t>Justification</w:t>
            </w:r>
          </w:p>
        </w:tc>
        <w:tc>
          <w:tcPr>
            <w:tcW w:w="759" w:type="pct"/>
            <w:tcBorders>
              <w:bottom w:val="single" w:sz="4" w:space="0" w:color="000000"/>
            </w:tcBorders>
            <w:shd w:val="clear" w:color="auto" w:fill="D6D7D5"/>
            <w:vAlign w:val="center"/>
          </w:tcPr>
          <w:p w14:paraId="65415033" w14:textId="77777777" w:rsidR="00725977" w:rsidRPr="00D4309F" w:rsidRDefault="00725977" w:rsidP="006A0C95">
            <w:pPr>
              <w:pStyle w:val="TableParagraph"/>
              <w:ind w:left="230" w:right="235"/>
              <w:rPr>
                <w:b/>
                <w:sz w:val="18"/>
              </w:rPr>
            </w:pPr>
            <w:r w:rsidRPr="00D4309F">
              <w:rPr>
                <w:b/>
                <w:color w:val="70004A"/>
                <w:sz w:val="18"/>
              </w:rPr>
              <w:t>Further</w:t>
            </w:r>
            <w:r w:rsidRPr="00D4309F">
              <w:rPr>
                <w:b/>
                <w:color w:val="70004A"/>
                <w:spacing w:val="-13"/>
                <w:sz w:val="18"/>
              </w:rPr>
              <w:t xml:space="preserve"> </w:t>
            </w:r>
            <w:r w:rsidRPr="00D4309F">
              <w:rPr>
                <w:b/>
                <w:color w:val="70004A"/>
                <w:sz w:val="18"/>
              </w:rPr>
              <w:t xml:space="preserve">assessment </w:t>
            </w:r>
            <w:r w:rsidRPr="00D4309F">
              <w:rPr>
                <w:b/>
                <w:color w:val="70004A"/>
                <w:spacing w:val="-2"/>
                <w:sz w:val="18"/>
              </w:rPr>
              <w:t>recommendations</w:t>
            </w:r>
          </w:p>
        </w:tc>
        <w:tc>
          <w:tcPr>
            <w:tcW w:w="784" w:type="pct"/>
            <w:tcBorders>
              <w:bottom w:val="single" w:sz="4" w:space="0" w:color="000000"/>
            </w:tcBorders>
            <w:shd w:val="clear" w:color="auto" w:fill="D6D7D5"/>
            <w:vAlign w:val="center"/>
          </w:tcPr>
          <w:p w14:paraId="15AE9770" w14:textId="77777777" w:rsidR="00725977" w:rsidRPr="00D4309F" w:rsidRDefault="00725977" w:rsidP="006A0C95">
            <w:pPr>
              <w:pStyle w:val="TableParagraph"/>
              <w:spacing w:before="40"/>
              <w:ind w:left="250" w:right="548"/>
              <w:rPr>
                <w:b/>
                <w:sz w:val="18"/>
              </w:rPr>
            </w:pPr>
            <w:r w:rsidRPr="00D4309F">
              <w:rPr>
                <w:b/>
                <w:color w:val="70004A"/>
                <w:spacing w:val="-2"/>
                <w:sz w:val="18"/>
              </w:rPr>
              <w:t xml:space="preserve">Potential </w:t>
            </w:r>
            <w:r w:rsidRPr="00D4309F">
              <w:rPr>
                <w:b/>
                <w:color w:val="70004A"/>
                <w:sz w:val="18"/>
              </w:rPr>
              <w:t>monitoring</w:t>
            </w:r>
            <w:r w:rsidRPr="00D4309F">
              <w:rPr>
                <w:b/>
                <w:color w:val="70004A"/>
                <w:spacing w:val="-13"/>
                <w:sz w:val="18"/>
              </w:rPr>
              <w:t xml:space="preserve"> </w:t>
            </w:r>
            <w:r w:rsidRPr="00D4309F">
              <w:rPr>
                <w:b/>
                <w:color w:val="70004A"/>
                <w:sz w:val="18"/>
              </w:rPr>
              <w:t xml:space="preserve">and </w:t>
            </w:r>
            <w:r w:rsidRPr="00D4309F">
              <w:rPr>
                <w:b/>
                <w:color w:val="70004A"/>
                <w:spacing w:val="-2"/>
                <w:sz w:val="18"/>
              </w:rPr>
              <w:t>management requirements</w:t>
            </w:r>
          </w:p>
        </w:tc>
      </w:tr>
      <w:tr w:rsidR="00725977" w:rsidRPr="00D4309F" w14:paraId="5E39A21A" w14:textId="77777777" w:rsidTr="00891147">
        <w:trPr>
          <w:cantSplit/>
          <w:trHeight w:val="20"/>
        </w:trPr>
        <w:tc>
          <w:tcPr>
            <w:tcW w:w="491" w:type="pct"/>
            <w:tcBorders>
              <w:top w:val="single" w:sz="4" w:space="0" w:color="000000"/>
              <w:bottom w:val="single" w:sz="4" w:space="0" w:color="000000"/>
            </w:tcBorders>
            <w:vAlign w:val="center"/>
          </w:tcPr>
          <w:p w14:paraId="7BE42716" w14:textId="77777777" w:rsidR="00725977" w:rsidRPr="00D4309F" w:rsidRDefault="00725977" w:rsidP="002A7828">
            <w:pPr>
              <w:pStyle w:val="Table-Text"/>
            </w:pPr>
            <w:r w:rsidRPr="00D4309F">
              <w:t>Marine environmental quality</w:t>
            </w:r>
          </w:p>
        </w:tc>
        <w:tc>
          <w:tcPr>
            <w:tcW w:w="517" w:type="pct"/>
            <w:tcBorders>
              <w:top w:val="single" w:sz="4" w:space="0" w:color="000000"/>
              <w:bottom w:val="single" w:sz="4" w:space="0" w:color="000000"/>
            </w:tcBorders>
            <w:vAlign w:val="center"/>
          </w:tcPr>
          <w:p w14:paraId="369C78C2" w14:textId="19A50E52" w:rsidR="00205A75" w:rsidRPr="00205A75" w:rsidRDefault="00725977" w:rsidP="00785887">
            <w:pPr>
              <w:pStyle w:val="Table-Text"/>
            </w:pPr>
            <w:r w:rsidRPr="00D4309F">
              <w:t>Water quality</w:t>
            </w:r>
          </w:p>
        </w:tc>
        <w:tc>
          <w:tcPr>
            <w:tcW w:w="986" w:type="pct"/>
            <w:tcBorders>
              <w:top w:val="single" w:sz="4" w:space="0" w:color="000000"/>
              <w:bottom w:val="single" w:sz="4" w:space="0" w:color="000000"/>
            </w:tcBorders>
            <w:vAlign w:val="center"/>
          </w:tcPr>
          <w:p w14:paraId="527D4A9A" w14:textId="77777777" w:rsidR="00725977" w:rsidRPr="00D4309F" w:rsidRDefault="00725977" w:rsidP="00864362">
            <w:pPr>
              <w:pStyle w:val="Table-Bullet"/>
            </w:pPr>
            <w:r w:rsidRPr="00D4309F">
              <w:t>Generation</w:t>
            </w:r>
            <w:r w:rsidRPr="00D4309F">
              <w:rPr>
                <w:spacing w:val="-4"/>
              </w:rPr>
              <w:t xml:space="preserve"> </w:t>
            </w:r>
            <w:r w:rsidRPr="00D4309F">
              <w:t>of</w:t>
            </w:r>
            <w:r w:rsidRPr="00D4309F">
              <w:rPr>
                <w:spacing w:val="-3"/>
              </w:rPr>
              <w:t xml:space="preserve"> </w:t>
            </w:r>
            <w:r w:rsidRPr="00D4309F">
              <w:rPr>
                <w:spacing w:val="-2"/>
              </w:rPr>
              <w:t>turbidity</w:t>
            </w:r>
          </w:p>
        </w:tc>
        <w:tc>
          <w:tcPr>
            <w:tcW w:w="426" w:type="pct"/>
            <w:tcBorders>
              <w:top w:val="single" w:sz="4" w:space="0" w:color="000000"/>
              <w:bottom w:val="single" w:sz="4" w:space="0" w:color="000000"/>
            </w:tcBorders>
            <w:shd w:val="clear" w:color="auto" w:fill="FFFF00"/>
            <w:vAlign w:val="center"/>
          </w:tcPr>
          <w:p w14:paraId="48E2C183" w14:textId="77777777" w:rsidR="00725977" w:rsidRPr="00D4309F" w:rsidRDefault="00725977" w:rsidP="006A0C95">
            <w:pPr>
              <w:pStyle w:val="TableParagraph"/>
              <w:ind w:left="106"/>
              <w:rPr>
                <w:b/>
                <w:sz w:val="18"/>
              </w:rPr>
            </w:pPr>
            <w:r w:rsidRPr="00D4309F">
              <w:rPr>
                <w:b/>
                <w:color w:val="211E1F"/>
                <w:spacing w:val="-2"/>
                <w:sz w:val="18"/>
              </w:rPr>
              <w:t>Moderate</w:t>
            </w:r>
          </w:p>
        </w:tc>
        <w:tc>
          <w:tcPr>
            <w:tcW w:w="1037" w:type="pct"/>
            <w:tcBorders>
              <w:top w:val="single" w:sz="4" w:space="0" w:color="000000"/>
              <w:bottom w:val="single" w:sz="4" w:space="0" w:color="000000"/>
            </w:tcBorders>
            <w:vAlign w:val="center"/>
          </w:tcPr>
          <w:p w14:paraId="3E269BF3" w14:textId="77777777" w:rsidR="00725977" w:rsidRPr="00D4309F" w:rsidRDefault="00725977" w:rsidP="00864362">
            <w:pPr>
              <w:pStyle w:val="Table-Bullet"/>
            </w:pPr>
            <w:r w:rsidRPr="00D4309F">
              <w:t>This is a dynamic, open ocean environment, any plume will likely dissipate quickly.</w:t>
            </w:r>
          </w:p>
        </w:tc>
        <w:tc>
          <w:tcPr>
            <w:tcW w:w="759" w:type="pct"/>
            <w:tcBorders>
              <w:top w:val="single" w:sz="4" w:space="0" w:color="000000"/>
              <w:bottom w:val="single" w:sz="4" w:space="0" w:color="000000"/>
            </w:tcBorders>
            <w:vAlign w:val="center"/>
          </w:tcPr>
          <w:p w14:paraId="31728CD9" w14:textId="77777777" w:rsidR="00725977" w:rsidRPr="00D4309F" w:rsidRDefault="00725977" w:rsidP="00864362">
            <w:pPr>
              <w:pStyle w:val="Table-Bullet"/>
            </w:pPr>
            <w:r w:rsidRPr="00D4309F">
              <w:t>Turbidity</w:t>
            </w:r>
            <w:r w:rsidRPr="00D4309F">
              <w:rPr>
                <w:spacing w:val="-5"/>
              </w:rPr>
              <w:t xml:space="preserve"> </w:t>
            </w:r>
            <w:r w:rsidRPr="00D4309F">
              <w:rPr>
                <w:spacing w:val="-2"/>
              </w:rPr>
              <w:t>modelling</w:t>
            </w:r>
          </w:p>
        </w:tc>
        <w:tc>
          <w:tcPr>
            <w:tcW w:w="784" w:type="pct"/>
            <w:tcBorders>
              <w:top w:val="single" w:sz="4" w:space="0" w:color="000000"/>
              <w:bottom w:val="single" w:sz="4" w:space="0" w:color="000000"/>
            </w:tcBorders>
            <w:vAlign w:val="center"/>
          </w:tcPr>
          <w:p w14:paraId="79055FD0" w14:textId="77777777" w:rsidR="00725977" w:rsidRPr="00D4309F" w:rsidRDefault="00725977" w:rsidP="00864362">
            <w:pPr>
              <w:pStyle w:val="Table-Bullet"/>
            </w:pPr>
            <w:r w:rsidRPr="00D4309F">
              <w:rPr>
                <w:spacing w:val="-2"/>
              </w:rPr>
              <w:t xml:space="preserve">Turbidity </w:t>
            </w:r>
            <w:r w:rsidRPr="00D4309F">
              <w:t>monitoring</w:t>
            </w:r>
            <w:r w:rsidRPr="00D4309F">
              <w:rPr>
                <w:spacing w:val="-13"/>
              </w:rPr>
              <w:t xml:space="preserve"> </w:t>
            </w:r>
            <w:r w:rsidRPr="00D4309F">
              <w:t xml:space="preserve">during </w:t>
            </w:r>
            <w:r w:rsidRPr="00D4309F">
              <w:rPr>
                <w:spacing w:val="-2"/>
              </w:rPr>
              <w:t>works</w:t>
            </w:r>
          </w:p>
        </w:tc>
      </w:tr>
      <w:tr w:rsidR="00725977" w:rsidRPr="00D4309F" w14:paraId="2F661522" w14:textId="77777777" w:rsidTr="00891147">
        <w:trPr>
          <w:cantSplit/>
          <w:trHeight w:val="20"/>
        </w:trPr>
        <w:tc>
          <w:tcPr>
            <w:tcW w:w="491" w:type="pct"/>
            <w:tcBorders>
              <w:top w:val="single" w:sz="4" w:space="0" w:color="000000"/>
              <w:bottom w:val="single" w:sz="4" w:space="0" w:color="000000"/>
            </w:tcBorders>
            <w:vAlign w:val="center"/>
          </w:tcPr>
          <w:p w14:paraId="640C9CE1" w14:textId="77777777" w:rsidR="00725977" w:rsidRPr="00D4309F" w:rsidRDefault="00725977" w:rsidP="002A7828">
            <w:pPr>
              <w:pStyle w:val="Table-Text"/>
            </w:pPr>
            <w:r w:rsidRPr="00D4309F">
              <w:t>Marine environmental quality</w:t>
            </w:r>
          </w:p>
        </w:tc>
        <w:tc>
          <w:tcPr>
            <w:tcW w:w="517" w:type="pct"/>
            <w:tcBorders>
              <w:top w:val="single" w:sz="4" w:space="0" w:color="000000"/>
              <w:bottom w:val="single" w:sz="4" w:space="0" w:color="000000"/>
            </w:tcBorders>
            <w:vAlign w:val="center"/>
          </w:tcPr>
          <w:p w14:paraId="288EA6F2" w14:textId="07348526" w:rsidR="00205A75" w:rsidRPr="00205A75" w:rsidRDefault="00725977" w:rsidP="00785887">
            <w:pPr>
              <w:pStyle w:val="Table-Text"/>
            </w:pPr>
            <w:r w:rsidRPr="00D4309F">
              <w:t>Water quality</w:t>
            </w:r>
          </w:p>
        </w:tc>
        <w:tc>
          <w:tcPr>
            <w:tcW w:w="986" w:type="pct"/>
            <w:tcBorders>
              <w:top w:val="single" w:sz="4" w:space="0" w:color="000000"/>
              <w:bottom w:val="single" w:sz="4" w:space="0" w:color="000000"/>
            </w:tcBorders>
            <w:vAlign w:val="center"/>
          </w:tcPr>
          <w:p w14:paraId="44123402" w14:textId="77777777" w:rsidR="00725977" w:rsidRPr="00D4309F" w:rsidRDefault="00725977" w:rsidP="00864362">
            <w:pPr>
              <w:pStyle w:val="Table-Bullet"/>
            </w:pPr>
            <w:r w:rsidRPr="00D4309F">
              <w:t>Release</w:t>
            </w:r>
            <w:r w:rsidRPr="00D4309F">
              <w:rPr>
                <w:spacing w:val="-4"/>
              </w:rPr>
              <w:t xml:space="preserve"> </w:t>
            </w:r>
            <w:r w:rsidRPr="00D4309F">
              <w:t>of</w:t>
            </w:r>
            <w:r w:rsidRPr="00D4309F">
              <w:rPr>
                <w:spacing w:val="-2"/>
              </w:rPr>
              <w:t xml:space="preserve"> contaminants/hypoxia</w:t>
            </w:r>
          </w:p>
        </w:tc>
        <w:tc>
          <w:tcPr>
            <w:tcW w:w="426" w:type="pct"/>
            <w:tcBorders>
              <w:top w:val="single" w:sz="4" w:space="0" w:color="000000"/>
              <w:bottom w:val="single" w:sz="4" w:space="0" w:color="000000"/>
            </w:tcBorders>
            <w:shd w:val="clear" w:color="auto" w:fill="92D050"/>
            <w:vAlign w:val="center"/>
          </w:tcPr>
          <w:p w14:paraId="106A57CB" w14:textId="77777777" w:rsidR="00725977" w:rsidRPr="00D4309F" w:rsidRDefault="00725977" w:rsidP="006A0C95">
            <w:pPr>
              <w:pStyle w:val="TableParagraph"/>
              <w:ind w:left="106"/>
              <w:rPr>
                <w:b/>
                <w:sz w:val="18"/>
              </w:rPr>
            </w:pPr>
            <w:r w:rsidRPr="00D4309F">
              <w:rPr>
                <w:b/>
                <w:color w:val="211E1F"/>
                <w:spacing w:val="-5"/>
                <w:sz w:val="18"/>
              </w:rPr>
              <w:t>Low</w:t>
            </w:r>
          </w:p>
        </w:tc>
        <w:tc>
          <w:tcPr>
            <w:tcW w:w="1037" w:type="pct"/>
            <w:tcBorders>
              <w:top w:val="single" w:sz="4" w:space="0" w:color="000000"/>
              <w:bottom w:val="single" w:sz="4" w:space="0" w:color="000000"/>
            </w:tcBorders>
            <w:vAlign w:val="center"/>
          </w:tcPr>
          <w:p w14:paraId="5AB6B3B4" w14:textId="77777777" w:rsidR="00725977" w:rsidRPr="00D4309F" w:rsidRDefault="00725977" w:rsidP="00864362">
            <w:pPr>
              <w:pStyle w:val="Table-Bullet"/>
            </w:pPr>
            <w:r w:rsidRPr="00D4309F">
              <w:t>Dredge sediments likely comprise clean marine sand free</w:t>
            </w:r>
            <w:r w:rsidRPr="00D4309F">
              <w:rPr>
                <w:spacing w:val="-11"/>
              </w:rPr>
              <w:t xml:space="preserve"> </w:t>
            </w:r>
            <w:r w:rsidRPr="00D4309F">
              <w:t>of</w:t>
            </w:r>
            <w:r w:rsidRPr="00D4309F">
              <w:rPr>
                <w:spacing w:val="-10"/>
              </w:rPr>
              <w:t xml:space="preserve"> </w:t>
            </w:r>
            <w:r w:rsidRPr="00D4309F">
              <w:t>contaminants</w:t>
            </w:r>
            <w:r w:rsidRPr="00D4309F">
              <w:rPr>
                <w:spacing w:val="-10"/>
              </w:rPr>
              <w:t xml:space="preserve"> </w:t>
            </w:r>
            <w:r w:rsidRPr="00D4309F">
              <w:t>with</w:t>
            </w:r>
            <w:r w:rsidRPr="00D4309F">
              <w:rPr>
                <w:spacing w:val="-11"/>
              </w:rPr>
              <w:t xml:space="preserve"> </w:t>
            </w:r>
            <w:r w:rsidRPr="00D4309F">
              <w:t>low organic matter content</w:t>
            </w:r>
          </w:p>
        </w:tc>
        <w:tc>
          <w:tcPr>
            <w:tcW w:w="759" w:type="pct"/>
            <w:tcBorders>
              <w:top w:val="single" w:sz="4" w:space="0" w:color="000000"/>
              <w:bottom w:val="single" w:sz="4" w:space="0" w:color="000000"/>
            </w:tcBorders>
            <w:vAlign w:val="center"/>
          </w:tcPr>
          <w:p w14:paraId="2E18D9A2" w14:textId="77777777" w:rsidR="00725977" w:rsidRPr="00D4309F" w:rsidRDefault="00725977" w:rsidP="00864362">
            <w:pPr>
              <w:pStyle w:val="Table-Bullet"/>
            </w:pPr>
            <w:r w:rsidRPr="00D4309F">
              <w:t>Assumption that suitable</w:t>
            </w:r>
            <w:r w:rsidRPr="00D4309F">
              <w:rPr>
                <w:spacing w:val="-15"/>
              </w:rPr>
              <w:t xml:space="preserve"> </w:t>
            </w:r>
            <w:r w:rsidRPr="00D4309F">
              <w:t>data</w:t>
            </w:r>
            <w:r w:rsidRPr="00D4309F">
              <w:rPr>
                <w:spacing w:val="-12"/>
              </w:rPr>
              <w:t xml:space="preserve"> </w:t>
            </w:r>
            <w:r w:rsidRPr="00D4309F">
              <w:t>exists to inform this risk</w:t>
            </w:r>
          </w:p>
        </w:tc>
        <w:tc>
          <w:tcPr>
            <w:tcW w:w="784" w:type="pct"/>
            <w:tcBorders>
              <w:top w:val="single" w:sz="4" w:space="0" w:color="000000"/>
              <w:bottom w:val="single" w:sz="4" w:space="0" w:color="000000"/>
            </w:tcBorders>
            <w:vAlign w:val="center"/>
          </w:tcPr>
          <w:p w14:paraId="67472512" w14:textId="77777777" w:rsidR="00725977" w:rsidRPr="00D4309F" w:rsidRDefault="00725977" w:rsidP="00864362">
            <w:pPr>
              <w:pStyle w:val="Table-Bullet"/>
            </w:pPr>
            <w:r w:rsidRPr="00D4309F">
              <w:rPr>
                <w:color w:val="211E1F"/>
                <w:spacing w:val="-4"/>
              </w:rPr>
              <w:t>None</w:t>
            </w:r>
          </w:p>
        </w:tc>
      </w:tr>
      <w:tr w:rsidR="006A0C95" w:rsidRPr="00D4309F" w14:paraId="7F1E9E9B" w14:textId="77777777" w:rsidTr="00891147">
        <w:trPr>
          <w:cantSplit/>
          <w:trHeight w:val="20"/>
        </w:trPr>
        <w:tc>
          <w:tcPr>
            <w:tcW w:w="491" w:type="pct"/>
            <w:tcBorders>
              <w:top w:val="single" w:sz="4" w:space="0" w:color="000000"/>
              <w:bottom w:val="single" w:sz="4" w:space="0" w:color="000000"/>
            </w:tcBorders>
            <w:vAlign w:val="center"/>
          </w:tcPr>
          <w:p w14:paraId="7A457AE9" w14:textId="77777777" w:rsidR="00725977" w:rsidRPr="00D4309F" w:rsidRDefault="00725977" w:rsidP="002A7828">
            <w:pPr>
              <w:pStyle w:val="Table-Text"/>
            </w:pPr>
            <w:r w:rsidRPr="00D4309F">
              <w:t>Marine environmental quality</w:t>
            </w:r>
          </w:p>
        </w:tc>
        <w:tc>
          <w:tcPr>
            <w:tcW w:w="517" w:type="pct"/>
            <w:tcBorders>
              <w:top w:val="single" w:sz="4" w:space="0" w:color="000000"/>
              <w:bottom w:val="single" w:sz="4" w:space="0" w:color="000000"/>
            </w:tcBorders>
            <w:vAlign w:val="center"/>
          </w:tcPr>
          <w:p w14:paraId="56893A60" w14:textId="01EC34DD" w:rsidR="00205A75" w:rsidRPr="00205A75" w:rsidRDefault="00725977" w:rsidP="00785887">
            <w:pPr>
              <w:pStyle w:val="Table-Text"/>
            </w:pPr>
            <w:r w:rsidRPr="00D4309F">
              <w:t>Water quality</w:t>
            </w:r>
          </w:p>
        </w:tc>
        <w:tc>
          <w:tcPr>
            <w:tcW w:w="986" w:type="pct"/>
            <w:tcBorders>
              <w:top w:val="single" w:sz="4" w:space="0" w:color="000000"/>
              <w:bottom w:val="single" w:sz="4" w:space="0" w:color="000000"/>
            </w:tcBorders>
            <w:vAlign w:val="center"/>
          </w:tcPr>
          <w:p w14:paraId="055AA19B" w14:textId="77777777" w:rsidR="00725977" w:rsidRPr="00D4309F" w:rsidRDefault="00725977" w:rsidP="00864362">
            <w:pPr>
              <w:pStyle w:val="Table-Bullet"/>
            </w:pPr>
            <w:r w:rsidRPr="00D4309F">
              <w:t>Hydrocarbon</w:t>
            </w:r>
            <w:r w:rsidRPr="00D4309F">
              <w:rPr>
                <w:spacing w:val="-5"/>
              </w:rPr>
              <w:t xml:space="preserve"> </w:t>
            </w:r>
            <w:r w:rsidRPr="00D4309F">
              <w:rPr>
                <w:spacing w:val="-2"/>
              </w:rPr>
              <w:t>spills/waste</w:t>
            </w:r>
          </w:p>
        </w:tc>
        <w:tc>
          <w:tcPr>
            <w:tcW w:w="426" w:type="pct"/>
            <w:tcBorders>
              <w:top w:val="single" w:sz="4" w:space="0" w:color="000000"/>
              <w:bottom w:val="single" w:sz="4" w:space="0" w:color="000000"/>
            </w:tcBorders>
            <w:shd w:val="clear" w:color="auto" w:fill="92D050"/>
            <w:vAlign w:val="center"/>
          </w:tcPr>
          <w:p w14:paraId="09572817" w14:textId="77777777" w:rsidR="00725977" w:rsidRPr="00D4309F" w:rsidRDefault="00725977" w:rsidP="006A0C95">
            <w:pPr>
              <w:pStyle w:val="TableParagraph"/>
              <w:spacing w:before="1"/>
              <w:ind w:left="106"/>
              <w:rPr>
                <w:b/>
                <w:sz w:val="18"/>
              </w:rPr>
            </w:pPr>
            <w:r w:rsidRPr="00D4309F">
              <w:rPr>
                <w:b/>
                <w:color w:val="211E1F"/>
                <w:spacing w:val="-5"/>
                <w:sz w:val="18"/>
              </w:rPr>
              <w:t>Low</w:t>
            </w:r>
          </w:p>
        </w:tc>
        <w:tc>
          <w:tcPr>
            <w:tcW w:w="1037" w:type="pct"/>
            <w:tcBorders>
              <w:top w:val="single" w:sz="4" w:space="0" w:color="000000"/>
              <w:bottom w:val="single" w:sz="4" w:space="0" w:color="000000"/>
            </w:tcBorders>
            <w:vAlign w:val="center"/>
          </w:tcPr>
          <w:p w14:paraId="6FA9B4B9" w14:textId="77777777" w:rsidR="00725977" w:rsidRPr="00D4309F" w:rsidRDefault="00725977" w:rsidP="00864362">
            <w:pPr>
              <w:pStyle w:val="Table-Bullet"/>
            </w:pPr>
            <w:r w:rsidRPr="00D4309F">
              <w:t>Compliance with standard procedures</w:t>
            </w:r>
            <w:r w:rsidRPr="00D4309F">
              <w:rPr>
                <w:spacing w:val="-13"/>
              </w:rPr>
              <w:t xml:space="preserve"> </w:t>
            </w:r>
            <w:r w:rsidRPr="00D4309F">
              <w:t>will</w:t>
            </w:r>
            <w:r w:rsidRPr="00D4309F">
              <w:rPr>
                <w:spacing w:val="-12"/>
              </w:rPr>
              <w:t xml:space="preserve"> </w:t>
            </w:r>
            <w:r w:rsidRPr="00D4309F">
              <w:t>minimise</w:t>
            </w:r>
            <w:r w:rsidRPr="00D4309F">
              <w:rPr>
                <w:spacing w:val="-13"/>
              </w:rPr>
              <w:t xml:space="preserve"> </w:t>
            </w:r>
            <w:r w:rsidRPr="00D4309F">
              <w:t xml:space="preserve">this </w:t>
            </w:r>
            <w:r w:rsidRPr="00D4309F">
              <w:rPr>
                <w:spacing w:val="-4"/>
              </w:rPr>
              <w:t>risk</w:t>
            </w:r>
          </w:p>
        </w:tc>
        <w:tc>
          <w:tcPr>
            <w:tcW w:w="759" w:type="pct"/>
            <w:tcBorders>
              <w:top w:val="single" w:sz="4" w:space="0" w:color="000000"/>
              <w:bottom w:val="single" w:sz="4" w:space="0" w:color="000000"/>
            </w:tcBorders>
            <w:vAlign w:val="center"/>
          </w:tcPr>
          <w:p w14:paraId="4556943D" w14:textId="77777777" w:rsidR="00725977" w:rsidRPr="00D4309F" w:rsidRDefault="00725977" w:rsidP="00864362">
            <w:pPr>
              <w:pStyle w:val="Table-Bullet"/>
            </w:pPr>
            <w:r w:rsidRPr="00D4309F">
              <w:rPr>
                <w:color w:val="211E1F"/>
                <w:spacing w:val="-4"/>
              </w:rPr>
              <w:t>None</w:t>
            </w:r>
          </w:p>
        </w:tc>
        <w:tc>
          <w:tcPr>
            <w:tcW w:w="784" w:type="pct"/>
            <w:tcBorders>
              <w:top w:val="single" w:sz="4" w:space="0" w:color="000000"/>
              <w:bottom w:val="single" w:sz="4" w:space="0" w:color="000000"/>
            </w:tcBorders>
            <w:vAlign w:val="center"/>
          </w:tcPr>
          <w:p w14:paraId="2581C992" w14:textId="77777777" w:rsidR="00725977" w:rsidRPr="00D4309F" w:rsidRDefault="00725977" w:rsidP="00864362">
            <w:pPr>
              <w:pStyle w:val="Table-Bullet"/>
            </w:pPr>
            <w:r w:rsidRPr="00D4309F">
              <w:t>Standard</w:t>
            </w:r>
            <w:r w:rsidRPr="00D4309F">
              <w:rPr>
                <w:spacing w:val="-15"/>
              </w:rPr>
              <w:t xml:space="preserve"> </w:t>
            </w:r>
            <w:r w:rsidRPr="00D4309F">
              <w:t>oil</w:t>
            </w:r>
            <w:r w:rsidRPr="00D4309F">
              <w:rPr>
                <w:spacing w:val="-12"/>
              </w:rPr>
              <w:t xml:space="preserve"> </w:t>
            </w:r>
            <w:r w:rsidRPr="00D4309F">
              <w:t xml:space="preserve">spill and waste </w:t>
            </w:r>
            <w:r w:rsidRPr="00D4309F">
              <w:rPr>
                <w:spacing w:val="-2"/>
              </w:rPr>
              <w:t>procedures</w:t>
            </w:r>
          </w:p>
        </w:tc>
      </w:tr>
      <w:tr w:rsidR="00640AE0" w:rsidRPr="00D4309F" w14:paraId="09D7EAFD" w14:textId="77777777" w:rsidTr="00891147">
        <w:trPr>
          <w:cantSplit/>
          <w:trHeight w:val="20"/>
        </w:trPr>
        <w:tc>
          <w:tcPr>
            <w:tcW w:w="491" w:type="pct"/>
            <w:tcBorders>
              <w:top w:val="single" w:sz="4" w:space="0" w:color="000000"/>
              <w:bottom w:val="single" w:sz="4" w:space="0" w:color="000000"/>
            </w:tcBorders>
            <w:vAlign w:val="center"/>
          </w:tcPr>
          <w:p w14:paraId="313C1998" w14:textId="7DC94946" w:rsidR="00640AE0" w:rsidRPr="00D4309F" w:rsidRDefault="00640AE0" w:rsidP="002A7828">
            <w:pPr>
              <w:pStyle w:val="Table-Text"/>
            </w:pPr>
            <w:r>
              <w:t>Mar</w:t>
            </w:r>
            <w:r w:rsidRPr="00D4309F">
              <w:t>ine environmental quality</w:t>
            </w:r>
          </w:p>
        </w:tc>
        <w:tc>
          <w:tcPr>
            <w:tcW w:w="517" w:type="pct"/>
            <w:tcBorders>
              <w:top w:val="single" w:sz="4" w:space="0" w:color="000000"/>
              <w:bottom w:val="single" w:sz="4" w:space="0" w:color="000000"/>
            </w:tcBorders>
            <w:vAlign w:val="center"/>
          </w:tcPr>
          <w:p w14:paraId="69AEAC17" w14:textId="6506B4FB" w:rsidR="00205A75" w:rsidRPr="00205A75" w:rsidRDefault="00640AE0" w:rsidP="00785887">
            <w:pPr>
              <w:pStyle w:val="Table-Text"/>
            </w:pPr>
            <w:r w:rsidRPr="00D4309F">
              <w:t>Water quality</w:t>
            </w:r>
          </w:p>
        </w:tc>
        <w:tc>
          <w:tcPr>
            <w:tcW w:w="986" w:type="pct"/>
            <w:tcBorders>
              <w:top w:val="single" w:sz="4" w:space="0" w:color="000000"/>
              <w:bottom w:val="single" w:sz="4" w:space="0" w:color="000000"/>
            </w:tcBorders>
            <w:vAlign w:val="center"/>
          </w:tcPr>
          <w:p w14:paraId="6D0CE052" w14:textId="444D510C" w:rsidR="00640AE0" w:rsidRPr="00D4309F" w:rsidRDefault="00640AE0" w:rsidP="00864362">
            <w:pPr>
              <w:pStyle w:val="Table-Bullet"/>
            </w:pPr>
            <w:r w:rsidRPr="00D4309F">
              <w:t>Introduced</w:t>
            </w:r>
            <w:r w:rsidRPr="00D4309F">
              <w:rPr>
                <w:spacing w:val="-4"/>
              </w:rPr>
              <w:t xml:space="preserve"> </w:t>
            </w:r>
            <w:r w:rsidRPr="00D4309F">
              <w:t>marine</w:t>
            </w:r>
            <w:r w:rsidRPr="00D4309F">
              <w:rPr>
                <w:spacing w:val="-4"/>
              </w:rPr>
              <w:t xml:space="preserve"> </w:t>
            </w:r>
            <w:r w:rsidRPr="00D4309F">
              <w:rPr>
                <w:spacing w:val="-2"/>
              </w:rPr>
              <w:t>species</w:t>
            </w:r>
          </w:p>
        </w:tc>
        <w:tc>
          <w:tcPr>
            <w:tcW w:w="426" w:type="pct"/>
            <w:tcBorders>
              <w:top w:val="single" w:sz="4" w:space="0" w:color="000000"/>
              <w:bottom w:val="single" w:sz="4" w:space="0" w:color="000000"/>
            </w:tcBorders>
            <w:shd w:val="clear" w:color="auto" w:fill="92D050"/>
            <w:vAlign w:val="center"/>
          </w:tcPr>
          <w:p w14:paraId="22068E32" w14:textId="652B0EA0" w:rsidR="00640AE0" w:rsidRPr="00D4309F" w:rsidRDefault="00640AE0" w:rsidP="006A0C95">
            <w:pPr>
              <w:pStyle w:val="TableParagraph"/>
              <w:spacing w:before="1"/>
              <w:ind w:left="106"/>
              <w:rPr>
                <w:b/>
                <w:color w:val="211E1F"/>
                <w:spacing w:val="-5"/>
                <w:sz w:val="18"/>
              </w:rPr>
            </w:pPr>
            <w:r w:rsidRPr="00D4309F">
              <w:rPr>
                <w:b/>
                <w:color w:val="211E1F"/>
                <w:spacing w:val="-5"/>
                <w:sz w:val="18"/>
              </w:rPr>
              <w:t>Low</w:t>
            </w:r>
          </w:p>
        </w:tc>
        <w:tc>
          <w:tcPr>
            <w:tcW w:w="1037" w:type="pct"/>
            <w:tcBorders>
              <w:top w:val="single" w:sz="4" w:space="0" w:color="000000"/>
              <w:bottom w:val="single" w:sz="4" w:space="0" w:color="000000"/>
            </w:tcBorders>
            <w:vAlign w:val="center"/>
          </w:tcPr>
          <w:p w14:paraId="7089D6EC" w14:textId="3FDD0517" w:rsidR="00640AE0" w:rsidRPr="00D4309F" w:rsidRDefault="00640AE0" w:rsidP="00864362">
            <w:pPr>
              <w:pStyle w:val="Table-Bullet"/>
            </w:pPr>
            <w:r w:rsidRPr="00D4309F">
              <w:t>Compliance with standard procedures</w:t>
            </w:r>
            <w:r w:rsidRPr="00D4309F">
              <w:rPr>
                <w:spacing w:val="-13"/>
              </w:rPr>
              <w:t xml:space="preserve"> </w:t>
            </w:r>
            <w:r w:rsidRPr="00D4309F">
              <w:t>will</w:t>
            </w:r>
            <w:r w:rsidRPr="00D4309F">
              <w:rPr>
                <w:spacing w:val="-12"/>
              </w:rPr>
              <w:t xml:space="preserve"> </w:t>
            </w:r>
            <w:r w:rsidRPr="00D4309F">
              <w:t>minimise</w:t>
            </w:r>
            <w:r w:rsidRPr="00D4309F">
              <w:rPr>
                <w:spacing w:val="-13"/>
              </w:rPr>
              <w:t xml:space="preserve"> </w:t>
            </w:r>
            <w:r w:rsidRPr="00D4309F">
              <w:t xml:space="preserve">this </w:t>
            </w:r>
            <w:r w:rsidRPr="00D4309F">
              <w:rPr>
                <w:spacing w:val="-4"/>
              </w:rPr>
              <w:t>risk</w:t>
            </w:r>
          </w:p>
        </w:tc>
        <w:tc>
          <w:tcPr>
            <w:tcW w:w="759" w:type="pct"/>
            <w:tcBorders>
              <w:top w:val="single" w:sz="4" w:space="0" w:color="000000"/>
              <w:bottom w:val="single" w:sz="4" w:space="0" w:color="000000"/>
            </w:tcBorders>
            <w:vAlign w:val="center"/>
          </w:tcPr>
          <w:p w14:paraId="730715DD" w14:textId="1D190B97" w:rsidR="00640AE0" w:rsidRPr="00D4309F" w:rsidRDefault="00640AE0" w:rsidP="00864362">
            <w:pPr>
              <w:pStyle w:val="Table-Bullet"/>
              <w:rPr>
                <w:color w:val="211E1F"/>
                <w:spacing w:val="-4"/>
              </w:rPr>
            </w:pPr>
            <w:r w:rsidRPr="00D4309F">
              <w:rPr>
                <w:color w:val="211E1F"/>
                <w:spacing w:val="-4"/>
              </w:rPr>
              <w:t>None</w:t>
            </w:r>
          </w:p>
        </w:tc>
        <w:tc>
          <w:tcPr>
            <w:tcW w:w="784" w:type="pct"/>
            <w:tcBorders>
              <w:top w:val="single" w:sz="4" w:space="0" w:color="000000"/>
              <w:bottom w:val="single" w:sz="4" w:space="0" w:color="000000"/>
            </w:tcBorders>
            <w:vAlign w:val="center"/>
          </w:tcPr>
          <w:p w14:paraId="71DEC27B" w14:textId="64DE573A" w:rsidR="00640AE0" w:rsidRPr="00D4309F" w:rsidRDefault="00640AE0" w:rsidP="00864362">
            <w:pPr>
              <w:pStyle w:val="Table-Bullet"/>
            </w:pPr>
            <w:r w:rsidRPr="00D4309F">
              <w:t>Compliance</w:t>
            </w:r>
            <w:r w:rsidRPr="00D4309F">
              <w:rPr>
                <w:spacing w:val="-13"/>
              </w:rPr>
              <w:t xml:space="preserve"> </w:t>
            </w:r>
            <w:r w:rsidRPr="00D4309F">
              <w:t xml:space="preserve">with standard state </w:t>
            </w:r>
            <w:r w:rsidRPr="00D4309F">
              <w:rPr>
                <w:spacing w:val="-4"/>
              </w:rPr>
              <w:t xml:space="preserve">and </w:t>
            </w:r>
            <w:r w:rsidRPr="00D4309F">
              <w:rPr>
                <w:spacing w:val="-2"/>
              </w:rPr>
              <w:t xml:space="preserve">commonwealth procedures </w:t>
            </w:r>
            <w:r w:rsidRPr="00D4309F">
              <w:t>regarding IMS</w:t>
            </w:r>
          </w:p>
        </w:tc>
      </w:tr>
      <w:tr w:rsidR="00640AE0" w:rsidRPr="00D4309F" w14:paraId="5FF908F7" w14:textId="77777777" w:rsidTr="00891147">
        <w:trPr>
          <w:cantSplit/>
          <w:trHeight w:val="20"/>
        </w:trPr>
        <w:tc>
          <w:tcPr>
            <w:tcW w:w="491" w:type="pct"/>
            <w:tcBorders>
              <w:top w:val="single" w:sz="4" w:space="0" w:color="000000"/>
              <w:bottom w:val="single" w:sz="4" w:space="0" w:color="000000"/>
            </w:tcBorders>
            <w:vAlign w:val="center"/>
          </w:tcPr>
          <w:p w14:paraId="219A3AC6" w14:textId="7B2E7359" w:rsidR="00640AE0" w:rsidRDefault="00640AE0" w:rsidP="002A7828">
            <w:pPr>
              <w:pStyle w:val="Table-Text"/>
            </w:pPr>
            <w:r w:rsidRPr="00D4309F">
              <w:lastRenderedPageBreak/>
              <w:t>Marine</w:t>
            </w:r>
            <w:r w:rsidRPr="00D4309F">
              <w:rPr>
                <w:spacing w:val="-4"/>
              </w:rPr>
              <w:t xml:space="preserve"> </w:t>
            </w:r>
            <w:r w:rsidRPr="00D4309F">
              <w:t>fauna</w:t>
            </w:r>
          </w:p>
        </w:tc>
        <w:tc>
          <w:tcPr>
            <w:tcW w:w="517" w:type="pct"/>
            <w:tcBorders>
              <w:top w:val="single" w:sz="4" w:space="0" w:color="000000"/>
              <w:bottom w:val="single" w:sz="4" w:space="0" w:color="000000"/>
            </w:tcBorders>
            <w:vAlign w:val="center"/>
          </w:tcPr>
          <w:p w14:paraId="34CD8783" w14:textId="400C1A3D" w:rsidR="00640AE0" w:rsidRPr="00D4309F" w:rsidRDefault="00640AE0" w:rsidP="002A7828">
            <w:pPr>
              <w:pStyle w:val="Table-Text"/>
            </w:pPr>
            <w:r w:rsidRPr="00D4309F">
              <w:t>Turtles</w:t>
            </w:r>
          </w:p>
        </w:tc>
        <w:tc>
          <w:tcPr>
            <w:tcW w:w="986" w:type="pct"/>
            <w:tcBorders>
              <w:top w:val="single" w:sz="4" w:space="0" w:color="000000"/>
              <w:bottom w:val="single" w:sz="4" w:space="0" w:color="000000"/>
            </w:tcBorders>
            <w:vAlign w:val="center"/>
          </w:tcPr>
          <w:p w14:paraId="2B576835" w14:textId="77777777" w:rsidR="00640AE0" w:rsidRPr="00D4309F" w:rsidRDefault="00640AE0" w:rsidP="00864362">
            <w:pPr>
              <w:pStyle w:val="Table-Bullet"/>
            </w:pPr>
            <w:r w:rsidRPr="00D4309F">
              <w:t>Behavioural response and interruption</w:t>
            </w:r>
            <w:r w:rsidRPr="00D4309F">
              <w:rPr>
                <w:spacing w:val="-13"/>
              </w:rPr>
              <w:t xml:space="preserve"> </w:t>
            </w:r>
            <w:r w:rsidRPr="00D4309F">
              <w:t>of</w:t>
            </w:r>
            <w:r w:rsidRPr="00D4309F">
              <w:rPr>
                <w:spacing w:val="-12"/>
              </w:rPr>
              <w:t xml:space="preserve"> </w:t>
            </w:r>
            <w:r w:rsidRPr="00D4309F">
              <w:t>nesting</w:t>
            </w:r>
            <w:r w:rsidRPr="00D4309F">
              <w:rPr>
                <w:spacing w:val="-13"/>
              </w:rPr>
              <w:t xml:space="preserve"> </w:t>
            </w:r>
            <w:r w:rsidRPr="00D4309F">
              <w:t>behaviour due to light</w:t>
            </w:r>
          </w:p>
          <w:p w14:paraId="53458F1F" w14:textId="77777777" w:rsidR="00640AE0" w:rsidRPr="00D4309F" w:rsidRDefault="00640AE0" w:rsidP="00864362">
            <w:pPr>
              <w:pStyle w:val="Table-Bullet"/>
            </w:pPr>
            <w:r w:rsidRPr="00D4309F">
              <w:t>Mortality/injury</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 xml:space="preserve">vessel collision, entanglement, </w:t>
            </w:r>
            <w:r w:rsidRPr="00D4309F">
              <w:rPr>
                <w:spacing w:val="-2"/>
              </w:rPr>
              <w:t>entrainment</w:t>
            </w:r>
          </w:p>
          <w:p w14:paraId="2E90783F" w14:textId="77777777" w:rsidR="00640AE0" w:rsidRPr="00D4309F" w:rsidRDefault="00640AE0" w:rsidP="00864362">
            <w:pPr>
              <w:pStyle w:val="Table-Bullet"/>
            </w:pPr>
            <w:r w:rsidRPr="00D4309F">
              <w:t>Change of beach profile at Buddina</w:t>
            </w:r>
            <w:r w:rsidRPr="00D4309F">
              <w:rPr>
                <w:spacing w:val="-11"/>
              </w:rPr>
              <w:t xml:space="preserve"> </w:t>
            </w:r>
            <w:r w:rsidRPr="00D4309F">
              <w:t>Beach</w:t>
            </w:r>
            <w:r w:rsidRPr="00D4309F">
              <w:rPr>
                <w:spacing w:val="-9"/>
              </w:rPr>
              <w:t xml:space="preserve"> </w:t>
            </w:r>
            <w:r w:rsidRPr="00D4309F">
              <w:t>due</w:t>
            </w:r>
            <w:r w:rsidRPr="00D4309F">
              <w:rPr>
                <w:spacing w:val="-11"/>
              </w:rPr>
              <w:t xml:space="preserve"> </w:t>
            </w:r>
            <w:r w:rsidRPr="00D4309F">
              <w:t>to</w:t>
            </w:r>
            <w:r w:rsidRPr="00D4309F">
              <w:rPr>
                <w:spacing w:val="-11"/>
              </w:rPr>
              <w:t xml:space="preserve"> </w:t>
            </w:r>
            <w:r w:rsidRPr="00D4309F">
              <w:t>nearshore dredging impacting nesting</w:t>
            </w:r>
          </w:p>
          <w:p w14:paraId="4BD46E4D" w14:textId="7761D682" w:rsidR="00640AE0" w:rsidRPr="00D4309F" w:rsidRDefault="00640AE0" w:rsidP="00864362">
            <w:pPr>
              <w:pStyle w:val="Table-Bullet"/>
            </w:pPr>
            <w:r w:rsidRPr="00D4309F">
              <w:t>Change of beach profile at Mooloolaba</w:t>
            </w:r>
            <w:r w:rsidRPr="00D4309F">
              <w:rPr>
                <w:spacing w:val="-10"/>
              </w:rPr>
              <w:t xml:space="preserve"> </w:t>
            </w:r>
            <w:r w:rsidRPr="00D4309F">
              <w:t>Main</w:t>
            </w:r>
            <w:r w:rsidRPr="00D4309F">
              <w:rPr>
                <w:spacing w:val="-10"/>
              </w:rPr>
              <w:t xml:space="preserve"> </w:t>
            </w:r>
            <w:r w:rsidRPr="00D4309F">
              <w:t>Beach</w:t>
            </w:r>
            <w:r w:rsidRPr="00D4309F">
              <w:rPr>
                <w:spacing w:val="-10"/>
              </w:rPr>
              <w:t xml:space="preserve"> </w:t>
            </w:r>
            <w:r w:rsidRPr="00D4309F">
              <w:t>due</w:t>
            </w:r>
            <w:r w:rsidRPr="00D4309F">
              <w:rPr>
                <w:spacing w:val="-9"/>
              </w:rPr>
              <w:t xml:space="preserve"> </w:t>
            </w:r>
            <w:r w:rsidRPr="00D4309F">
              <w:t>to sediment disposal offshore of beach impacting nesting</w:t>
            </w:r>
          </w:p>
        </w:tc>
        <w:tc>
          <w:tcPr>
            <w:tcW w:w="426" w:type="pct"/>
            <w:tcBorders>
              <w:top w:val="single" w:sz="4" w:space="0" w:color="000000"/>
              <w:bottom w:val="single" w:sz="4" w:space="0" w:color="000000"/>
            </w:tcBorders>
            <w:shd w:val="clear" w:color="auto" w:fill="FFFF00"/>
            <w:vAlign w:val="center"/>
          </w:tcPr>
          <w:p w14:paraId="2F986547" w14:textId="7F6F4052" w:rsidR="00640AE0" w:rsidRPr="00D4309F" w:rsidRDefault="00640AE0" w:rsidP="006A0C95">
            <w:pPr>
              <w:pStyle w:val="TableParagraph"/>
              <w:spacing w:before="1"/>
              <w:ind w:left="106"/>
              <w:rPr>
                <w:b/>
                <w:color w:val="211E1F"/>
                <w:spacing w:val="-5"/>
                <w:sz w:val="18"/>
              </w:rPr>
            </w:pPr>
            <w:r w:rsidRPr="00D4309F">
              <w:rPr>
                <w:b/>
                <w:color w:val="211E1F"/>
                <w:spacing w:val="-2"/>
                <w:sz w:val="18"/>
              </w:rPr>
              <w:t>Moderate</w:t>
            </w:r>
          </w:p>
        </w:tc>
        <w:tc>
          <w:tcPr>
            <w:tcW w:w="1037" w:type="pct"/>
            <w:tcBorders>
              <w:top w:val="single" w:sz="4" w:space="0" w:color="000000"/>
              <w:bottom w:val="single" w:sz="4" w:space="0" w:color="000000"/>
            </w:tcBorders>
            <w:vAlign w:val="center"/>
          </w:tcPr>
          <w:p w14:paraId="6A0376CF" w14:textId="77777777" w:rsidR="00640AE0" w:rsidRPr="00D4309F" w:rsidRDefault="00640AE0" w:rsidP="00864362">
            <w:pPr>
              <w:pStyle w:val="Table-Bullet"/>
            </w:pPr>
            <w:r w:rsidRPr="00D4309F">
              <w:t>Several turtle species listed as endangered</w:t>
            </w:r>
            <w:r w:rsidRPr="00D4309F">
              <w:rPr>
                <w:spacing w:val="-4"/>
              </w:rPr>
              <w:t xml:space="preserve"> </w:t>
            </w:r>
            <w:r w:rsidRPr="00D4309F">
              <w:t>or</w:t>
            </w:r>
            <w:r w:rsidRPr="00D4309F">
              <w:rPr>
                <w:spacing w:val="-3"/>
              </w:rPr>
              <w:t xml:space="preserve"> </w:t>
            </w:r>
            <w:r w:rsidRPr="00D4309F">
              <w:t>vulnerable</w:t>
            </w:r>
            <w:r w:rsidRPr="00D4309F">
              <w:rPr>
                <w:spacing w:val="-4"/>
              </w:rPr>
              <w:t xml:space="preserve"> </w:t>
            </w:r>
            <w:r w:rsidRPr="00D4309F">
              <w:t>under the EPBC were identified in the project area with Green (Vulnerable) and Loggerhead (Endangered) turtles known to nest on Buddina and</w:t>
            </w:r>
            <w:r w:rsidRPr="00D4309F">
              <w:rPr>
                <w:spacing w:val="40"/>
              </w:rPr>
              <w:t xml:space="preserve"> </w:t>
            </w:r>
            <w:r w:rsidRPr="00D4309F">
              <w:t>Mooloolaba</w:t>
            </w:r>
            <w:r w:rsidRPr="00D4309F">
              <w:rPr>
                <w:spacing w:val="-15"/>
              </w:rPr>
              <w:t xml:space="preserve"> </w:t>
            </w:r>
            <w:r w:rsidRPr="00D4309F">
              <w:t>beaches.</w:t>
            </w:r>
            <w:r w:rsidRPr="00D4309F">
              <w:rPr>
                <w:spacing w:val="-12"/>
              </w:rPr>
              <w:t xml:space="preserve"> </w:t>
            </w:r>
            <w:r w:rsidRPr="00D4309F">
              <w:t>Therefore, potential impacts need to be managed accordingly.</w:t>
            </w:r>
          </w:p>
          <w:p w14:paraId="04721E74" w14:textId="21F1C821" w:rsidR="00640AE0" w:rsidRPr="00D4309F" w:rsidRDefault="00640AE0" w:rsidP="00864362">
            <w:pPr>
              <w:pStyle w:val="Table-Bullet"/>
            </w:pPr>
            <w:r w:rsidRPr="00D4309F">
              <w:t>Assessment of shoreline response</w:t>
            </w:r>
            <w:r w:rsidRPr="00D4309F">
              <w:rPr>
                <w:spacing w:val="-10"/>
              </w:rPr>
              <w:t xml:space="preserve"> </w:t>
            </w:r>
            <w:r w:rsidRPr="00D4309F">
              <w:t>to</w:t>
            </w:r>
            <w:r w:rsidRPr="00D4309F">
              <w:rPr>
                <w:spacing w:val="-10"/>
              </w:rPr>
              <w:t xml:space="preserve"> </w:t>
            </w:r>
            <w:r w:rsidRPr="00D4309F">
              <w:t>works</w:t>
            </w:r>
            <w:r w:rsidRPr="00D4309F">
              <w:rPr>
                <w:spacing w:val="-10"/>
              </w:rPr>
              <w:t xml:space="preserve"> </w:t>
            </w:r>
            <w:r w:rsidRPr="00D4309F">
              <w:t>indicates</w:t>
            </w:r>
            <w:r w:rsidRPr="00D4309F">
              <w:rPr>
                <w:spacing w:val="-10"/>
              </w:rPr>
              <w:t xml:space="preserve"> </w:t>
            </w:r>
            <w:r w:rsidRPr="00D4309F">
              <w:t>low risk of Change of beach profile at Buddina Beach</w:t>
            </w:r>
          </w:p>
        </w:tc>
        <w:tc>
          <w:tcPr>
            <w:tcW w:w="759" w:type="pct"/>
            <w:tcBorders>
              <w:top w:val="single" w:sz="4" w:space="0" w:color="000000"/>
              <w:bottom w:val="single" w:sz="4" w:space="0" w:color="000000"/>
            </w:tcBorders>
            <w:vAlign w:val="center"/>
          </w:tcPr>
          <w:p w14:paraId="2906EA76" w14:textId="5397672A" w:rsidR="00640AE0" w:rsidRPr="00D4309F" w:rsidRDefault="00640AE0" w:rsidP="00864362">
            <w:pPr>
              <w:pStyle w:val="Table-Bullet"/>
              <w:rPr>
                <w:color w:val="211E1F"/>
                <w:spacing w:val="-4"/>
              </w:rPr>
            </w:pPr>
            <w:r w:rsidRPr="00D4309F">
              <w:t>Light</w:t>
            </w:r>
            <w:r w:rsidRPr="00D4309F">
              <w:rPr>
                <w:spacing w:val="-15"/>
              </w:rPr>
              <w:t xml:space="preserve"> </w:t>
            </w:r>
            <w:r w:rsidRPr="00D4309F">
              <w:t>assessment</w:t>
            </w:r>
            <w:r w:rsidRPr="00D4309F">
              <w:rPr>
                <w:spacing w:val="-12"/>
              </w:rPr>
              <w:t xml:space="preserve"> </w:t>
            </w:r>
            <w:r w:rsidRPr="00D4309F">
              <w:t xml:space="preserve">if night works are </w:t>
            </w:r>
            <w:r w:rsidRPr="00D4309F">
              <w:rPr>
                <w:spacing w:val="-2"/>
              </w:rPr>
              <w:t>proposed</w:t>
            </w:r>
          </w:p>
        </w:tc>
        <w:tc>
          <w:tcPr>
            <w:tcW w:w="784" w:type="pct"/>
            <w:tcBorders>
              <w:top w:val="single" w:sz="4" w:space="0" w:color="000000"/>
              <w:bottom w:val="single" w:sz="4" w:space="0" w:color="000000"/>
            </w:tcBorders>
            <w:vAlign w:val="center"/>
          </w:tcPr>
          <w:p w14:paraId="725D938A" w14:textId="77777777" w:rsidR="00640AE0" w:rsidRPr="00D4309F" w:rsidRDefault="00640AE0" w:rsidP="00864362">
            <w:pPr>
              <w:pStyle w:val="Table-Bullet"/>
            </w:pPr>
            <w:r w:rsidRPr="00D4309F">
              <w:t>Timing</w:t>
            </w:r>
            <w:r w:rsidRPr="00D4309F">
              <w:rPr>
                <w:spacing w:val="-15"/>
              </w:rPr>
              <w:t xml:space="preserve"> </w:t>
            </w:r>
            <w:r w:rsidRPr="00D4309F">
              <w:t>of</w:t>
            </w:r>
            <w:r w:rsidRPr="00D4309F">
              <w:rPr>
                <w:spacing w:val="-12"/>
              </w:rPr>
              <w:t xml:space="preserve"> </w:t>
            </w:r>
            <w:r w:rsidRPr="00D4309F">
              <w:t>works outside</w:t>
            </w:r>
            <w:r w:rsidRPr="00D4309F">
              <w:rPr>
                <w:spacing w:val="-5"/>
              </w:rPr>
              <w:t xml:space="preserve"> </w:t>
            </w:r>
            <w:r w:rsidRPr="00D4309F">
              <w:t>of</w:t>
            </w:r>
            <w:r w:rsidRPr="00D4309F">
              <w:rPr>
                <w:spacing w:val="-4"/>
              </w:rPr>
              <w:t xml:space="preserve"> </w:t>
            </w:r>
            <w:r w:rsidRPr="00D4309F">
              <w:t>turtle nesting periods</w:t>
            </w:r>
          </w:p>
          <w:p w14:paraId="0AF21ACF" w14:textId="77777777" w:rsidR="00640AE0" w:rsidRPr="00D4309F" w:rsidRDefault="00640AE0" w:rsidP="00864362">
            <w:pPr>
              <w:pStyle w:val="Table-Bullet"/>
            </w:pPr>
            <w:r w:rsidRPr="00D4309F">
              <w:t>Limitation of works</w:t>
            </w:r>
            <w:r w:rsidRPr="00D4309F">
              <w:rPr>
                <w:spacing w:val="-15"/>
              </w:rPr>
              <w:t xml:space="preserve"> </w:t>
            </w:r>
            <w:r w:rsidRPr="00D4309F">
              <w:t>to</w:t>
            </w:r>
            <w:r w:rsidRPr="00D4309F">
              <w:rPr>
                <w:spacing w:val="-12"/>
              </w:rPr>
              <w:t xml:space="preserve"> </w:t>
            </w:r>
            <w:r w:rsidRPr="00D4309F">
              <w:t xml:space="preserve">daylight hours or if </w:t>
            </w:r>
            <w:r w:rsidRPr="00D4309F">
              <w:rPr>
                <w:spacing w:val="-2"/>
              </w:rPr>
              <w:t xml:space="preserve">necessary, </w:t>
            </w:r>
            <w:r w:rsidRPr="00D4309F">
              <w:t xml:space="preserve">standard light </w:t>
            </w:r>
            <w:r w:rsidRPr="00D4309F">
              <w:rPr>
                <w:spacing w:val="-2"/>
              </w:rPr>
              <w:t>mitigation procedures</w:t>
            </w:r>
          </w:p>
          <w:p w14:paraId="04FB2C7A" w14:textId="77777777" w:rsidR="00640AE0" w:rsidRPr="00D4309F" w:rsidRDefault="00640AE0" w:rsidP="00864362">
            <w:pPr>
              <w:pStyle w:val="Table-Bullet"/>
            </w:pPr>
            <w:r w:rsidRPr="00D4309F">
              <w:t>Standard</w:t>
            </w:r>
            <w:r w:rsidRPr="00D4309F">
              <w:rPr>
                <w:spacing w:val="-13"/>
              </w:rPr>
              <w:t xml:space="preserve"> </w:t>
            </w:r>
            <w:r w:rsidRPr="00D4309F">
              <w:t>marine fauna mitigation practices e.g. marine fauna observers and exclusion zones</w:t>
            </w:r>
          </w:p>
          <w:p w14:paraId="32E5FD6B" w14:textId="77777777" w:rsidR="00640AE0" w:rsidRPr="00D4309F" w:rsidRDefault="00640AE0" w:rsidP="00864362">
            <w:pPr>
              <w:pStyle w:val="Table-Bullet"/>
            </w:pPr>
            <w:r w:rsidRPr="00D4309F">
              <w:t>Turtle</w:t>
            </w:r>
            <w:r w:rsidRPr="00D4309F">
              <w:rPr>
                <w:spacing w:val="-15"/>
              </w:rPr>
              <w:t xml:space="preserve"> </w:t>
            </w:r>
            <w:r w:rsidRPr="00D4309F">
              <w:t>guards</w:t>
            </w:r>
            <w:r w:rsidRPr="00D4309F">
              <w:rPr>
                <w:spacing w:val="-12"/>
              </w:rPr>
              <w:t xml:space="preserve"> </w:t>
            </w:r>
            <w:r w:rsidRPr="00D4309F">
              <w:t xml:space="preserve">on </w:t>
            </w:r>
            <w:r w:rsidRPr="00D4309F">
              <w:rPr>
                <w:spacing w:val="-2"/>
              </w:rPr>
              <w:t>dredger</w:t>
            </w:r>
          </w:p>
          <w:p w14:paraId="3C37B515" w14:textId="77777777" w:rsidR="00640AE0" w:rsidRPr="00D4309F" w:rsidRDefault="00640AE0" w:rsidP="00864362">
            <w:pPr>
              <w:pStyle w:val="Table-Bullet"/>
            </w:pPr>
            <w:r w:rsidRPr="00D4309F">
              <w:t>Dredging</w:t>
            </w:r>
            <w:r w:rsidRPr="00D4309F">
              <w:rPr>
                <w:spacing w:val="-13"/>
              </w:rPr>
              <w:t xml:space="preserve"> </w:t>
            </w:r>
            <w:r w:rsidRPr="00D4309F">
              <w:t xml:space="preserve">and </w:t>
            </w:r>
            <w:r w:rsidRPr="00D4309F">
              <w:rPr>
                <w:spacing w:val="-2"/>
              </w:rPr>
              <w:t xml:space="preserve">disposal </w:t>
            </w:r>
            <w:r w:rsidRPr="00D4309F">
              <w:t>designed to maintain the beach profile</w:t>
            </w:r>
          </w:p>
          <w:p w14:paraId="095D6BB1" w14:textId="402ABDD9" w:rsidR="00640AE0" w:rsidRPr="00D4309F" w:rsidRDefault="00640AE0" w:rsidP="00864362">
            <w:pPr>
              <w:pStyle w:val="Table-Bullet"/>
            </w:pPr>
            <w:r w:rsidRPr="00D4309F">
              <w:t>Beach</w:t>
            </w:r>
            <w:r w:rsidRPr="00D4309F">
              <w:rPr>
                <w:spacing w:val="-13"/>
              </w:rPr>
              <w:t xml:space="preserve"> </w:t>
            </w:r>
            <w:r w:rsidRPr="00D4309F">
              <w:t xml:space="preserve">profile </w:t>
            </w:r>
            <w:r w:rsidRPr="00D4309F">
              <w:rPr>
                <w:spacing w:val="-2"/>
              </w:rPr>
              <w:t>monitoring</w:t>
            </w:r>
          </w:p>
        </w:tc>
      </w:tr>
      <w:tr w:rsidR="00640AE0" w:rsidRPr="00D4309F" w14:paraId="7D7539CA" w14:textId="77777777" w:rsidTr="00891147">
        <w:trPr>
          <w:cantSplit/>
          <w:trHeight w:val="20"/>
        </w:trPr>
        <w:tc>
          <w:tcPr>
            <w:tcW w:w="491" w:type="pct"/>
            <w:tcBorders>
              <w:top w:val="single" w:sz="4" w:space="0" w:color="000000"/>
              <w:bottom w:val="single" w:sz="4" w:space="0" w:color="000000"/>
            </w:tcBorders>
            <w:vAlign w:val="center"/>
          </w:tcPr>
          <w:p w14:paraId="29056020" w14:textId="268EDF2C" w:rsidR="00640AE0" w:rsidRDefault="00640AE0" w:rsidP="002A7828">
            <w:pPr>
              <w:pStyle w:val="Table-Text"/>
            </w:pPr>
            <w:r w:rsidRPr="00D4309F">
              <w:t>Marine</w:t>
            </w:r>
            <w:r w:rsidRPr="00D4309F">
              <w:rPr>
                <w:spacing w:val="-4"/>
              </w:rPr>
              <w:t xml:space="preserve"> </w:t>
            </w:r>
            <w:r w:rsidRPr="00D4309F">
              <w:t>fauna</w:t>
            </w:r>
          </w:p>
        </w:tc>
        <w:tc>
          <w:tcPr>
            <w:tcW w:w="517" w:type="pct"/>
            <w:tcBorders>
              <w:top w:val="single" w:sz="4" w:space="0" w:color="000000"/>
              <w:bottom w:val="single" w:sz="4" w:space="0" w:color="000000"/>
            </w:tcBorders>
            <w:vAlign w:val="center"/>
          </w:tcPr>
          <w:p w14:paraId="4E456DB6" w14:textId="52145BA6" w:rsidR="00640AE0" w:rsidRPr="00D4309F" w:rsidRDefault="00640AE0" w:rsidP="002A7828">
            <w:pPr>
              <w:pStyle w:val="Table-Text"/>
            </w:pPr>
            <w:r w:rsidRPr="00D4309F">
              <w:t>Marine mammals</w:t>
            </w:r>
          </w:p>
        </w:tc>
        <w:tc>
          <w:tcPr>
            <w:tcW w:w="986" w:type="pct"/>
            <w:tcBorders>
              <w:top w:val="single" w:sz="4" w:space="0" w:color="000000"/>
              <w:bottom w:val="single" w:sz="4" w:space="0" w:color="000000"/>
            </w:tcBorders>
            <w:vAlign w:val="center"/>
          </w:tcPr>
          <w:p w14:paraId="720CBFC6" w14:textId="77777777" w:rsidR="00640AE0" w:rsidRPr="00D4309F" w:rsidRDefault="00640AE0" w:rsidP="00864362">
            <w:pPr>
              <w:pStyle w:val="Table-Bullet"/>
            </w:pPr>
            <w:r w:rsidRPr="00D4309F">
              <w:t>Mortality/injury/</w:t>
            </w:r>
            <w:r w:rsidRPr="00D4309F">
              <w:rPr>
                <w:spacing w:val="-13"/>
              </w:rPr>
              <w:t xml:space="preserve"> </w:t>
            </w:r>
            <w:r w:rsidRPr="00D4309F">
              <w:t>behavioural response due to noise</w:t>
            </w:r>
          </w:p>
          <w:p w14:paraId="588EC0E6" w14:textId="6E261247" w:rsidR="00640AE0" w:rsidRPr="00D4309F" w:rsidRDefault="00640AE0" w:rsidP="00864362">
            <w:pPr>
              <w:pStyle w:val="Table-Bullet"/>
            </w:pPr>
            <w:r w:rsidRPr="00D4309F">
              <w:t>Vessel</w:t>
            </w:r>
            <w:r w:rsidRPr="00D4309F">
              <w:rPr>
                <w:spacing w:val="-15"/>
              </w:rPr>
              <w:t xml:space="preserve"> </w:t>
            </w:r>
            <w:r w:rsidRPr="00D4309F">
              <w:t>collision,</w:t>
            </w:r>
            <w:r w:rsidRPr="00D4309F">
              <w:rPr>
                <w:spacing w:val="-12"/>
              </w:rPr>
              <w:t xml:space="preserve"> </w:t>
            </w:r>
            <w:r w:rsidRPr="00D4309F">
              <w:t xml:space="preserve">entanglement, </w:t>
            </w:r>
            <w:r w:rsidRPr="00D4309F">
              <w:rPr>
                <w:spacing w:val="-2"/>
              </w:rPr>
              <w:t>entrainment</w:t>
            </w:r>
          </w:p>
        </w:tc>
        <w:tc>
          <w:tcPr>
            <w:tcW w:w="426" w:type="pct"/>
            <w:tcBorders>
              <w:top w:val="single" w:sz="4" w:space="0" w:color="000000"/>
              <w:bottom w:val="single" w:sz="4" w:space="0" w:color="000000"/>
            </w:tcBorders>
            <w:shd w:val="clear" w:color="auto" w:fill="FFFF00"/>
            <w:vAlign w:val="center"/>
          </w:tcPr>
          <w:p w14:paraId="778B12F7" w14:textId="459817AB" w:rsidR="00640AE0" w:rsidRPr="00D4309F" w:rsidRDefault="00640AE0" w:rsidP="006A0C95">
            <w:pPr>
              <w:pStyle w:val="TableParagraph"/>
              <w:spacing w:before="1"/>
              <w:ind w:left="106"/>
              <w:rPr>
                <w:b/>
                <w:color w:val="211E1F"/>
                <w:spacing w:val="-5"/>
                <w:sz w:val="18"/>
              </w:rPr>
            </w:pPr>
            <w:r w:rsidRPr="00D4309F">
              <w:rPr>
                <w:b/>
                <w:color w:val="211E1F"/>
                <w:spacing w:val="-2"/>
                <w:sz w:val="18"/>
              </w:rPr>
              <w:t>Moderate</w:t>
            </w:r>
          </w:p>
        </w:tc>
        <w:tc>
          <w:tcPr>
            <w:tcW w:w="1037" w:type="pct"/>
            <w:tcBorders>
              <w:top w:val="single" w:sz="4" w:space="0" w:color="000000"/>
              <w:bottom w:val="single" w:sz="4" w:space="0" w:color="000000"/>
            </w:tcBorders>
            <w:vAlign w:val="center"/>
          </w:tcPr>
          <w:p w14:paraId="76D0C7EB" w14:textId="77777777" w:rsidR="00640AE0" w:rsidRPr="00D4309F" w:rsidRDefault="00640AE0" w:rsidP="00864362">
            <w:pPr>
              <w:pStyle w:val="Table-Bullet"/>
            </w:pPr>
            <w:r w:rsidRPr="00D4309F">
              <w:t>Humpback</w:t>
            </w:r>
            <w:r w:rsidRPr="00D4309F">
              <w:rPr>
                <w:spacing w:val="-10"/>
              </w:rPr>
              <w:t xml:space="preserve"> </w:t>
            </w:r>
            <w:r w:rsidRPr="00D4309F">
              <w:t>whales</w:t>
            </w:r>
            <w:r w:rsidRPr="00D4309F">
              <w:rPr>
                <w:spacing w:val="-10"/>
              </w:rPr>
              <w:t xml:space="preserve"> </w:t>
            </w:r>
            <w:r w:rsidRPr="00D4309F">
              <w:t>may</w:t>
            </w:r>
            <w:r w:rsidRPr="00D4309F">
              <w:rPr>
                <w:spacing w:val="-10"/>
              </w:rPr>
              <w:t xml:space="preserve"> </w:t>
            </w:r>
            <w:r w:rsidRPr="00D4309F">
              <w:t>use</w:t>
            </w:r>
            <w:r w:rsidRPr="00D4309F">
              <w:rPr>
                <w:spacing w:val="-11"/>
              </w:rPr>
              <w:t xml:space="preserve"> </w:t>
            </w:r>
            <w:r w:rsidRPr="00D4309F">
              <w:t>the area for resting with calves during their migration period.</w:t>
            </w:r>
          </w:p>
          <w:p w14:paraId="4292898B" w14:textId="77777777" w:rsidR="00640AE0" w:rsidRPr="00D4309F" w:rsidRDefault="00640AE0" w:rsidP="00864362">
            <w:pPr>
              <w:pStyle w:val="Table-Bullet"/>
            </w:pPr>
            <w:r w:rsidRPr="00D4309F">
              <w:t>While</w:t>
            </w:r>
            <w:r w:rsidRPr="00D4309F">
              <w:rPr>
                <w:spacing w:val="-6"/>
              </w:rPr>
              <w:t xml:space="preserve"> </w:t>
            </w:r>
            <w:r w:rsidRPr="00D4309F">
              <w:t>species</w:t>
            </w:r>
            <w:r w:rsidRPr="00D4309F">
              <w:rPr>
                <w:spacing w:val="-4"/>
              </w:rPr>
              <w:t xml:space="preserve"> </w:t>
            </w:r>
            <w:r w:rsidRPr="00D4309F">
              <w:t>of</w:t>
            </w:r>
            <w:r w:rsidRPr="00D4309F">
              <w:rPr>
                <w:spacing w:val="-5"/>
              </w:rPr>
              <w:t xml:space="preserve"> </w:t>
            </w:r>
            <w:r w:rsidRPr="00D4309F">
              <w:t>dolphins</w:t>
            </w:r>
            <w:r w:rsidRPr="00D4309F">
              <w:rPr>
                <w:spacing w:val="-5"/>
              </w:rPr>
              <w:t xml:space="preserve"> </w:t>
            </w:r>
            <w:r w:rsidRPr="00D4309F">
              <w:t>listed as</w:t>
            </w:r>
            <w:r w:rsidRPr="00D4309F">
              <w:rPr>
                <w:spacing w:val="-8"/>
              </w:rPr>
              <w:t xml:space="preserve"> </w:t>
            </w:r>
            <w:r w:rsidRPr="00D4309F">
              <w:t>vulnerable</w:t>
            </w:r>
            <w:r w:rsidRPr="00D4309F">
              <w:rPr>
                <w:spacing w:val="-7"/>
              </w:rPr>
              <w:t xml:space="preserve"> </w:t>
            </w:r>
            <w:r w:rsidRPr="00D4309F">
              <w:t>may</w:t>
            </w:r>
            <w:r w:rsidRPr="00D4309F">
              <w:rPr>
                <w:spacing w:val="-8"/>
              </w:rPr>
              <w:t xml:space="preserve"> </w:t>
            </w:r>
            <w:r w:rsidRPr="00D4309F">
              <w:t>also</w:t>
            </w:r>
            <w:r w:rsidRPr="00D4309F">
              <w:rPr>
                <w:spacing w:val="-9"/>
              </w:rPr>
              <w:t xml:space="preserve"> </w:t>
            </w:r>
            <w:r w:rsidRPr="00D4309F">
              <w:t>occur</w:t>
            </w:r>
            <w:r w:rsidRPr="00D4309F">
              <w:rPr>
                <w:spacing w:val="-7"/>
              </w:rPr>
              <w:t xml:space="preserve"> </w:t>
            </w:r>
            <w:r w:rsidRPr="00D4309F">
              <w:t>in the area, they tend to move away from noise sources and are at lower risk of injury.</w:t>
            </w:r>
          </w:p>
          <w:p w14:paraId="2D637EA6" w14:textId="0AB3670D" w:rsidR="00640AE0" w:rsidRPr="00D4309F" w:rsidRDefault="00640AE0" w:rsidP="00864362">
            <w:pPr>
              <w:pStyle w:val="Table-Bullet"/>
            </w:pPr>
            <w:r w:rsidRPr="00D4309F">
              <w:t>While species of dolphin have breeding</w:t>
            </w:r>
            <w:r w:rsidRPr="00D4309F">
              <w:rPr>
                <w:spacing w:val="-7"/>
              </w:rPr>
              <w:t xml:space="preserve"> </w:t>
            </w:r>
            <w:r w:rsidRPr="00D4309F">
              <w:t>BIA</w:t>
            </w:r>
            <w:r w:rsidRPr="00D4309F">
              <w:rPr>
                <w:spacing w:val="-6"/>
              </w:rPr>
              <w:t xml:space="preserve"> </w:t>
            </w:r>
            <w:r w:rsidRPr="00D4309F">
              <w:t>in</w:t>
            </w:r>
            <w:r w:rsidRPr="00D4309F">
              <w:rPr>
                <w:spacing w:val="-7"/>
              </w:rPr>
              <w:t xml:space="preserve"> </w:t>
            </w:r>
            <w:r w:rsidRPr="00D4309F">
              <w:t>area,</w:t>
            </w:r>
            <w:r w:rsidRPr="00D4309F">
              <w:rPr>
                <w:spacing w:val="-6"/>
              </w:rPr>
              <w:t xml:space="preserve"> </w:t>
            </w:r>
            <w:r w:rsidRPr="00D4309F">
              <w:t>there</w:t>
            </w:r>
            <w:r w:rsidRPr="00D4309F">
              <w:rPr>
                <w:spacing w:val="-6"/>
              </w:rPr>
              <w:t xml:space="preserve"> </w:t>
            </w:r>
            <w:r w:rsidRPr="00D4309F">
              <w:t>is</w:t>
            </w:r>
            <w:r w:rsidRPr="00D4309F">
              <w:rPr>
                <w:spacing w:val="-6"/>
              </w:rPr>
              <w:t xml:space="preserve"> </w:t>
            </w:r>
            <w:r w:rsidRPr="00D4309F">
              <w:t>a lower risk to</w:t>
            </w:r>
            <w:r w:rsidRPr="00D4309F">
              <w:rPr>
                <w:spacing w:val="-1"/>
              </w:rPr>
              <w:t xml:space="preserve"> </w:t>
            </w:r>
            <w:r w:rsidRPr="00D4309F">
              <w:t xml:space="preserve">breeding because of the wide distribution of the </w:t>
            </w:r>
            <w:r w:rsidRPr="00D4309F">
              <w:rPr>
                <w:spacing w:val="-4"/>
              </w:rPr>
              <w:t>BIA</w:t>
            </w:r>
          </w:p>
        </w:tc>
        <w:tc>
          <w:tcPr>
            <w:tcW w:w="759" w:type="pct"/>
            <w:tcBorders>
              <w:top w:val="single" w:sz="4" w:space="0" w:color="000000"/>
              <w:bottom w:val="single" w:sz="4" w:space="0" w:color="000000"/>
            </w:tcBorders>
            <w:vAlign w:val="center"/>
          </w:tcPr>
          <w:p w14:paraId="5CFE75F4" w14:textId="1F851120" w:rsidR="00640AE0" w:rsidRPr="00D4309F" w:rsidRDefault="00640AE0" w:rsidP="00864362">
            <w:pPr>
              <w:pStyle w:val="Table-Bullet"/>
              <w:rPr>
                <w:color w:val="211E1F"/>
                <w:spacing w:val="-4"/>
              </w:rPr>
            </w:pPr>
            <w:r w:rsidRPr="00D4309F">
              <w:t>Underwater</w:t>
            </w:r>
            <w:r w:rsidRPr="00D4309F">
              <w:rPr>
                <w:spacing w:val="-13"/>
              </w:rPr>
              <w:t xml:space="preserve"> </w:t>
            </w:r>
            <w:r w:rsidRPr="00D4309F">
              <w:t xml:space="preserve">noise </w:t>
            </w:r>
            <w:r w:rsidRPr="00D4309F">
              <w:rPr>
                <w:spacing w:val="-2"/>
              </w:rPr>
              <w:t>assessment</w:t>
            </w:r>
          </w:p>
        </w:tc>
        <w:tc>
          <w:tcPr>
            <w:tcW w:w="784" w:type="pct"/>
            <w:tcBorders>
              <w:top w:val="single" w:sz="4" w:space="0" w:color="000000"/>
              <w:bottom w:val="single" w:sz="4" w:space="0" w:color="000000"/>
            </w:tcBorders>
            <w:vAlign w:val="center"/>
          </w:tcPr>
          <w:p w14:paraId="4EEEC354" w14:textId="77777777" w:rsidR="00640AE0" w:rsidRPr="00D4309F" w:rsidRDefault="00640AE0" w:rsidP="00864362">
            <w:pPr>
              <w:pStyle w:val="Table-Bullet"/>
            </w:pPr>
            <w:r w:rsidRPr="00D4309F">
              <w:t>Timing of works outside of whale migration</w:t>
            </w:r>
            <w:r w:rsidRPr="00D4309F">
              <w:rPr>
                <w:spacing w:val="-13"/>
              </w:rPr>
              <w:t xml:space="preserve"> </w:t>
            </w:r>
            <w:r w:rsidRPr="00D4309F">
              <w:t>periods</w:t>
            </w:r>
          </w:p>
          <w:p w14:paraId="28FFEEB4" w14:textId="38C84B07" w:rsidR="00640AE0" w:rsidRPr="00D4309F" w:rsidRDefault="00640AE0" w:rsidP="00864362">
            <w:pPr>
              <w:pStyle w:val="Table-Bullet"/>
            </w:pPr>
            <w:r w:rsidRPr="00D4309F">
              <w:t>Standard</w:t>
            </w:r>
            <w:r w:rsidRPr="00D4309F">
              <w:rPr>
                <w:spacing w:val="-13"/>
              </w:rPr>
              <w:t xml:space="preserve"> </w:t>
            </w:r>
            <w:r w:rsidRPr="00D4309F">
              <w:t>marine fauna mitigation practices e.g. marine fauna observers and exclusion zones</w:t>
            </w:r>
          </w:p>
        </w:tc>
      </w:tr>
      <w:tr w:rsidR="005558DD" w:rsidRPr="00D4309F" w14:paraId="68BE084A" w14:textId="77777777" w:rsidTr="00891147">
        <w:trPr>
          <w:cantSplit/>
          <w:trHeight w:val="20"/>
        </w:trPr>
        <w:tc>
          <w:tcPr>
            <w:tcW w:w="491" w:type="pct"/>
            <w:tcBorders>
              <w:top w:val="single" w:sz="4" w:space="0" w:color="000000"/>
              <w:bottom w:val="single" w:sz="4" w:space="0" w:color="000000"/>
            </w:tcBorders>
            <w:vAlign w:val="center"/>
          </w:tcPr>
          <w:p w14:paraId="579B5EEA" w14:textId="4101B8B4" w:rsidR="005558DD" w:rsidRDefault="005558DD" w:rsidP="002A7828">
            <w:pPr>
              <w:pStyle w:val="Table-Text"/>
            </w:pPr>
            <w:r w:rsidRPr="00D4309F">
              <w:lastRenderedPageBreak/>
              <w:t>Marine</w:t>
            </w:r>
            <w:r w:rsidRPr="00D4309F">
              <w:rPr>
                <w:spacing w:val="-4"/>
              </w:rPr>
              <w:t xml:space="preserve"> </w:t>
            </w:r>
            <w:r w:rsidRPr="00D4309F">
              <w:t>fauna</w:t>
            </w:r>
          </w:p>
        </w:tc>
        <w:tc>
          <w:tcPr>
            <w:tcW w:w="517" w:type="pct"/>
            <w:tcBorders>
              <w:top w:val="single" w:sz="4" w:space="0" w:color="000000"/>
              <w:bottom w:val="single" w:sz="4" w:space="0" w:color="000000"/>
            </w:tcBorders>
            <w:vAlign w:val="center"/>
          </w:tcPr>
          <w:p w14:paraId="7E951A5C" w14:textId="7A17B2B8" w:rsidR="005558DD" w:rsidRPr="00D4309F" w:rsidRDefault="005558DD" w:rsidP="002A7828">
            <w:pPr>
              <w:pStyle w:val="Table-Text"/>
            </w:pPr>
            <w:r w:rsidRPr="00D4309F">
              <w:t>Roosting Seabirds</w:t>
            </w:r>
          </w:p>
        </w:tc>
        <w:tc>
          <w:tcPr>
            <w:tcW w:w="986" w:type="pct"/>
            <w:tcBorders>
              <w:top w:val="single" w:sz="4" w:space="0" w:color="000000"/>
              <w:bottom w:val="single" w:sz="4" w:space="0" w:color="000000"/>
            </w:tcBorders>
            <w:vAlign w:val="center"/>
          </w:tcPr>
          <w:p w14:paraId="7A303B2B" w14:textId="77777777" w:rsidR="005558DD" w:rsidRPr="00D4309F" w:rsidRDefault="005558DD" w:rsidP="00864362">
            <w:pPr>
              <w:pStyle w:val="Table-Bullet"/>
            </w:pPr>
            <w:r w:rsidRPr="00D4309F">
              <w:t>Mortality/injury/</w:t>
            </w:r>
            <w:r w:rsidRPr="00D4309F">
              <w:rPr>
                <w:spacing w:val="-13"/>
              </w:rPr>
              <w:t xml:space="preserve"> </w:t>
            </w:r>
            <w:r w:rsidRPr="00D4309F">
              <w:t>behavioural response due to noise</w:t>
            </w:r>
          </w:p>
          <w:p w14:paraId="275AEA6B" w14:textId="77777777" w:rsidR="005558DD" w:rsidRPr="00D4309F" w:rsidRDefault="005558DD" w:rsidP="00864362">
            <w:pPr>
              <w:pStyle w:val="Table-Bullet"/>
            </w:pPr>
            <w:r w:rsidRPr="00D4309F">
              <w:t>Behavioural response and interruption</w:t>
            </w:r>
            <w:r w:rsidRPr="00D4309F">
              <w:rPr>
                <w:spacing w:val="-13"/>
              </w:rPr>
              <w:t xml:space="preserve"> </w:t>
            </w:r>
            <w:r w:rsidRPr="00D4309F">
              <w:t>of</w:t>
            </w:r>
            <w:r w:rsidRPr="00D4309F">
              <w:rPr>
                <w:spacing w:val="-12"/>
              </w:rPr>
              <w:t xml:space="preserve"> </w:t>
            </w:r>
            <w:r w:rsidRPr="00D4309F">
              <w:t>nesting</w:t>
            </w:r>
            <w:r w:rsidRPr="00D4309F">
              <w:rPr>
                <w:spacing w:val="-13"/>
              </w:rPr>
              <w:t xml:space="preserve"> </w:t>
            </w:r>
            <w:r w:rsidRPr="00D4309F">
              <w:t>behaviour due to light</w:t>
            </w:r>
          </w:p>
          <w:p w14:paraId="39213615" w14:textId="65DFBFD8" w:rsidR="005558DD" w:rsidRPr="00D4309F" w:rsidRDefault="005558DD" w:rsidP="00864362">
            <w:pPr>
              <w:pStyle w:val="Table-Bullet"/>
            </w:pPr>
            <w:r w:rsidRPr="00D4309F">
              <w:rPr>
                <w:spacing w:val="-2"/>
              </w:rPr>
              <w:t xml:space="preserve">Mortality/injury/behavioural </w:t>
            </w:r>
            <w:r w:rsidRPr="00D4309F">
              <w:t>response</w:t>
            </w:r>
            <w:r w:rsidRPr="00D4309F">
              <w:rPr>
                <w:spacing w:val="-13"/>
              </w:rPr>
              <w:t xml:space="preserve"> </w:t>
            </w:r>
            <w:r w:rsidRPr="00D4309F">
              <w:t>due</w:t>
            </w:r>
            <w:r w:rsidRPr="00D4309F">
              <w:rPr>
                <w:spacing w:val="-12"/>
              </w:rPr>
              <w:t xml:space="preserve"> </w:t>
            </w:r>
            <w:r w:rsidRPr="00D4309F">
              <w:t>physical</w:t>
            </w:r>
            <w:r w:rsidRPr="00D4309F">
              <w:rPr>
                <w:spacing w:val="-13"/>
              </w:rPr>
              <w:t xml:space="preserve"> </w:t>
            </w:r>
            <w:r w:rsidRPr="00D4309F">
              <w:t>presence</w:t>
            </w:r>
          </w:p>
        </w:tc>
        <w:tc>
          <w:tcPr>
            <w:tcW w:w="426" w:type="pct"/>
            <w:tcBorders>
              <w:top w:val="single" w:sz="4" w:space="0" w:color="000000"/>
              <w:bottom w:val="single" w:sz="4" w:space="0" w:color="000000"/>
            </w:tcBorders>
            <w:shd w:val="clear" w:color="auto" w:fill="FFFF00"/>
            <w:vAlign w:val="center"/>
          </w:tcPr>
          <w:p w14:paraId="4A248471" w14:textId="53CFAB6B" w:rsidR="005558DD" w:rsidRPr="00D4309F" w:rsidRDefault="005558DD" w:rsidP="006A0C95">
            <w:pPr>
              <w:pStyle w:val="TableParagraph"/>
              <w:spacing w:before="1"/>
              <w:ind w:left="106"/>
              <w:rPr>
                <w:b/>
                <w:color w:val="211E1F"/>
                <w:spacing w:val="-5"/>
                <w:sz w:val="18"/>
              </w:rPr>
            </w:pPr>
            <w:r w:rsidRPr="00D4309F">
              <w:rPr>
                <w:b/>
                <w:color w:val="211E1F"/>
                <w:spacing w:val="-2"/>
                <w:sz w:val="18"/>
              </w:rPr>
              <w:t>Moderate</w:t>
            </w:r>
          </w:p>
        </w:tc>
        <w:tc>
          <w:tcPr>
            <w:tcW w:w="1037" w:type="pct"/>
            <w:tcBorders>
              <w:top w:val="single" w:sz="4" w:space="0" w:color="000000"/>
              <w:bottom w:val="single" w:sz="4" w:space="0" w:color="000000"/>
            </w:tcBorders>
            <w:vAlign w:val="center"/>
          </w:tcPr>
          <w:p w14:paraId="75F9C175" w14:textId="60EFFB90" w:rsidR="005558DD" w:rsidRPr="00D4309F" w:rsidRDefault="005558DD" w:rsidP="00864362">
            <w:pPr>
              <w:pStyle w:val="Table-Bullet"/>
            </w:pPr>
            <w:r w:rsidRPr="00D4309F">
              <w:t>Several</w:t>
            </w:r>
            <w:r w:rsidRPr="00D4309F">
              <w:rPr>
                <w:spacing w:val="-10"/>
              </w:rPr>
              <w:t xml:space="preserve"> </w:t>
            </w:r>
            <w:r w:rsidRPr="00D4309F">
              <w:t>species</w:t>
            </w:r>
            <w:r w:rsidRPr="00D4309F">
              <w:rPr>
                <w:spacing w:val="-10"/>
              </w:rPr>
              <w:t xml:space="preserve"> </w:t>
            </w:r>
            <w:r w:rsidRPr="00D4309F">
              <w:t>of</w:t>
            </w:r>
            <w:r w:rsidRPr="00D4309F">
              <w:rPr>
                <w:spacing w:val="-10"/>
              </w:rPr>
              <w:t xml:space="preserve"> </w:t>
            </w:r>
            <w:r w:rsidRPr="00D4309F">
              <w:t>migratory seabirds</w:t>
            </w:r>
            <w:r w:rsidRPr="00D4309F">
              <w:rPr>
                <w:spacing w:val="-13"/>
              </w:rPr>
              <w:t xml:space="preserve"> </w:t>
            </w:r>
            <w:r w:rsidRPr="00D4309F">
              <w:t>aggregate</w:t>
            </w:r>
            <w:r w:rsidRPr="00D4309F">
              <w:rPr>
                <w:spacing w:val="-12"/>
              </w:rPr>
              <w:t xml:space="preserve"> </w:t>
            </w:r>
            <w:r w:rsidRPr="00D4309F">
              <w:t>and</w:t>
            </w:r>
            <w:r w:rsidRPr="00D4309F">
              <w:rPr>
                <w:spacing w:val="-13"/>
              </w:rPr>
              <w:t xml:space="preserve"> </w:t>
            </w:r>
            <w:r w:rsidRPr="00D4309F">
              <w:t>may nest at Point Cartwright and could be impacted</w:t>
            </w:r>
          </w:p>
        </w:tc>
        <w:tc>
          <w:tcPr>
            <w:tcW w:w="759" w:type="pct"/>
            <w:tcBorders>
              <w:top w:val="single" w:sz="4" w:space="0" w:color="000000"/>
              <w:bottom w:val="single" w:sz="4" w:space="0" w:color="000000"/>
            </w:tcBorders>
            <w:vAlign w:val="center"/>
          </w:tcPr>
          <w:p w14:paraId="7192BF64" w14:textId="77777777" w:rsidR="005558DD" w:rsidRPr="00D4309F" w:rsidRDefault="005558DD" w:rsidP="00864362">
            <w:pPr>
              <w:pStyle w:val="Table-Bullet"/>
            </w:pPr>
            <w:r w:rsidRPr="00D4309F">
              <w:t>Noise</w:t>
            </w:r>
            <w:r w:rsidRPr="00D4309F">
              <w:rPr>
                <w:spacing w:val="-2"/>
              </w:rPr>
              <w:t xml:space="preserve"> assessment</w:t>
            </w:r>
          </w:p>
          <w:p w14:paraId="097FA09D" w14:textId="25C557BD" w:rsidR="005558DD" w:rsidRPr="00D4309F" w:rsidRDefault="005558DD" w:rsidP="00864362">
            <w:pPr>
              <w:pStyle w:val="Table-Bullet"/>
              <w:rPr>
                <w:color w:val="211E1F"/>
                <w:spacing w:val="-4"/>
              </w:rPr>
            </w:pPr>
            <w:r w:rsidRPr="00D4309F">
              <w:t>Light</w:t>
            </w:r>
            <w:r w:rsidRPr="00D4309F">
              <w:rPr>
                <w:spacing w:val="-15"/>
              </w:rPr>
              <w:t xml:space="preserve"> </w:t>
            </w:r>
            <w:r w:rsidRPr="00D4309F">
              <w:t>assessment</w:t>
            </w:r>
            <w:r w:rsidRPr="00D4309F">
              <w:rPr>
                <w:spacing w:val="-12"/>
              </w:rPr>
              <w:t xml:space="preserve"> </w:t>
            </w:r>
            <w:r w:rsidRPr="00D4309F">
              <w:t xml:space="preserve">if night works are </w:t>
            </w:r>
            <w:r w:rsidRPr="00D4309F">
              <w:rPr>
                <w:spacing w:val="-2"/>
              </w:rPr>
              <w:t>proposed</w:t>
            </w:r>
          </w:p>
        </w:tc>
        <w:tc>
          <w:tcPr>
            <w:tcW w:w="784" w:type="pct"/>
            <w:tcBorders>
              <w:top w:val="single" w:sz="4" w:space="0" w:color="000000"/>
              <w:bottom w:val="single" w:sz="4" w:space="0" w:color="000000"/>
            </w:tcBorders>
            <w:vAlign w:val="center"/>
          </w:tcPr>
          <w:p w14:paraId="00416B4D" w14:textId="1EC3C39B" w:rsidR="005558DD" w:rsidRPr="00D4309F" w:rsidRDefault="005558DD" w:rsidP="00864362">
            <w:pPr>
              <w:pStyle w:val="Table-Bullet"/>
            </w:pPr>
            <w:r w:rsidRPr="00D4309F">
              <w:t xml:space="preserve">Timing of works outside of peak </w:t>
            </w:r>
            <w:r w:rsidRPr="00D4309F">
              <w:rPr>
                <w:spacing w:val="-2"/>
              </w:rPr>
              <w:t xml:space="preserve">aggregation </w:t>
            </w:r>
            <w:r w:rsidRPr="00D4309F">
              <w:t>season</w:t>
            </w:r>
            <w:r w:rsidRPr="00D4309F">
              <w:rPr>
                <w:spacing w:val="-13"/>
              </w:rPr>
              <w:t xml:space="preserve"> </w:t>
            </w:r>
            <w:r w:rsidRPr="00D4309F">
              <w:t xml:space="preserve">(summer) for migratory </w:t>
            </w:r>
            <w:r w:rsidRPr="00D4309F">
              <w:rPr>
                <w:spacing w:val="-2"/>
              </w:rPr>
              <w:t>terns</w:t>
            </w:r>
          </w:p>
        </w:tc>
      </w:tr>
      <w:tr w:rsidR="005558DD" w:rsidRPr="00D4309F" w14:paraId="3C736617" w14:textId="77777777" w:rsidTr="00891147">
        <w:trPr>
          <w:cantSplit/>
          <w:trHeight w:val="20"/>
        </w:trPr>
        <w:tc>
          <w:tcPr>
            <w:tcW w:w="491" w:type="pct"/>
            <w:tcBorders>
              <w:top w:val="single" w:sz="4" w:space="0" w:color="000000"/>
              <w:bottom w:val="single" w:sz="4" w:space="0" w:color="000000"/>
            </w:tcBorders>
            <w:vAlign w:val="center"/>
          </w:tcPr>
          <w:p w14:paraId="0EA2A5FD" w14:textId="5D4395C9" w:rsidR="005558DD" w:rsidRDefault="005558DD" w:rsidP="002A7828">
            <w:pPr>
              <w:pStyle w:val="Table-Text"/>
            </w:pPr>
            <w:r w:rsidRPr="00D4309F">
              <w:t>Marine</w:t>
            </w:r>
            <w:r w:rsidRPr="00D4309F">
              <w:rPr>
                <w:spacing w:val="-4"/>
              </w:rPr>
              <w:t xml:space="preserve"> </w:t>
            </w:r>
            <w:r w:rsidRPr="00D4309F">
              <w:t>fauna</w:t>
            </w:r>
          </w:p>
        </w:tc>
        <w:tc>
          <w:tcPr>
            <w:tcW w:w="517" w:type="pct"/>
            <w:tcBorders>
              <w:top w:val="single" w:sz="4" w:space="0" w:color="000000"/>
              <w:bottom w:val="single" w:sz="4" w:space="0" w:color="000000"/>
            </w:tcBorders>
            <w:vAlign w:val="center"/>
          </w:tcPr>
          <w:p w14:paraId="10C6A0F9" w14:textId="04D634E9" w:rsidR="005558DD" w:rsidRPr="00D4309F" w:rsidRDefault="005558DD" w:rsidP="002A7828">
            <w:pPr>
              <w:pStyle w:val="Table-Text"/>
            </w:pPr>
            <w:r w:rsidRPr="00D4309F">
              <w:t>Foraging Seabirds</w:t>
            </w:r>
          </w:p>
        </w:tc>
        <w:tc>
          <w:tcPr>
            <w:tcW w:w="986" w:type="pct"/>
            <w:tcBorders>
              <w:top w:val="single" w:sz="4" w:space="0" w:color="000000"/>
              <w:bottom w:val="single" w:sz="4" w:space="0" w:color="000000"/>
            </w:tcBorders>
            <w:vAlign w:val="center"/>
          </w:tcPr>
          <w:p w14:paraId="2F1A1D91" w14:textId="28B88FE9" w:rsidR="005558DD" w:rsidRPr="00D4309F" w:rsidRDefault="005558DD" w:rsidP="00864362">
            <w:pPr>
              <w:pStyle w:val="Table-Bullet"/>
            </w:pPr>
            <w:r w:rsidRPr="00D4309F">
              <w:t>Generation</w:t>
            </w:r>
            <w:r w:rsidRPr="00D4309F">
              <w:rPr>
                <w:spacing w:val="-13"/>
              </w:rPr>
              <w:t xml:space="preserve"> </w:t>
            </w:r>
            <w:r w:rsidRPr="00D4309F">
              <w:t>of</w:t>
            </w:r>
            <w:r w:rsidRPr="00D4309F">
              <w:rPr>
                <w:spacing w:val="-12"/>
              </w:rPr>
              <w:t xml:space="preserve"> </w:t>
            </w:r>
            <w:r w:rsidRPr="00D4309F">
              <w:t>turbidity</w:t>
            </w:r>
            <w:r w:rsidRPr="00D4309F">
              <w:rPr>
                <w:spacing w:val="-13"/>
              </w:rPr>
              <w:t xml:space="preserve"> </w:t>
            </w:r>
            <w:r w:rsidRPr="00D4309F">
              <w:t>impacting foraging activities</w:t>
            </w:r>
          </w:p>
        </w:tc>
        <w:tc>
          <w:tcPr>
            <w:tcW w:w="426" w:type="pct"/>
            <w:tcBorders>
              <w:top w:val="single" w:sz="4" w:space="0" w:color="000000"/>
              <w:bottom w:val="single" w:sz="4" w:space="0" w:color="000000"/>
            </w:tcBorders>
            <w:shd w:val="clear" w:color="auto" w:fill="FFFF00"/>
            <w:vAlign w:val="center"/>
          </w:tcPr>
          <w:p w14:paraId="17ED047E" w14:textId="4B759923" w:rsidR="005558DD" w:rsidRPr="00D4309F" w:rsidRDefault="005558DD" w:rsidP="006A0C95">
            <w:pPr>
              <w:pStyle w:val="TableParagraph"/>
              <w:spacing w:before="1"/>
              <w:ind w:left="106"/>
              <w:rPr>
                <w:b/>
                <w:color w:val="211E1F"/>
                <w:spacing w:val="-5"/>
                <w:sz w:val="18"/>
              </w:rPr>
            </w:pPr>
            <w:r w:rsidRPr="00D4309F">
              <w:rPr>
                <w:b/>
                <w:color w:val="211E1F"/>
                <w:spacing w:val="-2"/>
                <w:sz w:val="18"/>
              </w:rPr>
              <w:t>Moderate</w:t>
            </w:r>
          </w:p>
        </w:tc>
        <w:tc>
          <w:tcPr>
            <w:tcW w:w="1037" w:type="pct"/>
            <w:tcBorders>
              <w:top w:val="single" w:sz="4" w:space="0" w:color="000000"/>
              <w:bottom w:val="single" w:sz="4" w:space="0" w:color="000000"/>
            </w:tcBorders>
            <w:vAlign w:val="center"/>
          </w:tcPr>
          <w:p w14:paraId="7980B618" w14:textId="77777777" w:rsidR="005558DD" w:rsidRPr="00D4309F" w:rsidRDefault="005558DD" w:rsidP="00864362">
            <w:pPr>
              <w:pStyle w:val="Table-Bullet"/>
            </w:pPr>
            <w:r w:rsidRPr="00D4309F">
              <w:t>Turbidity will impede the ability of aerial feeding birds to see prey underwater, which will impact the Little Terns aggregating in Point Cartwright reserve. Larger seabirds will travel</w:t>
            </w:r>
            <w:r w:rsidRPr="00D4309F">
              <w:rPr>
                <w:spacing w:val="-8"/>
              </w:rPr>
              <w:t xml:space="preserve"> </w:t>
            </w:r>
            <w:r w:rsidRPr="00D4309F">
              <w:t>outside</w:t>
            </w:r>
            <w:r w:rsidRPr="00D4309F">
              <w:rPr>
                <w:spacing w:val="-9"/>
              </w:rPr>
              <w:t xml:space="preserve"> </w:t>
            </w:r>
            <w:r w:rsidRPr="00D4309F">
              <w:t>of</w:t>
            </w:r>
            <w:r w:rsidRPr="00D4309F">
              <w:rPr>
                <w:spacing w:val="-8"/>
              </w:rPr>
              <w:t xml:space="preserve"> </w:t>
            </w:r>
            <w:r w:rsidRPr="00D4309F">
              <w:t>the</w:t>
            </w:r>
            <w:r w:rsidRPr="00D4309F">
              <w:rPr>
                <w:spacing w:val="-9"/>
              </w:rPr>
              <w:t xml:space="preserve"> </w:t>
            </w:r>
            <w:r w:rsidRPr="00D4309F">
              <w:t>turbid</w:t>
            </w:r>
            <w:r w:rsidRPr="00D4309F">
              <w:rPr>
                <w:spacing w:val="-9"/>
              </w:rPr>
              <w:t xml:space="preserve"> </w:t>
            </w:r>
            <w:r w:rsidRPr="00D4309F">
              <w:t>zone to forage.</w:t>
            </w:r>
          </w:p>
          <w:p w14:paraId="7AD20DD1" w14:textId="59D6A383" w:rsidR="005558DD" w:rsidRPr="00D4309F" w:rsidRDefault="005558DD" w:rsidP="00864362">
            <w:pPr>
              <w:pStyle w:val="Table-Bullet"/>
            </w:pPr>
            <w:r w:rsidRPr="00D4309F">
              <w:t>An</w:t>
            </w:r>
            <w:r w:rsidRPr="00D4309F">
              <w:rPr>
                <w:spacing w:val="-11"/>
              </w:rPr>
              <w:t xml:space="preserve"> </w:t>
            </w:r>
            <w:r w:rsidRPr="00D4309F">
              <w:t>assessment</w:t>
            </w:r>
            <w:r w:rsidRPr="00D4309F">
              <w:rPr>
                <w:spacing w:val="-10"/>
              </w:rPr>
              <w:t xml:space="preserve"> </w:t>
            </w:r>
            <w:r w:rsidRPr="00D4309F">
              <w:t>of</w:t>
            </w:r>
            <w:r w:rsidRPr="00D4309F">
              <w:rPr>
                <w:spacing w:val="-10"/>
              </w:rPr>
              <w:t xml:space="preserve"> </w:t>
            </w:r>
            <w:r w:rsidRPr="00D4309F">
              <w:t>the</w:t>
            </w:r>
            <w:r w:rsidRPr="00D4309F">
              <w:rPr>
                <w:spacing w:val="-11"/>
              </w:rPr>
              <w:t xml:space="preserve"> </w:t>
            </w:r>
            <w:r w:rsidRPr="00D4309F">
              <w:t>predicted plume extent will inform the extent of turbidity related impacts however as this is a dynamic, open ocean environment, any plume will likely dissipate quickly.</w:t>
            </w:r>
          </w:p>
        </w:tc>
        <w:tc>
          <w:tcPr>
            <w:tcW w:w="759" w:type="pct"/>
            <w:tcBorders>
              <w:top w:val="single" w:sz="4" w:space="0" w:color="000000"/>
              <w:bottom w:val="single" w:sz="4" w:space="0" w:color="000000"/>
            </w:tcBorders>
            <w:vAlign w:val="center"/>
          </w:tcPr>
          <w:p w14:paraId="67690608" w14:textId="1A4BCEE7" w:rsidR="005558DD" w:rsidRPr="00D4309F" w:rsidRDefault="005558DD" w:rsidP="00864362">
            <w:pPr>
              <w:pStyle w:val="Table-Bullet"/>
              <w:rPr>
                <w:color w:val="211E1F"/>
                <w:spacing w:val="-4"/>
              </w:rPr>
            </w:pPr>
            <w:r w:rsidRPr="00D4309F">
              <w:t xml:space="preserve">Turbidity </w:t>
            </w:r>
            <w:r w:rsidRPr="00D4309F">
              <w:rPr>
                <w:spacing w:val="-2"/>
              </w:rPr>
              <w:t>modelling</w:t>
            </w:r>
          </w:p>
        </w:tc>
        <w:tc>
          <w:tcPr>
            <w:tcW w:w="784" w:type="pct"/>
            <w:tcBorders>
              <w:top w:val="single" w:sz="4" w:space="0" w:color="000000"/>
              <w:bottom w:val="single" w:sz="4" w:space="0" w:color="000000"/>
            </w:tcBorders>
            <w:vAlign w:val="center"/>
          </w:tcPr>
          <w:p w14:paraId="43194B88" w14:textId="694D467D" w:rsidR="005558DD" w:rsidRPr="00D4309F" w:rsidRDefault="005558DD" w:rsidP="00864362">
            <w:pPr>
              <w:pStyle w:val="Table-Bullet"/>
            </w:pPr>
            <w:r w:rsidRPr="00D4309F">
              <w:t xml:space="preserve">Timing of works outside of peak </w:t>
            </w:r>
            <w:r w:rsidRPr="00D4309F">
              <w:rPr>
                <w:spacing w:val="-2"/>
              </w:rPr>
              <w:t xml:space="preserve">aggregation </w:t>
            </w:r>
            <w:r w:rsidRPr="00D4309F">
              <w:t>season</w:t>
            </w:r>
            <w:r w:rsidRPr="00D4309F">
              <w:rPr>
                <w:spacing w:val="-13"/>
              </w:rPr>
              <w:t xml:space="preserve"> </w:t>
            </w:r>
            <w:r w:rsidRPr="00D4309F">
              <w:t xml:space="preserve">(summer) for migratory </w:t>
            </w:r>
            <w:r w:rsidRPr="00D4309F">
              <w:rPr>
                <w:spacing w:val="-2"/>
              </w:rPr>
              <w:t>terns</w:t>
            </w:r>
          </w:p>
        </w:tc>
      </w:tr>
      <w:tr w:rsidR="005558DD" w:rsidRPr="00D4309F" w14:paraId="31E4778D" w14:textId="77777777" w:rsidTr="00891147">
        <w:trPr>
          <w:cantSplit/>
          <w:trHeight w:val="20"/>
        </w:trPr>
        <w:tc>
          <w:tcPr>
            <w:tcW w:w="491" w:type="pct"/>
            <w:tcBorders>
              <w:top w:val="single" w:sz="4" w:space="0" w:color="000000"/>
              <w:bottom w:val="single" w:sz="4" w:space="0" w:color="000000"/>
            </w:tcBorders>
            <w:vAlign w:val="center"/>
          </w:tcPr>
          <w:p w14:paraId="6FB1F6D5" w14:textId="226B79BD" w:rsidR="005558DD" w:rsidRDefault="005558DD" w:rsidP="002A7828">
            <w:pPr>
              <w:pStyle w:val="Table-Text"/>
            </w:pPr>
            <w:r w:rsidRPr="00D4309F">
              <w:lastRenderedPageBreak/>
              <w:t>Marine</w:t>
            </w:r>
            <w:r w:rsidRPr="00D4309F">
              <w:rPr>
                <w:spacing w:val="-4"/>
              </w:rPr>
              <w:t xml:space="preserve"> </w:t>
            </w:r>
            <w:r w:rsidRPr="00D4309F">
              <w:t>fauna</w:t>
            </w:r>
          </w:p>
        </w:tc>
        <w:tc>
          <w:tcPr>
            <w:tcW w:w="517" w:type="pct"/>
            <w:tcBorders>
              <w:top w:val="single" w:sz="4" w:space="0" w:color="000000"/>
              <w:bottom w:val="single" w:sz="4" w:space="0" w:color="000000"/>
            </w:tcBorders>
            <w:vAlign w:val="center"/>
          </w:tcPr>
          <w:p w14:paraId="1957404B" w14:textId="102A0807" w:rsidR="005558DD" w:rsidRPr="00D4309F" w:rsidRDefault="005558DD" w:rsidP="002A7828">
            <w:pPr>
              <w:pStyle w:val="Table-Text"/>
            </w:pPr>
            <w:r w:rsidRPr="00D4309F">
              <w:rPr>
                <w:spacing w:val="-4"/>
              </w:rPr>
              <w:t xml:space="preserve">Site </w:t>
            </w:r>
            <w:r w:rsidRPr="00D4309F">
              <w:t>attached species</w:t>
            </w:r>
          </w:p>
        </w:tc>
        <w:tc>
          <w:tcPr>
            <w:tcW w:w="986" w:type="pct"/>
            <w:tcBorders>
              <w:top w:val="single" w:sz="4" w:space="0" w:color="000000"/>
              <w:bottom w:val="single" w:sz="4" w:space="0" w:color="000000"/>
            </w:tcBorders>
            <w:vAlign w:val="center"/>
          </w:tcPr>
          <w:p w14:paraId="3782A925" w14:textId="77777777" w:rsidR="005558DD" w:rsidRPr="00D4309F" w:rsidRDefault="005558DD" w:rsidP="00864362">
            <w:pPr>
              <w:pStyle w:val="Table-Bullet"/>
            </w:pPr>
            <w:r w:rsidRPr="00D4309F">
              <w:t>Direct</w:t>
            </w:r>
            <w:r w:rsidRPr="00D4309F">
              <w:rPr>
                <w:spacing w:val="-13"/>
              </w:rPr>
              <w:t xml:space="preserve"> </w:t>
            </w:r>
            <w:r w:rsidRPr="00D4309F">
              <w:t>mortality/injury</w:t>
            </w:r>
            <w:r w:rsidRPr="00D4309F">
              <w:rPr>
                <w:spacing w:val="-12"/>
              </w:rPr>
              <w:t xml:space="preserve"> </w:t>
            </w:r>
            <w:r w:rsidRPr="00D4309F">
              <w:t>due</w:t>
            </w:r>
            <w:r w:rsidRPr="00D4309F">
              <w:rPr>
                <w:spacing w:val="-13"/>
              </w:rPr>
              <w:t xml:space="preserve"> </w:t>
            </w:r>
            <w:r w:rsidRPr="00D4309F">
              <w:t xml:space="preserve">to </w:t>
            </w:r>
            <w:r w:rsidRPr="00D4309F">
              <w:rPr>
                <w:spacing w:val="-2"/>
              </w:rPr>
              <w:t>dredging</w:t>
            </w:r>
          </w:p>
          <w:p w14:paraId="2A9FB78D" w14:textId="77777777" w:rsidR="005558DD" w:rsidRPr="00D4309F" w:rsidRDefault="005558DD" w:rsidP="00864362">
            <w:pPr>
              <w:pStyle w:val="Table-Bullet"/>
            </w:pPr>
            <w:r w:rsidRPr="00D4309F">
              <w:t>Mortality/injury/ behavioural 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physical</w:t>
            </w:r>
            <w:r w:rsidRPr="00D4309F">
              <w:rPr>
                <w:spacing w:val="-9"/>
              </w:rPr>
              <w:t xml:space="preserve"> </w:t>
            </w:r>
            <w:r w:rsidRPr="00D4309F">
              <w:t>effects of turbidity</w:t>
            </w:r>
          </w:p>
          <w:p w14:paraId="434A3AEA" w14:textId="4C515E29" w:rsidR="005558DD" w:rsidRPr="00D4309F" w:rsidRDefault="005558DD" w:rsidP="00864362">
            <w:pPr>
              <w:pStyle w:val="Table-Bullet"/>
            </w:pPr>
            <w:r w:rsidRPr="00D4309F">
              <w:t>Mortality/injury/ behavioural 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smothering</w:t>
            </w:r>
            <w:r w:rsidRPr="00D4309F">
              <w:rPr>
                <w:spacing w:val="-10"/>
              </w:rPr>
              <w:t xml:space="preserve"> </w:t>
            </w:r>
            <w:r w:rsidRPr="00D4309F">
              <w:t>at disposal site</w:t>
            </w:r>
          </w:p>
        </w:tc>
        <w:tc>
          <w:tcPr>
            <w:tcW w:w="426" w:type="pct"/>
            <w:tcBorders>
              <w:top w:val="single" w:sz="4" w:space="0" w:color="000000"/>
              <w:bottom w:val="single" w:sz="4" w:space="0" w:color="000000"/>
            </w:tcBorders>
            <w:shd w:val="clear" w:color="auto" w:fill="92D050"/>
            <w:vAlign w:val="center"/>
          </w:tcPr>
          <w:p w14:paraId="11C2E94B" w14:textId="68961EBD" w:rsidR="005558DD" w:rsidRPr="00D4309F" w:rsidRDefault="005558DD" w:rsidP="006A0C95">
            <w:pPr>
              <w:pStyle w:val="TableParagraph"/>
              <w:spacing w:before="1"/>
              <w:ind w:left="106"/>
              <w:rPr>
                <w:b/>
                <w:color w:val="211E1F"/>
                <w:spacing w:val="-5"/>
                <w:sz w:val="18"/>
              </w:rPr>
            </w:pPr>
            <w:r w:rsidRPr="00D4309F">
              <w:rPr>
                <w:b/>
                <w:color w:val="211E1F"/>
                <w:spacing w:val="-5"/>
                <w:sz w:val="18"/>
              </w:rPr>
              <w:t>Low</w:t>
            </w:r>
          </w:p>
        </w:tc>
        <w:tc>
          <w:tcPr>
            <w:tcW w:w="1037" w:type="pct"/>
            <w:tcBorders>
              <w:top w:val="single" w:sz="4" w:space="0" w:color="000000"/>
              <w:bottom w:val="single" w:sz="4" w:space="0" w:color="000000"/>
            </w:tcBorders>
            <w:vAlign w:val="center"/>
          </w:tcPr>
          <w:p w14:paraId="62261C50" w14:textId="77777777" w:rsidR="005558DD" w:rsidRPr="00D4309F" w:rsidRDefault="005558DD" w:rsidP="00864362">
            <w:pPr>
              <w:pStyle w:val="Table-Bullet"/>
            </w:pPr>
            <w:r w:rsidRPr="00D4309F">
              <w:t>These species are broadly distributed</w:t>
            </w:r>
            <w:r w:rsidRPr="00D4309F">
              <w:rPr>
                <w:spacing w:val="-13"/>
              </w:rPr>
              <w:t xml:space="preserve"> </w:t>
            </w:r>
            <w:r w:rsidRPr="00D4309F">
              <w:t>along</w:t>
            </w:r>
            <w:r w:rsidRPr="00D4309F">
              <w:rPr>
                <w:spacing w:val="-12"/>
              </w:rPr>
              <w:t xml:space="preserve"> </w:t>
            </w:r>
            <w:r w:rsidRPr="00D4309F">
              <w:t>the</w:t>
            </w:r>
            <w:r w:rsidRPr="00D4309F">
              <w:rPr>
                <w:spacing w:val="-13"/>
              </w:rPr>
              <w:t xml:space="preserve"> </w:t>
            </w:r>
            <w:r w:rsidRPr="00D4309F">
              <w:t>coastline</w:t>
            </w:r>
          </w:p>
          <w:p w14:paraId="6B19193A" w14:textId="77777777" w:rsidR="005558DD" w:rsidRPr="00D4309F" w:rsidRDefault="005558DD" w:rsidP="00864362">
            <w:pPr>
              <w:pStyle w:val="Table-Bullet"/>
            </w:pPr>
            <w:r w:rsidRPr="00D4309F">
              <w:t>The dredging area has a relatively small footprint and in an area of bare sand which is not</w:t>
            </w:r>
            <w:r w:rsidRPr="00D4309F">
              <w:rPr>
                <w:spacing w:val="-7"/>
              </w:rPr>
              <w:t xml:space="preserve"> </w:t>
            </w:r>
            <w:r w:rsidRPr="00D4309F">
              <w:t>the</w:t>
            </w:r>
            <w:r w:rsidRPr="00D4309F">
              <w:rPr>
                <w:spacing w:val="-8"/>
              </w:rPr>
              <w:t xml:space="preserve"> </w:t>
            </w:r>
            <w:r w:rsidRPr="00D4309F">
              <w:t>habitat</w:t>
            </w:r>
            <w:r w:rsidRPr="00D4309F">
              <w:rPr>
                <w:spacing w:val="-7"/>
              </w:rPr>
              <w:t xml:space="preserve"> </w:t>
            </w:r>
            <w:r w:rsidRPr="00D4309F">
              <w:t>for</w:t>
            </w:r>
            <w:r w:rsidRPr="00D4309F">
              <w:rPr>
                <w:spacing w:val="-7"/>
              </w:rPr>
              <w:t xml:space="preserve"> </w:t>
            </w:r>
            <w:r w:rsidRPr="00D4309F">
              <w:t>most</w:t>
            </w:r>
            <w:r w:rsidRPr="00D4309F">
              <w:rPr>
                <w:spacing w:val="-7"/>
              </w:rPr>
              <w:t xml:space="preserve"> </w:t>
            </w:r>
            <w:r w:rsidRPr="00D4309F">
              <w:t>of</w:t>
            </w:r>
            <w:r w:rsidRPr="00D4309F">
              <w:rPr>
                <w:spacing w:val="-7"/>
              </w:rPr>
              <w:t xml:space="preserve"> </w:t>
            </w:r>
            <w:r w:rsidRPr="00D4309F">
              <w:t>these species, including the endangered White’s Seahorse and sand yabby</w:t>
            </w:r>
          </w:p>
          <w:p w14:paraId="3CE9C30D" w14:textId="77777777" w:rsidR="005558DD" w:rsidRPr="00D4309F" w:rsidRDefault="005558DD" w:rsidP="00864362">
            <w:pPr>
              <w:pStyle w:val="Table-Bullet"/>
            </w:pPr>
            <w:r w:rsidRPr="00D4309F">
              <w:t>It</w:t>
            </w:r>
            <w:r w:rsidRPr="00D4309F">
              <w:rPr>
                <w:spacing w:val="-8"/>
              </w:rPr>
              <w:t xml:space="preserve"> </w:t>
            </w:r>
            <w:r w:rsidRPr="00D4309F">
              <w:t>is</w:t>
            </w:r>
            <w:r w:rsidRPr="00D4309F">
              <w:rPr>
                <w:spacing w:val="-8"/>
              </w:rPr>
              <w:t xml:space="preserve"> </w:t>
            </w:r>
            <w:r w:rsidRPr="00D4309F">
              <w:t>assumed</w:t>
            </w:r>
            <w:r w:rsidRPr="00D4309F">
              <w:rPr>
                <w:spacing w:val="-9"/>
              </w:rPr>
              <w:t xml:space="preserve"> </w:t>
            </w:r>
            <w:r w:rsidRPr="00D4309F">
              <w:t>that</w:t>
            </w:r>
            <w:r w:rsidRPr="00D4309F">
              <w:rPr>
                <w:spacing w:val="-8"/>
              </w:rPr>
              <w:t xml:space="preserve"> </w:t>
            </w:r>
            <w:r w:rsidRPr="00D4309F">
              <w:t>the</w:t>
            </w:r>
            <w:r w:rsidRPr="00D4309F">
              <w:rPr>
                <w:spacing w:val="-9"/>
              </w:rPr>
              <w:t xml:space="preserve"> </w:t>
            </w:r>
            <w:r w:rsidRPr="00D4309F">
              <w:t>disposal area is an already disturbed area from previous disposal</w:t>
            </w:r>
          </w:p>
          <w:p w14:paraId="6EECA2A9" w14:textId="77777777" w:rsidR="005558DD" w:rsidRPr="00D4309F" w:rsidRDefault="005558DD" w:rsidP="00864362">
            <w:pPr>
              <w:pStyle w:val="Table-Bullet"/>
            </w:pPr>
            <w:r w:rsidRPr="00D4309F">
              <w:rPr>
                <w:spacing w:val="-2"/>
              </w:rPr>
              <w:t>works</w:t>
            </w:r>
          </w:p>
          <w:p w14:paraId="7D7CA441" w14:textId="07291E8A" w:rsidR="005558DD" w:rsidRPr="00D4309F" w:rsidRDefault="005558DD" w:rsidP="00864362">
            <w:pPr>
              <w:pStyle w:val="Table-Bullet"/>
            </w:pPr>
            <w:r w:rsidRPr="00D4309F">
              <w:t>Dredging</w:t>
            </w:r>
            <w:r w:rsidRPr="00D4309F">
              <w:rPr>
                <w:spacing w:val="-9"/>
              </w:rPr>
              <w:t xml:space="preserve"> </w:t>
            </w:r>
            <w:r w:rsidRPr="00D4309F">
              <w:t>and</w:t>
            </w:r>
            <w:r w:rsidRPr="00D4309F">
              <w:rPr>
                <w:spacing w:val="-9"/>
              </w:rPr>
              <w:t xml:space="preserve"> </w:t>
            </w:r>
            <w:r w:rsidRPr="00D4309F">
              <w:t>disposal</w:t>
            </w:r>
            <w:r w:rsidRPr="00D4309F">
              <w:rPr>
                <w:spacing w:val="-8"/>
              </w:rPr>
              <w:t xml:space="preserve"> </w:t>
            </w:r>
            <w:r w:rsidRPr="00D4309F">
              <w:t>is</w:t>
            </w:r>
            <w:r w:rsidRPr="00D4309F">
              <w:rPr>
                <w:spacing w:val="-8"/>
              </w:rPr>
              <w:t xml:space="preserve"> </w:t>
            </w:r>
            <w:r w:rsidRPr="00D4309F">
              <w:t>in</w:t>
            </w:r>
            <w:r w:rsidRPr="00D4309F">
              <w:rPr>
                <w:spacing w:val="-9"/>
              </w:rPr>
              <w:t xml:space="preserve"> </w:t>
            </w:r>
            <w:r w:rsidRPr="00D4309F">
              <w:t>a dynamic, open ocean environment, any plume will likely dissipate quickly</w:t>
            </w:r>
          </w:p>
        </w:tc>
        <w:tc>
          <w:tcPr>
            <w:tcW w:w="759" w:type="pct"/>
            <w:tcBorders>
              <w:top w:val="single" w:sz="4" w:space="0" w:color="000000"/>
              <w:bottom w:val="single" w:sz="4" w:space="0" w:color="000000"/>
            </w:tcBorders>
            <w:vAlign w:val="center"/>
          </w:tcPr>
          <w:p w14:paraId="31B652CA" w14:textId="4F855266" w:rsidR="005558DD" w:rsidRPr="00D4309F" w:rsidRDefault="005558DD" w:rsidP="00864362">
            <w:pPr>
              <w:pStyle w:val="Table-Bullet"/>
              <w:rPr>
                <w:color w:val="211E1F"/>
                <w:spacing w:val="-4"/>
              </w:rPr>
            </w:pPr>
            <w:r w:rsidRPr="00D4309F">
              <w:rPr>
                <w:color w:val="211E1F"/>
                <w:spacing w:val="-4"/>
              </w:rPr>
              <w:t>None</w:t>
            </w:r>
          </w:p>
        </w:tc>
        <w:tc>
          <w:tcPr>
            <w:tcW w:w="784" w:type="pct"/>
            <w:tcBorders>
              <w:top w:val="single" w:sz="4" w:space="0" w:color="000000"/>
              <w:bottom w:val="single" w:sz="4" w:space="0" w:color="000000"/>
            </w:tcBorders>
            <w:vAlign w:val="center"/>
          </w:tcPr>
          <w:p w14:paraId="3A92EEEB" w14:textId="48B6EAB8" w:rsidR="005558DD" w:rsidRPr="00D4309F" w:rsidRDefault="005558DD" w:rsidP="00864362">
            <w:pPr>
              <w:pStyle w:val="Table-Bullet"/>
            </w:pPr>
            <w:r w:rsidRPr="00D4309F">
              <w:rPr>
                <w:color w:val="211E1F"/>
                <w:spacing w:val="-4"/>
              </w:rPr>
              <w:t>None</w:t>
            </w:r>
          </w:p>
        </w:tc>
      </w:tr>
      <w:tr w:rsidR="00843BEA" w:rsidRPr="00D4309F" w14:paraId="1CD57FE5" w14:textId="77777777" w:rsidTr="00891147">
        <w:trPr>
          <w:cantSplit/>
          <w:trHeight w:val="20"/>
        </w:trPr>
        <w:tc>
          <w:tcPr>
            <w:tcW w:w="491" w:type="pct"/>
            <w:tcBorders>
              <w:top w:val="single" w:sz="4" w:space="0" w:color="000000"/>
              <w:bottom w:val="single" w:sz="4" w:space="0" w:color="000000"/>
            </w:tcBorders>
            <w:vAlign w:val="center"/>
          </w:tcPr>
          <w:p w14:paraId="370E2B88" w14:textId="4FCC1905" w:rsidR="00843BEA" w:rsidRDefault="00843BEA" w:rsidP="002A7828">
            <w:pPr>
              <w:pStyle w:val="Table-Text"/>
            </w:pPr>
            <w:r w:rsidRPr="00D4309F">
              <w:t>Marine</w:t>
            </w:r>
            <w:r w:rsidRPr="00D4309F">
              <w:rPr>
                <w:spacing w:val="-4"/>
              </w:rPr>
              <w:t xml:space="preserve"> </w:t>
            </w:r>
            <w:r w:rsidRPr="00D4309F">
              <w:t>fauna</w:t>
            </w:r>
          </w:p>
        </w:tc>
        <w:tc>
          <w:tcPr>
            <w:tcW w:w="517" w:type="pct"/>
            <w:tcBorders>
              <w:top w:val="single" w:sz="4" w:space="0" w:color="000000"/>
              <w:bottom w:val="single" w:sz="4" w:space="0" w:color="000000"/>
            </w:tcBorders>
            <w:vAlign w:val="center"/>
          </w:tcPr>
          <w:p w14:paraId="35A8CAF6" w14:textId="63E8BFF6" w:rsidR="00843BEA" w:rsidRPr="00D4309F" w:rsidRDefault="00843BEA" w:rsidP="002A7828">
            <w:pPr>
              <w:pStyle w:val="Table-Text"/>
            </w:pPr>
            <w:r w:rsidRPr="00D4309F">
              <w:rPr>
                <w:spacing w:val="-4"/>
              </w:rPr>
              <w:t xml:space="preserve">Site </w:t>
            </w:r>
            <w:r w:rsidRPr="00D4309F">
              <w:t>attached species</w:t>
            </w:r>
          </w:p>
        </w:tc>
        <w:tc>
          <w:tcPr>
            <w:tcW w:w="986" w:type="pct"/>
            <w:tcBorders>
              <w:top w:val="single" w:sz="4" w:space="0" w:color="000000"/>
              <w:bottom w:val="single" w:sz="4" w:space="0" w:color="000000"/>
            </w:tcBorders>
            <w:vAlign w:val="center"/>
          </w:tcPr>
          <w:p w14:paraId="277F0EF1" w14:textId="731936D3" w:rsidR="00843BEA" w:rsidRPr="00D4309F" w:rsidRDefault="00843BEA" w:rsidP="00864362">
            <w:pPr>
              <w:pStyle w:val="Table-Bullet"/>
            </w:pPr>
            <w:r w:rsidRPr="00D4309F">
              <w:t>Mortality/injury/ behavioural response</w:t>
            </w:r>
            <w:r w:rsidRPr="00D4309F">
              <w:rPr>
                <w:spacing w:val="-9"/>
              </w:rPr>
              <w:t xml:space="preserve"> </w:t>
            </w:r>
            <w:r w:rsidRPr="00D4309F">
              <w:t>due</w:t>
            </w:r>
            <w:r w:rsidRPr="00D4309F">
              <w:rPr>
                <w:spacing w:val="-9"/>
              </w:rPr>
              <w:t xml:space="preserve"> </w:t>
            </w:r>
            <w:r w:rsidRPr="00D4309F">
              <w:t>to</w:t>
            </w:r>
            <w:r w:rsidRPr="00D4309F">
              <w:rPr>
                <w:spacing w:val="-9"/>
              </w:rPr>
              <w:t xml:space="preserve"> </w:t>
            </w:r>
            <w:r w:rsidRPr="00D4309F">
              <w:t>toxic</w:t>
            </w:r>
            <w:r w:rsidRPr="00D4309F">
              <w:rPr>
                <w:spacing w:val="-8"/>
              </w:rPr>
              <w:t xml:space="preserve"> </w:t>
            </w:r>
            <w:r w:rsidRPr="00D4309F">
              <w:t>effects</w:t>
            </w:r>
            <w:r w:rsidRPr="00D4309F">
              <w:rPr>
                <w:spacing w:val="-8"/>
              </w:rPr>
              <w:t xml:space="preserve"> </w:t>
            </w:r>
            <w:r w:rsidRPr="00D4309F">
              <w:t xml:space="preserve">due to release of </w:t>
            </w:r>
            <w:r w:rsidRPr="00D4309F">
              <w:rPr>
                <w:spacing w:val="-2"/>
              </w:rPr>
              <w:t>contaminants/hypoxia</w:t>
            </w:r>
          </w:p>
        </w:tc>
        <w:tc>
          <w:tcPr>
            <w:tcW w:w="426" w:type="pct"/>
            <w:tcBorders>
              <w:top w:val="single" w:sz="4" w:space="0" w:color="000000"/>
              <w:bottom w:val="single" w:sz="4" w:space="0" w:color="000000"/>
            </w:tcBorders>
            <w:shd w:val="clear" w:color="auto" w:fill="92D050"/>
            <w:vAlign w:val="center"/>
          </w:tcPr>
          <w:p w14:paraId="506D09A5" w14:textId="29594386" w:rsidR="00843BEA" w:rsidRPr="00D4309F" w:rsidRDefault="00843BEA" w:rsidP="006A0C95">
            <w:pPr>
              <w:pStyle w:val="TableParagraph"/>
              <w:spacing w:before="1"/>
              <w:ind w:left="106"/>
              <w:rPr>
                <w:b/>
                <w:color w:val="211E1F"/>
                <w:spacing w:val="-5"/>
                <w:sz w:val="18"/>
              </w:rPr>
            </w:pPr>
            <w:r w:rsidRPr="00D4309F">
              <w:rPr>
                <w:b/>
                <w:color w:val="211E1F"/>
                <w:spacing w:val="-5"/>
                <w:sz w:val="18"/>
              </w:rPr>
              <w:t>Low</w:t>
            </w:r>
          </w:p>
        </w:tc>
        <w:tc>
          <w:tcPr>
            <w:tcW w:w="1037" w:type="pct"/>
            <w:tcBorders>
              <w:top w:val="single" w:sz="4" w:space="0" w:color="000000"/>
              <w:bottom w:val="single" w:sz="4" w:space="0" w:color="000000"/>
            </w:tcBorders>
            <w:vAlign w:val="center"/>
          </w:tcPr>
          <w:p w14:paraId="0217CD78" w14:textId="608043B8" w:rsidR="00843BEA" w:rsidRPr="00D4309F" w:rsidRDefault="00843BEA" w:rsidP="00864362">
            <w:pPr>
              <w:pStyle w:val="Table-Bullet"/>
            </w:pPr>
            <w:r w:rsidRPr="00D4309F">
              <w:t>Dredge sediments likely comprise clean marine sand free</w:t>
            </w:r>
            <w:r w:rsidRPr="00D4309F">
              <w:rPr>
                <w:spacing w:val="-11"/>
              </w:rPr>
              <w:t xml:space="preserve"> </w:t>
            </w:r>
            <w:r w:rsidRPr="00D4309F">
              <w:t>of</w:t>
            </w:r>
            <w:r w:rsidRPr="00D4309F">
              <w:rPr>
                <w:spacing w:val="-10"/>
              </w:rPr>
              <w:t xml:space="preserve"> </w:t>
            </w:r>
            <w:r w:rsidRPr="00D4309F">
              <w:t>contaminants</w:t>
            </w:r>
            <w:r w:rsidRPr="00D4309F">
              <w:rPr>
                <w:spacing w:val="-10"/>
              </w:rPr>
              <w:t xml:space="preserve"> </w:t>
            </w:r>
            <w:r w:rsidRPr="00D4309F">
              <w:t>with</w:t>
            </w:r>
            <w:r w:rsidRPr="00D4309F">
              <w:rPr>
                <w:spacing w:val="-11"/>
              </w:rPr>
              <w:t xml:space="preserve"> </w:t>
            </w:r>
            <w:r w:rsidRPr="00D4309F">
              <w:t>low organic matter content</w:t>
            </w:r>
          </w:p>
        </w:tc>
        <w:tc>
          <w:tcPr>
            <w:tcW w:w="759" w:type="pct"/>
            <w:tcBorders>
              <w:top w:val="single" w:sz="4" w:space="0" w:color="000000"/>
              <w:bottom w:val="single" w:sz="4" w:space="0" w:color="000000"/>
            </w:tcBorders>
            <w:vAlign w:val="center"/>
          </w:tcPr>
          <w:p w14:paraId="663235DB" w14:textId="33B2D418" w:rsidR="00843BEA" w:rsidRPr="00D4309F" w:rsidRDefault="00843BEA" w:rsidP="00864362">
            <w:pPr>
              <w:pStyle w:val="Table-Bullet"/>
              <w:rPr>
                <w:color w:val="211E1F"/>
                <w:spacing w:val="-4"/>
              </w:rPr>
            </w:pPr>
            <w:r w:rsidRPr="00D4309F">
              <w:t>Assumption that suitable</w:t>
            </w:r>
            <w:r w:rsidRPr="00D4309F">
              <w:rPr>
                <w:spacing w:val="-15"/>
              </w:rPr>
              <w:t xml:space="preserve"> </w:t>
            </w:r>
            <w:r w:rsidRPr="00D4309F">
              <w:t>data</w:t>
            </w:r>
            <w:r w:rsidRPr="00D4309F">
              <w:rPr>
                <w:spacing w:val="-12"/>
              </w:rPr>
              <w:t xml:space="preserve"> </w:t>
            </w:r>
            <w:r w:rsidRPr="00D4309F">
              <w:t>exists to inform this risk</w:t>
            </w:r>
          </w:p>
        </w:tc>
        <w:tc>
          <w:tcPr>
            <w:tcW w:w="784" w:type="pct"/>
            <w:tcBorders>
              <w:top w:val="single" w:sz="4" w:space="0" w:color="000000"/>
              <w:bottom w:val="single" w:sz="4" w:space="0" w:color="000000"/>
            </w:tcBorders>
            <w:vAlign w:val="center"/>
          </w:tcPr>
          <w:p w14:paraId="2F48F46B" w14:textId="2875FA55" w:rsidR="00843BEA" w:rsidRPr="00D4309F" w:rsidRDefault="00843BEA" w:rsidP="00864362">
            <w:pPr>
              <w:pStyle w:val="Table-Bullet"/>
            </w:pPr>
            <w:r w:rsidRPr="00D4309F">
              <w:rPr>
                <w:color w:val="211E1F"/>
                <w:spacing w:val="-4"/>
              </w:rPr>
              <w:t>None</w:t>
            </w:r>
          </w:p>
        </w:tc>
      </w:tr>
      <w:tr w:rsidR="00843BEA" w:rsidRPr="00D4309F" w14:paraId="3C6C3681" w14:textId="77777777" w:rsidTr="00891147">
        <w:trPr>
          <w:cantSplit/>
          <w:trHeight w:val="20"/>
        </w:trPr>
        <w:tc>
          <w:tcPr>
            <w:tcW w:w="491" w:type="pct"/>
            <w:tcBorders>
              <w:top w:val="single" w:sz="4" w:space="0" w:color="000000"/>
              <w:bottom w:val="single" w:sz="4" w:space="0" w:color="000000"/>
            </w:tcBorders>
            <w:vAlign w:val="center"/>
          </w:tcPr>
          <w:p w14:paraId="76DF34A6" w14:textId="451CC039" w:rsidR="00843BEA" w:rsidRDefault="00843BEA" w:rsidP="002A7828">
            <w:pPr>
              <w:pStyle w:val="Table-Text"/>
            </w:pPr>
            <w:r w:rsidRPr="00D4309F">
              <w:t>Marine</w:t>
            </w:r>
            <w:r w:rsidRPr="00D4309F">
              <w:rPr>
                <w:spacing w:val="-4"/>
              </w:rPr>
              <w:t xml:space="preserve"> </w:t>
            </w:r>
            <w:r w:rsidRPr="00D4309F">
              <w:t>fauna</w:t>
            </w:r>
          </w:p>
        </w:tc>
        <w:tc>
          <w:tcPr>
            <w:tcW w:w="517" w:type="pct"/>
            <w:tcBorders>
              <w:top w:val="single" w:sz="4" w:space="0" w:color="000000"/>
              <w:bottom w:val="single" w:sz="4" w:space="0" w:color="000000"/>
            </w:tcBorders>
            <w:vAlign w:val="center"/>
          </w:tcPr>
          <w:p w14:paraId="6BF3BF42" w14:textId="7B07309B" w:rsidR="00843BEA" w:rsidRPr="00D4309F" w:rsidRDefault="00843BEA" w:rsidP="002A7828">
            <w:pPr>
              <w:pStyle w:val="Table-Text"/>
            </w:pPr>
            <w:r w:rsidRPr="00D4309F">
              <w:t>Mobile species</w:t>
            </w:r>
          </w:p>
        </w:tc>
        <w:tc>
          <w:tcPr>
            <w:tcW w:w="986" w:type="pct"/>
            <w:tcBorders>
              <w:top w:val="single" w:sz="4" w:space="0" w:color="000000"/>
              <w:bottom w:val="single" w:sz="4" w:space="0" w:color="000000"/>
            </w:tcBorders>
            <w:vAlign w:val="center"/>
          </w:tcPr>
          <w:p w14:paraId="5DE0ABB5" w14:textId="77777777" w:rsidR="00843BEA" w:rsidRPr="00D4309F" w:rsidRDefault="00843BEA" w:rsidP="00864362">
            <w:pPr>
              <w:pStyle w:val="Table-Bullet"/>
            </w:pPr>
            <w:r w:rsidRPr="00D4309F">
              <w:t>Vessel</w:t>
            </w:r>
            <w:r w:rsidRPr="00D4309F">
              <w:rPr>
                <w:spacing w:val="-5"/>
              </w:rPr>
              <w:t xml:space="preserve"> </w:t>
            </w:r>
            <w:r w:rsidRPr="00D4309F">
              <w:rPr>
                <w:spacing w:val="-2"/>
              </w:rPr>
              <w:t>collision</w:t>
            </w:r>
          </w:p>
          <w:p w14:paraId="0F283345" w14:textId="77777777" w:rsidR="00843BEA" w:rsidRPr="00D4309F" w:rsidRDefault="00843BEA" w:rsidP="00864362">
            <w:pPr>
              <w:pStyle w:val="Table-Bullet"/>
            </w:pPr>
            <w:r w:rsidRPr="00D4309F">
              <w:t>Direct</w:t>
            </w:r>
            <w:r w:rsidRPr="00D4309F">
              <w:rPr>
                <w:spacing w:val="-13"/>
              </w:rPr>
              <w:t xml:space="preserve"> </w:t>
            </w:r>
            <w:r w:rsidRPr="00D4309F">
              <w:t>mortality/injury</w:t>
            </w:r>
            <w:r w:rsidRPr="00D4309F">
              <w:rPr>
                <w:spacing w:val="-12"/>
              </w:rPr>
              <w:t xml:space="preserve"> </w:t>
            </w:r>
            <w:r w:rsidRPr="00D4309F">
              <w:t>due</w:t>
            </w:r>
            <w:r w:rsidRPr="00D4309F">
              <w:rPr>
                <w:spacing w:val="-13"/>
              </w:rPr>
              <w:t xml:space="preserve"> </w:t>
            </w:r>
            <w:r w:rsidRPr="00D4309F">
              <w:t xml:space="preserve">to </w:t>
            </w:r>
            <w:r w:rsidRPr="00D4309F">
              <w:rPr>
                <w:spacing w:val="-2"/>
              </w:rPr>
              <w:t>dredging</w:t>
            </w:r>
          </w:p>
          <w:p w14:paraId="1443A2DB" w14:textId="77777777" w:rsidR="00843BEA" w:rsidRPr="00D4309F" w:rsidRDefault="00843BEA" w:rsidP="00864362">
            <w:pPr>
              <w:pStyle w:val="Table-Bullet"/>
            </w:pPr>
            <w:r w:rsidRPr="00D4309F">
              <w:t>Mortality/injury/ behavioural 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physical</w:t>
            </w:r>
            <w:r w:rsidRPr="00D4309F">
              <w:rPr>
                <w:spacing w:val="-9"/>
              </w:rPr>
              <w:t xml:space="preserve"> </w:t>
            </w:r>
            <w:r w:rsidRPr="00D4309F">
              <w:t>effects of turbidity</w:t>
            </w:r>
          </w:p>
          <w:p w14:paraId="00FD4A08" w14:textId="01CB554C" w:rsidR="00843BEA" w:rsidRPr="00D4309F" w:rsidRDefault="00843BEA" w:rsidP="00864362">
            <w:pPr>
              <w:pStyle w:val="Table-Bullet"/>
            </w:pPr>
            <w:r w:rsidRPr="00D4309F">
              <w:t>Mortality/injury/ behavioural 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smothering</w:t>
            </w:r>
            <w:r w:rsidRPr="00D4309F">
              <w:rPr>
                <w:spacing w:val="-10"/>
              </w:rPr>
              <w:t xml:space="preserve"> </w:t>
            </w:r>
            <w:r w:rsidRPr="00D4309F">
              <w:t>at disposal site</w:t>
            </w:r>
          </w:p>
        </w:tc>
        <w:tc>
          <w:tcPr>
            <w:tcW w:w="426" w:type="pct"/>
            <w:tcBorders>
              <w:top w:val="single" w:sz="4" w:space="0" w:color="000000"/>
              <w:bottom w:val="single" w:sz="4" w:space="0" w:color="000000"/>
            </w:tcBorders>
            <w:shd w:val="clear" w:color="auto" w:fill="92D050"/>
            <w:vAlign w:val="center"/>
          </w:tcPr>
          <w:p w14:paraId="100DBC8C" w14:textId="7093FEC0" w:rsidR="00843BEA" w:rsidRPr="00D4309F" w:rsidRDefault="00843BEA" w:rsidP="006A0C95">
            <w:pPr>
              <w:pStyle w:val="TableParagraph"/>
              <w:spacing w:before="1"/>
              <w:ind w:left="106"/>
              <w:rPr>
                <w:b/>
                <w:color w:val="211E1F"/>
                <w:spacing w:val="-5"/>
                <w:sz w:val="18"/>
              </w:rPr>
            </w:pPr>
            <w:r w:rsidRPr="00D4309F">
              <w:rPr>
                <w:b/>
                <w:color w:val="211E1F"/>
                <w:spacing w:val="-5"/>
                <w:sz w:val="18"/>
              </w:rPr>
              <w:t>Low</w:t>
            </w:r>
          </w:p>
        </w:tc>
        <w:tc>
          <w:tcPr>
            <w:tcW w:w="1037" w:type="pct"/>
            <w:tcBorders>
              <w:top w:val="single" w:sz="4" w:space="0" w:color="000000"/>
              <w:bottom w:val="single" w:sz="4" w:space="0" w:color="000000"/>
            </w:tcBorders>
            <w:vAlign w:val="center"/>
          </w:tcPr>
          <w:p w14:paraId="7A06FDB4" w14:textId="78A10A27" w:rsidR="00843BEA" w:rsidRPr="00D4309F" w:rsidRDefault="00843BEA" w:rsidP="00864362">
            <w:pPr>
              <w:pStyle w:val="Table-Bullet"/>
            </w:pPr>
            <w:r w:rsidRPr="00D4309F">
              <w:t>Mobile species including the critically endangered Grey Nurse Shark and conservation dependant scalloped hammerhead</w:t>
            </w:r>
            <w:r w:rsidRPr="00D4309F">
              <w:rPr>
                <w:spacing w:val="-13"/>
              </w:rPr>
              <w:t xml:space="preserve"> </w:t>
            </w:r>
            <w:r w:rsidRPr="00D4309F">
              <w:t>will</w:t>
            </w:r>
            <w:r w:rsidRPr="00D4309F">
              <w:rPr>
                <w:spacing w:val="-12"/>
              </w:rPr>
              <w:t xml:space="preserve"> </w:t>
            </w:r>
            <w:r w:rsidRPr="00D4309F">
              <w:t>actively</w:t>
            </w:r>
            <w:r w:rsidRPr="00D4309F">
              <w:rPr>
                <w:spacing w:val="-13"/>
              </w:rPr>
              <w:t xml:space="preserve"> </w:t>
            </w:r>
            <w:r w:rsidRPr="00D4309F">
              <w:t>avoid areas of activity</w:t>
            </w:r>
          </w:p>
        </w:tc>
        <w:tc>
          <w:tcPr>
            <w:tcW w:w="759" w:type="pct"/>
            <w:tcBorders>
              <w:top w:val="single" w:sz="4" w:space="0" w:color="000000"/>
              <w:bottom w:val="single" w:sz="4" w:space="0" w:color="000000"/>
            </w:tcBorders>
            <w:vAlign w:val="center"/>
          </w:tcPr>
          <w:p w14:paraId="793FEC98" w14:textId="550F7B6B" w:rsidR="00843BEA" w:rsidRPr="00D4309F" w:rsidRDefault="00843BEA" w:rsidP="00864362">
            <w:pPr>
              <w:pStyle w:val="Table-Bullet"/>
              <w:rPr>
                <w:color w:val="211E1F"/>
                <w:spacing w:val="-4"/>
              </w:rPr>
            </w:pPr>
            <w:r w:rsidRPr="00D4309F">
              <w:rPr>
                <w:color w:val="211E1F"/>
                <w:spacing w:val="-4"/>
              </w:rPr>
              <w:t>None</w:t>
            </w:r>
          </w:p>
        </w:tc>
        <w:tc>
          <w:tcPr>
            <w:tcW w:w="784" w:type="pct"/>
            <w:tcBorders>
              <w:top w:val="single" w:sz="4" w:space="0" w:color="000000"/>
              <w:bottom w:val="single" w:sz="4" w:space="0" w:color="000000"/>
            </w:tcBorders>
            <w:vAlign w:val="center"/>
          </w:tcPr>
          <w:p w14:paraId="246471BD" w14:textId="4DFE9E73" w:rsidR="00843BEA" w:rsidRPr="00D4309F" w:rsidRDefault="00843BEA" w:rsidP="00864362">
            <w:pPr>
              <w:pStyle w:val="Table-Bullet"/>
            </w:pPr>
            <w:r w:rsidRPr="00D4309F">
              <w:rPr>
                <w:color w:val="211E1F"/>
                <w:spacing w:val="-4"/>
              </w:rPr>
              <w:t>None</w:t>
            </w:r>
          </w:p>
        </w:tc>
      </w:tr>
      <w:tr w:rsidR="00843BEA" w:rsidRPr="00D4309F" w14:paraId="6061E4A8" w14:textId="77777777" w:rsidTr="00891147">
        <w:trPr>
          <w:cantSplit/>
          <w:trHeight w:val="20"/>
        </w:trPr>
        <w:tc>
          <w:tcPr>
            <w:tcW w:w="491" w:type="pct"/>
            <w:tcBorders>
              <w:top w:val="single" w:sz="4" w:space="0" w:color="000000"/>
              <w:bottom w:val="single" w:sz="4" w:space="0" w:color="000000"/>
            </w:tcBorders>
            <w:vAlign w:val="center"/>
          </w:tcPr>
          <w:p w14:paraId="70E75636" w14:textId="1C526DE4" w:rsidR="00843BEA" w:rsidRDefault="00843BEA" w:rsidP="002A7828">
            <w:pPr>
              <w:pStyle w:val="Table-Text"/>
            </w:pPr>
            <w:r w:rsidRPr="00D4309F">
              <w:t>Marine</w:t>
            </w:r>
            <w:r w:rsidRPr="00D4309F">
              <w:rPr>
                <w:spacing w:val="-4"/>
              </w:rPr>
              <w:t xml:space="preserve"> </w:t>
            </w:r>
            <w:r w:rsidRPr="00D4309F">
              <w:t>fauna</w:t>
            </w:r>
          </w:p>
        </w:tc>
        <w:tc>
          <w:tcPr>
            <w:tcW w:w="517" w:type="pct"/>
            <w:tcBorders>
              <w:top w:val="single" w:sz="4" w:space="0" w:color="000000"/>
              <w:bottom w:val="single" w:sz="4" w:space="0" w:color="000000"/>
            </w:tcBorders>
            <w:vAlign w:val="center"/>
          </w:tcPr>
          <w:p w14:paraId="75E34C87" w14:textId="214E7CA0" w:rsidR="00843BEA" w:rsidRPr="00D4309F" w:rsidRDefault="00843BEA" w:rsidP="002A7828">
            <w:pPr>
              <w:pStyle w:val="Table-Text"/>
            </w:pPr>
            <w:r w:rsidRPr="00D4309F">
              <w:t>Mobile species</w:t>
            </w:r>
          </w:p>
        </w:tc>
        <w:tc>
          <w:tcPr>
            <w:tcW w:w="986" w:type="pct"/>
            <w:tcBorders>
              <w:top w:val="single" w:sz="4" w:space="0" w:color="000000"/>
              <w:bottom w:val="single" w:sz="4" w:space="0" w:color="000000"/>
            </w:tcBorders>
            <w:vAlign w:val="center"/>
          </w:tcPr>
          <w:p w14:paraId="2BFBBB13" w14:textId="5B0FD3D3" w:rsidR="00843BEA" w:rsidRPr="00D4309F" w:rsidRDefault="00843BEA" w:rsidP="00864362">
            <w:pPr>
              <w:pStyle w:val="Table-Bullet"/>
            </w:pPr>
            <w:r w:rsidRPr="00D4309F">
              <w:rPr>
                <w:spacing w:val="-2"/>
              </w:rPr>
              <w:t xml:space="preserve">Mortality/injury/behavioural </w:t>
            </w:r>
            <w:r w:rsidRPr="00D4309F">
              <w:t>response</w:t>
            </w:r>
            <w:r w:rsidRPr="00D4309F">
              <w:rPr>
                <w:spacing w:val="-9"/>
              </w:rPr>
              <w:t xml:space="preserve"> </w:t>
            </w:r>
            <w:r w:rsidRPr="00D4309F">
              <w:t>due</w:t>
            </w:r>
            <w:r w:rsidRPr="00D4309F">
              <w:rPr>
                <w:spacing w:val="-9"/>
              </w:rPr>
              <w:t xml:space="preserve"> </w:t>
            </w:r>
            <w:r w:rsidRPr="00D4309F">
              <w:t>to</w:t>
            </w:r>
            <w:r w:rsidRPr="00D4309F">
              <w:rPr>
                <w:spacing w:val="-9"/>
              </w:rPr>
              <w:t xml:space="preserve"> </w:t>
            </w:r>
            <w:r w:rsidRPr="00D4309F">
              <w:t>toxic</w:t>
            </w:r>
            <w:r w:rsidRPr="00D4309F">
              <w:rPr>
                <w:spacing w:val="-8"/>
              </w:rPr>
              <w:t xml:space="preserve"> </w:t>
            </w:r>
            <w:r w:rsidRPr="00D4309F">
              <w:t>effects</w:t>
            </w:r>
            <w:r w:rsidRPr="00D4309F">
              <w:rPr>
                <w:spacing w:val="-8"/>
              </w:rPr>
              <w:t xml:space="preserve"> </w:t>
            </w:r>
            <w:r w:rsidRPr="00D4309F">
              <w:t xml:space="preserve">due to release of </w:t>
            </w:r>
            <w:r w:rsidRPr="00D4309F">
              <w:rPr>
                <w:spacing w:val="-2"/>
              </w:rPr>
              <w:t>contaminants/hypoxia</w:t>
            </w:r>
          </w:p>
        </w:tc>
        <w:tc>
          <w:tcPr>
            <w:tcW w:w="426" w:type="pct"/>
            <w:tcBorders>
              <w:top w:val="single" w:sz="4" w:space="0" w:color="000000"/>
              <w:bottom w:val="single" w:sz="4" w:space="0" w:color="000000"/>
            </w:tcBorders>
            <w:shd w:val="clear" w:color="auto" w:fill="92D050"/>
            <w:vAlign w:val="center"/>
          </w:tcPr>
          <w:p w14:paraId="73448E42" w14:textId="093E2D5B" w:rsidR="00843BEA" w:rsidRPr="00D4309F" w:rsidRDefault="00843BEA" w:rsidP="006A0C95">
            <w:pPr>
              <w:pStyle w:val="TableParagraph"/>
              <w:spacing w:before="1"/>
              <w:ind w:left="106"/>
              <w:rPr>
                <w:b/>
                <w:color w:val="211E1F"/>
                <w:spacing w:val="-5"/>
                <w:sz w:val="18"/>
              </w:rPr>
            </w:pPr>
            <w:r w:rsidRPr="00D4309F">
              <w:rPr>
                <w:b/>
                <w:color w:val="211E1F"/>
                <w:spacing w:val="-5"/>
                <w:sz w:val="18"/>
              </w:rPr>
              <w:t>Low</w:t>
            </w:r>
          </w:p>
        </w:tc>
        <w:tc>
          <w:tcPr>
            <w:tcW w:w="1037" w:type="pct"/>
            <w:tcBorders>
              <w:top w:val="single" w:sz="4" w:space="0" w:color="000000"/>
              <w:bottom w:val="single" w:sz="4" w:space="0" w:color="000000"/>
            </w:tcBorders>
            <w:vAlign w:val="center"/>
          </w:tcPr>
          <w:p w14:paraId="28126952" w14:textId="315EBE85" w:rsidR="00843BEA" w:rsidRPr="00D4309F" w:rsidRDefault="00843BEA" w:rsidP="00864362">
            <w:pPr>
              <w:pStyle w:val="Table-Bullet"/>
            </w:pPr>
            <w:r w:rsidRPr="00D4309F">
              <w:t>Dredge sediments likely comprise clean marine sand free</w:t>
            </w:r>
            <w:r w:rsidRPr="00D4309F">
              <w:rPr>
                <w:spacing w:val="-11"/>
              </w:rPr>
              <w:t xml:space="preserve"> </w:t>
            </w:r>
            <w:r w:rsidRPr="00D4309F">
              <w:t>of</w:t>
            </w:r>
            <w:r w:rsidRPr="00D4309F">
              <w:rPr>
                <w:spacing w:val="-10"/>
              </w:rPr>
              <w:t xml:space="preserve"> </w:t>
            </w:r>
            <w:r w:rsidRPr="00D4309F">
              <w:t>contaminants</w:t>
            </w:r>
            <w:r w:rsidRPr="00D4309F">
              <w:rPr>
                <w:spacing w:val="-10"/>
              </w:rPr>
              <w:t xml:space="preserve"> </w:t>
            </w:r>
            <w:r w:rsidRPr="00D4309F">
              <w:t>with</w:t>
            </w:r>
            <w:r w:rsidRPr="00D4309F">
              <w:rPr>
                <w:spacing w:val="-11"/>
              </w:rPr>
              <w:t xml:space="preserve"> </w:t>
            </w:r>
            <w:r w:rsidRPr="00D4309F">
              <w:t>low organic matter content</w:t>
            </w:r>
          </w:p>
        </w:tc>
        <w:tc>
          <w:tcPr>
            <w:tcW w:w="759" w:type="pct"/>
            <w:tcBorders>
              <w:top w:val="single" w:sz="4" w:space="0" w:color="000000"/>
              <w:bottom w:val="single" w:sz="4" w:space="0" w:color="000000"/>
            </w:tcBorders>
            <w:vAlign w:val="center"/>
          </w:tcPr>
          <w:p w14:paraId="655F45A1" w14:textId="1ABFD294" w:rsidR="00843BEA" w:rsidRPr="00D4309F" w:rsidRDefault="00843BEA" w:rsidP="00864362">
            <w:pPr>
              <w:pStyle w:val="Table-Bullet"/>
              <w:rPr>
                <w:color w:val="211E1F"/>
                <w:spacing w:val="-4"/>
              </w:rPr>
            </w:pPr>
            <w:r w:rsidRPr="00D4309F">
              <w:t>Assumption that suitable</w:t>
            </w:r>
            <w:r w:rsidRPr="00D4309F">
              <w:rPr>
                <w:spacing w:val="-15"/>
              </w:rPr>
              <w:t xml:space="preserve"> </w:t>
            </w:r>
            <w:r w:rsidRPr="00D4309F">
              <w:t>data</w:t>
            </w:r>
            <w:r w:rsidRPr="00D4309F">
              <w:rPr>
                <w:spacing w:val="-12"/>
              </w:rPr>
              <w:t xml:space="preserve"> </w:t>
            </w:r>
            <w:r w:rsidRPr="00D4309F">
              <w:t>exists to inform this risk</w:t>
            </w:r>
          </w:p>
        </w:tc>
        <w:tc>
          <w:tcPr>
            <w:tcW w:w="784" w:type="pct"/>
            <w:tcBorders>
              <w:top w:val="single" w:sz="4" w:space="0" w:color="000000"/>
              <w:bottom w:val="single" w:sz="4" w:space="0" w:color="000000"/>
            </w:tcBorders>
            <w:vAlign w:val="center"/>
          </w:tcPr>
          <w:p w14:paraId="12FF1F56" w14:textId="4BFE3E93" w:rsidR="00843BEA" w:rsidRPr="00D4309F" w:rsidRDefault="00843BEA" w:rsidP="00864362">
            <w:pPr>
              <w:pStyle w:val="Table-Bullet"/>
            </w:pPr>
            <w:r w:rsidRPr="00D4309F">
              <w:rPr>
                <w:color w:val="211E1F"/>
                <w:spacing w:val="-4"/>
              </w:rPr>
              <w:t>None</w:t>
            </w:r>
          </w:p>
        </w:tc>
      </w:tr>
      <w:tr w:rsidR="00856497" w:rsidRPr="00D4309F" w14:paraId="2B10135B" w14:textId="77777777" w:rsidTr="00891147">
        <w:trPr>
          <w:cantSplit/>
          <w:trHeight w:val="20"/>
        </w:trPr>
        <w:tc>
          <w:tcPr>
            <w:tcW w:w="491" w:type="pct"/>
            <w:tcBorders>
              <w:top w:val="single" w:sz="4" w:space="0" w:color="000000"/>
              <w:bottom w:val="single" w:sz="4" w:space="0" w:color="000000"/>
            </w:tcBorders>
            <w:vAlign w:val="center"/>
          </w:tcPr>
          <w:p w14:paraId="793DDF7E" w14:textId="2E66F692" w:rsidR="00856497" w:rsidRDefault="00856497" w:rsidP="002A7828">
            <w:pPr>
              <w:pStyle w:val="Table-Text"/>
            </w:pPr>
            <w:r>
              <w:lastRenderedPageBreak/>
              <w:t>Benthic habitats</w:t>
            </w:r>
          </w:p>
        </w:tc>
        <w:tc>
          <w:tcPr>
            <w:tcW w:w="517" w:type="pct"/>
            <w:tcBorders>
              <w:top w:val="single" w:sz="4" w:space="0" w:color="000000"/>
              <w:bottom w:val="single" w:sz="4" w:space="0" w:color="000000"/>
            </w:tcBorders>
            <w:vAlign w:val="center"/>
          </w:tcPr>
          <w:p w14:paraId="55B3EAD2" w14:textId="59195830" w:rsidR="00856497" w:rsidRPr="00D4309F" w:rsidRDefault="00856497" w:rsidP="002A7828">
            <w:pPr>
              <w:pStyle w:val="Table-Text"/>
            </w:pPr>
            <w:r>
              <w:t>Rocky reef habitat, seagrass and coral</w:t>
            </w:r>
          </w:p>
        </w:tc>
        <w:tc>
          <w:tcPr>
            <w:tcW w:w="986" w:type="pct"/>
            <w:tcBorders>
              <w:top w:val="single" w:sz="4" w:space="0" w:color="000000"/>
              <w:bottom w:val="single" w:sz="4" w:space="0" w:color="000000"/>
            </w:tcBorders>
            <w:vAlign w:val="center"/>
          </w:tcPr>
          <w:p w14:paraId="2F4BF50B" w14:textId="77777777" w:rsidR="00856497" w:rsidRPr="00D4309F" w:rsidRDefault="00856497" w:rsidP="00864362">
            <w:pPr>
              <w:pStyle w:val="Table-Bullet"/>
            </w:pPr>
            <w:r w:rsidRPr="00D4309F">
              <w:t>Direct</w:t>
            </w:r>
            <w:r w:rsidRPr="00D4309F">
              <w:rPr>
                <w:spacing w:val="-2"/>
              </w:rPr>
              <w:t xml:space="preserve"> </w:t>
            </w:r>
            <w:r w:rsidRPr="00D4309F">
              <w:t>removal</w:t>
            </w:r>
            <w:r w:rsidRPr="00D4309F">
              <w:rPr>
                <w:spacing w:val="-1"/>
              </w:rPr>
              <w:t xml:space="preserve"> </w:t>
            </w:r>
            <w:r w:rsidRPr="00D4309F">
              <w:t>due</w:t>
            </w:r>
            <w:r w:rsidRPr="00D4309F">
              <w:rPr>
                <w:spacing w:val="-3"/>
              </w:rPr>
              <w:t xml:space="preserve"> </w:t>
            </w:r>
            <w:r w:rsidRPr="00D4309F">
              <w:t>to</w:t>
            </w:r>
            <w:r w:rsidRPr="00D4309F">
              <w:rPr>
                <w:spacing w:val="-2"/>
              </w:rPr>
              <w:t xml:space="preserve"> dredging</w:t>
            </w:r>
          </w:p>
          <w:p w14:paraId="10046FFB" w14:textId="77777777" w:rsidR="00856497" w:rsidRPr="00D4309F" w:rsidRDefault="00856497" w:rsidP="00864362">
            <w:pPr>
              <w:pStyle w:val="Table-Bullet"/>
            </w:pPr>
            <w:r w:rsidRPr="00D4309F">
              <w:t>Generation</w:t>
            </w:r>
            <w:r w:rsidRPr="00D4309F">
              <w:rPr>
                <w:spacing w:val="-4"/>
              </w:rPr>
              <w:t xml:space="preserve"> </w:t>
            </w:r>
            <w:r w:rsidRPr="00D4309F">
              <w:t>of</w:t>
            </w:r>
            <w:r w:rsidRPr="00D4309F">
              <w:rPr>
                <w:spacing w:val="-3"/>
              </w:rPr>
              <w:t xml:space="preserve"> </w:t>
            </w:r>
            <w:r w:rsidRPr="00D4309F">
              <w:rPr>
                <w:spacing w:val="-2"/>
              </w:rPr>
              <w:t>turbidity</w:t>
            </w:r>
          </w:p>
          <w:p w14:paraId="7244527A" w14:textId="1548A084" w:rsidR="00856497" w:rsidRPr="00D4309F" w:rsidRDefault="00856497" w:rsidP="00864362">
            <w:pPr>
              <w:pStyle w:val="Table-Bullet"/>
            </w:pPr>
            <w:r w:rsidRPr="00D4309F">
              <w:rPr>
                <w:spacing w:val="-2"/>
              </w:rPr>
              <w:t>Smothering</w:t>
            </w:r>
          </w:p>
        </w:tc>
        <w:tc>
          <w:tcPr>
            <w:tcW w:w="426" w:type="pct"/>
            <w:tcBorders>
              <w:top w:val="single" w:sz="4" w:space="0" w:color="000000"/>
              <w:bottom w:val="single" w:sz="4" w:space="0" w:color="000000"/>
            </w:tcBorders>
            <w:shd w:val="clear" w:color="auto" w:fill="FFFF00"/>
            <w:vAlign w:val="center"/>
          </w:tcPr>
          <w:p w14:paraId="421D0A81" w14:textId="1E42A180" w:rsidR="00856497" w:rsidRPr="00D4309F" w:rsidRDefault="00856497" w:rsidP="006A0C95">
            <w:pPr>
              <w:pStyle w:val="TableParagraph"/>
              <w:spacing w:before="1"/>
              <w:ind w:left="106"/>
              <w:rPr>
                <w:b/>
                <w:color w:val="211E1F"/>
                <w:spacing w:val="-5"/>
                <w:sz w:val="18"/>
              </w:rPr>
            </w:pPr>
            <w:r w:rsidRPr="00D4309F">
              <w:rPr>
                <w:b/>
                <w:color w:val="211E1F"/>
                <w:spacing w:val="-2"/>
                <w:sz w:val="18"/>
              </w:rPr>
              <w:t>Moderate</w:t>
            </w:r>
          </w:p>
        </w:tc>
        <w:tc>
          <w:tcPr>
            <w:tcW w:w="1037" w:type="pct"/>
            <w:tcBorders>
              <w:top w:val="single" w:sz="4" w:space="0" w:color="000000"/>
              <w:bottom w:val="single" w:sz="4" w:space="0" w:color="000000"/>
            </w:tcBorders>
            <w:vAlign w:val="center"/>
          </w:tcPr>
          <w:p w14:paraId="7D3A7227" w14:textId="77777777" w:rsidR="00856497" w:rsidRPr="00D4309F" w:rsidRDefault="00856497" w:rsidP="00864362">
            <w:pPr>
              <w:pStyle w:val="Table-Bullet"/>
            </w:pPr>
            <w:r w:rsidRPr="00D4309F">
              <w:t>The</w:t>
            </w:r>
            <w:r w:rsidRPr="00D4309F">
              <w:rPr>
                <w:spacing w:val="-13"/>
              </w:rPr>
              <w:t xml:space="preserve"> </w:t>
            </w:r>
            <w:r w:rsidRPr="00D4309F">
              <w:t>dredge</w:t>
            </w:r>
            <w:r w:rsidRPr="00D4309F">
              <w:rPr>
                <w:spacing w:val="-12"/>
              </w:rPr>
              <w:t xml:space="preserve"> </w:t>
            </w:r>
            <w:r w:rsidRPr="00D4309F">
              <w:t>area</w:t>
            </w:r>
            <w:r w:rsidRPr="00D4309F">
              <w:rPr>
                <w:spacing w:val="-13"/>
              </w:rPr>
              <w:t xml:space="preserve"> </w:t>
            </w:r>
            <w:r w:rsidRPr="00D4309F">
              <w:t>comprises bare sand</w:t>
            </w:r>
          </w:p>
          <w:p w14:paraId="463A4D62" w14:textId="77777777" w:rsidR="00856497" w:rsidRPr="00D4309F" w:rsidRDefault="00856497" w:rsidP="00864362">
            <w:pPr>
              <w:pStyle w:val="Table-Bullet"/>
            </w:pPr>
            <w:r w:rsidRPr="00D4309F">
              <w:t>Further</w:t>
            </w:r>
            <w:r w:rsidRPr="00D4309F">
              <w:rPr>
                <w:spacing w:val="-13"/>
              </w:rPr>
              <w:t xml:space="preserve"> </w:t>
            </w:r>
            <w:r w:rsidRPr="00D4309F">
              <w:t>assessment</w:t>
            </w:r>
            <w:r w:rsidRPr="00D4309F">
              <w:rPr>
                <w:spacing w:val="-12"/>
              </w:rPr>
              <w:t xml:space="preserve"> </w:t>
            </w:r>
            <w:r w:rsidRPr="00D4309F">
              <w:t>is</w:t>
            </w:r>
            <w:r w:rsidRPr="00D4309F">
              <w:rPr>
                <w:spacing w:val="-13"/>
              </w:rPr>
              <w:t xml:space="preserve"> </w:t>
            </w:r>
            <w:r w:rsidRPr="00D4309F">
              <w:t>required to determine if the potential turbidity generated will impact sensitive marine habitats</w:t>
            </w:r>
          </w:p>
          <w:p w14:paraId="6F28DE30" w14:textId="45B79553" w:rsidR="00856497" w:rsidRPr="00D4309F" w:rsidRDefault="00856497" w:rsidP="00864362">
            <w:pPr>
              <w:pStyle w:val="Table-Bullet"/>
            </w:pPr>
            <w:r w:rsidRPr="00D4309F">
              <w:t>Dredging</w:t>
            </w:r>
            <w:r w:rsidRPr="00D4309F">
              <w:rPr>
                <w:spacing w:val="-9"/>
              </w:rPr>
              <w:t xml:space="preserve"> </w:t>
            </w:r>
            <w:r w:rsidRPr="00D4309F">
              <w:t>and</w:t>
            </w:r>
            <w:r w:rsidRPr="00D4309F">
              <w:rPr>
                <w:spacing w:val="-9"/>
              </w:rPr>
              <w:t xml:space="preserve"> </w:t>
            </w:r>
            <w:r w:rsidRPr="00D4309F">
              <w:t>disposal</w:t>
            </w:r>
            <w:r w:rsidRPr="00D4309F">
              <w:rPr>
                <w:spacing w:val="-8"/>
              </w:rPr>
              <w:t xml:space="preserve"> </w:t>
            </w:r>
            <w:r w:rsidRPr="00D4309F">
              <w:t>is</w:t>
            </w:r>
            <w:r w:rsidRPr="00D4309F">
              <w:rPr>
                <w:spacing w:val="-8"/>
              </w:rPr>
              <w:t xml:space="preserve"> </w:t>
            </w:r>
            <w:r w:rsidRPr="00D4309F">
              <w:t>in</w:t>
            </w:r>
            <w:r w:rsidRPr="00D4309F">
              <w:rPr>
                <w:spacing w:val="-9"/>
              </w:rPr>
              <w:t xml:space="preserve"> </w:t>
            </w:r>
            <w:r w:rsidRPr="00D4309F">
              <w:t>a dynamic, open ocean environment, any plume will likely dissipate quickly</w:t>
            </w:r>
          </w:p>
        </w:tc>
        <w:tc>
          <w:tcPr>
            <w:tcW w:w="759" w:type="pct"/>
            <w:tcBorders>
              <w:top w:val="single" w:sz="4" w:space="0" w:color="000000"/>
              <w:bottom w:val="single" w:sz="4" w:space="0" w:color="000000"/>
            </w:tcBorders>
            <w:vAlign w:val="center"/>
          </w:tcPr>
          <w:p w14:paraId="2EE85A22" w14:textId="77777777" w:rsidR="00856497" w:rsidRPr="00D4309F" w:rsidRDefault="00856497" w:rsidP="00864362">
            <w:pPr>
              <w:pStyle w:val="Table-Bullet"/>
            </w:pPr>
            <w:r w:rsidRPr="00D4309F">
              <w:t>Benthic habitat assessment</w:t>
            </w:r>
            <w:r w:rsidRPr="00D4309F">
              <w:rPr>
                <w:spacing w:val="-15"/>
              </w:rPr>
              <w:t xml:space="preserve"> </w:t>
            </w:r>
            <w:r w:rsidRPr="00D4309F">
              <w:t>in</w:t>
            </w:r>
            <w:r w:rsidRPr="00D4309F">
              <w:rPr>
                <w:spacing w:val="-12"/>
              </w:rPr>
              <w:t xml:space="preserve"> </w:t>
            </w:r>
            <w:r w:rsidRPr="00D4309F">
              <w:t xml:space="preserve">and </w:t>
            </w:r>
            <w:r w:rsidRPr="00D4309F">
              <w:rPr>
                <w:spacing w:val="-2"/>
              </w:rPr>
              <w:t xml:space="preserve">surrounding </w:t>
            </w:r>
            <w:r w:rsidRPr="00D4309F">
              <w:t>dredging and disposal areas</w:t>
            </w:r>
          </w:p>
          <w:p w14:paraId="0DE0C3CA" w14:textId="22D6A10C" w:rsidR="00856497" w:rsidRPr="00D4309F" w:rsidRDefault="00856497" w:rsidP="00864362">
            <w:pPr>
              <w:pStyle w:val="Table-Bullet"/>
              <w:rPr>
                <w:color w:val="211E1F"/>
                <w:spacing w:val="-4"/>
              </w:rPr>
            </w:pPr>
            <w:r w:rsidRPr="00D4309F">
              <w:t>Turbidity</w:t>
            </w:r>
            <w:r w:rsidRPr="00D4309F">
              <w:rPr>
                <w:spacing w:val="-5"/>
              </w:rPr>
              <w:t xml:space="preserve"> </w:t>
            </w:r>
            <w:r w:rsidRPr="00D4309F">
              <w:rPr>
                <w:spacing w:val="-2"/>
              </w:rPr>
              <w:t>modelling</w:t>
            </w:r>
          </w:p>
        </w:tc>
        <w:tc>
          <w:tcPr>
            <w:tcW w:w="784" w:type="pct"/>
            <w:tcBorders>
              <w:top w:val="single" w:sz="4" w:space="0" w:color="000000"/>
              <w:bottom w:val="single" w:sz="4" w:space="0" w:color="000000"/>
            </w:tcBorders>
            <w:vAlign w:val="center"/>
          </w:tcPr>
          <w:p w14:paraId="1EED02E8" w14:textId="77777777" w:rsidR="00856497" w:rsidRPr="00D4309F" w:rsidRDefault="00856497" w:rsidP="00864362">
            <w:pPr>
              <w:pStyle w:val="Table-Bullet"/>
            </w:pPr>
            <w:r w:rsidRPr="00D4309F">
              <w:rPr>
                <w:spacing w:val="-2"/>
              </w:rPr>
              <w:t xml:space="preserve">Turbidity </w:t>
            </w:r>
            <w:r w:rsidRPr="00D4309F">
              <w:t>monitoring</w:t>
            </w:r>
            <w:r w:rsidRPr="00D4309F">
              <w:rPr>
                <w:spacing w:val="-13"/>
              </w:rPr>
              <w:t xml:space="preserve"> </w:t>
            </w:r>
            <w:r w:rsidRPr="00D4309F">
              <w:t xml:space="preserve">during </w:t>
            </w:r>
            <w:r w:rsidRPr="00D4309F">
              <w:rPr>
                <w:spacing w:val="-2"/>
              </w:rPr>
              <w:t>works</w:t>
            </w:r>
          </w:p>
          <w:p w14:paraId="02C3C2AD" w14:textId="059544F1" w:rsidR="00856497" w:rsidRPr="00D4309F" w:rsidRDefault="00856497" w:rsidP="00864362">
            <w:pPr>
              <w:pStyle w:val="Table-Bullet"/>
            </w:pPr>
            <w:r w:rsidRPr="00D4309F">
              <w:t>Benthic</w:t>
            </w:r>
            <w:r w:rsidRPr="00D4309F">
              <w:rPr>
                <w:spacing w:val="-13"/>
              </w:rPr>
              <w:t xml:space="preserve"> </w:t>
            </w:r>
            <w:r w:rsidRPr="00D4309F">
              <w:t xml:space="preserve">habitat </w:t>
            </w:r>
            <w:r w:rsidRPr="00D4309F">
              <w:rPr>
                <w:spacing w:val="-2"/>
              </w:rPr>
              <w:t>monitoring</w:t>
            </w:r>
          </w:p>
        </w:tc>
      </w:tr>
      <w:tr w:rsidR="00856497" w:rsidRPr="00D4309F" w14:paraId="5CE34DAE" w14:textId="77777777" w:rsidTr="00891147">
        <w:trPr>
          <w:cantSplit/>
          <w:trHeight w:val="20"/>
        </w:trPr>
        <w:tc>
          <w:tcPr>
            <w:tcW w:w="491" w:type="pct"/>
            <w:tcBorders>
              <w:top w:val="single" w:sz="4" w:space="0" w:color="000000"/>
              <w:bottom w:val="single" w:sz="4" w:space="0" w:color="000000"/>
            </w:tcBorders>
            <w:vAlign w:val="center"/>
          </w:tcPr>
          <w:p w14:paraId="0D5F4ED9" w14:textId="54F7B49F" w:rsidR="00856497" w:rsidRDefault="00856497" w:rsidP="002A7828">
            <w:pPr>
              <w:pStyle w:val="Table-Text"/>
            </w:pPr>
            <w:r>
              <w:t>Benthic habitats</w:t>
            </w:r>
          </w:p>
        </w:tc>
        <w:tc>
          <w:tcPr>
            <w:tcW w:w="517" w:type="pct"/>
            <w:tcBorders>
              <w:top w:val="single" w:sz="4" w:space="0" w:color="000000"/>
              <w:bottom w:val="single" w:sz="4" w:space="0" w:color="000000"/>
            </w:tcBorders>
            <w:vAlign w:val="center"/>
          </w:tcPr>
          <w:p w14:paraId="1C60A563" w14:textId="3DD9156C" w:rsidR="00856497" w:rsidRPr="00D4309F" w:rsidRDefault="00856497" w:rsidP="002A7828">
            <w:pPr>
              <w:pStyle w:val="Table-Text"/>
            </w:pPr>
            <w:r>
              <w:t>Rocky reef habitat, seagrass and coral</w:t>
            </w:r>
          </w:p>
        </w:tc>
        <w:tc>
          <w:tcPr>
            <w:tcW w:w="986" w:type="pct"/>
            <w:tcBorders>
              <w:top w:val="single" w:sz="4" w:space="0" w:color="000000"/>
              <w:bottom w:val="single" w:sz="4" w:space="0" w:color="000000"/>
            </w:tcBorders>
            <w:vAlign w:val="center"/>
          </w:tcPr>
          <w:p w14:paraId="42B5968A" w14:textId="4A82900A" w:rsidR="00856497" w:rsidRPr="00D4309F" w:rsidRDefault="00856497" w:rsidP="00864362">
            <w:pPr>
              <w:pStyle w:val="Table-Bullet"/>
            </w:pPr>
            <w:r w:rsidRPr="00D4309F">
              <w:t>Release</w:t>
            </w:r>
            <w:r w:rsidRPr="00D4309F">
              <w:rPr>
                <w:spacing w:val="-4"/>
              </w:rPr>
              <w:t xml:space="preserve"> </w:t>
            </w:r>
            <w:r w:rsidRPr="00D4309F">
              <w:t>of</w:t>
            </w:r>
            <w:r w:rsidRPr="00D4309F">
              <w:rPr>
                <w:spacing w:val="-2"/>
              </w:rPr>
              <w:t xml:space="preserve"> contaminants/hypoxia</w:t>
            </w:r>
          </w:p>
        </w:tc>
        <w:tc>
          <w:tcPr>
            <w:tcW w:w="426" w:type="pct"/>
            <w:tcBorders>
              <w:top w:val="single" w:sz="4" w:space="0" w:color="000000"/>
              <w:bottom w:val="single" w:sz="4" w:space="0" w:color="000000"/>
            </w:tcBorders>
            <w:shd w:val="clear" w:color="auto" w:fill="92D050"/>
            <w:vAlign w:val="center"/>
          </w:tcPr>
          <w:p w14:paraId="4B5D023A" w14:textId="0DDCBC35" w:rsidR="00856497" w:rsidRPr="00D4309F" w:rsidRDefault="00856497" w:rsidP="006A0C95">
            <w:pPr>
              <w:pStyle w:val="TableParagraph"/>
              <w:spacing w:before="1"/>
              <w:ind w:left="106"/>
              <w:rPr>
                <w:b/>
                <w:color w:val="211E1F"/>
                <w:spacing w:val="-5"/>
                <w:sz w:val="18"/>
              </w:rPr>
            </w:pPr>
            <w:r w:rsidRPr="00D4309F">
              <w:rPr>
                <w:b/>
                <w:color w:val="211E1F"/>
                <w:spacing w:val="-5"/>
                <w:sz w:val="18"/>
              </w:rPr>
              <w:t>Low</w:t>
            </w:r>
          </w:p>
        </w:tc>
        <w:tc>
          <w:tcPr>
            <w:tcW w:w="1037" w:type="pct"/>
            <w:tcBorders>
              <w:top w:val="single" w:sz="4" w:space="0" w:color="000000"/>
              <w:bottom w:val="single" w:sz="4" w:space="0" w:color="000000"/>
            </w:tcBorders>
            <w:vAlign w:val="center"/>
          </w:tcPr>
          <w:p w14:paraId="4A2B3998" w14:textId="682CF84C" w:rsidR="00856497" w:rsidRPr="00D4309F" w:rsidRDefault="00856497" w:rsidP="00864362">
            <w:pPr>
              <w:pStyle w:val="Table-Bullet"/>
            </w:pPr>
            <w:r w:rsidRPr="00D4309F">
              <w:t>Dredge sediments likely comprise clean marine sand free</w:t>
            </w:r>
            <w:r w:rsidRPr="00D4309F">
              <w:rPr>
                <w:spacing w:val="-11"/>
              </w:rPr>
              <w:t xml:space="preserve"> </w:t>
            </w:r>
            <w:r w:rsidRPr="00D4309F">
              <w:t>of</w:t>
            </w:r>
            <w:r w:rsidRPr="00D4309F">
              <w:rPr>
                <w:spacing w:val="-10"/>
              </w:rPr>
              <w:t xml:space="preserve"> </w:t>
            </w:r>
            <w:r w:rsidRPr="00D4309F">
              <w:t>contaminants</w:t>
            </w:r>
            <w:r w:rsidRPr="00D4309F">
              <w:rPr>
                <w:spacing w:val="-10"/>
              </w:rPr>
              <w:t xml:space="preserve"> </w:t>
            </w:r>
            <w:r w:rsidRPr="00D4309F">
              <w:t>with</w:t>
            </w:r>
            <w:r w:rsidRPr="00D4309F">
              <w:rPr>
                <w:spacing w:val="-11"/>
              </w:rPr>
              <w:t xml:space="preserve"> </w:t>
            </w:r>
            <w:r w:rsidRPr="00D4309F">
              <w:t>low organic matter content</w:t>
            </w:r>
          </w:p>
        </w:tc>
        <w:tc>
          <w:tcPr>
            <w:tcW w:w="759" w:type="pct"/>
            <w:tcBorders>
              <w:top w:val="single" w:sz="4" w:space="0" w:color="000000"/>
              <w:bottom w:val="single" w:sz="4" w:space="0" w:color="000000"/>
            </w:tcBorders>
            <w:vAlign w:val="center"/>
          </w:tcPr>
          <w:p w14:paraId="774D63D7" w14:textId="203E5A8C" w:rsidR="00856497" w:rsidRPr="00D4309F" w:rsidRDefault="00856497" w:rsidP="00864362">
            <w:pPr>
              <w:pStyle w:val="Table-Bullet"/>
              <w:rPr>
                <w:color w:val="211E1F"/>
                <w:spacing w:val="-4"/>
              </w:rPr>
            </w:pPr>
            <w:r w:rsidRPr="00D4309F">
              <w:t>Assumption that suitable</w:t>
            </w:r>
            <w:r w:rsidRPr="00D4309F">
              <w:rPr>
                <w:spacing w:val="-15"/>
              </w:rPr>
              <w:t xml:space="preserve"> </w:t>
            </w:r>
            <w:r w:rsidRPr="00D4309F">
              <w:t>data</w:t>
            </w:r>
            <w:r w:rsidRPr="00D4309F">
              <w:rPr>
                <w:spacing w:val="-12"/>
              </w:rPr>
              <w:t xml:space="preserve"> </w:t>
            </w:r>
            <w:r w:rsidRPr="00D4309F">
              <w:t>exists to inform this risk</w:t>
            </w:r>
          </w:p>
        </w:tc>
        <w:tc>
          <w:tcPr>
            <w:tcW w:w="784" w:type="pct"/>
            <w:tcBorders>
              <w:top w:val="single" w:sz="4" w:space="0" w:color="000000"/>
              <w:bottom w:val="single" w:sz="4" w:space="0" w:color="000000"/>
            </w:tcBorders>
            <w:vAlign w:val="center"/>
          </w:tcPr>
          <w:p w14:paraId="6EFC3753" w14:textId="132465A8" w:rsidR="00856497" w:rsidRPr="00D4309F" w:rsidRDefault="00856497" w:rsidP="00864362">
            <w:pPr>
              <w:pStyle w:val="Table-Bullet"/>
            </w:pPr>
            <w:r w:rsidRPr="00D4309F">
              <w:rPr>
                <w:color w:val="211E1F"/>
                <w:spacing w:val="-4"/>
              </w:rPr>
              <w:t>None</w:t>
            </w:r>
          </w:p>
        </w:tc>
      </w:tr>
      <w:tr w:rsidR="007E78D7" w:rsidRPr="00D4309F" w14:paraId="01EF6C60" w14:textId="77777777" w:rsidTr="00891147">
        <w:trPr>
          <w:cantSplit/>
          <w:trHeight w:val="20"/>
        </w:trPr>
        <w:tc>
          <w:tcPr>
            <w:tcW w:w="491" w:type="pct"/>
            <w:tcBorders>
              <w:top w:val="single" w:sz="4" w:space="0" w:color="000000"/>
              <w:bottom w:val="single" w:sz="4" w:space="0" w:color="000000"/>
            </w:tcBorders>
            <w:vAlign w:val="center"/>
          </w:tcPr>
          <w:p w14:paraId="3548FCE1" w14:textId="2EE7F194" w:rsidR="007E78D7" w:rsidRDefault="007E78D7" w:rsidP="002A7828">
            <w:pPr>
              <w:pStyle w:val="Table-Text"/>
            </w:pPr>
            <w:r w:rsidRPr="00D4309F">
              <w:t>Terrestrial</w:t>
            </w:r>
            <w:r w:rsidRPr="00D4309F">
              <w:rPr>
                <w:spacing w:val="-15"/>
              </w:rPr>
              <w:t xml:space="preserve"> </w:t>
            </w:r>
            <w:r w:rsidRPr="00D4309F">
              <w:t>fauna</w:t>
            </w:r>
            <w:r w:rsidRPr="00D4309F">
              <w:rPr>
                <w:spacing w:val="-12"/>
              </w:rPr>
              <w:t xml:space="preserve"> </w:t>
            </w:r>
            <w:r w:rsidRPr="00D4309F">
              <w:t>including shorebirds and raptors</w:t>
            </w:r>
          </w:p>
        </w:tc>
        <w:tc>
          <w:tcPr>
            <w:tcW w:w="517" w:type="pct"/>
            <w:tcBorders>
              <w:top w:val="single" w:sz="4" w:space="0" w:color="000000"/>
              <w:bottom w:val="single" w:sz="4" w:space="0" w:color="000000"/>
            </w:tcBorders>
            <w:vAlign w:val="center"/>
          </w:tcPr>
          <w:p w14:paraId="4C1A0E71" w14:textId="77777777" w:rsidR="007E78D7" w:rsidRPr="00D4309F" w:rsidRDefault="007E78D7" w:rsidP="002A7828">
            <w:pPr>
              <w:pStyle w:val="Table-Text"/>
            </w:pPr>
          </w:p>
        </w:tc>
        <w:tc>
          <w:tcPr>
            <w:tcW w:w="986" w:type="pct"/>
            <w:tcBorders>
              <w:top w:val="single" w:sz="4" w:space="0" w:color="000000"/>
              <w:bottom w:val="single" w:sz="4" w:space="0" w:color="000000"/>
            </w:tcBorders>
            <w:vAlign w:val="center"/>
          </w:tcPr>
          <w:p w14:paraId="380F6B44" w14:textId="77777777" w:rsidR="007E78D7" w:rsidRPr="00D4309F" w:rsidRDefault="007E78D7" w:rsidP="00864362">
            <w:pPr>
              <w:pStyle w:val="Table-Bullet"/>
            </w:pPr>
            <w:r w:rsidRPr="00D4309F">
              <w:t>Mortality/injury/</w:t>
            </w:r>
            <w:r w:rsidRPr="00D4309F">
              <w:rPr>
                <w:spacing w:val="-13"/>
              </w:rPr>
              <w:t xml:space="preserve"> </w:t>
            </w:r>
            <w:r w:rsidRPr="00D4309F">
              <w:t>behavioural response due to noise</w:t>
            </w:r>
          </w:p>
          <w:p w14:paraId="4292D623" w14:textId="77777777" w:rsidR="007E78D7" w:rsidRPr="00D4309F" w:rsidRDefault="007E78D7" w:rsidP="00864362">
            <w:pPr>
              <w:pStyle w:val="Table-Bullet"/>
            </w:pPr>
            <w:r w:rsidRPr="00D4309F">
              <w:t>Behavioural response and interruption</w:t>
            </w:r>
            <w:r w:rsidRPr="00D4309F">
              <w:rPr>
                <w:spacing w:val="-13"/>
              </w:rPr>
              <w:t xml:space="preserve"> </w:t>
            </w:r>
            <w:r w:rsidRPr="00D4309F">
              <w:t>of</w:t>
            </w:r>
            <w:r w:rsidRPr="00D4309F">
              <w:rPr>
                <w:spacing w:val="-12"/>
              </w:rPr>
              <w:t xml:space="preserve"> </w:t>
            </w:r>
            <w:r w:rsidRPr="00D4309F">
              <w:t>nesting</w:t>
            </w:r>
            <w:r w:rsidRPr="00D4309F">
              <w:rPr>
                <w:spacing w:val="-13"/>
              </w:rPr>
              <w:t xml:space="preserve"> </w:t>
            </w:r>
            <w:r w:rsidRPr="00D4309F">
              <w:t>behaviour due to light</w:t>
            </w:r>
          </w:p>
          <w:p w14:paraId="1EA8E290" w14:textId="162DCCAB" w:rsidR="007E78D7" w:rsidRPr="00D4309F" w:rsidRDefault="007E78D7" w:rsidP="00864362">
            <w:pPr>
              <w:pStyle w:val="Table-Bullet"/>
            </w:pPr>
            <w:r w:rsidRPr="00D4309F">
              <w:t>Mortality/injury/ behavioural response</w:t>
            </w:r>
            <w:r w:rsidRPr="00D4309F">
              <w:rPr>
                <w:spacing w:val="-13"/>
              </w:rPr>
              <w:t xml:space="preserve"> </w:t>
            </w:r>
            <w:r w:rsidRPr="00D4309F">
              <w:t>due</w:t>
            </w:r>
            <w:r w:rsidRPr="00D4309F">
              <w:rPr>
                <w:spacing w:val="-12"/>
              </w:rPr>
              <w:t xml:space="preserve"> </w:t>
            </w:r>
            <w:r w:rsidRPr="00D4309F">
              <w:t>physical</w:t>
            </w:r>
            <w:r w:rsidRPr="00D4309F">
              <w:rPr>
                <w:spacing w:val="-13"/>
              </w:rPr>
              <w:t xml:space="preserve"> </w:t>
            </w:r>
            <w:r w:rsidRPr="00D4309F">
              <w:t>presence</w:t>
            </w:r>
          </w:p>
        </w:tc>
        <w:tc>
          <w:tcPr>
            <w:tcW w:w="426" w:type="pct"/>
            <w:tcBorders>
              <w:top w:val="single" w:sz="4" w:space="0" w:color="000000"/>
              <w:bottom w:val="single" w:sz="4" w:space="0" w:color="000000"/>
            </w:tcBorders>
            <w:shd w:val="clear" w:color="auto" w:fill="FFFF00"/>
            <w:vAlign w:val="center"/>
          </w:tcPr>
          <w:p w14:paraId="50087C2A" w14:textId="76116853" w:rsidR="007E78D7" w:rsidRPr="00D4309F" w:rsidRDefault="007E78D7" w:rsidP="006A0C95">
            <w:pPr>
              <w:pStyle w:val="TableParagraph"/>
              <w:spacing w:before="1"/>
              <w:ind w:left="106"/>
              <w:rPr>
                <w:b/>
                <w:color w:val="211E1F"/>
                <w:spacing w:val="-5"/>
                <w:sz w:val="18"/>
              </w:rPr>
            </w:pPr>
            <w:r w:rsidRPr="00D4309F">
              <w:rPr>
                <w:b/>
                <w:color w:val="211E1F"/>
                <w:spacing w:val="-2"/>
                <w:sz w:val="18"/>
              </w:rPr>
              <w:t>Moderate</w:t>
            </w:r>
          </w:p>
        </w:tc>
        <w:tc>
          <w:tcPr>
            <w:tcW w:w="1037" w:type="pct"/>
            <w:tcBorders>
              <w:top w:val="single" w:sz="4" w:space="0" w:color="000000"/>
              <w:bottom w:val="single" w:sz="4" w:space="0" w:color="000000"/>
            </w:tcBorders>
            <w:vAlign w:val="center"/>
          </w:tcPr>
          <w:p w14:paraId="14DC3ECD" w14:textId="77777777" w:rsidR="007E78D7" w:rsidRPr="00D4309F" w:rsidRDefault="007E78D7" w:rsidP="00864362">
            <w:pPr>
              <w:pStyle w:val="Table-Bullet"/>
            </w:pPr>
            <w:r w:rsidRPr="00D4309F">
              <w:t>Several species listed as vulnerable</w:t>
            </w:r>
            <w:r w:rsidRPr="00D4309F">
              <w:rPr>
                <w:spacing w:val="-13"/>
              </w:rPr>
              <w:t xml:space="preserve"> </w:t>
            </w:r>
            <w:r w:rsidRPr="00D4309F">
              <w:t>or</w:t>
            </w:r>
            <w:r w:rsidRPr="00D4309F">
              <w:rPr>
                <w:spacing w:val="-12"/>
              </w:rPr>
              <w:t xml:space="preserve"> </w:t>
            </w:r>
            <w:r w:rsidRPr="00D4309F">
              <w:t>endangered</w:t>
            </w:r>
            <w:r w:rsidRPr="00D4309F">
              <w:rPr>
                <w:spacing w:val="-13"/>
              </w:rPr>
              <w:t xml:space="preserve"> </w:t>
            </w:r>
            <w:r w:rsidRPr="00D4309F">
              <w:t>may occur in the project area</w:t>
            </w:r>
          </w:p>
          <w:p w14:paraId="70902688" w14:textId="606201AF" w:rsidR="007E78D7" w:rsidRPr="00D4309F" w:rsidRDefault="007E78D7" w:rsidP="00864362">
            <w:pPr>
              <w:pStyle w:val="Table-Bullet"/>
            </w:pPr>
            <w:r w:rsidRPr="00D4309F">
              <w:t>Several species of shorebirds are</w:t>
            </w:r>
            <w:r w:rsidRPr="00D4309F">
              <w:rPr>
                <w:spacing w:val="-9"/>
              </w:rPr>
              <w:t xml:space="preserve"> </w:t>
            </w:r>
            <w:r w:rsidRPr="00D4309F">
              <w:t>listed</w:t>
            </w:r>
            <w:r w:rsidRPr="00D4309F">
              <w:rPr>
                <w:spacing w:val="-9"/>
              </w:rPr>
              <w:t xml:space="preserve"> </w:t>
            </w:r>
            <w:r w:rsidRPr="00D4309F">
              <w:t>as</w:t>
            </w:r>
            <w:r w:rsidRPr="00D4309F">
              <w:rPr>
                <w:spacing w:val="-8"/>
              </w:rPr>
              <w:t xml:space="preserve"> </w:t>
            </w:r>
            <w:r w:rsidRPr="00D4309F">
              <w:t>occurring</w:t>
            </w:r>
            <w:r w:rsidRPr="00D4309F">
              <w:rPr>
                <w:spacing w:val="-7"/>
              </w:rPr>
              <w:t xml:space="preserve"> </w:t>
            </w:r>
            <w:r w:rsidRPr="00D4309F">
              <w:t>at</w:t>
            </w:r>
            <w:r w:rsidRPr="00D4309F">
              <w:rPr>
                <w:spacing w:val="-8"/>
              </w:rPr>
              <w:t xml:space="preserve"> </w:t>
            </w:r>
            <w:r w:rsidRPr="00D4309F">
              <w:t>Point Cartwright and could be impacted; however, it is more likely they would occur at the lower Maroochy River</w:t>
            </w:r>
          </w:p>
        </w:tc>
        <w:tc>
          <w:tcPr>
            <w:tcW w:w="759" w:type="pct"/>
            <w:tcBorders>
              <w:top w:val="single" w:sz="4" w:space="0" w:color="000000"/>
              <w:bottom w:val="single" w:sz="4" w:space="0" w:color="000000"/>
            </w:tcBorders>
            <w:vAlign w:val="center"/>
          </w:tcPr>
          <w:p w14:paraId="2AE76DCB" w14:textId="77777777" w:rsidR="007E78D7" w:rsidRPr="00D4309F" w:rsidRDefault="007E78D7" w:rsidP="00864362">
            <w:pPr>
              <w:pStyle w:val="Table-Bullet"/>
            </w:pPr>
            <w:r w:rsidRPr="00D4309F">
              <w:t>Assessment of species</w:t>
            </w:r>
            <w:r w:rsidRPr="00D4309F">
              <w:rPr>
                <w:spacing w:val="-13"/>
              </w:rPr>
              <w:t xml:space="preserve"> </w:t>
            </w:r>
            <w:r w:rsidRPr="00D4309F">
              <w:t>occurrence at Point Cartwright</w:t>
            </w:r>
          </w:p>
          <w:p w14:paraId="0B6BC8B6" w14:textId="77777777" w:rsidR="007E78D7" w:rsidRPr="00D4309F" w:rsidRDefault="007E78D7" w:rsidP="00864362">
            <w:pPr>
              <w:pStyle w:val="Table-Bullet"/>
            </w:pPr>
            <w:r w:rsidRPr="00D4309F">
              <w:t>Noise</w:t>
            </w:r>
            <w:r w:rsidRPr="00D4309F">
              <w:rPr>
                <w:spacing w:val="-2"/>
              </w:rPr>
              <w:t xml:space="preserve"> assessment</w:t>
            </w:r>
          </w:p>
          <w:p w14:paraId="65230FFD" w14:textId="40FF97ED" w:rsidR="007E78D7" w:rsidRPr="00D4309F" w:rsidRDefault="007E78D7" w:rsidP="00864362">
            <w:pPr>
              <w:pStyle w:val="Table-Bullet"/>
              <w:rPr>
                <w:color w:val="211E1F"/>
                <w:spacing w:val="-4"/>
              </w:rPr>
            </w:pPr>
            <w:r w:rsidRPr="00D4309F">
              <w:t>Light</w:t>
            </w:r>
            <w:r w:rsidRPr="00D4309F">
              <w:rPr>
                <w:spacing w:val="-15"/>
              </w:rPr>
              <w:t xml:space="preserve"> </w:t>
            </w:r>
            <w:r w:rsidRPr="00D4309F">
              <w:t>assessment</w:t>
            </w:r>
            <w:r w:rsidRPr="00D4309F">
              <w:rPr>
                <w:spacing w:val="-12"/>
              </w:rPr>
              <w:t xml:space="preserve"> </w:t>
            </w:r>
            <w:r w:rsidRPr="00D4309F">
              <w:t xml:space="preserve">if night works are </w:t>
            </w:r>
            <w:r w:rsidRPr="00D4309F">
              <w:rPr>
                <w:spacing w:val="-2"/>
              </w:rPr>
              <w:t>proposed</w:t>
            </w:r>
          </w:p>
        </w:tc>
        <w:tc>
          <w:tcPr>
            <w:tcW w:w="784" w:type="pct"/>
            <w:tcBorders>
              <w:top w:val="single" w:sz="4" w:space="0" w:color="000000"/>
              <w:bottom w:val="single" w:sz="4" w:space="0" w:color="000000"/>
            </w:tcBorders>
            <w:vAlign w:val="center"/>
          </w:tcPr>
          <w:p w14:paraId="0D293BFF" w14:textId="28744693" w:rsidR="007E78D7" w:rsidRPr="00D4309F" w:rsidRDefault="007E78D7" w:rsidP="00864362">
            <w:pPr>
              <w:pStyle w:val="Table-Bullet"/>
            </w:pPr>
            <w:r w:rsidRPr="00D4309F">
              <w:t>Timing</w:t>
            </w:r>
            <w:r w:rsidRPr="00D4309F">
              <w:rPr>
                <w:spacing w:val="-15"/>
              </w:rPr>
              <w:t xml:space="preserve"> </w:t>
            </w:r>
            <w:r w:rsidRPr="00D4309F">
              <w:t>of</w:t>
            </w:r>
            <w:r w:rsidRPr="00D4309F">
              <w:rPr>
                <w:spacing w:val="-12"/>
              </w:rPr>
              <w:t xml:space="preserve"> </w:t>
            </w:r>
            <w:r w:rsidRPr="00D4309F">
              <w:t xml:space="preserve">works outside of peak </w:t>
            </w:r>
            <w:r w:rsidRPr="00D4309F">
              <w:rPr>
                <w:spacing w:val="-2"/>
              </w:rPr>
              <w:t xml:space="preserve">aggregation </w:t>
            </w:r>
            <w:r w:rsidRPr="00D4309F">
              <w:t xml:space="preserve">periods for </w:t>
            </w:r>
            <w:r w:rsidRPr="00D4309F">
              <w:rPr>
                <w:spacing w:val="-2"/>
              </w:rPr>
              <w:t>migratory shorebirds</w:t>
            </w:r>
          </w:p>
        </w:tc>
      </w:tr>
      <w:tr w:rsidR="007E78D7" w:rsidRPr="00D4309F" w14:paraId="10592419" w14:textId="77777777" w:rsidTr="00891147">
        <w:trPr>
          <w:cantSplit/>
          <w:trHeight w:val="20"/>
        </w:trPr>
        <w:tc>
          <w:tcPr>
            <w:tcW w:w="491" w:type="pct"/>
            <w:tcBorders>
              <w:top w:val="single" w:sz="4" w:space="0" w:color="000000"/>
              <w:bottom w:val="single" w:sz="4" w:space="0" w:color="000000"/>
            </w:tcBorders>
            <w:vAlign w:val="center"/>
          </w:tcPr>
          <w:p w14:paraId="6208862F" w14:textId="231C57A9" w:rsidR="007E78D7" w:rsidRDefault="007E78D7" w:rsidP="002A7828">
            <w:pPr>
              <w:pStyle w:val="Table-Text"/>
            </w:pPr>
            <w:r w:rsidRPr="00D4309F">
              <w:t>Terrestrial</w:t>
            </w:r>
            <w:r w:rsidRPr="00D4309F">
              <w:rPr>
                <w:spacing w:val="-4"/>
              </w:rPr>
              <w:t xml:space="preserve"> </w:t>
            </w:r>
            <w:r w:rsidRPr="00D4309F">
              <w:t>flora</w:t>
            </w:r>
          </w:p>
        </w:tc>
        <w:tc>
          <w:tcPr>
            <w:tcW w:w="517" w:type="pct"/>
            <w:tcBorders>
              <w:top w:val="single" w:sz="4" w:space="0" w:color="000000"/>
              <w:bottom w:val="single" w:sz="4" w:space="0" w:color="000000"/>
            </w:tcBorders>
            <w:vAlign w:val="center"/>
          </w:tcPr>
          <w:p w14:paraId="7C109CCD" w14:textId="77777777" w:rsidR="007E78D7" w:rsidRPr="00D4309F" w:rsidRDefault="007E78D7" w:rsidP="002A7828">
            <w:pPr>
              <w:pStyle w:val="Table-Text"/>
            </w:pPr>
          </w:p>
        </w:tc>
        <w:tc>
          <w:tcPr>
            <w:tcW w:w="986" w:type="pct"/>
            <w:tcBorders>
              <w:top w:val="single" w:sz="4" w:space="0" w:color="000000"/>
              <w:bottom w:val="single" w:sz="4" w:space="0" w:color="000000"/>
            </w:tcBorders>
            <w:vAlign w:val="center"/>
          </w:tcPr>
          <w:p w14:paraId="245C5B9C" w14:textId="5A3AC43C" w:rsidR="007E78D7" w:rsidRPr="00D4309F" w:rsidRDefault="007E78D7" w:rsidP="00864362">
            <w:pPr>
              <w:pStyle w:val="Table-Bullet"/>
            </w:pPr>
            <w:r w:rsidRPr="00D4309F">
              <w:rPr>
                <w:color w:val="211E1F"/>
              </w:rPr>
              <w:t>No</w:t>
            </w:r>
            <w:r w:rsidRPr="00D4309F">
              <w:rPr>
                <w:color w:val="211E1F"/>
                <w:spacing w:val="-10"/>
              </w:rPr>
              <w:t xml:space="preserve"> </w:t>
            </w:r>
            <w:r w:rsidRPr="00D4309F">
              <w:rPr>
                <w:color w:val="211E1F"/>
              </w:rPr>
              <w:t>impact</w:t>
            </w:r>
            <w:r w:rsidRPr="00D4309F">
              <w:rPr>
                <w:color w:val="211E1F"/>
                <w:spacing w:val="-10"/>
              </w:rPr>
              <w:t xml:space="preserve"> </w:t>
            </w:r>
            <w:r w:rsidRPr="00D4309F">
              <w:rPr>
                <w:color w:val="211E1F"/>
              </w:rPr>
              <w:t>pathway</w:t>
            </w:r>
            <w:r w:rsidRPr="00D4309F">
              <w:rPr>
                <w:color w:val="211E1F"/>
                <w:spacing w:val="-10"/>
              </w:rPr>
              <w:t xml:space="preserve"> </w:t>
            </w:r>
            <w:r w:rsidRPr="00D4309F">
              <w:rPr>
                <w:color w:val="211E1F"/>
              </w:rPr>
              <w:t>to</w:t>
            </w:r>
            <w:r w:rsidRPr="00D4309F">
              <w:rPr>
                <w:color w:val="211E1F"/>
                <w:spacing w:val="-10"/>
              </w:rPr>
              <w:t xml:space="preserve"> </w:t>
            </w:r>
            <w:r w:rsidRPr="00D4309F">
              <w:rPr>
                <w:color w:val="211E1F"/>
              </w:rPr>
              <w:t xml:space="preserve">terrestrial </w:t>
            </w:r>
            <w:r w:rsidRPr="00D4309F">
              <w:rPr>
                <w:color w:val="211E1F"/>
                <w:spacing w:val="-2"/>
              </w:rPr>
              <w:t>environment</w:t>
            </w:r>
          </w:p>
        </w:tc>
        <w:tc>
          <w:tcPr>
            <w:tcW w:w="426" w:type="pct"/>
            <w:tcBorders>
              <w:top w:val="single" w:sz="4" w:space="0" w:color="000000"/>
              <w:bottom w:val="single" w:sz="4" w:space="0" w:color="000000"/>
            </w:tcBorders>
            <w:shd w:val="clear" w:color="auto" w:fill="BFBFBF" w:themeFill="background1" w:themeFillShade="BF"/>
            <w:vAlign w:val="center"/>
          </w:tcPr>
          <w:p w14:paraId="06334252" w14:textId="1B871FA5" w:rsidR="007E78D7" w:rsidRPr="00D4309F" w:rsidRDefault="007E78D7" w:rsidP="006A0C95">
            <w:pPr>
              <w:pStyle w:val="TableParagraph"/>
              <w:spacing w:before="1"/>
              <w:ind w:left="106"/>
              <w:rPr>
                <w:b/>
                <w:color w:val="211E1F"/>
                <w:spacing w:val="-5"/>
                <w:sz w:val="18"/>
              </w:rPr>
            </w:pPr>
            <w:r w:rsidRPr="00D4309F">
              <w:rPr>
                <w:b/>
                <w:color w:val="211E1F"/>
                <w:sz w:val="18"/>
              </w:rPr>
              <w:t>No</w:t>
            </w:r>
            <w:r w:rsidRPr="00D4309F">
              <w:rPr>
                <w:b/>
                <w:color w:val="211E1F"/>
                <w:spacing w:val="-3"/>
                <w:sz w:val="18"/>
              </w:rPr>
              <w:t xml:space="preserve"> </w:t>
            </w:r>
            <w:r w:rsidRPr="00D4309F">
              <w:rPr>
                <w:b/>
                <w:color w:val="211E1F"/>
                <w:spacing w:val="-2"/>
                <w:sz w:val="18"/>
              </w:rPr>
              <w:t>impact</w:t>
            </w:r>
          </w:p>
        </w:tc>
        <w:tc>
          <w:tcPr>
            <w:tcW w:w="1037" w:type="pct"/>
            <w:tcBorders>
              <w:top w:val="single" w:sz="4" w:space="0" w:color="000000"/>
              <w:bottom w:val="single" w:sz="4" w:space="0" w:color="000000"/>
            </w:tcBorders>
            <w:vAlign w:val="center"/>
          </w:tcPr>
          <w:p w14:paraId="778404AD" w14:textId="29D5C6D3" w:rsidR="007E78D7" w:rsidRPr="00D4309F" w:rsidRDefault="007E78D7" w:rsidP="00864362">
            <w:pPr>
              <w:pStyle w:val="Table-Bullet"/>
            </w:pPr>
            <w:r w:rsidRPr="00D4309F">
              <w:rPr>
                <w:color w:val="211E1F"/>
                <w:spacing w:val="-5"/>
              </w:rPr>
              <w:t>NA</w:t>
            </w:r>
          </w:p>
        </w:tc>
        <w:tc>
          <w:tcPr>
            <w:tcW w:w="759" w:type="pct"/>
            <w:tcBorders>
              <w:top w:val="single" w:sz="4" w:space="0" w:color="000000"/>
              <w:bottom w:val="single" w:sz="4" w:space="0" w:color="000000"/>
            </w:tcBorders>
            <w:vAlign w:val="center"/>
          </w:tcPr>
          <w:p w14:paraId="1EB4463A" w14:textId="093943E1" w:rsidR="007E78D7" w:rsidRPr="00D4309F" w:rsidRDefault="007E78D7" w:rsidP="00864362">
            <w:pPr>
              <w:pStyle w:val="Table-Bullet"/>
              <w:rPr>
                <w:color w:val="211E1F"/>
                <w:spacing w:val="-4"/>
              </w:rPr>
            </w:pPr>
            <w:r w:rsidRPr="00D4309F">
              <w:rPr>
                <w:color w:val="211E1F"/>
                <w:spacing w:val="-4"/>
              </w:rPr>
              <w:t>None</w:t>
            </w:r>
          </w:p>
        </w:tc>
        <w:tc>
          <w:tcPr>
            <w:tcW w:w="784" w:type="pct"/>
            <w:tcBorders>
              <w:top w:val="single" w:sz="4" w:space="0" w:color="000000"/>
              <w:bottom w:val="single" w:sz="4" w:space="0" w:color="000000"/>
            </w:tcBorders>
            <w:vAlign w:val="center"/>
          </w:tcPr>
          <w:p w14:paraId="04F6EFC6" w14:textId="74EDBD31" w:rsidR="007E78D7" w:rsidRPr="00D4309F" w:rsidRDefault="007E78D7" w:rsidP="00864362">
            <w:pPr>
              <w:pStyle w:val="Table-Bullet"/>
            </w:pPr>
            <w:r w:rsidRPr="00D4309F">
              <w:rPr>
                <w:color w:val="211E1F"/>
                <w:spacing w:val="-4"/>
              </w:rPr>
              <w:t>None</w:t>
            </w:r>
          </w:p>
        </w:tc>
      </w:tr>
    </w:tbl>
    <w:p w14:paraId="42211EB5" w14:textId="4F0624A2" w:rsidR="00725977" w:rsidRPr="001C33A0" w:rsidRDefault="00725977" w:rsidP="003E0830">
      <w:pPr>
        <w:pStyle w:val="Table-Note"/>
      </w:pPr>
      <w:r w:rsidRPr="00D4309F">
        <w:t>Assumptions:</w:t>
      </w:r>
    </w:p>
    <w:p w14:paraId="26363961" w14:textId="03FE8C7D" w:rsidR="00725977" w:rsidRPr="001C33A0" w:rsidRDefault="00725977" w:rsidP="00D27F26">
      <w:pPr>
        <w:pStyle w:val="Table-Note"/>
        <w:numPr>
          <w:ilvl w:val="0"/>
          <w:numId w:val="497"/>
        </w:numPr>
      </w:pPr>
      <w:r w:rsidRPr="00D4309F">
        <w:t>Dredge</w:t>
      </w:r>
      <w:r w:rsidRPr="00D4309F">
        <w:rPr>
          <w:spacing w:val="-3"/>
        </w:rPr>
        <w:t xml:space="preserve"> </w:t>
      </w:r>
      <w:r w:rsidRPr="00D4309F">
        <w:t>area</w:t>
      </w:r>
      <w:r w:rsidRPr="00D4309F">
        <w:rPr>
          <w:spacing w:val="-3"/>
        </w:rPr>
        <w:t xml:space="preserve"> </w:t>
      </w:r>
      <w:r w:rsidRPr="00D4309F">
        <w:t>is an</w:t>
      </w:r>
      <w:r w:rsidRPr="00D4309F">
        <w:rPr>
          <w:spacing w:val="-3"/>
        </w:rPr>
        <w:t xml:space="preserve"> </w:t>
      </w:r>
      <w:r w:rsidRPr="00D4309F">
        <w:t>area of</w:t>
      </w:r>
      <w:r w:rsidRPr="00D4309F">
        <w:rPr>
          <w:spacing w:val="-3"/>
        </w:rPr>
        <w:t xml:space="preserve"> </w:t>
      </w:r>
      <w:r w:rsidRPr="00D4309F">
        <w:t xml:space="preserve">bare </w:t>
      </w:r>
      <w:r w:rsidRPr="00D4309F">
        <w:rPr>
          <w:spacing w:val="-4"/>
        </w:rPr>
        <w:t>sand</w:t>
      </w:r>
    </w:p>
    <w:p w14:paraId="115FEB57" w14:textId="1D942A2E" w:rsidR="00725977" w:rsidRPr="001C33A0" w:rsidRDefault="00725977" w:rsidP="00D27F26">
      <w:pPr>
        <w:pStyle w:val="Table-Note"/>
        <w:numPr>
          <w:ilvl w:val="0"/>
          <w:numId w:val="497"/>
        </w:numPr>
      </w:pPr>
      <w:r w:rsidRPr="00D4309F">
        <w:t>Disposal</w:t>
      </w:r>
      <w:r w:rsidRPr="00D4309F">
        <w:rPr>
          <w:spacing w:val="-6"/>
        </w:rPr>
        <w:t xml:space="preserve"> </w:t>
      </w:r>
      <w:r w:rsidRPr="00D4309F">
        <w:t>area</w:t>
      </w:r>
      <w:r w:rsidRPr="00D4309F">
        <w:rPr>
          <w:spacing w:val="-4"/>
        </w:rPr>
        <w:t xml:space="preserve"> </w:t>
      </w:r>
      <w:r w:rsidRPr="00D4309F">
        <w:t>assumed</w:t>
      </w:r>
      <w:r w:rsidRPr="00D4309F">
        <w:rPr>
          <w:spacing w:val="-4"/>
        </w:rPr>
        <w:t xml:space="preserve"> </w:t>
      </w:r>
      <w:r w:rsidRPr="00D4309F">
        <w:t>to</w:t>
      </w:r>
      <w:r w:rsidRPr="00D4309F">
        <w:rPr>
          <w:spacing w:val="-5"/>
        </w:rPr>
        <w:t xml:space="preserve"> </w:t>
      </w:r>
      <w:r w:rsidRPr="00D4309F">
        <w:t>be</w:t>
      </w:r>
      <w:r w:rsidRPr="00D4309F">
        <w:rPr>
          <w:spacing w:val="-5"/>
        </w:rPr>
        <w:t xml:space="preserve"> </w:t>
      </w:r>
      <w:r w:rsidRPr="00D4309F">
        <w:t>within</w:t>
      </w:r>
      <w:r w:rsidRPr="00D4309F">
        <w:rPr>
          <w:spacing w:val="-6"/>
        </w:rPr>
        <w:t xml:space="preserve"> </w:t>
      </w:r>
      <w:r w:rsidRPr="00D4309F">
        <w:t>the</w:t>
      </w:r>
      <w:r w:rsidRPr="00D4309F">
        <w:rPr>
          <w:spacing w:val="-3"/>
        </w:rPr>
        <w:t xml:space="preserve"> </w:t>
      </w:r>
      <w:r w:rsidRPr="00D4309F">
        <w:t>nearshore</w:t>
      </w:r>
      <w:r w:rsidRPr="00D4309F">
        <w:rPr>
          <w:spacing w:val="-5"/>
        </w:rPr>
        <w:t xml:space="preserve"> </w:t>
      </w:r>
      <w:r w:rsidRPr="00D4309F">
        <w:t>area</w:t>
      </w:r>
      <w:r w:rsidRPr="00D4309F">
        <w:rPr>
          <w:spacing w:val="-4"/>
        </w:rPr>
        <w:t xml:space="preserve"> </w:t>
      </w:r>
      <w:r w:rsidRPr="00D4309F">
        <w:t>offshore</w:t>
      </w:r>
      <w:r w:rsidRPr="00D4309F">
        <w:rPr>
          <w:spacing w:val="-4"/>
        </w:rPr>
        <w:t xml:space="preserve"> </w:t>
      </w:r>
      <w:r w:rsidRPr="00D4309F">
        <w:t>of</w:t>
      </w:r>
      <w:r w:rsidRPr="00D4309F">
        <w:rPr>
          <w:spacing w:val="-3"/>
        </w:rPr>
        <w:t xml:space="preserve"> </w:t>
      </w:r>
      <w:r w:rsidRPr="00D4309F">
        <w:t>southern</w:t>
      </w:r>
      <w:r w:rsidRPr="00D4309F">
        <w:rPr>
          <w:spacing w:val="-5"/>
        </w:rPr>
        <w:t xml:space="preserve"> </w:t>
      </w:r>
      <w:r w:rsidRPr="00D4309F">
        <w:t>end</w:t>
      </w:r>
      <w:r w:rsidRPr="00D4309F">
        <w:rPr>
          <w:spacing w:val="-4"/>
        </w:rPr>
        <w:t xml:space="preserve"> </w:t>
      </w:r>
      <w:r w:rsidRPr="00D4309F">
        <w:t>of</w:t>
      </w:r>
      <w:r w:rsidRPr="00D4309F">
        <w:rPr>
          <w:spacing w:val="-3"/>
        </w:rPr>
        <w:t xml:space="preserve"> </w:t>
      </w:r>
      <w:r w:rsidRPr="00D4309F">
        <w:t>Mooloolaba</w:t>
      </w:r>
      <w:r w:rsidRPr="00D4309F">
        <w:rPr>
          <w:spacing w:val="-6"/>
        </w:rPr>
        <w:t xml:space="preserve"> </w:t>
      </w:r>
      <w:r w:rsidRPr="00D4309F">
        <w:t>Main</w:t>
      </w:r>
      <w:r w:rsidRPr="00D4309F">
        <w:rPr>
          <w:spacing w:val="-4"/>
        </w:rPr>
        <w:t xml:space="preserve"> </w:t>
      </w:r>
      <w:r w:rsidRPr="00D4309F">
        <w:t>Beach</w:t>
      </w:r>
      <w:r w:rsidRPr="00D4309F">
        <w:rPr>
          <w:spacing w:val="-5"/>
        </w:rPr>
        <w:t xml:space="preserve"> </w:t>
      </w:r>
      <w:r w:rsidRPr="00D4309F">
        <w:t>where</w:t>
      </w:r>
      <w:r w:rsidRPr="00D4309F">
        <w:rPr>
          <w:spacing w:val="-3"/>
        </w:rPr>
        <w:t xml:space="preserve"> </w:t>
      </w:r>
      <w:r w:rsidRPr="00D4309F">
        <w:t>sediment</w:t>
      </w:r>
      <w:r w:rsidRPr="00D4309F">
        <w:rPr>
          <w:spacing w:val="-3"/>
        </w:rPr>
        <w:t xml:space="preserve"> </w:t>
      </w:r>
      <w:r w:rsidRPr="00D4309F">
        <w:t>has</w:t>
      </w:r>
      <w:r w:rsidRPr="00D4309F">
        <w:rPr>
          <w:spacing w:val="-4"/>
        </w:rPr>
        <w:t xml:space="preserve"> </w:t>
      </w:r>
      <w:r w:rsidRPr="00D4309F">
        <w:t>been</w:t>
      </w:r>
      <w:r w:rsidRPr="00D4309F">
        <w:rPr>
          <w:spacing w:val="-5"/>
        </w:rPr>
        <w:t xml:space="preserve"> </w:t>
      </w:r>
      <w:r w:rsidRPr="00D4309F">
        <w:t>placed</w:t>
      </w:r>
      <w:r w:rsidRPr="00D4309F">
        <w:rPr>
          <w:spacing w:val="-4"/>
        </w:rPr>
        <w:t xml:space="preserve"> </w:t>
      </w:r>
      <w:r w:rsidRPr="00D4309F">
        <w:t>previously</w:t>
      </w:r>
    </w:p>
    <w:p w14:paraId="1281FE0F" w14:textId="215688FB" w:rsidR="00725977" w:rsidRPr="001C33A0" w:rsidRDefault="00725977" w:rsidP="00D27F26">
      <w:pPr>
        <w:pStyle w:val="Table-Note"/>
        <w:numPr>
          <w:ilvl w:val="0"/>
          <w:numId w:val="497"/>
        </w:numPr>
      </w:pPr>
      <w:r w:rsidRPr="00D4309F">
        <w:t>There</w:t>
      </w:r>
      <w:r w:rsidRPr="00D4309F">
        <w:rPr>
          <w:spacing w:val="-7"/>
        </w:rPr>
        <w:t xml:space="preserve"> </w:t>
      </w:r>
      <w:r w:rsidRPr="00D4309F">
        <w:t>is</w:t>
      </w:r>
      <w:r w:rsidRPr="00D4309F">
        <w:rPr>
          <w:spacing w:val="-3"/>
        </w:rPr>
        <w:t xml:space="preserve"> </w:t>
      </w:r>
      <w:r w:rsidRPr="00D4309F">
        <w:t>sediment</w:t>
      </w:r>
      <w:r w:rsidRPr="00D4309F">
        <w:rPr>
          <w:spacing w:val="-3"/>
        </w:rPr>
        <w:t xml:space="preserve"> </w:t>
      </w:r>
      <w:r w:rsidRPr="00D4309F">
        <w:t>contamination</w:t>
      </w:r>
      <w:r w:rsidRPr="00D4309F">
        <w:rPr>
          <w:spacing w:val="-5"/>
        </w:rPr>
        <w:t xml:space="preserve"> </w:t>
      </w:r>
      <w:r w:rsidRPr="00D4309F">
        <w:t>data</w:t>
      </w:r>
      <w:r w:rsidRPr="00D4309F">
        <w:rPr>
          <w:spacing w:val="-4"/>
        </w:rPr>
        <w:t xml:space="preserve"> </w:t>
      </w:r>
      <w:r w:rsidRPr="00D4309F">
        <w:t>to</w:t>
      </w:r>
      <w:r w:rsidRPr="00D4309F">
        <w:rPr>
          <w:spacing w:val="-3"/>
        </w:rPr>
        <w:t xml:space="preserve"> </w:t>
      </w:r>
      <w:r w:rsidRPr="00D4309F">
        <w:t>inform</w:t>
      </w:r>
      <w:r w:rsidRPr="00D4309F">
        <w:rPr>
          <w:spacing w:val="-4"/>
        </w:rPr>
        <w:t xml:space="preserve"> </w:t>
      </w:r>
      <w:r w:rsidRPr="00D4309F">
        <w:t>the</w:t>
      </w:r>
      <w:r w:rsidRPr="00D4309F">
        <w:rPr>
          <w:spacing w:val="-4"/>
        </w:rPr>
        <w:t xml:space="preserve"> </w:t>
      </w:r>
      <w:r w:rsidRPr="00D4309F">
        <w:t>risk</w:t>
      </w:r>
      <w:r w:rsidRPr="00D4309F">
        <w:rPr>
          <w:spacing w:val="-3"/>
        </w:rPr>
        <w:t xml:space="preserve"> </w:t>
      </w:r>
      <w:r w:rsidRPr="00D4309F">
        <w:t>of</w:t>
      </w:r>
      <w:r w:rsidRPr="00D4309F">
        <w:rPr>
          <w:spacing w:val="-5"/>
        </w:rPr>
        <w:t xml:space="preserve"> </w:t>
      </w:r>
      <w:r w:rsidRPr="00D4309F">
        <w:t>on</w:t>
      </w:r>
      <w:r w:rsidRPr="00D4309F">
        <w:rPr>
          <w:spacing w:val="-4"/>
        </w:rPr>
        <w:t xml:space="preserve"> </w:t>
      </w:r>
      <w:r w:rsidRPr="00D4309F">
        <w:t>release</w:t>
      </w:r>
      <w:r w:rsidRPr="00D4309F">
        <w:rPr>
          <w:spacing w:val="-4"/>
        </w:rPr>
        <w:t xml:space="preserve"> </w:t>
      </w:r>
      <w:r w:rsidRPr="00D4309F">
        <w:t>of</w:t>
      </w:r>
      <w:r w:rsidRPr="00D4309F">
        <w:rPr>
          <w:spacing w:val="-5"/>
        </w:rPr>
        <w:t xml:space="preserve"> </w:t>
      </w:r>
      <w:r w:rsidRPr="00D4309F">
        <w:t>contaminants</w:t>
      </w:r>
      <w:r w:rsidRPr="00D4309F">
        <w:rPr>
          <w:spacing w:val="-4"/>
        </w:rPr>
        <w:t xml:space="preserve"> </w:t>
      </w:r>
      <w:r w:rsidRPr="00D4309F">
        <w:t>via</w:t>
      </w:r>
      <w:r w:rsidRPr="00D4309F">
        <w:rPr>
          <w:spacing w:val="-4"/>
        </w:rPr>
        <w:t xml:space="preserve"> </w:t>
      </w:r>
      <w:r w:rsidRPr="00D4309F">
        <w:t>dredging</w:t>
      </w:r>
      <w:r w:rsidRPr="00D4309F">
        <w:rPr>
          <w:spacing w:val="-3"/>
        </w:rPr>
        <w:t xml:space="preserve"> </w:t>
      </w:r>
      <w:r w:rsidRPr="00D4309F">
        <w:t>and</w:t>
      </w:r>
      <w:r w:rsidRPr="00D4309F">
        <w:rPr>
          <w:spacing w:val="-4"/>
        </w:rPr>
        <w:t xml:space="preserve"> </w:t>
      </w:r>
      <w:r w:rsidRPr="00D4309F">
        <w:t>disposal</w:t>
      </w:r>
    </w:p>
    <w:p w14:paraId="1FFC3AE0" w14:textId="77777777" w:rsidR="00725977" w:rsidRPr="00D4309F" w:rsidRDefault="00725977" w:rsidP="00D27F26">
      <w:pPr>
        <w:pStyle w:val="Table-Note"/>
        <w:numPr>
          <w:ilvl w:val="0"/>
          <w:numId w:val="497"/>
        </w:numPr>
      </w:pPr>
      <w:r w:rsidRPr="00D4309F">
        <w:t>No</w:t>
      </w:r>
      <w:r w:rsidRPr="00D4309F">
        <w:rPr>
          <w:spacing w:val="-4"/>
        </w:rPr>
        <w:t xml:space="preserve"> </w:t>
      </w:r>
      <w:r w:rsidRPr="00D4309F">
        <w:t>rock excavation</w:t>
      </w:r>
      <w:r w:rsidRPr="00D4309F">
        <w:rPr>
          <w:spacing w:val="-3"/>
        </w:rPr>
        <w:t xml:space="preserve"> </w:t>
      </w:r>
      <w:r w:rsidRPr="00D4309F">
        <w:t>is</w:t>
      </w:r>
      <w:r w:rsidRPr="00D4309F">
        <w:rPr>
          <w:spacing w:val="-3"/>
        </w:rPr>
        <w:t xml:space="preserve"> </w:t>
      </w:r>
      <w:r w:rsidRPr="00D4309F">
        <w:t>required</w:t>
      </w:r>
      <w:r w:rsidRPr="00D4309F">
        <w:rPr>
          <w:spacing w:val="-3"/>
        </w:rPr>
        <w:t xml:space="preserve"> </w:t>
      </w:r>
      <w:r w:rsidRPr="00D4309F">
        <w:t>for</w:t>
      </w:r>
      <w:r w:rsidRPr="00D4309F">
        <w:rPr>
          <w:spacing w:val="-4"/>
        </w:rPr>
        <w:t xml:space="preserve"> </w:t>
      </w:r>
      <w:r w:rsidRPr="00D4309F">
        <w:t>this</w:t>
      </w:r>
      <w:r w:rsidRPr="00D4309F">
        <w:rPr>
          <w:spacing w:val="-4"/>
        </w:rPr>
        <w:t xml:space="preserve"> </w:t>
      </w:r>
      <w:r w:rsidRPr="00D4309F">
        <w:t>option</w:t>
      </w:r>
    </w:p>
    <w:p w14:paraId="2A6B6A69" w14:textId="77777777" w:rsidR="00725977" w:rsidRPr="00D4309F" w:rsidRDefault="00725977" w:rsidP="00725977">
      <w:pPr>
        <w:pStyle w:val="ListParagraph"/>
        <w:rPr>
          <w:sz w:val="14"/>
        </w:rPr>
        <w:sectPr w:rsidR="00725977" w:rsidRPr="00D4309F" w:rsidSect="00A8441C">
          <w:headerReference w:type="default" r:id="rId82"/>
          <w:footerReference w:type="default" r:id="rId83"/>
          <w:type w:val="continuous"/>
          <w:pgSz w:w="16840" w:h="11910" w:orient="landscape"/>
          <w:pgMar w:top="1400" w:right="992" w:bottom="1340" w:left="992" w:header="916" w:footer="1147" w:gutter="0"/>
          <w:cols w:space="720"/>
        </w:sectPr>
      </w:pPr>
    </w:p>
    <w:p w14:paraId="75DDF91C" w14:textId="77777777" w:rsidR="00725977" w:rsidRPr="00D4309F" w:rsidRDefault="00725977" w:rsidP="00725977">
      <w:pPr>
        <w:pStyle w:val="BodyText"/>
      </w:pPr>
      <w:r w:rsidRPr="00D4309F">
        <w:lastRenderedPageBreak/>
        <w:t>In summary, there would be minimal permanent footprint, limited primarily to the seabed excavation area. There</w:t>
      </w:r>
      <w:r w:rsidRPr="00D4309F">
        <w:rPr>
          <w:spacing w:val="-3"/>
        </w:rPr>
        <w:t xml:space="preserve"> </w:t>
      </w:r>
      <w:r w:rsidRPr="00D4309F">
        <w:t>would</w:t>
      </w:r>
      <w:r w:rsidRPr="00D4309F">
        <w:rPr>
          <w:spacing w:val="-4"/>
        </w:rPr>
        <w:t xml:space="preserve"> </w:t>
      </w:r>
      <w:r w:rsidRPr="00D4309F">
        <w:t>be</w:t>
      </w:r>
      <w:r w:rsidRPr="00D4309F">
        <w:rPr>
          <w:spacing w:val="-3"/>
        </w:rPr>
        <w:t xml:space="preserve"> </w:t>
      </w:r>
      <w:r w:rsidRPr="00D4309F">
        <w:t>temporary</w:t>
      </w:r>
      <w:r w:rsidRPr="00D4309F">
        <w:rPr>
          <w:spacing w:val="-4"/>
        </w:rPr>
        <w:t xml:space="preserve"> </w:t>
      </w:r>
      <w:r w:rsidRPr="00D4309F">
        <w:t>impacts</w:t>
      </w:r>
      <w:r w:rsidRPr="00D4309F">
        <w:rPr>
          <w:spacing w:val="-2"/>
        </w:rPr>
        <w:t xml:space="preserve"> </w:t>
      </w:r>
      <w:r w:rsidRPr="00D4309F">
        <w:t>during</w:t>
      </w:r>
      <w:r w:rsidRPr="00D4309F">
        <w:rPr>
          <w:spacing w:val="-3"/>
        </w:rPr>
        <w:t xml:space="preserve"> </w:t>
      </w:r>
      <w:r w:rsidRPr="00D4309F">
        <w:t>dredging</w:t>
      </w:r>
      <w:r w:rsidRPr="00D4309F">
        <w:rPr>
          <w:spacing w:val="-3"/>
        </w:rPr>
        <w:t xml:space="preserve"> </w:t>
      </w:r>
      <w:r w:rsidRPr="00D4309F">
        <w:t>campaigns</w:t>
      </w:r>
      <w:r w:rsidRPr="00D4309F">
        <w:rPr>
          <w:spacing w:val="-3"/>
        </w:rPr>
        <w:t xml:space="preserve"> </w:t>
      </w:r>
      <w:r w:rsidRPr="00D4309F">
        <w:t>however,</w:t>
      </w:r>
      <w:r w:rsidRPr="00D4309F">
        <w:rPr>
          <w:spacing w:val="-3"/>
        </w:rPr>
        <w:t xml:space="preserve"> </w:t>
      </w:r>
      <w:r w:rsidRPr="00D4309F">
        <w:t>these</w:t>
      </w:r>
      <w:r w:rsidRPr="00D4309F">
        <w:rPr>
          <w:spacing w:val="-4"/>
        </w:rPr>
        <w:t xml:space="preserve"> </w:t>
      </w:r>
      <w:r w:rsidRPr="00D4309F">
        <w:t>would</w:t>
      </w:r>
      <w:r w:rsidRPr="00D4309F">
        <w:rPr>
          <w:spacing w:val="-3"/>
        </w:rPr>
        <w:t xml:space="preserve"> </w:t>
      </w:r>
      <w:r w:rsidRPr="00D4309F">
        <w:t>not</w:t>
      </w:r>
      <w:r w:rsidRPr="00D4309F">
        <w:rPr>
          <w:spacing w:val="-4"/>
        </w:rPr>
        <w:t xml:space="preserve"> </w:t>
      </w:r>
      <w:r w:rsidRPr="00D4309F">
        <w:t>be</w:t>
      </w:r>
      <w:r w:rsidRPr="00D4309F">
        <w:rPr>
          <w:spacing w:val="-4"/>
        </w:rPr>
        <w:t xml:space="preserve"> </w:t>
      </w:r>
      <w:r w:rsidRPr="00D4309F">
        <w:t>significant</w:t>
      </w:r>
      <w:r w:rsidRPr="00D4309F">
        <w:rPr>
          <w:spacing w:val="-3"/>
        </w:rPr>
        <w:t xml:space="preserve"> </w:t>
      </w:r>
      <w:r w:rsidRPr="00D4309F">
        <w:t>and would be broadly consistent with existing maintenance dredging operations and can be managed during works. There is also the opportunity for environmental benefit through beneficial reuse of sand for local beach nourishment and erosion mitigation.</w:t>
      </w:r>
    </w:p>
    <w:p w14:paraId="309C02EE" w14:textId="7043CBC9" w:rsidR="00725977" w:rsidRPr="00D4309F" w:rsidRDefault="00725977" w:rsidP="00725977">
      <w:pPr>
        <w:pStyle w:val="BodyText"/>
      </w:pPr>
      <w:r w:rsidRPr="00D4309F">
        <w:t>Further assessment and/or</w:t>
      </w:r>
      <w:r w:rsidRPr="00D4309F">
        <w:rPr>
          <w:spacing w:val="-1"/>
        </w:rPr>
        <w:t xml:space="preserve"> </w:t>
      </w:r>
      <w:r w:rsidRPr="00D4309F">
        <w:t>environmental monitoring and management during works,</w:t>
      </w:r>
      <w:r w:rsidRPr="00D4309F">
        <w:rPr>
          <w:spacing w:val="-1"/>
        </w:rPr>
        <w:t xml:space="preserve"> </w:t>
      </w:r>
      <w:r w:rsidRPr="00D4309F">
        <w:t>above the standard dredging</w:t>
      </w:r>
      <w:r w:rsidRPr="00D4309F">
        <w:rPr>
          <w:spacing w:val="-3"/>
        </w:rPr>
        <w:t xml:space="preserve"> </w:t>
      </w:r>
      <w:r w:rsidRPr="00D4309F">
        <w:t>management</w:t>
      </w:r>
      <w:r w:rsidRPr="00D4309F">
        <w:rPr>
          <w:spacing w:val="-3"/>
        </w:rPr>
        <w:t xml:space="preserve"> </w:t>
      </w:r>
      <w:r w:rsidRPr="00D4309F">
        <w:t>procedures,</w:t>
      </w:r>
      <w:r w:rsidRPr="00D4309F">
        <w:rPr>
          <w:spacing w:val="-4"/>
        </w:rPr>
        <w:t xml:space="preserve"> </w:t>
      </w:r>
      <w:r w:rsidRPr="00D4309F">
        <w:t>would</w:t>
      </w:r>
      <w:r w:rsidRPr="00D4309F">
        <w:rPr>
          <w:spacing w:val="-3"/>
        </w:rPr>
        <w:t xml:space="preserve"> </w:t>
      </w:r>
      <w:r w:rsidRPr="00D4309F">
        <w:t>be</w:t>
      </w:r>
      <w:r w:rsidRPr="00D4309F">
        <w:rPr>
          <w:spacing w:val="-3"/>
        </w:rPr>
        <w:t xml:space="preserve"> </w:t>
      </w:r>
      <w:r w:rsidRPr="00D4309F">
        <w:t>required</w:t>
      </w:r>
      <w:r w:rsidRPr="00D4309F">
        <w:rPr>
          <w:spacing w:val="-4"/>
        </w:rPr>
        <w:t xml:space="preserve"> </w:t>
      </w:r>
      <w:r w:rsidRPr="00D4309F">
        <w:t>to</w:t>
      </w:r>
      <w:r w:rsidRPr="00D4309F">
        <w:rPr>
          <w:spacing w:val="-3"/>
        </w:rPr>
        <w:t xml:space="preserve"> </w:t>
      </w:r>
      <w:r w:rsidRPr="00D4309F">
        <w:t>minimise</w:t>
      </w:r>
      <w:r w:rsidRPr="00D4309F">
        <w:rPr>
          <w:spacing w:val="-3"/>
        </w:rPr>
        <w:t xml:space="preserve"> </w:t>
      </w:r>
      <w:r w:rsidRPr="00D4309F">
        <w:t>turbidity</w:t>
      </w:r>
      <w:r w:rsidRPr="00D4309F">
        <w:rPr>
          <w:spacing w:val="-2"/>
        </w:rPr>
        <w:t xml:space="preserve"> </w:t>
      </w:r>
      <w:r w:rsidRPr="00D4309F">
        <w:t>related</w:t>
      </w:r>
      <w:r w:rsidRPr="00D4309F">
        <w:rPr>
          <w:spacing w:val="-3"/>
        </w:rPr>
        <w:t xml:space="preserve"> </w:t>
      </w:r>
      <w:r w:rsidRPr="00D4309F">
        <w:t>impacts</w:t>
      </w:r>
      <w:r w:rsidRPr="00D4309F">
        <w:rPr>
          <w:spacing w:val="-3"/>
        </w:rPr>
        <w:t xml:space="preserve"> </w:t>
      </w:r>
      <w:r w:rsidRPr="00D4309F">
        <w:t>and</w:t>
      </w:r>
      <w:r w:rsidRPr="00D4309F">
        <w:rPr>
          <w:spacing w:val="-3"/>
        </w:rPr>
        <w:t xml:space="preserve"> </w:t>
      </w:r>
      <w:r w:rsidRPr="00D4309F">
        <w:t>impacts</w:t>
      </w:r>
      <w:r w:rsidRPr="00D4309F">
        <w:rPr>
          <w:spacing w:val="-2"/>
        </w:rPr>
        <w:t xml:space="preserve"> </w:t>
      </w:r>
      <w:r w:rsidRPr="00D4309F">
        <w:t>to marine fauna, shorebirds, benthic habitats and beach habitats.</w:t>
      </w:r>
    </w:p>
    <w:p w14:paraId="6C293FB9" w14:textId="77777777" w:rsidR="00725977" w:rsidRPr="00D4309F" w:rsidRDefault="00725977" w:rsidP="008228CB">
      <w:pPr>
        <w:pStyle w:val="Heading3"/>
      </w:pPr>
      <w:bookmarkStart w:id="252" w:name="_Toc216699378"/>
      <w:r w:rsidRPr="00D4309F">
        <w:t>Social</w:t>
      </w:r>
      <w:r w:rsidRPr="00D4309F">
        <w:rPr>
          <w:spacing w:val="-3"/>
        </w:rPr>
        <w:t xml:space="preserve"> </w:t>
      </w:r>
      <w:r w:rsidRPr="00D4309F">
        <w:rPr>
          <w:spacing w:val="-2"/>
        </w:rPr>
        <w:t>impacts</w:t>
      </w:r>
      <w:bookmarkEnd w:id="252"/>
    </w:p>
    <w:p w14:paraId="60E22C54" w14:textId="3C09477E" w:rsidR="00725977" w:rsidRPr="00D4309F" w:rsidRDefault="00725977" w:rsidP="00725977">
      <w:pPr>
        <w:pStyle w:val="BodyText"/>
      </w:pPr>
      <w:r w:rsidRPr="00D4309F">
        <w:t>Option 1A is expected to generate social value with four positive impacts ranked as high in the SIE assessment, including: safer channel access through reduced shoaling, improved economic outcomes through more reliable channel access, improved amenity through reduced frequency of dredging and potentially improved beach nourishment through nearshore sand placement. When compared to the baseline, there were five negative social impacts identified; however, after mitigation measures were considered, there were two which may be of high concern to the community and stakeholders, including: potential environmental impacts due to dredging and potential negative impacts on turtle species known to nest</w:t>
      </w:r>
      <w:r w:rsidRPr="00D4309F">
        <w:rPr>
          <w:spacing w:val="-3"/>
        </w:rPr>
        <w:t xml:space="preserve"> </w:t>
      </w:r>
      <w:r w:rsidRPr="00D4309F">
        <w:t>on</w:t>
      </w:r>
      <w:r w:rsidRPr="00D4309F">
        <w:rPr>
          <w:spacing w:val="-3"/>
        </w:rPr>
        <w:t xml:space="preserve"> </w:t>
      </w:r>
      <w:r w:rsidRPr="00D4309F">
        <w:t>Buddina</w:t>
      </w:r>
      <w:r w:rsidRPr="00D4309F">
        <w:rPr>
          <w:spacing w:val="-3"/>
        </w:rPr>
        <w:t xml:space="preserve"> </w:t>
      </w:r>
      <w:r w:rsidRPr="00D4309F">
        <w:t>Beach.</w:t>
      </w:r>
      <w:r w:rsidRPr="00D4309F">
        <w:rPr>
          <w:spacing w:val="-3"/>
        </w:rPr>
        <w:t xml:space="preserve"> </w:t>
      </w:r>
      <w:r w:rsidRPr="00D4309F">
        <w:t>Further</w:t>
      </w:r>
      <w:r w:rsidRPr="00D4309F">
        <w:rPr>
          <w:spacing w:val="-2"/>
        </w:rPr>
        <w:t xml:space="preserve"> </w:t>
      </w:r>
      <w:r w:rsidRPr="00D4309F">
        <w:t>mitigations</w:t>
      </w:r>
      <w:r w:rsidRPr="00D4309F">
        <w:rPr>
          <w:spacing w:val="-2"/>
        </w:rPr>
        <w:t xml:space="preserve"> </w:t>
      </w:r>
      <w:r w:rsidRPr="00D4309F">
        <w:t>must</w:t>
      </w:r>
      <w:r w:rsidRPr="00D4309F">
        <w:rPr>
          <w:spacing w:val="-3"/>
        </w:rPr>
        <w:t xml:space="preserve"> </w:t>
      </w:r>
      <w:r w:rsidRPr="00D4309F">
        <w:t>be</w:t>
      </w:r>
      <w:r w:rsidRPr="00D4309F">
        <w:rPr>
          <w:spacing w:val="-3"/>
        </w:rPr>
        <w:t xml:space="preserve"> </w:t>
      </w:r>
      <w:r w:rsidRPr="00D4309F">
        <w:t>undertaken</w:t>
      </w:r>
      <w:r w:rsidRPr="00D4309F">
        <w:rPr>
          <w:spacing w:val="-3"/>
        </w:rPr>
        <w:t xml:space="preserve"> </w:t>
      </w:r>
      <w:r w:rsidRPr="00D4309F">
        <w:t>to</w:t>
      </w:r>
      <w:r w:rsidRPr="00D4309F">
        <w:rPr>
          <w:spacing w:val="-3"/>
        </w:rPr>
        <w:t xml:space="preserve"> </w:t>
      </w:r>
      <w:r w:rsidRPr="00D4309F">
        <w:t>reduce</w:t>
      </w:r>
      <w:r w:rsidRPr="00D4309F">
        <w:rPr>
          <w:spacing w:val="-3"/>
        </w:rPr>
        <w:t xml:space="preserve"> </w:t>
      </w:r>
      <w:r w:rsidRPr="00D4309F">
        <w:t>negative</w:t>
      </w:r>
      <w:r w:rsidRPr="00D4309F">
        <w:rPr>
          <w:spacing w:val="-3"/>
        </w:rPr>
        <w:t xml:space="preserve"> </w:t>
      </w:r>
      <w:r w:rsidRPr="00D4309F">
        <w:t>social</w:t>
      </w:r>
      <w:r w:rsidRPr="00D4309F">
        <w:rPr>
          <w:spacing w:val="-3"/>
        </w:rPr>
        <w:t xml:space="preserve"> </w:t>
      </w:r>
      <w:r w:rsidRPr="00D4309F">
        <w:t>impacts</w:t>
      </w:r>
      <w:r w:rsidRPr="00D4309F">
        <w:rPr>
          <w:spacing w:val="-2"/>
        </w:rPr>
        <w:t xml:space="preserve"> </w:t>
      </w:r>
      <w:r w:rsidRPr="00D4309F">
        <w:t>including environmental assessments, management plans and broader community and stakeholder engagement.</w:t>
      </w:r>
    </w:p>
    <w:p w14:paraId="5FCB6ED3" w14:textId="77777777" w:rsidR="00725977" w:rsidRPr="00D4309F" w:rsidRDefault="00725977" w:rsidP="008228CB">
      <w:pPr>
        <w:pStyle w:val="Heading3"/>
      </w:pPr>
      <w:bookmarkStart w:id="253" w:name="_Toc216699379"/>
      <w:r w:rsidRPr="00D4309F">
        <w:t>Economic</w:t>
      </w:r>
      <w:r w:rsidRPr="00D4309F">
        <w:rPr>
          <w:spacing w:val="-4"/>
        </w:rPr>
        <w:t xml:space="preserve"> </w:t>
      </w:r>
      <w:r w:rsidRPr="00D4309F">
        <w:rPr>
          <w:spacing w:val="-2"/>
        </w:rPr>
        <w:t>impacts</w:t>
      </w:r>
      <w:bookmarkEnd w:id="253"/>
    </w:p>
    <w:p w14:paraId="118475B8" w14:textId="0FE12F04" w:rsidR="00725977" w:rsidRPr="00D4309F" w:rsidRDefault="00725977" w:rsidP="00725977">
      <w:pPr>
        <w:pStyle w:val="BodyText"/>
      </w:pPr>
      <w:r w:rsidRPr="00D4309F">
        <w:t>Compared with the current approach, the economic impact of Option 1A is expected to be minimal, with no significant adverse effects. The project will reduce shoaling at the harbour entrance improving channel access and reliability for users in the long-term. This enhancement will allow both commercial and recreational</w:t>
      </w:r>
      <w:r w:rsidRPr="00D4309F">
        <w:rPr>
          <w:spacing w:val="-4"/>
        </w:rPr>
        <w:t xml:space="preserve"> </w:t>
      </w:r>
      <w:r w:rsidRPr="00D4309F">
        <w:t>vessels</w:t>
      </w:r>
      <w:r w:rsidRPr="00D4309F">
        <w:rPr>
          <w:spacing w:val="-2"/>
        </w:rPr>
        <w:t xml:space="preserve"> </w:t>
      </w:r>
      <w:r w:rsidRPr="00D4309F">
        <w:t>to</w:t>
      </w:r>
      <w:r w:rsidRPr="00D4309F">
        <w:rPr>
          <w:spacing w:val="-3"/>
        </w:rPr>
        <w:t xml:space="preserve"> </w:t>
      </w:r>
      <w:r w:rsidRPr="00D4309F">
        <w:t>navigate</w:t>
      </w:r>
      <w:r w:rsidRPr="00D4309F">
        <w:rPr>
          <w:spacing w:val="-3"/>
        </w:rPr>
        <w:t xml:space="preserve"> </w:t>
      </w:r>
      <w:r w:rsidRPr="00D4309F">
        <w:t>the</w:t>
      </w:r>
      <w:r w:rsidRPr="00D4309F">
        <w:rPr>
          <w:spacing w:val="-3"/>
        </w:rPr>
        <w:t xml:space="preserve"> </w:t>
      </w:r>
      <w:r w:rsidRPr="00D4309F">
        <w:t>channel</w:t>
      </w:r>
      <w:r w:rsidRPr="00D4309F">
        <w:rPr>
          <w:spacing w:val="-3"/>
        </w:rPr>
        <w:t xml:space="preserve"> </w:t>
      </w:r>
      <w:r w:rsidRPr="00D4309F">
        <w:t>without</w:t>
      </w:r>
      <w:r w:rsidRPr="00D4309F">
        <w:rPr>
          <w:spacing w:val="-3"/>
        </w:rPr>
        <w:t xml:space="preserve"> </w:t>
      </w:r>
      <w:r w:rsidRPr="00D4309F">
        <w:t>interruption,</w:t>
      </w:r>
      <w:r w:rsidRPr="00D4309F">
        <w:rPr>
          <w:spacing w:val="-3"/>
        </w:rPr>
        <w:t xml:space="preserve"> </w:t>
      </w:r>
      <w:r w:rsidRPr="00D4309F">
        <w:t>reducing</w:t>
      </w:r>
      <w:r w:rsidRPr="00D4309F">
        <w:rPr>
          <w:spacing w:val="-3"/>
        </w:rPr>
        <w:t xml:space="preserve"> </w:t>
      </w:r>
      <w:r w:rsidRPr="00D4309F">
        <w:t>delays</w:t>
      </w:r>
      <w:r w:rsidRPr="00D4309F">
        <w:rPr>
          <w:spacing w:val="-2"/>
        </w:rPr>
        <w:t xml:space="preserve"> </w:t>
      </w:r>
      <w:r w:rsidRPr="00D4309F">
        <w:t>and</w:t>
      </w:r>
      <w:r w:rsidRPr="00D4309F">
        <w:rPr>
          <w:spacing w:val="-3"/>
        </w:rPr>
        <w:t xml:space="preserve"> </w:t>
      </w:r>
      <w:r w:rsidRPr="00D4309F">
        <w:t>minimising</w:t>
      </w:r>
      <w:r w:rsidRPr="00D4309F">
        <w:rPr>
          <w:spacing w:val="-3"/>
        </w:rPr>
        <w:t xml:space="preserve"> </w:t>
      </w:r>
      <w:r w:rsidRPr="00D4309F">
        <w:t>reliance</w:t>
      </w:r>
      <w:r w:rsidRPr="00D4309F">
        <w:rPr>
          <w:spacing w:val="-3"/>
        </w:rPr>
        <w:t xml:space="preserve"> </w:t>
      </w:r>
      <w:r w:rsidRPr="00D4309F">
        <w:t>on emergency maintenance dredging. This option would require less frequent maintenance dredging than the current operations and allows for variable placement of sand as needs require.</w:t>
      </w:r>
      <w:r w:rsidRPr="00D4309F">
        <w:rPr>
          <w:spacing w:val="40"/>
        </w:rPr>
        <w:t xml:space="preserve"> </w:t>
      </w:r>
      <w:r w:rsidRPr="00D4309F">
        <w:t>By ensuring consistent access, the project supports safer operations and greater confidence for businesses and the boating community. The reduced dredging frequency would improve reliability and minimise disruptions to harbour access, as dredging activities would primarily occur at Buddina Beach rather than at the harbour entrance. Moderate, short-term impacts on beach demand/use at Buddina Beach are anticipated, including temporary changes to</w:t>
      </w:r>
      <w:r w:rsidRPr="00D4309F">
        <w:rPr>
          <w:spacing w:val="-1"/>
        </w:rPr>
        <w:t xml:space="preserve"> </w:t>
      </w:r>
      <w:r w:rsidRPr="00D4309F">
        <w:t>beach</w:t>
      </w:r>
      <w:r w:rsidRPr="00D4309F">
        <w:rPr>
          <w:spacing w:val="-1"/>
        </w:rPr>
        <w:t xml:space="preserve"> </w:t>
      </w:r>
      <w:r w:rsidRPr="00D4309F">
        <w:t>conditions and</w:t>
      </w:r>
      <w:r w:rsidRPr="00D4309F">
        <w:rPr>
          <w:spacing w:val="-1"/>
        </w:rPr>
        <w:t xml:space="preserve"> </w:t>
      </w:r>
      <w:r w:rsidRPr="00D4309F">
        <w:t>possible</w:t>
      </w:r>
      <w:r w:rsidRPr="00D4309F">
        <w:rPr>
          <w:spacing w:val="-1"/>
        </w:rPr>
        <w:t xml:space="preserve"> </w:t>
      </w:r>
      <w:r w:rsidRPr="00D4309F">
        <w:t>closure</w:t>
      </w:r>
      <w:r w:rsidRPr="00D4309F">
        <w:rPr>
          <w:spacing w:val="-1"/>
        </w:rPr>
        <w:t xml:space="preserve"> </w:t>
      </w:r>
      <w:r w:rsidRPr="00D4309F">
        <w:t>of</w:t>
      </w:r>
      <w:r w:rsidRPr="00D4309F">
        <w:rPr>
          <w:spacing w:val="-3"/>
        </w:rPr>
        <w:t xml:space="preserve"> </w:t>
      </w:r>
      <w:r w:rsidRPr="00D4309F">
        <w:t>sections of</w:t>
      </w:r>
      <w:r w:rsidRPr="00D4309F">
        <w:rPr>
          <w:spacing w:val="-2"/>
        </w:rPr>
        <w:t xml:space="preserve"> </w:t>
      </w:r>
      <w:r w:rsidRPr="00D4309F">
        <w:t>the</w:t>
      </w:r>
      <w:r w:rsidRPr="00D4309F">
        <w:rPr>
          <w:spacing w:val="-1"/>
        </w:rPr>
        <w:t xml:space="preserve"> </w:t>
      </w:r>
      <w:r w:rsidRPr="00D4309F">
        <w:t>beach.</w:t>
      </w:r>
      <w:r w:rsidRPr="00D4309F">
        <w:rPr>
          <w:spacing w:val="-1"/>
        </w:rPr>
        <w:t xml:space="preserve"> </w:t>
      </w:r>
      <w:r w:rsidRPr="00D4309F">
        <w:t>These</w:t>
      </w:r>
      <w:r w:rsidRPr="00D4309F">
        <w:rPr>
          <w:spacing w:val="-1"/>
        </w:rPr>
        <w:t xml:space="preserve"> </w:t>
      </w:r>
      <w:r w:rsidRPr="00D4309F">
        <w:t>impacts would</w:t>
      </w:r>
      <w:r w:rsidRPr="00D4309F">
        <w:rPr>
          <w:spacing w:val="-1"/>
        </w:rPr>
        <w:t xml:space="preserve"> </w:t>
      </w:r>
      <w:r w:rsidRPr="00D4309F">
        <w:t>occur only during construction and at intervals of several years when maintenance dredging is required. No broader economic impacts are expected as a result of this option.</w:t>
      </w:r>
    </w:p>
    <w:p w14:paraId="21A4C812" w14:textId="77777777" w:rsidR="00725977" w:rsidRPr="00D4309F" w:rsidRDefault="00725977" w:rsidP="008228CB">
      <w:pPr>
        <w:pStyle w:val="Heading3"/>
      </w:pPr>
      <w:bookmarkStart w:id="254" w:name="_Toc216699380"/>
      <w:r w:rsidRPr="00D4309F">
        <w:t>Future</w:t>
      </w:r>
      <w:r w:rsidRPr="00D4309F">
        <w:rPr>
          <w:spacing w:val="-3"/>
        </w:rPr>
        <w:t xml:space="preserve"> </w:t>
      </w:r>
      <w:r w:rsidRPr="00D4309F">
        <w:t>adaptability</w:t>
      </w:r>
      <w:bookmarkEnd w:id="254"/>
    </w:p>
    <w:p w14:paraId="499C252B" w14:textId="77777777" w:rsidR="00725977" w:rsidRPr="00D4309F" w:rsidRDefault="00725977" w:rsidP="00725977">
      <w:pPr>
        <w:pStyle w:val="BodyText"/>
      </w:pPr>
      <w:r w:rsidRPr="00D4309F">
        <w:t>Option 1A offers a high degree of future adaptability and represents a low-risk pilot measure. If monitoring demonstrates</w:t>
      </w:r>
      <w:r w:rsidRPr="00D4309F">
        <w:rPr>
          <w:spacing w:val="-3"/>
        </w:rPr>
        <w:t xml:space="preserve"> </w:t>
      </w:r>
      <w:r w:rsidRPr="00D4309F">
        <w:t>limited</w:t>
      </w:r>
      <w:r w:rsidRPr="00D4309F">
        <w:rPr>
          <w:spacing w:val="-3"/>
        </w:rPr>
        <w:t xml:space="preserve"> </w:t>
      </w:r>
      <w:r w:rsidRPr="00D4309F">
        <w:t>effectiveness,</w:t>
      </w:r>
      <w:r w:rsidRPr="00D4309F">
        <w:rPr>
          <w:spacing w:val="-3"/>
        </w:rPr>
        <w:t xml:space="preserve"> </w:t>
      </w:r>
      <w:r w:rsidRPr="00D4309F">
        <w:t>the</w:t>
      </w:r>
      <w:r w:rsidRPr="00D4309F">
        <w:rPr>
          <w:spacing w:val="-3"/>
        </w:rPr>
        <w:t xml:space="preserve"> </w:t>
      </w:r>
      <w:r w:rsidRPr="00D4309F">
        <w:t>trap</w:t>
      </w:r>
      <w:r w:rsidRPr="00D4309F">
        <w:rPr>
          <w:spacing w:val="-3"/>
        </w:rPr>
        <w:t xml:space="preserve"> </w:t>
      </w:r>
      <w:r w:rsidRPr="00D4309F">
        <w:t>can</w:t>
      </w:r>
      <w:r w:rsidRPr="00D4309F">
        <w:rPr>
          <w:spacing w:val="-3"/>
        </w:rPr>
        <w:t xml:space="preserve"> </w:t>
      </w:r>
      <w:r w:rsidRPr="00D4309F">
        <w:t>be</w:t>
      </w:r>
      <w:r w:rsidRPr="00D4309F">
        <w:rPr>
          <w:spacing w:val="-3"/>
        </w:rPr>
        <w:t xml:space="preserve"> </w:t>
      </w:r>
      <w:r w:rsidRPr="00D4309F">
        <w:t>readily</w:t>
      </w:r>
      <w:r w:rsidRPr="00D4309F">
        <w:rPr>
          <w:spacing w:val="-2"/>
        </w:rPr>
        <w:t xml:space="preserve"> </w:t>
      </w:r>
      <w:r w:rsidRPr="00D4309F">
        <w:t>decommissioned</w:t>
      </w:r>
      <w:r w:rsidRPr="00D4309F">
        <w:rPr>
          <w:spacing w:val="-3"/>
        </w:rPr>
        <w:t xml:space="preserve"> </w:t>
      </w:r>
      <w:r w:rsidRPr="00D4309F">
        <w:t>with</w:t>
      </w:r>
      <w:r w:rsidRPr="00D4309F">
        <w:rPr>
          <w:spacing w:val="-4"/>
        </w:rPr>
        <w:t xml:space="preserve"> </w:t>
      </w:r>
      <w:r w:rsidRPr="00D4309F">
        <w:t>minimal</w:t>
      </w:r>
      <w:r w:rsidRPr="00D4309F">
        <w:rPr>
          <w:spacing w:val="-3"/>
        </w:rPr>
        <w:t xml:space="preserve"> </w:t>
      </w:r>
      <w:r w:rsidRPr="00D4309F">
        <w:t>intervention,</w:t>
      </w:r>
      <w:r w:rsidRPr="00D4309F">
        <w:rPr>
          <w:spacing w:val="-3"/>
        </w:rPr>
        <w:t xml:space="preserve"> </w:t>
      </w:r>
      <w:r w:rsidRPr="00D4309F">
        <w:t>if</w:t>
      </w:r>
      <w:r w:rsidRPr="00D4309F">
        <w:rPr>
          <w:spacing w:val="-3"/>
        </w:rPr>
        <w:t xml:space="preserve"> </w:t>
      </w:r>
      <w:r w:rsidRPr="00D4309F">
        <w:t>left untouched, the excavation would naturally infill over time through ongoing sand transport, returning the seabed to pre-existing conditions. This makes it an easily reversible and low-impact trial.</w:t>
      </w:r>
    </w:p>
    <w:p w14:paraId="064AB92B" w14:textId="77777777" w:rsidR="00725977" w:rsidRPr="00D4309F" w:rsidRDefault="00725977" w:rsidP="00725977">
      <w:pPr>
        <w:pStyle w:val="BodyText"/>
      </w:pPr>
      <w:r w:rsidRPr="00D4309F">
        <w:t>Positively, the trap configuration can be readily modified as new data become available. For instance, its footprint or depth could be expanded to increase capture efficiency if monitoring indicates underperformance.</w:t>
      </w:r>
      <w:r w:rsidRPr="00D4309F">
        <w:rPr>
          <w:spacing w:val="-4"/>
        </w:rPr>
        <w:t xml:space="preserve"> </w:t>
      </w:r>
      <w:r w:rsidRPr="00D4309F">
        <w:t>This</w:t>
      </w:r>
      <w:r w:rsidRPr="00D4309F">
        <w:rPr>
          <w:spacing w:val="-3"/>
        </w:rPr>
        <w:t xml:space="preserve"> </w:t>
      </w:r>
      <w:r w:rsidRPr="00D4309F">
        <w:t>flexibility</w:t>
      </w:r>
      <w:r w:rsidRPr="00D4309F">
        <w:rPr>
          <w:spacing w:val="-4"/>
        </w:rPr>
        <w:t xml:space="preserve"> </w:t>
      </w:r>
      <w:r w:rsidRPr="00D4309F">
        <w:t>supports</w:t>
      </w:r>
      <w:r w:rsidRPr="00D4309F">
        <w:rPr>
          <w:spacing w:val="-3"/>
        </w:rPr>
        <w:t xml:space="preserve"> </w:t>
      </w:r>
      <w:r w:rsidRPr="00D4309F">
        <w:t>an</w:t>
      </w:r>
      <w:r w:rsidRPr="00D4309F">
        <w:rPr>
          <w:spacing w:val="-4"/>
        </w:rPr>
        <w:t xml:space="preserve"> </w:t>
      </w:r>
      <w:r w:rsidRPr="00D4309F">
        <w:t>adaptive</w:t>
      </w:r>
      <w:r w:rsidRPr="00D4309F">
        <w:rPr>
          <w:spacing w:val="-4"/>
        </w:rPr>
        <w:t xml:space="preserve"> </w:t>
      </w:r>
      <w:r w:rsidRPr="00D4309F">
        <w:t>management</w:t>
      </w:r>
      <w:r w:rsidRPr="00D4309F">
        <w:rPr>
          <w:spacing w:val="-4"/>
        </w:rPr>
        <w:t xml:space="preserve"> </w:t>
      </w:r>
      <w:r w:rsidRPr="00D4309F">
        <w:t>framework</w:t>
      </w:r>
      <w:r w:rsidRPr="00D4309F">
        <w:rPr>
          <w:spacing w:val="-4"/>
        </w:rPr>
        <w:t xml:space="preserve"> </w:t>
      </w:r>
      <w:r w:rsidRPr="00D4309F">
        <w:t>and</w:t>
      </w:r>
      <w:r w:rsidRPr="00D4309F">
        <w:rPr>
          <w:spacing w:val="-4"/>
        </w:rPr>
        <w:t xml:space="preserve"> </w:t>
      </w:r>
      <w:r w:rsidRPr="00D4309F">
        <w:t>enables</w:t>
      </w:r>
      <w:r w:rsidRPr="00D4309F">
        <w:rPr>
          <w:spacing w:val="-3"/>
        </w:rPr>
        <w:t xml:space="preserve"> </w:t>
      </w:r>
      <w:r w:rsidRPr="00D4309F">
        <w:t>incremental refinement without major new infrastructure.</w:t>
      </w:r>
    </w:p>
    <w:p w14:paraId="69957055" w14:textId="1D1944B2" w:rsidR="00725977" w:rsidRPr="00D4309F" w:rsidRDefault="00725977" w:rsidP="00725977">
      <w:pPr>
        <w:pStyle w:val="BodyText"/>
      </w:pPr>
      <w:r w:rsidRPr="00D4309F">
        <w:t>However,</w:t>
      </w:r>
      <w:r w:rsidRPr="00D4309F">
        <w:rPr>
          <w:spacing w:val="-3"/>
        </w:rPr>
        <w:t xml:space="preserve"> </w:t>
      </w:r>
      <w:r w:rsidRPr="00D4309F">
        <w:t>the</w:t>
      </w:r>
      <w:r w:rsidRPr="00D4309F">
        <w:rPr>
          <w:spacing w:val="-4"/>
        </w:rPr>
        <w:t xml:space="preserve"> </w:t>
      </w:r>
      <w:r w:rsidRPr="00D4309F">
        <w:t>concept</w:t>
      </w:r>
      <w:r w:rsidRPr="00D4309F">
        <w:rPr>
          <w:spacing w:val="-3"/>
        </w:rPr>
        <w:t xml:space="preserve"> </w:t>
      </w:r>
      <w:r w:rsidRPr="00D4309F">
        <w:t>remains</w:t>
      </w:r>
      <w:r w:rsidRPr="00D4309F">
        <w:rPr>
          <w:spacing w:val="-2"/>
        </w:rPr>
        <w:t xml:space="preserve"> </w:t>
      </w:r>
      <w:r w:rsidRPr="00D4309F">
        <w:t>dependent</w:t>
      </w:r>
      <w:r w:rsidRPr="00D4309F">
        <w:rPr>
          <w:spacing w:val="-3"/>
        </w:rPr>
        <w:t xml:space="preserve"> </w:t>
      </w:r>
      <w:r w:rsidRPr="00D4309F">
        <w:t>on</w:t>
      </w:r>
      <w:r w:rsidRPr="00D4309F">
        <w:rPr>
          <w:spacing w:val="-3"/>
        </w:rPr>
        <w:t xml:space="preserve"> </w:t>
      </w:r>
      <w:r w:rsidRPr="00D4309F">
        <w:t>dredge</w:t>
      </w:r>
      <w:r w:rsidRPr="00D4309F">
        <w:rPr>
          <w:spacing w:val="-4"/>
        </w:rPr>
        <w:t xml:space="preserve"> </w:t>
      </w:r>
      <w:r w:rsidRPr="00D4309F">
        <w:t>availability,</w:t>
      </w:r>
      <w:r w:rsidRPr="00D4309F">
        <w:rPr>
          <w:spacing w:val="-3"/>
        </w:rPr>
        <w:t xml:space="preserve"> </w:t>
      </w:r>
      <w:r w:rsidRPr="00D4309F">
        <w:t>and</w:t>
      </w:r>
      <w:r w:rsidRPr="00D4309F">
        <w:rPr>
          <w:spacing w:val="-3"/>
        </w:rPr>
        <w:t xml:space="preserve"> </w:t>
      </w:r>
      <w:r w:rsidRPr="00D4309F">
        <w:t>future</w:t>
      </w:r>
      <w:r w:rsidRPr="00D4309F">
        <w:rPr>
          <w:spacing w:val="-3"/>
        </w:rPr>
        <w:t xml:space="preserve"> </w:t>
      </w:r>
      <w:r w:rsidRPr="00D4309F">
        <w:t>access</w:t>
      </w:r>
      <w:r w:rsidRPr="00D4309F">
        <w:rPr>
          <w:spacing w:val="-2"/>
        </w:rPr>
        <w:t xml:space="preserve"> </w:t>
      </w:r>
      <w:r w:rsidRPr="00D4309F">
        <w:t>to</w:t>
      </w:r>
      <w:r w:rsidRPr="00D4309F">
        <w:rPr>
          <w:spacing w:val="-3"/>
        </w:rPr>
        <w:t xml:space="preserve"> </w:t>
      </w:r>
      <w:r w:rsidRPr="00D4309F">
        <w:t>suitable</w:t>
      </w:r>
      <w:r w:rsidRPr="00D4309F">
        <w:rPr>
          <w:spacing w:val="-3"/>
        </w:rPr>
        <w:t xml:space="preserve"> </w:t>
      </w:r>
      <w:r w:rsidRPr="00D4309F">
        <w:t>dredging</w:t>
      </w:r>
      <w:r w:rsidRPr="00D4309F">
        <w:rPr>
          <w:spacing w:val="-3"/>
        </w:rPr>
        <w:t xml:space="preserve"> </w:t>
      </w:r>
      <w:r w:rsidRPr="00D4309F">
        <w:t>plant may become constrained as other coastal sites compete for limited resources. Increases in demand or weather-related downtime could also reduce responsiveness, potentially limiting the long-term practicality of this approach.</w:t>
      </w:r>
    </w:p>
    <w:p w14:paraId="2503510F" w14:textId="77777777" w:rsidR="00725977" w:rsidRPr="00D4309F" w:rsidRDefault="00725977" w:rsidP="008228CB">
      <w:pPr>
        <w:pStyle w:val="Heading3"/>
      </w:pPr>
      <w:bookmarkStart w:id="255" w:name="_Toc216699381"/>
      <w:r w:rsidRPr="00D4309F">
        <w:t>Safety</w:t>
      </w:r>
      <w:r w:rsidRPr="00D4309F">
        <w:rPr>
          <w:spacing w:val="-3"/>
        </w:rPr>
        <w:t xml:space="preserve"> </w:t>
      </w:r>
      <w:r w:rsidRPr="00D4309F">
        <w:t>of</w:t>
      </w:r>
      <w:r w:rsidRPr="00D4309F">
        <w:rPr>
          <w:spacing w:val="-3"/>
        </w:rPr>
        <w:t xml:space="preserve"> </w:t>
      </w:r>
      <w:r w:rsidRPr="00D4309F">
        <w:t>Option</w:t>
      </w:r>
      <w:r w:rsidRPr="00D4309F">
        <w:rPr>
          <w:spacing w:val="-3"/>
        </w:rPr>
        <w:t xml:space="preserve"> </w:t>
      </w:r>
      <w:r w:rsidRPr="00D4309F">
        <w:rPr>
          <w:spacing w:val="-7"/>
        </w:rPr>
        <w:t>1A</w:t>
      </w:r>
      <w:bookmarkEnd w:id="255"/>
    </w:p>
    <w:p w14:paraId="0B4980AC" w14:textId="77777777" w:rsidR="00725977" w:rsidRPr="00D4309F" w:rsidRDefault="00725977" w:rsidP="00725977">
      <w:pPr>
        <w:pStyle w:val="BodyText"/>
      </w:pPr>
      <w:r w:rsidRPr="00D4309F">
        <w:t>Option</w:t>
      </w:r>
      <w:r w:rsidRPr="00D4309F">
        <w:rPr>
          <w:spacing w:val="-2"/>
        </w:rPr>
        <w:t xml:space="preserve"> </w:t>
      </w:r>
      <w:r w:rsidRPr="00D4309F">
        <w:t>1A</w:t>
      </w:r>
      <w:r w:rsidRPr="00D4309F">
        <w:rPr>
          <w:spacing w:val="-2"/>
        </w:rPr>
        <w:t xml:space="preserve"> </w:t>
      </w:r>
      <w:r w:rsidRPr="00D4309F">
        <w:t>improves</w:t>
      </w:r>
      <w:r w:rsidRPr="00D4309F">
        <w:rPr>
          <w:spacing w:val="-1"/>
        </w:rPr>
        <w:t xml:space="preserve"> </w:t>
      </w:r>
      <w:r w:rsidRPr="00D4309F">
        <w:t>safety</w:t>
      </w:r>
      <w:r w:rsidRPr="00D4309F">
        <w:rPr>
          <w:spacing w:val="-2"/>
        </w:rPr>
        <w:t xml:space="preserve"> </w:t>
      </w:r>
      <w:r w:rsidRPr="00D4309F">
        <w:t>at</w:t>
      </w:r>
      <w:r w:rsidRPr="00D4309F">
        <w:rPr>
          <w:spacing w:val="-2"/>
        </w:rPr>
        <w:t xml:space="preserve"> </w:t>
      </w:r>
      <w:r w:rsidRPr="00D4309F">
        <w:t>the</w:t>
      </w:r>
      <w:r w:rsidRPr="00D4309F">
        <w:rPr>
          <w:spacing w:val="-2"/>
        </w:rPr>
        <w:t xml:space="preserve"> </w:t>
      </w:r>
      <w:r w:rsidRPr="00D4309F">
        <w:t>entrance</w:t>
      </w:r>
      <w:r w:rsidRPr="00D4309F">
        <w:rPr>
          <w:spacing w:val="-2"/>
        </w:rPr>
        <w:t xml:space="preserve"> </w:t>
      </w:r>
      <w:r w:rsidRPr="00D4309F">
        <w:t>by</w:t>
      </w:r>
      <w:r w:rsidRPr="00D4309F">
        <w:rPr>
          <w:spacing w:val="-1"/>
        </w:rPr>
        <w:t xml:space="preserve"> </w:t>
      </w:r>
      <w:r w:rsidRPr="00D4309F">
        <w:t>slowing</w:t>
      </w:r>
      <w:r w:rsidRPr="00D4309F">
        <w:rPr>
          <w:spacing w:val="-3"/>
        </w:rPr>
        <w:t xml:space="preserve"> </w:t>
      </w:r>
      <w:r w:rsidRPr="00D4309F">
        <w:t>the</w:t>
      </w:r>
      <w:r w:rsidRPr="00D4309F">
        <w:rPr>
          <w:spacing w:val="-2"/>
        </w:rPr>
        <w:t xml:space="preserve"> </w:t>
      </w:r>
      <w:r w:rsidRPr="00D4309F">
        <w:t>rate</w:t>
      </w:r>
      <w:r w:rsidRPr="00D4309F">
        <w:rPr>
          <w:spacing w:val="-2"/>
        </w:rPr>
        <w:t xml:space="preserve"> </w:t>
      </w:r>
      <w:r w:rsidRPr="00D4309F">
        <w:t>of</w:t>
      </w:r>
      <w:r w:rsidRPr="00D4309F">
        <w:rPr>
          <w:spacing w:val="-2"/>
        </w:rPr>
        <w:t xml:space="preserve"> </w:t>
      </w:r>
      <w:r w:rsidRPr="00D4309F">
        <w:t>shoaling</w:t>
      </w:r>
      <w:r w:rsidRPr="00D4309F">
        <w:rPr>
          <w:spacing w:val="-2"/>
        </w:rPr>
        <w:t xml:space="preserve"> </w:t>
      </w:r>
      <w:r w:rsidRPr="00D4309F">
        <w:t>through</w:t>
      </w:r>
      <w:r w:rsidRPr="00D4309F">
        <w:rPr>
          <w:spacing w:val="-2"/>
        </w:rPr>
        <w:t xml:space="preserve"> </w:t>
      </w:r>
      <w:r w:rsidRPr="00D4309F">
        <w:t>periodic</w:t>
      </w:r>
      <w:r w:rsidRPr="00D4309F">
        <w:rPr>
          <w:spacing w:val="-2"/>
        </w:rPr>
        <w:t xml:space="preserve"> </w:t>
      </w:r>
      <w:r w:rsidRPr="00D4309F">
        <w:t>removal</w:t>
      </w:r>
      <w:r w:rsidRPr="00D4309F">
        <w:rPr>
          <w:spacing w:val="-2"/>
        </w:rPr>
        <w:t xml:space="preserve"> </w:t>
      </w:r>
      <w:r w:rsidRPr="00D4309F">
        <w:t>of</w:t>
      </w:r>
      <w:r w:rsidRPr="00D4309F">
        <w:rPr>
          <w:spacing w:val="-4"/>
        </w:rPr>
        <w:t xml:space="preserve"> </w:t>
      </w:r>
      <w:r w:rsidRPr="00D4309F">
        <w:t>sand from the Buddina Beach Sand Trap, improving the likelihood of more reliable all-tide access between dredging</w:t>
      </w:r>
      <w:r w:rsidRPr="00D4309F">
        <w:rPr>
          <w:spacing w:val="-4"/>
        </w:rPr>
        <w:t xml:space="preserve"> </w:t>
      </w:r>
      <w:r w:rsidRPr="00D4309F">
        <w:t>campaigns.</w:t>
      </w:r>
      <w:r w:rsidRPr="00D4309F">
        <w:rPr>
          <w:spacing w:val="-3"/>
        </w:rPr>
        <w:t xml:space="preserve"> </w:t>
      </w:r>
      <w:r w:rsidRPr="00D4309F">
        <w:t>Although</w:t>
      </w:r>
      <w:r w:rsidRPr="00D4309F">
        <w:rPr>
          <w:spacing w:val="-3"/>
        </w:rPr>
        <w:t xml:space="preserve"> </w:t>
      </w:r>
      <w:r w:rsidRPr="00D4309F">
        <w:t>the</w:t>
      </w:r>
      <w:r w:rsidRPr="00D4309F">
        <w:rPr>
          <w:spacing w:val="-3"/>
        </w:rPr>
        <w:t xml:space="preserve"> </w:t>
      </w:r>
      <w:r w:rsidRPr="00D4309F">
        <w:t>effectiveness</w:t>
      </w:r>
      <w:r w:rsidRPr="00D4309F">
        <w:rPr>
          <w:spacing w:val="-2"/>
        </w:rPr>
        <w:t xml:space="preserve"> </w:t>
      </w:r>
      <w:r w:rsidRPr="00D4309F">
        <w:t>is</w:t>
      </w:r>
      <w:r w:rsidRPr="00D4309F">
        <w:rPr>
          <w:spacing w:val="-4"/>
        </w:rPr>
        <w:t xml:space="preserve"> </w:t>
      </w:r>
      <w:r w:rsidRPr="00D4309F">
        <w:t>cyclical</w:t>
      </w:r>
      <w:r w:rsidRPr="00D4309F">
        <w:rPr>
          <w:spacing w:val="-3"/>
        </w:rPr>
        <w:t xml:space="preserve"> </w:t>
      </w:r>
      <w:r w:rsidRPr="00D4309F">
        <w:t>rather</w:t>
      </w:r>
      <w:r w:rsidRPr="00D4309F">
        <w:rPr>
          <w:spacing w:val="-2"/>
        </w:rPr>
        <w:t xml:space="preserve"> </w:t>
      </w:r>
      <w:r w:rsidRPr="00D4309F">
        <w:t>than</w:t>
      </w:r>
      <w:r w:rsidRPr="00D4309F">
        <w:rPr>
          <w:spacing w:val="-3"/>
        </w:rPr>
        <w:t xml:space="preserve"> </w:t>
      </w:r>
      <w:r w:rsidRPr="00D4309F">
        <w:t>continuous,</w:t>
      </w:r>
      <w:r w:rsidRPr="00D4309F">
        <w:rPr>
          <w:spacing w:val="-3"/>
        </w:rPr>
        <w:t xml:space="preserve"> </w:t>
      </w:r>
      <w:r w:rsidRPr="00D4309F">
        <w:t>maintaining</w:t>
      </w:r>
      <w:r w:rsidRPr="00D4309F">
        <w:rPr>
          <w:spacing w:val="-3"/>
        </w:rPr>
        <w:t xml:space="preserve"> </w:t>
      </w:r>
      <w:r w:rsidRPr="00D4309F">
        <w:t>the</w:t>
      </w:r>
      <w:r w:rsidRPr="00D4309F">
        <w:rPr>
          <w:spacing w:val="-3"/>
        </w:rPr>
        <w:t xml:space="preserve"> </w:t>
      </w:r>
      <w:r w:rsidRPr="00D4309F">
        <w:t>trap</w:t>
      </w:r>
      <w:r w:rsidRPr="00D4309F">
        <w:rPr>
          <w:spacing w:val="-3"/>
        </w:rPr>
        <w:t xml:space="preserve"> </w:t>
      </w:r>
      <w:r w:rsidRPr="00D4309F">
        <w:t>and</w:t>
      </w:r>
    </w:p>
    <w:p w14:paraId="4F48992D" w14:textId="76D60BB1" w:rsidR="00725977" w:rsidRPr="00D4309F" w:rsidRDefault="00725977" w:rsidP="00725977">
      <w:pPr>
        <w:pStyle w:val="BodyText"/>
      </w:pPr>
      <w:r w:rsidRPr="00D4309F">
        <w:lastRenderedPageBreak/>
        <w:t>transferring material offshore helps extend the duration between rapid shoal formations that typically restrict access at low tide. This contributes to improved clarity of navigation, as channel depths remain stable for longer periods and navigational aids require fewer emergency adjustments. For mariner safety, Option 1A reduces the occurrence of wave-induced hazards associated with shallow shoal crests, including wave breaking and sudden depth changes that can impact small craft. The primary safety drawback for Option 1A occurs during dredging operations, when the presence of a TSHD introduces temporary navigation constraints near the entrance; however, these risks are well managed through established maritime</w:t>
      </w:r>
      <w:r w:rsidRPr="00D4309F">
        <w:rPr>
          <w:spacing w:val="40"/>
        </w:rPr>
        <w:t xml:space="preserve"> </w:t>
      </w:r>
      <w:r w:rsidRPr="00D4309F">
        <w:t>protocols</w:t>
      </w:r>
      <w:r w:rsidRPr="00D4309F">
        <w:rPr>
          <w:spacing w:val="-2"/>
        </w:rPr>
        <w:t xml:space="preserve"> </w:t>
      </w:r>
      <w:r w:rsidRPr="00D4309F">
        <w:t>and</w:t>
      </w:r>
      <w:r w:rsidRPr="00D4309F">
        <w:rPr>
          <w:spacing w:val="-4"/>
        </w:rPr>
        <w:t xml:space="preserve"> </w:t>
      </w:r>
      <w:r w:rsidRPr="00D4309F">
        <w:t>exclusion</w:t>
      </w:r>
      <w:r w:rsidRPr="00D4309F">
        <w:rPr>
          <w:spacing w:val="-3"/>
        </w:rPr>
        <w:t xml:space="preserve"> </w:t>
      </w:r>
      <w:r w:rsidRPr="00D4309F">
        <w:t>zones.</w:t>
      </w:r>
      <w:r w:rsidRPr="00D4309F">
        <w:rPr>
          <w:spacing w:val="-3"/>
        </w:rPr>
        <w:t xml:space="preserve"> </w:t>
      </w:r>
      <w:r w:rsidRPr="00D4309F">
        <w:t>Overall,</w:t>
      </w:r>
      <w:r w:rsidRPr="00D4309F">
        <w:rPr>
          <w:spacing w:val="-3"/>
        </w:rPr>
        <w:t xml:space="preserve"> </w:t>
      </w:r>
      <w:r w:rsidRPr="00D4309F">
        <w:t>Option</w:t>
      </w:r>
      <w:r w:rsidRPr="00D4309F">
        <w:rPr>
          <w:spacing w:val="-3"/>
        </w:rPr>
        <w:t xml:space="preserve"> </w:t>
      </w:r>
      <w:r w:rsidRPr="00D4309F">
        <w:t>1A</w:t>
      </w:r>
      <w:r w:rsidRPr="00D4309F">
        <w:rPr>
          <w:spacing w:val="-3"/>
        </w:rPr>
        <w:t xml:space="preserve"> </w:t>
      </w:r>
      <w:r w:rsidRPr="00D4309F">
        <w:t>delivers</w:t>
      </w:r>
      <w:r w:rsidRPr="00D4309F">
        <w:rPr>
          <w:spacing w:val="-2"/>
        </w:rPr>
        <w:t xml:space="preserve"> </w:t>
      </w:r>
      <w:r w:rsidRPr="00D4309F">
        <w:t>a</w:t>
      </w:r>
      <w:r w:rsidRPr="00D4309F">
        <w:rPr>
          <w:spacing w:val="-3"/>
        </w:rPr>
        <w:t xml:space="preserve"> </w:t>
      </w:r>
      <w:r w:rsidRPr="00D4309F">
        <w:t>moderate</w:t>
      </w:r>
      <w:r w:rsidRPr="00D4309F">
        <w:rPr>
          <w:spacing w:val="-3"/>
        </w:rPr>
        <w:t xml:space="preserve"> </w:t>
      </w:r>
      <w:r w:rsidRPr="00D4309F">
        <w:t>safety</w:t>
      </w:r>
      <w:r w:rsidRPr="00D4309F">
        <w:rPr>
          <w:spacing w:val="-2"/>
        </w:rPr>
        <w:t xml:space="preserve"> </w:t>
      </w:r>
      <w:r w:rsidRPr="00D4309F">
        <w:t>benefit,</w:t>
      </w:r>
      <w:r w:rsidRPr="00D4309F">
        <w:rPr>
          <w:spacing w:val="-3"/>
        </w:rPr>
        <w:t xml:space="preserve"> </w:t>
      </w:r>
      <w:r w:rsidRPr="00D4309F">
        <w:t>improving</w:t>
      </w:r>
      <w:r w:rsidRPr="00D4309F">
        <w:rPr>
          <w:spacing w:val="-3"/>
        </w:rPr>
        <w:t xml:space="preserve"> </w:t>
      </w:r>
      <w:r w:rsidRPr="00D4309F">
        <w:t>predictability of conditions while relying on periodic intervention.</w:t>
      </w:r>
    </w:p>
    <w:p w14:paraId="2F292BD7" w14:textId="77777777" w:rsidR="00725977" w:rsidRPr="00D4309F" w:rsidRDefault="00725977" w:rsidP="008228CB">
      <w:pPr>
        <w:pStyle w:val="Heading3"/>
      </w:pPr>
      <w:bookmarkStart w:id="256" w:name="_Toc216699382"/>
      <w:r w:rsidRPr="00D4309F">
        <w:t>Cost and</w:t>
      </w:r>
      <w:r w:rsidRPr="00D4309F">
        <w:rPr>
          <w:spacing w:val="-3"/>
        </w:rPr>
        <w:t xml:space="preserve"> </w:t>
      </w:r>
      <w:r w:rsidRPr="00D4309F">
        <w:t>feasibility</w:t>
      </w:r>
      <w:bookmarkEnd w:id="256"/>
    </w:p>
    <w:p w14:paraId="29620588" w14:textId="63371A89" w:rsidR="00725977" w:rsidRPr="00D4309F" w:rsidRDefault="00725977" w:rsidP="00725977">
      <w:pPr>
        <w:pStyle w:val="BodyText"/>
      </w:pPr>
      <w:r w:rsidRPr="00D4309F">
        <w:t>The proposed option entails a moderate capital expenditure, primarily associated with one-off dredging works, as well as recurring operational costs for maintenance dredging every two to three years, subject to shoaling rates. The technical feasibility is considered high, as the approach employs established dredging techniques</w:t>
      </w:r>
      <w:r w:rsidRPr="00D4309F">
        <w:rPr>
          <w:spacing w:val="-2"/>
        </w:rPr>
        <w:t xml:space="preserve"> </w:t>
      </w:r>
      <w:r w:rsidRPr="00D4309F">
        <w:t>and</w:t>
      </w:r>
      <w:r w:rsidRPr="00D4309F">
        <w:rPr>
          <w:spacing w:val="-3"/>
        </w:rPr>
        <w:t xml:space="preserve"> </w:t>
      </w:r>
      <w:r w:rsidRPr="00D4309F">
        <w:t>equipment</w:t>
      </w:r>
      <w:r w:rsidRPr="00D4309F">
        <w:rPr>
          <w:spacing w:val="-5"/>
        </w:rPr>
        <w:t xml:space="preserve"> </w:t>
      </w:r>
      <w:r w:rsidRPr="00D4309F">
        <w:t>that</w:t>
      </w:r>
      <w:r w:rsidRPr="00D4309F">
        <w:rPr>
          <w:spacing w:val="-3"/>
        </w:rPr>
        <w:t xml:space="preserve"> </w:t>
      </w:r>
      <w:r w:rsidRPr="00D4309F">
        <w:t>are</w:t>
      </w:r>
      <w:r w:rsidRPr="00D4309F">
        <w:rPr>
          <w:spacing w:val="-3"/>
        </w:rPr>
        <w:t xml:space="preserve"> </w:t>
      </w:r>
      <w:r w:rsidRPr="00D4309F">
        <w:t>readily</w:t>
      </w:r>
      <w:r w:rsidRPr="00D4309F">
        <w:rPr>
          <w:spacing w:val="-2"/>
        </w:rPr>
        <w:t xml:space="preserve"> </w:t>
      </w:r>
      <w:r w:rsidRPr="00D4309F">
        <w:t>available</w:t>
      </w:r>
      <w:r w:rsidRPr="00D4309F">
        <w:rPr>
          <w:spacing w:val="-4"/>
        </w:rPr>
        <w:t xml:space="preserve"> </w:t>
      </w:r>
      <w:r w:rsidRPr="00D4309F">
        <w:t>within</w:t>
      </w:r>
      <w:r w:rsidRPr="00D4309F">
        <w:rPr>
          <w:spacing w:val="-4"/>
        </w:rPr>
        <w:t xml:space="preserve"> </w:t>
      </w:r>
      <w:r w:rsidRPr="00D4309F">
        <w:t>Queensland.</w:t>
      </w:r>
      <w:r w:rsidRPr="00D4309F">
        <w:rPr>
          <w:spacing w:val="-3"/>
        </w:rPr>
        <w:t xml:space="preserve"> </w:t>
      </w:r>
      <w:r w:rsidRPr="00D4309F">
        <w:t>Notwithstanding</w:t>
      </w:r>
      <w:r w:rsidRPr="00D4309F">
        <w:rPr>
          <w:spacing w:val="-3"/>
        </w:rPr>
        <w:t xml:space="preserve"> </w:t>
      </w:r>
      <w:r w:rsidRPr="00D4309F">
        <w:t>these</w:t>
      </w:r>
      <w:r w:rsidRPr="00D4309F">
        <w:rPr>
          <w:spacing w:val="-3"/>
        </w:rPr>
        <w:t xml:space="preserve"> </w:t>
      </w:r>
      <w:r w:rsidRPr="00D4309F">
        <w:t>advantages, there are inherent risks, including dependency on favourable weather conditions, uncertainty regarding sediment replenishment rates, and the ongoing financial burden of operational maintenance.</w:t>
      </w:r>
    </w:p>
    <w:p w14:paraId="307AF9E4" w14:textId="77777777" w:rsidR="00725977" w:rsidRPr="00D4309F" w:rsidRDefault="00725977" w:rsidP="008228CB">
      <w:pPr>
        <w:pStyle w:val="Heading3"/>
      </w:pPr>
      <w:bookmarkStart w:id="257" w:name="_Toc216699383"/>
      <w:r w:rsidRPr="00D4309F">
        <w:t>Option</w:t>
      </w:r>
      <w:r w:rsidRPr="00D4309F">
        <w:rPr>
          <w:spacing w:val="-3"/>
        </w:rPr>
        <w:t xml:space="preserve"> </w:t>
      </w:r>
      <w:r w:rsidRPr="00D4309F">
        <w:t>1A</w:t>
      </w:r>
      <w:r w:rsidRPr="00D4309F">
        <w:rPr>
          <w:spacing w:val="-2"/>
        </w:rPr>
        <w:t xml:space="preserve"> summary</w:t>
      </w:r>
      <w:bookmarkEnd w:id="257"/>
    </w:p>
    <w:p w14:paraId="78D15E3E" w14:textId="5A7D1CAB" w:rsidR="00725977" w:rsidRPr="00D4309F" w:rsidRDefault="00725977" w:rsidP="00725977">
      <w:pPr>
        <w:pStyle w:val="BodyText"/>
      </w:pPr>
      <w:r w:rsidRPr="00D4309F">
        <w:t>Option 1A represents a low-risk, soft-engineering solution that aligns with community and SRG preferences for</w:t>
      </w:r>
      <w:r w:rsidRPr="00D4309F">
        <w:rPr>
          <w:spacing w:val="-2"/>
        </w:rPr>
        <w:t xml:space="preserve"> </w:t>
      </w:r>
      <w:r w:rsidRPr="00D4309F">
        <w:t>non-structural</w:t>
      </w:r>
      <w:r w:rsidRPr="00D4309F">
        <w:rPr>
          <w:spacing w:val="-3"/>
        </w:rPr>
        <w:t xml:space="preserve"> </w:t>
      </w:r>
      <w:r w:rsidRPr="00D4309F">
        <w:t>interventions.</w:t>
      </w:r>
      <w:r w:rsidRPr="00D4309F">
        <w:rPr>
          <w:spacing w:val="-3"/>
        </w:rPr>
        <w:t xml:space="preserve"> </w:t>
      </w:r>
      <w:r w:rsidRPr="00D4309F">
        <w:t>It</w:t>
      </w:r>
      <w:r w:rsidRPr="00D4309F">
        <w:rPr>
          <w:spacing w:val="-3"/>
        </w:rPr>
        <w:t xml:space="preserve"> </w:t>
      </w:r>
      <w:r w:rsidRPr="00D4309F">
        <w:t>provides</w:t>
      </w:r>
      <w:r w:rsidRPr="00D4309F">
        <w:rPr>
          <w:spacing w:val="-2"/>
        </w:rPr>
        <w:t xml:space="preserve"> </w:t>
      </w:r>
      <w:r w:rsidRPr="00D4309F">
        <w:t>a</w:t>
      </w:r>
      <w:r w:rsidRPr="00D4309F">
        <w:rPr>
          <w:spacing w:val="-3"/>
        </w:rPr>
        <w:t xml:space="preserve"> </w:t>
      </w:r>
      <w:r w:rsidRPr="00D4309F">
        <w:t>practical</w:t>
      </w:r>
      <w:r w:rsidRPr="00D4309F">
        <w:rPr>
          <w:spacing w:val="-4"/>
        </w:rPr>
        <w:t xml:space="preserve"> </w:t>
      </w:r>
      <w:r w:rsidRPr="00D4309F">
        <w:t>starting</w:t>
      </w:r>
      <w:r w:rsidRPr="00D4309F">
        <w:rPr>
          <w:spacing w:val="-3"/>
        </w:rPr>
        <w:t xml:space="preserve"> </w:t>
      </w:r>
      <w:r w:rsidRPr="00D4309F">
        <w:t>point</w:t>
      </w:r>
      <w:r w:rsidRPr="00D4309F">
        <w:rPr>
          <w:spacing w:val="-3"/>
        </w:rPr>
        <w:t xml:space="preserve"> </w:t>
      </w:r>
      <w:r w:rsidRPr="00D4309F">
        <w:t>for</w:t>
      </w:r>
      <w:r w:rsidRPr="00D4309F">
        <w:rPr>
          <w:spacing w:val="-2"/>
        </w:rPr>
        <w:t xml:space="preserve"> </w:t>
      </w:r>
      <w:r w:rsidRPr="00D4309F">
        <w:t>improving</w:t>
      </w:r>
      <w:r w:rsidRPr="00D4309F">
        <w:rPr>
          <w:spacing w:val="-4"/>
        </w:rPr>
        <w:t xml:space="preserve"> </w:t>
      </w:r>
      <w:r w:rsidRPr="00D4309F">
        <w:t>entrance</w:t>
      </w:r>
      <w:r w:rsidRPr="00D4309F">
        <w:rPr>
          <w:spacing w:val="-3"/>
        </w:rPr>
        <w:t xml:space="preserve"> </w:t>
      </w:r>
      <w:r w:rsidRPr="00D4309F">
        <w:t>management</w:t>
      </w:r>
      <w:r w:rsidRPr="00D4309F">
        <w:rPr>
          <w:spacing w:val="-3"/>
        </w:rPr>
        <w:t xml:space="preserve"> </w:t>
      </w:r>
      <w:r w:rsidRPr="00D4309F">
        <w:t>and can serve as a pilot or transitional measure toward more permanent bypassing systems. While it cannot eliminate shoaling entirely, it offers an effective way to reduce sediment input and build operational experience at modest cost and environmental impact. The below table outlines the advantages and disadvantages that have been recognised with this options approach (</w:t>
      </w:r>
      <w:hyperlink w:anchor="_bookmark110" w:history="1">
        <w:r w:rsidR="009213C9">
          <w:fldChar w:fldCharType="begin" w:fldLock="1"/>
        </w:r>
        <w:r w:rsidR="009213C9">
          <w:instrText xml:space="preserve"> REF _Ref215979323 \h </w:instrText>
        </w:r>
        <w:r w:rsidR="009213C9">
          <w:fldChar w:fldCharType="separate"/>
        </w:r>
        <w:r w:rsidR="009213C9">
          <w:t xml:space="preserve">Table </w:t>
        </w:r>
        <w:r w:rsidR="009213C9">
          <w:rPr>
            <w:noProof/>
          </w:rPr>
          <w:t>13</w:t>
        </w:r>
        <w:r w:rsidR="009213C9">
          <w:noBreakHyphen/>
        </w:r>
        <w:r w:rsidR="009213C9">
          <w:rPr>
            <w:noProof/>
          </w:rPr>
          <w:t>3</w:t>
        </w:r>
        <w:r w:rsidR="009213C9">
          <w:fldChar w:fldCharType="end"/>
        </w:r>
      </w:hyperlink>
      <w:r w:rsidRPr="00D4309F">
        <w:t>)</w:t>
      </w:r>
    </w:p>
    <w:p w14:paraId="6C7E0E4A" w14:textId="77777777" w:rsidR="008D4B12" w:rsidRPr="00D4309F" w:rsidRDefault="008D4B12" w:rsidP="006A0C95">
      <w:pPr>
        <w:pStyle w:val="BodyText"/>
      </w:pPr>
      <w:bookmarkStart w:id="258" w:name="_bookmark110"/>
      <w:bookmarkEnd w:id="258"/>
    </w:p>
    <w:p w14:paraId="4E09EF27" w14:textId="40832BA7" w:rsidR="00725977" w:rsidRDefault="006A0C95" w:rsidP="00151534">
      <w:pPr>
        <w:pStyle w:val="Table-Caption"/>
        <w:rPr>
          <w:color w:val="211E1F"/>
          <w:spacing w:val="-2"/>
        </w:rPr>
      </w:pPr>
      <w:bookmarkStart w:id="259" w:name="_Ref215979323"/>
      <w:bookmarkStart w:id="260" w:name="_Toc216699550"/>
      <w:r>
        <w:t xml:space="preserve">Table </w:t>
      </w:r>
      <w:r w:rsidR="00151534">
        <w:fldChar w:fldCharType="begin" w:fldLock="1"/>
      </w:r>
      <w:r w:rsidR="00151534">
        <w:instrText xml:space="preserve"> STYLEREF 1 \s </w:instrText>
      </w:r>
      <w:r w:rsidR="00151534">
        <w:fldChar w:fldCharType="separate"/>
      </w:r>
      <w:r w:rsidR="00151534">
        <w:rPr>
          <w:noProof/>
        </w:rPr>
        <w:t>13</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3</w:t>
      </w:r>
      <w:r w:rsidR="00151534">
        <w:fldChar w:fldCharType="end"/>
      </w:r>
      <w:bookmarkEnd w:id="259"/>
      <w:r>
        <w:t>:</w:t>
      </w:r>
      <w:r>
        <w:tab/>
      </w:r>
      <w:r w:rsidRPr="00D4309F">
        <w:rPr>
          <w:color w:val="211E1F"/>
        </w:rPr>
        <w:t>Overview</w:t>
      </w:r>
      <w:r w:rsidRPr="00D4309F">
        <w:rPr>
          <w:color w:val="211E1F"/>
          <w:spacing w:val="-1"/>
        </w:rPr>
        <w:t xml:space="preserve"> </w:t>
      </w:r>
      <w:r w:rsidRPr="00D4309F">
        <w:rPr>
          <w:color w:val="211E1F"/>
        </w:rPr>
        <w:t>of</w:t>
      </w:r>
      <w:r w:rsidRPr="00D4309F">
        <w:rPr>
          <w:color w:val="211E1F"/>
          <w:spacing w:val="-2"/>
        </w:rPr>
        <w:t xml:space="preserve"> </w:t>
      </w:r>
      <w:r w:rsidRPr="00D4309F">
        <w:rPr>
          <w:color w:val="211E1F"/>
        </w:rPr>
        <w:t>Option</w:t>
      </w:r>
      <w:r w:rsidRPr="00D4309F">
        <w:rPr>
          <w:color w:val="211E1F"/>
          <w:spacing w:val="-1"/>
        </w:rPr>
        <w:t xml:space="preserve"> </w:t>
      </w:r>
      <w:r w:rsidRPr="00D4309F">
        <w:rPr>
          <w:color w:val="211E1F"/>
        </w:rPr>
        <w:t>1A</w:t>
      </w:r>
      <w:r w:rsidRPr="00D4309F">
        <w:rPr>
          <w:color w:val="211E1F"/>
          <w:spacing w:val="-1"/>
        </w:rPr>
        <w:t xml:space="preserve"> </w:t>
      </w:r>
      <w:r w:rsidRPr="00D4309F">
        <w:rPr>
          <w:color w:val="211E1F"/>
        </w:rPr>
        <w:t>–</w:t>
      </w:r>
      <w:r w:rsidRPr="00D4309F">
        <w:rPr>
          <w:color w:val="211E1F"/>
          <w:spacing w:val="-2"/>
        </w:rPr>
        <w:t xml:space="preserve"> </w:t>
      </w:r>
      <w:r w:rsidRPr="00D4309F">
        <w:rPr>
          <w:color w:val="211E1F"/>
        </w:rPr>
        <w:t>Advantages</w:t>
      </w:r>
      <w:r w:rsidRPr="00D4309F">
        <w:rPr>
          <w:color w:val="211E1F"/>
          <w:spacing w:val="-2"/>
        </w:rPr>
        <w:t xml:space="preserve"> </w:t>
      </w:r>
      <w:r w:rsidRPr="00D4309F">
        <w:rPr>
          <w:color w:val="211E1F"/>
        </w:rPr>
        <w:t>and</w:t>
      </w:r>
      <w:r w:rsidRPr="00D4309F">
        <w:rPr>
          <w:color w:val="211E1F"/>
          <w:spacing w:val="-2"/>
        </w:rPr>
        <w:t xml:space="preserve"> Disadvantages</w:t>
      </w:r>
      <w:bookmarkEnd w:id="260"/>
    </w:p>
    <w:tbl>
      <w:tblPr>
        <w:tblStyle w:val="Table1"/>
        <w:tblW w:w="0" w:type="auto"/>
        <w:tblLook w:val="04A0" w:firstRow="1" w:lastRow="0" w:firstColumn="1" w:lastColumn="0" w:noHBand="0" w:noVBand="1"/>
      </w:tblPr>
      <w:tblGrid>
        <w:gridCol w:w="4816"/>
        <w:gridCol w:w="4816"/>
      </w:tblGrid>
      <w:tr w:rsidR="008D4B12" w14:paraId="4AA38CB6" w14:textId="77777777" w:rsidTr="008D4B12">
        <w:trPr>
          <w:cnfStyle w:val="100000000000" w:firstRow="1" w:lastRow="0" w:firstColumn="0" w:lastColumn="0" w:oddVBand="0" w:evenVBand="0" w:oddHBand="0" w:evenHBand="0" w:firstRowFirstColumn="0" w:firstRowLastColumn="0" w:lastRowFirstColumn="0" w:lastRowLastColumn="0"/>
        </w:trPr>
        <w:tc>
          <w:tcPr>
            <w:tcW w:w="4816" w:type="dxa"/>
          </w:tcPr>
          <w:p w14:paraId="41A4D4CB" w14:textId="2EF1F7B1" w:rsidR="008D4B12" w:rsidRDefault="008D4B12" w:rsidP="008D4B12">
            <w:pPr>
              <w:pStyle w:val="Table-Heading"/>
            </w:pPr>
            <w:r>
              <w:t>Advantages</w:t>
            </w:r>
          </w:p>
        </w:tc>
        <w:tc>
          <w:tcPr>
            <w:tcW w:w="4816" w:type="dxa"/>
          </w:tcPr>
          <w:p w14:paraId="6B8439A0" w14:textId="2D308875" w:rsidR="008D4B12" w:rsidRDefault="008D4B12" w:rsidP="008D4B12">
            <w:pPr>
              <w:pStyle w:val="Table-Heading"/>
            </w:pPr>
            <w:r>
              <w:t>Disadvantages</w:t>
            </w:r>
          </w:p>
        </w:tc>
      </w:tr>
      <w:tr w:rsidR="008D4B12" w14:paraId="1922F475" w14:textId="77777777" w:rsidTr="008D4B12">
        <w:tc>
          <w:tcPr>
            <w:tcW w:w="4816" w:type="dxa"/>
          </w:tcPr>
          <w:p w14:paraId="3377D03D" w14:textId="77777777" w:rsidR="008D4B12" w:rsidRPr="00D4309F" w:rsidRDefault="008D4B12" w:rsidP="008D4B12">
            <w:pPr>
              <w:pStyle w:val="Table-Bullet"/>
            </w:pPr>
            <w:r w:rsidRPr="00D4309F">
              <w:t>Simple,</w:t>
            </w:r>
            <w:r w:rsidRPr="00D4309F">
              <w:rPr>
                <w:spacing w:val="-4"/>
              </w:rPr>
              <w:t xml:space="preserve"> </w:t>
            </w:r>
            <w:r w:rsidRPr="00D4309F">
              <w:t>proven</w:t>
            </w:r>
            <w:r w:rsidRPr="00D4309F">
              <w:rPr>
                <w:spacing w:val="-4"/>
              </w:rPr>
              <w:t xml:space="preserve"> </w:t>
            </w:r>
            <w:r w:rsidRPr="00D4309F">
              <w:t>dredging</w:t>
            </w:r>
            <w:r w:rsidRPr="00D4309F">
              <w:rPr>
                <w:spacing w:val="-4"/>
              </w:rPr>
              <w:t xml:space="preserve"> </w:t>
            </w:r>
            <w:r w:rsidRPr="00D4309F">
              <w:rPr>
                <w:spacing w:val="-2"/>
              </w:rPr>
              <w:t>method.</w:t>
            </w:r>
          </w:p>
          <w:p w14:paraId="167C83D0" w14:textId="77777777" w:rsidR="008D4B12" w:rsidRPr="00D4309F" w:rsidRDefault="008D4B12" w:rsidP="008D4B12">
            <w:pPr>
              <w:pStyle w:val="Table-Bullet"/>
            </w:pPr>
            <w:r w:rsidRPr="00D4309F">
              <w:t>Works</w:t>
            </w:r>
            <w:r w:rsidRPr="00D4309F">
              <w:rPr>
                <w:spacing w:val="-8"/>
              </w:rPr>
              <w:t xml:space="preserve"> </w:t>
            </w:r>
            <w:r w:rsidRPr="00D4309F">
              <w:t>with</w:t>
            </w:r>
            <w:r w:rsidRPr="00D4309F">
              <w:rPr>
                <w:spacing w:val="-9"/>
              </w:rPr>
              <w:t xml:space="preserve"> </w:t>
            </w:r>
            <w:r w:rsidRPr="00D4309F">
              <w:t>natural</w:t>
            </w:r>
            <w:r w:rsidRPr="00D4309F">
              <w:rPr>
                <w:spacing w:val="-8"/>
              </w:rPr>
              <w:t xml:space="preserve"> </w:t>
            </w:r>
            <w:r w:rsidRPr="00D4309F">
              <w:t>coastal</w:t>
            </w:r>
            <w:r w:rsidRPr="00D4309F">
              <w:rPr>
                <w:spacing w:val="-8"/>
              </w:rPr>
              <w:t xml:space="preserve"> </w:t>
            </w:r>
            <w:r w:rsidRPr="00D4309F">
              <w:t>processes</w:t>
            </w:r>
            <w:r w:rsidRPr="00D4309F">
              <w:rPr>
                <w:spacing w:val="-8"/>
              </w:rPr>
              <w:t xml:space="preserve"> </w:t>
            </w:r>
            <w:r w:rsidRPr="00D4309F">
              <w:t xml:space="preserve">(soft </w:t>
            </w:r>
            <w:r w:rsidRPr="00D4309F">
              <w:rPr>
                <w:spacing w:val="-2"/>
              </w:rPr>
              <w:t>approach).</w:t>
            </w:r>
          </w:p>
          <w:p w14:paraId="41D97943" w14:textId="77777777" w:rsidR="008D4B12" w:rsidRPr="00D4309F" w:rsidRDefault="008D4B12" w:rsidP="008D4B12">
            <w:pPr>
              <w:pStyle w:val="Table-Bullet"/>
            </w:pPr>
            <w:r w:rsidRPr="00D4309F">
              <w:t>Reduces</w:t>
            </w:r>
            <w:r w:rsidRPr="00D4309F">
              <w:rPr>
                <w:spacing w:val="-3"/>
              </w:rPr>
              <w:t xml:space="preserve"> </w:t>
            </w:r>
            <w:r w:rsidRPr="00D4309F">
              <w:t>shoaling</w:t>
            </w:r>
            <w:r w:rsidRPr="00D4309F">
              <w:rPr>
                <w:spacing w:val="-4"/>
              </w:rPr>
              <w:t xml:space="preserve"> </w:t>
            </w:r>
            <w:r w:rsidRPr="00D4309F">
              <w:t>at</w:t>
            </w:r>
            <w:r w:rsidRPr="00D4309F">
              <w:rPr>
                <w:spacing w:val="-3"/>
              </w:rPr>
              <w:t xml:space="preserve"> </w:t>
            </w:r>
            <w:r w:rsidRPr="00D4309F">
              <w:t>the</w:t>
            </w:r>
            <w:r w:rsidRPr="00D4309F">
              <w:rPr>
                <w:spacing w:val="-4"/>
              </w:rPr>
              <w:t xml:space="preserve"> </w:t>
            </w:r>
            <w:r w:rsidRPr="00D4309F">
              <w:t>entrance,</w:t>
            </w:r>
            <w:r w:rsidRPr="00D4309F">
              <w:rPr>
                <w:spacing w:val="-3"/>
              </w:rPr>
              <w:t xml:space="preserve"> </w:t>
            </w:r>
            <w:r w:rsidRPr="00D4309F">
              <w:t>improving</w:t>
            </w:r>
            <w:r w:rsidRPr="00D4309F">
              <w:rPr>
                <w:spacing w:val="-1"/>
              </w:rPr>
              <w:t xml:space="preserve"> </w:t>
            </w:r>
            <w:r w:rsidRPr="00D4309F">
              <w:rPr>
                <w:spacing w:val="-2"/>
              </w:rPr>
              <w:t>safety.</w:t>
            </w:r>
          </w:p>
          <w:p w14:paraId="4F0DC9BE" w14:textId="77777777" w:rsidR="008D4B12" w:rsidRPr="00D4309F" w:rsidRDefault="008D4B12" w:rsidP="008D4B12">
            <w:pPr>
              <w:pStyle w:val="Table-Bullet"/>
            </w:pPr>
            <w:r w:rsidRPr="00D4309F">
              <w:t>Enables</w:t>
            </w:r>
            <w:r w:rsidRPr="00D4309F">
              <w:rPr>
                <w:spacing w:val="-3"/>
              </w:rPr>
              <w:t xml:space="preserve"> </w:t>
            </w:r>
            <w:r w:rsidRPr="00D4309F">
              <w:t>beneficial</w:t>
            </w:r>
            <w:r w:rsidRPr="00D4309F">
              <w:rPr>
                <w:spacing w:val="-3"/>
              </w:rPr>
              <w:t xml:space="preserve"> </w:t>
            </w:r>
            <w:r w:rsidRPr="00D4309F">
              <w:t>sand</w:t>
            </w:r>
            <w:r w:rsidRPr="00D4309F">
              <w:rPr>
                <w:spacing w:val="-3"/>
              </w:rPr>
              <w:t xml:space="preserve"> </w:t>
            </w:r>
            <w:r w:rsidRPr="00D4309F">
              <w:t>reuse</w:t>
            </w:r>
            <w:r w:rsidRPr="00D4309F">
              <w:rPr>
                <w:spacing w:val="-2"/>
              </w:rPr>
              <w:t xml:space="preserve"> </w:t>
            </w:r>
            <w:r w:rsidRPr="00D4309F">
              <w:t>for</w:t>
            </w:r>
            <w:r w:rsidRPr="00D4309F">
              <w:rPr>
                <w:spacing w:val="-3"/>
              </w:rPr>
              <w:t xml:space="preserve"> </w:t>
            </w:r>
            <w:r w:rsidRPr="00D4309F">
              <w:t>local</w:t>
            </w:r>
            <w:r w:rsidRPr="00D4309F">
              <w:rPr>
                <w:spacing w:val="-2"/>
              </w:rPr>
              <w:t xml:space="preserve"> nourishment.</w:t>
            </w:r>
          </w:p>
          <w:p w14:paraId="7F59F702" w14:textId="3C3CB89A" w:rsidR="008D4B12" w:rsidRDefault="008D4B12" w:rsidP="008D4B12">
            <w:pPr>
              <w:pStyle w:val="Table-Bullet"/>
            </w:pPr>
            <w:r w:rsidRPr="00D4309F">
              <w:t>Minimal</w:t>
            </w:r>
            <w:r w:rsidRPr="00D4309F">
              <w:rPr>
                <w:spacing w:val="-3"/>
              </w:rPr>
              <w:t xml:space="preserve"> </w:t>
            </w:r>
            <w:r w:rsidRPr="00D4309F">
              <w:t>new</w:t>
            </w:r>
            <w:r w:rsidRPr="00D4309F">
              <w:rPr>
                <w:spacing w:val="-2"/>
              </w:rPr>
              <w:t xml:space="preserve"> </w:t>
            </w:r>
            <w:r w:rsidRPr="00D4309F">
              <w:t>infrastructure</w:t>
            </w:r>
            <w:r w:rsidRPr="00D4309F">
              <w:rPr>
                <w:spacing w:val="-4"/>
              </w:rPr>
              <w:t xml:space="preserve"> </w:t>
            </w:r>
            <w:r w:rsidRPr="00D4309F">
              <w:t>or</w:t>
            </w:r>
            <w:r w:rsidRPr="00D4309F">
              <w:rPr>
                <w:spacing w:val="-2"/>
              </w:rPr>
              <w:t xml:space="preserve"> </w:t>
            </w:r>
            <w:r w:rsidRPr="00D4309F">
              <w:t>visual</w:t>
            </w:r>
            <w:r w:rsidRPr="00D4309F">
              <w:rPr>
                <w:spacing w:val="-2"/>
              </w:rPr>
              <w:t xml:space="preserve"> impact.</w:t>
            </w:r>
          </w:p>
        </w:tc>
        <w:tc>
          <w:tcPr>
            <w:tcW w:w="4816" w:type="dxa"/>
          </w:tcPr>
          <w:p w14:paraId="0DC7A1ED" w14:textId="77777777" w:rsidR="008D4B12" w:rsidRPr="00D4309F" w:rsidRDefault="008D4B12" w:rsidP="008D4B12">
            <w:pPr>
              <w:pStyle w:val="Table-Bullet"/>
            </w:pPr>
            <w:r w:rsidRPr="00D4309F">
              <w:t>Requires</w:t>
            </w:r>
            <w:r w:rsidRPr="00D4309F">
              <w:rPr>
                <w:spacing w:val="-5"/>
              </w:rPr>
              <w:t xml:space="preserve"> </w:t>
            </w:r>
            <w:r w:rsidRPr="00D4309F">
              <w:t>ongoing</w:t>
            </w:r>
            <w:r w:rsidRPr="00D4309F">
              <w:rPr>
                <w:spacing w:val="-5"/>
              </w:rPr>
              <w:t xml:space="preserve"> </w:t>
            </w:r>
            <w:r w:rsidRPr="00D4309F">
              <w:t>dredging</w:t>
            </w:r>
            <w:r w:rsidRPr="00D4309F">
              <w:rPr>
                <w:spacing w:val="-4"/>
              </w:rPr>
              <w:t xml:space="preserve"> </w:t>
            </w:r>
            <w:r w:rsidRPr="00D4309F">
              <w:rPr>
                <w:spacing w:val="-2"/>
              </w:rPr>
              <w:t>campaigns.</w:t>
            </w:r>
          </w:p>
          <w:p w14:paraId="3E9BBD0A" w14:textId="77777777" w:rsidR="008D4B12" w:rsidRPr="00D4309F" w:rsidRDefault="008D4B12" w:rsidP="008D4B12">
            <w:pPr>
              <w:pStyle w:val="Table-Bullet"/>
            </w:pPr>
            <w:r w:rsidRPr="00D4309F">
              <w:t>Dependent</w:t>
            </w:r>
            <w:r w:rsidRPr="00D4309F">
              <w:rPr>
                <w:spacing w:val="-3"/>
              </w:rPr>
              <w:t xml:space="preserve"> </w:t>
            </w:r>
            <w:r w:rsidRPr="00D4309F">
              <w:t>on</w:t>
            </w:r>
            <w:r w:rsidRPr="00D4309F">
              <w:rPr>
                <w:spacing w:val="-2"/>
              </w:rPr>
              <w:t xml:space="preserve"> </w:t>
            </w:r>
            <w:r w:rsidRPr="00D4309F">
              <w:t>calm</w:t>
            </w:r>
            <w:r w:rsidRPr="00D4309F">
              <w:rPr>
                <w:spacing w:val="-3"/>
              </w:rPr>
              <w:t xml:space="preserve"> </w:t>
            </w:r>
            <w:r w:rsidRPr="00D4309F">
              <w:t>sea</w:t>
            </w:r>
            <w:r w:rsidRPr="00D4309F">
              <w:rPr>
                <w:spacing w:val="-3"/>
              </w:rPr>
              <w:t xml:space="preserve"> </w:t>
            </w:r>
            <w:r w:rsidRPr="00D4309F">
              <w:t>conditions</w:t>
            </w:r>
            <w:r w:rsidRPr="00D4309F">
              <w:rPr>
                <w:spacing w:val="-3"/>
              </w:rPr>
              <w:t xml:space="preserve"> </w:t>
            </w:r>
            <w:r w:rsidRPr="00D4309F">
              <w:t>for</w:t>
            </w:r>
            <w:r w:rsidRPr="00D4309F">
              <w:rPr>
                <w:spacing w:val="-2"/>
              </w:rPr>
              <w:t xml:space="preserve"> dredging.</w:t>
            </w:r>
          </w:p>
          <w:p w14:paraId="77B00E75" w14:textId="77777777" w:rsidR="008D4B12" w:rsidRPr="00D4309F" w:rsidRDefault="008D4B12" w:rsidP="008D4B12">
            <w:pPr>
              <w:pStyle w:val="Table-Bullet"/>
            </w:pPr>
            <w:r w:rsidRPr="00D4309F">
              <w:t>Provides</w:t>
            </w:r>
            <w:r w:rsidRPr="00D4309F">
              <w:rPr>
                <w:spacing w:val="-7"/>
              </w:rPr>
              <w:t xml:space="preserve"> </w:t>
            </w:r>
            <w:r w:rsidRPr="00D4309F">
              <w:t>less</w:t>
            </w:r>
            <w:r w:rsidRPr="00D4309F">
              <w:rPr>
                <w:spacing w:val="-7"/>
              </w:rPr>
              <w:t xml:space="preserve"> </w:t>
            </w:r>
            <w:r w:rsidRPr="00D4309F">
              <w:t>direct</w:t>
            </w:r>
            <w:r w:rsidRPr="00D4309F">
              <w:rPr>
                <w:spacing w:val="-7"/>
              </w:rPr>
              <w:t xml:space="preserve"> </w:t>
            </w:r>
            <w:r w:rsidRPr="00D4309F">
              <w:t>control</w:t>
            </w:r>
            <w:r w:rsidRPr="00D4309F">
              <w:rPr>
                <w:spacing w:val="-8"/>
              </w:rPr>
              <w:t xml:space="preserve"> </w:t>
            </w:r>
            <w:r w:rsidRPr="00D4309F">
              <w:t>over</w:t>
            </w:r>
            <w:r w:rsidRPr="00D4309F">
              <w:rPr>
                <w:spacing w:val="-7"/>
              </w:rPr>
              <w:t xml:space="preserve"> </w:t>
            </w:r>
            <w:r w:rsidRPr="00D4309F">
              <w:t xml:space="preserve">sediment </w:t>
            </w:r>
            <w:r w:rsidRPr="00D4309F">
              <w:rPr>
                <w:spacing w:val="-2"/>
              </w:rPr>
              <w:t>movement.</w:t>
            </w:r>
          </w:p>
          <w:p w14:paraId="382798F0" w14:textId="77777777" w:rsidR="008D4B12" w:rsidRPr="00D4309F" w:rsidRDefault="008D4B12" w:rsidP="008D4B12">
            <w:pPr>
              <w:pStyle w:val="Table-Bullet"/>
            </w:pPr>
            <w:r w:rsidRPr="00D4309F">
              <w:t>May</w:t>
            </w:r>
            <w:r w:rsidRPr="00D4309F">
              <w:rPr>
                <w:spacing w:val="-6"/>
              </w:rPr>
              <w:t xml:space="preserve"> </w:t>
            </w:r>
            <w:r w:rsidRPr="00D4309F">
              <w:t>not</w:t>
            </w:r>
            <w:r w:rsidRPr="00D4309F">
              <w:rPr>
                <w:spacing w:val="-6"/>
              </w:rPr>
              <w:t xml:space="preserve"> </w:t>
            </w:r>
            <w:r w:rsidRPr="00D4309F">
              <w:t>fully</w:t>
            </w:r>
            <w:r w:rsidRPr="00D4309F">
              <w:rPr>
                <w:spacing w:val="-6"/>
              </w:rPr>
              <w:t xml:space="preserve"> </w:t>
            </w:r>
            <w:r w:rsidRPr="00D4309F">
              <w:t>prevent</w:t>
            </w:r>
            <w:r w:rsidRPr="00D4309F">
              <w:rPr>
                <w:spacing w:val="-6"/>
              </w:rPr>
              <w:t xml:space="preserve"> </w:t>
            </w:r>
            <w:r w:rsidRPr="00D4309F">
              <w:t>shoaling</w:t>
            </w:r>
            <w:r w:rsidRPr="00D4309F">
              <w:rPr>
                <w:spacing w:val="-5"/>
              </w:rPr>
              <w:t xml:space="preserve"> </w:t>
            </w:r>
            <w:r w:rsidRPr="00D4309F">
              <w:t>during</w:t>
            </w:r>
            <w:r w:rsidRPr="00D4309F">
              <w:rPr>
                <w:spacing w:val="-7"/>
              </w:rPr>
              <w:t xml:space="preserve"> </w:t>
            </w:r>
            <w:r w:rsidRPr="00D4309F">
              <w:t xml:space="preserve">extreme </w:t>
            </w:r>
            <w:r w:rsidRPr="00D4309F">
              <w:rPr>
                <w:spacing w:val="-2"/>
              </w:rPr>
              <w:t>events.</w:t>
            </w:r>
          </w:p>
          <w:p w14:paraId="39660036" w14:textId="49D0B88E" w:rsidR="008D4B12" w:rsidRPr="008D4B12" w:rsidRDefault="008D4B12" w:rsidP="008D4B12">
            <w:pPr>
              <w:pStyle w:val="Table-Bullet"/>
            </w:pPr>
            <w:r w:rsidRPr="00D4309F">
              <w:t>Long-term</w:t>
            </w:r>
            <w:r w:rsidRPr="00D4309F">
              <w:rPr>
                <w:spacing w:val="-3"/>
              </w:rPr>
              <w:t xml:space="preserve"> </w:t>
            </w:r>
            <w:r w:rsidRPr="00D4309F">
              <w:t>cost</w:t>
            </w:r>
            <w:r w:rsidRPr="00D4309F">
              <w:rPr>
                <w:spacing w:val="-3"/>
              </w:rPr>
              <w:t xml:space="preserve"> </w:t>
            </w:r>
            <w:r w:rsidRPr="00D4309F">
              <w:t>of</w:t>
            </w:r>
            <w:r w:rsidRPr="00D4309F">
              <w:rPr>
                <w:spacing w:val="-3"/>
              </w:rPr>
              <w:t xml:space="preserve"> </w:t>
            </w:r>
            <w:r w:rsidRPr="00D4309F">
              <w:t>repeated</w:t>
            </w:r>
            <w:r w:rsidRPr="00D4309F">
              <w:rPr>
                <w:spacing w:val="-4"/>
              </w:rPr>
              <w:t xml:space="preserve"> </w:t>
            </w:r>
            <w:r w:rsidRPr="00D4309F">
              <w:t>dredging</w:t>
            </w:r>
            <w:r w:rsidRPr="00D4309F">
              <w:rPr>
                <w:spacing w:val="-3"/>
              </w:rPr>
              <w:t xml:space="preserve"> </w:t>
            </w:r>
            <w:r w:rsidRPr="00D4309F">
              <w:rPr>
                <w:spacing w:val="-2"/>
              </w:rPr>
              <w:t>remains.</w:t>
            </w:r>
          </w:p>
        </w:tc>
      </w:tr>
    </w:tbl>
    <w:p w14:paraId="3FE9FD93" w14:textId="77777777" w:rsidR="008D4B12" w:rsidRDefault="008D4B12" w:rsidP="008D4B12">
      <w:pPr>
        <w:pStyle w:val="BodyText"/>
      </w:pPr>
      <w:bookmarkStart w:id="261" w:name="_bookmark111"/>
      <w:bookmarkEnd w:id="261"/>
    </w:p>
    <w:p w14:paraId="0AB79537" w14:textId="5BB81427" w:rsidR="00725977" w:rsidRPr="00D4309F" w:rsidRDefault="00725977" w:rsidP="004A7DEE">
      <w:pPr>
        <w:pStyle w:val="Heading2"/>
      </w:pPr>
      <w:bookmarkStart w:id="262" w:name="_Toc216699384"/>
      <w:r w:rsidRPr="00D4309F">
        <w:t>Option</w:t>
      </w:r>
      <w:r w:rsidRPr="00D4309F">
        <w:rPr>
          <w:spacing w:val="-4"/>
        </w:rPr>
        <w:t xml:space="preserve"> </w:t>
      </w:r>
      <w:r w:rsidRPr="00D4309F">
        <w:t>1B</w:t>
      </w:r>
      <w:r w:rsidRPr="00D4309F">
        <w:rPr>
          <w:spacing w:val="-4"/>
        </w:rPr>
        <w:t xml:space="preserve"> </w:t>
      </w:r>
      <w:r w:rsidRPr="00D4309F">
        <w:t>–</w:t>
      </w:r>
      <w:r w:rsidRPr="00D4309F">
        <w:rPr>
          <w:spacing w:val="-3"/>
        </w:rPr>
        <w:t xml:space="preserve"> </w:t>
      </w:r>
      <w:r w:rsidRPr="00D4309F">
        <w:t>Buddina</w:t>
      </w:r>
      <w:r w:rsidRPr="00D4309F">
        <w:rPr>
          <w:spacing w:val="-3"/>
        </w:rPr>
        <w:t xml:space="preserve"> </w:t>
      </w:r>
      <w:r w:rsidRPr="00D4309F">
        <w:t>Beach</w:t>
      </w:r>
      <w:r w:rsidRPr="00D4309F">
        <w:rPr>
          <w:spacing w:val="-4"/>
        </w:rPr>
        <w:t xml:space="preserve"> </w:t>
      </w:r>
      <w:r w:rsidRPr="00D4309F">
        <w:t>Sand</w:t>
      </w:r>
      <w:r w:rsidRPr="00D4309F">
        <w:rPr>
          <w:spacing w:val="-4"/>
        </w:rPr>
        <w:t xml:space="preserve"> </w:t>
      </w:r>
      <w:r w:rsidRPr="00D4309F">
        <w:t>Trap</w:t>
      </w:r>
      <w:r w:rsidRPr="00D4309F">
        <w:rPr>
          <w:spacing w:val="-4"/>
        </w:rPr>
        <w:t xml:space="preserve"> </w:t>
      </w:r>
      <w:r w:rsidRPr="00D4309F">
        <w:t>utilising</w:t>
      </w:r>
      <w:r w:rsidRPr="00D4309F">
        <w:rPr>
          <w:spacing w:val="-4"/>
        </w:rPr>
        <w:t xml:space="preserve"> </w:t>
      </w:r>
      <w:r w:rsidRPr="00D4309F">
        <w:t>a</w:t>
      </w:r>
      <w:r w:rsidRPr="00D4309F">
        <w:rPr>
          <w:spacing w:val="-3"/>
        </w:rPr>
        <w:t xml:space="preserve"> </w:t>
      </w:r>
      <w:r w:rsidRPr="00D4309F">
        <w:t>pump</w:t>
      </w:r>
      <w:r w:rsidRPr="00D4309F">
        <w:rPr>
          <w:spacing w:val="-4"/>
        </w:rPr>
        <w:t xml:space="preserve"> </w:t>
      </w:r>
      <w:r w:rsidRPr="00D4309F">
        <w:t>system and pipeline across the entrance</w:t>
      </w:r>
      <w:bookmarkEnd w:id="262"/>
    </w:p>
    <w:p w14:paraId="3FE421AB" w14:textId="77777777" w:rsidR="00725977" w:rsidRPr="00D4309F" w:rsidRDefault="00725977" w:rsidP="004A7DEE">
      <w:pPr>
        <w:pStyle w:val="Heading3"/>
      </w:pPr>
      <w:bookmarkStart w:id="263" w:name="_Toc216699385"/>
      <w:r w:rsidRPr="00D4309F">
        <w:t>Description</w:t>
      </w:r>
      <w:r w:rsidRPr="00D4309F">
        <w:rPr>
          <w:spacing w:val="-4"/>
        </w:rPr>
        <w:t xml:space="preserve"> </w:t>
      </w:r>
      <w:r w:rsidRPr="00D4309F">
        <w:t>of</w:t>
      </w:r>
      <w:r w:rsidRPr="00D4309F">
        <w:rPr>
          <w:spacing w:val="-4"/>
        </w:rPr>
        <w:t xml:space="preserve"> </w:t>
      </w:r>
      <w:r w:rsidRPr="00D4309F">
        <w:t>Option</w:t>
      </w:r>
      <w:r w:rsidRPr="00D4309F">
        <w:rPr>
          <w:spacing w:val="-4"/>
        </w:rPr>
        <w:t xml:space="preserve"> </w:t>
      </w:r>
      <w:r w:rsidRPr="00D4309F">
        <w:rPr>
          <w:spacing w:val="-5"/>
        </w:rPr>
        <w:t>1B</w:t>
      </w:r>
      <w:bookmarkEnd w:id="263"/>
    </w:p>
    <w:p w14:paraId="2DEC69ED" w14:textId="1FC712F3" w:rsidR="00725977" w:rsidRPr="00D4309F" w:rsidRDefault="00725977" w:rsidP="00725977">
      <w:pPr>
        <w:pStyle w:val="BodyText"/>
      </w:pPr>
      <w:r w:rsidRPr="00D4309F">
        <w:t>Option 1B builds upon the Buddina Beach Sand Trap concept by incorporating a shore-based pump and pipeline</w:t>
      </w:r>
      <w:r w:rsidRPr="00D4309F">
        <w:rPr>
          <w:spacing w:val="-1"/>
        </w:rPr>
        <w:t xml:space="preserve"> </w:t>
      </w:r>
      <w:r w:rsidRPr="00D4309F">
        <w:t>system to actively transfer</w:t>
      </w:r>
      <w:r w:rsidRPr="00D4309F">
        <w:rPr>
          <w:spacing w:val="-1"/>
        </w:rPr>
        <w:t xml:space="preserve"> </w:t>
      </w:r>
      <w:r w:rsidRPr="00D4309F">
        <w:t>sand across the Mooloolaba River entrance (</w:t>
      </w:r>
      <w:hyperlink w:anchor="_bookmark112" w:history="1">
        <w:r w:rsidRPr="00D4309F">
          <w:t>Figure 13-7</w:t>
        </w:r>
      </w:hyperlink>
      <w:r w:rsidRPr="00D4309F">
        <w:t xml:space="preserve"> and </w:t>
      </w:r>
      <w:hyperlink w:anchor="_bookmark113" w:history="1">
        <w:r w:rsidRPr="00D4309F">
          <w:t>Figure 13-</w:t>
        </w:r>
      </w:hyperlink>
      <w:hyperlink w:anchor="_bookmark113" w:history="1">
        <w:r w:rsidRPr="00D4309F">
          <w:t>8</w:t>
        </w:r>
      </w:hyperlink>
      <w:r w:rsidRPr="00D4309F">
        <w:t>). The objective is to establish a controlled sediment-bypassing system that directly replicates the natural longshore transport process while mitigating sand accumulation at the entrance. Under this option, sand would be collected from the Buddina nearshore sand trap (Area A) via a dredge and pumped through a buried</w:t>
      </w:r>
      <w:r w:rsidRPr="00D4309F">
        <w:rPr>
          <w:spacing w:val="-3"/>
        </w:rPr>
        <w:t xml:space="preserve"> </w:t>
      </w:r>
      <w:r w:rsidRPr="00D4309F">
        <w:t>pipeline</w:t>
      </w:r>
      <w:r w:rsidRPr="00D4309F">
        <w:rPr>
          <w:spacing w:val="-3"/>
        </w:rPr>
        <w:t xml:space="preserve"> </w:t>
      </w:r>
      <w:r w:rsidRPr="00D4309F">
        <w:t>beneath</w:t>
      </w:r>
      <w:r w:rsidRPr="00D4309F">
        <w:rPr>
          <w:spacing w:val="-3"/>
        </w:rPr>
        <w:t xml:space="preserve"> </w:t>
      </w:r>
      <w:r w:rsidRPr="00D4309F">
        <w:t>the</w:t>
      </w:r>
      <w:r w:rsidRPr="00D4309F">
        <w:rPr>
          <w:spacing w:val="-4"/>
        </w:rPr>
        <w:t xml:space="preserve"> </w:t>
      </w:r>
      <w:r w:rsidRPr="00D4309F">
        <w:t>entrance</w:t>
      </w:r>
      <w:r w:rsidRPr="00D4309F">
        <w:rPr>
          <w:spacing w:val="-3"/>
        </w:rPr>
        <w:t xml:space="preserve"> </w:t>
      </w:r>
      <w:r w:rsidRPr="00D4309F">
        <w:t>channel</w:t>
      </w:r>
      <w:r w:rsidRPr="00D4309F">
        <w:rPr>
          <w:spacing w:val="-3"/>
        </w:rPr>
        <w:t xml:space="preserve"> </w:t>
      </w:r>
      <w:r w:rsidRPr="00D4309F">
        <w:t>to</w:t>
      </w:r>
      <w:r w:rsidRPr="00D4309F">
        <w:rPr>
          <w:spacing w:val="-3"/>
        </w:rPr>
        <w:t xml:space="preserve"> </w:t>
      </w:r>
      <w:r w:rsidRPr="00D4309F">
        <w:t>designated</w:t>
      </w:r>
      <w:r w:rsidRPr="00D4309F">
        <w:rPr>
          <w:spacing w:val="-3"/>
        </w:rPr>
        <w:t xml:space="preserve"> </w:t>
      </w:r>
      <w:r w:rsidRPr="00D4309F">
        <w:t>discharge</w:t>
      </w:r>
      <w:r w:rsidRPr="00D4309F">
        <w:rPr>
          <w:spacing w:val="-3"/>
        </w:rPr>
        <w:t xml:space="preserve"> </w:t>
      </w:r>
      <w:r w:rsidRPr="00D4309F">
        <w:t>points</w:t>
      </w:r>
      <w:r w:rsidRPr="00D4309F">
        <w:rPr>
          <w:spacing w:val="-2"/>
        </w:rPr>
        <w:t xml:space="preserve"> </w:t>
      </w:r>
      <w:r w:rsidRPr="00D4309F">
        <w:t>along</w:t>
      </w:r>
      <w:r w:rsidRPr="00D4309F">
        <w:rPr>
          <w:spacing w:val="-3"/>
        </w:rPr>
        <w:t xml:space="preserve"> </w:t>
      </w:r>
      <w:r w:rsidRPr="00D4309F">
        <w:t>Mooloolaba</w:t>
      </w:r>
      <w:r w:rsidRPr="00D4309F">
        <w:rPr>
          <w:spacing w:val="-3"/>
        </w:rPr>
        <w:t xml:space="preserve"> </w:t>
      </w:r>
      <w:r w:rsidRPr="00D4309F">
        <w:t>Main</w:t>
      </w:r>
      <w:r w:rsidRPr="00D4309F">
        <w:rPr>
          <w:spacing w:val="-3"/>
        </w:rPr>
        <w:t xml:space="preserve"> </w:t>
      </w:r>
      <w:r w:rsidRPr="00D4309F">
        <w:t>Beach (Area B). This system would function as a mechanical sand bypass, transferring material on a more regular basis compared with the periodic dredging campaigns proposed under Option 1A.</w:t>
      </w:r>
    </w:p>
    <w:p w14:paraId="61A8638A" w14:textId="77777777" w:rsidR="00725977" w:rsidRPr="00D4309F" w:rsidRDefault="00725977" w:rsidP="00725977">
      <w:pPr>
        <w:pStyle w:val="BodyText"/>
      </w:pPr>
      <w:r w:rsidRPr="00D4309F">
        <w:t>The</w:t>
      </w:r>
      <w:r w:rsidRPr="00D4309F">
        <w:rPr>
          <w:spacing w:val="-3"/>
        </w:rPr>
        <w:t xml:space="preserve"> </w:t>
      </w:r>
      <w:r w:rsidRPr="00D4309F">
        <w:t>design</w:t>
      </w:r>
      <w:r w:rsidRPr="00D4309F">
        <w:rPr>
          <w:spacing w:val="-4"/>
        </w:rPr>
        <w:t xml:space="preserve"> </w:t>
      </w:r>
      <w:r w:rsidRPr="00D4309F">
        <w:t>concept</w:t>
      </w:r>
      <w:r w:rsidRPr="00D4309F">
        <w:rPr>
          <w:spacing w:val="-3"/>
        </w:rPr>
        <w:t xml:space="preserve"> </w:t>
      </w:r>
      <w:r w:rsidRPr="00D4309F">
        <w:t>includes</w:t>
      </w:r>
      <w:r w:rsidRPr="00D4309F">
        <w:rPr>
          <w:spacing w:val="-2"/>
        </w:rPr>
        <w:t xml:space="preserve"> </w:t>
      </w:r>
      <w:r w:rsidRPr="00D4309F">
        <w:t>the</w:t>
      </w:r>
      <w:r w:rsidRPr="00D4309F">
        <w:rPr>
          <w:spacing w:val="-3"/>
        </w:rPr>
        <w:t xml:space="preserve"> </w:t>
      </w:r>
      <w:r w:rsidRPr="00D4309F">
        <w:t>establishment</w:t>
      </w:r>
      <w:r w:rsidRPr="00D4309F">
        <w:rPr>
          <w:spacing w:val="-3"/>
        </w:rPr>
        <w:t xml:space="preserve"> </w:t>
      </w:r>
      <w:r w:rsidRPr="00D4309F">
        <w:t>of</w:t>
      </w:r>
      <w:r w:rsidRPr="00D4309F">
        <w:rPr>
          <w:spacing w:val="-3"/>
        </w:rPr>
        <w:t xml:space="preserve"> </w:t>
      </w:r>
      <w:r w:rsidRPr="00D4309F">
        <w:t>a</w:t>
      </w:r>
      <w:r w:rsidRPr="00D4309F">
        <w:rPr>
          <w:spacing w:val="-3"/>
        </w:rPr>
        <w:t xml:space="preserve"> </w:t>
      </w:r>
      <w:r w:rsidRPr="00D4309F">
        <w:t>shore-based</w:t>
      </w:r>
      <w:r w:rsidRPr="00D4309F">
        <w:rPr>
          <w:spacing w:val="-3"/>
        </w:rPr>
        <w:t xml:space="preserve"> </w:t>
      </w:r>
      <w:r w:rsidRPr="00D4309F">
        <w:t>pump</w:t>
      </w:r>
      <w:r w:rsidRPr="00D4309F">
        <w:rPr>
          <w:spacing w:val="-3"/>
        </w:rPr>
        <w:t xml:space="preserve"> </w:t>
      </w:r>
      <w:r w:rsidRPr="00D4309F">
        <w:t>station</w:t>
      </w:r>
      <w:r w:rsidRPr="00D4309F">
        <w:rPr>
          <w:spacing w:val="-3"/>
        </w:rPr>
        <w:t xml:space="preserve"> </w:t>
      </w:r>
      <w:r w:rsidRPr="00D4309F">
        <w:t>located</w:t>
      </w:r>
      <w:r w:rsidRPr="00D4309F">
        <w:rPr>
          <w:spacing w:val="-3"/>
        </w:rPr>
        <w:t xml:space="preserve"> </w:t>
      </w:r>
      <w:r w:rsidRPr="00D4309F">
        <w:t>near</w:t>
      </w:r>
      <w:r w:rsidRPr="00D4309F">
        <w:rPr>
          <w:spacing w:val="-2"/>
        </w:rPr>
        <w:t xml:space="preserve"> </w:t>
      </w:r>
      <w:r w:rsidRPr="00D4309F">
        <w:t>the</w:t>
      </w:r>
      <w:r w:rsidRPr="00D4309F">
        <w:rPr>
          <w:spacing w:val="-3"/>
        </w:rPr>
        <w:t xml:space="preserve"> </w:t>
      </w:r>
      <w:r w:rsidRPr="00D4309F">
        <w:t>northern</w:t>
      </w:r>
      <w:r w:rsidRPr="00D4309F">
        <w:rPr>
          <w:spacing w:val="-3"/>
        </w:rPr>
        <w:t xml:space="preserve"> </w:t>
      </w:r>
      <w:r w:rsidRPr="00D4309F">
        <w:t>end of Buddina Beach, positioned landward of the proposed sand trap. A dredge (CSD or TSHD) would collect the</w:t>
      </w:r>
      <w:r w:rsidRPr="00D4309F">
        <w:rPr>
          <w:spacing w:val="-1"/>
        </w:rPr>
        <w:t xml:space="preserve"> </w:t>
      </w:r>
      <w:r w:rsidRPr="00D4309F">
        <w:t>sand</w:t>
      </w:r>
      <w:r w:rsidRPr="00D4309F">
        <w:rPr>
          <w:spacing w:val="-1"/>
        </w:rPr>
        <w:t xml:space="preserve"> </w:t>
      </w:r>
      <w:r w:rsidRPr="00D4309F">
        <w:t>deposited</w:t>
      </w:r>
      <w:r w:rsidRPr="00D4309F">
        <w:rPr>
          <w:spacing w:val="-1"/>
        </w:rPr>
        <w:t xml:space="preserve"> </w:t>
      </w:r>
      <w:r w:rsidRPr="00D4309F">
        <w:t>in</w:t>
      </w:r>
      <w:r w:rsidRPr="00D4309F">
        <w:rPr>
          <w:spacing w:val="-1"/>
        </w:rPr>
        <w:t xml:space="preserve"> </w:t>
      </w:r>
      <w:r w:rsidRPr="00D4309F">
        <w:t>the</w:t>
      </w:r>
      <w:r w:rsidRPr="00D4309F">
        <w:rPr>
          <w:spacing w:val="-1"/>
        </w:rPr>
        <w:t xml:space="preserve"> </w:t>
      </w:r>
      <w:r w:rsidRPr="00D4309F">
        <w:t>trap</w:t>
      </w:r>
      <w:r w:rsidRPr="00D4309F">
        <w:rPr>
          <w:spacing w:val="-1"/>
        </w:rPr>
        <w:t xml:space="preserve"> </w:t>
      </w:r>
      <w:r w:rsidRPr="00D4309F">
        <w:t>and</w:t>
      </w:r>
      <w:r w:rsidRPr="00D4309F">
        <w:rPr>
          <w:spacing w:val="-1"/>
        </w:rPr>
        <w:t xml:space="preserve"> </w:t>
      </w:r>
      <w:r w:rsidRPr="00D4309F">
        <w:t>pump</w:t>
      </w:r>
      <w:r w:rsidRPr="00D4309F">
        <w:rPr>
          <w:spacing w:val="-1"/>
        </w:rPr>
        <w:t xml:space="preserve"> </w:t>
      </w:r>
      <w:r w:rsidRPr="00D4309F">
        <w:t>it</w:t>
      </w:r>
      <w:r w:rsidRPr="00D4309F">
        <w:rPr>
          <w:spacing w:val="-1"/>
        </w:rPr>
        <w:t xml:space="preserve"> </w:t>
      </w:r>
      <w:r w:rsidRPr="00D4309F">
        <w:t>to</w:t>
      </w:r>
      <w:r w:rsidRPr="00D4309F">
        <w:rPr>
          <w:spacing w:val="-1"/>
        </w:rPr>
        <w:t xml:space="preserve"> </w:t>
      </w:r>
      <w:r w:rsidRPr="00D4309F">
        <w:t>the</w:t>
      </w:r>
      <w:r w:rsidRPr="00D4309F">
        <w:rPr>
          <w:spacing w:val="-1"/>
        </w:rPr>
        <w:t xml:space="preserve"> </w:t>
      </w:r>
      <w:r w:rsidRPr="00D4309F">
        <w:t>landward</w:t>
      </w:r>
      <w:r w:rsidRPr="00D4309F">
        <w:rPr>
          <w:spacing w:val="-1"/>
        </w:rPr>
        <w:t xml:space="preserve"> </w:t>
      </w:r>
      <w:r w:rsidRPr="00D4309F">
        <w:t>pump</w:t>
      </w:r>
      <w:r w:rsidRPr="00D4309F">
        <w:rPr>
          <w:spacing w:val="-2"/>
        </w:rPr>
        <w:t xml:space="preserve"> </w:t>
      </w:r>
      <w:r w:rsidRPr="00D4309F">
        <w:t>station</w:t>
      </w:r>
      <w:r w:rsidRPr="00D4309F">
        <w:rPr>
          <w:spacing w:val="-1"/>
        </w:rPr>
        <w:t xml:space="preserve"> </w:t>
      </w:r>
      <w:r w:rsidRPr="00D4309F">
        <w:t>connecting</w:t>
      </w:r>
      <w:r w:rsidRPr="00D4309F">
        <w:rPr>
          <w:spacing w:val="-1"/>
        </w:rPr>
        <w:t xml:space="preserve"> </w:t>
      </w:r>
      <w:r w:rsidRPr="00D4309F">
        <w:t>to</w:t>
      </w:r>
      <w:r w:rsidRPr="00D4309F">
        <w:rPr>
          <w:spacing w:val="-1"/>
        </w:rPr>
        <w:t xml:space="preserve"> </w:t>
      </w:r>
      <w:r w:rsidRPr="00D4309F">
        <w:t>a</w:t>
      </w:r>
      <w:r w:rsidRPr="00D4309F">
        <w:rPr>
          <w:spacing w:val="-1"/>
        </w:rPr>
        <w:t xml:space="preserve"> </w:t>
      </w:r>
      <w:r w:rsidRPr="00D4309F">
        <w:t>submerged</w:t>
      </w:r>
      <w:r w:rsidRPr="00D4309F">
        <w:rPr>
          <w:spacing w:val="-1"/>
        </w:rPr>
        <w:t xml:space="preserve"> </w:t>
      </w:r>
      <w:r w:rsidRPr="00D4309F">
        <w:t xml:space="preserve">pipeline extending beneath the Mooloolaba River entrance to a range of outlets or diffuser heads along Mooloolaba </w:t>
      </w:r>
      <w:r w:rsidRPr="00D4309F">
        <w:lastRenderedPageBreak/>
        <w:t>Beach. These outlets would allow for controlled sand placement, supporting targeted beach nourishment while simultaneously reducing the volume of sand available to form shoals within the entrance channel.</w:t>
      </w:r>
    </w:p>
    <w:p w14:paraId="13FF990D" w14:textId="77777777" w:rsidR="00725977" w:rsidRDefault="00725977" w:rsidP="00725977">
      <w:pPr>
        <w:pStyle w:val="BodyText"/>
      </w:pPr>
      <w:r w:rsidRPr="00D4309F">
        <w:t>This configuration effectively replicates natural littoral drift by mechanically moving sand from east to west around Point Cartwright, restoring sediment continuity while reducing entrance shoaling and improving navigation</w:t>
      </w:r>
      <w:r w:rsidRPr="00D4309F">
        <w:rPr>
          <w:spacing w:val="-3"/>
        </w:rPr>
        <w:t xml:space="preserve"> </w:t>
      </w:r>
      <w:r w:rsidRPr="00D4309F">
        <w:t>reliability.</w:t>
      </w:r>
      <w:r w:rsidRPr="00D4309F">
        <w:rPr>
          <w:spacing w:val="-3"/>
        </w:rPr>
        <w:t xml:space="preserve"> </w:t>
      </w:r>
      <w:r w:rsidRPr="00D4309F">
        <w:t>The</w:t>
      </w:r>
      <w:r w:rsidRPr="00D4309F">
        <w:rPr>
          <w:spacing w:val="-3"/>
        </w:rPr>
        <w:t xml:space="preserve"> </w:t>
      </w:r>
      <w:r w:rsidRPr="00D4309F">
        <w:t>system</w:t>
      </w:r>
      <w:r w:rsidRPr="00D4309F">
        <w:rPr>
          <w:spacing w:val="-3"/>
        </w:rPr>
        <w:t xml:space="preserve"> </w:t>
      </w:r>
      <w:r w:rsidRPr="00D4309F">
        <w:t>represents</w:t>
      </w:r>
      <w:r w:rsidRPr="00D4309F">
        <w:rPr>
          <w:spacing w:val="-2"/>
        </w:rPr>
        <w:t xml:space="preserve"> </w:t>
      </w:r>
      <w:r w:rsidRPr="00D4309F">
        <w:t>a</w:t>
      </w:r>
      <w:r w:rsidRPr="00D4309F">
        <w:rPr>
          <w:spacing w:val="-3"/>
        </w:rPr>
        <w:t xml:space="preserve"> </w:t>
      </w:r>
      <w:r w:rsidRPr="00D4309F">
        <w:t>more</w:t>
      </w:r>
      <w:r w:rsidRPr="00D4309F">
        <w:rPr>
          <w:spacing w:val="-3"/>
        </w:rPr>
        <w:t xml:space="preserve"> </w:t>
      </w:r>
      <w:r w:rsidRPr="00D4309F">
        <w:t>active</w:t>
      </w:r>
      <w:r w:rsidRPr="00D4309F">
        <w:rPr>
          <w:spacing w:val="-3"/>
        </w:rPr>
        <w:t xml:space="preserve"> </w:t>
      </w:r>
      <w:r w:rsidRPr="00D4309F">
        <w:t>and</w:t>
      </w:r>
      <w:r w:rsidRPr="00D4309F">
        <w:rPr>
          <w:spacing w:val="-3"/>
        </w:rPr>
        <w:t xml:space="preserve"> </w:t>
      </w:r>
      <w:r w:rsidRPr="00D4309F">
        <w:t>engineered</w:t>
      </w:r>
      <w:r w:rsidRPr="00D4309F">
        <w:rPr>
          <w:spacing w:val="-3"/>
        </w:rPr>
        <w:t xml:space="preserve"> </w:t>
      </w:r>
      <w:r w:rsidRPr="00D4309F">
        <w:t>solution</w:t>
      </w:r>
      <w:r w:rsidRPr="00D4309F">
        <w:rPr>
          <w:spacing w:val="-3"/>
        </w:rPr>
        <w:t xml:space="preserve"> </w:t>
      </w:r>
      <w:r w:rsidRPr="00D4309F">
        <w:t>than</w:t>
      </w:r>
      <w:r w:rsidRPr="00D4309F">
        <w:rPr>
          <w:spacing w:val="-3"/>
        </w:rPr>
        <w:t xml:space="preserve"> </w:t>
      </w:r>
      <w:r w:rsidRPr="00D4309F">
        <w:t>Option</w:t>
      </w:r>
      <w:r w:rsidRPr="00D4309F">
        <w:rPr>
          <w:spacing w:val="-3"/>
        </w:rPr>
        <w:t xml:space="preserve"> </w:t>
      </w:r>
      <w:r w:rsidRPr="00D4309F">
        <w:t>1A,</w:t>
      </w:r>
      <w:r w:rsidRPr="00D4309F">
        <w:rPr>
          <w:spacing w:val="-3"/>
        </w:rPr>
        <w:t xml:space="preserve"> </w:t>
      </w:r>
      <w:r w:rsidRPr="00D4309F">
        <w:t>offering greater operational control and continuous management of sediment transfer within the coastal cell.</w:t>
      </w:r>
    </w:p>
    <w:p w14:paraId="239150D5" w14:textId="77777777" w:rsidR="00FD0909" w:rsidRPr="00D4309F" w:rsidRDefault="00FD0909" w:rsidP="00725977">
      <w:pPr>
        <w:pStyle w:val="BodyText"/>
      </w:pPr>
    </w:p>
    <w:p w14:paraId="2AAC0555" w14:textId="58FCC575" w:rsidR="00725977" w:rsidRPr="000B7E19" w:rsidRDefault="00725977" w:rsidP="000B7E19">
      <w:pPr>
        <w:pStyle w:val="BodyText"/>
        <w:jc w:val="center"/>
      </w:pPr>
      <w:r w:rsidRPr="00D4309F">
        <w:rPr>
          <w:noProof/>
        </w:rPr>
        <w:drawing>
          <wp:inline distT="0" distB="0" distL="0" distR="0" wp14:anchorId="0F8BD160" wp14:editId="51079D31">
            <wp:extent cx="5958838" cy="4066032"/>
            <wp:effectExtent l="0" t="0" r="4445" b="0"/>
            <wp:docPr id="140" name="Image 140" descr="Arial image of Point Cartwright and the Mooloolaba Boat Harbour Entrance showing the conceptional plan view of Option 1 - sand trap on northern Buddina Beach (ICM, 2025), with arrows in the direction of shoaling event which goes north along Buddina Beach, then west around the Point Cartwright headland.  It then has arrows showing that sand goes around the headland and then lands toward Mooloolaba beach.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descr="Arial image of Point Cartwright and the Mooloolaba Boat Harbour Entrance showing the conceptional plan view of Option 1 - sand trap on northern Buddina Beach (ICM, 2025), with arrows in the direction of shoaling event which goes north along Buddina Beach, then west around the Point Cartwright headland.  It then has arrows showing that sand goes around the headland and then lands toward Mooloolaba beach. "/>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58838" cy="4066032"/>
                    </a:xfrm>
                    <a:prstGeom prst="rect">
                      <a:avLst/>
                    </a:prstGeom>
                  </pic:spPr>
                </pic:pic>
              </a:graphicData>
            </a:graphic>
          </wp:inline>
        </w:drawing>
      </w:r>
      <w:bookmarkStart w:id="264" w:name="_bookmark112"/>
      <w:bookmarkEnd w:id="264"/>
    </w:p>
    <w:p w14:paraId="7645EB64" w14:textId="71DDEE6D" w:rsidR="00725977" w:rsidRPr="00D4309F" w:rsidRDefault="000B7E19" w:rsidP="00EF4321">
      <w:pPr>
        <w:pStyle w:val="Caption"/>
      </w:pPr>
      <w:bookmarkStart w:id="265" w:name="_Toc216699622"/>
      <w:r>
        <w:t xml:space="preserve">Figure </w:t>
      </w:r>
      <w:r w:rsidR="00B538D4">
        <w:fldChar w:fldCharType="begin" w:fldLock="1"/>
      </w:r>
      <w:r w:rsidR="00B538D4">
        <w:instrText xml:space="preserve"> STYLEREF 1 \s </w:instrText>
      </w:r>
      <w:r w:rsidR="00B538D4">
        <w:fldChar w:fldCharType="separate"/>
      </w:r>
      <w:r w:rsidR="00B538D4">
        <w:rPr>
          <w:noProof/>
        </w:rPr>
        <w:t>13</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7</w:t>
      </w:r>
      <w:r w:rsidR="00B538D4">
        <w:fldChar w:fldCharType="end"/>
      </w:r>
      <w:r>
        <w:t>:</w:t>
      </w:r>
      <w:r>
        <w:tab/>
      </w:r>
      <w:r w:rsidRPr="00D4309F">
        <w:rPr>
          <w:color w:val="211E1F"/>
        </w:rPr>
        <w:t>Option</w:t>
      </w:r>
      <w:r w:rsidRPr="00D4309F">
        <w:rPr>
          <w:color w:val="211E1F"/>
          <w:spacing w:val="-2"/>
        </w:rPr>
        <w:t xml:space="preserve"> </w:t>
      </w:r>
      <w:r w:rsidRPr="00D4309F">
        <w:rPr>
          <w:color w:val="211E1F"/>
        </w:rPr>
        <w:t>1B</w:t>
      </w:r>
      <w:r w:rsidRPr="00D4309F">
        <w:rPr>
          <w:color w:val="211E1F"/>
          <w:spacing w:val="-1"/>
        </w:rPr>
        <w:t xml:space="preserve"> </w:t>
      </w:r>
      <w:r w:rsidRPr="00D4309F">
        <w:rPr>
          <w:color w:val="211E1F"/>
        </w:rPr>
        <w:t>–</w:t>
      </w:r>
      <w:r w:rsidRPr="00D4309F">
        <w:rPr>
          <w:color w:val="211E1F"/>
          <w:spacing w:val="-1"/>
        </w:rPr>
        <w:t xml:space="preserve"> </w:t>
      </w:r>
      <w:r w:rsidRPr="00D4309F">
        <w:rPr>
          <w:color w:val="211E1F"/>
        </w:rPr>
        <w:t>Buddina</w:t>
      </w:r>
      <w:r w:rsidRPr="00D4309F">
        <w:rPr>
          <w:color w:val="211E1F"/>
          <w:spacing w:val="-3"/>
        </w:rPr>
        <w:t xml:space="preserve"> </w:t>
      </w:r>
      <w:r w:rsidRPr="00D4309F">
        <w:rPr>
          <w:color w:val="211E1F"/>
        </w:rPr>
        <w:t>Sand</w:t>
      </w:r>
      <w:r w:rsidRPr="00D4309F">
        <w:rPr>
          <w:color w:val="211E1F"/>
          <w:spacing w:val="-2"/>
        </w:rPr>
        <w:t xml:space="preserve"> </w:t>
      </w:r>
      <w:r w:rsidRPr="00D4309F">
        <w:rPr>
          <w:color w:val="211E1F"/>
        </w:rPr>
        <w:t>Trap</w:t>
      </w:r>
      <w:r w:rsidRPr="00D4309F">
        <w:rPr>
          <w:color w:val="211E1F"/>
          <w:spacing w:val="-3"/>
        </w:rPr>
        <w:t xml:space="preserve"> </w:t>
      </w:r>
      <w:r w:rsidRPr="00D4309F">
        <w:rPr>
          <w:color w:val="211E1F"/>
        </w:rPr>
        <w:t>with</w:t>
      </w:r>
      <w:r w:rsidRPr="00D4309F">
        <w:rPr>
          <w:color w:val="211E1F"/>
          <w:spacing w:val="-2"/>
        </w:rPr>
        <w:t xml:space="preserve"> </w:t>
      </w:r>
      <w:r w:rsidRPr="00D4309F">
        <w:rPr>
          <w:color w:val="211E1F"/>
        </w:rPr>
        <w:t>pump</w:t>
      </w:r>
      <w:r w:rsidRPr="00D4309F">
        <w:rPr>
          <w:color w:val="211E1F"/>
          <w:spacing w:val="-1"/>
        </w:rPr>
        <w:t xml:space="preserve"> </w:t>
      </w:r>
      <w:r w:rsidRPr="00D4309F">
        <w:rPr>
          <w:color w:val="211E1F"/>
        </w:rPr>
        <w:t>station</w:t>
      </w:r>
      <w:r w:rsidRPr="00D4309F">
        <w:rPr>
          <w:color w:val="211E1F"/>
          <w:spacing w:val="-2"/>
        </w:rPr>
        <w:t xml:space="preserve"> </w:t>
      </w:r>
      <w:r w:rsidRPr="00D4309F">
        <w:rPr>
          <w:color w:val="211E1F"/>
        </w:rPr>
        <w:t>and</w:t>
      </w:r>
      <w:r w:rsidRPr="00D4309F">
        <w:rPr>
          <w:color w:val="211E1F"/>
          <w:spacing w:val="-1"/>
        </w:rPr>
        <w:t xml:space="preserve"> </w:t>
      </w:r>
      <w:r w:rsidRPr="00D4309F">
        <w:rPr>
          <w:color w:val="211E1F"/>
        </w:rPr>
        <w:t>permanent</w:t>
      </w:r>
      <w:r w:rsidRPr="00D4309F">
        <w:rPr>
          <w:color w:val="211E1F"/>
          <w:spacing w:val="-2"/>
        </w:rPr>
        <w:t xml:space="preserve"> </w:t>
      </w:r>
      <w:r w:rsidRPr="00D4309F">
        <w:rPr>
          <w:color w:val="211E1F"/>
        </w:rPr>
        <w:t>pipe</w:t>
      </w:r>
      <w:r w:rsidRPr="00D4309F">
        <w:rPr>
          <w:color w:val="211E1F"/>
          <w:spacing w:val="-2"/>
        </w:rPr>
        <w:t xml:space="preserve"> </w:t>
      </w:r>
      <w:r w:rsidRPr="00D4309F">
        <w:rPr>
          <w:color w:val="211E1F"/>
        </w:rPr>
        <w:t>(ICM,</w:t>
      </w:r>
      <w:r w:rsidRPr="00D4309F">
        <w:rPr>
          <w:color w:val="211E1F"/>
          <w:spacing w:val="-2"/>
        </w:rPr>
        <w:t xml:space="preserve"> 2025)</w:t>
      </w:r>
      <w:bookmarkEnd w:id="265"/>
    </w:p>
    <w:p w14:paraId="736450F6" w14:textId="77777777" w:rsidR="00725977" w:rsidRPr="00D4309F" w:rsidRDefault="00725977" w:rsidP="00F36D67">
      <w:pPr>
        <w:ind w:left="142"/>
        <w:jc w:val="center"/>
      </w:pPr>
      <w:r w:rsidRPr="00D4309F">
        <w:rPr>
          <w:noProof/>
        </w:rPr>
        <w:lastRenderedPageBreak/>
        <w:drawing>
          <wp:inline distT="0" distB="0" distL="0" distR="0" wp14:anchorId="550493FB" wp14:editId="052877C0">
            <wp:extent cx="5959196" cy="4066032"/>
            <wp:effectExtent l="0" t="0" r="0" b="0"/>
            <wp:docPr id="141" name="Image 141" descr="Arial image of Point Cartwright and the Mooloolaba Boat Harbour Entrance, showing Option 1B: Buddina Sand Trap with pump station and permanent pipe (ICM, 2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descr="Arial image of Point Cartwright and the Mooloolaba Boat Harbour Entrance, showing Option 1B: Buddina Sand Trap with pump station and permanent pipe (ICM, 2025)"/>
                    <pic:cNvPicPr/>
                  </pic:nvPicPr>
                  <pic:blipFill>
                    <a:blip r:embed="rId85" cstate="print"/>
                    <a:stretch>
                      <a:fillRect/>
                    </a:stretch>
                  </pic:blipFill>
                  <pic:spPr>
                    <a:xfrm>
                      <a:off x="0" y="0"/>
                      <a:ext cx="5959196" cy="4066032"/>
                    </a:xfrm>
                    <a:prstGeom prst="rect">
                      <a:avLst/>
                    </a:prstGeom>
                  </pic:spPr>
                </pic:pic>
              </a:graphicData>
            </a:graphic>
          </wp:inline>
        </w:drawing>
      </w:r>
    </w:p>
    <w:p w14:paraId="1EBBB5A7" w14:textId="0CD3E979" w:rsidR="00FD0909" w:rsidRPr="001C33A0" w:rsidRDefault="00F36D67" w:rsidP="00EF4321">
      <w:pPr>
        <w:pStyle w:val="Caption"/>
        <w:rPr>
          <w:b w:val="0"/>
        </w:rPr>
      </w:pPr>
      <w:bookmarkStart w:id="266" w:name="_bookmark113"/>
      <w:bookmarkStart w:id="267" w:name="_Toc216699623"/>
      <w:bookmarkEnd w:id="266"/>
      <w:r>
        <w:t xml:space="preserve">Figure </w:t>
      </w:r>
      <w:r w:rsidR="00B538D4">
        <w:fldChar w:fldCharType="begin" w:fldLock="1"/>
      </w:r>
      <w:r w:rsidR="00B538D4">
        <w:instrText xml:space="preserve"> STYLEREF 1 \s </w:instrText>
      </w:r>
      <w:r w:rsidR="00B538D4">
        <w:fldChar w:fldCharType="separate"/>
      </w:r>
      <w:r w:rsidR="00B538D4">
        <w:rPr>
          <w:noProof/>
        </w:rPr>
        <w:t>13</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8</w:t>
      </w:r>
      <w:r w:rsidR="00B538D4">
        <w:fldChar w:fldCharType="end"/>
      </w:r>
      <w:r>
        <w:t>:</w:t>
      </w:r>
      <w:r>
        <w:tab/>
      </w:r>
      <w:r w:rsidRPr="00D4309F">
        <w:rPr>
          <w:color w:val="211E1F"/>
        </w:rPr>
        <w:t>Option</w:t>
      </w:r>
      <w:r w:rsidRPr="00D4309F">
        <w:rPr>
          <w:color w:val="211E1F"/>
          <w:spacing w:val="-2"/>
        </w:rPr>
        <w:t xml:space="preserve"> </w:t>
      </w:r>
      <w:r w:rsidRPr="00D4309F">
        <w:rPr>
          <w:color w:val="211E1F"/>
        </w:rPr>
        <w:t>1B</w:t>
      </w:r>
      <w:r w:rsidRPr="00D4309F">
        <w:rPr>
          <w:color w:val="211E1F"/>
          <w:spacing w:val="-1"/>
        </w:rPr>
        <w:t xml:space="preserve"> </w:t>
      </w:r>
      <w:r w:rsidRPr="00D4309F">
        <w:rPr>
          <w:color w:val="211E1F"/>
        </w:rPr>
        <w:t>–</w:t>
      </w:r>
      <w:r w:rsidRPr="00D4309F">
        <w:rPr>
          <w:color w:val="211E1F"/>
          <w:spacing w:val="-1"/>
        </w:rPr>
        <w:t xml:space="preserve"> </w:t>
      </w:r>
      <w:r w:rsidRPr="00D4309F">
        <w:rPr>
          <w:color w:val="211E1F"/>
        </w:rPr>
        <w:t>Buddina</w:t>
      </w:r>
      <w:r w:rsidRPr="00D4309F">
        <w:rPr>
          <w:color w:val="211E1F"/>
          <w:spacing w:val="-3"/>
        </w:rPr>
        <w:t xml:space="preserve"> </w:t>
      </w:r>
      <w:r w:rsidRPr="00D4309F">
        <w:rPr>
          <w:color w:val="211E1F"/>
        </w:rPr>
        <w:t>Sand</w:t>
      </w:r>
      <w:r w:rsidRPr="00D4309F">
        <w:rPr>
          <w:color w:val="211E1F"/>
          <w:spacing w:val="-2"/>
        </w:rPr>
        <w:t xml:space="preserve"> </w:t>
      </w:r>
      <w:r w:rsidRPr="00D4309F">
        <w:rPr>
          <w:color w:val="211E1F"/>
        </w:rPr>
        <w:t>Trap</w:t>
      </w:r>
      <w:r w:rsidRPr="00D4309F">
        <w:rPr>
          <w:color w:val="211E1F"/>
          <w:spacing w:val="-3"/>
        </w:rPr>
        <w:t xml:space="preserve"> </w:t>
      </w:r>
      <w:r w:rsidRPr="00D4309F">
        <w:rPr>
          <w:color w:val="211E1F"/>
        </w:rPr>
        <w:t>with</w:t>
      </w:r>
      <w:r w:rsidRPr="00D4309F">
        <w:rPr>
          <w:color w:val="211E1F"/>
          <w:spacing w:val="-2"/>
        </w:rPr>
        <w:t xml:space="preserve"> </w:t>
      </w:r>
      <w:r w:rsidRPr="00D4309F">
        <w:rPr>
          <w:color w:val="211E1F"/>
        </w:rPr>
        <w:t>pump</w:t>
      </w:r>
      <w:r w:rsidRPr="00D4309F">
        <w:rPr>
          <w:color w:val="211E1F"/>
          <w:spacing w:val="-1"/>
        </w:rPr>
        <w:t xml:space="preserve"> </w:t>
      </w:r>
      <w:r w:rsidRPr="00D4309F">
        <w:rPr>
          <w:color w:val="211E1F"/>
        </w:rPr>
        <w:t>station</w:t>
      </w:r>
      <w:r w:rsidRPr="00D4309F">
        <w:rPr>
          <w:color w:val="211E1F"/>
          <w:spacing w:val="-2"/>
        </w:rPr>
        <w:t xml:space="preserve"> </w:t>
      </w:r>
      <w:r w:rsidRPr="00D4309F">
        <w:rPr>
          <w:color w:val="211E1F"/>
        </w:rPr>
        <w:t>and</w:t>
      </w:r>
      <w:r w:rsidRPr="00D4309F">
        <w:rPr>
          <w:color w:val="211E1F"/>
          <w:spacing w:val="-1"/>
        </w:rPr>
        <w:t xml:space="preserve"> </w:t>
      </w:r>
      <w:r w:rsidRPr="00D4309F">
        <w:rPr>
          <w:color w:val="211E1F"/>
        </w:rPr>
        <w:t>permanent</w:t>
      </w:r>
      <w:r w:rsidRPr="00D4309F">
        <w:rPr>
          <w:color w:val="211E1F"/>
          <w:spacing w:val="-2"/>
        </w:rPr>
        <w:t xml:space="preserve"> </w:t>
      </w:r>
      <w:r w:rsidRPr="00D4309F">
        <w:rPr>
          <w:color w:val="211E1F"/>
        </w:rPr>
        <w:t>pipe</w:t>
      </w:r>
      <w:r w:rsidRPr="00D4309F">
        <w:rPr>
          <w:color w:val="211E1F"/>
          <w:spacing w:val="-2"/>
        </w:rPr>
        <w:t xml:space="preserve"> </w:t>
      </w:r>
      <w:r w:rsidRPr="00D4309F">
        <w:rPr>
          <w:color w:val="211E1F"/>
        </w:rPr>
        <w:t>(ICM,</w:t>
      </w:r>
      <w:r w:rsidRPr="00D4309F">
        <w:rPr>
          <w:color w:val="211E1F"/>
          <w:spacing w:val="-2"/>
        </w:rPr>
        <w:t xml:space="preserve"> 2025)</w:t>
      </w:r>
      <w:bookmarkEnd w:id="267"/>
    </w:p>
    <w:p w14:paraId="5B44CC51" w14:textId="77777777" w:rsidR="00725977" w:rsidRPr="00D4309F" w:rsidRDefault="00725977" w:rsidP="004A7DEE">
      <w:pPr>
        <w:pStyle w:val="Heading3"/>
      </w:pPr>
      <w:bookmarkStart w:id="268" w:name="_Toc216699386"/>
      <w:r w:rsidRPr="00D4309F">
        <w:t>Design</w:t>
      </w:r>
      <w:r w:rsidRPr="00D4309F">
        <w:rPr>
          <w:spacing w:val="-3"/>
        </w:rPr>
        <w:t xml:space="preserve"> </w:t>
      </w:r>
      <w:r w:rsidRPr="00D4309F">
        <w:t>and</w:t>
      </w:r>
      <w:r w:rsidRPr="00D4309F">
        <w:rPr>
          <w:spacing w:val="-3"/>
        </w:rPr>
        <w:t xml:space="preserve"> </w:t>
      </w:r>
      <w:r w:rsidRPr="00D4309F">
        <w:rPr>
          <w:spacing w:val="-2"/>
        </w:rPr>
        <w:t>approvals</w:t>
      </w:r>
      <w:bookmarkEnd w:id="268"/>
    </w:p>
    <w:p w14:paraId="795F2BFE" w14:textId="3C63F6B4" w:rsidR="00725977" w:rsidRPr="00D4309F" w:rsidRDefault="00725977" w:rsidP="00725977">
      <w:pPr>
        <w:pStyle w:val="BodyText"/>
      </w:pPr>
      <w:r w:rsidRPr="00D4309F">
        <w:t>As</w:t>
      </w:r>
      <w:r w:rsidRPr="00D4309F">
        <w:rPr>
          <w:spacing w:val="-3"/>
        </w:rPr>
        <w:t xml:space="preserve"> </w:t>
      </w:r>
      <w:r w:rsidRPr="00D4309F">
        <w:t>per</w:t>
      </w:r>
      <w:r w:rsidRPr="00D4309F">
        <w:rPr>
          <w:spacing w:val="-2"/>
        </w:rPr>
        <w:t xml:space="preserve"> </w:t>
      </w:r>
      <w:r w:rsidRPr="00D4309F">
        <w:t>Section</w:t>
      </w:r>
      <w:r w:rsidRPr="00D4309F">
        <w:rPr>
          <w:spacing w:val="-3"/>
        </w:rPr>
        <w:t xml:space="preserve"> </w:t>
      </w:r>
      <w:hyperlink w:anchor="_bookmark103" w:history="1">
        <w:r w:rsidR="00A22A30">
          <w:rPr>
            <w:spacing w:val="-2"/>
          </w:rPr>
          <w:fldChar w:fldCharType="begin"/>
        </w:r>
        <w:r w:rsidR="00A22A30">
          <w:instrText xml:space="preserve"> REF _Ref216022379 \r \h </w:instrText>
        </w:r>
        <w:r w:rsidR="00A22A30">
          <w:rPr>
            <w:spacing w:val="-2"/>
          </w:rPr>
        </w:r>
        <w:r w:rsidR="00A22A30">
          <w:rPr>
            <w:spacing w:val="-2"/>
          </w:rPr>
          <w:fldChar w:fldCharType="separate"/>
        </w:r>
        <w:r w:rsidR="00A22A30">
          <w:t>13.3.2</w:t>
        </w:r>
        <w:r w:rsidR="00A22A30">
          <w:rPr>
            <w:spacing w:val="-2"/>
          </w:rPr>
          <w:fldChar w:fldCharType="end"/>
        </w:r>
        <w:r w:rsidRPr="00D4309F">
          <w:rPr>
            <w:spacing w:val="-2"/>
          </w:rPr>
          <w:t>.</w:t>
        </w:r>
      </w:hyperlink>
    </w:p>
    <w:p w14:paraId="5327B70B" w14:textId="77777777" w:rsidR="00725977" w:rsidRPr="00D4309F" w:rsidRDefault="00725977" w:rsidP="00725977">
      <w:pPr>
        <w:pStyle w:val="BodyText"/>
      </w:pPr>
      <w:r w:rsidRPr="00D4309F">
        <w:t>To</w:t>
      </w:r>
      <w:r w:rsidRPr="00D4309F">
        <w:rPr>
          <w:spacing w:val="-6"/>
        </w:rPr>
        <w:t xml:space="preserve"> </w:t>
      </w:r>
      <w:r w:rsidRPr="00D4309F">
        <w:t>advance</w:t>
      </w:r>
      <w:r w:rsidRPr="00D4309F">
        <w:rPr>
          <w:spacing w:val="-5"/>
        </w:rPr>
        <w:t xml:space="preserve"> </w:t>
      </w:r>
      <w:r w:rsidRPr="00D4309F">
        <w:t>Option</w:t>
      </w:r>
      <w:r w:rsidRPr="00D4309F">
        <w:rPr>
          <w:spacing w:val="-4"/>
        </w:rPr>
        <w:t xml:space="preserve"> </w:t>
      </w:r>
      <w:r w:rsidRPr="00D4309F">
        <w:t>1B,</w:t>
      </w:r>
      <w:r w:rsidRPr="00D4309F">
        <w:rPr>
          <w:spacing w:val="-3"/>
        </w:rPr>
        <w:t xml:space="preserve"> </w:t>
      </w:r>
      <w:r w:rsidRPr="00D4309F">
        <w:t>the</w:t>
      </w:r>
      <w:r w:rsidRPr="00D4309F">
        <w:rPr>
          <w:spacing w:val="-4"/>
        </w:rPr>
        <w:t xml:space="preserve"> </w:t>
      </w:r>
      <w:r w:rsidRPr="00D4309F">
        <w:t>following</w:t>
      </w:r>
      <w:r w:rsidRPr="00D4309F">
        <w:rPr>
          <w:spacing w:val="-4"/>
        </w:rPr>
        <w:t xml:space="preserve"> </w:t>
      </w:r>
      <w:r w:rsidRPr="00D4309F">
        <w:t>additional</w:t>
      </w:r>
      <w:r w:rsidRPr="00D4309F">
        <w:rPr>
          <w:spacing w:val="-3"/>
        </w:rPr>
        <w:t xml:space="preserve"> </w:t>
      </w:r>
      <w:r w:rsidRPr="00D4309F">
        <w:t>studies</w:t>
      </w:r>
      <w:r w:rsidRPr="00D4309F">
        <w:rPr>
          <w:spacing w:val="-3"/>
        </w:rPr>
        <w:t xml:space="preserve"> </w:t>
      </w:r>
      <w:r w:rsidRPr="00D4309F">
        <w:t>and</w:t>
      </w:r>
      <w:r w:rsidRPr="00D4309F">
        <w:rPr>
          <w:spacing w:val="-4"/>
        </w:rPr>
        <w:t xml:space="preserve"> </w:t>
      </w:r>
      <w:r w:rsidRPr="00D4309F">
        <w:t>approvals</w:t>
      </w:r>
      <w:r w:rsidRPr="00D4309F">
        <w:rPr>
          <w:spacing w:val="-3"/>
        </w:rPr>
        <w:t xml:space="preserve"> </w:t>
      </w:r>
      <w:r w:rsidRPr="00D4309F">
        <w:t>are</w:t>
      </w:r>
      <w:r w:rsidRPr="00D4309F">
        <w:rPr>
          <w:spacing w:val="-3"/>
        </w:rPr>
        <w:t xml:space="preserve"> </w:t>
      </w:r>
      <w:r w:rsidRPr="00D4309F">
        <w:rPr>
          <w:spacing w:val="-2"/>
        </w:rPr>
        <w:t>recommended:</w:t>
      </w:r>
    </w:p>
    <w:p w14:paraId="35A5FFEE" w14:textId="77777777" w:rsidR="00725977" w:rsidRPr="00D4309F" w:rsidRDefault="00725977" w:rsidP="00D27F26">
      <w:pPr>
        <w:pStyle w:val="ListParagraph"/>
        <w:widowControl w:val="0"/>
        <w:numPr>
          <w:ilvl w:val="0"/>
          <w:numId w:val="443"/>
        </w:numPr>
        <w:tabs>
          <w:tab w:val="left" w:pos="502"/>
        </w:tabs>
        <w:autoSpaceDE w:val="0"/>
        <w:autoSpaceDN w:val="0"/>
        <w:spacing w:after="0" w:line="240" w:lineRule="auto"/>
        <w:ind w:right="592"/>
        <w:contextualSpacing w:val="0"/>
      </w:pPr>
      <w:r w:rsidRPr="00D4309F">
        <w:rPr>
          <w:color w:val="211E1F"/>
        </w:rPr>
        <w:t>Comprehensive</w:t>
      </w:r>
      <w:r w:rsidRPr="00D4309F">
        <w:rPr>
          <w:color w:val="211E1F"/>
          <w:spacing w:val="-4"/>
        </w:rPr>
        <w:t xml:space="preserve"> </w:t>
      </w:r>
      <w:r w:rsidRPr="00D4309F">
        <w:rPr>
          <w:color w:val="211E1F"/>
        </w:rPr>
        <w:t>2D/3D</w:t>
      </w:r>
      <w:r w:rsidRPr="00D4309F">
        <w:rPr>
          <w:color w:val="211E1F"/>
          <w:spacing w:val="-5"/>
        </w:rPr>
        <w:t xml:space="preserve"> </w:t>
      </w:r>
      <w:r w:rsidRPr="00D4309F">
        <w:rPr>
          <w:color w:val="211E1F"/>
        </w:rPr>
        <w:t>coastal</w:t>
      </w:r>
      <w:r w:rsidRPr="00D4309F">
        <w:rPr>
          <w:color w:val="211E1F"/>
          <w:spacing w:val="-4"/>
        </w:rPr>
        <w:t xml:space="preserve"> </w:t>
      </w:r>
      <w:r w:rsidRPr="00D4309F">
        <w:rPr>
          <w:color w:val="211E1F"/>
        </w:rPr>
        <w:t>process</w:t>
      </w:r>
      <w:r w:rsidRPr="00D4309F">
        <w:rPr>
          <w:color w:val="211E1F"/>
          <w:spacing w:val="-3"/>
        </w:rPr>
        <w:t xml:space="preserve"> </w:t>
      </w:r>
      <w:r w:rsidRPr="00D4309F">
        <w:rPr>
          <w:color w:val="211E1F"/>
        </w:rPr>
        <w:t>modelling</w:t>
      </w:r>
      <w:r w:rsidRPr="00D4309F">
        <w:rPr>
          <w:color w:val="211E1F"/>
          <w:spacing w:val="-4"/>
        </w:rPr>
        <w:t xml:space="preserve"> </w:t>
      </w:r>
      <w:r w:rsidRPr="00D4309F">
        <w:rPr>
          <w:color w:val="211E1F"/>
        </w:rPr>
        <w:t>to</w:t>
      </w:r>
      <w:r w:rsidRPr="00D4309F">
        <w:rPr>
          <w:color w:val="211E1F"/>
          <w:spacing w:val="-4"/>
        </w:rPr>
        <w:t xml:space="preserve"> </w:t>
      </w:r>
      <w:r w:rsidRPr="00D4309F">
        <w:rPr>
          <w:color w:val="211E1F"/>
        </w:rPr>
        <w:t>assess</w:t>
      </w:r>
      <w:r w:rsidRPr="00D4309F">
        <w:rPr>
          <w:color w:val="211E1F"/>
          <w:spacing w:val="-3"/>
        </w:rPr>
        <w:t xml:space="preserve"> </w:t>
      </w:r>
      <w:r w:rsidRPr="00D4309F">
        <w:rPr>
          <w:color w:val="211E1F"/>
        </w:rPr>
        <w:t>hydrodynamic</w:t>
      </w:r>
      <w:r w:rsidRPr="00D4309F">
        <w:rPr>
          <w:color w:val="211E1F"/>
          <w:spacing w:val="-3"/>
        </w:rPr>
        <w:t xml:space="preserve"> </w:t>
      </w:r>
      <w:r w:rsidRPr="00D4309F">
        <w:rPr>
          <w:color w:val="211E1F"/>
        </w:rPr>
        <w:t>and</w:t>
      </w:r>
      <w:r w:rsidRPr="00D4309F">
        <w:rPr>
          <w:color w:val="211E1F"/>
          <w:spacing w:val="-5"/>
        </w:rPr>
        <w:t xml:space="preserve"> </w:t>
      </w:r>
      <w:r w:rsidRPr="00D4309F">
        <w:rPr>
          <w:color w:val="211E1F"/>
        </w:rPr>
        <w:t>sediment</w:t>
      </w:r>
      <w:r w:rsidRPr="00D4309F">
        <w:rPr>
          <w:color w:val="211E1F"/>
          <w:spacing w:val="-4"/>
        </w:rPr>
        <w:t xml:space="preserve"> </w:t>
      </w:r>
      <w:r w:rsidRPr="00D4309F">
        <w:rPr>
          <w:color w:val="211E1F"/>
        </w:rPr>
        <w:t>transport interactions with the submerged pipeline, pump outlets, and nearshore morphology.</w:t>
      </w:r>
    </w:p>
    <w:p w14:paraId="3C582C9F" w14:textId="77777777" w:rsidR="00725977" w:rsidRPr="00D4309F" w:rsidRDefault="00725977" w:rsidP="00F56BEC">
      <w:pPr>
        <w:pStyle w:val="ListParagraph"/>
        <w:widowControl w:val="0"/>
        <w:numPr>
          <w:ilvl w:val="0"/>
          <w:numId w:val="443"/>
        </w:numPr>
        <w:tabs>
          <w:tab w:val="left" w:pos="501"/>
        </w:tabs>
        <w:autoSpaceDE w:val="0"/>
        <w:autoSpaceDN w:val="0"/>
        <w:spacing w:before="119" w:after="0" w:line="240" w:lineRule="auto"/>
        <w:ind w:right="513"/>
        <w:contextualSpacing w:val="0"/>
      </w:pPr>
      <w:r w:rsidRPr="00D4309F">
        <w:rPr>
          <w:color w:val="211E1F"/>
        </w:rPr>
        <w:t>Detailed engineering design for the pump station, submerged and onshore pipeline system, and associated</w:t>
      </w:r>
      <w:r w:rsidRPr="00D4309F">
        <w:rPr>
          <w:color w:val="211E1F"/>
          <w:spacing w:val="-4"/>
        </w:rPr>
        <w:t xml:space="preserve"> </w:t>
      </w:r>
      <w:r w:rsidRPr="00D4309F">
        <w:rPr>
          <w:color w:val="211E1F"/>
        </w:rPr>
        <w:t>land-based</w:t>
      </w:r>
      <w:r w:rsidRPr="00D4309F">
        <w:rPr>
          <w:color w:val="211E1F"/>
          <w:spacing w:val="-4"/>
        </w:rPr>
        <w:t xml:space="preserve"> </w:t>
      </w:r>
      <w:r w:rsidRPr="00D4309F">
        <w:rPr>
          <w:color w:val="211E1F"/>
        </w:rPr>
        <w:t>infrastructure,</w:t>
      </w:r>
      <w:r w:rsidRPr="00D4309F">
        <w:rPr>
          <w:color w:val="211E1F"/>
          <w:spacing w:val="-4"/>
        </w:rPr>
        <w:t xml:space="preserve"> </w:t>
      </w:r>
      <w:r w:rsidRPr="00D4309F">
        <w:rPr>
          <w:color w:val="211E1F"/>
        </w:rPr>
        <w:t>supported</w:t>
      </w:r>
      <w:r w:rsidRPr="00D4309F">
        <w:rPr>
          <w:color w:val="211E1F"/>
          <w:spacing w:val="-4"/>
        </w:rPr>
        <w:t xml:space="preserve"> </w:t>
      </w:r>
      <w:r w:rsidRPr="00D4309F">
        <w:rPr>
          <w:color w:val="211E1F"/>
        </w:rPr>
        <w:t>by</w:t>
      </w:r>
      <w:r w:rsidRPr="00D4309F">
        <w:rPr>
          <w:color w:val="211E1F"/>
          <w:spacing w:val="-4"/>
        </w:rPr>
        <w:t xml:space="preserve"> </w:t>
      </w:r>
      <w:r w:rsidRPr="00D4309F">
        <w:rPr>
          <w:color w:val="211E1F"/>
        </w:rPr>
        <w:t>geotechnical</w:t>
      </w:r>
      <w:r w:rsidRPr="00D4309F">
        <w:rPr>
          <w:color w:val="211E1F"/>
          <w:spacing w:val="-4"/>
        </w:rPr>
        <w:t xml:space="preserve"> </w:t>
      </w:r>
      <w:r w:rsidRPr="00D4309F">
        <w:rPr>
          <w:color w:val="211E1F"/>
        </w:rPr>
        <w:t>and</w:t>
      </w:r>
      <w:r w:rsidRPr="00D4309F">
        <w:rPr>
          <w:color w:val="211E1F"/>
          <w:spacing w:val="-4"/>
        </w:rPr>
        <w:t xml:space="preserve"> </w:t>
      </w:r>
      <w:r w:rsidRPr="00D4309F">
        <w:rPr>
          <w:color w:val="211E1F"/>
        </w:rPr>
        <w:t>constructability</w:t>
      </w:r>
      <w:r w:rsidRPr="00D4309F">
        <w:rPr>
          <w:color w:val="211E1F"/>
          <w:spacing w:val="-4"/>
        </w:rPr>
        <w:t xml:space="preserve"> </w:t>
      </w:r>
      <w:r w:rsidRPr="00D4309F">
        <w:rPr>
          <w:color w:val="211E1F"/>
        </w:rPr>
        <w:t>investigations.</w:t>
      </w:r>
    </w:p>
    <w:p w14:paraId="1DB49D77" w14:textId="77777777" w:rsidR="00725977" w:rsidRPr="00D4309F" w:rsidRDefault="00725977" w:rsidP="00F56BEC">
      <w:pPr>
        <w:pStyle w:val="ListParagraph"/>
        <w:widowControl w:val="0"/>
        <w:numPr>
          <w:ilvl w:val="0"/>
          <w:numId w:val="443"/>
        </w:numPr>
        <w:tabs>
          <w:tab w:val="left" w:pos="501"/>
        </w:tabs>
        <w:autoSpaceDE w:val="0"/>
        <w:autoSpaceDN w:val="0"/>
        <w:spacing w:before="118" w:after="0" w:line="240" w:lineRule="auto"/>
        <w:ind w:right="1005"/>
        <w:contextualSpacing w:val="0"/>
      </w:pPr>
      <w:r w:rsidRPr="00D4309F">
        <w:rPr>
          <w:color w:val="211E1F"/>
        </w:rPr>
        <w:t>A</w:t>
      </w:r>
      <w:r w:rsidRPr="00D4309F">
        <w:rPr>
          <w:color w:val="211E1F"/>
          <w:spacing w:val="-3"/>
        </w:rPr>
        <w:t xml:space="preserve"> </w:t>
      </w:r>
      <w:r w:rsidRPr="00D4309F">
        <w:rPr>
          <w:color w:val="211E1F"/>
        </w:rPr>
        <w:t>full</w:t>
      </w:r>
      <w:r w:rsidRPr="00D4309F">
        <w:rPr>
          <w:color w:val="211E1F"/>
          <w:spacing w:val="-3"/>
        </w:rPr>
        <w:t xml:space="preserve"> </w:t>
      </w:r>
      <w:r w:rsidRPr="00D4309F">
        <w:rPr>
          <w:color w:val="211E1F"/>
        </w:rPr>
        <w:t>Environmental</w:t>
      </w:r>
      <w:r w:rsidRPr="00D4309F">
        <w:rPr>
          <w:color w:val="211E1F"/>
          <w:spacing w:val="-3"/>
        </w:rPr>
        <w:t xml:space="preserve"> </w:t>
      </w:r>
      <w:r w:rsidRPr="00D4309F">
        <w:rPr>
          <w:color w:val="211E1F"/>
        </w:rPr>
        <w:t>Impact</w:t>
      </w:r>
      <w:r w:rsidRPr="00D4309F">
        <w:rPr>
          <w:color w:val="211E1F"/>
          <w:spacing w:val="-3"/>
        </w:rPr>
        <w:t xml:space="preserve"> </w:t>
      </w:r>
      <w:r w:rsidRPr="00D4309F">
        <w:rPr>
          <w:color w:val="211E1F"/>
        </w:rPr>
        <w:t>Assessment</w:t>
      </w:r>
      <w:r w:rsidRPr="00D4309F">
        <w:rPr>
          <w:color w:val="211E1F"/>
          <w:spacing w:val="-5"/>
        </w:rPr>
        <w:t xml:space="preserve"> </w:t>
      </w:r>
      <w:r w:rsidRPr="00D4309F">
        <w:rPr>
          <w:color w:val="211E1F"/>
        </w:rPr>
        <w:t>(EIA)</w:t>
      </w:r>
      <w:r w:rsidRPr="00D4309F">
        <w:rPr>
          <w:color w:val="211E1F"/>
          <w:spacing w:val="-3"/>
        </w:rPr>
        <w:t xml:space="preserve"> </w:t>
      </w:r>
      <w:r w:rsidRPr="00D4309F">
        <w:rPr>
          <w:color w:val="211E1F"/>
        </w:rPr>
        <w:t>addressing</w:t>
      </w:r>
      <w:r w:rsidRPr="00D4309F">
        <w:rPr>
          <w:color w:val="211E1F"/>
          <w:spacing w:val="-3"/>
        </w:rPr>
        <w:t xml:space="preserve"> </w:t>
      </w:r>
      <w:r w:rsidRPr="00D4309F">
        <w:rPr>
          <w:color w:val="211E1F"/>
        </w:rPr>
        <w:t>potential</w:t>
      </w:r>
      <w:r w:rsidRPr="00D4309F">
        <w:rPr>
          <w:color w:val="211E1F"/>
          <w:spacing w:val="-4"/>
        </w:rPr>
        <w:t xml:space="preserve"> </w:t>
      </w:r>
      <w:r w:rsidRPr="00D4309F">
        <w:rPr>
          <w:color w:val="211E1F"/>
        </w:rPr>
        <w:t>turbidity,</w:t>
      </w:r>
      <w:r w:rsidRPr="00D4309F">
        <w:rPr>
          <w:color w:val="211E1F"/>
          <w:spacing w:val="-3"/>
        </w:rPr>
        <w:t xml:space="preserve"> </w:t>
      </w:r>
      <w:r w:rsidRPr="00D4309F">
        <w:rPr>
          <w:color w:val="211E1F"/>
        </w:rPr>
        <w:t>shoreline</w:t>
      </w:r>
      <w:r w:rsidRPr="00D4309F">
        <w:rPr>
          <w:color w:val="211E1F"/>
          <w:spacing w:val="-3"/>
        </w:rPr>
        <w:t xml:space="preserve"> </w:t>
      </w:r>
      <w:r w:rsidRPr="00D4309F">
        <w:rPr>
          <w:color w:val="211E1F"/>
        </w:rPr>
        <w:t>habitat disturbance, vegetation clearing, noise, and visual impacts.</w:t>
      </w:r>
    </w:p>
    <w:p w14:paraId="35099F92" w14:textId="77777777" w:rsidR="00725977" w:rsidRPr="00D4309F" w:rsidRDefault="00725977" w:rsidP="00F56BEC">
      <w:pPr>
        <w:pStyle w:val="ListParagraph"/>
        <w:widowControl w:val="0"/>
        <w:numPr>
          <w:ilvl w:val="0"/>
          <w:numId w:val="443"/>
        </w:numPr>
        <w:tabs>
          <w:tab w:val="left" w:pos="501"/>
        </w:tabs>
        <w:autoSpaceDE w:val="0"/>
        <w:autoSpaceDN w:val="0"/>
        <w:spacing w:before="119" w:after="0" w:line="240" w:lineRule="auto"/>
        <w:ind w:right="703"/>
        <w:contextualSpacing w:val="0"/>
      </w:pPr>
      <w:r w:rsidRPr="00D4309F">
        <w:rPr>
          <w:color w:val="211E1F"/>
        </w:rPr>
        <w:t>Operational</w:t>
      </w:r>
      <w:r w:rsidRPr="00D4309F">
        <w:rPr>
          <w:color w:val="211E1F"/>
          <w:spacing w:val="-4"/>
        </w:rPr>
        <w:t xml:space="preserve"> </w:t>
      </w:r>
      <w:r w:rsidRPr="00D4309F">
        <w:rPr>
          <w:color w:val="211E1F"/>
        </w:rPr>
        <w:t>and</w:t>
      </w:r>
      <w:r w:rsidRPr="00D4309F">
        <w:rPr>
          <w:color w:val="211E1F"/>
          <w:spacing w:val="-4"/>
        </w:rPr>
        <w:t xml:space="preserve"> </w:t>
      </w:r>
      <w:r w:rsidRPr="00D4309F">
        <w:rPr>
          <w:color w:val="211E1F"/>
        </w:rPr>
        <w:t>navigational</w:t>
      </w:r>
      <w:r w:rsidRPr="00D4309F">
        <w:rPr>
          <w:color w:val="211E1F"/>
          <w:spacing w:val="-4"/>
        </w:rPr>
        <w:t xml:space="preserve"> </w:t>
      </w:r>
      <w:r w:rsidRPr="00D4309F">
        <w:rPr>
          <w:color w:val="211E1F"/>
        </w:rPr>
        <w:t>safety</w:t>
      </w:r>
      <w:r w:rsidRPr="00D4309F">
        <w:rPr>
          <w:color w:val="211E1F"/>
          <w:spacing w:val="-3"/>
        </w:rPr>
        <w:t xml:space="preserve"> </w:t>
      </w:r>
      <w:r w:rsidRPr="00D4309F">
        <w:rPr>
          <w:color w:val="211E1F"/>
        </w:rPr>
        <w:t>assessments</w:t>
      </w:r>
      <w:r w:rsidRPr="00D4309F">
        <w:rPr>
          <w:color w:val="211E1F"/>
          <w:spacing w:val="-3"/>
        </w:rPr>
        <w:t xml:space="preserve"> </w:t>
      </w:r>
      <w:r w:rsidRPr="00D4309F">
        <w:rPr>
          <w:color w:val="211E1F"/>
        </w:rPr>
        <w:t>for</w:t>
      </w:r>
      <w:r w:rsidRPr="00D4309F">
        <w:rPr>
          <w:color w:val="211E1F"/>
          <w:spacing w:val="-3"/>
        </w:rPr>
        <w:t xml:space="preserve"> </w:t>
      </w:r>
      <w:r w:rsidRPr="00D4309F">
        <w:rPr>
          <w:color w:val="211E1F"/>
        </w:rPr>
        <w:t>dredging,</w:t>
      </w:r>
      <w:r w:rsidRPr="00D4309F">
        <w:rPr>
          <w:color w:val="211E1F"/>
          <w:spacing w:val="-4"/>
        </w:rPr>
        <w:t xml:space="preserve"> </w:t>
      </w:r>
      <w:r w:rsidRPr="00D4309F">
        <w:rPr>
          <w:color w:val="211E1F"/>
        </w:rPr>
        <w:t>pumping</w:t>
      </w:r>
      <w:r w:rsidRPr="00D4309F">
        <w:rPr>
          <w:color w:val="211E1F"/>
          <w:spacing w:val="-4"/>
        </w:rPr>
        <w:t xml:space="preserve"> </w:t>
      </w:r>
      <w:r w:rsidRPr="00D4309F">
        <w:rPr>
          <w:color w:val="211E1F"/>
        </w:rPr>
        <w:t>operations,</w:t>
      </w:r>
      <w:r w:rsidRPr="00D4309F">
        <w:rPr>
          <w:color w:val="211E1F"/>
          <w:spacing w:val="-4"/>
        </w:rPr>
        <w:t xml:space="preserve"> </w:t>
      </w:r>
      <w:r w:rsidRPr="00D4309F">
        <w:rPr>
          <w:color w:val="211E1F"/>
        </w:rPr>
        <w:t>and</w:t>
      </w:r>
      <w:r w:rsidRPr="00D4309F">
        <w:rPr>
          <w:color w:val="211E1F"/>
          <w:spacing w:val="-4"/>
        </w:rPr>
        <w:t xml:space="preserve"> </w:t>
      </w:r>
      <w:r w:rsidRPr="00D4309F">
        <w:rPr>
          <w:color w:val="211E1F"/>
        </w:rPr>
        <w:t>offshore discharge points.</w:t>
      </w:r>
    </w:p>
    <w:p w14:paraId="4D3B6680" w14:textId="77777777" w:rsidR="00725977" w:rsidRPr="00D4309F" w:rsidRDefault="00725977" w:rsidP="00F56BEC">
      <w:pPr>
        <w:pStyle w:val="ListParagraph"/>
        <w:widowControl w:val="0"/>
        <w:numPr>
          <w:ilvl w:val="0"/>
          <w:numId w:val="443"/>
        </w:numPr>
        <w:tabs>
          <w:tab w:val="left" w:pos="501"/>
        </w:tabs>
        <w:autoSpaceDE w:val="0"/>
        <w:autoSpaceDN w:val="0"/>
        <w:spacing w:before="117" w:after="0" w:line="240" w:lineRule="auto"/>
        <w:ind w:right="692"/>
        <w:contextualSpacing w:val="0"/>
      </w:pPr>
      <w:r w:rsidRPr="00D4309F">
        <w:rPr>
          <w:color w:val="211E1F"/>
        </w:rPr>
        <w:t>Land</w:t>
      </w:r>
      <w:r w:rsidRPr="00D4309F">
        <w:rPr>
          <w:color w:val="211E1F"/>
          <w:spacing w:val="-3"/>
        </w:rPr>
        <w:t xml:space="preserve"> </w:t>
      </w:r>
      <w:r w:rsidRPr="00D4309F">
        <w:rPr>
          <w:color w:val="211E1F"/>
        </w:rPr>
        <w:t>tenure,</w:t>
      </w:r>
      <w:r w:rsidRPr="00D4309F">
        <w:rPr>
          <w:color w:val="211E1F"/>
          <w:spacing w:val="-5"/>
        </w:rPr>
        <w:t xml:space="preserve"> </w:t>
      </w:r>
      <w:r w:rsidRPr="00D4309F">
        <w:rPr>
          <w:color w:val="211E1F"/>
        </w:rPr>
        <w:t>coastal</w:t>
      </w:r>
      <w:r w:rsidRPr="00D4309F">
        <w:rPr>
          <w:color w:val="211E1F"/>
          <w:spacing w:val="-3"/>
        </w:rPr>
        <w:t xml:space="preserve"> </w:t>
      </w:r>
      <w:r w:rsidRPr="00D4309F">
        <w:rPr>
          <w:color w:val="211E1F"/>
        </w:rPr>
        <w:t>development,</w:t>
      </w:r>
      <w:r w:rsidRPr="00D4309F">
        <w:rPr>
          <w:color w:val="211E1F"/>
          <w:spacing w:val="-3"/>
        </w:rPr>
        <w:t xml:space="preserve"> </w:t>
      </w:r>
      <w:r w:rsidRPr="00D4309F">
        <w:rPr>
          <w:color w:val="211E1F"/>
        </w:rPr>
        <w:t>and</w:t>
      </w:r>
      <w:r w:rsidRPr="00D4309F">
        <w:rPr>
          <w:color w:val="211E1F"/>
          <w:spacing w:val="-4"/>
        </w:rPr>
        <w:t xml:space="preserve"> </w:t>
      </w:r>
      <w:r w:rsidRPr="00D4309F">
        <w:rPr>
          <w:color w:val="211E1F"/>
        </w:rPr>
        <w:t>environmental</w:t>
      </w:r>
      <w:r w:rsidRPr="00D4309F">
        <w:rPr>
          <w:color w:val="211E1F"/>
          <w:spacing w:val="-3"/>
        </w:rPr>
        <w:t xml:space="preserve"> </w:t>
      </w:r>
      <w:r w:rsidRPr="00D4309F">
        <w:rPr>
          <w:color w:val="211E1F"/>
        </w:rPr>
        <w:t>approvals</w:t>
      </w:r>
      <w:r w:rsidRPr="00D4309F">
        <w:rPr>
          <w:color w:val="211E1F"/>
          <w:spacing w:val="-2"/>
        </w:rPr>
        <w:t xml:space="preserve"> </w:t>
      </w:r>
      <w:r w:rsidRPr="00D4309F">
        <w:rPr>
          <w:color w:val="211E1F"/>
        </w:rPr>
        <w:t>under</w:t>
      </w:r>
      <w:r w:rsidRPr="00D4309F">
        <w:rPr>
          <w:color w:val="211E1F"/>
          <w:spacing w:val="-4"/>
        </w:rPr>
        <w:t xml:space="preserve"> </w:t>
      </w:r>
      <w:r w:rsidRPr="00D4309F">
        <w:rPr>
          <w:color w:val="211E1F"/>
        </w:rPr>
        <w:t>state</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Commonwealth legislation, including marine park and coastal works permits.</w:t>
      </w:r>
    </w:p>
    <w:p w14:paraId="4F8771A5" w14:textId="3F7A4315" w:rsidR="00725977" w:rsidRPr="00D4309F" w:rsidRDefault="00725977" w:rsidP="00725977">
      <w:pPr>
        <w:pStyle w:val="BodyText"/>
      </w:pPr>
      <w:r w:rsidRPr="00D4309F">
        <w:t>Option 1B represents a more advanced and infrastructure-intensive design than Option 1A, introducing permanent</w:t>
      </w:r>
      <w:r w:rsidRPr="00D4309F">
        <w:rPr>
          <w:spacing w:val="-3"/>
        </w:rPr>
        <w:t xml:space="preserve"> </w:t>
      </w:r>
      <w:r w:rsidRPr="00D4309F">
        <w:t>onshore</w:t>
      </w:r>
      <w:r w:rsidRPr="00D4309F">
        <w:rPr>
          <w:spacing w:val="-3"/>
        </w:rPr>
        <w:t xml:space="preserve"> </w:t>
      </w:r>
      <w:r w:rsidRPr="00D4309F">
        <w:t>and</w:t>
      </w:r>
      <w:r w:rsidRPr="00D4309F">
        <w:rPr>
          <w:spacing w:val="-3"/>
        </w:rPr>
        <w:t xml:space="preserve"> </w:t>
      </w:r>
      <w:r w:rsidRPr="00D4309F">
        <w:t>offshore</w:t>
      </w:r>
      <w:r w:rsidRPr="00D4309F">
        <w:rPr>
          <w:spacing w:val="-3"/>
        </w:rPr>
        <w:t xml:space="preserve"> </w:t>
      </w:r>
      <w:r w:rsidRPr="00D4309F">
        <w:t>components</w:t>
      </w:r>
      <w:r w:rsidRPr="00D4309F">
        <w:rPr>
          <w:spacing w:val="-3"/>
        </w:rPr>
        <w:t xml:space="preserve"> </w:t>
      </w:r>
      <w:r w:rsidRPr="00D4309F">
        <w:t>such</w:t>
      </w:r>
      <w:r w:rsidRPr="00D4309F">
        <w:rPr>
          <w:spacing w:val="-3"/>
        </w:rPr>
        <w:t xml:space="preserve"> </w:t>
      </w:r>
      <w:r w:rsidRPr="00D4309F">
        <w:t>as</w:t>
      </w:r>
      <w:r w:rsidRPr="00D4309F">
        <w:rPr>
          <w:spacing w:val="-2"/>
        </w:rPr>
        <w:t xml:space="preserve"> </w:t>
      </w:r>
      <w:r w:rsidRPr="00D4309F">
        <w:t>a</w:t>
      </w:r>
      <w:r w:rsidRPr="00D4309F">
        <w:rPr>
          <w:spacing w:val="-3"/>
        </w:rPr>
        <w:t xml:space="preserve"> </w:t>
      </w:r>
      <w:r w:rsidRPr="00D4309F">
        <w:t>pump</w:t>
      </w:r>
      <w:r w:rsidRPr="00D4309F">
        <w:rPr>
          <w:spacing w:val="-3"/>
        </w:rPr>
        <w:t xml:space="preserve"> </w:t>
      </w:r>
      <w:r w:rsidRPr="00D4309F">
        <w:t>house,</w:t>
      </w:r>
      <w:r w:rsidRPr="00D4309F">
        <w:rPr>
          <w:spacing w:val="-4"/>
        </w:rPr>
        <w:t xml:space="preserve"> </w:t>
      </w:r>
      <w:r w:rsidRPr="00D4309F">
        <w:t>submerged</w:t>
      </w:r>
      <w:r w:rsidRPr="00D4309F">
        <w:rPr>
          <w:spacing w:val="-3"/>
        </w:rPr>
        <w:t xml:space="preserve"> </w:t>
      </w:r>
      <w:r w:rsidRPr="00D4309F">
        <w:t>pipeline,</w:t>
      </w:r>
      <w:r w:rsidRPr="00D4309F">
        <w:rPr>
          <w:spacing w:val="-3"/>
        </w:rPr>
        <w:t xml:space="preserve"> </w:t>
      </w:r>
      <w:r w:rsidRPr="00D4309F">
        <w:t>and</w:t>
      </w:r>
      <w:r w:rsidRPr="00D4309F">
        <w:rPr>
          <w:spacing w:val="-3"/>
        </w:rPr>
        <w:t xml:space="preserve"> </w:t>
      </w:r>
      <w:r w:rsidRPr="00D4309F">
        <w:t>nourishment outlets. While this provides increased operational reliability and flexibility for sand placement, it also brings greater engineering complexity and environmental approval requirements.</w:t>
      </w:r>
    </w:p>
    <w:p w14:paraId="1A1FB9CF" w14:textId="77777777" w:rsidR="00725977" w:rsidRPr="00D4309F" w:rsidRDefault="00725977" w:rsidP="008228CB">
      <w:pPr>
        <w:pStyle w:val="Heading3"/>
      </w:pPr>
      <w:bookmarkStart w:id="269" w:name="_Toc216699387"/>
      <w:r w:rsidRPr="00D4309F">
        <w:t>Capital</w:t>
      </w:r>
      <w:r w:rsidRPr="00D4309F">
        <w:rPr>
          <w:spacing w:val="-4"/>
        </w:rPr>
        <w:t xml:space="preserve"> </w:t>
      </w:r>
      <w:r w:rsidRPr="00D4309F">
        <w:rPr>
          <w:spacing w:val="-2"/>
        </w:rPr>
        <w:t>works</w:t>
      </w:r>
      <w:bookmarkEnd w:id="269"/>
    </w:p>
    <w:p w14:paraId="40D0433B" w14:textId="140697D0" w:rsidR="00725977" w:rsidRPr="00D4309F" w:rsidRDefault="00725977" w:rsidP="00725977">
      <w:pPr>
        <w:pStyle w:val="BodyText"/>
      </w:pPr>
      <w:r w:rsidRPr="00D4309F">
        <w:t xml:space="preserve">Implementation of Option 1B would require the construction of a shore-based pump and buried pipeline system to actively transfer sand from the Buddina Beach sand trap (Area A) across the Mooloolaba River entrance to Mooloolaba Beach (Area B). Unlike Option 1A, which relies on periodic removal and transport using a Trailer Suction Hopper Dredge (TSHD), Option 1B provides a fixed, onshore mechanical system </w:t>
      </w:r>
      <w:r w:rsidRPr="00D4309F">
        <w:lastRenderedPageBreak/>
        <w:t>capable</w:t>
      </w:r>
      <w:r w:rsidRPr="00D4309F">
        <w:rPr>
          <w:spacing w:val="-3"/>
        </w:rPr>
        <w:t xml:space="preserve"> </w:t>
      </w:r>
      <w:r w:rsidRPr="00D4309F">
        <w:t>of</w:t>
      </w:r>
      <w:r w:rsidRPr="00D4309F">
        <w:rPr>
          <w:spacing w:val="-3"/>
        </w:rPr>
        <w:t xml:space="preserve"> </w:t>
      </w:r>
      <w:r w:rsidRPr="00D4309F">
        <w:t>transferring</w:t>
      </w:r>
      <w:r w:rsidRPr="00D4309F">
        <w:rPr>
          <w:spacing w:val="-3"/>
        </w:rPr>
        <w:t xml:space="preserve"> </w:t>
      </w:r>
      <w:r w:rsidRPr="00D4309F">
        <w:t>sand</w:t>
      </w:r>
      <w:r w:rsidRPr="00D4309F">
        <w:rPr>
          <w:spacing w:val="-3"/>
        </w:rPr>
        <w:t xml:space="preserve"> </w:t>
      </w:r>
      <w:r w:rsidRPr="00D4309F">
        <w:t>on</w:t>
      </w:r>
      <w:r w:rsidRPr="00D4309F">
        <w:rPr>
          <w:spacing w:val="-3"/>
        </w:rPr>
        <w:t xml:space="preserve"> </w:t>
      </w:r>
      <w:r w:rsidRPr="00D4309F">
        <w:t>a</w:t>
      </w:r>
      <w:r w:rsidRPr="00D4309F">
        <w:rPr>
          <w:spacing w:val="-3"/>
        </w:rPr>
        <w:t xml:space="preserve"> </w:t>
      </w:r>
      <w:r w:rsidRPr="00D4309F">
        <w:t>more</w:t>
      </w:r>
      <w:r w:rsidRPr="00D4309F">
        <w:rPr>
          <w:spacing w:val="-3"/>
        </w:rPr>
        <w:t xml:space="preserve"> </w:t>
      </w:r>
      <w:r w:rsidRPr="00D4309F">
        <w:t>frequent</w:t>
      </w:r>
      <w:r w:rsidRPr="00D4309F">
        <w:rPr>
          <w:spacing w:val="-3"/>
        </w:rPr>
        <w:t xml:space="preserve"> </w:t>
      </w:r>
      <w:r w:rsidRPr="00D4309F">
        <w:t>or</w:t>
      </w:r>
      <w:r w:rsidRPr="00D4309F">
        <w:rPr>
          <w:spacing w:val="-4"/>
        </w:rPr>
        <w:t xml:space="preserve"> </w:t>
      </w:r>
      <w:r w:rsidRPr="00D4309F">
        <w:t>continuous</w:t>
      </w:r>
      <w:r w:rsidRPr="00D4309F">
        <w:rPr>
          <w:spacing w:val="-2"/>
        </w:rPr>
        <w:t xml:space="preserve"> </w:t>
      </w:r>
      <w:r w:rsidRPr="00D4309F">
        <w:t>basis.</w:t>
      </w:r>
      <w:r w:rsidRPr="00D4309F">
        <w:rPr>
          <w:spacing w:val="-4"/>
        </w:rPr>
        <w:t xml:space="preserve"> </w:t>
      </w:r>
      <w:r w:rsidRPr="00D4309F">
        <w:t>This</w:t>
      </w:r>
      <w:r w:rsidRPr="00D4309F">
        <w:rPr>
          <w:spacing w:val="-2"/>
        </w:rPr>
        <w:t xml:space="preserve"> </w:t>
      </w:r>
      <w:r w:rsidRPr="00D4309F">
        <w:t>represents</w:t>
      </w:r>
      <w:r w:rsidRPr="00D4309F">
        <w:rPr>
          <w:spacing w:val="-2"/>
        </w:rPr>
        <w:t xml:space="preserve"> </w:t>
      </w:r>
      <w:r w:rsidRPr="00D4309F">
        <w:t>a</w:t>
      </w:r>
      <w:r w:rsidRPr="00D4309F">
        <w:rPr>
          <w:spacing w:val="-3"/>
        </w:rPr>
        <w:t xml:space="preserve"> </w:t>
      </w:r>
      <w:r w:rsidRPr="00D4309F">
        <w:t>significant</w:t>
      </w:r>
      <w:r w:rsidRPr="00D4309F">
        <w:rPr>
          <w:spacing w:val="-3"/>
        </w:rPr>
        <w:t xml:space="preserve"> </w:t>
      </w:r>
      <w:r w:rsidRPr="00D4309F">
        <w:t>increase</w:t>
      </w:r>
      <w:r w:rsidRPr="00D4309F">
        <w:rPr>
          <w:spacing w:val="-3"/>
        </w:rPr>
        <w:t xml:space="preserve"> </w:t>
      </w:r>
      <w:r w:rsidRPr="00D4309F">
        <w:t>in</w:t>
      </w:r>
      <w:r w:rsidR="00FD0909">
        <w:t xml:space="preserve"> </w:t>
      </w:r>
      <w:r w:rsidRPr="00D4309F">
        <w:t>engineering</w:t>
      </w:r>
      <w:r w:rsidRPr="00D4309F">
        <w:rPr>
          <w:spacing w:val="-3"/>
        </w:rPr>
        <w:t xml:space="preserve"> </w:t>
      </w:r>
      <w:r w:rsidRPr="00D4309F">
        <w:t>complexity</w:t>
      </w:r>
      <w:r w:rsidRPr="00D4309F">
        <w:rPr>
          <w:spacing w:val="-2"/>
        </w:rPr>
        <w:t xml:space="preserve"> </w:t>
      </w:r>
      <w:r w:rsidRPr="00D4309F">
        <w:t>and</w:t>
      </w:r>
      <w:r w:rsidRPr="00D4309F">
        <w:rPr>
          <w:spacing w:val="-3"/>
        </w:rPr>
        <w:t xml:space="preserve"> </w:t>
      </w:r>
      <w:r w:rsidRPr="00D4309F">
        <w:t>capital</w:t>
      </w:r>
      <w:r w:rsidRPr="00D4309F">
        <w:rPr>
          <w:spacing w:val="-3"/>
        </w:rPr>
        <w:t xml:space="preserve"> </w:t>
      </w:r>
      <w:r w:rsidRPr="00D4309F">
        <w:t>investment</w:t>
      </w:r>
      <w:r w:rsidRPr="00D4309F">
        <w:rPr>
          <w:spacing w:val="-3"/>
        </w:rPr>
        <w:t xml:space="preserve"> </w:t>
      </w:r>
      <w:r w:rsidRPr="00D4309F">
        <w:t>but</w:t>
      </w:r>
      <w:r w:rsidRPr="00D4309F">
        <w:rPr>
          <w:spacing w:val="-3"/>
        </w:rPr>
        <w:t xml:space="preserve"> </w:t>
      </w:r>
      <w:r w:rsidRPr="00D4309F">
        <w:t>offers</w:t>
      </w:r>
      <w:r w:rsidRPr="00D4309F">
        <w:rPr>
          <w:spacing w:val="-2"/>
        </w:rPr>
        <w:t xml:space="preserve"> </w:t>
      </w:r>
      <w:r w:rsidRPr="00D4309F">
        <w:t>greater</w:t>
      </w:r>
      <w:r w:rsidRPr="00D4309F">
        <w:rPr>
          <w:spacing w:val="-2"/>
        </w:rPr>
        <w:t xml:space="preserve"> </w:t>
      </w:r>
      <w:r w:rsidRPr="00D4309F">
        <w:t>control</w:t>
      </w:r>
      <w:r w:rsidRPr="00D4309F">
        <w:rPr>
          <w:spacing w:val="-3"/>
        </w:rPr>
        <w:t xml:space="preserve"> </w:t>
      </w:r>
      <w:r w:rsidRPr="00D4309F">
        <w:t>over</w:t>
      </w:r>
      <w:r w:rsidRPr="00D4309F">
        <w:rPr>
          <w:spacing w:val="-2"/>
        </w:rPr>
        <w:t xml:space="preserve"> </w:t>
      </w:r>
      <w:r w:rsidRPr="00D4309F">
        <w:t>sand</w:t>
      </w:r>
      <w:r w:rsidRPr="00D4309F">
        <w:rPr>
          <w:spacing w:val="-3"/>
        </w:rPr>
        <w:t xml:space="preserve"> </w:t>
      </w:r>
      <w:r w:rsidRPr="00D4309F">
        <w:t>movement</w:t>
      </w:r>
      <w:r w:rsidRPr="00D4309F">
        <w:rPr>
          <w:spacing w:val="-3"/>
        </w:rPr>
        <w:t xml:space="preserve"> </w:t>
      </w:r>
      <w:r w:rsidRPr="00D4309F">
        <w:t>and</w:t>
      </w:r>
      <w:r w:rsidRPr="00D4309F">
        <w:rPr>
          <w:spacing w:val="-3"/>
        </w:rPr>
        <w:t xml:space="preserve"> </w:t>
      </w:r>
      <w:r w:rsidRPr="00D4309F">
        <w:t>improved predictability of entrance conditions.</w:t>
      </w:r>
    </w:p>
    <w:p w14:paraId="10B00760" w14:textId="77777777" w:rsidR="00725977" w:rsidRPr="00D4309F" w:rsidRDefault="00725977" w:rsidP="00725977">
      <w:pPr>
        <w:pStyle w:val="BodyText"/>
      </w:pPr>
      <w:r w:rsidRPr="00D4309F">
        <w:t>Key</w:t>
      </w:r>
      <w:r w:rsidRPr="00D4309F">
        <w:rPr>
          <w:spacing w:val="-3"/>
        </w:rPr>
        <w:t xml:space="preserve"> </w:t>
      </w:r>
      <w:r w:rsidRPr="00D4309F">
        <w:t>components</w:t>
      </w:r>
      <w:r w:rsidRPr="00D4309F">
        <w:rPr>
          <w:spacing w:val="-2"/>
        </w:rPr>
        <w:t xml:space="preserve"> </w:t>
      </w:r>
      <w:r w:rsidRPr="00D4309F">
        <w:t>of</w:t>
      </w:r>
      <w:r w:rsidRPr="00D4309F">
        <w:rPr>
          <w:spacing w:val="-4"/>
        </w:rPr>
        <w:t xml:space="preserve"> </w:t>
      </w:r>
      <w:r w:rsidRPr="00D4309F">
        <w:t>the</w:t>
      </w:r>
      <w:r w:rsidRPr="00D4309F">
        <w:rPr>
          <w:spacing w:val="-3"/>
        </w:rPr>
        <w:t xml:space="preserve"> </w:t>
      </w:r>
      <w:r w:rsidRPr="00D4309F">
        <w:t>system</w:t>
      </w:r>
      <w:r w:rsidRPr="00D4309F">
        <w:rPr>
          <w:spacing w:val="-3"/>
        </w:rPr>
        <w:t xml:space="preserve"> </w:t>
      </w:r>
      <w:r w:rsidRPr="00D4309F">
        <w:t>would</w:t>
      </w:r>
      <w:r w:rsidRPr="00D4309F">
        <w:rPr>
          <w:spacing w:val="-3"/>
        </w:rPr>
        <w:t xml:space="preserve"> </w:t>
      </w:r>
      <w:r w:rsidRPr="00D4309F">
        <w:rPr>
          <w:spacing w:val="-2"/>
        </w:rPr>
        <w:t>include:</w:t>
      </w:r>
    </w:p>
    <w:p w14:paraId="4C17B8A7" w14:textId="77777777" w:rsidR="00725977" w:rsidRPr="00D4309F" w:rsidRDefault="00725977" w:rsidP="000C1972">
      <w:pPr>
        <w:pStyle w:val="ListBullet"/>
      </w:pPr>
      <w:r w:rsidRPr="00D4309F">
        <w:rPr>
          <w:b/>
        </w:rPr>
        <w:t>Shore-based pump station</w:t>
      </w:r>
      <w:r w:rsidRPr="00D4309F">
        <w:t>: A purpose-built facility located near the base of Point Cartwright,</w:t>
      </w:r>
      <w:r w:rsidRPr="00D4309F">
        <w:rPr>
          <w:spacing w:val="40"/>
        </w:rPr>
        <w:t xml:space="preserve"> </w:t>
      </w:r>
      <w:r w:rsidRPr="00D4309F">
        <w:t>positioned</w:t>
      </w:r>
      <w:r w:rsidRPr="00D4309F">
        <w:rPr>
          <w:spacing w:val="-2"/>
        </w:rPr>
        <w:t xml:space="preserve"> </w:t>
      </w:r>
      <w:r w:rsidRPr="00D4309F">
        <w:t>to</w:t>
      </w:r>
      <w:r w:rsidRPr="00D4309F">
        <w:rPr>
          <w:spacing w:val="-3"/>
        </w:rPr>
        <w:t xml:space="preserve"> </w:t>
      </w:r>
      <w:r w:rsidRPr="00D4309F">
        <w:t>receive</w:t>
      </w:r>
      <w:r w:rsidRPr="00D4309F">
        <w:rPr>
          <w:spacing w:val="-2"/>
        </w:rPr>
        <w:t xml:space="preserve"> </w:t>
      </w:r>
      <w:r w:rsidRPr="00D4309F">
        <w:t>sand</w:t>
      </w:r>
      <w:r w:rsidRPr="00D4309F">
        <w:rPr>
          <w:spacing w:val="-3"/>
        </w:rPr>
        <w:t xml:space="preserve"> </w:t>
      </w:r>
      <w:r w:rsidRPr="00D4309F">
        <w:t>collected</w:t>
      </w:r>
      <w:r w:rsidRPr="00D4309F">
        <w:rPr>
          <w:spacing w:val="-2"/>
        </w:rPr>
        <w:t xml:space="preserve"> </w:t>
      </w:r>
      <w:r w:rsidRPr="00D4309F">
        <w:t>from</w:t>
      </w:r>
      <w:r w:rsidRPr="00D4309F">
        <w:rPr>
          <w:spacing w:val="-2"/>
        </w:rPr>
        <w:t xml:space="preserve"> </w:t>
      </w:r>
      <w:r w:rsidRPr="00D4309F">
        <w:t>the</w:t>
      </w:r>
      <w:r w:rsidRPr="00D4309F">
        <w:rPr>
          <w:spacing w:val="-3"/>
        </w:rPr>
        <w:t xml:space="preserve"> </w:t>
      </w:r>
      <w:r w:rsidRPr="00D4309F">
        <w:t>nearshore</w:t>
      </w:r>
      <w:r w:rsidRPr="00D4309F">
        <w:rPr>
          <w:spacing w:val="-2"/>
        </w:rPr>
        <w:t xml:space="preserve"> </w:t>
      </w:r>
      <w:r w:rsidRPr="00D4309F">
        <w:t>trap</w:t>
      </w:r>
      <w:r w:rsidRPr="00D4309F">
        <w:rPr>
          <w:spacing w:val="-2"/>
        </w:rPr>
        <w:t xml:space="preserve"> </w:t>
      </w:r>
      <w:r w:rsidRPr="00D4309F">
        <w:t>or</w:t>
      </w:r>
      <w:r w:rsidRPr="00D4309F">
        <w:rPr>
          <w:spacing w:val="-2"/>
        </w:rPr>
        <w:t xml:space="preserve"> </w:t>
      </w:r>
      <w:r w:rsidRPr="00D4309F">
        <w:t>dredged</w:t>
      </w:r>
      <w:r w:rsidRPr="00D4309F">
        <w:rPr>
          <w:spacing w:val="-2"/>
        </w:rPr>
        <w:t xml:space="preserve"> </w:t>
      </w:r>
      <w:r w:rsidRPr="00D4309F">
        <w:t>from</w:t>
      </w:r>
      <w:r w:rsidRPr="00D4309F">
        <w:rPr>
          <w:spacing w:val="-2"/>
        </w:rPr>
        <w:t xml:space="preserve"> </w:t>
      </w:r>
      <w:r w:rsidRPr="00D4309F">
        <w:t>adjacent</w:t>
      </w:r>
      <w:r w:rsidRPr="00D4309F">
        <w:rPr>
          <w:spacing w:val="-3"/>
        </w:rPr>
        <w:t xml:space="preserve"> </w:t>
      </w:r>
      <w:r w:rsidRPr="00D4309F">
        <w:t>areas.</w:t>
      </w:r>
      <w:r w:rsidRPr="00D4309F">
        <w:rPr>
          <w:spacing w:val="-2"/>
        </w:rPr>
        <w:t xml:space="preserve"> </w:t>
      </w:r>
      <w:r w:rsidRPr="00D4309F">
        <w:t>The</w:t>
      </w:r>
      <w:r w:rsidRPr="00D4309F">
        <w:rPr>
          <w:spacing w:val="-2"/>
        </w:rPr>
        <w:t xml:space="preserve"> </w:t>
      </w:r>
      <w:r w:rsidRPr="00D4309F">
        <w:t>station would house booster pumps, screening and control equipment, and connection points for dredge or shore feed lines.</w:t>
      </w:r>
    </w:p>
    <w:p w14:paraId="4513C326" w14:textId="77777777" w:rsidR="00725977" w:rsidRPr="00D4309F" w:rsidRDefault="00725977" w:rsidP="000C1972">
      <w:pPr>
        <w:pStyle w:val="ListBullet"/>
      </w:pPr>
      <w:r w:rsidRPr="00D4309F">
        <w:rPr>
          <w:b/>
        </w:rPr>
        <w:t>Pipeline network</w:t>
      </w:r>
      <w:r w:rsidRPr="00D4309F">
        <w:t>: A submerged pipeline crossing beneath the entrance channel, extending to distribution</w:t>
      </w:r>
      <w:r w:rsidRPr="00D4309F">
        <w:rPr>
          <w:spacing w:val="-3"/>
        </w:rPr>
        <w:t xml:space="preserve"> </w:t>
      </w:r>
      <w:r w:rsidRPr="00D4309F">
        <w:t>outlet</w:t>
      </w:r>
      <w:r w:rsidRPr="00D4309F">
        <w:rPr>
          <w:spacing w:val="-4"/>
        </w:rPr>
        <w:t xml:space="preserve"> </w:t>
      </w:r>
      <w:r w:rsidRPr="00D4309F">
        <w:t>along</w:t>
      </w:r>
      <w:r w:rsidRPr="00D4309F">
        <w:rPr>
          <w:spacing w:val="-3"/>
        </w:rPr>
        <w:t xml:space="preserve"> </w:t>
      </w:r>
      <w:r w:rsidRPr="00D4309F">
        <w:t>Mooloolaba</w:t>
      </w:r>
      <w:r w:rsidRPr="00D4309F">
        <w:rPr>
          <w:spacing w:val="-3"/>
        </w:rPr>
        <w:t xml:space="preserve"> </w:t>
      </w:r>
      <w:r w:rsidRPr="00D4309F">
        <w:t>Main</w:t>
      </w:r>
      <w:r w:rsidRPr="00D4309F">
        <w:rPr>
          <w:spacing w:val="-3"/>
        </w:rPr>
        <w:t xml:space="preserve"> </w:t>
      </w:r>
      <w:r w:rsidRPr="00D4309F">
        <w:t>Beach.</w:t>
      </w:r>
      <w:r w:rsidRPr="00D4309F">
        <w:rPr>
          <w:spacing w:val="-3"/>
        </w:rPr>
        <w:t xml:space="preserve"> </w:t>
      </w:r>
      <w:r w:rsidRPr="00D4309F">
        <w:t>The</w:t>
      </w:r>
      <w:r w:rsidRPr="00D4309F">
        <w:rPr>
          <w:spacing w:val="-3"/>
        </w:rPr>
        <w:t xml:space="preserve"> </w:t>
      </w:r>
      <w:r w:rsidRPr="00D4309F">
        <w:t>pipeline</w:t>
      </w:r>
      <w:r w:rsidRPr="00D4309F">
        <w:rPr>
          <w:spacing w:val="-4"/>
        </w:rPr>
        <w:t xml:space="preserve"> </w:t>
      </w:r>
      <w:r w:rsidRPr="00D4309F">
        <w:t>would</w:t>
      </w:r>
      <w:r w:rsidRPr="00D4309F">
        <w:rPr>
          <w:spacing w:val="-3"/>
        </w:rPr>
        <w:t xml:space="preserve"> </w:t>
      </w:r>
      <w:r w:rsidRPr="00D4309F">
        <w:t>be</w:t>
      </w:r>
      <w:r w:rsidRPr="00D4309F">
        <w:rPr>
          <w:spacing w:val="-3"/>
        </w:rPr>
        <w:t xml:space="preserve"> </w:t>
      </w:r>
      <w:r w:rsidRPr="00D4309F">
        <w:t>constructed</w:t>
      </w:r>
      <w:r w:rsidRPr="00D4309F">
        <w:rPr>
          <w:spacing w:val="-3"/>
        </w:rPr>
        <w:t xml:space="preserve"> </w:t>
      </w:r>
      <w:r w:rsidRPr="00D4309F">
        <w:t>using</w:t>
      </w:r>
      <w:r w:rsidRPr="00D4309F">
        <w:rPr>
          <w:spacing w:val="-3"/>
        </w:rPr>
        <w:t xml:space="preserve"> </w:t>
      </w:r>
      <w:r w:rsidRPr="00D4309F">
        <w:t>high-density polyethylene (HDPE) or steel sections, ballasted and buried to ensure stability under dynamic coastal conditions. Where available, existing pipeline will be used.</w:t>
      </w:r>
    </w:p>
    <w:p w14:paraId="22325289" w14:textId="77777777" w:rsidR="00725977" w:rsidRPr="00D4309F" w:rsidRDefault="00725977" w:rsidP="000C1972">
      <w:pPr>
        <w:pStyle w:val="ListBullet"/>
      </w:pPr>
      <w:r w:rsidRPr="00D4309F">
        <w:rPr>
          <w:b/>
        </w:rPr>
        <w:t>Beach</w:t>
      </w:r>
      <w:r w:rsidRPr="00D4309F">
        <w:rPr>
          <w:b/>
          <w:spacing w:val="-3"/>
        </w:rPr>
        <w:t xml:space="preserve"> </w:t>
      </w:r>
      <w:r w:rsidRPr="00D4309F">
        <w:rPr>
          <w:b/>
        </w:rPr>
        <w:t>discharge</w:t>
      </w:r>
      <w:r w:rsidRPr="00D4309F">
        <w:rPr>
          <w:b/>
          <w:spacing w:val="-3"/>
        </w:rPr>
        <w:t xml:space="preserve"> </w:t>
      </w:r>
      <w:r w:rsidRPr="00D4309F">
        <w:rPr>
          <w:b/>
        </w:rPr>
        <w:t>infrastructure</w:t>
      </w:r>
      <w:r w:rsidRPr="00D4309F">
        <w:t>:</w:t>
      </w:r>
      <w:r w:rsidRPr="00D4309F">
        <w:rPr>
          <w:spacing w:val="-3"/>
        </w:rPr>
        <w:t xml:space="preserve"> </w:t>
      </w:r>
      <w:r w:rsidRPr="00D4309F">
        <w:t>A</w:t>
      </w:r>
      <w:r w:rsidRPr="00D4309F">
        <w:rPr>
          <w:spacing w:val="-3"/>
        </w:rPr>
        <w:t xml:space="preserve"> </w:t>
      </w:r>
      <w:r w:rsidRPr="00D4309F">
        <w:t>network</w:t>
      </w:r>
      <w:r w:rsidRPr="00D4309F">
        <w:rPr>
          <w:spacing w:val="-3"/>
        </w:rPr>
        <w:t xml:space="preserve"> </w:t>
      </w:r>
      <w:r w:rsidRPr="00D4309F">
        <w:t>of</w:t>
      </w:r>
      <w:r w:rsidRPr="00D4309F">
        <w:rPr>
          <w:spacing w:val="-3"/>
        </w:rPr>
        <w:t xml:space="preserve"> </w:t>
      </w:r>
      <w:r w:rsidRPr="00D4309F">
        <w:t>sand</w:t>
      </w:r>
      <w:r w:rsidRPr="00D4309F">
        <w:rPr>
          <w:spacing w:val="-4"/>
        </w:rPr>
        <w:t xml:space="preserve"> </w:t>
      </w:r>
      <w:r w:rsidRPr="00D4309F">
        <w:t>outlets</w:t>
      </w:r>
      <w:r w:rsidRPr="00D4309F">
        <w:rPr>
          <w:spacing w:val="-3"/>
        </w:rPr>
        <w:t xml:space="preserve"> </w:t>
      </w:r>
      <w:r w:rsidRPr="00D4309F">
        <w:t>designed</w:t>
      </w:r>
      <w:r w:rsidRPr="00D4309F">
        <w:rPr>
          <w:spacing w:val="-3"/>
        </w:rPr>
        <w:t xml:space="preserve"> </w:t>
      </w:r>
      <w:r w:rsidRPr="00D4309F">
        <w:t>for</w:t>
      </w:r>
      <w:r w:rsidRPr="00D4309F">
        <w:rPr>
          <w:spacing w:val="-2"/>
        </w:rPr>
        <w:t xml:space="preserve"> </w:t>
      </w:r>
      <w:r w:rsidRPr="00D4309F">
        <w:t>temporary</w:t>
      </w:r>
      <w:r w:rsidRPr="00D4309F">
        <w:rPr>
          <w:spacing w:val="-2"/>
        </w:rPr>
        <w:t xml:space="preserve"> </w:t>
      </w:r>
      <w:r w:rsidRPr="00D4309F">
        <w:t>pipework</w:t>
      </w:r>
      <w:r w:rsidRPr="00D4309F">
        <w:rPr>
          <w:spacing w:val="-2"/>
        </w:rPr>
        <w:t xml:space="preserve"> </w:t>
      </w:r>
      <w:r w:rsidRPr="00D4309F">
        <w:t>to</w:t>
      </w:r>
      <w:r w:rsidRPr="00D4309F">
        <w:rPr>
          <w:spacing w:val="-3"/>
        </w:rPr>
        <w:t xml:space="preserve"> </w:t>
      </w:r>
      <w:r w:rsidRPr="00D4309F">
        <w:t>be connected to evenly release sand along Mooloolaba Beach, providing targeted nourishment to the Mooloolaba cell.</w:t>
      </w:r>
    </w:p>
    <w:p w14:paraId="7F95216A" w14:textId="77777777" w:rsidR="00725977" w:rsidRPr="00D4309F" w:rsidRDefault="00725977" w:rsidP="000C1972">
      <w:pPr>
        <w:pStyle w:val="ListBullet"/>
      </w:pPr>
      <w:r w:rsidRPr="00D4309F">
        <w:rPr>
          <w:b/>
        </w:rPr>
        <w:t>Electrical</w:t>
      </w:r>
      <w:r w:rsidRPr="00D4309F">
        <w:rPr>
          <w:b/>
          <w:spacing w:val="-3"/>
        </w:rPr>
        <w:t xml:space="preserve"> </w:t>
      </w:r>
      <w:r w:rsidRPr="00D4309F">
        <w:rPr>
          <w:b/>
        </w:rPr>
        <w:t>and</w:t>
      </w:r>
      <w:r w:rsidRPr="00D4309F">
        <w:rPr>
          <w:b/>
          <w:spacing w:val="-3"/>
        </w:rPr>
        <w:t xml:space="preserve"> </w:t>
      </w:r>
      <w:r w:rsidRPr="00D4309F">
        <w:rPr>
          <w:b/>
        </w:rPr>
        <w:t>control</w:t>
      </w:r>
      <w:r w:rsidRPr="00D4309F">
        <w:rPr>
          <w:b/>
          <w:spacing w:val="-3"/>
        </w:rPr>
        <w:t xml:space="preserve"> </w:t>
      </w:r>
      <w:r w:rsidRPr="00D4309F">
        <w:rPr>
          <w:b/>
        </w:rPr>
        <w:t>systems</w:t>
      </w:r>
      <w:r w:rsidRPr="00D4309F">
        <w:t>:</w:t>
      </w:r>
      <w:r w:rsidRPr="00D4309F">
        <w:rPr>
          <w:spacing w:val="-3"/>
        </w:rPr>
        <w:t xml:space="preserve"> </w:t>
      </w:r>
      <w:r w:rsidRPr="00D4309F">
        <w:t>Power</w:t>
      </w:r>
      <w:r w:rsidRPr="00D4309F">
        <w:rPr>
          <w:spacing w:val="-2"/>
        </w:rPr>
        <w:t xml:space="preserve"> </w:t>
      </w:r>
      <w:r w:rsidRPr="00D4309F">
        <w:t>supply</w:t>
      </w:r>
      <w:r w:rsidRPr="00D4309F">
        <w:rPr>
          <w:spacing w:val="-2"/>
        </w:rPr>
        <w:t xml:space="preserve"> </w:t>
      </w:r>
      <w:r w:rsidRPr="00D4309F">
        <w:t>infrastructure,</w:t>
      </w:r>
      <w:r w:rsidRPr="00D4309F">
        <w:rPr>
          <w:spacing w:val="-3"/>
        </w:rPr>
        <w:t xml:space="preserve"> </w:t>
      </w:r>
      <w:r w:rsidRPr="00D4309F">
        <w:t>control</w:t>
      </w:r>
      <w:r w:rsidRPr="00D4309F">
        <w:rPr>
          <w:spacing w:val="-3"/>
        </w:rPr>
        <w:t xml:space="preserve"> </w:t>
      </w:r>
      <w:r w:rsidRPr="00D4309F">
        <w:t>panels,</w:t>
      </w:r>
      <w:r w:rsidRPr="00D4309F">
        <w:rPr>
          <w:spacing w:val="-3"/>
        </w:rPr>
        <w:t xml:space="preserve"> </w:t>
      </w:r>
      <w:r w:rsidRPr="00D4309F">
        <w:t>and</w:t>
      </w:r>
      <w:r w:rsidRPr="00D4309F">
        <w:rPr>
          <w:spacing w:val="-3"/>
        </w:rPr>
        <w:t xml:space="preserve"> </w:t>
      </w:r>
      <w:r w:rsidRPr="00D4309F">
        <w:t>telemetry</w:t>
      </w:r>
      <w:r w:rsidRPr="00D4309F">
        <w:rPr>
          <w:spacing w:val="-3"/>
        </w:rPr>
        <w:t xml:space="preserve"> </w:t>
      </w:r>
      <w:r w:rsidRPr="00D4309F">
        <w:t>systems</w:t>
      </w:r>
      <w:r w:rsidRPr="00D4309F">
        <w:rPr>
          <w:spacing w:val="-2"/>
        </w:rPr>
        <w:t xml:space="preserve"> </w:t>
      </w:r>
      <w:r w:rsidRPr="00D4309F">
        <w:t>to manage pump operation, monitor pressures and flow rates, and coordinate with environmental and navigational conditions.</w:t>
      </w:r>
    </w:p>
    <w:p w14:paraId="172FE2EF" w14:textId="77777777" w:rsidR="00725977" w:rsidRPr="00D4309F" w:rsidRDefault="00725977" w:rsidP="000C1972">
      <w:pPr>
        <w:pStyle w:val="ListBullet"/>
      </w:pPr>
      <w:r w:rsidRPr="00D4309F">
        <w:rPr>
          <w:b/>
        </w:rPr>
        <w:t>Site</w:t>
      </w:r>
      <w:r w:rsidRPr="00D4309F">
        <w:rPr>
          <w:b/>
          <w:spacing w:val="-3"/>
        </w:rPr>
        <w:t xml:space="preserve"> </w:t>
      </w:r>
      <w:r w:rsidRPr="00D4309F">
        <w:rPr>
          <w:b/>
        </w:rPr>
        <w:t>preparation</w:t>
      </w:r>
      <w:r w:rsidRPr="00D4309F">
        <w:rPr>
          <w:b/>
          <w:spacing w:val="-3"/>
        </w:rPr>
        <w:t xml:space="preserve"> </w:t>
      </w:r>
      <w:r w:rsidRPr="00D4309F">
        <w:rPr>
          <w:b/>
        </w:rPr>
        <w:t>and</w:t>
      </w:r>
      <w:r w:rsidRPr="00D4309F">
        <w:rPr>
          <w:b/>
          <w:spacing w:val="-3"/>
        </w:rPr>
        <w:t xml:space="preserve"> </w:t>
      </w:r>
      <w:r w:rsidRPr="00D4309F">
        <w:rPr>
          <w:b/>
        </w:rPr>
        <w:t>access</w:t>
      </w:r>
      <w:r w:rsidRPr="00D4309F">
        <w:t>:</w:t>
      </w:r>
      <w:r w:rsidRPr="00D4309F">
        <w:rPr>
          <w:spacing w:val="-3"/>
        </w:rPr>
        <w:t xml:space="preserve"> </w:t>
      </w:r>
      <w:r w:rsidRPr="00D4309F">
        <w:t>Minor</w:t>
      </w:r>
      <w:r w:rsidRPr="00D4309F">
        <w:rPr>
          <w:spacing w:val="-4"/>
        </w:rPr>
        <w:t xml:space="preserve"> </w:t>
      </w:r>
      <w:r w:rsidRPr="00D4309F">
        <w:t>vegetation</w:t>
      </w:r>
      <w:r w:rsidRPr="00D4309F">
        <w:rPr>
          <w:spacing w:val="-3"/>
        </w:rPr>
        <w:t xml:space="preserve"> </w:t>
      </w:r>
      <w:r w:rsidRPr="00D4309F">
        <w:t>clearance,</w:t>
      </w:r>
      <w:r w:rsidRPr="00D4309F">
        <w:rPr>
          <w:spacing w:val="-3"/>
        </w:rPr>
        <w:t xml:space="preserve"> </w:t>
      </w:r>
      <w:r w:rsidRPr="00D4309F">
        <w:t>establishment</w:t>
      </w:r>
      <w:r w:rsidRPr="00D4309F">
        <w:rPr>
          <w:spacing w:val="-3"/>
        </w:rPr>
        <w:t xml:space="preserve"> </w:t>
      </w:r>
      <w:r w:rsidRPr="00D4309F">
        <w:t>of</w:t>
      </w:r>
      <w:r w:rsidRPr="00D4309F">
        <w:rPr>
          <w:spacing w:val="-3"/>
        </w:rPr>
        <w:t xml:space="preserve"> </w:t>
      </w:r>
      <w:r w:rsidRPr="00D4309F">
        <w:t>temporary</w:t>
      </w:r>
      <w:r w:rsidRPr="00D4309F">
        <w:rPr>
          <w:spacing w:val="-3"/>
        </w:rPr>
        <w:t xml:space="preserve"> </w:t>
      </w:r>
      <w:r w:rsidRPr="00D4309F">
        <w:t>construction compounds, and formation of access tracks for heavy plant and materials delivery. Works would be undertaken within a defined construction corridor to minimise environmental disturbance.</w:t>
      </w:r>
    </w:p>
    <w:p w14:paraId="2321B561" w14:textId="77777777" w:rsidR="00725977" w:rsidRPr="00D4309F" w:rsidRDefault="00725977" w:rsidP="00725977">
      <w:pPr>
        <w:pStyle w:val="BodyText"/>
      </w:pPr>
      <w:r w:rsidRPr="00D4309F">
        <w:t>The</w:t>
      </w:r>
      <w:r w:rsidRPr="00D4309F">
        <w:rPr>
          <w:spacing w:val="-3"/>
        </w:rPr>
        <w:t xml:space="preserve"> </w:t>
      </w:r>
      <w:r w:rsidRPr="00D4309F">
        <w:t>system</w:t>
      </w:r>
      <w:r w:rsidRPr="00D4309F">
        <w:rPr>
          <w:spacing w:val="-3"/>
        </w:rPr>
        <w:t xml:space="preserve"> </w:t>
      </w:r>
      <w:r w:rsidRPr="00D4309F">
        <w:t>would</w:t>
      </w:r>
      <w:r w:rsidRPr="00D4309F">
        <w:rPr>
          <w:spacing w:val="-3"/>
        </w:rPr>
        <w:t xml:space="preserve"> </w:t>
      </w:r>
      <w:r w:rsidRPr="00D4309F">
        <w:t>be</w:t>
      </w:r>
      <w:r w:rsidRPr="00D4309F">
        <w:rPr>
          <w:spacing w:val="-3"/>
        </w:rPr>
        <w:t xml:space="preserve"> </w:t>
      </w:r>
      <w:r w:rsidRPr="00D4309F">
        <w:t>compatible</w:t>
      </w:r>
      <w:r w:rsidRPr="00D4309F">
        <w:rPr>
          <w:spacing w:val="-3"/>
        </w:rPr>
        <w:t xml:space="preserve"> </w:t>
      </w:r>
      <w:r w:rsidRPr="00D4309F">
        <w:t>with</w:t>
      </w:r>
      <w:r w:rsidRPr="00D4309F">
        <w:rPr>
          <w:spacing w:val="-3"/>
        </w:rPr>
        <w:t xml:space="preserve"> </w:t>
      </w:r>
      <w:r w:rsidRPr="00D4309F">
        <w:t>existing</w:t>
      </w:r>
      <w:r w:rsidRPr="00D4309F">
        <w:rPr>
          <w:spacing w:val="-3"/>
        </w:rPr>
        <w:t xml:space="preserve"> </w:t>
      </w:r>
      <w:r w:rsidRPr="00D4309F">
        <w:t>Cutter</w:t>
      </w:r>
      <w:r w:rsidRPr="00D4309F">
        <w:rPr>
          <w:spacing w:val="-2"/>
        </w:rPr>
        <w:t xml:space="preserve"> </w:t>
      </w:r>
      <w:r w:rsidRPr="00D4309F">
        <w:t>Suction</w:t>
      </w:r>
      <w:r w:rsidRPr="00D4309F">
        <w:rPr>
          <w:spacing w:val="-3"/>
        </w:rPr>
        <w:t xml:space="preserve"> </w:t>
      </w:r>
      <w:r w:rsidRPr="00D4309F">
        <w:t>Dredges</w:t>
      </w:r>
      <w:r w:rsidRPr="00D4309F">
        <w:rPr>
          <w:spacing w:val="-2"/>
        </w:rPr>
        <w:t xml:space="preserve"> </w:t>
      </w:r>
      <w:r w:rsidRPr="00D4309F">
        <w:t>(CSDs),</w:t>
      </w:r>
      <w:r w:rsidRPr="00D4309F">
        <w:rPr>
          <w:spacing w:val="-4"/>
        </w:rPr>
        <w:t xml:space="preserve"> </w:t>
      </w:r>
      <w:r w:rsidRPr="00D4309F">
        <w:t>such</w:t>
      </w:r>
      <w:r w:rsidRPr="00D4309F">
        <w:rPr>
          <w:spacing w:val="-3"/>
        </w:rPr>
        <w:t xml:space="preserve"> </w:t>
      </w:r>
      <w:r w:rsidRPr="00D4309F">
        <w:t>as</w:t>
      </w:r>
      <w:r w:rsidRPr="00D4309F">
        <w:rPr>
          <w:spacing w:val="-2"/>
        </w:rPr>
        <w:t xml:space="preserve"> </w:t>
      </w:r>
      <w:r w:rsidRPr="00D4309F">
        <w:t>those</w:t>
      </w:r>
      <w:r w:rsidRPr="00D4309F">
        <w:rPr>
          <w:spacing w:val="-3"/>
        </w:rPr>
        <w:t xml:space="preserve"> </w:t>
      </w:r>
      <w:r w:rsidRPr="00D4309F">
        <w:t>operated</w:t>
      </w:r>
      <w:r w:rsidRPr="00D4309F">
        <w:rPr>
          <w:spacing w:val="-3"/>
        </w:rPr>
        <w:t xml:space="preserve"> </w:t>
      </w:r>
      <w:r w:rsidRPr="00D4309F">
        <w:t>by Hall</w:t>
      </w:r>
      <w:r w:rsidRPr="00D4309F">
        <w:rPr>
          <w:spacing w:val="-3"/>
        </w:rPr>
        <w:t xml:space="preserve"> </w:t>
      </w:r>
      <w:r w:rsidRPr="00D4309F">
        <w:t>Contracting,</w:t>
      </w:r>
      <w:r w:rsidRPr="00D4309F">
        <w:rPr>
          <w:spacing w:val="-3"/>
        </w:rPr>
        <w:t xml:space="preserve"> </w:t>
      </w:r>
      <w:r w:rsidRPr="00D4309F">
        <w:t>which</w:t>
      </w:r>
      <w:r w:rsidRPr="00D4309F">
        <w:rPr>
          <w:spacing w:val="-3"/>
        </w:rPr>
        <w:t xml:space="preserve"> </w:t>
      </w:r>
      <w:r w:rsidRPr="00D4309F">
        <w:t>could</w:t>
      </w:r>
      <w:r w:rsidRPr="00D4309F">
        <w:rPr>
          <w:spacing w:val="-3"/>
        </w:rPr>
        <w:t xml:space="preserve"> </w:t>
      </w:r>
      <w:r w:rsidRPr="00D4309F">
        <w:t>periodically</w:t>
      </w:r>
      <w:r w:rsidRPr="00D4309F">
        <w:rPr>
          <w:spacing w:val="-3"/>
        </w:rPr>
        <w:t xml:space="preserve"> </w:t>
      </w:r>
      <w:r w:rsidRPr="00D4309F">
        <w:t>feed</w:t>
      </w:r>
      <w:r w:rsidRPr="00D4309F">
        <w:rPr>
          <w:spacing w:val="-3"/>
        </w:rPr>
        <w:t xml:space="preserve"> </w:t>
      </w:r>
      <w:r w:rsidRPr="00D4309F">
        <w:t>material</w:t>
      </w:r>
      <w:r w:rsidRPr="00D4309F">
        <w:rPr>
          <w:spacing w:val="-4"/>
        </w:rPr>
        <w:t xml:space="preserve"> </w:t>
      </w:r>
      <w:r w:rsidRPr="00D4309F">
        <w:t>from</w:t>
      </w:r>
      <w:r w:rsidRPr="00D4309F">
        <w:rPr>
          <w:spacing w:val="-3"/>
        </w:rPr>
        <w:t xml:space="preserve"> </w:t>
      </w:r>
      <w:r w:rsidRPr="00D4309F">
        <w:t>the</w:t>
      </w:r>
      <w:r w:rsidRPr="00D4309F">
        <w:rPr>
          <w:spacing w:val="-3"/>
        </w:rPr>
        <w:t xml:space="preserve"> </w:t>
      </w:r>
      <w:r w:rsidRPr="00D4309F">
        <w:t>nearshore</w:t>
      </w:r>
      <w:r w:rsidRPr="00D4309F">
        <w:rPr>
          <w:spacing w:val="-3"/>
        </w:rPr>
        <w:t xml:space="preserve"> </w:t>
      </w:r>
      <w:r w:rsidRPr="00D4309F">
        <w:t>sand</w:t>
      </w:r>
      <w:r w:rsidRPr="00D4309F">
        <w:rPr>
          <w:spacing w:val="-3"/>
        </w:rPr>
        <w:t xml:space="preserve"> </w:t>
      </w:r>
      <w:r w:rsidRPr="00D4309F">
        <w:t>trap</w:t>
      </w:r>
      <w:r w:rsidRPr="00D4309F">
        <w:rPr>
          <w:spacing w:val="-3"/>
        </w:rPr>
        <w:t xml:space="preserve"> </w:t>
      </w:r>
      <w:r w:rsidRPr="00D4309F">
        <w:t>into</w:t>
      </w:r>
      <w:r w:rsidRPr="00D4309F">
        <w:rPr>
          <w:spacing w:val="-3"/>
        </w:rPr>
        <w:t xml:space="preserve"> </w:t>
      </w:r>
      <w:r w:rsidRPr="00D4309F">
        <w:t>the</w:t>
      </w:r>
      <w:r w:rsidRPr="00D4309F">
        <w:rPr>
          <w:spacing w:val="-3"/>
        </w:rPr>
        <w:t xml:space="preserve"> </w:t>
      </w:r>
      <w:r w:rsidRPr="00D4309F">
        <w:t>shore-based pump station for transfer across the entrance.</w:t>
      </w:r>
    </w:p>
    <w:p w14:paraId="5F3819D0" w14:textId="77777777" w:rsidR="00725977" w:rsidRPr="00D4309F" w:rsidRDefault="00725977" w:rsidP="00725977">
      <w:pPr>
        <w:pStyle w:val="BodyText"/>
      </w:pPr>
      <w:r w:rsidRPr="00D4309F">
        <w:t>Option 1B represents a more permanent and technically advanced solution than Option 1A, establishing dedicated infrastructure for ongoing sediment bypassing and long-term reduction of shoaling within the Mooloolaba</w:t>
      </w:r>
      <w:r w:rsidRPr="00D4309F">
        <w:rPr>
          <w:spacing w:val="-3"/>
        </w:rPr>
        <w:t xml:space="preserve"> </w:t>
      </w:r>
      <w:r w:rsidRPr="00D4309F">
        <w:t>entrance.</w:t>
      </w:r>
      <w:r w:rsidRPr="00D4309F">
        <w:rPr>
          <w:spacing w:val="-4"/>
        </w:rPr>
        <w:t xml:space="preserve"> </w:t>
      </w:r>
      <w:r w:rsidRPr="00D4309F">
        <w:t>While</w:t>
      </w:r>
      <w:r w:rsidRPr="00D4309F">
        <w:rPr>
          <w:spacing w:val="-3"/>
        </w:rPr>
        <w:t xml:space="preserve"> </w:t>
      </w:r>
      <w:r w:rsidRPr="00D4309F">
        <w:t>capital</w:t>
      </w:r>
      <w:r w:rsidRPr="00D4309F">
        <w:rPr>
          <w:spacing w:val="-4"/>
        </w:rPr>
        <w:t xml:space="preserve"> </w:t>
      </w:r>
      <w:r w:rsidRPr="00D4309F">
        <w:t>costs</w:t>
      </w:r>
      <w:r w:rsidRPr="00D4309F">
        <w:rPr>
          <w:spacing w:val="-2"/>
        </w:rPr>
        <w:t xml:space="preserve"> </w:t>
      </w:r>
      <w:r w:rsidRPr="00D4309F">
        <w:t>and</w:t>
      </w:r>
      <w:r w:rsidRPr="00D4309F">
        <w:rPr>
          <w:spacing w:val="-3"/>
        </w:rPr>
        <w:t xml:space="preserve"> </w:t>
      </w:r>
      <w:r w:rsidRPr="00D4309F">
        <w:t>approvals</w:t>
      </w:r>
      <w:r w:rsidRPr="00D4309F">
        <w:rPr>
          <w:spacing w:val="-2"/>
        </w:rPr>
        <w:t xml:space="preserve"> </w:t>
      </w:r>
      <w:r w:rsidRPr="00D4309F">
        <w:t>requirements</w:t>
      </w:r>
      <w:r w:rsidRPr="00D4309F">
        <w:rPr>
          <w:spacing w:val="-2"/>
        </w:rPr>
        <w:t xml:space="preserve"> </w:t>
      </w:r>
      <w:r w:rsidRPr="00D4309F">
        <w:t>would</w:t>
      </w:r>
      <w:r w:rsidRPr="00D4309F">
        <w:rPr>
          <w:spacing w:val="-3"/>
        </w:rPr>
        <w:t xml:space="preserve"> </w:t>
      </w:r>
      <w:r w:rsidRPr="00D4309F">
        <w:t>be</w:t>
      </w:r>
      <w:r w:rsidRPr="00D4309F">
        <w:rPr>
          <w:spacing w:val="-4"/>
        </w:rPr>
        <w:t xml:space="preserve"> </w:t>
      </w:r>
      <w:r w:rsidRPr="00D4309F">
        <w:t>higher,</w:t>
      </w:r>
      <w:r w:rsidRPr="00D4309F">
        <w:rPr>
          <w:spacing w:val="-3"/>
        </w:rPr>
        <w:t xml:space="preserve"> </w:t>
      </w:r>
      <w:r w:rsidRPr="00D4309F">
        <w:t>the</w:t>
      </w:r>
      <w:r w:rsidRPr="00D4309F">
        <w:rPr>
          <w:spacing w:val="-3"/>
        </w:rPr>
        <w:t xml:space="preserve"> </w:t>
      </w:r>
      <w:r w:rsidRPr="00D4309F">
        <w:t>investment</w:t>
      </w:r>
      <w:r w:rsidRPr="00D4309F">
        <w:rPr>
          <w:spacing w:val="-3"/>
        </w:rPr>
        <w:t xml:space="preserve"> </w:t>
      </w:r>
      <w:r w:rsidRPr="00D4309F">
        <w:t>would deliver a predictable, low-maintenance sand transfer system that provides year-round management of sediment continuity and enhances navigational safety within the harbour.</w:t>
      </w:r>
    </w:p>
    <w:p w14:paraId="56C8F98E" w14:textId="5BFDF44D" w:rsidR="00725977" w:rsidRPr="00D4309F" w:rsidRDefault="00725977" w:rsidP="00725977">
      <w:pPr>
        <w:pStyle w:val="BodyText"/>
      </w:pPr>
      <w:r w:rsidRPr="00D4309F">
        <w:t>While</w:t>
      </w:r>
      <w:r w:rsidRPr="00D4309F">
        <w:rPr>
          <w:spacing w:val="-3"/>
        </w:rPr>
        <w:t xml:space="preserve"> </w:t>
      </w:r>
      <w:r w:rsidRPr="00D4309F">
        <w:t>technically</w:t>
      </w:r>
      <w:r w:rsidRPr="00D4309F">
        <w:rPr>
          <w:spacing w:val="-2"/>
        </w:rPr>
        <w:t xml:space="preserve"> </w:t>
      </w:r>
      <w:r w:rsidRPr="00D4309F">
        <w:t>feasible</w:t>
      </w:r>
      <w:r w:rsidRPr="00D4309F">
        <w:rPr>
          <w:spacing w:val="-3"/>
        </w:rPr>
        <w:t xml:space="preserve"> </w:t>
      </w:r>
      <w:r w:rsidRPr="00D4309F">
        <w:t>and</w:t>
      </w:r>
      <w:r w:rsidRPr="00D4309F">
        <w:rPr>
          <w:spacing w:val="-3"/>
        </w:rPr>
        <w:t xml:space="preserve"> </w:t>
      </w:r>
      <w:r w:rsidRPr="00D4309F">
        <w:t>based</w:t>
      </w:r>
      <w:r w:rsidRPr="00D4309F">
        <w:rPr>
          <w:spacing w:val="-3"/>
        </w:rPr>
        <w:t xml:space="preserve"> </w:t>
      </w:r>
      <w:r w:rsidRPr="00D4309F">
        <w:t>on</w:t>
      </w:r>
      <w:r w:rsidRPr="00D4309F">
        <w:rPr>
          <w:spacing w:val="-3"/>
        </w:rPr>
        <w:t xml:space="preserve"> </w:t>
      </w:r>
      <w:r w:rsidRPr="00D4309F">
        <w:t>proven</w:t>
      </w:r>
      <w:r w:rsidRPr="00D4309F">
        <w:rPr>
          <w:spacing w:val="-3"/>
        </w:rPr>
        <w:t xml:space="preserve"> </w:t>
      </w:r>
      <w:r w:rsidRPr="00D4309F">
        <w:t>methods,</w:t>
      </w:r>
      <w:r w:rsidRPr="00D4309F">
        <w:rPr>
          <w:spacing w:val="-3"/>
        </w:rPr>
        <w:t xml:space="preserve"> </w:t>
      </w:r>
      <w:r w:rsidRPr="00D4309F">
        <w:t>the</w:t>
      </w:r>
      <w:r w:rsidRPr="00D4309F">
        <w:rPr>
          <w:spacing w:val="-3"/>
        </w:rPr>
        <w:t xml:space="preserve"> </w:t>
      </w:r>
      <w:r w:rsidRPr="00D4309F">
        <w:t>scale</w:t>
      </w:r>
      <w:r w:rsidRPr="00D4309F">
        <w:rPr>
          <w:spacing w:val="-4"/>
        </w:rPr>
        <w:t xml:space="preserve"> </w:t>
      </w:r>
      <w:r w:rsidRPr="00D4309F">
        <w:t>and</w:t>
      </w:r>
      <w:r w:rsidRPr="00D4309F">
        <w:rPr>
          <w:spacing w:val="-3"/>
        </w:rPr>
        <w:t xml:space="preserve"> </w:t>
      </w:r>
      <w:r w:rsidRPr="00D4309F">
        <w:t>complexity</w:t>
      </w:r>
      <w:r w:rsidRPr="00D4309F">
        <w:rPr>
          <w:spacing w:val="-2"/>
        </w:rPr>
        <w:t xml:space="preserve"> </w:t>
      </w:r>
      <w:r w:rsidRPr="00D4309F">
        <w:t>of</w:t>
      </w:r>
      <w:r w:rsidRPr="00D4309F">
        <w:rPr>
          <w:spacing w:val="-3"/>
        </w:rPr>
        <w:t xml:space="preserve"> </w:t>
      </w:r>
      <w:r w:rsidRPr="00D4309F">
        <w:t>infrastructure</w:t>
      </w:r>
      <w:r w:rsidRPr="00D4309F">
        <w:rPr>
          <w:spacing w:val="-3"/>
        </w:rPr>
        <w:t xml:space="preserve"> </w:t>
      </w:r>
      <w:r w:rsidRPr="00D4309F">
        <w:t>increase construction risk, cost, and environmental disturbance.</w:t>
      </w:r>
    </w:p>
    <w:p w14:paraId="771AA435" w14:textId="77777777" w:rsidR="00725977" w:rsidRPr="00D4309F" w:rsidRDefault="00725977" w:rsidP="008228CB">
      <w:pPr>
        <w:pStyle w:val="Heading3"/>
      </w:pPr>
      <w:bookmarkStart w:id="270" w:name="_Toc216699388"/>
      <w:r w:rsidRPr="00D4309F">
        <w:t>Operational</w:t>
      </w:r>
      <w:r w:rsidRPr="00D4309F">
        <w:rPr>
          <w:spacing w:val="-7"/>
        </w:rPr>
        <w:t xml:space="preserve"> </w:t>
      </w:r>
      <w:r w:rsidRPr="00D4309F">
        <w:rPr>
          <w:spacing w:val="-2"/>
        </w:rPr>
        <w:t>works</w:t>
      </w:r>
      <w:bookmarkEnd w:id="270"/>
    </w:p>
    <w:p w14:paraId="541A8D79" w14:textId="77777777" w:rsidR="00725977" w:rsidRPr="00D4309F" w:rsidRDefault="00725977" w:rsidP="00725977">
      <w:pPr>
        <w:pStyle w:val="BodyText"/>
      </w:pPr>
      <w:r w:rsidRPr="00D4309F">
        <w:t>Operation</w:t>
      </w:r>
      <w:r w:rsidRPr="00D4309F">
        <w:rPr>
          <w:spacing w:val="-2"/>
        </w:rPr>
        <w:t xml:space="preserve"> </w:t>
      </w:r>
      <w:r w:rsidRPr="00D4309F">
        <w:t>of</w:t>
      </w:r>
      <w:r w:rsidRPr="00D4309F">
        <w:rPr>
          <w:spacing w:val="-2"/>
        </w:rPr>
        <w:t xml:space="preserve"> </w:t>
      </w:r>
      <w:r w:rsidRPr="00D4309F">
        <w:t>Option</w:t>
      </w:r>
      <w:r w:rsidRPr="00D4309F">
        <w:rPr>
          <w:spacing w:val="-2"/>
        </w:rPr>
        <w:t xml:space="preserve"> </w:t>
      </w:r>
      <w:r w:rsidRPr="00D4309F">
        <w:t>1B</w:t>
      </w:r>
      <w:r w:rsidRPr="00D4309F">
        <w:rPr>
          <w:spacing w:val="-2"/>
        </w:rPr>
        <w:t xml:space="preserve"> </w:t>
      </w:r>
      <w:r w:rsidRPr="00D4309F">
        <w:t>would</w:t>
      </w:r>
      <w:r w:rsidRPr="00D4309F">
        <w:rPr>
          <w:spacing w:val="-2"/>
        </w:rPr>
        <w:t xml:space="preserve"> </w:t>
      </w:r>
      <w:r w:rsidRPr="00D4309F">
        <w:t>involve</w:t>
      </w:r>
      <w:r w:rsidRPr="00D4309F">
        <w:rPr>
          <w:spacing w:val="-2"/>
        </w:rPr>
        <w:t xml:space="preserve"> </w:t>
      </w:r>
      <w:r w:rsidRPr="00D4309F">
        <w:t>the</w:t>
      </w:r>
      <w:r w:rsidRPr="00D4309F">
        <w:rPr>
          <w:spacing w:val="-2"/>
        </w:rPr>
        <w:t xml:space="preserve"> </w:t>
      </w:r>
      <w:r w:rsidRPr="00D4309F">
        <w:t>active</w:t>
      </w:r>
      <w:r w:rsidRPr="00D4309F">
        <w:rPr>
          <w:spacing w:val="-2"/>
        </w:rPr>
        <w:t xml:space="preserve"> </w:t>
      </w:r>
      <w:r w:rsidRPr="00D4309F">
        <w:t>and</w:t>
      </w:r>
      <w:r w:rsidRPr="00D4309F">
        <w:rPr>
          <w:spacing w:val="-3"/>
        </w:rPr>
        <w:t xml:space="preserve"> </w:t>
      </w:r>
      <w:r w:rsidRPr="00D4309F">
        <w:t>ongoing</w:t>
      </w:r>
      <w:r w:rsidRPr="00D4309F">
        <w:rPr>
          <w:spacing w:val="-2"/>
        </w:rPr>
        <w:t xml:space="preserve"> </w:t>
      </w:r>
      <w:r w:rsidRPr="00D4309F">
        <w:t>transfer</w:t>
      </w:r>
      <w:r w:rsidRPr="00D4309F">
        <w:rPr>
          <w:spacing w:val="-1"/>
        </w:rPr>
        <w:t xml:space="preserve"> </w:t>
      </w:r>
      <w:r w:rsidRPr="00D4309F">
        <w:t>of</w:t>
      </w:r>
      <w:r w:rsidRPr="00D4309F">
        <w:rPr>
          <w:spacing w:val="-2"/>
        </w:rPr>
        <w:t xml:space="preserve"> </w:t>
      </w:r>
      <w:r w:rsidRPr="00D4309F">
        <w:t>sand</w:t>
      </w:r>
      <w:r w:rsidRPr="00D4309F">
        <w:rPr>
          <w:spacing w:val="-2"/>
        </w:rPr>
        <w:t xml:space="preserve"> </w:t>
      </w:r>
      <w:r w:rsidRPr="00D4309F">
        <w:t>from</w:t>
      </w:r>
      <w:r w:rsidRPr="00D4309F">
        <w:rPr>
          <w:spacing w:val="-2"/>
        </w:rPr>
        <w:t xml:space="preserve"> </w:t>
      </w:r>
      <w:r w:rsidRPr="00D4309F">
        <w:t>the</w:t>
      </w:r>
      <w:r w:rsidRPr="00D4309F">
        <w:rPr>
          <w:spacing w:val="-2"/>
        </w:rPr>
        <w:t xml:space="preserve"> </w:t>
      </w:r>
      <w:r w:rsidRPr="00D4309F">
        <w:t>Buddina</w:t>
      </w:r>
      <w:r w:rsidRPr="00D4309F">
        <w:rPr>
          <w:spacing w:val="-2"/>
        </w:rPr>
        <w:t xml:space="preserve"> </w:t>
      </w:r>
      <w:r w:rsidRPr="00D4309F">
        <w:t>Beach</w:t>
      </w:r>
      <w:r w:rsidRPr="00D4309F">
        <w:rPr>
          <w:spacing w:val="-2"/>
        </w:rPr>
        <w:t xml:space="preserve"> </w:t>
      </w:r>
      <w:r w:rsidRPr="00D4309F">
        <w:t>sand trap (Area A) to Mooloolaba Beach (Area B) through a fixed pipeline and pumping network.</w:t>
      </w:r>
    </w:p>
    <w:p w14:paraId="19B23D7E" w14:textId="77777777" w:rsidR="00725977" w:rsidRPr="00D4309F" w:rsidRDefault="00725977" w:rsidP="000C1972">
      <w:pPr>
        <w:pStyle w:val="ListBullet"/>
      </w:pPr>
      <w:r w:rsidRPr="00D4309F">
        <w:t>Sand</w:t>
      </w:r>
      <w:r w:rsidRPr="00D4309F">
        <w:rPr>
          <w:spacing w:val="-4"/>
        </w:rPr>
        <w:t xml:space="preserve"> </w:t>
      </w:r>
      <w:r w:rsidRPr="00D4309F">
        <w:t>collection</w:t>
      </w:r>
    </w:p>
    <w:p w14:paraId="65EDB8C7" w14:textId="77777777" w:rsidR="00725977" w:rsidRPr="00D4309F" w:rsidRDefault="00725977" w:rsidP="000C1972">
      <w:pPr>
        <w:pStyle w:val="ListBullet2"/>
      </w:pPr>
      <w:r w:rsidRPr="00D4309F">
        <w:t>Sand</w:t>
      </w:r>
      <w:r w:rsidRPr="00D4309F">
        <w:rPr>
          <w:spacing w:val="-3"/>
        </w:rPr>
        <w:t xml:space="preserve"> </w:t>
      </w:r>
      <w:r w:rsidRPr="00D4309F">
        <w:t>would</w:t>
      </w:r>
      <w:r w:rsidRPr="00D4309F">
        <w:rPr>
          <w:spacing w:val="-3"/>
        </w:rPr>
        <w:t xml:space="preserve"> </w:t>
      </w:r>
      <w:r w:rsidRPr="00D4309F">
        <w:t>be</w:t>
      </w:r>
      <w:r w:rsidRPr="00D4309F">
        <w:rPr>
          <w:spacing w:val="-3"/>
        </w:rPr>
        <w:t xml:space="preserve"> </w:t>
      </w:r>
      <w:r w:rsidRPr="00D4309F">
        <w:t>collected</w:t>
      </w:r>
      <w:r w:rsidRPr="00D4309F">
        <w:rPr>
          <w:spacing w:val="-3"/>
        </w:rPr>
        <w:t xml:space="preserve"> </w:t>
      </w:r>
      <w:r w:rsidRPr="00D4309F">
        <w:t>from</w:t>
      </w:r>
      <w:r w:rsidRPr="00D4309F">
        <w:rPr>
          <w:spacing w:val="-3"/>
        </w:rPr>
        <w:t xml:space="preserve"> </w:t>
      </w:r>
      <w:r w:rsidRPr="00D4309F">
        <w:t>the</w:t>
      </w:r>
      <w:r w:rsidRPr="00D4309F">
        <w:rPr>
          <w:spacing w:val="-3"/>
        </w:rPr>
        <w:t xml:space="preserve"> </w:t>
      </w:r>
      <w:r w:rsidRPr="00D4309F">
        <w:t>Buddina</w:t>
      </w:r>
      <w:r w:rsidRPr="00D4309F">
        <w:rPr>
          <w:spacing w:val="-3"/>
        </w:rPr>
        <w:t xml:space="preserve"> </w:t>
      </w:r>
      <w:r w:rsidRPr="00D4309F">
        <w:t>nearshore</w:t>
      </w:r>
      <w:r w:rsidRPr="00D4309F">
        <w:rPr>
          <w:spacing w:val="-4"/>
        </w:rPr>
        <w:t xml:space="preserve"> </w:t>
      </w:r>
      <w:r w:rsidRPr="00D4309F">
        <w:t>sand-trap</w:t>
      </w:r>
      <w:r w:rsidRPr="00D4309F">
        <w:rPr>
          <w:spacing w:val="-3"/>
        </w:rPr>
        <w:t xml:space="preserve"> </w:t>
      </w:r>
      <w:r w:rsidRPr="00D4309F">
        <w:t>area</w:t>
      </w:r>
      <w:r w:rsidRPr="00D4309F">
        <w:rPr>
          <w:spacing w:val="-3"/>
        </w:rPr>
        <w:t xml:space="preserve"> </w:t>
      </w:r>
      <w:r w:rsidRPr="00D4309F">
        <w:t>using</w:t>
      </w:r>
      <w:r w:rsidRPr="00D4309F">
        <w:rPr>
          <w:spacing w:val="-3"/>
        </w:rPr>
        <w:t xml:space="preserve"> </w:t>
      </w:r>
      <w:r w:rsidRPr="00D4309F">
        <w:t>a</w:t>
      </w:r>
      <w:r w:rsidRPr="00D4309F">
        <w:rPr>
          <w:spacing w:val="-3"/>
        </w:rPr>
        <w:t xml:space="preserve"> </w:t>
      </w:r>
      <w:r w:rsidRPr="00D4309F">
        <w:t>Cutter</w:t>
      </w:r>
      <w:r w:rsidRPr="00D4309F">
        <w:rPr>
          <w:spacing w:val="-2"/>
        </w:rPr>
        <w:t xml:space="preserve"> </w:t>
      </w:r>
      <w:r w:rsidRPr="00D4309F">
        <w:t>Suction</w:t>
      </w:r>
      <w:r w:rsidRPr="00D4309F">
        <w:rPr>
          <w:spacing w:val="-4"/>
        </w:rPr>
        <w:t xml:space="preserve"> </w:t>
      </w:r>
      <w:r w:rsidRPr="00D4309F">
        <w:t>Dredge (CSD)</w:t>
      </w:r>
      <w:r w:rsidRPr="00D4309F">
        <w:rPr>
          <w:spacing w:val="-1"/>
        </w:rPr>
        <w:t xml:space="preserve"> </w:t>
      </w:r>
      <w:r w:rsidRPr="00D4309F">
        <w:t>or</w:t>
      </w:r>
      <w:r w:rsidRPr="00D4309F">
        <w:rPr>
          <w:spacing w:val="-1"/>
        </w:rPr>
        <w:t xml:space="preserve"> </w:t>
      </w:r>
      <w:r w:rsidRPr="00D4309F">
        <w:t>a</w:t>
      </w:r>
      <w:r w:rsidRPr="00D4309F">
        <w:rPr>
          <w:spacing w:val="-2"/>
        </w:rPr>
        <w:t xml:space="preserve"> </w:t>
      </w:r>
      <w:r w:rsidRPr="00D4309F">
        <w:t>TSHD</w:t>
      </w:r>
      <w:r w:rsidRPr="00D4309F">
        <w:rPr>
          <w:spacing w:val="-1"/>
        </w:rPr>
        <w:t xml:space="preserve"> </w:t>
      </w:r>
      <w:r w:rsidRPr="00D4309F">
        <w:t>capable</w:t>
      </w:r>
      <w:r w:rsidRPr="00D4309F">
        <w:rPr>
          <w:spacing w:val="-3"/>
        </w:rPr>
        <w:t xml:space="preserve"> </w:t>
      </w:r>
      <w:r w:rsidRPr="00D4309F">
        <w:t>of</w:t>
      </w:r>
      <w:r w:rsidRPr="00D4309F">
        <w:rPr>
          <w:spacing w:val="-2"/>
        </w:rPr>
        <w:t xml:space="preserve"> </w:t>
      </w:r>
      <w:r w:rsidRPr="00D4309F">
        <w:t>operating</w:t>
      </w:r>
      <w:r w:rsidRPr="00D4309F">
        <w:rPr>
          <w:spacing w:val="-2"/>
        </w:rPr>
        <w:t xml:space="preserve"> </w:t>
      </w:r>
      <w:r w:rsidRPr="00D4309F">
        <w:t>in</w:t>
      </w:r>
      <w:r w:rsidRPr="00D4309F">
        <w:rPr>
          <w:spacing w:val="-2"/>
        </w:rPr>
        <w:t xml:space="preserve"> </w:t>
      </w:r>
      <w:r w:rsidRPr="00D4309F">
        <w:t>shallow</w:t>
      </w:r>
      <w:r w:rsidRPr="00D4309F">
        <w:rPr>
          <w:spacing w:val="-3"/>
        </w:rPr>
        <w:t xml:space="preserve"> </w:t>
      </w:r>
      <w:r w:rsidRPr="00D4309F">
        <w:t>coastal</w:t>
      </w:r>
      <w:r w:rsidRPr="00D4309F">
        <w:rPr>
          <w:spacing w:val="-2"/>
        </w:rPr>
        <w:t xml:space="preserve"> </w:t>
      </w:r>
      <w:r w:rsidRPr="00D4309F">
        <w:t>conditions</w:t>
      </w:r>
      <w:r w:rsidRPr="00D4309F">
        <w:rPr>
          <w:spacing w:val="-1"/>
        </w:rPr>
        <w:t xml:space="preserve"> </w:t>
      </w:r>
      <w:r w:rsidRPr="00D4309F">
        <w:t>and</w:t>
      </w:r>
      <w:r w:rsidRPr="00D4309F">
        <w:rPr>
          <w:spacing w:val="-2"/>
        </w:rPr>
        <w:t xml:space="preserve"> </w:t>
      </w:r>
      <w:r w:rsidRPr="00D4309F">
        <w:t>feeding</w:t>
      </w:r>
      <w:r w:rsidRPr="00D4309F">
        <w:rPr>
          <w:spacing w:val="-3"/>
        </w:rPr>
        <w:t xml:space="preserve"> </w:t>
      </w:r>
      <w:r w:rsidRPr="00D4309F">
        <w:t>material</w:t>
      </w:r>
      <w:r w:rsidRPr="00D4309F">
        <w:rPr>
          <w:spacing w:val="-2"/>
        </w:rPr>
        <w:t xml:space="preserve"> </w:t>
      </w:r>
      <w:r w:rsidRPr="00D4309F">
        <w:t>directly</w:t>
      </w:r>
      <w:r w:rsidRPr="00D4309F">
        <w:rPr>
          <w:spacing w:val="-1"/>
        </w:rPr>
        <w:t xml:space="preserve"> </w:t>
      </w:r>
      <w:r w:rsidRPr="00D4309F">
        <w:t>to the shore-based booster pump station.</w:t>
      </w:r>
    </w:p>
    <w:p w14:paraId="6BD6985C" w14:textId="77777777" w:rsidR="00725977" w:rsidRPr="00D4309F" w:rsidRDefault="00725977" w:rsidP="000C1972">
      <w:pPr>
        <w:pStyle w:val="ListBullet2"/>
      </w:pPr>
      <w:r w:rsidRPr="00D4309F">
        <w:t>The</w:t>
      </w:r>
      <w:r w:rsidRPr="00D4309F">
        <w:rPr>
          <w:spacing w:val="-3"/>
        </w:rPr>
        <w:t xml:space="preserve"> </w:t>
      </w:r>
      <w:r w:rsidRPr="00D4309F">
        <w:t>dredge</w:t>
      </w:r>
      <w:r w:rsidRPr="00D4309F">
        <w:rPr>
          <w:spacing w:val="-3"/>
        </w:rPr>
        <w:t xml:space="preserve"> </w:t>
      </w:r>
      <w:r w:rsidRPr="00D4309F">
        <w:t>would</w:t>
      </w:r>
      <w:r w:rsidRPr="00D4309F">
        <w:rPr>
          <w:spacing w:val="-3"/>
        </w:rPr>
        <w:t xml:space="preserve"> </w:t>
      </w:r>
      <w:r w:rsidRPr="00D4309F">
        <w:t>periodically</w:t>
      </w:r>
      <w:r w:rsidRPr="00D4309F">
        <w:rPr>
          <w:spacing w:val="-2"/>
        </w:rPr>
        <w:t xml:space="preserve"> </w:t>
      </w:r>
      <w:r w:rsidRPr="00D4309F">
        <w:t>mobilise</w:t>
      </w:r>
      <w:r w:rsidRPr="00D4309F">
        <w:rPr>
          <w:spacing w:val="-3"/>
        </w:rPr>
        <w:t xml:space="preserve"> </w:t>
      </w:r>
      <w:r w:rsidRPr="00D4309F">
        <w:t>to</w:t>
      </w:r>
      <w:r w:rsidRPr="00D4309F">
        <w:rPr>
          <w:spacing w:val="-3"/>
        </w:rPr>
        <w:t xml:space="preserve"> </w:t>
      </w:r>
      <w:r w:rsidRPr="00D4309F">
        <w:t>remove</w:t>
      </w:r>
      <w:r w:rsidRPr="00D4309F">
        <w:rPr>
          <w:spacing w:val="-3"/>
        </w:rPr>
        <w:t xml:space="preserve"> </w:t>
      </w:r>
      <w:r w:rsidRPr="00D4309F">
        <w:t>accumulated</w:t>
      </w:r>
      <w:r w:rsidRPr="00D4309F">
        <w:rPr>
          <w:spacing w:val="-4"/>
        </w:rPr>
        <w:t xml:space="preserve"> </w:t>
      </w:r>
      <w:r w:rsidRPr="00D4309F">
        <w:t>sand</w:t>
      </w:r>
      <w:r w:rsidRPr="00D4309F">
        <w:rPr>
          <w:spacing w:val="-3"/>
        </w:rPr>
        <w:t xml:space="preserve"> </w:t>
      </w:r>
      <w:r w:rsidRPr="00D4309F">
        <w:t>from</w:t>
      </w:r>
      <w:r w:rsidRPr="00D4309F">
        <w:rPr>
          <w:spacing w:val="-3"/>
        </w:rPr>
        <w:t xml:space="preserve"> </w:t>
      </w:r>
      <w:r w:rsidRPr="00D4309F">
        <w:t>within</w:t>
      </w:r>
      <w:r w:rsidRPr="00D4309F">
        <w:rPr>
          <w:spacing w:val="-4"/>
        </w:rPr>
        <w:t xml:space="preserve"> </w:t>
      </w:r>
      <w:r w:rsidRPr="00D4309F">
        <w:t>the</w:t>
      </w:r>
      <w:r w:rsidRPr="00D4309F">
        <w:rPr>
          <w:spacing w:val="-3"/>
        </w:rPr>
        <w:t xml:space="preserve"> </w:t>
      </w:r>
      <w:r w:rsidRPr="00D4309F">
        <w:t>designated</w:t>
      </w:r>
      <w:r w:rsidRPr="00D4309F">
        <w:rPr>
          <w:spacing w:val="-3"/>
        </w:rPr>
        <w:t xml:space="preserve"> </w:t>
      </w:r>
      <w:r w:rsidRPr="00D4309F">
        <w:t>trap footprint or adjacent deposits, maintaining the required design depth and capacity.</w:t>
      </w:r>
    </w:p>
    <w:p w14:paraId="229FFB1C" w14:textId="77777777" w:rsidR="00725977" w:rsidRPr="00D4309F" w:rsidRDefault="00725977" w:rsidP="000C1972">
      <w:pPr>
        <w:pStyle w:val="ListBullet2"/>
      </w:pPr>
      <w:r w:rsidRPr="00D4309F">
        <w:t>Operations</w:t>
      </w:r>
      <w:r w:rsidRPr="00D4309F">
        <w:rPr>
          <w:spacing w:val="-2"/>
        </w:rPr>
        <w:t xml:space="preserve"> </w:t>
      </w:r>
      <w:r w:rsidRPr="00D4309F">
        <w:t>would</w:t>
      </w:r>
      <w:r w:rsidRPr="00D4309F">
        <w:rPr>
          <w:spacing w:val="-3"/>
        </w:rPr>
        <w:t xml:space="preserve"> </w:t>
      </w:r>
      <w:r w:rsidRPr="00D4309F">
        <w:t>typically</w:t>
      </w:r>
      <w:r w:rsidRPr="00D4309F">
        <w:rPr>
          <w:spacing w:val="-3"/>
        </w:rPr>
        <w:t xml:space="preserve"> </w:t>
      </w:r>
      <w:r w:rsidRPr="00D4309F">
        <w:t>target</w:t>
      </w:r>
      <w:r w:rsidRPr="00D4309F">
        <w:rPr>
          <w:spacing w:val="-3"/>
        </w:rPr>
        <w:t xml:space="preserve"> </w:t>
      </w:r>
      <w:r w:rsidRPr="00D4309F">
        <w:t>the</w:t>
      </w:r>
      <w:r w:rsidRPr="00D4309F">
        <w:rPr>
          <w:spacing w:val="-3"/>
        </w:rPr>
        <w:t xml:space="preserve"> </w:t>
      </w:r>
      <w:r w:rsidRPr="00D4309F">
        <w:t>post-storm</w:t>
      </w:r>
      <w:r w:rsidRPr="00D4309F">
        <w:rPr>
          <w:spacing w:val="-3"/>
        </w:rPr>
        <w:t xml:space="preserve"> </w:t>
      </w:r>
      <w:r w:rsidRPr="00D4309F">
        <w:t>period</w:t>
      </w:r>
      <w:r w:rsidRPr="00D4309F">
        <w:rPr>
          <w:spacing w:val="-3"/>
        </w:rPr>
        <w:t xml:space="preserve"> </w:t>
      </w:r>
      <w:r w:rsidRPr="00D4309F">
        <w:t>when</w:t>
      </w:r>
      <w:r w:rsidRPr="00D4309F">
        <w:rPr>
          <w:spacing w:val="-3"/>
        </w:rPr>
        <w:t xml:space="preserve"> </w:t>
      </w:r>
      <w:r w:rsidRPr="00D4309F">
        <w:t>sand</w:t>
      </w:r>
      <w:r w:rsidRPr="00D4309F">
        <w:rPr>
          <w:spacing w:val="-4"/>
        </w:rPr>
        <w:t xml:space="preserve"> </w:t>
      </w:r>
      <w:r w:rsidRPr="00D4309F">
        <w:t>availability</w:t>
      </w:r>
      <w:r w:rsidRPr="00D4309F">
        <w:rPr>
          <w:spacing w:val="-2"/>
        </w:rPr>
        <w:t xml:space="preserve"> </w:t>
      </w:r>
      <w:r w:rsidRPr="00D4309F">
        <w:t>in</w:t>
      </w:r>
      <w:r w:rsidRPr="00D4309F">
        <w:rPr>
          <w:spacing w:val="-4"/>
        </w:rPr>
        <w:t xml:space="preserve"> </w:t>
      </w:r>
      <w:r w:rsidRPr="00D4309F">
        <w:t>the</w:t>
      </w:r>
      <w:r w:rsidRPr="00D4309F">
        <w:rPr>
          <w:spacing w:val="-3"/>
        </w:rPr>
        <w:t xml:space="preserve"> </w:t>
      </w:r>
      <w:r w:rsidRPr="00D4309F">
        <w:t>nearshore</w:t>
      </w:r>
      <w:r w:rsidRPr="00D4309F">
        <w:rPr>
          <w:spacing w:val="-3"/>
        </w:rPr>
        <w:t xml:space="preserve"> </w:t>
      </w:r>
      <w:r w:rsidRPr="00D4309F">
        <w:t>zone is highest.</w:t>
      </w:r>
    </w:p>
    <w:p w14:paraId="6E71140C" w14:textId="77777777" w:rsidR="00725977" w:rsidRPr="00D4309F" w:rsidRDefault="00725977" w:rsidP="000C1972">
      <w:pPr>
        <w:pStyle w:val="ListBullet"/>
      </w:pPr>
      <w:r w:rsidRPr="00D4309F">
        <w:t>Transfer</w:t>
      </w:r>
      <w:r w:rsidRPr="00D4309F">
        <w:rPr>
          <w:spacing w:val="-4"/>
        </w:rPr>
        <w:t xml:space="preserve"> </w:t>
      </w:r>
      <w:r w:rsidRPr="00D4309F">
        <w:t>system</w:t>
      </w:r>
      <w:r w:rsidRPr="00D4309F">
        <w:rPr>
          <w:spacing w:val="-4"/>
        </w:rPr>
        <w:t xml:space="preserve"> </w:t>
      </w:r>
      <w:r w:rsidRPr="00D4309F">
        <w:rPr>
          <w:spacing w:val="-2"/>
        </w:rPr>
        <w:t>operation</w:t>
      </w:r>
    </w:p>
    <w:p w14:paraId="031AF704" w14:textId="77777777" w:rsidR="00725977" w:rsidRPr="00D4309F" w:rsidRDefault="00725977" w:rsidP="000C1972">
      <w:pPr>
        <w:pStyle w:val="ListBullet2"/>
      </w:pPr>
      <w:r w:rsidRPr="00D4309F">
        <w:t>The dredged sand slurry would be pumped ashore to the Buddina pump station, where booster pumps</w:t>
      </w:r>
      <w:r w:rsidRPr="00D4309F">
        <w:rPr>
          <w:spacing w:val="-2"/>
        </w:rPr>
        <w:t xml:space="preserve"> </w:t>
      </w:r>
      <w:r w:rsidRPr="00D4309F">
        <w:t>would</w:t>
      </w:r>
      <w:r w:rsidRPr="00D4309F">
        <w:rPr>
          <w:spacing w:val="-4"/>
        </w:rPr>
        <w:t xml:space="preserve"> </w:t>
      </w:r>
      <w:r w:rsidRPr="00D4309F">
        <w:t>pressurise</w:t>
      </w:r>
      <w:r w:rsidRPr="00D4309F">
        <w:rPr>
          <w:spacing w:val="-3"/>
        </w:rPr>
        <w:t xml:space="preserve"> </w:t>
      </w:r>
      <w:r w:rsidRPr="00D4309F">
        <w:t>the</w:t>
      </w:r>
      <w:r w:rsidRPr="00D4309F">
        <w:rPr>
          <w:spacing w:val="-3"/>
        </w:rPr>
        <w:t xml:space="preserve"> </w:t>
      </w:r>
      <w:r w:rsidRPr="00D4309F">
        <w:t>flow</w:t>
      </w:r>
      <w:r w:rsidRPr="00D4309F">
        <w:rPr>
          <w:spacing w:val="-2"/>
        </w:rPr>
        <w:t xml:space="preserve"> </w:t>
      </w:r>
      <w:r w:rsidRPr="00D4309F">
        <w:t>through</w:t>
      </w:r>
      <w:r w:rsidRPr="00D4309F">
        <w:rPr>
          <w:spacing w:val="-3"/>
        </w:rPr>
        <w:t xml:space="preserve"> </w:t>
      </w:r>
      <w:r w:rsidRPr="00D4309F">
        <w:t>the</w:t>
      </w:r>
      <w:r w:rsidRPr="00D4309F">
        <w:rPr>
          <w:spacing w:val="-3"/>
        </w:rPr>
        <w:t xml:space="preserve"> </w:t>
      </w:r>
      <w:r w:rsidRPr="00D4309F">
        <w:t>submerged</w:t>
      </w:r>
      <w:r w:rsidRPr="00D4309F">
        <w:rPr>
          <w:spacing w:val="-3"/>
        </w:rPr>
        <w:t xml:space="preserve"> </w:t>
      </w:r>
      <w:r w:rsidRPr="00D4309F">
        <w:t>pipeline</w:t>
      </w:r>
      <w:r w:rsidRPr="00D4309F">
        <w:rPr>
          <w:spacing w:val="-4"/>
        </w:rPr>
        <w:t xml:space="preserve"> </w:t>
      </w:r>
      <w:r w:rsidRPr="00D4309F">
        <w:t>crossing</w:t>
      </w:r>
      <w:r w:rsidRPr="00D4309F">
        <w:rPr>
          <w:spacing w:val="-3"/>
        </w:rPr>
        <w:t xml:space="preserve"> </w:t>
      </w:r>
      <w:r w:rsidRPr="00D4309F">
        <w:t>beneath</w:t>
      </w:r>
      <w:r w:rsidRPr="00D4309F">
        <w:rPr>
          <w:spacing w:val="-3"/>
        </w:rPr>
        <w:t xml:space="preserve"> </w:t>
      </w:r>
      <w:r w:rsidRPr="00D4309F">
        <w:t>the</w:t>
      </w:r>
      <w:r w:rsidRPr="00D4309F">
        <w:rPr>
          <w:spacing w:val="-3"/>
        </w:rPr>
        <w:t xml:space="preserve"> </w:t>
      </w:r>
      <w:r w:rsidRPr="00D4309F">
        <w:t xml:space="preserve">entrance </w:t>
      </w:r>
      <w:r w:rsidRPr="00D4309F">
        <w:rPr>
          <w:spacing w:val="-2"/>
        </w:rPr>
        <w:t>channel.</w:t>
      </w:r>
    </w:p>
    <w:p w14:paraId="3C83023C" w14:textId="77777777" w:rsidR="00725977" w:rsidRPr="00D4309F" w:rsidRDefault="00725977" w:rsidP="000C1972">
      <w:pPr>
        <w:pStyle w:val="ListBullet2"/>
      </w:pPr>
      <w:r w:rsidRPr="00D4309F">
        <w:t>Sand</w:t>
      </w:r>
      <w:r w:rsidRPr="00D4309F">
        <w:rPr>
          <w:spacing w:val="-3"/>
        </w:rPr>
        <w:t xml:space="preserve"> </w:t>
      </w:r>
      <w:r w:rsidRPr="00D4309F">
        <w:t>would</w:t>
      </w:r>
      <w:r w:rsidRPr="00D4309F">
        <w:rPr>
          <w:spacing w:val="-3"/>
        </w:rPr>
        <w:t xml:space="preserve"> </w:t>
      </w:r>
      <w:r w:rsidRPr="00D4309F">
        <w:t>then</w:t>
      </w:r>
      <w:r w:rsidRPr="00D4309F">
        <w:rPr>
          <w:spacing w:val="-3"/>
        </w:rPr>
        <w:t xml:space="preserve"> </w:t>
      </w:r>
      <w:r w:rsidRPr="00D4309F">
        <w:t>be</w:t>
      </w:r>
      <w:r w:rsidRPr="00D4309F">
        <w:rPr>
          <w:spacing w:val="-4"/>
        </w:rPr>
        <w:t xml:space="preserve"> </w:t>
      </w:r>
      <w:r w:rsidRPr="00D4309F">
        <w:t>conveyed</w:t>
      </w:r>
      <w:r w:rsidRPr="00D4309F">
        <w:rPr>
          <w:spacing w:val="-3"/>
        </w:rPr>
        <w:t xml:space="preserve"> </w:t>
      </w:r>
      <w:r w:rsidRPr="00D4309F">
        <w:t>across</w:t>
      </w:r>
      <w:r w:rsidRPr="00D4309F">
        <w:rPr>
          <w:spacing w:val="-2"/>
        </w:rPr>
        <w:t xml:space="preserve"> </w:t>
      </w:r>
      <w:r w:rsidRPr="00D4309F">
        <w:t>to</w:t>
      </w:r>
      <w:r w:rsidRPr="00D4309F">
        <w:rPr>
          <w:spacing w:val="-4"/>
        </w:rPr>
        <w:t xml:space="preserve"> </w:t>
      </w:r>
      <w:r w:rsidRPr="00D4309F">
        <w:t>Mooloolaba</w:t>
      </w:r>
      <w:r w:rsidRPr="00D4309F">
        <w:rPr>
          <w:spacing w:val="-4"/>
        </w:rPr>
        <w:t xml:space="preserve"> </w:t>
      </w:r>
      <w:r w:rsidRPr="00D4309F">
        <w:t>Main</w:t>
      </w:r>
      <w:r w:rsidRPr="00D4309F">
        <w:rPr>
          <w:spacing w:val="-3"/>
        </w:rPr>
        <w:t xml:space="preserve"> </w:t>
      </w:r>
      <w:r w:rsidRPr="00D4309F">
        <w:t>Beach,</w:t>
      </w:r>
      <w:r w:rsidRPr="00D4309F">
        <w:rPr>
          <w:spacing w:val="-3"/>
        </w:rPr>
        <w:t xml:space="preserve"> </w:t>
      </w:r>
      <w:r w:rsidRPr="00D4309F">
        <w:t>discharged</w:t>
      </w:r>
      <w:r w:rsidRPr="00D4309F">
        <w:rPr>
          <w:spacing w:val="-3"/>
        </w:rPr>
        <w:t xml:space="preserve"> </w:t>
      </w:r>
      <w:r w:rsidRPr="00D4309F">
        <w:t>through</w:t>
      </w:r>
      <w:r w:rsidRPr="00D4309F">
        <w:rPr>
          <w:spacing w:val="-3"/>
        </w:rPr>
        <w:t xml:space="preserve"> </w:t>
      </w:r>
      <w:r w:rsidRPr="00D4309F">
        <w:t>a</w:t>
      </w:r>
      <w:r w:rsidRPr="00D4309F">
        <w:rPr>
          <w:spacing w:val="-4"/>
        </w:rPr>
        <w:t xml:space="preserve"> </w:t>
      </w:r>
      <w:r w:rsidRPr="00D4309F">
        <w:t>range</w:t>
      </w:r>
      <w:r w:rsidRPr="00D4309F">
        <w:rPr>
          <w:spacing w:val="-3"/>
        </w:rPr>
        <w:t xml:space="preserve"> </w:t>
      </w:r>
      <w:r w:rsidRPr="00D4309F">
        <w:t>of sand outlets, and placed accordingly along the beach where required.</w:t>
      </w:r>
    </w:p>
    <w:p w14:paraId="1CE3162B" w14:textId="11071954" w:rsidR="00725977" w:rsidRDefault="00725977" w:rsidP="000C1972">
      <w:pPr>
        <w:pStyle w:val="ListBullet2"/>
      </w:pPr>
      <w:r w:rsidRPr="00D4309F">
        <w:lastRenderedPageBreak/>
        <w:t>The</w:t>
      </w:r>
      <w:r w:rsidRPr="00D4309F">
        <w:rPr>
          <w:spacing w:val="-3"/>
        </w:rPr>
        <w:t xml:space="preserve"> </w:t>
      </w:r>
      <w:r w:rsidRPr="00D4309F">
        <w:t>pumping</w:t>
      </w:r>
      <w:r w:rsidRPr="00D4309F">
        <w:rPr>
          <w:spacing w:val="-4"/>
        </w:rPr>
        <w:t xml:space="preserve"> </w:t>
      </w:r>
      <w:r w:rsidRPr="00D4309F">
        <w:t>system</w:t>
      </w:r>
      <w:r w:rsidRPr="00D4309F">
        <w:rPr>
          <w:spacing w:val="-4"/>
        </w:rPr>
        <w:t xml:space="preserve"> </w:t>
      </w:r>
      <w:r w:rsidRPr="00D4309F">
        <w:t>could</w:t>
      </w:r>
      <w:r w:rsidRPr="00D4309F">
        <w:rPr>
          <w:spacing w:val="-4"/>
        </w:rPr>
        <w:t xml:space="preserve"> </w:t>
      </w:r>
      <w:r w:rsidRPr="00D4309F">
        <w:t>be</w:t>
      </w:r>
      <w:r w:rsidRPr="00D4309F">
        <w:rPr>
          <w:spacing w:val="-3"/>
        </w:rPr>
        <w:t xml:space="preserve"> </w:t>
      </w:r>
      <w:r w:rsidRPr="00D4309F">
        <w:t>operated</w:t>
      </w:r>
      <w:r w:rsidRPr="00D4309F">
        <w:rPr>
          <w:spacing w:val="-3"/>
        </w:rPr>
        <w:t xml:space="preserve"> </w:t>
      </w:r>
      <w:r w:rsidRPr="00D4309F">
        <w:t>in</w:t>
      </w:r>
      <w:r w:rsidRPr="00D4309F">
        <w:rPr>
          <w:spacing w:val="-3"/>
        </w:rPr>
        <w:t xml:space="preserve"> </w:t>
      </w:r>
      <w:r w:rsidRPr="00D4309F">
        <w:t>continuous</w:t>
      </w:r>
      <w:r w:rsidRPr="00D4309F">
        <w:rPr>
          <w:spacing w:val="-3"/>
        </w:rPr>
        <w:t xml:space="preserve"> </w:t>
      </w:r>
      <w:r w:rsidRPr="00D4309F">
        <w:t>or</w:t>
      </w:r>
      <w:r w:rsidRPr="00D4309F">
        <w:rPr>
          <w:spacing w:val="-2"/>
        </w:rPr>
        <w:t xml:space="preserve"> </w:t>
      </w:r>
      <w:r w:rsidRPr="00D4309F">
        <w:t>campaign</w:t>
      </w:r>
      <w:r w:rsidRPr="00D4309F">
        <w:rPr>
          <w:spacing w:val="-4"/>
        </w:rPr>
        <w:t xml:space="preserve"> </w:t>
      </w:r>
      <w:r w:rsidRPr="00D4309F">
        <w:t>modes,</w:t>
      </w:r>
      <w:r w:rsidRPr="00D4309F">
        <w:rPr>
          <w:spacing w:val="-3"/>
        </w:rPr>
        <w:t xml:space="preserve"> </w:t>
      </w:r>
      <w:r w:rsidRPr="00D4309F">
        <w:t>depending</w:t>
      </w:r>
      <w:r w:rsidRPr="00D4309F">
        <w:rPr>
          <w:spacing w:val="-3"/>
        </w:rPr>
        <w:t xml:space="preserve"> </w:t>
      </w:r>
      <w:r w:rsidRPr="00D4309F">
        <w:t>on environmental windows, sediment accumulation rates, and navigation priorities.</w:t>
      </w:r>
    </w:p>
    <w:p w14:paraId="735F5201" w14:textId="77777777" w:rsidR="000C1972" w:rsidRPr="00D4309F" w:rsidRDefault="000C1972" w:rsidP="000C1972">
      <w:pPr>
        <w:pStyle w:val="ListBullet2"/>
      </w:pPr>
      <w:r w:rsidRPr="00D4309F">
        <w:t>Flow</w:t>
      </w:r>
      <w:r w:rsidRPr="00D4309F">
        <w:rPr>
          <w:spacing w:val="-2"/>
        </w:rPr>
        <w:t xml:space="preserve"> </w:t>
      </w:r>
      <w:r w:rsidRPr="00D4309F">
        <w:t>rates</w:t>
      </w:r>
      <w:r w:rsidRPr="00D4309F">
        <w:rPr>
          <w:spacing w:val="-2"/>
        </w:rPr>
        <w:t xml:space="preserve"> </w:t>
      </w:r>
      <w:r w:rsidRPr="00D4309F">
        <w:t>and</w:t>
      </w:r>
      <w:r w:rsidRPr="00D4309F">
        <w:rPr>
          <w:spacing w:val="-3"/>
        </w:rPr>
        <w:t xml:space="preserve"> </w:t>
      </w:r>
      <w:r w:rsidRPr="00D4309F">
        <w:t>discharge</w:t>
      </w:r>
      <w:r w:rsidRPr="00D4309F">
        <w:rPr>
          <w:spacing w:val="-4"/>
        </w:rPr>
        <w:t xml:space="preserve"> </w:t>
      </w:r>
      <w:r w:rsidRPr="00D4309F">
        <w:t>volumes</w:t>
      </w:r>
      <w:r w:rsidRPr="00D4309F">
        <w:rPr>
          <w:spacing w:val="-2"/>
        </w:rPr>
        <w:t xml:space="preserve"> </w:t>
      </w:r>
      <w:r w:rsidRPr="00D4309F">
        <w:t>would</w:t>
      </w:r>
      <w:r w:rsidRPr="00D4309F">
        <w:rPr>
          <w:spacing w:val="-4"/>
        </w:rPr>
        <w:t xml:space="preserve"> </w:t>
      </w:r>
      <w:r w:rsidRPr="00D4309F">
        <w:t>be</w:t>
      </w:r>
      <w:r w:rsidRPr="00D4309F">
        <w:rPr>
          <w:spacing w:val="-3"/>
        </w:rPr>
        <w:t xml:space="preserve"> </w:t>
      </w:r>
      <w:r w:rsidRPr="00D4309F">
        <w:t>monitored</w:t>
      </w:r>
      <w:r w:rsidRPr="00D4309F">
        <w:rPr>
          <w:spacing w:val="-4"/>
        </w:rPr>
        <w:t xml:space="preserve"> </w:t>
      </w:r>
      <w:r w:rsidRPr="00D4309F">
        <w:t>in</w:t>
      </w:r>
      <w:r w:rsidRPr="00D4309F">
        <w:rPr>
          <w:spacing w:val="-3"/>
        </w:rPr>
        <w:t xml:space="preserve"> </w:t>
      </w:r>
      <w:r w:rsidRPr="00D4309F">
        <w:t>real</w:t>
      </w:r>
      <w:r w:rsidRPr="00D4309F">
        <w:rPr>
          <w:spacing w:val="-3"/>
        </w:rPr>
        <w:t xml:space="preserve"> </w:t>
      </w:r>
      <w:r w:rsidRPr="00D4309F">
        <w:t>time</w:t>
      </w:r>
      <w:r w:rsidRPr="00D4309F">
        <w:rPr>
          <w:spacing w:val="-3"/>
        </w:rPr>
        <w:t xml:space="preserve"> </w:t>
      </w:r>
      <w:r w:rsidRPr="00D4309F">
        <w:t>to</w:t>
      </w:r>
      <w:r w:rsidRPr="00D4309F">
        <w:rPr>
          <w:spacing w:val="-3"/>
        </w:rPr>
        <w:t xml:space="preserve"> </w:t>
      </w:r>
      <w:r w:rsidRPr="00D4309F">
        <w:t>optimise</w:t>
      </w:r>
      <w:r w:rsidRPr="00D4309F">
        <w:rPr>
          <w:spacing w:val="-3"/>
        </w:rPr>
        <w:t xml:space="preserve"> </w:t>
      </w:r>
      <w:r w:rsidRPr="00D4309F">
        <w:t>energy</w:t>
      </w:r>
      <w:r w:rsidRPr="00D4309F">
        <w:rPr>
          <w:spacing w:val="-2"/>
        </w:rPr>
        <w:t xml:space="preserve"> </w:t>
      </w:r>
      <w:r w:rsidRPr="00D4309F">
        <w:t>efficiency</w:t>
      </w:r>
      <w:r w:rsidRPr="00D4309F">
        <w:rPr>
          <w:spacing w:val="-2"/>
        </w:rPr>
        <w:t xml:space="preserve"> </w:t>
      </w:r>
      <w:r w:rsidRPr="00D4309F">
        <w:t>and ensure even sand distribution along the beach.</w:t>
      </w:r>
    </w:p>
    <w:p w14:paraId="2AD9E3FB" w14:textId="77777777" w:rsidR="000C1972" w:rsidRPr="00D4309F" w:rsidRDefault="000C1972" w:rsidP="000C1972">
      <w:pPr>
        <w:pStyle w:val="ListBullet"/>
      </w:pPr>
      <w:r w:rsidRPr="00D4309F">
        <w:t>Sand placement</w:t>
      </w:r>
    </w:p>
    <w:p w14:paraId="040BD227" w14:textId="77777777" w:rsidR="000C1972" w:rsidRPr="00D4309F" w:rsidRDefault="000C1972" w:rsidP="000C1972">
      <w:pPr>
        <w:pStyle w:val="ListBullet2"/>
      </w:pPr>
      <w:r w:rsidRPr="00D4309F">
        <w:t>Discharged material would be placed directly onto the dry upper beach or nearshore zone of Mooloolaba</w:t>
      </w:r>
      <w:r w:rsidRPr="00D4309F">
        <w:rPr>
          <w:spacing w:val="-4"/>
        </w:rPr>
        <w:t xml:space="preserve"> </w:t>
      </w:r>
      <w:r w:rsidRPr="00D4309F">
        <w:t>Main</w:t>
      </w:r>
      <w:r w:rsidRPr="00D4309F">
        <w:rPr>
          <w:spacing w:val="-4"/>
        </w:rPr>
        <w:t xml:space="preserve"> </w:t>
      </w:r>
      <w:r w:rsidRPr="00D4309F">
        <w:t>Beach,</w:t>
      </w:r>
      <w:r w:rsidRPr="00D4309F">
        <w:rPr>
          <w:spacing w:val="-4"/>
        </w:rPr>
        <w:t xml:space="preserve"> </w:t>
      </w:r>
      <w:r w:rsidRPr="00D4309F">
        <w:t>providing</w:t>
      </w:r>
      <w:r w:rsidRPr="00D4309F">
        <w:rPr>
          <w:spacing w:val="-4"/>
        </w:rPr>
        <w:t xml:space="preserve"> </w:t>
      </w:r>
      <w:r w:rsidRPr="00D4309F">
        <w:t>immediate</w:t>
      </w:r>
      <w:r w:rsidRPr="00D4309F">
        <w:rPr>
          <w:spacing w:val="-4"/>
        </w:rPr>
        <w:t xml:space="preserve"> </w:t>
      </w:r>
      <w:r w:rsidRPr="00D4309F">
        <w:t>nourishment</w:t>
      </w:r>
      <w:r w:rsidRPr="00D4309F">
        <w:rPr>
          <w:spacing w:val="-4"/>
        </w:rPr>
        <w:t xml:space="preserve"> </w:t>
      </w:r>
      <w:r w:rsidRPr="00D4309F">
        <w:t>benefits</w:t>
      </w:r>
      <w:r w:rsidRPr="00D4309F">
        <w:rPr>
          <w:spacing w:val="-3"/>
        </w:rPr>
        <w:t xml:space="preserve"> </w:t>
      </w:r>
      <w:r w:rsidRPr="00D4309F">
        <w:t>and</w:t>
      </w:r>
      <w:r w:rsidRPr="00D4309F">
        <w:rPr>
          <w:spacing w:val="-4"/>
        </w:rPr>
        <w:t xml:space="preserve"> </w:t>
      </w:r>
      <w:r w:rsidRPr="00D4309F">
        <w:t>improved</w:t>
      </w:r>
      <w:r w:rsidRPr="00D4309F">
        <w:rPr>
          <w:spacing w:val="-4"/>
        </w:rPr>
        <w:t xml:space="preserve"> </w:t>
      </w:r>
      <w:r w:rsidRPr="00D4309F">
        <w:t>beach</w:t>
      </w:r>
      <w:r w:rsidRPr="00D4309F">
        <w:rPr>
          <w:spacing w:val="-4"/>
        </w:rPr>
        <w:t xml:space="preserve"> </w:t>
      </w:r>
      <w:r w:rsidRPr="00D4309F">
        <w:t>amenity.</w:t>
      </w:r>
    </w:p>
    <w:p w14:paraId="5489DDF6" w14:textId="77777777" w:rsidR="000C1972" w:rsidRPr="00D4309F" w:rsidRDefault="000C1972" w:rsidP="000C1972">
      <w:pPr>
        <w:pStyle w:val="ListBullet2"/>
      </w:pPr>
      <w:r w:rsidRPr="00D4309F">
        <w:t>Placement</w:t>
      </w:r>
      <w:r w:rsidRPr="00D4309F">
        <w:rPr>
          <w:spacing w:val="-3"/>
        </w:rPr>
        <w:t xml:space="preserve"> </w:t>
      </w:r>
      <w:r w:rsidRPr="00D4309F">
        <w:t>patterns</w:t>
      </w:r>
      <w:r w:rsidRPr="00D4309F">
        <w:rPr>
          <w:spacing w:val="-3"/>
        </w:rPr>
        <w:t xml:space="preserve"> </w:t>
      </w:r>
      <w:r w:rsidRPr="00D4309F">
        <w:t>could</w:t>
      </w:r>
      <w:r w:rsidRPr="00D4309F">
        <w:rPr>
          <w:spacing w:val="-3"/>
        </w:rPr>
        <w:t xml:space="preserve"> </w:t>
      </w:r>
      <w:r w:rsidRPr="00D4309F">
        <w:t>be</w:t>
      </w:r>
      <w:r w:rsidRPr="00D4309F">
        <w:rPr>
          <w:spacing w:val="-3"/>
        </w:rPr>
        <w:t xml:space="preserve"> </w:t>
      </w:r>
      <w:r w:rsidRPr="00D4309F">
        <w:t>adjusted</w:t>
      </w:r>
      <w:r w:rsidRPr="00D4309F">
        <w:rPr>
          <w:spacing w:val="-3"/>
        </w:rPr>
        <w:t xml:space="preserve"> </w:t>
      </w:r>
      <w:r w:rsidRPr="00D4309F">
        <w:t>via</w:t>
      </w:r>
      <w:r w:rsidRPr="00D4309F">
        <w:rPr>
          <w:spacing w:val="-3"/>
        </w:rPr>
        <w:t xml:space="preserve"> </w:t>
      </w:r>
      <w:r w:rsidRPr="00D4309F">
        <w:t>multiple</w:t>
      </w:r>
      <w:r w:rsidRPr="00D4309F">
        <w:rPr>
          <w:spacing w:val="-3"/>
        </w:rPr>
        <w:t xml:space="preserve"> </w:t>
      </w:r>
      <w:r w:rsidRPr="00D4309F">
        <w:t>outlet</w:t>
      </w:r>
      <w:r w:rsidRPr="00D4309F">
        <w:rPr>
          <w:spacing w:val="-3"/>
        </w:rPr>
        <w:t xml:space="preserve"> </w:t>
      </w:r>
      <w:r w:rsidRPr="00D4309F">
        <w:t>valves</w:t>
      </w:r>
      <w:r w:rsidRPr="00D4309F">
        <w:rPr>
          <w:spacing w:val="-2"/>
        </w:rPr>
        <w:t xml:space="preserve"> </w:t>
      </w:r>
      <w:r w:rsidRPr="00D4309F">
        <w:t>to</w:t>
      </w:r>
      <w:r w:rsidRPr="00D4309F">
        <w:rPr>
          <w:spacing w:val="-3"/>
        </w:rPr>
        <w:t xml:space="preserve"> </w:t>
      </w:r>
      <w:r w:rsidRPr="00D4309F">
        <w:t>target</w:t>
      </w:r>
      <w:r w:rsidRPr="00D4309F">
        <w:rPr>
          <w:spacing w:val="-3"/>
        </w:rPr>
        <w:t xml:space="preserve"> </w:t>
      </w:r>
      <w:r w:rsidRPr="00D4309F">
        <w:t>areas</w:t>
      </w:r>
      <w:r w:rsidRPr="00D4309F">
        <w:rPr>
          <w:spacing w:val="-2"/>
        </w:rPr>
        <w:t xml:space="preserve"> </w:t>
      </w:r>
      <w:r w:rsidRPr="00D4309F">
        <w:t>requiring reinforcement or recovery after erosion events.</w:t>
      </w:r>
    </w:p>
    <w:p w14:paraId="4814FE42" w14:textId="77777777" w:rsidR="000C1972" w:rsidRPr="00D4309F" w:rsidRDefault="000C1972" w:rsidP="000C1972">
      <w:pPr>
        <w:pStyle w:val="ListBullet2"/>
      </w:pPr>
      <w:r w:rsidRPr="00D4309F">
        <w:t>This</w:t>
      </w:r>
      <w:r w:rsidRPr="00D4309F">
        <w:rPr>
          <w:spacing w:val="-3"/>
        </w:rPr>
        <w:t xml:space="preserve"> </w:t>
      </w:r>
      <w:r w:rsidRPr="00D4309F">
        <w:t>controlled</w:t>
      </w:r>
      <w:r w:rsidRPr="00D4309F">
        <w:rPr>
          <w:spacing w:val="-3"/>
        </w:rPr>
        <w:t xml:space="preserve"> </w:t>
      </w:r>
      <w:r w:rsidRPr="00D4309F">
        <w:t>deposition</w:t>
      </w:r>
      <w:r w:rsidRPr="00D4309F">
        <w:rPr>
          <w:spacing w:val="-4"/>
        </w:rPr>
        <w:t xml:space="preserve"> </w:t>
      </w:r>
      <w:r w:rsidRPr="00D4309F">
        <w:t>method</w:t>
      </w:r>
      <w:r w:rsidRPr="00D4309F">
        <w:rPr>
          <w:spacing w:val="-3"/>
        </w:rPr>
        <w:t xml:space="preserve"> </w:t>
      </w:r>
      <w:r w:rsidRPr="00D4309F">
        <w:t>mimics</w:t>
      </w:r>
      <w:r w:rsidRPr="00D4309F">
        <w:rPr>
          <w:spacing w:val="-2"/>
        </w:rPr>
        <w:t xml:space="preserve"> </w:t>
      </w:r>
      <w:r w:rsidRPr="00D4309F">
        <w:t>natural</w:t>
      </w:r>
      <w:r w:rsidRPr="00D4309F">
        <w:rPr>
          <w:spacing w:val="-3"/>
        </w:rPr>
        <w:t xml:space="preserve"> </w:t>
      </w:r>
      <w:r w:rsidRPr="00D4309F">
        <w:t>longshore</w:t>
      </w:r>
      <w:r w:rsidRPr="00D4309F">
        <w:rPr>
          <w:spacing w:val="-3"/>
        </w:rPr>
        <w:t xml:space="preserve"> </w:t>
      </w:r>
      <w:r w:rsidRPr="00D4309F">
        <w:t>drift</w:t>
      </w:r>
      <w:r w:rsidRPr="00D4309F">
        <w:rPr>
          <w:spacing w:val="-3"/>
        </w:rPr>
        <w:t xml:space="preserve"> </w:t>
      </w:r>
      <w:r w:rsidRPr="00D4309F">
        <w:t>while</w:t>
      </w:r>
      <w:r w:rsidRPr="00D4309F">
        <w:rPr>
          <w:spacing w:val="-3"/>
        </w:rPr>
        <w:t xml:space="preserve"> </w:t>
      </w:r>
      <w:r w:rsidRPr="00D4309F">
        <w:t>avoiding</w:t>
      </w:r>
      <w:r w:rsidRPr="00D4309F">
        <w:rPr>
          <w:spacing w:val="-4"/>
        </w:rPr>
        <w:t xml:space="preserve"> </w:t>
      </w:r>
      <w:r w:rsidRPr="00D4309F">
        <w:t>excessive</w:t>
      </w:r>
      <w:r w:rsidRPr="00D4309F">
        <w:rPr>
          <w:spacing w:val="-3"/>
        </w:rPr>
        <w:t xml:space="preserve"> </w:t>
      </w:r>
      <w:r w:rsidRPr="00D4309F">
        <w:t>mounding or local scour.</w:t>
      </w:r>
    </w:p>
    <w:p w14:paraId="686B0649" w14:textId="77777777" w:rsidR="000C1972" w:rsidRPr="00D4309F" w:rsidRDefault="000C1972" w:rsidP="000C1972">
      <w:pPr>
        <w:pStyle w:val="ListBullet"/>
      </w:pPr>
      <w:r w:rsidRPr="00D4309F">
        <w:t>Maintenance</w:t>
      </w:r>
      <w:r w:rsidRPr="00D4309F">
        <w:rPr>
          <w:spacing w:val="-4"/>
        </w:rPr>
        <w:t xml:space="preserve"> </w:t>
      </w:r>
      <w:r w:rsidRPr="00D4309F">
        <w:t>and</w:t>
      </w:r>
      <w:r w:rsidRPr="00D4309F">
        <w:rPr>
          <w:spacing w:val="-4"/>
        </w:rPr>
        <w:t xml:space="preserve"> </w:t>
      </w:r>
      <w:r w:rsidRPr="00D4309F">
        <w:rPr>
          <w:spacing w:val="-2"/>
        </w:rPr>
        <w:t>servicing</w:t>
      </w:r>
    </w:p>
    <w:p w14:paraId="6CDD1654" w14:textId="77777777" w:rsidR="000C1972" w:rsidRPr="00D4309F" w:rsidRDefault="000C1972" w:rsidP="000C1972">
      <w:pPr>
        <w:pStyle w:val="ListBullet2"/>
      </w:pPr>
      <w:r w:rsidRPr="00D4309F">
        <w:t>Routine</w:t>
      </w:r>
      <w:r w:rsidRPr="00D4309F">
        <w:rPr>
          <w:spacing w:val="-3"/>
        </w:rPr>
        <w:t xml:space="preserve"> </w:t>
      </w:r>
      <w:r w:rsidRPr="00D4309F">
        <w:t>inspection</w:t>
      </w:r>
      <w:r w:rsidRPr="00D4309F">
        <w:rPr>
          <w:spacing w:val="-3"/>
        </w:rPr>
        <w:t xml:space="preserve"> </w:t>
      </w:r>
      <w:r w:rsidRPr="00D4309F">
        <w:t>and</w:t>
      </w:r>
      <w:r w:rsidRPr="00D4309F">
        <w:rPr>
          <w:spacing w:val="-3"/>
        </w:rPr>
        <w:t xml:space="preserve"> </w:t>
      </w:r>
      <w:r w:rsidRPr="00D4309F">
        <w:t>maintenance</w:t>
      </w:r>
      <w:r w:rsidRPr="00D4309F">
        <w:rPr>
          <w:spacing w:val="-3"/>
        </w:rPr>
        <w:t xml:space="preserve"> </w:t>
      </w:r>
      <w:r w:rsidRPr="00D4309F">
        <w:t>of</w:t>
      </w:r>
      <w:r w:rsidRPr="00D4309F">
        <w:rPr>
          <w:spacing w:val="-3"/>
        </w:rPr>
        <w:t xml:space="preserve"> </w:t>
      </w:r>
      <w:r w:rsidRPr="00D4309F">
        <w:t>pumps,</w:t>
      </w:r>
      <w:r w:rsidRPr="00D4309F">
        <w:rPr>
          <w:spacing w:val="-5"/>
        </w:rPr>
        <w:t xml:space="preserve"> </w:t>
      </w:r>
      <w:r w:rsidRPr="00D4309F">
        <w:t>valves,</w:t>
      </w:r>
      <w:r w:rsidRPr="00D4309F">
        <w:rPr>
          <w:spacing w:val="-5"/>
        </w:rPr>
        <w:t xml:space="preserve"> </w:t>
      </w:r>
      <w:r w:rsidRPr="00D4309F">
        <w:t>electrical</w:t>
      </w:r>
      <w:r w:rsidRPr="00D4309F">
        <w:rPr>
          <w:spacing w:val="-3"/>
        </w:rPr>
        <w:t xml:space="preserve"> </w:t>
      </w:r>
      <w:r w:rsidRPr="00D4309F">
        <w:t>systems,</w:t>
      </w:r>
      <w:r w:rsidRPr="00D4309F">
        <w:rPr>
          <w:spacing w:val="-3"/>
        </w:rPr>
        <w:t xml:space="preserve"> </w:t>
      </w:r>
      <w:r w:rsidRPr="00D4309F">
        <w:t>and</w:t>
      </w:r>
      <w:r w:rsidRPr="00D4309F">
        <w:rPr>
          <w:spacing w:val="-3"/>
        </w:rPr>
        <w:t xml:space="preserve"> </w:t>
      </w:r>
      <w:r w:rsidRPr="00D4309F">
        <w:t>buried</w:t>
      </w:r>
      <w:r w:rsidRPr="00D4309F">
        <w:rPr>
          <w:spacing w:val="-3"/>
        </w:rPr>
        <w:t xml:space="preserve"> </w:t>
      </w:r>
      <w:r w:rsidRPr="00D4309F">
        <w:t>pipeline sections would be required to maintain operational reliability.</w:t>
      </w:r>
    </w:p>
    <w:p w14:paraId="78AE7F5C" w14:textId="77777777" w:rsidR="000C1972" w:rsidRPr="00D4309F" w:rsidRDefault="000C1972" w:rsidP="000C1972">
      <w:pPr>
        <w:pStyle w:val="ListBullet2"/>
      </w:pPr>
      <w:r w:rsidRPr="00D4309F">
        <w:t>Periodic</w:t>
      </w:r>
      <w:r w:rsidRPr="00D4309F">
        <w:rPr>
          <w:spacing w:val="-2"/>
        </w:rPr>
        <w:t xml:space="preserve"> </w:t>
      </w:r>
      <w:r w:rsidRPr="00D4309F">
        <w:t>internal</w:t>
      </w:r>
      <w:r w:rsidRPr="00D4309F">
        <w:rPr>
          <w:spacing w:val="-3"/>
        </w:rPr>
        <w:t xml:space="preserve"> </w:t>
      </w:r>
      <w:r w:rsidRPr="00D4309F">
        <w:t>pipeline</w:t>
      </w:r>
      <w:r w:rsidRPr="00D4309F">
        <w:rPr>
          <w:spacing w:val="-3"/>
        </w:rPr>
        <w:t xml:space="preserve"> </w:t>
      </w:r>
      <w:r w:rsidRPr="00D4309F">
        <w:t>flushing</w:t>
      </w:r>
      <w:r w:rsidRPr="00D4309F">
        <w:rPr>
          <w:spacing w:val="-3"/>
        </w:rPr>
        <w:t xml:space="preserve"> </w:t>
      </w:r>
      <w:r w:rsidRPr="00D4309F">
        <w:t>and</w:t>
      </w:r>
      <w:r w:rsidRPr="00D4309F">
        <w:rPr>
          <w:spacing w:val="-3"/>
        </w:rPr>
        <w:t xml:space="preserve"> </w:t>
      </w:r>
      <w:r w:rsidRPr="00D4309F">
        <w:t>integrity</w:t>
      </w:r>
      <w:r w:rsidRPr="00D4309F">
        <w:rPr>
          <w:spacing w:val="-2"/>
        </w:rPr>
        <w:t xml:space="preserve"> </w:t>
      </w:r>
      <w:r w:rsidRPr="00D4309F">
        <w:t>testing</w:t>
      </w:r>
      <w:r w:rsidRPr="00D4309F">
        <w:rPr>
          <w:spacing w:val="-4"/>
        </w:rPr>
        <w:t xml:space="preserve"> </w:t>
      </w:r>
      <w:r w:rsidRPr="00D4309F">
        <w:t>would</w:t>
      </w:r>
      <w:r w:rsidRPr="00D4309F">
        <w:rPr>
          <w:spacing w:val="-3"/>
        </w:rPr>
        <w:t xml:space="preserve"> </w:t>
      </w:r>
      <w:r w:rsidRPr="00D4309F">
        <w:t>be</w:t>
      </w:r>
      <w:r w:rsidRPr="00D4309F">
        <w:rPr>
          <w:spacing w:val="-3"/>
        </w:rPr>
        <w:t xml:space="preserve"> </w:t>
      </w:r>
      <w:r w:rsidRPr="00D4309F">
        <w:t>undertaken</w:t>
      </w:r>
      <w:r w:rsidRPr="00D4309F">
        <w:rPr>
          <w:spacing w:val="-3"/>
        </w:rPr>
        <w:t xml:space="preserve"> </w:t>
      </w:r>
      <w:r w:rsidRPr="00D4309F">
        <w:t>to</w:t>
      </w:r>
      <w:r w:rsidRPr="00D4309F">
        <w:rPr>
          <w:spacing w:val="-3"/>
        </w:rPr>
        <w:t xml:space="preserve"> </w:t>
      </w:r>
      <w:r w:rsidRPr="00D4309F">
        <w:t>prevent</w:t>
      </w:r>
      <w:r w:rsidRPr="00D4309F">
        <w:rPr>
          <w:spacing w:val="-3"/>
        </w:rPr>
        <w:t xml:space="preserve"> </w:t>
      </w:r>
      <w:r w:rsidRPr="00D4309F">
        <w:t xml:space="preserve">sediment </w:t>
      </w:r>
      <w:r w:rsidRPr="00D4309F">
        <w:rPr>
          <w:spacing w:val="-2"/>
        </w:rPr>
        <w:t>build-up.</w:t>
      </w:r>
    </w:p>
    <w:p w14:paraId="5958ED86" w14:textId="77777777" w:rsidR="000C1972" w:rsidRPr="00D4309F" w:rsidRDefault="000C1972" w:rsidP="000C1972">
      <w:pPr>
        <w:pStyle w:val="ListBullet2"/>
      </w:pPr>
      <w:r w:rsidRPr="00D4309F">
        <w:t>The</w:t>
      </w:r>
      <w:r w:rsidRPr="00D4309F">
        <w:rPr>
          <w:spacing w:val="-3"/>
        </w:rPr>
        <w:t xml:space="preserve"> </w:t>
      </w:r>
      <w:r w:rsidRPr="00D4309F">
        <w:t>system</w:t>
      </w:r>
      <w:r w:rsidRPr="00D4309F">
        <w:rPr>
          <w:spacing w:val="-3"/>
        </w:rPr>
        <w:t xml:space="preserve"> </w:t>
      </w:r>
      <w:r w:rsidRPr="00D4309F">
        <w:t>design</w:t>
      </w:r>
      <w:r w:rsidRPr="00D4309F">
        <w:rPr>
          <w:spacing w:val="-3"/>
        </w:rPr>
        <w:t xml:space="preserve"> </w:t>
      </w:r>
      <w:r w:rsidRPr="00D4309F">
        <w:t>would</w:t>
      </w:r>
      <w:r w:rsidRPr="00D4309F">
        <w:rPr>
          <w:spacing w:val="-3"/>
        </w:rPr>
        <w:t xml:space="preserve"> </w:t>
      </w:r>
      <w:r w:rsidRPr="00D4309F">
        <w:t>allow</w:t>
      </w:r>
      <w:r w:rsidRPr="00D4309F">
        <w:rPr>
          <w:spacing w:val="-2"/>
        </w:rPr>
        <w:t xml:space="preserve"> </w:t>
      </w:r>
      <w:r w:rsidRPr="00D4309F">
        <w:t>for</w:t>
      </w:r>
      <w:r w:rsidRPr="00D4309F">
        <w:rPr>
          <w:spacing w:val="-2"/>
        </w:rPr>
        <w:t xml:space="preserve"> </w:t>
      </w:r>
      <w:r w:rsidRPr="00D4309F">
        <w:t>quick</w:t>
      </w:r>
      <w:r w:rsidRPr="00D4309F">
        <w:rPr>
          <w:spacing w:val="-2"/>
        </w:rPr>
        <w:t xml:space="preserve"> </w:t>
      </w:r>
      <w:r w:rsidRPr="00D4309F">
        <w:t>isolation</w:t>
      </w:r>
      <w:r w:rsidRPr="00D4309F">
        <w:rPr>
          <w:spacing w:val="-3"/>
        </w:rPr>
        <w:t xml:space="preserve"> </w:t>
      </w:r>
      <w:r w:rsidRPr="00D4309F">
        <w:t>of</w:t>
      </w:r>
      <w:r w:rsidRPr="00D4309F">
        <w:rPr>
          <w:spacing w:val="-3"/>
        </w:rPr>
        <w:t xml:space="preserve"> </w:t>
      </w:r>
      <w:r w:rsidRPr="00D4309F">
        <w:t>sections</w:t>
      </w:r>
      <w:r w:rsidRPr="00D4309F">
        <w:rPr>
          <w:spacing w:val="-2"/>
        </w:rPr>
        <w:t xml:space="preserve"> </w:t>
      </w:r>
      <w:r w:rsidRPr="00D4309F">
        <w:t>for</w:t>
      </w:r>
      <w:r w:rsidRPr="00D4309F">
        <w:rPr>
          <w:spacing w:val="-2"/>
        </w:rPr>
        <w:t xml:space="preserve"> </w:t>
      </w:r>
      <w:r w:rsidRPr="00D4309F">
        <w:t>maintenance</w:t>
      </w:r>
      <w:r w:rsidRPr="00D4309F">
        <w:rPr>
          <w:spacing w:val="-4"/>
        </w:rPr>
        <w:t xml:space="preserve"> </w:t>
      </w:r>
      <w:r w:rsidRPr="00D4309F">
        <w:t>without</w:t>
      </w:r>
      <w:r w:rsidRPr="00D4309F">
        <w:rPr>
          <w:spacing w:val="-3"/>
        </w:rPr>
        <w:t xml:space="preserve"> </w:t>
      </w:r>
      <w:r w:rsidRPr="00D4309F">
        <w:t>disrupting beach or navigation activities.</w:t>
      </w:r>
    </w:p>
    <w:p w14:paraId="439D0652" w14:textId="77777777" w:rsidR="000C1972" w:rsidRPr="00D4309F" w:rsidRDefault="000C1972" w:rsidP="000C1972">
      <w:pPr>
        <w:pStyle w:val="ListBullet2"/>
      </w:pPr>
      <w:r w:rsidRPr="00D4309F">
        <w:t>Occasional</w:t>
      </w:r>
      <w:r w:rsidRPr="00D4309F">
        <w:rPr>
          <w:spacing w:val="-3"/>
        </w:rPr>
        <w:t xml:space="preserve"> </w:t>
      </w:r>
      <w:r w:rsidRPr="00D4309F">
        <w:t>CSD</w:t>
      </w:r>
      <w:r w:rsidRPr="00D4309F">
        <w:rPr>
          <w:spacing w:val="-2"/>
        </w:rPr>
        <w:t xml:space="preserve"> </w:t>
      </w:r>
      <w:r w:rsidRPr="00D4309F">
        <w:t>mobilisation</w:t>
      </w:r>
      <w:r w:rsidRPr="00D4309F">
        <w:rPr>
          <w:spacing w:val="-3"/>
        </w:rPr>
        <w:t xml:space="preserve"> </w:t>
      </w:r>
      <w:r w:rsidRPr="00D4309F">
        <w:t>may</w:t>
      </w:r>
      <w:r w:rsidRPr="00D4309F">
        <w:rPr>
          <w:spacing w:val="-2"/>
        </w:rPr>
        <w:t xml:space="preserve"> </w:t>
      </w:r>
      <w:r w:rsidRPr="00D4309F">
        <w:t>be</w:t>
      </w:r>
      <w:r w:rsidRPr="00D4309F">
        <w:rPr>
          <w:spacing w:val="-3"/>
        </w:rPr>
        <w:t xml:space="preserve"> </w:t>
      </w:r>
      <w:r w:rsidRPr="00D4309F">
        <w:t>required</w:t>
      </w:r>
      <w:r w:rsidRPr="00D4309F">
        <w:rPr>
          <w:spacing w:val="-3"/>
        </w:rPr>
        <w:t xml:space="preserve"> </w:t>
      </w:r>
      <w:r w:rsidRPr="00D4309F">
        <w:t>to</w:t>
      </w:r>
      <w:r w:rsidRPr="00D4309F">
        <w:rPr>
          <w:spacing w:val="-3"/>
        </w:rPr>
        <w:t xml:space="preserve"> </w:t>
      </w:r>
      <w:r w:rsidRPr="00D4309F">
        <w:t>maintain</w:t>
      </w:r>
      <w:r w:rsidRPr="00D4309F">
        <w:rPr>
          <w:spacing w:val="-3"/>
        </w:rPr>
        <w:t xml:space="preserve"> </w:t>
      </w:r>
      <w:r w:rsidRPr="00D4309F">
        <w:t>optimal</w:t>
      </w:r>
      <w:r w:rsidRPr="00D4309F">
        <w:rPr>
          <w:spacing w:val="-4"/>
        </w:rPr>
        <w:t xml:space="preserve"> </w:t>
      </w:r>
      <w:r w:rsidRPr="00D4309F">
        <w:t>sand</w:t>
      </w:r>
      <w:r w:rsidRPr="00D4309F">
        <w:rPr>
          <w:spacing w:val="-3"/>
        </w:rPr>
        <w:t xml:space="preserve"> </w:t>
      </w:r>
      <w:r w:rsidRPr="00D4309F">
        <w:t>supply</w:t>
      </w:r>
      <w:r w:rsidRPr="00D4309F">
        <w:rPr>
          <w:spacing w:val="-2"/>
        </w:rPr>
        <w:t xml:space="preserve"> </w:t>
      </w:r>
      <w:r w:rsidRPr="00D4309F">
        <w:t>and</w:t>
      </w:r>
      <w:r w:rsidRPr="00D4309F">
        <w:rPr>
          <w:spacing w:val="-3"/>
        </w:rPr>
        <w:t xml:space="preserve"> </w:t>
      </w:r>
      <w:r w:rsidRPr="00D4309F">
        <w:t>connectivity</w:t>
      </w:r>
      <w:r w:rsidRPr="00D4309F">
        <w:rPr>
          <w:spacing w:val="-2"/>
        </w:rPr>
        <w:t xml:space="preserve"> </w:t>
      </w:r>
      <w:r w:rsidRPr="00D4309F">
        <w:t>with the nearshore trap.</w:t>
      </w:r>
    </w:p>
    <w:p w14:paraId="7A084D0E" w14:textId="77777777" w:rsidR="000C1972" w:rsidRPr="00D4309F" w:rsidRDefault="000C1972" w:rsidP="000C1972">
      <w:pPr>
        <w:pStyle w:val="ListBullet"/>
      </w:pPr>
      <w:r w:rsidRPr="00D4309F">
        <w:t>Operational</w:t>
      </w:r>
      <w:r w:rsidRPr="00D4309F">
        <w:rPr>
          <w:spacing w:val="-4"/>
        </w:rPr>
        <w:t xml:space="preserve"> </w:t>
      </w:r>
      <w:r w:rsidRPr="00D4309F">
        <w:rPr>
          <w:spacing w:val="-2"/>
        </w:rPr>
        <w:t>frequency</w:t>
      </w:r>
    </w:p>
    <w:p w14:paraId="2B81070D" w14:textId="77777777" w:rsidR="000C1972" w:rsidRPr="00D4309F" w:rsidRDefault="000C1972" w:rsidP="000C1972">
      <w:pPr>
        <w:pStyle w:val="ListBullet2"/>
      </w:pPr>
      <w:r w:rsidRPr="00D4309F">
        <w:t>Active</w:t>
      </w:r>
      <w:r w:rsidRPr="00D4309F">
        <w:rPr>
          <w:spacing w:val="-4"/>
        </w:rPr>
        <w:t xml:space="preserve"> </w:t>
      </w:r>
      <w:r w:rsidRPr="00D4309F">
        <w:t>pumping</w:t>
      </w:r>
      <w:r w:rsidRPr="00D4309F">
        <w:rPr>
          <w:spacing w:val="-4"/>
        </w:rPr>
        <w:t xml:space="preserve"> </w:t>
      </w:r>
      <w:r w:rsidRPr="00D4309F">
        <w:t>campaigns</w:t>
      </w:r>
      <w:r w:rsidRPr="00D4309F">
        <w:rPr>
          <w:spacing w:val="-3"/>
        </w:rPr>
        <w:t xml:space="preserve"> </w:t>
      </w:r>
      <w:r w:rsidRPr="00D4309F">
        <w:t>are</w:t>
      </w:r>
      <w:r w:rsidRPr="00D4309F">
        <w:rPr>
          <w:spacing w:val="-4"/>
        </w:rPr>
        <w:t xml:space="preserve"> </w:t>
      </w:r>
      <w:r w:rsidRPr="00D4309F">
        <w:t>anticipated</w:t>
      </w:r>
      <w:r w:rsidRPr="00D4309F">
        <w:rPr>
          <w:spacing w:val="-4"/>
        </w:rPr>
        <w:t xml:space="preserve"> </w:t>
      </w:r>
      <w:r w:rsidRPr="00D4309F">
        <w:t>every</w:t>
      </w:r>
      <w:r w:rsidRPr="00D4309F">
        <w:rPr>
          <w:spacing w:val="-3"/>
        </w:rPr>
        <w:t xml:space="preserve"> </w:t>
      </w:r>
      <w:r w:rsidRPr="00D4309F">
        <w:t>12–24</w:t>
      </w:r>
      <w:r w:rsidRPr="00D4309F">
        <w:rPr>
          <w:spacing w:val="-4"/>
        </w:rPr>
        <w:t xml:space="preserve"> </w:t>
      </w:r>
      <w:r w:rsidRPr="00D4309F">
        <w:t>months,</w:t>
      </w:r>
      <w:r w:rsidRPr="00D4309F">
        <w:rPr>
          <w:spacing w:val="-4"/>
        </w:rPr>
        <w:t xml:space="preserve"> </w:t>
      </w:r>
      <w:r w:rsidRPr="00D4309F">
        <w:t>adaptable</w:t>
      </w:r>
      <w:r w:rsidRPr="00D4309F">
        <w:rPr>
          <w:spacing w:val="-4"/>
        </w:rPr>
        <w:t xml:space="preserve"> </w:t>
      </w:r>
      <w:r w:rsidRPr="00D4309F">
        <w:t>to</w:t>
      </w:r>
      <w:r w:rsidRPr="00D4309F">
        <w:rPr>
          <w:spacing w:val="-4"/>
        </w:rPr>
        <w:t xml:space="preserve"> </w:t>
      </w:r>
      <w:r w:rsidRPr="00D4309F">
        <w:t>prevailing</w:t>
      </w:r>
      <w:r w:rsidRPr="00D4309F">
        <w:rPr>
          <w:spacing w:val="-4"/>
        </w:rPr>
        <w:t xml:space="preserve"> </w:t>
      </w:r>
      <w:r w:rsidRPr="00D4309F">
        <w:t>sediment-accumulation rates and environmental conditions.</w:t>
      </w:r>
    </w:p>
    <w:p w14:paraId="0FF84608" w14:textId="77777777" w:rsidR="000C1972" w:rsidRPr="00D4309F" w:rsidRDefault="000C1972" w:rsidP="000C1972">
      <w:pPr>
        <w:pStyle w:val="ListBullet2"/>
      </w:pPr>
      <w:r w:rsidRPr="00D4309F">
        <w:t>The system could also be operated opportunistically following major storm events or during scheduled</w:t>
      </w:r>
      <w:r w:rsidRPr="00D4309F">
        <w:rPr>
          <w:spacing w:val="-3"/>
        </w:rPr>
        <w:t xml:space="preserve"> </w:t>
      </w:r>
      <w:r w:rsidRPr="00D4309F">
        <w:t>maintenance</w:t>
      </w:r>
      <w:r w:rsidRPr="00D4309F">
        <w:rPr>
          <w:spacing w:val="-3"/>
        </w:rPr>
        <w:t xml:space="preserve"> </w:t>
      </w:r>
      <w:r w:rsidRPr="00D4309F">
        <w:t>closures</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entrance,</w:t>
      </w:r>
      <w:r w:rsidRPr="00D4309F">
        <w:rPr>
          <w:spacing w:val="-3"/>
        </w:rPr>
        <w:t xml:space="preserve"> </w:t>
      </w:r>
      <w:r w:rsidRPr="00D4309F">
        <w:t>providing</w:t>
      </w:r>
      <w:r w:rsidRPr="00D4309F">
        <w:rPr>
          <w:spacing w:val="-3"/>
        </w:rPr>
        <w:t xml:space="preserve"> </w:t>
      </w:r>
      <w:r w:rsidRPr="00D4309F">
        <w:t>flexibility</w:t>
      </w:r>
      <w:r w:rsidRPr="00D4309F">
        <w:rPr>
          <w:spacing w:val="-3"/>
        </w:rPr>
        <w:t xml:space="preserve"> </w:t>
      </w:r>
      <w:r w:rsidRPr="00D4309F">
        <w:t>to</w:t>
      </w:r>
      <w:r w:rsidRPr="00D4309F">
        <w:rPr>
          <w:spacing w:val="-3"/>
        </w:rPr>
        <w:t xml:space="preserve"> </w:t>
      </w:r>
      <w:r w:rsidRPr="00D4309F">
        <w:t>manage</w:t>
      </w:r>
      <w:r w:rsidRPr="00D4309F">
        <w:rPr>
          <w:spacing w:val="-4"/>
        </w:rPr>
        <w:t xml:space="preserve"> </w:t>
      </w:r>
      <w:r w:rsidRPr="00D4309F">
        <w:t>shoaling</w:t>
      </w:r>
      <w:r w:rsidRPr="00D4309F">
        <w:rPr>
          <w:spacing w:val="-3"/>
        </w:rPr>
        <w:t xml:space="preserve"> </w:t>
      </w:r>
      <w:r w:rsidRPr="00D4309F">
        <w:t xml:space="preserve">risks </w:t>
      </w:r>
      <w:r w:rsidRPr="00D4309F">
        <w:rPr>
          <w:spacing w:val="-2"/>
        </w:rPr>
        <w:t>proactively.</w:t>
      </w:r>
    </w:p>
    <w:p w14:paraId="42A35F3F" w14:textId="77777777" w:rsidR="000C1972" w:rsidRPr="00D4309F" w:rsidRDefault="000C1972" w:rsidP="000C1972">
      <w:pPr>
        <w:pStyle w:val="ListBullet"/>
      </w:pPr>
      <w:r w:rsidRPr="00D4309F">
        <w:t>Coordination</w:t>
      </w:r>
      <w:r w:rsidRPr="00D4309F">
        <w:rPr>
          <w:spacing w:val="-7"/>
        </w:rPr>
        <w:t xml:space="preserve"> </w:t>
      </w:r>
      <w:r w:rsidRPr="00D4309F">
        <w:t>and</w:t>
      </w:r>
      <w:r w:rsidRPr="00D4309F">
        <w:rPr>
          <w:spacing w:val="-6"/>
        </w:rPr>
        <w:t xml:space="preserve"> </w:t>
      </w:r>
      <w:r w:rsidRPr="00D4309F">
        <w:t>environmental</w:t>
      </w:r>
      <w:r w:rsidRPr="00D4309F">
        <w:rPr>
          <w:spacing w:val="-5"/>
        </w:rPr>
        <w:t xml:space="preserve"> </w:t>
      </w:r>
      <w:r w:rsidRPr="00D4309F">
        <w:rPr>
          <w:spacing w:val="-2"/>
        </w:rPr>
        <w:t>management</w:t>
      </w:r>
    </w:p>
    <w:p w14:paraId="1089D286" w14:textId="77777777" w:rsidR="000C1972" w:rsidRPr="00D4309F" w:rsidRDefault="000C1972" w:rsidP="000C1972">
      <w:pPr>
        <w:pStyle w:val="ListBullet2"/>
      </w:pPr>
      <w:r w:rsidRPr="00D4309F">
        <w:t>All operational activities would be coordinated between Maritime Safety Queensland (MSQ), the Sunshine</w:t>
      </w:r>
      <w:r w:rsidRPr="00D4309F">
        <w:rPr>
          <w:spacing w:val="-3"/>
        </w:rPr>
        <w:t xml:space="preserve"> </w:t>
      </w:r>
      <w:r w:rsidRPr="00D4309F">
        <w:t>Coast</w:t>
      </w:r>
      <w:r w:rsidRPr="00D4309F">
        <w:rPr>
          <w:spacing w:val="-3"/>
        </w:rPr>
        <w:t xml:space="preserve"> </w:t>
      </w:r>
      <w:r w:rsidRPr="00D4309F">
        <w:t>Regional</w:t>
      </w:r>
      <w:r w:rsidRPr="00D4309F">
        <w:rPr>
          <w:spacing w:val="-3"/>
        </w:rPr>
        <w:t xml:space="preserve"> </w:t>
      </w:r>
      <w:r w:rsidRPr="00D4309F">
        <w:t>Council</w:t>
      </w:r>
      <w:r w:rsidRPr="00D4309F">
        <w:rPr>
          <w:spacing w:val="-3"/>
        </w:rPr>
        <w:t xml:space="preserve"> </w:t>
      </w:r>
      <w:r w:rsidRPr="00D4309F">
        <w:t>(SCRC),</w:t>
      </w:r>
      <w:r w:rsidRPr="00D4309F">
        <w:rPr>
          <w:spacing w:val="-3"/>
        </w:rPr>
        <w:t xml:space="preserve"> </w:t>
      </w:r>
      <w:r w:rsidRPr="00D4309F">
        <w:t>and</w:t>
      </w:r>
      <w:r w:rsidRPr="00D4309F">
        <w:rPr>
          <w:spacing w:val="-3"/>
        </w:rPr>
        <w:t xml:space="preserve"> </w:t>
      </w:r>
      <w:r w:rsidRPr="00D4309F">
        <w:t>dredging</w:t>
      </w:r>
      <w:r w:rsidRPr="00D4309F">
        <w:rPr>
          <w:spacing w:val="-3"/>
        </w:rPr>
        <w:t xml:space="preserve"> </w:t>
      </w:r>
      <w:r w:rsidRPr="00D4309F">
        <w:t>contractors</w:t>
      </w:r>
      <w:r w:rsidRPr="00D4309F">
        <w:rPr>
          <w:spacing w:val="-2"/>
        </w:rPr>
        <w:t xml:space="preserve"> </w:t>
      </w:r>
      <w:r w:rsidRPr="00D4309F">
        <w:t>to</w:t>
      </w:r>
      <w:r w:rsidRPr="00D4309F">
        <w:rPr>
          <w:spacing w:val="-3"/>
        </w:rPr>
        <w:t xml:space="preserve"> </w:t>
      </w:r>
      <w:r w:rsidRPr="00D4309F">
        <w:t>align</w:t>
      </w:r>
      <w:r w:rsidRPr="00D4309F">
        <w:rPr>
          <w:spacing w:val="-3"/>
        </w:rPr>
        <w:t xml:space="preserve"> </w:t>
      </w:r>
      <w:r w:rsidRPr="00D4309F">
        <w:t>with</w:t>
      </w:r>
      <w:r w:rsidRPr="00D4309F">
        <w:rPr>
          <w:spacing w:val="-4"/>
        </w:rPr>
        <w:t xml:space="preserve"> </w:t>
      </w:r>
      <w:r w:rsidRPr="00D4309F">
        <w:t>regional</w:t>
      </w:r>
      <w:r w:rsidRPr="00D4309F">
        <w:rPr>
          <w:spacing w:val="-3"/>
        </w:rPr>
        <w:t xml:space="preserve"> </w:t>
      </w:r>
      <w:r w:rsidRPr="00D4309F">
        <w:t>coastal-management and nourishment programs.</w:t>
      </w:r>
    </w:p>
    <w:p w14:paraId="125E21F8" w14:textId="77777777" w:rsidR="000C1972" w:rsidRPr="00D4309F" w:rsidRDefault="000C1972" w:rsidP="000C1972">
      <w:pPr>
        <w:pStyle w:val="ListBullet2"/>
      </w:pPr>
      <w:r w:rsidRPr="00D4309F">
        <w:t>Operations</w:t>
      </w:r>
      <w:r w:rsidRPr="00D4309F">
        <w:rPr>
          <w:spacing w:val="-3"/>
        </w:rPr>
        <w:t xml:space="preserve"> </w:t>
      </w:r>
      <w:r w:rsidRPr="00D4309F">
        <w:t>would</w:t>
      </w:r>
      <w:r w:rsidRPr="00D4309F">
        <w:rPr>
          <w:spacing w:val="-4"/>
        </w:rPr>
        <w:t xml:space="preserve"> </w:t>
      </w:r>
      <w:r w:rsidRPr="00D4309F">
        <w:t>be</w:t>
      </w:r>
      <w:r w:rsidRPr="00D4309F">
        <w:rPr>
          <w:spacing w:val="-4"/>
        </w:rPr>
        <w:t xml:space="preserve"> </w:t>
      </w:r>
      <w:r w:rsidRPr="00D4309F">
        <w:t>governed</w:t>
      </w:r>
      <w:r w:rsidRPr="00D4309F">
        <w:rPr>
          <w:spacing w:val="-4"/>
        </w:rPr>
        <w:t xml:space="preserve"> </w:t>
      </w:r>
      <w:r w:rsidRPr="00D4309F">
        <w:t>by</w:t>
      </w:r>
      <w:r w:rsidRPr="00D4309F">
        <w:rPr>
          <w:spacing w:val="-3"/>
        </w:rPr>
        <w:t xml:space="preserve"> </w:t>
      </w:r>
      <w:r w:rsidRPr="00D4309F">
        <w:t>Environmental</w:t>
      </w:r>
      <w:r w:rsidRPr="00D4309F">
        <w:rPr>
          <w:spacing w:val="-4"/>
        </w:rPr>
        <w:t xml:space="preserve"> </w:t>
      </w:r>
      <w:r w:rsidRPr="00D4309F">
        <w:t>Management</w:t>
      </w:r>
      <w:r w:rsidRPr="00D4309F">
        <w:rPr>
          <w:spacing w:val="-4"/>
        </w:rPr>
        <w:t xml:space="preserve"> </w:t>
      </w:r>
      <w:r w:rsidRPr="00D4309F">
        <w:t>Plans</w:t>
      </w:r>
      <w:r w:rsidRPr="00D4309F">
        <w:rPr>
          <w:spacing w:val="-3"/>
        </w:rPr>
        <w:t xml:space="preserve"> </w:t>
      </w:r>
      <w:r w:rsidRPr="00D4309F">
        <w:t>(EMPs)</w:t>
      </w:r>
      <w:r w:rsidRPr="00D4309F">
        <w:rPr>
          <w:spacing w:val="-3"/>
        </w:rPr>
        <w:t xml:space="preserve"> </w:t>
      </w:r>
      <w:r w:rsidRPr="00D4309F">
        <w:t>detailing</w:t>
      </w:r>
      <w:r w:rsidRPr="00D4309F">
        <w:rPr>
          <w:spacing w:val="-4"/>
        </w:rPr>
        <w:t xml:space="preserve"> </w:t>
      </w:r>
      <w:r w:rsidRPr="00D4309F">
        <w:t>turbidity monitoring, discharge controls, and ecological safeguards.</w:t>
      </w:r>
    </w:p>
    <w:p w14:paraId="4049DEEA" w14:textId="77777777" w:rsidR="000C1972" w:rsidRPr="00D4309F" w:rsidRDefault="000C1972" w:rsidP="000C1972">
      <w:pPr>
        <w:pStyle w:val="ListBullet2"/>
      </w:pPr>
      <w:r w:rsidRPr="00D4309F">
        <w:t>Scheduling</w:t>
      </w:r>
      <w:r w:rsidRPr="00D4309F">
        <w:rPr>
          <w:spacing w:val="-4"/>
        </w:rPr>
        <w:t xml:space="preserve"> </w:t>
      </w:r>
      <w:r w:rsidRPr="00D4309F">
        <w:t>would</w:t>
      </w:r>
      <w:r w:rsidRPr="00D4309F">
        <w:rPr>
          <w:spacing w:val="-3"/>
        </w:rPr>
        <w:t xml:space="preserve"> </w:t>
      </w:r>
      <w:r w:rsidRPr="00D4309F">
        <w:t>take</w:t>
      </w:r>
      <w:r w:rsidRPr="00D4309F">
        <w:rPr>
          <w:spacing w:val="-3"/>
        </w:rPr>
        <w:t xml:space="preserve"> </w:t>
      </w:r>
      <w:r w:rsidRPr="00D4309F">
        <w:t>into</w:t>
      </w:r>
      <w:r w:rsidRPr="00D4309F">
        <w:rPr>
          <w:spacing w:val="-4"/>
        </w:rPr>
        <w:t xml:space="preserve"> </w:t>
      </w:r>
      <w:r w:rsidRPr="00D4309F">
        <w:t>account</w:t>
      </w:r>
      <w:r w:rsidRPr="00D4309F">
        <w:rPr>
          <w:spacing w:val="-3"/>
        </w:rPr>
        <w:t xml:space="preserve"> </w:t>
      </w:r>
      <w:r w:rsidRPr="00D4309F">
        <w:t>tidal</w:t>
      </w:r>
      <w:r w:rsidRPr="00D4309F">
        <w:rPr>
          <w:spacing w:val="-4"/>
        </w:rPr>
        <w:t xml:space="preserve"> </w:t>
      </w:r>
      <w:r w:rsidRPr="00D4309F">
        <w:t>windows,</w:t>
      </w:r>
      <w:r w:rsidRPr="00D4309F">
        <w:rPr>
          <w:spacing w:val="-3"/>
        </w:rPr>
        <w:t xml:space="preserve"> </w:t>
      </w:r>
      <w:r w:rsidRPr="00D4309F">
        <w:t>sea-state</w:t>
      </w:r>
      <w:r w:rsidRPr="00D4309F">
        <w:rPr>
          <w:spacing w:val="-3"/>
        </w:rPr>
        <w:t xml:space="preserve"> </w:t>
      </w:r>
      <w:r w:rsidRPr="00D4309F">
        <w:t>limitations,</w:t>
      </w:r>
      <w:r w:rsidRPr="00D4309F">
        <w:rPr>
          <w:spacing w:val="-3"/>
        </w:rPr>
        <w:t xml:space="preserve"> </w:t>
      </w:r>
      <w:r w:rsidRPr="00D4309F">
        <w:t>and</w:t>
      </w:r>
      <w:r w:rsidRPr="00D4309F">
        <w:rPr>
          <w:spacing w:val="-3"/>
        </w:rPr>
        <w:t xml:space="preserve"> </w:t>
      </w:r>
      <w:r w:rsidRPr="00D4309F">
        <w:t>marine-traffic</w:t>
      </w:r>
      <w:r w:rsidRPr="00D4309F">
        <w:rPr>
          <w:spacing w:val="-2"/>
        </w:rPr>
        <w:t xml:space="preserve"> </w:t>
      </w:r>
      <w:r w:rsidRPr="00D4309F">
        <w:t xml:space="preserve">safety </w:t>
      </w:r>
      <w:r w:rsidRPr="00D4309F">
        <w:rPr>
          <w:spacing w:val="-2"/>
        </w:rPr>
        <w:t>requirements.</w:t>
      </w:r>
    </w:p>
    <w:p w14:paraId="3F10F12A" w14:textId="6E9C58A1" w:rsidR="000C1972" w:rsidRPr="00D4309F" w:rsidRDefault="000C1972" w:rsidP="000C1972">
      <w:pPr>
        <w:pStyle w:val="BodyText"/>
      </w:pPr>
      <w:r w:rsidRPr="00D4309F">
        <w:t>Operation</w:t>
      </w:r>
      <w:r w:rsidRPr="00D4309F">
        <w:rPr>
          <w:spacing w:val="-3"/>
        </w:rPr>
        <w:t xml:space="preserve"> </w:t>
      </w:r>
      <w:r w:rsidRPr="00D4309F">
        <w:t>of</w:t>
      </w:r>
      <w:r w:rsidRPr="00D4309F">
        <w:rPr>
          <w:spacing w:val="-3"/>
        </w:rPr>
        <w:t xml:space="preserve"> </w:t>
      </w:r>
      <w:r w:rsidRPr="00D4309F">
        <w:t>Option</w:t>
      </w:r>
      <w:r w:rsidRPr="00D4309F">
        <w:rPr>
          <w:spacing w:val="-3"/>
        </w:rPr>
        <w:t xml:space="preserve"> </w:t>
      </w:r>
      <w:r w:rsidRPr="00D4309F">
        <w:t>1B</w:t>
      </w:r>
      <w:r w:rsidRPr="00D4309F">
        <w:rPr>
          <w:spacing w:val="-3"/>
        </w:rPr>
        <w:t xml:space="preserve"> </w:t>
      </w:r>
      <w:r w:rsidRPr="00D4309F">
        <w:t>would</w:t>
      </w:r>
      <w:r w:rsidRPr="00D4309F">
        <w:rPr>
          <w:spacing w:val="-3"/>
        </w:rPr>
        <w:t xml:space="preserve"> </w:t>
      </w:r>
      <w:r w:rsidRPr="00D4309F">
        <w:t>involve</w:t>
      </w:r>
      <w:r w:rsidRPr="00D4309F">
        <w:rPr>
          <w:spacing w:val="-3"/>
        </w:rPr>
        <w:t xml:space="preserve"> </w:t>
      </w:r>
      <w:r w:rsidRPr="00D4309F">
        <w:t>ongoing</w:t>
      </w:r>
      <w:r w:rsidRPr="00D4309F">
        <w:rPr>
          <w:spacing w:val="-3"/>
        </w:rPr>
        <w:t xml:space="preserve"> </w:t>
      </w:r>
      <w:r w:rsidRPr="00D4309F">
        <w:t>management</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fixed</w:t>
      </w:r>
      <w:r w:rsidRPr="00D4309F">
        <w:rPr>
          <w:spacing w:val="-3"/>
        </w:rPr>
        <w:t xml:space="preserve"> </w:t>
      </w:r>
      <w:r w:rsidRPr="00D4309F">
        <w:t>pump</w:t>
      </w:r>
      <w:r w:rsidRPr="00D4309F">
        <w:rPr>
          <w:spacing w:val="-3"/>
        </w:rPr>
        <w:t xml:space="preserve"> </w:t>
      </w:r>
      <w:r w:rsidRPr="00D4309F">
        <w:t>system,</w:t>
      </w:r>
      <w:r w:rsidRPr="00D4309F">
        <w:rPr>
          <w:spacing w:val="-3"/>
        </w:rPr>
        <w:t xml:space="preserve"> </w:t>
      </w:r>
      <w:r w:rsidRPr="00D4309F">
        <w:t>submerged</w:t>
      </w:r>
      <w:r w:rsidRPr="00D4309F">
        <w:rPr>
          <w:spacing w:val="-3"/>
        </w:rPr>
        <w:t xml:space="preserve"> </w:t>
      </w:r>
      <w:r w:rsidRPr="00D4309F">
        <w:t>pipeline, and offshore outlets to transfer sand from the trap to designated nourishment sites. While this approach enables more controlled and continuous sediment recycling, it introduces higher operational complexity, maintenance demands, and environmental monitoring requirements compared to Option 1A. Overall, it is assessed as having moderate operational feasibility.</w:t>
      </w:r>
    </w:p>
    <w:p w14:paraId="0800BC4A" w14:textId="77777777" w:rsidR="000C1972" w:rsidRPr="00D4309F" w:rsidRDefault="000C1972" w:rsidP="008228CB">
      <w:pPr>
        <w:pStyle w:val="Heading3"/>
      </w:pPr>
      <w:bookmarkStart w:id="271" w:name="_Toc216699389"/>
      <w:r w:rsidRPr="00D4309F">
        <w:t>Coastal</w:t>
      </w:r>
      <w:r w:rsidRPr="00D4309F">
        <w:rPr>
          <w:spacing w:val="-5"/>
        </w:rPr>
        <w:t xml:space="preserve"> </w:t>
      </w:r>
      <w:r w:rsidRPr="00D4309F">
        <w:t>processes</w:t>
      </w:r>
      <w:r w:rsidRPr="00D4309F">
        <w:rPr>
          <w:spacing w:val="-5"/>
        </w:rPr>
        <w:t xml:space="preserve"> </w:t>
      </w:r>
      <w:r w:rsidRPr="00D4309F">
        <w:rPr>
          <w:spacing w:val="-2"/>
        </w:rPr>
        <w:t>considerations</w:t>
      </w:r>
      <w:bookmarkEnd w:id="271"/>
    </w:p>
    <w:p w14:paraId="1F44292B" w14:textId="008B37D0" w:rsidR="000C1972" w:rsidRPr="00D4309F" w:rsidRDefault="000C1972" w:rsidP="000C1972">
      <w:pPr>
        <w:pStyle w:val="BodyText"/>
      </w:pPr>
      <w:r w:rsidRPr="00D4309F">
        <w:t>As</w:t>
      </w:r>
      <w:r w:rsidRPr="00D4309F">
        <w:rPr>
          <w:spacing w:val="-2"/>
        </w:rPr>
        <w:t xml:space="preserve"> </w:t>
      </w:r>
      <w:r w:rsidRPr="00D4309F">
        <w:t>per</w:t>
      </w:r>
      <w:r w:rsidRPr="00D4309F">
        <w:rPr>
          <w:spacing w:val="-1"/>
        </w:rPr>
        <w:t xml:space="preserve"> </w:t>
      </w:r>
      <w:r w:rsidRPr="00D4309F">
        <w:t>Option</w:t>
      </w:r>
      <w:r w:rsidRPr="00D4309F">
        <w:rPr>
          <w:spacing w:val="-3"/>
        </w:rPr>
        <w:t xml:space="preserve"> </w:t>
      </w:r>
      <w:r w:rsidRPr="00D4309F">
        <w:t>1A</w:t>
      </w:r>
      <w:r w:rsidRPr="00D4309F">
        <w:rPr>
          <w:spacing w:val="-3"/>
        </w:rPr>
        <w:t xml:space="preserve"> </w:t>
      </w:r>
      <w:hyperlink w:anchor="_bookmark104" w:history="1">
        <w:r w:rsidRPr="00D4309F">
          <w:rPr>
            <w:spacing w:val="-2"/>
          </w:rPr>
          <w:t>13.3.5.</w:t>
        </w:r>
      </w:hyperlink>
    </w:p>
    <w:p w14:paraId="693B240D" w14:textId="77777777" w:rsidR="000C1972" w:rsidRPr="00D4309F" w:rsidRDefault="000C1972" w:rsidP="00725977">
      <w:pPr>
        <w:pStyle w:val="ListParagraph"/>
        <w:sectPr w:rsidR="000C1972" w:rsidRPr="00D4309F" w:rsidSect="00A8441C">
          <w:headerReference w:type="default" r:id="rId86"/>
          <w:footerReference w:type="default" r:id="rId87"/>
          <w:pgSz w:w="11910" w:h="16840"/>
          <w:pgMar w:top="1418" w:right="1134" w:bottom="1418" w:left="1134" w:header="916" w:footer="980" w:gutter="0"/>
          <w:cols w:space="720"/>
          <w:docGrid w:linePitch="272"/>
        </w:sectPr>
      </w:pPr>
    </w:p>
    <w:p w14:paraId="6B6D4568" w14:textId="77777777" w:rsidR="00725977" w:rsidRPr="00D4309F" w:rsidRDefault="00725977" w:rsidP="00F4416A">
      <w:pPr>
        <w:pStyle w:val="Heading3"/>
      </w:pPr>
      <w:bookmarkStart w:id="272" w:name="_Toc216699390"/>
      <w:r w:rsidRPr="00D4309F">
        <w:lastRenderedPageBreak/>
        <w:t>Environmental</w:t>
      </w:r>
      <w:r w:rsidRPr="00D4309F">
        <w:rPr>
          <w:spacing w:val="-9"/>
        </w:rPr>
        <w:t xml:space="preserve"> </w:t>
      </w:r>
      <w:r w:rsidRPr="00D4309F">
        <w:rPr>
          <w:spacing w:val="-2"/>
        </w:rPr>
        <w:t>constraints</w:t>
      </w:r>
      <w:bookmarkEnd w:id="272"/>
    </w:p>
    <w:p w14:paraId="5A0C8C4F" w14:textId="533F7EC0" w:rsidR="00725977" w:rsidRPr="00D4309F" w:rsidRDefault="00725977" w:rsidP="00725977">
      <w:pPr>
        <w:pStyle w:val="BodyText"/>
      </w:pPr>
      <w:r w:rsidRPr="00D4309F">
        <w:t>A</w:t>
      </w:r>
      <w:r w:rsidRPr="00D4309F">
        <w:rPr>
          <w:spacing w:val="-2"/>
        </w:rPr>
        <w:t xml:space="preserve"> </w:t>
      </w:r>
      <w:r w:rsidRPr="00D4309F">
        <w:t>preliminary</w:t>
      </w:r>
      <w:r w:rsidRPr="00D4309F">
        <w:rPr>
          <w:spacing w:val="-1"/>
        </w:rPr>
        <w:t xml:space="preserve"> </w:t>
      </w:r>
      <w:r w:rsidRPr="00D4309F">
        <w:t>assessment</w:t>
      </w:r>
      <w:r w:rsidRPr="00D4309F">
        <w:rPr>
          <w:spacing w:val="-2"/>
        </w:rPr>
        <w:t xml:space="preserve"> </w:t>
      </w:r>
      <w:r w:rsidRPr="00D4309F">
        <w:t>of</w:t>
      </w:r>
      <w:r w:rsidRPr="00D4309F">
        <w:rPr>
          <w:spacing w:val="-2"/>
        </w:rPr>
        <w:t xml:space="preserve"> </w:t>
      </w:r>
      <w:r w:rsidRPr="00D4309F">
        <w:t>environmental</w:t>
      </w:r>
      <w:r w:rsidRPr="00D4309F">
        <w:rPr>
          <w:spacing w:val="-2"/>
        </w:rPr>
        <w:t xml:space="preserve"> </w:t>
      </w:r>
      <w:r w:rsidRPr="00D4309F">
        <w:t>constraints</w:t>
      </w:r>
      <w:r w:rsidRPr="00D4309F">
        <w:rPr>
          <w:spacing w:val="-1"/>
        </w:rPr>
        <w:t xml:space="preserve"> </w:t>
      </w:r>
      <w:r w:rsidRPr="00D4309F">
        <w:t>for</w:t>
      </w:r>
      <w:r w:rsidRPr="00D4309F">
        <w:rPr>
          <w:spacing w:val="-2"/>
        </w:rPr>
        <w:t xml:space="preserve"> </w:t>
      </w:r>
      <w:r w:rsidRPr="00D4309F">
        <w:t>the</w:t>
      </w:r>
      <w:r w:rsidRPr="00D4309F">
        <w:rPr>
          <w:spacing w:val="-2"/>
        </w:rPr>
        <w:t xml:space="preserve"> </w:t>
      </w:r>
      <w:r w:rsidRPr="00D4309F">
        <w:t>Buddina</w:t>
      </w:r>
      <w:r w:rsidRPr="00D4309F">
        <w:rPr>
          <w:spacing w:val="-2"/>
        </w:rPr>
        <w:t xml:space="preserve"> </w:t>
      </w:r>
      <w:r w:rsidRPr="00D4309F">
        <w:t>Sand</w:t>
      </w:r>
      <w:r w:rsidRPr="00D4309F">
        <w:rPr>
          <w:spacing w:val="-2"/>
        </w:rPr>
        <w:t xml:space="preserve"> </w:t>
      </w:r>
      <w:r w:rsidRPr="00D4309F">
        <w:t>Trap</w:t>
      </w:r>
      <w:r w:rsidRPr="00D4309F">
        <w:rPr>
          <w:spacing w:val="-2"/>
        </w:rPr>
        <w:t xml:space="preserve"> </w:t>
      </w:r>
      <w:r w:rsidRPr="00D4309F">
        <w:t>with</w:t>
      </w:r>
      <w:r w:rsidRPr="00D4309F">
        <w:rPr>
          <w:spacing w:val="-2"/>
        </w:rPr>
        <w:t xml:space="preserve"> </w:t>
      </w:r>
      <w:r w:rsidRPr="00D4309F">
        <w:t>pump</w:t>
      </w:r>
      <w:r w:rsidRPr="00D4309F">
        <w:rPr>
          <w:spacing w:val="-3"/>
        </w:rPr>
        <w:t xml:space="preserve"> </w:t>
      </w:r>
      <w:r w:rsidRPr="00D4309F">
        <w:t>station</w:t>
      </w:r>
      <w:r w:rsidRPr="00D4309F">
        <w:rPr>
          <w:spacing w:val="-2"/>
        </w:rPr>
        <w:t xml:space="preserve"> </w:t>
      </w:r>
      <w:r w:rsidRPr="00D4309F">
        <w:t>and</w:t>
      </w:r>
      <w:r w:rsidRPr="00D4309F">
        <w:rPr>
          <w:spacing w:val="-2"/>
        </w:rPr>
        <w:t xml:space="preserve"> </w:t>
      </w:r>
      <w:r w:rsidRPr="00D4309F">
        <w:t>permanent</w:t>
      </w:r>
      <w:r w:rsidRPr="00D4309F">
        <w:rPr>
          <w:spacing w:val="-2"/>
        </w:rPr>
        <w:t xml:space="preserve"> </w:t>
      </w:r>
      <w:r w:rsidRPr="00D4309F">
        <w:t>pipe</w:t>
      </w:r>
      <w:r w:rsidRPr="00D4309F">
        <w:rPr>
          <w:spacing w:val="-2"/>
        </w:rPr>
        <w:t xml:space="preserve"> </w:t>
      </w:r>
      <w:r w:rsidRPr="00D4309F">
        <w:t>(Option</w:t>
      </w:r>
      <w:r w:rsidRPr="00D4309F">
        <w:rPr>
          <w:spacing w:val="-2"/>
        </w:rPr>
        <w:t xml:space="preserve"> </w:t>
      </w:r>
      <w:r w:rsidRPr="00D4309F">
        <w:t>1B),</w:t>
      </w:r>
      <w:r w:rsidRPr="00D4309F">
        <w:rPr>
          <w:spacing w:val="-2"/>
        </w:rPr>
        <w:t xml:space="preserve"> </w:t>
      </w:r>
      <w:r w:rsidRPr="00D4309F">
        <w:t>based</w:t>
      </w:r>
      <w:r w:rsidRPr="00D4309F">
        <w:rPr>
          <w:spacing w:val="-2"/>
        </w:rPr>
        <w:t xml:space="preserve"> </w:t>
      </w:r>
      <w:r w:rsidRPr="00D4309F">
        <w:t>on</w:t>
      </w:r>
      <w:r w:rsidRPr="00D4309F">
        <w:rPr>
          <w:spacing w:val="-2"/>
        </w:rPr>
        <w:t xml:space="preserve"> </w:t>
      </w:r>
      <w:r w:rsidRPr="00D4309F">
        <w:t>the</w:t>
      </w:r>
      <w:r w:rsidRPr="00D4309F">
        <w:rPr>
          <w:spacing w:val="-2"/>
        </w:rPr>
        <w:t xml:space="preserve"> </w:t>
      </w:r>
      <w:r w:rsidRPr="00D4309F">
        <w:t xml:space="preserve">constraints analysis criteria in </w:t>
      </w:r>
      <w:hyperlink w:anchor="_bookmark114" w:history="1">
        <w:r w:rsidR="009213C9">
          <w:fldChar w:fldCharType="begin" w:fldLock="1"/>
        </w:r>
        <w:r w:rsidR="009213C9">
          <w:instrText xml:space="preserve"> REF _Ref215979357 \h </w:instrText>
        </w:r>
        <w:r w:rsidR="009213C9">
          <w:fldChar w:fldCharType="separate"/>
        </w:r>
        <w:r w:rsidR="009213C9">
          <w:t xml:space="preserve">Table </w:t>
        </w:r>
        <w:r w:rsidR="009213C9">
          <w:rPr>
            <w:noProof/>
          </w:rPr>
          <w:t>13</w:t>
        </w:r>
        <w:r w:rsidR="009213C9">
          <w:noBreakHyphen/>
        </w:r>
        <w:r w:rsidR="009213C9">
          <w:rPr>
            <w:noProof/>
          </w:rPr>
          <w:t>4</w:t>
        </w:r>
        <w:r w:rsidR="009213C9">
          <w:fldChar w:fldCharType="end"/>
        </w:r>
      </w:hyperlink>
      <w:r w:rsidRPr="00D4309F">
        <w:t xml:space="preserve"> and detailed in </w:t>
      </w:r>
      <w:hyperlink w:anchor="_bookmark115" w:history="1">
        <w:r w:rsidR="009213C9">
          <w:fldChar w:fldCharType="begin" w:fldLock="1"/>
        </w:r>
        <w:r w:rsidR="009213C9">
          <w:instrText xml:space="preserve"> REF _Ref215979373 \h </w:instrText>
        </w:r>
        <w:r w:rsidR="009213C9">
          <w:fldChar w:fldCharType="separate"/>
        </w:r>
        <w:r w:rsidR="009213C9">
          <w:t xml:space="preserve">Table </w:t>
        </w:r>
        <w:r w:rsidR="009213C9">
          <w:rPr>
            <w:noProof/>
          </w:rPr>
          <w:t>13</w:t>
        </w:r>
        <w:r w:rsidR="009213C9">
          <w:noBreakHyphen/>
        </w:r>
        <w:r w:rsidR="009213C9">
          <w:rPr>
            <w:noProof/>
          </w:rPr>
          <w:t>5</w:t>
        </w:r>
        <w:r w:rsidR="009213C9">
          <w:fldChar w:fldCharType="end"/>
        </w:r>
        <w:r w:rsidRPr="00D4309F">
          <w:t>.</w:t>
        </w:r>
      </w:hyperlink>
    </w:p>
    <w:p w14:paraId="09275388" w14:textId="4B7A5033" w:rsidR="00725977" w:rsidRPr="00D4309F" w:rsidRDefault="00FD0909" w:rsidP="00151534">
      <w:pPr>
        <w:pStyle w:val="Table-Caption"/>
      </w:pPr>
      <w:bookmarkStart w:id="273" w:name="_bookmark114"/>
      <w:bookmarkStart w:id="274" w:name="_Ref215979357"/>
      <w:bookmarkStart w:id="275" w:name="_Toc216699551"/>
      <w:bookmarkEnd w:id="273"/>
      <w:r>
        <w:t xml:space="preserve">Table </w:t>
      </w:r>
      <w:r w:rsidR="00151534">
        <w:fldChar w:fldCharType="begin" w:fldLock="1"/>
      </w:r>
      <w:r w:rsidR="00151534">
        <w:instrText xml:space="preserve"> STYLEREF 1 \s </w:instrText>
      </w:r>
      <w:r w:rsidR="00151534">
        <w:fldChar w:fldCharType="separate"/>
      </w:r>
      <w:r w:rsidR="00151534">
        <w:rPr>
          <w:noProof/>
        </w:rPr>
        <w:t>13</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4</w:t>
      </w:r>
      <w:r w:rsidR="00151534">
        <w:fldChar w:fldCharType="end"/>
      </w:r>
      <w:bookmarkEnd w:id="274"/>
      <w:r>
        <w:t>:</w:t>
      </w:r>
      <w:r>
        <w:tab/>
      </w:r>
      <w:r w:rsidRPr="00D4309F">
        <w:rPr>
          <w:color w:val="211E1F"/>
        </w:rPr>
        <w:t>Constraints</w:t>
      </w:r>
      <w:r w:rsidRPr="00D4309F">
        <w:rPr>
          <w:color w:val="211E1F"/>
          <w:spacing w:val="-3"/>
        </w:rPr>
        <w:t xml:space="preserve"> </w:t>
      </w:r>
      <w:r w:rsidRPr="00D4309F">
        <w:rPr>
          <w:color w:val="211E1F"/>
        </w:rPr>
        <w:t>analysis</w:t>
      </w:r>
      <w:r w:rsidRPr="00D4309F">
        <w:rPr>
          <w:color w:val="211E1F"/>
          <w:spacing w:val="-2"/>
        </w:rPr>
        <w:t xml:space="preserve"> criteria</w:t>
      </w:r>
      <w:bookmarkEnd w:id="275"/>
    </w:p>
    <w:tbl>
      <w:tblPr>
        <w:tblW w:w="5000" w:type="pct"/>
        <w:tblCellMar>
          <w:left w:w="0" w:type="dxa"/>
          <w:right w:w="0" w:type="dxa"/>
        </w:tblCellMar>
        <w:tblLook w:val="01E0" w:firstRow="1" w:lastRow="1" w:firstColumn="1" w:lastColumn="1" w:noHBand="0" w:noVBand="0"/>
      </w:tblPr>
      <w:tblGrid>
        <w:gridCol w:w="1750"/>
        <w:gridCol w:w="13106"/>
      </w:tblGrid>
      <w:tr w:rsidR="00725977" w:rsidRPr="00D4309F" w14:paraId="596768FA" w14:textId="77777777" w:rsidTr="009213C9">
        <w:trPr>
          <w:trHeight w:val="286"/>
        </w:trPr>
        <w:tc>
          <w:tcPr>
            <w:tcW w:w="589" w:type="pct"/>
            <w:tcBorders>
              <w:bottom w:val="single" w:sz="4" w:space="0" w:color="000000"/>
            </w:tcBorders>
            <w:shd w:val="clear" w:color="auto" w:fill="D6D7D5"/>
          </w:tcPr>
          <w:p w14:paraId="44BC403A" w14:textId="77777777" w:rsidR="00725977" w:rsidRPr="00D4309F" w:rsidRDefault="00725977">
            <w:pPr>
              <w:pStyle w:val="TableParagraph"/>
              <w:spacing w:before="40"/>
              <w:ind w:left="165"/>
              <w:rPr>
                <w:b/>
                <w:sz w:val="18"/>
              </w:rPr>
            </w:pPr>
            <w:r w:rsidRPr="00D4309F">
              <w:rPr>
                <w:b/>
                <w:color w:val="70004A"/>
                <w:sz w:val="18"/>
              </w:rPr>
              <w:t>Constraint</w:t>
            </w:r>
            <w:r w:rsidRPr="00D4309F">
              <w:rPr>
                <w:b/>
                <w:color w:val="70004A"/>
                <w:spacing w:val="-4"/>
                <w:sz w:val="18"/>
              </w:rPr>
              <w:t xml:space="preserve"> </w:t>
            </w:r>
            <w:r w:rsidRPr="00D4309F">
              <w:rPr>
                <w:b/>
                <w:color w:val="70004A"/>
                <w:spacing w:val="-2"/>
                <w:sz w:val="18"/>
              </w:rPr>
              <w:t>level</w:t>
            </w:r>
          </w:p>
        </w:tc>
        <w:tc>
          <w:tcPr>
            <w:tcW w:w="4411" w:type="pct"/>
            <w:tcBorders>
              <w:bottom w:val="single" w:sz="4" w:space="0" w:color="000000"/>
            </w:tcBorders>
            <w:shd w:val="clear" w:color="auto" w:fill="D6D7D5"/>
          </w:tcPr>
          <w:p w14:paraId="04F8D747" w14:textId="77777777" w:rsidR="00725977" w:rsidRPr="00D4309F" w:rsidRDefault="00725977">
            <w:pPr>
              <w:pStyle w:val="TableParagraph"/>
              <w:spacing w:before="40"/>
              <w:ind w:left="163"/>
              <w:rPr>
                <w:b/>
                <w:sz w:val="18"/>
              </w:rPr>
            </w:pPr>
            <w:r w:rsidRPr="00D4309F">
              <w:rPr>
                <w:b/>
                <w:color w:val="70004A"/>
                <w:spacing w:val="-2"/>
                <w:sz w:val="18"/>
              </w:rPr>
              <w:t>Description</w:t>
            </w:r>
          </w:p>
        </w:tc>
      </w:tr>
      <w:tr w:rsidR="00725977" w:rsidRPr="00D4309F" w14:paraId="386085E1" w14:textId="77777777" w:rsidTr="009213C9">
        <w:trPr>
          <w:trHeight w:val="287"/>
        </w:trPr>
        <w:tc>
          <w:tcPr>
            <w:tcW w:w="589" w:type="pct"/>
            <w:tcBorders>
              <w:top w:val="single" w:sz="4" w:space="0" w:color="000000"/>
              <w:bottom w:val="single" w:sz="4" w:space="0" w:color="000000"/>
            </w:tcBorders>
            <w:shd w:val="clear" w:color="auto" w:fill="BDB7B3"/>
          </w:tcPr>
          <w:p w14:paraId="6F3322C6" w14:textId="77777777" w:rsidR="00725977" w:rsidRPr="00D4309F" w:rsidRDefault="00725977">
            <w:pPr>
              <w:pStyle w:val="TableParagraph"/>
              <w:spacing w:before="41"/>
              <w:ind w:left="165"/>
              <w:rPr>
                <w:b/>
                <w:sz w:val="18"/>
              </w:rPr>
            </w:pPr>
            <w:r w:rsidRPr="00D4309F">
              <w:rPr>
                <w:b/>
                <w:color w:val="211E1F"/>
                <w:sz w:val="18"/>
              </w:rPr>
              <w:t>No</w:t>
            </w:r>
            <w:r w:rsidRPr="00D4309F">
              <w:rPr>
                <w:b/>
                <w:color w:val="211E1F"/>
                <w:spacing w:val="-3"/>
                <w:sz w:val="18"/>
              </w:rPr>
              <w:t xml:space="preserve"> </w:t>
            </w:r>
            <w:r w:rsidRPr="00D4309F">
              <w:rPr>
                <w:b/>
                <w:color w:val="211E1F"/>
                <w:spacing w:val="-2"/>
                <w:sz w:val="18"/>
              </w:rPr>
              <w:t>impact</w:t>
            </w:r>
          </w:p>
        </w:tc>
        <w:tc>
          <w:tcPr>
            <w:tcW w:w="4411" w:type="pct"/>
            <w:tcBorders>
              <w:top w:val="single" w:sz="4" w:space="0" w:color="000000"/>
              <w:bottom w:val="single" w:sz="4" w:space="0" w:color="000000"/>
            </w:tcBorders>
          </w:tcPr>
          <w:p w14:paraId="17C9EB9C" w14:textId="77777777" w:rsidR="00725977" w:rsidRPr="00D4309F" w:rsidRDefault="00725977">
            <w:pPr>
              <w:pStyle w:val="TableParagraph"/>
              <w:spacing w:before="41"/>
              <w:ind w:left="163"/>
              <w:rPr>
                <w:sz w:val="18"/>
              </w:rPr>
            </w:pPr>
            <w:r w:rsidRPr="00D4309F">
              <w:rPr>
                <w:color w:val="211E1F"/>
                <w:sz w:val="18"/>
              </w:rPr>
              <w:t>There</w:t>
            </w:r>
            <w:r w:rsidRPr="00D4309F">
              <w:rPr>
                <w:color w:val="211E1F"/>
                <w:spacing w:val="-6"/>
                <w:sz w:val="18"/>
              </w:rPr>
              <w:t xml:space="preserve"> </w:t>
            </w:r>
            <w:r w:rsidRPr="00D4309F">
              <w:rPr>
                <w:color w:val="211E1F"/>
                <w:sz w:val="18"/>
              </w:rPr>
              <w:t>is</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impact</w:t>
            </w:r>
            <w:r w:rsidRPr="00D4309F">
              <w:rPr>
                <w:color w:val="211E1F"/>
                <w:spacing w:val="-2"/>
                <w:sz w:val="18"/>
              </w:rPr>
              <w:t xml:space="preserve"> </w:t>
            </w:r>
            <w:r w:rsidRPr="00D4309F">
              <w:rPr>
                <w:color w:val="211E1F"/>
                <w:sz w:val="18"/>
              </w:rPr>
              <w:t>pathway</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1"/>
                <w:sz w:val="18"/>
              </w:rPr>
              <w:t xml:space="preserve"> </w:t>
            </w:r>
            <w:r w:rsidRPr="00D4309F">
              <w:rPr>
                <w:color w:val="211E1F"/>
                <w:sz w:val="18"/>
              </w:rPr>
              <w:t>receptor.</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required.</w:t>
            </w:r>
          </w:p>
        </w:tc>
      </w:tr>
      <w:tr w:rsidR="00725977" w:rsidRPr="00D4309F" w14:paraId="32DD7E09" w14:textId="77777777" w:rsidTr="009213C9">
        <w:trPr>
          <w:trHeight w:val="286"/>
        </w:trPr>
        <w:tc>
          <w:tcPr>
            <w:tcW w:w="589" w:type="pct"/>
            <w:tcBorders>
              <w:top w:val="single" w:sz="4" w:space="0" w:color="000000"/>
              <w:bottom w:val="single" w:sz="4" w:space="0" w:color="000000"/>
            </w:tcBorders>
            <w:shd w:val="clear" w:color="auto" w:fill="92D050"/>
          </w:tcPr>
          <w:p w14:paraId="69FCEA25" w14:textId="77777777" w:rsidR="00725977" w:rsidRPr="00D4309F" w:rsidRDefault="00725977">
            <w:pPr>
              <w:pStyle w:val="TableParagraph"/>
              <w:spacing w:before="39"/>
              <w:ind w:left="165"/>
              <w:rPr>
                <w:b/>
                <w:sz w:val="18"/>
              </w:rPr>
            </w:pPr>
            <w:r w:rsidRPr="00D4309F">
              <w:rPr>
                <w:b/>
                <w:color w:val="211E1F"/>
                <w:spacing w:val="-5"/>
                <w:sz w:val="18"/>
              </w:rPr>
              <w:t>Low</w:t>
            </w:r>
          </w:p>
        </w:tc>
        <w:tc>
          <w:tcPr>
            <w:tcW w:w="4411" w:type="pct"/>
            <w:tcBorders>
              <w:top w:val="single" w:sz="4" w:space="0" w:color="000000"/>
              <w:bottom w:val="single" w:sz="4" w:space="0" w:color="000000"/>
            </w:tcBorders>
          </w:tcPr>
          <w:p w14:paraId="26AF6C61" w14:textId="77777777" w:rsidR="00725977" w:rsidRPr="00D4309F" w:rsidRDefault="00725977">
            <w:pPr>
              <w:pStyle w:val="TableParagraph"/>
              <w:spacing w:before="39"/>
              <w:ind w:left="163"/>
              <w:rPr>
                <w:sz w:val="18"/>
              </w:rPr>
            </w:pPr>
            <w:r w:rsidRPr="00D4309F">
              <w:rPr>
                <w:color w:val="211E1F"/>
                <w:sz w:val="18"/>
              </w:rPr>
              <w:t>There</w:t>
            </w:r>
            <w:r w:rsidRPr="00D4309F">
              <w:rPr>
                <w:color w:val="211E1F"/>
                <w:spacing w:val="-6"/>
                <w:sz w:val="18"/>
              </w:rPr>
              <w:t xml:space="preserve"> </w:t>
            </w:r>
            <w:r w:rsidRPr="00D4309F">
              <w:rPr>
                <w:color w:val="211E1F"/>
                <w:sz w:val="18"/>
              </w:rPr>
              <w:t>is</w:t>
            </w:r>
            <w:r w:rsidRPr="00D4309F">
              <w:rPr>
                <w:color w:val="211E1F"/>
                <w:spacing w:val="-2"/>
                <w:sz w:val="18"/>
              </w:rPr>
              <w:t xml:space="preserve"> </w:t>
            </w:r>
            <w:r w:rsidRPr="00D4309F">
              <w:rPr>
                <w:color w:val="211E1F"/>
                <w:sz w:val="18"/>
              </w:rPr>
              <w:t>low</w:t>
            </w:r>
            <w:r w:rsidRPr="00D4309F">
              <w:rPr>
                <w:color w:val="211E1F"/>
                <w:spacing w:val="-2"/>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3"/>
                <w:sz w:val="18"/>
              </w:rPr>
              <w:t xml:space="preserve"> </w:t>
            </w:r>
            <w:r w:rsidRPr="00D4309F">
              <w:rPr>
                <w:color w:val="211E1F"/>
                <w:sz w:val="18"/>
              </w:rPr>
              <w:t>No</w:t>
            </w:r>
            <w:r w:rsidRPr="00D4309F">
              <w:rPr>
                <w:color w:val="211E1F"/>
                <w:spacing w:val="-3"/>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required.</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or</w:t>
            </w:r>
            <w:r w:rsidRPr="00D4309F">
              <w:rPr>
                <w:color w:val="211E1F"/>
                <w:spacing w:val="-2"/>
                <w:sz w:val="18"/>
              </w:rPr>
              <w:t xml:space="preserve"> </w:t>
            </w:r>
            <w:r w:rsidRPr="00D4309F">
              <w:rPr>
                <w:color w:val="211E1F"/>
                <w:sz w:val="18"/>
              </w:rPr>
              <w:t>standard</w:t>
            </w:r>
            <w:r w:rsidRPr="00D4309F">
              <w:rPr>
                <w:color w:val="211E1F"/>
                <w:spacing w:val="-3"/>
                <w:sz w:val="18"/>
              </w:rPr>
              <w:t xml:space="preserve"> </w:t>
            </w:r>
            <w:r w:rsidRPr="00D4309F">
              <w:rPr>
                <w:color w:val="211E1F"/>
                <w:sz w:val="18"/>
              </w:rPr>
              <w:t>management</w:t>
            </w:r>
            <w:r w:rsidRPr="00D4309F">
              <w:rPr>
                <w:color w:val="211E1F"/>
                <w:spacing w:val="-2"/>
                <w:sz w:val="18"/>
              </w:rPr>
              <w:t xml:space="preserve"> likely.</w:t>
            </w:r>
          </w:p>
        </w:tc>
      </w:tr>
      <w:tr w:rsidR="00725977" w:rsidRPr="00D4309F" w14:paraId="57CECD92" w14:textId="77777777" w:rsidTr="009213C9">
        <w:trPr>
          <w:trHeight w:val="493"/>
        </w:trPr>
        <w:tc>
          <w:tcPr>
            <w:tcW w:w="589" w:type="pct"/>
            <w:tcBorders>
              <w:top w:val="single" w:sz="4" w:space="0" w:color="000000"/>
              <w:bottom w:val="single" w:sz="4" w:space="0" w:color="000000"/>
            </w:tcBorders>
            <w:shd w:val="clear" w:color="auto" w:fill="FFFF00"/>
          </w:tcPr>
          <w:p w14:paraId="7638ECF8" w14:textId="77777777" w:rsidR="00725977" w:rsidRPr="00D4309F" w:rsidRDefault="00725977">
            <w:pPr>
              <w:pStyle w:val="TableParagraph"/>
              <w:spacing w:before="144"/>
              <w:ind w:left="165"/>
              <w:rPr>
                <w:b/>
                <w:sz w:val="18"/>
              </w:rPr>
            </w:pPr>
            <w:r w:rsidRPr="00D4309F">
              <w:rPr>
                <w:b/>
                <w:color w:val="211E1F"/>
                <w:spacing w:val="-2"/>
                <w:sz w:val="18"/>
              </w:rPr>
              <w:t>Moderate</w:t>
            </w:r>
          </w:p>
        </w:tc>
        <w:tc>
          <w:tcPr>
            <w:tcW w:w="4411" w:type="pct"/>
            <w:tcBorders>
              <w:top w:val="single" w:sz="4" w:space="0" w:color="000000"/>
              <w:bottom w:val="single" w:sz="4" w:space="0" w:color="000000"/>
            </w:tcBorders>
          </w:tcPr>
          <w:p w14:paraId="00E7CDCC" w14:textId="77777777" w:rsidR="00725977" w:rsidRPr="00D4309F" w:rsidRDefault="00725977">
            <w:pPr>
              <w:pStyle w:val="TableParagraph"/>
              <w:spacing w:before="41"/>
              <w:ind w:left="163"/>
              <w:rPr>
                <w:sz w:val="18"/>
              </w:rPr>
            </w:pPr>
            <w:r w:rsidRPr="00D4309F">
              <w:rPr>
                <w:color w:val="211E1F"/>
                <w:sz w:val="18"/>
              </w:rPr>
              <w:t>There</w:t>
            </w:r>
            <w:r w:rsidRPr="00D4309F">
              <w:rPr>
                <w:color w:val="211E1F"/>
                <w:spacing w:val="-3"/>
                <w:sz w:val="18"/>
              </w:rPr>
              <w:t xml:space="preserve"> </w:t>
            </w:r>
            <w:r w:rsidRPr="00D4309F">
              <w:rPr>
                <w:color w:val="211E1F"/>
                <w:sz w:val="18"/>
              </w:rPr>
              <w:t>is</w:t>
            </w:r>
            <w:r w:rsidRPr="00D4309F">
              <w:rPr>
                <w:color w:val="211E1F"/>
                <w:spacing w:val="-2"/>
                <w:sz w:val="18"/>
              </w:rPr>
              <w:t xml:space="preserve"> </w:t>
            </w:r>
            <w:r w:rsidRPr="00D4309F">
              <w:rPr>
                <w:color w:val="211E1F"/>
                <w:sz w:val="18"/>
              </w:rPr>
              <w:t>a</w:t>
            </w:r>
            <w:r w:rsidRPr="00D4309F">
              <w:rPr>
                <w:color w:val="211E1F"/>
                <w:spacing w:val="-3"/>
                <w:sz w:val="18"/>
              </w:rPr>
              <w:t xml:space="preserve"> </w:t>
            </w:r>
            <w:r w:rsidRPr="00D4309F">
              <w:rPr>
                <w:color w:val="211E1F"/>
                <w:sz w:val="18"/>
              </w:rPr>
              <w:t>moderate</w:t>
            </w:r>
            <w:r w:rsidRPr="00D4309F">
              <w:rPr>
                <w:color w:val="211E1F"/>
                <w:spacing w:val="-3"/>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2"/>
                <w:sz w:val="18"/>
              </w:rPr>
              <w:t xml:space="preserve"> </w:t>
            </w:r>
            <w:r w:rsidRPr="00D4309F">
              <w:rPr>
                <w:color w:val="211E1F"/>
                <w:sz w:val="18"/>
              </w:rPr>
              <w:t>which</w:t>
            </w:r>
            <w:r w:rsidRPr="00D4309F">
              <w:rPr>
                <w:color w:val="211E1F"/>
                <w:spacing w:val="-3"/>
                <w:sz w:val="18"/>
              </w:rPr>
              <w:t xml:space="preserve"> </w:t>
            </w:r>
            <w:r w:rsidRPr="00D4309F">
              <w:rPr>
                <w:color w:val="211E1F"/>
                <w:sz w:val="18"/>
              </w:rPr>
              <w:t>will</w:t>
            </w:r>
            <w:r w:rsidRPr="00D4309F">
              <w:rPr>
                <w:color w:val="211E1F"/>
                <w:spacing w:val="-1"/>
                <w:sz w:val="18"/>
              </w:rPr>
              <w:t xml:space="preserve"> </w:t>
            </w:r>
            <w:r w:rsidRPr="00D4309F">
              <w:rPr>
                <w:color w:val="211E1F"/>
                <w:sz w:val="18"/>
              </w:rPr>
              <w:t>require</w:t>
            </w:r>
            <w:r w:rsidRPr="00D4309F">
              <w:rPr>
                <w:color w:val="211E1F"/>
                <w:spacing w:val="-3"/>
                <w:sz w:val="18"/>
              </w:rPr>
              <w:t xml:space="preserve"> </w:t>
            </w:r>
            <w:r w:rsidRPr="00D4309F">
              <w:rPr>
                <w:color w:val="211E1F"/>
                <w:sz w:val="18"/>
              </w:rPr>
              <w:t>further</w:t>
            </w:r>
            <w:r w:rsidRPr="00D4309F">
              <w:rPr>
                <w:color w:val="211E1F"/>
                <w:spacing w:val="-1"/>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to</w:t>
            </w:r>
            <w:r w:rsidRPr="00D4309F">
              <w:rPr>
                <w:color w:val="211E1F"/>
                <w:spacing w:val="-1"/>
                <w:sz w:val="18"/>
              </w:rPr>
              <w:t xml:space="preserve"> </w:t>
            </w:r>
            <w:r w:rsidRPr="00D4309F">
              <w:rPr>
                <w:color w:val="211E1F"/>
                <w:sz w:val="18"/>
              </w:rPr>
              <w:t>determine</w:t>
            </w:r>
            <w:r w:rsidRPr="00D4309F">
              <w:rPr>
                <w:color w:val="211E1F"/>
                <w:spacing w:val="-3"/>
                <w:sz w:val="18"/>
              </w:rPr>
              <w:t xml:space="preserve"> </w:t>
            </w:r>
            <w:r w:rsidRPr="00D4309F">
              <w:rPr>
                <w:color w:val="211E1F"/>
                <w:sz w:val="18"/>
              </w:rPr>
              <w:t>the</w:t>
            </w:r>
            <w:r w:rsidRPr="00D4309F">
              <w:rPr>
                <w:color w:val="211E1F"/>
                <w:spacing w:val="-1"/>
                <w:sz w:val="18"/>
              </w:rPr>
              <w:t xml:space="preserve"> </w:t>
            </w:r>
            <w:r w:rsidRPr="00D4309F">
              <w:rPr>
                <w:color w:val="211E1F"/>
                <w:sz w:val="18"/>
              </w:rPr>
              <w:t>significance</w:t>
            </w:r>
            <w:r w:rsidRPr="00D4309F">
              <w:rPr>
                <w:color w:val="211E1F"/>
                <w:spacing w:val="-3"/>
                <w:sz w:val="18"/>
              </w:rPr>
              <w:t xml:space="preserve"> </w:t>
            </w:r>
            <w:r w:rsidRPr="00D4309F">
              <w:rPr>
                <w:color w:val="211E1F"/>
                <w:sz w:val="18"/>
              </w:rPr>
              <w:t>of</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Likely to</w:t>
            </w:r>
            <w:r w:rsidRPr="00D4309F">
              <w:rPr>
                <w:color w:val="211E1F"/>
                <w:spacing w:val="-3"/>
                <w:sz w:val="18"/>
              </w:rPr>
              <w:t xml:space="preserve"> </w:t>
            </w:r>
            <w:r w:rsidRPr="00D4309F">
              <w:rPr>
                <w:color w:val="211E1F"/>
                <w:sz w:val="18"/>
              </w:rPr>
              <w:t>be manageable or engineered to minimise potential impacts on the receiving environment.</w:t>
            </w:r>
          </w:p>
        </w:tc>
      </w:tr>
      <w:tr w:rsidR="00725977" w:rsidRPr="00D4309F" w14:paraId="4514994C" w14:textId="77777777" w:rsidTr="009213C9">
        <w:trPr>
          <w:trHeight w:val="494"/>
        </w:trPr>
        <w:tc>
          <w:tcPr>
            <w:tcW w:w="589" w:type="pct"/>
            <w:tcBorders>
              <w:top w:val="single" w:sz="4" w:space="0" w:color="000000"/>
            </w:tcBorders>
            <w:shd w:val="clear" w:color="auto" w:fill="FFC000"/>
          </w:tcPr>
          <w:p w14:paraId="33B1384D" w14:textId="77777777" w:rsidR="00725977" w:rsidRPr="00D4309F" w:rsidRDefault="00725977">
            <w:pPr>
              <w:pStyle w:val="TableParagraph"/>
              <w:spacing w:before="144"/>
              <w:ind w:left="165"/>
              <w:rPr>
                <w:b/>
                <w:sz w:val="18"/>
              </w:rPr>
            </w:pPr>
            <w:r w:rsidRPr="00D4309F">
              <w:rPr>
                <w:b/>
                <w:color w:val="211E1F"/>
                <w:spacing w:val="-4"/>
                <w:sz w:val="18"/>
              </w:rPr>
              <w:t>High</w:t>
            </w:r>
          </w:p>
        </w:tc>
        <w:tc>
          <w:tcPr>
            <w:tcW w:w="4411" w:type="pct"/>
            <w:tcBorders>
              <w:top w:val="single" w:sz="4" w:space="0" w:color="000000"/>
            </w:tcBorders>
          </w:tcPr>
          <w:p w14:paraId="30C9B43F" w14:textId="77777777" w:rsidR="00725977" w:rsidRPr="00D4309F" w:rsidRDefault="00725977">
            <w:pPr>
              <w:pStyle w:val="TableParagraph"/>
              <w:spacing w:before="41"/>
              <w:ind w:left="163"/>
              <w:rPr>
                <w:sz w:val="18"/>
              </w:rPr>
            </w:pPr>
            <w:r w:rsidRPr="00D4309F">
              <w:rPr>
                <w:color w:val="211E1F"/>
                <w:sz w:val="18"/>
              </w:rPr>
              <w:t>There</w:t>
            </w:r>
            <w:r w:rsidRPr="00D4309F">
              <w:rPr>
                <w:color w:val="211E1F"/>
                <w:spacing w:val="-3"/>
                <w:sz w:val="18"/>
              </w:rPr>
              <w:t xml:space="preserve"> </w:t>
            </w:r>
            <w:r w:rsidRPr="00D4309F">
              <w:rPr>
                <w:color w:val="211E1F"/>
                <w:sz w:val="18"/>
              </w:rPr>
              <w:t>is</w:t>
            </w:r>
            <w:r w:rsidRPr="00D4309F">
              <w:rPr>
                <w:color w:val="211E1F"/>
                <w:spacing w:val="-2"/>
                <w:sz w:val="18"/>
              </w:rPr>
              <w:t xml:space="preserve"> </w:t>
            </w:r>
            <w:r w:rsidRPr="00D4309F">
              <w:rPr>
                <w:color w:val="211E1F"/>
                <w:sz w:val="18"/>
              </w:rPr>
              <w:t>a</w:t>
            </w:r>
            <w:r w:rsidRPr="00D4309F">
              <w:rPr>
                <w:color w:val="211E1F"/>
                <w:spacing w:val="-3"/>
                <w:sz w:val="18"/>
              </w:rPr>
              <w:t xml:space="preserve"> </w:t>
            </w:r>
            <w:r w:rsidRPr="00D4309F">
              <w:rPr>
                <w:color w:val="211E1F"/>
                <w:sz w:val="18"/>
              </w:rPr>
              <w:t>high</w:t>
            </w:r>
            <w:r w:rsidRPr="00D4309F">
              <w:rPr>
                <w:color w:val="211E1F"/>
                <w:spacing w:val="-1"/>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2"/>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required</w:t>
            </w:r>
            <w:r w:rsidRPr="00D4309F">
              <w:rPr>
                <w:color w:val="211E1F"/>
                <w:spacing w:val="-3"/>
                <w:sz w:val="18"/>
              </w:rPr>
              <w:t xml:space="preserve"> </w:t>
            </w:r>
            <w:r w:rsidRPr="00D4309F">
              <w:rPr>
                <w:color w:val="211E1F"/>
                <w:sz w:val="18"/>
              </w:rPr>
              <w:t>to</w:t>
            </w:r>
            <w:r w:rsidRPr="00D4309F">
              <w:rPr>
                <w:color w:val="211E1F"/>
                <w:spacing w:val="-3"/>
                <w:sz w:val="18"/>
              </w:rPr>
              <w:t xml:space="preserve"> </w:t>
            </w:r>
            <w:r w:rsidRPr="00D4309F">
              <w:rPr>
                <w:color w:val="211E1F"/>
                <w:sz w:val="18"/>
              </w:rPr>
              <w:t>determine</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significance</w:t>
            </w:r>
            <w:r w:rsidRPr="00D4309F">
              <w:rPr>
                <w:color w:val="211E1F"/>
                <w:spacing w:val="-3"/>
                <w:sz w:val="18"/>
              </w:rPr>
              <w:t xml:space="preserve"> </w:t>
            </w:r>
            <w:r w:rsidRPr="00D4309F">
              <w:rPr>
                <w:color w:val="211E1F"/>
                <w:sz w:val="18"/>
              </w:rPr>
              <w:t>of</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and</w:t>
            </w:r>
            <w:r w:rsidRPr="00D4309F">
              <w:rPr>
                <w:color w:val="211E1F"/>
                <w:spacing w:val="-3"/>
                <w:sz w:val="18"/>
              </w:rPr>
              <w:t xml:space="preserve"> </w:t>
            </w:r>
            <w:r w:rsidRPr="00D4309F">
              <w:rPr>
                <w:color w:val="211E1F"/>
                <w:sz w:val="18"/>
              </w:rPr>
              <w:t>mitigation</w:t>
            </w:r>
            <w:r w:rsidRPr="00D4309F">
              <w:rPr>
                <w:color w:val="211E1F"/>
                <w:spacing w:val="-1"/>
                <w:sz w:val="18"/>
              </w:rPr>
              <w:t xml:space="preserve"> </w:t>
            </w:r>
            <w:r w:rsidRPr="00D4309F">
              <w:rPr>
                <w:color w:val="211E1F"/>
                <w:sz w:val="18"/>
              </w:rPr>
              <w:t>strategy. Consideration for regulatory approvals.</w:t>
            </w:r>
          </w:p>
        </w:tc>
      </w:tr>
    </w:tbl>
    <w:p w14:paraId="4109D54E" w14:textId="77777777" w:rsidR="00151534" w:rsidRDefault="00151534" w:rsidP="00FD0909">
      <w:pPr>
        <w:pStyle w:val="Caption"/>
      </w:pPr>
      <w:bookmarkStart w:id="276" w:name="_bookmark115"/>
      <w:bookmarkStart w:id="277" w:name="_Ref215979373"/>
      <w:bookmarkEnd w:id="276"/>
    </w:p>
    <w:p w14:paraId="242CC22F" w14:textId="045DBFC3" w:rsidR="00725977" w:rsidRPr="00D4309F" w:rsidRDefault="00FD0909" w:rsidP="00151534">
      <w:pPr>
        <w:pStyle w:val="Table-Caption"/>
      </w:pPr>
      <w:bookmarkStart w:id="278" w:name="_Toc216699552"/>
      <w:r>
        <w:t xml:space="preserve">Table </w:t>
      </w:r>
      <w:r w:rsidR="00151534">
        <w:fldChar w:fldCharType="begin" w:fldLock="1"/>
      </w:r>
      <w:r w:rsidR="00151534">
        <w:instrText xml:space="preserve"> STYLEREF 1 \s </w:instrText>
      </w:r>
      <w:r w:rsidR="00151534">
        <w:fldChar w:fldCharType="separate"/>
      </w:r>
      <w:r w:rsidR="00151534">
        <w:rPr>
          <w:noProof/>
        </w:rPr>
        <w:t>13</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5</w:t>
      </w:r>
      <w:r w:rsidR="00151534">
        <w:fldChar w:fldCharType="end"/>
      </w:r>
      <w:bookmarkEnd w:id="277"/>
      <w:r>
        <w:t>:</w:t>
      </w:r>
      <w:r>
        <w:tab/>
      </w:r>
      <w:r w:rsidRPr="00D4309F">
        <w:t>Environmental</w:t>
      </w:r>
      <w:r w:rsidRPr="00D4309F">
        <w:rPr>
          <w:spacing w:val="-1"/>
        </w:rPr>
        <w:t xml:space="preserve"> </w:t>
      </w:r>
      <w:r w:rsidRPr="00D4309F">
        <w:t>constraints</w:t>
      </w:r>
      <w:r w:rsidRPr="00D4309F">
        <w:rPr>
          <w:spacing w:val="-3"/>
        </w:rPr>
        <w:t xml:space="preserve"> </w:t>
      </w:r>
      <w:r w:rsidRPr="00D4309F">
        <w:t>for</w:t>
      </w:r>
      <w:r w:rsidRPr="00D4309F">
        <w:rPr>
          <w:spacing w:val="-3"/>
        </w:rPr>
        <w:t xml:space="preserve"> </w:t>
      </w:r>
      <w:r w:rsidRPr="00D4309F">
        <w:t>Buddina</w:t>
      </w:r>
      <w:r w:rsidRPr="00D4309F">
        <w:rPr>
          <w:spacing w:val="-3"/>
        </w:rPr>
        <w:t xml:space="preserve"> </w:t>
      </w:r>
      <w:r w:rsidRPr="00D4309F">
        <w:t>Sand</w:t>
      </w:r>
      <w:r w:rsidRPr="00D4309F">
        <w:rPr>
          <w:spacing w:val="-3"/>
        </w:rPr>
        <w:t xml:space="preserve"> </w:t>
      </w:r>
      <w:r w:rsidRPr="00D4309F">
        <w:t>Trap</w:t>
      </w:r>
      <w:r w:rsidRPr="00D4309F">
        <w:rPr>
          <w:spacing w:val="-3"/>
        </w:rPr>
        <w:t xml:space="preserve"> </w:t>
      </w:r>
      <w:r w:rsidRPr="00D4309F">
        <w:t>with</w:t>
      </w:r>
      <w:r w:rsidRPr="00D4309F">
        <w:rPr>
          <w:spacing w:val="-3"/>
        </w:rPr>
        <w:t xml:space="preserve"> </w:t>
      </w:r>
      <w:r w:rsidRPr="00D4309F">
        <w:t>pump</w:t>
      </w:r>
      <w:r w:rsidRPr="00D4309F">
        <w:rPr>
          <w:spacing w:val="-2"/>
        </w:rPr>
        <w:t xml:space="preserve"> </w:t>
      </w:r>
      <w:r w:rsidRPr="00D4309F">
        <w:t>station</w:t>
      </w:r>
      <w:r w:rsidRPr="00D4309F">
        <w:rPr>
          <w:spacing w:val="-4"/>
        </w:rPr>
        <w:t xml:space="preserve"> </w:t>
      </w:r>
      <w:r w:rsidRPr="00D4309F">
        <w:t>and</w:t>
      </w:r>
      <w:r w:rsidRPr="00D4309F">
        <w:rPr>
          <w:spacing w:val="-2"/>
        </w:rPr>
        <w:t xml:space="preserve"> </w:t>
      </w:r>
      <w:r w:rsidRPr="00D4309F">
        <w:t>permanent</w:t>
      </w:r>
      <w:r w:rsidRPr="00D4309F">
        <w:rPr>
          <w:spacing w:val="-2"/>
        </w:rPr>
        <w:t xml:space="preserve"> </w:t>
      </w:r>
      <w:r w:rsidRPr="00D4309F">
        <w:t>pipe</w:t>
      </w:r>
      <w:r w:rsidRPr="00D4309F">
        <w:rPr>
          <w:spacing w:val="-3"/>
        </w:rPr>
        <w:t xml:space="preserve"> </w:t>
      </w:r>
      <w:r w:rsidRPr="00D4309F">
        <w:t>(Option</w:t>
      </w:r>
      <w:r w:rsidRPr="00D4309F">
        <w:rPr>
          <w:spacing w:val="-1"/>
        </w:rPr>
        <w:t xml:space="preserve"> </w:t>
      </w:r>
      <w:r w:rsidRPr="00D4309F">
        <w:rPr>
          <w:spacing w:val="-5"/>
        </w:rPr>
        <w:t>1B)</w:t>
      </w:r>
      <w:bookmarkEnd w:id="278"/>
    </w:p>
    <w:tbl>
      <w:tblPr>
        <w:tblW w:w="5000" w:type="pct"/>
        <w:tblCellMar>
          <w:left w:w="0" w:type="dxa"/>
          <w:right w:w="0" w:type="dxa"/>
        </w:tblCellMar>
        <w:tblLook w:val="01E0" w:firstRow="1" w:lastRow="1" w:firstColumn="1" w:lastColumn="1" w:noHBand="0" w:noVBand="0"/>
      </w:tblPr>
      <w:tblGrid>
        <w:gridCol w:w="1533"/>
        <w:gridCol w:w="1162"/>
        <w:gridCol w:w="3821"/>
        <w:gridCol w:w="1266"/>
        <w:gridCol w:w="2644"/>
        <w:gridCol w:w="9"/>
        <w:gridCol w:w="2098"/>
        <w:gridCol w:w="2323"/>
      </w:tblGrid>
      <w:tr w:rsidR="00725977" w:rsidRPr="00D4309F" w14:paraId="53DA78A0" w14:textId="77777777" w:rsidTr="00891147">
        <w:trPr>
          <w:cantSplit/>
          <w:trHeight w:val="20"/>
          <w:tblHeader/>
        </w:trPr>
        <w:tc>
          <w:tcPr>
            <w:tcW w:w="516" w:type="pct"/>
            <w:tcBorders>
              <w:bottom w:val="single" w:sz="4" w:space="0" w:color="000000"/>
            </w:tcBorders>
            <w:shd w:val="clear" w:color="auto" w:fill="D6D7D5"/>
            <w:vAlign w:val="center"/>
          </w:tcPr>
          <w:p w14:paraId="15132F05" w14:textId="77777777" w:rsidR="00725977" w:rsidRPr="00D4309F" w:rsidRDefault="00725977" w:rsidP="00C21373">
            <w:pPr>
              <w:pStyle w:val="TableParagraph"/>
              <w:ind w:left="195"/>
              <w:rPr>
                <w:b/>
                <w:sz w:val="18"/>
              </w:rPr>
            </w:pPr>
            <w:r w:rsidRPr="00D4309F">
              <w:rPr>
                <w:b/>
                <w:color w:val="70004A"/>
                <w:spacing w:val="-2"/>
                <w:sz w:val="18"/>
              </w:rPr>
              <w:t>Category</w:t>
            </w:r>
          </w:p>
        </w:tc>
        <w:tc>
          <w:tcPr>
            <w:tcW w:w="391" w:type="pct"/>
            <w:tcBorders>
              <w:bottom w:val="single" w:sz="4" w:space="0" w:color="000000"/>
            </w:tcBorders>
            <w:shd w:val="clear" w:color="auto" w:fill="D6D7D5"/>
            <w:vAlign w:val="center"/>
          </w:tcPr>
          <w:p w14:paraId="36428C3C" w14:textId="77777777" w:rsidR="00725977" w:rsidRPr="00D4309F" w:rsidRDefault="00725977" w:rsidP="00C21373">
            <w:pPr>
              <w:pStyle w:val="TableParagraph"/>
              <w:ind w:left="185"/>
              <w:rPr>
                <w:b/>
                <w:sz w:val="18"/>
              </w:rPr>
            </w:pPr>
            <w:r w:rsidRPr="00D4309F">
              <w:rPr>
                <w:b/>
                <w:color w:val="70004A"/>
                <w:spacing w:val="-2"/>
                <w:sz w:val="18"/>
              </w:rPr>
              <w:t>Receptor</w:t>
            </w:r>
          </w:p>
        </w:tc>
        <w:tc>
          <w:tcPr>
            <w:tcW w:w="1286" w:type="pct"/>
            <w:tcBorders>
              <w:bottom w:val="single" w:sz="4" w:space="0" w:color="000000"/>
            </w:tcBorders>
            <w:shd w:val="clear" w:color="auto" w:fill="D6D7D5"/>
            <w:vAlign w:val="center"/>
          </w:tcPr>
          <w:p w14:paraId="605ADD38" w14:textId="77777777" w:rsidR="00725977" w:rsidRPr="00D4309F" w:rsidRDefault="00725977" w:rsidP="00C21373">
            <w:pPr>
              <w:pStyle w:val="TableParagraph"/>
              <w:ind w:left="234"/>
              <w:rPr>
                <w:b/>
                <w:sz w:val="18"/>
              </w:rPr>
            </w:pPr>
            <w:r w:rsidRPr="00D4309F">
              <w:rPr>
                <w:b/>
                <w:color w:val="70004A"/>
                <w:sz w:val="18"/>
              </w:rPr>
              <w:t>Impact</w:t>
            </w:r>
            <w:r w:rsidRPr="00D4309F">
              <w:rPr>
                <w:b/>
                <w:color w:val="70004A"/>
                <w:spacing w:val="-3"/>
                <w:sz w:val="18"/>
              </w:rPr>
              <w:t xml:space="preserve"> </w:t>
            </w:r>
            <w:r w:rsidRPr="00D4309F">
              <w:rPr>
                <w:b/>
                <w:color w:val="70004A"/>
                <w:spacing w:val="-2"/>
                <w:sz w:val="18"/>
              </w:rPr>
              <w:t>pathway</w:t>
            </w:r>
          </w:p>
        </w:tc>
        <w:tc>
          <w:tcPr>
            <w:tcW w:w="426" w:type="pct"/>
            <w:tcBorders>
              <w:bottom w:val="single" w:sz="4" w:space="0" w:color="000000"/>
            </w:tcBorders>
            <w:shd w:val="clear" w:color="auto" w:fill="D6D7D5"/>
            <w:vAlign w:val="center"/>
          </w:tcPr>
          <w:p w14:paraId="18E5A588" w14:textId="77777777" w:rsidR="00725977" w:rsidRPr="00D4309F" w:rsidRDefault="00725977" w:rsidP="00C21373">
            <w:pPr>
              <w:pStyle w:val="TableParagraph"/>
              <w:spacing w:before="143"/>
              <w:ind w:left="165"/>
              <w:rPr>
                <w:b/>
                <w:sz w:val="18"/>
              </w:rPr>
            </w:pPr>
            <w:r w:rsidRPr="00D4309F">
              <w:rPr>
                <w:b/>
                <w:color w:val="70004A"/>
                <w:spacing w:val="-2"/>
                <w:sz w:val="18"/>
              </w:rPr>
              <w:t>Constraint level</w:t>
            </w:r>
          </w:p>
        </w:tc>
        <w:tc>
          <w:tcPr>
            <w:tcW w:w="893" w:type="pct"/>
            <w:gridSpan w:val="2"/>
            <w:tcBorders>
              <w:bottom w:val="single" w:sz="4" w:space="0" w:color="000000"/>
            </w:tcBorders>
            <w:shd w:val="clear" w:color="auto" w:fill="D6D7D5"/>
            <w:vAlign w:val="center"/>
          </w:tcPr>
          <w:p w14:paraId="134FE97F" w14:textId="77777777" w:rsidR="00725977" w:rsidRPr="00D4309F" w:rsidRDefault="00725977" w:rsidP="00C21373">
            <w:pPr>
              <w:pStyle w:val="TableParagraph"/>
              <w:ind w:left="166"/>
              <w:rPr>
                <w:b/>
                <w:sz w:val="18"/>
              </w:rPr>
            </w:pPr>
            <w:r w:rsidRPr="00D4309F">
              <w:rPr>
                <w:b/>
                <w:color w:val="70004A"/>
                <w:spacing w:val="-2"/>
                <w:sz w:val="18"/>
              </w:rPr>
              <w:t>Justification</w:t>
            </w:r>
          </w:p>
        </w:tc>
        <w:tc>
          <w:tcPr>
            <w:tcW w:w="705" w:type="pct"/>
            <w:tcBorders>
              <w:bottom w:val="single" w:sz="4" w:space="0" w:color="000000"/>
            </w:tcBorders>
            <w:shd w:val="clear" w:color="auto" w:fill="D6D7D5"/>
            <w:vAlign w:val="center"/>
          </w:tcPr>
          <w:p w14:paraId="7BBD79A3" w14:textId="77777777" w:rsidR="00725977" w:rsidRPr="00D4309F" w:rsidRDefault="00725977" w:rsidP="00C21373">
            <w:pPr>
              <w:pStyle w:val="TableParagraph"/>
              <w:spacing w:before="143"/>
              <w:ind w:left="212" w:right="133"/>
              <w:rPr>
                <w:b/>
                <w:sz w:val="18"/>
              </w:rPr>
            </w:pPr>
            <w:r w:rsidRPr="00D4309F">
              <w:rPr>
                <w:b/>
                <w:color w:val="70004A"/>
                <w:sz w:val="18"/>
              </w:rPr>
              <w:t>Further</w:t>
            </w:r>
            <w:r w:rsidRPr="00D4309F">
              <w:rPr>
                <w:b/>
                <w:color w:val="70004A"/>
                <w:spacing w:val="-13"/>
                <w:sz w:val="18"/>
              </w:rPr>
              <w:t xml:space="preserve"> </w:t>
            </w:r>
            <w:r w:rsidRPr="00D4309F">
              <w:rPr>
                <w:b/>
                <w:color w:val="70004A"/>
                <w:sz w:val="18"/>
              </w:rPr>
              <w:t xml:space="preserve">assessment </w:t>
            </w:r>
            <w:r w:rsidRPr="00D4309F">
              <w:rPr>
                <w:b/>
                <w:color w:val="70004A"/>
                <w:spacing w:val="-2"/>
                <w:sz w:val="18"/>
              </w:rPr>
              <w:t>recommendations</w:t>
            </w:r>
          </w:p>
        </w:tc>
        <w:tc>
          <w:tcPr>
            <w:tcW w:w="783" w:type="pct"/>
            <w:tcBorders>
              <w:bottom w:val="single" w:sz="4" w:space="0" w:color="000000"/>
            </w:tcBorders>
            <w:shd w:val="clear" w:color="auto" w:fill="D6D7D5"/>
            <w:vAlign w:val="center"/>
          </w:tcPr>
          <w:p w14:paraId="2EF04D83" w14:textId="77777777" w:rsidR="00725977" w:rsidRPr="00D4309F" w:rsidRDefault="00725977" w:rsidP="00C21373">
            <w:pPr>
              <w:pStyle w:val="TableParagraph"/>
              <w:spacing w:before="40"/>
              <w:ind w:left="202" w:right="332"/>
              <w:rPr>
                <w:b/>
                <w:sz w:val="18"/>
              </w:rPr>
            </w:pPr>
            <w:r w:rsidRPr="00D4309F">
              <w:rPr>
                <w:b/>
                <w:color w:val="70004A"/>
                <w:sz w:val="18"/>
              </w:rPr>
              <w:t>Potential</w:t>
            </w:r>
            <w:r w:rsidRPr="00D4309F">
              <w:rPr>
                <w:b/>
                <w:color w:val="70004A"/>
                <w:spacing w:val="-13"/>
                <w:sz w:val="18"/>
              </w:rPr>
              <w:t xml:space="preserve"> </w:t>
            </w:r>
            <w:r w:rsidRPr="00D4309F">
              <w:rPr>
                <w:b/>
                <w:color w:val="70004A"/>
                <w:sz w:val="18"/>
              </w:rPr>
              <w:t xml:space="preserve">monitoring and management </w:t>
            </w:r>
            <w:r w:rsidRPr="00D4309F">
              <w:rPr>
                <w:b/>
                <w:color w:val="70004A"/>
                <w:spacing w:val="-2"/>
                <w:sz w:val="18"/>
              </w:rPr>
              <w:t>requirements</w:t>
            </w:r>
          </w:p>
        </w:tc>
      </w:tr>
      <w:tr w:rsidR="00725977" w:rsidRPr="00D4309F" w14:paraId="548A19C2" w14:textId="77777777" w:rsidTr="00891147">
        <w:trPr>
          <w:cantSplit/>
          <w:trHeight w:val="20"/>
        </w:trPr>
        <w:tc>
          <w:tcPr>
            <w:tcW w:w="516" w:type="pct"/>
            <w:tcBorders>
              <w:top w:val="single" w:sz="4" w:space="0" w:color="000000"/>
              <w:bottom w:val="single" w:sz="4" w:space="0" w:color="000000"/>
            </w:tcBorders>
            <w:vAlign w:val="center"/>
          </w:tcPr>
          <w:p w14:paraId="7BC2FD2D" w14:textId="77777777" w:rsidR="00725977" w:rsidRPr="00D4309F" w:rsidRDefault="00725977" w:rsidP="00864362">
            <w:pPr>
              <w:pStyle w:val="Table-Text"/>
            </w:pPr>
            <w:r w:rsidRPr="00D4309F">
              <w:t>Marine environmental quality</w:t>
            </w:r>
          </w:p>
        </w:tc>
        <w:tc>
          <w:tcPr>
            <w:tcW w:w="391" w:type="pct"/>
            <w:tcBorders>
              <w:top w:val="single" w:sz="4" w:space="0" w:color="000000"/>
              <w:bottom w:val="single" w:sz="4" w:space="0" w:color="000000"/>
            </w:tcBorders>
            <w:vAlign w:val="center"/>
          </w:tcPr>
          <w:p w14:paraId="6BD86E7E" w14:textId="77777777" w:rsidR="00725977" w:rsidRPr="00D4309F" w:rsidRDefault="00725977" w:rsidP="00864362">
            <w:pPr>
              <w:pStyle w:val="Table-Text"/>
            </w:pPr>
            <w:r w:rsidRPr="00D4309F">
              <w:t>Water quality</w:t>
            </w:r>
          </w:p>
        </w:tc>
        <w:tc>
          <w:tcPr>
            <w:tcW w:w="1286" w:type="pct"/>
            <w:tcBorders>
              <w:top w:val="single" w:sz="4" w:space="0" w:color="000000"/>
              <w:bottom w:val="single" w:sz="4" w:space="0" w:color="000000"/>
            </w:tcBorders>
            <w:vAlign w:val="center"/>
          </w:tcPr>
          <w:p w14:paraId="3FE450FD" w14:textId="77777777" w:rsidR="00725977" w:rsidRPr="00D4309F" w:rsidRDefault="00725977" w:rsidP="00356360">
            <w:pPr>
              <w:pStyle w:val="Table-Bullet"/>
            </w:pPr>
            <w:r w:rsidRPr="00D4309F">
              <w:t>Generation</w:t>
            </w:r>
            <w:r w:rsidRPr="00D4309F">
              <w:rPr>
                <w:spacing w:val="-4"/>
              </w:rPr>
              <w:t xml:space="preserve"> </w:t>
            </w:r>
            <w:r w:rsidRPr="00D4309F">
              <w:t>of</w:t>
            </w:r>
            <w:r w:rsidRPr="00D4309F">
              <w:rPr>
                <w:spacing w:val="-3"/>
              </w:rPr>
              <w:t xml:space="preserve"> </w:t>
            </w:r>
            <w:r w:rsidRPr="00D4309F">
              <w:rPr>
                <w:spacing w:val="-2"/>
              </w:rPr>
              <w:t>turbidity</w:t>
            </w:r>
          </w:p>
        </w:tc>
        <w:tc>
          <w:tcPr>
            <w:tcW w:w="426" w:type="pct"/>
            <w:tcBorders>
              <w:top w:val="single" w:sz="4" w:space="0" w:color="000000"/>
              <w:bottom w:val="single" w:sz="4" w:space="0" w:color="000000"/>
            </w:tcBorders>
            <w:shd w:val="clear" w:color="auto" w:fill="FFFF00"/>
            <w:vAlign w:val="center"/>
          </w:tcPr>
          <w:p w14:paraId="0DB939FD" w14:textId="77777777" w:rsidR="00725977" w:rsidRPr="0029131D" w:rsidRDefault="00725977" w:rsidP="00C21373">
            <w:pPr>
              <w:pStyle w:val="Table-Text"/>
              <w:rPr>
                <w:b/>
                <w:bCs/>
              </w:rPr>
            </w:pPr>
            <w:r w:rsidRPr="0029131D">
              <w:rPr>
                <w:b/>
                <w:bCs/>
              </w:rPr>
              <w:t>Moderate</w:t>
            </w:r>
          </w:p>
        </w:tc>
        <w:tc>
          <w:tcPr>
            <w:tcW w:w="893" w:type="pct"/>
            <w:gridSpan w:val="2"/>
            <w:tcBorders>
              <w:top w:val="single" w:sz="4" w:space="0" w:color="000000"/>
              <w:bottom w:val="single" w:sz="4" w:space="0" w:color="000000"/>
            </w:tcBorders>
            <w:vAlign w:val="center"/>
          </w:tcPr>
          <w:p w14:paraId="15F249B2" w14:textId="77777777" w:rsidR="00725977" w:rsidRPr="00D4309F" w:rsidRDefault="00725977" w:rsidP="00356360">
            <w:pPr>
              <w:pStyle w:val="Table-Bullet"/>
            </w:pPr>
            <w:r w:rsidRPr="00D4309F">
              <w:t>An assessment of the predicted plume extent will inform the extent of turbidity related impacts however as this is a dynamic, open ocean environment, any plume will</w:t>
            </w:r>
            <w:r w:rsidRPr="00D4309F">
              <w:rPr>
                <w:spacing w:val="-13"/>
              </w:rPr>
              <w:t xml:space="preserve"> </w:t>
            </w:r>
            <w:r w:rsidRPr="00D4309F">
              <w:t>likely</w:t>
            </w:r>
            <w:r w:rsidRPr="00D4309F">
              <w:rPr>
                <w:spacing w:val="-12"/>
              </w:rPr>
              <w:t xml:space="preserve"> </w:t>
            </w:r>
            <w:r w:rsidRPr="00D4309F">
              <w:t>dissipate</w:t>
            </w:r>
            <w:r w:rsidRPr="00D4309F">
              <w:rPr>
                <w:spacing w:val="-13"/>
              </w:rPr>
              <w:t xml:space="preserve"> </w:t>
            </w:r>
            <w:r w:rsidRPr="00D4309F">
              <w:t>quickly</w:t>
            </w:r>
          </w:p>
        </w:tc>
        <w:tc>
          <w:tcPr>
            <w:tcW w:w="705" w:type="pct"/>
            <w:tcBorders>
              <w:top w:val="single" w:sz="4" w:space="0" w:color="000000"/>
              <w:bottom w:val="single" w:sz="4" w:space="0" w:color="000000"/>
            </w:tcBorders>
            <w:vAlign w:val="center"/>
          </w:tcPr>
          <w:p w14:paraId="4F4DCFB8" w14:textId="77777777" w:rsidR="00725977" w:rsidRPr="00D4309F" w:rsidRDefault="00725977" w:rsidP="00356360">
            <w:pPr>
              <w:pStyle w:val="Table-Bullet"/>
            </w:pPr>
            <w:r w:rsidRPr="00D4309F">
              <w:rPr>
                <w:spacing w:val="-2"/>
              </w:rPr>
              <w:t>Turbidity modelling</w:t>
            </w:r>
          </w:p>
        </w:tc>
        <w:tc>
          <w:tcPr>
            <w:tcW w:w="783" w:type="pct"/>
            <w:tcBorders>
              <w:top w:val="single" w:sz="4" w:space="0" w:color="000000"/>
              <w:bottom w:val="single" w:sz="4" w:space="0" w:color="000000"/>
            </w:tcBorders>
            <w:vAlign w:val="center"/>
          </w:tcPr>
          <w:p w14:paraId="4849DC02" w14:textId="77777777" w:rsidR="00725977" w:rsidRPr="00D4309F" w:rsidRDefault="00725977" w:rsidP="00356360">
            <w:pPr>
              <w:pStyle w:val="Table-Bullet"/>
            </w:pPr>
            <w:r w:rsidRPr="00D4309F">
              <w:t>Turbidity</w:t>
            </w:r>
            <w:r w:rsidRPr="00D4309F">
              <w:rPr>
                <w:spacing w:val="-13"/>
              </w:rPr>
              <w:t xml:space="preserve"> </w:t>
            </w:r>
            <w:r w:rsidRPr="00D4309F">
              <w:t>monitoring during works</w:t>
            </w:r>
          </w:p>
        </w:tc>
      </w:tr>
      <w:tr w:rsidR="00725977" w:rsidRPr="00D4309F" w14:paraId="368C314D" w14:textId="77777777" w:rsidTr="00891147">
        <w:trPr>
          <w:cantSplit/>
          <w:trHeight w:val="20"/>
        </w:trPr>
        <w:tc>
          <w:tcPr>
            <w:tcW w:w="516" w:type="pct"/>
            <w:tcBorders>
              <w:top w:val="single" w:sz="4" w:space="0" w:color="000000"/>
              <w:bottom w:val="single" w:sz="4" w:space="0" w:color="000000"/>
            </w:tcBorders>
            <w:vAlign w:val="center"/>
          </w:tcPr>
          <w:p w14:paraId="2F88E33A" w14:textId="77777777" w:rsidR="00725977" w:rsidRPr="00D4309F" w:rsidRDefault="00725977" w:rsidP="00864362">
            <w:pPr>
              <w:pStyle w:val="Table-Text"/>
            </w:pPr>
            <w:r w:rsidRPr="00D4309F">
              <w:t>Marine environmental quality</w:t>
            </w:r>
          </w:p>
        </w:tc>
        <w:tc>
          <w:tcPr>
            <w:tcW w:w="391" w:type="pct"/>
            <w:tcBorders>
              <w:top w:val="single" w:sz="4" w:space="0" w:color="000000"/>
              <w:bottom w:val="single" w:sz="4" w:space="0" w:color="000000"/>
            </w:tcBorders>
            <w:vAlign w:val="center"/>
          </w:tcPr>
          <w:p w14:paraId="61769180" w14:textId="77777777" w:rsidR="00725977" w:rsidRPr="00D4309F" w:rsidRDefault="00725977" w:rsidP="00864362">
            <w:pPr>
              <w:pStyle w:val="Table-Text"/>
            </w:pPr>
            <w:r w:rsidRPr="00D4309F">
              <w:t>Water quality</w:t>
            </w:r>
          </w:p>
        </w:tc>
        <w:tc>
          <w:tcPr>
            <w:tcW w:w="1286" w:type="pct"/>
            <w:tcBorders>
              <w:top w:val="single" w:sz="4" w:space="0" w:color="000000"/>
              <w:bottom w:val="single" w:sz="4" w:space="0" w:color="000000"/>
            </w:tcBorders>
            <w:vAlign w:val="center"/>
          </w:tcPr>
          <w:p w14:paraId="0C5F4AEC" w14:textId="77777777" w:rsidR="00725977" w:rsidRPr="00D4309F" w:rsidRDefault="00725977" w:rsidP="00356360">
            <w:pPr>
              <w:pStyle w:val="Table-Bullet"/>
            </w:pPr>
            <w:r w:rsidRPr="00D4309F">
              <w:t>Release</w:t>
            </w:r>
            <w:r w:rsidRPr="00D4309F">
              <w:rPr>
                <w:spacing w:val="-4"/>
              </w:rPr>
              <w:t xml:space="preserve"> </w:t>
            </w:r>
            <w:r w:rsidRPr="00D4309F">
              <w:t>of</w:t>
            </w:r>
            <w:r w:rsidRPr="00D4309F">
              <w:rPr>
                <w:spacing w:val="-2"/>
              </w:rPr>
              <w:t xml:space="preserve"> contaminants/hypoxia</w:t>
            </w:r>
          </w:p>
        </w:tc>
        <w:tc>
          <w:tcPr>
            <w:tcW w:w="426" w:type="pct"/>
            <w:tcBorders>
              <w:top w:val="single" w:sz="4" w:space="0" w:color="000000"/>
              <w:bottom w:val="single" w:sz="4" w:space="0" w:color="000000"/>
            </w:tcBorders>
            <w:shd w:val="clear" w:color="auto" w:fill="92D050"/>
            <w:vAlign w:val="center"/>
          </w:tcPr>
          <w:p w14:paraId="793DEBE5" w14:textId="77777777" w:rsidR="00725977" w:rsidRPr="0029131D" w:rsidRDefault="00725977" w:rsidP="00C21373">
            <w:pPr>
              <w:pStyle w:val="Table-Text"/>
              <w:rPr>
                <w:b/>
                <w:bCs/>
              </w:rPr>
            </w:pPr>
            <w:r w:rsidRPr="0029131D">
              <w:rPr>
                <w:b/>
                <w:bCs/>
                <w:spacing w:val="-5"/>
              </w:rPr>
              <w:t>Low</w:t>
            </w:r>
          </w:p>
        </w:tc>
        <w:tc>
          <w:tcPr>
            <w:tcW w:w="893" w:type="pct"/>
            <w:gridSpan w:val="2"/>
            <w:tcBorders>
              <w:top w:val="single" w:sz="4" w:space="0" w:color="000000"/>
              <w:bottom w:val="single" w:sz="4" w:space="0" w:color="000000"/>
            </w:tcBorders>
            <w:vAlign w:val="center"/>
          </w:tcPr>
          <w:p w14:paraId="578FB3C4" w14:textId="77777777" w:rsidR="00725977" w:rsidRPr="00D4309F" w:rsidRDefault="00725977" w:rsidP="00356360">
            <w:pPr>
              <w:pStyle w:val="Table-Bullet"/>
            </w:pPr>
            <w:r w:rsidRPr="00D4309F">
              <w:t>Dredge sediments likely comprise clean marine sand</w:t>
            </w:r>
            <w:r w:rsidRPr="00D4309F">
              <w:rPr>
                <w:spacing w:val="-13"/>
              </w:rPr>
              <w:t xml:space="preserve"> </w:t>
            </w:r>
            <w:r w:rsidRPr="00D4309F">
              <w:t>free</w:t>
            </w:r>
            <w:r w:rsidRPr="00D4309F">
              <w:rPr>
                <w:spacing w:val="-12"/>
              </w:rPr>
              <w:t xml:space="preserve"> </w:t>
            </w:r>
            <w:r w:rsidRPr="00D4309F">
              <w:t>of</w:t>
            </w:r>
            <w:r w:rsidRPr="00D4309F">
              <w:rPr>
                <w:spacing w:val="-13"/>
              </w:rPr>
              <w:t xml:space="preserve"> </w:t>
            </w:r>
            <w:r w:rsidRPr="00D4309F">
              <w:t xml:space="preserve">contaminants with low organic matter </w:t>
            </w:r>
            <w:r w:rsidRPr="00D4309F">
              <w:rPr>
                <w:spacing w:val="-2"/>
              </w:rPr>
              <w:t>content</w:t>
            </w:r>
          </w:p>
        </w:tc>
        <w:tc>
          <w:tcPr>
            <w:tcW w:w="705" w:type="pct"/>
            <w:tcBorders>
              <w:top w:val="single" w:sz="4" w:space="0" w:color="000000"/>
              <w:bottom w:val="single" w:sz="4" w:space="0" w:color="000000"/>
            </w:tcBorders>
            <w:vAlign w:val="center"/>
          </w:tcPr>
          <w:p w14:paraId="3EF03E8B" w14:textId="77777777" w:rsidR="00725977" w:rsidRPr="00D4309F" w:rsidRDefault="00725977" w:rsidP="00356360">
            <w:pPr>
              <w:pStyle w:val="Table-Bullet"/>
            </w:pPr>
            <w:r w:rsidRPr="00D4309F">
              <w:t>Assumption</w:t>
            </w:r>
            <w:r w:rsidRPr="00D4309F">
              <w:rPr>
                <w:spacing w:val="-13"/>
              </w:rPr>
              <w:t xml:space="preserve"> </w:t>
            </w:r>
            <w:r w:rsidRPr="00D4309F">
              <w:t>that suitable data exists to inform this risk</w:t>
            </w:r>
          </w:p>
        </w:tc>
        <w:tc>
          <w:tcPr>
            <w:tcW w:w="783" w:type="pct"/>
            <w:tcBorders>
              <w:top w:val="single" w:sz="4" w:space="0" w:color="000000"/>
              <w:bottom w:val="single" w:sz="4" w:space="0" w:color="000000"/>
            </w:tcBorders>
            <w:vAlign w:val="center"/>
          </w:tcPr>
          <w:p w14:paraId="4E01CFC2" w14:textId="77777777" w:rsidR="00725977" w:rsidRPr="00D4309F" w:rsidRDefault="00725977" w:rsidP="00356360">
            <w:pPr>
              <w:pStyle w:val="Table-Bullet"/>
            </w:pPr>
            <w:r w:rsidRPr="00D4309F">
              <w:rPr>
                <w:spacing w:val="-4"/>
              </w:rPr>
              <w:t>None</w:t>
            </w:r>
          </w:p>
        </w:tc>
      </w:tr>
      <w:tr w:rsidR="00725977" w:rsidRPr="00D4309F" w14:paraId="55F82838" w14:textId="77777777" w:rsidTr="00891147">
        <w:trPr>
          <w:cantSplit/>
          <w:trHeight w:val="20"/>
        </w:trPr>
        <w:tc>
          <w:tcPr>
            <w:tcW w:w="516" w:type="pct"/>
            <w:tcBorders>
              <w:top w:val="single" w:sz="4" w:space="0" w:color="000000"/>
              <w:bottom w:val="single" w:sz="4" w:space="0" w:color="000000"/>
            </w:tcBorders>
            <w:vAlign w:val="center"/>
          </w:tcPr>
          <w:p w14:paraId="3B4C2486" w14:textId="77777777" w:rsidR="00725977" w:rsidRPr="00D4309F" w:rsidRDefault="00725977" w:rsidP="00864362">
            <w:pPr>
              <w:pStyle w:val="Table-Text"/>
            </w:pPr>
            <w:r w:rsidRPr="00D4309F">
              <w:t>Marine environmental quality</w:t>
            </w:r>
          </w:p>
        </w:tc>
        <w:tc>
          <w:tcPr>
            <w:tcW w:w="391" w:type="pct"/>
            <w:tcBorders>
              <w:top w:val="single" w:sz="4" w:space="0" w:color="000000"/>
              <w:bottom w:val="single" w:sz="4" w:space="0" w:color="000000"/>
            </w:tcBorders>
            <w:vAlign w:val="center"/>
          </w:tcPr>
          <w:p w14:paraId="73220271" w14:textId="77777777" w:rsidR="00725977" w:rsidRPr="00D4309F" w:rsidRDefault="00725977" w:rsidP="00864362">
            <w:pPr>
              <w:pStyle w:val="Table-Text"/>
            </w:pPr>
            <w:r w:rsidRPr="00D4309F">
              <w:t>Water quality</w:t>
            </w:r>
          </w:p>
        </w:tc>
        <w:tc>
          <w:tcPr>
            <w:tcW w:w="1286" w:type="pct"/>
            <w:tcBorders>
              <w:top w:val="single" w:sz="4" w:space="0" w:color="000000"/>
              <w:bottom w:val="single" w:sz="4" w:space="0" w:color="000000"/>
            </w:tcBorders>
            <w:vAlign w:val="center"/>
          </w:tcPr>
          <w:p w14:paraId="63594E7B" w14:textId="77777777" w:rsidR="00725977" w:rsidRPr="00D4309F" w:rsidRDefault="00725977" w:rsidP="00356360">
            <w:pPr>
              <w:pStyle w:val="Table-Bullet"/>
            </w:pPr>
            <w:r w:rsidRPr="00D4309F">
              <w:t>Hydrocarbon</w:t>
            </w:r>
            <w:r w:rsidRPr="00D4309F">
              <w:rPr>
                <w:spacing w:val="-5"/>
              </w:rPr>
              <w:t xml:space="preserve"> </w:t>
            </w:r>
            <w:r w:rsidRPr="00D4309F">
              <w:rPr>
                <w:spacing w:val="-2"/>
              </w:rPr>
              <w:t>spills/waste</w:t>
            </w:r>
          </w:p>
        </w:tc>
        <w:tc>
          <w:tcPr>
            <w:tcW w:w="426" w:type="pct"/>
            <w:tcBorders>
              <w:top w:val="single" w:sz="4" w:space="0" w:color="000000"/>
              <w:bottom w:val="single" w:sz="4" w:space="0" w:color="000000"/>
            </w:tcBorders>
            <w:shd w:val="clear" w:color="auto" w:fill="92D050"/>
            <w:vAlign w:val="center"/>
          </w:tcPr>
          <w:p w14:paraId="40E452AC" w14:textId="77777777" w:rsidR="00725977" w:rsidRPr="0029131D" w:rsidRDefault="00725977" w:rsidP="00C21373">
            <w:pPr>
              <w:pStyle w:val="Table-Text"/>
              <w:rPr>
                <w:b/>
                <w:bCs/>
              </w:rPr>
            </w:pPr>
            <w:r w:rsidRPr="0029131D">
              <w:rPr>
                <w:b/>
                <w:bCs/>
                <w:spacing w:val="-5"/>
              </w:rPr>
              <w:t>Low</w:t>
            </w:r>
          </w:p>
        </w:tc>
        <w:tc>
          <w:tcPr>
            <w:tcW w:w="893" w:type="pct"/>
            <w:gridSpan w:val="2"/>
            <w:tcBorders>
              <w:top w:val="single" w:sz="4" w:space="0" w:color="000000"/>
              <w:bottom w:val="single" w:sz="4" w:space="0" w:color="000000"/>
            </w:tcBorders>
            <w:vAlign w:val="center"/>
          </w:tcPr>
          <w:p w14:paraId="12446D53" w14:textId="77777777" w:rsidR="00725977" w:rsidRPr="00D4309F" w:rsidRDefault="00725977" w:rsidP="00356360">
            <w:pPr>
              <w:pStyle w:val="Table-Bullet"/>
            </w:pPr>
            <w:r w:rsidRPr="00D4309F">
              <w:t>Compliance</w:t>
            </w:r>
            <w:r w:rsidRPr="00D4309F">
              <w:rPr>
                <w:spacing w:val="-15"/>
              </w:rPr>
              <w:t xml:space="preserve"> </w:t>
            </w:r>
            <w:r w:rsidRPr="00D4309F">
              <w:t>with</w:t>
            </w:r>
            <w:r w:rsidRPr="00D4309F">
              <w:rPr>
                <w:spacing w:val="-12"/>
              </w:rPr>
              <w:t xml:space="preserve"> </w:t>
            </w:r>
            <w:r w:rsidRPr="00D4309F">
              <w:t>standard procedures will minimise this risk</w:t>
            </w:r>
          </w:p>
        </w:tc>
        <w:tc>
          <w:tcPr>
            <w:tcW w:w="705" w:type="pct"/>
            <w:tcBorders>
              <w:top w:val="single" w:sz="4" w:space="0" w:color="000000"/>
              <w:bottom w:val="single" w:sz="4" w:space="0" w:color="000000"/>
            </w:tcBorders>
            <w:vAlign w:val="center"/>
          </w:tcPr>
          <w:p w14:paraId="5DF8DAAB" w14:textId="77777777" w:rsidR="00725977" w:rsidRPr="00D4309F" w:rsidRDefault="00725977" w:rsidP="00356360">
            <w:pPr>
              <w:pStyle w:val="Table-Bullet"/>
            </w:pPr>
            <w:r w:rsidRPr="00D4309F">
              <w:rPr>
                <w:spacing w:val="-4"/>
              </w:rPr>
              <w:t>None</w:t>
            </w:r>
          </w:p>
        </w:tc>
        <w:tc>
          <w:tcPr>
            <w:tcW w:w="783" w:type="pct"/>
            <w:tcBorders>
              <w:top w:val="single" w:sz="4" w:space="0" w:color="000000"/>
              <w:bottom w:val="single" w:sz="4" w:space="0" w:color="000000"/>
            </w:tcBorders>
            <w:vAlign w:val="center"/>
          </w:tcPr>
          <w:p w14:paraId="2EE9AF55" w14:textId="77777777" w:rsidR="00725977" w:rsidRPr="00D4309F" w:rsidRDefault="00725977" w:rsidP="00356360">
            <w:pPr>
              <w:pStyle w:val="Table-Bullet"/>
            </w:pPr>
            <w:r w:rsidRPr="00D4309F">
              <w:t>Standard</w:t>
            </w:r>
            <w:r w:rsidRPr="00D4309F">
              <w:rPr>
                <w:spacing w:val="-15"/>
              </w:rPr>
              <w:t xml:space="preserve"> </w:t>
            </w:r>
            <w:r w:rsidRPr="00D4309F">
              <w:t>oil</w:t>
            </w:r>
            <w:r w:rsidRPr="00D4309F">
              <w:rPr>
                <w:spacing w:val="-12"/>
              </w:rPr>
              <w:t xml:space="preserve"> </w:t>
            </w:r>
            <w:r w:rsidRPr="00D4309F">
              <w:t xml:space="preserve">spill and waste </w:t>
            </w:r>
            <w:r w:rsidRPr="00D4309F">
              <w:rPr>
                <w:spacing w:val="-2"/>
              </w:rPr>
              <w:t>procedures</w:t>
            </w:r>
          </w:p>
        </w:tc>
      </w:tr>
      <w:tr w:rsidR="00A51CF0" w:rsidRPr="00D4309F" w14:paraId="470B2779" w14:textId="77777777" w:rsidTr="00891147">
        <w:trPr>
          <w:cantSplit/>
          <w:trHeight w:val="20"/>
        </w:trPr>
        <w:tc>
          <w:tcPr>
            <w:tcW w:w="516" w:type="pct"/>
            <w:tcBorders>
              <w:top w:val="single" w:sz="4" w:space="0" w:color="000000"/>
              <w:bottom w:val="single" w:sz="4" w:space="0" w:color="000000"/>
            </w:tcBorders>
            <w:vAlign w:val="center"/>
          </w:tcPr>
          <w:p w14:paraId="6B7C15C1" w14:textId="658384E5" w:rsidR="00A51CF0" w:rsidRPr="00D4309F" w:rsidRDefault="00A51CF0" w:rsidP="00864362">
            <w:pPr>
              <w:pStyle w:val="Table-Text"/>
            </w:pPr>
            <w:r w:rsidRPr="00D4309F">
              <w:lastRenderedPageBreak/>
              <w:t>Marine environmental quality</w:t>
            </w:r>
          </w:p>
        </w:tc>
        <w:tc>
          <w:tcPr>
            <w:tcW w:w="391" w:type="pct"/>
            <w:tcBorders>
              <w:top w:val="single" w:sz="4" w:space="0" w:color="000000"/>
              <w:bottom w:val="single" w:sz="4" w:space="0" w:color="000000"/>
            </w:tcBorders>
            <w:vAlign w:val="center"/>
          </w:tcPr>
          <w:p w14:paraId="125B6C93" w14:textId="018E32D1" w:rsidR="00A51CF0" w:rsidRPr="00D4309F" w:rsidRDefault="00A51CF0" w:rsidP="00864362">
            <w:pPr>
              <w:pStyle w:val="Table-Text"/>
            </w:pPr>
            <w:r w:rsidRPr="00D4309F">
              <w:t>Water quality</w:t>
            </w:r>
          </w:p>
        </w:tc>
        <w:tc>
          <w:tcPr>
            <w:tcW w:w="1286" w:type="pct"/>
            <w:tcBorders>
              <w:top w:val="single" w:sz="4" w:space="0" w:color="000000"/>
              <w:bottom w:val="single" w:sz="4" w:space="0" w:color="000000"/>
            </w:tcBorders>
            <w:vAlign w:val="center"/>
          </w:tcPr>
          <w:p w14:paraId="586106C3" w14:textId="47402570" w:rsidR="00A51CF0" w:rsidRPr="00D4309F" w:rsidRDefault="00A51CF0" w:rsidP="00356360">
            <w:pPr>
              <w:pStyle w:val="Table-Bullet"/>
            </w:pPr>
            <w:r w:rsidRPr="00D4309F">
              <w:t>Introduced</w:t>
            </w:r>
            <w:r w:rsidRPr="00D4309F">
              <w:rPr>
                <w:spacing w:val="-4"/>
              </w:rPr>
              <w:t xml:space="preserve"> </w:t>
            </w:r>
            <w:r w:rsidRPr="00D4309F">
              <w:t>marine</w:t>
            </w:r>
            <w:r w:rsidRPr="00D4309F">
              <w:rPr>
                <w:spacing w:val="-4"/>
              </w:rPr>
              <w:t xml:space="preserve"> </w:t>
            </w:r>
            <w:r w:rsidRPr="00D4309F">
              <w:rPr>
                <w:spacing w:val="-2"/>
              </w:rPr>
              <w:t>species</w:t>
            </w:r>
          </w:p>
        </w:tc>
        <w:tc>
          <w:tcPr>
            <w:tcW w:w="426" w:type="pct"/>
            <w:tcBorders>
              <w:top w:val="single" w:sz="4" w:space="0" w:color="000000"/>
              <w:bottom w:val="single" w:sz="4" w:space="0" w:color="000000"/>
            </w:tcBorders>
            <w:shd w:val="clear" w:color="auto" w:fill="92D050"/>
            <w:vAlign w:val="center"/>
          </w:tcPr>
          <w:p w14:paraId="1D4D4BFF" w14:textId="02E9054C" w:rsidR="00A51CF0" w:rsidRPr="0029131D" w:rsidRDefault="00A51CF0" w:rsidP="00C21373">
            <w:pPr>
              <w:pStyle w:val="Table-Text"/>
              <w:rPr>
                <w:b/>
                <w:bCs/>
                <w:spacing w:val="-5"/>
              </w:rPr>
            </w:pPr>
            <w:r w:rsidRPr="0029131D">
              <w:rPr>
                <w:b/>
                <w:bCs/>
                <w:spacing w:val="-5"/>
              </w:rPr>
              <w:t>Low</w:t>
            </w:r>
          </w:p>
        </w:tc>
        <w:tc>
          <w:tcPr>
            <w:tcW w:w="893" w:type="pct"/>
            <w:gridSpan w:val="2"/>
            <w:tcBorders>
              <w:top w:val="single" w:sz="4" w:space="0" w:color="000000"/>
              <w:bottom w:val="single" w:sz="4" w:space="0" w:color="000000"/>
            </w:tcBorders>
            <w:vAlign w:val="center"/>
          </w:tcPr>
          <w:p w14:paraId="3969315B" w14:textId="407CD7C0" w:rsidR="00A51CF0" w:rsidRPr="00D4309F" w:rsidRDefault="00A51CF0" w:rsidP="00356360">
            <w:pPr>
              <w:pStyle w:val="Table-Bullet"/>
            </w:pPr>
            <w:r w:rsidRPr="00D4309F">
              <w:t>Compliance</w:t>
            </w:r>
            <w:r w:rsidRPr="00D4309F">
              <w:rPr>
                <w:spacing w:val="-15"/>
              </w:rPr>
              <w:t xml:space="preserve"> </w:t>
            </w:r>
            <w:r w:rsidRPr="00D4309F">
              <w:t>with</w:t>
            </w:r>
            <w:r w:rsidRPr="00D4309F">
              <w:rPr>
                <w:spacing w:val="-12"/>
              </w:rPr>
              <w:t xml:space="preserve"> </w:t>
            </w:r>
            <w:r w:rsidRPr="00D4309F">
              <w:t>standard procedures will minimise this risk</w:t>
            </w:r>
          </w:p>
        </w:tc>
        <w:tc>
          <w:tcPr>
            <w:tcW w:w="705" w:type="pct"/>
            <w:tcBorders>
              <w:top w:val="single" w:sz="4" w:space="0" w:color="000000"/>
              <w:bottom w:val="single" w:sz="4" w:space="0" w:color="000000"/>
            </w:tcBorders>
            <w:vAlign w:val="center"/>
          </w:tcPr>
          <w:p w14:paraId="139740FC" w14:textId="106DC1DD" w:rsidR="00A51CF0" w:rsidRPr="00D4309F" w:rsidRDefault="00A51CF0" w:rsidP="00356360">
            <w:pPr>
              <w:pStyle w:val="Table-Bullet"/>
              <w:rPr>
                <w:spacing w:val="-4"/>
              </w:rPr>
            </w:pPr>
            <w:r w:rsidRPr="00D4309F">
              <w:rPr>
                <w:spacing w:val="-4"/>
              </w:rPr>
              <w:t>None</w:t>
            </w:r>
          </w:p>
        </w:tc>
        <w:tc>
          <w:tcPr>
            <w:tcW w:w="783" w:type="pct"/>
            <w:tcBorders>
              <w:top w:val="single" w:sz="4" w:space="0" w:color="000000"/>
              <w:bottom w:val="single" w:sz="4" w:space="0" w:color="000000"/>
            </w:tcBorders>
            <w:vAlign w:val="center"/>
          </w:tcPr>
          <w:p w14:paraId="2CA4BD9E" w14:textId="5DB2EEFC" w:rsidR="00A51CF0" w:rsidRPr="00D4309F" w:rsidRDefault="00A51CF0" w:rsidP="00356360">
            <w:pPr>
              <w:pStyle w:val="Table-Bullet"/>
            </w:pPr>
            <w:r w:rsidRPr="00D4309F">
              <w:t>Compliance with standard</w:t>
            </w:r>
            <w:r w:rsidRPr="00D4309F">
              <w:rPr>
                <w:spacing w:val="-15"/>
              </w:rPr>
              <w:t xml:space="preserve"> </w:t>
            </w:r>
            <w:r w:rsidRPr="00D4309F">
              <w:t>state</w:t>
            </w:r>
            <w:r w:rsidRPr="00D4309F">
              <w:rPr>
                <w:spacing w:val="-12"/>
              </w:rPr>
              <w:t xml:space="preserve"> </w:t>
            </w:r>
            <w:r w:rsidRPr="00D4309F">
              <w:t xml:space="preserve">and </w:t>
            </w:r>
            <w:r w:rsidRPr="00D4309F">
              <w:rPr>
                <w:spacing w:val="-2"/>
              </w:rPr>
              <w:t xml:space="preserve">commonwealth procedures </w:t>
            </w:r>
            <w:r w:rsidRPr="00D4309F">
              <w:t>regarding IMS</w:t>
            </w:r>
          </w:p>
        </w:tc>
      </w:tr>
      <w:tr w:rsidR="00A51CF0" w:rsidRPr="00D4309F" w14:paraId="17616967" w14:textId="77777777" w:rsidTr="00891147">
        <w:trPr>
          <w:cantSplit/>
          <w:trHeight w:val="20"/>
        </w:trPr>
        <w:tc>
          <w:tcPr>
            <w:tcW w:w="516" w:type="pct"/>
            <w:tcBorders>
              <w:top w:val="single" w:sz="4" w:space="0" w:color="000000"/>
              <w:bottom w:val="single" w:sz="4" w:space="0" w:color="000000"/>
            </w:tcBorders>
            <w:vAlign w:val="center"/>
          </w:tcPr>
          <w:p w14:paraId="00CDF656" w14:textId="304AD285" w:rsidR="00A51CF0" w:rsidRPr="00D4309F" w:rsidRDefault="00A51CF0" w:rsidP="00864362">
            <w:pPr>
              <w:pStyle w:val="Table-Text"/>
            </w:pPr>
            <w:r w:rsidRPr="00D4309F">
              <w:t>Marine</w:t>
            </w:r>
            <w:r w:rsidRPr="00D4309F">
              <w:rPr>
                <w:spacing w:val="-4"/>
              </w:rPr>
              <w:t xml:space="preserve"> </w:t>
            </w:r>
            <w:r w:rsidRPr="00D4309F">
              <w:t>fauna</w:t>
            </w:r>
          </w:p>
        </w:tc>
        <w:tc>
          <w:tcPr>
            <w:tcW w:w="391" w:type="pct"/>
            <w:tcBorders>
              <w:top w:val="single" w:sz="4" w:space="0" w:color="000000"/>
              <w:bottom w:val="single" w:sz="4" w:space="0" w:color="000000"/>
            </w:tcBorders>
            <w:vAlign w:val="center"/>
          </w:tcPr>
          <w:p w14:paraId="786FF70A" w14:textId="417AF695" w:rsidR="00A51CF0" w:rsidRPr="00D4309F" w:rsidRDefault="00A51CF0" w:rsidP="00864362">
            <w:pPr>
              <w:pStyle w:val="Table-Text"/>
            </w:pPr>
            <w:r w:rsidRPr="00D4309F">
              <w:t>Turtles</w:t>
            </w:r>
          </w:p>
        </w:tc>
        <w:tc>
          <w:tcPr>
            <w:tcW w:w="1286" w:type="pct"/>
            <w:tcBorders>
              <w:top w:val="single" w:sz="4" w:space="0" w:color="000000"/>
              <w:bottom w:val="single" w:sz="4" w:space="0" w:color="000000"/>
            </w:tcBorders>
            <w:vAlign w:val="center"/>
          </w:tcPr>
          <w:p w14:paraId="255289CC" w14:textId="77777777" w:rsidR="00A51CF0" w:rsidRPr="00D4309F" w:rsidRDefault="00A51CF0" w:rsidP="00356360">
            <w:pPr>
              <w:pStyle w:val="Table-Bullet"/>
            </w:pPr>
            <w:r w:rsidRPr="00D4309F">
              <w:t>Mortality/injury/behavioural</w:t>
            </w:r>
            <w:r w:rsidRPr="00D4309F">
              <w:rPr>
                <w:spacing w:val="-13"/>
              </w:rPr>
              <w:t xml:space="preserve"> </w:t>
            </w:r>
            <w:r w:rsidRPr="00D4309F">
              <w:t>response due to noise of dredging and pumps</w:t>
            </w:r>
          </w:p>
          <w:p w14:paraId="6A7D1E84" w14:textId="77777777" w:rsidR="00A51CF0" w:rsidRPr="00D4309F" w:rsidRDefault="00A51CF0" w:rsidP="00356360">
            <w:pPr>
              <w:pStyle w:val="Table-Bullet"/>
            </w:pPr>
            <w:r w:rsidRPr="00D4309F">
              <w:t>Behavioural</w:t>
            </w:r>
            <w:r w:rsidRPr="00D4309F">
              <w:rPr>
                <w:spacing w:val="-13"/>
              </w:rPr>
              <w:t xml:space="preserve"> </w:t>
            </w:r>
            <w:r w:rsidRPr="00D4309F">
              <w:t>response</w:t>
            </w:r>
            <w:r w:rsidRPr="00D4309F">
              <w:rPr>
                <w:spacing w:val="-12"/>
              </w:rPr>
              <w:t xml:space="preserve"> </w:t>
            </w:r>
            <w:r w:rsidRPr="00D4309F">
              <w:t>and</w:t>
            </w:r>
            <w:r w:rsidRPr="00D4309F">
              <w:rPr>
                <w:spacing w:val="-13"/>
              </w:rPr>
              <w:t xml:space="preserve"> </w:t>
            </w:r>
            <w:r w:rsidRPr="00D4309F">
              <w:t>interruption of nesting behaviour due to light</w:t>
            </w:r>
          </w:p>
          <w:p w14:paraId="5D088BC3" w14:textId="77777777" w:rsidR="00A51CF0" w:rsidRPr="00D4309F" w:rsidRDefault="00A51CF0" w:rsidP="00356360">
            <w:pPr>
              <w:pStyle w:val="Table-Bullet"/>
            </w:pPr>
            <w:r w:rsidRPr="00D4309F">
              <w:t>Mortality/injury</w:t>
            </w:r>
            <w:r w:rsidRPr="00D4309F">
              <w:rPr>
                <w:spacing w:val="-9"/>
              </w:rPr>
              <w:t xml:space="preserve"> </w:t>
            </w:r>
            <w:r w:rsidRPr="00D4309F">
              <w:t>due</w:t>
            </w:r>
            <w:r w:rsidRPr="00D4309F">
              <w:rPr>
                <w:spacing w:val="-10"/>
              </w:rPr>
              <w:t xml:space="preserve"> </w:t>
            </w:r>
            <w:r w:rsidRPr="00D4309F">
              <w:t>to</w:t>
            </w:r>
            <w:r w:rsidRPr="00D4309F">
              <w:rPr>
                <w:spacing w:val="-10"/>
              </w:rPr>
              <w:t xml:space="preserve"> </w:t>
            </w:r>
            <w:r w:rsidRPr="00D4309F">
              <w:t>vessel</w:t>
            </w:r>
            <w:r w:rsidRPr="00D4309F">
              <w:rPr>
                <w:spacing w:val="-10"/>
              </w:rPr>
              <w:t xml:space="preserve"> </w:t>
            </w:r>
            <w:r w:rsidRPr="00D4309F">
              <w:t>collision, entanglement, entrainment</w:t>
            </w:r>
          </w:p>
          <w:p w14:paraId="2BE6A191" w14:textId="77777777" w:rsidR="00A51CF0" w:rsidRPr="00D4309F" w:rsidRDefault="00A51CF0" w:rsidP="00356360">
            <w:pPr>
              <w:pStyle w:val="Table-Bullet"/>
            </w:pPr>
            <w:r w:rsidRPr="00D4309F">
              <w:t>Mortality/injury</w:t>
            </w:r>
            <w:r w:rsidRPr="00D4309F">
              <w:rPr>
                <w:spacing w:val="-9"/>
              </w:rPr>
              <w:t xml:space="preserve"> </w:t>
            </w:r>
            <w:r w:rsidRPr="00D4309F">
              <w:t>due</w:t>
            </w:r>
            <w:r w:rsidRPr="00D4309F">
              <w:rPr>
                <w:spacing w:val="-11"/>
              </w:rPr>
              <w:t xml:space="preserve"> </w:t>
            </w:r>
            <w:r w:rsidRPr="00D4309F">
              <w:t>to</w:t>
            </w:r>
            <w:r w:rsidRPr="00D4309F">
              <w:rPr>
                <w:spacing w:val="-11"/>
              </w:rPr>
              <w:t xml:space="preserve"> </w:t>
            </w:r>
            <w:r w:rsidRPr="00D4309F">
              <w:t>onshore</w:t>
            </w:r>
            <w:r w:rsidRPr="00D4309F">
              <w:rPr>
                <w:spacing w:val="-9"/>
              </w:rPr>
              <w:t xml:space="preserve"> </w:t>
            </w:r>
            <w:r w:rsidRPr="00D4309F">
              <w:t>plant and vehicle movement</w:t>
            </w:r>
          </w:p>
          <w:p w14:paraId="49D0F677" w14:textId="77777777" w:rsidR="00A51CF0" w:rsidRPr="00D4309F" w:rsidRDefault="00A51CF0" w:rsidP="00356360">
            <w:pPr>
              <w:pStyle w:val="Table-Bullet"/>
            </w:pPr>
            <w:r w:rsidRPr="00D4309F">
              <w:t>Disturbance</w:t>
            </w:r>
            <w:r w:rsidRPr="00D4309F">
              <w:rPr>
                <w:spacing w:val="-11"/>
              </w:rPr>
              <w:t xml:space="preserve"> </w:t>
            </w:r>
            <w:r w:rsidRPr="00D4309F">
              <w:t>of</w:t>
            </w:r>
            <w:r w:rsidRPr="00D4309F">
              <w:rPr>
                <w:spacing w:val="-10"/>
              </w:rPr>
              <w:t xml:space="preserve"> </w:t>
            </w:r>
            <w:r w:rsidRPr="00D4309F">
              <w:t>habitat</w:t>
            </w:r>
            <w:r w:rsidRPr="00D4309F">
              <w:rPr>
                <w:spacing w:val="-10"/>
              </w:rPr>
              <w:t xml:space="preserve"> </w:t>
            </w:r>
            <w:r w:rsidRPr="00D4309F">
              <w:t>during</w:t>
            </w:r>
            <w:r w:rsidRPr="00D4309F">
              <w:rPr>
                <w:spacing w:val="-10"/>
              </w:rPr>
              <w:t xml:space="preserve"> </w:t>
            </w:r>
            <w:r w:rsidRPr="00D4309F">
              <w:t>sediment disposal and beach reprofiling</w:t>
            </w:r>
          </w:p>
          <w:p w14:paraId="708C154F" w14:textId="77777777" w:rsidR="00A51CF0" w:rsidRPr="00D4309F" w:rsidRDefault="00A51CF0" w:rsidP="00356360">
            <w:pPr>
              <w:pStyle w:val="Table-Bullet"/>
            </w:pPr>
            <w:r w:rsidRPr="00D4309F">
              <w:t>Change of beach profile at Buddina Beach</w:t>
            </w:r>
            <w:r w:rsidRPr="00D4309F">
              <w:rPr>
                <w:spacing w:val="-5"/>
              </w:rPr>
              <w:t xml:space="preserve"> </w:t>
            </w:r>
            <w:r w:rsidRPr="00D4309F">
              <w:t>due</w:t>
            </w:r>
            <w:r w:rsidRPr="00D4309F">
              <w:rPr>
                <w:spacing w:val="-5"/>
              </w:rPr>
              <w:t xml:space="preserve"> </w:t>
            </w:r>
            <w:r w:rsidRPr="00D4309F">
              <w:t>to</w:t>
            </w:r>
            <w:r w:rsidRPr="00D4309F">
              <w:rPr>
                <w:spacing w:val="-5"/>
              </w:rPr>
              <w:t xml:space="preserve"> </w:t>
            </w:r>
            <w:r w:rsidRPr="00D4309F">
              <w:t>trenching</w:t>
            </w:r>
            <w:r w:rsidRPr="00D4309F">
              <w:rPr>
                <w:spacing w:val="-3"/>
              </w:rPr>
              <w:t xml:space="preserve"> </w:t>
            </w:r>
            <w:r w:rsidRPr="00D4309F">
              <w:t>of</w:t>
            </w:r>
            <w:r w:rsidRPr="00D4309F">
              <w:rPr>
                <w:spacing w:val="-4"/>
              </w:rPr>
              <w:t xml:space="preserve"> </w:t>
            </w:r>
            <w:r w:rsidRPr="00D4309F">
              <w:t>pipeline</w:t>
            </w:r>
            <w:r w:rsidRPr="00D4309F">
              <w:rPr>
                <w:spacing w:val="-3"/>
              </w:rPr>
              <w:t xml:space="preserve"> </w:t>
            </w:r>
            <w:r w:rsidRPr="00D4309F">
              <w:t>on beach and nearshore dredging and onshore construction of pipeline and pumping station, and at Mooloolaba Main</w:t>
            </w:r>
            <w:r w:rsidRPr="00D4309F">
              <w:rPr>
                <w:spacing w:val="-8"/>
              </w:rPr>
              <w:t xml:space="preserve"> </w:t>
            </w:r>
            <w:r w:rsidRPr="00D4309F">
              <w:t>Beach</w:t>
            </w:r>
            <w:r w:rsidRPr="00D4309F">
              <w:rPr>
                <w:spacing w:val="-8"/>
              </w:rPr>
              <w:t xml:space="preserve"> </w:t>
            </w:r>
            <w:r w:rsidRPr="00D4309F">
              <w:t>due</w:t>
            </w:r>
            <w:r w:rsidRPr="00D4309F">
              <w:rPr>
                <w:spacing w:val="-8"/>
              </w:rPr>
              <w:t xml:space="preserve"> </w:t>
            </w:r>
            <w:r w:rsidRPr="00D4309F">
              <w:t>to</w:t>
            </w:r>
            <w:r w:rsidRPr="00D4309F">
              <w:rPr>
                <w:spacing w:val="-8"/>
              </w:rPr>
              <w:t xml:space="preserve"> </w:t>
            </w:r>
            <w:r w:rsidRPr="00D4309F">
              <w:t>sediment</w:t>
            </w:r>
            <w:r w:rsidRPr="00D4309F">
              <w:rPr>
                <w:spacing w:val="-8"/>
              </w:rPr>
              <w:t xml:space="preserve"> </w:t>
            </w:r>
            <w:r w:rsidRPr="00D4309F">
              <w:t>disposal direct to beach impacting nesting</w:t>
            </w:r>
          </w:p>
          <w:p w14:paraId="7A652481" w14:textId="491A6EFC" w:rsidR="00A51CF0" w:rsidRPr="00D4309F" w:rsidRDefault="00A51CF0" w:rsidP="00356360">
            <w:pPr>
              <w:pStyle w:val="Table-Bullet"/>
            </w:pPr>
            <w:r w:rsidRPr="00D4309F">
              <w:t>Change</w:t>
            </w:r>
            <w:r w:rsidRPr="00D4309F">
              <w:rPr>
                <w:spacing w:val="-7"/>
              </w:rPr>
              <w:t xml:space="preserve"> </w:t>
            </w:r>
            <w:r w:rsidRPr="00D4309F">
              <w:t>of</w:t>
            </w:r>
            <w:r w:rsidRPr="00D4309F">
              <w:rPr>
                <w:spacing w:val="-8"/>
              </w:rPr>
              <w:t xml:space="preserve"> </w:t>
            </w:r>
            <w:r w:rsidRPr="00D4309F">
              <w:t>beach</w:t>
            </w:r>
            <w:r w:rsidRPr="00D4309F">
              <w:rPr>
                <w:spacing w:val="-9"/>
              </w:rPr>
              <w:t xml:space="preserve"> </w:t>
            </w:r>
            <w:r w:rsidRPr="00D4309F">
              <w:t>profile</w:t>
            </w:r>
            <w:r w:rsidRPr="00D4309F">
              <w:rPr>
                <w:spacing w:val="-9"/>
              </w:rPr>
              <w:t xml:space="preserve"> </w:t>
            </w:r>
            <w:r w:rsidRPr="00D4309F">
              <w:t>at</w:t>
            </w:r>
            <w:r w:rsidRPr="00D4309F">
              <w:rPr>
                <w:spacing w:val="-8"/>
              </w:rPr>
              <w:t xml:space="preserve"> </w:t>
            </w:r>
            <w:r w:rsidRPr="00D4309F">
              <w:t>Mooloolaba Main Beach due to sediment disposal offshore of beach impacting nesting</w:t>
            </w:r>
          </w:p>
        </w:tc>
        <w:tc>
          <w:tcPr>
            <w:tcW w:w="426" w:type="pct"/>
            <w:tcBorders>
              <w:top w:val="single" w:sz="4" w:space="0" w:color="000000"/>
              <w:bottom w:val="single" w:sz="4" w:space="0" w:color="000000"/>
            </w:tcBorders>
            <w:shd w:val="clear" w:color="auto" w:fill="FFFF00"/>
            <w:vAlign w:val="center"/>
          </w:tcPr>
          <w:p w14:paraId="15366792" w14:textId="162099FC" w:rsidR="00A51CF0" w:rsidRPr="0029131D" w:rsidRDefault="00A51CF0" w:rsidP="00C21373">
            <w:pPr>
              <w:pStyle w:val="Table-Text"/>
              <w:rPr>
                <w:b/>
                <w:bCs/>
                <w:spacing w:val="-5"/>
              </w:rPr>
            </w:pPr>
            <w:r w:rsidRPr="0029131D">
              <w:rPr>
                <w:b/>
                <w:bCs/>
              </w:rPr>
              <w:t>Moderate</w:t>
            </w:r>
          </w:p>
        </w:tc>
        <w:tc>
          <w:tcPr>
            <w:tcW w:w="893" w:type="pct"/>
            <w:gridSpan w:val="2"/>
            <w:tcBorders>
              <w:top w:val="single" w:sz="4" w:space="0" w:color="000000"/>
              <w:bottom w:val="single" w:sz="4" w:space="0" w:color="000000"/>
            </w:tcBorders>
            <w:vAlign w:val="center"/>
          </w:tcPr>
          <w:p w14:paraId="63300582" w14:textId="7BC00341" w:rsidR="00A51CF0" w:rsidRPr="00D4309F" w:rsidRDefault="00A51CF0" w:rsidP="00356360">
            <w:pPr>
              <w:pStyle w:val="Table-Bullet"/>
            </w:pPr>
            <w:r w:rsidRPr="00D4309F">
              <w:t xml:space="preserve">Several turtle species listed as endangered or vulnerable under the EPBC were identified in the project area with Green (Vulnerable) and </w:t>
            </w:r>
            <w:r w:rsidRPr="00D4309F">
              <w:rPr>
                <w:spacing w:val="-2"/>
              </w:rPr>
              <w:t>Loggerhead</w:t>
            </w:r>
            <w:r w:rsidRPr="00D4309F">
              <w:rPr>
                <w:spacing w:val="40"/>
              </w:rPr>
              <w:t xml:space="preserve"> </w:t>
            </w:r>
            <w:r w:rsidRPr="00D4309F">
              <w:t>(Endangered) turtles known</w:t>
            </w:r>
            <w:r w:rsidRPr="00D4309F">
              <w:rPr>
                <w:spacing w:val="-11"/>
              </w:rPr>
              <w:t xml:space="preserve"> </w:t>
            </w:r>
            <w:r w:rsidRPr="00D4309F">
              <w:t>to</w:t>
            </w:r>
            <w:r w:rsidRPr="00D4309F">
              <w:rPr>
                <w:spacing w:val="-11"/>
              </w:rPr>
              <w:t xml:space="preserve"> </w:t>
            </w:r>
            <w:r w:rsidRPr="00D4309F">
              <w:t>nest</w:t>
            </w:r>
            <w:r w:rsidRPr="00D4309F">
              <w:rPr>
                <w:spacing w:val="-10"/>
              </w:rPr>
              <w:t xml:space="preserve"> </w:t>
            </w:r>
            <w:r w:rsidRPr="00D4309F">
              <w:t>on</w:t>
            </w:r>
            <w:r w:rsidRPr="00D4309F">
              <w:rPr>
                <w:spacing w:val="-11"/>
              </w:rPr>
              <w:t xml:space="preserve"> </w:t>
            </w:r>
            <w:r w:rsidRPr="00D4309F">
              <w:t>Buddina and</w:t>
            </w:r>
            <w:r w:rsidRPr="00D4309F">
              <w:rPr>
                <w:spacing w:val="-15"/>
              </w:rPr>
              <w:t xml:space="preserve"> </w:t>
            </w:r>
            <w:r w:rsidRPr="00D4309F">
              <w:t>Mooloolaba</w:t>
            </w:r>
            <w:r w:rsidRPr="00D4309F">
              <w:rPr>
                <w:spacing w:val="-12"/>
              </w:rPr>
              <w:t xml:space="preserve"> </w:t>
            </w:r>
            <w:r w:rsidRPr="00D4309F">
              <w:t>beaches. Therefore, potential impacts need to be managed accordingly.</w:t>
            </w:r>
          </w:p>
        </w:tc>
        <w:tc>
          <w:tcPr>
            <w:tcW w:w="705" w:type="pct"/>
            <w:tcBorders>
              <w:top w:val="single" w:sz="4" w:space="0" w:color="000000"/>
              <w:bottom w:val="single" w:sz="4" w:space="0" w:color="000000"/>
            </w:tcBorders>
            <w:vAlign w:val="center"/>
          </w:tcPr>
          <w:p w14:paraId="1049C2FC" w14:textId="77777777" w:rsidR="00A51CF0" w:rsidRPr="00D4309F" w:rsidRDefault="00A51CF0" w:rsidP="00356360">
            <w:pPr>
              <w:pStyle w:val="Table-Bullet"/>
            </w:pPr>
            <w:r w:rsidRPr="00D4309F">
              <w:t>Light</w:t>
            </w:r>
            <w:r w:rsidRPr="00D4309F">
              <w:rPr>
                <w:spacing w:val="-13"/>
              </w:rPr>
              <w:t xml:space="preserve"> </w:t>
            </w:r>
            <w:r w:rsidRPr="00D4309F">
              <w:t xml:space="preserve">assessment if night works are </w:t>
            </w:r>
            <w:r w:rsidRPr="00D4309F">
              <w:rPr>
                <w:spacing w:val="-2"/>
              </w:rPr>
              <w:t>proposed</w:t>
            </w:r>
          </w:p>
          <w:p w14:paraId="44503247" w14:textId="78CA0673" w:rsidR="00A51CF0" w:rsidRPr="00D4309F" w:rsidRDefault="00A51CF0" w:rsidP="00356360">
            <w:pPr>
              <w:pStyle w:val="Table-Bullet"/>
              <w:rPr>
                <w:spacing w:val="-4"/>
              </w:rPr>
            </w:pPr>
            <w:r w:rsidRPr="00D4309F">
              <w:t xml:space="preserve">Assessment of </w:t>
            </w:r>
            <w:r w:rsidRPr="00D4309F">
              <w:rPr>
                <w:spacing w:val="-2"/>
              </w:rPr>
              <w:t>shoreline</w:t>
            </w:r>
            <w:r w:rsidRPr="00D4309F">
              <w:rPr>
                <w:spacing w:val="40"/>
              </w:rPr>
              <w:t xml:space="preserve"> </w:t>
            </w:r>
            <w:r w:rsidRPr="00D4309F">
              <w:t>response</w:t>
            </w:r>
            <w:r w:rsidRPr="00D4309F">
              <w:rPr>
                <w:spacing w:val="-15"/>
              </w:rPr>
              <w:t xml:space="preserve"> </w:t>
            </w:r>
            <w:r w:rsidRPr="00D4309F">
              <w:t>to</w:t>
            </w:r>
            <w:r w:rsidRPr="00D4309F">
              <w:rPr>
                <w:spacing w:val="-12"/>
              </w:rPr>
              <w:t xml:space="preserve"> </w:t>
            </w:r>
            <w:r w:rsidRPr="00D4309F">
              <w:t>works</w:t>
            </w:r>
          </w:p>
        </w:tc>
        <w:tc>
          <w:tcPr>
            <w:tcW w:w="783" w:type="pct"/>
            <w:tcBorders>
              <w:top w:val="single" w:sz="4" w:space="0" w:color="000000"/>
              <w:bottom w:val="single" w:sz="4" w:space="0" w:color="000000"/>
            </w:tcBorders>
            <w:vAlign w:val="center"/>
          </w:tcPr>
          <w:p w14:paraId="79665FDC" w14:textId="77777777" w:rsidR="00A51CF0" w:rsidRPr="00D4309F" w:rsidRDefault="00A51CF0" w:rsidP="00356360">
            <w:pPr>
              <w:pStyle w:val="Table-Bullet"/>
            </w:pPr>
            <w:r w:rsidRPr="00D4309F">
              <w:t>Timing</w:t>
            </w:r>
            <w:r w:rsidRPr="00D4309F">
              <w:rPr>
                <w:spacing w:val="-15"/>
              </w:rPr>
              <w:t xml:space="preserve"> </w:t>
            </w:r>
            <w:r w:rsidRPr="00D4309F">
              <w:t>of</w:t>
            </w:r>
            <w:r w:rsidRPr="00D4309F">
              <w:rPr>
                <w:spacing w:val="-12"/>
              </w:rPr>
              <w:t xml:space="preserve"> </w:t>
            </w:r>
            <w:r w:rsidRPr="00D4309F">
              <w:t>works outside</w:t>
            </w:r>
            <w:r w:rsidRPr="00D4309F">
              <w:rPr>
                <w:spacing w:val="-5"/>
              </w:rPr>
              <w:t xml:space="preserve"> </w:t>
            </w:r>
            <w:r w:rsidRPr="00D4309F">
              <w:t>of</w:t>
            </w:r>
            <w:r w:rsidRPr="00D4309F">
              <w:rPr>
                <w:spacing w:val="-4"/>
              </w:rPr>
              <w:t xml:space="preserve"> </w:t>
            </w:r>
            <w:r w:rsidRPr="00D4309F">
              <w:t>turtle nesting periods</w:t>
            </w:r>
          </w:p>
          <w:p w14:paraId="67788550" w14:textId="77777777" w:rsidR="00A51CF0" w:rsidRPr="00D4309F" w:rsidRDefault="00A51CF0" w:rsidP="00356360">
            <w:pPr>
              <w:pStyle w:val="Table-Bullet"/>
            </w:pPr>
            <w:r w:rsidRPr="00D4309F">
              <w:t>Limitation of works to</w:t>
            </w:r>
            <w:r w:rsidRPr="00D4309F">
              <w:rPr>
                <w:spacing w:val="-13"/>
              </w:rPr>
              <w:t xml:space="preserve"> </w:t>
            </w:r>
            <w:r w:rsidRPr="00D4309F">
              <w:t>daylight</w:t>
            </w:r>
            <w:r w:rsidRPr="00D4309F">
              <w:rPr>
                <w:spacing w:val="-12"/>
              </w:rPr>
              <w:t xml:space="preserve"> </w:t>
            </w:r>
            <w:r w:rsidRPr="00D4309F">
              <w:t>hours</w:t>
            </w:r>
            <w:r w:rsidRPr="00D4309F">
              <w:rPr>
                <w:spacing w:val="-13"/>
              </w:rPr>
              <w:t xml:space="preserve"> </w:t>
            </w:r>
            <w:r w:rsidRPr="00D4309F">
              <w:t xml:space="preserve">or if necessary, standard light </w:t>
            </w:r>
            <w:r w:rsidRPr="00D4309F">
              <w:rPr>
                <w:spacing w:val="-2"/>
              </w:rPr>
              <w:t>mitigation procedures</w:t>
            </w:r>
          </w:p>
          <w:p w14:paraId="159F3AC9" w14:textId="77777777" w:rsidR="00A51CF0" w:rsidRPr="00D4309F" w:rsidRDefault="00A51CF0" w:rsidP="00356360">
            <w:pPr>
              <w:pStyle w:val="Table-Bullet"/>
            </w:pPr>
            <w:r w:rsidRPr="00D4309F">
              <w:t>Design to minimise disturbance</w:t>
            </w:r>
            <w:r w:rsidRPr="00D4309F">
              <w:rPr>
                <w:spacing w:val="-15"/>
              </w:rPr>
              <w:t xml:space="preserve"> </w:t>
            </w:r>
            <w:r w:rsidRPr="00D4309F">
              <w:t>of</w:t>
            </w:r>
            <w:r w:rsidRPr="00D4309F">
              <w:rPr>
                <w:spacing w:val="-12"/>
              </w:rPr>
              <w:t xml:space="preserve"> </w:t>
            </w:r>
            <w:r w:rsidRPr="00D4309F">
              <w:t xml:space="preserve">turtle habitat and to maintain the beach </w:t>
            </w:r>
            <w:r w:rsidRPr="00D4309F">
              <w:rPr>
                <w:spacing w:val="-2"/>
              </w:rPr>
              <w:t>profile</w:t>
            </w:r>
          </w:p>
          <w:p w14:paraId="189EFA01" w14:textId="77777777" w:rsidR="00A51CF0" w:rsidRPr="00D4309F" w:rsidRDefault="00A51CF0" w:rsidP="00356360">
            <w:pPr>
              <w:pStyle w:val="Table-Bullet"/>
            </w:pPr>
            <w:r w:rsidRPr="00D4309F">
              <w:t>Standard</w:t>
            </w:r>
            <w:r w:rsidRPr="00D4309F">
              <w:rPr>
                <w:spacing w:val="-13"/>
              </w:rPr>
              <w:t xml:space="preserve"> </w:t>
            </w:r>
            <w:r w:rsidRPr="00D4309F">
              <w:t>marine fauna mitigation practices e.g. marine fauna observers and exclusion zones</w:t>
            </w:r>
          </w:p>
          <w:p w14:paraId="25E9A8B2" w14:textId="77777777" w:rsidR="00A51CF0" w:rsidRPr="00D4309F" w:rsidRDefault="00A51CF0" w:rsidP="00356360">
            <w:pPr>
              <w:pStyle w:val="Table-Bullet"/>
            </w:pPr>
            <w:r w:rsidRPr="00D4309F">
              <w:t>Turtle</w:t>
            </w:r>
            <w:r w:rsidRPr="00D4309F">
              <w:rPr>
                <w:spacing w:val="-15"/>
              </w:rPr>
              <w:t xml:space="preserve"> </w:t>
            </w:r>
            <w:r w:rsidRPr="00D4309F">
              <w:t>guards</w:t>
            </w:r>
            <w:r w:rsidRPr="00D4309F">
              <w:rPr>
                <w:spacing w:val="-12"/>
              </w:rPr>
              <w:t xml:space="preserve"> </w:t>
            </w:r>
            <w:r w:rsidRPr="00D4309F">
              <w:t xml:space="preserve">on </w:t>
            </w:r>
            <w:r w:rsidRPr="00D4309F">
              <w:rPr>
                <w:spacing w:val="-2"/>
              </w:rPr>
              <w:t>dredger</w:t>
            </w:r>
          </w:p>
          <w:p w14:paraId="0FF96E36" w14:textId="77777777" w:rsidR="00A51CF0" w:rsidRPr="00D4309F" w:rsidRDefault="00A51CF0" w:rsidP="00356360">
            <w:pPr>
              <w:pStyle w:val="Table-Bullet"/>
            </w:pPr>
            <w:r w:rsidRPr="00D4309F">
              <w:rPr>
                <w:spacing w:val="-2"/>
              </w:rPr>
              <w:t xml:space="preserve">Appropriate </w:t>
            </w:r>
            <w:r w:rsidRPr="00D4309F">
              <w:t>management for onshore works e.g. onshore vehicles and</w:t>
            </w:r>
            <w:r w:rsidRPr="00D4309F">
              <w:rPr>
                <w:spacing w:val="-13"/>
              </w:rPr>
              <w:t xml:space="preserve"> </w:t>
            </w:r>
            <w:r w:rsidRPr="00D4309F">
              <w:t>plant</w:t>
            </w:r>
            <w:r w:rsidRPr="00D4309F">
              <w:rPr>
                <w:spacing w:val="-12"/>
              </w:rPr>
              <w:t xml:space="preserve"> </w:t>
            </w:r>
            <w:r w:rsidRPr="00D4309F">
              <w:t>to</w:t>
            </w:r>
            <w:r w:rsidRPr="00D4309F">
              <w:rPr>
                <w:spacing w:val="-13"/>
              </w:rPr>
              <w:t xml:space="preserve"> </w:t>
            </w:r>
            <w:r w:rsidRPr="00D4309F">
              <w:t>operate in</w:t>
            </w:r>
            <w:r w:rsidRPr="00D4309F">
              <w:rPr>
                <w:spacing w:val="-15"/>
              </w:rPr>
              <w:t xml:space="preserve"> </w:t>
            </w:r>
            <w:r w:rsidRPr="00D4309F">
              <w:t>designated</w:t>
            </w:r>
            <w:r w:rsidRPr="00D4309F">
              <w:rPr>
                <w:spacing w:val="-12"/>
              </w:rPr>
              <w:t xml:space="preserve"> </w:t>
            </w:r>
            <w:r w:rsidRPr="00D4309F">
              <w:t>tracks and areas</w:t>
            </w:r>
          </w:p>
          <w:p w14:paraId="53A5B6C4" w14:textId="6F05D446" w:rsidR="00A51CF0" w:rsidRPr="00D4309F" w:rsidRDefault="00A51CF0" w:rsidP="00356360">
            <w:pPr>
              <w:pStyle w:val="Table-Bullet"/>
            </w:pPr>
            <w:r w:rsidRPr="00D4309F">
              <w:t>Beach</w:t>
            </w:r>
            <w:r w:rsidRPr="00D4309F">
              <w:rPr>
                <w:spacing w:val="-13"/>
              </w:rPr>
              <w:t xml:space="preserve"> </w:t>
            </w:r>
            <w:r w:rsidRPr="00D4309F">
              <w:t xml:space="preserve">profile </w:t>
            </w:r>
            <w:r w:rsidRPr="00D4309F">
              <w:rPr>
                <w:spacing w:val="-2"/>
              </w:rPr>
              <w:t>monitoring</w:t>
            </w:r>
          </w:p>
        </w:tc>
      </w:tr>
      <w:tr w:rsidR="00A51CF0" w:rsidRPr="00D4309F" w14:paraId="659A0033" w14:textId="77777777" w:rsidTr="00891147">
        <w:trPr>
          <w:cantSplit/>
          <w:trHeight w:val="20"/>
        </w:trPr>
        <w:tc>
          <w:tcPr>
            <w:tcW w:w="516" w:type="pct"/>
            <w:tcBorders>
              <w:top w:val="single" w:sz="4" w:space="0" w:color="000000"/>
              <w:bottom w:val="single" w:sz="4" w:space="0" w:color="000000"/>
            </w:tcBorders>
            <w:vAlign w:val="center"/>
          </w:tcPr>
          <w:p w14:paraId="2C6EB6D0" w14:textId="525EC7A4" w:rsidR="00A51CF0" w:rsidRPr="00D4309F" w:rsidRDefault="00A51CF0" w:rsidP="00864362">
            <w:pPr>
              <w:pStyle w:val="Table-Text"/>
            </w:pPr>
            <w:r w:rsidRPr="00D4309F">
              <w:lastRenderedPageBreak/>
              <w:t>Marine</w:t>
            </w:r>
            <w:r w:rsidRPr="00D4309F">
              <w:rPr>
                <w:spacing w:val="-4"/>
              </w:rPr>
              <w:t xml:space="preserve"> </w:t>
            </w:r>
            <w:r w:rsidRPr="00D4309F">
              <w:t>fauna</w:t>
            </w:r>
          </w:p>
        </w:tc>
        <w:tc>
          <w:tcPr>
            <w:tcW w:w="391" w:type="pct"/>
            <w:tcBorders>
              <w:top w:val="single" w:sz="4" w:space="0" w:color="000000"/>
              <w:bottom w:val="single" w:sz="4" w:space="0" w:color="000000"/>
            </w:tcBorders>
            <w:vAlign w:val="center"/>
          </w:tcPr>
          <w:p w14:paraId="2E680D86" w14:textId="191DCAC7" w:rsidR="00A51CF0" w:rsidRPr="00D4309F" w:rsidRDefault="00A51CF0" w:rsidP="00864362">
            <w:pPr>
              <w:pStyle w:val="Table-Text"/>
            </w:pPr>
            <w:r w:rsidRPr="00D4309F">
              <w:t>Marine mammals</w:t>
            </w:r>
          </w:p>
        </w:tc>
        <w:tc>
          <w:tcPr>
            <w:tcW w:w="1286" w:type="pct"/>
            <w:tcBorders>
              <w:top w:val="single" w:sz="4" w:space="0" w:color="000000"/>
              <w:bottom w:val="single" w:sz="4" w:space="0" w:color="000000"/>
            </w:tcBorders>
            <w:vAlign w:val="center"/>
          </w:tcPr>
          <w:p w14:paraId="26F8F2DC" w14:textId="77777777" w:rsidR="00A51CF0" w:rsidRPr="00D4309F" w:rsidRDefault="00A51CF0" w:rsidP="00356360">
            <w:pPr>
              <w:pStyle w:val="Table-Bullet"/>
            </w:pPr>
            <w:r w:rsidRPr="00D4309F">
              <w:t>Mortality/injury/behavioural</w:t>
            </w:r>
            <w:r w:rsidRPr="00D4309F">
              <w:rPr>
                <w:spacing w:val="-13"/>
              </w:rPr>
              <w:t xml:space="preserve"> </w:t>
            </w:r>
            <w:r w:rsidRPr="00D4309F">
              <w:t>response due to noise of dredging and pumps</w:t>
            </w:r>
          </w:p>
          <w:p w14:paraId="68DB9DDA" w14:textId="3789AF19" w:rsidR="00A51CF0" w:rsidRPr="00D4309F" w:rsidRDefault="00A51CF0" w:rsidP="00356360">
            <w:pPr>
              <w:pStyle w:val="Table-Bullet"/>
            </w:pPr>
            <w:r w:rsidRPr="00D4309F">
              <w:t>Vessel</w:t>
            </w:r>
            <w:r w:rsidRPr="00D4309F">
              <w:rPr>
                <w:spacing w:val="-15"/>
              </w:rPr>
              <w:t xml:space="preserve"> </w:t>
            </w:r>
            <w:r w:rsidRPr="00D4309F">
              <w:t>collision,</w:t>
            </w:r>
            <w:r w:rsidRPr="00D4309F">
              <w:rPr>
                <w:spacing w:val="-12"/>
              </w:rPr>
              <w:t xml:space="preserve"> </w:t>
            </w:r>
            <w:r w:rsidRPr="00D4309F">
              <w:t xml:space="preserve">entanglement, </w:t>
            </w:r>
            <w:r w:rsidRPr="00D4309F">
              <w:rPr>
                <w:spacing w:val="-2"/>
              </w:rPr>
              <w:t>entrainment</w:t>
            </w:r>
          </w:p>
        </w:tc>
        <w:tc>
          <w:tcPr>
            <w:tcW w:w="426" w:type="pct"/>
            <w:tcBorders>
              <w:top w:val="single" w:sz="4" w:space="0" w:color="000000"/>
              <w:bottom w:val="single" w:sz="4" w:space="0" w:color="000000"/>
            </w:tcBorders>
            <w:shd w:val="clear" w:color="auto" w:fill="FFFF00"/>
            <w:vAlign w:val="center"/>
          </w:tcPr>
          <w:p w14:paraId="4C439BAC" w14:textId="380F2F5E" w:rsidR="00A51CF0" w:rsidRPr="0029131D" w:rsidRDefault="00A51CF0" w:rsidP="00C21373">
            <w:pPr>
              <w:pStyle w:val="Table-Text"/>
              <w:rPr>
                <w:b/>
                <w:bCs/>
                <w:spacing w:val="-5"/>
              </w:rPr>
            </w:pPr>
            <w:r w:rsidRPr="0029131D">
              <w:rPr>
                <w:b/>
                <w:bCs/>
              </w:rPr>
              <w:t>Moderate</w:t>
            </w:r>
          </w:p>
        </w:tc>
        <w:tc>
          <w:tcPr>
            <w:tcW w:w="893" w:type="pct"/>
            <w:gridSpan w:val="2"/>
            <w:tcBorders>
              <w:top w:val="single" w:sz="4" w:space="0" w:color="000000"/>
              <w:bottom w:val="single" w:sz="4" w:space="0" w:color="000000"/>
            </w:tcBorders>
            <w:vAlign w:val="center"/>
          </w:tcPr>
          <w:p w14:paraId="39990875" w14:textId="77777777" w:rsidR="00A51CF0" w:rsidRPr="00D4309F" w:rsidRDefault="00A51CF0" w:rsidP="00356360">
            <w:pPr>
              <w:pStyle w:val="Table-Bullet"/>
            </w:pPr>
            <w:r w:rsidRPr="00D4309F">
              <w:t>Humpback</w:t>
            </w:r>
            <w:r w:rsidRPr="00D4309F">
              <w:rPr>
                <w:spacing w:val="-15"/>
              </w:rPr>
              <w:t xml:space="preserve"> </w:t>
            </w:r>
            <w:r w:rsidRPr="00D4309F">
              <w:t>whales</w:t>
            </w:r>
            <w:r w:rsidRPr="00D4309F">
              <w:rPr>
                <w:spacing w:val="-12"/>
              </w:rPr>
              <w:t xml:space="preserve"> </w:t>
            </w:r>
            <w:r w:rsidRPr="00D4309F">
              <w:t>may use</w:t>
            </w:r>
            <w:r w:rsidRPr="00D4309F">
              <w:rPr>
                <w:spacing w:val="-8"/>
              </w:rPr>
              <w:t xml:space="preserve"> </w:t>
            </w:r>
            <w:r w:rsidRPr="00D4309F">
              <w:t>the</w:t>
            </w:r>
            <w:r w:rsidRPr="00D4309F">
              <w:rPr>
                <w:spacing w:val="-8"/>
              </w:rPr>
              <w:t xml:space="preserve"> </w:t>
            </w:r>
            <w:r w:rsidRPr="00D4309F">
              <w:t>area</w:t>
            </w:r>
            <w:r w:rsidRPr="00D4309F">
              <w:rPr>
                <w:spacing w:val="-8"/>
              </w:rPr>
              <w:t xml:space="preserve"> </w:t>
            </w:r>
            <w:r w:rsidRPr="00D4309F">
              <w:t>for</w:t>
            </w:r>
            <w:r w:rsidRPr="00D4309F">
              <w:rPr>
                <w:spacing w:val="-7"/>
              </w:rPr>
              <w:t xml:space="preserve"> </w:t>
            </w:r>
            <w:r w:rsidRPr="00D4309F">
              <w:t>resting with</w:t>
            </w:r>
            <w:r w:rsidRPr="00D4309F">
              <w:rPr>
                <w:spacing w:val="-4"/>
              </w:rPr>
              <w:t xml:space="preserve"> </w:t>
            </w:r>
            <w:r w:rsidRPr="00D4309F">
              <w:t>calves</w:t>
            </w:r>
            <w:r w:rsidRPr="00D4309F">
              <w:rPr>
                <w:spacing w:val="-3"/>
              </w:rPr>
              <w:t xml:space="preserve"> </w:t>
            </w:r>
            <w:r w:rsidRPr="00D4309F">
              <w:t>during</w:t>
            </w:r>
            <w:r w:rsidRPr="00D4309F">
              <w:rPr>
                <w:spacing w:val="-4"/>
              </w:rPr>
              <w:t xml:space="preserve"> </w:t>
            </w:r>
            <w:r w:rsidRPr="00D4309F">
              <w:t>their migration period</w:t>
            </w:r>
          </w:p>
          <w:p w14:paraId="3EE64C24" w14:textId="77777777" w:rsidR="00A51CF0" w:rsidRPr="00D4309F" w:rsidRDefault="00A51CF0" w:rsidP="00356360">
            <w:pPr>
              <w:pStyle w:val="Table-Bullet"/>
            </w:pPr>
            <w:r w:rsidRPr="00D4309F">
              <w:t>While</w:t>
            </w:r>
            <w:r w:rsidRPr="00D4309F">
              <w:rPr>
                <w:spacing w:val="-13"/>
              </w:rPr>
              <w:t xml:space="preserve"> </w:t>
            </w:r>
            <w:r w:rsidRPr="00D4309F">
              <w:t>species</w:t>
            </w:r>
            <w:r w:rsidRPr="00D4309F">
              <w:rPr>
                <w:spacing w:val="-12"/>
              </w:rPr>
              <w:t xml:space="preserve"> </w:t>
            </w:r>
            <w:r w:rsidRPr="00D4309F">
              <w:t>of</w:t>
            </w:r>
            <w:r w:rsidRPr="00D4309F">
              <w:rPr>
                <w:spacing w:val="-13"/>
              </w:rPr>
              <w:t xml:space="preserve"> </w:t>
            </w:r>
            <w:r w:rsidRPr="00D4309F">
              <w:t>dolphins listed as vulnerable may also occur in the area, they tend to move away from noise sources and are at lower risk of injury</w:t>
            </w:r>
          </w:p>
          <w:p w14:paraId="58B7E967" w14:textId="2403E08A" w:rsidR="00A51CF0" w:rsidRPr="00D4309F" w:rsidRDefault="00A51CF0" w:rsidP="00356360">
            <w:pPr>
              <w:pStyle w:val="Table-Bullet"/>
            </w:pPr>
            <w:r w:rsidRPr="00D4309F">
              <w:t>While species of dolphin have breeding BIA in</w:t>
            </w:r>
            <w:r w:rsidRPr="00D4309F">
              <w:rPr>
                <w:spacing w:val="40"/>
              </w:rPr>
              <w:t xml:space="preserve"> </w:t>
            </w:r>
            <w:r w:rsidRPr="00D4309F">
              <w:t>area, there is a lower risk to breeding because of</w:t>
            </w:r>
            <w:r w:rsidRPr="00D4309F">
              <w:rPr>
                <w:spacing w:val="40"/>
              </w:rPr>
              <w:t xml:space="preserve"> </w:t>
            </w:r>
            <w:r w:rsidRPr="00D4309F">
              <w:t>the</w:t>
            </w:r>
            <w:r w:rsidRPr="00D4309F">
              <w:rPr>
                <w:spacing w:val="-11"/>
              </w:rPr>
              <w:t xml:space="preserve"> </w:t>
            </w:r>
            <w:r w:rsidRPr="00D4309F">
              <w:t>wide</w:t>
            </w:r>
            <w:r w:rsidRPr="00D4309F">
              <w:rPr>
                <w:spacing w:val="-11"/>
              </w:rPr>
              <w:t xml:space="preserve"> </w:t>
            </w:r>
            <w:r w:rsidRPr="00D4309F">
              <w:t>distribution</w:t>
            </w:r>
            <w:r w:rsidRPr="00D4309F">
              <w:rPr>
                <w:spacing w:val="-11"/>
              </w:rPr>
              <w:t xml:space="preserve"> </w:t>
            </w:r>
            <w:r w:rsidRPr="00D4309F">
              <w:t>of</w:t>
            </w:r>
            <w:r w:rsidRPr="00D4309F">
              <w:rPr>
                <w:spacing w:val="-10"/>
              </w:rPr>
              <w:t xml:space="preserve"> </w:t>
            </w:r>
            <w:r w:rsidRPr="00D4309F">
              <w:t xml:space="preserve">the </w:t>
            </w:r>
            <w:r w:rsidRPr="00D4309F">
              <w:rPr>
                <w:spacing w:val="-4"/>
              </w:rPr>
              <w:t>BIAs</w:t>
            </w:r>
          </w:p>
        </w:tc>
        <w:tc>
          <w:tcPr>
            <w:tcW w:w="705" w:type="pct"/>
            <w:tcBorders>
              <w:top w:val="single" w:sz="4" w:space="0" w:color="000000"/>
              <w:bottom w:val="single" w:sz="4" w:space="0" w:color="000000"/>
            </w:tcBorders>
            <w:vAlign w:val="center"/>
          </w:tcPr>
          <w:p w14:paraId="2281FF0B" w14:textId="43C9D158" w:rsidR="00A51CF0" w:rsidRPr="00D4309F" w:rsidRDefault="00A51CF0" w:rsidP="00356360">
            <w:pPr>
              <w:pStyle w:val="Table-Bullet"/>
              <w:rPr>
                <w:spacing w:val="-4"/>
              </w:rPr>
            </w:pPr>
            <w:r w:rsidRPr="00D4309F">
              <w:t>Underwater</w:t>
            </w:r>
            <w:r w:rsidRPr="00D4309F">
              <w:rPr>
                <w:spacing w:val="-13"/>
              </w:rPr>
              <w:t xml:space="preserve"> </w:t>
            </w:r>
            <w:r w:rsidRPr="00D4309F">
              <w:t xml:space="preserve">noise </w:t>
            </w:r>
            <w:r w:rsidRPr="00D4309F">
              <w:rPr>
                <w:spacing w:val="-2"/>
              </w:rPr>
              <w:t>assessment</w:t>
            </w:r>
          </w:p>
        </w:tc>
        <w:tc>
          <w:tcPr>
            <w:tcW w:w="783" w:type="pct"/>
            <w:tcBorders>
              <w:top w:val="single" w:sz="4" w:space="0" w:color="000000"/>
              <w:bottom w:val="single" w:sz="4" w:space="0" w:color="000000"/>
            </w:tcBorders>
            <w:vAlign w:val="center"/>
          </w:tcPr>
          <w:p w14:paraId="3070F430" w14:textId="77777777" w:rsidR="00A51CF0" w:rsidRPr="00D4309F" w:rsidRDefault="00A51CF0" w:rsidP="00356360">
            <w:pPr>
              <w:pStyle w:val="Table-Bullet"/>
            </w:pPr>
            <w:r w:rsidRPr="00D4309F">
              <w:t>Timing of works outside of whale migration</w:t>
            </w:r>
            <w:r w:rsidRPr="00D4309F">
              <w:rPr>
                <w:spacing w:val="-13"/>
              </w:rPr>
              <w:t xml:space="preserve"> </w:t>
            </w:r>
            <w:r w:rsidRPr="00D4309F">
              <w:t>periods</w:t>
            </w:r>
          </w:p>
          <w:p w14:paraId="70220EAD" w14:textId="78549965" w:rsidR="00A51CF0" w:rsidRPr="00D4309F" w:rsidRDefault="00A51CF0" w:rsidP="00356360">
            <w:pPr>
              <w:pStyle w:val="Table-Bullet"/>
            </w:pPr>
            <w:r w:rsidRPr="00D4309F">
              <w:t>Standard</w:t>
            </w:r>
            <w:r w:rsidRPr="00D4309F">
              <w:rPr>
                <w:spacing w:val="-13"/>
              </w:rPr>
              <w:t xml:space="preserve"> </w:t>
            </w:r>
            <w:r w:rsidRPr="00D4309F">
              <w:t>marine fauna mitigation practices e.g. marine fauna observers and exclusion zone</w:t>
            </w:r>
          </w:p>
        </w:tc>
      </w:tr>
      <w:tr w:rsidR="00A51CF0" w:rsidRPr="00D4309F" w14:paraId="70ED554D" w14:textId="77777777" w:rsidTr="00891147">
        <w:trPr>
          <w:cantSplit/>
          <w:trHeight w:val="20"/>
        </w:trPr>
        <w:tc>
          <w:tcPr>
            <w:tcW w:w="516" w:type="pct"/>
            <w:tcBorders>
              <w:top w:val="single" w:sz="4" w:space="0" w:color="000000"/>
              <w:bottom w:val="single" w:sz="4" w:space="0" w:color="000000"/>
            </w:tcBorders>
            <w:vAlign w:val="center"/>
          </w:tcPr>
          <w:p w14:paraId="1CE50F94" w14:textId="52531D52" w:rsidR="00A51CF0" w:rsidRPr="00D4309F" w:rsidRDefault="00A51CF0" w:rsidP="00864362">
            <w:pPr>
              <w:pStyle w:val="Table-Text"/>
            </w:pPr>
            <w:r w:rsidRPr="00D4309F">
              <w:t>Marine</w:t>
            </w:r>
            <w:r w:rsidRPr="00D4309F">
              <w:rPr>
                <w:spacing w:val="-4"/>
              </w:rPr>
              <w:t xml:space="preserve"> </w:t>
            </w:r>
            <w:r w:rsidRPr="00D4309F">
              <w:t>fauna</w:t>
            </w:r>
          </w:p>
        </w:tc>
        <w:tc>
          <w:tcPr>
            <w:tcW w:w="391" w:type="pct"/>
            <w:tcBorders>
              <w:top w:val="single" w:sz="4" w:space="0" w:color="000000"/>
              <w:bottom w:val="single" w:sz="4" w:space="0" w:color="000000"/>
            </w:tcBorders>
            <w:vAlign w:val="center"/>
          </w:tcPr>
          <w:p w14:paraId="1A9358AA" w14:textId="5998B6AB" w:rsidR="00A51CF0" w:rsidRPr="00D4309F" w:rsidRDefault="00A51CF0" w:rsidP="00864362">
            <w:pPr>
              <w:pStyle w:val="Table-Text"/>
            </w:pPr>
            <w:r w:rsidRPr="00D4309F">
              <w:t>Roosting Seabirds</w:t>
            </w:r>
          </w:p>
        </w:tc>
        <w:tc>
          <w:tcPr>
            <w:tcW w:w="1286" w:type="pct"/>
            <w:tcBorders>
              <w:top w:val="single" w:sz="4" w:space="0" w:color="000000"/>
              <w:bottom w:val="single" w:sz="4" w:space="0" w:color="000000"/>
            </w:tcBorders>
            <w:vAlign w:val="center"/>
          </w:tcPr>
          <w:p w14:paraId="52A49CD4" w14:textId="77777777" w:rsidR="00A51CF0" w:rsidRPr="00D4309F" w:rsidRDefault="00A51CF0" w:rsidP="00356360">
            <w:pPr>
              <w:pStyle w:val="Table-Bullet"/>
            </w:pPr>
            <w:r w:rsidRPr="00D4309F">
              <w:t>Mortality/injury/behavioural</w:t>
            </w:r>
            <w:r w:rsidRPr="00D4309F">
              <w:rPr>
                <w:spacing w:val="-13"/>
              </w:rPr>
              <w:t xml:space="preserve"> </w:t>
            </w:r>
            <w:r w:rsidRPr="00D4309F">
              <w:t>response due to noise of dredging and pumps</w:t>
            </w:r>
          </w:p>
          <w:p w14:paraId="102161A3" w14:textId="77777777" w:rsidR="00A51CF0" w:rsidRPr="00D4309F" w:rsidRDefault="00A51CF0" w:rsidP="00356360">
            <w:pPr>
              <w:pStyle w:val="Table-Bullet"/>
            </w:pPr>
            <w:r w:rsidRPr="00D4309F">
              <w:t>Behavioural</w:t>
            </w:r>
            <w:r w:rsidRPr="00D4309F">
              <w:rPr>
                <w:spacing w:val="-13"/>
              </w:rPr>
              <w:t xml:space="preserve"> </w:t>
            </w:r>
            <w:r w:rsidRPr="00D4309F">
              <w:t>response</w:t>
            </w:r>
            <w:r w:rsidRPr="00D4309F">
              <w:rPr>
                <w:spacing w:val="-12"/>
              </w:rPr>
              <w:t xml:space="preserve"> </w:t>
            </w:r>
            <w:r w:rsidRPr="00D4309F">
              <w:t>and</w:t>
            </w:r>
            <w:r w:rsidRPr="00D4309F">
              <w:rPr>
                <w:spacing w:val="-13"/>
              </w:rPr>
              <w:t xml:space="preserve"> </w:t>
            </w:r>
            <w:r w:rsidRPr="00D4309F">
              <w:t>interruption of nesting behaviour due to light</w:t>
            </w:r>
          </w:p>
          <w:p w14:paraId="6BAB5DEA" w14:textId="77777777" w:rsidR="00A51CF0" w:rsidRPr="00D4309F" w:rsidRDefault="00A51CF0" w:rsidP="00356360">
            <w:pPr>
              <w:pStyle w:val="Table-Bullet"/>
            </w:pPr>
            <w:r w:rsidRPr="00D4309F">
              <w:t>Mortality/injury/behavioural</w:t>
            </w:r>
            <w:r w:rsidRPr="00D4309F">
              <w:rPr>
                <w:spacing w:val="-13"/>
              </w:rPr>
              <w:t xml:space="preserve"> </w:t>
            </w:r>
            <w:r w:rsidRPr="00D4309F">
              <w:t>response due physical presence</w:t>
            </w:r>
          </w:p>
          <w:p w14:paraId="283EC096" w14:textId="77777777" w:rsidR="00A51CF0" w:rsidRPr="00D4309F" w:rsidRDefault="00A51CF0" w:rsidP="00356360">
            <w:pPr>
              <w:pStyle w:val="Table-Bullet"/>
            </w:pPr>
            <w:r w:rsidRPr="00D4309F">
              <w:t>Mortality/injury</w:t>
            </w:r>
            <w:r w:rsidRPr="00D4309F">
              <w:rPr>
                <w:spacing w:val="-9"/>
              </w:rPr>
              <w:t xml:space="preserve"> </w:t>
            </w:r>
            <w:r w:rsidRPr="00D4309F">
              <w:t>due</w:t>
            </w:r>
            <w:r w:rsidRPr="00D4309F">
              <w:rPr>
                <w:spacing w:val="-11"/>
              </w:rPr>
              <w:t xml:space="preserve"> </w:t>
            </w:r>
            <w:r w:rsidRPr="00D4309F">
              <w:t>to</w:t>
            </w:r>
            <w:r w:rsidRPr="00D4309F">
              <w:rPr>
                <w:spacing w:val="-11"/>
              </w:rPr>
              <w:t xml:space="preserve"> </w:t>
            </w:r>
            <w:r w:rsidRPr="00D4309F">
              <w:t>onshore</w:t>
            </w:r>
            <w:r w:rsidRPr="00D4309F">
              <w:rPr>
                <w:spacing w:val="-9"/>
              </w:rPr>
              <w:t xml:space="preserve"> </w:t>
            </w:r>
            <w:r w:rsidRPr="00D4309F">
              <w:t>plant and vehicle movement</w:t>
            </w:r>
          </w:p>
          <w:p w14:paraId="21BD3891" w14:textId="0A6F0799" w:rsidR="00A51CF0" w:rsidRPr="00D4309F" w:rsidRDefault="00A51CF0" w:rsidP="00356360">
            <w:pPr>
              <w:pStyle w:val="Table-Bullet"/>
            </w:pPr>
            <w:r w:rsidRPr="00D4309F">
              <w:t>Loss/degradation/fragmentation of habitat</w:t>
            </w:r>
            <w:r w:rsidRPr="00D4309F">
              <w:rPr>
                <w:spacing w:val="-8"/>
              </w:rPr>
              <w:t xml:space="preserve"> </w:t>
            </w:r>
            <w:r w:rsidRPr="00D4309F">
              <w:t>due</w:t>
            </w:r>
            <w:r w:rsidRPr="00D4309F">
              <w:rPr>
                <w:spacing w:val="-9"/>
              </w:rPr>
              <w:t xml:space="preserve"> </w:t>
            </w:r>
            <w:r w:rsidRPr="00D4309F">
              <w:t>to</w:t>
            </w:r>
            <w:r w:rsidRPr="00D4309F">
              <w:rPr>
                <w:spacing w:val="-7"/>
              </w:rPr>
              <w:t xml:space="preserve"> </w:t>
            </w:r>
            <w:r w:rsidRPr="00D4309F">
              <w:t>onshore</w:t>
            </w:r>
            <w:r w:rsidRPr="00D4309F">
              <w:rPr>
                <w:spacing w:val="-9"/>
              </w:rPr>
              <w:t xml:space="preserve"> </w:t>
            </w:r>
            <w:r w:rsidRPr="00D4309F">
              <w:t>construction</w:t>
            </w:r>
            <w:r w:rsidRPr="00D4309F">
              <w:rPr>
                <w:spacing w:val="-9"/>
              </w:rPr>
              <w:t xml:space="preserve"> </w:t>
            </w:r>
            <w:r w:rsidRPr="00D4309F">
              <w:t>of pipeline and pumping station</w:t>
            </w:r>
          </w:p>
        </w:tc>
        <w:tc>
          <w:tcPr>
            <w:tcW w:w="426" w:type="pct"/>
            <w:tcBorders>
              <w:top w:val="single" w:sz="4" w:space="0" w:color="000000"/>
              <w:bottom w:val="single" w:sz="4" w:space="0" w:color="000000"/>
            </w:tcBorders>
            <w:shd w:val="clear" w:color="auto" w:fill="FFC000"/>
            <w:vAlign w:val="center"/>
          </w:tcPr>
          <w:p w14:paraId="732FDF1A" w14:textId="60832889" w:rsidR="00A51CF0" w:rsidRPr="0029131D" w:rsidRDefault="00A51CF0" w:rsidP="00C21373">
            <w:pPr>
              <w:pStyle w:val="Table-Text"/>
              <w:rPr>
                <w:b/>
                <w:bCs/>
                <w:spacing w:val="-5"/>
              </w:rPr>
            </w:pPr>
            <w:r w:rsidRPr="0029131D">
              <w:rPr>
                <w:b/>
                <w:bCs/>
                <w:spacing w:val="-4"/>
              </w:rPr>
              <w:t>High</w:t>
            </w:r>
          </w:p>
        </w:tc>
        <w:tc>
          <w:tcPr>
            <w:tcW w:w="893" w:type="pct"/>
            <w:gridSpan w:val="2"/>
            <w:tcBorders>
              <w:top w:val="single" w:sz="4" w:space="0" w:color="000000"/>
              <w:bottom w:val="single" w:sz="4" w:space="0" w:color="000000"/>
            </w:tcBorders>
            <w:vAlign w:val="center"/>
          </w:tcPr>
          <w:p w14:paraId="22B6F334" w14:textId="77777777" w:rsidR="00A51CF0" w:rsidRPr="00D4309F" w:rsidRDefault="00A51CF0" w:rsidP="00356360">
            <w:pPr>
              <w:pStyle w:val="Table-Bullet"/>
            </w:pPr>
            <w:r w:rsidRPr="00D4309F">
              <w:t>Several species of migratory seabirds aggregate</w:t>
            </w:r>
            <w:r w:rsidRPr="00D4309F">
              <w:rPr>
                <w:spacing w:val="-13"/>
              </w:rPr>
              <w:t xml:space="preserve"> </w:t>
            </w:r>
            <w:r w:rsidRPr="00D4309F">
              <w:t>and</w:t>
            </w:r>
            <w:r w:rsidRPr="00D4309F">
              <w:rPr>
                <w:spacing w:val="-12"/>
              </w:rPr>
              <w:t xml:space="preserve"> </w:t>
            </w:r>
            <w:r w:rsidRPr="00D4309F">
              <w:t>may</w:t>
            </w:r>
            <w:r w:rsidRPr="00D4309F">
              <w:rPr>
                <w:spacing w:val="-13"/>
              </w:rPr>
              <w:t xml:space="preserve"> </w:t>
            </w:r>
            <w:r w:rsidRPr="00D4309F">
              <w:t>nest at Point Cartwright and could be impacted</w:t>
            </w:r>
          </w:p>
          <w:p w14:paraId="0E8ECCC7" w14:textId="5F9CC6CA" w:rsidR="00A51CF0" w:rsidRPr="00D4309F" w:rsidRDefault="00A51CF0" w:rsidP="00356360">
            <w:pPr>
              <w:pStyle w:val="Table-Bullet"/>
            </w:pPr>
            <w:r w:rsidRPr="00D4309F">
              <w:t xml:space="preserve">Potential for </w:t>
            </w:r>
            <w:r w:rsidRPr="00D4309F">
              <w:rPr>
                <w:spacing w:val="-2"/>
              </w:rPr>
              <w:t xml:space="preserve">loss/degradation/ </w:t>
            </w:r>
            <w:r w:rsidRPr="00D4309F">
              <w:t>fragmentation</w:t>
            </w:r>
            <w:r w:rsidRPr="00D4309F">
              <w:rPr>
                <w:spacing w:val="-15"/>
              </w:rPr>
              <w:t xml:space="preserve"> </w:t>
            </w:r>
            <w:r w:rsidRPr="00D4309F">
              <w:t>of</w:t>
            </w:r>
            <w:r w:rsidRPr="00D4309F">
              <w:rPr>
                <w:spacing w:val="-12"/>
              </w:rPr>
              <w:t xml:space="preserve"> </w:t>
            </w:r>
            <w:r w:rsidRPr="00D4309F">
              <w:t>habitat needs to be assessed</w:t>
            </w:r>
          </w:p>
        </w:tc>
        <w:tc>
          <w:tcPr>
            <w:tcW w:w="705" w:type="pct"/>
            <w:tcBorders>
              <w:top w:val="single" w:sz="4" w:space="0" w:color="000000"/>
              <w:bottom w:val="single" w:sz="4" w:space="0" w:color="000000"/>
            </w:tcBorders>
            <w:vAlign w:val="center"/>
          </w:tcPr>
          <w:p w14:paraId="1C83165E" w14:textId="77777777" w:rsidR="00A51CF0" w:rsidRPr="00D4309F" w:rsidRDefault="00A51CF0" w:rsidP="00356360">
            <w:pPr>
              <w:pStyle w:val="Table-Bullet"/>
            </w:pPr>
            <w:r w:rsidRPr="00D4309F">
              <w:t>Noise</w:t>
            </w:r>
            <w:r w:rsidRPr="00D4309F">
              <w:rPr>
                <w:spacing w:val="-2"/>
              </w:rPr>
              <w:t xml:space="preserve"> assessment</w:t>
            </w:r>
          </w:p>
          <w:p w14:paraId="6BFDC599" w14:textId="77777777" w:rsidR="00A51CF0" w:rsidRPr="00D4309F" w:rsidRDefault="00A51CF0" w:rsidP="00356360">
            <w:pPr>
              <w:pStyle w:val="Table-Bullet"/>
            </w:pPr>
            <w:r w:rsidRPr="00D4309F">
              <w:t>Light</w:t>
            </w:r>
            <w:r w:rsidRPr="00D4309F">
              <w:rPr>
                <w:spacing w:val="-13"/>
              </w:rPr>
              <w:t xml:space="preserve"> </w:t>
            </w:r>
            <w:r w:rsidRPr="00D4309F">
              <w:t xml:space="preserve">assessment if night works are </w:t>
            </w:r>
            <w:r w:rsidRPr="00D4309F">
              <w:rPr>
                <w:spacing w:val="-2"/>
              </w:rPr>
              <w:t>proposed</w:t>
            </w:r>
          </w:p>
          <w:p w14:paraId="1752AA2A" w14:textId="01927A4B" w:rsidR="00A51CF0" w:rsidRPr="00D4309F" w:rsidRDefault="00A51CF0" w:rsidP="00356360">
            <w:pPr>
              <w:pStyle w:val="Table-Bullet"/>
              <w:rPr>
                <w:spacing w:val="-4"/>
              </w:rPr>
            </w:pPr>
            <w:r w:rsidRPr="00D4309F">
              <w:t>Assessment of bird habitat with reference to proposed</w:t>
            </w:r>
            <w:r w:rsidRPr="00D4309F">
              <w:rPr>
                <w:spacing w:val="-13"/>
              </w:rPr>
              <w:t xml:space="preserve"> </w:t>
            </w:r>
            <w:r w:rsidRPr="00D4309F">
              <w:t>clearing and works areas</w:t>
            </w:r>
          </w:p>
        </w:tc>
        <w:tc>
          <w:tcPr>
            <w:tcW w:w="783" w:type="pct"/>
            <w:tcBorders>
              <w:top w:val="single" w:sz="4" w:space="0" w:color="000000"/>
              <w:bottom w:val="single" w:sz="4" w:space="0" w:color="000000"/>
            </w:tcBorders>
            <w:vAlign w:val="center"/>
          </w:tcPr>
          <w:p w14:paraId="6B6A3E86" w14:textId="77777777" w:rsidR="00A51CF0" w:rsidRPr="00D4309F" w:rsidRDefault="00A51CF0" w:rsidP="00356360">
            <w:pPr>
              <w:pStyle w:val="Table-Bullet"/>
            </w:pPr>
            <w:r w:rsidRPr="00D4309F">
              <w:t>Timing of works outside of peak aggregation</w:t>
            </w:r>
            <w:r w:rsidRPr="00D4309F">
              <w:rPr>
                <w:spacing w:val="-13"/>
              </w:rPr>
              <w:t xml:space="preserve"> </w:t>
            </w:r>
            <w:r w:rsidRPr="00D4309F">
              <w:t>season (summer) for migratory terns</w:t>
            </w:r>
          </w:p>
          <w:p w14:paraId="65ED8C1F" w14:textId="77777777" w:rsidR="00A51CF0" w:rsidRPr="00D4309F" w:rsidRDefault="00A51CF0" w:rsidP="00356360">
            <w:pPr>
              <w:pStyle w:val="Table-Bullet"/>
            </w:pPr>
            <w:r w:rsidRPr="00D4309F">
              <w:t>Design</w:t>
            </w:r>
            <w:r w:rsidRPr="00D4309F">
              <w:rPr>
                <w:spacing w:val="-15"/>
              </w:rPr>
              <w:t xml:space="preserve"> </w:t>
            </w:r>
            <w:r w:rsidRPr="00D4309F">
              <w:t>to</w:t>
            </w:r>
            <w:r w:rsidRPr="00D4309F">
              <w:rPr>
                <w:spacing w:val="-12"/>
              </w:rPr>
              <w:t xml:space="preserve"> </w:t>
            </w:r>
            <w:r w:rsidRPr="00D4309F">
              <w:t>minimise clearing required and avoid key habitat areas</w:t>
            </w:r>
          </w:p>
          <w:p w14:paraId="5956C5C1" w14:textId="652566CA" w:rsidR="00A51CF0" w:rsidRPr="00D4309F" w:rsidRDefault="00A51CF0" w:rsidP="00356360">
            <w:pPr>
              <w:pStyle w:val="Table-Bullet"/>
            </w:pPr>
            <w:r w:rsidRPr="00D4309F">
              <w:rPr>
                <w:spacing w:val="-2"/>
              </w:rPr>
              <w:t xml:space="preserve">Appropriate </w:t>
            </w:r>
            <w:r w:rsidRPr="00D4309F">
              <w:t>management for onshore works e.g. onshore vehicles and</w:t>
            </w:r>
            <w:r w:rsidRPr="00D4309F">
              <w:rPr>
                <w:spacing w:val="-4"/>
              </w:rPr>
              <w:t xml:space="preserve"> </w:t>
            </w:r>
            <w:r w:rsidRPr="00D4309F">
              <w:t>plant</w:t>
            </w:r>
            <w:r w:rsidRPr="00D4309F">
              <w:rPr>
                <w:spacing w:val="-3"/>
              </w:rPr>
              <w:t xml:space="preserve"> </w:t>
            </w:r>
            <w:r w:rsidRPr="00D4309F">
              <w:t>to</w:t>
            </w:r>
            <w:r w:rsidRPr="00D4309F">
              <w:rPr>
                <w:spacing w:val="-4"/>
              </w:rPr>
              <w:t xml:space="preserve"> </w:t>
            </w:r>
            <w:r w:rsidRPr="00D4309F">
              <w:t>operate in</w:t>
            </w:r>
            <w:r w:rsidRPr="00D4309F">
              <w:rPr>
                <w:spacing w:val="-5"/>
              </w:rPr>
              <w:t xml:space="preserve"> </w:t>
            </w:r>
            <w:r w:rsidRPr="00D4309F">
              <w:t>designated</w:t>
            </w:r>
            <w:r w:rsidRPr="00D4309F">
              <w:rPr>
                <w:spacing w:val="-5"/>
              </w:rPr>
              <w:t xml:space="preserve"> </w:t>
            </w:r>
            <w:r w:rsidRPr="00D4309F">
              <w:t>tracks and</w:t>
            </w:r>
            <w:r w:rsidRPr="00D4309F">
              <w:rPr>
                <w:spacing w:val="-13"/>
              </w:rPr>
              <w:t xml:space="preserve"> </w:t>
            </w:r>
            <w:r w:rsidRPr="00D4309F">
              <w:t>areas,</w:t>
            </w:r>
            <w:r w:rsidRPr="00D4309F">
              <w:rPr>
                <w:spacing w:val="-12"/>
              </w:rPr>
              <w:t xml:space="preserve"> </w:t>
            </w:r>
            <w:r w:rsidRPr="00D4309F">
              <w:t>design</w:t>
            </w:r>
            <w:r w:rsidRPr="00D4309F">
              <w:rPr>
                <w:spacing w:val="-13"/>
              </w:rPr>
              <w:t xml:space="preserve"> </w:t>
            </w:r>
            <w:r w:rsidRPr="00D4309F">
              <w:t xml:space="preserve">to avoid key habitat </w:t>
            </w:r>
            <w:r w:rsidRPr="00D4309F">
              <w:rPr>
                <w:spacing w:val="-2"/>
              </w:rPr>
              <w:t>areas</w:t>
            </w:r>
          </w:p>
        </w:tc>
      </w:tr>
      <w:tr w:rsidR="00A51CF0" w:rsidRPr="00D4309F" w14:paraId="5E225983" w14:textId="77777777" w:rsidTr="00891147">
        <w:trPr>
          <w:cantSplit/>
          <w:trHeight w:val="20"/>
        </w:trPr>
        <w:tc>
          <w:tcPr>
            <w:tcW w:w="516" w:type="pct"/>
            <w:tcBorders>
              <w:top w:val="single" w:sz="4" w:space="0" w:color="000000"/>
              <w:bottom w:val="single" w:sz="4" w:space="0" w:color="000000"/>
            </w:tcBorders>
            <w:vAlign w:val="center"/>
          </w:tcPr>
          <w:p w14:paraId="63849453" w14:textId="67C3E788" w:rsidR="00A51CF0" w:rsidRPr="00D4309F" w:rsidRDefault="00A51CF0" w:rsidP="00864362">
            <w:pPr>
              <w:pStyle w:val="Table-Text"/>
            </w:pPr>
            <w:r w:rsidRPr="00D4309F">
              <w:lastRenderedPageBreak/>
              <w:t>Marine</w:t>
            </w:r>
            <w:r w:rsidRPr="00D4309F">
              <w:rPr>
                <w:spacing w:val="-4"/>
              </w:rPr>
              <w:t xml:space="preserve"> </w:t>
            </w:r>
            <w:r w:rsidRPr="00D4309F">
              <w:t>fauna</w:t>
            </w:r>
          </w:p>
        </w:tc>
        <w:tc>
          <w:tcPr>
            <w:tcW w:w="391" w:type="pct"/>
            <w:tcBorders>
              <w:top w:val="single" w:sz="4" w:space="0" w:color="000000"/>
              <w:bottom w:val="single" w:sz="4" w:space="0" w:color="000000"/>
            </w:tcBorders>
            <w:vAlign w:val="center"/>
          </w:tcPr>
          <w:p w14:paraId="703B176E" w14:textId="61964A5C" w:rsidR="00A51CF0" w:rsidRPr="00D4309F" w:rsidRDefault="00A51CF0" w:rsidP="00864362">
            <w:pPr>
              <w:pStyle w:val="Table-Text"/>
            </w:pPr>
            <w:r w:rsidRPr="00D4309F">
              <w:t>Foraging Seabirds</w:t>
            </w:r>
          </w:p>
        </w:tc>
        <w:tc>
          <w:tcPr>
            <w:tcW w:w="1286" w:type="pct"/>
            <w:tcBorders>
              <w:top w:val="single" w:sz="4" w:space="0" w:color="000000"/>
              <w:bottom w:val="single" w:sz="4" w:space="0" w:color="000000"/>
            </w:tcBorders>
            <w:vAlign w:val="center"/>
          </w:tcPr>
          <w:p w14:paraId="25FECAA7" w14:textId="5DAF9239" w:rsidR="00A51CF0" w:rsidRPr="00D4309F" w:rsidRDefault="00A51CF0" w:rsidP="00356360">
            <w:pPr>
              <w:pStyle w:val="Table-Bullet"/>
            </w:pPr>
            <w:r w:rsidRPr="00D4309F">
              <w:t>Generation</w:t>
            </w:r>
            <w:r w:rsidRPr="00D4309F">
              <w:rPr>
                <w:spacing w:val="-13"/>
              </w:rPr>
              <w:t xml:space="preserve"> </w:t>
            </w:r>
            <w:r w:rsidRPr="00D4309F">
              <w:t>of</w:t>
            </w:r>
            <w:r w:rsidRPr="00D4309F">
              <w:rPr>
                <w:spacing w:val="-12"/>
              </w:rPr>
              <w:t xml:space="preserve"> </w:t>
            </w:r>
            <w:r w:rsidRPr="00D4309F">
              <w:t>turbidity</w:t>
            </w:r>
            <w:r w:rsidRPr="00D4309F">
              <w:rPr>
                <w:spacing w:val="-13"/>
              </w:rPr>
              <w:t xml:space="preserve"> </w:t>
            </w:r>
            <w:r w:rsidRPr="00D4309F">
              <w:t>impacting foraging activities</w:t>
            </w:r>
          </w:p>
        </w:tc>
        <w:tc>
          <w:tcPr>
            <w:tcW w:w="426" w:type="pct"/>
            <w:tcBorders>
              <w:top w:val="single" w:sz="4" w:space="0" w:color="000000"/>
              <w:bottom w:val="single" w:sz="4" w:space="0" w:color="000000"/>
            </w:tcBorders>
            <w:shd w:val="clear" w:color="auto" w:fill="FFFF00"/>
            <w:vAlign w:val="center"/>
          </w:tcPr>
          <w:p w14:paraId="3AB12D87" w14:textId="338976A4" w:rsidR="00A51CF0" w:rsidRPr="00A61CD3" w:rsidRDefault="00A51CF0" w:rsidP="00C21373">
            <w:pPr>
              <w:pStyle w:val="Table-Text"/>
              <w:rPr>
                <w:b/>
                <w:bCs/>
                <w:spacing w:val="-5"/>
              </w:rPr>
            </w:pPr>
            <w:r w:rsidRPr="00A61CD3">
              <w:rPr>
                <w:b/>
                <w:bCs/>
              </w:rPr>
              <w:t>Moderate</w:t>
            </w:r>
          </w:p>
        </w:tc>
        <w:tc>
          <w:tcPr>
            <w:tcW w:w="893" w:type="pct"/>
            <w:gridSpan w:val="2"/>
            <w:tcBorders>
              <w:top w:val="single" w:sz="4" w:space="0" w:color="000000"/>
              <w:bottom w:val="single" w:sz="4" w:space="0" w:color="000000"/>
            </w:tcBorders>
            <w:vAlign w:val="center"/>
          </w:tcPr>
          <w:p w14:paraId="3B993491" w14:textId="77777777" w:rsidR="00A51CF0" w:rsidRPr="00D4309F" w:rsidRDefault="00A51CF0" w:rsidP="00356360">
            <w:pPr>
              <w:pStyle w:val="Table-Bullet"/>
            </w:pPr>
            <w:r w:rsidRPr="00D4309F">
              <w:t>Turbidity will impede the ability of aerial feeding birds to see prey underwater, which will impact the Little Terns aggregating in Point Cartwright</w:t>
            </w:r>
            <w:r w:rsidRPr="00D4309F">
              <w:rPr>
                <w:spacing w:val="-15"/>
              </w:rPr>
              <w:t xml:space="preserve"> </w:t>
            </w:r>
            <w:r w:rsidRPr="00D4309F">
              <w:t>reserve.</w:t>
            </w:r>
            <w:r w:rsidRPr="00D4309F">
              <w:rPr>
                <w:spacing w:val="-12"/>
              </w:rPr>
              <w:t xml:space="preserve"> </w:t>
            </w:r>
            <w:r w:rsidRPr="00D4309F">
              <w:t>Larger seabirds</w:t>
            </w:r>
            <w:r w:rsidRPr="00D4309F">
              <w:rPr>
                <w:spacing w:val="-13"/>
              </w:rPr>
              <w:t xml:space="preserve"> </w:t>
            </w:r>
            <w:r w:rsidRPr="00D4309F">
              <w:t>will</w:t>
            </w:r>
            <w:r w:rsidRPr="00D4309F">
              <w:rPr>
                <w:spacing w:val="-12"/>
              </w:rPr>
              <w:t xml:space="preserve"> </w:t>
            </w:r>
            <w:r w:rsidRPr="00D4309F">
              <w:t>travel</w:t>
            </w:r>
            <w:r w:rsidRPr="00D4309F">
              <w:rPr>
                <w:spacing w:val="-13"/>
              </w:rPr>
              <w:t xml:space="preserve"> </w:t>
            </w:r>
            <w:r w:rsidRPr="00D4309F">
              <w:t xml:space="preserve">outside of the turbid zone to </w:t>
            </w:r>
            <w:r w:rsidRPr="00D4309F">
              <w:rPr>
                <w:spacing w:val="-2"/>
              </w:rPr>
              <w:t>forage.</w:t>
            </w:r>
          </w:p>
          <w:p w14:paraId="3A2C6B1C" w14:textId="7F8260FC" w:rsidR="00A51CF0" w:rsidRPr="00D4309F" w:rsidRDefault="00A51CF0" w:rsidP="00356360">
            <w:pPr>
              <w:pStyle w:val="Table-Bullet"/>
            </w:pPr>
            <w:r w:rsidRPr="00D4309F">
              <w:t>An assessment of the predicted plume extent will inform the extent of turbidity related impacts however as this is a dynamic, open ocean environment, any plume will</w:t>
            </w:r>
            <w:r w:rsidRPr="00D4309F">
              <w:rPr>
                <w:spacing w:val="-13"/>
              </w:rPr>
              <w:t xml:space="preserve"> </w:t>
            </w:r>
            <w:r w:rsidRPr="00D4309F">
              <w:t>likely</w:t>
            </w:r>
            <w:r w:rsidRPr="00D4309F">
              <w:rPr>
                <w:spacing w:val="-12"/>
              </w:rPr>
              <w:t xml:space="preserve"> </w:t>
            </w:r>
            <w:r w:rsidRPr="00D4309F">
              <w:t>dissipate</w:t>
            </w:r>
            <w:r w:rsidRPr="00D4309F">
              <w:rPr>
                <w:spacing w:val="-13"/>
              </w:rPr>
              <w:t xml:space="preserve"> </w:t>
            </w:r>
            <w:r w:rsidRPr="00D4309F">
              <w:t>quickly</w:t>
            </w:r>
          </w:p>
        </w:tc>
        <w:tc>
          <w:tcPr>
            <w:tcW w:w="705" w:type="pct"/>
            <w:tcBorders>
              <w:top w:val="single" w:sz="4" w:space="0" w:color="000000"/>
              <w:bottom w:val="single" w:sz="4" w:space="0" w:color="000000"/>
            </w:tcBorders>
            <w:vAlign w:val="center"/>
          </w:tcPr>
          <w:p w14:paraId="5515ED8F" w14:textId="47CF9A3C" w:rsidR="00A51CF0" w:rsidRPr="00D4309F" w:rsidRDefault="00A51CF0" w:rsidP="00356360">
            <w:pPr>
              <w:pStyle w:val="Table-Bullet"/>
              <w:rPr>
                <w:spacing w:val="-4"/>
              </w:rPr>
            </w:pPr>
            <w:r w:rsidRPr="00D4309F">
              <w:rPr>
                <w:spacing w:val="-2"/>
              </w:rPr>
              <w:t>Turbidity modelling</w:t>
            </w:r>
          </w:p>
        </w:tc>
        <w:tc>
          <w:tcPr>
            <w:tcW w:w="783" w:type="pct"/>
            <w:tcBorders>
              <w:top w:val="single" w:sz="4" w:space="0" w:color="000000"/>
              <w:bottom w:val="single" w:sz="4" w:space="0" w:color="000000"/>
            </w:tcBorders>
            <w:vAlign w:val="center"/>
          </w:tcPr>
          <w:p w14:paraId="45475F5D" w14:textId="025CBEDA" w:rsidR="00A51CF0" w:rsidRPr="00D4309F" w:rsidRDefault="00A51CF0" w:rsidP="00356360">
            <w:pPr>
              <w:pStyle w:val="Table-Bullet"/>
            </w:pPr>
            <w:r w:rsidRPr="00D4309F">
              <w:t>Timing of works outside of peak aggregation</w:t>
            </w:r>
            <w:r w:rsidRPr="00D4309F">
              <w:rPr>
                <w:spacing w:val="-13"/>
              </w:rPr>
              <w:t xml:space="preserve"> </w:t>
            </w:r>
            <w:r w:rsidRPr="00D4309F">
              <w:t>season (summer) for migratory terns</w:t>
            </w:r>
          </w:p>
        </w:tc>
      </w:tr>
      <w:tr w:rsidR="00A51CF0" w:rsidRPr="00D4309F" w14:paraId="4D3EA0FC" w14:textId="77777777" w:rsidTr="00891147">
        <w:trPr>
          <w:cantSplit/>
          <w:trHeight w:val="20"/>
        </w:trPr>
        <w:tc>
          <w:tcPr>
            <w:tcW w:w="516" w:type="pct"/>
            <w:tcBorders>
              <w:top w:val="single" w:sz="4" w:space="0" w:color="000000"/>
              <w:bottom w:val="single" w:sz="4" w:space="0" w:color="000000"/>
            </w:tcBorders>
            <w:vAlign w:val="center"/>
          </w:tcPr>
          <w:p w14:paraId="744E5A46" w14:textId="4C047041" w:rsidR="00A51CF0" w:rsidRPr="00D4309F" w:rsidRDefault="00A51CF0" w:rsidP="00864362">
            <w:pPr>
              <w:pStyle w:val="Table-Text"/>
            </w:pPr>
            <w:r w:rsidRPr="00D4309F">
              <w:t>Marine</w:t>
            </w:r>
            <w:r w:rsidRPr="00D4309F">
              <w:rPr>
                <w:spacing w:val="-4"/>
              </w:rPr>
              <w:t xml:space="preserve"> </w:t>
            </w:r>
            <w:r w:rsidRPr="00D4309F">
              <w:t>fauna</w:t>
            </w:r>
          </w:p>
        </w:tc>
        <w:tc>
          <w:tcPr>
            <w:tcW w:w="391" w:type="pct"/>
            <w:tcBorders>
              <w:top w:val="single" w:sz="4" w:space="0" w:color="000000"/>
              <w:bottom w:val="single" w:sz="4" w:space="0" w:color="000000"/>
            </w:tcBorders>
            <w:vAlign w:val="center"/>
          </w:tcPr>
          <w:p w14:paraId="7CEA2091" w14:textId="61535D54" w:rsidR="00A51CF0" w:rsidRPr="00D4309F" w:rsidRDefault="00A51CF0" w:rsidP="00864362">
            <w:pPr>
              <w:pStyle w:val="Table-Text"/>
            </w:pPr>
            <w:r w:rsidRPr="00D4309F">
              <w:rPr>
                <w:spacing w:val="-4"/>
              </w:rPr>
              <w:t xml:space="preserve">Site </w:t>
            </w:r>
            <w:r w:rsidRPr="00D4309F">
              <w:t>attached species</w:t>
            </w:r>
          </w:p>
        </w:tc>
        <w:tc>
          <w:tcPr>
            <w:tcW w:w="1286" w:type="pct"/>
            <w:tcBorders>
              <w:top w:val="single" w:sz="4" w:space="0" w:color="000000"/>
              <w:bottom w:val="single" w:sz="4" w:space="0" w:color="000000"/>
            </w:tcBorders>
            <w:vAlign w:val="center"/>
          </w:tcPr>
          <w:p w14:paraId="5630590C" w14:textId="77777777" w:rsidR="00A51CF0" w:rsidRPr="00D4309F" w:rsidRDefault="00A51CF0" w:rsidP="00356360">
            <w:pPr>
              <w:pStyle w:val="Table-Bullet"/>
            </w:pPr>
            <w:r w:rsidRPr="00D4309F">
              <w:t>Direct</w:t>
            </w:r>
            <w:r w:rsidRPr="00D4309F">
              <w:rPr>
                <w:spacing w:val="-3"/>
              </w:rPr>
              <w:t xml:space="preserve"> </w:t>
            </w:r>
            <w:r w:rsidRPr="00D4309F">
              <w:t>mortality/injury</w:t>
            </w:r>
            <w:r w:rsidRPr="00D4309F">
              <w:rPr>
                <w:spacing w:val="-3"/>
              </w:rPr>
              <w:t xml:space="preserve"> </w:t>
            </w:r>
            <w:r w:rsidRPr="00D4309F">
              <w:t>due</w:t>
            </w:r>
            <w:r w:rsidRPr="00D4309F">
              <w:rPr>
                <w:spacing w:val="-4"/>
              </w:rPr>
              <w:t xml:space="preserve"> </w:t>
            </w:r>
            <w:r w:rsidRPr="00D4309F">
              <w:t>to</w:t>
            </w:r>
            <w:r w:rsidRPr="00D4309F">
              <w:rPr>
                <w:spacing w:val="-3"/>
              </w:rPr>
              <w:t xml:space="preserve"> </w:t>
            </w:r>
            <w:r w:rsidRPr="00D4309F">
              <w:rPr>
                <w:spacing w:val="-2"/>
              </w:rPr>
              <w:t>dredging</w:t>
            </w:r>
          </w:p>
          <w:p w14:paraId="3CF065AB" w14:textId="17D51307" w:rsidR="00A51CF0" w:rsidRPr="00D4309F" w:rsidRDefault="00A51CF0" w:rsidP="00356360">
            <w:pPr>
              <w:pStyle w:val="Table-Bullet"/>
            </w:pPr>
            <w:r w:rsidRPr="00D4309F">
              <w:t>Mortality/injury/behavioural</w:t>
            </w:r>
            <w:r w:rsidRPr="00D4309F">
              <w:rPr>
                <w:spacing w:val="-13"/>
              </w:rPr>
              <w:t xml:space="preserve"> </w:t>
            </w:r>
            <w:r w:rsidRPr="00D4309F">
              <w:t>response due to physical effects of turbidity</w:t>
            </w:r>
          </w:p>
        </w:tc>
        <w:tc>
          <w:tcPr>
            <w:tcW w:w="426" w:type="pct"/>
            <w:tcBorders>
              <w:top w:val="single" w:sz="4" w:space="0" w:color="000000"/>
              <w:bottom w:val="single" w:sz="4" w:space="0" w:color="000000"/>
            </w:tcBorders>
            <w:shd w:val="clear" w:color="auto" w:fill="92D050"/>
            <w:vAlign w:val="center"/>
          </w:tcPr>
          <w:p w14:paraId="6D7928DC" w14:textId="393ACB79" w:rsidR="00A51CF0" w:rsidRPr="00A61CD3" w:rsidRDefault="006E497D" w:rsidP="00C21373">
            <w:pPr>
              <w:pStyle w:val="Table-Text"/>
              <w:rPr>
                <w:b/>
                <w:bCs/>
                <w:spacing w:val="-5"/>
              </w:rPr>
            </w:pPr>
            <w:r w:rsidRPr="00A61CD3">
              <w:rPr>
                <w:b/>
                <w:bCs/>
                <w:spacing w:val="-5"/>
              </w:rPr>
              <w:t>Low</w:t>
            </w:r>
          </w:p>
        </w:tc>
        <w:tc>
          <w:tcPr>
            <w:tcW w:w="893" w:type="pct"/>
            <w:gridSpan w:val="2"/>
            <w:tcBorders>
              <w:top w:val="single" w:sz="4" w:space="0" w:color="000000"/>
              <w:bottom w:val="single" w:sz="4" w:space="0" w:color="000000"/>
            </w:tcBorders>
            <w:vAlign w:val="center"/>
          </w:tcPr>
          <w:p w14:paraId="7AD4BCAC" w14:textId="77777777" w:rsidR="006E497D" w:rsidRPr="00D4309F" w:rsidRDefault="006E497D" w:rsidP="00356360">
            <w:pPr>
              <w:pStyle w:val="Table-Bullet"/>
            </w:pPr>
            <w:r w:rsidRPr="00D4309F">
              <w:t>These species are broadly</w:t>
            </w:r>
            <w:r w:rsidRPr="00D4309F">
              <w:rPr>
                <w:spacing w:val="-15"/>
              </w:rPr>
              <w:t xml:space="preserve"> </w:t>
            </w:r>
            <w:r w:rsidRPr="00D4309F">
              <w:t>distributed</w:t>
            </w:r>
            <w:r w:rsidRPr="00D4309F">
              <w:rPr>
                <w:spacing w:val="-12"/>
              </w:rPr>
              <w:t xml:space="preserve"> </w:t>
            </w:r>
            <w:r w:rsidRPr="00D4309F">
              <w:t>along</w:t>
            </w:r>
          </w:p>
          <w:p w14:paraId="528DCFFD" w14:textId="7C1EAAFF" w:rsidR="00A51CF0" w:rsidRDefault="006E497D" w:rsidP="00356360">
            <w:pPr>
              <w:pStyle w:val="Table-Bullet"/>
            </w:pPr>
            <w:r w:rsidRPr="00D4309F">
              <w:t>the</w:t>
            </w:r>
            <w:r w:rsidRPr="00D4309F">
              <w:rPr>
                <w:spacing w:val="-2"/>
              </w:rPr>
              <w:t xml:space="preserve"> coastline</w:t>
            </w:r>
            <w:r w:rsidRPr="00D4309F">
              <w:t xml:space="preserve"> </w:t>
            </w:r>
            <w:r w:rsidR="00A51CF0" w:rsidRPr="00D4309F">
              <w:t>The dredging area has a relatively small footprint and in an area of bare sand which is not the habitat for most of these species, including the endangered White’s Seahorse</w:t>
            </w:r>
            <w:r w:rsidR="00A51CF0" w:rsidRPr="00D4309F">
              <w:rPr>
                <w:spacing w:val="-13"/>
              </w:rPr>
              <w:t xml:space="preserve"> </w:t>
            </w:r>
            <w:r w:rsidR="00A51CF0" w:rsidRPr="00D4309F">
              <w:t>and</w:t>
            </w:r>
            <w:r w:rsidR="00A51CF0" w:rsidRPr="00D4309F">
              <w:rPr>
                <w:spacing w:val="-12"/>
              </w:rPr>
              <w:t xml:space="preserve"> </w:t>
            </w:r>
            <w:r w:rsidR="00A51CF0" w:rsidRPr="00D4309F">
              <w:t>sand</w:t>
            </w:r>
            <w:r w:rsidR="00A51CF0" w:rsidRPr="00D4309F">
              <w:rPr>
                <w:spacing w:val="-13"/>
              </w:rPr>
              <w:t xml:space="preserve"> </w:t>
            </w:r>
            <w:r w:rsidR="00A51CF0" w:rsidRPr="00D4309F">
              <w:t>yabby</w:t>
            </w:r>
          </w:p>
          <w:p w14:paraId="5C2174A9" w14:textId="25710EA7" w:rsidR="00A51CF0" w:rsidRPr="00D4309F" w:rsidRDefault="00A51CF0" w:rsidP="00356360">
            <w:pPr>
              <w:pStyle w:val="Table-Bullet"/>
            </w:pPr>
            <w:r w:rsidRPr="00D4309F">
              <w:t>Dredging</w:t>
            </w:r>
            <w:r w:rsidRPr="00D4309F">
              <w:rPr>
                <w:spacing w:val="-8"/>
              </w:rPr>
              <w:t xml:space="preserve"> </w:t>
            </w:r>
            <w:r w:rsidRPr="00D4309F">
              <w:t>is</w:t>
            </w:r>
            <w:r w:rsidRPr="00D4309F">
              <w:rPr>
                <w:spacing w:val="-7"/>
              </w:rPr>
              <w:t xml:space="preserve"> </w:t>
            </w:r>
            <w:r w:rsidRPr="00D4309F">
              <w:t>in</w:t>
            </w:r>
            <w:r w:rsidRPr="00D4309F">
              <w:rPr>
                <w:spacing w:val="-6"/>
              </w:rPr>
              <w:t xml:space="preserve"> </w:t>
            </w:r>
            <w:r w:rsidRPr="00D4309F">
              <w:t>a</w:t>
            </w:r>
            <w:r w:rsidRPr="00D4309F">
              <w:rPr>
                <w:spacing w:val="-8"/>
              </w:rPr>
              <w:t xml:space="preserve"> </w:t>
            </w:r>
            <w:r w:rsidRPr="00D4309F">
              <w:t>dynamic, open</w:t>
            </w:r>
            <w:r w:rsidRPr="00D4309F">
              <w:rPr>
                <w:spacing w:val="-15"/>
              </w:rPr>
              <w:t xml:space="preserve"> </w:t>
            </w:r>
            <w:r w:rsidRPr="00D4309F">
              <w:t>ocean</w:t>
            </w:r>
            <w:r w:rsidRPr="00D4309F">
              <w:rPr>
                <w:spacing w:val="-12"/>
              </w:rPr>
              <w:t xml:space="preserve"> </w:t>
            </w:r>
            <w:r w:rsidRPr="00D4309F">
              <w:t>environment, any plume will likely dissipate quickly.</w:t>
            </w:r>
          </w:p>
        </w:tc>
        <w:tc>
          <w:tcPr>
            <w:tcW w:w="705" w:type="pct"/>
            <w:tcBorders>
              <w:top w:val="single" w:sz="4" w:space="0" w:color="000000"/>
              <w:bottom w:val="single" w:sz="4" w:space="0" w:color="000000"/>
            </w:tcBorders>
            <w:vAlign w:val="center"/>
          </w:tcPr>
          <w:p w14:paraId="0A85513D" w14:textId="396A9C14" w:rsidR="00A51CF0" w:rsidRPr="00D4309F" w:rsidRDefault="00A51CF0" w:rsidP="00356360">
            <w:pPr>
              <w:pStyle w:val="Table-Bullet"/>
              <w:rPr>
                <w:spacing w:val="-4"/>
              </w:rPr>
            </w:pPr>
            <w:r w:rsidRPr="00D4309F">
              <w:rPr>
                <w:spacing w:val="-4"/>
              </w:rPr>
              <w:t>None</w:t>
            </w:r>
          </w:p>
        </w:tc>
        <w:tc>
          <w:tcPr>
            <w:tcW w:w="783" w:type="pct"/>
            <w:tcBorders>
              <w:top w:val="single" w:sz="4" w:space="0" w:color="000000"/>
              <w:bottom w:val="single" w:sz="4" w:space="0" w:color="000000"/>
            </w:tcBorders>
            <w:vAlign w:val="center"/>
          </w:tcPr>
          <w:p w14:paraId="378A3C78" w14:textId="49F26FAD" w:rsidR="00A51CF0" w:rsidRPr="00D4309F" w:rsidRDefault="00A51CF0" w:rsidP="00356360">
            <w:pPr>
              <w:pStyle w:val="Table-Bullet"/>
            </w:pPr>
            <w:r w:rsidRPr="00D4309F">
              <w:rPr>
                <w:spacing w:val="-4"/>
              </w:rPr>
              <w:t>None</w:t>
            </w:r>
          </w:p>
        </w:tc>
      </w:tr>
      <w:tr w:rsidR="006E497D" w:rsidRPr="00D4309F" w14:paraId="31F6BBC9" w14:textId="77777777" w:rsidTr="00891147">
        <w:trPr>
          <w:cantSplit/>
          <w:trHeight w:val="20"/>
        </w:trPr>
        <w:tc>
          <w:tcPr>
            <w:tcW w:w="516" w:type="pct"/>
            <w:tcBorders>
              <w:top w:val="single" w:sz="4" w:space="0" w:color="000000"/>
              <w:bottom w:val="single" w:sz="4" w:space="0" w:color="000000"/>
            </w:tcBorders>
            <w:vAlign w:val="center"/>
          </w:tcPr>
          <w:p w14:paraId="280C8AC3" w14:textId="2149F854" w:rsidR="006E497D" w:rsidRPr="00D4309F" w:rsidRDefault="006E497D" w:rsidP="00864362">
            <w:pPr>
              <w:pStyle w:val="Table-Text"/>
            </w:pPr>
            <w:r w:rsidRPr="00D4309F">
              <w:t>Marine</w:t>
            </w:r>
            <w:r w:rsidRPr="00D4309F">
              <w:rPr>
                <w:spacing w:val="-4"/>
              </w:rPr>
              <w:t xml:space="preserve"> </w:t>
            </w:r>
            <w:r w:rsidRPr="00D4309F">
              <w:t>fauna</w:t>
            </w:r>
          </w:p>
        </w:tc>
        <w:tc>
          <w:tcPr>
            <w:tcW w:w="391" w:type="pct"/>
            <w:tcBorders>
              <w:top w:val="single" w:sz="4" w:space="0" w:color="000000"/>
              <w:bottom w:val="single" w:sz="4" w:space="0" w:color="000000"/>
            </w:tcBorders>
            <w:vAlign w:val="center"/>
          </w:tcPr>
          <w:p w14:paraId="04342C37" w14:textId="10B5766D" w:rsidR="006E497D" w:rsidRPr="00D4309F" w:rsidRDefault="006E497D" w:rsidP="00864362">
            <w:pPr>
              <w:pStyle w:val="Table-Text"/>
            </w:pPr>
            <w:r w:rsidRPr="00D4309F">
              <w:rPr>
                <w:spacing w:val="-4"/>
              </w:rPr>
              <w:t>Site</w:t>
            </w:r>
            <w:r>
              <w:rPr>
                <w:spacing w:val="-4"/>
              </w:rPr>
              <w:t xml:space="preserve"> attached species</w:t>
            </w:r>
          </w:p>
        </w:tc>
        <w:tc>
          <w:tcPr>
            <w:tcW w:w="1286" w:type="pct"/>
            <w:tcBorders>
              <w:top w:val="single" w:sz="4" w:space="0" w:color="000000"/>
              <w:bottom w:val="single" w:sz="4" w:space="0" w:color="000000"/>
            </w:tcBorders>
            <w:vAlign w:val="center"/>
          </w:tcPr>
          <w:p w14:paraId="6090F77F" w14:textId="09314C7B" w:rsidR="006E497D" w:rsidRPr="00D4309F" w:rsidRDefault="006E497D" w:rsidP="00356360">
            <w:pPr>
              <w:pStyle w:val="Table-Bullet"/>
            </w:pPr>
            <w:r w:rsidRPr="00D4309F">
              <w:t>Mortality/injury/behavioural</w:t>
            </w:r>
            <w:r w:rsidRPr="00D4309F">
              <w:rPr>
                <w:spacing w:val="-11"/>
              </w:rPr>
              <w:t xml:space="preserve"> </w:t>
            </w:r>
            <w:r w:rsidRPr="00D4309F">
              <w:rPr>
                <w:spacing w:val="-2"/>
              </w:rPr>
              <w:t>response</w:t>
            </w:r>
            <w:r>
              <w:rPr>
                <w:spacing w:val="-2"/>
              </w:rPr>
              <w:t xml:space="preserve"> </w:t>
            </w:r>
            <w:r w:rsidRPr="00D4309F">
              <w:t>due</w:t>
            </w:r>
            <w:r w:rsidRPr="00D4309F">
              <w:rPr>
                <w:spacing w:val="-5"/>
              </w:rPr>
              <w:t xml:space="preserve"> </w:t>
            </w:r>
            <w:r w:rsidRPr="00D4309F">
              <w:t>to</w:t>
            </w:r>
            <w:r w:rsidRPr="00D4309F">
              <w:rPr>
                <w:spacing w:val="-2"/>
              </w:rPr>
              <w:t xml:space="preserve"> </w:t>
            </w:r>
            <w:r w:rsidRPr="00D4309F">
              <w:t>toxic</w:t>
            </w:r>
            <w:r w:rsidRPr="00D4309F">
              <w:rPr>
                <w:spacing w:val="-2"/>
              </w:rPr>
              <w:t xml:space="preserve"> </w:t>
            </w:r>
            <w:r w:rsidRPr="00D4309F">
              <w:t>effects</w:t>
            </w:r>
            <w:r w:rsidRPr="00D4309F">
              <w:rPr>
                <w:spacing w:val="-1"/>
              </w:rPr>
              <w:t xml:space="preserve"> </w:t>
            </w:r>
            <w:r w:rsidRPr="00D4309F">
              <w:t>due</w:t>
            </w:r>
            <w:r w:rsidRPr="00D4309F">
              <w:rPr>
                <w:spacing w:val="-3"/>
              </w:rPr>
              <w:t xml:space="preserve"> </w:t>
            </w:r>
            <w:r w:rsidRPr="00D4309F">
              <w:t>to</w:t>
            </w:r>
            <w:r w:rsidRPr="00D4309F">
              <w:rPr>
                <w:spacing w:val="-2"/>
              </w:rPr>
              <w:t xml:space="preserve"> </w:t>
            </w:r>
            <w:r w:rsidRPr="00D4309F">
              <w:t>release</w:t>
            </w:r>
            <w:r w:rsidRPr="00D4309F">
              <w:rPr>
                <w:spacing w:val="-2"/>
              </w:rPr>
              <w:t xml:space="preserve"> </w:t>
            </w:r>
            <w:r w:rsidRPr="00D4309F">
              <w:rPr>
                <w:spacing w:val="-5"/>
              </w:rPr>
              <w:t>of</w:t>
            </w:r>
            <w:r>
              <w:rPr>
                <w:spacing w:val="-5"/>
              </w:rPr>
              <w:t xml:space="preserve"> </w:t>
            </w:r>
            <w:r w:rsidRPr="00D4309F">
              <w:rPr>
                <w:spacing w:val="-2"/>
              </w:rPr>
              <w:t>contaminants/hypoxia</w:t>
            </w:r>
          </w:p>
        </w:tc>
        <w:tc>
          <w:tcPr>
            <w:tcW w:w="426" w:type="pct"/>
            <w:tcBorders>
              <w:top w:val="single" w:sz="4" w:space="0" w:color="000000"/>
              <w:bottom w:val="single" w:sz="4" w:space="0" w:color="000000"/>
            </w:tcBorders>
            <w:shd w:val="clear" w:color="auto" w:fill="92D050"/>
            <w:vAlign w:val="center"/>
          </w:tcPr>
          <w:p w14:paraId="3473A1D9" w14:textId="1F9CA49F" w:rsidR="006E497D" w:rsidRPr="00A61CD3" w:rsidRDefault="006E497D" w:rsidP="00C21373">
            <w:pPr>
              <w:pStyle w:val="Table-Text"/>
              <w:rPr>
                <w:b/>
                <w:bCs/>
                <w:spacing w:val="-5"/>
              </w:rPr>
            </w:pPr>
            <w:r w:rsidRPr="00A61CD3">
              <w:rPr>
                <w:b/>
                <w:bCs/>
                <w:spacing w:val="-5"/>
              </w:rPr>
              <w:t>Low</w:t>
            </w:r>
          </w:p>
        </w:tc>
        <w:tc>
          <w:tcPr>
            <w:tcW w:w="893" w:type="pct"/>
            <w:gridSpan w:val="2"/>
            <w:tcBorders>
              <w:top w:val="single" w:sz="4" w:space="0" w:color="000000"/>
              <w:bottom w:val="single" w:sz="4" w:space="0" w:color="000000"/>
            </w:tcBorders>
            <w:vAlign w:val="center"/>
          </w:tcPr>
          <w:p w14:paraId="5314CC16" w14:textId="263097FE" w:rsidR="006E497D" w:rsidRPr="00D4309F" w:rsidRDefault="006E497D" w:rsidP="00356360">
            <w:pPr>
              <w:pStyle w:val="Table-Bullet"/>
            </w:pPr>
            <w:r w:rsidRPr="00D4309F">
              <w:t>Dredge sediments likely comprise clean marine sand</w:t>
            </w:r>
            <w:r w:rsidRPr="00D4309F">
              <w:rPr>
                <w:spacing w:val="-13"/>
              </w:rPr>
              <w:t xml:space="preserve"> </w:t>
            </w:r>
            <w:r w:rsidRPr="00D4309F">
              <w:t>free</w:t>
            </w:r>
            <w:r w:rsidRPr="00D4309F">
              <w:rPr>
                <w:spacing w:val="-12"/>
              </w:rPr>
              <w:t xml:space="preserve"> </w:t>
            </w:r>
            <w:r w:rsidRPr="00D4309F">
              <w:t>of</w:t>
            </w:r>
            <w:r w:rsidRPr="00D4309F">
              <w:rPr>
                <w:spacing w:val="-13"/>
              </w:rPr>
              <w:t xml:space="preserve"> </w:t>
            </w:r>
            <w:r w:rsidRPr="00D4309F">
              <w:t xml:space="preserve">contaminants with low organic matter </w:t>
            </w:r>
            <w:r w:rsidRPr="00D4309F">
              <w:rPr>
                <w:spacing w:val="-2"/>
              </w:rPr>
              <w:t>content</w:t>
            </w:r>
          </w:p>
        </w:tc>
        <w:tc>
          <w:tcPr>
            <w:tcW w:w="705" w:type="pct"/>
            <w:tcBorders>
              <w:top w:val="single" w:sz="4" w:space="0" w:color="000000"/>
              <w:bottom w:val="single" w:sz="4" w:space="0" w:color="000000"/>
            </w:tcBorders>
            <w:vAlign w:val="center"/>
          </w:tcPr>
          <w:p w14:paraId="5FE6420E" w14:textId="3143B993" w:rsidR="006E497D" w:rsidRPr="00D4309F" w:rsidRDefault="006E497D" w:rsidP="00356360">
            <w:pPr>
              <w:pStyle w:val="Table-Bullet"/>
              <w:rPr>
                <w:spacing w:val="-4"/>
              </w:rPr>
            </w:pPr>
            <w:r w:rsidRPr="00D4309F">
              <w:t>Assumption</w:t>
            </w:r>
            <w:r w:rsidRPr="00D4309F">
              <w:rPr>
                <w:spacing w:val="-13"/>
              </w:rPr>
              <w:t xml:space="preserve"> </w:t>
            </w:r>
            <w:r w:rsidRPr="00D4309F">
              <w:t>that suitable data exists to inform this risk</w:t>
            </w:r>
          </w:p>
        </w:tc>
        <w:tc>
          <w:tcPr>
            <w:tcW w:w="783" w:type="pct"/>
            <w:tcBorders>
              <w:top w:val="single" w:sz="4" w:space="0" w:color="000000"/>
              <w:bottom w:val="single" w:sz="4" w:space="0" w:color="000000"/>
            </w:tcBorders>
            <w:vAlign w:val="center"/>
          </w:tcPr>
          <w:p w14:paraId="1F80F9AA" w14:textId="0E330F20" w:rsidR="006E497D" w:rsidRPr="00D4309F" w:rsidRDefault="006E497D" w:rsidP="00356360">
            <w:pPr>
              <w:pStyle w:val="Table-Bullet"/>
            </w:pPr>
            <w:r w:rsidRPr="00D4309F">
              <w:rPr>
                <w:spacing w:val="-4"/>
              </w:rPr>
              <w:t>None</w:t>
            </w:r>
          </w:p>
        </w:tc>
      </w:tr>
      <w:tr w:rsidR="006E497D" w:rsidRPr="00D4309F" w14:paraId="3CBA990B" w14:textId="77777777" w:rsidTr="00891147">
        <w:trPr>
          <w:cantSplit/>
          <w:trHeight w:val="20"/>
        </w:trPr>
        <w:tc>
          <w:tcPr>
            <w:tcW w:w="516" w:type="pct"/>
            <w:tcBorders>
              <w:top w:val="single" w:sz="4" w:space="0" w:color="000000"/>
              <w:bottom w:val="single" w:sz="4" w:space="0" w:color="000000"/>
            </w:tcBorders>
            <w:vAlign w:val="center"/>
          </w:tcPr>
          <w:p w14:paraId="371C03D9" w14:textId="5ECAB17E" w:rsidR="006E497D" w:rsidRPr="00D4309F" w:rsidRDefault="006E497D" w:rsidP="00864362">
            <w:pPr>
              <w:pStyle w:val="Table-Text"/>
            </w:pPr>
            <w:r w:rsidRPr="00D4309F">
              <w:lastRenderedPageBreak/>
              <w:t>Marine</w:t>
            </w:r>
            <w:r w:rsidRPr="00D4309F">
              <w:rPr>
                <w:spacing w:val="-4"/>
              </w:rPr>
              <w:t xml:space="preserve"> </w:t>
            </w:r>
            <w:r w:rsidRPr="00D4309F">
              <w:t>fauna</w:t>
            </w:r>
          </w:p>
        </w:tc>
        <w:tc>
          <w:tcPr>
            <w:tcW w:w="391" w:type="pct"/>
            <w:tcBorders>
              <w:top w:val="single" w:sz="4" w:space="0" w:color="000000"/>
              <w:bottom w:val="single" w:sz="4" w:space="0" w:color="000000"/>
            </w:tcBorders>
            <w:vAlign w:val="center"/>
          </w:tcPr>
          <w:p w14:paraId="48CC7EE3" w14:textId="21081773" w:rsidR="006E497D" w:rsidRPr="00D4309F" w:rsidRDefault="006E497D" w:rsidP="00864362">
            <w:pPr>
              <w:pStyle w:val="Table-Text"/>
              <w:rPr>
                <w:spacing w:val="-4"/>
              </w:rPr>
            </w:pPr>
            <w:r w:rsidRPr="00D4309F">
              <w:t>Mobile species</w:t>
            </w:r>
          </w:p>
        </w:tc>
        <w:tc>
          <w:tcPr>
            <w:tcW w:w="1286" w:type="pct"/>
            <w:tcBorders>
              <w:top w:val="single" w:sz="4" w:space="0" w:color="000000"/>
              <w:bottom w:val="single" w:sz="4" w:space="0" w:color="000000"/>
            </w:tcBorders>
            <w:vAlign w:val="center"/>
          </w:tcPr>
          <w:p w14:paraId="4E78671A" w14:textId="77777777" w:rsidR="006E497D" w:rsidRPr="00D4309F" w:rsidRDefault="006E497D" w:rsidP="00356360">
            <w:pPr>
              <w:pStyle w:val="Table-Bullet"/>
            </w:pPr>
            <w:r w:rsidRPr="00D4309F">
              <w:t>Vessel</w:t>
            </w:r>
            <w:r w:rsidRPr="00D4309F">
              <w:rPr>
                <w:spacing w:val="-5"/>
              </w:rPr>
              <w:t xml:space="preserve"> </w:t>
            </w:r>
            <w:r w:rsidRPr="00D4309F">
              <w:rPr>
                <w:spacing w:val="-2"/>
              </w:rPr>
              <w:t>collision</w:t>
            </w:r>
          </w:p>
          <w:p w14:paraId="7C181F7E" w14:textId="77777777" w:rsidR="006E497D" w:rsidRPr="00D4309F" w:rsidRDefault="006E497D" w:rsidP="00356360">
            <w:pPr>
              <w:pStyle w:val="Table-Bullet"/>
            </w:pPr>
            <w:r w:rsidRPr="00D4309F">
              <w:t>Direct</w:t>
            </w:r>
            <w:r w:rsidRPr="00D4309F">
              <w:rPr>
                <w:spacing w:val="-3"/>
              </w:rPr>
              <w:t xml:space="preserve"> </w:t>
            </w:r>
            <w:r w:rsidRPr="00D4309F">
              <w:t>mortality/injury</w:t>
            </w:r>
            <w:r w:rsidRPr="00D4309F">
              <w:rPr>
                <w:spacing w:val="-3"/>
              </w:rPr>
              <w:t xml:space="preserve"> </w:t>
            </w:r>
            <w:r w:rsidRPr="00D4309F">
              <w:t>due</w:t>
            </w:r>
            <w:r w:rsidRPr="00D4309F">
              <w:rPr>
                <w:spacing w:val="-4"/>
              </w:rPr>
              <w:t xml:space="preserve"> </w:t>
            </w:r>
            <w:r w:rsidRPr="00D4309F">
              <w:t>to</w:t>
            </w:r>
            <w:r w:rsidRPr="00D4309F">
              <w:rPr>
                <w:spacing w:val="-3"/>
              </w:rPr>
              <w:t xml:space="preserve"> </w:t>
            </w:r>
            <w:r w:rsidRPr="00D4309F">
              <w:rPr>
                <w:spacing w:val="-2"/>
              </w:rPr>
              <w:t>dredging</w:t>
            </w:r>
          </w:p>
          <w:p w14:paraId="682CA93F" w14:textId="447D16D0" w:rsidR="006E497D" w:rsidRPr="00D4309F" w:rsidRDefault="006E497D" w:rsidP="00356360">
            <w:pPr>
              <w:pStyle w:val="Table-Bullet"/>
            </w:pPr>
            <w:r w:rsidRPr="00D4309F">
              <w:t>Mortality/injury/behavioural</w:t>
            </w:r>
            <w:r w:rsidRPr="00D4309F">
              <w:rPr>
                <w:spacing w:val="-13"/>
              </w:rPr>
              <w:t xml:space="preserve"> </w:t>
            </w:r>
            <w:r w:rsidRPr="00D4309F">
              <w:t>response due to physical effects of turbidity</w:t>
            </w:r>
          </w:p>
        </w:tc>
        <w:tc>
          <w:tcPr>
            <w:tcW w:w="426" w:type="pct"/>
            <w:tcBorders>
              <w:top w:val="single" w:sz="4" w:space="0" w:color="000000"/>
              <w:bottom w:val="single" w:sz="4" w:space="0" w:color="000000"/>
            </w:tcBorders>
            <w:shd w:val="clear" w:color="auto" w:fill="92D050"/>
            <w:vAlign w:val="center"/>
          </w:tcPr>
          <w:p w14:paraId="1465CD7A" w14:textId="0DE11517" w:rsidR="006E497D" w:rsidRPr="00C21373" w:rsidRDefault="006E497D" w:rsidP="00C21373">
            <w:pPr>
              <w:pStyle w:val="Table-Text"/>
              <w:rPr>
                <w:b/>
                <w:bCs/>
              </w:rPr>
            </w:pPr>
            <w:r w:rsidRPr="00C21373">
              <w:rPr>
                <w:b/>
                <w:bCs/>
              </w:rPr>
              <w:t>Low</w:t>
            </w:r>
          </w:p>
        </w:tc>
        <w:tc>
          <w:tcPr>
            <w:tcW w:w="893" w:type="pct"/>
            <w:gridSpan w:val="2"/>
            <w:tcBorders>
              <w:top w:val="single" w:sz="4" w:space="0" w:color="000000"/>
              <w:bottom w:val="single" w:sz="4" w:space="0" w:color="000000"/>
            </w:tcBorders>
            <w:vAlign w:val="center"/>
          </w:tcPr>
          <w:p w14:paraId="208870E7" w14:textId="0EF2B992" w:rsidR="006E497D" w:rsidRPr="00D4309F" w:rsidRDefault="006E497D" w:rsidP="00356360">
            <w:pPr>
              <w:pStyle w:val="Table-Bullet"/>
            </w:pPr>
            <w:r w:rsidRPr="00D4309F">
              <w:t>Mobile species including the critically endangered Grey Nurse Shark and conservation dependent scalloped hammerhead will</w:t>
            </w:r>
            <w:r w:rsidRPr="00D4309F">
              <w:rPr>
                <w:spacing w:val="-10"/>
              </w:rPr>
              <w:t xml:space="preserve"> </w:t>
            </w:r>
            <w:r w:rsidRPr="00D4309F">
              <w:t>actively</w:t>
            </w:r>
            <w:r w:rsidRPr="00D4309F">
              <w:rPr>
                <w:spacing w:val="-10"/>
              </w:rPr>
              <w:t xml:space="preserve"> </w:t>
            </w:r>
            <w:r w:rsidRPr="00D4309F">
              <w:t>avoid</w:t>
            </w:r>
            <w:r w:rsidRPr="00D4309F">
              <w:rPr>
                <w:spacing w:val="-11"/>
              </w:rPr>
              <w:t xml:space="preserve"> </w:t>
            </w:r>
            <w:r w:rsidRPr="00D4309F">
              <w:t>areas</w:t>
            </w:r>
            <w:r w:rsidRPr="00D4309F">
              <w:rPr>
                <w:spacing w:val="-10"/>
              </w:rPr>
              <w:t xml:space="preserve"> </w:t>
            </w:r>
            <w:r w:rsidRPr="00D4309F">
              <w:t xml:space="preserve">of </w:t>
            </w:r>
            <w:r w:rsidRPr="00D4309F">
              <w:rPr>
                <w:spacing w:val="-2"/>
              </w:rPr>
              <w:t>activity.</w:t>
            </w:r>
          </w:p>
        </w:tc>
        <w:tc>
          <w:tcPr>
            <w:tcW w:w="705" w:type="pct"/>
            <w:tcBorders>
              <w:top w:val="single" w:sz="4" w:space="0" w:color="000000"/>
              <w:bottom w:val="single" w:sz="4" w:space="0" w:color="000000"/>
            </w:tcBorders>
            <w:vAlign w:val="center"/>
          </w:tcPr>
          <w:p w14:paraId="2D600E82" w14:textId="10C5E1F2" w:rsidR="006E497D" w:rsidRPr="00D4309F" w:rsidRDefault="006E497D" w:rsidP="00356360">
            <w:pPr>
              <w:pStyle w:val="Table-Bullet"/>
            </w:pPr>
            <w:r w:rsidRPr="00D4309F">
              <w:rPr>
                <w:spacing w:val="-4"/>
              </w:rPr>
              <w:t>None</w:t>
            </w:r>
          </w:p>
        </w:tc>
        <w:tc>
          <w:tcPr>
            <w:tcW w:w="783" w:type="pct"/>
            <w:tcBorders>
              <w:top w:val="single" w:sz="4" w:space="0" w:color="000000"/>
              <w:bottom w:val="single" w:sz="4" w:space="0" w:color="000000"/>
            </w:tcBorders>
            <w:vAlign w:val="center"/>
          </w:tcPr>
          <w:p w14:paraId="59195ABB" w14:textId="1279B478" w:rsidR="006E497D" w:rsidRPr="00D4309F" w:rsidRDefault="006E497D" w:rsidP="00356360">
            <w:pPr>
              <w:pStyle w:val="Table-Bullet"/>
              <w:rPr>
                <w:spacing w:val="-4"/>
              </w:rPr>
            </w:pPr>
            <w:r w:rsidRPr="00D4309F">
              <w:rPr>
                <w:spacing w:val="-4"/>
              </w:rPr>
              <w:t>None</w:t>
            </w:r>
          </w:p>
        </w:tc>
      </w:tr>
      <w:tr w:rsidR="006E497D" w:rsidRPr="00D4309F" w14:paraId="25635768" w14:textId="77777777" w:rsidTr="00891147">
        <w:trPr>
          <w:cantSplit/>
          <w:trHeight w:val="20"/>
        </w:trPr>
        <w:tc>
          <w:tcPr>
            <w:tcW w:w="516" w:type="pct"/>
            <w:tcBorders>
              <w:top w:val="single" w:sz="4" w:space="0" w:color="000000"/>
              <w:bottom w:val="single" w:sz="4" w:space="0" w:color="000000"/>
            </w:tcBorders>
            <w:vAlign w:val="center"/>
          </w:tcPr>
          <w:p w14:paraId="5BAEFE3A" w14:textId="2561DCAB" w:rsidR="006E497D" w:rsidRPr="00D4309F" w:rsidRDefault="006E497D" w:rsidP="00864362">
            <w:pPr>
              <w:pStyle w:val="Table-Text"/>
            </w:pPr>
            <w:r w:rsidRPr="00D4309F">
              <w:t>Marine</w:t>
            </w:r>
            <w:r w:rsidRPr="00D4309F">
              <w:rPr>
                <w:spacing w:val="-4"/>
              </w:rPr>
              <w:t xml:space="preserve"> </w:t>
            </w:r>
            <w:r w:rsidRPr="00D4309F">
              <w:t>fauna</w:t>
            </w:r>
          </w:p>
        </w:tc>
        <w:tc>
          <w:tcPr>
            <w:tcW w:w="391" w:type="pct"/>
            <w:tcBorders>
              <w:top w:val="single" w:sz="4" w:space="0" w:color="000000"/>
              <w:bottom w:val="single" w:sz="4" w:space="0" w:color="000000"/>
            </w:tcBorders>
            <w:vAlign w:val="center"/>
          </w:tcPr>
          <w:p w14:paraId="635BDCBF" w14:textId="365B6284" w:rsidR="006E497D" w:rsidRPr="00D4309F" w:rsidRDefault="006E497D" w:rsidP="00864362">
            <w:pPr>
              <w:pStyle w:val="Table-Text"/>
              <w:rPr>
                <w:spacing w:val="-4"/>
              </w:rPr>
            </w:pPr>
            <w:r w:rsidRPr="00D4309F">
              <w:t>Mobile species</w:t>
            </w:r>
          </w:p>
        </w:tc>
        <w:tc>
          <w:tcPr>
            <w:tcW w:w="1286" w:type="pct"/>
            <w:tcBorders>
              <w:top w:val="single" w:sz="4" w:space="0" w:color="000000"/>
              <w:bottom w:val="single" w:sz="4" w:space="0" w:color="000000"/>
            </w:tcBorders>
            <w:vAlign w:val="center"/>
          </w:tcPr>
          <w:p w14:paraId="563077E2" w14:textId="6ADF25FC" w:rsidR="006E497D" w:rsidRPr="00D4309F" w:rsidRDefault="006E497D" w:rsidP="00356360">
            <w:pPr>
              <w:pStyle w:val="Table-Bullet"/>
            </w:pPr>
            <w:r w:rsidRPr="00D4309F">
              <w:t>Mortality/injury/behavioural</w:t>
            </w:r>
            <w:r w:rsidRPr="00D4309F">
              <w:rPr>
                <w:spacing w:val="-13"/>
              </w:rPr>
              <w:t xml:space="preserve"> </w:t>
            </w:r>
            <w:r w:rsidRPr="00D4309F">
              <w:t xml:space="preserve">response due to toxic effects due to release of </w:t>
            </w:r>
            <w:r w:rsidRPr="00D4309F">
              <w:rPr>
                <w:spacing w:val="-2"/>
              </w:rPr>
              <w:t>contaminants/hypoxia</w:t>
            </w:r>
          </w:p>
        </w:tc>
        <w:tc>
          <w:tcPr>
            <w:tcW w:w="426" w:type="pct"/>
            <w:tcBorders>
              <w:top w:val="single" w:sz="4" w:space="0" w:color="000000"/>
              <w:bottom w:val="single" w:sz="4" w:space="0" w:color="000000"/>
            </w:tcBorders>
            <w:shd w:val="clear" w:color="auto" w:fill="92D050"/>
            <w:vAlign w:val="center"/>
          </w:tcPr>
          <w:p w14:paraId="1C73F38B" w14:textId="0DC1320E" w:rsidR="006E497D" w:rsidRPr="00C21373" w:rsidRDefault="006E497D" w:rsidP="00C21373">
            <w:pPr>
              <w:pStyle w:val="Table-Text"/>
              <w:rPr>
                <w:b/>
                <w:bCs/>
              </w:rPr>
            </w:pPr>
            <w:r w:rsidRPr="00C21373">
              <w:rPr>
                <w:b/>
                <w:bCs/>
              </w:rPr>
              <w:t>Low</w:t>
            </w:r>
          </w:p>
        </w:tc>
        <w:tc>
          <w:tcPr>
            <w:tcW w:w="893" w:type="pct"/>
            <w:gridSpan w:val="2"/>
            <w:tcBorders>
              <w:top w:val="single" w:sz="4" w:space="0" w:color="000000"/>
              <w:bottom w:val="single" w:sz="4" w:space="0" w:color="000000"/>
            </w:tcBorders>
            <w:vAlign w:val="center"/>
          </w:tcPr>
          <w:p w14:paraId="2752D831" w14:textId="47AA0027" w:rsidR="006E497D" w:rsidRPr="00D4309F" w:rsidRDefault="006E497D" w:rsidP="00356360">
            <w:pPr>
              <w:pStyle w:val="Table-Bullet"/>
            </w:pPr>
            <w:r w:rsidRPr="00D4309F">
              <w:t>Dredge sediments likely comprise clean marine sand</w:t>
            </w:r>
            <w:r w:rsidRPr="00D4309F">
              <w:rPr>
                <w:spacing w:val="-13"/>
              </w:rPr>
              <w:t xml:space="preserve"> </w:t>
            </w:r>
            <w:r w:rsidRPr="00D4309F">
              <w:t>free</w:t>
            </w:r>
            <w:r w:rsidRPr="00D4309F">
              <w:rPr>
                <w:spacing w:val="-12"/>
              </w:rPr>
              <w:t xml:space="preserve"> </w:t>
            </w:r>
            <w:r w:rsidRPr="00D4309F">
              <w:t>of</w:t>
            </w:r>
            <w:r w:rsidRPr="00D4309F">
              <w:rPr>
                <w:spacing w:val="-13"/>
              </w:rPr>
              <w:t xml:space="preserve"> </w:t>
            </w:r>
            <w:r w:rsidRPr="00D4309F">
              <w:t xml:space="preserve">contaminants with low organic matter </w:t>
            </w:r>
            <w:r w:rsidRPr="00D4309F">
              <w:rPr>
                <w:spacing w:val="-2"/>
              </w:rPr>
              <w:t>content</w:t>
            </w:r>
          </w:p>
        </w:tc>
        <w:tc>
          <w:tcPr>
            <w:tcW w:w="705" w:type="pct"/>
            <w:tcBorders>
              <w:top w:val="single" w:sz="4" w:space="0" w:color="000000"/>
              <w:bottom w:val="single" w:sz="4" w:space="0" w:color="000000"/>
            </w:tcBorders>
            <w:vAlign w:val="center"/>
          </w:tcPr>
          <w:p w14:paraId="303C8839" w14:textId="5FD4B36E" w:rsidR="006E497D" w:rsidRPr="00D4309F" w:rsidRDefault="006E497D" w:rsidP="00356360">
            <w:pPr>
              <w:pStyle w:val="Table-Bullet"/>
            </w:pPr>
            <w:r w:rsidRPr="00D4309F">
              <w:t>Assumption</w:t>
            </w:r>
            <w:r w:rsidRPr="00D4309F">
              <w:rPr>
                <w:spacing w:val="-13"/>
              </w:rPr>
              <w:t xml:space="preserve"> </w:t>
            </w:r>
            <w:r w:rsidRPr="00D4309F">
              <w:t>that suitable data exists to inform this risk</w:t>
            </w:r>
          </w:p>
        </w:tc>
        <w:tc>
          <w:tcPr>
            <w:tcW w:w="783" w:type="pct"/>
            <w:tcBorders>
              <w:top w:val="single" w:sz="4" w:space="0" w:color="000000"/>
              <w:bottom w:val="single" w:sz="4" w:space="0" w:color="000000"/>
            </w:tcBorders>
            <w:vAlign w:val="center"/>
          </w:tcPr>
          <w:p w14:paraId="1D42C3EF" w14:textId="7DF465F0" w:rsidR="006E497D" w:rsidRPr="00D4309F" w:rsidRDefault="006E497D" w:rsidP="00356360">
            <w:pPr>
              <w:pStyle w:val="Table-Bullet"/>
              <w:rPr>
                <w:spacing w:val="-4"/>
              </w:rPr>
            </w:pPr>
            <w:r w:rsidRPr="00D4309F">
              <w:rPr>
                <w:spacing w:val="-4"/>
              </w:rPr>
              <w:t>None</w:t>
            </w:r>
          </w:p>
        </w:tc>
      </w:tr>
      <w:tr w:rsidR="006E497D" w:rsidRPr="00D4309F" w14:paraId="781802E2" w14:textId="77777777" w:rsidTr="00891147">
        <w:trPr>
          <w:cantSplit/>
          <w:trHeight w:val="20"/>
        </w:trPr>
        <w:tc>
          <w:tcPr>
            <w:tcW w:w="516" w:type="pct"/>
            <w:tcBorders>
              <w:top w:val="single" w:sz="4" w:space="0" w:color="000000"/>
              <w:bottom w:val="single" w:sz="4" w:space="0" w:color="000000"/>
            </w:tcBorders>
            <w:vAlign w:val="center"/>
          </w:tcPr>
          <w:p w14:paraId="513ED6AB" w14:textId="71A04045" w:rsidR="006E497D" w:rsidRPr="00D4309F" w:rsidRDefault="006E497D" w:rsidP="00864362">
            <w:pPr>
              <w:pStyle w:val="Table-Text"/>
            </w:pPr>
            <w:r w:rsidRPr="00D4309F">
              <w:t>Benthic habitats</w:t>
            </w:r>
          </w:p>
        </w:tc>
        <w:tc>
          <w:tcPr>
            <w:tcW w:w="391" w:type="pct"/>
            <w:tcBorders>
              <w:top w:val="single" w:sz="4" w:space="0" w:color="000000"/>
              <w:bottom w:val="single" w:sz="4" w:space="0" w:color="000000"/>
            </w:tcBorders>
            <w:vAlign w:val="center"/>
          </w:tcPr>
          <w:p w14:paraId="72BE3290" w14:textId="2BCE952C" w:rsidR="006E497D" w:rsidRPr="00D4309F" w:rsidRDefault="006E497D" w:rsidP="00864362">
            <w:pPr>
              <w:pStyle w:val="Table-Text"/>
              <w:rPr>
                <w:spacing w:val="-4"/>
              </w:rPr>
            </w:pPr>
            <w:r w:rsidRPr="00D4309F">
              <w:t>Rocky</w:t>
            </w:r>
            <w:r w:rsidRPr="00D4309F">
              <w:rPr>
                <w:spacing w:val="-13"/>
              </w:rPr>
              <w:t xml:space="preserve"> </w:t>
            </w:r>
            <w:r w:rsidRPr="00D4309F">
              <w:t>reef habitat, seagrass and</w:t>
            </w:r>
            <w:r w:rsidRPr="00D4309F">
              <w:rPr>
                <w:spacing w:val="-9"/>
              </w:rPr>
              <w:t xml:space="preserve"> </w:t>
            </w:r>
            <w:r w:rsidRPr="00D4309F">
              <w:t>corals</w:t>
            </w:r>
          </w:p>
        </w:tc>
        <w:tc>
          <w:tcPr>
            <w:tcW w:w="1286" w:type="pct"/>
            <w:tcBorders>
              <w:top w:val="single" w:sz="4" w:space="0" w:color="000000"/>
              <w:bottom w:val="single" w:sz="4" w:space="0" w:color="000000"/>
            </w:tcBorders>
            <w:vAlign w:val="center"/>
          </w:tcPr>
          <w:p w14:paraId="2F3D8770" w14:textId="77777777" w:rsidR="006E497D" w:rsidRPr="00D4309F" w:rsidRDefault="006E497D" w:rsidP="00356360">
            <w:pPr>
              <w:pStyle w:val="Table-Bullet"/>
            </w:pPr>
            <w:r w:rsidRPr="00D4309F">
              <w:t>Direct</w:t>
            </w:r>
            <w:r w:rsidRPr="00D4309F">
              <w:rPr>
                <w:spacing w:val="-2"/>
              </w:rPr>
              <w:t xml:space="preserve"> </w:t>
            </w:r>
            <w:r w:rsidRPr="00D4309F">
              <w:t>removal</w:t>
            </w:r>
            <w:r w:rsidRPr="00D4309F">
              <w:rPr>
                <w:spacing w:val="-1"/>
              </w:rPr>
              <w:t xml:space="preserve"> </w:t>
            </w:r>
            <w:r w:rsidRPr="00D4309F">
              <w:t>due</w:t>
            </w:r>
            <w:r w:rsidRPr="00D4309F">
              <w:rPr>
                <w:spacing w:val="-3"/>
              </w:rPr>
              <w:t xml:space="preserve"> </w:t>
            </w:r>
            <w:r w:rsidRPr="00D4309F">
              <w:t>to</w:t>
            </w:r>
            <w:r w:rsidRPr="00D4309F">
              <w:rPr>
                <w:spacing w:val="-2"/>
              </w:rPr>
              <w:t xml:space="preserve"> dredging</w:t>
            </w:r>
          </w:p>
          <w:p w14:paraId="66818DFB" w14:textId="77777777" w:rsidR="006E497D" w:rsidRPr="00D4309F" w:rsidRDefault="006E497D" w:rsidP="00356360">
            <w:pPr>
              <w:pStyle w:val="Table-Bullet"/>
            </w:pPr>
            <w:r w:rsidRPr="00D4309F">
              <w:t>Generation</w:t>
            </w:r>
            <w:r w:rsidRPr="00D4309F">
              <w:rPr>
                <w:spacing w:val="-4"/>
              </w:rPr>
              <w:t xml:space="preserve"> </w:t>
            </w:r>
            <w:r w:rsidRPr="00D4309F">
              <w:t>of</w:t>
            </w:r>
            <w:r w:rsidRPr="00D4309F">
              <w:rPr>
                <w:spacing w:val="-3"/>
              </w:rPr>
              <w:t xml:space="preserve"> </w:t>
            </w:r>
            <w:r w:rsidRPr="00D4309F">
              <w:rPr>
                <w:spacing w:val="-2"/>
              </w:rPr>
              <w:t>turbidity</w:t>
            </w:r>
          </w:p>
          <w:p w14:paraId="05A6B35B" w14:textId="1330BC2A" w:rsidR="006E497D" w:rsidRPr="00D4309F" w:rsidRDefault="006E497D" w:rsidP="00356360">
            <w:pPr>
              <w:pStyle w:val="Table-Bullet"/>
            </w:pPr>
            <w:r w:rsidRPr="00D4309F">
              <w:rPr>
                <w:spacing w:val="-2"/>
              </w:rPr>
              <w:t>Smothering</w:t>
            </w:r>
          </w:p>
        </w:tc>
        <w:tc>
          <w:tcPr>
            <w:tcW w:w="426" w:type="pct"/>
            <w:tcBorders>
              <w:top w:val="single" w:sz="4" w:space="0" w:color="000000"/>
              <w:bottom w:val="single" w:sz="4" w:space="0" w:color="000000"/>
            </w:tcBorders>
            <w:shd w:val="clear" w:color="auto" w:fill="FFFF00"/>
            <w:vAlign w:val="center"/>
          </w:tcPr>
          <w:p w14:paraId="673B530B" w14:textId="5DF61E0D" w:rsidR="006E497D" w:rsidRPr="00C21373" w:rsidRDefault="006E497D" w:rsidP="00C21373">
            <w:pPr>
              <w:pStyle w:val="Table-Text"/>
              <w:rPr>
                <w:b/>
                <w:bCs/>
              </w:rPr>
            </w:pPr>
            <w:r w:rsidRPr="00C21373">
              <w:rPr>
                <w:b/>
                <w:bCs/>
                <w:spacing w:val="-2"/>
              </w:rPr>
              <w:t>Moderate</w:t>
            </w:r>
          </w:p>
        </w:tc>
        <w:tc>
          <w:tcPr>
            <w:tcW w:w="893" w:type="pct"/>
            <w:gridSpan w:val="2"/>
            <w:tcBorders>
              <w:top w:val="single" w:sz="4" w:space="0" w:color="000000"/>
              <w:bottom w:val="single" w:sz="4" w:space="0" w:color="000000"/>
            </w:tcBorders>
            <w:vAlign w:val="center"/>
          </w:tcPr>
          <w:p w14:paraId="4720746F" w14:textId="77777777" w:rsidR="006E497D" w:rsidRDefault="006E497D" w:rsidP="00356360">
            <w:pPr>
              <w:pStyle w:val="Table-Bullet"/>
            </w:pPr>
            <w:r w:rsidRPr="00D4309F">
              <w:t>The dredge area comprises</w:t>
            </w:r>
            <w:r w:rsidRPr="00D4309F">
              <w:rPr>
                <w:spacing w:val="-15"/>
              </w:rPr>
              <w:t xml:space="preserve"> </w:t>
            </w:r>
            <w:r w:rsidRPr="00D4309F">
              <w:t>bare</w:t>
            </w:r>
            <w:r w:rsidRPr="00D4309F">
              <w:rPr>
                <w:spacing w:val="-12"/>
              </w:rPr>
              <w:t xml:space="preserve"> </w:t>
            </w:r>
            <w:r w:rsidRPr="00D4309F">
              <w:t>sand</w:t>
            </w:r>
          </w:p>
          <w:p w14:paraId="431F9F90" w14:textId="77777777" w:rsidR="006E497D" w:rsidRPr="00D4309F" w:rsidRDefault="006E497D" w:rsidP="00356360">
            <w:pPr>
              <w:pStyle w:val="Table-Bullet"/>
            </w:pPr>
            <w:r w:rsidRPr="00D4309F">
              <w:t>Further assessment is required to determine if the potential turbidity generated will impact sensitive</w:t>
            </w:r>
            <w:r w:rsidRPr="00D4309F">
              <w:rPr>
                <w:spacing w:val="-15"/>
              </w:rPr>
              <w:t xml:space="preserve"> </w:t>
            </w:r>
            <w:r w:rsidRPr="00D4309F">
              <w:t>marine</w:t>
            </w:r>
            <w:r w:rsidRPr="00D4309F">
              <w:rPr>
                <w:spacing w:val="-12"/>
              </w:rPr>
              <w:t xml:space="preserve"> </w:t>
            </w:r>
            <w:r w:rsidRPr="00D4309F">
              <w:t>habitats.</w:t>
            </w:r>
          </w:p>
          <w:p w14:paraId="69EDB48B" w14:textId="2F393DF7" w:rsidR="006E497D" w:rsidRPr="00D4309F" w:rsidRDefault="006E497D" w:rsidP="00356360">
            <w:pPr>
              <w:pStyle w:val="Table-Bullet"/>
            </w:pPr>
            <w:r w:rsidRPr="00D4309F">
              <w:t>Dredging and disposal is in</w:t>
            </w:r>
            <w:r w:rsidRPr="00D4309F">
              <w:rPr>
                <w:spacing w:val="-10"/>
              </w:rPr>
              <w:t xml:space="preserve"> </w:t>
            </w:r>
            <w:r w:rsidRPr="00D4309F">
              <w:t>a</w:t>
            </w:r>
            <w:r w:rsidRPr="00D4309F">
              <w:rPr>
                <w:spacing w:val="-10"/>
              </w:rPr>
              <w:t xml:space="preserve"> </w:t>
            </w:r>
            <w:r w:rsidRPr="00D4309F">
              <w:t>dynamic,</w:t>
            </w:r>
            <w:r w:rsidRPr="00D4309F">
              <w:rPr>
                <w:spacing w:val="-9"/>
              </w:rPr>
              <w:t xml:space="preserve"> </w:t>
            </w:r>
            <w:r w:rsidRPr="00D4309F">
              <w:t>open</w:t>
            </w:r>
            <w:r w:rsidRPr="00D4309F">
              <w:rPr>
                <w:spacing w:val="-10"/>
              </w:rPr>
              <w:t xml:space="preserve"> </w:t>
            </w:r>
            <w:r w:rsidRPr="00D4309F">
              <w:t xml:space="preserve">ocean environment, any plume will likely dissipate </w:t>
            </w:r>
            <w:r w:rsidRPr="00D4309F">
              <w:rPr>
                <w:spacing w:val="-2"/>
              </w:rPr>
              <w:t>quickly.</w:t>
            </w:r>
          </w:p>
        </w:tc>
        <w:tc>
          <w:tcPr>
            <w:tcW w:w="705" w:type="pct"/>
            <w:tcBorders>
              <w:top w:val="single" w:sz="4" w:space="0" w:color="000000"/>
              <w:bottom w:val="single" w:sz="4" w:space="0" w:color="000000"/>
            </w:tcBorders>
            <w:vAlign w:val="center"/>
          </w:tcPr>
          <w:p w14:paraId="5C85AFEB" w14:textId="77777777" w:rsidR="006E497D" w:rsidRPr="00D4309F" w:rsidRDefault="006E497D" w:rsidP="00356360">
            <w:pPr>
              <w:pStyle w:val="Table-Bullet"/>
            </w:pPr>
            <w:r w:rsidRPr="00D4309F">
              <w:t>Benthic habitat assessment in and</w:t>
            </w:r>
            <w:r w:rsidRPr="00D4309F">
              <w:rPr>
                <w:spacing w:val="-13"/>
              </w:rPr>
              <w:t xml:space="preserve"> </w:t>
            </w:r>
            <w:r w:rsidRPr="00D4309F">
              <w:t>surrounding dredging area</w:t>
            </w:r>
          </w:p>
          <w:p w14:paraId="5F3439BF" w14:textId="0FBAA14B" w:rsidR="006E497D" w:rsidRPr="00D4309F" w:rsidRDefault="006E497D" w:rsidP="00356360">
            <w:pPr>
              <w:pStyle w:val="Table-Bullet"/>
            </w:pPr>
            <w:r w:rsidRPr="00D4309F">
              <w:t>Dredge</w:t>
            </w:r>
            <w:r w:rsidRPr="00D4309F">
              <w:rPr>
                <w:spacing w:val="-13"/>
              </w:rPr>
              <w:t xml:space="preserve"> </w:t>
            </w:r>
            <w:r w:rsidRPr="00D4309F">
              <w:t xml:space="preserve">plume </w:t>
            </w:r>
            <w:r w:rsidRPr="00D4309F">
              <w:rPr>
                <w:spacing w:val="-2"/>
              </w:rPr>
              <w:t>modelling</w:t>
            </w:r>
          </w:p>
        </w:tc>
        <w:tc>
          <w:tcPr>
            <w:tcW w:w="783" w:type="pct"/>
            <w:tcBorders>
              <w:top w:val="single" w:sz="4" w:space="0" w:color="000000"/>
              <w:bottom w:val="single" w:sz="4" w:space="0" w:color="000000"/>
            </w:tcBorders>
            <w:vAlign w:val="center"/>
          </w:tcPr>
          <w:p w14:paraId="71983AE3" w14:textId="05CA6256" w:rsidR="006E497D" w:rsidRPr="00D4309F" w:rsidRDefault="006E497D" w:rsidP="00356360">
            <w:pPr>
              <w:pStyle w:val="Table-Bullet"/>
              <w:rPr>
                <w:spacing w:val="-4"/>
              </w:rPr>
            </w:pPr>
            <w:r w:rsidRPr="00D4309F">
              <w:t>Turbidity</w:t>
            </w:r>
            <w:r w:rsidRPr="00D4309F">
              <w:rPr>
                <w:spacing w:val="-13"/>
              </w:rPr>
              <w:t xml:space="preserve"> </w:t>
            </w:r>
            <w:r w:rsidRPr="00D4309F">
              <w:t>monitoring during works</w:t>
            </w:r>
          </w:p>
        </w:tc>
      </w:tr>
      <w:tr w:rsidR="006E497D" w:rsidRPr="00D4309F" w14:paraId="679DD743" w14:textId="77777777" w:rsidTr="00891147">
        <w:trPr>
          <w:cantSplit/>
          <w:trHeight w:val="20"/>
        </w:trPr>
        <w:tc>
          <w:tcPr>
            <w:tcW w:w="516" w:type="pct"/>
            <w:tcBorders>
              <w:top w:val="single" w:sz="4" w:space="0" w:color="000000"/>
            </w:tcBorders>
            <w:vAlign w:val="center"/>
          </w:tcPr>
          <w:p w14:paraId="57DA4D97" w14:textId="07F11C4D" w:rsidR="006E497D" w:rsidRPr="00D4309F" w:rsidRDefault="006E497D" w:rsidP="00864362">
            <w:pPr>
              <w:pStyle w:val="Table-Text"/>
            </w:pPr>
            <w:r w:rsidRPr="00D4309F">
              <w:t>Benthic habitats</w:t>
            </w:r>
          </w:p>
        </w:tc>
        <w:tc>
          <w:tcPr>
            <w:tcW w:w="391" w:type="pct"/>
            <w:tcBorders>
              <w:top w:val="single" w:sz="4" w:space="0" w:color="000000"/>
            </w:tcBorders>
            <w:vAlign w:val="center"/>
          </w:tcPr>
          <w:p w14:paraId="6CDF8CDE" w14:textId="47D75D16" w:rsidR="006E497D" w:rsidRPr="00D4309F" w:rsidRDefault="006E497D" w:rsidP="00864362">
            <w:pPr>
              <w:pStyle w:val="Table-Text"/>
            </w:pPr>
            <w:r w:rsidRPr="00D4309F">
              <w:t>Rocky</w:t>
            </w:r>
            <w:r w:rsidRPr="00D4309F">
              <w:rPr>
                <w:spacing w:val="-13"/>
              </w:rPr>
              <w:t xml:space="preserve"> </w:t>
            </w:r>
            <w:r w:rsidRPr="00D4309F">
              <w:t>reef habitat, seagrass and</w:t>
            </w:r>
            <w:r w:rsidRPr="00D4309F">
              <w:rPr>
                <w:spacing w:val="-9"/>
              </w:rPr>
              <w:t xml:space="preserve"> </w:t>
            </w:r>
            <w:r w:rsidRPr="00D4309F">
              <w:t>corals</w:t>
            </w:r>
          </w:p>
        </w:tc>
        <w:tc>
          <w:tcPr>
            <w:tcW w:w="1286" w:type="pct"/>
            <w:tcBorders>
              <w:top w:val="single" w:sz="4" w:space="0" w:color="000000"/>
            </w:tcBorders>
            <w:vAlign w:val="center"/>
          </w:tcPr>
          <w:p w14:paraId="572C19E2" w14:textId="330F1039" w:rsidR="006E497D" w:rsidRPr="00D4309F" w:rsidRDefault="006E497D" w:rsidP="00356360">
            <w:pPr>
              <w:pStyle w:val="Table-Bullet"/>
            </w:pPr>
            <w:r w:rsidRPr="00D4309F">
              <w:t>Release</w:t>
            </w:r>
            <w:r w:rsidRPr="00D4309F">
              <w:rPr>
                <w:spacing w:val="-4"/>
              </w:rPr>
              <w:t xml:space="preserve"> </w:t>
            </w:r>
            <w:r w:rsidRPr="00D4309F">
              <w:t>of</w:t>
            </w:r>
            <w:r w:rsidRPr="00D4309F">
              <w:rPr>
                <w:spacing w:val="-2"/>
              </w:rPr>
              <w:t xml:space="preserve"> contaminants/hypoxia</w:t>
            </w:r>
          </w:p>
        </w:tc>
        <w:tc>
          <w:tcPr>
            <w:tcW w:w="426" w:type="pct"/>
            <w:tcBorders>
              <w:top w:val="single" w:sz="4" w:space="0" w:color="000000"/>
            </w:tcBorders>
            <w:shd w:val="clear" w:color="auto" w:fill="92D050"/>
            <w:vAlign w:val="center"/>
          </w:tcPr>
          <w:p w14:paraId="51E9C90B" w14:textId="39A1218B" w:rsidR="006E497D" w:rsidRPr="00C21373" w:rsidRDefault="006E497D" w:rsidP="00C21373">
            <w:pPr>
              <w:pStyle w:val="Table-Text"/>
              <w:rPr>
                <w:b/>
                <w:bCs/>
                <w:spacing w:val="-2"/>
              </w:rPr>
            </w:pPr>
            <w:r w:rsidRPr="00C21373">
              <w:rPr>
                <w:b/>
                <w:bCs/>
              </w:rPr>
              <w:t>Low</w:t>
            </w:r>
          </w:p>
        </w:tc>
        <w:tc>
          <w:tcPr>
            <w:tcW w:w="893" w:type="pct"/>
            <w:gridSpan w:val="2"/>
            <w:tcBorders>
              <w:top w:val="single" w:sz="4" w:space="0" w:color="000000"/>
            </w:tcBorders>
            <w:vAlign w:val="center"/>
          </w:tcPr>
          <w:p w14:paraId="10D291F3" w14:textId="652656C8" w:rsidR="006E497D" w:rsidRPr="00D4309F" w:rsidRDefault="006E497D" w:rsidP="00356360">
            <w:pPr>
              <w:pStyle w:val="Table-Bullet"/>
            </w:pPr>
            <w:r w:rsidRPr="00D4309F">
              <w:t>Dredge sediments likely comprise clean marine sand</w:t>
            </w:r>
            <w:r w:rsidRPr="00D4309F">
              <w:rPr>
                <w:spacing w:val="-13"/>
              </w:rPr>
              <w:t xml:space="preserve"> </w:t>
            </w:r>
            <w:r w:rsidRPr="00D4309F">
              <w:t>free</w:t>
            </w:r>
            <w:r w:rsidRPr="00D4309F">
              <w:rPr>
                <w:spacing w:val="-12"/>
              </w:rPr>
              <w:t xml:space="preserve"> </w:t>
            </w:r>
            <w:r w:rsidRPr="00D4309F">
              <w:t>of</w:t>
            </w:r>
            <w:r w:rsidRPr="00D4309F">
              <w:rPr>
                <w:spacing w:val="-13"/>
              </w:rPr>
              <w:t xml:space="preserve"> </w:t>
            </w:r>
            <w:r w:rsidRPr="00D4309F">
              <w:t xml:space="preserve">contaminants with low organic matter </w:t>
            </w:r>
            <w:r w:rsidRPr="00D4309F">
              <w:rPr>
                <w:spacing w:val="-2"/>
              </w:rPr>
              <w:t>content</w:t>
            </w:r>
          </w:p>
        </w:tc>
        <w:tc>
          <w:tcPr>
            <w:tcW w:w="705" w:type="pct"/>
            <w:tcBorders>
              <w:top w:val="single" w:sz="4" w:space="0" w:color="000000"/>
            </w:tcBorders>
            <w:vAlign w:val="center"/>
          </w:tcPr>
          <w:p w14:paraId="7935E0C7" w14:textId="0ADC34FD" w:rsidR="006E497D" w:rsidRPr="00D4309F" w:rsidRDefault="006E497D" w:rsidP="00356360">
            <w:pPr>
              <w:pStyle w:val="Table-Bullet"/>
            </w:pPr>
            <w:r w:rsidRPr="00D4309F">
              <w:t>Assumption</w:t>
            </w:r>
            <w:r w:rsidRPr="00D4309F">
              <w:rPr>
                <w:spacing w:val="-13"/>
              </w:rPr>
              <w:t xml:space="preserve"> </w:t>
            </w:r>
            <w:r w:rsidRPr="00D4309F">
              <w:t>that suitable data exists to inform this risk</w:t>
            </w:r>
          </w:p>
        </w:tc>
        <w:tc>
          <w:tcPr>
            <w:tcW w:w="783" w:type="pct"/>
            <w:tcBorders>
              <w:top w:val="single" w:sz="4" w:space="0" w:color="000000"/>
            </w:tcBorders>
            <w:vAlign w:val="center"/>
          </w:tcPr>
          <w:p w14:paraId="22FD39C4" w14:textId="3CE98AD4" w:rsidR="006E497D" w:rsidRPr="00D4309F" w:rsidRDefault="006E497D" w:rsidP="00356360">
            <w:pPr>
              <w:pStyle w:val="Table-Bullet"/>
            </w:pPr>
            <w:r w:rsidRPr="00D4309F">
              <w:rPr>
                <w:color w:val="211E1F"/>
                <w:spacing w:val="-4"/>
              </w:rPr>
              <w:t>None</w:t>
            </w:r>
          </w:p>
        </w:tc>
      </w:tr>
      <w:tr w:rsidR="00725977" w:rsidRPr="00D4309F" w14:paraId="29B46A73" w14:textId="77777777" w:rsidTr="00891147">
        <w:trPr>
          <w:cantSplit/>
          <w:trHeight w:val="20"/>
        </w:trPr>
        <w:tc>
          <w:tcPr>
            <w:tcW w:w="907" w:type="pct"/>
            <w:gridSpan w:val="2"/>
            <w:tcBorders>
              <w:top w:val="single" w:sz="4" w:space="0" w:color="000000"/>
              <w:bottom w:val="single" w:sz="4" w:space="0" w:color="000000"/>
            </w:tcBorders>
            <w:vAlign w:val="center"/>
          </w:tcPr>
          <w:p w14:paraId="0CC9B88E" w14:textId="77777777" w:rsidR="00725977" w:rsidRPr="00D4309F" w:rsidRDefault="00725977" w:rsidP="00864362">
            <w:pPr>
              <w:pStyle w:val="Table-Text"/>
            </w:pPr>
            <w:r w:rsidRPr="00D4309F">
              <w:lastRenderedPageBreak/>
              <w:t>Terrestrial</w:t>
            </w:r>
            <w:r w:rsidRPr="00D4309F">
              <w:rPr>
                <w:spacing w:val="-15"/>
              </w:rPr>
              <w:t xml:space="preserve"> </w:t>
            </w:r>
            <w:r w:rsidRPr="00D4309F">
              <w:t>fauna</w:t>
            </w:r>
            <w:r w:rsidRPr="00D4309F">
              <w:rPr>
                <w:spacing w:val="-12"/>
              </w:rPr>
              <w:t xml:space="preserve"> </w:t>
            </w:r>
            <w:r w:rsidRPr="00D4309F">
              <w:t>including shorebirds and raptors</w:t>
            </w:r>
          </w:p>
        </w:tc>
        <w:tc>
          <w:tcPr>
            <w:tcW w:w="1286" w:type="pct"/>
            <w:tcBorders>
              <w:top w:val="single" w:sz="4" w:space="0" w:color="000000"/>
              <w:bottom w:val="single" w:sz="4" w:space="0" w:color="000000"/>
            </w:tcBorders>
            <w:vAlign w:val="center"/>
          </w:tcPr>
          <w:p w14:paraId="61B518A2" w14:textId="77777777" w:rsidR="00725977" w:rsidRPr="00D4309F" w:rsidRDefault="00725977" w:rsidP="00356360">
            <w:pPr>
              <w:pStyle w:val="Table-Bullet"/>
            </w:pPr>
            <w:r w:rsidRPr="00D4309F">
              <w:t>Mortality/injury/behavioural</w:t>
            </w:r>
            <w:r w:rsidRPr="00D4309F">
              <w:rPr>
                <w:spacing w:val="-13"/>
              </w:rPr>
              <w:t xml:space="preserve"> </w:t>
            </w:r>
            <w:r w:rsidRPr="00D4309F">
              <w:t>response due to noise</w:t>
            </w:r>
          </w:p>
          <w:p w14:paraId="7B7EF65C" w14:textId="77777777" w:rsidR="00725977" w:rsidRPr="00D4309F" w:rsidRDefault="00725977" w:rsidP="00356360">
            <w:pPr>
              <w:pStyle w:val="Table-Bullet"/>
            </w:pPr>
            <w:r w:rsidRPr="00D4309F">
              <w:t>Mortality/injury/behavioural</w:t>
            </w:r>
            <w:r w:rsidRPr="00D4309F">
              <w:rPr>
                <w:spacing w:val="-13"/>
              </w:rPr>
              <w:t xml:space="preserve"> </w:t>
            </w:r>
            <w:r w:rsidRPr="00D4309F">
              <w:t>response due to dust</w:t>
            </w:r>
          </w:p>
          <w:p w14:paraId="50BE1CC2" w14:textId="77777777" w:rsidR="00725977" w:rsidRPr="00D4309F" w:rsidRDefault="00725977" w:rsidP="00356360">
            <w:pPr>
              <w:pStyle w:val="Table-Bullet"/>
            </w:pPr>
            <w:r w:rsidRPr="00D4309F">
              <w:t>Behavioural</w:t>
            </w:r>
            <w:r w:rsidRPr="00D4309F">
              <w:rPr>
                <w:spacing w:val="-13"/>
              </w:rPr>
              <w:t xml:space="preserve"> </w:t>
            </w:r>
            <w:r w:rsidRPr="00D4309F">
              <w:t>response</w:t>
            </w:r>
            <w:r w:rsidRPr="00D4309F">
              <w:rPr>
                <w:spacing w:val="-12"/>
              </w:rPr>
              <w:t xml:space="preserve"> </w:t>
            </w:r>
            <w:r w:rsidRPr="00D4309F">
              <w:t>and</w:t>
            </w:r>
            <w:r w:rsidRPr="00D4309F">
              <w:rPr>
                <w:spacing w:val="-13"/>
              </w:rPr>
              <w:t xml:space="preserve"> </w:t>
            </w:r>
            <w:r w:rsidRPr="00D4309F">
              <w:t>interruption of nesting behaviour due to light</w:t>
            </w:r>
          </w:p>
          <w:p w14:paraId="286229B3" w14:textId="77777777" w:rsidR="00725977" w:rsidRPr="00D4309F" w:rsidRDefault="00725977" w:rsidP="00356360">
            <w:pPr>
              <w:pStyle w:val="Table-Bullet"/>
            </w:pPr>
            <w:r w:rsidRPr="00D4309F">
              <w:t>Mortality/injury/behavioural</w:t>
            </w:r>
            <w:r w:rsidRPr="00D4309F">
              <w:rPr>
                <w:spacing w:val="-13"/>
              </w:rPr>
              <w:t xml:space="preserve"> </w:t>
            </w:r>
            <w:r w:rsidRPr="00D4309F">
              <w:t>response due physical presence</w:t>
            </w:r>
          </w:p>
          <w:p w14:paraId="58E68F18" w14:textId="77777777" w:rsidR="00725977" w:rsidRPr="00D4309F" w:rsidRDefault="00725977" w:rsidP="00356360">
            <w:pPr>
              <w:pStyle w:val="Table-Bullet"/>
            </w:pPr>
            <w:r w:rsidRPr="00D4309F">
              <w:t>Mortality/injury</w:t>
            </w:r>
            <w:r w:rsidRPr="00D4309F">
              <w:rPr>
                <w:spacing w:val="-9"/>
              </w:rPr>
              <w:t xml:space="preserve"> </w:t>
            </w:r>
            <w:r w:rsidRPr="00D4309F">
              <w:t>due</w:t>
            </w:r>
            <w:r w:rsidRPr="00D4309F">
              <w:rPr>
                <w:spacing w:val="-11"/>
              </w:rPr>
              <w:t xml:space="preserve"> </w:t>
            </w:r>
            <w:r w:rsidRPr="00D4309F">
              <w:t>to</w:t>
            </w:r>
            <w:r w:rsidRPr="00D4309F">
              <w:rPr>
                <w:spacing w:val="-11"/>
              </w:rPr>
              <w:t xml:space="preserve"> </w:t>
            </w:r>
            <w:r w:rsidRPr="00D4309F">
              <w:t>onshore</w:t>
            </w:r>
            <w:r w:rsidRPr="00D4309F">
              <w:rPr>
                <w:spacing w:val="-9"/>
              </w:rPr>
              <w:t xml:space="preserve"> </w:t>
            </w:r>
            <w:r w:rsidRPr="00D4309F">
              <w:t>plant and vehicle movement</w:t>
            </w:r>
          </w:p>
          <w:p w14:paraId="200C681C" w14:textId="77777777" w:rsidR="00725977" w:rsidRPr="00D4309F" w:rsidRDefault="00725977" w:rsidP="00356360">
            <w:pPr>
              <w:pStyle w:val="Table-Bullet"/>
            </w:pPr>
            <w:r w:rsidRPr="00D4309F">
              <w:t>Loss/degradation/fragmentation of habitat</w:t>
            </w:r>
            <w:r w:rsidRPr="00D4309F">
              <w:rPr>
                <w:spacing w:val="-8"/>
              </w:rPr>
              <w:t xml:space="preserve"> </w:t>
            </w:r>
            <w:r w:rsidRPr="00D4309F">
              <w:t>due</w:t>
            </w:r>
            <w:r w:rsidRPr="00D4309F">
              <w:rPr>
                <w:spacing w:val="-9"/>
              </w:rPr>
              <w:t xml:space="preserve"> </w:t>
            </w:r>
            <w:r w:rsidRPr="00D4309F">
              <w:t>to</w:t>
            </w:r>
            <w:r w:rsidRPr="00D4309F">
              <w:rPr>
                <w:spacing w:val="-7"/>
              </w:rPr>
              <w:t xml:space="preserve"> </w:t>
            </w:r>
            <w:r w:rsidRPr="00D4309F">
              <w:t>onshore</w:t>
            </w:r>
            <w:r w:rsidRPr="00D4309F">
              <w:rPr>
                <w:spacing w:val="-9"/>
              </w:rPr>
              <w:t xml:space="preserve"> </w:t>
            </w:r>
            <w:r w:rsidRPr="00D4309F">
              <w:t>construction</w:t>
            </w:r>
            <w:r w:rsidRPr="00D4309F">
              <w:rPr>
                <w:spacing w:val="-9"/>
              </w:rPr>
              <w:t xml:space="preserve"> </w:t>
            </w:r>
            <w:r w:rsidRPr="00D4309F">
              <w:t>of pipeline and pumping station</w:t>
            </w:r>
          </w:p>
        </w:tc>
        <w:tc>
          <w:tcPr>
            <w:tcW w:w="426" w:type="pct"/>
            <w:tcBorders>
              <w:top w:val="single" w:sz="4" w:space="0" w:color="000000"/>
              <w:bottom w:val="single" w:sz="4" w:space="0" w:color="000000"/>
            </w:tcBorders>
            <w:shd w:val="clear" w:color="auto" w:fill="FFC000"/>
            <w:vAlign w:val="center"/>
          </w:tcPr>
          <w:p w14:paraId="2DE3FF18" w14:textId="77777777" w:rsidR="00725977" w:rsidRPr="00C21373" w:rsidRDefault="00725977" w:rsidP="00C21373">
            <w:pPr>
              <w:pStyle w:val="Table-Text"/>
              <w:rPr>
                <w:b/>
                <w:bCs/>
              </w:rPr>
            </w:pPr>
            <w:r w:rsidRPr="00C21373">
              <w:rPr>
                <w:b/>
                <w:bCs/>
              </w:rPr>
              <w:t>High</w:t>
            </w:r>
          </w:p>
        </w:tc>
        <w:tc>
          <w:tcPr>
            <w:tcW w:w="890" w:type="pct"/>
            <w:tcBorders>
              <w:top w:val="single" w:sz="4" w:space="0" w:color="000000"/>
              <w:bottom w:val="single" w:sz="4" w:space="0" w:color="000000"/>
            </w:tcBorders>
            <w:vAlign w:val="center"/>
          </w:tcPr>
          <w:p w14:paraId="683900BE" w14:textId="77777777" w:rsidR="00725977" w:rsidRPr="00D4309F" w:rsidRDefault="00725977" w:rsidP="00356360">
            <w:pPr>
              <w:pStyle w:val="Table-Bullet"/>
            </w:pPr>
            <w:r w:rsidRPr="00D4309F">
              <w:t>Several species listed as vulnerable</w:t>
            </w:r>
            <w:r w:rsidRPr="00D4309F">
              <w:rPr>
                <w:spacing w:val="-15"/>
              </w:rPr>
              <w:t xml:space="preserve"> </w:t>
            </w:r>
            <w:r w:rsidRPr="00D4309F">
              <w:t>or</w:t>
            </w:r>
            <w:r w:rsidRPr="00D4309F">
              <w:rPr>
                <w:spacing w:val="-12"/>
              </w:rPr>
              <w:t xml:space="preserve"> </w:t>
            </w:r>
            <w:r w:rsidRPr="00D4309F">
              <w:t xml:space="preserve">endangered may occur in the project </w:t>
            </w:r>
            <w:r w:rsidRPr="00D4309F">
              <w:rPr>
                <w:spacing w:val="-4"/>
              </w:rPr>
              <w:t>area</w:t>
            </w:r>
          </w:p>
          <w:p w14:paraId="6DDE62BF" w14:textId="77777777" w:rsidR="00725977" w:rsidRPr="00D4309F" w:rsidRDefault="00725977" w:rsidP="00356360">
            <w:pPr>
              <w:pStyle w:val="Table-Bullet"/>
            </w:pPr>
            <w:r w:rsidRPr="00D4309F">
              <w:t>Several species of shorebirds are</w:t>
            </w:r>
            <w:r w:rsidRPr="00D4309F">
              <w:rPr>
                <w:spacing w:val="-1"/>
              </w:rPr>
              <w:t xml:space="preserve"> </w:t>
            </w:r>
            <w:r w:rsidRPr="00D4309F">
              <w:t>listed</w:t>
            </w:r>
            <w:r w:rsidRPr="00D4309F">
              <w:rPr>
                <w:spacing w:val="-1"/>
              </w:rPr>
              <w:t xml:space="preserve"> </w:t>
            </w:r>
            <w:r w:rsidRPr="00D4309F">
              <w:t>as occurring at Point Cartwright</w:t>
            </w:r>
            <w:r w:rsidRPr="00D4309F">
              <w:rPr>
                <w:spacing w:val="-13"/>
              </w:rPr>
              <w:t xml:space="preserve"> </w:t>
            </w:r>
            <w:r w:rsidRPr="00D4309F">
              <w:t>and</w:t>
            </w:r>
            <w:r w:rsidRPr="00D4309F">
              <w:rPr>
                <w:spacing w:val="-12"/>
              </w:rPr>
              <w:t xml:space="preserve"> </w:t>
            </w:r>
            <w:r w:rsidRPr="00D4309F">
              <w:t>could</w:t>
            </w:r>
            <w:r w:rsidRPr="00D4309F">
              <w:rPr>
                <w:spacing w:val="-13"/>
              </w:rPr>
              <w:t xml:space="preserve"> </w:t>
            </w:r>
            <w:r w:rsidRPr="00D4309F">
              <w:t>be impacted;</w:t>
            </w:r>
            <w:r w:rsidRPr="00D4309F">
              <w:rPr>
                <w:spacing w:val="-7"/>
              </w:rPr>
              <w:t xml:space="preserve"> </w:t>
            </w:r>
            <w:r w:rsidRPr="00D4309F">
              <w:t>however,</w:t>
            </w:r>
            <w:r w:rsidRPr="00D4309F">
              <w:rPr>
                <w:spacing w:val="-7"/>
              </w:rPr>
              <w:t xml:space="preserve"> </w:t>
            </w:r>
            <w:r w:rsidRPr="00D4309F">
              <w:t>it</w:t>
            </w:r>
            <w:r w:rsidRPr="00D4309F">
              <w:rPr>
                <w:spacing w:val="-7"/>
              </w:rPr>
              <w:t xml:space="preserve"> </w:t>
            </w:r>
            <w:r w:rsidRPr="00D4309F">
              <w:t>is more likely they would occur at the lower Maroochy River</w:t>
            </w:r>
          </w:p>
        </w:tc>
        <w:tc>
          <w:tcPr>
            <w:tcW w:w="709" w:type="pct"/>
            <w:gridSpan w:val="2"/>
            <w:tcBorders>
              <w:top w:val="single" w:sz="4" w:space="0" w:color="000000"/>
              <w:bottom w:val="single" w:sz="4" w:space="0" w:color="000000"/>
            </w:tcBorders>
            <w:vAlign w:val="center"/>
          </w:tcPr>
          <w:p w14:paraId="6E1536DF" w14:textId="77777777" w:rsidR="00725977" w:rsidRPr="00D4309F" w:rsidRDefault="00725977" w:rsidP="00356360">
            <w:pPr>
              <w:pStyle w:val="Table-Bullet"/>
            </w:pPr>
            <w:r w:rsidRPr="00D4309F">
              <w:t xml:space="preserve">Assessment of </w:t>
            </w:r>
            <w:r w:rsidRPr="00D4309F">
              <w:rPr>
                <w:spacing w:val="-2"/>
              </w:rPr>
              <w:t xml:space="preserve">species </w:t>
            </w:r>
            <w:r w:rsidRPr="00D4309F">
              <w:t>occurrence at Point</w:t>
            </w:r>
            <w:r w:rsidRPr="00D4309F">
              <w:rPr>
                <w:spacing w:val="-13"/>
              </w:rPr>
              <w:t xml:space="preserve"> </w:t>
            </w:r>
            <w:r w:rsidRPr="00D4309F">
              <w:t>Cartwright</w:t>
            </w:r>
          </w:p>
          <w:p w14:paraId="3EE6F5BC" w14:textId="77777777" w:rsidR="00725977" w:rsidRPr="00D4309F" w:rsidRDefault="00725977" w:rsidP="00356360">
            <w:pPr>
              <w:pStyle w:val="Table-Bullet"/>
            </w:pPr>
            <w:r w:rsidRPr="00D4309F">
              <w:t>Noise</w:t>
            </w:r>
            <w:r w:rsidRPr="00D4309F">
              <w:rPr>
                <w:spacing w:val="-2"/>
              </w:rPr>
              <w:t xml:space="preserve"> assessment</w:t>
            </w:r>
          </w:p>
          <w:p w14:paraId="3D6DF65A" w14:textId="77777777" w:rsidR="00725977" w:rsidRPr="00D4309F" w:rsidRDefault="00725977" w:rsidP="00356360">
            <w:pPr>
              <w:pStyle w:val="Table-Bullet"/>
            </w:pPr>
            <w:r w:rsidRPr="00D4309F">
              <w:t>Light</w:t>
            </w:r>
            <w:r w:rsidRPr="00D4309F">
              <w:rPr>
                <w:spacing w:val="-13"/>
              </w:rPr>
              <w:t xml:space="preserve"> </w:t>
            </w:r>
            <w:r w:rsidRPr="00D4309F">
              <w:t xml:space="preserve">assessment if night works are </w:t>
            </w:r>
            <w:r w:rsidRPr="00D4309F">
              <w:rPr>
                <w:spacing w:val="-2"/>
              </w:rPr>
              <w:t>proposed</w:t>
            </w:r>
          </w:p>
        </w:tc>
        <w:tc>
          <w:tcPr>
            <w:tcW w:w="783" w:type="pct"/>
            <w:tcBorders>
              <w:top w:val="single" w:sz="4" w:space="0" w:color="000000"/>
              <w:bottom w:val="single" w:sz="4" w:space="0" w:color="000000"/>
            </w:tcBorders>
            <w:vAlign w:val="center"/>
          </w:tcPr>
          <w:p w14:paraId="3E90B85B" w14:textId="77777777" w:rsidR="00725977" w:rsidRPr="00D4309F" w:rsidRDefault="00725977" w:rsidP="00356360">
            <w:pPr>
              <w:pStyle w:val="Table-Bullet"/>
            </w:pPr>
            <w:r w:rsidRPr="00D4309F">
              <w:t>Timing of works outside of peak aggregation</w:t>
            </w:r>
            <w:r w:rsidRPr="00D4309F">
              <w:rPr>
                <w:spacing w:val="-13"/>
              </w:rPr>
              <w:t xml:space="preserve"> </w:t>
            </w:r>
            <w:r w:rsidRPr="00D4309F">
              <w:t xml:space="preserve">periods for migratory </w:t>
            </w:r>
            <w:r w:rsidRPr="00D4309F">
              <w:rPr>
                <w:spacing w:val="-2"/>
              </w:rPr>
              <w:t>shorebirds</w:t>
            </w:r>
          </w:p>
          <w:p w14:paraId="50FD56D8" w14:textId="77777777" w:rsidR="00725977" w:rsidRPr="00D4309F" w:rsidRDefault="00725977" w:rsidP="00356360">
            <w:pPr>
              <w:pStyle w:val="Table-Bullet"/>
            </w:pPr>
            <w:r w:rsidRPr="00D4309F">
              <w:t>Standard</w:t>
            </w:r>
            <w:r w:rsidRPr="00D4309F">
              <w:rPr>
                <w:spacing w:val="-13"/>
              </w:rPr>
              <w:t xml:space="preserve"> </w:t>
            </w:r>
            <w:r w:rsidRPr="00D4309F">
              <w:t xml:space="preserve">noise </w:t>
            </w:r>
            <w:r w:rsidRPr="00D4309F">
              <w:rPr>
                <w:spacing w:val="-2"/>
              </w:rPr>
              <w:t>management procedures</w:t>
            </w:r>
          </w:p>
          <w:p w14:paraId="21F989DE" w14:textId="77777777" w:rsidR="00725977" w:rsidRPr="00D4309F" w:rsidRDefault="00725977" w:rsidP="00356360">
            <w:pPr>
              <w:pStyle w:val="Table-Bullet"/>
            </w:pPr>
            <w:r w:rsidRPr="00D4309F">
              <w:t>Limitation of works to</w:t>
            </w:r>
            <w:r w:rsidRPr="00D4309F">
              <w:rPr>
                <w:spacing w:val="-13"/>
              </w:rPr>
              <w:t xml:space="preserve"> </w:t>
            </w:r>
            <w:r w:rsidRPr="00D4309F">
              <w:t>daylight</w:t>
            </w:r>
            <w:r w:rsidRPr="00D4309F">
              <w:rPr>
                <w:spacing w:val="-12"/>
              </w:rPr>
              <w:t xml:space="preserve"> </w:t>
            </w:r>
            <w:r w:rsidRPr="00D4309F">
              <w:t>hours</w:t>
            </w:r>
            <w:r w:rsidRPr="00D4309F">
              <w:rPr>
                <w:spacing w:val="-13"/>
              </w:rPr>
              <w:t xml:space="preserve"> </w:t>
            </w:r>
            <w:r w:rsidRPr="00D4309F">
              <w:t xml:space="preserve">or if necessary, standard light </w:t>
            </w:r>
            <w:r w:rsidRPr="00D4309F">
              <w:rPr>
                <w:spacing w:val="-2"/>
              </w:rPr>
              <w:t>mitigation procedures</w:t>
            </w:r>
          </w:p>
          <w:p w14:paraId="7D2AC49D" w14:textId="77777777" w:rsidR="00725977" w:rsidRPr="00D4309F" w:rsidRDefault="00725977" w:rsidP="00356360">
            <w:pPr>
              <w:pStyle w:val="Table-Bullet"/>
            </w:pPr>
            <w:r w:rsidRPr="00D4309F">
              <w:t>Standard fauna mitigation practices including</w:t>
            </w:r>
            <w:r w:rsidRPr="00D4309F">
              <w:rPr>
                <w:spacing w:val="-13"/>
              </w:rPr>
              <w:t xml:space="preserve"> </w:t>
            </w:r>
            <w:r w:rsidRPr="00D4309F">
              <w:t>monitoring for conservation significant fauna, management of fauna</w:t>
            </w:r>
            <w:r w:rsidRPr="00D4309F">
              <w:rPr>
                <w:spacing w:val="-15"/>
              </w:rPr>
              <w:t xml:space="preserve"> </w:t>
            </w:r>
            <w:r w:rsidRPr="00D4309F">
              <w:t>entrapment</w:t>
            </w:r>
            <w:r w:rsidRPr="00D4309F">
              <w:rPr>
                <w:spacing w:val="-12"/>
              </w:rPr>
              <w:t xml:space="preserve"> </w:t>
            </w:r>
            <w:r w:rsidRPr="00D4309F">
              <w:t xml:space="preserve">in </w:t>
            </w:r>
            <w:r w:rsidRPr="00D4309F">
              <w:rPr>
                <w:spacing w:val="-2"/>
              </w:rPr>
              <w:t xml:space="preserve">construction trenches, </w:t>
            </w:r>
            <w:r w:rsidRPr="00D4309F">
              <w:t>appropriate fencing of work area</w:t>
            </w:r>
          </w:p>
          <w:p w14:paraId="6CC5B95D" w14:textId="77777777" w:rsidR="00725977" w:rsidRPr="00D4309F" w:rsidRDefault="00725977" w:rsidP="00356360">
            <w:pPr>
              <w:pStyle w:val="Table-Bullet"/>
            </w:pPr>
            <w:r w:rsidRPr="00D4309F">
              <w:t>Fauna</w:t>
            </w:r>
            <w:r w:rsidRPr="00D4309F">
              <w:rPr>
                <w:spacing w:val="-13"/>
              </w:rPr>
              <w:t xml:space="preserve"> </w:t>
            </w:r>
            <w:r w:rsidRPr="00D4309F">
              <w:t xml:space="preserve">relocation </w:t>
            </w:r>
            <w:r w:rsidRPr="00D4309F">
              <w:rPr>
                <w:spacing w:val="-2"/>
              </w:rPr>
              <w:t>procedures</w:t>
            </w:r>
          </w:p>
          <w:p w14:paraId="78650836" w14:textId="77777777" w:rsidR="00725977" w:rsidRPr="00D4309F" w:rsidRDefault="00725977" w:rsidP="00356360">
            <w:pPr>
              <w:pStyle w:val="Table-Bullet"/>
            </w:pPr>
            <w:r w:rsidRPr="00D4309F">
              <w:t>Waste</w:t>
            </w:r>
            <w:r w:rsidRPr="00D4309F">
              <w:rPr>
                <w:spacing w:val="-13"/>
              </w:rPr>
              <w:t xml:space="preserve"> </w:t>
            </w:r>
            <w:r w:rsidRPr="00D4309F">
              <w:t xml:space="preserve">management </w:t>
            </w:r>
            <w:r w:rsidRPr="00D4309F">
              <w:rPr>
                <w:spacing w:val="-2"/>
              </w:rPr>
              <w:t>procedures</w:t>
            </w:r>
          </w:p>
          <w:p w14:paraId="56F90151" w14:textId="77777777" w:rsidR="00725977" w:rsidRPr="00D4309F" w:rsidRDefault="00725977" w:rsidP="00356360">
            <w:pPr>
              <w:pStyle w:val="Table-Bullet"/>
            </w:pPr>
            <w:r w:rsidRPr="00D4309F">
              <w:t>Revegetation of cleared</w:t>
            </w:r>
            <w:r w:rsidRPr="00D4309F">
              <w:rPr>
                <w:spacing w:val="-15"/>
              </w:rPr>
              <w:t xml:space="preserve"> </w:t>
            </w:r>
            <w:r w:rsidRPr="00D4309F">
              <w:t>areas</w:t>
            </w:r>
            <w:r w:rsidRPr="00D4309F">
              <w:rPr>
                <w:spacing w:val="-12"/>
              </w:rPr>
              <w:t xml:space="preserve"> </w:t>
            </w:r>
            <w:r w:rsidRPr="00D4309F">
              <w:t>post-</w:t>
            </w:r>
            <w:r w:rsidRPr="00D4309F">
              <w:rPr>
                <w:spacing w:val="-2"/>
              </w:rPr>
              <w:t>construction</w:t>
            </w:r>
          </w:p>
        </w:tc>
      </w:tr>
      <w:tr w:rsidR="006E497D" w:rsidRPr="00D4309F" w14:paraId="0A0C0FFA" w14:textId="77777777" w:rsidTr="00891147">
        <w:trPr>
          <w:cantSplit/>
          <w:trHeight w:val="20"/>
        </w:trPr>
        <w:tc>
          <w:tcPr>
            <w:tcW w:w="907" w:type="pct"/>
            <w:gridSpan w:val="2"/>
            <w:tcBorders>
              <w:top w:val="single" w:sz="4" w:space="0" w:color="000000"/>
              <w:bottom w:val="single" w:sz="4" w:space="0" w:color="000000"/>
            </w:tcBorders>
            <w:vAlign w:val="center"/>
          </w:tcPr>
          <w:p w14:paraId="0643C592" w14:textId="6424B2E0" w:rsidR="006E497D" w:rsidRPr="00D4309F" w:rsidRDefault="006E497D" w:rsidP="00864362">
            <w:pPr>
              <w:pStyle w:val="Table-Text"/>
            </w:pPr>
            <w:r w:rsidRPr="00D4309F">
              <w:lastRenderedPageBreak/>
              <w:t>Terrestrial</w:t>
            </w:r>
            <w:r w:rsidRPr="00D4309F">
              <w:rPr>
                <w:spacing w:val="-4"/>
              </w:rPr>
              <w:t xml:space="preserve"> </w:t>
            </w:r>
            <w:r w:rsidRPr="00D4309F">
              <w:t>flora</w:t>
            </w:r>
          </w:p>
        </w:tc>
        <w:tc>
          <w:tcPr>
            <w:tcW w:w="1286" w:type="pct"/>
            <w:tcBorders>
              <w:top w:val="single" w:sz="4" w:space="0" w:color="000000"/>
              <w:bottom w:val="single" w:sz="4" w:space="0" w:color="000000"/>
            </w:tcBorders>
            <w:vAlign w:val="center"/>
          </w:tcPr>
          <w:p w14:paraId="6EEF1FED" w14:textId="77777777" w:rsidR="006E497D" w:rsidRPr="00D4309F" w:rsidRDefault="006E497D" w:rsidP="00356360">
            <w:pPr>
              <w:pStyle w:val="Table-Bullet"/>
            </w:pPr>
            <w:r w:rsidRPr="00D4309F">
              <w:t>Direct</w:t>
            </w:r>
            <w:r w:rsidRPr="00D4309F">
              <w:rPr>
                <w:spacing w:val="-3"/>
              </w:rPr>
              <w:t xml:space="preserve"> </w:t>
            </w:r>
            <w:r w:rsidRPr="00D4309F">
              <w:t>clearing</w:t>
            </w:r>
            <w:r w:rsidRPr="00D4309F">
              <w:rPr>
                <w:spacing w:val="-3"/>
              </w:rPr>
              <w:t xml:space="preserve"> </w:t>
            </w:r>
            <w:r w:rsidRPr="00D4309F">
              <w:t>of</w:t>
            </w:r>
            <w:r w:rsidRPr="00D4309F">
              <w:rPr>
                <w:spacing w:val="-2"/>
              </w:rPr>
              <w:t xml:space="preserve"> vegetation</w:t>
            </w:r>
          </w:p>
          <w:p w14:paraId="70FF31E0" w14:textId="66A8BE28" w:rsidR="006E497D" w:rsidRPr="00D4309F" w:rsidRDefault="006E497D" w:rsidP="00356360">
            <w:pPr>
              <w:pStyle w:val="Table-Bullet"/>
            </w:pPr>
            <w:r w:rsidRPr="00D4309F">
              <w:t>Smothering</w:t>
            </w:r>
            <w:r w:rsidRPr="00D4309F">
              <w:rPr>
                <w:spacing w:val="-11"/>
              </w:rPr>
              <w:t xml:space="preserve"> </w:t>
            </w:r>
            <w:r w:rsidRPr="00D4309F">
              <w:t>and</w:t>
            </w:r>
            <w:r w:rsidRPr="00D4309F">
              <w:rPr>
                <w:spacing w:val="-11"/>
              </w:rPr>
              <w:t xml:space="preserve"> </w:t>
            </w:r>
            <w:r w:rsidRPr="00D4309F">
              <w:t>degradation</w:t>
            </w:r>
            <w:r w:rsidRPr="00D4309F">
              <w:rPr>
                <w:spacing w:val="-9"/>
              </w:rPr>
              <w:t xml:space="preserve"> </w:t>
            </w:r>
            <w:r w:rsidRPr="00D4309F">
              <w:t>of</w:t>
            </w:r>
            <w:r w:rsidRPr="00D4309F">
              <w:rPr>
                <w:spacing w:val="-10"/>
              </w:rPr>
              <w:t xml:space="preserve"> </w:t>
            </w:r>
            <w:r w:rsidRPr="00D4309F">
              <w:t>habitat due to dust generation from works</w:t>
            </w:r>
          </w:p>
        </w:tc>
        <w:tc>
          <w:tcPr>
            <w:tcW w:w="426" w:type="pct"/>
            <w:tcBorders>
              <w:top w:val="single" w:sz="4" w:space="0" w:color="000000"/>
              <w:bottom w:val="single" w:sz="4" w:space="0" w:color="000000"/>
            </w:tcBorders>
            <w:shd w:val="clear" w:color="auto" w:fill="FFC000"/>
            <w:vAlign w:val="center"/>
          </w:tcPr>
          <w:p w14:paraId="0929554A" w14:textId="7293F67F" w:rsidR="006E497D" w:rsidRPr="00C21373" w:rsidRDefault="006E497D" w:rsidP="00C21373">
            <w:pPr>
              <w:pStyle w:val="Table-Text"/>
              <w:rPr>
                <w:b/>
                <w:bCs/>
              </w:rPr>
            </w:pPr>
            <w:r w:rsidRPr="00C21373">
              <w:rPr>
                <w:b/>
                <w:bCs/>
              </w:rPr>
              <w:t>High</w:t>
            </w:r>
          </w:p>
        </w:tc>
        <w:tc>
          <w:tcPr>
            <w:tcW w:w="890" w:type="pct"/>
            <w:tcBorders>
              <w:top w:val="single" w:sz="4" w:space="0" w:color="000000"/>
              <w:bottom w:val="single" w:sz="4" w:space="0" w:color="000000"/>
            </w:tcBorders>
            <w:vAlign w:val="center"/>
          </w:tcPr>
          <w:p w14:paraId="11B9B58D" w14:textId="31644A8B" w:rsidR="006E497D" w:rsidRPr="00D4309F" w:rsidRDefault="006E497D" w:rsidP="00356360">
            <w:pPr>
              <w:pStyle w:val="Table-Bullet"/>
            </w:pPr>
            <w:r w:rsidRPr="00D4309F">
              <w:t>Several</w:t>
            </w:r>
            <w:r w:rsidRPr="00D4309F">
              <w:rPr>
                <w:spacing w:val="-13"/>
              </w:rPr>
              <w:t xml:space="preserve"> </w:t>
            </w:r>
            <w:r w:rsidRPr="00D4309F">
              <w:t>MSES</w:t>
            </w:r>
            <w:r w:rsidRPr="00D4309F">
              <w:rPr>
                <w:spacing w:val="-12"/>
              </w:rPr>
              <w:t xml:space="preserve"> </w:t>
            </w:r>
            <w:r w:rsidRPr="00D4309F">
              <w:t>and</w:t>
            </w:r>
            <w:r w:rsidRPr="00D4309F">
              <w:rPr>
                <w:spacing w:val="-13"/>
              </w:rPr>
              <w:t xml:space="preserve"> </w:t>
            </w:r>
            <w:r w:rsidRPr="00D4309F">
              <w:t>TECs occur in the project area</w:t>
            </w:r>
          </w:p>
        </w:tc>
        <w:tc>
          <w:tcPr>
            <w:tcW w:w="709" w:type="pct"/>
            <w:gridSpan w:val="2"/>
            <w:tcBorders>
              <w:top w:val="single" w:sz="4" w:space="0" w:color="000000"/>
              <w:bottom w:val="single" w:sz="4" w:space="0" w:color="000000"/>
            </w:tcBorders>
            <w:vAlign w:val="center"/>
          </w:tcPr>
          <w:p w14:paraId="6F8C7941" w14:textId="77777777" w:rsidR="006E497D" w:rsidRPr="00D4309F" w:rsidRDefault="006E497D" w:rsidP="00356360">
            <w:pPr>
              <w:pStyle w:val="Table-Bullet"/>
            </w:pPr>
            <w:r w:rsidRPr="00D4309F">
              <w:t>Terrestrial</w:t>
            </w:r>
            <w:r w:rsidRPr="00D4309F">
              <w:rPr>
                <w:spacing w:val="-13"/>
              </w:rPr>
              <w:t xml:space="preserve"> </w:t>
            </w:r>
            <w:r w:rsidRPr="00D4309F">
              <w:t xml:space="preserve">flora </w:t>
            </w:r>
            <w:r w:rsidRPr="00D4309F">
              <w:rPr>
                <w:spacing w:val="-2"/>
              </w:rPr>
              <w:t>assessment</w:t>
            </w:r>
          </w:p>
          <w:p w14:paraId="1C76A882" w14:textId="7B14ACBE" w:rsidR="006E497D" w:rsidRPr="00D4309F" w:rsidRDefault="006E497D" w:rsidP="00356360">
            <w:pPr>
              <w:pStyle w:val="Table-Bullet"/>
            </w:pPr>
            <w:r w:rsidRPr="00D4309F">
              <w:rPr>
                <w:spacing w:val="-2"/>
              </w:rPr>
              <w:t>Extended vegetation mapping</w:t>
            </w:r>
          </w:p>
        </w:tc>
        <w:tc>
          <w:tcPr>
            <w:tcW w:w="783" w:type="pct"/>
            <w:tcBorders>
              <w:top w:val="single" w:sz="4" w:space="0" w:color="000000"/>
              <w:bottom w:val="single" w:sz="4" w:space="0" w:color="000000"/>
            </w:tcBorders>
            <w:vAlign w:val="center"/>
          </w:tcPr>
          <w:p w14:paraId="6333F839" w14:textId="77777777" w:rsidR="006E497D" w:rsidRPr="00D4309F" w:rsidRDefault="006E497D" w:rsidP="00356360">
            <w:pPr>
              <w:pStyle w:val="Table-Bullet"/>
            </w:pPr>
            <w:r w:rsidRPr="00D4309F">
              <w:t>Design</w:t>
            </w:r>
            <w:r w:rsidRPr="00D4309F">
              <w:rPr>
                <w:spacing w:val="-15"/>
              </w:rPr>
              <w:t xml:space="preserve"> </w:t>
            </w:r>
            <w:r w:rsidRPr="00D4309F">
              <w:t>to</w:t>
            </w:r>
            <w:r w:rsidRPr="00D4309F">
              <w:rPr>
                <w:spacing w:val="-12"/>
              </w:rPr>
              <w:t xml:space="preserve"> </w:t>
            </w:r>
            <w:r w:rsidRPr="00D4309F">
              <w:t>minimise clearing required and avoid key habitat areas</w:t>
            </w:r>
          </w:p>
          <w:p w14:paraId="5BC67EA5" w14:textId="77777777" w:rsidR="006E497D" w:rsidRPr="00D4309F" w:rsidRDefault="006E497D" w:rsidP="00356360">
            <w:pPr>
              <w:pStyle w:val="Table-Bullet"/>
            </w:pPr>
            <w:r w:rsidRPr="00D4309F">
              <w:rPr>
                <w:spacing w:val="-2"/>
              </w:rPr>
              <w:t xml:space="preserve">Appropriate </w:t>
            </w:r>
            <w:r w:rsidRPr="00D4309F">
              <w:t>management for onshore works e.g. onshore vehicles and</w:t>
            </w:r>
            <w:r w:rsidRPr="00D4309F">
              <w:rPr>
                <w:spacing w:val="-13"/>
              </w:rPr>
              <w:t xml:space="preserve"> </w:t>
            </w:r>
            <w:r w:rsidRPr="00D4309F">
              <w:t>plant</w:t>
            </w:r>
            <w:r w:rsidRPr="00D4309F">
              <w:rPr>
                <w:spacing w:val="-12"/>
              </w:rPr>
              <w:t xml:space="preserve"> </w:t>
            </w:r>
            <w:r w:rsidRPr="00D4309F">
              <w:t>to</w:t>
            </w:r>
            <w:r w:rsidRPr="00D4309F">
              <w:rPr>
                <w:spacing w:val="-13"/>
              </w:rPr>
              <w:t xml:space="preserve"> </w:t>
            </w:r>
            <w:r w:rsidRPr="00D4309F">
              <w:t>operate in</w:t>
            </w:r>
            <w:r w:rsidRPr="00D4309F">
              <w:rPr>
                <w:spacing w:val="-15"/>
              </w:rPr>
              <w:t xml:space="preserve"> </w:t>
            </w:r>
            <w:r w:rsidRPr="00D4309F">
              <w:t>designated</w:t>
            </w:r>
            <w:r w:rsidRPr="00D4309F">
              <w:rPr>
                <w:spacing w:val="-12"/>
              </w:rPr>
              <w:t xml:space="preserve"> </w:t>
            </w:r>
            <w:r w:rsidRPr="00D4309F">
              <w:t>tracks and areas</w:t>
            </w:r>
          </w:p>
          <w:p w14:paraId="68F554E8" w14:textId="77777777" w:rsidR="006E497D" w:rsidRPr="00D4309F" w:rsidRDefault="006E497D" w:rsidP="00356360">
            <w:pPr>
              <w:pStyle w:val="Table-Bullet"/>
            </w:pPr>
            <w:r w:rsidRPr="00D4309F">
              <w:t>Dust</w:t>
            </w:r>
            <w:r w:rsidRPr="00D4309F">
              <w:rPr>
                <w:spacing w:val="-13"/>
              </w:rPr>
              <w:t xml:space="preserve"> </w:t>
            </w:r>
            <w:r w:rsidRPr="00D4309F">
              <w:t xml:space="preserve">management </w:t>
            </w:r>
            <w:r w:rsidRPr="00D4309F">
              <w:rPr>
                <w:spacing w:val="-2"/>
              </w:rPr>
              <w:t>procedures</w:t>
            </w:r>
          </w:p>
          <w:p w14:paraId="26C747BC" w14:textId="77777777" w:rsidR="006E497D" w:rsidRPr="00D4309F" w:rsidRDefault="006E497D" w:rsidP="00356360">
            <w:pPr>
              <w:pStyle w:val="Table-Bullet"/>
            </w:pPr>
            <w:r w:rsidRPr="00D4309F">
              <w:t>Weed</w:t>
            </w:r>
            <w:r w:rsidRPr="00D4309F">
              <w:rPr>
                <w:spacing w:val="-13"/>
              </w:rPr>
              <w:t xml:space="preserve"> </w:t>
            </w:r>
            <w:r w:rsidRPr="00D4309F">
              <w:t xml:space="preserve">control </w:t>
            </w:r>
            <w:r w:rsidRPr="00D4309F">
              <w:rPr>
                <w:spacing w:val="-2"/>
              </w:rPr>
              <w:t>management procedures</w:t>
            </w:r>
          </w:p>
          <w:p w14:paraId="4617D003" w14:textId="77777777" w:rsidR="006E497D" w:rsidRPr="00D4309F" w:rsidRDefault="006E497D" w:rsidP="00356360">
            <w:pPr>
              <w:pStyle w:val="Table-Bullet"/>
            </w:pPr>
            <w:r w:rsidRPr="00D4309F">
              <w:t>Waste</w:t>
            </w:r>
            <w:r w:rsidRPr="00D4309F">
              <w:rPr>
                <w:spacing w:val="-13"/>
              </w:rPr>
              <w:t xml:space="preserve"> </w:t>
            </w:r>
            <w:r w:rsidRPr="00D4309F">
              <w:t xml:space="preserve">management </w:t>
            </w:r>
            <w:r w:rsidRPr="00D4309F">
              <w:rPr>
                <w:spacing w:val="-2"/>
              </w:rPr>
              <w:t>procedures</w:t>
            </w:r>
          </w:p>
          <w:p w14:paraId="1A93DF54" w14:textId="77777777" w:rsidR="006E497D" w:rsidRPr="00D4309F" w:rsidRDefault="006E497D" w:rsidP="00356360">
            <w:pPr>
              <w:pStyle w:val="Table-Bullet"/>
            </w:pPr>
            <w:r w:rsidRPr="00D4309F">
              <w:rPr>
                <w:spacing w:val="-2"/>
              </w:rPr>
              <w:t xml:space="preserve">Monitor conservation </w:t>
            </w:r>
            <w:r w:rsidRPr="00D4309F">
              <w:t>significant</w:t>
            </w:r>
            <w:r w:rsidRPr="00D4309F">
              <w:rPr>
                <w:spacing w:val="-13"/>
              </w:rPr>
              <w:t xml:space="preserve"> </w:t>
            </w:r>
            <w:r w:rsidRPr="00D4309F">
              <w:t>flora</w:t>
            </w:r>
          </w:p>
          <w:p w14:paraId="35EB63FF" w14:textId="77777777" w:rsidR="006E497D" w:rsidRPr="00D4309F" w:rsidRDefault="006E497D" w:rsidP="00356360">
            <w:pPr>
              <w:pStyle w:val="Table-Bullet"/>
            </w:pPr>
            <w:r w:rsidRPr="00D4309F">
              <w:t>Post</w:t>
            </w:r>
            <w:r w:rsidRPr="00D4309F">
              <w:rPr>
                <w:spacing w:val="-13"/>
              </w:rPr>
              <w:t xml:space="preserve"> </w:t>
            </w:r>
            <w:r w:rsidRPr="00D4309F">
              <w:t xml:space="preserve">construction </w:t>
            </w:r>
            <w:r w:rsidRPr="00D4309F">
              <w:rPr>
                <w:spacing w:val="-2"/>
              </w:rPr>
              <w:t>survey</w:t>
            </w:r>
          </w:p>
          <w:p w14:paraId="0F2B453E" w14:textId="2267F63F" w:rsidR="006E497D" w:rsidRPr="00D4309F" w:rsidRDefault="006E497D" w:rsidP="00356360">
            <w:pPr>
              <w:pStyle w:val="Table-Bullet"/>
            </w:pPr>
            <w:r w:rsidRPr="00D4309F">
              <w:t>Topsoil stockpiling and</w:t>
            </w:r>
            <w:r w:rsidRPr="00D4309F">
              <w:rPr>
                <w:spacing w:val="-15"/>
              </w:rPr>
              <w:t xml:space="preserve"> </w:t>
            </w:r>
            <w:r w:rsidRPr="00D4309F">
              <w:t>revegetation</w:t>
            </w:r>
            <w:r w:rsidRPr="00D4309F">
              <w:rPr>
                <w:spacing w:val="-12"/>
              </w:rPr>
              <w:t xml:space="preserve"> </w:t>
            </w:r>
            <w:r w:rsidRPr="00D4309F">
              <w:t>of cleared</w:t>
            </w:r>
            <w:r w:rsidRPr="00D4309F">
              <w:rPr>
                <w:spacing w:val="-15"/>
              </w:rPr>
              <w:t xml:space="preserve"> </w:t>
            </w:r>
            <w:r w:rsidRPr="00D4309F">
              <w:t>areas</w:t>
            </w:r>
            <w:r w:rsidRPr="00D4309F">
              <w:rPr>
                <w:spacing w:val="-12"/>
              </w:rPr>
              <w:t xml:space="preserve"> </w:t>
            </w:r>
            <w:r w:rsidRPr="00D4309F">
              <w:t>post-</w:t>
            </w:r>
            <w:r w:rsidRPr="00D4309F">
              <w:rPr>
                <w:spacing w:val="-2"/>
              </w:rPr>
              <w:t>construction</w:t>
            </w:r>
          </w:p>
        </w:tc>
      </w:tr>
    </w:tbl>
    <w:p w14:paraId="1FF3F85D" w14:textId="4843BFEF" w:rsidR="00725977" w:rsidRPr="006E497D" w:rsidRDefault="00725977" w:rsidP="003E0830">
      <w:pPr>
        <w:pStyle w:val="Table-Note"/>
      </w:pPr>
      <w:r w:rsidRPr="00D4309F">
        <w:t>Assumptions:</w:t>
      </w:r>
    </w:p>
    <w:p w14:paraId="24D8284C" w14:textId="689CB7BF" w:rsidR="00725977" w:rsidRPr="006E497D" w:rsidRDefault="00725977" w:rsidP="00D27F26">
      <w:pPr>
        <w:pStyle w:val="Table-Note"/>
        <w:numPr>
          <w:ilvl w:val="0"/>
          <w:numId w:val="496"/>
        </w:numPr>
      </w:pPr>
      <w:r w:rsidRPr="00D4309F">
        <w:t>Dredge</w:t>
      </w:r>
      <w:r w:rsidRPr="00D4309F">
        <w:rPr>
          <w:spacing w:val="-3"/>
        </w:rPr>
        <w:t xml:space="preserve"> </w:t>
      </w:r>
      <w:r w:rsidRPr="00D4309F">
        <w:t>area</w:t>
      </w:r>
      <w:r w:rsidRPr="00D4309F">
        <w:rPr>
          <w:spacing w:val="-3"/>
        </w:rPr>
        <w:t xml:space="preserve"> </w:t>
      </w:r>
      <w:r w:rsidRPr="00D4309F">
        <w:t>is an</w:t>
      </w:r>
      <w:r w:rsidRPr="00D4309F">
        <w:rPr>
          <w:spacing w:val="-3"/>
        </w:rPr>
        <w:t xml:space="preserve"> </w:t>
      </w:r>
      <w:r w:rsidRPr="00D4309F">
        <w:t>area of</w:t>
      </w:r>
      <w:r w:rsidRPr="00D4309F">
        <w:rPr>
          <w:spacing w:val="-3"/>
        </w:rPr>
        <w:t xml:space="preserve"> </w:t>
      </w:r>
      <w:r w:rsidRPr="00D4309F">
        <w:t xml:space="preserve">bare </w:t>
      </w:r>
      <w:r w:rsidRPr="00D4309F">
        <w:rPr>
          <w:spacing w:val="-4"/>
        </w:rPr>
        <w:t>sand</w:t>
      </w:r>
    </w:p>
    <w:p w14:paraId="65B2B009" w14:textId="658C5A11" w:rsidR="00725977" w:rsidRPr="006E497D" w:rsidRDefault="00725977" w:rsidP="00D27F26">
      <w:pPr>
        <w:pStyle w:val="Table-Note"/>
        <w:numPr>
          <w:ilvl w:val="0"/>
          <w:numId w:val="496"/>
        </w:numPr>
      </w:pPr>
      <w:r w:rsidRPr="00D4309F">
        <w:t>There</w:t>
      </w:r>
      <w:r w:rsidRPr="00D4309F">
        <w:rPr>
          <w:spacing w:val="-7"/>
        </w:rPr>
        <w:t xml:space="preserve"> </w:t>
      </w:r>
      <w:r w:rsidRPr="00D4309F">
        <w:t>is</w:t>
      </w:r>
      <w:r w:rsidRPr="00D4309F">
        <w:rPr>
          <w:spacing w:val="-3"/>
        </w:rPr>
        <w:t xml:space="preserve"> </w:t>
      </w:r>
      <w:r w:rsidRPr="00D4309F">
        <w:t>sediment</w:t>
      </w:r>
      <w:r w:rsidRPr="00D4309F">
        <w:rPr>
          <w:spacing w:val="-3"/>
        </w:rPr>
        <w:t xml:space="preserve"> </w:t>
      </w:r>
      <w:r w:rsidRPr="00D4309F">
        <w:t>contamination</w:t>
      </w:r>
      <w:r w:rsidRPr="00D4309F">
        <w:rPr>
          <w:spacing w:val="-5"/>
        </w:rPr>
        <w:t xml:space="preserve"> </w:t>
      </w:r>
      <w:r w:rsidRPr="00D4309F">
        <w:t>data</w:t>
      </w:r>
      <w:r w:rsidRPr="00D4309F">
        <w:rPr>
          <w:spacing w:val="-4"/>
        </w:rPr>
        <w:t xml:space="preserve"> </w:t>
      </w:r>
      <w:r w:rsidRPr="00D4309F">
        <w:t>to</w:t>
      </w:r>
      <w:r w:rsidRPr="00D4309F">
        <w:rPr>
          <w:spacing w:val="-3"/>
        </w:rPr>
        <w:t xml:space="preserve"> </w:t>
      </w:r>
      <w:r w:rsidRPr="00D4309F">
        <w:t>inform</w:t>
      </w:r>
      <w:r w:rsidRPr="00D4309F">
        <w:rPr>
          <w:spacing w:val="-4"/>
        </w:rPr>
        <w:t xml:space="preserve"> </w:t>
      </w:r>
      <w:r w:rsidRPr="00D4309F">
        <w:t>the</w:t>
      </w:r>
      <w:r w:rsidRPr="00D4309F">
        <w:rPr>
          <w:spacing w:val="-4"/>
        </w:rPr>
        <w:t xml:space="preserve"> </w:t>
      </w:r>
      <w:r w:rsidRPr="00D4309F">
        <w:t>risk</w:t>
      </w:r>
      <w:r w:rsidRPr="00D4309F">
        <w:rPr>
          <w:spacing w:val="-3"/>
        </w:rPr>
        <w:t xml:space="preserve"> </w:t>
      </w:r>
      <w:r w:rsidRPr="00D4309F">
        <w:t>of</w:t>
      </w:r>
      <w:r w:rsidRPr="00D4309F">
        <w:rPr>
          <w:spacing w:val="-5"/>
        </w:rPr>
        <w:t xml:space="preserve"> </w:t>
      </w:r>
      <w:r w:rsidRPr="00D4309F">
        <w:t>on</w:t>
      </w:r>
      <w:r w:rsidRPr="00D4309F">
        <w:rPr>
          <w:spacing w:val="-4"/>
        </w:rPr>
        <w:t xml:space="preserve"> </w:t>
      </w:r>
      <w:r w:rsidRPr="00D4309F">
        <w:t>release</w:t>
      </w:r>
      <w:r w:rsidRPr="00D4309F">
        <w:rPr>
          <w:spacing w:val="-4"/>
        </w:rPr>
        <w:t xml:space="preserve"> </w:t>
      </w:r>
      <w:r w:rsidRPr="00D4309F">
        <w:t>of</w:t>
      </w:r>
      <w:r w:rsidRPr="00D4309F">
        <w:rPr>
          <w:spacing w:val="-5"/>
        </w:rPr>
        <w:t xml:space="preserve"> </w:t>
      </w:r>
      <w:r w:rsidRPr="00D4309F">
        <w:t>contaminants</w:t>
      </w:r>
      <w:r w:rsidRPr="00D4309F">
        <w:rPr>
          <w:spacing w:val="-4"/>
        </w:rPr>
        <w:t xml:space="preserve"> </w:t>
      </w:r>
      <w:r w:rsidRPr="00D4309F">
        <w:t>via</w:t>
      </w:r>
      <w:r w:rsidRPr="00D4309F">
        <w:rPr>
          <w:spacing w:val="-4"/>
        </w:rPr>
        <w:t xml:space="preserve"> </w:t>
      </w:r>
      <w:r w:rsidRPr="00D4309F">
        <w:t>dredging</w:t>
      </w:r>
      <w:r w:rsidRPr="00D4309F">
        <w:rPr>
          <w:spacing w:val="-3"/>
        </w:rPr>
        <w:t xml:space="preserve"> </w:t>
      </w:r>
      <w:r w:rsidRPr="00D4309F">
        <w:t>and</w:t>
      </w:r>
      <w:r w:rsidRPr="00D4309F">
        <w:rPr>
          <w:spacing w:val="-4"/>
        </w:rPr>
        <w:t xml:space="preserve"> </w:t>
      </w:r>
      <w:r w:rsidRPr="00D4309F">
        <w:t>disposal</w:t>
      </w:r>
    </w:p>
    <w:p w14:paraId="13183A0A" w14:textId="77777777" w:rsidR="00725977" w:rsidRPr="00D4309F" w:rsidRDefault="00725977" w:rsidP="00D27F26">
      <w:pPr>
        <w:pStyle w:val="Table-Note"/>
        <w:numPr>
          <w:ilvl w:val="0"/>
          <w:numId w:val="496"/>
        </w:numPr>
      </w:pPr>
      <w:r w:rsidRPr="00D4309F">
        <w:t>No</w:t>
      </w:r>
      <w:r w:rsidRPr="00D4309F">
        <w:rPr>
          <w:spacing w:val="-4"/>
        </w:rPr>
        <w:t xml:space="preserve"> </w:t>
      </w:r>
      <w:r w:rsidRPr="00D4309F">
        <w:t>rock excavation</w:t>
      </w:r>
      <w:r w:rsidRPr="00D4309F">
        <w:rPr>
          <w:spacing w:val="-3"/>
        </w:rPr>
        <w:t xml:space="preserve"> </w:t>
      </w:r>
      <w:r w:rsidRPr="00D4309F">
        <w:t>is</w:t>
      </w:r>
      <w:r w:rsidRPr="00D4309F">
        <w:rPr>
          <w:spacing w:val="-3"/>
        </w:rPr>
        <w:t xml:space="preserve"> </w:t>
      </w:r>
      <w:r w:rsidRPr="00D4309F">
        <w:t>required</w:t>
      </w:r>
      <w:r w:rsidRPr="00D4309F">
        <w:rPr>
          <w:spacing w:val="-3"/>
        </w:rPr>
        <w:t xml:space="preserve"> </w:t>
      </w:r>
      <w:r w:rsidRPr="00D4309F">
        <w:t>for</w:t>
      </w:r>
      <w:r w:rsidRPr="00D4309F">
        <w:rPr>
          <w:spacing w:val="-4"/>
        </w:rPr>
        <w:t xml:space="preserve"> </w:t>
      </w:r>
      <w:r w:rsidRPr="00D4309F">
        <w:t>this</w:t>
      </w:r>
      <w:r w:rsidRPr="00D4309F">
        <w:rPr>
          <w:spacing w:val="-4"/>
        </w:rPr>
        <w:t xml:space="preserve"> </w:t>
      </w:r>
      <w:r w:rsidRPr="00D4309F">
        <w:t>option</w:t>
      </w:r>
    </w:p>
    <w:p w14:paraId="23775346" w14:textId="77777777" w:rsidR="00725977" w:rsidRPr="00D4309F" w:rsidRDefault="00725977" w:rsidP="00725977">
      <w:pPr>
        <w:pStyle w:val="ListParagraph"/>
        <w:rPr>
          <w:sz w:val="14"/>
        </w:rPr>
        <w:sectPr w:rsidR="00725977" w:rsidRPr="00D4309F" w:rsidSect="00A8441C">
          <w:headerReference w:type="default" r:id="rId88"/>
          <w:footerReference w:type="default" r:id="rId89"/>
          <w:pgSz w:w="16840" w:h="11910" w:orient="landscape"/>
          <w:pgMar w:top="1400" w:right="992" w:bottom="1160" w:left="992" w:header="916" w:footer="976" w:gutter="0"/>
          <w:cols w:space="720"/>
        </w:sectPr>
      </w:pPr>
    </w:p>
    <w:p w14:paraId="33C25C67" w14:textId="77777777" w:rsidR="00725977" w:rsidRPr="00D4309F" w:rsidRDefault="00725977" w:rsidP="00725977">
      <w:pPr>
        <w:pStyle w:val="BodyText"/>
      </w:pPr>
      <w:r w:rsidRPr="00D4309F">
        <w:lastRenderedPageBreak/>
        <w:t>In</w:t>
      </w:r>
      <w:r w:rsidRPr="00D4309F">
        <w:rPr>
          <w:spacing w:val="-3"/>
        </w:rPr>
        <w:t xml:space="preserve"> </w:t>
      </w:r>
      <w:r w:rsidRPr="00D4309F">
        <w:t>summary,</w:t>
      </w:r>
      <w:r w:rsidRPr="00D4309F">
        <w:rPr>
          <w:spacing w:val="-3"/>
        </w:rPr>
        <w:t xml:space="preserve"> </w:t>
      </w:r>
      <w:r w:rsidRPr="00D4309F">
        <w:t>there</w:t>
      </w:r>
      <w:r w:rsidRPr="00D4309F">
        <w:rPr>
          <w:spacing w:val="-3"/>
        </w:rPr>
        <w:t xml:space="preserve"> </w:t>
      </w:r>
      <w:r w:rsidRPr="00D4309F">
        <w:t>are</w:t>
      </w:r>
      <w:r w:rsidRPr="00D4309F">
        <w:rPr>
          <w:spacing w:val="-4"/>
        </w:rPr>
        <w:t xml:space="preserve"> </w:t>
      </w:r>
      <w:r w:rsidRPr="00D4309F">
        <w:t>some</w:t>
      </w:r>
      <w:r w:rsidRPr="00D4309F">
        <w:rPr>
          <w:spacing w:val="-3"/>
        </w:rPr>
        <w:t xml:space="preserve"> </w:t>
      </w:r>
      <w:r w:rsidRPr="00D4309F">
        <w:t>key</w:t>
      </w:r>
      <w:r w:rsidRPr="00D4309F">
        <w:rPr>
          <w:spacing w:val="-2"/>
        </w:rPr>
        <w:t xml:space="preserve"> </w:t>
      </w:r>
      <w:r w:rsidRPr="00D4309F">
        <w:t>aspects</w:t>
      </w:r>
      <w:r w:rsidRPr="00D4309F">
        <w:rPr>
          <w:spacing w:val="-3"/>
        </w:rPr>
        <w:t xml:space="preserve"> </w:t>
      </w:r>
      <w:r w:rsidRPr="00D4309F">
        <w:t>that</w:t>
      </w:r>
      <w:r w:rsidRPr="00D4309F">
        <w:rPr>
          <w:spacing w:val="-3"/>
        </w:rPr>
        <w:t xml:space="preserve"> </w:t>
      </w:r>
      <w:r w:rsidRPr="00D4309F">
        <w:t>require</w:t>
      </w:r>
      <w:r w:rsidRPr="00D4309F">
        <w:rPr>
          <w:spacing w:val="-3"/>
        </w:rPr>
        <w:t xml:space="preserve"> </w:t>
      </w:r>
      <w:r w:rsidRPr="00D4309F">
        <w:t>further</w:t>
      </w:r>
      <w:r w:rsidRPr="00D4309F">
        <w:rPr>
          <w:spacing w:val="-2"/>
        </w:rPr>
        <w:t xml:space="preserve"> </w:t>
      </w:r>
      <w:r w:rsidRPr="00D4309F">
        <w:t>assessment</w:t>
      </w:r>
      <w:r w:rsidRPr="00D4309F">
        <w:rPr>
          <w:spacing w:val="-4"/>
        </w:rPr>
        <w:t xml:space="preserve"> </w:t>
      </w:r>
      <w:r w:rsidRPr="00D4309F">
        <w:t>regarding</w:t>
      </w:r>
      <w:r w:rsidRPr="00D4309F">
        <w:rPr>
          <w:spacing w:val="-3"/>
        </w:rPr>
        <w:t xml:space="preserve"> </w:t>
      </w:r>
      <w:r w:rsidRPr="00D4309F">
        <w:t>vegetation</w:t>
      </w:r>
      <w:r w:rsidRPr="00D4309F">
        <w:rPr>
          <w:spacing w:val="-4"/>
        </w:rPr>
        <w:t xml:space="preserve"> </w:t>
      </w:r>
      <w:r w:rsidRPr="00D4309F">
        <w:t>clearance</w:t>
      </w:r>
      <w:r w:rsidRPr="00D4309F">
        <w:rPr>
          <w:spacing w:val="-3"/>
        </w:rPr>
        <w:t xml:space="preserve"> </w:t>
      </w:r>
      <w:r w:rsidRPr="00D4309F">
        <w:t>and ground disturbance at the Buddina pump site, temporary works within coastal dunes and foreshore areas, and</w:t>
      </w:r>
      <w:r w:rsidRPr="00D4309F">
        <w:rPr>
          <w:spacing w:val="-1"/>
        </w:rPr>
        <w:t xml:space="preserve"> </w:t>
      </w:r>
      <w:r w:rsidRPr="00D4309F">
        <w:t>the</w:t>
      </w:r>
      <w:r w:rsidRPr="00D4309F">
        <w:rPr>
          <w:spacing w:val="-1"/>
        </w:rPr>
        <w:t xml:space="preserve"> </w:t>
      </w:r>
      <w:r w:rsidRPr="00D4309F">
        <w:t>associated</w:t>
      </w:r>
      <w:r w:rsidRPr="00D4309F">
        <w:rPr>
          <w:spacing w:val="-1"/>
        </w:rPr>
        <w:t xml:space="preserve"> </w:t>
      </w:r>
      <w:r w:rsidRPr="00D4309F">
        <w:t>potential</w:t>
      </w:r>
      <w:r w:rsidRPr="00D4309F">
        <w:rPr>
          <w:spacing w:val="-1"/>
        </w:rPr>
        <w:t xml:space="preserve"> </w:t>
      </w:r>
      <w:r w:rsidRPr="00D4309F">
        <w:t>significant</w:t>
      </w:r>
      <w:r w:rsidRPr="00D4309F">
        <w:rPr>
          <w:spacing w:val="-2"/>
        </w:rPr>
        <w:t xml:space="preserve"> </w:t>
      </w:r>
      <w:r w:rsidRPr="00D4309F">
        <w:t>impact</w:t>
      </w:r>
      <w:r w:rsidRPr="00D4309F">
        <w:rPr>
          <w:spacing w:val="-1"/>
        </w:rPr>
        <w:t xml:space="preserve"> </w:t>
      </w:r>
      <w:r w:rsidRPr="00D4309F">
        <w:t>on</w:t>
      </w:r>
      <w:r w:rsidRPr="00D4309F">
        <w:rPr>
          <w:spacing w:val="-1"/>
        </w:rPr>
        <w:t xml:space="preserve"> </w:t>
      </w:r>
      <w:r w:rsidRPr="00D4309F">
        <w:t>terrestrial</w:t>
      </w:r>
      <w:r w:rsidRPr="00D4309F">
        <w:rPr>
          <w:spacing w:val="-1"/>
        </w:rPr>
        <w:t xml:space="preserve"> </w:t>
      </w:r>
      <w:r w:rsidRPr="00D4309F">
        <w:t>fauna</w:t>
      </w:r>
      <w:r w:rsidRPr="00D4309F">
        <w:rPr>
          <w:spacing w:val="-2"/>
        </w:rPr>
        <w:t xml:space="preserve"> </w:t>
      </w:r>
      <w:r w:rsidRPr="00D4309F">
        <w:t>and</w:t>
      </w:r>
      <w:r w:rsidRPr="00D4309F">
        <w:rPr>
          <w:spacing w:val="-1"/>
        </w:rPr>
        <w:t xml:space="preserve"> </w:t>
      </w:r>
      <w:r w:rsidRPr="00D4309F">
        <w:t>flora</w:t>
      </w:r>
      <w:r w:rsidRPr="00D4309F">
        <w:rPr>
          <w:spacing w:val="-1"/>
        </w:rPr>
        <w:t xml:space="preserve"> </w:t>
      </w:r>
      <w:r w:rsidRPr="00D4309F">
        <w:t>of</w:t>
      </w:r>
      <w:r w:rsidRPr="00D4309F">
        <w:rPr>
          <w:spacing w:val="-1"/>
        </w:rPr>
        <w:t xml:space="preserve"> </w:t>
      </w:r>
      <w:r w:rsidRPr="00D4309F">
        <w:t>conservation</w:t>
      </w:r>
      <w:r w:rsidRPr="00D4309F">
        <w:rPr>
          <w:spacing w:val="-2"/>
        </w:rPr>
        <w:t xml:space="preserve"> </w:t>
      </w:r>
      <w:r w:rsidRPr="00D4309F">
        <w:t>significance.</w:t>
      </w:r>
      <w:r w:rsidRPr="00D4309F">
        <w:rPr>
          <w:spacing w:val="-2"/>
        </w:rPr>
        <w:t xml:space="preserve"> </w:t>
      </w:r>
      <w:r w:rsidRPr="00D4309F">
        <w:t>The marine impacts would be temporary during dredging campaigns and will require some further assessment; however, these would be broadly consistent with existing maintenance dredging operations and can be managed during works. There is also the opportunity for environmental benefit through beneficial reuse of sand for local beach nourishment and erosion mitigation with direct nourishment of Mooloolaba Beach.</w:t>
      </w:r>
    </w:p>
    <w:p w14:paraId="6AEAAB78" w14:textId="7CC455F4" w:rsidR="00725977" w:rsidRPr="00D4309F" w:rsidRDefault="00725977" w:rsidP="00725977">
      <w:pPr>
        <w:pStyle w:val="BodyText"/>
      </w:pPr>
      <w:r w:rsidRPr="00D4309F">
        <w:t>It is likely that environmental monitoring and management during works, above the standard dredging management</w:t>
      </w:r>
      <w:r w:rsidRPr="00D4309F">
        <w:rPr>
          <w:spacing w:val="-3"/>
        </w:rPr>
        <w:t xml:space="preserve"> </w:t>
      </w:r>
      <w:r w:rsidRPr="00D4309F">
        <w:t>procedures,</w:t>
      </w:r>
      <w:r w:rsidRPr="00D4309F">
        <w:rPr>
          <w:spacing w:val="-5"/>
        </w:rPr>
        <w:t xml:space="preserve"> </w:t>
      </w:r>
      <w:r w:rsidRPr="00D4309F">
        <w:t>would</w:t>
      </w:r>
      <w:r w:rsidRPr="00D4309F">
        <w:rPr>
          <w:spacing w:val="-3"/>
        </w:rPr>
        <w:t xml:space="preserve"> </w:t>
      </w:r>
      <w:r w:rsidRPr="00D4309F">
        <w:t>be</w:t>
      </w:r>
      <w:r w:rsidRPr="00D4309F">
        <w:rPr>
          <w:spacing w:val="-3"/>
        </w:rPr>
        <w:t xml:space="preserve"> </w:t>
      </w:r>
      <w:r w:rsidRPr="00D4309F">
        <w:t>required</w:t>
      </w:r>
      <w:r w:rsidRPr="00D4309F">
        <w:rPr>
          <w:spacing w:val="-3"/>
        </w:rPr>
        <w:t xml:space="preserve"> </w:t>
      </w:r>
      <w:r w:rsidRPr="00D4309F">
        <w:t>to</w:t>
      </w:r>
      <w:r w:rsidRPr="00D4309F">
        <w:rPr>
          <w:spacing w:val="-3"/>
        </w:rPr>
        <w:t xml:space="preserve"> </w:t>
      </w:r>
      <w:r w:rsidRPr="00D4309F">
        <w:t>manage</w:t>
      </w:r>
      <w:r w:rsidRPr="00D4309F">
        <w:rPr>
          <w:spacing w:val="-3"/>
        </w:rPr>
        <w:t xml:space="preserve"> </w:t>
      </w:r>
      <w:r w:rsidRPr="00D4309F">
        <w:t>risks</w:t>
      </w:r>
      <w:r w:rsidRPr="00D4309F">
        <w:rPr>
          <w:spacing w:val="-2"/>
        </w:rPr>
        <w:t xml:space="preserve"> </w:t>
      </w:r>
      <w:r w:rsidRPr="00D4309F">
        <w:t>to</w:t>
      </w:r>
      <w:r w:rsidRPr="00D4309F">
        <w:rPr>
          <w:spacing w:val="-3"/>
        </w:rPr>
        <w:t xml:space="preserve"> </w:t>
      </w:r>
      <w:r w:rsidRPr="00D4309F">
        <w:t>terrestrial</w:t>
      </w:r>
      <w:r w:rsidRPr="00D4309F">
        <w:rPr>
          <w:spacing w:val="-3"/>
        </w:rPr>
        <w:t xml:space="preserve"> </w:t>
      </w:r>
      <w:r w:rsidRPr="00D4309F">
        <w:t>fauna</w:t>
      </w:r>
      <w:r w:rsidRPr="00D4309F">
        <w:rPr>
          <w:spacing w:val="-3"/>
        </w:rPr>
        <w:t xml:space="preserve"> </w:t>
      </w:r>
      <w:r w:rsidRPr="00D4309F">
        <w:t>and</w:t>
      </w:r>
      <w:r w:rsidRPr="00D4309F">
        <w:rPr>
          <w:spacing w:val="-3"/>
        </w:rPr>
        <w:t xml:space="preserve"> </w:t>
      </w:r>
      <w:r w:rsidRPr="00D4309F">
        <w:t>habitats</w:t>
      </w:r>
      <w:r w:rsidRPr="00D4309F">
        <w:rPr>
          <w:spacing w:val="-4"/>
        </w:rPr>
        <w:t xml:space="preserve"> </w:t>
      </w:r>
      <w:r w:rsidRPr="00D4309F">
        <w:t>and</w:t>
      </w:r>
      <w:r w:rsidRPr="00D4309F">
        <w:rPr>
          <w:spacing w:val="-3"/>
        </w:rPr>
        <w:t xml:space="preserve"> </w:t>
      </w:r>
      <w:r w:rsidRPr="00D4309F">
        <w:t xml:space="preserve">marine fauna and habitats, and shoreline habitats, including monitoring and management for turbidity related </w:t>
      </w:r>
      <w:r w:rsidRPr="00D4309F">
        <w:rPr>
          <w:spacing w:val="-2"/>
        </w:rPr>
        <w:t>impacts.</w:t>
      </w:r>
    </w:p>
    <w:p w14:paraId="47C0FF4C" w14:textId="77777777" w:rsidR="00725977" w:rsidRPr="00D4309F" w:rsidRDefault="00725977" w:rsidP="00F4416A">
      <w:pPr>
        <w:pStyle w:val="Heading3"/>
      </w:pPr>
      <w:bookmarkStart w:id="279" w:name="_Toc216699391"/>
      <w:r w:rsidRPr="00D4309F">
        <w:t>Social</w:t>
      </w:r>
      <w:r w:rsidRPr="00D4309F">
        <w:rPr>
          <w:spacing w:val="-3"/>
        </w:rPr>
        <w:t xml:space="preserve"> </w:t>
      </w:r>
      <w:r w:rsidRPr="00D4309F">
        <w:rPr>
          <w:spacing w:val="-2"/>
        </w:rPr>
        <w:t>impacts</w:t>
      </w:r>
      <w:bookmarkEnd w:id="279"/>
    </w:p>
    <w:p w14:paraId="207D652D" w14:textId="3B3606F3" w:rsidR="00725977" w:rsidRPr="00D4309F" w:rsidRDefault="00725977" w:rsidP="00725977">
      <w:pPr>
        <w:pStyle w:val="BodyText"/>
      </w:pPr>
      <w:r w:rsidRPr="00D4309F">
        <w:t>Option 1B is expected to generate social value with four positive impacts ranked as high in the SIE assessment, including: safer channel access through reduced shoaling, improved economic outcomes through more reliable channel access, improved amenity through reduced frequency of dredging and potentially improved beach nourishment through nearshore sand placement. When compared to the baseline, there were 11 negative social impacts identified, however, after mitigation measures were considered there were six which may be of high concern to the community and stakeholders, including: change</w:t>
      </w:r>
      <w:r w:rsidRPr="00D4309F">
        <w:rPr>
          <w:spacing w:val="-2"/>
        </w:rPr>
        <w:t xml:space="preserve"> </w:t>
      </w:r>
      <w:r w:rsidRPr="00D4309F">
        <w:t>to</w:t>
      </w:r>
      <w:r w:rsidRPr="00D4309F">
        <w:rPr>
          <w:spacing w:val="-2"/>
        </w:rPr>
        <w:t xml:space="preserve"> </w:t>
      </w:r>
      <w:r w:rsidRPr="00D4309F">
        <w:t>visual</w:t>
      </w:r>
      <w:r w:rsidRPr="00D4309F">
        <w:rPr>
          <w:spacing w:val="-2"/>
        </w:rPr>
        <w:t xml:space="preserve"> </w:t>
      </w:r>
      <w:r w:rsidRPr="00D4309F">
        <w:t>amenity</w:t>
      </w:r>
      <w:r w:rsidRPr="00D4309F">
        <w:rPr>
          <w:spacing w:val="-1"/>
        </w:rPr>
        <w:t xml:space="preserve"> </w:t>
      </w:r>
      <w:r w:rsidRPr="00D4309F">
        <w:t>through</w:t>
      </w:r>
      <w:r w:rsidRPr="00D4309F">
        <w:rPr>
          <w:spacing w:val="-2"/>
        </w:rPr>
        <w:t xml:space="preserve"> </w:t>
      </w:r>
      <w:r w:rsidRPr="00D4309F">
        <w:t>the</w:t>
      </w:r>
      <w:r w:rsidRPr="00D4309F">
        <w:rPr>
          <w:spacing w:val="-2"/>
        </w:rPr>
        <w:t xml:space="preserve"> </w:t>
      </w:r>
      <w:r w:rsidRPr="00D4309F">
        <w:t>addition</w:t>
      </w:r>
      <w:r w:rsidRPr="00D4309F">
        <w:rPr>
          <w:spacing w:val="-2"/>
        </w:rPr>
        <w:t xml:space="preserve"> </w:t>
      </w:r>
      <w:r w:rsidRPr="00D4309F">
        <w:t>of</w:t>
      </w:r>
      <w:r w:rsidRPr="00D4309F">
        <w:rPr>
          <w:spacing w:val="-2"/>
        </w:rPr>
        <w:t xml:space="preserve"> </w:t>
      </w:r>
      <w:r w:rsidRPr="00D4309F">
        <w:t>the</w:t>
      </w:r>
      <w:r w:rsidRPr="00D4309F">
        <w:rPr>
          <w:spacing w:val="-2"/>
        </w:rPr>
        <w:t xml:space="preserve"> </w:t>
      </w:r>
      <w:r w:rsidRPr="00D4309F">
        <w:t>shore</w:t>
      </w:r>
      <w:r w:rsidRPr="00D4309F">
        <w:rPr>
          <w:spacing w:val="-2"/>
        </w:rPr>
        <w:t xml:space="preserve"> </w:t>
      </w:r>
      <w:r w:rsidRPr="00D4309F">
        <w:t>based</w:t>
      </w:r>
      <w:r w:rsidRPr="00D4309F">
        <w:rPr>
          <w:spacing w:val="-2"/>
        </w:rPr>
        <w:t xml:space="preserve"> </w:t>
      </w:r>
      <w:r w:rsidRPr="00D4309F">
        <w:t>pump</w:t>
      </w:r>
      <w:r w:rsidRPr="00D4309F">
        <w:rPr>
          <w:spacing w:val="-2"/>
        </w:rPr>
        <w:t xml:space="preserve"> </w:t>
      </w:r>
      <w:r w:rsidRPr="00D4309F">
        <w:t>station,</w:t>
      </w:r>
      <w:r w:rsidRPr="00D4309F">
        <w:rPr>
          <w:spacing w:val="-2"/>
        </w:rPr>
        <w:t xml:space="preserve"> </w:t>
      </w:r>
      <w:r w:rsidRPr="00D4309F">
        <w:t>potential</w:t>
      </w:r>
      <w:r w:rsidRPr="00D4309F">
        <w:rPr>
          <w:spacing w:val="-2"/>
        </w:rPr>
        <w:t xml:space="preserve"> </w:t>
      </w:r>
      <w:r w:rsidRPr="00D4309F">
        <w:t>negative</w:t>
      </w:r>
      <w:r w:rsidRPr="00D4309F">
        <w:rPr>
          <w:spacing w:val="-2"/>
        </w:rPr>
        <w:t xml:space="preserve"> </w:t>
      </w:r>
      <w:r w:rsidRPr="00D4309F">
        <w:t>impacts on</w:t>
      </w:r>
      <w:r w:rsidRPr="00D4309F">
        <w:rPr>
          <w:spacing w:val="-2"/>
        </w:rPr>
        <w:t xml:space="preserve"> </w:t>
      </w:r>
      <w:r w:rsidRPr="00D4309F">
        <w:t>turtle</w:t>
      </w:r>
      <w:r w:rsidRPr="00D4309F">
        <w:rPr>
          <w:spacing w:val="-2"/>
        </w:rPr>
        <w:t xml:space="preserve"> </w:t>
      </w:r>
      <w:r w:rsidRPr="00D4309F">
        <w:t>species</w:t>
      </w:r>
      <w:r w:rsidRPr="00D4309F">
        <w:rPr>
          <w:spacing w:val="-1"/>
        </w:rPr>
        <w:t xml:space="preserve"> </w:t>
      </w:r>
      <w:r w:rsidRPr="00D4309F">
        <w:t>know</w:t>
      </w:r>
      <w:r w:rsidRPr="00D4309F">
        <w:rPr>
          <w:spacing w:val="-1"/>
        </w:rPr>
        <w:t xml:space="preserve"> </w:t>
      </w:r>
      <w:r w:rsidRPr="00D4309F">
        <w:t>to</w:t>
      </w:r>
      <w:r w:rsidRPr="00D4309F">
        <w:rPr>
          <w:spacing w:val="-2"/>
        </w:rPr>
        <w:t xml:space="preserve"> </w:t>
      </w:r>
      <w:r w:rsidRPr="00D4309F">
        <w:t>nest</w:t>
      </w:r>
      <w:r w:rsidRPr="00D4309F">
        <w:rPr>
          <w:spacing w:val="-2"/>
        </w:rPr>
        <w:t xml:space="preserve"> </w:t>
      </w:r>
      <w:r w:rsidRPr="00D4309F">
        <w:t>on</w:t>
      </w:r>
      <w:r w:rsidRPr="00D4309F">
        <w:rPr>
          <w:spacing w:val="-2"/>
        </w:rPr>
        <w:t xml:space="preserve"> </w:t>
      </w:r>
      <w:r w:rsidRPr="00D4309F">
        <w:t>Buddina</w:t>
      </w:r>
      <w:r w:rsidRPr="00D4309F">
        <w:rPr>
          <w:spacing w:val="-2"/>
        </w:rPr>
        <w:t xml:space="preserve"> </w:t>
      </w:r>
      <w:r w:rsidRPr="00D4309F">
        <w:t>Beach,</w:t>
      </w:r>
      <w:r w:rsidRPr="00D4309F">
        <w:rPr>
          <w:spacing w:val="-2"/>
        </w:rPr>
        <w:t xml:space="preserve"> </w:t>
      </w:r>
      <w:r w:rsidRPr="00D4309F">
        <w:t>potential</w:t>
      </w:r>
      <w:r w:rsidRPr="00D4309F">
        <w:rPr>
          <w:spacing w:val="-2"/>
        </w:rPr>
        <w:t xml:space="preserve"> </w:t>
      </w:r>
      <w:r w:rsidRPr="00D4309F">
        <w:t>negative</w:t>
      </w:r>
      <w:r w:rsidRPr="00D4309F">
        <w:rPr>
          <w:spacing w:val="-2"/>
        </w:rPr>
        <w:t xml:space="preserve"> </w:t>
      </w:r>
      <w:r w:rsidRPr="00D4309F">
        <w:t>environmental</w:t>
      </w:r>
      <w:r w:rsidRPr="00D4309F">
        <w:rPr>
          <w:spacing w:val="-2"/>
        </w:rPr>
        <w:t xml:space="preserve"> </w:t>
      </w:r>
      <w:r w:rsidRPr="00D4309F">
        <w:t>impacts</w:t>
      </w:r>
      <w:r w:rsidRPr="00D4309F">
        <w:rPr>
          <w:spacing w:val="-1"/>
        </w:rPr>
        <w:t xml:space="preserve"> </w:t>
      </w:r>
      <w:r w:rsidRPr="00D4309F">
        <w:t>both</w:t>
      </w:r>
      <w:r w:rsidRPr="00D4309F">
        <w:rPr>
          <w:spacing w:val="-2"/>
        </w:rPr>
        <w:t xml:space="preserve"> </w:t>
      </w:r>
      <w:r w:rsidRPr="00D4309F">
        <w:t>off-shore and on-shore, potential noise from the pump operation, the potential that the pump may be impacted by severe weather when shoaling is more prevalent and possible beach access changes on Buddina Beach during pumping. Further mitigations must be undertaken to reduce potential negative social impacts including visual impact assessment, environmental assessments, management plans, noise monitoring, operational plans and broader community and stakeholder engagement.</w:t>
      </w:r>
    </w:p>
    <w:p w14:paraId="059F272C" w14:textId="77777777" w:rsidR="00725977" w:rsidRPr="00D4309F" w:rsidRDefault="00725977" w:rsidP="00F4416A">
      <w:pPr>
        <w:pStyle w:val="Heading3"/>
      </w:pPr>
      <w:bookmarkStart w:id="280" w:name="_Toc216699392"/>
      <w:r w:rsidRPr="00D4309F">
        <w:t>Economic</w:t>
      </w:r>
      <w:r w:rsidRPr="00D4309F">
        <w:rPr>
          <w:spacing w:val="-4"/>
        </w:rPr>
        <w:t xml:space="preserve"> </w:t>
      </w:r>
      <w:r w:rsidRPr="00D4309F">
        <w:rPr>
          <w:spacing w:val="-2"/>
        </w:rPr>
        <w:t>impacts</w:t>
      </w:r>
      <w:bookmarkEnd w:id="280"/>
    </w:p>
    <w:p w14:paraId="45AE82D3" w14:textId="77777777" w:rsidR="00725977" w:rsidRPr="00D4309F" w:rsidRDefault="00725977" w:rsidP="00725977">
      <w:pPr>
        <w:pStyle w:val="BodyText"/>
      </w:pPr>
      <w:r w:rsidRPr="00D4309F">
        <w:t>Option</w:t>
      </w:r>
      <w:r w:rsidRPr="00D4309F">
        <w:rPr>
          <w:spacing w:val="-2"/>
        </w:rPr>
        <w:t xml:space="preserve"> </w:t>
      </w:r>
      <w:r w:rsidRPr="00D4309F">
        <w:t>1B</w:t>
      </w:r>
      <w:r w:rsidRPr="00D4309F">
        <w:rPr>
          <w:spacing w:val="-2"/>
        </w:rPr>
        <w:t xml:space="preserve"> </w:t>
      </w:r>
      <w:r w:rsidRPr="00D4309F">
        <w:t>is</w:t>
      </w:r>
      <w:r w:rsidRPr="00D4309F">
        <w:rPr>
          <w:spacing w:val="-2"/>
        </w:rPr>
        <w:t xml:space="preserve"> </w:t>
      </w:r>
      <w:r w:rsidRPr="00D4309F">
        <w:t>expected</w:t>
      </w:r>
      <w:r w:rsidRPr="00D4309F">
        <w:rPr>
          <w:spacing w:val="-2"/>
        </w:rPr>
        <w:t xml:space="preserve"> </w:t>
      </w:r>
      <w:r w:rsidRPr="00D4309F">
        <w:t>to</w:t>
      </w:r>
      <w:r w:rsidRPr="00D4309F">
        <w:rPr>
          <w:spacing w:val="-2"/>
        </w:rPr>
        <w:t xml:space="preserve"> </w:t>
      </w:r>
      <w:r w:rsidRPr="00D4309F">
        <w:t>have</w:t>
      </w:r>
      <w:r w:rsidRPr="00D4309F">
        <w:rPr>
          <w:spacing w:val="-2"/>
        </w:rPr>
        <w:t xml:space="preserve"> </w:t>
      </w:r>
      <w:r w:rsidRPr="00D4309F">
        <w:t>a</w:t>
      </w:r>
      <w:r w:rsidRPr="00D4309F">
        <w:rPr>
          <w:spacing w:val="-2"/>
        </w:rPr>
        <w:t xml:space="preserve"> </w:t>
      </w:r>
      <w:r w:rsidRPr="00D4309F">
        <w:t>low</w:t>
      </w:r>
      <w:r w:rsidRPr="00D4309F">
        <w:rPr>
          <w:spacing w:val="-1"/>
        </w:rPr>
        <w:t xml:space="preserve"> </w:t>
      </w:r>
      <w:r w:rsidRPr="00D4309F">
        <w:t>to</w:t>
      </w:r>
      <w:r w:rsidRPr="00D4309F">
        <w:rPr>
          <w:spacing w:val="-2"/>
        </w:rPr>
        <w:t xml:space="preserve"> </w:t>
      </w:r>
      <w:r w:rsidRPr="00D4309F">
        <w:t>moderate</w:t>
      </w:r>
      <w:r w:rsidRPr="00D4309F">
        <w:rPr>
          <w:spacing w:val="-2"/>
        </w:rPr>
        <w:t xml:space="preserve"> </w:t>
      </w:r>
      <w:r w:rsidRPr="00D4309F">
        <w:t>economic</w:t>
      </w:r>
      <w:r w:rsidRPr="00D4309F">
        <w:rPr>
          <w:spacing w:val="-1"/>
        </w:rPr>
        <w:t xml:space="preserve"> </w:t>
      </w:r>
      <w:r w:rsidRPr="00D4309F">
        <w:t>impact</w:t>
      </w:r>
      <w:r w:rsidRPr="00D4309F">
        <w:rPr>
          <w:spacing w:val="-2"/>
        </w:rPr>
        <w:t xml:space="preserve"> </w:t>
      </w:r>
      <w:r w:rsidRPr="00D4309F">
        <w:t>compared</w:t>
      </w:r>
      <w:r w:rsidRPr="00D4309F">
        <w:rPr>
          <w:spacing w:val="-2"/>
        </w:rPr>
        <w:t xml:space="preserve"> </w:t>
      </w:r>
      <w:r w:rsidRPr="00D4309F">
        <w:t>with</w:t>
      </w:r>
      <w:r w:rsidRPr="00D4309F">
        <w:rPr>
          <w:spacing w:val="-2"/>
        </w:rPr>
        <w:t xml:space="preserve"> </w:t>
      </w:r>
      <w:r w:rsidRPr="00D4309F">
        <w:t>the</w:t>
      </w:r>
      <w:r w:rsidRPr="00D4309F">
        <w:rPr>
          <w:spacing w:val="-2"/>
        </w:rPr>
        <w:t xml:space="preserve"> </w:t>
      </w:r>
      <w:r w:rsidRPr="00D4309F">
        <w:t>current</w:t>
      </w:r>
      <w:r w:rsidRPr="00D4309F">
        <w:rPr>
          <w:spacing w:val="-4"/>
        </w:rPr>
        <w:t xml:space="preserve"> </w:t>
      </w:r>
      <w:r w:rsidRPr="00D4309F">
        <w:t>approach.</w:t>
      </w:r>
      <w:r w:rsidRPr="00D4309F">
        <w:rPr>
          <w:spacing w:val="-4"/>
        </w:rPr>
        <w:t xml:space="preserve"> </w:t>
      </w:r>
      <w:r w:rsidRPr="00D4309F">
        <w:t>The project will reduce shoaling at the harbour entrance improving channel access and reliability for users in the long-term. This enhancement will allow both commercial and recreational vessels to navigate the channel without interruption, reducing delays and minimising reliance on emergency maintenance dredging. By ensuring</w:t>
      </w:r>
      <w:r w:rsidRPr="00D4309F">
        <w:rPr>
          <w:spacing w:val="-3"/>
        </w:rPr>
        <w:t xml:space="preserve"> </w:t>
      </w:r>
      <w:r w:rsidRPr="00D4309F">
        <w:t>consistent</w:t>
      </w:r>
      <w:r w:rsidRPr="00D4309F">
        <w:rPr>
          <w:spacing w:val="-3"/>
        </w:rPr>
        <w:t xml:space="preserve"> </w:t>
      </w:r>
      <w:r w:rsidRPr="00D4309F">
        <w:t>access,</w:t>
      </w:r>
      <w:r w:rsidRPr="00D4309F">
        <w:rPr>
          <w:spacing w:val="-3"/>
        </w:rPr>
        <w:t xml:space="preserve"> </w:t>
      </w:r>
      <w:r w:rsidRPr="00D4309F">
        <w:t>the</w:t>
      </w:r>
      <w:r w:rsidRPr="00D4309F">
        <w:rPr>
          <w:spacing w:val="-3"/>
        </w:rPr>
        <w:t xml:space="preserve"> </w:t>
      </w:r>
      <w:r w:rsidRPr="00D4309F">
        <w:t>project</w:t>
      </w:r>
      <w:r w:rsidRPr="00D4309F">
        <w:rPr>
          <w:spacing w:val="-5"/>
        </w:rPr>
        <w:t xml:space="preserve"> </w:t>
      </w:r>
      <w:r w:rsidRPr="00D4309F">
        <w:t>supports</w:t>
      </w:r>
      <w:r w:rsidRPr="00D4309F">
        <w:rPr>
          <w:spacing w:val="-2"/>
        </w:rPr>
        <w:t xml:space="preserve"> </w:t>
      </w:r>
      <w:r w:rsidRPr="00D4309F">
        <w:t>safer</w:t>
      </w:r>
      <w:r w:rsidRPr="00D4309F">
        <w:rPr>
          <w:spacing w:val="-2"/>
        </w:rPr>
        <w:t xml:space="preserve"> </w:t>
      </w:r>
      <w:r w:rsidRPr="00D4309F">
        <w:t>operations</w:t>
      </w:r>
      <w:r w:rsidRPr="00D4309F">
        <w:rPr>
          <w:spacing w:val="-2"/>
        </w:rPr>
        <w:t xml:space="preserve"> </w:t>
      </w:r>
      <w:r w:rsidRPr="00D4309F">
        <w:t>and</w:t>
      </w:r>
      <w:r w:rsidRPr="00D4309F">
        <w:rPr>
          <w:spacing w:val="-3"/>
        </w:rPr>
        <w:t xml:space="preserve"> </w:t>
      </w:r>
      <w:r w:rsidRPr="00D4309F">
        <w:t>greater</w:t>
      </w:r>
      <w:r w:rsidRPr="00D4309F">
        <w:rPr>
          <w:spacing w:val="-4"/>
        </w:rPr>
        <w:t xml:space="preserve"> </w:t>
      </w:r>
      <w:r w:rsidRPr="00D4309F">
        <w:t>confidence</w:t>
      </w:r>
      <w:r w:rsidRPr="00D4309F">
        <w:rPr>
          <w:spacing w:val="-3"/>
        </w:rPr>
        <w:t xml:space="preserve"> </w:t>
      </w:r>
      <w:r w:rsidRPr="00D4309F">
        <w:t>for</w:t>
      </w:r>
      <w:r w:rsidRPr="00D4309F">
        <w:rPr>
          <w:spacing w:val="-4"/>
        </w:rPr>
        <w:t xml:space="preserve"> </w:t>
      </w:r>
      <w:r w:rsidRPr="00D4309F">
        <w:t>businesses</w:t>
      </w:r>
      <w:r w:rsidRPr="00D4309F">
        <w:rPr>
          <w:spacing w:val="-2"/>
        </w:rPr>
        <w:t xml:space="preserve"> </w:t>
      </w:r>
      <w:r w:rsidRPr="00D4309F">
        <w:t xml:space="preserve">and the boating community. Reduced maintenance dredging frequency would improve reliability and reduce disruptions to harbour access, as most dredging would occur at Buddina Beach rather than at the harbour </w:t>
      </w:r>
      <w:r w:rsidRPr="00D4309F">
        <w:rPr>
          <w:spacing w:val="-2"/>
        </w:rPr>
        <w:t>entrance.</w:t>
      </w:r>
    </w:p>
    <w:p w14:paraId="1CB0ED7C" w14:textId="26E73A57" w:rsidR="00725977" w:rsidRPr="00D4309F" w:rsidRDefault="00725977" w:rsidP="00725977">
      <w:pPr>
        <w:pStyle w:val="BodyText"/>
      </w:pPr>
      <w:r w:rsidRPr="00D4309F">
        <w:t>During construction, there may be temporary impacts on beach amenity, including reduced access and possible closures of sections of Buddina Beach. During maintenance dredging, moderate impacts are anticipated due to the temporary pipeline and shore-based pump station at Point Cartwright, which will connect to the existing pumping system. These works will require closure of the northern section of the beach.</w:t>
      </w:r>
      <w:r w:rsidRPr="00D4309F">
        <w:rPr>
          <w:spacing w:val="-3"/>
        </w:rPr>
        <w:t xml:space="preserve"> </w:t>
      </w:r>
      <w:r w:rsidRPr="00D4309F">
        <w:t>Dredging</w:t>
      </w:r>
      <w:r w:rsidRPr="00D4309F">
        <w:rPr>
          <w:spacing w:val="-3"/>
        </w:rPr>
        <w:t xml:space="preserve"> </w:t>
      </w:r>
      <w:r w:rsidRPr="00D4309F">
        <w:t>in</w:t>
      </w:r>
      <w:r w:rsidRPr="00D4309F">
        <w:rPr>
          <w:spacing w:val="-3"/>
        </w:rPr>
        <w:t xml:space="preserve"> </w:t>
      </w:r>
      <w:r w:rsidRPr="00D4309F">
        <w:t>this</w:t>
      </w:r>
      <w:r w:rsidRPr="00D4309F">
        <w:rPr>
          <w:spacing w:val="-2"/>
        </w:rPr>
        <w:t xml:space="preserve"> </w:t>
      </w:r>
      <w:r w:rsidRPr="00D4309F">
        <w:t>area</w:t>
      </w:r>
      <w:r w:rsidRPr="00D4309F">
        <w:rPr>
          <w:spacing w:val="-3"/>
        </w:rPr>
        <w:t xml:space="preserve"> </w:t>
      </w:r>
      <w:r w:rsidRPr="00D4309F">
        <w:t>may</w:t>
      </w:r>
      <w:r w:rsidRPr="00D4309F">
        <w:rPr>
          <w:spacing w:val="-2"/>
        </w:rPr>
        <w:t xml:space="preserve"> </w:t>
      </w:r>
      <w:r w:rsidRPr="00D4309F">
        <w:t>also</w:t>
      </w:r>
      <w:r w:rsidRPr="00D4309F">
        <w:rPr>
          <w:spacing w:val="-3"/>
        </w:rPr>
        <w:t xml:space="preserve"> </w:t>
      </w:r>
      <w:r w:rsidRPr="00D4309F">
        <w:t>affect</w:t>
      </w:r>
      <w:r w:rsidRPr="00D4309F">
        <w:rPr>
          <w:spacing w:val="-3"/>
        </w:rPr>
        <w:t xml:space="preserve"> </w:t>
      </w:r>
      <w:r w:rsidRPr="00D4309F">
        <w:t>beach</w:t>
      </w:r>
      <w:r w:rsidRPr="00D4309F">
        <w:rPr>
          <w:spacing w:val="-3"/>
        </w:rPr>
        <w:t xml:space="preserve"> </w:t>
      </w:r>
      <w:r w:rsidRPr="00D4309F">
        <w:t>fishing,</w:t>
      </w:r>
      <w:r w:rsidRPr="00D4309F">
        <w:rPr>
          <w:spacing w:val="-3"/>
        </w:rPr>
        <w:t xml:space="preserve"> </w:t>
      </w:r>
      <w:r w:rsidRPr="00D4309F">
        <w:t>which</w:t>
      </w:r>
      <w:r w:rsidRPr="00D4309F">
        <w:rPr>
          <w:spacing w:val="-3"/>
        </w:rPr>
        <w:t xml:space="preserve"> </w:t>
      </w:r>
      <w:r w:rsidRPr="00D4309F">
        <w:t>is</w:t>
      </w:r>
      <w:r w:rsidRPr="00D4309F">
        <w:rPr>
          <w:spacing w:val="-3"/>
        </w:rPr>
        <w:t xml:space="preserve"> </w:t>
      </w:r>
      <w:r w:rsidRPr="00D4309F">
        <w:t>permitted</w:t>
      </w:r>
      <w:r w:rsidRPr="00D4309F">
        <w:rPr>
          <w:spacing w:val="-3"/>
        </w:rPr>
        <w:t xml:space="preserve"> </w:t>
      </w:r>
      <w:r w:rsidRPr="00D4309F">
        <w:t>at</w:t>
      </w:r>
      <w:r w:rsidRPr="00D4309F">
        <w:rPr>
          <w:spacing w:val="-3"/>
        </w:rPr>
        <w:t xml:space="preserve"> </w:t>
      </w:r>
      <w:r w:rsidRPr="00D4309F">
        <w:t>Buddina</w:t>
      </w:r>
      <w:r w:rsidRPr="00D4309F">
        <w:rPr>
          <w:spacing w:val="-3"/>
        </w:rPr>
        <w:t xml:space="preserve"> </w:t>
      </w:r>
      <w:r w:rsidRPr="00D4309F">
        <w:t>Beach.</w:t>
      </w:r>
      <w:r w:rsidRPr="00D4309F">
        <w:rPr>
          <w:spacing w:val="-5"/>
        </w:rPr>
        <w:t xml:space="preserve"> </w:t>
      </w:r>
      <w:r w:rsidRPr="00D4309F">
        <w:t>Depending on the footprint of the beach closed to the public and the duration it is closed for, this has the possibility to reduce visitors to the region, with some likely opting to visit/stay elsewhere on the Sunshine Coast or other coastal region instead. Reduced visitor numbers would impact local businesses within the area through reduced spending.</w:t>
      </w:r>
    </w:p>
    <w:p w14:paraId="4A936D5C" w14:textId="77777777" w:rsidR="00725977" w:rsidRPr="00D4309F" w:rsidRDefault="00725977" w:rsidP="00F4416A">
      <w:pPr>
        <w:pStyle w:val="Heading3"/>
      </w:pPr>
      <w:bookmarkStart w:id="281" w:name="_Toc216699393"/>
      <w:r w:rsidRPr="00D4309F">
        <w:t>Future</w:t>
      </w:r>
      <w:r w:rsidRPr="00D4309F">
        <w:rPr>
          <w:spacing w:val="-3"/>
        </w:rPr>
        <w:t xml:space="preserve"> </w:t>
      </w:r>
      <w:r w:rsidRPr="00D4309F">
        <w:t>adaptability</w:t>
      </w:r>
      <w:bookmarkEnd w:id="281"/>
    </w:p>
    <w:p w14:paraId="14D74EEC" w14:textId="77777777" w:rsidR="00725977" w:rsidRPr="00D4309F" w:rsidRDefault="00725977" w:rsidP="00725977">
      <w:pPr>
        <w:pStyle w:val="BodyText"/>
      </w:pPr>
      <w:r w:rsidRPr="00D4309F">
        <w:t>The pump and pipeline</w:t>
      </w:r>
      <w:r w:rsidRPr="00D4309F">
        <w:rPr>
          <w:spacing w:val="-1"/>
        </w:rPr>
        <w:t xml:space="preserve"> </w:t>
      </w:r>
      <w:r w:rsidRPr="00D4309F">
        <w:t>system also provides scope for staged adaptation, though</w:t>
      </w:r>
      <w:r w:rsidRPr="00D4309F">
        <w:rPr>
          <w:spacing w:val="-1"/>
        </w:rPr>
        <w:t xml:space="preserve"> </w:t>
      </w:r>
      <w:r w:rsidRPr="00D4309F">
        <w:t>with a different risk profile. If the system proves unsuccessful or not well-received by the community, the infrastructure could be removed</w:t>
      </w:r>
      <w:r w:rsidRPr="00D4309F">
        <w:rPr>
          <w:spacing w:val="-3"/>
        </w:rPr>
        <w:t xml:space="preserve"> </w:t>
      </w:r>
      <w:r w:rsidRPr="00D4309F">
        <w:t>or</w:t>
      </w:r>
      <w:r w:rsidRPr="00D4309F">
        <w:rPr>
          <w:spacing w:val="-2"/>
        </w:rPr>
        <w:t xml:space="preserve"> </w:t>
      </w:r>
      <w:r w:rsidRPr="00D4309F">
        <w:t>decommissioned</w:t>
      </w:r>
      <w:r w:rsidRPr="00D4309F">
        <w:rPr>
          <w:spacing w:val="-3"/>
        </w:rPr>
        <w:t xml:space="preserve"> </w:t>
      </w:r>
      <w:r w:rsidRPr="00D4309F">
        <w:t>with</w:t>
      </w:r>
      <w:r w:rsidRPr="00D4309F">
        <w:rPr>
          <w:spacing w:val="-3"/>
        </w:rPr>
        <w:t xml:space="preserve"> </w:t>
      </w:r>
      <w:r w:rsidRPr="00D4309F">
        <w:t>moderate</w:t>
      </w:r>
      <w:r w:rsidRPr="00D4309F">
        <w:rPr>
          <w:spacing w:val="-3"/>
        </w:rPr>
        <w:t xml:space="preserve"> </w:t>
      </w:r>
      <w:r w:rsidRPr="00D4309F">
        <w:t>effort.</w:t>
      </w:r>
      <w:r w:rsidRPr="00D4309F">
        <w:rPr>
          <w:spacing w:val="-3"/>
        </w:rPr>
        <w:t xml:space="preserve"> </w:t>
      </w:r>
      <w:r w:rsidRPr="00D4309F">
        <w:t>While</w:t>
      </w:r>
      <w:r w:rsidRPr="00D4309F">
        <w:rPr>
          <w:spacing w:val="-3"/>
        </w:rPr>
        <w:t xml:space="preserve"> </w:t>
      </w:r>
      <w:r w:rsidRPr="00D4309F">
        <w:t>this</w:t>
      </w:r>
      <w:r w:rsidRPr="00D4309F">
        <w:rPr>
          <w:spacing w:val="-2"/>
        </w:rPr>
        <w:t xml:space="preserve"> </w:t>
      </w:r>
      <w:r w:rsidRPr="00D4309F">
        <w:t>would</w:t>
      </w:r>
      <w:r w:rsidRPr="00D4309F">
        <w:rPr>
          <w:spacing w:val="-3"/>
        </w:rPr>
        <w:t xml:space="preserve"> </w:t>
      </w:r>
      <w:r w:rsidRPr="00D4309F">
        <w:t>involve</w:t>
      </w:r>
      <w:r w:rsidRPr="00D4309F">
        <w:rPr>
          <w:spacing w:val="-3"/>
        </w:rPr>
        <w:t xml:space="preserve"> </w:t>
      </w:r>
      <w:r w:rsidRPr="00D4309F">
        <w:t>dismantling</w:t>
      </w:r>
      <w:r w:rsidRPr="00D4309F">
        <w:rPr>
          <w:spacing w:val="-3"/>
        </w:rPr>
        <w:t xml:space="preserve"> </w:t>
      </w:r>
      <w:r w:rsidRPr="00D4309F">
        <w:t>the</w:t>
      </w:r>
      <w:r w:rsidRPr="00D4309F">
        <w:rPr>
          <w:spacing w:val="-4"/>
        </w:rPr>
        <w:t xml:space="preserve"> </w:t>
      </w:r>
      <w:r w:rsidRPr="00D4309F">
        <w:t>pump</w:t>
      </w:r>
      <w:r w:rsidRPr="00D4309F">
        <w:rPr>
          <w:spacing w:val="-3"/>
        </w:rPr>
        <w:t xml:space="preserve"> </w:t>
      </w:r>
      <w:r w:rsidRPr="00D4309F">
        <w:t>station</w:t>
      </w:r>
      <w:r w:rsidRPr="00D4309F">
        <w:rPr>
          <w:spacing w:val="-3"/>
        </w:rPr>
        <w:t xml:space="preserve"> </w:t>
      </w:r>
      <w:r w:rsidRPr="00D4309F">
        <w:t xml:space="preserve">and excavating sections of the buried pipeline, the overall impact of removal would be manageable and </w:t>
      </w:r>
      <w:r w:rsidRPr="00D4309F">
        <w:rPr>
          <w:spacing w:val="-2"/>
        </w:rPr>
        <w:t>reversible.</w:t>
      </w:r>
    </w:p>
    <w:p w14:paraId="69E8C365" w14:textId="7DB2D84C" w:rsidR="00725977" w:rsidRPr="00D4309F" w:rsidRDefault="00725977" w:rsidP="00725977">
      <w:pPr>
        <w:pStyle w:val="BodyText"/>
      </w:pPr>
      <w:r w:rsidRPr="00D4309F">
        <w:t>Conversely,</w:t>
      </w:r>
      <w:r w:rsidRPr="00D4309F">
        <w:rPr>
          <w:spacing w:val="-3"/>
        </w:rPr>
        <w:t xml:space="preserve"> </w:t>
      </w:r>
      <w:r w:rsidRPr="00D4309F">
        <w:t>if</w:t>
      </w:r>
      <w:r w:rsidRPr="00D4309F">
        <w:rPr>
          <w:spacing w:val="-3"/>
        </w:rPr>
        <w:t xml:space="preserve"> </w:t>
      </w:r>
      <w:r w:rsidRPr="00D4309F">
        <w:t>the</w:t>
      </w:r>
      <w:r w:rsidRPr="00D4309F">
        <w:rPr>
          <w:spacing w:val="-3"/>
        </w:rPr>
        <w:t xml:space="preserve"> </w:t>
      </w:r>
      <w:r w:rsidRPr="00D4309F">
        <w:t>system</w:t>
      </w:r>
      <w:r w:rsidRPr="00D4309F">
        <w:rPr>
          <w:spacing w:val="-3"/>
        </w:rPr>
        <w:t xml:space="preserve"> </w:t>
      </w:r>
      <w:r w:rsidRPr="00D4309F">
        <w:t>performs</w:t>
      </w:r>
      <w:r w:rsidRPr="00D4309F">
        <w:rPr>
          <w:spacing w:val="-2"/>
        </w:rPr>
        <w:t xml:space="preserve"> </w:t>
      </w:r>
      <w:r w:rsidRPr="00D4309F">
        <w:t>effectively</w:t>
      </w:r>
      <w:r w:rsidRPr="00D4309F">
        <w:rPr>
          <w:spacing w:val="-2"/>
        </w:rPr>
        <w:t xml:space="preserve"> </w:t>
      </w:r>
      <w:r w:rsidRPr="00D4309F">
        <w:t>and</w:t>
      </w:r>
      <w:r w:rsidRPr="00D4309F">
        <w:rPr>
          <w:spacing w:val="-3"/>
        </w:rPr>
        <w:t xml:space="preserve"> </w:t>
      </w:r>
      <w:r w:rsidRPr="00D4309F">
        <w:t>gains</w:t>
      </w:r>
      <w:r w:rsidRPr="00D4309F">
        <w:rPr>
          <w:spacing w:val="-2"/>
        </w:rPr>
        <w:t xml:space="preserve"> </w:t>
      </w:r>
      <w:r w:rsidRPr="00D4309F">
        <w:t>long-term</w:t>
      </w:r>
      <w:r w:rsidRPr="00D4309F">
        <w:rPr>
          <w:spacing w:val="-4"/>
        </w:rPr>
        <w:t xml:space="preserve"> </w:t>
      </w:r>
      <w:r w:rsidRPr="00D4309F">
        <w:t>support,</w:t>
      </w:r>
      <w:r w:rsidRPr="00D4309F">
        <w:rPr>
          <w:spacing w:val="-3"/>
        </w:rPr>
        <w:t xml:space="preserve"> </w:t>
      </w:r>
      <w:r w:rsidRPr="00D4309F">
        <w:t>there</w:t>
      </w:r>
      <w:r w:rsidRPr="00D4309F">
        <w:rPr>
          <w:spacing w:val="-4"/>
        </w:rPr>
        <w:t xml:space="preserve"> </w:t>
      </w:r>
      <w:r w:rsidRPr="00D4309F">
        <w:t>is</w:t>
      </w:r>
      <w:r w:rsidRPr="00D4309F">
        <w:rPr>
          <w:spacing w:val="-2"/>
        </w:rPr>
        <w:t xml:space="preserve"> </w:t>
      </w:r>
      <w:r w:rsidRPr="00D4309F">
        <w:t>significant</w:t>
      </w:r>
      <w:r w:rsidRPr="00D4309F">
        <w:rPr>
          <w:spacing w:val="-3"/>
        </w:rPr>
        <w:t xml:space="preserve"> </w:t>
      </w:r>
      <w:r w:rsidRPr="00D4309F">
        <w:t>opportunity</w:t>
      </w:r>
      <w:r w:rsidRPr="00D4309F">
        <w:rPr>
          <w:spacing w:val="-2"/>
        </w:rPr>
        <w:t xml:space="preserve"> </w:t>
      </w:r>
      <w:r w:rsidRPr="00D4309F">
        <w:t>for progressive enhancement. A logical future upgrade could involve the installation of a permanent sand-collection intake within the Buddina Beach sand trap area potentially incorporating a jetty-mounted pump</w:t>
      </w:r>
      <w:r w:rsidR="00F354DD">
        <w:t xml:space="preserve"> </w:t>
      </w:r>
      <w:r w:rsidR="00F354DD">
        <w:lastRenderedPageBreak/>
        <w:t>s</w:t>
      </w:r>
      <w:r w:rsidRPr="00D4309F">
        <w:t>ystem</w:t>
      </w:r>
      <w:r w:rsidRPr="00D4309F">
        <w:rPr>
          <w:spacing w:val="-3"/>
        </w:rPr>
        <w:t xml:space="preserve"> </w:t>
      </w:r>
      <w:r w:rsidRPr="00D4309F">
        <w:t>or</w:t>
      </w:r>
      <w:r w:rsidRPr="00D4309F">
        <w:rPr>
          <w:spacing w:val="-2"/>
        </w:rPr>
        <w:t xml:space="preserve"> </w:t>
      </w:r>
      <w:r w:rsidRPr="00D4309F">
        <w:t>smaller</w:t>
      </w:r>
      <w:r w:rsidRPr="00D4309F">
        <w:rPr>
          <w:spacing w:val="-2"/>
        </w:rPr>
        <w:t xml:space="preserve"> </w:t>
      </w:r>
      <w:r w:rsidRPr="00D4309F">
        <w:t>automated</w:t>
      </w:r>
      <w:r w:rsidRPr="00D4309F">
        <w:rPr>
          <w:spacing w:val="-3"/>
        </w:rPr>
        <w:t xml:space="preserve"> </w:t>
      </w:r>
      <w:r w:rsidRPr="00D4309F">
        <w:t>slurry-transfer</w:t>
      </w:r>
      <w:r w:rsidRPr="00D4309F">
        <w:rPr>
          <w:spacing w:val="-4"/>
        </w:rPr>
        <w:t xml:space="preserve"> </w:t>
      </w:r>
      <w:r w:rsidRPr="00D4309F">
        <w:t>setup.</w:t>
      </w:r>
      <w:r w:rsidRPr="00D4309F">
        <w:rPr>
          <w:spacing w:val="-3"/>
        </w:rPr>
        <w:t xml:space="preserve"> </w:t>
      </w:r>
      <w:r w:rsidRPr="00D4309F">
        <w:t>Such</w:t>
      </w:r>
      <w:r w:rsidRPr="00D4309F">
        <w:rPr>
          <w:spacing w:val="-3"/>
        </w:rPr>
        <w:t xml:space="preserve"> </w:t>
      </w:r>
      <w:r w:rsidRPr="00D4309F">
        <w:t>an</w:t>
      </w:r>
      <w:r w:rsidRPr="00D4309F">
        <w:rPr>
          <w:spacing w:val="-3"/>
        </w:rPr>
        <w:t xml:space="preserve"> </w:t>
      </w:r>
      <w:r w:rsidRPr="00D4309F">
        <w:t>enhancement</w:t>
      </w:r>
      <w:r w:rsidRPr="00D4309F">
        <w:rPr>
          <w:spacing w:val="-3"/>
        </w:rPr>
        <w:t xml:space="preserve"> </w:t>
      </w:r>
      <w:r w:rsidRPr="00D4309F">
        <w:t>would</w:t>
      </w:r>
      <w:r w:rsidRPr="00D4309F">
        <w:rPr>
          <w:spacing w:val="-3"/>
        </w:rPr>
        <w:t xml:space="preserve"> </w:t>
      </w:r>
      <w:r w:rsidRPr="00D4309F">
        <w:t>move</w:t>
      </w:r>
      <w:r w:rsidRPr="00D4309F">
        <w:rPr>
          <w:spacing w:val="-3"/>
        </w:rPr>
        <w:t xml:space="preserve"> </w:t>
      </w:r>
      <w:r w:rsidRPr="00D4309F">
        <w:t>the</w:t>
      </w:r>
      <w:r w:rsidRPr="00D4309F">
        <w:rPr>
          <w:spacing w:val="-4"/>
        </w:rPr>
        <w:t xml:space="preserve"> </w:t>
      </w:r>
      <w:r w:rsidRPr="00D4309F">
        <w:t>system</w:t>
      </w:r>
      <w:r w:rsidRPr="00D4309F">
        <w:rPr>
          <w:spacing w:val="-3"/>
        </w:rPr>
        <w:t xml:space="preserve"> </w:t>
      </w:r>
      <w:r w:rsidRPr="00D4309F">
        <w:t>closer</w:t>
      </w:r>
      <w:r w:rsidRPr="00D4309F">
        <w:rPr>
          <w:spacing w:val="-2"/>
        </w:rPr>
        <w:t xml:space="preserve"> </w:t>
      </w:r>
      <w:r w:rsidRPr="00D4309F">
        <w:t>to</w:t>
      </w:r>
      <w:r w:rsidRPr="00D4309F">
        <w:rPr>
          <w:spacing w:val="-3"/>
        </w:rPr>
        <w:t xml:space="preserve"> </w:t>
      </w:r>
      <w:r w:rsidRPr="00D4309F">
        <w:t>a fully integrated sand bypass facility, reducing reliance on periodic dredging and enabling continuous</w:t>
      </w:r>
      <w:r w:rsidRPr="00D4309F">
        <w:rPr>
          <w:spacing w:val="40"/>
        </w:rPr>
        <w:t xml:space="preserve"> </w:t>
      </w:r>
      <w:r w:rsidRPr="00D4309F">
        <w:t>sediment transfer.</w:t>
      </w:r>
    </w:p>
    <w:p w14:paraId="1CE106BD" w14:textId="2A15FAF3" w:rsidR="00725977" w:rsidRPr="00D4309F" w:rsidRDefault="00725977" w:rsidP="00725977">
      <w:pPr>
        <w:pStyle w:val="BodyText"/>
      </w:pPr>
      <w:r w:rsidRPr="00D4309F">
        <w:t>The</w:t>
      </w:r>
      <w:r w:rsidRPr="00D4309F">
        <w:rPr>
          <w:spacing w:val="-3"/>
        </w:rPr>
        <w:t xml:space="preserve"> </w:t>
      </w:r>
      <w:r w:rsidRPr="00D4309F">
        <w:t>primary</w:t>
      </w:r>
      <w:r w:rsidRPr="00D4309F">
        <w:rPr>
          <w:spacing w:val="-2"/>
        </w:rPr>
        <w:t xml:space="preserve"> </w:t>
      </w:r>
      <w:r w:rsidRPr="00D4309F">
        <w:t>constraint</w:t>
      </w:r>
      <w:r w:rsidRPr="00D4309F">
        <w:rPr>
          <w:spacing w:val="-3"/>
        </w:rPr>
        <w:t xml:space="preserve"> </w:t>
      </w:r>
      <w:r w:rsidRPr="00D4309F">
        <w:t>on</w:t>
      </w:r>
      <w:r w:rsidRPr="00D4309F">
        <w:rPr>
          <w:spacing w:val="-3"/>
        </w:rPr>
        <w:t xml:space="preserve"> </w:t>
      </w:r>
      <w:r w:rsidRPr="00D4309F">
        <w:t>future</w:t>
      </w:r>
      <w:r w:rsidRPr="00D4309F">
        <w:rPr>
          <w:spacing w:val="-3"/>
        </w:rPr>
        <w:t xml:space="preserve"> </w:t>
      </w:r>
      <w:r w:rsidRPr="00D4309F">
        <w:t>adaptability</w:t>
      </w:r>
      <w:r w:rsidRPr="00D4309F">
        <w:rPr>
          <w:spacing w:val="-2"/>
        </w:rPr>
        <w:t xml:space="preserve"> </w:t>
      </w:r>
      <w:r w:rsidRPr="00D4309F">
        <w:t>is</w:t>
      </w:r>
      <w:r w:rsidRPr="00D4309F">
        <w:rPr>
          <w:spacing w:val="-2"/>
        </w:rPr>
        <w:t xml:space="preserve"> </w:t>
      </w:r>
      <w:r w:rsidRPr="00D4309F">
        <w:t>the</w:t>
      </w:r>
      <w:r w:rsidRPr="00D4309F">
        <w:rPr>
          <w:spacing w:val="-3"/>
        </w:rPr>
        <w:t xml:space="preserve"> </w:t>
      </w:r>
      <w:r w:rsidRPr="00D4309F">
        <w:t>fixed</w:t>
      </w:r>
      <w:r w:rsidRPr="00D4309F">
        <w:rPr>
          <w:spacing w:val="-3"/>
        </w:rPr>
        <w:t xml:space="preserve"> </w:t>
      </w:r>
      <w:r w:rsidRPr="00D4309F">
        <w:t>nature</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installed</w:t>
      </w:r>
      <w:r w:rsidRPr="00D4309F">
        <w:rPr>
          <w:spacing w:val="-3"/>
        </w:rPr>
        <w:t xml:space="preserve"> </w:t>
      </w:r>
      <w:r w:rsidRPr="00D4309F">
        <w:t>infrastructure</w:t>
      </w:r>
      <w:r w:rsidRPr="00D4309F">
        <w:rPr>
          <w:spacing w:val="-5"/>
        </w:rPr>
        <w:t xml:space="preserve"> </w:t>
      </w:r>
      <w:r w:rsidRPr="00D4309F">
        <w:t>while</w:t>
      </w:r>
      <w:r w:rsidRPr="00D4309F">
        <w:rPr>
          <w:spacing w:val="-3"/>
        </w:rPr>
        <w:t xml:space="preserve"> </w:t>
      </w:r>
      <w:r w:rsidRPr="00D4309F">
        <w:t>scalable</w:t>
      </w:r>
      <w:r w:rsidRPr="00D4309F">
        <w:rPr>
          <w:spacing w:val="-3"/>
        </w:rPr>
        <w:t xml:space="preserve"> </w:t>
      </w:r>
      <w:r w:rsidRPr="00D4309F">
        <w:t>in concept, modifications or relocation of the pipeline alignment would require additional construction effort and environmental approvals. Nevertheless, Option 1B remains adaptable through incremental improvements as performance data and community feedback become available.</w:t>
      </w:r>
    </w:p>
    <w:p w14:paraId="7FCC413F" w14:textId="77777777" w:rsidR="00725977" w:rsidRPr="00D4309F" w:rsidRDefault="00725977" w:rsidP="00F4416A">
      <w:pPr>
        <w:pStyle w:val="Heading3"/>
      </w:pPr>
      <w:bookmarkStart w:id="282" w:name="_Toc216699394"/>
      <w:r w:rsidRPr="00D4309F">
        <w:t>Safety</w:t>
      </w:r>
      <w:r w:rsidRPr="00D4309F">
        <w:rPr>
          <w:spacing w:val="-5"/>
        </w:rPr>
        <w:t xml:space="preserve"> </w:t>
      </w:r>
      <w:r w:rsidRPr="00D4309F">
        <w:t>of</w:t>
      </w:r>
      <w:r w:rsidRPr="00D4309F">
        <w:rPr>
          <w:spacing w:val="-3"/>
        </w:rPr>
        <w:t xml:space="preserve"> </w:t>
      </w:r>
      <w:r w:rsidRPr="00D4309F">
        <w:t>Option</w:t>
      </w:r>
      <w:r w:rsidRPr="00D4309F">
        <w:rPr>
          <w:spacing w:val="-2"/>
        </w:rPr>
        <w:t xml:space="preserve"> </w:t>
      </w:r>
      <w:r w:rsidRPr="00D4309F">
        <w:rPr>
          <w:spacing w:val="-5"/>
        </w:rPr>
        <w:t>1B</w:t>
      </w:r>
      <w:bookmarkEnd w:id="282"/>
    </w:p>
    <w:p w14:paraId="59EFFDC1" w14:textId="77777777" w:rsidR="00725977" w:rsidRPr="00D4309F" w:rsidRDefault="00725977" w:rsidP="00725977">
      <w:pPr>
        <w:pStyle w:val="BodyText"/>
      </w:pPr>
      <w:r w:rsidRPr="00D4309F">
        <w:t>Option 1B provides a higher and more consistent level of safety benefit than Option 1A due to its ability to transfer sand more frequently and maintain the trap in a more effective state. By actively pumping accumulated sand from Area A to Area B, Option 1B offers improved reliability of all-tide access, with reduced</w:t>
      </w:r>
      <w:r w:rsidRPr="00D4309F">
        <w:rPr>
          <w:spacing w:val="-3"/>
        </w:rPr>
        <w:t xml:space="preserve"> </w:t>
      </w:r>
      <w:r w:rsidRPr="00D4309F">
        <w:t>variability</w:t>
      </w:r>
      <w:r w:rsidRPr="00D4309F">
        <w:rPr>
          <w:spacing w:val="-2"/>
        </w:rPr>
        <w:t xml:space="preserve"> </w:t>
      </w:r>
      <w:r w:rsidRPr="00D4309F">
        <w:t>in</w:t>
      </w:r>
      <w:r w:rsidRPr="00D4309F">
        <w:rPr>
          <w:spacing w:val="-3"/>
        </w:rPr>
        <w:t xml:space="preserve"> </w:t>
      </w:r>
      <w:r w:rsidRPr="00D4309F">
        <w:t>channel</w:t>
      </w:r>
      <w:r w:rsidRPr="00D4309F">
        <w:rPr>
          <w:spacing w:val="-3"/>
        </w:rPr>
        <w:t xml:space="preserve"> </w:t>
      </w:r>
      <w:r w:rsidRPr="00D4309F">
        <w:t>depth</w:t>
      </w:r>
      <w:r w:rsidRPr="00D4309F">
        <w:rPr>
          <w:spacing w:val="-3"/>
        </w:rPr>
        <w:t xml:space="preserve"> </w:t>
      </w:r>
      <w:r w:rsidRPr="00D4309F">
        <w:t>compared</w:t>
      </w:r>
      <w:r w:rsidRPr="00D4309F">
        <w:rPr>
          <w:spacing w:val="-3"/>
        </w:rPr>
        <w:t xml:space="preserve"> </w:t>
      </w:r>
      <w:r w:rsidRPr="00D4309F">
        <w:t>with</w:t>
      </w:r>
      <w:r w:rsidRPr="00D4309F">
        <w:rPr>
          <w:spacing w:val="-3"/>
        </w:rPr>
        <w:t xml:space="preserve"> </w:t>
      </w:r>
      <w:r w:rsidRPr="00D4309F">
        <w:t>intermittent</w:t>
      </w:r>
      <w:r w:rsidRPr="00D4309F">
        <w:rPr>
          <w:spacing w:val="-3"/>
        </w:rPr>
        <w:t xml:space="preserve"> </w:t>
      </w:r>
      <w:r w:rsidRPr="00D4309F">
        <w:t>dredging.</w:t>
      </w:r>
      <w:r w:rsidRPr="00D4309F">
        <w:rPr>
          <w:spacing w:val="-3"/>
        </w:rPr>
        <w:t xml:space="preserve"> </w:t>
      </w:r>
      <w:r w:rsidRPr="00D4309F">
        <w:t>The</w:t>
      </w:r>
      <w:r w:rsidRPr="00D4309F">
        <w:rPr>
          <w:spacing w:val="-3"/>
        </w:rPr>
        <w:t xml:space="preserve"> </w:t>
      </w:r>
      <w:r w:rsidRPr="00D4309F">
        <w:t>more</w:t>
      </w:r>
      <w:r w:rsidRPr="00D4309F">
        <w:rPr>
          <w:spacing w:val="-3"/>
        </w:rPr>
        <w:t xml:space="preserve"> </w:t>
      </w:r>
      <w:r w:rsidRPr="00D4309F">
        <w:t>regular</w:t>
      </w:r>
      <w:r w:rsidRPr="00D4309F">
        <w:rPr>
          <w:spacing w:val="-2"/>
        </w:rPr>
        <w:t xml:space="preserve"> </w:t>
      </w:r>
      <w:r w:rsidRPr="00D4309F">
        <w:t>bypassing</w:t>
      </w:r>
      <w:r w:rsidRPr="00D4309F">
        <w:rPr>
          <w:spacing w:val="-3"/>
        </w:rPr>
        <w:t xml:space="preserve"> </w:t>
      </w:r>
      <w:r w:rsidRPr="00D4309F">
        <w:t>action supports greater clarity of navigation, helping ensure that channel markers, hydrographic charts, and AtoNs remain accurate for longer periods without requiring frequent resurvey or adjustment.</w:t>
      </w:r>
    </w:p>
    <w:p w14:paraId="3BEC4BA4" w14:textId="4E1EBA75" w:rsidR="00725977" w:rsidRPr="00D4309F" w:rsidRDefault="00725977" w:rsidP="00725977">
      <w:pPr>
        <w:pStyle w:val="BodyText"/>
      </w:pPr>
      <w:r w:rsidRPr="00D4309F">
        <w:t>In terms of mariner safety, Option 1B decreases the likelihood of shoal-related hazards such as breaking waves, surging conditions, and unpredictable crosscurrents at the entrance. While construction and installation of the pipeline introduce temporary works-related risks, once operational, the system reduces reliance on large dredging vessels, thereby minimising navigation conflicts and safety risks during maintenance</w:t>
      </w:r>
      <w:r w:rsidRPr="00D4309F">
        <w:rPr>
          <w:spacing w:val="-3"/>
        </w:rPr>
        <w:t xml:space="preserve"> </w:t>
      </w:r>
      <w:r w:rsidRPr="00D4309F">
        <w:t>cycles.</w:t>
      </w:r>
      <w:r w:rsidRPr="00D4309F">
        <w:rPr>
          <w:spacing w:val="-3"/>
        </w:rPr>
        <w:t xml:space="preserve"> </w:t>
      </w:r>
      <w:r w:rsidRPr="00D4309F">
        <w:t>Overall,</w:t>
      </w:r>
      <w:r w:rsidRPr="00D4309F">
        <w:rPr>
          <w:spacing w:val="-3"/>
        </w:rPr>
        <w:t xml:space="preserve"> </w:t>
      </w:r>
      <w:r w:rsidRPr="00D4309F">
        <w:t>Option</w:t>
      </w:r>
      <w:r w:rsidRPr="00D4309F">
        <w:rPr>
          <w:spacing w:val="-3"/>
        </w:rPr>
        <w:t xml:space="preserve"> </w:t>
      </w:r>
      <w:r w:rsidRPr="00D4309F">
        <w:t>1B</w:t>
      </w:r>
      <w:r w:rsidRPr="00D4309F">
        <w:rPr>
          <w:spacing w:val="-3"/>
        </w:rPr>
        <w:t xml:space="preserve"> </w:t>
      </w:r>
      <w:r w:rsidRPr="00D4309F">
        <w:t>provides</w:t>
      </w:r>
      <w:r w:rsidRPr="00D4309F">
        <w:rPr>
          <w:spacing w:val="-2"/>
        </w:rPr>
        <w:t xml:space="preserve"> </w:t>
      </w:r>
      <w:r w:rsidRPr="00D4309F">
        <w:t>a</w:t>
      </w:r>
      <w:r w:rsidRPr="00D4309F">
        <w:rPr>
          <w:spacing w:val="-3"/>
        </w:rPr>
        <w:t xml:space="preserve"> </w:t>
      </w:r>
      <w:r w:rsidRPr="00D4309F">
        <w:t>strong</w:t>
      </w:r>
      <w:r w:rsidRPr="00D4309F">
        <w:rPr>
          <w:spacing w:val="-3"/>
        </w:rPr>
        <w:t xml:space="preserve"> </w:t>
      </w:r>
      <w:r w:rsidRPr="00D4309F">
        <w:t>safety</w:t>
      </w:r>
      <w:r w:rsidRPr="00D4309F">
        <w:rPr>
          <w:spacing w:val="-2"/>
        </w:rPr>
        <w:t xml:space="preserve"> </w:t>
      </w:r>
      <w:r w:rsidRPr="00D4309F">
        <w:t>improvement,</w:t>
      </w:r>
      <w:r w:rsidRPr="00D4309F">
        <w:rPr>
          <w:spacing w:val="-3"/>
        </w:rPr>
        <w:t xml:space="preserve"> </w:t>
      </w:r>
      <w:r w:rsidRPr="00D4309F">
        <w:t>offering</w:t>
      </w:r>
      <w:r w:rsidRPr="00D4309F">
        <w:rPr>
          <w:spacing w:val="-3"/>
        </w:rPr>
        <w:t xml:space="preserve"> </w:t>
      </w:r>
      <w:r w:rsidRPr="00D4309F">
        <w:t>more</w:t>
      </w:r>
      <w:r w:rsidRPr="00D4309F">
        <w:rPr>
          <w:spacing w:val="-3"/>
        </w:rPr>
        <w:t xml:space="preserve"> </w:t>
      </w:r>
      <w:r w:rsidRPr="00D4309F">
        <w:t>stable</w:t>
      </w:r>
      <w:r w:rsidRPr="00D4309F">
        <w:rPr>
          <w:spacing w:val="-3"/>
        </w:rPr>
        <w:t xml:space="preserve"> </w:t>
      </w:r>
      <w:r w:rsidRPr="00D4309F">
        <w:t>entrance conditions and fewer operational disruptions compared with Option 1A.</w:t>
      </w:r>
    </w:p>
    <w:p w14:paraId="731E97BC" w14:textId="77777777" w:rsidR="00725977" w:rsidRPr="00D4309F" w:rsidRDefault="00725977" w:rsidP="00F4416A">
      <w:pPr>
        <w:pStyle w:val="Heading3"/>
      </w:pPr>
      <w:bookmarkStart w:id="283" w:name="_Toc216699395"/>
      <w:r w:rsidRPr="00D4309F">
        <w:t>Cost and</w:t>
      </w:r>
      <w:r w:rsidRPr="00D4309F">
        <w:rPr>
          <w:spacing w:val="-3"/>
        </w:rPr>
        <w:t xml:space="preserve"> </w:t>
      </w:r>
      <w:r w:rsidRPr="00D4309F">
        <w:t>feasibility</w:t>
      </w:r>
      <w:bookmarkEnd w:id="283"/>
    </w:p>
    <w:p w14:paraId="77AFFA3C" w14:textId="77777777" w:rsidR="00725977" w:rsidRPr="00D4309F" w:rsidRDefault="00725977" w:rsidP="00D27F26">
      <w:pPr>
        <w:pStyle w:val="ListParagraph"/>
        <w:widowControl w:val="0"/>
        <w:numPr>
          <w:ilvl w:val="0"/>
          <w:numId w:val="411"/>
        </w:numPr>
        <w:tabs>
          <w:tab w:val="left" w:pos="501"/>
        </w:tabs>
        <w:autoSpaceDE w:val="0"/>
        <w:autoSpaceDN w:val="0"/>
        <w:spacing w:before="241" w:after="0" w:line="240" w:lineRule="auto"/>
        <w:ind w:hanging="359"/>
        <w:contextualSpacing w:val="0"/>
      </w:pPr>
      <w:r w:rsidRPr="00D4309F">
        <w:rPr>
          <w:color w:val="211E1F"/>
        </w:rPr>
        <w:t>Capital</w:t>
      </w:r>
      <w:r w:rsidRPr="00D4309F">
        <w:rPr>
          <w:color w:val="211E1F"/>
          <w:spacing w:val="-8"/>
        </w:rPr>
        <w:t xml:space="preserve"> </w:t>
      </w:r>
      <w:r w:rsidRPr="00D4309F">
        <w:rPr>
          <w:color w:val="211E1F"/>
        </w:rPr>
        <w:t>Cost:</w:t>
      </w:r>
      <w:r w:rsidRPr="00D4309F">
        <w:rPr>
          <w:color w:val="211E1F"/>
          <w:spacing w:val="-4"/>
        </w:rPr>
        <w:t xml:space="preserve"> </w:t>
      </w:r>
      <w:r w:rsidRPr="00D4309F">
        <w:rPr>
          <w:color w:val="211E1F"/>
        </w:rPr>
        <w:t>High</w:t>
      </w:r>
      <w:r w:rsidRPr="00D4309F">
        <w:rPr>
          <w:color w:val="211E1F"/>
          <w:spacing w:val="-5"/>
        </w:rPr>
        <w:t xml:space="preserve"> </w:t>
      </w:r>
      <w:r w:rsidRPr="00D4309F">
        <w:rPr>
          <w:color w:val="211E1F"/>
        </w:rPr>
        <w:t>–</w:t>
      </w:r>
      <w:r w:rsidRPr="00D4309F">
        <w:rPr>
          <w:color w:val="211E1F"/>
          <w:spacing w:val="-4"/>
        </w:rPr>
        <w:t xml:space="preserve"> </w:t>
      </w:r>
      <w:r w:rsidRPr="00D4309F">
        <w:rPr>
          <w:color w:val="211E1F"/>
        </w:rPr>
        <w:t>associated</w:t>
      </w:r>
      <w:r w:rsidRPr="00D4309F">
        <w:rPr>
          <w:color w:val="211E1F"/>
          <w:spacing w:val="-5"/>
        </w:rPr>
        <w:t xml:space="preserve"> </w:t>
      </w:r>
      <w:r w:rsidRPr="00D4309F">
        <w:rPr>
          <w:color w:val="211E1F"/>
        </w:rPr>
        <w:t>with</w:t>
      </w:r>
      <w:r w:rsidRPr="00D4309F">
        <w:rPr>
          <w:color w:val="211E1F"/>
          <w:spacing w:val="-4"/>
        </w:rPr>
        <w:t xml:space="preserve"> </w:t>
      </w:r>
      <w:r w:rsidRPr="00D4309F">
        <w:rPr>
          <w:color w:val="211E1F"/>
        </w:rPr>
        <w:t>pump</w:t>
      </w:r>
      <w:r w:rsidRPr="00D4309F">
        <w:rPr>
          <w:color w:val="211E1F"/>
          <w:spacing w:val="-5"/>
        </w:rPr>
        <w:t xml:space="preserve"> </w:t>
      </w:r>
      <w:r w:rsidRPr="00D4309F">
        <w:rPr>
          <w:color w:val="211E1F"/>
        </w:rPr>
        <w:t>station,</w:t>
      </w:r>
      <w:r w:rsidRPr="00D4309F">
        <w:rPr>
          <w:color w:val="211E1F"/>
          <w:spacing w:val="-4"/>
        </w:rPr>
        <w:t xml:space="preserve"> </w:t>
      </w:r>
      <w:r w:rsidRPr="00D4309F">
        <w:rPr>
          <w:color w:val="211E1F"/>
        </w:rPr>
        <w:t>buried</w:t>
      </w:r>
      <w:r w:rsidRPr="00D4309F">
        <w:rPr>
          <w:color w:val="211E1F"/>
          <w:spacing w:val="-5"/>
        </w:rPr>
        <w:t xml:space="preserve"> </w:t>
      </w:r>
      <w:r w:rsidRPr="00D4309F">
        <w:rPr>
          <w:color w:val="211E1F"/>
        </w:rPr>
        <w:t>pipeline,</w:t>
      </w:r>
      <w:r w:rsidRPr="00D4309F">
        <w:rPr>
          <w:color w:val="211E1F"/>
          <w:spacing w:val="-4"/>
        </w:rPr>
        <w:t xml:space="preserve"> </w:t>
      </w:r>
      <w:r w:rsidRPr="00D4309F">
        <w:rPr>
          <w:color w:val="211E1F"/>
        </w:rPr>
        <w:t>and</w:t>
      </w:r>
      <w:r w:rsidRPr="00D4309F">
        <w:rPr>
          <w:color w:val="211E1F"/>
          <w:spacing w:val="-5"/>
        </w:rPr>
        <w:t xml:space="preserve"> </w:t>
      </w:r>
      <w:r w:rsidRPr="00D4309F">
        <w:rPr>
          <w:color w:val="211E1F"/>
        </w:rPr>
        <w:t>electrical/control</w:t>
      </w:r>
      <w:r w:rsidRPr="00D4309F">
        <w:rPr>
          <w:color w:val="211E1F"/>
          <w:spacing w:val="-4"/>
        </w:rPr>
        <w:t xml:space="preserve"> </w:t>
      </w:r>
      <w:r w:rsidRPr="00D4309F">
        <w:rPr>
          <w:color w:val="211E1F"/>
          <w:spacing w:val="-2"/>
        </w:rPr>
        <w:t>systems.</w:t>
      </w:r>
    </w:p>
    <w:p w14:paraId="351FC237" w14:textId="77777777" w:rsidR="00725977" w:rsidRPr="00D4309F" w:rsidRDefault="00725977" w:rsidP="00D27F26">
      <w:pPr>
        <w:pStyle w:val="ListParagraph"/>
        <w:widowControl w:val="0"/>
        <w:numPr>
          <w:ilvl w:val="0"/>
          <w:numId w:val="411"/>
        </w:numPr>
        <w:tabs>
          <w:tab w:val="left" w:pos="501"/>
        </w:tabs>
        <w:autoSpaceDE w:val="0"/>
        <w:autoSpaceDN w:val="0"/>
        <w:spacing w:before="118" w:after="0" w:line="240" w:lineRule="auto"/>
        <w:ind w:right="556"/>
        <w:contextualSpacing w:val="0"/>
      </w:pPr>
      <w:r w:rsidRPr="00D4309F">
        <w:rPr>
          <w:color w:val="211E1F"/>
        </w:rPr>
        <w:t>Operational</w:t>
      </w:r>
      <w:r w:rsidRPr="00D4309F">
        <w:rPr>
          <w:color w:val="211E1F"/>
          <w:spacing w:val="-4"/>
        </w:rPr>
        <w:t xml:space="preserve"> </w:t>
      </w:r>
      <w:r w:rsidRPr="00D4309F">
        <w:rPr>
          <w:color w:val="211E1F"/>
        </w:rPr>
        <w:t>Cost:</w:t>
      </w:r>
      <w:r w:rsidRPr="00D4309F">
        <w:rPr>
          <w:color w:val="211E1F"/>
          <w:spacing w:val="-3"/>
        </w:rPr>
        <w:t xml:space="preserve"> </w:t>
      </w:r>
      <w:r w:rsidRPr="00D4309F">
        <w:rPr>
          <w:color w:val="211E1F"/>
        </w:rPr>
        <w:t>Moderate</w:t>
      </w:r>
      <w:r w:rsidRPr="00D4309F">
        <w:rPr>
          <w:color w:val="211E1F"/>
          <w:spacing w:val="-3"/>
        </w:rPr>
        <w:t xml:space="preserve"> </w:t>
      </w:r>
      <w:r w:rsidRPr="00D4309F">
        <w:rPr>
          <w:color w:val="211E1F"/>
        </w:rPr>
        <w:t>–</w:t>
      </w:r>
      <w:r w:rsidRPr="00D4309F">
        <w:rPr>
          <w:color w:val="211E1F"/>
          <w:spacing w:val="-3"/>
        </w:rPr>
        <w:t xml:space="preserve"> </w:t>
      </w:r>
      <w:r w:rsidRPr="00D4309F">
        <w:rPr>
          <w:color w:val="211E1F"/>
        </w:rPr>
        <w:t>regular</w:t>
      </w:r>
      <w:r w:rsidRPr="00D4309F">
        <w:rPr>
          <w:color w:val="211E1F"/>
          <w:spacing w:val="-4"/>
        </w:rPr>
        <w:t xml:space="preserve"> </w:t>
      </w:r>
      <w:r w:rsidRPr="00D4309F">
        <w:rPr>
          <w:color w:val="211E1F"/>
        </w:rPr>
        <w:t>maintenance</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intermittent</w:t>
      </w:r>
      <w:r w:rsidRPr="00D4309F">
        <w:rPr>
          <w:color w:val="211E1F"/>
          <w:spacing w:val="-3"/>
        </w:rPr>
        <w:t xml:space="preserve"> </w:t>
      </w:r>
      <w:r w:rsidRPr="00D4309F">
        <w:rPr>
          <w:color w:val="211E1F"/>
        </w:rPr>
        <w:t>dredging,</w:t>
      </w:r>
      <w:r w:rsidRPr="00D4309F">
        <w:rPr>
          <w:color w:val="211E1F"/>
          <w:spacing w:val="-3"/>
        </w:rPr>
        <w:t xml:space="preserve"> </w:t>
      </w:r>
      <w:r w:rsidRPr="00D4309F">
        <w:rPr>
          <w:color w:val="211E1F"/>
        </w:rPr>
        <w:t>but</w:t>
      </w:r>
      <w:r w:rsidRPr="00D4309F">
        <w:rPr>
          <w:color w:val="211E1F"/>
          <w:spacing w:val="-3"/>
        </w:rPr>
        <w:t xml:space="preserve"> </w:t>
      </w:r>
      <w:r w:rsidRPr="00D4309F">
        <w:rPr>
          <w:color w:val="211E1F"/>
        </w:rPr>
        <w:t>more</w:t>
      </w:r>
      <w:r w:rsidRPr="00D4309F">
        <w:rPr>
          <w:color w:val="211E1F"/>
          <w:spacing w:val="-3"/>
        </w:rPr>
        <w:t xml:space="preserve"> </w:t>
      </w:r>
      <w:r w:rsidRPr="00D4309F">
        <w:rPr>
          <w:color w:val="211E1F"/>
        </w:rPr>
        <w:t>efficient</w:t>
      </w:r>
      <w:r w:rsidRPr="00D4309F">
        <w:rPr>
          <w:color w:val="211E1F"/>
          <w:spacing w:val="-3"/>
        </w:rPr>
        <w:t xml:space="preserve"> </w:t>
      </w:r>
      <w:r w:rsidRPr="00D4309F">
        <w:rPr>
          <w:color w:val="211E1F"/>
        </w:rPr>
        <w:t>than repeated TSHD campaigns.</w:t>
      </w:r>
    </w:p>
    <w:p w14:paraId="1E6A798C" w14:textId="77777777" w:rsidR="00725977" w:rsidRPr="00D4309F" w:rsidRDefault="00725977" w:rsidP="00D27F26">
      <w:pPr>
        <w:pStyle w:val="ListParagraph"/>
        <w:widowControl w:val="0"/>
        <w:numPr>
          <w:ilvl w:val="0"/>
          <w:numId w:val="411"/>
        </w:numPr>
        <w:tabs>
          <w:tab w:val="left" w:pos="501"/>
        </w:tabs>
        <w:autoSpaceDE w:val="0"/>
        <w:autoSpaceDN w:val="0"/>
        <w:spacing w:before="119" w:after="0" w:line="240" w:lineRule="auto"/>
        <w:ind w:right="546"/>
        <w:contextualSpacing w:val="0"/>
      </w:pPr>
      <w:r w:rsidRPr="00D4309F">
        <w:rPr>
          <w:color w:val="211E1F"/>
        </w:rPr>
        <w:t>Technical</w:t>
      </w:r>
      <w:r w:rsidRPr="00D4309F">
        <w:rPr>
          <w:color w:val="211E1F"/>
          <w:spacing w:val="-3"/>
        </w:rPr>
        <w:t xml:space="preserve"> </w:t>
      </w:r>
      <w:r w:rsidRPr="00D4309F">
        <w:rPr>
          <w:color w:val="211E1F"/>
        </w:rPr>
        <w:t>Feasibility:</w:t>
      </w:r>
      <w:r w:rsidRPr="00D4309F">
        <w:rPr>
          <w:color w:val="211E1F"/>
          <w:spacing w:val="-3"/>
        </w:rPr>
        <w:t xml:space="preserve"> </w:t>
      </w:r>
      <w:r w:rsidRPr="00D4309F">
        <w:rPr>
          <w:color w:val="211E1F"/>
        </w:rPr>
        <w:t>Moderate</w:t>
      </w:r>
      <w:r w:rsidRPr="00D4309F">
        <w:rPr>
          <w:color w:val="211E1F"/>
          <w:spacing w:val="-3"/>
        </w:rPr>
        <w:t xml:space="preserve"> </w:t>
      </w:r>
      <w:r w:rsidRPr="00D4309F">
        <w:rPr>
          <w:color w:val="211E1F"/>
        </w:rPr>
        <w:t>to</w:t>
      </w:r>
      <w:r w:rsidRPr="00D4309F">
        <w:rPr>
          <w:color w:val="211E1F"/>
          <w:spacing w:val="-3"/>
        </w:rPr>
        <w:t xml:space="preserve"> </w:t>
      </w:r>
      <w:r w:rsidRPr="00D4309F">
        <w:rPr>
          <w:color w:val="211E1F"/>
        </w:rPr>
        <w:t>high</w:t>
      </w:r>
      <w:r w:rsidRPr="00D4309F">
        <w:rPr>
          <w:color w:val="211E1F"/>
          <w:spacing w:val="-4"/>
        </w:rPr>
        <w:t xml:space="preserve"> </w:t>
      </w:r>
      <w:r w:rsidRPr="00D4309F">
        <w:rPr>
          <w:color w:val="211E1F"/>
        </w:rPr>
        <w:t>–</w:t>
      </w:r>
      <w:r w:rsidRPr="00D4309F">
        <w:rPr>
          <w:color w:val="211E1F"/>
          <w:spacing w:val="-3"/>
        </w:rPr>
        <w:t xml:space="preserve"> </w:t>
      </w:r>
      <w:r w:rsidRPr="00D4309F">
        <w:rPr>
          <w:color w:val="211E1F"/>
        </w:rPr>
        <w:t>requires</w:t>
      </w:r>
      <w:r w:rsidRPr="00D4309F">
        <w:rPr>
          <w:color w:val="211E1F"/>
          <w:spacing w:val="-2"/>
        </w:rPr>
        <w:t xml:space="preserve"> </w:t>
      </w:r>
      <w:r w:rsidRPr="00D4309F">
        <w:rPr>
          <w:color w:val="211E1F"/>
        </w:rPr>
        <w:t>careful</w:t>
      </w:r>
      <w:r w:rsidRPr="00D4309F">
        <w:rPr>
          <w:color w:val="211E1F"/>
          <w:spacing w:val="-3"/>
        </w:rPr>
        <w:t xml:space="preserve"> </w:t>
      </w:r>
      <w:r w:rsidRPr="00D4309F">
        <w:rPr>
          <w:color w:val="211E1F"/>
        </w:rPr>
        <w:t>design</w:t>
      </w:r>
      <w:r w:rsidRPr="00D4309F">
        <w:rPr>
          <w:color w:val="211E1F"/>
          <w:spacing w:val="-3"/>
        </w:rPr>
        <w:t xml:space="preserve"> </w:t>
      </w:r>
      <w:r w:rsidRPr="00D4309F">
        <w:rPr>
          <w:color w:val="211E1F"/>
        </w:rPr>
        <w:t>of</w:t>
      </w:r>
      <w:r w:rsidRPr="00D4309F">
        <w:rPr>
          <w:color w:val="211E1F"/>
          <w:spacing w:val="-5"/>
        </w:rPr>
        <w:t xml:space="preserve"> </w:t>
      </w:r>
      <w:r w:rsidRPr="00D4309F">
        <w:rPr>
          <w:color w:val="211E1F"/>
        </w:rPr>
        <w:t>buried</w:t>
      </w:r>
      <w:r w:rsidRPr="00D4309F">
        <w:rPr>
          <w:color w:val="211E1F"/>
          <w:spacing w:val="-3"/>
        </w:rPr>
        <w:t xml:space="preserve"> </w:t>
      </w:r>
      <w:r w:rsidRPr="00D4309F">
        <w:rPr>
          <w:color w:val="211E1F"/>
        </w:rPr>
        <w:t>infrastructure</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ongoing system maintenance but uses proven technologies.</w:t>
      </w:r>
    </w:p>
    <w:p w14:paraId="39B9102F" w14:textId="2159A995" w:rsidR="00725977" w:rsidRPr="00D4309F" w:rsidRDefault="00725977" w:rsidP="00725977">
      <w:pPr>
        <w:pStyle w:val="ListParagraph"/>
        <w:widowControl w:val="0"/>
        <w:numPr>
          <w:ilvl w:val="0"/>
          <w:numId w:val="411"/>
        </w:numPr>
        <w:tabs>
          <w:tab w:val="left" w:pos="501"/>
        </w:tabs>
        <w:autoSpaceDE w:val="0"/>
        <w:autoSpaceDN w:val="0"/>
        <w:spacing w:before="118" w:after="0" w:line="240" w:lineRule="auto"/>
        <w:ind w:right="948"/>
        <w:contextualSpacing w:val="0"/>
      </w:pPr>
      <w:r w:rsidRPr="00D4309F">
        <w:rPr>
          <w:color w:val="211E1F"/>
        </w:rPr>
        <w:t>Risks:</w:t>
      </w:r>
      <w:r w:rsidRPr="00D4309F">
        <w:rPr>
          <w:color w:val="211E1F"/>
          <w:spacing w:val="-4"/>
        </w:rPr>
        <w:t xml:space="preserve"> </w:t>
      </w:r>
      <w:r w:rsidRPr="00D4309F">
        <w:rPr>
          <w:color w:val="211E1F"/>
        </w:rPr>
        <w:t>Infrastructure</w:t>
      </w:r>
      <w:r w:rsidRPr="00D4309F">
        <w:rPr>
          <w:color w:val="211E1F"/>
          <w:spacing w:val="-4"/>
        </w:rPr>
        <w:t xml:space="preserve"> </w:t>
      </w:r>
      <w:r w:rsidRPr="00D4309F">
        <w:rPr>
          <w:color w:val="211E1F"/>
        </w:rPr>
        <w:t>exposure</w:t>
      </w:r>
      <w:r w:rsidRPr="00D4309F">
        <w:rPr>
          <w:color w:val="211E1F"/>
          <w:spacing w:val="-4"/>
        </w:rPr>
        <w:t xml:space="preserve"> </w:t>
      </w:r>
      <w:r w:rsidRPr="00D4309F">
        <w:rPr>
          <w:color w:val="211E1F"/>
        </w:rPr>
        <w:t>or</w:t>
      </w:r>
      <w:r w:rsidRPr="00D4309F">
        <w:rPr>
          <w:color w:val="211E1F"/>
          <w:spacing w:val="-3"/>
        </w:rPr>
        <w:t xml:space="preserve"> </w:t>
      </w:r>
      <w:r w:rsidRPr="00D4309F">
        <w:rPr>
          <w:color w:val="211E1F"/>
        </w:rPr>
        <w:t>damage</w:t>
      </w:r>
      <w:r w:rsidRPr="00D4309F">
        <w:rPr>
          <w:color w:val="211E1F"/>
          <w:spacing w:val="-4"/>
        </w:rPr>
        <w:t xml:space="preserve"> </w:t>
      </w:r>
      <w:r w:rsidRPr="00D4309F">
        <w:rPr>
          <w:color w:val="211E1F"/>
        </w:rPr>
        <w:t>from</w:t>
      </w:r>
      <w:r w:rsidRPr="00D4309F">
        <w:rPr>
          <w:color w:val="211E1F"/>
          <w:spacing w:val="-4"/>
        </w:rPr>
        <w:t xml:space="preserve"> </w:t>
      </w:r>
      <w:r w:rsidRPr="00D4309F">
        <w:rPr>
          <w:color w:val="211E1F"/>
        </w:rPr>
        <w:t>coastal</w:t>
      </w:r>
      <w:r w:rsidRPr="00D4309F">
        <w:rPr>
          <w:color w:val="211E1F"/>
          <w:spacing w:val="-4"/>
        </w:rPr>
        <w:t xml:space="preserve"> </w:t>
      </w:r>
      <w:r w:rsidRPr="00D4309F">
        <w:rPr>
          <w:color w:val="211E1F"/>
        </w:rPr>
        <w:t>storms;</w:t>
      </w:r>
      <w:r w:rsidRPr="00D4309F">
        <w:rPr>
          <w:color w:val="211E1F"/>
          <w:spacing w:val="-4"/>
        </w:rPr>
        <w:t xml:space="preserve"> </w:t>
      </w:r>
      <w:r w:rsidRPr="00D4309F">
        <w:rPr>
          <w:color w:val="211E1F"/>
        </w:rPr>
        <w:t>maintenance</w:t>
      </w:r>
      <w:r w:rsidRPr="00D4309F">
        <w:rPr>
          <w:color w:val="211E1F"/>
          <w:spacing w:val="-4"/>
        </w:rPr>
        <w:t xml:space="preserve"> </w:t>
      </w:r>
      <w:r w:rsidRPr="00D4309F">
        <w:rPr>
          <w:color w:val="211E1F"/>
        </w:rPr>
        <w:t>access</w:t>
      </w:r>
      <w:r w:rsidRPr="00D4309F">
        <w:rPr>
          <w:color w:val="211E1F"/>
          <w:spacing w:val="-3"/>
        </w:rPr>
        <w:t xml:space="preserve"> </w:t>
      </w:r>
      <w:r w:rsidRPr="00D4309F">
        <w:rPr>
          <w:color w:val="211E1F"/>
        </w:rPr>
        <w:t>challenges; environmental permitting for pipeline construction.</w:t>
      </w:r>
    </w:p>
    <w:p w14:paraId="0BAEA315" w14:textId="77777777" w:rsidR="00725977" w:rsidRPr="00D4309F" w:rsidRDefault="00725977" w:rsidP="00F4416A">
      <w:pPr>
        <w:pStyle w:val="Heading3"/>
      </w:pPr>
      <w:bookmarkStart w:id="284" w:name="_Toc216699396"/>
      <w:r w:rsidRPr="00D4309F">
        <w:t>Option</w:t>
      </w:r>
      <w:r w:rsidRPr="00D4309F">
        <w:rPr>
          <w:spacing w:val="-3"/>
        </w:rPr>
        <w:t xml:space="preserve"> </w:t>
      </w:r>
      <w:r w:rsidRPr="00D4309F">
        <w:rPr>
          <w:spacing w:val="-2"/>
        </w:rPr>
        <w:t>summary</w:t>
      </w:r>
      <w:bookmarkEnd w:id="284"/>
    </w:p>
    <w:p w14:paraId="45B32576" w14:textId="77777777" w:rsidR="00725977" w:rsidRPr="00D4309F" w:rsidRDefault="00725977" w:rsidP="00725977">
      <w:pPr>
        <w:pStyle w:val="BodyText"/>
      </w:pPr>
      <w:r w:rsidRPr="00D4309F">
        <w:t>Option</w:t>
      </w:r>
      <w:r w:rsidRPr="00D4309F">
        <w:rPr>
          <w:spacing w:val="-3"/>
        </w:rPr>
        <w:t xml:space="preserve"> </w:t>
      </w:r>
      <w:r w:rsidRPr="00D4309F">
        <w:t>1B</w:t>
      </w:r>
      <w:r w:rsidRPr="00D4309F">
        <w:rPr>
          <w:spacing w:val="-3"/>
        </w:rPr>
        <w:t xml:space="preserve"> </w:t>
      </w:r>
      <w:r w:rsidRPr="00D4309F">
        <w:t>provides</w:t>
      </w:r>
      <w:r w:rsidRPr="00D4309F">
        <w:rPr>
          <w:spacing w:val="-2"/>
        </w:rPr>
        <w:t xml:space="preserve"> </w:t>
      </w:r>
      <w:r w:rsidRPr="00D4309F">
        <w:t>a</w:t>
      </w:r>
      <w:r w:rsidRPr="00D4309F">
        <w:rPr>
          <w:spacing w:val="-3"/>
        </w:rPr>
        <w:t xml:space="preserve"> </w:t>
      </w:r>
      <w:r w:rsidRPr="00D4309F">
        <w:t>more</w:t>
      </w:r>
      <w:r w:rsidRPr="00D4309F">
        <w:rPr>
          <w:spacing w:val="-3"/>
        </w:rPr>
        <w:t xml:space="preserve"> </w:t>
      </w:r>
      <w:r w:rsidRPr="00D4309F">
        <w:t>structured</w:t>
      </w:r>
      <w:r w:rsidRPr="00D4309F">
        <w:rPr>
          <w:spacing w:val="-3"/>
        </w:rPr>
        <w:t xml:space="preserve"> </w:t>
      </w:r>
      <w:r w:rsidRPr="00D4309F">
        <w:t>and</w:t>
      </w:r>
      <w:r w:rsidRPr="00D4309F">
        <w:rPr>
          <w:spacing w:val="-3"/>
        </w:rPr>
        <w:t xml:space="preserve"> </w:t>
      </w:r>
      <w:r w:rsidRPr="00D4309F">
        <w:t>controllable</w:t>
      </w:r>
      <w:r w:rsidRPr="00D4309F">
        <w:rPr>
          <w:spacing w:val="-3"/>
        </w:rPr>
        <w:t xml:space="preserve"> </w:t>
      </w:r>
      <w:r w:rsidRPr="00D4309F">
        <w:t>extension</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Buddina</w:t>
      </w:r>
      <w:r w:rsidRPr="00D4309F">
        <w:rPr>
          <w:spacing w:val="-4"/>
        </w:rPr>
        <w:t xml:space="preserve"> </w:t>
      </w:r>
      <w:r w:rsidRPr="00D4309F">
        <w:t>Beach</w:t>
      </w:r>
      <w:r w:rsidRPr="00D4309F">
        <w:rPr>
          <w:spacing w:val="-3"/>
        </w:rPr>
        <w:t xml:space="preserve"> </w:t>
      </w:r>
      <w:r w:rsidRPr="00D4309F">
        <w:t>Sand</w:t>
      </w:r>
      <w:r w:rsidRPr="00D4309F">
        <w:rPr>
          <w:spacing w:val="-3"/>
        </w:rPr>
        <w:t xml:space="preserve"> </w:t>
      </w:r>
      <w:r w:rsidRPr="00D4309F">
        <w:t>Trap</w:t>
      </w:r>
      <w:r w:rsidRPr="00D4309F">
        <w:rPr>
          <w:spacing w:val="-4"/>
        </w:rPr>
        <w:t xml:space="preserve"> </w:t>
      </w:r>
      <w:r w:rsidRPr="00D4309F">
        <w:t>concept, offering the potential to establish a semi-permanent artificial sand bypass system. By pumping material directly onto Mooloolaba Beach, it delivers immediate coastal protection and amenity benefits while maintaining navigational safety.</w:t>
      </w:r>
    </w:p>
    <w:p w14:paraId="04B0E8A0" w14:textId="39E1E242" w:rsidR="00725977" w:rsidRDefault="00725977" w:rsidP="00725977">
      <w:pPr>
        <w:pStyle w:val="BodyText"/>
      </w:pPr>
      <w:r w:rsidRPr="00D4309F">
        <w:t>Although it involves higher upfront costs and infrastructure maintenance, it represents a practical, scalable long-term</w:t>
      </w:r>
      <w:r w:rsidRPr="00D4309F">
        <w:rPr>
          <w:spacing w:val="-3"/>
        </w:rPr>
        <w:t xml:space="preserve"> </w:t>
      </w:r>
      <w:r w:rsidRPr="00D4309F">
        <w:t>solution</w:t>
      </w:r>
      <w:r w:rsidRPr="00D4309F">
        <w:rPr>
          <w:spacing w:val="-3"/>
        </w:rPr>
        <w:t xml:space="preserve"> </w:t>
      </w:r>
      <w:r w:rsidRPr="00D4309F">
        <w:t>consistent</w:t>
      </w:r>
      <w:r w:rsidRPr="00D4309F">
        <w:rPr>
          <w:spacing w:val="-3"/>
        </w:rPr>
        <w:t xml:space="preserve"> </w:t>
      </w:r>
      <w:r w:rsidRPr="00D4309F">
        <w:t>with</w:t>
      </w:r>
      <w:r w:rsidRPr="00D4309F">
        <w:rPr>
          <w:spacing w:val="-3"/>
        </w:rPr>
        <w:t xml:space="preserve"> </w:t>
      </w:r>
      <w:r w:rsidRPr="00D4309F">
        <w:t>the</w:t>
      </w:r>
      <w:r w:rsidRPr="00D4309F">
        <w:rPr>
          <w:spacing w:val="-3"/>
        </w:rPr>
        <w:t xml:space="preserve"> </w:t>
      </w:r>
      <w:r w:rsidRPr="00D4309F">
        <w:t>community’s</w:t>
      </w:r>
      <w:r w:rsidRPr="00D4309F">
        <w:rPr>
          <w:spacing w:val="-2"/>
        </w:rPr>
        <w:t xml:space="preserve"> </w:t>
      </w:r>
      <w:r w:rsidRPr="00D4309F">
        <w:t>and</w:t>
      </w:r>
      <w:r w:rsidRPr="00D4309F">
        <w:rPr>
          <w:spacing w:val="-3"/>
        </w:rPr>
        <w:t xml:space="preserve"> </w:t>
      </w:r>
      <w:r w:rsidRPr="00D4309F">
        <w:t>MSQ’s</w:t>
      </w:r>
      <w:r w:rsidRPr="00D4309F">
        <w:rPr>
          <w:spacing w:val="-2"/>
        </w:rPr>
        <w:t xml:space="preserve"> </w:t>
      </w:r>
      <w:r w:rsidRPr="00D4309F">
        <w:t>preference</w:t>
      </w:r>
      <w:r w:rsidRPr="00D4309F">
        <w:rPr>
          <w:spacing w:val="-3"/>
        </w:rPr>
        <w:t xml:space="preserve"> </w:t>
      </w:r>
      <w:r w:rsidRPr="00D4309F">
        <w:t>for</w:t>
      </w:r>
      <w:r w:rsidRPr="00D4309F">
        <w:rPr>
          <w:spacing w:val="-2"/>
        </w:rPr>
        <w:t xml:space="preserve"> </w:t>
      </w:r>
      <w:r w:rsidRPr="00D4309F">
        <w:t>soft</w:t>
      </w:r>
      <w:r w:rsidRPr="00D4309F">
        <w:rPr>
          <w:spacing w:val="-3"/>
        </w:rPr>
        <w:t xml:space="preserve"> </w:t>
      </w:r>
      <w:r w:rsidRPr="00D4309F">
        <w:t>but</w:t>
      </w:r>
      <w:r w:rsidRPr="00D4309F">
        <w:rPr>
          <w:spacing w:val="-3"/>
        </w:rPr>
        <w:t xml:space="preserve"> </w:t>
      </w:r>
      <w:r w:rsidRPr="00D4309F">
        <w:t>proactive</w:t>
      </w:r>
      <w:r w:rsidRPr="00D4309F">
        <w:rPr>
          <w:spacing w:val="-3"/>
        </w:rPr>
        <w:t xml:space="preserve"> </w:t>
      </w:r>
      <w:r w:rsidRPr="00D4309F">
        <w:t>management of the entrance. This option could logically follow Option 1A as a second-phase implementation, building on lessons from the sand trap trial, with the potential to lead into an even more permanent setup, having a permanent sand intake pump in this location. An overview of this option has been broken down into the below table outlining the advantages and disadvantages recognised with this option (</w:t>
      </w:r>
      <w:hyperlink w:anchor="_bookmark116" w:history="1">
        <w:r w:rsidR="009213C9">
          <w:fldChar w:fldCharType="begin" w:fldLock="1"/>
        </w:r>
        <w:r w:rsidR="009213C9">
          <w:instrText xml:space="preserve"> REF _Ref215979461 \h </w:instrText>
        </w:r>
        <w:r w:rsidR="009213C9">
          <w:fldChar w:fldCharType="separate"/>
        </w:r>
        <w:r w:rsidR="009213C9">
          <w:t xml:space="preserve">Table </w:t>
        </w:r>
        <w:r w:rsidR="009213C9">
          <w:rPr>
            <w:noProof/>
          </w:rPr>
          <w:t>13</w:t>
        </w:r>
        <w:r w:rsidR="009213C9">
          <w:noBreakHyphen/>
        </w:r>
        <w:r w:rsidR="009213C9">
          <w:rPr>
            <w:noProof/>
          </w:rPr>
          <w:t>6</w:t>
        </w:r>
        <w:r w:rsidR="009213C9">
          <w:fldChar w:fldCharType="end"/>
        </w:r>
      </w:hyperlink>
      <w:r w:rsidRPr="00D4309F">
        <w:t>).</w:t>
      </w:r>
    </w:p>
    <w:p w14:paraId="75032FAF" w14:textId="77777777" w:rsidR="001E18C2" w:rsidRPr="00D4309F" w:rsidRDefault="001E18C2" w:rsidP="00725977">
      <w:pPr>
        <w:pStyle w:val="BodyText"/>
      </w:pPr>
    </w:p>
    <w:p w14:paraId="613C4478" w14:textId="3F3CAB8C" w:rsidR="0032025B" w:rsidRDefault="0032025B" w:rsidP="00151534">
      <w:pPr>
        <w:pStyle w:val="Table-Caption"/>
        <w:rPr>
          <w:color w:val="211E1F"/>
          <w:spacing w:val="-2"/>
        </w:rPr>
      </w:pPr>
      <w:bookmarkStart w:id="285" w:name="_bookmark116"/>
      <w:bookmarkStart w:id="286" w:name="_Ref215979461"/>
      <w:bookmarkStart w:id="287" w:name="_Toc216699553"/>
      <w:bookmarkEnd w:id="285"/>
      <w:r>
        <w:lastRenderedPageBreak/>
        <w:t xml:space="preserve">Table </w:t>
      </w:r>
      <w:r w:rsidR="00151534">
        <w:fldChar w:fldCharType="begin" w:fldLock="1"/>
      </w:r>
      <w:r w:rsidR="00151534">
        <w:instrText xml:space="preserve"> STYLEREF 1 \s </w:instrText>
      </w:r>
      <w:r w:rsidR="00151534">
        <w:fldChar w:fldCharType="separate"/>
      </w:r>
      <w:r w:rsidR="00151534">
        <w:rPr>
          <w:noProof/>
        </w:rPr>
        <w:t>13</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6</w:t>
      </w:r>
      <w:r w:rsidR="00151534">
        <w:fldChar w:fldCharType="end"/>
      </w:r>
      <w:bookmarkEnd w:id="286"/>
      <w:r>
        <w:t>:</w:t>
      </w:r>
      <w:r>
        <w:tab/>
      </w:r>
      <w:r w:rsidRPr="00D4309F">
        <w:rPr>
          <w:color w:val="211E1F"/>
        </w:rPr>
        <w:t>Overview</w:t>
      </w:r>
      <w:r w:rsidRPr="00D4309F">
        <w:rPr>
          <w:color w:val="211E1F"/>
          <w:spacing w:val="-1"/>
        </w:rPr>
        <w:t xml:space="preserve"> </w:t>
      </w:r>
      <w:r w:rsidRPr="00D4309F">
        <w:rPr>
          <w:color w:val="211E1F"/>
        </w:rPr>
        <w:t>of</w:t>
      </w:r>
      <w:r w:rsidRPr="00D4309F">
        <w:rPr>
          <w:color w:val="211E1F"/>
          <w:spacing w:val="-2"/>
        </w:rPr>
        <w:t xml:space="preserve"> </w:t>
      </w:r>
      <w:r w:rsidRPr="00D4309F">
        <w:rPr>
          <w:color w:val="211E1F"/>
        </w:rPr>
        <w:t>Option</w:t>
      </w:r>
      <w:r w:rsidRPr="00D4309F">
        <w:rPr>
          <w:color w:val="211E1F"/>
          <w:spacing w:val="-1"/>
        </w:rPr>
        <w:t xml:space="preserve"> </w:t>
      </w:r>
      <w:r w:rsidRPr="00D4309F">
        <w:rPr>
          <w:color w:val="211E1F"/>
        </w:rPr>
        <w:t>1B</w:t>
      </w:r>
      <w:r w:rsidRPr="00D4309F">
        <w:rPr>
          <w:color w:val="211E1F"/>
          <w:spacing w:val="-1"/>
        </w:rPr>
        <w:t xml:space="preserve"> </w:t>
      </w:r>
      <w:r w:rsidRPr="00D4309F">
        <w:rPr>
          <w:color w:val="211E1F"/>
        </w:rPr>
        <w:t>–</w:t>
      </w:r>
      <w:r w:rsidRPr="00D4309F">
        <w:rPr>
          <w:color w:val="211E1F"/>
          <w:spacing w:val="-2"/>
        </w:rPr>
        <w:t xml:space="preserve"> </w:t>
      </w:r>
      <w:r w:rsidRPr="00D4309F">
        <w:rPr>
          <w:color w:val="211E1F"/>
        </w:rPr>
        <w:t>Advantages</w:t>
      </w:r>
      <w:r w:rsidRPr="00D4309F">
        <w:rPr>
          <w:color w:val="211E1F"/>
          <w:spacing w:val="-2"/>
        </w:rPr>
        <w:t xml:space="preserve"> </w:t>
      </w:r>
      <w:r w:rsidRPr="00D4309F">
        <w:rPr>
          <w:color w:val="211E1F"/>
        </w:rPr>
        <w:t>and</w:t>
      </w:r>
      <w:r w:rsidRPr="00D4309F">
        <w:rPr>
          <w:color w:val="211E1F"/>
          <w:spacing w:val="-2"/>
        </w:rPr>
        <w:t xml:space="preserve"> Disadvantages</w:t>
      </w:r>
      <w:bookmarkEnd w:id="287"/>
    </w:p>
    <w:tbl>
      <w:tblPr>
        <w:tblStyle w:val="Table1"/>
        <w:tblW w:w="0" w:type="auto"/>
        <w:tblLook w:val="04A0" w:firstRow="1" w:lastRow="0" w:firstColumn="1" w:lastColumn="0" w:noHBand="0" w:noVBand="1"/>
      </w:tblPr>
      <w:tblGrid>
        <w:gridCol w:w="4816"/>
        <w:gridCol w:w="4816"/>
      </w:tblGrid>
      <w:tr w:rsidR="008D4B12" w14:paraId="203F2009" w14:textId="77777777" w:rsidTr="001E18C2">
        <w:trPr>
          <w:cnfStyle w:val="100000000000" w:firstRow="1" w:lastRow="0" w:firstColumn="0" w:lastColumn="0" w:oddVBand="0" w:evenVBand="0" w:oddHBand="0" w:evenHBand="0" w:firstRowFirstColumn="0" w:firstRowLastColumn="0" w:lastRowFirstColumn="0" w:lastRowLastColumn="0"/>
          <w:cantSplit/>
        </w:trPr>
        <w:tc>
          <w:tcPr>
            <w:tcW w:w="4816" w:type="dxa"/>
          </w:tcPr>
          <w:p w14:paraId="241221DD" w14:textId="07181B05" w:rsidR="008D4B12" w:rsidRDefault="008D4B12" w:rsidP="001E18C2">
            <w:pPr>
              <w:pStyle w:val="Table-Heading"/>
              <w:keepNext/>
              <w:keepLines/>
            </w:pPr>
            <w:r w:rsidRPr="00D4309F">
              <w:t>Advantages</w:t>
            </w:r>
          </w:p>
        </w:tc>
        <w:tc>
          <w:tcPr>
            <w:tcW w:w="4816" w:type="dxa"/>
          </w:tcPr>
          <w:p w14:paraId="66A9EEE8" w14:textId="774BF1CB" w:rsidR="008D4B12" w:rsidRDefault="008D4B12" w:rsidP="001E18C2">
            <w:pPr>
              <w:pStyle w:val="Table-Heading"/>
              <w:keepLines/>
            </w:pPr>
            <w:r w:rsidRPr="00D4309F">
              <w:t>Disadvantages</w:t>
            </w:r>
          </w:p>
        </w:tc>
      </w:tr>
      <w:tr w:rsidR="008D4B12" w14:paraId="5513A872" w14:textId="77777777" w:rsidTr="001E18C2">
        <w:trPr>
          <w:cantSplit/>
        </w:trPr>
        <w:tc>
          <w:tcPr>
            <w:tcW w:w="4816" w:type="dxa"/>
          </w:tcPr>
          <w:p w14:paraId="13001D03" w14:textId="77777777" w:rsidR="008D4B12" w:rsidRPr="00D4309F" w:rsidRDefault="008D4B12" w:rsidP="001E18C2">
            <w:pPr>
              <w:pStyle w:val="Table-Bullet"/>
              <w:keepLines/>
            </w:pPr>
            <w:r w:rsidRPr="00D4309F">
              <w:t>Provides</w:t>
            </w:r>
            <w:r w:rsidRPr="00D4309F">
              <w:rPr>
                <w:spacing w:val="-8"/>
              </w:rPr>
              <w:t xml:space="preserve"> </w:t>
            </w:r>
            <w:r w:rsidRPr="00D4309F">
              <w:t>direct,</w:t>
            </w:r>
            <w:r w:rsidRPr="00D4309F">
              <w:rPr>
                <w:spacing w:val="-8"/>
              </w:rPr>
              <w:t xml:space="preserve"> </w:t>
            </w:r>
            <w:r w:rsidRPr="00D4309F">
              <w:t>controlled</w:t>
            </w:r>
            <w:r w:rsidRPr="00D4309F">
              <w:rPr>
                <w:spacing w:val="-9"/>
              </w:rPr>
              <w:t xml:space="preserve"> </w:t>
            </w:r>
            <w:r w:rsidRPr="00D4309F">
              <w:t>sediment</w:t>
            </w:r>
            <w:r w:rsidRPr="00D4309F">
              <w:rPr>
                <w:spacing w:val="-8"/>
              </w:rPr>
              <w:t xml:space="preserve"> </w:t>
            </w:r>
            <w:r w:rsidRPr="00D4309F">
              <w:t>bypassing</w:t>
            </w:r>
            <w:r w:rsidRPr="00D4309F">
              <w:rPr>
                <w:spacing w:val="-9"/>
              </w:rPr>
              <w:t xml:space="preserve"> </w:t>
            </w:r>
            <w:r w:rsidRPr="00D4309F">
              <w:t>across the entrance.</w:t>
            </w:r>
          </w:p>
          <w:p w14:paraId="0665A800" w14:textId="77777777" w:rsidR="008D4B12" w:rsidRPr="00D4309F" w:rsidRDefault="008D4B12" w:rsidP="001E18C2">
            <w:pPr>
              <w:pStyle w:val="Table-Bullet"/>
              <w:keepLines/>
            </w:pPr>
            <w:r w:rsidRPr="00D4309F">
              <w:t>Enables</w:t>
            </w:r>
            <w:r w:rsidRPr="00D4309F">
              <w:rPr>
                <w:spacing w:val="-9"/>
              </w:rPr>
              <w:t xml:space="preserve"> </w:t>
            </w:r>
            <w:r w:rsidRPr="00D4309F">
              <w:t>immediate</w:t>
            </w:r>
            <w:r w:rsidRPr="00D4309F">
              <w:rPr>
                <w:spacing w:val="-10"/>
              </w:rPr>
              <w:t xml:space="preserve"> </w:t>
            </w:r>
            <w:r w:rsidRPr="00D4309F">
              <w:t>dry-beach</w:t>
            </w:r>
            <w:r w:rsidRPr="00D4309F">
              <w:rPr>
                <w:spacing w:val="-10"/>
              </w:rPr>
              <w:t xml:space="preserve"> </w:t>
            </w:r>
            <w:r w:rsidRPr="00D4309F">
              <w:t>nourishment</w:t>
            </w:r>
            <w:r w:rsidRPr="00D4309F">
              <w:rPr>
                <w:spacing w:val="-9"/>
              </w:rPr>
              <w:t xml:space="preserve"> </w:t>
            </w:r>
            <w:r w:rsidRPr="00D4309F">
              <w:t>and</w:t>
            </w:r>
            <w:r w:rsidRPr="00D4309F">
              <w:rPr>
                <w:spacing w:val="-10"/>
              </w:rPr>
              <w:t xml:space="preserve"> </w:t>
            </w:r>
            <w:r w:rsidRPr="00D4309F">
              <w:t>coastal protection benefits.</w:t>
            </w:r>
          </w:p>
          <w:p w14:paraId="04EACC6A" w14:textId="77777777" w:rsidR="008D4B12" w:rsidRPr="00D4309F" w:rsidRDefault="008D4B12" w:rsidP="001E18C2">
            <w:pPr>
              <w:pStyle w:val="Table-Bullet"/>
              <w:keepLines/>
            </w:pPr>
            <w:r w:rsidRPr="00D4309F">
              <w:t>Compatible</w:t>
            </w:r>
            <w:r w:rsidRPr="00D4309F">
              <w:rPr>
                <w:spacing w:val="-9"/>
              </w:rPr>
              <w:t xml:space="preserve"> </w:t>
            </w:r>
            <w:r w:rsidRPr="00D4309F">
              <w:t>with</w:t>
            </w:r>
            <w:r w:rsidRPr="00D4309F">
              <w:rPr>
                <w:spacing w:val="-9"/>
              </w:rPr>
              <w:t xml:space="preserve"> </w:t>
            </w:r>
            <w:r w:rsidRPr="00D4309F">
              <w:t>locally</w:t>
            </w:r>
            <w:r w:rsidRPr="00D4309F">
              <w:rPr>
                <w:spacing w:val="-8"/>
              </w:rPr>
              <w:t xml:space="preserve"> </w:t>
            </w:r>
            <w:r w:rsidRPr="00D4309F">
              <w:t>available</w:t>
            </w:r>
            <w:r w:rsidRPr="00D4309F">
              <w:rPr>
                <w:spacing w:val="-9"/>
              </w:rPr>
              <w:t xml:space="preserve"> </w:t>
            </w:r>
            <w:r w:rsidRPr="00D4309F">
              <w:t>CSD</w:t>
            </w:r>
            <w:r w:rsidRPr="00D4309F">
              <w:rPr>
                <w:spacing w:val="-8"/>
              </w:rPr>
              <w:t xml:space="preserve"> </w:t>
            </w:r>
            <w:r w:rsidRPr="00D4309F">
              <w:t>dredging equipment (e.g., Hall).</w:t>
            </w:r>
          </w:p>
          <w:p w14:paraId="3EB0ABC4" w14:textId="77777777" w:rsidR="008D4B12" w:rsidRPr="00D4309F" w:rsidRDefault="008D4B12" w:rsidP="001E18C2">
            <w:pPr>
              <w:pStyle w:val="Table-Bullet"/>
              <w:keepLines/>
            </w:pPr>
            <w:r w:rsidRPr="00D4309F">
              <w:t>Increases</w:t>
            </w:r>
            <w:r w:rsidRPr="00D4309F">
              <w:rPr>
                <w:spacing w:val="-6"/>
              </w:rPr>
              <w:t xml:space="preserve"> </w:t>
            </w:r>
            <w:r w:rsidRPr="00D4309F">
              <w:t>the</w:t>
            </w:r>
            <w:r w:rsidRPr="00D4309F">
              <w:rPr>
                <w:spacing w:val="-5"/>
              </w:rPr>
              <w:t xml:space="preserve"> </w:t>
            </w:r>
            <w:r w:rsidRPr="00D4309F">
              <w:t>efficiency</w:t>
            </w:r>
            <w:r w:rsidRPr="00D4309F">
              <w:rPr>
                <w:spacing w:val="-6"/>
              </w:rPr>
              <w:t xml:space="preserve"> </w:t>
            </w:r>
            <w:r w:rsidRPr="00D4309F">
              <w:t>of</w:t>
            </w:r>
            <w:r w:rsidRPr="00D4309F">
              <w:rPr>
                <w:spacing w:val="-6"/>
              </w:rPr>
              <w:t xml:space="preserve"> </w:t>
            </w:r>
            <w:r w:rsidRPr="00D4309F">
              <w:t>moving</w:t>
            </w:r>
            <w:r w:rsidRPr="00D4309F">
              <w:rPr>
                <w:spacing w:val="-7"/>
              </w:rPr>
              <w:t xml:space="preserve"> </w:t>
            </w:r>
            <w:r w:rsidRPr="00D4309F">
              <w:t>large</w:t>
            </w:r>
            <w:r w:rsidRPr="00D4309F">
              <w:rPr>
                <w:spacing w:val="-7"/>
              </w:rPr>
              <w:t xml:space="preserve"> </w:t>
            </w:r>
            <w:r w:rsidRPr="00D4309F">
              <w:t>volumes</w:t>
            </w:r>
            <w:r w:rsidRPr="00D4309F">
              <w:rPr>
                <w:spacing w:val="-6"/>
              </w:rPr>
              <w:t xml:space="preserve"> </w:t>
            </w:r>
            <w:r w:rsidRPr="00D4309F">
              <w:t>of sand (compared to shifting in a TSHD)</w:t>
            </w:r>
          </w:p>
          <w:p w14:paraId="1ABA4CF5" w14:textId="77777777" w:rsidR="008D4B12" w:rsidRPr="00D4309F" w:rsidRDefault="008D4B12" w:rsidP="001E18C2">
            <w:pPr>
              <w:pStyle w:val="Table-Bullet"/>
              <w:keepLines/>
            </w:pPr>
            <w:r w:rsidRPr="00D4309F">
              <w:t>Allows</w:t>
            </w:r>
            <w:r w:rsidRPr="00D4309F">
              <w:rPr>
                <w:spacing w:val="-7"/>
              </w:rPr>
              <w:t xml:space="preserve"> </w:t>
            </w:r>
            <w:r w:rsidRPr="00D4309F">
              <w:t>adaptive,</w:t>
            </w:r>
            <w:r w:rsidRPr="00D4309F">
              <w:rPr>
                <w:spacing w:val="-8"/>
              </w:rPr>
              <w:t xml:space="preserve"> </w:t>
            </w:r>
            <w:r w:rsidRPr="00D4309F">
              <w:t>responsive</w:t>
            </w:r>
            <w:r w:rsidRPr="00D4309F">
              <w:rPr>
                <w:spacing w:val="-8"/>
              </w:rPr>
              <w:t xml:space="preserve"> </w:t>
            </w:r>
            <w:r w:rsidRPr="00D4309F">
              <w:t>operation</w:t>
            </w:r>
            <w:r w:rsidRPr="00D4309F">
              <w:rPr>
                <w:spacing w:val="-8"/>
              </w:rPr>
              <w:t xml:space="preserve"> </w:t>
            </w:r>
            <w:r w:rsidRPr="00D4309F">
              <w:t>to</w:t>
            </w:r>
            <w:r w:rsidRPr="00D4309F">
              <w:rPr>
                <w:spacing w:val="-8"/>
              </w:rPr>
              <w:t xml:space="preserve"> </w:t>
            </w:r>
            <w:r w:rsidRPr="00D4309F">
              <w:t>match sediment dynamics and coastal processes.</w:t>
            </w:r>
          </w:p>
          <w:p w14:paraId="30BCC65F" w14:textId="202EF8F9" w:rsidR="008D4B12" w:rsidRPr="008D4B12" w:rsidRDefault="008D4B12" w:rsidP="001E18C2">
            <w:pPr>
              <w:pStyle w:val="Table-Bullet"/>
              <w:keepLines/>
            </w:pPr>
            <w:r w:rsidRPr="00D4309F">
              <w:t>Aligns</w:t>
            </w:r>
            <w:r w:rsidRPr="00D4309F">
              <w:rPr>
                <w:spacing w:val="-5"/>
              </w:rPr>
              <w:t xml:space="preserve"> </w:t>
            </w:r>
            <w:r w:rsidRPr="00D4309F">
              <w:t>with</w:t>
            </w:r>
            <w:r w:rsidRPr="00D4309F">
              <w:rPr>
                <w:spacing w:val="-6"/>
              </w:rPr>
              <w:t xml:space="preserve"> </w:t>
            </w:r>
            <w:r w:rsidRPr="00D4309F">
              <w:t>SRG</w:t>
            </w:r>
            <w:r w:rsidRPr="00D4309F">
              <w:rPr>
                <w:spacing w:val="-5"/>
              </w:rPr>
              <w:t xml:space="preserve"> </w:t>
            </w:r>
            <w:r w:rsidRPr="00D4309F">
              <w:t>preference</w:t>
            </w:r>
            <w:r w:rsidRPr="00D4309F">
              <w:rPr>
                <w:spacing w:val="-6"/>
              </w:rPr>
              <w:t xml:space="preserve"> </w:t>
            </w:r>
            <w:r w:rsidRPr="00D4309F">
              <w:t>for</w:t>
            </w:r>
            <w:r w:rsidRPr="00D4309F">
              <w:rPr>
                <w:spacing w:val="-5"/>
              </w:rPr>
              <w:t xml:space="preserve"> </w:t>
            </w:r>
            <w:r w:rsidRPr="00D4309F">
              <w:t>a</w:t>
            </w:r>
            <w:r w:rsidRPr="00D4309F">
              <w:rPr>
                <w:spacing w:val="-6"/>
              </w:rPr>
              <w:t xml:space="preserve"> </w:t>
            </w:r>
            <w:r w:rsidRPr="00D4309F">
              <w:t>“soft”</w:t>
            </w:r>
            <w:r w:rsidRPr="00D4309F">
              <w:rPr>
                <w:spacing w:val="-5"/>
              </w:rPr>
              <w:t xml:space="preserve"> </w:t>
            </w:r>
            <w:r w:rsidRPr="00D4309F">
              <w:t>but</w:t>
            </w:r>
            <w:r w:rsidRPr="00D4309F">
              <w:rPr>
                <w:spacing w:val="-5"/>
              </w:rPr>
              <w:t xml:space="preserve"> </w:t>
            </w:r>
            <w:r w:rsidRPr="00D4309F">
              <w:t>active management approach.</w:t>
            </w:r>
          </w:p>
        </w:tc>
        <w:tc>
          <w:tcPr>
            <w:tcW w:w="4816" w:type="dxa"/>
          </w:tcPr>
          <w:p w14:paraId="59E81BE0" w14:textId="77777777" w:rsidR="008D4B12" w:rsidRPr="00D4309F" w:rsidRDefault="008D4B12" w:rsidP="001E18C2">
            <w:pPr>
              <w:pStyle w:val="Table-Bullet"/>
              <w:keepLines/>
            </w:pPr>
            <w:r w:rsidRPr="00D4309F">
              <w:t>High</w:t>
            </w:r>
            <w:r w:rsidRPr="00D4309F">
              <w:rPr>
                <w:spacing w:val="-6"/>
              </w:rPr>
              <w:t xml:space="preserve"> </w:t>
            </w:r>
            <w:r w:rsidRPr="00D4309F">
              <w:t>initial</w:t>
            </w:r>
            <w:r w:rsidRPr="00D4309F">
              <w:rPr>
                <w:spacing w:val="-5"/>
              </w:rPr>
              <w:t xml:space="preserve"> </w:t>
            </w:r>
            <w:r w:rsidRPr="00D4309F">
              <w:t>capital</w:t>
            </w:r>
            <w:r w:rsidRPr="00D4309F">
              <w:rPr>
                <w:spacing w:val="-5"/>
              </w:rPr>
              <w:t xml:space="preserve"> </w:t>
            </w:r>
            <w:r w:rsidRPr="00D4309F">
              <w:t>cost</w:t>
            </w:r>
            <w:r w:rsidRPr="00D4309F">
              <w:rPr>
                <w:spacing w:val="-5"/>
              </w:rPr>
              <w:t xml:space="preserve"> </w:t>
            </w:r>
            <w:r w:rsidRPr="00D4309F">
              <w:t>for</w:t>
            </w:r>
            <w:r w:rsidRPr="00D4309F">
              <w:rPr>
                <w:spacing w:val="-5"/>
              </w:rPr>
              <w:t xml:space="preserve"> </w:t>
            </w:r>
            <w:r w:rsidRPr="00D4309F">
              <w:t>pump</w:t>
            </w:r>
            <w:r w:rsidRPr="00D4309F">
              <w:rPr>
                <w:spacing w:val="-6"/>
              </w:rPr>
              <w:t xml:space="preserve"> </w:t>
            </w:r>
            <w:r w:rsidRPr="00D4309F">
              <w:t>and</w:t>
            </w:r>
            <w:r w:rsidRPr="00D4309F">
              <w:rPr>
                <w:spacing w:val="-6"/>
              </w:rPr>
              <w:t xml:space="preserve"> </w:t>
            </w:r>
            <w:r w:rsidRPr="00D4309F">
              <w:t xml:space="preserve">pipeline </w:t>
            </w:r>
            <w:r w:rsidRPr="00D4309F">
              <w:rPr>
                <w:spacing w:val="-2"/>
              </w:rPr>
              <w:t>infrastructure.</w:t>
            </w:r>
          </w:p>
          <w:p w14:paraId="38824C1F" w14:textId="77777777" w:rsidR="008D4B12" w:rsidRPr="00D4309F" w:rsidRDefault="008D4B12" w:rsidP="001E18C2">
            <w:pPr>
              <w:pStyle w:val="Table-Bullet"/>
              <w:keepLines/>
            </w:pPr>
            <w:r w:rsidRPr="00D4309F">
              <w:t>Requires</w:t>
            </w:r>
            <w:r w:rsidRPr="00D4309F">
              <w:rPr>
                <w:spacing w:val="-9"/>
              </w:rPr>
              <w:t xml:space="preserve"> </w:t>
            </w:r>
            <w:r w:rsidRPr="00D4309F">
              <w:t>vegetation</w:t>
            </w:r>
            <w:r w:rsidRPr="00D4309F">
              <w:rPr>
                <w:spacing w:val="-10"/>
              </w:rPr>
              <w:t xml:space="preserve"> </w:t>
            </w:r>
            <w:r w:rsidRPr="00D4309F">
              <w:t>clearance</w:t>
            </w:r>
            <w:r w:rsidRPr="00D4309F">
              <w:rPr>
                <w:spacing w:val="-8"/>
              </w:rPr>
              <w:t xml:space="preserve"> </w:t>
            </w:r>
            <w:r w:rsidRPr="00D4309F">
              <w:t>and</w:t>
            </w:r>
            <w:r w:rsidRPr="00D4309F">
              <w:rPr>
                <w:spacing w:val="-10"/>
              </w:rPr>
              <w:t xml:space="preserve"> </w:t>
            </w:r>
            <w:r w:rsidRPr="00D4309F">
              <w:t>disturbance during installation.</w:t>
            </w:r>
          </w:p>
          <w:p w14:paraId="79AF22BD" w14:textId="77777777" w:rsidR="008D4B12" w:rsidRPr="00D4309F" w:rsidRDefault="008D4B12" w:rsidP="001E18C2">
            <w:pPr>
              <w:pStyle w:val="Table-Bullet"/>
              <w:keepLines/>
            </w:pPr>
            <w:r w:rsidRPr="00D4309F">
              <w:t>Ongoing</w:t>
            </w:r>
            <w:r w:rsidRPr="00D4309F">
              <w:rPr>
                <w:spacing w:val="-8"/>
              </w:rPr>
              <w:t xml:space="preserve"> </w:t>
            </w:r>
            <w:r w:rsidRPr="00D4309F">
              <w:t>maintenance</w:t>
            </w:r>
            <w:r w:rsidRPr="00D4309F">
              <w:rPr>
                <w:spacing w:val="-8"/>
              </w:rPr>
              <w:t xml:space="preserve"> </w:t>
            </w:r>
            <w:r w:rsidRPr="00D4309F">
              <w:t>of</w:t>
            </w:r>
            <w:r w:rsidRPr="00D4309F">
              <w:rPr>
                <w:spacing w:val="-7"/>
              </w:rPr>
              <w:t xml:space="preserve"> </w:t>
            </w:r>
            <w:r w:rsidRPr="00D4309F">
              <w:t>pumps</w:t>
            </w:r>
            <w:r w:rsidRPr="00D4309F">
              <w:rPr>
                <w:spacing w:val="-7"/>
              </w:rPr>
              <w:t xml:space="preserve"> </w:t>
            </w:r>
            <w:r w:rsidRPr="00D4309F">
              <w:t>and</w:t>
            </w:r>
            <w:r w:rsidRPr="00D4309F">
              <w:rPr>
                <w:spacing w:val="-8"/>
              </w:rPr>
              <w:t xml:space="preserve"> </w:t>
            </w:r>
            <w:r w:rsidRPr="00D4309F">
              <w:t xml:space="preserve">pipeline </w:t>
            </w:r>
            <w:r w:rsidRPr="00D4309F">
              <w:rPr>
                <w:spacing w:val="-2"/>
              </w:rPr>
              <w:t>required.</w:t>
            </w:r>
          </w:p>
          <w:p w14:paraId="4ED4B8ED" w14:textId="77777777" w:rsidR="008D4B12" w:rsidRPr="00D4309F" w:rsidRDefault="008D4B12" w:rsidP="001E18C2">
            <w:pPr>
              <w:pStyle w:val="Table-Bullet"/>
              <w:keepLines/>
            </w:pPr>
            <w:r w:rsidRPr="00D4309F">
              <w:t>Short-term</w:t>
            </w:r>
            <w:r w:rsidRPr="00D4309F">
              <w:rPr>
                <w:spacing w:val="-6"/>
              </w:rPr>
              <w:t xml:space="preserve"> </w:t>
            </w:r>
            <w:r w:rsidRPr="00D4309F">
              <w:t>disruption</w:t>
            </w:r>
            <w:r w:rsidRPr="00D4309F">
              <w:rPr>
                <w:spacing w:val="-7"/>
              </w:rPr>
              <w:t xml:space="preserve"> </w:t>
            </w:r>
            <w:r w:rsidRPr="00D4309F">
              <w:t>to</w:t>
            </w:r>
            <w:r w:rsidRPr="00D4309F">
              <w:rPr>
                <w:spacing w:val="-7"/>
              </w:rPr>
              <w:t xml:space="preserve"> </w:t>
            </w:r>
            <w:r w:rsidRPr="00D4309F">
              <w:t>beach</w:t>
            </w:r>
            <w:r w:rsidRPr="00D4309F">
              <w:rPr>
                <w:spacing w:val="-7"/>
              </w:rPr>
              <w:t xml:space="preserve"> </w:t>
            </w:r>
            <w:r w:rsidRPr="00D4309F">
              <w:t>users</w:t>
            </w:r>
            <w:r w:rsidRPr="00D4309F">
              <w:rPr>
                <w:spacing w:val="-6"/>
              </w:rPr>
              <w:t xml:space="preserve"> </w:t>
            </w:r>
            <w:r w:rsidRPr="00D4309F">
              <w:t>during</w:t>
            </w:r>
            <w:r w:rsidRPr="00D4309F">
              <w:rPr>
                <w:spacing w:val="-5"/>
              </w:rPr>
              <w:t xml:space="preserve"> </w:t>
            </w:r>
            <w:r w:rsidRPr="00D4309F">
              <w:t xml:space="preserve">sand </w:t>
            </w:r>
            <w:r w:rsidRPr="00D4309F">
              <w:rPr>
                <w:spacing w:val="-2"/>
              </w:rPr>
              <w:t>placement.</w:t>
            </w:r>
          </w:p>
          <w:p w14:paraId="51C73723" w14:textId="77777777" w:rsidR="008D4B12" w:rsidRPr="00D4309F" w:rsidRDefault="008D4B12" w:rsidP="001E18C2">
            <w:pPr>
              <w:pStyle w:val="Table-Bullet"/>
              <w:keepLines/>
            </w:pPr>
            <w:r w:rsidRPr="00D4309F">
              <w:t>Vulnerable</w:t>
            </w:r>
            <w:r w:rsidRPr="00D4309F">
              <w:rPr>
                <w:spacing w:val="-6"/>
              </w:rPr>
              <w:t xml:space="preserve"> </w:t>
            </w:r>
            <w:r w:rsidRPr="00D4309F">
              <w:t>to</w:t>
            </w:r>
            <w:r w:rsidRPr="00D4309F">
              <w:rPr>
                <w:spacing w:val="-6"/>
              </w:rPr>
              <w:t xml:space="preserve"> </w:t>
            </w:r>
            <w:r w:rsidRPr="00D4309F">
              <w:t>damage</w:t>
            </w:r>
            <w:r w:rsidRPr="00D4309F">
              <w:rPr>
                <w:spacing w:val="-6"/>
              </w:rPr>
              <w:t xml:space="preserve"> </w:t>
            </w:r>
            <w:r w:rsidRPr="00D4309F">
              <w:t>from</w:t>
            </w:r>
            <w:r w:rsidRPr="00D4309F">
              <w:rPr>
                <w:spacing w:val="-5"/>
              </w:rPr>
              <w:t xml:space="preserve"> </w:t>
            </w:r>
            <w:r w:rsidRPr="00D4309F">
              <w:t>storm</w:t>
            </w:r>
            <w:r w:rsidRPr="00D4309F">
              <w:rPr>
                <w:spacing w:val="-5"/>
              </w:rPr>
              <w:t xml:space="preserve"> </w:t>
            </w:r>
            <w:r w:rsidRPr="00D4309F">
              <w:t>events</w:t>
            </w:r>
            <w:r w:rsidRPr="00D4309F">
              <w:rPr>
                <w:spacing w:val="-5"/>
              </w:rPr>
              <w:t xml:space="preserve"> </w:t>
            </w:r>
            <w:r w:rsidRPr="00D4309F">
              <w:t>or</w:t>
            </w:r>
            <w:r w:rsidRPr="00D4309F">
              <w:rPr>
                <w:spacing w:val="-4"/>
              </w:rPr>
              <w:t xml:space="preserve"> </w:t>
            </w:r>
            <w:r w:rsidRPr="00D4309F">
              <w:t xml:space="preserve">erosion </w:t>
            </w:r>
            <w:r w:rsidRPr="00D4309F">
              <w:rPr>
                <w:spacing w:val="-2"/>
              </w:rPr>
              <w:t>exposure.</w:t>
            </w:r>
          </w:p>
          <w:p w14:paraId="551300D4" w14:textId="786FF322" w:rsidR="008D4B12" w:rsidRPr="008D4B12" w:rsidRDefault="008D4B12" w:rsidP="001E18C2">
            <w:pPr>
              <w:pStyle w:val="Table-Bullet"/>
              <w:keepLines/>
            </w:pPr>
            <w:r w:rsidRPr="00D4309F">
              <w:t>Requires</w:t>
            </w:r>
            <w:r w:rsidRPr="00D4309F">
              <w:rPr>
                <w:spacing w:val="-9"/>
              </w:rPr>
              <w:t xml:space="preserve"> </w:t>
            </w:r>
            <w:r w:rsidRPr="00D4309F">
              <w:t>consistent</w:t>
            </w:r>
            <w:r w:rsidRPr="00D4309F">
              <w:rPr>
                <w:spacing w:val="-9"/>
              </w:rPr>
              <w:t xml:space="preserve"> </w:t>
            </w:r>
            <w:r w:rsidRPr="00D4309F">
              <w:t>operational</w:t>
            </w:r>
            <w:r w:rsidRPr="00D4309F">
              <w:rPr>
                <w:spacing w:val="-9"/>
              </w:rPr>
              <w:t xml:space="preserve"> </w:t>
            </w:r>
            <w:r w:rsidRPr="00D4309F">
              <w:t>oversight</w:t>
            </w:r>
            <w:r w:rsidRPr="00D4309F">
              <w:rPr>
                <w:spacing w:val="-9"/>
              </w:rPr>
              <w:t xml:space="preserve"> </w:t>
            </w:r>
            <w:r w:rsidRPr="00D4309F">
              <w:t>and funding commitment</w:t>
            </w:r>
          </w:p>
        </w:tc>
      </w:tr>
    </w:tbl>
    <w:p w14:paraId="3B81C88A" w14:textId="77777777" w:rsidR="008D4B12" w:rsidRDefault="008D4B12" w:rsidP="008D4B12">
      <w:pPr>
        <w:pStyle w:val="BodyText"/>
      </w:pPr>
    </w:p>
    <w:p w14:paraId="31F7748E" w14:textId="76D74512" w:rsidR="00725977" w:rsidRPr="00D4309F" w:rsidRDefault="00725977" w:rsidP="00F4416A">
      <w:pPr>
        <w:pStyle w:val="Heading2"/>
      </w:pPr>
      <w:bookmarkStart w:id="288" w:name="_Toc216699397"/>
      <w:r w:rsidRPr="00D4309F">
        <w:t>Option</w:t>
      </w:r>
      <w:r w:rsidRPr="00D4309F">
        <w:rPr>
          <w:spacing w:val="-11"/>
        </w:rPr>
        <w:t xml:space="preserve"> </w:t>
      </w:r>
      <w:r w:rsidRPr="00D4309F">
        <w:t>1</w:t>
      </w:r>
      <w:r w:rsidRPr="00D4309F">
        <w:rPr>
          <w:spacing w:val="-10"/>
        </w:rPr>
        <w:t xml:space="preserve"> </w:t>
      </w:r>
      <w:r w:rsidRPr="00D4309F">
        <w:t>variations</w:t>
      </w:r>
      <w:r w:rsidRPr="00D4309F">
        <w:rPr>
          <w:spacing w:val="-9"/>
        </w:rPr>
        <w:t xml:space="preserve"> </w:t>
      </w:r>
      <w:r w:rsidRPr="00D4309F">
        <w:rPr>
          <w:spacing w:val="-2"/>
        </w:rPr>
        <w:t>comparison</w:t>
      </w:r>
      <w:bookmarkEnd w:id="288"/>
    </w:p>
    <w:p w14:paraId="7F2C1A35" w14:textId="7B7228A0" w:rsidR="00725977" w:rsidRDefault="008D4B12" w:rsidP="00151534">
      <w:pPr>
        <w:pStyle w:val="Table-Caption"/>
        <w:rPr>
          <w:color w:val="211E1F"/>
          <w:spacing w:val="-5"/>
        </w:rPr>
      </w:pPr>
      <w:bookmarkStart w:id="289" w:name="_bookmark118"/>
      <w:bookmarkStart w:id="290" w:name="_Toc216699554"/>
      <w:bookmarkEnd w:id="289"/>
      <w:r>
        <w:t xml:space="preserve">Table </w:t>
      </w:r>
      <w:r w:rsidR="00151534">
        <w:fldChar w:fldCharType="begin" w:fldLock="1"/>
      </w:r>
      <w:r w:rsidR="00151534">
        <w:instrText xml:space="preserve"> STYLEREF 1 \s </w:instrText>
      </w:r>
      <w:r w:rsidR="00151534">
        <w:fldChar w:fldCharType="separate"/>
      </w:r>
      <w:r w:rsidR="00151534">
        <w:rPr>
          <w:noProof/>
        </w:rPr>
        <w:t>13</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7</w:t>
      </w:r>
      <w:r w:rsidR="00151534">
        <w:fldChar w:fldCharType="end"/>
      </w:r>
      <w:r>
        <w:t>:</w:t>
      </w:r>
      <w:r>
        <w:tab/>
      </w:r>
      <w:r w:rsidRPr="00D4309F">
        <w:rPr>
          <w:color w:val="211E1F"/>
        </w:rPr>
        <w:t>Variation</w:t>
      </w:r>
      <w:r w:rsidRPr="00D4309F">
        <w:rPr>
          <w:color w:val="211E1F"/>
          <w:spacing w:val="-2"/>
        </w:rPr>
        <w:t xml:space="preserve"> </w:t>
      </w:r>
      <w:r w:rsidRPr="00D4309F">
        <w:rPr>
          <w:color w:val="211E1F"/>
        </w:rPr>
        <w:t>Comparison</w:t>
      </w:r>
      <w:r w:rsidRPr="00D4309F">
        <w:rPr>
          <w:color w:val="211E1F"/>
          <w:spacing w:val="-1"/>
        </w:rPr>
        <w:t xml:space="preserve"> </w:t>
      </w:r>
      <w:r w:rsidRPr="00D4309F">
        <w:rPr>
          <w:color w:val="211E1F"/>
        </w:rPr>
        <w:t>of</w:t>
      </w:r>
      <w:r w:rsidRPr="00D4309F">
        <w:rPr>
          <w:color w:val="211E1F"/>
          <w:spacing w:val="-3"/>
        </w:rPr>
        <w:t xml:space="preserve"> </w:t>
      </w:r>
      <w:r w:rsidRPr="00D4309F">
        <w:rPr>
          <w:color w:val="211E1F"/>
        </w:rPr>
        <w:t>Option</w:t>
      </w:r>
      <w:r w:rsidRPr="00D4309F">
        <w:rPr>
          <w:color w:val="211E1F"/>
          <w:spacing w:val="-1"/>
        </w:rPr>
        <w:t xml:space="preserve"> </w:t>
      </w:r>
      <w:r w:rsidRPr="00D4309F">
        <w:rPr>
          <w:color w:val="211E1F"/>
        </w:rPr>
        <w:t>1A</w:t>
      </w:r>
      <w:r w:rsidRPr="00D4309F">
        <w:rPr>
          <w:color w:val="211E1F"/>
          <w:spacing w:val="-2"/>
        </w:rPr>
        <w:t xml:space="preserve"> </w:t>
      </w:r>
      <w:r w:rsidRPr="00D4309F">
        <w:rPr>
          <w:color w:val="211E1F"/>
        </w:rPr>
        <w:t>and</w:t>
      </w:r>
      <w:r w:rsidRPr="00D4309F">
        <w:rPr>
          <w:color w:val="211E1F"/>
          <w:spacing w:val="-2"/>
        </w:rPr>
        <w:t xml:space="preserve"> </w:t>
      </w:r>
      <w:r w:rsidRPr="00D4309F">
        <w:rPr>
          <w:color w:val="211E1F"/>
          <w:spacing w:val="-5"/>
        </w:rPr>
        <w:t>1B</w:t>
      </w:r>
      <w:bookmarkEnd w:id="290"/>
    </w:p>
    <w:tbl>
      <w:tblPr>
        <w:tblStyle w:val="Table1"/>
        <w:tblW w:w="5000" w:type="pct"/>
        <w:tblLook w:val="04A0" w:firstRow="1" w:lastRow="0" w:firstColumn="1" w:lastColumn="0" w:noHBand="0" w:noVBand="1"/>
      </w:tblPr>
      <w:tblGrid>
        <w:gridCol w:w="2128"/>
        <w:gridCol w:w="3757"/>
        <w:gridCol w:w="3757"/>
      </w:tblGrid>
      <w:tr w:rsidR="008D4B12" w14:paraId="2B8C5FCF" w14:textId="77777777" w:rsidTr="00865209">
        <w:trPr>
          <w:cnfStyle w:val="100000000000" w:firstRow="1" w:lastRow="0" w:firstColumn="0" w:lastColumn="0" w:oddVBand="0" w:evenVBand="0" w:oddHBand="0" w:evenHBand="0" w:firstRowFirstColumn="0" w:firstRowLastColumn="0" w:lastRowFirstColumn="0" w:lastRowLastColumn="0"/>
          <w:tblHeader/>
        </w:trPr>
        <w:tc>
          <w:tcPr>
            <w:tcW w:w="1104" w:type="pct"/>
          </w:tcPr>
          <w:p w14:paraId="255AA1E4" w14:textId="2D1EB933" w:rsidR="008D4B12" w:rsidRPr="008D4B12" w:rsidRDefault="008D4B12" w:rsidP="008D4B12">
            <w:pPr>
              <w:pStyle w:val="Table-Heading"/>
            </w:pPr>
            <w:r w:rsidRPr="00D4309F">
              <w:t>Criteria</w:t>
            </w:r>
          </w:p>
        </w:tc>
        <w:tc>
          <w:tcPr>
            <w:tcW w:w="1948" w:type="pct"/>
          </w:tcPr>
          <w:p w14:paraId="21017D19" w14:textId="3F4BEA06" w:rsidR="008D4B12" w:rsidRPr="008D4B12" w:rsidRDefault="008D4B12" w:rsidP="008D4B12">
            <w:pPr>
              <w:pStyle w:val="Table-Heading"/>
            </w:pPr>
            <w:r w:rsidRPr="00D4309F">
              <w:t>Option</w:t>
            </w:r>
            <w:r w:rsidRPr="00D4309F">
              <w:rPr>
                <w:spacing w:val="-8"/>
              </w:rPr>
              <w:t xml:space="preserve"> </w:t>
            </w:r>
            <w:r w:rsidRPr="00D4309F">
              <w:t>1A</w:t>
            </w:r>
            <w:r w:rsidRPr="00D4309F">
              <w:rPr>
                <w:spacing w:val="-8"/>
              </w:rPr>
              <w:t xml:space="preserve"> </w:t>
            </w:r>
            <w:r w:rsidRPr="00D4309F">
              <w:t>–</w:t>
            </w:r>
            <w:r w:rsidRPr="00D4309F">
              <w:rPr>
                <w:spacing w:val="-8"/>
              </w:rPr>
              <w:t xml:space="preserve"> </w:t>
            </w:r>
            <w:r w:rsidRPr="00D4309F">
              <w:t>Buddina</w:t>
            </w:r>
            <w:r w:rsidRPr="00D4309F">
              <w:rPr>
                <w:spacing w:val="-9"/>
              </w:rPr>
              <w:t xml:space="preserve"> </w:t>
            </w:r>
            <w:r w:rsidRPr="00D4309F">
              <w:t>Beach</w:t>
            </w:r>
            <w:r w:rsidRPr="00D4309F">
              <w:rPr>
                <w:spacing w:val="-8"/>
              </w:rPr>
              <w:t xml:space="preserve"> </w:t>
            </w:r>
            <w:r w:rsidRPr="00D4309F">
              <w:t xml:space="preserve">Sand </w:t>
            </w:r>
            <w:r w:rsidRPr="00D4309F">
              <w:rPr>
                <w:spacing w:val="-4"/>
              </w:rPr>
              <w:t>Trap</w:t>
            </w:r>
          </w:p>
        </w:tc>
        <w:tc>
          <w:tcPr>
            <w:tcW w:w="1948" w:type="pct"/>
          </w:tcPr>
          <w:p w14:paraId="5128F6AE" w14:textId="2BB1E719" w:rsidR="008D4B12" w:rsidRDefault="008D4B12" w:rsidP="008D4B12">
            <w:pPr>
              <w:pStyle w:val="Table-Heading"/>
            </w:pPr>
            <w:r w:rsidRPr="00D4309F">
              <w:t>Option</w:t>
            </w:r>
            <w:r w:rsidRPr="00D4309F">
              <w:rPr>
                <w:spacing w:val="-6"/>
              </w:rPr>
              <w:t xml:space="preserve"> </w:t>
            </w:r>
            <w:r w:rsidRPr="00D4309F">
              <w:t>1B</w:t>
            </w:r>
            <w:r w:rsidRPr="00D4309F">
              <w:rPr>
                <w:spacing w:val="-6"/>
              </w:rPr>
              <w:t xml:space="preserve"> </w:t>
            </w:r>
            <w:r w:rsidRPr="00D4309F">
              <w:t>–</w:t>
            </w:r>
            <w:r w:rsidRPr="00D4309F">
              <w:rPr>
                <w:spacing w:val="-6"/>
              </w:rPr>
              <w:t xml:space="preserve"> </w:t>
            </w:r>
            <w:r w:rsidRPr="00D4309F">
              <w:t>Pump</w:t>
            </w:r>
            <w:r w:rsidRPr="00D4309F">
              <w:rPr>
                <w:spacing w:val="-6"/>
              </w:rPr>
              <w:t xml:space="preserve"> </w:t>
            </w:r>
            <w:r w:rsidRPr="00D4309F">
              <w:t>System</w:t>
            </w:r>
            <w:r w:rsidRPr="00D4309F">
              <w:rPr>
                <w:spacing w:val="-7"/>
              </w:rPr>
              <w:t xml:space="preserve"> </w:t>
            </w:r>
            <w:r w:rsidRPr="00D4309F">
              <w:t>and</w:t>
            </w:r>
            <w:r w:rsidRPr="00D4309F">
              <w:rPr>
                <w:spacing w:val="-6"/>
              </w:rPr>
              <w:t xml:space="preserve"> </w:t>
            </w:r>
            <w:r w:rsidRPr="00D4309F">
              <w:t>Pipeline</w:t>
            </w:r>
          </w:p>
        </w:tc>
      </w:tr>
      <w:tr w:rsidR="008D4B12" w14:paraId="6C38D885" w14:textId="77777777" w:rsidTr="00865209">
        <w:tc>
          <w:tcPr>
            <w:tcW w:w="1104" w:type="pct"/>
          </w:tcPr>
          <w:p w14:paraId="43443F92" w14:textId="5102071D" w:rsidR="008D4B12" w:rsidRPr="00865209" w:rsidRDefault="008D4B12" w:rsidP="008A3137">
            <w:pPr>
              <w:pStyle w:val="Table-Text"/>
              <w:rPr>
                <w:b/>
                <w:bCs/>
              </w:rPr>
            </w:pPr>
            <w:r w:rsidRPr="00865209">
              <w:rPr>
                <w:b/>
                <w:bCs/>
              </w:rPr>
              <w:t>Description</w:t>
            </w:r>
          </w:p>
        </w:tc>
        <w:tc>
          <w:tcPr>
            <w:tcW w:w="1948" w:type="pct"/>
          </w:tcPr>
          <w:p w14:paraId="2C47A6CC" w14:textId="3197E506" w:rsidR="008D4B12" w:rsidRDefault="008D4B12" w:rsidP="008A3137">
            <w:pPr>
              <w:pStyle w:val="Table-Text"/>
            </w:pPr>
            <w:r w:rsidRPr="00D4309F">
              <w:t>Establish a nearshore sand trap to intercept</w:t>
            </w:r>
            <w:r w:rsidRPr="00D4309F">
              <w:rPr>
                <w:spacing w:val="-8"/>
              </w:rPr>
              <w:t xml:space="preserve"> </w:t>
            </w:r>
            <w:r w:rsidRPr="00D4309F">
              <w:t>littoral</w:t>
            </w:r>
            <w:r w:rsidRPr="00D4309F">
              <w:rPr>
                <w:spacing w:val="-7"/>
              </w:rPr>
              <w:t xml:space="preserve"> </w:t>
            </w:r>
            <w:r w:rsidRPr="00D4309F">
              <w:t>drift</w:t>
            </w:r>
            <w:r w:rsidRPr="00D4309F">
              <w:rPr>
                <w:spacing w:val="-8"/>
              </w:rPr>
              <w:t xml:space="preserve"> </w:t>
            </w:r>
            <w:r w:rsidRPr="00D4309F">
              <w:t>before</w:t>
            </w:r>
            <w:r w:rsidRPr="00D4309F">
              <w:rPr>
                <w:spacing w:val="-9"/>
              </w:rPr>
              <w:t xml:space="preserve"> </w:t>
            </w:r>
            <w:r w:rsidRPr="00D4309F">
              <w:t>it</w:t>
            </w:r>
            <w:r w:rsidRPr="00D4309F">
              <w:rPr>
                <w:spacing w:val="-8"/>
              </w:rPr>
              <w:t xml:space="preserve"> </w:t>
            </w:r>
            <w:r w:rsidRPr="00D4309F">
              <w:t>enters the Mooloolaba River entrance.</w:t>
            </w:r>
          </w:p>
        </w:tc>
        <w:tc>
          <w:tcPr>
            <w:tcW w:w="1948" w:type="pct"/>
          </w:tcPr>
          <w:p w14:paraId="53D6A305" w14:textId="4B5FE8D8" w:rsidR="008D4B12" w:rsidRDefault="008D4B12" w:rsidP="008A3137">
            <w:pPr>
              <w:pStyle w:val="Table-Text"/>
            </w:pPr>
            <w:r w:rsidRPr="00D4309F">
              <w:t>Establish a nearshore sand trap with the inclusion of a shore-based pump and buried pipeline</w:t>
            </w:r>
            <w:r w:rsidRPr="00D4309F">
              <w:rPr>
                <w:spacing w:val="-7"/>
              </w:rPr>
              <w:t xml:space="preserve"> </w:t>
            </w:r>
            <w:r w:rsidRPr="00D4309F">
              <w:t>to</w:t>
            </w:r>
            <w:r w:rsidRPr="00D4309F">
              <w:rPr>
                <w:spacing w:val="-7"/>
              </w:rPr>
              <w:t xml:space="preserve"> </w:t>
            </w:r>
            <w:r w:rsidRPr="00D4309F">
              <w:t>transfer</w:t>
            </w:r>
            <w:r w:rsidRPr="00D4309F">
              <w:rPr>
                <w:spacing w:val="-6"/>
              </w:rPr>
              <w:t xml:space="preserve"> </w:t>
            </w:r>
            <w:r w:rsidRPr="00D4309F">
              <w:t>sand</w:t>
            </w:r>
            <w:r w:rsidRPr="00D4309F">
              <w:rPr>
                <w:spacing w:val="-7"/>
              </w:rPr>
              <w:t xml:space="preserve"> </w:t>
            </w:r>
            <w:r w:rsidRPr="00D4309F">
              <w:t>across</w:t>
            </w:r>
            <w:r w:rsidRPr="00D4309F">
              <w:rPr>
                <w:spacing w:val="-6"/>
              </w:rPr>
              <w:t xml:space="preserve"> </w:t>
            </w:r>
            <w:r w:rsidRPr="00D4309F">
              <w:t>the</w:t>
            </w:r>
            <w:r w:rsidRPr="00D4309F">
              <w:rPr>
                <w:spacing w:val="-7"/>
              </w:rPr>
              <w:t xml:space="preserve"> </w:t>
            </w:r>
            <w:r w:rsidRPr="00D4309F">
              <w:t>entrance directly onto Mooloolaba Beach.</w:t>
            </w:r>
          </w:p>
        </w:tc>
      </w:tr>
      <w:tr w:rsidR="008D4B12" w14:paraId="25E8FFA4" w14:textId="77777777" w:rsidTr="00865209">
        <w:tc>
          <w:tcPr>
            <w:tcW w:w="1104" w:type="pct"/>
          </w:tcPr>
          <w:p w14:paraId="5BD7611F" w14:textId="641E13F6" w:rsidR="008D4B12" w:rsidRPr="00865209" w:rsidRDefault="008D4B12" w:rsidP="008A3137">
            <w:pPr>
              <w:pStyle w:val="Table-Text"/>
              <w:rPr>
                <w:b/>
                <w:bCs/>
              </w:rPr>
            </w:pPr>
            <w:r w:rsidRPr="00865209">
              <w:rPr>
                <w:b/>
                <w:bCs/>
                <w:position w:val="-9"/>
              </w:rPr>
              <w:t>Capital works</w:t>
            </w:r>
          </w:p>
        </w:tc>
        <w:tc>
          <w:tcPr>
            <w:tcW w:w="1948" w:type="pct"/>
          </w:tcPr>
          <w:p w14:paraId="70B5D75F" w14:textId="4C7FCA34" w:rsidR="008D4B12" w:rsidRDefault="008D4B12" w:rsidP="006233D6">
            <w:pPr>
              <w:pStyle w:val="Table-Text"/>
            </w:pPr>
            <w:r w:rsidRPr="00D4309F">
              <w:t>Low</w:t>
            </w:r>
            <w:r w:rsidRPr="00D4309F">
              <w:rPr>
                <w:spacing w:val="-8"/>
              </w:rPr>
              <w:t xml:space="preserve"> </w:t>
            </w:r>
            <w:r w:rsidRPr="00D4309F">
              <w:t>–</w:t>
            </w:r>
            <w:r w:rsidRPr="00D4309F">
              <w:rPr>
                <w:spacing w:val="-9"/>
              </w:rPr>
              <w:t xml:space="preserve"> </w:t>
            </w:r>
            <w:r w:rsidRPr="00D4309F">
              <w:t>seabed</w:t>
            </w:r>
            <w:r w:rsidRPr="00D4309F">
              <w:rPr>
                <w:spacing w:val="-7"/>
              </w:rPr>
              <w:t xml:space="preserve"> </w:t>
            </w:r>
            <w:r w:rsidRPr="00D4309F">
              <w:t>excavation</w:t>
            </w:r>
            <w:r w:rsidRPr="00D4309F">
              <w:rPr>
                <w:spacing w:val="-8"/>
              </w:rPr>
              <w:t xml:space="preserve"> </w:t>
            </w:r>
            <w:r w:rsidRPr="00D4309F">
              <w:t>only, minimal</w:t>
            </w:r>
            <w:r w:rsidRPr="00D4309F">
              <w:rPr>
                <w:spacing w:val="-3"/>
              </w:rPr>
              <w:t xml:space="preserve"> </w:t>
            </w:r>
            <w:r w:rsidRPr="00D4309F">
              <w:t>onshore</w:t>
            </w:r>
            <w:r w:rsidRPr="00D4309F">
              <w:rPr>
                <w:spacing w:val="-3"/>
              </w:rPr>
              <w:t xml:space="preserve"> </w:t>
            </w:r>
            <w:r w:rsidRPr="00D4309F">
              <w:t>infrastructure.</w:t>
            </w:r>
          </w:p>
        </w:tc>
        <w:tc>
          <w:tcPr>
            <w:tcW w:w="1948" w:type="pct"/>
          </w:tcPr>
          <w:p w14:paraId="0B14540C" w14:textId="6A454E88" w:rsidR="008D4B12" w:rsidRDefault="008D4B12" w:rsidP="006233D6">
            <w:pPr>
              <w:pStyle w:val="Table-Text"/>
            </w:pPr>
            <w:r w:rsidRPr="00D4309F">
              <w:t>Moderate / High – pump station, electrical supply,</w:t>
            </w:r>
            <w:r w:rsidRPr="00D4309F">
              <w:rPr>
                <w:spacing w:val="-7"/>
              </w:rPr>
              <w:t xml:space="preserve"> </w:t>
            </w:r>
            <w:r w:rsidRPr="00D4309F">
              <w:t>buried</w:t>
            </w:r>
            <w:r w:rsidRPr="00D4309F">
              <w:rPr>
                <w:spacing w:val="-6"/>
              </w:rPr>
              <w:t xml:space="preserve"> </w:t>
            </w:r>
            <w:r w:rsidRPr="00D4309F">
              <w:t>pipeline</w:t>
            </w:r>
            <w:r w:rsidRPr="00D4309F">
              <w:rPr>
                <w:spacing w:val="-8"/>
              </w:rPr>
              <w:t xml:space="preserve"> </w:t>
            </w:r>
            <w:r w:rsidRPr="00D4309F">
              <w:t>and</w:t>
            </w:r>
            <w:r w:rsidRPr="00D4309F">
              <w:rPr>
                <w:spacing w:val="-8"/>
              </w:rPr>
              <w:t xml:space="preserve"> </w:t>
            </w:r>
            <w:r w:rsidRPr="00D4309F">
              <w:t>discharge</w:t>
            </w:r>
            <w:r w:rsidRPr="00D4309F">
              <w:rPr>
                <w:spacing w:val="-8"/>
              </w:rPr>
              <w:t xml:space="preserve"> </w:t>
            </w:r>
            <w:r w:rsidRPr="00D4309F">
              <w:t>outlets.</w:t>
            </w:r>
          </w:p>
        </w:tc>
      </w:tr>
      <w:tr w:rsidR="008D4B12" w14:paraId="56AF4D9D" w14:textId="77777777" w:rsidTr="00865209">
        <w:tc>
          <w:tcPr>
            <w:tcW w:w="1104" w:type="pct"/>
          </w:tcPr>
          <w:p w14:paraId="76A401A7" w14:textId="496E4673" w:rsidR="008D4B12" w:rsidRPr="00865209" w:rsidRDefault="008D4B12" w:rsidP="006233D6">
            <w:pPr>
              <w:pStyle w:val="Table-Text"/>
              <w:rPr>
                <w:b/>
                <w:bCs/>
              </w:rPr>
            </w:pPr>
            <w:r w:rsidRPr="00865209">
              <w:rPr>
                <w:b/>
                <w:bCs/>
              </w:rPr>
              <w:t>Operational</w:t>
            </w:r>
            <w:r w:rsidRPr="00865209">
              <w:rPr>
                <w:b/>
                <w:bCs/>
                <w:spacing w:val="-4"/>
              </w:rPr>
              <w:t xml:space="preserve"> </w:t>
            </w:r>
            <w:r w:rsidRPr="00865209">
              <w:rPr>
                <w:b/>
                <w:bCs/>
              </w:rPr>
              <w:t>works</w:t>
            </w:r>
          </w:p>
        </w:tc>
        <w:tc>
          <w:tcPr>
            <w:tcW w:w="1948" w:type="pct"/>
          </w:tcPr>
          <w:p w14:paraId="0CE06406" w14:textId="48E70CCE" w:rsidR="008D4B12" w:rsidRDefault="008D4B12" w:rsidP="008A3137">
            <w:pPr>
              <w:pStyle w:val="Table-Text"/>
            </w:pPr>
            <w:r w:rsidRPr="00D4309F">
              <w:t>Periodic</w:t>
            </w:r>
            <w:r w:rsidRPr="00D4309F">
              <w:rPr>
                <w:spacing w:val="-5"/>
              </w:rPr>
              <w:t xml:space="preserve"> </w:t>
            </w:r>
            <w:r w:rsidRPr="00D4309F">
              <w:t>dredging</w:t>
            </w:r>
            <w:r w:rsidRPr="00D4309F">
              <w:rPr>
                <w:spacing w:val="-5"/>
              </w:rPr>
              <w:t xml:space="preserve"> </w:t>
            </w:r>
            <w:r w:rsidRPr="00D4309F">
              <w:t>(TSHD)</w:t>
            </w:r>
            <w:r w:rsidRPr="00D4309F">
              <w:rPr>
                <w:spacing w:val="-4"/>
              </w:rPr>
              <w:t xml:space="preserve"> </w:t>
            </w:r>
            <w:r w:rsidRPr="00D4309F">
              <w:t>every</w:t>
            </w:r>
            <w:r w:rsidRPr="00D4309F">
              <w:rPr>
                <w:spacing w:val="-4"/>
              </w:rPr>
              <w:t xml:space="preserve"> </w:t>
            </w:r>
            <w:r w:rsidRPr="00D4309F">
              <w:t>2–</w:t>
            </w:r>
            <w:r>
              <w:t xml:space="preserve">3 </w:t>
            </w:r>
            <w:r w:rsidRPr="00D4309F">
              <w:t>years;</w:t>
            </w:r>
            <w:r w:rsidRPr="00D4309F">
              <w:rPr>
                <w:spacing w:val="-11"/>
              </w:rPr>
              <w:t xml:space="preserve"> </w:t>
            </w:r>
            <w:r w:rsidRPr="00D4309F">
              <w:t>offshore</w:t>
            </w:r>
            <w:r w:rsidRPr="00D4309F">
              <w:rPr>
                <w:spacing w:val="-10"/>
              </w:rPr>
              <w:t xml:space="preserve"> </w:t>
            </w:r>
            <w:r w:rsidRPr="00D4309F">
              <w:t>placement</w:t>
            </w:r>
            <w:r w:rsidRPr="00D4309F">
              <w:rPr>
                <w:spacing w:val="-11"/>
              </w:rPr>
              <w:t xml:space="preserve"> </w:t>
            </w:r>
            <w:r w:rsidRPr="00D4309F">
              <w:t>for</w:t>
            </w:r>
            <w:r w:rsidRPr="00D4309F">
              <w:rPr>
                <w:spacing w:val="-11"/>
              </w:rPr>
              <w:t xml:space="preserve"> </w:t>
            </w:r>
            <w:r w:rsidRPr="00D4309F">
              <w:t>regional nourishment.</w:t>
            </w:r>
          </w:p>
        </w:tc>
        <w:tc>
          <w:tcPr>
            <w:tcW w:w="1948" w:type="pct"/>
          </w:tcPr>
          <w:p w14:paraId="1769F381" w14:textId="071C6F15" w:rsidR="008D4B12" w:rsidRDefault="00AF77B8" w:rsidP="00AF77B8">
            <w:pPr>
              <w:pStyle w:val="Table-Text"/>
            </w:pPr>
            <w:r w:rsidRPr="00AF77B8">
              <w:t>Routine dredging (CSD) + active pumping</w:t>
            </w:r>
            <w:r>
              <w:t xml:space="preserve"> </w:t>
            </w:r>
            <w:r w:rsidRPr="00AF77B8">
              <w:t>every 1–2 years; on-beach placement and</w:t>
            </w:r>
            <w:r>
              <w:t xml:space="preserve"> </w:t>
            </w:r>
            <w:r w:rsidRPr="00AF77B8">
              <w:t>system maintenance.</w:t>
            </w:r>
          </w:p>
        </w:tc>
      </w:tr>
      <w:tr w:rsidR="008D4B12" w14:paraId="144CBC3E" w14:textId="77777777" w:rsidTr="00865209">
        <w:tc>
          <w:tcPr>
            <w:tcW w:w="1104" w:type="pct"/>
          </w:tcPr>
          <w:p w14:paraId="1E417141" w14:textId="04A8455C" w:rsidR="008D4B12" w:rsidRPr="00865209" w:rsidRDefault="008D4B12" w:rsidP="008A3137">
            <w:pPr>
              <w:pStyle w:val="Table-Text"/>
              <w:rPr>
                <w:b/>
                <w:bCs/>
              </w:rPr>
            </w:pPr>
            <w:r w:rsidRPr="00865209">
              <w:rPr>
                <w:b/>
                <w:bCs/>
              </w:rPr>
              <w:t>Physical</w:t>
            </w:r>
            <w:r w:rsidRPr="00865209">
              <w:rPr>
                <w:b/>
                <w:bCs/>
                <w:spacing w:val="-7"/>
              </w:rPr>
              <w:t xml:space="preserve"> </w:t>
            </w:r>
            <w:r w:rsidRPr="00865209">
              <w:rPr>
                <w:b/>
                <w:bCs/>
              </w:rPr>
              <w:t>processes</w:t>
            </w:r>
          </w:p>
        </w:tc>
        <w:tc>
          <w:tcPr>
            <w:tcW w:w="1948" w:type="pct"/>
          </w:tcPr>
          <w:p w14:paraId="4FA28FB2" w14:textId="68DE3D26" w:rsidR="008D4B12" w:rsidRDefault="008D4B12" w:rsidP="008A3137">
            <w:pPr>
              <w:pStyle w:val="Table-Text"/>
            </w:pPr>
            <w:r w:rsidRPr="00D4309F">
              <w:t>Intercepts sand naturally moving around</w:t>
            </w:r>
            <w:r w:rsidRPr="00D4309F">
              <w:rPr>
                <w:spacing w:val="-11"/>
              </w:rPr>
              <w:t xml:space="preserve"> </w:t>
            </w:r>
            <w:r w:rsidRPr="00D4309F">
              <w:t>Point</w:t>
            </w:r>
            <w:r w:rsidRPr="00D4309F">
              <w:rPr>
                <w:spacing w:val="-10"/>
              </w:rPr>
              <w:t xml:space="preserve"> </w:t>
            </w:r>
            <w:r w:rsidRPr="00D4309F">
              <w:t>Cartwright;</w:t>
            </w:r>
            <w:r w:rsidRPr="00D4309F">
              <w:rPr>
                <w:spacing w:val="-10"/>
              </w:rPr>
              <w:t xml:space="preserve"> </w:t>
            </w:r>
            <w:r w:rsidRPr="00D4309F">
              <w:t>reduces</w:t>
            </w:r>
            <w:r w:rsidRPr="00D4309F">
              <w:rPr>
                <w:spacing w:val="-10"/>
              </w:rPr>
              <w:t xml:space="preserve"> </w:t>
            </w:r>
            <w:r w:rsidRPr="00D4309F">
              <w:t>but doesn’t eliminate shoaling</w:t>
            </w:r>
            <w:r w:rsidR="00AF77B8">
              <w:t>.</w:t>
            </w:r>
          </w:p>
        </w:tc>
        <w:tc>
          <w:tcPr>
            <w:tcW w:w="1948" w:type="pct"/>
          </w:tcPr>
          <w:p w14:paraId="2A6F8BA3" w14:textId="177DBEAB" w:rsidR="008D4B12" w:rsidRDefault="00A40EC7" w:rsidP="00A40EC7">
            <w:pPr>
              <w:pStyle w:val="Table-Text"/>
            </w:pPr>
            <w:r w:rsidRPr="00A40EC7">
              <w:t>Mechanically replicates natural bypassing;</w:t>
            </w:r>
            <w:r>
              <w:t xml:space="preserve"> </w:t>
            </w:r>
            <w:r w:rsidRPr="00A40EC7">
              <w:t>maintains direct sediment continuity between</w:t>
            </w:r>
            <w:r>
              <w:t xml:space="preserve"> </w:t>
            </w:r>
            <w:r w:rsidRPr="00A40EC7">
              <w:t>Area A and Area B.</w:t>
            </w:r>
          </w:p>
        </w:tc>
      </w:tr>
      <w:tr w:rsidR="008D4B12" w14:paraId="4B236CCA" w14:textId="77777777" w:rsidTr="00865209">
        <w:tc>
          <w:tcPr>
            <w:tcW w:w="1104" w:type="pct"/>
          </w:tcPr>
          <w:p w14:paraId="5EDE49B3" w14:textId="75350FEB" w:rsidR="008D4B12" w:rsidRPr="00865209" w:rsidRDefault="008D4B12" w:rsidP="00A40EC7">
            <w:pPr>
              <w:pStyle w:val="Table-Text"/>
              <w:rPr>
                <w:b/>
                <w:bCs/>
              </w:rPr>
            </w:pPr>
            <w:r w:rsidRPr="00865209">
              <w:rPr>
                <w:b/>
                <w:bCs/>
              </w:rPr>
              <w:t>Environmental impacts</w:t>
            </w:r>
          </w:p>
        </w:tc>
        <w:tc>
          <w:tcPr>
            <w:tcW w:w="1948" w:type="pct"/>
          </w:tcPr>
          <w:p w14:paraId="10BE3431" w14:textId="5CEB623D" w:rsidR="008D4B12" w:rsidRDefault="00A40EC7" w:rsidP="00A40EC7">
            <w:pPr>
              <w:pStyle w:val="Table-Text"/>
            </w:pPr>
            <w:r w:rsidRPr="00D4309F">
              <w:t>Minimal</w:t>
            </w:r>
            <w:r w:rsidRPr="00D4309F">
              <w:rPr>
                <w:spacing w:val="-10"/>
              </w:rPr>
              <w:t xml:space="preserve"> </w:t>
            </w:r>
            <w:r w:rsidRPr="00D4309F">
              <w:t>permanent</w:t>
            </w:r>
            <w:r w:rsidRPr="00D4309F">
              <w:rPr>
                <w:spacing w:val="-10"/>
              </w:rPr>
              <w:t xml:space="preserve"> </w:t>
            </w:r>
            <w:r w:rsidRPr="00D4309F">
              <w:t>footprint</w:t>
            </w:r>
            <w:r w:rsidRPr="00D4309F">
              <w:rPr>
                <w:spacing w:val="-10"/>
              </w:rPr>
              <w:t xml:space="preserve"> </w:t>
            </w:r>
            <w:r w:rsidRPr="00D4309F">
              <w:t>with</w:t>
            </w:r>
            <w:r w:rsidRPr="00D4309F">
              <w:rPr>
                <w:spacing w:val="-11"/>
              </w:rPr>
              <w:t xml:space="preserve"> </w:t>
            </w:r>
            <w:r w:rsidRPr="00D4309F">
              <w:t>low risk of significant impacts on conservation</w:t>
            </w:r>
            <w:r w:rsidRPr="00D4309F">
              <w:rPr>
                <w:spacing w:val="-1"/>
              </w:rPr>
              <w:t xml:space="preserve"> </w:t>
            </w:r>
            <w:r w:rsidRPr="00D4309F">
              <w:t>significant species and communities.</w:t>
            </w:r>
          </w:p>
        </w:tc>
        <w:tc>
          <w:tcPr>
            <w:tcW w:w="1948" w:type="pct"/>
          </w:tcPr>
          <w:p w14:paraId="5BE967F9" w14:textId="4ACEFCE3" w:rsidR="00535EDB" w:rsidRPr="00535EDB" w:rsidRDefault="00535EDB" w:rsidP="00535EDB">
            <w:pPr>
              <w:pStyle w:val="Table-Text"/>
            </w:pPr>
            <w:r w:rsidRPr="00535EDB">
              <w:t>Capital works to install pipeline and pumping</w:t>
            </w:r>
            <w:r>
              <w:t xml:space="preserve"> </w:t>
            </w:r>
            <w:r w:rsidRPr="00535EDB">
              <w:t>station will potentially cause significant impacts</w:t>
            </w:r>
            <w:r>
              <w:t xml:space="preserve"> </w:t>
            </w:r>
            <w:r w:rsidRPr="00535EDB">
              <w:t>to marine and terrestrial species and</w:t>
            </w:r>
            <w:r>
              <w:t xml:space="preserve"> </w:t>
            </w:r>
            <w:r w:rsidRPr="00535EDB">
              <w:t>communities of conservation value.</w:t>
            </w:r>
          </w:p>
          <w:p w14:paraId="6BE4FF4F" w14:textId="097682B7" w:rsidR="008D4B12" w:rsidRDefault="00535EDB" w:rsidP="00535EDB">
            <w:pPr>
              <w:pStyle w:val="Table-Text"/>
            </w:pPr>
            <w:r w:rsidRPr="00535EDB">
              <w:t>Ongoing operations have low risk of significant</w:t>
            </w:r>
            <w:r>
              <w:t xml:space="preserve"> </w:t>
            </w:r>
            <w:r w:rsidRPr="00535EDB">
              <w:t>impacts.</w:t>
            </w:r>
          </w:p>
        </w:tc>
      </w:tr>
      <w:tr w:rsidR="008D4B12" w14:paraId="4CC7A600" w14:textId="77777777" w:rsidTr="00865209">
        <w:tc>
          <w:tcPr>
            <w:tcW w:w="1104" w:type="pct"/>
          </w:tcPr>
          <w:p w14:paraId="03F0F298" w14:textId="22381D0D" w:rsidR="008D4B12" w:rsidRPr="00865209" w:rsidRDefault="008D4B12" w:rsidP="008A3137">
            <w:pPr>
              <w:pStyle w:val="Table-Text"/>
              <w:rPr>
                <w:b/>
                <w:bCs/>
              </w:rPr>
            </w:pPr>
            <w:r w:rsidRPr="00865209">
              <w:rPr>
                <w:b/>
                <w:bCs/>
              </w:rPr>
              <w:t>Social</w:t>
            </w:r>
            <w:r w:rsidRPr="00865209">
              <w:rPr>
                <w:b/>
                <w:bCs/>
                <w:spacing w:val="-5"/>
              </w:rPr>
              <w:t xml:space="preserve"> </w:t>
            </w:r>
            <w:r w:rsidRPr="00865209">
              <w:rPr>
                <w:b/>
                <w:bCs/>
              </w:rPr>
              <w:t>impact</w:t>
            </w:r>
          </w:p>
        </w:tc>
        <w:tc>
          <w:tcPr>
            <w:tcW w:w="1948" w:type="pct"/>
          </w:tcPr>
          <w:p w14:paraId="4D977434" w14:textId="535AD506" w:rsidR="008D4B12" w:rsidRDefault="007D79CA" w:rsidP="00535EDB">
            <w:pPr>
              <w:pStyle w:val="Table-Text"/>
            </w:pPr>
            <w:r w:rsidRPr="00D4309F">
              <w:t>Low visual impact but consideration needed</w:t>
            </w:r>
            <w:r w:rsidRPr="00D4309F">
              <w:rPr>
                <w:spacing w:val="-13"/>
              </w:rPr>
              <w:t xml:space="preserve"> </w:t>
            </w:r>
            <w:r w:rsidRPr="00D4309F">
              <w:t>around</w:t>
            </w:r>
            <w:r w:rsidRPr="00D4309F">
              <w:rPr>
                <w:spacing w:val="-12"/>
              </w:rPr>
              <w:t xml:space="preserve"> </w:t>
            </w:r>
            <w:r w:rsidRPr="00D4309F">
              <w:t>environment</w:t>
            </w:r>
            <w:r w:rsidRPr="00D4309F">
              <w:rPr>
                <w:spacing w:val="-13"/>
              </w:rPr>
              <w:t xml:space="preserve"> </w:t>
            </w:r>
            <w:r w:rsidRPr="00D4309F">
              <w:t>including potential turtle impacts.</w:t>
            </w:r>
          </w:p>
        </w:tc>
        <w:tc>
          <w:tcPr>
            <w:tcW w:w="1948" w:type="pct"/>
          </w:tcPr>
          <w:p w14:paraId="4651D791" w14:textId="6EC4F981" w:rsidR="008D4B12" w:rsidRDefault="00535EDB" w:rsidP="008A3137">
            <w:pPr>
              <w:pStyle w:val="Table-Text"/>
            </w:pPr>
            <w:r w:rsidRPr="00D4309F">
              <w:rPr>
                <w:color w:val="211E1F"/>
              </w:rPr>
              <w:t>Increased visual impact with consideration needed</w:t>
            </w:r>
            <w:r w:rsidRPr="00D4309F">
              <w:rPr>
                <w:color w:val="211E1F"/>
                <w:spacing w:val="-10"/>
              </w:rPr>
              <w:t xml:space="preserve"> </w:t>
            </w:r>
            <w:r w:rsidRPr="00D4309F">
              <w:rPr>
                <w:color w:val="211E1F"/>
              </w:rPr>
              <w:t>around</w:t>
            </w:r>
            <w:r w:rsidRPr="00D4309F">
              <w:rPr>
                <w:color w:val="211E1F"/>
                <w:spacing w:val="-9"/>
              </w:rPr>
              <w:t xml:space="preserve"> </w:t>
            </w:r>
            <w:r w:rsidRPr="00D4309F">
              <w:rPr>
                <w:color w:val="211E1F"/>
              </w:rPr>
              <w:t>environment,</w:t>
            </w:r>
            <w:r w:rsidRPr="00D4309F">
              <w:rPr>
                <w:color w:val="211E1F"/>
                <w:spacing w:val="-9"/>
              </w:rPr>
              <w:t xml:space="preserve"> </w:t>
            </w:r>
            <w:r w:rsidRPr="00D4309F">
              <w:rPr>
                <w:color w:val="211E1F"/>
              </w:rPr>
              <w:t>potential</w:t>
            </w:r>
            <w:r w:rsidRPr="00D4309F">
              <w:rPr>
                <w:color w:val="211E1F"/>
                <w:spacing w:val="-9"/>
              </w:rPr>
              <w:t xml:space="preserve"> </w:t>
            </w:r>
            <w:r w:rsidRPr="00D4309F">
              <w:rPr>
                <w:color w:val="211E1F"/>
              </w:rPr>
              <w:t>turtle impacts,</w:t>
            </w:r>
            <w:r w:rsidRPr="00D4309F">
              <w:rPr>
                <w:color w:val="211E1F"/>
                <w:spacing w:val="-3"/>
              </w:rPr>
              <w:t xml:space="preserve"> </w:t>
            </w:r>
            <w:r w:rsidRPr="00D4309F">
              <w:rPr>
                <w:color w:val="211E1F"/>
              </w:rPr>
              <w:t>Buddina</w:t>
            </w:r>
            <w:r w:rsidRPr="00D4309F">
              <w:rPr>
                <w:color w:val="211E1F"/>
                <w:spacing w:val="-4"/>
              </w:rPr>
              <w:t xml:space="preserve"> </w:t>
            </w:r>
            <w:r w:rsidRPr="00D4309F">
              <w:rPr>
                <w:color w:val="211E1F"/>
              </w:rPr>
              <w:t>Beach</w:t>
            </w:r>
            <w:r w:rsidRPr="00D4309F">
              <w:rPr>
                <w:color w:val="211E1F"/>
                <w:spacing w:val="-4"/>
              </w:rPr>
              <w:t xml:space="preserve"> </w:t>
            </w:r>
            <w:r w:rsidRPr="00D4309F">
              <w:rPr>
                <w:color w:val="211E1F"/>
              </w:rPr>
              <w:t>impacts</w:t>
            </w:r>
            <w:r w:rsidRPr="00D4309F">
              <w:rPr>
                <w:color w:val="211E1F"/>
                <w:spacing w:val="-3"/>
              </w:rPr>
              <w:t xml:space="preserve"> </w:t>
            </w:r>
            <w:r w:rsidRPr="00D4309F">
              <w:rPr>
                <w:color w:val="211E1F"/>
              </w:rPr>
              <w:t>and</w:t>
            </w:r>
            <w:r w:rsidRPr="00D4309F">
              <w:rPr>
                <w:color w:val="211E1F"/>
                <w:spacing w:val="-4"/>
              </w:rPr>
              <w:t xml:space="preserve"> </w:t>
            </w:r>
            <w:r w:rsidRPr="00D4309F">
              <w:rPr>
                <w:color w:val="211E1F"/>
              </w:rPr>
              <w:t>pump resilience and operations</w:t>
            </w:r>
            <w:r>
              <w:rPr>
                <w:color w:val="211E1F"/>
              </w:rPr>
              <w:t>.</w:t>
            </w:r>
          </w:p>
        </w:tc>
      </w:tr>
      <w:tr w:rsidR="00535EDB" w14:paraId="40C344A9" w14:textId="77777777" w:rsidTr="00865209">
        <w:tc>
          <w:tcPr>
            <w:tcW w:w="1104" w:type="pct"/>
          </w:tcPr>
          <w:p w14:paraId="415EE7E6" w14:textId="3700064A" w:rsidR="00535EDB" w:rsidRPr="00865209" w:rsidRDefault="008B16AE" w:rsidP="008B16AE">
            <w:pPr>
              <w:pStyle w:val="Table-Text"/>
              <w:rPr>
                <w:b/>
                <w:bCs/>
              </w:rPr>
            </w:pPr>
            <w:r w:rsidRPr="00865209">
              <w:rPr>
                <w:b/>
                <w:bCs/>
              </w:rPr>
              <w:t>Cost profile</w:t>
            </w:r>
          </w:p>
        </w:tc>
        <w:tc>
          <w:tcPr>
            <w:tcW w:w="1948" w:type="pct"/>
          </w:tcPr>
          <w:p w14:paraId="70F3283C" w14:textId="703E95EF" w:rsidR="00535EDB" w:rsidRPr="00D4309F" w:rsidRDefault="008B16AE" w:rsidP="00535EDB">
            <w:pPr>
              <w:pStyle w:val="Table-Text"/>
            </w:pPr>
            <w:r w:rsidRPr="00D4309F">
              <w:rPr>
                <w:color w:val="211E1F"/>
              </w:rPr>
              <w:t>Lower</w:t>
            </w:r>
            <w:r w:rsidRPr="00D4309F">
              <w:rPr>
                <w:color w:val="211E1F"/>
                <w:spacing w:val="-10"/>
              </w:rPr>
              <w:t xml:space="preserve"> </w:t>
            </w:r>
            <w:r w:rsidRPr="00D4309F">
              <w:rPr>
                <w:color w:val="211E1F"/>
              </w:rPr>
              <w:t>CAPEX;</w:t>
            </w:r>
            <w:r w:rsidRPr="00D4309F">
              <w:rPr>
                <w:color w:val="211E1F"/>
                <w:spacing w:val="-10"/>
              </w:rPr>
              <w:t xml:space="preserve"> </w:t>
            </w:r>
            <w:r w:rsidRPr="00D4309F">
              <w:rPr>
                <w:color w:val="211E1F"/>
              </w:rPr>
              <w:t>recurring</w:t>
            </w:r>
            <w:r w:rsidRPr="00D4309F">
              <w:rPr>
                <w:color w:val="211E1F"/>
                <w:spacing w:val="-10"/>
              </w:rPr>
              <w:t xml:space="preserve"> </w:t>
            </w:r>
            <w:r w:rsidRPr="00D4309F">
              <w:rPr>
                <w:color w:val="211E1F"/>
              </w:rPr>
              <w:t>OPEX</w:t>
            </w:r>
            <w:r w:rsidRPr="00D4309F">
              <w:rPr>
                <w:color w:val="211E1F"/>
                <w:spacing w:val="-10"/>
              </w:rPr>
              <w:t xml:space="preserve"> </w:t>
            </w:r>
            <w:r w:rsidRPr="00D4309F">
              <w:rPr>
                <w:color w:val="211E1F"/>
              </w:rPr>
              <w:t xml:space="preserve">for </w:t>
            </w:r>
            <w:r w:rsidRPr="00D4309F">
              <w:rPr>
                <w:color w:val="211E1F"/>
                <w:spacing w:val="-2"/>
              </w:rPr>
              <w:t>dredging.</w:t>
            </w:r>
          </w:p>
        </w:tc>
        <w:tc>
          <w:tcPr>
            <w:tcW w:w="1948" w:type="pct"/>
          </w:tcPr>
          <w:p w14:paraId="3B5B8327" w14:textId="06F6FA6E" w:rsidR="00535EDB" w:rsidRPr="00D4309F" w:rsidRDefault="00A36CE2" w:rsidP="008A3137">
            <w:pPr>
              <w:pStyle w:val="Table-Text"/>
              <w:rPr>
                <w:color w:val="211E1F"/>
              </w:rPr>
            </w:pPr>
            <w:r w:rsidRPr="00D4309F">
              <w:rPr>
                <w:color w:val="211E1F"/>
              </w:rPr>
              <w:t>High</w:t>
            </w:r>
            <w:r w:rsidRPr="00D4309F">
              <w:rPr>
                <w:color w:val="211E1F"/>
                <w:spacing w:val="-8"/>
              </w:rPr>
              <w:t xml:space="preserve"> </w:t>
            </w:r>
            <w:r w:rsidRPr="00D4309F">
              <w:rPr>
                <w:color w:val="211E1F"/>
              </w:rPr>
              <w:t>CAPEX;</w:t>
            </w:r>
            <w:r w:rsidRPr="00D4309F">
              <w:rPr>
                <w:color w:val="211E1F"/>
                <w:spacing w:val="-7"/>
              </w:rPr>
              <w:t xml:space="preserve"> </w:t>
            </w:r>
            <w:r w:rsidRPr="00D4309F">
              <w:rPr>
                <w:color w:val="211E1F"/>
              </w:rPr>
              <w:t>moderate</w:t>
            </w:r>
            <w:r w:rsidRPr="00D4309F">
              <w:rPr>
                <w:color w:val="211E1F"/>
                <w:spacing w:val="-8"/>
              </w:rPr>
              <w:t xml:space="preserve"> </w:t>
            </w:r>
            <w:r w:rsidRPr="00D4309F">
              <w:rPr>
                <w:color w:val="211E1F"/>
              </w:rPr>
              <w:t>OPEX</w:t>
            </w:r>
            <w:r w:rsidRPr="00D4309F">
              <w:rPr>
                <w:color w:val="211E1F"/>
                <w:spacing w:val="-7"/>
              </w:rPr>
              <w:t xml:space="preserve"> </w:t>
            </w:r>
            <w:r w:rsidRPr="00D4309F">
              <w:rPr>
                <w:color w:val="211E1F"/>
              </w:rPr>
              <w:t>with</w:t>
            </w:r>
            <w:r w:rsidRPr="00D4309F">
              <w:rPr>
                <w:color w:val="211E1F"/>
                <w:spacing w:val="-8"/>
              </w:rPr>
              <w:t xml:space="preserve"> </w:t>
            </w:r>
            <w:r w:rsidRPr="00D4309F">
              <w:rPr>
                <w:color w:val="211E1F"/>
              </w:rPr>
              <w:t xml:space="preserve">ongoing </w:t>
            </w:r>
            <w:r w:rsidRPr="00D4309F">
              <w:rPr>
                <w:color w:val="211E1F"/>
                <w:spacing w:val="-2"/>
              </w:rPr>
              <w:t>maintenance.</w:t>
            </w:r>
          </w:p>
        </w:tc>
      </w:tr>
      <w:tr w:rsidR="00535EDB" w14:paraId="3EEF9B1B" w14:textId="77777777" w:rsidTr="00865209">
        <w:tc>
          <w:tcPr>
            <w:tcW w:w="1104" w:type="pct"/>
          </w:tcPr>
          <w:p w14:paraId="62F1EBED" w14:textId="24EA833E" w:rsidR="00535EDB" w:rsidRPr="00865209" w:rsidRDefault="008B16AE" w:rsidP="008B16AE">
            <w:pPr>
              <w:pStyle w:val="Table-Text"/>
              <w:rPr>
                <w:b/>
                <w:bCs/>
              </w:rPr>
            </w:pPr>
            <w:r w:rsidRPr="00865209">
              <w:rPr>
                <w:b/>
                <w:bCs/>
              </w:rPr>
              <w:t>Technical</w:t>
            </w:r>
            <w:r w:rsidRPr="00865209">
              <w:rPr>
                <w:b/>
                <w:bCs/>
                <w:spacing w:val="-4"/>
              </w:rPr>
              <w:t xml:space="preserve"> </w:t>
            </w:r>
            <w:r w:rsidRPr="00865209">
              <w:rPr>
                <w:b/>
                <w:bCs/>
                <w:spacing w:val="-2"/>
              </w:rPr>
              <w:t>feasibility</w:t>
            </w:r>
          </w:p>
        </w:tc>
        <w:tc>
          <w:tcPr>
            <w:tcW w:w="1948" w:type="pct"/>
          </w:tcPr>
          <w:p w14:paraId="75F4DB48" w14:textId="36BBB200" w:rsidR="00535EDB" w:rsidRPr="00D4309F" w:rsidRDefault="002222C1" w:rsidP="00535EDB">
            <w:pPr>
              <w:pStyle w:val="Table-Text"/>
            </w:pPr>
            <w:r w:rsidRPr="00D4309F">
              <w:rPr>
                <w:color w:val="211E1F"/>
              </w:rPr>
              <w:t>High</w:t>
            </w:r>
            <w:r w:rsidRPr="00D4309F">
              <w:rPr>
                <w:color w:val="211E1F"/>
                <w:spacing w:val="-2"/>
              </w:rPr>
              <w:t xml:space="preserve"> </w:t>
            </w:r>
            <w:r w:rsidRPr="00D4309F">
              <w:rPr>
                <w:color w:val="211E1F"/>
              </w:rPr>
              <w:t>–</w:t>
            </w:r>
            <w:r w:rsidRPr="00D4309F">
              <w:rPr>
                <w:color w:val="211E1F"/>
                <w:spacing w:val="-3"/>
              </w:rPr>
              <w:t xml:space="preserve"> </w:t>
            </w:r>
            <w:r w:rsidRPr="00D4309F">
              <w:rPr>
                <w:color w:val="211E1F"/>
              </w:rPr>
              <w:t>proven,</w:t>
            </w:r>
            <w:r w:rsidRPr="00D4309F">
              <w:rPr>
                <w:color w:val="211E1F"/>
                <w:spacing w:val="-3"/>
              </w:rPr>
              <w:t xml:space="preserve"> </w:t>
            </w:r>
            <w:r w:rsidRPr="00D4309F">
              <w:rPr>
                <w:color w:val="211E1F"/>
              </w:rPr>
              <w:t>low-risk</w:t>
            </w:r>
            <w:r w:rsidRPr="00D4309F">
              <w:rPr>
                <w:color w:val="211E1F"/>
                <w:spacing w:val="-2"/>
              </w:rPr>
              <w:t xml:space="preserve"> dredging</w:t>
            </w:r>
            <w:r>
              <w:rPr>
                <w:color w:val="211E1F"/>
                <w:spacing w:val="-2"/>
              </w:rPr>
              <w:t xml:space="preserve"> method.</w:t>
            </w:r>
          </w:p>
        </w:tc>
        <w:tc>
          <w:tcPr>
            <w:tcW w:w="1948" w:type="pct"/>
          </w:tcPr>
          <w:p w14:paraId="4D8D407B" w14:textId="61E0AEEB" w:rsidR="00535EDB" w:rsidRPr="00D4309F" w:rsidRDefault="00A36CE2" w:rsidP="008A3137">
            <w:pPr>
              <w:pStyle w:val="Table-Text"/>
              <w:rPr>
                <w:color w:val="211E1F"/>
              </w:rPr>
            </w:pPr>
            <w:r w:rsidRPr="00D4309F">
              <w:rPr>
                <w:color w:val="211E1F"/>
              </w:rPr>
              <w:t>Moderate–high</w:t>
            </w:r>
            <w:r w:rsidRPr="00D4309F">
              <w:rPr>
                <w:color w:val="211E1F"/>
                <w:spacing w:val="-3"/>
              </w:rPr>
              <w:t xml:space="preserve"> </w:t>
            </w:r>
            <w:r w:rsidRPr="00D4309F">
              <w:rPr>
                <w:color w:val="211E1F"/>
              </w:rPr>
              <w:t>–</w:t>
            </w:r>
            <w:r w:rsidRPr="00D4309F">
              <w:rPr>
                <w:color w:val="211E1F"/>
                <w:spacing w:val="-4"/>
              </w:rPr>
              <w:t xml:space="preserve"> </w:t>
            </w:r>
            <w:r w:rsidRPr="00D4309F">
              <w:rPr>
                <w:color w:val="211E1F"/>
              </w:rPr>
              <w:t>proven</w:t>
            </w:r>
            <w:r w:rsidRPr="00D4309F">
              <w:rPr>
                <w:color w:val="211E1F"/>
                <w:spacing w:val="-4"/>
              </w:rPr>
              <w:t xml:space="preserve"> </w:t>
            </w:r>
            <w:r w:rsidRPr="00D4309F">
              <w:rPr>
                <w:color w:val="211E1F"/>
              </w:rPr>
              <w:t>technology</w:t>
            </w:r>
            <w:r w:rsidRPr="00D4309F">
              <w:rPr>
                <w:color w:val="211E1F"/>
                <w:spacing w:val="-3"/>
              </w:rPr>
              <w:t xml:space="preserve"> </w:t>
            </w:r>
            <w:r w:rsidRPr="00D4309F">
              <w:rPr>
                <w:color w:val="211E1F"/>
                <w:spacing w:val="-5"/>
              </w:rPr>
              <w:t>but</w:t>
            </w:r>
            <w:r w:rsidRPr="00D4309F">
              <w:rPr>
                <w:color w:val="211E1F"/>
              </w:rPr>
              <w:t xml:space="preserve"> requires</w:t>
            </w:r>
            <w:r w:rsidRPr="00D4309F">
              <w:rPr>
                <w:color w:val="211E1F"/>
                <w:spacing w:val="-9"/>
              </w:rPr>
              <w:t xml:space="preserve"> </w:t>
            </w:r>
            <w:r w:rsidRPr="00D4309F">
              <w:rPr>
                <w:color w:val="211E1F"/>
              </w:rPr>
              <w:t>careful</w:t>
            </w:r>
            <w:r w:rsidRPr="00D4309F">
              <w:rPr>
                <w:color w:val="211E1F"/>
                <w:spacing w:val="-9"/>
              </w:rPr>
              <w:t xml:space="preserve"> </w:t>
            </w:r>
            <w:r w:rsidRPr="00D4309F">
              <w:rPr>
                <w:color w:val="211E1F"/>
              </w:rPr>
              <w:t>design</w:t>
            </w:r>
            <w:r w:rsidRPr="00D4309F">
              <w:rPr>
                <w:color w:val="211E1F"/>
                <w:spacing w:val="-10"/>
              </w:rPr>
              <w:t xml:space="preserve"> </w:t>
            </w:r>
            <w:r w:rsidRPr="00D4309F">
              <w:rPr>
                <w:color w:val="211E1F"/>
              </w:rPr>
              <w:t>and</w:t>
            </w:r>
            <w:r w:rsidRPr="00D4309F">
              <w:rPr>
                <w:color w:val="211E1F"/>
                <w:spacing w:val="-10"/>
              </w:rPr>
              <w:t xml:space="preserve"> </w:t>
            </w:r>
            <w:r w:rsidRPr="00D4309F">
              <w:rPr>
                <w:color w:val="211E1F"/>
              </w:rPr>
              <w:t xml:space="preserve">reliable </w:t>
            </w:r>
            <w:r w:rsidRPr="00D4309F">
              <w:rPr>
                <w:color w:val="211E1F"/>
                <w:spacing w:val="-2"/>
              </w:rPr>
              <w:t>maintenance.</w:t>
            </w:r>
          </w:p>
        </w:tc>
      </w:tr>
      <w:tr w:rsidR="00535EDB" w14:paraId="5EE73F67" w14:textId="77777777" w:rsidTr="00865209">
        <w:tc>
          <w:tcPr>
            <w:tcW w:w="1104" w:type="pct"/>
          </w:tcPr>
          <w:p w14:paraId="3161519C" w14:textId="7416F67F" w:rsidR="00535EDB" w:rsidRPr="00865209" w:rsidRDefault="008B16AE" w:rsidP="008B16AE">
            <w:pPr>
              <w:pStyle w:val="Table-Text"/>
              <w:rPr>
                <w:b/>
                <w:bCs/>
              </w:rPr>
            </w:pPr>
            <w:r w:rsidRPr="00865209">
              <w:rPr>
                <w:b/>
                <w:bCs/>
                <w:spacing w:val="-2"/>
              </w:rPr>
              <w:t>Advantages</w:t>
            </w:r>
          </w:p>
        </w:tc>
        <w:tc>
          <w:tcPr>
            <w:tcW w:w="1948" w:type="pct"/>
          </w:tcPr>
          <w:p w14:paraId="7D8491DA" w14:textId="45957774" w:rsidR="00535EDB" w:rsidRPr="00D4309F" w:rsidRDefault="00A36CE2" w:rsidP="00535EDB">
            <w:pPr>
              <w:pStyle w:val="Table-Text"/>
            </w:pPr>
            <w:r w:rsidRPr="00D4309F">
              <w:rPr>
                <w:color w:val="211E1F"/>
              </w:rPr>
              <w:t>Simple,</w:t>
            </w:r>
            <w:r w:rsidRPr="00D4309F">
              <w:rPr>
                <w:color w:val="211E1F"/>
                <w:spacing w:val="-13"/>
              </w:rPr>
              <w:t xml:space="preserve"> </w:t>
            </w:r>
            <w:r w:rsidRPr="00D4309F">
              <w:rPr>
                <w:color w:val="211E1F"/>
              </w:rPr>
              <w:t>low-risk,</w:t>
            </w:r>
            <w:r w:rsidRPr="00D4309F">
              <w:rPr>
                <w:color w:val="211E1F"/>
                <w:spacing w:val="-12"/>
              </w:rPr>
              <w:t xml:space="preserve"> </w:t>
            </w:r>
            <w:r w:rsidRPr="00D4309F">
              <w:rPr>
                <w:color w:val="211E1F"/>
              </w:rPr>
              <w:t>environmentally</w:t>
            </w:r>
            <w:r w:rsidRPr="00D4309F">
              <w:rPr>
                <w:color w:val="211E1F"/>
                <w:spacing w:val="-13"/>
              </w:rPr>
              <w:t xml:space="preserve"> </w:t>
            </w:r>
            <w:r w:rsidRPr="00D4309F">
              <w:rPr>
                <w:color w:val="211E1F"/>
              </w:rPr>
              <w:t>soft; beneficial sand reuse.</w:t>
            </w:r>
          </w:p>
        </w:tc>
        <w:tc>
          <w:tcPr>
            <w:tcW w:w="1948" w:type="pct"/>
          </w:tcPr>
          <w:p w14:paraId="61DC63A3" w14:textId="2FD12E1F" w:rsidR="00535EDB" w:rsidRPr="00D4309F" w:rsidRDefault="00A36CE2" w:rsidP="008A3137">
            <w:pPr>
              <w:pStyle w:val="Table-Text"/>
              <w:rPr>
                <w:color w:val="211E1F"/>
              </w:rPr>
            </w:pPr>
            <w:r w:rsidRPr="00D4309F">
              <w:rPr>
                <w:color w:val="211E1F"/>
              </w:rPr>
              <w:t>Controlled</w:t>
            </w:r>
            <w:r w:rsidRPr="00D4309F">
              <w:rPr>
                <w:color w:val="211E1F"/>
                <w:spacing w:val="-4"/>
              </w:rPr>
              <w:t xml:space="preserve"> </w:t>
            </w:r>
            <w:r w:rsidRPr="00D4309F">
              <w:rPr>
                <w:color w:val="211E1F"/>
              </w:rPr>
              <w:t>sand</w:t>
            </w:r>
            <w:r w:rsidRPr="00D4309F">
              <w:rPr>
                <w:color w:val="211E1F"/>
                <w:spacing w:val="-3"/>
              </w:rPr>
              <w:t xml:space="preserve"> </w:t>
            </w:r>
            <w:r w:rsidRPr="00D4309F">
              <w:rPr>
                <w:color w:val="211E1F"/>
              </w:rPr>
              <w:t>placement</w:t>
            </w:r>
            <w:r w:rsidRPr="00D4309F">
              <w:rPr>
                <w:color w:val="211E1F"/>
                <w:spacing w:val="-2"/>
              </w:rPr>
              <w:t xml:space="preserve"> </w:t>
            </w:r>
            <w:r w:rsidRPr="00D4309F">
              <w:rPr>
                <w:color w:val="211E1F"/>
              </w:rPr>
              <w:t>in</w:t>
            </w:r>
            <w:r w:rsidRPr="00D4309F">
              <w:rPr>
                <w:color w:val="211E1F"/>
                <w:spacing w:val="-3"/>
              </w:rPr>
              <w:t xml:space="preserve"> </w:t>
            </w:r>
            <w:r w:rsidRPr="00D4309F">
              <w:rPr>
                <w:color w:val="211E1F"/>
              </w:rPr>
              <w:t>Area</w:t>
            </w:r>
            <w:r w:rsidRPr="00D4309F">
              <w:rPr>
                <w:color w:val="211E1F"/>
                <w:spacing w:val="-3"/>
              </w:rPr>
              <w:t xml:space="preserve"> </w:t>
            </w:r>
            <w:r w:rsidRPr="00D4309F">
              <w:rPr>
                <w:color w:val="211E1F"/>
              </w:rPr>
              <w:t>B,</w:t>
            </w:r>
            <w:r w:rsidRPr="00D4309F">
              <w:rPr>
                <w:color w:val="211E1F"/>
                <w:spacing w:val="-2"/>
              </w:rPr>
              <w:t xml:space="preserve"> quicker</w:t>
            </w:r>
            <w:r>
              <w:rPr>
                <w:color w:val="211E1F"/>
                <w:spacing w:val="-2"/>
              </w:rPr>
              <w:t xml:space="preserve"> </w:t>
            </w:r>
            <w:r w:rsidRPr="00A36CE2">
              <w:rPr>
                <w:color w:val="211E1F"/>
                <w:spacing w:val="-2"/>
              </w:rPr>
              <w:t>sand transfer; supports future permanent bypass system, compatible with existing dredge (Hall’s CSD)</w:t>
            </w:r>
            <w:r>
              <w:rPr>
                <w:color w:val="211E1F"/>
                <w:spacing w:val="-2"/>
              </w:rPr>
              <w:t>.</w:t>
            </w:r>
          </w:p>
        </w:tc>
      </w:tr>
      <w:tr w:rsidR="008B16AE" w14:paraId="55BD83F8" w14:textId="77777777" w:rsidTr="00865209">
        <w:tc>
          <w:tcPr>
            <w:tcW w:w="1104" w:type="pct"/>
          </w:tcPr>
          <w:p w14:paraId="186066D6" w14:textId="627CAA4B" w:rsidR="008B16AE" w:rsidRPr="00865209" w:rsidRDefault="008B16AE" w:rsidP="008B16AE">
            <w:pPr>
              <w:pStyle w:val="Table-Text"/>
              <w:rPr>
                <w:b/>
                <w:bCs/>
                <w:spacing w:val="-2"/>
              </w:rPr>
            </w:pPr>
            <w:r w:rsidRPr="00865209">
              <w:rPr>
                <w:b/>
                <w:bCs/>
                <w:spacing w:val="-2"/>
              </w:rPr>
              <w:t>Disadvantages</w:t>
            </w:r>
          </w:p>
        </w:tc>
        <w:tc>
          <w:tcPr>
            <w:tcW w:w="1948" w:type="pct"/>
          </w:tcPr>
          <w:p w14:paraId="4555D89D" w14:textId="23A7784B" w:rsidR="008B16AE" w:rsidRPr="00D4309F" w:rsidRDefault="00A36CE2" w:rsidP="00535EDB">
            <w:pPr>
              <w:pStyle w:val="Table-Text"/>
            </w:pPr>
            <w:r w:rsidRPr="00D4309F">
              <w:rPr>
                <w:color w:val="211E1F"/>
              </w:rPr>
              <w:t>Ongoing</w:t>
            </w:r>
            <w:r w:rsidRPr="00D4309F">
              <w:rPr>
                <w:color w:val="211E1F"/>
                <w:spacing w:val="-6"/>
              </w:rPr>
              <w:t xml:space="preserve"> </w:t>
            </w:r>
            <w:r w:rsidRPr="00D4309F">
              <w:rPr>
                <w:color w:val="211E1F"/>
              </w:rPr>
              <w:t>dredging;</w:t>
            </w:r>
            <w:r w:rsidRPr="00D4309F">
              <w:rPr>
                <w:color w:val="211E1F"/>
                <w:spacing w:val="-4"/>
              </w:rPr>
              <w:t xml:space="preserve"> </w:t>
            </w:r>
            <w:r w:rsidRPr="00D4309F">
              <w:rPr>
                <w:color w:val="211E1F"/>
                <w:spacing w:val="-2"/>
              </w:rPr>
              <w:t>weather-</w:t>
            </w:r>
            <w:r w:rsidR="001F42BF" w:rsidRPr="00D4309F">
              <w:rPr>
                <w:color w:val="211E1F"/>
              </w:rPr>
              <w:t xml:space="preserve"> dependent;</w:t>
            </w:r>
            <w:r w:rsidR="001F42BF" w:rsidRPr="00D4309F">
              <w:rPr>
                <w:color w:val="211E1F"/>
                <w:spacing w:val="-13"/>
              </w:rPr>
              <w:t xml:space="preserve"> </w:t>
            </w:r>
            <w:r w:rsidR="001F42BF" w:rsidRPr="00D4309F">
              <w:rPr>
                <w:color w:val="211E1F"/>
              </w:rPr>
              <w:t>partial</w:t>
            </w:r>
            <w:r w:rsidR="001F42BF" w:rsidRPr="00D4309F">
              <w:rPr>
                <w:color w:val="211E1F"/>
                <w:spacing w:val="-12"/>
              </w:rPr>
              <w:t xml:space="preserve"> </w:t>
            </w:r>
            <w:r w:rsidR="001F42BF" w:rsidRPr="00D4309F">
              <w:rPr>
                <w:color w:val="211E1F"/>
              </w:rPr>
              <w:t>reduction</w:t>
            </w:r>
            <w:r w:rsidR="001F42BF" w:rsidRPr="00D4309F">
              <w:rPr>
                <w:color w:val="211E1F"/>
                <w:spacing w:val="-13"/>
              </w:rPr>
              <w:t xml:space="preserve"> </w:t>
            </w:r>
            <w:r w:rsidR="001F42BF" w:rsidRPr="00D4309F">
              <w:rPr>
                <w:color w:val="211E1F"/>
              </w:rPr>
              <w:t>of shoaling only.</w:t>
            </w:r>
          </w:p>
        </w:tc>
        <w:tc>
          <w:tcPr>
            <w:tcW w:w="1948" w:type="pct"/>
          </w:tcPr>
          <w:p w14:paraId="0963D3B5" w14:textId="7A6EBA40" w:rsidR="008B16AE" w:rsidRPr="00D4309F" w:rsidRDefault="00E9760A" w:rsidP="008A3137">
            <w:pPr>
              <w:pStyle w:val="Table-Text"/>
              <w:rPr>
                <w:color w:val="211E1F"/>
              </w:rPr>
            </w:pPr>
            <w:r w:rsidRPr="00D4309F">
              <w:rPr>
                <w:color w:val="211E1F"/>
              </w:rPr>
              <w:t>Additional</w:t>
            </w:r>
            <w:r w:rsidRPr="00D4309F">
              <w:rPr>
                <w:color w:val="211E1F"/>
                <w:spacing w:val="-4"/>
              </w:rPr>
              <w:t xml:space="preserve"> </w:t>
            </w:r>
            <w:r w:rsidRPr="00D4309F">
              <w:rPr>
                <w:color w:val="211E1F"/>
              </w:rPr>
              <w:t>high</w:t>
            </w:r>
            <w:r w:rsidRPr="00D4309F">
              <w:rPr>
                <w:color w:val="211E1F"/>
                <w:spacing w:val="-2"/>
              </w:rPr>
              <w:t xml:space="preserve"> </w:t>
            </w:r>
            <w:r w:rsidRPr="00D4309F">
              <w:rPr>
                <w:color w:val="211E1F"/>
              </w:rPr>
              <w:t>capital</w:t>
            </w:r>
            <w:r w:rsidRPr="00D4309F">
              <w:rPr>
                <w:color w:val="211E1F"/>
                <w:spacing w:val="-3"/>
              </w:rPr>
              <w:t xml:space="preserve"> </w:t>
            </w:r>
            <w:r w:rsidRPr="00D4309F">
              <w:rPr>
                <w:color w:val="211E1F"/>
              </w:rPr>
              <w:t>cost;</w:t>
            </w:r>
            <w:r w:rsidRPr="00D4309F">
              <w:rPr>
                <w:color w:val="211E1F"/>
                <w:spacing w:val="-3"/>
              </w:rPr>
              <w:t xml:space="preserve"> </w:t>
            </w:r>
            <w:r w:rsidRPr="00D4309F">
              <w:rPr>
                <w:color w:val="211E1F"/>
                <w:spacing w:val="-2"/>
              </w:rPr>
              <w:t>vegetation</w:t>
            </w:r>
            <w:r w:rsidRPr="00D4309F">
              <w:rPr>
                <w:color w:val="211E1F"/>
              </w:rPr>
              <w:t xml:space="preserve"> disturbance;</w:t>
            </w:r>
            <w:r w:rsidRPr="00D4309F">
              <w:rPr>
                <w:color w:val="211E1F"/>
                <w:spacing w:val="-6"/>
              </w:rPr>
              <w:t xml:space="preserve"> </w:t>
            </w:r>
            <w:r w:rsidRPr="00D4309F">
              <w:rPr>
                <w:color w:val="211E1F"/>
              </w:rPr>
              <w:t>maintenance</w:t>
            </w:r>
            <w:r w:rsidRPr="00D4309F">
              <w:rPr>
                <w:color w:val="211E1F"/>
                <w:spacing w:val="-5"/>
              </w:rPr>
              <w:t xml:space="preserve"> </w:t>
            </w:r>
            <w:r w:rsidRPr="00D4309F">
              <w:rPr>
                <w:color w:val="211E1F"/>
                <w:spacing w:val="-2"/>
              </w:rPr>
              <w:t>burden.</w:t>
            </w:r>
          </w:p>
        </w:tc>
      </w:tr>
      <w:tr w:rsidR="008B16AE" w14:paraId="02E962F0" w14:textId="77777777" w:rsidTr="00865209">
        <w:tc>
          <w:tcPr>
            <w:tcW w:w="1104" w:type="pct"/>
          </w:tcPr>
          <w:p w14:paraId="519CE149" w14:textId="2E1A523E" w:rsidR="008B16AE" w:rsidRPr="00865209" w:rsidRDefault="008B16AE" w:rsidP="008B16AE">
            <w:pPr>
              <w:pStyle w:val="Table-Text"/>
              <w:rPr>
                <w:b/>
                <w:bCs/>
                <w:spacing w:val="-2"/>
              </w:rPr>
            </w:pPr>
            <w:r w:rsidRPr="00865209">
              <w:rPr>
                <w:b/>
                <w:bCs/>
              </w:rPr>
              <w:lastRenderedPageBreak/>
              <w:t>Overall</w:t>
            </w:r>
            <w:r w:rsidRPr="00865209">
              <w:rPr>
                <w:b/>
                <w:bCs/>
                <w:spacing w:val="-3"/>
              </w:rPr>
              <w:t xml:space="preserve"> </w:t>
            </w:r>
            <w:r w:rsidRPr="00865209">
              <w:rPr>
                <w:b/>
                <w:bCs/>
                <w:spacing w:val="-2"/>
              </w:rPr>
              <w:t>assessment</w:t>
            </w:r>
          </w:p>
        </w:tc>
        <w:tc>
          <w:tcPr>
            <w:tcW w:w="1948" w:type="pct"/>
          </w:tcPr>
          <w:p w14:paraId="0A7BA0D6" w14:textId="7C7FF00A" w:rsidR="008B16AE" w:rsidRPr="00D4309F" w:rsidRDefault="001F42BF" w:rsidP="00535EDB">
            <w:pPr>
              <w:pStyle w:val="Table-Text"/>
            </w:pPr>
            <w:r w:rsidRPr="00D4309F">
              <w:rPr>
                <w:color w:val="211E1F"/>
              </w:rPr>
              <w:t>Low-risk,</w:t>
            </w:r>
            <w:r w:rsidRPr="00D4309F">
              <w:rPr>
                <w:color w:val="211E1F"/>
                <w:spacing w:val="-9"/>
              </w:rPr>
              <w:t xml:space="preserve"> </w:t>
            </w:r>
            <w:r w:rsidRPr="00D4309F">
              <w:rPr>
                <w:color w:val="211E1F"/>
              </w:rPr>
              <w:t>short-term</w:t>
            </w:r>
            <w:r w:rsidRPr="00D4309F">
              <w:rPr>
                <w:color w:val="211E1F"/>
                <w:spacing w:val="-9"/>
              </w:rPr>
              <w:t xml:space="preserve"> </w:t>
            </w:r>
            <w:r w:rsidRPr="00D4309F">
              <w:rPr>
                <w:color w:val="211E1F"/>
              </w:rPr>
              <w:t>or</w:t>
            </w:r>
            <w:r w:rsidRPr="00D4309F">
              <w:rPr>
                <w:color w:val="211E1F"/>
                <w:spacing w:val="-9"/>
              </w:rPr>
              <w:t xml:space="preserve"> </w:t>
            </w:r>
            <w:r w:rsidRPr="00D4309F">
              <w:rPr>
                <w:color w:val="211E1F"/>
              </w:rPr>
              <w:t>pilot</w:t>
            </w:r>
            <w:r w:rsidRPr="00D4309F">
              <w:rPr>
                <w:color w:val="211E1F"/>
                <w:spacing w:val="-9"/>
              </w:rPr>
              <w:t xml:space="preserve"> </w:t>
            </w:r>
            <w:r w:rsidRPr="00D4309F">
              <w:rPr>
                <w:color w:val="211E1F"/>
              </w:rPr>
              <w:t>solution</w:t>
            </w:r>
            <w:r w:rsidRPr="00D4309F">
              <w:rPr>
                <w:color w:val="211E1F"/>
                <w:spacing w:val="-9"/>
              </w:rPr>
              <w:t xml:space="preserve"> </w:t>
            </w:r>
            <w:r w:rsidRPr="00D4309F">
              <w:rPr>
                <w:color w:val="211E1F"/>
              </w:rPr>
              <w:t>– improves understanding</w:t>
            </w:r>
            <w:r w:rsidRPr="00D4309F">
              <w:rPr>
                <w:color w:val="211E1F"/>
                <w:spacing w:val="-2"/>
              </w:rPr>
              <w:t xml:space="preserve"> </w:t>
            </w:r>
            <w:r w:rsidRPr="00D4309F">
              <w:rPr>
                <w:color w:val="211E1F"/>
              </w:rPr>
              <w:t>and</w:t>
            </w:r>
            <w:r w:rsidRPr="00D4309F">
              <w:rPr>
                <w:color w:val="211E1F"/>
                <w:spacing w:val="-2"/>
              </w:rPr>
              <w:t xml:space="preserve"> </w:t>
            </w:r>
            <w:r w:rsidRPr="00D4309F">
              <w:rPr>
                <w:color w:val="211E1F"/>
              </w:rPr>
              <w:t>reduces shoaling frequency.</w:t>
            </w:r>
          </w:p>
        </w:tc>
        <w:tc>
          <w:tcPr>
            <w:tcW w:w="1948" w:type="pct"/>
          </w:tcPr>
          <w:p w14:paraId="43D5FA1F" w14:textId="1C6BB75F" w:rsidR="008B16AE" w:rsidRPr="00D4309F" w:rsidRDefault="001F42BF" w:rsidP="008A3137">
            <w:pPr>
              <w:pStyle w:val="Table-Text"/>
              <w:rPr>
                <w:color w:val="211E1F"/>
              </w:rPr>
            </w:pPr>
            <w:r w:rsidRPr="00D4309F">
              <w:rPr>
                <w:color w:val="211E1F"/>
              </w:rPr>
              <w:t>Structured,</w:t>
            </w:r>
            <w:r w:rsidRPr="00D4309F">
              <w:rPr>
                <w:color w:val="211E1F"/>
                <w:spacing w:val="-9"/>
              </w:rPr>
              <w:t xml:space="preserve"> </w:t>
            </w:r>
            <w:r w:rsidRPr="00D4309F">
              <w:rPr>
                <w:color w:val="211E1F"/>
              </w:rPr>
              <w:t>long-term</w:t>
            </w:r>
            <w:r w:rsidRPr="00D4309F">
              <w:rPr>
                <w:color w:val="211E1F"/>
                <w:spacing w:val="-9"/>
              </w:rPr>
              <w:t xml:space="preserve"> </w:t>
            </w:r>
            <w:r w:rsidRPr="00D4309F">
              <w:rPr>
                <w:color w:val="211E1F"/>
              </w:rPr>
              <w:t>proactive</w:t>
            </w:r>
            <w:r w:rsidRPr="00D4309F">
              <w:rPr>
                <w:color w:val="211E1F"/>
                <w:spacing w:val="-10"/>
              </w:rPr>
              <w:t xml:space="preserve"> </w:t>
            </w:r>
            <w:r w:rsidRPr="00D4309F">
              <w:rPr>
                <w:color w:val="211E1F"/>
              </w:rPr>
              <w:t>solution</w:t>
            </w:r>
            <w:r w:rsidRPr="00D4309F">
              <w:rPr>
                <w:color w:val="211E1F"/>
                <w:spacing w:val="-10"/>
              </w:rPr>
              <w:t xml:space="preserve"> </w:t>
            </w:r>
            <w:r w:rsidRPr="00D4309F">
              <w:rPr>
                <w:color w:val="211E1F"/>
              </w:rPr>
              <w:t>– higher cost but greater control and effectiveness of sand distribution</w:t>
            </w:r>
            <w:r>
              <w:rPr>
                <w:color w:val="211E1F"/>
              </w:rPr>
              <w:t>.</w:t>
            </w:r>
          </w:p>
        </w:tc>
      </w:tr>
    </w:tbl>
    <w:p w14:paraId="13EFBD8D" w14:textId="4B587AC7" w:rsidR="00725977" w:rsidRPr="00D4309F" w:rsidRDefault="00725977" w:rsidP="00E9760A">
      <w:pPr>
        <w:pStyle w:val="BodyText"/>
      </w:pPr>
      <w:bookmarkStart w:id="291" w:name="_bookmark119"/>
      <w:bookmarkEnd w:id="291"/>
    </w:p>
    <w:p w14:paraId="6F477EAB" w14:textId="72AC4BC6" w:rsidR="00725977" w:rsidRPr="00D4309F" w:rsidRDefault="00E9760A" w:rsidP="00151534">
      <w:pPr>
        <w:pStyle w:val="Table-Caption"/>
      </w:pPr>
      <w:bookmarkStart w:id="292" w:name="_Toc216699555"/>
      <w:r>
        <w:t xml:space="preserve">Table </w:t>
      </w:r>
      <w:r w:rsidR="00151534">
        <w:fldChar w:fldCharType="begin" w:fldLock="1"/>
      </w:r>
      <w:r w:rsidR="00151534">
        <w:instrText xml:space="preserve"> STYLEREF 1 \s </w:instrText>
      </w:r>
      <w:r w:rsidR="00151534">
        <w:fldChar w:fldCharType="separate"/>
      </w:r>
      <w:r w:rsidR="00151534">
        <w:rPr>
          <w:noProof/>
        </w:rPr>
        <w:t>13</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8</w:t>
      </w:r>
      <w:r w:rsidR="00151534">
        <w:fldChar w:fldCharType="end"/>
      </w:r>
      <w:r>
        <w:t>:</w:t>
      </w:r>
      <w:r>
        <w:tab/>
      </w:r>
      <w:r w:rsidRPr="00D4309F">
        <w:t>Overview</w:t>
      </w:r>
      <w:r w:rsidRPr="00D4309F">
        <w:rPr>
          <w:spacing w:val="-1"/>
        </w:rPr>
        <w:t xml:space="preserve"> </w:t>
      </w:r>
      <w:r w:rsidRPr="00D4309F">
        <w:t>of</w:t>
      </w:r>
      <w:r w:rsidRPr="00D4309F">
        <w:rPr>
          <w:spacing w:val="-2"/>
        </w:rPr>
        <w:t xml:space="preserve"> </w:t>
      </w:r>
      <w:r w:rsidRPr="00D4309F">
        <w:t>capital</w:t>
      </w:r>
      <w:r w:rsidRPr="00D4309F">
        <w:rPr>
          <w:spacing w:val="-2"/>
        </w:rPr>
        <w:t xml:space="preserve"> </w:t>
      </w:r>
      <w:r w:rsidRPr="00D4309F">
        <w:t>and</w:t>
      </w:r>
      <w:r w:rsidRPr="00D4309F">
        <w:rPr>
          <w:spacing w:val="-2"/>
        </w:rPr>
        <w:t xml:space="preserve"> </w:t>
      </w:r>
      <w:r w:rsidRPr="00D4309F">
        <w:t>operational</w:t>
      </w:r>
      <w:r w:rsidRPr="00D4309F">
        <w:rPr>
          <w:spacing w:val="-2"/>
        </w:rPr>
        <w:t xml:space="preserve"> </w:t>
      </w:r>
      <w:r w:rsidRPr="00D4309F">
        <w:t>works</w:t>
      </w:r>
      <w:r w:rsidRPr="00D4309F">
        <w:rPr>
          <w:spacing w:val="-3"/>
        </w:rPr>
        <w:t xml:space="preserve"> </w:t>
      </w:r>
      <w:r w:rsidRPr="00D4309F">
        <w:t>for</w:t>
      </w:r>
      <w:r w:rsidRPr="00D4309F">
        <w:rPr>
          <w:spacing w:val="-2"/>
        </w:rPr>
        <w:t xml:space="preserve"> </w:t>
      </w:r>
      <w:r w:rsidRPr="00D4309F">
        <w:t>Option</w:t>
      </w:r>
      <w:r w:rsidRPr="00D4309F">
        <w:rPr>
          <w:spacing w:val="-2"/>
        </w:rPr>
        <w:t xml:space="preserve"> </w:t>
      </w:r>
      <w:r w:rsidRPr="00D4309F">
        <w:t>1A</w:t>
      </w:r>
      <w:r w:rsidRPr="00D4309F">
        <w:rPr>
          <w:spacing w:val="-2"/>
        </w:rPr>
        <w:t xml:space="preserve"> </w:t>
      </w:r>
      <w:r w:rsidRPr="00D4309F">
        <w:t>and</w:t>
      </w:r>
      <w:r w:rsidRPr="00D4309F">
        <w:rPr>
          <w:spacing w:val="-1"/>
        </w:rPr>
        <w:t xml:space="preserve"> </w:t>
      </w:r>
      <w:r w:rsidRPr="00D4309F">
        <w:rPr>
          <w:spacing w:val="-5"/>
        </w:rPr>
        <w:t>1B</w:t>
      </w:r>
      <w:bookmarkEnd w:id="292"/>
    </w:p>
    <w:tbl>
      <w:tblPr>
        <w:tblStyle w:val="Table1"/>
        <w:tblW w:w="9700" w:type="dxa"/>
        <w:tblLayout w:type="fixed"/>
        <w:tblLook w:val="04A0" w:firstRow="1" w:lastRow="0" w:firstColumn="1" w:lastColumn="0" w:noHBand="0" w:noVBand="1"/>
      </w:tblPr>
      <w:tblGrid>
        <w:gridCol w:w="1160"/>
        <w:gridCol w:w="1959"/>
        <w:gridCol w:w="17"/>
        <w:gridCol w:w="1966"/>
        <w:gridCol w:w="143"/>
        <w:gridCol w:w="1873"/>
        <w:gridCol w:w="356"/>
        <w:gridCol w:w="2226"/>
      </w:tblGrid>
      <w:tr w:rsidR="00725977" w:rsidRPr="00D4309F" w14:paraId="59964C85" w14:textId="77777777" w:rsidTr="00E9760A">
        <w:trPr>
          <w:cnfStyle w:val="100000000000" w:firstRow="1" w:lastRow="0" w:firstColumn="0" w:lastColumn="0" w:oddVBand="0" w:evenVBand="0" w:oddHBand="0" w:evenHBand="0" w:firstRowFirstColumn="0" w:firstRowLastColumn="0" w:lastRowFirstColumn="0" w:lastRowLastColumn="0"/>
          <w:trHeight w:val="299"/>
        </w:trPr>
        <w:tc>
          <w:tcPr>
            <w:tcW w:w="3136" w:type="dxa"/>
            <w:gridSpan w:val="3"/>
          </w:tcPr>
          <w:p w14:paraId="24D36C05" w14:textId="77777777" w:rsidR="00725977" w:rsidRPr="00D4309F" w:rsidRDefault="00725977" w:rsidP="00E9760A">
            <w:pPr>
              <w:pStyle w:val="Table-Heading"/>
              <w:jc w:val="center"/>
            </w:pPr>
            <w:r w:rsidRPr="00D4309F">
              <w:t>Capital</w:t>
            </w:r>
            <w:r w:rsidRPr="00D4309F">
              <w:rPr>
                <w:spacing w:val="-5"/>
              </w:rPr>
              <w:t xml:space="preserve"> </w:t>
            </w:r>
            <w:r w:rsidRPr="00D4309F">
              <w:rPr>
                <w:spacing w:val="-2"/>
              </w:rPr>
              <w:t>works</w:t>
            </w:r>
          </w:p>
        </w:tc>
        <w:tc>
          <w:tcPr>
            <w:tcW w:w="1966" w:type="dxa"/>
          </w:tcPr>
          <w:p w14:paraId="5DE3C612" w14:textId="77777777" w:rsidR="00725977" w:rsidRPr="00D4309F" w:rsidRDefault="00725977" w:rsidP="00E9760A">
            <w:pPr>
              <w:pStyle w:val="Table-Heading"/>
              <w:jc w:val="center"/>
              <w:rPr>
                <w:rFonts w:ascii="Times New Roman"/>
                <w:sz w:val="16"/>
              </w:rPr>
            </w:pPr>
          </w:p>
        </w:tc>
        <w:tc>
          <w:tcPr>
            <w:tcW w:w="4598" w:type="dxa"/>
            <w:gridSpan w:val="4"/>
          </w:tcPr>
          <w:p w14:paraId="06327A9B" w14:textId="77777777" w:rsidR="00725977" w:rsidRPr="00D4309F" w:rsidRDefault="00725977" w:rsidP="00E9760A">
            <w:pPr>
              <w:pStyle w:val="Table-Heading"/>
              <w:jc w:val="center"/>
            </w:pPr>
            <w:r w:rsidRPr="00D4309F">
              <w:t>Operational</w:t>
            </w:r>
            <w:r w:rsidRPr="00D4309F">
              <w:rPr>
                <w:spacing w:val="-4"/>
              </w:rPr>
              <w:t xml:space="preserve"> </w:t>
            </w:r>
            <w:r w:rsidRPr="00D4309F">
              <w:rPr>
                <w:spacing w:val="-2"/>
              </w:rPr>
              <w:t>works</w:t>
            </w:r>
          </w:p>
        </w:tc>
      </w:tr>
      <w:tr w:rsidR="00725977" w:rsidRPr="00D4309F" w14:paraId="0A197613" w14:textId="77777777" w:rsidTr="00E9760A">
        <w:trPr>
          <w:trHeight w:val="299"/>
        </w:trPr>
        <w:tc>
          <w:tcPr>
            <w:tcW w:w="3136" w:type="dxa"/>
            <w:gridSpan w:val="3"/>
          </w:tcPr>
          <w:p w14:paraId="76027DB4" w14:textId="77777777" w:rsidR="00725977" w:rsidRPr="00D4309F" w:rsidRDefault="00725977" w:rsidP="00E9760A">
            <w:pPr>
              <w:pStyle w:val="Table-Heading"/>
              <w:jc w:val="center"/>
            </w:pPr>
            <w:r w:rsidRPr="00D4309F">
              <w:t>Option</w:t>
            </w:r>
            <w:r w:rsidRPr="00D4309F">
              <w:rPr>
                <w:spacing w:val="-1"/>
              </w:rPr>
              <w:t xml:space="preserve"> </w:t>
            </w:r>
            <w:r w:rsidRPr="00D4309F">
              <w:rPr>
                <w:spacing w:val="-5"/>
              </w:rPr>
              <w:t>1A</w:t>
            </w:r>
          </w:p>
        </w:tc>
        <w:tc>
          <w:tcPr>
            <w:tcW w:w="1966" w:type="dxa"/>
          </w:tcPr>
          <w:p w14:paraId="589D581A" w14:textId="77777777" w:rsidR="00725977" w:rsidRPr="00D4309F" w:rsidRDefault="00725977" w:rsidP="00E9760A">
            <w:pPr>
              <w:pStyle w:val="Table-Heading"/>
              <w:jc w:val="center"/>
            </w:pPr>
            <w:r w:rsidRPr="00D4309F">
              <w:t>Option</w:t>
            </w:r>
            <w:r w:rsidRPr="00D4309F">
              <w:rPr>
                <w:spacing w:val="-1"/>
              </w:rPr>
              <w:t xml:space="preserve"> </w:t>
            </w:r>
            <w:r w:rsidRPr="00D4309F">
              <w:rPr>
                <w:spacing w:val="-5"/>
              </w:rPr>
              <w:t>1B</w:t>
            </w:r>
          </w:p>
        </w:tc>
        <w:tc>
          <w:tcPr>
            <w:tcW w:w="2016" w:type="dxa"/>
            <w:gridSpan w:val="2"/>
          </w:tcPr>
          <w:p w14:paraId="2749C513" w14:textId="77777777" w:rsidR="00725977" w:rsidRPr="00D4309F" w:rsidRDefault="00725977" w:rsidP="00E9760A">
            <w:pPr>
              <w:pStyle w:val="Table-Heading"/>
              <w:jc w:val="center"/>
            </w:pPr>
            <w:r w:rsidRPr="00D4309F">
              <w:t>Option</w:t>
            </w:r>
            <w:r w:rsidRPr="00D4309F">
              <w:rPr>
                <w:spacing w:val="-1"/>
              </w:rPr>
              <w:t xml:space="preserve"> </w:t>
            </w:r>
            <w:r w:rsidRPr="00D4309F">
              <w:rPr>
                <w:spacing w:val="-5"/>
              </w:rPr>
              <w:t>1A</w:t>
            </w:r>
          </w:p>
        </w:tc>
        <w:tc>
          <w:tcPr>
            <w:tcW w:w="2582" w:type="dxa"/>
            <w:gridSpan w:val="2"/>
          </w:tcPr>
          <w:p w14:paraId="541A2565" w14:textId="77777777" w:rsidR="00725977" w:rsidRPr="00D4309F" w:rsidRDefault="00725977" w:rsidP="00E9760A">
            <w:pPr>
              <w:pStyle w:val="Table-Heading"/>
              <w:jc w:val="center"/>
            </w:pPr>
            <w:r w:rsidRPr="00D4309F">
              <w:t>Option</w:t>
            </w:r>
            <w:r w:rsidRPr="00D4309F">
              <w:rPr>
                <w:spacing w:val="-1"/>
              </w:rPr>
              <w:t xml:space="preserve"> </w:t>
            </w:r>
            <w:r w:rsidRPr="00D4309F">
              <w:rPr>
                <w:spacing w:val="-5"/>
              </w:rPr>
              <w:t>1B</w:t>
            </w:r>
          </w:p>
        </w:tc>
      </w:tr>
      <w:tr w:rsidR="00725977" w:rsidRPr="00D4309F" w14:paraId="59A9D230" w14:textId="77777777" w:rsidTr="00E9760A">
        <w:trPr>
          <w:trHeight w:val="410"/>
        </w:trPr>
        <w:tc>
          <w:tcPr>
            <w:tcW w:w="1160" w:type="dxa"/>
          </w:tcPr>
          <w:p w14:paraId="057C1C32" w14:textId="77777777" w:rsidR="00725977" w:rsidRPr="00D4309F" w:rsidRDefault="00725977" w:rsidP="00E9760A">
            <w:pPr>
              <w:pStyle w:val="Table-Text"/>
            </w:pPr>
            <w:r w:rsidRPr="00D4309F">
              <w:t>General</w:t>
            </w:r>
          </w:p>
        </w:tc>
        <w:tc>
          <w:tcPr>
            <w:tcW w:w="1959" w:type="dxa"/>
          </w:tcPr>
          <w:p w14:paraId="05525660" w14:textId="77777777" w:rsidR="00725977" w:rsidRPr="00D4309F" w:rsidRDefault="00725977" w:rsidP="00E9760A">
            <w:pPr>
              <w:pStyle w:val="Table-Text"/>
            </w:pPr>
            <w:r w:rsidRPr="00D4309F">
              <w:t>Dredge</w:t>
            </w:r>
            <w:r w:rsidRPr="00D4309F">
              <w:rPr>
                <w:spacing w:val="-4"/>
              </w:rPr>
              <w:t xml:space="preserve"> </w:t>
            </w:r>
            <w:r w:rsidRPr="00D4309F">
              <w:t>Sand</w:t>
            </w:r>
            <w:r w:rsidRPr="00D4309F">
              <w:rPr>
                <w:spacing w:val="-3"/>
              </w:rPr>
              <w:t xml:space="preserve"> </w:t>
            </w:r>
            <w:r w:rsidRPr="00D4309F">
              <w:rPr>
                <w:spacing w:val="-4"/>
              </w:rPr>
              <w:t>Trap</w:t>
            </w:r>
          </w:p>
        </w:tc>
        <w:tc>
          <w:tcPr>
            <w:tcW w:w="2126" w:type="dxa"/>
            <w:gridSpan w:val="3"/>
          </w:tcPr>
          <w:p w14:paraId="42C85ACB" w14:textId="77777777" w:rsidR="00725977" w:rsidRPr="00D4309F" w:rsidRDefault="00725977" w:rsidP="00E9760A">
            <w:pPr>
              <w:pStyle w:val="Table-Text"/>
            </w:pPr>
            <w:r w:rsidRPr="00D4309F">
              <w:t>Dredge</w:t>
            </w:r>
            <w:r w:rsidRPr="00D4309F">
              <w:rPr>
                <w:spacing w:val="-3"/>
              </w:rPr>
              <w:t xml:space="preserve"> </w:t>
            </w:r>
            <w:r w:rsidRPr="00D4309F">
              <w:t>Sand</w:t>
            </w:r>
            <w:r w:rsidRPr="00D4309F">
              <w:rPr>
                <w:spacing w:val="-3"/>
              </w:rPr>
              <w:t xml:space="preserve"> </w:t>
            </w:r>
            <w:r w:rsidRPr="00D4309F">
              <w:t>Trap</w:t>
            </w:r>
            <w:r w:rsidRPr="00D4309F">
              <w:rPr>
                <w:spacing w:val="-3"/>
              </w:rPr>
              <w:t xml:space="preserve"> </w:t>
            </w:r>
            <w:r w:rsidRPr="00D4309F">
              <w:rPr>
                <w:spacing w:val="-10"/>
              </w:rPr>
              <w:t>+</w:t>
            </w:r>
          </w:p>
          <w:p w14:paraId="1B50073F" w14:textId="46665BBB" w:rsidR="00725977" w:rsidRPr="00D4309F" w:rsidRDefault="00725977" w:rsidP="00E9760A">
            <w:pPr>
              <w:pStyle w:val="Table-Text"/>
            </w:pPr>
            <w:r w:rsidRPr="00D4309F">
              <w:t>Pump</w:t>
            </w:r>
            <w:r w:rsidRPr="00D4309F">
              <w:rPr>
                <w:spacing w:val="-3"/>
              </w:rPr>
              <w:t xml:space="preserve"> </w:t>
            </w:r>
            <w:r w:rsidRPr="00D4309F">
              <w:t xml:space="preserve">and </w:t>
            </w:r>
            <w:r w:rsidRPr="00D4309F">
              <w:rPr>
                <w:spacing w:val="-4"/>
              </w:rPr>
              <w:t>Pipe</w:t>
            </w:r>
            <w:r w:rsidR="00E9760A">
              <w:rPr>
                <w:spacing w:val="-4"/>
              </w:rPr>
              <w:t xml:space="preserve"> </w:t>
            </w:r>
            <w:r w:rsidR="00E9760A" w:rsidRPr="00D4309F">
              <w:t>Network</w:t>
            </w:r>
          </w:p>
        </w:tc>
        <w:tc>
          <w:tcPr>
            <w:tcW w:w="2229" w:type="dxa"/>
            <w:gridSpan w:val="2"/>
          </w:tcPr>
          <w:p w14:paraId="7FCE22CB" w14:textId="076958F3" w:rsidR="00725977" w:rsidRPr="00D4309F" w:rsidRDefault="00725977" w:rsidP="00E9760A">
            <w:pPr>
              <w:pStyle w:val="Table-Text"/>
            </w:pPr>
            <w:r w:rsidRPr="00D4309F">
              <w:t>TSHD</w:t>
            </w:r>
            <w:r w:rsidRPr="00D4309F">
              <w:rPr>
                <w:spacing w:val="-5"/>
              </w:rPr>
              <w:t xml:space="preserve"> </w:t>
            </w:r>
            <w:r w:rsidRPr="00D4309F">
              <w:t xml:space="preserve">collects </w:t>
            </w:r>
            <w:r w:rsidRPr="00D4309F">
              <w:rPr>
                <w:spacing w:val="-4"/>
              </w:rPr>
              <w:t>sand</w:t>
            </w:r>
            <w:r w:rsidR="00E9760A">
              <w:rPr>
                <w:spacing w:val="-4"/>
              </w:rPr>
              <w:t xml:space="preserve"> </w:t>
            </w:r>
            <w:r w:rsidRPr="00D4309F">
              <w:t>build</w:t>
            </w:r>
            <w:r w:rsidRPr="00D4309F">
              <w:rPr>
                <w:spacing w:val="-3"/>
              </w:rPr>
              <w:t xml:space="preserve"> </w:t>
            </w:r>
            <w:r w:rsidRPr="00D4309F">
              <w:t xml:space="preserve">up, shifts </w:t>
            </w:r>
            <w:r w:rsidRPr="00D4309F">
              <w:rPr>
                <w:spacing w:val="-5"/>
              </w:rPr>
              <w:t>to</w:t>
            </w:r>
            <w:r w:rsidR="00E9760A">
              <w:rPr>
                <w:spacing w:val="-5"/>
              </w:rPr>
              <w:t xml:space="preserve"> </w:t>
            </w:r>
            <w:r w:rsidR="00E9760A" w:rsidRPr="00D4309F">
              <w:t>main beach nearshore</w:t>
            </w:r>
            <w:r w:rsidR="00E9760A" w:rsidRPr="00D4309F">
              <w:rPr>
                <w:spacing w:val="-13"/>
              </w:rPr>
              <w:t xml:space="preserve"> </w:t>
            </w:r>
            <w:r w:rsidR="00E9760A" w:rsidRPr="00D4309F">
              <w:t>for</w:t>
            </w:r>
            <w:r w:rsidR="00E9760A">
              <w:t xml:space="preserve"> </w:t>
            </w:r>
            <w:r w:rsidR="00E9760A" w:rsidRPr="00D4309F">
              <w:t>placement</w:t>
            </w:r>
          </w:p>
        </w:tc>
        <w:tc>
          <w:tcPr>
            <w:tcW w:w="2226" w:type="dxa"/>
          </w:tcPr>
          <w:p w14:paraId="504A9E5A" w14:textId="142CD8B9" w:rsidR="00725977" w:rsidRPr="00D4309F" w:rsidRDefault="00725977" w:rsidP="00E9760A">
            <w:pPr>
              <w:pStyle w:val="Table-Text"/>
            </w:pPr>
            <w:r w:rsidRPr="00D4309F">
              <w:t>CSD</w:t>
            </w:r>
            <w:r w:rsidRPr="00D4309F">
              <w:rPr>
                <w:spacing w:val="-5"/>
              </w:rPr>
              <w:t xml:space="preserve"> </w:t>
            </w:r>
            <w:r w:rsidRPr="00D4309F">
              <w:t>use temporary</w:t>
            </w:r>
            <w:r w:rsidR="00E9760A">
              <w:t xml:space="preserve"> </w:t>
            </w:r>
            <w:r w:rsidRPr="00D4309F">
              <w:t>pipe</w:t>
            </w:r>
            <w:r w:rsidRPr="00D4309F">
              <w:rPr>
                <w:spacing w:val="-3"/>
              </w:rPr>
              <w:t xml:space="preserve"> </w:t>
            </w:r>
            <w:r w:rsidRPr="00D4309F">
              <w:t xml:space="preserve">to pump </w:t>
            </w:r>
            <w:r w:rsidRPr="00D4309F">
              <w:rPr>
                <w:spacing w:val="-4"/>
              </w:rPr>
              <w:t>into</w:t>
            </w:r>
            <w:r w:rsidR="00E9760A">
              <w:rPr>
                <w:spacing w:val="-4"/>
              </w:rPr>
              <w:t xml:space="preserve"> </w:t>
            </w:r>
            <w:r w:rsidR="00E9760A" w:rsidRPr="00D4309F">
              <w:t>onshore booster pump.</w:t>
            </w:r>
            <w:r w:rsidR="00E9760A" w:rsidRPr="00D4309F">
              <w:rPr>
                <w:spacing w:val="-13"/>
              </w:rPr>
              <w:t xml:space="preserve"> </w:t>
            </w:r>
            <w:r w:rsidR="00E9760A" w:rsidRPr="00D4309F">
              <w:t>Pipe</w:t>
            </w:r>
            <w:r w:rsidR="00E9760A" w:rsidRPr="00D4309F">
              <w:rPr>
                <w:spacing w:val="-12"/>
              </w:rPr>
              <w:t xml:space="preserve"> </w:t>
            </w:r>
            <w:r w:rsidR="00E9760A" w:rsidRPr="00D4309F">
              <w:t>network</w:t>
            </w:r>
            <w:r w:rsidR="00E9760A" w:rsidRPr="00D4309F">
              <w:rPr>
                <w:spacing w:val="-13"/>
              </w:rPr>
              <w:t xml:space="preserve"> </w:t>
            </w:r>
            <w:r w:rsidR="00E9760A" w:rsidRPr="00D4309F">
              <w:t>to main</w:t>
            </w:r>
            <w:r w:rsidR="00E9760A" w:rsidRPr="00D4309F">
              <w:rPr>
                <w:spacing w:val="-5"/>
              </w:rPr>
              <w:t xml:space="preserve"> </w:t>
            </w:r>
            <w:r w:rsidR="00E9760A" w:rsidRPr="00D4309F">
              <w:t>beach</w:t>
            </w:r>
            <w:r w:rsidR="00E9760A">
              <w:t xml:space="preserve"> </w:t>
            </w:r>
            <w:r w:rsidR="00E9760A" w:rsidRPr="00D4309F">
              <w:t>distribution</w:t>
            </w:r>
          </w:p>
        </w:tc>
      </w:tr>
      <w:tr w:rsidR="00725977" w:rsidRPr="00D4309F" w14:paraId="03394616" w14:textId="77777777" w:rsidTr="00E9760A">
        <w:trPr>
          <w:trHeight w:val="249"/>
        </w:trPr>
        <w:tc>
          <w:tcPr>
            <w:tcW w:w="1160" w:type="dxa"/>
          </w:tcPr>
          <w:p w14:paraId="16E61440" w14:textId="77777777" w:rsidR="00725977" w:rsidRPr="00D4309F" w:rsidRDefault="00725977" w:rsidP="00E9760A">
            <w:pPr>
              <w:pStyle w:val="Table-Text"/>
            </w:pPr>
            <w:r w:rsidRPr="00D4309F">
              <w:rPr>
                <w:spacing w:val="-4"/>
              </w:rPr>
              <w:t>Pros</w:t>
            </w:r>
          </w:p>
        </w:tc>
        <w:tc>
          <w:tcPr>
            <w:tcW w:w="1959" w:type="dxa"/>
          </w:tcPr>
          <w:p w14:paraId="13A3A429" w14:textId="675D6288" w:rsidR="00725977" w:rsidRPr="00D4309F" w:rsidRDefault="00725977" w:rsidP="00E9760A">
            <w:pPr>
              <w:pStyle w:val="Table-Text"/>
            </w:pPr>
            <w:r w:rsidRPr="00D4309F">
              <w:t xml:space="preserve">Simple, low risk </w:t>
            </w:r>
            <w:r w:rsidRPr="00D4309F">
              <w:rPr>
                <w:spacing w:val="-5"/>
              </w:rPr>
              <w:t>and</w:t>
            </w:r>
            <w:r w:rsidR="00E9760A">
              <w:rPr>
                <w:spacing w:val="-5"/>
              </w:rPr>
              <w:t xml:space="preserve"> </w:t>
            </w:r>
            <w:r w:rsidR="00E9760A" w:rsidRPr="00D4309F">
              <w:t>will</w:t>
            </w:r>
            <w:r w:rsidR="00E9760A" w:rsidRPr="00D4309F">
              <w:rPr>
                <w:spacing w:val="-3"/>
              </w:rPr>
              <w:t xml:space="preserve"> </w:t>
            </w:r>
            <w:r w:rsidR="00E9760A" w:rsidRPr="00D4309F">
              <w:t>refill</w:t>
            </w:r>
            <w:r w:rsidR="00E9760A" w:rsidRPr="00D4309F">
              <w:rPr>
                <w:spacing w:val="-3"/>
              </w:rPr>
              <w:t xml:space="preserve"> </w:t>
            </w:r>
            <w:r w:rsidR="00E9760A" w:rsidRPr="00D4309F">
              <w:t>naturally</w:t>
            </w:r>
            <w:r w:rsidR="00E9760A" w:rsidRPr="00D4309F">
              <w:rPr>
                <w:spacing w:val="-3"/>
              </w:rPr>
              <w:t xml:space="preserve"> </w:t>
            </w:r>
            <w:r w:rsidR="00E9760A" w:rsidRPr="00D4309F">
              <w:rPr>
                <w:spacing w:val="-5"/>
              </w:rPr>
              <w:t>if</w:t>
            </w:r>
            <w:r w:rsidR="00E9760A">
              <w:rPr>
                <w:spacing w:val="-5"/>
              </w:rPr>
              <w:t xml:space="preserve"> </w:t>
            </w:r>
            <w:r w:rsidR="00E9760A" w:rsidRPr="00D4309F">
              <w:t>decide not to pursue the</w:t>
            </w:r>
            <w:r w:rsidR="00E9760A" w:rsidRPr="00D4309F">
              <w:rPr>
                <w:spacing w:val="-13"/>
              </w:rPr>
              <w:t xml:space="preserve"> </w:t>
            </w:r>
            <w:r w:rsidR="00E9760A" w:rsidRPr="00D4309F">
              <w:t>option</w:t>
            </w:r>
            <w:r w:rsidR="00E9760A" w:rsidRPr="00D4309F">
              <w:rPr>
                <w:spacing w:val="-12"/>
              </w:rPr>
              <w:t xml:space="preserve"> </w:t>
            </w:r>
            <w:r w:rsidR="00E9760A" w:rsidRPr="00D4309F">
              <w:t>any</w:t>
            </w:r>
            <w:r w:rsidR="00E9760A" w:rsidRPr="00D4309F">
              <w:rPr>
                <w:spacing w:val="-13"/>
              </w:rPr>
              <w:t xml:space="preserve"> </w:t>
            </w:r>
            <w:r w:rsidR="00E9760A" w:rsidRPr="00D4309F">
              <w:t>further</w:t>
            </w:r>
          </w:p>
        </w:tc>
        <w:tc>
          <w:tcPr>
            <w:tcW w:w="2126" w:type="dxa"/>
            <w:gridSpan w:val="3"/>
          </w:tcPr>
          <w:p w14:paraId="07DD6242" w14:textId="07D0B662" w:rsidR="00725977" w:rsidRPr="00D4309F" w:rsidRDefault="00725977" w:rsidP="00E9760A">
            <w:pPr>
              <w:pStyle w:val="Table-Text"/>
            </w:pPr>
            <w:r w:rsidRPr="00D4309F">
              <w:t>Pipe</w:t>
            </w:r>
            <w:r w:rsidRPr="00D4309F">
              <w:rPr>
                <w:spacing w:val="-3"/>
              </w:rPr>
              <w:t xml:space="preserve"> </w:t>
            </w:r>
            <w:r w:rsidRPr="00D4309F">
              <w:t>network</w:t>
            </w:r>
            <w:r w:rsidRPr="00D4309F">
              <w:rPr>
                <w:spacing w:val="-3"/>
              </w:rPr>
              <w:t xml:space="preserve"> </w:t>
            </w:r>
            <w:r w:rsidRPr="00D4309F">
              <w:t xml:space="preserve">in </w:t>
            </w:r>
            <w:r w:rsidRPr="00D4309F">
              <w:rPr>
                <w:spacing w:val="-4"/>
              </w:rPr>
              <w:t>place</w:t>
            </w:r>
            <w:r w:rsidR="00E9760A">
              <w:rPr>
                <w:spacing w:val="-4"/>
              </w:rPr>
              <w:t xml:space="preserve"> </w:t>
            </w:r>
            <w:r w:rsidR="00E9760A" w:rsidRPr="00D4309F">
              <w:t>for</w:t>
            </w:r>
            <w:r w:rsidR="00E9760A" w:rsidRPr="00D4309F">
              <w:rPr>
                <w:spacing w:val="-4"/>
              </w:rPr>
              <w:t xml:space="preserve"> </w:t>
            </w:r>
            <w:r w:rsidR="00E9760A" w:rsidRPr="00D4309F">
              <w:t>any</w:t>
            </w:r>
            <w:r w:rsidR="00E9760A" w:rsidRPr="00D4309F">
              <w:rPr>
                <w:spacing w:val="-1"/>
              </w:rPr>
              <w:t xml:space="preserve"> </w:t>
            </w:r>
            <w:r w:rsidR="00E9760A" w:rsidRPr="00D4309F">
              <w:t>future</w:t>
            </w:r>
            <w:r w:rsidR="00E9760A">
              <w:t xml:space="preserve"> </w:t>
            </w:r>
            <w:r w:rsidR="00E9760A" w:rsidRPr="00D4309F">
              <w:t>integration</w:t>
            </w:r>
          </w:p>
        </w:tc>
        <w:tc>
          <w:tcPr>
            <w:tcW w:w="2229" w:type="dxa"/>
            <w:gridSpan w:val="2"/>
          </w:tcPr>
          <w:p w14:paraId="530F3BA4" w14:textId="33CD52B5" w:rsidR="00725977" w:rsidRPr="00D4309F" w:rsidRDefault="00725977" w:rsidP="00E9760A">
            <w:pPr>
              <w:pStyle w:val="Table-Text"/>
            </w:pPr>
            <w:r w:rsidRPr="00D4309F">
              <w:t>Low</w:t>
            </w:r>
            <w:r w:rsidRPr="00D4309F">
              <w:rPr>
                <w:spacing w:val="-4"/>
              </w:rPr>
              <w:t xml:space="preserve"> </w:t>
            </w:r>
            <w:r w:rsidRPr="00D4309F">
              <w:t>impact, taking</w:t>
            </w:r>
            <w:r w:rsidR="00E9760A">
              <w:t xml:space="preserve"> </w:t>
            </w:r>
            <w:r w:rsidR="00E9760A" w:rsidRPr="00D4309F">
              <w:t>sand</w:t>
            </w:r>
            <w:r w:rsidR="00E9760A" w:rsidRPr="00D4309F">
              <w:rPr>
                <w:spacing w:val="-5"/>
              </w:rPr>
              <w:t xml:space="preserve"> </w:t>
            </w:r>
            <w:r w:rsidR="00E9760A" w:rsidRPr="00D4309F">
              <w:t>from</w:t>
            </w:r>
            <w:r w:rsidR="00E9760A" w:rsidRPr="00D4309F">
              <w:rPr>
                <w:spacing w:val="-1"/>
              </w:rPr>
              <w:t xml:space="preserve"> </w:t>
            </w:r>
            <w:r w:rsidR="00E9760A" w:rsidRPr="00D4309F">
              <w:t>offshore</w:t>
            </w:r>
            <w:r w:rsidR="00E9760A">
              <w:t xml:space="preserve"> </w:t>
            </w:r>
            <w:r w:rsidR="00E9760A" w:rsidRPr="00D4309F">
              <w:t>in Area A and placing</w:t>
            </w:r>
            <w:r w:rsidR="00E9760A" w:rsidRPr="00D4309F">
              <w:rPr>
                <w:spacing w:val="-13"/>
              </w:rPr>
              <w:t xml:space="preserve"> </w:t>
            </w:r>
            <w:r w:rsidR="00E9760A" w:rsidRPr="00D4309F">
              <w:t>offshore</w:t>
            </w:r>
            <w:r w:rsidR="00E9760A">
              <w:t xml:space="preserve"> </w:t>
            </w:r>
            <w:r w:rsidR="00E9760A" w:rsidRPr="00D4309F">
              <w:t>Area</w:t>
            </w:r>
            <w:r w:rsidR="00E9760A" w:rsidRPr="00D4309F">
              <w:rPr>
                <w:spacing w:val="-5"/>
              </w:rPr>
              <w:t xml:space="preserve"> </w:t>
            </w:r>
            <w:r w:rsidR="00E9760A" w:rsidRPr="00D4309F">
              <w:rPr>
                <w:spacing w:val="-10"/>
              </w:rPr>
              <w:t>B</w:t>
            </w:r>
          </w:p>
        </w:tc>
        <w:tc>
          <w:tcPr>
            <w:tcW w:w="2226" w:type="dxa"/>
          </w:tcPr>
          <w:p w14:paraId="0A6FEF3A" w14:textId="155DFC51" w:rsidR="00725977" w:rsidRPr="00D4309F" w:rsidRDefault="00725977" w:rsidP="00E9760A">
            <w:pPr>
              <w:pStyle w:val="Table-Text"/>
            </w:pPr>
            <w:r w:rsidRPr="00D4309F">
              <w:t>Compatible</w:t>
            </w:r>
            <w:r w:rsidRPr="00D4309F">
              <w:rPr>
                <w:spacing w:val="-4"/>
              </w:rPr>
              <w:t xml:space="preserve"> </w:t>
            </w:r>
            <w:r w:rsidRPr="00D4309F">
              <w:t>with</w:t>
            </w:r>
            <w:r w:rsidRPr="00D4309F">
              <w:rPr>
                <w:spacing w:val="-4"/>
              </w:rPr>
              <w:t xml:space="preserve"> </w:t>
            </w:r>
            <w:r w:rsidRPr="00D4309F">
              <w:t>local</w:t>
            </w:r>
            <w:r w:rsidR="00E9760A">
              <w:t xml:space="preserve"> </w:t>
            </w:r>
            <w:r w:rsidR="00E9760A" w:rsidRPr="00D4309F">
              <w:t>CSD</w:t>
            </w:r>
            <w:r w:rsidR="00E9760A" w:rsidRPr="00D4309F">
              <w:rPr>
                <w:spacing w:val="-4"/>
              </w:rPr>
              <w:t xml:space="preserve"> </w:t>
            </w:r>
            <w:r w:rsidR="00E9760A" w:rsidRPr="00D4309F">
              <w:t>for</w:t>
            </w:r>
            <w:r w:rsidR="00E9760A" w:rsidRPr="00D4309F">
              <w:rPr>
                <w:spacing w:val="-1"/>
              </w:rPr>
              <w:t xml:space="preserve"> </w:t>
            </w:r>
            <w:r w:rsidR="00E9760A" w:rsidRPr="00D4309F">
              <w:t>potential</w:t>
            </w:r>
            <w:r w:rsidR="00E9760A">
              <w:t xml:space="preserve"> </w:t>
            </w:r>
            <w:r w:rsidR="00E9760A" w:rsidRPr="00D4309F">
              <w:t>quick setup when required,</w:t>
            </w:r>
            <w:r w:rsidR="00E9760A" w:rsidRPr="00D4309F">
              <w:rPr>
                <w:spacing w:val="-5"/>
              </w:rPr>
              <w:t xml:space="preserve"> </w:t>
            </w:r>
            <w:r w:rsidR="00E9760A" w:rsidRPr="00D4309F">
              <w:t>accurate</w:t>
            </w:r>
            <w:r w:rsidR="00E9760A">
              <w:t xml:space="preserve"> </w:t>
            </w:r>
            <w:r w:rsidR="00E9760A" w:rsidRPr="00D4309F">
              <w:t>sand</w:t>
            </w:r>
            <w:r w:rsidR="00E9760A" w:rsidRPr="00D4309F">
              <w:rPr>
                <w:spacing w:val="-5"/>
              </w:rPr>
              <w:t xml:space="preserve"> </w:t>
            </w:r>
            <w:r w:rsidR="00E9760A" w:rsidRPr="00D4309F">
              <w:t>placement</w:t>
            </w:r>
            <w:r w:rsidR="00E9760A">
              <w:t xml:space="preserve"> </w:t>
            </w:r>
            <w:r w:rsidR="00E9760A" w:rsidRPr="00D4309F">
              <w:t>onshore</w:t>
            </w:r>
            <w:r w:rsidR="00E9760A" w:rsidRPr="00D4309F">
              <w:rPr>
                <w:spacing w:val="-3"/>
              </w:rPr>
              <w:t xml:space="preserve"> </w:t>
            </w:r>
            <w:r w:rsidR="00E9760A" w:rsidRPr="00D4309F">
              <w:t xml:space="preserve">in Area </w:t>
            </w:r>
            <w:r w:rsidR="00E9760A" w:rsidRPr="00D4309F">
              <w:rPr>
                <w:spacing w:val="-10"/>
              </w:rPr>
              <w:t>B</w:t>
            </w:r>
          </w:p>
        </w:tc>
      </w:tr>
      <w:tr w:rsidR="00725977" w:rsidRPr="00D4309F" w14:paraId="51CA2934" w14:textId="77777777" w:rsidTr="00E9760A">
        <w:trPr>
          <w:trHeight w:val="249"/>
        </w:trPr>
        <w:tc>
          <w:tcPr>
            <w:tcW w:w="1160" w:type="dxa"/>
          </w:tcPr>
          <w:p w14:paraId="29A0F62F" w14:textId="77777777" w:rsidR="00725977" w:rsidRPr="00D4309F" w:rsidRDefault="00725977" w:rsidP="00E9760A">
            <w:pPr>
              <w:pStyle w:val="Table-Text"/>
            </w:pPr>
            <w:r w:rsidRPr="00D4309F">
              <w:rPr>
                <w:spacing w:val="-4"/>
              </w:rPr>
              <w:t>Cons</w:t>
            </w:r>
          </w:p>
        </w:tc>
        <w:tc>
          <w:tcPr>
            <w:tcW w:w="1959" w:type="dxa"/>
          </w:tcPr>
          <w:p w14:paraId="1F112F06" w14:textId="2F70D36C" w:rsidR="00725977" w:rsidRPr="00D4309F" w:rsidRDefault="00725977" w:rsidP="00E9760A">
            <w:pPr>
              <w:pStyle w:val="Table-Text"/>
            </w:pPr>
            <w:r w:rsidRPr="00D4309F">
              <w:t>Disturbance</w:t>
            </w:r>
            <w:r w:rsidRPr="00D4309F">
              <w:rPr>
                <w:spacing w:val="-6"/>
              </w:rPr>
              <w:t xml:space="preserve"> </w:t>
            </w:r>
            <w:r w:rsidRPr="00D4309F">
              <w:rPr>
                <w:spacing w:val="-5"/>
              </w:rPr>
              <w:t>to</w:t>
            </w:r>
            <w:r w:rsidR="00E9760A">
              <w:rPr>
                <w:spacing w:val="-5"/>
              </w:rPr>
              <w:t xml:space="preserve"> </w:t>
            </w:r>
            <w:r w:rsidR="00E9760A" w:rsidRPr="00D4309F">
              <w:t>nearshore</w:t>
            </w:r>
            <w:r w:rsidR="00E9760A" w:rsidRPr="00D4309F">
              <w:rPr>
                <w:spacing w:val="-5"/>
              </w:rPr>
              <w:t xml:space="preserve"> </w:t>
            </w:r>
            <w:r w:rsidR="00E9760A" w:rsidRPr="00D4309F">
              <w:t>sand,</w:t>
            </w:r>
            <w:r w:rsidR="00E9760A">
              <w:t xml:space="preserve"> </w:t>
            </w:r>
            <w:r w:rsidR="00E9760A" w:rsidRPr="00D4309F">
              <w:t>potential</w:t>
            </w:r>
            <w:r w:rsidR="00E9760A" w:rsidRPr="00D4309F">
              <w:rPr>
                <w:spacing w:val="-3"/>
              </w:rPr>
              <w:t xml:space="preserve"> </w:t>
            </w:r>
            <w:r w:rsidR="00E9760A" w:rsidRPr="00D4309F">
              <w:t>for</w:t>
            </w:r>
            <w:r w:rsidR="00E9760A" w:rsidRPr="00D4309F">
              <w:rPr>
                <w:spacing w:val="-3"/>
              </w:rPr>
              <w:t xml:space="preserve"> </w:t>
            </w:r>
            <w:r w:rsidR="00E9760A" w:rsidRPr="00D4309F">
              <w:t>minimal</w:t>
            </w:r>
            <w:r w:rsidR="00E9760A">
              <w:t xml:space="preserve"> </w:t>
            </w:r>
            <w:r w:rsidR="00E9760A" w:rsidRPr="00D4309F">
              <w:t>beach</w:t>
            </w:r>
            <w:r w:rsidR="00E9760A" w:rsidRPr="00D4309F">
              <w:rPr>
                <w:spacing w:val="-4"/>
              </w:rPr>
              <w:t xml:space="preserve"> </w:t>
            </w:r>
            <w:r w:rsidR="00E9760A" w:rsidRPr="00D4309F">
              <w:t>erosion</w:t>
            </w:r>
            <w:r w:rsidR="00E9760A" w:rsidRPr="00D4309F">
              <w:rPr>
                <w:spacing w:val="-1"/>
              </w:rPr>
              <w:t xml:space="preserve"> </w:t>
            </w:r>
            <w:r w:rsidR="00E9760A" w:rsidRPr="00D4309F">
              <w:rPr>
                <w:spacing w:val="-5"/>
              </w:rPr>
              <w:t>at</w:t>
            </w:r>
            <w:r w:rsidR="00E9760A">
              <w:rPr>
                <w:spacing w:val="-5"/>
              </w:rPr>
              <w:t xml:space="preserve"> </w:t>
            </w:r>
            <w:r w:rsidR="00E9760A" w:rsidRPr="00D4309F">
              <w:t>Buddina</w:t>
            </w:r>
            <w:r w:rsidR="00E9760A" w:rsidRPr="00D4309F">
              <w:rPr>
                <w:spacing w:val="-5"/>
              </w:rPr>
              <w:t xml:space="preserve"> </w:t>
            </w:r>
            <w:r w:rsidR="00E9760A" w:rsidRPr="00D4309F">
              <w:t>Beach</w:t>
            </w:r>
          </w:p>
        </w:tc>
        <w:tc>
          <w:tcPr>
            <w:tcW w:w="2126" w:type="dxa"/>
            <w:gridSpan w:val="3"/>
          </w:tcPr>
          <w:p w14:paraId="7145AF03" w14:textId="115F18A1" w:rsidR="00725977" w:rsidRPr="00D4309F" w:rsidRDefault="00725977" w:rsidP="00E9760A">
            <w:pPr>
              <w:pStyle w:val="Table-Text"/>
            </w:pPr>
            <w:r w:rsidRPr="00D4309F">
              <w:t>Disturbance</w:t>
            </w:r>
            <w:r w:rsidRPr="00D4309F">
              <w:rPr>
                <w:spacing w:val="-6"/>
              </w:rPr>
              <w:t xml:space="preserve"> </w:t>
            </w:r>
            <w:r w:rsidRPr="00D4309F">
              <w:rPr>
                <w:spacing w:val="-5"/>
              </w:rPr>
              <w:t>to</w:t>
            </w:r>
            <w:r w:rsidR="00E9760A">
              <w:rPr>
                <w:spacing w:val="-5"/>
              </w:rPr>
              <w:t xml:space="preserve"> </w:t>
            </w:r>
            <w:r w:rsidR="00E9760A" w:rsidRPr="00D4309F">
              <w:t>nearshore</w:t>
            </w:r>
            <w:r w:rsidR="00E9760A" w:rsidRPr="00D4309F">
              <w:rPr>
                <w:spacing w:val="-5"/>
              </w:rPr>
              <w:t xml:space="preserve"> </w:t>
            </w:r>
            <w:r w:rsidR="00E9760A" w:rsidRPr="00D4309F">
              <w:t>sand,</w:t>
            </w:r>
            <w:r w:rsidR="00E9760A">
              <w:t xml:space="preserve"> </w:t>
            </w:r>
            <w:r w:rsidR="00E9760A" w:rsidRPr="00D4309F">
              <w:t>potential</w:t>
            </w:r>
            <w:r w:rsidR="00E9760A" w:rsidRPr="00D4309F">
              <w:rPr>
                <w:spacing w:val="-3"/>
              </w:rPr>
              <w:t xml:space="preserve"> </w:t>
            </w:r>
            <w:r w:rsidR="00E9760A" w:rsidRPr="00D4309F">
              <w:t>for</w:t>
            </w:r>
            <w:r w:rsidR="00E9760A" w:rsidRPr="00D4309F">
              <w:rPr>
                <w:spacing w:val="-3"/>
              </w:rPr>
              <w:t xml:space="preserve"> </w:t>
            </w:r>
            <w:r w:rsidR="00E9760A" w:rsidRPr="00D4309F">
              <w:t>minimal</w:t>
            </w:r>
            <w:r w:rsidR="00E9760A">
              <w:t xml:space="preserve"> </w:t>
            </w:r>
            <w:r w:rsidR="00E9760A" w:rsidRPr="00D4309F">
              <w:t>beach</w:t>
            </w:r>
            <w:r w:rsidR="00E9760A" w:rsidRPr="00D4309F">
              <w:rPr>
                <w:spacing w:val="-4"/>
              </w:rPr>
              <w:t xml:space="preserve"> </w:t>
            </w:r>
            <w:r w:rsidR="00E9760A" w:rsidRPr="00D4309F">
              <w:t>erosion</w:t>
            </w:r>
            <w:r w:rsidR="00E9760A" w:rsidRPr="00D4309F">
              <w:rPr>
                <w:spacing w:val="-1"/>
              </w:rPr>
              <w:t xml:space="preserve"> </w:t>
            </w:r>
            <w:r w:rsidR="00E9760A" w:rsidRPr="00D4309F">
              <w:rPr>
                <w:spacing w:val="-5"/>
              </w:rPr>
              <w:t>at</w:t>
            </w:r>
            <w:r w:rsidR="00E9760A">
              <w:rPr>
                <w:spacing w:val="-5"/>
              </w:rPr>
              <w:t xml:space="preserve"> </w:t>
            </w:r>
            <w:r w:rsidR="00E9760A" w:rsidRPr="00D4309F">
              <w:t xml:space="preserve">Buddina beach </w:t>
            </w:r>
            <w:r w:rsidR="00E9760A">
              <w:t>–</w:t>
            </w:r>
            <w:r w:rsidR="00E9760A" w:rsidRPr="00D4309F">
              <w:t xml:space="preserve"> level</w:t>
            </w:r>
            <w:r w:rsidR="00E9760A" w:rsidRPr="00D4309F">
              <w:rPr>
                <w:spacing w:val="-15"/>
              </w:rPr>
              <w:t xml:space="preserve"> </w:t>
            </w:r>
            <w:r w:rsidR="00E9760A" w:rsidRPr="00D4309F">
              <w:t>of</w:t>
            </w:r>
            <w:r w:rsidR="00E9760A" w:rsidRPr="00D4309F">
              <w:rPr>
                <w:spacing w:val="-12"/>
              </w:rPr>
              <w:t xml:space="preserve"> </w:t>
            </w:r>
            <w:r w:rsidR="00E9760A" w:rsidRPr="00D4309F">
              <w:t>complication</w:t>
            </w:r>
            <w:r w:rsidR="00E9760A">
              <w:t xml:space="preserve"> </w:t>
            </w:r>
            <w:r w:rsidR="00E9760A" w:rsidRPr="00D4309F">
              <w:t>with</w:t>
            </w:r>
            <w:r w:rsidR="00E9760A" w:rsidRPr="00D4309F">
              <w:rPr>
                <w:spacing w:val="-3"/>
              </w:rPr>
              <w:t xml:space="preserve"> </w:t>
            </w:r>
            <w:r w:rsidR="00E9760A" w:rsidRPr="00D4309F">
              <w:t xml:space="preserve">pump and </w:t>
            </w:r>
            <w:r w:rsidR="00E9760A" w:rsidRPr="00D4309F">
              <w:rPr>
                <w:spacing w:val="-4"/>
              </w:rPr>
              <w:t>pipe</w:t>
            </w:r>
            <w:r w:rsidR="00E9760A">
              <w:rPr>
                <w:spacing w:val="-4"/>
              </w:rPr>
              <w:t xml:space="preserve"> </w:t>
            </w:r>
            <w:r w:rsidR="00E9760A" w:rsidRPr="00D4309F">
              <w:t>network</w:t>
            </w:r>
            <w:r w:rsidR="00E9760A" w:rsidRPr="00D4309F">
              <w:rPr>
                <w:spacing w:val="-6"/>
              </w:rPr>
              <w:t xml:space="preserve"> </w:t>
            </w:r>
            <w:r w:rsidR="00E9760A" w:rsidRPr="00D4309F">
              <w:t>though</w:t>
            </w:r>
            <w:r w:rsidR="00E9760A">
              <w:t xml:space="preserve"> </w:t>
            </w:r>
            <w:r w:rsidR="00E9760A" w:rsidRPr="00D4309F">
              <w:t>national</w:t>
            </w:r>
            <w:r w:rsidR="00E9760A" w:rsidRPr="00D4309F">
              <w:rPr>
                <w:spacing w:val="-4"/>
              </w:rPr>
              <w:t xml:space="preserve"> </w:t>
            </w:r>
            <w:r w:rsidR="00E9760A" w:rsidRPr="00D4309F">
              <w:t>park.</w:t>
            </w:r>
          </w:p>
        </w:tc>
        <w:tc>
          <w:tcPr>
            <w:tcW w:w="2229" w:type="dxa"/>
            <w:gridSpan w:val="2"/>
          </w:tcPr>
          <w:p w14:paraId="195806A2" w14:textId="47410CC7" w:rsidR="00725977" w:rsidRPr="00D4309F" w:rsidRDefault="00725977" w:rsidP="00E9760A">
            <w:pPr>
              <w:pStyle w:val="Table-Text"/>
            </w:pPr>
            <w:r w:rsidRPr="00D4309F">
              <w:t>Sand</w:t>
            </w:r>
            <w:r w:rsidRPr="00D4309F">
              <w:rPr>
                <w:spacing w:val="-5"/>
              </w:rPr>
              <w:t xml:space="preserve"> </w:t>
            </w:r>
            <w:r w:rsidRPr="00D4309F">
              <w:t>likely</w:t>
            </w:r>
            <w:r w:rsidRPr="00D4309F">
              <w:rPr>
                <w:spacing w:val="-3"/>
              </w:rPr>
              <w:t xml:space="preserve"> </w:t>
            </w:r>
            <w:r w:rsidRPr="00D4309F">
              <w:t>placed</w:t>
            </w:r>
            <w:r w:rsidR="00E9760A">
              <w:t xml:space="preserve"> </w:t>
            </w:r>
            <w:r w:rsidR="00E9760A" w:rsidRPr="00D4309F">
              <w:t>offshore</w:t>
            </w:r>
            <w:r w:rsidR="00E9760A" w:rsidRPr="00D4309F">
              <w:rPr>
                <w:spacing w:val="-3"/>
              </w:rPr>
              <w:t xml:space="preserve"> </w:t>
            </w:r>
            <w:r w:rsidR="00E9760A" w:rsidRPr="00D4309F">
              <w:t>in</w:t>
            </w:r>
            <w:r w:rsidR="00E9760A" w:rsidRPr="00D4309F">
              <w:rPr>
                <w:spacing w:val="-3"/>
              </w:rPr>
              <w:t xml:space="preserve"> </w:t>
            </w:r>
            <w:r w:rsidR="00E9760A" w:rsidRPr="00D4309F">
              <w:t xml:space="preserve">Area </w:t>
            </w:r>
            <w:r w:rsidR="00E9760A" w:rsidRPr="00D4309F">
              <w:rPr>
                <w:spacing w:val="-10"/>
              </w:rPr>
              <w:t>B</w:t>
            </w:r>
          </w:p>
        </w:tc>
        <w:tc>
          <w:tcPr>
            <w:tcW w:w="2226" w:type="dxa"/>
          </w:tcPr>
          <w:p w14:paraId="61032C5F" w14:textId="288F224D" w:rsidR="00725977" w:rsidRPr="00D4309F" w:rsidRDefault="00725977" w:rsidP="00E9760A">
            <w:pPr>
              <w:pStyle w:val="Table-Text"/>
            </w:pPr>
            <w:r w:rsidRPr="00D4309F">
              <w:t>Noise</w:t>
            </w:r>
            <w:r w:rsidRPr="00D4309F">
              <w:rPr>
                <w:spacing w:val="-4"/>
              </w:rPr>
              <w:t xml:space="preserve"> </w:t>
            </w:r>
            <w:r w:rsidRPr="00D4309F">
              <w:t>of</w:t>
            </w:r>
            <w:r w:rsidRPr="00D4309F">
              <w:rPr>
                <w:spacing w:val="-1"/>
              </w:rPr>
              <w:t xml:space="preserve"> </w:t>
            </w:r>
            <w:r w:rsidRPr="00D4309F">
              <w:t>pump</w:t>
            </w:r>
            <w:r w:rsidRPr="00D4309F">
              <w:rPr>
                <w:spacing w:val="-1"/>
              </w:rPr>
              <w:t xml:space="preserve"> </w:t>
            </w:r>
            <w:r w:rsidRPr="00D4309F">
              <w:t>system</w:t>
            </w:r>
            <w:r w:rsidR="00E9760A">
              <w:t xml:space="preserve"> </w:t>
            </w:r>
            <w:r w:rsidR="00E9760A" w:rsidRPr="00D4309F">
              <w:t>on</w:t>
            </w:r>
            <w:r w:rsidR="00E9760A" w:rsidRPr="00D4309F">
              <w:rPr>
                <w:spacing w:val="-3"/>
              </w:rPr>
              <w:t xml:space="preserve"> </w:t>
            </w:r>
            <w:r w:rsidR="00E9760A" w:rsidRPr="00D4309F">
              <w:t>shore,</w:t>
            </w:r>
            <w:r w:rsidR="00E9760A" w:rsidRPr="00D4309F">
              <w:rPr>
                <w:spacing w:val="-1"/>
              </w:rPr>
              <w:t xml:space="preserve"> </w:t>
            </w:r>
            <w:r w:rsidR="00E9760A" w:rsidRPr="00D4309F">
              <w:t>disturbance</w:t>
            </w:r>
            <w:r w:rsidR="00E9760A">
              <w:t xml:space="preserve"> </w:t>
            </w:r>
            <w:r w:rsidR="00E9760A" w:rsidRPr="00D4309F">
              <w:t xml:space="preserve">to beach in Area </w:t>
            </w:r>
            <w:r w:rsidR="00E9760A" w:rsidRPr="00D4309F">
              <w:rPr>
                <w:spacing w:val="-10"/>
              </w:rPr>
              <w:t>B</w:t>
            </w:r>
            <w:r w:rsidR="00E9760A">
              <w:rPr>
                <w:spacing w:val="-10"/>
              </w:rPr>
              <w:t xml:space="preserve"> </w:t>
            </w:r>
            <w:r w:rsidR="00E9760A" w:rsidRPr="00D4309F">
              <w:t>where</w:t>
            </w:r>
            <w:r w:rsidR="00E9760A" w:rsidRPr="00D4309F">
              <w:rPr>
                <w:spacing w:val="-3"/>
              </w:rPr>
              <w:t xml:space="preserve"> </w:t>
            </w:r>
            <w:r w:rsidR="00E9760A" w:rsidRPr="00D4309F">
              <w:t>sand</w:t>
            </w:r>
            <w:r w:rsidR="00E9760A" w:rsidRPr="00D4309F">
              <w:rPr>
                <w:spacing w:val="-3"/>
              </w:rPr>
              <w:t xml:space="preserve"> </w:t>
            </w:r>
            <w:r w:rsidR="00E9760A" w:rsidRPr="00D4309F">
              <w:t>is placed</w:t>
            </w:r>
          </w:p>
        </w:tc>
      </w:tr>
    </w:tbl>
    <w:p w14:paraId="5A53B119" w14:textId="77777777" w:rsidR="00725977" w:rsidRPr="00D4309F" w:rsidRDefault="00725977" w:rsidP="00725977">
      <w:pPr>
        <w:pStyle w:val="TableParagraph"/>
        <w:rPr>
          <w:rFonts w:ascii="Times New Roman"/>
          <w:sz w:val="14"/>
        </w:rPr>
        <w:sectPr w:rsidR="00725977" w:rsidRPr="00D4309F" w:rsidSect="00405D4F">
          <w:headerReference w:type="default" r:id="rId90"/>
          <w:footerReference w:type="default" r:id="rId91"/>
          <w:pgSz w:w="11910" w:h="16840"/>
          <w:pgMar w:top="1418" w:right="1134" w:bottom="1418" w:left="1134" w:header="916" w:footer="980" w:gutter="0"/>
          <w:cols w:space="720"/>
        </w:sectPr>
      </w:pPr>
    </w:p>
    <w:p w14:paraId="57BDE70B" w14:textId="0A3297CB" w:rsidR="00725977" w:rsidRPr="00D4309F" w:rsidRDefault="00725977" w:rsidP="00F4416A">
      <w:pPr>
        <w:pStyle w:val="Heading2"/>
      </w:pPr>
      <w:bookmarkStart w:id="293" w:name="_bookmark120"/>
      <w:bookmarkStart w:id="294" w:name="_Toc216699398"/>
      <w:bookmarkEnd w:id="293"/>
      <w:r w:rsidRPr="00D4309F">
        <w:lastRenderedPageBreak/>
        <w:t>Multi-criteria</w:t>
      </w:r>
      <w:r w:rsidRPr="00D4309F">
        <w:rPr>
          <w:spacing w:val="-10"/>
        </w:rPr>
        <w:t xml:space="preserve"> </w:t>
      </w:r>
      <w:r w:rsidRPr="00D4309F">
        <w:t>analysis</w:t>
      </w:r>
      <w:r w:rsidRPr="00D4309F">
        <w:rPr>
          <w:spacing w:val="-9"/>
        </w:rPr>
        <w:t xml:space="preserve"> </w:t>
      </w:r>
      <w:r w:rsidRPr="00D4309F">
        <w:t>for</w:t>
      </w:r>
      <w:r w:rsidRPr="00D4309F">
        <w:rPr>
          <w:spacing w:val="-11"/>
        </w:rPr>
        <w:t xml:space="preserve"> </w:t>
      </w:r>
      <w:r w:rsidRPr="00D4309F">
        <w:t>Option</w:t>
      </w:r>
      <w:r w:rsidRPr="00D4309F">
        <w:rPr>
          <w:spacing w:val="-10"/>
        </w:rPr>
        <w:t xml:space="preserve"> </w:t>
      </w:r>
      <w:r w:rsidRPr="00D4309F">
        <w:t>1A</w:t>
      </w:r>
      <w:r w:rsidRPr="00D4309F">
        <w:rPr>
          <w:spacing w:val="-10"/>
        </w:rPr>
        <w:t xml:space="preserve"> </w:t>
      </w:r>
      <w:r w:rsidRPr="00D4309F">
        <w:t>&amp;</w:t>
      </w:r>
      <w:r w:rsidRPr="00D4309F">
        <w:rPr>
          <w:spacing w:val="-10"/>
        </w:rPr>
        <w:t xml:space="preserve"> </w:t>
      </w:r>
      <w:r w:rsidRPr="00D4309F">
        <w:rPr>
          <w:spacing w:val="-5"/>
        </w:rPr>
        <w:t>1B</w:t>
      </w:r>
      <w:bookmarkEnd w:id="294"/>
    </w:p>
    <w:p w14:paraId="2B557E78" w14:textId="77777777" w:rsidR="00725977" w:rsidRPr="00D4309F" w:rsidRDefault="00725977" w:rsidP="00725977">
      <w:pPr>
        <w:pStyle w:val="BodyText"/>
      </w:pPr>
      <w:r w:rsidRPr="00D4309F">
        <w:t>To</w:t>
      </w:r>
      <w:r w:rsidRPr="00D4309F">
        <w:rPr>
          <w:spacing w:val="-2"/>
        </w:rPr>
        <w:t xml:space="preserve"> </w:t>
      </w:r>
      <w:r w:rsidRPr="00D4309F">
        <w:t>enable</w:t>
      </w:r>
      <w:r w:rsidRPr="00D4309F">
        <w:rPr>
          <w:spacing w:val="-2"/>
        </w:rPr>
        <w:t xml:space="preserve"> </w:t>
      </w:r>
      <w:r w:rsidRPr="00D4309F">
        <w:t>the</w:t>
      </w:r>
      <w:r w:rsidRPr="00D4309F">
        <w:rPr>
          <w:spacing w:val="-3"/>
        </w:rPr>
        <w:t xml:space="preserve"> </w:t>
      </w:r>
      <w:r w:rsidRPr="00D4309F">
        <w:t>integration</w:t>
      </w:r>
      <w:r w:rsidRPr="00D4309F">
        <w:rPr>
          <w:spacing w:val="-2"/>
        </w:rPr>
        <w:t xml:space="preserve"> </w:t>
      </w:r>
      <w:r w:rsidRPr="00D4309F">
        <w:t>and</w:t>
      </w:r>
      <w:r w:rsidRPr="00D4309F">
        <w:rPr>
          <w:spacing w:val="-2"/>
        </w:rPr>
        <w:t xml:space="preserve"> </w:t>
      </w:r>
      <w:r w:rsidRPr="00D4309F">
        <w:t>evaluation</w:t>
      </w:r>
      <w:r w:rsidRPr="00D4309F">
        <w:rPr>
          <w:spacing w:val="-3"/>
        </w:rPr>
        <w:t xml:space="preserve"> </w:t>
      </w:r>
      <w:r w:rsidRPr="00D4309F">
        <w:t>of</w:t>
      </w:r>
      <w:r w:rsidRPr="00D4309F">
        <w:rPr>
          <w:spacing w:val="-2"/>
        </w:rPr>
        <w:t xml:space="preserve"> </w:t>
      </w:r>
      <w:r w:rsidRPr="00D4309F">
        <w:t>the</w:t>
      </w:r>
      <w:r w:rsidRPr="00D4309F">
        <w:rPr>
          <w:spacing w:val="-2"/>
        </w:rPr>
        <w:t xml:space="preserve"> </w:t>
      </w:r>
      <w:r w:rsidRPr="00D4309F">
        <w:t>preceding</w:t>
      </w:r>
      <w:r w:rsidRPr="00D4309F">
        <w:rPr>
          <w:spacing w:val="-2"/>
        </w:rPr>
        <w:t xml:space="preserve"> </w:t>
      </w:r>
      <w:r w:rsidRPr="00D4309F">
        <w:t>assessments</w:t>
      </w:r>
      <w:r w:rsidRPr="00D4309F">
        <w:rPr>
          <w:spacing w:val="-1"/>
        </w:rPr>
        <w:t xml:space="preserve"> </w:t>
      </w:r>
      <w:r w:rsidRPr="00D4309F">
        <w:t>on</w:t>
      </w:r>
      <w:r w:rsidRPr="00D4309F">
        <w:rPr>
          <w:spacing w:val="-2"/>
        </w:rPr>
        <w:t xml:space="preserve"> </w:t>
      </w:r>
      <w:r w:rsidRPr="00D4309F">
        <w:t>coastal</w:t>
      </w:r>
      <w:r w:rsidRPr="00D4309F">
        <w:rPr>
          <w:spacing w:val="-2"/>
        </w:rPr>
        <w:t xml:space="preserve"> </w:t>
      </w:r>
      <w:r w:rsidRPr="00D4309F">
        <w:t>engineering,</w:t>
      </w:r>
      <w:r w:rsidRPr="00D4309F">
        <w:rPr>
          <w:spacing w:val="-2"/>
        </w:rPr>
        <w:t xml:space="preserve"> </w:t>
      </w:r>
      <w:r w:rsidRPr="00D4309F">
        <w:t>socio-economic</w:t>
      </w:r>
      <w:r w:rsidRPr="00D4309F">
        <w:rPr>
          <w:spacing w:val="-1"/>
        </w:rPr>
        <w:t xml:space="preserve"> </w:t>
      </w:r>
      <w:r w:rsidRPr="00D4309F">
        <w:t>and</w:t>
      </w:r>
      <w:r w:rsidRPr="00D4309F">
        <w:rPr>
          <w:spacing w:val="-2"/>
        </w:rPr>
        <w:t xml:space="preserve"> </w:t>
      </w:r>
      <w:r w:rsidRPr="00D4309F">
        <w:t>environmental,</w:t>
      </w:r>
      <w:r w:rsidRPr="00D4309F">
        <w:rPr>
          <w:spacing w:val="-2"/>
        </w:rPr>
        <w:t xml:space="preserve"> </w:t>
      </w:r>
      <w:r w:rsidRPr="00D4309F">
        <w:t>a</w:t>
      </w:r>
      <w:r w:rsidRPr="00D4309F">
        <w:rPr>
          <w:spacing w:val="-3"/>
        </w:rPr>
        <w:t xml:space="preserve"> </w:t>
      </w:r>
      <w:r w:rsidRPr="00D4309F">
        <w:t>multi-criteria</w:t>
      </w:r>
      <w:r w:rsidRPr="00D4309F">
        <w:rPr>
          <w:spacing w:val="-2"/>
        </w:rPr>
        <w:t xml:space="preserve"> </w:t>
      </w:r>
      <w:r w:rsidRPr="00D4309F">
        <w:t>analysis</w:t>
      </w:r>
      <w:r w:rsidRPr="00D4309F">
        <w:rPr>
          <w:spacing w:val="-2"/>
        </w:rPr>
        <w:t xml:space="preserve"> </w:t>
      </w:r>
      <w:r w:rsidRPr="00D4309F">
        <w:t>(MCA)</w:t>
      </w:r>
      <w:r w:rsidRPr="00D4309F">
        <w:rPr>
          <w:spacing w:val="-1"/>
        </w:rPr>
        <w:t xml:space="preserve"> </w:t>
      </w:r>
      <w:r w:rsidRPr="00D4309F">
        <w:t>has</w:t>
      </w:r>
      <w:r w:rsidRPr="00D4309F">
        <w:rPr>
          <w:spacing w:val="-1"/>
        </w:rPr>
        <w:t xml:space="preserve"> </w:t>
      </w:r>
      <w:r w:rsidRPr="00D4309F">
        <w:t>been undertaken to evaluate the options.</w:t>
      </w:r>
    </w:p>
    <w:p w14:paraId="09E18389" w14:textId="77777777" w:rsidR="00725977" w:rsidRDefault="00725977" w:rsidP="00725977">
      <w:pPr>
        <w:pStyle w:val="BodyText"/>
        <w:rPr>
          <w:spacing w:val="-2"/>
        </w:rPr>
      </w:pPr>
      <w:r w:rsidRPr="00D4309F">
        <w:t>The</w:t>
      </w:r>
      <w:r w:rsidRPr="00D4309F">
        <w:rPr>
          <w:spacing w:val="-4"/>
        </w:rPr>
        <w:t xml:space="preserve"> </w:t>
      </w:r>
      <w:r w:rsidRPr="00D4309F">
        <w:t>MCA</w:t>
      </w:r>
      <w:r w:rsidRPr="00D4309F">
        <w:rPr>
          <w:spacing w:val="-4"/>
        </w:rPr>
        <w:t xml:space="preserve"> </w:t>
      </w:r>
      <w:r w:rsidRPr="00D4309F">
        <w:t>scoring</w:t>
      </w:r>
      <w:r w:rsidRPr="00D4309F">
        <w:rPr>
          <w:spacing w:val="-3"/>
        </w:rPr>
        <w:t xml:space="preserve"> </w:t>
      </w:r>
      <w:r w:rsidRPr="00D4309F">
        <w:t>legend</w:t>
      </w:r>
      <w:r w:rsidRPr="00D4309F">
        <w:rPr>
          <w:spacing w:val="-3"/>
        </w:rPr>
        <w:t xml:space="preserve"> </w:t>
      </w:r>
      <w:r w:rsidRPr="00D4309F">
        <w:rPr>
          <w:spacing w:val="-2"/>
        </w:rPr>
        <w:t>follows:</w:t>
      </w:r>
    </w:p>
    <w:tbl>
      <w:tblPr>
        <w:tblStyle w:val="Table1"/>
        <w:tblW w:w="0" w:type="auto"/>
        <w:tblLayout w:type="fixed"/>
        <w:tblLook w:val="0620" w:firstRow="1" w:lastRow="0" w:firstColumn="0" w:lastColumn="0" w:noHBand="1" w:noVBand="1"/>
      </w:tblPr>
      <w:tblGrid>
        <w:gridCol w:w="3856"/>
        <w:gridCol w:w="10716"/>
      </w:tblGrid>
      <w:tr w:rsidR="00871E04" w:rsidRPr="0078153E" w14:paraId="70BE53CD" w14:textId="77777777" w:rsidTr="002A7828">
        <w:trPr>
          <w:cnfStyle w:val="100000000000" w:firstRow="1" w:lastRow="0" w:firstColumn="0" w:lastColumn="0" w:oddVBand="0" w:evenVBand="0" w:oddHBand="0" w:evenHBand="0" w:firstRowFirstColumn="0" w:firstRowLastColumn="0" w:lastRowFirstColumn="0" w:lastRowLastColumn="0"/>
          <w:tblHeader/>
        </w:trPr>
        <w:tc>
          <w:tcPr>
            <w:tcW w:w="3856" w:type="dxa"/>
            <w:hideMark/>
          </w:tcPr>
          <w:p w14:paraId="010FA949" w14:textId="77777777" w:rsidR="00871E04" w:rsidRPr="0078153E" w:rsidRDefault="00871E04">
            <w:pPr>
              <w:pStyle w:val="Table-Heading"/>
            </w:pPr>
            <w:r>
              <w:t>Score</w:t>
            </w:r>
          </w:p>
        </w:tc>
        <w:tc>
          <w:tcPr>
            <w:tcW w:w="10716" w:type="dxa"/>
          </w:tcPr>
          <w:p w14:paraId="50DE06F9" w14:textId="77777777" w:rsidR="00871E04" w:rsidRPr="0078153E" w:rsidRDefault="00871E04">
            <w:pPr>
              <w:pStyle w:val="Table-Heading"/>
            </w:pPr>
            <w:r>
              <w:t>Description of scores</w:t>
            </w:r>
          </w:p>
        </w:tc>
      </w:tr>
      <w:tr w:rsidR="00871E04" w14:paraId="37B9B210" w14:textId="77777777" w:rsidTr="002A7828">
        <w:tc>
          <w:tcPr>
            <w:tcW w:w="3856" w:type="dxa"/>
            <w:tcBorders>
              <w:top w:val="single" w:sz="4" w:space="0" w:color="5F6369" w:themeColor="text2"/>
              <w:left w:val="nil"/>
              <w:bottom w:val="single" w:sz="4" w:space="0" w:color="5F6369" w:themeColor="text2"/>
              <w:right w:val="nil"/>
            </w:tcBorders>
          </w:tcPr>
          <w:p w14:paraId="50A1C081" w14:textId="77777777" w:rsidR="00871E04" w:rsidRPr="007B7606" w:rsidRDefault="00871E04">
            <w:pPr>
              <w:pStyle w:val="Table-Text"/>
            </w:pPr>
            <w:r>
              <w:t>1</w:t>
            </w:r>
          </w:p>
        </w:tc>
        <w:tc>
          <w:tcPr>
            <w:tcW w:w="10716" w:type="dxa"/>
            <w:tcBorders>
              <w:top w:val="single" w:sz="4" w:space="0" w:color="5F6369" w:themeColor="text2"/>
              <w:left w:val="nil"/>
              <w:bottom w:val="single" w:sz="4" w:space="0" w:color="5F6369" w:themeColor="text2"/>
              <w:right w:val="nil"/>
            </w:tcBorders>
          </w:tcPr>
          <w:p w14:paraId="6862F764" w14:textId="77777777" w:rsidR="00871E04" w:rsidRPr="007B7606" w:rsidRDefault="00871E04">
            <w:pPr>
              <w:pStyle w:val="Table-Text"/>
            </w:pPr>
            <w:r w:rsidRPr="00D4309F">
              <w:rPr>
                <w:color w:val="211E1F"/>
              </w:rPr>
              <w:t>Worst</w:t>
            </w:r>
            <w:r w:rsidRPr="00D4309F">
              <w:rPr>
                <w:color w:val="211E1F"/>
                <w:spacing w:val="-6"/>
              </w:rPr>
              <w:t xml:space="preserve"> </w:t>
            </w:r>
            <w:r w:rsidRPr="00D4309F">
              <w:rPr>
                <w:color w:val="211E1F"/>
              </w:rPr>
              <w:t>performance</w:t>
            </w:r>
            <w:r w:rsidRPr="00D4309F">
              <w:rPr>
                <w:color w:val="211E1F"/>
                <w:spacing w:val="-4"/>
              </w:rPr>
              <w:t xml:space="preserve"> </w:t>
            </w:r>
            <w:r w:rsidRPr="00D4309F">
              <w:rPr>
                <w:color w:val="211E1F"/>
              </w:rPr>
              <w:t>or</w:t>
            </w:r>
            <w:r w:rsidRPr="00D4309F">
              <w:rPr>
                <w:color w:val="211E1F"/>
                <w:spacing w:val="-3"/>
              </w:rPr>
              <w:t xml:space="preserve"> </w:t>
            </w:r>
            <w:r w:rsidRPr="00D4309F">
              <w:rPr>
                <w:color w:val="211E1F"/>
              </w:rPr>
              <w:t>Significant</w:t>
            </w:r>
            <w:r w:rsidRPr="00D4309F">
              <w:rPr>
                <w:color w:val="211E1F"/>
                <w:spacing w:val="-3"/>
              </w:rPr>
              <w:t xml:space="preserve"> </w:t>
            </w:r>
            <w:r w:rsidRPr="00D4309F">
              <w:rPr>
                <w:color w:val="211E1F"/>
                <w:spacing w:val="-2"/>
              </w:rPr>
              <w:t>impacts</w:t>
            </w:r>
          </w:p>
        </w:tc>
      </w:tr>
      <w:tr w:rsidR="00871E04" w14:paraId="38853275" w14:textId="77777777" w:rsidTr="002A7828">
        <w:tc>
          <w:tcPr>
            <w:tcW w:w="3856" w:type="dxa"/>
            <w:tcBorders>
              <w:top w:val="single" w:sz="4" w:space="0" w:color="5F6369" w:themeColor="text2"/>
              <w:left w:val="nil"/>
              <w:bottom w:val="single" w:sz="4" w:space="0" w:color="5F6369" w:themeColor="text2"/>
              <w:right w:val="nil"/>
            </w:tcBorders>
          </w:tcPr>
          <w:p w14:paraId="69F0D784" w14:textId="77777777" w:rsidR="00871E04" w:rsidRDefault="00871E04">
            <w:pPr>
              <w:pStyle w:val="Table-Text"/>
              <w:rPr>
                <w:lang w:val="en-GB"/>
              </w:rPr>
            </w:pPr>
            <w:r>
              <w:rPr>
                <w:lang w:val="en-GB"/>
              </w:rPr>
              <w:t>2</w:t>
            </w:r>
          </w:p>
        </w:tc>
        <w:tc>
          <w:tcPr>
            <w:tcW w:w="10716" w:type="dxa"/>
            <w:tcBorders>
              <w:top w:val="single" w:sz="4" w:space="0" w:color="5F6369" w:themeColor="text2"/>
              <w:left w:val="nil"/>
              <w:bottom w:val="single" w:sz="4" w:space="0" w:color="5F6369" w:themeColor="text2"/>
              <w:right w:val="nil"/>
            </w:tcBorders>
          </w:tcPr>
          <w:p w14:paraId="5788DCA3" w14:textId="77777777" w:rsidR="00871E04" w:rsidRPr="002A5F65" w:rsidRDefault="00871E04">
            <w:pPr>
              <w:pStyle w:val="Table-Text"/>
            </w:pPr>
            <w:r w:rsidRPr="00D4309F">
              <w:rPr>
                <w:color w:val="211E1F"/>
              </w:rPr>
              <w:t>Poor</w:t>
            </w:r>
            <w:r w:rsidRPr="00D4309F">
              <w:rPr>
                <w:color w:val="211E1F"/>
                <w:spacing w:val="-5"/>
              </w:rPr>
              <w:t xml:space="preserve"> </w:t>
            </w:r>
            <w:r w:rsidRPr="00D4309F">
              <w:rPr>
                <w:color w:val="211E1F"/>
              </w:rPr>
              <w:t>performance</w:t>
            </w:r>
            <w:r w:rsidRPr="00D4309F">
              <w:rPr>
                <w:color w:val="211E1F"/>
                <w:spacing w:val="-2"/>
              </w:rPr>
              <w:t xml:space="preserve"> </w:t>
            </w:r>
            <w:r w:rsidRPr="00D4309F">
              <w:rPr>
                <w:color w:val="211E1F"/>
              </w:rPr>
              <w:t>or</w:t>
            </w:r>
            <w:r w:rsidRPr="00D4309F">
              <w:rPr>
                <w:color w:val="211E1F"/>
                <w:spacing w:val="-2"/>
              </w:rPr>
              <w:t xml:space="preserve"> </w:t>
            </w:r>
            <w:r w:rsidRPr="00D4309F">
              <w:rPr>
                <w:color w:val="211E1F"/>
              </w:rPr>
              <w:t>Major</w:t>
            </w:r>
            <w:r w:rsidRPr="00D4309F">
              <w:rPr>
                <w:color w:val="211E1F"/>
                <w:spacing w:val="-2"/>
              </w:rPr>
              <w:t xml:space="preserve"> impacts</w:t>
            </w:r>
          </w:p>
        </w:tc>
      </w:tr>
      <w:tr w:rsidR="00871E04" w14:paraId="22D1A941" w14:textId="77777777" w:rsidTr="002A7828">
        <w:tc>
          <w:tcPr>
            <w:tcW w:w="3856" w:type="dxa"/>
            <w:tcBorders>
              <w:top w:val="single" w:sz="4" w:space="0" w:color="5F6369" w:themeColor="text2"/>
              <w:left w:val="nil"/>
              <w:bottom w:val="single" w:sz="4" w:space="0" w:color="5F6369" w:themeColor="text2"/>
              <w:right w:val="nil"/>
            </w:tcBorders>
          </w:tcPr>
          <w:p w14:paraId="68ED72CA" w14:textId="77777777" w:rsidR="00871E04" w:rsidRDefault="00871E04">
            <w:pPr>
              <w:pStyle w:val="Table-Text"/>
              <w:rPr>
                <w:lang w:val="en-GB"/>
              </w:rPr>
            </w:pPr>
            <w:r>
              <w:rPr>
                <w:lang w:val="en-GB"/>
              </w:rPr>
              <w:t>3</w:t>
            </w:r>
          </w:p>
        </w:tc>
        <w:tc>
          <w:tcPr>
            <w:tcW w:w="10716" w:type="dxa"/>
            <w:tcBorders>
              <w:top w:val="single" w:sz="4" w:space="0" w:color="5F6369" w:themeColor="text2"/>
              <w:left w:val="nil"/>
              <w:bottom w:val="single" w:sz="4" w:space="0" w:color="5F6369" w:themeColor="text2"/>
              <w:right w:val="nil"/>
            </w:tcBorders>
          </w:tcPr>
          <w:p w14:paraId="7859A9BD" w14:textId="77777777" w:rsidR="00871E04" w:rsidRDefault="00871E04">
            <w:pPr>
              <w:pStyle w:val="Table-Text"/>
              <w:rPr>
                <w:lang w:val="en-GB"/>
              </w:rPr>
            </w:pPr>
            <w:r w:rsidRPr="00D4309F">
              <w:rPr>
                <w:color w:val="211E1F"/>
              </w:rPr>
              <w:t>Average</w:t>
            </w:r>
            <w:r w:rsidRPr="00D4309F">
              <w:rPr>
                <w:color w:val="211E1F"/>
                <w:spacing w:val="-6"/>
              </w:rPr>
              <w:t xml:space="preserve"> </w:t>
            </w:r>
            <w:r w:rsidRPr="00D4309F">
              <w:rPr>
                <w:color w:val="211E1F"/>
              </w:rPr>
              <w:t>performance</w:t>
            </w:r>
            <w:r w:rsidRPr="00D4309F">
              <w:rPr>
                <w:color w:val="211E1F"/>
                <w:spacing w:val="-3"/>
              </w:rPr>
              <w:t xml:space="preserve"> </w:t>
            </w:r>
            <w:r w:rsidRPr="00D4309F">
              <w:rPr>
                <w:color w:val="211E1F"/>
              </w:rPr>
              <w:t>or</w:t>
            </w:r>
            <w:r w:rsidRPr="00D4309F">
              <w:rPr>
                <w:color w:val="211E1F"/>
                <w:spacing w:val="-4"/>
              </w:rPr>
              <w:t xml:space="preserve"> </w:t>
            </w:r>
            <w:r w:rsidRPr="00D4309F">
              <w:rPr>
                <w:color w:val="211E1F"/>
              </w:rPr>
              <w:t>Moderate</w:t>
            </w:r>
            <w:r w:rsidRPr="00D4309F">
              <w:rPr>
                <w:color w:val="211E1F"/>
                <w:spacing w:val="-3"/>
              </w:rPr>
              <w:t xml:space="preserve"> </w:t>
            </w:r>
            <w:r w:rsidRPr="00D4309F">
              <w:rPr>
                <w:color w:val="211E1F"/>
                <w:spacing w:val="-2"/>
              </w:rPr>
              <w:t>impacts</w:t>
            </w:r>
            <w:r w:rsidRPr="00D4309F">
              <w:rPr>
                <w:color w:val="211E1F"/>
              </w:rPr>
              <w:t xml:space="preserve"> Average</w:t>
            </w:r>
            <w:r w:rsidRPr="00D4309F">
              <w:rPr>
                <w:color w:val="211E1F"/>
                <w:spacing w:val="-6"/>
              </w:rPr>
              <w:t xml:space="preserve"> </w:t>
            </w:r>
            <w:r w:rsidRPr="00D4309F">
              <w:rPr>
                <w:color w:val="211E1F"/>
              </w:rPr>
              <w:t>performance</w:t>
            </w:r>
            <w:r w:rsidRPr="00D4309F">
              <w:rPr>
                <w:color w:val="211E1F"/>
                <w:spacing w:val="-3"/>
              </w:rPr>
              <w:t xml:space="preserve"> </w:t>
            </w:r>
            <w:r w:rsidRPr="00D4309F">
              <w:rPr>
                <w:color w:val="211E1F"/>
              </w:rPr>
              <w:t>or</w:t>
            </w:r>
            <w:r w:rsidRPr="00D4309F">
              <w:rPr>
                <w:color w:val="211E1F"/>
                <w:spacing w:val="-4"/>
              </w:rPr>
              <w:t xml:space="preserve"> </w:t>
            </w:r>
            <w:r w:rsidRPr="00D4309F">
              <w:rPr>
                <w:color w:val="211E1F"/>
              </w:rPr>
              <w:t>Moderate</w:t>
            </w:r>
            <w:r w:rsidRPr="00D4309F">
              <w:rPr>
                <w:color w:val="211E1F"/>
                <w:spacing w:val="-3"/>
              </w:rPr>
              <w:t xml:space="preserve"> </w:t>
            </w:r>
            <w:r w:rsidRPr="00D4309F">
              <w:rPr>
                <w:color w:val="211E1F"/>
                <w:spacing w:val="-2"/>
              </w:rPr>
              <w:t>impacts</w:t>
            </w:r>
          </w:p>
        </w:tc>
      </w:tr>
      <w:tr w:rsidR="00871E04" w14:paraId="3FF06361" w14:textId="77777777" w:rsidTr="002A7828">
        <w:tc>
          <w:tcPr>
            <w:tcW w:w="3856" w:type="dxa"/>
            <w:tcBorders>
              <w:top w:val="single" w:sz="4" w:space="0" w:color="5F6369" w:themeColor="text2"/>
              <w:left w:val="nil"/>
              <w:bottom w:val="single" w:sz="4" w:space="0" w:color="5F6369" w:themeColor="text2"/>
              <w:right w:val="nil"/>
            </w:tcBorders>
          </w:tcPr>
          <w:p w14:paraId="6056E42D" w14:textId="77777777" w:rsidR="00871E04" w:rsidRDefault="00871E04">
            <w:pPr>
              <w:pStyle w:val="Table-Text"/>
              <w:rPr>
                <w:lang w:val="en-GB"/>
              </w:rPr>
            </w:pPr>
            <w:r>
              <w:rPr>
                <w:lang w:val="en-GB"/>
              </w:rPr>
              <w:t>4</w:t>
            </w:r>
          </w:p>
        </w:tc>
        <w:tc>
          <w:tcPr>
            <w:tcW w:w="10716" w:type="dxa"/>
            <w:tcBorders>
              <w:top w:val="single" w:sz="4" w:space="0" w:color="5F6369" w:themeColor="text2"/>
              <w:left w:val="nil"/>
              <w:bottom w:val="single" w:sz="4" w:space="0" w:color="5F6369" w:themeColor="text2"/>
              <w:right w:val="nil"/>
            </w:tcBorders>
          </w:tcPr>
          <w:p w14:paraId="007C69B8" w14:textId="77777777" w:rsidR="00871E04" w:rsidRDefault="00871E04">
            <w:pPr>
              <w:pStyle w:val="Table-Text"/>
              <w:rPr>
                <w:lang w:val="en-GB"/>
              </w:rPr>
            </w:pPr>
            <w:r w:rsidRPr="00D4309F">
              <w:rPr>
                <w:color w:val="211E1F"/>
              </w:rPr>
              <w:t>Good</w:t>
            </w:r>
            <w:r w:rsidRPr="00D4309F">
              <w:rPr>
                <w:color w:val="211E1F"/>
                <w:spacing w:val="-5"/>
              </w:rPr>
              <w:t xml:space="preserve"> </w:t>
            </w:r>
            <w:r w:rsidRPr="00D4309F">
              <w:rPr>
                <w:color w:val="211E1F"/>
              </w:rPr>
              <w:t>performance</w:t>
            </w:r>
            <w:r w:rsidRPr="00D4309F">
              <w:rPr>
                <w:color w:val="211E1F"/>
                <w:spacing w:val="-2"/>
              </w:rPr>
              <w:t xml:space="preserve"> </w:t>
            </w:r>
            <w:r w:rsidRPr="00D4309F">
              <w:rPr>
                <w:color w:val="211E1F"/>
              </w:rPr>
              <w:t>or</w:t>
            </w:r>
            <w:r w:rsidRPr="00D4309F">
              <w:rPr>
                <w:color w:val="211E1F"/>
                <w:spacing w:val="-2"/>
              </w:rPr>
              <w:t xml:space="preserve"> </w:t>
            </w:r>
            <w:r w:rsidRPr="00D4309F">
              <w:rPr>
                <w:color w:val="211E1F"/>
              </w:rPr>
              <w:t>Minor</w:t>
            </w:r>
            <w:r w:rsidRPr="00D4309F">
              <w:rPr>
                <w:color w:val="211E1F"/>
                <w:spacing w:val="-2"/>
              </w:rPr>
              <w:t xml:space="preserve"> impacts</w:t>
            </w:r>
          </w:p>
        </w:tc>
      </w:tr>
      <w:tr w:rsidR="00871E04" w14:paraId="5A6BFAEC" w14:textId="77777777" w:rsidTr="002A7828">
        <w:tc>
          <w:tcPr>
            <w:tcW w:w="3856" w:type="dxa"/>
            <w:tcBorders>
              <w:top w:val="single" w:sz="4" w:space="0" w:color="5F6369" w:themeColor="text2"/>
              <w:left w:val="nil"/>
              <w:bottom w:val="single" w:sz="18" w:space="0" w:color="5F6369" w:themeColor="text2"/>
              <w:right w:val="nil"/>
            </w:tcBorders>
          </w:tcPr>
          <w:p w14:paraId="0421482D" w14:textId="77777777" w:rsidR="00871E04" w:rsidRDefault="00871E04">
            <w:pPr>
              <w:pStyle w:val="Table-Text"/>
              <w:rPr>
                <w:lang w:val="en-GB"/>
              </w:rPr>
            </w:pPr>
            <w:r>
              <w:rPr>
                <w:lang w:val="en-GB"/>
              </w:rPr>
              <w:t>5</w:t>
            </w:r>
          </w:p>
        </w:tc>
        <w:tc>
          <w:tcPr>
            <w:tcW w:w="10716" w:type="dxa"/>
            <w:tcBorders>
              <w:top w:val="single" w:sz="4" w:space="0" w:color="5F6369" w:themeColor="text2"/>
              <w:left w:val="nil"/>
              <w:bottom w:val="single" w:sz="18" w:space="0" w:color="5F6369" w:themeColor="text2"/>
              <w:right w:val="nil"/>
            </w:tcBorders>
          </w:tcPr>
          <w:p w14:paraId="0BDA8D50" w14:textId="77777777" w:rsidR="00871E04" w:rsidRDefault="00871E04">
            <w:pPr>
              <w:pStyle w:val="Table-Text"/>
              <w:rPr>
                <w:lang w:val="en-GB"/>
              </w:rPr>
            </w:pPr>
            <w:r w:rsidRPr="00D4309F">
              <w:rPr>
                <w:color w:val="211E1F"/>
              </w:rPr>
              <w:t>Excellent</w:t>
            </w:r>
            <w:r w:rsidRPr="00D4309F">
              <w:rPr>
                <w:color w:val="211E1F"/>
                <w:spacing w:val="-6"/>
              </w:rPr>
              <w:t xml:space="preserve"> </w:t>
            </w:r>
            <w:r w:rsidRPr="00D4309F">
              <w:rPr>
                <w:color w:val="211E1F"/>
              </w:rPr>
              <w:t>performance</w:t>
            </w:r>
            <w:r w:rsidRPr="00D4309F">
              <w:rPr>
                <w:color w:val="211E1F"/>
                <w:spacing w:val="-4"/>
              </w:rPr>
              <w:t xml:space="preserve"> </w:t>
            </w:r>
            <w:r w:rsidRPr="00D4309F">
              <w:rPr>
                <w:color w:val="211E1F"/>
              </w:rPr>
              <w:t>or</w:t>
            </w:r>
            <w:r w:rsidRPr="00D4309F">
              <w:rPr>
                <w:color w:val="211E1F"/>
                <w:spacing w:val="-4"/>
              </w:rPr>
              <w:t xml:space="preserve"> </w:t>
            </w:r>
            <w:r w:rsidRPr="00D4309F">
              <w:rPr>
                <w:color w:val="211E1F"/>
              </w:rPr>
              <w:t>Insignificant</w:t>
            </w:r>
            <w:r w:rsidRPr="00D4309F">
              <w:rPr>
                <w:color w:val="211E1F"/>
                <w:spacing w:val="-4"/>
              </w:rPr>
              <w:t xml:space="preserve"> </w:t>
            </w:r>
            <w:r w:rsidRPr="00D4309F">
              <w:rPr>
                <w:color w:val="211E1F"/>
                <w:spacing w:val="-2"/>
              </w:rPr>
              <w:t>impacts</w:t>
            </w:r>
          </w:p>
        </w:tc>
      </w:tr>
    </w:tbl>
    <w:p w14:paraId="3EB25638" w14:textId="49402A3A" w:rsidR="00725977" w:rsidRPr="00D4309F" w:rsidRDefault="00725977" w:rsidP="00871E04">
      <w:pPr>
        <w:pStyle w:val="BodyText"/>
      </w:pPr>
      <w:bookmarkStart w:id="295" w:name="_bookmark121"/>
      <w:bookmarkEnd w:id="295"/>
    </w:p>
    <w:p w14:paraId="5AA27F67" w14:textId="2FF6DC4E" w:rsidR="00725977" w:rsidRPr="00D4309F" w:rsidRDefault="00871E04" w:rsidP="00151534">
      <w:pPr>
        <w:pStyle w:val="Table-Caption"/>
      </w:pPr>
      <w:bookmarkStart w:id="296" w:name="_Toc216699556"/>
      <w:r>
        <w:t xml:space="preserve">Table </w:t>
      </w:r>
      <w:r w:rsidR="00151534">
        <w:fldChar w:fldCharType="begin" w:fldLock="1"/>
      </w:r>
      <w:r w:rsidR="00151534">
        <w:instrText xml:space="preserve"> STYLEREF 1 \s </w:instrText>
      </w:r>
      <w:r w:rsidR="00151534">
        <w:fldChar w:fldCharType="separate"/>
      </w:r>
      <w:r w:rsidR="00151534">
        <w:rPr>
          <w:noProof/>
        </w:rPr>
        <w:t>13</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9</w:t>
      </w:r>
      <w:r w:rsidR="00151534">
        <w:fldChar w:fldCharType="end"/>
      </w:r>
      <w:r>
        <w:t>:</w:t>
      </w:r>
      <w:r>
        <w:tab/>
      </w:r>
      <w:r w:rsidRPr="00D4309F">
        <w:rPr>
          <w:color w:val="211E1F"/>
        </w:rPr>
        <w:t>Option</w:t>
      </w:r>
      <w:r w:rsidRPr="00D4309F">
        <w:rPr>
          <w:color w:val="211E1F"/>
          <w:spacing w:val="-1"/>
        </w:rPr>
        <w:t xml:space="preserve"> </w:t>
      </w:r>
      <w:r w:rsidRPr="00D4309F">
        <w:rPr>
          <w:color w:val="211E1F"/>
        </w:rPr>
        <w:t>1A</w:t>
      </w:r>
      <w:r w:rsidRPr="00D4309F">
        <w:rPr>
          <w:color w:val="211E1F"/>
          <w:spacing w:val="-1"/>
        </w:rPr>
        <w:t xml:space="preserve"> </w:t>
      </w:r>
      <w:r w:rsidRPr="00D4309F">
        <w:rPr>
          <w:color w:val="211E1F"/>
        </w:rPr>
        <w:t>–</w:t>
      </w:r>
      <w:r w:rsidRPr="00D4309F">
        <w:rPr>
          <w:color w:val="211E1F"/>
          <w:spacing w:val="-1"/>
        </w:rPr>
        <w:t xml:space="preserve"> </w:t>
      </w:r>
      <w:r w:rsidRPr="00D4309F">
        <w:rPr>
          <w:color w:val="211E1F"/>
        </w:rPr>
        <w:t>MCA</w:t>
      </w:r>
      <w:r w:rsidRPr="00D4309F">
        <w:rPr>
          <w:color w:val="211E1F"/>
          <w:spacing w:val="-1"/>
        </w:rPr>
        <w:t xml:space="preserve"> </w:t>
      </w:r>
      <w:r w:rsidRPr="00D4309F">
        <w:rPr>
          <w:color w:val="211E1F"/>
          <w:spacing w:val="-2"/>
        </w:rPr>
        <w:t>scoring</w:t>
      </w:r>
      <w:bookmarkEnd w:id="296"/>
    </w:p>
    <w:tbl>
      <w:tblPr>
        <w:tblStyle w:val="Table1"/>
        <w:tblW w:w="5000" w:type="pct"/>
        <w:tblLook w:val="04A0" w:firstRow="1" w:lastRow="0" w:firstColumn="1" w:lastColumn="0" w:noHBand="0" w:noVBand="1"/>
      </w:tblPr>
      <w:tblGrid>
        <w:gridCol w:w="2920"/>
        <w:gridCol w:w="9988"/>
        <w:gridCol w:w="1664"/>
      </w:tblGrid>
      <w:tr w:rsidR="00725977" w:rsidRPr="00D4309F" w14:paraId="2156C6F0" w14:textId="77777777" w:rsidTr="00430B9B">
        <w:trPr>
          <w:cnfStyle w:val="100000000000" w:firstRow="1" w:lastRow="0" w:firstColumn="0" w:lastColumn="0" w:oddVBand="0" w:evenVBand="0" w:oddHBand="0" w:evenHBand="0" w:firstRowFirstColumn="0" w:firstRowLastColumn="0" w:lastRowFirstColumn="0" w:lastRowLastColumn="0"/>
          <w:trHeight w:val="286"/>
          <w:tblHeader/>
        </w:trPr>
        <w:tc>
          <w:tcPr>
            <w:tcW w:w="1002" w:type="pct"/>
          </w:tcPr>
          <w:p w14:paraId="26FE8330" w14:textId="77777777" w:rsidR="00725977" w:rsidRPr="00D4309F" w:rsidRDefault="00725977">
            <w:pPr>
              <w:pStyle w:val="TableParagraph"/>
              <w:spacing w:before="40"/>
              <w:ind w:left="165"/>
              <w:rPr>
                <w:b/>
                <w:sz w:val="18"/>
              </w:rPr>
            </w:pPr>
            <w:r w:rsidRPr="00D4309F">
              <w:rPr>
                <w:b/>
                <w:color w:val="70004A"/>
                <w:sz w:val="18"/>
              </w:rPr>
              <w:t>MCA</w:t>
            </w:r>
            <w:r w:rsidRPr="00D4309F">
              <w:rPr>
                <w:b/>
                <w:color w:val="70004A"/>
                <w:spacing w:val="-3"/>
                <w:sz w:val="18"/>
              </w:rPr>
              <w:t xml:space="preserve"> </w:t>
            </w:r>
            <w:r w:rsidRPr="00D4309F">
              <w:rPr>
                <w:b/>
                <w:color w:val="70004A"/>
                <w:spacing w:val="-2"/>
                <w:sz w:val="18"/>
              </w:rPr>
              <w:t>Category</w:t>
            </w:r>
          </w:p>
        </w:tc>
        <w:tc>
          <w:tcPr>
            <w:tcW w:w="3427" w:type="pct"/>
          </w:tcPr>
          <w:p w14:paraId="0CFB8A14" w14:textId="77777777" w:rsidR="00725977" w:rsidRPr="00D4309F" w:rsidRDefault="00725977">
            <w:pPr>
              <w:pStyle w:val="TableParagraph"/>
              <w:spacing w:before="40"/>
              <w:ind w:left="165"/>
              <w:rPr>
                <w:b/>
                <w:sz w:val="18"/>
              </w:rPr>
            </w:pPr>
            <w:r w:rsidRPr="00D4309F">
              <w:rPr>
                <w:b/>
                <w:color w:val="70004A"/>
                <w:sz w:val="18"/>
              </w:rPr>
              <w:t>MCA</w:t>
            </w:r>
            <w:r w:rsidRPr="00D4309F">
              <w:rPr>
                <w:b/>
                <w:color w:val="70004A"/>
                <w:spacing w:val="-1"/>
                <w:sz w:val="18"/>
              </w:rPr>
              <w:t xml:space="preserve"> </w:t>
            </w:r>
            <w:r w:rsidRPr="00D4309F">
              <w:rPr>
                <w:b/>
                <w:color w:val="70004A"/>
                <w:spacing w:val="-2"/>
                <w:sz w:val="18"/>
              </w:rPr>
              <w:t>criteria</w:t>
            </w:r>
          </w:p>
        </w:tc>
        <w:tc>
          <w:tcPr>
            <w:tcW w:w="571" w:type="pct"/>
          </w:tcPr>
          <w:p w14:paraId="28ECD93D" w14:textId="77777777" w:rsidR="00725977" w:rsidRPr="00D4309F" w:rsidRDefault="00725977">
            <w:pPr>
              <w:pStyle w:val="TableParagraph"/>
              <w:spacing w:before="40"/>
              <w:ind w:left="485"/>
              <w:rPr>
                <w:b/>
                <w:sz w:val="18"/>
              </w:rPr>
            </w:pPr>
            <w:r w:rsidRPr="00D4309F">
              <w:rPr>
                <w:b/>
                <w:color w:val="70004A"/>
                <w:spacing w:val="-2"/>
                <w:sz w:val="18"/>
              </w:rPr>
              <w:t>Score</w:t>
            </w:r>
          </w:p>
        </w:tc>
      </w:tr>
      <w:tr w:rsidR="00430B9B" w:rsidRPr="00D4309F" w14:paraId="7BF41F49" w14:textId="77777777" w:rsidTr="00430B9B">
        <w:trPr>
          <w:trHeight w:val="494"/>
        </w:trPr>
        <w:tc>
          <w:tcPr>
            <w:tcW w:w="1002" w:type="pct"/>
            <w:vMerge w:val="restart"/>
          </w:tcPr>
          <w:p w14:paraId="191AAD7F" w14:textId="77777777" w:rsidR="00430B9B" w:rsidRPr="00D4309F" w:rsidRDefault="00430B9B">
            <w:pPr>
              <w:pStyle w:val="TableParagraph"/>
              <w:spacing w:before="39"/>
              <w:ind w:left="165"/>
              <w:rPr>
                <w:b/>
                <w:sz w:val="18"/>
              </w:rPr>
            </w:pPr>
            <w:r w:rsidRPr="00D4309F">
              <w:rPr>
                <w:b/>
                <w:color w:val="211E1F"/>
                <w:sz w:val="18"/>
              </w:rPr>
              <w:t>Coastal</w:t>
            </w:r>
            <w:r w:rsidRPr="00D4309F">
              <w:rPr>
                <w:b/>
                <w:color w:val="211E1F"/>
                <w:spacing w:val="-4"/>
                <w:sz w:val="18"/>
              </w:rPr>
              <w:t xml:space="preserve"> </w:t>
            </w:r>
            <w:r w:rsidRPr="00D4309F">
              <w:rPr>
                <w:b/>
                <w:color w:val="211E1F"/>
                <w:spacing w:val="-2"/>
                <w:sz w:val="18"/>
              </w:rPr>
              <w:t>engineering</w:t>
            </w:r>
          </w:p>
        </w:tc>
        <w:tc>
          <w:tcPr>
            <w:tcW w:w="3427" w:type="pct"/>
          </w:tcPr>
          <w:p w14:paraId="2F7E9F7A" w14:textId="77777777" w:rsidR="00430B9B" w:rsidRPr="00D4309F" w:rsidRDefault="00430B9B">
            <w:pPr>
              <w:pStyle w:val="TableParagraph"/>
              <w:spacing w:before="39"/>
              <w:ind w:left="166"/>
              <w:rPr>
                <w:sz w:val="18"/>
              </w:rPr>
            </w:pPr>
            <w:r w:rsidRPr="00D4309F">
              <w:rPr>
                <w:color w:val="211E1F"/>
                <w:sz w:val="18"/>
              </w:rPr>
              <w:t>Effectiveness:</w:t>
            </w:r>
            <w:r w:rsidRPr="00D4309F">
              <w:rPr>
                <w:color w:val="211E1F"/>
                <w:spacing w:val="-2"/>
                <w:sz w:val="18"/>
              </w:rPr>
              <w:t xml:space="preserve"> </w:t>
            </w:r>
            <w:r w:rsidRPr="00D4309F">
              <w:rPr>
                <w:color w:val="211E1F"/>
                <w:sz w:val="18"/>
              </w:rPr>
              <w:t>Likely</w:t>
            </w:r>
            <w:r w:rsidRPr="00D4309F">
              <w:rPr>
                <w:color w:val="211E1F"/>
                <w:spacing w:val="-1"/>
                <w:sz w:val="18"/>
              </w:rPr>
              <w:t xml:space="preserve"> </w:t>
            </w:r>
            <w:r w:rsidRPr="00D4309F">
              <w:rPr>
                <w:color w:val="211E1F"/>
                <w:sz w:val="18"/>
              </w:rPr>
              <w:t>ability</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shift</w:t>
            </w:r>
            <w:r w:rsidRPr="00D4309F">
              <w:rPr>
                <w:color w:val="211E1F"/>
                <w:spacing w:val="-2"/>
                <w:sz w:val="18"/>
              </w:rPr>
              <w:t xml:space="preserve"> </w:t>
            </w:r>
            <w:r w:rsidRPr="00D4309F">
              <w:rPr>
                <w:color w:val="211E1F"/>
                <w:sz w:val="18"/>
              </w:rPr>
              <w:t>enough</w:t>
            </w:r>
            <w:r w:rsidRPr="00D4309F">
              <w:rPr>
                <w:color w:val="211E1F"/>
                <w:spacing w:val="-3"/>
                <w:sz w:val="18"/>
              </w:rPr>
              <w:t xml:space="preserve"> </w:t>
            </w:r>
            <w:r w:rsidRPr="00D4309F">
              <w:rPr>
                <w:color w:val="211E1F"/>
                <w:sz w:val="18"/>
              </w:rPr>
              <w:t>sand</w:t>
            </w:r>
            <w:r w:rsidRPr="00D4309F">
              <w:rPr>
                <w:color w:val="211E1F"/>
                <w:spacing w:val="-3"/>
                <w:sz w:val="18"/>
              </w:rPr>
              <w:t xml:space="preserve"> </w:t>
            </w:r>
            <w:r w:rsidRPr="00D4309F">
              <w:rPr>
                <w:color w:val="211E1F"/>
                <w:sz w:val="18"/>
              </w:rPr>
              <w:t>past</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entrance</w:t>
            </w:r>
            <w:r w:rsidRPr="00D4309F">
              <w:rPr>
                <w:color w:val="211E1F"/>
                <w:spacing w:val="-3"/>
                <w:sz w:val="18"/>
              </w:rPr>
              <w:t xml:space="preserve"> </w:t>
            </w:r>
            <w:r w:rsidRPr="00D4309F">
              <w:rPr>
                <w:color w:val="211E1F"/>
                <w:sz w:val="18"/>
              </w:rPr>
              <w:t>(bypassing</w:t>
            </w:r>
            <w:r w:rsidRPr="00D4309F">
              <w:rPr>
                <w:color w:val="211E1F"/>
                <w:spacing w:val="-3"/>
                <w:sz w:val="18"/>
              </w:rPr>
              <w:t xml:space="preserve"> </w:t>
            </w:r>
            <w:r w:rsidRPr="00D4309F">
              <w:rPr>
                <w:color w:val="211E1F"/>
                <w:sz w:val="18"/>
              </w:rPr>
              <w:t>efficiency,</w:t>
            </w:r>
            <w:r w:rsidRPr="00D4309F">
              <w:rPr>
                <w:color w:val="211E1F"/>
                <w:spacing w:val="-2"/>
                <w:sz w:val="18"/>
              </w:rPr>
              <w:t xml:space="preserve"> </w:t>
            </w:r>
            <w:r w:rsidRPr="00D4309F">
              <w:rPr>
                <w:color w:val="211E1F"/>
                <w:sz w:val="18"/>
              </w:rPr>
              <w:t>trap</w:t>
            </w:r>
            <w:r w:rsidRPr="00D4309F">
              <w:rPr>
                <w:color w:val="211E1F"/>
                <w:spacing w:val="-3"/>
                <w:sz w:val="18"/>
              </w:rPr>
              <w:t xml:space="preserve"> </w:t>
            </w:r>
            <w:r w:rsidRPr="00D4309F">
              <w:rPr>
                <w:color w:val="211E1F"/>
                <w:sz w:val="18"/>
              </w:rPr>
              <w:t>capture</w:t>
            </w:r>
            <w:r w:rsidRPr="00D4309F">
              <w:rPr>
                <w:color w:val="211E1F"/>
                <w:spacing w:val="-3"/>
                <w:sz w:val="18"/>
              </w:rPr>
              <w:t xml:space="preserve"> </w:t>
            </w:r>
            <w:r w:rsidRPr="00D4309F">
              <w:rPr>
                <w:color w:val="211E1F"/>
                <w:sz w:val="18"/>
              </w:rPr>
              <w:t>rate,</w:t>
            </w:r>
            <w:r w:rsidRPr="00D4309F">
              <w:rPr>
                <w:color w:val="211E1F"/>
                <w:spacing w:val="-2"/>
                <w:sz w:val="18"/>
              </w:rPr>
              <w:t xml:space="preserve"> </w:t>
            </w:r>
            <w:r w:rsidRPr="00D4309F">
              <w:rPr>
                <w:color w:val="211E1F"/>
                <w:sz w:val="18"/>
              </w:rPr>
              <w:t>reduction</w:t>
            </w:r>
            <w:r w:rsidRPr="00D4309F">
              <w:rPr>
                <w:color w:val="211E1F"/>
                <w:spacing w:val="-3"/>
                <w:sz w:val="18"/>
              </w:rPr>
              <w:t xml:space="preserve"> </w:t>
            </w:r>
            <w:r w:rsidRPr="00D4309F">
              <w:rPr>
                <w:color w:val="211E1F"/>
                <w:sz w:val="18"/>
              </w:rPr>
              <w:t>in</w:t>
            </w:r>
            <w:r w:rsidRPr="00D4309F">
              <w:rPr>
                <w:color w:val="211E1F"/>
                <w:spacing w:val="-3"/>
                <w:sz w:val="18"/>
              </w:rPr>
              <w:t xml:space="preserve"> </w:t>
            </w:r>
            <w:r w:rsidRPr="00D4309F">
              <w:rPr>
                <w:color w:val="211E1F"/>
                <w:sz w:val="18"/>
              </w:rPr>
              <w:t>shoal frequency/magnitude, entrance depth reliability).</w:t>
            </w:r>
          </w:p>
        </w:tc>
        <w:tc>
          <w:tcPr>
            <w:tcW w:w="571" w:type="pct"/>
          </w:tcPr>
          <w:p w14:paraId="27B8E9F5" w14:textId="77777777" w:rsidR="00430B9B" w:rsidRPr="00D4309F" w:rsidRDefault="00430B9B">
            <w:pPr>
              <w:pStyle w:val="TableParagraph"/>
              <w:spacing w:before="39"/>
              <w:ind w:left="485"/>
              <w:rPr>
                <w:sz w:val="18"/>
              </w:rPr>
            </w:pPr>
            <w:r w:rsidRPr="00D4309F">
              <w:rPr>
                <w:color w:val="211E1F"/>
                <w:spacing w:val="-10"/>
                <w:sz w:val="18"/>
              </w:rPr>
              <w:t>2</w:t>
            </w:r>
          </w:p>
        </w:tc>
      </w:tr>
      <w:tr w:rsidR="00430B9B" w:rsidRPr="00D4309F" w14:paraId="1E875BDE" w14:textId="77777777" w:rsidTr="00430B9B">
        <w:trPr>
          <w:trHeight w:val="286"/>
        </w:trPr>
        <w:tc>
          <w:tcPr>
            <w:tcW w:w="1002" w:type="pct"/>
            <w:vMerge/>
          </w:tcPr>
          <w:p w14:paraId="5F613811" w14:textId="77777777" w:rsidR="00430B9B" w:rsidRPr="00D4309F" w:rsidRDefault="00430B9B">
            <w:pPr>
              <w:pStyle w:val="TableParagraph"/>
              <w:rPr>
                <w:rFonts w:ascii="Times New Roman"/>
                <w:sz w:val="18"/>
              </w:rPr>
            </w:pPr>
          </w:p>
        </w:tc>
        <w:tc>
          <w:tcPr>
            <w:tcW w:w="3427" w:type="pct"/>
          </w:tcPr>
          <w:p w14:paraId="2FB0CA74" w14:textId="77777777" w:rsidR="00430B9B" w:rsidRPr="00D4309F" w:rsidRDefault="00430B9B">
            <w:pPr>
              <w:pStyle w:val="TableParagraph"/>
              <w:spacing w:before="39"/>
              <w:ind w:left="165"/>
              <w:rPr>
                <w:sz w:val="18"/>
              </w:rPr>
            </w:pPr>
            <w:r w:rsidRPr="00D4309F">
              <w:rPr>
                <w:color w:val="211E1F"/>
                <w:sz w:val="18"/>
              </w:rPr>
              <w:t>Impacts</w:t>
            </w:r>
            <w:r w:rsidRPr="00D4309F">
              <w:rPr>
                <w:color w:val="211E1F"/>
                <w:spacing w:val="-5"/>
                <w:sz w:val="18"/>
              </w:rPr>
              <w:t xml:space="preserve"> </w:t>
            </w:r>
            <w:r w:rsidRPr="00D4309F">
              <w:rPr>
                <w:color w:val="211E1F"/>
                <w:sz w:val="18"/>
              </w:rPr>
              <w:t>on</w:t>
            </w:r>
            <w:r w:rsidRPr="00D4309F">
              <w:rPr>
                <w:color w:val="211E1F"/>
                <w:spacing w:val="-2"/>
                <w:sz w:val="18"/>
              </w:rPr>
              <w:t xml:space="preserve"> </w:t>
            </w:r>
            <w:r w:rsidRPr="00D4309F">
              <w:rPr>
                <w:color w:val="211E1F"/>
                <w:sz w:val="18"/>
              </w:rPr>
              <w:t>coastal</w:t>
            </w:r>
            <w:r w:rsidRPr="00D4309F">
              <w:rPr>
                <w:color w:val="211E1F"/>
                <w:spacing w:val="-2"/>
                <w:sz w:val="18"/>
              </w:rPr>
              <w:t xml:space="preserve"> </w:t>
            </w:r>
            <w:r w:rsidRPr="00D4309F">
              <w:rPr>
                <w:color w:val="211E1F"/>
                <w:sz w:val="18"/>
              </w:rPr>
              <w:t>processes:</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level</w:t>
            </w:r>
            <w:r w:rsidRPr="00D4309F">
              <w:rPr>
                <w:color w:val="211E1F"/>
                <w:spacing w:val="-2"/>
                <w:sz w:val="18"/>
              </w:rPr>
              <w:t xml:space="preserve"> </w:t>
            </w:r>
            <w:r w:rsidRPr="00D4309F">
              <w:rPr>
                <w:color w:val="211E1F"/>
                <w:sz w:val="18"/>
              </w:rPr>
              <w:t>in</w:t>
            </w:r>
            <w:r w:rsidRPr="00D4309F">
              <w:rPr>
                <w:color w:val="211E1F"/>
                <w:spacing w:val="-3"/>
                <w:sz w:val="18"/>
              </w:rPr>
              <w:t xml:space="preserve"> </w:t>
            </w:r>
            <w:r w:rsidRPr="00D4309F">
              <w:rPr>
                <w:color w:val="211E1F"/>
                <w:sz w:val="18"/>
              </w:rPr>
              <w:t>which</w:t>
            </w:r>
            <w:r w:rsidRPr="00D4309F">
              <w:rPr>
                <w:color w:val="211E1F"/>
                <w:spacing w:val="-3"/>
                <w:sz w:val="18"/>
              </w:rPr>
              <w:t xml:space="preserve"> </w:t>
            </w:r>
            <w:r w:rsidRPr="00D4309F">
              <w:rPr>
                <w:color w:val="211E1F"/>
                <w:sz w:val="18"/>
              </w:rPr>
              <w:t>it</w:t>
            </w:r>
            <w:r w:rsidRPr="00D4309F">
              <w:rPr>
                <w:color w:val="211E1F"/>
                <w:spacing w:val="-2"/>
                <w:sz w:val="18"/>
              </w:rPr>
              <w:t xml:space="preserve"> </w:t>
            </w:r>
            <w:r w:rsidRPr="00D4309F">
              <w:rPr>
                <w:color w:val="211E1F"/>
                <w:sz w:val="18"/>
              </w:rPr>
              <w:t>changes</w:t>
            </w:r>
            <w:r w:rsidRPr="00D4309F">
              <w:rPr>
                <w:color w:val="211E1F"/>
                <w:spacing w:val="-1"/>
                <w:sz w:val="18"/>
              </w:rPr>
              <w:t xml:space="preserve"> </w:t>
            </w:r>
            <w:r w:rsidRPr="00D4309F">
              <w:rPr>
                <w:color w:val="211E1F"/>
                <w:sz w:val="18"/>
              </w:rPr>
              <w:t>or</w:t>
            </w:r>
            <w:r w:rsidRPr="00D4309F">
              <w:rPr>
                <w:color w:val="211E1F"/>
                <w:spacing w:val="-2"/>
                <w:sz w:val="18"/>
              </w:rPr>
              <w:t xml:space="preserve"> </w:t>
            </w:r>
            <w:r w:rsidRPr="00D4309F">
              <w:rPr>
                <w:color w:val="211E1F"/>
                <w:sz w:val="18"/>
              </w:rPr>
              <w:t>has</w:t>
            </w:r>
            <w:r w:rsidRPr="00D4309F">
              <w:rPr>
                <w:color w:val="211E1F"/>
                <w:spacing w:val="-3"/>
                <w:sz w:val="18"/>
              </w:rPr>
              <w:t xml:space="preserve"> </w:t>
            </w:r>
            <w:r w:rsidRPr="00D4309F">
              <w:rPr>
                <w:color w:val="211E1F"/>
                <w:sz w:val="18"/>
              </w:rPr>
              <w:t>negative</w:t>
            </w:r>
            <w:r w:rsidRPr="00D4309F">
              <w:rPr>
                <w:color w:val="211E1F"/>
                <w:spacing w:val="-2"/>
                <w:sz w:val="18"/>
              </w:rPr>
              <w:t xml:space="preserve"> </w:t>
            </w:r>
            <w:r w:rsidRPr="00D4309F">
              <w:rPr>
                <w:color w:val="211E1F"/>
                <w:sz w:val="18"/>
              </w:rPr>
              <w:t>impacts</w:t>
            </w:r>
            <w:r w:rsidRPr="00D4309F">
              <w:rPr>
                <w:color w:val="211E1F"/>
                <w:spacing w:val="-2"/>
                <w:sz w:val="18"/>
              </w:rPr>
              <w:t xml:space="preserve"> </w:t>
            </w:r>
            <w:r w:rsidRPr="00D4309F">
              <w:rPr>
                <w:color w:val="211E1F"/>
                <w:sz w:val="18"/>
              </w:rPr>
              <w:t>on</w:t>
            </w:r>
            <w:r w:rsidRPr="00D4309F">
              <w:rPr>
                <w:color w:val="211E1F"/>
                <w:spacing w:val="-3"/>
                <w:sz w:val="18"/>
              </w:rPr>
              <w:t xml:space="preserve"> </w:t>
            </w:r>
            <w:r w:rsidRPr="00D4309F">
              <w:rPr>
                <w:color w:val="211E1F"/>
                <w:sz w:val="18"/>
              </w:rPr>
              <w:t>existing</w:t>
            </w:r>
            <w:r w:rsidRPr="00D4309F">
              <w:rPr>
                <w:color w:val="211E1F"/>
                <w:spacing w:val="-3"/>
                <w:sz w:val="18"/>
              </w:rPr>
              <w:t xml:space="preserve"> </w:t>
            </w:r>
            <w:r w:rsidRPr="00D4309F">
              <w:rPr>
                <w:color w:val="211E1F"/>
                <w:sz w:val="18"/>
              </w:rPr>
              <w:t>coastal</w:t>
            </w:r>
            <w:r w:rsidRPr="00D4309F">
              <w:rPr>
                <w:color w:val="211E1F"/>
                <w:spacing w:val="-1"/>
                <w:sz w:val="18"/>
              </w:rPr>
              <w:t xml:space="preserve"> </w:t>
            </w:r>
            <w:r w:rsidRPr="00D4309F">
              <w:rPr>
                <w:color w:val="211E1F"/>
                <w:spacing w:val="-2"/>
                <w:sz w:val="18"/>
              </w:rPr>
              <w:t>processes</w:t>
            </w:r>
          </w:p>
        </w:tc>
        <w:tc>
          <w:tcPr>
            <w:tcW w:w="571" w:type="pct"/>
          </w:tcPr>
          <w:p w14:paraId="2C539BA9" w14:textId="77777777" w:rsidR="00430B9B" w:rsidRPr="00D4309F" w:rsidRDefault="00430B9B">
            <w:pPr>
              <w:pStyle w:val="TableParagraph"/>
              <w:spacing w:before="39"/>
              <w:ind w:left="485"/>
              <w:rPr>
                <w:sz w:val="18"/>
              </w:rPr>
            </w:pPr>
            <w:r w:rsidRPr="00D4309F">
              <w:rPr>
                <w:color w:val="211E1F"/>
                <w:spacing w:val="-10"/>
                <w:sz w:val="18"/>
              </w:rPr>
              <w:t>2</w:t>
            </w:r>
          </w:p>
        </w:tc>
      </w:tr>
      <w:tr w:rsidR="00430B9B" w:rsidRPr="00D4309F" w14:paraId="26017047" w14:textId="77777777" w:rsidTr="00430B9B">
        <w:trPr>
          <w:trHeight w:val="287"/>
        </w:trPr>
        <w:tc>
          <w:tcPr>
            <w:tcW w:w="1002" w:type="pct"/>
            <w:vMerge/>
          </w:tcPr>
          <w:p w14:paraId="49DC1356" w14:textId="77777777" w:rsidR="00430B9B" w:rsidRPr="00D4309F" w:rsidRDefault="00430B9B">
            <w:pPr>
              <w:pStyle w:val="TableParagraph"/>
              <w:rPr>
                <w:rFonts w:ascii="Times New Roman"/>
                <w:sz w:val="18"/>
              </w:rPr>
            </w:pPr>
          </w:p>
        </w:tc>
        <w:tc>
          <w:tcPr>
            <w:tcW w:w="3427" w:type="pct"/>
          </w:tcPr>
          <w:p w14:paraId="1ADEB338" w14:textId="77777777" w:rsidR="00430B9B" w:rsidRPr="00D4309F" w:rsidRDefault="00430B9B">
            <w:pPr>
              <w:pStyle w:val="TableParagraph"/>
              <w:spacing w:before="41"/>
              <w:ind w:left="165"/>
              <w:rPr>
                <w:sz w:val="18"/>
              </w:rPr>
            </w:pPr>
            <w:r w:rsidRPr="00D4309F">
              <w:rPr>
                <w:color w:val="211E1F"/>
                <w:sz w:val="18"/>
              </w:rPr>
              <w:t>Design</w:t>
            </w:r>
            <w:r w:rsidRPr="00D4309F">
              <w:rPr>
                <w:color w:val="211E1F"/>
                <w:spacing w:val="-5"/>
                <w:sz w:val="18"/>
              </w:rPr>
              <w:t xml:space="preserve"> </w:t>
            </w:r>
            <w:r w:rsidRPr="00D4309F">
              <w:rPr>
                <w:color w:val="211E1F"/>
                <w:sz w:val="18"/>
              </w:rPr>
              <w:t>and</w:t>
            </w:r>
            <w:r w:rsidRPr="00D4309F">
              <w:rPr>
                <w:color w:val="211E1F"/>
                <w:spacing w:val="-3"/>
                <w:sz w:val="18"/>
              </w:rPr>
              <w:t xml:space="preserve"> </w:t>
            </w:r>
            <w:r w:rsidRPr="00D4309F">
              <w:rPr>
                <w:color w:val="211E1F"/>
                <w:sz w:val="18"/>
              </w:rPr>
              <w:t>approvals:</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far</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option</w:t>
            </w:r>
            <w:r w:rsidRPr="00D4309F">
              <w:rPr>
                <w:color w:val="211E1F"/>
                <w:spacing w:val="-1"/>
                <w:sz w:val="18"/>
              </w:rPr>
              <w:t xml:space="preserve"> </w:t>
            </w:r>
            <w:r w:rsidRPr="00D4309F">
              <w:rPr>
                <w:color w:val="211E1F"/>
                <w:sz w:val="18"/>
              </w:rPr>
              <w:t>progressed</w:t>
            </w:r>
            <w:r w:rsidRPr="00D4309F">
              <w:rPr>
                <w:color w:val="211E1F"/>
                <w:spacing w:val="-3"/>
                <w:sz w:val="18"/>
              </w:rPr>
              <w:t xml:space="preserve"> </w:t>
            </w:r>
            <w:r w:rsidRPr="00D4309F">
              <w:rPr>
                <w:color w:val="211E1F"/>
                <w:sz w:val="18"/>
              </w:rPr>
              <w:t>with</w:t>
            </w:r>
            <w:r w:rsidRPr="00D4309F">
              <w:rPr>
                <w:color w:val="211E1F"/>
                <w:spacing w:val="-3"/>
                <w:sz w:val="18"/>
              </w:rPr>
              <w:t xml:space="preserve"> </w:t>
            </w:r>
            <w:r w:rsidRPr="00D4309F">
              <w:rPr>
                <w:color w:val="211E1F"/>
                <w:sz w:val="18"/>
              </w:rPr>
              <w:t>design</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approvals</w:t>
            </w:r>
            <w:r w:rsidRPr="00D4309F">
              <w:rPr>
                <w:color w:val="211E1F"/>
                <w:spacing w:val="-2"/>
                <w:sz w:val="18"/>
              </w:rPr>
              <w:t xml:space="preserve"> </w:t>
            </w:r>
            <w:r w:rsidRPr="00D4309F">
              <w:rPr>
                <w:color w:val="211E1F"/>
                <w:sz w:val="18"/>
              </w:rPr>
              <w:t>and</w:t>
            </w:r>
            <w:r w:rsidRPr="00D4309F">
              <w:rPr>
                <w:color w:val="211E1F"/>
                <w:spacing w:val="-3"/>
                <w:sz w:val="18"/>
              </w:rPr>
              <w:t xml:space="preserve"> </w:t>
            </w:r>
            <w:r w:rsidRPr="00D4309F">
              <w:rPr>
                <w:color w:val="211E1F"/>
                <w:sz w:val="18"/>
              </w:rPr>
              <w:t>how</w:t>
            </w:r>
            <w:r w:rsidRPr="00D4309F">
              <w:rPr>
                <w:color w:val="211E1F"/>
                <w:spacing w:val="-2"/>
                <w:sz w:val="18"/>
              </w:rPr>
              <w:t xml:space="preserve"> </w:t>
            </w:r>
            <w:r w:rsidRPr="00D4309F">
              <w:rPr>
                <w:color w:val="211E1F"/>
                <w:sz w:val="18"/>
              </w:rPr>
              <w:t>much</w:t>
            </w:r>
            <w:r w:rsidRPr="00D4309F">
              <w:rPr>
                <w:color w:val="211E1F"/>
                <w:spacing w:val="-3"/>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2"/>
                <w:sz w:val="18"/>
              </w:rPr>
              <w:t xml:space="preserve"> required</w:t>
            </w:r>
          </w:p>
        </w:tc>
        <w:tc>
          <w:tcPr>
            <w:tcW w:w="571" w:type="pct"/>
          </w:tcPr>
          <w:p w14:paraId="6C8E312D" w14:textId="77777777" w:rsidR="00430B9B" w:rsidRPr="00D4309F" w:rsidRDefault="00430B9B">
            <w:pPr>
              <w:pStyle w:val="TableParagraph"/>
              <w:spacing w:before="41"/>
              <w:ind w:left="484"/>
              <w:rPr>
                <w:sz w:val="18"/>
              </w:rPr>
            </w:pPr>
            <w:r w:rsidRPr="00D4309F">
              <w:rPr>
                <w:color w:val="211E1F"/>
                <w:spacing w:val="-10"/>
                <w:sz w:val="18"/>
              </w:rPr>
              <w:t>3</w:t>
            </w:r>
          </w:p>
        </w:tc>
      </w:tr>
      <w:tr w:rsidR="00430B9B" w:rsidRPr="00D4309F" w14:paraId="4D770DB3" w14:textId="77777777" w:rsidTr="00430B9B">
        <w:trPr>
          <w:trHeight w:val="286"/>
        </w:trPr>
        <w:tc>
          <w:tcPr>
            <w:tcW w:w="1002" w:type="pct"/>
            <w:vMerge/>
          </w:tcPr>
          <w:p w14:paraId="203D210C" w14:textId="77777777" w:rsidR="00430B9B" w:rsidRPr="00D4309F" w:rsidRDefault="00430B9B">
            <w:pPr>
              <w:pStyle w:val="TableParagraph"/>
              <w:rPr>
                <w:rFonts w:ascii="Times New Roman"/>
                <w:sz w:val="18"/>
              </w:rPr>
            </w:pPr>
          </w:p>
        </w:tc>
        <w:tc>
          <w:tcPr>
            <w:tcW w:w="3427" w:type="pct"/>
          </w:tcPr>
          <w:p w14:paraId="64298740" w14:textId="77777777" w:rsidR="00430B9B" w:rsidRPr="00D4309F" w:rsidRDefault="00430B9B">
            <w:pPr>
              <w:pStyle w:val="TableParagraph"/>
              <w:spacing w:before="39"/>
              <w:ind w:left="165"/>
              <w:rPr>
                <w:sz w:val="18"/>
              </w:rPr>
            </w:pPr>
            <w:r w:rsidRPr="00D4309F">
              <w:rPr>
                <w:color w:val="211E1F"/>
                <w:sz w:val="18"/>
              </w:rPr>
              <w:t>Capital</w:t>
            </w:r>
            <w:r w:rsidRPr="00D4309F">
              <w:rPr>
                <w:color w:val="211E1F"/>
                <w:spacing w:val="-5"/>
                <w:sz w:val="18"/>
              </w:rPr>
              <w:t xml:space="preserve"> </w:t>
            </w:r>
            <w:r w:rsidRPr="00D4309F">
              <w:rPr>
                <w:color w:val="211E1F"/>
                <w:sz w:val="18"/>
              </w:rPr>
              <w:t>works:</w:t>
            </w:r>
            <w:r w:rsidRPr="00D4309F">
              <w:rPr>
                <w:color w:val="211E1F"/>
                <w:spacing w:val="-1"/>
                <w:sz w:val="18"/>
              </w:rPr>
              <w:t xml:space="preserve"> </w:t>
            </w:r>
            <w:r w:rsidRPr="00D4309F">
              <w:rPr>
                <w:color w:val="211E1F"/>
                <w:sz w:val="18"/>
              </w:rPr>
              <w:t>how</w:t>
            </w:r>
            <w:r w:rsidRPr="00D4309F">
              <w:rPr>
                <w:color w:val="211E1F"/>
                <w:spacing w:val="-2"/>
                <w:sz w:val="18"/>
              </w:rPr>
              <w:t xml:space="preserve"> </w:t>
            </w:r>
            <w:r w:rsidRPr="00D4309F">
              <w:rPr>
                <w:color w:val="211E1F"/>
                <w:sz w:val="18"/>
              </w:rPr>
              <w:t>significant</w:t>
            </w:r>
            <w:r w:rsidRPr="00D4309F">
              <w:rPr>
                <w:color w:val="211E1F"/>
                <w:spacing w:val="-1"/>
                <w:sz w:val="18"/>
              </w:rPr>
              <w:t xml:space="preserve"> </w:t>
            </w:r>
            <w:r w:rsidRPr="00D4309F">
              <w:rPr>
                <w:color w:val="211E1F"/>
                <w:sz w:val="18"/>
              </w:rPr>
              <w:t>the</w:t>
            </w:r>
            <w:r w:rsidRPr="00D4309F">
              <w:rPr>
                <w:color w:val="211E1F"/>
                <w:spacing w:val="-4"/>
                <w:sz w:val="18"/>
              </w:rPr>
              <w:t xml:space="preserve"> </w:t>
            </w:r>
            <w:r w:rsidRPr="00D4309F">
              <w:rPr>
                <w:color w:val="211E1F"/>
                <w:sz w:val="18"/>
              </w:rPr>
              <w:t>capital</w:t>
            </w:r>
            <w:r w:rsidRPr="00D4309F">
              <w:rPr>
                <w:color w:val="211E1F"/>
                <w:spacing w:val="-2"/>
                <w:sz w:val="18"/>
              </w:rPr>
              <w:t xml:space="preserve"> </w:t>
            </w:r>
            <w:r w:rsidRPr="00D4309F">
              <w:rPr>
                <w:color w:val="211E1F"/>
                <w:sz w:val="18"/>
              </w:rPr>
              <w:t>works</w:t>
            </w:r>
            <w:r w:rsidRPr="00D4309F">
              <w:rPr>
                <w:color w:val="211E1F"/>
                <w:spacing w:val="-2"/>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and</w:t>
            </w:r>
            <w:r w:rsidRPr="00D4309F">
              <w:rPr>
                <w:color w:val="211E1F"/>
                <w:spacing w:val="-4"/>
                <w:sz w:val="18"/>
              </w:rPr>
              <w:t xml:space="preserve"> </w:t>
            </w:r>
            <w:r w:rsidRPr="00D4309F">
              <w:rPr>
                <w:color w:val="211E1F"/>
                <w:sz w:val="18"/>
              </w:rPr>
              <w:t>their</w:t>
            </w:r>
            <w:r w:rsidRPr="00D4309F">
              <w:rPr>
                <w:color w:val="211E1F"/>
                <w:spacing w:val="-2"/>
                <w:sz w:val="18"/>
              </w:rPr>
              <w:t xml:space="preserve"> </w:t>
            </w:r>
            <w:r w:rsidRPr="00D4309F">
              <w:rPr>
                <w:color w:val="211E1F"/>
                <w:sz w:val="18"/>
              </w:rPr>
              <w:t>impacts</w:t>
            </w:r>
            <w:r w:rsidRPr="00D4309F">
              <w:rPr>
                <w:color w:val="211E1F"/>
                <w:spacing w:val="-2"/>
                <w:sz w:val="18"/>
              </w:rPr>
              <w:t xml:space="preserve"> </w:t>
            </w:r>
            <w:r w:rsidRPr="00D4309F">
              <w:rPr>
                <w:color w:val="211E1F"/>
                <w:sz w:val="18"/>
              </w:rPr>
              <w:t>during</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pacing w:val="-2"/>
                <w:sz w:val="18"/>
              </w:rPr>
              <w:t>process</w:t>
            </w:r>
          </w:p>
        </w:tc>
        <w:tc>
          <w:tcPr>
            <w:tcW w:w="571" w:type="pct"/>
          </w:tcPr>
          <w:p w14:paraId="28367D71" w14:textId="77777777" w:rsidR="00430B9B" w:rsidRPr="00D4309F" w:rsidRDefault="00430B9B">
            <w:pPr>
              <w:pStyle w:val="TableParagraph"/>
              <w:spacing w:before="39"/>
              <w:ind w:left="484"/>
              <w:rPr>
                <w:sz w:val="18"/>
              </w:rPr>
            </w:pPr>
            <w:r w:rsidRPr="00D4309F">
              <w:rPr>
                <w:color w:val="211E1F"/>
                <w:spacing w:val="-10"/>
                <w:sz w:val="18"/>
              </w:rPr>
              <w:t>4</w:t>
            </w:r>
          </w:p>
        </w:tc>
      </w:tr>
      <w:tr w:rsidR="00430B9B" w:rsidRPr="00D4309F" w14:paraId="60C62E5A" w14:textId="77777777" w:rsidTr="00430B9B">
        <w:trPr>
          <w:trHeight w:val="287"/>
        </w:trPr>
        <w:tc>
          <w:tcPr>
            <w:tcW w:w="1002" w:type="pct"/>
            <w:vMerge/>
          </w:tcPr>
          <w:p w14:paraId="6B5567F6" w14:textId="77777777" w:rsidR="00430B9B" w:rsidRPr="00D4309F" w:rsidRDefault="00430B9B">
            <w:pPr>
              <w:pStyle w:val="TableParagraph"/>
              <w:rPr>
                <w:rFonts w:ascii="Times New Roman"/>
                <w:sz w:val="18"/>
              </w:rPr>
            </w:pPr>
          </w:p>
        </w:tc>
        <w:tc>
          <w:tcPr>
            <w:tcW w:w="3427" w:type="pct"/>
          </w:tcPr>
          <w:p w14:paraId="468243B3" w14:textId="77777777" w:rsidR="00430B9B" w:rsidRPr="00D4309F" w:rsidRDefault="00430B9B">
            <w:pPr>
              <w:pStyle w:val="TableParagraph"/>
              <w:spacing w:before="41"/>
              <w:ind w:left="165"/>
              <w:rPr>
                <w:sz w:val="18"/>
              </w:rPr>
            </w:pPr>
            <w:r w:rsidRPr="00D4309F">
              <w:rPr>
                <w:color w:val="211E1F"/>
                <w:sz w:val="18"/>
              </w:rPr>
              <w:t>Operational</w:t>
            </w:r>
            <w:r w:rsidRPr="00D4309F">
              <w:rPr>
                <w:color w:val="211E1F"/>
                <w:spacing w:val="-5"/>
                <w:sz w:val="18"/>
              </w:rPr>
              <w:t xml:space="preserve"> </w:t>
            </w:r>
            <w:r w:rsidRPr="00D4309F">
              <w:rPr>
                <w:color w:val="211E1F"/>
                <w:sz w:val="18"/>
              </w:rPr>
              <w:t>works:</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significant</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operational</w:t>
            </w:r>
            <w:r w:rsidRPr="00D4309F">
              <w:rPr>
                <w:color w:val="211E1F"/>
                <w:spacing w:val="-2"/>
                <w:sz w:val="18"/>
              </w:rPr>
              <w:t xml:space="preserve"> </w:t>
            </w:r>
            <w:r w:rsidRPr="00D4309F">
              <w:rPr>
                <w:color w:val="211E1F"/>
                <w:sz w:val="18"/>
              </w:rPr>
              <w:t>works</w:t>
            </w:r>
            <w:r w:rsidRPr="00D4309F">
              <w:rPr>
                <w:color w:val="211E1F"/>
                <w:spacing w:val="-3"/>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their</w:t>
            </w:r>
            <w:r w:rsidRPr="00D4309F">
              <w:rPr>
                <w:color w:val="211E1F"/>
                <w:spacing w:val="-3"/>
                <w:sz w:val="18"/>
              </w:rPr>
              <w:t xml:space="preserve"> </w:t>
            </w:r>
            <w:r w:rsidRPr="00D4309F">
              <w:rPr>
                <w:color w:val="211E1F"/>
                <w:sz w:val="18"/>
              </w:rPr>
              <w:t>impacts</w:t>
            </w:r>
            <w:r w:rsidRPr="00D4309F">
              <w:rPr>
                <w:color w:val="211E1F"/>
                <w:spacing w:val="-2"/>
                <w:sz w:val="18"/>
              </w:rPr>
              <w:t xml:space="preserve"> </w:t>
            </w:r>
            <w:r w:rsidRPr="00D4309F">
              <w:rPr>
                <w:color w:val="211E1F"/>
                <w:sz w:val="18"/>
              </w:rPr>
              <w:t>during</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pacing w:val="-2"/>
                <w:sz w:val="18"/>
              </w:rPr>
              <w:t>process</w:t>
            </w:r>
          </w:p>
        </w:tc>
        <w:tc>
          <w:tcPr>
            <w:tcW w:w="571" w:type="pct"/>
          </w:tcPr>
          <w:p w14:paraId="0E6C0345" w14:textId="77777777" w:rsidR="00430B9B" w:rsidRPr="00D4309F" w:rsidRDefault="00430B9B">
            <w:pPr>
              <w:pStyle w:val="TableParagraph"/>
              <w:spacing w:before="41"/>
              <w:ind w:left="485"/>
              <w:rPr>
                <w:sz w:val="18"/>
              </w:rPr>
            </w:pPr>
            <w:r w:rsidRPr="00D4309F">
              <w:rPr>
                <w:color w:val="211E1F"/>
                <w:spacing w:val="-10"/>
                <w:sz w:val="18"/>
              </w:rPr>
              <w:t>3</w:t>
            </w:r>
          </w:p>
        </w:tc>
      </w:tr>
      <w:tr w:rsidR="00430B9B" w:rsidRPr="00D4309F" w14:paraId="45E47A5A" w14:textId="77777777" w:rsidTr="00430B9B">
        <w:trPr>
          <w:trHeight w:val="286"/>
        </w:trPr>
        <w:tc>
          <w:tcPr>
            <w:tcW w:w="1002" w:type="pct"/>
            <w:vMerge/>
          </w:tcPr>
          <w:p w14:paraId="2DED2D0E" w14:textId="77777777" w:rsidR="00430B9B" w:rsidRPr="00D4309F" w:rsidRDefault="00430B9B">
            <w:pPr>
              <w:pStyle w:val="TableParagraph"/>
              <w:rPr>
                <w:rFonts w:ascii="Times New Roman"/>
                <w:sz w:val="18"/>
              </w:rPr>
            </w:pPr>
          </w:p>
        </w:tc>
        <w:tc>
          <w:tcPr>
            <w:tcW w:w="3427" w:type="pct"/>
          </w:tcPr>
          <w:p w14:paraId="7EE63D4F" w14:textId="77777777" w:rsidR="00430B9B" w:rsidRPr="00D4309F" w:rsidRDefault="00430B9B">
            <w:pPr>
              <w:pStyle w:val="TableParagraph"/>
              <w:spacing w:before="39"/>
              <w:ind w:left="165"/>
              <w:rPr>
                <w:sz w:val="18"/>
              </w:rPr>
            </w:pPr>
            <w:r w:rsidRPr="00D4309F">
              <w:rPr>
                <w:color w:val="211E1F"/>
                <w:sz w:val="18"/>
              </w:rPr>
              <w:t>Future</w:t>
            </w:r>
            <w:r w:rsidRPr="00D4309F">
              <w:rPr>
                <w:color w:val="211E1F"/>
                <w:spacing w:val="-6"/>
                <w:sz w:val="18"/>
              </w:rPr>
              <w:t xml:space="preserve"> </w:t>
            </w:r>
            <w:r w:rsidRPr="00D4309F">
              <w:rPr>
                <w:color w:val="211E1F"/>
                <w:sz w:val="18"/>
              </w:rPr>
              <w:t>adaption:</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well</w:t>
            </w:r>
            <w:r w:rsidRPr="00D4309F">
              <w:rPr>
                <w:color w:val="211E1F"/>
                <w:spacing w:val="-2"/>
                <w:sz w:val="18"/>
              </w:rPr>
              <w:t xml:space="preserve"> </w:t>
            </w:r>
            <w:r w:rsidRPr="00D4309F">
              <w:rPr>
                <w:color w:val="211E1F"/>
                <w:sz w:val="18"/>
              </w:rPr>
              <w:t>the</w:t>
            </w:r>
            <w:r w:rsidRPr="00D4309F">
              <w:rPr>
                <w:color w:val="211E1F"/>
                <w:spacing w:val="-1"/>
                <w:sz w:val="18"/>
              </w:rPr>
              <w:t xml:space="preserve"> </w:t>
            </w:r>
            <w:r w:rsidRPr="00D4309F">
              <w:rPr>
                <w:color w:val="211E1F"/>
                <w:sz w:val="18"/>
              </w:rPr>
              <w:t>option</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adapted</w:t>
            </w:r>
            <w:r w:rsidRPr="00D4309F">
              <w:rPr>
                <w:color w:val="211E1F"/>
                <w:spacing w:val="-3"/>
                <w:sz w:val="18"/>
              </w:rPr>
              <w:t xml:space="preserve"> </w:t>
            </w:r>
            <w:r w:rsidRPr="00D4309F">
              <w:rPr>
                <w:color w:val="211E1F"/>
                <w:sz w:val="18"/>
              </w:rPr>
              <w:t>to</w:t>
            </w:r>
            <w:r w:rsidRPr="00D4309F">
              <w:rPr>
                <w:color w:val="211E1F"/>
                <w:spacing w:val="-3"/>
                <w:sz w:val="18"/>
              </w:rPr>
              <w:t xml:space="preserve"> </w:t>
            </w:r>
            <w:r w:rsidRPr="00D4309F">
              <w:rPr>
                <w:color w:val="211E1F"/>
                <w:sz w:val="18"/>
              </w:rPr>
              <w:t>future</w:t>
            </w:r>
            <w:r w:rsidRPr="00D4309F">
              <w:rPr>
                <w:color w:val="211E1F"/>
                <w:spacing w:val="-3"/>
                <w:sz w:val="18"/>
              </w:rPr>
              <w:t xml:space="preserve"> </w:t>
            </w:r>
            <w:r w:rsidRPr="00D4309F">
              <w:rPr>
                <w:color w:val="211E1F"/>
                <w:spacing w:val="-2"/>
                <w:sz w:val="18"/>
              </w:rPr>
              <w:t>conditions</w:t>
            </w:r>
          </w:p>
        </w:tc>
        <w:tc>
          <w:tcPr>
            <w:tcW w:w="571" w:type="pct"/>
          </w:tcPr>
          <w:p w14:paraId="61CB0DFC" w14:textId="77777777" w:rsidR="00430B9B" w:rsidRPr="00D4309F" w:rsidRDefault="00430B9B">
            <w:pPr>
              <w:pStyle w:val="TableParagraph"/>
              <w:spacing w:before="39"/>
              <w:ind w:left="485"/>
              <w:rPr>
                <w:sz w:val="18"/>
              </w:rPr>
            </w:pPr>
            <w:r w:rsidRPr="00D4309F">
              <w:rPr>
                <w:color w:val="211E1F"/>
                <w:spacing w:val="-10"/>
                <w:sz w:val="18"/>
              </w:rPr>
              <w:t>5</w:t>
            </w:r>
          </w:p>
        </w:tc>
      </w:tr>
      <w:tr w:rsidR="00430B9B" w:rsidRPr="00D4309F" w14:paraId="41F47BA4" w14:textId="77777777" w:rsidTr="00430B9B">
        <w:trPr>
          <w:trHeight w:val="287"/>
        </w:trPr>
        <w:tc>
          <w:tcPr>
            <w:tcW w:w="1002" w:type="pct"/>
            <w:vMerge/>
          </w:tcPr>
          <w:p w14:paraId="6936A78F" w14:textId="77777777" w:rsidR="00430B9B" w:rsidRPr="00D4309F" w:rsidRDefault="00430B9B">
            <w:pPr>
              <w:pStyle w:val="TableParagraph"/>
              <w:rPr>
                <w:rFonts w:ascii="Times New Roman"/>
                <w:sz w:val="18"/>
              </w:rPr>
            </w:pPr>
          </w:p>
        </w:tc>
        <w:tc>
          <w:tcPr>
            <w:tcW w:w="3427" w:type="pct"/>
          </w:tcPr>
          <w:p w14:paraId="70C7031F" w14:textId="77777777" w:rsidR="00430B9B" w:rsidRPr="00D4309F" w:rsidRDefault="00430B9B">
            <w:pPr>
              <w:pStyle w:val="TableParagraph"/>
              <w:rPr>
                <w:rFonts w:ascii="Times New Roman"/>
                <w:sz w:val="18"/>
              </w:rPr>
            </w:pPr>
          </w:p>
        </w:tc>
        <w:tc>
          <w:tcPr>
            <w:tcW w:w="571" w:type="pct"/>
          </w:tcPr>
          <w:p w14:paraId="1DCFA4DD" w14:textId="77777777" w:rsidR="00430B9B" w:rsidRPr="00D4309F" w:rsidRDefault="00430B9B">
            <w:pPr>
              <w:pStyle w:val="TableParagraph"/>
              <w:rPr>
                <w:rFonts w:ascii="Times New Roman"/>
                <w:sz w:val="18"/>
              </w:rPr>
            </w:pPr>
          </w:p>
        </w:tc>
      </w:tr>
      <w:tr w:rsidR="00430B9B" w:rsidRPr="00D4309F" w14:paraId="3F227FA5" w14:textId="77777777" w:rsidTr="00430B9B">
        <w:trPr>
          <w:trHeight w:val="286"/>
        </w:trPr>
        <w:tc>
          <w:tcPr>
            <w:tcW w:w="1002" w:type="pct"/>
            <w:vMerge/>
          </w:tcPr>
          <w:p w14:paraId="5B3815BF" w14:textId="77777777" w:rsidR="00430B9B" w:rsidRPr="00D4309F" w:rsidRDefault="00430B9B">
            <w:pPr>
              <w:pStyle w:val="TableParagraph"/>
              <w:rPr>
                <w:rFonts w:ascii="Times New Roman"/>
                <w:sz w:val="18"/>
              </w:rPr>
            </w:pPr>
          </w:p>
        </w:tc>
        <w:tc>
          <w:tcPr>
            <w:tcW w:w="3427" w:type="pct"/>
          </w:tcPr>
          <w:p w14:paraId="11A7320E" w14:textId="77777777" w:rsidR="00430B9B" w:rsidRPr="00D4309F" w:rsidRDefault="00430B9B">
            <w:pPr>
              <w:pStyle w:val="TableParagraph"/>
              <w:spacing w:before="39"/>
              <w:ind w:left="165"/>
              <w:rPr>
                <w:b/>
                <w:sz w:val="18"/>
              </w:rPr>
            </w:pPr>
            <w:r w:rsidRPr="00D4309F">
              <w:rPr>
                <w:b/>
                <w:color w:val="211E1F"/>
                <w:sz w:val="18"/>
              </w:rPr>
              <w:t>Sub-</w:t>
            </w:r>
            <w:r w:rsidRPr="00D4309F">
              <w:rPr>
                <w:b/>
                <w:color w:val="211E1F"/>
                <w:spacing w:val="-2"/>
                <w:sz w:val="18"/>
              </w:rPr>
              <w:t>total</w:t>
            </w:r>
          </w:p>
        </w:tc>
        <w:tc>
          <w:tcPr>
            <w:tcW w:w="571" w:type="pct"/>
          </w:tcPr>
          <w:p w14:paraId="56380B9E" w14:textId="77777777" w:rsidR="00430B9B" w:rsidRPr="00D4309F" w:rsidRDefault="00430B9B">
            <w:pPr>
              <w:pStyle w:val="TableParagraph"/>
              <w:spacing w:before="39"/>
              <w:ind w:left="485"/>
              <w:rPr>
                <w:b/>
                <w:sz w:val="18"/>
              </w:rPr>
            </w:pPr>
            <w:r w:rsidRPr="00D4309F">
              <w:rPr>
                <w:b/>
                <w:color w:val="211E1F"/>
                <w:spacing w:val="-5"/>
                <w:sz w:val="18"/>
              </w:rPr>
              <w:t>19</w:t>
            </w:r>
          </w:p>
        </w:tc>
      </w:tr>
      <w:tr w:rsidR="00430B9B" w:rsidRPr="00D4309F" w14:paraId="665C6906" w14:textId="77777777" w:rsidTr="00430B9B">
        <w:trPr>
          <w:trHeight w:val="287"/>
        </w:trPr>
        <w:tc>
          <w:tcPr>
            <w:tcW w:w="1002" w:type="pct"/>
            <w:vMerge w:val="restart"/>
          </w:tcPr>
          <w:p w14:paraId="2987AF37" w14:textId="77777777" w:rsidR="00430B9B" w:rsidRPr="00D4309F" w:rsidRDefault="00430B9B">
            <w:pPr>
              <w:pStyle w:val="TableParagraph"/>
              <w:spacing w:before="41"/>
              <w:ind w:left="165"/>
              <w:rPr>
                <w:b/>
                <w:sz w:val="18"/>
              </w:rPr>
            </w:pPr>
            <w:r w:rsidRPr="00D4309F">
              <w:rPr>
                <w:b/>
                <w:color w:val="211E1F"/>
                <w:spacing w:val="-2"/>
                <w:sz w:val="18"/>
              </w:rPr>
              <w:t>Safety</w:t>
            </w:r>
          </w:p>
        </w:tc>
        <w:tc>
          <w:tcPr>
            <w:tcW w:w="3427" w:type="pct"/>
          </w:tcPr>
          <w:p w14:paraId="55599564" w14:textId="77777777" w:rsidR="00430B9B" w:rsidRPr="00D4309F" w:rsidRDefault="00430B9B">
            <w:pPr>
              <w:pStyle w:val="TableParagraph"/>
              <w:spacing w:before="41"/>
              <w:ind w:left="166"/>
              <w:rPr>
                <w:sz w:val="18"/>
              </w:rPr>
            </w:pPr>
            <w:r w:rsidRPr="00D4309F">
              <w:rPr>
                <w:color w:val="211E1F"/>
                <w:sz w:val="18"/>
              </w:rPr>
              <w:t>Reliability</w:t>
            </w:r>
            <w:r w:rsidRPr="00D4309F">
              <w:rPr>
                <w:color w:val="211E1F"/>
                <w:spacing w:val="-5"/>
                <w:sz w:val="18"/>
              </w:rPr>
              <w:t xml:space="preserve"> </w:t>
            </w:r>
            <w:r w:rsidRPr="00D4309F">
              <w:rPr>
                <w:color w:val="211E1F"/>
                <w:sz w:val="18"/>
              </w:rPr>
              <w:t>of</w:t>
            </w:r>
            <w:r w:rsidRPr="00D4309F">
              <w:rPr>
                <w:color w:val="211E1F"/>
                <w:spacing w:val="-4"/>
                <w:sz w:val="18"/>
              </w:rPr>
              <w:t xml:space="preserve"> </w:t>
            </w:r>
            <w:r w:rsidRPr="00D4309F">
              <w:rPr>
                <w:color w:val="211E1F"/>
                <w:sz w:val="18"/>
              </w:rPr>
              <w:t>all-tide</w:t>
            </w:r>
            <w:r w:rsidRPr="00D4309F">
              <w:rPr>
                <w:color w:val="211E1F"/>
                <w:spacing w:val="-4"/>
                <w:sz w:val="18"/>
              </w:rPr>
              <w:t xml:space="preserve"> </w:t>
            </w:r>
            <w:r w:rsidRPr="00D4309F">
              <w:rPr>
                <w:color w:val="211E1F"/>
                <w:spacing w:val="-2"/>
                <w:sz w:val="18"/>
              </w:rPr>
              <w:t>access</w:t>
            </w:r>
          </w:p>
        </w:tc>
        <w:tc>
          <w:tcPr>
            <w:tcW w:w="571" w:type="pct"/>
          </w:tcPr>
          <w:p w14:paraId="68C4F0F2" w14:textId="77777777" w:rsidR="00430B9B" w:rsidRPr="00D4309F" w:rsidRDefault="00430B9B">
            <w:pPr>
              <w:pStyle w:val="TableParagraph"/>
              <w:spacing w:before="41"/>
              <w:ind w:left="485"/>
              <w:rPr>
                <w:sz w:val="18"/>
              </w:rPr>
            </w:pPr>
            <w:r w:rsidRPr="00D4309F">
              <w:rPr>
                <w:color w:val="211E1F"/>
                <w:spacing w:val="-10"/>
                <w:sz w:val="18"/>
              </w:rPr>
              <w:t>3</w:t>
            </w:r>
          </w:p>
        </w:tc>
      </w:tr>
      <w:tr w:rsidR="00430B9B" w:rsidRPr="00D4309F" w14:paraId="724AC1A7" w14:textId="77777777" w:rsidTr="00430B9B">
        <w:trPr>
          <w:trHeight w:val="286"/>
        </w:trPr>
        <w:tc>
          <w:tcPr>
            <w:tcW w:w="1002" w:type="pct"/>
            <w:vMerge/>
          </w:tcPr>
          <w:p w14:paraId="023607B7" w14:textId="77777777" w:rsidR="00430B9B" w:rsidRPr="00D4309F" w:rsidRDefault="00430B9B">
            <w:pPr>
              <w:pStyle w:val="TableParagraph"/>
              <w:rPr>
                <w:rFonts w:ascii="Times New Roman"/>
                <w:sz w:val="18"/>
              </w:rPr>
            </w:pPr>
          </w:p>
        </w:tc>
        <w:tc>
          <w:tcPr>
            <w:tcW w:w="3427" w:type="pct"/>
          </w:tcPr>
          <w:p w14:paraId="6DD2A69C" w14:textId="77777777" w:rsidR="00430B9B" w:rsidRPr="00D4309F" w:rsidRDefault="00430B9B">
            <w:pPr>
              <w:pStyle w:val="TableParagraph"/>
              <w:spacing w:before="39"/>
              <w:ind w:left="165"/>
              <w:rPr>
                <w:sz w:val="18"/>
              </w:rPr>
            </w:pPr>
            <w:r w:rsidRPr="00D4309F">
              <w:rPr>
                <w:color w:val="211E1F"/>
                <w:sz w:val="18"/>
              </w:rPr>
              <w:t>Clarity</w:t>
            </w:r>
            <w:r w:rsidRPr="00D4309F">
              <w:rPr>
                <w:color w:val="211E1F"/>
                <w:spacing w:val="-3"/>
                <w:sz w:val="18"/>
              </w:rPr>
              <w:t xml:space="preserve"> </w:t>
            </w:r>
            <w:r w:rsidRPr="00D4309F">
              <w:rPr>
                <w:color w:val="211E1F"/>
                <w:sz w:val="18"/>
              </w:rPr>
              <w:t>of</w:t>
            </w:r>
            <w:r w:rsidRPr="00D4309F">
              <w:rPr>
                <w:color w:val="211E1F"/>
                <w:spacing w:val="-2"/>
                <w:sz w:val="18"/>
              </w:rPr>
              <w:t xml:space="preserve"> navigation</w:t>
            </w:r>
          </w:p>
        </w:tc>
        <w:tc>
          <w:tcPr>
            <w:tcW w:w="571" w:type="pct"/>
          </w:tcPr>
          <w:p w14:paraId="454E922E" w14:textId="77777777" w:rsidR="00430B9B" w:rsidRPr="00D4309F" w:rsidRDefault="00430B9B">
            <w:pPr>
              <w:pStyle w:val="TableParagraph"/>
              <w:spacing w:before="39"/>
              <w:ind w:left="485"/>
              <w:rPr>
                <w:sz w:val="18"/>
              </w:rPr>
            </w:pPr>
            <w:r w:rsidRPr="00D4309F">
              <w:rPr>
                <w:color w:val="211E1F"/>
                <w:spacing w:val="-10"/>
                <w:sz w:val="18"/>
              </w:rPr>
              <w:t>3</w:t>
            </w:r>
          </w:p>
        </w:tc>
      </w:tr>
      <w:tr w:rsidR="00430B9B" w:rsidRPr="00D4309F" w14:paraId="10F232A6" w14:textId="77777777" w:rsidTr="00430B9B">
        <w:trPr>
          <w:trHeight w:val="287"/>
        </w:trPr>
        <w:tc>
          <w:tcPr>
            <w:tcW w:w="1002" w:type="pct"/>
            <w:vMerge/>
          </w:tcPr>
          <w:p w14:paraId="38F426CB" w14:textId="77777777" w:rsidR="00430B9B" w:rsidRPr="00D4309F" w:rsidRDefault="00430B9B">
            <w:pPr>
              <w:pStyle w:val="TableParagraph"/>
              <w:rPr>
                <w:rFonts w:ascii="Times New Roman"/>
                <w:sz w:val="18"/>
              </w:rPr>
            </w:pPr>
          </w:p>
        </w:tc>
        <w:tc>
          <w:tcPr>
            <w:tcW w:w="3427" w:type="pct"/>
          </w:tcPr>
          <w:p w14:paraId="09810ECB" w14:textId="77777777" w:rsidR="00430B9B" w:rsidRPr="00D4309F" w:rsidRDefault="00430B9B">
            <w:pPr>
              <w:pStyle w:val="TableParagraph"/>
              <w:spacing w:before="41"/>
              <w:ind w:left="165"/>
              <w:rPr>
                <w:sz w:val="18"/>
              </w:rPr>
            </w:pPr>
            <w:r w:rsidRPr="00D4309F">
              <w:rPr>
                <w:color w:val="211E1F"/>
                <w:sz w:val="18"/>
              </w:rPr>
              <w:t>Mariner</w:t>
            </w:r>
            <w:r w:rsidRPr="00D4309F">
              <w:rPr>
                <w:color w:val="211E1F"/>
                <w:spacing w:val="-6"/>
                <w:sz w:val="18"/>
              </w:rPr>
              <w:t xml:space="preserve"> </w:t>
            </w:r>
            <w:r w:rsidRPr="00D4309F">
              <w:rPr>
                <w:color w:val="211E1F"/>
                <w:spacing w:val="-2"/>
                <w:sz w:val="18"/>
              </w:rPr>
              <w:t>safety</w:t>
            </w:r>
          </w:p>
        </w:tc>
        <w:tc>
          <w:tcPr>
            <w:tcW w:w="571" w:type="pct"/>
          </w:tcPr>
          <w:p w14:paraId="37213B71" w14:textId="77777777" w:rsidR="00430B9B" w:rsidRPr="00D4309F" w:rsidRDefault="00430B9B">
            <w:pPr>
              <w:pStyle w:val="TableParagraph"/>
              <w:spacing w:before="41"/>
              <w:ind w:left="485"/>
              <w:rPr>
                <w:sz w:val="18"/>
              </w:rPr>
            </w:pPr>
            <w:r w:rsidRPr="00D4309F">
              <w:rPr>
                <w:color w:val="211E1F"/>
                <w:spacing w:val="-10"/>
                <w:sz w:val="18"/>
              </w:rPr>
              <w:t>3</w:t>
            </w:r>
          </w:p>
        </w:tc>
      </w:tr>
      <w:tr w:rsidR="00230A0A" w:rsidRPr="00D4309F" w14:paraId="05817F17" w14:textId="77777777" w:rsidTr="00430B9B">
        <w:trPr>
          <w:trHeight w:val="286"/>
        </w:trPr>
        <w:tc>
          <w:tcPr>
            <w:tcW w:w="1002" w:type="pct"/>
            <w:vMerge/>
          </w:tcPr>
          <w:p w14:paraId="2B1E141B" w14:textId="77777777" w:rsidR="00230A0A" w:rsidRPr="00D4309F" w:rsidRDefault="00230A0A">
            <w:pPr>
              <w:pStyle w:val="TableParagraph"/>
              <w:rPr>
                <w:rFonts w:ascii="Times New Roman"/>
                <w:sz w:val="18"/>
              </w:rPr>
            </w:pPr>
          </w:p>
        </w:tc>
        <w:tc>
          <w:tcPr>
            <w:tcW w:w="3427" w:type="pct"/>
          </w:tcPr>
          <w:p w14:paraId="3BF6290C" w14:textId="77777777" w:rsidR="00230A0A" w:rsidRPr="00D4309F" w:rsidRDefault="00230A0A">
            <w:pPr>
              <w:pStyle w:val="TableParagraph"/>
              <w:spacing w:before="39"/>
              <w:ind w:left="165"/>
              <w:rPr>
                <w:color w:val="211E1F"/>
                <w:spacing w:val="-2"/>
                <w:sz w:val="18"/>
              </w:rPr>
            </w:pPr>
          </w:p>
        </w:tc>
        <w:tc>
          <w:tcPr>
            <w:tcW w:w="571" w:type="pct"/>
          </w:tcPr>
          <w:p w14:paraId="6D919802" w14:textId="77777777" w:rsidR="00230A0A" w:rsidRPr="00D4309F" w:rsidRDefault="00230A0A">
            <w:pPr>
              <w:pStyle w:val="TableParagraph"/>
              <w:spacing w:before="39"/>
              <w:ind w:left="484"/>
              <w:rPr>
                <w:color w:val="211E1F"/>
                <w:spacing w:val="-10"/>
                <w:sz w:val="18"/>
              </w:rPr>
            </w:pPr>
          </w:p>
        </w:tc>
      </w:tr>
      <w:tr w:rsidR="00430B9B" w:rsidRPr="00D4309F" w14:paraId="6915C828" w14:textId="77777777" w:rsidTr="00430B9B">
        <w:trPr>
          <w:trHeight w:val="286"/>
        </w:trPr>
        <w:tc>
          <w:tcPr>
            <w:tcW w:w="1002" w:type="pct"/>
            <w:vMerge/>
          </w:tcPr>
          <w:p w14:paraId="368DC08E" w14:textId="77777777" w:rsidR="00430B9B" w:rsidRPr="00D4309F" w:rsidRDefault="00430B9B">
            <w:pPr>
              <w:pStyle w:val="TableParagraph"/>
              <w:rPr>
                <w:rFonts w:ascii="Times New Roman"/>
                <w:sz w:val="18"/>
              </w:rPr>
            </w:pPr>
          </w:p>
        </w:tc>
        <w:tc>
          <w:tcPr>
            <w:tcW w:w="3427" w:type="pct"/>
          </w:tcPr>
          <w:p w14:paraId="7720CE8A" w14:textId="77777777" w:rsidR="00430B9B" w:rsidRPr="00230A0A" w:rsidRDefault="00430B9B">
            <w:pPr>
              <w:pStyle w:val="TableParagraph"/>
              <w:spacing w:before="39"/>
              <w:ind w:left="165"/>
              <w:rPr>
                <w:b/>
                <w:bCs/>
                <w:sz w:val="18"/>
              </w:rPr>
            </w:pPr>
            <w:r w:rsidRPr="00230A0A">
              <w:rPr>
                <w:b/>
                <w:bCs/>
                <w:color w:val="211E1F"/>
                <w:spacing w:val="-2"/>
                <w:sz w:val="18"/>
              </w:rPr>
              <w:t>Sub-total</w:t>
            </w:r>
          </w:p>
        </w:tc>
        <w:tc>
          <w:tcPr>
            <w:tcW w:w="571" w:type="pct"/>
          </w:tcPr>
          <w:p w14:paraId="40A084DC" w14:textId="77777777" w:rsidR="00430B9B" w:rsidRPr="00230A0A" w:rsidRDefault="00430B9B">
            <w:pPr>
              <w:pStyle w:val="TableParagraph"/>
              <w:spacing w:before="39"/>
              <w:ind w:left="484"/>
              <w:rPr>
                <w:b/>
                <w:bCs/>
                <w:sz w:val="18"/>
              </w:rPr>
            </w:pPr>
            <w:r w:rsidRPr="00230A0A">
              <w:rPr>
                <w:b/>
                <w:bCs/>
                <w:color w:val="211E1F"/>
                <w:spacing w:val="-10"/>
                <w:sz w:val="18"/>
              </w:rPr>
              <w:t>9</w:t>
            </w:r>
          </w:p>
        </w:tc>
      </w:tr>
      <w:tr w:rsidR="00430B9B" w:rsidRPr="00D4309F" w14:paraId="63A723B4" w14:textId="77777777" w:rsidTr="00430B9B">
        <w:trPr>
          <w:trHeight w:val="287"/>
        </w:trPr>
        <w:tc>
          <w:tcPr>
            <w:tcW w:w="1002" w:type="pct"/>
            <w:vMerge w:val="restart"/>
          </w:tcPr>
          <w:p w14:paraId="03AC9761" w14:textId="77777777" w:rsidR="00430B9B" w:rsidRPr="00D4309F" w:rsidRDefault="00430B9B">
            <w:pPr>
              <w:pStyle w:val="TableParagraph"/>
              <w:spacing w:before="41"/>
              <w:ind w:left="165"/>
              <w:rPr>
                <w:b/>
                <w:sz w:val="18"/>
              </w:rPr>
            </w:pPr>
            <w:r w:rsidRPr="00D4309F">
              <w:rPr>
                <w:b/>
                <w:color w:val="211E1F"/>
                <w:sz w:val="18"/>
              </w:rPr>
              <w:lastRenderedPageBreak/>
              <w:t>Social</w:t>
            </w:r>
            <w:r w:rsidRPr="00D4309F">
              <w:rPr>
                <w:b/>
                <w:color w:val="211E1F"/>
                <w:spacing w:val="-2"/>
                <w:sz w:val="18"/>
              </w:rPr>
              <w:t xml:space="preserve"> </w:t>
            </w:r>
            <w:r w:rsidRPr="00D4309F">
              <w:rPr>
                <w:b/>
                <w:color w:val="211E1F"/>
                <w:sz w:val="18"/>
              </w:rPr>
              <w:t>and</w:t>
            </w:r>
            <w:r w:rsidRPr="00D4309F">
              <w:rPr>
                <w:b/>
                <w:color w:val="211E1F"/>
                <w:spacing w:val="-2"/>
                <w:sz w:val="18"/>
              </w:rPr>
              <w:t xml:space="preserve"> economic</w:t>
            </w:r>
          </w:p>
        </w:tc>
        <w:tc>
          <w:tcPr>
            <w:tcW w:w="3427" w:type="pct"/>
          </w:tcPr>
          <w:p w14:paraId="0F38067C" w14:textId="77777777" w:rsidR="00430B9B" w:rsidRPr="00D4309F" w:rsidRDefault="00430B9B">
            <w:pPr>
              <w:pStyle w:val="TableParagraph"/>
              <w:spacing w:before="41"/>
              <w:ind w:left="166"/>
              <w:rPr>
                <w:sz w:val="18"/>
              </w:rPr>
            </w:pPr>
            <w:r w:rsidRPr="00D4309F">
              <w:rPr>
                <w:color w:val="211E1F"/>
                <w:sz w:val="18"/>
              </w:rPr>
              <w:t>Consistency</w:t>
            </w:r>
            <w:r w:rsidRPr="00D4309F">
              <w:rPr>
                <w:color w:val="211E1F"/>
                <w:spacing w:val="-5"/>
                <w:sz w:val="18"/>
              </w:rPr>
              <w:t xml:space="preserve"> </w:t>
            </w:r>
            <w:r w:rsidRPr="00D4309F">
              <w:rPr>
                <w:color w:val="211E1F"/>
                <w:sz w:val="18"/>
              </w:rPr>
              <w:t>with</w:t>
            </w:r>
            <w:r w:rsidRPr="00D4309F">
              <w:rPr>
                <w:color w:val="211E1F"/>
                <w:spacing w:val="-3"/>
                <w:sz w:val="18"/>
              </w:rPr>
              <w:t xml:space="preserve"> </w:t>
            </w:r>
            <w:r w:rsidRPr="00D4309F">
              <w:rPr>
                <w:color w:val="211E1F"/>
                <w:sz w:val="18"/>
              </w:rPr>
              <w:t>SRG</w:t>
            </w:r>
            <w:r w:rsidRPr="00D4309F">
              <w:rPr>
                <w:color w:val="211E1F"/>
                <w:spacing w:val="-3"/>
                <w:sz w:val="18"/>
              </w:rPr>
              <w:t xml:space="preserve"> </w:t>
            </w:r>
            <w:r w:rsidRPr="00D4309F">
              <w:rPr>
                <w:color w:val="211E1F"/>
                <w:sz w:val="18"/>
              </w:rPr>
              <w:t>preference</w:t>
            </w:r>
            <w:r w:rsidRPr="00D4309F">
              <w:rPr>
                <w:color w:val="211E1F"/>
                <w:spacing w:val="-3"/>
                <w:sz w:val="18"/>
              </w:rPr>
              <w:t xml:space="preserve"> </w:t>
            </w:r>
            <w:r w:rsidRPr="00D4309F">
              <w:rPr>
                <w:color w:val="211E1F"/>
                <w:sz w:val="18"/>
              </w:rPr>
              <w:t>for</w:t>
            </w:r>
            <w:r w:rsidRPr="00D4309F">
              <w:rPr>
                <w:color w:val="211E1F"/>
                <w:spacing w:val="-3"/>
                <w:sz w:val="18"/>
              </w:rPr>
              <w:t xml:space="preserve"> </w:t>
            </w:r>
            <w:r w:rsidRPr="00D4309F">
              <w:rPr>
                <w:color w:val="211E1F"/>
                <w:sz w:val="18"/>
              </w:rPr>
              <w:t>lower</w:t>
            </w:r>
            <w:r w:rsidRPr="00D4309F">
              <w:rPr>
                <w:color w:val="211E1F"/>
                <w:spacing w:val="-2"/>
                <w:sz w:val="18"/>
              </w:rPr>
              <w:t xml:space="preserve"> </w:t>
            </w:r>
            <w:r w:rsidRPr="00D4309F">
              <w:rPr>
                <w:color w:val="211E1F"/>
                <w:sz w:val="18"/>
              </w:rPr>
              <w:t>impact,</w:t>
            </w:r>
            <w:r w:rsidRPr="00D4309F">
              <w:rPr>
                <w:color w:val="211E1F"/>
                <w:spacing w:val="-3"/>
                <w:sz w:val="18"/>
              </w:rPr>
              <w:t xml:space="preserve"> </w:t>
            </w:r>
            <w:r w:rsidRPr="00D4309F">
              <w:rPr>
                <w:color w:val="211E1F"/>
                <w:sz w:val="18"/>
              </w:rPr>
              <w:t>“softer”</w:t>
            </w:r>
            <w:r w:rsidRPr="00D4309F">
              <w:rPr>
                <w:color w:val="211E1F"/>
                <w:spacing w:val="-3"/>
                <w:sz w:val="18"/>
              </w:rPr>
              <w:t xml:space="preserve"> </w:t>
            </w:r>
            <w:r w:rsidRPr="00D4309F">
              <w:rPr>
                <w:color w:val="211E1F"/>
                <w:sz w:val="18"/>
              </w:rPr>
              <w:t>measures</w:t>
            </w:r>
            <w:r w:rsidRPr="00D4309F">
              <w:rPr>
                <w:color w:val="211E1F"/>
                <w:spacing w:val="-2"/>
                <w:sz w:val="18"/>
              </w:rPr>
              <w:t xml:space="preserve"> </w:t>
            </w:r>
            <w:r w:rsidRPr="00D4309F">
              <w:rPr>
                <w:color w:val="211E1F"/>
                <w:sz w:val="18"/>
              </w:rPr>
              <w:t>where</w:t>
            </w:r>
            <w:r w:rsidRPr="00D4309F">
              <w:rPr>
                <w:color w:val="211E1F"/>
                <w:spacing w:val="-3"/>
                <w:sz w:val="18"/>
              </w:rPr>
              <w:t xml:space="preserve"> </w:t>
            </w:r>
            <w:r w:rsidRPr="00D4309F">
              <w:rPr>
                <w:color w:val="211E1F"/>
                <w:spacing w:val="-2"/>
                <w:sz w:val="18"/>
              </w:rPr>
              <w:t>practicable.</w:t>
            </w:r>
          </w:p>
        </w:tc>
        <w:tc>
          <w:tcPr>
            <w:tcW w:w="571" w:type="pct"/>
          </w:tcPr>
          <w:p w14:paraId="735D76E5" w14:textId="77777777" w:rsidR="00430B9B" w:rsidRPr="00D4309F" w:rsidRDefault="00430B9B">
            <w:pPr>
              <w:pStyle w:val="TableParagraph"/>
              <w:spacing w:before="41"/>
              <w:ind w:left="485"/>
              <w:rPr>
                <w:sz w:val="18"/>
              </w:rPr>
            </w:pPr>
            <w:r w:rsidRPr="00D4309F">
              <w:rPr>
                <w:color w:val="211E1F"/>
                <w:spacing w:val="-10"/>
                <w:sz w:val="18"/>
              </w:rPr>
              <w:t>5</w:t>
            </w:r>
          </w:p>
        </w:tc>
      </w:tr>
      <w:tr w:rsidR="00430B9B" w:rsidRPr="00D4309F" w14:paraId="504CB5CB" w14:textId="77777777" w:rsidTr="00430B9B">
        <w:trPr>
          <w:trHeight w:val="286"/>
        </w:trPr>
        <w:tc>
          <w:tcPr>
            <w:tcW w:w="1002" w:type="pct"/>
            <w:vMerge/>
          </w:tcPr>
          <w:p w14:paraId="1E119B9E" w14:textId="77777777" w:rsidR="00430B9B" w:rsidRPr="00D4309F" w:rsidRDefault="00430B9B">
            <w:pPr>
              <w:pStyle w:val="TableParagraph"/>
              <w:rPr>
                <w:rFonts w:ascii="Times New Roman"/>
                <w:sz w:val="18"/>
              </w:rPr>
            </w:pPr>
          </w:p>
        </w:tc>
        <w:tc>
          <w:tcPr>
            <w:tcW w:w="3427" w:type="pct"/>
          </w:tcPr>
          <w:p w14:paraId="248BAD1B" w14:textId="77777777" w:rsidR="00430B9B" w:rsidRPr="00D4309F" w:rsidRDefault="00430B9B">
            <w:pPr>
              <w:pStyle w:val="TableParagraph"/>
              <w:spacing w:before="39"/>
              <w:ind w:left="165"/>
              <w:rPr>
                <w:sz w:val="18"/>
              </w:rPr>
            </w:pPr>
            <w:r w:rsidRPr="00D4309F">
              <w:rPr>
                <w:color w:val="211E1F"/>
                <w:sz w:val="18"/>
              </w:rPr>
              <w:t>Traditional</w:t>
            </w:r>
            <w:r w:rsidRPr="00D4309F">
              <w:rPr>
                <w:color w:val="211E1F"/>
                <w:spacing w:val="-3"/>
                <w:sz w:val="18"/>
              </w:rPr>
              <w:t xml:space="preserve"> </w:t>
            </w:r>
            <w:r w:rsidRPr="00D4309F">
              <w:rPr>
                <w:color w:val="211E1F"/>
                <w:sz w:val="18"/>
              </w:rPr>
              <w:t>Owners</w:t>
            </w:r>
            <w:r w:rsidRPr="00D4309F">
              <w:rPr>
                <w:color w:val="211E1F"/>
                <w:spacing w:val="-3"/>
                <w:sz w:val="18"/>
              </w:rPr>
              <w:t xml:space="preserve"> </w:t>
            </w:r>
            <w:r w:rsidRPr="00D4309F">
              <w:rPr>
                <w:color w:val="211E1F"/>
                <w:sz w:val="18"/>
              </w:rPr>
              <w:t>do</w:t>
            </w:r>
            <w:r w:rsidRPr="00D4309F">
              <w:rPr>
                <w:color w:val="211E1F"/>
                <w:spacing w:val="-3"/>
                <w:sz w:val="18"/>
              </w:rPr>
              <w:t xml:space="preserve"> </w:t>
            </w:r>
            <w:r w:rsidRPr="00D4309F">
              <w:rPr>
                <w:color w:val="211E1F"/>
                <w:sz w:val="18"/>
              </w:rPr>
              <w:t>not</w:t>
            </w:r>
            <w:r w:rsidRPr="00D4309F">
              <w:rPr>
                <w:color w:val="211E1F"/>
                <w:spacing w:val="-3"/>
                <w:sz w:val="18"/>
              </w:rPr>
              <w:t xml:space="preserve"> </w:t>
            </w:r>
            <w:r w:rsidRPr="00D4309F">
              <w:rPr>
                <w:color w:val="211E1F"/>
                <w:sz w:val="18"/>
              </w:rPr>
              <w:t>experience</w:t>
            </w:r>
            <w:r w:rsidRPr="00D4309F">
              <w:rPr>
                <w:color w:val="211E1F"/>
                <w:spacing w:val="-3"/>
                <w:sz w:val="18"/>
              </w:rPr>
              <w:t xml:space="preserve"> </w:t>
            </w:r>
            <w:r w:rsidRPr="00D4309F">
              <w:rPr>
                <w:color w:val="211E1F"/>
                <w:sz w:val="18"/>
              </w:rPr>
              <w:t>disturbance</w:t>
            </w:r>
            <w:r w:rsidRPr="00D4309F">
              <w:rPr>
                <w:color w:val="211E1F"/>
                <w:spacing w:val="-3"/>
                <w:sz w:val="18"/>
              </w:rPr>
              <w:t xml:space="preserve"> </w:t>
            </w:r>
            <w:r w:rsidRPr="00D4309F">
              <w:rPr>
                <w:color w:val="211E1F"/>
                <w:sz w:val="18"/>
              </w:rPr>
              <w:t>to</w:t>
            </w:r>
            <w:r w:rsidRPr="00D4309F">
              <w:rPr>
                <w:color w:val="211E1F"/>
                <w:spacing w:val="-4"/>
                <w:sz w:val="18"/>
              </w:rPr>
              <w:t xml:space="preserve"> </w:t>
            </w:r>
            <w:r w:rsidRPr="00D4309F">
              <w:rPr>
                <w:color w:val="211E1F"/>
                <w:sz w:val="18"/>
              </w:rPr>
              <w:t>cultural</w:t>
            </w:r>
            <w:r w:rsidRPr="00D4309F">
              <w:rPr>
                <w:color w:val="211E1F"/>
                <w:spacing w:val="-2"/>
                <w:sz w:val="18"/>
              </w:rPr>
              <w:t xml:space="preserve"> values</w:t>
            </w:r>
          </w:p>
        </w:tc>
        <w:tc>
          <w:tcPr>
            <w:tcW w:w="571" w:type="pct"/>
          </w:tcPr>
          <w:p w14:paraId="1D7C9AD6" w14:textId="77777777" w:rsidR="00430B9B" w:rsidRPr="00D4309F" w:rsidRDefault="00430B9B">
            <w:pPr>
              <w:pStyle w:val="TableParagraph"/>
              <w:spacing w:before="39"/>
              <w:ind w:left="485"/>
              <w:rPr>
                <w:sz w:val="18"/>
              </w:rPr>
            </w:pPr>
            <w:r w:rsidRPr="00D4309F">
              <w:rPr>
                <w:color w:val="211E1F"/>
                <w:spacing w:val="-10"/>
                <w:sz w:val="18"/>
              </w:rPr>
              <w:t>3</w:t>
            </w:r>
          </w:p>
        </w:tc>
      </w:tr>
      <w:tr w:rsidR="00430B9B" w:rsidRPr="00D4309F" w14:paraId="51BD6F68" w14:textId="77777777" w:rsidTr="00430B9B">
        <w:trPr>
          <w:trHeight w:val="287"/>
        </w:trPr>
        <w:tc>
          <w:tcPr>
            <w:tcW w:w="1002" w:type="pct"/>
            <w:vMerge/>
          </w:tcPr>
          <w:p w14:paraId="29E71379" w14:textId="77777777" w:rsidR="00430B9B" w:rsidRPr="00D4309F" w:rsidRDefault="00430B9B">
            <w:pPr>
              <w:pStyle w:val="TableParagraph"/>
              <w:rPr>
                <w:rFonts w:ascii="Times New Roman"/>
                <w:sz w:val="18"/>
              </w:rPr>
            </w:pPr>
          </w:p>
        </w:tc>
        <w:tc>
          <w:tcPr>
            <w:tcW w:w="3427" w:type="pct"/>
          </w:tcPr>
          <w:p w14:paraId="20E2E3EC" w14:textId="77777777" w:rsidR="00430B9B" w:rsidRPr="00D4309F" w:rsidRDefault="00430B9B">
            <w:pPr>
              <w:pStyle w:val="TableParagraph"/>
              <w:spacing w:before="41"/>
              <w:ind w:left="165"/>
              <w:rPr>
                <w:sz w:val="18"/>
              </w:rPr>
            </w:pPr>
            <w:r w:rsidRPr="00D4309F">
              <w:rPr>
                <w:color w:val="211E1F"/>
                <w:sz w:val="18"/>
              </w:rPr>
              <w:t>Visual</w:t>
            </w:r>
            <w:r w:rsidRPr="00D4309F">
              <w:rPr>
                <w:color w:val="211E1F"/>
                <w:spacing w:val="-5"/>
                <w:sz w:val="18"/>
              </w:rPr>
              <w:t xml:space="preserve"> </w:t>
            </w:r>
            <w:r w:rsidRPr="00D4309F">
              <w:rPr>
                <w:color w:val="211E1F"/>
                <w:spacing w:val="-2"/>
                <w:sz w:val="18"/>
              </w:rPr>
              <w:t>amenity</w:t>
            </w:r>
          </w:p>
        </w:tc>
        <w:tc>
          <w:tcPr>
            <w:tcW w:w="571" w:type="pct"/>
          </w:tcPr>
          <w:p w14:paraId="3B4E9BD8" w14:textId="77777777" w:rsidR="00430B9B" w:rsidRPr="00D4309F" w:rsidRDefault="00430B9B">
            <w:pPr>
              <w:pStyle w:val="TableParagraph"/>
              <w:spacing w:before="41"/>
              <w:ind w:left="485"/>
              <w:rPr>
                <w:sz w:val="18"/>
              </w:rPr>
            </w:pPr>
            <w:r w:rsidRPr="00D4309F">
              <w:rPr>
                <w:color w:val="211E1F"/>
                <w:spacing w:val="-10"/>
                <w:sz w:val="18"/>
              </w:rPr>
              <w:t>4</w:t>
            </w:r>
          </w:p>
        </w:tc>
      </w:tr>
      <w:tr w:rsidR="00430B9B" w:rsidRPr="00D4309F" w14:paraId="5479F03A" w14:textId="77777777" w:rsidTr="00430B9B">
        <w:trPr>
          <w:trHeight w:val="286"/>
        </w:trPr>
        <w:tc>
          <w:tcPr>
            <w:tcW w:w="1002" w:type="pct"/>
            <w:vMerge/>
          </w:tcPr>
          <w:p w14:paraId="6B67BCA0" w14:textId="77777777" w:rsidR="00430B9B" w:rsidRPr="00D4309F" w:rsidRDefault="00430B9B">
            <w:pPr>
              <w:pStyle w:val="TableParagraph"/>
              <w:rPr>
                <w:rFonts w:ascii="Times New Roman"/>
                <w:sz w:val="18"/>
              </w:rPr>
            </w:pPr>
          </w:p>
        </w:tc>
        <w:tc>
          <w:tcPr>
            <w:tcW w:w="3427" w:type="pct"/>
          </w:tcPr>
          <w:p w14:paraId="05BC29C9" w14:textId="77777777" w:rsidR="00430B9B" w:rsidRPr="00D4309F" w:rsidRDefault="00430B9B">
            <w:pPr>
              <w:pStyle w:val="TableParagraph"/>
              <w:spacing w:before="39"/>
              <w:ind w:left="165"/>
              <w:rPr>
                <w:sz w:val="18"/>
              </w:rPr>
            </w:pPr>
            <w:r w:rsidRPr="00D4309F">
              <w:rPr>
                <w:color w:val="211E1F"/>
                <w:sz w:val="18"/>
              </w:rPr>
              <w:t>Community</w:t>
            </w:r>
            <w:r w:rsidRPr="00D4309F">
              <w:rPr>
                <w:color w:val="211E1F"/>
                <w:spacing w:val="-3"/>
                <w:sz w:val="18"/>
              </w:rPr>
              <w:t xml:space="preserve"> </w:t>
            </w:r>
            <w:r w:rsidRPr="00D4309F">
              <w:rPr>
                <w:color w:val="211E1F"/>
                <w:sz w:val="18"/>
              </w:rPr>
              <w:t>amenity</w:t>
            </w:r>
            <w:r w:rsidRPr="00D4309F">
              <w:rPr>
                <w:color w:val="211E1F"/>
                <w:spacing w:val="-2"/>
                <w:sz w:val="18"/>
              </w:rPr>
              <w:t xml:space="preserve"> </w:t>
            </w:r>
            <w:r w:rsidRPr="00D4309F">
              <w:rPr>
                <w:color w:val="211E1F"/>
                <w:sz w:val="18"/>
              </w:rPr>
              <w:t>(inc.</w:t>
            </w:r>
            <w:r w:rsidRPr="00D4309F">
              <w:rPr>
                <w:color w:val="211E1F"/>
                <w:spacing w:val="-2"/>
                <w:sz w:val="18"/>
              </w:rPr>
              <w:t xml:space="preserve"> </w:t>
            </w:r>
            <w:r w:rsidRPr="00D4309F">
              <w:rPr>
                <w:color w:val="211E1F"/>
                <w:sz w:val="18"/>
              </w:rPr>
              <w:t>noise</w:t>
            </w:r>
            <w:r w:rsidRPr="00D4309F">
              <w:rPr>
                <w:color w:val="211E1F"/>
                <w:spacing w:val="-3"/>
                <w:sz w:val="18"/>
              </w:rPr>
              <w:t xml:space="preserve"> </w:t>
            </w:r>
            <w:r w:rsidRPr="00D4309F">
              <w:rPr>
                <w:color w:val="211E1F"/>
                <w:sz w:val="18"/>
              </w:rPr>
              <w:t>from</w:t>
            </w:r>
            <w:r w:rsidRPr="00D4309F">
              <w:rPr>
                <w:color w:val="211E1F"/>
                <w:spacing w:val="-2"/>
                <w:sz w:val="18"/>
              </w:rPr>
              <w:t xml:space="preserve"> pumps)</w:t>
            </w:r>
          </w:p>
        </w:tc>
        <w:tc>
          <w:tcPr>
            <w:tcW w:w="571" w:type="pct"/>
          </w:tcPr>
          <w:p w14:paraId="1E9BA79D" w14:textId="77777777" w:rsidR="00430B9B" w:rsidRPr="00D4309F" w:rsidRDefault="00430B9B">
            <w:pPr>
              <w:pStyle w:val="TableParagraph"/>
              <w:spacing w:before="39"/>
              <w:ind w:left="484"/>
              <w:rPr>
                <w:sz w:val="18"/>
              </w:rPr>
            </w:pPr>
            <w:r w:rsidRPr="00D4309F">
              <w:rPr>
                <w:color w:val="211E1F"/>
                <w:spacing w:val="-10"/>
                <w:sz w:val="18"/>
              </w:rPr>
              <w:t>3</w:t>
            </w:r>
          </w:p>
        </w:tc>
      </w:tr>
      <w:tr w:rsidR="00430B9B" w:rsidRPr="00D4309F" w14:paraId="10E8B16B" w14:textId="77777777" w:rsidTr="00430B9B">
        <w:trPr>
          <w:trHeight w:val="247"/>
        </w:trPr>
        <w:tc>
          <w:tcPr>
            <w:tcW w:w="1002" w:type="pct"/>
            <w:vMerge/>
          </w:tcPr>
          <w:p w14:paraId="6501B1C4" w14:textId="77777777" w:rsidR="00430B9B" w:rsidRPr="00D4309F" w:rsidRDefault="00430B9B">
            <w:pPr>
              <w:pStyle w:val="TableParagraph"/>
              <w:rPr>
                <w:rFonts w:ascii="Times New Roman"/>
                <w:sz w:val="18"/>
              </w:rPr>
            </w:pPr>
          </w:p>
        </w:tc>
        <w:tc>
          <w:tcPr>
            <w:tcW w:w="3427" w:type="pct"/>
          </w:tcPr>
          <w:p w14:paraId="0D0D9E19" w14:textId="77777777" w:rsidR="00430B9B" w:rsidRPr="00D4309F" w:rsidRDefault="00430B9B">
            <w:pPr>
              <w:pStyle w:val="TableParagraph"/>
              <w:spacing w:before="41" w:line="187" w:lineRule="exact"/>
              <w:ind w:left="165"/>
              <w:rPr>
                <w:sz w:val="18"/>
              </w:rPr>
            </w:pPr>
            <w:r w:rsidRPr="00D4309F">
              <w:rPr>
                <w:color w:val="211E1F"/>
                <w:sz w:val="18"/>
              </w:rPr>
              <w:t>Beach</w:t>
            </w:r>
            <w:r w:rsidRPr="00D4309F">
              <w:rPr>
                <w:color w:val="211E1F"/>
                <w:spacing w:val="-5"/>
                <w:sz w:val="18"/>
              </w:rPr>
              <w:t xml:space="preserve"> </w:t>
            </w:r>
            <w:r w:rsidRPr="00D4309F">
              <w:rPr>
                <w:color w:val="211E1F"/>
                <w:sz w:val="18"/>
              </w:rPr>
              <w:t>users</w:t>
            </w:r>
            <w:r w:rsidRPr="00D4309F">
              <w:rPr>
                <w:color w:val="211E1F"/>
                <w:spacing w:val="-2"/>
                <w:sz w:val="18"/>
              </w:rPr>
              <w:t xml:space="preserve"> experience</w:t>
            </w:r>
          </w:p>
        </w:tc>
        <w:tc>
          <w:tcPr>
            <w:tcW w:w="571" w:type="pct"/>
          </w:tcPr>
          <w:p w14:paraId="5E76DC27" w14:textId="77777777" w:rsidR="00430B9B" w:rsidRPr="00D4309F" w:rsidRDefault="00430B9B">
            <w:pPr>
              <w:pStyle w:val="TableParagraph"/>
              <w:spacing w:before="41" w:line="187" w:lineRule="exact"/>
              <w:ind w:left="485"/>
              <w:rPr>
                <w:sz w:val="18"/>
              </w:rPr>
            </w:pPr>
            <w:r w:rsidRPr="00D4309F">
              <w:rPr>
                <w:color w:val="211E1F"/>
                <w:spacing w:val="-10"/>
                <w:sz w:val="18"/>
              </w:rPr>
              <w:t>3</w:t>
            </w:r>
          </w:p>
        </w:tc>
      </w:tr>
      <w:tr w:rsidR="00430B9B" w:rsidRPr="00D4309F" w14:paraId="7639E8A1" w14:textId="77777777" w:rsidTr="00430B9B">
        <w:trPr>
          <w:trHeight w:val="247"/>
        </w:trPr>
        <w:tc>
          <w:tcPr>
            <w:tcW w:w="1002" w:type="pct"/>
            <w:vMerge/>
          </w:tcPr>
          <w:p w14:paraId="0F44AF03" w14:textId="77777777" w:rsidR="00430B9B" w:rsidRPr="00D4309F" w:rsidRDefault="00430B9B" w:rsidP="00430B9B">
            <w:pPr>
              <w:pStyle w:val="TableParagraph"/>
              <w:rPr>
                <w:rFonts w:ascii="Times New Roman"/>
                <w:sz w:val="18"/>
              </w:rPr>
            </w:pPr>
          </w:p>
        </w:tc>
        <w:tc>
          <w:tcPr>
            <w:tcW w:w="3427" w:type="pct"/>
          </w:tcPr>
          <w:p w14:paraId="58FABF1C" w14:textId="60B108E6" w:rsidR="00430B9B" w:rsidRPr="00D4309F" w:rsidRDefault="00430B9B" w:rsidP="00430B9B">
            <w:pPr>
              <w:pStyle w:val="TableParagraph"/>
              <w:spacing w:before="41" w:line="187" w:lineRule="exact"/>
              <w:ind w:left="165"/>
              <w:rPr>
                <w:color w:val="211E1F"/>
                <w:sz w:val="18"/>
              </w:rPr>
            </w:pPr>
            <w:r w:rsidRPr="00D4309F">
              <w:rPr>
                <w:color w:val="211E1F"/>
                <w:sz w:val="18"/>
              </w:rPr>
              <w:t>Safe</w:t>
            </w:r>
            <w:r w:rsidRPr="00D4309F">
              <w:rPr>
                <w:color w:val="211E1F"/>
                <w:spacing w:val="-4"/>
                <w:sz w:val="18"/>
              </w:rPr>
              <w:t xml:space="preserve"> </w:t>
            </w:r>
            <w:r w:rsidRPr="00D4309F">
              <w:rPr>
                <w:color w:val="211E1F"/>
                <w:sz w:val="18"/>
              </w:rPr>
              <w:t>access</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business</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recreational</w:t>
            </w:r>
            <w:r w:rsidRPr="00D4309F">
              <w:rPr>
                <w:color w:val="211E1F"/>
                <w:spacing w:val="-2"/>
                <w:sz w:val="18"/>
              </w:rPr>
              <w:t xml:space="preserve"> </w:t>
            </w:r>
            <w:r w:rsidRPr="00D4309F">
              <w:rPr>
                <w:color w:val="211E1F"/>
                <w:spacing w:val="-4"/>
                <w:sz w:val="18"/>
              </w:rPr>
              <w:t>users</w:t>
            </w:r>
          </w:p>
        </w:tc>
        <w:tc>
          <w:tcPr>
            <w:tcW w:w="571" w:type="pct"/>
          </w:tcPr>
          <w:p w14:paraId="268277C8" w14:textId="02AF4F47" w:rsidR="00430B9B" w:rsidRPr="00D4309F" w:rsidRDefault="00430B9B" w:rsidP="00430B9B">
            <w:pPr>
              <w:pStyle w:val="TableParagraph"/>
              <w:spacing w:before="41" w:line="187" w:lineRule="exact"/>
              <w:ind w:left="485"/>
              <w:rPr>
                <w:color w:val="211E1F"/>
                <w:spacing w:val="-10"/>
                <w:sz w:val="18"/>
              </w:rPr>
            </w:pPr>
            <w:r w:rsidRPr="00D4309F">
              <w:rPr>
                <w:color w:val="211E1F"/>
                <w:spacing w:val="-10"/>
                <w:sz w:val="18"/>
              </w:rPr>
              <w:t>3</w:t>
            </w:r>
          </w:p>
        </w:tc>
      </w:tr>
      <w:tr w:rsidR="00430B9B" w:rsidRPr="00D4309F" w14:paraId="5C09A978" w14:textId="77777777" w:rsidTr="00430B9B">
        <w:trPr>
          <w:trHeight w:val="247"/>
        </w:trPr>
        <w:tc>
          <w:tcPr>
            <w:tcW w:w="1002" w:type="pct"/>
            <w:vMerge/>
          </w:tcPr>
          <w:p w14:paraId="77F6569D" w14:textId="77777777" w:rsidR="00430B9B" w:rsidRPr="00D4309F" w:rsidRDefault="00430B9B" w:rsidP="00430B9B">
            <w:pPr>
              <w:pStyle w:val="TableParagraph"/>
              <w:rPr>
                <w:rFonts w:ascii="Times New Roman"/>
                <w:sz w:val="18"/>
              </w:rPr>
            </w:pPr>
          </w:p>
        </w:tc>
        <w:tc>
          <w:tcPr>
            <w:tcW w:w="3427" w:type="pct"/>
          </w:tcPr>
          <w:p w14:paraId="4065C204" w14:textId="1A81039A" w:rsidR="00430B9B" w:rsidRPr="00D4309F" w:rsidRDefault="00430B9B" w:rsidP="00430B9B">
            <w:pPr>
              <w:pStyle w:val="TableParagraph"/>
              <w:spacing w:before="41" w:line="187" w:lineRule="exact"/>
              <w:ind w:left="165"/>
              <w:rPr>
                <w:color w:val="211E1F"/>
                <w:sz w:val="18"/>
              </w:rPr>
            </w:pPr>
            <w:r w:rsidRPr="00D4309F">
              <w:rPr>
                <w:color w:val="211E1F"/>
                <w:sz w:val="18"/>
              </w:rPr>
              <w:t>Reliable</w:t>
            </w:r>
            <w:r w:rsidRPr="00D4309F">
              <w:rPr>
                <w:color w:val="211E1F"/>
                <w:spacing w:val="-4"/>
                <w:sz w:val="18"/>
              </w:rPr>
              <w:t xml:space="preserve"> </w:t>
            </w:r>
            <w:r w:rsidRPr="00D4309F">
              <w:rPr>
                <w:color w:val="211E1F"/>
                <w:sz w:val="18"/>
              </w:rPr>
              <w:t>access</w:t>
            </w:r>
            <w:r w:rsidRPr="00D4309F">
              <w:rPr>
                <w:color w:val="211E1F"/>
                <w:spacing w:val="-3"/>
                <w:sz w:val="18"/>
              </w:rPr>
              <w:t xml:space="preserve"> </w:t>
            </w:r>
            <w:r w:rsidRPr="00D4309F">
              <w:rPr>
                <w:color w:val="211E1F"/>
                <w:sz w:val="18"/>
              </w:rPr>
              <w:t>for</w:t>
            </w:r>
            <w:r w:rsidRPr="00D4309F">
              <w:rPr>
                <w:color w:val="211E1F"/>
                <w:spacing w:val="-3"/>
                <w:sz w:val="18"/>
              </w:rPr>
              <w:t xml:space="preserve"> </w:t>
            </w:r>
            <w:r w:rsidRPr="00D4309F">
              <w:rPr>
                <w:color w:val="211E1F"/>
                <w:sz w:val="18"/>
              </w:rPr>
              <w:t>business</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recreational</w:t>
            </w:r>
            <w:r w:rsidRPr="00D4309F">
              <w:rPr>
                <w:color w:val="211E1F"/>
                <w:spacing w:val="-3"/>
                <w:sz w:val="18"/>
              </w:rPr>
              <w:t xml:space="preserve"> </w:t>
            </w:r>
            <w:r w:rsidRPr="00D4309F">
              <w:rPr>
                <w:color w:val="211E1F"/>
                <w:spacing w:val="-4"/>
                <w:sz w:val="18"/>
              </w:rPr>
              <w:t>users</w:t>
            </w:r>
          </w:p>
        </w:tc>
        <w:tc>
          <w:tcPr>
            <w:tcW w:w="571" w:type="pct"/>
          </w:tcPr>
          <w:p w14:paraId="1AD0EC65" w14:textId="6273F640" w:rsidR="00430B9B" w:rsidRPr="00D4309F" w:rsidRDefault="00430B9B" w:rsidP="00430B9B">
            <w:pPr>
              <w:pStyle w:val="TableParagraph"/>
              <w:spacing w:before="41" w:line="187" w:lineRule="exact"/>
              <w:ind w:left="485"/>
              <w:rPr>
                <w:color w:val="211E1F"/>
                <w:spacing w:val="-10"/>
                <w:sz w:val="18"/>
              </w:rPr>
            </w:pPr>
            <w:r w:rsidRPr="00D4309F">
              <w:rPr>
                <w:color w:val="211E1F"/>
                <w:spacing w:val="-10"/>
                <w:sz w:val="18"/>
              </w:rPr>
              <w:t>3</w:t>
            </w:r>
          </w:p>
        </w:tc>
      </w:tr>
      <w:tr w:rsidR="00430B9B" w:rsidRPr="00D4309F" w14:paraId="035F8306" w14:textId="77777777" w:rsidTr="00430B9B">
        <w:trPr>
          <w:trHeight w:val="247"/>
        </w:trPr>
        <w:tc>
          <w:tcPr>
            <w:tcW w:w="1002" w:type="pct"/>
            <w:vMerge/>
          </w:tcPr>
          <w:p w14:paraId="0E399490" w14:textId="77777777" w:rsidR="00430B9B" w:rsidRPr="00D4309F" w:rsidRDefault="00430B9B" w:rsidP="00430B9B">
            <w:pPr>
              <w:pStyle w:val="TableParagraph"/>
              <w:rPr>
                <w:rFonts w:ascii="Times New Roman"/>
                <w:sz w:val="18"/>
              </w:rPr>
            </w:pPr>
          </w:p>
        </w:tc>
        <w:tc>
          <w:tcPr>
            <w:tcW w:w="3427" w:type="pct"/>
          </w:tcPr>
          <w:p w14:paraId="520522B7" w14:textId="15BAD4C9" w:rsidR="00430B9B" w:rsidRPr="00D4309F" w:rsidRDefault="00430B9B" w:rsidP="00430B9B">
            <w:pPr>
              <w:pStyle w:val="TableParagraph"/>
              <w:spacing w:before="41" w:line="187" w:lineRule="exact"/>
              <w:ind w:left="165"/>
              <w:rPr>
                <w:color w:val="211E1F"/>
                <w:sz w:val="18"/>
              </w:rPr>
            </w:pPr>
            <w:r w:rsidRPr="00D4309F">
              <w:rPr>
                <w:color w:val="211E1F"/>
                <w:sz w:val="18"/>
              </w:rPr>
              <w:t>Broader</w:t>
            </w:r>
            <w:r w:rsidRPr="00D4309F">
              <w:rPr>
                <w:color w:val="211E1F"/>
                <w:spacing w:val="-6"/>
                <w:sz w:val="18"/>
              </w:rPr>
              <w:t xml:space="preserve"> </w:t>
            </w:r>
            <w:r w:rsidRPr="00D4309F">
              <w:rPr>
                <w:color w:val="211E1F"/>
                <w:sz w:val="18"/>
              </w:rPr>
              <w:t>economic</w:t>
            </w:r>
            <w:r w:rsidRPr="00D4309F">
              <w:rPr>
                <w:color w:val="211E1F"/>
                <w:spacing w:val="-4"/>
                <w:sz w:val="18"/>
              </w:rPr>
              <w:t xml:space="preserve"> </w:t>
            </w:r>
            <w:r w:rsidRPr="00D4309F">
              <w:rPr>
                <w:color w:val="211E1F"/>
                <w:sz w:val="18"/>
              </w:rPr>
              <w:t>considerations</w:t>
            </w:r>
            <w:r w:rsidRPr="00D4309F">
              <w:rPr>
                <w:color w:val="211E1F"/>
                <w:spacing w:val="-3"/>
                <w:sz w:val="18"/>
              </w:rPr>
              <w:t xml:space="preserve"> </w:t>
            </w:r>
            <w:r w:rsidRPr="00D4309F">
              <w:rPr>
                <w:color w:val="211E1F"/>
                <w:sz w:val="18"/>
              </w:rPr>
              <w:t>during</w:t>
            </w:r>
            <w:r w:rsidRPr="00D4309F">
              <w:rPr>
                <w:color w:val="211E1F"/>
                <w:spacing w:val="-5"/>
                <w:sz w:val="18"/>
              </w:rPr>
              <w:t xml:space="preserve"> </w:t>
            </w:r>
            <w:r w:rsidRPr="00D4309F">
              <w:rPr>
                <w:color w:val="211E1F"/>
                <w:sz w:val="18"/>
              </w:rPr>
              <w:t>construction</w:t>
            </w:r>
            <w:r w:rsidRPr="00D4309F">
              <w:rPr>
                <w:color w:val="211E1F"/>
                <w:spacing w:val="-4"/>
                <w:sz w:val="18"/>
              </w:rPr>
              <w:t xml:space="preserve"> </w:t>
            </w:r>
            <w:r w:rsidRPr="00D4309F">
              <w:rPr>
                <w:color w:val="211E1F"/>
                <w:sz w:val="18"/>
              </w:rPr>
              <w:t>and</w:t>
            </w:r>
            <w:r w:rsidRPr="00D4309F">
              <w:rPr>
                <w:color w:val="211E1F"/>
                <w:spacing w:val="-4"/>
                <w:sz w:val="18"/>
              </w:rPr>
              <w:t xml:space="preserve"> </w:t>
            </w:r>
            <w:r w:rsidRPr="00D4309F">
              <w:rPr>
                <w:color w:val="211E1F"/>
                <w:spacing w:val="-2"/>
                <w:sz w:val="18"/>
              </w:rPr>
              <w:t>operation</w:t>
            </w:r>
          </w:p>
        </w:tc>
        <w:tc>
          <w:tcPr>
            <w:tcW w:w="571" w:type="pct"/>
          </w:tcPr>
          <w:p w14:paraId="2A11AE7C" w14:textId="3B81ED33" w:rsidR="00430B9B" w:rsidRPr="00D4309F" w:rsidRDefault="00430B9B" w:rsidP="00430B9B">
            <w:pPr>
              <w:pStyle w:val="TableParagraph"/>
              <w:spacing w:before="41" w:line="187" w:lineRule="exact"/>
              <w:ind w:left="485"/>
              <w:rPr>
                <w:color w:val="211E1F"/>
                <w:spacing w:val="-10"/>
                <w:sz w:val="18"/>
              </w:rPr>
            </w:pPr>
            <w:r w:rsidRPr="00D4309F">
              <w:rPr>
                <w:color w:val="211E1F"/>
                <w:spacing w:val="-10"/>
                <w:sz w:val="18"/>
              </w:rPr>
              <w:t>5</w:t>
            </w:r>
          </w:p>
        </w:tc>
      </w:tr>
      <w:tr w:rsidR="00430B9B" w:rsidRPr="00D4309F" w14:paraId="5E047DE7" w14:textId="77777777" w:rsidTr="00430B9B">
        <w:trPr>
          <w:trHeight w:val="247"/>
        </w:trPr>
        <w:tc>
          <w:tcPr>
            <w:tcW w:w="1002" w:type="pct"/>
            <w:vMerge/>
          </w:tcPr>
          <w:p w14:paraId="7EA5153C" w14:textId="77777777" w:rsidR="00430B9B" w:rsidRPr="00D4309F" w:rsidRDefault="00430B9B" w:rsidP="00430B9B">
            <w:pPr>
              <w:pStyle w:val="TableParagraph"/>
              <w:rPr>
                <w:rFonts w:ascii="Times New Roman"/>
                <w:sz w:val="18"/>
              </w:rPr>
            </w:pPr>
          </w:p>
        </w:tc>
        <w:tc>
          <w:tcPr>
            <w:tcW w:w="3427" w:type="pct"/>
          </w:tcPr>
          <w:p w14:paraId="1E2CA5BF" w14:textId="027590A0" w:rsidR="00430B9B" w:rsidRPr="00D4309F" w:rsidRDefault="00430B9B" w:rsidP="00430B9B">
            <w:pPr>
              <w:pStyle w:val="TableParagraph"/>
              <w:spacing w:before="41" w:line="187" w:lineRule="exact"/>
              <w:ind w:left="165"/>
              <w:rPr>
                <w:color w:val="211E1F"/>
                <w:sz w:val="18"/>
              </w:rPr>
            </w:pPr>
            <w:r w:rsidRPr="00D4309F">
              <w:rPr>
                <w:color w:val="211E1F"/>
                <w:sz w:val="18"/>
              </w:rPr>
              <w:t>Environmental</w:t>
            </w:r>
            <w:r w:rsidRPr="00D4309F">
              <w:rPr>
                <w:color w:val="211E1F"/>
                <w:spacing w:val="-5"/>
                <w:sz w:val="18"/>
              </w:rPr>
              <w:t xml:space="preserve"> </w:t>
            </w:r>
            <w:r w:rsidRPr="00D4309F">
              <w:rPr>
                <w:color w:val="211E1F"/>
                <w:sz w:val="18"/>
              </w:rPr>
              <w:t>impact</w:t>
            </w:r>
            <w:r w:rsidRPr="00D4309F">
              <w:rPr>
                <w:color w:val="211E1F"/>
                <w:spacing w:val="-4"/>
                <w:sz w:val="18"/>
              </w:rPr>
              <w:t xml:space="preserve"> </w:t>
            </w:r>
            <w:r w:rsidRPr="00D4309F">
              <w:rPr>
                <w:color w:val="211E1F"/>
                <w:spacing w:val="-2"/>
                <w:sz w:val="18"/>
              </w:rPr>
              <w:t>perceptions</w:t>
            </w:r>
          </w:p>
        </w:tc>
        <w:tc>
          <w:tcPr>
            <w:tcW w:w="571" w:type="pct"/>
          </w:tcPr>
          <w:p w14:paraId="31DF491C" w14:textId="733A0E75" w:rsidR="00430B9B" w:rsidRPr="00D4309F" w:rsidRDefault="00430B9B" w:rsidP="00430B9B">
            <w:pPr>
              <w:pStyle w:val="TableParagraph"/>
              <w:spacing w:before="41" w:line="187" w:lineRule="exact"/>
              <w:ind w:left="485"/>
              <w:rPr>
                <w:color w:val="211E1F"/>
                <w:spacing w:val="-10"/>
                <w:sz w:val="18"/>
              </w:rPr>
            </w:pPr>
            <w:r w:rsidRPr="00D4309F">
              <w:rPr>
                <w:color w:val="211E1F"/>
                <w:spacing w:val="-10"/>
                <w:sz w:val="18"/>
              </w:rPr>
              <w:t>3</w:t>
            </w:r>
          </w:p>
        </w:tc>
      </w:tr>
      <w:tr w:rsidR="00430B9B" w:rsidRPr="00D4309F" w14:paraId="4180BF34" w14:textId="77777777" w:rsidTr="00430B9B">
        <w:trPr>
          <w:trHeight w:val="247"/>
        </w:trPr>
        <w:tc>
          <w:tcPr>
            <w:tcW w:w="1002" w:type="pct"/>
            <w:vMerge/>
          </w:tcPr>
          <w:p w14:paraId="08161FE0" w14:textId="77777777" w:rsidR="00430B9B" w:rsidRPr="00D4309F" w:rsidRDefault="00430B9B" w:rsidP="00430B9B">
            <w:pPr>
              <w:pStyle w:val="TableParagraph"/>
              <w:rPr>
                <w:rFonts w:ascii="Times New Roman"/>
                <w:sz w:val="18"/>
              </w:rPr>
            </w:pPr>
          </w:p>
        </w:tc>
        <w:tc>
          <w:tcPr>
            <w:tcW w:w="3427" w:type="pct"/>
          </w:tcPr>
          <w:p w14:paraId="53D1774A" w14:textId="77777777" w:rsidR="00430B9B" w:rsidRPr="00D4309F" w:rsidRDefault="00430B9B" w:rsidP="00430B9B">
            <w:pPr>
              <w:pStyle w:val="TableParagraph"/>
              <w:spacing w:before="41" w:line="187" w:lineRule="exact"/>
              <w:ind w:left="165"/>
              <w:rPr>
                <w:color w:val="211E1F"/>
                <w:sz w:val="18"/>
              </w:rPr>
            </w:pPr>
          </w:p>
        </w:tc>
        <w:tc>
          <w:tcPr>
            <w:tcW w:w="571" w:type="pct"/>
          </w:tcPr>
          <w:p w14:paraId="25DA4473" w14:textId="77777777" w:rsidR="00430B9B" w:rsidRPr="00D4309F" w:rsidRDefault="00430B9B" w:rsidP="00430B9B">
            <w:pPr>
              <w:pStyle w:val="TableParagraph"/>
              <w:spacing w:before="41" w:line="187" w:lineRule="exact"/>
              <w:ind w:left="485"/>
              <w:rPr>
                <w:color w:val="211E1F"/>
                <w:spacing w:val="-10"/>
                <w:sz w:val="18"/>
              </w:rPr>
            </w:pPr>
          </w:p>
        </w:tc>
      </w:tr>
      <w:tr w:rsidR="00430B9B" w:rsidRPr="00D4309F" w14:paraId="47B9C361" w14:textId="77777777" w:rsidTr="00430B9B">
        <w:trPr>
          <w:trHeight w:val="247"/>
        </w:trPr>
        <w:tc>
          <w:tcPr>
            <w:tcW w:w="1002" w:type="pct"/>
            <w:vMerge/>
          </w:tcPr>
          <w:p w14:paraId="2502A168" w14:textId="77777777" w:rsidR="00430B9B" w:rsidRPr="00D4309F" w:rsidRDefault="00430B9B" w:rsidP="00430B9B">
            <w:pPr>
              <w:pStyle w:val="TableParagraph"/>
              <w:rPr>
                <w:rFonts w:ascii="Times New Roman"/>
                <w:sz w:val="18"/>
              </w:rPr>
            </w:pPr>
          </w:p>
        </w:tc>
        <w:tc>
          <w:tcPr>
            <w:tcW w:w="3427" w:type="pct"/>
          </w:tcPr>
          <w:p w14:paraId="70F6C894" w14:textId="1A5C66C3" w:rsidR="00430B9B" w:rsidRPr="00D4309F" w:rsidRDefault="00430B9B" w:rsidP="00430B9B">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4679BFA4" w14:textId="65DF0A80" w:rsidR="00430B9B" w:rsidRPr="00D4309F" w:rsidRDefault="00430B9B" w:rsidP="00430B9B">
            <w:pPr>
              <w:pStyle w:val="TableParagraph"/>
              <w:spacing w:before="41" w:line="187" w:lineRule="exact"/>
              <w:ind w:left="485"/>
              <w:rPr>
                <w:color w:val="211E1F"/>
                <w:spacing w:val="-10"/>
                <w:sz w:val="18"/>
              </w:rPr>
            </w:pPr>
            <w:r w:rsidRPr="00D4309F">
              <w:rPr>
                <w:b/>
                <w:color w:val="211E1F"/>
                <w:spacing w:val="-5"/>
                <w:sz w:val="18"/>
              </w:rPr>
              <w:t>32</w:t>
            </w:r>
          </w:p>
        </w:tc>
      </w:tr>
      <w:tr w:rsidR="00430B9B" w:rsidRPr="00D4309F" w14:paraId="5C36CCDC" w14:textId="77777777" w:rsidTr="00430B9B">
        <w:trPr>
          <w:trHeight w:val="247"/>
        </w:trPr>
        <w:tc>
          <w:tcPr>
            <w:tcW w:w="1002" w:type="pct"/>
            <w:vMerge w:val="restart"/>
          </w:tcPr>
          <w:p w14:paraId="3B702100" w14:textId="5606A04D" w:rsidR="00430B9B" w:rsidRPr="00D4309F" w:rsidRDefault="00430B9B" w:rsidP="00430B9B">
            <w:pPr>
              <w:pStyle w:val="TableParagraph"/>
              <w:rPr>
                <w:rFonts w:ascii="Times New Roman"/>
                <w:sz w:val="18"/>
              </w:rPr>
            </w:pPr>
            <w:r w:rsidRPr="00D4309F">
              <w:rPr>
                <w:b/>
                <w:color w:val="211E1F"/>
                <w:spacing w:val="-2"/>
                <w:sz w:val="18"/>
              </w:rPr>
              <w:t>Environmental</w:t>
            </w:r>
          </w:p>
        </w:tc>
        <w:tc>
          <w:tcPr>
            <w:tcW w:w="3427" w:type="pct"/>
          </w:tcPr>
          <w:p w14:paraId="57AEC228" w14:textId="5740829D" w:rsidR="00430B9B" w:rsidRPr="00D4309F" w:rsidRDefault="00430B9B" w:rsidP="00430B9B">
            <w:pPr>
              <w:pStyle w:val="TableParagraph"/>
              <w:spacing w:before="41" w:line="187" w:lineRule="exact"/>
              <w:ind w:left="165"/>
              <w:rPr>
                <w:color w:val="211E1F"/>
                <w:sz w:val="18"/>
              </w:rPr>
            </w:pPr>
            <w:r w:rsidRPr="00D4309F">
              <w:rPr>
                <w:color w:val="211E1F"/>
                <w:sz w:val="18"/>
              </w:rPr>
              <w:t>Marine</w:t>
            </w:r>
            <w:r w:rsidRPr="00D4309F">
              <w:rPr>
                <w:color w:val="211E1F"/>
                <w:spacing w:val="-4"/>
                <w:sz w:val="18"/>
              </w:rPr>
              <w:t xml:space="preserve"> </w:t>
            </w:r>
            <w:r w:rsidRPr="00D4309F">
              <w:rPr>
                <w:color w:val="211E1F"/>
                <w:sz w:val="18"/>
              </w:rPr>
              <w:t>water</w:t>
            </w:r>
            <w:r w:rsidRPr="00D4309F">
              <w:rPr>
                <w:color w:val="211E1F"/>
                <w:spacing w:val="-3"/>
                <w:sz w:val="18"/>
              </w:rPr>
              <w:t xml:space="preserve"> </w:t>
            </w:r>
            <w:r w:rsidRPr="00D4309F">
              <w:rPr>
                <w:color w:val="211E1F"/>
                <w:sz w:val="18"/>
              </w:rPr>
              <w:t>quality</w:t>
            </w:r>
            <w:r w:rsidRPr="00D4309F">
              <w:rPr>
                <w:color w:val="211E1F"/>
                <w:spacing w:val="-3"/>
                <w:sz w:val="18"/>
              </w:rPr>
              <w:t xml:space="preserve"> </w:t>
            </w:r>
            <w:r w:rsidRPr="00D4309F">
              <w:rPr>
                <w:color w:val="211E1F"/>
                <w:spacing w:val="-2"/>
                <w:sz w:val="18"/>
              </w:rPr>
              <w:t>impacts</w:t>
            </w:r>
          </w:p>
        </w:tc>
        <w:tc>
          <w:tcPr>
            <w:tcW w:w="571" w:type="pct"/>
          </w:tcPr>
          <w:p w14:paraId="665B6B78" w14:textId="60DF964D" w:rsidR="00430B9B" w:rsidRPr="00D4309F" w:rsidRDefault="00430B9B" w:rsidP="00430B9B">
            <w:pPr>
              <w:pStyle w:val="TableParagraph"/>
              <w:spacing w:before="41" w:line="187" w:lineRule="exact"/>
              <w:ind w:left="485"/>
              <w:rPr>
                <w:color w:val="211E1F"/>
                <w:spacing w:val="-10"/>
                <w:sz w:val="18"/>
              </w:rPr>
            </w:pPr>
            <w:r w:rsidRPr="00D4309F">
              <w:rPr>
                <w:color w:val="211E1F"/>
                <w:spacing w:val="-10"/>
                <w:sz w:val="18"/>
              </w:rPr>
              <w:t>3</w:t>
            </w:r>
          </w:p>
        </w:tc>
      </w:tr>
      <w:tr w:rsidR="00430B9B" w:rsidRPr="00D4309F" w14:paraId="4ED7DA55" w14:textId="77777777" w:rsidTr="00430B9B">
        <w:trPr>
          <w:trHeight w:val="247"/>
        </w:trPr>
        <w:tc>
          <w:tcPr>
            <w:tcW w:w="1002" w:type="pct"/>
            <w:vMerge/>
          </w:tcPr>
          <w:p w14:paraId="09C8889D" w14:textId="77777777" w:rsidR="00430B9B" w:rsidRPr="00D4309F" w:rsidRDefault="00430B9B" w:rsidP="00430B9B">
            <w:pPr>
              <w:pStyle w:val="TableParagraph"/>
              <w:rPr>
                <w:rFonts w:ascii="Times New Roman"/>
                <w:sz w:val="18"/>
              </w:rPr>
            </w:pPr>
          </w:p>
        </w:tc>
        <w:tc>
          <w:tcPr>
            <w:tcW w:w="3427" w:type="pct"/>
          </w:tcPr>
          <w:p w14:paraId="6D2DB757" w14:textId="7C95FCEF" w:rsidR="00430B9B" w:rsidRPr="00D4309F" w:rsidRDefault="00430B9B" w:rsidP="00430B9B">
            <w:pPr>
              <w:pStyle w:val="TableParagraph"/>
              <w:spacing w:before="41" w:line="187" w:lineRule="exact"/>
              <w:ind w:left="165"/>
              <w:rPr>
                <w:color w:val="211E1F"/>
                <w:sz w:val="18"/>
              </w:rPr>
            </w:pPr>
            <w:r w:rsidRPr="00D4309F">
              <w:rPr>
                <w:color w:val="211E1F"/>
                <w:sz w:val="18"/>
              </w:rPr>
              <w:t>Marine</w:t>
            </w:r>
            <w:r w:rsidRPr="00D4309F">
              <w:rPr>
                <w:color w:val="211E1F"/>
                <w:spacing w:val="-2"/>
                <w:sz w:val="18"/>
              </w:rPr>
              <w:t xml:space="preserve"> </w:t>
            </w:r>
            <w:r w:rsidRPr="00D4309F">
              <w:rPr>
                <w:color w:val="211E1F"/>
                <w:sz w:val="18"/>
              </w:rPr>
              <w:t>habitats</w:t>
            </w:r>
            <w:r w:rsidRPr="00D4309F">
              <w:rPr>
                <w:color w:val="211E1F"/>
                <w:spacing w:val="-3"/>
                <w:sz w:val="18"/>
              </w:rPr>
              <w:t xml:space="preserve"> </w:t>
            </w:r>
            <w:r w:rsidRPr="00D4309F">
              <w:rPr>
                <w:color w:val="211E1F"/>
                <w:sz w:val="18"/>
              </w:rPr>
              <w:t>&amp;</w:t>
            </w:r>
            <w:r w:rsidRPr="00D4309F">
              <w:rPr>
                <w:color w:val="211E1F"/>
                <w:spacing w:val="-3"/>
                <w:sz w:val="18"/>
              </w:rPr>
              <w:t xml:space="preserve"> </w:t>
            </w:r>
            <w:r w:rsidRPr="00D4309F">
              <w:rPr>
                <w:color w:val="211E1F"/>
                <w:sz w:val="18"/>
              </w:rPr>
              <w:t>protected</w:t>
            </w:r>
            <w:r w:rsidRPr="00D4309F">
              <w:rPr>
                <w:color w:val="211E1F"/>
                <w:spacing w:val="-4"/>
                <w:sz w:val="18"/>
              </w:rPr>
              <w:t xml:space="preserve"> </w:t>
            </w:r>
            <w:r w:rsidRPr="00D4309F">
              <w:rPr>
                <w:color w:val="211E1F"/>
                <w:sz w:val="18"/>
              </w:rPr>
              <w:t>species</w:t>
            </w:r>
            <w:r w:rsidRPr="00D4309F">
              <w:rPr>
                <w:color w:val="211E1F"/>
                <w:spacing w:val="-2"/>
                <w:sz w:val="18"/>
              </w:rPr>
              <w:t xml:space="preserve"> impacts</w:t>
            </w:r>
          </w:p>
        </w:tc>
        <w:tc>
          <w:tcPr>
            <w:tcW w:w="571" w:type="pct"/>
          </w:tcPr>
          <w:p w14:paraId="0DDF6950" w14:textId="21154B6C" w:rsidR="00430B9B" w:rsidRPr="00D4309F" w:rsidRDefault="00430B9B" w:rsidP="00430B9B">
            <w:pPr>
              <w:pStyle w:val="TableParagraph"/>
              <w:spacing w:before="41" w:line="187" w:lineRule="exact"/>
              <w:ind w:left="485"/>
              <w:rPr>
                <w:color w:val="211E1F"/>
                <w:spacing w:val="-10"/>
                <w:sz w:val="18"/>
              </w:rPr>
            </w:pPr>
            <w:r w:rsidRPr="00D4309F">
              <w:rPr>
                <w:color w:val="211E1F"/>
                <w:spacing w:val="-10"/>
                <w:sz w:val="18"/>
              </w:rPr>
              <w:t>3</w:t>
            </w:r>
          </w:p>
        </w:tc>
      </w:tr>
      <w:tr w:rsidR="00430B9B" w:rsidRPr="00D4309F" w14:paraId="0F7582CF" w14:textId="77777777" w:rsidTr="00430B9B">
        <w:trPr>
          <w:trHeight w:val="247"/>
        </w:trPr>
        <w:tc>
          <w:tcPr>
            <w:tcW w:w="1002" w:type="pct"/>
            <w:vMerge/>
          </w:tcPr>
          <w:p w14:paraId="63EA01FA" w14:textId="77777777" w:rsidR="00430B9B" w:rsidRPr="00D4309F" w:rsidRDefault="00430B9B" w:rsidP="00430B9B">
            <w:pPr>
              <w:pStyle w:val="TableParagraph"/>
              <w:rPr>
                <w:rFonts w:ascii="Times New Roman"/>
                <w:sz w:val="18"/>
              </w:rPr>
            </w:pPr>
          </w:p>
        </w:tc>
        <w:tc>
          <w:tcPr>
            <w:tcW w:w="3427" w:type="pct"/>
          </w:tcPr>
          <w:p w14:paraId="235AB7C7" w14:textId="48FB259B" w:rsidR="00430B9B" w:rsidRPr="00D4309F" w:rsidRDefault="00430B9B" w:rsidP="00430B9B">
            <w:pPr>
              <w:pStyle w:val="TableParagraph"/>
              <w:spacing w:before="41" w:line="187" w:lineRule="exact"/>
              <w:ind w:left="165"/>
              <w:rPr>
                <w:color w:val="211E1F"/>
                <w:sz w:val="18"/>
              </w:rPr>
            </w:pPr>
            <w:r w:rsidRPr="00D4309F">
              <w:rPr>
                <w:color w:val="211E1F"/>
                <w:sz w:val="18"/>
              </w:rPr>
              <w:t>Terrestrial</w:t>
            </w:r>
            <w:r w:rsidRPr="00D4309F">
              <w:rPr>
                <w:color w:val="211E1F"/>
                <w:spacing w:val="-3"/>
                <w:sz w:val="18"/>
              </w:rPr>
              <w:t xml:space="preserve"> </w:t>
            </w:r>
            <w:r w:rsidRPr="00D4309F">
              <w:rPr>
                <w:color w:val="211E1F"/>
                <w:sz w:val="18"/>
              </w:rPr>
              <w:t>habitats</w:t>
            </w:r>
            <w:r w:rsidRPr="00D4309F">
              <w:rPr>
                <w:color w:val="211E1F"/>
                <w:spacing w:val="-3"/>
                <w:sz w:val="18"/>
              </w:rPr>
              <w:t xml:space="preserve"> </w:t>
            </w:r>
            <w:r w:rsidRPr="00D4309F">
              <w:rPr>
                <w:color w:val="211E1F"/>
                <w:sz w:val="18"/>
              </w:rPr>
              <w:t>&amp;</w:t>
            </w:r>
            <w:r w:rsidRPr="00D4309F">
              <w:rPr>
                <w:color w:val="211E1F"/>
                <w:spacing w:val="-3"/>
                <w:sz w:val="18"/>
              </w:rPr>
              <w:t xml:space="preserve"> </w:t>
            </w:r>
            <w:r w:rsidRPr="00D4309F">
              <w:rPr>
                <w:color w:val="211E1F"/>
                <w:sz w:val="18"/>
              </w:rPr>
              <w:t>protected</w:t>
            </w:r>
            <w:r w:rsidRPr="00D4309F">
              <w:rPr>
                <w:color w:val="211E1F"/>
                <w:spacing w:val="-4"/>
                <w:sz w:val="18"/>
              </w:rPr>
              <w:t xml:space="preserve"> </w:t>
            </w:r>
            <w:r w:rsidRPr="00D4309F">
              <w:rPr>
                <w:color w:val="211E1F"/>
                <w:sz w:val="18"/>
              </w:rPr>
              <w:t>species</w:t>
            </w:r>
            <w:r w:rsidRPr="00D4309F">
              <w:rPr>
                <w:color w:val="211E1F"/>
                <w:spacing w:val="-2"/>
                <w:sz w:val="18"/>
              </w:rPr>
              <w:t xml:space="preserve"> impacts</w:t>
            </w:r>
          </w:p>
        </w:tc>
        <w:tc>
          <w:tcPr>
            <w:tcW w:w="571" w:type="pct"/>
          </w:tcPr>
          <w:p w14:paraId="6A490C9B" w14:textId="65DE8E10" w:rsidR="00430B9B" w:rsidRPr="00D4309F" w:rsidRDefault="00430B9B" w:rsidP="00430B9B">
            <w:pPr>
              <w:pStyle w:val="TableParagraph"/>
              <w:spacing w:before="41" w:line="187" w:lineRule="exact"/>
              <w:ind w:left="485"/>
              <w:rPr>
                <w:color w:val="211E1F"/>
                <w:spacing w:val="-10"/>
                <w:sz w:val="18"/>
              </w:rPr>
            </w:pPr>
            <w:r w:rsidRPr="00D4309F">
              <w:rPr>
                <w:color w:val="211E1F"/>
                <w:spacing w:val="-10"/>
                <w:sz w:val="18"/>
              </w:rPr>
              <w:t>3</w:t>
            </w:r>
          </w:p>
        </w:tc>
      </w:tr>
      <w:tr w:rsidR="00430B9B" w:rsidRPr="00D4309F" w14:paraId="076D4C61" w14:textId="77777777" w:rsidTr="00430B9B">
        <w:trPr>
          <w:trHeight w:val="247"/>
        </w:trPr>
        <w:tc>
          <w:tcPr>
            <w:tcW w:w="1002" w:type="pct"/>
            <w:vMerge/>
          </w:tcPr>
          <w:p w14:paraId="1985A29B" w14:textId="77777777" w:rsidR="00430B9B" w:rsidRPr="00D4309F" w:rsidRDefault="00430B9B" w:rsidP="00430B9B">
            <w:pPr>
              <w:pStyle w:val="TableParagraph"/>
              <w:rPr>
                <w:rFonts w:ascii="Times New Roman"/>
                <w:sz w:val="18"/>
              </w:rPr>
            </w:pPr>
          </w:p>
        </w:tc>
        <w:tc>
          <w:tcPr>
            <w:tcW w:w="3427" w:type="pct"/>
          </w:tcPr>
          <w:p w14:paraId="36BBC3E4" w14:textId="77777777" w:rsidR="00430B9B" w:rsidRPr="00D4309F" w:rsidRDefault="00430B9B" w:rsidP="00430B9B">
            <w:pPr>
              <w:pStyle w:val="TableParagraph"/>
              <w:spacing w:before="41" w:line="187" w:lineRule="exact"/>
              <w:ind w:left="165"/>
              <w:rPr>
                <w:color w:val="211E1F"/>
                <w:sz w:val="18"/>
              </w:rPr>
            </w:pPr>
          </w:p>
        </w:tc>
        <w:tc>
          <w:tcPr>
            <w:tcW w:w="571" w:type="pct"/>
          </w:tcPr>
          <w:p w14:paraId="5C56C26A" w14:textId="77777777" w:rsidR="00430B9B" w:rsidRPr="00D4309F" w:rsidRDefault="00430B9B" w:rsidP="00430B9B">
            <w:pPr>
              <w:pStyle w:val="TableParagraph"/>
              <w:spacing w:before="41" w:line="187" w:lineRule="exact"/>
              <w:ind w:left="485"/>
              <w:rPr>
                <w:color w:val="211E1F"/>
                <w:spacing w:val="-10"/>
                <w:sz w:val="18"/>
              </w:rPr>
            </w:pPr>
          </w:p>
        </w:tc>
      </w:tr>
      <w:tr w:rsidR="00430B9B" w:rsidRPr="00D4309F" w14:paraId="4B2BB119" w14:textId="77777777" w:rsidTr="00430B9B">
        <w:trPr>
          <w:trHeight w:val="247"/>
        </w:trPr>
        <w:tc>
          <w:tcPr>
            <w:tcW w:w="1002" w:type="pct"/>
            <w:vMerge/>
          </w:tcPr>
          <w:p w14:paraId="0DB2D2D9" w14:textId="77777777" w:rsidR="00430B9B" w:rsidRPr="00D4309F" w:rsidRDefault="00430B9B" w:rsidP="00430B9B">
            <w:pPr>
              <w:pStyle w:val="TableParagraph"/>
              <w:rPr>
                <w:rFonts w:ascii="Times New Roman"/>
                <w:sz w:val="18"/>
              </w:rPr>
            </w:pPr>
          </w:p>
        </w:tc>
        <w:tc>
          <w:tcPr>
            <w:tcW w:w="3427" w:type="pct"/>
          </w:tcPr>
          <w:p w14:paraId="204F77E5" w14:textId="25FCE517" w:rsidR="00430B9B" w:rsidRPr="00D4309F" w:rsidRDefault="00430B9B" w:rsidP="00430B9B">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23B75459" w14:textId="71ED5EB2" w:rsidR="00430B9B" w:rsidRPr="00D4309F" w:rsidRDefault="00430B9B" w:rsidP="00430B9B">
            <w:pPr>
              <w:pStyle w:val="TableParagraph"/>
              <w:spacing w:before="41" w:line="187" w:lineRule="exact"/>
              <w:ind w:left="485"/>
              <w:rPr>
                <w:color w:val="211E1F"/>
                <w:spacing w:val="-10"/>
                <w:sz w:val="18"/>
              </w:rPr>
            </w:pPr>
            <w:r w:rsidRPr="00D4309F">
              <w:rPr>
                <w:b/>
                <w:color w:val="211E1F"/>
                <w:spacing w:val="-10"/>
                <w:sz w:val="18"/>
              </w:rPr>
              <w:t>9</w:t>
            </w:r>
          </w:p>
        </w:tc>
      </w:tr>
      <w:tr w:rsidR="00430B9B" w:rsidRPr="00D4309F" w14:paraId="7A29AAF2" w14:textId="77777777" w:rsidTr="00430B9B">
        <w:trPr>
          <w:trHeight w:val="247"/>
        </w:trPr>
        <w:tc>
          <w:tcPr>
            <w:tcW w:w="1002" w:type="pct"/>
            <w:vMerge w:val="restart"/>
          </w:tcPr>
          <w:p w14:paraId="403D9C7E" w14:textId="3A56CD79" w:rsidR="00430B9B" w:rsidRPr="00D4309F" w:rsidRDefault="00430B9B" w:rsidP="00430B9B">
            <w:pPr>
              <w:pStyle w:val="TableParagraph"/>
              <w:rPr>
                <w:rFonts w:ascii="Times New Roman"/>
                <w:sz w:val="18"/>
              </w:rPr>
            </w:pPr>
            <w:r w:rsidRPr="00D4309F">
              <w:rPr>
                <w:b/>
                <w:color w:val="211E1F"/>
                <w:spacing w:val="-2"/>
                <w:sz w:val="18"/>
              </w:rPr>
              <w:t>Financial</w:t>
            </w:r>
          </w:p>
        </w:tc>
        <w:tc>
          <w:tcPr>
            <w:tcW w:w="3427" w:type="pct"/>
          </w:tcPr>
          <w:p w14:paraId="16A95ABA" w14:textId="2F1569B5" w:rsidR="00430B9B" w:rsidRPr="00D4309F" w:rsidRDefault="00430B9B" w:rsidP="00430B9B">
            <w:pPr>
              <w:pStyle w:val="TableParagraph"/>
              <w:spacing w:before="41" w:line="187" w:lineRule="exact"/>
              <w:ind w:left="165"/>
              <w:rPr>
                <w:color w:val="211E1F"/>
                <w:sz w:val="18"/>
              </w:rPr>
            </w:pPr>
            <w:r w:rsidRPr="00D4309F">
              <w:rPr>
                <w:color w:val="211E1F"/>
                <w:sz w:val="18"/>
              </w:rPr>
              <w:t>Capital</w:t>
            </w:r>
            <w:r w:rsidRPr="00D4309F">
              <w:rPr>
                <w:color w:val="211E1F"/>
                <w:spacing w:val="-6"/>
                <w:sz w:val="18"/>
              </w:rPr>
              <w:t xml:space="preserve"> </w:t>
            </w:r>
            <w:r w:rsidRPr="00D4309F">
              <w:rPr>
                <w:color w:val="211E1F"/>
                <w:spacing w:val="-2"/>
                <w:sz w:val="18"/>
              </w:rPr>
              <w:t>(CAPEX),</w:t>
            </w:r>
          </w:p>
        </w:tc>
        <w:tc>
          <w:tcPr>
            <w:tcW w:w="571" w:type="pct"/>
          </w:tcPr>
          <w:p w14:paraId="7A0A59F3" w14:textId="63851AEB" w:rsidR="00430B9B" w:rsidRPr="00D4309F" w:rsidRDefault="00430B9B" w:rsidP="00430B9B">
            <w:pPr>
              <w:pStyle w:val="TableParagraph"/>
              <w:spacing w:before="41" w:line="187" w:lineRule="exact"/>
              <w:ind w:left="485"/>
              <w:rPr>
                <w:color w:val="211E1F"/>
                <w:spacing w:val="-10"/>
                <w:sz w:val="18"/>
              </w:rPr>
            </w:pPr>
            <w:r w:rsidRPr="00D4309F">
              <w:rPr>
                <w:color w:val="211E1F"/>
                <w:spacing w:val="-10"/>
                <w:sz w:val="18"/>
              </w:rPr>
              <w:t>4</w:t>
            </w:r>
          </w:p>
        </w:tc>
      </w:tr>
      <w:tr w:rsidR="00430B9B" w:rsidRPr="00D4309F" w14:paraId="1EA7C5A1" w14:textId="77777777" w:rsidTr="00430B9B">
        <w:trPr>
          <w:trHeight w:val="247"/>
        </w:trPr>
        <w:tc>
          <w:tcPr>
            <w:tcW w:w="1002" w:type="pct"/>
            <w:vMerge/>
          </w:tcPr>
          <w:p w14:paraId="36C0561B" w14:textId="77777777" w:rsidR="00430B9B" w:rsidRPr="00D4309F" w:rsidRDefault="00430B9B" w:rsidP="00430B9B">
            <w:pPr>
              <w:pStyle w:val="TableParagraph"/>
              <w:rPr>
                <w:rFonts w:ascii="Times New Roman"/>
                <w:sz w:val="18"/>
              </w:rPr>
            </w:pPr>
          </w:p>
        </w:tc>
        <w:tc>
          <w:tcPr>
            <w:tcW w:w="3427" w:type="pct"/>
          </w:tcPr>
          <w:p w14:paraId="0BB41916" w14:textId="0466A53B" w:rsidR="00430B9B" w:rsidRPr="00D4309F" w:rsidRDefault="00430B9B" w:rsidP="00430B9B">
            <w:pPr>
              <w:pStyle w:val="TableParagraph"/>
              <w:spacing w:before="41" w:line="187" w:lineRule="exact"/>
              <w:ind w:left="165"/>
              <w:rPr>
                <w:color w:val="211E1F"/>
                <w:sz w:val="18"/>
              </w:rPr>
            </w:pPr>
            <w:r w:rsidRPr="00D4309F">
              <w:rPr>
                <w:color w:val="211E1F"/>
                <w:sz w:val="18"/>
              </w:rPr>
              <w:t>Operations</w:t>
            </w:r>
            <w:r w:rsidRPr="00D4309F">
              <w:rPr>
                <w:color w:val="211E1F"/>
                <w:spacing w:val="-6"/>
                <w:sz w:val="18"/>
              </w:rPr>
              <w:t xml:space="preserve"> </w:t>
            </w:r>
            <w:r w:rsidRPr="00D4309F">
              <w:rPr>
                <w:color w:val="211E1F"/>
                <w:sz w:val="18"/>
              </w:rPr>
              <w:t>and</w:t>
            </w:r>
            <w:r w:rsidRPr="00D4309F">
              <w:rPr>
                <w:color w:val="211E1F"/>
                <w:spacing w:val="-5"/>
                <w:sz w:val="18"/>
              </w:rPr>
              <w:t xml:space="preserve"> </w:t>
            </w:r>
            <w:r w:rsidRPr="00D4309F">
              <w:rPr>
                <w:color w:val="211E1F"/>
                <w:sz w:val="18"/>
              </w:rPr>
              <w:t>maintenance</w:t>
            </w:r>
            <w:r w:rsidRPr="00D4309F">
              <w:rPr>
                <w:color w:val="211E1F"/>
                <w:spacing w:val="-3"/>
                <w:sz w:val="18"/>
              </w:rPr>
              <w:t xml:space="preserve"> </w:t>
            </w:r>
            <w:r w:rsidRPr="00D4309F">
              <w:rPr>
                <w:color w:val="211E1F"/>
                <w:sz w:val="18"/>
              </w:rPr>
              <w:t>(OPEX),</w:t>
            </w:r>
            <w:r w:rsidRPr="00D4309F">
              <w:rPr>
                <w:color w:val="211E1F"/>
                <w:spacing w:val="-4"/>
                <w:sz w:val="18"/>
              </w:rPr>
              <w:t xml:space="preserve"> </w:t>
            </w:r>
            <w:r w:rsidRPr="00D4309F">
              <w:rPr>
                <w:color w:val="211E1F"/>
                <w:sz w:val="18"/>
              </w:rPr>
              <w:t>contingency,</w:t>
            </w:r>
            <w:r w:rsidRPr="00D4309F">
              <w:rPr>
                <w:color w:val="211E1F"/>
                <w:spacing w:val="-4"/>
                <w:sz w:val="18"/>
              </w:rPr>
              <w:t xml:space="preserve"> </w:t>
            </w:r>
            <w:r w:rsidRPr="00D4309F">
              <w:rPr>
                <w:color w:val="211E1F"/>
                <w:spacing w:val="-2"/>
                <w:sz w:val="18"/>
              </w:rPr>
              <w:t>monitoring.</w:t>
            </w:r>
          </w:p>
        </w:tc>
        <w:tc>
          <w:tcPr>
            <w:tcW w:w="571" w:type="pct"/>
          </w:tcPr>
          <w:p w14:paraId="17331B37" w14:textId="70DD8593" w:rsidR="00430B9B" w:rsidRPr="00D4309F" w:rsidRDefault="00430B9B" w:rsidP="00430B9B">
            <w:pPr>
              <w:pStyle w:val="TableParagraph"/>
              <w:spacing w:before="41" w:line="187" w:lineRule="exact"/>
              <w:ind w:left="485"/>
              <w:rPr>
                <w:color w:val="211E1F"/>
                <w:spacing w:val="-10"/>
                <w:sz w:val="18"/>
              </w:rPr>
            </w:pPr>
            <w:r w:rsidRPr="00D4309F">
              <w:rPr>
                <w:color w:val="211E1F"/>
                <w:spacing w:val="-10"/>
                <w:sz w:val="18"/>
              </w:rPr>
              <w:t>2</w:t>
            </w:r>
          </w:p>
        </w:tc>
      </w:tr>
      <w:tr w:rsidR="00430B9B" w:rsidRPr="00D4309F" w14:paraId="54D0ADD9" w14:textId="77777777" w:rsidTr="00430B9B">
        <w:trPr>
          <w:trHeight w:val="247"/>
        </w:trPr>
        <w:tc>
          <w:tcPr>
            <w:tcW w:w="1002" w:type="pct"/>
            <w:vMerge/>
          </w:tcPr>
          <w:p w14:paraId="30318DAE" w14:textId="5781B468" w:rsidR="00430B9B" w:rsidRPr="00D4309F" w:rsidRDefault="00430B9B" w:rsidP="00430B9B">
            <w:pPr>
              <w:pStyle w:val="TableParagraph"/>
              <w:rPr>
                <w:rFonts w:ascii="Times New Roman"/>
                <w:sz w:val="18"/>
              </w:rPr>
            </w:pPr>
          </w:p>
        </w:tc>
        <w:tc>
          <w:tcPr>
            <w:tcW w:w="3427" w:type="pct"/>
          </w:tcPr>
          <w:p w14:paraId="781515DD" w14:textId="25F2E90D" w:rsidR="00430B9B" w:rsidRPr="00D4309F" w:rsidRDefault="00430B9B" w:rsidP="00430B9B">
            <w:pPr>
              <w:pStyle w:val="TableParagraph"/>
              <w:spacing w:before="41" w:line="187" w:lineRule="exact"/>
              <w:ind w:left="165"/>
              <w:rPr>
                <w:color w:val="211E1F"/>
                <w:sz w:val="18"/>
              </w:rPr>
            </w:pPr>
          </w:p>
        </w:tc>
        <w:tc>
          <w:tcPr>
            <w:tcW w:w="571" w:type="pct"/>
          </w:tcPr>
          <w:p w14:paraId="5BF4AE54" w14:textId="72E36772" w:rsidR="00430B9B" w:rsidRPr="00D4309F" w:rsidRDefault="00430B9B" w:rsidP="00430B9B">
            <w:pPr>
              <w:pStyle w:val="TableParagraph"/>
              <w:spacing w:before="41" w:line="187" w:lineRule="exact"/>
              <w:ind w:left="485"/>
              <w:rPr>
                <w:color w:val="211E1F"/>
                <w:spacing w:val="-10"/>
                <w:sz w:val="18"/>
              </w:rPr>
            </w:pPr>
          </w:p>
        </w:tc>
      </w:tr>
      <w:tr w:rsidR="00430B9B" w:rsidRPr="00D4309F" w14:paraId="0F1B5CE5" w14:textId="77777777" w:rsidTr="00430B9B">
        <w:trPr>
          <w:trHeight w:val="247"/>
        </w:trPr>
        <w:tc>
          <w:tcPr>
            <w:tcW w:w="1002" w:type="pct"/>
            <w:vMerge/>
          </w:tcPr>
          <w:p w14:paraId="6F9F10FE" w14:textId="77777777" w:rsidR="00430B9B" w:rsidRPr="00D4309F" w:rsidRDefault="00430B9B" w:rsidP="00430B9B">
            <w:pPr>
              <w:pStyle w:val="TableParagraph"/>
              <w:rPr>
                <w:b/>
                <w:color w:val="211E1F"/>
                <w:spacing w:val="-2"/>
                <w:sz w:val="18"/>
              </w:rPr>
            </w:pPr>
          </w:p>
        </w:tc>
        <w:tc>
          <w:tcPr>
            <w:tcW w:w="3427" w:type="pct"/>
          </w:tcPr>
          <w:p w14:paraId="445BC0B5" w14:textId="19046472" w:rsidR="00430B9B" w:rsidRPr="00D4309F" w:rsidRDefault="00430B9B" w:rsidP="00430B9B">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0EFCB0E8" w14:textId="588E2FC5" w:rsidR="00430B9B" w:rsidRPr="00D4309F" w:rsidRDefault="00430B9B" w:rsidP="00430B9B">
            <w:pPr>
              <w:pStyle w:val="TableParagraph"/>
              <w:spacing w:before="41" w:line="187" w:lineRule="exact"/>
              <w:ind w:left="485"/>
              <w:rPr>
                <w:color w:val="211E1F"/>
                <w:spacing w:val="-10"/>
                <w:sz w:val="18"/>
              </w:rPr>
            </w:pPr>
            <w:r w:rsidRPr="00D4309F">
              <w:rPr>
                <w:b/>
                <w:color w:val="211E1F"/>
                <w:spacing w:val="-10"/>
                <w:sz w:val="18"/>
              </w:rPr>
              <w:t>6</w:t>
            </w:r>
          </w:p>
        </w:tc>
      </w:tr>
      <w:tr w:rsidR="00430B9B" w:rsidRPr="00D4309F" w14:paraId="7B539C77" w14:textId="77777777" w:rsidTr="00F354DD">
        <w:trPr>
          <w:trHeight w:val="247"/>
        </w:trPr>
        <w:tc>
          <w:tcPr>
            <w:tcW w:w="1002" w:type="pct"/>
            <w:shd w:val="clear" w:color="auto" w:fill="D9D9D9" w:themeFill="background1" w:themeFillShade="D9"/>
          </w:tcPr>
          <w:p w14:paraId="44991594" w14:textId="61CB87E8" w:rsidR="00430B9B" w:rsidRPr="00D4309F" w:rsidRDefault="00430B9B" w:rsidP="00430B9B">
            <w:pPr>
              <w:pStyle w:val="TableParagraph"/>
              <w:rPr>
                <w:b/>
                <w:color w:val="211E1F"/>
                <w:spacing w:val="-2"/>
                <w:sz w:val="18"/>
              </w:rPr>
            </w:pPr>
            <w:r w:rsidRPr="00D4309F">
              <w:rPr>
                <w:b/>
                <w:color w:val="70004A"/>
                <w:sz w:val="18"/>
              </w:rPr>
              <w:t>Total</w:t>
            </w:r>
            <w:r w:rsidRPr="00D4309F">
              <w:rPr>
                <w:b/>
                <w:color w:val="70004A"/>
                <w:spacing w:val="-3"/>
                <w:sz w:val="18"/>
              </w:rPr>
              <w:t xml:space="preserve"> </w:t>
            </w:r>
            <w:r w:rsidRPr="00D4309F">
              <w:rPr>
                <w:b/>
                <w:color w:val="70004A"/>
                <w:spacing w:val="-2"/>
                <w:sz w:val="18"/>
              </w:rPr>
              <w:t>Score</w:t>
            </w:r>
          </w:p>
        </w:tc>
        <w:tc>
          <w:tcPr>
            <w:tcW w:w="3427" w:type="pct"/>
            <w:shd w:val="clear" w:color="auto" w:fill="D9D9D9" w:themeFill="background1" w:themeFillShade="D9"/>
          </w:tcPr>
          <w:p w14:paraId="3FDD962C" w14:textId="77777777" w:rsidR="00430B9B" w:rsidRPr="00D4309F" w:rsidRDefault="00430B9B" w:rsidP="00430B9B">
            <w:pPr>
              <w:pStyle w:val="TableParagraph"/>
              <w:spacing w:before="41" w:line="187" w:lineRule="exact"/>
              <w:ind w:left="165"/>
              <w:rPr>
                <w:color w:val="211E1F"/>
                <w:sz w:val="18"/>
              </w:rPr>
            </w:pPr>
          </w:p>
        </w:tc>
        <w:tc>
          <w:tcPr>
            <w:tcW w:w="571" w:type="pct"/>
            <w:shd w:val="clear" w:color="auto" w:fill="D9D9D9" w:themeFill="background1" w:themeFillShade="D9"/>
          </w:tcPr>
          <w:p w14:paraId="32D6F3CC" w14:textId="5829CC56" w:rsidR="00430B9B" w:rsidRPr="00D4309F" w:rsidRDefault="00430B9B" w:rsidP="00430B9B">
            <w:pPr>
              <w:pStyle w:val="TableParagraph"/>
              <w:spacing w:before="41" w:line="187" w:lineRule="exact"/>
              <w:ind w:left="485"/>
              <w:rPr>
                <w:color w:val="211E1F"/>
                <w:spacing w:val="-10"/>
                <w:sz w:val="18"/>
              </w:rPr>
            </w:pPr>
            <w:r w:rsidRPr="00D4309F">
              <w:rPr>
                <w:b/>
                <w:color w:val="70004A"/>
                <w:spacing w:val="-5"/>
                <w:sz w:val="18"/>
              </w:rPr>
              <w:t>75</w:t>
            </w:r>
          </w:p>
        </w:tc>
      </w:tr>
    </w:tbl>
    <w:p w14:paraId="4FB7D3FC" w14:textId="77777777" w:rsidR="00725977" w:rsidRDefault="00725977" w:rsidP="00725977">
      <w:pPr>
        <w:pStyle w:val="BodyText"/>
      </w:pPr>
    </w:p>
    <w:p w14:paraId="09F47E8A" w14:textId="32F21C5C" w:rsidR="00230A0A" w:rsidRPr="00D4309F" w:rsidRDefault="00230A0A" w:rsidP="00151534">
      <w:pPr>
        <w:pStyle w:val="Table-Caption"/>
      </w:pPr>
      <w:bookmarkStart w:id="297" w:name="_Toc216699557"/>
      <w:r>
        <w:t xml:space="preserve">Table </w:t>
      </w:r>
      <w:r w:rsidR="00151534">
        <w:fldChar w:fldCharType="begin" w:fldLock="1"/>
      </w:r>
      <w:r w:rsidR="00151534">
        <w:instrText xml:space="preserve"> STYLEREF 1 \s </w:instrText>
      </w:r>
      <w:r w:rsidR="00151534">
        <w:fldChar w:fldCharType="separate"/>
      </w:r>
      <w:r w:rsidR="00151534">
        <w:rPr>
          <w:noProof/>
        </w:rPr>
        <w:t>13</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10</w:t>
      </w:r>
      <w:r w:rsidR="00151534">
        <w:fldChar w:fldCharType="end"/>
      </w:r>
      <w:r>
        <w:t>:</w:t>
      </w:r>
      <w:r>
        <w:tab/>
      </w:r>
      <w:r w:rsidRPr="00E366DB">
        <w:t>Option 1B MCA scoring</w:t>
      </w:r>
      <w:bookmarkEnd w:id="297"/>
    </w:p>
    <w:tbl>
      <w:tblPr>
        <w:tblStyle w:val="Table1"/>
        <w:tblW w:w="5000" w:type="pct"/>
        <w:tblLook w:val="04A0" w:firstRow="1" w:lastRow="0" w:firstColumn="1" w:lastColumn="0" w:noHBand="0" w:noVBand="1"/>
      </w:tblPr>
      <w:tblGrid>
        <w:gridCol w:w="2920"/>
        <w:gridCol w:w="9988"/>
        <w:gridCol w:w="1664"/>
      </w:tblGrid>
      <w:tr w:rsidR="00230A0A" w:rsidRPr="00D4309F" w14:paraId="1DF64C90" w14:textId="77777777">
        <w:trPr>
          <w:cnfStyle w:val="100000000000" w:firstRow="1" w:lastRow="0" w:firstColumn="0" w:lastColumn="0" w:oddVBand="0" w:evenVBand="0" w:oddHBand="0" w:evenHBand="0" w:firstRowFirstColumn="0" w:firstRowLastColumn="0" w:lastRowFirstColumn="0" w:lastRowLastColumn="0"/>
          <w:trHeight w:val="286"/>
          <w:tblHeader/>
        </w:trPr>
        <w:tc>
          <w:tcPr>
            <w:tcW w:w="1002" w:type="pct"/>
          </w:tcPr>
          <w:p w14:paraId="03A71FD2" w14:textId="77777777" w:rsidR="00230A0A" w:rsidRPr="00D4309F" w:rsidRDefault="00230A0A">
            <w:pPr>
              <w:pStyle w:val="TableParagraph"/>
              <w:spacing w:before="40"/>
              <w:ind w:left="165"/>
              <w:rPr>
                <w:b/>
                <w:sz w:val="18"/>
              </w:rPr>
            </w:pPr>
            <w:r w:rsidRPr="00D4309F">
              <w:rPr>
                <w:b/>
                <w:color w:val="70004A"/>
                <w:sz w:val="18"/>
              </w:rPr>
              <w:t>MCA</w:t>
            </w:r>
            <w:r w:rsidRPr="00D4309F">
              <w:rPr>
                <w:b/>
                <w:color w:val="70004A"/>
                <w:spacing w:val="-3"/>
                <w:sz w:val="18"/>
              </w:rPr>
              <w:t xml:space="preserve"> </w:t>
            </w:r>
            <w:r w:rsidRPr="00D4309F">
              <w:rPr>
                <w:b/>
                <w:color w:val="70004A"/>
                <w:spacing w:val="-2"/>
                <w:sz w:val="18"/>
              </w:rPr>
              <w:t>Category</w:t>
            </w:r>
          </w:p>
        </w:tc>
        <w:tc>
          <w:tcPr>
            <w:tcW w:w="3427" w:type="pct"/>
          </w:tcPr>
          <w:p w14:paraId="3D7C6ACB" w14:textId="77777777" w:rsidR="00230A0A" w:rsidRPr="00D4309F" w:rsidRDefault="00230A0A">
            <w:pPr>
              <w:pStyle w:val="TableParagraph"/>
              <w:spacing w:before="40"/>
              <w:ind w:left="165"/>
              <w:rPr>
                <w:b/>
                <w:sz w:val="18"/>
              </w:rPr>
            </w:pPr>
            <w:r w:rsidRPr="00D4309F">
              <w:rPr>
                <w:b/>
                <w:color w:val="70004A"/>
                <w:sz w:val="18"/>
              </w:rPr>
              <w:t>MCA</w:t>
            </w:r>
            <w:r w:rsidRPr="00D4309F">
              <w:rPr>
                <w:b/>
                <w:color w:val="70004A"/>
                <w:spacing w:val="-1"/>
                <w:sz w:val="18"/>
              </w:rPr>
              <w:t xml:space="preserve"> </w:t>
            </w:r>
            <w:r w:rsidRPr="00D4309F">
              <w:rPr>
                <w:b/>
                <w:color w:val="70004A"/>
                <w:spacing w:val="-2"/>
                <w:sz w:val="18"/>
              </w:rPr>
              <w:t>criteria</w:t>
            </w:r>
          </w:p>
        </w:tc>
        <w:tc>
          <w:tcPr>
            <w:tcW w:w="571" w:type="pct"/>
          </w:tcPr>
          <w:p w14:paraId="6919CDBA" w14:textId="77777777" w:rsidR="00230A0A" w:rsidRPr="00D4309F" w:rsidRDefault="00230A0A">
            <w:pPr>
              <w:pStyle w:val="TableParagraph"/>
              <w:spacing w:before="40"/>
              <w:ind w:left="485"/>
              <w:rPr>
                <w:b/>
                <w:sz w:val="18"/>
              </w:rPr>
            </w:pPr>
            <w:r w:rsidRPr="00D4309F">
              <w:rPr>
                <w:b/>
                <w:color w:val="70004A"/>
                <w:spacing w:val="-2"/>
                <w:sz w:val="18"/>
              </w:rPr>
              <w:t>Score</w:t>
            </w:r>
          </w:p>
        </w:tc>
      </w:tr>
      <w:tr w:rsidR="00230A0A" w:rsidRPr="00D4309F" w14:paraId="07815134" w14:textId="77777777">
        <w:trPr>
          <w:trHeight w:val="494"/>
        </w:trPr>
        <w:tc>
          <w:tcPr>
            <w:tcW w:w="1002" w:type="pct"/>
            <w:vMerge w:val="restart"/>
          </w:tcPr>
          <w:p w14:paraId="0CE3EAAF" w14:textId="77777777" w:rsidR="00230A0A" w:rsidRPr="00D4309F" w:rsidRDefault="00230A0A">
            <w:pPr>
              <w:pStyle w:val="TableParagraph"/>
              <w:spacing w:before="39"/>
              <w:ind w:left="165"/>
              <w:rPr>
                <w:b/>
                <w:sz w:val="18"/>
              </w:rPr>
            </w:pPr>
            <w:r w:rsidRPr="00D4309F">
              <w:rPr>
                <w:b/>
                <w:color w:val="211E1F"/>
                <w:sz w:val="18"/>
              </w:rPr>
              <w:t>Coastal</w:t>
            </w:r>
            <w:r w:rsidRPr="00D4309F">
              <w:rPr>
                <w:b/>
                <w:color w:val="211E1F"/>
                <w:spacing w:val="-4"/>
                <w:sz w:val="18"/>
              </w:rPr>
              <w:t xml:space="preserve"> </w:t>
            </w:r>
            <w:r w:rsidRPr="00D4309F">
              <w:rPr>
                <w:b/>
                <w:color w:val="211E1F"/>
                <w:spacing w:val="-2"/>
                <w:sz w:val="18"/>
              </w:rPr>
              <w:t>engineering</w:t>
            </w:r>
          </w:p>
        </w:tc>
        <w:tc>
          <w:tcPr>
            <w:tcW w:w="3427" w:type="pct"/>
          </w:tcPr>
          <w:p w14:paraId="1EAF0229" w14:textId="77777777" w:rsidR="00230A0A" w:rsidRPr="00D4309F" w:rsidRDefault="00230A0A">
            <w:pPr>
              <w:pStyle w:val="TableParagraph"/>
              <w:spacing w:before="39"/>
              <w:ind w:left="166"/>
              <w:rPr>
                <w:sz w:val="18"/>
              </w:rPr>
            </w:pPr>
            <w:r w:rsidRPr="00D4309F">
              <w:rPr>
                <w:color w:val="211E1F"/>
                <w:sz w:val="18"/>
              </w:rPr>
              <w:t>Effectiveness:</w:t>
            </w:r>
            <w:r w:rsidRPr="00D4309F">
              <w:rPr>
                <w:color w:val="211E1F"/>
                <w:spacing w:val="-2"/>
                <w:sz w:val="18"/>
              </w:rPr>
              <w:t xml:space="preserve"> </w:t>
            </w:r>
            <w:r w:rsidRPr="00D4309F">
              <w:rPr>
                <w:color w:val="211E1F"/>
                <w:sz w:val="18"/>
              </w:rPr>
              <w:t>Likely</w:t>
            </w:r>
            <w:r w:rsidRPr="00D4309F">
              <w:rPr>
                <w:color w:val="211E1F"/>
                <w:spacing w:val="-1"/>
                <w:sz w:val="18"/>
              </w:rPr>
              <w:t xml:space="preserve"> </w:t>
            </w:r>
            <w:r w:rsidRPr="00D4309F">
              <w:rPr>
                <w:color w:val="211E1F"/>
                <w:sz w:val="18"/>
              </w:rPr>
              <w:t>ability</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shift</w:t>
            </w:r>
            <w:r w:rsidRPr="00D4309F">
              <w:rPr>
                <w:color w:val="211E1F"/>
                <w:spacing w:val="-2"/>
                <w:sz w:val="18"/>
              </w:rPr>
              <w:t xml:space="preserve"> </w:t>
            </w:r>
            <w:r w:rsidRPr="00D4309F">
              <w:rPr>
                <w:color w:val="211E1F"/>
                <w:sz w:val="18"/>
              </w:rPr>
              <w:t>enough</w:t>
            </w:r>
            <w:r w:rsidRPr="00D4309F">
              <w:rPr>
                <w:color w:val="211E1F"/>
                <w:spacing w:val="-3"/>
                <w:sz w:val="18"/>
              </w:rPr>
              <w:t xml:space="preserve"> </w:t>
            </w:r>
            <w:r w:rsidRPr="00D4309F">
              <w:rPr>
                <w:color w:val="211E1F"/>
                <w:sz w:val="18"/>
              </w:rPr>
              <w:t>sand</w:t>
            </w:r>
            <w:r w:rsidRPr="00D4309F">
              <w:rPr>
                <w:color w:val="211E1F"/>
                <w:spacing w:val="-3"/>
                <w:sz w:val="18"/>
              </w:rPr>
              <w:t xml:space="preserve"> </w:t>
            </w:r>
            <w:r w:rsidRPr="00D4309F">
              <w:rPr>
                <w:color w:val="211E1F"/>
                <w:sz w:val="18"/>
              </w:rPr>
              <w:t>past</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entrance</w:t>
            </w:r>
            <w:r w:rsidRPr="00D4309F">
              <w:rPr>
                <w:color w:val="211E1F"/>
                <w:spacing w:val="-3"/>
                <w:sz w:val="18"/>
              </w:rPr>
              <w:t xml:space="preserve"> </w:t>
            </w:r>
            <w:r w:rsidRPr="00D4309F">
              <w:rPr>
                <w:color w:val="211E1F"/>
                <w:sz w:val="18"/>
              </w:rPr>
              <w:t>(bypassing</w:t>
            </w:r>
            <w:r w:rsidRPr="00D4309F">
              <w:rPr>
                <w:color w:val="211E1F"/>
                <w:spacing w:val="-3"/>
                <w:sz w:val="18"/>
              </w:rPr>
              <w:t xml:space="preserve"> </w:t>
            </w:r>
            <w:r w:rsidRPr="00D4309F">
              <w:rPr>
                <w:color w:val="211E1F"/>
                <w:sz w:val="18"/>
              </w:rPr>
              <w:t>efficiency,</w:t>
            </w:r>
            <w:r w:rsidRPr="00D4309F">
              <w:rPr>
                <w:color w:val="211E1F"/>
                <w:spacing w:val="-2"/>
                <w:sz w:val="18"/>
              </w:rPr>
              <w:t xml:space="preserve"> </w:t>
            </w:r>
            <w:r w:rsidRPr="00D4309F">
              <w:rPr>
                <w:color w:val="211E1F"/>
                <w:sz w:val="18"/>
              </w:rPr>
              <w:t>trap</w:t>
            </w:r>
            <w:r w:rsidRPr="00D4309F">
              <w:rPr>
                <w:color w:val="211E1F"/>
                <w:spacing w:val="-3"/>
                <w:sz w:val="18"/>
              </w:rPr>
              <w:t xml:space="preserve"> </w:t>
            </w:r>
            <w:r w:rsidRPr="00D4309F">
              <w:rPr>
                <w:color w:val="211E1F"/>
                <w:sz w:val="18"/>
              </w:rPr>
              <w:t>capture</w:t>
            </w:r>
            <w:r w:rsidRPr="00D4309F">
              <w:rPr>
                <w:color w:val="211E1F"/>
                <w:spacing w:val="-3"/>
                <w:sz w:val="18"/>
              </w:rPr>
              <w:t xml:space="preserve"> </w:t>
            </w:r>
            <w:r w:rsidRPr="00D4309F">
              <w:rPr>
                <w:color w:val="211E1F"/>
                <w:sz w:val="18"/>
              </w:rPr>
              <w:t>rate,</w:t>
            </w:r>
            <w:r w:rsidRPr="00D4309F">
              <w:rPr>
                <w:color w:val="211E1F"/>
                <w:spacing w:val="-2"/>
                <w:sz w:val="18"/>
              </w:rPr>
              <w:t xml:space="preserve"> </w:t>
            </w:r>
            <w:r w:rsidRPr="00D4309F">
              <w:rPr>
                <w:color w:val="211E1F"/>
                <w:sz w:val="18"/>
              </w:rPr>
              <w:t>reduction</w:t>
            </w:r>
            <w:r w:rsidRPr="00D4309F">
              <w:rPr>
                <w:color w:val="211E1F"/>
                <w:spacing w:val="-3"/>
                <w:sz w:val="18"/>
              </w:rPr>
              <w:t xml:space="preserve"> </w:t>
            </w:r>
            <w:r w:rsidRPr="00D4309F">
              <w:rPr>
                <w:color w:val="211E1F"/>
                <w:sz w:val="18"/>
              </w:rPr>
              <w:t>in</w:t>
            </w:r>
            <w:r w:rsidRPr="00D4309F">
              <w:rPr>
                <w:color w:val="211E1F"/>
                <w:spacing w:val="-3"/>
                <w:sz w:val="18"/>
              </w:rPr>
              <w:t xml:space="preserve"> </w:t>
            </w:r>
            <w:r w:rsidRPr="00D4309F">
              <w:rPr>
                <w:color w:val="211E1F"/>
                <w:sz w:val="18"/>
              </w:rPr>
              <w:t>shoal frequency/magnitude, entrance depth reliability).</w:t>
            </w:r>
          </w:p>
        </w:tc>
        <w:tc>
          <w:tcPr>
            <w:tcW w:w="571" w:type="pct"/>
          </w:tcPr>
          <w:p w14:paraId="3AF2966B" w14:textId="77777777" w:rsidR="00230A0A" w:rsidRPr="00D4309F" w:rsidRDefault="00230A0A">
            <w:pPr>
              <w:pStyle w:val="TableParagraph"/>
              <w:spacing w:before="39"/>
              <w:ind w:left="485"/>
              <w:rPr>
                <w:sz w:val="18"/>
              </w:rPr>
            </w:pPr>
            <w:r w:rsidRPr="00D4309F">
              <w:rPr>
                <w:color w:val="211E1F"/>
                <w:spacing w:val="-10"/>
                <w:sz w:val="18"/>
              </w:rPr>
              <w:t>2</w:t>
            </w:r>
          </w:p>
        </w:tc>
      </w:tr>
      <w:tr w:rsidR="00230A0A" w:rsidRPr="00D4309F" w14:paraId="748F57E6" w14:textId="77777777">
        <w:trPr>
          <w:trHeight w:val="286"/>
        </w:trPr>
        <w:tc>
          <w:tcPr>
            <w:tcW w:w="1002" w:type="pct"/>
            <w:vMerge/>
          </w:tcPr>
          <w:p w14:paraId="0714F290" w14:textId="77777777" w:rsidR="00230A0A" w:rsidRPr="00D4309F" w:rsidRDefault="00230A0A">
            <w:pPr>
              <w:pStyle w:val="TableParagraph"/>
              <w:rPr>
                <w:rFonts w:ascii="Times New Roman"/>
                <w:sz w:val="18"/>
              </w:rPr>
            </w:pPr>
          </w:p>
        </w:tc>
        <w:tc>
          <w:tcPr>
            <w:tcW w:w="3427" w:type="pct"/>
          </w:tcPr>
          <w:p w14:paraId="49AA3A68" w14:textId="77777777" w:rsidR="00230A0A" w:rsidRPr="00D4309F" w:rsidRDefault="00230A0A">
            <w:pPr>
              <w:pStyle w:val="TableParagraph"/>
              <w:spacing w:before="39"/>
              <w:ind w:left="165"/>
              <w:rPr>
                <w:sz w:val="18"/>
              </w:rPr>
            </w:pPr>
            <w:r w:rsidRPr="00D4309F">
              <w:rPr>
                <w:color w:val="211E1F"/>
                <w:sz w:val="18"/>
              </w:rPr>
              <w:t>Impacts</w:t>
            </w:r>
            <w:r w:rsidRPr="00D4309F">
              <w:rPr>
                <w:color w:val="211E1F"/>
                <w:spacing w:val="-5"/>
                <w:sz w:val="18"/>
              </w:rPr>
              <w:t xml:space="preserve"> </w:t>
            </w:r>
            <w:r w:rsidRPr="00D4309F">
              <w:rPr>
                <w:color w:val="211E1F"/>
                <w:sz w:val="18"/>
              </w:rPr>
              <w:t>on</w:t>
            </w:r>
            <w:r w:rsidRPr="00D4309F">
              <w:rPr>
                <w:color w:val="211E1F"/>
                <w:spacing w:val="-2"/>
                <w:sz w:val="18"/>
              </w:rPr>
              <w:t xml:space="preserve"> </w:t>
            </w:r>
            <w:r w:rsidRPr="00D4309F">
              <w:rPr>
                <w:color w:val="211E1F"/>
                <w:sz w:val="18"/>
              </w:rPr>
              <w:t>coastal</w:t>
            </w:r>
            <w:r w:rsidRPr="00D4309F">
              <w:rPr>
                <w:color w:val="211E1F"/>
                <w:spacing w:val="-2"/>
                <w:sz w:val="18"/>
              </w:rPr>
              <w:t xml:space="preserve"> </w:t>
            </w:r>
            <w:r w:rsidRPr="00D4309F">
              <w:rPr>
                <w:color w:val="211E1F"/>
                <w:sz w:val="18"/>
              </w:rPr>
              <w:t>processes:</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level</w:t>
            </w:r>
            <w:r w:rsidRPr="00D4309F">
              <w:rPr>
                <w:color w:val="211E1F"/>
                <w:spacing w:val="-2"/>
                <w:sz w:val="18"/>
              </w:rPr>
              <w:t xml:space="preserve"> </w:t>
            </w:r>
            <w:r w:rsidRPr="00D4309F">
              <w:rPr>
                <w:color w:val="211E1F"/>
                <w:sz w:val="18"/>
              </w:rPr>
              <w:t>in</w:t>
            </w:r>
            <w:r w:rsidRPr="00D4309F">
              <w:rPr>
                <w:color w:val="211E1F"/>
                <w:spacing w:val="-3"/>
                <w:sz w:val="18"/>
              </w:rPr>
              <w:t xml:space="preserve"> </w:t>
            </w:r>
            <w:r w:rsidRPr="00D4309F">
              <w:rPr>
                <w:color w:val="211E1F"/>
                <w:sz w:val="18"/>
              </w:rPr>
              <w:t>which</w:t>
            </w:r>
            <w:r w:rsidRPr="00D4309F">
              <w:rPr>
                <w:color w:val="211E1F"/>
                <w:spacing w:val="-3"/>
                <w:sz w:val="18"/>
              </w:rPr>
              <w:t xml:space="preserve"> </w:t>
            </w:r>
            <w:r w:rsidRPr="00D4309F">
              <w:rPr>
                <w:color w:val="211E1F"/>
                <w:sz w:val="18"/>
              </w:rPr>
              <w:t>it</w:t>
            </w:r>
            <w:r w:rsidRPr="00D4309F">
              <w:rPr>
                <w:color w:val="211E1F"/>
                <w:spacing w:val="-2"/>
                <w:sz w:val="18"/>
              </w:rPr>
              <w:t xml:space="preserve"> </w:t>
            </w:r>
            <w:r w:rsidRPr="00D4309F">
              <w:rPr>
                <w:color w:val="211E1F"/>
                <w:sz w:val="18"/>
              </w:rPr>
              <w:t>changes</w:t>
            </w:r>
            <w:r w:rsidRPr="00D4309F">
              <w:rPr>
                <w:color w:val="211E1F"/>
                <w:spacing w:val="-1"/>
                <w:sz w:val="18"/>
              </w:rPr>
              <w:t xml:space="preserve"> </w:t>
            </w:r>
            <w:r w:rsidRPr="00D4309F">
              <w:rPr>
                <w:color w:val="211E1F"/>
                <w:sz w:val="18"/>
              </w:rPr>
              <w:t>or</w:t>
            </w:r>
            <w:r w:rsidRPr="00D4309F">
              <w:rPr>
                <w:color w:val="211E1F"/>
                <w:spacing w:val="-2"/>
                <w:sz w:val="18"/>
              </w:rPr>
              <w:t xml:space="preserve"> </w:t>
            </w:r>
            <w:r w:rsidRPr="00D4309F">
              <w:rPr>
                <w:color w:val="211E1F"/>
                <w:sz w:val="18"/>
              </w:rPr>
              <w:t>has</w:t>
            </w:r>
            <w:r w:rsidRPr="00D4309F">
              <w:rPr>
                <w:color w:val="211E1F"/>
                <w:spacing w:val="-3"/>
                <w:sz w:val="18"/>
              </w:rPr>
              <w:t xml:space="preserve"> </w:t>
            </w:r>
            <w:r w:rsidRPr="00D4309F">
              <w:rPr>
                <w:color w:val="211E1F"/>
                <w:sz w:val="18"/>
              </w:rPr>
              <w:t>negative</w:t>
            </w:r>
            <w:r w:rsidRPr="00D4309F">
              <w:rPr>
                <w:color w:val="211E1F"/>
                <w:spacing w:val="-2"/>
                <w:sz w:val="18"/>
              </w:rPr>
              <w:t xml:space="preserve"> </w:t>
            </w:r>
            <w:r w:rsidRPr="00D4309F">
              <w:rPr>
                <w:color w:val="211E1F"/>
                <w:sz w:val="18"/>
              </w:rPr>
              <w:t>impacts</w:t>
            </w:r>
            <w:r w:rsidRPr="00D4309F">
              <w:rPr>
                <w:color w:val="211E1F"/>
                <w:spacing w:val="-2"/>
                <w:sz w:val="18"/>
              </w:rPr>
              <w:t xml:space="preserve"> </w:t>
            </w:r>
            <w:r w:rsidRPr="00D4309F">
              <w:rPr>
                <w:color w:val="211E1F"/>
                <w:sz w:val="18"/>
              </w:rPr>
              <w:t>on</w:t>
            </w:r>
            <w:r w:rsidRPr="00D4309F">
              <w:rPr>
                <w:color w:val="211E1F"/>
                <w:spacing w:val="-3"/>
                <w:sz w:val="18"/>
              </w:rPr>
              <w:t xml:space="preserve"> </w:t>
            </w:r>
            <w:r w:rsidRPr="00D4309F">
              <w:rPr>
                <w:color w:val="211E1F"/>
                <w:sz w:val="18"/>
              </w:rPr>
              <w:t>existing</w:t>
            </w:r>
            <w:r w:rsidRPr="00D4309F">
              <w:rPr>
                <w:color w:val="211E1F"/>
                <w:spacing w:val="-3"/>
                <w:sz w:val="18"/>
              </w:rPr>
              <w:t xml:space="preserve"> </w:t>
            </w:r>
            <w:r w:rsidRPr="00D4309F">
              <w:rPr>
                <w:color w:val="211E1F"/>
                <w:sz w:val="18"/>
              </w:rPr>
              <w:t>coastal</w:t>
            </w:r>
            <w:r w:rsidRPr="00D4309F">
              <w:rPr>
                <w:color w:val="211E1F"/>
                <w:spacing w:val="-1"/>
                <w:sz w:val="18"/>
              </w:rPr>
              <w:t xml:space="preserve"> </w:t>
            </w:r>
            <w:r w:rsidRPr="00D4309F">
              <w:rPr>
                <w:color w:val="211E1F"/>
                <w:spacing w:val="-2"/>
                <w:sz w:val="18"/>
              </w:rPr>
              <w:t>processes</w:t>
            </w:r>
          </w:p>
        </w:tc>
        <w:tc>
          <w:tcPr>
            <w:tcW w:w="571" w:type="pct"/>
          </w:tcPr>
          <w:p w14:paraId="228F752F" w14:textId="2A3F4E8A" w:rsidR="00230A0A" w:rsidRPr="00D4309F" w:rsidRDefault="00230A0A">
            <w:pPr>
              <w:pStyle w:val="TableParagraph"/>
              <w:spacing w:before="39"/>
              <w:ind w:left="485"/>
              <w:rPr>
                <w:sz w:val="18"/>
              </w:rPr>
            </w:pPr>
            <w:r>
              <w:rPr>
                <w:color w:val="211E1F"/>
                <w:spacing w:val="-10"/>
                <w:sz w:val="18"/>
              </w:rPr>
              <w:t>3</w:t>
            </w:r>
          </w:p>
        </w:tc>
      </w:tr>
      <w:tr w:rsidR="00230A0A" w:rsidRPr="00D4309F" w14:paraId="3470C0A0" w14:textId="77777777">
        <w:trPr>
          <w:trHeight w:val="287"/>
        </w:trPr>
        <w:tc>
          <w:tcPr>
            <w:tcW w:w="1002" w:type="pct"/>
            <w:vMerge/>
          </w:tcPr>
          <w:p w14:paraId="3A2C0BDD" w14:textId="77777777" w:rsidR="00230A0A" w:rsidRPr="00D4309F" w:rsidRDefault="00230A0A">
            <w:pPr>
              <w:pStyle w:val="TableParagraph"/>
              <w:rPr>
                <w:rFonts w:ascii="Times New Roman"/>
                <w:sz w:val="18"/>
              </w:rPr>
            </w:pPr>
          </w:p>
        </w:tc>
        <w:tc>
          <w:tcPr>
            <w:tcW w:w="3427" w:type="pct"/>
          </w:tcPr>
          <w:p w14:paraId="46CFFA1F" w14:textId="77777777" w:rsidR="00230A0A" w:rsidRPr="00D4309F" w:rsidRDefault="00230A0A">
            <w:pPr>
              <w:pStyle w:val="TableParagraph"/>
              <w:spacing w:before="41"/>
              <w:ind w:left="165"/>
              <w:rPr>
                <w:sz w:val="18"/>
              </w:rPr>
            </w:pPr>
            <w:r w:rsidRPr="00D4309F">
              <w:rPr>
                <w:color w:val="211E1F"/>
                <w:sz w:val="18"/>
              </w:rPr>
              <w:t>Design</w:t>
            </w:r>
            <w:r w:rsidRPr="00D4309F">
              <w:rPr>
                <w:color w:val="211E1F"/>
                <w:spacing w:val="-5"/>
                <w:sz w:val="18"/>
              </w:rPr>
              <w:t xml:space="preserve"> </w:t>
            </w:r>
            <w:r w:rsidRPr="00D4309F">
              <w:rPr>
                <w:color w:val="211E1F"/>
                <w:sz w:val="18"/>
              </w:rPr>
              <w:t>and</w:t>
            </w:r>
            <w:r w:rsidRPr="00D4309F">
              <w:rPr>
                <w:color w:val="211E1F"/>
                <w:spacing w:val="-3"/>
                <w:sz w:val="18"/>
              </w:rPr>
              <w:t xml:space="preserve"> </w:t>
            </w:r>
            <w:r w:rsidRPr="00D4309F">
              <w:rPr>
                <w:color w:val="211E1F"/>
                <w:sz w:val="18"/>
              </w:rPr>
              <w:t>approvals:</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far</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option</w:t>
            </w:r>
            <w:r w:rsidRPr="00D4309F">
              <w:rPr>
                <w:color w:val="211E1F"/>
                <w:spacing w:val="-1"/>
                <w:sz w:val="18"/>
              </w:rPr>
              <w:t xml:space="preserve"> </w:t>
            </w:r>
            <w:r w:rsidRPr="00D4309F">
              <w:rPr>
                <w:color w:val="211E1F"/>
                <w:sz w:val="18"/>
              </w:rPr>
              <w:t>progressed</w:t>
            </w:r>
            <w:r w:rsidRPr="00D4309F">
              <w:rPr>
                <w:color w:val="211E1F"/>
                <w:spacing w:val="-3"/>
                <w:sz w:val="18"/>
              </w:rPr>
              <w:t xml:space="preserve"> </w:t>
            </w:r>
            <w:r w:rsidRPr="00D4309F">
              <w:rPr>
                <w:color w:val="211E1F"/>
                <w:sz w:val="18"/>
              </w:rPr>
              <w:t>with</w:t>
            </w:r>
            <w:r w:rsidRPr="00D4309F">
              <w:rPr>
                <w:color w:val="211E1F"/>
                <w:spacing w:val="-3"/>
                <w:sz w:val="18"/>
              </w:rPr>
              <w:t xml:space="preserve"> </w:t>
            </w:r>
            <w:r w:rsidRPr="00D4309F">
              <w:rPr>
                <w:color w:val="211E1F"/>
                <w:sz w:val="18"/>
              </w:rPr>
              <w:t>design</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approvals</w:t>
            </w:r>
            <w:r w:rsidRPr="00D4309F">
              <w:rPr>
                <w:color w:val="211E1F"/>
                <w:spacing w:val="-2"/>
                <w:sz w:val="18"/>
              </w:rPr>
              <w:t xml:space="preserve"> </w:t>
            </w:r>
            <w:r w:rsidRPr="00D4309F">
              <w:rPr>
                <w:color w:val="211E1F"/>
                <w:sz w:val="18"/>
              </w:rPr>
              <w:t>and</w:t>
            </w:r>
            <w:r w:rsidRPr="00D4309F">
              <w:rPr>
                <w:color w:val="211E1F"/>
                <w:spacing w:val="-3"/>
                <w:sz w:val="18"/>
              </w:rPr>
              <w:t xml:space="preserve"> </w:t>
            </w:r>
            <w:r w:rsidRPr="00D4309F">
              <w:rPr>
                <w:color w:val="211E1F"/>
                <w:sz w:val="18"/>
              </w:rPr>
              <w:t>how</w:t>
            </w:r>
            <w:r w:rsidRPr="00D4309F">
              <w:rPr>
                <w:color w:val="211E1F"/>
                <w:spacing w:val="-2"/>
                <w:sz w:val="18"/>
              </w:rPr>
              <w:t xml:space="preserve"> </w:t>
            </w:r>
            <w:r w:rsidRPr="00D4309F">
              <w:rPr>
                <w:color w:val="211E1F"/>
                <w:sz w:val="18"/>
              </w:rPr>
              <w:t>much</w:t>
            </w:r>
            <w:r w:rsidRPr="00D4309F">
              <w:rPr>
                <w:color w:val="211E1F"/>
                <w:spacing w:val="-3"/>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2"/>
                <w:sz w:val="18"/>
              </w:rPr>
              <w:t xml:space="preserve"> required</w:t>
            </w:r>
          </w:p>
        </w:tc>
        <w:tc>
          <w:tcPr>
            <w:tcW w:w="571" w:type="pct"/>
          </w:tcPr>
          <w:p w14:paraId="33BB5320" w14:textId="0099CA05" w:rsidR="00230A0A" w:rsidRPr="00D4309F" w:rsidRDefault="00230A0A">
            <w:pPr>
              <w:pStyle w:val="TableParagraph"/>
              <w:spacing w:before="41"/>
              <w:ind w:left="484"/>
              <w:rPr>
                <w:sz w:val="18"/>
              </w:rPr>
            </w:pPr>
            <w:r>
              <w:rPr>
                <w:sz w:val="18"/>
              </w:rPr>
              <w:t>2</w:t>
            </w:r>
          </w:p>
        </w:tc>
      </w:tr>
      <w:tr w:rsidR="00230A0A" w:rsidRPr="00D4309F" w14:paraId="2DCA308D" w14:textId="77777777">
        <w:trPr>
          <w:trHeight w:val="286"/>
        </w:trPr>
        <w:tc>
          <w:tcPr>
            <w:tcW w:w="1002" w:type="pct"/>
            <w:vMerge/>
          </w:tcPr>
          <w:p w14:paraId="649A9755" w14:textId="77777777" w:rsidR="00230A0A" w:rsidRPr="00D4309F" w:rsidRDefault="00230A0A">
            <w:pPr>
              <w:pStyle w:val="TableParagraph"/>
              <w:rPr>
                <w:rFonts w:ascii="Times New Roman"/>
                <w:sz w:val="18"/>
              </w:rPr>
            </w:pPr>
          </w:p>
        </w:tc>
        <w:tc>
          <w:tcPr>
            <w:tcW w:w="3427" w:type="pct"/>
          </w:tcPr>
          <w:p w14:paraId="19AC9696" w14:textId="77777777" w:rsidR="00230A0A" w:rsidRPr="00D4309F" w:rsidRDefault="00230A0A">
            <w:pPr>
              <w:pStyle w:val="TableParagraph"/>
              <w:spacing w:before="39"/>
              <w:ind w:left="165"/>
              <w:rPr>
                <w:sz w:val="18"/>
              </w:rPr>
            </w:pPr>
            <w:r w:rsidRPr="00D4309F">
              <w:rPr>
                <w:color w:val="211E1F"/>
                <w:sz w:val="18"/>
              </w:rPr>
              <w:t>Capital</w:t>
            </w:r>
            <w:r w:rsidRPr="00D4309F">
              <w:rPr>
                <w:color w:val="211E1F"/>
                <w:spacing w:val="-5"/>
                <w:sz w:val="18"/>
              </w:rPr>
              <w:t xml:space="preserve"> </w:t>
            </w:r>
            <w:r w:rsidRPr="00D4309F">
              <w:rPr>
                <w:color w:val="211E1F"/>
                <w:sz w:val="18"/>
              </w:rPr>
              <w:t>works:</w:t>
            </w:r>
            <w:r w:rsidRPr="00D4309F">
              <w:rPr>
                <w:color w:val="211E1F"/>
                <w:spacing w:val="-1"/>
                <w:sz w:val="18"/>
              </w:rPr>
              <w:t xml:space="preserve"> </w:t>
            </w:r>
            <w:r w:rsidRPr="00D4309F">
              <w:rPr>
                <w:color w:val="211E1F"/>
                <w:sz w:val="18"/>
              </w:rPr>
              <w:t>how</w:t>
            </w:r>
            <w:r w:rsidRPr="00D4309F">
              <w:rPr>
                <w:color w:val="211E1F"/>
                <w:spacing w:val="-2"/>
                <w:sz w:val="18"/>
              </w:rPr>
              <w:t xml:space="preserve"> </w:t>
            </w:r>
            <w:r w:rsidRPr="00D4309F">
              <w:rPr>
                <w:color w:val="211E1F"/>
                <w:sz w:val="18"/>
              </w:rPr>
              <w:t>significant</w:t>
            </w:r>
            <w:r w:rsidRPr="00D4309F">
              <w:rPr>
                <w:color w:val="211E1F"/>
                <w:spacing w:val="-1"/>
                <w:sz w:val="18"/>
              </w:rPr>
              <w:t xml:space="preserve"> </w:t>
            </w:r>
            <w:r w:rsidRPr="00D4309F">
              <w:rPr>
                <w:color w:val="211E1F"/>
                <w:sz w:val="18"/>
              </w:rPr>
              <w:t>the</w:t>
            </w:r>
            <w:r w:rsidRPr="00D4309F">
              <w:rPr>
                <w:color w:val="211E1F"/>
                <w:spacing w:val="-4"/>
                <w:sz w:val="18"/>
              </w:rPr>
              <w:t xml:space="preserve"> </w:t>
            </w:r>
            <w:r w:rsidRPr="00D4309F">
              <w:rPr>
                <w:color w:val="211E1F"/>
                <w:sz w:val="18"/>
              </w:rPr>
              <w:t>capital</w:t>
            </w:r>
            <w:r w:rsidRPr="00D4309F">
              <w:rPr>
                <w:color w:val="211E1F"/>
                <w:spacing w:val="-2"/>
                <w:sz w:val="18"/>
              </w:rPr>
              <w:t xml:space="preserve"> </w:t>
            </w:r>
            <w:r w:rsidRPr="00D4309F">
              <w:rPr>
                <w:color w:val="211E1F"/>
                <w:sz w:val="18"/>
              </w:rPr>
              <w:t>works</w:t>
            </w:r>
            <w:r w:rsidRPr="00D4309F">
              <w:rPr>
                <w:color w:val="211E1F"/>
                <w:spacing w:val="-2"/>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and</w:t>
            </w:r>
            <w:r w:rsidRPr="00D4309F">
              <w:rPr>
                <w:color w:val="211E1F"/>
                <w:spacing w:val="-4"/>
                <w:sz w:val="18"/>
              </w:rPr>
              <w:t xml:space="preserve"> </w:t>
            </w:r>
            <w:r w:rsidRPr="00D4309F">
              <w:rPr>
                <w:color w:val="211E1F"/>
                <w:sz w:val="18"/>
              </w:rPr>
              <w:t>their</w:t>
            </w:r>
            <w:r w:rsidRPr="00D4309F">
              <w:rPr>
                <w:color w:val="211E1F"/>
                <w:spacing w:val="-2"/>
                <w:sz w:val="18"/>
              </w:rPr>
              <w:t xml:space="preserve"> </w:t>
            </w:r>
            <w:r w:rsidRPr="00D4309F">
              <w:rPr>
                <w:color w:val="211E1F"/>
                <w:sz w:val="18"/>
              </w:rPr>
              <w:t>impacts</w:t>
            </w:r>
            <w:r w:rsidRPr="00D4309F">
              <w:rPr>
                <w:color w:val="211E1F"/>
                <w:spacing w:val="-2"/>
                <w:sz w:val="18"/>
              </w:rPr>
              <w:t xml:space="preserve"> </w:t>
            </w:r>
            <w:r w:rsidRPr="00D4309F">
              <w:rPr>
                <w:color w:val="211E1F"/>
                <w:sz w:val="18"/>
              </w:rPr>
              <w:t>during</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pacing w:val="-2"/>
                <w:sz w:val="18"/>
              </w:rPr>
              <w:t>process</w:t>
            </w:r>
          </w:p>
        </w:tc>
        <w:tc>
          <w:tcPr>
            <w:tcW w:w="571" w:type="pct"/>
          </w:tcPr>
          <w:p w14:paraId="0D19B1E4" w14:textId="279AE829" w:rsidR="00230A0A" w:rsidRPr="00D4309F" w:rsidRDefault="00230A0A">
            <w:pPr>
              <w:pStyle w:val="TableParagraph"/>
              <w:spacing w:before="39"/>
              <w:ind w:left="484"/>
              <w:rPr>
                <w:sz w:val="18"/>
              </w:rPr>
            </w:pPr>
            <w:r>
              <w:rPr>
                <w:color w:val="211E1F"/>
                <w:spacing w:val="-10"/>
                <w:sz w:val="18"/>
              </w:rPr>
              <w:t>2</w:t>
            </w:r>
          </w:p>
        </w:tc>
      </w:tr>
      <w:tr w:rsidR="00230A0A" w:rsidRPr="00D4309F" w14:paraId="0A88EF36" w14:textId="77777777">
        <w:trPr>
          <w:trHeight w:val="287"/>
        </w:trPr>
        <w:tc>
          <w:tcPr>
            <w:tcW w:w="1002" w:type="pct"/>
            <w:vMerge/>
          </w:tcPr>
          <w:p w14:paraId="40B557F5" w14:textId="77777777" w:rsidR="00230A0A" w:rsidRPr="00D4309F" w:rsidRDefault="00230A0A">
            <w:pPr>
              <w:pStyle w:val="TableParagraph"/>
              <w:rPr>
                <w:rFonts w:ascii="Times New Roman"/>
                <w:sz w:val="18"/>
              </w:rPr>
            </w:pPr>
          </w:p>
        </w:tc>
        <w:tc>
          <w:tcPr>
            <w:tcW w:w="3427" w:type="pct"/>
          </w:tcPr>
          <w:p w14:paraId="07FC1777" w14:textId="77777777" w:rsidR="00230A0A" w:rsidRPr="00D4309F" w:rsidRDefault="00230A0A">
            <w:pPr>
              <w:pStyle w:val="TableParagraph"/>
              <w:spacing w:before="41"/>
              <w:ind w:left="165"/>
              <w:rPr>
                <w:sz w:val="18"/>
              </w:rPr>
            </w:pPr>
            <w:r w:rsidRPr="00D4309F">
              <w:rPr>
                <w:color w:val="211E1F"/>
                <w:sz w:val="18"/>
              </w:rPr>
              <w:t>Operational</w:t>
            </w:r>
            <w:r w:rsidRPr="00D4309F">
              <w:rPr>
                <w:color w:val="211E1F"/>
                <w:spacing w:val="-5"/>
                <w:sz w:val="18"/>
              </w:rPr>
              <w:t xml:space="preserve"> </w:t>
            </w:r>
            <w:r w:rsidRPr="00D4309F">
              <w:rPr>
                <w:color w:val="211E1F"/>
                <w:sz w:val="18"/>
              </w:rPr>
              <w:t>works:</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significant</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operational</w:t>
            </w:r>
            <w:r w:rsidRPr="00D4309F">
              <w:rPr>
                <w:color w:val="211E1F"/>
                <w:spacing w:val="-2"/>
                <w:sz w:val="18"/>
              </w:rPr>
              <w:t xml:space="preserve"> </w:t>
            </w:r>
            <w:r w:rsidRPr="00D4309F">
              <w:rPr>
                <w:color w:val="211E1F"/>
                <w:sz w:val="18"/>
              </w:rPr>
              <w:t>works</w:t>
            </w:r>
            <w:r w:rsidRPr="00D4309F">
              <w:rPr>
                <w:color w:val="211E1F"/>
                <w:spacing w:val="-3"/>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their</w:t>
            </w:r>
            <w:r w:rsidRPr="00D4309F">
              <w:rPr>
                <w:color w:val="211E1F"/>
                <w:spacing w:val="-3"/>
                <w:sz w:val="18"/>
              </w:rPr>
              <w:t xml:space="preserve"> </w:t>
            </w:r>
            <w:r w:rsidRPr="00D4309F">
              <w:rPr>
                <w:color w:val="211E1F"/>
                <w:sz w:val="18"/>
              </w:rPr>
              <w:t>impacts</w:t>
            </w:r>
            <w:r w:rsidRPr="00D4309F">
              <w:rPr>
                <w:color w:val="211E1F"/>
                <w:spacing w:val="-2"/>
                <w:sz w:val="18"/>
              </w:rPr>
              <w:t xml:space="preserve"> </w:t>
            </w:r>
            <w:r w:rsidRPr="00D4309F">
              <w:rPr>
                <w:color w:val="211E1F"/>
                <w:sz w:val="18"/>
              </w:rPr>
              <w:t>during</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pacing w:val="-2"/>
                <w:sz w:val="18"/>
              </w:rPr>
              <w:t>process</w:t>
            </w:r>
          </w:p>
        </w:tc>
        <w:tc>
          <w:tcPr>
            <w:tcW w:w="571" w:type="pct"/>
          </w:tcPr>
          <w:p w14:paraId="6D1CF251" w14:textId="77777777" w:rsidR="00230A0A" w:rsidRPr="00D4309F" w:rsidRDefault="00230A0A">
            <w:pPr>
              <w:pStyle w:val="TableParagraph"/>
              <w:spacing w:before="41"/>
              <w:ind w:left="485"/>
              <w:rPr>
                <w:sz w:val="18"/>
              </w:rPr>
            </w:pPr>
            <w:r w:rsidRPr="00D4309F">
              <w:rPr>
                <w:color w:val="211E1F"/>
                <w:spacing w:val="-10"/>
                <w:sz w:val="18"/>
              </w:rPr>
              <w:t>3</w:t>
            </w:r>
          </w:p>
        </w:tc>
      </w:tr>
      <w:tr w:rsidR="00230A0A" w:rsidRPr="00D4309F" w14:paraId="7B8AF687" w14:textId="77777777">
        <w:trPr>
          <w:trHeight w:val="286"/>
        </w:trPr>
        <w:tc>
          <w:tcPr>
            <w:tcW w:w="1002" w:type="pct"/>
            <w:vMerge/>
          </w:tcPr>
          <w:p w14:paraId="424D9FBE" w14:textId="77777777" w:rsidR="00230A0A" w:rsidRPr="00D4309F" w:rsidRDefault="00230A0A">
            <w:pPr>
              <w:pStyle w:val="TableParagraph"/>
              <w:rPr>
                <w:rFonts w:ascii="Times New Roman"/>
                <w:sz w:val="18"/>
              </w:rPr>
            </w:pPr>
          </w:p>
        </w:tc>
        <w:tc>
          <w:tcPr>
            <w:tcW w:w="3427" w:type="pct"/>
          </w:tcPr>
          <w:p w14:paraId="36F60D8C" w14:textId="77777777" w:rsidR="00230A0A" w:rsidRPr="00D4309F" w:rsidRDefault="00230A0A">
            <w:pPr>
              <w:pStyle w:val="TableParagraph"/>
              <w:spacing w:before="39"/>
              <w:ind w:left="165"/>
              <w:rPr>
                <w:sz w:val="18"/>
              </w:rPr>
            </w:pPr>
            <w:r w:rsidRPr="00D4309F">
              <w:rPr>
                <w:color w:val="211E1F"/>
                <w:sz w:val="18"/>
              </w:rPr>
              <w:t>Future</w:t>
            </w:r>
            <w:r w:rsidRPr="00D4309F">
              <w:rPr>
                <w:color w:val="211E1F"/>
                <w:spacing w:val="-6"/>
                <w:sz w:val="18"/>
              </w:rPr>
              <w:t xml:space="preserve"> </w:t>
            </w:r>
            <w:r w:rsidRPr="00D4309F">
              <w:rPr>
                <w:color w:val="211E1F"/>
                <w:sz w:val="18"/>
              </w:rPr>
              <w:t>adaption:</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well</w:t>
            </w:r>
            <w:r w:rsidRPr="00D4309F">
              <w:rPr>
                <w:color w:val="211E1F"/>
                <w:spacing w:val="-2"/>
                <w:sz w:val="18"/>
              </w:rPr>
              <w:t xml:space="preserve"> </w:t>
            </w:r>
            <w:r w:rsidRPr="00D4309F">
              <w:rPr>
                <w:color w:val="211E1F"/>
                <w:sz w:val="18"/>
              </w:rPr>
              <w:t>the</w:t>
            </w:r>
            <w:r w:rsidRPr="00D4309F">
              <w:rPr>
                <w:color w:val="211E1F"/>
                <w:spacing w:val="-1"/>
                <w:sz w:val="18"/>
              </w:rPr>
              <w:t xml:space="preserve"> </w:t>
            </w:r>
            <w:r w:rsidRPr="00D4309F">
              <w:rPr>
                <w:color w:val="211E1F"/>
                <w:sz w:val="18"/>
              </w:rPr>
              <w:t>option</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adapted</w:t>
            </w:r>
            <w:r w:rsidRPr="00D4309F">
              <w:rPr>
                <w:color w:val="211E1F"/>
                <w:spacing w:val="-3"/>
                <w:sz w:val="18"/>
              </w:rPr>
              <w:t xml:space="preserve"> </w:t>
            </w:r>
            <w:r w:rsidRPr="00D4309F">
              <w:rPr>
                <w:color w:val="211E1F"/>
                <w:sz w:val="18"/>
              </w:rPr>
              <w:t>to</w:t>
            </w:r>
            <w:r w:rsidRPr="00D4309F">
              <w:rPr>
                <w:color w:val="211E1F"/>
                <w:spacing w:val="-3"/>
                <w:sz w:val="18"/>
              </w:rPr>
              <w:t xml:space="preserve"> </w:t>
            </w:r>
            <w:r w:rsidRPr="00D4309F">
              <w:rPr>
                <w:color w:val="211E1F"/>
                <w:sz w:val="18"/>
              </w:rPr>
              <w:t>future</w:t>
            </w:r>
            <w:r w:rsidRPr="00D4309F">
              <w:rPr>
                <w:color w:val="211E1F"/>
                <w:spacing w:val="-3"/>
                <w:sz w:val="18"/>
              </w:rPr>
              <w:t xml:space="preserve"> </w:t>
            </w:r>
            <w:r w:rsidRPr="00D4309F">
              <w:rPr>
                <w:color w:val="211E1F"/>
                <w:spacing w:val="-2"/>
                <w:sz w:val="18"/>
              </w:rPr>
              <w:t>conditions</w:t>
            </w:r>
          </w:p>
        </w:tc>
        <w:tc>
          <w:tcPr>
            <w:tcW w:w="571" w:type="pct"/>
          </w:tcPr>
          <w:p w14:paraId="18727F51" w14:textId="4FC40661" w:rsidR="00230A0A" w:rsidRPr="00D4309F" w:rsidRDefault="00230A0A">
            <w:pPr>
              <w:pStyle w:val="TableParagraph"/>
              <w:spacing w:before="39"/>
              <w:ind w:left="485"/>
              <w:rPr>
                <w:sz w:val="18"/>
              </w:rPr>
            </w:pPr>
            <w:r>
              <w:rPr>
                <w:sz w:val="18"/>
              </w:rPr>
              <w:t>4</w:t>
            </w:r>
          </w:p>
        </w:tc>
      </w:tr>
      <w:tr w:rsidR="00230A0A" w:rsidRPr="00D4309F" w14:paraId="03B6D394" w14:textId="77777777">
        <w:trPr>
          <w:trHeight w:val="287"/>
        </w:trPr>
        <w:tc>
          <w:tcPr>
            <w:tcW w:w="1002" w:type="pct"/>
            <w:vMerge/>
          </w:tcPr>
          <w:p w14:paraId="1D208A69" w14:textId="77777777" w:rsidR="00230A0A" w:rsidRPr="00D4309F" w:rsidRDefault="00230A0A">
            <w:pPr>
              <w:pStyle w:val="TableParagraph"/>
              <w:rPr>
                <w:rFonts w:ascii="Times New Roman"/>
                <w:sz w:val="18"/>
              </w:rPr>
            </w:pPr>
          </w:p>
        </w:tc>
        <w:tc>
          <w:tcPr>
            <w:tcW w:w="3427" w:type="pct"/>
          </w:tcPr>
          <w:p w14:paraId="046AB13E" w14:textId="77777777" w:rsidR="00230A0A" w:rsidRPr="00D4309F" w:rsidRDefault="00230A0A">
            <w:pPr>
              <w:pStyle w:val="TableParagraph"/>
              <w:rPr>
                <w:rFonts w:ascii="Times New Roman"/>
                <w:sz w:val="18"/>
              </w:rPr>
            </w:pPr>
          </w:p>
        </w:tc>
        <w:tc>
          <w:tcPr>
            <w:tcW w:w="571" w:type="pct"/>
          </w:tcPr>
          <w:p w14:paraId="0C1E5BDD" w14:textId="77777777" w:rsidR="00230A0A" w:rsidRPr="00D4309F" w:rsidRDefault="00230A0A">
            <w:pPr>
              <w:pStyle w:val="TableParagraph"/>
              <w:rPr>
                <w:rFonts w:ascii="Times New Roman"/>
                <w:sz w:val="18"/>
              </w:rPr>
            </w:pPr>
          </w:p>
        </w:tc>
      </w:tr>
      <w:tr w:rsidR="00230A0A" w:rsidRPr="00D4309F" w14:paraId="705C31F4" w14:textId="77777777">
        <w:trPr>
          <w:trHeight w:val="286"/>
        </w:trPr>
        <w:tc>
          <w:tcPr>
            <w:tcW w:w="1002" w:type="pct"/>
            <w:vMerge/>
          </w:tcPr>
          <w:p w14:paraId="17DF8147" w14:textId="77777777" w:rsidR="00230A0A" w:rsidRPr="00D4309F" w:rsidRDefault="00230A0A">
            <w:pPr>
              <w:pStyle w:val="TableParagraph"/>
              <w:rPr>
                <w:rFonts w:ascii="Times New Roman"/>
                <w:sz w:val="18"/>
              </w:rPr>
            </w:pPr>
          </w:p>
        </w:tc>
        <w:tc>
          <w:tcPr>
            <w:tcW w:w="3427" w:type="pct"/>
          </w:tcPr>
          <w:p w14:paraId="746F3038" w14:textId="77777777" w:rsidR="00230A0A" w:rsidRPr="00D4309F" w:rsidRDefault="00230A0A">
            <w:pPr>
              <w:pStyle w:val="TableParagraph"/>
              <w:spacing w:before="39"/>
              <w:ind w:left="165"/>
              <w:rPr>
                <w:b/>
                <w:sz w:val="18"/>
              </w:rPr>
            </w:pPr>
            <w:r w:rsidRPr="00D4309F">
              <w:rPr>
                <w:b/>
                <w:color w:val="211E1F"/>
                <w:sz w:val="18"/>
              </w:rPr>
              <w:t>Sub-</w:t>
            </w:r>
            <w:r w:rsidRPr="00D4309F">
              <w:rPr>
                <w:b/>
                <w:color w:val="211E1F"/>
                <w:spacing w:val="-2"/>
                <w:sz w:val="18"/>
              </w:rPr>
              <w:t>total</w:t>
            </w:r>
          </w:p>
        </w:tc>
        <w:tc>
          <w:tcPr>
            <w:tcW w:w="571" w:type="pct"/>
          </w:tcPr>
          <w:p w14:paraId="6899D3B8" w14:textId="58D4B4E2" w:rsidR="00230A0A" w:rsidRPr="00D4309F" w:rsidRDefault="00230A0A">
            <w:pPr>
              <w:pStyle w:val="TableParagraph"/>
              <w:spacing w:before="39"/>
              <w:ind w:left="485"/>
              <w:rPr>
                <w:b/>
                <w:sz w:val="18"/>
              </w:rPr>
            </w:pPr>
            <w:r w:rsidRPr="00D4309F">
              <w:rPr>
                <w:b/>
                <w:color w:val="211E1F"/>
                <w:spacing w:val="-5"/>
                <w:sz w:val="18"/>
              </w:rPr>
              <w:t>1</w:t>
            </w:r>
            <w:r>
              <w:rPr>
                <w:b/>
                <w:color w:val="211E1F"/>
                <w:spacing w:val="-5"/>
                <w:sz w:val="18"/>
              </w:rPr>
              <w:t>6</w:t>
            </w:r>
          </w:p>
        </w:tc>
      </w:tr>
      <w:tr w:rsidR="00230A0A" w:rsidRPr="00D4309F" w14:paraId="6F2C7E6C" w14:textId="77777777">
        <w:trPr>
          <w:trHeight w:val="287"/>
        </w:trPr>
        <w:tc>
          <w:tcPr>
            <w:tcW w:w="1002" w:type="pct"/>
            <w:vMerge w:val="restart"/>
          </w:tcPr>
          <w:p w14:paraId="1BF53E00" w14:textId="77777777" w:rsidR="00230A0A" w:rsidRPr="00D4309F" w:rsidRDefault="00230A0A">
            <w:pPr>
              <w:pStyle w:val="TableParagraph"/>
              <w:spacing w:before="41"/>
              <w:ind w:left="165"/>
              <w:rPr>
                <w:b/>
                <w:sz w:val="18"/>
              </w:rPr>
            </w:pPr>
            <w:r w:rsidRPr="00D4309F">
              <w:rPr>
                <w:b/>
                <w:color w:val="211E1F"/>
                <w:spacing w:val="-2"/>
                <w:sz w:val="18"/>
              </w:rPr>
              <w:t>Safety</w:t>
            </w:r>
          </w:p>
        </w:tc>
        <w:tc>
          <w:tcPr>
            <w:tcW w:w="3427" w:type="pct"/>
          </w:tcPr>
          <w:p w14:paraId="2A585041" w14:textId="77777777" w:rsidR="00230A0A" w:rsidRPr="00D4309F" w:rsidRDefault="00230A0A">
            <w:pPr>
              <w:pStyle w:val="TableParagraph"/>
              <w:spacing w:before="41"/>
              <w:ind w:left="166"/>
              <w:rPr>
                <w:sz w:val="18"/>
              </w:rPr>
            </w:pPr>
            <w:r w:rsidRPr="00D4309F">
              <w:rPr>
                <w:color w:val="211E1F"/>
                <w:sz w:val="18"/>
              </w:rPr>
              <w:t>Reliability</w:t>
            </w:r>
            <w:r w:rsidRPr="00D4309F">
              <w:rPr>
                <w:color w:val="211E1F"/>
                <w:spacing w:val="-5"/>
                <w:sz w:val="18"/>
              </w:rPr>
              <w:t xml:space="preserve"> </w:t>
            </w:r>
            <w:r w:rsidRPr="00D4309F">
              <w:rPr>
                <w:color w:val="211E1F"/>
                <w:sz w:val="18"/>
              </w:rPr>
              <w:t>of</w:t>
            </w:r>
            <w:r w:rsidRPr="00D4309F">
              <w:rPr>
                <w:color w:val="211E1F"/>
                <w:spacing w:val="-4"/>
                <w:sz w:val="18"/>
              </w:rPr>
              <w:t xml:space="preserve"> </w:t>
            </w:r>
            <w:r w:rsidRPr="00D4309F">
              <w:rPr>
                <w:color w:val="211E1F"/>
                <w:sz w:val="18"/>
              </w:rPr>
              <w:t>all-tide</w:t>
            </w:r>
            <w:r w:rsidRPr="00D4309F">
              <w:rPr>
                <w:color w:val="211E1F"/>
                <w:spacing w:val="-4"/>
                <w:sz w:val="18"/>
              </w:rPr>
              <w:t xml:space="preserve"> </w:t>
            </w:r>
            <w:r w:rsidRPr="00D4309F">
              <w:rPr>
                <w:color w:val="211E1F"/>
                <w:spacing w:val="-2"/>
                <w:sz w:val="18"/>
              </w:rPr>
              <w:t>access</w:t>
            </w:r>
          </w:p>
        </w:tc>
        <w:tc>
          <w:tcPr>
            <w:tcW w:w="571" w:type="pct"/>
          </w:tcPr>
          <w:p w14:paraId="190BA7AE" w14:textId="77777777" w:rsidR="00230A0A" w:rsidRPr="00D4309F" w:rsidRDefault="00230A0A">
            <w:pPr>
              <w:pStyle w:val="TableParagraph"/>
              <w:spacing w:before="41"/>
              <w:ind w:left="485"/>
              <w:rPr>
                <w:sz w:val="18"/>
              </w:rPr>
            </w:pPr>
            <w:r w:rsidRPr="00D4309F">
              <w:rPr>
                <w:color w:val="211E1F"/>
                <w:spacing w:val="-10"/>
                <w:sz w:val="18"/>
              </w:rPr>
              <w:t>3</w:t>
            </w:r>
          </w:p>
        </w:tc>
      </w:tr>
      <w:tr w:rsidR="00230A0A" w:rsidRPr="00D4309F" w14:paraId="3A29F444" w14:textId="77777777">
        <w:trPr>
          <w:trHeight w:val="286"/>
        </w:trPr>
        <w:tc>
          <w:tcPr>
            <w:tcW w:w="1002" w:type="pct"/>
            <w:vMerge/>
          </w:tcPr>
          <w:p w14:paraId="18FAE8A0" w14:textId="77777777" w:rsidR="00230A0A" w:rsidRPr="00D4309F" w:rsidRDefault="00230A0A">
            <w:pPr>
              <w:pStyle w:val="TableParagraph"/>
              <w:rPr>
                <w:rFonts w:ascii="Times New Roman"/>
                <w:sz w:val="18"/>
              </w:rPr>
            </w:pPr>
          </w:p>
        </w:tc>
        <w:tc>
          <w:tcPr>
            <w:tcW w:w="3427" w:type="pct"/>
          </w:tcPr>
          <w:p w14:paraId="6CBB1179" w14:textId="77777777" w:rsidR="00230A0A" w:rsidRPr="00D4309F" w:rsidRDefault="00230A0A">
            <w:pPr>
              <w:pStyle w:val="TableParagraph"/>
              <w:spacing w:before="39"/>
              <w:ind w:left="165"/>
              <w:rPr>
                <w:sz w:val="18"/>
              </w:rPr>
            </w:pPr>
            <w:r w:rsidRPr="00D4309F">
              <w:rPr>
                <w:color w:val="211E1F"/>
                <w:sz w:val="18"/>
              </w:rPr>
              <w:t>Clarity</w:t>
            </w:r>
            <w:r w:rsidRPr="00D4309F">
              <w:rPr>
                <w:color w:val="211E1F"/>
                <w:spacing w:val="-3"/>
                <w:sz w:val="18"/>
              </w:rPr>
              <w:t xml:space="preserve"> </w:t>
            </w:r>
            <w:r w:rsidRPr="00D4309F">
              <w:rPr>
                <w:color w:val="211E1F"/>
                <w:sz w:val="18"/>
              </w:rPr>
              <w:t>of</w:t>
            </w:r>
            <w:r w:rsidRPr="00D4309F">
              <w:rPr>
                <w:color w:val="211E1F"/>
                <w:spacing w:val="-2"/>
                <w:sz w:val="18"/>
              </w:rPr>
              <w:t xml:space="preserve"> navigation</w:t>
            </w:r>
          </w:p>
        </w:tc>
        <w:tc>
          <w:tcPr>
            <w:tcW w:w="571" w:type="pct"/>
          </w:tcPr>
          <w:p w14:paraId="5F9A3682" w14:textId="77777777" w:rsidR="00230A0A" w:rsidRPr="00D4309F" w:rsidRDefault="00230A0A">
            <w:pPr>
              <w:pStyle w:val="TableParagraph"/>
              <w:spacing w:before="39"/>
              <w:ind w:left="485"/>
              <w:rPr>
                <w:sz w:val="18"/>
              </w:rPr>
            </w:pPr>
            <w:r w:rsidRPr="00D4309F">
              <w:rPr>
                <w:color w:val="211E1F"/>
                <w:spacing w:val="-10"/>
                <w:sz w:val="18"/>
              </w:rPr>
              <w:t>3</w:t>
            </w:r>
          </w:p>
        </w:tc>
      </w:tr>
      <w:tr w:rsidR="00230A0A" w:rsidRPr="00D4309F" w14:paraId="6A0FEC59" w14:textId="77777777">
        <w:trPr>
          <w:trHeight w:val="287"/>
        </w:trPr>
        <w:tc>
          <w:tcPr>
            <w:tcW w:w="1002" w:type="pct"/>
            <w:vMerge/>
          </w:tcPr>
          <w:p w14:paraId="768CA2C7" w14:textId="77777777" w:rsidR="00230A0A" w:rsidRPr="00D4309F" w:rsidRDefault="00230A0A">
            <w:pPr>
              <w:pStyle w:val="TableParagraph"/>
              <w:rPr>
                <w:rFonts w:ascii="Times New Roman"/>
                <w:sz w:val="18"/>
              </w:rPr>
            </w:pPr>
          </w:p>
        </w:tc>
        <w:tc>
          <w:tcPr>
            <w:tcW w:w="3427" w:type="pct"/>
          </w:tcPr>
          <w:p w14:paraId="0C4D907A" w14:textId="77777777" w:rsidR="00230A0A" w:rsidRPr="00D4309F" w:rsidRDefault="00230A0A">
            <w:pPr>
              <w:pStyle w:val="TableParagraph"/>
              <w:spacing w:before="41"/>
              <w:ind w:left="165"/>
              <w:rPr>
                <w:sz w:val="18"/>
              </w:rPr>
            </w:pPr>
            <w:r w:rsidRPr="00D4309F">
              <w:rPr>
                <w:color w:val="211E1F"/>
                <w:sz w:val="18"/>
              </w:rPr>
              <w:t>Mariner</w:t>
            </w:r>
            <w:r w:rsidRPr="00D4309F">
              <w:rPr>
                <w:color w:val="211E1F"/>
                <w:spacing w:val="-6"/>
                <w:sz w:val="18"/>
              </w:rPr>
              <w:t xml:space="preserve"> </w:t>
            </w:r>
            <w:r w:rsidRPr="00D4309F">
              <w:rPr>
                <w:color w:val="211E1F"/>
                <w:spacing w:val="-2"/>
                <w:sz w:val="18"/>
              </w:rPr>
              <w:t>safety</w:t>
            </w:r>
          </w:p>
        </w:tc>
        <w:tc>
          <w:tcPr>
            <w:tcW w:w="571" w:type="pct"/>
          </w:tcPr>
          <w:p w14:paraId="16AC4641" w14:textId="77777777" w:rsidR="00230A0A" w:rsidRPr="00D4309F" w:rsidRDefault="00230A0A">
            <w:pPr>
              <w:pStyle w:val="TableParagraph"/>
              <w:spacing w:before="41"/>
              <w:ind w:left="485"/>
              <w:rPr>
                <w:sz w:val="18"/>
              </w:rPr>
            </w:pPr>
            <w:r w:rsidRPr="00D4309F">
              <w:rPr>
                <w:color w:val="211E1F"/>
                <w:spacing w:val="-10"/>
                <w:sz w:val="18"/>
              </w:rPr>
              <w:t>3</w:t>
            </w:r>
          </w:p>
        </w:tc>
      </w:tr>
      <w:tr w:rsidR="00230A0A" w:rsidRPr="00D4309F" w14:paraId="495DBED2" w14:textId="77777777">
        <w:trPr>
          <w:trHeight w:val="286"/>
        </w:trPr>
        <w:tc>
          <w:tcPr>
            <w:tcW w:w="1002" w:type="pct"/>
            <w:vMerge/>
          </w:tcPr>
          <w:p w14:paraId="1165B840" w14:textId="77777777" w:rsidR="00230A0A" w:rsidRPr="00D4309F" w:rsidRDefault="00230A0A">
            <w:pPr>
              <w:pStyle w:val="TableParagraph"/>
              <w:rPr>
                <w:rFonts w:ascii="Times New Roman"/>
                <w:sz w:val="18"/>
              </w:rPr>
            </w:pPr>
          </w:p>
        </w:tc>
        <w:tc>
          <w:tcPr>
            <w:tcW w:w="3427" w:type="pct"/>
          </w:tcPr>
          <w:p w14:paraId="065A2846" w14:textId="77777777" w:rsidR="00230A0A" w:rsidRPr="00D4309F" w:rsidRDefault="00230A0A">
            <w:pPr>
              <w:pStyle w:val="TableParagraph"/>
              <w:spacing w:before="39"/>
              <w:ind w:left="165"/>
              <w:rPr>
                <w:color w:val="211E1F"/>
                <w:spacing w:val="-2"/>
                <w:sz w:val="18"/>
              </w:rPr>
            </w:pPr>
          </w:p>
        </w:tc>
        <w:tc>
          <w:tcPr>
            <w:tcW w:w="571" w:type="pct"/>
          </w:tcPr>
          <w:p w14:paraId="4BC7C1AC" w14:textId="77777777" w:rsidR="00230A0A" w:rsidRPr="00D4309F" w:rsidRDefault="00230A0A">
            <w:pPr>
              <w:pStyle w:val="TableParagraph"/>
              <w:spacing w:before="39"/>
              <w:ind w:left="484"/>
              <w:rPr>
                <w:color w:val="211E1F"/>
                <w:spacing w:val="-10"/>
                <w:sz w:val="18"/>
              </w:rPr>
            </w:pPr>
          </w:p>
        </w:tc>
      </w:tr>
      <w:tr w:rsidR="00230A0A" w:rsidRPr="00D4309F" w14:paraId="45A6599B" w14:textId="77777777">
        <w:trPr>
          <w:trHeight w:val="286"/>
        </w:trPr>
        <w:tc>
          <w:tcPr>
            <w:tcW w:w="1002" w:type="pct"/>
            <w:vMerge/>
          </w:tcPr>
          <w:p w14:paraId="7FEB1022" w14:textId="77777777" w:rsidR="00230A0A" w:rsidRPr="00D4309F" w:rsidRDefault="00230A0A" w:rsidP="00230A0A">
            <w:pPr>
              <w:pStyle w:val="TableParagraph"/>
              <w:rPr>
                <w:rFonts w:ascii="Times New Roman"/>
                <w:sz w:val="18"/>
              </w:rPr>
            </w:pPr>
          </w:p>
        </w:tc>
        <w:tc>
          <w:tcPr>
            <w:tcW w:w="3427" w:type="pct"/>
          </w:tcPr>
          <w:p w14:paraId="77D6E794" w14:textId="77777777" w:rsidR="00230A0A" w:rsidRPr="00230A0A" w:rsidRDefault="00230A0A" w:rsidP="00230A0A">
            <w:pPr>
              <w:pStyle w:val="TableParagraph"/>
              <w:spacing w:before="39"/>
              <w:ind w:left="165"/>
              <w:rPr>
                <w:b/>
                <w:bCs/>
                <w:sz w:val="18"/>
              </w:rPr>
            </w:pPr>
            <w:r w:rsidRPr="00230A0A">
              <w:rPr>
                <w:b/>
                <w:bCs/>
                <w:color w:val="211E1F"/>
                <w:spacing w:val="-2"/>
                <w:sz w:val="18"/>
              </w:rPr>
              <w:t>Sub-total</w:t>
            </w:r>
          </w:p>
        </w:tc>
        <w:tc>
          <w:tcPr>
            <w:tcW w:w="571" w:type="pct"/>
          </w:tcPr>
          <w:p w14:paraId="0A7F0318" w14:textId="3BEC3F59" w:rsidR="00230A0A" w:rsidRPr="00230A0A" w:rsidRDefault="00230A0A" w:rsidP="00230A0A">
            <w:pPr>
              <w:pStyle w:val="TableParagraph"/>
              <w:spacing w:before="39"/>
              <w:ind w:left="484"/>
              <w:rPr>
                <w:b/>
                <w:bCs/>
                <w:sz w:val="18"/>
              </w:rPr>
            </w:pPr>
            <w:r w:rsidRPr="00D4309F">
              <w:rPr>
                <w:b/>
                <w:color w:val="211E1F"/>
                <w:spacing w:val="-10"/>
                <w:sz w:val="18"/>
              </w:rPr>
              <w:t>9</w:t>
            </w:r>
          </w:p>
        </w:tc>
      </w:tr>
      <w:tr w:rsidR="00230A0A" w:rsidRPr="00D4309F" w14:paraId="4DE8B949" w14:textId="77777777">
        <w:trPr>
          <w:trHeight w:val="287"/>
        </w:trPr>
        <w:tc>
          <w:tcPr>
            <w:tcW w:w="1002" w:type="pct"/>
            <w:vMerge w:val="restart"/>
          </w:tcPr>
          <w:p w14:paraId="19C85764" w14:textId="77777777" w:rsidR="00230A0A" w:rsidRPr="00D4309F" w:rsidRDefault="00230A0A" w:rsidP="00230A0A">
            <w:pPr>
              <w:pStyle w:val="TableParagraph"/>
              <w:spacing w:before="41"/>
              <w:ind w:left="165"/>
              <w:rPr>
                <w:b/>
                <w:sz w:val="18"/>
              </w:rPr>
            </w:pPr>
            <w:r w:rsidRPr="00D4309F">
              <w:rPr>
                <w:b/>
                <w:color w:val="211E1F"/>
                <w:sz w:val="18"/>
              </w:rPr>
              <w:t>Social</w:t>
            </w:r>
            <w:r w:rsidRPr="00D4309F">
              <w:rPr>
                <w:b/>
                <w:color w:val="211E1F"/>
                <w:spacing w:val="-2"/>
                <w:sz w:val="18"/>
              </w:rPr>
              <w:t xml:space="preserve"> </w:t>
            </w:r>
            <w:r w:rsidRPr="00D4309F">
              <w:rPr>
                <w:b/>
                <w:color w:val="211E1F"/>
                <w:sz w:val="18"/>
              </w:rPr>
              <w:t>and</w:t>
            </w:r>
            <w:r w:rsidRPr="00D4309F">
              <w:rPr>
                <w:b/>
                <w:color w:val="211E1F"/>
                <w:spacing w:val="-2"/>
                <w:sz w:val="18"/>
              </w:rPr>
              <w:t xml:space="preserve"> economic</w:t>
            </w:r>
          </w:p>
        </w:tc>
        <w:tc>
          <w:tcPr>
            <w:tcW w:w="3427" w:type="pct"/>
          </w:tcPr>
          <w:p w14:paraId="35CD6721" w14:textId="77777777" w:rsidR="00230A0A" w:rsidRPr="00D4309F" w:rsidRDefault="00230A0A" w:rsidP="00230A0A">
            <w:pPr>
              <w:pStyle w:val="TableParagraph"/>
              <w:spacing w:before="41"/>
              <w:ind w:left="166"/>
              <w:rPr>
                <w:sz w:val="18"/>
              </w:rPr>
            </w:pPr>
            <w:r w:rsidRPr="00D4309F">
              <w:rPr>
                <w:color w:val="211E1F"/>
                <w:sz w:val="18"/>
              </w:rPr>
              <w:t>Consistency</w:t>
            </w:r>
            <w:r w:rsidRPr="00D4309F">
              <w:rPr>
                <w:color w:val="211E1F"/>
                <w:spacing w:val="-5"/>
                <w:sz w:val="18"/>
              </w:rPr>
              <w:t xml:space="preserve"> </w:t>
            </w:r>
            <w:r w:rsidRPr="00D4309F">
              <w:rPr>
                <w:color w:val="211E1F"/>
                <w:sz w:val="18"/>
              </w:rPr>
              <w:t>with</w:t>
            </w:r>
            <w:r w:rsidRPr="00D4309F">
              <w:rPr>
                <w:color w:val="211E1F"/>
                <w:spacing w:val="-3"/>
                <w:sz w:val="18"/>
              </w:rPr>
              <w:t xml:space="preserve"> </w:t>
            </w:r>
            <w:r w:rsidRPr="00D4309F">
              <w:rPr>
                <w:color w:val="211E1F"/>
                <w:sz w:val="18"/>
              </w:rPr>
              <w:t>SRG</w:t>
            </w:r>
            <w:r w:rsidRPr="00D4309F">
              <w:rPr>
                <w:color w:val="211E1F"/>
                <w:spacing w:val="-3"/>
                <w:sz w:val="18"/>
              </w:rPr>
              <w:t xml:space="preserve"> </w:t>
            </w:r>
            <w:r w:rsidRPr="00D4309F">
              <w:rPr>
                <w:color w:val="211E1F"/>
                <w:sz w:val="18"/>
              </w:rPr>
              <w:t>preference</w:t>
            </w:r>
            <w:r w:rsidRPr="00D4309F">
              <w:rPr>
                <w:color w:val="211E1F"/>
                <w:spacing w:val="-3"/>
                <w:sz w:val="18"/>
              </w:rPr>
              <w:t xml:space="preserve"> </w:t>
            </w:r>
            <w:r w:rsidRPr="00D4309F">
              <w:rPr>
                <w:color w:val="211E1F"/>
                <w:sz w:val="18"/>
              </w:rPr>
              <w:t>for</w:t>
            </w:r>
            <w:r w:rsidRPr="00D4309F">
              <w:rPr>
                <w:color w:val="211E1F"/>
                <w:spacing w:val="-3"/>
                <w:sz w:val="18"/>
              </w:rPr>
              <w:t xml:space="preserve"> </w:t>
            </w:r>
            <w:r w:rsidRPr="00D4309F">
              <w:rPr>
                <w:color w:val="211E1F"/>
                <w:sz w:val="18"/>
              </w:rPr>
              <w:t>lower</w:t>
            </w:r>
            <w:r w:rsidRPr="00D4309F">
              <w:rPr>
                <w:color w:val="211E1F"/>
                <w:spacing w:val="-2"/>
                <w:sz w:val="18"/>
              </w:rPr>
              <w:t xml:space="preserve"> </w:t>
            </w:r>
            <w:r w:rsidRPr="00D4309F">
              <w:rPr>
                <w:color w:val="211E1F"/>
                <w:sz w:val="18"/>
              </w:rPr>
              <w:t>impact,</w:t>
            </w:r>
            <w:r w:rsidRPr="00D4309F">
              <w:rPr>
                <w:color w:val="211E1F"/>
                <w:spacing w:val="-3"/>
                <w:sz w:val="18"/>
              </w:rPr>
              <w:t xml:space="preserve"> </w:t>
            </w:r>
            <w:r w:rsidRPr="00D4309F">
              <w:rPr>
                <w:color w:val="211E1F"/>
                <w:sz w:val="18"/>
              </w:rPr>
              <w:t>“softer”</w:t>
            </w:r>
            <w:r w:rsidRPr="00D4309F">
              <w:rPr>
                <w:color w:val="211E1F"/>
                <w:spacing w:val="-3"/>
                <w:sz w:val="18"/>
              </w:rPr>
              <w:t xml:space="preserve"> </w:t>
            </w:r>
            <w:r w:rsidRPr="00D4309F">
              <w:rPr>
                <w:color w:val="211E1F"/>
                <w:sz w:val="18"/>
              </w:rPr>
              <w:t>measures</w:t>
            </w:r>
            <w:r w:rsidRPr="00D4309F">
              <w:rPr>
                <w:color w:val="211E1F"/>
                <w:spacing w:val="-2"/>
                <w:sz w:val="18"/>
              </w:rPr>
              <w:t xml:space="preserve"> </w:t>
            </w:r>
            <w:r w:rsidRPr="00D4309F">
              <w:rPr>
                <w:color w:val="211E1F"/>
                <w:sz w:val="18"/>
              </w:rPr>
              <w:t>where</w:t>
            </w:r>
            <w:r w:rsidRPr="00D4309F">
              <w:rPr>
                <w:color w:val="211E1F"/>
                <w:spacing w:val="-3"/>
                <w:sz w:val="18"/>
              </w:rPr>
              <w:t xml:space="preserve"> </w:t>
            </w:r>
            <w:r w:rsidRPr="00D4309F">
              <w:rPr>
                <w:color w:val="211E1F"/>
                <w:spacing w:val="-2"/>
                <w:sz w:val="18"/>
              </w:rPr>
              <w:t>practicable.</w:t>
            </w:r>
          </w:p>
        </w:tc>
        <w:tc>
          <w:tcPr>
            <w:tcW w:w="571" w:type="pct"/>
          </w:tcPr>
          <w:p w14:paraId="23FA21A0" w14:textId="4D168368" w:rsidR="00230A0A" w:rsidRPr="00D4309F" w:rsidRDefault="00230A0A" w:rsidP="00230A0A">
            <w:pPr>
              <w:pStyle w:val="TableParagraph"/>
              <w:spacing w:before="41"/>
              <w:ind w:left="485"/>
              <w:rPr>
                <w:sz w:val="18"/>
              </w:rPr>
            </w:pPr>
            <w:r w:rsidRPr="00D4309F">
              <w:rPr>
                <w:color w:val="211E1F"/>
                <w:spacing w:val="-10"/>
                <w:sz w:val="18"/>
              </w:rPr>
              <w:t>1</w:t>
            </w:r>
          </w:p>
        </w:tc>
      </w:tr>
      <w:tr w:rsidR="00230A0A" w:rsidRPr="00D4309F" w14:paraId="7B53509E" w14:textId="77777777">
        <w:trPr>
          <w:trHeight w:val="286"/>
        </w:trPr>
        <w:tc>
          <w:tcPr>
            <w:tcW w:w="1002" w:type="pct"/>
            <w:vMerge/>
          </w:tcPr>
          <w:p w14:paraId="74190E44" w14:textId="77777777" w:rsidR="00230A0A" w:rsidRPr="00D4309F" w:rsidRDefault="00230A0A" w:rsidP="00230A0A">
            <w:pPr>
              <w:pStyle w:val="TableParagraph"/>
              <w:rPr>
                <w:rFonts w:ascii="Times New Roman"/>
                <w:sz w:val="18"/>
              </w:rPr>
            </w:pPr>
          </w:p>
        </w:tc>
        <w:tc>
          <w:tcPr>
            <w:tcW w:w="3427" w:type="pct"/>
          </w:tcPr>
          <w:p w14:paraId="0045445D" w14:textId="77777777" w:rsidR="00230A0A" w:rsidRPr="00D4309F" w:rsidRDefault="00230A0A" w:rsidP="00230A0A">
            <w:pPr>
              <w:pStyle w:val="TableParagraph"/>
              <w:spacing w:before="39"/>
              <w:ind w:left="165"/>
              <w:rPr>
                <w:sz w:val="18"/>
              </w:rPr>
            </w:pPr>
            <w:r w:rsidRPr="00D4309F">
              <w:rPr>
                <w:color w:val="211E1F"/>
                <w:sz w:val="18"/>
              </w:rPr>
              <w:t>Traditional</w:t>
            </w:r>
            <w:r w:rsidRPr="00D4309F">
              <w:rPr>
                <w:color w:val="211E1F"/>
                <w:spacing w:val="-3"/>
                <w:sz w:val="18"/>
              </w:rPr>
              <w:t xml:space="preserve"> </w:t>
            </w:r>
            <w:r w:rsidRPr="00D4309F">
              <w:rPr>
                <w:color w:val="211E1F"/>
                <w:sz w:val="18"/>
              </w:rPr>
              <w:t>Owners</w:t>
            </w:r>
            <w:r w:rsidRPr="00D4309F">
              <w:rPr>
                <w:color w:val="211E1F"/>
                <w:spacing w:val="-3"/>
                <w:sz w:val="18"/>
              </w:rPr>
              <w:t xml:space="preserve"> </w:t>
            </w:r>
            <w:r w:rsidRPr="00D4309F">
              <w:rPr>
                <w:color w:val="211E1F"/>
                <w:sz w:val="18"/>
              </w:rPr>
              <w:t>do</w:t>
            </w:r>
            <w:r w:rsidRPr="00D4309F">
              <w:rPr>
                <w:color w:val="211E1F"/>
                <w:spacing w:val="-3"/>
                <w:sz w:val="18"/>
              </w:rPr>
              <w:t xml:space="preserve"> </w:t>
            </w:r>
            <w:r w:rsidRPr="00D4309F">
              <w:rPr>
                <w:color w:val="211E1F"/>
                <w:sz w:val="18"/>
              </w:rPr>
              <w:t>not</w:t>
            </w:r>
            <w:r w:rsidRPr="00D4309F">
              <w:rPr>
                <w:color w:val="211E1F"/>
                <w:spacing w:val="-3"/>
                <w:sz w:val="18"/>
              </w:rPr>
              <w:t xml:space="preserve"> </w:t>
            </w:r>
            <w:r w:rsidRPr="00D4309F">
              <w:rPr>
                <w:color w:val="211E1F"/>
                <w:sz w:val="18"/>
              </w:rPr>
              <w:t>experience</w:t>
            </w:r>
            <w:r w:rsidRPr="00D4309F">
              <w:rPr>
                <w:color w:val="211E1F"/>
                <w:spacing w:val="-3"/>
                <w:sz w:val="18"/>
              </w:rPr>
              <w:t xml:space="preserve"> </w:t>
            </w:r>
            <w:r w:rsidRPr="00D4309F">
              <w:rPr>
                <w:color w:val="211E1F"/>
                <w:sz w:val="18"/>
              </w:rPr>
              <w:t>disturbance</w:t>
            </w:r>
            <w:r w:rsidRPr="00D4309F">
              <w:rPr>
                <w:color w:val="211E1F"/>
                <w:spacing w:val="-3"/>
                <w:sz w:val="18"/>
              </w:rPr>
              <w:t xml:space="preserve"> </w:t>
            </w:r>
            <w:r w:rsidRPr="00D4309F">
              <w:rPr>
                <w:color w:val="211E1F"/>
                <w:sz w:val="18"/>
              </w:rPr>
              <w:t>to</w:t>
            </w:r>
            <w:r w:rsidRPr="00D4309F">
              <w:rPr>
                <w:color w:val="211E1F"/>
                <w:spacing w:val="-4"/>
                <w:sz w:val="18"/>
              </w:rPr>
              <w:t xml:space="preserve"> </w:t>
            </w:r>
            <w:r w:rsidRPr="00D4309F">
              <w:rPr>
                <w:color w:val="211E1F"/>
                <w:sz w:val="18"/>
              </w:rPr>
              <w:t>cultural</w:t>
            </w:r>
            <w:r w:rsidRPr="00D4309F">
              <w:rPr>
                <w:color w:val="211E1F"/>
                <w:spacing w:val="-2"/>
                <w:sz w:val="18"/>
              </w:rPr>
              <w:t xml:space="preserve"> values</w:t>
            </w:r>
          </w:p>
        </w:tc>
        <w:tc>
          <w:tcPr>
            <w:tcW w:w="571" w:type="pct"/>
          </w:tcPr>
          <w:p w14:paraId="7C5C486C" w14:textId="12986DEF" w:rsidR="00230A0A" w:rsidRPr="00D4309F" w:rsidRDefault="00230A0A" w:rsidP="00230A0A">
            <w:pPr>
              <w:pStyle w:val="TableParagraph"/>
              <w:spacing w:before="39"/>
              <w:ind w:left="485"/>
              <w:rPr>
                <w:sz w:val="18"/>
              </w:rPr>
            </w:pPr>
            <w:r w:rsidRPr="00D4309F">
              <w:rPr>
                <w:color w:val="211E1F"/>
                <w:spacing w:val="-10"/>
                <w:sz w:val="18"/>
              </w:rPr>
              <w:t>3</w:t>
            </w:r>
          </w:p>
        </w:tc>
      </w:tr>
      <w:tr w:rsidR="00230A0A" w:rsidRPr="00D4309F" w14:paraId="09E2C388" w14:textId="77777777">
        <w:trPr>
          <w:trHeight w:val="287"/>
        </w:trPr>
        <w:tc>
          <w:tcPr>
            <w:tcW w:w="1002" w:type="pct"/>
            <w:vMerge/>
          </w:tcPr>
          <w:p w14:paraId="4648AF84" w14:textId="77777777" w:rsidR="00230A0A" w:rsidRPr="00D4309F" w:rsidRDefault="00230A0A" w:rsidP="00230A0A">
            <w:pPr>
              <w:pStyle w:val="TableParagraph"/>
              <w:rPr>
                <w:rFonts w:ascii="Times New Roman"/>
                <w:sz w:val="18"/>
              </w:rPr>
            </w:pPr>
          </w:p>
        </w:tc>
        <w:tc>
          <w:tcPr>
            <w:tcW w:w="3427" w:type="pct"/>
          </w:tcPr>
          <w:p w14:paraId="6D822701" w14:textId="77777777" w:rsidR="00230A0A" w:rsidRPr="00D4309F" w:rsidRDefault="00230A0A" w:rsidP="00230A0A">
            <w:pPr>
              <w:pStyle w:val="TableParagraph"/>
              <w:spacing w:before="41"/>
              <w:ind w:left="165"/>
              <w:rPr>
                <w:sz w:val="18"/>
              </w:rPr>
            </w:pPr>
            <w:r w:rsidRPr="00D4309F">
              <w:rPr>
                <w:color w:val="211E1F"/>
                <w:sz w:val="18"/>
              </w:rPr>
              <w:t>Visual</w:t>
            </w:r>
            <w:r w:rsidRPr="00D4309F">
              <w:rPr>
                <w:color w:val="211E1F"/>
                <w:spacing w:val="-5"/>
                <w:sz w:val="18"/>
              </w:rPr>
              <w:t xml:space="preserve"> </w:t>
            </w:r>
            <w:r w:rsidRPr="00D4309F">
              <w:rPr>
                <w:color w:val="211E1F"/>
                <w:spacing w:val="-2"/>
                <w:sz w:val="18"/>
              </w:rPr>
              <w:t>amenity</w:t>
            </w:r>
          </w:p>
        </w:tc>
        <w:tc>
          <w:tcPr>
            <w:tcW w:w="571" w:type="pct"/>
          </w:tcPr>
          <w:p w14:paraId="351F3937" w14:textId="23856F83" w:rsidR="00230A0A" w:rsidRPr="00D4309F" w:rsidRDefault="00230A0A" w:rsidP="00230A0A">
            <w:pPr>
              <w:pStyle w:val="TableParagraph"/>
              <w:spacing w:before="41"/>
              <w:ind w:left="485"/>
              <w:rPr>
                <w:sz w:val="18"/>
              </w:rPr>
            </w:pPr>
            <w:r w:rsidRPr="00D4309F">
              <w:rPr>
                <w:color w:val="211E1F"/>
                <w:spacing w:val="-10"/>
                <w:sz w:val="18"/>
              </w:rPr>
              <w:t>2</w:t>
            </w:r>
          </w:p>
        </w:tc>
      </w:tr>
      <w:tr w:rsidR="00230A0A" w:rsidRPr="00D4309F" w14:paraId="703DB263" w14:textId="77777777">
        <w:trPr>
          <w:trHeight w:val="286"/>
        </w:trPr>
        <w:tc>
          <w:tcPr>
            <w:tcW w:w="1002" w:type="pct"/>
            <w:vMerge/>
          </w:tcPr>
          <w:p w14:paraId="5B73F5FF" w14:textId="77777777" w:rsidR="00230A0A" w:rsidRPr="00D4309F" w:rsidRDefault="00230A0A" w:rsidP="00230A0A">
            <w:pPr>
              <w:pStyle w:val="TableParagraph"/>
              <w:rPr>
                <w:rFonts w:ascii="Times New Roman"/>
                <w:sz w:val="18"/>
              </w:rPr>
            </w:pPr>
          </w:p>
        </w:tc>
        <w:tc>
          <w:tcPr>
            <w:tcW w:w="3427" w:type="pct"/>
          </w:tcPr>
          <w:p w14:paraId="0AB11D51" w14:textId="77777777" w:rsidR="00230A0A" w:rsidRPr="00D4309F" w:rsidRDefault="00230A0A" w:rsidP="00230A0A">
            <w:pPr>
              <w:pStyle w:val="TableParagraph"/>
              <w:spacing w:before="39"/>
              <w:ind w:left="165"/>
              <w:rPr>
                <w:sz w:val="18"/>
              </w:rPr>
            </w:pPr>
            <w:r w:rsidRPr="00D4309F">
              <w:rPr>
                <w:color w:val="211E1F"/>
                <w:sz w:val="18"/>
              </w:rPr>
              <w:t>Community</w:t>
            </w:r>
            <w:r w:rsidRPr="00D4309F">
              <w:rPr>
                <w:color w:val="211E1F"/>
                <w:spacing w:val="-3"/>
                <w:sz w:val="18"/>
              </w:rPr>
              <w:t xml:space="preserve"> </w:t>
            </w:r>
            <w:r w:rsidRPr="00D4309F">
              <w:rPr>
                <w:color w:val="211E1F"/>
                <w:sz w:val="18"/>
              </w:rPr>
              <w:t>amenity</w:t>
            </w:r>
            <w:r w:rsidRPr="00D4309F">
              <w:rPr>
                <w:color w:val="211E1F"/>
                <w:spacing w:val="-2"/>
                <w:sz w:val="18"/>
              </w:rPr>
              <w:t xml:space="preserve"> </w:t>
            </w:r>
            <w:r w:rsidRPr="00D4309F">
              <w:rPr>
                <w:color w:val="211E1F"/>
                <w:sz w:val="18"/>
              </w:rPr>
              <w:t>(inc.</w:t>
            </w:r>
            <w:r w:rsidRPr="00D4309F">
              <w:rPr>
                <w:color w:val="211E1F"/>
                <w:spacing w:val="-2"/>
                <w:sz w:val="18"/>
              </w:rPr>
              <w:t xml:space="preserve"> </w:t>
            </w:r>
            <w:r w:rsidRPr="00D4309F">
              <w:rPr>
                <w:color w:val="211E1F"/>
                <w:sz w:val="18"/>
              </w:rPr>
              <w:t>noise</w:t>
            </w:r>
            <w:r w:rsidRPr="00D4309F">
              <w:rPr>
                <w:color w:val="211E1F"/>
                <w:spacing w:val="-3"/>
                <w:sz w:val="18"/>
              </w:rPr>
              <w:t xml:space="preserve"> </w:t>
            </w:r>
            <w:r w:rsidRPr="00D4309F">
              <w:rPr>
                <w:color w:val="211E1F"/>
                <w:sz w:val="18"/>
              </w:rPr>
              <w:t>from</w:t>
            </w:r>
            <w:r w:rsidRPr="00D4309F">
              <w:rPr>
                <w:color w:val="211E1F"/>
                <w:spacing w:val="-2"/>
                <w:sz w:val="18"/>
              </w:rPr>
              <w:t xml:space="preserve"> pumps)</w:t>
            </w:r>
          </w:p>
        </w:tc>
        <w:tc>
          <w:tcPr>
            <w:tcW w:w="571" w:type="pct"/>
          </w:tcPr>
          <w:p w14:paraId="47BE728F" w14:textId="7A3A64CF" w:rsidR="00230A0A" w:rsidRPr="00D4309F" w:rsidRDefault="00230A0A" w:rsidP="00230A0A">
            <w:pPr>
              <w:pStyle w:val="TableParagraph"/>
              <w:spacing w:before="39"/>
              <w:ind w:left="484"/>
              <w:rPr>
                <w:sz w:val="18"/>
              </w:rPr>
            </w:pPr>
            <w:r w:rsidRPr="00D4309F">
              <w:rPr>
                <w:color w:val="211E1F"/>
                <w:spacing w:val="-10"/>
                <w:sz w:val="18"/>
              </w:rPr>
              <w:t>2</w:t>
            </w:r>
          </w:p>
        </w:tc>
      </w:tr>
      <w:tr w:rsidR="00230A0A" w:rsidRPr="00D4309F" w14:paraId="350E4959" w14:textId="77777777">
        <w:trPr>
          <w:trHeight w:val="247"/>
        </w:trPr>
        <w:tc>
          <w:tcPr>
            <w:tcW w:w="1002" w:type="pct"/>
            <w:vMerge/>
          </w:tcPr>
          <w:p w14:paraId="09F16306" w14:textId="77777777" w:rsidR="00230A0A" w:rsidRPr="00D4309F" w:rsidRDefault="00230A0A" w:rsidP="00230A0A">
            <w:pPr>
              <w:pStyle w:val="TableParagraph"/>
              <w:rPr>
                <w:rFonts w:ascii="Times New Roman"/>
                <w:sz w:val="18"/>
              </w:rPr>
            </w:pPr>
          </w:p>
        </w:tc>
        <w:tc>
          <w:tcPr>
            <w:tcW w:w="3427" w:type="pct"/>
          </w:tcPr>
          <w:p w14:paraId="0C7095C1" w14:textId="77777777" w:rsidR="00230A0A" w:rsidRPr="00D4309F" w:rsidRDefault="00230A0A" w:rsidP="00230A0A">
            <w:pPr>
              <w:pStyle w:val="TableParagraph"/>
              <w:spacing w:before="41" w:line="187" w:lineRule="exact"/>
              <w:ind w:left="165"/>
              <w:rPr>
                <w:sz w:val="18"/>
              </w:rPr>
            </w:pPr>
            <w:r w:rsidRPr="00D4309F">
              <w:rPr>
                <w:color w:val="211E1F"/>
                <w:sz w:val="18"/>
              </w:rPr>
              <w:t>Beach</w:t>
            </w:r>
            <w:r w:rsidRPr="00D4309F">
              <w:rPr>
                <w:color w:val="211E1F"/>
                <w:spacing w:val="-5"/>
                <w:sz w:val="18"/>
              </w:rPr>
              <w:t xml:space="preserve"> </w:t>
            </w:r>
            <w:r w:rsidRPr="00D4309F">
              <w:rPr>
                <w:color w:val="211E1F"/>
                <w:sz w:val="18"/>
              </w:rPr>
              <w:t>users</w:t>
            </w:r>
            <w:r w:rsidRPr="00D4309F">
              <w:rPr>
                <w:color w:val="211E1F"/>
                <w:spacing w:val="-2"/>
                <w:sz w:val="18"/>
              </w:rPr>
              <w:t xml:space="preserve"> experience</w:t>
            </w:r>
          </w:p>
        </w:tc>
        <w:tc>
          <w:tcPr>
            <w:tcW w:w="571" w:type="pct"/>
          </w:tcPr>
          <w:p w14:paraId="562DC5E8" w14:textId="33424DA1" w:rsidR="00230A0A" w:rsidRPr="00D4309F" w:rsidRDefault="00230A0A" w:rsidP="00230A0A">
            <w:pPr>
              <w:pStyle w:val="TableParagraph"/>
              <w:spacing w:before="41" w:line="187" w:lineRule="exact"/>
              <w:ind w:left="485"/>
              <w:rPr>
                <w:sz w:val="18"/>
              </w:rPr>
            </w:pPr>
            <w:r w:rsidRPr="00D4309F">
              <w:rPr>
                <w:color w:val="211E1F"/>
                <w:spacing w:val="-10"/>
                <w:sz w:val="18"/>
              </w:rPr>
              <w:t>2</w:t>
            </w:r>
          </w:p>
        </w:tc>
      </w:tr>
      <w:tr w:rsidR="00230A0A" w:rsidRPr="00D4309F" w14:paraId="1124C18B" w14:textId="77777777">
        <w:trPr>
          <w:trHeight w:val="247"/>
        </w:trPr>
        <w:tc>
          <w:tcPr>
            <w:tcW w:w="1002" w:type="pct"/>
            <w:vMerge/>
          </w:tcPr>
          <w:p w14:paraId="00209CAC" w14:textId="77777777" w:rsidR="00230A0A" w:rsidRPr="00D4309F" w:rsidRDefault="00230A0A" w:rsidP="00230A0A">
            <w:pPr>
              <w:pStyle w:val="TableParagraph"/>
              <w:rPr>
                <w:rFonts w:ascii="Times New Roman"/>
                <w:sz w:val="18"/>
              </w:rPr>
            </w:pPr>
          </w:p>
        </w:tc>
        <w:tc>
          <w:tcPr>
            <w:tcW w:w="3427" w:type="pct"/>
          </w:tcPr>
          <w:p w14:paraId="7E2734F1" w14:textId="77777777" w:rsidR="00230A0A" w:rsidRPr="00D4309F" w:rsidRDefault="00230A0A" w:rsidP="00230A0A">
            <w:pPr>
              <w:pStyle w:val="TableParagraph"/>
              <w:spacing w:before="41" w:line="187" w:lineRule="exact"/>
              <w:ind w:left="165"/>
              <w:rPr>
                <w:color w:val="211E1F"/>
                <w:sz w:val="18"/>
              </w:rPr>
            </w:pPr>
            <w:r w:rsidRPr="00D4309F">
              <w:rPr>
                <w:color w:val="211E1F"/>
                <w:sz w:val="18"/>
              </w:rPr>
              <w:t>Safe</w:t>
            </w:r>
            <w:r w:rsidRPr="00D4309F">
              <w:rPr>
                <w:color w:val="211E1F"/>
                <w:spacing w:val="-4"/>
                <w:sz w:val="18"/>
              </w:rPr>
              <w:t xml:space="preserve"> </w:t>
            </w:r>
            <w:r w:rsidRPr="00D4309F">
              <w:rPr>
                <w:color w:val="211E1F"/>
                <w:sz w:val="18"/>
              </w:rPr>
              <w:t>access</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business</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recreational</w:t>
            </w:r>
            <w:r w:rsidRPr="00D4309F">
              <w:rPr>
                <w:color w:val="211E1F"/>
                <w:spacing w:val="-2"/>
                <w:sz w:val="18"/>
              </w:rPr>
              <w:t xml:space="preserve"> </w:t>
            </w:r>
            <w:r w:rsidRPr="00D4309F">
              <w:rPr>
                <w:color w:val="211E1F"/>
                <w:spacing w:val="-4"/>
                <w:sz w:val="18"/>
              </w:rPr>
              <w:t>users</w:t>
            </w:r>
          </w:p>
        </w:tc>
        <w:tc>
          <w:tcPr>
            <w:tcW w:w="571" w:type="pct"/>
          </w:tcPr>
          <w:p w14:paraId="4127062D" w14:textId="1A0189E3" w:rsidR="00230A0A" w:rsidRPr="00D4309F" w:rsidRDefault="00230A0A" w:rsidP="00230A0A">
            <w:pPr>
              <w:pStyle w:val="TableParagraph"/>
              <w:spacing w:before="41" w:line="187" w:lineRule="exact"/>
              <w:ind w:left="485"/>
              <w:rPr>
                <w:color w:val="211E1F"/>
                <w:spacing w:val="-10"/>
                <w:sz w:val="18"/>
              </w:rPr>
            </w:pPr>
            <w:r w:rsidRPr="00D4309F">
              <w:rPr>
                <w:color w:val="211E1F"/>
                <w:spacing w:val="-10"/>
                <w:sz w:val="18"/>
              </w:rPr>
              <w:t>3</w:t>
            </w:r>
          </w:p>
        </w:tc>
      </w:tr>
      <w:tr w:rsidR="00230A0A" w:rsidRPr="00D4309F" w14:paraId="2E234302" w14:textId="77777777">
        <w:trPr>
          <w:trHeight w:val="247"/>
        </w:trPr>
        <w:tc>
          <w:tcPr>
            <w:tcW w:w="1002" w:type="pct"/>
            <w:vMerge/>
          </w:tcPr>
          <w:p w14:paraId="4A21B921" w14:textId="77777777" w:rsidR="00230A0A" w:rsidRPr="00D4309F" w:rsidRDefault="00230A0A" w:rsidP="00230A0A">
            <w:pPr>
              <w:pStyle w:val="TableParagraph"/>
              <w:rPr>
                <w:rFonts w:ascii="Times New Roman"/>
                <w:sz w:val="18"/>
              </w:rPr>
            </w:pPr>
          </w:p>
        </w:tc>
        <w:tc>
          <w:tcPr>
            <w:tcW w:w="3427" w:type="pct"/>
          </w:tcPr>
          <w:p w14:paraId="0AC7F358" w14:textId="77777777" w:rsidR="00230A0A" w:rsidRPr="00D4309F" w:rsidRDefault="00230A0A" w:rsidP="00230A0A">
            <w:pPr>
              <w:pStyle w:val="TableParagraph"/>
              <w:spacing w:before="41" w:line="187" w:lineRule="exact"/>
              <w:ind w:left="165"/>
              <w:rPr>
                <w:color w:val="211E1F"/>
                <w:sz w:val="18"/>
              </w:rPr>
            </w:pPr>
            <w:r w:rsidRPr="00D4309F">
              <w:rPr>
                <w:color w:val="211E1F"/>
                <w:sz w:val="18"/>
              </w:rPr>
              <w:t>Reliable</w:t>
            </w:r>
            <w:r w:rsidRPr="00D4309F">
              <w:rPr>
                <w:color w:val="211E1F"/>
                <w:spacing w:val="-4"/>
                <w:sz w:val="18"/>
              </w:rPr>
              <w:t xml:space="preserve"> </w:t>
            </w:r>
            <w:r w:rsidRPr="00D4309F">
              <w:rPr>
                <w:color w:val="211E1F"/>
                <w:sz w:val="18"/>
              </w:rPr>
              <w:t>access</w:t>
            </w:r>
            <w:r w:rsidRPr="00D4309F">
              <w:rPr>
                <w:color w:val="211E1F"/>
                <w:spacing w:val="-3"/>
                <w:sz w:val="18"/>
              </w:rPr>
              <w:t xml:space="preserve"> </w:t>
            </w:r>
            <w:r w:rsidRPr="00D4309F">
              <w:rPr>
                <w:color w:val="211E1F"/>
                <w:sz w:val="18"/>
              </w:rPr>
              <w:t>for</w:t>
            </w:r>
            <w:r w:rsidRPr="00D4309F">
              <w:rPr>
                <w:color w:val="211E1F"/>
                <w:spacing w:val="-3"/>
                <w:sz w:val="18"/>
              </w:rPr>
              <w:t xml:space="preserve"> </w:t>
            </w:r>
            <w:r w:rsidRPr="00D4309F">
              <w:rPr>
                <w:color w:val="211E1F"/>
                <w:sz w:val="18"/>
              </w:rPr>
              <w:t>business</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recreational</w:t>
            </w:r>
            <w:r w:rsidRPr="00D4309F">
              <w:rPr>
                <w:color w:val="211E1F"/>
                <w:spacing w:val="-3"/>
                <w:sz w:val="18"/>
              </w:rPr>
              <w:t xml:space="preserve"> </w:t>
            </w:r>
            <w:r w:rsidRPr="00D4309F">
              <w:rPr>
                <w:color w:val="211E1F"/>
                <w:spacing w:val="-4"/>
                <w:sz w:val="18"/>
              </w:rPr>
              <w:t>users</w:t>
            </w:r>
          </w:p>
        </w:tc>
        <w:tc>
          <w:tcPr>
            <w:tcW w:w="571" w:type="pct"/>
          </w:tcPr>
          <w:p w14:paraId="33CF2DF8" w14:textId="3208748E" w:rsidR="00230A0A" w:rsidRPr="00D4309F" w:rsidRDefault="00230A0A" w:rsidP="00230A0A">
            <w:pPr>
              <w:pStyle w:val="TableParagraph"/>
              <w:spacing w:before="41" w:line="187" w:lineRule="exact"/>
              <w:ind w:left="485"/>
              <w:rPr>
                <w:color w:val="211E1F"/>
                <w:spacing w:val="-10"/>
                <w:sz w:val="18"/>
              </w:rPr>
            </w:pPr>
            <w:r w:rsidRPr="00D4309F">
              <w:rPr>
                <w:color w:val="211E1F"/>
                <w:spacing w:val="-10"/>
                <w:sz w:val="18"/>
              </w:rPr>
              <w:t>3</w:t>
            </w:r>
          </w:p>
        </w:tc>
      </w:tr>
      <w:tr w:rsidR="00230A0A" w:rsidRPr="00D4309F" w14:paraId="0D944126" w14:textId="77777777">
        <w:trPr>
          <w:trHeight w:val="247"/>
        </w:trPr>
        <w:tc>
          <w:tcPr>
            <w:tcW w:w="1002" w:type="pct"/>
            <w:vMerge/>
          </w:tcPr>
          <w:p w14:paraId="19CE7B3F" w14:textId="77777777" w:rsidR="00230A0A" w:rsidRPr="00D4309F" w:rsidRDefault="00230A0A" w:rsidP="00230A0A">
            <w:pPr>
              <w:pStyle w:val="TableParagraph"/>
              <w:rPr>
                <w:rFonts w:ascii="Times New Roman"/>
                <w:sz w:val="18"/>
              </w:rPr>
            </w:pPr>
          </w:p>
        </w:tc>
        <w:tc>
          <w:tcPr>
            <w:tcW w:w="3427" w:type="pct"/>
          </w:tcPr>
          <w:p w14:paraId="215AD95C" w14:textId="77777777" w:rsidR="00230A0A" w:rsidRPr="00D4309F" w:rsidRDefault="00230A0A" w:rsidP="00230A0A">
            <w:pPr>
              <w:pStyle w:val="TableParagraph"/>
              <w:spacing w:before="41" w:line="187" w:lineRule="exact"/>
              <w:ind w:left="165"/>
              <w:rPr>
                <w:color w:val="211E1F"/>
                <w:sz w:val="18"/>
              </w:rPr>
            </w:pPr>
            <w:r w:rsidRPr="00D4309F">
              <w:rPr>
                <w:color w:val="211E1F"/>
                <w:sz w:val="18"/>
              </w:rPr>
              <w:t>Broader</w:t>
            </w:r>
            <w:r w:rsidRPr="00D4309F">
              <w:rPr>
                <w:color w:val="211E1F"/>
                <w:spacing w:val="-6"/>
                <w:sz w:val="18"/>
              </w:rPr>
              <w:t xml:space="preserve"> </w:t>
            </w:r>
            <w:r w:rsidRPr="00D4309F">
              <w:rPr>
                <w:color w:val="211E1F"/>
                <w:sz w:val="18"/>
              </w:rPr>
              <w:t>economic</w:t>
            </w:r>
            <w:r w:rsidRPr="00D4309F">
              <w:rPr>
                <w:color w:val="211E1F"/>
                <w:spacing w:val="-4"/>
                <w:sz w:val="18"/>
              </w:rPr>
              <w:t xml:space="preserve"> </w:t>
            </w:r>
            <w:r w:rsidRPr="00D4309F">
              <w:rPr>
                <w:color w:val="211E1F"/>
                <w:sz w:val="18"/>
              </w:rPr>
              <w:t>considerations</w:t>
            </w:r>
            <w:r w:rsidRPr="00D4309F">
              <w:rPr>
                <w:color w:val="211E1F"/>
                <w:spacing w:val="-3"/>
                <w:sz w:val="18"/>
              </w:rPr>
              <w:t xml:space="preserve"> </w:t>
            </w:r>
            <w:r w:rsidRPr="00D4309F">
              <w:rPr>
                <w:color w:val="211E1F"/>
                <w:sz w:val="18"/>
              </w:rPr>
              <w:t>during</w:t>
            </w:r>
            <w:r w:rsidRPr="00D4309F">
              <w:rPr>
                <w:color w:val="211E1F"/>
                <w:spacing w:val="-5"/>
                <w:sz w:val="18"/>
              </w:rPr>
              <w:t xml:space="preserve"> </w:t>
            </w:r>
            <w:r w:rsidRPr="00D4309F">
              <w:rPr>
                <w:color w:val="211E1F"/>
                <w:sz w:val="18"/>
              </w:rPr>
              <w:t>construction</w:t>
            </w:r>
            <w:r w:rsidRPr="00D4309F">
              <w:rPr>
                <w:color w:val="211E1F"/>
                <w:spacing w:val="-4"/>
                <w:sz w:val="18"/>
              </w:rPr>
              <w:t xml:space="preserve"> </w:t>
            </w:r>
            <w:r w:rsidRPr="00D4309F">
              <w:rPr>
                <w:color w:val="211E1F"/>
                <w:sz w:val="18"/>
              </w:rPr>
              <w:t>and</w:t>
            </w:r>
            <w:r w:rsidRPr="00D4309F">
              <w:rPr>
                <w:color w:val="211E1F"/>
                <w:spacing w:val="-4"/>
                <w:sz w:val="18"/>
              </w:rPr>
              <w:t xml:space="preserve"> </w:t>
            </w:r>
            <w:r w:rsidRPr="00D4309F">
              <w:rPr>
                <w:color w:val="211E1F"/>
                <w:spacing w:val="-2"/>
                <w:sz w:val="18"/>
              </w:rPr>
              <w:t>operation</w:t>
            </w:r>
          </w:p>
        </w:tc>
        <w:tc>
          <w:tcPr>
            <w:tcW w:w="571" w:type="pct"/>
          </w:tcPr>
          <w:p w14:paraId="35515E1D" w14:textId="18EFA0F0" w:rsidR="00230A0A" w:rsidRPr="00D4309F" w:rsidRDefault="00230A0A" w:rsidP="00230A0A">
            <w:pPr>
              <w:pStyle w:val="TableParagraph"/>
              <w:spacing w:before="41" w:line="187" w:lineRule="exact"/>
              <w:ind w:left="485"/>
              <w:rPr>
                <w:color w:val="211E1F"/>
                <w:spacing w:val="-10"/>
                <w:sz w:val="18"/>
              </w:rPr>
            </w:pPr>
            <w:r w:rsidRPr="00D4309F">
              <w:rPr>
                <w:color w:val="211E1F"/>
                <w:spacing w:val="-10"/>
                <w:sz w:val="18"/>
              </w:rPr>
              <w:t>4</w:t>
            </w:r>
          </w:p>
        </w:tc>
      </w:tr>
      <w:tr w:rsidR="00230A0A" w:rsidRPr="00D4309F" w14:paraId="1B3A48B0" w14:textId="77777777">
        <w:trPr>
          <w:trHeight w:val="247"/>
        </w:trPr>
        <w:tc>
          <w:tcPr>
            <w:tcW w:w="1002" w:type="pct"/>
            <w:vMerge/>
          </w:tcPr>
          <w:p w14:paraId="0B9414A4" w14:textId="77777777" w:rsidR="00230A0A" w:rsidRPr="00D4309F" w:rsidRDefault="00230A0A" w:rsidP="00230A0A">
            <w:pPr>
              <w:pStyle w:val="TableParagraph"/>
              <w:rPr>
                <w:rFonts w:ascii="Times New Roman"/>
                <w:sz w:val="18"/>
              </w:rPr>
            </w:pPr>
          </w:p>
        </w:tc>
        <w:tc>
          <w:tcPr>
            <w:tcW w:w="3427" w:type="pct"/>
          </w:tcPr>
          <w:p w14:paraId="4AE89625" w14:textId="77777777" w:rsidR="00230A0A" w:rsidRPr="00D4309F" w:rsidRDefault="00230A0A" w:rsidP="00230A0A">
            <w:pPr>
              <w:pStyle w:val="TableParagraph"/>
              <w:spacing w:before="41" w:line="187" w:lineRule="exact"/>
              <w:ind w:left="165"/>
              <w:rPr>
                <w:color w:val="211E1F"/>
                <w:sz w:val="18"/>
              </w:rPr>
            </w:pPr>
            <w:r w:rsidRPr="00D4309F">
              <w:rPr>
                <w:color w:val="211E1F"/>
                <w:sz w:val="18"/>
              </w:rPr>
              <w:t>Environmental</w:t>
            </w:r>
            <w:r w:rsidRPr="00D4309F">
              <w:rPr>
                <w:color w:val="211E1F"/>
                <w:spacing w:val="-5"/>
                <w:sz w:val="18"/>
              </w:rPr>
              <w:t xml:space="preserve"> </w:t>
            </w:r>
            <w:r w:rsidRPr="00D4309F">
              <w:rPr>
                <w:color w:val="211E1F"/>
                <w:sz w:val="18"/>
              </w:rPr>
              <w:t>impact</w:t>
            </w:r>
            <w:r w:rsidRPr="00D4309F">
              <w:rPr>
                <w:color w:val="211E1F"/>
                <w:spacing w:val="-4"/>
                <w:sz w:val="18"/>
              </w:rPr>
              <w:t xml:space="preserve"> </w:t>
            </w:r>
            <w:r w:rsidRPr="00D4309F">
              <w:rPr>
                <w:color w:val="211E1F"/>
                <w:spacing w:val="-2"/>
                <w:sz w:val="18"/>
              </w:rPr>
              <w:t>perceptions</w:t>
            </w:r>
          </w:p>
        </w:tc>
        <w:tc>
          <w:tcPr>
            <w:tcW w:w="571" w:type="pct"/>
          </w:tcPr>
          <w:p w14:paraId="57D4D69E" w14:textId="1365C126" w:rsidR="00230A0A" w:rsidRPr="00D4309F" w:rsidRDefault="00230A0A" w:rsidP="00230A0A">
            <w:pPr>
              <w:pStyle w:val="TableParagraph"/>
              <w:spacing w:before="41" w:line="187" w:lineRule="exact"/>
              <w:ind w:left="485"/>
              <w:rPr>
                <w:color w:val="211E1F"/>
                <w:spacing w:val="-10"/>
                <w:sz w:val="18"/>
              </w:rPr>
            </w:pPr>
            <w:r w:rsidRPr="00D4309F">
              <w:rPr>
                <w:color w:val="211E1F"/>
                <w:spacing w:val="-10"/>
                <w:sz w:val="18"/>
              </w:rPr>
              <w:t>1</w:t>
            </w:r>
          </w:p>
        </w:tc>
      </w:tr>
      <w:tr w:rsidR="00230A0A" w:rsidRPr="00D4309F" w14:paraId="7BC91378" w14:textId="77777777">
        <w:trPr>
          <w:trHeight w:val="247"/>
        </w:trPr>
        <w:tc>
          <w:tcPr>
            <w:tcW w:w="1002" w:type="pct"/>
            <w:vMerge/>
          </w:tcPr>
          <w:p w14:paraId="260340E3" w14:textId="77777777" w:rsidR="00230A0A" w:rsidRPr="00D4309F" w:rsidRDefault="00230A0A" w:rsidP="00230A0A">
            <w:pPr>
              <w:pStyle w:val="TableParagraph"/>
              <w:rPr>
                <w:rFonts w:ascii="Times New Roman"/>
                <w:sz w:val="18"/>
              </w:rPr>
            </w:pPr>
          </w:p>
        </w:tc>
        <w:tc>
          <w:tcPr>
            <w:tcW w:w="3427" w:type="pct"/>
          </w:tcPr>
          <w:p w14:paraId="65DCF9BD" w14:textId="77777777" w:rsidR="00230A0A" w:rsidRPr="00D4309F" w:rsidRDefault="00230A0A" w:rsidP="00230A0A">
            <w:pPr>
              <w:pStyle w:val="TableParagraph"/>
              <w:spacing w:before="41" w:line="187" w:lineRule="exact"/>
              <w:ind w:left="165"/>
              <w:rPr>
                <w:color w:val="211E1F"/>
                <w:sz w:val="18"/>
              </w:rPr>
            </w:pPr>
          </w:p>
        </w:tc>
        <w:tc>
          <w:tcPr>
            <w:tcW w:w="571" w:type="pct"/>
          </w:tcPr>
          <w:p w14:paraId="6965A71E" w14:textId="77777777" w:rsidR="00230A0A" w:rsidRPr="00D4309F" w:rsidRDefault="00230A0A" w:rsidP="00230A0A">
            <w:pPr>
              <w:pStyle w:val="TableParagraph"/>
              <w:spacing w:before="41" w:line="187" w:lineRule="exact"/>
              <w:ind w:left="485"/>
              <w:rPr>
                <w:color w:val="211E1F"/>
                <w:spacing w:val="-10"/>
                <w:sz w:val="18"/>
              </w:rPr>
            </w:pPr>
          </w:p>
        </w:tc>
      </w:tr>
      <w:tr w:rsidR="00230A0A" w:rsidRPr="00D4309F" w14:paraId="0E04F25D" w14:textId="77777777">
        <w:trPr>
          <w:trHeight w:val="247"/>
        </w:trPr>
        <w:tc>
          <w:tcPr>
            <w:tcW w:w="1002" w:type="pct"/>
            <w:vMerge/>
          </w:tcPr>
          <w:p w14:paraId="6BFCE02C" w14:textId="77777777" w:rsidR="00230A0A" w:rsidRPr="00D4309F" w:rsidRDefault="00230A0A" w:rsidP="00230A0A">
            <w:pPr>
              <w:pStyle w:val="TableParagraph"/>
              <w:rPr>
                <w:rFonts w:ascii="Times New Roman"/>
                <w:sz w:val="18"/>
              </w:rPr>
            </w:pPr>
          </w:p>
        </w:tc>
        <w:tc>
          <w:tcPr>
            <w:tcW w:w="3427" w:type="pct"/>
          </w:tcPr>
          <w:p w14:paraId="5F30E24E" w14:textId="77777777" w:rsidR="00230A0A" w:rsidRPr="00D4309F" w:rsidRDefault="00230A0A" w:rsidP="00230A0A">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7166C0F2" w14:textId="03E6C430" w:rsidR="00230A0A" w:rsidRPr="00D4309F" w:rsidRDefault="00230A0A" w:rsidP="00230A0A">
            <w:pPr>
              <w:pStyle w:val="TableParagraph"/>
              <w:spacing w:before="41" w:line="187" w:lineRule="exact"/>
              <w:ind w:left="485"/>
              <w:rPr>
                <w:color w:val="211E1F"/>
                <w:spacing w:val="-10"/>
                <w:sz w:val="18"/>
              </w:rPr>
            </w:pPr>
            <w:r w:rsidRPr="00D4309F">
              <w:rPr>
                <w:b/>
                <w:color w:val="211E1F"/>
                <w:spacing w:val="-5"/>
                <w:sz w:val="18"/>
              </w:rPr>
              <w:t>21</w:t>
            </w:r>
          </w:p>
        </w:tc>
      </w:tr>
      <w:tr w:rsidR="00230A0A" w:rsidRPr="00D4309F" w14:paraId="5D8BBAE2" w14:textId="77777777">
        <w:trPr>
          <w:trHeight w:val="247"/>
        </w:trPr>
        <w:tc>
          <w:tcPr>
            <w:tcW w:w="1002" w:type="pct"/>
            <w:vMerge w:val="restart"/>
          </w:tcPr>
          <w:p w14:paraId="6ED2835E" w14:textId="77777777" w:rsidR="00230A0A" w:rsidRPr="00D4309F" w:rsidRDefault="00230A0A" w:rsidP="00230A0A">
            <w:pPr>
              <w:pStyle w:val="TableParagraph"/>
              <w:rPr>
                <w:rFonts w:ascii="Times New Roman"/>
                <w:sz w:val="18"/>
              </w:rPr>
            </w:pPr>
            <w:r w:rsidRPr="00D4309F">
              <w:rPr>
                <w:b/>
                <w:color w:val="211E1F"/>
                <w:spacing w:val="-2"/>
                <w:sz w:val="18"/>
              </w:rPr>
              <w:t>Environmental</w:t>
            </w:r>
          </w:p>
        </w:tc>
        <w:tc>
          <w:tcPr>
            <w:tcW w:w="3427" w:type="pct"/>
          </w:tcPr>
          <w:p w14:paraId="1D06A616" w14:textId="77777777" w:rsidR="00230A0A" w:rsidRPr="00D4309F" w:rsidRDefault="00230A0A" w:rsidP="00230A0A">
            <w:pPr>
              <w:pStyle w:val="TableParagraph"/>
              <w:spacing w:before="41" w:line="187" w:lineRule="exact"/>
              <w:ind w:left="165"/>
              <w:rPr>
                <w:color w:val="211E1F"/>
                <w:sz w:val="18"/>
              </w:rPr>
            </w:pPr>
            <w:r w:rsidRPr="00D4309F">
              <w:rPr>
                <w:color w:val="211E1F"/>
                <w:sz w:val="18"/>
              </w:rPr>
              <w:t>Marine</w:t>
            </w:r>
            <w:r w:rsidRPr="00D4309F">
              <w:rPr>
                <w:color w:val="211E1F"/>
                <w:spacing w:val="-4"/>
                <w:sz w:val="18"/>
              </w:rPr>
              <w:t xml:space="preserve"> </w:t>
            </w:r>
            <w:r w:rsidRPr="00D4309F">
              <w:rPr>
                <w:color w:val="211E1F"/>
                <w:sz w:val="18"/>
              </w:rPr>
              <w:t>water</w:t>
            </w:r>
            <w:r w:rsidRPr="00D4309F">
              <w:rPr>
                <w:color w:val="211E1F"/>
                <w:spacing w:val="-3"/>
                <w:sz w:val="18"/>
              </w:rPr>
              <w:t xml:space="preserve"> </w:t>
            </w:r>
            <w:r w:rsidRPr="00D4309F">
              <w:rPr>
                <w:color w:val="211E1F"/>
                <w:sz w:val="18"/>
              </w:rPr>
              <w:t>quality</w:t>
            </w:r>
            <w:r w:rsidRPr="00D4309F">
              <w:rPr>
                <w:color w:val="211E1F"/>
                <w:spacing w:val="-3"/>
                <w:sz w:val="18"/>
              </w:rPr>
              <w:t xml:space="preserve"> </w:t>
            </w:r>
            <w:r w:rsidRPr="00D4309F">
              <w:rPr>
                <w:color w:val="211E1F"/>
                <w:spacing w:val="-2"/>
                <w:sz w:val="18"/>
              </w:rPr>
              <w:t>impacts</w:t>
            </w:r>
          </w:p>
        </w:tc>
        <w:tc>
          <w:tcPr>
            <w:tcW w:w="571" w:type="pct"/>
          </w:tcPr>
          <w:p w14:paraId="231E5410" w14:textId="0FA44081" w:rsidR="00230A0A" w:rsidRPr="00D4309F" w:rsidRDefault="00230A0A" w:rsidP="00230A0A">
            <w:pPr>
              <w:pStyle w:val="TableParagraph"/>
              <w:spacing w:before="41" w:line="187" w:lineRule="exact"/>
              <w:ind w:left="485"/>
              <w:rPr>
                <w:color w:val="211E1F"/>
                <w:spacing w:val="-10"/>
                <w:sz w:val="18"/>
              </w:rPr>
            </w:pPr>
            <w:r w:rsidRPr="00D4309F">
              <w:rPr>
                <w:color w:val="211E1F"/>
                <w:spacing w:val="-10"/>
                <w:sz w:val="18"/>
              </w:rPr>
              <w:t>3</w:t>
            </w:r>
          </w:p>
        </w:tc>
      </w:tr>
      <w:tr w:rsidR="00230A0A" w:rsidRPr="00D4309F" w14:paraId="2404CCDE" w14:textId="77777777">
        <w:trPr>
          <w:trHeight w:val="247"/>
        </w:trPr>
        <w:tc>
          <w:tcPr>
            <w:tcW w:w="1002" w:type="pct"/>
            <w:vMerge/>
          </w:tcPr>
          <w:p w14:paraId="548D5E78" w14:textId="77777777" w:rsidR="00230A0A" w:rsidRPr="00D4309F" w:rsidRDefault="00230A0A" w:rsidP="00230A0A">
            <w:pPr>
              <w:pStyle w:val="TableParagraph"/>
              <w:rPr>
                <w:rFonts w:ascii="Times New Roman"/>
                <w:sz w:val="18"/>
              </w:rPr>
            </w:pPr>
          </w:p>
        </w:tc>
        <w:tc>
          <w:tcPr>
            <w:tcW w:w="3427" w:type="pct"/>
          </w:tcPr>
          <w:p w14:paraId="4E6E10C9" w14:textId="77777777" w:rsidR="00230A0A" w:rsidRPr="00D4309F" w:rsidRDefault="00230A0A" w:rsidP="00230A0A">
            <w:pPr>
              <w:pStyle w:val="TableParagraph"/>
              <w:spacing w:before="41" w:line="187" w:lineRule="exact"/>
              <w:ind w:left="165"/>
              <w:rPr>
                <w:color w:val="211E1F"/>
                <w:sz w:val="18"/>
              </w:rPr>
            </w:pPr>
            <w:r w:rsidRPr="00D4309F">
              <w:rPr>
                <w:color w:val="211E1F"/>
                <w:sz w:val="18"/>
              </w:rPr>
              <w:t>Marine</w:t>
            </w:r>
            <w:r w:rsidRPr="00D4309F">
              <w:rPr>
                <w:color w:val="211E1F"/>
                <w:spacing w:val="-2"/>
                <w:sz w:val="18"/>
              </w:rPr>
              <w:t xml:space="preserve"> </w:t>
            </w:r>
            <w:r w:rsidRPr="00D4309F">
              <w:rPr>
                <w:color w:val="211E1F"/>
                <w:sz w:val="18"/>
              </w:rPr>
              <w:t>habitats</w:t>
            </w:r>
            <w:r w:rsidRPr="00D4309F">
              <w:rPr>
                <w:color w:val="211E1F"/>
                <w:spacing w:val="-3"/>
                <w:sz w:val="18"/>
              </w:rPr>
              <w:t xml:space="preserve"> </w:t>
            </w:r>
            <w:r w:rsidRPr="00D4309F">
              <w:rPr>
                <w:color w:val="211E1F"/>
                <w:sz w:val="18"/>
              </w:rPr>
              <w:t>&amp;</w:t>
            </w:r>
            <w:r w:rsidRPr="00D4309F">
              <w:rPr>
                <w:color w:val="211E1F"/>
                <w:spacing w:val="-3"/>
                <w:sz w:val="18"/>
              </w:rPr>
              <w:t xml:space="preserve"> </w:t>
            </w:r>
            <w:r w:rsidRPr="00D4309F">
              <w:rPr>
                <w:color w:val="211E1F"/>
                <w:sz w:val="18"/>
              </w:rPr>
              <w:t>protected</w:t>
            </w:r>
            <w:r w:rsidRPr="00D4309F">
              <w:rPr>
                <w:color w:val="211E1F"/>
                <w:spacing w:val="-4"/>
                <w:sz w:val="18"/>
              </w:rPr>
              <w:t xml:space="preserve"> </w:t>
            </w:r>
            <w:r w:rsidRPr="00D4309F">
              <w:rPr>
                <w:color w:val="211E1F"/>
                <w:sz w:val="18"/>
              </w:rPr>
              <w:t>species</w:t>
            </w:r>
            <w:r w:rsidRPr="00D4309F">
              <w:rPr>
                <w:color w:val="211E1F"/>
                <w:spacing w:val="-2"/>
                <w:sz w:val="18"/>
              </w:rPr>
              <w:t xml:space="preserve"> impacts</w:t>
            </w:r>
          </w:p>
        </w:tc>
        <w:tc>
          <w:tcPr>
            <w:tcW w:w="571" w:type="pct"/>
          </w:tcPr>
          <w:p w14:paraId="6F86DE23" w14:textId="011D6F0D" w:rsidR="00230A0A" w:rsidRPr="00D4309F" w:rsidRDefault="00230A0A" w:rsidP="00230A0A">
            <w:pPr>
              <w:pStyle w:val="TableParagraph"/>
              <w:spacing w:before="41" w:line="187" w:lineRule="exact"/>
              <w:ind w:left="485"/>
              <w:rPr>
                <w:color w:val="211E1F"/>
                <w:spacing w:val="-10"/>
                <w:sz w:val="18"/>
              </w:rPr>
            </w:pPr>
            <w:r w:rsidRPr="00D4309F">
              <w:rPr>
                <w:color w:val="211E1F"/>
                <w:spacing w:val="-10"/>
                <w:sz w:val="18"/>
              </w:rPr>
              <w:t>2</w:t>
            </w:r>
          </w:p>
        </w:tc>
      </w:tr>
      <w:tr w:rsidR="00230A0A" w:rsidRPr="00D4309F" w14:paraId="52385283" w14:textId="77777777">
        <w:trPr>
          <w:trHeight w:val="247"/>
        </w:trPr>
        <w:tc>
          <w:tcPr>
            <w:tcW w:w="1002" w:type="pct"/>
            <w:vMerge/>
          </w:tcPr>
          <w:p w14:paraId="673426B4" w14:textId="77777777" w:rsidR="00230A0A" w:rsidRPr="00D4309F" w:rsidRDefault="00230A0A" w:rsidP="00230A0A">
            <w:pPr>
              <w:pStyle w:val="TableParagraph"/>
              <w:rPr>
                <w:rFonts w:ascii="Times New Roman"/>
                <w:sz w:val="18"/>
              </w:rPr>
            </w:pPr>
          </w:p>
        </w:tc>
        <w:tc>
          <w:tcPr>
            <w:tcW w:w="3427" w:type="pct"/>
          </w:tcPr>
          <w:p w14:paraId="56BDC139" w14:textId="77777777" w:rsidR="00230A0A" w:rsidRPr="00D4309F" w:rsidRDefault="00230A0A" w:rsidP="00230A0A">
            <w:pPr>
              <w:pStyle w:val="TableParagraph"/>
              <w:spacing w:before="41" w:line="187" w:lineRule="exact"/>
              <w:ind w:left="165"/>
              <w:rPr>
                <w:color w:val="211E1F"/>
                <w:sz w:val="18"/>
              </w:rPr>
            </w:pPr>
            <w:r w:rsidRPr="00D4309F">
              <w:rPr>
                <w:color w:val="211E1F"/>
                <w:sz w:val="18"/>
              </w:rPr>
              <w:t>Terrestrial</w:t>
            </w:r>
            <w:r w:rsidRPr="00D4309F">
              <w:rPr>
                <w:color w:val="211E1F"/>
                <w:spacing w:val="-3"/>
                <w:sz w:val="18"/>
              </w:rPr>
              <w:t xml:space="preserve"> </w:t>
            </w:r>
            <w:r w:rsidRPr="00D4309F">
              <w:rPr>
                <w:color w:val="211E1F"/>
                <w:sz w:val="18"/>
              </w:rPr>
              <w:t>habitats</w:t>
            </w:r>
            <w:r w:rsidRPr="00D4309F">
              <w:rPr>
                <w:color w:val="211E1F"/>
                <w:spacing w:val="-3"/>
                <w:sz w:val="18"/>
              </w:rPr>
              <w:t xml:space="preserve"> </w:t>
            </w:r>
            <w:r w:rsidRPr="00D4309F">
              <w:rPr>
                <w:color w:val="211E1F"/>
                <w:sz w:val="18"/>
              </w:rPr>
              <w:t>&amp;</w:t>
            </w:r>
            <w:r w:rsidRPr="00D4309F">
              <w:rPr>
                <w:color w:val="211E1F"/>
                <w:spacing w:val="-3"/>
                <w:sz w:val="18"/>
              </w:rPr>
              <w:t xml:space="preserve"> </w:t>
            </w:r>
            <w:r w:rsidRPr="00D4309F">
              <w:rPr>
                <w:color w:val="211E1F"/>
                <w:sz w:val="18"/>
              </w:rPr>
              <w:t>protected</w:t>
            </w:r>
            <w:r w:rsidRPr="00D4309F">
              <w:rPr>
                <w:color w:val="211E1F"/>
                <w:spacing w:val="-4"/>
                <w:sz w:val="18"/>
              </w:rPr>
              <w:t xml:space="preserve"> </w:t>
            </w:r>
            <w:r w:rsidRPr="00D4309F">
              <w:rPr>
                <w:color w:val="211E1F"/>
                <w:sz w:val="18"/>
              </w:rPr>
              <w:t>species</w:t>
            </w:r>
            <w:r w:rsidRPr="00D4309F">
              <w:rPr>
                <w:color w:val="211E1F"/>
                <w:spacing w:val="-2"/>
                <w:sz w:val="18"/>
              </w:rPr>
              <w:t xml:space="preserve"> impacts</w:t>
            </w:r>
          </w:p>
        </w:tc>
        <w:tc>
          <w:tcPr>
            <w:tcW w:w="571" w:type="pct"/>
          </w:tcPr>
          <w:p w14:paraId="48AA8EE2" w14:textId="06BE1ADA" w:rsidR="00230A0A" w:rsidRPr="00D4309F" w:rsidRDefault="00230A0A" w:rsidP="00230A0A">
            <w:pPr>
              <w:pStyle w:val="TableParagraph"/>
              <w:spacing w:before="41" w:line="187" w:lineRule="exact"/>
              <w:ind w:left="485"/>
              <w:rPr>
                <w:color w:val="211E1F"/>
                <w:spacing w:val="-10"/>
                <w:sz w:val="18"/>
              </w:rPr>
            </w:pPr>
            <w:r w:rsidRPr="00D4309F">
              <w:rPr>
                <w:color w:val="211E1F"/>
                <w:spacing w:val="-10"/>
                <w:sz w:val="18"/>
              </w:rPr>
              <w:t>1</w:t>
            </w:r>
          </w:p>
        </w:tc>
      </w:tr>
      <w:tr w:rsidR="00230A0A" w:rsidRPr="00D4309F" w14:paraId="4A9B38F6" w14:textId="77777777">
        <w:trPr>
          <w:trHeight w:val="247"/>
        </w:trPr>
        <w:tc>
          <w:tcPr>
            <w:tcW w:w="1002" w:type="pct"/>
            <w:vMerge/>
          </w:tcPr>
          <w:p w14:paraId="55C24055" w14:textId="77777777" w:rsidR="00230A0A" w:rsidRPr="00D4309F" w:rsidRDefault="00230A0A" w:rsidP="00230A0A">
            <w:pPr>
              <w:pStyle w:val="TableParagraph"/>
              <w:rPr>
                <w:rFonts w:ascii="Times New Roman"/>
                <w:sz w:val="18"/>
              </w:rPr>
            </w:pPr>
          </w:p>
        </w:tc>
        <w:tc>
          <w:tcPr>
            <w:tcW w:w="3427" w:type="pct"/>
          </w:tcPr>
          <w:p w14:paraId="182AE76E" w14:textId="77777777" w:rsidR="00230A0A" w:rsidRPr="00D4309F" w:rsidRDefault="00230A0A" w:rsidP="00230A0A">
            <w:pPr>
              <w:pStyle w:val="TableParagraph"/>
              <w:spacing w:before="41" w:line="187" w:lineRule="exact"/>
              <w:ind w:left="165"/>
              <w:rPr>
                <w:color w:val="211E1F"/>
                <w:sz w:val="18"/>
              </w:rPr>
            </w:pPr>
          </w:p>
        </w:tc>
        <w:tc>
          <w:tcPr>
            <w:tcW w:w="571" w:type="pct"/>
          </w:tcPr>
          <w:p w14:paraId="40FD25AD" w14:textId="77777777" w:rsidR="00230A0A" w:rsidRPr="00D4309F" w:rsidRDefault="00230A0A" w:rsidP="00230A0A">
            <w:pPr>
              <w:pStyle w:val="TableParagraph"/>
              <w:spacing w:before="41" w:line="187" w:lineRule="exact"/>
              <w:ind w:left="485"/>
              <w:rPr>
                <w:color w:val="211E1F"/>
                <w:spacing w:val="-10"/>
                <w:sz w:val="18"/>
              </w:rPr>
            </w:pPr>
          </w:p>
        </w:tc>
      </w:tr>
      <w:tr w:rsidR="00230A0A" w:rsidRPr="00D4309F" w14:paraId="3B22E2A9" w14:textId="77777777">
        <w:trPr>
          <w:trHeight w:val="247"/>
        </w:trPr>
        <w:tc>
          <w:tcPr>
            <w:tcW w:w="1002" w:type="pct"/>
            <w:vMerge/>
          </w:tcPr>
          <w:p w14:paraId="3FE50A69" w14:textId="77777777" w:rsidR="00230A0A" w:rsidRPr="00D4309F" w:rsidRDefault="00230A0A" w:rsidP="00230A0A">
            <w:pPr>
              <w:pStyle w:val="TableParagraph"/>
              <w:rPr>
                <w:rFonts w:ascii="Times New Roman"/>
                <w:sz w:val="18"/>
              </w:rPr>
            </w:pPr>
          </w:p>
        </w:tc>
        <w:tc>
          <w:tcPr>
            <w:tcW w:w="3427" w:type="pct"/>
          </w:tcPr>
          <w:p w14:paraId="50CD3E34" w14:textId="77777777" w:rsidR="00230A0A" w:rsidRPr="00D4309F" w:rsidRDefault="00230A0A" w:rsidP="00230A0A">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6CD8257B" w14:textId="42ADD546" w:rsidR="00230A0A" w:rsidRPr="00D4309F" w:rsidRDefault="00230A0A" w:rsidP="00230A0A">
            <w:pPr>
              <w:pStyle w:val="TableParagraph"/>
              <w:spacing w:before="41" w:line="187" w:lineRule="exact"/>
              <w:ind w:left="485"/>
              <w:rPr>
                <w:color w:val="211E1F"/>
                <w:spacing w:val="-10"/>
                <w:sz w:val="18"/>
              </w:rPr>
            </w:pPr>
            <w:r w:rsidRPr="00D4309F">
              <w:rPr>
                <w:b/>
                <w:color w:val="211E1F"/>
                <w:spacing w:val="-10"/>
                <w:sz w:val="18"/>
              </w:rPr>
              <w:t>6</w:t>
            </w:r>
          </w:p>
        </w:tc>
      </w:tr>
      <w:tr w:rsidR="00230A0A" w:rsidRPr="00D4309F" w14:paraId="1B008CC1" w14:textId="77777777">
        <w:trPr>
          <w:trHeight w:val="247"/>
        </w:trPr>
        <w:tc>
          <w:tcPr>
            <w:tcW w:w="1002" w:type="pct"/>
            <w:vMerge w:val="restart"/>
          </w:tcPr>
          <w:p w14:paraId="445E345A" w14:textId="77777777" w:rsidR="00230A0A" w:rsidRPr="00D4309F" w:rsidRDefault="00230A0A" w:rsidP="00230A0A">
            <w:pPr>
              <w:pStyle w:val="TableParagraph"/>
              <w:rPr>
                <w:rFonts w:ascii="Times New Roman"/>
                <w:sz w:val="18"/>
              </w:rPr>
            </w:pPr>
            <w:r w:rsidRPr="00D4309F">
              <w:rPr>
                <w:b/>
                <w:color w:val="211E1F"/>
                <w:spacing w:val="-2"/>
                <w:sz w:val="18"/>
              </w:rPr>
              <w:t>Financial</w:t>
            </w:r>
          </w:p>
        </w:tc>
        <w:tc>
          <w:tcPr>
            <w:tcW w:w="3427" w:type="pct"/>
          </w:tcPr>
          <w:p w14:paraId="6D0B3B0E" w14:textId="77777777" w:rsidR="00230A0A" w:rsidRPr="00D4309F" w:rsidRDefault="00230A0A" w:rsidP="00230A0A">
            <w:pPr>
              <w:pStyle w:val="TableParagraph"/>
              <w:spacing w:before="41" w:line="187" w:lineRule="exact"/>
              <w:ind w:left="165"/>
              <w:rPr>
                <w:color w:val="211E1F"/>
                <w:sz w:val="18"/>
              </w:rPr>
            </w:pPr>
            <w:r w:rsidRPr="00D4309F">
              <w:rPr>
                <w:color w:val="211E1F"/>
                <w:sz w:val="18"/>
              </w:rPr>
              <w:t>Capital</w:t>
            </w:r>
            <w:r w:rsidRPr="00D4309F">
              <w:rPr>
                <w:color w:val="211E1F"/>
                <w:spacing w:val="-6"/>
                <w:sz w:val="18"/>
              </w:rPr>
              <w:t xml:space="preserve"> </w:t>
            </w:r>
            <w:r w:rsidRPr="00D4309F">
              <w:rPr>
                <w:color w:val="211E1F"/>
                <w:spacing w:val="-2"/>
                <w:sz w:val="18"/>
              </w:rPr>
              <w:t>(CAPEX),</w:t>
            </w:r>
          </w:p>
        </w:tc>
        <w:tc>
          <w:tcPr>
            <w:tcW w:w="571" w:type="pct"/>
          </w:tcPr>
          <w:p w14:paraId="62E58A89" w14:textId="06F96C91" w:rsidR="00230A0A" w:rsidRPr="00D4309F" w:rsidRDefault="00230A0A" w:rsidP="00230A0A">
            <w:pPr>
              <w:pStyle w:val="TableParagraph"/>
              <w:spacing w:before="41" w:line="187" w:lineRule="exact"/>
              <w:ind w:left="485"/>
              <w:rPr>
                <w:color w:val="211E1F"/>
                <w:spacing w:val="-10"/>
                <w:sz w:val="18"/>
              </w:rPr>
            </w:pPr>
            <w:r w:rsidRPr="00D4309F">
              <w:rPr>
                <w:color w:val="211E1F"/>
                <w:spacing w:val="-10"/>
                <w:sz w:val="18"/>
              </w:rPr>
              <w:t>3</w:t>
            </w:r>
          </w:p>
        </w:tc>
      </w:tr>
      <w:tr w:rsidR="00230A0A" w:rsidRPr="00D4309F" w14:paraId="6ADD07F1" w14:textId="77777777">
        <w:trPr>
          <w:trHeight w:val="247"/>
        </w:trPr>
        <w:tc>
          <w:tcPr>
            <w:tcW w:w="1002" w:type="pct"/>
            <w:vMerge/>
          </w:tcPr>
          <w:p w14:paraId="7F247990" w14:textId="77777777" w:rsidR="00230A0A" w:rsidRPr="00D4309F" w:rsidRDefault="00230A0A" w:rsidP="00230A0A">
            <w:pPr>
              <w:pStyle w:val="TableParagraph"/>
              <w:rPr>
                <w:rFonts w:ascii="Times New Roman"/>
                <w:sz w:val="18"/>
              </w:rPr>
            </w:pPr>
          </w:p>
        </w:tc>
        <w:tc>
          <w:tcPr>
            <w:tcW w:w="3427" w:type="pct"/>
          </w:tcPr>
          <w:p w14:paraId="35588505" w14:textId="77777777" w:rsidR="00230A0A" w:rsidRPr="00D4309F" w:rsidRDefault="00230A0A" w:rsidP="00230A0A">
            <w:pPr>
              <w:pStyle w:val="TableParagraph"/>
              <w:spacing w:before="41" w:line="187" w:lineRule="exact"/>
              <w:ind w:left="165"/>
              <w:rPr>
                <w:color w:val="211E1F"/>
                <w:sz w:val="18"/>
              </w:rPr>
            </w:pPr>
            <w:r w:rsidRPr="00D4309F">
              <w:rPr>
                <w:color w:val="211E1F"/>
                <w:sz w:val="18"/>
              </w:rPr>
              <w:t>Operations</w:t>
            </w:r>
            <w:r w:rsidRPr="00D4309F">
              <w:rPr>
                <w:color w:val="211E1F"/>
                <w:spacing w:val="-6"/>
                <w:sz w:val="18"/>
              </w:rPr>
              <w:t xml:space="preserve"> </w:t>
            </w:r>
            <w:r w:rsidRPr="00D4309F">
              <w:rPr>
                <w:color w:val="211E1F"/>
                <w:sz w:val="18"/>
              </w:rPr>
              <w:t>and</w:t>
            </w:r>
            <w:r w:rsidRPr="00D4309F">
              <w:rPr>
                <w:color w:val="211E1F"/>
                <w:spacing w:val="-5"/>
                <w:sz w:val="18"/>
              </w:rPr>
              <w:t xml:space="preserve"> </w:t>
            </w:r>
            <w:r w:rsidRPr="00D4309F">
              <w:rPr>
                <w:color w:val="211E1F"/>
                <w:sz w:val="18"/>
              </w:rPr>
              <w:t>maintenance</w:t>
            </w:r>
            <w:r w:rsidRPr="00D4309F">
              <w:rPr>
                <w:color w:val="211E1F"/>
                <w:spacing w:val="-3"/>
                <w:sz w:val="18"/>
              </w:rPr>
              <w:t xml:space="preserve"> </w:t>
            </w:r>
            <w:r w:rsidRPr="00D4309F">
              <w:rPr>
                <w:color w:val="211E1F"/>
                <w:sz w:val="18"/>
              </w:rPr>
              <w:t>(OPEX),</w:t>
            </w:r>
            <w:r w:rsidRPr="00D4309F">
              <w:rPr>
                <w:color w:val="211E1F"/>
                <w:spacing w:val="-4"/>
                <w:sz w:val="18"/>
              </w:rPr>
              <w:t xml:space="preserve"> </w:t>
            </w:r>
            <w:r w:rsidRPr="00D4309F">
              <w:rPr>
                <w:color w:val="211E1F"/>
                <w:sz w:val="18"/>
              </w:rPr>
              <w:t>contingency,</w:t>
            </w:r>
            <w:r w:rsidRPr="00D4309F">
              <w:rPr>
                <w:color w:val="211E1F"/>
                <w:spacing w:val="-4"/>
                <w:sz w:val="18"/>
              </w:rPr>
              <w:t xml:space="preserve"> </w:t>
            </w:r>
            <w:r w:rsidRPr="00D4309F">
              <w:rPr>
                <w:color w:val="211E1F"/>
                <w:spacing w:val="-2"/>
                <w:sz w:val="18"/>
              </w:rPr>
              <w:t>monitoring.</w:t>
            </w:r>
          </w:p>
        </w:tc>
        <w:tc>
          <w:tcPr>
            <w:tcW w:w="571" w:type="pct"/>
          </w:tcPr>
          <w:p w14:paraId="1FF3E676" w14:textId="46CD9C94" w:rsidR="00230A0A" w:rsidRPr="00D4309F" w:rsidRDefault="00230A0A" w:rsidP="00230A0A">
            <w:pPr>
              <w:pStyle w:val="TableParagraph"/>
              <w:spacing w:before="41" w:line="187" w:lineRule="exact"/>
              <w:ind w:left="485"/>
              <w:rPr>
                <w:color w:val="211E1F"/>
                <w:spacing w:val="-10"/>
                <w:sz w:val="18"/>
              </w:rPr>
            </w:pPr>
            <w:r w:rsidRPr="00D4309F">
              <w:rPr>
                <w:color w:val="211E1F"/>
                <w:spacing w:val="-10"/>
                <w:sz w:val="18"/>
              </w:rPr>
              <w:t>2</w:t>
            </w:r>
          </w:p>
        </w:tc>
      </w:tr>
      <w:tr w:rsidR="00230A0A" w:rsidRPr="00D4309F" w14:paraId="509759AA" w14:textId="77777777">
        <w:trPr>
          <w:trHeight w:val="247"/>
        </w:trPr>
        <w:tc>
          <w:tcPr>
            <w:tcW w:w="1002" w:type="pct"/>
            <w:vMerge/>
          </w:tcPr>
          <w:p w14:paraId="3C86A8E7" w14:textId="77777777" w:rsidR="00230A0A" w:rsidRPr="00D4309F" w:rsidRDefault="00230A0A" w:rsidP="00230A0A">
            <w:pPr>
              <w:pStyle w:val="TableParagraph"/>
              <w:rPr>
                <w:rFonts w:ascii="Times New Roman"/>
                <w:sz w:val="18"/>
              </w:rPr>
            </w:pPr>
          </w:p>
        </w:tc>
        <w:tc>
          <w:tcPr>
            <w:tcW w:w="3427" w:type="pct"/>
          </w:tcPr>
          <w:p w14:paraId="150A859B" w14:textId="77777777" w:rsidR="00230A0A" w:rsidRPr="00D4309F" w:rsidRDefault="00230A0A" w:rsidP="00230A0A">
            <w:pPr>
              <w:pStyle w:val="TableParagraph"/>
              <w:spacing w:before="41" w:line="187" w:lineRule="exact"/>
              <w:ind w:left="165"/>
              <w:rPr>
                <w:color w:val="211E1F"/>
                <w:sz w:val="18"/>
              </w:rPr>
            </w:pPr>
          </w:p>
        </w:tc>
        <w:tc>
          <w:tcPr>
            <w:tcW w:w="571" w:type="pct"/>
          </w:tcPr>
          <w:p w14:paraId="4FB43D0F" w14:textId="77777777" w:rsidR="00230A0A" w:rsidRPr="00D4309F" w:rsidRDefault="00230A0A" w:rsidP="00230A0A">
            <w:pPr>
              <w:pStyle w:val="TableParagraph"/>
              <w:spacing w:before="41" w:line="187" w:lineRule="exact"/>
              <w:ind w:left="485"/>
              <w:rPr>
                <w:color w:val="211E1F"/>
                <w:spacing w:val="-10"/>
                <w:sz w:val="18"/>
              </w:rPr>
            </w:pPr>
          </w:p>
        </w:tc>
      </w:tr>
      <w:tr w:rsidR="00230A0A" w:rsidRPr="00D4309F" w14:paraId="39C3AE3D" w14:textId="77777777">
        <w:trPr>
          <w:trHeight w:val="247"/>
        </w:trPr>
        <w:tc>
          <w:tcPr>
            <w:tcW w:w="1002" w:type="pct"/>
            <w:vMerge/>
          </w:tcPr>
          <w:p w14:paraId="5957BA34" w14:textId="77777777" w:rsidR="00230A0A" w:rsidRPr="00D4309F" w:rsidRDefault="00230A0A" w:rsidP="00230A0A">
            <w:pPr>
              <w:pStyle w:val="TableParagraph"/>
              <w:rPr>
                <w:b/>
                <w:color w:val="211E1F"/>
                <w:spacing w:val="-2"/>
                <w:sz w:val="18"/>
              </w:rPr>
            </w:pPr>
          </w:p>
        </w:tc>
        <w:tc>
          <w:tcPr>
            <w:tcW w:w="3427" w:type="pct"/>
          </w:tcPr>
          <w:p w14:paraId="158F48DD" w14:textId="77777777" w:rsidR="00230A0A" w:rsidRPr="00D4309F" w:rsidRDefault="00230A0A" w:rsidP="00230A0A">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34EB164F" w14:textId="734EFE49" w:rsidR="00230A0A" w:rsidRPr="00D4309F" w:rsidRDefault="00230A0A" w:rsidP="00230A0A">
            <w:pPr>
              <w:pStyle w:val="TableParagraph"/>
              <w:spacing w:before="41" w:line="187" w:lineRule="exact"/>
              <w:ind w:left="485"/>
              <w:rPr>
                <w:color w:val="211E1F"/>
                <w:spacing w:val="-10"/>
                <w:sz w:val="18"/>
              </w:rPr>
            </w:pPr>
            <w:r w:rsidRPr="00D4309F">
              <w:rPr>
                <w:b/>
                <w:color w:val="211E1F"/>
                <w:spacing w:val="-10"/>
                <w:sz w:val="18"/>
              </w:rPr>
              <w:t>5</w:t>
            </w:r>
          </w:p>
        </w:tc>
      </w:tr>
      <w:tr w:rsidR="00230A0A" w:rsidRPr="00D4309F" w14:paraId="700BF5E2" w14:textId="77777777" w:rsidTr="000E1EDA">
        <w:trPr>
          <w:trHeight w:val="247"/>
        </w:trPr>
        <w:tc>
          <w:tcPr>
            <w:tcW w:w="1002" w:type="pct"/>
            <w:shd w:val="clear" w:color="auto" w:fill="D9D9D9" w:themeFill="background1" w:themeFillShade="D9"/>
          </w:tcPr>
          <w:p w14:paraId="23003653" w14:textId="77777777" w:rsidR="00230A0A" w:rsidRPr="00D4309F" w:rsidRDefault="00230A0A">
            <w:pPr>
              <w:pStyle w:val="TableParagraph"/>
              <w:rPr>
                <w:b/>
                <w:color w:val="211E1F"/>
                <w:spacing w:val="-2"/>
                <w:sz w:val="18"/>
              </w:rPr>
            </w:pPr>
            <w:r w:rsidRPr="00D4309F">
              <w:rPr>
                <w:b/>
                <w:color w:val="70004A"/>
                <w:sz w:val="18"/>
              </w:rPr>
              <w:t>Total</w:t>
            </w:r>
            <w:r w:rsidRPr="00D4309F">
              <w:rPr>
                <w:b/>
                <w:color w:val="70004A"/>
                <w:spacing w:val="-3"/>
                <w:sz w:val="18"/>
              </w:rPr>
              <w:t xml:space="preserve"> </w:t>
            </w:r>
            <w:r w:rsidRPr="00D4309F">
              <w:rPr>
                <w:b/>
                <w:color w:val="70004A"/>
                <w:spacing w:val="-2"/>
                <w:sz w:val="18"/>
              </w:rPr>
              <w:t>Score</w:t>
            </w:r>
          </w:p>
        </w:tc>
        <w:tc>
          <w:tcPr>
            <w:tcW w:w="3427" w:type="pct"/>
            <w:shd w:val="clear" w:color="auto" w:fill="D9D9D9" w:themeFill="background1" w:themeFillShade="D9"/>
          </w:tcPr>
          <w:p w14:paraId="5A30D1A9" w14:textId="77777777" w:rsidR="00230A0A" w:rsidRPr="00D4309F" w:rsidRDefault="00230A0A">
            <w:pPr>
              <w:pStyle w:val="TableParagraph"/>
              <w:spacing w:before="41" w:line="187" w:lineRule="exact"/>
              <w:ind w:left="165"/>
              <w:rPr>
                <w:color w:val="211E1F"/>
                <w:sz w:val="18"/>
              </w:rPr>
            </w:pPr>
          </w:p>
        </w:tc>
        <w:tc>
          <w:tcPr>
            <w:tcW w:w="571" w:type="pct"/>
            <w:shd w:val="clear" w:color="auto" w:fill="D9D9D9" w:themeFill="background1" w:themeFillShade="D9"/>
          </w:tcPr>
          <w:p w14:paraId="1DE8337D" w14:textId="77777777" w:rsidR="00230A0A" w:rsidRPr="00D4309F" w:rsidRDefault="00230A0A">
            <w:pPr>
              <w:pStyle w:val="TableParagraph"/>
              <w:spacing w:before="41" w:line="187" w:lineRule="exact"/>
              <w:ind w:left="485"/>
              <w:rPr>
                <w:color w:val="211E1F"/>
                <w:spacing w:val="-10"/>
                <w:sz w:val="18"/>
              </w:rPr>
            </w:pPr>
            <w:r w:rsidRPr="00D4309F">
              <w:rPr>
                <w:b/>
                <w:color w:val="70004A"/>
                <w:spacing w:val="-5"/>
                <w:sz w:val="18"/>
              </w:rPr>
              <w:t>75</w:t>
            </w:r>
          </w:p>
        </w:tc>
      </w:tr>
    </w:tbl>
    <w:p w14:paraId="15E4D724" w14:textId="77777777" w:rsidR="00230A0A" w:rsidRPr="00D4309F" w:rsidRDefault="00230A0A" w:rsidP="00230A0A">
      <w:pPr>
        <w:pStyle w:val="BodyText"/>
      </w:pPr>
    </w:p>
    <w:p w14:paraId="4321FD05" w14:textId="77777777" w:rsidR="00230A0A" w:rsidRPr="00D4309F" w:rsidRDefault="00230A0A" w:rsidP="00725977">
      <w:pPr>
        <w:pStyle w:val="BodyText"/>
      </w:pPr>
    </w:p>
    <w:p w14:paraId="1D5F89BD" w14:textId="77777777" w:rsidR="00725977" w:rsidRPr="00D4309F" w:rsidRDefault="00725977" w:rsidP="00725977">
      <w:pPr>
        <w:rPr>
          <w:sz w:val="18"/>
        </w:rPr>
        <w:sectPr w:rsidR="00725977" w:rsidRPr="00D4309F" w:rsidSect="00405D4F">
          <w:headerReference w:type="default" r:id="rId92"/>
          <w:footerReference w:type="default" r:id="rId93"/>
          <w:type w:val="continuous"/>
          <w:pgSz w:w="16840" w:h="11910" w:orient="landscape"/>
          <w:pgMar w:top="1418" w:right="1134" w:bottom="1418" w:left="1134" w:header="916" w:footer="976" w:gutter="0"/>
          <w:cols w:space="720"/>
        </w:sectPr>
      </w:pPr>
    </w:p>
    <w:p w14:paraId="200336DC" w14:textId="77777777" w:rsidR="00725977" w:rsidRPr="00D4309F" w:rsidRDefault="00725977" w:rsidP="00BF65F2">
      <w:pPr>
        <w:pStyle w:val="Heading1"/>
      </w:pPr>
      <w:bookmarkStart w:id="298" w:name="_bookmark123"/>
      <w:bookmarkStart w:id="299" w:name="_Toc216699399"/>
      <w:bookmarkEnd w:id="298"/>
      <w:r w:rsidRPr="00D4309F">
        <w:lastRenderedPageBreak/>
        <w:t>OPTION</w:t>
      </w:r>
      <w:r w:rsidRPr="00D4309F">
        <w:rPr>
          <w:spacing w:val="-7"/>
        </w:rPr>
        <w:t xml:space="preserve"> </w:t>
      </w:r>
      <w:r w:rsidRPr="00D4309F">
        <w:t>2</w:t>
      </w:r>
      <w:r w:rsidRPr="00D4309F">
        <w:rPr>
          <w:spacing w:val="-5"/>
        </w:rPr>
        <w:t xml:space="preserve"> </w:t>
      </w:r>
      <w:r w:rsidRPr="00D4309F">
        <w:t>–</w:t>
      </w:r>
      <w:r w:rsidRPr="00D4309F">
        <w:rPr>
          <w:spacing w:val="-5"/>
        </w:rPr>
        <w:t xml:space="preserve"> </w:t>
      </w:r>
      <w:r w:rsidRPr="00D4309F">
        <w:t>INCREASED</w:t>
      </w:r>
      <w:r w:rsidRPr="00D4309F">
        <w:rPr>
          <w:spacing w:val="-5"/>
        </w:rPr>
        <w:t xml:space="preserve"> </w:t>
      </w:r>
      <w:r w:rsidRPr="00D4309F">
        <w:t>DREDGE</w:t>
      </w:r>
      <w:r w:rsidRPr="00D4309F">
        <w:rPr>
          <w:spacing w:val="-6"/>
        </w:rPr>
        <w:t xml:space="preserve"> </w:t>
      </w:r>
      <w:r w:rsidRPr="00D4309F">
        <w:t>CHANNEL</w:t>
      </w:r>
      <w:r w:rsidRPr="00D4309F">
        <w:rPr>
          <w:spacing w:val="-6"/>
        </w:rPr>
        <w:t xml:space="preserve"> </w:t>
      </w:r>
      <w:r w:rsidRPr="00D4309F">
        <w:t>DEPTH WITH ROCK EXCAVATION</w:t>
      </w:r>
      <w:bookmarkEnd w:id="299"/>
    </w:p>
    <w:p w14:paraId="365C4BA5" w14:textId="77777777" w:rsidR="00725977" w:rsidRPr="00D4309F" w:rsidRDefault="00725977" w:rsidP="008228CB">
      <w:pPr>
        <w:pStyle w:val="Heading2"/>
      </w:pPr>
      <w:bookmarkStart w:id="300" w:name="_bookmark124"/>
      <w:bookmarkStart w:id="301" w:name="_Toc216699400"/>
      <w:bookmarkEnd w:id="300"/>
      <w:r w:rsidRPr="00D4309F">
        <w:t>Option</w:t>
      </w:r>
      <w:r w:rsidRPr="00D4309F">
        <w:rPr>
          <w:spacing w:val="-13"/>
        </w:rPr>
        <w:t xml:space="preserve"> </w:t>
      </w:r>
      <w:r w:rsidRPr="00D4309F">
        <w:t>description</w:t>
      </w:r>
      <w:bookmarkEnd w:id="301"/>
    </w:p>
    <w:p w14:paraId="53D4E4AE" w14:textId="2D25C0EE" w:rsidR="00725977" w:rsidRPr="00D4309F" w:rsidRDefault="00725977" w:rsidP="00725977">
      <w:pPr>
        <w:pStyle w:val="BodyText"/>
      </w:pPr>
      <w:r w:rsidRPr="00D4309F">
        <w:t>This option explores the potential to excavate a deeper basin</w:t>
      </w:r>
      <w:r w:rsidRPr="00D4309F">
        <w:rPr>
          <w:spacing w:val="-1"/>
        </w:rPr>
        <w:t xml:space="preserve"> </w:t>
      </w:r>
      <w:r w:rsidRPr="00D4309F">
        <w:t>within the existing Mooloolah</w:t>
      </w:r>
      <w:r w:rsidRPr="00D4309F">
        <w:rPr>
          <w:spacing w:val="-1"/>
        </w:rPr>
        <w:t xml:space="preserve"> </w:t>
      </w:r>
      <w:r w:rsidRPr="00D4309F">
        <w:t>River entrance channel,</w:t>
      </w:r>
      <w:r w:rsidRPr="00D4309F">
        <w:rPr>
          <w:spacing w:val="-2"/>
        </w:rPr>
        <w:t xml:space="preserve"> </w:t>
      </w:r>
      <w:r w:rsidRPr="00D4309F">
        <w:t>effectively</w:t>
      </w:r>
      <w:r w:rsidRPr="00D4309F">
        <w:rPr>
          <w:spacing w:val="-1"/>
        </w:rPr>
        <w:t xml:space="preserve"> </w:t>
      </w:r>
      <w:r w:rsidRPr="00D4309F">
        <w:t>creating</w:t>
      </w:r>
      <w:r w:rsidRPr="00D4309F">
        <w:rPr>
          <w:spacing w:val="-2"/>
        </w:rPr>
        <w:t xml:space="preserve"> </w:t>
      </w:r>
      <w:r w:rsidRPr="00D4309F">
        <w:t>a</w:t>
      </w:r>
      <w:r w:rsidRPr="00D4309F">
        <w:rPr>
          <w:spacing w:val="-2"/>
        </w:rPr>
        <w:t xml:space="preserve"> </w:t>
      </w:r>
      <w:r w:rsidRPr="00D4309F">
        <w:t>sand</w:t>
      </w:r>
      <w:r w:rsidRPr="00D4309F">
        <w:rPr>
          <w:spacing w:val="-2"/>
        </w:rPr>
        <w:t xml:space="preserve"> </w:t>
      </w:r>
      <w:r w:rsidRPr="00D4309F">
        <w:t>sink</w:t>
      </w:r>
      <w:r w:rsidRPr="00D4309F">
        <w:rPr>
          <w:spacing w:val="-2"/>
        </w:rPr>
        <w:t xml:space="preserve"> </w:t>
      </w:r>
      <w:r w:rsidRPr="00D4309F">
        <w:t>that</w:t>
      </w:r>
      <w:r w:rsidRPr="00D4309F">
        <w:rPr>
          <w:spacing w:val="-2"/>
        </w:rPr>
        <w:t xml:space="preserve"> </w:t>
      </w:r>
      <w:r w:rsidRPr="00D4309F">
        <w:t>captures</w:t>
      </w:r>
      <w:r w:rsidRPr="00D4309F">
        <w:rPr>
          <w:spacing w:val="-2"/>
        </w:rPr>
        <w:t xml:space="preserve"> </w:t>
      </w:r>
      <w:r w:rsidRPr="00D4309F">
        <w:t>sediment</w:t>
      </w:r>
      <w:r w:rsidRPr="00D4309F">
        <w:rPr>
          <w:spacing w:val="-2"/>
        </w:rPr>
        <w:t xml:space="preserve"> </w:t>
      </w:r>
      <w:r w:rsidRPr="00D4309F">
        <w:t>before</w:t>
      </w:r>
      <w:r w:rsidRPr="00D4309F">
        <w:rPr>
          <w:spacing w:val="-2"/>
        </w:rPr>
        <w:t xml:space="preserve"> </w:t>
      </w:r>
      <w:r w:rsidRPr="00D4309F">
        <w:t>it</w:t>
      </w:r>
      <w:r w:rsidRPr="00D4309F">
        <w:rPr>
          <w:spacing w:val="-2"/>
        </w:rPr>
        <w:t xml:space="preserve"> </w:t>
      </w:r>
      <w:r w:rsidRPr="00D4309F">
        <w:t>builds</w:t>
      </w:r>
      <w:r w:rsidRPr="00D4309F">
        <w:rPr>
          <w:spacing w:val="-1"/>
        </w:rPr>
        <w:t xml:space="preserve"> </w:t>
      </w:r>
      <w:r w:rsidRPr="00D4309F">
        <w:t>up</w:t>
      </w:r>
      <w:r w:rsidRPr="00D4309F">
        <w:rPr>
          <w:spacing w:val="-2"/>
        </w:rPr>
        <w:t xml:space="preserve"> </w:t>
      </w:r>
      <w:r w:rsidRPr="00D4309F">
        <w:t>in</w:t>
      </w:r>
      <w:r w:rsidRPr="00D4309F">
        <w:rPr>
          <w:spacing w:val="-2"/>
        </w:rPr>
        <w:t xml:space="preserve"> </w:t>
      </w:r>
      <w:r w:rsidRPr="00D4309F">
        <w:t>the</w:t>
      </w:r>
      <w:r w:rsidRPr="00D4309F">
        <w:rPr>
          <w:spacing w:val="-2"/>
        </w:rPr>
        <w:t xml:space="preserve"> </w:t>
      </w:r>
      <w:r w:rsidRPr="00D4309F">
        <w:t>main</w:t>
      </w:r>
      <w:r w:rsidRPr="00D4309F">
        <w:rPr>
          <w:spacing w:val="-3"/>
        </w:rPr>
        <w:t xml:space="preserve"> </w:t>
      </w:r>
      <w:r w:rsidRPr="00D4309F">
        <w:t>navigational zone. By modifying the bedrock profile, this approach aims to manage shoaling through natural sediment trapping rather than ongoing reactive dredging.</w:t>
      </w:r>
    </w:p>
    <w:p w14:paraId="2955C0AD" w14:textId="77777777" w:rsidR="00725977" w:rsidRPr="00D4309F" w:rsidRDefault="00725977" w:rsidP="008228CB">
      <w:pPr>
        <w:pStyle w:val="Heading3"/>
      </w:pPr>
      <w:bookmarkStart w:id="302" w:name="_Toc216699401"/>
      <w:r w:rsidRPr="00D4309F">
        <w:t>How</w:t>
      </w:r>
      <w:r w:rsidRPr="00D4309F">
        <w:rPr>
          <w:spacing w:val="-2"/>
        </w:rPr>
        <w:t xml:space="preserve"> </w:t>
      </w:r>
      <w:r w:rsidRPr="00D4309F">
        <w:t>does</w:t>
      </w:r>
      <w:r w:rsidRPr="00D4309F">
        <w:rPr>
          <w:spacing w:val="-3"/>
        </w:rPr>
        <w:t xml:space="preserve"> </w:t>
      </w:r>
      <w:r w:rsidRPr="00D4309F">
        <w:t>it</w:t>
      </w:r>
      <w:r w:rsidRPr="00D4309F">
        <w:rPr>
          <w:spacing w:val="-3"/>
        </w:rPr>
        <w:t xml:space="preserve"> </w:t>
      </w:r>
      <w:r w:rsidRPr="00D4309F">
        <w:t>work</w:t>
      </w:r>
      <w:r w:rsidRPr="00D4309F">
        <w:rPr>
          <w:spacing w:val="-1"/>
        </w:rPr>
        <w:t xml:space="preserve"> </w:t>
      </w:r>
      <w:r w:rsidRPr="00D4309F">
        <w:t>to</w:t>
      </w:r>
      <w:r w:rsidRPr="00D4309F">
        <w:rPr>
          <w:spacing w:val="-3"/>
        </w:rPr>
        <w:t xml:space="preserve"> </w:t>
      </w:r>
      <w:r w:rsidRPr="00D4309F">
        <w:t>address</w:t>
      </w:r>
      <w:r w:rsidRPr="00D4309F">
        <w:rPr>
          <w:spacing w:val="-2"/>
        </w:rPr>
        <w:t xml:space="preserve"> shoaling?</w:t>
      </w:r>
      <w:bookmarkEnd w:id="302"/>
    </w:p>
    <w:p w14:paraId="3C02A7A1" w14:textId="5B8C78CB" w:rsidR="00725977" w:rsidRPr="00D4309F" w:rsidRDefault="00725977" w:rsidP="00725977">
      <w:pPr>
        <w:pStyle w:val="BodyText"/>
      </w:pPr>
      <w:r w:rsidRPr="00D4309F">
        <w:t>The</w:t>
      </w:r>
      <w:r w:rsidRPr="00D4309F">
        <w:rPr>
          <w:spacing w:val="-3"/>
        </w:rPr>
        <w:t xml:space="preserve"> </w:t>
      </w:r>
      <w:r w:rsidRPr="00D4309F">
        <w:t>deepened</w:t>
      </w:r>
      <w:r w:rsidRPr="00D4309F">
        <w:rPr>
          <w:spacing w:val="-3"/>
        </w:rPr>
        <w:t xml:space="preserve"> </w:t>
      </w:r>
      <w:r w:rsidRPr="00D4309F">
        <w:t>channel</w:t>
      </w:r>
      <w:r w:rsidRPr="00D4309F">
        <w:rPr>
          <w:spacing w:val="-4"/>
        </w:rPr>
        <w:t xml:space="preserve"> </w:t>
      </w:r>
      <w:r w:rsidRPr="00D4309F">
        <w:t>would</w:t>
      </w:r>
      <w:r w:rsidRPr="00D4309F">
        <w:rPr>
          <w:spacing w:val="-3"/>
        </w:rPr>
        <w:t xml:space="preserve"> </w:t>
      </w:r>
      <w:r w:rsidRPr="00D4309F">
        <w:t>disrupt</w:t>
      </w:r>
      <w:r w:rsidRPr="00D4309F">
        <w:rPr>
          <w:spacing w:val="-3"/>
        </w:rPr>
        <w:t xml:space="preserve"> </w:t>
      </w:r>
      <w:r w:rsidRPr="00D4309F">
        <w:t>the</w:t>
      </w:r>
      <w:r w:rsidRPr="00D4309F">
        <w:rPr>
          <w:spacing w:val="-3"/>
        </w:rPr>
        <w:t xml:space="preserve"> </w:t>
      </w:r>
      <w:r w:rsidRPr="00D4309F">
        <w:t>sand</w:t>
      </w:r>
      <w:r w:rsidRPr="00D4309F">
        <w:rPr>
          <w:spacing w:val="-3"/>
        </w:rPr>
        <w:t xml:space="preserve"> </w:t>
      </w:r>
      <w:r w:rsidRPr="00D4309F">
        <w:t>supply</w:t>
      </w:r>
      <w:r w:rsidRPr="00D4309F">
        <w:rPr>
          <w:spacing w:val="-2"/>
        </w:rPr>
        <w:t xml:space="preserve"> </w:t>
      </w:r>
      <w:r w:rsidRPr="00D4309F">
        <w:t>moving</w:t>
      </w:r>
      <w:r w:rsidRPr="00D4309F">
        <w:rPr>
          <w:spacing w:val="-3"/>
        </w:rPr>
        <w:t xml:space="preserve"> </w:t>
      </w:r>
      <w:r w:rsidRPr="00D4309F">
        <w:t>into</w:t>
      </w:r>
      <w:r w:rsidRPr="00D4309F">
        <w:rPr>
          <w:spacing w:val="-4"/>
        </w:rPr>
        <w:t xml:space="preserve"> </w:t>
      </w:r>
      <w:r w:rsidRPr="00D4309F">
        <w:t>the</w:t>
      </w:r>
      <w:r w:rsidRPr="00D4309F">
        <w:rPr>
          <w:spacing w:val="-3"/>
        </w:rPr>
        <w:t xml:space="preserve"> </w:t>
      </w:r>
      <w:r w:rsidRPr="00D4309F">
        <w:t>entrance</w:t>
      </w:r>
      <w:r w:rsidRPr="00D4309F">
        <w:rPr>
          <w:spacing w:val="-4"/>
        </w:rPr>
        <w:t xml:space="preserve"> </w:t>
      </w:r>
      <w:r w:rsidRPr="00D4309F">
        <w:t>by</w:t>
      </w:r>
      <w:r w:rsidRPr="00D4309F">
        <w:rPr>
          <w:spacing w:val="-2"/>
        </w:rPr>
        <w:t xml:space="preserve"> </w:t>
      </w:r>
      <w:r w:rsidRPr="00D4309F">
        <w:t>providing</w:t>
      </w:r>
      <w:r w:rsidRPr="00D4309F">
        <w:rPr>
          <w:spacing w:val="-4"/>
        </w:rPr>
        <w:t xml:space="preserve"> </w:t>
      </w:r>
      <w:r w:rsidRPr="00D4309F">
        <w:t>a</w:t>
      </w:r>
      <w:r w:rsidRPr="00D4309F">
        <w:rPr>
          <w:spacing w:val="-3"/>
        </w:rPr>
        <w:t xml:space="preserve"> </w:t>
      </w:r>
      <w:r w:rsidRPr="00D4309F">
        <w:t>low-energy deposition zone where sand can accumulate before reaching critical navigational areas. This acts as a controlled sediment trap, reducing shoal formation in the main channel and extending the time between maintenance dredging campaigns.</w:t>
      </w:r>
    </w:p>
    <w:p w14:paraId="4CE597D7" w14:textId="77777777" w:rsidR="00725977" w:rsidRPr="00D4309F" w:rsidRDefault="00725977" w:rsidP="008228CB">
      <w:pPr>
        <w:pStyle w:val="Heading3"/>
      </w:pPr>
      <w:bookmarkStart w:id="303" w:name="_Toc216699402"/>
      <w:r w:rsidRPr="00D4309F">
        <w:t>What</w:t>
      </w:r>
      <w:r w:rsidRPr="00D4309F">
        <w:rPr>
          <w:spacing w:val="-3"/>
        </w:rPr>
        <w:t xml:space="preserve"> </w:t>
      </w:r>
      <w:r w:rsidRPr="00D4309F">
        <w:t>does</w:t>
      </w:r>
      <w:r w:rsidRPr="00D4309F">
        <w:rPr>
          <w:spacing w:val="-2"/>
        </w:rPr>
        <w:t xml:space="preserve"> </w:t>
      </w:r>
      <w:r w:rsidRPr="00D4309F">
        <w:t>this</w:t>
      </w:r>
      <w:r w:rsidRPr="00D4309F">
        <w:rPr>
          <w:spacing w:val="-3"/>
        </w:rPr>
        <w:t xml:space="preserve"> </w:t>
      </w:r>
      <w:r w:rsidRPr="00D4309F">
        <w:t>option</w:t>
      </w:r>
      <w:r w:rsidRPr="00D4309F">
        <w:rPr>
          <w:spacing w:val="-2"/>
        </w:rPr>
        <w:t xml:space="preserve"> involve?</w:t>
      </w:r>
      <w:bookmarkEnd w:id="303"/>
    </w:p>
    <w:p w14:paraId="1EFEF078" w14:textId="77777777" w:rsidR="00725977" w:rsidRDefault="00725977" w:rsidP="00725977">
      <w:pPr>
        <w:pStyle w:val="BodyText"/>
      </w:pPr>
      <w:r w:rsidRPr="00D4309F">
        <w:t>The</w:t>
      </w:r>
      <w:r w:rsidRPr="00D4309F">
        <w:rPr>
          <w:spacing w:val="-2"/>
        </w:rPr>
        <w:t xml:space="preserve"> </w:t>
      </w:r>
      <w:r w:rsidRPr="00D4309F">
        <w:t>concept</w:t>
      </w:r>
      <w:r w:rsidRPr="00D4309F">
        <w:rPr>
          <w:spacing w:val="-2"/>
        </w:rPr>
        <w:t xml:space="preserve"> </w:t>
      </w:r>
      <w:r w:rsidRPr="00D4309F">
        <w:t>involves</w:t>
      </w:r>
      <w:r w:rsidRPr="00D4309F">
        <w:rPr>
          <w:spacing w:val="-1"/>
        </w:rPr>
        <w:t xml:space="preserve"> </w:t>
      </w:r>
      <w:r w:rsidRPr="00D4309F">
        <w:t>excavating</w:t>
      </w:r>
      <w:r w:rsidRPr="00D4309F">
        <w:rPr>
          <w:spacing w:val="-2"/>
        </w:rPr>
        <w:t xml:space="preserve"> </w:t>
      </w:r>
      <w:r w:rsidRPr="00D4309F">
        <w:t>approximately</w:t>
      </w:r>
      <w:r w:rsidRPr="00D4309F">
        <w:rPr>
          <w:spacing w:val="-1"/>
        </w:rPr>
        <w:t xml:space="preserve"> </w:t>
      </w:r>
      <w:r w:rsidRPr="00D4309F">
        <w:t>100m</w:t>
      </w:r>
      <w:r w:rsidRPr="00D4309F">
        <w:rPr>
          <w:spacing w:val="-3"/>
        </w:rPr>
        <w:t xml:space="preserve"> </w:t>
      </w:r>
      <w:r w:rsidRPr="00D4309F">
        <w:t>by</w:t>
      </w:r>
      <w:r w:rsidRPr="00D4309F">
        <w:rPr>
          <w:spacing w:val="-1"/>
        </w:rPr>
        <w:t xml:space="preserve"> </w:t>
      </w:r>
      <w:r w:rsidRPr="00D4309F">
        <w:t>150m</w:t>
      </w:r>
      <w:r w:rsidRPr="00D4309F">
        <w:rPr>
          <w:spacing w:val="-3"/>
        </w:rPr>
        <w:t xml:space="preserve"> </w:t>
      </w:r>
      <w:r w:rsidRPr="00D4309F">
        <w:t>(approx.</w:t>
      </w:r>
      <w:r w:rsidRPr="00D4309F">
        <w:rPr>
          <w:spacing w:val="-2"/>
        </w:rPr>
        <w:t xml:space="preserve"> </w:t>
      </w:r>
      <w:r w:rsidRPr="00D4309F">
        <w:t>90,000</w:t>
      </w:r>
      <w:r w:rsidRPr="00D4309F">
        <w:rPr>
          <w:spacing w:val="-4"/>
        </w:rPr>
        <w:t xml:space="preserve"> </w:t>
      </w:r>
      <w:r w:rsidRPr="00D4309F">
        <w:t>m</w:t>
      </w:r>
      <w:r w:rsidRPr="00D4309F">
        <w:rPr>
          <w:vertAlign w:val="superscript"/>
        </w:rPr>
        <w:t>3</w:t>
      </w:r>
      <w:r w:rsidRPr="00D4309F">
        <w:rPr>
          <w:spacing w:val="-2"/>
        </w:rPr>
        <w:t xml:space="preserve"> </w:t>
      </w:r>
      <w:r w:rsidRPr="00D4309F">
        <w:t>of</w:t>
      </w:r>
      <w:r w:rsidRPr="00D4309F">
        <w:rPr>
          <w:spacing w:val="-2"/>
        </w:rPr>
        <w:t xml:space="preserve"> </w:t>
      </w:r>
      <w:r w:rsidRPr="00D4309F">
        <w:t>rock,</w:t>
      </w:r>
      <w:r w:rsidRPr="00D4309F">
        <w:rPr>
          <w:spacing w:val="-4"/>
        </w:rPr>
        <w:t xml:space="preserve"> </w:t>
      </w:r>
      <w:r w:rsidRPr="00D4309F">
        <w:t>sand,</w:t>
      </w:r>
      <w:r w:rsidRPr="00D4309F">
        <w:rPr>
          <w:spacing w:val="-3"/>
        </w:rPr>
        <w:t xml:space="preserve"> </w:t>
      </w:r>
      <w:r w:rsidRPr="00D4309F">
        <w:t>clay)</w:t>
      </w:r>
      <w:r w:rsidRPr="00D4309F">
        <w:rPr>
          <w:spacing w:val="-1"/>
        </w:rPr>
        <w:t xml:space="preserve"> </w:t>
      </w:r>
      <w:r w:rsidRPr="00D4309F">
        <w:t>of</w:t>
      </w:r>
      <w:r w:rsidRPr="00D4309F">
        <w:rPr>
          <w:spacing w:val="-2"/>
        </w:rPr>
        <w:t xml:space="preserve"> </w:t>
      </w:r>
      <w:r w:rsidRPr="00D4309F">
        <w:t>the existing channel down into the underlying rock substrate, forming a stable, deeper basin. Over time, sand from Area A would naturally settle within this zone. Once the trap nears capacity, accumulated material would be dredged and transferred to Area B, ensuring beneficial reuse of the sand for beach nourishment while maintaining safe channel depths.</w:t>
      </w:r>
    </w:p>
    <w:p w14:paraId="1D87B761" w14:textId="77777777" w:rsidR="001E18C2" w:rsidRPr="00D4309F" w:rsidRDefault="001E18C2" w:rsidP="00725977">
      <w:pPr>
        <w:pStyle w:val="BodyText"/>
      </w:pPr>
    </w:p>
    <w:p w14:paraId="355BEB82" w14:textId="77777777" w:rsidR="00725977" w:rsidRPr="00D4309F" w:rsidRDefault="00725977" w:rsidP="00F36D67">
      <w:pPr>
        <w:pStyle w:val="BodyText"/>
        <w:jc w:val="center"/>
      </w:pPr>
      <w:r w:rsidRPr="00D4309F">
        <w:rPr>
          <w:noProof/>
        </w:rPr>
        <w:drawing>
          <wp:inline distT="0" distB="0" distL="0" distR="0" wp14:anchorId="292B4921" wp14:editId="2864341A">
            <wp:extent cx="5713289" cy="3982212"/>
            <wp:effectExtent l="0" t="0" r="1905" b="0"/>
            <wp:docPr id="207" name="Image 207" descr="Arial image of Point Cartwright and the Mooloolaba Boat Harbour Entrance showing the direction of sand movement around the Port Cartwright headland, with sand trapped and collected in excavated channel - this is marked with a box directly in front of the Mooloolaba Boat Harbour Entra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descr="Arial image of Point Cartwright and the Mooloolaba Boat Harbour Entrance showing the direction of sand movement around the Port Cartwright headland, with sand trapped and collected in excavated channel - this is marked with a box directly in front of the Mooloolaba Boat Harbour Entranc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13289" cy="3982212"/>
                    </a:xfrm>
                    <a:prstGeom prst="rect">
                      <a:avLst/>
                    </a:prstGeom>
                  </pic:spPr>
                </pic:pic>
              </a:graphicData>
            </a:graphic>
          </wp:inline>
        </w:drawing>
      </w:r>
    </w:p>
    <w:p w14:paraId="6A769C60" w14:textId="78FB9238" w:rsidR="00725977" w:rsidRDefault="00F36D67" w:rsidP="005244F7">
      <w:pPr>
        <w:pStyle w:val="Caption"/>
        <w:rPr>
          <w:color w:val="211E1F"/>
          <w:spacing w:val="-2"/>
        </w:rPr>
      </w:pPr>
      <w:bookmarkStart w:id="304" w:name="_bookmark125"/>
      <w:bookmarkStart w:id="305" w:name="_Toc216699624"/>
      <w:bookmarkEnd w:id="304"/>
      <w:r>
        <w:t xml:space="preserve">Figure </w:t>
      </w:r>
      <w:r w:rsidR="00B538D4">
        <w:fldChar w:fldCharType="begin" w:fldLock="1"/>
      </w:r>
      <w:r w:rsidR="00B538D4">
        <w:instrText xml:space="preserve"> STYLEREF 1 \s </w:instrText>
      </w:r>
      <w:r w:rsidR="00B538D4">
        <w:fldChar w:fldCharType="separate"/>
      </w:r>
      <w:r w:rsidR="00B538D4">
        <w:rPr>
          <w:noProof/>
        </w:rPr>
        <w:t>14</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1</w:t>
      </w:r>
      <w:r w:rsidR="00B538D4">
        <w:fldChar w:fldCharType="end"/>
      </w:r>
      <w:r>
        <w:t>:</w:t>
      </w:r>
      <w:r>
        <w:tab/>
      </w:r>
      <w:r w:rsidRPr="00D4309F">
        <w:rPr>
          <w:color w:val="211E1F"/>
        </w:rPr>
        <w:t>Option</w:t>
      </w:r>
      <w:r w:rsidRPr="00D4309F">
        <w:rPr>
          <w:color w:val="211E1F"/>
          <w:spacing w:val="-1"/>
        </w:rPr>
        <w:t xml:space="preserve"> </w:t>
      </w:r>
      <w:r w:rsidRPr="00D4309F">
        <w:rPr>
          <w:color w:val="211E1F"/>
        </w:rPr>
        <w:t>2</w:t>
      </w:r>
      <w:r w:rsidRPr="00D4309F">
        <w:rPr>
          <w:color w:val="211E1F"/>
          <w:spacing w:val="-1"/>
        </w:rPr>
        <w:t xml:space="preserve"> </w:t>
      </w:r>
      <w:r w:rsidRPr="00D4309F">
        <w:rPr>
          <w:color w:val="211E1F"/>
          <w:spacing w:val="-2"/>
        </w:rPr>
        <w:t>summary</w:t>
      </w:r>
      <w:bookmarkEnd w:id="305"/>
    </w:p>
    <w:p w14:paraId="7E90A89C" w14:textId="77777777" w:rsidR="00725977" w:rsidRPr="00D4309F" w:rsidRDefault="00725977" w:rsidP="00725977">
      <w:pPr>
        <w:pStyle w:val="BodyText"/>
      </w:pPr>
    </w:p>
    <w:p w14:paraId="0EA151A6" w14:textId="77777777" w:rsidR="00725977" w:rsidRPr="00D4309F" w:rsidRDefault="00725977" w:rsidP="00F36D67">
      <w:pPr>
        <w:ind w:left="142"/>
        <w:jc w:val="center"/>
      </w:pPr>
      <w:r w:rsidRPr="00D4309F">
        <w:rPr>
          <w:noProof/>
        </w:rPr>
        <w:lastRenderedPageBreak/>
        <w:drawing>
          <wp:inline distT="0" distB="0" distL="0" distR="0" wp14:anchorId="4F42B941" wp14:editId="040D6BC9">
            <wp:extent cx="6087350" cy="3341751"/>
            <wp:effectExtent l="0" t="0" r="0" b="0"/>
            <wp:docPr id="208" name="Image 208" descr="Image is a photo example of a dredge in the ocean, in Woomera, showing that a backhoe dredge capable of deepening entrance rock – Hall ‘Woomera’ Backhoe Dredge (Hall, 2025)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descr="Image is a photo example of a dredge in the ocean, in Woomera, showing that a backhoe dredge capable of deepening entrance rock – Hall ‘Woomera’ Backhoe Dredge (Hall, 2025) "/>
                    <pic:cNvPicPr/>
                  </pic:nvPicPr>
                  <pic:blipFill>
                    <a:blip r:embed="rId95" cstate="print"/>
                    <a:stretch>
                      <a:fillRect/>
                    </a:stretch>
                  </pic:blipFill>
                  <pic:spPr>
                    <a:xfrm>
                      <a:off x="0" y="0"/>
                      <a:ext cx="6087350" cy="3341751"/>
                    </a:xfrm>
                    <a:prstGeom prst="rect">
                      <a:avLst/>
                    </a:prstGeom>
                  </pic:spPr>
                </pic:pic>
              </a:graphicData>
            </a:graphic>
          </wp:inline>
        </w:drawing>
      </w:r>
    </w:p>
    <w:p w14:paraId="12DBEA84" w14:textId="00F3B5FB" w:rsidR="00725977" w:rsidRDefault="00F36D67" w:rsidP="005244F7">
      <w:pPr>
        <w:pStyle w:val="Caption"/>
        <w:rPr>
          <w:color w:val="211E1F"/>
        </w:rPr>
      </w:pPr>
      <w:bookmarkStart w:id="306" w:name="_bookmark126"/>
      <w:bookmarkStart w:id="307" w:name="_Toc216699625"/>
      <w:bookmarkEnd w:id="306"/>
      <w:r>
        <w:t xml:space="preserve">Figure </w:t>
      </w:r>
      <w:r w:rsidR="00B538D4">
        <w:fldChar w:fldCharType="begin" w:fldLock="1"/>
      </w:r>
      <w:r w:rsidR="00B538D4">
        <w:instrText xml:space="preserve"> STYLEREF 1 \s </w:instrText>
      </w:r>
      <w:r w:rsidR="00B538D4">
        <w:fldChar w:fldCharType="separate"/>
      </w:r>
      <w:r w:rsidR="00B538D4">
        <w:rPr>
          <w:noProof/>
        </w:rPr>
        <w:t>14</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2</w:t>
      </w:r>
      <w:r w:rsidR="00B538D4">
        <w:fldChar w:fldCharType="end"/>
      </w:r>
      <w:r>
        <w:t>:</w:t>
      </w:r>
      <w:r>
        <w:tab/>
      </w:r>
      <w:r w:rsidRPr="00D4309F">
        <w:rPr>
          <w:color w:val="211E1F"/>
        </w:rPr>
        <w:t>Example</w:t>
      </w:r>
      <w:r w:rsidRPr="00D4309F">
        <w:rPr>
          <w:color w:val="211E1F"/>
          <w:spacing w:val="-3"/>
        </w:rPr>
        <w:t xml:space="preserve"> </w:t>
      </w:r>
      <w:r w:rsidRPr="00D4309F">
        <w:rPr>
          <w:color w:val="211E1F"/>
        </w:rPr>
        <w:t>of</w:t>
      </w:r>
      <w:r w:rsidRPr="00D4309F">
        <w:rPr>
          <w:color w:val="211E1F"/>
          <w:spacing w:val="-2"/>
        </w:rPr>
        <w:t xml:space="preserve"> </w:t>
      </w:r>
      <w:r w:rsidRPr="00D4309F">
        <w:rPr>
          <w:color w:val="211E1F"/>
        </w:rPr>
        <w:t>backhoe</w:t>
      </w:r>
      <w:r w:rsidRPr="00D4309F">
        <w:rPr>
          <w:color w:val="211E1F"/>
          <w:spacing w:val="-3"/>
        </w:rPr>
        <w:t xml:space="preserve"> </w:t>
      </w:r>
      <w:r w:rsidRPr="00D4309F">
        <w:rPr>
          <w:color w:val="211E1F"/>
        </w:rPr>
        <w:t>dredge</w:t>
      </w:r>
      <w:r w:rsidRPr="00D4309F">
        <w:rPr>
          <w:color w:val="211E1F"/>
          <w:spacing w:val="-3"/>
        </w:rPr>
        <w:t xml:space="preserve"> </w:t>
      </w:r>
      <w:r w:rsidRPr="00D4309F">
        <w:rPr>
          <w:color w:val="211E1F"/>
        </w:rPr>
        <w:t>capable</w:t>
      </w:r>
      <w:r w:rsidRPr="00D4309F">
        <w:rPr>
          <w:color w:val="211E1F"/>
          <w:spacing w:val="-3"/>
        </w:rPr>
        <w:t xml:space="preserve"> </w:t>
      </w:r>
      <w:r w:rsidRPr="00D4309F">
        <w:rPr>
          <w:color w:val="211E1F"/>
        </w:rPr>
        <w:t>of</w:t>
      </w:r>
      <w:r w:rsidRPr="00D4309F">
        <w:rPr>
          <w:color w:val="211E1F"/>
          <w:spacing w:val="-2"/>
        </w:rPr>
        <w:t xml:space="preserve"> </w:t>
      </w:r>
      <w:r w:rsidRPr="00D4309F">
        <w:rPr>
          <w:color w:val="211E1F"/>
        </w:rPr>
        <w:t>deepening</w:t>
      </w:r>
      <w:r w:rsidRPr="00D4309F">
        <w:rPr>
          <w:color w:val="211E1F"/>
          <w:spacing w:val="-2"/>
        </w:rPr>
        <w:t xml:space="preserve"> </w:t>
      </w:r>
      <w:r w:rsidRPr="00D4309F">
        <w:rPr>
          <w:color w:val="211E1F"/>
        </w:rPr>
        <w:t>entrance</w:t>
      </w:r>
      <w:r w:rsidRPr="00D4309F">
        <w:rPr>
          <w:color w:val="211E1F"/>
          <w:spacing w:val="-3"/>
        </w:rPr>
        <w:t xml:space="preserve"> </w:t>
      </w:r>
      <w:r w:rsidRPr="00D4309F">
        <w:rPr>
          <w:color w:val="211E1F"/>
        </w:rPr>
        <w:t>rock</w:t>
      </w:r>
      <w:r w:rsidRPr="00D4309F">
        <w:rPr>
          <w:color w:val="211E1F"/>
          <w:spacing w:val="-3"/>
        </w:rPr>
        <w:t xml:space="preserve"> </w:t>
      </w:r>
      <w:r w:rsidRPr="00D4309F">
        <w:rPr>
          <w:color w:val="211E1F"/>
        </w:rPr>
        <w:t>–</w:t>
      </w:r>
      <w:r w:rsidRPr="00D4309F">
        <w:rPr>
          <w:color w:val="211E1F"/>
          <w:spacing w:val="-2"/>
        </w:rPr>
        <w:t xml:space="preserve"> </w:t>
      </w:r>
      <w:r w:rsidRPr="00D4309F">
        <w:rPr>
          <w:color w:val="211E1F"/>
        </w:rPr>
        <w:t>Hall</w:t>
      </w:r>
      <w:r w:rsidRPr="00D4309F">
        <w:rPr>
          <w:color w:val="211E1F"/>
          <w:spacing w:val="-2"/>
        </w:rPr>
        <w:t xml:space="preserve"> </w:t>
      </w:r>
      <w:r w:rsidRPr="00D4309F">
        <w:rPr>
          <w:color w:val="211E1F"/>
        </w:rPr>
        <w:t>‘Woomera’</w:t>
      </w:r>
      <w:r w:rsidRPr="00D4309F">
        <w:rPr>
          <w:color w:val="211E1F"/>
          <w:spacing w:val="-2"/>
        </w:rPr>
        <w:t xml:space="preserve"> </w:t>
      </w:r>
      <w:r w:rsidRPr="00D4309F">
        <w:rPr>
          <w:color w:val="211E1F"/>
        </w:rPr>
        <w:t>Backhoe</w:t>
      </w:r>
      <w:r w:rsidRPr="00D4309F">
        <w:rPr>
          <w:color w:val="211E1F"/>
          <w:spacing w:val="-3"/>
        </w:rPr>
        <w:t xml:space="preserve"> </w:t>
      </w:r>
      <w:r w:rsidRPr="00D4309F">
        <w:rPr>
          <w:color w:val="211E1F"/>
        </w:rPr>
        <w:t>Dredge (Hall, 2025)</w:t>
      </w:r>
      <w:bookmarkEnd w:id="307"/>
    </w:p>
    <w:p w14:paraId="50B893F8" w14:textId="77777777" w:rsidR="001E18C2" w:rsidRPr="001E18C2" w:rsidRDefault="001E18C2" w:rsidP="001E18C2">
      <w:pPr>
        <w:pStyle w:val="BodyText"/>
      </w:pPr>
    </w:p>
    <w:p w14:paraId="19C09303" w14:textId="77777777" w:rsidR="00725977" w:rsidRPr="00D4309F" w:rsidRDefault="00725977" w:rsidP="008228CB">
      <w:pPr>
        <w:pStyle w:val="Heading3"/>
      </w:pPr>
      <w:bookmarkStart w:id="308" w:name="_Toc216699403"/>
      <w:r w:rsidRPr="00D4309F">
        <w:t>Impacts</w:t>
      </w:r>
      <w:r w:rsidRPr="00D4309F">
        <w:rPr>
          <w:spacing w:val="-4"/>
        </w:rPr>
        <w:t xml:space="preserve"> </w:t>
      </w:r>
      <w:r w:rsidRPr="00D4309F">
        <w:t>on</w:t>
      </w:r>
      <w:r w:rsidRPr="00D4309F">
        <w:rPr>
          <w:spacing w:val="-3"/>
        </w:rPr>
        <w:t xml:space="preserve"> </w:t>
      </w:r>
      <w:r w:rsidRPr="00D4309F">
        <w:t>coastal</w:t>
      </w:r>
      <w:r w:rsidRPr="00D4309F">
        <w:rPr>
          <w:spacing w:val="-4"/>
        </w:rPr>
        <w:t xml:space="preserve"> </w:t>
      </w:r>
      <w:r w:rsidRPr="00D4309F">
        <w:rPr>
          <w:spacing w:val="-2"/>
        </w:rPr>
        <w:t>processes</w:t>
      </w:r>
      <w:bookmarkEnd w:id="308"/>
    </w:p>
    <w:p w14:paraId="0BD49164" w14:textId="77777777" w:rsidR="00725977" w:rsidRPr="00D4309F" w:rsidRDefault="00725977" w:rsidP="00725977">
      <w:pPr>
        <w:pStyle w:val="BodyText"/>
      </w:pPr>
      <w:r w:rsidRPr="00D4309F">
        <w:t>Excavating a deeper channel section within the Mooloolah River entrance will modify local coastal and sediment dynamics by introducing a new, semi-permanent sand</w:t>
      </w:r>
      <w:r w:rsidRPr="00D4309F">
        <w:rPr>
          <w:spacing w:val="-1"/>
        </w:rPr>
        <w:t xml:space="preserve"> </w:t>
      </w:r>
      <w:r w:rsidRPr="00D4309F">
        <w:t>sink within the system. In general, dredged channels act as sediment traps, capturing sand that would otherwise continue along the natural littoral drift pathway.</w:t>
      </w:r>
      <w:r w:rsidRPr="00D4309F">
        <w:rPr>
          <w:spacing w:val="-2"/>
        </w:rPr>
        <w:t xml:space="preserve"> </w:t>
      </w:r>
      <w:r w:rsidRPr="00D4309F">
        <w:t>This</w:t>
      </w:r>
      <w:r w:rsidRPr="00D4309F">
        <w:rPr>
          <w:spacing w:val="-1"/>
        </w:rPr>
        <w:t xml:space="preserve"> </w:t>
      </w:r>
      <w:r w:rsidRPr="00D4309F">
        <w:t>process</w:t>
      </w:r>
      <w:r w:rsidRPr="00D4309F">
        <w:rPr>
          <w:spacing w:val="-1"/>
        </w:rPr>
        <w:t xml:space="preserve"> </w:t>
      </w:r>
      <w:r w:rsidRPr="00D4309F">
        <w:t>is</w:t>
      </w:r>
      <w:r w:rsidRPr="00D4309F">
        <w:rPr>
          <w:spacing w:val="-1"/>
        </w:rPr>
        <w:t xml:space="preserve"> </w:t>
      </w:r>
      <w:r w:rsidRPr="00D4309F">
        <w:t>deliberate</w:t>
      </w:r>
      <w:r w:rsidRPr="00D4309F">
        <w:rPr>
          <w:spacing w:val="-2"/>
        </w:rPr>
        <w:t xml:space="preserve"> </w:t>
      </w:r>
      <w:r w:rsidRPr="00D4309F">
        <w:t>in</w:t>
      </w:r>
      <w:r w:rsidRPr="00D4309F">
        <w:rPr>
          <w:spacing w:val="-2"/>
        </w:rPr>
        <w:t xml:space="preserve"> </w:t>
      </w:r>
      <w:r w:rsidRPr="00D4309F">
        <w:t>the</w:t>
      </w:r>
      <w:r w:rsidRPr="00D4309F">
        <w:rPr>
          <w:spacing w:val="-2"/>
        </w:rPr>
        <w:t xml:space="preserve"> </w:t>
      </w:r>
      <w:r w:rsidRPr="00D4309F">
        <w:t>context</w:t>
      </w:r>
      <w:r w:rsidRPr="00D4309F">
        <w:rPr>
          <w:spacing w:val="-2"/>
        </w:rPr>
        <w:t xml:space="preserve"> </w:t>
      </w:r>
      <w:r w:rsidRPr="00D4309F">
        <w:t>of</w:t>
      </w:r>
      <w:r w:rsidRPr="00D4309F">
        <w:rPr>
          <w:spacing w:val="-2"/>
        </w:rPr>
        <w:t xml:space="preserve"> </w:t>
      </w:r>
      <w:r w:rsidRPr="00D4309F">
        <w:t>Option</w:t>
      </w:r>
      <w:r w:rsidRPr="00D4309F">
        <w:rPr>
          <w:spacing w:val="-2"/>
        </w:rPr>
        <w:t xml:space="preserve"> </w:t>
      </w:r>
      <w:r w:rsidRPr="00D4309F">
        <w:t>2,</w:t>
      </w:r>
      <w:r w:rsidRPr="00D4309F">
        <w:rPr>
          <w:spacing w:val="-2"/>
        </w:rPr>
        <w:t xml:space="preserve"> </w:t>
      </w:r>
      <w:r w:rsidRPr="00D4309F">
        <w:t>as</w:t>
      </w:r>
      <w:r w:rsidRPr="00D4309F">
        <w:rPr>
          <w:spacing w:val="-1"/>
        </w:rPr>
        <w:t xml:space="preserve"> </w:t>
      </w:r>
      <w:r w:rsidRPr="00D4309F">
        <w:t>the</w:t>
      </w:r>
      <w:r w:rsidRPr="00D4309F">
        <w:rPr>
          <w:spacing w:val="-2"/>
        </w:rPr>
        <w:t xml:space="preserve"> </w:t>
      </w:r>
      <w:r w:rsidRPr="00D4309F">
        <w:t>deepened</w:t>
      </w:r>
      <w:r w:rsidRPr="00D4309F">
        <w:rPr>
          <w:spacing w:val="-3"/>
        </w:rPr>
        <w:t xml:space="preserve"> </w:t>
      </w:r>
      <w:r w:rsidRPr="00D4309F">
        <w:t>area</w:t>
      </w:r>
      <w:r w:rsidRPr="00D4309F">
        <w:rPr>
          <w:spacing w:val="-2"/>
        </w:rPr>
        <w:t xml:space="preserve"> </w:t>
      </w:r>
      <w:r w:rsidRPr="00D4309F">
        <w:t>is</w:t>
      </w:r>
      <w:r w:rsidRPr="00D4309F">
        <w:rPr>
          <w:spacing w:val="-1"/>
        </w:rPr>
        <w:t xml:space="preserve"> </w:t>
      </w:r>
      <w:r w:rsidRPr="00D4309F">
        <w:t>intended</w:t>
      </w:r>
      <w:r w:rsidRPr="00D4309F">
        <w:rPr>
          <w:spacing w:val="-2"/>
        </w:rPr>
        <w:t xml:space="preserve"> </w:t>
      </w:r>
      <w:r w:rsidRPr="00D4309F">
        <w:t>to</w:t>
      </w:r>
      <w:r w:rsidRPr="00D4309F">
        <w:rPr>
          <w:spacing w:val="-2"/>
        </w:rPr>
        <w:t xml:space="preserve"> </w:t>
      </w:r>
      <w:r w:rsidRPr="00D4309F">
        <w:t xml:space="preserve">intercept and store sand moving around Point Cartwright before it contributes to shoaling in the main navigation </w:t>
      </w:r>
      <w:r w:rsidRPr="00D4309F">
        <w:rPr>
          <w:spacing w:val="-2"/>
        </w:rPr>
        <w:t>channel.</w:t>
      </w:r>
    </w:p>
    <w:p w14:paraId="74DA5EC0" w14:textId="77777777" w:rsidR="00725977" w:rsidRPr="00D4309F" w:rsidRDefault="00725977" w:rsidP="00725977">
      <w:pPr>
        <w:pStyle w:val="BodyText"/>
      </w:pPr>
      <w:r w:rsidRPr="00D4309F">
        <w:t>From</w:t>
      </w:r>
      <w:r w:rsidRPr="00D4309F">
        <w:rPr>
          <w:spacing w:val="-1"/>
        </w:rPr>
        <w:t xml:space="preserve"> </w:t>
      </w:r>
      <w:r w:rsidRPr="00D4309F">
        <w:t>a</w:t>
      </w:r>
      <w:r w:rsidRPr="00D4309F">
        <w:rPr>
          <w:spacing w:val="-2"/>
        </w:rPr>
        <w:t xml:space="preserve"> </w:t>
      </w:r>
      <w:r w:rsidRPr="00D4309F">
        <w:t>coastal</w:t>
      </w:r>
      <w:r w:rsidRPr="00D4309F">
        <w:rPr>
          <w:spacing w:val="-1"/>
        </w:rPr>
        <w:t xml:space="preserve"> </w:t>
      </w:r>
      <w:r w:rsidRPr="00D4309F">
        <w:t>processes</w:t>
      </w:r>
      <w:r w:rsidRPr="00D4309F">
        <w:rPr>
          <w:spacing w:val="-1"/>
        </w:rPr>
        <w:t xml:space="preserve"> </w:t>
      </w:r>
      <w:r w:rsidRPr="00D4309F">
        <w:t>perspective,</w:t>
      </w:r>
      <w:r w:rsidRPr="00D4309F">
        <w:rPr>
          <w:spacing w:val="-1"/>
        </w:rPr>
        <w:t xml:space="preserve"> </w:t>
      </w:r>
      <w:r w:rsidRPr="00D4309F">
        <w:t>the</w:t>
      </w:r>
      <w:r w:rsidRPr="00D4309F">
        <w:rPr>
          <w:spacing w:val="-1"/>
        </w:rPr>
        <w:t xml:space="preserve"> </w:t>
      </w:r>
      <w:r w:rsidRPr="00D4309F">
        <w:t>introduction</w:t>
      </w:r>
      <w:r w:rsidRPr="00D4309F">
        <w:rPr>
          <w:spacing w:val="-1"/>
        </w:rPr>
        <w:t xml:space="preserve"> </w:t>
      </w:r>
      <w:r w:rsidRPr="00D4309F">
        <w:t>of</w:t>
      </w:r>
      <w:r w:rsidRPr="00D4309F">
        <w:rPr>
          <w:spacing w:val="-1"/>
        </w:rPr>
        <w:t xml:space="preserve"> </w:t>
      </w:r>
      <w:r w:rsidRPr="00D4309F">
        <w:t>a</w:t>
      </w:r>
      <w:r w:rsidRPr="00D4309F">
        <w:rPr>
          <w:spacing w:val="-1"/>
        </w:rPr>
        <w:t xml:space="preserve"> </w:t>
      </w:r>
      <w:r w:rsidRPr="00D4309F">
        <w:t>deepened</w:t>
      </w:r>
      <w:r w:rsidRPr="00D4309F">
        <w:rPr>
          <w:spacing w:val="-1"/>
        </w:rPr>
        <w:t xml:space="preserve"> </w:t>
      </w:r>
      <w:r w:rsidRPr="00D4309F">
        <w:t>basin</w:t>
      </w:r>
      <w:r w:rsidRPr="00D4309F">
        <w:rPr>
          <w:spacing w:val="-1"/>
        </w:rPr>
        <w:t xml:space="preserve"> </w:t>
      </w:r>
      <w:r w:rsidRPr="00D4309F">
        <w:t>may</w:t>
      </w:r>
      <w:r w:rsidRPr="00D4309F">
        <w:rPr>
          <w:spacing w:val="-1"/>
        </w:rPr>
        <w:t xml:space="preserve"> </w:t>
      </w:r>
      <w:r w:rsidRPr="00D4309F">
        <w:t>result</w:t>
      </w:r>
      <w:r w:rsidRPr="00D4309F">
        <w:rPr>
          <w:spacing w:val="-1"/>
        </w:rPr>
        <w:t xml:space="preserve"> </w:t>
      </w:r>
      <w:r w:rsidRPr="00D4309F">
        <w:t>in</w:t>
      </w:r>
      <w:r w:rsidRPr="00D4309F">
        <w:rPr>
          <w:spacing w:val="-2"/>
        </w:rPr>
        <w:t xml:space="preserve"> </w:t>
      </w:r>
      <w:r w:rsidRPr="00D4309F">
        <w:t>changes to</w:t>
      </w:r>
      <w:r w:rsidRPr="00D4309F">
        <w:rPr>
          <w:spacing w:val="-1"/>
        </w:rPr>
        <w:t xml:space="preserve"> </w:t>
      </w:r>
      <w:r w:rsidRPr="00D4309F">
        <w:t>wave transformation</w:t>
      </w:r>
      <w:r w:rsidRPr="00D4309F">
        <w:rPr>
          <w:spacing w:val="-3"/>
        </w:rPr>
        <w:t xml:space="preserve"> </w:t>
      </w:r>
      <w:r w:rsidRPr="00D4309F">
        <w:t>across</w:t>
      </w:r>
      <w:r w:rsidRPr="00D4309F">
        <w:rPr>
          <w:spacing w:val="-2"/>
        </w:rPr>
        <w:t xml:space="preserve"> </w:t>
      </w:r>
      <w:r w:rsidRPr="00D4309F">
        <w:t>the</w:t>
      </w:r>
      <w:r w:rsidRPr="00D4309F">
        <w:rPr>
          <w:spacing w:val="-4"/>
        </w:rPr>
        <w:t xml:space="preserve"> </w:t>
      </w:r>
      <w:r w:rsidRPr="00D4309F">
        <w:t>entrance.</w:t>
      </w:r>
      <w:r w:rsidRPr="00D4309F">
        <w:rPr>
          <w:spacing w:val="-3"/>
        </w:rPr>
        <w:t xml:space="preserve"> </w:t>
      </w:r>
      <w:r w:rsidRPr="00D4309F">
        <w:t>Deeper</w:t>
      </w:r>
      <w:r w:rsidRPr="00D4309F">
        <w:rPr>
          <w:spacing w:val="-4"/>
        </w:rPr>
        <w:t xml:space="preserve"> </w:t>
      </w:r>
      <w:r w:rsidRPr="00D4309F">
        <w:t>seabed</w:t>
      </w:r>
      <w:r w:rsidRPr="00D4309F">
        <w:rPr>
          <w:spacing w:val="-4"/>
        </w:rPr>
        <w:t xml:space="preserve"> </w:t>
      </w:r>
      <w:r w:rsidRPr="00D4309F">
        <w:t>generally</w:t>
      </w:r>
      <w:r w:rsidRPr="00D4309F">
        <w:rPr>
          <w:spacing w:val="-2"/>
        </w:rPr>
        <w:t xml:space="preserve"> </w:t>
      </w:r>
      <w:r w:rsidRPr="00D4309F">
        <w:t>results</w:t>
      </w:r>
      <w:r w:rsidRPr="00D4309F">
        <w:rPr>
          <w:spacing w:val="-2"/>
        </w:rPr>
        <w:t xml:space="preserve"> </w:t>
      </w:r>
      <w:r w:rsidRPr="00D4309F">
        <w:t>in</w:t>
      </w:r>
      <w:r w:rsidRPr="00D4309F">
        <w:rPr>
          <w:spacing w:val="-3"/>
        </w:rPr>
        <w:t xml:space="preserve"> </w:t>
      </w:r>
      <w:r w:rsidRPr="00D4309F">
        <w:t>larger</w:t>
      </w:r>
      <w:r w:rsidRPr="00D4309F">
        <w:rPr>
          <w:spacing w:val="-4"/>
        </w:rPr>
        <w:t xml:space="preserve"> </w:t>
      </w:r>
      <w:r w:rsidRPr="00D4309F">
        <w:t>depth</w:t>
      </w:r>
      <w:r w:rsidRPr="00D4309F">
        <w:rPr>
          <w:spacing w:val="-3"/>
        </w:rPr>
        <w:t xml:space="preserve"> </w:t>
      </w:r>
      <w:r w:rsidRPr="00D4309F">
        <w:t>limited</w:t>
      </w:r>
      <w:r w:rsidRPr="00D4309F">
        <w:rPr>
          <w:spacing w:val="-4"/>
        </w:rPr>
        <w:t xml:space="preserve"> </w:t>
      </w:r>
      <w:r w:rsidRPr="00D4309F">
        <w:t>waves</w:t>
      </w:r>
      <w:r w:rsidRPr="00D4309F">
        <w:rPr>
          <w:spacing w:val="-2"/>
        </w:rPr>
        <w:t xml:space="preserve"> </w:t>
      </w:r>
      <w:r w:rsidRPr="00D4309F">
        <w:t>across</w:t>
      </w:r>
      <w:r w:rsidRPr="00D4309F">
        <w:rPr>
          <w:spacing w:val="-3"/>
        </w:rPr>
        <w:t xml:space="preserve"> </w:t>
      </w:r>
      <w:r w:rsidRPr="00D4309F">
        <w:t>a given profile, and therefore under certain wave direction, a larger wave could propagate into the entrance. Hydrodynamic modelling would be required during detailed design to validate the concept and refine geometry to ensure no adverse wave or current effects within the harbour or adjacent beaches.</w:t>
      </w:r>
    </w:p>
    <w:p w14:paraId="7871D924" w14:textId="77777777" w:rsidR="00725977" w:rsidRPr="00D4309F" w:rsidRDefault="00725977" w:rsidP="00725977">
      <w:pPr>
        <w:pStyle w:val="BodyText"/>
      </w:pPr>
      <w:r w:rsidRPr="00D4309F">
        <w:t>Given the dominant easterly wave climate, offshore waves will have already refracted and shoaled around Point</w:t>
      </w:r>
      <w:r w:rsidRPr="00D4309F">
        <w:rPr>
          <w:spacing w:val="-1"/>
        </w:rPr>
        <w:t xml:space="preserve"> </w:t>
      </w:r>
      <w:r w:rsidRPr="00D4309F">
        <w:t>Cartwright</w:t>
      </w:r>
      <w:r w:rsidRPr="00D4309F">
        <w:rPr>
          <w:spacing w:val="-1"/>
        </w:rPr>
        <w:t xml:space="preserve"> </w:t>
      </w:r>
      <w:r w:rsidRPr="00D4309F">
        <w:t>before</w:t>
      </w:r>
      <w:r w:rsidRPr="00D4309F">
        <w:rPr>
          <w:spacing w:val="-2"/>
        </w:rPr>
        <w:t xml:space="preserve"> </w:t>
      </w:r>
      <w:r w:rsidRPr="00D4309F">
        <w:t>reaching</w:t>
      </w:r>
      <w:r w:rsidRPr="00D4309F">
        <w:rPr>
          <w:spacing w:val="-1"/>
        </w:rPr>
        <w:t xml:space="preserve"> </w:t>
      </w:r>
      <w:r w:rsidRPr="00D4309F">
        <w:t>the</w:t>
      </w:r>
      <w:r w:rsidRPr="00D4309F">
        <w:rPr>
          <w:spacing w:val="-1"/>
        </w:rPr>
        <w:t xml:space="preserve"> </w:t>
      </w:r>
      <w:r w:rsidRPr="00D4309F">
        <w:t>entrance</w:t>
      </w:r>
      <w:r w:rsidRPr="00D4309F">
        <w:rPr>
          <w:spacing w:val="-1"/>
        </w:rPr>
        <w:t xml:space="preserve"> </w:t>
      </w:r>
      <w:r w:rsidRPr="00D4309F">
        <w:t>and</w:t>
      </w:r>
      <w:r w:rsidRPr="00D4309F">
        <w:rPr>
          <w:spacing w:val="-1"/>
        </w:rPr>
        <w:t xml:space="preserve"> </w:t>
      </w:r>
      <w:r w:rsidRPr="00D4309F">
        <w:t>are</w:t>
      </w:r>
      <w:r w:rsidRPr="00D4309F">
        <w:rPr>
          <w:spacing w:val="-1"/>
        </w:rPr>
        <w:t xml:space="preserve"> </w:t>
      </w:r>
      <w:r w:rsidRPr="00D4309F">
        <w:t>therefore</w:t>
      </w:r>
      <w:r w:rsidRPr="00D4309F">
        <w:rPr>
          <w:spacing w:val="-1"/>
        </w:rPr>
        <w:t xml:space="preserve"> </w:t>
      </w:r>
      <w:r w:rsidRPr="00D4309F">
        <w:t>expected</w:t>
      </w:r>
      <w:r w:rsidRPr="00D4309F">
        <w:rPr>
          <w:spacing w:val="-1"/>
        </w:rPr>
        <w:t xml:space="preserve"> </w:t>
      </w:r>
      <w:r w:rsidRPr="00D4309F">
        <w:t>to</w:t>
      </w:r>
      <w:r w:rsidRPr="00D4309F">
        <w:rPr>
          <w:spacing w:val="-1"/>
        </w:rPr>
        <w:t xml:space="preserve"> </w:t>
      </w:r>
      <w:r w:rsidRPr="00D4309F">
        <w:t>approach</w:t>
      </w:r>
      <w:r w:rsidRPr="00D4309F">
        <w:rPr>
          <w:spacing w:val="-1"/>
        </w:rPr>
        <w:t xml:space="preserve"> </w:t>
      </w:r>
      <w:r w:rsidRPr="00D4309F">
        <w:t>the</w:t>
      </w:r>
      <w:r w:rsidRPr="00D4309F">
        <w:rPr>
          <w:spacing w:val="-1"/>
        </w:rPr>
        <w:t xml:space="preserve"> </w:t>
      </w:r>
      <w:r w:rsidRPr="00D4309F">
        <w:t>dredged</w:t>
      </w:r>
      <w:r w:rsidRPr="00D4309F">
        <w:rPr>
          <w:spacing w:val="-1"/>
        </w:rPr>
        <w:t xml:space="preserve"> </w:t>
      </w:r>
      <w:r w:rsidRPr="00D4309F">
        <w:t>channel under</w:t>
      </w:r>
      <w:r w:rsidRPr="00D4309F">
        <w:rPr>
          <w:spacing w:val="-2"/>
        </w:rPr>
        <w:t xml:space="preserve"> </w:t>
      </w:r>
      <w:r w:rsidRPr="00D4309F">
        <w:t>mostly</w:t>
      </w:r>
      <w:r w:rsidRPr="00D4309F">
        <w:rPr>
          <w:spacing w:val="-3"/>
        </w:rPr>
        <w:t xml:space="preserve"> </w:t>
      </w:r>
      <w:r w:rsidRPr="00D4309F">
        <w:t>non-breaking</w:t>
      </w:r>
      <w:r w:rsidRPr="00D4309F">
        <w:rPr>
          <w:spacing w:val="-4"/>
        </w:rPr>
        <w:t xml:space="preserve"> </w:t>
      </w:r>
      <w:r w:rsidRPr="00D4309F">
        <w:t>conditions.</w:t>
      </w:r>
      <w:r w:rsidRPr="00D4309F">
        <w:rPr>
          <w:spacing w:val="-3"/>
        </w:rPr>
        <w:t xml:space="preserve"> </w:t>
      </w:r>
      <w:r w:rsidRPr="00D4309F">
        <w:t>This</w:t>
      </w:r>
      <w:r w:rsidRPr="00D4309F">
        <w:rPr>
          <w:spacing w:val="-2"/>
        </w:rPr>
        <w:t xml:space="preserve"> </w:t>
      </w:r>
      <w:r w:rsidRPr="00D4309F">
        <w:t>assumption</w:t>
      </w:r>
      <w:r w:rsidRPr="00D4309F">
        <w:rPr>
          <w:spacing w:val="-3"/>
        </w:rPr>
        <w:t xml:space="preserve"> </w:t>
      </w:r>
      <w:r w:rsidRPr="00D4309F">
        <w:t>will</w:t>
      </w:r>
      <w:r w:rsidRPr="00D4309F">
        <w:rPr>
          <w:spacing w:val="-3"/>
        </w:rPr>
        <w:t xml:space="preserve"> </w:t>
      </w:r>
      <w:r w:rsidRPr="00D4309F">
        <w:t>be</w:t>
      </w:r>
      <w:r w:rsidRPr="00D4309F">
        <w:rPr>
          <w:spacing w:val="-3"/>
        </w:rPr>
        <w:t xml:space="preserve"> </w:t>
      </w:r>
      <w:r w:rsidRPr="00D4309F">
        <w:t>refined</w:t>
      </w:r>
      <w:r w:rsidRPr="00D4309F">
        <w:rPr>
          <w:spacing w:val="-3"/>
        </w:rPr>
        <w:t xml:space="preserve"> </w:t>
      </w:r>
      <w:r w:rsidRPr="00D4309F">
        <w:t>and</w:t>
      </w:r>
      <w:r w:rsidRPr="00D4309F">
        <w:rPr>
          <w:spacing w:val="-4"/>
        </w:rPr>
        <w:t xml:space="preserve"> </w:t>
      </w:r>
      <w:r w:rsidRPr="00D4309F">
        <w:t>confirmed</w:t>
      </w:r>
      <w:r w:rsidRPr="00D4309F">
        <w:rPr>
          <w:spacing w:val="-3"/>
        </w:rPr>
        <w:t xml:space="preserve"> </w:t>
      </w:r>
      <w:r w:rsidRPr="00D4309F">
        <w:t>through</w:t>
      </w:r>
      <w:r w:rsidRPr="00D4309F">
        <w:rPr>
          <w:spacing w:val="-4"/>
        </w:rPr>
        <w:t xml:space="preserve"> </w:t>
      </w:r>
      <w:r w:rsidRPr="00D4309F">
        <w:t>detailed</w:t>
      </w:r>
      <w:r w:rsidRPr="00D4309F">
        <w:rPr>
          <w:spacing w:val="-4"/>
        </w:rPr>
        <w:t xml:space="preserve"> </w:t>
      </w:r>
      <w:r w:rsidRPr="00D4309F">
        <w:t>wave and hydrodynamic modelling.</w:t>
      </w:r>
    </w:p>
    <w:p w14:paraId="42A441C6" w14:textId="77777777" w:rsidR="00725977" w:rsidRPr="00D4309F" w:rsidRDefault="00725977" w:rsidP="00725977">
      <w:pPr>
        <w:pStyle w:val="BodyText"/>
      </w:pPr>
      <w:r w:rsidRPr="00D4309F">
        <w:t>The</w:t>
      </w:r>
      <w:r w:rsidRPr="00D4309F">
        <w:rPr>
          <w:spacing w:val="-2"/>
        </w:rPr>
        <w:t xml:space="preserve"> </w:t>
      </w:r>
      <w:r w:rsidRPr="00D4309F">
        <w:t>creation</w:t>
      </w:r>
      <w:r w:rsidRPr="00D4309F">
        <w:rPr>
          <w:spacing w:val="-2"/>
        </w:rPr>
        <w:t xml:space="preserve"> </w:t>
      </w:r>
      <w:r w:rsidRPr="00D4309F">
        <w:t>of</w:t>
      </w:r>
      <w:r w:rsidRPr="00D4309F">
        <w:rPr>
          <w:spacing w:val="-2"/>
        </w:rPr>
        <w:t xml:space="preserve"> </w:t>
      </w:r>
      <w:r w:rsidRPr="00D4309F">
        <w:t>a</w:t>
      </w:r>
      <w:r w:rsidRPr="00D4309F">
        <w:rPr>
          <w:spacing w:val="-2"/>
        </w:rPr>
        <w:t xml:space="preserve"> </w:t>
      </w:r>
      <w:r w:rsidRPr="00D4309F">
        <w:t>larger</w:t>
      </w:r>
      <w:r w:rsidRPr="00D4309F">
        <w:rPr>
          <w:spacing w:val="-1"/>
        </w:rPr>
        <w:t xml:space="preserve"> </w:t>
      </w:r>
      <w:r w:rsidRPr="00D4309F">
        <w:t>sand</w:t>
      </w:r>
      <w:r w:rsidRPr="00D4309F">
        <w:rPr>
          <w:spacing w:val="-2"/>
        </w:rPr>
        <w:t xml:space="preserve"> </w:t>
      </w:r>
      <w:r w:rsidRPr="00D4309F">
        <w:t>trap</w:t>
      </w:r>
      <w:r w:rsidRPr="00D4309F">
        <w:rPr>
          <w:spacing w:val="-2"/>
        </w:rPr>
        <w:t xml:space="preserve"> </w:t>
      </w:r>
      <w:r w:rsidRPr="00D4309F">
        <w:t>will</w:t>
      </w:r>
      <w:r w:rsidRPr="00D4309F">
        <w:rPr>
          <w:spacing w:val="-2"/>
        </w:rPr>
        <w:t xml:space="preserve"> </w:t>
      </w:r>
      <w:r w:rsidRPr="00D4309F">
        <w:t>also</w:t>
      </w:r>
      <w:r w:rsidRPr="00D4309F">
        <w:rPr>
          <w:spacing w:val="-2"/>
        </w:rPr>
        <w:t xml:space="preserve"> </w:t>
      </w:r>
      <w:r w:rsidRPr="00D4309F">
        <w:t>influence</w:t>
      </w:r>
      <w:r w:rsidRPr="00D4309F">
        <w:rPr>
          <w:spacing w:val="-2"/>
        </w:rPr>
        <w:t xml:space="preserve"> </w:t>
      </w:r>
      <w:r w:rsidRPr="00D4309F">
        <w:t>the</w:t>
      </w:r>
      <w:r w:rsidRPr="00D4309F">
        <w:rPr>
          <w:spacing w:val="-2"/>
        </w:rPr>
        <w:t xml:space="preserve"> </w:t>
      </w:r>
      <w:r w:rsidRPr="00D4309F">
        <w:t>timing</w:t>
      </w:r>
      <w:r w:rsidRPr="00D4309F">
        <w:rPr>
          <w:spacing w:val="-2"/>
        </w:rPr>
        <w:t xml:space="preserve"> </w:t>
      </w:r>
      <w:r w:rsidRPr="00D4309F">
        <w:t>and</w:t>
      </w:r>
      <w:r w:rsidRPr="00D4309F">
        <w:rPr>
          <w:spacing w:val="-3"/>
        </w:rPr>
        <w:t xml:space="preserve"> </w:t>
      </w:r>
      <w:r w:rsidRPr="00D4309F">
        <w:t>balance</w:t>
      </w:r>
      <w:r w:rsidRPr="00D4309F">
        <w:rPr>
          <w:spacing w:val="-2"/>
        </w:rPr>
        <w:t xml:space="preserve"> </w:t>
      </w:r>
      <w:r w:rsidRPr="00D4309F">
        <w:t>of</w:t>
      </w:r>
      <w:r w:rsidRPr="00D4309F">
        <w:rPr>
          <w:spacing w:val="-2"/>
        </w:rPr>
        <w:t xml:space="preserve"> </w:t>
      </w:r>
      <w:r w:rsidRPr="00D4309F">
        <w:t>sediment</w:t>
      </w:r>
      <w:r w:rsidRPr="00D4309F">
        <w:rPr>
          <w:spacing w:val="-2"/>
        </w:rPr>
        <w:t xml:space="preserve"> </w:t>
      </w:r>
      <w:r w:rsidRPr="00D4309F">
        <w:t>exchange</w:t>
      </w:r>
      <w:r w:rsidRPr="00D4309F">
        <w:rPr>
          <w:spacing w:val="-2"/>
        </w:rPr>
        <w:t xml:space="preserve"> </w:t>
      </w:r>
      <w:r w:rsidRPr="00D4309F">
        <w:t>between Buddina and Mooloolaba. Unlike the current maintenance regime, which continually transfers smaller volumes of sand to Mooloolaba Beach, the new system would retain sand within the entrance for longer periods,</w:t>
      </w:r>
      <w:r w:rsidRPr="00D4309F">
        <w:rPr>
          <w:spacing w:val="-3"/>
        </w:rPr>
        <w:t xml:space="preserve"> </w:t>
      </w:r>
      <w:r w:rsidRPr="00D4309F">
        <w:t>allowing</w:t>
      </w:r>
      <w:r w:rsidRPr="00D4309F">
        <w:rPr>
          <w:spacing w:val="-3"/>
        </w:rPr>
        <w:t xml:space="preserve"> </w:t>
      </w:r>
      <w:r w:rsidRPr="00D4309F">
        <w:t>larger</w:t>
      </w:r>
      <w:r w:rsidRPr="00D4309F">
        <w:rPr>
          <w:spacing w:val="-4"/>
        </w:rPr>
        <w:t xml:space="preserve"> </w:t>
      </w:r>
      <w:r w:rsidRPr="00D4309F">
        <w:t>volumes</w:t>
      </w:r>
      <w:r w:rsidRPr="00D4309F">
        <w:rPr>
          <w:spacing w:val="-2"/>
        </w:rPr>
        <w:t xml:space="preserve"> </w:t>
      </w:r>
      <w:r w:rsidRPr="00D4309F">
        <w:t>to</w:t>
      </w:r>
      <w:r w:rsidRPr="00D4309F">
        <w:rPr>
          <w:spacing w:val="-3"/>
        </w:rPr>
        <w:t xml:space="preserve"> </w:t>
      </w:r>
      <w:r w:rsidRPr="00D4309F">
        <w:t>accumulate</w:t>
      </w:r>
      <w:r w:rsidRPr="00D4309F">
        <w:rPr>
          <w:spacing w:val="-3"/>
        </w:rPr>
        <w:t xml:space="preserve"> </w:t>
      </w:r>
      <w:r w:rsidRPr="00D4309F">
        <w:t>before</w:t>
      </w:r>
      <w:r w:rsidRPr="00D4309F">
        <w:rPr>
          <w:spacing w:val="-4"/>
        </w:rPr>
        <w:t xml:space="preserve"> </w:t>
      </w:r>
      <w:r w:rsidRPr="00D4309F">
        <w:t>being</w:t>
      </w:r>
      <w:r w:rsidRPr="00D4309F">
        <w:rPr>
          <w:spacing w:val="-3"/>
        </w:rPr>
        <w:t xml:space="preserve"> </w:t>
      </w:r>
      <w:r w:rsidRPr="00D4309F">
        <w:t>removed.</w:t>
      </w:r>
      <w:r w:rsidRPr="00D4309F">
        <w:rPr>
          <w:spacing w:val="-3"/>
        </w:rPr>
        <w:t xml:space="preserve"> </w:t>
      </w:r>
      <w:r w:rsidRPr="00D4309F">
        <w:t>This</w:t>
      </w:r>
      <w:r w:rsidRPr="00D4309F">
        <w:rPr>
          <w:spacing w:val="-3"/>
        </w:rPr>
        <w:t xml:space="preserve"> </w:t>
      </w:r>
      <w:r w:rsidRPr="00D4309F">
        <w:t>change</w:t>
      </w:r>
      <w:r w:rsidRPr="00D4309F">
        <w:rPr>
          <w:spacing w:val="-3"/>
        </w:rPr>
        <w:t xml:space="preserve"> </w:t>
      </w:r>
      <w:r w:rsidRPr="00D4309F">
        <w:t>in</w:t>
      </w:r>
      <w:r w:rsidRPr="00D4309F">
        <w:rPr>
          <w:spacing w:val="-3"/>
        </w:rPr>
        <w:t xml:space="preserve"> </w:t>
      </w:r>
      <w:r w:rsidRPr="00D4309F">
        <w:t>sediment</w:t>
      </w:r>
      <w:r w:rsidRPr="00D4309F">
        <w:rPr>
          <w:spacing w:val="-3"/>
        </w:rPr>
        <w:t xml:space="preserve"> </w:t>
      </w:r>
      <w:r w:rsidRPr="00D4309F">
        <w:t>timing</w:t>
      </w:r>
      <w:r w:rsidRPr="00D4309F">
        <w:rPr>
          <w:spacing w:val="-3"/>
        </w:rPr>
        <w:t xml:space="preserve"> </w:t>
      </w:r>
      <w:r w:rsidRPr="00D4309F">
        <w:t>may cause</w:t>
      </w:r>
      <w:r w:rsidRPr="00D4309F">
        <w:rPr>
          <w:spacing w:val="-2"/>
        </w:rPr>
        <w:t xml:space="preserve"> </w:t>
      </w:r>
      <w:r w:rsidRPr="00D4309F">
        <w:t>temporary</w:t>
      </w:r>
      <w:r w:rsidRPr="00D4309F">
        <w:rPr>
          <w:spacing w:val="-2"/>
        </w:rPr>
        <w:t xml:space="preserve"> </w:t>
      </w:r>
      <w:r w:rsidRPr="00D4309F">
        <w:t>sand</w:t>
      </w:r>
      <w:r w:rsidRPr="00D4309F">
        <w:rPr>
          <w:spacing w:val="-2"/>
        </w:rPr>
        <w:t xml:space="preserve"> </w:t>
      </w:r>
      <w:r w:rsidRPr="00D4309F">
        <w:t>deficits</w:t>
      </w:r>
      <w:r w:rsidRPr="00D4309F">
        <w:rPr>
          <w:spacing w:val="-1"/>
        </w:rPr>
        <w:t xml:space="preserve"> </w:t>
      </w:r>
      <w:r w:rsidRPr="00D4309F">
        <w:t>on</w:t>
      </w:r>
      <w:r w:rsidRPr="00D4309F">
        <w:rPr>
          <w:spacing w:val="-2"/>
        </w:rPr>
        <w:t xml:space="preserve"> </w:t>
      </w:r>
      <w:r w:rsidRPr="00D4309F">
        <w:t>Mooloolaba</w:t>
      </w:r>
      <w:r w:rsidRPr="00D4309F">
        <w:rPr>
          <w:spacing w:val="-2"/>
        </w:rPr>
        <w:t xml:space="preserve"> </w:t>
      </w:r>
      <w:r w:rsidRPr="00D4309F">
        <w:t>Beach,</w:t>
      </w:r>
      <w:r w:rsidRPr="00D4309F">
        <w:rPr>
          <w:spacing w:val="-4"/>
        </w:rPr>
        <w:t xml:space="preserve"> </w:t>
      </w:r>
      <w:r w:rsidRPr="00D4309F">
        <w:t>potentially</w:t>
      </w:r>
      <w:r w:rsidRPr="00D4309F">
        <w:rPr>
          <w:spacing w:val="-1"/>
        </w:rPr>
        <w:t xml:space="preserve"> </w:t>
      </w:r>
      <w:r w:rsidRPr="00D4309F">
        <w:t>leading</w:t>
      </w:r>
      <w:r w:rsidRPr="00D4309F">
        <w:rPr>
          <w:spacing w:val="-2"/>
        </w:rPr>
        <w:t xml:space="preserve"> </w:t>
      </w:r>
      <w:r w:rsidRPr="00D4309F">
        <w:t>to</w:t>
      </w:r>
      <w:r w:rsidRPr="00D4309F">
        <w:rPr>
          <w:spacing w:val="-2"/>
        </w:rPr>
        <w:t xml:space="preserve"> </w:t>
      </w:r>
      <w:r w:rsidRPr="00D4309F">
        <w:t>short-term</w:t>
      </w:r>
      <w:r w:rsidRPr="00D4309F">
        <w:rPr>
          <w:spacing w:val="-2"/>
        </w:rPr>
        <w:t xml:space="preserve"> </w:t>
      </w:r>
      <w:r w:rsidRPr="00D4309F">
        <w:t>erosion</w:t>
      </w:r>
      <w:r w:rsidRPr="00D4309F">
        <w:rPr>
          <w:spacing w:val="-2"/>
        </w:rPr>
        <w:t xml:space="preserve"> </w:t>
      </w:r>
      <w:r w:rsidRPr="00D4309F">
        <w:t>until</w:t>
      </w:r>
      <w:r w:rsidRPr="00D4309F">
        <w:rPr>
          <w:spacing w:val="-2"/>
        </w:rPr>
        <w:t xml:space="preserve"> </w:t>
      </w:r>
      <w:r w:rsidRPr="00D4309F">
        <w:t>the</w:t>
      </w:r>
      <w:r w:rsidRPr="00D4309F">
        <w:rPr>
          <w:spacing w:val="-2"/>
        </w:rPr>
        <w:t xml:space="preserve"> </w:t>
      </w:r>
      <w:r w:rsidRPr="00D4309F">
        <w:t>next dredging campaign occurs and material is redistributed.</w:t>
      </w:r>
    </w:p>
    <w:p w14:paraId="269AC9D4" w14:textId="77777777" w:rsidR="00725977" w:rsidRDefault="00725977" w:rsidP="00725977">
      <w:pPr>
        <w:pStyle w:val="BodyText"/>
      </w:pPr>
      <w:r w:rsidRPr="00D4309F">
        <w:t>Overall, while the primary physical impact of the option would be increased sediment retention at the entrance, the expected coastal impacts are manageable with appropriate monitoring and adaptive management.</w:t>
      </w:r>
      <w:r w:rsidRPr="00D4309F">
        <w:rPr>
          <w:spacing w:val="-3"/>
        </w:rPr>
        <w:t xml:space="preserve"> </w:t>
      </w:r>
      <w:r w:rsidRPr="00D4309F">
        <w:t>With</w:t>
      </w:r>
      <w:r w:rsidRPr="00D4309F">
        <w:rPr>
          <w:spacing w:val="-3"/>
        </w:rPr>
        <w:t xml:space="preserve"> </w:t>
      </w:r>
      <w:r w:rsidRPr="00D4309F">
        <w:t>coordinated</w:t>
      </w:r>
      <w:r w:rsidRPr="00D4309F">
        <w:rPr>
          <w:spacing w:val="-3"/>
        </w:rPr>
        <w:t xml:space="preserve"> </w:t>
      </w:r>
      <w:r w:rsidRPr="00D4309F">
        <w:t>dredging</w:t>
      </w:r>
      <w:r w:rsidRPr="00D4309F">
        <w:rPr>
          <w:spacing w:val="-4"/>
        </w:rPr>
        <w:t xml:space="preserve"> </w:t>
      </w:r>
      <w:r w:rsidRPr="00D4309F">
        <w:t>and</w:t>
      </w:r>
      <w:r w:rsidRPr="00D4309F">
        <w:rPr>
          <w:spacing w:val="-3"/>
        </w:rPr>
        <w:t xml:space="preserve"> </w:t>
      </w:r>
      <w:r w:rsidRPr="00D4309F">
        <w:t>placement</w:t>
      </w:r>
      <w:r w:rsidRPr="00D4309F">
        <w:rPr>
          <w:spacing w:val="-3"/>
        </w:rPr>
        <w:t xml:space="preserve"> </w:t>
      </w:r>
      <w:r w:rsidRPr="00D4309F">
        <w:t>scheduling,</w:t>
      </w:r>
      <w:r w:rsidRPr="00D4309F">
        <w:rPr>
          <w:spacing w:val="-3"/>
        </w:rPr>
        <w:t xml:space="preserve"> </w:t>
      </w:r>
      <w:r w:rsidRPr="00D4309F">
        <w:t>sediment</w:t>
      </w:r>
      <w:r w:rsidRPr="00D4309F">
        <w:rPr>
          <w:spacing w:val="-5"/>
        </w:rPr>
        <w:t xml:space="preserve"> </w:t>
      </w:r>
      <w:r w:rsidRPr="00D4309F">
        <w:t>continuity</w:t>
      </w:r>
      <w:r w:rsidRPr="00D4309F">
        <w:rPr>
          <w:spacing w:val="-2"/>
        </w:rPr>
        <w:t xml:space="preserve"> </w:t>
      </w:r>
      <w:r w:rsidRPr="00D4309F">
        <w:t>along</w:t>
      </w:r>
      <w:r w:rsidRPr="00D4309F">
        <w:rPr>
          <w:spacing w:val="-4"/>
        </w:rPr>
        <w:t xml:space="preserve"> </w:t>
      </w:r>
      <w:r w:rsidRPr="00D4309F">
        <w:t>the</w:t>
      </w:r>
      <w:r w:rsidRPr="00D4309F">
        <w:rPr>
          <w:spacing w:val="-3"/>
        </w:rPr>
        <w:t xml:space="preserve"> </w:t>
      </w:r>
      <w:r w:rsidRPr="00D4309F">
        <w:t>coast</w:t>
      </w:r>
      <w:r w:rsidRPr="00D4309F">
        <w:rPr>
          <w:spacing w:val="-3"/>
        </w:rPr>
        <w:t xml:space="preserve"> </w:t>
      </w:r>
      <w:r w:rsidRPr="00D4309F">
        <w:t>can be maintained, ensuring the approach remains consistent with long-term coastal stability objectives.</w:t>
      </w:r>
    </w:p>
    <w:p w14:paraId="12585D2D" w14:textId="77777777" w:rsidR="00725977" w:rsidRPr="00D4309F" w:rsidRDefault="00725977" w:rsidP="008228CB">
      <w:pPr>
        <w:pStyle w:val="Heading2"/>
      </w:pPr>
      <w:bookmarkStart w:id="309" w:name="_bookmark127"/>
      <w:bookmarkStart w:id="310" w:name="_Toc216699404"/>
      <w:bookmarkEnd w:id="309"/>
      <w:r w:rsidRPr="00D4309F">
        <w:lastRenderedPageBreak/>
        <w:t>Effectiveness</w:t>
      </w:r>
      <w:r w:rsidRPr="00D4309F">
        <w:rPr>
          <w:spacing w:val="-12"/>
        </w:rPr>
        <w:t xml:space="preserve"> </w:t>
      </w:r>
      <w:r w:rsidRPr="00D4309F">
        <w:t>of</w:t>
      </w:r>
      <w:r w:rsidRPr="00D4309F">
        <w:rPr>
          <w:spacing w:val="-12"/>
        </w:rPr>
        <w:t xml:space="preserve"> </w:t>
      </w:r>
      <w:r w:rsidRPr="00D4309F">
        <w:t>Option</w:t>
      </w:r>
      <w:r w:rsidRPr="00D4309F">
        <w:rPr>
          <w:spacing w:val="-13"/>
        </w:rPr>
        <w:t xml:space="preserve"> </w:t>
      </w:r>
      <w:r w:rsidRPr="00D4309F">
        <w:rPr>
          <w:spacing w:val="-10"/>
        </w:rPr>
        <w:t>2</w:t>
      </w:r>
      <w:bookmarkEnd w:id="310"/>
    </w:p>
    <w:p w14:paraId="62FB4C94" w14:textId="77777777" w:rsidR="00725977" w:rsidRPr="00D4309F" w:rsidRDefault="00725977" w:rsidP="00725977">
      <w:pPr>
        <w:pStyle w:val="BodyText"/>
      </w:pPr>
      <w:r w:rsidRPr="00D4309F">
        <w:t>Modelling undertaken by BMT (2024) indicates a net northward longshore transport rate around Point Cartwright of approximately 75,000 m</w:t>
      </w:r>
      <w:r w:rsidRPr="00D4309F">
        <w:rPr>
          <w:vertAlign w:val="superscript"/>
        </w:rPr>
        <w:t>3</w:t>
      </w:r>
      <w:r w:rsidRPr="00D4309F">
        <w:t xml:space="preserve"> per year, representing the typical annual volume of sand that bypasses</w:t>
      </w:r>
      <w:r w:rsidRPr="00D4309F">
        <w:rPr>
          <w:spacing w:val="-1"/>
        </w:rPr>
        <w:t xml:space="preserve"> </w:t>
      </w:r>
      <w:r w:rsidRPr="00D4309F">
        <w:t>the</w:t>
      </w:r>
      <w:r w:rsidRPr="00D4309F">
        <w:rPr>
          <w:spacing w:val="-3"/>
        </w:rPr>
        <w:t xml:space="preserve"> </w:t>
      </w:r>
      <w:r w:rsidRPr="00D4309F">
        <w:t>headland</w:t>
      </w:r>
      <w:r w:rsidRPr="00D4309F">
        <w:rPr>
          <w:spacing w:val="-2"/>
        </w:rPr>
        <w:t xml:space="preserve"> </w:t>
      </w:r>
      <w:r w:rsidRPr="00D4309F">
        <w:t>and</w:t>
      </w:r>
      <w:r w:rsidRPr="00D4309F">
        <w:rPr>
          <w:spacing w:val="-2"/>
        </w:rPr>
        <w:t xml:space="preserve"> </w:t>
      </w:r>
      <w:r w:rsidRPr="00D4309F">
        <w:t>contributes</w:t>
      </w:r>
      <w:r w:rsidRPr="00D4309F">
        <w:rPr>
          <w:spacing w:val="-1"/>
        </w:rPr>
        <w:t xml:space="preserve"> </w:t>
      </w:r>
      <w:r w:rsidRPr="00D4309F">
        <w:t>to</w:t>
      </w:r>
      <w:r w:rsidRPr="00D4309F">
        <w:rPr>
          <w:spacing w:val="-2"/>
        </w:rPr>
        <w:t xml:space="preserve"> </w:t>
      </w:r>
      <w:r w:rsidRPr="00D4309F">
        <w:t>shoaling</w:t>
      </w:r>
      <w:r w:rsidRPr="00D4309F">
        <w:rPr>
          <w:spacing w:val="-2"/>
        </w:rPr>
        <w:t xml:space="preserve"> </w:t>
      </w:r>
      <w:r w:rsidRPr="00D4309F">
        <w:t>within</w:t>
      </w:r>
      <w:r w:rsidRPr="00D4309F">
        <w:rPr>
          <w:spacing w:val="-2"/>
        </w:rPr>
        <w:t xml:space="preserve"> </w:t>
      </w:r>
      <w:r w:rsidRPr="00D4309F">
        <w:t>the</w:t>
      </w:r>
      <w:r w:rsidRPr="00D4309F">
        <w:rPr>
          <w:spacing w:val="-2"/>
        </w:rPr>
        <w:t xml:space="preserve"> </w:t>
      </w:r>
      <w:r w:rsidRPr="00D4309F">
        <w:t>Mooloolaba</w:t>
      </w:r>
      <w:r w:rsidRPr="00D4309F">
        <w:rPr>
          <w:spacing w:val="-2"/>
        </w:rPr>
        <w:t xml:space="preserve"> </w:t>
      </w:r>
      <w:r w:rsidRPr="00D4309F">
        <w:t>entrance.</w:t>
      </w:r>
      <w:r w:rsidRPr="00D4309F">
        <w:rPr>
          <w:spacing w:val="-4"/>
        </w:rPr>
        <w:t xml:space="preserve"> </w:t>
      </w:r>
      <w:r w:rsidRPr="00D4309F">
        <w:t>The</w:t>
      </w:r>
      <w:r w:rsidRPr="00D4309F">
        <w:rPr>
          <w:spacing w:val="-3"/>
        </w:rPr>
        <w:t xml:space="preserve"> </w:t>
      </w:r>
      <w:r w:rsidRPr="00D4309F">
        <w:t>sand</w:t>
      </w:r>
      <w:r w:rsidRPr="00D4309F">
        <w:rPr>
          <w:spacing w:val="-3"/>
        </w:rPr>
        <w:t xml:space="preserve"> </w:t>
      </w:r>
      <w:r w:rsidRPr="00D4309F">
        <w:t>trap</w:t>
      </w:r>
      <w:r w:rsidRPr="00D4309F">
        <w:rPr>
          <w:spacing w:val="-2"/>
        </w:rPr>
        <w:t xml:space="preserve"> </w:t>
      </w:r>
      <w:r w:rsidRPr="00D4309F">
        <w:t>should</w:t>
      </w:r>
      <w:r w:rsidRPr="00D4309F">
        <w:rPr>
          <w:spacing w:val="-2"/>
        </w:rPr>
        <w:t xml:space="preserve"> </w:t>
      </w:r>
      <w:r w:rsidRPr="00D4309F">
        <w:t>be designed to accommodate approximately one year’s worth of sediment transport, allowing for effective capture and storage before maintenance is required.</w:t>
      </w:r>
    </w:p>
    <w:p w14:paraId="5DB5C3AC" w14:textId="77777777" w:rsidR="00725977" w:rsidRPr="00D4309F" w:rsidRDefault="00725977" w:rsidP="00725977">
      <w:pPr>
        <w:pStyle w:val="BodyText"/>
      </w:pPr>
      <w:r w:rsidRPr="00D4309F">
        <w:t>The trap should be sized to accommodate at least one year’s worth of transport (~75,000 m</w:t>
      </w:r>
      <w:r w:rsidRPr="00D4309F">
        <w:rPr>
          <w:vertAlign w:val="superscript"/>
        </w:rPr>
        <w:t>3</w:t>
      </w:r>
      <w:r w:rsidRPr="00D4309F">
        <w:t>), providing a buffer that enables scheduled removal through maintenance dredging. This transport volume extends seaward to approximately RL -10</w:t>
      </w:r>
      <w:r w:rsidRPr="00D4309F">
        <w:rPr>
          <w:spacing w:val="-10"/>
        </w:rPr>
        <w:t xml:space="preserve"> </w:t>
      </w:r>
      <w:r w:rsidRPr="00D4309F">
        <w:t>m LAT. Further modelling will be required to refine the optimal geometry and</w:t>
      </w:r>
      <w:r w:rsidRPr="00D4309F">
        <w:rPr>
          <w:spacing w:val="-6"/>
        </w:rPr>
        <w:t xml:space="preserve"> </w:t>
      </w:r>
      <w:r w:rsidRPr="00D4309F">
        <w:t>volume</w:t>
      </w:r>
      <w:r w:rsidRPr="00D4309F">
        <w:rPr>
          <w:spacing w:val="-4"/>
        </w:rPr>
        <w:t xml:space="preserve"> </w:t>
      </w:r>
      <w:r w:rsidRPr="00D4309F">
        <w:t>of</w:t>
      </w:r>
      <w:r w:rsidRPr="00D4309F">
        <w:rPr>
          <w:spacing w:val="-4"/>
        </w:rPr>
        <w:t xml:space="preserve"> </w:t>
      </w:r>
      <w:r w:rsidRPr="00D4309F">
        <w:t>the</w:t>
      </w:r>
      <w:r w:rsidRPr="00D4309F">
        <w:rPr>
          <w:spacing w:val="-4"/>
        </w:rPr>
        <w:t xml:space="preserve"> </w:t>
      </w:r>
      <w:r w:rsidRPr="00D4309F">
        <w:t>trap</w:t>
      </w:r>
      <w:r w:rsidRPr="00D4309F">
        <w:rPr>
          <w:spacing w:val="-4"/>
        </w:rPr>
        <w:t xml:space="preserve"> </w:t>
      </w:r>
      <w:r w:rsidRPr="00D4309F">
        <w:t>to</w:t>
      </w:r>
      <w:r w:rsidRPr="00D4309F">
        <w:rPr>
          <w:spacing w:val="-4"/>
        </w:rPr>
        <w:t xml:space="preserve"> </w:t>
      </w:r>
      <w:r w:rsidRPr="00D4309F">
        <w:t>ensure</w:t>
      </w:r>
      <w:r w:rsidRPr="00D4309F">
        <w:rPr>
          <w:spacing w:val="-4"/>
        </w:rPr>
        <w:t xml:space="preserve"> </w:t>
      </w:r>
      <w:r w:rsidRPr="00D4309F">
        <w:t>it</w:t>
      </w:r>
      <w:r w:rsidRPr="00D4309F">
        <w:rPr>
          <w:spacing w:val="-4"/>
        </w:rPr>
        <w:t xml:space="preserve"> </w:t>
      </w:r>
      <w:r w:rsidRPr="00D4309F">
        <w:t>effectively</w:t>
      </w:r>
      <w:r w:rsidRPr="00D4309F">
        <w:rPr>
          <w:spacing w:val="-3"/>
        </w:rPr>
        <w:t xml:space="preserve"> </w:t>
      </w:r>
      <w:r w:rsidRPr="00D4309F">
        <w:t>captures</w:t>
      </w:r>
      <w:r w:rsidRPr="00D4309F">
        <w:rPr>
          <w:spacing w:val="-4"/>
        </w:rPr>
        <w:t xml:space="preserve"> </w:t>
      </w:r>
      <w:r w:rsidRPr="00D4309F">
        <w:t>mobile</w:t>
      </w:r>
      <w:r w:rsidRPr="00D4309F">
        <w:rPr>
          <w:spacing w:val="-4"/>
        </w:rPr>
        <w:t xml:space="preserve"> </w:t>
      </w:r>
      <w:r w:rsidRPr="00D4309F">
        <w:t>sediment</w:t>
      </w:r>
      <w:r w:rsidRPr="00D4309F">
        <w:rPr>
          <w:spacing w:val="-4"/>
        </w:rPr>
        <w:t xml:space="preserve"> </w:t>
      </w:r>
      <w:r w:rsidRPr="00D4309F">
        <w:t>while</w:t>
      </w:r>
      <w:r w:rsidRPr="00D4309F">
        <w:rPr>
          <w:spacing w:val="-4"/>
        </w:rPr>
        <w:t xml:space="preserve"> </w:t>
      </w:r>
      <w:r w:rsidRPr="00D4309F">
        <w:t>minimising</w:t>
      </w:r>
      <w:r w:rsidRPr="00D4309F">
        <w:rPr>
          <w:spacing w:val="-4"/>
        </w:rPr>
        <w:t xml:space="preserve"> </w:t>
      </w:r>
      <w:r w:rsidRPr="00D4309F">
        <w:t>overfill</w:t>
      </w:r>
      <w:r w:rsidRPr="00D4309F">
        <w:rPr>
          <w:spacing w:val="-4"/>
        </w:rPr>
        <w:t xml:space="preserve"> </w:t>
      </w:r>
      <w:r w:rsidRPr="00D4309F">
        <w:t>and</w:t>
      </w:r>
      <w:r w:rsidRPr="00D4309F">
        <w:rPr>
          <w:spacing w:val="-3"/>
        </w:rPr>
        <w:t xml:space="preserve"> </w:t>
      </w:r>
      <w:r w:rsidRPr="00D4309F">
        <w:rPr>
          <w:spacing w:val="-2"/>
        </w:rPr>
        <w:t>bypass.</w:t>
      </w:r>
    </w:p>
    <w:p w14:paraId="21208BA2" w14:textId="77777777" w:rsidR="00725977" w:rsidRPr="00D4309F" w:rsidRDefault="00725977" w:rsidP="00725977">
      <w:pPr>
        <w:pStyle w:val="BodyText"/>
      </w:pPr>
      <w:r w:rsidRPr="00D4309F">
        <w:t>This</w:t>
      </w:r>
      <w:r w:rsidRPr="00D4309F">
        <w:rPr>
          <w:spacing w:val="-2"/>
        </w:rPr>
        <w:t xml:space="preserve"> </w:t>
      </w:r>
      <w:r w:rsidRPr="00D4309F">
        <w:t>design</w:t>
      </w:r>
      <w:r w:rsidRPr="00D4309F">
        <w:rPr>
          <w:spacing w:val="-3"/>
        </w:rPr>
        <w:t xml:space="preserve"> </w:t>
      </w:r>
      <w:r w:rsidRPr="00D4309F">
        <w:t>would</w:t>
      </w:r>
      <w:r w:rsidRPr="00D4309F">
        <w:rPr>
          <w:spacing w:val="-3"/>
        </w:rPr>
        <w:t xml:space="preserve"> </w:t>
      </w:r>
      <w:r w:rsidRPr="00D4309F">
        <w:t>therefore</w:t>
      </w:r>
      <w:r w:rsidRPr="00D4309F">
        <w:rPr>
          <w:spacing w:val="-3"/>
        </w:rPr>
        <w:t xml:space="preserve"> </w:t>
      </w:r>
      <w:r w:rsidRPr="00D4309F">
        <w:t>reduce</w:t>
      </w:r>
      <w:r w:rsidRPr="00D4309F">
        <w:rPr>
          <w:spacing w:val="-3"/>
        </w:rPr>
        <w:t xml:space="preserve"> </w:t>
      </w:r>
      <w:r w:rsidRPr="00D4309F">
        <w:t>the</w:t>
      </w:r>
      <w:r w:rsidRPr="00D4309F">
        <w:rPr>
          <w:spacing w:val="-3"/>
        </w:rPr>
        <w:t xml:space="preserve"> </w:t>
      </w:r>
      <w:r w:rsidRPr="00D4309F">
        <w:t>frequency</w:t>
      </w:r>
      <w:r w:rsidRPr="00D4309F">
        <w:rPr>
          <w:spacing w:val="-2"/>
        </w:rPr>
        <w:t xml:space="preserve"> </w:t>
      </w:r>
      <w:r w:rsidRPr="00D4309F">
        <w:t>of</w:t>
      </w:r>
      <w:r w:rsidRPr="00D4309F">
        <w:rPr>
          <w:spacing w:val="-3"/>
        </w:rPr>
        <w:t xml:space="preserve"> </w:t>
      </w:r>
      <w:r w:rsidRPr="00D4309F">
        <w:t>dredging</w:t>
      </w:r>
      <w:r w:rsidRPr="00D4309F">
        <w:rPr>
          <w:spacing w:val="-3"/>
        </w:rPr>
        <w:t xml:space="preserve"> </w:t>
      </w:r>
      <w:r w:rsidRPr="00D4309F">
        <w:t>campaigns,</w:t>
      </w:r>
      <w:r w:rsidRPr="00D4309F">
        <w:rPr>
          <w:spacing w:val="-3"/>
        </w:rPr>
        <w:t xml:space="preserve"> </w:t>
      </w:r>
      <w:r w:rsidRPr="00D4309F">
        <w:t>providing</w:t>
      </w:r>
      <w:r w:rsidRPr="00D4309F">
        <w:rPr>
          <w:spacing w:val="-3"/>
        </w:rPr>
        <w:t xml:space="preserve"> </w:t>
      </w:r>
      <w:r w:rsidRPr="00D4309F">
        <w:t>longer</w:t>
      </w:r>
      <w:r w:rsidRPr="00D4309F">
        <w:rPr>
          <w:spacing w:val="-2"/>
        </w:rPr>
        <w:t xml:space="preserve"> </w:t>
      </w:r>
      <w:r w:rsidRPr="00D4309F">
        <w:t>intervals</w:t>
      </w:r>
      <w:r w:rsidRPr="00D4309F">
        <w:rPr>
          <w:spacing w:val="-2"/>
        </w:rPr>
        <w:t xml:space="preserve"> </w:t>
      </w:r>
      <w:r w:rsidRPr="00D4309F">
        <w:t>between maintenance events and enabling dredging to occur under safer and more predictable weather conditions.</w:t>
      </w:r>
    </w:p>
    <w:p w14:paraId="789979C6" w14:textId="77777777" w:rsidR="00725977" w:rsidRPr="00D4309F" w:rsidRDefault="00725977" w:rsidP="00725977">
      <w:pPr>
        <w:pStyle w:val="BodyText"/>
      </w:pPr>
      <w:r w:rsidRPr="00D4309F">
        <w:t>By</w:t>
      </w:r>
      <w:r w:rsidRPr="00D4309F">
        <w:rPr>
          <w:spacing w:val="-2"/>
        </w:rPr>
        <w:t xml:space="preserve"> </w:t>
      </w:r>
      <w:r w:rsidRPr="00D4309F">
        <w:t>concentrating</w:t>
      </w:r>
      <w:r w:rsidRPr="00D4309F">
        <w:rPr>
          <w:spacing w:val="-3"/>
        </w:rPr>
        <w:t xml:space="preserve"> </w:t>
      </w:r>
      <w:r w:rsidRPr="00D4309F">
        <w:t>sand</w:t>
      </w:r>
      <w:r w:rsidRPr="00D4309F">
        <w:rPr>
          <w:spacing w:val="-3"/>
        </w:rPr>
        <w:t xml:space="preserve"> </w:t>
      </w:r>
      <w:r w:rsidRPr="00D4309F">
        <w:t>accumulation</w:t>
      </w:r>
      <w:r w:rsidRPr="00D4309F">
        <w:rPr>
          <w:spacing w:val="-3"/>
        </w:rPr>
        <w:t xml:space="preserve"> </w:t>
      </w:r>
      <w:r w:rsidRPr="00D4309F">
        <w:t>in</w:t>
      </w:r>
      <w:r w:rsidRPr="00D4309F">
        <w:rPr>
          <w:spacing w:val="-4"/>
        </w:rPr>
        <w:t xml:space="preserve"> </w:t>
      </w:r>
      <w:r w:rsidRPr="00D4309F">
        <w:t>one</w:t>
      </w:r>
      <w:r w:rsidRPr="00D4309F">
        <w:rPr>
          <w:spacing w:val="-3"/>
        </w:rPr>
        <w:t xml:space="preserve"> </w:t>
      </w:r>
      <w:r w:rsidRPr="00D4309F">
        <w:t>defined</w:t>
      </w:r>
      <w:r w:rsidRPr="00D4309F">
        <w:rPr>
          <w:spacing w:val="-3"/>
        </w:rPr>
        <w:t xml:space="preserve"> </w:t>
      </w:r>
      <w:r w:rsidRPr="00D4309F">
        <w:t>area,</w:t>
      </w:r>
      <w:r w:rsidRPr="00D4309F">
        <w:rPr>
          <w:spacing w:val="-3"/>
        </w:rPr>
        <w:t xml:space="preserve"> </w:t>
      </w:r>
      <w:r w:rsidRPr="00D4309F">
        <w:t>the</w:t>
      </w:r>
      <w:r w:rsidRPr="00D4309F">
        <w:rPr>
          <w:spacing w:val="-3"/>
        </w:rPr>
        <w:t xml:space="preserve"> </w:t>
      </w:r>
      <w:r w:rsidRPr="00D4309F">
        <w:t>approach</w:t>
      </w:r>
      <w:r w:rsidRPr="00D4309F">
        <w:rPr>
          <w:spacing w:val="-3"/>
        </w:rPr>
        <w:t xml:space="preserve"> </w:t>
      </w:r>
      <w:r w:rsidRPr="00D4309F">
        <w:t>simplifies</w:t>
      </w:r>
      <w:r w:rsidRPr="00D4309F">
        <w:rPr>
          <w:spacing w:val="-2"/>
        </w:rPr>
        <w:t xml:space="preserve"> </w:t>
      </w:r>
      <w:r w:rsidRPr="00D4309F">
        <w:t>dredging</w:t>
      </w:r>
      <w:r w:rsidRPr="00D4309F">
        <w:rPr>
          <w:spacing w:val="-3"/>
        </w:rPr>
        <w:t xml:space="preserve"> </w:t>
      </w:r>
      <w:r w:rsidRPr="00D4309F">
        <w:t>logistics</w:t>
      </w:r>
      <w:r w:rsidRPr="00D4309F">
        <w:rPr>
          <w:spacing w:val="-2"/>
        </w:rPr>
        <w:t xml:space="preserve"> </w:t>
      </w:r>
      <w:r w:rsidRPr="00D4309F">
        <w:t>and enhances the ability to maintain navigable depths throughout the entrance.</w:t>
      </w:r>
    </w:p>
    <w:p w14:paraId="32E19C6A" w14:textId="77777777" w:rsidR="00725977" w:rsidRPr="00D4309F" w:rsidRDefault="00725977" w:rsidP="00725977">
      <w:pPr>
        <w:pStyle w:val="BodyText"/>
      </w:pPr>
      <w:r w:rsidRPr="00D4309F">
        <w:t>The effectiveness of this option is expected to be high in terms of improving channel stability and reducing shoaling impacts. The sand trap provides a passive, natural mechanism for sediment capture without requiring</w:t>
      </w:r>
      <w:r w:rsidRPr="00D4309F">
        <w:rPr>
          <w:spacing w:val="-3"/>
        </w:rPr>
        <w:t xml:space="preserve"> </w:t>
      </w:r>
      <w:r w:rsidRPr="00D4309F">
        <w:t>continuous</w:t>
      </w:r>
      <w:r w:rsidRPr="00D4309F">
        <w:rPr>
          <w:spacing w:val="-2"/>
        </w:rPr>
        <w:t xml:space="preserve"> </w:t>
      </w:r>
      <w:r w:rsidRPr="00D4309F">
        <w:t>mechanical</w:t>
      </w:r>
      <w:r w:rsidRPr="00D4309F">
        <w:rPr>
          <w:spacing w:val="-3"/>
        </w:rPr>
        <w:t xml:space="preserve"> </w:t>
      </w:r>
      <w:r w:rsidRPr="00D4309F">
        <w:t>intervention.</w:t>
      </w:r>
      <w:r w:rsidRPr="00D4309F">
        <w:rPr>
          <w:spacing w:val="-3"/>
        </w:rPr>
        <w:t xml:space="preserve"> </w:t>
      </w:r>
      <w:r w:rsidRPr="00D4309F">
        <w:t>While</w:t>
      </w:r>
      <w:r w:rsidRPr="00D4309F">
        <w:rPr>
          <w:spacing w:val="-4"/>
        </w:rPr>
        <w:t xml:space="preserve"> </w:t>
      </w:r>
      <w:r w:rsidRPr="00D4309F">
        <w:t>some</w:t>
      </w:r>
      <w:r w:rsidRPr="00D4309F">
        <w:rPr>
          <w:spacing w:val="-3"/>
        </w:rPr>
        <w:t xml:space="preserve"> </w:t>
      </w:r>
      <w:r w:rsidRPr="00D4309F">
        <w:t>ongoing</w:t>
      </w:r>
      <w:r w:rsidRPr="00D4309F">
        <w:rPr>
          <w:spacing w:val="-4"/>
        </w:rPr>
        <w:t xml:space="preserve"> </w:t>
      </w:r>
      <w:r w:rsidRPr="00D4309F">
        <w:t>dredging</w:t>
      </w:r>
      <w:r w:rsidRPr="00D4309F">
        <w:rPr>
          <w:spacing w:val="-4"/>
        </w:rPr>
        <w:t xml:space="preserve"> </w:t>
      </w:r>
      <w:r w:rsidRPr="00D4309F">
        <w:t>will</w:t>
      </w:r>
      <w:r w:rsidRPr="00D4309F">
        <w:rPr>
          <w:spacing w:val="-3"/>
        </w:rPr>
        <w:t xml:space="preserve"> </w:t>
      </w:r>
      <w:r w:rsidRPr="00D4309F">
        <w:t>still</w:t>
      </w:r>
      <w:r w:rsidRPr="00D4309F">
        <w:rPr>
          <w:spacing w:val="-3"/>
        </w:rPr>
        <w:t xml:space="preserve"> </w:t>
      </w:r>
      <w:r w:rsidRPr="00D4309F">
        <w:t>be</w:t>
      </w:r>
      <w:r w:rsidRPr="00D4309F">
        <w:rPr>
          <w:spacing w:val="-3"/>
        </w:rPr>
        <w:t xml:space="preserve"> </w:t>
      </w:r>
      <w:r w:rsidRPr="00D4309F">
        <w:t>necessary</w:t>
      </w:r>
      <w:r w:rsidRPr="00D4309F">
        <w:rPr>
          <w:spacing w:val="-2"/>
        </w:rPr>
        <w:t xml:space="preserve"> </w:t>
      </w:r>
      <w:r w:rsidRPr="00D4309F">
        <w:t>to</w:t>
      </w:r>
      <w:r w:rsidRPr="00D4309F">
        <w:rPr>
          <w:spacing w:val="-3"/>
        </w:rPr>
        <w:t xml:space="preserve"> </w:t>
      </w:r>
      <w:r w:rsidRPr="00D4309F">
        <w:t xml:space="preserve">remove trapped material, the frequency, duration, and urgency of maintenance activities are likely to be significantly </w:t>
      </w:r>
      <w:r w:rsidRPr="00D4309F">
        <w:rPr>
          <w:spacing w:val="-2"/>
        </w:rPr>
        <w:t>reduced.</w:t>
      </w:r>
    </w:p>
    <w:p w14:paraId="1BFC1B76" w14:textId="686507F1" w:rsidR="00725977" w:rsidRPr="00D4309F" w:rsidRDefault="00725977" w:rsidP="00725977">
      <w:pPr>
        <w:pStyle w:val="BodyText"/>
      </w:pPr>
      <w:r w:rsidRPr="00D4309F">
        <w:t>This approach would provide greater operational flexibility, improved navigational reliability, and a more manageable</w:t>
      </w:r>
      <w:r w:rsidRPr="00D4309F">
        <w:rPr>
          <w:spacing w:val="-3"/>
        </w:rPr>
        <w:t xml:space="preserve"> </w:t>
      </w:r>
      <w:r w:rsidRPr="00D4309F">
        <w:t>long-term</w:t>
      </w:r>
      <w:r w:rsidRPr="00D4309F">
        <w:rPr>
          <w:spacing w:val="-3"/>
        </w:rPr>
        <w:t xml:space="preserve"> </w:t>
      </w:r>
      <w:r w:rsidRPr="00D4309F">
        <w:t>maintenance</w:t>
      </w:r>
      <w:r w:rsidRPr="00D4309F">
        <w:rPr>
          <w:spacing w:val="-3"/>
        </w:rPr>
        <w:t xml:space="preserve"> </w:t>
      </w:r>
      <w:r w:rsidRPr="00D4309F">
        <w:t>regime,</w:t>
      </w:r>
      <w:r w:rsidRPr="00D4309F">
        <w:rPr>
          <w:spacing w:val="-3"/>
        </w:rPr>
        <w:t xml:space="preserve"> </w:t>
      </w:r>
      <w:r w:rsidRPr="00D4309F">
        <w:t>aligning</w:t>
      </w:r>
      <w:r w:rsidRPr="00D4309F">
        <w:rPr>
          <w:spacing w:val="-4"/>
        </w:rPr>
        <w:t xml:space="preserve"> </w:t>
      </w:r>
      <w:r w:rsidRPr="00D4309F">
        <w:t>well</w:t>
      </w:r>
      <w:r w:rsidRPr="00D4309F">
        <w:rPr>
          <w:spacing w:val="-3"/>
        </w:rPr>
        <w:t xml:space="preserve"> </w:t>
      </w:r>
      <w:r w:rsidRPr="00D4309F">
        <w:t>with</w:t>
      </w:r>
      <w:r w:rsidRPr="00D4309F">
        <w:rPr>
          <w:spacing w:val="-3"/>
        </w:rPr>
        <w:t xml:space="preserve"> </w:t>
      </w:r>
      <w:r w:rsidRPr="00D4309F">
        <w:t>the</w:t>
      </w:r>
      <w:r w:rsidRPr="00D4309F">
        <w:rPr>
          <w:spacing w:val="-4"/>
        </w:rPr>
        <w:t xml:space="preserve"> </w:t>
      </w:r>
      <w:r w:rsidRPr="00D4309F">
        <w:t>objective</w:t>
      </w:r>
      <w:r w:rsidRPr="00D4309F">
        <w:rPr>
          <w:spacing w:val="-3"/>
        </w:rPr>
        <w:t xml:space="preserve"> </w:t>
      </w:r>
      <w:r w:rsidRPr="00D4309F">
        <w:t>of</w:t>
      </w:r>
      <w:r w:rsidRPr="00D4309F">
        <w:rPr>
          <w:spacing w:val="-5"/>
        </w:rPr>
        <w:t xml:space="preserve"> </w:t>
      </w:r>
      <w:r w:rsidRPr="00D4309F">
        <w:t>maintaining</w:t>
      </w:r>
      <w:r w:rsidRPr="00D4309F">
        <w:rPr>
          <w:spacing w:val="-3"/>
        </w:rPr>
        <w:t xml:space="preserve"> </w:t>
      </w:r>
      <w:r w:rsidRPr="00D4309F">
        <w:t>clear</w:t>
      </w:r>
      <w:r w:rsidRPr="00D4309F">
        <w:rPr>
          <w:spacing w:val="-2"/>
        </w:rPr>
        <w:t xml:space="preserve"> </w:t>
      </w:r>
      <w:r w:rsidRPr="00D4309F">
        <w:t>and</w:t>
      </w:r>
      <w:r w:rsidRPr="00D4309F">
        <w:rPr>
          <w:spacing w:val="-3"/>
        </w:rPr>
        <w:t xml:space="preserve"> </w:t>
      </w:r>
      <w:r w:rsidRPr="00D4309F">
        <w:t>safe access for all marine users.</w:t>
      </w:r>
    </w:p>
    <w:p w14:paraId="31B6347E" w14:textId="77777777" w:rsidR="00725977" w:rsidRPr="00D4309F" w:rsidRDefault="00725977" w:rsidP="008228CB">
      <w:pPr>
        <w:pStyle w:val="Heading2"/>
      </w:pPr>
      <w:bookmarkStart w:id="311" w:name="_bookmark128"/>
      <w:bookmarkStart w:id="312" w:name="_Toc216699405"/>
      <w:bookmarkEnd w:id="311"/>
      <w:r w:rsidRPr="00D4309F">
        <w:t>Variations</w:t>
      </w:r>
      <w:r w:rsidRPr="00D4309F">
        <w:rPr>
          <w:spacing w:val="-11"/>
        </w:rPr>
        <w:t xml:space="preserve"> </w:t>
      </w:r>
      <w:r w:rsidRPr="00D4309F">
        <w:t>of</w:t>
      </w:r>
      <w:r w:rsidRPr="00D4309F">
        <w:rPr>
          <w:spacing w:val="-11"/>
        </w:rPr>
        <w:t xml:space="preserve"> </w:t>
      </w:r>
      <w:r w:rsidRPr="00D4309F">
        <w:t>Option</w:t>
      </w:r>
      <w:r w:rsidRPr="00D4309F">
        <w:rPr>
          <w:spacing w:val="-12"/>
        </w:rPr>
        <w:t xml:space="preserve"> </w:t>
      </w:r>
      <w:r w:rsidRPr="00D4309F">
        <w:rPr>
          <w:spacing w:val="-10"/>
        </w:rPr>
        <w:t>2</w:t>
      </w:r>
      <w:bookmarkEnd w:id="312"/>
    </w:p>
    <w:p w14:paraId="36088936" w14:textId="77777777" w:rsidR="00725977" w:rsidRPr="00D4309F" w:rsidRDefault="00725977" w:rsidP="00725977">
      <w:pPr>
        <w:pStyle w:val="BodyText"/>
      </w:pPr>
      <w:r w:rsidRPr="00D4309F">
        <w:t>Three sub-options have been identified for on-going maintenance operations, after the rock substrate has been removed. implementing this option, each differing primarily in how accumulated sand within the excavated</w:t>
      </w:r>
      <w:r w:rsidRPr="00D4309F">
        <w:rPr>
          <w:spacing w:val="-2"/>
        </w:rPr>
        <w:t xml:space="preserve"> </w:t>
      </w:r>
      <w:r w:rsidRPr="00D4309F">
        <w:t>trap</w:t>
      </w:r>
      <w:r w:rsidRPr="00D4309F">
        <w:rPr>
          <w:spacing w:val="-2"/>
        </w:rPr>
        <w:t xml:space="preserve"> </w:t>
      </w:r>
      <w:r w:rsidRPr="00D4309F">
        <w:t>would</w:t>
      </w:r>
      <w:r w:rsidRPr="00D4309F">
        <w:rPr>
          <w:spacing w:val="-2"/>
        </w:rPr>
        <w:t xml:space="preserve"> </w:t>
      </w:r>
      <w:r w:rsidRPr="00D4309F">
        <w:t>be</w:t>
      </w:r>
      <w:r w:rsidRPr="00D4309F">
        <w:rPr>
          <w:spacing w:val="-2"/>
        </w:rPr>
        <w:t xml:space="preserve"> </w:t>
      </w:r>
      <w:r w:rsidRPr="00D4309F">
        <w:t>removed</w:t>
      </w:r>
      <w:r w:rsidRPr="00D4309F">
        <w:rPr>
          <w:spacing w:val="-2"/>
        </w:rPr>
        <w:t xml:space="preserve"> </w:t>
      </w:r>
      <w:r w:rsidRPr="00D4309F">
        <w:t>and</w:t>
      </w:r>
      <w:r w:rsidRPr="00D4309F">
        <w:rPr>
          <w:spacing w:val="-2"/>
        </w:rPr>
        <w:t xml:space="preserve"> </w:t>
      </w:r>
      <w:r w:rsidRPr="00D4309F">
        <w:t>transferred</w:t>
      </w:r>
      <w:r w:rsidRPr="00D4309F">
        <w:rPr>
          <w:spacing w:val="-2"/>
        </w:rPr>
        <w:t xml:space="preserve"> </w:t>
      </w:r>
      <w:r w:rsidRPr="00D4309F">
        <w:t>to</w:t>
      </w:r>
      <w:r w:rsidRPr="00D4309F">
        <w:rPr>
          <w:spacing w:val="-2"/>
        </w:rPr>
        <w:t xml:space="preserve"> </w:t>
      </w:r>
      <w:r w:rsidRPr="00D4309F">
        <w:t>the</w:t>
      </w:r>
      <w:r w:rsidRPr="00D4309F">
        <w:rPr>
          <w:spacing w:val="-2"/>
        </w:rPr>
        <w:t xml:space="preserve"> </w:t>
      </w:r>
      <w:r w:rsidRPr="00D4309F">
        <w:t>receiving</w:t>
      </w:r>
      <w:r w:rsidRPr="00D4309F">
        <w:rPr>
          <w:spacing w:val="-3"/>
        </w:rPr>
        <w:t xml:space="preserve"> </w:t>
      </w:r>
      <w:r w:rsidRPr="00D4309F">
        <w:t>area</w:t>
      </w:r>
      <w:r w:rsidRPr="00D4309F">
        <w:rPr>
          <w:spacing w:val="-3"/>
        </w:rPr>
        <w:t xml:space="preserve"> </w:t>
      </w:r>
      <w:r w:rsidRPr="00D4309F">
        <w:t>(Area</w:t>
      </w:r>
      <w:r w:rsidRPr="00D4309F">
        <w:rPr>
          <w:spacing w:val="-2"/>
        </w:rPr>
        <w:t xml:space="preserve"> </w:t>
      </w:r>
      <w:r w:rsidRPr="00D4309F">
        <w:t>B).</w:t>
      </w:r>
      <w:r w:rsidRPr="00D4309F">
        <w:rPr>
          <w:spacing w:val="-2"/>
        </w:rPr>
        <w:t xml:space="preserve"> </w:t>
      </w:r>
      <w:r w:rsidRPr="00D4309F">
        <w:t>These</w:t>
      </w:r>
      <w:r w:rsidRPr="00D4309F">
        <w:rPr>
          <w:spacing w:val="-3"/>
        </w:rPr>
        <w:t xml:space="preserve"> </w:t>
      </w:r>
      <w:r w:rsidRPr="00D4309F">
        <w:t>sub-options</w:t>
      </w:r>
      <w:r w:rsidRPr="00D4309F">
        <w:rPr>
          <w:spacing w:val="-1"/>
        </w:rPr>
        <w:t xml:space="preserve"> </w:t>
      </w:r>
      <w:r w:rsidRPr="00D4309F">
        <w:t>reflect varying levels of capital investment, dredging efficiency, and operational flexibility.</w:t>
      </w:r>
    </w:p>
    <w:p w14:paraId="0084A261" w14:textId="77777777" w:rsidR="00725977" w:rsidRPr="00D4309F" w:rsidRDefault="00725977" w:rsidP="00D27F26">
      <w:pPr>
        <w:pStyle w:val="ListParagraph"/>
        <w:widowControl w:val="0"/>
        <w:numPr>
          <w:ilvl w:val="0"/>
          <w:numId w:val="410"/>
        </w:numPr>
        <w:tabs>
          <w:tab w:val="left" w:pos="501"/>
        </w:tabs>
        <w:autoSpaceDE w:val="0"/>
        <w:autoSpaceDN w:val="0"/>
        <w:spacing w:before="121" w:after="0" w:line="240" w:lineRule="auto"/>
        <w:ind w:right="211"/>
        <w:contextualSpacing w:val="0"/>
      </w:pPr>
      <w:r w:rsidRPr="00D4309F">
        <w:rPr>
          <w:b/>
          <w:color w:val="211E1F"/>
        </w:rPr>
        <w:t>Option 2A – Excavated sand trap with existing CSD operations</w:t>
      </w:r>
      <w:r w:rsidRPr="00D4309F">
        <w:rPr>
          <w:color w:val="211E1F"/>
        </w:rPr>
        <w:t>: This variation proposes excavating the</w:t>
      </w:r>
      <w:r w:rsidRPr="00D4309F">
        <w:rPr>
          <w:color w:val="211E1F"/>
          <w:spacing w:val="-3"/>
        </w:rPr>
        <w:t xml:space="preserve"> </w:t>
      </w:r>
      <w:r w:rsidRPr="00D4309F">
        <w:rPr>
          <w:color w:val="211E1F"/>
        </w:rPr>
        <w:t>rock</w:t>
      </w:r>
      <w:r w:rsidRPr="00D4309F">
        <w:rPr>
          <w:color w:val="211E1F"/>
          <w:spacing w:val="-2"/>
        </w:rPr>
        <w:t xml:space="preserve"> </w:t>
      </w:r>
      <w:r w:rsidRPr="00D4309F">
        <w:rPr>
          <w:color w:val="211E1F"/>
        </w:rPr>
        <w:t>trap</w:t>
      </w:r>
      <w:r w:rsidRPr="00D4309F">
        <w:rPr>
          <w:color w:val="211E1F"/>
          <w:spacing w:val="-3"/>
        </w:rPr>
        <w:t xml:space="preserve"> </w:t>
      </w:r>
      <w:r w:rsidRPr="00D4309F">
        <w:rPr>
          <w:color w:val="211E1F"/>
        </w:rPr>
        <w:t>as</w:t>
      </w:r>
      <w:r w:rsidRPr="00D4309F">
        <w:rPr>
          <w:color w:val="211E1F"/>
          <w:spacing w:val="-2"/>
        </w:rPr>
        <w:t xml:space="preserve"> </w:t>
      </w:r>
      <w:r w:rsidRPr="00D4309F">
        <w:rPr>
          <w:color w:val="211E1F"/>
        </w:rPr>
        <w:t>described,</w:t>
      </w:r>
      <w:r w:rsidRPr="00D4309F">
        <w:rPr>
          <w:color w:val="211E1F"/>
          <w:spacing w:val="-5"/>
        </w:rPr>
        <w:t xml:space="preserve"> </w:t>
      </w:r>
      <w:r w:rsidRPr="00D4309F">
        <w:rPr>
          <w:color w:val="211E1F"/>
        </w:rPr>
        <w:t>with</w:t>
      </w:r>
      <w:r w:rsidRPr="00D4309F">
        <w:rPr>
          <w:color w:val="211E1F"/>
          <w:spacing w:val="-3"/>
        </w:rPr>
        <w:t xml:space="preserve"> </w:t>
      </w:r>
      <w:r w:rsidRPr="00D4309F">
        <w:rPr>
          <w:color w:val="211E1F"/>
        </w:rPr>
        <w:t>ongoing</w:t>
      </w:r>
      <w:r w:rsidRPr="00D4309F">
        <w:rPr>
          <w:color w:val="211E1F"/>
          <w:spacing w:val="-4"/>
        </w:rPr>
        <w:t xml:space="preserve"> </w:t>
      </w:r>
      <w:r w:rsidRPr="00D4309F">
        <w:rPr>
          <w:color w:val="211E1F"/>
        </w:rPr>
        <w:t>maintenance</w:t>
      </w:r>
      <w:r w:rsidRPr="00D4309F">
        <w:rPr>
          <w:color w:val="211E1F"/>
          <w:spacing w:val="-4"/>
        </w:rPr>
        <w:t xml:space="preserve"> </w:t>
      </w:r>
      <w:r w:rsidRPr="00D4309F">
        <w:rPr>
          <w:color w:val="211E1F"/>
        </w:rPr>
        <w:t>dredging</w:t>
      </w:r>
      <w:r w:rsidRPr="00D4309F">
        <w:rPr>
          <w:color w:val="211E1F"/>
          <w:spacing w:val="-3"/>
        </w:rPr>
        <w:t xml:space="preserve"> </w:t>
      </w:r>
      <w:r w:rsidRPr="00D4309F">
        <w:rPr>
          <w:color w:val="211E1F"/>
        </w:rPr>
        <w:t>conducted</w:t>
      </w:r>
      <w:r w:rsidRPr="00D4309F">
        <w:rPr>
          <w:color w:val="211E1F"/>
          <w:spacing w:val="-3"/>
        </w:rPr>
        <w:t xml:space="preserve"> </w:t>
      </w:r>
      <w:r w:rsidRPr="00D4309F">
        <w:rPr>
          <w:color w:val="211E1F"/>
        </w:rPr>
        <w:t>by</w:t>
      </w:r>
      <w:r w:rsidRPr="00D4309F">
        <w:rPr>
          <w:color w:val="211E1F"/>
          <w:spacing w:val="-2"/>
        </w:rPr>
        <w:t xml:space="preserve"> </w:t>
      </w:r>
      <w:r w:rsidRPr="00D4309F">
        <w:rPr>
          <w:color w:val="211E1F"/>
        </w:rPr>
        <w:t>the</w:t>
      </w:r>
      <w:r w:rsidRPr="00D4309F">
        <w:rPr>
          <w:color w:val="211E1F"/>
          <w:spacing w:val="-4"/>
        </w:rPr>
        <w:t xml:space="preserve"> </w:t>
      </w:r>
      <w:r w:rsidRPr="00D4309F">
        <w:rPr>
          <w:color w:val="211E1F"/>
        </w:rPr>
        <w:t>existing</w:t>
      </w:r>
      <w:r w:rsidRPr="00D4309F">
        <w:rPr>
          <w:color w:val="211E1F"/>
          <w:spacing w:val="-3"/>
        </w:rPr>
        <w:t xml:space="preserve"> </w:t>
      </w:r>
      <w:r w:rsidRPr="00D4309F">
        <w:rPr>
          <w:color w:val="211E1F"/>
        </w:rPr>
        <w:t>Cutter</w:t>
      </w:r>
      <w:r w:rsidRPr="00D4309F">
        <w:rPr>
          <w:color w:val="211E1F"/>
          <w:spacing w:val="-2"/>
        </w:rPr>
        <w:t xml:space="preserve"> </w:t>
      </w:r>
      <w:r w:rsidRPr="00D4309F">
        <w:rPr>
          <w:color w:val="211E1F"/>
        </w:rPr>
        <w:t>Suction Dredge (CSD). The dredge would operate as required, similar to the current maintenance regime, and discharge material through</w:t>
      </w:r>
      <w:r w:rsidRPr="00D4309F">
        <w:rPr>
          <w:color w:val="211E1F"/>
          <w:spacing w:val="-1"/>
        </w:rPr>
        <w:t xml:space="preserve"> </w:t>
      </w:r>
      <w:r w:rsidRPr="00D4309F">
        <w:rPr>
          <w:color w:val="211E1F"/>
        </w:rPr>
        <w:t>the existing pipeline network to Mooloolaba Beach (Area B). This represents a comparatively low-capital, adaptive approach that leverages existing plant and infrastructure.</w:t>
      </w:r>
    </w:p>
    <w:p w14:paraId="7B561AD5" w14:textId="77777777" w:rsidR="00725977" w:rsidRPr="00D4309F" w:rsidRDefault="00725977" w:rsidP="00D27F26">
      <w:pPr>
        <w:pStyle w:val="ListParagraph"/>
        <w:widowControl w:val="0"/>
        <w:numPr>
          <w:ilvl w:val="0"/>
          <w:numId w:val="410"/>
        </w:numPr>
        <w:tabs>
          <w:tab w:val="left" w:pos="501"/>
        </w:tabs>
        <w:autoSpaceDE w:val="0"/>
        <w:autoSpaceDN w:val="0"/>
        <w:spacing w:before="118" w:after="0" w:line="240" w:lineRule="auto"/>
        <w:ind w:right="147"/>
        <w:contextualSpacing w:val="0"/>
      </w:pPr>
      <w:r w:rsidRPr="00D4309F">
        <w:rPr>
          <w:b/>
          <w:color w:val="211E1F"/>
        </w:rPr>
        <w:t>Option</w:t>
      </w:r>
      <w:r w:rsidRPr="00D4309F">
        <w:rPr>
          <w:b/>
          <w:color w:val="211E1F"/>
          <w:spacing w:val="-3"/>
        </w:rPr>
        <w:t xml:space="preserve"> </w:t>
      </w:r>
      <w:r w:rsidRPr="00D4309F">
        <w:rPr>
          <w:b/>
          <w:color w:val="211E1F"/>
        </w:rPr>
        <w:t>2B</w:t>
      </w:r>
      <w:r w:rsidRPr="00D4309F">
        <w:rPr>
          <w:b/>
          <w:color w:val="211E1F"/>
          <w:spacing w:val="-2"/>
        </w:rPr>
        <w:t xml:space="preserve"> </w:t>
      </w:r>
      <w:r w:rsidRPr="00D4309F">
        <w:rPr>
          <w:b/>
          <w:color w:val="211E1F"/>
        </w:rPr>
        <w:t>–</w:t>
      </w:r>
      <w:r w:rsidRPr="00D4309F">
        <w:rPr>
          <w:b/>
          <w:color w:val="211E1F"/>
          <w:spacing w:val="-4"/>
        </w:rPr>
        <w:t xml:space="preserve"> </w:t>
      </w:r>
      <w:r w:rsidRPr="00D4309F">
        <w:rPr>
          <w:b/>
          <w:color w:val="211E1F"/>
        </w:rPr>
        <w:t>Excavated</w:t>
      </w:r>
      <w:r w:rsidRPr="00D4309F">
        <w:rPr>
          <w:b/>
          <w:color w:val="211E1F"/>
          <w:spacing w:val="-3"/>
        </w:rPr>
        <w:t xml:space="preserve"> </w:t>
      </w:r>
      <w:r w:rsidRPr="00D4309F">
        <w:rPr>
          <w:b/>
          <w:color w:val="211E1F"/>
        </w:rPr>
        <w:t>sand</w:t>
      </w:r>
      <w:r w:rsidRPr="00D4309F">
        <w:rPr>
          <w:b/>
          <w:color w:val="211E1F"/>
          <w:spacing w:val="-3"/>
        </w:rPr>
        <w:t xml:space="preserve"> </w:t>
      </w:r>
      <w:r w:rsidRPr="00D4309F">
        <w:rPr>
          <w:b/>
          <w:color w:val="211E1F"/>
        </w:rPr>
        <w:t>trap</w:t>
      </w:r>
      <w:r w:rsidRPr="00D4309F">
        <w:rPr>
          <w:b/>
          <w:color w:val="211E1F"/>
          <w:spacing w:val="-3"/>
        </w:rPr>
        <w:t xml:space="preserve"> </w:t>
      </w:r>
      <w:r w:rsidRPr="00D4309F">
        <w:rPr>
          <w:b/>
          <w:color w:val="211E1F"/>
        </w:rPr>
        <w:t>with</w:t>
      </w:r>
      <w:r w:rsidRPr="00D4309F">
        <w:rPr>
          <w:b/>
          <w:color w:val="211E1F"/>
          <w:spacing w:val="-3"/>
        </w:rPr>
        <w:t xml:space="preserve"> </w:t>
      </w:r>
      <w:r w:rsidRPr="00D4309F">
        <w:rPr>
          <w:b/>
          <w:color w:val="211E1F"/>
        </w:rPr>
        <w:t>TSHD</w:t>
      </w:r>
      <w:r w:rsidRPr="00D4309F">
        <w:rPr>
          <w:b/>
          <w:color w:val="211E1F"/>
          <w:spacing w:val="-2"/>
        </w:rPr>
        <w:t xml:space="preserve"> </w:t>
      </w:r>
      <w:r w:rsidRPr="00D4309F">
        <w:rPr>
          <w:b/>
          <w:color w:val="211E1F"/>
        </w:rPr>
        <w:t>campaigns</w:t>
      </w:r>
      <w:r w:rsidRPr="00D4309F">
        <w:rPr>
          <w:color w:val="211E1F"/>
        </w:rPr>
        <w:t>:</w:t>
      </w:r>
      <w:r w:rsidRPr="00D4309F">
        <w:rPr>
          <w:color w:val="211E1F"/>
          <w:spacing w:val="-3"/>
        </w:rPr>
        <w:t xml:space="preserve"> </w:t>
      </w:r>
      <w:r w:rsidRPr="00D4309F">
        <w:rPr>
          <w:color w:val="211E1F"/>
        </w:rPr>
        <w:t>Under</w:t>
      </w:r>
      <w:r w:rsidRPr="00D4309F">
        <w:rPr>
          <w:color w:val="211E1F"/>
          <w:spacing w:val="-2"/>
        </w:rPr>
        <w:t xml:space="preserve"> </w:t>
      </w:r>
      <w:r w:rsidRPr="00D4309F">
        <w:rPr>
          <w:color w:val="211E1F"/>
        </w:rPr>
        <w:t>this</w:t>
      </w:r>
      <w:r w:rsidRPr="00D4309F">
        <w:rPr>
          <w:color w:val="211E1F"/>
          <w:spacing w:val="-3"/>
        </w:rPr>
        <w:t xml:space="preserve"> </w:t>
      </w:r>
      <w:r w:rsidRPr="00D4309F">
        <w:rPr>
          <w:color w:val="211E1F"/>
        </w:rPr>
        <w:t>variation,</w:t>
      </w:r>
      <w:r w:rsidRPr="00D4309F">
        <w:rPr>
          <w:color w:val="211E1F"/>
          <w:spacing w:val="-3"/>
        </w:rPr>
        <w:t xml:space="preserve"> </w:t>
      </w:r>
      <w:r w:rsidRPr="00D4309F">
        <w:rPr>
          <w:color w:val="211E1F"/>
        </w:rPr>
        <w:t>dredging</w:t>
      </w:r>
      <w:r w:rsidRPr="00D4309F">
        <w:rPr>
          <w:color w:val="211E1F"/>
          <w:spacing w:val="-4"/>
        </w:rPr>
        <w:t xml:space="preserve"> </w:t>
      </w:r>
      <w:r w:rsidRPr="00D4309F">
        <w:rPr>
          <w:color w:val="211E1F"/>
        </w:rPr>
        <w:t>would</w:t>
      </w:r>
      <w:r w:rsidRPr="00D4309F">
        <w:rPr>
          <w:color w:val="211E1F"/>
          <w:spacing w:val="-3"/>
        </w:rPr>
        <w:t xml:space="preserve"> </w:t>
      </w:r>
      <w:r w:rsidRPr="00D4309F">
        <w:rPr>
          <w:color w:val="211E1F"/>
        </w:rPr>
        <w:t>be</w:t>
      </w:r>
      <w:r w:rsidRPr="00D4309F">
        <w:rPr>
          <w:color w:val="211E1F"/>
          <w:spacing w:val="-3"/>
        </w:rPr>
        <w:t xml:space="preserve"> </w:t>
      </w:r>
      <w:r w:rsidRPr="00D4309F">
        <w:rPr>
          <w:color w:val="211E1F"/>
        </w:rPr>
        <w:t>less frequent but involve larger-volume campaigns using a Trailer Suction Hopper Dredge (TSHD). The</w:t>
      </w:r>
      <w:r w:rsidRPr="00D4309F">
        <w:rPr>
          <w:color w:val="211E1F"/>
          <w:spacing w:val="40"/>
        </w:rPr>
        <w:t xml:space="preserve"> </w:t>
      </w:r>
      <w:r w:rsidRPr="00D4309F">
        <w:rPr>
          <w:color w:val="211E1F"/>
        </w:rPr>
        <w:t>TSHD would remove accumulated sand once the trap reaches capacity, potentially every 12 months,</w:t>
      </w:r>
      <w:r w:rsidRPr="00D4309F">
        <w:rPr>
          <w:color w:val="211E1F"/>
          <w:spacing w:val="40"/>
        </w:rPr>
        <w:t xml:space="preserve"> </w:t>
      </w:r>
      <w:r w:rsidRPr="00D4309F">
        <w:rPr>
          <w:color w:val="211E1F"/>
        </w:rPr>
        <w:t>and place material in the nearshore zone of Area B for natural onshore migration. This approach would allow greater dredging efficiency and flexibility in timing, though it depends on the availability of suitable dredge plant and suitable sea-state conditions for a TSHD to access the entrance – an operational constraint given the shallow, occasionally breaking bar.</w:t>
      </w:r>
    </w:p>
    <w:p w14:paraId="3150550B" w14:textId="77777777" w:rsidR="00725977" w:rsidRPr="00D4309F" w:rsidRDefault="00725977" w:rsidP="000E1EDA">
      <w:pPr>
        <w:pStyle w:val="ListParagraph"/>
        <w:widowControl w:val="0"/>
        <w:numPr>
          <w:ilvl w:val="0"/>
          <w:numId w:val="410"/>
        </w:numPr>
        <w:tabs>
          <w:tab w:val="left" w:pos="500"/>
        </w:tabs>
        <w:autoSpaceDE w:val="0"/>
        <w:autoSpaceDN w:val="0"/>
        <w:spacing w:before="119" w:after="0" w:line="240" w:lineRule="auto"/>
        <w:ind w:right="279"/>
        <w:contextualSpacing w:val="0"/>
      </w:pPr>
      <w:r w:rsidRPr="00D4309F">
        <w:rPr>
          <w:b/>
          <w:color w:val="211E1F"/>
        </w:rPr>
        <w:t>Option 2C – Excavated sand trap with semi-permanent pump system</w:t>
      </w:r>
      <w:r w:rsidRPr="00D4309F">
        <w:rPr>
          <w:color w:val="211E1F"/>
        </w:rPr>
        <w:t>: This variation introduces a semi-permanent pump and pipeline system designed to periodically transfer sand directly from the trap across the entrance to Area B. The system could be activated as needed, providing a more automated sediment-bypassing function while retaining the benefits of the deepened sand trap. This approach involves</w:t>
      </w:r>
      <w:r w:rsidRPr="00D4309F">
        <w:rPr>
          <w:color w:val="211E1F"/>
          <w:spacing w:val="-2"/>
        </w:rPr>
        <w:t xml:space="preserve"> </w:t>
      </w:r>
      <w:r w:rsidRPr="00D4309F">
        <w:rPr>
          <w:color w:val="211E1F"/>
        </w:rPr>
        <w:t>higher</w:t>
      </w:r>
      <w:r w:rsidRPr="00D4309F">
        <w:rPr>
          <w:color w:val="211E1F"/>
          <w:spacing w:val="-2"/>
        </w:rPr>
        <w:t xml:space="preserve"> </w:t>
      </w:r>
      <w:r w:rsidRPr="00D4309F">
        <w:rPr>
          <w:color w:val="211E1F"/>
        </w:rPr>
        <w:t>upfront</w:t>
      </w:r>
      <w:r w:rsidRPr="00D4309F">
        <w:rPr>
          <w:color w:val="211E1F"/>
          <w:spacing w:val="-3"/>
        </w:rPr>
        <w:t xml:space="preserve"> </w:t>
      </w:r>
      <w:r w:rsidRPr="00D4309F">
        <w:rPr>
          <w:color w:val="211E1F"/>
        </w:rPr>
        <w:t>costs</w:t>
      </w:r>
      <w:r w:rsidRPr="00D4309F">
        <w:rPr>
          <w:color w:val="211E1F"/>
          <w:spacing w:val="-2"/>
        </w:rPr>
        <w:t xml:space="preserve"> </w:t>
      </w:r>
      <w:r w:rsidRPr="00D4309F">
        <w:rPr>
          <w:color w:val="211E1F"/>
        </w:rPr>
        <w:t>but</w:t>
      </w:r>
      <w:r w:rsidRPr="00D4309F">
        <w:rPr>
          <w:color w:val="211E1F"/>
          <w:spacing w:val="-3"/>
        </w:rPr>
        <w:t xml:space="preserve"> </w:t>
      </w:r>
      <w:r w:rsidRPr="00D4309F">
        <w:rPr>
          <w:color w:val="211E1F"/>
        </w:rPr>
        <w:t>offers</w:t>
      </w:r>
      <w:r w:rsidRPr="00D4309F">
        <w:rPr>
          <w:color w:val="211E1F"/>
          <w:spacing w:val="-2"/>
        </w:rPr>
        <w:t xml:space="preserve"> </w:t>
      </w:r>
      <w:r w:rsidRPr="00D4309F">
        <w:rPr>
          <w:color w:val="211E1F"/>
        </w:rPr>
        <w:t>improved</w:t>
      </w:r>
      <w:r w:rsidRPr="00D4309F">
        <w:rPr>
          <w:color w:val="211E1F"/>
          <w:spacing w:val="-3"/>
        </w:rPr>
        <w:t xml:space="preserve"> </w:t>
      </w:r>
      <w:r w:rsidRPr="00D4309F">
        <w:rPr>
          <w:color w:val="211E1F"/>
        </w:rPr>
        <w:t>control</w:t>
      </w:r>
      <w:r w:rsidRPr="00D4309F">
        <w:rPr>
          <w:color w:val="211E1F"/>
          <w:spacing w:val="-3"/>
        </w:rPr>
        <w:t xml:space="preserve"> </w:t>
      </w:r>
      <w:r w:rsidRPr="00D4309F">
        <w:rPr>
          <w:color w:val="211E1F"/>
        </w:rPr>
        <w:t>and</w:t>
      </w:r>
      <w:r w:rsidRPr="00D4309F">
        <w:rPr>
          <w:color w:val="211E1F"/>
          <w:spacing w:val="-4"/>
        </w:rPr>
        <w:t xml:space="preserve"> </w:t>
      </w:r>
      <w:r w:rsidRPr="00D4309F">
        <w:rPr>
          <w:color w:val="211E1F"/>
        </w:rPr>
        <w:t>responsiveness,</w:t>
      </w:r>
      <w:r w:rsidRPr="00D4309F">
        <w:rPr>
          <w:color w:val="211E1F"/>
          <w:spacing w:val="-3"/>
        </w:rPr>
        <w:t xml:space="preserve"> </w:t>
      </w:r>
      <w:r w:rsidRPr="00D4309F">
        <w:rPr>
          <w:color w:val="211E1F"/>
        </w:rPr>
        <w:t>potentially</w:t>
      </w:r>
      <w:r w:rsidRPr="00D4309F">
        <w:rPr>
          <w:color w:val="211E1F"/>
          <w:spacing w:val="-2"/>
        </w:rPr>
        <w:t xml:space="preserve"> </w:t>
      </w:r>
      <w:r w:rsidRPr="00D4309F">
        <w:rPr>
          <w:color w:val="211E1F"/>
        </w:rPr>
        <w:t>evolving</w:t>
      </w:r>
      <w:r w:rsidRPr="00D4309F">
        <w:rPr>
          <w:color w:val="211E1F"/>
          <w:spacing w:val="-3"/>
        </w:rPr>
        <w:t xml:space="preserve"> </w:t>
      </w:r>
      <w:r w:rsidRPr="00D4309F">
        <w:rPr>
          <w:color w:val="211E1F"/>
        </w:rPr>
        <w:t>into</w:t>
      </w:r>
      <w:r w:rsidRPr="00D4309F">
        <w:rPr>
          <w:color w:val="211E1F"/>
          <w:spacing w:val="-3"/>
        </w:rPr>
        <w:t xml:space="preserve"> </w:t>
      </w:r>
      <w:r w:rsidRPr="00D4309F">
        <w:rPr>
          <w:color w:val="211E1F"/>
        </w:rPr>
        <w:t>a more continuous or on-demand bypass system in the longer term.</w:t>
      </w:r>
    </w:p>
    <w:p w14:paraId="71DB4928" w14:textId="77777777" w:rsidR="00725977" w:rsidRPr="00D4309F" w:rsidRDefault="00725977" w:rsidP="00725977">
      <w:pPr>
        <w:pStyle w:val="BodyText"/>
      </w:pPr>
      <w:r w:rsidRPr="00D4309F">
        <w:t>Each of these variations seeks to achieve the same fundamental goal, reducing shoaling frequency and maintaining</w:t>
      </w:r>
      <w:r w:rsidRPr="00D4309F">
        <w:rPr>
          <w:spacing w:val="-2"/>
        </w:rPr>
        <w:t xml:space="preserve"> </w:t>
      </w:r>
      <w:r w:rsidRPr="00D4309F">
        <w:t>safe</w:t>
      </w:r>
      <w:r w:rsidRPr="00D4309F">
        <w:rPr>
          <w:spacing w:val="-2"/>
        </w:rPr>
        <w:t xml:space="preserve"> </w:t>
      </w:r>
      <w:r w:rsidRPr="00D4309F">
        <w:t>navigational</w:t>
      </w:r>
      <w:r w:rsidRPr="00D4309F">
        <w:rPr>
          <w:spacing w:val="-2"/>
        </w:rPr>
        <w:t xml:space="preserve"> </w:t>
      </w:r>
      <w:r w:rsidRPr="00D4309F">
        <w:t>depths,</w:t>
      </w:r>
      <w:r w:rsidRPr="00D4309F">
        <w:rPr>
          <w:spacing w:val="-2"/>
        </w:rPr>
        <w:t xml:space="preserve"> </w:t>
      </w:r>
      <w:r w:rsidRPr="00D4309F">
        <w:t>but</w:t>
      </w:r>
      <w:r w:rsidRPr="00D4309F">
        <w:rPr>
          <w:spacing w:val="-2"/>
        </w:rPr>
        <w:t xml:space="preserve"> </w:t>
      </w:r>
      <w:r w:rsidRPr="00D4309F">
        <w:t>does</w:t>
      </w:r>
      <w:r w:rsidRPr="00D4309F">
        <w:rPr>
          <w:spacing w:val="-2"/>
        </w:rPr>
        <w:t xml:space="preserve"> </w:t>
      </w:r>
      <w:r w:rsidRPr="00D4309F">
        <w:t>so</w:t>
      </w:r>
      <w:r w:rsidRPr="00D4309F">
        <w:rPr>
          <w:spacing w:val="-2"/>
        </w:rPr>
        <w:t xml:space="preserve"> </w:t>
      </w:r>
      <w:r w:rsidRPr="00D4309F">
        <w:t>through</w:t>
      </w:r>
      <w:r w:rsidRPr="00D4309F">
        <w:rPr>
          <w:spacing w:val="-2"/>
        </w:rPr>
        <w:t xml:space="preserve"> </w:t>
      </w:r>
      <w:r w:rsidRPr="00D4309F">
        <w:t>different</w:t>
      </w:r>
      <w:r w:rsidRPr="00D4309F">
        <w:rPr>
          <w:spacing w:val="-4"/>
        </w:rPr>
        <w:t xml:space="preserve"> </w:t>
      </w:r>
      <w:r w:rsidRPr="00D4309F">
        <w:t>operational</w:t>
      </w:r>
      <w:r w:rsidRPr="00D4309F">
        <w:rPr>
          <w:spacing w:val="-3"/>
        </w:rPr>
        <w:t xml:space="preserve"> </w:t>
      </w:r>
      <w:r w:rsidRPr="00D4309F">
        <w:t>mechanisms</w:t>
      </w:r>
      <w:r w:rsidRPr="00D4309F">
        <w:rPr>
          <w:spacing w:val="-1"/>
        </w:rPr>
        <w:t xml:space="preserve"> </w:t>
      </w:r>
      <w:r w:rsidRPr="00D4309F">
        <w:t>and</w:t>
      </w:r>
      <w:r w:rsidRPr="00D4309F">
        <w:rPr>
          <w:spacing w:val="-2"/>
        </w:rPr>
        <w:t xml:space="preserve"> </w:t>
      </w:r>
      <w:r w:rsidRPr="00D4309F">
        <w:t>levels</w:t>
      </w:r>
      <w:r w:rsidRPr="00D4309F">
        <w:rPr>
          <w:spacing w:val="-1"/>
        </w:rPr>
        <w:t xml:space="preserve"> </w:t>
      </w:r>
      <w:r w:rsidRPr="00D4309F">
        <w:t>of engineering</w:t>
      </w:r>
      <w:r w:rsidRPr="00D4309F">
        <w:rPr>
          <w:spacing w:val="-8"/>
        </w:rPr>
        <w:t xml:space="preserve"> </w:t>
      </w:r>
      <w:r w:rsidRPr="00D4309F">
        <w:t>intervention.</w:t>
      </w:r>
      <w:r w:rsidRPr="00D4309F">
        <w:rPr>
          <w:spacing w:val="-5"/>
        </w:rPr>
        <w:t xml:space="preserve"> </w:t>
      </w:r>
      <w:r w:rsidRPr="00D4309F">
        <w:t>The</w:t>
      </w:r>
      <w:r w:rsidRPr="00D4309F">
        <w:rPr>
          <w:spacing w:val="-5"/>
        </w:rPr>
        <w:t xml:space="preserve"> </w:t>
      </w:r>
      <w:r w:rsidRPr="00D4309F">
        <w:t>following</w:t>
      </w:r>
      <w:r w:rsidRPr="00D4309F">
        <w:rPr>
          <w:spacing w:val="-6"/>
        </w:rPr>
        <w:t xml:space="preserve"> </w:t>
      </w:r>
      <w:r w:rsidRPr="00D4309F">
        <w:t>sections</w:t>
      </w:r>
      <w:r w:rsidRPr="00D4309F">
        <w:rPr>
          <w:spacing w:val="-4"/>
        </w:rPr>
        <w:t xml:space="preserve"> </w:t>
      </w:r>
      <w:r w:rsidRPr="00D4309F">
        <w:t>evaluate</w:t>
      </w:r>
      <w:r w:rsidRPr="00D4309F">
        <w:rPr>
          <w:spacing w:val="-5"/>
        </w:rPr>
        <w:t xml:space="preserve"> </w:t>
      </w:r>
      <w:r w:rsidRPr="00D4309F">
        <w:t>their</w:t>
      </w:r>
      <w:r w:rsidRPr="00D4309F">
        <w:rPr>
          <w:spacing w:val="-4"/>
        </w:rPr>
        <w:t xml:space="preserve"> </w:t>
      </w:r>
      <w:r w:rsidRPr="00D4309F">
        <w:t>relative</w:t>
      </w:r>
      <w:r w:rsidRPr="00D4309F">
        <w:rPr>
          <w:spacing w:val="-6"/>
        </w:rPr>
        <w:t xml:space="preserve"> </w:t>
      </w:r>
      <w:r w:rsidRPr="00D4309F">
        <w:t>performance,</w:t>
      </w:r>
      <w:r w:rsidRPr="00D4309F">
        <w:rPr>
          <w:spacing w:val="-5"/>
        </w:rPr>
        <w:t xml:space="preserve"> </w:t>
      </w:r>
      <w:r w:rsidRPr="00D4309F">
        <w:t>costs,</w:t>
      </w:r>
      <w:r w:rsidRPr="00D4309F">
        <w:rPr>
          <w:spacing w:val="-5"/>
        </w:rPr>
        <w:t xml:space="preserve"> </w:t>
      </w:r>
      <w:r w:rsidRPr="00D4309F">
        <w:t>and</w:t>
      </w:r>
      <w:r w:rsidRPr="00D4309F">
        <w:rPr>
          <w:spacing w:val="-5"/>
        </w:rPr>
        <w:t xml:space="preserve"> </w:t>
      </w:r>
      <w:r w:rsidRPr="00D4309F">
        <w:rPr>
          <w:spacing w:val="-2"/>
        </w:rPr>
        <w:t>feasibility.</w:t>
      </w:r>
    </w:p>
    <w:p w14:paraId="0050DD9A" w14:textId="77777777" w:rsidR="00725977" w:rsidRPr="00D4309F" w:rsidRDefault="00725977" w:rsidP="008228CB">
      <w:pPr>
        <w:pStyle w:val="Heading2"/>
      </w:pPr>
      <w:bookmarkStart w:id="313" w:name="_bookmark129"/>
      <w:bookmarkStart w:id="314" w:name="_Toc216699406"/>
      <w:bookmarkEnd w:id="313"/>
      <w:r w:rsidRPr="00D4309F">
        <w:lastRenderedPageBreak/>
        <w:t>Option</w:t>
      </w:r>
      <w:r w:rsidRPr="00D4309F">
        <w:rPr>
          <w:spacing w:val="-9"/>
        </w:rPr>
        <w:t xml:space="preserve"> </w:t>
      </w:r>
      <w:r w:rsidRPr="00D4309F">
        <w:t>2A</w:t>
      </w:r>
      <w:r w:rsidRPr="00D4309F">
        <w:rPr>
          <w:spacing w:val="-9"/>
        </w:rPr>
        <w:t xml:space="preserve"> </w:t>
      </w:r>
      <w:r w:rsidRPr="00D4309F">
        <w:t>–</w:t>
      </w:r>
      <w:r w:rsidRPr="00D4309F">
        <w:rPr>
          <w:spacing w:val="-8"/>
        </w:rPr>
        <w:t xml:space="preserve"> </w:t>
      </w:r>
      <w:r w:rsidRPr="00D4309F">
        <w:t>Excavated</w:t>
      </w:r>
      <w:r w:rsidRPr="00D4309F">
        <w:rPr>
          <w:spacing w:val="-9"/>
        </w:rPr>
        <w:t xml:space="preserve"> </w:t>
      </w:r>
      <w:r w:rsidRPr="00D4309F">
        <w:t>sand</w:t>
      </w:r>
      <w:r w:rsidRPr="00D4309F">
        <w:rPr>
          <w:spacing w:val="-9"/>
        </w:rPr>
        <w:t xml:space="preserve"> </w:t>
      </w:r>
      <w:r w:rsidRPr="00D4309F">
        <w:t>trap</w:t>
      </w:r>
      <w:r w:rsidRPr="00D4309F">
        <w:rPr>
          <w:spacing w:val="-9"/>
        </w:rPr>
        <w:t xml:space="preserve"> </w:t>
      </w:r>
      <w:r w:rsidRPr="00D4309F">
        <w:t>with</w:t>
      </w:r>
      <w:r w:rsidRPr="00D4309F">
        <w:rPr>
          <w:spacing w:val="-9"/>
        </w:rPr>
        <w:t xml:space="preserve"> </w:t>
      </w:r>
      <w:r w:rsidRPr="00D4309F">
        <w:t>existing</w:t>
      </w:r>
      <w:r w:rsidRPr="00D4309F">
        <w:rPr>
          <w:spacing w:val="-8"/>
        </w:rPr>
        <w:t xml:space="preserve"> </w:t>
      </w:r>
      <w:r w:rsidRPr="00D4309F">
        <w:t>CSD</w:t>
      </w:r>
      <w:r w:rsidRPr="00D4309F">
        <w:rPr>
          <w:spacing w:val="-7"/>
        </w:rPr>
        <w:t xml:space="preserve"> </w:t>
      </w:r>
      <w:r w:rsidRPr="00D4309F">
        <w:rPr>
          <w:spacing w:val="-2"/>
        </w:rPr>
        <w:t>operations</w:t>
      </w:r>
      <w:bookmarkEnd w:id="314"/>
    </w:p>
    <w:p w14:paraId="39520F73" w14:textId="77777777" w:rsidR="00725977" w:rsidRDefault="00725977" w:rsidP="00725977">
      <w:pPr>
        <w:pStyle w:val="BodyText"/>
      </w:pPr>
      <w:r w:rsidRPr="00D4309F">
        <w:t>Option 2A involves the excavation of a</w:t>
      </w:r>
      <w:r w:rsidRPr="00D4309F">
        <w:rPr>
          <w:spacing w:val="-9"/>
        </w:rPr>
        <w:t xml:space="preserve"> </w:t>
      </w:r>
      <w:r w:rsidRPr="00D4309F">
        <w:t>rock-based sand trap</w:t>
      </w:r>
      <w:r w:rsidRPr="00D4309F">
        <w:rPr>
          <w:spacing w:val="-9"/>
        </w:rPr>
        <w:t xml:space="preserve"> </w:t>
      </w:r>
      <w:r w:rsidRPr="00D4309F">
        <w:t>within the entrance channel, with</w:t>
      </w:r>
      <w:r w:rsidRPr="00D4309F">
        <w:rPr>
          <w:spacing w:val="-11"/>
        </w:rPr>
        <w:t xml:space="preserve"> </w:t>
      </w:r>
      <w:r w:rsidRPr="00D4309F">
        <w:t>ongoing maintenance</w:t>
      </w:r>
      <w:r w:rsidRPr="00D4309F">
        <w:rPr>
          <w:spacing w:val="-4"/>
        </w:rPr>
        <w:t xml:space="preserve"> </w:t>
      </w:r>
      <w:r w:rsidRPr="00D4309F">
        <w:t>dredging</w:t>
      </w:r>
      <w:r w:rsidRPr="00D4309F">
        <w:rPr>
          <w:spacing w:val="-3"/>
        </w:rPr>
        <w:t xml:space="preserve"> </w:t>
      </w:r>
      <w:r w:rsidRPr="00D4309F">
        <w:t>undertaken</w:t>
      </w:r>
      <w:r w:rsidRPr="00D4309F">
        <w:rPr>
          <w:spacing w:val="-3"/>
        </w:rPr>
        <w:t xml:space="preserve"> </w:t>
      </w:r>
      <w:r w:rsidRPr="00D4309F">
        <w:t>by</w:t>
      </w:r>
      <w:r w:rsidRPr="00D4309F">
        <w:rPr>
          <w:spacing w:val="-2"/>
        </w:rPr>
        <w:t xml:space="preserve"> </w:t>
      </w:r>
      <w:r w:rsidRPr="00D4309F">
        <w:t>the</w:t>
      </w:r>
      <w:r w:rsidRPr="00D4309F">
        <w:rPr>
          <w:spacing w:val="-3"/>
        </w:rPr>
        <w:t xml:space="preserve"> </w:t>
      </w:r>
      <w:r w:rsidRPr="00D4309F">
        <w:t>existing</w:t>
      </w:r>
      <w:r w:rsidRPr="00D4309F">
        <w:rPr>
          <w:spacing w:val="-3"/>
        </w:rPr>
        <w:t xml:space="preserve"> </w:t>
      </w:r>
      <w:r w:rsidRPr="00D4309F">
        <w:t>Cutter</w:t>
      </w:r>
      <w:r w:rsidRPr="00D4309F">
        <w:rPr>
          <w:spacing w:val="-2"/>
        </w:rPr>
        <w:t xml:space="preserve"> </w:t>
      </w:r>
      <w:r w:rsidRPr="00D4309F">
        <w:t>Suction</w:t>
      </w:r>
      <w:r w:rsidRPr="00D4309F">
        <w:rPr>
          <w:spacing w:val="-4"/>
        </w:rPr>
        <w:t xml:space="preserve"> </w:t>
      </w:r>
      <w:r w:rsidRPr="00D4309F">
        <w:t>Dredge</w:t>
      </w:r>
      <w:r w:rsidRPr="00D4309F">
        <w:rPr>
          <w:spacing w:val="-3"/>
        </w:rPr>
        <w:t xml:space="preserve"> </w:t>
      </w:r>
      <w:r w:rsidRPr="00D4309F">
        <w:t>(CSD)</w:t>
      </w:r>
      <w:r w:rsidRPr="00D4309F">
        <w:rPr>
          <w:spacing w:val="-16"/>
        </w:rPr>
        <w:t xml:space="preserve"> </w:t>
      </w:r>
      <w:r w:rsidRPr="00D4309F">
        <w:t>as</w:t>
      </w:r>
      <w:r w:rsidRPr="00D4309F">
        <w:rPr>
          <w:spacing w:val="-2"/>
        </w:rPr>
        <w:t xml:space="preserve"> </w:t>
      </w:r>
      <w:r w:rsidRPr="00D4309F">
        <w:t>required.</w:t>
      </w:r>
      <w:r w:rsidRPr="00D4309F">
        <w:rPr>
          <w:spacing w:val="-3"/>
        </w:rPr>
        <w:t xml:space="preserve"> </w:t>
      </w:r>
      <w:r w:rsidRPr="00D4309F">
        <w:t>The</w:t>
      </w:r>
      <w:r w:rsidRPr="00D4309F">
        <w:rPr>
          <w:spacing w:val="-3"/>
        </w:rPr>
        <w:t xml:space="preserve"> </w:t>
      </w:r>
      <w:r w:rsidRPr="00D4309F">
        <w:t>dredge would remove accumulated sand from the trap and</w:t>
      </w:r>
      <w:r w:rsidRPr="00D4309F">
        <w:rPr>
          <w:spacing w:val="-11"/>
        </w:rPr>
        <w:t xml:space="preserve"> </w:t>
      </w:r>
      <w:r w:rsidRPr="00D4309F">
        <w:t>discharge it through the existing pipeline network</w:t>
      </w:r>
      <w:r w:rsidRPr="00D4309F">
        <w:rPr>
          <w:spacing w:val="-11"/>
        </w:rPr>
        <w:t xml:space="preserve"> </w:t>
      </w:r>
      <w:r w:rsidRPr="00D4309F">
        <w:t>to Mooloolaba Beach (Area B). This approach represents a</w:t>
      </w:r>
      <w:r w:rsidRPr="00D4309F">
        <w:rPr>
          <w:spacing w:val="-9"/>
        </w:rPr>
        <w:t xml:space="preserve"> </w:t>
      </w:r>
      <w:r w:rsidRPr="00D4309F">
        <w:t>low-cost, low-risk adaptation</w:t>
      </w:r>
      <w:r w:rsidRPr="00D4309F">
        <w:rPr>
          <w:spacing w:val="-9"/>
        </w:rPr>
        <w:t xml:space="preserve"> </w:t>
      </w:r>
      <w:r w:rsidRPr="00D4309F">
        <w:t>of the current maintenance regime, utilising existing equipment and infrastructure while benefiting from the improved efficiency provided by the deeper, purpose-built sand trap.</w:t>
      </w:r>
    </w:p>
    <w:p w14:paraId="1C277297" w14:textId="77777777" w:rsidR="00725977" w:rsidRPr="00D4309F" w:rsidRDefault="00725977" w:rsidP="00F12A6F">
      <w:pPr>
        <w:pStyle w:val="BodyText"/>
        <w:jc w:val="center"/>
      </w:pPr>
      <w:r w:rsidRPr="00D4309F">
        <w:rPr>
          <w:noProof/>
        </w:rPr>
        <mc:AlternateContent>
          <mc:Choice Requires="wpg">
            <w:drawing>
              <wp:inline distT="0" distB="0" distL="0" distR="0" wp14:anchorId="51A9D054" wp14:editId="38EFBEF0">
                <wp:extent cx="5275580" cy="7211695"/>
                <wp:effectExtent l="0" t="0" r="1270" b="8255"/>
                <wp:docPr id="209" name="Group 209" descr="Two arial images, one stacked on top of the other, both of Point Cartwright and the Mooloolaba Boat Harbour Entrance. The image at the top has overlays on the map to showing where the sand is trapped and Pumped (when required), directly at the entrance. there's also another area on Mooloolaba beach that indicates where sand is placed by pip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75580" cy="7211695"/>
                          <a:chOff x="0" y="0"/>
                          <a:chExt cx="5275580" cy="7211695"/>
                        </a:xfrm>
                      </wpg:grpSpPr>
                      <pic:pic xmlns:pic="http://schemas.openxmlformats.org/drawingml/2006/picture">
                        <pic:nvPicPr>
                          <pic:cNvPr id="210" name="Image 210"/>
                          <pic:cNvPicPr/>
                        </pic:nvPicPr>
                        <pic:blipFill>
                          <a:blip r:embed="rId96" cstate="print"/>
                          <a:stretch>
                            <a:fillRect/>
                          </a:stretch>
                        </pic:blipFill>
                        <pic:spPr>
                          <a:xfrm>
                            <a:off x="0" y="0"/>
                            <a:ext cx="5275237" cy="3610226"/>
                          </a:xfrm>
                          <a:prstGeom prst="rect">
                            <a:avLst/>
                          </a:prstGeom>
                        </pic:spPr>
                      </pic:pic>
                      <pic:pic xmlns:pic="http://schemas.openxmlformats.org/drawingml/2006/picture">
                        <pic:nvPicPr>
                          <pic:cNvPr id="211" name="Image 211" descr="An aerial view of a beach  AI-generated content may be incorrect. "/>
                          <pic:cNvPicPr/>
                        </pic:nvPicPr>
                        <pic:blipFill>
                          <a:blip r:embed="rId97" cstate="print"/>
                          <a:stretch>
                            <a:fillRect/>
                          </a:stretch>
                        </pic:blipFill>
                        <pic:spPr>
                          <a:xfrm>
                            <a:off x="0" y="3627754"/>
                            <a:ext cx="5149914" cy="3583936"/>
                          </a:xfrm>
                          <a:prstGeom prst="rect">
                            <a:avLst/>
                          </a:prstGeom>
                        </pic:spPr>
                      </pic:pic>
                    </wpg:wgp>
                  </a:graphicData>
                </a:graphic>
              </wp:inline>
            </w:drawing>
          </mc:Choice>
          <mc:Fallback>
            <w:pict>
              <v:group w14:anchorId="03CD0A4D" id="Group 209" o:spid="_x0000_s1026" alt="Two arial images, one stacked on top of the other, both of Point Cartwright and the Mooloolaba Boat Harbour Entrance. The image at the top has overlays on the map to showing where the sand is trapped and Pumped (when required), directly at the entrance. there's also another area on Mooloolaba beach that indicates where sand is placed by pipe. " style="width:415.4pt;height:567.85pt;mso-position-horizontal-relative:char;mso-position-vertical-relative:line" coordsize="52755,721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">
                <v:shape id="Image 210" o:spid="_x0000_s1027" type="#_x0000_t75" style="position:absolute;width:52752;height:36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">
                  <v:imagedata r:id="rId98" o:title=""/>
                </v:shape>
                <v:shape id="Image 211" o:spid="_x0000_s1028" type="#_x0000_t75" alt="An aerial view of a beach  AI-generated content may be incorrect. " style="position:absolute;top:36277;width:51499;height:35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">
                  <v:imagedata r:id="rId99" o:title="An aerial view of a beach  AI-generated content may be incorrect"/>
                </v:shape>
                <w10:anchorlock/>
              </v:group>
            </w:pict>
          </mc:Fallback>
        </mc:AlternateContent>
      </w:r>
    </w:p>
    <w:p w14:paraId="65C07A79" w14:textId="27442D7B" w:rsidR="00F12A6F" w:rsidRDefault="00F12A6F" w:rsidP="005244F7">
      <w:pPr>
        <w:pStyle w:val="Caption"/>
        <w:rPr>
          <w:color w:val="211E1F"/>
          <w:spacing w:val="-2"/>
        </w:rPr>
      </w:pPr>
      <w:bookmarkStart w:id="315" w:name="_bookmark130"/>
      <w:bookmarkStart w:id="316" w:name="_Toc216699626"/>
      <w:bookmarkEnd w:id="315"/>
      <w:r>
        <w:t xml:space="preserve">Figure </w:t>
      </w:r>
      <w:r w:rsidR="00B538D4">
        <w:fldChar w:fldCharType="begin" w:fldLock="1"/>
      </w:r>
      <w:r w:rsidR="00B538D4">
        <w:instrText xml:space="preserve"> STYLEREF 1 \s </w:instrText>
      </w:r>
      <w:r w:rsidR="00B538D4">
        <w:fldChar w:fldCharType="separate"/>
      </w:r>
      <w:r w:rsidR="00B538D4">
        <w:rPr>
          <w:noProof/>
        </w:rPr>
        <w:t>14</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3</w:t>
      </w:r>
      <w:r w:rsidR="00B538D4">
        <w:fldChar w:fldCharType="end"/>
      </w:r>
      <w:r>
        <w:t>:</w:t>
      </w:r>
      <w:r>
        <w:tab/>
      </w:r>
      <w:r w:rsidRPr="00D4309F">
        <w:rPr>
          <w:color w:val="211E1F"/>
        </w:rPr>
        <w:t>Option</w:t>
      </w:r>
      <w:r w:rsidRPr="00D4309F">
        <w:rPr>
          <w:color w:val="211E1F"/>
          <w:spacing w:val="-2"/>
        </w:rPr>
        <w:t xml:space="preserve"> </w:t>
      </w:r>
      <w:r w:rsidRPr="00D4309F">
        <w:rPr>
          <w:color w:val="211E1F"/>
        </w:rPr>
        <w:t>2A</w:t>
      </w:r>
      <w:r w:rsidRPr="00D4309F">
        <w:rPr>
          <w:color w:val="211E1F"/>
          <w:spacing w:val="-2"/>
        </w:rPr>
        <w:t xml:space="preserve"> </w:t>
      </w:r>
      <w:r w:rsidRPr="00D4309F">
        <w:rPr>
          <w:color w:val="211E1F"/>
        </w:rPr>
        <w:t>schematic</w:t>
      </w:r>
      <w:r w:rsidRPr="00D4309F">
        <w:rPr>
          <w:color w:val="211E1F"/>
          <w:spacing w:val="-2"/>
        </w:rPr>
        <w:t xml:space="preserve"> layout</w:t>
      </w:r>
      <w:bookmarkEnd w:id="316"/>
    </w:p>
    <w:p w14:paraId="01E7C23F" w14:textId="5261F8AF" w:rsidR="00F12A6F" w:rsidRPr="00F12A6F" w:rsidRDefault="00F12A6F" w:rsidP="005244F7">
      <w:pPr>
        <w:pStyle w:val="BodyText"/>
        <w:sectPr w:rsidR="00F12A6F" w:rsidRPr="00F12A6F" w:rsidSect="00405D4F">
          <w:headerReference w:type="default" r:id="rId100"/>
          <w:footerReference w:type="default" r:id="rId101"/>
          <w:pgSz w:w="11910" w:h="16840"/>
          <w:pgMar w:top="1418" w:right="1134" w:bottom="1418" w:left="1134" w:header="916" w:footer="980" w:gutter="0"/>
          <w:cols w:space="720"/>
        </w:sectPr>
      </w:pPr>
    </w:p>
    <w:p w14:paraId="3313A615" w14:textId="77777777" w:rsidR="00725977" w:rsidRPr="00D4309F" w:rsidRDefault="00725977" w:rsidP="008228CB">
      <w:pPr>
        <w:pStyle w:val="Heading3"/>
      </w:pPr>
      <w:bookmarkStart w:id="317" w:name="_Toc216699407"/>
      <w:r w:rsidRPr="00D4309F">
        <w:lastRenderedPageBreak/>
        <w:t>Design</w:t>
      </w:r>
      <w:r w:rsidRPr="00D4309F">
        <w:rPr>
          <w:spacing w:val="-3"/>
        </w:rPr>
        <w:t xml:space="preserve"> </w:t>
      </w:r>
      <w:r w:rsidRPr="00D4309F">
        <w:t>and</w:t>
      </w:r>
      <w:r w:rsidRPr="00D4309F">
        <w:rPr>
          <w:spacing w:val="-2"/>
        </w:rPr>
        <w:t xml:space="preserve"> approvals</w:t>
      </w:r>
      <w:bookmarkEnd w:id="317"/>
    </w:p>
    <w:p w14:paraId="13D73A24" w14:textId="77777777" w:rsidR="00725977" w:rsidRPr="00D4309F" w:rsidRDefault="00725977" w:rsidP="00725977">
      <w:pPr>
        <w:pStyle w:val="BodyText"/>
      </w:pPr>
      <w:r w:rsidRPr="00D4309F">
        <w:t>At this stage, no detailed design work has been completed for the rock excavation sand trap, and the concept remains at a high-level feasibility stage. Progression of this option would require numerical hydrodynamic and</w:t>
      </w:r>
      <w:r w:rsidRPr="00D4309F">
        <w:rPr>
          <w:spacing w:val="-1"/>
        </w:rPr>
        <w:t xml:space="preserve"> </w:t>
      </w:r>
      <w:r w:rsidRPr="00D4309F">
        <w:t>wave</w:t>
      </w:r>
      <w:r w:rsidRPr="00D4309F">
        <w:rPr>
          <w:spacing w:val="-1"/>
        </w:rPr>
        <w:t xml:space="preserve"> </w:t>
      </w:r>
      <w:r w:rsidRPr="00D4309F">
        <w:t>modelling to assess how the deepened</w:t>
      </w:r>
      <w:r w:rsidRPr="00D4309F">
        <w:rPr>
          <w:spacing w:val="-1"/>
        </w:rPr>
        <w:t xml:space="preserve"> </w:t>
      </w:r>
      <w:r w:rsidRPr="00D4309F">
        <w:t>basin might influence local</w:t>
      </w:r>
      <w:r w:rsidRPr="00D4309F">
        <w:rPr>
          <w:spacing w:val="-1"/>
        </w:rPr>
        <w:t xml:space="preserve"> </w:t>
      </w:r>
      <w:r w:rsidRPr="00D4309F">
        <w:t>currents, wave propagation,</w:t>
      </w:r>
      <w:r w:rsidRPr="00D4309F">
        <w:rPr>
          <w:spacing w:val="-3"/>
        </w:rPr>
        <w:t xml:space="preserve"> </w:t>
      </w:r>
      <w:r w:rsidRPr="00D4309F">
        <w:t>and</w:t>
      </w:r>
      <w:r w:rsidRPr="00D4309F">
        <w:rPr>
          <w:spacing w:val="-3"/>
        </w:rPr>
        <w:t xml:space="preserve"> </w:t>
      </w:r>
      <w:r w:rsidRPr="00D4309F">
        <w:t>sediment</w:t>
      </w:r>
      <w:r w:rsidRPr="00D4309F">
        <w:rPr>
          <w:spacing w:val="-3"/>
        </w:rPr>
        <w:t xml:space="preserve"> </w:t>
      </w:r>
      <w:r w:rsidRPr="00D4309F">
        <w:t>transport.</w:t>
      </w:r>
      <w:r w:rsidRPr="00D4309F">
        <w:rPr>
          <w:spacing w:val="-3"/>
        </w:rPr>
        <w:t xml:space="preserve"> </w:t>
      </w:r>
      <w:r w:rsidRPr="00D4309F">
        <w:t>From</w:t>
      </w:r>
      <w:r w:rsidRPr="00D4309F">
        <w:rPr>
          <w:spacing w:val="-3"/>
        </w:rPr>
        <w:t xml:space="preserve"> </w:t>
      </w:r>
      <w:r w:rsidRPr="00D4309F">
        <w:t>preliminary</w:t>
      </w:r>
      <w:r w:rsidRPr="00D4309F">
        <w:rPr>
          <w:spacing w:val="-2"/>
        </w:rPr>
        <w:t xml:space="preserve"> </w:t>
      </w:r>
      <w:r w:rsidRPr="00D4309F">
        <w:t>high-level</w:t>
      </w:r>
      <w:r w:rsidRPr="00D4309F">
        <w:rPr>
          <w:spacing w:val="-3"/>
        </w:rPr>
        <w:t xml:space="preserve"> </w:t>
      </w:r>
      <w:r w:rsidRPr="00D4309F">
        <w:t>review,</w:t>
      </w:r>
      <w:r w:rsidRPr="00D4309F">
        <w:rPr>
          <w:spacing w:val="-3"/>
        </w:rPr>
        <w:t xml:space="preserve"> </w:t>
      </w:r>
      <w:r w:rsidRPr="00D4309F">
        <w:t>the</w:t>
      </w:r>
      <w:r w:rsidRPr="00D4309F">
        <w:rPr>
          <w:spacing w:val="-3"/>
        </w:rPr>
        <w:t xml:space="preserve"> </w:t>
      </w:r>
      <w:r w:rsidRPr="00D4309F">
        <w:t>intervention</w:t>
      </w:r>
      <w:r w:rsidRPr="00D4309F">
        <w:rPr>
          <w:spacing w:val="-3"/>
        </w:rPr>
        <w:t xml:space="preserve"> </w:t>
      </w:r>
      <w:r w:rsidRPr="00D4309F">
        <w:t>is</w:t>
      </w:r>
      <w:r w:rsidRPr="00D4309F">
        <w:rPr>
          <w:spacing w:val="-2"/>
        </w:rPr>
        <w:t xml:space="preserve"> </w:t>
      </w:r>
      <w:r w:rsidRPr="00D4309F">
        <w:t>not</w:t>
      </w:r>
      <w:r w:rsidRPr="00D4309F">
        <w:rPr>
          <w:spacing w:val="-3"/>
        </w:rPr>
        <w:t xml:space="preserve"> </w:t>
      </w:r>
      <w:r w:rsidRPr="00D4309F">
        <w:t>expected</w:t>
      </w:r>
      <w:r w:rsidRPr="00D4309F">
        <w:rPr>
          <w:spacing w:val="-3"/>
        </w:rPr>
        <w:t xml:space="preserve"> </w:t>
      </w:r>
      <w:r w:rsidRPr="00D4309F">
        <w:t>to significantly have significant negative impacts coastal processes, though this assumption will need to be validated through detailed modelling.</w:t>
      </w:r>
    </w:p>
    <w:p w14:paraId="42DE3EA3" w14:textId="77777777" w:rsidR="00725977" w:rsidRPr="00D4309F" w:rsidRDefault="00725977" w:rsidP="00725977">
      <w:pPr>
        <w:pStyle w:val="BodyText"/>
      </w:pPr>
      <w:r w:rsidRPr="00D4309F">
        <w:t>Previous geotechnical investigations undertaken in 2012 identified the approximate depth of bedrock at the entrance, providing an initial understanding of excavation requirements. However, material composition and strength</w:t>
      </w:r>
      <w:r w:rsidRPr="00D4309F">
        <w:rPr>
          <w:spacing w:val="-3"/>
        </w:rPr>
        <w:t xml:space="preserve"> </w:t>
      </w:r>
      <w:r w:rsidRPr="00D4309F">
        <w:t>characteristics</w:t>
      </w:r>
      <w:r w:rsidRPr="00D4309F">
        <w:rPr>
          <w:spacing w:val="-2"/>
        </w:rPr>
        <w:t xml:space="preserve"> </w:t>
      </w:r>
      <w:r w:rsidRPr="00D4309F">
        <w:t>of</w:t>
      </w:r>
      <w:r w:rsidRPr="00D4309F">
        <w:rPr>
          <w:spacing w:val="-3"/>
        </w:rPr>
        <w:t xml:space="preserve"> </w:t>
      </w:r>
      <w:r w:rsidRPr="00D4309F">
        <w:t>the</w:t>
      </w:r>
      <w:r w:rsidRPr="00D4309F">
        <w:rPr>
          <w:spacing w:val="-3"/>
        </w:rPr>
        <w:t xml:space="preserve"> </w:t>
      </w:r>
      <w:r w:rsidRPr="00D4309F">
        <w:t>rock</w:t>
      </w:r>
      <w:r w:rsidRPr="00D4309F">
        <w:rPr>
          <w:spacing w:val="-3"/>
        </w:rPr>
        <w:t xml:space="preserve"> </w:t>
      </w:r>
      <w:r w:rsidRPr="00D4309F">
        <w:t>remain</w:t>
      </w:r>
      <w:r w:rsidRPr="00D4309F">
        <w:rPr>
          <w:spacing w:val="-3"/>
        </w:rPr>
        <w:t xml:space="preserve"> </w:t>
      </w:r>
      <w:r w:rsidRPr="00D4309F">
        <w:t>uncertain</w:t>
      </w:r>
      <w:r w:rsidRPr="00D4309F">
        <w:rPr>
          <w:spacing w:val="-3"/>
        </w:rPr>
        <w:t xml:space="preserve"> </w:t>
      </w:r>
      <w:r w:rsidRPr="00D4309F">
        <w:t>and</w:t>
      </w:r>
      <w:r w:rsidRPr="00D4309F">
        <w:rPr>
          <w:spacing w:val="-3"/>
        </w:rPr>
        <w:t xml:space="preserve"> </w:t>
      </w:r>
      <w:r w:rsidRPr="00D4309F">
        <w:t>would</w:t>
      </w:r>
      <w:r w:rsidRPr="00D4309F">
        <w:rPr>
          <w:spacing w:val="-3"/>
        </w:rPr>
        <w:t xml:space="preserve"> </w:t>
      </w:r>
      <w:r w:rsidRPr="00D4309F">
        <w:t>require</w:t>
      </w:r>
      <w:r w:rsidRPr="00D4309F">
        <w:rPr>
          <w:spacing w:val="-3"/>
        </w:rPr>
        <w:t xml:space="preserve"> </w:t>
      </w:r>
      <w:r w:rsidRPr="00D4309F">
        <w:t>further</w:t>
      </w:r>
      <w:r w:rsidRPr="00D4309F">
        <w:rPr>
          <w:spacing w:val="-2"/>
        </w:rPr>
        <w:t xml:space="preserve"> </w:t>
      </w:r>
      <w:r w:rsidRPr="00D4309F">
        <w:t>sampling</w:t>
      </w:r>
      <w:r w:rsidRPr="00D4309F">
        <w:rPr>
          <w:spacing w:val="-3"/>
        </w:rPr>
        <w:t xml:space="preserve"> </w:t>
      </w:r>
      <w:r w:rsidRPr="00D4309F">
        <w:t>and</w:t>
      </w:r>
      <w:r w:rsidRPr="00D4309F">
        <w:rPr>
          <w:spacing w:val="-3"/>
        </w:rPr>
        <w:t xml:space="preserve"> </w:t>
      </w:r>
      <w:r w:rsidRPr="00D4309F">
        <w:t>testing</w:t>
      </w:r>
      <w:r w:rsidRPr="00D4309F">
        <w:rPr>
          <w:spacing w:val="-3"/>
        </w:rPr>
        <w:t xml:space="preserve"> </w:t>
      </w:r>
      <w:r w:rsidRPr="00D4309F">
        <w:t>to</w:t>
      </w:r>
      <w:r w:rsidRPr="00D4309F">
        <w:rPr>
          <w:spacing w:val="-3"/>
        </w:rPr>
        <w:t xml:space="preserve"> </w:t>
      </w:r>
      <w:r w:rsidRPr="00D4309F">
        <w:t>inform constructability, equipment selection, and cost estimates.</w:t>
      </w:r>
    </w:p>
    <w:p w14:paraId="6315B899" w14:textId="77777777" w:rsidR="00725977" w:rsidRPr="00D4309F" w:rsidRDefault="00725977" w:rsidP="00725977">
      <w:pPr>
        <w:pStyle w:val="BodyText"/>
      </w:pPr>
      <w:r w:rsidRPr="00D4309F">
        <w:t>Assessment</w:t>
      </w:r>
      <w:r w:rsidRPr="00D4309F">
        <w:rPr>
          <w:spacing w:val="-3"/>
        </w:rPr>
        <w:t xml:space="preserve"> </w:t>
      </w:r>
      <w:r w:rsidRPr="00D4309F">
        <w:t>on</w:t>
      </w:r>
      <w:r w:rsidRPr="00D4309F">
        <w:rPr>
          <w:spacing w:val="-3"/>
        </w:rPr>
        <w:t xml:space="preserve"> </w:t>
      </w:r>
      <w:r w:rsidRPr="00D4309F">
        <w:t>whether</w:t>
      </w:r>
      <w:r w:rsidRPr="00D4309F">
        <w:rPr>
          <w:spacing w:val="-2"/>
        </w:rPr>
        <w:t xml:space="preserve"> </w:t>
      </w:r>
      <w:r w:rsidRPr="00D4309F">
        <w:t>a</w:t>
      </w:r>
      <w:r w:rsidRPr="00D4309F">
        <w:rPr>
          <w:spacing w:val="-4"/>
        </w:rPr>
        <w:t xml:space="preserve"> </w:t>
      </w:r>
      <w:r w:rsidRPr="00D4309F">
        <w:t>deeper</w:t>
      </w:r>
      <w:r w:rsidRPr="00D4309F">
        <w:rPr>
          <w:spacing w:val="-2"/>
        </w:rPr>
        <w:t xml:space="preserve"> </w:t>
      </w:r>
      <w:r w:rsidRPr="00D4309F">
        <w:t>channel</w:t>
      </w:r>
      <w:r w:rsidRPr="00D4309F">
        <w:rPr>
          <w:spacing w:val="-3"/>
        </w:rPr>
        <w:t xml:space="preserve"> </w:t>
      </w:r>
      <w:r w:rsidRPr="00D4309F">
        <w:t>would</w:t>
      </w:r>
      <w:r w:rsidRPr="00D4309F">
        <w:rPr>
          <w:spacing w:val="-3"/>
        </w:rPr>
        <w:t xml:space="preserve"> </w:t>
      </w:r>
      <w:r w:rsidRPr="00D4309F">
        <w:t>impact</w:t>
      </w:r>
      <w:r w:rsidRPr="00D4309F">
        <w:rPr>
          <w:spacing w:val="-3"/>
        </w:rPr>
        <w:t xml:space="preserve"> </w:t>
      </w:r>
      <w:r w:rsidRPr="00D4309F">
        <w:t>the</w:t>
      </w:r>
      <w:r w:rsidRPr="00D4309F">
        <w:rPr>
          <w:spacing w:val="-3"/>
        </w:rPr>
        <w:t xml:space="preserve"> </w:t>
      </w:r>
      <w:r w:rsidRPr="00D4309F">
        <w:t>slope</w:t>
      </w:r>
      <w:r w:rsidRPr="00D4309F">
        <w:rPr>
          <w:spacing w:val="-3"/>
        </w:rPr>
        <w:t xml:space="preserve"> </w:t>
      </w:r>
      <w:r w:rsidRPr="00D4309F">
        <w:t>stability</w:t>
      </w:r>
      <w:r w:rsidRPr="00D4309F">
        <w:rPr>
          <w:spacing w:val="-2"/>
        </w:rPr>
        <w:t xml:space="preserve"> </w:t>
      </w:r>
      <w:r w:rsidRPr="00D4309F">
        <w:t>of</w:t>
      </w:r>
      <w:r w:rsidRPr="00D4309F">
        <w:rPr>
          <w:spacing w:val="-3"/>
        </w:rPr>
        <w:t xml:space="preserve"> </w:t>
      </w:r>
      <w:r w:rsidRPr="00D4309F">
        <w:t>the</w:t>
      </w:r>
      <w:r w:rsidRPr="00D4309F">
        <w:rPr>
          <w:spacing w:val="-3"/>
        </w:rPr>
        <w:t xml:space="preserve"> </w:t>
      </w:r>
      <w:r w:rsidRPr="00D4309F">
        <w:t>existing</w:t>
      </w:r>
      <w:r w:rsidRPr="00D4309F">
        <w:rPr>
          <w:spacing w:val="-3"/>
        </w:rPr>
        <w:t xml:space="preserve"> </w:t>
      </w:r>
      <w:r w:rsidRPr="00D4309F">
        <w:t>breakwater</w:t>
      </w:r>
      <w:r w:rsidRPr="00D4309F">
        <w:rPr>
          <w:spacing w:val="-2"/>
        </w:rPr>
        <w:t xml:space="preserve"> </w:t>
      </w:r>
      <w:r w:rsidRPr="00D4309F">
        <w:t>would need to be undertaken. Also, whether a batter design is required and what impact this would have to the sand traps geometry.</w:t>
      </w:r>
    </w:p>
    <w:p w14:paraId="5357A710" w14:textId="77777777" w:rsidR="00725977" w:rsidRPr="00D4309F" w:rsidRDefault="00725977" w:rsidP="00725977">
      <w:pPr>
        <w:pStyle w:val="BodyText"/>
      </w:pPr>
      <w:r w:rsidRPr="00D4309F">
        <w:t>From an approval's perspective, the concept would trigger the need for environmental and coastal development</w:t>
      </w:r>
      <w:r w:rsidRPr="00D4309F">
        <w:rPr>
          <w:spacing w:val="-3"/>
        </w:rPr>
        <w:t xml:space="preserve"> </w:t>
      </w:r>
      <w:r w:rsidRPr="00D4309F">
        <w:t>approvals,</w:t>
      </w:r>
      <w:r w:rsidRPr="00D4309F">
        <w:rPr>
          <w:spacing w:val="-3"/>
        </w:rPr>
        <w:t xml:space="preserve"> </w:t>
      </w:r>
      <w:r w:rsidRPr="00D4309F">
        <w:t>particularly</w:t>
      </w:r>
      <w:r w:rsidRPr="00D4309F">
        <w:rPr>
          <w:spacing w:val="-2"/>
        </w:rPr>
        <w:t xml:space="preserve"> </w:t>
      </w:r>
      <w:r w:rsidRPr="00D4309F">
        <w:t>under</w:t>
      </w:r>
      <w:r w:rsidRPr="00D4309F">
        <w:rPr>
          <w:spacing w:val="-2"/>
        </w:rPr>
        <w:t xml:space="preserve"> </w:t>
      </w:r>
      <w:r w:rsidRPr="00D4309F">
        <w:t>state</w:t>
      </w:r>
      <w:r w:rsidRPr="00D4309F">
        <w:rPr>
          <w:spacing w:val="-3"/>
        </w:rPr>
        <w:t xml:space="preserve"> </w:t>
      </w:r>
      <w:r w:rsidRPr="00D4309F">
        <w:t>and</w:t>
      </w:r>
      <w:r w:rsidRPr="00D4309F">
        <w:rPr>
          <w:spacing w:val="-4"/>
        </w:rPr>
        <w:t xml:space="preserve"> </w:t>
      </w:r>
      <w:r w:rsidRPr="00D4309F">
        <w:t>Commonwealth</w:t>
      </w:r>
      <w:r w:rsidRPr="00D4309F">
        <w:rPr>
          <w:spacing w:val="-3"/>
        </w:rPr>
        <w:t xml:space="preserve"> </w:t>
      </w:r>
      <w:r w:rsidRPr="00D4309F">
        <w:t>legislation,</w:t>
      </w:r>
      <w:r w:rsidRPr="00D4309F">
        <w:rPr>
          <w:spacing w:val="-3"/>
        </w:rPr>
        <w:t xml:space="preserve"> </w:t>
      </w:r>
      <w:r w:rsidRPr="00D4309F">
        <w:t>given</w:t>
      </w:r>
      <w:r w:rsidRPr="00D4309F">
        <w:rPr>
          <w:spacing w:val="-3"/>
        </w:rPr>
        <w:t xml:space="preserve"> </w:t>
      </w:r>
      <w:r w:rsidRPr="00D4309F">
        <w:t>its</w:t>
      </w:r>
      <w:r w:rsidRPr="00D4309F">
        <w:rPr>
          <w:spacing w:val="-2"/>
        </w:rPr>
        <w:t xml:space="preserve"> </w:t>
      </w:r>
      <w:r w:rsidRPr="00D4309F">
        <w:t>location</w:t>
      </w:r>
      <w:r w:rsidRPr="00D4309F">
        <w:rPr>
          <w:spacing w:val="-3"/>
        </w:rPr>
        <w:t xml:space="preserve"> </w:t>
      </w:r>
      <w:r w:rsidRPr="00D4309F">
        <w:t>within</w:t>
      </w:r>
      <w:r w:rsidRPr="00D4309F">
        <w:rPr>
          <w:spacing w:val="-3"/>
        </w:rPr>
        <w:t xml:space="preserve"> </w:t>
      </w:r>
      <w:r w:rsidRPr="00D4309F">
        <w:t>the coastal zone and potential for seabed disturbance. These aspects would be further defined during detailed design and environmental assessment stages.</w:t>
      </w:r>
    </w:p>
    <w:p w14:paraId="73F5A584" w14:textId="77777777" w:rsidR="00725977" w:rsidRPr="00D4309F" w:rsidRDefault="00725977" w:rsidP="008228CB">
      <w:pPr>
        <w:pStyle w:val="Heading3"/>
      </w:pPr>
      <w:bookmarkStart w:id="318" w:name="_Toc216699408"/>
      <w:r w:rsidRPr="00D4309F">
        <w:t>Capital</w:t>
      </w:r>
      <w:r w:rsidRPr="00D4309F">
        <w:rPr>
          <w:spacing w:val="-4"/>
        </w:rPr>
        <w:t xml:space="preserve"> </w:t>
      </w:r>
      <w:r w:rsidRPr="00D4309F">
        <w:rPr>
          <w:spacing w:val="-2"/>
        </w:rPr>
        <w:t>works</w:t>
      </w:r>
      <w:bookmarkEnd w:id="318"/>
    </w:p>
    <w:p w14:paraId="31DBAD65" w14:textId="77777777" w:rsidR="00725977" w:rsidRPr="00D4309F" w:rsidRDefault="00725977" w:rsidP="00725977">
      <w:pPr>
        <w:pStyle w:val="BodyText"/>
      </w:pPr>
      <w:r w:rsidRPr="00D4309F">
        <w:t>The capital works for Option 2A would involve excavating a defined sand trap basin within the existing Mooloolah River entrance channel, extending approximately 100m by 150 m into the underlying rock. This excavation</w:t>
      </w:r>
      <w:r w:rsidRPr="00D4309F">
        <w:rPr>
          <w:spacing w:val="-4"/>
        </w:rPr>
        <w:t xml:space="preserve"> </w:t>
      </w:r>
      <w:r w:rsidRPr="00D4309F">
        <w:t>would</w:t>
      </w:r>
      <w:r w:rsidRPr="00D4309F">
        <w:rPr>
          <w:spacing w:val="-3"/>
        </w:rPr>
        <w:t xml:space="preserve"> </w:t>
      </w:r>
      <w:r w:rsidRPr="00D4309F">
        <w:t>require</w:t>
      </w:r>
      <w:r w:rsidRPr="00D4309F">
        <w:rPr>
          <w:spacing w:val="-3"/>
        </w:rPr>
        <w:t xml:space="preserve"> </w:t>
      </w:r>
      <w:r w:rsidRPr="00D4309F">
        <w:t>specialised</w:t>
      </w:r>
      <w:r w:rsidRPr="00D4309F">
        <w:rPr>
          <w:spacing w:val="-3"/>
        </w:rPr>
        <w:t xml:space="preserve"> </w:t>
      </w:r>
      <w:r w:rsidRPr="00D4309F">
        <w:t>rock-cutting</w:t>
      </w:r>
      <w:r w:rsidRPr="00D4309F">
        <w:rPr>
          <w:spacing w:val="-3"/>
        </w:rPr>
        <w:t xml:space="preserve"> </w:t>
      </w:r>
      <w:r w:rsidRPr="00D4309F">
        <w:t>or</w:t>
      </w:r>
      <w:r w:rsidRPr="00D4309F">
        <w:rPr>
          <w:spacing w:val="-3"/>
        </w:rPr>
        <w:t xml:space="preserve"> </w:t>
      </w:r>
      <w:r w:rsidRPr="00D4309F">
        <w:t>dredging</w:t>
      </w:r>
      <w:r w:rsidRPr="00D4309F">
        <w:rPr>
          <w:spacing w:val="-3"/>
        </w:rPr>
        <w:t xml:space="preserve"> </w:t>
      </w:r>
      <w:r w:rsidRPr="00D4309F">
        <w:t>equipment,</w:t>
      </w:r>
      <w:r w:rsidRPr="00D4309F">
        <w:rPr>
          <w:spacing w:val="-3"/>
        </w:rPr>
        <w:t xml:space="preserve"> </w:t>
      </w:r>
      <w:r w:rsidRPr="00D4309F">
        <w:t>supported</w:t>
      </w:r>
      <w:r w:rsidRPr="00D4309F">
        <w:rPr>
          <w:spacing w:val="-3"/>
        </w:rPr>
        <w:t xml:space="preserve"> </w:t>
      </w:r>
      <w:r w:rsidRPr="00D4309F">
        <w:t>by</w:t>
      </w:r>
      <w:r w:rsidRPr="00D4309F">
        <w:rPr>
          <w:spacing w:val="-3"/>
        </w:rPr>
        <w:t xml:space="preserve"> </w:t>
      </w:r>
      <w:r w:rsidRPr="00D4309F">
        <w:t>marine-based</w:t>
      </w:r>
      <w:r w:rsidRPr="00D4309F">
        <w:rPr>
          <w:spacing w:val="-3"/>
        </w:rPr>
        <w:t xml:space="preserve"> </w:t>
      </w:r>
      <w:r w:rsidRPr="00D4309F">
        <w:t>plant such as barges, excavators, or drilling and blasting systems depending on material hardness.</w:t>
      </w:r>
    </w:p>
    <w:p w14:paraId="5397B9A8" w14:textId="77777777" w:rsidR="00725977" w:rsidRPr="00D4309F" w:rsidRDefault="00725977" w:rsidP="00725977">
      <w:pPr>
        <w:pStyle w:val="BodyText"/>
      </w:pPr>
      <w:r w:rsidRPr="00D4309F">
        <w:t>Preliminary assessments indicate that the concept is technically feasible within the existing site conditions. The area is moderately sheltered from wave exposure, and water depths are suitable for marine</w:t>
      </w:r>
      <w:r w:rsidRPr="00D4309F">
        <w:rPr>
          <w:spacing w:val="40"/>
        </w:rPr>
        <w:t xml:space="preserve"> </w:t>
      </w:r>
      <w:r w:rsidRPr="00D4309F">
        <w:t>construction.</w:t>
      </w:r>
      <w:r w:rsidRPr="00D4309F">
        <w:rPr>
          <w:spacing w:val="-5"/>
        </w:rPr>
        <w:t xml:space="preserve"> </w:t>
      </w:r>
      <w:r w:rsidRPr="00D4309F">
        <w:t>Key</w:t>
      </w:r>
      <w:r w:rsidRPr="00D4309F">
        <w:rPr>
          <w:spacing w:val="-2"/>
        </w:rPr>
        <w:t xml:space="preserve"> </w:t>
      </w:r>
      <w:r w:rsidRPr="00D4309F">
        <w:t>technical</w:t>
      </w:r>
      <w:r w:rsidRPr="00D4309F">
        <w:rPr>
          <w:spacing w:val="-4"/>
        </w:rPr>
        <w:t xml:space="preserve"> </w:t>
      </w:r>
      <w:r w:rsidRPr="00D4309F">
        <w:t>challenges</w:t>
      </w:r>
      <w:r w:rsidRPr="00D4309F">
        <w:rPr>
          <w:spacing w:val="-2"/>
        </w:rPr>
        <w:t xml:space="preserve"> </w:t>
      </w:r>
      <w:r w:rsidRPr="00D4309F">
        <w:t>include</w:t>
      </w:r>
      <w:r w:rsidRPr="00D4309F">
        <w:rPr>
          <w:spacing w:val="-3"/>
        </w:rPr>
        <w:t xml:space="preserve"> </w:t>
      </w:r>
      <w:r w:rsidRPr="00D4309F">
        <w:t>excavating</w:t>
      </w:r>
      <w:r w:rsidRPr="00D4309F">
        <w:rPr>
          <w:spacing w:val="-3"/>
        </w:rPr>
        <w:t xml:space="preserve"> </w:t>
      </w:r>
      <w:r w:rsidRPr="00D4309F">
        <w:t>into</w:t>
      </w:r>
      <w:r w:rsidRPr="00D4309F">
        <w:rPr>
          <w:spacing w:val="-3"/>
        </w:rPr>
        <w:t xml:space="preserve"> </w:t>
      </w:r>
      <w:r w:rsidRPr="00D4309F">
        <w:t>unknown</w:t>
      </w:r>
      <w:r w:rsidRPr="00D4309F">
        <w:rPr>
          <w:spacing w:val="-3"/>
        </w:rPr>
        <w:t xml:space="preserve"> </w:t>
      </w:r>
      <w:r w:rsidRPr="00D4309F">
        <w:t>rock</w:t>
      </w:r>
      <w:r w:rsidRPr="00D4309F">
        <w:rPr>
          <w:spacing w:val="-2"/>
        </w:rPr>
        <w:t xml:space="preserve"> </w:t>
      </w:r>
      <w:r w:rsidRPr="00D4309F">
        <w:t>types</w:t>
      </w:r>
      <w:r w:rsidRPr="00D4309F">
        <w:rPr>
          <w:spacing w:val="-2"/>
        </w:rPr>
        <w:t xml:space="preserve"> </w:t>
      </w:r>
      <w:r w:rsidRPr="00D4309F">
        <w:t>and</w:t>
      </w:r>
      <w:r w:rsidRPr="00D4309F">
        <w:rPr>
          <w:spacing w:val="-3"/>
        </w:rPr>
        <w:t xml:space="preserve"> </w:t>
      </w:r>
      <w:r w:rsidRPr="00D4309F">
        <w:t>ensuring</w:t>
      </w:r>
      <w:r w:rsidRPr="00D4309F">
        <w:rPr>
          <w:spacing w:val="-3"/>
        </w:rPr>
        <w:t xml:space="preserve"> </w:t>
      </w:r>
      <w:r w:rsidRPr="00D4309F">
        <w:t>that</w:t>
      </w:r>
      <w:r w:rsidRPr="00D4309F">
        <w:rPr>
          <w:spacing w:val="-3"/>
        </w:rPr>
        <w:t xml:space="preserve"> </w:t>
      </w:r>
      <w:r w:rsidRPr="00D4309F">
        <w:t>the</w:t>
      </w:r>
      <w:r w:rsidRPr="00D4309F">
        <w:rPr>
          <w:spacing w:val="-3"/>
        </w:rPr>
        <w:t xml:space="preserve"> </w:t>
      </w:r>
      <w:r w:rsidRPr="00D4309F">
        <w:t>trap geometry maintains stability under tidal currents. Additional geotechnical investigations would be required to confirm the strength and composition of bedrock, as well as to determine optimal excavation methods.</w:t>
      </w:r>
    </w:p>
    <w:p w14:paraId="7EBA442F" w14:textId="77777777" w:rsidR="00725977" w:rsidRPr="00D4309F" w:rsidRDefault="00725977" w:rsidP="00725977">
      <w:pPr>
        <w:pStyle w:val="BodyText"/>
      </w:pPr>
      <w:r w:rsidRPr="00D4309F">
        <w:t>Construction in a tidally influenced, high-traffic marine environment presents logistical challenges, including vessel access, environmental controls, and sediment management during excavation. The rock excavation process</w:t>
      </w:r>
      <w:r w:rsidRPr="00D4309F">
        <w:rPr>
          <w:spacing w:val="-2"/>
        </w:rPr>
        <w:t xml:space="preserve"> </w:t>
      </w:r>
      <w:r w:rsidRPr="00D4309F">
        <w:t>may</w:t>
      </w:r>
      <w:r w:rsidRPr="00D4309F">
        <w:rPr>
          <w:spacing w:val="-3"/>
        </w:rPr>
        <w:t xml:space="preserve"> </w:t>
      </w:r>
      <w:r w:rsidRPr="00D4309F">
        <w:t>also</w:t>
      </w:r>
      <w:r w:rsidRPr="00D4309F">
        <w:rPr>
          <w:spacing w:val="-3"/>
        </w:rPr>
        <w:t xml:space="preserve"> </w:t>
      </w:r>
      <w:r w:rsidRPr="00D4309F">
        <w:t>generate</w:t>
      </w:r>
      <w:r w:rsidRPr="00D4309F">
        <w:rPr>
          <w:spacing w:val="-4"/>
        </w:rPr>
        <w:t xml:space="preserve"> </w:t>
      </w:r>
      <w:r w:rsidRPr="00D4309F">
        <w:t>turbidity</w:t>
      </w:r>
      <w:r w:rsidRPr="00D4309F">
        <w:rPr>
          <w:spacing w:val="-2"/>
        </w:rPr>
        <w:t xml:space="preserve"> </w:t>
      </w:r>
      <w:r w:rsidRPr="00D4309F">
        <w:t>and</w:t>
      </w:r>
      <w:r w:rsidRPr="00D4309F">
        <w:rPr>
          <w:spacing w:val="-3"/>
        </w:rPr>
        <w:t xml:space="preserve"> </w:t>
      </w:r>
      <w:r w:rsidRPr="00D4309F">
        <w:t>noise</w:t>
      </w:r>
      <w:r w:rsidRPr="00D4309F">
        <w:rPr>
          <w:spacing w:val="-3"/>
        </w:rPr>
        <w:t xml:space="preserve"> </w:t>
      </w:r>
      <w:r w:rsidRPr="00D4309F">
        <w:t>requiring</w:t>
      </w:r>
      <w:r w:rsidRPr="00D4309F">
        <w:rPr>
          <w:spacing w:val="-3"/>
        </w:rPr>
        <w:t xml:space="preserve"> </w:t>
      </w:r>
      <w:r w:rsidRPr="00D4309F">
        <w:t>mitigation.</w:t>
      </w:r>
      <w:r w:rsidRPr="00D4309F">
        <w:rPr>
          <w:spacing w:val="-3"/>
        </w:rPr>
        <w:t xml:space="preserve"> </w:t>
      </w:r>
      <w:r w:rsidRPr="00D4309F">
        <w:t>However,</w:t>
      </w:r>
      <w:r w:rsidRPr="00D4309F">
        <w:rPr>
          <w:spacing w:val="-3"/>
        </w:rPr>
        <w:t xml:space="preserve"> </w:t>
      </w:r>
      <w:r w:rsidRPr="00D4309F">
        <w:t>once</w:t>
      </w:r>
      <w:r w:rsidRPr="00D4309F">
        <w:rPr>
          <w:spacing w:val="-3"/>
        </w:rPr>
        <w:t xml:space="preserve"> </w:t>
      </w:r>
      <w:r w:rsidRPr="00D4309F">
        <w:t>established,</w:t>
      </w:r>
      <w:r w:rsidRPr="00D4309F">
        <w:rPr>
          <w:spacing w:val="-3"/>
        </w:rPr>
        <w:t xml:space="preserve"> </w:t>
      </w:r>
      <w:r w:rsidRPr="00D4309F">
        <w:t>the</w:t>
      </w:r>
      <w:r w:rsidRPr="00D4309F">
        <w:rPr>
          <w:spacing w:val="-3"/>
        </w:rPr>
        <w:t xml:space="preserve"> </w:t>
      </w:r>
      <w:r w:rsidRPr="00D4309F">
        <w:t>system</w:t>
      </w:r>
      <w:r w:rsidRPr="00D4309F">
        <w:rPr>
          <w:spacing w:val="-3"/>
        </w:rPr>
        <w:t xml:space="preserve"> </w:t>
      </w:r>
      <w:r w:rsidRPr="00D4309F">
        <w:t>is simple to maintain, with most risks associated only with the initial construction phase.</w:t>
      </w:r>
    </w:p>
    <w:p w14:paraId="2B2A1BE7" w14:textId="77777777" w:rsidR="00725977" w:rsidRPr="00D4309F" w:rsidRDefault="00725977" w:rsidP="008228CB">
      <w:pPr>
        <w:pStyle w:val="Heading3"/>
      </w:pPr>
      <w:bookmarkStart w:id="319" w:name="_Toc216699409"/>
      <w:r w:rsidRPr="00D4309F">
        <w:t>Operational</w:t>
      </w:r>
      <w:r w:rsidRPr="00D4309F">
        <w:rPr>
          <w:spacing w:val="-7"/>
        </w:rPr>
        <w:t xml:space="preserve"> </w:t>
      </w:r>
      <w:r w:rsidRPr="00D4309F">
        <w:rPr>
          <w:spacing w:val="-2"/>
        </w:rPr>
        <w:t>works</w:t>
      </w:r>
      <w:bookmarkEnd w:id="319"/>
    </w:p>
    <w:p w14:paraId="097D4556" w14:textId="77777777" w:rsidR="00725977" w:rsidRPr="00D4309F" w:rsidRDefault="00725977" w:rsidP="00725977">
      <w:pPr>
        <w:pStyle w:val="BodyText"/>
      </w:pPr>
      <w:r w:rsidRPr="00D4309F">
        <w:t>Operational</w:t>
      </w:r>
      <w:r w:rsidRPr="00D4309F">
        <w:rPr>
          <w:spacing w:val="-3"/>
        </w:rPr>
        <w:t xml:space="preserve"> </w:t>
      </w:r>
      <w:r w:rsidRPr="00D4309F">
        <w:t>works</w:t>
      </w:r>
      <w:r w:rsidRPr="00D4309F">
        <w:rPr>
          <w:spacing w:val="-1"/>
        </w:rPr>
        <w:t xml:space="preserve"> </w:t>
      </w:r>
      <w:r w:rsidRPr="00D4309F">
        <w:t>for</w:t>
      </w:r>
      <w:r w:rsidRPr="00D4309F">
        <w:rPr>
          <w:spacing w:val="-1"/>
        </w:rPr>
        <w:t xml:space="preserve"> </w:t>
      </w:r>
      <w:r w:rsidRPr="00D4309F">
        <w:t>Option</w:t>
      </w:r>
      <w:r w:rsidRPr="00D4309F">
        <w:rPr>
          <w:spacing w:val="-2"/>
        </w:rPr>
        <w:t xml:space="preserve"> </w:t>
      </w:r>
      <w:r w:rsidRPr="00D4309F">
        <w:t>2A</w:t>
      </w:r>
      <w:r w:rsidRPr="00D4309F">
        <w:rPr>
          <w:spacing w:val="-2"/>
        </w:rPr>
        <w:t xml:space="preserve"> </w:t>
      </w:r>
      <w:r w:rsidRPr="00D4309F">
        <w:t>would</w:t>
      </w:r>
      <w:r w:rsidRPr="00D4309F">
        <w:rPr>
          <w:spacing w:val="-2"/>
        </w:rPr>
        <w:t xml:space="preserve"> </w:t>
      </w:r>
      <w:r w:rsidRPr="00D4309F">
        <w:t>utilise</w:t>
      </w:r>
      <w:r w:rsidRPr="00D4309F">
        <w:rPr>
          <w:spacing w:val="-2"/>
        </w:rPr>
        <w:t xml:space="preserve"> </w:t>
      </w:r>
      <w:r w:rsidRPr="00D4309F">
        <w:t>the</w:t>
      </w:r>
      <w:r w:rsidRPr="00D4309F">
        <w:rPr>
          <w:spacing w:val="-2"/>
        </w:rPr>
        <w:t xml:space="preserve"> </w:t>
      </w:r>
      <w:r w:rsidRPr="00D4309F">
        <w:t>existing</w:t>
      </w:r>
      <w:r w:rsidRPr="00D4309F">
        <w:rPr>
          <w:spacing w:val="-2"/>
        </w:rPr>
        <w:t xml:space="preserve"> </w:t>
      </w:r>
      <w:r w:rsidRPr="00D4309F">
        <w:t>Cutter</w:t>
      </w:r>
      <w:r w:rsidRPr="00D4309F">
        <w:rPr>
          <w:spacing w:val="-1"/>
        </w:rPr>
        <w:t xml:space="preserve"> </w:t>
      </w:r>
      <w:r w:rsidRPr="00D4309F">
        <w:t>Suction</w:t>
      </w:r>
      <w:r w:rsidRPr="00D4309F">
        <w:rPr>
          <w:spacing w:val="-3"/>
        </w:rPr>
        <w:t xml:space="preserve"> </w:t>
      </w:r>
      <w:r w:rsidRPr="00D4309F">
        <w:t>Dredge</w:t>
      </w:r>
      <w:r w:rsidRPr="00D4309F">
        <w:rPr>
          <w:spacing w:val="-2"/>
        </w:rPr>
        <w:t xml:space="preserve"> </w:t>
      </w:r>
      <w:r w:rsidRPr="00D4309F">
        <w:t>(CSD)</w:t>
      </w:r>
      <w:r w:rsidRPr="00D4309F">
        <w:rPr>
          <w:spacing w:val="-1"/>
        </w:rPr>
        <w:t xml:space="preserve"> </w:t>
      </w:r>
      <w:r w:rsidRPr="00D4309F">
        <w:t>to</w:t>
      </w:r>
      <w:r w:rsidRPr="00D4309F">
        <w:rPr>
          <w:spacing w:val="-2"/>
        </w:rPr>
        <w:t xml:space="preserve"> </w:t>
      </w:r>
      <w:r w:rsidRPr="00D4309F">
        <w:t>remove</w:t>
      </w:r>
      <w:r w:rsidRPr="00D4309F">
        <w:rPr>
          <w:spacing w:val="-3"/>
        </w:rPr>
        <w:t xml:space="preserve"> </w:t>
      </w:r>
      <w:r w:rsidRPr="00D4309F">
        <w:t>sand</w:t>
      </w:r>
      <w:r w:rsidRPr="00D4309F">
        <w:rPr>
          <w:spacing w:val="-2"/>
        </w:rPr>
        <w:t xml:space="preserve"> </w:t>
      </w:r>
      <w:r w:rsidRPr="00D4309F">
        <w:t>that naturally accumulates within the newly excavated rock sand trap. Dredging would occur on an as-needed basis, likely at less frequent intervals than under the current maintenance regime, depending on sedimentation rates. The dredged sand would be pumped through the existing pipeline network to Area B (Mooloolaba Beach), where it would be placed for beneficial reuse as beach nourishment. Operational activities would include mobilising the dredge, monitoring sediment levels within the trap, and coordinating sand placement operations in accordance with environmental and navigational requirements.</w:t>
      </w:r>
    </w:p>
    <w:p w14:paraId="25D9B49C" w14:textId="77777777" w:rsidR="00725977" w:rsidRPr="00D4309F" w:rsidRDefault="00725977" w:rsidP="00725977">
      <w:pPr>
        <w:pStyle w:val="BodyText"/>
      </w:pPr>
      <w:r w:rsidRPr="00D4309F">
        <w:t>The operation is expected to be highly effective in maintaining navigable depths at the entrance. The deepened</w:t>
      </w:r>
      <w:r w:rsidRPr="00D4309F">
        <w:rPr>
          <w:spacing w:val="-3"/>
        </w:rPr>
        <w:t xml:space="preserve"> </w:t>
      </w:r>
      <w:r w:rsidRPr="00D4309F">
        <w:t>sand</w:t>
      </w:r>
      <w:r w:rsidRPr="00D4309F">
        <w:rPr>
          <w:spacing w:val="-2"/>
        </w:rPr>
        <w:t xml:space="preserve"> </w:t>
      </w:r>
      <w:r w:rsidRPr="00D4309F">
        <w:t>trap</w:t>
      </w:r>
      <w:r w:rsidRPr="00D4309F">
        <w:rPr>
          <w:spacing w:val="-2"/>
        </w:rPr>
        <w:t xml:space="preserve"> </w:t>
      </w:r>
      <w:r w:rsidRPr="00D4309F">
        <w:t>would</w:t>
      </w:r>
      <w:r w:rsidRPr="00D4309F">
        <w:rPr>
          <w:spacing w:val="-3"/>
        </w:rPr>
        <w:t xml:space="preserve"> </w:t>
      </w:r>
      <w:r w:rsidRPr="00D4309F">
        <w:t>serve</w:t>
      </w:r>
      <w:r w:rsidRPr="00D4309F">
        <w:rPr>
          <w:spacing w:val="-2"/>
        </w:rPr>
        <w:t xml:space="preserve"> </w:t>
      </w:r>
      <w:r w:rsidRPr="00D4309F">
        <w:t>as</w:t>
      </w:r>
      <w:r w:rsidRPr="00D4309F">
        <w:rPr>
          <w:spacing w:val="-1"/>
        </w:rPr>
        <w:t xml:space="preserve"> </w:t>
      </w:r>
      <w:r w:rsidRPr="00D4309F">
        <w:t>a</w:t>
      </w:r>
      <w:r w:rsidRPr="00D4309F">
        <w:rPr>
          <w:spacing w:val="-2"/>
        </w:rPr>
        <w:t xml:space="preserve"> </w:t>
      </w:r>
      <w:r w:rsidRPr="00D4309F">
        <w:t>controlled</w:t>
      </w:r>
      <w:r w:rsidRPr="00D4309F">
        <w:rPr>
          <w:spacing w:val="-2"/>
        </w:rPr>
        <w:t xml:space="preserve"> </w:t>
      </w:r>
      <w:r w:rsidRPr="00D4309F">
        <w:t>deposition</w:t>
      </w:r>
      <w:r w:rsidRPr="00D4309F">
        <w:rPr>
          <w:spacing w:val="-2"/>
        </w:rPr>
        <w:t xml:space="preserve"> </w:t>
      </w:r>
      <w:r w:rsidRPr="00D4309F">
        <w:t>area,</w:t>
      </w:r>
      <w:r w:rsidRPr="00D4309F">
        <w:rPr>
          <w:spacing w:val="-4"/>
        </w:rPr>
        <w:t xml:space="preserve"> </w:t>
      </w:r>
      <w:r w:rsidRPr="00D4309F">
        <w:t>allowing</w:t>
      </w:r>
      <w:r w:rsidRPr="00D4309F">
        <w:rPr>
          <w:spacing w:val="-2"/>
        </w:rPr>
        <w:t xml:space="preserve"> </w:t>
      </w:r>
      <w:r w:rsidRPr="00D4309F">
        <w:t>sediment</w:t>
      </w:r>
      <w:r w:rsidRPr="00D4309F">
        <w:rPr>
          <w:spacing w:val="-2"/>
        </w:rPr>
        <w:t xml:space="preserve"> </w:t>
      </w:r>
      <w:r w:rsidRPr="00D4309F">
        <w:t>to</w:t>
      </w:r>
      <w:r w:rsidRPr="00D4309F">
        <w:rPr>
          <w:spacing w:val="-2"/>
        </w:rPr>
        <w:t xml:space="preserve"> </w:t>
      </w:r>
      <w:r w:rsidRPr="00D4309F">
        <w:t>build</w:t>
      </w:r>
      <w:r w:rsidRPr="00D4309F">
        <w:rPr>
          <w:spacing w:val="-2"/>
        </w:rPr>
        <w:t xml:space="preserve"> </w:t>
      </w:r>
      <w:r w:rsidRPr="00D4309F">
        <w:t>up</w:t>
      </w:r>
      <w:r w:rsidRPr="00D4309F">
        <w:rPr>
          <w:spacing w:val="-2"/>
        </w:rPr>
        <w:t xml:space="preserve"> </w:t>
      </w:r>
      <w:r w:rsidRPr="00D4309F">
        <w:t>predictably before removal. This approach would reduce the frequency and urgency of maintenance dredging, as the trap’s capacity is likely sufficient to capture up to a year’s worth of sediment inflow (approximately</w:t>
      </w:r>
    </w:p>
    <w:p w14:paraId="2BF27946" w14:textId="77777777" w:rsidR="00725977" w:rsidRPr="00D4309F" w:rsidRDefault="00725977" w:rsidP="00725977">
      <w:pPr>
        <w:pStyle w:val="BodyText"/>
      </w:pPr>
      <w:r w:rsidRPr="00D4309F">
        <w:t>75,000</w:t>
      </w:r>
      <w:r w:rsidRPr="00D4309F">
        <w:rPr>
          <w:spacing w:val="-3"/>
        </w:rPr>
        <w:t xml:space="preserve"> </w:t>
      </w:r>
      <w:r w:rsidRPr="00D4309F">
        <w:t>m</w:t>
      </w:r>
      <w:r w:rsidRPr="00D4309F">
        <w:rPr>
          <w:vertAlign w:val="superscript"/>
        </w:rPr>
        <w:t>3</w:t>
      </w:r>
      <w:r w:rsidRPr="00D4309F">
        <w:t>/year).</w:t>
      </w:r>
      <w:r w:rsidRPr="00D4309F">
        <w:rPr>
          <w:spacing w:val="-3"/>
        </w:rPr>
        <w:t xml:space="preserve"> </w:t>
      </w:r>
      <w:r w:rsidRPr="00D4309F">
        <w:t>As</w:t>
      </w:r>
      <w:r w:rsidRPr="00D4309F">
        <w:rPr>
          <w:spacing w:val="-2"/>
        </w:rPr>
        <w:t xml:space="preserve"> </w:t>
      </w:r>
      <w:r w:rsidRPr="00D4309F">
        <w:t>a</w:t>
      </w:r>
      <w:r w:rsidRPr="00D4309F">
        <w:rPr>
          <w:spacing w:val="-3"/>
        </w:rPr>
        <w:t xml:space="preserve"> </w:t>
      </w:r>
      <w:r w:rsidRPr="00D4309F">
        <w:t>result,</w:t>
      </w:r>
      <w:r w:rsidRPr="00D4309F">
        <w:rPr>
          <w:spacing w:val="-3"/>
        </w:rPr>
        <w:t xml:space="preserve"> </w:t>
      </w:r>
      <w:r w:rsidRPr="00D4309F">
        <w:t>dredging</w:t>
      </w:r>
      <w:r w:rsidRPr="00D4309F">
        <w:rPr>
          <w:spacing w:val="-4"/>
        </w:rPr>
        <w:t xml:space="preserve"> </w:t>
      </w:r>
      <w:r w:rsidRPr="00D4309F">
        <w:t>could</w:t>
      </w:r>
      <w:r w:rsidRPr="00D4309F">
        <w:rPr>
          <w:spacing w:val="-3"/>
        </w:rPr>
        <w:t xml:space="preserve"> </w:t>
      </w:r>
      <w:r w:rsidRPr="00D4309F">
        <w:t>be</w:t>
      </w:r>
      <w:r w:rsidRPr="00D4309F">
        <w:rPr>
          <w:spacing w:val="-4"/>
        </w:rPr>
        <w:t xml:space="preserve"> </w:t>
      </w:r>
      <w:r w:rsidRPr="00D4309F">
        <w:t>scheduled</w:t>
      </w:r>
      <w:r w:rsidRPr="00D4309F">
        <w:rPr>
          <w:spacing w:val="-3"/>
        </w:rPr>
        <w:t xml:space="preserve"> </w:t>
      </w:r>
      <w:r w:rsidRPr="00D4309F">
        <w:t>under</w:t>
      </w:r>
      <w:r w:rsidRPr="00D4309F">
        <w:rPr>
          <w:spacing w:val="-2"/>
        </w:rPr>
        <w:t xml:space="preserve"> </w:t>
      </w:r>
      <w:r w:rsidRPr="00D4309F">
        <w:t>favourable</w:t>
      </w:r>
      <w:r w:rsidRPr="00D4309F">
        <w:rPr>
          <w:spacing w:val="-3"/>
        </w:rPr>
        <w:t xml:space="preserve"> </w:t>
      </w:r>
      <w:r w:rsidRPr="00D4309F">
        <w:t>sea</w:t>
      </w:r>
      <w:r w:rsidRPr="00D4309F">
        <w:rPr>
          <w:spacing w:val="-3"/>
        </w:rPr>
        <w:t xml:space="preserve"> </w:t>
      </w:r>
      <w:r w:rsidRPr="00D4309F">
        <w:t>and</w:t>
      </w:r>
      <w:r w:rsidRPr="00D4309F">
        <w:rPr>
          <w:spacing w:val="-3"/>
        </w:rPr>
        <w:t xml:space="preserve"> </w:t>
      </w:r>
      <w:r w:rsidRPr="00D4309F">
        <w:t>weather</w:t>
      </w:r>
      <w:r w:rsidRPr="00D4309F">
        <w:rPr>
          <w:spacing w:val="-2"/>
        </w:rPr>
        <w:t xml:space="preserve"> </w:t>
      </w:r>
      <w:r w:rsidRPr="00D4309F">
        <w:t>conditions, improving operational safety and efficiency.</w:t>
      </w:r>
    </w:p>
    <w:p w14:paraId="1023398A" w14:textId="77777777" w:rsidR="00725977" w:rsidRPr="00D4309F" w:rsidRDefault="00725977" w:rsidP="00725977">
      <w:pPr>
        <w:pStyle w:val="BodyText"/>
      </w:pPr>
      <w:r w:rsidRPr="00D4309F">
        <w:t>The</w:t>
      </w:r>
      <w:r w:rsidRPr="00D4309F">
        <w:rPr>
          <w:spacing w:val="-1"/>
        </w:rPr>
        <w:t xml:space="preserve"> </w:t>
      </w:r>
      <w:r w:rsidRPr="00D4309F">
        <w:t>use</w:t>
      </w:r>
      <w:r w:rsidRPr="00D4309F">
        <w:rPr>
          <w:spacing w:val="-1"/>
        </w:rPr>
        <w:t xml:space="preserve"> </w:t>
      </w:r>
      <w:r w:rsidRPr="00D4309F">
        <w:t>of</w:t>
      </w:r>
      <w:r w:rsidRPr="00D4309F">
        <w:rPr>
          <w:spacing w:val="-1"/>
        </w:rPr>
        <w:t xml:space="preserve"> </w:t>
      </w:r>
      <w:r w:rsidRPr="00D4309F">
        <w:t>the</w:t>
      </w:r>
      <w:r w:rsidRPr="00D4309F">
        <w:rPr>
          <w:spacing w:val="-1"/>
        </w:rPr>
        <w:t xml:space="preserve"> </w:t>
      </w:r>
      <w:r w:rsidRPr="00D4309F">
        <w:t>existing</w:t>
      </w:r>
      <w:r w:rsidRPr="00D4309F">
        <w:rPr>
          <w:spacing w:val="-1"/>
        </w:rPr>
        <w:t xml:space="preserve"> </w:t>
      </w:r>
      <w:r w:rsidRPr="00D4309F">
        <w:t>CSD system</w:t>
      </w:r>
      <w:r w:rsidRPr="00D4309F">
        <w:rPr>
          <w:spacing w:val="-1"/>
        </w:rPr>
        <w:t xml:space="preserve"> </w:t>
      </w:r>
      <w:r w:rsidRPr="00D4309F">
        <w:t>makes this option</w:t>
      </w:r>
      <w:r w:rsidRPr="00D4309F">
        <w:rPr>
          <w:spacing w:val="-1"/>
        </w:rPr>
        <w:t xml:space="preserve"> </w:t>
      </w:r>
      <w:r w:rsidRPr="00D4309F">
        <w:t>technically</w:t>
      </w:r>
      <w:r w:rsidRPr="00D4309F">
        <w:rPr>
          <w:spacing w:val="-1"/>
        </w:rPr>
        <w:t xml:space="preserve"> </w:t>
      </w:r>
      <w:r w:rsidRPr="00D4309F">
        <w:t>straightforward</w:t>
      </w:r>
      <w:r w:rsidRPr="00D4309F">
        <w:rPr>
          <w:spacing w:val="-1"/>
        </w:rPr>
        <w:t xml:space="preserve"> </w:t>
      </w:r>
      <w:r w:rsidRPr="00D4309F">
        <w:t>and</w:t>
      </w:r>
      <w:r w:rsidRPr="00D4309F">
        <w:rPr>
          <w:spacing w:val="-1"/>
        </w:rPr>
        <w:t xml:space="preserve"> </w:t>
      </w:r>
      <w:r w:rsidRPr="00D4309F">
        <w:t>operationally proven. The</w:t>
      </w:r>
      <w:r w:rsidRPr="00D4309F">
        <w:rPr>
          <w:spacing w:val="-1"/>
        </w:rPr>
        <w:t xml:space="preserve"> </w:t>
      </w:r>
      <w:r w:rsidRPr="00D4309F">
        <w:t>dredge</w:t>
      </w:r>
      <w:r w:rsidRPr="00D4309F">
        <w:rPr>
          <w:spacing w:val="-1"/>
        </w:rPr>
        <w:t xml:space="preserve"> </w:t>
      </w:r>
      <w:r w:rsidRPr="00D4309F">
        <w:t>is</w:t>
      </w:r>
      <w:r w:rsidRPr="00D4309F">
        <w:rPr>
          <w:spacing w:val="-1"/>
        </w:rPr>
        <w:t xml:space="preserve"> </w:t>
      </w:r>
      <w:r w:rsidRPr="00D4309F">
        <w:t>already well-suited</w:t>
      </w:r>
      <w:r w:rsidRPr="00D4309F">
        <w:rPr>
          <w:spacing w:val="-1"/>
        </w:rPr>
        <w:t xml:space="preserve"> </w:t>
      </w:r>
      <w:r w:rsidRPr="00D4309F">
        <w:t>to</w:t>
      </w:r>
      <w:r w:rsidRPr="00D4309F">
        <w:rPr>
          <w:spacing w:val="-1"/>
        </w:rPr>
        <w:t xml:space="preserve"> </w:t>
      </w:r>
      <w:r w:rsidRPr="00D4309F">
        <w:t>the</w:t>
      </w:r>
      <w:r w:rsidRPr="00D4309F">
        <w:rPr>
          <w:spacing w:val="-2"/>
        </w:rPr>
        <w:t xml:space="preserve"> </w:t>
      </w:r>
      <w:r w:rsidRPr="00D4309F">
        <w:t>entrance</w:t>
      </w:r>
      <w:r w:rsidRPr="00D4309F">
        <w:rPr>
          <w:spacing w:val="-2"/>
        </w:rPr>
        <w:t xml:space="preserve"> </w:t>
      </w:r>
      <w:r w:rsidRPr="00D4309F">
        <w:t>conditions and</w:t>
      </w:r>
      <w:r w:rsidRPr="00D4309F">
        <w:rPr>
          <w:spacing w:val="-1"/>
        </w:rPr>
        <w:t xml:space="preserve"> </w:t>
      </w:r>
      <w:r w:rsidRPr="00D4309F">
        <w:t>can</w:t>
      </w:r>
      <w:r w:rsidRPr="00D4309F">
        <w:rPr>
          <w:spacing w:val="-1"/>
        </w:rPr>
        <w:t xml:space="preserve"> </w:t>
      </w:r>
      <w:r w:rsidRPr="00D4309F">
        <w:t>be</w:t>
      </w:r>
      <w:r w:rsidRPr="00D4309F">
        <w:rPr>
          <w:spacing w:val="-1"/>
        </w:rPr>
        <w:t xml:space="preserve"> </w:t>
      </w:r>
      <w:r w:rsidRPr="00D4309F">
        <w:t>easily deployed</w:t>
      </w:r>
      <w:r w:rsidRPr="00D4309F">
        <w:rPr>
          <w:spacing w:val="-1"/>
        </w:rPr>
        <w:t xml:space="preserve"> </w:t>
      </w:r>
      <w:r w:rsidRPr="00D4309F">
        <w:t>to</w:t>
      </w:r>
      <w:r w:rsidRPr="00D4309F">
        <w:rPr>
          <w:spacing w:val="-1"/>
        </w:rPr>
        <w:t xml:space="preserve"> </w:t>
      </w:r>
      <w:r w:rsidRPr="00D4309F">
        <w:t>remove</w:t>
      </w:r>
      <w:r w:rsidRPr="00D4309F">
        <w:rPr>
          <w:spacing w:val="-1"/>
        </w:rPr>
        <w:t xml:space="preserve"> </w:t>
      </w:r>
      <w:r w:rsidRPr="00D4309F">
        <w:t>material from</w:t>
      </w:r>
      <w:r w:rsidRPr="00D4309F">
        <w:rPr>
          <w:spacing w:val="-3"/>
        </w:rPr>
        <w:t xml:space="preserve"> </w:t>
      </w:r>
      <w:r w:rsidRPr="00D4309F">
        <w:t>the</w:t>
      </w:r>
      <w:r w:rsidRPr="00D4309F">
        <w:rPr>
          <w:spacing w:val="-3"/>
        </w:rPr>
        <w:t xml:space="preserve"> </w:t>
      </w:r>
      <w:r w:rsidRPr="00D4309F">
        <w:t>designated</w:t>
      </w:r>
      <w:r w:rsidRPr="00D4309F">
        <w:rPr>
          <w:spacing w:val="-3"/>
        </w:rPr>
        <w:t xml:space="preserve"> </w:t>
      </w:r>
      <w:r w:rsidRPr="00D4309F">
        <w:t>trap</w:t>
      </w:r>
      <w:r w:rsidRPr="00D4309F">
        <w:rPr>
          <w:spacing w:val="-3"/>
        </w:rPr>
        <w:t xml:space="preserve"> </w:t>
      </w:r>
      <w:r w:rsidRPr="00D4309F">
        <w:t>area.</w:t>
      </w:r>
      <w:r w:rsidRPr="00D4309F">
        <w:rPr>
          <w:spacing w:val="-3"/>
        </w:rPr>
        <w:t xml:space="preserve"> </w:t>
      </w:r>
      <w:r w:rsidRPr="00D4309F">
        <w:t>Key</w:t>
      </w:r>
      <w:r w:rsidRPr="00D4309F">
        <w:rPr>
          <w:spacing w:val="-2"/>
        </w:rPr>
        <w:t xml:space="preserve"> </w:t>
      </w:r>
      <w:r w:rsidRPr="00D4309F">
        <w:t>operational</w:t>
      </w:r>
      <w:r w:rsidRPr="00D4309F">
        <w:rPr>
          <w:spacing w:val="-3"/>
        </w:rPr>
        <w:t xml:space="preserve"> </w:t>
      </w:r>
      <w:r w:rsidRPr="00D4309F">
        <w:t>considerations</w:t>
      </w:r>
      <w:r w:rsidRPr="00D4309F">
        <w:rPr>
          <w:spacing w:val="-2"/>
        </w:rPr>
        <w:t xml:space="preserve"> </w:t>
      </w:r>
      <w:r w:rsidRPr="00D4309F">
        <w:t>include</w:t>
      </w:r>
      <w:r w:rsidRPr="00D4309F">
        <w:rPr>
          <w:spacing w:val="-3"/>
        </w:rPr>
        <w:t xml:space="preserve"> </w:t>
      </w:r>
      <w:r w:rsidRPr="00D4309F">
        <w:t>ensuring</w:t>
      </w:r>
      <w:r w:rsidRPr="00D4309F">
        <w:rPr>
          <w:spacing w:val="-3"/>
        </w:rPr>
        <w:t xml:space="preserve"> </w:t>
      </w:r>
      <w:r w:rsidRPr="00D4309F">
        <w:t>adequate</w:t>
      </w:r>
      <w:r w:rsidRPr="00D4309F">
        <w:rPr>
          <w:spacing w:val="-3"/>
        </w:rPr>
        <w:t xml:space="preserve"> </w:t>
      </w:r>
      <w:r w:rsidRPr="00D4309F">
        <w:t>dredge</w:t>
      </w:r>
      <w:r w:rsidRPr="00D4309F">
        <w:rPr>
          <w:spacing w:val="-3"/>
        </w:rPr>
        <w:t xml:space="preserve"> </w:t>
      </w:r>
      <w:r w:rsidRPr="00D4309F">
        <w:t>reach</w:t>
      </w:r>
      <w:r w:rsidRPr="00D4309F">
        <w:rPr>
          <w:spacing w:val="-3"/>
        </w:rPr>
        <w:t xml:space="preserve"> </w:t>
      </w:r>
      <w:r w:rsidRPr="00D4309F">
        <w:t>and suction performance to access the full trap depth and maintaining navigational access during works.</w:t>
      </w:r>
    </w:p>
    <w:p w14:paraId="2091F763" w14:textId="77777777" w:rsidR="00725977" w:rsidRPr="00D4309F" w:rsidRDefault="00725977" w:rsidP="00725977">
      <w:pPr>
        <w:pStyle w:val="BodyText"/>
      </w:pPr>
      <w:r w:rsidRPr="00D4309F">
        <w:lastRenderedPageBreak/>
        <w:t>Sediment</w:t>
      </w:r>
      <w:r w:rsidRPr="00D4309F">
        <w:rPr>
          <w:spacing w:val="-3"/>
        </w:rPr>
        <w:t xml:space="preserve"> </w:t>
      </w:r>
      <w:r w:rsidRPr="00D4309F">
        <w:t>monitoring</w:t>
      </w:r>
      <w:r w:rsidRPr="00D4309F">
        <w:rPr>
          <w:spacing w:val="-4"/>
        </w:rPr>
        <w:t xml:space="preserve"> </w:t>
      </w:r>
      <w:r w:rsidRPr="00D4309F">
        <w:t>(e.g.,</w:t>
      </w:r>
      <w:r w:rsidRPr="00D4309F">
        <w:rPr>
          <w:spacing w:val="-3"/>
        </w:rPr>
        <w:t xml:space="preserve"> </w:t>
      </w:r>
      <w:r w:rsidRPr="00D4309F">
        <w:t>via</w:t>
      </w:r>
      <w:r w:rsidRPr="00D4309F">
        <w:rPr>
          <w:spacing w:val="-3"/>
        </w:rPr>
        <w:t xml:space="preserve"> </w:t>
      </w:r>
      <w:r w:rsidRPr="00D4309F">
        <w:t>hydrographic</w:t>
      </w:r>
      <w:r w:rsidRPr="00D4309F">
        <w:rPr>
          <w:spacing w:val="-2"/>
        </w:rPr>
        <w:t xml:space="preserve"> </w:t>
      </w:r>
      <w:r w:rsidRPr="00D4309F">
        <w:t>surveys)</w:t>
      </w:r>
      <w:r w:rsidRPr="00D4309F">
        <w:rPr>
          <w:spacing w:val="-4"/>
        </w:rPr>
        <w:t xml:space="preserve"> </w:t>
      </w:r>
      <w:r w:rsidRPr="00D4309F">
        <w:t>will</w:t>
      </w:r>
      <w:r w:rsidRPr="00D4309F">
        <w:rPr>
          <w:spacing w:val="-3"/>
        </w:rPr>
        <w:t xml:space="preserve"> </w:t>
      </w:r>
      <w:r w:rsidRPr="00D4309F">
        <w:t>be</w:t>
      </w:r>
      <w:r w:rsidRPr="00D4309F">
        <w:rPr>
          <w:spacing w:val="-3"/>
        </w:rPr>
        <w:t xml:space="preserve"> </w:t>
      </w:r>
      <w:r w:rsidRPr="00D4309F">
        <w:t>required</w:t>
      </w:r>
      <w:r w:rsidRPr="00D4309F">
        <w:rPr>
          <w:spacing w:val="-3"/>
        </w:rPr>
        <w:t xml:space="preserve"> </w:t>
      </w:r>
      <w:r w:rsidRPr="00D4309F">
        <w:t>to</w:t>
      </w:r>
      <w:r w:rsidRPr="00D4309F">
        <w:rPr>
          <w:spacing w:val="-3"/>
        </w:rPr>
        <w:t xml:space="preserve"> </w:t>
      </w:r>
      <w:r w:rsidRPr="00D4309F">
        <w:t>confirm</w:t>
      </w:r>
      <w:r w:rsidRPr="00D4309F">
        <w:rPr>
          <w:spacing w:val="-3"/>
        </w:rPr>
        <w:t xml:space="preserve"> </w:t>
      </w:r>
      <w:r w:rsidRPr="00D4309F">
        <w:t>infill</w:t>
      </w:r>
      <w:r w:rsidRPr="00D4309F">
        <w:rPr>
          <w:spacing w:val="-3"/>
        </w:rPr>
        <w:t xml:space="preserve"> </w:t>
      </w:r>
      <w:r w:rsidRPr="00D4309F">
        <w:t>rates</w:t>
      </w:r>
      <w:r w:rsidRPr="00D4309F">
        <w:rPr>
          <w:spacing w:val="-2"/>
        </w:rPr>
        <w:t xml:space="preserve"> </w:t>
      </w:r>
      <w:r w:rsidRPr="00D4309F">
        <w:t>and</w:t>
      </w:r>
      <w:r w:rsidRPr="00D4309F">
        <w:rPr>
          <w:spacing w:val="-3"/>
        </w:rPr>
        <w:t xml:space="preserve"> </w:t>
      </w:r>
      <w:r w:rsidRPr="00D4309F">
        <w:t>trigger dredging activities.</w:t>
      </w:r>
    </w:p>
    <w:p w14:paraId="1ACC4E42" w14:textId="77777777" w:rsidR="00725977" w:rsidRPr="00D4309F" w:rsidRDefault="00725977" w:rsidP="00725977">
      <w:pPr>
        <w:pStyle w:val="BodyText"/>
      </w:pPr>
      <w:r w:rsidRPr="00D4309F">
        <w:t>Maintenance under Option 2 is expected to involve larger sediment volumes than the current regime, as deeper trap areas tend to accumulate sand more rapidly. However, by maintaining greater channel depth, the operational and navigational hazards associated with shoaling are significantly reduced. Maintenance would include episodic dredging to remove accumulated material, inspection and upkeep of associated</w:t>
      </w:r>
      <w:r w:rsidRPr="00D4309F">
        <w:rPr>
          <w:spacing w:val="-3"/>
        </w:rPr>
        <w:t xml:space="preserve"> </w:t>
      </w:r>
      <w:r w:rsidRPr="00D4309F">
        <w:t>pipeline</w:t>
      </w:r>
      <w:r w:rsidRPr="00D4309F">
        <w:rPr>
          <w:spacing w:val="-3"/>
        </w:rPr>
        <w:t xml:space="preserve"> </w:t>
      </w:r>
      <w:r w:rsidRPr="00D4309F">
        <w:t>infrastructure,</w:t>
      </w:r>
      <w:r w:rsidRPr="00D4309F">
        <w:rPr>
          <w:spacing w:val="-3"/>
        </w:rPr>
        <w:t xml:space="preserve"> </w:t>
      </w:r>
      <w:r w:rsidRPr="00D4309F">
        <w:t>and</w:t>
      </w:r>
      <w:r w:rsidRPr="00D4309F">
        <w:rPr>
          <w:spacing w:val="-3"/>
        </w:rPr>
        <w:t xml:space="preserve"> </w:t>
      </w:r>
      <w:r w:rsidRPr="00D4309F">
        <w:t>post-dredging</w:t>
      </w:r>
      <w:r w:rsidRPr="00D4309F">
        <w:rPr>
          <w:spacing w:val="-3"/>
        </w:rPr>
        <w:t xml:space="preserve"> </w:t>
      </w:r>
      <w:r w:rsidRPr="00D4309F">
        <w:t>hydrographic</w:t>
      </w:r>
      <w:r w:rsidRPr="00D4309F">
        <w:rPr>
          <w:spacing w:val="-3"/>
        </w:rPr>
        <w:t xml:space="preserve"> </w:t>
      </w:r>
      <w:r w:rsidRPr="00D4309F">
        <w:t>surveys</w:t>
      </w:r>
      <w:r w:rsidRPr="00D4309F">
        <w:rPr>
          <w:spacing w:val="-3"/>
        </w:rPr>
        <w:t xml:space="preserve"> </w:t>
      </w:r>
      <w:r w:rsidRPr="00D4309F">
        <w:t>to</w:t>
      </w:r>
      <w:r w:rsidRPr="00D4309F">
        <w:rPr>
          <w:spacing w:val="-3"/>
        </w:rPr>
        <w:t xml:space="preserve"> </w:t>
      </w:r>
      <w:r w:rsidRPr="00D4309F">
        <w:t>assess</w:t>
      </w:r>
      <w:r w:rsidRPr="00D4309F">
        <w:rPr>
          <w:spacing w:val="-3"/>
        </w:rPr>
        <w:t xml:space="preserve"> </w:t>
      </w:r>
      <w:r w:rsidRPr="00D4309F">
        <w:t>trap</w:t>
      </w:r>
      <w:r w:rsidRPr="00D4309F">
        <w:rPr>
          <w:spacing w:val="-3"/>
        </w:rPr>
        <w:t xml:space="preserve"> </w:t>
      </w:r>
      <w:r w:rsidRPr="00D4309F">
        <w:t>performance</w:t>
      </w:r>
      <w:r w:rsidRPr="00D4309F">
        <w:rPr>
          <w:spacing w:val="-3"/>
        </w:rPr>
        <w:t xml:space="preserve"> </w:t>
      </w:r>
      <w:r w:rsidRPr="00D4309F">
        <w:t>and guide future interventions.</w:t>
      </w:r>
    </w:p>
    <w:p w14:paraId="2AE303C8" w14:textId="77777777" w:rsidR="00725977" w:rsidRPr="00D4309F" w:rsidRDefault="00725977" w:rsidP="00725977">
      <w:pPr>
        <w:pStyle w:val="BodyText"/>
        <w:sectPr w:rsidR="00725977" w:rsidRPr="00D4309F" w:rsidSect="00405D4F">
          <w:pgSz w:w="11910" w:h="16840"/>
          <w:pgMar w:top="1418" w:right="1134" w:bottom="1418" w:left="1134" w:header="916" w:footer="980" w:gutter="0"/>
          <w:cols w:space="720"/>
        </w:sectPr>
      </w:pPr>
    </w:p>
    <w:p w14:paraId="56D2E45E" w14:textId="77777777" w:rsidR="00725977" w:rsidRPr="00D4309F" w:rsidRDefault="00725977" w:rsidP="008228CB">
      <w:pPr>
        <w:pStyle w:val="Heading3"/>
      </w:pPr>
      <w:bookmarkStart w:id="320" w:name="_Toc216699410"/>
      <w:r w:rsidRPr="00D4309F">
        <w:lastRenderedPageBreak/>
        <w:t>Environmental</w:t>
      </w:r>
      <w:r w:rsidRPr="00D4309F">
        <w:rPr>
          <w:spacing w:val="-9"/>
        </w:rPr>
        <w:t xml:space="preserve"> </w:t>
      </w:r>
      <w:r w:rsidRPr="00D4309F">
        <w:rPr>
          <w:spacing w:val="-2"/>
        </w:rPr>
        <w:t>constraints</w:t>
      </w:r>
      <w:bookmarkEnd w:id="320"/>
    </w:p>
    <w:p w14:paraId="738FDB4A" w14:textId="7A892B10" w:rsidR="00725977" w:rsidRPr="00D4309F" w:rsidRDefault="00725977" w:rsidP="00725977">
      <w:pPr>
        <w:pStyle w:val="BodyText"/>
      </w:pPr>
      <w:r w:rsidRPr="00D4309F">
        <w:t>A</w:t>
      </w:r>
      <w:r w:rsidRPr="00D4309F">
        <w:rPr>
          <w:spacing w:val="-2"/>
        </w:rPr>
        <w:t xml:space="preserve"> </w:t>
      </w:r>
      <w:r w:rsidRPr="00D4309F">
        <w:t>preliminary</w:t>
      </w:r>
      <w:r w:rsidRPr="00D4309F">
        <w:rPr>
          <w:spacing w:val="-1"/>
        </w:rPr>
        <w:t xml:space="preserve"> </w:t>
      </w:r>
      <w:r w:rsidRPr="00D4309F">
        <w:t>assessment</w:t>
      </w:r>
      <w:r w:rsidRPr="00D4309F">
        <w:rPr>
          <w:spacing w:val="-2"/>
        </w:rPr>
        <w:t xml:space="preserve"> </w:t>
      </w:r>
      <w:r w:rsidRPr="00D4309F">
        <w:t>of</w:t>
      </w:r>
      <w:r w:rsidRPr="00D4309F">
        <w:rPr>
          <w:spacing w:val="-2"/>
        </w:rPr>
        <w:t xml:space="preserve"> </w:t>
      </w:r>
      <w:r w:rsidRPr="00D4309F">
        <w:t>environmental</w:t>
      </w:r>
      <w:r w:rsidRPr="00D4309F">
        <w:rPr>
          <w:spacing w:val="-2"/>
        </w:rPr>
        <w:t xml:space="preserve"> </w:t>
      </w:r>
      <w:r w:rsidRPr="00D4309F">
        <w:t>constraints</w:t>
      </w:r>
      <w:r w:rsidRPr="00D4309F">
        <w:rPr>
          <w:spacing w:val="-1"/>
        </w:rPr>
        <w:t xml:space="preserve"> </w:t>
      </w:r>
      <w:r w:rsidRPr="00D4309F">
        <w:t>for</w:t>
      </w:r>
      <w:r w:rsidRPr="00D4309F">
        <w:rPr>
          <w:spacing w:val="-2"/>
        </w:rPr>
        <w:t xml:space="preserve"> </w:t>
      </w:r>
      <w:r w:rsidRPr="00D4309F">
        <w:t>the</w:t>
      </w:r>
      <w:r w:rsidRPr="00D4309F">
        <w:rPr>
          <w:spacing w:val="-2"/>
        </w:rPr>
        <w:t xml:space="preserve"> </w:t>
      </w:r>
      <w:r w:rsidRPr="00D4309F">
        <w:t>excavated</w:t>
      </w:r>
      <w:r w:rsidRPr="00D4309F">
        <w:rPr>
          <w:spacing w:val="-2"/>
        </w:rPr>
        <w:t xml:space="preserve"> </w:t>
      </w:r>
      <w:r w:rsidRPr="00D4309F">
        <w:t>sand</w:t>
      </w:r>
      <w:r w:rsidRPr="00D4309F">
        <w:rPr>
          <w:spacing w:val="-2"/>
        </w:rPr>
        <w:t xml:space="preserve"> </w:t>
      </w:r>
      <w:r w:rsidRPr="00D4309F">
        <w:t>trap</w:t>
      </w:r>
      <w:r w:rsidRPr="00D4309F">
        <w:rPr>
          <w:spacing w:val="-2"/>
        </w:rPr>
        <w:t xml:space="preserve"> </w:t>
      </w:r>
      <w:r w:rsidRPr="00D4309F">
        <w:t>with</w:t>
      </w:r>
      <w:r w:rsidRPr="00D4309F">
        <w:rPr>
          <w:spacing w:val="-2"/>
        </w:rPr>
        <w:t xml:space="preserve"> </w:t>
      </w:r>
      <w:r w:rsidRPr="00D4309F">
        <w:t>existing</w:t>
      </w:r>
      <w:r w:rsidRPr="00D4309F">
        <w:rPr>
          <w:spacing w:val="-2"/>
        </w:rPr>
        <w:t xml:space="preserve"> </w:t>
      </w:r>
      <w:r w:rsidRPr="00D4309F">
        <w:t>CSD</w:t>
      </w:r>
      <w:r w:rsidRPr="00D4309F">
        <w:rPr>
          <w:spacing w:val="-1"/>
        </w:rPr>
        <w:t xml:space="preserve"> </w:t>
      </w:r>
      <w:r w:rsidRPr="00D4309F">
        <w:t>operations</w:t>
      </w:r>
      <w:r w:rsidRPr="00D4309F">
        <w:rPr>
          <w:spacing w:val="-2"/>
        </w:rPr>
        <w:t xml:space="preserve"> </w:t>
      </w:r>
      <w:r w:rsidRPr="00D4309F">
        <w:t>(Option</w:t>
      </w:r>
      <w:r w:rsidRPr="00D4309F">
        <w:rPr>
          <w:spacing w:val="-2"/>
        </w:rPr>
        <w:t xml:space="preserve"> </w:t>
      </w:r>
      <w:r w:rsidRPr="00D4309F">
        <w:t>2A),</w:t>
      </w:r>
      <w:r w:rsidRPr="00D4309F">
        <w:rPr>
          <w:spacing w:val="-2"/>
        </w:rPr>
        <w:t xml:space="preserve"> </w:t>
      </w:r>
      <w:r w:rsidRPr="00D4309F">
        <w:t>based</w:t>
      </w:r>
      <w:r w:rsidRPr="00D4309F">
        <w:rPr>
          <w:spacing w:val="-3"/>
        </w:rPr>
        <w:t xml:space="preserve"> </w:t>
      </w:r>
      <w:r w:rsidRPr="00D4309F">
        <w:t>on</w:t>
      </w:r>
      <w:r w:rsidRPr="00D4309F">
        <w:rPr>
          <w:spacing w:val="-2"/>
        </w:rPr>
        <w:t xml:space="preserve"> </w:t>
      </w:r>
      <w:r w:rsidRPr="00D4309F">
        <w:t>the</w:t>
      </w:r>
      <w:r w:rsidRPr="00D4309F">
        <w:rPr>
          <w:spacing w:val="-2"/>
        </w:rPr>
        <w:t xml:space="preserve"> </w:t>
      </w:r>
      <w:r w:rsidRPr="00D4309F">
        <w:t>constraints</w:t>
      </w:r>
      <w:r w:rsidRPr="00D4309F">
        <w:rPr>
          <w:spacing w:val="-1"/>
        </w:rPr>
        <w:t xml:space="preserve"> </w:t>
      </w:r>
      <w:r w:rsidRPr="00D4309F">
        <w:t>analysis</w:t>
      </w:r>
      <w:r w:rsidRPr="00D4309F">
        <w:rPr>
          <w:spacing w:val="-2"/>
        </w:rPr>
        <w:t xml:space="preserve"> </w:t>
      </w:r>
      <w:r w:rsidRPr="00D4309F">
        <w:t>criteria</w:t>
      </w:r>
      <w:r w:rsidRPr="00D4309F">
        <w:rPr>
          <w:spacing w:val="-2"/>
        </w:rPr>
        <w:t xml:space="preserve"> </w:t>
      </w:r>
      <w:r w:rsidRPr="00D4309F">
        <w:t xml:space="preserve">in </w:t>
      </w:r>
      <w:hyperlink w:anchor="_bookmark131" w:history="1">
        <w:r w:rsidR="009213C9">
          <w:fldChar w:fldCharType="begin" w:fldLock="1"/>
        </w:r>
        <w:r w:rsidR="009213C9">
          <w:instrText xml:space="preserve"> REF _Ref215979509 \h </w:instrText>
        </w:r>
        <w:r w:rsidR="009213C9">
          <w:fldChar w:fldCharType="separate"/>
        </w:r>
        <w:r w:rsidR="009213C9">
          <w:t xml:space="preserve">Table </w:t>
        </w:r>
        <w:r w:rsidR="009213C9">
          <w:rPr>
            <w:noProof/>
          </w:rPr>
          <w:t>14</w:t>
        </w:r>
        <w:r w:rsidR="009213C9">
          <w:noBreakHyphen/>
        </w:r>
        <w:r w:rsidR="009213C9">
          <w:rPr>
            <w:noProof/>
          </w:rPr>
          <w:t>1</w:t>
        </w:r>
        <w:r w:rsidR="009213C9">
          <w:fldChar w:fldCharType="end"/>
        </w:r>
        <w:r w:rsidRPr="00D4309F">
          <w:t>,</w:t>
        </w:r>
      </w:hyperlink>
      <w:r w:rsidRPr="00D4309F">
        <w:t xml:space="preserve"> detailed in </w:t>
      </w:r>
      <w:hyperlink w:anchor="_bookmark132" w:history="1">
        <w:r w:rsidR="009213C9">
          <w:fldChar w:fldCharType="begin" w:fldLock="1"/>
        </w:r>
        <w:r w:rsidR="009213C9">
          <w:instrText xml:space="preserve"> REF _Ref215979524 \h </w:instrText>
        </w:r>
        <w:r w:rsidR="009213C9">
          <w:fldChar w:fldCharType="separate"/>
        </w:r>
        <w:r w:rsidR="009213C9">
          <w:t xml:space="preserve">Table </w:t>
        </w:r>
        <w:r w:rsidR="009213C9">
          <w:rPr>
            <w:noProof/>
          </w:rPr>
          <w:t>14</w:t>
        </w:r>
        <w:r w:rsidR="009213C9">
          <w:noBreakHyphen/>
        </w:r>
        <w:r w:rsidR="009213C9">
          <w:rPr>
            <w:noProof/>
          </w:rPr>
          <w:t>2</w:t>
        </w:r>
        <w:r w:rsidR="009213C9">
          <w:fldChar w:fldCharType="end"/>
        </w:r>
        <w:r w:rsidRPr="00D4309F">
          <w:t>.</w:t>
        </w:r>
      </w:hyperlink>
    </w:p>
    <w:p w14:paraId="6651F7FA" w14:textId="03B6EEFD" w:rsidR="00230A0A" w:rsidRPr="00BF65F2" w:rsidRDefault="00230A0A" w:rsidP="00151534">
      <w:pPr>
        <w:pStyle w:val="Table-Caption"/>
      </w:pPr>
      <w:bookmarkStart w:id="321" w:name="_bookmark131"/>
      <w:bookmarkStart w:id="322" w:name="_Ref215979509"/>
      <w:bookmarkStart w:id="323" w:name="_Toc216699558"/>
      <w:bookmarkEnd w:id="321"/>
      <w:r>
        <w:t xml:space="preserve">Table </w:t>
      </w:r>
      <w:r w:rsidR="00151534">
        <w:fldChar w:fldCharType="begin" w:fldLock="1"/>
      </w:r>
      <w:r w:rsidR="00151534">
        <w:instrText xml:space="preserve"> STYLEREF 1 \s </w:instrText>
      </w:r>
      <w:r w:rsidR="00151534">
        <w:fldChar w:fldCharType="separate"/>
      </w:r>
      <w:r w:rsidR="00151534">
        <w:rPr>
          <w:noProof/>
        </w:rPr>
        <w:t>14</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1</w:t>
      </w:r>
      <w:r w:rsidR="00151534">
        <w:fldChar w:fldCharType="end"/>
      </w:r>
      <w:bookmarkEnd w:id="322"/>
      <w:r>
        <w:t>:</w:t>
      </w:r>
      <w:r>
        <w:tab/>
      </w:r>
      <w:r w:rsidRPr="00D4309F">
        <w:rPr>
          <w:color w:val="211E1F"/>
        </w:rPr>
        <w:t>Constraints</w:t>
      </w:r>
      <w:r w:rsidRPr="00D4309F">
        <w:rPr>
          <w:color w:val="211E1F"/>
          <w:spacing w:val="-3"/>
        </w:rPr>
        <w:t xml:space="preserve"> </w:t>
      </w:r>
      <w:r w:rsidRPr="00D4309F">
        <w:rPr>
          <w:color w:val="211E1F"/>
        </w:rPr>
        <w:t>analysis</w:t>
      </w:r>
      <w:r w:rsidRPr="00D4309F">
        <w:rPr>
          <w:color w:val="211E1F"/>
          <w:spacing w:val="-2"/>
        </w:rPr>
        <w:t xml:space="preserve"> criteria</w:t>
      </w:r>
      <w:bookmarkEnd w:id="323"/>
    </w:p>
    <w:tbl>
      <w:tblPr>
        <w:tblW w:w="5000" w:type="pct"/>
        <w:tblCellMar>
          <w:left w:w="0" w:type="dxa"/>
          <w:right w:w="0" w:type="dxa"/>
        </w:tblCellMar>
        <w:tblLook w:val="01E0" w:firstRow="1" w:lastRow="1" w:firstColumn="1" w:lastColumn="1" w:noHBand="0" w:noVBand="0"/>
      </w:tblPr>
      <w:tblGrid>
        <w:gridCol w:w="1623"/>
        <w:gridCol w:w="12949"/>
      </w:tblGrid>
      <w:tr w:rsidR="00725977" w:rsidRPr="00D4309F" w14:paraId="46263439" w14:textId="77777777" w:rsidTr="00BF65F2">
        <w:trPr>
          <w:trHeight w:val="286"/>
        </w:trPr>
        <w:tc>
          <w:tcPr>
            <w:tcW w:w="557" w:type="pct"/>
            <w:tcBorders>
              <w:bottom w:val="single" w:sz="4" w:space="0" w:color="000000"/>
            </w:tcBorders>
            <w:shd w:val="clear" w:color="auto" w:fill="D6D7D5"/>
          </w:tcPr>
          <w:p w14:paraId="5059068C" w14:textId="77777777" w:rsidR="00725977" w:rsidRPr="00D4309F" w:rsidRDefault="00725977">
            <w:pPr>
              <w:pStyle w:val="TableParagraph"/>
              <w:spacing w:before="40"/>
              <w:ind w:left="165"/>
              <w:rPr>
                <w:b/>
                <w:sz w:val="18"/>
              </w:rPr>
            </w:pPr>
            <w:r w:rsidRPr="00D4309F">
              <w:rPr>
                <w:b/>
                <w:color w:val="70004A"/>
                <w:sz w:val="18"/>
              </w:rPr>
              <w:t>Constraint</w:t>
            </w:r>
            <w:r w:rsidRPr="00D4309F">
              <w:rPr>
                <w:b/>
                <w:color w:val="70004A"/>
                <w:spacing w:val="-4"/>
                <w:sz w:val="18"/>
              </w:rPr>
              <w:t xml:space="preserve"> </w:t>
            </w:r>
            <w:r w:rsidRPr="00D4309F">
              <w:rPr>
                <w:b/>
                <w:color w:val="70004A"/>
                <w:spacing w:val="-2"/>
                <w:sz w:val="18"/>
              </w:rPr>
              <w:t>level</w:t>
            </w:r>
          </w:p>
        </w:tc>
        <w:tc>
          <w:tcPr>
            <w:tcW w:w="4443" w:type="pct"/>
            <w:tcBorders>
              <w:bottom w:val="single" w:sz="4" w:space="0" w:color="000000"/>
            </w:tcBorders>
            <w:shd w:val="clear" w:color="auto" w:fill="D6D7D5"/>
          </w:tcPr>
          <w:p w14:paraId="025D08C6" w14:textId="77777777" w:rsidR="00725977" w:rsidRPr="00D4309F" w:rsidRDefault="00725977">
            <w:pPr>
              <w:pStyle w:val="TableParagraph"/>
              <w:spacing w:before="40"/>
              <w:ind w:left="164"/>
              <w:rPr>
                <w:b/>
                <w:sz w:val="18"/>
              </w:rPr>
            </w:pPr>
            <w:r w:rsidRPr="00D4309F">
              <w:rPr>
                <w:b/>
                <w:color w:val="70004A"/>
                <w:spacing w:val="-2"/>
                <w:sz w:val="18"/>
              </w:rPr>
              <w:t>Description</w:t>
            </w:r>
          </w:p>
        </w:tc>
      </w:tr>
      <w:tr w:rsidR="00725977" w:rsidRPr="00D4309F" w14:paraId="0E902506" w14:textId="77777777" w:rsidTr="00BF65F2">
        <w:trPr>
          <w:trHeight w:val="287"/>
        </w:trPr>
        <w:tc>
          <w:tcPr>
            <w:tcW w:w="557" w:type="pct"/>
            <w:tcBorders>
              <w:top w:val="single" w:sz="4" w:space="0" w:color="000000"/>
              <w:bottom w:val="single" w:sz="4" w:space="0" w:color="000000"/>
            </w:tcBorders>
            <w:shd w:val="clear" w:color="auto" w:fill="BDB7B3"/>
          </w:tcPr>
          <w:p w14:paraId="42AE5390" w14:textId="77777777" w:rsidR="00725977" w:rsidRPr="00D4309F" w:rsidRDefault="00725977">
            <w:pPr>
              <w:pStyle w:val="TableParagraph"/>
              <w:spacing w:before="41"/>
              <w:ind w:left="165"/>
              <w:rPr>
                <w:b/>
                <w:sz w:val="18"/>
              </w:rPr>
            </w:pPr>
            <w:r w:rsidRPr="00D4309F">
              <w:rPr>
                <w:b/>
                <w:color w:val="211E1F"/>
                <w:sz w:val="18"/>
              </w:rPr>
              <w:t>No</w:t>
            </w:r>
            <w:r w:rsidRPr="00D4309F">
              <w:rPr>
                <w:b/>
                <w:color w:val="211E1F"/>
                <w:spacing w:val="-3"/>
                <w:sz w:val="18"/>
              </w:rPr>
              <w:t xml:space="preserve"> </w:t>
            </w:r>
            <w:r w:rsidRPr="00D4309F">
              <w:rPr>
                <w:b/>
                <w:color w:val="211E1F"/>
                <w:spacing w:val="-2"/>
                <w:sz w:val="18"/>
              </w:rPr>
              <w:t>impact</w:t>
            </w:r>
          </w:p>
        </w:tc>
        <w:tc>
          <w:tcPr>
            <w:tcW w:w="4443" w:type="pct"/>
            <w:tcBorders>
              <w:top w:val="single" w:sz="4" w:space="0" w:color="000000"/>
              <w:bottom w:val="single" w:sz="4" w:space="0" w:color="000000"/>
            </w:tcBorders>
          </w:tcPr>
          <w:p w14:paraId="34C89886" w14:textId="77777777" w:rsidR="00725977" w:rsidRPr="00D4309F" w:rsidRDefault="00725977">
            <w:pPr>
              <w:pStyle w:val="TableParagraph"/>
              <w:spacing w:before="41"/>
              <w:ind w:left="164"/>
              <w:rPr>
                <w:sz w:val="18"/>
              </w:rPr>
            </w:pPr>
            <w:r w:rsidRPr="00D4309F">
              <w:rPr>
                <w:color w:val="211E1F"/>
                <w:sz w:val="18"/>
              </w:rPr>
              <w:t>There</w:t>
            </w:r>
            <w:r w:rsidRPr="00D4309F">
              <w:rPr>
                <w:color w:val="211E1F"/>
                <w:spacing w:val="-6"/>
                <w:sz w:val="18"/>
              </w:rPr>
              <w:t xml:space="preserve"> </w:t>
            </w:r>
            <w:r w:rsidRPr="00D4309F">
              <w:rPr>
                <w:color w:val="211E1F"/>
                <w:sz w:val="18"/>
              </w:rPr>
              <w:t>is</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impact</w:t>
            </w:r>
            <w:r w:rsidRPr="00D4309F">
              <w:rPr>
                <w:color w:val="211E1F"/>
                <w:spacing w:val="-2"/>
                <w:sz w:val="18"/>
              </w:rPr>
              <w:t xml:space="preserve"> </w:t>
            </w:r>
            <w:r w:rsidRPr="00D4309F">
              <w:rPr>
                <w:color w:val="211E1F"/>
                <w:sz w:val="18"/>
              </w:rPr>
              <w:t>pathway</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1"/>
                <w:sz w:val="18"/>
              </w:rPr>
              <w:t xml:space="preserve"> </w:t>
            </w:r>
            <w:r w:rsidRPr="00D4309F">
              <w:rPr>
                <w:color w:val="211E1F"/>
                <w:sz w:val="18"/>
              </w:rPr>
              <w:t>receptor.</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required.</w:t>
            </w:r>
          </w:p>
        </w:tc>
      </w:tr>
      <w:tr w:rsidR="00725977" w:rsidRPr="00D4309F" w14:paraId="76BEA024" w14:textId="77777777" w:rsidTr="00BF65F2">
        <w:trPr>
          <w:trHeight w:val="286"/>
        </w:trPr>
        <w:tc>
          <w:tcPr>
            <w:tcW w:w="557" w:type="pct"/>
            <w:tcBorders>
              <w:top w:val="single" w:sz="4" w:space="0" w:color="000000"/>
              <w:bottom w:val="single" w:sz="4" w:space="0" w:color="000000"/>
            </w:tcBorders>
            <w:shd w:val="clear" w:color="auto" w:fill="92D050"/>
          </w:tcPr>
          <w:p w14:paraId="4AE91093" w14:textId="77777777" w:rsidR="00725977" w:rsidRPr="00D4309F" w:rsidRDefault="00725977">
            <w:pPr>
              <w:pStyle w:val="TableParagraph"/>
              <w:spacing w:before="39"/>
              <w:ind w:left="165"/>
              <w:rPr>
                <w:b/>
                <w:sz w:val="18"/>
              </w:rPr>
            </w:pPr>
            <w:r w:rsidRPr="00D4309F">
              <w:rPr>
                <w:b/>
                <w:color w:val="211E1F"/>
                <w:spacing w:val="-5"/>
                <w:sz w:val="18"/>
              </w:rPr>
              <w:t>Low</w:t>
            </w:r>
          </w:p>
        </w:tc>
        <w:tc>
          <w:tcPr>
            <w:tcW w:w="4443" w:type="pct"/>
            <w:tcBorders>
              <w:top w:val="single" w:sz="4" w:space="0" w:color="000000"/>
              <w:bottom w:val="single" w:sz="4" w:space="0" w:color="000000"/>
            </w:tcBorders>
          </w:tcPr>
          <w:p w14:paraId="6A2DB67C" w14:textId="77777777" w:rsidR="00725977" w:rsidRPr="00D4309F" w:rsidRDefault="00725977">
            <w:pPr>
              <w:pStyle w:val="TableParagraph"/>
              <w:spacing w:before="39"/>
              <w:ind w:left="164"/>
              <w:rPr>
                <w:sz w:val="18"/>
              </w:rPr>
            </w:pPr>
            <w:r w:rsidRPr="00D4309F">
              <w:rPr>
                <w:color w:val="211E1F"/>
                <w:sz w:val="18"/>
              </w:rPr>
              <w:t>There</w:t>
            </w:r>
            <w:r w:rsidRPr="00D4309F">
              <w:rPr>
                <w:color w:val="211E1F"/>
                <w:spacing w:val="-6"/>
                <w:sz w:val="18"/>
              </w:rPr>
              <w:t xml:space="preserve"> </w:t>
            </w:r>
            <w:r w:rsidRPr="00D4309F">
              <w:rPr>
                <w:color w:val="211E1F"/>
                <w:sz w:val="18"/>
              </w:rPr>
              <w:t>is</w:t>
            </w:r>
            <w:r w:rsidRPr="00D4309F">
              <w:rPr>
                <w:color w:val="211E1F"/>
                <w:spacing w:val="-2"/>
                <w:sz w:val="18"/>
              </w:rPr>
              <w:t xml:space="preserve"> </w:t>
            </w:r>
            <w:r w:rsidRPr="00D4309F">
              <w:rPr>
                <w:color w:val="211E1F"/>
                <w:sz w:val="18"/>
              </w:rPr>
              <w:t>low</w:t>
            </w:r>
            <w:r w:rsidRPr="00D4309F">
              <w:rPr>
                <w:color w:val="211E1F"/>
                <w:spacing w:val="-2"/>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3"/>
                <w:sz w:val="18"/>
              </w:rPr>
              <w:t xml:space="preserve"> </w:t>
            </w:r>
            <w:r w:rsidRPr="00D4309F">
              <w:rPr>
                <w:color w:val="211E1F"/>
                <w:sz w:val="18"/>
              </w:rPr>
              <w:t>No</w:t>
            </w:r>
            <w:r w:rsidRPr="00D4309F">
              <w:rPr>
                <w:color w:val="211E1F"/>
                <w:spacing w:val="-3"/>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required.</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or</w:t>
            </w:r>
            <w:r w:rsidRPr="00D4309F">
              <w:rPr>
                <w:color w:val="211E1F"/>
                <w:spacing w:val="-2"/>
                <w:sz w:val="18"/>
              </w:rPr>
              <w:t xml:space="preserve"> </w:t>
            </w:r>
            <w:r w:rsidRPr="00D4309F">
              <w:rPr>
                <w:color w:val="211E1F"/>
                <w:sz w:val="18"/>
              </w:rPr>
              <w:t>standard</w:t>
            </w:r>
            <w:r w:rsidRPr="00D4309F">
              <w:rPr>
                <w:color w:val="211E1F"/>
                <w:spacing w:val="-3"/>
                <w:sz w:val="18"/>
              </w:rPr>
              <w:t xml:space="preserve"> </w:t>
            </w:r>
            <w:r w:rsidRPr="00D4309F">
              <w:rPr>
                <w:color w:val="211E1F"/>
                <w:sz w:val="18"/>
              </w:rPr>
              <w:t>management</w:t>
            </w:r>
            <w:r w:rsidRPr="00D4309F">
              <w:rPr>
                <w:color w:val="211E1F"/>
                <w:spacing w:val="-2"/>
                <w:sz w:val="18"/>
              </w:rPr>
              <w:t xml:space="preserve"> likely.</w:t>
            </w:r>
          </w:p>
        </w:tc>
      </w:tr>
      <w:tr w:rsidR="00725977" w:rsidRPr="00D4309F" w14:paraId="18AFB805" w14:textId="77777777" w:rsidTr="00BF65F2">
        <w:trPr>
          <w:trHeight w:val="493"/>
        </w:trPr>
        <w:tc>
          <w:tcPr>
            <w:tcW w:w="557" w:type="pct"/>
            <w:tcBorders>
              <w:top w:val="single" w:sz="4" w:space="0" w:color="000000"/>
              <w:bottom w:val="single" w:sz="4" w:space="0" w:color="000000"/>
            </w:tcBorders>
            <w:shd w:val="clear" w:color="auto" w:fill="FFFF00"/>
          </w:tcPr>
          <w:p w14:paraId="0A1270E7" w14:textId="77777777" w:rsidR="00725977" w:rsidRPr="00D4309F" w:rsidRDefault="00725977">
            <w:pPr>
              <w:pStyle w:val="TableParagraph"/>
              <w:spacing w:before="144"/>
              <w:ind w:left="165"/>
              <w:rPr>
                <w:b/>
                <w:sz w:val="18"/>
              </w:rPr>
            </w:pPr>
            <w:r w:rsidRPr="00D4309F">
              <w:rPr>
                <w:b/>
                <w:color w:val="211E1F"/>
                <w:spacing w:val="-2"/>
                <w:sz w:val="18"/>
              </w:rPr>
              <w:t>Moderate</w:t>
            </w:r>
          </w:p>
        </w:tc>
        <w:tc>
          <w:tcPr>
            <w:tcW w:w="4443" w:type="pct"/>
            <w:tcBorders>
              <w:top w:val="single" w:sz="4" w:space="0" w:color="000000"/>
              <w:bottom w:val="single" w:sz="4" w:space="0" w:color="000000"/>
            </w:tcBorders>
          </w:tcPr>
          <w:p w14:paraId="00821015" w14:textId="77777777" w:rsidR="00725977" w:rsidRPr="00D4309F" w:rsidRDefault="00725977">
            <w:pPr>
              <w:pStyle w:val="TableParagraph"/>
              <w:spacing w:before="41"/>
              <w:ind w:left="164" w:right="217"/>
              <w:rPr>
                <w:sz w:val="18"/>
              </w:rPr>
            </w:pPr>
            <w:r w:rsidRPr="00D4309F">
              <w:rPr>
                <w:color w:val="211E1F"/>
                <w:sz w:val="18"/>
              </w:rPr>
              <w:t>There</w:t>
            </w:r>
            <w:r w:rsidRPr="00D4309F">
              <w:rPr>
                <w:color w:val="211E1F"/>
                <w:spacing w:val="-3"/>
                <w:sz w:val="18"/>
              </w:rPr>
              <w:t xml:space="preserve"> </w:t>
            </w:r>
            <w:r w:rsidRPr="00D4309F">
              <w:rPr>
                <w:color w:val="211E1F"/>
                <w:sz w:val="18"/>
              </w:rPr>
              <w:t>is</w:t>
            </w:r>
            <w:r w:rsidRPr="00D4309F">
              <w:rPr>
                <w:color w:val="211E1F"/>
                <w:spacing w:val="-2"/>
                <w:sz w:val="18"/>
              </w:rPr>
              <w:t xml:space="preserve"> </w:t>
            </w:r>
            <w:r w:rsidRPr="00D4309F">
              <w:rPr>
                <w:color w:val="211E1F"/>
                <w:sz w:val="18"/>
              </w:rPr>
              <w:t>a</w:t>
            </w:r>
            <w:r w:rsidRPr="00D4309F">
              <w:rPr>
                <w:color w:val="211E1F"/>
                <w:spacing w:val="-3"/>
                <w:sz w:val="18"/>
              </w:rPr>
              <w:t xml:space="preserve"> </w:t>
            </w:r>
            <w:r w:rsidRPr="00D4309F">
              <w:rPr>
                <w:color w:val="211E1F"/>
                <w:sz w:val="18"/>
              </w:rPr>
              <w:t>moderate</w:t>
            </w:r>
            <w:r w:rsidRPr="00D4309F">
              <w:rPr>
                <w:color w:val="211E1F"/>
                <w:spacing w:val="-3"/>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2"/>
                <w:sz w:val="18"/>
              </w:rPr>
              <w:t xml:space="preserve"> </w:t>
            </w:r>
            <w:r w:rsidRPr="00D4309F">
              <w:rPr>
                <w:color w:val="211E1F"/>
                <w:sz w:val="18"/>
              </w:rPr>
              <w:t>which</w:t>
            </w:r>
            <w:r w:rsidRPr="00D4309F">
              <w:rPr>
                <w:color w:val="211E1F"/>
                <w:spacing w:val="-3"/>
                <w:sz w:val="18"/>
              </w:rPr>
              <w:t xml:space="preserve"> </w:t>
            </w:r>
            <w:r w:rsidRPr="00D4309F">
              <w:rPr>
                <w:color w:val="211E1F"/>
                <w:sz w:val="18"/>
              </w:rPr>
              <w:t>will</w:t>
            </w:r>
            <w:r w:rsidRPr="00D4309F">
              <w:rPr>
                <w:color w:val="211E1F"/>
                <w:spacing w:val="-1"/>
                <w:sz w:val="18"/>
              </w:rPr>
              <w:t xml:space="preserve"> </w:t>
            </w:r>
            <w:r w:rsidRPr="00D4309F">
              <w:rPr>
                <w:color w:val="211E1F"/>
                <w:sz w:val="18"/>
              </w:rPr>
              <w:t>require</w:t>
            </w:r>
            <w:r w:rsidRPr="00D4309F">
              <w:rPr>
                <w:color w:val="211E1F"/>
                <w:spacing w:val="-3"/>
                <w:sz w:val="18"/>
              </w:rPr>
              <w:t xml:space="preserve"> </w:t>
            </w:r>
            <w:r w:rsidRPr="00D4309F">
              <w:rPr>
                <w:color w:val="211E1F"/>
                <w:sz w:val="18"/>
              </w:rPr>
              <w:t>further</w:t>
            </w:r>
            <w:r w:rsidRPr="00D4309F">
              <w:rPr>
                <w:color w:val="211E1F"/>
                <w:spacing w:val="-1"/>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to</w:t>
            </w:r>
            <w:r w:rsidRPr="00D4309F">
              <w:rPr>
                <w:color w:val="211E1F"/>
                <w:spacing w:val="-1"/>
                <w:sz w:val="18"/>
              </w:rPr>
              <w:t xml:space="preserve"> </w:t>
            </w:r>
            <w:r w:rsidRPr="00D4309F">
              <w:rPr>
                <w:color w:val="211E1F"/>
                <w:sz w:val="18"/>
              </w:rPr>
              <w:t>determine</w:t>
            </w:r>
            <w:r w:rsidRPr="00D4309F">
              <w:rPr>
                <w:color w:val="211E1F"/>
                <w:spacing w:val="-3"/>
                <w:sz w:val="18"/>
              </w:rPr>
              <w:t xml:space="preserve"> </w:t>
            </w:r>
            <w:r w:rsidRPr="00D4309F">
              <w:rPr>
                <w:color w:val="211E1F"/>
                <w:sz w:val="18"/>
              </w:rPr>
              <w:t>the</w:t>
            </w:r>
            <w:r w:rsidRPr="00D4309F">
              <w:rPr>
                <w:color w:val="211E1F"/>
                <w:spacing w:val="-1"/>
                <w:sz w:val="18"/>
              </w:rPr>
              <w:t xml:space="preserve"> </w:t>
            </w:r>
            <w:r w:rsidRPr="00D4309F">
              <w:rPr>
                <w:color w:val="211E1F"/>
                <w:sz w:val="18"/>
              </w:rPr>
              <w:t>significance</w:t>
            </w:r>
            <w:r w:rsidRPr="00D4309F">
              <w:rPr>
                <w:color w:val="211E1F"/>
                <w:spacing w:val="-3"/>
                <w:sz w:val="18"/>
              </w:rPr>
              <w:t xml:space="preserve"> </w:t>
            </w:r>
            <w:r w:rsidRPr="00D4309F">
              <w:rPr>
                <w:color w:val="211E1F"/>
                <w:sz w:val="18"/>
              </w:rPr>
              <w:t>of</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Likely to</w:t>
            </w:r>
            <w:r w:rsidRPr="00D4309F">
              <w:rPr>
                <w:color w:val="211E1F"/>
                <w:spacing w:val="-3"/>
                <w:sz w:val="18"/>
              </w:rPr>
              <w:t xml:space="preserve"> </w:t>
            </w:r>
            <w:r w:rsidRPr="00D4309F">
              <w:rPr>
                <w:color w:val="211E1F"/>
                <w:sz w:val="18"/>
              </w:rPr>
              <w:t>be manageable or engineered to minimise potential impacts on the receiving environment.</w:t>
            </w:r>
          </w:p>
        </w:tc>
      </w:tr>
      <w:tr w:rsidR="00725977" w:rsidRPr="00D4309F" w14:paraId="450535A0" w14:textId="77777777" w:rsidTr="00BF65F2">
        <w:trPr>
          <w:trHeight w:val="494"/>
        </w:trPr>
        <w:tc>
          <w:tcPr>
            <w:tcW w:w="557" w:type="pct"/>
            <w:tcBorders>
              <w:top w:val="single" w:sz="4" w:space="0" w:color="000000"/>
            </w:tcBorders>
            <w:shd w:val="clear" w:color="auto" w:fill="FFC000"/>
          </w:tcPr>
          <w:p w14:paraId="283348BF" w14:textId="77777777" w:rsidR="00725977" w:rsidRPr="00D4309F" w:rsidRDefault="00725977">
            <w:pPr>
              <w:pStyle w:val="TableParagraph"/>
              <w:spacing w:before="144"/>
              <w:ind w:left="165"/>
              <w:rPr>
                <w:b/>
                <w:sz w:val="18"/>
              </w:rPr>
            </w:pPr>
            <w:r w:rsidRPr="00D4309F">
              <w:rPr>
                <w:b/>
                <w:color w:val="211E1F"/>
                <w:spacing w:val="-4"/>
                <w:sz w:val="18"/>
              </w:rPr>
              <w:t>High</w:t>
            </w:r>
          </w:p>
        </w:tc>
        <w:tc>
          <w:tcPr>
            <w:tcW w:w="4443" w:type="pct"/>
            <w:tcBorders>
              <w:top w:val="single" w:sz="4" w:space="0" w:color="000000"/>
            </w:tcBorders>
          </w:tcPr>
          <w:p w14:paraId="527A9DD1" w14:textId="77777777" w:rsidR="00725977" w:rsidRPr="00D4309F" w:rsidRDefault="00725977">
            <w:pPr>
              <w:pStyle w:val="TableParagraph"/>
              <w:spacing w:before="41"/>
              <w:ind w:left="164" w:right="217"/>
              <w:rPr>
                <w:sz w:val="18"/>
              </w:rPr>
            </w:pPr>
            <w:r w:rsidRPr="00D4309F">
              <w:rPr>
                <w:color w:val="211E1F"/>
                <w:sz w:val="18"/>
              </w:rPr>
              <w:t>There</w:t>
            </w:r>
            <w:r w:rsidRPr="00D4309F">
              <w:rPr>
                <w:color w:val="211E1F"/>
                <w:spacing w:val="-3"/>
                <w:sz w:val="18"/>
              </w:rPr>
              <w:t xml:space="preserve"> </w:t>
            </w:r>
            <w:r w:rsidRPr="00D4309F">
              <w:rPr>
                <w:color w:val="211E1F"/>
                <w:sz w:val="18"/>
              </w:rPr>
              <w:t>is</w:t>
            </w:r>
            <w:r w:rsidRPr="00D4309F">
              <w:rPr>
                <w:color w:val="211E1F"/>
                <w:spacing w:val="-2"/>
                <w:sz w:val="18"/>
              </w:rPr>
              <w:t xml:space="preserve"> </w:t>
            </w:r>
            <w:r w:rsidRPr="00D4309F">
              <w:rPr>
                <w:color w:val="211E1F"/>
                <w:sz w:val="18"/>
              </w:rPr>
              <w:t>a</w:t>
            </w:r>
            <w:r w:rsidRPr="00D4309F">
              <w:rPr>
                <w:color w:val="211E1F"/>
                <w:spacing w:val="-3"/>
                <w:sz w:val="18"/>
              </w:rPr>
              <w:t xml:space="preserve"> </w:t>
            </w:r>
            <w:r w:rsidRPr="00D4309F">
              <w:rPr>
                <w:color w:val="211E1F"/>
                <w:sz w:val="18"/>
              </w:rPr>
              <w:t>high</w:t>
            </w:r>
            <w:r w:rsidRPr="00D4309F">
              <w:rPr>
                <w:color w:val="211E1F"/>
                <w:spacing w:val="-1"/>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2"/>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required</w:t>
            </w:r>
            <w:r w:rsidRPr="00D4309F">
              <w:rPr>
                <w:color w:val="211E1F"/>
                <w:spacing w:val="-3"/>
                <w:sz w:val="18"/>
              </w:rPr>
              <w:t xml:space="preserve"> </w:t>
            </w:r>
            <w:r w:rsidRPr="00D4309F">
              <w:rPr>
                <w:color w:val="211E1F"/>
                <w:sz w:val="18"/>
              </w:rPr>
              <w:t>to</w:t>
            </w:r>
            <w:r w:rsidRPr="00D4309F">
              <w:rPr>
                <w:color w:val="211E1F"/>
                <w:spacing w:val="-3"/>
                <w:sz w:val="18"/>
              </w:rPr>
              <w:t xml:space="preserve"> </w:t>
            </w:r>
            <w:r w:rsidRPr="00D4309F">
              <w:rPr>
                <w:color w:val="211E1F"/>
                <w:sz w:val="18"/>
              </w:rPr>
              <w:t>determine</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significance</w:t>
            </w:r>
            <w:r w:rsidRPr="00D4309F">
              <w:rPr>
                <w:color w:val="211E1F"/>
                <w:spacing w:val="-1"/>
                <w:sz w:val="18"/>
              </w:rPr>
              <w:t xml:space="preserve"> </w:t>
            </w:r>
            <w:r w:rsidRPr="00D4309F">
              <w:rPr>
                <w:color w:val="211E1F"/>
                <w:sz w:val="18"/>
              </w:rPr>
              <w:t>of</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and</w:t>
            </w:r>
            <w:r w:rsidRPr="00D4309F">
              <w:rPr>
                <w:color w:val="211E1F"/>
                <w:spacing w:val="-3"/>
                <w:sz w:val="18"/>
              </w:rPr>
              <w:t xml:space="preserve"> </w:t>
            </w:r>
            <w:r w:rsidRPr="00D4309F">
              <w:rPr>
                <w:color w:val="211E1F"/>
                <w:sz w:val="18"/>
              </w:rPr>
              <w:t>mitigation</w:t>
            </w:r>
            <w:r w:rsidRPr="00D4309F">
              <w:rPr>
                <w:color w:val="211E1F"/>
                <w:spacing w:val="-1"/>
                <w:sz w:val="18"/>
              </w:rPr>
              <w:t xml:space="preserve"> </w:t>
            </w:r>
            <w:r w:rsidRPr="00D4309F">
              <w:rPr>
                <w:color w:val="211E1F"/>
                <w:sz w:val="18"/>
              </w:rPr>
              <w:t>strategy. Consideration for regulatory approvals.</w:t>
            </w:r>
          </w:p>
        </w:tc>
      </w:tr>
    </w:tbl>
    <w:p w14:paraId="73E7236C" w14:textId="2390F116" w:rsidR="00725977" w:rsidRPr="00D4309F" w:rsidRDefault="00725977" w:rsidP="00230A0A">
      <w:pPr>
        <w:pStyle w:val="BodyText"/>
      </w:pPr>
      <w:bookmarkStart w:id="324" w:name="_bookmark132"/>
      <w:bookmarkEnd w:id="324"/>
    </w:p>
    <w:p w14:paraId="0546E072" w14:textId="37B5E156" w:rsidR="00725977" w:rsidRPr="00D4309F" w:rsidRDefault="00230A0A" w:rsidP="00151534">
      <w:pPr>
        <w:pStyle w:val="Table-Caption"/>
      </w:pPr>
      <w:bookmarkStart w:id="325" w:name="_Ref215979524"/>
      <w:bookmarkStart w:id="326" w:name="_Toc216699559"/>
      <w:r>
        <w:t xml:space="preserve">Table </w:t>
      </w:r>
      <w:r w:rsidR="00151534">
        <w:fldChar w:fldCharType="begin" w:fldLock="1"/>
      </w:r>
      <w:r w:rsidR="00151534">
        <w:instrText xml:space="preserve"> STYLEREF 1 \s </w:instrText>
      </w:r>
      <w:r w:rsidR="00151534">
        <w:fldChar w:fldCharType="separate"/>
      </w:r>
      <w:r w:rsidR="00151534">
        <w:rPr>
          <w:noProof/>
        </w:rPr>
        <w:t>14</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2</w:t>
      </w:r>
      <w:r w:rsidR="00151534">
        <w:fldChar w:fldCharType="end"/>
      </w:r>
      <w:bookmarkEnd w:id="325"/>
      <w:r>
        <w:t>:</w:t>
      </w:r>
      <w:r>
        <w:tab/>
      </w:r>
      <w:r w:rsidRPr="00D4309F">
        <w:t>Environmental</w:t>
      </w:r>
      <w:r w:rsidRPr="00D4309F">
        <w:rPr>
          <w:spacing w:val="-1"/>
        </w:rPr>
        <w:t xml:space="preserve"> </w:t>
      </w:r>
      <w:r w:rsidRPr="00D4309F">
        <w:t>constraints</w:t>
      </w:r>
      <w:r w:rsidRPr="00D4309F">
        <w:rPr>
          <w:spacing w:val="-3"/>
        </w:rPr>
        <w:t xml:space="preserve"> </w:t>
      </w:r>
      <w:r w:rsidRPr="00D4309F">
        <w:t>for</w:t>
      </w:r>
      <w:r w:rsidRPr="00D4309F">
        <w:rPr>
          <w:spacing w:val="-3"/>
        </w:rPr>
        <w:t xml:space="preserve"> </w:t>
      </w:r>
      <w:r w:rsidRPr="00D4309F">
        <w:t>excavated</w:t>
      </w:r>
      <w:r w:rsidRPr="00D4309F">
        <w:rPr>
          <w:spacing w:val="-3"/>
        </w:rPr>
        <w:t xml:space="preserve"> </w:t>
      </w:r>
      <w:r w:rsidRPr="00D4309F">
        <w:t>sand</w:t>
      </w:r>
      <w:r w:rsidRPr="00D4309F">
        <w:rPr>
          <w:spacing w:val="-2"/>
        </w:rPr>
        <w:t xml:space="preserve"> </w:t>
      </w:r>
      <w:r w:rsidRPr="00D4309F">
        <w:t>trap</w:t>
      </w:r>
      <w:r w:rsidRPr="00D4309F">
        <w:rPr>
          <w:spacing w:val="-2"/>
        </w:rPr>
        <w:t xml:space="preserve"> </w:t>
      </w:r>
      <w:r w:rsidRPr="00D4309F">
        <w:t>with</w:t>
      </w:r>
      <w:r w:rsidRPr="00D4309F">
        <w:rPr>
          <w:spacing w:val="-3"/>
        </w:rPr>
        <w:t xml:space="preserve"> </w:t>
      </w:r>
      <w:r w:rsidRPr="00D4309F">
        <w:t>existing</w:t>
      </w:r>
      <w:r w:rsidRPr="00D4309F">
        <w:rPr>
          <w:spacing w:val="-3"/>
        </w:rPr>
        <w:t xml:space="preserve"> </w:t>
      </w:r>
      <w:r w:rsidRPr="00D4309F">
        <w:t>CSD</w:t>
      </w:r>
      <w:r w:rsidRPr="00D4309F">
        <w:rPr>
          <w:spacing w:val="-2"/>
        </w:rPr>
        <w:t xml:space="preserve"> </w:t>
      </w:r>
      <w:r w:rsidRPr="00D4309F">
        <w:t>operations</w:t>
      </w:r>
      <w:r w:rsidRPr="00D4309F">
        <w:rPr>
          <w:spacing w:val="-3"/>
        </w:rPr>
        <w:t xml:space="preserve"> </w:t>
      </w:r>
      <w:r w:rsidRPr="00D4309F">
        <w:t>(Option</w:t>
      </w:r>
      <w:r w:rsidRPr="00D4309F">
        <w:rPr>
          <w:spacing w:val="-2"/>
        </w:rPr>
        <w:t xml:space="preserve"> </w:t>
      </w:r>
      <w:r w:rsidRPr="00D4309F">
        <w:rPr>
          <w:spacing w:val="-5"/>
        </w:rPr>
        <w:t>2A)</w:t>
      </w:r>
      <w:bookmarkEnd w:id="326"/>
    </w:p>
    <w:tbl>
      <w:tblPr>
        <w:tblW w:w="0" w:type="auto"/>
        <w:tblLayout w:type="fixed"/>
        <w:tblCellMar>
          <w:left w:w="0" w:type="dxa"/>
          <w:right w:w="0" w:type="dxa"/>
        </w:tblCellMar>
        <w:tblLook w:val="01E0" w:firstRow="1" w:lastRow="1" w:firstColumn="1" w:lastColumn="1" w:noHBand="0" w:noVBand="0"/>
      </w:tblPr>
      <w:tblGrid>
        <w:gridCol w:w="1297"/>
        <w:gridCol w:w="1441"/>
        <w:gridCol w:w="3400"/>
        <w:gridCol w:w="1233"/>
        <w:gridCol w:w="2889"/>
        <w:gridCol w:w="1913"/>
        <w:gridCol w:w="2399"/>
      </w:tblGrid>
      <w:tr w:rsidR="00F12A6F" w:rsidRPr="00D4309F" w14:paraId="33503BFB" w14:textId="77777777" w:rsidTr="007E44C8">
        <w:trPr>
          <w:cantSplit/>
          <w:trHeight w:val="20"/>
          <w:tblHeader/>
        </w:trPr>
        <w:tc>
          <w:tcPr>
            <w:tcW w:w="1297" w:type="dxa"/>
            <w:tcBorders>
              <w:bottom w:val="single" w:sz="4" w:space="0" w:color="000000"/>
            </w:tcBorders>
            <w:shd w:val="clear" w:color="auto" w:fill="D6D7D5"/>
            <w:vAlign w:val="center"/>
          </w:tcPr>
          <w:p w14:paraId="7A31F36D" w14:textId="77777777" w:rsidR="00725977" w:rsidRPr="00D4309F" w:rsidRDefault="00725977" w:rsidP="00F12A6F">
            <w:pPr>
              <w:pStyle w:val="TableParagraph"/>
              <w:ind w:left="195"/>
              <w:rPr>
                <w:b/>
                <w:sz w:val="18"/>
              </w:rPr>
            </w:pPr>
            <w:r w:rsidRPr="00D4309F">
              <w:rPr>
                <w:b/>
                <w:color w:val="70004A"/>
                <w:spacing w:val="-2"/>
                <w:sz w:val="18"/>
              </w:rPr>
              <w:t>Category</w:t>
            </w:r>
          </w:p>
        </w:tc>
        <w:tc>
          <w:tcPr>
            <w:tcW w:w="1441" w:type="dxa"/>
            <w:tcBorders>
              <w:bottom w:val="single" w:sz="4" w:space="0" w:color="000000"/>
            </w:tcBorders>
            <w:shd w:val="clear" w:color="auto" w:fill="D6D7D5"/>
            <w:vAlign w:val="center"/>
          </w:tcPr>
          <w:p w14:paraId="6CF682E4" w14:textId="77777777" w:rsidR="00725977" w:rsidRPr="00D4309F" w:rsidRDefault="00725977" w:rsidP="00F12A6F">
            <w:pPr>
              <w:pStyle w:val="TableParagraph"/>
              <w:ind w:left="206"/>
              <w:rPr>
                <w:b/>
                <w:sz w:val="18"/>
              </w:rPr>
            </w:pPr>
            <w:r w:rsidRPr="00D4309F">
              <w:rPr>
                <w:b/>
                <w:color w:val="70004A"/>
                <w:spacing w:val="-2"/>
                <w:sz w:val="18"/>
              </w:rPr>
              <w:t>Receptor</w:t>
            </w:r>
          </w:p>
        </w:tc>
        <w:tc>
          <w:tcPr>
            <w:tcW w:w="3400" w:type="dxa"/>
            <w:tcBorders>
              <w:bottom w:val="single" w:sz="4" w:space="0" w:color="000000"/>
            </w:tcBorders>
            <w:shd w:val="clear" w:color="auto" w:fill="D6D7D5"/>
            <w:vAlign w:val="center"/>
          </w:tcPr>
          <w:p w14:paraId="035B29A1" w14:textId="77777777" w:rsidR="00725977" w:rsidRPr="00D4309F" w:rsidRDefault="00725977" w:rsidP="00F12A6F">
            <w:pPr>
              <w:pStyle w:val="TableParagraph"/>
              <w:ind w:left="275"/>
              <w:rPr>
                <w:b/>
                <w:sz w:val="18"/>
              </w:rPr>
            </w:pPr>
            <w:r w:rsidRPr="00D4309F">
              <w:rPr>
                <w:b/>
                <w:color w:val="70004A"/>
                <w:sz w:val="18"/>
              </w:rPr>
              <w:t>Impact</w:t>
            </w:r>
            <w:r w:rsidRPr="00D4309F">
              <w:rPr>
                <w:b/>
                <w:color w:val="70004A"/>
                <w:spacing w:val="-3"/>
                <w:sz w:val="18"/>
              </w:rPr>
              <w:t xml:space="preserve"> </w:t>
            </w:r>
            <w:r w:rsidRPr="00D4309F">
              <w:rPr>
                <w:b/>
                <w:color w:val="70004A"/>
                <w:spacing w:val="-2"/>
                <w:sz w:val="18"/>
              </w:rPr>
              <w:t>pathway</w:t>
            </w:r>
          </w:p>
        </w:tc>
        <w:tc>
          <w:tcPr>
            <w:tcW w:w="1233" w:type="dxa"/>
            <w:tcBorders>
              <w:bottom w:val="single" w:sz="4" w:space="0" w:color="000000"/>
            </w:tcBorders>
            <w:shd w:val="clear" w:color="auto" w:fill="D6D7D5"/>
            <w:vAlign w:val="center"/>
          </w:tcPr>
          <w:p w14:paraId="5B58AB1A" w14:textId="77777777" w:rsidR="00725977" w:rsidRPr="00D4309F" w:rsidRDefault="00725977" w:rsidP="00F12A6F">
            <w:pPr>
              <w:pStyle w:val="TableParagraph"/>
              <w:spacing w:before="143"/>
              <w:ind w:left="166"/>
              <w:rPr>
                <w:b/>
                <w:sz w:val="18"/>
              </w:rPr>
            </w:pPr>
            <w:r w:rsidRPr="00D4309F">
              <w:rPr>
                <w:b/>
                <w:color w:val="70004A"/>
                <w:spacing w:val="-2"/>
                <w:sz w:val="18"/>
              </w:rPr>
              <w:t>Constraint level</w:t>
            </w:r>
          </w:p>
        </w:tc>
        <w:tc>
          <w:tcPr>
            <w:tcW w:w="2889" w:type="dxa"/>
            <w:tcBorders>
              <w:bottom w:val="single" w:sz="4" w:space="0" w:color="000000"/>
            </w:tcBorders>
            <w:shd w:val="clear" w:color="auto" w:fill="D6D7D5"/>
            <w:vAlign w:val="center"/>
          </w:tcPr>
          <w:p w14:paraId="31729C09" w14:textId="77777777" w:rsidR="00725977" w:rsidRPr="00D4309F" w:rsidRDefault="00725977" w:rsidP="00F12A6F">
            <w:pPr>
              <w:pStyle w:val="TableParagraph"/>
              <w:ind w:left="166"/>
              <w:rPr>
                <w:b/>
                <w:sz w:val="18"/>
              </w:rPr>
            </w:pPr>
            <w:r w:rsidRPr="00D4309F">
              <w:rPr>
                <w:b/>
                <w:color w:val="70004A"/>
                <w:spacing w:val="-2"/>
                <w:sz w:val="18"/>
              </w:rPr>
              <w:t>Justification</w:t>
            </w:r>
          </w:p>
        </w:tc>
        <w:tc>
          <w:tcPr>
            <w:tcW w:w="1913" w:type="dxa"/>
            <w:tcBorders>
              <w:bottom w:val="single" w:sz="4" w:space="0" w:color="000000"/>
            </w:tcBorders>
            <w:shd w:val="clear" w:color="auto" w:fill="D6D7D5"/>
            <w:vAlign w:val="center"/>
          </w:tcPr>
          <w:p w14:paraId="14D8DAEA" w14:textId="77777777" w:rsidR="00725977" w:rsidRPr="00D4309F" w:rsidRDefault="00725977" w:rsidP="00F12A6F">
            <w:pPr>
              <w:pStyle w:val="TableParagraph"/>
              <w:spacing w:before="143"/>
              <w:ind w:left="204" w:right="192"/>
              <w:rPr>
                <w:b/>
                <w:sz w:val="18"/>
              </w:rPr>
            </w:pPr>
            <w:r w:rsidRPr="00D4309F">
              <w:rPr>
                <w:b/>
                <w:color w:val="70004A"/>
                <w:sz w:val="18"/>
              </w:rPr>
              <w:t>Further</w:t>
            </w:r>
            <w:r w:rsidRPr="00D4309F">
              <w:rPr>
                <w:b/>
                <w:color w:val="70004A"/>
                <w:spacing w:val="-13"/>
                <w:sz w:val="18"/>
              </w:rPr>
              <w:t xml:space="preserve"> </w:t>
            </w:r>
            <w:r w:rsidRPr="00D4309F">
              <w:rPr>
                <w:b/>
                <w:color w:val="70004A"/>
                <w:sz w:val="18"/>
              </w:rPr>
              <w:t xml:space="preserve">assessment </w:t>
            </w:r>
            <w:r w:rsidRPr="00D4309F">
              <w:rPr>
                <w:b/>
                <w:color w:val="70004A"/>
                <w:spacing w:val="-2"/>
                <w:sz w:val="18"/>
              </w:rPr>
              <w:t>recommendations</w:t>
            </w:r>
          </w:p>
        </w:tc>
        <w:tc>
          <w:tcPr>
            <w:tcW w:w="2399" w:type="dxa"/>
            <w:tcBorders>
              <w:bottom w:val="single" w:sz="4" w:space="0" w:color="000000"/>
            </w:tcBorders>
            <w:shd w:val="clear" w:color="auto" w:fill="D6D7D5"/>
            <w:vAlign w:val="center"/>
          </w:tcPr>
          <w:p w14:paraId="5E530E16" w14:textId="77777777" w:rsidR="00725977" w:rsidRPr="00D4309F" w:rsidRDefault="00725977" w:rsidP="00F12A6F">
            <w:pPr>
              <w:pStyle w:val="TableParagraph"/>
              <w:spacing w:before="40"/>
              <w:ind w:left="213" w:right="187"/>
              <w:rPr>
                <w:b/>
                <w:sz w:val="18"/>
              </w:rPr>
            </w:pPr>
            <w:r w:rsidRPr="00D4309F">
              <w:rPr>
                <w:b/>
                <w:color w:val="70004A"/>
                <w:sz w:val="18"/>
              </w:rPr>
              <w:t>Potential</w:t>
            </w:r>
            <w:r w:rsidRPr="00D4309F">
              <w:rPr>
                <w:b/>
                <w:color w:val="70004A"/>
                <w:spacing w:val="-15"/>
                <w:sz w:val="18"/>
              </w:rPr>
              <w:t xml:space="preserve"> </w:t>
            </w:r>
            <w:r w:rsidRPr="00D4309F">
              <w:rPr>
                <w:b/>
                <w:color w:val="70004A"/>
                <w:sz w:val="18"/>
              </w:rPr>
              <w:t>monitoring</w:t>
            </w:r>
            <w:r w:rsidRPr="00D4309F">
              <w:rPr>
                <w:b/>
                <w:color w:val="70004A"/>
                <w:spacing w:val="-12"/>
                <w:sz w:val="18"/>
              </w:rPr>
              <w:t xml:space="preserve"> </w:t>
            </w:r>
            <w:r w:rsidRPr="00D4309F">
              <w:rPr>
                <w:b/>
                <w:color w:val="70004A"/>
                <w:sz w:val="18"/>
              </w:rPr>
              <w:t xml:space="preserve">and </w:t>
            </w:r>
            <w:r w:rsidRPr="00D4309F">
              <w:rPr>
                <w:b/>
                <w:color w:val="70004A"/>
                <w:spacing w:val="-2"/>
                <w:sz w:val="18"/>
              </w:rPr>
              <w:t>management requirements</w:t>
            </w:r>
          </w:p>
        </w:tc>
      </w:tr>
      <w:tr w:rsidR="00F12A6F" w:rsidRPr="00D4309F" w14:paraId="5DDE3043" w14:textId="77777777" w:rsidTr="007E44C8">
        <w:trPr>
          <w:cantSplit/>
          <w:trHeight w:val="20"/>
        </w:trPr>
        <w:tc>
          <w:tcPr>
            <w:tcW w:w="1297" w:type="dxa"/>
            <w:tcBorders>
              <w:top w:val="single" w:sz="4" w:space="0" w:color="000000"/>
              <w:bottom w:val="single" w:sz="4" w:space="0" w:color="000000"/>
            </w:tcBorders>
            <w:vAlign w:val="center"/>
          </w:tcPr>
          <w:p w14:paraId="37498955" w14:textId="77777777" w:rsidR="00725977" w:rsidRPr="00D4309F" w:rsidRDefault="00725977" w:rsidP="00891147">
            <w:pPr>
              <w:pStyle w:val="Table-Text"/>
            </w:pPr>
            <w:r w:rsidRPr="00D4309F">
              <w:t>Marine environmental quality</w:t>
            </w:r>
          </w:p>
        </w:tc>
        <w:tc>
          <w:tcPr>
            <w:tcW w:w="1441" w:type="dxa"/>
            <w:tcBorders>
              <w:top w:val="single" w:sz="4" w:space="0" w:color="000000"/>
              <w:bottom w:val="single" w:sz="4" w:space="0" w:color="000000"/>
            </w:tcBorders>
            <w:vAlign w:val="center"/>
          </w:tcPr>
          <w:p w14:paraId="2EC2E8FA" w14:textId="260F8ACD" w:rsidR="000E1EDA" w:rsidRPr="000E1EDA" w:rsidRDefault="00725977" w:rsidP="002471AD">
            <w:pPr>
              <w:pStyle w:val="Table-Text"/>
            </w:pPr>
            <w:r w:rsidRPr="00D4309F">
              <w:t>Water quality</w:t>
            </w:r>
          </w:p>
        </w:tc>
        <w:tc>
          <w:tcPr>
            <w:tcW w:w="3400" w:type="dxa"/>
            <w:tcBorders>
              <w:top w:val="single" w:sz="4" w:space="0" w:color="000000"/>
              <w:bottom w:val="single" w:sz="4" w:space="0" w:color="000000"/>
            </w:tcBorders>
            <w:vAlign w:val="center"/>
          </w:tcPr>
          <w:p w14:paraId="573A5DBF" w14:textId="77777777" w:rsidR="00725977" w:rsidRPr="00D4309F" w:rsidRDefault="00725977" w:rsidP="00891147">
            <w:pPr>
              <w:pStyle w:val="Table-Bullet"/>
            </w:pPr>
            <w:r w:rsidRPr="00D4309F">
              <w:t>Generation</w:t>
            </w:r>
            <w:r w:rsidRPr="00D4309F">
              <w:rPr>
                <w:spacing w:val="-4"/>
              </w:rPr>
              <w:t xml:space="preserve"> </w:t>
            </w:r>
            <w:r w:rsidRPr="00D4309F">
              <w:t>of</w:t>
            </w:r>
            <w:r w:rsidRPr="00D4309F">
              <w:rPr>
                <w:spacing w:val="-3"/>
              </w:rPr>
              <w:t xml:space="preserve"> </w:t>
            </w:r>
            <w:r w:rsidRPr="00D4309F">
              <w:rPr>
                <w:spacing w:val="-2"/>
              </w:rPr>
              <w:t>turbidity</w:t>
            </w:r>
          </w:p>
        </w:tc>
        <w:tc>
          <w:tcPr>
            <w:tcW w:w="1233" w:type="dxa"/>
            <w:tcBorders>
              <w:top w:val="single" w:sz="4" w:space="0" w:color="000000"/>
              <w:bottom w:val="single" w:sz="4" w:space="0" w:color="000000"/>
            </w:tcBorders>
            <w:shd w:val="clear" w:color="auto" w:fill="FFC000"/>
            <w:vAlign w:val="center"/>
          </w:tcPr>
          <w:p w14:paraId="36476667" w14:textId="77777777" w:rsidR="00725977" w:rsidRPr="00D4309F" w:rsidRDefault="00725977" w:rsidP="00F12A6F">
            <w:pPr>
              <w:pStyle w:val="TableParagraph"/>
              <w:spacing w:before="1"/>
              <w:ind w:left="166" w:right="163"/>
              <w:rPr>
                <w:b/>
                <w:sz w:val="18"/>
              </w:rPr>
            </w:pPr>
            <w:r w:rsidRPr="00D4309F">
              <w:rPr>
                <w:b/>
                <w:color w:val="211E1F"/>
                <w:sz w:val="18"/>
              </w:rPr>
              <w:t>High</w:t>
            </w:r>
            <w:r w:rsidRPr="00D4309F">
              <w:rPr>
                <w:b/>
                <w:color w:val="211E1F"/>
                <w:spacing w:val="-13"/>
                <w:sz w:val="18"/>
              </w:rPr>
              <w:t xml:space="preserve"> </w:t>
            </w:r>
            <w:r w:rsidRPr="00D4309F">
              <w:rPr>
                <w:b/>
                <w:color w:val="211E1F"/>
                <w:sz w:val="18"/>
              </w:rPr>
              <w:t xml:space="preserve">(for </w:t>
            </w:r>
            <w:r w:rsidRPr="00D4309F">
              <w:rPr>
                <w:b/>
                <w:color w:val="211E1F"/>
                <w:spacing w:val="-4"/>
                <w:sz w:val="18"/>
              </w:rPr>
              <w:t xml:space="preserve">rock </w:t>
            </w:r>
            <w:r w:rsidRPr="00D4309F">
              <w:rPr>
                <w:b/>
                <w:color w:val="211E1F"/>
                <w:spacing w:val="-2"/>
                <w:sz w:val="18"/>
              </w:rPr>
              <w:t>cutting)</w:t>
            </w:r>
          </w:p>
        </w:tc>
        <w:tc>
          <w:tcPr>
            <w:tcW w:w="2889" w:type="dxa"/>
            <w:tcBorders>
              <w:top w:val="single" w:sz="4" w:space="0" w:color="000000"/>
              <w:bottom w:val="single" w:sz="4" w:space="0" w:color="000000"/>
            </w:tcBorders>
            <w:vAlign w:val="center"/>
          </w:tcPr>
          <w:p w14:paraId="6C304892" w14:textId="77777777" w:rsidR="00725977" w:rsidRPr="00D4309F" w:rsidRDefault="00725977" w:rsidP="00891147">
            <w:pPr>
              <w:pStyle w:val="Table-Bullet"/>
            </w:pPr>
            <w:r w:rsidRPr="00D4309F">
              <w:t>An assessment of the predicted plume</w:t>
            </w:r>
            <w:r w:rsidRPr="00D4309F">
              <w:rPr>
                <w:spacing w:val="-9"/>
              </w:rPr>
              <w:t xml:space="preserve"> </w:t>
            </w:r>
            <w:r w:rsidRPr="00D4309F">
              <w:t>extent</w:t>
            </w:r>
            <w:r w:rsidRPr="00D4309F">
              <w:rPr>
                <w:spacing w:val="-8"/>
              </w:rPr>
              <w:t xml:space="preserve"> </w:t>
            </w:r>
            <w:r w:rsidRPr="00D4309F">
              <w:t>will</w:t>
            </w:r>
            <w:r w:rsidRPr="00D4309F">
              <w:rPr>
                <w:spacing w:val="-8"/>
              </w:rPr>
              <w:t xml:space="preserve"> </w:t>
            </w:r>
            <w:r w:rsidRPr="00D4309F">
              <w:t>inform</w:t>
            </w:r>
            <w:r w:rsidRPr="00D4309F">
              <w:rPr>
                <w:spacing w:val="-8"/>
              </w:rPr>
              <w:t xml:space="preserve"> </w:t>
            </w:r>
            <w:r w:rsidRPr="00D4309F">
              <w:t>the</w:t>
            </w:r>
            <w:r w:rsidRPr="00D4309F">
              <w:rPr>
                <w:spacing w:val="-9"/>
              </w:rPr>
              <w:t xml:space="preserve"> </w:t>
            </w:r>
            <w:r w:rsidRPr="00D4309F">
              <w:t>extent of turbidity related impacts however as this is a dynamic, open ocean environment, any plume will likely dissipate quickly</w:t>
            </w:r>
          </w:p>
          <w:p w14:paraId="135CEA00" w14:textId="77777777" w:rsidR="00725977" w:rsidRPr="00D4309F" w:rsidRDefault="00725977" w:rsidP="00891147">
            <w:pPr>
              <w:pStyle w:val="Table-Bullet"/>
            </w:pPr>
            <w:r w:rsidRPr="00D4309F">
              <w:t>Turbidity is likely to be more extensive</w:t>
            </w:r>
            <w:r w:rsidRPr="00D4309F">
              <w:rPr>
                <w:spacing w:val="-13"/>
              </w:rPr>
              <w:t xml:space="preserve"> </w:t>
            </w:r>
            <w:r w:rsidRPr="00D4309F">
              <w:t>and</w:t>
            </w:r>
            <w:r w:rsidRPr="00D4309F">
              <w:rPr>
                <w:spacing w:val="-12"/>
              </w:rPr>
              <w:t xml:space="preserve"> </w:t>
            </w:r>
            <w:r w:rsidRPr="00D4309F">
              <w:t>persistent</w:t>
            </w:r>
            <w:r w:rsidRPr="00D4309F">
              <w:rPr>
                <w:spacing w:val="-13"/>
              </w:rPr>
              <w:t xml:space="preserve"> </w:t>
            </w:r>
            <w:r w:rsidRPr="00D4309F">
              <w:t>during rock cutting works</w:t>
            </w:r>
          </w:p>
        </w:tc>
        <w:tc>
          <w:tcPr>
            <w:tcW w:w="1913" w:type="dxa"/>
            <w:tcBorders>
              <w:top w:val="single" w:sz="4" w:space="0" w:color="000000"/>
              <w:bottom w:val="single" w:sz="4" w:space="0" w:color="000000"/>
            </w:tcBorders>
            <w:vAlign w:val="center"/>
          </w:tcPr>
          <w:p w14:paraId="1EA691F0" w14:textId="77777777" w:rsidR="00725977" w:rsidRPr="00D4309F" w:rsidRDefault="00725977" w:rsidP="00891147">
            <w:pPr>
              <w:pStyle w:val="Table-Bullet"/>
            </w:pPr>
            <w:r w:rsidRPr="00D4309F">
              <w:t>Turbidity</w:t>
            </w:r>
            <w:r w:rsidRPr="00D4309F">
              <w:rPr>
                <w:spacing w:val="-5"/>
              </w:rPr>
              <w:t xml:space="preserve"> </w:t>
            </w:r>
            <w:r w:rsidRPr="00D4309F">
              <w:rPr>
                <w:spacing w:val="-2"/>
              </w:rPr>
              <w:t>modelling</w:t>
            </w:r>
          </w:p>
        </w:tc>
        <w:tc>
          <w:tcPr>
            <w:tcW w:w="2399" w:type="dxa"/>
            <w:tcBorders>
              <w:top w:val="single" w:sz="4" w:space="0" w:color="000000"/>
              <w:bottom w:val="single" w:sz="4" w:space="0" w:color="000000"/>
            </w:tcBorders>
            <w:vAlign w:val="center"/>
          </w:tcPr>
          <w:p w14:paraId="724E939A" w14:textId="77777777" w:rsidR="00725977" w:rsidRPr="00D4309F" w:rsidRDefault="00725977" w:rsidP="00891147">
            <w:pPr>
              <w:pStyle w:val="Table-Bullet"/>
            </w:pPr>
            <w:r w:rsidRPr="00D4309F">
              <w:t>Turbidity</w:t>
            </w:r>
            <w:r w:rsidRPr="00D4309F">
              <w:rPr>
                <w:spacing w:val="-13"/>
              </w:rPr>
              <w:t xml:space="preserve"> </w:t>
            </w:r>
            <w:r w:rsidRPr="00D4309F">
              <w:t>monitoring during works</w:t>
            </w:r>
          </w:p>
          <w:p w14:paraId="4B817275" w14:textId="77777777" w:rsidR="00725977" w:rsidRPr="00D4309F" w:rsidRDefault="00725977" w:rsidP="00891147">
            <w:pPr>
              <w:pStyle w:val="Table-Bullet"/>
            </w:pPr>
            <w:r w:rsidRPr="00D4309F">
              <w:t>Standard turbidity mitigation</w:t>
            </w:r>
            <w:r w:rsidRPr="00D4309F">
              <w:rPr>
                <w:spacing w:val="-13"/>
              </w:rPr>
              <w:t xml:space="preserve"> </w:t>
            </w:r>
            <w:r w:rsidRPr="00D4309F">
              <w:t>procedures</w:t>
            </w:r>
          </w:p>
          <w:p w14:paraId="4010C18E" w14:textId="77777777" w:rsidR="00725977" w:rsidRPr="00D4309F" w:rsidRDefault="00725977" w:rsidP="00891147">
            <w:pPr>
              <w:pStyle w:val="Table-Bullet"/>
            </w:pPr>
            <w:r w:rsidRPr="00D4309F">
              <w:t>e.g.</w:t>
            </w:r>
            <w:r w:rsidRPr="00D4309F">
              <w:rPr>
                <w:spacing w:val="-13"/>
              </w:rPr>
              <w:t xml:space="preserve"> </w:t>
            </w:r>
            <w:r w:rsidRPr="00D4309F">
              <w:t>silt</w:t>
            </w:r>
            <w:r w:rsidRPr="00D4309F">
              <w:rPr>
                <w:spacing w:val="-12"/>
              </w:rPr>
              <w:t xml:space="preserve"> </w:t>
            </w:r>
            <w:r w:rsidRPr="00D4309F">
              <w:t>curtains,</w:t>
            </w:r>
            <w:r w:rsidRPr="00D4309F">
              <w:rPr>
                <w:spacing w:val="-13"/>
              </w:rPr>
              <w:t xml:space="preserve"> </w:t>
            </w:r>
            <w:r w:rsidRPr="00D4309F">
              <w:t>staging of works</w:t>
            </w:r>
          </w:p>
        </w:tc>
      </w:tr>
      <w:tr w:rsidR="00F12A6F" w:rsidRPr="00D4309F" w14:paraId="0A976453" w14:textId="77777777" w:rsidTr="007E44C8">
        <w:trPr>
          <w:cantSplit/>
          <w:trHeight w:val="20"/>
        </w:trPr>
        <w:tc>
          <w:tcPr>
            <w:tcW w:w="1297" w:type="dxa"/>
            <w:tcBorders>
              <w:top w:val="single" w:sz="4" w:space="0" w:color="000000"/>
              <w:bottom w:val="single" w:sz="4" w:space="0" w:color="000000"/>
            </w:tcBorders>
            <w:vAlign w:val="center"/>
          </w:tcPr>
          <w:p w14:paraId="67C0DC1E" w14:textId="77777777" w:rsidR="00725977" w:rsidRPr="00D4309F" w:rsidRDefault="00725977" w:rsidP="00891147">
            <w:pPr>
              <w:pStyle w:val="Table-Text"/>
            </w:pPr>
            <w:r w:rsidRPr="00D4309F">
              <w:t>Marine environmental quality</w:t>
            </w:r>
          </w:p>
        </w:tc>
        <w:tc>
          <w:tcPr>
            <w:tcW w:w="1441" w:type="dxa"/>
            <w:tcBorders>
              <w:top w:val="single" w:sz="4" w:space="0" w:color="000000"/>
              <w:bottom w:val="single" w:sz="4" w:space="0" w:color="000000"/>
            </w:tcBorders>
            <w:vAlign w:val="center"/>
          </w:tcPr>
          <w:p w14:paraId="218A66C0" w14:textId="10F06B76" w:rsidR="000E1EDA" w:rsidRPr="000E1EDA" w:rsidRDefault="00725977" w:rsidP="002471AD">
            <w:pPr>
              <w:pStyle w:val="Table-Text"/>
            </w:pPr>
            <w:r w:rsidRPr="00D4309F">
              <w:t>Water quality</w:t>
            </w:r>
          </w:p>
        </w:tc>
        <w:tc>
          <w:tcPr>
            <w:tcW w:w="3400" w:type="dxa"/>
            <w:tcBorders>
              <w:top w:val="single" w:sz="4" w:space="0" w:color="000000"/>
              <w:bottom w:val="single" w:sz="4" w:space="0" w:color="000000"/>
            </w:tcBorders>
            <w:vAlign w:val="center"/>
          </w:tcPr>
          <w:p w14:paraId="6C63F797" w14:textId="77777777" w:rsidR="00725977" w:rsidRPr="00D4309F" w:rsidRDefault="00725977" w:rsidP="00891147">
            <w:pPr>
              <w:pStyle w:val="Table-Bullet"/>
            </w:pPr>
            <w:r w:rsidRPr="00D4309F">
              <w:t>Release</w:t>
            </w:r>
            <w:r w:rsidRPr="00D4309F">
              <w:rPr>
                <w:spacing w:val="-4"/>
              </w:rPr>
              <w:t xml:space="preserve"> </w:t>
            </w:r>
            <w:r w:rsidRPr="00D4309F">
              <w:t>of</w:t>
            </w:r>
            <w:r w:rsidRPr="00D4309F">
              <w:rPr>
                <w:spacing w:val="-2"/>
              </w:rPr>
              <w:t xml:space="preserve"> contaminants/hypoxia</w:t>
            </w:r>
          </w:p>
        </w:tc>
        <w:tc>
          <w:tcPr>
            <w:tcW w:w="1233" w:type="dxa"/>
            <w:tcBorders>
              <w:top w:val="single" w:sz="4" w:space="0" w:color="000000"/>
              <w:bottom w:val="single" w:sz="4" w:space="0" w:color="000000"/>
            </w:tcBorders>
            <w:shd w:val="clear" w:color="auto" w:fill="92D050"/>
            <w:vAlign w:val="center"/>
          </w:tcPr>
          <w:p w14:paraId="67B73752" w14:textId="77777777" w:rsidR="00725977" w:rsidRPr="00D4309F" w:rsidRDefault="00725977" w:rsidP="00F12A6F">
            <w:pPr>
              <w:pStyle w:val="TableParagraph"/>
              <w:ind w:left="166" w:right="164"/>
              <w:rPr>
                <w:b/>
                <w:sz w:val="18"/>
              </w:rPr>
            </w:pPr>
            <w:r w:rsidRPr="00D4309F">
              <w:rPr>
                <w:b/>
                <w:color w:val="211E1F"/>
                <w:spacing w:val="-5"/>
                <w:sz w:val="18"/>
              </w:rPr>
              <w:t>Low</w:t>
            </w:r>
          </w:p>
        </w:tc>
        <w:tc>
          <w:tcPr>
            <w:tcW w:w="2889" w:type="dxa"/>
            <w:tcBorders>
              <w:top w:val="single" w:sz="4" w:space="0" w:color="000000"/>
              <w:bottom w:val="single" w:sz="4" w:space="0" w:color="000000"/>
            </w:tcBorders>
            <w:vAlign w:val="center"/>
          </w:tcPr>
          <w:p w14:paraId="7AD22020" w14:textId="77777777" w:rsidR="00725977" w:rsidRPr="00D4309F" w:rsidRDefault="00725977" w:rsidP="00891147">
            <w:pPr>
              <w:pStyle w:val="Table-Bullet"/>
            </w:pPr>
            <w:r w:rsidRPr="00D4309F">
              <w:t>Dredge</w:t>
            </w:r>
            <w:r w:rsidRPr="00D4309F">
              <w:rPr>
                <w:spacing w:val="-13"/>
              </w:rPr>
              <w:t xml:space="preserve"> </w:t>
            </w:r>
            <w:r w:rsidRPr="00D4309F">
              <w:t>sediments</w:t>
            </w:r>
            <w:r w:rsidRPr="00D4309F">
              <w:rPr>
                <w:spacing w:val="-12"/>
              </w:rPr>
              <w:t xml:space="preserve"> </w:t>
            </w:r>
            <w:r w:rsidRPr="00D4309F">
              <w:t>likely</w:t>
            </w:r>
            <w:r w:rsidRPr="00D4309F">
              <w:rPr>
                <w:spacing w:val="-13"/>
              </w:rPr>
              <w:t xml:space="preserve"> </w:t>
            </w:r>
            <w:r w:rsidRPr="00D4309F">
              <w:t>comprise clean marine sand free of contaminants with low organic matter content</w:t>
            </w:r>
          </w:p>
          <w:p w14:paraId="6A275592" w14:textId="77777777" w:rsidR="00725977" w:rsidRPr="00D4309F" w:rsidRDefault="00725977" w:rsidP="00891147">
            <w:pPr>
              <w:pStyle w:val="Table-Bullet"/>
            </w:pPr>
            <w:r w:rsidRPr="00D4309F">
              <w:t>Rock</w:t>
            </w:r>
            <w:r w:rsidRPr="00D4309F">
              <w:rPr>
                <w:spacing w:val="-10"/>
              </w:rPr>
              <w:t xml:space="preserve"> </w:t>
            </w:r>
            <w:r w:rsidRPr="00D4309F">
              <w:t>is</w:t>
            </w:r>
            <w:r w:rsidRPr="00D4309F">
              <w:rPr>
                <w:spacing w:val="-10"/>
              </w:rPr>
              <w:t xml:space="preserve"> </w:t>
            </w:r>
            <w:r w:rsidRPr="00D4309F">
              <w:t>likely</w:t>
            </w:r>
            <w:r w:rsidRPr="00D4309F">
              <w:rPr>
                <w:spacing w:val="-10"/>
              </w:rPr>
              <w:t xml:space="preserve"> </w:t>
            </w:r>
            <w:r w:rsidRPr="00D4309F">
              <w:t>to</w:t>
            </w:r>
            <w:r w:rsidRPr="00D4309F">
              <w:rPr>
                <w:spacing w:val="-11"/>
              </w:rPr>
              <w:t xml:space="preserve"> </w:t>
            </w:r>
            <w:r w:rsidRPr="00D4309F">
              <w:t xml:space="preserve">be </w:t>
            </w:r>
            <w:r w:rsidRPr="00D4309F">
              <w:rPr>
                <w:spacing w:val="-2"/>
              </w:rPr>
              <w:t>uncontaminated</w:t>
            </w:r>
          </w:p>
        </w:tc>
        <w:tc>
          <w:tcPr>
            <w:tcW w:w="1913" w:type="dxa"/>
            <w:tcBorders>
              <w:top w:val="single" w:sz="4" w:space="0" w:color="000000"/>
              <w:bottom w:val="single" w:sz="4" w:space="0" w:color="000000"/>
            </w:tcBorders>
            <w:vAlign w:val="center"/>
          </w:tcPr>
          <w:p w14:paraId="70E4A08A" w14:textId="77777777" w:rsidR="00725977" w:rsidRPr="00D4309F" w:rsidRDefault="00725977" w:rsidP="00891147">
            <w:pPr>
              <w:pStyle w:val="Table-Bullet"/>
            </w:pPr>
            <w:r w:rsidRPr="00D4309F">
              <w:t>Assumption that suitable</w:t>
            </w:r>
            <w:r w:rsidRPr="00D4309F">
              <w:rPr>
                <w:spacing w:val="-15"/>
              </w:rPr>
              <w:t xml:space="preserve"> </w:t>
            </w:r>
            <w:r w:rsidRPr="00D4309F">
              <w:t>data</w:t>
            </w:r>
            <w:r w:rsidRPr="00D4309F">
              <w:rPr>
                <w:spacing w:val="-12"/>
              </w:rPr>
              <w:t xml:space="preserve"> </w:t>
            </w:r>
            <w:r w:rsidRPr="00D4309F">
              <w:t>exists to inform this risk</w:t>
            </w:r>
          </w:p>
        </w:tc>
        <w:tc>
          <w:tcPr>
            <w:tcW w:w="2399" w:type="dxa"/>
            <w:tcBorders>
              <w:top w:val="single" w:sz="4" w:space="0" w:color="000000"/>
              <w:bottom w:val="single" w:sz="4" w:space="0" w:color="000000"/>
            </w:tcBorders>
            <w:vAlign w:val="center"/>
          </w:tcPr>
          <w:p w14:paraId="47330018" w14:textId="77777777" w:rsidR="00725977" w:rsidRPr="00D4309F" w:rsidRDefault="00725977" w:rsidP="00891147">
            <w:pPr>
              <w:pStyle w:val="Table-Bullet"/>
            </w:pPr>
            <w:r w:rsidRPr="00D4309F">
              <w:rPr>
                <w:spacing w:val="-4"/>
              </w:rPr>
              <w:t>None</w:t>
            </w:r>
          </w:p>
        </w:tc>
      </w:tr>
      <w:tr w:rsidR="00F12A6F" w:rsidRPr="00D4309F" w14:paraId="779BEE50" w14:textId="77777777" w:rsidTr="007E44C8">
        <w:trPr>
          <w:cantSplit/>
          <w:trHeight w:val="20"/>
        </w:trPr>
        <w:tc>
          <w:tcPr>
            <w:tcW w:w="1297" w:type="dxa"/>
            <w:tcBorders>
              <w:top w:val="single" w:sz="4" w:space="0" w:color="000000"/>
              <w:bottom w:val="single" w:sz="4" w:space="0" w:color="000000"/>
            </w:tcBorders>
            <w:vAlign w:val="center"/>
          </w:tcPr>
          <w:p w14:paraId="6CF08231" w14:textId="77777777" w:rsidR="00725977" w:rsidRPr="00D4309F" w:rsidRDefault="00725977" w:rsidP="00891147">
            <w:pPr>
              <w:pStyle w:val="Table-Text"/>
            </w:pPr>
            <w:r w:rsidRPr="00D4309F">
              <w:lastRenderedPageBreak/>
              <w:t>Marine environmental quality</w:t>
            </w:r>
          </w:p>
        </w:tc>
        <w:tc>
          <w:tcPr>
            <w:tcW w:w="1441" w:type="dxa"/>
            <w:tcBorders>
              <w:top w:val="single" w:sz="4" w:space="0" w:color="000000"/>
              <w:bottom w:val="single" w:sz="4" w:space="0" w:color="000000"/>
            </w:tcBorders>
            <w:vAlign w:val="center"/>
          </w:tcPr>
          <w:p w14:paraId="61BF7AEC" w14:textId="77777777" w:rsidR="00725977" w:rsidRPr="00D4309F" w:rsidRDefault="00725977" w:rsidP="00891147">
            <w:pPr>
              <w:pStyle w:val="Table-Text"/>
            </w:pPr>
            <w:r w:rsidRPr="00D4309F">
              <w:t>Water quality</w:t>
            </w:r>
          </w:p>
        </w:tc>
        <w:tc>
          <w:tcPr>
            <w:tcW w:w="3400" w:type="dxa"/>
            <w:tcBorders>
              <w:top w:val="single" w:sz="4" w:space="0" w:color="000000"/>
              <w:bottom w:val="single" w:sz="4" w:space="0" w:color="000000"/>
            </w:tcBorders>
            <w:vAlign w:val="center"/>
          </w:tcPr>
          <w:p w14:paraId="4B136634" w14:textId="77777777" w:rsidR="00725977" w:rsidRPr="00D4309F" w:rsidRDefault="00725977" w:rsidP="00891147">
            <w:pPr>
              <w:pStyle w:val="Table-Bullet"/>
            </w:pPr>
            <w:r w:rsidRPr="00D4309F">
              <w:t>Hydrocarbon</w:t>
            </w:r>
            <w:r w:rsidRPr="00D4309F">
              <w:rPr>
                <w:spacing w:val="-5"/>
              </w:rPr>
              <w:t xml:space="preserve"> </w:t>
            </w:r>
            <w:r w:rsidRPr="00D4309F">
              <w:rPr>
                <w:spacing w:val="-2"/>
              </w:rPr>
              <w:t>spills/waste</w:t>
            </w:r>
          </w:p>
        </w:tc>
        <w:tc>
          <w:tcPr>
            <w:tcW w:w="1233" w:type="dxa"/>
            <w:tcBorders>
              <w:top w:val="single" w:sz="4" w:space="0" w:color="000000"/>
              <w:bottom w:val="single" w:sz="4" w:space="0" w:color="000000"/>
            </w:tcBorders>
            <w:shd w:val="clear" w:color="auto" w:fill="92D050"/>
            <w:vAlign w:val="center"/>
          </w:tcPr>
          <w:p w14:paraId="63E21B11" w14:textId="77777777" w:rsidR="00725977" w:rsidRPr="00D4309F" w:rsidRDefault="00725977" w:rsidP="00F12A6F">
            <w:pPr>
              <w:pStyle w:val="TableParagraph"/>
              <w:ind w:left="166" w:right="164"/>
              <w:rPr>
                <w:b/>
                <w:sz w:val="18"/>
              </w:rPr>
            </w:pPr>
            <w:r w:rsidRPr="00D4309F">
              <w:rPr>
                <w:b/>
                <w:color w:val="211E1F"/>
                <w:spacing w:val="-5"/>
                <w:sz w:val="18"/>
              </w:rPr>
              <w:t>Low</w:t>
            </w:r>
          </w:p>
        </w:tc>
        <w:tc>
          <w:tcPr>
            <w:tcW w:w="2889" w:type="dxa"/>
            <w:tcBorders>
              <w:top w:val="single" w:sz="4" w:space="0" w:color="000000"/>
              <w:bottom w:val="single" w:sz="4" w:space="0" w:color="000000"/>
            </w:tcBorders>
            <w:vAlign w:val="center"/>
          </w:tcPr>
          <w:p w14:paraId="7435341D" w14:textId="77777777" w:rsidR="00725977" w:rsidRPr="00D4309F" w:rsidRDefault="00725977" w:rsidP="00891147">
            <w:pPr>
              <w:pStyle w:val="Table-Bullet"/>
            </w:pPr>
            <w:r w:rsidRPr="00D4309F">
              <w:t>Compliance with standard procedures</w:t>
            </w:r>
            <w:r w:rsidRPr="00D4309F">
              <w:rPr>
                <w:spacing w:val="-10"/>
              </w:rPr>
              <w:t xml:space="preserve"> </w:t>
            </w:r>
            <w:r w:rsidRPr="00D4309F">
              <w:t>will</w:t>
            </w:r>
            <w:r w:rsidRPr="00D4309F">
              <w:rPr>
                <w:spacing w:val="-9"/>
              </w:rPr>
              <w:t xml:space="preserve"> </w:t>
            </w:r>
            <w:r w:rsidRPr="00D4309F">
              <w:t>minimise</w:t>
            </w:r>
            <w:r w:rsidRPr="00D4309F">
              <w:rPr>
                <w:spacing w:val="-11"/>
              </w:rPr>
              <w:t xml:space="preserve"> </w:t>
            </w:r>
            <w:r w:rsidRPr="00D4309F">
              <w:t>this</w:t>
            </w:r>
            <w:r w:rsidRPr="00D4309F">
              <w:rPr>
                <w:spacing w:val="-10"/>
              </w:rPr>
              <w:t xml:space="preserve"> </w:t>
            </w:r>
            <w:r w:rsidRPr="00D4309F">
              <w:t>risk</w:t>
            </w:r>
          </w:p>
        </w:tc>
        <w:tc>
          <w:tcPr>
            <w:tcW w:w="1913" w:type="dxa"/>
            <w:tcBorders>
              <w:top w:val="single" w:sz="4" w:space="0" w:color="000000"/>
              <w:bottom w:val="single" w:sz="4" w:space="0" w:color="000000"/>
            </w:tcBorders>
            <w:vAlign w:val="center"/>
          </w:tcPr>
          <w:p w14:paraId="526E2A7A" w14:textId="77777777" w:rsidR="00725977" w:rsidRPr="00D4309F" w:rsidRDefault="00725977" w:rsidP="00891147">
            <w:pPr>
              <w:pStyle w:val="Table-Bullet"/>
            </w:pPr>
            <w:r w:rsidRPr="00D4309F">
              <w:rPr>
                <w:spacing w:val="-4"/>
              </w:rPr>
              <w:t>None</w:t>
            </w:r>
          </w:p>
        </w:tc>
        <w:tc>
          <w:tcPr>
            <w:tcW w:w="2399" w:type="dxa"/>
            <w:tcBorders>
              <w:top w:val="single" w:sz="4" w:space="0" w:color="000000"/>
              <w:bottom w:val="single" w:sz="4" w:space="0" w:color="000000"/>
            </w:tcBorders>
            <w:vAlign w:val="center"/>
          </w:tcPr>
          <w:p w14:paraId="676061FC" w14:textId="77777777" w:rsidR="00725977" w:rsidRPr="00D4309F" w:rsidRDefault="00725977" w:rsidP="00891147">
            <w:pPr>
              <w:pStyle w:val="Table-Bullet"/>
            </w:pPr>
            <w:r w:rsidRPr="00D4309F">
              <w:t>Standard</w:t>
            </w:r>
            <w:r w:rsidRPr="00D4309F">
              <w:rPr>
                <w:spacing w:val="-13"/>
              </w:rPr>
              <w:t xml:space="preserve"> </w:t>
            </w:r>
            <w:r w:rsidRPr="00D4309F">
              <w:t>oil</w:t>
            </w:r>
            <w:r w:rsidRPr="00D4309F">
              <w:rPr>
                <w:spacing w:val="-12"/>
              </w:rPr>
              <w:t xml:space="preserve"> </w:t>
            </w:r>
            <w:r w:rsidRPr="00D4309F">
              <w:t>spill</w:t>
            </w:r>
            <w:r w:rsidRPr="00D4309F">
              <w:rPr>
                <w:spacing w:val="-13"/>
              </w:rPr>
              <w:t xml:space="preserve"> </w:t>
            </w:r>
            <w:r w:rsidRPr="00D4309F">
              <w:t>and waste procedures</w:t>
            </w:r>
          </w:p>
        </w:tc>
      </w:tr>
      <w:tr w:rsidR="00F12A6F" w:rsidRPr="00D4309F" w14:paraId="1F63A678" w14:textId="77777777" w:rsidTr="007E44C8">
        <w:trPr>
          <w:cantSplit/>
          <w:trHeight w:val="20"/>
        </w:trPr>
        <w:tc>
          <w:tcPr>
            <w:tcW w:w="1297" w:type="dxa"/>
            <w:tcBorders>
              <w:top w:val="single" w:sz="4" w:space="0" w:color="000000"/>
              <w:bottom w:val="single" w:sz="4" w:space="0" w:color="000000"/>
            </w:tcBorders>
            <w:vAlign w:val="center"/>
          </w:tcPr>
          <w:p w14:paraId="17B08ACF" w14:textId="616FF733" w:rsidR="00230A0A" w:rsidRPr="00D4309F" w:rsidRDefault="00230A0A" w:rsidP="00891147">
            <w:pPr>
              <w:pStyle w:val="Table-Text"/>
            </w:pPr>
            <w:r w:rsidRPr="00D4309F">
              <w:t>Marine environmental quality</w:t>
            </w:r>
          </w:p>
        </w:tc>
        <w:tc>
          <w:tcPr>
            <w:tcW w:w="1441" w:type="dxa"/>
            <w:tcBorders>
              <w:top w:val="single" w:sz="4" w:space="0" w:color="000000"/>
              <w:bottom w:val="single" w:sz="4" w:space="0" w:color="000000"/>
            </w:tcBorders>
            <w:vAlign w:val="center"/>
          </w:tcPr>
          <w:p w14:paraId="6AC9E83C" w14:textId="1F6B3818" w:rsidR="00230A0A" w:rsidRPr="00D4309F" w:rsidRDefault="00230A0A" w:rsidP="00891147">
            <w:pPr>
              <w:pStyle w:val="Table-Text"/>
            </w:pPr>
            <w:r w:rsidRPr="00D4309F">
              <w:t>Wate</w:t>
            </w:r>
            <w:r>
              <w:t>r</w:t>
            </w:r>
            <w:r w:rsidRPr="00D4309F">
              <w:t xml:space="preserve"> quality</w:t>
            </w:r>
          </w:p>
        </w:tc>
        <w:tc>
          <w:tcPr>
            <w:tcW w:w="3400" w:type="dxa"/>
            <w:tcBorders>
              <w:top w:val="single" w:sz="4" w:space="0" w:color="000000"/>
              <w:bottom w:val="single" w:sz="4" w:space="0" w:color="000000"/>
            </w:tcBorders>
            <w:vAlign w:val="center"/>
          </w:tcPr>
          <w:p w14:paraId="5EDF391C" w14:textId="6F53BF04" w:rsidR="00230A0A" w:rsidRPr="00D4309F" w:rsidRDefault="00230A0A" w:rsidP="00891147">
            <w:pPr>
              <w:pStyle w:val="Table-Bullet"/>
            </w:pPr>
            <w:r w:rsidRPr="00D4309F">
              <w:t>Introduced</w:t>
            </w:r>
            <w:r w:rsidRPr="00D4309F">
              <w:rPr>
                <w:spacing w:val="-4"/>
              </w:rPr>
              <w:t xml:space="preserve"> </w:t>
            </w:r>
            <w:r w:rsidRPr="00D4309F">
              <w:t>marine</w:t>
            </w:r>
            <w:r w:rsidRPr="00D4309F">
              <w:rPr>
                <w:spacing w:val="-4"/>
              </w:rPr>
              <w:t xml:space="preserve"> </w:t>
            </w:r>
            <w:r w:rsidRPr="00D4309F">
              <w:rPr>
                <w:spacing w:val="-2"/>
              </w:rPr>
              <w:t>species</w:t>
            </w:r>
          </w:p>
        </w:tc>
        <w:tc>
          <w:tcPr>
            <w:tcW w:w="1233" w:type="dxa"/>
            <w:tcBorders>
              <w:top w:val="single" w:sz="4" w:space="0" w:color="000000"/>
              <w:bottom w:val="single" w:sz="4" w:space="0" w:color="000000"/>
            </w:tcBorders>
            <w:shd w:val="clear" w:color="auto" w:fill="92D050"/>
            <w:vAlign w:val="center"/>
          </w:tcPr>
          <w:p w14:paraId="349ED5FE" w14:textId="7AD3F589" w:rsidR="00230A0A" w:rsidRPr="00D4309F" w:rsidRDefault="00230A0A" w:rsidP="00F12A6F">
            <w:pPr>
              <w:pStyle w:val="TableParagraph"/>
              <w:ind w:left="166" w:right="164"/>
              <w:rPr>
                <w:b/>
                <w:color w:val="211E1F"/>
                <w:spacing w:val="-5"/>
                <w:sz w:val="18"/>
              </w:rPr>
            </w:pPr>
            <w:r w:rsidRPr="00D4309F">
              <w:rPr>
                <w:b/>
                <w:color w:val="211E1F"/>
                <w:spacing w:val="-5"/>
                <w:sz w:val="18"/>
              </w:rPr>
              <w:t>Low</w:t>
            </w:r>
          </w:p>
        </w:tc>
        <w:tc>
          <w:tcPr>
            <w:tcW w:w="2889" w:type="dxa"/>
            <w:tcBorders>
              <w:top w:val="single" w:sz="4" w:space="0" w:color="000000"/>
              <w:bottom w:val="single" w:sz="4" w:space="0" w:color="000000"/>
            </w:tcBorders>
            <w:vAlign w:val="center"/>
          </w:tcPr>
          <w:p w14:paraId="4C843D8D" w14:textId="307F76FE" w:rsidR="00230A0A" w:rsidRPr="00D4309F" w:rsidRDefault="00230A0A" w:rsidP="00891147">
            <w:pPr>
              <w:pStyle w:val="Table-Bullet"/>
            </w:pPr>
            <w:r w:rsidRPr="00D4309F">
              <w:t>Compliance with standard procedures</w:t>
            </w:r>
            <w:r w:rsidRPr="00D4309F">
              <w:rPr>
                <w:spacing w:val="-10"/>
              </w:rPr>
              <w:t xml:space="preserve"> </w:t>
            </w:r>
            <w:r w:rsidRPr="00D4309F">
              <w:t>will</w:t>
            </w:r>
            <w:r w:rsidRPr="00D4309F">
              <w:rPr>
                <w:spacing w:val="-9"/>
              </w:rPr>
              <w:t xml:space="preserve"> </w:t>
            </w:r>
            <w:r w:rsidRPr="00D4309F">
              <w:t>minimise</w:t>
            </w:r>
            <w:r w:rsidRPr="00D4309F">
              <w:rPr>
                <w:spacing w:val="-11"/>
              </w:rPr>
              <w:t xml:space="preserve"> </w:t>
            </w:r>
            <w:r w:rsidRPr="00D4309F">
              <w:t>this</w:t>
            </w:r>
            <w:r w:rsidRPr="00D4309F">
              <w:rPr>
                <w:spacing w:val="-10"/>
              </w:rPr>
              <w:t xml:space="preserve"> </w:t>
            </w:r>
            <w:r w:rsidRPr="00D4309F">
              <w:t>risk</w:t>
            </w:r>
          </w:p>
        </w:tc>
        <w:tc>
          <w:tcPr>
            <w:tcW w:w="1913" w:type="dxa"/>
            <w:tcBorders>
              <w:top w:val="single" w:sz="4" w:space="0" w:color="000000"/>
              <w:bottom w:val="single" w:sz="4" w:space="0" w:color="000000"/>
            </w:tcBorders>
            <w:vAlign w:val="center"/>
          </w:tcPr>
          <w:p w14:paraId="083A209E" w14:textId="2504A93E" w:rsidR="00230A0A" w:rsidRPr="00D4309F" w:rsidRDefault="00230A0A" w:rsidP="00891147">
            <w:pPr>
              <w:pStyle w:val="Table-Bullet"/>
              <w:rPr>
                <w:spacing w:val="-4"/>
              </w:rPr>
            </w:pPr>
            <w:r w:rsidRPr="00D4309F">
              <w:rPr>
                <w:spacing w:val="-4"/>
              </w:rPr>
              <w:t>None</w:t>
            </w:r>
          </w:p>
        </w:tc>
        <w:tc>
          <w:tcPr>
            <w:tcW w:w="2399" w:type="dxa"/>
            <w:tcBorders>
              <w:top w:val="single" w:sz="4" w:space="0" w:color="000000"/>
              <w:bottom w:val="single" w:sz="4" w:space="0" w:color="000000"/>
            </w:tcBorders>
            <w:vAlign w:val="center"/>
          </w:tcPr>
          <w:p w14:paraId="3902116F" w14:textId="3EDD877D" w:rsidR="00230A0A" w:rsidRPr="00D4309F" w:rsidRDefault="00230A0A" w:rsidP="00891147">
            <w:pPr>
              <w:pStyle w:val="Table-Bullet"/>
            </w:pPr>
            <w:r w:rsidRPr="00D4309F">
              <w:t xml:space="preserve">Compliance with standard state and </w:t>
            </w:r>
            <w:r w:rsidRPr="00D4309F">
              <w:rPr>
                <w:spacing w:val="-2"/>
              </w:rPr>
              <w:t xml:space="preserve">commonwealth </w:t>
            </w:r>
            <w:r w:rsidRPr="00D4309F">
              <w:t>procedures</w:t>
            </w:r>
            <w:r w:rsidRPr="00D4309F">
              <w:rPr>
                <w:spacing w:val="-13"/>
              </w:rPr>
              <w:t xml:space="preserve"> </w:t>
            </w:r>
            <w:r w:rsidRPr="00D4309F">
              <w:t xml:space="preserve">regarding </w:t>
            </w:r>
            <w:r w:rsidRPr="00D4309F">
              <w:rPr>
                <w:spacing w:val="-4"/>
              </w:rPr>
              <w:t>IMS</w:t>
            </w:r>
          </w:p>
        </w:tc>
      </w:tr>
      <w:tr w:rsidR="00F12A6F" w:rsidRPr="00D4309F" w14:paraId="4F5D0842" w14:textId="77777777" w:rsidTr="007E44C8">
        <w:trPr>
          <w:cantSplit/>
          <w:trHeight w:val="20"/>
        </w:trPr>
        <w:tc>
          <w:tcPr>
            <w:tcW w:w="1297" w:type="dxa"/>
            <w:tcBorders>
              <w:top w:val="single" w:sz="4" w:space="0" w:color="000000"/>
              <w:bottom w:val="single" w:sz="4" w:space="0" w:color="000000"/>
            </w:tcBorders>
            <w:vAlign w:val="center"/>
          </w:tcPr>
          <w:p w14:paraId="3AFD471E" w14:textId="41E91C35" w:rsidR="00230A0A" w:rsidRPr="00D4309F" w:rsidRDefault="00230A0A" w:rsidP="00891147">
            <w:pPr>
              <w:pStyle w:val="Table-Text"/>
            </w:pPr>
            <w:r w:rsidRPr="00D4309F">
              <w:t>Marine</w:t>
            </w:r>
            <w:r w:rsidRPr="00D4309F">
              <w:rPr>
                <w:spacing w:val="-4"/>
              </w:rPr>
              <w:t xml:space="preserve"> </w:t>
            </w:r>
            <w:r w:rsidRPr="00D4309F">
              <w:t>fauna</w:t>
            </w:r>
          </w:p>
        </w:tc>
        <w:tc>
          <w:tcPr>
            <w:tcW w:w="1441" w:type="dxa"/>
            <w:tcBorders>
              <w:top w:val="single" w:sz="4" w:space="0" w:color="000000"/>
              <w:bottom w:val="single" w:sz="4" w:space="0" w:color="000000"/>
            </w:tcBorders>
            <w:vAlign w:val="center"/>
          </w:tcPr>
          <w:p w14:paraId="219E1D25" w14:textId="26EBF8BE" w:rsidR="00230A0A" w:rsidRPr="00D4309F" w:rsidRDefault="00230A0A" w:rsidP="00891147">
            <w:pPr>
              <w:pStyle w:val="Table-Text"/>
            </w:pPr>
            <w:r w:rsidRPr="00D4309F">
              <w:t>Turtles</w:t>
            </w:r>
          </w:p>
        </w:tc>
        <w:tc>
          <w:tcPr>
            <w:tcW w:w="3400" w:type="dxa"/>
            <w:tcBorders>
              <w:top w:val="single" w:sz="4" w:space="0" w:color="000000"/>
              <w:bottom w:val="single" w:sz="4" w:space="0" w:color="000000"/>
            </w:tcBorders>
            <w:vAlign w:val="center"/>
          </w:tcPr>
          <w:p w14:paraId="45B2628C" w14:textId="77777777" w:rsidR="00230A0A" w:rsidRPr="00D4309F" w:rsidRDefault="00230A0A" w:rsidP="00891147">
            <w:pPr>
              <w:pStyle w:val="Table-Bullet"/>
            </w:pPr>
            <w:r w:rsidRPr="00D4309F">
              <w:t>Behavioural response and interruption</w:t>
            </w:r>
            <w:r w:rsidRPr="00D4309F">
              <w:rPr>
                <w:spacing w:val="-13"/>
              </w:rPr>
              <w:t xml:space="preserve"> </w:t>
            </w:r>
            <w:r w:rsidRPr="00D4309F">
              <w:t>of</w:t>
            </w:r>
            <w:r w:rsidRPr="00D4309F">
              <w:rPr>
                <w:spacing w:val="-12"/>
              </w:rPr>
              <w:t xml:space="preserve"> </w:t>
            </w:r>
            <w:r w:rsidRPr="00D4309F">
              <w:t>nesting</w:t>
            </w:r>
            <w:r w:rsidRPr="00D4309F">
              <w:rPr>
                <w:spacing w:val="-13"/>
              </w:rPr>
              <w:t xml:space="preserve"> </w:t>
            </w:r>
            <w:r w:rsidRPr="00D4309F">
              <w:t>behaviour due to light</w:t>
            </w:r>
          </w:p>
          <w:p w14:paraId="677B604F" w14:textId="77777777" w:rsidR="00230A0A" w:rsidRPr="00D4309F" w:rsidRDefault="00230A0A" w:rsidP="00891147">
            <w:pPr>
              <w:pStyle w:val="Table-Bullet"/>
            </w:pPr>
            <w:r w:rsidRPr="00D4309F">
              <w:t>Mortality/injury</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 xml:space="preserve">vessel collision, entanglement, </w:t>
            </w:r>
            <w:r w:rsidRPr="00D4309F">
              <w:rPr>
                <w:spacing w:val="-2"/>
              </w:rPr>
              <w:t>entrainment</w:t>
            </w:r>
          </w:p>
          <w:p w14:paraId="032AB389" w14:textId="77777777" w:rsidR="00230A0A" w:rsidRPr="00D4309F" w:rsidRDefault="00230A0A" w:rsidP="00891147">
            <w:pPr>
              <w:pStyle w:val="Table-Bullet"/>
            </w:pPr>
            <w:r w:rsidRPr="00D4309F">
              <w:t>Mortality/injury due to onshore plant</w:t>
            </w:r>
            <w:r w:rsidRPr="00D4309F">
              <w:rPr>
                <w:spacing w:val="-10"/>
              </w:rPr>
              <w:t xml:space="preserve"> </w:t>
            </w:r>
            <w:r w:rsidRPr="00D4309F">
              <w:t>and</w:t>
            </w:r>
            <w:r w:rsidRPr="00D4309F">
              <w:rPr>
                <w:spacing w:val="-10"/>
              </w:rPr>
              <w:t xml:space="preserve"> </w:t>
            </w:r>
            <w:r w:rsidRPr="00D4309F">
              <w:t>vehicle</w:t>
            </w:r>
            <w:r w:rsidRPr="00D4309F">
              <w:rPr>
                <w:spacing w:val="-10"/>
              </w:rPr>
              <w:t xml:space="preserve"> </w:t>
            </w:r>
            <w:r w:rsidRPr="00D4309F">
              <w:t>movement</w:t>
            </w:r>
            <w:r w:rsidRPr="00D4309F">
              <w:rPr>
                <w:spacing w:val="-9"/>
              </w:rPr>
              <w:t xml:space="preserve"> </w:t>
            </w:r>
            <w:r w:rsidRPr="00D4309F">
              <w:t>during beach profiling</w:t>
            </w:r>
          </w:p>
          <w:p w14:paraId="1836336A" w14:textId="77777777" w:rsidR="00230A0A" w:rsidRPr="00D4309F" w:rsidRDefault="00230A0A" w:rsidP="00891147">
            <w:pPr>
              <w:pStyle w:val="Table-Bullet"/>
            </w:pPr>
            <w:r w:rsidRPr="00D4309F">
              <w:t>Disturbance</w:t>
            </w:r>
            <w:r w:rsidRPr="00D4309F">
              <w:rPr>
                <w:spacing w:val="-3"/>
              </w:rPr>
              <w:t xml:space="preserve"> </w:t>
            </w:r>
            <w:r w:rsidRPr="00D4309F">
              <w:t>of</w:t>
            </w:r>
            <w:r w:rsidRPr="00D4309F">
              <w:rPr>
                <w:spacing w:val="-1"/>
              </w:rPr>
              <w:t xml:space="preserve"> </w:t>
            </w:r>
            <w:r w:rsidRPr="00D4309F">
              <w:t>habitat</w:t>
            </w:r>
            <w:r w:rsidRPr="00D4309F">
              <w:rPr>
                <w:spacing w:val="-2"/>
              </w:rPr>
              <w:t xml:space="preserve"> </w:t>
            </w:r>
            <w:r w:rsidRPr="00D4309F">
              <w:t>during sediment</w:t>
            </w:r>
            <w:r w:rsidRPr="00D4309F">
              <w:rPr>
                <w:spacing w:val="-13"/>
              </w:rPr>
              <w:t xml:space="preserve"> </w:t>
            </w:r>
            <w:r w:rsidRPr="00D4309F">
              <w:t>disposal</w:t>
            </w:r>
            <w:r w:rsidRPr="00D4309F">
              <w:rPr>
                <w:spacing w:val="-12"/>
              </w:rPr>
              <w:t xml:space="preserve"> </w:t>
            </w:r>
            <w:r w:rsidRPr="00D4309F">
              <w:t>and</w:t>
            </w:r>
            <w:r w:rsidRPr="00D4309F">
              <w:rPr>
                <w:spacing w:val="-13"/>
              </w:rPr>
              <w:t xml:space="preserve"> </w:t>
            </w:r>
            <w:r w:rsidRPr="00D4309F">
              <w:t xml:space="preserve">beach </w:t>
            </w:r>
            <w:r w:rsidRPr="00D4309F">
              <w:rPr>
                <w:spacing w:val="-2"/>
              </w:rPr>
              <w:t>reprofiling</w:t>
            </w:r>
          </w:p>
          <w:p w14:paraId="49D0E6B6" w14:textId="725F162A" w:rsidR="00230A0A" w:rsidRPr="00D4309F" w:rsidRDefault="00230A0A" w:rsidP="00891147">
            <w:pPr>
              <w:pStyle w:val="Table-Bullet"/>
            </w:pPr>
            <w:r w:rsidRPr="00D4309F">
              <w:t>Change of beach profile at Mooloolaba Main Beach due to sediment</w:t>
            </w:r>
            <w:r w:rsidRPr="00D4309F">
              <w:rPr>
                <w:spacing w:val="-10"/>
              </w:rPr>
              <w:t xml:space="preserve"> </w:t>
            </w:r>
            <w:r w:rsidRPr="00D4309F">
              <w:t>disposal</w:t>
            </w:r>
            <w:r w:rsidRPr="00D4309F">
              <w:rPr>
                <w:spacing w:val="-10"/>
              </w:rPr>
              <w:t xml:space="preserve"> </w:t>
            </w:r>
            <w:r w:rsidRPr="00D4309F">
              <w:t>direct</w:t>
            </w:r>
            <w:r w:rsidRPr="00D4309F">
              <w:rPr>
                <w:spacing w:val="-10"/>
              </w:rPr>
              <w:t xml:space="preserve"> </w:t>
            </w:r>
            <w:r w:rsidRPr="00D4309F">
              <w:t>to</w:t>
            </w:r>
            <w:r w:rsidRPr="00D4309F">
              <w:rPr>
                <w:spacing w:val="-11"/>
              </w:rPr>
              <w:t xml:space="preserve"> </w:t>
            </w:r>
            <w:r w:rsidRPr="00D4309F">
              <w:t>beach impacting nesting</w:t>
            </w:r>
          </w:p>
        </w:tc>
        <w:tc>
          <w:tcPr>
            <w:tcW w:w="1233" w:type="dxa"/>
            <w:tcBorders>
              <w:top w:val="single" w:sz="4" w:space="0" w:color="000000"/>
              <w:bottom w:val="single" w:sz="4" w:space="0" w:color="000000"/>
            </w:tcBorders>
            <w:shd w:val="clear" w:color="auto" w:fill="FFFF00"/>
            <w:vAlign w:val="center"/>
          </w:tcPr>
          <w:p w14:paraId="6E2FBEE3" w14:textId="44E243FE" w:rsidR="00230A0A" w:rsidRPr="00D4309F" w:rsidRDefault="00230A0A" w:rsidP="00F12A6F">
            <w:pPr>
              <w:pStyle w:val="TableParagraph"/>
              <w:ind w:left="166" w:right="164"/>
              <w:rPr>
                <w:b/>
                <w:color w:val="211E1F"/>
                <w:spacing w:val="-5"/>
                <w:sz w:val="18"/>
              </w:rPr>
            </w:pPr>
            <w:r w:rsidRPr="00D4309F">
              <w:rPr>
                <w:b/>
                <w:color w:val="211E1F"/>
                <w:spacing w:val="-2"/>
                <w:sz w:val="18"/>
              </w:rPr>
              <w:t>Moderate</w:t>
            </w:r>
          </w:p>
        </w:tc>
        <w:tc>
          <w:tcPr>
            <w:tcW w:w="2889" w:type="dxa"/>
            <w:tcBorders>
              <w:top w:val="single" w:sz="4" w:space="0" w:color="000000"/>
              <w:bottom w:val="single" w:sz="4" w:space="0" w:color="000000"/>
            </w:tcBorders>
            <w:vAlign w:val="center"/>
          </w:tcPr>
          <w:p w14:paraId="38BB0473" w14:textId="37572F21" w:rsidR="00230A0A" w:rsidRPr="00D4309F" w:rsidRDefault="00230A0A" w:rsidP="00891147">
            <w:pPr>
              <w:pStyle w:val="Table-Bullet"/>
            </w:pPr>
            <w:r w:rsidRPr="00D4309F">
              <w:t>Several turtle species listed as endangered or vulnerable under the EPBC were identified in the project area with Green (Vulnerable) and Loggerhead (Endangered) turtles known to nest</w:t>
            </w:r>
            <w:r w:rsidRPr="00D4309F">
              <w:rPr>
                <w:spacing w:val="-10"/>
              </w:rPr>
              <w:t xml:space="preserve"> </w:t>
            </w:r>
            <w:r w:rsidRPr="00D4309F">
              <w:t>on</w:t>
            </w:r>
            <w:r w:rsidRPr="00D4309F">
              <w:rPr>
                <w:spacing w:val="-11"/>
              </w:rPr>
              <w:t xml:space="preserve"> </w:t>
            </w:r>
            <w:r w:rsidRPr="00D4309F">
              <w:t>Buddina</w:t>
            </w:r>
            <w:r w:rsidRPr="00D4309F">
              <w:rPr>
                <w:spacing w:val="-11"/>
              </w:rPr>
              <w:t xml:space="preserve"> </w:t>
            </w:r>
            <w:r w:rsidRPr="00D4309F">
              <w:t>and</w:t>
            </w:r>
            <w:r w:rsidRPr="00D4309F">
              <w:rPr>
                <w:spacing w:val="-11"/>
              </w:rPr>
              <w:t xml:space="preserve"> </w:t>
            </w:r>
            <w:r w:rsidRPr="00D4309F">
              <w:t xml:space="preserve">Mooloolaba beaches. Therefore, potential impacts need to be managed </w:t>
            </w:r>
            <w:r w:rsidRPr="00D4309F">
              <w:rPr>
                <w:spacing w:val="-2"/>
              </w:rPr>
              <w:t>accordingly.</w:t>
            </w:r>
          </w:p>
        </w:tc>
        <w:tc>
          <w:tcPr>
            <w:tcW w:w="1913" w:type="dxa"/>
            <w:tcBorders>
              <w:top w:val="single" w:sz="4" w:space="0" w:color="000000"/>
              <w:bottom w:val="single" w:sz="4" w:space="0" w:color="000000"/>
            </w:tcBorders>
            <w:vAlign w:val="center"/>
          </w:tcPr>
          <w:p w14:paraId="26B7E63F" w14:textId="77777777" w:rsidR="00230A0A" w:rsidRPr="00BF65F2" w:rsidRDefault="00230A0A" w:rsidP="00891147">
            <w:pPr>
              <w:pStyle w:val="Table-Bullet"/>
            </w:pPr>
            <w:r w:rsidRPr="00D4309F">
              <w:t>Light</w:t>
            </w:r>
            <w:r w:rsidRPr="00D4309F">
              <w:rPr>
                <w:spacing w:val="-15"/>
              </w:rPr>
              <w:t xml:space="preserve"> </w:t>
            </w:r>
            <w:r w:rsidRPr="00D4309F">
              <w:t>assessment</w:t>
            </w:r>
            <w:r w:rsidRPr="00D4309F">
              <w:rPr>
                <w:spacing w:val="-12"/>
              </w:rPr>
              <w:t xml:space="preserve"> </w:t>
            </w:r>
            <w:r w:rsidRPr="00D4309F">
              <w:t xml:space="preserve">if night works are </w:t>
            </w:r>
            <w:r w:rsidRPr="00D4309F">
              <w:rPr>
                <w:spacing w:val="-2"/>
              </w:rPr>
              <w:t>proposed</w:t>
            </w:r>
          </w:p>
          <w:p w14:paraId="79A67E86" w14:textId="7808CFE2" w:rsidR="00230A0A" w:rsidRPr="00D4309F" w:rsidRDefault="00230A0A" w:rsidP="00891147">
            <w:pPr>
              <w:pStyle w:val="Table-Bullet"/>
              <w:rPr>
                <w:spacing w:val="-4"/>
              </w:rPr>
            </w:pPr>
            <w:r w:rsidRPr="00BF65F2">
              <w:t>Assessment of shoreline</w:t>
            </w:r>
            <w:r w:rsidRPr="00BF65F2">
              <w:rPr>
                <w:spacing w:val="-13"/>
              </w:rPr>
              <w:t xml:space="preserve"> </w:t>
            </w:r>
            <w:r w:rsidRPr="00BF65F2">
              <w:t>response to works</w:t>
            </w:r>
          </w:p>
        </w:tc>
        <w:tc>
          <w:tcPr>
            <w:tcW w:w="2399" w:type="dxa"/>
            <w:tcBorders>
              <w:top w:val="single" w:sz="4" w:space="0" w:color="000000"/>
              <w:bottom w:val="single" w:sz="4" w:space="0" w:color="000000"/>
            </w:tcBorders>
            <w:vAlign w:val="center"/>
          </w:tcPr>
          <w:p w14:paraId="051BF882" w14:textId="77777777" w:rsidR="00230A0A" w:rsidRPr="00D4309F" w:rsidRDefault="00230A0A" w:rsidP="00891147">
            <w:pPr>
              <w:pStyle w:val="Table-Bullet"/>
            </w:pPr>
            <w:r w:rsidRPr="00D4309F">
              <w:t>Timing</w:t>
            </w:r>
            <w:r w:rsidRPr="00D4309F">
              <w:rPr>
                <w:spacing w:val="-13"/>
              </w:rPr>
              <w:t xml:space="preserve"> </w:t>
            </w:r>
            <w:r w:rsidRPr="00D4309F">
              <w:t>of</w:t>
            </w:r>
            <w:r w:rsidRPr="00D4309F">
              <w:rPr>
                <w:spacing w:val="-12"/>
              </w:rPr>
              <w:t xml:space="preserve"> </w:t>
            </w:r>
            <w:r w:rsidRPr="00D4309F">
              <w:t>works</w:t>
            </w:r>
            <w:r w:rsidRPr="00D4309F">
              <w:rPr>
                <w:spacing w:val="-13"/>
              </w:rPr>
              <w:t xml:space="preserve"> </w:t>
            </w:r>
            <w:r w:rsidRPr="00D4309F">
              <w:t>outside of</w:t>
            </w:r>
            <w:r w:rsidRPr="00D4309F">
              <w:rPr>
                <w:spacing w:val="-6"/>
              </w:rPr>
              <w:t xml:space="preserve"> </w:t>
            </w:r>
            <w:r w:rsidRPr="00D4309F">
              <w:t>turtle</w:t>
            </w:r>
            <w:r w:rsidRPr="00D4309F">
              <w:rPr>
                <w:spacing w:val="-7"/>
              </w:rPr>
              <w:t xml:space="preserve"> </w:t>
            </w:r>
            <w:r w:rsidRPr="00D4309F">
              <w:t>nesting</w:t>
            </w:r>
            <w:r w:rsidRPr="00D4309F">
              <w:rPr>
                <w:spacing w:val="-7"/>
              </w:rPr>
              <w:t xml:space="preserve"> </w:t>
            </w:r>
            <w:r w:rsidRPr="00D4309F">
              <w:t>periods</w:t>
            </w:r>
          </w:p>
          <w:p w14:paraId="1D1939D1" w14:textId="77777777" w:rsidR="00230A0A" w:rsidRPr="00D4309F" w:rsidRDefault="00230A0A" w:rsidP="00891147">
            <w:pPr>
              <w:pStyle w:val="Table-Bullet"/>
            </w:pPr>
            <w:r w:rsidRPr="00D4309F">
              <w:t>Limitation</w:t>
            </w:r>
            <w:r w:rsidRPr="00D4309F">
              <w:rPr>
                <w:spacing w:val="-13"/>
              </w:rPr>
              <w:t xml:space="preserve"> </w:t>
            </w:r>
            <w:r w:rsidRPr="00D4309F">
              <w:t>of</w:t>
            </w:r>
            <w:r w:rsidRPr="00D4309F">
              <w:rPr>
                <w:spacing w:val="-12"/>
              </w:rPr>
              <w:t xml:space="preserve"> </w:t>
            </w:r>
            <w:r w:rsidRPr="00D4309F">
              <w:t>works</w:t>
            </w:r>
            <w:r w:rsidRPr="00D4309F">
              <w:rPr>
                <w:spacing w:val="-12"/>
              </w:rPr>
              <w:t xml:space="preserve"> </w:t>
            </w:r>
            <w:r w:rsidRPr="00D4309F">
              <w:t xml:space="preserve">to daylight hours or if necessary, standard light mitigation </w:t>
            </w:r>
            <w:r w:rsidRPr="00D4309F">
              <w:rPr>
                <w:spacing w:val="-2"/>
              </w:rPr>
              <w:t>procedures</w:t>
            </w:r>
          </w:p>
          <w:p w14:paraId="6BCBCF4E" w14:textId="77777777" w:rsidR="00230A0A" w:rsidRPr="00D4309F" w:rsidRDefault="00230A0A" w:rsidP="00891147">
            <w:pPr>
              <w:pStyle w:val="Table-Bullet"/>
            </w:pPr>
            <w:r w:rsidRPr="00D4309F">
              <w:t>Design to minimise disturbance of turtle habitat</w:t>
            </w:r>
            <w:r w:rsidRPr="00D4309F">
              <w:rPr>
                <w:spacing w:val="-13"/>
              </w:rPr>
              <w:t xml:space="preserve"> </w:t>
            </w:r>
            <w:r w:rsidRPr="00D4309F">
              <w:t>and</w:t>
            </w:r>
            <w:r w:rsidRPr="00D4309F">
              <w:rPr>
                <w:spacing w:val="-12"/>
              </w:rPr>
              <w:t xml:space="preserve"> </w:t>
            </w:r>
            <w:r w:rsidRPr="00D4309F">
              <w:t>maintain</w:t>
            </w:r>
            <w:r w:rsidRPr="00D4309F">
              <w:rPr>
                <w:spacing w:val="-13"/>
              </w:rPr>
              <w:t xml:space="preserve"> </w:t>
            </w:r>
            <w:r w:rsidRPr="00D4309F">
              <w:t>the beach profile</w:t>
            </w:r>
          </w:p>
          <w:p w14:paraId="04DCCF03" w14:textId="77777777" w:rsidR="00230A0A" w:rsidRPr="00D4309F" w:rsidRDefault="00230A0A" w:rsidP="00891147">
            <w:pPr>
              <w:pStyle w:val="Table-Bullet"/>
            </w:pPr>
            <w:r w:rsidRPr="00D4309F">
              <w:t>Standard marine fauna mitigation</w:t>
            </w:r>
            <w:r w:rsidRPr="00D4309F">
              <w:rPr>
                <w:spacing w:val="-15"/>
              </w:rPr>
              <w:t xml:space="preserve"> </w:t>
            </w:r>
            <w:r w:rsidRPr="00D4309F">
              <w:t>practices</w:t>
            </w:r>
            <w:r w:rsidRPr="00D4309F">
              <w:rPr>
                <w:spacing w:val="-12"/>
              </w:rPr>
              <w:t xml:space="preserve"> </w:t>
            </w:r>
            <w:r w:rsidRPr="00D4309F">
              <w:t>e.g. marine</w:t>
            </w:r>
            <w:r w:rsidRPr="00D4309F">
              <w:rPr>
                <w:spacing w:val="-15"/>
              </w:rPr>
              <w:t xml:space="preserve"> </w:t>
            </w:r>
            <w:r w:rsidRPr="00D4309F">
              <w:t>fauna</w:t>
            </w:r>
            <w:r w:rsidRPr="00D4309F">
              <w:rPr>
                <w:spacing w:val="-12"/>
              </w:rPr>
              <w:t xml:space="preserve"> </w:t>
            </w:r>
            <w:r w:rsidRPr="00D4309F">
              <w:t>observers and exclusion zones</w:t>
            </w:r>
          </w:p>
          <w:p w14:paraId="25FE5A51" w14:textId="77777777" w:rsidR="00230A0A" w:rsidRPr="00D4309F" w:rsidRDefault="00230A0A" w:rsidP="00891147">
            <w:pPr>
              <w:pStyle w:val="Table-Bullet"/>
            </w:pPr>
            <w:r w:rsidRPr="00D4309F">
              <w:t>Turtle</w:t>
            </w:r>
            <w:r w:rsidRPr="00D4309F">
              <w:rPr>
                <w:spacing w:val="-15"/>
              </w:rPr>
              <w:t xml:space="preserve"> </w:t>
            </w:r>
            <w:r w:rsidRPr="00D4309F">
              <w:t>guards</w:t>
            </w:r>
            <w:r w:rsidRPr="00D4309F">
              <w:rPr>
                <w:spacing w:val="-12"/>
              </w:rPr>
              <w:t xml:space="preserve"> </w:t>
            </w:r>
            <w:r w:rsidRPr="00D4309F">
              <w:t xml:space="preserve">on </w:t>
            </w:r>
            <w:r w:rsidRPr="00D4309F">
              <w:rPr>
                <w:spacing w:val="-2"/>
              </w:rPr>
              <w:t>dredger</w:t>
            </w:r>
          </w:p>
          <w:p w14:paraId="29DBA00E" w14:textId="77777777" w:rsidR="00230A0A" w:rsidRPr="00D4309F" w:rsidRDefault="00230A0A" w:rsidP="00891147">
            <w:pPr>
              <w:pStyle w:val="Table-Bullet"/>
            </w:pPr>
            <w:r w:rsidRPr="00D4309F">
              <w:rPr>
                <w:spacing w:val="-2"/>
              </w:rPr>
              <w:t xml:space="preserve">Appropriate </w:t>
            </w:r>
            <w:r w:rsidRPr="00D4309F">
              <w:t>management for onshore works e.g. onshore vehicles and plant to operate in designated</w:t>
            </w:r>
            <w:r w:rsidRPr="00D4309F">
              <w:rPr>
                <w:spacing w:val="-15"/>
              </w:rPr>
              <w:t xml:space="preserve"> </w:t>
            </w:r>
            <w:r w:rsidRPr="00D4309F">
              <w:t>tracks</w:t>
            </w:r>
            <w:r w:rsidRPr="00D4309F">
              <w:rPr>
                <w:spacing w:val="-12"/>
              </w:rPr>
              <w:t xml:space="preserve"> </w:t>
            </w:r>
            <w:r w:rsidRPr="00D4309F">
              <w:t xml:space="preserve">and </w:t>
            </w:r>
            <w:r w:rsidRPr="00D4309F">
              <w:rPr>
                <w:spacing w:val="-2"/>
              </w:rPr>
              <w:t>areas</w:t>
            </w:r>
          </w:p>
          <w:p w14:paraId="0350D737" w14:textId="69980FA0" w:rsidR="00230A0A" w:rsidRPr="00D4309F" w:rsidRDefault="00230A0A" w:rsidP="00891147">
            <w:pPr>
              <w:pStyle w:val="Table-Bullet"/>
            </w:pPr>
            <w:r w:rsidRPr="00D4309F">
              <w:t>Beach</w:t>
            </w:r>
            <w:r w:rsidRPr="00D4309F">
              <w:rPr>
                <w:spacing w:val="-4"/>
              </w:rPr>
              <w:t xml:space="preserve"> </w:t>
            </w:r>
            <w:r w:rsidRPr="00D4309F">
              <w:t>profile</w:t>
            </w:r>
            <w:r w:rsidRPr="00D4309F">
              <w:rPr>
                <w:spacing w:val="-3"/>
              </w:rPr>
              <w:t xml:space="preserve"> </w:t>
            </w:r>
            <w:r w:rsidRPr="00D4309F">
              <w:rPr>
                <w:spacing w:val="-2"/>
              </w:rPr>
              <w:t>monitoring</w:t>
            </w:r>
          </w:p>
        </w:tc>
      </w:tr>
      <w:tr w:rsidR="00F12A6F" w:rsidRPr="00D4309F" w14:paraId="6EE92DFF" w14:textId="77777777" w:rsidTr="007E44C8">
        <w:trPr>
          <w:cantSplit/>
          <w:trHeight w:val="20"/>
        </w:trPr>
        <w:tc>
          <w:tcPr>
            <w:tcW w:w="1297" w:type="dxa"/>
            <w:tcBorders>
              <w:top w:val="single" w:sz="4" w:space="0" w:color="000000"/>
              <w:bottom w:val="single" w:sz="4" w:space="0" w:color="000000"/>
            </w:tcBorders>
            <w:vAlign w:val="center"/>
          </w:tcPr>
          <w:p w14:paraId="1F4F7CC0" w14:textId="43B496B0" w:rsidR="00230A0A" w:rsidRPr="00D4309F" w:rsidRDefault="00230A0A" w:rsidP="00891147">
            <w:pPr>
              <w:pStyle w:val="Table-Text"/>
            </w:pPr>
            <w:r w:rsidRPr="00D4309F">
              <w:lastRenderedPageBreak/>
              <w:t>Marine</w:t>
            </w:r>
            <w:r w:rsidRPr="00D4309F">
              <w:rPr>
                <w:spacing w:val="-4"/>
              </w:rPr>
              <w:t xml:space="preserve"> </w:t>
            </w:r>
            <w:r w:rsidRPr="00D4309F">
              <w:t>fauna</w:t>
            </w:r>
          </w:p>
        </w:tc>
        <w:tc>
          <w:tcPr>
            <w:tcW w:w="1441" w:type="dxa"/>
            <w:tcBorders>
              <w:top w:val="single" w:sz="4" w:space="0" w:color="000000"/>
              <w:bottom w:val="single" w:sz="4" w:space="0" w:color="000000"/>
            </w:tcBorders>
            <w:vAlign w:val="center"/>
          </w:tcPr>
          <w:p w14:paraId="477186B9" w14:textId="0205B5FB" w:rsidR="00230A0A" w:rsidRPr="00D4309F" w:rsidRDefault="00230A0A" w:rsidP="00891147">
            <w:pPr>
              <w:pStyle w:val="Table-Text"/>
            </w:pPr>
            <w:r w:rsidRPr="00D4309F">
              <w:t>Marine mammals</w:t>
            </w:r>
          </w:p>
        </w:tc>
        <w:tc>
          <w:tcPr>
            <w:tcW w:w="3400" w:type="dxa"/>
            <w:tcBorders>
              <w:top w:val="single" w:sz="4" w:space="0" w:color="000000"/>
              <w:bottom w:val="single" w:sz="4" w:space="0" w:color="000000"/>
            </w:tcBorders>
            <w:vAlign w:val="center"/>
          </w:tcPr>
          <w:p w14:paraId="30232212" w14:textId="77777777" w:rsidR="00230A0A" w:rsidRPr="00D4309F" w:rsidRDefault="00230A0A" w:rsidP="00891147">
            <w:pPr>
              <w:pStyle w:val="Table-Bullet"/>
            </w:pPr>
            <w:r w:rsidRPr="00D4309F">
              <w:rPr>
                <w:spacing w:val="-2"/>
              </w:rPr>
              <w:t xml:space="preserve">Mortality/injury/behavioural </w:t>
            </w:r>
            <w:r w:rsidRPr="00D4309F">
              <w:t>response</w:t>
            </w:r>
            <w:r w:rsidRPr="00D4309F">
              <w:rPr>
                <w:spacing w:val="-9"/>
              </w:rPr>
              <w:t xml:space="preserve"> </w:t>
            </w:r>
            <w:r w:rsidRPr="00D4309F">
              <w:t>due</w:t>
            </w:r>
            <w:r w:rsidRPr="00D4309F">
              <w:rPr>
                <w:spacing w:val="-9"/>
              </w:rPr>
              <w:t xml:space="preserve"> </w:t>
            </w:r>
            <w:r w:rsidRPr="00D4309F">
              <w:t>to</w:t>
            </w:r>
            <w:r w:rsidRPr="00D4309F">
              <w:rPr>
                <w:spacing w:val="-9"/>
              </w:rPr>
              <w:t xml:space="preserve"> </w:t>
            </w:r>
            <w:r w:rsidRPr="00D4309F">
              <w:t>noise</w:t>
            </w:r>
            <w:r w:rsidRPr="00D4309F">
              <w:rPr>
                <w:spacing w:val="-9"/>
              </w:rPr>
              <w:t xml:space="preserve"> </w:t>
            </w:r>
            <w:r w:rsidRPr="00D4309F">
              <w:t>of</w:t>
            </w:r>
            <w:r w:rsidRPr="00D4309F">
              <w:rPr>
                <w:spacing w:val="-8"/>
              </w:rPr>
              <w:t xml:space="preserve"> </w:t>
            </w:r>
            <w:r w:rsidRPr="00D4309F">
              <w:t>rock cutting and dredging</w:t>
            </w:r>
          </w:p>
          <w:p w14:paraId="694A5127" w14:textId="4EDED5BF" w:rsidR="00230A0A" w:rsidRPr="00D4309F" w:rsidRDefault="00230A0A" w:rsidP="00891147">
            <w:pPr>
              <w:pStyle w:val="Table-Bullet"/>
            </w:pPr>
            <w:r w:rsidRPr="00D4309F">
              <w:t>Vessel</w:t>
            </w:r>
            <w:r w:rsidRPr="00D4309F">
              <w:rPr>
                <w:spacing w:val="-15"/>
              </w:rPr>
              <w:t xml:space="preserve"> </w:t>
            </w:r>
            <w:r w:rsidRPr="00D4309F">
              <w:t>collision,</w:t>
            </w:r>
            <w:r w:rsidRPr="00D4309F">
              <w:rPr>
                <w:spacing w:val="-12"/>
              </w:rPr>
              <w:t xml:space="preserve"> </w:t>
            </w:r>
            <w:r w:rsidRPr="00D4309F">
              <w:t xml:space="preserve">entanglement, </w:t>
            </w:r>
            <w:r w:rsidRPr="00D4309F">
              <w:rPr>
                <w:spacing w:val="-2"/>
              </w:rPr>
              <w:t>entrainment</w:t>
            </w:r>
          </w:p>
        </w:tc>
        <w:tc>
          <w:tcPr>
            <w:tcW w:w="1233" w:type="dxa"/>
            <w:tcBorders>
              <w:top w:val="single" w:sz="4" w:space="0" w:color="000000"/>
              <w:bottom w:val="single" w:sz="4" w:space="0" w:color="000000"/>
            </w:tcBorders>
            <w:shd w:val="clear" w:color="auto" w:fill="FFC000"/>
            <w:vAlign w:val="center"/>
          </w:tcPr>
          <w:p w14:paraId="63183F39" w14:textId="55BADC9F" w:rsidR="00230A0A" w:rsidRPr="00D4309F" w:rsidRDefault="00230A0A" w:rsidP="00F12A6F">
            <w:pPr>
              <w:pStyle w:val="TableParagraph"/>
              <w:ind w:left="166" w:right="164"/>
              <w:rPr>
                <w:b/>
                <w:color w:val="211E1F"/>
                <w:spacing w:val="-5"/>
                <w:sz w:val="18"/>
              </w:rPr>
            </w:pPr>
            <w:r w:rsidRPr="00D4309F">
              <w:rPr>
                <w:b/>
                <w:color w:val="211E1F"/>
                <w:sz w:val="18"/>
              </w:rPr>
              <w:t>High</w:t>
            </w:r>
            <w:r w:rsidRPr="00D4309F">
              <w:rPr>
                <w:b/>
                <w:color w:val="211E1F"/>
                <w:spacing w:val="-13"/>
                <w:sz w:val="18"/>
              </w:rPr>
              <w:t xml:space="preserve"> </w:t>
            </w:r>
            <w:r w:rsidRPr="00D4309F">
              <w:rPr>
                <w:b/>
                <w:color w:val="211E1F"/>
                <w:sz w:val="18"/>
              </w:rPr>
              <w:t xml:space="preserve">(for </w:t>
            </w:r>
            <w:r w:rsidRPr="00D4309F">
              <w:rPr>
                <w:b/>
                <w:color w:val="211E1F"/>
                <w:spacing w:val="-4"/>
                <w:sz w:val="18"/>
              </w:rPr>
              <w:t xml:space="preserve">rock </w:t>
            </w:r>
            <w:r w:rsidRPr="00D4309F">
              <w:rPr>
                <w:b/>
                <w:color w:val="211E1F"/>
                <w:spacing w:val="-2"/>
                <w:sz w:val="18"/>
              </w:rPr>
              <w:t>cutting)</w:t>
            </w:r>
          </w:p>
        </w:tc>
        <w:tc>
          <w:tcPr>
            <w:tcW w:w="2889" w:type="dxa"/>
            <w:tcBorders>
              <w:top w:val="single" w:sz="4" w:space="0" w:color="000000"/>
              <w:bottom w:val="single" w:sz="4" w:space="0" w:color="000000"/>
            </w:tcBorders>
            <w:vAlign w:val="center"/>
          </w:tcPr>
          <w:p w14:paraId="7CAEB09A" w14:textId="77777777" w:rsidR="00230A0A" w:rsidRPr="00D4309F" w:rsidRDefault="00230A0A" w:rsidP="00891147">
            <w:pPr>
              <w:pStyle w:val="Table-Bullet"/>
            </w:pPr>
            <w:r w:rsidRPr="00D4309F">
              <w:t>Humpback whales may use the area</w:t>
            </w:r>
            <w:r w:rsidRPr="00D4309F">
              <w:rPr>
                <w:spacing w:val="-9"/>
              </w:rPr>
              <w:t xml:space="preserve"> </w:t>
            </w:r>
            <w:r w:rsidRPr="00D4309F">
              <w:t>for</w:t>
            </w:r>
            <w:r w:rsidRPr="00D4309F">
              <w:rPr>
                <w:spacing w:val="-8"/>
              </w:rPr>
              <w:t xml:space="preserve"> </w:t>
            </w:r>
            <w:r w:rsidRPr="00D4309F">
              <w:t>resting</w:t>
            </w:r>
            <w:r w:rsidRPr="00D4309F">
              <w:rPr>
                <w:spacing w:val="-7"/>
              </w:rPr>
              <w:t xml:space="preserve"> </w:t>
            </w:r>
            <w:r w:rsidRPr="00D4309F">
              <w:t>with</w:t>
            </w:r>
            <w:r w:rsidRPr="00D4309F">
              <w:rPr>
                <w:spacing w:val="-9"/>
              </w:rPr>
              <w:t xml:space="preserve"> </w:t>
            </w:r>
            <w:r w:rsidRPr="00D4309F">
              <w:t>calves</w:t>
            </w:r>
            <w:r w:rsidRPr="00D4309F">
              <w:rPr>
                <w:spacing w:val="-8"/>
              </w:rPr>
              <w:t xml:space="preserve"> </w:t>
            </w:r>
            <w:r w:rsidRPr="00D4309F">
              <w:t>during their migration period</w:t>
            </w:r>
          </w:p>
          <w:p w14:paraId="343E69CA" w14:textId="54B9F2EA" w:rsidR="00230A0A" w:rsidRPr="00D4309F" w:rsidRDefault="00230A0A" w:rsidP="00891147">
            <w:pPr>
              <w:pStyle w:val="Table-Bullet"/>
            </w:pPr>
            <w:r w:rsidRPr="00D4309F">
              <w:t>Species of dolphins listed as vulnerable may also occur in the area and while they tend to move away from noise sources and are at lower risk of injury, the greater level</w:t>
            </w:r>
            <w:r w:rsidRPr="00D4309F">
              <w:rPr>
                <w:spacing w:val="-7"/>
              </w:rPr>
              <w:t xml:space="preserve"> </w:t>
            </w:r>
            <w:r w:rsidRPr="00D4309F">
              <w:t>of</w:t>
            </w:r>
            <w:r w:rsidRPr="00D4309F">
              <w:rPr>
                <w:spacing w:val="-8"/>
              </w:rPr>
              <w:t xml:space="preserve"> </w:t>
            </w:r>
            <w:r w:rsidRPr="00D4309F">
              <w:t>noise</w:t>
            </w:r>
            <w:r w:rsidRPr="00D4309F">
              <w:rPr>
                <w:spacing w:val="-9"/>
              </w:rPr>
              <w:t xml:space="preserve"> </w:t>
            </w:r>
            <w:r w:rsidRPr="00D4309F">
              <w:t>generated</w:t>
            </w:r>
            <w:r w:rsidRPr="00D4309F">
              <w:rPr>
                <w:spacing w:val="-9"/>
              </w:rPr>
              <w:t xml:space="preserve"> </w:t>
            </w:r>
            <w:r w:rsidRPr="00D4309F">
              <w:t>from</w:t>
            </w:r>
            <w:r w:rsidRPr="00D4309F">
              <w:rPr>
                <w:spacing w:val="-8"/>
              </w:rPr>
              <w:t xml:space="preserve"> </w:t>
            </w:r>
            <w:r w:rsidRPr="00D4309F">
              <w:t xml:space="preserve">rock cutting requires further </w:t>
            </w:r>
            <w:r w:rsidRPr="00D4309F">
              <w:rPr>
                <w:spacing w:val="-2"/>
              </w:rPr>
              <w:t>assessment</w:t>
            </w:r>
          </w:p>
        </w:tc>
        <w:tc>
          <w:tcPr>
            <w:tcW w:w="1913" w:type="dxa"/>
            <w:tcBorders>
              <w:top w:val="single" w:sz="4" w:space="0" w:color="000000"/>
              <w:bottom w:val="single" w:sz="4" w:space="0" w:color="000000"/>
            </w:tcBorders>
            <w:vAlign w:val="center"/>
          </w:tcPr>
          <w:p w14:paraId="596D3C6E" w14:textId="7CA8D54B" w:rsidR="00230A0A" w:rsidRPr="00D4309F" w:rsidRDefault="00230A0A" w:rsidP="00891147">
            <w:pPr>
              <w:pStyle w:val="Table-Bullet"/>
              <w:rPr>
                <w:spacing w:val="-4"/>
              </w:rPr>
            </w:pPr>
            <w:r w:rsidRPr="00D4309F">
              <w:t xml:space="preserve">Underwater noise </w:t>
            </w:r>
            <w:r w:rsidRPr="00D4309F">
              <w:rPr>
                <w:spacing w:val="-2"/>
              </w:rPr>
              <w:t xml:space="preserve">assessment </w:t>
            </w:r>
            <w:r w:rsidRPr="00D4309F">
              <w:t>including</w:t>
            </w:r>
            <w:r w:rsidRPr="00D4309F">
              <w:rPr>
                <w:spacing w:val="-13"/>
              </w:rPr>
              <w:t xml:space="preserve"> </w:t>
            </w:r>
            <w:r w:rsidRPr="00D4309F">
              <w:t>modelling</w:t>
            </w:r>
          </w:p>
        </w:tc>
        <w:tc>
          <w:tcPr>
            <w:tcW w:w="2399" w:type="dxa"/>
            <w:tcBorders>
              <w:top w:val="single" w:sz="4" w:space="0" w:color="000000"/>
              <w:bottom w:val="single" w:sz="4" w:space="0" w:color="000000"/>
            </w:tcBorders>
            <w:vAlign w:val="center"/>
          </w:tcPr>
          <w:p w14:paraId="740B99BA" w14:textId="77777777" w:rsidR="00230A0A" w:rsidRPr="00D4309F" w:rsidRDefault="00230A0A" w:rsidP="00891147">
            <w:pPr>
              <w:pStyle w:val="Table-Bullet"/>
            </w:pPr>
            <w:r w:rsidRPr="00D4309F">
              <w:t>Timing</w:t>
            </w:r>
            <w:r w:rsidRPr="00D4309F">
              <w:rPr>
                <w:spacing w:val="-13"/>
              </w:rPr>
              <w:t xml:space="preserve"> </w:t>
            </w:r>
            <w:r w:rsidRPr="00D4309F">
              <w:t>of</w:t>
            </w:r>
            <w:r w:rsidRPr="00D4309F">
              <w:rPr>
                <w:spacing w:val="-12"/>
              </w:rPr>
              <w:t xml:space="preserve"> </w:t>
            </w:r>
            <w:r w:rsidRPr="00D4309F">
              <w:t>works</w:t>
            </w:r>
            <w:r w:rsidRPr="00D4309F">
              <w:rPr>
                <w:spacing w:val="-13"/>
              </w:rPr>
              <w:t xml:space="preserve"> </w:t>
            </w:r>
            <w:r w:rsidRPr="00D4309F">
              <w:t xml:space="preserve">outside of whale migration </w:t>
            </w:r>
            <w:r w:rsidRPr="00D4309F">
              <w:rPr>
                <w:spacing w:val="-2"/>
              </w:rPr>
              <w:t>periods</w:t>
            </w:r>
          </w:p>
          <w:p w14:paraId="4EB41DD4" w14:textId="7C155B98" w:rsidR="00230A0A" w:rsidRPr="00D4309F" w:rsidRDefault="00230A0A" w:rsidP="00891147">
            <w:pPr>
              <w:pStyle w:val="Table-Bullet"/>
            </w:pPr>
            <w:r w:rsidRPr="00D4309F">
              <w:t>Standard marine fauna mitigation</w:t>
            </w:r>
            <w:r w:rsidRPr="00D4309F">
              <w:rPr>
                <w:spacing w:val="-15"/>
              </w:rPr>
              <w:t xml:space="preserve"> </w:t>
            </w:r>
            <w:r w:rsidRPr="00D4309F">
              <w:t>practices</w:t>
            </w:r>
            <w:r w:rsidRPr="00D4309F">
              <w:rPr>
                <w:spacing w:val="-12"/>
              </w:rPr>
              <w:t xml:space="preserve"> </w:t>
            </w:r>
            <w:r w:rsidRPr="00D4309F">
              <w:t>e.g. marine</w:t>
            </w:r>
            <w:r w:rsidRPr="00D4309F">
              <w:rPr>
                <w:spacing w:val="-15"/>
              </w:rPr>
              <w:t xml:space="preserve"> </w:t>
            </w:r>
            <w:r w:rsidRPr="00D4309F">
              <w:t>fauna</w:t>
            </w:r>
            <w:r w:rsidRPr="00D4309F">
              <w:rPr>
                <w:spacing w:val="-12"/>
              </w:rPr>
              <w:t xml:space="preserve"> </w:t>
            </w:r>
            <w:r w:rsidRPr="00D4309F">
              <w:t>observers and exclusion zone</w:t>
            </w:r>
          </w:p>
        </w:tc>
      </w:tr>
      <w:tr w:rsidR="00F12A6F" w:rsidRPr="00D4309F" w14:paraId="70B5B86B" w14:textId="77777777" w:rsidTr="007E44C8">
        <w:trPr>
          <w:cantSplit/>
          <w:trHeight w:val="20"/>
        </w:trPr>
        <w:tc>
          <w:tcPr>
            <w:tcW w:w="1297" w:type="dxa"/>
            <w:tcBorders>
              <w:top w:val="single" w:sz="4" w:space="0" w:color="000000"/>
              <w:bottom w:val="single" w:sz="4" w:space="0" w:color="000000"/>
            </w:tcBorders>
            <w:vAlign w:val="center"/>
          </w:tcPr>
          <w:p w14:paraId="09147EDD" w14:textId="476D6EC3" w:rsidR="00230A0A" w:rsidRPr="00D4309F" w:rsidRDefault="00230A0A" w:rsidP="00891147">
            <w:pPr>
              <w:pStyle w:val="Table-Text"/>
            </w:pPr>
            <w:r w:rsidRPr="00D4309F">
              <w:t>Marine</w:t>
            </w:r>
            <w:r w:rsidRPr="00D4309F">
              <w:rPr>
                <w:spacing w:val="-4"/>
              </w:rPr>
              <w:t xml:space="preserve"> </w:t>
            </w:r>
            <w:r w:rsidRPr="00D4309F">
              <w:t>fauna</w:t>
            </w:r>
          </w:p>
        </w:tc>
        <w:tc>
          <w:tcPr>
            <w:tcW w:w="1441" w:type="dxa"/>
            <w:tcBorders>
              <w:top w:val="single" w:sz="4" w:space="0" w:color="000000"/>
              <w:bottom w:val="single" w:sz="4" w:space="0" w:color="000000"/>
            </w:tcBorders>
            <w:vAlign w:val="center"/>
          </w:tcPr>
          <w:p w14:paraId="72538DDE" w14:textId="4C3F1CE9" w:rsidR="00230A0A" w:rsidRPr="00D4309F" w:rsidRDefault="00230A0A" w:rsidP="00891147">
            <w:pPr>
              <w:pStyle w:val="Table-Text"/>
            </w:pPr>
            <w:r w:rsidRPr="00D4309F">
              <w:t>Roosting Seabirds</w:t>
            </w:r>
          </w:p>
        </w:tc>
        <w:tc>
          <w:tcPr>
            <w:tcW w:w="3400" w:type="dxa"/>
            <w:tcBorders>
              <w:top w:val="single" w:sz="4" w:space="0" w:color="000000"/>
              <w:bottom w:val="single" w:sz="4" w:space="0" w:color="000000"/>
            </w:tcBorders>
            <w:vAlign w:val="center"/>
          </w:tcPr>
          <w:p w14:paraId="2C44E9F7" w14:textId="77777777" w:rsidR="00230A0A" w:rsidRPr="00D4309F" w:rsidRDefault="00230A0A" w:rsidP="00891147">
            <w:pPr>
              <w:pStyle w:val="Table-Bullet"/>
            </w:pPr>
            <w:r w:rsidRPr="00D4309F">
              <w:rPr>
                <w:spacing w:val="-2"/>
              </w:rPr>
              <w:t xml:space="preserve">Mortality/injury/behavioural </w:t>
            </w:r>
            <w:r w:rsidRPr="00D4309F">
              <w:t>response</w:t>
            </w:r>
            <w:r w:rsidRPr="00D4309F">
              <w:rPr>
                <w:spacing w:val="-9"/>
              </w:rPr>
              <w:t xml:space="preserve"> </w:t>
            </w:r>
            <w:r w:rsidRPr="00D4309F">
              <w:t>due</w:t>
            </w:r>
            <w:r w:rsidRPr="00D4309F">
              <w:rPr>
                <w:spacing w:val="-9"/>
              </w:rPr>
              <w:t xml:space="preserve"> </w:t>
            </w:r>
            <w:r w:rsidRPr="00D4309F">
              <w:t>to</w:t>
            </w:r>
            <w:r w:rsidRPr="00D4309F">
              <w:rPr>
                <w:spacing w:val="-8"/>
              </w:rPr>
              <w:t xml:space="preserve"> </w:t>
            </w:r>
            <w:r w:rsidRPr="00D4309F">
              <w:t>noise</w:t>
            </w:r>
            <w:r w:rsidRPr="00D4309F">
              <w:rPr>
                <w:spacing w:val="-9"/>
              </w:rPr>
              <w:t xml:space="preserve"> </w:t>
            </w:r>
            <w:r w:rsidRPr="00D4309F">
              <w:t>of</w:t>
            </w:r>
            <w:r w:rsidRPr="00D4309F">
              <w:rPr>
                <w:spacing w:val="-8"/>
              </w:rPr>
              <w:t xml:space="preserve"> </w:t>
            </w:r>
            <w:r w:rsidRPr="00D4309F">
              <w:t>rock cutting and dredging</w:t>
            </w:r>
          </w:p>
          <w:p w14:paraId="6AD081F8" w14:textId="77777777" w:rsidR="00230A0A" w:rsidRPr="00D4309F" w:rsidRDefault="00230A0A" w:rsidP="00891147">
            <w:pPr>
              <w:pStyle w:val="Table-Bullet"/>
            </w:pPr>
            <w:r w:rsidRPr="00D4309F">
              <w:t>Behavioural response and interruption</w:t>
            </w:r>
            <w:r w:rsidRPr="00D4309F">
              <w:rPr>
                <w:spacing w:val="-13"/>
              </w:rPr>
              <w:t xml:space="preserve"> </w:t>
            </w:r>
            <w:r w:rsidRPr="00D4309F">
              <w:t>of</w:t>
            </w:r>
            <w:r w:rsidRPr="00D4309F">
              <w:rPr>
                <w:spacing w:val="-12"/>
              </w:rPr>
              <w:t xml:space="preserve"> </w:t>
            </w:r>
            <w:r w:rsidRPr="00D4309F">
              <w:t>nesting</w:t>
            </w:r>
            <w:r w:rsidRPr="00D4309F">
              <w:rPr>
                <w:spacing w:val="-13"/>
              </w:rPr>
              <w:t xml:space="preserve"> </w:t>
            </w:r>
            <w:r w:rsidRPr="00D4309F">
              <w:t>behaviour due to light</w:t>
            </w:r>
          </w:p>
          <w:p w14:paraId="5C16EDBE" w14:textId="77777777" w:rsidR="00230A0A" w:rsidRPr="00D4309F" w:rsidRDefault="00230A0A" w:rsidP="00891147">
            <w:pPr>
              <w:pStyle w:val="Table-Bullet"/>
            </w:pPr>
            <w:r w:rsidRPr="00D4309F">
              <w:rPr>
                <w:spacing w:val="-2"/>
              </w:rPr>
              <w:t xml:space="preserve">Mortality/injury/behavioural </w:t>
            </w:r>
            <w:r w:rsidRPr="00D4309F">
              <w:t>response</w:t>
            </w:r>
            <w:r w:rsidRPr="00D4309F">
              <w:rPr>
                <w:spacing w:val="-13"/>
              </w:rPr>
              <w:t xml:space="preserve"> </w:t>
            </w:r>
            <w:r w:rsidRPr="00D4309F">
              <w:t>due</w:t>
            </w:r>
            <w:r w:rsidRPr="00D4309F">
              <w:rPr>
                <w:spacing w:val="-12"/>
              </w:rPr>
              <w:t xml:space="preserve"> </w:t>
            </w:r>
            <w:r w:rsidRPr="00D4309F">
              <w:t>physical</w:t>
            </w:r>
            <w:r w:rsidRPr="00D4309F">
              <w:rPr>
                <w:spacing w:val="-13"/>
              </w:rPr>
              <w:t xml:space="preserve"> </w:t>
            </w:r>
            <w:r w:rsidRPr="00D4309F">
              <w:t>presence</w:t>
            </w:r>
          </w:p>
          <w:p w14:paraId="0A767696" w14:textId="76AB8C87" w:rsidR="00230A0A" w:rsidRPr="00D4309F" w:rsidRDefault="00230A0A" w:rsidP="00891147">
            <w:pPr>
              <w:pStyle w:val="Table-Bullet"/>
            </w:pPr>
            <w:r w:rsidRPr="00D4309F">
              <w:t>Mortality/injury due to onshore plant</w:t>
            </w:r>
            <w:r w:rsidRPr="00D4309F">
              <w:rPr>
                <w:spacing w:val="-10"/>
              </w:rPr>
              <w:t xml:space="preserve"> </w:t>
            </w:r>
            <w:r w:rsidRPr="00D4309F">
              <w:t>and</w:t>
            </w:r>
            <w:r w:rsidRPr="00D4309F">
              <w:rPr>
                <w:spacing w:val="-10"/>
              </w:rPr>
              <w:t xml:space="preserve"> </w:t>
            </w:r>
            <w:r w:rsidRPr="00D4309F">
              <w:t>vehicle</w:t>
            </w:r>
            <w:r w:rsidRPr="00D4309F">
              <w:rPr>
                <w:spacing w:val="-10"/>
              </w:rPr>
              <w:t xml:space="preserve"> </w:t>
            </w:r>
            <w:r w:rsidRPr="00D4309F">
              <w:t>movement</w:t>
            </w:r>
            <w:r w:rsidRPr="00D4309F">
              <w:rPr>
                <w:spacing w:val="-9"/>
              </w:rPr>
              <w:t xml:space="preserve"> </w:t>
            </w:r>
            <w:r w:rsidRPr="00D4309F">
              <w:t>during beach reprofiling required</w:t>
            </w:r>
          </w:p>
        </w:tc>
        <w:tc>
          <w:tcPr>
            <w:tcW w:w="1233" w:type="dxa"/>
            <w:tcBorders>
              <w:top w:val="single" w:sz="4" w:space="0" w:color="000000"/>
              <w:bottom w:val="single" w:sz="4" w:space="0" w:color="000000"/>
            </w:tcBorders>
            <w:shd w:val="clear" w:color="auto" w:fill="FFFF00"/>
            <w:vAlign w:val="center"/>
          </w:tcPr>
          <w:p w14:paraId="7DB0128F" w14:textId="2E3B1693" w:rsidR="00230A0A" w:rsidRPr="00D4309F" w:rsidRDefault="00230A0A" w:rsidP="00F12A6F">
            <w:pPr>
              <w:pStyle w:val="TableParagraph"/>
              <w:ind w:left="166" w:right="164"/>
              <w:rPr>
                <w:b/>
                <w:color w:val="211E1F"/>
                <w:spacing w:val="-5"/>
                <w:sz w:val="18"/>
              </w:rPr>
            </w:pPr>
            <w:r w:rsidRPr="00D4309F">
              <w:rPr>
                <w:b/>
                <w:color w:val="211E1F"/>
                <w:spacing w:val="-2"/>
                <w:sz w:val="18"/>
              </w:rPr>
              <w:t>Moderate</w:t>
            </w:r>
          </w:p>
        </w:tc>
        <w:tc>
          <w:tcPr>
            <w:tcW w:w="2889" w:type="dxa"/>
            <w:tcBorders>
              <w:top w:val="single" w:sz="4" w:space="0" w:color="000000"/>
              <w:bottom w:val="single" w:sz="4" w:space="0" w:color="000000"/>
            </w:tcBorders>
            <w:vAlign w:val="center"/>
          </w:tcPr>
          <w:p w14:paraId="66C4EF62" w14:textId="2BDDBEE0" w:rsidR="00230A0A" w:rsidRPr="00D4309F" w:rsidRDefault="00230A0A" w:rsidP="00891147">
            <w:pPr>
              <w:pStyle w:val="Table-Bullet"/>
            </w:pPr>
            <w:r w:rsidRPr="00D4309F">
              <w:t>Several species of migratory seabirds</w:t>
            </w:r>
            <w:r w:rsidRPr="00D4309F">
              <w:rPr>
                <w:spacing w:val="-10"/>
              </w:rPr>
              <w:t xml:space="preserve"> </w:t>
            </w:r>
            <w:r w:rsidRPr="00D4309F">
              <w:t>aggregate</w:t>
            </w:r>
            <w:r w:rsidRPr="00D4309F">
              <w:rPr>
                <w:spacing w:val="-11"/>
              </w:rPr>
              <w:t xml:space="preserve"> </w:t>
            </w:r>
            <w:r w:rsidRPr="00D4309F">
              <w:t>and</w:t>
            </w:r>
            <w:r w:rsidRPr="00D4309F">
              <w:rPr>
                <w:spacing w:val="-11"/>
              </w:rPr>
              <w:t xml:space="preserve"> </w:t>
            </w:r>
            <w:r w:rsidRPr="00D4309F">
              <w:t>may</w:t>
            </w:r>
            <w:r w:rsidRPr="00D4309F">
              <w:rPr>
                <w:spacing w:val="-9"/>
              </w:rPr>
              <w:t xml:space="preserve"> </w:t>
            </w:r>
            <w:r w:rsidRPr="00D4309F">
              <w:t xml:space="preserve">nest at Point Cartwright and could be </w:t>
            </w:r>
            <w:r w:rsidRPr="00D4309F">
              <w:rPr>
                <w:spacing w:val="-2"/>
              </w:rPr>
              <w:t>impacted</w:t>
            </w:r>
          </w:p>
        </w:tc>
        <w:tc>
          <w:tcPr>
            <w:tcW w:w="1913" w:type="dxa"/>
            <w:tcBorders>
              <w:top w:val="single" w:sz="4" w:space="0" w:color="000000"/>
              <w:bottom w:val="single" w:sz="4" w:space="0" w:color="000000"/>
            </w:tcBorders>
            <w:vAlign w:val="center"/>
          </w:tcPr>
          <w:p w14:paraId="74F05710" w14:textId="77777777" w:rsidR="00230A0A" w:rsidRPr="00D4309F" w:rsidRDefault="00230A0A" w:rsidP="00891147">
            <w:pPr>
              <w:pStyle w:val="Table-Bullet"/>
            </w:pPr>
            <w:r w:rsidRPr="00D4309F">
              <w:t>Noise assessment including</w:t>
            </w:r>
            <w:r w:rsidRPr="00D4309F">
              <w:rPr>
                <w:spacing w:val="-13"/>
              </w:rPr>
              <w:t xml:space="preserve"> </w:t>
            </w:r>
            <w:r w:rsidRPr="00D4309F">
              <w:t>modelling</w:t>
            </w:r>
          </w:p>
          <w:p w14:paraId="2C20711F" w14:textId="4348E9CA" w:rsidR="00230A0A" w:rsidRPr="00D4309F" w:rsidRDefault="00230A0A" w:rsidP="00891147">
            <w:pPr>
              <w:pStyle w:val="Table-Bullet"/>
              <w:rPr>
                <w:spacing w:val="-4"/>
              </w:rPr>
            </w:pPr>
            <w:r w:rsidRPr="00D4309F">
              <w:t>Light</w:t>
            </w:r>
            <w:r w:rsidRPr="00D4309F">
              <w:rPr>
                <w:spacing w:val="-15"/>
              </w:rPr>
              <w:t xml:space="preserve"> </w:t>
            </w:r>
            <w:r w:rsidRPr="00D4309F">
              <w:t>assessment</w:t>
            </w:r>
            <w:r w:rsidRPr="00D4309F">
              <w:rPr>
                <w:spacing w:val="-12"/>
              </w:rPr>
              <w:t xml:space="preserve"> </w:t>
            </w:r>
            <w:r w:rsidRPr="00D4309F">
              <w:t xml:space="preserve">if night works are </w:t>
            </w:r>
            <w:r w:rsidRPr="00D4309F">
              <w:rPr>
                <w:spacing w:val="-2"/>
              </w:rPr>
              <w:t>proposed</w:t>
            </w:r>
          </w:p>
        </w:tc>
        <w:tc>
          <w:tcPr>
            <w:tcW w:w="2399" w:type="dxa"/>
            <w:tcBorders>
              <w:top w:val="single" w:sz="4" w:space="0" w:color="000000"/>
              <w:bottom w:val="single" w:sz="4" w:space="0" w:color="000000"/>
            </w:tcBorders>
            <w:vAlign w:val="center"/>
          </w:tcPr>
          <w:p w14:paraId="5F3DB04A" w14:textId="77777777" w:rsidR="00230A0A" w:rsidRPr="00D4309F" w:rsidRDefault="00230A0A" w:rsidP="00891147">
            <w:pPr>
              <w:pStyle w:val="Table-Bullet"/>
            </w:pPr>
            <w:r w:rsidRPr="00D4309F">
              <w:t>Timing</w:t>
            </w:r>
            <w:r w:rsidRPr="00D4309F">
              <w:rPr>
                <w:spacing w:val="-13"/>
              </w:rPr>
              <w:t xml:space="preserve"> </w:t>
            </w:r>
            <w:r w:rsidRPr="00D4309F">
              <w:t>of</w:t>
            </w:r>
            <w:r w:rsidRPr="00D4309F">
              <w:rPr>
                <w:spacing w:val="-12"/>
              </w:rPr>
              <w:t xml:space="preserve"> </w:t>
            </w:r>
            <w:r w:rsidRPr="00D4309F">
              <w:t>works</w:t>
            </w:r>
            <w:r w:rsidRPr="00D4309F">
              <w:rPr>
                <w:spacing w:val="-13"/>
              </w:rPr>
              <w:t xml:space="preserve"> </w:t>
            </w:r>
            <w:r w:rsidRPr="00D4309F">
              <w:t>outside of peak aggregation season (summer) for migratory terns</w:t>
            </w:r>
          </w:p>
          <w:p w14:paraId="5CA0F2C7" w14:textId="77777777" w:rsidR="00230A0A" w:rsidRPr="00D4309F" w:rsidRDefault="00230A0A" w:rsidP="00891147">
            <w:pPr>
              <w:pStyle w:val="Table-Bullet"/>
            </w:pPr>
            <w:r w:rsidRPr="00D4309F">
              <w:t>Design to minimise clearing required and avoid</w:t>
            </w:r>
            <w:r w:rsidRPr="00D4309F">
              <w:rPr>
                <w:spacing w:val="-13"/>
              </w:rPr>
              <w:t xml:space="preserve"> </w:t>
            </w:r>
            <w:r w:rsidRPr="00D4309F">
              <w:t>key</w:t>
            </w:r>
            <w:r w:rsidRPr="00D4309F">
              <w:rPr>
                <w:spacing w:val="-12"/>
              </w:rPr>
              <w:t xml:space="preserve"> </w:t>
            </w:r>
            <w:r w:rsidRPr="00D4309F">
              <w:t>habitat</w:t>
            </w:r>
            <w:r w:rsidRPr="00D4309F">
              <w:rPr>
                <w:spacing w:val="-13"/>
              </w:rPr>
              <w:t xml:space="preserve"> </w:t>
            </w:r>
            <w:r w:rsidRPr="00D4309F">
              <w:t>areas</w:t>
            </w:r>
          </w:p>
          <w:p w14:paraId="73A08907" w14:textId="258EABB7" w:rsidR="00230A0A" w:rsidRPr="00D4309F" w:rsidRDefault="00230A0A" w:rsidP="00891147">
            <w:pPr>
              <w:pStyle w:val="Table-Bullet"/>
            </w:pPr>
            <w:r w:rsidRPr="00D4309F">
              <w:rPr>
                <w:spacing w:val="-2"/>
              </w:rPr>
              <w:t xml:space="preserve">Appropriate </w:t>
            </w:r>
            <w:r w:rsidRPr="00D4309F">
              <w:t>management for onshore works e.g. onshore vehicles and plant to operate in designated</w:t>
            </w:r>
            <w:r w:rsidRPr="00D4309F">
              <w:rPr>
                <w:spacing w:val="-15"/>
              </w:rPr>
              <w:t xml:space="preserve"> </w:t>
            </w:r>
            <w:r w:rsidRPr="00D4309F">
              <w:t>tracks</w:t>
            </w:r>
            <w:r w:rsidRPr="00D4309F">
              <w:rPr>
                <w:spacing w:val="-12"/>
              </w:rPr>
              <w:t xml:space="preserve"> </w:t>
            </w:r>
            <w:r w:rsidRPr="00D4309F">
              <w:t>and areas,</w:t>
            </w:r>
            <w:r w:rsidRPr="00D4309F">
              <w:rPr>
                <w:spacing w:val="-13"/>
              </w:rPr>
              <w:t xml:space="preserve"> </w:t>
            </w:r>
            <w:r w:rsidRPr="00D4309F">
              <w:t>design</w:t>
            </w:r>
            <w:r w:rsidRPr="00D4309F">
              <w:rPr>
                <w:spacing w:val="-12"/>
              </w:rPr>
              <w:t xml:space="preserve"> </w:t>
            </w:r>
            <w:r w:rsidRPr="00D4309F">
              <w:t>to</w:t>
            </w:r>
            <w:r w:rsidRPr="00D4309F">
              <w:rPr>
                <w:spacing w:val="-13"/>
              </w:rPr>
              <w:t xml:space="preserve"> </w:t>
            </w:r>
            <w:r w:rsidRPr="00D4309F">
              <w:t>avoid key habitat areas.</w:t>
            </w:r>
          </w:p>
        </w:tc>
      </w:tr>
      <w:tr w:rsidR="00F12A6F" w:rsidRPr="00D4309F" w14:paraId="3D31F0F6" w14:textId="77777777" w:rsidTr="007E44C8">
        <w:trPr>
          <w:cantSplit/>
          <w:trHeight w:val="20"/>
        </w:trPr>
        <w:tc>
          <w:tcPr>
            <w:tcW w:w="1297" w:type="dxa"/>
            <w:tcBorders>
              <w:top w:val="single" w:sz="4" w:space="0" w:color="000000"/>
              <w:bottom w:val="single" w:sz="4" w:space="0" w:color="000000"/>
            </w:tcBorders>
            <w:vAlign w:val="center"/>
          </w:tcPr>
          <w:p w14:paraId="52D3950D" w14:textId="50CC1CC0" w:rsidR="00230A0A" w:rsidRPr="00D4309F" w:rsidRDefault="00230A0A" w:rsidP="00891147">
            <w:pPr>
              <w:pStyle w:val="Table-Text"/>
            </w:pPr>
            <w:r w:rsidRPr="00D4309F">
              <w:lastRenderedPageBreak/>
              <w:t>Marine</w:t>
            </w:r>
            <w:r w:rsidRPr="00D4309F">
              <w:rPr>
                <w:spacing w:val="-4"/>
              </w:rPr>
              <w:t xml:space="preserve"> </w:t>
            </w:r>
            <w:r w:rsidRPr="00D4309F">
              <w:t>fauna</w:t>
            </w:r>
          </w:p>
        </w:tc>
        <w:tc>
          <w:tcPr>
            <w:tcW w:w="1441" w:type="dxa"/>
            <w:tcBorders>
              <w:top w:val="single" w:sz="4" w:space="0" w:color="000000"/>
              <w:bottom w:val="single" w:sz="4" w:space="0" w:color="000000"/>
            </w:tcBorders>
            <w:vAlign w:val="center"/>
          </w:tcPr>
          <w:p w14:paraId="1A09E88B" w14:textId="4177D554" w:rsidR="00230A0A" w:rsidRPr="00D4309F" w:rsidRDefault="00230A0A" w:rsidP="00891147">
            <w:pPr>
              <w:pStyle w:val="Table-Text"/>
            </w:pPr>
            <w:r w:rsidRPr="00D4309F">
              <w:t>Foraging Seabirds</w:t>
            </w:r>
          </w:p>
        </w:tc>
        <w:tc>
          <w:tcPr>
            <w:tcW w:w="3400" w:type="dxa"/>
            <w:tcBorders>
              <w:top w:val="single" w:sz="4" w:space="0" w:color="000000"/>
              <w:bottom w:val="single" w:sz="4" w:space="0" w:color="000000"/>
            </w:tcBorders>
            <w:vAlign w:val="center"/>
          </w:tcPr>
          <w:p w14:paraId="092AE7A7" w14:textId="2D3FE0B7" w:rsidR="00230A0A" w:rsidRPr="00D4309F" w:rsidRDefault="00230A0A" w:rsidP="00891147">
            <w:pPr>
              <w:pStyle w:val="Table-Bullet"/>
            </w:pPr>
            <w:r w:rsidRPr="00D4309F">
              <w:t>Generation</w:t>
            </w:r>
            <w:r w:rsidRPr="00D4309F">
              <w:rPr>
                <w:spacing w:val="-13"/>
              </w:rPr>
              <w:t xml:space="preserve"> </w:t>
            </w:r>
            <w:r w:rsidRPr="00D4309F">
              <w:t>of</w:t>
            </w:r>
            <w:r w:rsidRPr="00D4309F">
              <w:rPr>
                <w:spacing w:val="-12"/>
              </w:rPr>
              <w:t xml:space="preserve"> </w:t>
            </w:r>
            <w:r w:rsidRPr="00D4309F">
              <w:t>turbidity</w:t>
            </w:r>
            <w:r w:rsidRPr="00D4309F">
              <w:rPr>
                <w:spacing w:val="-13"/>
              </w:rPr>
              <w:t xml:space="preserve"> </w:t>
            </w:r>
            <w:r w:rsidRPr="00D4309F">
              <w:t>impacting foraging activities</w:t>
            </w:r>
          </w:p>
        </w:tc>
        <w:tc>
          <w:tcPr>
            <w:tcW w:w="1233" w:type="dxa"/>
            <w:tcBorders>
              <w:top w:val="single" w:sz="4" w:space="0" w:color="000000"/>
              <w:bottom w:val="single" w:sz="4" w:space="0" w:color="000000"/>
            </w:tcBorders>
            <w:shd w:val="clear" w:color="auto" w:fill="FFFF00"/>
            <w:vAlign w:val="center"/>
          </w:tcPr>
          <w:p w14:paraId="4E05AC43" w14:textId="069CA739" w:rsidR="00230A0A" w:rsidRPr="00D4309F" w:rsidRDefault="00230A0A" w:rsidP="00F12A6F">
            <w:pPr>
              <w:pStyle w:val="TableParagraph"/>
              <w:ind w:left="166" w:right="164"/>
              <w:rPr>
                <w:b/>
                <w:color w:val="211E1F"/>
                <w:spacing w:val="-5"/>
                <w:sz w:val="18"/>
              </w:rPr>
            </w:pPr>
            <w:r w:rsidRPr="00D4309F">
              <w:rPr>
                <w:b/>
                <w:color w:val="211E1F"/>
                <w:spacing w:val="-2"/>
                <w:sz w:val="18"/>
              </w:rPr>
              <w:t>Moderate</w:t>
            </w:r>
          </w:p>
        </w:tc>
        <w:tc>
          <w:tcPr>
            <w:tcW w:w="2889" w:type="dxa"/>
            <w:tcBorders>
              <w:top w:val="single" w:sz="4" w:space="0" w:color="000000"/>
              <w:bottom w:val="single" w:sz="4" w:space="0" w:color="000000"/>
            </w:tcBorders>
            <w:vAlign w:val="center"/>
          </w:tcPr>
          <w:p w14:paraId="42C7E7E9" w14:textId="77777777" w:rsidR="00230A0A" w:rsidRPr="00D4309F" w:rsidRDefault="00230A0A" w:rsidP="00891147">
            <w:pPr>
              <w:pStyle w:val="Table-Bullet"/>
            </w:pPr>
            <w:r w:rsidRPr="00D4309F">
              <w:t>Turbidity</w:t>
            </w:r>
            <w:r w:rsidRPr="00D4309F">
              <w:rPr>
                <w:spacing w:val="-8"/>
              </w:rPr>
              <w:t xml:space="preserve"> </w:t>
            </w:r>
            <w:r w:rsidRPr="00D4309F">
              <w:t>will</w:t>
            </w:r>
            <w:r w:rsidRPr="00D4309F">
              <w:rPr>
                <w:spacing w:val="-8"/>
              </w:rPr>
              <w:t xml:space="preserve"> </w:t>
            </w:r>
            <w:r w:rsidRPr="00D4309F">
              <w:t>impede</w:t>
            </w:r>
            <w:r w:rsidRPr="00D4309F">
              <w:rPr>
                <w:spacing w:val="-9"/>
              </w:rPr>
              <w:t xml:space="preserve"> </w:t>
            </w:r>
            <w:r w:rsidRPr="00D4309F">
              <w:t>the</w:t>
            </w:r>
            <w:r w:rsidRPr="00D4309F">
              <w:rPr>
                <w:spacing w:val="-9"/>
              </w:rPr>
              <w:t xml:space="preserve"> </w:t>
            </w:r>
            <w:r w:rsidRPr="00D4309F">
              <w:t>ability</w:t>
            </w:r>
            <w:r w:rsidRPr="00D4309F">
              <w:rPr>
                <w:spacing w:val="-8"/>
              </w:rPr>
              <w:t xml:space="preserve"> </w:t>
            </w:r>
            <w:r w:rsidRPr="00D4309F">
              <w:t>of aerial feeding birds to see prey underwater,</w:t>
            </w:r>
            <w:r w:rsidRPr="00D4309F">
              <w:rPr>
                <w:spacing w:val="-10"/>
              </w:rPr>
              <w:t xml:space="preserve"> </w:t>
            </w:r>
            <w:r w:rsidRPr="00D4309F">
              <w:t>which</w:t>
            </w:r>
            <w:r w:rsidRPr="00D4309F">
              <w:rPr>
                <w:spacing w:val="-11"/>
              </w:rPr>
              <w:t xml:space="preserve"> </w:t>
            </w:r>
            <w:r w:rsidRPr="00D4309F">
              <w:t>will</w:t>
            </w:r>
            <w:r w:rsidRPr="00D4309F">
              <w:rPr>
                <w:spacing w:val="-10"/>
              </w:rPr>
              <w:t xml:space="preserve"> </w:t>
            </w:r>
            <w:r w:rsidRPr="00D4309F">
              <w:t>impact</w:t>
            </w:r>
            <w:r w:rsidRPr="00D4309F">
              <w:rPr>
                <w:spacing w:val="-9"/>
              </w:rPr>
              <w:t xml:space="preserve"> </w:t>
            </w:r>
            <w:r w:rsidRPr="00D4309F">
              <w:t>the Little Terns aggregating in Point Cartwright reserve. Larger seabirds will travel outside</w:t>
            </w:r>
            <w:r w:rsidRPr="00D4309F">
              <w:rPr>
                <w:spacing w:val="-1"/>
              </w:rPr>
              <w:t xml:space="preserve"> </w:t>
            </w:r>
            <w:r w:rsidRPr="00D4309F">
              <w:t>of the turbid zone to forage.</w:t>
            </w:r>
          </w:p>
          <w:p w14:paraId="0A18A3F3" w14:textId="77777777" w:rsidR="00230A0A" w:rsidRPr="00D4309F" w:rsidRDefault="00230A0A" w:rsidP="00891147">
            <w:pPr>
              <w:pStyle w:val="Table-Bullet"/>
            </w:pPr>
            <w:r w:rsidRPr="00D4309F">
              <w:t>An assessment of the predicted plume</w:t>
            </w:r>
            <w:r w:rsidRPr="00D4309F">
              <w:rPr>
                <w:spacing w:val="-9"/>
              </w:rPr>
              <w:t xml:space="preserve"> </w:t>
            </w:r>
            <w:r w:rsidRPr="00D4309F">
              <w:t>extent</w:t>
            </w:r>
            <w:r w:rsidRPr="00D4309F">
              <w:rPr>
                <w:spacing w:val="-8"/>
              </w:rPr>
              <w:t xml:space="preserve"> </w:t>
            </w:r>
            <w:r w:rsidRPr="00D4309F">
              <w:t>will</w:t>
            </w:r>
            <w:r w:rsidRPr="00D4309F">
              <w:rPr>
                <w:spacing w:val="-9"/>
              </w:rPr>
              <w:t xml:space="preserve"> </w:t>
            </w:r>
            <w:r w:rsidRPr="00D4309F">
              <w:t>inform</w:t>
            </w:r>
            <w:r w:rsidRPr="00D4309F">
              <w:rPr>
                <w:spacing w:val="-8"/>
              </w:rPr>
              <w:t xml:space="preserve"> </w:t>
            </w:r>
            <w:r w:rsidRPr="00D4309F">
              <w:t>the</w:t>
            </w:r>
            <w:r w:rsidRPr="00D4309F">
              <w:rPr>
                <w:spacing w:val="-9"/>
              </w:rPr>
              <w:t xml:space="preserve"> </w:t>
            </w:r>
            <w:r w:rsidRPr="00D4309F">
              <w:t>extent of turbidity related impacts however as this is a dynamic, open ocean environment, any plume will likely dissipate quickly</w:t>
            </w:r>
          </w:p>
          <w:p w14:paraId="4AAE61D4" w14:textId="6E564DA2" w:rsidR="00230A0A" w:rsidRPr="00D4309F" w:rsidRDefault="00230A0A" w:rsidP="00891147">
            <w:pPr>
              <w:pStyle w:val="Table-Bullet"/>
            </w:pPr>
            <w:r w:rsidRPr="00D4309F">
              <w:t>Turbidity is likely to be more extensive</w:t>
            </w:r>
            <w:r w:rsidRPr="00D4309F">
              <w:rPr>
                <w:spacing w:val="-13"/>
              </w:rPr>
              <w:t xml:space="preserve"> </w:t>
            </w:r>
            <w:r w:rsidRPr="00D4309F">
              <w:t>and</w:t>
            </w:r>
            <w:r w:rsidRPr="00D4309F">
              <w:rPr>
                <w:spacing w:val="-12"/>
              </w:rPr>
              <w:t xml:space="preserve"> </w:t>
            </w:r>
            <w:r w:rsidRPr="00D4309F">
              <w:t>persistent</w:t>
            </w:r>
            <w:r w:rsidRPr="00D4309F">
              <w:rPr>
                <w:spacing w:val="-13"/>
              </w:rPr>
              <w:t xml:space="preserve"> </w:t>
            </w:r>
            <w:r w:rsidRPr="00D4309F">
              <w:t>during rock cutting works</w:t>
            </w:r>
          </w:p>
        </w:tc>
        <w:tc>
          <w:tcPr>
            <w:tcW w:w="1913" w:type="dxa"/>
            <w:tcBorders>
              <w:top w:val="single" w:sz="4" w:space="0" w:color="000000"/>
              <w:bottom w:val="single" w:sz="4" w:space="0" w:color="000000"/>
            </w:tcBorders>
            <w:vAlign w:val="center"/>
          </w:tcPr>
          <w:p w14:paraId="1EEBD38A" w14:textId="7FED2E11" w:rsidR="00230A0A" w:rsidRPr="00D4309F" w:rsidRDefault="00230A0A" w:rsidP="00891147">
            <w:pPr>
              <w:pStyle w:val="Table-Bullet"/>
              <w:rPr>
                <w:spacing w:val="-4"/>
              </w:rPr>
            </w:pPr>
            <w:r w:rsidRPr="00D4309F">
              <w:t>Turbidity</w:t>
            </w:r>
            <w:r w:rsidRPr="00D4309F">
              <w:rPr>
                <w:spacing w:val="-5"/>
              </w:rPr>
              <w:t xml:space="preserve"> </w:t>
            </w:r>
            <w:r w:rsidRPr="00D4309F">
              <w:rPr>
                <w:spacing w:val="-2"/>
              </w:rPr>
              <w:t>modelling</w:t>
            </w:r>
          </w:p>
        </w:tc>
        <w:tc>
          <w:tcPr>
            <w:tcW w:w="2399" w:type="dxa"/>
            <w:tcBorders>
              <w:top w:val="single" w:sz="4" w:space="0" w:color="000000"/>
              <w:bottom w:val="single" w:sz="4" w:space="0" w:color="000000"/>
            </w:tcBorders>
            <w:vAlign w:val="center"/>
          </w:tcPr>
          <w:p w14:paraId="490D49DF" w14:textId="77777777" w:rsidR="00230A0A" w:rsidRPr="00D4309F" w:rsidRDefault="00230A0A" w:rsidP="00891147">
            <w:pPr>
              <w:pStyle w:val="Table-Bullet"/>
            </w:pPr>
            <w:r w:rsidRPr="00D4309F">
              <w:t>Timing</w:t>
            </w:r>
            <w:r w:rsidRPr="00D4309F">
              <w:rPr>
                <w:spacing w:val="-13"/>
              </w:rPr>
              <w:t xml:space="preserve"> </w:t>
            </w:r>
            <w:r w:rsidRPr="00D4309F">
              <w:t>of</w:t>
            </w:r>
            <w:r w:rsidRPr="00D4309F">
              <w:rPr>
                <w:spacing w:val="-12"/>
              </w:rPr>
              <w:t xml:space="preserve"> </w:t>
            </w:r>
            <w:r w:rsidRPr="00D4309F">
              <w:t>works</w:t>
            </w:r>
            <w:r w:rsidRPr="00D4309F">
              <w:rPr>
                <w:spacing w:val="-13"/>
              </w:rPr>
              <w:t xml:space="preserve"> </w:t>
            </w:r>
            <w:r w:rsidRPr="00D4309F">
              <w:t>outside of peak aggregation season (summer) for migratory terns</w:t>
            </w:r>
          </w:p>
          <w:p w14:paraId="1DD7C80E" w14:textId="77777777" w:rsidR="00230A0A" w:rsidRPr="00D4309F" w:rsidRDefault="00230A0A" w:rsidP="00891147">
            <w:pPr>
              <w:pStyle w:val="Table-Bullet"/>
            </w:pPr>
            <w:r w:rsidRPr="00D4309F">
              <w:t>Turbidity</w:t>
            </w:r>
            <w:r w:rsidRPr="00D4309F">
              <w:rPr>
                <w:spacing w:val="-13"/>
              </w:rPr>
              <w:t xml:space="preserve"> </w:t>
            </w:r>
            <w:r w:rsidRPr="00D4309F">
              <w:t>monitoring during works</w:t>
            </w:r>
          </w:p>
          <w:p w14:paraId="7A2284F8" w14:textId="77777777" w:rsidR="00230A0A" w:rsidRPr="00D4309F" w:rsidRDefault="00230A0A" w:rsidP="00891147">
            <w:pPr>
              <w:pStyle w:val="Table-Bullet"/>
            </w:pPr>
            <w:r w:rsidRPr="00D4309F">
              <w:t>Standard turbidity mitigation</w:t>
            </w:r>
            <w:r w:rsidRPr="00D4309F">
              <w:rPr>
                <w:spacing w:val="-13"/>
              </w:rPr>
              <w:t xml:space="preserve"> </w:t>
            </w:r>
            <w:r w:rsidRPr="00D4309F">
              <w:t>procedures</w:t>
            </w:r>
          </w:p>
          <w:p w14:paraId="581F2096" w14:textId="19540DAA" w:rsidR="00230A0A" w:rsidRPr="00D4309F" w:rsidRDefault="00230A0A" w:rsidP="00891147">
            <w:pPr>
              <w:pStyle w:val="Table-Bullet"/>
            </w:pPr>
            <w:r w:rsidRPr="00D4309F">
              <w:t>e.g.</w:t>
            </w:r>
            <w:r w:rsidRPr="00D4309F">
              <w:rPr>
                <w:spacing w:val="-13"/>
              </w:rPr>
              <w:t xml:space="preserve"> </w:t>
            </w:r>
            <w:r w:rsidRPr="00D4309F">
              <w:t>silt</w:t>
            </w:r>
            <w:r w:rsidRPr="00D4309F">
              <w:rPr>
                <w:spacing w:val="-12"/>
              </w:rPr>
              <w:t xml:space="preserve"> </w:t>
            </w:r>
            <w:r w:rsidRPr="00D4309F">
              <w:t>curtains,</w:t>
            </w:r>
            <w:r w:rsidRPr="00D4309F">
              <w:rPr>
                <w:spacing w:val="-13"/>
              </w:rPr>
              <w:t xml:space="preserve"> </w:t>
            </w:r>
            <w:r w:rsidRPr="00D4309F">
              <w:t>staging of works</w:t>
            </w:r>
          </w:p>
        </w:tc>
      </w:tr>
      <w:tr w:rsidR="00F12A6F" w:rsidRPr="00D4309F" w14:paraId="74F5AA7B" w14:textId="77777777" w:rsidTr="007E44C8">
        <w:trPr>
          <w:cantSplit/>
          <w:trHeight w:val="20"/>
        </w:trPr>
        <w:tc>
          <w:tcPr>
            <w:tcW w:w="1297" w:type="dxa"/>
            <w:tcBorders>
              <w:top w:val="single" w:sz="4" w:space="0" w:color="000000"/>
              <w:bottom w:val="single" w:sz="4" w:space="0" w:color="000000"/>
            </w:tcBorders>
            <w:vAlign w:val="center"/>
          </w:tcPr>
          <w:p w14:paraId="04D5C0FC" w14:textId="67F0D305" w:rsidR="00230A0A" w:rsidRPr="00D4309F" w:rsidRDefault="00230A0A" w:rsidP="00891147">
            <w:pPr>
              <w:pStyle w:val="Table-Text"/>
            </w:pPr>
            <w:r w:rsidRPr="00D4309F">
              <w:lastRenderedPageBreak/>
              <w:t>Marine</w:t>
            </w:r>
            <w:r w:rsidRPr="00D4309F">
              <w:rPr>
                <w:spacing w:val="-4"/>
              </w:rPr>
              <w:t xml:space="preserve"> </w:t>
            </w:r>
            <w:r w:rsidRPr="00D4309F">
              <w:t>fauna</w:t>
            </w:r>
          </w:p>
        </w:tc>
        <w:tc>
          <w:tcPr>
            <w:tcW w:w="1441" w:type="dxa"/>
            <w:tcBorders>
              <w:top w:val="single" w:sz="4" w:space="0" w:color="000000"/>
              <w:bottom w:val="single" w:sz="4" w:space="0" w:color="000000"/>
            </w:tcBorders>
            <w:vAlign w:val="center"/>
          </w:tcPr>
          <w:p w14:paraId="175928CA" w14:textId="1CDC5E8E" w:rsidR="00230A0A" w:rsidRPr="00D4309F" w:rsidRDefault="00230A0A" w:rsidP="00891147">
            <w:pPr>
              <w:pStyle w:val="Table-Text"/>
            </w:pPr>
            <w:r w:rsidRPr="00D4309F">
              <w:rPr>
                <w:spacing w:val="-4"/>
              </w:rPr>
              <w:t xml:space="preserve">Site </w:t>
            </w:r>
            <w:r w:rsidRPr="00D4309F">
              <w:t>attached species</w:t>
            </w:r>
          </w:p>
        </w:tc>
        <w:tc>
          <w:tcPr>
            <w:tcW w:w="3400" w:type="dxa"/>
            <w:tcBorders>
              <w:top w:val="single" w:sz="4" w:space="0" w:color="000000"/>
              <w:bottom w:val="single" w:sz="4" w:space="0" w:color="000000"/>
            </w:tcBorders>
            <w:vAlign w:val="center"/>
          </w:tcPr>
          <w:p w14:paraId="4D242B1A" w14:textId="77777777" w:rsidR="00230A0A" w:rsidRPr="00D4309F" w:rsidRDefault="00230A0A" w:rsidP="00891147">
            <w:pPr>
              <w:pStyle w:val="Table-Bullet"/>
            </w:pPr>
            <w:r w:rsidRPr="00D4309F">
              <w:t>Direct</w:t>
            </w:r>
            <w:r w:rsidRPr="00D4309F">
              <w:rPr>
                <w:spacing w:val="-13"/>
              </w:rPr>
              <w:t xml:space="preserve"> </w:t>
            </w:r>
            <w:r w:rsidRPr="00D4309F">
              <w:t>mortality/injury</w:t>
            </w:r>
            <w:r w:rsidRPr="00D4309F">
              <w:rPr>
                <w:spacing w:val="-12"/>
              </w:rPr>
              <w:t xml:space="preserve"> </w:t>
            </w:r>
            <w:r w:rsidRPr="00D4309F">
              <w:t>due</w:t>
            </w:r>
            <w:r w:rsidRPr="00D4309F">
              <w:rPr>
                <w:spacing w:val="-13"/>
              </w:rPr>
              <w:t xml:space="preserve"> </w:t>
            </w:r>
            <w:r w:rsidRPr="00D4309F">
              <w:t>to dredging and disposal</w:t>
            </w:r>
          </w:p>
          <w:p w14:paraId="7F966327" w14:textId="77777777" w:rsidR="00230A0A" w:rsidRPr="00D4309F" w:rsidRDefault="00230A0A" w:rsidP="00891147">
            <w:pPr>
              <w:pStyle w:val="Table-Bullet"/>
            </w:pPr>
            <w:r w:rsidRPr="00D4309F">
              <w:rPr>
                <w:spacing w:val="-2"/>
              </w:rPr>
              <w:t xml:space="preserve">Mortality/injury/behavioural </w:t>
            </w:r>
            <w:r w:rsidRPr="00D4309F">
              <w:t>response</w:t>
            </w:r>
            <w:r w:rsidRPr="00D4309F">
              <w:rPr>
                <w:spacing w:val="-9"/>
              </w:rPr>
              <w:t xml:space="preserve"> </w:t>
            </w:r>
            <w:r w:rsidRPr="00D4309F">
              <w:t>due</w:t>
            </w:r>
            <w:r w:rsidRPr="00D4309F">
              <w:rPr>
                <w:spacing w:val="-9"/>
              </w:rPr>
              <w:t xml:space="preserve"> </w:t>
            </w:r>
            <w:r w:rsidRPr="00D4309F">
              <w:t>to</w:t>
            </w:r>
            <w:r w:rsidRPr="00D4309F">
              <w:rPr>
                <w:spacing w:val="-9"/>
              </w:rPr>
              <w:t xml:space="preserve"> </w:t>
            </w:r>
            <w:r w:rsidRPr="00D4309F">
              <w:t>physical</w:t>
            </w:r>
            <w:r w:rsidRPr="00D4309F">
              <w:rPr>
                <w:spacing w:val="-8"/>
              </w:rPr>
              <w:t xml:space="preserve"> </w:t>
            </w:r>
            <w:r w:rsidRPr="00D4309F">
              <w:t>effects</w:t>
            </w:r>
            <w:r w:rsidRPr="00D4309F">
              <w:rPr>
                <w:spacing w:val="-8"/>
              </w:rPr>
              <w:t xml:space="preserve"> </w:t>
            </w:r>
            <w:r w:rsidRPr="00D4309F">
              <w:t xml:space="preserve">of </w:t>
            </w:r>
            <w:r w:rsidRPr="00D4309F">
              <w:rPr>
                <w:spacing w:val="-2"/>
              </w:rPr>
              <w:t>turbidity</w:t>
            </w:r>
          </w:p>
          <w:p w14:paraId="527E8B6C" w14:textId="4766BFC9" w:rsidR="00230A0A" w:rsidRPr="00D4309F" w:rsidRDefault="00230A0A" w:rsidP="00891147">
            <w:pPr>
              <w:pStyle w:val="Table-Bullet"/>
            </w:pPr>
            <w:r w:rsidRPr="00D4309F">
              <w:rPr>
                <w:spacing w:val="-2"/>
              </w:rPr>
              <w:t xml:space="preserve">Mortality/injury/behavioural </w:t>
            </w:r>
            <w:r w:rsidRPr="00D4309F">
              <w:t>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smothering</w:t>
            </w:r>
            <w:r w:rsidRPr="00D4309F">
              <w:rPr>
                <w:spacing w:val="-10"/>
              </w:rPr>
              <w:t xml:space="preserve"> </w:t>
            </w:r>
            <w:r w:rsidRPr="00D4309F">
              <w:t>at disposal site</w:t>
            </w:r>
          </w:p>
        </w:tc>
        <w:tc>
          <w:tcPr>
            <w:tcW w:w="1233" w:type="dxa"/>
            <w:tcBorders>
              <w:top w:val="single" w:sz="4" w:space="0" w:color="000000"/>
              <w:bottom w:val="single" w:sz="4" w:space="0" w:color="000000"/>
            </w:tcBorders>
            <w:shd w:val="clear" w:color="auto" w:fill="FFC000"/>
            <w:vAlign w:val="center"/>
          </w:tcPr>
          <w:p w14:paraId="5BB7975B" w14:textId="4BD85C28" w:rsidR="00230A0A" w:rsidRPr="00D4309F" w:rsidRDefault="00230A0A" w:rsidP="00F12A6F">
            <w:pPr>
              <w:pStyle w:val="TableParagraph"/>
              <w:ind w:left="166" w:right="164"/>
              <w:rPr>
                <w:b/>
                <w:color w:val="211E1F"/>
                <w:spacing w:val="-5"/>
                <w:sz w:val="18"/>
              </w:rPr>
            </w:pPr>
            <w:r w:rsidRPr="00D4309F">
              <w:rPr>
                <w:b/>
                <w:color w:val="211E1F"/>
                <w:sz w:val="18"/>
              </w:rPr>
              <w:t>High</w:t>
            </w:r>
            <w:r w:rsidRPr="00D4309F">
              <w:rPr>
                <w:b/>
                <w:color w:val="211E1F"/>
                <w:spacing w:val="-13"/>
                <w:sz w:val="18"/>
              </w:rPr>
              <w:t xml:space="preserve"> </w:t>
            </w:r>
            <w:r w:rsidRPr="00D4309F">
              <w:rPr>
                <w:b/>
                <w:color w:val="211E1F"/>
                <w:sz w:val="18"/>
              </w:rPr>
              <w:t xml:space="preserve">(for </w:t>
            </w:r>
            <w:r w:rsidRPr="00D4309F">
              <w:rPr>
                <w:b/>
                <w:color w:val="211E1F"/>
                <w:spacing w:val="-4"/>
                <w:sz w:val="18"/>
              </w:rPr>
              <w:t xml:space="preserve">rock </w:t>
            </w:r>
            <w:r w:rsidRPr="00D4309F">
              <w:rPr>
                <w:b/>
                <w:color w:val="211E1F"/>
                <w:spacing w:val="-2"/>
                <w:sz w:val="18"/>
              </w:rPr>
              <w:t>cutting)</w:t>
            </w:r>
          </w:p>
        </w:tc>
        <w:tc>
          <w:tcPr>
            <w:tcW w:w="2889" w:type="dxa"/>
            <w:tcBorders>
              <w:top w:val="single" w:sz="4" w:space="0" w:color="000000"/>
              <w:bottom w:val="single" w:sz="4" w:space="0" w:color="000000"/>
            </w:tcBorders>
            <w:vAlign w:val="center"/>
          </w:tcPr>
          <w:p w14:paraId="46545814" w14:textId="77777777" w:rsidR="00230A0A" w:rsidRPr="00D4309F" w:rsidRDefault="00230A0A" w:rsidP="00891147">
            <w:pPr>
              <w:pStyle w:val="Table-Bullet"/>
            </w:pPr>
            <w:r w:rsidRPr="00D4309F">
              <w:t>These species are broadly distributed</w:t>
            </w:r>
            <w:r w:rsidRPr="00D4309F">
              <w:rPr>
                <w:spacing w:val="-13"/>
              </w:rPr>
              <w:t xml:space="preserve"> </w:t>
            </w:r>
            <w:r w:rsidRPr="00D4309F">
              <w:t>along</w:t>
            </w:r>
            <w:r w:rsidRPr="00D4309F">
              <w:rPr>
                <w:spacing w:val="-12"/>
              </w:rPr>
              <w:t xml:space="preserve"> </w:t>
            </w:r>
            <w:r w:rsidRPr="00D4309F">
              <w:t>the</w:t>
            </w:r>
            <w:r w:rsidRPr="00D4309F">
              <w:rPr>
                <w:spacing w:val="-13"/>
              </w:rPr>
              <w:t xml:space="preserve"> </w:t>
            </w:r>
            <w:r w:rsidRPr="00D4309F">
              <w:t>coastline</w:t>
            </w:r>
          </w:p>
          <w:p w14:paraId="2CC3C02C" w14:textId="77777777" w:rsidR="00230A0A" w:rsidRPr="00D4309F" w:rsidRDefault="00230A0A" w:rsidP="00891147">
            <w:pPr>
              <w:pStyle w:val="Table-Bullet"/>
            </w:pPr>
            <w:r w:rsidRPr="00D4309F">
              <w:t>The</w:t>
            </w:r>
            <w:r w:rsidRPr="00D4309F">
              <w:rPr>
                <w:spacing w:val="-9"/>
              </w:rPr>
              <w:t xml:space="preserve"> </w:t>
            </w:r>
            <w:r w:rsidRPr="00D4309F">
              <w:t>dredging</w:t>
            </w:r>
            <w:r w:rsidRPr="00D4309F">
              <w:rPr>
                <w:spacing w:val="-9"/>
              </w:rPr>
              <w:t xml:space="preserve"> </w:t>
            </w:r>
            <w:r w:rsidRPr="00D4309F">
              <w:t>area</w:t>
            </w:r>
            <w:r w:rsidRPr="00D4309F">
              <w:rPr>
                <w:spacing w:val="-9"/>
              </w:rPr>
              <w:t xml:space="preserve"> </w:t>
            </w:r>
            <w:r w:rsidRPr="00D4309F">
              <w:t>has</w:t>
            </w:r>
            <w:r w:rsidRPr="00D4309F">
              <w:rPr>
                <w:spacing w:val="-8"/>
              </w:rPr>
              <w:t xml:space="preserve"> </w:t>
            </w:r>
            <w:r w:rsidRPr="00D4309F">
              <w:t>a</w:t>
            </w:r>
            <w:r w:rsidRPr="00D4309F">
              <w:rPr>
                <w:spacing w:val="-9"/>
              </w:rPr>
              <w:t xml:space="preserve"> </w:t>
            </w:r>
            <w:r w:rsidRPr="00D4309F">
              <w:t>relatively small footprint and in an area of bare</w:t>
            </w:r>
            <w:r w:rsidRPr="00D4309F">
              <w:rPr>
                <w:spacing w:val="-1"/>
              </w:rPr>
              <w:t xml:space="preserve"> </w:t>
            </w:r>
            <w:r w:rsidRPr="00D4309F">
              <w:t>sand</w:t>
            </w:r>
            <w:r w:rsidRPr="00D4309F">
              <w:rPr>
                <w:spacing w:val="-1"/>
              </w:rPr>
              <w:t xml:space="preserve"> </w:t>
            </w:r>
            <w:r w:rsidRPr="00D4309F">
              <w:t>which</w:t>
            </w:r>
            <w:r w:rsidRPr="00D4309F">
              <w:rPr>
                <w:spacing w:val="-1"/>
              </w:rPr>
              <w:t xml:space="preserve"> </w:t>
            </w:r>
            <w:r w:rsidRPr="00D4309F">
              <w:t>is not the</w:t>
            </w:r>
            <w:r w:rsidRPr="00D4309F">
              <w:rPr>
                <w:spacing w:val="-1"/>
              </w:rPr>
              <w:t xml:space="preserve"> </w:t>
            </w:r>
            <w:r w:rsidRPr="00D4309F">
              <w:t>habitat for most of these species, including the endangered White’s Seahorse and sand yabby</w:t>
            </w:r>
          </w:p>
          <w:p w14:paraId="6CB027B5" w14:textId="77777777" w:rsidR="00230A0A" w:rsidRPr="00D4309F" w:rsidRDefault="00230A0A" w:rsidP="00891147">
            <w:pPr>
              <w:pStyle w:val="Table-Bullet"/>
            </w:pPr>
            <w:r w:rsidRPr="00D4309F">
              <w:t>It is assumed that the disposal area</w:t>
            </w:r>
            <w:r w:rsidRPr="00D4309F">
              <w:rPr>
                <w:spacing w:val="-9"/>
              </w:rPr>
              <w:t xml:space="preserve"> </w:t>
            </w:r>
            <w:r w:rsidRPr="00D4309F">
              <w:t>is</w:t>
            </w:r>
            <w:r w:rsidRPr="00D4309F">
              <w:rPr>
                <w:spacing w:val="-8"/>
              </w:rPr>
              <w:t xml:space="preserve"> </w:t>
            </w:r>
            <w:r w:rsidRPr="00D4309F">
              <w:t>an</w:t>
            </w:r>
            <w:r w:rsidRPr="00D4309F">
              <w:rPr>
                <w:spacing w:val="-9"/>
              </w:rPr>
              <w:t xml:space="preserve"> </w:t>
            </w:r>
            <w:r w:rsidRPr="00D4309F">
              <w:t>already</w:t>
            </w:r>
            <w:r w:rsidRPr="00D4309F">
              <w:rPr>
                <w:spacing w:val="-8"/>
              </w:rPr>
              <w:t xml:space="preserve"> </w:t>
            </w:r>
            <w:r w:rsidRPr="00D4309F">
              <w:t>disturbed</w:t>
            </w:r>
            <w:r w:rsidRPr="00D4309F">
              <w:rPr>
                <w:spacing w:val="-9"/>
              </w:rPr>
              <w:t xml:space="preserve"> </w:t>
            </w:r>
            <w:r w:rsidRPr="00D4309F">
              <w:t>area from previous disposal works</w:t>
            </w:r>
          </w:p>
          <w:p w14:paraId="3CF02EC9" w14:textId="77777777" w:rsidR="00230A0A" w:rsidRPr="00D4309F" w:rsidRDefault="00230A0A" w:rsidP="00891147">
            <w:pPr>
              <w:pStyle w:val="Table-Bullet"/>
            </w:pPr>
            <w:r w:rsidRPr="00D4309F">
              <w:t>Dredging and disposal is in a dynamic, open ocean environment,</w:t>
            </w:r>
            <w:r w:rsidRPr="00D4309F">
              <w:rPr>
                <w:spacing w:val="-10"/>
              </w:rPr>
              <w:t xml:space="preserve"> </w:t>
            </w:r>
            <w:r w:rsidRPr="00D4309F">
              <w:t>any</w:t>
            </w:r>
            <w:r w:rsidRPr="00D4309F">
              <w:rPr>
                <w:spacing w:val="-10"/>
              </w:rPr>
              <w:t xml:space="preserve"> </w:t>
            </w:r>
            <w:r w:rsidRPr="00D4309F">
              <w:t>plume</w:t>
            </w:r>
            <w:r w:rsidRPr="00D4309F">
              <w:rPr>
                <w:spacing w:val="-11"/>
              </w:rPr>
              <w:t xml:space="preserve"> </w:t>
            </w:r>
            <w:r w:rsidRPr="00D4309F">
              <w:t>will</w:t>
            </w:r>
            <w:r w:rsidRPr="00D4309F">
              <w:rPr>
                <w:spacing w:val="-10"/>
              </w:rPr>
              <w:t xml:space="preserve"> </w:t>
            </w:r>
            <w:r w:rsidRPr="00D4309F">
              <w:t>likely dissipate quickly</w:t>
            </w:r>
          </w:p>
          <w:p w14:paraId="2D367831" w14:textId="653F9B60" w:rsidR="00230A0A" w:rsidRPr="00D4309F" w:rsidRDefault="00230A0A" w:rsidP="00891147">
            <w:pPr>
              <w:pStyle w:val="Table-Bullet"/>
            </w:pPr>
            <w:r w:rsidRPr="00D4309F">
              <w:t>Turbidity is likely to be more extensive</w:t>
            </w:r>
            <w:r w:rsidRPr="00D4309F">
              <w:rPr>
                <w:spacing w:val="-13"/>
              </w:rPr>
              <w:t xml:space="preserve"> </w:t>
            </w:r>
            <w:r w:rsidRPr="00D4309F">
              <w:t>and</w:t>
            </w:r>
            <w:r w:rsidRPr="00D4309F">
              <w:rPr>
                <w:spacing w:val="-12"/>
              </w:rPr>
              <w:t xml:space="preserve"> </w:t>
            </w:r>
            <w:r w:rsidRPr="00D4309F">
              <w:t>persistent</w:t>
            </w:r>
            <w:r w:rsidRPr="00D4309F">
              <w:rPr>
                <w:spacing w:val="-13"/>
              </w:rPr>
              <w:t xml:space="preserve"> </w:t>
            </w:r>
            <w:r w:rsidRPr="00D4309F">
              <w:t xml:space="preserve">during rock cutting works and could impact endangered species </w:t>
            </w:r>
            <w:r w:rsidRPr="00D4309F">
              <w:rPr>
                <w:spacing w:val="-2"/>
              </w:rPr>
              <w:t>habitat</w:t>
            </w:r>
          </w:p>
        </w:tc>
        <w:tc>
          <w:tcPr>
            <w:tcW w:w="1913" w:type="dxa"/>
            <w:tcBorders>
              <w:top w:val="single" w:sz="4" w:space="0" w:color="000000"/>
              <w:bottom w:val="single" w:sz="4" w:space="0" w:color="000000"/>
            </w:tcBorders>
            <w:vAlign w:val="center"/>
          </w:tcPr>
          <w:p w14:paraId="5438A138" w14:textId="77777777" w:rsidR="00230A0A" w:rsidRPr="00D4309F" w:rsidRDefault="00230A0A" w:rsidP="00891147">
            <w:pPr>
              <w:pStyle w:val="Table-Bullet"/>
            </w:pPr>
            <w:r w:rsidRPr="00D4309F">
              <w:t>Turbidity</w:t>
            </w:r>
            <w:r w:rsidRPr="00D4309F">
              <w:rPr>
                <w:spacing w:val="-5"/>
              </w:rPr>
              <w:t xml:space="preserve"> </w:t>
            </w:r>
            <w:r w:rsidRPr="00D4309F">
              <w:rPr>
                <w:spacing w:val="-2"/>
              </w:rPr>
              <w:t>modelling</w:t>
            </w:r>
          </w:p>
          <w:p w14:paraId="1DADCC7D" w14:textId="1B8DB80A" w:rsidR="00230A0A" w:rsidRPr="00D4309F" w:rsidRDefault="00230A0A" w:rsidP="00891147">
            <w:pPr>
              <w:pStyle w:val="Table-Bullet"/>
              <w:rPr>
                <w:spacing w:val="-4"/>
              </w:rPr>
            </w:pPr>
            <w:r w:rsidRPr="00D4309F">
              <w:t>Fauna / benthic habitat</w:t>
            </w:r>
            <w:r w:rsidRPr="00D4309F">
              <w:rPr>
                <w:spacing w:val="-13"/>
              </w:rPr>
              <w:t xml:space="preserve"> </w:t>
            </w:r>
            <w:r w:rsidRPr="00D4309F">
              <w:t>assessment</w:t>
            </w:r>
          </w:p>
        </w:tc>
        <w:tc>
          <w:tcPr>
            <w:tcW w:w="2399" w:type="dxa"/>
            <w:tcBorders>
              <w:top w:val="single" w:sz="4" w:space="0" w:color="000000"/>
              <w:bottom w:val="single" w:sz="4" w:space="0" w:color="000000"/>
            </w:tcBorders>
            <w:vAlign w:val="center"/>
          </w:tcPr>
          <w:p w14:paraId="26DA112E" w14:textId="77777777" w:rsidR="00230A0A" w:rsidRPr="00D4309F" w:rsidRDefault="00230A0A" w:rsidP="00891147">
            <w:pPr>
              <w:pStyle w:val="Table-Bullet"/>
            </w:pPr>
            <w:r w:rsidRPr="00D4309F">
              <w:t>Turbidity</w:t>
            </w:r>
            <w:r w:rsidRPr="00D4309F">
              <w:rPr>
                <w:spacing w:val="-13"/>
              </w:rPr>
              <w:t xml:space="preserve"> </w:t>
            </w:r>
            <w:r w:rsidRPr="00D4309F">
              <w:t>monitoring during works</w:t>
            </w:r>
          </w:p>
          <w:p w14:paraId="16D1D85F" w14:textId="77777777" w:rsidR="00230A0A" w:rsidRPr="00D4309F" w:rsidRDefault="00230A0A" w:rsidP="00891147">
            <w:pPr>
              <w:pStyle w:val="Table-Bullet"/>
            </w:pPr>
            <w:r w:rsidRPr="00D4309F">
              <w:t>Standard turbidity mitigation</w:t>
            </w:r>
            <w:r w:rsidRPr="00D4309F">
              <w:rPr>
                <w:spacing w:val="-13"/>
              </w:rPr>
              <w:t xml:space="preserve"> </w:t>
            </w:r>
            <w:r w:rsidRPr="00D4309F">
              <w:t>procedures</w:t>
            </w:r>
          </w:p>
          <w:p w14:paraId="2F8AA556" w14:textId="0B667301" w:rsidR="00230A0A" w:rsidRPr="00D4309F" w:rsidRDefault="00230A0A" w:rsidP="00891147">
            <w:pPr>
              <w:pStyle w:val="Table-Bullet"/>
            </w:pPr>
            <w:r w:rsidRPr="00D4309F">
              <w:t>e.g.</w:t>
            </w:r>
            <w:r w:rsidRPr="00D4309F">
              <w:rPr>
                <w:spacing w:val="-13"/>
              </w:rPr>
              <w:t xml:space="preserve"> </w:t>
            </w:r>
            <w:r w:rsidRPr="00D4309F">
              <w:t>silt</w:t>
            </w:r>
            <w:r w:rsidRPr="00D4309F">
              <w:rPr>
                <w:spacing w:val="-12"/>
              </w:rPr>
              <w:t xml:space="preserve"> </w:t>
            </w:r>
            <w:r w:rsidRPr="00D4309F">
              <w:t>curtains,</w:t>
            </w:r>
            <w:r w:rsidRPr="00D4309F">
              <w:rPr>
                <w:spacing w:val="-13"/>
              </w:rPr>
              <w:t xml:space="preserve"> </w:t>
            </w:r>
            <w:r w:rsidRPr="00D4309F">
              <w:t>staging of works</w:t>
            </w:r>
          </w:p>
        </w:tc>
      </w:tr>
      <w:tr w:rsidR="00F12A6F" w:rsidRPr="00D4309F" w14:paraId="39929604" w14:textId="77777777" w:rsidTr="007E44C8">
        <w:trPr>
          <w:cantSplit/>
          <w:trHeight w:val="20"/>
        </w:trPr>
        <w:tc>
          <w:tcPr>
            <w:tcW w:w="1297" w:type="dxa"/>
            <w:tcBorders>
              <w:top w:val="single" w:sz="4" w:space="0" w:color="000000"/>
              <w:bottom w:val="single" w:sz="4" w:space="0" w:color="000000"/>
            </w:tcBorders>
            <w:vAlign w:val="center"/>
          </w:tcPr>
          <w:p w14:paraId="3C769D4F" w14:textId="7471646C" w:rsidR="00230A0A" w:rsidRPr="00D4309F" w:rsidRDefault="00230A0A" w:rsidP="00891147">
            <w:pPr>
              <w:pStyle w:val="Table-Text"/>
            </w:pPr>
            <w:r w:rsidRPr="00D4309F">
              <w:t>Marine</w:t>
            </w:r>
            <w:r w:rsidRPr="00D4309F">
              <w:rPr>
                <w:spacing w:val="-4"/>
              </w:rPr>
              <w:t xml:space="preserve"> </w:t>
            </w:r>
            <w:r w:rsidRPr="00D4309F">
              <w:t>fauna</w:t>
            </w:r>
          </w:p>
        </w:tc>
        <w:tc>
          <w:tcPr>
            <w:tcW w:w="1441" w:type="dxa"/>
            <w:tcBorders>
              <w:top w:val="single" w:sz="4" w:space="0" w:color="000000"/>
              <w:bottom w:val="single" w:sz="4" w:space="0" w:color="000000"/>
            </w:tcBorders>
            <w:vAlign w:val="center"/>
          </w:tcPr>
          <w:p w14:paraId="2D7DC0F5" w14:textId="3D267D71" w:rsidR="00230A0A" w:rsidRPr="00D4309F" w:rsidRDefault="00230A0A" w:rsidP="00891147">
            <w:pPr>
              <w:pStyle w:val="Table-Text"/>
              <w:rPr>
                <w:spacing w:val="-4"/>
              </w:rPr>
            </w:pPr>
            <w:r w:rsidRPr="00D4309F">
              <w:rPr>
                <w:spacing w:val="-4"/>
              </w:rPr>
              <w:t xml:space="preserve">Site </w:t>
            </w:r>
            <w:r w:rsidRPr="00D4309F">
              <w:t>attached species</w:t>
            </w:r>
          </w:p>
        </w:tc>
        <w:tc>
          <w:tcPr>
            <w:tcW w:w="3400" w:type="dxa"/>
            <w:tcBorders>
              <w:top w:val="single" w:sz="4" w:space="0" w:color="000000"/>
              <w:bottom w:val="single" w:sz="4" w:space="0" w:color="000000"/>
            </w:tcBorders>
            <w:vAlign w:val="center"/>
          </w:tcPr>
          <w:p w14:paraId="4C604800" w14:textId="08A73BC9" w:rsidR="00230A0A" w:rsidRPr="00D4309F" w:rsidRDefault="00230A0A" w:rsidP="00891147">
            <w:pPr>
              <w:pStyle w:val="Table-Bullet"/>
            </w:pPr>
            <w:r w:rsidRPr="00D4309F">
              <w:rPr>
                <w:spacing w:val="-2"/>
              </w:rPr>
              <w:t xml:space="preserve">Mortality/injury/behavioural </w:t>
            </w:r>
            <w:r w:rsidRPr="00D4309F">
              <w:t>response due to toxic effects due to</w:t>
            </w:r>
            <w:r w:rsidRPr="00D4309F">
              <w:rPr>
                <w:spacing w:val="-13"/>
              </w:rPr>
              <w:t xml:space="preserve"> </w:t>
            </w:r>
            <w:r w:rsidRPr="00D4309F">
              <w:t>release</w:t>
            </w:r>
            <w:r w:rsidRPr="00D4309F">
              <w:rPr>
                <w:spacing w:val="-12"/>
              </w:rPr>
              <w:t xml:space="preserve"> </w:t>
            </w:r>
            <w:r w:rsidRPr="00D4309F">
              <w:t>of</w:t>
            </w:r>
            <w:r w:rsidRPr="00D4309F">
              <w:rPr>
                <w:spacing w:val="-13"/>
              </w:rPr>
              <w:t xml:space="preserve"> </w:t>
            </w:r>
            <w:r w:rsidRPr="00D4309F">
              <w:t>contaminants/hypoxia</w:t>
            </w:r>
          </w:p>
        </w:tc>
        <w:tc>
          <w:tcPr>
            <w:tcW w:w="1233" w:type="dxa"/>
            <w:tcBorders>
              <w:top w:val="single" w:sz="4" w:space="0" w:color="000000"/>
              <w:bottom w:val="single" w:sz="4" w:space="0" w:color="000000"/>
            </w:tcBorders>
            <w:shd w:val="clear" w:color="auto" w:fill="92D050"/>
            <w:vAlign w:val="center"/>
          </w:tcPr>
          <w:p w14:paraId="24B70F67" w14:textId="12AD386F" w:rsidR="00230A0A" w:rsidRPr="00D4309F" w:rsidRDefault="00230A0A" w:rsidP="00F12A6F">
            <w:pPr>
              <w:pStyle w:val="TableParagraph"/>
              <w:ind w:left="166" w:right="164"/>
              <w:rPr>
                <w:b/>
                <w:color w:val="211E1F"/>
                <w:sz w:val="18"/>
              </w:rPr>
            </w:pPr>
            <w:r w:rsidRPr="00D4309F">
              <w:rPr>
                <w:b/>
                <w:color w:val="211E1F"/>
                <w:spacing w:val="-5"/>
                <w:sz w:val="18"/>
              </w:rPr>
              <w:t>Low</w:t>
            </w:r>
          </w:p>
        </w:tc>
        <w:tc>
          <w:tcPr>
            <w:tcW w:w="2889" w:type="dxa"/>
            <w:tcBorders>
              <w:top w:val="single" w:sz="4" w:space="0" w:color="000000"/>
              <w:bottom w:val="single" w:sz="4" w:space="0" w:color="000000"/>
            </w:tcBorders>
            <w:vAlign w:val="center"/>
          </w:tcPr>
          <w:p w14:paraId="1A5AA676" w14:textId="77777777" w:rsidR="00230A0A" w:rsidRPr="00D4309F" w:rsidRDefault="00230A0A" w:rsidP="00891147">
            <w:pPr>
              <w:pStyle w:val="Table-Bullet"/>
            </w:pPr>
            <w:r w:rsidRPr="00D4309F">
              <w:t>Dredge</w:t>
            </w:r>
            <w:r w:rsidRPr="00D4309F">
              <w:rPr>
                <w:spacing w:val="-13"/>
              </w:rPr>
              <w:t xml:space="preserve"> </w:t>
            </w:r>
            <w:r w:rsidRPr="00D4309F">
              <w:t>sediments</w:t>
            </w:r>
            <w:r w:rsidRPr="00D4309F">
              <w:rPr>
                <w:spacing w:val="-12"/>
              </w:rPr>
              <w:t xml:space="preserve"> </w:t>
            </w:r>
            <w:r w:rsidRPr="00D4309F">
              <w:t>likely</w:t>
            </w:r>
            <w:r w:rsidRPr="00D4309F">
              <w:rPr>
                <w:spacing w:val="-13"/>
              </w:rPr>
              <w:t xml:space="preserve"> </w:t>
            </w:r>
            <w:r w:rsidRPr="00D4309F">
              <w:t>comprise clean marine sand free of contaminants with low organic matter content</w:t>
            </w:r>
          </w:p>
          <w:p w14:paraId="1DD6AF5F" w14:textId="22B0AFD2" w:rsidR="00230A0A" w:rsidRPr="00D4309F" w:rsidRDefault="00230A0A" w:rsidP="00891147">
            <w:pPr>
              <w:pStyle w:val="Table-Bullet"/>
            </w:pPr>
            <w:r w:rsidRPr="00D4309F">
              <w:t>Rock</w:t>
            </w:r>
            <w:r w:rsidRPr="00D4309F">
              <w:rPr>
                <w:spacing w:val="-10"/>
              </w:rPr>
              <w:t xml:space="preserve"> </w:t>
            </w:r>
            <w:r w:rsidRPr="00D4309F">
              <w:t>is</w:t>
            </w:r>
            <w:r w:rsidRPr="00D4309F">
              <w:rPr>
                <w:spacing w:val="-10"/>
              </w:rPr>
              <w:t xml:space="preserve"> </w:t>
            </w:r>
            <w:r w:rsidRPr="00D4309F">
              <w:t>likely</w:t>
            </w:r>
            <w:r w:rsidRPr="00D4309F">
              <w:rPr>
                <w:spacing w:val="-10"/>
              </w:rPr>
              <w:t xml:space="preserve"> </w:t>
            </w:r>
            <w:r w:rsidRPr="00D4309F">
              <w:t>to</w:t>
            </w:r>
            <w:r w:rsidRPr="00D4309F">
              <w:rPr>
                <w:spacing w:val="-11"/>
              </w:rPr>
              <w:t xml:space="preserve"> </w:t>
            </w:r>
            <w:r w:rsidRPr="00D4309F">
              <w:t xml:space="preserve">be </w:t>
            </w:r>
            <w:r w:rsidRPr="00D4309F">
              <w:rPr>
                <w:spacing w:val="-2"/>
              </w:rPr>
              <w:t>uncontaminated</w:t>
            </w:r>
          </w:p>
        </w:tc>
        <w:tc>
          <w:tcPr>
            <w:tcW w:w="1913" w:type="dxa"/>
            <w:tcBorders>
              <w:top w:val="single" w:sz="4" w:space="0" w:color="000000"/>
              <w:bottom w:val="single" w:sz="4" w:space="0" w:color="000000"/>
            </w:tcBorders>
            <w:vAlign w:val="center"/>
          </w:tcPr>
          <w:p w14:paraId="501297E4" w14:textId="6F55D28B" w:rsidR="00230A0A" w:rsidRPr="00D4309F" w:rsidRDefault="00230A0A" w:rsidP="00891147">
            <w:pPr>
              <w:pStyle w:val="Table-Bullet"/>
            </w:pPr>
            <w:r w:rsidRPr="00D4309F">
              <w:t>Assumption that suitable</w:t>
            </w:r>
            <w:r w:rsidRPr="00D4309F">
              <w:rPr>
                <w:spacing w:val="-15"/>
              </w:rPr>
              <w:t xml:space="preserve"> </w:t>
            </w:r>
            <w:r w:rsidRPr="00D4309F">
              <w:t>data</w:t>
            </w:r>
            <w:r w:rsidRPr="00D4309F">
              <w:rPr>
                <w:spacing w:val="-12"/>
              </w:rPr>
              <w:t xml:space="preserve"> </w:t>
            </w:r>
            <w:r w:rsidRPr="00D4309F">
              <w:t>exists to inform this risk</w:t>
            </w:r>
          </w:p>
        </w:tc>
        <w:tc>
          <w:tcPr>
            <w:tcW w:w="2399" w:type="dxa"/>
            <w:tcBorders>
              <w:top w:val="single" w:sz="4" w:space="0" w:color="000000"/>
              <w:bottom w:val="single" w:sz="4" w:space="0" w:color="000000"/>
            </w:tcBorders>
            <w:vAlign w:val="center"/>
          </w:tcPr>
          <w:p w14:paraId="7459F17F" w14:textId="4A7B14BC" w:rsidR="00230A0A" w:rsidRPr="00D4309F" w:rsidRDefault="00230A0A" w:rsidP="00891147">
            <w:pPr>
              <w:pStyle w:val="Table-Bullet"/>
            </w:pPr>
            <w:r w:rsidRPr="00D4309F">
              <w:rPr>
                <w:spacing w:val="-4"/>
              </w:rPr>
              <w:t>None</w:t>
            </w:r>
          </w:p>
        </w:tc>
      </w:tr>
      <w:tr w:rsidR="00F12A6F" w:rsidRPr="00D4309F" w14:paraId="4413ABBC" w14:textId="77777777" w:rsidTr="007E44C8">
        <w:trPr>
          <w:cantSplit/>
          <w:trHeight w:val="20"/>
        </w:trPr>
        <w:tc>
          <w:tcPr>
            <w:tcW w:w="1297" w:type="dxa"/>
            <w:tcBorders>
              <w:top w:val="single" w:sz="4" w:space="0" w:color="000000"/>
              <w:bottom w:val="single" w:sz="4" w:space="0" w:color="000000"/>
            </w:tcBorders>
            <w:vAlign w:val="center"/>
          </w:tcPr>
          <w:p w14:paraId="20C4EC10" w14:textId="4F5044E8" w:rsidR="00230A0A" w:rsidRPr="00D4309F" w:rsidRDefault="00230A0A" w:rsidP="00891147">
            <w:pPr>
              <w:pStyle w:val="Table-Text"/>
            </w:pPr>
            <w:r w:rsidRPr="00D4309F">
              <w:t>Marine</w:t>
            </w:r>
            <w:r w:rsidRPr="00D4309F">
              <w:rPr>
                <w:spacing w:val="-4"/>
              </w:rPr>
              <w:t xml:space="preserve"> </w:t>
            </w:r>
            <w:r w:rsidRPr="00D4309F">
              <w:t>fauna</w:t>
            </w:r>
          </w:p>
        </w:tc>
        <w:tc>
          <w:tcPr>
            <w:tcW w:w="1441" w:type="dxa"/>
            <w:tcBorders>
              <w:top w:val="single" w:sz="4" w:space="0" w:color="000000"/>
              <w:bottom w:val="single" w:sz="4" w:space="0" w:color="000000"/>
            </w:tcBorders>
            <w:vAlign w:val="center"/>
          </w:tcPr>
          <w:p w14:paraId="3DA0EC37" w14:textId="55706394" w:rsidR="00230A0A" w:rsidRPr="00D4309F" w:rsidRDefault="00230A0A" w:rsidP="00891147">
            <w:pPr>
              <w:pStyle w:val="Table-Text"/>
              <w:rPr>
                <w:spacing w:val="-4"/>
              </w:rPr>
            </w:pPr>
            <w:r w:rsidRPr="00D4309F">
              <w:t>Mobile species</w:t>
            </w:r>
          </w:p>
        </w:tc>
        <w:tc>
          <w:tcPr>
            <w:tcW w:w="3400" w:type="dxa"/>
            <w:tcBorders>
              <w:top w:val="single" w:sz="4" w:space="0" w:color="000000"/>
              <w:bottom w:val="single" w:sz="4" w:space="0" w:color="000000"/>
            </w:tcBorders>
            <w:vAlign w:val="center"/>
          </w:tcPr>
          <w:p w14:paraId="53A902CD" w14:textId="77777777" w:rsidR="00230A0A" w:rsidRPr="00D4309F" w:rsidRDefault="00230A0A" w:rsidP="00891147">
            <w:pPr>
              <w:pStyle w:val="Table-Bullet"/>
            </w:pPr>
            <w:r w:rsidRPr="00D4309F">
              <w:t>Vessel</w:t>
            </w:r>
            <w:r w:rsidRPr="00D4309F">
              <w:rPr>
                <w:spacing w:val="-5"/>
              </w:rPr>
              <w:t xml:space="preserve"> </w:t>
            </w:r>
            <w:r w:rsidRPr="00D4309F">
              <w:rPr>
                <w:spacing w:val="-2"/>
              </w:rPr>
              <w:t>collision</w:t>
            </w:r>
          </w:p>
          <w:p w14:paraId="15DD4ABE" w14:textId="77777777" w:rsidR="00230A0A" w:rsidRPr="00D4309F" w:rsidRDefault="00230A0A" w:rsidP="00891147">
            <w:pPr>
              <w:pStyle w:val="Table-Bullet"/>
            </w:pPr>
            <w:r w:rsidRPr="00D4309F">
              <w:t>Direct</w:t>
            </w:r>
            <w:r w:rsidRPr="00D4309F">
              <w:rPr>
                <w:spacing w:val="-13"/>
              </w:rPr>
              <w:t xml:space="preserve"> </w:t>
            </w:r>
            <w:r w:rsidRPr="00D4309F">
              <w:t>mortality/injury</w:t>
            </w:r>
            <w:r w:rsidRPr="00D4309F">
              <w:rPr>
                <w:spacing w:val="-12"/>
              </w:rPr>
              <w:t xml:space="preserve"> </w:t>
            </w:r>
            <w:r w:rsidRPr="00D4309F">
              <w:t>due</w:t>
            </w:r>
            <w:r w:rsidRPr="00D4309F">
              <w:rPr>
                <w:spacing w:val="-13"/>
              </w:rPr>
              <w:t xml:space="preserve"> </w:t>
            </w:r>
            <w:r w:rsidRPr="00D4309F">
              <w:t xml:space="preserve">to </w:t>
            </w:r>
            <w:r w:rsidRPr="00D4309F">
              <w:rPr>
                <w:spacing w:val="-2"/>
              </w:rPr>
              <w:t>dredging</w:t>
            </w:r>
          </w:p>
          <w:p w14:paraId="6192E1FB" w14:textId="65890D73" w:rsidR="00230A0A" w:rsidRPr="00D4309F" w:rsidRDefault="00230A0A" w:rsidP="00891147">
            <w:pPr>
              <w:pStyle w:val="Table-Bullet"/>
            </w:pPr>
            <w:r w:rsidRPr="00D4309F">
              <w:rPr>
                <w:spacing w:val="-2"/>
              </w:rPr>
              <w:t xml:space="preserve">Mortality/injury/behavioural </w:t>
            </w:r>
            <w:r w:rsidRPr="00D4309F">
              <w:t>response</w:t>
            </w:r>
            <w:r w:rsidRPr="00D4309F">
              <w:rPr>
                <w:spacing w:val="-8"/>
              </w:rPr>
              <w:t xml:space="preserve"> </w:t>
            </w:r>
            <w:r w:rsidRPr="00D4309F">
              <w:t>due</w:t>
            </w:r>
            <w:r w:rsidRPr="00D4309F">
              <w:rPr>
                <w:spacing w:val="-8"/>
              </w:rPr>
              <w:t xml:space="preserve"> </w:t>
            </w:r>
            <w:r w:rsidRPr="00D4309F">
              <w:t>to</w:t>
            </w:r>
            <w:r w:rsidRPr="00D4309F">
              <w:rPr>
                <w:spacing w:val="-8"/>
              </w:rPr>
              <w:t xml:space="preserve"> </w:t>
            </w:r>
            <w:r w:rsidRPr="00D4309F">
              <w:t>physical</w:t>
            </w:r>
            <w:r w:rsidRPr="00D4309F">
              <w:rPr>
                <w:spacing w:val="-8"/>
              </w:rPr>
              <w:t xml:space="preserve"> </w:t>
            </w:r>
            <w:r w:rsidRPr="00D4309F">
              <w:t>effects</w:t>
            </w:r>
            <w:r w:rsidRPr="00D4309F">
              <w:rPr>
                <w:spacing w:val="-8"/>
              </w:rPr>
              <w:t xml:space="preserve"> </w:t>
            </w:r>
            <w:r w:rsidRPr="00D4309F">
              <w:t xml:space="preserve">of </w:t>
            </w:r>
            <w:r w:rsidRPr="00D4309F">
              <w:rPr>
                <w:spacing w:val="-2"/>
              </w:rPr>
              <w:t>turbidity</w:t>
            </w:r>
          </w:p>
        </w:tc>
        <w:tc>
          <w:tcPr>
            <w:tcW w:w="1233" w:type="dxa"/>
            <w:tcBorders>
              <w:top w:val="single" w:sz="4" w:space="0" w:color="000000"/>
              <w:bottom w:val="single" w:sz="4" w:space="0" w:color="000000"/>
            </w:tcBorders>
            <w:shd w:val="clear" w:color="auto" w:fill="92D050"/>
            <w:vAlign w:val="center"/>
          </w:tcPr>
          <w:p w14:paraId="5AF43884" w14:textId="55D5D7FB" w:rsidR="00230A0A" w:rsidRPr="00D4309F" w:rsidRDefault="00230A0A" w:rsidP="00F12A6F">
            <w:pPr>
              <w:pStyle w:val="TableParagraph"/>
              <w:ind w:left="166" w:right="164"/>
              <w:rPr>
                <w:b/>
                <w:color w:val="211E1F"/>
                <w:sz w:val="18"/>
              </w:rPr>
            </w:pPr>
            <w:r w:rsidRPr="00D4309F">
              <w:rPr>
                <w:b/>
                <w:color w:val="211E1F"/>
                <w:spacing w:val="-5"/>
                <w:sz w:val="18"/>
              </w:rPr>
              <w:t>Low</w:t>
            </w:r>
          </w:p>
        </w:tc>
        <w:tc>
          <w:tcPr>
            <w:tcW w:w="2889" w:type="dxa"/>
            <w:tcBorders>
              <w:top w:val="single" w:sz="4" w:space="0" w:color="000000"/>
              <w:bottom w:val="single" w:sz="4" w:space="0" w:color="000000"/>
            </w:tcBorders>
            <w:vAlign w:val="center"/>
          </w:tcPr>
          <w:p w14:paraId="66291417" w14:textId="07CBA4E9" w:rsidR="00230A0A" w:rsidRPr="00D4309F" w:rsidRDefault="00230A0A" w:rsidP="00891147">
            <w:pPr>
              <w:pStyle w:val="Table-Bullet"/>
            </w:pPr>
            <w:r w:rsidRPr="00D4309F">
              <w:t>Mobile species including the critically</w:t>
            </w:r>
            <w:r w:rsidRPr="00D4309F">
              <w:rPr>
                <w:spacing w:val="-13"/>
              </w:rPr>
              <w:t xml:space="preserve"> </w:t>
            </w:r>
            <w:r w:rsidRPr="00D4309F">
              <w:t>endangered</w:t>
            </w:r>
            <w:r w:rsidRPr="00D4309F">
              <w:rPr>
                <w:spacing w:val="-12"/>
              </w:rPr>
              <w:t xml:space="preserve"> </w:t>
            </w:r>
            <w:r w:rsidRPr="00D4309F">
              <w:t>Grey</w:t>
            </w:r>
            <w:r w:rsidRPr="00D4309F">
              <w:rPr>
                <w:spacing w:val="-13"/>
              </w:rPr>
              <w:t xml:space="preserve"> </w:t>
            </w:r>
            <w:r w:rsidRPr="00D4309F">
              <w:t>Nurse Shark and the conservation dependent scalloped hammerhead will actively avoid areas of activity.</w:t>
            </w:r>
          </w:p>
        </w:tc>
        <w:tc>
          <w:tcPr>
            <w:tcW w:w="1913" w:type="dxa"/>
            <w:tcBorders>
              <w:top w:val="single" w:sz="4" w:space="0" w:color="000000"/>
              <w:bottom w:val="single" w:sz="4" w:space="0" w:color="000000"/>
            </w:tcBorders>
            <w:vAlign w:val="center"/>
          </w:tcPr>
          <w:p w14:paraId="50F4A506" w14:textId="2A822143" w:rsidR="00230A0A" w:rsidRPr="00D4309F" w:rsidRDefault="00230A0A" w:rsidP="00891147">
            <w:pPr>
              <w:pStyle w:val="Table-Bullet"/>
            </w:pPr>
            <w:r w:rsidRPr="00D4309F">
              <w:rPr>
                <w:color w:val="211E1F"/>
                <w:spacing w:val="-4"/>
              </w:rPr>
              <w:t>None</w:t>
            </w:r>
          </w:p>
        </w:tc>
        <w:tc>
          <w:tcPr>
            <w:tcW w:w="2399" w:type="dxa"/>
            <w:tcBorders>
              <w:top w:val="single" w:sz="4" w:space="0" w:color="000000"/>
              <w:bottom w:val="single" w:sz="4" w:space="0" w:color="000000"/>
            </w:tcBorders>
            <w:vAlign w:val="center"/>
          </w:tcPr>
          <w:p w14:paraId="546BBBE2" w14:textId="5D42DE08" w:rsidR="00230A0A" w:rsidRPr="00D4309F" w:rsidRDefault="00230A0A" w:rsidP="00891147">
            <w:pPr>
              <w:pStyle w:val="Table-Bullet"/>
            </w:pPr>
            <w:r w:rsidRPr="00D4309F">
              <w:rPr>
                <w:color w:val="211E1F"/>
                <w:spacing w:val="-4"/>
              </w:rPr>
              <w:t>None</w:t>
            </w:r>
          </w:p>
        </w:tc>
      </w:tr>
      <w:tr w:rsidR="00F12A6F" w:rsidRPr="00D4309F" w14:paraId="0C64E64F" w14:textId="77777777" w:rsidTr="007E44C8">
        <w:trPr>
          <w:cantSplit/>
          <w:trHeight w:val="20"/>
        </w:trPr>
        <w:tc>
          <w:tcPr>
            <w:tcW w:w="1297" w:type="dxa"/>
            <w:tcBorders>
              <w:top w:val="single" w:sz="4" w:space="0" w:color="000000"/>
              <w:bottom w:val="single" w:sz="4" w:space="0" w:color="000000"/>
            </w:tcBorders>
            <w:vAlign w:val="center"/>
          </w:tcPr>
          <w:p w14:paraId="23448D0E" w14:textId="623D597E" w:rsidR="00230A0A" w:rsidRPr="00D4309F" w:rsidRDefault="00230A0A" w:rsidP="00891147">
            <w:pPr>
              <w:pStyle w:val="Table-Text"/>
            </w:pPr>
            <w:r w:rsidRPr="00D4309F">
              <w:lastRenderedPageBreak/>
              <w:t>Marine</w:t>
            </w:r>
            <w:r w:rsidRPr="00D4309F">
              <w:rPr>
                <w:spacing w:val="-4"/>
              </w:rPr>
              <w:t xml:space="preserve"> </w:t>
            </w:r>
            <w:r w:rsidRPr="00D4309F">
              <w:t>fauna</w:t>
            </w:r>
          </w:p>
        </w:tc>
        <w:tc>
          <w:tcPr>
            <w:tcW w:w="1441" w:type="dxa"/>
            <w:tcBorders>
              <w:top w:val="single" w:sz="4" w:space="0" w:color="000000"/>
              <w:bottom w:val="single" w:sz="4" w:space="0" w:color="000000"/>
            </w:tcBorders>
            <w:vAlign w:val="center"/>
          </w:tcPr>
          <w:p w14:paraId="17E40EC8" w14:textId="669F3493" w:rsidR="00230A0A" w:rsidRPr="00D4309F" w:rsidRDefault="00230A0A" w:rsidP="00891147">
            <w:pPr>
              <w:pStyle w:val="Table-Text"/>
              <w:rPr>
                <w:spacing w:val="-4"/>
              </w:rPr>
            </w:pPr>
            <w:r w:rsidRPr="00D4309F">
              <w:t>Mobile species</w:t>
            </w:r>
          </w:p>
        </w:tc>
        <w:tc>
          <w:tcPr>
            <w:tcW w:w="3400" w:type="dxa"/>
            <w:tcBorders>
              <w:top w:val="single" w:sz="4" w:space="0" w:color="000000"/>
              <w:bottom w:val="single" w:sz="4" w:space="0" w:color="000000"/>
            </w:tcBorders>
            <w:vAlign w:val="center"/>
          </w:tcPr>
          <w:p w14:paraId="2317C714" w14:textId="04B0EAA2" w:rsidR="00230A0A" w:rsidRPr="00D4309F" w:rsidRDefault="00230A0A" w:rsidP="00891147">
            <w:pPr>
              <w:pStyle w:val="Table-Bullet"/>
            </w:pPr>
            <w:r w:rsidRPr="00D4309F">
              <w:rPr>
                <w:spacing w:val="-2"/>
              </w:rPr>
              <w:t xml:space="preserve">Mortality/injury/behavioural </w:t>
            </w:r>
            <w:r w:rsidRPr="00D4309F">
              <w:t>response due to toxic effects due to</w:t>
            </w:r>
            <w:r w:rsidRPr="00D4309F">
              <w:rPr>
                <w:spacing w:val="-13"/>
              </w:rPr>
              <w:t xml:space="preserve"> </w:t>
            </w:r>
            <w:r w:rsidRPr="00D4309F">
              <w:t>release</w:t>
            </w:r>
            <w:r w:rsidRPr="00D4309F">
              <w:rPr>
                <w:spacing w:val="-12"/>
              </w:rPr>
              <w:t xml:space="preserve"> </w:t>
            </w:r>
            <w:r w:rsidRPr="00D4309F">
              <w:t>of</w:t>
            </w:r>
            <w:r w:rsidRPr="00D4309F">
              <w:rPr>
                <w:spacing w:val="-13"/>
              </w:rPr>
              <w:t xml:space="preserve"> </w:t>
            </w:r>
            <w:r w:rsidRPr="00D4309F">
              <w:t>contaminants/hypoxia</w:t>
            </w:r>
          </w:p>
        </w:tc>
        <w:tc>
          <w:tcPr>
            <w:tcW w:w="1233" w:type="dxa"/>
            <w:tcBorders>
              <w:top w:val="single" w:sz="4" w:space="0" w:color="000000"/>
              <w:bottom w:val="single" w:sz="4" w:space="0" w:color="000000"/>
            </w:tcBorders>
            <w:shd w:val="clear" w:color="auto" w:fill="92D050"/>
            <w:vAlign w:val="center"/>
          </w:tcPr>
          <w:p w14:paraId="623D1B7C" w14:textId="12260CAA" w:rsidR="00230A0A" w:rsidRPr="00D4309F" w:rsidRDefault="00230A0A" w:rsidP="00F12A6F">
            <w:pPr>
              <w:pStyle w:val="TableParagraph"/>
              <w:ind w:left="166" w:right="164"/>
              <w:rPr>
                <w:b/>
                <w:color w:val="211E1F"/>
                <w:sz w:val="18"/>
              </w:rPr>
            </w:pPr>
            <w:r w:rsidRPr="00D4309F">
              <w:rPr>
                <w:b/>
                <w:color w:val="211E1F"/>
                <w:spacing w:val="-5"/>
                <w:sz w:val="18"/>
              </w:rPr>
              <w:t>Low</w:t>
            </w:r>
          </w:p>
        </w:tc>
        <w:tc>
          <w:tcPr>
            <w:tcW w:w="2889" w:type="dxa"/>
            <w:tcBorders>
              <w:top w:val="single" w:sz="4" w:space="0" w:color="000000"/>
              <w:bottom w:val="single" w:sz="4" w:space="0" w:color="000000"/>
            </w:tcBorders>
            <w:vAlign w:val="center"/>
          </w:tcPr>
          <w:p w14:paraId="5D54605A" w14:textId="58C097FE" w:rsidR="00230A0A" w:rsidRPr="00D4309F" w:rsidRDefault="00230A0A" w:rsidP="00891147">
            <w:pPr>
              <w:pStyle w:val="Table-Bullet"/>
            </w:pPr>
            <w:r w:rsidRPr="00D4309F">
              <w:t>Dredge</w:t>
            </w:r>
            <w:r w:rsidRPr="00D4309F">
              <w:rPr>
                <w:spacing w:val="-13"/>
              </w:rPr>
              <w:t xml:space="preserve"> </w:t>
            </w:r>
            <w:r w:rsidRPr="00D4309F">
              <w:t>sediments</w:t>
            </w:r>
            <w:r w:rsidRPr="00D4309F">
              <w:rPr>
                <w:spacing w:val="-12"/>
              </w:rPr>
              <w:t xml:space="preserve"> </w:t>
            </w:r>
            <w:r w:rsidRPr="00D4309F">
              <w:t>likely</w:t>
            </w:r>
            <w:r w:rsidRPr="00D4309F">
              <w:rPr>
                <w:spacing w:val="-13"/>
              </w:rPr>
              <w:t xml:space="preserve"> </w:t>
            </w:r>
            <w:r w:rsidRPr="00D4309F">
              <w:t>comprise clean marine sand free of contaminants with low organic matter content</w:t>
            </w:r>
          </w:p>
        </w:tc>
        <w:tc>
          <w:tcPr>
            <w:tcW w:w="1913" w:type="dxa"/>
            <w:tcBorders>
              <w:top w:val="single" w:sz="4" w:space="0" w:color="000000"/>
              <w:bottom w:val="single" w:sz="4" w:space="0" w:color="000000"/>
            </w:tcBorders>
            <w:vAlign w:val="center"/>
          </w:tcPr>
          <w:p w14:paraId="090143A7" w14:textId="6F93DAFD" w:rsidR="00230A0A" w:rsidRPr="00D4309F" w:rsidRDefault="00230A0A" w:rsidP="00891147">
            <w:pPr>
              <w:pStyle w:val="Table-Bullet"/>
            </w:pPr>
            <w:r w:rsidRPr="00D4309F">
              <w:t>Assumption that suitable</w:t>
            </w:r>
            <w:r w:rsidRPr="00D4309F">
              <w:rPr>
                <w:spacing w:val="-15"/>
              </w:rPr>
              <w:t xml:space="preserve"> </w:t>
            </w:r>
            <w:r w:rsidRPr="00D4309F">
              <w:t>data</w:t>
            </w:r>
            <w:r w:rsidRPr="00D4309F">
              <w:rPr>
                <w:spacing w:val="-12"/>
              </w:rPr>
              <w:t xml:space="preserve"> </w:t>
            </w:r>
            <w:r w:rsidRPr="00D4309F">
              <w:t>exists to inform this risk</w:t>
            </w:r>
          </w:p>
        </w:tc>
        <w:tc>
          <w:tcPr>
            <w:tcW w:w="2399" w:type="dxa"/>
            <w:tcBorders>
              <w:top w:val="single" w:sz="4" w:space="0" w:color="000000"/>
              <w:bottom w:val="single" w:sz="4" w:space="0" w:color="000000"/>
            </w:tcBorders>
            <w:vAlign w:val="center"/>
          </w:tcPr>
          <w:p w14:paraId="108D00D0" w14:textId="16451572" w:rsidR="00230A0A" w:rsidRPr="00D4309F" w:rsidRDefault="00230A0A" w:rsidP="00891147">
            <w:pPr>
              <w:pStyle w:val="Table-Bullet"/>
            </w:pPr>
            <w:r w:rsidRPr="00D4309F">
              <w:rPr>
                <w:color w:val="211E1F"/>
                <w:spacing w:val="-4"/>
              </w:rPr>
              <w:t>None</w:t>
            </w:r>
          </w:p>
        </w:tc>
      </w:tr>
      <w:tr w:rsidR="00F12A6F" w:rsidRPr="00D4309F" w14:paraId="577E4D39" w14:textId="77777777" w:rsidTr="007E44C8">
        <w:trPr>
          <w:cantSplit/>
          <w:trHeight w:val="20"/>
        </w:trPr>
        <w:tc>
          <w:tcPr>
            <w:tcW w:w="1297" w:type="dxa"/>
            <w:tcBorders>
              <w:top w:val="single" w:sz="4" w:space="0" w:color="000000"/>
              <w:bottom w:val="single" w:sz="4" w:space="0" w:color="000000"/>
            </w:tcBorders>
            <w:vAlign w:val="center"/>
          </w:tcPr>
          <w:p w14:paraId="5B45B3AC" w14:textId="735481DD" w:rsidR="00230A0A" w:rsidRPr="00D4309F" w:rsidRDefault="00230A0A" w:rsidP="00891147">
            <w:pPr>
              <w:pStyle w:val="Table-Text"/>
            </w:pPr>
            <w:r w:rsidRPr="00D4309F">
              <w:t>Benthic habitats</w:t>
            </w:r>
          </w:p>
        </w:tc>
        <w:tc>
          <w:tcPr>
            <w:tcW w:w="1441" w:type="dxa"/>
            <w:tcBorders>
              <w:top w:val="single" w:sz="4" w:space="0" w:color="000000"/>
              <w:bottom w:val="single" w:sz="4" w:space="0" w:color="000000"/>
            </w:tcBorders>
            <w:vAlign w:val="center"/>
          </w:tcPr>
          <w:p w14:paraId="1C0AC0F4" w14:textId="0C06F81F" w:rsidR="00230A0A" w:rsidRPr="00D4309F" w:rsidRDefault="00230A0A" w:rsidP="00891147">
            <w:pPr>
              <w:pStyle w:val="Table-Text"/>
              <w:rPr>
                <w:spacing w:val="-4"/>
              </w:rPr>
            </w:pPr>
            <w:r w:rsidRPr="00D4309F">
              <w:t>Rocky</w:t>
            </w:r>
            <w:r w:rsidRPr="00D4309F">
              <w:rPr>
                <w:spacing w:val="-13"/>
              </w:rPr>
              <w:t xml:space="preserve"> </w:t>
            </w:r>
            <w:r w:rsidRPr="00D4309F">
              <w:t>reef habitat, seagrass and</w:t>
            </w:r>
            <w:r w:rsidRPr="00D4309F">
              <w:rPr>
                <w:spacing w:val="-9"/>
              </w:rPr>
              <w:t xml:space="preserve"> </w:t>
            </w:r>
            <w:r w:rsidRPr="00D4309F">
              <w:t>corals</w:t>
            </w:r>
          </w:p>
        </w:tc>
        <w:tc>
          <w:tcPr>
            <w:tcW w:w="3400" w:type="dxa"/>
            <w:tcBorders>
              <w:top w:val="single" w:sz="4" w:space="0" w:color="000000"/>
              <w:bottom w:val="single" w:sz="4" w:space="0" w:color="000000"/>
            </w:tcBorders>
            <w:vAlign w:val="center"/>
          </w:tcPr>
          <w:p w14:paraId="0269620E" w14:textId="77777777" w:rsidR="00230A0A" w:rsidRPr="00D4309F" w:rsidRDefault="00230A0A" w:rsidP="00891147">
            <w:pPr>
              <w:pStyle w:val="Table-Bullet"/>
            </w:pPr>
            <w:r w:rsidRPr="00D4309F">
              <w:t>Direct</w:t>
            </w:r>
            <w:r w:rsidRPr="00D4309F">
              <w:rPr>
                <w:spacing w:val="-2"/>
              </w:rPr>
              <w:t xml:space="preserve"> </w:t>
            </w:r>
            <w:r w:rsidRPr="00D4309F">
              <w:t>removal</w:t>
            </w:r>
            <w:r w:rsidRPr="00D4309F">
              <w:rPr>
                <w:spacing w:val="-1"/>
              </w:rPr>
              <w:t xml:space="preserve"> </w:t>
            </w:r>
            <w:r w:rsidRPr="00D4309F">
              <w:t>due</w:t>
            </w:r>
            <w:r w:rsidRPr="00D4309F">
              <w:rPr>
                <w:spacing w:val="-3"/>
              </w:rPr>
              <w:t xml:space="preserve"> </w:t>
            </w:r>
            <w:r w:rsidRPr="00D4309F">
              <w:t>to</w:t>
            </w:r>
            <w:r w:rsidRPr="00D4309F">
              <w:rPr>
                <w:spacing w:val="-2"/>
              </w:rPr>
              <w:t xml:space="preserve"> dredging</w:t>
            </w:r>
          </w:p>
          <w:p w14:paraId="1FE36DAF" w14:textId="77777777" w:rsidR="00230A0A" w:rsidRPr="00D4309F" w:rsidRDefault="00230A0A" w:rsidP="00891147">
            <w:pPr>
              <w:pStyle w:val="Table-Bullet"/>
            </w:pPr>
            <w:r w:rsidRPr="00D4309F">
              <w:t>Generation</w:t>
            </w:r>
            <w:r w:rsidRPr="00D4309F">
              <w:rPr>
                <w:spacing w:val="-4"/>
              </w:rPr>
              <w:t xml:space="preserve"> </w:t>
            </w:r>
            <w:r w:rsidRPr="00D4309F">
              <w:t>of</w:t>
            </w:r>
            <w:r w:rsidRPr="00D4309F">
              <w:rPr>
                <w:spacing w:val="-3"/>
              </w:rPr>
              <w:t xml:space="preserve"> </w:t>
            </w:r>
            <w:r w:rsidRPr="00D4309F">
              <w:rPr>
                <w:spacing w:val="-2"/>
              </w:rPr>
              <w:t>turbidity</w:t>
            </w:r>
          </w:p>
          <w:p w14:paraId="63990C0F" w14:textId="72F387B3" w:rsidR="00230A0A" w:rsidRPr="00D4309F" w:rsidRDefault="00230A0A" w:rsidP="00891147">
            <w:pPr>
              <w:pStyle w:val="Table-Bullet"/>
            </w:pPr>
            <w:r w:rsidRPr="00D4309F">
              <w:rPr>
                <w:spacing w:val="-2"/>
              </w:rPr>
              <w:t>Smothering</w:t>
            </w:r>
          </w:p>
        </w:tc>
        <w:tc>
          <w:tcPr>
            <w:tcW w:w="1233" w:type="dxa"/>
            <w:tcBorders>
              <w:top w:val="single" w:sz="4" w:space="0" w:color="000000"/>
              <w:bottom w:val="single" w:sz="4" w:space="0" w:color="000000"/>
            </w:tcBorders>
            <w:shd w:val="clear" w:color="auto" w:fill="FFC000"/>
            <w:vAlign w:val="center"/>
          </w:tcPr>
          <w:p w14:paraId="017076DE" w14:textId="03A9C68E" w:rsidR="00230A0A" w:rsidRPr="00D4309F" w:rsidRDefault="00230A0A" w:rsidP="00F12A6F">
            <w:pPr>
              <w:pStyle w:val="TableParagraph"/>
              <w:ind w:left="166" w:right="164"/>
              <w:rPr>
                <w:b/>
                <w:color w:val="211E1F"/>
                <w:sz w:val="18"/>
              </w:rPr>
            </w:pPr>
            <w:r w:rsidRPr="00D4309F">
              <w:rPr>
                <w:b/>
                <w:color w:val="211E1F"/>
                <w:sz w:val="18"/>
              </w:rPr>
              <w:t>High</w:t>
            </w:r>
            <w:r w:rsidRPr="00D4309F">
              <w:rPr>
                <w:b/>
                <w:color w:val="211E1F"/>
                <w:spacing w:val="-13"/>
                <w:sz w:val="18"/>
              </w:rPr>
              <w:t xml:space="preserve"> </w:t>
            </w:r>
            <w:r w:rsidRPr="00D4309F">
              <w:rPr>
                <w:b/>
                <w:color w:val="211E1F"/>
                <w:sz w:val="18"/>
              </w:rPr>
              <w:t xml:space="preserve">(for </w:t>
            </w:r>
            <w:r w:rsidRPr="00D4309F">
              <w:rPr>
                <w:b/>
                <w:color w:val="211E1F"/>
                <w:spacing w:val="-4"/>
                <w:sz w:val="18"/>
              </w:rPr>
              <w:t xml:space="preserve">rock </w:t>
            </w:r>
            <w:r w:rsidRPr="00D4309F">
              <w:rPr>
                <w:b/>
                <w:color w:val="211E1F"/>
                <w:spacing w:val="-2"/>
                <w:sz w:val="18"/>
              </w:rPr>
              <w:t>cutting)</w:t>
            </w:r>
          </w:p>
        </w:tc>
        <w:tc>
          <w:tcPr>
            <w:tcW w:w="2889" w:type="dxa"/>
            <w:tcBorders>
              <w:top w:val="single" w:sz="4" w:space="0" w:color="000000"/>
              <w:bottom w:val="single" w:sz="4" w:space="0" w:color="000000"/>
            </w:tcBorders>
            <w:vAlign w:val="center"/>
          </w:tcPr>
          <w:p w14:paraId="2332F80D" w14:textId="77777777" w:rsidR="00230A0A" w:rsidRPr="00D4309F" w:rsidRDefault="00230A0A" w:rsidP="00891147">
            <w:pPr>
              <w:pStyle w:val="Table-Bullet"/>
            </w:pPr>
            <w:r w:rsidRPr="00D4309F">
              <w:t>The</w:t>
            </w:r>
            <w:r w:rsidRPr="00D4309F">
              <w:rPr>
                <w:spacing w:val="-10"/>
              </w:rPr>
              <w:t xml:space="preserve"> </w:t>
            </w:r>
            <w:r w:rsidRPr="00D4309F">
              <w:t>dredge</w:t>
            </w:r>
            <w:r w:rsidRPr="00D4309F">
              <w:rPr>
                <w:spacing w:val="-10"/>
              </w:rPr>
              <w:t xml:space="preserve"> </w:t>
            </w:r>
            <w:r w:rsidRPr="00D4309F">
              <w:t>area</w:t>
            </w:r>
            <w:r w:rsidRPr="00D4309F">
              <w:rPr>
                <w:spacing w:val="-10"/>
              </w:rPr>
              <w:t xml:space="preserve"> </w:t>
            </w:r>
            <w:r w:rsidRPr="00D4309F">
              <w:t>has</w:t>
            </w:r>
            <w:r w:rsidRPr="00D4309F">
              <w:rPr>
                <w:spacing w:val="-10"/>
              </w:rPr>
              <w:t xml:space="preserve"> </w:t>
            </w:r>
            <w:r w:rsidRPr="00D4309F">
              <w:t>been previously dredged and comprises bare sand</w:t>
            </w:r>
          </w:p>
          <w:p w14:paraId="7562C29E" w14:textId="77777777" w:rsidR="00230A0A" w:rsidRPr="00D4309F" w:rsidRDefault="00230A0A" w:rsidP="00891147">
            <w:pPr>
              <w:pStyle w:val="Table-Bullet"/>
            </w:pPr>
            <w:r w:rsidRPr="00D4309F">
              <w:t>Further</w:t>
            </w:r>
            <w:r w:rsidRPr="00D4309F">
              <w:rPr>
                <w:spacing w:val="-10"/>
              </w:rPr>
              <w:t xml:space="preserve"> </w:t>
            </w:r>
            <w:r w:rsidRPr="00D4309F">
              <w:t>assessment</w:t>
            </w:r>
            <w:r w:rsidRPr="00D4309F">
              <w:rPr>
                <w:spacing w:val="-10"/>
              </w:rPr>
              <w:t xml:space="preserve"> </w:t>
            </w:r>
            <w:r w:rsidRPr="00D4309F">
              <w:t>is</w:t>
            </w:r>
            <w:r w:rsidRPr="00D4309F">
              <w:rPr>
                <w:spacing w:val="-10"/>
              </w:rPr>
              <w:t xml:space="preserve"> </w:t>
            </w:r>
            <w:r w:rsidRPr="00D4309F">
              <w:t>required</w:t>
            </w:r>
            <w:r w:rsidRPr="00D4309F">
              <w:rPr>
                <w:spacing w:val="-10"/>
              </w:rPr>
              <w:t xml:space="preserve"> </w:t>
            </w:r>
            <w:r w:rsidRPr="00D4309F">
              <w:t>to determine</w:t>
            </w:r>
            <w:r w:rsidRPr="00D4309F">
              <w:rPr>
                <w:spacing w:val="-3"/>
              </w:rPr>
              <w:t xml:space="preserve"> </w:t>
            </w:r>
            <w:r w:rsidRPr="00D4309F">
              <w:t>if</w:t>
            </w:r>
            <w:r w:rsidRPr="00D4309F">
              <w:rPr>
                <w:spacing w:val="-2"/>
              </w:rPr>
              <w:t xml:space="preserve"> </w:t>
            </w:r>
            <w:r w:rsidRPr="00D4309F">
              <w:t>the</w:t>
            </w:r>
            <w:r w:rsidRPr="00D4309F">
              <w:rPr>
                <w:spacing w:val="-3"/>
              </w:rPr>
              <w:t xml:space="preserve"> </w:t>
            </w:r>
            <w:r w:rsidRPr="00D4309F">
              <w:t>potential</w:t>
            </w:r>
            <w:r w:rsidRPr="00D4309F">
              <w:rPr>
                <w:spacing w:val="-2"/>
              </w:rPr>
              <w:t xml:space="preserve"> </w:t>
            </w:r>
            <w:r w:rsidRPr="00D4309F">
              <w:t>turbidity generated will impact sensitive marine habitats</w:t>
            </w:r>
          </w:p>
          <w:p w14:paraId="68D11491" w14:textId="77777777" w:rsidR="00230A0A" w:rsidRPr="00D4309F" w:rsidRDefault="00230A0A" w:rsidP="00891147">
            <w:pPr>
              <w:pStyle w:val="Table-Bullet"/>
            </w:pPr>
            <w:r w:rsidRPr="00D4309F">
              <w:t>Dredging</w:t>
            </w:r>
            <w:r w:rsidRPr="00D4309F">
              <w:rPr>
                <w:spacing w:val="-8"/>
              </w:rPr>
              <w:t xml:space="preserve"> </w:t>
            </w:r>
            <w:r w:rsidRPr="00D4309F">
              <w:t>is</w:t>
            </w:r>
            <w:r w:rsidRPr="00D4309F">
              <w:rPr>
                <w:spacing w:val="-7"/>
              </w:rPr>
              <w:t xml:space="preserve"> </w:t>
            </w:r>
            <w:r w:rsidRPr="00D4309F">
              <w:t>in</w:t>
            </w:r>
            <w:r w:rsidRPr="00D4309F">
              <w:rPr>
                <w:spacing w:val="-7"/>
              </w:rPr>
              <w:t xml:space="preserve"> </w:t>
            </w:r>
            <w:r w:rsidRPr="00D4309F">
              <w:t>a</w:t>
            </w:r>
            <w:r w:rsidRPr="00D4309F">
              <w:rPr>
                <w:spacing w:val="-8"/>
              </w:rPr>
              <w:t xml:space="preserve"> </w:t>
            </w:r>
            <w:r w:rsidRPr="00D4309F">
              <w:t>dynamic,</w:t>
            </w:r>
            <w:r w:rsidRPr="00D4309F">
              <w:rPr>
                <w:spacing w:val="-7"/>
              </w:rPr>
              <w:t xml:space="preserve"> </w:t>
            </w:r>
            <w:r w:rsidRPr="00D4309F">
              <w:t>open ocean</w:t>
            </w:r>
            <w:r w:rsidRPr="00D4309F">
              <w:rPr>
                <w:spacing w:val="-10"/>
              </w:rPr>
              <w:t xml:space="preserve"> </w:t>
            </w:r>
            <w:r w:rsidRPr="00D4309F">
              <w:t>environment,</w:t>
            </w:r>
            <w:r w:rsidRPr="00D4309F">
              <w:rPr>
                <w:spacing w:val="-9"/>
              </w:rPr>
              <w:t xml:space="preserve"> </w:t>
            </w:r>
            <w:r w:rsidRPr="00D4309F">
              <w:t>any</w:t>
            </w:r>
            <w:r w:rsidRPr="00D4309F">
              <w:rPr>
                <w:spacing w:val="-9"/>
              </w:rPr>
              <w:t xml:space="preserve"> </w:t>
            </w:r>
            <w:r w:rsidRPr="00D4309F">
              <w:t>plume will likely dissipate quickly</w:t>
            </w:r>
          </w:p>
          <w:p w14:paraId="528CC6D7" w14:textId="380EF18B" w:rsidR="00230A0A" w:rsidRPr="00D4309F" w:rsidRDefault="00230A0A" w:rsidP="00891147">
            <w:pPr>
              <w:pStyle w:val="Table-Bullet"/>
            </w:pPr>
            <w:r w:rsidRPr="00D4309F">
              <w:t>Turbidity is likely to be more extensive</w:t>
            </w:r>
            <w:r w:rsidRPr="00D4309F">
              <w:rPr>
                <w:spacing w:val="-13"/>
              </w:rPr>
              <w:t xml:space="preserve"> </w:t>
            </w:r>
            <w:r w:rsidRPr="00D4309F">
              <w:t>and</w:t>
            </w:r>
            <w:r w:rsidRPr="00D4309F">
              <w:rPr>
                <w:spacing w:val="-12"/>
              </w:rPr>
              <w:t xml:space="preserve"> </w:t>
            </w:r>
            <w:r w:rsidRPr="00D4309F">
              <w:t>persistent</w:t>
            </w:r>
            <w:r w:rsidRPr="00D4309F">
              <w:rPr>
                <w:spacing w:val="-13"/>
              </w:rPr>
              <w:t xml:space="preserve"> </w:t>
            </w:r>
            <w:r w:rsidRPr="00D4309F">
              <w:t>during rock cutting works</w:t>
            </w:r>
          </w:p>
        </w:tc>
        <w:tc>
          <w:tcPr>
            <w:tcW w:w="1913" w:type="dxa"/>
            <w:tcBorders>
              <w:top w:val="single" w:sz="4" w:space="0" w:color="000000"/>
              <w:bottom w:val="single" w:sz="4" w:space="0" w:color="000000"/>
            </w:tcBorders>
            <w:vAlign w:val="center"/>
          </w:tcPr>
          <w:p w14:paraId="3055266E" w14:textId="77777777" w:rsidR="00230A0A" w:rsidRPr="00D4309F" w:rsidRDefault="00230A0A" w:rsidP="00891147">
            <w:pPr>
              <w:pStyle w:val="Table-Bullet"/>
            </w:pPr>
            <w:r w:rsidRPr="00D4309F">
              <w:t>Benthic habitat assessment</w:t>
            </w:r>
            <w:r w:rsidRPr="00D4309F">
              <w:rPr>
                <w:spacing w:val="-15"/>
              </w:rPr>
              <w:t xml:space="preserve"> </w:t>
            </w:r>
            <w:r w:rsidRPr="00D4309F">
              <w:t>in</w:t>
            </w:r>
            <w:r w:rsidRPr="00D4309F">
              <w:rPr>
                <w:spacing w:val="-12"/>
              </w:rPr>
              <w:t xml:space="preserve"> </w:t>
            </w:r>
            <w:r w:rsidRPr="00D4309F">
              <w:t xml:space="preserve">and </w:t>
            </w:r>
            <w:r w:rsidRPr="00D4309F">
              <w:rPr>
                <w:spacing w:val="-2"/>
              </w:rPr>
              <w:t xml:space="preserve">surrounding </w:t>
            </w:r>
            <w:r w:rsidRPr="00D4309F">
              <w:t>dredging area</w:t>
            </w:r>
          </w:p>
          <w:p w14:paraId="7DB4F5AD" w14:textId="4DB027FF" w:rsidR="00230A0A" w:rsidRPr="00D4309F" w:rsidRDefault="00230A0A" w:rsidP="00891147">
            <w:pPr>
              <w:pStyle w:val="Table-Bullet"/>
            </w:pPr>
            <w:r w:rsidRPr="00D4309F">
              <w:t>Turbidity</w:t>
            </w:r>
            <w:r w:rsidRPr="00D4309F">
              <w:rPr>
                <w:spacing w:val="-5"/>
              </w:rPr>
              <w:t xml:space="preserve"> </w:t>
            </w:r>
            <w:r w:rsidRPr="00D4309F">
              <w:rPr>
                <w:spacing w:val="-2"/>
              </w:rPr>
              <w:t>modelling</w:t>
            </w:r>
          </w:p>
        </w:tc>
        <w:tc>
          <w:tcPr>
            <w:tcW w:w="2399" w:type="dxa"/>
            <w:tcBorders>
              <w:top w:val="single" w:sz="4" w:space="0" w:color="000000"/>
              <w:bottom w:val="single" w:sz="4" w:space="0" w:color="000000"/>
            </w:tcBorders>
            <w:vAlign w:val="center"/>
          </w:tcPr>
          <w:p w14:paraId="79FB39E6" w14:textId="77777777" w:rsidR="00230A0A" w:rsidRPr="00D4309F" w:rsidRDefault="00230A0A" w:rsidP="00891147">
            <w:pPr>
              <w:pStyle w:val="Table-Bullet"/>
            </w:pPr>
            <w:r w:rsidRPr="00D4309F">
              <w:t>Turbidity</w:t>
            </w:r>
            <w:r w:rsidRPr="00D4309F">
              <w:rPr>
                <w:spacing w:val="-13"/>
              </w:rPr>
              <w:t xml:space="preserve"> </w:t>
            </w:r>
            <w:r w:rsidRPr="00D4309F">
              <w:t>monitoring during works</w:t>
            </w:r>
          </w:p>
          <w:p w14:paraId="35E92BB5" w14:textId="77777777" w:rsidR="00230A0A" w:rsidRPr="00D4309F" w:rsidRDefault="00230A0A" w:rsidP="00891147">
            <w:pPr>
              <w:pStyle w:val="Table-Bullet"/>
            </w:pPr>
            <w:r w:rsidRPr="00D4309F">
              <w:t>Standard turbidity mitigation</w:t>
            </w:r>
            <w:r w:rsidRPr="00D4309F">
              <w:rPr>
                <w:spacing w:val="-13"/>
              </w:rPr>
              <w:t xml:space="preserve"> </w:t>
            </w:r>
            <w:r w:rsidRPr="00D4309F">
              <w:t>procedures</w:t>
            </w:r>
          </w:p>
          <w:p w14:paraId="4D3EA209" w14:textId="77777777" w:rsidR="00230A0A" w:rsidRPr="00D4309F" w:rsidRDefault="00230A0A" w:rsidP="00891147">
            <w:pPr>
              <w:pStyle w:val="Table-Bullet"/>
            </w:pPr>
            <w:r w:rsidRPr="00D4309F">
              <w:t>e.g.</w:t>
            </w:r>
            <w:r w:rsidRPr="00D4309F">
              <w:rPr>
                <w:spacing w:val="-13"/>
              </w:rPr>
              <w:t xml:space="preserve"> </w:t>
            </w:r>
            <w:r w:rsidRPr="00D4309F">
              <w:t>silt</w:t>
            </w:r>
            <w:r w:rsidRPr="00D4309F">
              <w:rPr>
                <w:spacing w:val="-12"/>
              </w:rPr>
              <w:t xml:space="preserve"> </w:t>
            </w:r>
            <w:r w:rsidRPr="00D4309F">
              <w:t>curtains,</w:t>
            </w:r>
            <w:r w:rsidRPr="00D4309F">
              <w:rPr>
                <w:spacing w:val="-13"/>
              </w:rPr>
              <w:t xml:space="preserve"> </w:t>
            </w:r>
            <w:r w:rsidRPr="00D4309F">
              <w:t>staging of works</w:t>
            </w:r>
          </w:p>
          <w:p w14:paraId="2241F5C5" w14:textId="76DB0098" w:rsidR="00230A0A" w:rsidRPr="00D4309F" w:rsidRDefault="00230A0A" w:rsidP="00891147">
            <w:pPr>
              <w:pStyle w:val="Table-Bullet"/>
            </w:pPr>
            <w:r w:rsidRPr="00D4309F">
              <w:t>Benthic</w:t>
            </w:r>
            <w:r w:rsidRPr="00D4309F">
              <w:rPr>
                <w:spacing w:val="-13"/>
              </w:rPr>
              <w:t xml:space="preserve"> </w:t>
            </w:r>
            <w:r w:rsidRPr="00D4309F">
              <w:t xml:space="preserve">habitat </w:t>
            </w:r>
            <w:r w:rsidRPr="00D4309F">
              <w:rPr>
                <w:spacing w:val="-2"/>
              </w:rPr>
              <w:t>monitoring</w:t>
            </w:r>
          </w:p>
        </w:tc>
      </w:tr>
      <w:tr w:rsidR="00F12A6F" w:rsidRPr="00D4309F" w14:paraId="18CBAA67" w14:textId="77777777" w:rsidTr="007E44C8">
        <w:trPr>
          <w:cantSplit/>
          <w:trHeight w:val="20"/>
        </w:trPr>
        <w:tc>
          <w:tcPr>
            <w:tcW w:w="1297" w:type="dxa"/>
            <w:tcBorders>
              <w:top w:val="single" w:sz="4" w:space="0" w:color="000000"/>
              <w:bottom w:val="single" w:sz="4" w:space="0" w:color="000000"/>
            </w:tcBorders>
            <w:vAlign w:val="center"/>
          </w:tcPr>
          <w:p w14:paraId="551F5996" w14:textId="4AB2B271" w:rsidR="00230A0A" w:rsidRPr="00D4309F" w:rsidRDefault="00230A0A" w:rsidP="00891147">
            <w:pPr>
              <w:pStyle w:val="Table-Text"/>
            </w:pPr>
            <w:r w:rsidRPr="00D4309F">
              <w:t>Benthic habitats</w:t>
            </w:r>
          </w:p>
        </w:tc>
        <w:tc>
          <w:tcPr>
            <w:tcW w:w="1441" w:type="dxa"/>
            <w:tcBorders>
              <w:top w:val="single" w:sz="4" w:space="0" w:color="000000"/>
              <w:bottom w:val="single" w:sz="4" w:space="0" w:color="000000"/>
            </w:tcBorders>
            <w:vAlign w:val="center"/>
          </w:tcPr>
          <w:p w14:paraId="2EBCADC1" w14:textId="44747031" w:rsidR="00230A0A" w:rsidRPr="00D4309F" w:rsidRDefault="00230A0A" w:rsidP="00891147">
            <w:pPr>
              <w:pStyle w:val="Table-Text"/>
              <w:rPr>
                <w:spacing w:val="-4"/>
              </w:rPr>
            </w:pPr>
            <w:r w:rsidRPr="00D4309F">
              <w:t>Rocky</w:t>
            </w:r>
            <w:r w:rsidRPr="00D4309F">
              <w:rPr>
                <w:spacing w:val="-13"/>
              </w:rPr>
              <w:t xml:space="preserve"> </w:t>
            </w:r>
            <w:r w:rsidRPr="00D4309F">
              <w:t>reef habitat, seagrass and</w:t>
            </w:r>
            <w:r w:rsidRPr="00D4309F">
              <w:rPr>
                <w:spacing w:val="-9"/>
              </w:rPr>
              <w:t xml:space="preserve"> </w:t>
            </w:r>
            <w:r w:rsidRPr="00D4309F">
              <w:t>corals</w:t>
            </w:r>
          </w:p>
        </w:tc>
        <w:tc>
          <w:tcPr>
            <w:tcW w:w="3400" w:type="dxa"/>
            <w:tcBorders>
              <w:top w:val="single" w:sz="4" w:space="0" w:color="000000"/>
              <w:bottom w:val="single" w:sz="4" w:space="0" w:color="000000"/>
            </w:tcBorders>
            <w:vAlign w:val="center"/>
          </w:tcPr>
          <w:p w14:paraId="17628BEC" w14:textId="4200EB28" w:rsidR="00230A0A" w:rsidRPr="00D4309F" w:rsidRDefault="00230A0A" w:rsidP="00891147">
            <w:pPr>
              <w:pStyle w:val="Table-Bullet"/>
            </w:pPr>
            <w:r w:rsidRPr="00D4309F">
              <w:t>Release</w:t>
            </w:r>
            <w:r w:rsidRPr="00D4309F">
              <w:rPr>
                <w:spacing w:val="-4"/>
              </w:rPr>
              <w:t xml:space="preserve"> </w:t>
            </w:r>
            <w:r w:rsidRPr="00D4309F">
              <w:t>of</w:t>
            </w:r>
            <w:r w:rsidRPr="00D4309F">
              <w:rPr>
                <w:spacing w:val="-2"/>
              </w:rPr>
              <w:t xml:space="preserve"> contaminants/hypoxia</w:t>
            </w:r>
          </w:p>
        </w:tc>
        <w:tc>
          <w:tcPr>
            <w:tcW w:w="1233" w:type="dxa"/>
            <w:tcBorders>
              <w:top w:val="single" w:sz="4" w:space="0" w:color="000000"/>
              <w:bottom w:val="single" w:sz="4" w:space="0" w:color="000000"/>
            </w:tcBorders>
            <w:shd w:val="clear" w:color="auto" w:fill="92D050"/>
            <w:vAlign w:val="center"/>
          </w:tcPr>
          <w:p w14:paraId="3A9EA929" w14:textId="384A31D4" w:rsidR="00230A0A" w:rsidRPr="00D4309F" w:rsidRDefault="00230A0A" w:rsidP="00F12A6F">
            <w:pPr>
              <w:pStyle w:val="TableParagraph"/>
              <w:ind w:left="166" w:right="164"/>
              <w:rPr>
                <w:b/>
                <w:color w:val="211E1F"/>
                <w:sz w:val="18"/>
              </w:rPr>
            </w:pPr>
            <w:r w:rsidRPr="00D4309F">
              <w:rPr>
                <w:b/>
                <w:color w:val="211E1F"/>
                <w:spacing w:val="-5"/>
                <w:sz w:val="18"/>
              </w:rPr>
              <w:t>Low</w:t>
            </w:r>
          </w:p>
        </w:tc>
        <w:tc>
          <w:tcPr>
            <w:tcW w:w="2889" w:type="dxa"/>
            <w:tcBorders>
              <w:top w:val="single" w:sz="4" w:space="0" w:color="000000"/>
              <w:bottom w:val="single" w:sz="4" w:space="0" w:color="000000"/>
            </w:tcBorders>
            <w:vAlign w:val="center"/>
          </w:tcPr>
          <w:p w14:paraId="116652C2" w14:textId="77777777" w:rsidR="00230A0A" w:rsidRPr="00D4309F" w:rsidRDefault="00230A0A" w:rsidP="00891147">
            <w:pPr>
              <w:pStyle w:val="Table-Bullet"/>
            </w:pPr>
            <w:r w:rsidRPr="00D4309F">
              <w:t>Dredge</w:t>
            </w:r>
            <w:r w:rsidRPr="00D4309F">
              <w:rPr>
                <w:spacing w:val="-13"/>
              </w:rPr>
              <w:t xml:space="preserve"> </w:t>
            </w:r>
            <w:r w:rsidRPr="00D4309F">
              <w:t>sediments</w:t>
            </w:r>
            <w:r w:rsidRPr="00D4309F">
              <w:rPr>
                <w:spacing w:val="-12"/>
              </w:rPr>
              <w:t xml:space="preserve"> </w:t>
            </w:r>
            <w:r w:rsidRPr="00D4309F">
              <w:t>likely</w:t>
            </w:r>
            <w:r w:rsidRPr="00D4309F">
              <w:rPr>
                <w:spacing w:val="-13"/>
              </w:rPr>
              <w:t xml:space="preserve"> </w:t>
            </w:r>
            <w:r w:rsidRPr="00D4309F">
              <w:t>comprise clean marine sand free of contaminants with low organic matter content</w:t>
            </w:r>
          </w:p>
          <w:p w14:paraId="73CC6E38" w14:textId="1D818D8F" w:rsidR="00230A0A" w:rsidRPr="00D4309F" w:rsidRDefault="00230A0A" w:rsidP="00891147">
            <w:pPr>
              <w:pStyle w:val="Table-Bullet"/>
            </w:pPr>
            <w:r w:rsidRPr="00D4309F">
              <w:t>Rock</w:t>
            </w:r>
            <w:r w:rsidRPr="00D4309F">
              <w:rPr>
                <w:spacing w:val="-10"/>
              </w:rPr>
              <w:t xml:space="preserve"> </w:t>
            </w:r>
            <w:r w:rsidRPr="00D4309F">
              <w:t>is</w:t>
            </w:r>
            <w:r w:rsidRPr="00D4309F">
              <w:rPr>
                <w:spacing w:val="-10"/>
              </w:rPr>
              <w:t xml:space="preserve"> </w:t>
            </w:r>
            <w:r w:rsidRPr="00D4309F">
              <w:t>likely</w:t>
            </w:r>
            <w:r w:rsidRPr="00D4309F">
              <w:rPr>
                <w:spacing w:val="-10"/>
              </w:rPr>
              <w:t xml:space="preserve"> </w:t>
            </w:r>
            <w:r w:rsidRPr="00D4309F">
              <w:t>to</w:t>
            </w:r>
            <w:r w:rsidRPr="00D4309F">
              <w:rPr>
                <w:spacing w:val="-11"/>
              </w:rPr>
              <w:t xml:space="preserve"> </w:t>
            </w:r>
            <w:r w:rsidRPr="00D4309F">
              <w:t xml:space="preserve">be </w:t>
            </w:r>
            <w:r w:rsidRPr="00D4309F">
              <w:rPr>
                <w:spacing w:val="-2"/>
              </w:rPr>
              <w:t>uncontaminated</w:t>
            </w:r>
          </w:p>
        </w:tc>
        <w:tc>
          <w:tcPr>
            <w:tcW w:w="1913" w:type="dxa"/>
            <w:tcBorders>
              <w:top w:val="single" w:sz="4" w:space="0" w:color="000000"/>
              <w:bottom w:val="single" w:sz="4" w:space="0" w:color="000000"/>
            </w:tcBorders>
            <w:vAlign w:val="center"/>
          </w:tcPr>
          <w:p w14:paraId="04AD62DE" w14:textId="0E205974" w:rsidR="00230A0A" w:rsidRPr="00D4309F" w:rsidRDefault="00230A0A" w:rsidP="00891147">
            <w:pPr>
              <w:pStyle w:val="Table-Bullet"/>
            </w:pPr>
            <w:r w:rsidRPr="00D4309F">
              <w:t>Assumption that suitable</w:t>
            </w:r>
            <w:r w:rsidRPr="00D4309F">
              <w:rPr>
                <w:spacing w:val="-15"/>
              </w:rPr>
              <w:t xml:space="preserve"> </w:t>
            </w:r>
            <w:r w:rsidRPr="00D4309F">
              <w:t>data</w:t>
            </w:r>
            <w:r w:rsidRPr="00D4309F">
              <w:rPr>
                <w:spacing w:val="-12"/>
              </w:rPr>
              <w:t xml:space="preserve"> </w:t>
            </w:r>
            <w:r w:rsidRPr="00D4309F">
              <w:t>exists to inform this risk</w:t>
            </w:r>
          </w:p>
        </w:tc>
        <w:tc>
          <w:tcPr>
            <w:tcW w:w="2399" w:type="dxa"/>
            <w:tcBorders>
              <w:top w:val="single" w:sz="4" w:space="0" w:color="000000"/>
              <w:bottom w:val="single" w:sz="4" w:space="0" w:color="000000"/>
            </w:tcBorders>
            <w:vAlign w:val="center"/>
          </w:tcPr>
          <w:p w14:paraId="0AB69054" w14:textId="0A147AF4" w:rsidR="00230A0A" w:rsidRPr="00D4309F" w:rsidRDefault="00230A0A" w:rsidP="00891147">
            <w:pPr>
              <w:pStyle w:val="Table-Bullet"/>
            </w:pPr>
            <w:r w:rsidRPr="00D4309F">
              <w:rPr>
                <w:color w:val="211E1F"/>
                <w:spacing w:val="-4"/>
              </w:rPr>
              <w:t>None</w:t>
            </w:r>
          </w:p>
        </w:tc>
      </w:tr>
      <w:tr w:rsidR="00F12A6F" w:rsidRPr="00D4309F" w14:paraId="69A9E056" w14:textId="77777777" w:rsidTr="007E44C8">
        <w:trPr>
          <w:cantSplit/>
          <w:trHeight w:val="20"/>
        </w:trPr>
        <w:tc>
          <w:tcPr>
            <w:tcW w:w="1297" w:type="dxa"/>
            <w:tcBorders>
              <w:top w:val="single" w:sz="4" w:space="0" w:color="000000"/>
              <w:bottom w:val="single" w:sz="4" w:space="0" w:color="000000"/>
            </w:tcBorders>
            <w:vAlign w:val="center"/>
          </w:tcPr>
          <w:p w14:paraId="72CB82E3" w14:textId="4C111463" w:rsidR="00F12A6F" w:rsidRPr="00D4309F" w:rsidRDefault="00F12A6F" w:rsidP="00891147">
            <w:pPr>
              <w:pStyle w:val="Table-Text"/>
            </w:pPr>
            <w:r w:rsidRPr="00D4309F">
              <w:lastRenderedPageBreak/>
              <w:t>Terrestrial</w:t>
            </w:r>
            <w:r w:rsidRPr="00D4309F">
              <w:rPr>
                <w:spacing w:val="-15"/>
              </w:rPr>
              <w:t xml:space="preserve"> </w:t>
            </w:r>
            <w:r w:rsidRPr="00D4309F">
              <w:t>fauna</w:t>
            </w:r>
            <w:r w:rsidRPr="00D4309F">
              <w:rPr>
                <w:spacing w:val="-12"/>
              </w:rPr>
              <w:t xml:space="preserve"> </w:t>
            </w:r>
            <w:r w:rsidRPr="00D4309F">
              <w:t>including shorebirds and raptors</w:t>
            </w:r>
          </w:p>
        </w:tc>
        <w:tc>
          <w:tcPr>
            <w:tcW w:w="1441" w:type="dxa"/>
            <w:tcBorders>
              <w:top w:val="single" w:sz="4" w:space="0" w:color="000000"/>
              <w:bottom w:val="single" w:sz="4" w:space="0" w:color="000000"/>
            </w:tcBorders>
            <w:vAlign w:val="center"/>
          </w:tcPr>
          <w:p w14:paraId="046941D1" w14:textId="1A8DD403" w:rsidR="00F12A6F" w:rsidRPr="00D4309F" w:rsidRDefault="00F12A6F" w:rsidP="00891147">
            <w:pPr>
              <w:pStyle w:val="Table-Text"/>
              <w:rPr>
                <w:spacing w:val="-4"/>
              </w:rPr>
            </w:pPr>
          </w:p>
        </w:tc>
        <w:tc>
          <w:tcPr>
            <w:tcW w:w="3400" w:type="dxa"/>
            <w:tcBorders>
              <w:top w:val="single" w:sz="4" w:space="0" w:color="000000"/>
              <w:bottom w:val="single" w:sz="4" w:space="0" w:color="000000"/>
            </w:tcBorders>
            <w:vAlign w:val="center"/>
          </w:tcPr>
          <w:p w14:paraId="1390E4D0" w14:textId="77777777" w:rsidR="00F12A6F" w:rsidRPr="00D4309F" w:rsidRDefault="00F12A6F" w:rsidP="00891147">
            <w:pPr>
              <w:pStyle w:val="Table-Bullet"/>
            </w:pPr>
            <w:r w:rsidRPr="00D4309F">
              <w:rPr>
                <w:spacing w:val="-2"/>
              </w:rPr>
              <w:t xml:space="preserve">Mortality/injury/behavioural </w:t>
            </w:r>
            <w:r w:rsidRPr="00D4309F">
              <w:t>response due to noise</w:t>
            </w:r>
          </w:p>
          <w:p w14:paraId="38A6A9F9" w14:textId="77777777" w:rsidR="00F12A6F" w:rsidRPr="00D4309F" w:rsidRDefault="00F12A6F" w:rsidP="00891147">
            <w:pPr>
              <w:pStyle w:val="Table-Bullet"/>
            </w:pPr>
            <w:r w:rsidRPr="00D4309F">
              <w:rPr>
                <w:spacing w:val="-2"/>
              </w:rPr>
              <w:t xml:space="preserve">Mortality/injury/behavioural </w:t>
            </w:r>
            <w:r w:rsidRPr="00D4309F">
              <w:t>response</w:t>
            </w:r>
            <w:r w:rsidRPr="00D4309F">
              <w:rPr>
                <w:spacing w:val="-9"/>
              </w:rPr>
              <w:t xml:space="preserve"> </w:t>
            </w:r>
            <w:r w:rsidRPr="00D4309F">
              <w:t>due</w:t>
            </w:r>
            <w:r w:rsidRPr="00D4309F">
              <w:rPr>
                <w:spacing w:val="-9"/>
              </w:rPr>
              <w:t xml:space="preserve"> </w:t>
            </w:r>
            <w:r w:rsidRPr="00D4309F">
              <w:t>to</w:t>
            </w:r>
            <w:r w:rsidRPr="00D4309F">
              <w:rPr>
                <w:spacing w:val="-9"/>
              </w:rPr>
              <w:t xml:space="preserve"> </w:t>
            </w:r>
            <w:r w:rsidRPr="00D4309F">
              <w:t>dust</w:t>
            </w:r>
            <w:r w:rsidRPr="00D4309F">
              <w:rPr>
                <w:spacing w:val="-8"/>
              </w:rPr>
              <w:t xml:space="preserve"> </w:t>
            </w:r>
            <w:r w:rsidRPr="00D4309F">
              <w:t>from</w:t>
            </w:r>
            <w:r w:rsidRPr="00D4309F">
              <w:rPr>
                <w:spacing w:val="-8"/>
              </w:rPr>
              <w:t xml:space="preserve"> </w:t>
            </w:r>
            <w:r w:rsidRPr="00D4309F">
              <w:t xml:space="preserve">beach </w:t>
            </w:r>
            <w:r w:rsidRPr="00D4309F">
              <w:rPr>
                <w:spacing w:val="-2"/>
              </w:rPr>
              <w:t>disposal</w:t>
            </w:r>
          </w:p>
          <w:p w14:paraId="6CD387F3" w14:textId="77777777" w:rsidR="00F12A6F" w:rsidRPr="00D4309F" w:rsidRDefault="00F12A6F" w:rsidP="00891147">
            <w:pPr>
              <w:pStyle w:val="Table-Bullet"/>
            </w:pPr>
            <w:r w:rsidRPr="00D4309F">
              <w:t>Behavioural response and interruption</w:t>
            </w:r>
            <w:r w:rsidRPr="00D4309F">
              <w:rPr>
                <w:spacing w:val="-7"/>
              </w:rPr>
              <w:t xml:space="preserve"> </w:t>
            </w:r>
            <w:r w:rsidRPr="00D4309F">
              <w:t>of</w:t>
            </w:r>
            <w:r w:rsidRPr="00D4309F">
              <w:rPr>
                <w:spacing w:val="-8"/>
              </w:rPr>
              <w:t xml:space="preserve"> </w:t>
            </w:r>
            <w:r w:rsidRPr="00D4309F">
              <w:t>nesting</w:t>
            </w:r>
            <w:r w:rsidRPr="00D4309F">
              <w:rPr>
                <w:spacing w:val="-9"/>
              </w:rPr>
              <w:t xml:space="preserve"> </w:t>
            </w:r>
            <w:r w:rsidRPr="00D4309F">
              <w:t>due</w:t>
            </w:r>
            <w:r w:rsidRPr="00D4309F">
              <w:rPr>
                <w:spacing w:val="-9"/>
              </w:rPr>
              <w:t xml:space="preserve"> </w:t>
            </w:r>
            <w:r w:rsidRPr="00D4309F">
              <w:t>to</w:t>
            </w:r>
            <w:r w:rsidRPr="00D4309F">
              <w:rPr>
                <w:spacing w:val="-9"/>
              </w:rPr>
              <w:t xml:space="preserve"> </w:t>
            </w:r>
            <w:r w:rsidRPr="00D4309F">
              <w:t>light</w:t>
            </w:r>
          </w:p>
          <w:p w14:paraId="0A1374F5" w14:textId="77777777" w:rsidR="00F12A6F" w:rsidRPr="00D4309F" w:rsidRDefault="00F12A6F" w:rsidP="00891147">
            <w:pPr>
              <w:pStyle w:val="Table-Bullet"/>
            </w:pPr>
            <w:r w:rsidRPr="00D4309F">
              <w:rPr>
                <w:spacing w:val="-2"/>
              </w:rPr>
              <w:t xml:space="preserve">Mortality/injury/behavioural </w:t>
            </w:r>
            <w:r w:rsidRPr="00D4309F">
              <w:t>response</w:t>
            </w:r>
            <w:r w:rsidRPr="00D4309F">
              <w:rPr>
                <w:spacing w:val="-13"/>
              </w:rPr>
              <w:t xml:space="preserve"> </w:t>
            </w:r>
            <w:r w:rsidRPr="00D4309F">
              <w:t>due</w:t>
            </w:r>
            <w:r w:rsidRPr="00D4309F">
              <w:rPr>
                <w:spacing w:val="-12"/>
              </w:rPr>
              <w:t xml:space="preserve"> </w:t>
            </w:r>
            <w:r w:rsidRPr="00D4309F">
              <w:t>physical</w:t>
            </w:r>
            <w:r w:rsidRPr="00D4309F">
              <w:rPr>
                <w:spacing w:val="-13"/>
              </w:rPr>
              <w:t xml:space="preserve"> </w:t>
            </w:r>
            <w:r w:rsidRPr="00D4309F">
              <w:t>presence during beach reprofiling</w:t>
            </w:r>
          </w:p>
          <w:p w14:paraId="550EB26F" w14:textId="277AA243" w:rsidR="00F12A6F" w:rsidRPr="00D4309F" w:rsidRDefault="00F12A6F" w:rsidP="00891147">
            <w:pPr>
              <w:pStyle w:val="Table-Bullet"/>
            </w:pPr>
            <w:r w:rsidRPr="00D4309F">
              <w:t>Mortality/injury due to onshore plant</w:t>
            </w:r>
            <w:r w:rsidRPr="00D4309F">
              <w:rPr>
                <w:spacing w:val="-9"/>
              </w:rPr>
              <w:t xml:space="preserve"> </w:t>
            </w:r>
            <w:r w:rsidRPr="00D4309F">
              <w:t>and</w:t>
            </w:r>
            <w:r w:rsidRPr="00D4309F">
              <w:rPr>
                <w:spacing w:val="-10"/>
              </w:rPr>
              <w:t xml:space="preserve"> </w:t>
            </w:r>
            <w:r w:rsidRPr="00D4309F">
              <w:t>vehicle</w:t>
            </w:r>
            <w:r w:rsidRPr="00D4309F">
              <w:rPr>
                <w:spacing w:val="-10"/>
              </w:rPr>
              <w:t xml:space="preserve"> </w:t>
            </w:r>
            <w:r w:rsidRPr="00D4309F">
              <w:t>movement</w:t>
            </w:r>
            <w:r w:rsidRPr="00D4309F">
              <w:rPr>
                <w:spacing w:val="-9"/>
              </w:rPr>
              <w:t xml:space="preserve"> </w:t>
            </w:r>
            <w:r w:rsidRPr="00D4309F">
              <w:t>during beach reprofiling</w:t>
            </w:r>
          </w:p>
        </w:tc>
        <w:tc>
          <w:tcPr>
            <w:tcW w:w="1233" w:type="dxa"/>
            <w:tcBorders>
              <w:top w:val="single" w:sz="4" w:space="0" w:color="000000"/>
              <w:bottom w:val="single" w:sz="4" w:space="0" w:color="000000"/>
            </w:tcBorders>
            <w:shd w:val="clear" w:color="auto" w:fill="FFC000"/>
            <w:vAlign w:val="center"/>
          </w:tcPr>
          <w:p w14:paraId="2FE03F6A" w14:textId="26AFB437" w:rsidR="00F12A6F" w:rsidRPr="00D4309F" w:rsidRDefault="00F12A6F" w:rsidP="00F12A6F">
            <w:pPr>
              <w:pStyle w:val="TableParagraph"/>
              <w:ind w:left="166" w:right="164"/>
              <w:rPr>
                <w:b/>
                <w:color w:val="211E1F"/>
                <w:sz w:val="18"/>
              </w:rPr>
            </w:pPr>
            <w:r w:rsidRPr="00D4309F">
              <w:rPr>
                <w:b/>
                <w:color w:val="211E1F"/>
                <w:sz w:val="18"/>
              </w:rPr>
              <w:t>High</w:t>
            </w:r>
            <w:r w:rsidRPr="00D4309F">
              <w:rPr>
                <w:b/>
                <w:color w:val="211E1F"/>
                <w:spacing w:val="-13"/>
                <w:sz w:val="18"/>
              </w:rPr>
              <w:t xml:space="preserve"> </w:t>
            </w:r>
            <w:r w:rsidRPr="00D4309F">
              <w:rPr>
                <w:b/>
                <w:color w:val="211E1F"/>
                <w:sz w:val="18"/>
              </w:rPr>
              <w:t xml:space="preserve">(for </w:t>
            </w:r>
            <w:r w:rsidRPr="00D4309F">
              <w:rPr>
                <w:b/>
                <w:color w:val="211E1F"/>
                <w:spacing w:val="-4"/>
                <w:sz w:val="18"/>
              </w:rPr>
              <w:t xml:space="preserve">rock </w:t>
            </w:r>
            <w:r w:rsidRPr="00D4309F">
              <w:rPr>
                <w:b/>
                <w:color w:val="211E1F"/>
                <w:spacing w:val="-2"/>
                <w:sz w:val="18"/>
              </w:rPr>
              <w:t>cutting)</w:t>
            </w:r>
          </w:p>
        </w:tc>
        <w:tc>
          <w:tcPr>
            <w:tcW w:w="2889" w:type="dxa"/>
            <w:tcBorders>
              <w:top w:val="single" w:sz="4" w:space="0" w:color="000000"/>
              <w:bottom w:val="single" w:sz="4" w:space="0" w:color="000000"/>
            </w:tcBorders>
            <w:vAlign w:val="center"/>
          </w:tcPr>
          <w:p w14:paraId="3DA16D95" w14:textId="77777777" w:rsidR="00F12A6F" w:rsidRPr="00D4309F" w:rsidRDefault="00F12A6F" w:rsidP="00891147">
            <w:pPr>
              <w:pStyle w:val="Table-Bullet"/>
            </w:pPr>
            <w:r w:rsidRPr="00D4309F">
              <w:t>Several species listed as vulnerable</w:t>
            </w:r>
            <w:r w:rsidRPr="00D4309F">
              <w:rPr>
                <w:spacing w:val="-13"/>
              </w:rPr>
              <w:t xml:space="preserve"> </w:t>
            </w:r>
            <w:r w:rsidRPr="00D4309F">
              <w:t>or</w:t>
            </w:r>
            <w:r w:rsidRPr="00D4309F">
              <w:rPr>
                <w:spacing w:val="-12"/>
              </w:rPr>
              <w:t xml:space="preserve"> </w:t>
            </w:r>
            <w:r w:rsidRPr="00D4309F">
              <w:t>endangered</w:t>
            </w:r>
            <w:r w:rsidRPr="00D4309F">
              <w:rPr>
                <w:spacing w:val="-13"/>
              </w:rPr>
              <w:t xml:space="preserve"> </w:t>
            </w:r>
            <w:r w:rsidRPr="00D4309F">
              <w:t>may occur in the project area</w:t>
            </w:r>
          </w:p>
          <w:p w14:paraId="48ED9F59" w14:textId="74F5D188" w:rsidR="00F12A6F" w:rsidRPr="00D4309F" w:rsidRDefault="00F12A6F" w:rsidP="00891147">
            <w:pPr>
              <w:pStyle w:val="Table-Bullet"/>
            </w:pPr>
            <w:r w:rsidRPr="00D4309F">
              <w:t>Several species of shorebirds are listed as occurring at Point Cartwright</w:t>
            </w:r>
            <w:r w:rsidRPr="00D4309F">
              <w:rPr>
                <w:spacing w:val="-10"/>
              </w:rPr>
              <w:t xml:space="preserve"> </w:t>
            </w:r>
            <w:r w:rsidRPr="00D4309F">
              <w:t>and</w:t>
            </w:r>
            <w:r w:rsidRPr="00D4309F">
              <w:rPr>
                <w:spacing w:val="-9"/>
              </w:rPr>
              <w:t xml:space="preserve"> </w:t>
            </w:r>
            <w:r w:rsidRPr="00D4309F">
              <w:t>could</w:t>
            </w:r>
            <w:r w:rsidRPr="00D4309F">
              <w:rPr>
                <w:spacing w:val="-11"/>
              </w:rPr>
              <w:t xml:space="preserve"> </w:t>
            </w:r>
            <w:r w:rsidRPr="00D4309F">
              <w:t>be</w:t>
            </w:r>
            <w:r w:rsidRPr="00D4309F">
              <w:rPr>
                <w:spacing w:val="-11"/>
              </w:rPr>
              <w:t xml:space="preserve"> </w:t>
            </w:r>
            <w:r w:rsidRPr="00D4309F">
              <w:t>impacted; however, it is more likely they would occur at the lower Maroochy River</w:t>
            </w:r>
          </w:p>
        </w:tc>
        <w:tc>
          <w:tcPr>
            <w:tcW w:w="1913" w:type="dxa"/>
            <w:tcBorders>
              <w:top w:val="single" w:sz="4" w:space="0" w:color="000000"/>
              <w:bottom w:val="single" w:sz="4" w:space="0" w:color="000000"/>
            </w:tcBorders>
            <w:vAlign w:val="center"/>
          </w:tcPr>
          <w:p w14:paraId="15743789" w14:textId="77777777" w:rsidR="00F12A6F" w:rsidRPr="00D4309F" w:rsidRDefault="00F12A6F" w:rsidP="00891147">
            <w:pPr>
              <w:pStyle w:val="Table-Bullet"/>
            </w:pPr>
            <w:r w:rsidRPr="00D4309F">
              <w:t>Noise assessment including</w:t>
            </w:r>
            <w:r w:rsidRPr="00D4309F">
              <w:rPr>
                <w:spacing w:val="-13"/>
              </w:rPr>
              <w:t xml:space="preserve"> </w:t>
            </w:r>
            <w:r w:rsidRPr="00D4309F">
              <w:t>modelling</w:t>
            </w:r>
          </w:p>
          <w:p w14:paraId="5F06EB01" w14:textId="26833041" w:rsidR="00F12A6F" w:rsidRPr="00D4309F" w:rsidRDefault="00F12A6F" w:rsidP="00891147">
            <w:pPr>
              <w:pStyle w:val="Table-Bullet"/>
            </w:pPr>
            <w:r w:rsidRPr="00D4309F">
              <w:t>Terrestrial</w:t>
            </w:r>
            <w:r w:rsidRPr="00D4309F">
              <w:rPr>
                <w:spacing w:val="-13"/>
              </w:rPr>
              <w:t xml:space="preserve"> </w:t>
            </w:r>
            <w:r w:rsidRPr="00D4309F">
              <w:t xml:space="preserve">fauna </w:t>
            </w:r>
            <w:r w:rsidRPr="00D4309F">
              <w:rPr>
                <w:spacing w:val="-2"/>
              </w:rPr>
              <w:t>assessment</w:t>
            </w:r>
          </w:p>
        </w:tc>
        <w:tc>
          <w:tcPr>
            <w:tcW w:w="2399" w:type="dxa"/>
            <w:tcBorders>
              <w:top w:val="single" w:sz="4" w:space="0" w:color="000000"/>
              <w:bottom w:val="single" w:sz="4" w:space="0" w:color="000000"/>
            </w:tcBorders>
            <w:vAlign w:val="center"/>
          </w:tcPr>
          <w:p w14:paraId="2FE69016" w14:textId="77777777" w:rsidR="00F12A6F" w:rsidRPr="00D4309F" w:rsidRDefault="00F12A6F" w:rsidP="00891147">
            <w:pPr>
              <w:pStyle w:val="Table-Bullet"/>
            </w:pPr>
            <w:r w:rsidRPr="00D4309F">
              <w:t>Timing</w:t>
            </w:r>
            <w:r w:rsidRPr="00D4309F">
              <w:rPr>
                <w:spacing w:val="-13"/>
              </w:rPr>
              <w:t xml:space="preserve"> </w:t>
            </w:r>
            <w:r w:rsidRPr="00D4309F">
              <w:t>of</w:t>
            </w:r>
            <w:r w:rsidRPr="00D4309F">
              <w:rPr>
                <w:spacing w:val="-12"/>
              </w:rPr>
              <w:t xml:space="preserve"> </w:t>
            </w:r>
            <w:r w:rsidRPr="00D4309F">
              <w:t>works</w:t>
            </w:r>
            <w:r w:rsidRPr="00D4309F">
              <w:rPr>
                <w:spacing w:val="-13"/>
              </w:rPr>
              <w:t xml:space="preserve"> </w:t>
            </w:r>
            <w:r w:rsidRPr="00D4309F">
              <w:t xml:space="preserve">outside of peak aggregation periods for migratory </w:t>
            </w:r>
            <w:r w:rsidRPr="00D4309F">
              <w:rPr>
                <w:spacing w:val="-2"/>
              </w:rPr>
              <w:t>shorebirds</w:t>
            </w:r>
          </w:p>
          <w:p w14:paraId="3B32729C" w14:textId="77777777" w:rsidR="00F12A6F" w:rsidRPr="00D4309F" w:rsidRDefault="00F12A6F" w:rsidP="00891147">
            <w:pPr>
              <w:pStyle w:val="Table-Bullet"/>
            </w:pPr>
            <w:r w:rsidRPr="00D4309F">
              <w:t>Standard</w:t>
            </w:r>
            <w:r w:rsidRPr="00D4309F">
              <w:rPr>
                <w:spacing w:val="-13"/>
              </w:rPr>
              <w:t xml:space="preserve"> </w:t>
            </w:r>
            <w:r w:rsidRPr="00D4309F">
              <w:t xml:space="preserve">noise </w:t>
            </w:r>
            <w:r w:rsidRPr="00D4309F">
              <w:rPr>
                <w:spacing w:val="-2"/>
              </w:rPr>
              <w:t>management procedures</w:t>
            </w:r>
          </w:p>
          <w:p w14:paraId="1963A39D" w14:textId="77777777" w:rsidR="00F12A6F" w:rsidRPr="00D4309F" w:rsidRDefault="00F12A6F" w:rsidP="00891147">
            <w:pPr>
              <w:pStyle w:val="Table-Bullet"/>
            </w:pPr>
            <w:r w:rsidRPr="00D4309F">
              <w:t>Limitation</w:t>
            </w:r>
            <w:r w:rsidRPr="00D4309F">
              <w:rPr>
                <w:spacing w:val="-13"/>
              </w:rPr>
              <w:t xml:space="preserve"> </w:t>
            </w:r>
            <w:r w:rsidRPr="00D4309F">
              <w:t>of</w:t>
            </w:r>
            <w:r w:rsidRPr="00D4309F">
              <w:rPr>
                <w:spacing w:val="-12"/>
              </w:rPr>
              <w:t xml:space="preserve"> </w:t>
            </w:r>
            <w:r w:rsidRPr="00D4309F">
              <w:t>works</w:t>
            </w:r>
            <w:r w:rsidRPr="00D4309F">
              <w:rPr>
                <w:spacing w:val="-12"/>
              </w:rPr>
              <w:t xml:space="preserve"> </w:t>
            </w:r>
            <w:r w:rsidRPr="00D4309F">
              <w:t xml:space="preserve">to daylight hours or if necessary, standard light mitigation </w:t>
            </w:r>
            <w:r w:rsidRPr="00D4309F">
              <w:rPr>
                <w:spacing w:val="-2"/>
              </w:rPr>
              <w:t>procedures</w:t>
            </w:r>
          </w:p>
          <w:p w14:paraId="27725EC1" w14:textId="1E8888D1" w:rsidR="00F12A6F" w:rsidRPr="00D4309F" w:rsidRDefault="00F12A6F" w:rsidP="00891147">
            <w:pPr>
              <w:pStyle w:val="Table-Bullet"/>
            </w:pPr>
            <w:r w:rsidRPr="00D4309F">
              <w:t>Standard fauna mitigation practices including</w:t>
            </w:r>
            <w:r w:rsidRPr="00D4309F">
              <w:rPr>
                <w:spacing w:val="-15"/>
              </w:rPr>
              <w:t xml:space="preserve"> </w:t>
            </w:r>
            <w:r w:rsidRPr="00D4309F">
              <w:t>monitoring</w:t>
            </w:r>
            <w:r w:rsidRPr="00D4309F">
              <w:rPr>
                <w:spacing w:val="-12"/>
              </w:rPr>
              <w:t xml:space="preserve"> </w:t>
            </w:r>
            <w:r w:rsidRPr="00D4309F">
              <w:t>for conservation</w:t>
            </w:r>
            <w:r w:rsidRPr="00D4309F">
              <w:rPr>
                <w:spacing w:val="-13"/>
              </w:rPr>
              <w:t xml:space="preserve"> </w:t>
            </w:r>
            <w:r w:rsidRPr="00D4309F">
              <w:t>significant fauna, appropriate fencing of work area</w:t>
            </w:r>
          </w:p>
        </w:tc>
      </w:tr>
      <w:tr w:rsidR="00F12A6F" w:rsidRPr="00D4309F" w14:paraId="1CB09370" w14:textId="77777777" w:rsidTr="007E44C8">
        <w:trPr>
          <w:cantSplit/>
          <w:trHeight w:val="20"/>
        </w:trPr>
        <w:tc>
          <w:tcPr>
            <w:tcW w:w="1297" w:type="dxa"/>
            <w:tcBorders>
              <w:top w:val="single" w:sz="4" w:space="0" w:color="000000"/>
              <w:bottom w:val="single" w:sz="4" w:space="0" w:color="000000"/>
            </w:tcBorders>
            <w:vAlign w:val="center"/>
          </w:tcPr>
          <w:p w14:paraId="1498A5F5" w14:textId="44BD52C9" w:rsidR="00230A0A" w:rsidRPr="00D4309F" w:rsidRDefault="00230A0A" w:rsidP="00891147">
            <w:pPr>
              <w:pStyle w:val="Table-Text"/>
            </w:pPr>
            <w:r w:rsidRPr="00D4309F">
              <w:t>Terrestrial</w:t>
            </w:r>
            <w:r w:rsidRPr="00D4309F">
              <w:rPr>
                <w:spacing w:val="-4"/>
              </w:rPr>
              <w:t xml:space="preserve"> </w:t>
            </w:r>
            <w:r w:rsidRPr="00D4309F">
              <w:t>flora</w:t>
            </w:r>
          </w:p>
        </w:tc>
        <w:tc>
          <w:tcPr>
            <w:tcW w:w="1441" w:type="dxa"/>
            <w:tcBorders>
              <w:top w:val="single" w:sz="4" w:space="0" w:color="000000"/>
              <w:bottom w:val="single" w:sz="4" w:space="0" w:color="000000"/>
            </w:tcBorders>
            <w:vAlign w:val="center"/>
          </w:tcPr>
          <w:p w14:paraId="3F2370E9" w14:textId="77777777" w:rsidR="00230A0A" w:rsidRPr="00D4309F" w:rsidRDefault="00230A0A" w:rsidP="00891147">
            <w:pPr>
              <w:pStyle w:val="Table-Text"/>
              <w:rPr>
                <w:spacing w:val="-4"/>
              </w:rPr>
            </w:pPr>
          </w:p>
        </w:tc>
        <w:tc>
          <w:tcPr>
            <w:tcW w:w="3400" w:type="dxa"/>
            <w:tcBorders>
              <w:top w:val="single" w:sz="4" w:space="0" w:color="000000"/>
              <w:bottom w:val="single" w:sz="4" w:space="0" w:color="000000"/>
            </w:tcBorders>
            <w:vAlign w:val="center"/>
          </w:tcPr>
          <w:p w14:paraId="2E1DCB1A" w14:textId="77777777" w:rsidR="00230A0A" w:rsidRPr="00D4309F" w:rsidRDefault="00230A0A" w:rsidP="00891147">
            <w:pPr>
              <w:pStyle w:val="Table-Bullet"/>
            </w:pPr>
            <w:r w:rsidRPr="00D4309F">
              <w:t>Disturbance or degradation of</w:t>
            </w:r>
            <w:r w:rsidRPr="00D4309F">
              <w:rPr>
                <w:spacing w:val="40"/>
              </w:rPr>
              <w:t xml:space="preserve"> </w:t>
            </w:r>
            <w:r w:rsidRPr="00D4309F">
              <w:t>dune vegetation behind Mooloolaba Main Beach onshore plant</w:t>
            </w:r>
            <w:r w:rsidRPr="00D4309F">
              <w:rPr>
                <w:spacing w:val="-10"/>
              </w:rPr>
              <w:t xml:space="preserve"> </w:t>
            </w:r>
            <w:r w:rsidRPr="00D4309F">
              <w:t>and</w:t>
            </w:r>
            <w:r w:rsidRPr="00D4309F">
              <w:rPr>
                <w:spacing w:val="-10"/>
              </w:rPr>
              <w:t xml:space="preserve"> </w:t>
            </w:r>
            <w:r w:rsidRPr="00D4309F">
              <w:t>vehicle</w:t>
            </w:r>
            <w:r w:rsidRPr="00D4309F">
              <w:rPr>
                <w:spacing w:val="-10"/>
              </w:rPr>
              <w:t xml:space="preserve"> </w:t>
            </w:r>
            <w:r w:rsidRPr="00D4309F">
              <w:t>movement</w:t>
            </w:r>
            <w:r w:rsidRPr="00D4309F">
              <w:rPr>
                <w:spacing w:val="-10"/>
              </w:rPr>
              <w:t xml:space="preserve"> </w:t>
            </w:r>
            <w:r w:rsidRPr="00D4309F">
              <w:t>during beach reprofiling required</w:t>
            </w:r>
          </w:p>
          <w:p w14:paraId="4DAF6A5E" w14:textId="4805755E" w:rsidR="00230A0A" w:rsidRPr="00D4309F" w:rsidRDefault="00230A0A" w:rsidP="00891147">
            <w:pPr>
              <w:pStyle w:val="Table-Bullet"/>
            </w:pPr>
            <w:r w:rsidRPr="00D4309F">
              <w:t>Smothering and degradation of habitat</w:t>
            </w:r>
            <w:r w:rsidRPr="00D4309F">
              <w:rPr>
                <w:spacing w:val="-8"/>
              </w:rPr>
              <w:t xml:space="preserve"> </w:t>
            </w:r>
            <w:r w:rsidRPr="00D4309F">
              <w:t>due</w:t>
            </w:r>
            <w:r w:rsidRPr="00D4309F">
              <w:rPr>
                <w:spacing w:val="-9"/>
              </w:rPr>
              <w:t xml:space="preserve"> </w:t>
            </w:r>
            <w:r w:rsidRPr="00D4309F">
              <w:t>to</w:t>
            </w:r>
            <w:r w:rsidRPr="00D4309F">
              <w:rPr>
                <w:spacing w:val="-7"/>
              </w:rPr>
              <w:t xml:space="preserve"> </w:t>
            </w:r>
            <w:r w:rsidRPr="00D4309F">
              <w:t>dust</w:t>
            </w:r>
            <w:r w:rsidRPr="00D4309F">
              <w:rPr>
                <w:spacing w:val="-8"/>
              </w:rPr>
              <w:t xml:space="preserve"> </w:t>
            </w:r>
            <w:r w:rsidRPr="00D4309F">
              <w:t>generation</w:t>
            </w:r>
            <w:r w:rsidRPr="00D4309F">
              <w:rPr>
                <w:spacing w:val="-9"/>
              </w:rPr>
              <w:t xml:space="preserve"> </w:t>
            </w:r>
            <w:r w:rsidRPr="00D4309F">
              <w:t>from beach disposal</w:t>
            </w:r>
          </w:p>
        </w:tc>
        <w:tc>
          <w:tcPr>
            <w:tcW w:w="1233" w:type="dxa"/>
            <w:tcBorders>
              <w:top w:val="single" w:sz="4" w:space="0" w:color="000000"/>
              <w:bottom w:val="single" w:sz="4" w:space="0" w:color="000000"/>
            </w:tcBorders>
            <w:shd w:val="clear" w:color="auto" w:fill="FFFF00"/>
            <w:vAlign w:val="center"/>
          </w:tcPr>
          <w:p w14:paraId="5D907C2D" w14:textId="14747796" w:rsidR="00230A0A" w:rsidRPr="00D4309F" w:rsidRDefault="00230A0A" w:rsidP="00F12A6F">
            <w:pPr>
              <w:pStyle w:val="TableParagraph"/>
              <w:ind w:left="166" w:right="164"/>
              <w:rPr>
                <w:b/>
                <w:color w:val="211E1F"/>
                <w:sz w:val="18"/>
              </w:rPr>
            </w:pPr>
            <w:r w:rsidRPr="00D4309F">
              <w:rPr>
                <w:b/>
                <w:color w:val="211E1F"/>
                <w:spacing w:val="-2"/>
                <w:sz w:val="18"/>
              </w:rPr>
              <w:t>Moderate</w:t>
            </w:r>
          </w:p>
        </w:tc>
        <w:tc>
          <w:tcPr>
            <w:tcW w:w="2889" w:type="dxa"/>
            <w:tcBorders>
              <w:top w:val="single" w:sz="4" w:space="0" w:color="000000"/>
              <w:bottom w:val="single" w:sz="4" w:space="0" w:color="000000"/>
            </w:tcBorders>
            <w:vAlign w:val="center"/>
          </w:tcPr>
          <w:p w14:paraId="0AF8B6FF" w14:textId="531C6033" w:rsidR="00230A0A" w:rsidRPr="00D4309F" w:rsidRDefault="00230A0A" w:rsidP="00891147">
            <w:pPr>
              <w:pStyle w:val="Table-Bullet"/>
            </w:pPr>
            <w:r w:rsidRPr="00D4309F">
              <w:t>Several</w:t>
            </w:r>
            <w:r w:rsidRPr="00D4309F">
              <w:rPr>
                <w:spacing w:val="-8"/>
              </w:rPr>
              <w:t xml:space="preserve"> </w:t>
            </w:r>
            <w:r w:rsidRPr="00D4309F">
              <w:t>MSES</w:t>
            </w:r>
            <w:r w:rsidRPr="00D4309F">
              <w:rPr>
                <w:spacing w:val="-8"/>
              </w:rPr>
              <w:t xml:space="preserve"> </w:t>
            </w:r>
            <w:r w:rsidRPr="00D4309F">
              <w:t>and</w:t>
            </w:r>
            <w:r w:rsidRPr="00D4309F">
              <w:rPr>
                <w:spacing w:val="-9"/>
              </w:rPr>
              <w:t xml:space="preserve"> </w:t>
            </w:r>
            <w:r w:rsidRPr="00D4309F">
              <w:t>TECs</w:t>
            </w:r>
            <w:r w:rsidRPr="00D4309F">
              <w:rPr>
                <w:spacing w:val="-8"/>
              </w:rPr>
              <w:t xml:space="preserve"> </w:t>
            </w:r>
            <w:r w:rsidRPr="00D4309F">
              <w:t>occur</w:t>
            </w:r>
            <w:r w:rsidRPr="00D4309F">
              <w:rPr>
                <w:spacing w:val="-8"/>
              </w:rPr>
              <w:t xml:space="preserve"> </w:t>
            </w:r>
            <w:r w:rsidRPr="00D4309F">
              <w:t>in the project area</w:t>
            </w:r>
          </w:p>
        </w:tc>
        <w:tc>
          <w:tcPr>
            <w:tcW w:w="1913" w:type="dxa"/>
            <w:tcBorders>
              <w:top w:val="single" w:sz="4" w:space="0" w:color="000000"/>
              <w:bottom w:val="single" w:sz="4" w:space="0" w:color="000000"/>
            </w:tcBorders>
            <w:vAlign w:val="center"/>
          </w:tcPr>
          <w:p w14:paraId="029116A7" w14:textId="02A372E7" w:rsidR="00230A0A" w:rsidRPr="00D4309F" w:rsidRDefault="00230A0A" w:rsidP="00891147">
            <w:pPr>
              <w:pStyle w:val="Table-Bullet"/>
            </w:pPr>
            <w:r w:rsidRPr="00D4309F">
              <w:rPr>
                <w:color w:val="211E1F"/>
                <w:spacing w:val="-4"/>
              </w:rPr>
              <w:t>None</w:t>
            </w:r>
          </w:p>
        </w:tc>
        <w:tc>
          <w:tcPr>
            <w:tcW w:w="2399" w:type="dxa"/>
            <w:tcBorders>
              <w:top w:val="single" w:sz="4" w:space="0" w:color="000000"/>
              <w:bottom w:val="single" w:sz="4" w:space="0" w:color="000000"/>
            </w:tcBorders>
            <w:vAlign w:val="center"/>
          </w:tcPr>
          <w:p w14:paraId="131EB91F" w14:textId="4A4460B9" w:rsidR="00230A0A" w:rsidRPr="00D4309F" w:rsidRDefault="00230A0A" w:rsidP="00891147">
            <w:pPr>
              <w:pStyle w:val="Table-Bullet"/>
            </w:pPr>
            <w:r w:rsidRPr="00D4309F">
              <w:t>Terrestrial</w:t>
            </w:r>
            <w:r w:rsidRPr="00D4309F">
              <w:rPr>
                <w:spacing w:val="-4"/>
              </w:rPr>
              <w:t xml:space="preserve"> </w:t>
            </w:r>
            <w:r w:rsidRPr="00D4309F">
              <w:rPr>
                <w:spacing w:val="-2"/>
              </w:rPr>
              <w:t>flora</w:t>
            </w:r>
          </w:p>
        </w:tc>
      </w:tr>
    </w:tbl>
    <w:p w14:paraId="53F395AF" w14:textId="77777777" w:rsidR="00725977" w:rsidRPr="00D4309F" w:rsidRDefault="00725977" w:rsidP="003E0830">
      <w:pPr>
        <w:pStyle w:val="Table-Note"/>
      </w:pPr>
      <w:r w:rsidRPr="00D4309F">
        <w:t>Assumptions:</w:t>
      </w:r>
    </w:p>
    <w:p w14:paraId="2EC65F2A" w14:textId="77777777" w:rsidR="00725977" w:rsidRPr="00D4309F" w:rsidRDefault="00725977" w:rsidP="00D27F26">
      <w:pPr>
        <w:pStyle w:val="Table-Note"/>
        <w:numPr>
          <w:ilvl w:val="0"/>
          <w:numId w:val="495"/>
        </w:numPr>
      </w:pPr>
      <w:r w:rsidRPr="00D4309F">
        <w:t>Dredge</w:t>
      </w:r>
      <w:r w:rsidRPr="00D4309F">
        <w:rPr>
          <w:spacing w:val="-3"/>
        </w:rPr>
        <w:t xml:space="preserve"> </w:t>
      </w:r>
      <w:r w:rsidRPr="00D4309F">
        <w:t>area</w:t>
      </w:r>
      <w:r w:rsidRPr="00D4309F">
        <w:rPr>
          <w:spacing w:val="-3"/>
        </w:rPr>
        <w:t xml:space="preserve"> </w:t>
      </w:r>
      <w:r w:rsidRPr="00D4309F">
        <w:t>is an</w:t>
      </w:r>
      <w:r w:rsidRPr="00D4309F">
        <w:rPr>
          <w:spacing w:val="-3"/>
        </w:rPr>
        <w:t xml:space="preserve"> </w:t>
      </w:r>
      <w:r w:rsidRPr="00D4309F">
        <w:t>area of</w:t>
      </w:r>
      <w:r w:rsidRPr="00D4309F">
        <w:rPr>
          <w:spacing w:val="-3"/>
        </w:rPr>
        <w:t xml:space="preserve"> </w:t>
      </w:r>
      <w:r w:rsidRPr="00D4309F">
        <w:t xml:space="preserve">bare </w:t>
      </w:r>
      <w:r w:rsidRPr="00D4309F">
        <w:rPr>
          <w:spacing w:val="-4"/>
        </w:rPr>
        <w:t>sand</w:t>
      </w:r>
    </w:p>
    <w:p w14:paraId="563026B8" w14:textId="77777777" w:rsidR="00725977" w:rsidRPr="00230A0A" w:rsidRDefault="00725977" w:rsidP="00D27F26">
      <w:pPr>
        <w:pStyle w:val="Table-Note"/>
        <w:numPr>
          <w:ilvl w:val="0"/>
          <w:numId w:val="495"/>
        </w:numPr>
      </w:pPr>
      <w:r w:rsidRPr="00D4309F">
        <w:t>There</w:t>
      </w:r>
      <w:r w:rsidRPr="00D4309F">
        <w:rPr>
          <w:spacing w:val="-7"/>
        </w:rPr>
        <w:t xml:space="preserve"> </w:t>
      </w:r>
      <w:r w:rsidRPr="00D4309F">
        <w:t>is</w:t>
      </w:r>
      <w:r w:rsidRPr="00D4309F">
        <w:rPr>
          <w:spacing w:val="-3"/>
        </w:rPr>
        <w:t xml:space="preserve"> </w:t>
      </w:r>
      <w:r w:rsidRPr="00D4309F">
        <w:t>sediment</w:t>
      </w:r>
      <w:r w:rsidRPr="00D4309F">
        <w:rPr>
          <w:spacing w:val="-3"/>
        </w:rPr>
        <w:t xml:space="preserve"> </w:t>
      </w:r>
      <w:r w:rsidRPr="00D4309F">
        <w:t>contamination</w:t>
      </w:r>
      <w:r w:rsidRPr="00D4309F">
        <w:rPr>
          <w:spacing w:val="-5"/>
        </w:rPr>
        <w:t xml:space="preserve"> </w:t>
      </w:r>
      <w:r w:rsidRPr="00D4309F">
        <w:t>data</w:t>
      </w:r>
      <w:r w:rsidRPr="00D4309F">
        <w:rPr>
          <w:spacing w:val="-4"/>
        </w:rPr>
        <w:t xml:space="preserve"> </w:t>
      </w:r>
      <w:r w:rsidRPr="00D4309F">
        <w:t>to</w:t>
      </w:r>
      <w:r w:rsidRPr="00D4309F">
        <w:rPr>
          <w:spacing w:val="-3"/>
        </w:rPr>
        <w:t xml:space="preserve"> </w:t>
      </w:r>
      <w:r w:rsidRPr="00D4309F">
        <w:t>inform</w:t>
      </w:r>
      <w:r w:rsidRPr="00D4309F">
        <w:rPr>
          <w:spacing w:val="-4"/>
        </w:rPr>
        <w:t xml:space="preserve"> </w:t>
      </w:r>
      <w:r w:rsidRPr="00D4309F">
        <w:t>the</w:t>
      </w:r>
      <w:r w:rsidRPr="00D4309F">
        <w:rPr>
          <w:spacing w:val="-4"/>
        </w:rPr>
        <w:t xml:space="preserve"> </w:t>
      </w:r>
      <w:r w:rsidRPr="00D4309F">
        <w:t>risk</w:t>
      </w:r>
      <w:r w:rsidRPr="00D4309F">
        <w:rPr>
          <w:spacing w:val="-3"/>
        </w:rPr>
        <w:t xml:space="preserve"> </w:t>
      </w:r>
      <w:r w:rsidRPr="00D4309F">
        <w:t>of</w:t>
      </w:r>
      <w:r w:rsidRPr="00D4309F">
        <w:rPr>
          <w:spacing w:val="-5"/>
        </w:rPr>
        <w:t xml:space="preserve"> </w:t>
      </w:r>
      <w:r w:rsidRPr="00D4309F">
        <w:t>on</w:t>
      </w:r>
      <w:r w:rsidRPr="00D4309F">
        <w:rPr>
          <w:spacing w:val="-4"/>
        </w:rPr>
        <w:t xml:space="preserve"> </w:t>
      </w:r>
      <w:r w:rsidRPr="00D4309F">
        <w:t>release</w:t>
      </w:r>
      <w:r w:rsidRPr="00D4309F">
        <w:rPr>
          <w:spacing w:val="-4"/>
        </w:rPr>
        <w:t xml:space="preserve"> </w:t>
      </w:r>
      <w:r w:rsidRPr="00D4309F">
        <w:t>of</w:t>
      </w:r>
      <w:r w:rsidRPr="00D4309F">
        <w:rPr>
          <w:spacing w:val="-5"/>
        </w:rPr>
        <w:t xml:space="preserve"> </w:t>
      </w:r>
      <w:r w:rsidRPr="00D4309F">
        <w:t>contaminants</w:t>
      </w:r>
      <w:r w:rsidRPr="00D4309F">
        <w:rPr>
          <w:spacing w:val="-4"/>
        </w:rPr>
        <w:t xml:space="preserve"> </w:t>
      </w:r>
      <w:r w:rsidRPr="00D4309F">
        <w:t>via</w:t>
      </w:r>
      <w:r w:rsidRPr="00D4309F">
        <w:rPr>
          <w:spacing w:val="-4"/>
        </w:rPr>
        <w:t xml:space="preserve"> </w:t>
      </w:r>
      <w:r w:rsidRPr="00D4309F">
        <w:t>dredging</w:t>
      </w:r>
      <w:r w:rsidRPr="00D4309F">
        <w:rPr>
          <w:spacing w:val="-3"/>
        </w:rPr>
        <w:t xml:space="preserve"> </w:t>
      </w:r>
      <w:r w:rsidRPr="00D4309F">
        <w:t>and</w:t>
      </w:r>
      <w:r w:rsidRPr="00D4309F">
        <w:rPr>
          <w:spacing w:val="-4"/>
        </w:rPr>
        <w:t xml:space="preserve"> </w:t>
      </w:r>
      <w:r w:rsidRPr="00D4309F">
        <w:t>disposal</w:t>
      </w:r>
    </w:p>
    <w:p w14:paraId="783917F9" w14:textId="77777777" w:rsidR="00230A0A" w:rsidRPr="00230A0A" w:rsidRDefault="00230A0A" w:rsidP="00D27F26">
      <w:pPr>
        <w:pStyle w:val="Table-Note"/>
        <w:numPr>
          <w:ilvl w:val="0"/>
          <w:numId w:val="495"/>
        </w:numPr>
      </w:pPr>
      <w:r w:rsidRPr="00D4309F">
        <w:t>No</w:t>
      </w:r>
      <w:r w:rsidRPr="00D4309F">
        <w:rPr>
          <w:spacing w:val="-5"/>
        </w:rPr>
        <w:t xml:space="preserve"> </w:t>
      </w:r>
      <w:r w:rsidRPr="00D4309F">
        <w:t>vegetation</w:t>
      </w:r>
      <w:r w:rsidRPr="00D4309F">
        <w:rPr>
          <w:spacing w:val="-5"/>
        </w:rPr>
        <w:t xml:space="preserve"> </w:t>
      </w:r>
      <w:r w:rsidRPr="00D4309F">
        <w:t>clearing</w:t>
      </w:r>
      <w:r w:rsidRPr="00D4309F">
        <w:rPr>
          <w:spacing w:val="-4"/>
        </w:rPr>
        <w:t xml:space="preserve"> </w:t>
      </w:r>
      <w:r w:rsidRPr="00D4309F">
        <w:t>is required</w:t>
      </w:r>
      <w:r w:rsidRPr="00D4309F">
        <w:rPr>
          <w:spacing w:val="-5"/>
        </w:rPr>
        <w:t xml:space="preserve"> </w:t>
      </w:r>
      <w:r w:rsidRPr="00D4309F">
        <w:t>for</w:t>
      </w:r>
      <w:r w:rsidRPr="00D4309F">
        <w:rPr>
          <w:spacing w:val="-5"/>
        </w:rPr>
        <w:t xml:space="preserve"> </w:t>
      </w:r>
      <w:r w:rsidRPr="00D4309F">
        <w:t>this</w:t>
      </w:r>
      <w:r w:rsidRPr="00D4309F">
        <w:rPr>
          <w:spacing w:val="-3"/>
        </w:rPr>
        <w:t xml:space="preserve"> </w:t>
      </w:r>
      <w:r w:rsidRPr="00D4309F">
        <w:t>option</w:t>
      </w:r>
    </w:p>
    <w:p w14:paraId="31A8B202" w14:textId="2447F971" w:rsidR="00725977" w:rsidRPr="00230A0A" w:rsidRDefault="00725977" w:rsidP="00D27F26">
      <w:pPr>
        <w:pStyle w:val="Table-Note"/>
        <w:numPr>
          <w:ilvl w:val="0"/>
          <w:numId w:val="495"/>
        </w:numPr>
      </w:pPr>
      <w:r w:rsidRPr="00230A0A">
        <w:t>Excavated</w:t>
      </w:r>
      <w:r w:rsidRPr="00230A0A">
        <w:rPr>
          <w:spacing w:val="-5"/>
        </w:rPr>
        <w:t xml:space="preserve"> </w:t>
      </w:r>
      <w:r w:rsidRPr="00230A0A">
        <w:t>rock</w:t>
      </w:r>
      <w:r w:rsidRPr="00230A0A">
        <w:rPr>
          <w:spacing w:val="-5"/>
        </w:rPr>
        <w:t xml:space="preserve"> </w:t>
      </w:r>
      <w:r w:rsidRPr="00230A0A">
        <w:t>will</w:t>
      </w:r>
      <w:r w:rsidRPr="00230A0A">
        <w:rPr>
          <w:spacing w:val="-5"/>
        </w:rPr>
        <w:t xml:space="preserve"> </w:t>
      </w:r>
      <w:r w:rsidRPr="00230A0A">
        <w:t>be</w:t>
      </w:r>
      <w:r w:rsidRPr="00230A0A">
        <w:rPr>
          <w:spacing w:val="-4"/>
        </w:rPr>
        <w:t xml:space="preserve"> </w:t>
      </w:r>
      <w:r w:rsidRPr="00230A0A">
        <w:t>disposed</w:t>
      </w:r>
      <w:r w:rsidRPr="00230A0A">
        <w:rPr>
          <w:spacing w:val="-5"/>
        </w:rPr>
        <w:t xml:space="preserve"> </w:t>
      </w:r>
      <w:r w:rsidRPr="00230A0A">
        <w:t>of offsite</w:t>
      </w:r>
      <w:r w:rsidRPr="00230A0A">
        <w:rPr>
          <w:spacing w:val="-4"/>
        </w:rPr>
        <w:t xml:space="preserve"> </w:t>
      </w:r>
      <w:r w:rsidRPr="00230A0A">
        <w:t>if</w:t>
      </w:r>
      <w:r w:rsidRPr="00230A0A">
        <w:rPr>
          <w:spacing w:val="-3"/>
        </w:rPr>
        <w:t xml:space="preserve"> </w:t>
      </w:r>
      <w:r w:rsidRPr="00230A0A">
        <w:t>not</w:t>
      </w:r>
      <w:r w:rsidRPr="00230A0A">
        <w:rPr>
          <w:spacing w:val="-4"/>
        </w:rPr>
        <w:t xml:space="preserve"> </w:t>
      </w:r>
      <w:r w:rsidRPr="00230A0A">
        <w:t>appropriate</w:t>
      </w:r>
      <w:r w:rsidRPr="00230A0A">
        <w:rPr>
          <w:spacing w:val="-3"/>
        </w:rPr>
        <w:t xml:space="preserve"> </w:t>
      </w:r>
      <w:r w:rsidRPr="00230A0A">
        <w:t>for</w:t>
      </w:r>
      <w:r w:rsidRPr="00230A0A">
        <w:rPr>
          <w:spacing w:val="-4"/>
        </w:rPr>
        <w:t xml:space="preserve"> </w:t>
      </w:r>
      <w:r w:rsidRPr="00230A0A">
        <w:t>offshore</w:t>
      </w:r>
      <w:r w:rsidRPr="00230A0A">
        <w:rPr>
          <w:spacing w:val="-3"/>
        </w:rPr>
        <w:t xml:space="preserve"> </w:t>
      </w:r>
      <w:r w:rsidRPr="00230A0A">
        <w:t>disposal</w:t>
      </w:r>
    </w:p>
    <w:p w14:paraId="5EDACA70" w14:textId="77777777" w:rsidR="00725977" w:rsidRDefault="00725977" w:rsidP="00725977">
      <w:pPr>
        <w:pStyle w:val="ListParagraph"/>
        <w:rPr>
          <w:sz w:val="14"/>
        </w:rPr>
      </w:pPr>
    </w:p>
    <w:p w14:paraId="2FC1BAC3" w14:textId="77777777" w:rsidR="00230A0A" w:rsidRPr="00D4309F" w:rsidRDefault="00230A0A" w:rsidP="00725977">
      <w:pPr>
        <w:pStyle w:val="ListParagraph"/>
        <w:rPr>
          <w:sz w:val="14"/>
        </w:rPr>
        <w:sectPr w:rsidR="00230A0A" w:rsidRPr="00D4309F" w:rsidSect="00405D4F">
          <w:headerReference w:type="default" r:id="rId102"/>
          <w:footerReference w:type="default" r:id="rId103"/>
          <w:pgSz w:w="16840" w:h="11910" w:orient="landscape"/>
          <w:pgMar w:top="1418" w:right="1134" w:bottom="1418" w:left="1134" w:header="916" w:footer="976" w:gutter="0"/>
          <w:cols w:space="720"/>
        </w:sectPr>
      </w:pPr>
    </w:p>
    <w:p w14:paraId="3626A1FB" w14:textId="77777777" w:rsidR="00725977" w:rsidRPr="00D4309F" w:rsidRDefault="00725977" w:rsidP="00725977">
      <w:pPr>
        <w:pStyle w:val="BodyText"/>
      </w:pPr>
      <w:r w:rsidRPr="00D4309F">
        <w:lastRenderedPageBreak/>
        <w:t>In summary, the rock cutting capital works for Option 2A will potentially result in a more extensive and persistent turbid plume and greater noise impacts potentially resulting in significant impacts to marine environmental</w:t>
      </w:r>
      <w:r w:rsidRPr="00D4309F">
        <w:rPr>
          <w:spacing w:val="-3"/>
        </w:rPr>
        <w:t xml:space="preserve"> </w:t>
      </w:r>
      <w:r w:rsidRPr="00D4309F">
        <w:t>quality,</w:t>
      </w:r>
      <w:r w:rsidRPr="00D4309F">
        <w:rPr>
          <w:spacing w:val="-3"/>
        </w:rPr>
        <w:t xml:space="preserve"> </w:t>
      </w:r>
      <w:r w:rsidRPr="00D4309F">
        <w:t>marine</w:t>
      </w:r>
      <w:r w:rsidRPr="00D4309F">
        <w:rPr>
          <w:spacing w:val="-3"/>
        </w:rPr>
        <w:t xml:space="preserve"> </w:t>
      </w:r>
      <w:r w:rsidRPr="00D4309F">
        <w:t>and</w:t>
      </w:r>
      <w:r w:rsidRPr="00D4309F">
        <w:rPr>
          <w:spacing w:val="-3"/>
        </w:rPr>
        <w:t xml:space="preserve"> </w:t>
      </w:r>
      <w:r w:rsidRPr="00D4309F">
        <w:t>terrestrial</w:t>
      </w:r>
      <w:r w:rsidRPr="00D4309F">
        <w:rPr>
          <w:spacing w:val="-3"/>
        </w:rPr>
        <w:t xml:space="preserve"> </w:t>
      </w:r>
      <w:r w:rsidRPr="00D4309F">
        <w:t>fauna</w:t>
      </w:r>
      <w:r w:rsidRPr="00D4309F">
        <w:rPr>
          <w:spacing w:val="-3"/>
        </w:rPr>
        <w:t xml:space="preserve"> </w:t>
      </w:r>
      <w:r w:rsidRPr="00D4309F">
        <w:t>and</w:t>
      </w:r>
      <w:r w:rsidRPr="00D4309F">
        <w:rPr>
          <w:spacing w:val="-3"/>
        </w:rPr>
        <w:t xml:space="preserve"> </w:t>
      </w:r>
      <w:r w:rsidRPr="00D4309F">
        <w:t>benthic</w:t>
      </w:r>
      <w:r w:rsidRPr="00D4309F">
        <w:rPr>
          <w:spacing w:val="-2"/>
        </w:rPr>
        <w:t xml:space="preserve"> </w:t>
      </w:r>
      <w:r w:rsidRPr="00D4309F">
        <w:t>habitats</w:t>
      </w:r>
      <w:r w:rsidRPr="00D4309F">
        <w:rPr>
          <w:spacing w:val="-3"/>
        </w:rPr>
        <w:t xml:space="preserve"> </w:t>
      </w:r>
      <w:r w:rsidRPr="00D4309F">
        <w:t>of</w:t>
      </w:r>
      <w:r w:rsidRPr="00D4309F">
        <w:rPr>
          <w:spacing w:val="-3"/>
        </w:rPr>
        <w:t xml:space="preserve"> </w:t>
      </w:r>
      <w:r w:rsidRPr="00D4309F">
        <w:t>conservation</w:t>
      </w:r>
      <w:r w:rsidRPr="00D4309F">
        <w:rPr>
          <w:spacing w:val="-3"/>
        </w:rPr>
        <w:t xml:space="preserve"> </w:t>
      </w:r>
      <w:r w:rsidRPr="00D4309F">
        <w:t>significance.</w:t>
      </w:r>
      <w:r w:rsidRPr="00D4309F">
        <w:rPr>
          <w:spacing w:val="-3"/>
        </w:rPr>
        <w:t xml:space="preserve"> </w:t>
      </w:r>
      <w:r w:rsidRPr="00D4309F">
        <w:t>This</w:t>
      </w:r>
      <w:r w:rsidRPr="00D4309F">
        <w:rPr>
          <w:spacing w:val="-2"/>
        </w:rPr>
        <w:t xml:space="preserve"> </w:t>
      </w:r>
      <w:r w:rsidRPr="00D4309F">
        <w:t>will require further assessment and monitoring/management during works, including timing the works to avoid key seasons for conservation significant fauna.</w:t>
      </w:r>
    </w:p>
    <w:p w14:paraId="23AB6B6E" w14:textId="23F4262E" w:rsidR="00725977" w:rsidRPr="00D4309F" w:rsidRDefault="00725977" w:rsidP="00725977">
      <w:pPr>
        <w:pStyle w:val="BodyText"/>
      </w:pPr>
      <w:r w:rsidRPr="00D4309F">
        <w:t>Once</w:t>
      </w:r>
      <w:r w:rsidRPr="00D4309F">
        <w:rPr>
          <w:spacing w:val="-3"/>
        </w:rPr>
        <w:t xml:space="preserve"> </w:t>
      </w:r>
      <w:r w:rsidRPr="00D4309F">
        <w:t>established,</w:t>
      </w:r>
      <w:r w:rsidRPr="00D4309F">
        <w:rPr>
          <w:spacing w:val="-3"/>
        </w:rPr>
        <w:t xml:space="preserve"> </w:t>
      </w:r>
      <w:r w:rsidRPr="00D4309F">
        <w:t>the</w:t>
      </w:r>
      <w:r w:rsidRPr="00D4309F">
        <w:rPr>
          <w:spacing w:val="-3"/>
        </w:rPr>
        <w:t xml:space="preserve"> </w:t>
      </w:r>
      <w:r w:rsidRPr="00D4309F">
        <w:t>ongoing</w:t>
      </w:r>
      <w:r w:rsidRPr="00D4309F">
        <w:rPr>
          <w:spacing w:val="-3"/>
        </w:rPr>
        <w:t xml:space="preserve"> </w:t>
      </w:r>
      <w:r w:rsidRPr="00D4309F">
        <w:t>environmental</w:t>
      </w:r>
      <w:r w:rsidRPr="00D4309F">
        <w:rPr>
          <w:spacing w:val="-4"/>
        </w:rPr>
        <w:t xml:space="preserve"> </w:t>
      </w:r>
      <w:r w:rsidRPr="00D4309F">
        <w:t>impact</w:t>
      </w:r>
      <w:r w:rsidRPr="00D4309F">
        <w:rPr>
          <w:spacing w:val="-3"/>
        </w:rPr>
        <w:t xml:space="preserve"> </w:t>
      </w:r>
      <w:r w:rsidRPr="00D4309F">
        <w:t>would</w:t>
      </w:r>
      <w:r w:rsidRPr="00D4309F">
        <w:rPr>
          <w:spacing w:val="-3"/>
        </w:rPr>
        <w:t xml:space="preserve"> </w:t>
      </w:r>
      <w:r w:rsidRPr="00D4309F">
        <w:t>be</w:t>
      </w:r>
      <w:r w:rsidRPr="00D4309F">
        <w:rPr>
          <w:spacing w:val="-3"/>
        </w:rPr>
        <w:t xml:space="preserve"> </w:t>
      </w:r>
      <w:r w:rsidRPr="00D4309F">
        <w:t>broadly</w:t>
      </w:r>
      <w:r w:rsidRPr="00D4309F">
        <w:rPr>
          <w:spacing w:val="-4"/>
        </w:rPr>
        <w:t xml:space="preserve"> </w:t>
      </w:r>
      <w:r w:rsidRPr="00D4309F">
        <w:t>consistent</w:t>
      </w:r>
      <w:r w:rsidRPr="00D4309F">
        <w:rPr>
          <w:spacing w:val="-3"/>
        </w:rPr>
        <w:t xml:space="preserve"> </w:t>
      </w:r>
      <w:r w:rsidRPr="00D4309F">
        <w:t>with</w:t>
      </w:r>
      <w:r w:rsidRPr="00D4309F">
        <w:rPr>
          <w:spacing w:val="-3"/>
        </w:rPr>
        <w:t xml:space="preserve"> </w:t>
      </w:r>
      <w:r w:rsidRPr="00D4309F">
        <w:t>existing</w:t>
      </w:r>
      <w:r w:rsidRPr="00D4309F">
        <w:rPr>
          <w:spacing w:val="-3"/>
        </w:rPr>
        <w:t xml:space="preserve"> </w:t>
      </w:r>
      <w:r w:rsidRPr="00D4309F">
        <w:t>maintenance dredging operations and potential impacts to benthic habitats, marine fauna and beach habitat can be managed during works. The beneficial reuse of dredged sand at Mooloolaba Beach would support natural coastal nourishment and maintain sediment balance along the shoreline.</w:t>
      </w:r>
    </w:p>
    <w:p w14:paraId="02451BB5" w14:textId="77777777" w:rsidR="00725977" w:rsidRPr="00D4309F" w:rsidRDefault="00725977" w:rsidP="008228CB">
      <w:pPr>
        <w:pStyle w:val="Heading3"/>
      </w:pPr>
      <w:bookmarkStart w:id="327" w:name="_Toc216699411"/>
      <w:r w:rsidRPr="00D4309F">
        <w:t>Social</w:t>
      </w:r>
      <w:r w:rsidRPr="00D4309F">
        <w:rPr>
          <w:spacing w:val="-3"/>
        </w:rPr>
        <w:t xml:space="preserve"> </w:t>
      </w:r>
      <w:r w:rsidRPr="00D4309F">
        <w:rPr>
          <w:spacing w:val="-2"/>
        </w:rPr>
        <w:t>impacts</w:t>
      </w:r>
      <w:bookmarkEnd w:id="327"/>
    </w:p>
    <w:p w14:paraId="30449079" w14:textId="77777777" w:rsidR="00725977" w:rsidRPr="00D4309F" w:rsidRDefault="00725977" w:rsidP="00725977">
      <w:pPr>
        <w:pStyle w:val="BodyText"/>
      </w:pPr>
      <w:r w:rsidRPr="00D4309F">
        <w:t>Option 2A is expected to generate social value with two positive impacts ranked as high in the SIE assessment,</w:t>
      </w:r>
      <w:r w:rsidRPr="00D4309F">
        <w:rPr>
          <w:spacing w:val="-3"/>
        </w:rPr>
        <w:t xml:space="preserve"> </w:t>
      </w:r>
      <w:r w:rsidRPr="00D4309F">
        <w:t>including:</w:t>
      </w:r>
      <w:r w:rsidRPr="00D4309F">
        <w:rPr>
          <w:spacing w:val="-4"/>
        </w:rPr>
        <w:t xml:space="preserve"> </w:t>
      </w:r>
      <w:r w:rsidRPr="00D4309F">
        <w:t>safer</w:t>
      </w:r>
      <w:r w:rsidRPr="00D4309F">
        <w:rPr>
          <w:spacing w:val="-3"/>
        </w:rPr>
        <w:t xml:space="preserve"> </w:t>
      </w:r>
      <w:r w:rsidRPr="00D4309F">
        <w:t>channel</w:t>
      </w:r>
      <w:r w:rsidRPr="00D4309F">
        <w:rPr>
          <w:spacing w:val="-3"/>
        </w:rPr>
        <w:t xml:space="preserve"> </w:t>
      </w:r>
      <w:r w:rsidRPr="00D4309F">
        <w:t>access</w:t>
      </w:r>
      <w:r w:rsidRPr="00D4309F">
        <w:rPr>
          <w:spacing w:val="-3"/>
        </w:rPr>
        <w:t xml:space="preserve"> </w:t>
      </w:r>
      <w:r w:rsidRPr="00D4309F">
        <w:t>through</w:t>
      </w:r>
      <w:r w:rsidRPr="00D4309F">
        <w:rPr>
          <w:spacing w:val="-3"/>
        </w:rPr>
        <w:t xml:space="preserve"> </w:t>
      </w:r>
      <w:r w:rsidRPr="00D4309F">
        <w:t>reduced</w:t>
      </w:r>
      <w:r w:rsidRPr="00D4309F">
        <w:rPr>
          <w:spacing w:val="-4"/>
        </w:rPr>
        <w:t xml:space="preserve"> </w:t>
      </w:r>
      <w:r w:rsidRPr="00D4309F">
        <w:t>shoaling</w:t>
      </w:r>
      <w:r w:rsidRPr="00D4309F">
        <w:rPr>
          <w:spacing w:val="-4"/>
        </w:rPr>
        <w:t xml:space="preserve"> </w:t>
      </w:r>
      <w:r w:rsidRPr="00D4309F">
        <w:t>and</w:t>
      </w:r>
      <w:r w:rsidRPr="00D4309F">
        <w:rPr>
          <w:spacing w:val="-3"/>
        </w:rPr>
        <w:t xml:space="preserve"> </w:t>
      </w:r>
      <w:r w:rsidRPr="00D4309F">
        <w:t>improved</w:t>
      </w:r>
      <w:r w:rsidRPr="00D4309F">
        <w:rPr>
          <w:spacing w:val="-4"/>
        </w:rPr>
        <w:t xml:space="preserve"> </w:t>
      </w:r>
      <w:r w:rsidRPr="00D4309F">
        <w:t>economic</w:t>
      </w:r>
      <w:r w:rsidRPr="00D4309F">
        <w:rPr>
          <w:spacing w:val="-3"/>
        </w:rPr>
        <w:t xml:space="preserve"> </w:t>
      </w:r>
      <w:r w:rsidRPr="00D4309F">
        <w:t>outcomes through more reliable channel access.</w:t>
      </w:r>
    </w:p>
    <w:p w14:paraId="01528B1E" w14:textId="42019D76" w:rsidR="00725977" w:rsidRPr="00D4309F" w:rsidRDefault="00725977" w:rsidP="00725977">
      <w:pPr>
        <w:pStyle w:val="BodyText"/>
      </w:pPr>
      <w:r w:rsidRPr="00D4309F">
        <w:t>When compared to the baseline, there were five negative social impacts identified, however, after mitigation measures were considered, there was one which may be of high concern to the community and stakeholders,</w:t>
      </w:r>
      <w:r w:rsidRPr="00D4309F">
        <w:rPr>
          <w:spacing w:val="-5"/>
        </w:rPr>
        <w:t xml:space="preserve"> </w:t>
      </w:r>
      <w:r w:rsidRPr="00D4309F">
        <w:t>being</w:t>
      </w:r>
      <w:r w:rsidRPr="00D4309F">
        <w:rPr>
          <w:spacing w:val="-3"/>
        </w:rPr>
        <w:t xml:space="preserve"> </w:t>
      </w:r>
      <w:r w:rsidRPr="00D4309F">
        <w:t>potential</w:t>
      </w:r>
      <w:r w:rsidRPr="00D4309F">
        <w:rPr>
          <w:spacing w:val="-3"/>
        </w:rPr>
        <w:t xml:space="preserve"> </w:t>
      </w:r>
      <w:r w:rsidRPr="00D4309F">
        <w:t>negative</w:t>
      </w:r>
      <w:r w:rsidRPr="00D4309F">
        <w:rPr>
          <w:spacing w:val="-3"/>
        </w:rPr>
        <w:t xml:space="preserve"> </w:t>
      </w:r>
      <w:r w:rsidRPr="00D4309F">
        <w:t>impact</w:t>
      </w:r>
      <w:r w:rsidRPr="00D4309F">
        <w:rPr>
          <w:spacing w:val="-3"/>
        </w:rPr>
        <w:t xml:space="preserve"> </w:t>
      </w:r>
      <w:r w:rsidRPr="00D4309F">
        <w:t>on</w:t>
      </w:r>
      <w:r w:rsidRPr="00D4309F">
        <w:rPr>
          <w:spacing w:val="-3"/>
        </w:rPr>
        <w:t xml:space="preserve"> </w:t>
      </w:r>
      <w:r w:rsidRPr="00D4309F">
        <w:t>the</w:t>
      </w:r>
      <w:r w:rsidRPr="00D4309F">
        <w:rPr>
          <w:spacing w:val="-4"/>
        </w:rPr>
        <w:t xml:space="preserve"> </w:t>
      </w:r>
      <w:r w:rsidRPr="00D4309F">
        <w:t>environment.</w:t>
      </w:r>
      <w:r w:rsidRPr="00D4309F">
        <w:rPr>
          <w:spacing w:val="-4"/>
        </w:rPr>
        <w:t xml:space="preserve"> </w:t>
      </w:r>
      <w:r w:rsidRPr="00D4309F">
        <w:t>Further</w:t>
      </w:r>
      <w:r w:rsidRPr="00D4309F">
        <w:rPr>
          <w:spacing w:val="-2"/>
        </w:rPr>
        <w:t xml:space="preserve"> </w:t>
      </w:r>
      <w:r w:rsidRPr="00D4309F">
        <w:t>mitigations</w:t>
      </w:r>
      <w:r w:rsidRPr="00D4309F">
        <w:rPr>
          <w:spacing w:val="-2"/>
        </w:rPr>
        <w:t xml:space="preserve"> </w:t>
      </w:r>
      <w:r w:rsidRPr="00D4309F">
        <w:t>must</w:t>
      </w:r>
      <w:r w:rsidRPr="00D4309F">
        <w:rPr>
          <w:spacing w:val="-3"/>
        </w:rPr>
        <w:t xml:space="preserve"> </w:t>
      </w:r>
      <w:r w:rsidRPr="00D4309F">
        <w:t>be</w:t>
      </w:r>
      <w:r w:rsidRPr="00D4309F">
        <w:rPr>
          <w:spacing w:val="-3"/>
        </w:rPr>
        <w:t xml:space="preserve"> </w:t>
      </w:r>
      <w:r w:rsidRPr="00D4309F">
        <w:t>undertaken</w:t>
      </w:r>
      <w:r w:rsidRPr="00D4309F">
        <w:rPr>
          <w:spacing w:val="-4"/>
        </w:rPr>
        <w:t xml:space="preserve"> </w:t>
      </w:r>
      <w:r w:rsidRPr="00D4309F">
        <w:t>to reduce potential negative social impacts including environmental assessments, management plans, silt curtains and broader community and stakeholder engagement.</w:t>
      </w:r>
    </w:p>
    <w:p w14:paraId="56AFB6FE" w14:textId="77777777" w:rsidR="00725977" w:rsidRPr="00D4309F" w:rsidRDefault="00725977" w:rsidP="008228CB">
      <w:pPr>
        <w:pStyle w:val="Heading3"/>
      </w:pPr>
      <w:bookmarkStart w:id="328" w:name="_Toc216699412"/>
      <w:r w:rsidRPr="00D4309F">
        <w:t>Economic</w:t>
      </w:r>
      <w:r w:rsidRPr="00D4309F">
        <w:rPr>
          <w:spacing w:val="-4"/>
        </w:rPr>
        <w:t xml:space="preserve"> </w:t>
      </w:r>
      <w:r w:rsidRPr="00D4309F">
        <w:rPr>
          <w:spacing w:val="-2"/>
        </w:rPr>
        <w:t>impacts</w:t>
      </w:r>
      <w:bookmarkEnd w:id="328"/>
    </w:p>
    <w:p w14:paraId="2E0C17DA" w14:textId="77777777" w:rsidR="00725977" w:rsidRPr="00D4309F" w:rsidRDefault="00725977" w:rsidP="00725977">
      <w:pPr>
        <w:pStyle w:val="BodyText"/>
      </w:pPr>
      <w:r w:rsidRPr="00D4309F">
        <w:t>Option</w:t>
      </w:r>
      <w:r w:rsidRPr="00D4309F">
        <w:rPr>
          <w:spacing w:val="-6"/>
        </w:rPr>
        <w:t xml:space="preserve"> </w:t>
      </w:r>
      <w:r w:rsidRPr="00D4309F">
        <w:t>2A</w:t>
      </w:r>
      <w:r w:rsidRPr="00D4309F">
        <w:rPr>
          <w:spacing w:val="-3"/>
        </w:rPr>
        <w:t xml:space="preserve"> </w:t>
      </w:r>
      <w:r w:rsidRPr="00D4309F">
        <w:t>is</w:t>
      </w:r>
      <w:r w:rsidRPr="00D4309F">
        <w:rPr>
          <w:spacing w:val="-4"/>
        </w:rPr>
        <w:t xml:space="preserve"> </w:t>
      </w:r>
      <w:r w:rsidRPr="00D4309F">
        <w:t>expected</w:t>
      </w:r>
      <w:r w:rsidRPr="00D4309F">
        <w:rPr>
          <w:spacing w:val="-3"/>
        </w:rPr>
        <w:t xml:space="preserve"> </w:t>
      </w:r>
      <w:r w:rsidRPr="00D4309F">
        <w:t>to</w:t>
      </w:r>
      <w:r w:rsidRPr="00D4309F">
        <w:rPr>
          <w:spacing w:val="-3"/>
        </w:rPr>
        <w:t xml:space="preserve"> </w:t>
      </w:r>
      <w:r w:rsidRPr="00D4309F">
        <w:t>have</w:t>
      </w:r>
      <w:r w:rsidRPr="00D4309F">
        <w:rPr>
          <w:spacing w:val="-4"/>
        </w:rPr>
        <w:t xml:space="preserve"> </w:t>
      </w:r>
      <w:r w:rsidRPr="00D4309F">
        <w:t>a</w:t>
      </w:r>
      <w:r w:rsidRPr="00D4309F">
        <w:rPr>
          <w:spacing w:val="-3"/>
        </w:rPr>
        <w:t xml:space="preserve"> </w:t>
      </w:r>
      <w:r w:rsidRPr="00D4309F">
        <w:t>low</w:t>
      </w:r>
      <w:r w:rsidRPr="00D4309F">
        <w:rPr>
          <w:spacing w:val="-3"/>
        </w:rPr>
        <w:t xml:space="preserve"> </w:t>
      </w:r>
      <w:r w:rsidRPr="00D4309F">
        <w:t>to</w:t>
      </w:r>
      <w:r w:rsidRPr="00D4309F">
        <w:rPr>
          <w:spacing w:val="-3"/>
        </w:rPr>
        <w:t xml:space="preserve"> </w:t>
      </w:r>
      <w:r w:rsidRPr="00D4309F">
        <w:t>moderate</w:t>
      </w:r>
      <w:r w:rsidRPr="00D4309F">
        <w:rPr>
          <w:spacing w:val="-3"/>
        </w:rPr>
        <w:t xml:space="preserve"> </w:t>
      </w:r>
      <w:r w:rsidRPr="00D4309F">
        <w:t>economic</w:t>
      </w:r>
      <w:r w:rsidRPr="00D4309F">
        <w:rPr>
          <w:spacing w:val="-3"/>
        </w:rPr>
        <w:t xml:space="preserve"> </w:t>
      </w:r>
      <w:r w:rsidRPr="00D4309F">
        <w:t>impact</w:t>
      </w:r>
      <w:r w:rsidRPr="00D4309F">
        <w:rPr>
          <w:spacing w:val="-3"/>
        </w:rPr>
        <w:t xml:space="preserve"> </w:t>
      </w:r>
      <w:r w:rsidRPr="00D4309F">
        <w:t>compared</w:t>
      </w:r>
      <w:r w:rsidRPr="00D4309F">
        <w:rPr>
          <w:spacing w:val="-3"/>
        </w:rPr>
        <w:t xml:space="preserve"> </w:t>
      </w:r>
      <w:r w:rsidRPr="00D4309F">
        <w:t>with</w:t>
      </w:r>
      <w:r w:rsidRPr="00D4309F">
        <w:rPr>
          <w:spacing w:val="-4"/>
        </w:rPr>
        <w:t xml:space="preserve"> </w:t>
      </w:r>
      <w:r w:rsidRPr="00D4309F">
        <w:t>the</w:t>
      </w:r>
      <w:r w:rsidRPr="00D4309F">
        <w:rPr>
          <w:spacing w:val="-3"/>
        </w:rPr>
        <w:t xml:space="preserve"> </w:t>
      </w:r>
      <w:r w:rsidRPr="00D4309F">
        <w:t>current</w:t>
      </w:r>
      <w:r w:rsidRPr="00D4309F">
        <w:rPr>
          <w:spacing w:val="-5"/>
        </w:rPr>
        <w:t xml:space="preserve"> </w:t>
      </w:r>
      <w:r w:rsidRPr="00D4309F">
        <w:rPr>
          <w:spacing w:val="-2"/>
        </w:rPr>
        <w:t>approach.</w:t>
      </w:r>
    </w:p>
    <w:p w14:paraId="20FBC284" w14:textId="77777777" w:rsidR="00725977" w:rsidRPr="00D4309F" w:rsidRDefault="00725977" w:rsidP="00725977">
      <w:pPr>
        <w:pStyle w:val="BodyText"/>
      </w:pPr>
      <w:r w:rsidRPr="00D4309F">
        <w:t>The</w:t>
      </w:r>
      <w:r w:rsidRPr="00D4309F">
        <w:rPr>
          <w:spacing w:val="-3"/>
        </w:rPr>
        <w:t xml:space="preserve"> </w:t>
      </w:r>
      <w:r w:rsidRPr="00D4309F">
        <w:t>project</w:t>
      </w:r>
      <w:r w:rsidRPr="00D4309F">
        <w:rPr>
          <w:spacing w:val="-3"/>
        </w:rPr>
        <w:t xml:space="preserve"> </w:t>
      </w:r>
      <w:r w:rsidRPr="00D4309F">
        <w:t>will</w:t>
      </w:r>
      <w:r w:rsidRPr="00D4309F">
        <w:rPr>
          <w:spacing w:val="-3"/>
        </w:rPr>
        <w:t xml:space="preserve"> </w:t>
      </w:r>
      <w:r w:rsidRPr="00D4309F">
        <w:t>reduce</w:t>
      </w:r>
      <w:r w:rsidRPr="00D4309F">
        <w:rPr>
          <w:spacing w:val="-3"/>
        </w:rPr>
        <w:t xml:space="preserve"> </w:t>
      </w:r>
      <w:r w:rsidRPr="00D4309F">
        <w:t>shoaling</w:t>
      </w:r>
      <w:r w:rsidRPr="00D4309F">
        <w:rPr>
          <w:spacing w:val="-3"/>
        </w:rPr>
        <w:t xml:space="preserve"> </w:t>
      </w:r>
      <w:r w:rsidRPr="00D4309F">
        <w:t>at</w:t>
      </w:r>
      <w:r w:rsidRPr="00D4309F">
        <w:rPr>
          <w:spacing w:val="-3"/>
        </w:rPr>
        <w:t xml:space="preserve"> </w:t>
      </w:r>
      <w:r w:rsidRPr="00D4309F">
        <w:t>the</w:t>
      </w:r>
      <w:r w:rsidRPr="00D4309F">
        <w:rPr>
          <w:spacing w:val="-3"/>
        </w:rPr>
        <w:t xml:space="preserve"> </w:t>
      </w:r>
      <w:r w:rsidRPr="00D4309F">
        <w:t>harbour</w:t>
      </w:r>
      <w:r w:rsidRPr="00D4309F">
        <w:rPr>
          <w:spacing w:val="-2"/>
        </w:rPr>
        <w:t xml:space="preserve"> </w:t>
      </w:r>
      <w:r w:rsidRPr="00D4309F">
        <w:t>entrance</w:t>
      </w:r>
      <w:r w:rsidRPr="00D4309F">
        <w:rPr>
          <w:spacing w:val="-3"/>
        </w:rPr>
        <w:t xml:space="preserve"> </w:t>
      </w:r>
      <w:r w:rsidRPr="00D4309F">
        <w:t>improving</w:t>
      </w:r>
      <w:r w:rsidRPr="00D4309F">
        <w:rPr>
          <w:spacing w:val="-4"/>
        </w:rPr>
        <w:t xml:space="preserve"> </w:t>
      </w:r>
      <w:r w:rsidRPr="00D4309F">
        <w:t>channel</w:t>
      </w:r>
      <w:r w:rsidRPr="00D4309F">
        <w:rPr>
          <w:spacing w:val="-3"/>
        </w:rPr>
        <w:t xml:space="preserve"> </w:t>
      </w:r>
      <w:r w:rsidRPr="00D4309F">
        <w:t>access</w:t>
      </w:r>
      <w:r w:rsidRPr="00D4309F">
        <w:rPr>
          <w:spacing w:val="-2"/>
        </w:rPr>
        <w:t xml:space="preserve"> </w:t>
      </w:r>
      <w:r w:rsidRPr="00D4309F">
        <w:t>and</w:t>
      </w:r>
      <w:r w:rsidRPr="00D4309F">
        <w:rPr>
          <w:spacing w:val="-3"/>
        </w:rPr>
        <w:t xml:space="preserve"> </w:t>
      </w:r>
      <w:r w:rsidRPr="00D4309F">
        <w:t>reliability</w:t>
      </w:r>
      <w:r w:rsidRPr="00D4309F">
        <w:rPr>
          <w:spacing w:val="-2"/>
        </w:rPr>
        <w:t xml:space="preserve"> </w:t>
      </w:r>
      <w:r w:rsidRPr="00D4309F">
        <w:t>for</w:t>
      </w:r>
      <w:r w:rsidRPr="00D4309F">
        <w:rPr>
          <w:spacing w:val="-2"/>
        </w:rPr>
        <w:t xml:space="preserve"> </w:t>
      </w:r>
      <w:r w:rsidRPr="00D4309F">
        <w:t>users</w:t>
      </w:r>
      <w:r w:rsidRPr="00D4309F">
        <w:rPr>
          <w:spacing w:val="-2"/>
        </w:rPr>
        <w:t xml:space="preserve"> </w:t>
      </w:r>
      <w:r w:rsidRPr="00D4309F">
        <w:t>in the long-term. This enhancement will allow both commercial and recreational vessels to navigate the channel without interruption, reducing delays and minimising reliance on emergency maintenance dredging. By ensuring consistent access, the project supports safer operations and greater confidence for businesses and the boating community. Maintenance dredging would remain consistent with current practices, however shoaling frequency across the entrance would be decreased due to the sand trap making dredging frequency less in future.</w:t>
      </w:r>
    </w:p>
    <w:p w14:paraId="7561FDE5" w14:textId="77777777" w:rsidR="00725977" w:rsidRPr="00D4309F" w:rsidRDefault="00725977" w:rsidP="00725977">
      <w:pPr>
        <w:pStyle w:val="BodyText"/>
      </w:pPr>
      <w:r w:rsidRPr="00D4309F">
        <w:t>During construction, temporary changes to channel access may occur, affecting recreational boaters and commercial operators who use the harbour entrance. Onshore rock fishing at the breakwater and Point Cartwright may also be impacted due to reduced fishing locations and safety requirements during works. These disruptions could lead to fewer</w:t>
      </w:r>
      <w:r w:rsidRPr="00D4309F">
        <w:rPr>
          <w:spacing w:val="-1"/>
        </w:rPr>
        <w:t xml:space="preserve"> </w:t>
      </w:r>
      <w:r w:rsidRPr="00D4309F">
        <w:t>visitors during the construction period, with</w:t>
      </w:r>
      <w:r w:rsidRPr="00D4309F">
        <w:rPr>
          <w:spacing w:val="-1"/>
        </w:rPr>
        <w:t xml:space="preserve"> </w:t>
      </w:r>
      <w:r w:rsidRPr="00D4309F">
        <w:t>some</w:t>
      </w:r>
      <w:r w:rsidRPr="00D4309F">
        <w:rPr>
          <w:spacing w:val="-1"/>
        </w:rPr>
        <w:t xml:space="preserve"> </w:t>
      </w:r>
      <w:r w:rsidRPr="00D4309F">
        <w:t>choosing alternative destinations on the Sunshine Coast or other coastal areas. This may result in short-term reductions in local spending,</w:t>
      </w:r>
      <w:r w:rsidRPr="00D4309F">
        <w:rPr>
          <w:spacing w:val="-3"/>
        </w:rPr>
        <w:t xml:space="preserve"> </w:t>
      </w:r>
      <w:r w:rsidRPr="00D4309F">
        <w:t>affecting</w:t>
      </w:r>
      <w:r w:rsidRPr="00D4309F">
        <w:rPr>
          <w:spacing w:val="-3"/>
        </w:rPr>
        <w:t xml:space="preserve"> </w:t>
      </w:r>
      <w:r w:rsidRPr="00D4309F">
        <w:t>nearby</w:t>
      </w:r>
      <w:r w:rsidRPr="00D4309F">
        <w:rPr>
          <w:spacing w:val="-3"/>
        </w:rPr>
        <w:t xml:space="preserve"> </w:t>
      </w:r>
      <w:r w:rsidRPr="00D4309F">
        <w:t>businesses;</w:t>
      </w:r>
      <w:r w:rsidRPr="00D4309F">
        <w:rPr>
          <w:spacing w:val="-3"/>
        </w:rPr>
        <w:t xml:space="preserve"> </w:t>
      </w:r>
      <w:r w:rsidRPr="00D4309F">
        <w:t>however,</w:t>
      </w:r>
      <w:r w:rsidRPr="00D4309F">
        <w:rPr>
          <w:spacing w:val="-3"/>
        </w:rPr>
        <w:t xml:space="preserve"> </w:t>
      </w:r>
      <w:r w:rsidRPr="00D4309F">
        <w:t>these</w:t>
      </w:r>
      <w:r w:rsidRPr="00D4309F">
        <w:rPr>
          <w:spacing w:val="-3"/>
        </w:rPr>
        <w:t xml:space="preserve"> </w:t>
      </w:r>
      <w:r w:rsidRPr="00D4309F">
        <w:t>impacts</w:t>
      </w:r>
      <w:r w:rsidRPr="00D4309F">
        <w:rPr>
          <w:spacing w:val="-2"/>
        </w:rPr>
        <w:t xml:space="preserve"> </w:t>
      </w:r>
      <w:r w:rsidRPr="00D4309F">
        <w:t>are</w:t>
      </w:r>
      <w:r w:rsidRPr="00D4309F">
        <w:rPr>
          <w:spacing w:val="-3"/>
        </w:rPr>
        <w:t xml:space="preserve"> </w:t>
      </w:r>
      <w:r w:rsidRPr="00D4309F">
        <w:t>expected</w:t>
      </w:r>
      <w:r w:rsidRPr="00D4309F">
        <w:rPr>
          <w:spacing w:val="-3"/>
        </w:rPr>
        <w:t xml:space="preserve"> </w:t>
      </w:r>
      <w:r w:rsidRPr="00D4309F">
        <w:t>to</w:t>
      </w:r>
      <w:r w:rsidRPr="00D4309F">
        <w:rPr>
          <w:spacing w:val="-3"/>
        </w:rPr>
        <w:t xml:space="preserve"> </w:t>
      </w:r>
      <w:r w:rsidRPr="00D4309F">
        <w:t>be</w:t>
      </w:r>
      <w:r w:rsidRPr="00D4309F">
        <w:rPr>
          <w:spacing w:val="-3"/>
        </w:rPr>
        <w:t xml:space="preserve"> </w:t>
      </w:r>
      <w:r w:rsidRPr="00D4309F">
        <w:t>temporary</w:t>
      </w:r>
      <w:r w:rsidRPr="00D4309F">
        <w:rPr>
          <w:spacing w:val="-2"/>
        </w:rPr>
        <w:t xml:space="preserve"> </w:t>
      </w:r>
      <w:r w:rsidRPr="00D4309F">
        <w:t>and</w:t>
      </w:r>
      <w:r w:rsidRPr="00D4309F">
        <w:rPr>
          <w:spacing w:val="-3"/>
        </w:rPr>
        <w:t xml:space="preserve"> </w:t>
      </w:r>
      <w:r w:rsidRPr="00D4309F">
        <w:t>managed to minimise disruption.</w:t>
      </w:r>
    </w:p>
    <w:p w14:paraId="421733F6" w14:textId="53AB5D4C" w:rsidR="00725977" w:rsidRPr="00D4309F" w:rsidRDefault="00725977" w:rsidP="00725977">
      <w:pPr>
        <w:pStyle w:val="BodyText"/>
      </w:pPr>
      <w:r w:rsidRPr="00D4309F">
        <w:t>In the longer term, Option 2A may result in changes to tidal patterns that influence wave conditions at Mooloolaba Beach. These changes could lead to a decline in surf quality, particularly to the north of the harbour, where wave energy may be reduced. A reduction in surf conditions could affect the area’s reputation as a popular surfing destination, potentially decreasing visitation over time. This decline in visitor numbers may have flow-on effects for local businesses that rely on tourism and recreational activity, including accommodation providers, cafes, and surf-related enterprises. While these impacts are uncertain and</w:t>
      </w:r>
      <w:r w:rsidRPr="00D4309F">
        <w:rPr>
          <w:spacing w:val="-3"/>
        </w:rPr>
        <w:t xml:space="preserve"> </w:t>
      </w:r>
      <w:r w:rsidRPr="00D4309F">
        <w:t>dependent</w:t>
      </w:r>
      <w:r w:rsidRPr="00D4309F">
        <w:rPr>
          <w:spacing w:val="-3"/>
        </w:rPr>
        <w:t xml:space="preserve"> </w:t>
      </w:r>
      <w:r w:rsidRPr="00D4309F">
        <w:t>on</w:t>
      </w:r>
      <w:r w:rsidRPr="00D4309F">
        <w:rPr>
          <w:spacing w:val="-3"/>
        </w:rPr>
        <w:t xml:space="preserve"> </w:t>
      </w:r>
      <w:r w:rsidRPr="00D4309F">
        <w:t>the</w:t>
      </w:r>
      <w:r w:rsidRPr="00D4309F">
        <w:rPr>
          <w:spacing w:val="-3"/>
        </w:rPr>
        <w:t xml:space="preserve"> </w:t>
      </w:r>
      <w:r w:rsidRPr="00D4309F">
        <w:t>extent</w:t>
      </w:r>
      <w:r w:rsidRPr="00D4309F">
        <w:rPr>
          <w:spacing w:val="-3"/>
        </w:rPr>
        <w:t xml:space="preserve"> </w:t>
      </w:r>
      <w:r w:rsidRPr="00D4309F">
        <w:t>of</w:t>
      </w:r>
      <w:r w:rsidRPr="00D4309F">
        <w:rPr>
          <w:spacing w:val="-3"/>
        </w:rPr>
        <w:t xml:space="preserve"> </w:t>
      </w:r>
      <w:r w:rsidRPr="00D4309F">
        <w:t>tidal</w:t>
      </w:r>
      <w:r w:rsidRPr="00D4309F">
        <w:rPr>
          <w:spacing w:val="-3"/>
        </w:rPr>
        <w:t xml:space="preserve"> </w:t>
      </w:r>
      <w:r w:rsidRPr="00D4309F">
        <w:t>changes,</w:t>
      </w:r>
      <w:r w:rsidRPr="00D4309F">
        <w:rPr>
          <w:spacing w:val="-3"/>
        </w:rPr>
        <w:t xml:space="preserve"> </w:t>
      </w:r>
      <w:r w:rsidRPr="00D4309F">
        <w:t>they</w:t>
      </w:r>
      <w:r w:rsidRPr="00D4309F">
        <w:rPr>
          <w:spacing w:val="-2"/>
        </w:rPr>
        <w:t xml:space="preserve"> </w:t>
      </w:r>
      <w:r w:rsidRPr="00D4309F">
        <w:t>represent</w:t>
      </w:r>
      <w:r w:rsidRPr="00D4309F">
        <w:rPr>
          <w:spacing w:val="-3"/>
        </w:rPr>
        <w:t xml:space="preserve"> </w:t>
      </w:r>
      <w:r w:rsidRPr="00D4309F">
        <w:t>a</w:t>
      </w:r>
      <w:r w:rsidRPr="00D4309F">
        <w:rPr>
          <w:spacing w:val="-3"/>
        </w:rPr>
        <w:t xml:space="preserve"> </w:t>
      </w:r>
      <w:r w:rsidRPr="00D4309F">
        <w:t>potential</w:t>
      </w:r>
      <w:r w:rsidRPr="00D4309F">
        <w:rPr>
          <w:spacing w:val="-3"/>
        </w:rPr>
        <w:t xml:space="preserve"> </w:t>
      </w:r>
      <w:r w:rsidRPr="00D4309F">
        <w:t>long-term</w:t>
      </w:r>
      <w:r w:rsidRPr="00D4309F">
        <w:rPr>
          <w:spacing w:val="-3"/>
        </w:rPr>
        <w:t xml:space="preserve"> </w:t>
      </w:r>
      <w:r w:rsidRPr="00D4309F">
        <w:t>consideration</w:t>
      </w:r>
      <w:r w:rsidRPr="00D4309F">
        <w:rPr>
          <w:spacing w:val="-3"/>
        </w:rPr>
        <w:t xml:space="preserve"> </w:t>
      </w:r>
      <w:r w:rsidRPr="00D4309F">
        <w:t>for</w:t>
      </w:r>
      <w:r w:rsidRPr="00D4309F">
        <w:rPr>
          <w:spacing w:val="-2"/>
        </w:rPr>
        <w:t xml:space="preserve"> </w:t>
      </w:r>
      <w:r w:rsidRPr="00D4309F">
        <w:t>the</w:t>
      </w:r>
      <w:r w:rsidRPr="00D4309F">
        <w:rPr>
          <w:spacing w:val="-3"/>
        </w:rPr>
        <w:t xml:space="preserve"> </w:t>
      </w:r>
      <w:r w:rsidRPr="00D4309F">
        <w:t>local economy and community.</w:t>
      </w:r>
    </w:p>
    <w:p w14:paraId="0F313D89" w14:textId="77777777" w:rsidR="00725977" w:rsidRPr="00D4309F" w:rsidRDefault="00725977" w:rsidP="008228CB">
      <w:pPr>
        <w:pStyle w:val="Heading3"/>
      </w:pPr>
      <w:bookmarkStart w:id="329" w:name="_Toc216699413"/>
      <w:r w:rsidRPr="00D4309F">
        <w:t>Future</w:t>
      </w:r>
      <w:r w:rsidRPr="00D4309F">
        <w:rPr>
          <w:spacing w:val="-5"/>
        </w:rPr>
        <w:t xml:space="preserve"> </w:t>
      </w:r>
      <w:r w:rsidRPr="00D4309F">
        <w:t>adaption</w:t>
      </w:r>
      <w:bookmarkEnd w:id="329"/>
    </w:p>
    <w:p w14:paraId="6F126A16" w14:textId="77777777" w:rsidR="00725977" w:rsidRPr="00D4309F" w:rsidRDefault="00725977" w:rsidP="00725977">
      <w:pPr>
        <w:pStyle w:val="BodyText"/>
      </w:pPr>
      <w:r w:rsidRPr="00D4309F">
        <w:t>The excavated rock trap would form a permanent physical feature that can be expanded, deepened, or integrated with additional sediment-transfer infrastructure over time. This allows the system to evolve alongside</w:t>
      </w:r>
      <w:r w:rsidRPr="00D4309F">
        <w:rPr>
          <w:spacing w:val="-3"/>
        </w:rPr>
        <w:t xml:space="preserve"> </w:t>
      </w:r>
      <w:r w:rsidRPr="00D4309F">
        <w:t>future</w:t>
      </w:r>
      <w:r w:rsidRPr="00D4309F">
        <w:rPr>
          <w:spacing w:val="-3"/>
        </w:rPr>
        <w:t xml:space="preserve"> </w:t>
      </w:r>
      <w:r w:rsidRPr="00D4309F">
        <w:t>management</w:t>
      </w:r>
      <w:r w:rsidRPr="00D4309F">
        <w:rPr>
          <w:spacing w:val="-3"/>
        </w:rPr>
        <w:t xml:space="preserve"> </w:t>
      </w:r>
      <w:r w:rsidRPr="00D4309F">
        <w:t>needs,</w:t>
      </w:r>
      <w:r w:rsidRPr="00D4309F">
        <w:rPr>
          <w:spacing w:val="-3"/>
        </w:rPr>
        <w:t xml:space="preserve"> </w:t>
      </w:r>
      <w:r w:rsidRPr="00D4309F">
        <w:t>transitioning</w:t>
      </w:r>
      <w:r w:rsidRPr="00D4309F">
        <w:rPr>
          <w:spacing w:val="-3"/>
        </w:rPr>
        <w:t xml:space="preserve"> </w:t>
      </w:r>
      <w:r w:rsidRPr="00D4309F">
        <w:t>from</w:t>
      </w:r>
      <w:r w:rsidRPr="00D4309F">
        <w:rPr>
          <w:spacing w:val="-4"/>
        </w:rPr>
        <w:t xml:space="preserve"> </w:t>
      </w:r>
      <w:r w:rsidRPr="00D4309F">
        <w:t>a</w:t>
      </w:r>
      <w:r w:rsidRPr="00D4309F">
        <w:rPr>
          <w:spacing w:val="-3"/>
        </w:rPr>
        <w:t xml:space="preserve"> </w:t>
      </w:r>
      <w:r w:rsidRPr="00D4309F">
        <w:t>simple</w:t>
      </w:r>
      <w:r w:rsidRPr="00D4309F">
        <w:rPr>
          <w:spacing w:val="-3"/>
        </w:rPr>
        <w:t xml:space="preserve"> </w:t>
      </w:r>
      <w:r w:rsidRPr="00D4309F">
        <w:t>dredge-maintained</w:t>
      </w:r>
      <w:r w:rsidRPr="00D4309F">
        <w:rPr>
          <w:spacing w:val="-3"/>
        </w:rPr>
        <w:t xml:space="preserve"> </w:t>
      </w:r>
      <w:r w:rsidRPr="00D4309F">
        <w:t>trap</w:t>
      </w:r>
      <w:r w:rsidRPr="00D4309F">
        <w:rPr>
          <w:spacing w:val="-3"/>
        </w:rPr>
        <w:t xml:space="preserve"> </w:t>
      </w:r>
      <w:r w:rsidRPr="00D4309F">
        <w:t>to</w:t>
      </w:r>
      <w:r w:rsidRPr="00D4309F">
        <w:rPr>
          <w:spacing w:val="-3"/>
        </w:rPr>
        <w:t xml:space="preserve"> </w:t>
      </w:r>
      <w:r w:rsidRPr="00D4309F">
        <w:t>more</w:t>
      </w:r>
      <w:r w:rsidRPr="00D4309F">
        <w:rPr>
          <w:spacing w:val="-3"/>
        </w:rPr>
        <w:t xml:space="preserve"> </w:t>
      </w:r>
      <w:r w:rsidRPr="00D4309F">
        <w:t>engineered approaches such</w:t>
      </w:r>
      <w:r w:rsidRPr="00D4309F">
        <w:rPr>
          <w:spacing w:val="-1"/>
        </w:rPr>
        <w:t xml:space="preserve"> </w:t>
      </w:r>
      <w:r w:rsidRPr="00D4309F">
        <w:t>as periodic TSHD campaigns (Option</w:t>
      </w:r>
      <w:r w:rsidRPr="00D4309F">
        <w:rPr>
          <w:spacing w:val="-1"/>
        </w:rPr>
        <w:t xml:space="preserve"> </w:t>
      </w:r>
      <w:r w:rsidRPr="00D4309F">
        <w:t>2B) or a</w:t>
      </w:r>
      <w:r w:rsidRPr="00D4309F">
        <w:rPr>
          <w:spacing w:val="-2"/>
        </w:rPr>
        <w:t xml:space="preserve"> </w:t>
      </w:r>
      <w:r w:rsidRPr="00D4309F">
        <w:t>semi-permanent</w:t>
      </w:r>
      <w:r w:rsidRPr="00D4309F">
        <w:rPr>
          <w:spacing w:val="-1"/>
        </w:rPr>
        <w:t xml:space="preserve"> </w:t>
      </w:r>
      <w:r w:rsidRPr="00D4309F">
        <w:t>pump</w:t>
      </w:r>
      <w:r w:rsidRPr="00D4309F">
        <w:rPr>
          <w:spacing w:val="-1"/>
        </w:rPr>
        <w:t xml:space="preserve"> </w:t>
      </w:r>
      <w:r w:rsidRPr="00D4309F">
        <w:t>and</w:t>
      </w:r>
      <w:r w:rsidRPr="00D4309F">
        <w:rPr>
          <w:spacing w:val="-1"/>
        </w:rPr>
        <w:t xml:space="preserve"> </w:t>
      </w:r>
      <w:r w:rsidRPr="00D4309F">
        <w:t>pipeline</w:t>
      </w:r>
      <w:r w:rsidRPr="00D4309F">
        <w:rPr>
          <w:spacing w:val="-1"/>
        </w:rPr>
        <w:t xml:space="preserve"> </w:t>
      </w:r>
      <w:r w:rsidRPr="00D4309F">
        <w:t>transfer system (Option 2C). This staged adaptability aligns with the broader principle of starting “soft” and progressing toward “harder” interventions as performance data and confidence increase.</w:t>
      </w:r>
    </w:p>
    <w:p w14:paraId="3EBD08D0" w14:textId="77777777" w:rsidR="00725977" w:rsidRPr="00D4309F" w:rsidRDefault="00725977" w:rsidP="00725977">
      <w:pPr>
        <w:pStyle w:val="BodyText"/>
      </w:pPr>
      <w:r w:rsidRPr="00D4309F">
        <w:lastRenderedPageBreak/>
        <w:t>Structurally, the excavated trap is highly resilient to environmental change. Its rock foundation ensures stability under storm</w:t>
      </w:r>
      <w:r w:rsidRPr="00D4309F">
        <w:rPr>
          <w:spacing w:val="-1"/>
        </w:rPr>
        <w:t xml:space="preserve"> </w:t>
      </w:r>
      <w:r w:rsidRPr="00D4309F">
        <w:t>conditions,</w:t>
      </w:r>
      <w:r w:rsidRPr="00D4309F">
        <w:rPr>
          <w:spacing w:val="-1"/>
        </w:rPr>
        <w:t xml:space="preserve"> </w:t>
      </w:r>
      <w:r w:rsidRPr="00D4309F">
        <w:t>extreme</w:t>
      </w:r>
      <w:r w:rsidRPr="00D4309F">
        <w:rPr>
          <w:spacing w:val="-2"/>
        </w:rPr>
        <w:t xml:space="preserve"> </w:t>
      </w:r>
      <w:r w:rsidRPr="00D4309F">
        <w:t>wave</w:t>
      </w:r>
      <w:r w:rsidRPr="00D4309F">
        <w:rPr>
          <w:spacing w:val="-1"/>
        </w:rPr>
        <w:t xml:space="preserve"> </w:t>
      </w:r>
      <w:r w:rsidRPr="00D4309F">
        <w:t>events,</w:t>
      </w:r>
      <w:r w:rsidRPr="00D4309F">
        <w:rPr>
          <w:spacing w:val="-3"/>
        </w:rPr>
        <w:t xml:space="preserve"> </w:t>
      </w:r>
      <w:r w:rsidRPr="00D4309F">
        <w:t>and</w:t>
      </w:r>
      <w:r w:rsidRPr="00D4309F">
        <w:rPr>
          <w:spacing w:val="-1"/>
        </w:rPr>
        <w:t xml:space="preserve"> </w:t>
      </w:r>
      <w:r w:rsidRPr="00D4309F">
        <w:t>future</w:t>
      </w:r>
      <w:r w:rsidRPr="00D4309F">
        <w:rPr>
          <w:spacing w:val="-2"/>
        </w:rPr>
        <w:t xml:space="preserve"> </w:t>
      </w:r>
      <w:r w:rsidRPr="00D4309F">
        <w:t>sea-level</w:t>
      </w:r>
      <w:r w:rsidRPr="00D4309F">
        <w:rPr>
          <w:spacing w:val="-1"/>
        </w:rPr>
        <w:t xml:space="preserve"> </w:t>
      </w:r>
      <w:r w:rsidRPr="00D4309F">
        <w:t>rise.</w:t>
      </w:r>
      <w:r w:rsidRPr="00D4309F">
        <w:rPr>
          <w:spacing w:val="-1"/>
        </w:rPr>
        <w:t xml:space="preserve"> </w:t>
      </w:r>
      <w:r w:rsidRPr="00D4309F">
        <w:t>The</w:t>
      </w:r>
      <w:r w:rsidRPr="00D4309F">
        <w:rPr>
          <w:spacing w:val="-1"/>
        </w:rPr>
        <w:t xml:space="preserve"> </w:t>
      </w:r>
      <w:r w:rsidRPr="00D4309F">
        <w:t>system</w:t>
      </w:r>
      <w:r w:rsidRPr="00D4309F">
        <w:rPr>
          <w:spacing w:val="-1"/>
        </w:rPr>
        <w:t xml:space="preserve"> </w:t>
      </w:r>
      <w:r w:rsidRPr="00D4309F">
        <w:t>can</w:t>
      </w:r>
      <w:r w:rsidRPr="00D4309F">
        <w:rPr>
          <w:spacing w:val="-1"/>
        </w:rPr>
        <w:t xml:space="preserve"> </w:t>
      </w:r>
      <w:r w:rsidRPr="00D4309F">
        <w:t>also</w:t>
      </w:r>
      <w:r w:rsidRPr="00D4309F">
        <w:rPr>
          <w:spacing w:val="-1"/>
        </w:rPr>
        <w:t xml:space="preserve"> </w:t>
      </w:r>
      <w:r w:rsidRPr="00D4309F">
        <w:t>adapt operationally, dredging frequency, timing, and placement strategy can be refined over time as sediment behaviour and climate conditions evolve. Importantly, if the system were ever deemed no longer necessary or cost-effective, it could be decommissioned passively; the trap would naturally infill with sand through ongoing</w:t>
      </w:r>
      <w:r w:rsidRPr="00D4309F">
        <w:rPr>
          <w:spacing w:val="-3"/>
        </w:rPr>
        <w:t xml:space="preserve"> </w:t>
      </w:r>
      <w:r w:rsidRPr="00D4309F">
        <w:t>coastal</w:t>
      </w:r>
      <w:r w:rsidRPr="00D4309F">
        <w:rPr>
          <w:spacing w:val="-3"/>
        </w:rPr>
        <w:t xml:space="preserve"> </w:t>
      </w:r>
      <w:r w:rsidRPr="00D4309F">
        <w:t>processes,</w:t>
      </w:r>
      <w:r w:rsidRPr="00D4309F">
        <w:rPr>
          <w:spacing w:val="-3"/>
        </w:rPr>
        <w:t xml:space="preserve"> </w:t>
      </w:r>
      <w:r w:rsidRPr="00D4309F">
        <w:t>gradually</w:t>
      </w:r>
      <w:r w:rsidRPr="00D4309F">
        <w:rPr>
          <w:spacing w:val="-2"/>
        </w:rPr>
        <w:t xml:space="preserve"> </w:t>
      </w:r>
      <w:r w:rsidRPr="00D4309F">
        <w:t>restoring</w:t>
      </w:r>
      <w:r w:rsidRPr="00D4309F">
        <w:rPr>
          <w:spacing w:val="-3"/>
        </w:rPr>
        <w:t xml:space="preserve"> </w:t>
      </w:r>
      <w:r w:rsidRPr="00D4309F">
        <w:t>the</w:t>
      </w:r>
      <w:r w:rsidRPr="00D4309F">
        <w:rPr>
          <w:spacing w:val="-3"/>
        </w:rPr>
        <w:t xml:space="preserve"> </w:t>
      </w:r>
      <w:r w:rsidRPr="00D4309F">
        <w:t>seabed</w:t>
      </w:r>
      <w:r w:rsidRPr="00D4309F">
        <w:rPr>
          <w:spacing w:val="-3"/>
        </w:rPr>
        <w:t xml:space="preserve"> </w:t>
      </w:r>
      <w:r w:rsidRPr="00D4309F">
        <w:t>to</w:t>
      </w:r>
      <w:r w:rsidRPr="00D4309F">
        <w:rPr>
          <w:spacing w:val="-3"/>
        </w:rPr>
        <w:t xml:space="preserve"> </w:t>
      </w:r>
      <w:r w:rsidRPr="00D4309F">
        <w:t>its</w:t>
      </w:r>
      <w:r w:rsidRPr="00D4309F">
        <w:rPr>
          <w:spacing w:val="-2"/>
        </w:rPr>
        <w:t xml:space="preserve"> </w:t>
      </w:r>
      <w:r w:rsidRPr="00D4309F">
        <w:t>pre-construction</w:t>
      </w:r>
      <w:r w:rsidRPr="00D4309F">
        <w:rPr>
          <w:spacing w:val="-3"/>
        </w:rPr>
        <w:t xml:space="preserve"> </w:t>
      </w:r>
      <w:r w:rsidRPr="00D4309F">
        <w:t>condition</w:t>
      </w:r>
      <w:r w:rsidRPr="00D4309F">
        <w:rPr>
          <w:spacing w:val="-3"/>
        </w:rPr>
        <w:t xml:space="preserve"> </w:t>
      </w:r>
      <w:r w:rsidRPr="00D4309F">
        <w:t>without</w:t>
      </w:r>
      <w:r w:rsidRPr="00D4309F">
        <w:rPr>
          <w:spacing w:val="-3"/>
        </w:rPr>
        <w:t xml:space="preserve"> </w:t>
      </w:r>
      <w:r w:rsidRPr="00D4309F">
        <w:t>requiring active intervention.</w:t>
      </w:r>
    </w:p>
    <w:p w14:paraId="490F1DEA" w14:textId="42914B15" w:rsidR="00725977" w:rsidRPr="00D4309F" w:rsidRDefault="00725977" w:rsidP="00725977">
      <w:pPr>
        <w:pStyle w:val="BodyText"/>
      </w:pPr>
      <w:r w:rsidRPr="00D4309F">
        <w:t>Option</w:t>
      </w:r>
      <w:r w:rsidRPr="00D4309F">
        <w:rPr>
          <w:spacing w:val="-2"/>
        </w:rPr>
        <w:t xml:space="preserve"> </w:t>
      </w:r>
      <w:r w:rsidRPr="00D4309F">
        <w:t>2A</w:t>
      </w:r>
      <w:r w:rsidRPr="00D4309F">
        <w:rPr>
          <w:spacing w:val="-2"/>
        </w:rPr>
        <w:t xml:space="preserve"> </w:t>
      </w:r>
      <w:r w:rsidRPr="00D4309F">
        <w:t>is</w:t>
      </w:r>
      <w:r w:rsidRPr="00D4309F">
        <w:rPr>
          <w:spacing w:val="-1"/>
        </w:rPr>
        <w:t xml:space="preserve"> </w:t>
      </w:r>
      <w:r w:rsidRPr="00D4309F">
        <w:t>fully</w:t>
      </w:r>
      <w:r w:rsidRPr="00D4309F">
        <w:rPr>
          <w:spacing w:val="-2"/>
        </w:rPr>
        <w:t xml:space="preserve"> </w:t>
      </w:r>
      <w:r w:rsidRPr="00D4309F">
        <w:t>compatible</w:t>
      </w:r>
      <w:r w:rsidRPr="00D4309F">
        <w:rPr>
          <w:spacing w:val="-2"/>
        </w:rPr>
        <w:t xml:space="preserve"> </w:t>
      </w:r>
      <w:r w:rsidRPr="00D4309F">
        <w:t>with</w:t>
      </w:r>
      <w:r w:rsidRPr="00D4309F">
        <w:rPr>
          <w:spacing w:val="-2"/>
        </w:rPr>
        <w:t xml:space="preserve"> </w:t>
      </w:r>
      <w:r w:rsidRPr="00D4309F">
        <w:t>future</w:t>
      </w:r>
      <w:r w:rsidRPr="00D4309F">
        <w:rPr>
          <w:spacing w:val="-3"/>
        </w:rPr>
        <w:t xml:space="preserve"> </w:t>
      </w:r>
      <w:r w:rsidRPr="00D4309F">
        <w:t>upgrades</w:t>
      </w:r>
      <w:r w:rsidRPr="00D4309F">
        <w:rPr>
          <w:spacing w:val="-1"/>
        </w:rPr>
        <w:t xml:space="preserve"> </w:t>
      </w:r>
      <w:r w:rsidRPr="00D4309F">
        <w:t>and</w:t>
      </w:r>
      <w:r w:rsidRPr="00D4309F">
        <w:rPr>
          <w:spacing w:val="-3"/>
        </w:rPr>
        <w:t xml:space="preserve"> </w:t>
      </w:r>
      <w:r w:rsidRPr="00D4309F">
        <w:t>hybrid</w:t>
      </w:r>
      <w:r w:rsidRPr="00D4309F">
        <w:rPr>
          <w:spacing w:val="-2"/>
        </w:rPr>
        <w:t xml:space="preserve"> </w:t>
      </w:r>
      <w:r w:rsidRPr="00D4309F">
        <w:t>approaches.</w:t>
      </w:r>
      <w:r w:rsidRPr="00D4309F">
        <w:rPr>
          <w:spacing w:val="-2"/>
        </w:rPr>
        <w:t xml:space="preserve"> </w:t>
      </w:r>
      <w:r w:rsidRPr="00D4309F">
        <w:t>It</w:t>
      </w:r>
      <w:r w:rsidRPr="00D4309F">
        <w:rPr>
          <w:spacing w:val="-2"/>
        </w:rPr>
        <w:t xml:space="preserve"> </w:t>
      </w:r>
      <w:r w:rsidRPr="00D4309F">
        <w:t>could</w:t>
      </w:r>
      <w:r w:rsidRPr="00D4309F">
        <w:rPr>
          <w:spacing w:val="-2"/>
        </w:rPr>
        <w:t xml:space="preserve"> </w:t>
      </w:r>
      <w:r w:rsidRPr="00D4309F">
        <w:t>serve</w:t>
      </w:r>
      <w:r w:rsidRPr="00D4309F">
        <w:rPr>
          <w:spacing w:val="-2"/>
        </w:rPr>
        <w:t xml:space="preserve"> </w:t>
      </w:r>
      <w:r w:rsidRPr="00D4309F">
        <w:t>as</w:t>
      </w:r>
      <w:r w:rsidRPr="00D4309F">
        <w:rPr>
          <w:spacing w:val="-1"/>
        </w:rPr>
        <w:t xml:space="preserve"> </w:t>
      </w:r>
      <w:r w:rsidRPr="00D4309F">
        <w:t>the</w:t>
      </w:r>
      <w:r w:rsidRPr="00D4309F">
        <w:rPr>
          <w:spacing w:val="-2"/>
        </w:rPr>
        <w:t xml:space="preserve"> </w:t>
      </w:r>
      <w:r w:rsidRPr="00D4309F">
        <w:t>initial</w:t>
      </w:r>
      <w:r w:rsidRPr="00D4309F">
        <w:rPr>
          <w:spacing w:val="-2"/>
        </w:rPr>
        <w:t xml:space="preserve"> </w:t>
      </w:r>
      <w:r w:rsidRPr="00D4309F">
        <w:t>stage of</w:t>
      </w:r>
      <w:r w:rsidRPr="00D4309F">
        <w:rPr>
          <w:spacing w:val="-1"/>
        </w:rPr>
        <w:t xml:space="preserve"> </w:t>
      </w:r>
      <w:r w:rsidRPr="00D4309F">
        <w:t>a</w:t>
      </w:r>
      <w:r w:rsidRPr="00D4309F">
        <w:rPr>
          <w:spacing w:val="-1"/>
        </w:rPr>
        <w:t xml:space="preserve"> </w:t>
      </w:r>
      <w:r w:rsidRPr="00D4309F">
        <w:t>phased</w:t>
      </w:r>
      <w:r w:rsidRPr="00D4309F">
        <w:rPr>
          <w:spacing w:val="-1"/>
        </w:rPr>
        <w:t xml:space="preserve"> </w:t>
      </w:r>
      <w:r w:rsidRPr="00D4309F">
        <w:t>implementation</w:t>
      </w:r>
      <w:r w:rsidRPr="00D4309F">
        <w:rPr>
          <w:spacing w:val="-1"/>
        </w:rPr>
        <w:t xml:space="preserve"> </w:t>
      </w:r>
      <w:r w:rsidRPr="00D4309F">
        <w:t>pathway,</w:t>
      </w:r>
      <w:r w:rsidRPr="00D4309F">
        <w:rPr>
          <w:spacing w:val="-1"/>
        </w:rPr>
        <w:t xml:space="preserve"> </w:t>
      </w:r>
      <w:r w:rsidRPr="00D4309F">
        <w:t>with</w:t>
      </w:r>
      <w:r w:rsidRPr="00D4309F">
        <w:rPr>
          <w:spacing w:val="-1"/>
        </w:rPr>
        <w:t xml:space="preserve"> </w:t>
      </w:r>
      <w:r w:rsidRPr="00D4309F">
        <w:t>potential</w:t>
      </w:r>
      <w:r w:rsidRPr="00D4309F">
        <w:rPr>
          <w:spacing w:val="-1"/>
        </w:rPr>
        <w:t xml:space="preserve"> </w:t>
      </w:r>
      <w:r w:rsidRPr="00D4309F">
        <w:t>transition</w:t>
      </w:r>
      <w:r w:rsidRPr="00D4309F">
        <w:rPr>
          <w:spacing w:val="-1"/>
        </w:rPr>
        <w:t xml:space="preserve"> </w:t>
      </w:r>
      <w:r w:rsidRPr="00D4309F">
        <w:t>to</w:t>
      </w:r>
      <w:r w:rsidRPr="00D4309F">
        <w:rPr>
          <w:spacing w:val="-1"/>
        </w:rPr>
        <w:t xml:space="preserve"> </w:t>
      </w:r>
      <w:r w:rsidRPr="00D4309F">
        <w:t>Option</w:t>
      </w:r>
      <w:r w:rsidRPr="00D4309F">
        <w:rPr>
          <w:spacing w:val="-1"/>
        </w:rPr>
        <w:t xml:space="preserve"> </w:t>
      </w:r>
      <w:r w:rsidRPr="00D4309F">
        <w:t>2B</w:t>
      </w:r>
      <w:r w:rsidRPr="00D4309F">
        <w:rPr>
          <w:spacing w:val="-1"/>
        </w:rPr>
        <w:t xml:space="preserve"> </w:t>
      </w:r>
      <w:r w:rsidRPr="00D4309F">
        <w:t>or 2C as operational</w:t>
      </w:r>
      <w:r w:rsidRPr="00D4309F">
        <w:rPr>
          <w:spacing w:val="-1"/>
        </w:rPr>
        <w:t xml:space="preserve"> </w:t>
      </w:r>
      <w:r w:rsidRPr="00D4309F">
        <w:t>needs and available funding evolve. This flexibility allows the approach to remain responsive to both environmental performance and community expectations, supporting an adaptive, long-term sediment management strategy for the Mooloolah River entrance.</w:t>
      </w:r>
    </w:p>
    <w:p w14:paraId="63FB6A1B" w14:textId="77777777" w:rsidR="00725977" w:rsidRPr="00D4309F" w:rsidRDefault="00725977" w:rsidP="008228CB">
      <w:pPr>
        <w:pStyle w:val="Heading3"/>
      </w:pPr>
      <w:bookmarkStart w:id="330" w:name="_Toc216699414"/>
      <w:r w:rsidRPr="00D4309F">
        <w:t>Safety</w:t>
      </w:r>
      <w:r w:rsidRPr="00D4309F">
        <w:rPr>
          <w:spacing w:val="-5"/>
        </w:rPr>
        <w:t xml:space="preserve"> </w:t>
      </w:r>
      <w:r w:rsidRPr="00D4309F">
        <w:t>of</w:t>
      </w:r>
      <w:r w:rsidRPr="00D4309F">
        <w:rPr>
          <w:spacing w:val="-3"/>
        </w:rPr>
        <w:t xml:space="preserve"> </w:t>
      </w:r>
      <w:r w:rsidRPr="00D4309F">
        <w:t>Option</w:t>
      </w:r>
      <w:r w:rsidRPr="00D4309F">
        <w:rPr>
          <w:spacing w:val="-2"/>
        </w:rPr>
        <w:t xml:space="preserve"> </w:t>
      </w:r>
      <w:r w:rsidRPr="00D4309F">
        <w:rPr>
          <w:spacing w:val="-5"/>
        </w:rPr>
        <w:t>2A</w:t>
      </w:r>
      <w:bookmarkEnd w:id="330"/>
    </w:p>
    <w:p w14:paraId="26EEF178" w14:textId="3348CB07" w:rsidR="00725977" w:rsidRPr="00D4309F" w:rsidRDefault="00725977" w:rsidP="00725977">
      <w:pPr>
        <w:pStyle w:val="BodyText"/>
      </w:pPr>
      <w:r w:rsidRPr="00D4309F">
        <w:t>Option 2A provides a modest improvement in safety, primarily through the deepened sand trap’s ability to intercept</w:t>
      </w:r>
      <w:r w:rsidRPr="00D4309F">
        <w:rPr>
          <w:spacing w:val="-3"/>
        </w:rPr>
        <w:t xml:space="preserve"> </w:t>
      </w:r>
      <w:r w:rsidRPr="00D4309F">
        <w:t>sediment</w:t>
      </w:r>
      <w:r w:rsidRPr="00D4309F">
        <w:rPr>
          <w:spacing w:val="-3"/>
        </w:rPr>
        <w:t xml:space="preserve"> </w:t>
      </w:r>
      <w:r w:rsidRPr="00D4309F">
        <w:t>before</w:t>
      </w:r>
      <w:r w:rsidRPr="00D4309F">
        <w:rPr>
          <w:spacing w:val="-3"/>
        </w:rPr>
        <w:t xml:space="preserve"> </w:t>
      </w:r>
      <w:r w:rsidRPr="00D4309F">
        <w:t>it</w:t>
      </w:r>
      <w:r w:rsidRPr="00D4309F">
        <w:rPr>
          <w:spacing w:val="-3"/>
        </w:rPr>
        <w:t xml:space="preserve"> </w:t>
      </w:r>
      <w:r w:rsidRPr="00D4309F">
        <w:t>reaches</w:t>
      </w:r>
      <w:r w:rsidRPr="00D4309F">
        <w:rPr>
          <w:spacing w:val="-2"/>
        </w:rPr>
        <w:t xml:space="preserve"> </w:t>
      </w:r>
      <w:r w:rsidRPr="00D4309F">
        <w:t>the</w:t>
      </w:r>
      <w:r w:rsidRPr="00D4309F">
        <w:rPr>
          <w:spacing w:val="-3"/>
        </w:rPr>
        <w:t xml:space="preserve"> </w:t>
      </w:r>
      <w:r w:rsidRPr="00D4309F">
        <w:t>entrance.</w:t>
      </w:r>
      <w:r w:rsidRPr="00D4309F">
        <w:rPr>
          <w:spacing w:val="-3"/>
        </w:rPr>
        <w:t xml:space="preserve"> </w:t>
      </w:r>
      <w:r w:rsidRPr="00D4309F">
        <w:t>This</w:t>
      </w:r>
      <w:r w:rsidRPr="00D4309F">
        <w:rPr>
          <w:spacing w:val="-2"/>
        </w:rPr>
        <w:t xml:space="preserve"> </w:t>
      </w:r>
      <w:r w:rsidRPr="00D4309F">
        <w:t>assists</w:t>
      </w:r>
      <w:r w:rsidRPr="00D4309F">
        <w:rPr>
          <w:spacing w:val="-2"/>
        </w:rPr>
        <w:t xml:space="preserve"> </w:t>
      </w:r>
      <w:r w:rsidRPr="00D4309F">
        <w:t>in</w:t>
      </w:r>
      <w:r w:rsidRPr="00D4309F">
        <w:rPr>
          <w:spacing w:val="-3"/>
        </w:rPr>
        <w:t xml:space="preserve"> </w:t>
      </w:r>
      <w:r w:rsidRPr="00D4309F">
        <w:t>reducing</w:t>
      </w:r>
      <w:r w:rsidRPr="00D4309F">
        <w:rPr>
          <w:spacing w:val="-3"/>
        </w:rPr>
        <w:t xml:space="preserve"> </w:t>
      </w:r>
      <w:r w:rsidRPr="00D4309F">
        <w:t>shoaling</w:t>
      </w:r>
      <w:r w:rsidRPr="00D4309F">
        <w:rPr>
          <w:spacing w:val="-3"/>
        </w:rPr>
        <w:t xml:space="preserve"> </w:t>
      </w:r>
      <w:r w:rsidRPr="00D4309F">
        <w:t>rates,</w:t>
      </w:r>
      <w:r w:rsidRPr="00D4309F">
        <w:rPr>
          <w:spacing w:val="-3"/>
        </w:rPr>
        <w:t xml:space="preserve"> </w:t>
      </w:r>
      <w:r w:rsidRPr="00D4309F">
        <w:t>thereby</w:t>
      </w:r>
      <w:r w:rsidRPr="00D4309F">
        <w:rPr>
          <w:spacing w:val="-2"/>
        </w:rPr>
        <w:t xml:space="preserve"> </w:t>
      </w:r>
      <w:r w:rsidRPr="00D4309F">
        <w:t>improving the reliability of all-tide access. Because the CSD would continue to operate in a manner similar to the current maintenance regime, the clarity of navigation is improved gradually rather than continuously, and temporary depth variability may still occur between dredging cycles. Mariner safety is enhanced relative to current conditions through more predictable shoaling behaviour, but CSD operations near the entrance introduce short-term hazards, including plant movement, pipework, and exclusion zones. These risks are manageable and well understood, but Option 2A does not eliminate the need for active navigation alerts or marine safety controls during dredging. There is limited design or modelling for all option 2 scenarios. It’s noted that there may be potential risk during larger wave events that the sudden drop in the seabed at the entrance hole may trigger some wave shoaling.</w:t>
      </w:r>
    </w:p>
    <w:p w14:paraId="37B24C7B" w14:textId="77777777" w:rsidR="00725977" w:rsidRPr="00D4309F" w:rsidRDefault="00725977" w:rsidP="008228CB">
      <w:pPr>
        <w:pStyle w:val="Heading3"/>
      </w:pPr>
      <w:bookmarkStart w:id="331" w:name="_Toc216699415"/>
      <w:r w:rsidRPr="00D4309F">
        <w:t>Cost</w:t>
      </w:r>
      <w:bookmarkEnd w:id="331"/>
    </w:p>
    <w:p w14:paraId="4E2CD3E3" w14:textId="77777777" w:rsidR="00725977" w:rsidRPr="00D4309F" w:rsidRDefault="00725977" w:rsidP="008228CB">
      <w:pPr>
        <w:pStyle w:val="Heading4-nonumber"/>
      </w:pPr>
      <w:r w:rsidRPr="00D4309F">
        <w:t>Capital</w:t>
      </w:r>
      <w:r w:rsidRPr="00D4309F">
        <w:rPr>
          <w:spacing w:val="-3"/>
        </w:rPr>
        <w:t xml:space="preserve"> </w:t>
      </w:r>
      <w:r w:rsidRPr="00D4309F">
        <w:t>Works</w:t>
      </w:r>
      <w:r w:rsidRPr="00D4309F">
        <w:rPr>
          <w:spacing w:val="-3"/>
        </w:rPr>
        <w:t xml:space="preserve"> </w:t>
      </w:r>
      <w:r w:rsidRPr="00D4309F">
        <w:rPr>
          <w:spacing w:val="-2"/>
        </w:rPr>
        <w:t>Costs</w:t>
      </w:r>
    </w:p>
    <w:p w14:paraId="58B5145B" w14:textId="259CF131" w:rsidR="00725977" w:rsidRPr="00D4309F" w:rsidRDefault="00725977" w:rsidP="00725977">
      <w:pPr>
        <w:pStyle w:val="BodyText"/>
      </w:pPr>
      <w:r w:rsidRPr="00D4309F">
        <w:t>The primary cost driver for this option is the excavation of the nearshore rock shelf to form the sand trap. Based</w:t>
      </w:r>
      <w:r w:rsidRPr="00D4309F">
        <w:rPr>
          <w:spacing w:val="-2"/>
        </w:rPr>
        <w:t xml:space="preserve"> </w:t>
      </w:r>
      <w:r w:rsidRPr="00D4309F">
        <w:t>on</w:t>
      </w:r>
      <w:r w:rsidRPr="00D4309F">
        <w:rPr>
          <w:spacing w:val="-2"/>
        </w:rPr>
        <w:t xml:space="preserve"> </w:t>
      </w:r>
      <w:r w:rsidRPr="00D4309F">
        <w:t>the</w:t>
      </w:r>
      <w:r w:rsidRPr="00D4309F">
        <w:rPr>
          <w:spacing w:val="-3"/>
        </w:rPr>
        <w:t xml:space="preserve"> </w:t>
      </w:r>
      <w:r w:rsidRPr="00D4309F">
        <w:t>indicative</w:t>
      </w:r>
      <w:r w:rsidRPr="00D4309F">
        <w:rPr>
          <w:spacing w:val="-2"/>
        </w:rPr>
        <w:t xml:space="preserve"> </w:t>
      </w:r>
      <w:r w:rsidRPr="00D4309F">
        <w:t>concept</w:t>
      </w:r>
      <w:r w:rsidRPr="00D4309F">
        <w:rPr>
          <w:spacing w:val="-2"/>
        </w:rPr>
        <w:t xml:space="preserve"> </w:t>
      </w:r>
      <w:r w:rsidRPr="00D4309F">
        <w:t>design,</w:t>
      </w:r>
      <w:r w:rsidRPr="00D4309F">
        <w:rPr>
          <w:spacing w:val="-4"/>
        </w:rPr>
        <w:t xml:space="preserve"> </w:t>
      </w:r>
      <w:r w:rsidRPr="00D4309F">
        <w:t>a</w:t>
      </w:r>
      <w:r w:rsidRPr="00D4309F">
        <w:rPr>
          <w:spacing w:val="-2"/>
        </w:rPr>
        <w:t xml:space="preserve"> </w:t>
      </w:r>
      <w:r w:rsidRPr="00D4309F">
        <w:t>substantial</w:t>
      </w:r>
      <w:r w:rsidRPr="00D4309F">
        <w:rPr>
          <w:spacing w:val="-3"/>
        </w:rPr>
        <w:t xml:space="preserve"> </w:t>
      </w:r>
      <w:r w:rsidRPr="00D4309F">
        <w:t>volume</w:t>
      </w:r>
      <w:r w:rsidRPr="00D4309F">
        <w:rPr>
          <w:spacing w:val="-2"/>
        </w:rPr>
        <w:t xml:space="preserve"> </w:t>
      </w:r>
      <w:r w:rsidRPr="00D4309F">
        <w:t>of</w:t>
      </w:r>
      <w:r w:rsidRPr="00D4309F">
        <w:rPr>
          <w:spacing w:val="-2"/>
        </w:rPr>
        <w:t xml:space="preserve"> </w:t>
      </w:r>
      <w:r w:rsidRPr="00D4309F">
        <w:t>rock</w:t>
      </w:r>
      <w:r w:rsidRPr="00D4309F">
        <w:rPr>
          <w:spacing w:val="-2"/>
        </w:rPr>
        <w:t xml:space="preserve"> </w:t>
      </w:r>
      <w:r w:rsidRPr="00D4309F">
        <w:t>would</w:t>
      </w:r>
      <w:r w:rsidRPr="00D4309F">
        <w:rPr>
          <w:spacing w:val="-2"/>
        </w:rPr>
        <w:t xml:space="preserve"> </w:t>
      </w:r>
      <w:r w:rsidRPr="00D4309F">
        <w:t>require</w:t>
      </w:r>
      <w:r w:rsidRPr="00D4309F">
        <w:rPr>
          <w:spacing w:val="-2"/>
        </w:rPr>
        <w:t xml:space="preserve"> </w:t>
      </w:r>
      <w:r w:rsidRPr="00D4309F">
        <w:t>mechanical</w:t>
      </w:r>
      <w:r w:rsidRPr="00D4309F">
        <w:rPr>
          <w:spacing w:val="-2"/>
        </w:rPr>
        <w:t xml:space="preserve"> </w:t>
      </w:r>
      <w:r w:rsidRPr="00D4309F">
        <w:t>or</w:t>
      </w:r>
      <w:r w:rsidRPr="00D4309F">
        <w:rPr>
          <w:spacing w:val="-3"/>
        </w:rPr>
        <w:t xml:space="preserve"> </w:t>
      </w:r>
      <w:r w:rsidRPr="00D4309F">
        <w:t>cutterhead removal and offsite disposal. Mobilisation of suitable marine plant, excavation, and construction of</w:t>
      </w:r>
      <w:r w:rsidRPr="00D4309F">
        <w:rPr>
          <w:spacing w:val="40"/>
        </w:rPr>
        <w:t xml:space="preserve"> </w:t>
      </w:r>
      <w:r w:rsidRPr="00D4309F">
        <w:t>associated access works is expected to result in a moderate–high capital cost. This figure should be treated as indicative only, pending detailed geotechnical investigations and constructability assessment.</w:t>
      </w:r>
    </w:p>
    <w:p w14:paraId="35DAD534" w14:textId="77777777" w:rsidR="00725977" w:rsidRPr="00D4309F" w:rsidRDefault="00725977" w:rsidP="008228CB">
      <w:pPr>
        <w:pStyle w:val="Heading4-nonumber"/>
      </w:pPr>
      <w:r w:rsidRPr="00D4309F">
        <w:t>Operational</w:t>
      </w:r>
      <w:r w:rsidRPr="00D4309F">
        <w:rPr>
          <w:spacing w:val="-6"/>
        </w:rPr>
        <w:t xml:space="preserve"> </w:t>
      </w:r>
      <w:r w:rsidRPr="00D4309F">
        <w:rPr>
          <w:spacing w:val="-2"/>
        </w:rPr>
        <w:t>Costs</w:t>
      </w:r>
    </w:p>
    <w:p w14:paraId="2732062E" w14:textId="77777777" w:rsidR="00725977" w:rsidRPr="00D4309F" w:rsidRDefault="00725977" w:rsidP="00725977">
      <w:pPr>
        <w:pStyle w:val="BodyText"/>
      </w:pPr>
      <w:r w:rsidRPr="00D4309F">
        <w:t>Ongoing</w:t>
      </w:r>
      <w:r w:rsidRPr="00D4309F">
        <w:rPr>
          <w:spacing w:val="-3"/>
        </w:rPr>
        <w:t xml:space="preserve"> </w:t>
      </w:r>
      <w:r w:rsidRPr="00D4309F">
        <w:t>operational</w:t>
      </w:r>
      <w:r w:rsidRPr="00D4309F">
        <w:rPr>
          <w:spacing w:val="-3"/>
        </w:rPr>
        <w:t xml:space="preserve"> </w:t>
      </w:r>
      <w:r w:rsidRPr="00D4309F">
        <w:t>costs</w:t>
      </w:r>
      <w:r w:rsidRPr="00D4309F">
        <w:rPr>
          <w:spacing w:val="-2"/>
        </w:rPr>
        <w:t xml:space="preserve"> </w:t>
      </w:r>
      <w:r w:rsidRPr="00D4309F">
        <w:t>are</w:t>
      </w:r>
      <w:r w:rsidRPr="00D4309F">
        <w:rPr>
          <w:spacing w:val="-3"/>
        </w:rPr>
        <w:t xml:space="preserve"> </w:t>
      </w:r>
      <w:r w:rsidRPr="00D4309F">
        <w:t>governed</w:t>
      </w:r>
      <w:r w:rsidRPr="00D4309F">
        <w:rPr>
          <w:spacing w:val="-4"/>
        </w:rPr>
        <w:t xml:space="preserve"> </w:t>
      </w:r>
      <w:r w:rsidRPr="00D4309F">
        <w:t>by</w:t>
      </w:r>
      <w:r w:rsidRPr="00D4309F">
        <w:rPr>
          <w:spacing w:val="-2"/>
        </w:rPr>
        <w:t xml:space="preserve"> </w:t>
      </w:r>
      <w:r w:rsidRPr="00D4309F">
        <w:t>trap</w:t>
      </w:r>
      <w:r w:rsidRPr="00D4309F">
        <w:rPr>
          <w:spacing w:val="-3"/>
        </w:rPr>
        <w:t xml:space="preserve"> </w:t>
      </w:r>
      <w:r w:rsidRPr="00D4309F">
        <w:t>infill</w:t>
      </w:r>
      <w:r w:rsidRPr="00D4309F">
        <w:rPr>
          <w:spacing w:val="-3"/>
        </w:rPr>
        <w:t xml:space="preserve"> </w:t>
      </w:r>
      <w:r w:rsidRPr="00D4309F">
        <w:t>rates,</w:t>
      </w:r>
      <w:r w:rsidRPr="00D4309F">
        <w:rPr>
          <w:spacing w:val="-3"/>
        </w:rPr>
        <w:t xml:space="preserve"> </w:t>
      </w:r>
      <w:r w:rsidRPr="00D4309F">
        <w:t>which</w:t>
      </w:r>
      <w:r w:rsidRPr="00D4309F">
        <w:rPr>
          <w:spacing w:val="-3"/>
        </w:rPr>
        <w:t xml:space="preserve"> </w:t>
      </w:r>
      <w:r w:rsidRPr="00D4309F">
        <w:t>remain</w:t>
      </w:r>
      <w:r w:rsidRPr="00D4309F">
        <w:rPr>
          <w:spacing w:val="-3"/>
        </w:rPr>
        <w:t xml:space="preserve"> </w:t>
      </w:r>
      <w:r w:rsidRPr="00D4309F">
        <w:t>uncertain</w:t>
      </w:r>
      <w:r w:rsidRPr="00D4309F">
        <w:rPr>
          <w:spacing w:val="-3"/>
        </w:rPr>
        <w:t xml:space="preserve"> </w:t>
      </w:r>
      <w:r w:rsidRPr="00D4309F">
        <w:t>due</w:t>
      </w:r>
      <w:r w:rsidRPr="00D4309F">
        <w:rPr>
          <w:spacing w:val="-3"/>
        </w:rPr>
        <w:t xml:space="preserve"> </w:t>
      </w:r>
      <w:r w:rsidRPr="00D4309F">
        <w:t>to</w:t>
      </w:r>
      <w:r w:rsidRPr="00D4309F">
        <w:rPr>
          <w:spacing w:val="-3"/>
        </w:rPr>
        <w:t xml:space="preserve"> </w:t>
      </w:r>
      <w:r w:rsidRPr="00D4309F">
        <w:t>the</w:t>
      </w:r>
      <w:r w:rsidRPr="00D4309F">
        <w:rPr>
          <w:spacing w:val="-4"/>
        </w:rPr>
        <w:t xml:space="preserve"> </w:t>
      </w:r>
      <w:r w:rsidRPr="00D4309F">
        <w:t>episodic, storm-driven nature of sediment supply.</w:t>
      </w:r>
    </w:p>
    <w:p w14:paraId="4523E7D4" w14:textId="77777777" w:rsidR="00725977" w:rsidRPr="00D4309F" w:rsidRDefault="00725977" w:rsidP="00725977">
      <w:pPr>
        <w:pStyle w:val="BodyText"/>
      </w:pPr>
      <w:r w:rsidRPr="00D4309F">
        <w:t>Current</w:t>
      </w:r>
      <w:r w:rsidRPr="00D4309F">
        <w:rPr>
          <w:spacing w:val="-5"/>
        </w:rPr>
        <w:t xml:space="preserve"> </w:t>
      </w:r>
      <w:r w:rsidRPr="00D4309F">
        <w:t>evidence</w:t>
      </w:r>
      <w:r w:rsidRPr="00D4309F">
        <w:rPr>
          <w:spacing w:val="-5"/>
        </w:rPr>
        <w:t xml:space="preserve"> </w:t>
      </w:r>
      <w:r w:rsidRPr="00D4309F">
        <w:rPr>
          <w:spacing w:val="-2"/>
        </w:rPr>
        <w:t>indicates:</w:t>
      </w:r>
    </w:p>
    <w:p w14:paraId="0D81970C" w14:textId="77777777" w:rsidR="00725977" w:rsidRPr="00D4309F" w:rsidRDefault="00725977" w:rsidP="00D27F26">
      <w:pPr>
        <w:pStyle w:val="ListParagraph"/>
        <w:widowControl w:val="0"/>
        <w:numPr>
          <w:ilvl w:val="0"/>
          <w:numId w:val="372"/>
        </w:numPr>
        <w:tabs>
          <w:tab w:val="left" w:pos="501"/>
        </w:tabs>
        <w:autoSpaceDE w:val="0"/>
        <w:autoSpaceDN w:val="0"/>
        <w:spacing w:before="119" w:after="0" w:line="240" w:lineRule="auto"/>
        <w:contextualSpacing w:val="0"/>
      </w:pPr>
      <w:r w:rsidRPr="00D4309F">
        <w:rPr>
          <w:color w:val="211E1F"/>
        </w:rPr>
        <w:t>5,000–10,000</w:t>
      </w:r>
      <w:r w:rsidRPr="00D4309F">
        <w:rPr>
          <w:color w:val="211E1F"/>
          <w:spacing w:val="-5"/>
        </w:rPr>
        <w:t xml:space="preserve"> </w:t>
      </w:r>
      <w:r w:rsidRPr="00D4309F">
        <w:rPr>
          <w:color w:val="211E1F"/>
        </w:rPr>
        <w:t>m</w:t>
      </w:r>
      <w:r w:rsidRPr="00D4309F">
        <w:rPr>
          <w:color w:val="211E1F"/>
          <w:vertAlign w:val="superscript"/>
        </w:rPr>
        <w:t>3</w:t>
      </w:r>
      <w:r w:rsidRPr="00D4309F">
        <w:rPr>
          <w:color w:val="211E1F"/>
        </w:rPr>
        <w:t>/year</w:t>
      </w:r>
      <w:r w:rsidRPr="00D4309F">
        <w:rPr>
          <w:color w:val="211E1F"/>
          <w:spacing w:val="-3"/>
        </w:rPr>
        <w:t xml:space="preserve"> </w:t>
      </w:r>
      <w:r w:rsidRPr="00D4309F">
        <w:rPr>
          <w:color w:val="211E1F"/>
        </w:rPr>
        <w:t>typically</w:t>
      </w:r>
      <w:r w:rsidRPr="00D4309F">
        <w:rPr>
          <w:color w:val="211E1F"/>
          <w:spacing w:val="-2"/>
        </w:rPr>
        <w:t xml:space="preserve"> </w:t>
      </w:r>
      <w:r w:rsidRPr="00D4309F">
        <w:rPr>
          <w:color w:val="211E1F"/>
        </w:rPr>
        <w:t>infills</w:t>
      </w:r>
      <w:r w:rsidRPr="00D4309F">
        <w:rPr>
          <w:color w:val="211E1F"/>
          <w:spacing w:val="-3"/>
        </w:rPr>
        <w:t xml:space="preserve"> </w:t>
      </w:r>
      <w:r w:rsidRPr="00D4309F">
        <w:rPr>
          <w:color w:val="211E1F"/>
        </w:rPr>
        <w:t>the</w:t>
      </w:r>
      <w:r w:rsidRPr="00D4309F">
        <w:rPr>
          <w:color w:val="211E1F"/>
          <w:spacing w:val="-5"/>
        </w:rPr>
        <w:t xml:space="preserve"> </w:t>
      </w:r>
      <w:r w:rsidRPr="00D4309F">
        <w:rPr>
          <w:color w:val="211E1F"/>
        </w:rPr>
        <w:t>shallow</w:t>
      </w:r>
      <w:r w:rsidRPr="00D4309F">
        <w:rPr>
          <w:color w:val="211E1F"/>
          <w:spacing w:val="-4"/>
        </w:rPr>
        <w:t xml:space="preserve"> </w:t>
      </w:r>
      <w:r w:rsidRPr="00D4309F">
        <w:rPr>
          <w:color w:val="211E1F"/>
        </w:rPr>
        <w:t>shoal</w:t>
      </w:r>
      <w:r w:rsidRPr="00D4309F">
        <w:rPr>
          <w:color w:val="211E1F"/>
          <w:spacing w:val="-5"/>
        </w:rPr>
        <w:t xml:space="preserve"> </w:t>
      </w:r>
      <w:r w:rsidRPr="00D4309F">
        <w:rPr>
          <w:color w:val="211E1F"/>
        </w:rPr>
        <w:t>zone</w:t>
      </w:r>
      <w:r w:rsidRPr="00D4309F">
        <w:rPr>
          <w:color w:val="211E1F"/>
          <w:spacing w:val="-3"/>
        </w:rPr>
        <w:t xml:space="preserve"> </w:t>
      </w:r>
      <w:r w:rsidRPr="00D4309F">
        <w:rPr>
          <w:color w:val="211E1F"/>
        </w:rPr>
        <w:t>above</w:t>
      </w:r>
      <w:r w:rsidRPr="00D4309F">
        <w:rPr>
          <w:color w:val="211E1F"/>
          <w:spacing w:val="-5"/>
        </w:rPr>
        <w:t xml:space="preserve"> </w:t>
      </w:r>
      <w:r w:rsidRPr="00D4309F">
        <w:rPr>
          <w:color w:val="211E1F"/>
        </w:rPr>
        <w:t>–3</w:t>
      </w:r>
      <w:r w:rsidRPr="00D4309F">
        <w:rPr>
          <w:color w:val="211E1F"/>
          <w:spacing w:val="-4"/>
        </w:rPr>
        <w:t xml:space="preserve"> </w:t>
      </w:r>
      <w:r w:rsidRPr="00D4309F">
        <w:rPr>
          <w:color w:val="211E1F"/>
        </w:rPr>
        <w:t>m</w:t>
      </w:r>
      <w:r w:rsidRPr="00D4309F">
        <w:rPr>
          <w:color w:val="211E1F"/>
          <w:spacing w:val="-3"/>
        </w:rPr>
        <w:t xml:space="preserve"> </w:t>
      </w:r>
      <w:r w:rsidRPr="00D4309F">
        <w:rPr>
          <w:color w:val="211E1F"/>
          <w:spacing w:val="-4"/>
        </w:rPr>
        <w:t>LAT,</w:t>
      </w:r>
    </w:p>
    <w:p w14:paraId="3F8C5178" w14:textId="77777777" w:rsidR="00725977" w:rsidRPr="00D4309F" w:rsidRDefault="00725977" w:rsidP="00D27F26">
      <w:pPr>
        <w:pStyle w:val="ListParagraph"/>
        <w:widowControl w:val="0"/>
        <w:numPr>
          <w:ilvl w:val="0"/>
          <w:numId w:val="372"/>
        </w:numPr>
        <w:tabs>
          <w:tab w:val="left" w:pos="501"/>
        </w:tabs>
        <w:autoSpaceDE w:val="0"/>
        <w:autoSpaceDN w:val="0"/>
        <w:spacing w:before="119" w:after="0" w:line="240" w:lineRule="auto"/>
        <w:ind w:right="639"/>
        <w:contextualSpacing w:val="0"/>
      </w:pPr>
      <w:r w:rsidRPr="00D4309F">
        <w:rPr>
          <w:color w:val="211E1F"/>
        </w:rPr>
        <w:t>deeper</w:t>
      </w:r>
      <w:r w:rsidRPr="00D4309F">
        <w:rPr>
          <w:color w:val="211E1F"/>
          <w:spacing w:val="-2"/>
        </w:rPr>
        <w:t xml:space="preserve"> </w:t>
      </w:r>
      <w:r w:rsidRPr="00D4309F">
        <w:rPr>
          <w:color w:val="211E1F"/>
        </w:rPr>
        <w:t>bypassing</w:t>
      </w:r>
      <w:r w:rsidRPr="00D4309F">
        <w:rPr>
          <w:color w:val="211E1F"/>
          <w:spacing w:val="-3"/>
        </w:rPr>
        <w:t xml:space="preserve"> </w:t>
      </w:r>
      <w:r w:rsidRPr="00D4309F">
        <w:rPr>
          <w:color w:val="211E1F"/>
        </w:rPr>
        <w:t>between</w:t>
      </w:r>
      <w:r w:rsidRPr="00D4309F">
        <w:rPr>
          <w:color w:val="211E1F"/>
          <w:spacing w:val="-4"/>
        </w:rPr>
        <w:t xml:space="preserve"> </w:t>
      </w:r>
      <w:r w:rsidRPr="00D4309F">
        <w:rPr>
          <w:color w:val="211E1F"/>
        </w:rPr>
        <w:t>–3</w:t>
      </w:r>
      <w:r w:rsidRPr="00D4309F">
        <w:rPr>
          <w:color w:val="211E1F"/>
          <w:spacing w:val="-3"/>
        </w:rPr>
        <w:t xml:space="preserve"> </w:t>
      </w:r>
      <w:r w:rsidRPr="00D4309F">
        <w:rPr>
          <w:color w:val="211E1F"/>
        </w:rPr>
        <w:t>m</w:t>
      </w:r>
      <w:r w:rsidRPr="00D4309F">
        <w:rPr>
          <w:color w:val="211E1F"/>
          <w:spacing w:val="-3"/>
        </w:rPr>
        <w:t xml:space="preserve"> </w:t>
      </w:r>
      <w:r w:rsidRPr="00D4309F">
        <w:rPr>
          <w:color w:val="211E1F"/>
        </w:rPr>
        <w:t>LAT</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–10</w:t>
      </w:r>
      <w:r w:rsidRPr="00D4309F">
        <w:rPr>
          <w:color w:val="211E1F"/>
          <w:spacing w:val="-3"/>
        </w:rPr>
        <w:t xml:space="preserve"> </w:t>
      </w:r>
      <w:r w:rsidRPr="00D4309F">
        <w:rPr>
          <w:color w:val="211E1F"/>
        </w:rPr>
        <w:t>m</w:t>
      </w:r>
      <w:r w:rsidRPr="00D4309F">
        <w:rPr>
          <w:color w:val="211E1F"/>
          <w:spacing w:val="-3"/>
        </w:rPr>
        <w:t xml:space="preserve"> </w:t>
      </w:r>
      <w:r w:rsidRPr="00D4309F">
        <w:rPr>
          <w:color w:val="211E1F"/>
        </w:rPr>
        <w:t>LAT</w:t>
      </w:r>
      <w:r w:rsidRPr="00D4309F">
        <w:rPr>
          <w:color w:val="211E1F"/>
          <w:spacing w:val="-4"/>
        </w:rPr>
        <w:t xml:space="preserve"> </w:t>
      </w:r>
      <w:r w:rsidRPr="00D4309F">
        <w:rPr>
          <w:color w:val="211E1F"/>
        </w:rPr>
        <w:t>can</w:t>
      </w:r>
      <w:r w:rsidRPr="00D4309F">
        <w:rPr>
          <w:color w:val="211E1F"/>
          <w:spacing w:val="-3"/>
        </w:rPr>
        <w:t xml:space="preserve"> </w:t>
      </w:r>
      <w:r w:rsidRPr="00D4309F">
        <w:rPr>
          <w:color w:val="211E1F"/>
        </w:rPr>
        <w:t>reach</w:t>
      </w:r>
      <w:r w:rsidRPr="00D4309F">
        <w:rPr>
          <w:color w:val="211E1F"/>
          <w:spacing w:val="-3"/>
        </w:rPr>
        <w:t xml:space="preserve"> </w:t>
      </w:r>
      <w:r w:rsidRPr="00D4309F">
        <w:rPr>
          <w:color w:val="211E1F"/>
        </w:rPr>
        <w:t>~70,000</w:t>
      </w:r>
      <w:r w:rsidRPr="00D4309F">
        <w:rPr>
          <w:color w:val="211E1F"/>
          <w:spacing w:val="-3"/>
        </w:rPr>
        <w:t xml:space="preserve"> </w:t>
      </w:r>
      <w:r w:rsidRPr="00D4309F">
        <w:rPr>
          <w:color w:val="211E1F"/>
        </w:rPr>
        <w:t>m</w:t>
      </w:r>
      <w:r w:rsidRPr="00D4309F">
        <w:rPr>
          <w:color w:val="211E1F"/>
          <w:vertAlign w:val="superscript"/>
        </w:rPr>
        <w:t>3</w:t>
      </w:r>
      <w:r w:rsidRPr="00D4309F">
        <w:rPr>
          <w:color w:val="211E1F"/>
        </w:rPr>
        <w:t>/year</w:t>
      </w:r>
      <w:r w:rsidRPr="00D4309F">
        <w:rPr>
          <w:color w:val="211E1F"/>
          <w:spacing w:val="-2"/>
        </w:rPr>
        <w:t xml:space="preserve"> </w:t>
      </w:r>
      <w:r w:rsidRPr="00D4309F">
        <w:rPr>
          <w:color w:val="211E1F"/>
        </w:rPr>
        <w:t>on</w:t>
      </w:r>
      <w:r w:rsidRPr="00D4309F">
        <w:rPr>
          <w:color w:val="211E1F"/>
          <w:spacing w:val="-3"/>
        </w:rPr>
        <w:t xml:space="preserve"> </w:t>
      </w:r>
      <w:r w:rsidRPr="00D4309F">
        <w:rPr>
          <w:color w:val="211E1F"/>
        </w:rPr>
        <w:t>average</w:t>
      </w:r>
      <w:r w:rsidRPr="00D4309F">
        <w:rPr>
          <w:color w:val="211E1F"/>
          <w:spacing w:val="-4"/>
        </w:rPr>
        <w:t xml:space="preserve"> </w:t>
      </w:r>
      <w:r w:rsidRPr="00D4309F">
        <w:rPr>
          <w:color w:val="211E1F"/>
        </w:rPr>
        <w:t>and substantially more during major events.</w:t>
      </w:r>
    </w:p>
    <w:p w14:paraId="051E4595" w14:textId="77777777" w:rsidR="00725977" w:rsidRPr="00D4309F" w:rsidRDefault="00725977" w:rsidP="00725977">
      <w:pPr>
        <w:pStyle w:val="BodyText"/>
      </w:pPr>
      <w:r w:rsidRPr="00D4309F">
        <w:t>Because</w:t>
      </w:r>
      <w:r w:rsidRPr="00D4309F">
        <w:rPr>
          <w:spacing w:val="-2"/>
        </w:rPr>
        <w:t xml:space="preserve"> </w:t>
      </w:r>
      <w:r w:rsidRPr="00D4309F">
        <w:t>the</w:t>
      </w:r>
      <w:r w:rsidRPr="00D4309F">
        <w:rPr>
          <w:spacing w:val="-3"/>
        </w:rPr>
        <w:t xml:space="preserve"> </w:t>
      </w:r>
      <w:r w:rsidRPr="00D4309F">
        <w:t>proposed</w:t>
      </w:r>
      <w:r w:rsidRPr="00D4309F">
        <w:rPr>
          <w:spacing w:val="-2"/>
        </w:rPr>
        <w:t xml:space="preserve"> </w:t>
      </w:r>
      <w:r w:rsidRPr="00D4309F">
        <w:t>trap</w:t>
      </w:r>
      <w:r w:rsidRPr="00D4309F">
        <w:rPr>
          <w:spacing w:val="-2"/>
        </w:rPr>
        <w:t xml:space="preserve"> </w:t>
      </w:r>
      <w:r w:rsidRPr="00D4309F">
        <w:t>extends</w:t>
      </w:r>
      <w:r w:rsidRPr="00D4309F">
        <w:rPr>
          <w:spacing w:val="-1"/>
        </w:rPr>
        <w:t xml:space="preserve"> </w:t>
      </w:r>
      <w:r w:rsidRPr="00D4309F">
        <w:t>into</w:t>
      </w:r>
      <w:r w:rsidRPr="00D4309F">
        <w:rPr>
          <w:spacing w:val="-2"/>
        </w:rPr>
        <w:t xml:space="preserve"> </w:t>
      </w:r>
      <w:r w:rsidRPr="00D4309F">
        <w:t>deeper</w:t>
      </w:r>
      <w:r w:rsidRPr="00D4309F">
        <w:rPr>
          <w:spacing w:val="-1"/>
        </w:rPr>
        <w:t xml:space="preserve"> </w:t>
      </w:r>
      <w:r w:rsidRPr="00D4309F">
        <w:t>water</w:t>
      </w:r>
      <w:r w:rsidRPr="00D4309F">
        <w:rPr>
          <w:spacing w:val="-1"/>
        </w:rPr>
        <w:t xml:space="preserve"> </w:t>
      </w:r>
      <w:r w:rsidRPr="00D4309F">
        <w:t>(but</w:t>
      </w:r>
      <w:r w:rsidRPr="00D4309F">
        <w:rPr>
          <w:spacing w:val="-2"/>
        </w:rPr>
        <w:t xml:space="preserve"> </w:t>
      </w:r>
      <w:r w:rsidRPr="00D4309F">
        <w:t>not</w:t>
      </w:r>
      <w:r w:rsidRPr="00D4309F">
        <w:rPr>
          <w:spacing w:val="-2"/>
        </w:rPr>
        <w:t xml:space="preserve"> </w:t>
      </w:r>
      <w:r w:rsidRPr="00D4309F">
        <w:t>to</w:t>
      </w:r>
      <w:r w:rsidRPr="00D4309F">
        <w:rPr>
          <w:spacing w:val="-2"/>
        </w:rPr>
        <w:t xml:space="preserve"> </w:t>
      </w:r>
      <w:r w:rsidRPr="00D4309F">
        <w:t>depth</w:t>
      </w:r>
      <w:r w:rsidRPr="00D4309F">
        <w:rPr>
          <w:spacing w:val="-2"/>
        </w:rPr>
        <w:t xml:space="preserve"> </w:t>
      </w:r>
      <w:r w:rsidRPr="00D4309F">
        <w:t>of</w:t>
      </w:r>
      <w:r w:rsidRPr="00D4309F">
        <w:rPr>
          <w:spacing w:val="-2"/>
        </w:rPr>
        <w:t xml:space="preserve"> </w:t>
      </w:r>
      <w:r w:rsidRPr="00D4309F">
        <w:t>closure),</w:t>
      </w:r>
      <w:r w:rsidRPr="00D4309F">
        <w:rPr>
          <w:spacing w:val="-2"/>
        </w:rPr>
        <w:t xml:space="preserve"> </w:t>
      </w:r>
      <w:r w:rsidRPr="00D4309F">
        <w:t>annual</w:t>
      </w:r>
      <w:r w:rsidRPr="00D4309F">
        <w:rPr>
          <w:spacing w:val="-2"/>
        </w:rPr>
        <w:t xml:space="preserve"> </w:t>
      </w:r>
      <w:r w:rsidRPr="00D4309F">
        <w:t>infill</w:t>
      </w:r>
      <w:r w:rsidRPr="00D4309F">
        <w:rPr>
          <w:spacing w:val="-2"/>
        </w:rPr>
        <w:t xml:space="preserve"> </w:t>
      </w:r>
      <w:r w:rsidRPr="00D4309F">
        <w:t>volumes</w:t>
      </w:r>
      <w:r w:rsidRPr="00D4309F">
        <w:rPr>
          <w:spacing w:val="-2"/>
        </w:rPr>
        <w:t xml:space="preserve"> </w:t>
      </w:r>
      <w:r w:rsidRPr="00D4309F">
        <w:t>are expected to fall between these two limits and may vary significantly year to year depending on storm sequencing. Targeted sediment-transport modelling is recommended to refine expected infill rates and improve operational cost forecasting.</w:t>
      </w:r>
    </w:p>
    <w:p w14:paraId="75602890" w14:textId="77777777" w:rsidR="00725977" w:rsidRPr="00D4309F" w:rsidRDefault="00725977" w:rsidP="00725977">
      <w:pPr>
        <w:pStyle w:val="BodyText"/>
      </w:pPr>
      <w:r w:rsidRPr="00D4309F">
        <w:t>Once</w:t>
      </w:r>
      <w:r w:rsidRPr="00D4309F">
        <w:rPr>
          <w:spacing w:val="-3"/>
        </w:rPr>
        <w:t xml:space="preserve"> </w:t>
      </w:r>
      <w:r w:rsidRPr="00D4309F">
        <w:t>capital</w:t>
      </w:r>
      <w:r w:rsidRPr="00D4309F">
        <w:rPr>
          <w:spacing w:val="-3"/>
        </w:rPr>
        <w:t xml:space="preserve"> </w:t>
      </w:r>
      <w:r w:rsidRPr="00D4309F">
        <w:t>excavation</w:t>
      </w:r>
      <w:r w:rsidRPr="00D4309F">
        <w:rPr>
          <w:spacing w:val="-3"/>
        </w:rPr>
        <w:t xml:space="preserve"> </w:t>
      </w:r>
      <w:r w:rsidRPr="00D4309F">
        <w:t>is</w:t>
      </w:r>
      <w:r w:rsidRPr="00D4309F">
        <w:rPr>
          <w:spacing w:val="-2"/>
        </w:rPr>
        <w:t xml:space="preserve"> </w:t>
      </w:r>
      <w:r w:rsidRPr="00D4309F">
        <w:t>complete,</w:t>
      </w:r>
      <w:r w:rsidRPr="00D4309F">
        <w:rPr>
          <w:spacing w:val="-3"/>
        </w:rPr>
        <w:t xml:space="preserve"> </w:t>
      </w:r>
      <w:r w:rsidRPr="00D4309F">
        <w:t>operational</w:t>
      </w:r>
      <w:r w:rsidRPr="00D4309F">
        <w:rPr>
          <w:spacing w:val="-3"/>
        </w:rPr>
        <w:t xml:space="preserve"> </w:t>
      </w:r>
      <w:r w:rsidRPr="00D4309F">
        <w:t>dredging</w:t>
      </w:r>
      <w:r w:rsidRPr="00D4309F">
        <w:rPr>
          <w:spacing w:val="-3"/>
        </w:rPr>
        <w:t xml:space="preserve"> </w:t>
      </w:r>
      <w:r w:rsidRPr="00D4309F">
        <w:t>costs</w:t>
      </w:r>
      <w:r w:rsidRPr="00D4309F">
        <w:rPr>
          <w:spacing w:val="-2"/>
        </w:rPr>
        <w:t xml:space="preserve"> </w:t>
      </w:r>
      <w:r w:rsidRPr="00D4309F">
        <w:t>will</w:t>
      </w:r>
      <w:r w:rsidRPr="00D4309F">
        <w:rPr>
          <w:spacing w:val="-3"/>
        </w:rPr>
        <w:t xml:space="preserve"> </w:t>
      </w:r>
      <w:r w:rsidRPr="00D4309F">
        <w:t>be</w:t>
      </w:r>
      <w:r w:rsidRPr="00D4309F">
        <w:rPr>
          <w:spacing w:val="-3"/>
        </w:rPr>
        <w:t xml:space="preserve"> </w:t>
      </w:r>
      <w:r w:rsidRPr="00D4309F">
        <w:t>significantly</w:t>
      </w:r>
      <w:r w:rsidRPr="00D4309F">
        <w:rPr>
          <w:spacing w:val="-2"/>
        </w:rPr>
        <w:t xml:space="preserve"> </w:t>
      </w:r>
      <w:r w:rsidRPr="00D4309F">
        <w:t>lower</w:t>
      </w:r>
      <w:r w:rsidRPr="00D4309F">
        <w:rPr>
          <w:spacing w:val="-2"/>
        </w:rPr>
        <w:t xml:space="preserve"> </w:t>
      </w:r>
      <w:r w:rsidRPr="00D4309F">
        <w:t>than</w:t>
      </w:r>
      <w:r w:rsidRPr="00D4309F">
        <w:rPr>
          <w:spacing w:val="-4"/>
        </w:rPr>
        <w:t xml:space="preserve"> </w:t>
      </w:r>
      <w:r w:rsidRPr="00D4309F">
        <w:t>initial</w:t>
      </w:r>
      <w:r w:rsidRPr="00D4309F">
        <w:rPr>
          <w:spacing w:val="-3"/>
        </w:rPr>
        <w:t xml:space="preserve"> </w:t>
      </w:r>
      <w:r w:rsidRPr="00D4309F">
        <w:t>works, as maintenance removal will involve clean sand rather than hard rock. Although annual maintenance volumes are expected to be higher than the current status quo (5,000–10,000 m</w:t>
      </w:r>
      <w:r w:rsidRPr="00D4309F">
        <w:rPr>
          <w:vertAlign w:val="superscript"/>
        </w:rPr>
        <w:t>3</w:t>
      </w:r>
      <w:r w:rsidRPr="00D4309F">
        <w:t>/year), the system is intended to reduce navigation hazards associated with shallow entrance depths, providing a more reliable and predictable maintenance regime.</w:t>
      </w:r>
    </w:p>
    <w:p w14:paraId="13AD685D" w14:textId="77777777" w:rsidR="00725977" w:rsidRPr="00D4309F" w:rsidRDefault="00725977" w:rsidP="008228CB">
      <w:pPr>
        <w:pStyle w:val="Heading2"/>
      </w:pPr>
      <w:bookmarkStart w:id="332" w:name="_bookmark133"/>
      <w:bookmarkStart w:id="333" w:name="_Toc216699416"/>
      <w:bookmarkEnd w:id="332"/>
      <w:r w:rsidRPr="00D4309F">
        <w:lastRenderedPageBreak/>
        <w:t>Option</w:t>
      </w:r>
      <w:r w:rsidRPr="00D4309F">
        <w:rPr>
          <w:spacing w:val="-9"/>
        </w:rPr>
        <w:t xml:space="preserve"> </w:t>
      </w:r>
      <w:r w:rsidRPr="00D4309F">
        <w:t>2B</w:t>
      </w:r>
      <w:r w:rsidRPr="00D4309F">
        <w:rPr>
          <w:spacing w:val="-9"/>
        </w:rPr>
        <w:t xml:space="preserve"> </w:t>
      </w:r>
      <w:r w:rsidRPr="00D4309F">
        <w:t>–</w:t>
      </w:r>
      <w:r w:rsidRPr="00D4309F">
        <w:rPr>
          <w:spacing w:val="-7"/>
        </w:rPr>
        <w:t xml:space="preserve"> </w:t>
      </w:r>
      <w:r w:rsidRPr="00D4309F">
        <w:t>Excavated</w:t>
      </w:r>
      <w:r w:rsidRPr="00D4309F">
        <w:rPr>
          <w:spacing w:val="-9"/>
        </w:rPr>
        <w:t xml:space="preserve"> </w:t>
      </w:r>
      <w:r w:rsidRPr="00D4309F">
        <w:t>sand</w:t>
      </w:r>
      <w:r w:rsidRPr="00D4309F">
        <w:rPr>
          <w:spacing w:val="-8"/>
        </w:rPr>
        <w:t xml:space="preserve"> </w:t>
      </w:r>
      <w:r w:rsidRPr="00D4309F">
        <w:t>trap</w:t>
      </w:r>
      <w:r w:rsidRPr="00D4309F">
        <w:rPr>
          <w:spacing w:val="-10"/>
        </w:rPr>
        <w:t xml:space="preserve"> </w:t>
      </w:r>
      <w:r w:rsidRPr="00D4309F">
        <w:t>with</w:t>
      </w:r>
      <w:r w:rsidRPr="00D4309F">
        <w:rPr>
          <w:spacing w:val="-8"/>
        </w:rPr>
        <w:t xml:space="preserve"> </w:t>
      </w:r>
      <w:r w:rsidRPr="00D4309F">
        <w:t>TSHD</w:t>
      </w:r>
      <w:r w:rsidRPr="00D4309F">
        <w:rPr>
          <w:spacing w:val="-9"/>
        </w:rPr>
        <w:t xml:space="preserve"> </w:t>
      </w:r>
      <w:r w:rsidRPr="00D4309F">
        <w:rPr>
          <w:spacing w:val="-2"/>
        </w:rPr>
        <w:t>campaigns</w:t>
      </w:r>
      <w:bookmarkEnd w:id="333"/>
    </w:p>
    <w:p w14:paraId="7E8969AF" w14:textId="77777777" w:rsidR="00725977" w:rsidRPr="00D4309F" w:rsidRDefault="00725977" w:rsidP="008228CB">
      <w:pPr>
        <w:pStyle w:val="Heading3"/>
      </w:pPr>
      <w:bookmarkStart w:id="334" w:name="_Toc216699417"/>
      <w:r w:rsidRPr="00D4309F">
        <w:t>Option</w:t>
      </w:r>
      <w:r w:rsidRPr="00D4309F">
        <w:rPr>
          <w:spacing w:val="-5"/>
        </w:rPr>
        <w:t xml:space="preserve"> </w:t>
      </w:r>
      <w:r w:rsidRPr="00D4309F">
        <w:t>description</w:t>
      </w:r>
      <w:bookmarkEnd w:id="334"/>
    </w:p>
    <w:p w14:paraId="78A85DB9" w14:textId="77777777" w:rsidR="00725977" w:rsidRPr="00D4309F" w:rsidRDefault="00725977" w:rsidP="00725977">
      <w:pPr>
        <w:pStyle w:val="BodyText"/>
      </w:pPr>
      <w:r w:rsidRPr="00D4309F">
        <w:t>Option 2B builds upon the concept of the deepened rock sand trap within the Mooloolah River entrance channel but introduces a different operational method for sediment removal and management. In this variation, sand would be excavated into the underlying bedrock to create a defined sediment trap approximately</w:t>
      </w:r>
      <w:r w:rsidRPr="00D4309F">
        <w:rPr>
          <w:spacing w:val="-2"/>
        </w:rPr>
        <w:t xml:space="preserve"> </w:t>
      </w:r>
      <w:r w:rsidRPr="00D4309F">
        <w:t>100</w:t>
      </w:r>
      <w:r w:rsidRPr="00D4309F">
        <w:rPr>
          <w:spacing w:val="-3"/>
        </w:rPr>
        <w:t xml:space="preserve"> </w:t>
      </w:r>
      <w:r w:rsidRPr="00D4309F">
        <w:t>m</w:t>
      </w:r>
      <w:r w:rsidRPr="00D4309F">
        <w:rPr>
          <w:spacing w:val="-3"/>
        </w:rPr>
        <w:t xml:space="preserve"> </w:t>
      </w:r>
      <w:r w:rsidRPr="00D4309F">
        <w:t>by</w:t>
      </w:r>
      <w:r w:rsidRPr="00D4309F">
        <w:rPr>
          <w:spacing w:val="-2"/>
        </w:rPr>
        <w:t xml:space="preserve"> </w:t>
      </w:r>
      <w:r w:rsidRPr="00D4309F">
        <w:t>150</w:t>
      </w:r>
      <w:r w:rsidRPr="00D4309F">
        <w:rPr>
          <w:spacing w:val="-3"/>
        </w:rPr>
        <w:t xml:space="preserve"> </w:t>
      </w:r>
      <w:r w:rsidRPr="00D4309F">
        <w:t>m</w:t>
      </w:r>
      <w:r w:rsidRPr="00D4309F">
        <w:rPr>
          <w:spacing w:val="-3"/>
        </w:rPr>
        <w:t xml:space="preserve"> </w:t>
      </w:r>
      <w:r w:rsidRPr="00D4309F">
        <w:t>in</w:t>
      </w:r>
      <w:r w:rsidRPr="00D4309F">
        <w:rPr>
          <w:spacing w:val="-3"/>
        </w:rPr>
        <w:t xml:space="preserve"> </w:t>
      </w:r>
      <w:r w:rsidRPr="00D4309F">
        <w:t>area,</w:t>
      </w:r>
      <w:r w:rsidRPr="00D4309F">
        <w:rPr>
          <w:spacing w:val="-3"/>
        </w:rPr>
        <w:t xml:space="preserve"> </w:t>
      </w:r>
      <w:r w:rsidRPr="00D4309F">
        <w:t>functioning</w:t>
      </w:r>
      <w:r w:rsidRPr="00D4309F">
        <w:rPr>
          <w:spacing w:val="-3"/>
        </w:rPr>
        <w:t xml:space="preserve"> </w:t>
      </w:r>
      <w:r w:rsidRPr="00D4309F">
        <w:t>as</w:t>
      </w:r>
      <w:r w:rsidRPr="00D4309F">
        <w:rPr>
          <w:spacing w:val="-2"/>
        </w:rPr>
        <w:t xml:space="preserve"> </w:t>
      </w:r>
      <w:r w:rsidRPr="00D4309F">
        <w:t>a</w:t>
      </w:r>
      <w:r w:rsidRPr="00D4309F">
        <w:rPr>
          <w:spacing w:val="-3"/>
        </w:rPr>
        <w:t xml:space="preserve"> </w:t>
      </w:r>
      <w:r w:rsidRPr="00D4309F">
        <w:t>permanent</w:t>
      </w:r>
      <w:r w:rsidRPr="00D4309F">
        <w:rPr>
          <w:spacing w:val="-3"/>
        </w:rPr>
        <w:t xml:space="preserve"> </w:t>
      </w:r>
      <w:r w:rsidRPr="00D4309F">
        <w:t>sand</w:t>
      </w:r>
      <w:r w:rsidRPr="00D4309F">
        <w:rPr>
          <w:spacing w:val="-3"/>
        </w:rPr>
        <w:t xml:space="preserve"> </w:t>
      </w:r>
      <w:r w:rsidRPr="00D4309F">
        <w:t>sink</w:t>
      </w:r>
      <w:r w:rsidRPr="00D4309F">
        <w:rPr>
          <w:spacing w:val="-2"/>
        </w:rPr>
        <w:t xml:space="preserve"> </w:t>
      </w:r>
      <w:r w:rsidRPr="00D4309F">
        <w:t>that</w:t>
      </w:r>
      <w:r w:rsidRPr="00D4309F">
        <w:rPr>
          <w:spacing w:val="-3"/>
        </w:rPr>
        <w:t xml:space="preserve"> </w:t>
      </w:r>
      <w:r w:rsidRPr="00D4309F">
        <w:t>intercepts</w:t>
      </w:r>
      <w:r w:rsidRPr="00D4309F">
        <w:rPr>
          <w:spacing w:val="-3"/>
        </w:rPr>
        <w:t xml:space="preserve"> </w:t>
      </w:r>
      <w:r w:rsidRPr="00D4309F">
        <w:t>material</w:t>
      </w:r>
      <w:r w:rsidRPr="00D4309F">
        <w:rPr>
          <w:spacing w:val="-3"/>
        </w:rPr>
        <w:t xml:space="preserve"> </w:t>
      </w:r>
      <w:r w:rsidRPr="00D4309F">
        <w:t>moving around Point Cartwright before it accumulates within the main navigation channel.</w:t>
      </w:r>
    </w:p>
    <w:p w14:paraId="6E208BD9" w14:textId="77777777" w:rsidR="00725977" w:rsidRPr="00D4309F" w:rsidRDefault="00725977" w:rsidP="00725977">
      <w:pPr>
        <w:pStyle w:val="BodyText"/>
      </w:pPr>
      <w:r w:rsidRPr="00D4309F">
        <w:t>Rather than relying on the existing Cutter Suction Dredge (CSD), this option would use a Trailer Suction Hopper Dredge (TSHD) to remove accumulated sand at less frequent intervals, for example, every 12 months. The TSHD, capable of handling larger dredge volumes, would extract material once the trap nears capacity and</w:t>
      </w:r>
      <w:r w:rsidRPr="00D4309F">
        <w:rPr>
          <w:spacing w:val="-1"/>
        </w:rPr>
        <w:t xml:space="preserve"> </w:t>
      </w:r>
      <w:r w:rsidRPr="00D4309F">
        <w:t>place it within</w:t>
      </w:r>
      <w:r w:rsidRPr="00D4309F">
        <w:rPr>
          <w:spacing w:val="-1"/>
        </w:rPr>
        <w:t xml:space="preserve"> </w:t>
      </w:r>
      <w:r w:rsidRPr="00D4309F">
        <w:t>the nearshore zone of Area B (off Mooloolaba Beach). The nearshore placement would</w:t>
      </w:r>
      <w:r w:rsidRPr="00D4309F">
        <w:rPr>
          <w:spacing w:val="-3"/>
        </w:rPr>
        <w:t xml:space="preserve"> </w:t>
      </w:r>
      <w:r w:rsidRPr="00D4309F">
        <w:t>allow</w:t>
      </w:r>
      <w:r w:rsidRPr="00D4309F">
        <w:rPr>
          <w:spacing w:val="-2"/>
        </w:rPr>
        <w:t xml:space="preserve"> </w:t>
      </w:r>
      <w:r w:rsidRPr="00D4309F">
        <w:t>natural</w:t>
      </w:r>
      <w:r w:rsidRPr="00D4309F">
        <w:rPr>
          <w:spacing w:val="-3"/>
        </w:rPr>
        <w:t xml:space="preserve"> </w:t>
      </w:r>
      <w:r w:rsidRPr="00D4309F">
        <w:t>coastal</w:t>
      </w:r>
      <w:r w:rsidRPr="00D4309F">
        <w:rPr>
          <w:spacing w:val="-4"/>
        </w:rPr>
        <w:t xml:space="preserve"> </w:t>
      </w:r>
      <w:r w:rsidRPr="00D4309F">
        <w:t>processes,</w:t>
      </w:r>
      <w:r w:rsidRPr="00D4309F">
        <w:rPr>
          <w:spacing w:val="-3"/>
        </w:rPr>
        <w:t xml:space="preserve"> </w:t>
      </w:r>
      <w:r w:rsidRPr="00D4309F">
        <w:t>wave</w:t>
      </w:r>
      <w:r w:rsidRPr="00D4309F">
        <w:rPr>
          <w:spacing w:val="-3"/>
        </w:rPr>
        <w:t xml:space="preserve"> </w:t>
      </w:r>
      <w:r w:rsidRPr="00D4309F">
        <w:t>action</w:t>
      </w:r>
      <w:r w:rsidRPr="00D4309F">
        <w:rPr>
          <w:spacing w:val="-3"/>
        </w:rPr>
        <w:t xml:space="preserve"> </w:t>
      </w:r>
      <w:r w:rsidRPr="00D4309F">
        <w:t>and</w:t>
      </w:r>
      <w:r w:rsidRPr="00D4309F">
        <w:rPr>
          <w:spacing w:val="-3"/>
        </w:rPr>
        <w:t xml:space="preserve"> </w:t>
      </w:r>
      <w:r w:rsidRPr="00D4309F">
        <w:t>longshore</w:t>
      </w:r>
      <w:r w:rsidRPr="00D4309F">
        <w:rPr>
          <w:spacing w:val="-3"/>
        </w:rPr>
        <w:t xml:space="preserve"> </w:t>
      </w:r>
      <w:r w:rsidRPr="00D4309F">
        <w:t>drift,</w:t>
      </w:r>
      <w:r w:rsidRPr="00D4309F">
        <w:rPr>
          <w:spacing w:val="-3"/>
        </w:rPr>
        <w:t xml:space="preserve"> </w:t>
      </w:r>
      <w:r w:rsidRPr="00D4309F">
        <w:t>to</w:t>
      </w:r>
      <w:r w:rsidRPr="00D4309F">
        <w:rPr>
          <w:spacing w:val="-3"/>
        </w:rPr>
        <w:t xml:space="preserve"> </w:t>
      </w:r>
      <w:r w:rsidRPr="00D4309F">
        <w:t>move</w:t>
      </w:r>
      <w:r w:rsidRPr="00D4309F">
        <w:rPr>
          <w:spacing w:val="-3"/>
        </w:rPr>
        <w:t xml:space="preserve"> </w:t>
      </w:r>
      <w:r w:rsidRPr="00D4309F">
        <w:t>the</w:t>
      </w:r>
      <w:r w:rsidRPr="00D4309F">
        <w:rPr>
          <w:spacing w:val="-3"/>
        </w:rPr>
        <w:t xml:space="preserve"> </w:t>
      </w:r>
      <w:r w:rsidRPr="00D4309F">
        <w:t>sand</w:t>
      </w:r>
      <w:r w:rsidRPr="00D4309F">
        <w:rPr>
          <w:spacing w:val="-3"/>
        </w:rPr>
        <w:t xml:space="preserve"> </w:t>
      </w:r>
      <w:r w:rsidRPr="00D4309F">
        <w:t>onshore</w:t>
      </w:r>
      <w:r w:rsidRPr="00D4309F">
        <w:rPr>
          <w:spacing w:val="-3"/>
        </w:rPr>
        <w:t xml:space="preserve"> </w:t>
      </w:r>
      <w:r w:rsidRPr="00D4309F">
        <w:t>over</w:t>
      </w:r>
      <w:r w:rsidRPr="00D4309F">
        <w:rPr>
          <w:spacing w:val="-2"/>
        </w:rPr>
        <w:t xml:space="preserve"> </w:t>
      </w:r>
      <w:r w:rsidRPr="00D4309F">
        <w:t>time, replenishing the beach system with minimal disturbance to beach users.</w:t>
      </w:r>
    </w:p>
    <w:p w14:paraId="71A1F798" w14:textId="77777777" w:rsidR="00725977" w:rsidRPr="00D4309F" w:rsidRDefault="00725977" w:rsidP="00725977">
      <w:pPr>
        <w:pStyle w:val="BodyText"/>
      </w:pPr>
      <w:r w:rsidRPr="00D4309F">
        <w:t>While efficient for large-volume removal, the viability of this method depends on the TSHD being able to safely</w:t>
      </w:r>
      <w:r w:rsidRPr="00D4309F">
        <w:rPr>
          <w:spacing w:val="-2"/>
        </w:rPr>
        <w:t xml:space="preserve"> </w:t>
      </w:r>
      <w:r w:rsidRPr="00D4309F">
        <w:t>access</w:t>
      </w:r>
      <w:r w:rsidRPr="00D4309F">
        <w:rPr>
          <w:spacing w:val="-3"/>
        </w:rPr>
        <w:t xml:space="preserve"> </w:t>
      </w:r>
      <w:r w:rsidRPr="00D4309F">
        <w:t>the</w:t>
      </w:r>
      <w:r w:rsidRPr="00D4309F">
        <w:rPr>
          <w:spacing w:val="-3"/>
        </w:rPr>
        <w:t xml:space="preserve"> </w:t>
      </w:r>
      <w:r w:rsidRPr="00D4309F">
        <w:t>entrance,</w:t>
      </w:r>
      <w:r w:rsidRPr="00D4309F">
        <w:rPr>
          <w:spacing w:val="-5"/>
        </w:rPr>
        <w:t xml:space="preserve"> </w:t>
      </w:r>
      <w:r w:rsidRPr="00D4309F">
        <w:t>a</w:t>
      </w:r>
      <w:r w:rsidRPr="00D4309F">
        <w:rPr>
          <w:spacing w:val="-3"/>
        </w:rPr>
        <w:t xml:space="preserve"> </w:t>
      </w:r>
      <w:r w:rsidRPr="00D4309F">
        <w:t>significant</w:t>
      </w:r>
      <w:r w:rsidRPr="00D4309F">
        <w:rPr>
          <w:spacing w:val="-3"/>
        </w:rPr>
        <w:t xml:space="preserve"> </w:t>
      </w:r>
      <w:r w:rsidRPr="00D4309F">
        <w:t>constraint</w:t>
      </w:r>
      <w:r w:rsidRPr="00D4309F">
        <w:rPr>
          <w:spacing w:val="-3"/>
        </w:rPr>
        <w:t xml:space="preserve"> </w:t>
      </w:r>
      <w:r w:rsidRPr="00D4309F">
        <w:t>given</w:t>
      </w:r>
      <w:r w:rsidRPr="00D4309F">
        <w:rPr>
          <w:spacing w:val="-3"/>
        </w:rPr>
        <w:t xml:space="preserve"> </w:t>
      </w:r>
      <w:r w:rsidRPr="00D4309F">
        <w:t>the</w:t>
      </w:r>
      <w:r w:rsidRPr="00D4309F">
        <w:rPr>
          <w:spacing w:val="-3"/>
        </w:rPr>
        <w:t xml:space="preserve"> </w:t>
      </w:r>
      <w:r w:rsidRPr="00D4309F">
        <w:t>shallow,</w:t>
      </w:r>
      <w:r w:rsidRPr="00D4309F">
        <w:rPr>
          <w:spacing w:val="-3"/>
        </w:rPr>
        <w:t xml:space="preserve"> </w:t>
      </w:r>
      <w:r w:rsidRPr="00D4309F">
        <w:t>occasionally</w:t>
      </w:r>
      <w:r w:rsidRPr="00D4309F">
        <w:rPr>
          <w:spacing w:val="-2"/>
        </w:rPr>
        <w:t xml:space="preserve"> </w:t>
      </w:r>
      <w:r w:rsidRPr="00D4309F">
        <w:t>breaking</w:t>
      </w:r>
      <w:r w:rsidRPr="00D4309F">
        <w:rPr>
          <w:spacing w:val="-3"/>
        </w:rPr>
        <w:t xml:space="preserve"> </w:t>
      </w:r>
      <w:r w:rsidRPr="00D4309F">
        <w:t>bar</w:t>
      </w:r>
      <w:r w:rsidRPr="00D4309F">
        <w:rPr>
          <w:spacing w:val="-2"/>
        </w:rPr>
        <w:t xml:space="preserve"> </w:t>
      </w:r>
      <w:r w:rsidRPr="00D4309F">
        <w:t>at</w:t>
      </w:r>
      <w:r w:rsidRPr="00D4309F">
        <w:rPr>
          <w:spacing w:val="-3"/>
        </w:rPr>
        <w:t xml:space="preserve"> </w:t>
      </w:r>
      <w:r w:rsidRPr="00D4309F">
        <w:t>the</w:t>
      </w:r>
      <w:r w:rsidRPr="00D4309F">
        <w:rPr>
          <w:spacing w:val="-3"/>
        </w:rPr>
        <w:t xml:space="preserve"> </w:t>
      </w:r>
      <w:r w:rsidRPr="00D4309F">
        <w:t xml:space="preserve">river </w:t>
      </w:r>
      <w:r w:rsidRPr="00D4309F">
        <w:rPr>
          <w:spacing w:val="-2"/>
        </w:rPr>
        <w:t>mouth.</w:t>
      </w:r>
    </w:p>
    <w:p w14:paraId="6DA4747B" w14:textId="77777777" w:rsidR="00725977" w:rsidRDefault="00725977" w:rsidP="00725977">
      <w:pPr>
        <w:pStyle w:val="BodyText"/>
      </w:pPr>
      <w:r w:rsidRPr="00D4309F">
        <w:t>This</w:t>
      </w:r>
      <w:r w:rsidRPr="00D4309F">
        <w:rPr>
          <w:spacing w:val="-1"/>
        </w:rPr>
        <w:t xml:space="preserve"> </w:t>
      </w:r>
      <w:r w:rsidRPr="00D4309F">
        <w:t>option</w:t>
      </w:r>
      <w:r w:rsidRPr="00D4309F">
        <w:rPr>
          <w:spacing w:val="-2"/>
        </w:rPr>
        <w:t xml:space="preserve"> </w:t>
      </w:r>
      <w:r w:rsidRPr="00D4309F">
        <w:t>may</w:t>
      </w:r>
      <w:r w:rsidRPr="00D4309F">
        <w:rPr>
          <w:spacing w:val="-1"/>
        </w:rPr>
        <w:t xml:space="preserve"> </w:t>
      </w:r>
      <w:r w:rsidRPr="00D4309F">
        <w:t>be</w:t>
      </w:r>
      <w:r w:rsidRPr="00D4309F">
        <w:rPr>
          <w:spacing w:val="-2"/>
        </w:rPr>
        <w:t xml:space="preserve"> </w:t>
      </w:r>
      <w:r w:rsidRPr="00D4309F">
        <w:t>more</w:t>
      </w:r>
      <w:r w:rsidRPr="00D4309F">
        <w:rPr>
          <w:spacing w:val="-3"/>
        </w:rPr>
        <w:t xml:space="preserve"> </w:t>
      </w:r>
      <w:r w:rsidRPr="00D4309F">
        <w:t>suitable</w:t>
      </w:r>
      <w:r w:rsidRPr="00D4309F">
        <w:rPr>
          <w:spacing w:val="-2"/>
        </w:rPr>
        <w:t xml:space="preserve"> </w:t>
      </w:r>
      <w:r w:rsidRPr="00D4309F">
        <w:t>if</w:t>
      </w:r>
      <w:r w:rsidRPr="00D4309F">
        <w:rPr>
          <w:spacing w:val="-2"/>
        </w:rPr>
        <w:t xml:space="preserve"> </w:t>
      </w:r>
      <w:r w:rsidRPr="00D4309F">
        <w:t>the</w:t>
      </w:r>
      <w:r w:rsidRPr="00D4309F">
        <w:rPr>
          <w:spacing w:val="-2"/>
        </w:rPr>
        <w:t xml:space="preserve"> </w:t>
      </w:r>
      <w:r w:rsidRPr="00D4309F">
        <w:t>entrance</w:t>
      </w:r>
      <w:r w:rsidRPr="00D4309F">
        <w:rPr>
          <w:spacing w:val="-2"/>
        </w:rPr>
        <w:t xml:space="preserve"> </w:t>
      </w:r>
      <w:r w:rsidRPr="00D4309F">
        <w:t>design</w:t>
      </w:r>
      <w:r w:rsidRPr="00D4309F">
        <w:rPr>
          <w:spacing w:val="-2"/>
        </w:rPr>
        <w:t xml:space="preserve"> </w:t>
      </w:r>
      <w:r w:rsidRPr="00D4309F">
        <w:t>allowed</w:t>
      </w:r>
      <w:r w:rsidRPr="00D4309F">
        <w:rPr>
          <w:spacing w:val="-2"/>
        </w:rPr>
        <w:t xml:space="preserve"> </w:t>
      </w:r>
      <w:r w:rsidRPr="00D4309F">
        <w:t>for</w:t>
      </w:r>
      <w:r w:rsidRPr="00D4309F">
        <w:rPr>
          <w:spacing w:val="-1"/>
        </w:rPr>
        <w:t xml:space="preserve"> </w:t>
      </w:r>
      <w:r w:rsidRPr="00D4309F">
        <w:t>increased</w:t>
      </w:r>
      <w:r w:rsidRPr="00D4309F">
        <w:rPr>
          <w:spacing w:val="-2"/>
        </w:rPr>
        <w:t xml:space="preserve"> </w:t>
      </w:r>
      <w:r w:rsidRPr="00D4309F">
        <w:t>dredge</w:t>
      </w:r>
      <w:r w:rsidRPr="00D4309F">
        <w:rPr>
          <w:spacing w:val="-2"/>
        </w:rPr>
        <w:t xml:space="preserve"> </w:t>
      </w:r>
      <w:r w:rsidRPr="00D4309F">
        <w:t>depths,</w:t>
      </w:r>
      <w:r w:rsidRPr="00D4309F">
        <w:rPr>
          <w:spacing w:val="-2"/>
        </w:rPr>
        <w:t xml:space="preserve"> </w:t>
      </w:r>
      <w:r w:rsidRPr="00D4309F">
        <w:t>even</w:t>
      </w:r>
      <w:r w:rsidRPr="00D4309F">
        <w:rPr>
          <w:spacing w:val="-2"/>
        </w:rPr>
        <w:t xml:space="preserve"> </w:t>
      </w:r>
      <w:r w:rsidRPr="00D4309F">
        <w:t>if</w:t>
      </w:r>
      <w:r w:rsidRPr="00D4309F">
        <w:rPr>
          <w:spacing w:val="-2"/>
        </w:rPr>
        <w:t xml:space="preserve"> </w:t>
      </w:r>
      <w:r w:rsidRPr="00D4309F">
        <w:t>the</w:t>
      </w:r>
      <w:r w:rsidRPr="00D4309F">
        <w:rPr>
          <w:spacing w:val="-2"/>
        </w:rPr>
        <w:t xml:space="preserve"> </w:t>
      </w:r>
      <w:r w:rsidRPr="00D4309F">
        <w:t>full storage capacity of the trap is not utilised. Maintenance dredging would need to be triggered earlier, while depths remain sufficient for TSHD access, meaning the trap would be dredged deeper than required solely for sand-sink functionality.</w:t>
      </w:r>
    </w:p>
    <w:p w14:paraId="3A346308" w14:textId="77777777" w:rsidR="001E18C2" w:rsidRPr="00D4309F" w:rsidRDefault="001E18C2" w:rsidP="00725977">
      <w:pPr>
        <w:pStyle w:val="BodyText"/>
      </w:pPr>
    </w:p>
    <w:p w14:paraId="59159309" w14:textId="77777777" w:rsidR="00725977" w:rsidRPr="00D4309F" w:rsidRDefault="00725977" w:rsidP="00B538D4">
      <w:pPr>
        <w:pStyle w:val="BodyText"/>
        <w:keepNext/>
        <w:jc w:val="center"/>
      </w:pPr>
      <w:r w:rsidRPr="00D4309F">
        <w:rPr>
          <w:noProof/>
        </w:rPr>
        <w:drawing>
          <wp:inline distT="0" distB="0" distL="0" distR="0" wp14:anchorId="23570B3B" wp14:editId="66A1C56F">
            <wp:extent cx="5601111" cy="3901821"/>
            <wp:effectExtent l="0" t="0" r="0" b="3810"/>
            <wp:docPr id="226" name="Image 226" descr="Arial image of Point Cartwright and the Mooloolaba Boat Harbour Entrance. This shows the Option 2B Schematic Plan. The map overlays show where sand is trapped and collected by dredging at the entrance (when required), and then shows where sand is placed by dredge on the shore of Mooloolaba beac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descr="Arial image of Point Cartwright and the Mooloolaba Boat Harbour Entrance. This shows the Option 2B Schematic Plan. The map overlays show where sand is trapped and collected by dredging at the entrance (when required), and then shows where sand is placed by dredge on the shore of Mooloolaba beach."/>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601111" cy="3901821"/>
                    </a:xfrm>
                    <a:prstGeom prst="rect">
                      <a:avLst/>
                    </a:prstGeom>
                  </pic:spPr>
                </pic:pic>
              </a:graphicData>
            </a:graphic>
          </wp:inline>
        </w:drawing>
      </w:r>
    </w:p>
    <w:p w14:paraId="16DDDD8F" w14:textId="35178A88" w:rsidR="00F12A6F" w:rsidRPr="00D4309F" w:rsidRDefault="00F12A6F" w:rsidP="005244F7">
      <w:pPr>
        <w:pStyle w:val="Caption"/>
        <w:rPr>
          <w:b w:val="0"/>
        </w:rPr>
      </w:pPr>
      <w:bookmarkStart w:id="335" w:name="_bookmark134"/>
      <w:bookmarkStart w:id="336" w:name="_Toc216699627"/>
      <w:bookmarkEnd w:id="335"/>
      <w:r>
        <w:t xml:space="preserve">Figure </w:t>
      </w:r>
      <w:r w:rsidR="00B538D4">
        <w:fldChar w:fldCharType="begin" w:fldLock="1"/>
      </w:r>
      <w:r w:rsidR="00B538D4">
        <w:instrText xml:space="preserve"> STYLEREF 1 \s </w:instrText>
      </w:r>
      <w:r w:rsidR="00B538D4">
        <w:fldChar w:fldCharType="separate"/>
      </w:r>
      <w:r w:rsidR="00B538D4">
        <w:rPr>
          <w:noProof/>
        </w:rPr>
        <w:t>14</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4</w:t>
      </w:r>
      <w:r w:rsidR="00B538D4">
        <w:fldChar w:fldCharType="end"/>
      </w:r>
      <w:r>
        <w:t>:</w:t>
      </w:r>
      <w:r>
        <w:tab/>
      </w:r>
      <w:r w:rsidRPr="00D4309F">
        <w:rPr>
          <w:color w:val="211E1F"/>
        </w:rPr>
        <w:t>Option</w:t>
      </w:r>
      <w:r w:rsidRPr="00D4309F">
        <w:rPr>
          <w:color w:val="211E1F"/>
          <w:spacing w:val="-2"/>
        </w:rPr>
        <w:t xml:space="preserve"> </w:t>
      </w:r>
      <w:r w:rsidRPr="00D4309F">
        <w:rPr>
          <w:color w:val="211E1F"/>
        </w:rPr>
        <w:t>2B</w:t>
      </w:r>
      <w:r w:rsidRPr="00D4309F">
        <w:rPr>
          <w:color w:val="211E1F"/>
          <w:spacing w:val="-2"/>
        </w:rPr>
        <w:t xml:space="preserve"> </w:t>
      </w:r>
      <w:r w:rsidRPr="00D4309F">
        <w:rPr>
          <w:color w:val="211E1F"/>
        </w:rPr>
        <w:t>Schematic</w:t>
      </w:r>
      <w:r w:rsidRPr="00D4309F">
        <w:rPr>
          <w:color w:val="211E1F"/>
          <w:spacing w:val="-2"/>
        </w:rPr>
        <w:t xml:space="preserve"> </w:t>
      </w:r>
      <w:r w:rsidRPr="00D4309F">
        <w:rPr>
          <w:color w:val="211E1F"/>
          <w:spacing w:val="-4"/>
        </w:rPr>
        <w:t>Plan</w:t>
      </w:r>
      <w:bookmarkEnd w:id="336"/>
    </w:p>
    <w:p w14:paraId="18232BC2" w14:textId="77777777" w:rsidR="00725977" w:rsidRPr="00D4309F" w:rsidRDefault="00725977" w:rsidP="00725977">
      <w:pPr>
        <w:pStyle w:val="BodyText"/>
      </w:pPr>
    </w:p>
    <w:p w14:paraId="18527C55" w14:textId="77777777" w:rsidR="00725977" w:rsidRPr="00D4309F" w:rsidRDefault="00725977" w:rsidP="008228CB">
      <w:pPr>
        <w:pStyle w:val="Heading3"/>
      </w:pPr>
      <w:bookmarkStart w:id="337" w:name="_Toc216699418"/>
      <w:r w:rsidRPr="00D4309F">
        <w:t>Design</w:t>
      </w:r>
      <w:r w:rsidRPr="00D4309F">
        <w:rPr>
          <w:spacing w:val="-3"/>
        </w:rPr>
        <w:t xml:space="preserve"> </w:t>
      </w:r>
      <w:r w:rsidRPr="00D4309F">
        <w:t>and</w:t>
      </w:r>
      <w:r w:rsidRPr="00D4309F">
        <w:rPr>
          <w:spacing w:val="-3"/>
        </w:rPr>
        <w:t xml:space="preserve"> </w:t>
      </w:r>
      <w:r w:rsidRPr="00D4309F">
        <w:rPr>
          <w:spacing w:val="-2"/>
        </w:rPr>
        <w:t>approvals</w:t>
      </w:r>
      <w:bookmarkEnd w:id="337"/>
    </w:p>
    <w:p w14:paraId="2F788DF7" w14:textId="77777777" w:rsidR="00725977" w:rsidRPr="00D4309F" w:rsidRDefault="00725977" w:rsidP="00725977">
      <w:pPr>
        <w:pStyle w:val="BodyText"/>
      </w:pPr>
      <w:r w:rsidRPr="00D4309F">
        <w:t>As</w:t>
      </w:r>
      <w:r w:rsidRPr="00D4309F">
        <w:rPr>
          <w:spacing w:val="-4"/>
        </w:rPr>
        <w:t xml:space="preserve"> </w:t>
      </w:r>
      <w:r w:rsidRPr="00D4309F">
        <w:t>per</w:t>
      </w:r>
      <w:r w:rsidRPr="00D4309F">
        <w:rPr>
          <w:spacing w:val="-1"/>
        </w:rPr>
        <w:t xml:space="preserve"> </w:t>
      </w:r>
      <w:r w:rsidRPr="00D4309F">
        <w:t>2A</w:t>
      </w:r>
      <w:r w:rsidRPr="00D4309F">
        <w:rPr>
          <w:spacing w:val="-3"/>
        </w:rPr>
        <w:t xml:space="preserve"> </w:t>
      </w:r>
      <w:r w:rsidRPr="00D4309F">
        <w:t>for</w:t>
      </w:r>
      <w:r w:rsidRPr="00D4309F">
        <w:rPr>
          <w:spacing w:val="-3"/>
        </w:rPr>
        <w:t xml:space="preserve"> </w:t>
      </w:r>
      <w:r w:rsidRPr="00D4309F">
        <w:t>the</w:t>
      </w:r>
      <w:r w:rsidRPr="00D4309F">
        <w:rPr>
          <w:spacing w:val="-3"/>
        </w:rPr>
        <w:t xml:space="preserve"> </w:t>
      </w:r>
      <w:r w:rsidRPr="00D4309F">
        <w:t>extraction</w:t>
      </w:r>
      <w:r w:rsidRPr="00D4309F">
        <w:rPr>
          <w:spacing w:val="-3"/>
        </w:rPr>
        <w:t xml:space="preserve"> </w:t>
      </w:r>
      <w:r w:rsidRPr="00D4309F">
        <w:t>of</w:t>
      </w:r>
      <w:r w:rsidRPr="00D4309F">
        <w:rPr>
          <w:spacing w:val="-2"/>
        </w:rPr>
        <w:t xml:space="preserve"> </w:t>
      </w:r>
      <w:r w:rsidRPr="00D4309F">
        <w:t>material</w:t>
      </w:r>
      <w:r w:rsidRPr="00D4309F">
        <w:rPr>
          <w:spacing w:val="-3"/>
        </w:rPr>
        <w:t xml:space="preserve"> </w:t>
      </w:r>
      <w:r w:rsidRPr="00D4309F">
        <w:t>to</w:t>
      </w:r>
      <w:r w:rsidRPr="00D4309F">
        <w:rPr>
          <w:spacing w:val="-2"/>
        </w:rPr>
        <w:t xml:space="preserve"> </w:t>
      </w:r>
      <w:r w:rsidRPr="00D4309F">
        <w:t>create</w:t>
      </w:r>
      <w:r w:rsidRPr="00D4309F">
        <w:rPr>
          <w:spacing w:val="-3"/>
        </w:rPr>
        <w:t xml:space="preserve"> </w:t>
      </w:r>
      <w:r w:rsidRPr="00D4309F">
        <w:t>the</w:t>
      </w:r>
      <w:r w:rsidRPr="00D4309F">
        <w:rPr>
          <w:spacing w:val="-2"/>
        </w:rPr>
        <w:t xml:space="preserve"> </w:t>
      </w:r>
      <w:r w:rsidRPr="00D4309F">
        <w:t>sand</w:t>
      </w:r>
      <w:r w:rsidRPr="00D4309F">
        <w:rPr>
          <w:spacing w:val="-2"/>
        </w:rPr>
        <w:t xml:space="preserve"> trap.</w:t>
      </w:r>
    </w:p>
    <w:p w14:paraId="3776693F" w14:textId="520FF620" w:rsidR="0053290E" w:rsidRPr="00D4309F" w:rsidRDefault="00725977" w:rsidP="00725977">
      <w:pPr>
        <w:pStyle w:val="BodyText"/>
      </w:pPr>
      <w:r w:rsidRPr="00D4309F">
        <w:lastRenderedPageBreak/>
        <w:t>For</w:t>
      </w:r>
      <w:r w:rsidRPr="00D4309F">
        <w:rPr>
          <w:spacing w:val="-2"/>
        </w:rPr>
        <w:t xml:space="preserve"> </w:t>
      </w:r>
      <w:r w:rsidRPr="00D4309F">
        <w:t>deposition</w:t>
      </w:r>
      <w:r w:rsidRPr="00D4309F">
        <w:rPr>
          <w:spacing w:val="-3"/>
        </w:rPr>
        <w:t xml:space="preserve"> </w:t>
      </w:r>
      <w:r w:rsidRPr="00D4309F">
        <w:t>the</w:t>
      </w:r>
      <w:r w:rsidRPr="00D4309F">
        <w:rPr>
          <w:spacing w:val="-3"/>
        </w:rPr>
        <w:t xml:space="preserve"> </w:t>
      </w:r>
      <w:r w:rsidRPr="00D4309F">
        <w:t>sand</w:t>
      </w:r>
      <w:r w:rsidRPr="00D4309F">
        <w:rPr>
          <w:spacing w:val="-3"/>
        </w:rPr>
        <w:t xml:space="preserve"> </w:t>
      </w:r>
      <w:r w:rsidRPr="00D4309F">
        <w:t>placement</w:t>
      </w:r>
      <w:r w:rsidRPr="00D4309F">
        <w:rPr>
          <w:spacing w:val="-3"/>
        </w:rPr>
        <w:t xml:space="preserve"> </w:t>
      </w:r>
      <w:r w:rsidRPr="00D4309F">
        <w:t>would</w:t>
      </w:r>
      <w:r w:rsidRPr="00D4309F">
        <w:rPr>
          <w:spacing w:val="-3"/>
        </w:rPr>
        <w:t xml:space="preserve"> </w:t>
      </w:r>
      <w:r w:rsidRPr="00D4309F">
        <w:t>in</w:t>
      </w:r>
      <w:r w:rsidRPr="00D4309F">
        <w:rPr>
          <w:spacing w:val="-3"/>
        </w:rPr>
        <w:t xml:space="preserve"> </w:t>
      </w:r>
      <w:r w:rsidRPr="00D4309F">
        <w:t>the</w:t>
      </w:r>
      <w:r w:rsidRPr="00D4309F">
        <w:rPr>
          <w:spacing w:val="-3"/>
        </w:rPr>
        <w:t xml:space="preserve"> </w:t>
      </w:r>
      <w:r w:rsidRPr="00D4309F">
        <w:t>nearshore</w:t>
      </w:r>
      <w:r w:rsidRPr="00D4309F">
        <w:rPr>
          <w:spacing w:val="-3"/>
        </w:rPr>
        <w:t xml:space="preserve"> </w:t>
      </w:r>
      <w:r w:rsidRPr="00D4309F">
        <w:t>and</w:t>
      </w:r>
      <w:r w:rsidRPr="00D4309F">
        <w:rPr>
          <w:spacing w:val="-3"/>
        </w:rPr>
        <w:t xml:space="preserve"> </w:t>
      </w:r>
      <w:r w:rsidRPr="00D4309F">
        <w:t>would</w:t>
      </w:r>
      <w:r w:rsidRPr="00D4309F">
        <w:rPr>
          <w:spacing w:val="-3"/>
        </w:rPr>
        <w:t xml:space="preserve"> </w:t>
      </w:r>
      <w:r w:rsidRPr="00D4309F">
        <w:t>need</w:t>
      </w:r>
      <w:r w:rsidRPr="00D4309F">
        <w:rPr>
          <w:spacing w:val="-3"/>
        </w:rPr>
        <w:t xml:space="preserve"> </w:t>
      </w:r>
      <w:r w:rsidRPr="00D4309F">
        <w:t>to</w:t>
      </w:r>
      <w:r w:rsidRPr="00D4309F">
        <w:rPr>
          <w:spacing w:val="-3"/>
        </w:rPr>
        <w:t xml:space="preserve"> </w:t>
      </w:r>
      <w:r w:rsidRPr="00D4309F">
        <w:t>have</w:t>
      </w:r>
      <w:r w:rsidRPr="00D4309F">
        <w:rPr>
          <w:spacing w:val="-3"/>
        </w:rPr>
        <w:t xml:space="preserve"> </w:t>
      </w:r>
      <w:r w:rsidRPr="00D4309F">
        <w:t>and</w:t>
      </w:r>
      <w:r w:rsidRPr="00D4309F">
        <w:rPr>
          <w:spacing w:val="-3"/>
        </w:rPr>
        <w:t xml:space="preserve"> </w:t>
      </w:r>
      <w:r w:rsidRPr="00D4309F">
        <w:t>approved</w:t>
      </w:r>
      <w:r w:rsidRPr="00D4309F">
        <w:rPr>
          <w:spacing w:val="-3"/>
        </w:rPr>
        <w:t xml:space="preserve"> </w:t>
      </w:r>
      <w:r w:rsidRPr="00D4309F">
        <w:t>deposition area which would require an environmental impact assessment as nourishment impacts study.</w:t>
      </w:r>
    </w:p>
    <w:p w14:paraId="2EBD6107" w14:textId="77777777" w:rsidR="00725977" w:rsidRPr="00D4309F" w:rsidRDefault="00725977" w:rsidP="008228CB">
      <w:pPr>
        <w:pStyle w:val="Heading3"/>
      </w:pPr>
      <w:bookmarkStart w:id="338" w:name="_Toc216699419"/>
      <w:r w:rsidRPr="00D4309F">
        <w:t>Capital</w:t>
      </w:r>
      <w:r w:rsidRPr="00D4309F">
        <w:rPr>
          <w:spacing w:val="-4"/>
        </w:rPr>
        <w:t xml:space="preserve"> </w:t>
      </w:r>
      <w:r w:rsidRPr="00D4309F">
        <w:rPr>
          <w:spacing w:val="-2"/>
        </w:rPr>
        <w:t>works</w:t>
      </w:r>
      <w:bookmarkEnd w:id="338"/>
    </w:p>
    <w:p w14:paraId="324025B5" w14:textId="77777777" w:rsidR="00725977" w:rsidRPr="00D4309F" w:rsidRDefault="00725977" w:rsidP="008228CB">
      <w:pPr>
        <w:pStyle w:val="Heading4-nonumber"/>
      </w:pPr>
      <w:r w:rsidRPr="00D4309F">
        <w:t>Capital</w:t>
      </w:r>
      <w:r w:rsidRPr="00D4309F">
        <w:rPr>
          <w:spacing w:val="-3"/>
        </w:rPr>
        <w:t xml:space="preserve"> </w:t>
      </w:r>
      <w:r w:rsidRPr="00D4309F">
        <w:t>Works</w:t>
      </w:r>
      <w:r w:rsidRPr="00D4309F">
        <w:rPr>
          <w:spacing w:val="-3"/>
        </w:rPr>
        <w:t xml:space="preserve"> </w:t>
      </w:r>
      <w:r w:rsidRPr="00D4309F">
        <w:rPr>
          <w:spacing w:val="-2"/>
        </w:rPr>
        <w:t>Costs</w:t>
      </w:r>
    </w:p>
    <w:p w14:paraId="4EF4816E" w14:textId="104D1E7B" w:rsidR="00725977" w:rsidRPr="00D4309F" w:rsidRDefault="00725977" w:rsidP="00725977">
      <w:pPr>
        <w:pStyle w:val="BodyText"/>
      </w:pPr>
      <w:r w:rsidRPr="00D4309F">
        <w:t>Capital</w:t>
      </w:r>
      <w:r w:rsidRPr="00D4309F">
        <w:rPr>
          <w:spacing w:val="-3"/>
        </w:rPr>
        <w:t xml:space="preserve"> </w:t>
      </w:r>
      <w:r w:rsidRPr="00D4309F">
        <w:t>works</w:t>
      </w:r>
      <w:r w:rsidRPr="00D4309F">
        <w:rPr>
          <w:spacing w:val="-2"/>
        </w:rPr>
        <w:t xml:space="preserve"> </w:t>
      </w:r>
      <w:r w:rsidRPr="00D4309F">
        <w:t>for</w:t>
      </w:r>
      <w:r w:rsidRPr="00D4309F">
        <w:rPr>
          <w:spacing w:val="-1"/>
        </w:rPr>
        <w:t xml:space="preserve"> </w:t>
      </w:r>
      <w:r w:rsidRPr="00D4309F">
        <w:t>Option</w:t>
      </w:r>
      <w:r w:rsidRPr="00D4309F">
        <w:rPr>
          <w:spacing w:val="-2"/>
        </w:rPr>
        <w:t xml:space="preserve"> </w:t>
      </w:r>
      <w:r w:rsidRPr="00D4309F">
        <w:t>2B</w:t>
      </w:r>
      <w:r w:rsidRPr="00D4309F">
        <w:rPr>
          <w:spacing w:val="-2"/>
        </w:rPr>
        <w:t xml:space="preserve"> </w:t>
      </w:r>
      <w:r w:rsidRPr="00D4309F">
        <w:t>are</w:t>
      </w:r>
      <w:r w:rsidRPr="00D4309F">
        <w:rPr>
          <w:spacing w:val="-2"/>
        </w:rPr>
        <w:t xml:space="preserve"> </w:t>
      </w:r>
      <w:r w:rsidRPr="00D4309F">
        <w:t>identical</w:t>
      </w:r>
      <w:r w:rsidRPr="00D4309F">
        <w:rPr>
          <w:spacing w:val="-2"/>
        </w:rPr>
        <w:t xml:space="preserve"> </w:t>
      </w:r>
      <w:r w:rsidRPr="00D4309F">
        <w:t>to</w:t>
      </w:r>
      <w:r w:rsidRPr="00D4309F">
        <w:rPr>
          <w:spacing w:val="-2"/>
        </w:rPr>
        <w:t xml:space="preserve"> </w:t>
      </w:r>
      <w:r w:rsidRPr="00D4309F">
        <w:t>Option</w:t>
      </w:r>
      <w:r w:rsidRPr="00D4309F">
        <w:rPr>
          <w:spacing w:val="-2"/>
        </w:rPr>
        <w:t xml:space="preserve"> </w:t>
      </w:r>
      <w:r w:rsidRPr="00D4309F">
        <w:t>2A,</w:t>
      </w:r>
      <w:r w:rsidRPr="00D4309F">
        <w:rPr>
          <w:spacing w:val="-2"/>
        </w:rPr>
        <w:t xml:space="preserve"> </w:t>
      </w:r>
      <w:r w:rsidRPr="00D4309F">
        <w:t>as</w:t>
      </w:r>
      <w:r w:rsidRPr="00D4309F">
        <w:rPr>
          <w:spacing w:val="-1"/>
        </w:rPr>
        <w:t xml:space="preserve"> </w:t>
      </w:r>
      <w:r w:rsidRPr="00D4309F">
        <w:t>the</w:t>
      </w:r>
      <w:r w:rsidRPr="00D4309F">
        <w:rPr>
          <w:spacing w:val="-2"/>
        </w:rPr>
        <w:t xml:space="preserve"> </w:t>
      </w:r>
      <w:r w:rsidRPr="00D4309F">
        <w:t>excavation</w:t>
      </w:r>
      <w:r w:rsidRPr="00D4309F">
        <w:rPr>
          <w:spacing w:val="-2"/>
        </w:rPr>
        <w:t xml:space="preserve"> </w:t>
      </w:r>
      <w:r w:rsidRPr="00D4309F">
        <w:t>of</w:t>
      </w:r>
      <w:r w:rsidRPr="00D4309F">
        <w:rPr>
          <w:spacing w:val="-2"/>
        </w:rPr>
        <w:t xml:space="preserve"> </w:t>
      </w:r>
      <w:r w:rsidRPr="00D4309F">
        <w:t>the</w:t>
      </w:r>
      <w:r w:rsidRPr="00D4309F">
        <w:rPr>
          <w:spacing w:val="-3"/>
        </w:rPr>
        <w:t xml:space="preserve"> </w:t>
      </w:r>
      <w:r w:rsidRPr="00D4309F">
        <w:t>nearshore</w:t>
      </w:r>
      <w:r w:rsidRPr="00D4309F">
        <w:rPr>
          <w:spacing w:val="-2"/>
        </w:rPr>
        <w:t xml:space="preserve"> </w:t>
      </w:r>
      <w:r w:rsidRPr="00D4309F">
        <w:t>rock</w:t>
      </w:r>
      <w:r w:rsidRPr="00D4309F">
        <w:rPr>
          <w:spacing w:val="-2"/>
        </w:rPr>
        <w:t xml:space="preserve"> </w:t>
      </w:r>
      <w:r w:rsidRPr="00D4309F">
        <w:t>shelf</w:t>
      </w:r>
      <w:r w:rsidRPr="00D4309F">
        <w:rPr>
          <w:spacing w:val="-2"/>
        </w:rPr>
        <w:t xml:space="preserve"> </w:t>
      </w:r>
      <w:r w:rsidRPr="00D4309F">
        <w:t>must still be undertaken using mechanical or cutterhead methods. A Trailing Suction Hopper Dredger (TSHD) cannot excavate rock, so it provides no capital-phase efficiencies.</w:t>
      </w:r>
    </w:p>
    <w:p w14:paraId="151632CE" w14:textId="77777777" w:rsidR="00725977" w:rsidRPr="00D4309F" w:rsidRDefault="00725977" w:rsidP="008228CB">
      <w:pPr>
        <w:pStyle w:val="Heading4-nonumber"/>
      </w:pPr>
      <w:r w:rsidRPr="00D4309F">
        <w:t>Operational</w:t>
      </w:r>
      <w:r w:rsidRPr="00D4309F">
        <w:rPr>
          <w:spacing w:val="-6"/>
        </w:rPr>
        <w:t xml:space="preserve"> </w:t>
      </w:r>
      <w:r w:rsidRPr="00D4309F">
        <w:rPr>
          <w:spacing w:val="-2"/>
        </w:rPr>
        <w:t>Costs</w:t>
      </w:r>
    </w:p>
    <w:p w14:paraId="0FA7B426" w14:textId="77777777" w:rsidR="00725977" w:rsidRPr="00D4309F" w:rsidRDefault="00725977" w:rsidP="00725977">
      <w:pPr>
        <w:pStyle w:val="BodyText"/>
      </w:pPr>
      <w:r w:rsidRPr="00D4309F">
        <w:t>The key difference between Options 2A and 2B lies in the maintenance dredging approach. Once the rock trap</w:t>
      </w:r>
      <w:r w:rsidRPr="00D4309F">
        <w:rPr>
          <w:spacing w:val="-2"/>
        </w:rPr>
        <w:t xml:space="preserve"> </w:t>
      </w:r>
      <w:r w:rsidRPr="00D4309F">
        <w:t>is</w:t>
      </w:r>
      <w:r w:rsidRPr="00D4309F">
        <w:rPr>
          <w:spacing w:val="-1"/>
        </w:rPr>
        <w:t xml:space="preserve"> </w:t>
      </w:r>
      <w:r w:rsidRPr="00D4309F">
        <w:t>formed,</w:t>
      </w:r>
      <w:r w:rsidRPr="00D4309F">
        <w:rPr>
          <w:spacing w:val="-2"/>
        </w:rPr>
        <w:t xml:space="preserve"> </w:t>
      </w:r>
      <w:r w:rsidRPr="00D4309F">
        <w:t>ongoing</w:t>
      </w:r>
      <w:r w:rsidRPr="00D4309F">
        <w:rPr>
          <w:spacing w:val="-2"/>
        </w:rPr>
        <w:t xml:space="preserve"> </w:t>
      </w:r>
      <w:r w:rsidRPr="00D4309F">
        <w:t>removal</w:t>
      </w:r>
      <w:r w:rsidRPr="00D4309F">
        <w:rPr>
          <w:spacing w:val="-2"/>
        </w:rPr>
        <w:t xml:space="preserve"> </w:t>
      </w:r>
      <w:r w:rsidRPr="00D4309F">
        <w:t>involves</w:t>
      </w:r>
      <w:r w:rsidRPr="00D4309F">
        <w:rPr>
          <w:spacing w:val="-2"/>
        </w:rPr>
        <w:t xml:space="preserve"> </w:t>
      </w:r>
      <w:r w:rsidRPr="00D4309F">
        <w:t>clean</w:t>
      </w:r>
      <w:r w:rsidRPr="00D4309F">
        <w:rPr>
          <w:spacing w:val="-2"/>
        </w:rPr>
        <w:t xml:space="preserve"> </w:t>
      </w:r>
      <w:r w:rsidRPr="00D4309F">
        <w:t>sand,</w:t>
      </w:r>
      <w:r w:rsidRPr="00D4309F">
        <w:rPr>
          <w:spacing w:val="-2"/>
        </w:rPr>
        <w:t xml:space="preserve"> </w:t>
      </w:r>
      <w:r w:rsidRPr="00D4309F">
        <w:t>enabling</w:t>
      </w:r>
      <w:r w:rsidRPr="00D4309F">
        <w:rPr>
          <w:spacing w:val="-2"/>
        </w:rPr>
        <w:t xml:space="preserve"> </w:t>
      </w:r>
      <w:r w:rsidRPr="00D4309F">
        <w:t>the</w:t>
      </w:r>
      <w:r w:rsidRPr="00D4309F">
        <w:rPr>
          <w:spacing w:val="-2"/>
        </w:rPr>
        <w:t xml:space="preserve"> </w:t>
      </w:r>
      <w:r w:rsidRPr="00D4309F">
        <w:t>use</w:t>
      </w:r>
      <w:r w:rsidRPr="00D4309F">
        <w:rPr>
          <w:spacing w:val="-2"/>
        </w:rPr>
        <w:t xml:space="preserve"> </w:t>
      </w:r>
      <w:r w:rsidRPr="00D4309F">
        <w:t>of</w:t>
      </w:r>
      <w:r w:rsidRPr="00D4309F">
        <w:rPr>
          <w:spacing w:val="-2"/>
        </w:rPr>
        <w:t xml:space="preserve"> </w:t>
      </w:r>
      <w:r w:rsidRPr="00D4309F">
        <w:t>a</w:t>
      </w:r>
      <w:r w:rsidRPr="00D4309F">
        <w:rPr>
          <w:spacing w:val="-2"/>
        </w:rPr>
        <w:t xml:space="preserve"> </w:t>
      </w:r>
      <w:r w:rsidRPr="00D4309F">
        <w:t>TSHD</w:t>
      </w:r>
      <w:r w:rsidRPr="00D4309F">
        <w:rPr>
          <w:spacing w:val="-3"/>
        </w:rPr>
        <w:t xml:space="preserve"> </w:t>
      </w:r>
      <w:r w:rsidRPr="00D4309F">
        <w:t>if</w:t>
      </w:r>
      <w:r w:rsidRPr="00D4309F">
        <w:rPr>
          <w:spacing w:val="-2"/>
        </w:rPr>
        <w:t xml:space="preserve"> </w:t>
      </w:r>
      <w:r w:rsidRPr="00D4309F">
        <w:t>access</w:t>
      </w:r>
      <w:r w:rsidRPr="00D4309F">
        <w:rPr>
          <w:spacing w:val="-1"/>
        </w:rPr>
        <w:t xml:space="preserve"> </w:t>
      </w:r>
      <w:r w:rsidRPr="00D4309F">
        <w:t>and</w:t>
      </w:r>
      <w:r w:rsidRPr="00D4309F">
        <w:rPr>
          <w:spacing w:val="-3"/>
        </w:rPr>
        <w:t xml:space="preserve"> </w:t>
      </w:r>
      <w:r w:rsidRPr="00D4309F">
        <w:t>draft</w:t>
      </w:r>
      <w:r w:rsidRPr="00D4309F">
        <w:rPr>
          <w:spacing w:val="-2"/>
        </w:rPr>
        <w:t xml:space="preserve"> </w:t>
      </w:r>
      <w:r w:rsidRPr="00D4309F">
        <w:t>allow.</w:t>
      </w:r>
    </w:p>
    <w:p w14:paraId="2FB6C8D5" w14:textId="77777777" w:rsidR="00725977" w:rsidRPr="00D4309F" w:rsidRDefault="00725977" w:rsidP="00725977">
      <w:pPr>
        <w:pStyle w:val="BodyText"/>
      </w:pPr>
      <w:r w:rsidRPr="00D4309F">
        <w:t>As</w:t>
      </w:r>
      <w:r w:rsidRPr="00D4309F">
        <w:rPr>
          <w:spacing w:val="-3"/>
        </w:rPr>
        <w:t xml:space="preserve"> </w:t>
      </w:r>
      <w:r w:rsidRPr="00D4309F">
        <w:t>per</w:t>
      </w:r>
      <w:r w:rsidRPr="00D4309F">
        <w:rPr>
          <w:spacing w:val="-4"/>
        </w:rPr>
        <w:t xml:space="preserve"> </w:t>
      </w:r>
      <w:r w:rsidRPr="00D4309F">
        <w:t>sediment</w:t>
      </w:r>
      <w:r w:rsidRPr="00D4309F">
        <w:rPr>
          <w:spacing w:val="-3"/>
        </w:rPr>
        <w:t xml:space="preserve"> </w:t>
      </w:r>
      <w:r w:rsidRPr="00D4309F">
        <w:t>transport</w:t>
      </w:r>
      <w:r w:rsidRPr="00D4309F">
        <w:rPr>
          <w:spacing w:val="-3"/>
        </w:rPr>
        <w:t xml:space="preserve"> </w:t>
      </w:r>
      <w:r w:rsidRPr="00D4309F">
        <w:rPr>
          <w:spacing w:val="-2"/>
        </w:rPr>
        <w:t>evidence:</w:t>
      </w:r>
    </w:p>
    <w:p w14:paraId="1243619B" w14:textId="77777777" w:rsidR="00725977" w:rsidRPr="00D4309F" w:rsidRDefault="00725977" w:rsidP="00877ED9">
      <w:pPr>
        <w:pStyle w:val="ListParagraph"/>
        <w:widowControl w:val="0"/>
        <w:numPr>
          <w:ilvl w:val="0"/>
          <w:numId w:val="371"/>
        </w:numPr>
        <w:tabs>
          <w:tab w:val="left" w:pos="501"/>
        </w:tabs>
        <w:autoSpaceDE w:val="0"/>
        <w:autoSpaceDN w:val="0"/>
        <w:spacing w:before="121" w:after="0" w:line="240" w:lineRule="auto"/>
        <w:ind w:left="340" w:hanging="359"/>
        <w:contextualSpacing w:val="0"/>
      </w:pPr>
      <w:r w:rsidRPr="00D4309F">
        <w:rPr>
          <w:color w:val="211E1F"/>
        </w:rPr>
        <w:t>Shoaling</w:t>
      </w:r>
      <w:r w:rsidRPr="00D4309F">
        <w:rPr>
          <w:color w:val="211E1F"/>
          <w:spacing w:val="-6"/>
        </w:rPr>
        <w:t xml:space="preserve"> </w:t>
      </w:r>
      <w:r w:rsidRPr="00D4309F">
        <w:rPr>
          <w:color w:val="211E1F"/>
        </w:rPr>
        <w:t>above</w:t>
      </w:r>
      <w:r w:rsidRPr="00D4309F">
        <w:rPr>
          <w:color w:val="211E1F"/>
          <w:spacing w:val="-4"/>
        </w:rPr>
        <w:t xml:space="preserve"> </w:t>
      </w:r>
      <w:r w:rsidRPr="00D4309F">
        <w:rPr>
          <w:color w:val="211E1F"/>
        </w:rPr>
        <w:t>–3</w:t>
      </w:r>
      <w:r w:rsidRPr="00D4309F">
        <w:rPr>
          <w:color w:val="211E1F"/>
          <w:spacing w:val="-4"/>
        </w:rPr>
        <w:t xml:space="preserve"> </w:t>
      </w:r>
      <w:r w:rsidRPr="00D4309F">
        <w:rPr>
          <w:color w:val="211E1F"/>
        </w:rPr>
        <w:t>m</w:t>
      </w:r>
      <w:r w:rsidRPr="00D4309F">
        <w:rPr>
          <w:color w:val="211E1F"/>
          <w:spacing w:val="-4"/>
        </w:rPr>
        <w:t xml:space="preserve"> </w:t>
      </w:r>
      <w:r w:rsidRPr="00D4309F">
        <w:rPr>
          <w:color w:val="211E1F"/>
        </w:rPr>
        <w:t>LAT</w:t>
      </w:r>
      <w:r w:rsidRPr="00D4309F">
        <w:rPr>
          <w:color w:val="211E1F"/>
          <w:spacing w:val="-5"/>
        </w:rPr>
        <w:t xml:space="preserve"> </w:t>
      </w:r>
      <w:r w:rsidRPr="00D4309F">
        <w:rPr>
          <w:color w:val="211E1F"/>
        </w:rPr>
        <w:t>typically</w:t>
      </w:r>
      <w:r w:rsidRPr="00D4309F">
        <w:rPr>
          <w:color w:val="211E1F"/>
          <w:spacing w:val="-4"/>
        </w:rPr>
        <w:t xml:space="preserve"> </w:t>
      </w:r>
      <w:r w:rsidRPr="00D4309F">
        <w:rPr>
          <w:color w:val="211E1F"/>
        </w:rPr>
        <w:t>contributes</w:t>
      </w:r>
      <w:r w:rsidRPr="00D4309F">
        <w:rPr>
          <w:color w:val="211E1F"/>
          <w:spacing w:val="-3"/>
        </w:rPr>
        <w:t xml:space="preserve"> </w:t>
      </w:r>
      <w:r w:rsidRPr="00D4309F">
        <w:rPr>
          <w:color w:val="211E1F"/>
        </w:rPr>
        <w:t>5,000–10,000</w:t>
      </w:r>
      <w:r w:rsidRPr="00D4309F">
        <w:rPr>
          <w:color w:val="211E1F"/>
          <w:spacing w:val="-3"/>
        </w:rPr>
        <w:t xml:space="preserve"> </w:t>
      </w:r>
      <w:r w:rsidRPr="00D4309F">
        <w:rPr>
          <w:color w:val="211E1F"/>
          <w:spacing w:val="-2"/>
        </w:rPr>
        <w:t>m</w:t>
      </w:r>
      <w:r w:rsidRPr="00D4309F">
        <w:rPr>
          <w:color w:val="211E1F"/>
          <w:spacing w:val="-2"/>
          <w:vertAlign w:val="superscript"/>
        </w:rPr>
        <w:t>3</w:t>
      </w:r>
      <w:r w:rsidRPr="00D4309F">
        <w:rPr>
          <w:color w:val="211E1F"/>
          <w:spacing w:val="-2"/>
        </w:rPr>
        <w:t>/year.</w:t>
      </w:r>
    </w:p>
    <w:p w14:paraId="3E044310" w14:textId="77777777" w:rsidR="00725977" w:rsidRPr="00D4309F" w:rsidRDefault="00725977" w:rsidP="00877ED9">
      <w:pPr>
        <w:pStyle w:val="ListParagraph"/>
        <w:widowControl w:val="0"/>
        <w:numPr>
          <w:ilvl w:val="0"/>
          <w:numId w:val="371"/>
        </w:numPr>
        <w:tabs>
          <w:tab w:val="left" w:pos="502"/>
        </w:tabs>
        <w:autoSpaceDE w:val="0"/>
        <w:autoSpaceDN w:val="0"/>
        <w:spacing w:before="118" w:after="0" w:line="240" w:lineRule="auto"/>
        <w:ind w:left="340" w:right="531" w:hanging="361"/>
        <w:contextualSpacing w:val="0"/>
      </w:pPr>
      <w:r w:rsidRPr="00D4309F">
        <w:rPr>
          <w:color w:val="211E1F"/>
        </w:rPr>
        <w:t>Bypassing</w:t>
      </w:r>
      <w:r w:rsidRPr="00D4309F">
        <w:rPr>
          <w:color w:val="211E1F"/>
          <w:spacing w:val="-3"/>
        </w:rPr>
        <w:t xml:space="preserve"> </w:t>
      </w:r>
      <w:r w:rsidRPr="00D4309F">
        <w:rPr>
          <w:color w:val="211E1F"/>
        </w:rPr>
        <w:t>between</w:t>
      </w:r>
      <w:r w:rsidRPr="00D4309F">
        <w:rPr>
          <w:color w:val="211E1F"/>
          <w:spacing w:val="-3"/>
        </w:rPr>
        <w:t xml:space="preserve"> </w:t>
      </w:r>
      <w:r w:rsidRPr="00D4309F">
        <w:rPr>
          <w:color w:val="211E1F"/>
        </w:rPr>
        <w:t>–3</w:t>
      </w:r>
      <w:r w:rsidRPr="00D4309F">
        <w:rPr>
          <w:color w:val="211E1F"/>
          <w:spacing w:val="-3"/>
        </w:rPr>
        <w:t xml:space="preserve"> </w:t>
      </w:r>
      <w:r w:rsidRPr="00D4309F">
        <w:rPr>
          <w:color w:val="211E1F"/>
        </w:rPr>
        <w:t>m</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–10</w:t>
      </w:r>
      <w:r w:rsidRPr="00D4309F">
        <w:rPr>
          <w:color w:val="211E1F"/>
          <w:spacing w:val="-3"/>
        </w:rPr>
        <w:t xml:space="preserve"> </w:t>
      </w:r>
      <w:r w:rsidRPr="00D4309F">
        <w:rPr>
          <w:color w:val="211E1F"/>
        </w:rPr>
        <w:t>m</w:t>
      </w:r>
      <w:r w:rsidRPr="00D4309F">
        <w:rPr>
          <w:color w:val="211E1F"/>
          <w:spacing w:val="-3"/>
        </w:rPr>
        <w:t xml:space="preserve"> </w:t>
      </w:r>
      <w:r w:rsidRPr="00D4309F">
        <w:rPr>
          <w:color w:val="211E1F"/>
        </w:rPr>
        <w:t>LAT</w:t>
      </w:r>
      <w:r w:rsidRPr="00D4309F">
        <w:rPr>
          <w:color w:val="211E1F"/>
          <w:spacing w:val="-3"/>
        </w:rPr>
        <w:t xml:space="preserve"> </w:t>
      </w:r>
      <w:r w:rsidRPr="00D4309F">
        <w:rPr>
          <w:color w:val="211E1F"/>
        </w:rPr>
        <w:t>averages</w:t>
      </w:r>
      <w:r w:rsidRPr="00D4309F">
        <w:rPr>
          <w:color w:val="211E1F"/>
          <w:spacing w:val="-2"/>
        </w:rPr>
        <w:t xml:space="preserve"> </w:t>
      </w:r>
      <w:r w:rsidRPr="00D4309F">
        <w:rPr>
          <w:color w:val="211E1F"/>
        </w:rPr>
        <w:t>around</w:t>
      </w:r>
      <w:r w:rsidRPr="00D4309F">
        <w:rPr>
          <w:color w:val="211E1F"/>
          <w:spacing w:val="-3"/>
        </w:rPr>
        <w:t xml:space="preserve"> </w:t>
      </w:r>
      <w:r w:rsidRPr="00D4309F">
        <w:rPr>
          <w:color w:val="211E1F"/>
        </w:rPr>
        <w:t>70,000</w:t>
      </w:r>
      <w:r w:rsidRPr="00D4309F">
        <w:rPr>
          <w:color w:val="211E1F"/>
          <w:spacing w:val="-4"/>
        </w:rPr>
        <w:t xml:space="preserve"> </w:t>
      </w:r>
      <w:r w:rsidRPr="00D4309F">
        <w:rPr>
          <w:color w:val="211E1F"/>
        </w:rPr>
        <w:t>m</w:t>
      </w:r>
      <w:r w:rsidRPr="00D4309F">
        <w:rPr>
          <w:color w:val="211E1F"/>
          <w:vertAlign w:val="superscript"/>
        </w:rPr>
        <w:t>3</w:t>
      </w:r>
      <w:r w:rsidRPr="00D4309F">
        <w:rPr>
          <w:color w:val="211E1F"/>
        </w:rPr>
        <w:t>/year,</w:t>
      </w:r>
      <w:r w:rsidRPr="00D4309F">
        <w:rPr>
          <w:color w:val="211E1F"/>
          <w:spacing w:val="-3"/>
        </w:rPr>
        <w:t xml:space="preserve"> </w:t>
      </w:r>
      <w:r w:rsidRPr="00D4309F">
        <w:rPr>
          <w:color w:val="211E1F"/>
        </w:rPr>
        <w:t>with</w:t>
      </w:r>
      <w:r w:rsidRPr="00D4309F">
        <w:rPr>
          <w:color w:val="211E1F"/>
          <w:spacing w:val="-4"/>
        </w:rPr>
        <w:t xml:space="preserve"> </w:t>
      </w:r>
      <w:r w:rsidRPr="00D4309F">
        <w:rPr>
          <w:color w:val="211E1F"/>
        </w:rPr>
        <w:t>significantly</w:t>
      </w:r>
      <w:r w:rsidRPr="00D4309F">
        <w:rPr>
          <w:color w:val="211E1F"/>
          <w:spacing w:val="-2"/>
        </w:rPr>
        <w:t xml:space="preserve"> </w:t>
      </w:r>
      <w:r w:rsidRPr="00D4309F">
        <w:rPr>
          <w:color w:val="211E1F"/>
        </w:rPr>
        <w:t>larger storm-driven pulses.</w:t>
      </w:r>
    </w:p>
    <w:p w14:paraId="448D88CA" w14:textId="77777777" w:rsidR="00725977" w:rsidRPr="00D4309F" w:rsidRDefault="00725977" w:rsidP="00725977">
      <w:pPr>
        <w:pStyle w:val="BodyText"/>
      </w:pPr>
      <w:r w:rsidRPr="00D4309F">
        <w:t>Because</w:t>
      </w:r>
      <w:r w:rsidRPr="00D4309F">
        <w:rPr>
          <w:spacing w:val="-2"/>
        </w:rPr>
        <w:t xml:space="preserve"> </w:t>
      </w:r>
      <w:r w:rsidRPr="00D4309F">
        <w:t>the</w:t>
      </w:r>
      <w:r w:rsidRPr="00D4309F">
        <w:rPr>
          <w:spacing w:val="-2"/>
        </w:rPr>
        <w:t xml:space="preserve"> </w:t>
      </w:r>
      <w:r w:rsidRPr="00D4309F">
        <w:t>trap</w:t>
      </w:r>
      <w:r w:rsidRPr="00D4309F">
        <w:rPr>
          <w:spacing w:val="-2"/>
        </w:rPr>
        <w:t xml:space="preserve"> </w:t>
      </w:r>
      <w:r w:rsidRPr="00D4309F">
        <w:t>extends</w:t>
      </w:r>
      <w:r w:rsidRPr="00D4309F">
        <w:rPr>
          <w:spacing w:val="-1"/>
        </w:rPr>
        <w:t xml:space="preserve"> </w:t>
      </w:r>
      <w:r w:rsidRPr="00D4309F">
        <w:t>into</w:t>
      </w:r>
      <w:r w:rsidRPr="00D4309F">
        <w:rPr>
          <w:spacing w:val="-2"/>
        </w:rPr>
        <w:t xml:space="preserve"> </w:t>
      </w:r>
      <w:r w:rsidRPr="00D4309F">
        <w:t>deeper</w:t>
      </w:r>
      <w:r w:rsidRPr="00D4309F">
        <w:rPr>
          <w:spacing w:val="-1"/>
        </w:rPr>
        <w:t xml:space="preserve"> </w:t>
      </w:r>
      <w:r w:rsidRPr="00D4309F">
        <w:t>water,</w:t>
      </w:r>
      <w:r w:rsidRPr="00D4309F">
        <w:rPr>
          <w:spacing w:val="-2"/>
        </w:rPr>
        <w:t xml:space="preserve"> </w:t>
      </w:r>
      <w:r w:rsidRPr="00D4309F">
        <w:t>annual</w:t>
      </w:r>
      <w:r w:rsidRPr="00D4309F">
        <w:rPr>
          <w:spacing w:val="-2"/>
        </w:rPr>
        <w:t xml:space="preserve"> </w:t>
      </w:r>
      <w:r w:rsidRPr="00D4309F">
        <w:t>infill</w:t>
      </w:r>
      <w:r w:rsidRPr="00D4309F">
        <w:rPr>
          <w:spacing w:val="-2"/>
        </w:rPr>
        <w:t xml:space="preserve"> </w:t>
      </w:r>
      <w:r w:rsidRPr="00D4309F">
        <w:t>volumes</w:t>
      </w:r>
      <w:r w:rsidRPr="00D4309F">
        <w:rPr>
          <w:spacing w:val="-2"/>
        </w:rPr>
        <w:t xml:space="preserve"> </w:t>
      </w:r>
      <w:r w:rsidRPr="00D4309F">
        <w:t>are</w:t>
      </w:r>
      <w:r w:rsidRPr="00D4309F">
        <w:rPr>
          <w:spacing w:val="-2"/>
        </w:rPr>
        <w:t xml:space="preserve"> </w:t>
      </w:r>
      <w:r w:rsidRPr="00D4309F">
        <w:t>expected</w:t>
      </w:r>
      <w:r w:rsidRPr="00D4309F">
        <w:rPr>
          <w:spacing w:val="-3"/>
        </w:rPr>
        <w:t xml:space="preserve"> </w:t>
      </w:r>
      <w:r w:rsidRPr="00D4309F">
        <w:t>to</w:t>
      </w:r>
      <w:r w:rsidRPr="00D4309F">
        <w:rPr>
          <w:spacing w:val="-2"/>
        </w:rPr>
        <w:t xml:space="preserve"> </w:t>
      </w:r>
      <w:r w:rsidRPr="00D4309F">
        <w:t>fall</w:t>
      </w:r>
      <w:r w:rsidRPr="00D4309F">
        <w:rPr>
          <w:spacing w:val="-2"/>
        </w:rPr>
        <w:t xml:space="preserve"> </w:t>
      </w:r>
      <w:r w:rsidRPr="00D4309F">
        <w:t>between</w:t>
      </w:r>
      <w:r w:rsidRPr="00D4309F">
        <w:rPr>
          <w:spacing w:val="-2"/>
        </w:rPr>
        <w:t xml:space="preserve"> </w:t>
      </w:r>
      <w:r w:rsidRPr="00D4309F">
        <w:t>these</w:t>
      </w:r>
      <w:r w:rsidRPr="00D4309F">
        <w:rPr>
          <w:spacing w:val="-2"/>
        </w:rPr>
        <w:t xml:space="preserve"> </w:t>
      </w:r>
      <w:r w:rsidRPr="00D4309F">
        <w:t>limits, with large year-to-year variability. A TSHD is generally more efficient for higher-volume, less frequent campaigns, making it well-suited to removing sand pulses following major storm sequences. If safe access across the entrance can be confirmed, TSHD campaigns may offer lower unit rates and faster clearance than CSD-based operations.</w:t>
      </w:r>
    </w:p>
    <w:p w14:paraId="04C58E45" w14:textId="77777777" w:rsidR="00725977" w:rsidRPr="00D4309F" w:rsidRDefault="00725977" w:rsidP="00725977">
      <w:pPr>
        <w:pStyle w:val="BodyText"/>
      </w:pPr>
      <w:r w:rsidRPr="00D4309F">
        <w:t>Further</w:t>
      </w:r>
      <w:r w:rsidRPr="00D4309F">
        <w:rPr>
          <w:spacing w:val="-3"/>
        </w:rPr>
        <w:t xml:space="preserve"> </w:t>
      </w:r>
      <w:r w:rsidRPr="00D4309F">
        <w:t>sediment-transport</w:t>
      </w:r>
      <w:r w:rsidRPr="00D4309F">
        <w:rPr>
          <w:spacing w:val="-4"/>
        </w:rPr>
        <w:t xml:space="preserve"> </w:t>
      </w:r>
      <w:r w:rsidRPr="00D4309F">
        <w:t>modelling</w:t>
      </w:r>
      <w:r w:rsidRPr="00D4309F">
        <w:rPr>
          <w:spacing w:val="-4"/>
        </w:rPr>
        <w:t xml:space="preserve"> </w:t>
      </w:r>
      <w:r w:rsidRPr="00D4309F">
        <w:t>is</w:t>
      </w:r>
      <w:r w:rsidRPr="00D4309F">
        <w:rPr>
          <w:spacing w:val="-3"/>
        </w:rPr>
        <w:t xml:space="preserve"> </w:t>
      </w:r>
      <w:r w:rsidRPr="00D4309F">
        <w:t>recommended</w:t>
      </w:r>
      <w:r w:rsidRPr="00D4309F">
        <w:rPr>
          <w:spacing w:val="-4"/>
        </w:rPr>
        <w:t xml:space="preserve"> </w:t>
      </w:r>
      <w:r w:rsidRPr="00D4309F">
        <w:t>to</w:t>
      </w:r>
      <w:r w:rsidRPr="00D4309F">
        <w:rPr>
          <w:spacing w:val="-4"/>
        </w:rPr>
        <w:t xml:space="preserve"> </w:t>
      </w:r>
      <w:r w:rsidRPr="00D4309F">
        <w:t>refine</w:t>
      </w:r>
      <w:r w:rsidRPr="00D4309F">
        <w:rPr>
          <w:spacing w:val="-4"/>
        </w:rPr>
        <w:t xml:space="preserve"> </w:t>
      </w:r>
      <w:r w:rsidRPr="00D4309F">
        <w:t>expected</w:t>
      </w:r>
      <w:r w:rsidRPr="00D4309F">
        <w:rPr>
          <w:spacing w:val="-4"/>
        </w:rPr>
        <w:t xml:space="preserve"> </w:t>
      </w:r>
      <w:r w:rsidRPr="00D4309F">
        <w:t>maintenance</w:t>
      </w:r>
      <w:r w:rsidRPr="00D4309F">
        <w:rPr>
          <w:spacing w:val="-4"/>
        </w:rPr>
        <w:t xml:space="preserve"> </w:t>
      </w:r>
      <w:r w:rsidRPr="00D4309F">
        <w:t>volumes,</w:t>
      </w:r>
      <w:r w:rsidRPr="00D4309F">
        <w:rPr>
          <w:spacing w:val="-4"/>
        </w:rPr>
        <w:t xml:space="preserve"> </w:t>
      </w:r>
      <w:r w:rsidRPr="00D4309F">
        <w:t>event frequency, and optimal campaign sizing.</w:t>
      </w:r>
    </w:p>
    <w:p w14:paraId="6822AF59" w14:textId="47E109B7" w:rsidR="00725977" w:rsidRPr="00D4309F" w:rsidRDefault="00725977" w:rsidP="00725977">
      <w:pPr>
        <w:pStyle w:val="BodyText"/>
      </w:pPr>
      <w:r w:rsidRPr="00D4309F">
        <w:t>Although operational volumes are expected to exceed the current 5,000–10,000 m³/year baseline, maintenance</w:t>
      </w:r>
      <w:r w:rsidRPr="00D4309F">
        <w:rPr>
          <w:spacing w:val="-2"/>
        </w:rPr>
        <w:t xml:space="preserve"> </w:t>
      </w:r>
      <w:r w:rsidRPr="00D4309F">
        <w:t>dredging</w:t>
      </w:r>
      <w:r w:rsidRPr="00D4309F">
        <w:rPr>
          <w:spacing w:val="-3"/>
        </w:rPr>
        <w:t xml:space="preserve"> </w:t>
      </w:r>
      <w:r w:rsidRPr="00D4309F">
        <w:t>will</w:t>
      </w:r>
      <w:r w:rsidRPr="00D4309F">
        <w:rPr>
          <w:spacing w:val="-2"/>
        </w:rPr>
        <w:t xml:space="preserve"> </w:t>
      </w:r>
      <w:r w:rsidRPr="00D4309F">
        <w:t>be</w:t>
      </w:r>
      <w:r w:rsidRPr="00D4309F">
        <w:rPr>
          <w:spacing w:val="-2"/>
        </w:rPr>
        <w:t xml:space="preserve"> </w:t>
      </w:r>
      <w:r w:rsidRPr="00D4309F">
        <w:t>significantly</w:t>
      </w:r>
      <w:r w:rsidRPr="00D4309F">
        <w:rPr>
          <w:spacing w:val="-1"/>
        </w:rPr>
        <w:t xml:space="preserve"> </w:t>
      </w:r>
      <w:r w:rsidRPr="00D4309F">
        <w:t>cheaper</w:t>
      </w:r>
      <w:r w:rsidRPr="00D4309F">
        <w:rPr>
          <w:spacing w:val="-1"/>
        </w:rPr>
        <w:t xml:space="preserve"> </w:t>
      </w:r>
      <w:r w:rsidRPr="00D4309F">
        <w:t>than</w:t>
      </w:r>
      <w:r w:rsidRPr="00D4309F">
        <w:rPr>
          <w:spacing w:val="-2"/>
        </w:rPr>
        <w:t xml:space="preserve"> </w:t>
      </w:r>
      <w:r w:rsidRPr="00D4309F">
        <w:t>the</w:t>
      </w:r>
      <w:r w:rsidRPr="00D4309F">
        <w:rPr>
          <w:spacing w:val="-2"/>
        </w:rPr>
        <w:t xml:space="preserve"> </w:t>
      </w:r>
      <w:r w:rsidRPr="00D4309F">
        <w:t>capital</w:t>
      </w:r>
      <w:r w:rsidRPr="00D4309F">
        <w:rPr>
          <w:spacing w:val="-3"/>
        </w:rPr>
        <w:t xml:space="preserve"> </w:t>
      </w:r>
      <w:r w:rsidRPr="00D4309F">
        <w:t>stage,</w:t>
      </w:r>
      <w:r w:rsidRPr="00D4309F">
        <w:rPr>
          <w:spacing w:val="-2"/>
        </w:rPr>
        <w:t xml:space="preserve"> </w:t>
      </w:r>
      <w:r w:rsidRPr="00D4309F">
        <w:t>and</w:t>
      </w:r>
      <w:r w:rsidRPr="00D4309F">
        <w:rPr>
          <w:spacing w:val="-2"/>
        </w:rPr>
        <w:t xml:space="preserve"> </w:t>
      </w:r>
      <w:r w:rsidRPr="00D4309F">
        <w:t>the</w:t>
      </w:r>
      <w:r w:rsidRPr="00D4309F">
        <w:rPr>
          <w:spacing w:val="-2"/>
        </w:rPr>
        <w:t xml:space="preserve"> </w:t>
      </w:r>
      <w:r w:rsidRPr="00D4309F">
        <w:t>system</w:t>
      </w:r>
      <w:r w:rsidRPr="00D4309F">
        <w:rPr>
          <w:spacing w:val="-3"/>
        </w:rPr>
        <w:t xml:space="preserve"> </w:t>
      </w:r>
      <w:r w:rsidRPr="00D4309F">
        <w:t>will</w:t>
      </w:r>
      <w:r w:rsidRPr="00D4309F">
        <w:rPr>
          <w:spacing w:val="-2"/>
        </w:rPr>
        <w:t xml:space="preserve"> </w:t>
      </w:r>
      <w:r w:rsidRPr="00D4309F">
        <w:t>help</w:t>
      </w:r>
      <w:r w:rsidRPr="00D4309F">
        <w:rPr>
          <w:spacing w:val="-2"/>
        </w:rPr>
        <w:t xml:space="preserve"> </w:t>
      </w:r>
      <w:r w:rsidRPr="00D4309F">
        <w:t>reduce navigation hazards associated with unpredictable shoaling.</w:t>
      </w:r>
    </w:p>
    <w:p w14:paraId="15ADDAC7" w14:textId="77777777" w:rsidR="00725977" w:rsidRPr="00D4309F" w:rsidRDefault="00725977" w:rsidP="008228CB">
      <w:pPr>
        <w:pStyle w:val="Heading3"/>
      </w:pPr>
      <w:bookmarkStart w:id="339" w:name="_Toc216699420"/>
      <w:r w:rsidRPr="00D4309F">
        <w:t>Operational</w:t>
      </w:r>
      <w:r w:rsidRPr="00D4309F">
        <w:rPr>
          <w:spacing w:val="-7"/>
        </w:rPr>
        <w:t xml:space="preserve"> </w:t>
      </w:r>
      <w:r w:rsidRPr="00D4309F">
        <w:rPr>
          <w:spacing w:val="-2"/>
        </w:rPr>
        <w:t>works</w:t>
      </w:r>
      <w:bookmarkEnd w:id="339"/>
    </w:p>
    <w:p w14:paraId="49AEB7EB" w14:textId="77777777" w:rsidR="00725977" w:rsidRPr="00D4309F" w:rsidRDefault="00725977" w:rsidP="00725977">
      <w:pPr>
        <w:pStyle w:val="BodyText"/>
      </w:pPr>
      <w:r w:rsidRPr="00D4309F">
        <w:t>Under Option 2B, operational works would involve periodic large-scale dredging campaigns using a Trailer Suction Hopper Dredge (TSHD) to remove accumulated sediment from the excavated sand trap. Once the trap reaches its design storage capacity, anticipated to occur approximately every 12 to 18 months, the TSHD</w:t>
      </w:r>
      <w:r w:rsidRPr="00D4309F">
        <w:rPr>
          <w:spacing w:val="-3"/>
        </w:rPr>
        <w:t xml:space="preserve"> </w:t>
      </w:r>
      <w:r w:rsidRPr="00D4309F">
        <w:t>would</w:t>
      </w:r>
      <w:r w:rsidRPr="00D4309F">
        <w:rPr>
          <w:spacing w:val="-2"/>
        </w:rPr>
        <w:t xml:space="preserve"> </w:t>
      </w:r>
      <w:r w:rsidRPr="00D4309F">
        <w:t>mobilise</w:t>
      </w:r>
      <w:r w:rsidRPr="00D4309F">
        <w:rPr>
          <w:spacing w:val="-2"/>
        </w:rPr>
        <w:t xml:space="preserve"> </w:t>
      </w:r>
      <w:r w:rsidRPr="00D4309F">
        <w:t>to</w:t>
      </w:r>
      <w:r w:rsidRPr="00D4309F">
        <w:rPr>
          <w:spacing w:val="-2"/>
        </w:rPr>
        <w:t xml:space="preserve"> </w:t>
      </w:r>
      <w:r w:rsidRPr="00D4309F">
        <w:t>the</w:t>
      </w:r>
      <w:r w:rsidRPr="00D4309F">
        <w:rPr>
          <w:spacing w:val="-2"/>
        </w:rPr>
        <w:t xml:space="preserve"> </w:t>
      </w:r>
      <w:r w:rsidRPr="00D4309F">
        <w:t>site,</w:t>
      </w:r>
      <w:r w:rsidRPr="00D4309F">
        <w:rPr>
          <w:spacing w:val="-2"/>
        </w:rPr>
        <w:t xml:space="preserve"> </w:t>
      </w:r>
      <w:r w:rsidRPr="00D4309F">
        <w:t>extract</w:t>
      </w:r>
      <w:r w:rsidRPr="00D4309F">
        <w:rPr>
          <w:spacing w:val="-4"/>
        </w:rPr>
        <w:t xml:space="preserve"> </w:t>
      </w:r>
      <w:r w:rsidRPr="00D4309F">
        <w:t>the</w:t>
      </w:r>
      <w:r w:rsidRPr="00D4309F">
        <w:rPr>
          <w:spacing w:val="-2"/>
        </w:rPr>
        <w:t xml:space="preserve"> </w:t>
      </w:r>
      <w:r w:rsidRPr="00D4309F">
        <w:t>material,</w:t>
      </w:r>
      <w:r w:rsidRPr="00D4309F">
        <w:rPr>
          <w:spacing w:val="-2"/>
        </w:rPr>
        <w:t xml:space="preserve"> </w:t>
      </w:r>
      <w:r w:rsidRPr="00D4309F">
        <w:t>and</w:t>
      </w:r>
      <w:r w:rsidRPr="00D4309F">
        <w:rPr>
          <w:spacing w:val="-2"/>
        </w:rPr>
        <w:t xml:space="preserve"> </w:t>
      </w:r>
      <w:r w:rsidRPr="00D4309F">
        <w:t>transport</w:t>
      </w:r>
      <w:r w:rsidRPr="00D4309F">
        <w:rPr>
          <w:spacing w:val="-4"/>
        </w:rPr>
        <w:t xml:space="preserve"> </w:t>
      </w:r>
      <w:r w:rsidRPr="00D4309F">
        <w:t>it</w:t>
      </w:r>
      <w:r w:rsidRPr="00D4309F">
        <w:rPr>
          <w:spacing w:val="-2"/>
        </w:rPr>
        <w:t xml:space="preserve"> </w:t>
      </w:r>
      <w:r w:rsidRPr="00D4309F">
        <w:t>for</w:t>
      </w:r>
      <w:r w:rsidRPr="00D4309F">
        <w:rPr>
          <w:spacing w:val="-1"/>
        </w:rPr>
        <w:t xml:space="preserve"> </w:t>
      </w:r>
      <w:r w:rsidRPr="00D4309F">
        <w:t>nearshore</w:t>
      </w:r>
      <w:r w:rsidRPr="00D4309F">
        <w:rPr>
          <w:spacing w:val="-2"/>
        </w:rPr>
        <w:t xml:space="preserve"> </w:t>
      </w:r>
      <w:r w:rsidRPr="00D4309F">
        <w:t>placement</w:t>
      </w:r>
      <w:r w:rsidRPr="00D4309F">
        <w:rPr>
          <w:spacing w:val="-2"/>
        </w:rPr>
        <w:t xml:space="preserve"> </w:t>
      </w:r>
      <w:r w:rsidRPr="00D4309F">
        <w:t>within</w:t>
      </w:r>
      <w:r w:rsidRPr="00D4309F">
        <w:rPr>
          <w:spacing w:val="-2"/>
        </w:rPr>
        <w:t xml:space="preserve"> </w:t>
      </w:r>
      <w:r w:rsidRPr="00D4309F">
        <w:t>Area</w:t>
      </w:r>
      <w:r w:rsidRPr="00D4309F">
        <w:rPr>
          <w:spacing w:val="-2"/>
        </w:rPr>
        <w:t xml:space="preserve"> </w:t>
      </w:r>
      <w:r w:rsidRPr="00D4309F">
        <w:t>B (off Mooloolaba Beach).</w:t>
      </w:r>
    </w:p>
    <w:p w14:paraId="4ED291FB" w14:textId="77777777" w:rsidR="00725977" w:rsidRPr="00D4309F" w:rsidRDefault="00725977" w:rsidP="00725977">
      <w:pPr>
        <w:pStyle w:val="BodyText"/>
      </w:pPr>
      <w:r w:rsidRPr="00D4309F">
        <w:t>This</w:t>
      </w:r>
      <w:r w:rsidRPr="00D4309F">
        <w:rPr>
          <w:spacing w:val="-1"/>
        </w:rPr>
        <w:t xml:space="preserve"> </w:t>
      </w:r>
      <w:r w:rsidRPr="00D4309F">
        <w:t>method</w:t>
      </w:r>
      <w:r w:rsidRPr="00D4309F">
        <w:rPr>
          <w:spacing w:val="-2"/>
        </w:rPr>
        <w:t xml:space="preserve"> </w:t>
      </w:r>
      <w:r w:rsidRPr="00D4309F">
        <w:t>is</w:t>
      </w:r>
      <w:r w:rsidRPr="00D4309F">
        <w:rPr>
          <w:spacing w:val="-1"/>
        </w:rPr>
        <w:t xml:space="preserve"> </w:t>
      </w:r>
      <w:r w:rsidRPr="00D4309F">
        <w:t>expected</w:t>
      </w:r>
      <w:r w:rsidRPr="00D4309F">
        <w:rPr>
          <w:spacing w:val="-2"/>
        </w:rPr>
        <w:t xml:space="preserve"> </w:t>
      </w:r>
      <w:r w:rsidRPr="00D4309F">
        <w:t>to</w:t>
      </w:r>
      <w:r w:rsidRPr="00D4309F">
        <w:rPr>
          <w:spacing w:val="-3"/>
        </w:rPr>
        <w:t xml:space="preserve"> </w:t>
      </w:r>
      <w:r w:rsidRPr="00D4309F">
        <w:t>be</w:t>
      </w:r>
      <w:r w:rsidRPr="00D4309F">
        <w:rPr>
          <w:spacing w:val="-2"/>
        </w:rPr>
        <w:t xml:space="preserve"> </w:t>
      </w:r>
      <w:r w:rsidRPr="00D4309F">
        <w:t>highly</w:t>
      </w:r>
      <w:r w:rsidRPr="00D4309F">
        <w:rPr>
          <w:spacing w:val="-1"/>
        </w:rPr>
        <w:t xml:space="preserve"> </w:t>
      </w:r>
      <w:r w:rsidRPr="00D4309F">
        <w:t>effective</w:t>
      </w:r>
      <w:r w:rsidRPr="00D4309F">
        <w:rPr>
          <w:spacing w:val="-2"/>
        </w:rPr>
        <w:t xml:space="preserve"> </w:t>
      </w:r>
      <w:r w:rsidRPr="00D4309F">
        <w:t>in</w:t>
      </w:r>
      <w:r w:rsidRPr="00D4309F">
        <w:rPr>
          <w:spacing w:val="-2"/>
        </w:rPr>
        <w:t xml:space="preserve"> </w:t>
      </w:r>
      <w:r w:rsidRPr="00D4309F">
        <w:t>maintaining</w:t>
      </w:r>
      <w:r w:rsidRPr="00D4309F">
        <w:rPr>
          <w:spacing w:val="-2"/>
        </w:rPr>
        <w:t xml:space="preserve"> </w:t>
      </w:r>
      <w:r w:rsidRPr="00D4309F">
        <w:t>entrance</w:t>
      </w:r>
      <w:r w:rsidRPr="00D4309F">
        <w:rPr>
          <w:spacing w:val="-2"/>
        </w:rPr>
        <w:t xml:space="preserve"> </w:t>
      </w:r>
      <w:r w:rsidRPr="00D4309F">
        <w:t>navigability</w:t>
      </w:r>
      <w:r w:rsidRPr="00D4309F">
        <w:rPr>
          <w:spacing w:val="-1"/>
        </w:rPr>
        <w:t xml:space="preserve"> </w:t>
      </w:r>
      <w:r w:rsidRPr="00D4309F">
        <w:t>while</w:t>
      </w:r>
      <w:r w:rsidRPr="00D4309F">
        <w:rPr>
          <w:spacing w:val="-2"/>
        </w:rPr>
        <w:t xml:space="preserve"> </w:t>
      </w:r>
      <w:r w:rsidRPr="00D4309F">
        <w:t>allowing</w:t>
      </w:r>
      <w:r w:rsidRPr="00D4309F">
        <w:rPr>
          <w:spacing w:val="-2"/>
        </w:rPr>
        <w:t xml:space="preserve"> </w:t>
      </w:r>
      <w:r w:rsidRPr="00D4309F">
        <w:t>for</w:t>
      </w:r>
      <w:r w:rsidRPr="00D4309F">
        <w:rPr>
          <w:spacing w:val="-1"/>
        </w:rPr>
        <w:t xml:space="preserve"> </w:t>
      </w:r>
      <w:r w:rsidRPr="00D4309F">
        <w:t>natural sediment bypassing to the downdrift beaches. The excavated trap provides predictable storage for approximately one year’s worth of sand transport (~75,000 m³, to be confirmed with numerical modelling) and the TSHD can remove this volume efficiently in a single campaign. This reduces the need for frequent dredging</w:t>
      </w:r>
      <w:r w:rsidRPr="00D4309F">
        <w:rPr>
          <w:spacing w:val="-3"/>
        </w:rPr>
        <w:t xml:space="preserve"> </w:t>
      </w:r>
      <w:r w:rsidRPr="00D4309F">
        <w:t>and</w:t>
      </w:r>
      <w:r w:rsidRPr="00D4309F">
        <w:rPr>
          <w:spacing w:val="-4"/>
        </w:rPr>
        <w:t xml:space="preserve"> </w:t>
      </w:r>
      <w:r w:rsidRPr="00D4309F">
        <w:t>allows</w:t>
      </w:r>
      <w:r w:rsidRPr="00D4309F">
        <w:rPr>
          <w:spacing w:val="-2"/>
        </w:rPr>
        <w:t xml:space="preserve"> </w:t>
      </w:r>
      <w:r w:rsidRPr="00D4309F">
        <w:t>works</w:t>
      </w:r>
      <w:r w:rsidRPr="00D4309F">
        <w:rPr>
          <w:spacing w:val="-3"/>
        </w:rPr>
        <w:t xml:space="preserve"> </w:t>
      </w:r>
      <w:r w:rsidRPr="00D4309F">
        <w:t>to</w:t>
      </w:r>
      <w:r w:rsidRPr="00D4309F">
        <w:rPr>
          <w:spacing w:val="-3"/>
        </w:rPr>
        <w:t xml:space="preserve"> </w:t>
      </w:r>
      <w:r w:rsidRPr="00D4309F">
        <w:t>be</w:t>
      </w:r>
      <w:r w:rsidRPr="00D4309F">
        <w:rPr>
          <w:spacing w:val="-3"/>
        </w:rPr>
        <w:t xml:space="preserve"> </w:t>
      </w:r>
      <w:r w:rsidRPr="00D4309F">
        <w:t>timed</w:t>
      </w:r>
      <w:r w:rsidRPr="00D4309F">
        <w:rPr>
          <w:spacing w:val="-3"/>
        </w:rPr>
        <w:t xml:space="preserve"> </w:t>
      </w:r>
      <w:r w:rsidRPr="00D4309F">
        <w:t>under</w:t>
      </w:r>
      <w:r w:rsidRPr="00D4309F">
        <w:rPr>
          <w:spacing w:val="-2"/>
        </w:rPr>
        <w:t xml:space="preserve"> </w:t>
      </w:r>
      <w:r w:rsidRPr="00D4309F">
        <w:t>favourable</w:t>
      </w:r>
      <w:r w:rsidRPr="00D4309F">
        <w:rPr>
          <w:spacing w:val="-3"/>
        </w:rPr>
        <w:t xml:space="preserve"> </w:t>
      </w:r>
      <w:r w:rsidRPr="00D4309F">
        <w:t>sea</w:t>
      </w:r>
      <w:r w:rsidRPr="00D4309F">
        <w:rPr>
          <w:spacing w:val="-3"/>
        </w:rPr>
        <w:t xml:space="preserve"> </w:t>
      </w:r>
      <w:r w:rsidRPr="00D4309F">
        <w:t>and</w:t>
      </w:r>
      <w:r w:rsidRPr="00D4309F">
        <w:rPr>
          <w:spacing w:val="-4"/>
        </w:rPr>
        <w:t xml:space="preserve"> </w:t>
      </w:r>
      <w:r w:rsidRPr="00D4309F">
        <w:t>weather</w:t>
      </w:r>
      <w:r w:rsidRPr="00D4309F">
        <w:rPr>
          <w:spacing w:val="-2"/>
        </w:rPr>
        <w:t xml:space="preserve"> </w:t>
      </w:r>
      <w:r w:rsidRPr="00D4309F">
        <w:t>conditions,</w:t>
      </w:r>
      <w:r w:rsidRPr="00D4309F">
        <w:rPr>
          <w:spacing w:val="-3"/>
        </w:rPr>
        <w:t xml:space="preserve"> </w:t>
      </w:r>
      <w:r w:rsidRPr="00D4309F">
        <w:t>improving</w:t>
      </w:r>
      <w:r w:rsidRPr="00D4309F">
        <w:rPr>
          <w:spacing w:val="-3"/>
        </w:rPr>
        <w:t xml:space="preserve"> </w:t>
      </w:r>
      <w:r w:rsidRPr="00D4309F">
        <w:t>operational safety and cost-effectiveness.</w:t>
      </w:r>
    </w:p>
    <w:p w14:paraId="7F371B54" w14:textId="77777777" w:rsidR="00725977" w:rsidRPr="00D4309F" w:rsidRDefault="00725977" w:rsidP="00725977">
      <w:pPr>
        <w:pStyle w:val="BodyText"/>
      </w:pPr>
      <w:r w:rsidRPr="00D4309F">
        <w:t>The use of a TSHD is technically feasible for the site, provided adequate depth and manoeuvring space are available.</w:t>
      </w:r>
      <w:r w:rsidRPr="00D4309F">
        <w:rPr>
          <w:spacing w:val="-3"/>
        </w:rPr>
        <w:t xml:space="preserve"> </w:t>
      </w:r>
      <w:r w:rsidRPr="00D4309F">
        <w:t>The</w:t>
      </w:r>
      <w:r w:rsidRPr="00D4309F">
        <w:rPr>
          <w:spacing w:val="-3"/>
        </w:rPr>
        <w:t xml:space="preserve"> </w:t>
      </w:r>
      <w:r w:rsidRPr="00D4309F">
        <w:t>TSHD</w:t>
      </w:r>
      <w:r w:rsidRPr="00D4309F">
        <w:rPr>
          <w:spacing w:val="-2"/>
        </w:rPr>
        <w:t xml:space="preserve"> </w:t>
      </w:r>
      <w:r w:rsidRPr="00D4309F">
        <w:t>is</w:t>
      </w:r>
      <w:r w:rsidRPr="00D4309F">
        <w:rPr>
          <w:spacing w:val="-2"/>
        </w:rPr>
        <w:t xml:space="preserve"> </w:t>
      </w:r>
      <w:r w:rsidRPr="00D4309F">
        <w:t>well-suited</w:t>
      </w:r>
      <w:r w:rsidRPr="00D4309F">
        <w:rPr>
          <w:spacing w:val="-3"/>
        </w:rPr>
        <w:t xml:space="preserve"> </w:t>
      </w:r>
      <w:r w:rsidRPr="00D4309F">
        <w:t>to</w:t>
      </w:r>
      <w:r w:rsidRPr="00D4309F">
        <w:rPr>
          <w:spacing w:val="-3"/>
        </w:rPr>
        <w:t xml:space="preserve"> </w:t>
      </w:r>
      <w:r w:rsidRPr="00D4309F">
        <w:t>handling</w:t>
      </w:r>
      <w:r w:rsidRPr="00D4309F">
        <w:rPr>
          <w:spacing w:val="-3"/>
        </w:rPr>
        <w:t xml:space="preserve"> </w:t>
      </w:r>
      <w:r w:rsidRPr="00D4309F">
        <w:t>unconsolidated</w:t>
      </w:r>
      <w:r w:rsidRPr="00D4309F">
        <w:rPr>
          <w:spacing w:val="-3"/>
        </w:rPr>
        <w:t xml:space="preserve"> </w:t>
      </w:r>
      <w:r w:rsidRPr="00D4309F">
        <w:t>sand</w:t>
      </w:r>
      <w:r w:rsidRPr="00D4309F">
        <w:rPr>
          <w:spacing w:val="-3"/>
        </w:rPr>
        <w:t xml:space="preserve"> </w:t>
      </w:r>
      <w:r w:rsidRPr="00D4309F">
        <w:t>deposits</w:t>
      </w:r>
      <w:r w:rsidRPr="00D4309F">
        <w:rPr>
          <w:spacing w:val="-2"/>
        </w:rPr>
        <w:t xml:space="preserve"> </w:t>
      </w:r>
      <w:r w:rsidRPr="00D4309F">
        <w:t>and</w:t>
      </w:r>
      <w:r w:rsidRPr="00D4309F">
        <w:rPr>
          <w:spacing w:val="-3"/>
        </w:rPr>
        <w:t xml:space="preserve"> </w:t>
      </w:r>
      <w:r w:rsidRPr="00D4309F">
        <w:t>transporting</w:t>
      </w:r>
      <w:r w:rsidRPr="00D4309F">
        <w:rPr>
          <w:spacing w:val="-4"/>
        </w:rPr>
        <w:t xml:space="preserve"> </w:t>
      </w:r>
      <w:r w:rsidRPr="00D4309F">
        <w:t>material</w:t>
      </w:r>
      <w:r w:rsidRPr="00D4309F">
        <w:rPr>
          <w:spacing w:val="-3"/>
        </w:rPr>
        <w:t xml:space="preserve"> </w:t>
      </w:r>
      <w:r w:rsidRPr="00D4309F">
        <w:t>to</w:t>
      </w:r>
      <w:r w:rsidRPr="00D4309F">
        <w:rPr>
          <w:spacing w:val="-3"/>
        </w:rPr>
        <w:t xml:space="preserve"> </w:t>
      </w:r>
      <w:r w:rsidRPr="00D4309F">
        <w:t xml:space="preserve">the nearshore placement area. Some coordination will be required with vessel traffic and tidal windows, as operations are conducted in an active navigation channel. The interface between the rock excavation and sand accumulation zones will need careful monitoring to ensure efficient sediment capture and dredge </w:t>
      </w:r>
      <w:r w:rsidRPr="00D4309F">
        <w:rPr>
          <w:spacing w:val="-2"/>
        </w:rPr>
        <w:t>access.</w:t>
      </w:r>
    </w:p>
    <w:p w14:paraId="00205ADC" w14:textId="77777777" w:rsidR="00725977" w:rsidRPr="00D4309F" w:rsidRDefault="00725977" w:rsidP="00725977">
      <w:pPr>
        <w:pStyle w:val="BodyText"/>
      </w:pPr>
      <w:r w:rsidRPr="00D4309F">
        <w:t>However, the feasibility of this option is constrained by several operational concerns. TSHDs cannot reliably or safely work across a shallow, breaking entrance bar, as dragheads require stable seabed contact and the vessel</w:t>
      </w:r>
      <w:r w:rsidRPr="00D4309F">
        <w:rPr>
          <w:spacing w:val="-3"/>
        </w:rPr>
        <w:t xml:space="preserve"> </w:t>
      </w:r>
      <w:r w:rsidRPr="00D4309F">
        <w:t>requires</w:t>
      </w:r>
      <w:r w:rsidRPr="00D4309F">
        <w:rPr>
          <w:spacing w:val="-2"/>
        </w:rPr>
        <w:t xml:space="preserve"> </w:t>
      </w:r>
      <w:r w:rsidRPr="00D4309F">
        <w:t>sufficient</w:t>
      </w:r>
      <w:r w:rsidRPr="00D4309F">
        <w:rPr>
          <w:spacing w:val="-3"/>
        </w:rPr>
        <w:t xml:space="preserve"> </w:t>
      </w:r>
      <w:r w:rsidRPr="00D4309F">
        <w:t>under-keel</w:t>
      </w:r>
      <w:r w:rsidRPr="00D4309F">
        <w:rPr>
          <w:spacing w:val="-4"/>
        </w:rPr>
        <w:t xml:space="preserve"> </w:t>
      </w:r>
      <w:r w:rsidRPr="00D4309F">
        <w:t>clearance.</w:t>
      </w:r>
      <w:r w:rsidRPr="00D4309F">
        <w:rPr>
          <w:spacing w:val="-3"/>
        </w:rPr>
        <w:t xml:space="preserve"> </w:t>
      </w:r>
      <w:r w:rsidRPr="00D4309F">
        <w:t>As</w:t>
      </w:r>
      <w:r w:rsidRPr="00D4309F">
        <w:rPr>
          <w:spacing w:val="-2"/>
        </w:rPr>
        <w:t xml:space="preserve"> </w:t>
      </w:r>
      <w:r w:rsidRPr="00D4309F">
        <w:t>a</w:t>
      </w:r>
      <w:r w:rsidRPr="00D4309F">
        <w:rPr>
          <w:spacing w:val="-4"/>
        </w:rPr>
        <w:t xml:space="preserve"> </w:t>
      </w:r>
      <w:r w:rsidRPr="00D4309F">
        <w:t>result,</w:t>
      </w:r>
      <w:r w:rsidRPr="00D4309F">
        <w:rPr>
          <w:spacing w:val="-3"/>
        </w:rPr>
        <w:t xml:space="preserve"> </w:t>
      </w:r>
      <w:r w:rsidRPr="00D4309F">
        <w:t>dredging</w:t>
      </w:r>
      <w:r w:rsidRPr="00D4309F">
        <w:rPr>
          <w:spacing w:val="-3"/>
        </w:rPr>
        <w:t xml:space="preserve"> </w:t>
      </w:r>
      <w:r w:rsidRPr="00D4309F">
        <w:t>would</w:t>
      </w:r>
      <w:r w:rsidRPr="00D4309F">
        <w:rPr>
          <w:spacing w:val="-3"/>
        </w:rPr>
        <w:t xml:space="preserve"> </w:t>
      </w:r>
      <w:r w:rsidRPr="00D4309F">
        <w:t>only</w:t>
      </w:r>
      <w:r w:rsidRPr="00D4309F">
        <w:rPr>
          <w:spacing w:val="-3"/>
        </w:rPr>
        <w:t xml:space="preserve"> </w:t>
      </w:r>
      <w:r w:rsidRPr="00D4309F">
        <w:t>be</w:t>
      </w:r>
      <w:r w:rsidRPr="00D4309F">
        <w:rPr>
          <w:spacing w:val="-3"/>
        </w:rPr>
        <w:t xml:space="preserve"> </w:t>
      </w:r>
      <w:r w:rsidRPr="00D4309F">
        <w:t>possible</w:t>
      </w:r>
      <w:r w:rsidRPr="00D4309F">
        <w:rPr>
          <w:spacing w:val="-3"/>
        </w:rPr>
        <w:t xml:space="preserve"> </w:t>
      </w:r>
      <w:r w:rsidRPr="00D4309F">
        <w:t>during</w:t>
      </w:r>
      <w:r w:rsidRPr="00D4309F">
        <w:rPr>
          <w:spacing w:val="-3"/>
        </w:rPr>
        <w:t xml:space="preserve"> </w:t>
      </w:r>
      <w:r w:rsidRPr="00D4309F">
        <w:t xml:space="preserve">extended low-wave windows, which may be infrequent depending on seasonal swell conditions. This creates uncertainty in maintenance timing and increases the risk of prolonged shoaling events if suitable weather </w:t>
      </w:r>
      <w:r w:rsidRPr="00D4309F">
        <w:lastRenderedPageBreak/>
        <w:t>conditions do not align with dredging needs. Additionally, plant availability is highly variable, with many TSHDs committed to larger national or international projects, potentially limiting responsiveness.</w:t>
      </w:r>
    </w:p>
    <w:p w14:paraId="60C907F0" w14:textId="77777777" w:rsidR="00725977" w:rsidRPr="00D4309F" w:rsidRDefault="00725977" w:rsidP="00725977">
      <w:pPr>
        <w:pStyle w:val="BodyText"/>
      </w:pPr>
      <w:r w:rsidRPr="00D4309F">
        <w:t>Overall, while this option may deliver efficient large-volume dredging when conditions allow, its suitability is heavily dependent on favourable sea states, dredge availability, and the frequency of safe operational windows.</w:t>
      </w:r>
      <w:r w:rsidRPr="00D4309F">
        <w:rPr>
          <w:spacing w:val="-3"/>
        </w:rPr>
        <w:t xml:space="preserve"> </w:t>
      </w:r>
      <w:r w:rsidRPr="00D4309F">
        <w:t>These</w:t>
      </w:r>
      <w:r w:rsidRPr="00D4309F">
        <w:rPr>
          <w:spacing w:val="-3"/>
        </w:rPr>
        <w:t xml:space="preserve"> </w:t>
      </w:r>
      <w:r w:rsidRPr="00D4309F">
        <w:t>factors</w:t>
      </w:r>
      <w:r w:rsidRPr="00D4309F">
        <w:rPr>
          <w:spacing w:val="-2"/>
        </w:rPr>
        <w:t xml:space="preserve"> </w:t>
      </w:r>
      <w:r w:rsidRPr="00D4309F">
        <w:t>introduce</w:t>
      </w:r>
      <w:r w:rsidRPr="00D4309F">
        <w:rPr>
          <w:spacing w:val="-3"/>
        </w:rPr>
        <w:t xml:space="preserve"> </w:t>
      </w:r>
      <w:r w:rsidRPr="00D4309F">
        <w:t>significant</w:t>
      </w:r>
      <w:r w:rsidRPr="00D4309F">
        <w:rPr>
          <w:spacing w:val="-3"/>
        </w:rPr>
        <w:t xml:space="preserve"> </w:t>
      </w:r>
      <w:r w:rsidRPr="00D4309F">
        <w:t>variability</w:t>
      </w:r>
      <w:r w:rsidRPr="00D4309F">
        <w:rPr>
          <w:spacing w:val="-3"/>
        </w:rPr>
        <w:t xml:space="preserve"> </w:t>
      </w:r>
      <w:r w:rsidRPr="00D4309F">
        <w:t>into</w:t>
      </w:r>
      <w:r w:rsidRPr="00D4309F">
        <w:rPr>
          <w:spacing w:val="-3"/>
        </w:rPr>
        <w:t xml:space="preserve"> </w:t>
      </w:r>
      <w:r w:rsidRPr="00D4309F">
        <w:t>long-term</w:t>
      </w:r>
      <w:r w:rsidRPr="00D4309F">
        <w:rPr>
          <w:spacing w:val="-4"/>
        </w:rPr>
        <w:t xml:space="preserve"> </w:t>
      </w:r>
      <w:r w:rsidRPr="00D4309F">
        <w:t>maintenance</w:t>
      </w:r>
      <w:r w:rsidRPr="00D4309F">
        <w:rPr>
          <w:spacing w:val="-4"/>
        </w:rPr>
        <w:t xml:space="preserve"> </w:t>
      </w:r>
      <w:r w:rsidRPr="00D4309F">
        <w:t>planning</w:t>
      </w:r>
      <w:r w:rsidRPr="00D4309F">
        <w:rPr>
          <w:spacing w:val="-3"/>
        </w:rPr>
        <w:t xml:space="preserve"> </w:t>
      </w:r>
      <w:r w:rsidRPr="00D4309F">
        <w:t>and</w:t>
      </w:r>
      <w:r w:rsidRPr="00D4309F">
        <w:rPr>
          <w:spacing w:val="-4"/>
        </w:rPr>
        <w:t xml:space="preserve"> </w:t>
      </w:r>
      <w:r w:rsidRPr="00D4309F">
        <w:t>may</w:t>
      </w:r>
      <w:r w:rsidRPr="00D4309F">
        <w:rPr>
          <w:spacing w:val="-2"/>
        </w:rPr>
        <w:t xml:space="preserve"> </w:t>
      </w:r>
      <w:r w:rsidRPr="00D4309F">
        <w:t>reduce the reliability of keeping the entrance navigable.</w:t>
      </w:r>
    </w:p>
    <w:p w14:paraId="1B426CF6" w14:textId="77777777" w:rsidR="00725977" w:rsidRPr="00D4309F" w:rsidRDefault="00725977" w:rsidP="00725977">
      <w:pPr>
        <w:pStyle w:val="BodyText"/>
        <w:sectPr w:rsidR="00725977" w:rsidRPr="00D4309F" w:rsidSect="00405D4F">
          <w:headerReference w:type="default" r:id="rId105"/>
          <w:footerReference w:type="default" r:id="rId106"/>
          <w:pgSz w:w="11910" w:h="16840"/>
          <w:pgMar w:top="1418" w:right="1134" w:bottom="1418" w:left="1134" w:header="916" w:footer="980" w:gutter="0"/>
          <w:cols w:space="720"/>
        </w:sectPr>
      </w:pPr>
    </w:p>
    <w:p w14:paraId="614274A8" w14:textId="77777777" w:rsidR="00725977" w:rsidRPr="00D4309F" w:rsidRDefault="00725977" w:rsidP="008228CB">
      <w:pPr>
        <w:pStyle w:val="Heading3"/>
      </w:pPr>
      <w:bookmarkStart w:id="340" w:name="_Toc216699421"/>
      <w:r w:rsidRPr="00D4309F">
        <w:lastRenderedPageBreak/>
        <w:t>Environmental</w:t>
      </w:r>
      <w:r w:rsidRPr="00D4309F">
        <w:rPr>
          <w:spacing w:val="-9"/>
        </w:rPr>
        <w:t xml:space="preserve"> </w:t>
      </w:r>
      <w:r w:rsidRPr="00D4309F">
        <w:rPr>
          <w:spacing w:val="-2"/>
        </w:rPr>
        <w:t>constraints</w:t>
      </w:r>
      <w:bookmarkEnd w:id="340"/>
    </w:p>
    <w:p w14:paraId="4D824D90" w14:textId="402BCE0D" w:rsidR="00725977" w:rsidRPr="00D4309F" w:rsidRDefault="00725977" w:rsidP="00725977">
      <w:pPr>
        <w:pStyle w:val="BodyText"/>
      </w:pPr>
      <w:r w:rsidRPr="00D4309F">
        <w:t>A</w:t>
      </w:r>
      <w:r w:rsidRPr="00D4309F">
        <w:rPr>
          <w:spacing w:val="-2"/>
        </w:rPr>
        <w:t xml:space="preserve"> </w:t>
      </w:r>
      <w:r w:rsidRPr="00D4309F">
        <w:t>preliminary</w:t>
      </w:r>
      <w:r w:rsidRPr="00D4309F">
        <w:rPr>
          <w:spacing w:val="-1"/>
        </w:rPr>
        <w:t xml:space="preserve"> </w:t>
      </w:r>
      <w:r w:rsidRPr="00D4309F">
        <w:t>assessment</w:t>
      </w:r>
      <w:r w:rsidRPr="00D4309F">
        <w:rPr>
          <w:spacing w:val="-2"/>
        </w:rPr>
        <w:t xml:space="preserve"> </w:t>
      </w:r>
      <w:r w:rsidRPr="00D4309F">
        <w:t>of</w:t>
      </w:r>
      <w:r w:rsidRPr="00D4309F">
        <w:rPr>
          <w:spacing w:val="-2"/>
        </w:rPr>
        <w:t xml:space="preserve"> </w:t>
      </w:r>
      <w:r w:rsidRPr="00D4309F">
        <w:t>environmental</w:t>
      </w:r>
      <w:r w:rsidRPr="00D4309F">
        <w:rPr>
          <w:spacing w:val="-2"/>
        </w:rPr>
        <w:t xml:space="preserve"> </w:t>
      </w:r>
      <w:r w:rsidRPr="00D4309F">
        <w:t>constraints</w:t>
      </w:r>
      <w:r w:rsidRPr="00D4309F">
        <w:rPr>
          <w:spacing w:val="-1"/>
        </w:rPr>
        <w:t xml:space="preserve"> </w:t>
      </w:r>
      <w:r w:rsidRPr="00D4309F">
        <w:t>for</w:t>
      </w:r>
      <w:r w:rsidRPr="00D4309F">
        <w:rPr>
          <w:spacing w:val="-2"/>
        </w:rPr>
        <w:t xml:space="preserve"> </w:t>
      </w:r>
      <w:r w:rsidRPr="00D4309F">
        <w:t>the</w:t>
      </w:r>
      <w:r w:rsidRPr="00D4309F">
        <w:rPr>
          <w:spacing w:val="-2"/>
        </w:rPr>
        <w:t xml:space="preserve"> </w:t>
      </w:r>
      <w:r w:rsidRPr="00D4309F">
        <w:t>excavated</w:t>
      </w:r>
      <w:r w:rsidRPr="00D4309F">
        <w:rPr>
          <w:spacing w:val="-2"/>
        </w:rPr>
        <w:t xml:space="preserve"> </w:t>
      </w:r>
      <w:r w:rsidRPr="00D4309F">
        <w:t>sand</w:t>
      </w:r>
      <w:r w:rsidRPr="00D4309F">
        <w:rPr>
          <w:spacing w:val="-2"/>
        </w:rPr>
        <w:t xml:space="preserve"> </w:t>
      </w:r>
      <w:r w:rsidRPr="00D4309F">
        <w:t>trap</w:t>
      </w:r>
      <w:r w:rsidRPr="00D4309F">
        <w:rPr>
          <w:spacing w:val="-2"/>
        </w:rPr>
        <w:t xml:space="preserve"> </w:t>
      </w:r>
      <w:r w:rsidRPr="00D4309F">
        <w:t>with</w:t>
      </w:r>
      <w:r w:rsidRPr="00D4309F">
        <w:rPr>
          <w:spacing w:val="-2"/>
        </w:rPr>
        <w:t xml:space="preserve"> </w:t>
      </w:r>
      <w:r w:rsidRPr="00D4309F">
        <w:t>TSHD</w:t>
      </w:r>
      <w:r w:rsidRPr="00D4309F">
        <w:rPr>
          <w:spacing w:val="-2"/>
        </w:rPr>
        <w:t xml:space="preserve"> </w:t>
      </w:r>
      <w:r w:rsidRPr="00D4309F">
        <w:t>campaigns</w:t>
      </w:r>
      <w:r w:rsidRPr="00D4309F">
        <w:rPr>
          <w:spacing w:val="-3"/>
        </w:rPr>
        <w:t xml:space="preserve"> </w:t>
      </w:r>
      <w:r w:rsidRPr="00D4309F">
        <w:t>(Option</w:t>
      </w:r>
      <w:r w:rsidRPr="00D4309F">
        <w:rPr>
          <w:spacing w:val="-2"/>
        </w:rPr>
        <w:t xml:space="preserve"> </w:t>
      </w:r>
      <w:r w:rsidRPr="00D4309F">
        <w:t>2B),</w:t>
      </w:r>
      <w:r w:rsidRPr="00D4309F">
        <w:rPr>
          <w:spacing w:val="-2"/>
        </w:rPr>
        <w:t xml:space="preserve"> </w:t>
      </w:r>
      <w:r w:rsidRPr="00D4309F">
        <w:t>based</w:t>
      </w:r>
      <w:r w:rsidRPr="00D4309F">
        <w:rPr>
          <w:spacing w:val="-2"/>
        </w:rPr>
        <w:t xml:space="preserve"> </w:t>
      </w:r>
      <w:r w:rsidRPr="00D4309F">
        <w:t>on</w:t>
      </w:r>
      <w:r w:rsidRPr="00D4309F">
        <w:rPr>
          <w:spacing w:val="-2"/>
        </w:rPr>
        <w:t xml:space="preserve"> </w:t>
      </w:r>
      <w:r w:rsidRPr="00D4309F">
        <w:t>the</w:t>
      </w:r>
      <w:r w:rsidRPr="00D4309F">
        <w:rPr>
          <w:spacing w:val="-3"/>
        </w:rPr>
        <w:t xml:space="preserve"> </w:t>
      </w:r>
      <w:r w:rsidRPr="00D4309F">
        <w:t>constraints</w:t>
      </w:r>
      <w:r w:rsidRPr="00D4309F">
        <w:rPr>
          <w:spacing w:val="-1"/>
        </w:rPr>
        <w:t xml:space="preserve"> </w:t>
      </w:r>
      <w:r w:rsidRPr="00D4309F">
        <w:t>analysis</w:t>
      </w:r>
      <w:r w:rsidRPr="00D4309F">
        <w:rPr>
          <w:spacing w:val="-1"/>
        </w:rPr>
        <w:t xml:space="preserve"> </w:t>
      </w:r>
      <w:r w:rsidRPr="00D4309F">
        <w:t>criteria</w:t>
      </w:r>
      <w:r w:rsidRPr="00D4309F">
        <w:rPr>
          <w:spacing w:val="-2"/>
        </w:rPr>
        <w:t xml:space="preserve"> </w:t>
      </w:r>
      <w:r w:rsidRPr="00D4309F">
        <w:t>in</w:t>
      </w:r>
      <w:r w:rsidRPr="00D4309F">
        <w:rPr>
          <w:spacing w:val="-2"/>
        </w:rPr>
        <w:t xml:space="preserve"> </w:t>
      </w:r>
      <w:hyperlink w:anchor="_bookmark135" w:history="1">
        <w:r w:rsidR="009213C9">
          <w:fldChar w:fldCharType="begin" w:fldLock="1"/>
        </w:r>
        <w:r w:rsidR="009213C9">
          <w:instrText xml:space="preserve"> REF _Ref215979568 \h </w:instrText>
        </w:r>
        <w:r w:rsidR="009213C9">
          <w:fldChar w:fldCharType="separate"/>
        </w:r>
        <w:r w:rsidR="009213C9">
          <w:t xml:space="preserve">Table </w:t>
        </w:r>
        <w:r w:rsidR="009213C9">
          <w:rPr>
            <w:noProof/>
          </w:rPr>
          <w:t>14</w:t>
        </w:r>
        <w:r w:rsidR="009213C9">
          <w:noBreakHyphen/>
        </w:r>
        <w:r w:rsidR="009213C9">
          <w:rPr>
            <w:noProof/>
          </w:rPr>
          <w:t>3</w:t>
        </w:r>
        <w:r w:rsidR="009213C9">
          <w:fldChar w:fldCharType="end"/>
        </w:r>
        <w:r w:rsidRPr="00D4309F">
          <w:t>,</w:t>
        </w:r>
      </w:hyperlink>
      <w:r w:rsidRPr="00D4309F">
        <w:t xml:space="preserve"> detailed in </w:t>
      </w:r>
      <w:hyperlink w:anchor="_bookmark136" w:history="1">
        <w:r w:rsidR="009213C9">
          <w:fldChar w:fldCharType="begin" w:fldLock="1"/>
        </w:r>
        <w:r w:rsidR="009213C9">
          <w:instrText xml:space="preserve"> REF _Ref215979581 \h </w:instrText>
        </w:r>
        <w:r w:rsidR="009213C9">
          <w:fldChar w:fldCharType="separate"/>
        </w:r>
        <w:r w:rsidR="009213C9">
          <w:t xml:space="preserve">Table </w:t>
        </w:r>
        <w:r w:rsidR="009213C9">
          <w:rPr>
            <w:noProof/>
          </w:rPr>
          <w:t>14</w:t>
        </w:r>
        <w:r w:rsidR="009213C9">
          <w:noBreakHyphen/>
        </w:r>
        <w:r w:rsidR="009213C9">
          <w:rPr>
            <w:noProof/>
          </w:rPr>
          <w:t>4</w:t>
        </w:r>
        <w:r w:rsidR="009213C9">
          <w:fldChar w:fldCharType="end"/>
        </w:r>
        <w:r w:rsidRPr="00D4309F">
          <w:t>.</w:t>
        </w:r>
      </w:hyperlink>
    </w:p>
    <w:p w14:paraId="13695C58" w14:textId="1D624C57" w:rsidR="00725977" w:rsidRPr="00D4309F" w:rsidRDefault="00E46799" w:rsidP="00151534">
      <w:pPr>
        <w:pStyle w:val="Table-Caption"/>
      </w:pPr>
      <w:bookmarkStart w:id="341" w:name="_bookmark135"/>
      <w:bookmarkStart w:id="342" w:name="_Ref215979568"/>
      <w:bookmarkStart w:id="343" w:name="_Toc216699560"/>
      <w:bookmarkEnd w:id="341"/>
      <w:r>
        <w:t xml:space="preserve">Table </w:t>
      </w:r>
      <w:r w:rsidR="00151534">
        <w:fldChar w:fldCharType="begin" w:fldLock="1"/>
      </w:r>
      <w:r w:rsidR="00151534">
        <w:instrText xml:space="preserve"> STYLEREF 1 \s </w:instrText>
      </w:r>
      <w:r w:rsidR="00151534">
        <w:fldChar w:fldCharType="separate"/>
      </w:r>
      <w:r w:rsidR="00151534">
        <w:rPr>
          <w:noProof/>
        </w:rPr>
        <w:t>14</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3</w:t>
      </w:r>
      <w:r w:rsidR="00151534">
        <w:fldChar w:fldCharType="end"/>
      </w:r>
      <w:bookmarkEnd w:id="342"/>
      <w:r>
        <w:t>:</w:t>
      </w:r>
      <w:r>
        <w:tab/>
      </w:r>
      <w:r w:rsidRPr="00D4309F">
        <w:rPr>
          <w:color w:val="211E1F"/>
        </w:rPr>
        <w:t>Constraints</w:t>
      </w:r>
      <w:r w:rsidRPr="00D4309F">
        <w:rPr>
          <w:color w:val="211E1F"/>
          <w:spacing w:val="-3"/>
        </w:rPr>
        <w:t xml:space="preserve"> </w:t>
      </w:r>
      <w:r w:rsidRPr="00D4309F">
        <w:rPr>
          <w:color w:val="211E1F"/>
        </w:rPr>
        <w:t>analysis</w:t>
      </w:r>
      <w:r w:rsidRPr="00D4309F">
        <w:rPr>
          <w:color w:val="211E1F"/>
          <w:spacing w:val="-2"/>
        </w:rPr>
        <w:t xml:space="preserve"> criteria</w:t>
      </w:r>
      <w:bookmarkEnd w:id="343"/>
    </w:p>
    <w:tbl>
      <w:tblPr>
        <w:tblW w:w="5000" w:type="pct"/>
        <w:tblCellMar>
          <w:left w:w="0" w:type="dxa"/>
          <w:right w:w="0" w:type="dxa"/>
        </w:tblCellMar>
        <w:tblLook w:val="01E0" w:firstRow="1" w:lastRow="1" w:firstColumn="1" w:lastColumn="1" w:noHBand="0" w:noVBand="0"/>
      </w:tblPr>
      <w:tblGrid>
        <w:gridCol w:w="1623"/>
        <w:gridCol w:w="12949"/>
      </w:tblGrid>
      <w:tr w:rsidR="00725977" w:rsidRPr="00D4309F" w14:paraId="69DE6B22" w14:textId="77777777" w:rsidTr="00E46799">
        <w:trPr>
          <w:trHeight w:val="286"/>
        </w:trPr>
        <w:tc>
          <w:tcPr>
            <w:tcW w:w="557" w:type="pct"/>
            <w:tcBorders>
              <w:bottom w:val="single" w:sz="4" w:space="0" w:color="000000"/>
            </w:tcBorders>
            <w:shd w:val="clear" w:color="auto" w:fill="D6D7D5"/>
          </w:tcPr>
          <w:p w14:paraId="4C0857D6" w14:textId="77777777" w:rsidR="00725977" w:rsidRPr="00D4309F" w:rsidRDefault="00725977">
            <w:pPr>
              <w:pStyle w:val="TableParagraph"/>
              <w:spacing w:before="40"/>
              <w:ind w:left="165"/>
              <w:rPr>
                <w:b/>
                <w:sz w:val="18"/>
              </w:rPr>
            </w:pPr>
            <w:r w:rsidRPr="00D4309F">
              <w:rPr>
                <w:b/>
                <w:color w:val="70004A"/>
                <w:sz w:val="18"/>
              </w:rPr>
              <w:t>Constraint</w:t>
            </w:r>
            <w:r w:rsidRPr="00D4309F">
              <w:rPr>
                <w:b/>
                <w:color w:val="70004A"/>
                <w:spacing w:val="-4"/>
                <w:sz w:val="18"/>
              </w:rPr>
              <w:t xml:space="preserve"> </w:t>
            </w:r>
            <w:r w:rsidRPr="00D4309F">
              <w:rPr>
                <w:b/>
                <w:color w:val="70004A"/>
                <w:spacing w:val="-2"/>
                <w:sz w:val="18"/>
              </w:rPr>
              <w:t>level</w:t>
            </w:r>
          </w:p>
        </w:tc>
        <w:tc>
          <w:tcPr>
            <w:tcW w:w="4443" w:type="pct"/>
            <w:tcBorders>
              <w:bottom w:val="single" w:sz="4" w:space="0" w:color="000000"/>
            </w:tcBorders>
            <w:shd w:val="clear" w:color="auto" w:fill="D6D7D5"/>
          </w:tcPr>
          <w:p w14:paraId="771E8B99" w14:textId="77777777" w:rsidR="00725977" w:rsidRPr="00D4309F" w:rsidRDefault="00725977">
            <w:pPr>
              <w:pStyle w:val="TableParagraph"/>
              <w:spacing w:before="40"/>
              <w:ind w:left="164"/>
              <w:rPr>
                <w:b/>
                <w:sz w:val="18"/>
              </w:rPr>
            </w:pPr>
            <w:r w:rsidRPr="00D4309F">
              <w:rPr>
                <w:b/>
                <w:color w:val="70004A"/>
                <w:spacing w:val="-2"/>
                <w:sz w:val="18"/>
              </w:rPr>
              <w:t>Description</w:t>
            </w:r>
          </w:p>
        </w:tc>
      </w:tr>
      <w:tr w:rsidR="00725977" w:rsidRPr="00D4309F" w14:paraId="67E4E8F4" w14:textId="77777777" w:rsidTr="00E46799">
        <w:trPr>
          <w:trHeight w:val="287"/>
        </w:trPr>
        <w:tc>
          <w:tcPr>
            <w:tcW w:w="557" w:type="pct"/>
            <w:tcBorders>
              <w:top w:val="single" w:sz="4" w:space="0" w:color="000000"/>
              <w:bottom w:val="single" w:sz="4" w:space="0" w:color="000000"/>
            </w:tcBorders>
            <w:shd w:val="clear" w:color="auto" w:fill="BDB7B3"/>
          </w:tcPr>
          <w:p w14:paraId="14C0EF9D" w14:textId="77777777" w:rsidR="00725977" w:rsidRPr="00D4309F" w:rsidRDefault="00725977">
            <w:pPr>
              <w:pStyle w:val="TableParagraph"/>
              <w:spacing w:before="41"/>
              <w:ind w:left="165"/>
              <w:rPr>
                <w:b/>
                <w:sz w:val="18"/>
              </w:rPr>
            </w:pPr>
            <w:r w:rsidRPr="00D4309F">
              <w:rPr>
                <w:b/>
                <w:color w:val="211E1F"/>
                <w:sz w:val="18"/>
              </w:rPr>
              <w:t>No</w:t>
            </w:r>
            <w:r w:rsidRPr="00D4309F">
              <w:rPr>
                <w:b/>
                <w:color w:val="211E1F"/>
                <w:spacing w:val="-3"/>
                <w:sz w:val="18"/>
              </w:rPr>
              <w:t xml:space="preserve"> </w:t>
            </w:r>
            <w:r w:rsidRPr="00D4309F">
              <w:rPr>
                <w:b/>
                <w:color w:val="211E1F"/>
                <w:spacing w:val="-2"/>
                <w:sz w:val="18"/>
              </w:rPr>
              <w:t>impact</w:t>
            </w:r>
          </w:p>
        </w:tc>
        <w:tc>
          <w:tcPr>
            <w:tcW w:w="4443" w:type="pct"/>
            <w:tcBorders>
              <w:top w:val="single" w:sz="4" w:space="0" w:color="000000"/>
              <w:bottom w:val="single" w:sz="4" w:space="0" w:color="000000"/>
            </w:tcBorders>
          </w:tcPr>
          <w:p w14:paraId="48B521F7" w14:textId="77777777" w:rsidR="00725977" w:rsidRPr="00D4309F" w:rsidRDefault="00725977">
            <w:pPr>
              <w:pStyle w:val="TableParagraph"/>
              <w:spacing w:before="41"/>
              <w:ind w:left="164"/>
              <w:rPr>
                <w:sz w:val="18"/>
              </w:rPr>
            </w:pPr>
            <w:r w:rsidRPr="00D4309F">
              <w:rPr>
                <w:color w:val="211E1F"/>
                <w:sz w:val="18"/>
              </w:rPr>
              <w:t>There</w:t>
            </w:r>
            <w:r w:rsidRPr="00D4309F">
              <w:rPr>
                <w:color w:val="211E1F"/>
                <w:spacing w:val="-6"/>
                <w:sz w:val="18"/>
              </w:rPr>
              <w:t xml:space="preserve"> </w:t>
            </w:r>
            <w:r w:rsidRPr="00D4309F">
              <w:rPr>
                <w:color w:val="211E1F"/>
                <w:sz w:val="18"/>
              </w:rPr>
              <w:t>is</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impact</w:t>
            </w:r>
            <w:r w:rsidRPr="00D4309F">
              <w:rPr>
                <w:color w:val="211E1F"/>
                <w:spacing w:val="-2"/>
                <w:sz w:val="18"/>
              </w:rPr>
              <w:t xml:space="preserve"> </w:t>
            </w:r>
            <w:r w:rsidRPr="00D4309F">
              <w:rPr>
                <w:color w:val="211E1F"/>
                <w:sz w:val="18"/>
              </w:rPr>
              <w:t>pathway</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1"/>
                <w:sz w:val="18"/>
              </w:rPr>
              <w:t xml:space="preserve"> </w:t>
            </w:r>
            <w:r w:rsidRPr="00D4309F">
              <w:rPr>
                <w:color w:val="211E1F"/>
                <w:sz w:val="18"/>
              </w:rPr>
              <w:t>receptor.</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required.</w:t>
            </w:r>
          </w:p>
        </w:tc>
      </w:tr>
      <w:tr w:rsidR="00725977" w:rsidRPr="00D4309F" w14:paraId="1FF9B763" w14:textId="77777777" w:rsidTr="00E46799">
        <w:trPr>
          <w:trHeight w:val="286"/>
        </w:trPr>
        <w:tc>
          <w:tcPr>
            <w:tcW w:w="557" w:type="pct"/>
            <w:tcBorders>
              <w:top w:val="single" w:sz="4" w:space="0" w:color="000000"/>
              <w:bottom w:val="single" w:sz="4" w:space="0" w:color="000000"/>
            </w:tcBorders>
            <w:shd w:val="clear" w:color="auto" w:fill="92D050"/>
          </w:tcPr>
          <w:p w14:paraId="53C9CBE1" w14:textId="77777777" w:rsidR="00725977" w:rsidRPr="00D4309F" w:rsidRDefault="00725977">
            <w:pPr>
              <w:pStyle w:val="TableParagraph"/>
              <w:spacing w:before="39"/>
              <w:ind w:left="165"/>
              <w:rPr>
                <w:b/>
                <w:sz w:val="18"/>
              </w:rPr>
            </w:pPr>
            <w:r w:rsidRPr="00D4309F">
              <w:rPr>
                <w:b/>
                <w:color w:val="211E1F"/>
                <w:spacing w:val="-5"/>
                <w:sz w:val="18"/>
              </w:rPr>
              <w:t>Low</w:t>
            </w:r>
          </w:p>
        </w:tc>
        <w:tc>
          <w:tcPr>
            <w:tcW w:w="4443" w:type="pct"/>
            <w:tcBorders>
              <w:top w:val="single" w:sz="4" w:space="0" w:color="000000"/>
              <w:bottom w:val="single" w:sz="4" w:space="0" w:color="000000"/>
            </w:tcBorders>
          </w:tcPr>
          <w:p w14:paraId="7F9F5E83" w14:textId="77777777" w:rsidR="00725977" w:rsidRPr="00D4309F" w:rsidRDefault="00725977">
            <w:pPr>
              <w:pStyle w:val="TableParagraph"/>
              <w:spacing w:before="39"/>
              <w:ind w:left="164"/>
              <w:rPr>
                <w:sz w:val="18"/>
              </w:rPr>
            </w:pPr>
            <w:r w:rsidRPr="00D4309F">
              <w:rPr>
                <w:color w:val="211E1F"/>
                <w:sz w:val="18"/>
              </w:rPr>
              <w:t>There</w:t>
            </w:r>
            <w:r w:rsidRPr="00D4309F">
              <w:rPr>
                <w:color w:val="211E1F"/>
                <w:spacing w:val="-6"/>
                <w:sz w:val="18"/>
              </w:rPr>
              <w:t xml:space="preserve"> </w:t>
            </w:r>
            <w:r w:rsidRPr="00D4309F">
              <w:rPr>
                <w:color w:val="211E1F"/>
                <w:sz w:val="18"/>
              </w:rPr>
              <w:t>is</w:t>
            </w:r>
            <w:r w:rsidRPr="00D4309F">
              <w:rPr>
                <w:color w:val="211E1F"/>
                <w:spacing w:val="-2"/>
                <w:sz w:val="18"/>
              </w:rPr>
              <w:t xml:space="preserve"> </w:t>
            </w:r>
            <w:r w:rsidRPr="00D4309F">
              <w:rPr>
                <w:color w:val="211E1F"/>
                <w:sz w:val="18"/>
              </w:rPr>
              <w:t>low</w:t>
            </w:r>
            <w:r w:rsidRPr="00D4309F">
              <w:rPr>
                <w:color w:val="211E1F"/>
                <w:spacing w:val="-2"/>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3"/>
                <w:sz w:val="18"/>
              </w:rPr>
              <w:t xml:space="preserve"> </w:t>
            </w:r>
            <w:r w:rsidRPr="00D4309F">
              <w:rPr>
                <w:color w:val="211E1F"/>
                <w:sz w:val="18"/>
              </w:rPr>
              <w:t>No</w:t>
            </w:r>
            <w:r w:rsidRPr="00D4309F">
              <w:rPr>
                <w:color w:val="211E1F"/>
                <w:spacing w:val="-3"/>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required.</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or</w:t>
            </w:r>
            <w:r w:rsidRPr="00D4309F">
              <w:rPr>
                <w:color w:val="211E1F"/>
                <w:spacing w:val="-2"/>
                <w:sz w:val="18"/>
              </w:rPr>
              <w:t xml:space="preserve"> </w:t>
            </w:r>
            <w:r w:rsidRPr="00D4309F">
              <w:rPr>
                <w:color w:val="211E1F"/>
                <w:sz w:val="18"/>
              </w:rPr>
              <w:t>standard</w:t>
            </w:r>
            <w:r w:rsidRPr="00D4309F">
              <w:rPr>
                <w:color w:val="211E1F"/>
                <w:spacing w:val="-3"/>
                <w:sz w:val="18"/>
              </w:rPr>
              <w:t xml:space="preserve"> </w:t>
            </w:r>
            <w:r w:rsidRPr="00D4309F">
              <w:rPr>
                <w:color w:val="211E1F"/>
                <w:sz w:val="18"/>
              </w:rPr>
              <w:t>management</w:t>
            </w:r>
            <w:r w:rsidRPr="00D4309F">
              <w:rPr>
                <w:color w:val="211E1F"/>
                <w:spacing w:val="-2"/>
                <w:sz w:val="18"/>
              </w:rPr>
              <w:t xml:space="preserve"> likely.</w:t>
            </w:r>
          </w:p>
        </w:tc>
      </w:tr>
      <w:tr w:rsidR="00725977" w:rsidRPr="00D4309F" w14:paraId="782D1E28" w14:textId="77777777" w:rsidTr="00E46799">
        <w:trPr>
          <w:trHeight w:val="493"/>
        </w:trPr>
        <w:tc>
          <w:tcPr>
            <w:tcW w:w="557" w:type="pct"/>
            <w:tcBorders>
              <w:top w:val="single" w:sz="4" w:space="0" w:color="000000"/>
              <w:bottom w:val="single" w:sz="4" w:space="0" w:color="000000"/>
            </w:tcBorders>
            <w:shd w:val="clear" w:color="auto" w:fill="FFFF00"/>
          </w:tcPr>
          <w:p w14:paraId="49FD04BD" w14:textId="77777777" w:rsidR="00725977" w:rsidRPr="00D4309F" w:rsidRDefault="00725977">
            <w:pPr>
              <w:pStyle w:val="TableParagraph"/>
              <w:spacing w:before="144"/>
              <w:ind w:left="165"/>
              <w:rPr>
                <w:b/>
                <w:sz w:val="18"/>
              </w:rPr>
            </w:pPr>
            <w:r w:rsidRPr="00D4309F">
              <w:rPr>
                <w:b/>
                <w:color w:val="211E1F"/>
                <w:spacing w:val="-2"/>
                <w:sz w:val="18"/>
              </w:rPr>
              <w:t>Moderate</w:t>
            </w:r>
          </w:p>
        </w:tc>
        <w:tc>
          <w:tcPr>
            <w:tcW w:w="4443" w:type="pct"/>
            <w:tcBorders>
              <w:top w:val="single" w:sz="4" w:space="0" w:color="000000"/>
              <w:bottom w:val="single" w:sz="4" w:space="0" w:color="000000"/>
            </w:tcBorders>
          </w:tcPr>
          <w:p w14:paraId="0AABB435" w14:textId="77777777" w:rsidR="00725977" w:rsidRPr="00D4309F" w:rsidRDefault="00725977">
            <w:pPr>
              <w:pStyle w:val="TableParagraph"/>
              <w:spacing w:before="41"/>
              <w:ind w:left="164" w:right="232"/>
              <w:rPr>
                <w:sz w:val="18"/>
              </w:rPr>
            </w:pPr>
            <w:r w:rsidRPr="00D4309F">
              <w:rPr>
                <w:color w:val="211E1F"/>
                <w:sz w:val="18"/>
              </w:rPr>
              <w:t>There</w:t>
            </w:r>
            <w:r w:rsidRPr="00D4309F">
              <w:rPr>
                <w:color w:val="211E1F"/>
                <w:spacing w:val="-3"/>
                <w:sz w:val="18"/>
              </w:rPr>
              <w:t xml:space="preserve"> </w:t>
            </w:r>
            <w:r w:rsidRPr="00D4309F">
              <w:rPr>
                <w:color w:val="211E1F"/>
                <w:sz w:val="18"/>
              </w:rPr>
              <w:t>is</w:t>
            </w:r>
            <w:r w:rsidRPr="00D4309F">
              <w:rPr>
                <w:color w:val="211E1F"/>
                <w:spacing w:val="-2"/>
                <w:sz w:val="18"/>
              </w:rPr>
              <w:t xml:space="preserve"> </w:t>
            </w:r>
            <w:r w:rsidRPr="00D4309F">
              <w:rPr>
                <w:color w:val="211E1F"/>
                <w:sz w:val="18"/>
              </w:rPr>
              <w:t>a</w:t>
            </w:r>
            <w:r w:rsidRPr="00D4309F">
              <w:rPr>
                <w:color w:val="211E1F"/>
                <w:spacing w:val="-3"/>
                <w:sz w:val="18"/>
              </w:rPr>
              <w:t xml:space="preserve"> </w:t>
            </w:r>
            <w:r w:rsidRPr="00D4309F">
              <w:rPr>
                <w:color w:val="211E1F"/>
                <w:sz w:val="18"/>
              </w:rPr>
              <w:t>moderate</w:t>
            </w:r>
            <w:r w:rsidRPr="00D4309F">
              <w:rPr>
                <w:color w:val="211E1F"/>
                <w:spacing w:val="-3"/>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2"/>
                <w:sz w:val="18"/>
              </w:rPr>
              <w:t xml:space="preserve"> </w:t>
            </w:r>
            <w:r w:rsidRPr="00D4309F">
              <w:rPr>
                <w:color w:val="211E1F"/>
                <w:sz w:val="18"/>
              </w:rPr>
              <w:t>which</w:t>
            </w:r>
            <w:r w:rsidRPr="00D4309F">
              <w:rPr>
                <w:color w:val="211E1F"/>
                <w:spacing w:val="-3"/>
                <w:sz w:val="18"/>
              </w:rPr>
              <w:t xml:space="preserve"> </w:t>
            </w:r>
            <w:r w:rsidRPr="00D4309F">
              <w:rPr>
                <w:color w:val="211E1F"/>
                <w:sz w:val="18"/>
              </w:rPr>
              <w:t>will</w:t>
            </w:r>
            <w:r w:rsidRPr="00D4309F">
              <w:rPr>
                <w:color w:val="211E1F"/>
                <w:spacing w:val="-1"/>
                <w:sz w:val="18"/>
              </w:rPr>
              <w:t xml:space="preserve"> </w:t>
            </w:r>
            <w:r w:rsidRPr="00D4309F">
              <w:rPr>
                <w:color w:val="211E1F"/>
                <w:sz w:val="18"/>
              </w:rPr>
              <w:t>require</w:t>
            </w:r>
            <w:r w:rsidRPr="00D4309F">
              <w:rPr>
                <w:color w:val="211E1F"/>
                <w:spacing w:val="-3"/>
                <w:sz w:val="18"/>
              </w:rPr>
              <w:t xml:space="preserve"> </w:t>
            </w:r>
            <w:r w:rsidRPr="00D4309F">
              <w:rPr>
                <w:color w:val="211E1F"/>
                <w:sz w:val="18"/>
              </w:rPr>
              <w:t>further</w:t>
            </w:r>
            <w:r w:rsidRPr="00D4309F">
              <w:rPr>
                <w:color w:val="211E1F"/>
                <w:spacing w:val="-1"/>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to</w:t>
            </w:r>
            <w:r w:rsidRPr="00D4309F">
              <w:rPr>
                <w:color w:val="211E1F"/>
                <w:spacing w:val="-1"/>
                <w:sz w:val="18"/>
              </w:rPr>
              <w:t xml:space="preserve"> </w:t>
            </w:r>
            <w:r w:rsidRPr="00D4309F">
              <w:rPr>
                <w:color w:val="211E1F"/>
                <w:sz w:val="18"/>
              </w:rPr>
              <w:t>determine</w:t>
            </w:r>
            <w:r w:rsidRPr="00D4309F">
              <w:rPr>
                <w:color w:val="211E1F"/>
                <w:spacing w:val="-3"/>
                <w:sz w:val="18"/>
              </w:rPr>
              <w:t xml:space="preserve"> </w:t>
            </w:r>
            <w:r w:rsidRPr="00D4309F">
              <w:rPr>
                <w:color w:val="211E1F"/>
                <w:sz w:val="18"/>
              </w:rPr>
              <w:t>the</w:t>
            </w:r>
            <w:r w:rsidRPr="00D4309F">
              <w:rPr>
                <w:color w:val="211E1F"/>
                <w:spacing w:val="-1"/>
                <w:sz w:val="18"/>
              </w:rPr>
              <w:t xml:space="preserve"> </w:t>
            </w:r>
            <w:r w:rsidRPr="00D4309F">
              <w:rPr>
                <w:color w:val="211E1F"/>
                <w:sz w:val="18"/>
              </w:rPr>
              <w:t>significance</w:t>
            </w:r>
            <w:r w:rsidRPr="00D4309F">
              <w:rPr>
                <w:color w:val="211E1F"/>
                <w:spacing w:val="-3"/>
                <w:sz w:val="18"/>
              </w:rPr>
              <w:t xml:space="preserve"> </w:t>
            </w:r>
            <w:r w:rsidRPr="00D4309F">
              <w:rPr>
                <w:color w:val="211E1F"/>
                <w:sz w:val="18"/>
              </w:rPr>
              <w:t>of</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Likely to</w:t>
            </w:r>
            <w:r w:rsidRPr="00D4309F">
              <w:rPr>
                <w:color w:val="211E1F"/>
                <w:spacing w:val="-3"/>
                <w:sz w:val="18"/>
              </w:rPr>
              <w:t xml:space="preserve"> </w:t>
            </w:r>
            <w:r w:rsidRPr="00D4309F">
              <w:rPr>
                <w:color w:val="211E1F"/>
                <w:sz w:val="18"/>
              </w:rPr>
              <w:t>be manageable or engineered to minimise potential impacts on the receiving environment.</w:t>
            </w:r>
          </w:p>
        </w:tc>
      </w:tr>
      <w:tr w:rsidR="00725977" w:rsidRPr="00D4309F" w14:paraId="03431953" w14:textId="77777777" w:rsidTr="00E46799">
        <w:trPr>
          <w:trHeight w:val="494"/>
        </w:trPr>
        <w:tc>
          <w:tcPr>
            <w:tcW w:w="557" w:type="pct"/>
            <w:tcBorders>
              <w:top w:val="single" w:sz="4" w:space="0" w:color="000000"/>
            </w:tcBorders>
            <w:shd w:val="clear" w:color="auto" w:fill="FFC000"/>
          </w:tcPr>
          <w:p w14:paraId="75EADA9E" w14:textId="77777777" w:rsidR="00725977" w:rsidRPr="00D4309F" w:rsidRDefault="00725977">
            <w:pPr>
              <w:pStyle w:val="TableParagraph"/>
              <w:spacing w:before="144"/>
              <w:ind w:left="165"/>
              <w:rPr>
                <w:b/>
                <w:sz w:val="18"/>
              </w:rPr>
            </w:pPr>
            <w:r w:rsidRPr="00D4309F">
              <w:rPr>
                <w:b/>
                <w:color w:val="211E1F"/>
                <w:spacing w:val="-4"/>
                <w:sz w:val="18"/>
              </w:rPr>
              <w:t>High</w:t>
            </w:r>
          </w:p>
        </w:tc>
        <w:tc>
          <w:tcPr>
            <w:tcW w:w="4443" w:type="pct"/>
            <w:tcBorders>
              <w:top w:val="single" w:sz="4" w:space="0" w:color="000000"/>
            </w:tcBorders>
          </w:tcPr>
          <w:p w14:paraId="4DD1C36D" w14:textId="77777777" w:rsidR="00725977" w:rsidRPr="00D4309F" w:rsidRDefault="00725977">
            <w:pPr>
              <w:pStyle w:val="TableParagraph"/>
              <w:spacing w:before="41"/>
              <w:ind w:left="164" w:right="232"/>
              <w:rPr>
                <w:sz w:val="18"/>
              </w:rPr>
            </w:pPr>
            <w:r w:rsidRPr="00D4309F">
              <w:rPr>
                <w:color w:val="211E1F"/>
                <w:sz w:val="18"/>
              </w:rPr>
              <w:t>There</w:t>
            </w:r>
            <w:r w:rsidRPr="00D4309F">
              <w:rPr>
                <w:color w:val="211E1F"/>
                <w:spacing w:val="-3"/>
                <w:sz w:val="18"/>
              </w:rPr>
              <w:t xml:space="preserve"> </w:t>
            </w:r>
            <w:r w:rsidRPr="00D4309F">
              <w:rPr>
                <w:color w:val="211E1F"/>
                <w:sz w:val="18"/>
              </w:rPr>
              <w:t>is</w:t>
            </w:r>
            <w:r w:rsidRPr="00D4309F">
              <w:rPr>
                <w:color w:val="211E1F"/>
                <w:spacing w:val="-2"/>
                <w:sz w:val="18"/>
              </w:rPr>
              <w:t xml:space="preserve"> </w:t>
            </w:r>
            <w:r w:rsidRPr="00D4309F">
              <w:rPr>
                <w:color w:val="211E1F"/>
                <w:sz w:val="18"/>
              </w:rPr>
              <w:t>a</w:t>
            </w:r>
            <w:r w:rsidRPr="00D4309F">
              <w:rPr>
                <w:color w:val="211E1F"/>
                <w:spacing w:val="-3"/>
                <w:sz w:val="18"/>
              </w:rPr>
              <w:t xml:space="preserve"> </w:t>
            </w:r>
            <w:r w:rsidRPr="00D4309F">
              <w:rPr>
                <w:color w:val="211E1F"/>
                <w:sz w:val="18"/>
              </w:rPr>
              <w:t>high</w:t>
            </w:r>
            <w:r w:rsidRPr="00D4309F">
              <w:rPr>
                <w:color w:val="211E1F"/>
                <w:spacing w:val="-1"/>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2"/>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required</w:t>
            </w:r>
            <w:r w:rsidRPr="00D4309F">
              <w:rPr>
                <w:color w:val="211E1F"/>
                <w:spacing w:val="-3"/>
                <w:sz w:val="18"/>
              </w:rPr>
              <w:t xml:space="preserve"> </w:t>
            </w:r>
            <w:r w:rsidRPr="00D4309F">
              <w:rPr>
                <w:color w:val="211E1F"/>
                <w:sz w:val="18"/>
              </w:rPr>
              <w:t>to</w:t>
            </w:r>
            <w:r w:rsidRPr="00D4309F">
              <w:rPr>
                <w:color w:val="211E1F"/>
                <w:spacing w:val="-3"/>
                <w:sz w:val="18"/>
              </w:rPr>
              <w:t xml:space="preserve"> </w:t>
            </w:r>
            <w:r w:rsidRPr="00D4309F">
              <w:rPr>
                <w:color w:val="211E1F"/>
                <w:sz w:val="18"/>
              </w:rPr>
              <w:t>determine</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significance</w:t>
            </w:r>
            <w:r w:rsidRPr="00D4309F">
              <w:rPr>
                <w:color w:val="211E1F"/>
                <w:spacing w:val="-1"/>
                <w:sz w:val="18"/>
              </w:rPr>
              <w:t xml:space="preserve"> </w:t>
            </w:r>
            <w:r w:rsidRPr="00D4309F">
              <w:rPr>
                <w:color w:val="211E1F"/>
                <w:sz w:val="18"/>
              </w:rPr>
              <w:t>of</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and</w:t>
            </w:r>
            <w:r w:rsidRPr="00D4309F">
              <w:rPr>
                <w:color w:val="211E1F"/>
                <w:spacing w:val="-3"/>
                <w:sz w:val="18"/>
              </w:rPr>
              <w:t xml:space="preserve"> </w:t>
            </w:r>
            <w:r w:rsidRPr="00D4309F">
              <w:rPr>
                <w:color w:val="211E1F"/>
                <w:sz w:val="18"/>
              </w:rPr>
              <w:t>mitigation</w:t>
            </w:r>
            <w:r w:rsidRPr="00D4309F">
              <w:rPr>
                <w:color w:val="211E1F"/>
                <w:spacing w:val="-1"/>
                <w:sz w:val="18"/>
              </w:rPr>
              <w:t xml:space="preserve"> </w:t>
            </w:r>
            <w:r w:rsidRPr="00D4309F">
              <w:rPr>
                <w:color w:val="211E1F"/>
                <w:sz w:val="18"/>
              </w:rPr>
              <w:t>strategy. Consideration for regulatory approvals.</w:t>
            </w:r>
          </w:p>
        </w:tc>
      </w:tr>
    </w:tbl>
    <w:p w14:paraId="402F27C5" w14:textId="73F9537A" w:rsidR="00725977" w:rsidRPr="00D4309F" w:rsidRDefault="00725977" w:rsidP="00E46799">
      <w:pPr>
        <w:pStyle w:val="BodyText"/>
      </w:pPr>
      <w:bookmarkStart w:id="344" w:name="_bookmark136"/>
      <w:bookmarkEnd w:id="344"/>
    </w:p>
    <w:p w14:paraId="6C158742" w14:textId="14E27200" w:rsidR="00725977" w:rsidRPr="00D4309F" w:rsidRDefault="00E46799" w:rsidP="00151534">
      <w:pPr>
        <w:pStyle w:val="Table-Caption"/>
      </w:pPr>
      <w:bookmarkStart w:id="345" w:name="_Ref215979581"/>
      <w:bookmarkStart w:id="346" w:name="_Toc216699561"/>
      <w:r>
        <w:t xml:space="preserve">Table </w:t>
      </w:r>
      <w:r w:rsidR="00151534">
        <w:fldChar w:fldCharType="begin" w:fldLock="1"/>
      </w:r>
      <w:r w:rsidR="00151534">
        <w:instrText xml:space="preserve"> STYLEREF 1 \s </w:instrText>
      </w:r>
      <w:r w:rsidR="00151534">
        <w:fldChar w:fldCharType="separate"/>
      </w:r>
      <w:r w:rsidR="00151534">
        <w:rPr>
          <w:noProof/>
        </w:rPr>
        <w:t>14</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4</w:t>
      </w:r>
      <w:r w:rsidR="00151534">
        <w:fldChar w:fldCharType="end"/>
      </w:r>
      <w:bookmarkEnd w:id="345"/>
      <w:r>
        <w:t>:</w:t>
      </w:r>
      <w:r>
        <w:tab/>
      </w:r>
      <w:r w:rsidRPr="00D4309F">
        <w:t>Environmental</w:t>
      </w:r>
      <w:r w:rsidRPr="00D4309F">
        <w:rPr>
          <w:spacing w:val="-3"/>
        </w:rPr>
        <w:t xml:space="preserve"> </w:t>
      </w:r>
      <w:r w:rsidRPr="00D4309F">
        <w:t>constraints</w:t>
      </w:r>
      <w:r w:rsidRPr="00D4309F">
        <w:rPr>
          <w:spacing w:val="-3"/>
        </w:rPr>
        <w:t xml:space="preserve"> </w:t>
      </w:r>
      <w:r w:rsidRPr="00D4309F">
        <w:t>for</w:t>
      </w:r>
      <w:r w:rsidRPr="00D4309F">
        <w:rPr>
          <w:spacing w:val="-3"/>
        </w:rPr>
        <w:t xml:space="preserve"> </w:t>
      </w:r>
      <w:r w:rsidRPr="00D4309F">
        <w:t>excavated</w:t>
      </w:r>
      <w:r w:rsidRPr="00D4309F">
        <w:rPr>
          <w:spacing w:val="-1"/>
        </w:rPr>
        <w:t xml:space="preserve"> </w:t>
      </w:r>
      <w:r w:rsidRPr="00D4309F">
        <w:t>sand</w:t>
      </w:r>
      <w:r w:rsidRPr="00D4309F">
        <w:rPr>
          <w:spacing w:val="-2"/>
        </w:rPr>
        <w:t xml:space="preserve"> </w:t>
      </w:r>
      <w:r w:rsidRPr="00D4309F">
        <w:t>trap</w:t>
      </w:r>
      <w:r w:rsidRPr="00D4309F">
        <w:rPr>
          <w:spacing w:val="-3"/>
        </w:rPr>
        <w:t xml:space="preserve"> </w:t>
      </w:r>
      <w:r w:rsidRPr="00D4309F">
        <w:t>with</w:t>
      </w:r>
      <w:r w:rsidRPr="00D4309F">
        <w:rPr>
          <w:spacing w:val="-4"/>
        </w:rPr>
        <w:t xml:space="preserve"> </w:t>
      </w:r>
      <w:r w:rsidRPr="00D4309F">
        <w:t>TSHD</w:t>
      </w:r>
      <w:r w:rsidRPr="00D4309F">
        <w:rPr>
          <w:spacing w:val="-2"/>
        </w:rPr>
        <w:t xml:space="preserve"> </w:t>
      </w:r>
      <w:r w:rsidRPr="00D4309F">
        <w:t>campaigns</w:t>
      </w:r>
      <w:r w:rsidRPr="00D4309F">
        <w:rPr>
          <w:spacing w:val="-3"/>
        </w:rPr>
        <w:t xml:space="preserve"> </w:t>
      </w:r>
      <w:r w:rsidRPr="00D4309F">
        <w:t>(Option</w:t>
      </w:r>
      <w:r w:rsidRPr="00D4309F">
        <w:rPr>
          <w:spacing w:val="-2"/>
        </w:rPr>
        <w:t xml:space="preserve"> </w:t>
      </w:r>
      <w:r w:rsidRPr="00D4309F">
        <w:rPr>
          <w:spacing w:val="-5"/>
        </w:rPr>
        <w:t>2B)</w:t>
      </w:r>
      <w:bookmarkEnd w:id="346"/>
    </w:p>
    <w:tbl>
      <w:tblPr>
        <w:tblW w:w="5000" w:type="pct"/>
        <w:tblCellMar>
          <w:left w:w="0" w:type="dxa"/>
          <w:right w:w="0" w:type="dxa"/>
        </w:tblCellMar>
        <w:tblLook w:val="01E0" w:firstRow="1" w:lastRow="1" w:firstColumn="1" w:lastColumn="1" w:noHBand="0" w:noVBand="0"/>
      </w:tblPr>
      <w:tblGrid>
        <w:gridCol w:w="1397"/>
        <w:gridCol w:w="1466"/>
        <w:gridCol w:w="3124"/>
        <w:gridCol w:w="1384"/>
        <w:gridCol w:w="3054"/>
        <w:gridCol w:w="1973"/>
        <w:gridCol w:w="2174"/>
      </w:tblGrid>
      <w:tr w:rsidR="002A7828" w:rsidRPr="00D4309F" w14:paraId="64519196" w14:textId="77777777" w:rsidTr="007E44C8">
        <w:trPr>
          <w:cantSplit/>
          <w:trHeight w:val="20"/>
          <w:tblHeader/>
        </w:trPr>
        <w:tc>
          <w:tcPr>
            <w:tcW w:w="479" w:type="pct"/>
            <w:tcBorders>
              <w:bottom w:val="single" w:sz="4" w:space="0" w:color="000000"/>
            </w:tcBorders>
            <w:shd w:val="clear" w:color="auto" w:fill="D6D7D5"/>
            <w:vAlign w:val="center"/>
          </w:tcPr>
          <w:p w14:paraId="516A197E" w14:textId="77777777" w:rsidR="00725977" w:rsidRPr="00D4309F" w:rsidRDefault="00725977" w:rsidP="00E46799">
            <w:pPr>
              <w:pStyle w:val="TableParagraph"/>
              <w:ind w:left="195"/>
              <w:rPr>
                <w:b/>
                <w:sz w:val="18"/>
              </w:rPr>
            </w:pPr>
            <w:r w:rsidRPr="00D4309F">
              <w:rPr>
                <w:b/>
                <w:color w:val="70004A"/>
                <w:spacing w:val="-2"/>
                <w:sz w:val="18"/>
              </w:rPr>
              <w:t>Category</w:t>
            </w:r>
          </w:p>
        </w:tc>
        <w:tc>
          <w:tcPr>
            <w:tcW w:w="503" w:type="pct"/>
            <w:tcBorders>
              <w:bottom w:val="single" w:sz="4" w:space="0" w:color="000000"/>
            </w:tcBorders>
            <w:shd w:val="clear" w:color="auto" w:fill="D6D7D5"/>
            <w:vAlign w:val="center"/>
          </w:tcPr>
          <w:p w14:paraId="16016840" w14:textId="77777777" w:rsidR="00725977" w:rsidRPr="00D4309F" w:rsidRDefault="00725977" w:rsidP="00E46799">
            <w:pPr>
              <w:pStyle w:val="TableParagraph"/>
              <w:ind w:left="212"/>
              <w:rPr>
                <w:b/>
                <w:sz w:val="18"/>
              </w:rPr>
            </w:pPr>
            <w:r w:rsidRPr="00D4309F">
              <w:rPr>
                <w:b/>
                <w:color w:val="70004A"/>
                <w:spacing w:val="-2"/>
                <w:sz w:val="18"/>
              </w:rPr>
              <w:t>Receptor</w:t>
            </w:r>
          </w:p>
        </w:tc>
        <w:tc>
          <w:tcPr>
            <w:tcW w:w="1072" w:type="pct"/>
            <w:tcBorders>
              <w:bottom w:val="single" w:sz="4" w:space="0" w:color="000000"/>
            </w:tcBorders>
            <w:shd w:val="clear" w:color="auto" w:fill="D6D7D5"/>
            <w:vAlign w:val="center"/>
          </w:tcPr>
          <w:p w14:paraId="2A48796F" w14:textId="77777777" w:rsidR="00725977" w:rsidRPr="00D4309F" w:rsidRDefault="00725977" w:rsidP="00E46799">
            <w:pPr>
              <w:pStyle w:val="TableParagraph"/>
              <w:ind w:left="288"/>
              <w:rPr>
                <w:b/>
                <w:sz w:val="18"/>
              </w:rPr>
            </w:pPr>
            <w:r w:rsidRPr="00D4309F">
              <w:rPr>
                <w:b/>
                <w:color w:val="70004A"/>
                <w:sz w:val="18"/>
              </w:rPr>
              <w:t>Impact</w:t>
            </w:r>
            <w:r w:rsidRPr="00D4309F">
              <w:rPr>
                <w:b/>
                <w:color w:val="70004A"/>
                <w:spacing w:val="-3"/>
                <w:sz w:val="18"/>
              </w:rPr>
              <w:t xml:space="preserve"> </w:t>
            </w:r>
            <w:r w:rsidRPr="00D4309F">
              <w:rPr>
                <w:b/>
                <w:color w:val="70004A"/>
                <w:spacing w:val="-2"/>
                <w:sz w:val="18"/>
              </w:rPr>
              <w:t>pathway</w:t>
            </w:r>
          </w:p>
        </w:tc>
        <w:tc>
          <w:tcPr>
            <w:tcW w:w="475" w:type="pct"/>
            <w:tcBorders>
              <w:bottom w:val="single" w:sz="4" w:space="0" w:color="000000"/>
            </w:tcBorders>
            <w:shd w:val="clear" w:color="auto" w:fill="D6D7D5"/>
            <w:vAlign w:val="center"/>
          </w:tcPr>
          <w:p w14:paraId="39675D62" w14:textId="77777777" w:rsidR="00725977" w:rsidRPr="00D4309F" w:rsidRDefault="00725977" w:rsidP="00E46799">
            <w:pPr>
              <w:pStyle w:val="TableParagraph"/>
              <w:spacing w:before="143"/>
              <w:ind w:left="164"/>
              <w:rPr>
                <w:b/>
                <w:sz w:val="18"/>
              </w:rPr>
            </w:pPr>
            <w:r w:rsidRPr="00D4309F">
              <w:rPr>
                <w:b/>
                <w:color w:val="70004A"/>
                <w:spacing w:val="-2"/>
                <w:sz w:val="18"/>
              </w:rPr>
              <w:t>Constraint level</w:t>
            </w:r>
          </w:p>
        </w:tc>
        <w:tc>
          <w:tcPr>
            <w:tcW w:w="1048" w:type="pct"/>
            <w:tcBorders>
              <w:bottom w:val="single" w:sz="4" w:space="0" w:color="000000"/>
            </w:tcBorders>
            <w:shd w:val="clear" w:color="auto" w:fill="D6D7D5"/>
            <w:vAlign w:val="center"/>
          </w:tcPr>
          <w:p w14:paraId="4E5135B7" w14:textId="77777777" w:rsidR="00725977" w:rsidRPr="00D4309F" w:rsidRDefault="00725977" w:rsidP="00E46799">
            <w:pPr>
              <w:pStyle w:val="TableParagraph"/>
              <w:ind w:left="163"/>
              <w:rPr>
                <w:b/>
                <w:sz w:val="18"/>
              </w:rPr>
            </w:pPr>
            <w:r w:rsidRPr="00D4309F">
              <w:rPr>
                <w:b/>
                <w:color w:val="70004A"/>
                <w:spacing w:val="-2"/>
                <w:sz w:val="18"/>
              </w:rPr>
              <w:t>Justification</w:t>
            </w:r>
          </w:p>
        </w:tc>
        <w:tc>
          <w:tcPr>
            <w:tcW w:w="677" w:type="pct"/>
            <w:tcBorders>
              <w:bottom w:val="single" w:sz="4" w:space="0" w:color="000000"/>
            </w:tcBorders>
            <w:shd w:val="clear" w:color="auto" w:fill="D6D7D5"/>
            <w:vAlign w:val="center"/>
          </w:tcPr>
          <w:p w14:paraId="1C868BE5" w14:textId="77777777" w:rsidR="00725977" w:rsidRPr="00D4309F" w:rsidRDefault="00725977" w:rsidP="00E46799">
            <w:pPr>
              <w:pStyle w:val="TableParagraph"/>
              <w:spacing w:before="143"/>
              <w:ind w:left="211" w:right="220"/>
              <w:rPr>
                <w:b/>
                <w:sz w:val="18"/>
              </w:rPr>
            </w:pPr>
            <w:r w:rsidRPr="00D4309F">
              <w:rPr>
                <w:b/>
                <w:color w:val="70004A"/>
                <w:sz w:val="18"/>
              </w:rPr>
              <w:t>Further</w:t>
            </w:r>
            <w:r w:rsidRPr="00D4309F">
              <w:rPr>
                <w:b/>
                <w:color w:val="70004A"/>
                <w:spacing w:val="-13"/>
                <w:sz w:val="18"/>
              </w:rPr>
              <w:t xml:space="preserve"> </w:t>
            </w:r>
            <w:r w:rsidRPr="00D4309F">
              <w:rPr>
                <w:b/>
                <w:color w:val="70004A"/>
                <w:sz w:val="18"/>
              </w:rPr>
              <w:t xml:space="preserve">assessment </w:t>
            </w:r>
            <w:r w:rsidRPr="00D4309F">
              <w:rPr>
                <w:b/>
                <w:color w:val="70004A"/>
                <w:spacing w:val="-2"/>
                <w:sz w:val="18"/>
              </w:rPr>
              <w:t>recommendations</w:t>
            </w:r>
          </w:p>
        </w:tc>
        <w:tc>
          <w:tcPr>
            <w:tcW w:w="746" w:type="pct"/>
            <w:tcBorders>
              <w:bottom w:val="single" w:sz="4" w:space="0" w:color="000000"/>
            </w:tcBorders>
            <w:shd w:val="clear" w:color="auto" w:fill="D6D7D5"/>
            <w:vAlign w:val="center"/>
          </w:tcPr>
          <w:p w14:paraId="70B17E92" w14:textId="77777777" w:rsidR="00725977" w:rsidRPr="00D4309F" w:rsidRDefault="00725977" w:rsidP="00E46799">
            <w:pPr>
              <w:pStyle w:val="TableParagraph"/>
              <w:spacing w:before="40"/>
              <w:ind w:left="230" w:right="377"/>
              <w:rPr>
                <w:b/>
                <w:sz w:val="18"/>
              </w:rPr>
            </w:pPr>
            <w:r w:rsidRPr="00D4309F">
              <w:rPr>
                <w:b/>
                <w:color w:val="70004A"/>
                <w:sz w:val="18"/>
              </w:rPr>
              <w:t>Potential</w:t>
            </w:r>
            <w:r w:rsidRPr="00D4309F">
              <w:rPr>
                <w:b/>
                <w:color w:val="70004A"/>
                <w:spacing w:val="-13"/>
                <w:sz w:val="18"/>
              </w:rPr>
              <w:t xml:space="preserve"> </w:t>
            </w:r>
            <w:r w:rsidRPr="00D4309F">
              <w:rPr>
                <w:b/>
                <w:color w:val="70004A"/>
                <w:sz w:val="18"/>
              </w:rPr>
              <w:t xml:space="preserve">monitoring and management </w:t>
            </w:r>
            <w:r w:rsidRPr="00D4309F">
              <w:rPr>
                <w:b/>
                <w:color w:val="70004A"/>
                <w:spacing w:val="-2"/>
                <w:sz w:val="18"/>
              </w:rPr>
              <w:t>requirements</w:t>
            </w:r>
          </w:p>
        </w:tc>
      </w:tr>
      <w:tr w:rsidR="002A7828" w:rsidRPr="00D4309F" w14:paraId="246E37DC" w14:textId="77777777" w:rsidTr="007E44C8">
        <w:trPr>
          <w:cantSplit/>
          <w:trHeight w:val="20"/>
        </w:trPr>
        <w:tc>
          <w:tcPr>
            <w:tcW w:w="479" w:type="pct"/>
            <w:tcBorders>
              <w:top w:val="single" w:sz="4" w:space="0" w:color="000000"/>
              <w:bottom w:val="single" w:sz="4" w:space="0" w:color="000000"/>
            </w:tcBorders>
            <w:vAlign w:val="center"/>
          </w:tcPr>
          <w:p w14:paraId="430D4915" w14:textId="77777777" w:rsidR="00725977" w:rsidRPr="00D4309F" w:rsidRDefault="00725977" w:rsidP="007E44C8">
            <w:pPr>
              <w:pStyle w:val="Table-Text"/>
            </w:pPr>
            <w:r w:rsidRPr="00D4309F">
              <w:t>Marine environmental quality</w:t>
            </w:r>
          </w:p>
        </w:tc>
        <w:tc>
          <w:tcPr>
            <w:tcW w:w="503" w:type="pct"/>
            <w:tcBorders>
              <w:top w:val="single" w:sz="4" w:space="0" w:color="000000"/>
              <w:bottom w:val="single" w:sz="4" w:space="0" w:color="000000"/>
            </w:tcBorders>
            <w:vAlign w:val="center"/>
          </w:tcPr>
          <w:p w14:paraId="2654F06F" w14:textId="41C8CC36" w:rsidR="00205A75" w:rsidRPr="00205A75" w:rsidRDefault="00725977" w:rsidP="00877ED9">
            <w:pPr>
              <w:pStyle w:val="Table-Text"/>
            </w:pPr>
            <w:r w:rsidRPr="00D4309F">
              <w:t>Water quality</w:t>
            </w:r>
          </w:p>
        </w:tc>
        <w:tc>
          <w:tcPr>
            <w:tcW w:w="1072" w:type="pct"/>
            <w:tcBorders>
              <w:top w:val="single" w:sz="4" w:space="0" w:color="000000"/>
              <w:bottom w:val="single" w:sz="4" w:space="0" w:color="000000"/>
            </w:tcBorders>
            <w:vAlign w:val="center"/>
          </w:tcPr>
          <w:p w14:paraId="29DA9D82" w14:textId="77777777" w:rsidR="00725977" w:rsidRPr="00D4309F" w:rsidRDefault="00725977" w:rsidP="007E44C8">
            <w:pPr>
              <w:pStyle w:val="Table-Bullet"/>
            </w:pPr>
            <w:r w:rsidRPr="00D4309F">
              <w:t>Generation</w:t>
            </w:r>
            <w:r w:rsidRPr="00D4309F">
              <w:rPr>
                <w:spacing w:val="-4"/>
              </w:rPr>
              <w:t xml:space="preserve"> </w:t>
            </w:r>
            <w:r w:rsidRPr="00D4309F">
              <w:t>of</w:t>
            </w:r>
            <w:r w:rsidRPr="00D4309F">
              <w:rPr>
                <w:spacing w:val="-3"/>
              </w:rPr>
              <w:t xml:space="preserve"> </w:t>
            </w:r>
            <w:r w:rsidRPr="00D4309F">
              <w:rPr>
                <w:spacing w:val="-2"/>
              </w:rPr>
              <w:t>turbidity</w:t>
            </w:r>
          </w:p>
        </w:tc>
        <w:tc>
          <w:tcPr>
            <w:tcW w:w="475" w:type="pct"/>
            <w:tcBorders>
              <w:top w:val="single" w:sz="4" w:space="0" w:color="000000"/>
              <w:bottom w:val="single" w:sz="4" w:space="0" w:color="000000"/>
            </w:tcBorders>
            <w:shd w:val="clear" w:color="auto" w:fill="FFC000"/>
            <w:vAlign w:val="center"/>
          </w:tcPr>
          <w:p w14:paraId="6E33CC29" w14:textId="77777777" w:rsidR="00725977" w:rsidRPr="00D4309F" w:rsidRDefault="00725977" w:rsidP="00E46799">
            <w:pPr>
              <w:pStyle w:val="TableParagraph"/>
              <w:spacing w:before="1"/>
              <w:ind w:left="171" w:right="171"/>
              <w:rPr>
                <w:b/>
                <w:sz w:val="18"/>
              </w:rPr>
            </w:pPr>
            <w:r w:rsidRPr="00D4309F">
              <w:rPr>
                <w:b/>
                <w:color w:val="211E1F"/>
                <w:sz w:val="18"/>
              </w:rPr>
              <w:t>High</w:t>
            </w:r>
            <w:r w:rsidRPr="00D4309F">
              <w:rPr>
                <w:b/>
                <w:color w:val="211E1F"/>
                <w:spacing w:val="-13"/>
                <w:sz w:val="18"/>
              </w:rPr>
              <w:t xml:space="preserve"> </w:t>
            </w:r>
            <w:r w:rsidRPr="00D4309F">
              <w:rPr>
                <w:b/>
                <w:color w:val="211E1F"/>
                <w:sz w:val="18"/>
              </w:rPr>
              <w:t xml:space="preserve">(for </w:t>
            </w:r>
            <w:r w:rsidRPr="00D4309F">
              <w:rPr>
                <w:b/>
                <w:color w:val="211E1F"/>
                <w:spacing w:val="-4"/>
                <w:sz w:val="18"/>
              </w:rPr>
              <w:t xml:space="preserve">rock </w:t>
            </w:r>
            <w:r w:rsidRPr="00D4309F">
              <w:rPr>
                <w:b/>
                <w:color w:val="211E1F"/>
                <w:spacing w:val="-2"/>
                <w:sz w:val="18"/>
              </w:rPr>
              <w:t>cutting)</w:t>
            </w:r>
          </w:p>
        </w:tc>
        <w:tc>
          <w:tcPr>
            <w:tcW w:w="1048" w:type="pct"/>
            <w:tcBorders>
              <w:top w:val="single" w:sz="4" w:space="0" w:color="000000"/>
              <w:bottom w:val="single" w:sz="4" w:space="0" w:color="000000"/>
            </w:tcBorders>
            <w:vAlign w:val="center"/>
          </w:tcPr>
          <w:p w14:paraId="542C32A3" w14:textId="77777777" w:rsidR="00725977" w:rsidRPr="00D4309F" w:rsidRDefault="00725977" w:rsidP="007E44C8">
            <w:pPr>
              <w:pStyle w:val="Table-Bullet"/>
            </w:pPr>
            <w:r w:rsidRPr="00D4309F">
              <w:t>An assessment of the predicted plume</w:t>
            </w:r>
            <w:r w:rsidRPr="00D4309F">
              <w:rPr>
                <w:spacing w:val="-7"/>
              </w:rPr>
              <w:t xml:space="preserve"> </w:t>
            </w:r>
            <w:r w:rsidRPr="00D4309F">
              <w:t>extent</w:t>
            </w:r>
            <w:r w:rsidRPr="00D4309F">
              <w:rPr>
                <w:spacing w:val="-6"/>
              </w:rPr>
              <w:t xml:space="preserve"> </w:t>
            </w:r>
            <w:r w:rsidRPr="00D4309F">
              <w:t>will</w:t>
            </w:r>
            <w:r w:rsidRPr="00D4309F">
              <w:rPr>
                <w:spacing w:val="-6"/>
              </w:rPr>
              <w:t xml:space="preserve"> </w:t>
            </w:r>
            <w:r w:rsidRPr="00D4309F">
              <w:t>inform</w:t>
            </w:r>
            <w:r w:rsidRPr="00D4309F">
              <w:rPr>
                <w:spacing w:val="-6"/>
              </w:rPr>
              <w:t xml:space="preserve"> </w:t>
            </w:r>
            <w:r w:rsidRPr="00D4309F">
              <w:t>the</w:t>
            </w:r>
            <w:r w:rsidRPr="00D4309F">
              <w:rPr>
                <w:spacing w:val="-7"/>
              </w:rPr>
              <w:t xml:space="preserve"> </w:t>
            </w:r>
            <w:r w:rsidRPr="00D4309F">
              <w:t>extent</w:t>
            </w:r>
            <w:r w:rsidRPr="00D4309F">
              <w:rPr>
                <w:spacing w:val="-6"/>
              </w:rPr>
              <w:t xml:space="preserve"> </w:t>
            </w:r>
            <w:r w:rsidRPr="00D4309F">
              <w:t>of turbidity related impacts however as this is a dynamic, open ocean environment, any plume will likely dissipate quickly</w:t>
            </w:r>
          </w:p>
          <w:p w14:paraId="3E9F66DD" w14:textId="77777777" w:rsidR="00725977" w:rsidRPr="00D4309F" w:rsidRDefault="00725977" w:rsidP="007E44C8">
            <w:pPr>
              <w:pStyle w:val="Table-Bullet"/>
            </w:pPr>
            <w:r w:rsidRPr="00D4309F">
              <w:t>Turbidity is likely to be more extensive</w:t>
            </w:r>
            <w:r w:rsidRPr="00D4309F">
              <w:rPr>
                <w:spacing w:val="-11"/>
              </w:rPr>
              <w:t xml:space="preserve"> </w:t>
            </w:r>
            <w:r w:rsidRPr="00D4309F">
              <w:t>and</w:t>
            </w:r>
            <w:r w:rsidRPr="00D4309F">
              <w:rPr>
                <w:spacing w:val="-11"/>
              </w:rPr>
              <w:t xml:space="preserve"> </w:t>
            </w:r>
            <w:r w:rsidRPr="00D4309F">
              <w:t>persistent</w:t>
            </w:r>
            <w:r w:rsidRPr="00D4309F">
              <w:rPr>
                <w:spacing w:val="-10"/>
              </w:rPr>
              <w:t xml:space="preserve"> </w:t>
            </w:r>
            <w:r w:rsidRPr="00D4309F">
              <w:t>during</w:t>
            </w:r>
            <w:r w:rsidRPr="00D4309F">
              <w:rPr>
                <w:spacing w:val="-11"/>
              </w:rPr>
              <w:t xml:space="preserve"> </w:t>
            </w:r>
            <w:r w:rsidRPr="00D4309F">
              <w:t>rock cutting works</w:t>
            </w:r>
          </w:p>
        </w:tc>
        <w:tc>
          <w:tcPr>
            <w:tcW w:w="677" w:type="pct"/>
            <w:tcBorders>
              <w:top w:val="single" w:sz="4" w:space="0" w:color="000000"/>
              <w:bottom w:val="single" w:sz="4" w:space="0" w:color="000000"/>
            </w:tcBorders>
            <w:vAlign w:val="center"/>
          </w:tcPr>
          <w:p w14:paraId="5D2E5BB0" w14:textId="77777777" w:rsidR="00725977" w:rsidRPr="00D4309F" w:rsidRDefault="00725977" w:rsidP="007E44C8">
            <w:pPr>
              <w:pStyle w:val="Table-Bullet"/>
            </w:pPr>
            <w:r w:rsidRPr="00D4309F">
              <w:t>Turbidity</w:t>
            </w:r>
            <w:r w:rsidRPr="00D4309F">
              <w:rPr>
                <w:spacing w:val="-5"/>
              </w:rPr>
              <w:t xml:space="preserve"> </w:t>
            </w:r>
            <w:r w:rsidRPr="00D4309F">
              <w:rPr>
                <w:spacing w:val="-2"/>
              </w:rPr>
              <w:t>modelling</w:t>
            </w:r>
          </w:p>
        </w:tc>
        <w:tc>
          <w:tcPr>
            <w:tcW w:w="746" w:type="pct"/>
            <w:tcBorders>
              <w:top w:val="single" w:sz="4" w:space="0" w:color="000000"/>
              <w:bottom w:val="single" w:sz="4" w:space="0" w:color="000000"/>
            </w:tcBorders>
            <w:vAlign w:val="center"/>
          </w:tcPr>
          <w:p w14:paraId="1593E804" w14:textId="77777777" w:rsidR="00725977" w:rsidRPr="00D4309F" w:rsidRDefault="00725977" w:rsidP="007E44C8">
            <w:pPr>
              <w:pStyle w:val="Table-Bullet"/>
            </w:pPr>
            <w:r w:rsidRPr="00D4309F">
              <w:t>Turbidity</w:t>
            </w:r>
            <w:r w:rsidRPr="00D4309F">
              <w:rPr>
                <w:spacing w:val="-13"/>
              </w:rPr>
              <w:t xml:space="preserve"> </w:t>
            </w:r>
            <w:r w:rsidRPr="00D4309F">
              <w:t>monitoring during works</w:t>
            </w:r>
          </w:p>
          <w:p w14:paraId="663899B9" w14:textId="77777777" w:rsidR="00725977" w:rsidRPr="00D4309F" w:rsidRDefault="00725977" w:rsidP="007E44C8">
            <w:pPr>
              <w:pStyle w:val="Table-Bullet"/>
            </w:pPr>
            <w:r w:rsidRPr="00D4309F">
              <w:t xml:space="preserve">Standard turbidity </w:t>
            </w:r>
            <w:r w:rsidRPr="00D4309F">
              <w:rPr>
                <w:spacing w:val="-2"/>
              </w:rPr>
              <w:t xml:space="preserve">mitigation </w:t>
            </w:r>
            <w:r w:rsidRPr="00D4309F">
              <w:t>procedures</w:t>
            </w:r>
            <w:r w:rsidRPr="00D4309F">
              <w:rPr>
                <w:spacing w:val="-15"/>
              </w:rPr>
              <w:t xml:space="preserve"> </w:t>
            </w:r>
            <w:r w:rsidRPr="00D4309F">
              <w:t>e.g.</w:t>
            </w:r>
            <w:r w:rsidRPr="00D4309F">
              <w:rPr>
                <w:spacing w:val="-12"/>
              </w:rPr>
              <w:t xml:space="preserve"> </w:t>
            </w:r>
            <w:r w:rsidRPr="00D4309F">
              <w:t>silt curtains,</w:t>
            </w:r>
            <w:r w:rsidRPr="00D4309F">
              <w:rPr>
                <w:spacing w:val="-15"/>
              </w:rPr>
              <w:t xml:space="preserve"> </w:t>
            </w:r>
            <w:r w:rsidRPr="00D4309F">
              <w:t>staging</w:t>
            </w:r>
            <w:r w:rsidRPr="00D4309F">
              <w:rPr>
                <w:spacing w:val="-12"/>
              </w:rPr>
              <w:t xml:space="preserve"> </w:t>
            </w:r>
            <w:r w:rsidRPr="00D4309F">
              <w:t xml:space="preserve">of </w:t>
            </w:r>
            <w:r w:rsidRPr="00D4309F">
              <w:rPr>
                <w:spacing w:val="-2"/>
              </w:rPr>
              <w:t>works</w:t>
            </w:r>
          </w:p>
        </w:tc>
      </w:tr>
      <w:tr w:rsidR="002A7828" w:rsidRPr="00D4309F" w14:paraId="1F91BD6C" w14:textId="77777777" w:rsidTr="007E44C8">
        <w:trPr>
          <w:cantSplit/>
          <w:trHeight w:val="20"/>
        </w:trPr>
        <w:tc>
          <w:tcPr>
            <w:tcW w:w="479" w:type="pct"/>
            <w:tcBorders>
              <w:top w:val="single" w:sz="4" w:space="0" w:color="000000"/>
              <w:bottom w:val="single" w:sz="4" w:space="0" w:color="000000"/>
            </w:tcBorders>
            <w:vAlign w:val="center"/>
          </w:tcPr>
          <w:p w14:paraId="44E0213A" w14:textId="77777777" w:rsidR="00725977" w:rsidRPr="00D4309F" w:rsidRDefault="00725977" w:rsidP="007E44C8">
            <w:pPr>
              <w:pStyle w:val="Table-Text"/>
            </w:pPr>
            <w:r w:rsidRPr="00D4309F">
              <w:t>Marine environmental quality</w:t>
            </w:r>
          </w:p>
        </w:tc>
        <w:tc>
          <w:tcPr>
            <w:tcW w:w="503" w:type="pct"/>
            <w:tcBorders>
              <w:top w:val="single" w:sz="4" w:space="0" w:color="000000"/>
              <w:bottom w:val="single" w:sz="4" w:space="0" w:color="000000"/>
            </w:tcBorders>
            <w:vAlign w:val="center"/>
          </w:tcPr>
          <w:p w14:paraId="4E71575A" w14:textId="49D28CA1" w:rsidR="00205A75" w:rsidRPr="00205A75" w:rsidRDefault="00725977" w:rsidP="00877ED9">
            <w:pPr>
              <w:pStyle w:val="Table-Text"/>
            </w:pPr>
            <w:r w:rsidRPr="00D4309F">
              <w:t>Water quality</w:t>
            </w:r>
          </w:p>
        </w:tc>
        <w:tc>
          <w:tcPr>
            <w:tcW w:w="1072" w:type="pct"/>
            <w:tcBorders>
              <w:top w:val="single" w:sz="4" w:space="0" w:color="000000"/>
              <w:bottom w:val="single" w:sz="4" w:space="0" w:color="000000"/>
            </w:tcBorders>
            <w:vAlign w:val="center"/>
          </w:tcPr>
          <w:p w14:paraId="2540B12B" w14:textId="77777777" w:rsidR="00725977" w:rsidRPr="00D4309F" w:rsidRDefault="00725977" w:rsidP="007E44C8">
            <w:pPr>
              <w:pStyle w:val="Table-Bullet"/>
            </w:pPr>
            <w:r w:rsidRPr="00D4309F">
              <w:t>Release</w:t>
            </w:r>
            <w:r w:rsidRPr="00D4309F">
              <w:rPr>
                <w:spacing w:val="-4"/>
              </w:rPr>
              <w:t xml:space="preserve"> </w:t>
            </w:r>
            <w:r w:rsidRPr="00D4309F">
              <w:t>of</w:t>
            </w:r>
            <w:r w:rsidRPr="00D4309F">
              <w:rPr>
                <w:spacing w:val="-2"/>
              </w:rPr>
              <w:t xml:space="preserve"> contaminants/hypoxia</w:t>
            </w:r>
          </w:p>
        </w:tc>
        <w:tc>
          <w:tcPr>
            <w:tcW w:w="475" w:type="pct"/>
            <w:tcBorders>
              <w:top w:val="single" w:sz="4" w:space="0" w:color="000000"/>
              <w:bottom w:val="single" w:sz="4" w:space="0" w:color="000000"/>
            </w:tcBorders>
            <w:shd w:val="clear" w:color="auto" w:fill="92D050"/>
            <w:vAlign w:val="center"/>
          </w:tcPr>
          <w:p w14:paraId="0847780F" w14:textId="77777777" w:rsidR="00725977" w:rsidRPr="00D4309F" w:rsidRDefault="00725977" w:rsidP="00E46799">
            <w:pPr>
              <w:pStyle w:val="TableParagraph"/>
              <w:ind w:left="171" w:right="171"/>
              <w:rPr>
                <w:b/>
                <w:sz w:val="18"/>
              </w:rPr>
            </w:pPr>
            <w:r w:rsidRPr="00D4309F">
              <w:rPr>
                <w:b/>
                <w:color w:val="211E1F"/>
                <w:spacing w:val="-5"/>
                <w:sz w:val="18"/>
              </w:rPr>
              <w:t>Low</w:t>
            </w:r>
          </w:p>
        </w:tc>
        <w:tc>
          <w:tcPr>
            <w:tcW w:w="1048" w:type="pct"/>
            <w:tcBorders>
              <w:top w:val="single" w:sz="4" w:space="0" w:color="000000"/>
              <w:bottom w:val="single" w:sz="4" w:space="0" w:color="000000"/>
            </w:tcBorders>
            <w:vAlign w:val="center"/>
          </w:tcPr>
          <w:p w14:paraId="38D58708" w14:textId="77777777" w:rsidR="00725977" w:rsidRPr="00D4309F" w:rsidRDefault="00725977" w:rsidP="007E44C8">
            <w:pPr>
              <w:pStyle w:val="Table-Bullet"/>
            </w:pPr>
            <w:r w:rsidRPr="00D4309F">
              <w:t>Dredge sediments likely comprise clean marine sand free of contaminants</w:t>
            </w:r>
            <w:r w:rsidRPr="00D4309F">
              <w:rPr>
                <w:spacing w:val="-9"/>
              </w:rPr>
              <w:t xml:space="preserve"> </w:t>
            </w:r>
            <w:r w:rsidRPr="00D4309F">
              <w:t>with</w:t>
            </w:r>
            <w:r w:rsidRPr="00D4309F">
              <w:rPr>
                <w:spacing w:val="-11"/>
              </w:rPr>
              <w:t xml:space="preserve"> </w:t>
            </w:r>
            <w:r w:rsidRPr="00D4309F">
              <w:t>low</w:t>
            </w:r>
            <w:r w:rsidRPr="00D4309F">
              <w:rPr>
                <w:spacing w:val="-9"/>
              </w:rPr>
              <w:t xml:space="preserve"> </w:t>
            </w:r>
            <w:r w:rsidRPr="00D4309F">
              <w:t>organic</w:t>
            </w:r>
            <w:r w:rsidRPr="00D4309F">
              <w:rPr>
                <w:spacing w:val="-10"/>
              </w:rPr>
              <w:t xml:space="preserve"> </w:t>
            </w:r>
            <w:r w:rsidRPr="00D4309F">
              <w:t xml:space="preserve">matter </w:t>
            </w:r>
            <w:r w:rsidRPr="00D4309F">
              <w:rPr>
                <w:spacing w:val="-2"/>
              </w:rPr>
              <w:t>content</w:t>
            </w:r>
          </w:p>
          <w:p w14:paraId="72A9FE7E" w14:textId="77777777" w:rsidR="00725977" w:rsidRPr="00D4309F" w:rsidRDefault="00725977" w:rsidP="007E44C8">
            <w:pPr>
              <w:pStyle w:val="Table-Bullet"/>
            </w:pPr>
            <w:r w:rsidRPr="00D4309F">
              <w:t>Rock</w:t>
            </w:r>
            <w:r w:rsidRPr="00D4309F">
              <w:rPr>
                <w:spacing w:val="-2"/>
              </w:rPr>
              <w:t xml:space="preserve"> </w:t>
            </w:r>
            <w:r w:rsidRPr="00D4309F">
              <w:t>is</w:t>
            </w:r>
            <w:r w:rsidRPr="00D4309F">
              <w:rPr>
                <w:spacing w:val="-1"/>
              </w:rPr>
              <w:t xml:space="preserve"> </w:t>
            </w:r>
            <w:r w:rsidRPr="00D4309F">
              <w:t>likely</w:t>
            </w:r>
            <w:r w:rsidRPr="00D4309F">
              <w:rPr>
                <w:spacing w:val="-2"/>
              </w:rPr>
              <w:t xml:space="preserve"> </w:t>
            </w:r>
            <w:r w:rsidRPr="00D4309F">
              <w:t>to</w:t>
            </w:r>
            <w:r w:rsidRPr="00D4309F">
              <w:rPr>
                <w:spacing w:val="-2"/>
              </w:rPr>
              <w:t xml:space="preserve"> </w:t>
            </w:r>
            <w:r w:rsidRPr="00D4309F">
              <w:t>be</w:t>
            </w:r>
            <w:r w:rsidRPr="00D4309F">
              <w:rPr>
                <w:spacing w:val="-2"/>
              </w:rPr>
              <w:t xml:space="preserve"> uncontaminated</w:t>
            </w:r>
          </w:p>
        </w:tc>
        <w:tc>
          <w:tcPr>
            <w:tcW w:w="677" w:type="pct"/>
            <w:tcBorders>
              <w:top w:val="single" w:sz="4" w:space="0" w:color="000000"/>
              <w:bottom w:val="single" w:sz="4" w:space="0" w:color="000000"/>
            </w:tcBorders>
            <w:vAlign w:val="center"/>
          </w:tcPr>
          <w:p w14:paraId="38B8CFC3" w14:textId="77777777" w:rsidR="00725977" w:rsidRPr="00D4309F" w:rsidRDefault="00725977" w:rsidP="007E44C8">
            <w:pPr>
              <w:pStyle w:val="Table-Bullet"/>
            </w:pPr>
            <w:r w:rsidRPr="00D4309F">
              <w:t>Assumption that suitable</w:t>
            </w:r>
            <w:r w:rsidRPr="00D4309F">
              <w:rPr>
                <w:spacing w:val="-15"/>
              </w:rPr>
              <w:t xml:space="preserve"> </w:t>
            </w:r>
            <w:r w:rsidRPr="00D4309F">
              <w:t>data</w:t>
            </w:r>
            <w:r w:rsidRPr="00D4309F">
              <w:rPr>
                <w:spacing w:val="-12"/>
              </w:rPr>
              <w:t xml:space="preserve"> </w:t>
            </w:r>
            <w:r w:rsidRPr="00D4309F">
              <w:t>exists to inform this risk</w:t>
            </w:r>
          </w:p>
        </w:tc>
        <w:tc>
          <w:tcPr>
            <w:tcW w:w="746" w:type="pct"/>
            <w:tcBorders>
              <w:top w:val="single" w:sz="4" w:space="0" w:color="000000"/>
              <w:bottom w:val="single" w:sz="4" w:space="0" w:color="000000"/>
            </w:tcBorders>
            <w:vAlign w:val="center"/>
          </w:tcPr>
          <w:p w14:paraId="340ADB74" w14:textId="77777777" w:rsidR="00725977" w:rsidRPr="00D4309F" w:rsidRDefault="00725977" w:rsidP="007E44C8">
            <w:pPr>
              <w:pStyle w:val="Table-Bullet"/>
            </w:pPr>
            <w:r w:rsidRPr="00D4309F">
              <w:rPr>
                <w:spacing w:val="-4"/>
              </w:rPr>
              <w:t>None</w:t>
            </w:r>
          </w:p>
        </w:tc>
      </w:tr>
      <w:tr w:rsidR="002A7828" w:rsidRPr="00D4309F" w14:paraId="40CC5C34" w14:textId="77777777" w:rsidTr="007E44C8">
        <w:trPr>
          <w:cantSplit/>
          <w:trHeight w:val="20"/>
        </w:trPr>
        <w:tc>
          <w:tcPr>
            <w:tcW w:w="479" w:type="pct"/>
            <w:tcBorders>
              <w:top w:val="single" w:sz="4" w:space="0" w:color="000000"/>
              <w:bottom w:val="single" w:sz="4" w:space="0" w:color="000000"/>
            </w:tcBorders>
            <w:vAlign w:val="center"/>
          </w:tcPr>
          <w:p w14:paraId="351C8844" w14:textId="77777777" w:rsidR="00725977" w:rsidRPr="00D4309F" w:rsidRDefault="00725977" w:rsidP="007E44C8">
            <w:pPr>
              <w:pStyle w:val="Table-Text"/>
            </w:pPr>
            <w:r w:rsidRPr="00D4309F">
              <w:lastRenderedPageBreak/>
              <w:t>Marine environmental quality</w:t>
            </w:r>
          </w:p>
        </w:tc>
        <w:tc>
          <w:tcPr>
            <w:tcW w:w="503" w:type="pct"/>
            <w:tcBorders>
              <w:top w:val="single" w:sz="4" w:space="0" w:color="000000"/>
              <w:bottom w:val="single" w:sz="4" w:space="0" w:color="000000"/>
            </w:tcBorders>
            <w:vAlign w:val="center"/>
          </w:tcPr>
          <w:p w14:paraId="22A45CBD" w14:textId="77777777" w:rsidR="00725977" w:rsidRPr="00D4309F" w:rsidRDefault="00725977" w:rsidP="007E44C8">
            <w:pPr>
              <w:pStyle w:val="Table-Text"/>
            </w:pPr>
            <w:r w:rsidRPr="00D4309F">
              <w:t>Water quality</w:t>
            </w:r>
          </w:p>
        </w:tc>
        <w:tc>
          <w:tcPr>
            <w:tcW w:w="1072" w:type="pct"/>
            <w:tcBorders>
              <w:top w:val="single" w:sz="4" w:space="0" w:color="000000"/>
              <w:bottom w:val="single" w:sz="4" w:space="0" w:color="000000"/>
            </w:tcBorders>
            <w:vAlign w:val="center"/>
          </w:tcPr>
          <w:p w14:paraId="442DBCD4" w14:textId="77777777" w:rsidR="00725977" w:rsidRPr="00D4309F" w:rsidRDefault="00725977" w:rsidP="007E44C8">
            <w:pPr>
              <w:pStyle w:val="Table-Bullet"/>
            </w:pPr>
            <w:r w:rsidRPr="00D4309F">
              <w:t>Hydrocarbon</w:t>
            </w:r>
            <w:r w:rsidRPr="00D4309F">
              <w:rPr>
                <w:spacing w:val="-5"/>
              </w:rPr>
              <w:t xml:space="preserve"> </w:t>
            </w:r>
            <w:r w:rsidRPr="00D4309F">
              <w:rPr>
                <w:spacing w:val="-2"/>
              </w:rPr>
              <w:t>spills/waste</w:t>
            </w:r>
          </w:p>
        </w:tc>
        <w:tc>
          <w:tcPr>
            <w:tcW w:w="475" w:type="pct"/>
            <w:tcBorders>
              <w:top w:val="single" w:sz="4" w:space="0" w:color="000000"/>
              <w:bottom w:val="single" w:sz="4" w:space="0" w:color="000000"/>
            </w:tcBorders>
            <w:shd w:val="clear" w:color="auto" w:fill="92D050"/>
            <w:vAlign w:val="center"/>
          </w:tcPr>
          <w:p w14:paraId="28B6EECD" w14:textId="77777777" w:rsidR="00725977" w:rsidRPr="00D4309F" w:rsidRDefault="00725977" w:rsidP="00E46799">
            <w:pPr>
              <w:pStyle w:val="TableParagraph"/>
              <w:ind w:left="171" w:right="171"/>
              <w:rPr>
                <w:b/>
                <w:sz w:val="18"/>
              </w:rPr>
            </w:pPr>
            <w:r w:rsidRPr="00D4309F">
              <w:rPr>
                <w:b/>
                <w:color w:val="211E1F"/>
                <w:spacing w:val="-5"/>
                <w:sz w:val="18"/>
              </w:rPr>
              <w:t>Low</w:t>
            </w:r>
          </w:p>
        </w:tc>
        <w:tc>
          <w:tcPr>
            <w:tcW w:w="1048" w:type="pct"/>
            <w:tcBorders>
              <w:top w:val="single" w:sz="4" w:space="0" w:color="000000"/>
              <w:bottom w:val="single" w:sz="4" w:space="0" w:color="000000"/>
            </w:tcBorders>
            <w:vAlign w:val="center"/>
          </w:tcPr>
          <w:p w14:paraId="0CF405EB" w14:textId="77777777" w:rsidR="00725977" w:rsidRPr="00D4309F" w:rsidRDefault="00725977" w:rsidP="007E44C8">
            <w:pPr>
              <w:pStyle w:val="Table-Bullet"/>
            </w:pPr>
            <w:r w:rsidRPr="00D4309F">
              <w:t>Compliance with standard procedures</w:t>
            </w:r>
            <w:r w:rsidRPr="00D4309F">
              <w:rPr>
                <w:spacing w:val="-10"/>
              </w:rPr>
              <w:t xml:space="preserve"> </w:t>
            </w:r>
            <w:r w:rsidRPr="00D4309F">
              <w:t>will</w:t>
            </w:r>
            <w:r w:rsidRPr="00D4309F">
              <w:rPr>
                <w:spacing w:val="-9"/>
              </w:rPr>
              <w:t xml:space="preserve"> </w:t>
            </w:r>
            <w:r w:rsidRPr="00D4309F">
              <w:t>minimise</w:t>
            </w:r>
            <w:r w:rsidRPr="00D4309F">
              <w:rPr>
                <w:spacing w:val="-11"/>
              </w:rPr>
              <w:t xml:space="preserve"> </w:t>
            </w:r>
            <w:r w:rsidRPr="00D4309F">
              <w:t>this</w:t>
            </w:r>
            <w:r w:rsidRPr="00D4309F">
              <w:rPr>
                <w:spacing w:val="-10"/>
              </w:rPr>
              <w:t xml:space="preserve"> </w:t>
            </w:r>
            <w:r w:rsidRPr="00D4309F">
              <w:t>risk</w:t>
            </w:r>
          </w:p>
        </w:tc>
        <w:tc>
          <w:tcPr>
            <w:tcW w:w="677" w:type="pct"/>
            <w:tcBorders>
              <w:top w:val="single" w:sz="4" w:space="0" w:color="000000"/>
              <w:bottom w:val="single" w:sz="4" w:space="0" w:color="000000"/>
            </w:tcBorders>
            <w:vAlign w:val="center"/>
          </w:tcPr>
          <w:p w14:paraId="2674E730" w14:textId="77777777" w:rsidR="00725977" w:rsidRPr="00D4309F" w:rsidRDefault="00725977" w:rsidP="007E44C8">
            <w:pPr>
              <w:pStyle w:val="Table-Bullet"/>
            </w:pPr>
            <w:r w:rsidRPr="00D4309F">
              <w:rPr>
                <w:spacing w:val="-4"/>
              </w:rPr>
              <w:t>None</w:t>
            </w:r>
          </w:p>
        </w:tc>
        <w:tc>
          <w:tcPr>
            <w:tcW w:w="746" w:type="pct"/>
            <w:tcBorders>
              <w:top w:val="single" w:sz="4" w:space="0" w:color="000000"/>
              <w:bottom w:val="single" w:sz="4" w:space="0" w:color="000000"/>
            </w:tcBorders>
            <w:vAlign w:val="center"/>
          </w:tcPr>
          <w:p w14:paraId="6DD5DEAC" w14:textId="77777777" w:rsidR="00725977" w:rsidRPr="00D4309F" w:rsidRDefault="00725977" w:rsidP="007E44C8">
            <w:pPr>
              <w:pStyle w:val="Table-Bullet"/>
            </w:pPr>
            <w:r w:rsidRPr="00D4309F">
              <w:t>Standard</w:t>
            </w:r>
            <w:r w:rsidRPr="00D4309F">
              <w:rPr>
                <w:spacing w:val="-13"/>
              </w:rPr>
              <w:t xml:space="preserve"> </w:t>
            </w:r>
            <w:r w:rsidRPr="00D4309F">
              <w:t>oil</w:t>
            </w:r>
            <w:r w:rsidRPr="00D4309F">
              <w:rPr>
                <w:spacing w:val="-12"/>
              </w:rPr>
              <w:t xml:space="preserve"> </w:t>
            </w:r>
            <w:r w:rsidRPr="00D4309F">
              <w:t>spill</w:t>
            </w:r>
            <w:r w:rsidRPr="00D4309F">
              <w:rPr>
                <w:spacing w:val="-13"/>
              </w:rPr>
              <w:t xml:space="preserve"> </w:t>
            </w:r>
            <w:r w:rsidRPr="00D4309F">
              <w:t>and waste procedures</w:t>
            </w:r>
          </w:p>
        </w:tc>
      </w:tr>
      <w:tr w:rsidR="002A7828" w:rsidRPr="00D4309F" w14:paraId="5D9B97FB" w14:textId="77777777" w:rsidTr="007E44C8">
        <w:trPr>
          <w:cantSplit/>
          <w:trHeight w:val="20"/>
        </w:trPr>
        <w:tc>
          <w:tcPr>
            <w:tcW w:w="479" w:type="pct"/>
            <w:tcBorders>
              <w:top w:val="single" w:sz="4" w:space="0" w:color="000000"/>
              <w:bottom w:val="single" w:sz="4" w:space="0" w:color="000000"/>
            </w:tcBorders>
            <w:vAlign w:val="center"/>
          </w:tcPr>
          <w:p w14:paraId="70E0AB3D" w14:textId="7B4983B0" w:rsidR="00E46799" w:rsidRPr="00D4309F" w:rsidRDefault="00E46799" w:rsidP="007E44C8">
            <w:pPr>
              <w:pStyle w:val="Table-Text"/>
            </w:pPr>
            <w:r w:rsidRPr="00D4309F">
              <w:t>Marine environmental quality</w:t>
            </w:r>
          </w:p>
        </w:tc>
        <w:tc>
          <w:tcPr>
            <w:tcW w:w="503" w:type="pct"/>
            <w:tcBorders>
              <w:top w:val="single" w:sz="4" w:space="0" w:color="000000"/>
              <w:bottom w:val="single" w:sz="4" w:space="0" w:color="000000"/>
            </w:tcBorders>
            <w:vAlign w:val="center"/>
          </w:tcPr>
          <w:p w14:paraId="76163DBD" w14:textId="4E4DDEB6" w:rsidR="00E46799" w:rsidRPr="00D4309F" w:rsidRDefault="00E46799" w:rsidP="007E44C8">
            <w:pPr>
              <w:pStyle w:val="Table-Text"/>
            </w:pPr>
            <w:r w:rsidRPr="00D4309F">
              <w:t>Water quality</w:t>
            </w:r>
          </w:p>
        </w:tc>
        <w:tc>
          <w:tcPr>
            <w:tcW w:w="1072" w:type="pct"/>
            <w:tcBorders>
              <w:top w:val="single" w:sz="4" w:space="0" w:color="000000"/>
              <w:bottom w:val="single" w:sz="4" w:space="0" w:color="000000"/>
            </w:tcBorders>
            <w:vAlign w:val="center"/>
          </w:tcPr>
          <w:p w14:paraId="4E4B8228" w14:textId="1C65DBFD" w:rsidR="00E46799" w:rsidRPr="00D4309F" w:rsidRDefault="00E46799" w:rsidP="007E44C8">
            <w:pPr>
              <w:pStyle w:val="Table-Bullet"/>
            </w:pPr>
            <w:r w:rsidRPr="00D4309F">
              <w:t>Introduced</w:t>
            </w:r>
            <w:r w:rsidRPr="00D4309F">
              <w:rPr>
                <w:spacing w:val="-4"/>
              </w:rPr>
              <w:t xml:space="preserve"> </w:t>
            </w:r>
            <w:r w:rsidRPr="00D4309F">
              <w:t>marine</w:t>
            </w:r>
            <w:r w:rsidRPr="00D4309F">
              <w:rPr>
                <w:spacing w:val="-4"/>
              </w:rPr>
              <w:t xml:space="preserve"> </w:t>
            </w:r>
            <w:r w:rsidRPr="00D4309F">
              <w:rPr>
                <w:spacing w:val="-2"/>
              </w:rPr>
              <w:t>species</w:t>
            </w:r>
          </w:p>
        </w:tc>
        <w:tc>
          <w:tcPr>
            <w:tcW w:w="475" w:type="pct"/>
            <w:tcBorders>
              <w:top w:val="single" w:sz="4" w:space="0" w:color="000000"/>
              <w:bottom w:val="single" w:sz="4" w:space="0" w:color="000000"/>
            </w:tcBorders>
            <w:shd w:val="clear" w:color="auto" w:fill="92D050"/>
            <w:vAlign w:val="center"/>
          </w:tcPr>
          <w:p w14:paraId="41CD142B" w14:textId="0AB533A8" w:rsidR="00E46799" w:rsidRPr="00D4309F" w:rsidRDefault="00E46799" w:rsidP="00E46799">
            <w:pPr>
              <w:pStyle w:val="TableParagraph"/>
              <w:ind w:left="171" w:right="171"/>
              <w:rPr>
                <w:b/>
                <w:color w:val="211E1F"/>
                <w:spacing w:val="-5"/>
                <w:sz w:val="18"/>
              </w:rPr>
            </w:pPr>
            <w:r w:rsidRPr="00D4309F">
              <w:rPr>
                <w:b/>
                <w:color w:val="211E1F"/>
                <w:spacing w:val="-5"/>
                <w:sz w:val="18"/>
              </w:rPr>
              <w:t>Low</w:t>
            </w:r>
          </w:p>
        </w:tc>
        <w:tc>
          <w:tcPr>
            <w:tcW w:w="1048" w:type="pct"/>
            <w:tcBorders>
              <w:top w:val="single" w:sz="4" w:space="0" w:color="000000"/>
              <w:bottom w:val="single" w:sz="4" w:space="0" w:color="000000"/>
            </w:tcBorders>
            <w:vAlign w:val="center"/>
          </w:tcPr>
          <w:p w14:paraId="738B9514" w14:textId="648B7717" w:rsidR="00E46799" w:rsidRPr="00D4309F" w:rsidRDefault="00E46799" w:rsidP="007E44C8">
            <w:pPr>
              <w:pStyle w:val="Table-Bullet"/>
            </w:pPr>
            <w:r w:rsidRPr="00D4309F">
              <w:t>Compliance with standard procedures</w:t>
            </w:r>
            <w:r w:rsidRPr="00D4309F">
              <w:rPr>
                <w:spacing w:val="-10"/>
              </w:rPr>
              <w:t xml:space="preserve"> </w:t>
            </w:r>
            <w:r w:rsidRPr="00D4309F">
              <w:t>will</w:t>
            </w:r>
            <w:r w:rsidRPr="00D4309F">
              <w:rPr>
                <w:spacing w:val="-9"/>
              </w:rPr>
              <w:t xml:space="preserve"> </w:t>
            </w:r>
            <w:r w:rsidRPr="00D4309F">
              <w:t>minimise</w:t>
            </w:r>
            <w:r w:rsidRPr="00D4309F">
              <w:rPr>
                <w:spacing w:val="-11"/>
              </w:rPr>
              <w:t xml:space="preserve"> </w:t>
            </w:r>
            <w:r w:rsidRPr="00D4309F">
              <w:t>this</w:t>
            </w:r>
            <w:r w:rsidRPr="00D4309F">
              <w:rPr>
                <w:spacing w:val="-10"/>
              </w:rPr>
              <w:t xml:space="preserve"> </w:t>
            </w:r>
            <w:r w:rsidRPr="00D4309F">
              <w:t>risk</w:t>
            </w:r>
          </w:p>
        </w:tc>
        <w:tc>
          <w:tcPr>
            <w:tcW w:w="677" w:type="pct"/>
            <w:tcBorders>
              <w:top w:val="single" w:sz="4" w:space="0" w:color="000000"/>
              <w:bottom w:val="single" w:sz="4" w:space="0" w:color="000000"/>
            </w:tcBorders>
            <w:vAlign w:val="center"/>
          </w:tcPr>
          <w:p w14:paraId="4CE309D7" w14:textId="55649CFF" w:rsidR="00E46799" w:rsidRPr="00D4309F" w:rsidRDefault="00E46799" w:rsidP="007E44C8">
            <w:pPr>
              <w:pStyle w:val="Table-Bullet"/>
              <w:rPr>
                <w:spacing w:val="-4"/>
              </w:rPr>
            </w:pPr>
            <w:r w:rsidRPr="00D4309F">
              <w:rPr>
                <w:spacing w:val="-4"/>
              </w:rPr>
              <w:t>None</w:t>
            </w:r>
          </w:p>
        </w:tc>
        <w:tc>
          <w:tcPr>
            <w:tcW w:w="746" w:type="pct"/>
            <w:tcBorders>
              <w:top w:val="single" w:sz="4" w:space="0" w:color="000000"/>
              <w:bottom w:val="single" w:sz="4" w:space="0" w:color="000000"/>
            </w:tcBorders>
            <w:vAlign w:val="center"/>
          </w:tcPr>
          <w:p w14:paraId="3CFD5466" w14:textId="0FE7D535" w:rsidR="00E46799" w:rsidRPr="00D4309F" w:rsidRDefault="00E46799" w:rsidP="007E44C8">
            <w:pPr>
              <w:pStyle w:val="Table-Bullet"/>
            </w:pPr>
            <w:r w:rsidRPr="00D4309F">
              <w:t>Compliance with standard</w:t>
            </w:r>
            <w:r w:rsidRPr="00D4309F">
              <w:rPr>
                <w:spacing w:val="-15"/>
              </w:rPr>
              <w:t xml:space="preserve"> </w:t>
            </w:r>
            <w:r w:rsidRPr="00D4309F">
              <w:t>state</w:t>
            </w:r>
            <w:r w:rsidRPr="00D4309F">
              <w:rPr>
                <w:spacing w:val="-12"/>
              </w:rPr>
              <w:t xml:space="preserve"> </w:t>
            </w:r>
            <w:r w:rsidRPr="00D4309F">
              <w:t xml:space="preserve">and </w:t>
            </w:r>
            <w:r w:rsidRPr="00D4309F">
              <w:rPr>
                <w:spacing w:val="-2"/>
              </w:rPr>
              <w:t xml:space="preserve">commonwealth procedures </w:t>
            </w:r>
            <w:r w:rsidRPr="00D4309F">
              <w:t>regarding IMS</w:t>
            </w:r>
          </w:p>
        </w:tc>
      </w:tr>
      <w:tr w:rsidR="002A7828" w:rsidRPr="00D4309F" w14:paraId="6548AEB3" w14:textId="77777777" w:rsidTr="007E44C8">
        <w:trPr>
          <w:cantSplit/>
          <w:trHeight w:val="20"/>
        </w:trPr>
        <w:tc>
          <w:tcPr>
            <w:tcW w:w="479" w:type="pct"/>
            <w:tcBorders>
              <w:top w:val="single" w:sz="4" w:space="0" w:color="000000"/>
              <w:bottom w:val="single" w:sz="4" w:space="0" w:color="000000"/>
            </w:tcBorders>
            <w:vAlign w:val="center"/>
          </w:tcPr>
          <w:p w14:paraId="722650AC" w14:textId="495FD2C9" w:rsidR="00E46799" w:rsidRPr="00D4309F" w:rsidRDefault="00E46799" w:rsidP="007E44C8">
            <w:pPr>
              <w:pStyle w:val="Table-Text"/>
            </w:pPr>
            <w:r w:rsidRPr="00D4309F">
              <w:t>Marine</w:t>
            </w:r>
            <w:r w:rsidRPr="00D4309F">
              <w:rPr>
                <w:spacing w:val="-4"/>
              </w:rPr>
              <w:t xml:space="preserve"> </w:t>
            </w:r>
            <w:r w:rsidRPr="00D4309F">
              <w:t>fauna</w:t>
            </w:r>
          </w:p>
        </w:tc>
        <w:tc>
          <w:tcPr>
            <w:tcW w:w="503" w:type="pct"/>
            <w:tcBorders>
              <w:top w:val="single" w:sz="4" w:space="0" w:color="000000"/>
              <w:bottom w:val="single" w:sz="4" w:space="0" w:color="000000"/>
            </w:tcBorders>
            <w:vAlign w:val="center"/>
          </w:tcPr>
          <w:p w14:paraId="42F1D7E3" w14:textId="7C263F42" w:rsidR="00E46799" w:rsidRPr="00D4309F" w:rsidRDefault="00E46799" w:rsidP="007E44C8">
            <w:pPr>
              <w:pStyle w:val="Table-Text"/>
            </w:pPr>
            <w:r w:rsidRPr="00D4309F">
              <w:t>Turtles</w:t>
            </w:r>
          </w:p>
        </w:tc>
        <w:tc>
          <w:tcPr>
            <w:tcW w:w="1072" w:type="pct"/>
            <w:tcBorders>
              <w:top w:val="single" w:sz="4" w:space="0" w:color="000000"/>
              <w:bottom w:val="single" w:sz="4" w:space="0" w:color="000000"/>
            </w:tcBorders>
            <w:vAlign w:val="center"/>
          </w:tcPr>
          <w:p w14:paraId="6255C9CD" w14:textId="77777777" w:rsidR="00E46799" w:rsidRPr="00D4309F" w:rsidRDefault="00E46799" w:rsidP="007E44C8">
            <w:pPr>
              <w:pStyle w:val="Table-Bullet"/>
            </w:pPr>
            <w:r w:rsidRPr="00D4309F">
              <w:t>Behavioural response and interruption</w:t>
            </w:r>
            <w:r w:rsidRPr="00D4309F">
              <w:rPr>
                <w:spacing w:val="-13"/>
              </w:rPr>
              <w:t xml:space="preserve"> </w:t>
            </w:r>
            <w:r w:rsidRPr="00D4309F">
              <w:t>of</w:t>
            </w:r>
            <w:r w:rsidRPr="00D4309F">
              <w:rPr>
                <w:spacing w:val="-12"/>
              </w:rPr>
              <w:t xml:space="preserve"> </w:t>
            </w:r>
            <w:r w:rsidRPr="00D4309F">
              <w:t>nesting</w:t>
            </w:r>
            <w:r w:rsidRPr="00D4309F">
              <w:rPr>
                <w:spacing w:val="-13"/>
              </w:rPr>
              <w:t xml:space="preserve"> </w:t>
            </w:r>
            <w:r w:rsidRPr="00D4309F">
              <w:t>behaviour due to light</w:t>
            </w:r>
          </w:p>
          <w:p w14:paraId="102B9D02" w14:textId="77777777" w:rsidR="00E46799" w:rsidRPr="00D4309F" w:rsidRDefault="00E46799" w:rsidP="007E44C8">
            <w:pPr>
              <w:pStyle w:val="Table-Bullet"/>
            </w:pPr>
            <w:r w:rsidRPr="00D4309F">
              <w:t>Mortality/injury</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 xml:space="preserve">vessel collision, entanglement, </w:t>
            </w:r>
            <w:r w:rsidRPr="00D4309F">
              <w:rPr>
                <w:spacing w:val="-2"/>
              </w:rPr>
              <w:t>entrainment</w:t>
            </w:r>
          </w:p>
          <w:p w14:paraId="52F3ED9D" w14:textId="74331FE7" w:rsidR="00E46799" w:rsidRPr="00D4309F" w:rsidRDefault="00E46799" w:rsidP="007E44C8">
            <w:pPr>
              <w:pStyle w:val="Table-Bullet"/>
            </w:pPr>
            <w:r w:rsidRPr="00D4309F">
              <w:t>Change of beach profile at Mooloolaba</w:t>
            </w:r>
            <w:r w:rsidRPr="00D4309F">
              <w:rPr>
                <w:spacing w:val="-10"/>
              </w:rPr>
              <w:t xml:space="preserve"> </w:t>
            </w:r>
            <w:r w:rsidRPr="00D4309F">
              <w:t>Main</w:t>
            </w:r>
            <w:r w:rsidRPr="00D4309F">
              <w:rPr>
                <w:spacing w:val="-10"/>
              </w:rPr>
              <w:t xml:space="preserve"> </w:t>
            </w:r>
            <w:r w:rsidRPr="00D4309F">
              <w:t>Beach</w:t>
            </w:r>
            <w:r w:rsidRPr="00D4309F">
              <w:rPr>
                <w:spacing w:val="-10"/>
              </w:rPr>
              <w:t xml:space="preserve"> </w:t>
            </w:r>
            <w:r w:rsidRPr="00D4309F">
              <w:t>due</w:t>
            </w:r>
            <w:r w:rsidRPr="00D4309F">
              <w:rPr>
                <w:spacing w:val="-8"/>
              </w:rPr>
              <w:t xml:space="preserve"> </w:t>
            </w:r>
            <w:r w:rsidRPr="00D4309F">
              <w:t>to sediment disposal offshore of beach impacting nesting</w:t>
            </w:r>
          </w:p>
        </w:tc>
        <w:tc>
          <w:tcPr>
            <w:tcW w:w="475" w:type="pct"/>
            <w:tcBorders>
              <w:top w:val="single" w:sz="4" w:space="0" w:color="000000"/>
              <w:bottom w:val="single" w:sz="4" w:space="0" w:color="000000"/>
            </w:tcBorders>
            <w:shd w:val="clear" w:color="auto" w:fill="FFFF00"/>
            <w:vAlign w:val="center"/>
          </w:tcPr>
          <w:p w14:paraId="72EF8B2E" w14:textId="685BDA60" w:rsidR="00E46799" w:rsidRPr="00D4309F" w:rsidRDefault="00E46799" w:rsidP="00E46799">
            <w:pPr>
              <w:pStyle w:val="TableParagraph"/>
              <w:ind w:left="171" w:right="171"/>
              <w:rPr>
                <w:b/>
                <w:color w:val="211E1F"/>
                <w:spacing w:val="-5"/>
                <w:sz w:val="18"/>
              </w:rPr>
            </w:pPr>
            <w:r w:rsidRPr="00D4309F">
              <w:rPr>
                <w:b/>
                <w:color w:val="211E1F"/>
                <w:spacing w:val="-2"/>
                <w:sz w:val="18"/>
              </w:rPr>
              <w:t>Moderate</w:t>
            </w:r>
          </w:p>
        </w:tc>
        <w:tc>
          <w:tcPr>
            <w:tcW w:w="1048" w:type="pct"/>
            <w:tcBorders>
              <w:top w:val="single" w:sz="4" w:space="0" w:color="000000"/>
              <w:bottom w:val="single" w:sz="4" w:space="0" w:color="000000"/>
            </w:tcBorders>
            <w:vAlign w:val="center"/>
          </w:tcPr>
          <w:p w14:paraId="6ABB5A2C" w14:textId="26D57FA6" w:rsidR="00E46799" w:rsidRPr="00D4309F" w:rsidRDefault="00E46799" w:rsidP="007E44C8">
            <w:pPr>
              <w:pStyle w:val="Table-Bullet"/>
            </w:pPr>
            <w:r w:rsidRPr="00D4309F">
              <w:t>Several turtle species listed as endangered</w:t>
            </w:r>
            <w:r w:rsidRPr="00D4309F">
              <w:rPr>
                <w:spacing w:val="-11"/>
              </w:rPr>
              <w:t xml:space="preserve"> </w:t>
            </w:r>
            <w:r w:rsidRPr="00D4309F">
              <w:t>or</w:t>
            </w:r>
            <w:r w:rsidRPr="00D4309F">
              <w:rPr>
                <w:spacing w:val="-10"/>
              </w:rPr>
              <w:t xml:space="preserve"> </w:t>
            </w:r>
            <w:r w:rsidRPr="00D4309F">
              <w:t>vulnerable</w:t>
            </w:r>
            <w:r w:rsidRPr="00D4309F">
              <w:rPr>
                <w:spacing w:val="-11"/>
              </w:rPr>
              <w:t xml:space="preserve"> </w:t>
            </w:r>
            <w:r w:rsidRPr="00D4309F">
              <w:t>under</w:t>
            </w:r>
            <w:r w:rsidRPr="00D4309F">
              <w:rPr>
                <w:spacing w:val="-10"/>
              </w:rPr>
              <w:t xml:space="preserve"> </w:t>
            </w:r>
            <w:r w:rsidRPr="00D4309F">
              <w:t>the EPBC were identified in the project area with Green (Vulnerable) and Loggerhead (Endangered) turtles known to nest on Buddina and Mooloolaba beaches. Therefore, potential impacts need to be managed accordingly.</w:t>
            </w:r>
          </w:p>
        </w:tc>
        <w:tc>
          <w:tcPr>
            <w:tcW w:w="677" w:type="pct"/>
            <w:tcBorders>
              <w:top w:val="single" w:sz="4" w:space="0" w:color="000000"/>
              <w:bottom w:val="single" w:sz="4" w:space="0" w:color="000000"/>
            </w:tcBorders>
            <w:vAlign w:val="center"/>
          </w:tcPr>
          <w:p w14:paraId="678ED6EC" w14:textId="77777777" w:rsidR="00E46799" w:rsidRPr="00D4309F" w:rsidRDefault="00E46799" w:rsidP="007E44C8">
            <w:pPr>
              <w:pStyle w:val="Table-Bullet"/>
            </w:pPr>
            <w:r w:rsidRPr="00D4309F">
              <w:t>Assessment of shoreline</w:t>
            </w:r>
            <w:r w:rsidRPr="00D4309F">
              <w:rPr>
                <w:spacing w:val="-13"/>
              </w:rPr>
              <w:t xml:space="preserve"> </w:t>
            </w:r>
            <w:r w:rsidRPr="00D4309F">
              <w:t>response to works</w:t>
            </w:r>
          </w:p>
          <w:p w14:paraId="307F2A91" w14:textId="6DD810D8" w:rsidR="00E46799" w:rsidRPr="00D4309F" w:rsidRDefault="00E46799" w:rsidP="007E44C8">
            <w:pPr>
              <w:pStyle w:val="Table-Bullet"/>
              <w:rPr>
                <w:spacing w:val="-4"/>
              </w:rPr>
            </w:pPr>
            <w:r w:rsidRPr="00D4309F">
              <w:t>Light</w:t>
            </w:r>
            <w:r w:rsidRPr="00D4309F">
              <w:rPr>
                <w:spacing w:val="-15"/>
              </w:rPr>
              <w:t xml:space="preserve"> </w:t>
            </w:r>
            <w:r w:rsidRPr="00D4309F">
              <w:t>assessment</w:t>
            </w:r>
            <w:r w:rsidRPr="00D4309F">
              <w:rPr>
                <w:spacing w:val="-12"/>
              </w:rPr>
              <w:t xml:space="preserve"> </w:t>
            </w:r>
            <w:r w:rsidRPr="00D4309F">
              <w:t xml:space="preserve">if night works are </w:t>
            </w:r>
            <w:r w:rsidRPr="00D4309F">
              <w:rPr>
                <w:spacing w:val="-2"/>
              </w:rPr>
              <w:t>proposed</w:t>
            </w:r>
          </w:p>
        </w:tc>
        <w:tc>
          <w:tcPr>
            <w:tcW w:w="746" w:type="pct"/>
            <w:tcBorders>
              <w:top w:val="single" w:sz="4" w:space="0" w:color="000000"/>
              <w:bottom w:val="single" w:sz="4" w:space="0" w:color="000000"/>
            </w:tcBorders>
            <w:vAlign w:val="center"/>
          </w:tcPr>
          <w:p w14:paraId="150B2B01" w14:textId="77777777" w:rsidR="00E46799" w:rsidRPr="00D4309F" w:rsidRDefault="00E46799" w:rsidP="007E44C8">
            <w:pPr>
              <w:pStyle w:val="Table-Bullet"/>
            </w:pPr>
            <w:r w:rsidRPr="00D4309F">
              <w:t>Timing</w:t>
            </w:r>
            <w:r w:rsidRPr="00D4309F">
              <w:rPr>
                <w:spacing w:val="-15"/>
              </w:rPr>
              <w:t xml:space="preserve"> </w:t>
            </w:r>
            <w:r w:rsidRPr="00D4309F">
              <w:t>of</w:t>
            </w:r>
            <w:r w:rsidRPr="00D4309F">
              <w:rPr>
                <w:spacing w:val="-12"/>
              </w:rPr>
              <w:t xml:space="preserve"> </w:t>
            </w:r>
            <w:r w:rsidRPr="00D4309F">
              <w:t>works outside</w:t>
            </w:r>
            <w:r w:rsidRPr="00D4309F">
              <w:rPr>
                <w:spacing w:val="-5"/>
              </w:rPr>
              <w:t xml:space="preserve"> </w:t>
            </w:r>
            <w:r w:rsidRPr="00D4309F">
              <w:t>of</w:t>
            </w:r>
            <w:r w:rsidRPr="00D4309F">
              <w:rPr>
                <w:spacing w:val="-4"/>
              </w:rPr>
              <w:t xml:space="preserve"> </w:t>
            </w:r>
            <w:r w:rsidRPr="00D4309F">
              <w:t>turtle nesting periods</w:t>
            </w:r>
          </w:p>
          <w:p w14:paraId="687D74A4" w14:textId="77777777" w:rsidR="00E46799" w:rsidRPr="00D4309F" w:rsidRDefault="00E46799" w:rsidP="007E44C8">
            <w:pPr>
              <w:pStyle w:val="Table-Bullet"/>
            </w:pPr>
            <w:r w:rsidRPr="00D4309F">
              <w:t>Limitation</w:t>
            </w:r>
            <w:r w:rsidRPr="00D4309F">
              <w:rPr>
                <w:spacing w:val="-13"/>
              </w:rPr>
              <w:t xml:space="preserve"> </w:t>
            </w:r>
            <w:r w:rsidRPr="00D4309F">
              <w:t>of</w:t>
            </w:r>
            <w:r w:rsidRPr="00D4309F">
              <w:rPr>
                <w:spacing w:val="-12"/>
              </w:rPr>
              <w:t xml:space="preserve"> </w:t>
            </w:r>
            <w:r w:rsidRPr="00D4309F">
              <w:t>works</w:t>
            </w:r>
            <w:r w:rsidRPr="00D4309F">
              <w:rPr>
                <w:spacing w:val="-12"/>
              </w:rPr>
              <w:t xml:space="preserve"> </w:t>
            </w:r>
            <w:r w:rsidRPr="00D4309F">
              <w:t xml:space="preserve">to daylight hours or if necessary, standard light mitigation </w:t>
            </w:r>
            <w:r w:rsidRPr="00D4309F">
              <w:rPr>
                <w:spacing w:val="-2"/>
              </w:rPr>
              <w:t>procedures</w:t>
            </w:r>
          </w:p>
          <w:p w14:paraId="2FF0A905" w14:textId="77777777" w:rsidR="00E46799" w:rsidRPr="00D4309F" w:rsidRDefault="00E46799" w:rsidP="007E44C8">
            <w:pPr>
              <w:pStyle w:val="Table-Bullet"/>
            </w:pPr>
            <w:r w:rsidRPr="00D4309F">
              <w:t>Standard marine fauna mitigation practices</w:t>
            </w:r>
            <w:r w:rsidRPr="00D4309F">
              <w:rPr>
                <w:spacing w:val="-15"/>
              </w:rPr>
              <w:t xml:space="preserve"> </w:t>
            </w:r>
            <w:r w:rsidRPr="00D4309F">
              <w:t>e.g.</w:t>
            </w:r>
            <w:r w:rsidRPr="00D4309F">
              <w:rPr>
                <w:spacing w:val="-12"/>
              </w:rPr>
              <w:t xml:space="preserve"> </w:t>
            </w:r>
            <w:r w:rsidRPr="00D4309F">
              <w:t>marine fauna</w:t>
            </w:r>
            <w:r w:rsidRPr="00D4309F">
              <w:rPr>
                <w:spacing w:val="-6"/>
              </w:rPr>
              <w:t xml:space="preserve"> </w:t>
            </w:r>
            <w:r w:rsidRPr="00D4309F">
              <w:t>observers</w:t>
            </w:r>
            <w:r w:rsidRPr="00D4309F">
              <w:rPr>
                <w:spacing w:val="-5"/>
              </w:rPr>
              <w:t xml:space="preserve"> </w:t>
            </w:r>
            <w:r w:rsidRPr="00D4309F">
              <w:t>and exclusion zones</w:t>
            </w:r>
          </w:p>
          <w:p w14:paraId="3E90FECE" w14:textId="77777777" w:rsidR="00E46799" w:rsidRPr="00D4309F" w:rsidRDefault="00E46799" w:rsidP="007E44C8">
            <w:pPr>
              <w:pStyle w:val="Table-Bullet"/>
            </w:pPr>
            <w:r w:rsidRPr="00D4309F">
              <w:t>Turtle</w:t>
            </w:r>
            <w:r w:rsidRPr="00D4309F">
              <w:rPr>
                <w:spacing w:val="-15"/>
              </w:rPr>
              <w:t xml:space="preserve"> </w:t>
            </w:r>
            <w:r w:rsidRPr="00D4309F">
              <w:t>guards</w:t>
            </w:r>
            <w:r w:rsidRPr="00D4309F">
              <w:rPr>
                <w:spacing w:val="-12"/>
              </w:rPr>
              <w:t xml:space="preserve"> </w:t>
            </w:r>
            <w:r w:rsidRPr="00D4309F">
              <w:t xml:space="preserve">on </w:t>
            </w:r>
            <w:r w:rsidRPr="00D4309F">
              <w:rPr>
                <w:spacing w:val="-2"/>
              </w:rPr>
              <w:t>dredger</w:t>
            </w:r>
          </w:p>
          <w:p w14:paraId="1990DBB0" w14:textId="5B8C0471" w:rsidR="00E46799" w:rsidRPr="00D4309F" w:rsidRDefault="00E46799" w:rsidP="007E44C8">
            <w:pPr>
              <w:pStyle w:val="Table-Bullet"/>
            </w:pPr>
            <w:r w:rsidRPr="00D4309F">
              <w:t>Beach</w:t>
            </w:r>
            <w:r w:rsidRPr="00D4309F">
              <w:rPr>
                <w:spacing w:val="-13"/>
              </w:rPr>
              <w:t xml:space="preserve"> </w:t>
            </w:r>
            <w:r w:rsidRPr="00D4309F">
              <w:t xml:space="preserve">profile </w:t>
            </w:r>
            <w:r w:rsidRPr="00D4309F">
              <w:rPr>
                <w:spacing w:val="-2"/>
              </w:rPr>
              <w:t>monitoring</w:t>
            </w:r>
          </w:p>
        </w:tc>
      </w:tr>
      <w:tr w:rsidR="002A7828" w:rsidRPr="00D4309F" w14:paraId="3E149C1D" w14:textId="77777777" w:rsidTr="007E44C8">
        <w:trPr>
          <w:cantSplit/>
          <w:trHeight w:val="20"/>
        </w:trPr>
        <w:tc>
          <w:tcPr>
            <w:tcW w:w="479" w:type="pct"/>
            <w:tcBorders>
              <w:top w:val="single" w:sz="4" w:space="0" w:color="000000"/>
              <w:bottom w:val="single" w:sz="4" w:space="0" w:color="000000"/>
            </w:tcBorders>
            <w:vAlign w:val="center"/>
          </w:tcPr>
          <w:p w14:paraId="10908C5E" w14:textId="0C30E0CE" w:rsidR="00E46799" w:rsidRPr="00D4309F" w:rsidRDefault="00E46799" w:rsidP="007E44C8">
            <w:pPr>
              <w:pStyle w:val="Table-Text"/>
            </w:pPr>
            <w:r w:rsidRPr="00D4309F">
              <w:t>Marine</w:t>
            </w:r>
            <w:r w:rsidRPr="00D4309F">
              <w:rPr>
                <w:spacing w:val="-4"/>
              </w:rPr>
              <w:t xml:space="preserve"> </w:t>
            </w:r>
            <w:r w:rsidRPr="00D4309F">
              <w:t>fauna</w:t>
            </w:r>
          </w:p>
        </w:tc>
        <w:tc>
          <w:tcPr>
            <w:tcW w:w="503" w:type="pct"/>
            <w:tcBorders>
              <w:top w:val="single" w:sz="4" w:space="0" w:color="000000"/>
              <w:bottom w:val="single" w:sz="4" w:space="0" w:color="000000"/>
            </w:tcBorders>
            <w:vAlign w:val="center"/>
          </w:tcPr>
          <w:p w14:paraId="1465BEA7" w14:textId="4A2CFCE0" w:rsidR="00E46799" w:rsidRPr="00D4309F" w:rsidRDefault="00E46799" w:rsidP="007E44C8">
            <w:pPr>
              <w:pStyle w:val="Table-Text"/>
            </w:pPr>
            <w:r w:rsidRPr="00D4309F">
              <w:t>Marine mammals</w:t>
            </w:r>
          </w:p>
        </w:tc>
        <w:tc>
          <w:tcPr>
            <w:tcW w:w="1072" w:type="pct"/>
            <w:tcBorders>
              <w:top w:val="single" w:sz="4" w:space="0" w:color="000000"/>
              <w:bottom w:val="single" w:sz="4" w:space="0" w:color="000000"/>
            </w:tcBorders>
            <w:vAlign w:val="center"/>
          </w:tcPr>
          <w:p w14:paraId="3AEE0680" w14:textId="77777777" w:rsidR="00E46799" w:rsidRPr="00D4309F" w:rsidRDefault="00E46799" w:rsidP="007E44C8">
            <w:pPr>
              <w:pStyle w:val="Table-Bullet"/>
            </w:pPr>
            <w:r w:rsidRPr="00D4309F">
              <w:rPr>
                <w:spacing w:val="-2"/>
              </w:rPr>
              <w:t xml:space="preserve">Mortality/injury/behavioural </w:t>
            </w:r>
            <w:r w:rsidRPr="00D4309F">
              <w:t>response</w:t>
            </w:r>
            <w:r w:rsidRPr="00D4309F">
              <w:rPr>
                <w:spacing w:val="-9"/>
              </w:rPr>
              <w:t xml:space="preserve"> </w:t>
            </w:r>
            <w:r w:rsidRPr="00D4309F">
              <w:t>due</w:t>
            </w:r>
            <w:r w:rsidRPr="00D4309F">
              <w:rPr>
                <w:spacing w:val="-9"/>
              </w:rPr>
              <w:t xml:space="preserve"> </w:t>
            </w:r>
            <w:r w:rsidRPr="00D4309F">
              <w:t>to</w:t>
            </w:r>
            <w:r w:rsidRPr="00D4309F">
              <w:rPr>
                <w:spacing w:val="-9"/>
              </w:rPr>
              <w:t xml:space="preserve"> </w:t>
            </w:r>
            <w:r w:rsidRPr="00D4309F">
              <w:t>noise</w:t>
            </w:r>
            <w:r w:rsidRPr="00D4309F">
              <w:rPr>
                <w:spacing w:val="-9"/>
              </w:rPr>
              <w:t xml:space="preserve"> </w:t>
            </w:r>
            <w:r w:rsidRPr="00D4309F">
              <w:t>of</w:t>
            </w:r>
            <w:r w:rsidRPr="00D4309F">
              <w:rPr>
                <w:spacing w:val="-8"/>
              </w:rPr>
              <w:t xml:space="preserve"> </w:t>
            </w:r>
            <w:r w:rsidRPr="00D4309F">
              <w:t>rock cutting and dredging</w:t>
            </w:r>
          </w:p>
          <w:p w14:paraId="1E4FD19B" w14:textId="587C3045" w:rsidR="00E46799" w:rsidRPr="00D4309F" w:rsidRDefault="00E46799" w:rsidP="007E44C8">
            <w:pPr>
              <w:pStyle w:val="Table-Bullet"/>
            </w:pPr>
            <w:r w:rsidRPr="00D4309F">
              <w:t>Vessel</w:t>
            </w:r>
            <w:r w:rsidRPr="00D4309F">
              <w:rPr>
                <w:spacing w:val="-15"/>
              </w:rPr>
              <w:t xml:space="preserve"> </w:t>
            </w:r>
            <w:r w:rsidRPr="00D4309F">
              <w:t>collision,</w:t>
            </w:r>
            <w:r w:rsidRPr="00D4309F">
              <w:rPr>
                <w:spacing w:val="-12"/>
              </w:rPr>
              <w:t xml:space="preserve"> </w:t>
            </w:r>
            <w:r w:rsidRPr="00D4309F">
              <w:t xml:space="preserve">entanglement, </w:t>
            </w:r>
            <w:r w:rsidRPr="00D4309F">
              <w:rPr>
                <w:spacing w:val="-2"/>
              </w:rPr>
              <w:t>entrainment</w:t>
            </w:r>
          </w:p>
        </w:tc>
        <w:tc>
          <w:tcPr>
            <w:tcW w:w="475" w:type="pct"/>
            <w:tcBorders>
              <w:top w:val="single" w:sz="4" w:space="0" w:color="000000"/>
              <w:bottom w:val="single" w:sz="4" w:space="0" w:color="000000"/>
            </w:tcBorders>
            <w:shd w:val="clear" w:color="auto" w:fill="FFC000"/>
            <w:vAlign w:val="center"/>
          </w:tcPr>
          <w:p w14:paraId="7728DEFA" w14:textId="2F54A3C1" w:rsidR="00E46799" w:rsidRPr="00D4309F" w:rsidRDefault="00E46799" w:rsidP="00E46799">
            <w:pPr>
              <w:pStyle w:val="TableParagraph"/>
              <w:ind w:left="171" w:right="171"/>
              <w:rPr>
                <w:b/>
                <w:color w:val="211E1F"/>
                <w:spacing w:val="-5"/>
                <w:sz w:val="18"/>
              </w:rPr>
            </w:pPr>
            <w:r w:rsidRPr="00D4309F">
              <w:rPr>
                <w:b/>
                <w:color w:val="211E1F"/>
                <w:sz w:val="18"/>
              </w:rPr>
              <w:t>High</w:t>
            </w:r>
            <w:r w:rsidRPr="00D4309F">
              <w:rPr>
                <w:b/>
                <w:color w:val="211E1F"/>
                <w:spacing w:val="-13"/>
                <w:sz w:val="18"/>
              </w:rPr>
              <w:t xml:space="preserve"> </w:t>
            </w:r>
            <w:r w:rsidRPr="00D4309F">
              <w:rPr>
                <w:b/>
                <w:color w:val="211E1F"/>
                <w:sz w:val="18"/>
              </w:rPr>
              <w:t xml:space="preserve">(for </w:t>
            </w:r>
            <w:r w:rsidRPr="00D4309F">
              <w:rPr>
                <w:b/>
                <w:color w:val="211E1F"/>
                <w:spacing w:val="-4"/>
                <w:sz w:val="18"/>
              </w:rPr>
              <w:t xml:space="preserve">rock </w:t>
            </w:r>
            <w:r w:rsidRPr="00D4309F">
              <w:rPr>
                <w:b/>
                <w:color w:val="211E1F"/>
                <w:spacing w:val="-2"/>
                <w:sz w:val="18"/>
              </w:rPr>
              <w:t>cutting)</w:t>
            </w:r>
          </w:p>
        </w:tc>
        <w:tc>
          <w:tcPr>
            <w:tcW w:w="1048" w:type="pct"/>
            <w:tcBorders>
              <w:top w:val="single" w:sz="4" w:space="0" w:color="000000"/>
              <w:bottom w:val="single" w:sz="4" w:space="0" w:color="000000"/>
            </w:tcBorders>
            <w:vAlign w:val="center"/>
          </w:tcPr>
          <w:p w14:paraId="5D1AF10A" w14:textId="77777777" w:rsidR="00E46799" w:rsidRPr="00D4309F" w:rsidRDefault="00E46799" w:rsidP="007E44C8">
            <w:pPr>
              <w:pStyle w:val="Table-Bullet"/>
            </w:pPr>
            <w:r w:rsidRPr="00D4309F">
              <w:t>Humpback</w:t>
            </w:r>
            <w:r w:rsidRPr="00D4309F">
              <w:rPr>
                <w:spacing w:val="-8"/>
              </w:rPr>
              <w:t xml:space="preserve"> </w:t>
            </w:r>
            <w:r w:rsidRPr="00D4309F">
              <w:t>whales</w:t>
            </w:r>
            <w:r w:rsidRPr="00D4309F">
              <w:rPr>
                <w:spacing w:val="-8"/>
              </w:rPr>
              <w:t xml:space="preserve"> </w:t>
            </w:r>
            <w:r w:rsidRPr="00D4309F">
              <w:t>may</w:t>
            </w:r>
            <w:r w:rsidRPr="00D4309F">
              <w:rPr>
                <w:spacing w:val="-8"/>
              </w:rPr>
              <w:t xml:space="preserve"> </w:t>
            </w:r>
            <w:r w:rsidRPr="00D4309F">
              <w:t>use</w:t>
            </w:r>
            <w:r w:rsidRPr="00D4309F">
              <w:rPr>
                <w:spacing w:val="-9"/>
              </w:rPr>
              <w:t xml:space="preserve"> </w:t>
            </w:r>
            <w:r w:rsidRPr="00D4309F">
              <w:t>the</w:t>
            </w:r>
            <w:r w:rsidRPr="00D4309F">
              <w:rPr>
                <w:spacing w:val="-9"/>
              </w:rPr>
              <w:t xml:space="preserve"> </w:t>
            </w:r>
            <w:r w:rsidRPr="00D4309F">
              <w:t>area for resting with calves during their migration period</w:t>
            </w:r>
          </w:p>
          <w:p w14:paraId="75FF1B72" w14:textId="6D9DE2DF" w:rsidR="00E46799" w:rsidRPr="00D4309F" w:rsidRDefault="00E46799" w:rsidP="007E44C8">
            <w:pPr>
              <w:pStyle w:val="Table-Bullet"/>
            </w:pPr>
            <w:r w:rsidRPr="00D4309F">
              <w:t>Species of dolphins listed as vulnerable</w:t>
            </w:r>
            <w:r w:rsidRPr="00D4309F">
              <w:rPr>
                <w:spacing w:val="-7"/>
              </w:rPr>
              <w:t xml:space="preserve"> </w:t>
            </w:r>
            <w:r w:rsidRPr="00D4309F">
              <w:t>may</w:t>
            </w:r>
            <w:r w:rsidRPr="00D4309F">
              <w:rPr>
                <w:spacing w:val="-6"/>
              </w:rPr>
              <w:t xml:space="preserve"> </w:t>
            </w:r>
            <w:r w:rsidRPr="00D4309F">
              <w:t>also</w:t>
            </w:r>
            <w:r w:rsidRPr="00D4309F">
              <w:rPr>
                <w:spacing w:val="-7"/>
              </w:rPr>
              <w:t xml:space="preserve"> </w:t>
            </w:r>
            <w:r w:rsidRPr="00D4309F">
              <w:t>occur</w:t>
            </w:r>
            <w:r w:rsidRPr="00D4309F">
              <w:rPr>
                <w:spacing w:val="-7"/>
              </w:rPr>
              <w:t xml:space="preserve"> </w:t>
            </w:r>
            <w:r w:rsidRPr="00D4309F">
              <w:t>in</w:t>
            </w:r>
            <w:r w:rsidRPr="00D4309F">
              <w:rPr>
                <w:spacing w:val="-7"/>
              </w:rPr>
              <w:t xml:space="preserve"> </w:t>
            </w:r>
            <w:r w:rsidRPr="00D4309F">
              <w:t>the</w:t>
            </w:r>
            <w:r w:rsidRPr="00D4309F">
              <w:rPr>
                <w:spacing w:val="-7"/>
              </w:rPr>
              <w:t xml:space="preserve"> </w:t>
            </w:r>
            <w:r w:rsidRPr="00D4309F">
              <w:t>area and while they tend to move away from noise sources and are at lower risk of injury, the greater level of</w:t>
            </w:r>
            <w:r w:rsidRPr="00D4309F">
              <w:rPr>
                <w:spacing w:val="40"/>
              </w:rPr>
              <w:t xml:space="preserve"> </w:t>
            </w:r>
            <w:r w:rsidRPr="00D4309F">
              <w:t>noise generated from rock cutting requires further assessment</w:t>
            </w:r>
          </w:p>
        </w:tc>
        <w:tc>
          <w:tcPr>
            <w:tcW w:w="677" w:type="pct"/>
            <w:tcBorders>
              <w:top w:val="single" w:sz="4" w:space="0" w:color="000000"/>
              <w:bottom w:val="single" w:sz="4" w:space="0" w:color="000000"/>
            </w:tcBorders>
            <w:vAlign w:val="center"/>
          </w:tcPr>
          <w:p w14:paraId="56CCE3B7" w14:textId="5D1587D6" w:rsidR="00E46799" w:rsidRPr="00D4309F" w:rsidRDefault="00E46799" w:rsidP="007E44C8">
            <w:pPr>
              <w:pStyle w:val="Table-Bullet"/>
              <w:rPr>
                <w:spacing w:val="-4"/>
              </w:rPr>
            </w:pPr>
            <w:r w:rsidRPr="00D4309F">
              <w:t xml:space="preserve">Underwater noise </w:t>
            </w:r>
            <w:r w:rsidRPr="00D4309F">
              <w:rPr>
                <w:spacing w:val="-2"/>
              </w:rPr>
              <w:t xml:space="preserve">assessment </w:t>
            </w:r>
            <w:r w:rsidRPr="00D4309F">
              <w:t>including</w:t>
            </w:r>
            <w:r w:rsidRPr="00D4309F">
              <w:rPr>
                <w:spacing w:val="-13"/>
              </w:rPr>
              <w:t xml:space="preserve"> </w:t>
            </w:r>
            <w:r w:rsidRPr="00D4309F">
              <w:t>modelling</w:t>
            </w:r>
          </w:p>
        </w:tc>
        <w:tc>
          <w:tcPr>
            <w:tcW w:w="746" w:type="pct"/>
            <w:tcBorders>
              <w:top w:val="single" w:sz="4" w:space="0" w:color="000000"/>
              <w:bottom w:val="single" w:sz="4" w:space="0" w:color="000000"/>
            </w:tcBorders>
            <w:vAlign w:val="center"/>
          </w:tcPr>
          <w:p w14:paraId="1E08FC47" w14:textId="77777777" w:rsidR="00E46799" w:rsidRPr="00D4309F" w:rsidRDefault="00E46799" w:rsidP="007E44C8">
            <w:pPr>
              <w:pStyle w:val="Table-Bullet"/>
            </w:pPr>
            <w:r w:rsidRPr="00D4309F">
              <w:t>Timing of works outside of whale migration</w:t>
            </w:r>
            <w:r w:rsidRPr="00D4309F">
              <w:rPr>
                <w:spacing w:val="-13"/>
              </w:rPr>
              <w:t xml:space="preserve"> </w:t>
            </w:r>
            <w:r w:rsidRPr="00D4309F">
              <w:t>periods</w:t>
            </w:r>
          </w:p>
          <w:p w14:paraId="0D48D4B3" w14:textId="59C2F9F9" w:rsidR="00E46799" w:rsidRPr="00D4309F" w:rsidRDefault="00E46799" w:rsidP="007E44C8">
            <w:pPr>
              <w:pStyle w:val="Table-Bullet"/>
            </w:pPr>
            <w:r w:rsidRPr="00D4309F">
              <w:t>Standard marine fauna mitigation practices</w:t>
            </w:r>
            <w:r w:rsidRPr="00D4309F">
              <w:rPr>
                <w:spacing w:val="-15"/>
              </w:rPr>
              <w:t xml:space="preserve"> </w:t>
            </w:r>
            <w:r w:rsidRPr="00D4309F">
              <w:t>e.g.</w:t>
            </w:r>
            <w:r w:rsidRPr="00D4309F">
              <w:rPr>
                <w:spacing w:val="-12"/>
              </w:rPr>
              <w:t xml:space="preserve"> </w:t>
            </w:r>
            <w:r w:rsidRPr="00D4309F">
              <w:t>marine fauna</w:t>
            </w:r>
            <w:r w:rsidRPr="00D4309F">
              <w:rPr>
                <w:spacing w:val="-6"/>
              </w:rPr>
              <w:t xml:space="preserve"> </w:t>
            </w:r>
            <w:r w:rsidRPr="00D4309F">
              <w:t>observers</w:t>
            </w:r>
            <w:r w:rsidRPr="00D4309F">
              <w:rPr>
                <w:spacing w:val="-5"/>
              </w:rPr>
              <w:t xml:space="preserve"> </w:t>
            </w:r>
            <w:r w:rsidRPr="00D4309F">
              <w:t>and exclusion zone</w:t>
            </w:r>
          </w:p>
        </w:tc>
      </w:tr>
      <w:tr w:rsidR="002A7828" w:rsidRPr="00D4309F" w14:paraId="16911820" w14:textId="77777777" w:rsidTr="007E44C8">
        <w:trPr>
          <w:cantSplit/>
          <w:trHeight w:val="20"/>
        </w:trPr>
        <w:tc>
          <w:tcPr>
            <w:tcW w:w="479" w:type="pct"/>
            <w:tcBorders>
              <w:top w:val="single" w:sz="4" w:space="0" w:color="000000"/>
              <w:bottom w:val="single" w:sz="4" w:space="0" w:color="000000"/>
            </w:tcBorders>
            <w:vAlign w:val="center"/>
          </w:tcPr>
          <w:p w14:paraId="70F2AA0A" w14:textId="6A0C7D2F" w:rsidR="00E46799" w:rsidRPr="00D4309F" w:rsidRDefault="00E46799" w:rsidP="007E44C8">
            <w:pPr>
              <w:pStyle w:val="Table-Text"/>
            </w:pPr>
            <w:r w:rsidRPr="00D4309F">
              <w:lastRenderedPageBreak/>
              <w:t>Marine</w:t>
            </w:r>
            <w:r w:rsidRPr="00D4309F">
              <w:rPr>
                <w:spacing w:val="-4"/>
              </w:rPr>
              <w:t xml:space="preserve"> </w:t>
            </w:r>
            <w:r w:rsidRPr="00D4309F">
              <w:t>fauna</w:t>
            </w:r>
          </w:p>
        </w:tc>
        <w:tc>
          <w:tcPr>
            <w:tcW w:w="503" w:type="pct"/>
            <w:tcBorders>
              <w:top w:val="single" w:sz="4" w:space="0" w:color="000000"/>
              <w:bottom w:val="single" w:sz="4" w:space="0" w:color="000000"/>
            </w:tcBorders>
            <w:vAlign w:val="center"/>
          </w:tcPr>
          <w:p w14:paraId="28724163" w14:textId="7C2B630A" w:rsidR="00E46799" w:rsidRPr="00D4309F" w:rsidRDefault="00E46799" w:rsidP="007E44C8">
            <w:pPr>
              <w:pStyle w:val="Table-Text"/>
            </w:pPr>
            <w:r w:rsidRPr="00D4309F">
              <w:t>Roosting Seabirds</w:t>
            </w:r>
          </w:p>
        </w:tc>
        <w:tc>
          <w:tcPr>
            <w:tcW w:w="1072" w:type="pct"/>
            <w:tcBorders>
              <w:top w:val="single" w:sz="4" w:space="0" w:color="000000"/>
              <w:bottom w:val="single" w:sz="4" w:space="0" w:color="000000"/>
            </w:tcBorders>
            <w:vAlign w:val="center"/>
          </w:tcPr>
          <w:p w14:paraId="27837736" w14:textId="77777777" w:rsidR="00E46799" w:rsidRPr="00D4309F" w:rsidRDefault="00E46799" w:rsidP="007E44C8">
            <w:pPr>
              <w:pStyle w:val="Table-Bullet"/>
            </w:pPr>
            <w:r w:rsidRPr="00D4309F">
              <w:rPr>
                <w:spacing w:val="-2"/>
              </w:rPr>
              <w:t xml:space="preserve">Mortality/injury/behavioural </w:t>
            </w:r>
            <w:r w:rsidRPr="00D4309F">
              <w:t>response</w:t>
            </w:r>
            <w:r w:rsidRPr="00D4309F">
              <w:rPr>
                <w:spacing w:val="-9"/>
              </w:rPr>
              <w:t xml:space="preserve"> </w:t>
            </w:r>
            <w:r w:rsidRPr="00D4309F">
              <w:t>due</w:t>
            </w:r>
            <w:r w:rsidRPr="00D4309F">
              <w:rPr>
                <w:spacing w:val="-9"/>
              </w:rPr>
              <w:t xml:space="preserve"> </w:t>
            </w:r>
            <w:r w:rsidRPr="00D4309F">
              <w:t>to</w:t>
            </w:r>
            <w:r w:rsidRPr="00D4309F">
              <w:rPr>
                <w:spacing w:val="-9"/>
              </w:rPr>
              <w:t xml:space="preserve"> </w:t>
            </w:r>
            <w:r w:rsidRPr="00D4309F">
              <w:t>noise</w:t>
            </w:r>
            <w:r w:rsidRPr="00D4309F">
              <w:rPr>
                <w:spacing w:val="-9"/>
              </w:rPr>
              <w:t xml:space="preserve"> </w:t>
            </w:r>
            <w:r w:rsidRPr="00D4309F">
              <w:t>of</w:t>
            </w:r>
            <w:r w:rsidRPr="00D4309F">
              <w:rPr>
                <w:spacing w:val="-8"/>
              </w:rPr>
              <w:t xml:space="preserve"> </w:t>
            </w:r>
            <w:r w:rsidRPr="00D4309F">
              <w:t>rock cutting and dredging</w:t>
            </w:r>
          </w:p>
          <w:p w14:paraId="798120C4" w14:textId="77777777" w:rsidR="00E46799" w:rsidRPr="00D4309F" w:rsidRDefault="00E46799" w:rsidP="007E44C8">
            <w:pPr>
              <w:pStyle w:val="Table-Bullet"/>
            </w:pPr>
            <w:r w:rsidRPr="00D4309F">
              <w:t>Behavioural response and interruption</w:t>
            </w:r>
            <w:r w:rsidRPr="00D4309F">
              <w:rPr>
                <w:spacing w:val="-13"/>
              </w:rPr>
              <w:t xml:space="preserve"> </w:t>
            </w:r>
            <w:r w:rsidRPr="00D4309F">
              <w:t>of</w:t>
            </w:r>
            <w:r w:rsidRPr="00D4309F">
              <w:rPr>
                <w:spacing w:val="-12"/>
              </w:rPr>
              <w:t xml:space="preserve"> </w:t>
            </w:r>
            <w:r w:rsidRPr="00D4309F">
              <w:t>nesting</w:t>
            </w:r>
            <w:r w:rsidRPr="00D4309F">
              <w:rPr>
                <w:spacing w:val="-13"/>
              </w:rPr>
              <w:t xml:space="preserve"> </w:t>
            </w:r>
            <w:r w:rsidRPr="00D4309F">
              <w:t>behaviour due to light</w:t>
            </w:r>
          </w:p>
          <w:p w14:paraId="42434144" w14:textId="69D2EA59" w:rsidR="00E46799" w:rsidRPr="00D4309F" w:rsidRDefault="00E46799" w:rsidP="007E44C8">
            <w:pPr>
              <w:pStyle w:val="Table-Bullet"/>
            </w:pPr>
            <w:r w:rsidRPr="00D4309F">
              <w:rPr>
                <w:spacing w:val="-2"/>
              </w:rPr>
              <w:t xml:space="preserve">Mortality/injury/behavioural </w:t>
            </w:r>
            <w:r w:rsidRPr="00D4309F">
              <w:t>response</w:t>
            </w:r>
            <w:r w:rsidRPr="00D4309F">
              <w:rPr>
                <w:spacing w:val="-13"/>
              </w:rPr>
              <w:t xml:space="preserve"> </w:t>
            </w:r>
            <w:r w:rsidRPr="00D4309F">
              <w:t>due</w:t>
            </w:r>
            <w:r w:rsidRPr="00D4309F">
              <w:rPr>
                <w:spacing w:val="-12"/>
              </w:rPr>
              <w:t xml:space="preserve"> </w:t>
            </w:r>
            <w:r w:rsidRPr="00D4309F">
              <w:t>physical</w:t>
            </w:r>
            <w:r w:rsidRPr="00D4309F">
              <w:rPr>
                <w:spacing w:val="-13"/>
              </w:rPr>
              <w:t xml:space="preserve"> </w:t>
            </w:r>
            <w:r w:rsidRPr="00D4309F">
              <w:t>presence</w:t>
            </w:r>
          </w:p>
        </w:tc>
        <w:tc>
          <w:tcPr>
            <w:tcW w:w="475" w:type="pct"/>
            <w:tcBorders>
              <w:top w:val="single" w:sz="4" w:space="0" w:color="000000"/>
              <w:bottom w:val="single" w:sz="4" w:space="0" w:color="000000"/>
            </w:tcBorders>
            <w:shd w:val="clear" w:color="auto" w:fill="FFFF00"/>
            <w:vAlign w:val="center"/>
          </w:tcPr>
          <w:p w14:paraId="292BA06D" w14:textId="5B754EF1" w:rsidR="00E46799" w:rsidRPr="00D4309F" w:rsidRDefault="00E46799" w:rsidP="00E46799">
            <w:pPr>
              <w:pStyle w:val="TableParagraph"/>
              <w:ind w:left="171" w:right="171"/>
              <w:rPr>
                <w:b/>
                <w:color w:val="211E1F"/>
                <w:spacing w:val="-5"/>
                <w:sz w:val="18"/>
              </w:rPr>
            </w:pPr>
            <w:r w:rsidRPr="00D4309F">
              <w:rPr>
                <w:b/>
                <w:color w:val="211E1F"/>
                <w:spacing w:val="-2"/>
                <w:sz w:val="18"/>
              </w:rPr>
              <w:t>Moderate</w:t>
            </w:r>
          </w:p>
        </w:tc>
        <w:tc>
          <w:tcPr>
            <w:tcW w:w="1048" w:type="pct"/>
            <w:tcBorders>
              <w:top w:val="single" w:sz="4" w:space="0" w:color="000000"/>
              <w:bottom w:val="single" w:sz="4" w:space="0" w:color="000000"/>
            </w:tcBorders>
            <w:vAlign w:val="center"/>
          </w:tcPr>
          <w:p w14:paraId="09B63D75" w14:textId="3E6261FF" w:rsidR="00E46799" w:rsidRPr="00D4309F" w:rsidRDefault="00E46799" w:rsidP="007E44C8">
            <w:pPr>
              <w:pStyle w:val="Table-Bullet"/>
            </w:pPr>
            <w:r w:rsidRPr="00D4309F">
              <w:t>Several</w:t>
            </w:r>
            <w:r w:rsidRPr="00D4309F">
              <w:rPr>
                <w:spacing w:val="-10"/>
              </w:rPr>
              <w:t xml:space="preserve"> </w:t>
            </w:r>
            <w:r w:rsidRPr="00D4309F">
              <w:t>species</w:t>
            </w:r>
            <w:r w:rsidRPr="00D4309F">
              <w:rPr>
                <w:spacing w:val="-10"/>
              </w:rPr>
              <w:t xml:space="preserve"> </w:t>
            </w:r>
            <w:r w:rsidRPr="00D4309F">
              <w:t>of</w:t>
            </w:r>
            <w:r w:rsidRPr="00D4309F">
              <w:rPr>
                <w:spacing w:val="-10"/>
              </w:rPr>
              <w:t xml:space="preserve"> </w:t>
            </w:r>
            <w:r w:rsidRPr="00D4309F">
              <w:t>migratory</w:t>
            </w:r>
            <w:r w:rsidRPr="00D4309F">
              <w:rPr>
                <w:spacing w:val="-10"/>
              </w:rPr>
              <w:t xml:space="preserve"> </w:t>
            </w:r>
            <w:r w:rsidRPr="00D4309F">
              <w:t>seabirds aggregate and may nest at Point Cartwright and could be impacted</w:t>
            </w:r>
          </w:p>
        </w:tc>
        <w:tc>
          <w:tcPr>
            <w:tcW w:w="677" w:type="pct"/>
            <w:tcBorders>
              <w:top w:val="single" w:sz="4" w:space="0" w:color="000000"/>
              <w:bottom w:val="single" w:sz="4" w:space="0" w:color="000000"/>
            </w:tcBorders>
            <w:vAlign w:val="center"/>
          </w:tcPr>
          <w:p w14:paraId="5F56436F" w14:textId="77777777" w:rsidR="00E46799" w:rsidRPr="00D4309F" w:rsidRDefault="00E46799" w:rsidP="007E44C8">
            <w:pPr>
              <w:pStyle w:val="Table-Bullet"/>
            </w:pPr>
            <w:r w:rsidRPr="00D4309F">
              <w:t>Noise</w:t>
            </w:r>
            <w:r w:rsidRPr="00D4309F">
              <w:rPr>
                <w:spacing w:val="-2"/>
              </w:rPr>
              <w:t xml:space="preserve"> assessment</w:t>
            </w:r>
          </w:p>
          <w:p w14:paraId="2F606C66" w14:textId="0B65E453" w:rsidR="00E46799" w:rsidRPr="00D4309F" w:rsidRDefault="00E46799" w:rsidP="007E44C8">
            <w:pPr>
              <w:pStyle w:val="Table-Bullet"/>
              <w:rPr>
                <w:spacing w:val="-4"/>
              </w:rPr>
            </w:pPr>
            <w:r w:rsidRPr="00D4309F">
              <w:t>Light</w:t>
            </w:r>
            <w:r w:rsidRPr="00D4309F">
              <w:rPr>
                <w:spacing w:val="-15"/>
              </w:rPr>
              <w:t xml:space="preserve"> </w:t>
            </w:r>
            <w:r w:rsidRPr="00D4309F">
              <w:t>assessment</w:t>
            </w:r>
            <w:r w:rsidRPr="00D4309F">
              <w:rPr>
                <w:spacing w:val="-12"/>
              </w:rPr>
              <w:t xml:space="preserve"> </w:t>
            </w:r>
            <w:r w:rsidRPr="00D4309F">
              <w:t xml:space="preserve">if night works are </w:t>
            </w:r>
            <w:r w:rsidRPr="00D4309F">
              <w:rPr>
                <w:spacing w:val="-2"/>
              </w:rPr>
              <w:t>proposed</w:t>
            </w:r>
          </w:p>
        </w:tc>
        <w:tc>
          <w:tcPr>
            <w:tcW w:w="746" w:type="pct"/>
            <w:tcBorders>
              <w:top w:val="single" w:sz="4" w:space="0" w:color="000000"/>
              <w:bottom w:val="single" w:sz="4" w:space="0" w:color="000000"/>
            </w:tcBorders>
            <w:vAlign w:val="center"/>
          </w:tcPr>
          <w:p w14:paraId="212B560E" w14:textId="5EF50650" w:rsidR="00E46799" w:rsidRPr="00D4309F" w:rsidRDefault="00E46799" w:rsidP="007E44C8">
            <w:pPr>
              <w:pStyle w:val="Table-Bullet"/>
            </w:pPr>
            <w:r w:rsidRPr="00D4309F">
              <w:t>Timing of works outside of peak aggregation</w:t>
            </w:r>
            <w:r w:rsidRPr="00D4309F">
              <w:rPr>
                <w:spacing w:val="-13"/>
              </w:rPr>
              <w:t xml:space="preserve"> </w:t>
            </w:r>
            <w:r w:rsidRPr="00D4309F">
              <w:t>season (summer) for migratory terns</w:t>
            </w:r>
          </w:p>
        </w:tc>
      </w:tr>
      <w:tr w:rsidR="00E46799" w:rsidRPr="00D4309F" w14:paraId="3E41C4C3" w14:textId="77777777" w:rsidTr="007E44C8">
        <w:trPr>
          <w:cantSplit/>
          <w:trHeight w:val="20"/>
        </w:trPr>
        <w:tc>
          <w:tcPr>
            <w:tcW w:w="479" w:type="pct"/>
            <w:tcBorders>
              <w:top w:val="single" w:sz="4" w:space="0" w:color="000000"/>
              <w:bottom w:val="single" w:sz="4" w:space="0" w:color="000000"/>
            </w:tcBorders>
            <w:vAlign w:val="center"/>
          </w:tcPr>
          <w:p w14:paraId="6F3C1A6E" w14:textId="755FAF7F" w:rsidR="00E46799" w:rsidRPr="00D4309F" w:rsidRDefault="00E46799" w:rsidP="007E44C8">
            <w:pPr>
              <w:pStyle w:val="Table-Text"/>
            </w:pPr>
            <w:r w:rsidRPr="00D4309F">
              <w:t>Marine</w:t>
            </w:r>
            <w:r w:rsidRPr="00D4309F">
              <w:rPr>
                <w:spacing w:val="-4"/>
              </w:rPr>
              <w:t xml:space="preserve"> </w:t>
            </w:r>
            <w:r w:rsidRPr="00D4309F">
              <w:t>fauna</w:t>
            </w:r>
          </w:p>
        </w:tc>
        <w:tc>
          <w:tcPr>
            <w:tcW w:w="503" w:type="pct"/>
            <w:tcBorders>
              <w:top w:val="single" w:sz="4" w:space="0" w:color="000000"/>
              <w:bottom w:val="single" w:sz="4" w:space="0" w:color="000000"/>
            </w:tcBorders>
            <w:vAlign w:val="center"/>
          </w:tcPr>
          <w:p w14:paraId="6FCEE65E" w14:textId="72DC8023" w:rsidR="00E46799" w:rsidRPr="00D4309F" w:rsidRDefault="00E46799" w:rsidP="007E44C8">
            <w:pPr>
              <w:pStyle w:val="Table-Text"/>
            </w:pPr>
            <w:r w:rsidRPr="00D4309F">
              <w:t>Foraging Seabirds</w:t>
            </w:r>
          </w:p>
        </w:tc>
        <w:tc>
          <w:tcPr>
            <w:tcW w:w="1072" w:type="pct"/>
            <w:tcBorders>
              <w:top w:val="single" w:sz="4" w:space="0" w:color="000000"/>
              <w:bottom w:val="single" w:sz="4" w:space="0" w:color="000000"/>
            </w:tcBorders>
            <w:vAlign w:val="center"/>
          </w:tcPr>
          <w:p w14:paraId="6F68A074" w14:textId="102CB93A" w:rsidR="00E46799" w:rsidRPr="00D4309F" w:rsidRDefault="00E46799" w:rsidP="007E44C8">
            <w:pPr>
              <w:pStyle w:val="Table-Bullet"/>
              <w:rPr>
                <w:spacing w:val="-2"/>
              </w:rPr>
            </w:pPr>
            <w:r w:rsidRPr="00D4309F">
              <w:t>Generation</w:t>
            </w:r>
            <w:r w:rsidRPr="00D4309F">
              <w:rPr>
                <w:spacing w:val="-13"/>
              </w:rPr>
              <w:t xml:space="preserve"> </w:t>
            </w:r>
            <w:r w:rsidRPr="00D4309F">
              <w:t>of</w:t>
            </w:r>
            <w:r w:rsidRPr="00D4309F">
              <w:rPr>
                <w:spacing w:val="-12"/>
              </w:rPr>
              <w:t xml:space="preserve"> </w:t>
            </w:r>
            <w:r w:rsidRPr="00D4309F">
              <w:t>turbidity</w:t>
            </w:r>
            <w:r w:rsidRPr="00D4309F">
              <w:rPr>
                <w:spacing w:val="-13"/>
              </w:rPr>
              <w:t xml:space="preserve"> </w:t>
            </w:r>
            <w:r w:rsidRPr="00D4309F">
              <w:t>impacting foraging activities</w:t>
            </w:r>
          </w:p>
        </w:tc>
        <w:tc>
          <w:tcPr>
            <w:tcW w:w="475" w:type="pct"/>
            <w:tcBorders>
              <w:top w:val="single" w:sz="4" w:space="0" w:color="000000"/>
              <w:bottom w:val="single" w:sz="4" w:space="0" w:color="000000"/>
            </w:tcBorders>
            <w:shd w:val="clear" w:color="auto" w:fill="FFFF00"/>
            <w:vAlign w:val="center"/>
          </w:tcPr>
          <w:p w14:paraId="1BE0692B" w14:textId="1ECA98F3" w:rsidR="00E46799" w:rsidRPr="00D4309F" w:rsidRDefault="00E46799" w:rsidP="00E46799">
            <w:pPr>
              <w:pStyle w:val="TableParagraph"/>
              <w:ind w:left="171" w:right="171"/>
              <w:rPr>
                <w:b/>
                <w:color w:val="211E1F"/>
                <w:spacing w:val="-2"/>
                <w:sz w:val="18"/>
              </w:rPr>
            </w:pPr>
            <w:r w:rsidRPr="00D4309F">
              <w:rPr>
                <w:b/>
                <w:color w:val="211E1F"/>
                <w:spacing w:val="-2"/>
                <w:sz w:val="18"/>
              </w:rPr>
              <w:t>Moderate</w:t>
            </w:r>
          </w:p>
        </w:tc>
        <w:tc>
          <w:tcPr>
            <w:tcW w:w="1048" w:type="pct"/>
            <w:tcBorders>
              <w:top w:val="single" w:sz="4" w:space="0" w:color="000000"/>
              <w:bottom w:val="single" w:sz="4" w:space="0" w:color="000000"/>
            </w:tcBorders>
            <w:vAlign w:val="center"/>
          </w:tcPr>
          <w:p w14:paraId="5D5A6290" w14:textId="77777777" w:rsidR="00E46799" w:rsidRPr="00D4309F" w:rsidRDefault="00E46799" w:rsidP="007E44C8">
            <w:pPr>
              <w:pStyle w:val="Table-Bullet"/>
            </w:pPr>
            <w:r w:rsidRPr="00D4309F">
              <w:t>Turbidity will impede the ability of aerial feeding birds to see prey underwater, which will impact the Little Terns aggregating in Point Cartwright</w:t>
            </w:r>
            <w:r w:rsidRPr="00D4309F">
              <w:rPr>
                <w:spacing w:val="-13"/>
              </w:rPr>
              <w:t xml:space="preserve"> </w:t>
            </w:r>
            <w:r w:rsidRPr="00D4309F">
              <w:t>reserve.</w:t>
            </w:r>
            <w:r w:rsidRPr="00D4309F">
              <w:rPr>
                <w:spacing w:val="-12"/>
              </w:rPr>
              <w:t xml:space="preserve"> </w:t>
            </w:r>
            <w:r w:rsidRPr="00D4309F">
              <w:t>Larger</w:t>
            </w:r>
            <w:r w:rsidRPr="00D4309F">
              <w:rPr>
                <w:spacing w:val="-13"/>
              </w:rPr>
              <w:t xml:space="preserve"> </w:t>
            </w:r>
            <w:r w:rsidRPr="00D4309F">
              <w:t>seabirds will</w:t>
            </w:r>
            <w:r w:rsidRPr="00D4309F">
              <w:rPr>
                <w:spacing w:val="-5"/>
              </w:rPr>
              <w:t xml:space="preserve"> </w:t>
            </w:r>
            <w:r w:rsidRPr="00D4309F">
              <w:t>travel</w:t>
            </w:r>
            <w:r w:rsidRPr="00D4309F">
              <w:rPr>
                <w:spacing w:val="-5"/>
              </w:rPr>
              <w:t xml:space="preserve"> </w:t>
            </w:r>
            <w:r w:rsidRPr="00D4309F">
              <w:t>outside</w:t>
            </w:r>
            <w:r w:rsidRPr="00D4309F">
              <w:rPr>
                <w:spacing w:val="-6"/>
              </w:rPr>
              <w:t xml:space="preserve"> </w:t>
            </w:r>
            <w:r w:rsidRPr="00D4309F">
              <w:t>of</w:t>
            </w:r>
            <w:r w:rsidRPr="00D4309F">
              <w:rPr>
                <w:spacing w:val="-5"/>
              </w:rPr>
              <w:t xml:space="preserve"> </w:t>
            </w:r>
            <w:r w:rsidRPr="00D4309F">
              <w:t>the</w:t>
            </w:r>
            <w:r w:rsidRPr="00D4309F">
              <w:rPr>
                <w:spacing w:val="-6"/>
              </w:rPr>
              <w:t xml:space="preserve"> </w:t>
            </w:r>
            <w:r w:rsidRPr="00D4309F">
              <w:t>turbid</w:t>
            </w:r>
            <w:r w:rsidRPr="00D4309F">
              <w:rPr>
                <w:spacing w:val="-4"/>
              </w:rPr>
              <w:t xml:space="preserve"> </w:t>
            </w:r>
            <w:r w:rsidRPr="00D4309F">
              <w:t>zone to forage.</w:t>
            </w:r>
          </w:p>
          <w:p w14:paraId="6F8428AB" w14:textId="77777777" w:rsidR="00E46799" w:rsidRPr="00D4309F" w:rsidRDefault="00E46799" w:rsidP="007E44C8">
            <w:pPr>
              <w:pStyle w:val="Table-Bullet"/>
            </w:pPr>
            <w:r w:rsidRPr="00D4309F">
              <w:t>An assessment of the predicted plume</w:t>
            </w:r>
            <w:r w:rsidRPr="00D4309F">
              <w:rPr>
                <w:spacing w:val="-7"/>
              </w:rPr>
              <w:t xml:space="preserve"> </w:t>
            </w:r>
            <w:r w:rsidRPr="00D4309F">
              <w:t>extent</w:t>
            </w:r>
            <w:r w:rsidRPr="00D4309F">
              <w:rPr>
                <w:spacing w:val="-6"/>
              </w:rPr>
              <w:t xml:space="preserve"> </w:t>
            </w:r>
            <w:r w:rsidRPr="00D4309F">
              <w:t>will</w:t>
            </w:r>
            <w:r w:rsidRPr="00D4309F">
              <w:rPr>
                <w:spacing w:val="-7"/>
              </w:rPr>
              <w:t xml:space="preserve"> </w:t>
            </w:r>
            <w:r w:rsidRPr="00D4309F">
              <w:t>inform</w:t>
            </w:r>
            <w:r w:rsidRPr="00D4309F">
              <w:rPr>
                <w:spacing w:val="-6"/>
              </w:rPr>
              <w:t xml:space="preserve"> </w:t>
            </w:r>
            <w:r w:rsidRPr="00D4309F">
              <w:t>the</w:t>
            </w:r>
            <w:r w:rsidRPr="00D4309F">
              <w:rPr>
                <w:spacing w:val="-7"/>
              </w:rPr>
              <w:t xml:space="preserve"> </w:t>
            </w:r>
            <w:r w:rsidRPr="00D4309F">
              <w:t>extent</w:t>
            </w:r>
            <w:r w:rsidRPr="00D4309F">
              <w:rPr>
                <w:spacing w:val="-6"/>
              </w:rPr>
              <w:t xml:space="preserve"> </w:t>
            </w:r>
            <w:r w:rsidRPr="00D4309F">
              <w:t>of turbidity related impacts however as this is a dynamic, open ocean environment, any plume will likely dissipate quickly</w:t>
            </w:r>
          </w:p>
          <w:p w14:paraId="0B2F672C" w14:textId="3C1919B7" w:rsidR="00E46799" w:rsidRPr="00D4309F" w:rsidRDefault="00E46799" w:rsidP="007E44C8">
            <w:pPr>
              <w:pStyle w:val="Table-Bullet"/>
            </w:pPr>
            <w:r w:rsidRPr="00D4309F">
              <w:t>Turbidity is likely to be more extensive</w:t>
            </w:r>
            <w:r w:rsidRPr="00D4309F">
              <w:rPr>
                <w:spacing w:val="-11"/>
              </w:rPr>
              <w:t xml:space="preserve"> </w:t>
            </w:r>
            <w:r w:rsidRPr="00D4309F">
              <w:t>and</w:t>
            </w:r>
            <w:r w:rsidRPr="00D4309F">
              <w:rPr>
                <w:spacing w:val="-11"/>
              </w:rPr>
              <w:t xml:space="preserve"> </w:t>
            </w:r>
            <w:r w:rsidRPr="00D4309F">
              <w:t>persistent</w:t>
            </w:r>
            <w:r w:rsidRPr="00D4309F">
              <w:rPr>
                <w:spacing w:val="-10"/>
              </w:rPr>
              <w:t xml:space="preserve"> </w:t>
            </w:r>
            <w:r w:rsidRPr="00D4309F">
              <w:t>during</w:t>
            </w:r>
            <w:r w:rsidRPr="00D4309F">
              <w:rPr>
                <w:spacing w:val="-11"/>
              </w:rPr>
              <w:t xml:space="preserve"> </w:t>
            </w:r>
            <w:r w:rsidRPr="00D4309F">
              <w:t>rock cutting works</w:t>
            </w:r>
          </w:p>
        </w:tc>
        <w:tc>
          <w:tcPr>
            <w:tcW w:w="677" w:type="pct"/>
            <w:tcBorders>
              <w:top w:val="single" w:sz="4" w:space="0" w:color="000000"/>
              <w:bottom w:val="single" w:sz="4" w:space="0" w:color="000000"/>
            </w:tcBorders>
            <w:vAlign w:val="center"/>
          </w:tcPr>
          <w:p w14:paraId="3495C094" w14:textId="29FC430B" w:rsidR="00E46799" w:rsidRPr="00D4309F" w:rsidRDefault="00E46799" w:rsidP="007E44C8">
            <w:pPr>
              <w:pStyle w:val="Table-Bullet"/>
            </w:pPr>
            <w:r w:rsidRPr="00D4309F">
              <w:t>Turbidity</w:t>
            </w:r>
            <w:r w:rsidRPr="00D4309F">
              <w:rPr>
                <w:spacing w:val="-5"/>
              </w:rPr>
              <w:t xml:space="preserve"> </w:t>
            </w:r>
            <w:r w:rsidRPr="00D4309F">
              <w:rPr>
                <w:spacing w:val="-2"/>
              </w:rPr>
              <w:t>modelling</w:t>
            </w:r>
          </w:p>
        </w:tc>
        <w:tc>
          <w:tcPr>
            <w:tcW w:w="746" w:type="pct"/>
            <w:tcBorders>
              <w:top w:val="single" w:sz="4" w:space="0" w:color="000000"/>
              <w:bottom w:val="single" w:sz="4" w:space="0" w:color="000000"/>
            </w:tcBorders>
            <w:vAlign w:val="center"/>
          </w:tcPr>
          <w:p w14:paraId="4DA4D45D" w14:textId="77777777" w:rsidR="00E46799" w:rsidRPr="00D4309F" w:rsidRDefault="00E46799" w:rsidP="007E44C8">
            <w:pPr>
              <w:pStyle w:val="Table-Bullet"/>
            </w:pPr>
            <w:r w:rsidRPr="00D4309F">
              <w:t>Timing of works outside of peak aggregation</w:t>
            </w:r>
            <w:r w:rsidRPr="00D4309F">
              <w:rPr>
                <w:spacing w:val="-13"/>
              </w:rPr>
              <w:t xml:space="preserve"> </w:t>
            </w:r>
            <w:r w:rsidRPr="00D4309F">
              <w:t>season (summer) for migratory terns</w:t>
            </w:r>
          </w:p>
          <w:p w14:paraId="4773C5AF" w14:textId="77777777" w:rsidR="00E46799" w:rsidRPr="00D4309F" w:rsidRDefault="00E46799" w:rsidP="007E44C8">
            <w:pPr>
              <w:pStyle w:val="Table-Bullet"/>
            </w:pPr>
            <w:r w:rsidRPr="00D4309F">
              <w:t>Turbidity</w:t>
            </w:r>
            <w:r w:rsidRPr="00D4309F">
              <w:rPr>
                <w:spacing w:val="-13"/>
              </w:rPr>
              <w:t xml:space="preserve"> </w:t>
            </w:r>
            <w:r w:rsidRPr="00D4309F">
              <w:t>monitoring during works</w:t>
            </w:r>
          </w:p>
          <w:p w14:paraId="7009AD14" w14:textId="3F739281" w:rsidR="00E46799" w:rsidRPr="00D4309F" w:rsidRDefault="00E46799" w:rsidP="007E44C8">
            <w:pPr>
              <w:pStyle w:val="Table-Bullet"/>
            </w:pPr>
            <w:r w:rsidRPr="00D4309F">
              <w:t xml:space="preserve">Standard turbidity </w:t>
            </w:r>
            <w:r w:rsidRPr="00D4309F">
              <w:rPr>
                <w:spacing w:val="-2"/>
              </w:rPr>
              <w:t xml:space="preserve">mitigation </w:t>
            </w:r>
            <w:r w:rsidRPr="00D4309F">
              <w:t>procedures</w:t>
            </w:r>
            <w:r w:rsidRPr="00D4309F">
              <w:rPr>
                <w:spacing w:val="-15"/>
              </w:rPr>
              <w:t xml:space="preserve"> </w:t>
            </w:r>
            <w:r w:rsidRPr="00D4309F">
              <w:t>e.g.</w:t>
            </w:r>
            <w:r w:rsidRPr="00D4309F">
              <w:rPr>
                <w:spacing w:val="-12"/>
              </w:rPr>
              <w:t xml:space="preserve"> </w:t>
            </w:r>
            <w:r w:rsidRPr="00D4309F">
              <w:t>silt curtains,</w:t>
            </w:r>
            <w:r w:rsidRPr="00D4309F">
              <w:rPr>
                <w:spacing w:val="-15"/>
              </w:rPr>
              <w:t xml:space="preserve"> </w:t>
            </w:r>
            <w:r w:rsidRPr="00D4309F">
              <w:t>staging</w:t>
            </w:r>
            <w:r w:rsidRPr="00D4309F">
              <w:rPr>
                <w:spacing w:val="-12"/>
              </w:rPr>
              <w:t xml:space="preserve"> </w:t>
            </w:r>
            <w:r w:rsidRPr="00D4309F">
              <w:t xml:space="preserve">of </w:t>
            </w:r>
            <w:r w:rsidRPr="00D4309F">
              <w:rPr>
                <w:spacing w:val="-2"/>
              </w:rPr>
              <w:t>works</w:t>
            </w:r>
          </w:p>
        </w:tc>
      </w:tr>
      <w:tr w:rsidR="00E46799" w:rsidRPr="00D4309F" w14:paraId="3E065331" w14:textId="77777777" w:rsidTr="007E44C8">
        <w:trPr>
          <w:cantSplit/>
          <w:trHeight w:val="20"/>
        </w:trPr>
        <w:tc>
          <w:tcPr>
            <w:tcW w:w="479" w:type="pct"/>
            <w:tcBorders>
              <w:top w:val="single" w:sz="4" w:space="0" w:color="000000"/>
              <w:bottom w:val="single" w:sz="4" w:space="0" w:color="000000"/>
            </w:tcBorders>
            <w:vAlign w:val="center"/>
          </w:tcPr>
          <w:p w14:paraId="772D98E0" w14:textId="31FC4141" w:rsidR="00E46799" w:rsidRPr="00D4309F" w:rsidRDefault="00E46799" w:rsidP="007E44C8">
            <w:pPr>
              <w:pStyle w:val="Table-Text"/>
            </w:pPr>
            <w:r w:rsidRPr="00D4309F">
              <w:lastRenderedPageBreak/>
              <w:t>Marine</w:t>
            </w:r>
            <w:r w:rsidRPr="00D4309F">
              <w:rPr>
                <w:spacing w:val="-4"/>
              </w:rPr>
              <w:t xml:space="preserve"> </w:t>
            </w:r>
            <w:r w:rsidRPr="00D4309F">
              <w:t>fauna</w:t>
            </w:r>
          </w:p>
        </w:tc>
        <w:tc>
          <w:tcPr>
            <w:tcW w:w="503" w:type="pct"/>
            <w:tcBorders>
              <w:top w:val="single" w:sz="4" w:space="0" w:color="000000"/>
              <w:bottom w:val="single" w:sz="4" w:space="0" w:color="000000"/>
            </w:tcBorders>
            <w:vAlign w:val="center"/>
          </w:tcPr>
          <w:p w14:paraId="2B4EB68C" w14:textId="35602E29" w:rsidR="00E46799" w:rsidRPr="00D4309F" w:rsidRDefault="00E46799" w:rsidP="007E44C8">
            <w:pPr>
              <w:pStyle w:val="Table-Text"/>
            </w:pPr>
            <w:r w:rsidRPr="00D4309F">
              <w:rPr>
                <w:spacing w:val="-4"/>
              </w:rPr>
              <w:t xml:space="preserve">Site </w:t>
            </w:r>
            <w:r w:rsidRPr="00D4309F">
              <w:t>attached species</w:t>
            </w:r>
          </w:p>
        </w:tc>
        <w:tc>
          <w:tcPr>
            <w:tcW w:w="1072" w:type="pct"/>
            <w:tcBorders>
              <w:top w:val="single" w:sz="4" w:space="0" w:color="000000"/>
              <w:bottom w:val="single" w:sz="4" w:space="0" w:color="000000"/>
            </w:tcBorders>
            <w:vAlign w:val="center"/>
          </w:tcPr>
          <w:p w14:paraId="45D7A2AD" w14:textId="77777777" w:rsidR="00E46799" w:rsidRPr="00D4309F" w:rsidRDefault="00E46799" w:rsidP="007E44C8">
            <w:pPr>
              <w:pStyle w:val="Table-Bullet"/>
            </w:pPr>
            <w:r w:rsidRPr="00D4309F">
              <w:t>Direct</w:t>
            </w:r>
            <w:r w:rsidRPr="00D4309F">
              <w:rPr>
                <w:spacing w:val="-13"/>
              </w:rPr>
              <w:t xml:space="preserve"> </w:t>
            </w:r>
            <w:r w:rsidRPr="00D4309F">
              <w:t>mortality/injury</w:t>
            </w:r>
            <w:r w:rsidRPr="00D4309F">
              <w:rPr>
                <w:spacing w:val="-12"/>
              </w:rPr>
              <w:t xml:space="preserve"> </w:t>
            </w:r>
            <w:r w:rsidRPr="00D4309F">
              <w:t>due</w:t>
            </w:r>
            <w:r w:rsidRPr="00D4309F">
              <w:rPr>
                <w:spacing w:val="-13"/>
              </w:rPr>
              <w:t xml:space="preserve"> </w:t>
            </w:r>
            <w:r w:rsidRPr="00D4309F">
              <w:t>to dredging and disposal</w:t>
            </w:r>
          </w:p>
          <w:p w14:paraId="7C88A122" w14:textId="77777777" w:rsidR="00E46799" w:rsidRPr="00D4309F" w:rsidRDefault="00E46799" w:rsidP="007E44C8">
            <w:pPr>
              <w:pStyle w:val="Table-Bullet"/>
            </w:pPr>
            <w:r w:rsidRPr="00D4309F">
              <w:rPr>
                <w:spacing w:val="-2"/>
              </w:rPr>
              <w:t xml:space="preserve">Mortality/injury/behavioural </w:t>
            </w:r>
            <w:r w:rsidRPr="00D4309F">
              <w:t>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physical</w:t>
            </w:r>
            <w:r w:rsidRPr="00D4309F">
              <w:rPr>
                <w:spacing w:val="-9"/>
              </w:rPr>
              <w:t xml:space="preserve"> </w:t>
            </w:r>
            <w:r w:rsidRPr="00D4309F">
              <w:t>effects of turbidity</w:t>
            </w:r>
          </w:p>
          <w:p w14:paraId="05BDE55D" w14:textId="209A90D6" w:rsidR="00E46799" w:rsidRPr="00D4309F" w:rsidRDefault="00E46799" w:rsidP="007E44C8">
            <w:pPr>
              <w:pStyle w:val="Table-Bullet"/>
              <w:rPr>
                <w:spacing w:val="-2"/>
              </w:rPr>
            </w:pPr>
            <w:r w:rsidRPr="00D4309F">
              <w:rPr>
                <w:spacing w:val="-2"/>
              </w:rPr>
              <w:t xml:space="preserve">Mortality/injury/behavioural </w:t>
            </w:r>
            <w:r w:rsidRPr="00D4309F">
              <w:t>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smothering</w:t>
            </w:r>
            <w:r w:rsidRPr="00D4309F">
              <w:rPr>
                <w:spacing w:val="-10"/>
              </w:rPr>
              <w:t xml:space="preserve"> </w:t>
            </w:r>
            <w:r w:rsidRPr="00D4309F">
              <w:t>at disposal site</w:t>
            </w:r>
          </w:p>
        </w:tc>
        <w:tc>
          <w:tcPr>
            <w:tcW w:w="475" w:type="pct"/>
            <w:tcBorders>
              <w:top w:val="single" w:sz="4" w:space="0" w:color="000000"/>
              <w:bottom w:val="single" w:sz="4" w:space="0" w:color="000000"/>
            </w:tcBorders>
            <w:shd w:val="clear" w:color="auto" w:fill="FFC000"/>
            <w:vAlign w:val="center"/>
          </w:tcPr>
          <w:p w14:paraId="6114E5B8" w14:textId="64B32267" w:rsidR="00E46799" w:rsidRPr="00D4309F" w:rsidRDefault="00E46799" w:rsidP="00E46799">
            <w:pPr>
              <w:pStyle w:val="TableParagraph"/>
              <w:ind w:left="171" w:right="171"/>
              <w:rPr>
                <w:b/>
                <w:color w:val="211E1F"/>
                <w:spacing w:val="-2"/>
                <w:sz w:val="18"/>
              </w:rPr>
            </w:pPr>
            <w:r w:rsidRPr="00D4309F">
              <w:rPr>
                <w:b/>
                <w:color w:val="211E1F"/>
                <w:sz w:val="18"/>
              </w:rPr>
              <w:t>High</w:t>
            </w:r>
            <w:r w:rsidRPr="00D4309F">
              <w:rPr>
                <w:b/>
                <w:color w:val="211E1F"/>
                <w:spacing w:val="-13"/>
                <w:sz w:val="18"/>
              </w:rPr>
              <w:t xml:space="preserve"> </w:t>
            </w:r>
            <w:r w:rsidRPr="00D4309F">
              <w:rPr>
                <w:b/>
                <w:color w:val="211E1F"/>
                <w:sz w:val="18"/>
              </w:rPr>
              <w:t xml:space="preserve">(for </w:t>
            </w:r>
            <w:r w:rsidRPr="00D4309F">
              <w:rPr>
                <w:b/>
                <w:color w:val="211E1F"/>
                <w:spacing w:val="-4"/>
                <w:sz w:val="18"/>
              </w:rPr>
              <w:t xml:space="preserve">rock </w:t>
            </w:r>
            <w:r w:rsidRPr="00D4309F">
              <w:rPr>
                <w:b/>
                <w:color w:val="211E1F"/>
                <w:spacing w:val="-2"/>
                <w:sz w:val="18"/>
              </w:rPr>
              <w:t>cutting)</w:t>
            </w:r>
          </w:p>
        </w:tc>
        <w:tc>
          <w:tcPr>
            <w:tcW w:w="1048" w:type="pct"/>
            <w:tcBorders>
              <w:top w:val="single" w:sz="4" w:space="0" w:color="000000"/>
              <w:bottom w:val="single" w:sz="4" w:space="0" w:color="000000"/>
            </w:tcBorders>
            <w:vAlign w:val="center"/>
          </w:tcPr>
          <w:p w14:paraId="473BC041" w14:textId="77777777" w:rsidR="00E46799" w:rsidRPr="00D4309F" w:rsidRDefault="00E46799" w:rsidP="007E44C8">
            <w:pPr>
              <w:pStyle w:val="Table-Bullet"/>
            </w:pPr>
            <w:r w:rsidRPr="00D4309F">
              <w:t>These</w:t>
            </w:r>
            <w:r w:rsidRPr="00D4309F">
              <w:rPr>
                <w:spacing w:val="-11"/>
              </w:rPr>
              <w:t xml:space="preserve"> </w:t>
            </w:r>
            <w:r w:rsidRPr="00D4309F">
              <w:t>species</w:t>
            </w:r>
            <w:r w:rsidRPr="00D4309F">
              <w:rPr>
                <w:spacing w:val="-9"/>
              </w:rPr>
              <w:t xml:space="preserve"> </w:t>
            </w:r>
            <w:r w:rsidRPr="00D4309F">
              <w:t>are</w:t>
            </w:r>
            <w:r w:rsidRPr="00D4309F">
              <w:rPr>
                <w:spacing w:val="-11"/>
              </w:rPr>
              <w:t xml:space="preserve"> </w:t>
            </w:r>
            <w:r w:rsidRPr="00D4309F">
              <w:t>broadly</w:t>
            </w:r>
            <w:r w:rsidRPr="00D4309F">
              <w:rPr>
                <w:spacing w:val="-9"/>
              </w:rPr>
              <w:t xml:space="preserve"> </w:t>
            </w:r>
            <w:r w:rsidRPr="00D4309F">
              <w:t>distributed along the coastline</w:t>
            </w:r>
          </w:p>
          <w:p w14:paraId="5A4B5A99" w14:textId="77777777" w:rsidR="00E46799" w:rsidRPr="00D4309F" w:rsidRDefault="00E46799" w:rsidP="007E44C8">
            <w:pPr>
              <w:pStyle w:val="Table-Bullet"/>
            </w:pPr>
            <w:r w:rsidRPr="00D4309F">
              <w:t>The dredging area has a relatively small footprint and</w:t>
            </w:r>
            <w:r w:rsidRPr="00D4309F">
              <w:rPr>
                <w:spacing w:val="-1"/>
              </w:rPr>
              <w:t xml:space="preserve"> </w:t>
            </w:r>
            <w:r w:rsidRPr="00D4309F">
              <w:t>in</w:t>
            </w:r>
            <w:r w:rsidRPr="00D4309F">
              <w:rPr>
                <w:spacing w:val="-1"/>
              </w:rPr>
              <w:t xml:space="preserve"> </w:t>
            </w:r>
            <w:r w:rsidRPr="00D4309F">
              <w:t>an</w:t>
            </w:r>
            <w:r w:rsidRPr="00D4309F">
              <w:rPr>
                <w:spacing w:val="-1"/>
              </w:rPr>
              <w:t xml:space="preserve"> </w:t>
            </w:r>
            <w:r w:rsidRPr="00D4309F">
              <w:t>area of bare sand</w:t>
            </w:r>
            <w:r w:rsidRPr="00D4309F">
              <w:rPr>
                <w:spacing w:val="-7"/>
              </w:rPr>
              <w:t xml:space="preserve"> </w:t>
            </w:r>
            <w:r w:rsidRPr="00D4309F">
              <w:t>which</w:t>
            </w:r>
            <w:r w:rsidRPr="00D4309F">
              <w:rPr>
                <w:spacing w:val="-7"/>
              </w:rPr>
              <w:t xml:space="preserve"> </w:t>
            </w:r>
            <w:r w:rsidRPr="00D4309F">
              <w:t>is</w:t>
            </w:r>
            <w:r w:rsidRPr="00D4309F">
              <w:rPr>
                <w:spacing w:val="-5"/>
              </w:rPr>
              <w:t xml:space="preserve"> </w:t>
            </w:r>
            <w:r w:rsidRPr="00D4309F">
              <w:t>not</w:t>
            </w:r>
            <w:r w:rsidRPr="00D4309F">
              <w:rPr>
                <w:spacing w:val="-6"/>
              </w:rPr>
              <w:t xml:space="preserve"> </w:t>
            </w:r>
            <w:r w:rsidRPr="00D4309F">
              <w:t>the</w:t>
            </w:r>
            <w:r w:rsidRPr="00D4309F">
              <w:rPr>
                <w:spacing w:val="-7"/>
              </w:rPr>
              <w:t xml:space="preserve"> </w:t>
            </w:r>
            <w:r w:rsidRPr="00D4309F">
              <w:t>habitat</w:t>
            </w:r>
            <w:r w:rsidRPr="00D4309F">
              <w:rPr>
                <w:spacing w:val="-6"/>
              </w:rPr>
              <w:t xml:space="preserve"> </w:t>
            </w:r>
            <w:r w:rsidRPr="00D4309F">
              <w:t>for</w:t>
            </w:r>
            <w:r w:rsidRPr="00D4309F">
              <w:rPr>
                <w:spacing w:val="-6"/>
              </w:rPr>
              <w:t xml:space="preserve"> </w:t>
            </w:r>
            <w:r w:rsidRPr="00D4309F">
              <w:t>most of these species, including the endangered White’s Seahorse and sand yabby</w:t>
            </w:r>
          </w:p>
          <w:p w14:paraId="17DF8962" w14:textId="77777777" w:rsidR="00E46799" w:rsidRPr="00D4309F" w:rsidRDefault="00E46799" w:rsidP="007E44C8">
            <w:pPr>
              <w:pStyle w:val="Table-Bullet"/>
            </w:pPr>
            <w:r w:rsidRPr="00D4309F">
              <w:t>It</w:t>
            </w:r>
            <w:r w:rsidRPr="00D4309F">
              <w:rPr>
                <w:spacing w:val="-7"/>
              </w:rPr>
              <w:t xml:space="preserve"> </w:t>
            </w:r>
            <w:r w:rsidRPr="00D4309F">
              <w:t>is</w:t>
            </w:r>
            <w:r w:rsidRPr="00D4309F">
              <w:rPr>
                <w:spacing w:val="-7"/>
              </w:rPr>
              <w:t xml:space="preserve"> </w:t>
            </w:r>
            <w:r w:rsidRPr="00D4309F">
              <w:t>assumed</w:t>
            </w:r>
            <w:r w:rsidRPr="00D4309F">
              <w:rPr>
                <w:spacing w:val="-8"/>
              </w:rPr>
              <w:t xml:space="preserve"> </w:t>
            </w:r>
            <w:r w:rsidRPr="00D4309F">
              <w:t>that</w:t>
            </w:r>
            <w:r w:rsidRPr="00D4309F">
              <w:rPr>
                <w:spacing w:val="-7"/>
              </w:rPr>
              <w:t xml:space="preserve"> </w:t>
            </w:r>
            <w:r w:rsidRPr="00D4309F">
              <w:t>the</w:t>
            </w:r>
            <w:r w:rsidRPr="00D4309F">
              <w:rPr>
                <w:spacing w:val="-8"/>
              </w:rPr>
              <w:t xml:space="preserve"> </w:t>
            </w:r>
            <w:r w:rsidRPr="00D4309F">
              <w:t>disposal</w:t>
            </w:r>
            <w:r w:rsidRPr="00D4309F">
              <w:rPr>
                <w:spacing w:val="-7"/>
              </w:rPr>
              <w:t xml:space="preserve"> </w:t>
            </w:r>
            <w:r w:rsidRPr="00D4309F">
              <w:t>area is an already disturbed area from previous disposal works</w:t>
            </w:r>
          </w:p>
          <w:p w14:paraId="75A63A5B" w14:textId="77777777" w:rsidR="00E46799" w:rsidRPr="00D4309F" w:rsidRDefault="00E46799" w:rsidP="007E44C8">
            <w:pPr>
              <w:pStyle w:val="Table-Bullet"/>
            </w:pPr>
            <w:r w:rsidRPr="00D4309F">
              <w:t>Dredging and disposal is in a dynamic, open ocean environment, any</w:t>
            </w:r>
            <w:r w:rsidRPr="00D4309F">
              <w:rPr>
                <w:spacing w:val="-8"/>
              </w:rPr>
              <w:t xml:space="preserve"> </w:t>
            </w:r>
            <w:r w:rsidRPr="00D4309F">
              <w:t>plume</w:t>
            </w:r>
            <w:r w:rsidRPr="00D4309F">
              <w:rPr>
                <w:spacing w:val="-9"/>
              </w:rPr>
              <w:t xml:space="preserve"> </w:t>
            </w:r>
            <w:r w:rsidRPr="00D4309F">
              <w:t>will</w:t>
            </w:r>
            <w:r w:rsidRPr="00D4309F">
              <w:rPr>
                <w:spacing w:val="-8"/>
              </w:rPr>
              <w:t xml:space="preserve"> </w:t>
            </w:r>
            <w:r w:rsidRPr="00D4309F">
              <w:t>likely</w:t>
            </w:r>
            <w:r w:rsidRPr="00D4309F">
              <w:rPr>
                <w:spacing w:val="-8"/>
              </w:rPr>
              <w:t xml:space="preserve"> </w:t>
            </w:r>
            <w:r w:rsidRPr="00D4309F">
              <w:t>dissipate</w:t>
            </w:r>
            <w:r w:rsidRPr="00D4309F">
              <w:rPr>
                <w:spacing w:val="-9"/>
              </w:rPr>
              <w:t xml:space="preserve"> </w:t>
            </w:r>
            <w:r w:rsidRPr="00D4309F">
              <w:t>quickly</w:t>
            </w:r>
          </w:p>
          <w:p w14:paraId="79BDA1E0" w14:textId="0519B963" w:rsidR="00E46799" w:rsidRPr="00D4309F" w:rsidRDefault="00E46799" w:rsidP="007E44C8">
            <w:pPr>
              <w:pStyle w:val="Table-Bullet"/>
            </w:pPr>
            <w:r w:rsidRPr="00D4309F">
              <w:t>Turbidity is likely to be more extensive</w:t>
            </w:r>
            <w:r w:rsidRPr="00D4309F">
              <w:rPr>
                <w:spacing w:val="-10"/>
              </w:rPr>
              <w:t xml:space="preserve"> </w:t>
            </w:r>
            <w:r w:rsidRPr="00D4309F">
              <w:t>and</w:t>
            </w:r>
            <w:r w:rsidRPr="00D4309F">
              <w:rPr>
                <w:spacing w:val="-10"/>
              </w:rPr>
              <w:t xml:space="preserve"> </w:t>
            </w:r>
            <w:r w:rsidRPr="00D4309F">
              <w:t>persistent</w:t>
            </w:r>
            <w:r w:rsidRPr="00D4309F">
              <w:rPr>
                <w:spacing w:val="-10"/>
              </w:rPr>
              <w:t xml:space="preserve"> </w:t>
            </w:r>
            <w:r w:rsidRPr="00D4309F">
              <w:t>during</w:t>
            </w:r>
            <w:r w:rsidRPr="00D4309F">
              <w:rPr>
                <w:spacing w:val="-10"/>
              </w:rPr>
              <w:t xml:space="preserve"> </w:t>
            </w:r>
            <w:r w:rsidRPr="00D4309F">
              <w:t>rock cutting works and could impact endangered species habitat</w:t>
            </w:r>
          </w:p>
        </w:tc>
        <w:tc>
          <w:tcPr>
            <w:tcW w:w="677" w:type="pct"/>
            <w:tcBorders>
              <w:top w:val="single" w:sz="4" w:space="0" w:color="000000"/>
              <w:bottom w:val="single" w:sz="4" w:space="0" w:color="000000"/>
            </w:tcBorders>
            <w:vAlign w:val="center"/>
          </w:tcPr>
          <w:p w14:paraId="46E9B60C" w14:textId="77777777" w:rsidR="00E46799" w:rsidRPr="00D4309F" w:rsidRDefault="00E46799" w:rsidP="007E44C8">
            <w:pPr>
              <w:pStyle w:val="Table-Bullet"/>
            </w:pPr>
            <w:r w:rsidRPr="00D4309F">
              <w:t>Turbidity</w:t>
            </w:r>
            <w:r w:rsidRPr="00D4309F">
              <w:rPr>
                <w:spacing w:val="-5"/>
              </w:rPr>
              <w:t xml:space="preserve"> </w:t>
            </w:r>
            <w:r w:rsidRPr="00D4309F">
              <w:rPr>
                <w:spacing w:val="-2"/>
              </w:rPr>
              <w:t>modelling</w:t>
            </w:r>
          </w:p>
          <w:p w14:paraId="7AF80D00" w14:textId="0EF9D536" w:rsidR="00E46799" w:rsidRPr="00D4309F" w:rsidRDefault="00E46799" w:rsidP="007E44C8">
            <w:pPr>
              <w:pStyle w:val="Table-Bullet"/>
            </w:pPr>
            <w:r w:rsidRPr="00D4309F">
              <w:t>Fauna / benthic habitat</w:t>
            </w:r>
            <w:r w:rsidRPr="00D4309F">
              <w:rPr>
                <w:spacing w:val="-13"/>
              </w:rPr>
              <w:t xml:space="preserve"> </w:t>
            </w:r>
            <w:r w:rsidRPr="00D4309F">
              <w:t>assessment</w:t>
            </w:r>
          </w:p>
        </w:tc>
        <w:tc>
          <w:tcPr>
            <w:tcW w:w="746" w:type="pct"/>
            <w:tcBorders>
              <w:top w:val="single" w:sz="4" w:space="0" w:color="000000"/>
              <w:bottom w:val="single" w:sz="4" w:space="0" w:color="000000"/>
            </w:tcBorders>
            <w:vAlign w:val="center"/>
          </w:tcPr>
          <w:p w14:paraId="21752CD8" w14:textId="77777777" w:rsidR="00E46799" w:rsidRPr="00D4309F" w:rsidRDefault="00E46799" w:rsidP="007E44C8">
            <w:pPr>
              <w:pStyle w:val="Table-Bullet"/>
            </w:pPr>
            <w:r w:rsidRPr="00D4309F">
              <w:t>Turbidity</w:t>
            </w:r>
            <w:r w:rsidRPr="00D4309F">
              <w:rPr>
                <w:spacing w:val="-13"/>
              </w:rPr>
              <w:t xml:space="preserve"> </w:t>
            </w:r>
            <w:r w:rsidRPr="00D4309F">
              <w:t>monitoring during works</w:t>
            </w:r>
          </w:p>
          <w:p w14:paraId="1917B84E" w14:textId="27462519" w:rsidR="00E46799" w:rsidRPr="00D4309F" w:rsidRDefault="00E46799" w:rsidP="007E44C8">
            <w:pPr>
              <w:pStyle w:val="Table-Bullet"/>
            </w:pPr>
            <w:r w:rsidRPr="00D4309F">
              <w:t xml:space="preserve">Standard turbidity </w:t>
            </w:r>
            <w:r w:rsidRPr="00D4309F">
              <w:rPr>
                <w:spacing w:val="-2"/>
              </w:rPr>
              <w:t xml:space="preserve">mitigation </w:t>
            </w:r>
            <w:r w:rsidRPr="00D4309F">
              <w:t>procedures</w:t>
            </w:r>
            <w:r w:rsidRPr="00D4309F">
              <w:rPr>
                <w:spacing w:val="-15"/>
              </w:rPr>
              <w:t xml:space="preserve"> </w:t>
            </w:r>
            <w:r w:rsidRPr="00D4309F">
              <w:t>e.g.</w:t>
            </w:r>
            <w:r w:rsidRPr="00D4309F">
              <w:rPr>
                <w:spacing w:val="-12"/>
              </w:rPr>
              <w:t xml:space="preserve"> </w:t>
            </w:r>
            <w:r w:rsidRPr="00D4309F">
              <w:t>silt curtains,</w:t>
            </w:r>
            <w:r w:rsidRPr="00D4309F">
              <w:rPr>
                <w:spacing w:val="-15"/>
              </w:rPr>
              <w:t xml:space="preserve"> </w:t>
            </w:r>
            <w:r w:rsidRPr="00D4309F">
              <w:t>staging</w:t>
            </w:r>
            <w:r w:rsidRPr="00D4309F">
              <w:rPr>
                <w:spacing w:val="-12"/>
              </w:rPr>
              <w:t xml:space="preserve"> </w:t>
            </w:r>
            <w:r w:rsidRPr="00D4309F">
              <w:t xml:space="preserve">of </w:t>
            </w:r>
            <w:r w:rsidRPr="00D4309F">
              <w:rPr>
                <w:spacing w:val="-2"/>
              </w:rPr>
              <w:t>works</w:t>
            </w:r>
          </w:p>
        </w:tc>
      </w:tr>
      <w:tr w:rsidR="00E46799" w:rsidRPr="00D4309F" w14:paraId="5A266FFA" w14:textId="77777777" w:rsidTr="007E44C8">
        <w:trPr>
          <w:cantSplit/>
          <w:trHeight w:val="20"/>
        </w:trPr>
        <w:tc>
          <w:tcPr>
            <w:tcW w:w="479" w:type="pct"/>
            <w:tcBorders>
              <w:top w:val="single" w:sz="4" w:space="0" w:color="000000"/>
              <w:bottom w:val="single" w:sz="4" w:space="0" w:color="000000"/>
            </w:tcBorders>
            <w:vAlign w:val="center"/>
          </w:tcPr>
          <w:p w14:paraId="6242435C" w14:textId="353AD365" w:rsidR="00E46799" w:rsidRPr="00D4309F" w:rsidRDefault="00E46799" w:rsidP="007E44C8">
            <w:pPr>
              <w:pStyle w:val="Table-Text"/>
            </w:pPr>
            <w:r w:rsidRPr="00D4309F">
              <w:t>Marine</w:t>
            </w:r>
            <w:r w:rsidRPr="00D4309F">
              <w:rPr>
                <w:spacing w:val="-4"/>
              </w:rPr>
              <w:t xml:space="preserve"> </w:t>
            </w:r>
            <w:r w:rsidRPr="00D4309F">
              <w:t>fauna</w:t>
            </w:r>
          </w:p>
        </w:tc>
        <w:tc>
          <w:tcPr>
            <w:tcW w:w="503" w:type="pct"/>
            <w:tcBorders>
              <w:top w:val="single" w:sz="4" w:space="0" w:color="000000"/>
              <w:bottom w:val="single" w:sz="4" w:space="0" w:color="000000"/>
            </w:tcBorders>
            <w:vAlign w:val="center"/>
          </w:tcPr>
          <w:p w14:paraId="231F14F0" w14:textId="2CCCA195" w:rsidR="00E46799" w:rsidRPr="00D4309F" w:rsidRDefault="00E46799" w:rsidP="007E44C8">
            <w:pPr>
              <w:pStyle w:val="Table-Text"/>
            </w:pPr>
            <w:r w:rsidRPr="00D4309F">
              <w:rPr>
                <w:spacing w:val="-4"/>
              </w:rPr>
              <w:t xml:space="preserve">Site </w:t>
            </w:r>
            <w:r w:rsidRPr="00D4309F">
              <w:t>attached species</w:t>
            </w:r>
          </w:p>
        </w:tc>
        <w:tc>
          <w:tcPr>
            <w:tcW w:w="1072" w:type="pct"/>
            <w:tcBorders>
              <w:top w:val="single" w:sz="4" w:space="0" w:color="000000"/>
              <w:bottom w:val="single" w:sz="4" w:space="0" w:color="000000"/>
            </w:tcBorders>
            <w:vAlign w:val="center"/>
          </w:tcPr>
          <w:p w14:paraId="7A72FFF8" w14:textId="415FAD71" w:rsidR="00E46799" w:rsidRPr="00D4309F" w:rsidRDefault="00E46799" w:rsidP="007E44C8">
            <w:pPr>
              <w:pStyle w:val="Table-Bullet"/>
              <w:rPr>
                <w:spacing w:val="-2"/>
              </w:rPr>
            </w:pPr>
            <w:r w:rsidRPr="00D4309F">
              <w:rPr>
                <w:spacing w:val="-2"/>
              </w:rPr>
              <w:t xml:space="preserve">Mortality/injury/behavioural </w:t>
            </w:r>
            <w:r w:rsidRPr="00D4309F">
              <w:t>response</w:t>
            </w:r>
            <w:r w:rsidRPr="00D4309F">
              <w:rPr>
                <w:spacing w:val="-9"/>
              </w:rPr>
              <w:t xml:space="preserve"> </w:t>
            </w:r>
            <w:r w:rsidRPr="00D4309F">
              <w:t>due</w:t>
            </w:r>
            <w:r w:rsidRPr="00D4309F">
              <w:rPr>
                <w:spacing w:val="-9"/>
              </w:rPr>
              <w:t xml:space="preserve"> </w:t>
            </w:r>
            <w:r w:rsidRPr="00D4309F">
              <w:t>to</w:t>
            </w:r>
            <w:r w:rsidRPr="00D4309F">
              <w:rPr>
                <w:spacing w:val="-9"/>
              </w:rPr>
              <w:t xml:space="preserve"> </w:t>
            </w:r>
            <w:r w:rsidRPr="00D4309F">
              <w:t>toxic</w:t>
            </w:r>
            <w:r w:rsidRPr="00D4309F">
              <w:rPr>
                <w:spacing w:val="-8"/>
              </w:rPr>
              <w:t xml:space="preserve"> </w:t>
            </w:r>
            <w:r w:rsidRPr="00D4309F">
              <w:t>effects</w:t>
            </w:r>
            <w:r w:rsidRPr="00D4309F">
              <w:rPr>
                <w:spacing w:val="-8"/>
              </w:rPr>
              <w:t xml:space="preserve"> </w:t>
            </w:r>
            <w:r w:rsidRPr="00D4309F">
              <w:t xml:space="preserve">due to release of </w:t>
            </w:r>
            <w:r w:rsidRPr="00D4309F">
              <w:rPr>
                <w:spacing w:val="-2"/>
              </w:rPr>
              <w:t>contaminants/hypoxia</w:t>
            </w:r>
          </w:p>
        </w:tc>
        <w:tc>
          <w:tcPr>
            <w:tcW w:w="475" w:type="pct"/>
            <w:tcBorders>
              <w:top w:val="single" w:sz="4" w:space="0" w:color="000000"/>
              <w:bottom w:val="single" w:sz="4" w:space="0" w:color="000000"/>
            </w:tcBorders>
            <w:shd w:val="clear" w:color="auto" w:fill="92D050"/>
            <w:vAlign w:val="center"/>
          </w:tcPr>
          <w:p w14:paraId="28D2C38F" w14:textId="0E8D9980" w:rsidR="00E46799" w:rsidRPr="00D4309F" w:rsidRDefault="00E46799" w:rsidP="00E46799">
            <w:pPr>
              <w:pStyle w:val="TableParagraph"/>
              <w:ind w:left="171" w:right="171"/>
              <w:rPr>
                <w:b/>
                <w:color w:val="211E1F"/>
                <w:spacing w:val="-2"/>
                <w:sz w:val="18"/>
              </w:rPr>
            </w:pPr>
            <w:r w:rsidRPr="00D4309F">
              <w:rPr>
                <w:b/>
                <w:color w:val="211E1F"/>
                <w:spacing w:val="-5"/>
                <w:sz w:val="18"/>
              </w:rPr>
              <w:t>Low</w:t>
            </w:r>
          </w:p>
        </w:tc>
        <w:tc>
          <w:tcPr>
            <w:tcW w:w="1048" w:type="pct"/>
            <w:tcBorders>
              <w:top w:val="single" w:sz="4" w:space="0" w:color="000000"/>
              <w:bottom w:val="single" w:sz="4" w:space="0" w:color="000000"/>
            </w:tcBorders>
            <w:vAlign w:val="center"/>
          </w:tcPr>
          <w:p w14:paraId="694687FB" w14:textId="77777777" w:rsidR="00E46799" w:rsidRPr="00D4309F" w:rsidRDefault="00E46799" w:rsidP="007E44C8">
            <w:pPr>
              <w:pStyle w:val="Table-Bullet"/>
            </w:pPr>
            <w:r w:rsidRPr="00D4309F">
              <w:t>Dredge sediments likely comprise clean marine sand free of contaminants</w:t>
            </w:r>
            <w:r w:rsidRPr="00D4309F">
              <w:rPr>
                <w:spacing w:val="-9"/>
              </w:rPr>
              <w:t xml:space="preserve"> </w:t>
            </w:r>
            <w:r w:rsidRPr="00D4309F">
              <w:t>with</w:t>
            </w:r>
            <w:r w:rsidRPr="00D4309F">
              <w:rPr>
                <w:spacing w:val="-11"/>
              </w:rPr>
              <w:t xml:space="preserve"> </w:t>
            </w:r>
            <w:r w:rsidRPr="00D4309F">
              <w:t>low</w:t>
            </w:r>
            <w:r w:rsidRPr="00D4309F">
              <w:rPr>
                <w:spacing w:val="-9"/>
              </w:rPr>
              <w:t xml:space="preserve"> </w:t>
            </w:r>
            <w:r w:rsidRPr="00D4309F">
              <w:t>organic</w:t>
            </w:r>
            <w:r w:rsidRPr="00D4309F">
              <w:rPr>
                <w:spacing w:val="-10"/>
              </w:rPr>
              <w:t xml:space="preserve"> </w:t>
            </w:r>
            <w:r w:rsidRPr="00D4309F">
              <w:t xml:space="preserve">matter </w:t>
            </w:r>
            <w:r w:rsidRPr="00D4309F">
              <w:rPr>
                <w:spacing w:val="-2"/>
              </w:rPr>
              <w:t>content</w:t>
            </w:r>
          </w:p>
          <w:p w14:paraId="38A4FF2B" w14:textId="51DBA922" w:rsidR="00E46799" w:rsidRPr="00D4309F" w:rsidRDefault="00E46799" w:rsidP="007E44C8">
            <w:pPr>
              <w:pStyle w:val="Table-Bullet"/>
            </w:pPr>
            <w:r w:rsidRPr="00D4309F">
              <w:t>Rock</w:t>
            </w:r>
            <w:r w:rsidRPr="00D4309F">
              <w:rPr>
                <w:spacing w:val="-2"/>
              </w:rPr>
              <w:t xml:space="preserve"> </w:t>
            </w:r>
            <w:r w:rsidRPr="00D4309F">
              <w:t>is</w:t>
            </w:r>
            <w:r w:rsidRPr="00D4309F">
              <w:rPr>
                <w:spacing w:val="-1"/>
              </w:rPr>
              <w:t xml:space="preserve"> </w:t>
            </w:r>
            <w:r w:rsidRPr="00D4309F">
              <w:t>likely</w:t>
            </w:r>
            <w:r w:rsidRPr="00D4309F">
              <w:rPr>
                <w:spacing w:val="-2"/>
              </w:rPr>
              <w:t xml:space="preserve"> </w:t>
            </w:r>
            <w:r w:rsidRPr="00D4309F">
              <w:t>to</w:t>
            </w:r>
            <w:r w:rsidRPr="00D4309F">
              <w:rPr>
                <w:spacing w:val="-2"/>
              </w:rPr>
              <w:t xml:space="preserve"> </w:t>
            </w:r>
            <w:r w:rsidRPr="00D4309F">
              <w:t>be</w:t>
            </w:r>
            <w:r w:rsidRPr="00D4309F">
              <w:rPr>
                <w:spacing w:val="-2"/>
              </w:rPr>
              <w:t xml:space="preserve"> uncontaminated</w:t>
            </w:r>
          </w:p>
        </w:tc>
        <w:tc>
          <w:tcPr>
            <w:tcW w:w="677" w:type="pct"/>
            <w:tcBorders>
              <w:top w:val="single" w:sz="4" w:space="0" w:color="000000"/>
              <w:bottom w:val="single" w:sz="4" w:space="0" w:color="000000"/>
            </w:tcBorders>
            <w:vAlign w:val="center"/>
          </w:tcPr>
          <w:p w14:paraId="2CDDF3A2" w14:textId="72F46E57" w:rsidR="00E46799" w:rsidRPr="00D4309F" w:rsidRDefault="00E46799" w:rsidP="007E44C8">
            <w:pPr>
              <w:pStyle w:val="Table-Bullet"/>
            </w:pPr>
            <w:r w:rsidRPr="00D4309F">
              <w:t>Assumption that suitable</w:t>
            </w:r>
            <w:r w:rsidRPr="00D4309F">
              <w:rPr>
                <w:spacing w:val="-15"/>
              </w:rPr>
              <w:t xml:space="preserve"> </w:t>
            </w:r>
            <w:r w:rsidRPr="00D4309F">
              <w:t>data</w:t>
            </w:r>
            <w:r w:rsidRPr="00D4309F">
              <w:rPr>
                <w:spacing w:val="-12"/>
              </w:rPr>
              <w:t xml:space="preserve"> </w:t>
            </w:r>
            <w:r w:rsidRPr="00D4309F">
              <w:t>exists to inform this risk</w:t>
            </w:r>
          </w:p>
        </w:tc>
        <w:tc>
          <w:tcPr>
            <w:tcW w:w="746" w:type="pct"/>
            <w:tcBorders>
              <w:top w:val="single" w:sz="4" w:space="0" w:color="000000"/>
              <w:bottom w:val="single" w:sz="4" w:space="0" w:color="000000"/>
            </w:tcBorders>
            <w:vAlign w:val="center"/>
          </w:tcPr>
          <w:p w14:paraId="59D84D9D" w14:textId="2639FC83" w:rsidR="00E46799" w:rsidRPr="00D4309F" w:rsidRDefault="00E46799" w:rsidP="007E44C8">
            <w:pPr>
              <w:pStyle w:val="Table-Bullet"/>
            </w:pPr>
            <w:r w:rsidRPr="00D4309F">
              <w:rPr>
                <w:spacing w:val="-4"/>
              </w:rPr>
              <w:t>None</w:t>
            </w:r>
          </w:p>
        </w:tc>
      </w:tr>
      <w:tr w:rsidR="00E46799" w:rsidRPr="00D4309F" w14:paraId="7304453F" w14:textId="77777777" w:rsidTr="007E44C8">
        <w:trPr>
          <w:cantSplit/>
          <w:trHeight w:val="20"/>
        </w:trPr>
        <w:tc>
          <w:tcPr>
            <w:tcW w:w="479" w:type="pct"/>
            <w:tcBorders>
              <w:top w:val="single" w:sz="4" w:space="0" w:color="000000"/>
              <w:bottom w:val="single" w:sz="4" w:space="0" w:color="000000"/>
            </w:tcBorders>
            <w:vAlign w:val="center"/>
          </w:tcPr>
          <w:p w14:paraId="661EAA1F" w14:textId="1998FFA4" w:rsidR="00E46799" w:rsidRPr="00D4309F" w:rsidRDefault="00E46799" w:rsidP="007E44C8">
            <w:pPr>
              <w:pStyle w:val="Table-Text"/>
            </w:pPr>
            <w:r w:rsidRPr="00D4309F">
              <w:t>Marine</w:t>
            </w:r>
            <w:r w:rsidRPr="00D4309F">
              <w:rPr>
                <w:spacing w:val="-4"/>
              </w:rPr>
              <w:t xml:space="preserve"> </w:t>
            </w:r>
            <w:r w:rsidRPr="00D4309F">
              <w:t>fauna</w:t>
            </w:r>
          </w:p>
        </w:tc>
        <w:tc>
          <w:tcPr>
            <w:tcW w:w="503" w:type="pct"/>
            <w:tcBorders>
              <w:top w:val="single" w:sz="4" w:space="0" w:color="000000"/>
              <w:bottom w:val="single" w:sz="4" w:space="0" w:color="000000"/>
            </w:tcBorders>
            <w:vAlign w:val="center"/>
          </w:tcPr>
          <w:p w14:paraId="417141C6" w14:textId="1D93E616" w:rsidR="00E46799" w:rsidRPr="00D4309F" w:rsidRDefault="00E46799" w:rsidP="007E44C8">
            <w:pPr>
              <w:pStyle w:val="Table-Text"/>
            </w:pPr>
            <w:r w:rsidRPr="00D4309F">
              <w:t>Mobile species</w:t>
            </w:r>
          </w:p>
        </w:tc>
        <w:tc>
          <w:tcPr>
            <w:tcW w:w="1072" w:type="pct"/>
            <w:tcBorders>
              <w:top w:val="single" w:sz="4" w:space="0" w:color="000000"/>
              <w:bottom w:val="single" w:sz="4" w:space="0" w:color="000000"/>
            </w:tcBorders>
            <w:vAlign w:val="center"/>
          </w:tcPr>
          <w:p w14:paraId="4DEE939D" w14:textId="77777777" w:rsidR="00E46799" w:rsidRPr="00D4309F" w:rsidRDefault="00E46799" w:rsidP="007E44C8">
            <w:pPr>
              <w:pStyle w:val="Table-Bullet"/>
            </w:pPr>
            <w:r w:rsidRPr="00D4309F">
              <w:t>Vessel</w:t>
            </w:r>
            <w:r w:rsidRPr="00D4309F">
              <w:rPr>
                <w:spacing w:val="-5"/>
              </w:rPr>
              <w:t xml:space="preserve"> </w:t>
            </w:r>
            <w:r w:rsidRPr="00D4309F">
              <w:rPr>
                <w:spacing w:val="-2"/>
              </w:rPr>
              <w:t>collision</w:t>
            </w:r>
          </w:p>
          <w:p w14:paraId="54A1BBA9" w14:textId="77777777" w:rsidR="00E46799" w:rsidRPr="00D4309F" w:rsidRDefault="00E46799" w:rsidP="007E44C8">
            <w:pPr>
              <w:pStyle w:val="Table-Bullet"/>
            </w:pPr>
            <w:r w:rsidRPr="00D4309F">
              <w:t>Direct</w:t>
            </w:r>
            <w:r w:rsidRPr="00D4309F">
              <w:rPr>
                <w:spacing w:val="-13"/>
              </w:rPr>
              <w:t xml:space="preserve"> </w:t>
            </w:r>
            <w:r w:rsidRPr="00D4309F">
              <w:t>mortality/injury</w:t>
            </w:r>
            <w:r w:rsidRPr="00D4309F">
              <w:rPr>
                <w:spacing w:val="-12"/>
              </w:rPr>
              <w:t xml:space="preserve"> </w:t>
            </w:r>
            <w:r w:rsidRPr="00D4309F">
              <w:t>due</w:t>
            </w:r>
            <w:r w:rsidRPr="00D4309F">
              <w:rPr>
                <w:spacing w:val="-13"/>
              </w:rPr>
              <w:t xml:space="preserve"> </w:t>
            </w:r>
            <w:r w:rsidRPr="00D4309F">
              <w:t xml:space="preserve">to </w:t>
            </w:r>
            <w:r w:rsidRPr="00D4309F">
              <w:rPr>
                <w:spacing w:val="-2"/>
              </w:rPr>
              <w:t>dredging</w:t>
            </w:r>
          </w:p>
          <w:p w14:paraId="5BA92320" w14:textId="77777777" w:rsidR="00E46799" w:rsidRPr="00D4309F" w:rsidRDefault="00E46799" w:rsidP="007E44C8">
            <w:pPr>
              <w:pStyle w:val="Table-Bullet"/>
            </w:pPr>
            <w:r w:rsidRPr="00D4309F">
              <w:rPr>
                <w:spacing w:val="-2"/>
              </w:rPr>
              <w:t xml:space="preserve">Mortality/injury/behavioural </w:t>
            </w:r>
            <w:r w:rsidRPr="00D4309F">
              <w:t>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physical</w:t>
            </w:r>
            <w:r w:rsidRPr="00D4309F">
              <w:rPr>
                <w:spacing w:val="-9"/>
              </w:rPr>
              <w:t xml:space="preserve"> </w:t>
            </w:r>
            <w:r w:rsidRPr="00D4309F">
              <w:t>effects of turbidity</w:t>
            </w:r>
          </w:p>
          <w:p w14:paraId="30F532F4" w14:textId="02B56F93" w:rsidR="00E46799" w:rsidRPr="00D4309F" w:rsidRDefault="00E46799" w:rsidP="007E44C8">
            <w:pPr>
              <w:pStyle w:val="Table-Bullet"/>
              <w:rPr>
                <w:spacing w:val="-2"/>
              </w:rPr>
            </w:pPr>
            <w:r w:rsidRPr="00D4309F">
              <w:rPr>
                <w:spacing w:val="-2"/>
              </w:rPr>
              <w:t xml:space="preserve">Mortality/injury/behavioural </w:t>
            </w:r>
            <w:r w:rsidRPr="00D4309F">
              <w:t>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smothering</w:t>
            </w:r>
            <w:r w:rsidRPr="00D4309F">
              <w:rPr>
                <w:spacing w:val="-10"/>
              </w:rPr>
              <w:t xml:space="preserve"> </w:t>
            </w:r>
            <w:r w:rsidRPr="00D4309F">
              <w:t>at disposal site</w:t>
            </w:r>
          </w:p>
        </w:tc>
        <w:tc>
          <w:tcPr>
            <w:tcW w:w="475" w:type="pct"/>
            <w:tcBorders>
              <w:top w:val="single" w:sz="4" w:space="0" w:color="000000"/>
              <w:bottom w:val="single" w:sz="4" w:space="0" w:color="000000"/>
            </w:tcBorders>
            <w:shd w:val="clear" w:color="auto" w:fill="92D050"/>
            <w:vAlign w:val="center"/>
          </w:tcPr>
          <w:p w14:paraId="49B0954E" w14:textId="058611EE" w:rsidR="00E46799" w:rsidRPr="00D4309F" w:rsidRDefault="00E46799" w:rsidP="00E46799">
            <w:pPr>
              <w:pStyle w:val="TableParagraph"/>
              <w:ind w:left="171" w:right="171"/>
              <w:rPr>
                <w:b/>
                <w:color w:val="211E1F"/>
                <w:spacing w:val="-2"/>
                <w:sz w:val="18"/>
              </w:rPr>
            </w:pPr>
            <w:r w:rsidRPr="00D4309F">
              <w:rPr>
                <w:b/>
                <w:color w:val="211E1F"/>
                <w:spacing w:val="-5"/>
                <w:sz w:val="18"/>
              </w:rPr>
              <w:t>Low</w:t>
            </w:r>
          </w:p>
        </w:tc>
        <w:tc>
          <w:tcPr>
            <w:tcW w:w="1048" w:type="pct"/>
            <w:tcBorders>
              <w:top w:val="single" w:sz="4" w:space="0" w:color="000000"/>
              <w:bottom w:val="single" w:sz="4" w:space="0" w:color="000000"/>
            </w:tcBorders>
            <w:vAlign w:val="center"/>
          </w:tcPr>
          <w:p w14:paraId="165CA2F0" w14:textId="036A7B6F" w:rsidR="00E46799" w:rsidRPr="00D4309F" w:rsidRDefault="00E46799" w:rsidP="007E44C8">
            <w:pPr>
              <w:pStyle w:val="Table-Bullet"/>
            </w:pPr>
            <w:r w:rsidRPr="00D4309F">
              <w:t>Mobile species including the critically endangered Grey Nurse Shark and conservation dependant scalloped hammerhead</w:t>
            </w:r>
            <w:r w:rsidRPr="00D4309F">
              <w:rPr>
                <w:spacing w:val="-10"/>
              </w:rPr>
              <w:t xml:space="preserve"> </w:t>
            </w:r>
            <w:r w:rsidRPr="00D4309F">
              <w:t>will</w:t>
            </w:r>
            <w:r w:rsidRPr="00D4309F">
              <w:rPr>
                <w:spacing w:val="-10"/>
              </w:rPr>
              <w:t xml:space="preserve"> </w:t>
            </w:r>
            <w:r w:rsidRPr="00D4309F">
              <w:t>actively</w:t>
            </w:r>
            <w:r w:rsidRPr="00D4309F">
              <w:rPr>
                <w:spacing w:val="-10"/>
              </w:rPr>
              <w:t xml:space="preserve"> </w:t>
            </w:r>
            <w:r w:rsidRPr="00D4309F">
              <w:t>avoid</w:t>
            </w:r>
            <w:r w:rsidRPr="00D4309F">
              <w:rPr>
                <w:spacing w:val="-11"/>
              </w:rPr>
              <w:t xml:space="preserve"> </w:t>
            </w:r>
            <w:r w:rsidRPr="00D4309F">
              <w:t>areas of activity</w:t>
            </w:r>
          </w:p>
        </w:tc>
        <w:tc>
          <w:tcPr>
            <w:tcW w:w="677" w:type="pct"/>
            <w:tcBorders>
              <w:top w:val="single" w:sz="4" w:space="0" w:color="000000"/>
              <w:bottom w:val="single" w:sz="4" w:space="0" w:color="000000"/>
            </w:tcBorders>
            <w:vAlign w:val="center"/>
          </w:tcPr>
          <w:p w14:paraId="7AE37D3E" w14:textId="270DFCA0" w:rsidR="00E46799" w:rsidRPr="00D4309F" w:rsidRDefault="00E46799" w:rsidP="007E44C8">
            <w:pPr>
              <w:pStyle w:val="Table-Bullet"/>
            </w:pPr>
            <w:r w:rsidRPr="00D4309F">
              <w:rPr>
                <w:color w:val="211E1F"/>
                <w:spacing w:val="-4"/>
              </w:rPr>
              <w:t>None</w:t>
            </w:r>
          </w:p>
        </w:tc>
        <w:tc>
          <w:tcPr>
            <w:tcW w:w="746" w:type="pct"/>
            <w:tcBorders>
              <w:top w:val="single" w:sz="4" w:space="0" w:color="000000"/>
              <w:bottom w:val="single" w:sz="4" w:space="0" w:color="000000"/>
            </w:tcBorders>
            <w:vAlign w:val="center"/>
          </w:tcPr>
          <w:p w14:paraId="0448AC3D" w14:textId="5EA15041" w:rsidR="00E46799" w:rsidRPr="00D4309F" w:rsidRDefault="00E46799" w:rsidP="007E44C8">
            <w:pPr>
              <w:pStyle w:val="Table-Bullet"/>
            </w:pPr>
            <w:r w:rsidRPr="00D4309F">
              <w:rPr>
                <w:color w:val="211E1F"/>
                <w:spacing w:val="-4"/>
              </w:rPr>
              <w:t>None</w:t>
            </w:r>
          </w:p>
        </w:tc>
      </w:tr>
      <w:tr w:rsidR="00E46799" w:rsidRPr="00D4309F" w14:paraId="3A3FF5BE" w14:textId="77777777" w:rsidTr="007E44C8">
        <w:trPr>
          <w:cantSplit/>
          <w:trHeight w:val="20"/>
        </w:trPr>
        <w:tc>
          <w:tcPr>
            <w:tcW w:w="479" w:type="pct"/>
            <w:tcBorders>
              <w:top w:val="single" w:sz="4" w:space="0" w:color="000000"/>
              <w:bottom w:val="single" w:sz="4" w:space="0" w:color="000000"/>
            </w:tcBorders>
            <w:vAlign w:val="center"/>
          </w:tcPr>
          <w:p w14:paraId="6B7FECEE" w14:textId="6D90C785" w:rsidR="00E46799" w:rsidRPr="00D4309F" w:rsidRDefault="00E46799" w:rsidP="007E44C8">
            <w:pPr>
              <w:pStyle w:val="Table-Text"/>
            </w:pPr>
            <w:r w:rsidRPr="00D4309F">
              <w:lastRenderedPageBreak/>
              <w:t>Marine</w:t>
            </w:r>
            <w:r w:rsidRPr="00D4309F">
              <w:rPr>
                <w:spacing w:val="-4"/>
              </w:rPr>
              <w:t xml:space="preserve"> </w:t>
            </w:r>
            <w:r w:rsidRPr="00D4309F">
              <w:t>fauna</w:t>
            </w:r>
          </w:p>
        </w:tc>
        <w:tc>
          <w:tcPr>
            <w:tcW w:w="503" w:type="pct"/>
            <w:tcBorders>
              <w:top w:val="single" w:sz="4" w:space="0" w:color="000000"/>
              <w:bottom w:val="single" w:sz="4" w:space="0" w:color="000000"/>
            </w:tcBorders>
            <w:vAlign w:val="center"/>
          </w:tcPr>
          <w:p w14:paraId="25B16731" w14:textId="66432776" w:rsidR="00E46799" w:rsidRPr="00D4309F" w:rsidRDefault="00E46799" w:rsidP="007E44C8">
            <w:pPr>
              <w:pStyle w:val="Table-Text"/>
            </w:pPr>
            <w:r w:rsidRPr="00D4309F">
              <w:t>Mobile species</w:t>
            </w:r>
          </w:p>
        </w:tc>
        <w:tc>
          <w:tcPr>
            <w:tcW w:w="1072" w:type="pct"/>
            <w:tcBorders>
              <w:top w:val="single" w:sz="4" w:space="0" w:color="000000"/>
              <w:bottom w:val="single" w:sz="4" w:space="0" w:color="000000"/>
            </w:tcBorders>
            <w:vAlign w:val="center"/>
          </w:tcPr>
          <w:p w14:paraId="21D078AD" w14:textId="394DB44E" w:rsidR="00E46799" w:rsidRPr="00D4309F" w:rsidRDefault="00E46799" w:rsidP="007E44C8">
            <w:pPr>
              <w:pStyle w:val="Table-Bullet"/>
              <w:rPr>
                <w:spacing w:val="-2"/>
              </w:rPr>
            </w:pPr>
            <w:r w:rsidRPr="00D4309F">
              <w:rPr>
                <w:spacing w:val="-2"/>
              </w:rPr>
              <w:t xml:space="preserve">Mortality/injury/behavioural </w:t>
            </w:r>
            <w:r w:rsidRPr="00D4309F">
              <w:t>response</w:t>
            </w:r>
            <w:r w:rsidRPr="00D4309F">
              <w:rPr>
                <w:spacing w:val="-9"/>
              </w:rPr>
              <w:t xml:space="preserve"> </w:t>
            </w:r>
            <w:r w:rsidRPr="00D4309F">
              <w:t>due</w:t>
            </w:r>
            <w:r w:rsidRPr="00D4309F">
              <w:rPr>
                <w:spacing w:val="-9"/>
              </w:rPr>
              <w:t xml:space="preserve"> </w:t>
            </w:r>
            <w:r w:rsidRPr="00D4309F">
              <w:t>to</w:t>
            </w:r>
            <w:r w:rsidRPr="00D4309F">
              <w:rPr>
                <w:spacing w:val="-9"/>
              </w:rPr>
              <w:t xml:space="preserve"> </w:t>
            </w:r>
            <w:r w:rsidRPr="00D4309F">
              <w:t>toxic</w:t>
            </w:r>
            <w:r w:rsidRPr="00D4309F">
              <w:rPr>
                <w:spacing w:val="-8"/>
              </w:rPr>
              <w:t xml:space="preserve"> </w:t>
            </w:r>
            <w:r w:rsidRPr="00D4309F">
              <w:t>effects</w:t>
            </w:r>
            <w:r w:rsidRPr="00D4309F">
              <w:rPr>
                <w:spacing w:val="-8"/>
              </w:rPr>
              <w:t xml:space="preserve"> </w:t>
            </w:r>
            <w:r w:rsidRPr="00D4309F">
              <w:t xml:space="preserve">due to release of </w:t>
            </w:r>
            <w:r w:rsidRPr="00D4309F">
              <w:rPr>
                <w:spacing w:val="-2"/>
              </w:rPr>
              <w:t>contaminants/hypoxia</w:t>
            </w:r>
          </w:p>
        </w:tc>
        <w:tc>
          <w:tcPr>
            <w:tcW w:w="475" w:type="pct"/>
            <w:tcBorders>
              <w:top w:val="single" w:sz="4" w:space="0" w:color="000000"/>
              <w:bottom w:val="single" w:sz="4" w:space="0" w:color="000000"/>
            </w:tcBorders>
            <w:shd w:val="clear" w:color="auto" w:fill="92D050"/>
            <w:vAlign w:val="center"/>
          </w:tcPr>
          <w:p w14:paraId="55B24F53" w14:textId="750AF763" w:rsidR="00E46799" w:rsidRPr="00D4309F" w:rsidRDefault="00E46799" w:rsidP="00E46799">
            <w:pPr>
              <w:pStyle w:val="TableParagraph"/>
              <w:ind w:left="171" w:right="171"/>
              <w:rPr>
                <w:b/>
                <w:color w:val="211E1F"/>
                <w:spacing w:val="-2"/>
                <w:sz w:val="18"/>
              </w:rPr>
            </w:pPr>
            <w:r w:rsidRPr="00D4309F">
              <w:rPr>
                <w:b/>
                <w:color w:val="211E1F"/>
                <w:spacing w:val="-5"/>
                <w:sz w:val="18"/>
              </w:rPr>
              <w:t>Low</w:t>
            </w:r>
          </w:p>
        </w:tc>
        <w:tc>
          <w:tcPr>
            <w:tcW w:w="1048" w:type="pct"/>
            <w:tcBorders>
              <w:top w:val="single" w:sz="4" w:space="0" w:color="000000"/>
              <w:bottom w:val="single" w:sz="4" w:space="0" w:color="000000"/>
            </w:tcBorders>
            <w:vAlign w:val="center"/>
          </w:tcPr>
          <w:p w14:paraId="40C1961D" w14:textId="77777777" w:rsidR="00E46799" w:rsidRPr="00D4309F" w:rsidRDefault="00E46799" w:rsidP="007E44C8">
            <w:pPr>
              <w:pStyle w:val="Table-Bullet"/>
            </w:pPr>
            <w:r w:rsidRPr="00D4309F">
              <w:t>Dredge sediments likely comprise clean marine sand free of contaminants</w:t>
            </w:r>
            <w:r w:rsidRPr="00D4309F">
              <w:rPr>
                <w:spacing w:val="-9"/>
              </w:rPr>
              <w:t xml:space="preserve"> </w:t>
            </w:r>
            <w:r w:rsidRPr="00D4309F">
              <w:t>with</w:t>
            </w:r>
            <w:r w:rsidRPr="00D4309F">
              <w:rPr>
                <w:spacing w:val="-11"/>
              </w:rPr>
              <w:t xml:space="preserve"> </w:t>
            </w:r>
            <w:r w:rsidRPr="00D4309F">
              <w:t>low</w:t>
            </w:r>
            <w:r w:rsidRPr="00D4309F">
              <w:rPr>
                <w:spacing w:val="-9"/>
              </w:rPr>
              <w:t xml:space="preserve"> </w:t>
            </w:r>
            <w:r w:rsidRPr="00D4309F">
              <w:t>organic</w:t>
            </w:r>
            <w:r w:rsidRPr="00D4309F">
              <w:rPr>
                <w:spacing w:val="-10"/>
              </w:rPr>
              <w:t xml:space="preserve"> </w:t>
            </w:r>
            <w:r w:rsidRPr="00D4309F">
              <w:t xml:space="preserve">matter </w:t>
            </w:r>
            <w:r w:rsidRPr="00D4309F">
              <w:rPr>
                <w:spacing w:val="-2"/>
              </w:rPr>
              <w:t>content</w:t>
            </w:r>
          </w:p>
          <w:p w14:paraId="349A121F" w14:textId="5DA8A7D5" w:rsidR="00E46799" w:rsidRPr="00D4309F" w:rsidRDefault="00E46799" w:rsidP="007E44C8">
            <w:pPr>
              <w:pStyle w:val="Table-Bullet"/>
            </w:pPr>
            <w:r w:rsidRPr="00D4309F">
              <w:t>Rock</w:t>
            </w:r>
            <w:r w:rsidRPr="00D4309F">
              <w:rPr>
                <w:spacing w:val="-2"/>
              </w:rPr>
              <w:t xml:space="preserve"> </w:t>
            </w:r>
            <w:r w:rsidRPr="00D4309F">
              <w:t>is</w:t>
            </w:r>
            <w:r w:rsidRPr="00D4309F">
              <w:rPr>
                <w:spacing w:val="-1"/>
              </w:rPr>
              <w:t xml:space="preserve"> </w:t>
            </w:r>
            <w:r w:rsidRPr="00D4309F">
              <w:t>likely</w:t>
            </w:r>
            <w:r w:rsidRPr="00D4309F">
              <w:rPr>
                <w:spacing w:val="-2"/>
              </w:rPr>
              <w:t xml:space="preserve"> </w:t>
            </w:r>
            <w:r w:rsidRPr="00D4309F">
              <w:t>to</w:t>
            </w:r>
            <w:r w:rsidRPr="00D4309F">
              <w:rPr>
                <w:spacing w:val="-2"/>
              </w:rPr>
              <w:t xml:space="preserve"> </w:t>
            </w:r>
            <w:r w:rsidRPr="00D4309F">
              <w:t>be</w:t>
            </w:r>
            <w:r w:rsidRPr="00D4309F">
              <w:rPr>
                <w:spacing w:val="-2"/>
              </w:rPr>
              <w:t xml:space="preserve"> uncontaminated</w:t>
            </w:r>
          </w:p>
        </w:tc>
        <w:tc>
          <w:tcPr>
            <w:tcW w:w="677" w:type="pct"/>
            <w:tcBorders>
              <w:top w:val="single" w:sz="4" w:space="0" w:color="000000"/>
              <w:bottom w:val="single" w:sz="4" w:space="0" w:color="000000"/>
            </w:tcBorders>
            <w:vAlign w:val="center"/>
          </w:tcPr>
          <w:p w14:paraId="15B6097A" w14:textId="2A3B734B" w:rsidR="00E46799" w:rsidRPr="00D4309F" w:rsidRDefault="00E46799" w:rsidP="007E44C8">
            <w:pPr>
              <w:pStyle w:val="Table-Bullet"/>
            </w:pPr>
            <w:r w:rsidRPr="00D4309F">
              <w:t>Assumption that suitable</w:t>
            </w:r>
            <w:r w:rsidRPr="00D4309F">
              <w:rPr>
                <w:spacing w:val="-15"/>
              </w:rPr>
              <w:t xml:space="preserve"> </w:t>
            </w:r>
            <w:r w:rsidRPr="00D4309F">
              <w:t>data</w:t>
            </w:r>
            <w:r w:rsidRPr="00D4309F">
              <w:rPr>
                <w:spacing w:val="-12"/>
              </w:rPr>
              <w:t xml:space="preserve"> </w:t>
            </w:r>
            <w:r w:rsidRPr="00D4309F">
              <w:t>exists to inform this risk</w:t>
            </w:r>
          </w:p>
        </w:tc>
        <w:tc>
          <w:tcPr>
            <w:tcW w:w="746" w:type="pct"/>
            <w:tcBorders>
              <w:top w:val="single" w:sz="4" w:space="0" w:color="000000"/>
              <w:bottom w:val="single" w:sz="4" w:space="0" w:color="000000"/>
            </w:tcBorders>
            <w:vAlign w:val="center"/>
          </w:tcPr>
          <w:p w14:paraId="03965B79" w14:textId="45C2C0B7" w:rsidR="00E46799" w:rsidRPr="00D4309F" w:rsidRDefault="00E46799" w:rsidP="007E44C8">
            <w:pPr>
              <w:pStyle w:val="Table-Bullet"/>
            </w:pPr>
            <w:r w:rsidRPr="00D4309F">
              <w:rPr>
                <w:color w:val="211E1F"/>
                <w:spacing w:val="-4"/>
              </w:rPr>
              <w:t>None</w:t>
            </w:r>
          </w:p>
        </w:tc>
      </w:tr>
      <w:tr w:rsidR="00E46799" w:rsidRPr="00D4309F" w14:paraId="25597440" w14:textId="77777777" w:rsidTr="007E44C8">
        <w:trPr>
          <w:cantSplit/>
          <w:trHeight w:val="20"/>
        </w:trPr>
        <w:tc>
          <w:tcPr>
            <w:tcW w:w="479" w:type="pct"/>
            <w:tcBorders>
              <w:top w:val="single" w:sz="4" w:space="0" w:color="000000"/>
              <w:bottom w:val="single" w:sz="4" w:space="0" w:color="000000"/>
            </w:tcBorders>
            <w:vAlign w:val="center"/>
          </w:tcPr>
          <w:p w14:paraId="5061719B" w14:textId="24E9273D" w:rsidR="00E46799" w:rsidRPr="00D4309F" w:rsidRDefault="00E46799" w:rsidP="007E44C8">
            <w:pPr>
              <w:pStyle w:val="Table-Text"/>
            </w:pPr>
            <w:r w:rsidRPr="00D4309F">
              <w:t>Benthic habitats</w:t>
            </w:r>
          </w:p>
        </w:tc>
        <w:tc>
          <w:tcPr>
            <w:tcW w:w="503" w:type="pct"/>
            <w:tcBorders>
              <w:top w:val="single" w:sz="4" w:space="0" w:color="000000"/>
              <w:bottom w:val="single" w:sz="4" w:space="0" w:color="000000"/>
            </w:tcBorders>
            <w:vAlign w:val="center"/>
          </w:tcPr>
          <w:p w14:paraId="45502891" w14:textId="1F93246E" w:rsidR="00E46799" w:rsidRPr="00D4309F" w:rsidRDefault="00E46799" w:rsidP="007E44C8">
            <w:pPr>
              <w:pStyle w:val="Table-Text"/>
            </w:pPr>
            <w:r w:rsidRPr="00D4309F">
              <w:t>Rocky</w:t>
            </w:r>
            <w:r w:rsidRPr="00D4309F">
              <w:rPr>
                <w:spacing w:val="-13"/>
              </w:rPr>
              <w:t xml:space="preserve"> </w:t>
            </w:r>
            <w:r w:rsidRPr="00D4309F">
              <w:t>reef habitat, seagrass and</w:t>
            </w:r>
            <w:r w:rsidRPr="00D4309F">
              <w:rPr>
                <w:spacing w:val="-9"/>
              </w:rPr>
              <w:t xml:space="preserve"> </w:t>
            </w:r>
            <w:r w:rsidRPr="00D4309F">
              <w:t>corals</w:t>
            </w:r>
          </w:p>
        </w:tc>
        <w:tc>
          <w:tcPr>
            <w:tcW w:w="1072" w:type="pct"/>
            <w:tcBorders>
              <w:top w:val="single" w:sz="4" w:space="0" w:color="000000"/>
              <w:bottom w:val="single" w:sz="4" w:space="0" w:color="000000"/>
            </w:tcBorders>
            <w:vAlign w:val="center"/>
          </w:tcPr>
          <w:p w14:paraId="6AE95E8F" w14:textId="77777777" w:rsidR="00E46799" w:rsidRPr="00D4309F" w:rsidRDefault="00E46799" w:rsidP="007E44C8">
            <w:pPr>
              <w:pStyle w:val="Table-Bullet"/>
            </w:pPr>
            <w:r w:rsidRPr="00D4309F">
              <w:t>Direct</w:t>
            </w:r>
            <w:r w:rsidRPr="00D4309F">
              <w:rPr>
                <w:spacing w:val="-2"/>
              </w:rPr>
              <w:t xml:space="preserve"> </w:t>
            </w:r>
            <w:r w:rsidRPr="00D4309F">
              <w:t>removal</w:t>
            </w:r>
            <w:r w:rsidRPr="00D4309F">
              <w:rPr>
                <w:spacing w:val="-1"/>
              </w:rPr>
              <w:t xml:space="preserve"> </w:t>
            </w:r>
            <w:r w:rsidRPr="00D4309F">
              <w:t>due</w:t>
            </w:r>
            <w:r w:rsidRPr="00D4309F">
              <w:rPr>
                <w:spacing w:val="-3"/>
              </w:rPr>
              <w:t xml:space="preserve"> </w:t>
            </w:r>
            <w:r w:rsidRPr="00D4309F">
              <w:t>to</w:t>
            </w:r>
            <w:r w:rsidRPr="00D4309F">
              <w:rPr>
                <w:spacing w:val="-2"/>
              </w:rPr>
              <w:t xml:space="preserve"> dredging</w:t>
            </w:r>
          </w:p>
          <w:p w14:paraId="15DD828C" w14:textId="77777777" w:rsidR="00E46799" w:rsidRPr="00D4309F" w:rsidRDefault="00E46799" w:rsidP="007E44C8">
            <w:pPr>
              <w:pStyle w:val="Table-Bullet"/>
            </w:pPr>
            <w:r w:rsidRPr="00D4309F">
              <w:t>Generation</w:t>
            </w:r>
            <w:r w:rsidRPr="00D4309F">
              <w:rPr>
                <w:spacing w:val="-4"/>
              </w:rPr>
              <w:t xml:space="preserve"> </w:t>
            </w:r>
            <w:r w:rsidRPr="00D4309F">
              <w:t>of</w:t>
            </w:r>
            <w:r w:rsidRPr="00D4309F">
              <w:rPr>
                <w:spacing w:val="-3"/>
              </w:rPr>
              <w:t xml:space="preserve"> </w:t>
            </w:r>
            <w:r w:rsidRPr="00D4309F">
              <w:rPr>
                <w:spacing w:val="-2"/>
              </w:rPr>
              <w:t>turbidity</w:t>
            </w:r>
          </w:p>
          <w:p w14:paraId="2F3113AD" w14:textId="6DE5EC3B" w:rsidR="00E46799" w:rsidRPr="00D4309F" w:rsidRDefault="00E46799" w:rsidP="007E44C8">
            <w:pPr>
              <w:pStyle w:val="Table-Bullet"/>
              <w:rPr>
                <w:spacing w:val="-2"/>
              </w:rPr>
            </w:pPr>
            <w:r w:rsidRPr="00D4309F">
              <w:rPr>
                <w:spacing w:val="-2"/>
              </w:rPr>
              <w:t>Smothering</w:t>
            </w:r>
          </w:p>
        </w:tc>
        <w:tc>
          <w:tcPr>
            <w:tcW w:w="475" w:type="pct"/>
            <w:tcBorders>
              <w:top w:val="single" w:sz="4" w:space="0" w:color="000000"/>
              <w:bottom w:val="single" w:sz="4" w:space="0" w:color="000000"/>
            </w:tcBorders>
            <w:shd w:val="clear" w:color="auto" w:fill="FFC000"/>
            <w:vAlign w:val="center"/>
          </w:tcPr>
          <w:p w14:paraId="08CC94E4" w14:textId="28A47631" w:rsidR="00E46799" w:rsidRPr="00D4309F" w:rsidRDefault="00E46799" w:rsidP="00E46799">
            <w:pPr>
              <w:pStyle w:val="TableParagraph"/>
              <w:ind w:left="171" w:right="171"/>
              <w:rPr>
                <w:b/>
                <w:color w:val="211E1F"/>
                <w:spacing w:val="-2"/>
                <w:sz w:val="18"/>
              </w:rPr>
            </w:pPr>
            <w:r w:rsidRPr="00D4309F">
              <w:rPr>
                <w:b/>
                <w:color w:val="211E1F"/>
                <w:sz w:val="18"/>
              </w:rPr>
              <w:t>High</w:t>
            </w:r>
            <w:r w:rsidRPr="00D4309F">
              <w:rPr>
                <w:b/>
                <w:color w:val="211E1F"/>
                <w:spacing w:val="-13"/>
                <w:sz w:val="18"/>
              </w:rPr>
              <w:t xml:space="preserve"> </w:t>
            </w:r>
            <w:r w:rsidRPr="00D4309F">
              <w:rPr>
                <w:b/>
                <w:color w:val="211E1F"/>
                <w:sz w:val="18"/>
              </w:rPr>
              <w:t xml:space="preserve">(for </w:t>
            </w:r>
            <w:r w:rsidRPr="00D4309F">
              <w:rPr>
                <w:b/>
                <w:color w:val="211E1F"/>
                <w:spacing w:val="-4"/>
                <w:sz w:val="18"/>
              </w:rPr>
              <w:t xml:space="preserve">rock </w:t>
            </w:r>
            <w:r w:rsidRPr="00D4309F">
              <w:rPr>
                <w:b/>
                <w:color w:val="211E1F"/>
                <w:spacing w:val="-2"/>
                <w:sz w:val="18"/>
              </w:rPr>
              <w:t>cutting)</w:t>
            </w:r>
          </w:p>
        </w:tc>
        <w:tc>
          <w:tcPr>
            <w:tcW w:w="1048" w:type="pct"/>
            <w:tcBorders>
              <w:top w:val="single" w:sz="4" w:space="0" w:color="000000"/>
              <w:bottom w:val="single" w:sz="4" w:space="0" w:color="000000"/>
            </w:tcBorders>
            <w:vAlign w:val="center"/>
          </w:tcPr>
          <w:p w14:paraId="4856F8DD" w14:textId="77777777" w:rsidR="00E46799" w:rsidRPr="00D4309F" w:rsidRDefault="00E46799" w:rsidP="007E44C8">
            <w:pPr>
              <w:pStyle w:val="Table-Bullet"/>
            </w:pPr>
            <w:r w:rsidRPr="00D4309F">
              <w:t>The</w:t>
            </w:r>
            <w:r w:rsidRPr="00D4309F">
              <w:rPr>
                <w:spacing w:val="-8"/>
              </w:rPr>
              <w:t xml:space="preserve"> </w:t>
            </w:r>
            <w:r w:rsidRPr="00D4309F">
              <w:t>dredge</w:t>
            </w:r>
            <w:r w:rsidRPr="00D4309F">
              <w:rPr>
                <w:spacing w:val="-8"/>
              </w:rPr>
              <w:t xml:space="preserve"> </w:t>
            </w:r>
            <w:r w:rsidRPr="00D4309F">
              <w:t>area</w:t>
            </w:r>
            <w:r w:rsidRPr="00D4309F">
              <w:rPr>
                <w:spacing w:val="-8"/>
              </w:rPr>
              <w:t xml:space="preserve"> </w:t>
            </w:r>
            <w:r w:rsidRPr="00D4309F">
              <w:t>has</w:t>
            </w:r>
            <w:r w:rsidRPr="00D4309F">
              <w:rPr>
                <w:spacing w:val="-8"/>
              </w:rPr>
              <w:t xml:space="preserve"> </w:t>
            </w:r>
            <w:r w:rsidRPr="00D4309F">
              <w:t>been</w:t>
            </w:r>
            <w:r w:rsidRPr="00D4309F">
              <w:rPr>
                <w:spacing w:val="-8"/>
              </w:rPr>
              <w:t xml:space="preserve"> </w:t>
            </w:r>
            <w:r w:rsidRPr="00D4309F">
              <w:t>previously dredged and comprises bare sand</w:t>
            </w:r>
          </w:p>
          <w:p w14:paraId="4B95FF91" w14:textId="77777777" w:rsidR="00E46799" w:rsidRPr="00D4309F" w:rsidRDefault="00E46799" w:rsidP="007E44C8">
            <w:pPr>
              <w:pStyle w:val="Table-Bullet"/>
            </w:pPr>
            <w:r w:rsidRPr="00D4309F">
              <w:t>Further</w:t>
            </w:r>
            <w:r w:rsidRPr="00D4309F">
              <w:rPr>
                <w:spacing w:val="-10"/>
              </w:rPr>
              <w:t xml:space="preserve"> </w:t>
            </w:r>
            <w:r w:rsidRPr="00D4309F">
              <w:t>assessment</w:t>
            </w:r>
            <w:r w:rsidRPr="00D4309F">
              <w:rPr>
                <w:spacing w:val="-10"/>
              </w:rPr>
              <w:t xml:space="preserve"> </w:t>
            </w:r>
            <w:r w:rsidRPr="00D4309F">
              <w:t>is</w:t>
            </w:r>
            <w:r w:rsidRPr="00D4309F">
              <w:rPr>
                <w:spacing w:val="-10"/>
              </w:rPr>
              <w:t xml:space="preserve"> </w:t>
            </w:r>
            <w:r w:rsidRPr="00D4309F">
              <w:t>required</w:t>
            </w:r>
            <w:r w:rsidRPr="00D4309F">
              <w:rPr>
                <w:spacing w:val="-10"/>
              </w:rPr>
              <w:t xml:space="preserve"> </w:t>
            </w:r>
            <w:r w:rsidRPr="00D4309F">
              <w:t>to determine</w:t>
            </w:r>
            <w:r w:rsidRPr="00D4309F">
              <w:rPr>
                <w:spacing w:val="-3"/>
              </w:rPr>
              <w:t xml:space="preserve"> </w:t>
            </w:r>
            <w:r w:rsidRPr="00D4309F">
              <w:t>if</w:t>
            </w:r>
            <w:r w:rsidRPr="00D4309F">
              <w:rPr>
                <w:spacing w:val="-2"/>
              </w:rPr>
              <w:t xml:space="preserve"> </w:t>
            </w:r>
            <w:r w:rsidRPr="00D4309F">
              <w:t>the</w:t>
            </w:r>
            <w:r w:rsidRPr="00D4309F">
              <w:rPr>
                <w:spacing w:val="-3"/>
              </w:rPr>
              <w:t xml:space="preserve"> </w:t>
            </w:r>
            <w:r w:rsidRPr="00D4309F">
              <w:t>potential</w:t>
            </w:r>
            <w:r w:rsidRPr="00D4309F">
              <w:rPr>
                <w:spacing w:val="-2"/>
              </w:rPr>
              <w:t xml:space="preserve"> </w:t>
            </w:r>
            <w:r w:rsidRPr="00D4309F">
              <w:t>turbidity generated will impact sensitive marine habitats</w:t>
            </w:r>
          </w:p>
          <w:p w14:paraId="547A29E0" w14:textId="77777777" w:rsidR="00E46799" w:rsidRPr="00D4309F" w:rsidRDefault="00E46799" w:rsidP="007E44C8">
            <w:pPr>
              <w:pStyle w:val="Table-Bullet"/>
            </w:pPr>
            <w:r w:rsidRPr="00D4309F">
              <w:t>Dredging is in a dynamic, open ocean</w:t>
            </w:r>
            <w:r w:rsidRPr="00D4309F">
              <w:rPr>
                <w:spacing w:val="-11"/>
              </w:rPr>
              <w:t xml:space="preserve"> </w:t>
            </w:r>
            <w:r w:rsidRPr="00D4309F">
              <w:t>environment,</w:t>
            </w:r>
            <w:r w:rsidRPr="00D4309F">
              <w:rPr>
                <w:spacing w:val="-10"/>
              </w:rPr>
              <w:t xml:space="preserve"> </w:t>
            </w:r>
            <w:r w:rsidRPr="00D4309F">
              <w:t>any</w:t>
            </w:r>
            <w:r w:rsidRPr="00D4309F">
              <w:rPr>
                <w:spacing w:val="-10"/>
              </w:rPr>
              <w:t xml:space="preserve"> </w:t>
            </w:r>
            <w:r w:rsidRPr="00D4309F">
              <w:t>plume</w:t>
            </w:r>
            <w:r w:rsidRPr="00D4309F">
              <w:rPr>
                <w:spacing w:val="-11"/>
              </w:rPr>
              <w:t xml:space="preserve"> </w:t>
            </w:r>
            <w:r w:rsidRPr="00D4309F">
              <w:t>will likely dissipate quickly</w:t>
            </w:r>
          </w:p>
          <w:p w14:paraId="2B78956B" w14:textId="6DA56C29" w:rsidR="00E46799" w:rsidRPr="00D4309F" w:rsidRDefault="00E46799" w:rsidP="007E44C8">
            <w:pPr>
              <w:pStyle w:val="Table-Bullet"/>
            </w:pPr>
            <w:r w:rsidRPr="00D4309F">
              <w:t>Turbidity is likely to be more extensive</w:t>
            </w:r>
            <w:r w:rsidRPr="00D4309F">
              <w:rPr>
                <w:spacing w:val="-11"/>
              </w:rPr>
              <w:t xml:space="preserve"> </w:t>
            </w:r>
            <w:r w:rsidRPr="00D4309F">
              <w:t>and</w:t>
            </w:r>
            <w:r w:rsidRPr="00D4309F">
              <w:rPr>
                <w:spacing w:val="-11"/>
              </w:rPr>
              <w:t xml:space="preserve"> </w:t>
            </w:r>
            <w:r w:rsidRPr="00D4309F">
              <w:t>persistent</w:t>
            </w:r>
            <w:r w:rsidRPr="00D4309F">
              <w:rPr>
                <w:spacing w:val="-10"/>
              </w:rPr>
              <w:t xml:space="preserve"> </w:t>
            </w:r>
            <w:r w:rsidRPr="00D4309F">
              <w:t>during</w:t>
            </w:r>
            <w:r w:rsidRPr="00D4309F">
              <w:rPr>
                <w:spacing w:val="-11"/>
              </w:rPr>
              <w:t xml:space="preserve"> </w:t>
            </w:r>
            <w:r w:rsidRPr="00D4309F">
              <w:t>rock cutting works</w:t>
            </w:r>
          </w:p>
        </w:tc>
        <w:tc>
          <w:tcPr>
            <w:tcW w:w="677" w:type="pct"/>
            <w:tcBorders>
              <w:top w:val="single" w:sz="4" w:space="0" w:color="000000"/>
              <w:bottom w:val="single" w:sz="4" w:space="0" w:color="000000"/>
            </w:tcBorders>
            <w:vAlign w:val="center"/>
          </w:tcPr>
          <w:p w14:paraId="7E334F69" w14:textId="77777777" w:rsidR="00E46799" w:rsidRPr="00D4309F" w:rsidRDefault="00E46799" w:rsidP="007E44C8">
            <w:pPr>
              <w:pStyle w:val="Table-Bullet"/>
            </w:pPr>
            <w:r w:rsidRPr="00D4309F">
              <w:t>Benthic habitat assessment</w:t>
            </w:r>
            <w:r w:rsidRPr="00D4309F">
              <w:rPr>
                <w:spacing w:val="-15"/>
              </w:rPr>
              <w:t xml:space="preserve"> </w:t>
            </w:r>
            <w:r w:rsidRPr="00D4309F">
              <w:t>in</w:t>
            </w:r>
            <w:r w:rsidRPr="00D4309F">
              <w:rPr>
                <w:spacing w:val="-12"/>
              </w:rPr>
              <w:t xml:space="preserve"> </w:t>
            </w:r>
            <w:r w:rsidRPr="00D4309F">
              <w:t xml:space="preserve">and </w:t>
            </w:r>
            <w:r w:rsidRPr="00D4309F">
              <w:rPr>
                <w:spacing w:val="-2"/>
              </w:rPr>
              <w:t xml:space="preserve">surrounding </w:t>
            </w:r>
            <w:r w:rsidRPr="00D4309F">
              <w:t>dredging area</w:t>
            </w:r>
          </w:p>
          <w:p w14:paraId="4C08F240" w14:textId="117A6C5A" w:rsidR="00E46799" w:rsidRPr="00D4309F" w:rsidRDefault="00E46799" w:rsidP="007E44C8">
            <w:pPr>
              <w:pStyle w:val="Table-Bullet"/>
            </w:pPr>
            <w:r w:rsidRPr="00D4309F">
              <w:t>Turbidity</w:t>
            </w:r>
            <w:r w:rsidRPr="00D4309F">
              <w:rPr>
                <w:spacing w:val="-5"/>
              </w:rPr>
              <w:t xml:space="preserve"> </w:t>
            </w:r>
            <w:r w:rsidRPr="00D4309F">
              <w:rPr>
                <w:spacing w:val="-2"/>
              </w:rPr>
              <w:t>modelling</w:t>
            </w:r>
          </w:p>
        </w:tc>
        <w:tc>
          <w:tcPr>
            <w:tcW w:w="746" w:type="pct"/>
            <w:tcBorders>
              <w:top w:val="single" w:sz="4" w:space="0" w:color="000000"/>
              <w:bottom w:val="single" w:sz="4" w:space="0" w:color="000000"/>
            </w:tcBorders>
            <w:vAlign w:val="center"/>
          </w:tcPr>
          <w:p w14:paraId="209B8041" w14:textId="77777777" w:rsidR="00E46799" w:rsidRPr="00D4309F" w:rsidRDefault="00E46799" w:rsidP="007E44C8">
            <w:pPr>
              <w:pStyle w:val="Table-Bullet"/>
            </w:pPr>
            <w:r w:rsidRPr="00D4309F">
              <w:t>Turbidity</w:t>
            </w:r>
            <w:r w:rsidRPr="00D4309F">
              <w:rPr>
                <w:spacing w:val="-13"/>
              </w:rPr>
              <w:t xml:space="preserve"> </w:t>
            </w:r>
            <w:r w:rsidRPr="00D4309F">
              <w:t>monitoring during works</w:t>
            </w:r>
          </w:p>
          <w:p w14:paraId="08940300" w14:textId="77777777" w:rsidR="00E46799" w:rsidRPr="00D4309F" w:rsidRDefault="00E46799" w:rsidP="007E44C8">
            <w:pPr>
              <w:pStyle w:val="Table-Bullet"/>
            </w:pPr>
            <w:r w:rsidRPr="00D4309F">
              <w:t xml:space="preserve">Standard turbidity </w:t>
            </w:r>
            <w:r w:rsidRPr="00D4309F">
              <w:rPr>
                <w:spacing w:val="-2"/>
              </w:rPr>
              <w:t xml:space="preserve">mitigation </w:t>
            </w:r>
            <w:r w:rsidRPr="00D4309F">
              <w:t>procedures</w:t>
            </w:r>
            <w:r w:rsidRPr="00D4309F">
              <w:rPr>
                <w:spacing w:val="-15"/>
              </w:rPr>
              <w:t xml:space="preserve"> </w:t>
            </w:r>
            <w:r w:rsidRPr="00D4309F">
              <w:t>e.g.</w:t>
            </w:r>
            <w:r w:rsidRPr="00D4309F">
              <w:rPr>
                <w:spacing w:val="-12"/>
              </w:rPr>
              <w:t xml:space="preserve"> </w:t>
            </w:r>
            <w:r w:rsidRPr="00D4309F">
              <w:t>silt curtains,</w:t>
            </w:r>
            <w:r w:rsidRPr="00D4309F">
              <w:rPr>
                <w:spacing w:val="-15"/>
              </w:rPr>
              <w:t xml:space="preserve"> </w:t>
            </w:r>
            <w:r w:rsidRPr="00D4309F">
              <w:t>staging</w:t>
            </w:r>
            <w:r w:rsidRPr="00D4309F">
              <w:rPr>
                <w:spacing w:val="-12"/>
              </w:rPr>
              <w:t xml:space="preserve"> </w:t>
            </w:r>
            <w:r w:rsidRPr="00D4309F">
              <w:t xml:space="preserve">of </w:t>
            </w:r>
            <w:r w:rsidRPr="00D4309F">
              <w:rPr>
                <w:spacing w:val="-2"/>
              </w:rPr>
              <w:t>works</w:t>
            </w:r>
          </w:p>
          <w:p w14:paraId="0E426CED" w14:textId="3143D21F" w:rsidR="00E46799" w:rsidRPr="00D4309F" w:rsidRDefault="00E46799" w:rsidP="007E44C8">
            <w:pPr>
              <w:pStyle w:val="Table-Bullet"/>
            </w:pPr>
            <w:r w:rsidRPr="00D4309F">
              <w:t>Benthic</w:t>
            </w:r>
            <w:r w:rsidRPr="00D4309F">
              <w:rPr>
                <w:spacing w:val="-13"/>
              </w:rPr>
              <w:t xml:space="preserve"> </w:t>
            </w:r>
            <w:r w:rsidRPr="00D4309F">
              <w:t xml:space="preserve">habitat </w:t>
            </w:r>
            <w:r w:rsidRPr="00D4309F">
              <w:rPr>
                <w:spacing w:val="-2"/>
              </w:rPr>
              <w:t>monitoring</w:t>
            </w:r>
          </w:p>
        </w:tc>
      </w:tr>
      <w:tr w:rsidR="00E46799" w:rsidRPr="00D4309F" w14:paraId="2778C459" w14:textId="77777777" w:rsidTr="007E44C8">
        <w:trPr>
          <w:cantSplit/>
          <w:trHeight w:val="20"/>
        </w:trPr>
        <w:tc>
          <w:tcPr>
            <w:tcW w:w="479" w:type="pct"/>
            <w:tcBorders>
              <w:top w:val="single" w:sz="4" w:space="0" w:color="000000"/>
              <w:bottom w:val="single" w:sz="4" w:space="0" w:color="000000"/>
            </w:tcBorders>
            <w:vAlign w:val="center"/>
          </w:tcPr>
          <w:p w14:paraId="4BFC15DE" w14:textId="11E0AECE" w:rsidR="00E46799" w:rsidRPr="00D4309F" w:rsidRDefault="00E46799" w:rsidP="007E44C8">
            <w:pPr>
              <w:pStyle w:val="Table-Text"/>
            </w:pPr>
            <w:r w:rsidRPr="00D4309F">
              <w:t>Benthic habitats</w:t>
            </w:r>
          </w:p>
        </w:tc>
        <w:tc>
          <w:tcPr>
            <w:tcW w:w="503" w:type="pct"/>
            <w:tcBorders>
              <w:top w:val="single" w:sz="4" w:space="0" w:color="000000"/>
              <w:bottom w:val="single" w:sz="4" w:space="0" w:color="000000"/>
            </w:tcBorders>
            <w:vAlign w:val="center"/>
          </w:tcPr>
          <w:p w14:paraId="20DFBC0B" w14:textId="739EC982" w:rsidR="00E46799" w:rsidRPr="00D4309F" w:rsidRDefault="00E46799" w:rsidP="007E44C8">
            <w:pPr>
              <w:pStyle w:val="Table-Text"/>
            </w:pPr>
            <w:r w:rsidRPr="00D4309F">
              <w:t>Rocky</w:t>
            </w:r>
            <w:r w:rsidRPr="00D4309F">
              <w:rPr>
                <w:spacing w:val="-13"/>
              </w:rPr>
              <w:t xml:space="preserve"> </w:t>
            </w:r>
            <w:r w:rsidRPr="00D4309F">
              <w:t>reef habitat, seagrass and</w:t>
            </w:r>
            <w:r w:rsidRPr="00D4309F">
              <w:rPr>
                <w:spacing w:val="-9"/>
              </w:rPr>
              <w:t xml:space="preserve"> </w:t>
            </w:r>
            <w:r w:rsidRPr="00D4309F">
              <w:t>corals</w:t>
            </w:r>
          </w:p>
        </w:tc>
        <w:tc>
          <w:tcPr>
            <w:tcW w:w="1072" w:type="pct"/>
            <w:tcBorders>
              <w:top w:val="single" w:sz="4" w:space="0" w:color="000000"/>
              <w:bottom w:val="single" w:sz="4" w:space="0" w:color="000000"/>
            </w:tcBorders>
            <w:vAlign w:val="center"/>
          </w:tcPr>
          <w:p w14:paraId="423DB608" w14:textId="2DA574AB" w:rsidR="00E46799" w:rsidRPr="00D4309F" w:rsidRDefault="00E46799" w:rsidP="007E44C8">
            <w:pPr>
              <w:pStyle w:val="Table-Bullet"/>
              <w:rPr>
                <w:spacing w:val="-2"/>
              </w:rPr>
            </w:pPr>
            <w:r w:rsidRPr="00D4309F">
              <w:t>Release</w:t>
            </w:r>
            <w:r w:rsidRPr="00D4309F">
              <w:rPr>
                <w:spacing w:val="-4"/>
              </w:rPr>
              <w:t xml:space="preserve"> </w:t>
            </w:r>
            <w:r w:rsidRPr="00D4309F">
              <w:t>of</w:t>
            </w:r>
            <w:r w:rsidRPr="00D4309F">
              <w:rPr>
                <w:spacing w:val="-2"/>
              </w:rPr>
              <w:t xml:space="preserve"> contaminants/hypoxia</w:t>
            </w:r>
          </w:p>
        </w:tc>
        <w:tc>
          <w:tcPr>
            <w:tcW w:w="475" w:type="pct"/>
            <w:tcBorders>
              <w:top w:val="single" w:sz="4" w:space="0" w:color="000000"/>
              <w:bottom w:val="single" w:sz="4" w:space="0" w:color="000000"/>
            </w:tcBorders>
            <w:shd w:val="clear" w:color="auto" w:fill="92D050"/>
            <w:vAlign w:val="center"/>
          </w:tcPr>
          <w:p w14:paraId="547D280C" w14:textId="3F798216" w:rsidR="00E46799" w:rsidRPr="00D4309F" w:rsidRDefault="00E46799" w:rsidP="00E46799">
            <w:pPr>
              <w:pStyle w:val="TableParagraph"/>
              <w:ind w:left="171" w:right="171"/>
              <w:rPr>
                <w:b/>
                <w:color w:val="211E1F"/>
                <w:spacing w:val="-2"/>
                <w:sz w:val="18"/>
              </w:rPr>
            </w:pPr>
            <w:r w:rsidRPr="00D4309F">
              <w:rPr>
                <w:b/>
                <w:color w:val="211E1F"/>
                <w:spacing w:val="-5"/>
                <w:sz w:val="18"/>
              </w:rPr>
              <w:t>Low</w:t>
            </w:r>
          </w:p>
        </w:tc>
        <w:tc>
          <w:tcPr>
            <w:tcW w:w="1048" w:type="pct"/>
            <w:tcBorders>
              <w:top w:val="single" w:sz="4" w:space="0" w:color="000000"/>
              <w:bottom w:val="single" w:sz="4" w:space="0" w:color="000000"/>
            </w:tcBorders>
            <w:vAlign w:val="center"/>
          </w:tcPr>
          <w:p w14:paraId="33806826" w14:textId="77777777" w:rsidR="00E46799" w:rsidRPr="00D4309F" w:rsidRDefault="00E46799" w:rsidP="007E44C8">
            <w:pPr>
              <w:pStyle w:val="Table-Bullet"/>
            </w:pPr>
            <w:r w:rsidRPr="00D4309F">
              <w:t>Dredge sediments likely comprise clean marine sand free of contaminants</w:t>
            </w:r>
            <w:r w:rsidRPr="00D4309F">
              <w:rPr>
                <w:spacing w:val="-9"/>
              </w:rPr>
              <w:t xml:space="preserve"> </w:t>
            </w:r>
            <w:r w:rsidRPr="00D4309F">
              <w:t>with</w:t>
            </w:r>
            <w:r w:rsidRPr="00D4309F">
              <w:rPr>
                <w:spacing w:val="-11"/>
              </w:rPr>
              <w:t xml:space="preserve"> </w:t>
            </w:r>
            <w:r w:rsidRPr="00D4309F">
              <w:t>low</w:t>
            </w:r>
            <w:r w:rsidRPr="00D4309F">
              <w:rPr>
                <w:spacing w:val="-9"/>
              </w:rPr>
              <w:t xml:space="preserve"> </w:t>
            </w:r>
            <w:r w:rsidRPr="00D4309F">
              <w:t>organic</w:t>
            </w:r>
            <w:r w:rsidRPr="00D4309F">
              <w:rPr>
                <w:spacing w:val="-10"/>
              </w:rPr>
              <w:t xml:space="preserve"> </w:t>
            </w:r>
            <w:r w:rsidRPr="00D4309F">
              <w:t xml:space="preserve">matter </w:t>
            </w:r>
            <w:r w:rsidRPr="00D4309F">
              <w:rPr>
                <w:spacing w:val="-2"/>
              </w:rPr>
              <w:t>content</w:t>
            </w:r>
          </w:p>
          <w:p w14:paraId="607637B6" w14:textId="602851B2" w:rsidR="00E46799" w:rsidRPr="00D4309F" w:rsidRDefault="00E46799" w:rsidP="007E44C8">
            <w:pPr>
              <w:pStyle w:val="Table-Bullet"/>
            </w:pPr>
            <w:r w:rsidRPr="00D4309F">
              <w:t>Rock</w:t>
            </w:r>
            <w:r w:rsidRPr="00D4309F">
              <w:rPr>
                <w:spacing w:val="-2"/>
              </w:rPr>
              <w:t xml:space="preserve"> </w:t>
            </w:r>
            <w:r w:rsidRPr="00D4309F">
              <w:t>is</w:t>
            </w:r>
            <w:r w:rsidRPr="00D4309F">
              <w:rPr>
                <w:spacing w:val="-1"/>
              </w:rPr>
              <w:t xml:space="preserve"> </w:t>
            </w:r>
            <w:r w:rsidRPr="00D4309F">
              <w:t>likely</w:t>
            </w:r>
            <w:r w:rsidRPr="00D4309F">
              <w:rPr>
                <w:spacing w:val="-2"/>
              </w:rPr>
              <w:t xml:space="preserve"> </w:t>
            </w:r>
            <w:r w:rsidRPr="00D4309F">
              <w:t>to</w:t>
            </w:r>
            <w:r w:rsidRPr="00D4309F">
              <w:rPr>
                <w:spacing w:val="-2"/>
              </w:rPr>
              <w:t xml:space="preserve"> </w:t>
            </w:r>
            <w:r w:rsidRPr="00D4309F">
              <w:t>be</w:t>
            </w:r>
            <w:r w:rsidRPr="00D4309F">
              <w:rPr>
                <w:spacing w:val="-2"/>
              </w:rPr>
              <w:t xml:space="preserve"> uncontaminated</w:t>
            </w:r>
          </w:p>
        </w:tc>
        <w:tc>
          <w:tcPr>
            <w:tcW w:w="677" w:type="pct"/>
            <w:tcBorders>
              <w:top w:val="single" w:sz="4" w:space="0" w:color="000000"/>
              <w:bottom w:val="single" w:sz="4" w:space="0" w:color="000000"/>
            </w:tcBorders>
            <w:vAlign w:val="center"/>
          </w:tcPr>
          <w:p w14:paraId="32443BC7" w14:textId="05D2F5FB" w:rsidR="00E46799" w:rsidRPr="00D4309F" w:rsidRDefault="00E46799" w:rsidP="007E44C8">
            <w:pPr>
              <w:pStyle w:val="Table-Bullet"/>
            </w:pPr>
            <w:r w:rsidRPr="00D4309F">
              <w:t>Assumption that suitable</w:t>
            </w:r>
            <w:r w:rsidRPr="00D4309F">
              <w:rPr>
                <w:spacing w:val="-15"/>
              </w:rPr>
              <w:t xml:space="preserve"> </w:t>
            </w:r>
            <w:r w:rsidRPr="00D4309F">
              <w:t>data</w:t>
            </w:r>
            <w:r w:rsidRPr="00D4309F">
              <w:rPr>
                <w:spacing w:val="-12"/>
              </w:rPr>
              <w:t xml:space="preserve"> </w:t>
            </w:r>
            <w:r w:rsidRPr="00D4309F">
              <w:t>exists to inform this risk</w:t>
            </w:r>
          </w:p>
        </w:tc>
        <w:tc>
          <w:tcPr>
            <w:tcW w:w="746" w:type="pct"/>
            <w:tcBorders>
              <w:top w:val="single" w:sz="4" w:space="0" w:color="000000"/>
              <w:bottom w:val="single" w:sz="4" w:space="0" w:color="000000"/>
            </w:tcBorders>
            <w:vAlign w:val="center"/>
          </w:tcPr>
          <w:p w14:paraId="7EB60207" w14:textId="09334945" w:rsidR="00E46799" w:rsidRPr="00D4309F" w:rsidRDefault="00E46799" w:rsidP="007E44C8">
            <w:pPr>
              <w:pStyle w:val="Table-Bullet"/>
            </w:pPr>
            <w:r w:rsidRPr="00D4309F">
              <w:rPr>
                <w:color w:val="211E1F"/>
                <w:spacing w:val="-4"/>
              </w:rPr>
              <w:t>None</w:t>
            </w:r>
          </w:p>
        </w:tc>
      </w:tr>
      <w:tr w:rsidR="00E46799" w:rsidRPr="00D4309F" w14:paraId="7F3BAA12" w14:textId="77777777" w:rsidTr="007E44C8">
        <w:trPr>
          <w:cantSplit/>
          <w:trHeight w:val="20"/>
        </w:trPr>
        <w:tc>
          <w:tcPr>
            <w:tcW w:w="479" w:type="pct"/>
            <w:tcBorders>
              <w:top w:val="single" w:sz="4" w:space="0" w:color="000000"/>
              <w:bottom w:val="single" w:sz="4" w:space="0" w:color="000000"/>
            </w:tcBorders>
            <w:vAlign w:val="center"/>
          </w:tcPr>
          <w:p w14:paraId="2A31525B" w14:textId="0A23A6ED" w:rsidR="00E46799" w:rsidRPr="00D4309F" w:rsidRDefault="00E46799" w:rsidP="007E44C8">
            <w:pPr>
              <w:pStyle w:val="Table-Text"/>
            </w:pPr>
            <w:r w:rsidRPr="00D4309F">
              <w:lastRenderedPageBreak/>
              <w:t>Terrestrial</w:t>
            </w:r>
            <w:r w:rsidRPr="00D4309F">
              <w:rPr>
                <w:spacing w:val="-15"/>
              </w:rPr>
              <w:t xml:space="preserve"> </w:t>
            </w:r>
            <w:r w:rsidRPr="00D4309F">
              <w:t>fauna</w:t>
            </w:r>
            <w:r w:rsidRPr="00D4309F">
              <w:rPr>
                <w:spacing w:val="-12"/>
              </w:rPr>
              <w:t xml:space="preserve"> </w:t>
            </w:r>
            <w:r w:rsidRPr="00D4309F">
              <w:t>including shorebirds and raptors</w:t>
            </w:r>
          </w:p>
        </w:tc>
        <w:tc>
          <w:tcPr>
            <w:tcW w:w="503" w:type="pct"/>
            <w:tcBorders>
              <w:top w:val="single" w:sz="4" w:space="0" w:color="000000"/>
              <w:bottom w:val="single" w:sz="4" w:space="0" w:color="000000"/>
            </w:tcBorders>
            <w:vAlign w:val="center"/>
          </w:tcPr>
          <w:p w14:paraId="413141CE" w14:textId="0ABCF09C" w:rsidR="00E46799" w:rsidRPr="00D4309F" w:rsidRDefault="00E46799" w:rsidP="007E44C8">
            <w:pPr>
              <w:pStyle w:val="Table-Text"/>
            </w:pPr>
          </w:p>
        </w:tc>
        <w:tc>
          <w:tcPr>
            <w:tcW w:w="1072" w:type="pct"/>
            <w:tcBorders>
              <w:top w:val="single" w:sz="4" w:space="0" w:color="000000"/>
              <w:bottom w:val="single" w:sz="4" w:space="0" w:color="000000"/>
            </w:tcBorders>
            <w:vAlign w:val="center"/>
          </w:tcPr>
          <w:p w14:paraId="49F34224" w14:textId="77777777" w:rsidR="00E46799" w:rsidRPr="00D4309F" w:rsidRDefault="00E46799" w:rsidP="007E44C8">
            <w:pPr>
              <w:pStyle w:val="Table-Bullet"/>
            </w:pPr>
            <w:r w:rsidRPr="00D4309F">
              <w:t>Mortality/injury/</w:t>
            </w:r>
            <w:r w:rsidRPr="00D4309F">
              <w:rPr>
                <w:spacing w:val="-13"/>
              </w:rPr>
              <w:t xml:space="preserve"> </w:t>
            </w:r>
            <w:r w:rsidRPr="00D4309F">
              <w:t>behavioural response due to noise</w:t>
            </w:r>
          </w:p>
          <w:p w14:paraId="143D3AA5" w14:textId="77777777" w:rsidR="00E46799" w:rsidRPr="00D4309F" w:rsidRDefault="00E46799" w:rsidP="007E44C8">
            <w:pPr>
              <w:pStyle w:val="Table-Bullet"/>
            </w:pPr>
            <w:r w:rsidRPr="00D4309F">
              <w:t>Behavioural response and interruption</w:t>
            </w:r>
            <w:r w:rsidRPr="00D4309F">
              <w:rPr>
                <w:spacing w:val="-13"/>
              </w:rPr>
              <w:t xml:space="preserve"> </w:t>
            </w:r>
            <w:r w:rsidRPr="00D4309F">
              <w:t>of</w:t>
            </w:r>
            <w:r w:rsidRPr="00D4309F">
              <w:rPr>
                <w:spacing w:val="-12"/>
              </w:rPr>
              <w:t xml:space="preserve"> </w:t>
            </w:r>
            <w:r w:rsidRPr="00D4309F">
              <w:t>nesting</w:t>
            </w:r>
            <w:r w:rsidRPr="00D4309F">
              <w:rPr>
                <w:spacing w:val="-13"/>
              </w:rPr>
              <w:t xml:space="preserve"> </w:t>
            </w:r>
            <w:r w:rsidRPr="00D4309F">
              <w:t>behaviour due to light</w:t>
            </w:r>
          </w:p>
          <w:p w14:paraId="19B64006" w14:textId="0BFF7E12" w:rsidR="00E46799" w:rsidRPr="00D4309F" w:rsidRDefault="00E46799" w:rsidP="007E44C8">
            <w:pPr>
              <w:pStyle w:val="Table-Bullet"/>
              <w:rPr>
                <w:spacing w:val="-2"/>
              </w:rPr>
            </w:pPr>
            <w:r w:rsidRPr="00D4309F">
              <w:t>Mortality/injury/ behavioural response</w:t>
            </w:r>
            <w:r w:rsidRPr="00D4309F">
              <w:rPr>
                <w:spacing w:val="-13"/>
              </w:rPr>
              <w:t xml:space="preserve"> </w:t>
            </w:r>
            <w:r w:rsidRPr="00D4309F">
              <w:t>due</w:t>
            </w:r>
            <w:r w:rsidRPr="00D4309F">
              <w:rPr>
                <w:spacing w:val="-12"/>
              </w:rPr>
              <w:t xml:space="preserve"> </w:t>
            </w:r>
            <w:r w:rsidRPr="00D4309F">
              <w:t>physical</w:t>
            </w:r>
            <w:r w:rsidRPr="00D4309F">
              <w:rPr>
                <w:spacing w:val="-13"/>
              </w:rPr>
              <w:t xml:space="preserve"> </w:t>
            </w:r>
            <w:r w:rsidRPr="00D4309F">
              <w:t>presence</w:t>
            </w:r>
          </w:p>
        </w:tc>
        <w:tc>
          <w:tcPr>
            <w:tcW w:w="475" w:type="pct"/>
            <w:tcBorders>
              <w:top w:val="single" w:sz="4" w:space="0" w:color="000000"/>
              <w:bottom w:val="single" w:sz="4" w:space="0" w:color="000000"/>
            </w:tcBorders>
            <w:shd w:val="clear" w:color="auto" w:fill="FFC000"/>
            <w:vAlign w:val="center"/>
          </w:tcPr>
          <w:p w14:paraId="7FC2E4E4" w14:textId="63943FDE" w:rsidR="00E46799" w:rsidRPr="00D4309F" w:rsidRDefault="00E46799" w:rsidP="00E46799">
            <w:pPr>
              <w:pStyle w:val="TableParagraph"/>
              <w:ind w:left="171" w:right="171"/>
              <w:rPr>
                <w:b/>
                <w:color w:val="211E1F"/>
                <w:spacing w:val="-2"/>
                <w:sz w:val="18"/>
              </w:rPr>
            </w:pPr>
            <w:r w:rsidRPr="00D4309F">
              <w:rPr>
                <w:b/>
                <w:color w:val="211E1F"/>
                <w:sz w:val="18"/>
              </w:rPr>
              <w:t>High</w:t>
            </w:r>
            <w:r w:rsidRPr="00D4309F">
              <w:rPr>
                <w:b/>
                <w:color w:val="211E1F"/>
                <w:spacing w:val="-13"/>
                <w:sz w:val="18"/>
              </w:rPr>
              <w:t xml:space="preserve"> </w:t>
            </w:r>
            <w:r w:rsidRPr="00D4309F">
              <w:rPr>
                <w:b/>
                <w:color w:val="211E1F"/>
                <w:sz w:val="18"/>
              </w:rPr>
              <w:t xml:space="preserve">(for </w:t>
            </w:r>
            <w:r w:rsidRPr="00D4309F">
              <w:rPr>
                <w:b/>
                <w:color w:val="211E1F"/>
                <w:spacing w:val="-4"/>
                <w:sz w:val="18"/>
              </w:rPr>
              <w:t xml:space="preserve">rock </w:t>
            </w:r>
            <w:r w:rsidRPr="00D4309F">
              <w:rPr>
                <w:b/>
                <w:color w:val="211E1F"/>
                <w:spacing w:val="-2"/>
                <w:sz w:val="18"/>
              </w:rPr>
              <w:t>cutting)</w:t>
            </w:r>
          </w:p>
        </w:tc>
        <w:tc>
          <w:tcPr>
            <w:tcW w:w="1048" w:type="pct"/>
            <w:tcBorders>
              <w:top w:val="single" w:sz="4" w:space="0" w:color="000000"/>
              <w:bottom w:val="single" w:sz="4" w:space="0" w:color="000000"/>
            </w:tcBorders>
            <w:vAlign w:val="center"/>
          </w:tcPr>
          <w:p w14:paraId="496324DA" w14:textId="77777777" w:rsidR="00E46799" w:rsidRPr="00D4309F" w:rsidRDefault="00E46799" w:rsidP="007E44C8">
            <w:pPr>
              <w:pStyle w:val="Table-Bullet"/>
            </w:pPr>
            <w:r w:rsidRPr="00D4309F">
              <w:t>Several</w:t>
            </w:r>
            <w:r w:rsidRPr="00D4309F">
              <w:rPr>
                <w:spacing w:val="-10"/>
              </w:rPr>
              <w:t xml:space="preserve"> </w:t>
            </w:r>
            <w:r w:rsidRPr="00D4309F">
              <w:t>species</w:t>
            </w:r>
            <w:r w:rsidRPr="00D4309F">
              <w:rPr>
                <w:spacing w:val="-10"/>
              </w:rPr>
              <w:t xml:space="preserve"> </w:t>
            </w:r>
            <w:r w:rsidRPr="00D4309F">
              <w:t>listed</w:t>
            </w:r>
            <w:r w:rsidRPr="00D4309F">
              <w:rPr>
                <w:spacing w:val="-11"/>
              </w:rPr>
              <w:t xml:space="preserve"> </w:t>
            </w:r>
            <w:r w:rsidRPr="00D4309F">
              <w:t>as</w:t>
            </w:r>
            <w:r w:rsidRPr="00D4309F">
              <w:rPr>
                <w:spacing w:val="-10"/>
              </w:rPr>
              <w:t xml:space="preserve"> </w:t>
            </w:r>
            <w:r w:rsidRPr="00D4309F">
              <w:t>vulnerable or endangered may occur in the project area</w:t>
            </w:r>
          </w:p>
          <w:p w14:paraId="72D4004D" w14:textId="7B89AD09" w:rsidR="00E46799" w:rsidRPr="00D4309F" w:rsidRDefault="00E46799" w:rsidP="007E44C8">
            <w:pPr>
              <w:pStyle w:val="Table-Bullet"/>
            </w:pPr>
            <w:r w:rsidRPr="00D4309F">
              <w:t>Several species of shorebirds are listed</w:t>
            </w:r>
            <w:r w:rsidRPr="00D4309F">
              <w:rPr>
                <w:spacing w:val="-9"/>
              </w:rPr>
              <w:t xml:space="preserve"> </w:t>
            </w:r>
            <w:r w:rsidRPr="00D4309F">
              <w:t>as</w:t>
            </w:r>
            <w:r w:rsidRPr="00D4309F">
              <w:rPr>
                <w:spacing w:val="-8"/>
              </w:rPr>
              <w:t xml:space="preserve"> </w:t>
            </w:r>
            <w:r w:rsidRPr="00D4309F">
              <w:t>occurring</w:t>
            </w:r>
            <w:r w:rsidRPr="00D4309F">
              <w:rPr>
                <w:spacing w:val="-9"/>
              </w:rPr>
              <w:t xml:space="preserve"> </w:t>
            </w:r>
            <w:r w:rsidRPr="00D4309F">
              <w:t>at</w:t>
            </w:r>
            <w:r w:rsidRPr="00D4309F">
              <w:rPr>
                <w:spacing w:val="-8"/>
              </w:rPr>
              <w:t xml:space="preserve"> </w:t>
            </w:r>
            <w:r w:rsidRPr="00D4309F">
              <w:t>Point</w:t>
            </w:r>
            <w:r w:rsidRPr="00D4309F">
              <w:rPr>
                <w:spacing w:val="-8"/>
              </w:rPr>
              <w:t xml:space="preserve"> </w:t>
            </w:r>
            <w:r w:rsidRPr="00D4309F">
              <w:t>Cartwright and</w:t>
            </w:r>
            <w:r w:rsidRPr="00D4309F">
              <w:rPr>
                <w:spacing w:val="-4"/>
              </w:rPr>
              <w:t xml:space="preserve"> </w:t>
            </w:r>
            <w:r w:rsidRPr="00D4309F">
              <w:t>could</w:t>
            </w:r>
            <w:r w:rsidRPr="00D4309F">
              <w:rPr>
                <w:spacing w:val="-4"/>
              </w:rPr>
              <w:t xml:space="preserve"> </w:t>
            </w:r>
            <w:r w:rsidRPr="00D4309F">
              <w:t>be</w:t>
            </w:r>
            <w:r w:rsidRPr="00D4309F">
              <w:rPr>
                <w:spacing w:val="-4"/>
              </w:rPr>
              <w:t xml:space="preserve"> </w:t>
            </w:r>
            <w:r w:rsidRPr="00D4309F">
              <w:t>impacted;</w:t>
            </w:r>
            <w:r w:rsidRPr="00D4309F">
              <w:rPr>
                <w:spacing w:val="-3"/>
              </w:rPr>
              <w:t xml:space="preserve"> </w:t>
            </w:r>
            <w:r w:rsidRPr="00D4309F">
              <w:t>however,</w:t>
            </w:r>
            <w:r w:rsidRPr="00D4309F">
              <w:rPr>
                <w:spacing w:val="-3"/>
              </w:rPr>
              <w:t xml:space="preserve"> </w:t>
            </w:r>
            <w:r w:rsidRPr="00D4309F">
              <w:t>it</w:t>
            </w:r>
            <w:r w:rsidRPr="00D4309F">
              <w:rPr>
                <w:spacing w:val="-3"/>
              </w:rPr>
              <w:t xml:space="preserve"> </w:t>
            </w:r>
            <w:r w:rsidRPr="00D4309F">
              <w:t>is more likely they would occur at the lower Maroochy River</w:t>
            </w:r>
          </w:p>
        </w:tc>
        <w:tc>
          <w:tcPr>
            <w:tcW w:w="677" w:type="pct"/>
            <w:tcBorders>
              <w:top w:val="single" w:sz="4" w:space="0" w:color="000000"/>
              <w:bottom w:val="single" w:sz="4" w:space="0" w:color="000000"/>
            </w:tcBorders>
            <w:vAlign w:val="center"/>
          </w:tcPr>
          <w:p w14:paraId="6BC03D69" w14:textId="77777777" w:rsidR="00E46799" w:rsidRPr="00D4309F" w:rsidRDefault="00E46799" w:rsidP="007E44C8">
            <w:pPr>
              <w:pStyle w:val="Table-Bullet"/>
            </w:pPr>
            <w:r w:rsidRPr="00D4309F">
              <w:t>Assessment of species</w:t>
            </w:r>
            <w:r w:rsidRPr="00D4309F">
              <w:rPr>
                <w:spacing w:val="-13"/>
              </w:rPr>
              <w:t xml:space="preserve"> </w:t>
            </w:r>
            <w:r w:rsidRPr="00D4309F">
              <w:t>occurrence at Point Cartwright</w:t>
            </w:r>
          </w:p>
          <w:p w14:paraId="4900CAD2" w14:textId="77777777" w:rsidR="00E46799" w:rsidRPr="00D4309F" w:rsidRDefault="00E46799" w:rsidP="007E44C8">
            <w:pPr>
              <w:pStyle w:val="Table-Bullet"/>
            </w:pPr>
            <w:r w:rsidRPr="00D4309F">
              <w:t>Noise</w:t>
            </w:r>
            <w:r w:rsidRPr="00D4309F">
              <w:rPr>
                <w:spacing w:val="-2"/>
              </w:rPr>
              <w:t xml:space="preserve"> assessment</w:t>
            </w:r>
          </w:p>
          <w:p w14:paraId="4A1C8561" w14:textId="3E71C6DC" w:rsidR="00E46799" w:rsidRPr="00D4309F" w:rsidRDefault="00E46799" w:rsidP="007E44C8">
            <w:pPr>
              <w:pStyle w:val="Table-Bullet"/>
            </w:pPr>
            <w:r w:rsidRPr="00D4309F">
              <w:t>Light</w:t>
            </w:r>
            <w:r w:rsidRPr="00D4309F">
              <w:rPr>
                <w:spacing w:val="-15"/>
              </w:rPr>
              <w:t xml:space="preserve"> </w:t>
            </w:r>
            <w:r w:rsidRPr="00D4309F">
              <w:t>assessment</w:t>
            </w:r>
            <w:r w:rsidRPr="00D4309F">
              <w:rPr>
                <w:spacing w:val="-12"/>
              </w:rPr>
              <w:t xml:space="preserve"> </w:t>
            </w:r>
            <w:r w:rsidRPr="00D4309F">
              <w:t xml:space="preserve">if night works are </w:t>
            </w:r>
            <w:r w:rsidRPr="00D4309F">
              <w:rPr>
                <w:spacing w:val="-2"/>
              </w:rPr>
              <w:t>proposed</w:t>
            </w:r>
          </w:p>
        </w:tc>
        <w:tc>
          <w:tcPr>
            <w:tcW w:w="746" w:type="pct"/>
            <w:tcBorders>
              <w:top w:val="single" w:sz="4" w:space="0" w:color="000000"/>
              <w:bottom w:val="single" w:sz="4" w:space="0" w:color="000000"/>
            </w:tcBorders>
            <w:vAlign w:val="center"/>
          </w:tcPr>
          <w:p w14:paraId="2DE6C755" w14:textId="77777777" w:rsidR="00E46799" w:rsidRPr="00D4309F" w:rsidRDefault="00E46799" w:rsidP="007E44C8">
            <w:pPr>
              <w:pStyle w:val="Table-Bullet"/>
            </w:pPr>
            <w:r w:rsidRPr="00D4309F">
              <w:t>Timing of works outside of peak aggregation</w:t>
            </w:r>
            <w:r w:rsidRPr="00D4309F">
              <w:rPr>
                <w:spacing w:val="-13"/>
              </w:rPr>
              <w:t xml:space="preserve"> </w:t>
            </w:r>
            <w:r w:rsidRPr="00D4309F">
              <w:t xml:space="preserve">periods for migratory </w:t>
            </w:r>
            <w:r w:rsidRPr="00D4309F">
              <w:rPr>
                <w:spacing w:val="-2"/>
              </w:rPr>
              <w:t>shorebirds</w:t>
            </w:r>
          </w:p>
          <w:p w14:paraId="0979C074" w14:textId="77777777" w:rsidR="00E46799" w:rsidRPr="00D4309F" w:rsidRDefault="00E46799" w:rsidP="007E44C8">
            <w:pPr>
              <w:pStyle w:val="Table-Bullet"/>
            </w:pPr>
            <w:r w:rsidRPr="00D4309F">
              <w:t>Standard</w:t>
            </w:r>
            <w:r w:rsidRPr="00D4309F">
              <w:rPr>
                <w:spacing w:val="-13"/>
              </w:rPr>
              <w:t xml:space="preserve"> </w:t>
            </w:r>
            <w:r w:rsidRPr="00D4309F">
              <w:t xml:space="preserve">noise </w:t>
            </w:r>
            <w:r w:rsidRPr="00D4309F">
              <w:rPr>
                <w:spacing w:val="-2"/>
              </w:rPr>
              <w:t>management procedures</w:t>
            </w:r>
          </w:p>
          <w:p w14:paraId="1ED8DAF0" w14:textId="77777777" w:rsidR="00E46799" w:rsidRPr="00D4309F" w:rsidRDefault="00E46799" w:rsidP="007E44C8">
            <w:pPr>
              <w:pStyle w:val="Table-Bullet"/>
            </w:pPr>
            <w:r w:rsidRPr="00D4309F">
              <w:t>Limitation</w:t>
            </w:r>
            <w:r w:rsidRPr="00D4309F">
              <w:rPr>
                <w:spacing w:val="-13"/>
              </w:rPr>
              <w:t xml:space="preserve"> </w:t>
            </w:r>
            <w:r w:rsidRPr="00D4309F">
              <w:t>of</w:t>
            </w:r>
            <w:r w:rsidRPr="00D4309F">
              <w:rPr>
                <w:spacing w:val="-12"/>
              </w:rPr>
              <w:t xml:space="preserve"> </w:t>
            </w:r>
            <w:r w:rsidRPr="00D4309F">
              <w:t>works</w:t>
            </w:r>
            <w:r w:rsidRPr="00D4309F">
              <w:rPr>
                <w:spacing w:val="-12"/>
              </w:rPr>
              <w:t xml:space="preserve"> </w:t>
            </w:r>
            <w:r w:rsidRPr="00D4309F">
              <w:t xml:space="preserve">to daylight hours or if necessary, standard light mitigation </w:t>
            </w:r>
            <w:r w:rsidRPr="00D4309F">
              <w:rPr>
                <w:spacing w:val="-2"/>
              </w:rPr>
              <w:t>procedures</w:t>
            </w:r>
          </w:p>
          <w:p w14:paraId="4335BA5F" w14:textId="0053F6E4" w:rsidR="00E46799" w:rsidRPr="00D4309F" w:rsidRDefault="00E46799" w:rsidP="007E44C8">
            <w:pPr>
              <w:pStyle w:val="Table-Bullet"/>
            </w:pPr>
            <w:r w:rsidRPr="00D4309F">
              <w:t>Standard fauna mitigation practices including</w:t>
            </w:r>
            <w:r w:rsidRPr="00D4309F">
              <w:rPr>
                <w:spacing w:val="-13"/>
              </w:rPr>
              <w:t xml:space="preserve"> </w:t>
            </w:r>
            <w:r w:rsidRPr="00D4309F">
              <w:t>monitoring for conservation significant fauna</w:t>
            </w:r>
          </w:p>
        </w:tc>
      </w:tr>
      <w:tr w:rsidR="00E46799" w:rsidRPr="00D4309F" w14:paraId="12AF1B39" w14:textId="77777777" w:rsidTr="007E44C8">
        <w:trPr>
          <w:cantSplit/>
          <w:trHeight w:val="20"/>
        </w:trPr>
        <w:tc>
          <w:tcPr>
            <w:tcW w:w="479" w:type="pct"/>
            <w:tcBorders>
              <w:top w:val="single" w:sz="4" w:space="0" w:color="000000"/>
              <w:bottom w:val="single" w:sz="4" w:space="0" w:color="000000"/>
            </w:tcBorders>
            <w:vAlign w:val="center"/>
          </w:tcPr>
          <w:p w14:paraId="6152FA87" w14:textId="7EBF60A9" w:rsidR="00E46799" w:rsidRPr="00D4309F" w:rsidRDefault="00E46799" w:rsidP="007E44C8">
            <w:pPr>
              <w:pStyle w:val="Table-Text"/>
            </w:pPr>
            <w:r w:rsidRPr="00D4309F">
              <w:t>Terrestrial</w:t>
            </w:r>
            <w:r w:rsidRPr="00D4309F">
              <w:rPr>
                <w:spacing w:val="-4"/>
              </w:rPr>
              <w:t xml:space="preserve"> </w:t>
            </w:r>
            <w:r w:rsidRPr="00D4309F">
              <w:t>flora</w:t>
            </w:r>
          </w:p>
        </w:tc>
        <w:tc>
          <w:tcPr>
            <w:tcW w:w="503" w:type="pct"/>
            <w:tcBorders>
              <w:top w:val="single" w:sz="4" w:space="0" w:color="000000"/>
              <w:bottom w:val="single" w:sz="4" w:space="0" w:color="000000"/>
            </w:tcBorders>
            <w:vAlign w:val="center"/>
          </w:tcPr>
          <w:p w14:paraId="4762047B" w14:textId="77777777" w:rsidR="00E46799" w:rsidRPr="00D4309F" w:rsidRDefault="00E46799" w:rsidP="007E44C8">
            <w:pPr>
              <w:pStyle w:val="Table-Text"/>
            </w:pPr>
          </w:p>
        </w:tc>
        <w:tc>
          <w:tcPr>
            <w:tcW w:w="1072" w:type="pct"/>
            <w:tcBorders>
              <w:top w:val="single" w:sz="4" w:space="0" w:color="000000"/>
              <w:bottom w:val="single" w:sz="4" w:space="0" w:color="000000"/>
            </w:tcBorders>
            <w:vAlign w:val="center"/>
          </w:tcPr>
          <w:p w14:paraId="1652AAB1" w14:textId="1B07D250" w:rsidR="00E46799" w:rsidRPr="00D4309F" w:rsidRDefault="000E0E68" w:rsidP="007E44C8">
            <w:pPr>
              <w:pStyle w:val="Table-Bullet"/>
              <w:rPr>
                <w:spacing w:val="-2"/>
              </w:rPr>
            </w:pPr>
            <w:r w:rsidRPr="00D4309F">
              <w:rPr>
                <w:spacing w:val="-4"/>
              </w:rPr>
              <w:t>None</w:t>
            </w:r>
          </w:p>
        </w:tc>
        <w:tc>
          <w:tcPr>
            <w:tcW w:w="475" w:type="pct"/>
            <w:tcBorders>
              <w:top w:val="single" w:sz="4" w:space="0" w:color="000000"/>
              <w:bottom w:val="single" w:sz="4" w:space="0" w:color="000000"/>
            </w:tcBorders>
            <w:shd w:val="clear" w:color="auto" w:fill="BFBFBF" w:themeFill="background1" w:themeFillShade="BF"/>
            <w:vAlign w:val="center"/>
          </w:tcPr>
          <w:p w14:paraId="7C6B1121" w14:textId="7042B12E" w:rsidR="00E46799" w:rsidRPr="000E0E68" w:rsidRDefault="000E0E68" w:rsidP="002A7828">
            <w:pPr>
              <w:pStyle w:val="TableParagraph"/>
              <w:ind w:left="171" w:right="171"/>
              <w:rPr>
                <w:b/>
                <w:bCs/>
                <w:color w:val="211E1F"/>
                <w:spacing w:val="-2"/>
                <w:sz w:val="18"/>
              </w:rPr>
            </w:pPr>
            <w:r w:rsidRPr="000E0E68">
              <w:rPr>
                <w:b/>
                <w:bCs/>
                <w:color w:val="211E1F"/>
                <w:sz w:val="18"/>
              </w:rPr>
              <w:t>No impact</w:t>
            </w:r>
          </w:p>
        </w:tc>
        <w:tc>
          <w:tcPr>
            <w:tcW w:w="1048" w:type="pct"/>
            <w:tcBorders>
              <w:top w:val="single" w:sz="4" w:space="0" w:color="000000"/>
              <w:bottom w:val="single" w:sz="4" w:space="0" w:color="000000"/>
            </w:tcBorders>
            <w:vAlign w:val="center"/>
          </w:tcPr>
          <w:p w14:paraId="327D0E1C" w14:textId="64EC2064" w:rsidR="00E46799" w:rsidRPr="00D4309F" w:rsidRDefault="000E0E68" w:rsidP="007E44C8">
            <w:pPr>
              <w:pStyle w:val="Table-Bullet"/>
            </w:pPr>
            <w:r w:rsidRPr="00D4309F">
              <w:t>No</w:t>
            </w:r>
            <w:r w:rsidRPr="00D4309F">
              <w:rPr>
                <w:spacing w:val="-10"/>
              </w:rPr>
              <w:t xml:space="preserve"> </w:t>
            </w:r>
            <w:r w:rsidRPr="00D4309F">
              <w:t>impact</w:t>
            </w:r>
            <w:r w:rsidRPr="00D4309F">
              <w:rPr>
                <w:spacing w:val="-10"/>
              </w:rPr>
              <w:t xml:space="preserve"> </w:t>
            </w:r>
            <w:r w:rsidRPr="00D4309F">
              <w:t>pathway</w:t>
            </w:r>
            <w:r w:rsidRPr="00D4309F">
              <w:rPr>
                <w:spacing w:val="-10"/>
              </w:rPr>
              <w:t xml:space="preserve"> </w:t>
            </w:r>
            <w:r w:rsidRPr="00D4309F">
              <w:t>to</w:t>
            </w:r>
            <w:r w:rsidRPr="00D4309F">
              <w:rPr>
                <w:spacing w:val="-10"/>
              </w:rPr>
              <w:t xml:space="preserve"> </w:t>
            </w:r>
            <w:r w:rsidRPr="00D4309F">
              <w:t xml:space="preserve">terrestrial </w:t>
            </w:r>
            <w:r w:rsidRPr="00D4309F">
              <w:rPr>
                <w:spacing w:val="-2"/>
              </w:rPr>
              <w:t>environment</w:t>
            </w:r>
          </w:p>
        </w:tc>
        <w:tc>
          <w:tcPr>
            <w:tcW w:w="677" w:type="pct"/>
            <w:tcBorders>
              <w:top w:val="single" w:sz="4" w:space="0" w:color="000000"/>
              <w:bottom w:val="single" w:sz="4" w:space="0" w:color="000000"/>
            </w:tcBorders>
            <w:vAlign w:val="center"/>
          </w:tcPr>
          <w:p w14:paraId="02930A0A" w14:textId="4F235F32" w:rsidR="00E46799" w:rsidRPr="00D4309F" w:rsidRDefault="000E0E68" w:rsidP="007E44C8">
            <w:pPr>
              <w:pStyle w:val="Table-Bullet"/>
            </w:pPr>
            <w:r w:rsidRPr="00D4309F">
              <w:rPr>
                <w:spacing w:val="-4"/>
              </w:rPr>
              <w:t>None</w:t>
            </w:r>
          </w:p>
        </w:tc>
        <w:tc>
          <w:tcPr>
            <w:tcW w:w="746" w:type="pct"/>
            <w:tcBorders>
              <w:top w:val="single" w:sz="4" w:space="0" w:color="000000"/>
              <w:bottom w:val="single" w:sz="4" w:space="0" w:color="000000"/>
            </w:tcBorders>
            <w:vAlign w:val="center"/>
          </w:tcPr>
          <w:p w14:paraId="5DF4C825" w14:textId="08B35A6E" w:rsidR="00E46799" w:rsidRPr="00D4309F" w:rsidRDefault="00E46799" w:rsidP="007E44C8">
            <w:pPr>
              <w:pStyle w:val="Table-Bullet"/>
            </w:pPr>
            <w:r w:rsidRPr="00D4309F">
              <w:rPr>
                <w:spacing w:val="-4"/>
              </w:rPr>
              <w:t>None</w:t>
            </w:r>
          </w:p>
        </w:tc>
      </w:tr>
    </w:tbl>
    <w:p w14:paraId="0DB0F6D0" w14:textId="77777777" w:rsidR="00725977" w:rsidRPr="00D4309F" w:rsidRDefault="00725977" w:rsidP="003E0830">
      <w:pPr>
        <w:pStyle w:val="Table-Note"/>
      </w:pPr>
      <w:r w:rsidRPr="00D4309F">
        <w:t>Assumptions:</w:t>
      </w:r>
    </w:p>
    <w:p w14:paraId="5C4C4472" w14:textId="34E08364" w:rsidR="00725977" w:rsidRPr="00D4309F" w:rsidRDefault="00725977" w:rsidP="00D27F26">
      <w:pPr>
        <w:pStyle w:val="Table-Note"/>
        <w:numPr>
          <w:ilvl w:val="0"/>
          <w:numId w:val="494"/>
        </w:numPr>
      </w:pPr>
      <w:r w:rsidRPr="000E0E68">
        <w:t>Dredge</w:t>
      </w:r>
      <w:r w:rsidRPr="000E0E68">
        <w:rPr>
          <w:spacing w:val="-3"/>
        </w:rPr>
        <w:t xml:space="preserve"> </w:t>
      </w:r>
      <w:r w:rsidRPr="000E0E68">
        <w:t>area</w:t>
      </w:r>
      <w:r w:rsidRPr="000E0E68">
        <w:rPr>
          <w:spacing w:val="-3"/>
        </w:rPr>
        <w:t xml:space="preserve"> </w:t>
      </w:r>
      <w:r w:rsidRPr="000E0E68">
        <w:t>is an</w:t>
      </w:r>
      <w:r w:rsidRPr="000E0E68">
        <w:rPr>
          <w:spacing w:val="-3"/>
        </w:rPr>
        <w:t xml:space="preserve"> </w:t>
      </w:r>
      <w:r w:rsidRPr="000E0E68">
        <w:t>area of</w:t>
      </w:r>
      <w:r w:rsidRPr="000E0E68">
        <w:rPr>
          <w:spacing w:val="-3"/>
        </w:rPr>
        <w:t xml:space="preserve"> </w:t>
      </w:r>
      <w:r w:rsidRPr="000E0E68">
        <w:t xml:space="preserve">bare </w:t>
      </w:r>
      <w:r w:rsidRPr="000E0E68">
        <w:rPr>
          <w:spacing w:val="-4"/>
        </w:rPr>
        <w:t>sand</w:t>
      </w:r>
    </w:p>
    <w:p w14:paraId="687A46CD" w14:textId="625455EB" w:rsidR="00725977" w:rsidRPr="00D4309F" w:rsidRDefault="00725977" w:rsidP="00D27F26">
      <w:pPr>
        <w:pStyle w:val="Table-Note"/>
        <w:numPr>
          <w:ilvl w:val="0"/>
          <w:numId w:val="494"/>
        </w:numPr>
      </w:pPr>
      <w:r w:rsidRPr="000E0E68">
        <w:t>Disposal</w:t>
      </w:r>
      <w:r w:rsidRPr="000E0E68">
        <w:rPr>
          <w:spacing w:val="-6"/>
        </w:rPr>
        <w:t xml:space="preserve"> </w:t>
      </w:r>
      <w:r w:rsidRPr="000E0E68">
        <w:t>area</w:t>
      </w:r>
      <w:r w:rsidRPr="000E0E68">
        <w:rPr>
          <w:spacing w:val="-4"/>
        </w:rPr>
        <w:t xml:space="preserve"> </w:t>
      </w:r>
      <w:r w:rsidRPr="000E0E68">
        <w:t>assumed</w:t>
      </w:r>
      <w:r w:rsidRPr="000E0E68">
        <w:rPr>
          <w:spacing w:val="-4"/>
        </w:rPr>
        <w:t xml:space="preserve"> </w:t>
      </w:r>
      <w:r w:rsidRPr="000E0E68">
        <w:t>to</w:t>
      </w:r>
      <w:r w:rsidRPr="000E0E68">
        <w:rPr>
          <w:spacing w:val="-5"/>
        </w:rPr>
        <w:t xml:space="preserve"> </w:t>
      </w:r>
      <w:r w:rsidRPr="000E0E68">
        <w:t>be</w:t>
      </w:r>
      <w:r w:rsidRPr="000E0E68">
        <w:rPr>
          <w:spacing w:val="-5"/>
        </w:rPr>
        <w:t xml:space="preserve"> </w:t>
      </w:r>
      <w:r w:rsidRPr="000E0E68">
        <w:t>within</w:t>
      </w:r>
      <w:r w:rsidRPr="000E0E68">
        <w:rPr>
          <w:spacing w:val="-5"/>
        </w:rPr>
        <w:t xml:space="preserve"> </w:t>
      </w:r>
      <w:r w:rsidRPr="000E0E68">
        <w:t>the</w:t>
      </w:r>
      <w:r w:rsidRPr="000E0E68">
        <w:rPr>
          <w:spacing w:val="-4"/>
        </w:rPr>
        <w:t xml:space="preserve"> </w:t>
      </w:r>
      <w:r w:rsidRPr="000E0E68">
        <w:t>nearshore</w:t>
      </w:r>
      <w:r w:rsidRPr="000E0E68">
        <w:rPr>
          <w:spacing w:val="-4"/>
        </w:rPr>
        <w:t xml:space="preserve"> </w:t>
      </w:r>
      <w:r w:rsidRPr="000E0E68">
        <w:t>area</w:t>
      </w:r>
      <w:r w:rsidRPr="000E0E68">
        <w:rPr>
          <w:spacing w:val="-5"/>
        </w:rPr>
        <w:t xml:space="preserve"> </w:t>
      </w:r>
      <w:r w:rsidRPr="000E0E68">
        <w:t>offshore</w:t>
      </w:r>
      <w:r w:rsidRPr="000E0E68">
        <w:rPr>
          <w:spacing w:val="-3"/>
        </w:rPr>
        <w:t xml:space="preserve"> </w:t>
      </w:r>
      <w:r w:rsidRPr="000E0E68">
        <w:t>of</w:t>
      </w:r>
      <w:r w:rsidRPr="000E0E68">
        <w:rPr>
          <w:spacing w:val="-4"/>
        </w:rPr>
        <w:t xml:space="preserve"> </w:t>
      </w:r>
      <w:r w:rsidRPr="000E0E68">
        <w:t>southern</w:t>
      </w:r>
      <w:r w:rsidRPr="000E0E68">
        <w:rPr>
          <w:spacing w:val="-4"/>
        </w:rPr>
        <w:t xml:space="preserve"> </w:t>
      </w:r>
      <w:r w:rsidRPr="000E0E68">
        <w:t>end</w:t>
      </w:r>
      <w:r w:rsidRPr="000E0E68">
        <w:rPr>
          <w:spacing w:val="-4"/>
        </w:rPr>
        <w:t xml:space="preserve"> </w:t>
      </w:r>
      <w:r w:rsidRPr="000E0E68">
        <w:t>of</w:t>
      </w:r>
      <w:r w:rsidRPr="000E0E68">
        <w:rPr>
          <w:spacing w:val="-4"/>
        </w:rPr>
        <w:t xml:space="preserve"> </w:t>
      </w:r>
      <w:r w:rsidRPr="000E0E68">
        <w:t>Mooloolaba</w:t>
      </w:r>
      <w:r w:rsidRPr="000E0E68">
        <w:rPr>
          <w:spacing w:val="-5"/>
        </w:rPr>
        <w:t xml:space="preserve"> </w:t>
      </w:r>
      <w:r w:rsidRPr="000E0E68">
        <w:t>Main</w:t>
      </w:r>
      <w:r w:rsidRPr="000E0E68">
        <w:rPr>
          <w:spacing w:val="-4"/>
        </w:rPr>
        <w:t xml:space="preserve"> </w:t>
      </w:r>
      <w:r w:rsidRPr="000E0E68">
        <w:t>Beach</w:t>
      </w:r>
      <w:r w:rsidRPr="000E0E68">
        <w:rPr>
          <w:spacing w:val="-5"/>
        </w:rPr>
        <w:t xml:space="preserve"> </w:t>
      </w:r>
      <w:r w:rsidRPr="000E0E68">
        <w:t>where</w:t>
      </w:r>
      <w:r w:rsidRPr="000E0E68">
        <w:rPr>
          <w:spacing w:val="-3"/>
        </w:rPr>
        <w:t xml:space="preserve"> </w:t>
      </w:r>
      <w:r w:rsidRPr="000E0E68">
        <w:t>sediment</w:t>
      </w:r>
      <w:r w:rsidRPr="000E0E68">
        <w:rPr>
          <w:spacing w:val="-3"/>
        </w:rPr>
        <w:t xml:space="preserve"> </w:t>
      </w:r>
      <w:r w:rsidRPr="000E0E68">
        <w:t>has</w:t>
      </w:r>
      <w:r w:rsidRPr="000E0E68">
        <w:rPr>
          <w:spacing w:val="-4"/>
        </w:rPr>
        <w:t xml:space="preserve"> </w:t>
      </w:r>
      <w:r w:rsidRPr="000E0E68">
        <w:t>been</w:t>
      </w:r>
      <w:r w:rsidRPr="000E0E68">
        <w:rPr>
          <w:spacing w:val="-5"/>
        </w:rPr>
        <w:t xml:space="preserve"> </w:t>
      </w:r>
      <w:r w:rsidRPr="000E0E68">
        <w:t>placed</w:t>
      </w:r>
      <w:r w:rsidRPr="000E0E68">
        <w:rPr>
          <w:spacing w:val="-4"/>
        </w:rPr>
        <w:t xml:space="preserve"> </w:t>
      </w:r>
      <w:r w:rsidRPr="000E0E68">
        <w:t>previously</w:t>
      </w:r>
    </w:p>
    <w:p w14:paraId="7BB4B2CC" w14:textId="10FD1E5D" w:rsidR="00725977" w:rsidRPr="00D4309F" w:rsidRDefault="00725977" w:rsidP="00D27F26">
      <w:pPr>
        <w:pStyle w:val="Table-Note"/>
        <w:numPr>
          <w:ilvl w:val="0"/>
          <w:numId w:val="494"/>
        </w:numPr>
      </w:pPr>
      <w:r w:rsidRPr="000E0E68">
        <w:t>There</w:t>
      </w:r>
      <w:r w:rsidRPr="000E0E68">
        <w:rPr>
          <w:spacing w:val="-7"/>
        </w:rPr>
        <w:t xml:space="preserve"> </w:t>
      </w:r>
      <w:r w:rsidRPr="000E0E68">
        <w:t>is</w:t>
      </w:r>
      <w:r w:rsidRPr="000E0E68">
        <w:rPr>
          <w:spacing w:val="-3"/>
        </w:rPr>
        <w:t xml:space="preserve"> </w:t>
      </w:r>
      <w:r w:rsidRPr="000E0E68">
        <w:t>sediment</w:t>
      </w:r>
      <w:r w:rsidRPr="000E0E68">
        <w:rPr>
          <w:spacing w:val="-3"/>
        </w:rPr>
        <w:t xml:space="preserve"> </w:t>
      </w:r>
      <w:r w:rsidRPr="000E0E68">
        <w:t>contamination</w:t>
      </w:r>
      <w:r w:rsidRPr="000E0E68">
        <w:rPr>
          <w:spacing w:val="-5"/>
        </w:rPr>
        <w:t xml:space="preserve"> </w:t>
      </w:r>
      <w:r w:rsidRPr="000E0E68">
        <w:t>data</w:t>
      </w:r>
      <w:r w:rsidRPr="000E0E68">
        <w:rPr>
          <w:spacing w:val="-4"/>
        </w:rPr>
        <w:t xml:space="preserve"> </w:t>
      </w:r>
      <w:r w:rsidRPr="000E0E68">
        <w:t>to</w:t>
      </w:r>
      <w:r w:rsidRPr="000E0E68">
        <w:rPr>
          <w:spacing w:val="-3"/>
        </w:rPr>
        <w:t xml:space="preserve"> </w:t>
      </w:r>
      <w:r w:rsidRPr="000E0E68">
        <w:t>inform</w:t>
      </w:r>
      <w:r w:rsidRPr="000E0E68">
        <w:rPr>
          <w:spacing w:val="-4"/>
        </w:rPr>
        <w:t xml:space="preserve"> </w:t>
      </w:r>
      <w:r w:rsidRPr="000E0E68">
        <w:t>the</w:t>
      </w:r>
      <w:r w:rsidRPr="000E0E68">
        <w:rPr>
          <w:spacing w:val="-4"/>
        </w:rPr>
        <w:t xml:space="preserve"> </w:t>
      </w:r>
      <w:r w:rsidRPr="000E0E68">
        <w:t>risk</w:t>
      </w:r>
      <w:r w:rsidRPr="000E0E68">
        <w:rPr>
          <w:spacing w:val="-3"/>
        </w:rPr>
        <w:t xml:space="preserve"> </w:t>
      </w:r>
      <w:r w:rsidRPr="000E0E68">
        <w:t>of</w:t>
      </w:r>
      <w:r w:rsidRPr="000E0E68">
        <w:rPr>
          <w:spacing w:val="-5"/>
        </w:rPr>
        <w:t xml:space="preserve"> </w:t>
      </w:r>
      <w:r w:rsidRPr="000E0E68">
        <w:t>on</w:t>
      </w:r>
      <w:r w:rsidRPr="000E0E68">
        <w:rPr>
          <w:spacing w:val="-4"/>
        </w:rPr>
        <w:t xml:space="preserve"> </w:t>
      </w:r>
      <w:r w:rsidRPr="000E0E68">
        <w:t>release</w:t>
      </w:r>
      <w:r w:rsidRPr="000E0E68">
        <w:rPr>
          <w:spacing w:val="-4"/>
        </w:rPr>
        <w:t xml:space="preserve"> </w:t>
      </w:r>
      <w:r w:rsidRPr="000E0E68">
        <w:t>of</w:t>
      </w:r>
      <w:r w:rsidRPr="000E0E68">
        <w:rPr>
          <w:spacing w:val="-5"/>
        </w:rPr>
        <w:t xml:space="preserve"> </w:t>
      </w:r>
      <w:r w:rsidRPr="000E0E68">
        <w:t>contaminants</w:t>
      </w:r>
      <w:r w:rsidRPr="000E0E68">
        <w:rPr>
          <w:spacing w:val="-4"/>
        </w:rPr>
        <w:t xml:space="preserve"> </w:t>
      </w:r>
      <w:r w:rsidRPr="000E0E68">
        <w:t>via</w:t>
      </w:r>
      <w:r w:rsidRPr="000E0E68">
        <w:rPr>
          <w:spacing w:val="-4"/>
        </w:rPr>
        <w:t xml:space="preserve"> </w:t>
      </w:r>
      <w:r w:rsidRPr="000E0E68">
        <w:t>dredging</w:t>
      </w:r>
      <w:r w:rsidRPr="000E0E68">
        <w:rPr>
          <w:spacing w:val="-3"/>
        </w:rPr>
        <w:t xml:space="preserve"> </w:t>
      </w:r>
      <w:r w:rsidRPr="000E0E68">
        <w:t>and</w:t>
      </w:r>
      <w:r w:rsidRPr="000E0E68">
        <w:rPr>
          <w:spacing w:val="-4"/>
        </w:rPr>
        <w:t xml:space="preserve"> </w:t>
      </w:r>
      <w:r w:rsidRPr="000E0E68">
        <w:t>disposal</w:t>
      </w:r>
    </w:p>
    <w:p w14:paraId="5E3C3411" w14:textId="77777777" w:rsidR="00725977" w:rsidRPr="00D4309F" w:rsidRDefault="00725977" w:rsidP="00D27F26">
      <w:pPr>
        <w:pStyle w:val="Table-Note"/>
        <w:numPr>
          <w:ilvl w:val="0"/>
          <w:numId w:val="494"/>
        </w:numPr>
      </w:pPr>
      <w:r w:rsidRPr="00D4309F">
        <w:rPr>
          <w:color w:val="211E1F"/>
        </w:rPr>
        <w:t>Excavated</w:t>
      </w:r>
      <w:r w:rsidRPr="00D4309F">
        <w:rPr>
          <w:color w:val="211E1F"/>
          <w:spacing w:val="-5"/>
        </w:rPr>
        <w:t xml:space="preserve"> </w:t>
      </w:r>
      <w:r w:rsidRPr="00D4309F">
        <w:rPr>
          <w:color w:val="211E1F"/>
        </w:rPr>
        <w:t>rock</w:t>
      </w:r>
      <w:r w:rsidRPr="00D4309F">
        <w:rPr>
          <w:color w:val="211E1F"/>
          <w:spacing w:val="-5"/>
        </w:rPr>
        <w:t xml:space="preserve"> </w:t>
      </w:r>
      <w:r w:rsidRPr="00D4309F">
        <w:rPr>
          <w:color w:val="211E1F"/>
        </w:rPr>
        <w:t>will</w:t>
      </w:r>
      <w:r w:rsidRPr="00D4309F">
        <w:rPr>
          <w:color w:val="211E1F"/>
          <w:spacing w:val="-5"/>
        </w:rPr>
        <w:t xml:space="preserve"> </w:t>
      </w:r>
      <w:r w:rsidRPr="00D4309F">
        <w:rPr>
          <w:color w:val="211E1F"/>
        </w:rPr>
        <w:t>be</w:t>
      </w:r>
      <w:r w:rsidRPr="00D4309F">
        <w:rPr>
          <w:color w:val="211E1F"/>
          <w:spacing w:val="-4"/>
        </w:rPr>
        <w:t xml:space="preserve"> </w:t>
      </w:r>
      <w:r w:rsidRPr="00D4309F">
        <w:rPr>
          <w:color w:val="211E1F"/>
        </w:rPr>
        <w:t>disposed</w:t>
      </w:r>
      <w:r w:rsidRPr="00D4309F">
        <w:rPr>
          <w:color w:val="211E1F"/>
          <w:spacing w:val="-5"/>
        </w:rPr>
        <w:t xml:space="preserve"> </w:t>
      </w:r>
      <w:r w:rsidRPr="00D4309F">
        <w:rPr>
          <w:color w:val="211E1F"/>
        </w:rPr>
        <w:t>of</w:t>
      </w:r>
      <w:r w:rsidRPr="00D4309F">
        <w:rPr>
          <w:color w:val="211E1F"/>
          <w:spacing w:val="-2"/>
        </w:rPr>
        <w:t xml:space="preserve"> </w:t>
      </w:r>
      <w:r w:rsidRPr="00D4309F">
        <w:rPr>
          <w:color w:val="211E1F"/>
        </w:rPr>
        <w:t>offsite</w:t>
      </w:r>
      <w:r w:rsidRPr="00D4309F">
        <w:rPr>
          <w:color w:val="211E1F"/>
          <w:spacing w:val="-4"/>
        </w:rPr>
        <w:t xml:space="preserve"> </w:t>
      </w:r>
      <w:r w:rsidRPr="00D4309F">
        <w:rPr>
          <w:color w:val="211E1F"/>
        </w:rPr>
        <w:t>if</w:t>
      </w:r>
      <w:r w:rsidRPr="00D4309F">
        <w:rPr>
          <w:color w:val="211E1F"/>
          <w:spacing w:val="-3"/>
        </w:rPr>
        <w:t xml:space="preserve"> </w:t>
      </w:r>
      <w:r w:rsidRPr="00D4309F">
        <w:rPr>
          <w:color w:val="211E1F"/>
        </w:rPr>
        <w:t>not</w:t>
      </w:r>
      <w:r w:rsidRPr="00D4309F">
        <w:rPr>
          <w:color w:val="211E1F"/>
          <w:spacing w:val="-4"/>
        </w:rPr>
        <w:t xml:space="preserve"> </w:t>
      </w:r>
      <w:r w:rsidRPr="00D4309F">
        <w:rPr>
          <w:color w:val="211E1F"/>
        </w:rPr>
        <w:t>appropriate</w:t>
      </w:r>
      <w:r w:rsidRPr="00D4309F">
        <w:rPr>
          <w:color w:val="211E1F"/>
          <w:spacing w:val="-3"/>
        </w:rPr>
        <w:t xml:space="preserve"> </w:t>
      </w:r>
      <w:r w:rsidRPr="00D4309F">
        <w:rPr>
          <w:color w:val="211E1F"/>
        </w:rPr>
        <w:t>for</w:t>
      </w:r>
      <w:r w:rsidRPr="00D4309F">
        <w:rPr>
          <w:color w:val="211E1F"/>
          <w:spacing w:val="-4"/>
        </w:rPr>
        <w:t xml:space="preserve"> </w:t>
      </w:r>
      <w:r w:rsidRPr="00D4309F">
        <w:rPr>
          <w:color w:val="211E1F"/>
        </w:rPr>
        <w:t>offshore</w:t>
      </w:r>
      <w:r w:rsidRPr="00D4309F">
        <w:rPr>
          <w:color w:val="211E1F"/>
          <w:spacing w:val="-3"/>
        </w:rPr>
        <w:t xml:space="preserve"> </w:t>
      </w:r>
      <w:r w:rsidRPr="00D4309F">
        <w:rPr>
          <w:color w:val="211E1F"/>
          <w:spacing w:val="-2"/>
        </w:rPr>
        <w:t>disposal</w:t>
      </w:r>
    </w:p>
    <w:p w14:paraId="46A66909" w14:textId="77777777" w:rsidR="00725977" w:rsidRPr="00D4309F" w:rsidRDefault="00725977" w:rsidP="00725977">
      <w:pPr>
        <w:pStyle w:val="ListParagraph"/>
        <w:rPr>
          <w:sz w:val="14"/>
        </w:rPr>
        <w:sectPr w:rsidR="00725977" w:rsidRPr="00D4309F" w:rsidSect="00405D4F">
          <w:headerReference w:type="default" r:id="rId107"/>
          <w:footerReference w:type="default" r:id="rId108"/>
          <w:pgSz w:w="16840" w:h="11910" w:orient="landscape"/>
          <w:pgMar w:top="1418" w:right="1134" w:bottom="1418" w:left="1134" w:header="916" w:footer="976" w:gutter="0"/>
          <w:cols w:space="720"/>
        </w:sectPr>
      </w:pPr>
    </w:p>
    <w:p w14:paraId="79185795" w14:textId="77777777" w:rsidR="00725977" w:rsidRPr="00D4309F" w:rsidRDefault="00725977" w:rsidP="00725977">
      <w:pPr>
        <w:pStyle w:val="BodyText"/>
      </w:pPr>
      <w:r w:rsidRPr="00D4309F">
        <w:lastRenderedPageBreak/>
        <w:t>Similar</w:t>
      </w:r>
      <w:r w:rsidRPr="00D4309F">
        <w:rPr>
          <w:spacing w:val="-2"/>
        </w:rPr>
        <w:t xml:space="preserve"> </w:t>
      </w:r>
      <w:r w:rsidRPr="00D4309F">
        <w:t>to</w:t>
      </w:r>
      <w:r w:rsidRPr="00D4309F">
        <w:rPr>
          <w:spacing w:val="-3"/>
        </w:rPr>
        <w:t xml:space="preserve"> </w:t>
      </w:r>
      <w:r w:rsidRPr="00D4309F">
        <w:t>Option</w:t>
      </w:r>
      <w:r w:rsidRPr="00D4309F">
        <w:rPr>
          <w:spacing w:val="-3"/>
        </w:rPr>
        <w:t xml:space="preserve"> </w:t>
      </w:r>
      <w:r w:rsidRPr="00D4309F">
        <w:t>2A,</w:t>
      </w:r>
      <w:r w:rsidRPr="00D4309F">
        <w:rPr>
          <w:spacing w:val="-4"/>
        </w:rPr>
        <w:t xml:space="preserve"> </w:t>
      </w:r>
      <w:r w:rsidRPr="00D4309F">
        <w:t>capital</w:t>
      </w:r>
      <w:r w:rsidRPr="00D4309F">
        <w:rPr>
          <w:spacing w:val="-3"/>
        </w:rPr>
        <w:t xml:space="preserve"> </w:t>
      </w:r>
      <w:r w:rsidRPr="00D4309F">
        <w:t>rock</w:t>
      </w:r>
      <w:r w:rsidRPr="00D4309F">
        <w:rPr>
          <w:spacing w:val="-2"/>
        </w:rPr>
        <w:t xml:space="preserve"> </w:t>
      </w:r>
      <w:r w:rsidRPr="00D4309F">
        <w:t>cutting</w:t>
      </w:r>
      <w:r w:rsidRPr="00D4309F">
        <w:rPr>
          <w:spacing w:val="-3"/>
        </w:rPr>
        <w:t xml:space="preserve"> </w:t>
      </w:r>
      <w:r w:rsidRPr="00D4309F">
        <w:t>will</w:t>
      </w:r>
      <w:r w:rsidRPr="00D4309F">
        <w:rPr>
          <w:spacing w:val="-3"/>
        </w:rPr>
        <w:t xml:space="preserve"> </w:t>
      </w:r>
      <w:r w:rsidRPr="00D4309F">
        <w:t>potentially</w:t>
      </w:r>
      <w:r w:rsidRPr="00D4309F">
        <w:rPr>
          <w:spacing w:val="-2"/>
        </w:rPr>
        <w:t xml:space="preserve"> </w:t>
      </w:r>
      <w:r w:rsidRPr="00D4309F">
        <w:t>result</w:t>
      </w:r>
      <w:r w:rsidRPr="00D4309F">
        <w:rPr>
          <w:spacing w:val="-3"/>
        </w:rPr>
        <w:t xml:space="preserve"> </w:t>
      </w:r>
      <w:r w:rsidRPr="00D4309F">
        <w:t>in</w:t>
      </w:r>
      <w:r w:rsidRPr="00D4309F">
        <w:rPr>
          <w:spacing w:val="-3"/>
        </w:rPr>
        <w:t xml:space="preserve"> </w:t>
      </w:r>
      <w:r w:rsidRPr="00D4309F">
        <w:t>a</w:t>
      </w:r>
      <w:r w:rsidRPr="00D4309F">
        <w:rPr>
          <w:spacing w:val="-4"/>
        </w:rPr>
        <w:t xml:space="preserve"> </w:t>
      </w:r>
      <w:r w:rsidRPr="00D4309F">
        <w:t>more</w:t>
      </w:r>
      <w:r w:rsidRPr="00D4309F">
        <w:rPr>
          <w:spacing w:val="-3"/>
        </w:rPr>
        <w:t xml:space="preserve"> </w:t>
      </w:r>
      <w:r w:rsidRPr="00D4309F">
        <w:t>extensive</w:t>
      </w:r>
      <w:r w:rsidRPr="00D4309F">
        <w:rPr>
          <w:spacing w:val="-3"/>
        </w:rPr>
        <w:t xml:space="preserve"> </w:t>
      </w:r>
      <w:r w:rsidRPr="00D4309F">
        <w:t>and</w:t>
      </w:r>
      <w:r w:rsidRPr="00D4309F">
        <w:rPr>
          <w:spacing w:val="-3"/>
        </w:rPr>
        <w:t xml:space="preserve"> </w:t>
      </w:r>
      <w:r w:rsidRPr="00D4309F">
        <w:t>persistent</w:t>
      </w:r>
      <w:r w:rsidRPr="00D4309F">
        <w:rPr>
          <w:spacing w:val="-3"/>
        </w:rPr>
        <w:t xml:space="preserve"> </w:t>
      </w:r>
      <w:r w:rsidRPr="00D4309F">
        <w:t>turbid</w:t>
      </w:r>
      <w:r w:rsidRPr="00D4309F">
        <w:rPr>
          <w:spacing w:val="-3"/>
        </w:rPr>
        <w:t xml:space="preserve"> </w:t>
      </w:r>
      <w:r w:rsidRPr="00D4309F">
        <w:t>plume and greater noise impacts potentially resulting in significant impacts to marine environmental quality, marine and terrestrial fauna and benthic habitats. This will require further assessment and monitoring/management during works, including timing the works to avoid key seasons for conservation significant fauna.</w:t>
      </w:r>
    </w:p>
    <w:p w14:paraId="27F581B3" w14:textId="3EC1A3C3" w:rsidR="00725977" w:rsidRPr="00D4309F" w:rsidRDefault="00725977" w:rsidP="00725977">
      <w:pPr>
        <w:pStyle w:val="BodyText"/>
      </w:pPr>
      <w:r w:rsidRPr="00D4309F">
        <w:t>Once established, the ongoing maintenance dredging and nearshore disposal presents a larger footprint compared to Option 2A,</w:t>
      </w:r>
      <w:r w:rsidRPr="00D4309F">
        <w:rPr>
          <w:spacing w:val="-1"/>
        </w:rPr>
        <w:t xml:space="preserve"> </w:t>
      </w:r>
      <w:r w:rsidRPr="00D4309F">
        <w:t>which</w:t>
      </w:r>
      <w:r w:rsidRPr="00D4309F">
        <w:rPr>
          <w:spacing w:val="-1"/>
        </w:rPr>
        <w:t xml:space="preserve"> </w:t>
      </w:r>
      <w:r w:rsidRPr="00D4309F">
        <w:t>will cause temporary turbidity plumes in the placement area and minor short-term</w:t>
      </w:r>
      <w:r w:rsidRPr="00D4309F">
        <w:rPr>
          <w:spacing w:val="-3"/>
        </w:rPr>
        <w:t xml:space="preserve"> </w:t>
      </w:r>
      <w:r w:rsidRPr="00D4309F">
        <w:t>disturbance</w:t>
      </w:r>
      <w:r w:rsidRPr="00D4309F">
        <w:rPr>
          <w:spacing w:val="-3"/>
        </w:rPr>
        <w:t xml:space="preserve"> </w:t>
      </w:r>
      <w:r w:rsidRPr="00D4309F">
        <w:t>to</w:t>
      </w:r>
      <w:r w:rsidRPr="00D4309F">
        <w:rPr>
          <w:spacing w:val="-3"/>
        </w:rPr>
        <w:t xml:space="preserve"> </w:t>
      </w:r>
      <w:r w:rsidRPr="00D4309F">
        <w:t>benthic</w:t>
      </w:r>
      <w:r w:rsidRPr="00D4309F">
        <w:rPr>
          <w:spacing w:val="-2"/>
        </w:rPr>
        <w:t xml:space="preserve"> </w:t>
      </w:r>
      <w:r w:rsidRPr="00D4309F">
        <w:t>habitats.</w:t>
      </w:r>
      <w:r w:rsidRPr="00D4309F">
        <w:rPr>
          <w:spacing w:val="-4"/>
        </w:rPr>
        <w:t xml:space="preserve"> </w:t>
      </w:r>
      <w:r w:rsidRPr="00D4309F">
        <w:t>It</w:t>
      </w:r>
      <w:r w:rsidRPr="00D4309F">
        <w:rPr>
          <w:spacing w:val="-3"/>
        </w:rPr>
        <w:t xml:space="preserve"> </w:t>
      </w:r>
      <w:r w:rsidRPr="00D4309F">
        <w:t>is</w:t>
      </w:r>
      <w:r w:rsidRPr="00D4309F">
        <w:rPr>
          <w:spacing w:val="-2"/>
        </w:rPr>
        <w:t xml:space="preserve"> </w:t>
      </w:r>
      <w:r w:rsidRPr="00D4309F">
        <w:t>expected</w:t>
      </w:r>
      <w:r w:rsidRPr="00D4309F">
        <w:rPr>
          <w:spacing w:val="-3"/>
        </w:rPr>
        <w:t xml:space="preserve"> </w:t>
      </w:r>
      <w:r w:rsidRPr="00D4309F">
        <w:t>these</w:t>
      </w:r>
      <w:r w:rsidRPr="00D4309F">
        <w:rPr>
          <w:spacing w:val="-3"/>
        </w:rPr>
        <w:t xml:space="preserve"> </w:t>
      </w:r>
      <w:r w:rsidRPr="00D4309F">
        <w:t>effects</w:t>
      </w:r>
      <w:r w:rsidRPr="00D4309F">
        <w:rPr>
          <w:spacing w:val="-2"/>
        </w:rPr>
        <w:t xml:space="preserve"> </w:t>
      </w:r>
      <w:r w:rsidRPr="00D4309F">
        <w:t>will</w:t>
      </w:r>
      <w:r w:rsidRPr="00D4309F">
        <w:rPr>
          <w:spacing w:val="-3"/>
        </w:rPr>
        <w:t xml:space="preserve"> </w:t>
      </w:r>
      <w:r w:rsidRPr="00D4309F">
        <w:t>be</w:t>
      </w:r>
      <w:r w:rsidRPr="00D4309F">
        <w:rPr>
          <w:spacing w:val="-3"/>
        </w:rPr>
        <w:t xml:space="preserve"> </w:t>
      </w:r>
      <w:r w:rsidRPr="00D4309F">
        <w:t>localised</w:t>
      </w:r>
      <w:r w:rsidRPr="00D4309F">
        <w:rPr>
          <w:spacing w:val="-4"/>
        </w:rPr>
        <w:t xml:space="preserve"> </w:t>
      </w:r>
      <w:r w:rsidRPr="00D4309F">
        <w:t>and</w:t>
      </w:r>
      <w:r w:rsidRPr="00D4309F">
        <w:rPr>
          <w:spacing w:val="-3"/>
        </w:rPr>
        <w:t xml:space="preserve"> </w:t>
      </w:r>
      <w:r w:rsidRPr="00D4309F">
        <w:t>dissipate</w:t>
      </w:r>
      <w:r w:rsidRPr="00D4309F">
        <w:rPr>
          <w:spacing w:val="-3"/>
        </w:rPr>
        <w:t xml:space="preserve"> </w:t>
      </w:r>
      <w:r w:rsidRPr="00D4309F">
        <w:t>rapidly</w:t>
      </w:r>
      <w:r w:rsidRPr="00D4309F">
        <w:rPr>
          <w:spacing w:val="-2"/>
        </w:rPr>
        <w:t xml:space="preserve"> </w:t>
      </w:r>
      <w:r w:rsidRPr="00D4309F">
        <w:t>under coastal wave action and potential impacts to benthic habitats and marine fauna can be managed during works. Benthic habitat monitoring is also recommended to confirm that placed sand behaves as intended and does not smother sensitive nearshore habitats. However, the nearshore placement of sand provides environmental and coastal protection benefits by reinforcing the natural sediment budget and maintaining beach resilience against erosion.</w:t>
      </w:r>
    </w:p>
    <w:p w14:paraId="107D829A" w14:textId="77777777" w:rsidR="00725977" w:rsidRPr="00D4309F" w:rsidRDefault="00725977" w:rsidP="008228CB">
      <w:pPr>
        <w:pStyle w:val="Heading3"/>
      </w:pPr>
      <w:bookmarkStart w:id="347" w:name="_Toc216699422"/>
      <w:r w:rsidRPr="00D4309F">
        <w:t>Social</w:t>
      </w:r>
      <w:r w:rsidRPr="00D4309F">
        <w:rPr>
          <w:spacing w:val="-3"/>
        </w:rPr>
        <w:t xml:space="preserve"> </w:t>
      </w:r>
      <w:r w:rsidRPr="00D4309F">
        <w:rPr>
          <w:spacing w:val="-2"/>
        </w:rPr>
        <w:t>impacts</w:t>
      </w:r>
      <w:bookmarkEnd w:id="347"/>
    </w:p>
    <w:p w14:paraId="3A0807DE" w14:textId="77777777" w:rsidR="00725977" w:rsidRPr="00D4309F" w:rsidRDefault="00725977" w:rsidP="00725977">
      <w:pPr>
        <w:pStyle w:val="BodyText"/>
      </w:pPr>
      <w:r w:rsidRPr="00D4309F">
        <w:t>Option 2B is expected to generate social value with two positive impacts ranked as high in the SIE assessment,</w:t>
      </w:r>
      <w:r w:rsidRPr="00D4309F">
        <w:rPr>
          <w:spacing w:val="-3"/>
        </w:rPr>
        <w:t xml:space="preserve"> </w:t>
      </w:r>
      <w:r w:rsidRPr="00D4309F">
        <w:t>including:</w:t>
      </w:r>
      <w:r w:rsidRPr="00D4309F">
        <w:rPr>
          <w:spacing w:val="-4"/>
        </w:rPr>
        <w:t xml:space="preserve"> </w:t>
      </w:r>
      <w:r w:rsidRPr="00D4309F">
        <w:t>safer</w:t>
      </w:r>
      <w:r w:rsidRPr="00D4309F">
        <w:rPr>
          <w:spacing w:val="-3"/>
        </w:rPr>
        <w:t xml:space="preserve"> </w:t>
      </w:r>
      <w:r w:rsidRPr="00D4309F">
        <w:t>channel</w:t>
      </w:r>
      <w:r w:rsidRPr="00D4309F">
        <w:rPr>
          <w:spacing w:val="-3"/>
        </w:rPr>
        <w:t xml:space="preserve"> </w:t>
      </w:r>
      <w:r w:rsidRPr="00D4309F">
        <w:t>access</w:t>
      </w:r>
      <w:r w:rsidRPr="00D4309F">
        <w:rPr>
          <w:spacing w:val="-3"/>
        </w:rPr>
        <w:t xml:space="preserve"> </w:t>
      </w:r>
      <w:r w:rsidRPr="00D4309F">
        <w:t>through</w:t>
      </w:r>
      <w:r w:rsidRPr="00D4309F">
        <w:rPr>
          <w:spacing w:val="-3"/>
        </w:rPr>
        <w:t xml:space="preserve"> </w:t>
      </w:r>
      <w:r w:rsidRPr="00D4309F">
        <w:t>reduced</w:t>
      </w:r>
      <w:r w:rsidRPr="00D4309F">
        <w:rPr>
          <w:spacing w:val="-4"/>
        </w:rPr>
        <w:t xml:space="preserve"> </w:t>
      </w:r>
      <w:r w:rsidRPr="00D4309F">
        <w:t>shoaling</w:t>
      </w:r>
      <w:r w:rsidRPr="00D4309F">
        <w:rPr>
          <w:spacing w:val="-4"/>
        </w:rPr>
        <w:t xml:space="preserve"> </w:t>
      </w:r>
      <w:r w:rsidRPr="00D4309F">
        <w:t>and</w:t>
      </w:r>
      <w:r w:rsidRPr="00D4309F">
        <w:rPr>
          <w:spacing w:val="-3"/>
        </w:rPr>
        <w:t xml:space="preserve"> </w:t>
      </w:r>
      <w:r w:rsidRPr="00D4309F">
        <w:t>improved</w:t>
      </w:r>
      <w:r w:rsidRPr="00D4309F">
        <w:rPr>
          <w:spacing w:val="-4"/>
        </w:rPr>
        <w:t xml:space="preserve"> </w:t>
      </w:r>
      <w:r w:rsidRPr="00D4309F">
        <w:t>economic</w:t>
      </w:r>
      <w:r w:rsidRPr="00D4309F">
        <w:rPr>
          <w:spacing w:val="-3"/>
        </w:rPr>
        <w:t xml:space="preserve"> </w:t>
      </w:r>
      <w:r w:rsidRPr="00D4309F">
        <w:t>outcomes through more reliable channel access.</w:t>
      </w:r>
    </w:p>
    <w:p w14:paraId="0665F946" w14:textId="2CF0A704" w:rsidR="00725977" w:rsidRPr="00D4309F" w:rsidRDefault="00725977" w:rsidP="00725977">
      <w:pPr>
        <w:pStyle w:val="BodyText"/>
      </w:pPr>
      <w:r w:rsidRPr="00D4309F">
        <w:t>When</w:t>
      </w:r>
      <w:r w:rsidRPr="00D4309F">
        <w:rPr>
          <w:spacing w:val="-3"/>
        </w:rPr>
        <w:t xml:space="preserve"> </w:t>
      </w:r>
      <w:r w:rsidRPr="00D4309F">
        <w:t>compared</w:t>
      </w:r>
      <w:r w:rsidRPr="00D4309F">
        <w:rPr>
          <w:spacing w:val="-3"/>
        </w:rPr>
        <w:t xml:space="preserve"> </w:t>
      </w:r>
      <w:r w:rsidRPr="00D4309F">
        <w:t>to</w:t>
      </w:r>
      <w:r w:rsidRPr="00D4309F">
        <w:rPr>
          <w:spacing w:val="-3"/>
        </w:rPr>
        <w:t xml:space="preserve"> </w:t>
      </w:r>
      <w:r w:rsidRPr="00D4309F">
        <w:t>the</w:t>
      </w:r>
      <w:r w:rsidRPr="00D4309F">
        <w:rPr>
          <w:spacing w:val="-3"/>
        </w:rPr>
        <w:t xml:space="preserve"> </w:t>
      </w:r>
      <w:r w:rsidRPr="00D4309F">
        <w:t>baseline,</w:t>
      </w:r>
      <w:r w:rsidRPr="00D4309F">
        <w:rPr>
          <w:spacing w:val="-3"/>
        </w:rPr>
        <w:t xml:space="preserve"> </w:t>
      </w:r>
      <w:r w:rsidRPr="00D4309F">
        <w:t>there</w:t>
      </w:r>
      <w:r w:rsidRPr="00D4309F">
        <w:rPr>
          <w:spacing w:val="-4"/>
        </w:rPr>
        <w:t xml:space="preserve"> </w:t>
      </w:r>
      <w:r w:rsidRPr="00D4309F">
        <w:t>were</w:t>
      </w:r>
      <w:r w:rsidRPr="00D4309F">
        <w:rPr>
          <w:spacing w:val="-3"/>
        </w:rPr>
        <w:t xml:space="preserve"> </w:t>
      </w:r>
      <w:r w:rsidRPr="00D4309F">
        <w:t>five</w:t>
      </w:r>
      <w:r w:rsidRPr="00D4309F">
        <w:rPr>
          <w:spacing w:val="-3"/>
        </w:rPr>
        <w:t xml:space="preserve"> </w:t>
      </w:r>
      <w:r w:rsidRPr="00D4309F">
        <w:t>negative</w:t>
      </w:r>
      <w:r w:rsidRPr="00D4309F">
        <w:rPr>
          <w:spacing w:val="-3"/>
        </w:rPr>
        <w:t xml:space="preserve"> </w:t>
      </w:r>
      <w:r w:rsidRPr="00D4309F">
        <w:t>social</w:t>
      </w:r>
      <w:r w:rsidRPr="00D4309F">
        <w:rPr>
          <w:spacing w:val="-3"/>
        </w:rPr>
        <w:t xml:space="preserve"> </w:t>
      </w:r>
      <w:r w:rsidRPr="00D4309F">
        <w:t>impacts</w:t>
      </w:r>
      <w:r w:rsidRPr="00D4309F">
        <w:rPr>
          <w:spacing w:val="-2"/>
        </w:rPr>
        <w:t xml:space="preserve"> </w:t>
      </w:r>
      <w:r w:rsidRPr="00D4309F">
        <w:t>identified,</w:t>
      </w:r>
      <w:r w:rsidRPr="00D4309F">
        <w:rPr>
          <w:spacing w:val="-3"/>
        </w:rPr>
        <w:t xml:space="preserve"> </w:t>
      </w:r>
      <w:r w:rsidRPr="00D4309F">
        <w:t>however,</w:t>
      </w:r>
      <w:r w:rsidRPr="00D4309F">
        <w:rPr>
          <w:spacing w:val="-3"/>
        </w:rPr>
        <w:t xml:space="preserve"> </w:t>
      </w:r>
      <w:r w:rsidRPr="00D4309F">
        <w:t>after</w:t>
      </w:r>
      <w:r w:rsidRPr="00D4309F">
        <w:rPr>
          <w:spacing w:val="-2"/>
        </w:rPr>
        <w:t xml:space="preserve"> </w:t>
      </w:r>
      <w:r w:rsidRPr="00D4309F">
        <w:t>mitigation measures were considered, there was one which may be of high concern to the community and stakeholders, being potential negative environmental impacts. Further mitigations must be undertaken to reduce potential negative social impacts including environmental assessments, management plans, silt curtains and broader community and stakeholder engagement.</w:t>
      </w:r>
    </w:p>
    <w:p w14:paraId="11189427" w14:textId="77777777" w:rsidR="00725977" w:rsidRPr="00D4309F" w:rsidRDefault="00725977" w:rsidP="008228CB">
      <w:pPr>
        <w:pStyle w:val="Heading3"/>
      </w:pPr>
      <w:bookmarkStart w:id="348" w:name="_Toc216699423"/>
      <w:r w:rsidRPr="00D4309F">
        <w:t>Economic</w:t>
      </w:r>
      <w:r w:rsidRPr="00D4309F">
        <w:rPr>
          <w:spacing w:val="-4"/>
        </w:rPr>
        <w:t xml:space="preserve"> </w:t>
      </w:r>
      <w:r w:rsidRPr="00D4309F">
        <w:rPr>
          <w:spacing w:val="-2"/>
        </w:rPr>
        <w:t>impacts</w:t>
      </w:r>
      <w:bookmarkEnd w:id="348"/>
    </w:p>
    <w:p w14:paraId="76F8459A" w14:textId="77777777" w:rsidR="00725977" w:rsidRPr="00D4309F" w:rsidRDefault="00725977" w:rsidP="00725977">
      <w:pPr>
        <w:pStyle w:val="BodyText"/>
      </w:pPr>
      <w:r w:rsidRPr="00D4309F">
        <w:t>Option</w:t>
      </w:r>
      <w:r w:rsidRPr="00D4309F">
        <w:rPr>
          <w:spacing w:val="-2"/>
        </w:rPr>
        <w:t xml:space="preserve"> </w:t>
      </w:r>
      <w:r w:rsidRPr="00D4309F">
        <w:t>2B</w:t>
      </w:r>
      <w:r w:rsidRPr="00D4309F">
        <w:rPr>
          <w:spacing w:val="-2"/>
        </w:rPr>
        <w:t xml:space="preserve"> </w:t>
      </w:r>
      <w:r w:rsidRPr="00D4309F">
        <w:t>is</w:t>
      </w:r>
      <w:r w:rsidRPr="00D4309F">
        <w:rPr>
          <w:spacing w:val="-2"/>
        </w:rPr>
        <w:t xml:space="preserve"> </w:t>
      </w:r>
      <w:r w:rsidRPr="00D4309F">
        <w:t>expected</w:t>
      </w:r>
      <w:r w:rsidRPr="00D4309F">
        <w:rPr>
          <w:spacing w:val="-2"/>
        </w:rPr>
        <w:t xml:space="preserve"> </w:t>
      </w:r>
      <w:r w:rsidRPr="00D4309F">
        <w:t>to</w:t>
      </w:r>
      <w:r w:rsidRPr="00D4309F">
        <w:rPr>
          <w:spacing w:val="-2"/>
        </w:rPr>
        <w:t xml:space="preserve"> </w:t>
      </w:r>
      <w:r w:rsidRPr="00D4309F">
        <w:t>have</w:t>
      </w:r>
      <w:r w:rsidRPr="00D4309F">
        <w:rPr>
          <w:spacing w:val="-2"/>
        </w:rPr>
        <w:t xml:space="preserve"> </w:t>
      </w:r>
      <w:r w:rsidRPr="00D4309F">
        <w:t>a</w:t>
      </w:r>
      <w:r w:rsidRPr="00D4309F">
        <w:rPr>
          <w:spacing w:val="-2"/>
        </w:rPr>
        <w:t xml:space="preserve"> </w:t>
      </w:r>
      <w:r w:rsidRPr="00D4309F">
        <w:t>low</w:t>
      </w:r>
      <w:r w:rsidRPr="00D4309F">
        <w:rPr>
          <w:spacing w:val="-1"/>
        </w:rPr>
        <w:t xml:space="preserve"> </w:t>
      </w:r>
      <w:r w:rsidRPr="00D4309F">
        <w:t>to</w:t>
      </w:r>
      <w:r w:rsidRPr="00D4309F">
        <w:rPr>
          <w:spacing w:val="-2"/>
        </w:rPr>
        <w:t xml:space="preserve"> </w:t>
      </w:r>
      <w:r w:rsidRPr="00D4309F">
        <w:t>moderate</w:t>
      </w:r>
      <w:r w:rsidRPr="00D4309F">
        <w:rPr>
          <w:spacing w:val="-2"/>
        </w:rPr>
        <w:t xml:space="preserve"> </w:t>
      </w:r>
      <w:r w:rsidRPr="00D4309F">
        <w:t>economic</w:t>
      </w:r>
      <w:r w:rsidRPr="00D4309F">
        <w:rPr>
          <w:spacing w:val="-1"/>
        </w:rPr>
        <w:t xml:space="preserve"> </w:t>
      </w:r>
      <w:r w:rsidRPr="00D4309F">
        <w:t>impact</w:t>
      </w:r>
      <w:r w:rsidRPr="00D4309F">
        <w:rPr>
          <w:spacing w:val="-2"/>
        </w:rPr>
        <w:t xml:space="preserve"> </w:t>
      </w:r>
      <w:r w:rsidRPr="00D4309F">
        <w:t>compared</w:t>
      </w:r>
      <w:r w:rsidRPr="00D4309F">
        <w:rPr>
          <w:spacing w:val="-2"/>
        </w:rPr>
        <w:t xml:space="preserve"> </w:t>
      </w:r>
      <w:r w:rsidRPr="00D4309F">
        <w:t>with</w:t>
      </w:r>
      <w:r w:rsidRPr="00D4309F">
        <w:rPr>
          <w:spacing w:val="-2"/>
        </w:rPr>
        <w:t xml:space="preserve"> </w:t>
      </w:r>
      <w:r w:rsidRPr="00D4309F">
        <w:t>the</w:t>
      </w:r>
      <w:r w:rsidRPr="00D4309F">
        <w:rPr>
          <w:spacing w:val="-2"/>
        </w:rPr>
        <w:t xml:space="preserve"> </w:t>
      </w:r>
      <w:r w:rsidRPr="00D4309F">
        <w:t>current</w:t>
      </w:r>
      <w:r w:rsidRPr="00D4309F">
        <w:rPr>
          <w:spacing w:val="-4"/>
        </w:rPr>
        <w:t xml:space="preserve"> </w:t>
      </w:r>
      <w:r w:rsidRPr="00D4309F">
        <w:t>approach.</w:t>
      </w:r>
      <w:r w:rsidRPr="00D4309F">
        <w:rPr>
          <w:spacing w:val="-2"/>
        </w:rPr>
        <w:t xml:space="preserve"> </w:t>
      </w:r>
      <w:r w:rsidRPr="00D4309F">
        <w:t>The project will reduce shoaling at the harbour entrance improving channel access and reliability for users in the long-term. This enhancement will allow both commercial and recreational vessels to navigate the channel without interruption, reducing delays and minimising reliance on emergency maintenance dredging. By ensuring</w:t>
      </w:r>
      <w:r w:rsidRPr="00D4309F">
        <w:rPr>
          <w:spacing w:val="-3"/>
        </w:rPr>
        <w:t xml:space="preserve"> </w:t>
      </w:r>
      <w:r w:rsidRPr="00D4309F">
        <w:t>consistent</w:t>
      </w:r>
      <w:r w:rsidRPr="00D4309F">
        <w:rPr>
          <w:spacing w:val="-3"/>
        </w:rPr>
        <w:t xml:space="preserve"> </w:t>
      </w:r>
      <w:r w:rsidRPr="00D4309F">
        <w:t>access,</w:t>
      </w:r>
      <w:r w:rsidRPr="00D4309F">
        <w:rPr>
          <w:spacing w:val="-3"/>
        </w:rPr>
        <w:t xml:space="preserve"> </w:t>
      </w:r>
      <w:r w:rsidRPr="00D4309F">
        <w:t>the</w:t>
      </w:r>
      <w:r w:rsidRPr="00D4309F">
        <w:rPr>
          <w:spacing w:val="-3"/>
        </w:rPr>
        <w:t xml:space="preserve"> </w:t>
      </w:r>
      <w:r w:rsidRPr="00D4309F">
        <w:t>project</w:t>
      </w:r>
      <w:r w:rsidRPr="00D4309F">
        <w:rPr>
          <w:spacing w:val="-5"/>
        </w:rPr>
        <w:t xml:space="preserve"> </w:t>
      </w:r>
      <w:r w:rsidRPr="00D4309F">
        <w:t>supports</w:t>
      </w:r>
      <w:r w:rsidRPr="00D4309F">
        <w:rPr>
          <w:spacing w:val="-2"/>
        </w:rPr>
        <w:t xml:space="preserve"> </w:t>
      </w:r>
      <w:r w:rsidRPr="00D4309F">
        <w:t>safer</w:t>
      </w:r>
      <w:r w:rsidRPr="00D4309F">
        <w:rPr>
          <w:spacing w:val="-2"/>
        </w:rPr>
        <w:t xml:space="preserve"> </w:t>
      </w:r>
      <w:r w:rsidRPr="00D4309F">
        <w:t>operations</w:t>
      </w:r>
      <w:r w:rsidRPr="00D4309F">
        <w:rPr>
          <w:spacing w:val="-2"/>
        </w:rPr>
        <w:t xml:space="preserve"> </w:t>
      </w:r>
      <w:r w:rsidRPr="00D4309F">
        <w:t>and</w:t>
      </w:r>
      <w:r w:rsidRPr="00D4309F">
        <w:rPr>
          <w:spacing w:val="-3"/>
        </w:rPr>
        <w:t xml:space="preserve"> </w:t>
      </w:r>
      <w:r w:rsidRPr="00D4309F">
        <w:t>greater</w:t>
      </w:r>
      <w:r w:rsidRPr="00D4309F">
        <w:rPr>
          <w:spacing w:val="-4"/>
        </w:rPr>
        <w:t xml:space="preserve"> </w:t>
      </w:r>
      <w:r w:rsidRPr="00D4309F">
        <w:t>confidence</w:t>
      </w:r>
      <w:r w:rsidRPr="00D4309F">
        <w:rPr>
          <w:spacing w:val="-3"/>
        </w:rPr>
        <w:t xml:space="preserve"> </w:t>
      </w:r>
      <w:r w:rsidRPr="00D4309F">
        <w:t>for</w:t>
      </w:r>
      <w:r w:rsidRPr="00D4309F">
        <w:rPr>
          <w:spacing w:val="-4"/>
        </w:rPr>
        <w:t xml:space="preserve"> </w:t>
      </w:r>
      <w:r w:rsidRPr="00D4309F">
        <w:t>businesses</w:t>
      </w:r>
      <w:r w:rsidRPr="00D4309F">
        <w:rPr>
          <w:spacing w:val="-2"/>
        </w:rPr>
        <w:t xml:space="preserve"> </w:t>
      </w:r>
      <w:r w:rsidRPr="00D4309F">
        <w:t>and the boating community.</w:t>
      </w:r>
    </w:p>
    <w:p w14:paraId="2D930FF2" w14:textId="77777777" w:rsidR="00725977" w:rsidRPr="00D4309F" w:rsidRDefault="00725977" w:rsidP="00725977">
      <w:pPr>
        <w:pStyle w:val="BodyText"/>
      </w:pPr>
      <w:r w:rsidRPr="00D4309F">
        <w:t>This</w:t>
      </w:r>
      <w:r w:rsidRPr="00D4309F">
        <w:rPr>
          <w:spacing w:val="-1"/>
        </w:rPr>
        <w:t xml:space="preserve"> </w:t>
      </w:r>
      <w:r w:rsidRPr="00D4309F">
        <w:t>option</w:t>
      </w:r>
      <w:r w:rsidRPr="00D4309F">
        <w:rPr>
          <w:spacing w:val="-2"/>
        </w:rPr>
        <w:t xml:space="preserve"> </w:t>
      </w:r>
      <w:r w:rsidRPr="00D4309F">
        <w:t>would</w:t>
      </w:r>
      <w:r w:rsidRPr="00D4309F">
        <w:rPr>
          <w:spacing w:val="-2"/>
        </w:rPr>
        <w:t xml:space="preserve"> </w:t>
      </w:r>
      <w:r w:rsidRPr="00D4309F">
        <w:t>require</w:t>
      </w:r>
      <w:r w:rsidRPr="00D4309F">
        <w:rPr>
          <w:spacing w:val="-2"/>
        </w:rPr>
        <w:t xml:space="preserve"> </w:t>
      </w:r>
      <w:r w:rsidRPr="00D4309F">
        <w:t>less</w:t>
      </w:r>
      <w:r w:rsidRPr="00D4309F">
        <w:rPr>
          <w:spacing w:val="-1"/>
        </w:rPr>
        <w:t xml:space="preserve"> </w:t>
      </w:r>
      <w:r w:rsidRPr="00D4309F">
        <w:t>frequent</w:t>
      </w:r>
      <w:r w:rsidRPr="00D4309F">
        <w:rPr>
          <w:spacing w:val="-2"/>
        </w:rPr>
        <w:t xml:space="preserve"> </w:t>
      </w:r>
      <w:r w:rsidRPr="00D4309F">
        <w:t>maintenance</w:t>
      </w:r>
      <w:r w:rsidRPr="00D4309F">
        <w:rPr>
          <w:spacing w:val="-2"/>
        </w:rPr>
        <w:t xml:space="preserve"> </w:t>
      </w:r>
      <w:r w:rsidRPr="00D4309F">
        <w:t>dredging</w:t>
      </w:r>
      <w:r w:rsidRPr="00D4309F">
        <w:rPr>
          <w:spacing w:val="-2"/>
        </w:rPr>
        <w:t xml:space="preserve"> </w:t>
      </w:r>
      <w:r w:rsidRPr="00D4309F">
        <w:t>than</w:t>
      </w:r>
      <w:r w:rsidRPr="00D4309F">
        <w:rPr>
          <w:spacing w:val="-3"/>
        </w:rPr>
        <w:t xml:space="preserve"> </w:t>
      </w:r>
      <w:r w:rsidRPr="00D4309F">
        <w:t>the</w:t>
      </w:r>
      <w:r w:rsidRPr="00D4309F">
        <w:rPr>
          <w:spacing w:val="-2"/>
        </w:rPr>
        <w:t xml:space="preserve"> </w:t>
      </w:r>
      <w:r w:rsidRPr="00D4309F">
        <w:t>current</w:t>
      </w:r>
      <w:r w:rsidRPr="00D4309F">
        <w:rPr>
          <w:spacing w:val="-2"/>
        </w:rPr>
        <w:t xml:space="preserve"> </w:t>
      </w:r>
      <w:r w:rsidRPr="00D4309F">
        <w:t>operations</w:t>
      </w:r>
      <w:r w:rsidRPr="00D4309F">
        <w:rPr>
          <w:spacing w:val="-1"/>
        </w:rPr>
        <w:t xml:space="preserve"> </w:t>
      </w:r>
      <w:r w:rsidRPr="00D4309F">
        <w:t>and</w:t>
      </w:r>
      <w:r w:rsidRPr="00D4309F">
        <w:rPr>
          <w:spacing w:val="-3"/>
        </w:rPr>
        <w:t xml:space="preserve"> </w:t>
      </w:r>
      <w:r w:rsidRPr="00D4309F">
        <w:t>allows</w:t>
      </w:r>
      <w:r w:rsidRPr="00D4309F">
        <w:rPr>
          <w:spacing w:val="-1"/>
        </w:rPr>
        <w:t xml:space="preserve"> </w:t>
      </w:r>
      <w:r w:rsidRPr="00D4309F">
        <w:t>for variable placement of sand as needs require. The nearshore placement would allow natural coastal processes,</w:t>
      </w:r>
      <w:r w:rsidRPr="00D4309F">
        <w:rPr>
          <w:spacing w:val="-3"/>
        </w:rPr>
        <w:t xml:space="preserve"> </w:t>
      </w:r>
      <w:r w:rsidRPr="00D4309F">
        <w:t>wave</w:t>
      </w:r>
      <w:r w:rsidRPr="00D4309F">
        <w:rPr>
          <w:spacing w:val="-3"/>
        </w:rPr>
        <w:t xml:space="preserve"> </w:t>
      </w:r>
      <w:r w:rsidRPr="00D4309F">
        <w:t>action</w:t>
      </w:r>
      <w:r w:rsidRPr="00D4309F">
        <w:rPr>
          <w:spacing w:val="-3"/>
        </w:rPr>
        <w:t xml:space="preserve"> </w:t>
      </w:r>
      <w:r w:rsidRPr="00D4309F">
        <w:t>and</w:t>
      </w:r>
      <w:r w:rsidRPr="00D4309F">
        <w:rPr>
          <w:spacing w:val="-3"/>
        </w:rPr>
        <w:t xml:space="preserve"> </w:t>
      </w:r>
      <w:r w:rsidRPr="00D4309F">
        <w:t>longshore</w:t>
      </w:r>
      <w:r w:rsidRPr="00D4309F">
        <w:rPr>
          <w:spacing w:val="-3"/>
        </w:rPr>
        <w:t xml:space="preserve"> </w:t>
      </w:r>
      <w:r w:rsidRPr="00D4309F">
        <w:t>drift,</w:t>
      </w:r>
      <w:r w:rsidRPr="00D4309F">
        <w:rPr>
          <w:spacing w:val="-3"/>
        </w:rPr>
        <w:t xml:space="preserve"> </w:t>
      </w:r>
      <w:r w:rsidRPr="00D4309F">
        <w:t>to</w:t>
      </w:r>
      <w:r w:rsidRPr="00D4309F">
        <w:rPr>
          <w:spacing w:val="-3"/>
        </w:rPr>
        <w:t xml:space="preserve"> </w:t>
      </w:r>
      <w:r w:rsidRPr="00D4309F">
        <w:t>move</w:t>
      </w:r>
      <w:r w:rsidRPr="00D4309F">
        <w:rPr>
          <w:spacing w:val="-3"/>
        </w:rPr>
        <w:t xml:space="preserve"> </w:t>
      </w:r>
      <w:r w:rsidRPr="00D4309F">
        <w:t>the</w:t>
      </w:r>
      <w:r w:rsidRPr="00D4309F">
        <w:rPr>
          <w:spacing w:val="-3"/>
        </w:rPr>
        <w:t xml:space="preserve"> </w:t>
      </w:r>
      <w:r w:rsidRPr="00D4309F">
        <w:t>sand</w:t>
      </w:r>
      <w:r w:rsidRPr="00D4309F">
        <w:rPr>
          <w:spacing w:val="-3"/>
        </w:rPr>
        <w:t xml:space="preserve"> </w:t>
      </w:r>
      <w:r w:rsidRPr="00D4309F">
        <w:t>onshore</w:t>
      </w:r>
      <w:r w:rsidRPr="00D4309F">
        <w:rPr>
          <w:spacing w:val="-3"/>
        </w:rPr>
        <w:t xml:space="preserve"> </w:t>
      </w:r>
      <w:r w:rsidRPr="00D4309F">
        <w:t>over</w:t>
      </w:r>
      <w:r w:rsidRPr="00D4309F">
        <w:rPr>
          <w:spacing w:val="-2"/>
        </w:rPr>
        <w:t xml:space="preserve"> </w:t>
      </w:r>
      <w:r w:rsidRPr="00D4309F">
        <w:t>time,</w:t>
      </w:r>
      <w:r w:rsidRPr="00D4309F">
        <w:rPr>
          <w:spacing w:val="-3"/>
        </w:rPr>
        <w:t xml:space="preserve"> </w:t>
      </w:r>
      <w:r w:rsidRPr="00D4309F">
        <w:t>replenishing</w:t>
      </w:r>
      <w:r w:rsidRPr="00D4309F">
        <w:rPr>
          <w:spacing w:val="-4"/>
        </w:rPr>
        <w:t xml:space="preserve"> </w:t>
      </w:r>
      <w:r w:rsidRPr="00D4309F">
        <w:t>the</w:t>
      </w:r>
      <w:r w:rsidRPr="00D4309F">
        <w:rPr>
          <w:spacing w:val="-3"/>
        </w:rPr>
        <w:t xml:space="preserve"> </w:t>
      </w:r>
      <w:r w:rsidRPr="00D4309F">
        <w:t>beach system with minimal disturbance to beach users.</w:t>
      </w:r>
    </w:p>
    <w:p w14:paraId="7DD77913" w14:textId="77777777" w:rsidR="00725977" w:rsidRPr="00D4309F" w:rsidRDefault="00725977" w:rsidP="00725977">
      <w:pPr>
        <w:pStyle w:val="BodyText"/>
      </w:pPr>
      <w:r w:rsidRPr="00D4309F">
        <w:t>During construction, temporary changes to channel access may occur, affecting recreational boaters and commercial operators who use the harbour entrance. Onshore rock fishing at the breakwater and Point Cartwright may also be impacted due to reduced fishing locations and safety requirements during works. These disruptions could lead to fewer</w:t>
      </w:r>
      <w:r w:rsidRPr="00D4309F">
        <w:rPr>
          <w:spacing w:val="-1"/>
        </w:rPr>
        <w:t xml:space="preserve"> </w:t>
      </w:r>
      <w:r w:rsidRPr="00D4309F">
        <w:t>visitors during the construction period, with</w:t>
      </w:r>
      <w:r w:rsidRPr="00D4309F">
        <w:rPr>
          <w:spacing w:val="-1"/>
        </w:rPr>
        <w:t xml:space="preserve"> </w:t>
      </w:r>
      <w:r w:rsidRPr="00D4309F">
        <w:t>some</w:t>
      </w:r>
      <w:r w:rsidRPr="00D4309F">
        <w:rPr>
          <w:spacing w:val="-1"/>
        </w:rPr>
        <w:t xml:space="preserve"> </w:t>
      </w:r>
      <w:r w:rsidRPr="00D4309F">
        <w:t>choosing alternative destinations on the Sunshine Coast or other coastal areas. This may result in short-term reductions in local spending,</w:t>
      </w:r>
      <w:r w:rsidRPr="00D4309F">
        <w:rPr>
          <w:spacing w:val="-3"/>
        </w:rPr>
        <w:t xml:space="preserve"> </w:t>
      </w:r>
      <w:r w:rsidRPr="00D4309F">
        <w:t>affecting</w:t>
      </w:r>
      <w:r w:rsidRPr="00D4309F">
        <w:rPr>
          <w:spacing w:val="-3"/>
        </w:rPr>
        <w:t xml:space="preserve"> </w:t>
      </w:r>
      <w:r w:rsidRPr="00D4309F">
        <w:t>nearby</w:t>
      </w:r>
      <w:r w:rsidRPr="00D4309F">
        <w:rPr>
          <w:spacing w:val="-3"/>
        </w:rPr>
        <w:t xml:space="preserve"> </w:t>
      </w:r>
      <w:r w:rsidRPr="00D4309F">
        <w:t>businesses;</w:t>
      </w:r>
      <w:r w:rsidRPr="00D4309F">
        <w:rPr>
          <w:spacing w:val="-3"/>
        </w:rPr>
        <w:t xml:space="preserve"> </w:t>
      </w:r>
      <w:r w:rsidRPr="00D4309F">
        <w:t>however,</w:t>
      </w:r>
      <w:r w:rsidRPr="00D4309F">
        <w:rPr>
          <w:spacing w:val="-3"/>
        </w:rPr>
        <w:t xml:space="preserve"> </w:t>
      </w:r>
      <w:r w:rsidRPr="00D4309F">
        <w:t>these</w:t>
      </w:r>
      <w:r w:rsidRPr="00D4309F">
        <w:rPr>
          <w:spacing w:val="-3"/>
        </w:rPr>
        <w:t xml:space="preserve"> </w:t>
      </w:r>
      <w:r w:rsidRPr="00D4309F">
        <w:t>impacts</w:t>
      </w:r>
      <w:r w:rsidRPr="00D4309F">
        <w:rPr>
          <w:spacing w:val="-2"/>
        </w:rPr>
        <w:t xml:space="preserve"> </w:t>
      </w:r>
      <w:r w:rsidRPr="00D4309F">
        <w:t>are</w:t>
      </w:r>
      <w:r w:rsidRPr="00D4309F">
        <w:rPr>
          <w:spacing w:val="-3"/>
        </w:rPr>
        <w:t xml:space="preserve"> </w:t>
      </w:r>
      <w:r w:rsidRPr="00D4309F">
        <w:t>expected</w:t>
      </w:r>
      <w:r w:rsidRPr="00D4309F">
        <w:rPr>
          <w:spacing w:val="-3"/>
        </w:rPr>
        <w:t xml:space="preserve"> </w:t>
      </w:r>
      <w:r w:rsidRPr="00D4309F">
        <w:t>to</w:t>
      </w:r>
      <w:r w:rsidRPr="00D4309F">
        <w:rPr>
          <w:spacing w:val="-3"/>
        </w:rPr>
        <w:t xml:space="preserve"> </w:t>
      </w:r>
      <w:r w:rsidRPr="00D4309F">
        <w:t>be</w:t>
      </w:r>
      <w:r w:rsidRPr="00D4309F">
        <w:rPr>
          <w:spacing w:val="-3"/>
        </w:rPr>
        <w:t xml:space="preserve"> </w:t>
      </w:r>
      <w:r w:rsidRPr="00D4309F">
        <w:t>temporary</w:t>
      </w:r>
      <w:r w:rsidRPr="00D4309F">
        <w:rPr>
          <w:spacing w:val="-2"/>
        </w:rPr>
        <w:t xml:space="preserve"> </w:t>
      </w:r>
      <w:r w:rsidRPr="00D4309F">
        <w:t>and</w:t>
      </w:r>
      <w:r w:rsidRPr="00D4309F">
        <w:rPr>
          <w:spacing w:val="-3"/>
        </w:rPr>
        <w:t xml:space="preserve"> </w:t>
      </w:r>
      <w:r w:rsidRPr="00D4309F">
        <w:t>managed to minimise disruption.</w:t>
      </w:r>
    </w:p>
    <w:p w14:paraId="7007FC1B" w14:textId="4EAC4495" w:rsidR="00725977" w:rsidRPr="00D4309F" w:rsidRDefault="00725977" w:rsidP="00725977">
      <w:pPr>
        <w:pStyle w:val="BodyText"/>
      </w:pPr>
      <w:r w:rsidRPr="00D4309F">
        <w:t>In the longer term, Option 2B may result in changes to tidal patterns that influence wave conditions at Mooloolaba Beach. These changes could lead to a decline in surf quality, particularly to the north of the harbour, where wave energy may be reduced. A reduction in surf conditions could affect the area’s reputation as a popular surfing destination, potentially decreasing visitation over time. This decline in visitor numbers may have flow-on effects for local businesses that rely on tourism and recreational activity, including accommodation providers, cafes, and surf-related enterprises. While these impacts are uncertain and</w:t>
      </w:r>
      <w:r w:rsidRPr="00D4309F">
        <w:rPr>
          <w:spacing w:val="-3"/>
        </w:rPr>
        <w:t xml:space="preserve"> </w:t>
      </w:r>
      <w:r w:rsidRPr="00D4309F">
        <w:t>dependent</w:t>
      </w:r>
      <w:r w:rsidRPr="00D4309F">
        <w:rPr>
          <w:spacing w:val="-3"/>
        </w:rPr>
        <w:t xml:space="preserve"> </w:t>
      </w:r>
      <w:r w:rsidRPr="00D4309F">
        <w:t>on</w:t>
      </w:r>
      <w:r w:rsidRPr="00D4309F">
        <w:rPr>
          <w:spacing w:val="-3"/>
        </w:rPr>
        <w:t xml:space="preserve"> </w:t>
      </w:r>
      <w:r w:rsidRPr="00D4309F">
        <w:t>the</w:t>
      </w:r>
      <w:r w:rsidRPr="00D4309F">
        <w:rPr>
          <w:spacing w:val="-3"/>
        </w:rPr>
        <w:t xml:space="preserve"> </w:t>
      </w:r>
      <w:r w:rsidRPr="00D4309F">
        <w:t>extent</w:t>
      </w:r>
      <w:r w:rsidRPr="00D4309F">
        <w:rPr>
          <w:spacing w:val="-3"/>
        </w:rPr>
        <w:t xml:space="preserve"> </w:t>
      </w:r>
      <w:r w:rsidRPr="00D4309F">
        <w:t>of</w:t>
      </w:r>
      <w:r w:rsidRPr="00D4309F">
        <w:rPr>
          <w:spacing w:val="-3"/>
        </w:rPr>
        <w:t xml:space="preserve"> </w:t>
      </w:r>
      <w:r w:rsidRPr="00D4309F">
        <w:t>tidal</w:t>
      </w:r>
      <w:r w:rsidRPr="00D4309F">
        <w:rPr>
          <w:spacing w:val="-3"/>
        </w:rPr>
        <w:t xml:space="preserve"> </w:t>
      </w:r>
      <w:r w:rsidRPr="00D4309F">
        <w:t>changes,</w:t>
      </w:r>
      <w:r w:rsidRPr="00D4309F">
        <w:rPr>
          <w:spacing w:val="-3"/>
        </w:rPr>
        <w:t xml:space="preserve"> </w:t>
      </w:r>
      <w:r w:rsidRPr="00D4309F">
        <w:t>they</w:t>
      </w:r>
      <w:r w:rsidRPr="00D4309F">
        <w:rPr>
          <w:spacing w:val="-2"/>
        </w:rPr>
        <w:t xml:space="preserve"> </w:t>
      </w:r>
      <w:r w:rsidRPr="00D4309F">
        <w:t>represent</w:t>
      </w:r>
      <w:r w:rsidRPr="00D4309F">
        <w:rPr>
          <w:spacing w:val="-3"/>
        </w:rPr>
        <w:t xml:space="preserve"> </w:t>
      </w:r>
      <w:r w:rsidRPr="00D4309F">
        <w:t>a</w:t>
      </w:r>
      <w:r w:rsidRPr="00D4309F">
        <w:rPr>
          <w:spacing w:val="-3"/>
        </w:rPr>
        <w:t xml:space="preserve"> </w:t>
      </w:r>
      <w:r w:rsidRPr="00D4309F">
        <w:t>potential</w:t>
      </w:r>
      <w:r w:rsidRPr="00D4309F">
        <w:rPr>
          <w:spacing w:val="-3"/>
        </w:rPr>
        <w:t xml:space="preserve"> </w:t>
      </w:r>
      <w:r w:rsidRPr="00D4309F">
        <w:t>long-term</w:t>
      </w:r>
      <w:r w:rsidRPr="00D4309F">
        <w:rPr>
          <w:spacing w:val="-3"/>
        </w:rPr>
        <w:t xml:space="preserve"> </w:t>
      </w:r>
      <w:r w:rsidRPr="00D4309F">
        <w:t>consideration</w:t>
      </w:r>
      <w:r w:rsidRPr="00D4309F">
        <w:rPr>
          <w:spacing w:val="-3"/>
        </w:rPr>
        <w:t xml:space="preserve"> </w:t>
      </w:r>
      <w:r w:rsidRPr="00D4309F">
        <w:t>for</w:t>
      </w:r>
      <w:r w:rsidRPr="00D4309F">
        <w:rPr>
          <w:spacing w:val="-2"/>
        </w:rPr>
        <w:t xml:space="preserve"> </w:t>
      </w:r>
      <w:r w:rsidRPr="00D4309F">
        <w:t>the</w:t>
      </w:r>
      <w:r w:rsidRPr="00D4309F">
        <w:rPr>
          <w:spacing w:val="-3"/>
        </w:rPr>
        <w:t xml:space="preserve"> </w:t>
      </w:r>
      <w:r w:rsidRPr="00D4309F">
        <w:t>local economy and community.</w:t>
      </w:r>
    </w:p>
    <w:p w14:paraId="7D5F9709" w14:textId="77777777" w:rsidR="00725977" w:rsidRPr="00D4309F" w:rsidRDefault="00725977" w:rsidP="008228CB">
      <w:pPr>
        <w:pStyle w:val="Heading3"/>
      </w:pPr>
      <w:bookmarkStart w:id="349" w:name="_Toc216699424"/>
      <w:r w:rsidRPr="00D4309F">
        <w:t>Future</w:t>
      </w:r>
      <w:r w:rsidRPr="00D4309F">
        <w:rPr>
          <w:spacing w:val="-5"/>
        </w:rPr>
        <w:t xml:space="preserve"> </w:t>
      </w:r>
      <w:r w:rsidRPr="00D4309F">
        <w:t>adaption</w:t>
      </w:r>
      <w:bookmarkEnd w:id="349"/>
    </w:p>
    <w:p w14:paraId="17F62CAD" w14:textId="13D48347" w:rsidR="00725977" w:rsidRPr="00D4309F" w:rsidRDefault="00725977" w:rsidP="00725977">
      <w:pPr>
        <w:pStyle w:val="BodyText"/>
      </w:pPr>
      <w:r w:rsidRPr="00D4309F">
        <w:t>The</w:t>
      </w:r>
      <w:r w:rsidRPr="00D4309F">
        <w:rPr>
          <w:spacing w:val="-3"/>
        </w:rPr>
        <w:t xml:space="preserve"> </w:t>
      </w:r>
      <w:r w:rsidRPr="00D4309F">
        <w:t>excavated</w:t>
      </w:r>
      <w:r w:rsidRPr="00D4309F">
        <w:rPr>
          <w:spacing w:val="-3"/>
        </w:rPr>
        <w:t xml:space="preserve"> </w:t>
      </w:r>
      <w:r w:rsidRPr="00D4309F">
        <w:t>rock</w:t>
      </w:r>
      <w:r w:rsidRPr="00D4309F">
        <w:rPr>
          <w:spacing w:val="-2"/>
        </w:rPr>
        <w:t xml:space="preserve"> </w:t>
      </w:r>
      <w:r w:rsidRPr="00D4309F">
        <w:t>trap</w:t>
      </w:r>
      <w:r w:rsidRPr="00D4309F">
        <w:rPr>
          <w:spacing w:val="-3"/>
        </w:rPr>
        <w:t xml:space="preserve"> </w:t>
      </w:r>
      <w:r w:rsidRPr="00D4309F">
        <w:t>serves</w:t>
      </w:r>
      <w:r w:rsidRPr="00D4309F">
        <w:rPr>
          <w:spacing w:val="-2"/>
        </w:rPr>
        <w:t xml:space="preserve"> </w:t>
      </w:r>
      <w:r w:rsidRPr="00D4309F">
        <w:t>as</w:t>
      </w:r>
      <w:r w:rsidRPr="00D4309F">
        <w:rPr>
          <w:spacing w:val="-2"/>
        </w:rPr>
        <w:t xml:space="preserve"> </w:t>
      </w:r>
      <w:r w:rsidRPr="00D4309F">
        <w:t>permanent</w:t>
      </w:r>
      <w:r w:rsidRPr="00D4309F">
        <w:rPr>
          <w:spacing w:val="-3"/>
        </w:rPr>
        <w:t xml:space="preserve"> </w:t>
      </w:r>
      <w:r w:rsidRPr="00D4309F">
        <w:t>infrastructure,</w:t>
      </w:r>
      <w:r w:rsidRPr="00D4309F">
        <w:rPr>
          <w:spacing w:val="-3"/>
        </w:rPr>
        <w:t xml:space="preserve"> </w:t>
      </w:r>
      <w:r w:rsidRPr="00D4309F">
        <w:t>while</w:t>
      </w:r>
      <w:r w:rsidRPr="00D4309F">
        <w:rPr>
          <w:spacing w:val="-4"/>
        </w:rPr>
        <w:t xml:space="preserve"> </w:t>
      </w:r>
      <w:r w:rsidRPr="00D4309F">
        <w:t>the</w:t>
      </w:r>
      <w:r w:rsidRPr="00D4309F">
        <w:rPr>
          <w:spacing w:val="-3"/>
        </w:rPr>
        <w:t xml:space="preserve"> </w:t>
      </w:r>
      <w:r w:rsidRPr="00D4309F">
        <w:t>TSHD-based</w:t>
      </w:r>
      <w:r w:rsidRPr="00D4309F">
        <w:rPr>
          <w:spacing w:val="-3"/>
        </w:rPr>
        <w:t xml:space="preserve"> </w:t>
      </w:r>
      <w:r w:rsidRPr="00D4309F">
        <w:t>operational</w:t>
      </w:r>
      <w:r w:rsidRPr="00D4309F">
        <w:rPr>
          <w:spacing w:val="-3"/>
        </w:rPr>
        <w:t xml:space="preserve"> </w:t>
      </w:r>
      <w:r w:rsidRPr="00D4309F">
        <w:t>model</w:t>
      </w:r>
      <w:r w:rsidRPr="00D4309F">
        <w:rPr>
          <w:spacing w:val="-3"/>
        </w:rPr>
        <w:t xml:space="preserve"> </w:t>
      </w:r>
      <w:r w:rsidRPr="00D4309F">
        <w:t xml:space="preserve">offers the capacity to handle progressively larger dredging volumes or longer intervals between campaigns as </w:t>
      </w:r>
      <w:r w:rsidRPr="00D4309F">
        <w:lastRenderedPageBreak/>
        <w:t>understanding of sediment behaviour improves. Over time, the approach could transition to include</w:t>
      </w:r>
      <w:r w:rsidR="000E0E68">
        <w:t xml:space="preserve"> m</w:t>
      </w:r>
      <w:r w:rsidRPr="00D4309F">
        <w:t>echanical</w:t>
      </w:r>
      <w:r w:rsidRPr="00D4309F">
        <w:rPr>
          <w:spacing w:val="-3"/>
        </w:rPr>
        <w:t xml:space="preserve"> </w:t>
      </w:r>
      <w:r w:rsidRPr="00D4309F">
        <w:t>or</w:t>
      </w:r>
      <w:r w:rsidRPr="00D4309F">
        <w:rPr>
          <w:spacing w:val="-2"/>
        </w:rPr>
        <w:t xml:space="preserve"> </w:t>
      </w:r>
      <w:r w:rsidRPr="00D4309F">
        <w:t>pump-assisted</w:t>
      </w:r>
      <w:r w:rsidRPr="00D4309F">
        <w:rPr>
          <w:spacing w:val="-3"/>
        </w:rPr>
        <w:t xml:space="preserve"> </w:t>
      </w:r>
      <w:r w:rsidRPr="00D4309F">
        <w:t>sediment</w:t>
      </w:r>
      <w:r w:rsidRPr="00D4309F">
        <w:rPr>
          <w:spacing w:val="-3"/>
        </w:rPr>
        <w:t xml:space="preserve"> </w:t>
      </w:r>
      <w:r w:rsidRPr="00D4309F">
        <w:t>transfer</w:t>
      </w:r>
      <w:r w:rsidRPr="00D4309F">
        <w:rPr>
          <w:spacing w:val="-4"/>
        </w:rPr>
        <w:t xml:space="preserve"> </w:t>
      </w:r>
      <w:r w:rsidRPr="00D4309F">
        <w:t>systems</w:t>
      </w:r>
      <w:r w:rsidRPr="00D4309F">
        <w:rPr>
          <w:spacing w:val="-2"/>
        </w:rPr>
        <w:t xml:space="preserve"> </w:t>
      </w:r>
      <w:r w:rsidRPr="00D4309F">
        <w:t>(similar</w:t>
      </w:r>
      <w:r w:rsidRPr="00D4309F">
        <w:rPr>
          <w:spacing w:val="-2"/>
        </w:rPr>
        <w:t xml:space="preserve"> </w:t>
      </w:r>
      <w:r w:rsidRPr="00D4309F">
        <w:t>to</w:t>
      </w:r>
      <w:r w:rsidRPr="00D4309F">
        <w:rPr>
          <w:spacing w:val="-3"/>
        </w:rPr>
        <w:t xml:space="preserve"> </w:t>
      </w:r>
      <w:r w:rsidRPr="00D4309F">
        <w:t>Option</w:t>
      </w:r>
      <w:r w:rsidRPr="00D4309F">
        <w:rPr>
          <w:spacing w:val="-3"/>
        </w:rPr>
        <w:t xml:space="preserve"> </w:t>
      </w:r>
      <w:r w:rsidRPr="00D4309F">
        <w:t>2C),</w:t>
      </w:r>
      <w:r w:rsidRPr="00D4309F">
        <w:rPr>
          <w:spacing w:val="-3"/>
        </w:rPr>
        <w:t xml:space="preserve"> </w:t>
      </w:r>
      <w:r w:rsidRPr="00D4309F">
        <w:t>providing</w:t>
      </w:r>
      <w:r w:rsidRPr="00D4309F">
        <w:rPr>
          <w:spacing w:val="-3"/>
        </w:rPr>
        <w:t xml:space="preserve"> </w:t>
      </w:r>
      <w:r w:rsidRPr="00D4309F">
        <w:t>a</w:t>
      </w:r>
      <w:r w:rsidRPr="00D4309F">
        <w:rPr>
          <w:spacing w:val="-3"/>
        </w:rPr>
        <w:t xml:space="preserve"> </w:t>
      </w:r>
      <w:r w:rsidRPr="00D4309F">
        <w:t>clear</w:t>
      </w:r>
      <w:r w:rsidRPr="00D4309F">
        <w:rPr>
          <w:spacing w:val="-2"/>
        </w:rPr>
        <w:t xml:space="preserve"> </w:t>
      </w:r>
      <w:r w:rsidRPr="00D4309F">
        <w:t>pathway</w:t>
      </w:r>
      <w:r w:rsidRPr="00D4309F">
        <w:rPr>
          <w:spacing w:val="-2"/>
        </w:rPr>
        <w:t xml:space="preserve"> </w:t>
      </w:r>
      <w:r w:rsidRPr="00D4309F">
        <w:t>for staged enhancement if warranted by future conditions or performance outcomes.</w:t>
      </w:r>
    </w:p>
    <w:p w14:paraId="5A1CB8A5" w14:textId="77777777" w:rsidR="00725977" w:rsidRPr="00D4309F" w:rsidRDefault="00725977" w:rsidP="00725977">
      <w:pPr>
        <w:pStyle w:val="BodyText"/>
      </w:pPr>
      <w:r w:rsidRPr="00D4309F">
        <w:t>The</w:t>
      </w:r>
      <w:r w:rsidRPr="00D4309F">
        <w:rPr>
          <w:spacing w:val="-3"/>
        </w:rPr>
        <w:t xml:space="preserve"> </w:t>
      </w:r>
      <w:r w:rsidRPr="00D4309F">
        <w:t>main</w:t>
      </w:r>
      <w:r w:rsidRPr="00D4309F">
        <w:rPr>
          <w:spacing w:val="-4"/>
        </w:rPr>
        <w:t xml:space="preserve"> </w:t>
      </w:r>
      <w:r w:rsidRPr="00D4309F">
        <w:t>challenges</w:t>
      </w:r>
      <w:r w:rsidRPr="00D4309F">
        <w:rPr>
          <w:spacing w:val="-2"/>
        </w:rPr>
        <w:t xml:space="preserve"> </w:t>
      </w:r>
      <w:r w:rsidRPr="00D4309F">
        <w:t>for</w:t>
      </w:r>
      <w:r w:rsidRPr="00D4309F">
        <w:rPr>
          <w:spacing w:val="-2"/>
        </w:rPr>
        <w:t xml:space="preserve"> </w:t>
      </w:r>
      <w:r w:rsidRPr="00D4309F">
        <w:t>this</w:t>
      </w:r>
      <w:r w:rsidRPr="00D4309F">
        <w:rPr>
          <w:spacing w:val="-2"/>
        </w:rPr>
        <w:t xml:space="preserve"> </w:t>
      </w:r>
      <w:r w:rsidRPr="00D4309F">
        <w:t>option</w:t>
      </w:r>
      <w:r w:rsidRPr="00D4309F">
        <w:rPr>
          <w:spacing w:val="-3"/>
        </w:rPr>
        <w:t xml:space="preserve"> </w:t>
      </w:r>
      <w:r w:rsidRPr="00D4309F">
        <w:t>relate</w:t>
      </w:r>
      <w:r w:rsidRPr="00D4309F">
        <w:rPr>
          <w:spacing w:val="-3"/>
        </w:rPr>
        <w:t xml:space="preserve"> </w:t>
      </w:r>
      <w:r w:rsidRPr="00D4309F">
        <w:t>to</w:t>
      </w:r>
      <w:r w:rsidRPr="00D4309F">
        <w:rPr>
          <w:spacing w:val="-3"/>
        </w:rPr>
        <w:t xml:space="preserve"> </w:t>
      </w:r>
      <w:r w:rsidRPr="00D4309F">
        <w:t>dredge</w:t>
      </w:r>
      <w:r w:rsidRPr="00D4309F">
        <w:rPr>
          <w:spacing w:val="-3"/>
        </w:rPr>
        <w:t xml:space="preserve"> </w:t>
      </w:r>
      <w:r w:rsidRPr="00D4309F">
        <w:t>availability</w:t>
      </w:r>
      <w:r w:rsidRPr="00D4309F">
        <w:rPr>
          <w:spacing w:val="-2"/>
        </w:rPr>
        <w:t xml:space="preserve"> </w:t>
      </w:r>
      <w:r w:rsidRPr="00D4309F">
        <w:t>and</w:t>
      </w:r>
      <w:r w:rsidRPr="00D4309F">
        <w:rPr>
          <w:spacing w:val="-4"/>
        </w:rPr>
        <w:t xml:space="preserve"> </w:t>
      </w:r>
      <w:r w:rsidRPr="00D4309F">
        <w:t>operational</w:t>
      </w:r>
      <w:r w:rsidRPr="00D4309F">
        <w:rPr>
          <w:spacing w:val="-3"/>
        </w:rPr>
        <w:t xml:space="preserve"> </w:t>
      </w:r>
      <w:r w:rsidRPr="00D4309F">
        <w:t>logistics.</w:t>
      </w:r>
      <w:r w:rsidRPr="00D4309F">
        <w:rPr>
          <w:spacing w:val="-3"/>
        </w:rPr>
        <w:t xml:space="preserve"> </w:t>
      </w:r>
      <w:r w:rsidRPr="00D4309F">
        <w:t>As</w:t>
      </w:r>
      <w:r w:rsidRPr="00D4309F">
        <w:rPr>
          <w:spacing w:val="-2"/>
        </w:rPr>
        <w:t xml:space="preserve"> </w:t>
      </w:r>
      <w:r w:rsidRPr="00D4309F">
        <w:t>regional</w:t>
      </w:r>
      <w:r w:rsidRPr="00D4309F">
        <w:rPr>
          <w:spacing w:val="-3"/>
        </w:rPr>
        <w:t xml:space="preserve"> </w:t>
      </w:r>
      <w:r w:rsidRPr="00D4309F">
        <w:t>demand for large dredging vessels increases, securing a TSHD for periodic campaigns may become more difficult or costly. Mobilisation and demobilisation costs can also be significant for relatively modest dredge volumes, which could limit cost efficiency if the trap fills slower than expected. Additionally, the timing of dredge campaigns must align with safe operating conditions and minimal disruption to navigation and recreation, requiring careful scheduling and coordination with other coastal users.</w:t>
      </w:r>
    </w:p>
    <w:p w14:paraId="1AE47CF1" w14:textId="77777777" w:rsidR="00725977" w:rsidRPr="00D4309F" w:rsidRDefault="00725977" w:rsidP="00725977">
      <w:pPr>
        <w:pStyle w:val="BodyText"/>
      </w:pPr>
      <w:r w:rsidRPr="00D4309F">
        <w:t>The system is inherently resilient to coastal and climatic variability. The rock-based sand trap will remain structurally</w:t>
      </w:r>
      <w:r w:rsidRPr="00D4309F">
        <w:rPr>
          <w:spacing w:val="-3"/>
        </w:rPr>
        <w:t xml:space="preserve"> </w:t>
      </w:r>
      <w:r w:rsidRPr="00D4309F">
        <w:t>stable</w:t>
      </w:r>
      <w:r w:rsidRPr="00D4309F">
        <w:rPr>
          <w:spacing w:val="-3"/>
        </w:rPr>
        <w:t xml:space="preserve"> </w:t>
      </w:r>
      <w:r w:rsidRPr="00D4309F">
        <w:t>under</w:t>
      </w:r>
      <w:r w:rsidRPr="00D4309F">
        <w:rPr>
          <w:spacing w:val="-2"/>
        </w:rPr>
        <w:t xml:space="preserve"> </w:t>
      </w:r>
      <w:r w:rsidRPr="00D4309F">
        <w:t>extreme</w:t>
      </w:r>
      <w:r w:rsidRPr="00D4309F">
        <w:rPr>
          <w:spacing w:val="-3"/>
        </w:rPr>
        <w:t xml:space="preserve"> </w:t>
      </w:r>
      <w:r w:rsidRPr="00D4309F">
        <w:t>storm</w:t>
      </w:r>
      <w:r w:rsidRPr="00D4309F">
        <w:rPr>
          <w:spacing w:val="-4"/>
        </w:rPr>
        <w:t xml:space="preserve"> </w:t>
      </w:r>
      <w:r w:rsidRPr="00D4309F">
        <w:t>events,</w:t>
      </w:r>
      <w:r w:rsidRPr="00D4309F">
        <w:rPr>
          <w:spacing w:val="-3"/>
        </w:rPr>
        <w:t xml:space="preserve"> </w:t>
      </w:r>
      <w:r w:rsidRPr="00D4309F">
        <w:t>sea-level</w:t>
      </w:r>
      <w:r w:rsidRPr="00D4309F">
        <w:rPr>
          <w:spacing w:val="-3"/>
        </w:rPr>
        <w:t xml:space="preserve"> </w:t>
      </w:r>
      <w:r w:rsidRPr="00D4309F">
        <w:t>rise,</w:t>
      </w:r>
      <w:r w:rsidRPr="00D4309F">
        <w:rPr>
          <w:spacing w:val="-3"/>
        </w:rPr>
        <w:t xml:space="preserve"> </w:t>
      </w:r>
      <w:r w:rsidRPr="00D4309F">
        <w:t>and</w:t>
      </w:r>
      <w:r w:rsidRPr="00D4309F">
        <w:rPr>
          <w:spacing w:val="-4"/>
        </w:rPr>
        <w:t xml:space="preserve"> </w:t>
      </w:r>
      <w:r w:rsidRPr="00D4309F">
        <w:t>altered</w:t>
      </w:r>
      <w:r w:rsidRPr="00D4309F">
        <w:rPr>
          <w:spacing w:val="-3"/>
        </w:rPr>
        <w:t xml:space="preserve"> </w:t>
      </w:r>
      <w:r w:rsidRPr="00D4309F">
        <w:t>sediment</w:t>
      </w:r>
      <w:r w:rsidRPr="00D4309F">
        <w:rPr>
          <w:spacing w:val="-3"/>
        </w:rPr>
        <w:t xml:space="preserve"> </w:t>
      </w:r>
      <w:r w:rsidRPr="00D4309F">
        <w:t>regimes,</w:t>
      </w:r>
      <w:r w:rsidRPr="00D4309F">
        <w:rPr>
          <w:spacing w:val="-3"/>
        </w:rPr>
        <w:t xml:space="preserve"> </w:t>
      </w:r>
      <w:r w:rsidRPr="00D4309F">
        <w:t>continuing</w:t>
      </w:r>
      <w:r w:rsidRPr="00D4309F">
        <w:rPr>
          <w:spacing w:val="-3"/>
        </w:rPr>
        <w:t xml:space="preserve"> </w:t>
      </w:r>
      <w:r w:rsidRPr="00D4309F">
        <w:t>to function as a passive capture zone. The use of mobile dredging plant enhances adaptability, allowing operational responses to be tailored to changing conditions, infill rates, or management priorities.</w:t>
      </w:r>
    </w:p>
    <w:p w14:paraId="0DF48DDF" w14:textId="48583075" w:rsidR="00725977" w:rsidRPr="00D4309F" w:rsidRDefault="00725977" w:rsidP="00725977">
      <w:pPr>
        <w:pStyle w:val="BodyText"/>
      </w:pPr>
      <w:r w:rsidRPr="00D4309F">
        <w:t>Option</w:t>
      </w:r>
      <w:r w:rsidRPr="00D4309F">
        <w:rPr>
          <w:spacing w:val="-3"/>
        </w:rPr>
        <w:t xml:space="preserve"> </w:t>
      </w:r>
      <w:r w:rsidRPr="00D4309F">
        <w:t>2B</w:t>
      </w:r>
      <w:r w:rsidRPr="00D4309F">
        <w:rPr>
          <w:spacing w:val="-3"/>
        </w:rPr>
        <w:t xml:space="preserve"> </w:t>
      </w:r>
      <w:r w:rsidRPr="00D4309F">
        <w:t>can</w:t>
      </w:r>
      <w:r w:rsidRPr="00D4309F">
        <w:rPr>
          <w:spacing w:val="-3"/>
        </w:rPr>
        <w:t xml:space="preserve"> </w:t>
      </w:r>
      <w:r w:rsidRPr="00D4309F">
        <w:t>seamlessly</w:t>
      </w:r>
      <w:r w:rsidRPr="00D4309F">
        <w:rPr>
          <w:spacing w:val="-2"/>
        </w:rPr>
        <w:t xml:space="preserve"> </w:t>
      </w:r>
      <w:r w:rsidRPr="00D4309F">
        <w:t>integrate</w:t>
      </w:r>
      <w:r w:rsidRPr="00D4309F">
        <w:rPr>
          <w:spacing w:val="-4"/>
        </w:rPr>
        <w:t xml:space="preserve"> </w:t>
      </w:r>
      <w:r w:rsidRPr="00D4309F">
        <w:t>with</w:t>
      </w:r>
      <w:r w:rsidRPr="00D4309F">
        <w:rPr>
          <w:spacing w:val="-4"/>
        </w:rPr>
        <w:t xml:space="preserve"> </w:t>
      </w:r>
      <w:r w:rsidRPr="00D4309F">
        <w:t>other</w:t>
      </w:r>
      <w:r w:rsidRPr="00D4309F">
        <w:rPr>
          <w:spacing w:val="-2"/>
        </w:rPr>
        <w:t xml:space="preserve"> </w:t>
      </w:r>
      <w:r w:rsidRPr="00D4309F">
        <w:t>long-term</w:t>
      </w:r>
      <w:r w:rsidRPr="00D4309F">
        <w:rPr>
          <w:spacing w:val="-3"/>
        </w:rPr>
        <w:t xml:space="preserve"> </w:t>
      </w:r>
      <w:r w:rsidRPr="00D4309F">
        <w:t>management</w:t>
      </w:r>
      <w:r w:rsidRPr="00D4309F">
        <w:rPr>
          <w:spacing w:val="-3"/>
        </w:rPr>
        <w:t xml:space="preserve"> </w:t>
      </w:r>
      <w:r w:rsidRPr="00D4309F">
        <w:t>pathways.</w:t>
      </w:r>
      <w:r w:rsidRPr="00D4309F">
        <w:rPr>
          <w:spacing w:val="-3"/>
        </w:rPr>
        <w:t xml:space="preserve"> </w:t>
      </w:r>
      <w:r w:rsidRPr="00D4309F">
        <w:t>The</w:t>
      </w:r>
      <w:r w:rsidRPr="00D4309F">
        <w:rPr>
          <w:spacing w:val="-3"/>
        </w:rPr>
        <w:t xml:space="preserve"> </w:t>
      </w:r>
      <w:r w:rsidRPr="00D4309F">
        <w:t>rock</w:t>
      </w:r>
      <w:r w:rsidRPr="00D4309F">
        <w:rPr>
          <w:spacing w:val="-2"/>
        </w:rPr>
        <w:t xml:space="preserve"> </w:t>
      </w:r>
      <w:r w:rsidRPr="00D4309F">
        <w:t>trap</w:t>
      </w:r>
      <w:r w:rsidRPr="00D4309F">
        <w:rPr>
          <w:spacing w:val="-3"/>
        </w:rPr>
        <w:t xml:space="preserve"> </w:t>
      </w:r>
      <w:r w:rsidRPr="00D4309F">
        <w:t>itself</w:t>
      </w:r>
      <w:r w:rsidRPr="00D4309F">
        <w:rPr>
          <w:spacing w:val="-3"/>
        </w:rPr>
        <w:t xml:space="preserve"> </w:t>
      </w:r>
      <w:r w:rsidRPr="00D4309F">
        <w:t>forms</w:t>
      </w:r>
      <w:r w:rsidRPr="00D4309F">
        <w:rPr>
          <w:spacing w:val="-3"/>
        </w:rPr>
        <w:t xml:space="preserve"> </w:t>
      </w:r>
      <w:r w:rsidRPr="00D4309F">
        <w:t>a common foundation that could support more continuous bypassing solutions such as the semi-permanent pump and pipeline system proposed in Option 2C. Alternatively, it could revert to a simpler CSD-based operation (Option 2A) if dredge access or funding becomes constrained.</w:t>
      </w:r>
    </w:p>
    <w:p w14:paraId="79F354F0" w14:textId="77777777" w:rsidR="00725977" w:rsidRPr="00D4309F" w:rsidRDefault="00725977" w:rsidP="008228CB">
      <w:pPr>
        <w:pStyle w:val="Heading3"/>
      </w:pPr>
      <w:bookmarkStart w:id="350" w:name="_Toc216699425"/>
      <w:r w:rsidRPr="00D4309F">
        <w:t>Safety</w:t>
      </w:r>
      <w:r w:rsidRPr="00D4309F">
        <w:rPr>
          <w:spacing w:val="-5"/>
        </w:rPr>
        <w:t xml:space="preserve"> </w:t>
      </w:r>
      <w:r w:rsidRPr="00D4309F">
        <w:t>of</w:t>
      </w:r>
      <w:r w:rsidRPr="00D4309F">
        <w:rPr>
          <w:spacing w:val="-3"/>
        </w:rPr>
        <w:t xml:space="preserve"> </w:t>
      </w:r>
      <w:r w:rsidRPr="00D4309F">
        <w:t>Option</w:t>
      </w:r>
      <w:r w:rsidRPr="00D4309F">
        <w:rPr>
          <w:spacing w:val="-2"/>
        </w:rPr>
        <w:t xml:space="preserve"> </w:t>
      </w:r>
      <w:r w:rsidRPr="00D4309F">
        <w:rPr>
          <w:spacing w:val="-5"/>
        </w:rPr>
        <w:t>2B</w:t>
      </w:r>
      <w:bookmarkEnd w:id="350"/>
    </w:p>
    <w:p w14:paraId="4F6476BC" w14:textId="450DFE80" w:rsidR="00725977" w:rsidRPr="00D4309F" w:rsidRDefault="00725977" w:rsidP="00725977">
      <w:pPr>
        <w:pStyle w:val="BodyText"/>
      </w:pPr>
      <w:r w:rsidRPr="00D4309F">
        <w:t>Option 2B provides a greater potential improvement in navigation safety because TSHD campaigns can remove larger sand volumes at once, restoring deeper entrance conditions and thus improving all-tide access for longer periods between dredging events. This results in improved clarity of navigation, as dredging occurs in well-defined campaigns with predictable outcomes. However, mariner safety is constrained by the operational limitations of TSHDs. The vessel must cross the shallow, occasionally breaking bar at the entrance, which may restrict mobilisation windows and create short-term safety hazards during entry and exit. In adverse sea states, dredging may be delayed, allowing shoaling to continue unchecked and reducing safety margins. While the TSHD improves dredging efficiency, its reliance on favourable</w:t>
      </w:r>
      <w:r w:rsidRPr="00D4309F">
        <w:rPr>
          <w:spacing w:val="-1"/>
        </w:rPr>
        <w:t xml:space="preserve"> </w:t>
      </w:r>
      <w:r w:rsidRPr="00D4309F">
        <w:t>conditions introduces</w:t>
      </w:r>
      <w:r w:rsidRPr="00D4309F">
        <w:rPr>
          <w:spacing w:val="-1"/>
        </w:rPr>
        <w:t xml:space="preserve"> </w:t>
      </w:r>
      <w:r w:rsidRPr="00D4309F">
        <w:t>variability in</w:t>
      </w:r>
      <w:r w:rsidRPr="00D4309F">
        <w:rPr>
          <w:spacing w:val="-1"/>
        </w:rPr>
        <w:t xml:space="preserve"> </w:t>
      </w:r>
      <w:r w:rsidRPr="00D4309F">
        <w:t>safety performance.</w:t>
      </w:r>
      <w:r w:rsidRPr="00D4309F">
        <w:rPr>
          <w:spacing w:val="-2"/>
        </w:rPr>
        <w:t xml:space="preserve"> </w:t>
      </w:r>
      <w:r w:rsidRPr="00D4309F">
        <w:t>There</w:t>
      </w:r>
      <w:r w:rsidRPr="00D4309F">
        <w:rPr>
          <w:spacing w:val="-1"/>
        </w:rPr>
        <w:t xml:space="preserve"> </w:t>
      </w:r>
      <w:r w:rsidRPr="00D4309F">
        <w:t>is limited</w:t>
      </w:r>
      <w:r w:rsidRPr="00D4309F">
        <w:rPr>
          <w:spacing w:val="-1"/>
        </w:rPr>
        <w:t xml:space="preserve"> </w:t>
      </w:r>
      <w:r w:rsidRPr="00D4309F">
        <w:t>design</w:t>
      </w:r>
      <w:r w:rsidRPr="00D4309F">
        <w:rPr>
          <w:spacing w:val="-1"/>
        </w:rPr>
        <w:t xml:space="preserve"> </w:t>
      </w:r>
      <w:r w:rsidRPr="00D4309F">
        <w:t>or modelling</w:t>
      </w:r>
      <w:r w:rsidRPr="00D4309F">
        <w:rPr>
          <w:spacing w:val="-1"/>
        </w:rPr>
        <w:t xml:space="preserve"> </w:t>
      </w:r>
      <w:r w:rsidRPr="00D4309F">
        <w:t>for</w:t>
      </w:r>
      <w:r w:rsidRPr="00D4309F">
        <w:rPr>
          <w:spacing w:val="-2"/>
        </w:rPr>
        <w:t xml:space="preserve"> </w:t>
      </w:r>
      <w:r w:rsidRPr="00D4309F">
        <w:t>all option</w:t>
      </w:r>
      <w:r w:rsidRPr="00D4309F">
        <w:rPr>
          <w:spacing w:val="-3"/>
        </w:rPr>
        <w:t xml:space="preserve"> </w:t>
      </w:r>
      <w:r w:rsidRPr="00D4309F">
        <w:t>2</w:t>
      </w:r>
      <w:r w:rsidRPr="00D4309F">
        <w:rPr>
          <w:spacing w:val="-3"/>
        </w:rPr>
        <w:t xml:space="preserve"> </w:t>
      </w:r>
      <w:r w:rsidRPr="00D4309F">
        <w:t>scenarios.</w:t>
      </w:r>
      <w:r w:rsidRPr="00D4309F">
        <w:rPr>
          <w:spacing w:val="-3"/>
        </w:rPr>
        <w:t xml:space="preserve"> </w:t>
      </w:r>
      <w:r w:rsidRPr="00D4309F">
        <w:t>It’s</w:t>
      </w:r>
      <w:r w:rsidRPr="00D4309F">
        <w:rPr>
          <w:spacing w:val="-2"/>
        </w:rPr>
        <w:t xml:space="preserve"> </w:t>
      </w:r>
      <w:r w:rsidRPr="00D4309F">
        <w:t>noted</w:t>
      </w:r>
      <w:r w:rsidRPr="00D4309F">
        <w:rPr>
          <w:spacing w:val="-3"/>
        </w:rPr>
        <w:t xml:space="preserve"> </w:t>
      </w:r>
      <w:r w:rsidRPr="00D4309F">
        <w:t>that</w:t>
      </w:r>
      <w:r w:rsidRPr="00D4309F">
        <w:rPr>
          <w:spacing w:val="-3"/>
        </w:rPr>
        <w:t xml:space="preserve"> </w:t>
      </w:r>
      <w:r w:rsidRPr="00D4309F">
        <w:t>there</w:t>
      </w:r>
      <w:r w:rsidRPr="00D4309F">
        <w:rPr>
          <w:spacing w:val="-4"/>
        </w:rPr>
        <w:t xml:space="preserve"> </w:t>
      </w:r>
      <w:r w:rsidRPr="00D4309F">
        <w:t>may</w:t>
      </w:r>
      <w:r w:rsidRPr="00D4309F">
        <w:rPr>
          <w:spacing w:val="-2"/>
        </w:rPr>
        <w:t xml:space="preserve"> </w:t>
      </w:r>
      <w:r w:rsidRPr="00D4309F">
        <w:t>be</w:t>
      </w:r>
      <w:r w:rsidRPr="00D4309F">
        <w:rPr>
          <w:spacing w:val="-3"/>
        </w:rPr>
        <w:t xml:space="preserve"> </w:t>
      </w:r>
      <w:r w:rsidRPr="00D4309F">
        <w:t>potential</w:t>
      </w:r>
      <w:r w:rsidRPr="00D4309F">
        <w:rPr>
          <w:spacing w:val="-3"/>
        </w:rPr>
        <w:t xml:space="preserve"> </w:t>
      </w:r>
      <w:r w:rsidRPr="00D4309F">
        <w:t>risk</w:t>
      </w:r>
      <w:r w:rsidRPr="00D4309F">
        <w:rPr>
          <w:spacing w:val="-2"/>
        </w:rPr>
        <w:t xml:space="preserve"> </w:t>
      </w:r>
      <w:r w:rsidRPr="00D4309F">
        <w:t>during</w:t>
      </w:r>
      <w:r w:rsidRPr="00D4309F">
        <w:rPr>
          <w:spacing w:val="-3"/>
        </w:rPr>
        <w:t xml:space="preserve"> </w:t>
      </w:r>
      <w:r w:rsidRPr="00D4309F">
        <w:t>larger</w:t>
      </w:r>
      <w:r w:rsidRPr="00D4309F">
        <w:rPr>
          <w:spacing w:val="-2"/>
        </w:rPr>
        <w:t xml:space="preserve"> </w:t>
      </w:r>
      <w:r w:rsidRPr="00D4309F">
        <w:t>wave</w:t>
      </w:r>
      <w:r w:rsidRPr="00D4309F">
        <w:rPr>
          <w:spacing w:val="-4"/>
        </w:rPr>
        <w:t xml:space="preserve"> </w:t>
      </w:r>
      <w:r w:rsidRPr="00D4309F">
        <w:t>events</w:t>
      </w:r>
      <w:r w:rsidRPr="00D4309F">
        <w:rPr>
          <w:spacing w:val="-2"/>
        </w:rPr>
        <w:t xml:space="preserve"> </w:t>
      </w:r>
      <w:r w:rsidRPr="00D4309F">
        <w:t>that</w:t>
      </w:r>
      <w:r w:rsidRPr="00D4309F">
        <w:rPr>
          <w:spacing w:val="-3"/>
        </w:rPr>
        <w:t xml:space="preserve"> </w:t>
      </w:r>
      <w:r w:rsidRPr="00D4309F">
        <w:t>the</w:t>
      </w:r>
      <w:r w:rsidRPr="00D4309F">
        <w:rPr>
          <w:spacing w:val="-3"/>
        </w:rPr>
        <w:t xml:space="preserve"> </w:t>
      </w:r>
      <w:r w:rsidRPr="00D4309F">
        <w:t>sudden</w:t>
      </w:r>
      <w:r w:rsidRPr="00D4309F">
        <w:rPr>
          <w:spacing w:val="-3"/>
        </w:rPr>
        <w:t xml:space="preserve"> </w:t>
      </w:r>
      <w:r w:rsidRPr="00D4309F">
        <w:t>drop in the seabed at the entrance hole may trigger some wave shoaling.</w:t>
      </w:r>
    </w:p>
    <w:p w14:paraId="5C2BF225" w14:textId="77777777" w:rsidR="00725977" w:rsidRPr="00D4309F" w:rsidRDefault="00725977" w:rsidP="008228CB">
      <w:pPr>
        <w:pStyle w:val="Heading3"/>
      </w:pPr>
      <w:bookmarkStart w:id="351" w:name="_Toc216699426"/>
      <w:r w:rsidRPr="00D4309F">
        <w:t>Cost</w:t>
      </w:r>
      <w:bookmarkEnd w:id="351"/>
    </w:p>
    <w:p w14:paraId="6F3833B8" w14:textId="77777777" w:rsidR="001E18C2" w:rsidRDefault="00725977" w:rsidP="001E18C2">
      <w:pPr>
        <w:pStyle w:val="Heading5-nonumber"/>
        <w:rPr>
          <w:rFonts w:ascii="Calibri"/>
          <w:color w:val="70004A"/>
          <w:w w:val="110"/>
          <w:sz w:val="24"/>
        </w:rPr>
      </w:pPr>
      <w:r w:rsidRPr="000E0E68">
        <w:t>Capital Works Cost</w:t>
      </w:r>
    </w:p>
    <w:p w14:paraId="564A74CA" w14:textId="429BD49C" w:rsidR="00224D5B" w:rsidRPr="00224D5B" w:rsidRDefault="00725977" w:rsidP="001E18C2">
      <w:pPr>
        <w:pStyle w:val="BodyText"/>
      </w:pPr>
      <w:r w:rsidRPr="00224D5B">
        <w:t>As per 2A.</w:t>
      </w:r>
    </w:p>
    <w:p w14:paraId="1CF56C35" w14:textId="24F496D0" w:rsidR="00725977" w:rsidRPr="00D4309F" w:rsidRDefault="00725977" w:rsidP="001E18C2">
      <w:pPr>
        <w:pStyle w:val="Heading5-nonumber"/>
        <w:rPr>
          <w:rFonts w:ascii="Calibri"/>
          <w:sz w:val="24"/>
        </w:rPr>
      </w:pPr>
      <w:r w:rsidRPr="000E0E68">
        <w:t>Operational</w:t>
      </w:r>
      <w:r w:rsidRPr="000E0E68">
        <w:rPr>
          <w:spacing w:val="-4"/>
        </w:rPr>
        <w:t xml:space="preserve"> </w:t>
      </w:r>
      <w:r w:rsidRPr="000E0E68">
        <w:t>Costs</w:t>
      </w:r>
    </w:p>
    <w:p w14:paraId="6C6D3716" w14:textId="242AB3D4" w:rsidR="00224D5B" w:rsidRPr="001E18C2" w:rsidRDefault="00725977" w:rsidP="00725977">
      <w:pPr>
        <w:pStyle w:val="BodyText"/>
        <w:rPr>
          <w:spacing w:val="-2"/>
        </w:rPr>
      </w:pPr>
      <w:r w:rsidRPr="00D4309F">
        <w:t>Would</w:t>
      </w:r>
      <w:r w:rsidRPr="00D4309F">
        <w:rPr>
          <w:spacing w:val="-6"/>
        </w:rPr>
        <w:t xml:space="preserve"> </w:t>
      </w:r>
      <w:r w:rsidRPr="00D4309F">
        <w:t>be</w:t>
      </w:r>
      <w:r w:rsidRPr="00D4309F">
        <w:rPr>
          <w:spacing w:val="-3"/>
        </w:rPr>
        <w:t xml:space="preserve"> </w:t>
      </w:r>
      <w:r w:rsidRPr="00D4309F">
        <w:t>similar</w:t>
      </w:r>
      <w:r w:rsidRPr="00D4309F">
        <w:rPr>
          <w:spacing w:val="-3"/>
        </w:rPr>
        <w:t xml:space="preserve"> </w:t>
      </w:r>
      <w:r w:rsidRPr="00D4309F">
        <w:t>to</w:t>
      </w:r>
      <w:r w:rsidRPr="00D4309F">
        <w:rPr>
          <w:spacing w:val="-3"/>
        </w:rPr>
        <w:t xml:space="preserve"> </w:t>
      </w:r>
      <w:r w:rsidRPr="00D4309F">
        <w:t>Option</w:t>
      </w:r>
      <w:r w:rsidRPr="00D4309F">
        <w:rPr>
          <w:spacing w:val="-5"/>
        </w:rPr>
        <w:t xml:space="preserve"> </w:t>
      </w:r>
      <w:r w:rsidRPr="00D4309F">
        <w:t>2B.</w:t>
      </w:r>
      <w:r w:rsidRPr="00D4309F">
        <w:rPr>
          <w:spacing w:val="-4"/>
        </w:rPr>
        <w:t xml:space="preserve"> </w:t>
      </w:r>
      <w:r w:rsidRPr="00D4309F">
        <w:t>The</w:t>
      </w:r>
      <w:r w:rsidRPr="00D4309F">
        <w:rPr>
          <w:spacing w:val="-4"/>
        </w:rPr>
        <w:t xml:space="preserve"> </w:t>
      </w:r>
      <w:r w:rsidRPr="00D4309F">
        <w:t>additional</w:t>
      </w:r>
      <w:r w:rsidRPr="00D4309F">
        <w:rPr>
          <w:spacing w:val="-3"/>
        </w:rPr>
        <w:t xml:space="preserve"> </w:t>
      </w:r>
      <w:r w:rsidRPr="00D4309F">
        <w:t>mobilisation</w:t>
      </w:r>
      <w:r w:rsidRPr="00D4309F">
        <w:rPr>
          <w:spacing w:val="-3"/>
        </w:rPr>
        <w:t xml:space="preserve"> </w:t>
      </w:r>
      <w:r w:rsidRPr="00D4309F">
        <w:t>cost</w:t>
      </w:r>
      <w:r w:rsidRPr="00D4309F">
        <w:rPr>
          <w:spacing w:val="-4"/>
        </w:rPr>
        <w:t xml:space="preserve"> </w:t>
      </w:r>
      <w:r w:rsidRPr="00D4309F">
        <w:t>of</w:t>
      </w:r>
      <w:r w:rsidRPr="00D4309F">
        <w:rPr>
          <w:spacing w:val="-3"/>
        </w:rPr>
        <w:t xml:space="preserve"> </w:t>
      </w:r>
      <w:r w:rsidRPr="00D4309F">
        <w:t>the</w:t>
      </w:r>
      <w:r w:rsidRPr="00D4309F">
        <w:rPr>
          <w:spacing w:val="-4"/>
        </w:rPr>
        <w:t xml:space="preserve"> </w:t>
      </w:r>
      <w:r w:rsidRPr="00D4309F">
        <w:t>TSHD</w:t>
      </w:r>
      <w:r w:rsidRPr="00D4309F">
        <w:rPr>
          <w:spacing w:val="-4"/>
        </w:rPr>
        <w:t xml:space="preserve"> </w:t>
      </w:r>
      <w:r w:rsidRPr="00D4309F">
        <w:t>would</w:t>
      </w:r>
      <w:r w:rsidRPr="00D4309F">
        <w:rPr>
          <w:spacing w:val="-4"/>
        </w:rPr>
        <w:t xml:space="preserve"> </w:t>
      </w:r>
      <w:r w:rsidRPr="00D4309F">
        <w:t>likely</w:t>
      </w:r>
      <w:r w:rsidRPr="00D4309F">
        <w:rPr>
          <w:spacing w:val="-2"/>
        </w:rPr>
        <w:t xml:space="preserve"> </w:t>
      </w:r>
      <w:r w:rsidRPr="00D4309F">
        <w:t>increase</w:t>
      </w:r>
      <w:r w:rsidRPr="00D4309F">
        <w:rPr>
          <w:spacing w:val="-3"/>
        </w:rPr>
        <w:t xml:space="preserve"> </w:t>
      </w:r>
      <w:r w:rsidRPr="00D4309F">
        <w:rPr>
          <w:spacing w:val="-5"/>
        </w:rPr>
        <w:t>the</w:t>
      </w:r>
      <w:r w:rsidR="000E0E68">
        <w:rPr>
          <w:spacing w:val="-5"/>
        </w:rPr>
        <w:t xml:space="preserve"> </w:t>
      </w:r>
      <w:r w:rsidRPr="00D4309F">
        <w:t>operational</w:t>
      </w:r>
      <w:r w:rsidRPr="00D4309F">
        <w:rPr>
          <w:spacing w:val="-8"/>
        </w:rPr>
        <w:t xml:space="preserve"> </w:t>
      </w:r>
      <w:r w:rsidRPr="00D4309F">
        <w:t>costs</w:t>
      </w:r>
      <w:r w:rsidRPr="00D4309F">
        <w:rPr>
          <w:spacing w:val="-4"/>
        </w:rPr>
        <w:t xml:space="preserve"> </w:t>
      </w:r>
      <w:r w:rsidRPr="00D4309F">
        <w:t>(depending</w:t>
      </w:r>
      <w:r w:rsidRPr="00D4309F">
        <w:rPr>
          <w:spacing w:val="-5"/>
        </w:rPr>
        <w:t xml:space="preserve"> </w:t>
      </w:r>
      <w:r w:rsidRPr="00D4309F">
        <w:t>on</w:t>
      </w:r>
      <w:r w:rsidRPr="00D4309F">
        <w:rPr>
          <w:spacing w:val="-4"/>
        </w:rPr>
        <w:t xml:space="preserve"> </w:t>
      </w:r>
      <w:r w:rsidRPr="00D4309F">
        <w:t>frequency</w:t>
      </w:r>
      <w:r w:rsidRPr="00D4309F">
        <w:rPr>
          <w:spacing w:val="-3"/>
        </w:rPr>
        <w:t xml:space="preserve"> </w:t>
      </w:r>
      <w:r w:rsidRPr="00D4309F">
        <w:t>of</w:t>
      </w:r>
      <w:r w:rsidRPr="00D4309F">
        <w:rPr>
          <w:spacing w:val="-5"/>
        </w:rPr>
        <w:t xml:space="preserve"> </w:t>
      </w:r>
      <w:r w:rsidRPr="00D4309F">
        <w:t>dredging</w:t>
      </w:r>
      <w:r w:rsidRPr="00D4309F">
        <w:rPr>
          <w:spacing w:val="-4"/>
        </w:rPr>
        <w:t xml:space="preserve"> </w:t>
      </w:r>
      <w:r w:rsidRPr="00D4309F">
        <w:t>annually/seasonal</w:t>
      </w:r>
      <w:r w:rsidRPr="00D4309F">
        <w:rPr>
          <w:spacing w:val="-5"/>
        </w:rPr>
        <w:t xml:space="preserve"> </w:t>
      </w:r>
      <w:r w:rsidRPr="00D4309F">
        <w:rPr>
          <w:spacing w:val="-2"/>
        </w:rPr>
        <w:t>variation)</w:t>
      </w:r>
      <w:r w:rsidR="00224D5B">
        <w:rPr>
          <w:spacing w:val="-2"/>
        </w:rPr>
        <w:t>.</w:t>
      </w:r>
    </w:p>
    <w:p w14:paraId="4304BCEA" w14:textId="77777777" w:rsidR="00725977" w:rsidRPr="00D4309F" w:rsidRDefault="00725977" w:rsidP="008228CB">
      <w:pPr>
        <w:pStyle w:val="Heading2"/>
      </w:pPr>
      <w:bookmarkStart w:id="352" w:name="_bookmark137"/>
      <w:bookmarkStart w:id="353" w:name="_Toc216699427"/>
      <w:bookmarkEnd w:id="352"/>
      <w:r w:rsidRPr="00D4309F">
        <w:t>Option</w:t>
      </w:r>
      <w:r w:rsidRPr="00D4309F">
        <w:rPr>
          <w:spacing w:val="-5"/>
        </w:rPr>
        <w:t xml:space="preserve"> </w:t>
      </w:r>
      <w:r w:rsidRPr="00D4309F">
        <w:t>2C</w:t>
      </w:r>
      <w:r w:rsidRPr="00D4309F">
        <w:rPr>
          <w:spacing w:val="-5"/>
        </w:rPr>
        <w:t xml:space="preserve"> </w:t>
      </w:r>
      <w:r w:rsidRPr="00D4309F">
        <w:t>–</w:t>
      </w:r>
      <w:r w:rsidRPr="00D4309F">
        <w:rPr>
          <w:spacing w:val="-4"/>
        </w:rPr>
        <w:t xml:space="preserve"> </w:t>
      </w:r>
      <w:r w:rsidRPr="00D4309F">
        <w:t>Excavated</w:t>
      </w:r>
      <w:r w:rsidRPr="00D4309F">
        <w:rPr>
          <w:spacing w:val="-5"/>
        </w:rPr>
        <w:t xml:space="preserve"> </w:t>
      </w:r>
      <w:r w:rsidRPr="00D4309F">
        <w:t>sand</w:t>
      </w:r>
      <w:r w:rsidRPr="00D4309F">
        <w:rPr>
          <w:spacing w:val="-5"/>
        </w:rPr>
        <w:t xml:space="preserve"> </w:t>
      </w:r>
      <w:r w:rsidRPr="00D4309F">
        <w:t>trap</w:t>
      </w:r>
      <w:r w:rsidRPr="00D4309F">
        <w:rPr>
          <w:spacing w:val="-5"/>
        </w:rPr>
        <w:t xml:space="preserve"> </w:t>
      </w:r>
      <w:r w:rsidRPr="00D4309F">
        <w:t>with</w:t>
      </w:r>
      <w:r w:rsidRPr="00D4309F">
        <w:rPr>
          <w:spacing w:val="-5"/>
        </w:rPr>
        <w:t xml:space="preserve"> </w:t>
      </w:r>
      <w:r w:rsidRPr="00D4309F">
        <w:t>semi-permanent</w:t>
      </w:r>
      <w:r w:rsidRPr="00D4309F">
        <w:rPr>
          <w:spacing w:val="-4"/>
        </w:rPr>
        <w:t xml:space="preserve"> </w:t>
      </w:r>
      <w:r w:rsidRPr="00D4309F">
        <w:t xml:space="preserve">pump </w:t>
      </w:r>
      <w:r w:rsidRPr="00D4309F">
        <w:rPr>
          <w:spacing w:val="-2"/>
        </w:rPr>
        <w:t>system</w:t>
      </w:r>
      <w:bookmarkEnd w:id="353"/>
    </w:p>
    <w:p w14:paraId="27D0338D" w14:textId="77777777" w:rsidR="00725977" w:rsidRPr="00D4309F" w:rsidRDefault="00725977" w:rsidP="008228CB">
      <w:pPr>
        <w:pStyle w:val="Heading3"/>
      </w:pPr>
      <w:bookmarkStart w:id="354" w:name="_Toc216699428"/>
      <w:r w:rsidRPr="00D4309F">
        <w:t>Option</w:t>
      </w:r>
      <w:r w:rsidRPr="00D4309F">
        <w:rPr>
          <w:spacing w:val="-5"/>
        </w:rPr>
        <w:t xml:space="preserve"> </w:t>
      </w:r>
      <w:r w:rsidRPr="00D4309F">
        <w:t>description</w:t>
      </w:r>
      <w:bookmarkEnd w:id="354"/>
    </w:p>
    <w:p w14:paraId="79567A31" w14:textId="77777777" w:rsidR="00725977" w:rsidRPr="00D4309F" w:rsidRDefault="00725977" w:rsidP="00725977">
      <w:pPr>
        <w:pStyle w:val="BodyText"/>
      </w:pPr>
      <w:r w:rsidRPr="00D4309F">
        <w:t>Option 2C builds upon the excavated entrance sand trap concept but introduces a semi-permanent sand slurry</w:t>
      </w:r>
      <w:r w:rsidRPr="00D4309F">
        <w:rPr>
          <w:spacing w:val="-2"/>
        </w:rPr>
        <w:t xml:space="preserve"> </w:t>
      </w:r>
      <w:r w:rsidRPr="00D4309F">
        <w:t>pump</w:t>
      </w:r>
      <w:r w:rsidRPr="00D4309F">
        <w:rPr>
          <w:spacing w:val="-4"/>
        </w:rPr>
        <w:t xml:space="preserve"> </w:t>
      </w:r>
      <w:r w:rsidRPr="00D4309F">
        <w:t>system</w:t>
      </w:r>
      <w:r w:rsidRPr="00D4309F">
        <w:rPr>
          <w:spacing w:val="-3"/>
        </w:rPr>
        <w:t xml:space="preserve"> </w:t>
      </w:r>
      <w:r w:rsidRPr="00D4309F">
        <w:t>to</w:t>
      </w:r>
      <w:r w:rsidRPr="00D4309F">
        <w:rPr>
          <w:spacing w:val="-3"/>
        </w:rPr>
        <w:t xml:space="preserve"> </w:t>
      </w:r>
      <w:r w:rsidRPr="00D4309F">
        <w:t>enable</w:t>
      </w:r>
      <w:r w:rsidRPr="00D4309F">
        <w:rPr>
          <w:spacing w:val="-3"/>
        </w:rPr>
        <w:t xml:space="preserve"> </w:t>
      </w:r>
      <w:r w:rsidRPr="00D4309F">
        <w:t>on-demand</w:t>
      </w:r>
      <w:r w:rsidRPr="00D4309F">
        <w:rPr>
          <w:spacing w:val="-3"/>
        </w:rPr>
        <w:t xml:space="preserve"> </w:t>
      </w:r>
      <w:r w:rsidRPr="00D4309F">
        <w:t>sediment</w:t>
      </w:r>
      <w:r w:rsidRPr="00D4309F">
        <w:rPr>
          <w:spacing w:val="-3"/>
        </w:rPr>
        <w:t xml:space="preserve"> </w:t>
      </w:r>
      <w:r w:rsidRPr="00D4309F">
        <w:t>transfer</w:t>
      </w:r>
      <w:r w:rsidRPr="00D4309F">
        <w:rPr>
          <w:spacing w:val="-2"/>
        </w:rPr>
        <w:t xml:space="preserve"> </w:t>
      </w:r>
      <w:r w:rsidRPr="00D4309F">
        <w:t>between</w:t>
      </w:r>
      <w:r w:rsidRPr="00D4309F">
        <w:rPr>
          <w:spacing w:val="-3"/>
        </w:rPr>
        <w:t xml:space="preserve"> </w:t>
      </w:r>
      <w:r w:rsidRPr="00D4309F">
        <w:t>the</w:t>
      </w:r>
      <w:r w:rsidRPr="00D4309F">
        <w:rPr>
          <w:spacing w:val="-3"/>
        </w:rPr>
        <w:t xml:space="preserve"> </w:t>
      </w:r>
      <w:r w:rsidRPr="00D4309F">
        <w:t>sand</w:t>
      </w:r>
      <w:r w:rsidRPr="00D4309F">
        <w:rPr>
          <w:spacing w:val="-3"/>
        </w:rPr>
        <w:t xml:space="preserve"> </w:t>
      </w:r>
      <w:r w:rsidRPr="00D4309F">
        <w:t>trap</w:t>
      </w:r>
      <w:r w:rsidRPr="00D4309F">
        <w:rPr>
          <w:spacing w:val="-3"/>
        </w:rPr>
        <w:t xml:space="preserve"> </w:t>
      </w:r>
      <w:r w:rsidRPr="00D4309F">
        <w:t>(Area</w:t>
      </w:r>
      <w:r w:rsidRPr="00D4309F">
        <w:rPr>
          <w:spacing w:val="-3"/>
        </w:rPr>
        <w:t xml:space="preserve"> </w:t>
      </w:r>
      <w:r w:rsidRPr="00D4309F">
        <w:t>A)</w:t>
      </w:r>
      <w:r w:rsidRPr="00D4309F">
        <w:rPr>
          <w:spacing w:val="-2"/>
        </w:rPr>
        <w:t xml:space="preserve"> </w:t>
      </w:r>
      <w:r w:rsidRPr="00D4309F">
        <w:t>and</w:t>
      </w:r>
      <w:r w:rsidRPr="00D4309F">
        <w:rPr>
          <w:spacing w:val="-3"/>
        </w:rPr>
        <w:t xml:space="preserve"> </w:t>
      </w:r>
      <w:r w:rsidRPr="00D4309F">
        <w:t>Mooloolaba Beach (Area B). This system would allow controlled, flexible, and lower-risk sand bypassing without relying on large dredging campaigns.</w:t>
      </w:r>
    </w:p>
    <w:p w14:paraId="6360407E" w14:textId="0DBAD71A" w:rsidR="00725977" w:rsidRPr="00D4309F" w:rsidRDefault="00725977" w:rsidP="00725977">
      <w:pPr>
        <w:pStyle w:val="BodyText"/>
      </w:pPr>
      <w:r w:rsidRPr="00D4309F">
        <w:t>The proposed setup includes an onshore pump station positioned behind the dunes near the eastern breakwater,</w:t>
      </w:r>
      <w:r w:rsidRPr="00D4309F">
        <w:rPr>
          <w:spacing w:val="-3"/>
        </w:rPr>
        <w:t xml:space="preserve"> </w:t>
      </w:r>
      <w:r w:rsidRPr="00D4309F">
        <w:t>occupying</w:t>
      </w:r>
      <w:r w:rsidRPr="00D4309F">
        <w:rPr>
          <w:spacing w:val="-3"/>
        </w:rPr>
        <w:t xml:space="preserve"> </w:t>
      </w:r>
      <w:r w:rsidRPr="00D4309F">
        <w:t>an</w:t>
      </w:r>
      <w:r w:rsidRPr="00D4309F">
        <w:rPr>
          <w:spacing w:val="-3"/>
        </w:rPr>
        <w:t xml:space="preserve"> </w:t>
      </w:r>
      <w:r w:rsidRPr="00D4309F">
        <w:t>area</w:t>
      </w:r>
      <w:r w:rsidRPr="00D4309F">
        <w:rPr>
          <w:spacing w:val="-3"/>
        </w:rPr>
        <w:t xml:space="preserve"> </w:t>
      </w:r>
      <w:r w:rsidRPr="00D4309F">
        <w:t>of</w:t>
      </w:r>
      <w:r w:rsidRPr="00D4309F">
        <w:rPr>
          <w:spacing w:val="-3"/>
        </w:rPr>
        <w:t xml:space="preserve"> </w:t>
      </w:r>
      <w:r w:rsidRPr="00D4309F">
        <w:t>approximately</w:t>
      </w:r>
      <w:r w:rsidRPr="00D4309F">
        <w:rPr>
          <w:spacing w:val="-2"/>
        </w:rPr>
        <w:t xml:space="preserve"> </w:t>
      </w:r>
      <w:r w:rsidRPr="00D4309F">
        <w:t>30m</w:t>
      </w:r>
      <w:r w:rsidRPr="00D4309F">
        <w:rPr>
          <w:spacing w:val="-4"/>
        </w:rPr>
        <w:t xml:space="preserve"> </w:t>
      </w:r>
      <w:r w:rsidRPr="00D4309F">
        <w:t>×</w:t>
      </w:r>
      <w:r w:rsidRPr="00D4309F">
        <w:rPr>
          <w:spacing w:val="-2"/>
        </w:rPr>
        <w:t xml:space="preserve"> </w:t>
      </w:r>
      <w:r w:rsidRPr="00D4309F">
        <w:t>20m.</w:t>
      </w:r>
      <w:r w:rsidRPr="00D4309F">
        <w:rPr>
          <w:spacing w:val="-3"/>
        </w:rPr>
        <w:t xml:space="preserve"> </w:t>
      </w:r>
      <w:r w:rsidRPr="00D4309F">
        <w:t>From</w:t>
      </w:r>
      <w:r w:rsidRPr="00D4309F">
        <w:rPr>
          <w:spacing w:val="-4"/>
        </w:rPr>
        <w:t xml:space="preserve"> </w:t>
      </w:r>
      <w:r w:rsidRPr="00D4309F">
        <w:t>this</w:t>
      </w:r>
      <w:r w:rsidRPr="00D4309F">
        <w:rPr>
          <w:spacing w:val="-2"/>
        </w:rPr>
        <w:t xml:space="preserve"> </w:t>
      </w:r>
      <w:r w:rsidRPr="00D4309F">
        <w:t>location,</w:t>
      </w:r>
      <w:r w:rsidRPr="00D4309F">
        <w:rPr>
          <w:spacing w:val="-3"/>
        </w:rPr>
        <w:t xml:space="preserve"> </w:t>
      </w:r>
      <w:r w:rsidRPr="00D4309F">
        <w:t>a</w:t>
      </w:r>
      <w:r w:rsidRPr="00D4309F">
        <w:rPr>
          <w:spacing w:val="-3"/>
        </w:rPr>
        <w:t xml:space="preserve"> </w:t>
      </w:r>
      <w:r w:rsidRPr="00D4309F">
        <w:t>sand</w:t>
      </w:r>
      <w:r w:rsidRPr="00D4309F">
        <w:rPr>
          <w:spacing w:val="-3"/>
        </w:rPr>
        <w:t xml:space="preserve"> </w:t>
      </w:r>
      <w:r w:rsidRPr="00D4309F">
        <w:t>suction</w:t>
      </w:r>
      <w:r w:rsidRPr="00D4309F">
        <w:rPr>
          <w:spacing w:val="-3"/>
        </w:rPr>
        <w:t xml:space="preserve"> </w:t>
      </w:r>
      <w:r w:rsidRPr="00D4309F">
        <w:t>intake,</w:t>
      </w:r>
      <w:r w:rsidRPr="00D4309F">
        <w:rPr>
          <w:spacing w:val="-3"/>
        </w:rPr>
        <w:t xml:space="preserve"> </w:t>
      </w:r>
      <w:r w:rsidRPr="00D4309F">
        <w:t xml:space="preserve">likely with multiple collection heads, would extend into the excavated trap to collect accumulated sand. A water intake pipe would draw seawater from the entrance channel to create the slurry mixture required for </w:t>
      </w:r>
      <w:r w:rsidRPr="00D4309F">
        <w:lastRenderedPageBreak/>
        <w:t>pumping. The slurry would then be transferred through the existing pipeline network across the entrance to</w:t>
      </w:r>
      <w:r w:rsidR="006C24AF">
        <w:t xml:space="preserve"> </w:t>
      </w:r>
      <w:r w:rsidRPr="00D4309F">
        <w:t>the</w:t>
      </w:r>
      <w:r w:rsidRPr="00D4309F">
        <w:rPr>
          <w:spacing w:val="-2"/>
        </w:rPr>
        <w:t xml:space="preserve"> </w:t>
      </w:r>
      <w:r w:rsidRPr="00D4309F">
        <w:t>placement</w:t>
      </w:r>
      <w:r w:rsidRPr="00D4309F">
        <w:rPr>
          <w:spacing w:val="-2"/>
        </w:rPr>
        <w:t xml:space="preserve"> </w:t>
      </w:r>
      <w:r w:rsidRPr="00D4309F">
        <w:t>area</w:t>
      </w:r>
      <w:r w:rsidRPr="00D4309F">
        <w:rPr>
          <w:spacing w:val="-2"/>
        </w:rPr>
        <w:t xml:space="preserve"> </w:t>
      </w:r>
      <w:r w:rsidRPr="00D4309F">
        <w:t>on</w:t>
      </w:r>
      <w:r w:rsidRPr="00D4309F">
        <w:rPr>
          <w:spacing w:val="-2"/>
        </w:rPr>
        <w:t xml:space="preserve"> </w:t>
      </w:r>
      <w:r w:rsidRPr="00D4309F">
        <w:t>Mooloolaba</w:t>
      </w:r>
      <w:r w:rsidRPr="00D4309F">
        <w:rPr>
          <w:spacing w:val="-2"/>
        </w:rPr>
        <w:t xml:space="preserve"> </w:t>
      </w:r>
      <w:r w:rsidRPr="00D4309F">
        <w:t>Beach,</w:t>
      </w:r>
      <w:r w:rsidRPr="00D4309F">
        <w:rPr>
          <w:spacing w:val="-2"/>
        </w:rPr>
        <w:t xml:space="preserve"> </w:t>
      </w:r>
      <w:r w:rsidRPr="00D4309F">
        <w:t>where</w:t>
      </w:r>
      <w:r w:rsidRPr="00D4309F">
        <w:rPr>
          <w:spacing w:val="-2"/>
        </w:rPr>
        <w:t xml:space="preserve"> </w:t>
      </w:r>
      <w:r w:rsidRPr="00D4309F">
        <w:t>the</w:t>
      </w:r>
      <w:r w:rsidRPr="00D4309F">
        <w:rPr>
          <w:spacing w:val="-3"/>
        </w:rPr>
        <w:t xml:space="preserve"> </w:t>
      </w:r>
      <w:r w:rsidRPr="00D4309F">
        <w:t>sand</w:t>
      </w:r>
      <w:r w:rsidRPr="00D4309F">
        <w:rPr>
          <w:spacing w:val="-3"/>
        </w:rPr>
        <w:t xml:space="preserve"> </w:t>
      </w:r>
      <w:r w:rsidRPr="00D4309F">
        <w:t>would</w:t>
      </w:r>
      <w:r w:rsidRPr="00D4309F">
        <w:rPr>
          <w:spacing w:val="-2"/>
        </w:rPr>
        <w:t xml:space="preserve"> </w:t>
      </w:r>
      <w:r w:rsidRPr="00D4309F">
        <w:t>be</w:t>
      </w:r>
      <w:r w:rsidRPr="00D4309F">
        <w:rPr>
          <w:spacing w:val="-2"/>
        </w:rPr>
        <w:t xml:space="preserve"> </w:t>
      </w:r>
      <w:r w:rsidRPr="00D4309F">
        <w:t>discharged</w:t>
      </w:r>
      <w:r w:rsidRPr="00D4309F">
        <w:rPr>
          <w:spacing w:val="-2"/>
        </w:rPr>
        <w:t xml:space="preserve"> </w:t>
      </w:r>
      <w:r w:rsidRPr="00D4309F">
        <w:t>and</w:t>
      </w:r>
      <w:r w:rsidRPr="00D4309F">
        <w:rPr>
          <w:spacing w:val="-2"/>
        </w:rPr>
        <w:t xml:space="preserve"> </w:t>
      </w:r>
      <w:r w:rsidRPr="00D4309F">
        <w:t>shaped</w:t>
      </w:r>
      <w:r w:rsidRPr="00D4309F">
        <w:rPr>
          <w:spacing w:val="-3"/>
        </w:rPr>
        <w:t xml:space="preserve"> </w:t>
      </w:r>
      <w:r w:rsidRPr="00D4309F">
        <w:t>to</w:t>
      </w:r>
      <w:r w:rsidRPr="00D4309F">
        <w:rPr>
          <w:spacing w:val="-2"/>
        </w:rPr>
        <w:t xml:space="preserve"> </w:t>
      </w:r>
      <w:r w:rsidRPr="00D4309F">
        <w:t>match natural beach profiles.</w:t>
      </w:r>
    </w:p>
    <w:p w14:paraId="7E9701E7" w14:textId="77777777" w:rsidR="00725977" w:rsidRDefault="00725977" w:rsidP="00725977">
      <w:pPr>
        <w:pStyle w:val="BodyText"/>
        <w:rPr>
          <w:spacing w:val="-2"/>
        </w:rPr>
      </w:pPr>
      <w:r w:rsidRPr="00D4309F">
        <w:t>The system is intended to operate intermittently rather than continuously, activated only when sand accumulation in the trap reaches a pre-defined level or when beach nourishment is required. This operational flexibility reduces energy demand and maintenance while still achieving consistent sediment bypassing,</w:t>
      </w:r>
      <w:r w:rsidRPr="00D4309F">
        <w:rPr>
          <w:spacing w:val="-3"/>
        </w:rPr>
        <w:t xml:space="preserve"> </w:t>
      </w:r>
      <w:r w:rsidRPr="00D4309F">
        <w:t>aligning</w:t>
      </w:r>
      <w:r w:rsidRPr="00D4309F">
        <w:rPr>
          <w:spacing w:val="-4"/>
        </w:rPr>
        <w:t xml:space="preserve"> </w:t>
      </w:r>
      <w:r w:rsidRPr="00D4309F">
        <w:t>with</w:t>
      </w:r>
      <w:r w:rsidRPr="00D4309F">
        <w:rPr>
          <w:spacing w:val="-3"/>
        </w:rPr>
        <w:t xml:space="preserve"> </w:t>
      </w:r>
      <w:r w:rsidRPr="00D4309F">
        <w:t>community</w:t>
      </w:r>
      <w:r w:rsidRPr="00D4309F">
        <w:rPr>
          <w:spacing w:val="-2"/>
        </w:rPr>
        <w:t xml:space="preserve"> </w:t>
      </w:r>
      <w:r w:rsidRPr="00D4309F">
        <w:t>and</w:t>
      </w:r>
      <w:r w:rsidRPr="00D4309F">
        <w:rPr>
          <w:spacing w:val="-4"/>
        </w:rPr>
        <w:t xml:space="preserve"> </w:t>
      </w:r>
      <w:r w:rsidRPr="00D4309F">
        <w:t>stakeholder</w:t>
      </w:r>
      <w:r w:rsidRPr="00D4309F">
        <w:rPr>
          <w:spacing w:val="-2"/>
        </w:rPr>
        <w:t xml:space="preserve"> </w:t>
      </w:r>
      <w:r w:rsidRPr="00D4309F">
        <w:t>preferences</w:t>
      </w:r>
      <w:r w:rsidRPr="00D4309F">
        <w:rPr>
          <w:spacing w:val="-2"/>
        </w:rPr>
        <w:t xml:space="preserve"> </w:t>
      </w:r>
      <w:r w:rsidRPr="00D4309F">
        <w:t>for</w:t>
      </w:r>
      <w:r w:rsidRPr="00D4309F">
        <w:rPr>
          <w:spacing w:val="-2"/>
        </w:rPr>
        <w:t xml:space="preserve"> </w:t>
      </w:r>
      <w:r w:rsidRPr="00D4309F">
        <w:t>a</w:t>
      </w:r>
      <w:r w:rsidRPr="00D4309F">
        <w:rPr>
          <w:spacing w:val="-3"/>
        </w:rPr>
        <w:t xml:space="preserve"> </w:t>
      </w:r>
      <w:r w:rsidRPr="00D4309F">
        <w:t>softer,</w:t>
      </w:r>
      <w:r w:rsidRPr="00D4309F">
        <w:rPr>
          <w:spacing w:val="-3"/>
        </w:rPr>
        <w:t xml:space="preserve"> </w:t>
      </w:r>
      <w:r w:rsidRPr="00D4309F">
        <w:t>more</w:t>
      </w:r>
      <w:r w:rsidRPr="00D4309F">
        <w:rPr>
          <w:spacing w:val="-3"/>
        </w:rPr>
        <w:t xml:space="preserve"> </w:t>
      </w:r>
      <w:r w:rsidRPr="00D4309F">
        <w:t>adaptive</w:t>
      </w:r>
      <w:r w:rsidRPr="00D4309F">
        <w:rPr>
          <w:spacing w:val="-3"/>
        </w:rPr>
        <w:t xml:space="preserve"> </w:t>
      </w:r>
      <w:r w:rsidRPr="00D4309F">
        <w:t xml:space="preserve">management </w:t>
      </w:r>
      <w:r w:rsidRPr="00D4309F">
        <w:rPr>
          <w:spacing w:val="-2"/>
        </w:rPr>
        <w:t>approach.</w:t>
      </w:r>
    </w:p>
    <w:p w14:paraId="36364209" w14:textId="77777777" w:rsidR="001E18C2" w:rsidRPr="00D4309F" w:rsidRDefault="001E18C2" w:rsidP="00725977">
      <w:pPr>
        <w:pStyle w:val="BodyText"/>
      </w:pPr>
    </w:p>
    <w:p w14:paraId="3C477AA7" w14:textId="7D4CA8CB" w:rsidR="00725977" w:rsidRPr="00D4309F" w:rsidRDefault="00725977" w:rsidP="006C24AF">
      <w:pPr>
        <w:pStyle w:val="BodyText"/>
        <w:keepNext/>
        <w:jc w:val="center"/>
      </w:pPr>
      <w:r w:rsidRPr="00D4309F">
        <w:rPr>
          <w:noProof/>
        </w:rPr>
        <w:lastRenderedPageBreak/>
        <w:drawing>
          <wp:inline distT="0" distB="0" distL="0" distR="0" wp14:anchorId="5A8B6B66" wp14:editId="5557DB45">
            <wp:extent cx="5631636" cy="3922776"/>
            <wp:effectExtent l="0" t="0" r="7620" b="1905"/>
            <wp:docPr id="241" name="Image 241" descr="Arial image of Point Cartwright and the Mooloolaba Boat Harbour Entrance. Map overlay shows where sand is trapped and pumped when required, which is at the boat harbour entrance. the second overlay shows where sand is placed by pipe, located on Mooloolaba beach.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descr="Arial image of Point Cartwright and the Mooloolaba Boat Harbour Entrance. Map overlay shows where sand is trapped and pumped when required, which is at the boat harbour entrance. the second overlay shows where sand is placed by pipe, located on Mooloolaba beach. "/>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631636" cy="3922776"/>
                    </a:xfrm>
                    <a:prstGeom prst="rect">
                      <a:avLst/>
                    </a:prstGeom>
                  </pic:spPr>
                </pic:pic>
              </a:graphicData>
            </a:graphic>
          </wp:inline>
        </w:drawing>
      </w:r>
      <w:r w:rsidRPr="00D4309F">
        <w:rPr>
          <w:noProof/>
        </w:rPr>
        <w:drawing>
          <wp:inline distT="0" distB="0" distL="0" distR="0" wp14:anchorId="7BEF3F9A" wp14:editId="5056EE7A">
            <wp:extent cx="5713472" cy="3982212"/>
            <wp:effectExtent l="0" t="0" r="0" b="0"/>
            <wp:docPr id="242" name="Image 242" descr="Arial image of Point Cartwright and the Mooloolaba Boat Harbour Entrance. Map overlay shows a sand pump intake located at the boat harbour entrance, and a permanent pipeline across the entrance and to Mooloolaba beach where the sand outlet will be loc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descr="Arial image of Point Cartwright and the Mooloolaba Boat Harbour Entrance. Map overlay shows a sand pump intake located at the boat harbour entrance, and a permanent pipeline across the entrance and to Mooloolaba beach where the sand outlet will be located. "/>
                    <pic:cNvPicPr/>
                  </pic:nvPicPr>
                  <pic:blipFill>
                    <a:blip r:embed="rId110" cstate="print"/>
                    <a:stretch>
                      <a:fillRect/>
                    </a:stretch>
                  </pic:blipFill>
                  <pic:spPr>
                    <a:xfrm>
                      <a:off x="0" y="0"/>
                      <a:ext cx="5713472" cy="3982212"/>
                    </a:xfrm>
                    <a:prstGeom prst="rect">
                      <a:avLst/>
                    </a:prstGeom>
                  </pic:spPr>
                </pic:pic>
              </a:graphicData>
            </a:graphic>
          </wp:inline>
        </w:drawing>
      </w:r>
    </w:p>
    <w:p w14:paraId="3813E2B9" w14:textId="5D1DF5BA" w:rsidR="00725977" w:rsidRPr="00D4309F" w:rsidRDefault="006C24AF" w:rsidP="005244F7">
      <w:pPr>
        <w:pStyle w:val="Caption"/>
      </w:pPr>
      <w:bookmarkStart w:id="355" w:name="_bookmark138"/>
      <w:bookmarkStart w:id="356" w:name="_Toc216699628"/>
      <w:bookmarkEnd w:id="355"/>
      <w:r>
        <w:t xml:space="preserve">Figure </w:t>
      </w:r>
      <w:r w:rsidR="00B538D4">
        <w:fldChar w:fldCharType="begin" w:fldLock="1"/>
      </w:r>
      <w:r w:rsidR="00B538D4">
        <w:instrText xml:space="preserve"> STYLEREF 1 \s </w:instrText>
      </w:r>
      <w:r w:rsidR="00B538D4">
        <w:fldChar w:fldCharType="separate"/>
      </w:r>
      <w:r w:rsidR="00B538D4">
        <w:rPr>
          <w:noProof/>
        </w:rPr>
        <w:t>14</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5</w:t>
      </w:r>
      <w:r w:rsidR="00B538D4">
        <w:fldChar w:fldCharType="end"/>
      </w:r>
      <w:r>
        <w:t>:</w:t>
      </w:r>
      <w:r>
        <w:tab/>
      </w:r>
      <w:r w:rsidRPr="00D4309F">
        <w:rPr>
          <w:color w:val="211E1F"/>
        </w:rPr>
        <w:t>Option</w:t>
      </w:r>
      <w:r w:rsidRPr="00D4309F">
        <w:rPr>
          <w:color w:val="211E1F"/>
          <w:spacing w:val="-2"/>
        </w:rPr>
        <w:t xml:space="preserve"> </w:t>
      </w:r>
      <w:r w:rsidRPr="00D4309F">
        <w:rPr>
          <w:color w:val="211E1F"/>
        </w:rPr>
        <w:t>2C</w:t>
      </w:r>
      <w:r w:rsidRPr="00D4309F">
        <w:rPr>
          <w:color w:val="211E1F"/>
          <w:spacing w:val="-2"/>
        </w:rPr>
        <w:t xml:space="preserve"> </w:t>
      </w:r>
      <w:r w:rsidRPr="00D4309F">
        <w:rPr>
          <w:color w:val="211E1F"/>
        </w:rPr>
        <w:t>schematic</w:t>
      </w:r>
      <w:r w:rsidRPr="00D4309F">
        <w:rPr>
          <w:color w:val="211E1F"/>
          <w:spacing w:val="-2"/>
        </w:rPr>
        <w:t xml:space="preserve"> layout</w:t>
      </w:r>
      <w:bookmarkEnd w:id="356"/>
    </w:p>
    <w:p w14:paraId="6DEDB5E3" w14:textId="77777777" w:rsidR="00725977" w:rsidRPr="00D4309F" w:rsidRDefault="00725977" w:rsidP="008228CB">
      <w:pPr>
        <w:pStyle w:val="Heading3"/>
      </w:pPr>
      <w:bookmarkStart w:id="357" w:name="_Toc216699429"/>
      <w:r w:rsidRPr="00D4309F">
        <w:lastRenderedPageBreak/>
        <w:t>Design</w:t>
      </w:r>
      <w:r w:rsidRPr="00D4309F">
        <w:rPr>
          <w:spacing w:val="-3"/>
        </w:rPr>
        <w:t xml:space="preserve"> </w:t>
      </w:r>
      <w:r w:rsidRPr="00D4309F">
        <w:t>and</w:t>
      </w:r>
      <w:r w:rsidRPr="00D4309F">
        <w:rPr>
          <w:spacing w:val="-3"/>
        </w:rPr>
        <w:t xml:space="preserve"> </w:t>
      </w:r>
      <w:r w:rsidRPr="00D4309F">
        <w:rPr>
          <w:spacing w:val="-2"/>
        </w:rPr>
        <w:t>approvals</w:t>
      </w:r>
      <w:bookmarkEnd w:id="357"/>
    </w:p>
    <w:p w14:paraId="5367A7C5" w14:textId="77777777" w:rsidR="00725977" w:rsidRPr="00D4309F" w:rsidRDefault="00725977" w:rsidP="00725977">
      <w:pPr>
        <w:pStyle w:val="BodyText"/>
      </w:pPr>
      <w:r w:rsidRPr="00D4309F">
        <w:t>At</w:t>
      </w:r>
      <w:r w:rsidRPr="00D4309F">
        <w:rPr>
          <w:spacing w:val="-2"/>
        </w:rPr>
        <w:t xml:space="preserve"> </w:t>
      </w:r>
      <w:r w:rsidRPr="00D4309F">
        <w:t>this</w:t>
      </w:r>
      <w:r w:rsidRPr="00D4309F">
        <w:rPr>
          <w:spacing w:val="-1"/>
        </w:rPr>
        <w:t xml:space="preserve"> </w:t>
      </w:r>
      <w:r w:rsidRPr="00D4309F">
        <w:t>stage,</w:t>
      </w:r>
      <w:r w:rsidRPr="00D4309F">
        <w:rPr>
          <w:spacing w:val="-2"/>
        </w:rPr>
        <w:t xml:space="preserve"> </w:t>
      </w:r>
      <w:r w:rsidRPr="00D4309F">
        <w:t>the</w:t>
      </w:r>
      <w:r w:rsidRPr="00D4309F">
        <w:rPr>
          <w:spacing w:val="-2"/>
        </w:rPr>
        <w:t xml:space="preserve"> </w:t>
      </w:r>
      <w:r w:rsidRPr="00D4309F">
        <w:t>sand</w:t>
      </w:r>
      <w:r w:rsidRPr="00D4309F">
        <w:rPr>
          <w:spacing w:val="-2"/>
        </w:rPr>
        <w:t xml:space="preserve"> </w:t>
      </w:r>
      <w:r w:rsidRPr="00D4309F">
        <w:t>slurry</w:t>
      </w:r>
      <w:r w:rsidRPr="00D4309F">
        <w:rPr>
          <w:spacing w:val="-1"/>
        </w:rPr>
        <w:t xml:space="preserve"> </w:t>
      </w:r>
      <w:r w:rsidRPr="00D4309F">
        <w:t>pump</w:t>
      </w:r>
      <w:r w:rsidRPr="00D4309F">
        <w:rPr>
          <w:spacing w:val="-3"/>
        </w:rPr>
        <w:t xml:space="preserve"> </w:t>
      </w:r>
      <w:r w:rsidRPr="00D4309F">
        <w:t>system</w:t>
      </w:r>
      <w:r w:rsidRPr="00D4309F">
        <w:rPr>
          <w:spacing w:val="-2"/>
        </w:rPr>
        <w:t xml:space="preserve"> </w:t>
      </w:r>
      <w:r w:rsidRPr="00D4309F">
        <w:t>for</w:t>
      </w:r>
      <w:r w:rsidRPr="00D4309F">
        <w:rPr>
          <w:spacing w:val="-1"/>
        </w:rPr>
        <w:t xml:space="preserve"> </w:t>
      </w:r>
      <w:r w:rsidRPr="00D4309F">
        <w:t>Option</w:t>
      </w:r>
      <w:r w:rsidRPr="00D4309F">
        <w:rPr>
          <w:spacing w:val="-3"/>
        </w:rPr>
        <w:t xml:space="preserve"> </w:t>
      </w:r>
      <w:r w:rsidRPr="00D4309F">
        <w:t>2C</w:t>
      </w:r>
      <w:r w:rsidRPr="00D4309F">
        <w:rPr>
          <w:spacing w:val="-1"/>
        </w:rPr>
        <w:t xml:space="preserve"> </w:t>
      </w:r>
      <w:r w:rsidRPr="00D4309F">
        <w:t>is</w:t>
      </w:r>
      <w:r w:rsidRPr="00D4309F">
        <w:rPr>
          <w:spacing w:val="-2"/>
        </w:rPr>
        <w:t xml:space="preserve"> </w:t>
      </w:r>
      <w:r w:rsidRPr="00D4309F">
        <w:t>conceptual</w:t>
      </w:r>
      <w:r w:rsidRPr="00D4309F">
        <w:rPr>
          <w:spacing w:val="-2"/>
        </w:rPr>
        <w:t xml:space="preserve"> </w:t>
      </w:r>
      <w:r w:rsidRPr="00D4309F">
        <w:t>only,</w:t>
      </w:r>
      <w:r w:rsidRPr="00D4309F">
        <w:rPr>
          <w:spacing w:val="-2"/>
        </w:rPr>
        <w:t xml:space="preserve"> </w:t>
      </w:r>
      <w:r w:rsidRPr="00D4309F">
        <w:t>based</w:t>
      </w:r>
      <w:r w:rsidRPr="00D4309F">
        <w:rPr>
          <w:spacing w:val="-2"/>
        </w:rPr>
        <w:t xml:space="preserve"> </w:t>
      </w:r>
      <w:r w:rsidRPr="00D4309F">
        <w:t>on</w:t>
      </w:r>
      <w:r w:rsidRPr="00D4309F">
        <w:rPr>
          <w:spacing w:val="-2"/>
        </w:rPr>
        <w:t xml:space="preserve"> </w:t>
      </w:r>
      <w:r w:rsidRPr="00D4309F">
        <w:t>preliminary</w:t>
      </w:r>
      <w:r w:rsidRPr="00D4309F">
        <w:rPr>
          <w:spacing w:val="-1"/>
        </w:rPr>
        <w:t xml:space="preserve"> </w:t>
      </w:r>
      <w:r w:rsidRPr="00D4309F">
        <w:t>input</w:t>
      </w:r>
      <w:r w:rsidRPr="00D4309F">
        <w:rPr>
          <w:spacing w:val="-2"/>
        </w:rPr>
        <w:t xml:space="preserve"> </w:t>
      </w:r>
      <w:r w:rsidRPr="00D4309F">
        <w:t>from potential suppliers. Further work is required to define the pump specifications, suction arrangements, intake configuration, pipe alignment, and control systems to ensure reliable operation and compatibility with site conditions. This includes confirming the exact location of the onshore pump station (approx. 30 m × 20 m behind the dunes near the breakwater), the layout of sand and water intake pipes within the entrance, and the connection into the existing pipeline network to Mooloolaba Beach.</w:t>
      </w:r>
    </w:p>
    <w:p w14:paraId="4A9C1665" w14:textId="77777777" w:rsidR="00725977" w:rsidRPr="00D4309F" w:rsidRDefault="00725977" w:rsidP="00725977">
      <w:pPr>
        <w:pStyle w:val="BodyText"/>
      </w:pPr>
      <w:r w:rsidRPr="00D4309F">
        <w:t>Detailed</w:t>
      </w:r>
      <w:r w:rsidRPr="00D4309F">
        <w:rPr>
          <w:spacing w:val="-3"/>
        </w:rPr>
        <w:t xml:space="preserve"> </w:t>
      </w:r>
      <w:r w:rsidRPr="00D4309F">
        <w:t>design</w:t>
      </w:r>
      <w:r w:rsidRPr="00D4309F">
        <w:rPr>
          <w:spacing w:val="-3"/>
        </w:rPr>
        <w:t xml:space="preserve"> </w:t>
      </w:r>
      <w:r w:rsidRPr="00D4309F">
        <w:t>will</w:t>
      </w:r>
      <w:r w:rsidRPr="00D4309F">
        <w:rPr>
          <w:spacing w:val="-3"/>
        </w:rPr>
        <w:t xml:space="preserve"> </w:t>
      </w:r>
      <w:r w:rsidRPr="00D4309F">
        <w:t>also</w:t>
      </w:r>
      <w:r w:rsidRPr="00D4309F">
        <w:rPr>
          <w:spacing w:val="-3"/>
        </w:rPr>
        <w:t xml:space="preserve"> </w:t>
      </w:r>
      <w:r w:rsidRPr="00D4309F">
        <w:t>need</w:t>
      </w:r>
      <w:r w:rsidRPr="00D4309F">
        <w:rPr>
          <w:spacing w:val="-3"/>
        </w:rPr>
        <w:t xml:space="preserve"> </w:t>
      </w:r>
      <w:r w:rsidRPr="00D4309F">
        <w:t>to</w:t>
      </w:r>
      <w:r w:rsidRPr="00D4309F">
        <w:rPr>
          <w:spacing w:val="-3"/>
        </w:rPr>
        <w:t xml:space="preserve"> </w:t>
      </w:r>
      <w:r w:rsidRPr="00D4309F">
        <w:t>address</w:t>
      </w:r>
      <w:r w:rsidRPr="00D4309F">
        <w:rPr>
          <w:spacing w:val="-2"/>
        </w:rPr>
        <w:t xml:space="preserve"> </w:t>
      </w:r>
      <w:r w:rsidRPr="00D4309F">
        <w:t>public</w:t>
      </w:r>
      <w:r w:rsidRPr="00D4309F">
        <w:rPr>
          <w:spacing w:val="-2"/>
        </w:rPr>
        <w:t xml:space="preserve"> </w:t>
      </w:r>
      <w:r w:rsidRPr="00D4309F">
        <w:t>access</w:t>
      </w:r>
      <w:r w:rsidRPr="00D4309F">
        <w:rPr>
          <w:spacing w:val="-2"/>
        </w:rPr>
        <w:t xml:space="preserve"> </w:t>
      </w:r>
      <w:r w:rsidRPr="00D4309F">
        <w:t>and</w:t>
      </w:r>
      <w:r w:rsidRPr="00D4309F">
        <w:rPr>
          <w:spacing w:val="-3"/>
        </w:rPr>
        <w:t xml:space="preserve"> </w:t>
      </w:r>
      <w:r w:rsidRPr="00D4309F">
        <w:t>safety,</w:t>
      </w:r>
      <w:r w:rsidRPr="00D4309F">
        <w:rPr>
          <w:spacing w:val="-3"/>
        </w:rPr>
        <w:t xml:space="preserve"> </w:t>
      </w:r>
      <w:r w:rsidRPr="00D4309F">
        <w:t>particularly</w:t>
      </w:r>
      <w:r w:rsidRPr="00D4309F">
        <w:rPr>
          <w:spacing w:val="-2"/>
        </w:rPr>
        <w:t xml:space="preserve"> </w:t>
      </w:r>
      <w:r w:rsidRPr="00D4309F">
        <w:t>where</w:t>
      </w:r>
      <w:r w:rsidRPr="00D4309F">
        <w:rPr>
          <w:spacing w:val="-3"/>
        </w:rPr>
        <w:t xml:space="preserve"> </w:t>
      </w:r>
      <w:r w:rsidRPr="00D4309F">
        <w:t>pipelines</w:t>
      </w:r>
      <w:r w:rsidRPr="00D4309F">
        <w:rPr>
          <w:spacing w:val="-2"/>
        </w:rPr>
        <w:t xml:space="preserve"> </w:t>
      </w:r>
      <w:r w:rsidRPr="00D4309F">
        <w:t>interface</w:t>
      </w:r>
      <w:r w:rsidRPr="00D4309F">
        <w:rPr>
          <w:spacing w:val="-4"/>
        </w:rPr>
        <w:t xml:space="preserve"> </w:t>
      </w:r>
      <w:r w:rsidRPr="00D4309F">
        <w:t>with Point Cartwright and the breakwater. This may include walkways, cover slabs, or crossings to maintain safe pedestrian movement over or around pipes and associated infrastructure, and careful integration to limit impacts on visual amenity.</w:t>
      </w:r>
    </w:p>
    <w:p w14:paraId="6113F4C2" w14:textId="77777777" w:rsidR="00725977" w:rsidRPr="00D4309F" w:rsidRDefault="00725977" w:rsidP="00725977">
      <w:pPr>
        <w:pStyle w:val="BodyText"/>
      </w:pPr>
      <w:r w:rsidRPr="00D4309F">
        <w:t>From</w:t>
      </w:r>
      <w:r w:rsidRPr="00D4309F">
        <w:rPr>
          <w:spacing w:val="-3"/>
        </w:rPr>
        <w:t xml:space="preserve"> </w:t>
      </w:r>
      <w:r w:rsidRPr="00D4309F">
        <w:t>an</w:t>
      </w:r>
      <w:r w:rsidRPr="00D4309F">
        <w:rPr>
          <w:spacing w:val="-3"/>
        </w:rPr>
        <w:t xml:space="preserve"> </w:t>
      </w:r>
      <w:r w:rsidRPr="00D4309F">
        <w:t>approval’s</w:t>
      </w:r>
      <w:r w:rsidRPr="00D4309F">
        <w:rPr>
          <w:spacing w:val="-2"/>
        </w:rPr>
        <w:t xml:space="preserve"> </w:t>
      </w:r>
      <w:r w:rsidRPr="00D4309F">
        <w:t>perspective,</w:t>
      </w:r>
      <w:r w:rsidRPr="00D4309F">
        <w:rPr>
          <w:spacing w:val="-3"/>
        </w:rPr>
        <w:t xml:space="preserve"> </w:t>
      </w:r>
      <w:r w:rsidRPr="00D4309F">
        <w:t>Option</w:t>
      </w:r>
      <w:r w:rsidRPr="00D4309F">
        <w:rPr>
          <w:spacing w:val="-3"/>
        </w:rPr>
        <w:t xml:space="preserve"> </w:t>
      </w:r>
      <w:r w:rsidRPr="00D4309F">
        <w:t>2C</w:t>
      </w:r>
      <w:r w:rsidRPr="00D4309F">
        <w:rPr>
          <w:spacing w:val="-2"/>
        </w:rPr>
        <w:t xml:space="preserve"> </w:t>
      </w:r>
      <w:r w:rsidRPr="00D4309F">
        <w:t>would</w:t>
      </w:r>
      <w:r w:rsidRPr="00D4309F">
        <w:rPr>
          <w:spacing w:val="-3"/>
        </w:rPr>
        <w:t xml:space="preserve"> </w:t>
      </w:r>
      <w:r w:rsidRPr="00D4309F">
        <w:t>require</w:t>
      </w:r>
      <w:r w:rsidRPr="00D4309F">
        <w:rPr>
          <w:spacing w:val="-3"/>
        </w:rPr>
        <w:t xml:space="preserve"> </w:t>
      </w:r>
      <w:r w:rsidRPr="00D4309F">
        <w:t>a</w:t>
      </w:r>
      <w:r w:rsidRPr="00D4309F">
        <w:rPr>
          <w:spacing w:val="-3"/>
        </w:rPr>
        <w:t xml:space="preserve"> </w:t>
      </w:r>
      <w:r w:rsidRPr="00D4309F">
        <w:t>suite</w:t>
      </w:r>
      <w:r w:rsidRPr="00D4309F">
        <w:rPr>
          <w:spacing w:val="-3"/>
        </w:rPr>
        <w:t xml:space="preserve"> </w:t>
      </w:r>
      <w:r w:rsidRPr="00D4309F">
        <w:t>of</w:t>
      </w:r>
      <w:r w:rsidRPr="00D4309F">
        <w:rPr>
          <w:spacing w:val="-3"/>
        </w:rPr>
        <w:t xml:space="preserve"> </w:t>
      </w:r>
      <w:r w:rsidRPr="00D4309F">
        <w:t>statutory</w:t>
      </w:r>
      <w:r w:rsidRPr="00D4309F">
        <w:rPr>
          <w:spacing w:val="-2"/>
        </w:rPr>
        <w:t xml:space="preserve"> </w:t>
      </w:r>
      <w:r w:rsidRPr="00D4309F">
        <w:t>approvals</w:t>
      </w:r>
      <w:r w:rsidRPr="00D4309F">
        <w:rPr>
          <w:spacing w:val="-2"/>
        </w:rPr>
        <w:t xml:space="preserve"> </w:t>
      </w:r>
      <w:r w:rsidRPr="00D4309F">
        <w:t>and</w:t>
      </w:r>
      <w:r w:rsidRPr="00D4309F">
        <w:rPr>
          <w:spacing w:val="-3"/>
        </w:rPr>
        <w:t xml:space="preserve"> </w:t>
      </w:r>
      <w:r w:rsidRPr="00D4309F">
        <w:t>tenure arrangements, likely including:</w:t>
      </w:r>
    </w:p>
    <w:p w14:paraId="55A1AF09" w14:textId="77777777" w:rsidR="00725977" w:rsidRPr="00D4309F" w:rsidRDefault="00725977" w:rsidP="00D27F26">
      <w:pPr>
        <w:pStyle w:val="ListParagraph"/>
        <w:widowControl w:val="0"/>
        <w:numPr>
          <w:ilvl w:val="0"/>
          <w:numId w:val="334"/>
        </w:numPr>
        <w:tabs>
          <w:tab w:val="left" w:pos="501"/>
        </w:tabs>
        <w:autoSpaceDE w:val="0"/>
        <w:autoSpaceDN w:val="0"/>
        <w:spacing w:before="130" w:after="0" w:line="240" w:lineRule="auto"/>
        <w:ind w:hanging="359"/>
        <w:contextualSpacing w:val="0"/>
      </w:pPr>
      <w:r w:rsidRPr="00D4309F">
        <w:rPr>
          <w:color w:val="211E1F"/>
        </w:rPr>
        <w:t>Coastal</w:t>
      </w:r>
      <w:r w:rsidRPr="00D4309F">
        <w:rPr>
          <w:color w:val="211E1F"/>
          <w:spacing w:val="-6"/>
        </w:rPr>
        <w:t xml:space="preserve"> </w:t>
      </w:r>
      <w:r w:rsidRPr="00D4309F">
        <w:rPr>
          <w:color w:val="211E1F"/>
        </w:rPr>
        <w:t>and</w:t>
      </w:r>
      <w:r w:rsidRPr="00D4309F">
        <w:rPr>
          <w:color w:val="211E1F"/>
          <w:spacing w:val="-4"/>
        </w:rPr>
        <w:t xml:space="preserve"> </w:t>
      </w:r>
      <w:r w:rsidRPr="00D4309F">
        <w:rPr>
          <w:color w:val="211E1F"/>
        </w:rPr>
        <w:t>tidal</w:t>
      </w:r>
      <w:r w:rsidRPr="00D4309F">
        <w:rPr>
          <w:color w:val="211E1F"/>
          <w:spacing w:val="-4"/>
        </w:rPr>
        <w:t xml:space="preserve"> </w:t>
      </w:r>
      <w:r w:rsidRPr="00D4309F">
        <w:rPr>
          <w:color w:val="211E1F"/>
        </w:rPr>
        <w:t>works</w:t>
      </w:r>
      <w:r w:rsidRPr="00D4309F">
        <w:rPr>
          <w:color w:val="211E1F"/>
          <w:spacing w:val="-3"/>
        </w:rPr>
        <w:t xml:space="preserve"> </w:t>
      </w:r>
      <w:r w:rsidRPr="00D4309F">
        <w:rPr>
          <w:color w:val="211E1F"/>
        </w:rPr>
        <w:t>approvals</w:t>
      </w:r>
      <w:r w:rsidRPr="00D4309F">
        <w:rPr>
          <w:color w:val="211E1F"/>
          <w:spacing w:val="-3"/>
        </w:rPr>
        <w:t xml:space="preserve"> </w:t>
      </w:r>
      <w:r w:rsidRPr="00D4309F">
        <w:rPr>
          <w:color w:val="211E1F"/>
        </w:rPr>
        <w:t>for</w:t>
      </w:r>
      <w:r w:rsidRPr="00D4309F">
        <w:rPr>
          <w:color w:val="211E1F"/>
          <w:spacing w:val="-3"/>
        </w:rPr>
        <w:t xml:space="preserve"> </w:t>
      </w:r>
      <w:r w:rsidRPr="00D4309F">
        <w:rPr>
          <w:color w:val="211E1F"/>
        </w:rPr>
        <w:t>the</w:t>
      </w:r>
      <w:r w:rsidRPr="00D4309F">
        <w:rPr>
          <w:color w:val="211E1F"/>
          <w:spacing w:val="-4"/>
        </w:rPr>
        <w:t xml:space="preserve"> </w:t>
      </w:r>
      <w:r w:rsidRPr="00D4309F">
        <w:rPr>
          <w:color w:val="211E1F"/>
        </w:rPr>
        <w:t>pump</w:t>
      </w:r>
      <w:r w:rsidRPr="00D4309F">
        <w:rPr>
          <w:color w:val="211E1F"/>
          <w:spacing w:val="-4"/>
        </w:rPr>
        <w:t xml:space="preserve"> </w:t>
      </w:r>
      <w:r w:rsidRPr="00D4309F">
        <w:rPr>
          <w:color w:val="211E1F"/>
        </w:rPr>
        <w:t>station,</w:t>
      </w:r>
      <w:r w:rsidRPr="00D4309F">
        <w:rPr>
          <w:color w:val="211E1F"/>
          <w:spacing w:val="-4"/>
        </w:rPr>
        <w:t xml:space="preserve"> </w:t>
      </w:r>
      <w:r w:rsidRPr="00D4309F">
        <w:rPr>
          <w:color w:val="211E1F"/>
        </w:rPr>
        <w:t>intakes,</w:t>
      </w:r>
      <w:r w:rsidRPr="00D4309F">
        <w:rPr>
          <w:color w:val="211E1F"/>
          <w:spacing w:val="-4"/>
        </w:rPr>
        <w:t xml:space="preserve"> </w:t>
      </w:r>
      <w:r w:rsidRPr="00D4309F">
        <w:rPr>
          <w:color w:val="211E1F"/>
        </w:rPr>
        <w:t>and</w:t>
      </w:r>
      <w:r w:rsidRPr="00D4309F">
        <w:rPr>
          <w:color w:val="211E1F"/>
          <w:spacing w:val="-3"/>
        </w:rPr>
        <w:t xml:space="preserve"> </w:t>
      </w:r>
      <w:r w:rsidRPr="00D4309F">
        <w:rPr>
          <w:color w:val="211E1F"/>
          <w:spacing w:val="-2"/>
        </w:rPr>
        <w:t>pipelines.</w:t>
      </w:r>
    </w:p>
    <w:p w14:paraId="36C4D013" w14:textId="77777777" w:rsidR="00725977" w:rsidRPr="00D4309F" w:rsidRDefault="00725977" w:rsidP="00D27F26">
      <w:pPr>
        <w:pStyle w:val="ListParagraph"/>
        <w:widowControl w:val="0"/>
        <w:numPr>
          <w:ilvl w:val="0"/>
          <w:numId w:val="334"/>
        </w:numPr>
        <w:tabs>
          <w:tab w:val="left" w:pos="501"/>
        </w:tabs>
        <w:autoSpaceDE w:val="0"/>
        <w:autoSpaceDN w:val="0"/>
        <w:spacing w:before="119" w:after="0" w:line="240" w:lineRule="auto"/>
        <w:ind w:right="1070"/>
        <w:contextualSpacing w:val="0"/>
      </w:pPr>
      <w:r w:rsidRPr="00D4309F">
        <w:rPr>
          <w:color w:val="211E1F"/>
        </w:rPr>
        <w:t>Environmental</w:t>
      </w:r>
      <w:r w:rsidRPr="00D4309F">
        <w:rPr>
          <w:color w:val="211E1F"/>
          <w:spacing w:val="-4"/>
        </w:rPr>
        <w:t xml:space="preserve"> </w:t>
      </w:r>
      <w:r w:rsidRPr="00D4309F">
        <w:rPr>
          <w:color w:val="211E1F"/>
        </w:rPr>
        <w:t>approvals</w:t>
      </w:r>
      <w:r w:rsidRPr="00D4309F">
        <w:rPr>
          <w:color w:val="211E1F"/>
          <w:spacing w:val="-4"/>
        </w:rPr>
        <w:t xml:space="preserve"> </w:t>
      </w:r>
      <w:r w:rsidRPr="00D4309F">
        <w:rPr>
          <w:color w:val="211E1F"/>
        </w:rPr>
        <w:t>relating</w:t>
      </w:r>
      <w:r w:rsidRPr="00D4309F">
        <w:rPr>
          <w:color w:val="211E1F"/>
          <w:spacing w:val="-4"/>
        </w:rPr>
        <w:t xml:space="preserve"> </w:t>
      </w:r>
      <w:r w:rsidRPr="00D4309F">
        <w:rPr>
          <w:color w:val="211E1F"/>
        </w:rPr>
        <w:t>to</w:t>
      </w:r>
      <w:r w:rsidRPr="00D4309F">
        <w:rPr>
          <w:color w:val="211E1F"/>
          <w:spacing w:val="-4"/>
        </w:rPr>
        <w:t xml:space="preserve"> </w:t>
      </w:r>
      <w:r w:rsidRPr="00D4309F">
        <w:rPr>
          <w:color w:val="211E1F"/>
        </w:rPr>
        <w:t>marine</w:t>
      </w:r>
      <w:r w:rsidRPr="00D4309F">
        <w:rPr>
          <w:color w:val="211E1F"/>
          <w:spacing w:val="-4"/>
        </w:rPr>
        <w:t xml:space="preserve"> </w:t>
      </w:r>
      <w:r w:rsidRPr="00D4309F">
        <w:rPr>
          <w:color w:val="211E1F"/>
        </w:rPr>
        <w:t>disturbance,</w:t>
      </w:r>
      <w:r w:rsidRPr="00D4309F">
        <w:rPr>
          <w:color w:val="211E1F"/>
          <w:spacing w:val="-4"/>
        </w:rPr>
        <w:t xml:space="preserve"> </w:t>
      </w:r>
      <w:r w:rsidRPr="00D4309F">
        <w:rPr>
          <w:color w:val="211E1F"/>
        </w:rPr>
        <w:t>noise,</w:t>
      </w:r>
      <w:r w:rsidRPr="00D4309F">
        <w:rPr>
          <w:color w:val="211E1F"/>
          <w:spacing w:val="-4"/>
        </w:rPr>
        <w:t xml:space="preserve"> </w:t>
      </w:r>
      <w:r w:rsidRPr="00D4309F">
        <w:rPr>
          <w:color w:val="211E1F"/>
        </w:rPr>
        <w:t>water</w:t>
      </w:r>
      <w:r w:rsidRPr="00D4309F">
        <w:rPr>
          <w:color w:val="211E1F"/>
          <w:spacing w:val="-3"/>
        </w:rPr>
        <w:t xml:space="preserve"> </w:t>
      </w:r>
      <w:r w:rsidRPr="00D4309F">
        <w:rPr>
          <w:color w:val="211E1F"/>
        </w:rPr>
        <w:t>quality,</w:t>
      </w:r>
      <w:r w:rsidRPr="00D4309F">
        <w:rPr>
          <w:color w:val="211E1F"/>
          <w:spacing w:val="-4"/>
        </w:rPr>
        <w:t xml:space="preserve"> </w:t>
      </w:r>
      <w:r w:rsidRPr="00D4309F">
        <w:rPr>
          <w:color w:val="211E1F"/>
        </w:rPr>
        <w:t>and</w:t>
      </w:r>
      <w:r w:rsidRPr="00D4309F">
        <w:rPr>
          <w:color w:val="211E1F"/>
          <w:spacing w:val="-4"/>
        </w:rPr>
        <w:t xml:space="preserve"> </w:t>
      </w:r>
      <w:r w:rsidRPr="00D4309F">
        <w:rPr>
          <w:color w:val="211E1F"/>
        </w:rPr>
        <w:t xml:space="preserve">operational </w:t>
      </w:r>
      <w:r w:rsidRPr="00D4309F">
        <w:rPr>
          <w:color w:val="211E1F"/>
          <w:spacing w:val="-2"/>
        </w:rPr>
        <w:t>discharges.</w:t>
      </w:r>
    </w:p>
    <w:p w14:paraId="376F40A5" w14:textId="77777777" w:rsidR="00725977" w:rsidRPr="00D4309F" w:rsidRDefault="00725977" w:rsidP="00D27F26">
      <w:pPr>
        <w:pStyle w:val="ListParagraph"/>
        <w:widowControl w:val="0"/>
        <w:numPr>
          <w:ilvl w:val="0"/>
          <w:numId w:val="334"/>
        </w:numPr>
        <w:tabs>
          <w:tab w:val="left" w:pos="501"/>
        </w:tabs>
        <w:autoSpaceDE w:val="0"/>
        <w:autoSpaceDN w:val="0"/>
        <w:spacing w:before="118" w:after="0" w:line="240" w:lineRule="auto"/>
        <w:ind w:right="525"/>
        <w:contextualSpacing w:val="0"/>
      </w:pPr>
      <w:r w:rsidRPr="00D4309F">
        <w:rPr>
          <w:color w:val="211E1F"/>
        </w:rPr>
        <w:t>Land</w:t>
      </w:r>
      <w:r w:rsidRPr="00D4309F">
        <w:rPr>
          <w:color w:val="211E1F"/>
          <w:spacing w:val="-3"/>
        </w:rPr>
        <w:t xml:space="preserve"> </w:t>
      </w:r>
      <w:r w:rsidRPr="00D4309F">
        <w:rPr>
          <w:color w:val="211E1F"/>
        </w:rPr>
        <w:t>tenure</w:t>
      </w:r>
      <w:r w:rsidRPr="00D4309F">
        <w:rPr>
          <w:color w:val="211E1F"/>
          <w:spacing w:val="-4"/>
        </w:rPr>
        <w:t xml:space="preserve"> </w:t>
      </w:r>
      <w:r w:rsidRPr="00D4309F">
        <w:rPr>
          <w:color w:val="211E1F"/>
        </w:rPr>
        <w:t>and</w:t>
      </w:r>
      <w:r w:rsidRPr="00D4309F">
        <w:rPr>
          <w:color w:val="211E1F"/>
          <w:spacing w:val="-3"/>
        </w:rPr>
        <w:t xml:space="preserve"> </w:t>
      </w:r>
      <w:r w:rsidRPr="00D4309F">
        <w:rPr>
          <w:color w:val="211E1F"/>
        </w:rPr>
        <w:t>access</w:t>
      </w:r>
      <w:r w:rsidRPr="00D4309F">
        <w:rPr>
          <w:color w:val="211E1F"/>
          <w:spacing w:val="-2"/>
        </w:rPr>
        <w:t xml:space="preserve"> </w:t>
      </w:r>
      <w:r w:rsidRPr="00D4309F">
        <w:rPr>
          <w:color w:val="211E1F"/>
        </w:rPr>
        <w:t>agreements</w:t>
      </w:r>
      <w:r w:rsidRPr="00D4309F">
        <w:rPr>
          <w:color w:val="211E1F"/>
          <w:spacing w:val="-2"/>
        </w:rPr>
        <w:t xml:space="preserve"> </w:t>
      </w:r>
      <w:r w:rsidRPr="00D4309F">
        <w:rPr>
          <w:color w:val="211E1F"/>
        </w:rPr>
        <w:t>for</w:t>
      </w:r>
      <w:r w:rsidRPr="00D4309F">
        <w:rPr>
          <w:color w:val="211E1F"/>
          <w:spacing w:val="-2"/>
        </w:rPr>
        <w:t xml:space="preserve"> </w:t>
      </w:r>
      <w:r w:rsidRPr="00D4309F">
        <w:rPr>
          <w:color w:val="211E1F"/>
        </w:rPr>
        <w:t>infrastructure</w:t>
      </w:r>
      <w:r w:rsidRPr="00D4309F">
        <w:rPr>
          <w:color w:val="211E1F"/>
          <w:spacing w:val="-3"/>
        </w:rPr>
        <w:t xml:space="preserve"> </w:t>
      </w:r>
      <w:r w:rsidRPr="00D4309F">
        <w:rPr>
          <w:color w:val="211E1F"/>
        </w:rPr>
        <w:t>within</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Point</w:t>
      </w:r>
      <w:r w:rsidRPr="00D4309F">
        <w:rPr>
          <w:color w:val="211E1F"/>
          <w:spacing w:val="-3"/>
        </w:rPr>
        <w:t xml:space="preserve"> </w:t>
      </w:r>
      <w:r w:rsidRPr="00D4309F">
        <w:rPr>
          <w:color w:val="211E1F"/>
        </w:rPr>
        <w:t>Cartwright</w:t>
      </w:r>
      <w:r w:rsidRPr="00D4309F">
        <w:rPr>
          <w:color w:val="211E1F"/>
          <w:spacing w:val="-3"/>
        </w:rPr>
        <w:t xml:space="preserve"> </w:t>
      </w:r>
      <w:r w:rsidRPr="00D4309F">
        <w:rPr>
          <w:color w:val="211E1F"/>
        </w:rPr>
        <w:t>reserve</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 xml:space="preserve">dune </w:t>
      </w:r>
      <w:r w:rsidRPr="00D4309F">
        <w:rPr>
          <w:color w:val="211E1F"/>
          <w:spacing w:val="-2"/>
        </w:rPr>
        <w:t>areas.</w:t>
      </w:r>
    </w:p>
    <w:p w14:paraId="2980A1A2" w14:textId="00083FE0" w:rsidR="00E2682F" w:rsidRPr="00D4309F" w:rsidRDefault="00725977" w:rsidP="00725977">
      <w:pPr>
        <w:pStyle w:val="BodyText"/>
      </w:pPr>
      <w:r w:rsidRPr="00D4309F">
        <w:t>Hydrodynamic</w:t>
      </w:r>
      <w:r w:rsidRPr="00D4309F">
        <w:rPr>
          <w:spacing w:val="-2"/>
        </w:rPr>
        <w:t xml:space="preserve"> </w:t>
      </w:r>
      <w:r w:rsidRPr="00D4309F">
        <w:t>and</w:t>
      </w:r>
      <w:r w:rsidRPr="00D4309F">
        <w:rPr>
          <w:spacing w:val="-3"/>
        </w:rPr>
        <w:t xml:space="preserve"> </w:t>
      </w:r>
      <w:r w:rsidRPr="00D4309F">
        <w:t>numerical</w:t>
      </w:r>
      <w:r w:rsidRPr="00D4309F">
        <w:rPr>
          <w:spacing w:val="-3"/>
        </w:rPr>
        <w:t xml:space="preserve"> </w:t>
      </w:r>
      <w:r w:rsidRPr="00D4309F">
        <w:t>modelling,</w:t>
      </w:r>
      <w:r w:rsidRPr="00D4309F">
        <w:rPr>
          <w:spacing w:val="-5"/>
        </w:rPr>
        <w:t xml:space="preserve"> </w:t>
      </w:r>
      <w:r w:rsidRPr="00D4309F">
        <w:t>coupled</w:t>
      </w:r>
      <w:r w:rsidRPr="00D4309F">
        <w:rPr>
          <w:spacing w:val="-3"/>
        </w:rPr>
        <w:t xml:space="preserve"> </w:t>
      </w:r>
      <w:r w:rsidRPr="00D4309F">
        <w:t>with</w:t>
      </w:r>
      <w:r w:rsidRPr="00D4309F">
        <w:rPr>
          <w:spacing w:val="-4"/>
        </w:rPr>
        <w:t xml:space="preserve"> </w:t>
      </w:r>
      <w:r w:rsidRPr="00D4309F">
        <w:t>geotechnical</w:t>
      </w:r>
      <w:r w:rsidRPr="00D4309F">
        <w:rPr>
          <w:spacing w:val="-4"/>
        </w:rPr>
        <w:t xml:space="preserve"> </w:t>
      </w:r>
      <w:r w:rsidRPr="00D4309F">
        <w:t>and</w:t>
      </w:r>
      <w:r w:rsidRPr="00D4309F">
        <w:rPr>
          <w:spacing w:val="-3"/>
        </w:rPr>
        <w:t xml:space="preserve"> </w:t>
      </w:r>
      <w:r w:rsidRPr="00D4309F">
        <w:t>structural</w:t>
      </w:r>
      <w:r w:rsidRPr="00D4309F">
        <w:rPr>
          <w:spacing w:val="-4"/>
        </w:rPr>
        <w:t xml:space="preserve"> </w:t>
      </w:r>
      <w:r w:rsidRPr="00D4309F">
        <w:t>assessments,</w:t>
      </w:r>
      <w:r w:rsidRPr="00D4309F">
        <w:rPr>
          <w:spacing w:val="-3"/>
        </w:rPr>
        <w:t xml:space="preserve"> </w:t>
      </w:r>
      <w:r w:rsidRPr="00D4309F">
        <w:t>will</w:t>
      </w:r>
      <w:r w:rsidRPr="00D4309F">
        <w:rPr>
          <w:spacing w:val="-3"/>
        </w:rPr>
        <w:t xml:space="preserve"> </w:t>
      </w:r>
      <w:r w:rsidRPr="00D4309F">
        <w:t>be essential inputs to the approvals process to demonstrate that the system operates safely, reliably, and without unacceptable impacts on coastal processes, navigation, or public use.</w:t>
      </w:r>
    </w:p>
    <w:p w14:paraId="65BF33A2" w14:textId="77777777" w:rsidR="00725977" w:rsidRPr="00D4309F" w:rsidRDefault="00725977" w:rsidP="008228CB">
      <w:pPr>
        <w:pStyle w:val="Heading3"/>
      </w:pPr>
      <w:bookmarkStart w:id="358" w:name="_Toc216699430"/>
      <w:r w:rsidRPr="00D4309F">
        <w:t>Capital</w:t>
      </w:r>
      <w:r w:rsidRPr="00D4309F">
        <w:rPr>
          <w:spacing w:val="-4"/>
        </w:rPr>
        <w:t xml:space="preserve"> </w:t>
      </w:r>
      <w:r w:rsidRPr="00D4309F">
        <w:rPr>
          <w:spacing w:val="-2"/>
        </w:rPr>
        <w:t>works</w:t>
      </w:r>
      <w:bookmarkEnd w:id="358"/>
    </w:p>
    <w:p w14:paraId="732CAF7B" w14:textId="77777777" w:rsidR="00725977" w:rsidRPr="00D4309F" w:rsidRDefault="00725977" w:rsidP="00725977">
      <w:pPr>
        <w:pStyle w:val="BodyText"/>
      </w:pPr>
      <w:r w:rsidRPr="00D4309F">
        <w:t>As</w:t>
      </w:r>
      <w:r w:rsidRPr="00D4309F">
        <w:rPr>
          <w:spacing w:val="-2"/>
        </w:rPr>
        <w:t xml:space="preserve"> </w:t>
      </w:r>
      <w:r w:rsidRPr="00D4309F">
        <w:t>per</w:t>
      </w:r>
      <w:r w:rsidRPr="00D4309F">
        <w:rPr>
          <w:spacing w:val="-2"/>
        </w:rPr>
        <w:t xml:space="preserve"> </w:t>
      </w:r>
      <w:r w:rsidRPr="00D4309F">
        <w:t>2A</w:t>
      </w:r>
      <w:r w:rsidRPr="00D4309F">
        <w:rPr>
          <w:spacing w:val="-3"/>
        </w:rPr>
        <w:t xml:space="preserve"> </w:t>
      </w:r>
      <w:r w:rsidRPr="00D4309F">
        <w:t>for</w:t>
      </w:r>
      <w:r w:rsidRPr="00D4309F">
        <w:rPr>
          <w:spacing w:val="-4"/>
        </w:rPr>
        <w:t xml:space="preserve"> </w:t>
      </w:r>
      <w:r w:rsidRPr="00D4309F">
        <w:t>the</w:t>
      </w:r>
      <w:r w:rsidRPr="00D4309F">
        <w:rPr>
          <w:spacing w:val="-3"/>
        </w:rPr>
        <w:t xml:space="preserve"> </w:t>
      </w:r>
      <w:r w:rsidRPr="00D4309F">
        <w:t>channel</w:t>
      </w:r>
      <w:r w:rsidRPr="00D4309F">
        <w:rPr>
          <w:spacing w:val="-3"/>
        </w:rPr>
        <w:t xml:space="preserve"> </w:t>
      </w:r>
      <w:r w:rsidRPr="00D4309F">
        <w:t>excavation</w:t>
      </w:r>
      <w:r w:rsidRPr="00D4309F">
        <w:rPr>
          <w:spacing w:val="-3"/>
        </w:rPr>
        <w:t xml:space="preserve"> </w:t>
      </w:r>
      <w:r w:rsidRPr="00D4309F">
        <w:t>with</w:t>
      </w:r>
      <w:r w:rsidRPr="00D4309F">
        <w:rPr>
          <w:spacing w:val="-3"/>
        </w:rPr>
        <w:t xml:space="preserve"> </w:t>
      </w:r>
      <w:r w:rsidRPr="00D4309F">
        <w:t>additional</w:t>
      </w:r>
      <w:r w:rsidRPr="00D4309F">
        <w:rPr>
          <w:spacing w:val="-3"/>
        </w:rPr>
        <w:t xml:space="preserve"> </w:t>
      </w:r>
      <w:r w:rsidRPr="00D4309F">
        <w:t>capital</w:t>
      </w:r>
      <w:r w:rsidRPr="00D4309F">
        <w:rPr>
          <w:spacing w:val="-3"/>
        </w:rPr>
        <w:t xml:space="preserve"> </w:t>
      </w:r>
      <w:r w:rsidRPr="00D4309F">
        <w:t>requirement</w:t>
      </w:r>
      <w:r w:rsidRPr="00D4309F">
        <w:rPr>
          <w:spacing w:val="-4"/>
        </w:rPr>
        <w:t xml:space="preserve"> </w:t>
      </w:r>
      <w:r w:rsidRPr="00D4309F">
        <w:t>for</w:t>
      </w:r>
      <w:r w:rsidRPr="00D4309F">
        <w:rPr>
          <w:spacing w:val="-2"/>
        </w:rPr>
        <w:t xml:space="preserve"> </w:t>
      </w:r>
      <w:r w:rsidRPr="00D4309F">
        <w:t>the</w:t>
      </w:r>
      <w:r w:rsidRPr="00D4309F">
        <w:rPr>
          <w:spacing w:val="-3"/>
        </w:rPr>
        <w:t xml:space="preserve"> </w:t>
      </w:r>
      <w:r w:rsidRPr="00D4309F">
        <w:t>installation</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semi-permanent slurry pump system and associated infrastructure.</w:t>
      </w:r>
    </w:p>
    <w:p w14:paraId="1454F587" w14:textId="77777777" w:rsidR="00725977" w:rsidRPr="00D4309F" w:rsidRDefault="00725977" w:rsidP="00725977">
      <w:pPr>
        <w:pStyle w:val="BodyText"/>
      </w:pPr>
      <w:r w:rsidRPr="00D4309F">
        <w:t>A</w:t>
      </w:r>
      <w:r w:rsidRPr="00D4309F">
        <w:rPr>
          <w:spacing w:val="-2"/>
        </w:rPr>
        <w:t xml:space="preserve"> </w:t>
      </w:r>
      <w:r w:rsidRPr="00D4309F">
        <w:t>key</w:t>
      </w:r>
      <w:r w:rsidRPr="00D4309F">
        <w:rPr>
          <w:spacing w:val="-1"/>
        </w:rPr>
        <w:t xml:space="preserve"> </w:t>
      </w:r>
      <w:r w:rsidRPr="00D4309F">
        <w:t>requirement</w:t>
      </w:r>
      <w:r w:rsidRPr="00D4309F">
        <w:rPr>
          <w:spacing w:val="-2"/>
        </w:rPr>
        <w:t xml:space="preserve"> </w:t>
      </w:r>
      <w:r w:rsidRPr="00D4309F">
        <w:t>is</w:t>
      </w:r>
      <w:r w:rsidRPr="00D4309F">
        <w:rPr>
          <w:spacing w:val="-1"/>
        </w:rPr>
        <w:t xml:space="preserve"> </w:t>
      </w:r>
      <w:r w:rsidRPr="00D4309F">
        <w:t>the</w:t>
      </w:r>
      <w:r w:rsidRPr="00D4309F">
        <w:rPr>
          <w:spacing w:val="-2"/>
        </w:rPr>
        <w:t xml:space="preserve"> </w:t>
      </w:r>
      <w:r w:rsidRPr="00D4309F">
        <w:t>excavation</w:t>
      </w:r>
      <w:r w:rsidRPr="00D4309F">
        <w:rPr>
          <w:spacing w:val="-2"/>
        </w:rPr>
        <w:t xml:space="preserve"> </w:t>
      </w:r>
      <w:r w:rsidRPr="00D4309F">
        <w:t>of</w:t>
      </w:r>
      <w:r w:rsidRPr="00D4309F">
        <w:rPr>
          <w:spacing w:val="-2"/>
        </w:rPr>
        <w:t xml:space="preserve"> </w:t>
      </w:r>
      <w:r w:rsidRPr="00D4309F">
        <w:t>a</w:t>
      </w:r>
      <w:r w:rsidRPr="00D4309F">
        <w:rPr>
          <w:spacing w:val="-2"/>
        </w:rPr>
        <w:t xml:space="preserve"> </w:t>
      </w:r>
      <w:r w:rsidRPr="00D4309F">
        <w:t>deeper</w:t>
      </w:r>
      <w:r w:rsidRPr="00D4309F">
        <w:rPr>
          <w:spacing w:val="-1"/>
        </w:rPr>
        <w:t xml:space="preserve"> </w:t>
      </w:r>
      <w:r w:rsidRPr="00D4309F">
        <w:t>zone</w:t>
      </w:r>
      <w:r w:rsidRPr="00D4309F">
        <w:rPr>
          <w:spacing w:val="-2"/>
        </w:rPr>
        <w:t xml:space="preserve"> </w:t>
      </w:r>
      <w:r w:rsidRPr="00D4309F">
        <w:t>within</w:t>
      </w:r>
      <w:r w:rsidRPr="00D4309F">
        <w:rPr>
          <w:spacing w:val="-2"/>
        </w:rPr>
        <w:t xml:space="preserve"> </w:t>
      </w:r>
      <w:r w:rsidRPr="00D4309F">
        <w:t>the</w:t>
      </w:r>
      <w:r w:rsidRPr="00D4309F">
        <w:rPr>
          <w:spacing w:val="-2"/>
        </w:rPr>
        <w:t xml:space="preserve"> </w:t>
      </w:r>
      <w:r w:rsidRPr="00D4309F">
        <w:t>trap</w:t>
      </w:r>
      <w:r w:rsidRPr="00D4309F">
        <w:rPr>
          <w:spacing w:val="-2"/>
        </w:rPr>
        <w:t xml:space="preserve"> </w:t>
      </w:r>
      <w:r w:rsidRPr="00D4309F">
        <w:t>area</w:t>
      </w:r>
      <w:r w:rsidRPr="00D4309F">
        <w:rPr>
          <w:spacing w:val="-2"/>
        </w:rPr>
        <w:t xml:space="preserve"> </w:t>
      </w:r>
      <w:r w:rsidRPr="00D4309F">
        <w:t>to</w:t>
      </w:r>
      <w:r w:rsidRPr="00D4309F">
        <w:rPr>
          <w:spacing w:val="-2"/>
        </w:rPr>
        <w:t xml:space="preserve"> </w:t>
      </w:r>
      <w:r w:rsidRPr="00D4309F">
        <w:t>ensure</w:t>
      </w:r>
      <w:r w:rsidRPr="00D4309F">
        <w:rPr>
          <w:spacing w:val="-2"/>
        </w:rPr>
        <w:t xml:space="preserve"> </w:t>
      </w:r>
      <w:r w:rsidRPr="00D4309F">
        <w:t>sufficient</w:t>
      </w:r>
      <w:r w:rsidRPr="00D4309F">
        <w:rPr>
          <w:spacing w:val="-2"/>
        </w:rPr>
        <w:t xml:space="preserve"> </w:t>
      </w:r>
      <w:r w:rsidRPr="00D4309F">
        <w:t>hydraulic</w:t>
      </w:r>
      <w:r w:rsidRPr="00D4309F">
        <w:rPr>
          <w:spacing w:val="-1"/>
        </w:rPr>
        <w:t xml:space="preserve"> </w:t>
      </w:r>
      <w:r w:rsidRPr="00D4309F">
        <w:t>head for effective pump operation and to create a conical depression to facilitate sand capture. This may involve cutting into the underlying rock seabed, adding complexity and cost to the works. Excavation and trenching would also be required to install suction lines and a pipeline connection to the discharge outlet on Mooloolaba</w:t>
      </w:r>
      <w:r w:rsidRPr="00D4309F">
        <w:rPr>
          <w:spacing w:val="-1"/>
        </w:rPr>
        <w:t xml:space="preserve"> </w:t>
      </w:r>
      <w:r w:rsidRPr="00D4309F">
        <w:t>Beach.</w:t>
      </w:r>
      <w:r w:rsidRPr="00D4309F">
        <w:rPr>
          <w:spacing w:val="-1"/>
        </w:rPr>
        <w:t xml:space="preserve"> </w:t>
      </w:r>
      <w:r w:rsidRPr="00D4309F">
        <w:t>These</w:t>
      </w:r>
      <w:r w:rsidRPr="00D4309F">
        <w:rPr>
          <w:spacing w:val="-1"/>
        </w:rPr>
        <w:t xml:space="preserve"> </w:t>
      </w:r>
      <w:r w:rsidRPr="00D4309F">
        <w:t>works are</w:t>
      </w:r>
      <w:r w:rsidRPr="00D4309F">
        <w:rPr>
          <w:spacing w:val="-1"/>
        </w:rPr>
        <w:t xml:space="preserve"> </w:t>
      </w:r>
      <w:r w:rsidRPr="00D4309F">
        <w:t>considered</w:t>
      </w:r>
      <w:r w:rsidRPr="00D4309F">
        <w:rPr>
          <w:spacing w:val="-1"/>
        </w:rPr>
        <w:t xml:space="preserve"> </w:t>
      </w:r>
      <w:r w:rsidRPr="00D4309F">
        <w:t>technically challenging</w:t>
      </w:r>
      <w:r w:rsidRPr="00D4309F">
        <w:rPr>
          <w:spacing w:val="-1"/>
        </w:rPr>
        <w:t xml:space="preserve"> </w:t>
      </w:r>
      <w:r w:rsidRPr="00D4309F">
        <w:t>due</w:t>
      </w:r>
      <w:r w:rsidRPr="00D4309F">
        <w:rPr>
          <w:spacing w:val="-1"/>
        </w:rPr>
        <w:t xml:space="preserve"> </w:t>
      </w:r>
      <w:r w:rsidRPr="00D4309F">
        <w:t>to</w:t>
      </w:r>
      <w:r w:rsidRPr="00D4309F">
        <w:rPr>
          <w:spacing w:val="-1"/>
        </w:rPr>
        <w:t xml:space="preserve"> </w:t>
      </w:r>
      <w:r w:rsidRPr="00D4309F">
        <w:t>the</w:t>
      </w:r>
      <w:r w:rsidRPr="00D4309F">
        <w:rPr>
          <w:spacing w:val="-1"/>
        </w:rPr>
        <w:t xml:space="preserve"> </w:t>
      </w:r>
      <w:r w:rsidRPr="00D4309F">
        <w:t>presence</w:t>
      </w:r>
      <w:r w:rsidRPr="00D4309F">
        <w:rPr>
          <w:spacing w:val="-1"/>
        </w:rPr>
        <w:t xml:space="preserve"> </w:t>
      </w:r>
      <w:r w:rsidRPr="00D4309F">
        <w:t>of</w:t>
      </w:r>
      <w:r w:rsidRPr="00D4309F">
        <w:rPr>
          <w:spacing w:val="-1"/>
        </w:rPr>
        <w:t xml:space="preserve"> </w:t>
      </w:r>
      <w:r w:rsidRPr="00D4309F">
        <w:t>shallow rock strata and the need for precision trenching in the marine environment.</w:t>
      </w:r>
    </w:p>
    <w:p w14:paraId="1A5BE8A1" w14:textId="77777777" w:rsidR="00725977" w:rsidRPr="00D4309F" w:rsidRDefault="00725977" w:rsidP="00725977">
      <w:pPr>
        <w:pStyle w:val="BodyText"/>
      </w:pPr>
      <w:r w:rsidRPr="00D4309F">
        <w:t>Onshore, a small, fenced pump station compound (approximately 30m × 20m) would be established on the landward</w:t>
      </w:r>
      <w:r w:rsidRPr="00D4309F">
        <w:rPr>
          <w:spacing w:val="-3"/>
        </w:rPr>
        <w:t xml:space="preserve"> </w:t>
      </w:r>
      <w:r w:rsidRPr="00D4309F">
        <w:t>side</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eastern</w:t>
      </w:r>
      <w:r w:rsidRPr="00D4309F">
        <w:rPr>
          <w:spacing w:val="-3"/>
        </w:rPr>
        <w:t xml:space="preserve"> </w:t>
      </w:r>
      <w:r w:rsidRPr="00D4309F">
        <w:t>breakwater,</w:t>
      </w:r>
      <w:r w:rsidRPr="00D4309F">
        <w:rPr>
          <w:spacing w:val="-3"/>
        </w:rPr>
        <w:t xml:space="preserve"> </w:t>
      </w:r>
      <w:r w:rsidRPr="00D4309F">
        <w:t>requiring</w:t>
      </w:r>
      <w:r w:rsidRPr="00D4309F">
        <w:rPr>
          <w:spacing w:val="-3"/>
        </w:rPr>
        <w:t xml:space="preserve"> </w:t>
      </w:r>
      <w:r w:rsidRPr="00D4309F">
        <w:t>minor</w:t>
      </w:r>
      <w:r w:rsidRPr="00D4309F">
        <w:rPr>
          <w:spacing w:val="-2"/>
        </w:rPr>
        <w:t xml:space="preserve"> </w:t>
      </w:r>
      <w:r w:rsidRPr="00D4309F">
        <w:t>site</w:t>
      </w:r>
      <w:r w:rsidRPr="00D4309F">
        <w:rPr>
          <w:spacing w:val="-3"/>
        </w:rPr>
        <w:t xml:space="preserve"> </w:t>
      </w:r>
      <w:r w:rsidRPr="00D4309F">
        <w:t>preparation</w:t>
      </w:r>
      <w:r w:rsidRPr="00D4309F">
        <w:rPr>
          <w:spacing w:val="-3"/>
        </w:rPr>
        <w:t xml:space="preserve"> </w:t>
      </w:r>
      <w:r w:rsidRPr="00D4309F">
        <w:t>and</w:t>
      </w:r>
      <w:r w:rsidRPr="00D4309F">
        <w:rPr>
          <w:spacing w:val="-3"/>
        </w:rPr>
        <w:t xml:space="preserve"> </w:t>
      </w:r>
      <w:r w:rsidRPr="00D4309F">
        <w:t>levelling.</w:t>
      </w:r>
      <w:r w:rsidRPr="00D4309F">
        <w:rPr>
          <w:spacing w:val="-3"/>
        </w:rPr>
        <w:t xml:space="preserve"> </w:t>
      </w:r>
      <w:r w:rsidRPr="00D4309F">
        <w:t>The</w:t>
      </w:r>
      <w:r w:rsidRPr="00D4309F">
        <w:rPr>
          <w:spacing w:val="-3"/>
        </w:rPr>
        <w:t xml:space="preserve"> </w:t>
      </w:r>
      <w:r w:rsidRPr="00D4309F">
        <w:t>pump</w:t>
      </w:r>
      <w:r w:rsidRPr="00D4309F">
        <w:rPr>
          <w:spacing w:val="-3"/>
        </w:rPr>
        <w:t xml:space="preserve"> </w:t>
      </w:r>
      <w:r w:rsidRPr="00D4309F">
        <w:t>unit</w:t>
      </w:r>
      <w:r w:rsidRPr="00D4309F">
        <w:rPr>
          <w:spacing w:val="-3"/>
        </w:rPr>
        <w:t xml:space="preserve"> </w:t>
      </w:r>
      <w:r w:rsidRPr="00D4309F">
        <w:t>would be delivered via road or barge, subject to environmental and logistical constraints.</w:t>
      </w:r>
    </w:p>
    <w:p w14:paraId="52F81EE3" w14:textId="77777777" w:rsidR="00725977" w:rsidRPr="00D4309F" w:rsidRDefault="00725977" w:rsidP="00725977">
      <w:pPr>
        <w:pStyle w:val="BodyText"/>
      </w:pPr>
      <w:r w:rsidRPr="00D4309F">
        <w:t>A</w:t>
      </w:r>
      <w:r w:rsidRPr="00D4309F">
        <w:rPr>
          <w:spacing w:val="-2"/>
        </w:rPr>
        <w:t xml:space="preserve"> </w:t>
      </w:r>
      <w:r w:rsidRPr="00D4309F">
        <w:t>pipeline</w:t>
      </w:r>
      <w:r w:rsidRPr="00D4309F">
        <w:rPr>
          <w:spacing w:val="-2"/>
        </w:rPr>
        <w:t xml:space="preserve"> </w:t>
      </w:r>
      <w:r w:rsidRPr="00D4309F">
        <w:t>network</w:t>
      </w:r>
      <w:r w:rsidRPr="00D4309F">
        <w:rPr>
          <w:spacing w:val="-1"/>
        </w:rPr>
        <w:t xml:space="preserve"> </w:t>
      </w:r>
      <w:r w:rsidRPr="00D4309F">
        <w:t>would</w:t>
      </w:r>
      <w:r w:rsidRPr="00D4309F">
        <w:rPr>
          <w:spacing w:val="-2"/>
        </w:rPr>
        <w:t xml:space="preserve"> </w:t>
      </w:r>
      <w:r w:rsidRPr="00D4309F">
        <w:t>then</w:t>
      </w:r>
      <w:r w:rsidRPr="00D4309F">
        <w:rPr>
          <w:spacing w:val="-2"/>
        </w:rPr>
        <w:t xml:space="preserve"> </w:t>
      </w:r>
      <w:r w:rsidRPr="00D4309F">
        <w:t>be</w:t>
      </w:r>
      <w:r w:rsidRPr="00D4309F">
        <w:rPr>
          <w:spacing w:val="-2"/>
        </w:rPr>
        <w:t xml:space="preserve"> </w:t>
      </w:r>
      <w:r w:rsidRPr="00D4309F">
        <w:t>installed</w:t>
      </w:r>
      <w:r w:rsidRPr="00D4309F">
        <w:rPr>
          <w:spacing w:val="-2"/>
        </w:rPr>
        <w:t xml:space="preserve"> </w:t>
      </w:r>
      <w:r w:rsidRPr="00D4309F">
        <w:t>to</w:t>
      </w:r>
      <w:r w:rsidRPr="00D4309F">
        <w:rPr>
          <w:spacing w:val="-2"/>
        </w:rPr>
        <w:t xml:space="preserve"> </w:t>
      </w:r>
      <w:r w:rsidRPr="00D4309F">
        <w:t>connect</w:t>
      </w:r>
      <w:r w:rsidRPr="00D4309F">
        <w:rPr>
          <w:spacing w:val="-2"/>
        </w:rPr>
        <w:t xml:space="preserve"> </w:t>
      </w:r>
      <w:r w:rsidRPr="00D4309F">
        <w:t>the</w:t>
      </w:r>
      <w:r w:rsidRPr="00D4309F">
        <w:rPr>
          <w:spacing w:val="-2"/>
        </w:rPr>
        <w:t xml:space="preserve"> </w:t>
      </w:r>
      <w:r w:rsidRPr="00D4309F">
        <w:t>pump</w:t>
      </w:r>
      <w:r w:rsidRPr="00D4309F">
        <w:rPr>
          <w:spacing w:val="-3"/>
        </w:rPr>
        <w:t xml:space="preserve"> </w:t>
      </w:r>
      <w:r w:rsidRPr="00D4309F">
        <w:t>station</w:t>
      </w:r>
      <w:r w:rsidRPr="00D4309F">
        <w:rPr>
          <w:spacing w:val="-2"/>
        </w:rPr>
        <w:t xml:space="preserve"> </w:t>
      </w:r>
      <w:r w:rsidRPr="00D4309F">
        <w:t>to</w:t>
      </w:r>
      <w:r w:rsidRPr="00D4309F">
        <w:rPr>
          <w:spacing w:val="-2"/>
        </w:rPr>
        <w:t xml:space="preserve"> </w:t>
      </w:r>
      <w:r w:rsidRPr="00D4309F">
        <w:t>the</w:t>
      </w:r>
      <w:r w:rsidRPr="00D4309F">
        <w:rPr>
          <w:spacing w:val="-2"/>
        </w:rPr>
        <w:t xml:space="preserve"> </w:t>
      </w:r>
      <w:r w:rsidRPr="00D4309F">
        <w:t>water</w:t>
      </w:r>
      <w:r w:rsidRPr="00D4309F">
        <w:rPr>
          <w:spacing w:val="-1"/>
        </w:rPr>
        <w:t xml:space="preserve"> </w:t>
      </w:r>
      <w:r w:rsidRPr="00D4309F">
        <w:t>intake</w:t>
      </w:r>
      <w:r w:rsidRPr="00D4309F">
        <w:rPr>
          <w:spacing w:val="-2"/>
        </w:rPr>
        <w:t xml:space="preserve"> </w:t>
      </w:r>
      <w:r w:rsidRPr="00D4309F">
        <w:t>and</w:t>
      </w:r>
      <w:r w:rsidRPr="00D4309F">
        <w:rPr>
          <w:spacing w:val="-3"/>
        </w:rPr>
        <w:t xml:space="preserve"> </w:t>
      </w:r>
      <w:r w:rsidRPr="00D4309F">
        <w:t>sand</w:t>
      </w:r>
      <w:r w:rsidRPr="00D4309F">
        <w:rPr>
          <w:spacing w:val="-2"/>
        </w:rPr>
        <w:t xml:space="preserve"> </w:t>
      </w:r>
      <w:r w:rsidRPr="00D4309F">
        <w:t>suction lines within the excavated trap, and to the existing discharge pipeline to Mooloolaba Beach. Protective walkways, cover slabs, or low-profile crossings may be required where pipelines intersect public access routes or recreational areas along the breakwater.</w:t>
      </w:r>
    </w:p>
    <w:p w14:paraId="13C5BF5D" w14:textId="77777777" w:rsidR="00725977" w:rsidRPr="00D4309F" w:rsidRDefault="00725977" w:rsidP="00725977">
      <w:pPr>
        <w:pStyle w:val="BodyText"/>
      </w:pPr>
      <w:r w:rsidRPr="00D4309F">
        <w:t>While</w:t>
      </w:r>
      <w:r w:rsidRPr="00D4309F">
        <w:rPr>
          <w:spacing w:val="-4"/>
        </w:rPr>
        <w:t xml:space="preserve"> </w:t>
      </w:r>
      <w:r w:rsidRPr="00D4309F">
        <w:t>the</w:t>
      </w:r>
      <w:r w:rsidRPr="00D4309F">
        <w:rPr>
          <w:spacing w:val="-4"/>
        </w:rPr>
        <w:t xml:space="preserve"> </w:t>
      </w:r>
      <w:r w:rsidRPr="00D4309F">
        <w:t>above-ground</w:t>
      </w:r>
      <w:r w:rsidRPr="00D4309F">
        <w:rPr>
          <w:spacing w:val="-4"/>
        </w:rPr>
        <w:t xml:space="preserve"> </w:t>
      </w:r>
      <w:r w:rsidRPr="00D4309F">
        <w:t>infrastructure</w:t>
      </w:r>
      <w:r w:rsidRPr="00D4309F">
        <w:rPr>
          <w:spacing w:val="-4"/>
        </w:rPr>
        <w:t xml:space="preserve"> </w:t>
      </w:r>
      <w:r w:rsidRPr="00D4309F">
        <w:t>is</w:t>
      </w:r>
      <w:r w:rsidRPr="00D4309F">
        <w:rPr>
          <w:spacing w:val="-4"/>
        </w:rPr>
        <w:t xml:space="preserve"> </w:t>
      </w:r>
      <w:r w:rsidRPr="00D4309F">
        <w:t>relatively</w:t>
      </w:r>
      <w:r w:rsidRPr="00D4309F">
        <w:rPr>
          <w:spacing w:val="-3"/>
        </w:rPr>
        <w:t xml:space="preserve"> </w:t>
      </w:r>
      <w:r w:rsidRPr="00D4309F">
        <w:t>modest,</w:t>
      </w:r>
      <w:r w:rsidRPr="00D4309F">
        <w:rPr>
          <w:spacing w:val="-4"/>
        </w:rPr>
        <w:t xml:space="preserve"> </w:t>
      </w:r>
      <w:r w:rsidRPr="00D4309F">
        <w:t>the</w:t>
      </w:r>
      <w:r w:rsidRPr="00D4309F">
        <w:rPr>
          <w:spacing w:val="-4"/>
        </w:rPr>
        <w:t xml:space="preserve"> </w:t>
      </w:r>
      <w:r w:rsidRPr="00D4309F">
        <w:t>requirement</w:t>
      </w:r>
      <w:r w:rsidRPr="00D4309F">
        <w:rPr>
          <w:spacing w:val="-4"/>
        </w:rPr>
        <w:t xml:space="preserve"> </w:t>
      </w:r>
      <w:r w:rsidRPr="00D4309F">
        <w:t>for</w:t>
      </w:r>
      <w:r w:rsidRPr="00D4309F">
        <w:rPr>
          <w:spacing w:val="-3"/>
        </w:rPr>
        <w:t xml:space="preserve"> </w:t>
      </w:r>
      <w:r w:rsidRPr="00D4309F">
        <w:t>rock</w:t>
      </w:r>
      <w:r w:rsidRPr="00D4309F">
        <w:rPr>
          <w:spacing w:val="-3"/>
        </w:rPr>
        <w:t xml:space="preserve"> </w:t>
      </w:r>
      <w:r w:rsidRPr="00D4309F">
        <w:t>excavation,</w:t>
      </w:r>
      <w:r w:rsidRPr="00D4309F">
        <w:rPr>
          <w:spacing w:val="-4"/>
        </w:rPr>
        <w:t xml:space="preserve"> </w:t>
      </w:r>
      <w:r w:rsidRPr="00D4309F">
        <w:t>underwater trenching, and buried pipeline installation makes the capital works more significant than initially suggested.</w:t>
      </w:r>
    </w:p>
    <w:p w14:paraId="6C13F754" w14:textId="2DA961CD" w:rsidR="00725977" w:rsidRPr="00D4309F" w:rsidRDefault="00725977" w:rsidP="00725977">
      <w:pPr>
        <w:pStyle w:val="BodyText"/>
      </w:pPr>
      <w:r w:rsidRPr="00D4309F">
        <w:t>Given these constraints, the capital works associated with this option are considered significant, and the overall</w:t>
      </w:r>
      <w:r w:rsidRPr="00D4309F">
        <w:rPr>
          <w:spacing w:val="-3"/>
        </w:rPr>
        <w:t xml:space="preserve"> </w:t>
      </w:r>
      <w:r w:rsidRPr="00D4309F">
        <w:t>feasibility</w:t>
      </w:r>
      <w:r w:rsidRPr="00D4309F">
        <w:rPr>
          <w:spacing w:val="-2"/>
        </w:rPr>
        <w:t xml:space="preserve"> </w:t>
      </w:r>
      <w:r w:rsidRPr="00D4309F">
        <w:t>is</w:t>
      </w:r>
      <w:r w:rsidRPr="00D4309F">
        <w:rPr>
          <w:spacing w:val="-2"/>
        </w:rPr>
        <w:t xml:space="preserve"> </w:t>
      </w:r>
      <w:r w:rsidRPr="00D4309F">
        <w:t>likely</w:t>
      </w:r>
      <w:r w:rsidRPr="00D4309F">
        <w:rPr>
          <w:spacing w:val="-2"/>
        </w:rPr>
        <w:t xml:space="preserve"> </w:t>
      </w:r>
      <w:r w:rsidRPr="00D4309F">
        <w:t>to</w:t>
      </w:r>
      <w:r w:rsidRPr="00D4309F">
        <w:rPr>
          <w:spacing w:val="-3"/>
        </w:rPr>
        <w:t xml:space="preserve"> </w:t>
      </w:r>
      <w:r w:rsidRPr="00D4309F">
        <w:t>be</w:t>
      </w:r>
      <w:r w:rsidRPr="00D4309F">
        <w:rPr>
          <w:spacing w:val="-3"/>
        </w:rPr>
        <w:t xml:space="preserve"> </w:t>
      </w:r>
      <w:r w:rsidRPr="00D4309F">
        <w:t>lower</w:t>
      </w:r>
      <w:r w:rsidRPr="00D4309F">
        <w:rPr>
          <w:spacing w:val="-2"/>
        </w:rPr>
        <w:t xml:space="preserve"> </w:t>
      </w:r>
      <w:r w:rsidRPr="00D4309F">
        <w:t>than</w:t>
      </w:r>
      <w:r w:rsidRPr="00D4309F">
        <w:rPr>
          <w:spacing w:val="-4"/>
        </w:rPr>
        <w:t xml:space="preserve"> </w:t>
      </w:r>
      <w:r w:rsidRPr="00D4309F">
        <w:t>traditional</w:t>
      </w:r>
      <w:r w:rsidRPr="00D4309F">
        <w:rPr>
          <w:spacing w:val="-3"/>
        </w:rPr>
        <w:t xml:space="preserve"> </w:t>
      </w:r>
      <w:r w:rsidRPr="00D4309F">
        <w:t>methods</w:t>
      </w:r>
      <w:r w:rsidRPr="00D4309F">
        <w:rPr>
          <w:spacing w:val="-2"/>
        </w:rPr>
        <w:t xml:space="preserve"> </w:t>
      </w:r>
      <w:r w:rsidRPr="00D4309F">
        <w:t>such</w:t>
      </w:r>
      <w:r w:rsidRPr="00D4309F">
        <w:rPr>
          <w:spacing w:val="-4"/>
        </w:rPr>
        <w:t xml:space="preserve"> </w:t>
      </w:r>
      <w:r w:rsidRPr="00D4309F">
        <w:t>as</w:t>
      </w:r>
      <w:r w:rsidRPr="00D4309F">
        <w:rPr>
          <w:spacing w:val="-2"/>
        </w:rPr>
        <w:t xml:space="preserve"> </w:t>
      </w:r>
      <w:r w:rsidRPr="00D4309F">
        <w:t>Cutter</w:t>
      </w:r>
      <w:r w:rsidRPr="00D4309F">
        <w:rPr>
          <w:spacing w:val="-2"/>
        </w:rPr>
        <w:t xml:space="preserve"> </w:t>
      </w:r>
      <w:r w:rsidRPr="00D4309F">
        <w:t>Suction</w:t>
      </w:r>
      <w:r w:rsidRPr="00D4309F">
        <w:rPr>
          <w:spacing w:val="-3"/>
        </w:rPr>
        <w:t xml:space="preserve"> </w:t>
      </w:r>
      <w:r w:rsidRPr="00D4309F">
        <w:t>Dredging</w:t>
      </w:r>
      <w:r w:rsidRPr="00D4309F">
        <w:rPr>
          <w:spacing w:val="-4"/>
        </w:rPr>
        <w:t xml:space="preserve"> </w:t>
      </w:r>
      <w:r w:rsidRPr="00D4309F">
        <w:t>CSD</w:t>
      </w:r>
      <w:r w:rsidRPr="00D4309F">
        <w:rPr>
          <w:spacing w:val="-2"/>
        </w:rPr>
        <w:t xml:space="preserve"> </w:t>
      </w:r>
      <w:r w:rsidRPr="00D4309F">
        <w:t>o</w:t>
      </w:r>
      <w:r w:rsidRPr="00D4309F">
        <w:rPr>
          <w:spacing w:val="-3"/>
        </w:rPr>
        <w:t xml:space="preserve"> </w:t>
      </w:r>
      <w:r w:rsidRPr="00D4309F">
        <w:t>TSHD.</w:t>
      </w:r>
    </w:p>
    <w:p w14:paraId="550453BD" w14:textId="77777777" w:rsidR="00725977" w:rsidRPr="00D4309F" w:rsidRDefault="00725977" w:rsidP="008228CB">
      <w:pPr>
        <w:pStyle w:val="Heading3"/>
      </w:pPr>
      <w:bookmarkStart w:id="359" w:name="_Toc216699431"/>
      <w:r w:rsidRPr="00D4309F">
        <w:t>Operational</w:t>
      </w:r>
      <w:r w:rsidRPr="00D4309F">
        <w:rPr>
          <w:spacing w:val="-7"/>
        </w:rPr>
        <w:t xml:space="preserve"> </w:t>
      </w:r>
      <w:r w:rsidRPr="00D4309F">
        <w:rPr>
          <w:spacing w:val="-2"/>
        </w:rPr>
        <w:t>works</w:t>
      </w:r>
      <w:bookmarkEnd w:id="359"/>
    </w:p>
    <w:p w14:paraId="220D6E2D" w14:textId="77777777" w:rsidR="00725977" w:rsidRPr="00D4309F" w:rsidRDefault="00725977" w:rsidP="00725977">
      <w:pPr>
        <w:pStyle w:val="BodyText"/>
      </w:pPr>
      <w:r w:rsidRPr="00D4309F">
        <w:t>Under Option 2C, the sand slurry pump system would operate intermittently, transferring sand from the excavated trap to Mooloolaba Beach as needed. Routine hydrographic surveys would monitor sand build-up in</w:t>
      </w:r>
      <w:r w:rsidRPr="00D4309F">
        <w:rPr>
          <w:spacing w:val="-2"/>
        </w:rPr>
        <w:t xml:space="preserve"> </w:t>
      </w:r>
      <w:r w:rsidRPr="00D4309F">
        <w:t>the</w:t>
      </w:r>
      <w:r w:rsidRPr="00D4309F">
        <w:rPr>
          <w:spacing w:val="-2"/>
        </w:rPr>
        <w:t xml:space="preserve"> </w:t>
      </w:r>
      <w:r w:rsidRPr="00D4309F">
        <w:t>trap,</w:t>
      </w:r>
      <w:r w:rsidRPr="00D4309F">
        <w:rPr>
          <w:spacing w:val="-2"/>
        </w:rPr>
        <w:t xml:space="preserve"> </w:t>
      </w:r>
      <w:r w:rsidRPr="00D4309F">
        <w:t>with</w:t>
      </w:r>
      <w:r w:rsidRPr="00D4309F">
        <w:rPr>
          <w:spacing w:val="-2"/>
        </w:rPr>
        <w:t xml:space="preserve"> </w:t>
      </w:r>
      <w:r w:rsidRPr="00D4309F">
        <w:t>the</w:t>
      </w:r>
      <w:r w:rsidRPr="00D4309F">
        <w:rPr>
          <w:spacing w:val="-2"/>
        </w:rPr>
        <w:t xml:space="preserve"> </w:t>
      </w:r>
      <w:r w:rsidRPr="00D4309F">
        <w:t>system</w:t>
      </w:r>
      <w:r w:rsidRPr="00D4309F">
        <w:rPr>
          <w:spacing w:val="-3"/>
        </w:rPr>
        <w:t xml:space="preserve"> </w:t>
      </w:r>
      <w:r w:rsidRPr="00D4309F">
        <w:t>activated</w:t>
      </w:r>
      <w:r w:rsidRPr="00D4309F">
        <w:rPr>
          <w:spacing w:val="-2"/>
        </w:rPr>
        <w:t xml:space="preserve"> </w:t>
      </w:r>
      <w:r w:rsidRPr="00D4309F">
        <w:t>when</w:t>
      </w:r>
      <w:r w:rsidRPr="00D4309F">
        <w:rPr>
          <w:spacing w:val="-2"/>
        </w:rPr>
        <w:t xml:space="preserve"> </w:t>
      </w:r>
      <w:r w:rsidRPr="00D4309F">
        <w:t>levels</w:t>
      </w:r>
      <w:r w:rsidRPr="00D4309F">
        <w:rPr>
          <w:spacing w:val="-2"/>
        </w:rPr>
        <w:t xml:space="preserve"> </w:t>
      </w:r>
      <w:r w:rsidRPr="00D4309F">
        <w:t>approach</w:t>
      </w:r>
      <w:r w:rsidRPr="00D4309F">
        <w:rPr>
          <w:spacing w:val="-2"/>
        </w:rPr>
        <w:t xml:space="preserve"> </w:t>
      </w:r>
      <w:r w:rsidRPr="00D4309F">
        <w:t>the</w:t>
      </w:r>
      <w:r w:rsidRPr="00D4309F">
        <w:rPr>
          <w:spacing w:val="-2"/>
        </w:rPr>
        <w:t xml:space="preserve"> </w:t>
      </w:r>
      <w:r w:rsidRPr="00D4309F">
        <w:t>target</w:t>
      </w:r>
      <w:r w:rsidRPr="00D4309F">
        <w:rPr>
          <w:spacing w:val="-2"/>
        </w:rPr>
        <w:t xml:space="preserve"> </w:t>
      </w:r>
      <w:r w:rsidRPr="00D4309F">
        <w:t>threshold.</w:t>
      </w:r>
      <w:r w:rsidRPr="00D4309F">
        <w:rPr>
          <w:spacing w:val="-4"/>
        </w:rPr>
        <w:t xml:space="preserve"> </w:t>
      </w:r>
      <w:r w:rsidRPr="00D4309F">
        <w:t>The</w:t>
      </w:r>
      <w:r w:rsidRPr="00D4309F">
        <w:rPr>
          <w:spacing w:val="-2"/>
        </w:rPr>
        <w:t xml:space="preserve"> </w:t>
      </w:r>
      <w:r w:rsidRPr="00D4309F">
        <w:t>sand</w:t>
      </w:r>
      <w:r w:rsidRPr="00D4309F">
        <w:rPr>
          <w:spacing w:val="-2"/>
        </w:rPr>
        <w:t xml:space="preserve"> </w:t>
      </w:r>
      <w:r w:rsidRPr="00D4309F">
        <w:t>and</w:t>
      </w:r>
      <w:r w:rsidRPr="00D4309F">
        <w:rPr>
          <w:spacing w:val="-2"/>
        </w:rPr>
        <w:t xml:space="preserve"> </w:t>
      </w:r>
      <w:r w:rsidRPr="00D4309F">
        <w:t>water</w:t>
      </w:r>
      <w:r w:rsidRPr="00D4309F">
        <w:rPr>
          <w:spacing w:val="-1"/>
        </w:rPr>
        <w:t xml:space="preserve"> </w:t>
      </w:r>
      <w:r w:rsidRPr="00D4309F">
        <w:t>intakes, positioned at the base of the eastern breakwater, would be designed to withstand typical wave conditions</w:t>
      </w:r>
      <w:r w:rsidRPr="00D4309F">
        <w:rPr>
          <w:spacing w:val="40"/>
        </w:rPr>
        <w:t xml:space="preserve"> </w:t>
      </w:r>
      <w:r w:rsidRPr="00D4309F">
        <w:t>and allow pumping under a wider range of weather than dredging operations, providing greater control and reliability in managing shoaling.</w:t>
      </w:r>
    </w:p>
    <w:p w14:paraId="78487921" w14:textId="77777777" w:rsidR="00725977" w:rsidRPr="00D4309F" w:rsidRDefault="00725977" w:rsidP="00725977">
      <w:pPr>
        <w:pStyle w:val="BodyText"/>
      </w:pPr>
      <w:r w:rsidRPr="00D4309F">
        <w:lastRenderedPageBreak/>
        <w:t>While the intake pumps can draw sand from their immediate surroundings, they would not have the same reach</w:t>
      </w:r>
      <w:r w:rsidRPr="00D4309F">
        <w:rPr>
          <w:spacing w:val="-2"/>
        </w:rPr>
        <w:t xml:space="preserve"> </w:t>
      </w:r>
      <w:r w:rsidRPr="00D4309F">
        <w:t>or</w:t>
      </w:r>
      <w:r w:rsidRPr="00D4309F">
        <w:rPr>
          <w:spacing w:val="-1"/>
        </w:rPr>
        <w:t xml:space="preserve"> </w:t>
      </w:r>
      <w:r w:rsidRPr="00D4309F">
        <w:t>mobility</w:t>
      </w:r>
      <w:r w:rsidRPr="00D4309F">
        <w:rPr>
          <w:spacing w:val="-1"/>
        </w:rPr>
        <w:t xml:space="preserve"> </w:t>
      </w:r>
      <w:r w:rsidRPr="00D4309F">
        <w:t>as</w:t>
      </w:r>
      <w:r w:rsidRPr="00D4309F">
        <w:rPr>
          <w:spacing w:val="-1"/>
        </w:rPr>
        <w:t xml:space="preserve"> </w:t>
      </w:r>
      <w:r w:rsidRPr="00D4309F">
        <w:t>a</w:t>
      </w:r>
      <w:r w:rsidRPr="00D4309F">
        <w:rPr>
          <w:spacing w:val="-2"/>
        </w:rPr>
        <w:t xml:space="preserve"> </w:t>
      </w:r>
      <w:r w:rsidRPr="00D4309F">
        <w:t>dredge</w:t>
      </w:r>
      <w:r w:rsidRPr="00D4309F">
        <w:rPr>
          <w:spacing w:val="-2"/>
        </w:rPr>
        <w:t xml:space="preserve"> </w:t>
      </w:r>
      <w:r w:rsidRPr="00D4309F">
        <w:t>that</w:t>
      </w:r>
      <w:r w:rsidRPr="00D4309F">
        <w:rPr>
          <w:spacing w:val="-2"/>
        </w:rPr>
        <w:t xml:space="preserve"> </w:t>
      </w:r>
      <w:r w:rsidRPr="00D4309F">
        <w:t>moves</w:t>
      </w:r>
      <w:r w:rsidRPr="00D4309F">
        <w:rPr>
          <w:spacing w:val="-1"/>
        </w:rPr>
        <w:t xml:space="preserve"> </w:t>
      </w:r>
      <w:r w:rsidRPr="00D4309F">
        <w:t>around</w:t>
      </w:r>
      <w:r w:rsidRPr="00D4309F">
        <w:rPr>
          <w:spacing w:val="-2"/>
        </w:rPr>
        <w:t xml:space="preserve"> </w:t>
      </w:r>
      <w:r w:rsidRPr="00D4309F">
        <w:t>the</w:t>
      </w:r>
      <w:r w:rsidRPr="00D4309F">
        <w:rPr>
          <w:spacing w:val="-2"/>
        </w:rPr>
        <w:t xml:space="preserve"> </w:t>
      </w:r>
      <w:r w:rsidRPr="00D4309F">
        <w:t>trap.</w:t>
      </w:r>
      <w:r w:rsidRPr="00D4309F">
        <w:rPr>
          <w:spacing w:val="-2"/>
        </w:rPr>
        <w:t xml:space="preserve"> </w:t>
      </w:r>
      <w:r w:rsidRPr="00D4309F">
        <w:t>Therefore,</w:t>
      </w:r>
      <w:r w:rsidRPr="00D4309F">
        <w:rPr>
          <w:spacing w:val="-2"/>
        </w:rPr>
        <w:t xml:space="preserve"> </w:t>
      </w:r>
      <w:r w:rsidRPr="00D4309F">
        <w:t>an</w:t>
      </w:r>
      <w:r w:rsidRPr="00D4309F">
        <w:rPr>
          <w:spacing w:val="-2"/>
        </w:rPr>
        <w:t xml:space="preserve"> </w:t>
      </w:r>
      <w:r w:rsidRPr="00D4309F">
        <w:t>initial</w:t>
      </w:r>
      <w:r w:rsidRPr="00D4309F">
        <w:rPr>
          <w:spacing w:val="-2"/>
        </w:rPr>
        <w:t xml:space="preserve"> </w:t>
      </w:r>
      <w:r w:rsidRPr="00D4309F">
        <w:t>trial</w:t>
      </w:r>
      <w:r w:rsidRPr="00D4309F">
        <w:rPr>
          <w:spacing w:val="-2"/>
        </w:rPr>
        <w:t xml:space="preserve"> </w:t>
      </w:r>
      <w:r w:rsidRPr="00D4309F">
        <w:t>period</w:t>
      </w:r>
      <w:r w:rsidRPr="00D4309F">
        <w:rPr>
          <w:spacing w:val="-2"/>
        </w:rPr>
        <w:t xml:space="preserve"> </w:t>
      </w:r>
      <w:r w:rsidRPr="00D4309F">
        <w:t>would</w:t>
      </w:r>
      <w:r w:rsidRPr="00D4309F">
        <w:rPr>
          <w:spacing w:val="-2"/>
        </w:rPr>
        <w:t xml:space="preserve"> </w:t>
      </w:r>
      <w:r w:rsidRPr="00D4309F">
        <w:t>be</w:t>
      </w:r>
      <w:r w:rsidRPr="00D4309F">
        <w:rPr>
          <w:spacing w:val="-2"/>
        </w:rPr>
        <w:t xml:space="preserve"> </w:t>
      </w:r>
      <w:r w:rsidRPr="00D4309F">
        <w:t>required to determine the optimal number and layout of intake heads, balancing capture efficiency with cost. Once operational, ongoing monitoring would assess system performance, with adjustments made as needed to improve efficiency or address wear and tear.</w:t>
      </w:r>
    </w:p>
    <w:p w14:paraId="0F5BDD74" w14:textId="77777777" w:rsidR="00725977" w:rsidRPr="00D4309F" w:rsidRDefault="00725977" w:rsidP="00725977">
      <w:pPr>
        <w:pStyle w:val="BodyText"/>
      </w:pPr>
      <w:r w:rsidRPr="00D4309F">
        <w:t>Considerations</w:t>
      </w:r>
      <w:r w:rsidRPr="00D4309F">
        <w:rPr>
          <w:spacing w:val="-2"/>
        </w:rPr>
        <w:t xml:space="preserve"> </w:t>
      </w:r>
      <w:r w:rsidRPr="00D4309F">
        <w:t>of</w:t>
      </w:r>
      <w:r w:rsidRPr="00D4309F">
        <w:rPr>
          <w:spacing w:val="-3"/>
        </w:rPr>
        <w:t xml:space="preserve"> </w:t>
      </w:r>
      <w:r w:rsidRPr="00D4309F">
        <w:t>pump</w:t>
      </w:r>
      <w:r w:rsidRPr="00D4309F">
        <w:rPr>
          <w:spacing w:val="-3"/>
        </w:rPr>
        <w:t xml:space="preserve"> </w:t>
      </w:r>
      <w:r w:rsidRPr="00D4309F">
        <w:t>intake</w:t>
      </w:r>
      <w:r w:rsidRPr="00D4309F">
        <w:rPr>
          <w:spacing w:val="-3"/>
        </w:rPr>
        <w:t xml:space="preserve"> </w:t>
      </w:r>
      <w:r w:rsidRPr="00D4309F">
        <w:t>disturbance</w:t>
      </w:r>
      <w:r w:rsidRPr="00D4309F">
        <w:rPr>
          <w:spacing w:val="-3"/>
        </w:rPr>
        <w:t xml:space="preserve"> </w:t>
      </w:r>
      <w:r w:rsidRPr="00D4309F">
        <w:t>or</w:t>
      </w:r>
      <w:r w:rsidRPr="00D4309F">
        <w:rPr>
          <w:spacing w:val="-2"/>
        </w:rPr>
        <w:t xml:space="preserve"> </w:t>
      </w:r>
      <w:r w:rsidRPr="00D4309F">
        <w:t>blockages</w:t>
      </w:r>
      <w:r w:rsidRPr="00D4309F">
        <w:rPr>
          <w:spacing w:val="-2"/>
        </w:rPr>
        <w:t xml:space="preserve"> </w:t>
      </w:r>
      <w:r w:rsidRPr="00D4309F">
        <w:t>from</w:t>
      </w:r>
      <w:r w:rsidRPr="00D4309F">
        <w:rPr>
          <w:spacing w:val="-3"/>
        </w:rPr>
        <w:t xml:space="preserve"> </w:t>
      </w:r>
      <w:r w:rsidRPr="00D4309F">
        <w:t>debris</w:t>
      </w:r>
      <w:r w:rsidRPr="00D4309F">
        <w:rPr>
          <w:spacing w:val="-2"/>
        </w:rPr>
        <w:t xml:space="preserve"> </w:t>
      </w:r>
      <w:r w:rsidRPr="00D4309F">
        <w:t>is</w:t>
      </w:r>
      <w:r w:rsidRPr="00D4309F">
        <w:rPr>
          <w:spacing w:val="-2"/>
        </w:rPr>
        <w:t xml:space="preserve"> </w:t>
      </w:r>
      <w:r w:rsidRPr="00D4309F">
        <w:t>also</w:t>
      </w:r>
      <w:r w:rsidRPr="00D4309F">
        <w:rPr>
          <w:spacing w:val="-3"/>
        </w:rPr>
        <w:t xml:space="preserve"> </w:t>
      </w:r>
      <w:r w:rsidRPr="00D4309F">
        <w:t>needed</w:t>
      </w:r>
      <w:r w:rsidRPr="00D4309F">
        <w:rPr>
          <w:spacing w:val="-3"/>
        </w:rPr>
        <w:t xml:space="preserve"> </w:t>
      </w:r>
      <w:r w:rsidRPr="00D4309F">
        <w:t>for</w:t>
      </w:r>
      <w:r w:rsidRPr="00D4309F">
        <w:rPr>
          <w:spacing w:val="-4"/>
        </w:rPr>
        <w:t xml:space="preserve"> </w:t>
      </w:r>
      <w:r w:rsidRPr="00D4309F">
        <w:t>consideration</w:t>
      </w:r>
      <w:r w:rsidRPr="00D4309F">
        <w:rPr>
          <w:spacing w:val="-3"/>
        </w:rPr>
        <w:t xml:space="preserve"> </w:t>
      </w:r>
      <w:r w:rsidRPr="00D4309F">
        <w:t>as</w:t>
      </w:r>
      <w:r w:rsidRPr="00D4309F">
        <w:rPr>
          <w:spacing w:val="-2"/>
        </w:rPr>
        <w:t xml:space="preserve"> </w:t>
      </w:r>
      <w:r w:rsidRPr="00D4309F">
        <w:t>this may limit use and require more significant maintenance during time of high debris in the water (e.g. post storm events).</w:t>
      </w:r>
    </w:p>
    <w:p w14:paraId="524B655C" w14:textId="77777777" w:rsidR="00725977" w:rsidRPr="00D4309F" w:rsidRDefault="00725977" w:rsidP="00725977">
      <w:pPr>
        <w:pStyle w:val="BodyText"/>
      </w:pPr>
      <w:r w:rsidRPr="00D4309F">
        <w:t>Operationally,</w:t>
      </w:r>
      <w:r w:rsidRPr="00D4309F">
        <w:rPr>
          <w:spacing w:val="-3"/>
        </w:rPr>
        <w:t xml:space="preserve"> </w:t>
      </w:r>
      <w:r w:rsidRPr="00D4309F">
        <w:t>the</w:t>
      </w:r>
      <w:r w:rsidRPr="00D4309F">
        <w:rPr>
          <w:spacing w:val="-3"/>
        </w:rPr>
        <w:t xml:space="preserve"> </w:t>
      </w:r>
      <w:r w:rsidRPr="00D4309F">
        <w:t>system</w:t>
      </w:r>
      <w:r w:rsidRPr="00D4309F">
        <w:rPr>
          <w:spacing w:val="-3"/>
        </w:rPr>
        <w:t xml:space="preserve"> </w:t>
      </w:r>
      <w:r w:rsidRPr="00D4309F">
        <w:t>would</w:t>
      </w:r>
      <w:r w:rsidRPr="00D4309F">
        <w:rPr>
          <w:spacing w:val="-3"/>
        </w:rPr>
        <w:t xml:space="preserve"> </w:t>
      </w:r>
      <w:r w:rsidRPr="00D4309F">
        <w:t>involve</w:t>
      </w:r>
      <w:r w:rsidRPr="00D4309F">
        <w:rPr>
          <w:spacing w:val="-4"/>
        </w:rPr>
        <w:t xml:space="preserve"> </w:t>
      </w:r>
      <w:r w:rsidRPr="00D4309F">
        <w:t>short-term</w:t>
      </w:r>
      <w:r w:rsidRPr="00D4309F">
        <w:rPr>
          <w:spacing w:val="-3"/>
        </w:rPr>
        <w:t xml:space="preserve"> </w:t>
      </w:r>
      <w:r w:rsidRPr="00D4309F">
        <w:t>onshore</w:t>
      </w:r>
      <w:r w:rsidRPr="00D4309F">
        <w:rPr>
          <w:spacing w:val="-3"/>
        </w:rPr>
        <w:t xml:space="preserve"> </w:t>
      </w:r>
      <w:r w:rsidRPr="00D4309F">
        <w:t>activity</w:t>
      </w:r>
      <w:r w:rsidRPr="00D4309F">
        <w:rPr>
          <w:spacing w:val="-2"/>
        </w:rPr>
        <w:t xml:space="preserve"> </w:t>
      </w:r>
      <w:r w:rsidRPr="00D4309F">
        <w:t>during</w:t>
      </w:r>
      <w:r w:rsidRPr="00D4309F">
        <w:rPr>
          <w:spacing w:val="-3"/>
        </w:rPr>
        <w:t xml:space="preserve"> </w:t>
      </w:r>
      <w:r w:rsidRPr="00D4309F">
        <w:t>pumping,</w:t>
      </w:r>
      <w:r w:rsidRPr="00D4309F">
        <w:rPr>
          <w:spacing w:val="-3"/>
        </w:rPr>
        <w:t xml:space="preserve"> </w:t>
      </w:r>
      <w:r w:rsidRPr="00D4309F">
        <w:t>with</w:t>
      </w:r>
      <w:r w:rsidRPr="00D4309F">
        <w:rPr>
          <w:spacing w:val="-3"/>
        </w:rPr>
        <w:t xml:space="preserve"> </w:t>
      </w:r>
      <w:r w:rsidRPr="00D4309F">
        <w:t>noise</w:t>
      </w:r>
      <w:r w:rsidRPr="00D4309F">
        <w:rPr>
          <w:spacing w:val="-3"/>
        </w:rPr>
        <w:t xml:space="preserve"> </w:t>
      </w:r>
      <w:r w:rsidRPr="00D4309F">
        <w:t>and</w:t>
      </w:r>
      <w:r w:rsidRPr="00D4309F">
        <w:rPr>
          <w:spacing w:val="-3"/>
        </w:rPr>
        <w:t xml:space="preserve"> </w:t>
      </w:r>
      <w:r w:rsidRPr="00D4309F">
        <w:t>vibration from the pump unit (approximately 10 ft container size) managed through acoustic shielding and limited operating hours. Routine maintenance would include inspecting and servicing the pump, intake heads, and pipeline connections, particularly after storm events.</w:t>
      </w:r>
    </w:p>
    <w:p w14:paraId="317C596F" w14:textId="77777777" w:rsidR="00725977" w:rsidRPr="00D4309F" w:rsidRDefault="00725977" w:rsidP="00725977">
      <w:pPr>
        <w:pStyle w:val="BodyText"/>
        <w:sectPr w:rsidR="00725977" w:rsidRPr="00D4309F" w:rsidSect="00405D4F">
          <w:headerReference w:type="default" r:id="rId111"/>
          <w:footerReference w:type="default" r:id="rId112"/>
          <w:pgSz w:w="11910" w:h="16840"/>
          <w:pgMar w:top="1418" w:right="1134" w:bottom="1418" w:left="1134" w:header="916" w:footer="980" w:gutter="0"/>
          <w:cols w:space="720"/>
        </w:sectPr>
      </w:pPr>
    </w:p>
    <w:p w14:paraId="609FB6EF" w14:textId="77777777" w:rsidR="00725977" w:rsidRPr="00D4309F" w:rsidRDefault="00725977" w:rsidP="008228CB">
      <w:pPr>
        <w:pStyle w:val="Heading3"/>
      </w:pPr>
      <w:bookmarkStart w:id="360" w:name="_Toc216699432"/>
      <w:r w:rsidRPr="00D4309F">
        <w:lastRenderedPageBreak/>
        <w:t>Environmental</w:t>
      </w:r>
      <w:r w:rsidRPr="00D4309F">
        <w:rPr>
          <w:spacing w:val="-9"/>
        </w:rPr>
        <w:t xml:space="preserve"> </w:t>
      </w:r>
      <w:r w:rsidRPr="00D4309F">
        <w:rPr>
          <w:spacing w:val="-2"/>
        </w:rPr>
        <w:t>constraints</w:t>
      </w:r>
      <w:bookmarkEnd w:id="360"/>
    </w:p>
    <w:p w14:paraId="6A39D6E6" w14:textId="4628157A" w:rsidR="00725977" w:rsidRPr="00D4309F" w:rsidRDefault="00725977" w:rsidP="00725977">
      <w:pPr>
        <w:pStyle w:val="BodyText"/>
      </w:pPr>
      <w:r w:rsidRPr="00D4309F">
        <w:t>A</w:t>
      </w:r>
      <w:r w:rsidRPr="00D4309F">
        <w:rPr>
          <w:spacing w:val="-2"/>
        </w:rPr>
        <w:t xml:space="preserve"> </w:t>
      </w:r>
      <w:r w:rsidRPr="00D4309F">
        <w:t>preliminary</w:t>
      </w:r>
      <w:r w:rsidRPr="00D4309F">
        <w:rPr>
          <w:spacing w:val="-1"/>
        </w:rPr>
        <w:t xml:space="preserve"> </w:t>
      </w:r>
      <w:r w:rsidRPr="00D4309F">
        <w:t>assessment</w:t>
      </w:r>
      <w:r w:rsidRPr="00D4309F">
        <w:rPr>
          <w:spacing w:val="-2"/>
        </w:rPr>
        <w:t xml:space="preserve"> </w:t>
      </w:r>
      <w:r w:rsidRPr="00D4309F">
        <w:t>of</w:t>
      </w:r>
      <w:r w:rsidRPr="00D4309F">
        <w:rPr>
          <w:spacing w:val="-2"/>
        </w:rPr>
        <w:t xml:space="preserve"> </w:t>
      </w:r>
      <w:r w:rsidRPr="00D4309F">
        <w:t>environmental</w:t>
      </w:r>
      <w:r w:rsidRPr="00D4309F">
        <w:rPr>
          <w:spacing w:val="-2"/>
        </w:rPr>
        <w:t xml:space="preserve"> </w:t>
      </w:r>
      <w:r w:rsidRPr="00D4309F">
        <w:t>constraints</w:t>
      </w:r>
      <w:r w:rsidRPr="00D4309F">
        <w:rPr>
          <w:spacing w:val="-1"/>
        </w:rPr>
        <w:t xml:space="preserve"> </w:t>
      </w:r>
      <w:r w:rsidRPr="00D4309F">
        <w:t>for</w:t>
      </w:r>
      <w:r w:rsidRPr="00D4309F">
        <w:rPr>
          <w:spacing w:val="-2"/>
        </w:rPr>
        <w:t xml:space="preserve"> </w:t>
      </w:r>
      <w:r w:rsidRPr="00D4309F">
        <w:t>the</w:t>
      </w:r>
      <w:r w:rsidRPr="00D4309F">
        <w:rPr>
          <w:spacing w:val="-2"/>
        </w:rPr>
        <w:t xml:space="preserve"> </w:t>
      </w:r>
      <w:r w:rsidRPr="00D4309F">
        <w:t>excavated</w:t>
      </w:r>
      <w:r w:rsidRPr="00D4309F">
        <w:rPr>
          <w:spacing w:val="-2"/>
        </w:rPr>
        <w:t xml:space="preserve"> </w:t>
      </w:r>
      <w:r w:rsidRPr="00D4309F">
        <w:t>sand</w:t>
      </w:r>
      <w:r w:rsidRPr="00D4309F">
        <w:rPr>
          <w:spacing w:val="-2"/>
        </w:rPr>
        <w:t xml:space="preserve"> </w:t>
      </w:r>
      <w:r w:rsidRPr="00D4309F">
        <w:t>trap</w:t>
      </w:r>
      <w:r w:rsidRPr="00D4309F">
        <w:rPr>
          <w:spacing w:val="-2"/>
        </w:rPr>
        <w:t xml:space="preserve"> </w:t>
      </w:r>
      <w:r w:rsidRPr="00D4309F">
        <w:t>with</w:t>
      </w:r>
      <w:r w:rsidRPr="00D4309F">
        <w:rPr>
          <w:spacing w:val="-3"/>
        </w:rPr>
        <w:t xml:space="preserve"> </w:t>
      </w:r>
      <w:r w:rsidRPr="00D4309F">
        <w:t>semi-permanent</w:t>
      </w:r>
      <w:r w:rsidRPr="00D4309F">
        <w:rPr>
          <w:spacing w:val="-3"/>
        </w:rPr>
        <w:t xml:space="preserve"> </w:t>
      </w:r>
      <w:r w:rsidRPr="00D4309F">
        <w:t>pump</w:t>
      </w:r>
      <w:r w:rsidRPr="00D4309F">
        <w:rPr>
          <w:spacing w:val="-2"/>
        </w:rPr>
        <w:t xml:space="preserve"> </w:t>
      </w:r>
      <w:r w:rsidRPr="00D4309F">
        <w:t>system</w:t>
      </w:r>
      <w:r w:rsidRPr="00D4309F">
        <w:rPr>
          <w:spacing w:val="-2"/>
        </w:rPr>
        <w:t xml:space="preserve"> </w:t>
      </w:r>
      <w:r w:rsidRPr="00D4309F">
        <w:t>(Option</w:t>
      </w:r>
      <w:r w:rsidRPr="00D4309F">
        <w:rPr>
          <w:spacing w:val="-2"/>
        </w:rPr>
        <w:t xml:space="preserve"> </w:t>
      </w:r>
      <w:r w:rsidRPr="00D4309F">
        <w:t>2C),</w:t>
      </w:r>
      <w:r w:rsidRPr="00D4309F">
        <w:rPr>
          <w:spacing w:val="-2"/>
        </w:rPr>
        <w:t xml:space="preserve"> </w:t>
      </w:r>
      <w:r w:rsidRPr="00D4309F">
        <w:t>based</w:t>
      </w:r>
      <w:r w:rsidRPr="00D4309F">
        <w:rPr>
          <w:spacing w:val="-2"/>
        </w:rPr>
        <w:t xml:space="preserve"> </w:t>
      </w:r>
      <w:r w:rsidRPr="00D4309F">
        <w:t>on</w:t>
      </w:r>
      <w:r w:rsidRPr="00D4309F">
        <w:rPr>
          <w:spacing w:val="-2"/>
        </w:rPr>
        <w:t xml:space="preserve"> </w:t>
      </w:r>
      <w:r w:rsidRPr="00D4309F">
        <w:t>the</w:t>
      </w:r>
      <w:r w:rsidRPr="00D4309F">
        <w:rPr>
          <w:spacing w:val="-2"/>
        </w:rPr>
        <w:t xml:space="preserve"> </w:t>
      </w:r>
      <w:r w:rsidRPr="00D4309F">
        <w:t>constraints</w:t>
      </w:r>
      <w:r w:rsidRPr="00D4309F">
        <w:rPr>
          <w:spacing w:val="-1"/>
        </w:rPr>
        <w:t xml:space="preserve"> </w:t>
      </w:r>
      <w:r w:rsidRPr="00D4309F">
        <w:t>analysis</w:t>
      </w:r>
      <w:r w:rsidRPr="00D4309F">
        <w:rPr>
          <w:spacing w:val="-2"/>
        </w:rPr>
        <w:t xml:space="preserve"> </w:t>
      </w:r>
      <w:r w:rsidRPr="00D4309F">
        <w:t xml:space="preserve">criteria in </w:t>
      </w:r>
      <w:hyperlink w:anchor="_bookmark139" w:history="1">
        <w:r w:rsidR="009213C9">
          <w:fldChar w:fldCharType="begin" w:fldLock="1"/>
        </w:r>
        <w:r w:rsidR="009213C9">
          <w:instrText xml:space="preserve"> REF _Ref215979615 \h </w:instrText>
        </w:r>
        <w:r w:rsidR="009213C9">
          <w:fldChar w:fldCharType="separate"/>
        </w:r>
        <w:r w:rsidR="009213C9">
          <w:t xml:space="preserve">Table </w:t>
        </w:r>
        <w:r w:rsidR="009213C9">
          <w:rPr>
            <w:noProof/>
          </w:rPr>
          <w:t>14</w:t>
        </w:r>
        <w:r w:rsidR="009213C9">
          <w:noBreakHyphen/>
        </w:r>
        <w:r w:rsidR="009213C9">
          <w:rPr>
            <w:noProof/>
          </w:rPr>
          <w:t>5</w:t>
        </w:r>
        <w:r w:rsidR="009213C9">
          <w:fldChar w:fldCharType="end"/>
        </w:r>
        <w:r w:rsidRPr="00D4309F">
          <w:t>,</w:t>
        </w:r>
      </w:hyperlink>
      <w:r w:rsidRPr="00D4309F">
        <w:t xml:space="preserve"> detailed in </w:t>
      </w:r>
      <w:hyperlink w:anchor="_bookmark140" w:history="1">
        <w:r w:rsidR="009213C9">
          <w:fldChar w:fldCharType="begin" w:fldLock="1"/>
        </w:r>
        <w:r w:rsidR="009213C9">
          <w:instrText xml:space="preserve"> REF _Ref215979629 \h </w:instrText>
        </w:r>
        <w:r w:rsidR="009213C9">
          <w:fldChar w:fldCharType="separate"/>
        </w:r>
        <w:r w:rsidR="009213C9">
          <w:t xml:space="preserve">Table </w:t>
        </w:r>
        <w:r w:rsidR="009213C9">
          <w:rPr>
            <w:noProof/>
          </w:rPr>
          <w:t>14</w:t>
        </w:r>
        <w:r w:rsidR="009213C9">
          <w:noBreakHyphen/>
        </w:r>
        <w:r w:rsidR="009213C9">
          <w:rPr>
            <w:noProof/>
          </w:rPr>
          <w:t>6</w:t>
        </w:r>
        <w:r w:rsidR="009213C9">
          <w:fldChar w:fldCharType="end"/>
        </w:r>
        <w:r w:rsidRPr="00D4309F">
          <w:t>.</w:t>
        </w:r>
      </w:hyperlink>
    </w:p>
    <w:p w14:paraId="47713394" w14:textId="38F97B13" w:rsidR="00725977" w:rsidRPr="00D4309F" w:rsidRDefault="00E2682F" w:rsidP="00151534">
      <w:pPr>
        <w:pStyle w:val="Table-Caption"/>
      </w:pPr>
      <w:bookmarkStart w:id="361" w:name="_bookmark139"/>
      <w:bookmarkStart w:id="362" w:name="_Ref215979615"/>
      <w:bookmarkStart w:id="363" w:name="_Toc216699562"/>
      <w:bookmarkEnd w:id="361"/>
      <w:r>
        <w:t xml:space="preserve">Table </w:t>
      </w:r>
      <w:r w:rsidR="00151534">
        <w:fldChar w:fldCharType="begin" w:fldLock="1"/>
      </w:r>
      <w:r w:rsidR="00151534">
        <w:instrText xml:space="preserve"> STYLEREF 1 \s </w:instrText>
      </w:r>
      <w:r w:rsidR="00151534">
        <w:fldChar w:fldCharType="separate"/>
      </w:r>
      <w:r w:rsidR="00151534">
        <w:rPr>
          <w:noProof/>
        </w:rPr>
        <w:t>14</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5</w:t>
      </w:r>
      <w:r w:rsidR="00151534">
        <w:fldChar w:fldCharType="end"/>
      </w:r>
      <w:bookmarkEnd w:id="362"/>
      <w:r>
        <w:t>:</w:t>
      </w:r>
      <w:r>
        <w:tab/>
      </w:r>
      <w:r w:rsidRPr="00D4309F">
        <w:rPr>
          <w:color w:val="211E1F"/>
        </w:rPr>
        <w:t>Constraints</w:t>
      </w:r>
      <w:r w:rsidRPr="00D4309F">
        <w:rPr>
          <w:color w:val="211E1F"/>
          <w:spacing w:val="-3"/>
        </w:rPr>
        <w:t xml:space="preserve"> </w:t>
      </w:r>
      <w:r w:rsidRPr="00D4309F">
        <w:rPr>
          <w:color w:val="211E1F"/>
        </w:rPr>
        <w:t>analysis</w:t>
      </w:r>
      <w:r w:rsidRPr="00D4309F">
        <w:rPr>
          <w:color w:val="211E1F"/>
          <w:spacing w:val="-2"/>
        </w:rPr>
        <w:t xml:space="preserve"> criteria</w:t>
      </w:r>
      <w:bookmarkEnd w:id="363"/>
    </w:p>
    <w:tbl>
      <w:tblPr>
        <w:tblW w:w="5000" w:type="pct"/>
        <w:tblCellMar>
          <w:left w:w="0" w:type="dxa"/>
          <w:right w:w="0" w:type="dxa"/>
        </w:tblCellMar>
        <w:tblLook w:val="01E0" w:firstRow="1" w:lastRow="1" w:firstColumn="1" w:lastColumn="1" w:noHBand="0" w:noVBand="0"/>
      </w:tblPr>
      <w:tblGrid>
        <w:gridCol w:w="1979"/>
        <w:gridCol w:w="12593"/>
      </w:tblGrid>
      <w:tr w:rsidR="00725977" w:rsidRPr="00D4309F" w14:paraId="6DA93A9C" w14:textId="77777777" w:rsidTr="009213C9">
        <w:trPr>
          <w:trHeight w:val="286"/>
        </w:trPr>
        <w:tc>
          <w:tcPr>
            <w:tcW w:w="679" w:type="pct"/>
            <w:tcBorders>
              <w:bottom w:val="single" w:sz="4" w:space="0" w:color="000000"/>
            </w:tcBorders>
            <w:shd w:val="clear" w:color="auto" w:fill="D6D7D5"/>
          </w:tcPr>
          <w:p w14:paraId="5CD47D72" w14:textId="77777777" w:rsidR="00725977" w:rsidRPr="00D4309F" w:rsidRDefault="00725977">
            <w:pPr>
              <w:pStyle w:val="TableParagraph"/>
              <w:spacing w:before="40"/>
              <w:ind w:left="165"/>
              <w:rPr>
                <w:b/>
                <w:sz w:val="18"/>
              </w:rPr>
            </w:pPr>
            <w:r w:rsidRPr="00D4309F">
              <w:rPr>
                <w:b/>
                <w:color w:val="70004A"/>
                <w:sz w:val="18"/>
              </w:rPr>
              <w:t>Constraint</w:t>
            </w:r>
            <w:r w:rsidRPr="00D4309F">
              <w:rPr>
                <w:b/>
                <w:color w:val="70004A"/>
                <w:spacing w:val="-4"/>
                <w:sz w:val="18"/>
              </w:rPr>
              <w:t xml:space="preserve"> </w:t>
            </w:r>
            <w:r w:rsidRPr="00D4309F">
              <w:rPr>
                <w:b/>
                <w:color w:val="70004A"/>
                <w:spacing w:val="-2"/>
                <w:sz w:val="18"/>
              </w:rPr>
              <w:t>level</w:t>
            </w:r>
          </w:p>
        </w:tc>
        <w:tc>
          <w:tcPr>
            <w:tcW w:w="4321" w:type="pct"/>
            <w:tcBorders>
              <w:bottom w:val="single" w:sz="4" w:space="0" w:color="000000"/>
            </w:tcBorders>
            <w:shd w:val="clear" w:color="auto" w:fill="D6D7D5"/>
          </w:tcPr>
          <w:p w14:paraId="5EDD5F98" w14:textId="77777777" w:rsidR="00725977" w:rsidRPr="00D4309F" w:rsidRDefault="00725977">
            <w:pPr>
              <w:pStyle w:val="TableParagraph"/>
              <w:spacing w:before="40"/>
              <w:ind w:left="165"/>
              <w:rPr>
                <w:b/>
                <w:sz w:val="18"/>
              </w:rPr>
            </w:pPr>
            <w:r w:rsidRPr="00D4309F">
              <w:rPr>
                <w:b/>
                <w:color w:val="70004A"/>
                <w:spacing w:val="-2"/>
                <w:sz w:val="18"/>
              </w:rPr>
              <w:t>Description</w:t>
            </w:r>
          </w:p>
        </w:tc>
      </w:tr>
      <w:tr w:rsidR="00725977" w:rsidRPr="00D4309F" w14:paraId="6BC0D4CB" w14:textId="77777777" w:rsidTr="009213C9">
        <w:trPr>
          <w:trHeight w:val="287"/>
        </w:trPr>
        <w:tc>
          <w:tcPr>
            <w:tcW w:w="679" w:type="pct"/>
            <w:tcBorders>
              <w:top w:val="single" w:sz="4" w:space="0" w:color="000000"/>
              <w:bottom w:val="single" w:sz="4" w:space="0" w:color="000000"/>
            </w:tcBorders>
            <w:shd w:val="clear" w:color="auto" w:fill="BDB7B3"/>
          </w:tcPr>
          <w:p w14:paraId="103A5E32" w14:textId="77777777" w:rsidR="00725977" w:rsidRPr="00D4309F" w:rsidRDefault="00725977">
            <w:pPr>
              <w:pStyle w:val="TableParagraph"/>
              <w:spacing w:before="41"/>
              <w:ind w:left="165"/>
              <w:rPr>
                <w:b/>
                <w:sz w:val="18"/>
              </w:rPr>
            </w:pPr>
            <w:r w:rsidRPr="00D4309F">
              <w:rPr>
                <w:b/>
                <w:color w:val="211E1F"/>
                <w:sz w:val="18"/>
              </w:rPr>
              <w:t>No</w:t>
            </w:r>
            <w:r w:rsidRPr="00D4309F">
              <w:rPr>
                <w:b/>
                <w:color w:val="211E1F"/>
                <w:spacing w:val="-3"/>
                <w:sz w:val="18"/>
              </w:rPr>
              <w:t xml:space="preserve"> </w:t>
            </w:r>
            <w:r w:rsidRPr="00D4309F">
              <w:rPr>
                <w:b/>
                <w:color w:val="211E1F"/>
                <w:spacing w:val="-2"/>
                <w:sz w:val="18"/>
              </w:rPr>
              <w:t>impact</w:t>
            </w:r>
          </w:p>
        </w:tc>
        <w:tc>
          <w:tcPr>
            <w:tcW w:w="4321" w:type="pct"/>
            <w:tcBorders>
              <w:top w:val="single" w:sz="4" w:space="0" w:color="000000"/>
              <w:bottom w:val="single" w:sz="4" w:space="0" w:color="000000"/>
            </w:tcBorders>
          </w:tcPr>
          <w:p w14:paraId="2A3C70D1" w14:textId="77777777" w:rsidR="00725977" w:rsidRPr="00D4309F" w:rsidRDefault="00725977">
            <w:pPr>
              <w:pStyle w:val="TableParagraph"/>
              <w:spacing w:before="41"/>
              <w:ind w:left="165"/>
              <w:rPr>
                <w:sz w:val="18"/>
              </w:rPr>
            </w:pPr>
            <w:r w:rsidRPr="00D4309F">
              <w:rPr>
                <w:color w:val="211E1F"/>
                <w:sz w:val="18"/>
              </w:rPr>
              <w:t>There</w:t>
            </w:r>
            <w:r w:rsidRPr="00D4309F">
              <w:rPr>
                <w:color w:val="211E1F"/>
                <w:spacing w:val="-6"/>
                <w:sz w:val="18"/>
              </w:rPr>
              <w:t xml:space="preserve"> </w:t>
            </w:r>
            <w:r w:rsidRPr="00D4309F">
              <w:rPr>
                <w:color w:val="211E1F"/>
                <w:sz w:val="18"/>
              </w:rPr>
              <w:t>is</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impact</w:t>
            </w:r>
            <w:r w:rsidRPr="00D4309F">
              <w:rPr>
                <w:color w:val="211E1F"/>
                <w:spacing w:val="-2"/>
                <w:sz w:val="18"/>
              </w:rPr>
              <w:t xml:space="preserve"> </w:t>
            </w:r>
            <w:r w:rsidRPr="00D4309F">
              <w:rPr>
                <w:color w:val="211E1F"/>
                <w:sz w:val="18"/>
              </w:rPr>
              <w:t>pathway</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1"/>
                <w:sz w:val="18"/>
              </w:rPr>
              <w:t xml:space="preserve"> </w:t>
            </w:r>
            <w:r w:rsidRPr="00D4309F">
              <w:rPr>
                <w:color w:val="211E1F"/>
                <w:sz w:val="18"/>
              </w:rPr>
              <w:t>receptor.</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required.</w:t>
            </w:r>
          </w:p>
        </w:tc>
      </w:tr>
      <w:tr w:rsidR="00725977" w:rsidRPr="00D4309F" w14:paraId="3C786371" w14:textId="77777777" w:rsidTr="009213C9">
        <w:trPr>
          <w:trHeight w:val="286"/>
        </w:trPr>
        <w:tc>
          <w:tcPr>
            <w:tcW w:w="679" w:type="pct"/>
            <w:tcBorders>
              <w:top w:val="single" w:sz="4" w:space="0" w:color="000000"/>
              <w:bottom w:val="single" w:sz="4" w:space="0" w:color="000000"/>
            </w:tcBorders>
            <w:shd w:val="clear" w:color="auto" w:fill="92D050"/>
          </w:tcPr>
          <w:p w14:paraId="5FB06BE7" w14:textId="77777777" w:rsidR="00725977" w:rsidRPr="00D4309F" w:rsidRDefault="00725977">
            <w:pPr>
              <w:pStyle w:val="TableParagraph"/>
              <w:spacing w:before="39"/>
              <w:ind w:left="165"/>
              <w:rPr>
                <w:b/>
                <w:sz w:val="18"/>
              </w:rPr>
            </w:pPr>
            <w:r w:rsidRPr="00D4309F">
              <w:rPr>
                <w:b/>
                <w:color w:val="211E1F"/>
                <w:spacing w:val="-5"/>
                <w:sz w:val="18"/>
              </w:rPr>
              <w:t>Low</w:t>
            </w:r>
          </w:p>
        </w:tc>
        <w:tc>
          <w:tcPr>
            <w:tcW w:w="4321" w:type="pct"/>
            <w:tcBorders>
              <w:top w:val="single" w:sz="4" w:space="0" w:color="000000"/>
              <w:bottom w:val="single" w:sz="4" w:space="0" w:color="000000"/>
            </w:tcBorders>
          </w:tcPr>
          <w:p w14:paraId="0E285603" w14:textId="77777777" w:rsidR="00725977" w:rsidRPr="00D4309F" w:rsidRDefault="00725977">
            <w:pPr>
              <w:pStyle w:val="TableParagraph"/>
              <w:spacing w:before="39"/>
              <w:ind w:left="165"/>
              <w:rPr>
                <w:sz w:val="18"/>
              </w:rPr>
            </w:pPr>
            <w:r w:rsidRPr="00D4309F">
              <w:rPr>
                <w:color w:val="211E1F"/>
                <w:sz w:val="18"/>
              </w:rPr>
              <w:t>There</w:t>
            </w:r>
            <w:r w:rsidRPr="00D4309F">
              <w:rPr>
                <w:color w:val="211E1F"/>
                <w:spacing w:val="-6"/>
                <w:sz w:val="18"/>
              </w:rPr>
              <w:t xml:space="preserve"> </w:t>
            </w:r>
            <w:r w:rsidRPr="00D4309F">
              <w:rPr>
                <w:color w:val="211E1F"/>
                <w:sz w:val="18"/>
              </w:rPr>
              <w:t>is</w:t>
            </w:r>
            <w:r w:rsidRPr="00D4309F">
              <w:rPr>
                <w:color w:val="211E1F"/>
                <w:spacing w:val="-2"/>
                <w:sz w:val="18"/>
              </w:rPr>
              <w:t xml:space="preserve"> </w:t>
            </w:r>
            <w:r w:rsidRPr="00D4309F">
              <w:rPr>
                <w:color w:val="211E1F"/>
                <w:sz w:val="18"/>
              </w:rPr>
              <w:t>low</w:t>
            </w:r>
            <w:r w:rsidRPr="00D4309F">
              <w:rPr>
                <w:color w:val="211E1F"/>
                <w:spacing w:val="-2"/>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3"/>
                <w:sz w:val="18"/>
              </w:rPr>
              <w:t xml:space="preserve"> </w:t>
            </w:r>
            <w:r w:rsidRPr="00D4309F">
              <w:rPr>
                <w:color w:val="211E1F"/>
                <w:sz w:val="18"/>
              </w:rPr>
              <w:t>No</w:t>
            </w:r>
            <w:r w:rsidRPr="00D4309F">
              <w:rPr>
                <w:color w:val="211E1F"/>
                <w:spacing w:val="-3"/>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required.</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or</w:t>
            </w:r>
            <w:r w:rsidRPr="00D4309F">
              <w:rPr>
                <w:color w:val="211E1F"/>
                <w:spacing w:val="-2"/>
                <w:sz w:val="18"/>
              </w:rPr>
              <w:t xml:space="preserve"> </w:t>
            </w:r>
            <w:r w:rsidRPr="00D4309F">
              <w:rPr>
                <w:color w:val="211E1F"/>
                <w:sz w:val="18"/>
              </w:rPr>
              <w:t>standard</w:t>
            </w:r>
            <w:r w:rsidRPr="00D4309F">
              <w:rPr>
                <w:color w:val="211E1F"/>
                <w:spacing w:val="-3"/>
                <w:sz w:val="18"/>
              </w:rPr>
              <w:t xml:space="preserve"> </w:t>
            </w:r>
            <w:r w:rsidRPr="00D4309F">
              <w:rPr>
                <w:color w:val="211E1F"/>
                <w:sz w:val="18"/>
              </w:rPr>
              <w:t>management</w:t>
            </w:r>
            <w:r w:rsidRPr="00D4309F">
              <w:rPr>
                <w:color w:val="211E1F"/>
                <w:spacing w:val="-2"/>
                <w:sz w:val="18"/>
              </w:rPr>
              <w:t xml:space="preserve"> likely.</w:t>
            </w:r>
          </w:p>
        </w:tc>
      </w:tr>
      <w:tr w:rsidR="00725977" w:rsidRPr="00D4309F" w14:paraId="1122C78B" w14:textId="77777777" w:rsidTr="009213C9">
        <w:trPr>
          <w:trHeight w:val="493"/>
        </w:trPr>
        <w:tc>
          <w:tcPr>
            <w:tcW w:w="679" w:type="pct"/>
            <w:tcBorders>
              <w:top w:val="single" w:sz="4" w:space="0" w:color="000000"/>
              <w:bottom w:val="single" w:sz="4" w:space="0" w:color="000000"/>
            </w:tcBorders>
            <w:shd w:val="clear" w:color="auto" w:fill="FFFF00"/>
          </w:tcPr>
          <w:p w14:paraId="718BC249" w14:textId="77777777" w:rsidR="00725977" w:rsidRPr="00D4309F" w:rsidRDefault="00725977">
            <w:pPr>
              <w:pStyle w:val="TableParagraph"/>
              <w:spacing w:before="144"/>
              <w:ind w:left="165"/>
              <w:rPr>
                <w:b/>
                <w:sz w:val="18"/>
              </w:rPr>
            </w:pPr>
            <w:r w:rsidRPr="00D4309F">
              <w:rPr>
                <w:b/>
                <w:color w:val="211E1F"/>
                <w:spacing w:val="-2"/>
                <w:sz w:val="18"/>
              </w:rPr>
              <w:t>Moderate</w:t>
            </w:r>
          </w:p>
        </w:tc>
        <w:tc>
          <w:tcPr>
            <w:tcW w:w="4321" w:type="pct"/>
            <w:tcBorders>
              <w:top w:val="single" w:sz="4" w:space="0" w:color="000000"/>
              <w:bottom w:val="single" w:sz="4" w:space="0" w:color="000000"/>
            </w:tcBorders>
          </w:tcPr>
          <w:p w14:paraId="19A95B5D" w14:textId="77777777" w:rsidR="00725977" w:rsidRPr="00D4309F" w:rsidRDefault="00725977">
            <w:pPr>
              <w:pStyle w:val="TableParagraph"/>
              <w:spacing w:before="41"/>
              <w:ind w:left="165"/>
              <w:rPr>
                <w:sz w:val="18"/>
              </w:rPr>
            </w:pPr>
            <w:r w:rsidRPr="00D4309F">
              <w:rPr>
                <w:color w:val="211E1F"/>
                <w:sz w:val="18"/>
              </w:rPr>
              <w:t>There</w:t>
            </w:r>
            <w:r w:rsidRPr="00D4309F">
              <w:rPr>
                <w:color w:val="211E1F"/>
                <w:spacing w:val="-3"/>
                <w:sz w:val="18"/>
              </w:rPr>
              <w:t xml:space="preserve"> </w:t>
            </w:r>
            <w:r w:rsidRPr="00D4309F">
              <w:rPr>
                <w:color w:val="211E1F"/>
                <w:sz w:val="18"/>
              </w:rPr>
              <w:t>is</w:t>
            </w:r>
            <w:r w:rsidRPr="00D4309F">
              <w:rPr>
                <w:color w:val="211E1F"/>
                <w:spacing w:val="-2"/>
                <w:sz w:val="18"/>
              </w:rPr>
              <w:t xml:space="preserve"> </w:t>
            </w:r>
            <w:r w:rsidRPr="00D4309F">
              <w:rPr>
                <w:color w:val="211E1F"/>
                <w:sz w:val="18"/>
              </w:rPr>
              <w:t>a</w:t>
            </w:r>
            <w:r w:rsidRPr="00D4309F">
              <w:rPr>
                <w:color w:val="211E1F"/>
                <w:spacing w:val="-3"/>
                <w:sz w:val="18"/>
              </w:rPr>
              <w:t xml:space="preserve"> </w:t>
            </w:r>
            <w:r w:rsidRPr="00D4309F">
              <w:rPr>
                <w:color w:val="211E1F"/>
                <w:sz w:val="18"/>
              </w:rPr>
              <w:t>moderate</w:t>
            </w:r>
            <w:r w:rsidRPr="00D4309F">
              <w:rPr>
                <w:color w:val="211E1F"/>
                <w:spacing w:val="-3"/>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2"/>
                <w:sz w:val="18"/>
              </w:rPr>
              <w:t xml:space="preserve"> </w:t>
            </w:r>
            <w:r w:rsidRPr="00D4309F">
              <w:rPr>
                <w:color w:val="211E1F"/>
                <w:sz w:val="18"/>
              </w:rPr>
              <w:t>which</w:t>
            </w:r>
            <w:r w:rsidRPr="00D4309F">
              <w:rPr>
                <w:color w:val="211E1F"/>
                <w:spacing w:val="-3"/>
                <w:sz w:val="18"/>
              </w:rPr>
              <w:t xml:space="preserve"> </w:t>
            </w:r>
            <w:r w:rsidRPr="00D4309F">
              <w:rPr>
                <w:color w:val="211E1F"/>
                <w:sz w:val="18"/>
              </w:rPr>
              <w:t>will</w:t>
            </w:r>
            <w:r w:rsidRPr="00D4309F">
              <w:rPr>
                <w:color w:val="211E1F"/>
                <w:spacing w:val="-1"/>
                <w:sz w:val="18"/>
              </w:rPr>
              <w:t xml:space="preserve"> </w:t>
            </w:r>
            <w:r w:rsidRPr="00D4309F">
              <w:rPr>
                <w:color w:val="211E1F"/>
                <w:sz w:val="18"/>
              </w:rPr>
              <w:t>require</w:t>
            </w:r>
            <w:r w:rsidRPr="00D4309F">
              <w:rPr>
                <w:color w:val="211E1F"/>
                <w:spacing w:val="-3"/>
                <w:sz w:val="18"/>
              </w:rPr>
              <w:t xml:space="preserve"> </w:t>
            </w:r>
            <w:r w:rsidRPr="00D4309F">
              <w:rPr>
                <w:color w:val="211E1F"/>
                <w:sz w:val="18"/>
              </w:rPr>
              <w:t>further</w:t>
            </w:r>
            <w:r w:rsidRPr="00D4309F">
              <w:rPr>
                <w:color w:val="211E1F"/>
                <w:spacing w:val="-1"/>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to</w:t>
            </w:r>
            <w:r w:rsidRPr="00D4309F">
              <w:rPr>
                <w:color w:val="211E1F"/>
                <w:spacing w:val="-1"/>
                <w:sz w:val="18"/>
              </w:rPr>
              <w:t xml:space="preserve"> </w:t>
            </w:r>
            <w:r w:rsidRPr="00D4309F">
              <w:rPr>
                <w:color w:val="211E1F"/>
                <w:sz w:val="18"/>
              </w:rPr>
              <w:t>determine</w:t>
            </w:r>
            <w:r w:rsidRPr="00D4309F">
              <w:rPr>
                <w:color w:val="211E1F"/>
                <w:spacing w:val="-3"/>
                <w:sz w:val="18"/>
              </w:rPr>
              <w:t xml:space="preserve"> </w:t>
            </w:r>
            <w:r w:rsidRPr="00D4309F">
              <w:rPr>
                <w:color w:val="211E1F"/>
                <w:sz w:val="18"/>
              </w:rPr>
              <w:t>the</w:t>
            </w:r>
            <w:r w:rsidRPr="00D4309F">
              <w:rPr>
                <w:color w:val="211E1F"/>
                <w:spacing w:val="-1"/>
                <w:sz w:val="18"/>
              </w:rPr>
              <w:t xml:space="preserve"> </w:t>
            </w:r>
            <w:r w:rsidRPr="00D4309F">
              <w:rPr>
                <w:color w:val="211E1F"/>
                <w:sz w:val="18"/>
              </w:rPr>
              <w:t>significance</w:t>
            </w:r>
            <w:r w:rsidRPr="00D4309F">
              <w:rPr>
                <w:color w:val="211E1F"/>
                <w:spacing w:val="-3"/>
                <w:sz w:val="18"/>
              </w:rPr>
              <w:t xml:space="preserve"> </w:t>
            </w:r>
            <w:r w:rsidRPr="00D4309F">
              <w:rPr>
                <w:color w:val="211E1F"/>
                <w:sz w:val="18"/>
              </w:rPr>
              <w:t>of</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Likely to</w:t>
            </w:r>
            <w:r w:rsidRPr="00D4309F">
              <w:rPr>
                <w:color w:val="211E1F"/>
                <w:spacing w:val="-3"/>
                <w:sz w:val="18"/>
              </w:rPr>
              <w:t xml:space="preserve"> </w:t>
            </w:r>
            <w:r w:rsidRPr="00D4309F">
              <w:rPr>
                <w:color w:val="211E1F"/>
                <w:sz w:val="18"/>
              </w:rPr>
              <w:t>be manageable or engineered to minimise potential impacts on the receiving environment.</w:t>
            </w:r>
          </w:p>
        </w:tc>
      </w:tr>
      <w:tr w:rsidR="00725977" w:rsidRPr="00D4309F" w14:paraId="01010893" w14:textId="77777777" w:rsidTr="009213C9">
        <w:trPr>
          <w:trHeight w:val="494"/>
        </w:trPr>
        <w:tc>
          <w:tcPr>
            <w:tcW w:w="679" w:type="pct"/>
            <w:tcBorders>
              <w:top w:val="single" w:sz="4" w:space="0" w:color="000000"/>
            </w:tcBorders>
            <w:shd w:val="clear" w:color="auto" w:fill="FFC000"/>
          </w:tcPr>
          <w:p w14:paraId="7E4DE148" w14:textId="77777777" w:rsidR="00725977" w:rsidRPr="00D4309F" w:rsidRDefault="00725977">
            <w:pPr>
              <w:pStyle w:val="TableParagraph"/>
              <w:spacing w:before="144"/>
              <w:ind w:left="165"/>
              <w:rPr>
                <w:b/>
                <w:sz w:val="18"/>
              </w:rPr>
            </w:pPr>
            <w:r w:rsidRPr="00D4309F">
              <w:rPr>
                <w:b/>
                <w:color w:val="211E1F"/>
                <w:spacing w:val="-4"/>
                <w:sz w:val="18"/>
              </w:rPr>
              <w:t>High</w:t>
            </w:r>
          </w:p>
        </w:tc>
        <w:tc>
          <w:tcPr>
            <w:tcW w:w="4321" w:type="pct"/>
            <w:tcBorders>
              <w:top w:val="single" w:sz="4" w:space="0" w:color="000000"/>
            </w:tcBorders>
          </w:tcPr>
          <w:p w14:paraId="0CC8736E" w14:textId="77777777" w:rsidR="00725977" w:rsidRPr="00D4309F" w:rsidRDefault="00725977">
            <w:pPr>
              <w:pStyle w:val="TableParagraph"/>
              <w:spacing w:before="41"/>
              <w:ind w:left="165"/>
              <w:rPr>
                <w:sz w:val="18"/>
              </w:rPr>
            </w:pPr>
            <w:r w:rsidRPr="00D4309F">
              <w:rPr>
                <w:color w:val="211E1F"/>
                <w:sz w:val="18"/>
              </w:rPr>
              <w:t>There</w:t>
            </w:r>
            <w:r w:rsidRPr="00D4309F">
              <w:rPr>
                <w:color w:val="211E1F"/>
                <w:spacing w:val="-3"/>
                <w:sz w:val="18"/>
              </w:rPr>
              <w:t xml:space="preserve"> </w:t>
            </w:r>
            <w:r w:rsidRPr="00D4309F">
              <w:rPr>
                <w:color w:val="211E1F"/>
                <w:sz w:val="18"/>
              </w:rPr>
              <w:t>is</w:t>
            </w:r>
            <w:r w:rsidRPr="00D4309F">
              <w:rPr>
                <w:color w:val="211E1F"/>
                <w:spacing w:val="-2"/>
                <w:sz w:val="18"/>
              </w:rPr>
              <w:t xml:space="preserve"> </w:t>
            </w:r>
            <w:r w:rsidRPr="00D4309F">
              <w:rPr>
                <w:color w:val="211E1F"/>
                <w:sz w:val="18"/>
              </w:rPr>
              <w:t>a</w:t>
            </w:r>
            <w:r w:rsidRPr="00D4309F">
              <w:rPr>
                <w:color w:val="211E1F"/>
                <w:spacing w:val="-3"/>
                <w:sz w:val="18"/>
              </w:rPr>
              <w:t xml:space="preserve"> </w:t>
            </w:r>
            <w:r w:rsidRPr="00D4309F">
              <w:rPr>
                <w:color w:val="211E1F"/>
                <w:sz w:val="18"/>
              </w:rPr>
              <w:t>high</w:t>
            </w:r>
            <w:r w:rsidRPr="00D4309F">
              <w:rPr>
                <w:color w:val="211E1F"/>
                <w:spacing w:val="-1"/>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2"/>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required</w:t>
            </w:r>
            <w:r w:rsidRPr="00D4309F">
              <w:rPr>
                <w:color w:val="211E1F"/>
                <w:spacing w:val="-3"/>
                <w:sz w:val="18"/>
              </w:rPr>
              <w:t xml:space="preserve"> </w:t>
            </w:r>
            <w:r w:rsidRPr="00D4309F">
              <w:rPr>
                <w:color w:val="211E1F"/>
                <w:sz w:val="18"/>
              </w:rPr>
              <w:t>to</w:t>
            </w:r>
            <w:r w:rsidRPr="00D4309F">
              <w:rPr>
                <w:color w:val="211E1F"/>
                <w:spacing w:val="-3"/>
                <w:sz w:val="18"/>
              </w:rPr>
              <w:t xml:space="preserve"> </w:t>
            </w:r>
            <w:r w:rsidRPr="00D4309F">
              <w:rPr>
                <w:color w:val="211E1F"/>
                <w:sz w:val="18"/>
              </w:rPr>
              <w:t>determine</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significance</w:t>
            </w:r>
            <w:r w:rsidRPr="00D4309F">
              <w:rPr>
                <w:color w:val="211E1F"/>
                <w:spacing w:val="-1"/>
                <w:sz w:val="18"/>
              </w:rPr>
              <w:t xml:space="preserve"> </w:t>
            </w:r>
            <w:r w:rsidRPr="00D4309F">
              <w:rPr>
                <w:color w:val="211E1F"/>
                <w:sz w:val="18"/>
              </w:rPr>
              <w:t>of</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and</w:t>
            </w:r>
            <w:r w:rsidRPr="00D4309F">
              <w:rPr>
                <w:color w:val="211E1F"/>
                <w:spacing w:val="-3"/>
                <w:sz w:val="18"/>
              </w:rPr>
              <w:t xml:space="preserve"> </w:t>
            </w:r>
            <w:r w:rsidRPr="00D4309F">
              <w:rPr>
                <w:color w:val="211E1F"/>
                <w:sz w:val="18"/>
              </w:rPr>
              <w:t>mitigation</w:t>
            </w:r>
            <w:r w:rsidRPr="00D4309F">
              <w:rPr>
                <w:color w:val="211E1F"/>
                <w:spacing w:val="-1"/>
                <w:sz w:val="18"/>
              </w:rPr>
              <w:t xml:space="preserve"> </w:t>
            </w:r>
            <w:r w:rsidRPr="00D4309F">
              <w:rPr>
                <w:color w:val="211E1F"/>
                <w:sz w:val="18"/>
              </w:rPr>
              <w:t>strategy. Consideration for regulatory approvals.</w:t>
            </w:r>
          </w:p>
        </w:tc>
      </w:tr>
    </w:tbl>
    <w:p w14:paraId="1FB29911" w14:textId="3861FEE1" w:rsidR="00725977" w:rsidRPr="00D4309F" w:rsidRDefault="00725977" w:rsidP="00E2682F">
      <w:pPr>
        <w:pStyle w:val="BodyText"/>
      </w:pPr>
      <w:bookmarkStart w:id="364" w:name="_bookmark140"/>
      <w:bookmarkEnd w:id="364"/>
    </w:p>
    <w:p w14:paraId="21A6D45B" w14:textId="4BD58117" w:rsidR="00725977" w:rsidRPr="00D4309F" w:rsidRDefault="00E2682F" w:rsidP="00151534">
      <w:pPr>
        <w:pStyle w:val="Table-Caption"/>
      </w:pPr>
      <w:bookmarkStart w:id="365" w:name="_Ref215979629"/>
      <w:bookmarkStart w:id="366" w:name="_Toc216699563"/>
      <w:r>
        <w:t xml:space="preserve">Table </w:t>
      </w:r>
      <w:r w:rsidR="00151534">
        <w:fldChar w:fldCharType="begin" w:fldLock="1"/>
      </w:r>
      <w:r w:rsidR="00151534">
        <w:instrText xml:space="preserve"> STYLEREF 1 \s </w:instrText>
      </w:r>
      <w:r w:rsidR="00151534">
        <w:fldChar w:fldCharType="separate"/>
      </w:r>
      <w:r w:rsidR="00151534">
        <w:rPr>
          <w:noProof/>
        </w:rPr>
        <w:t>14</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6</w:t>
      </w:r>
      <w:r w:rsidR="00151534">
        <w:fldChar w:fldCharType="end"/>
      </w:r>
      <w:bookmarkEnd w:id="365"/>
      <w:r>
        <w:t>:</w:t>
      </w:r>
      <w:r>
        <w:tab/>
      </w:r>
      <w:r w:rsidRPr="00D4309F">
        <w:t>Environmental</w:t>
      </w:r>
      <w:r w:rsidRPr="00D4309F">
        <w:rPr>
          <w:spacing w:val="-2"/>
        </w:rPr>
        <w:t xml:space="preserve"> </w:t>
      </w:r>
      <w:r w:rsidRPr="00D4309F">
        <w:t>constraints</w:t>
      </w:r>
      <w:r w:rsidRPr="00D4309F">
        <w:rPr>
          <w:spacing w:val="-3"/>
        </w:rPr>
        <w:t xml:space="preserve"> </w:t>
      </w:r>
      <w:r w:rsidRPr="00D4309F">
        <w:t>for</w:t>
      </w:r>
      <w:r w:rsidRPr="00D4309F">
        <w:rPr>
          <w:spacing w:val="-3"/>
        </w:rPr>
        <w:t xml:space="preserve"> </w:t>
      </w:r>
      <w:r w:rsidRPr="00D4309F">
        <w:t>excavated</w:t>
      </w:r>
      <w:r w:rsidRPr="00D4309F">
        <w:rPr>
          <w:spacing w:val="-2"/>
        </w:rPr>
        <w:t xml:space="preserve"> </w:t>
      </w:r>
      <w:r w:rsidRPr="00D4309F">
        <w:t>sand</w:t>
      </w:r>
      <w:r w:rsidRPr="00D4309F">
        <w:rPr>
          <w:spacing w:val="-2"/>
        </w:rPr>
        <w:t xml:space="preserve"> </w:t>
      </w:r>
      <w:r w:rsidRPr="00D4309F">
        <w:t>trap</w:t>
      </w:r>
      <w:r w:rsidRPr="00D4309F">
        <w:rPr>
          <w:spacing w:val="-3"/>
        </w:rPr>
        <w:t xml:space="preserve"> </w:t>
      </w:r>
      <w:r w:rsidRPr="00D4309F">
        <w:t>with</w:t>
      </w:r>
      <w:r w:rsidRPr="00D4309F">
        <w:rPr>
          <w:spacing w:val="-3"/>
        </w:rPr>
        <w:t xml:space="preserve"> </w:t>
      </w:r>
      <w:r w:rsidRPr="00D4309F">
        <w:t>semi-permanent</w:t>
      </w:r>
      <w:r w:rsidRPr="00D4309F">
        <w:rPr>
          <w:spacing w:val="-2"/>
        </w:rPr>
        <w:t xml:space="preserve"> </w:t>
      </w:r>
      <w:r w:rsidRPr="00D4309F">
        <w:t>pump</w:t>
      </w:r>
      <w:r w:rsidRPr="00D4309F">
        <w:rPr>
          <w:spacing w:val="-3"/>
        </w:rPr>
        <w:t xml:space="preserve"> </w:t>
      </w:r>
      <w:r w:rsidRPr="00D4309F">
        <w:t>system</w:t>
      </w:r>
      <w:r w:rsidRPr="00D4309F">
        <w:rPr>
          <w:spacing w:val="-2"/>
        </w:rPr>
        <w:t xml:space="preserve"> </w:t>
      </w:r>
      <w:r w:rsidRPr="00D4309F">
        <w:t>(Option</w:t>
      </w:r>
      <w:r w:rsidRPr="00D4309F">
        <w:rPr>
          <w:spacing w:val="-3"/>
        </w:rPr>
        <w:t xml:space="preserve"> </w:t>
      </w:r>
      <w:r w:rsidRPr="00D4309F">
        <w:rPr>
          <w:spacing w:val="-5"/>
        </w:rPr>
        <w:t>2C)</w:t>
      </w:r>
      <w:bookmarkEnd w:id="366"/>
    </w:p>
    <w:tbl>
      <w:tblPr>
        <w:tblW w:w="0" w:type="auto"/>
        <w:tblLayout w:type="fixed"/>
        <w:tblCellMar>
          <w:left w:w="0" w:type="dxa"/>
          <w:right w:w="0" w:type="dxa"/>
        </w:tblCellMar>
        <w:tblLook w:val="01E0" w:firstRow="1" w:lastRow="1" w:firstColumn="1" w:lastColumn="1" w:noHBand="0" w:noVBand="0"/>
      </w:tblPr>
      <w:tblGrid>
        <w:gridCol w:w="1418"/>
        <w:gridCol w:w="1701"/>
        <w:gridCol w:w="2551"/>
        <w:gridCol w:w="1276"/>
        <w:gridCol w:w="2957"/>
        <w:gridCol w:w="2004"/>
        <w:gridCol w:w="2665"/>
      </w:tblGrid>
      <w:tr w:rsidR="00F07A84" w:rsidRPr="00D4309F" w14:paraId="60913804" w14:textId="77777777" w:rsidTr="007E44C8">
        <w:trPr>
          <w:cantSplit/>
          <w:trHeight w:val="20"/>
          <w:tblHeader/>
        </w:trPr>
        <w:tc>
          <w:tcPr>
            <w:tcW w:w="1418" w:type="dxa"/>
            <w:tcBorders>
              <w:bottom w:val="single" w:sz="4" w:space="0" w:color="000000"/>
            </w:tcBorders>
            <w:shd w:val="clear" w:color="auto" w:fill="D6D7D5"/>
            <w:vAlign w:val="center"/>
          </w:tcPr>
          <w:p w14:paraId="182D685D" w14:textId="77777777" w:rsidR="00725977" w:rsidRPr="00D4309F" w:rsidRDefault="00725977" w:rsidP="00F842F6">
            <w:pPr>
              <w:pStyle w:val="TableParagraph"/>
              <w:spacing w:before="144"/>
              <w:ind w:left="195"/>
              <w:rPr>
                <w:b/>
                <w:sz w:val="18"/>
              </w:rPr>
            </w:pPr>
            <w:r w:rsidRPr="00D4309F">
              <w:rPr>
                <w:b/>
                <w:color w:val="70004A"/>
                <w:spacing w:val="-2"/>
                <w:sz w:val="18"/>
              </w:rPr>
              <w:t>Category</w:t>
            </w:r>
          </w:p>
        </w:tc>
        <w:tc>
          <w:tcPr>
            <w:tcW w:w="1701" w:type="dxa"/>
            <w:tcBorders>
              <w:bottom w:val="single" w:sz="4" w:space="0" w:color="000000"/>
            </w:tcBorders>
            <w:shd w:val="clear" w:color="auto" w:fill="D6D7D5"/>
            <w:vAlign w:val="center"/>
          </w:tcPr>
          <w:p w14:paraId="21096395" w14:textId="77777777" w:rsidR="00725977" w:rsidRPr="00D4309F" w:rsidRDefault="00725977" w:rsidP="00F842F6">
            <w:pPr>
              <w:pStyle w:val="TableParagraph"/>
              <w:spacing w:before="144"/>
              <w:ind w:left="196"/>
              <w:rPr>
                <w:b/>
                <w:sz w:val="18"/>
              </w:rPr>
            </w:pPr>
            <w:r w:rsidRPr="00D4309F">
              <w:rPr>
                <w:b/>
                <w:color w:val="70004A"/>
                <w:spacing w:val="-2"/>
                <w:sz w:val="18"/>
              </w:rPr>
              <w:t>Receptor</w:t>
            </w:r>
          </w:p>
        </w:tc>
        <w:tc>
          <w:tcPr>
            <w:tcW w:w="2551" w:type="dxa"/>
            <w:tcBorders>
              <w:bottom w:val="single" w:sz="4" w:space="0" w:color="000000"/>
            </w:tcBorders>
            <w:shd w:val="clear" w:color="auto" w:fill="D6D7D5"/>
            <w:vAlign w:val="center"/>
          </w:tcPr>
          <w:p w14:paraId="003E1846" w14:textId="77777777" w:rsidR="00725977" w:rsidRPr="00D4309F" w:rsidRDefault="00725977" w:rsidP="00F842F6">
            <w:pPr>
              <w:pStyle w:val="TableParagraph"/>
              <w:spacing w:before="144"/>
              <w:ind w:left="254"/>
              <w:rPr>
                <w:b/>
                <w:sz w:val="18"/>
              </w:rPr>
            </w:pPr>
            <w:r w:rsidRPr="00D4309F">
              <w:rPr>
                <w:b/>
                <w:color w:val="70004A"/>
                <w:sz w:val="18"/>
              </w:rPr>
              <w:t>Impact</w:t>
            </w:r>
            <w:r w:rsidRPr="00D4309F">
              <w:rPr>
                <w:b/>
                <w:color w:val="70004A"/>
                <w:spacing w:val="-3"/>
                <w:sz w:val="18"/>
              </w:rPr>
              <w:t xml:space="preserve"> </w:t>
            </w:r>
            <w:r w:rsidRPr="00D4309F">
              <w:rPr>
                <w:b/>
                <w:color w:val="70004A"/>
                <w:spacing w:val="-2"/>
                <w:sz w:val="18"/>
              </w:rPr>
              <w:t>pathway</w:t>
            </w:r>
          </w:p>
        </w:tc>
        <w:tc>
          <w:tcPr>
            <w:tcW w:w="1276" w:type="dxa"/>
            <w:tcBorders>
              <w:bottom w:val="single" w:sz="4" w:space="0" w:color="000000"/>
            </w:tcBorders>
            <w:shd w:val="clear" w:color="auto" w:fill="D6D7D5"/>
            <w:vAlign w:val="center"/>
          </w:tcPr>
          <w:p w14:paraId="6935D5AF" w14:textId="77777777" w:rsidR="00725977" w:rsidRPr="00D4309F" w:rsidRDefault="00725977" w:rsidP="00F842F6">
            <w:pPr>
              <w:pStyle w:val="TableParagraph"/>
              <w:spacing w:before="40"/>
              <w:ind w:left="162" w:right="180"/>
              <w:rPr>
                <w:b/>
                <w:sz w:val="18"/>
              </w:rPr>
            </w:pPr>
            <w:r w:rsidRPr="00D4309F">
              <w:rPr>
                <w:b/>
                <w:color w:val="70004A"/>
                <w:spacing w:val="-2"/>
                <w:sz w:val="18"/>
              </w:rPr>
              <w:t>Constraint level</w:t>
            </w:r>
          </w:p>
        </w:tc>
        <w:tc>
          <w:tcPr>
            <w:tcW w:w="2957" w:type="dxa"/>
            <w:tcBorders>
              <w:bottom w:val="single" w:sz="4" w:space="0" w:color="000000"/>
            </w:tcBorders>
            <w:shd w:val="clear" w:color="auto" w:fill="D6D7D5"/>
            <w:vAlign w:val="center"/>
          </w:tcPr>
          <w:p w14:paraId="51538F20" w14:textId="77777777" w:rsidR="00725977" w:rsidRPr="00D4309F" w:rsidRDefault="00725977" w:rsidP="00F842F6">
            <w:pPr>
              <w:pStyle w:val="TableParagraph"/>
              <w:spacing w:before="144"/>
              <w:ind w:left="163"/>
              <w:rPr>
                <w:b/>
                <w:sz w:val="18"/>
              </w:rPr>
            </w:pPr>
            <w:r w:rsidRPr="00D4309F">
              <w:rPr>
                <w:b/>
                <w:color w:val="70004A"/>
                <w:spacing w:val="-2"/>
                <w:sz w:val="18"/>
              </w:rPr>
              <w:t>Justification</w:t>
            </w:r>
          </w:p>
        </w:tc>
        <w:tc>
          <w:tcPr>
            <w:tcW w:w="2004" w:type="dxa"/>
            <w:tcBorders>
              <w:bottom w:val="single" w:sz="4" w:space="0" w:color="000000"/>
            </w:tcBorders>
            <w:shd w:val="clear" w:color="auto" w:fill="D6D7D5"/>
            <w:vAlign w:val="center"/>
          </w:tcPr>
          <w:p w14:paraId="0DA6A86D" w14:textId="77777777" w:rsidR="00725977" w:rsidRPr="00D4309F" w:rsidRDefault="00725977" w:rsidP="00F842F6">
            <w:pPr>
              <w:pStyle w:val="TableParagraph"/>
              <w:spacing w:before="40"/>
              <w:ind w:left="198" w:right="197"/>
              <w:rPr>
                <w:b/>
                <w:sz w:val="18"/>
              </w:rPr>
            </w:pPr>
            <w:r w:rsidRPr="00D4309F">
              <w:rPr>
                <w:b/>
                <w:color w:val="70004A"/>
                <w:sz w:val="18"/>
              </w:rPr>
              <w:t>Further</w:t>
            </w:r>
            <w:r w:rsidRPr="00D4309F">
              <w:rPr>
                <w:b/>
                <w:color w:val="70004A"/>
                <w:spacing w:val="-13"/>
                <w:sz w:val="18"/>
              </w:rPr>
              <w:t xml:space="preserve"> </w:t>
            </w:r>
            <w:r w:rsidRPr="00D4309F">
              <w:rPr>
                <w:b/>
                <w:color w:val="70004A"/>
                <w:sz w:val="18"/>
              </w:rPr>
              <w:t xml:space="preserve">assessment </w:t>
            </w:r>
            <w:r w:rsidRPr="00D4309F">
              <w:rPr>
                <w:b/>
                <w:color w:val="70004A"/>
                <w:spacing w:val="-2"/>
                <w:sz w:val="18"/>
              </w:rPr>
              <w:t>recommendations</w:t>
            </w:r>
          </w:p>
        </w:tc>
        <w:tc>
          <w:tcPr>
            <w:tcW w:w="2665" w:type="dxa"/>
            <w:tcBorders>
              <w:bottom w:val="single" w:sz="4" w:space="0" w:color="000000"/>
            </w:tcBorders>
            <w:shd w:val="clear" w:color="auto" w:fill="D6D7D5"/>
            <w:vAlign w:val="center"/>
          </w:tcPr>
          <w:p w14:paraId="4D98235B" w14:textId="77777777" w:rsidR="00725977" w:rsidRPr="00D4309F" w:rsidRDefault="00725977" w:rsidP="00F842F6">
            <w:pPr>
              <w:pStyle w:val="TableParagraph"/>
              <w:spacing w:before="40"/>
              <w:ind w:left="208" w:right="269"/>
              <w:rPr>
                <w:b/>
                <w:sz w:val="18"/>
              </w:rPr>
            </w:pPr>
            <w:r w:rsidRPr="00D4309F">
              <w:rPr>
                <w:b/>
                <w:color w:val="70004A"/>
                <w:sz w:val="18"/>
              </w:rPr>
              <w:t>Potential monitoring and management</w:t>
            </w:r>
            <w:r w:rsidRPr="00D4309F">
              <w:rPr>
                <w:b/>
                <w:color w:val="70004A"/>
                <w:spacing w:val="-13"/>
                <w:sz w:val="18"/>
              </w:rPr>
              <w:t xml:space="preserve"> </w:t>
            </w:r>
            <w:r w:rsidRPr="00D4309F">
              <w:rPr>
                <w:b/>
                <w:color w:val="70004A"/>
                <w:sz w:val="18"/>
              </w:rPr>
              <w:t>requirements</w:t>
            </w:r>
          </w:p>
        </w:tc>
      </w:tr>
      <w:tr w:rsidR="00F07A84" w:rsidRPr="00D4309F" w14:paraId="623D6C43" w14:textId="77777777" w:rsidTr="007E44C8">
        <w:trPr>
          <w:cantSplit/>
          <w:trHeight w:val="20"/>
        </w:trPr>
        <w:tc>
          <w:tcPr>
            <w:tcW w:w="1418" w:type="dxa"/>
            <w:tcBorders>
              <w:top w:val="single" w:sz="4" w:space="0" w:color="000000"/>
              <w:bottom w:val="single" w:sz="4" w:space="0" w:color="000000"/>
            </w:tcBorders>
            <w:vAlign w:val="center"/>
          </w:tcPr>
          <w:p w14:paraId="4F0F7CC4" w14:textId="78672519" w:rsidR="00E034AF" w:rsidRPr="00E034AF" w:rsidRDefault="00725977" w:rsidP="00900F80">
            <w:pPr>
              <w:pStyle w:val="Table-Text"/>
            </w:pPr>
            <w:r w:rsidRPr="00D4309F">
              <w:t>Marine environmental quality</w:t>
            </w:r>
          </w:p>
        </w:tc>
        <w:tc>
          <w:tcPr>
            <w:tcW w:w="1701" w:type="dxa"/>
            <w:tcBorders>
              <w:top w:val="single" w:sz="4" w:space="0" w:color="000000"/>
              <w:bottom w:val="single" w:sz="4" w:space="0" w:color="000000"/>
            </w:tcBorders>
            <w:vAlign w:val="center"/>
          </w:tcPr>
          <w:p w14:paraId="2AB1D8DE" w14:textId="77777777" w:rsidR="00725977" w:rsidRPr="00D4309F" w:rsidRDefault="00725977" w:rsidP="007E44C8">
            <w:pPr>
              <w:pStyle w:val="Table-Text"/>
            </w:pPr>
            <w:r w:rsidRPr="00D4309F">
              <w:t>Water quality</w:t>
            </w:r>
          </w:p>
        </w:tc>
        <w:tc>
          <w:tcPr>
            <w:tcW w:w="2551" w:type="dxa"/>
            <w:tcBorders>
              <w:top w:val="single" w:sz="4" w:space="0" w:color="000000"/>
              <w:bottom w:val="single" w:sz="4" w:space="0" w:color="000000"/>
            </w:tcBorders>
            <w:vAlign w:val="center"/>
          </w:tcPr>
          <w:p w14:paraId="3B071BC5" w14:textId="77777777" w:rsidR="00725977" w:rsidRPr="00D4309F" w:rsidRDefault="00725977" w:rsidP="007E44C8">
            <w:pPr>
              <w:pStyle w:val="Table-Bullet"/>
            </w:pPr>
            <w:r w:rsidRPr="00D4309F">
              <w:t>Generation</w:t>
            </w:r>
            <w:r w:rsidRPr="00D4309F">
              <w:rPr>
                <w:spacing w:val="-4"/>
              </w:rPr>
              <w:t xml:space="preserve"> </w:t>
            </w:r>
            <w:r w:rsidRPr="00D4309F">
              <w:t>of</w:t>
            </w:r>
            <w:r w:rsidRPr="00D4309F">
              <w:rPr>
                <w:spacing w:val="-3"/>
              </w:rPr>
              <w:t xml:space="preserve"> </w:t>
            </w:r>
            <w:r w:rsidRPr="00D4309F">
              <w:rPr>
                <w:spacing w:val="-2"/>
              </w:rPr>
              <w:t>turbidity</w:t>
            </w:r>
          </w:p>
        </w:tc>
        <w:tc>
          <w:tcPr>
            <w:tcW w:w="1276" w:type="dxa"/>
            <w:tcBorders>
              <w:top w:val="single" w:sz="4" w:space="0" w:color="000000"/>
              <w:bottom w:val="single" w:sz="4" w:space="0" w:color="000000"/>
            </w:tcBorders>
            <w:shd w:val="clear" w:color="auto" w:fill="FFC000"/>
            <w:vAlign w:val="center"/>
          </w:tcPr>
          <w:p w14:paraId="0BEAE4C0" w14:textId="77777777" w:rsidR="00725977" w:rsidRPr="00F842F6" w:rsidRDefault="00725977" w:rsidP="00F842F6">
            <w:pPr>
              <w:pStyle w:val="Table-Text"/>
              <w:rPr>
                <w:b/>
                <w:bCs/>
              </w:rPr>
            </w:pPr>
            <w:r w:rsidRPr="00F842F6">
              <w:rPr>
                <w:b/>
                <w:bCs/>
              </w:rPr>
              <w:t>High (for rock</w:t>
            </w:r>
            <w:r w:rsidRPr="00F842F6">
              <w:rPr>
                <w:b/>
                <w:bCs/>
                <w:spacing w:val="-13"/>
              </w:rPr>
              <w:t xml:space="preserve"> </w:t>
            </w:r>
            <w:r w:rsidRPr="00F842F6">
              <w:rPr>
                <w:b/>
                <w:bCs/>
              </w:rPr>
              <w:t>cutting)</w:t>
            </w:r>
          </w:p>
        </w:tc>
        <w:tc>
          <w:tcPr>
            <w:tcW w:w="2957" w:type="dxa"/>
            <w:tcBorders>
              <w:top w:val="single" w:sz="4" w:space="0" w:color="000000"/>
              <w:bottom w:val="single" w:sz="4" w:space="0" w:color="000000"/>
            </w:tcBorders>
            <w:vAlign w:val="center"/>
          </w:tcPr>
          <w:p w14:paraId="4D564715" w14:textId="77777777" w:rsidR="00725977" w:rsidRPr="00D4309F" w:rsidRDefault="00725977" w:rsidP="007E44C8">
            <w:pPr>
              <w:pStyle w:val="Table-Bullet"/>
            </w:pPr>
            <w:r w:rsidRPr="00D4309F">
              <w:t>An assessment of the predicted plume extent will inform the extent of turbidity related impacts however as this</w:t>
            </w:r>
            <w:r w:rsidRPr="00D4309F">
              <w:rPr>
                <w:spacing w:val="-8"/>
              </w:rPr>
              <w:t xml:space="preserve"> </w:t>
            </w:r>
            <w:r w:rsidRPr="00D4309F">
              <w:t>is</w:t>
            </w:r>
            <w:r w:rsidRPr="00D4309F">
              <w:rPr>
                <w:spacing w:val="-8"/>
              </w:rPr>
              <w:t xml:space="preserve"> </w:t>
            </w:r>
            <w:r w:rsidRPr="00D4309F">
              <w:t>a</w:t>
            </w:r>
            <w:r w:rsidRPr="00D4309F">
              <w:rPr>
                <w:spacing w:val="-9"/>
              </w:rPr>
              <w:t xml:space="preserve"> </w:t>
            </w:r>
            <w:r w:rsidRPr="00D4309F">
              <w:t>dynamic,</w:t>
            </w:r>
            <w:r w:rsidRPr="00D4309F">
              <w:rPr>
                <w:spacing w:val="-8"/>
              </w:rPr>
              <w:t xml:space="preserve"> </w:t>
            </w:r>
            <w:r w:rsidRPr="00D4309F">
              <w:t>open</w:t>
            </w:r>
            <w:r w:rsidRPr="00D4309F">
              <w:rPr>
                <w:spacing w:val="-9"/>
              </w:rPr>
              <w:t xml:space="preserve"> </w:t>
            </w:r>
            <w:r w:rsidRPr="00D4309F">
              <w:t>ocean environment, any plume will likely dissipate quickly</w:t>
            </w:r>
          </w:p>
          <w:p w14:paraId="01F1C65A" w14:textId="77777777" w:rsidR="00725977" w:rsidRPr="00D4309F" w:rsidRDefault="00725977" w:rsidP="007E44C8">
            <w:pPr>
              <w:pStyle w:val="Table-Bullet"/>
            </w:pPr>
            <w:r w:rsidRPr="00D4309F">
              <w:t>Turbidity</w:t>
            </w:r>
            <w:r w:rsidRPr="00D4309F">
              <w:rPr>
                <w:spacing w:val="-8"/>
              </w:rPr>
              <w:t xml:space="preserve"> </w:t>
            </w:r>
            <w:r w:rsidRPr="00D4309F">
              <w:t>is</w:t>
            </w:r>
            <w:r w:rsidRPr="00D4309F">
              <w:rPr>
                <w:spacing w:val="-8"/>
              </w:rPr>
              <w:t xml:space="preserve"> </w:t>
            </w:r>
            <w:r w:rsidRPr="00D4309F">
              <w:t>likely</w:t>
            </w:r>
            <w:r w:rsidRPr="00D4309F">
              <w:rPr>
                <w:spacing w:val="-8"/>
              </w:rPr>
              <w:t xml:space="preserve"> </w:t>
            </w:r>
            <w:r w:rsidRPr="00D4309F">
              <w:t>to</w:t>
            </w:r>
            <w:r w:rsidRPr="00D4309F">
              <w:rPr>
                <w:spacing w:val="-9"/>
              </w:rPr>
              <w:t xml:space="preserve"> </w:t>
            </w:r>
            <w:r w:rsidRPr="00D4309F">
              <w:t>be</w:t>
            </w:r>
            <w:r w:rsidRPr="00D4309F">
              <w:rPr>
                <w:spacing w:val="-9"/>
              </w:rPr>
              <w:t xml:space="preserve"> </w:t>
            </w:r>
            <w:r w:rsidRPr="00D4309F">
              <w:t>more extensive and persistent during rock cutting works</w:t>
            </w:r>
          </w:p>
        </w:tc>
        <w:tc>
          <w:tcPr>
            <w:tcW w:w="2004" w:type="dxa"/>
            <w:tcBorders>
              <w:top w:val="single" w:sz="4" w:space="0" w:color="000000"/>
              <w:bottom w:val="single" w:sz="4" w:space="0" w:color="000000"/>
            </w:tcBorders>
            <w:vAlign w:val="center"/>
          </w:tcPr>
          <w:p w14:paraId="00ED22AF" w14:textId="77777777" w:rsidR="00725977" w:rsidRPr="00D4309F" w:rsidRDefault="00725977" w:rsidP="007E44C8">
            <w:pPr>
              <w:pStyle w:val="Table-Bullet"/>
            </w:pPr>
            <w:r w:rsidRPr="00D4309F">
              <w:t>Turbidity</w:t>
            </w:r>
            <w:r w:rsidRPr="00D4309F">
              <w:rPr>
                <w:spacing w:val="-5"/>
              </w:rPr>
              <w:t xml:space="preserve"> </w:t>
            </w:r>
            <w:r w:rsidRPr="00D4309F">
              <w:rPr>
                <w:spacing w:val="-2"/>
              </w:rPr>
              <w:t>modelling</w:t>
            </w:r>
          </w:p>
        </w:tc>
        <w:tc>
          <w:tcPr>
            <w:tcW w:w="2665" w:type="dxa"/>
            <w:tcBorders>
              <w:top w:val="single" w:sz="4" w:space="0" w:color="000000"/>
              <w:bottom w:val="single" w:sz="4" w:space="0" w:color="000000"/>
            </w:tcBorders>
            <w:vAlign w:val="center"/>
          </w:tcPr>
          <w:p w14:paraId="2C5542CB" w14:textId="77777777" w:rsidR="00725977" w:rsidRPr="00D4309F" w:rsidRDefault="00725977" w:rsidP="007E44C8">
            <w:pPr>
              <w:pStyle w:val="Table-Bullet"/>
            </w:pPr>
            <w:r w:rsidRPr="00D4309F">
              <w:t>Turbidity</w:t>
            </w:r>
            <w:r w:rsidRPr="00D4309F">
              <w:rPr>
                <w:spacing w:val="-15"/>
              </w:rPr>
              <w:t xml:space="preserve"> </w:t>
            </w:r>
            <w:r w:rsidRPr="00D4309F">
              <w:t>monitoring</w:t>
            </w:r>
            <w:r w:rsidRPr="00D4309F">
              <w:rPr>
                <w:spacing w:val="-12"/>
              </w:rPr>
              <w:t xml:space="preserve"> </w:t>
            </w:r>
            <w:r w:rsidRPr="00D4309F">
              <w:t xml:space="preserve">during </w:t>
            </w:r>
            <w:r w:rsidRPr="00D4309F">
              <w:rPr>
                <w:spacing w:val="-2"/>
              </w:rPr>
              <w:t>works</w:t>
            </w:r>
          </w:p>
          <w:p w14:paraId="5DF02EBA" w14:textId="77777777" w:rsidR="00725977" w:rsidRPr="00D4309F" w:rsidRDefault="00725977" w:rsidP="007E44C8">
            <w:pPr>
              <w:pStyle w:val="Table-Bullet"/>
            </w:pPr>
            <w:r w:rsidRPr="00D4309F">
              <w:t>Standard turbidity mitigation</w:t>
            </w:r>
            <w:r w:rsidRPr="00D4309F">
              <w:rPr>
                <w:spacing w:val="-15"/>
              </w:rPr>
              <w:t xml:space="preserve"> </w:t>
            </w:r>
            <w:r w:rsidRPr="00D4309F">
              <w:t>procedures</w:t>
            </w:r>
            <w:r w:rsidRPr="00D4309F">
              <w:rPr>
                <w:spacing w:val="-12"/>
              </w:rPr>
              <w:t xml:space="preserve"> </w:t>
            </w:r>
            <w:r w:rsidRPr="00D4309F">
              <w:t xml:space="preserve">e.g. silt curtains, staging of </w:t>
            </w:r>
            <w:r w:rsidRPr="00D4309F">
              <w:rPr>
                <w:spacing w:val="-2"/>
              </w:rPr>
              <w:t>works</w:t>
            </w:r>
          </w:p>
        </w:tc>
      </w:tr>
      <w:tr w:rsidR="00F07A84" w:rsidRPr="00D4309F" w14:paraId="425B90AA" w14:textId="77777777" w:rsidTr="007E44C8">
        <w:trPr>
          <w:cantSplit/>
          <w:trHeight w:val="20"/>
        </w:trPr>
        <w:tc>
          <w:tcPr>
            <w:tcW w:w="1418" w:type="dxa"/>
            <w:tcBorders>
              <w:top w:val="single" w:sz="4" w:space="0" w:color="000000"/>
              <w:bottom w:val="single" w:sz="4" w:space="0" w:color="000000"/>
            </w:tcBorders>
            <w:vAlign w:val="center"/>
          </w:tcPr>
          <w:p w14:paraId="681B2BE8" w14:textId="3BA26FE0" w:rsidR="00E034AF" w:rsidRPr="00E034AF" w:rsidRDefault="00725977" w:rsidP="00900F80">
            <w:pPr>
              <w:pStyle w:val="Table-Text"/>
            </w:pPr>
            <w:r w:rsidRPr="00D4309F">
              <w:t>Marine environmental quality</w:t>
            </w:r>
          </w:p>
        </w:tc>
        <w:tc>
          <w:tcPr>
            <w:tcW w:w="1701" w:type="dxa"/>
            <w:tcBorders>
              <w:top w:val="single" w:sz="4" w:space="0" w:color="000000"/>
              <w:bottom w:val="single" w:sz="4" w:space="0" w:color="000000"/>
            </w:tcBorders>
            <w:vAlign w:val="center"/>
          </w:tcPr>
          <w:p w14:paraId="6FA43B37" w14:textId="77777777" w:rsidR="00725977" w:rsidRPr="00D4309F" w:rsidRDefault="00725977" w:rsidP="007E44C8">
            <w:pPr>
              <w:pStyle w:val="Table-Text"/>
            </w:pPr>
            <w:r w:rsidRPr="00D4309F">
              <w:t>Water quality</w:t>
            </w:r>
          </w:p>
        </w:tc>
        <w:tc>
          <w:tcPr>
            <w:tcW w:w="2551" w:type="dxa"/>
            <w:tcBorders>
              <w:top w:val="single" w:sz="4" w:space="0" w:color="000000"/>
              <w:bottom w:val="single" w:sz="4" w:space="0" w:color="000000"/>
            </w:tcBorders>
            <w:vAlign w:val="center"/>
          </w:tcPr>
          <w:p w14:paraId="718753E9" w14:textId="77777777" w:rsidR="00725977" w:rsidRPr="00D4309F" w:rsidRDefault="00725977" w:rsidP="007E44C8">
            <w:pPr>
              <w:pStyle w:val="Table-Bullet"/>
            </w:pPr>
            <w:r w:rsidRPr="00D4309F">
              <w:t>Release</w:t>
            </w:r>
            <w:r w:rsidRPr="00D4309F">
              <w:rPr>
                <w:spacing w:val="-4"/>
              </w:rPr>
              <w:t xml:space="preserve"> </w:t>
            </w:r>
            <w:r w:rsidRPr="00D4309F">
              <w:t>of</w:t>
            </w:r>
            <w:r w:rsidRPr="00D4309F">
              <w:rPr>
                <w:spacing w:val="-2"/>
              </w:rPr>
              <w:t xml:space="preserve"> contaminants/hypoxia</w:t>
            </w:r>
          </w:p>
        </w:tc>
        <w:tc>
          <w:tcPr>
            <w:tcW w:w="1276" w:type="dxa"/>
            <w:tcBorders>
              <w:top w:val="single" w:sz="4" w:space="0" w:color="000000"/>
              <w:bottom w:val="single" w:sz="4" w:space="0" w:color="000000"/>
            </w:tcBorders>
            <w:shd w:val="clear" w:color="auto" w:fill="92D050"/>
            <w:vAlign w:val="center"/>
          </w:tcPr>
          <w:p w14:paraId="472BB7A9" w14:textId="77777777" w:rsidR="00725977" w:rsidRPr="00F842F6" w:rsidRDefault="00725977" w:rsidP="00F842F6">
            <w:pPr>
              <w:pStyle w:val="Table-Text"/>
              <w:rPr>
                <w:b/>
                <w:bCs/>
              </w:rPr>
            </w:pPr>
            <w:r w:rsidRPr="00F842F6">
              <w:rPr>
                <w:b/>
                <w:bCs/>
                <w:spacing w:val="-5"/>
              </w:rPr>
              <w:t>Low</w:t>
            </w:r>
          </w:p>
        </w:tc>
        <w:tc>
          <w:tcPr>
            <w:tcW w:w="2957" w:type="dxa"/>
            <w:tcBorders>
              <w:top w:val="single" w:sz="4" w:space="0" w:color="000000"/>
              <w:bottom w:val="single" w:sz="4" w:space="0" w:color="000000"/>
            </w:tcBorders>
            <w:vAlign w:val="center"/>
          </w:tcPr>
          <w:p w14:paraId="7331AB9A" w14:textId="77777777" w:rsidR="00725977" w:rsidRPr="00D4309F" w:rsidRDefault="00725977" w:rsidP="007E44C8">
            <w:pPr>
              <w:pStyle w:val="Table-Bullet"/>
            </w:pPr>
            <w:r w:rsidRPr="00D4309F">
              <w:t>Dredge sediments likely comprise clean marine sand free</w:t>
            </w:r>
            <w:r w:rsidRPr="00D4309F">
              <w:rPr>
                <w:spacing w:val="-11"/>
              </w:rPr>
              <w:t xml:space="preserve"> </w:t>
            </w:r>
            <w:r w:rsidRPr="00D4309F">
              <w:t>of</w:t>
            </w:r>
            <w:r w:rsidRPr="00D4309F">
              <w:rPr>
                <w:spacing w:val="-10"/>
              </w:rPr>
              <w:t xml:space="preserve"> </w:t>
            </w:r>
            <w:r w:rsidRPr="00D4309F">
              <w:t>contaminants</w:t>
            </w:r>
            <w:r w:rsidRPr="00D4309F">
              <w:rPr>
                <w:spacing w:val="-10"/>
              </w:rPr>
              <w:t xml:space="preserve"> </w:t>
            </w:r>
            <w:r w:rsidRPr="00D4309F">
              <w:t>with</w:t>
            </w:r>
            <w:r w:rsidRPr="00D4309F">
              <w:rPr>
                <w:spacing w:val="-11"/>
              </w:rPr>
              <w:t xml:space="preserve"> </w:t>
            </w:r>
            <w:r w:rsidRPr="00D4309F">
              <w:t>low organic matter content</w:t>
            </w:r>
          </w:p>
          <w:p w14:paraId="539131A6" w14:textId="77777777" w:rsidR="00725977" w:rsidRPr="00D4309F" w:rsidRDefault="00725977" w:rsidP="007E44C8">
            <w:pPr>
              <w:pStyle w:val="Table-Bullet"/>
            </w:pPr>
            <w:r w:rsidRPr="00D4309F">
              <w:t>Rock</w:t>
            </w:r>
            <w:r w:rsidRPr="00D4309F">
              <w:rPr>
                <w:spacing w:val="-10"/>
              </w:rPr>
              <w:t xml:space="preserve"> </w:t>
            </w:r>
            <w:r w:rsidRPr="00D4309F">
              <w:t>is</w:t>
            </w:r>
            <w:r w:rsidRPr="00D4309F">
              <w:rPr>
                <w:spacing w:val="-10"/>
              </w:rPr>
              <w:t xml:space="preserve"> </w:t>
            </w:r>
            <w:r w:rsidRPr="00D4309F">
              <w:t>likely</w:t>
            </w:r>
            <w:r w:rsidRPr="00D4309F">
              <w:rPr>
                <w:spacing w:val="-10"/>
              </w:rPr>
              <w:t xml:space="preserve"> </w:t>
            </w:r>
            <w:r w:rsidRPr="00D4309F">
              <w:t>to</w:t>
            </w:r>
            <w:r w:rsidRPr="00D4309F">
              <w:rPr>
                <w:spacing w:val="-11"/>
              </w:rPr>
              <w:t xml:space="preserve"> </w:t>
            </w:r>
            <w:r w:rsidRPr="00D4309F">
              <w:t xml:space="preserve">be </w:t>
            </w:r>
            <w:r w:rsidRPr="00D4309F">
              <w:rPr>
                <w:spacing w:val="-2"/>
              </w:rPr>
              <w:t>uncontaminated</w:t>
            </w:r>
          </w:p>
        </w:tc>
        <w:tc>
          <w:tcPr>
            <w:tcW w:w="2004" w:type="dxa"/>
            <w:tcBorders>
              <w:top w:val="single" w:sz="4" w:space="0" w:color="000000"/>
              <w:bottom w:val="single" w:sz="4" w:space="0" w:color="000000"/>
            </w:tcBorders>
            <w:vAlign w:val="center"/>
          </w:tcPr>
          <w:p w14:paraId="6F755DC4" w14:textId="77777777" w:rsidR="00725977" w:rsidRPr="00D4309F" w:rsidRDefault="00725977" w:rsidP="007E44C8">
            <w:pPr>
              <w:pStyle w:val="Table-Bullet"/>
            </w:pPr>
            <w:r w:rsidRPr="00D4309F">
              <w:t>Assumption that suitable</w:t>
            </w:r>
            <w:r w:rsidRPr="00D4309F">
              <w:rPr>
                <w:spacing w:val="-15"/>
              </w:rPr>
              <w:t xml:space="preserve"> </w:t>
            </w:r>
            <w:r w:rsidRPr="00D4309F">
              <w:t>data</w:t>
            </w:r>
            <w:r w:rsidRPr="00D4309F">
              <w:rPr>
                <w:spacing w:val="-12"/>
              </w:rPr>
              <w:t xml:space="preserve"> </w:t>
            </w:r>
            <w:r w:rsidRPr="00D4309F">
              <w:t>exists to inform this risk</w:t>
            </w:r>
          </w:p>
        </w:tc>
        <w:tc>
          <w:tcPr>
            <w:tcW w:w="2665" w:type="dxa"/>
            <w:tcBorders>
              <w:top w:val="single" w:sz="4" w:space="0" w:color="000000"/>
              <w:bottom w:val="single" w:sz="4" w:space="0" w:color="000000"/>
            </w:tcBorders>
            <w:vAlign w:val="center"/>
          </w:tcPr>
          <w:p w14:paraId="24D2B44C" w14:textId="77777777" w:rsidR="00725977" w:rsidRPr="00D4309F" w:rsidRDefault="00725977" w:rsidP="007E44C8">
            <w:pPr>
              <w:pStyle w:val="Table-Bullet"/>
            </w:pPr>
            <w:r w:rsidRPr="00D4309F">
              <w:rPr>
                <w:spacing w:val="-4"/>
              </w:rPr>
              <w:t>None</w:t>
            </w:r>
          </w:p>
        </w:tc>
      </w:tr>
      <w:tr w:rsidR="00F07A84" w:rsidRPr="00D4309F" w14:paraId="7BB45AE6" w14:textId="77777777" w:rsidTr="007E44C8">
        <w:trPr>
          <w:cantSplit/>
          <w:trHeight w:val="20"/>
        </w:trPr>
        <w:tc>
          <w:tcPr>
            <w:tcW w:w="1418" w:type="dxa"/>
            <w:tcBorders>
              <w:top w:val="single" w:sz="4" w:space="0" w:color="000000"/>
              <w:bottom w:val="single" w:sz="4" w:space="0" w:color="000000"/>
            </w:tcBorders>
            <w:vAlign w:val="center"/>
          </w:tcPr>
          <w:p w14:paraId="4DC9A76B" w14:textId="77777777" w:rsidR="00725977" w:rsidRPr="00D4309F" w:rsidRDefault="00725977" w:rsidP="007E44C8">
            <w:pPr>
              <w:pStyle w:val="Table-Text"/>
            </w:pPr>
            <w:r w:rsidRPr="00D4309F">
              <w:lastRenderedPageBreak/>
              <w:t>Marine environmental quality</w:t>
            </w:r>
          </w:p>
        </w:tc>
        <w:tc>
          <w:tcPr>
            <w:tcW w:w="1701" w:type="dxa"/>
            <w:tcBorders>
              <w:top w:val="single" w:sz="4" w:space="0" w:color="000000"/>
              <w:bottom w:val="single" w:sz="4" w:space="0" w:color="000000"/>
            </w:tcBorders>
            <w:vAlign w:val="center"/>
          </w:tcPr>
          <w:p w14:paraId="4C288FA8" w14:textId="77777777" w:rsidR="00725977" w:rsidRPr="00D4309F" w:rsidRDefault="00725977" w:rsidP="007E44C8">
            <w:pPr>
              <w:pStyle w:val="Table-Text"/>
            </w:pPr>
            <w:r w:rsidRPr="00D4309F">
              <w:t>Water quality</w:t>
            </w:r>
          </w:p>
        </w:tc>
        <w:tc>
          <w:tcPr>
            <w:tcW w:w="2551" w:type="dxa"/>
            <w:tcBorders>
              <w:top w:val="single" w:sz="4" w:space="0" w:color="000000"/>
              <w:bottom w:val="single" w:sz="4" w:space="0" w:color="000000"/>
            </w:tcBorders>
            <w:vAlign w:val="center"/>
          </w:tcPr>
          <w:p w14:paraId="0E3BEFEF" w14:textId="77777777" w:rsidR="00725977" w:rsidRPr="00D4309F" w:rsidRDefault="00725977" w:rsidP="007E44C8">
            <w:pPr>
              <w:pStyle w:val="Table-Bullet"/>
            </w:pPr>
            <w:r w:rsidRPr="00D4309F">
              <w:t>Hydrocarbon</w:t>
            </w:r>
            <w:r w:rsidRPr="00D4309F">
              <w:rPr>
                <w:spacing w:val="-5"/>
              </w:rPr>
              <w:t xml:space="preserve"> </w:t>
            </w:r>
            <w:r w:rsidRPr="00D4309F">
              <w:rPr>
                <w:spacing w:val="-2"/>
              </w:rPr>
              <w:t>spills/waste</w:t>
            </w:r>
          </w:p>
        </w:tc>
        <w:tc>
          <w:tcPr>
            <w:tcW w:w="1276" w:type="dxa"/>
            <w:tcBorders>
              <w:top w:val="single" w:sz="4" w:space="0" w:color="000000"/>
              <w:bottom w:val="single" w:sz="4" w:space="0" w:color="000000"/>
            </w:tcBorders>
            <w:shd w:val="clear" w:color="auto" w:fill="92D050"/>
            <w:vAlign w:val="center"/>
          </w:tcPr>
          <w:p w14:paraId="6C8A19E0" w14:textId="77777777" w:rsidR="00725977" w:rsidRPr="00F842F6" w:rsidRDefault="00725977" w:rsidP="00F842F6">
            <w:pPr>
              <w:pStyle w:val="Table-Text"/>
              <w:rPr>
                <w:b/>
                <w:bCs/>
              </w:rPr>
            </w:pPr>
            <w:r w:rsidRPr="00F842F6">
              <w:rPr>
                <w:b/>
                <w:bCs/>
                <w:spacing w:val="-5"/>
              </w:rPr>
              <w:t>Low</w:t>
            </w:r>
          </w:p>
        </w:tc>
        <w:tc>
          <w:tcPr>
            <w:tcW w:w="2957" w:type="dxa"/>
            <w:tcBorders>
              <w:top w:val="single" w:sz="4" w:space="0" w:color="000000"/>
              <w:bottom w:val="single" w:sz="4" w:space="0" w:color="000000"/>
            </w:tcBorders>
            <w:vAlign w:val="center"/>
          </w:tcPr>
          <w:p w14:paraId="090F9A11" w14:textId="77777777" w:rsidR="00725977" w:rsidRPr="00D4309F" w:rsidRDefault="00725977" w:rsidP="007E44C8">
            <w:pPr>
              <w:pStyle w:val="Table-Bullet"/>
            </w:pPr>
            <w:r w:rsidRPr="00D4309F">
              <w:t>Compliance with standard procedures</w:t>
            </w:r>
            <w:r w:rsidRPr="00D4309F">
              <w:rPr>
                <w:spacing w:val="-13"/>
              </w:rPr>
              <w:t xml:space="preserve"> </w:t>
            </w:r>
            <w:r w:rsidRPr="00D4309F">
              <w:t>will</w:t>
            </w:r>
            <w:r w:rsidRPr="00D4309F">
              <w:rPr>
                <w:spacing w:val="-12"/>
              </w:rPr>
              <w:t xml:space="preserve"> </w:t>
            </w:r>
            <w:r w:rsidRPr="00D4309F">
              <w:t>minimise</w:t>
            </w:r>
            <w:r w:rsidRPr="00D4309F">
              <w:rPr>
                <w:spacing w:val="-13"/>
              </w:rPr>
              <w:t xml:space="preserve"> </w:t>
            </w:r>
            <w:r w:rsidRPr="00D4309F">
              <w:t xml:space="preserve">this </w:t>
            </w:r>
            <w:r w:rsidRPr="00D4309F">
              <w:rPr>
                <w:spacing w:val="-4"/>
              </w:rPr>
              <w:t>risk</w:t>
            </w:r>
          </w:p>
        </w:tc>
        <w:tc>
          <w:tcPr>
            <w:tcW w:w="2004" w:type="dxa"/>
            <w:tcBorders>
              <w:top w:val="single" w:sz="4" w:space="0" w:color="000000"/>
              <w:bottom w:val="single" w:sz="4" w:space="0" w:color="000000"/>
            </w:tcBorders>
            <w:vAlign w:val="center"/>
          </w:tcPr>
          <w:p w14:paraId="3D968756" w14:textId="77777777" w:rsidR="00725977" w:rsidRPr="00D4309F" w:rsidRDefault="00725977" w:rsidP="007E44C8">
            <w:pPr>
              <w:pStyle w:val="Table-Bullet"/>
            </w:pPr>
            <w:r w:rsidRPr="00D4309F">
              <w:rPr>
                <w:spacing w:val="-4"/>
              </w:rPr>
              <w:t>None</w:t>
            </w:r>
          </w:p>
        </w:tc>
        <w:tc>
          <w:tcPr>
            <w:tcW w:w="2665" w:type="dxa"/>
            <w:tcBorders>
              <w:top w:val="single" w:sz="4" w:space="0" w:color="000000"/>
              <w:bottom w:val="single" w:sz="4" w:space="0" w:color="000000"/>
            </w:tcBorders>
            <w:vAlign w:val="center"/>
          </w:tcPr>
          <w:p w14:paraId="52D2CAA1" w14:textId="77777777" w:rsidR="00725977" w:rsidRPr="00D4309F" w:rsidRDefault="00725977" w:rsidP="007E44C8">
            <w:pPr>
              <w:pStyle w:val="Table-Bullet"/>
            </w:pPr>
            <w:r w:rsidRPr="00D4309F">
              <w:t>Standard</w:t>
            </w:r>
            <w:r w:rsidRPr="00D4309F">
              <w:rPr>
                <w:spacing w:val="-13"/>
              </w:rPr>
              <w:t xml:space="preserve"> </w:t>
            </w:r>
            <w:r w:rsidRPr="00D4309F">
              <w:t>oil</w:t>
            </w:r>
            <w:r w:rsidRPr="00D4309F">
              <w:rPr>
                <w:spacing w:val="-12"/>
              </w:rPr>
              <w:t xml:space="preserve"> </w:t>
            </w:r>
            <w:r w:rsidRPr="00D4309F">
              <w:t>spill</w:t>
            </w:r>
            <w:r w:rsidRPr="00D4309F">
              <w:rPr>
                <w:spacing w:val="-13"/>
              </w:rPr>
              <w:t xml:space="preserve"> </w:t>
            </w:r>
            <w:r w:rsidRPr="00D4309F">
              <w:t>and waste procedures</w:t>
            </w:r>
          </w:p>
        </w:tc>
      </w:tr>
      <w:tr w:rsidR="00F07A84" w:rsidRPr="00D4309F" w14:paraId="6A6D6EFE" w14:textId="77777777" w:rsidTr="007E44C8">
        <w:trPr>
          <w:cantSplit/>
          <w:trHeight w:val="20"/>
        </w:trPr>
        <w:tc>
          <w:tcPr>
            <w:tcW w:w="1418" w:type="dxa"/>
            <w:tcBorders>
              <w:top w:val="single" w:sz="4" w:space="0" w:color="000000"/>
              <w:bottom w:val="single" w:sz="4" w:space="0" w:color="000000"/>
            </w:tcBorders>
            <w:vAlign w:val="center"/>
          </w:tcPr>
          <w:p w14:paraId="40A4E251" w14:textId="1986B79E" w:rsidR="00E2682F" w:rsidRPr="00D4309F" w:rsidRDefault="00E2682F" w:rsidP="007E44C8">
            <w:pPr>
              <w:pStyle w:val="Table-Text"/>
            </w:pPr>
            <w:r w:rsidRPr="00D4309F">
              <w:t>Marine environmental quality</w:t>
            </w:r>
          </w:p>
        </w:tc>
        <w:tc>
          <w:tcPr>
            <w:tcW w:w="1701" w:type="dxa"/>
            <w:tcBorders>
              <w:top w:val="single" w:sz="4" w:space="0" w:color="000000"/>
              <w:bottom w:val="single" w:sz="4" w:space="0" w:color="000000"/>
            </w:tcBorders>
            <w:vAlign w:val="center"/>
          </w:tcPr>
          <w:p w14:paraId="108B0848" w14:textId="603EF280" w:rsidR="00E2682F" w:rsidRPr="00D4309F" w:rsidRDefault="00E2682F" w:rsidP="007E44C8">
            <w:pPr>
              <w:pStyle w:val="Table-Text"/>
            </w:pPr>
            <w:r w:rsidRPr="00D4309F">
              <w:t>Water quality</w:t>
            </w:r>
          </w:p>
        </w:tc>
        <w:tc>
          <w:tcPr>
            <w:tcW w:w="2551" w:type="dxa"/>
            <w:tcBorders>
              <w:top w:val="single" w:sz="4" w:space="0" w:color="000000"/>
              <w:bottom w:val="single" w:sz="4" w:space="0" w:color="000000"/>
            </w:tcBorders>
            <w:vAlign w:val="center"/>
          </w:tcPr>
          <w:p w14:paraId="40C9773E" w14:textId="52B47ABA" w:rsidR="00E2682F" w:rsidRPr="00D4309F" w:rsidRDefault="00E2682F" w:rsidP="007E44C8">
            <w:pPr>
              <w:pStyle w:val="Table-Bullet"/>
            </w:pPr>
            <w:r w:rsidRPr="00D4309F">
              <w:t>Introduced</w:t>
            </w:r>
            <w:r w:rsidRPr="00D4309F">
              <w:rPr>
                <w:spacing w:val="-4"/>
              </w:rPr>
              <w:t xml:space="preserve"> </w:t>
            </w:r>
            <w:r w:rsidRPr="00D4309F">
              <w:t>marine</w:t>
            </w:r>
            <w:r w:rsidRPr="00D4309F">
              <w:rPr>
                <w:spacing w:val="-4"/>
              </w:rPr>
              <w:t xml:space="preserve"> </w:t>
            </w:r>
            <w:r w:rsidRPr="00D4309F">
              <w:rPr>
                <w:spacing w:val="-2"/>
              </w:rPr>
              <w:t>species</w:t>
            </w:r>
          </w:p>
        </w:tc>
        <w:tc>
          <w:tcPr>
            <w:tcW w:w="1276" w:type="dxa"/>
            <w:tcBorders>
              <w:top w:val="single" w:sz="4" w:space="0" w:color="000000"/>
              <w:bottom w:val="single" w:sz="4" w:space="0" w:color="000000"/>
            </w:tcBorders>
            <w:shd w:val="clear" w:color="auto" w:fill="92D050"/>
            <w:vAlign w:val="center"/>
          </w:tcPr>
          <w:p w14:paraId="0BF04B23" w14:textId="3BDB0203" w:rsidR="00E2682F" w:rsidRPr="00F842F6" w:rsidRDefault="00E2682F" w:rsidP="00F842F6">
            <w:pPr>
              <w:pStyle w:val="Table-Text"/>
              <w:rPr>
                <w:b/>
                <w:bCs/>
                <w:spacing w:val="-5"/>
              </w:rPr>
            </w:pPr>
            <w:r w:rsidRPr="00F842F6">
              <w:rPr>
                <w:b/>
                <w:bCs/>
                <w:spacing w:val="-5"/>
              </w:rPr>
              <w:t>Low</w:t>
            </w:r>
          </w:p>
        </w:tc>
        <w:tc>
          <w:tcPr>
            <w:tcW w:w="2957" w:type="dxa"/>
            <w:tcBorders>
              <w:top w:val="single" w:sz="4" w:space="0" w:color="000000"/>
              <w:bottom w:val="single" w:sz="4" w:space="0" w:color="000000"/>
            </w:tcBorders>
            <w:vAlign w:val="center"/>
          </w:tcPr>
          <w:p w14:paraId="1C7F2761" w14:textId="5BE8F133" w:rsidR="00E2682F" w:rsidRPr="00D4309F" w:rsidRDefault="00E2682F" w:rsidP="007E44C8">
            <w:pPr>
              <w:pStyle w:val="Table-Bullet"/>
            </w:pPr>
            <w:r w:rsidRPr="00D4309F">
              <w:t>Compliance with standard procedures</w:t>
            </w:r>
            <w:r w:rsidRPr="00D4309F">
              <w:rPr>
                <w:spacing w:val="-13"/>
              </w:rPr>
              <w:t xml:space="preserve"> </w:t>
            </w:r>
            <w:r w:rsidRPr="00D4309F">
              <w:t>will</w:t>
            </w:r>
            <w:r w:rsidRPr="00D4309F">
              <w:rPr>
                <w:spacing w:val="-12"/>
              </w:rPr>
              <w:t xml:space="preserve"> </w:t>
            </w:r>
            <w:r w:rsidRPr="00D4309F">
              <w:t>minimise</w:t>
            </w:r>
            <w:r w:rsidRPr="00D4309F">
              <w:rPr>
                <w:spacing w:val="-13"/>
              </w:rPr>
              <w:t xml:space="preserve"> </w:t>
            </w:r>
            <w:r w:rsidRPr="00D4309F">
              <w:t xml:space="preserve">this </w:t>
            </w:r>
            <w:r w:rsidRPr="00D4309F">
              <w:rPr>
                <w:spacing w:val="-4"/>
              </w:rPr>
              <w:t>risk</w:t>
            </w:r>
          </w:p>
        </w:tc>
        <w:tc>
          <w:tcPr>
            <w:tcW w:w="2004" w:type="dxa"/>
            <w:tcBorders>
              <w:top w:val="single" w:sz="4" w:space="0" w:color="000000"/>
              <w:bottom w:val="single" w:sz="4" w:space="0" w:color="000000"/>
            </w:tcBorders>
            <w:vAlign w:val="center"/>
          </w:tcPr>
          <w:p w14:paraId="5516676A" w14:textId="6FB6BF72" w:rsidR="00E2682F" w:rsidRPr="00D4309F" w:rsidRDefault="00E2682F" w:rsidP="007E44C8">
            <w:pPr>
              <w:pStyle w:val="Table-Bullet"/>
              <w:rPr>
                <w:spacing w:val="-4"/>
              </w:rPr>
            </w:pPr>
            <w:r w:rsidRPr="00D4309F">
              <w:rPr>
                <w:spacing w:val="-4"/>
              </w:rPr>
              <w:t>None</w:t>
            </w:r>
          </w:p>
        </w:tc>
        <w:tc>
          <w:tcPr>
            <w:tcW w:w="2665" w:type="dxa"/>
            <w:tcBorders>
              <w:top w:val="single" w:sz="4" w:space="0" w:color="000000"/>
              <w:bottom w:val="single" w:sz="4" w:space="0" w:color="000000"/>
            </w:tcBorders>
            <w:vAlign w:val="center"/>
          </w:tcPr>
          <w:p w14:paraId="578A29AB" w14:textId="50DB7372" w:rsidR="00E2682F" w:rsidRPr="00D4309F" w:rsidRDefault="00E2682F" w:rsidP="007E44C8">
            <w:pPr>
              <w:pStyle w:val="Table-Bullet"/>
            </w:pPr>
            <w:r w:rsidRPr="00D4309F">
              <w:t>Compliance</w:t>
            </w:r>
            <w:r w:rsidRPr="00D4309F">
              <w:rPr>
                <w:spacing w:val="-15"/>
              </w:rPr>
              <w:t xml:space="preserve"> </w:t>
            </w:r>
            <w:r w:rsidRPr="00D4309F">
              <w:t>with</w:t>
            </w:r>
            <w:r w:rsidRPr="00D4309F">
              <w:rPr>
                <w:spacing w:val="-12"/>
              </w:rPr>
              <w:t xml:space="preserve"> </w:t>
            </w:r>
            <w:r w:rsidRPr="00D4309F">
              <w:t>standard state and commonwealth procedures</w:t>
            </w:r>
            <w:r w:rsidRPr="00D4309F">
              <w:rPr>
                <w:spacing w:val="-15"/>
              </w:rPr>
              <w:t xml:space="preserve"> </w:t>
            </w:r>
            <w:r w:rsidRPr="00D4309F">
              <w:t>regarding</w:t>
            </w:r>
            <w:r w:rsidRPr="00D4309F">
              <w:rPr>
                <w:spacing w:val="-12"/>
              </w:rPr>
              <w:t xml:space="preserve"> </w:t>
            </w:r>
            <w:r w:rsidRPr="00D4309F">
              <w:t>IMS</w:t>
            </w:r>
          </w:p>
        </w:tc>
      </w:tr>
      <w:tr w:rsidR="00F07A84" w:rsidRPr="00D4309F" w14:paraId="188E9AC5" w14:textId="77777777" w:rsidTr="007E44C8">
        <w:trPr>
          <w:cantSplit/>
          <w:trHeight w:val="20"/>
        </w:trPr>
        <w:tc>
          <w:tcPr>
            <w:tcW w:w="1418" w:type="dxa"/>
            <w:tcBorders>
              <w:top w:val="single" w:sz="4" w:space="0" w:color="000000"/>
              <w:bottom w:val="single" w:sz="4" w:space="0" w:color="000000"/>
            </w:tcBorders>
            <w:vAlign w:val="center"/>
          </w:tcPr>
          <w:p w14:paraId="3B36FD9E" w14:textId="3FF7C7A7" w:rsidR="00E2682F" w:rsidRPr="00D4309F" w:rsidRDefault="00E2682F" w:rsidP="007E44C8">
            <w:pPr>
              <w:pStyle w:val="Table-Text"/>
            </w:pPr>
            <w:r w:rsidRPr="00D4309F">
              <w:t>Marine</w:t>
            </w:r>
            <w:r w:rsidRPr="00D4309F">
              <w:rPr>
                <w:spacing w:val="-4"/>
              </w:rPr>
              <w:t xml:space="preserve"> </w:t>
            </w:r>
            <w:r w:rsidRPr="00D4309F">
              <w:t>fauna</w:t>
            </w:r>
          </w:p>
        </w:tc>
        <w:tc>
          <w:tcPr>
            <w:tcW w:w="1701" w:type="dxa"/>
            <w:tcBorders>
              <w:top w:val="single" w:sz="4" w:space="0" w:color="000000"/>
              <w:bottom w:val="single" w:sz="4" w:space="0" w:color="000000"/>
            </w:tcBorders>
            <w:vAlign w:val="center"/>
          </w:tcPr>
          <w:p w14:paraId="47AC5749" w14:textId="05436058" w:rsidR="00E2682F" w:rsidRPr="00D4309F" w:rsidRDefault="00E2682F" w:rsidP="007E44C8">
            <w:pPr>
              <w:pStyle w:val="Table-Text"/>
            </w:pPr>
            <w:r w:rsidRPr="00D4309F">
              <w:t>Turtles</w:t>
            </w:r>
          </w:p>
        </w:tc>
        <w:tc>
          <w:tcPr>
            <w:tcW w:w="2551" w:type="dxa"/>
            <w:tcBorders>
              <w:top w:val="single" w:sz="4" w:space="0" w:color="000000"/>
              <w:bottom w:val="single" w:sz="4" w:space="0" w:color="000000"/>
            </w:tcBorders>
            <w:vAlign w:val="center"/>
          </w:tcPr>
          <w:p w14:paraId="683620F3" w14:textId="77777777" w:rsidR="00E2682F" w:rsidRPr="00D4309F" w:rsidRDefault="00E2682F" w:rsidP="007E44C8">
            <w:pPr>
              <w:pStyle w:val="Table-Bullet"/>
            </w:pPr>
            <w:r w:rsidRPr="00D4309F">
              <w:t>Behavioural response and interruption</w:t>
            </w:r>
            <w:r w:rsidRPr="00D4309F">
              <w:rPr>
                <w:spacing w:val="-13"/>
              </w:rPr>
              <w:t xml:space="preserve"> </w:t>
            </w:r>
            <w:r w:rsidRPr="00D4309F">
              <w:t>of</w:t>
            </w:r>
            <w:r w:rsidRPr="00D4309F">
              <w:rPr>
                <w:spacing w:val="-12"/>
              </w:rPr>
              <w:t xml:space="preserve"> </w:t>
            </w:r>
            <w:r w:rsidRPr="00D4309F">
              <w:t>nesting</w:t>
            </w:r>
            <w:r w:rsidRPr="00D4309F">
              <w:rPr>
                <w:spacing w:val="-13"/>
              </w:rPr>
              <w:t xml:space="preserve"> </w:t>
            </w:r>
            <w:r w:rsidRPr="00D4309F">
              <w:t>behaviour due to light</w:t>
            </w:r>
          </w:p>
          <w:p w14:paraId="7F9B0887" w14:textId="77777777" w:rsidR="00E2682F" w:rsidRPr="00D4309F" w:rsidRDefault="00E2682F" w:rsidP="007E44C8">
            <w:pPr>
              <w:pStyle w:val="Table-Bullet"/>
            </w:pPr>
            <w:r w:rsidRPr="00D4309F">
              <w:t>Mortality/injury</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 xml:space="preserve">vessel collision, entanglement, </w:t>
            </w:r>
            <w:r w:rsidRPr="00D4309F">
              <w:rPr>
                <w:spacing w:val="-2"/>
              </w:rPr>
              <w:t>entrainment</w:t>
            </w:r>
          </w:p>
          <w:p w14:paraId="79A325B7" w14:textId="77777777" w:rsidR="00E2682F" w:rsidRPr="00D4309F" w:rsidRDefault="00E2682F" w:rsidP="007E44C8">
            <w:pPr>
              <w:pStyle w:val="Table-Bullet"/>
            </w:pPr>
            <w:r w:rsidRPr="00D4309F">
              <w:t>Mortality/injury</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entrainment in bypassing equipment</w:t>
            </w:r>
          </w:p>
          <w:p w14:paraId="02EAD54B" w14:textId="77777777" w:rsidR="00E2682F" w:rsidRPr="00D4309F" w:rsidRDefault="00E2682F" w:rsidP="007E44C8">
            <w:pPr>
              <w:pStyle w:val="Table-Bullet"/>
            </w:pPr>
            <w:r w:rsidRPr="00D4309F">
              <w:t>Mortality/injury</w:t>
            </w:r>
            <w:r w:rsidRPr="00D4309F">
              <w:rPr>
                <w:spacing w:val="-10"/>
              </w:rPr>
              <w:t xml:space="preserve"> </w:t>
            </w:r>
            <w:r w:rsidRPr="00D4309F">
              <w:t>due</w:t>
            </w:r>
            <w:r w:rsidRPr="00D4309F">
              <w:rPr>
                <w:spacing w:val="-11"/>
              </w:rPr>
              <w:t xml:space="preserve"> </w:t>
            </w:r>
            <w:r w:rsidRPr="00D4309F">
              <w:t>to</w:t>
            </w:r>
            <w:r w:rsidRPr="00D4309F">
              <w:rPr>
                <w:spacing w:val="-11"/>
              </w:rPr>
              <w:t xml:space="preserve"> </w:t>
            </w:r>
            <w:r w:rsidRPr="00D4309F">
              <w:t>onshore</w:t>
            </w:r>
            <w:r w:rsidRPr="00D4309F">
              <w:rPr>
                <w:spacing w:val="-10"/>
              </w:rPr>
              <w:t xml:space="preserve"> </w:t>
            </w:r>
            <w:r w:rsidRPr="00D4309F">
              <w:t>plant and vehicle movement during</w:t>
            </w:r>
            <w:r w:rsidRPr="00D4309F">
              <w:rPr>
                <w:spacing w:val="40"/>
              </w:rPr>
              <w:t xml:space="preserve"> </w:t>
            </w:r>
            <w:r w:rsidRPr="00D4309F">
              <w:t>beach profiling</w:t>
            </w:r>
          </w:p>
          <w:p w14:paraId="060562CF" w14:textId="77777777" w:rsidR="00E2682F" w:rsidRPr="00D4309F" w:rsidRDefault="00E2682F" w:rsidP="007E44C8">
            <w:pPr>
              <w:pStyle w:val="Table-Bullet"/>
            </w:pPr>
            <w:r w:rsidRPr="00D4309F">
              <w:t>Disturbance</w:t>
            </w:r>
            <w:r w:rsidRPr="00D4309F">
              <w:rPr>
                <w:spacing w:val="-4"/>
              </w:rPr>
              <w:t xml:space="preserve"> </w:t>
            </w:r>
            <w:r w:rsidRPr="00D4309F">
              <w:t>of</w:t>
            </w:r>
            <w:r w:rsidRPr="00D4309F">
              <w:rPr>
                <w:spacing w:val="-2"/>
              </w:rPr>
              <w:t xml:space="preserve"> </w:t>
            </w:r>
            <w:r w:rsidRPr="00D4309F">
              <w:t>habitat</w:t>
            </w:r>
            <w:r w:rsidRPr="00D4309F">
              <w:rPr>
                <w:spacing w:val="-3"/>
              </w:rPr>
              <w:t xml:space="preserve"> </w:t>
            </w:r>
            <w:r w:rsidRPr="00D4309F">
              <w:t>during sediment</w:t>
            </w:r>
            <w:r w:rsidRPr="00D4309F">
              <w:rPr>
                <w:spacing w:val="-13"/>
              </w:rPr>
              <w:t xml:space="preserve"> </w:t>
            </w:r>
            <w:r w:rsidRPr="00D4309F">
              <w:t>disposal</w:t>
            </w:r>
            <w:r w:rsidRPr="00D4309F">
              <w:rPr>
                <w:spacing w:val="-12"/>
              </w:rPr>
              <w:t xml:space="preserve"> </w:t>
            </w:r>
            <w:r w:rsidRPr="00D4309F">
              <w:t>and</w:t>
            </w:r>
            <w:r w:rsidRPr="00D4309F">
              <w:rPr>
                <w:spacing w:val="-13"/>
              </w:rPr>
              <w:t xml:space="preserve"> </w:t>
            </w:r>
            <w:r w:rsidRPr="00D4309F">
              <w:t xml:space="preserve">beach </w:t>
            </w:r>
            <w:r w:rsidRPr="00D4309F">
              <w:rPr>
                <w:spacing w:val="-2"/>
              </w:rPr>
              <w:t>reprofiling</w:t>
            </w:r>
          </w:p>
          <w:p w14:paraId="399D70E6" w14:textId="17AC5A66" w:rsidR="00E2682F" w:rsidRPr="00D4309F" w:rsidRDefault="00E2682F" w:rsidP="007E44C8">
            <w:pPr>
              <w:pStyle w:val="Table-Bullet"/>
            </w:pPr>
            <w:r w:rsidRPr="00D4309F">
              <w:t>Change of beach profile at Mooloolaba Main Beach due to sediment</w:t>
            </w:r>
            <w:r w:rsidRPr="00D4309F">
              <w:rPr>
                <w:spacing w:val="-10"/>
              </w:rPr>
              <w:t xml:space="preserve"> </w:t>
            </w:r>
            <w:r w:rsidRPr="00D4309F">
              <w:t>disposal</w:t>
            </w:r>
            <w:r w:rsidRPr="00D4309F">
              <w:rPr>
                <w:spacing w:val="-10"/>
              </w:rPr>
              <w:t xml:space="preserve"> </w:t>
            </w:r>
            <w:r w:rsidRPr="00D4309F">
              <w:t>direct</w:t>
            </w:r>
            <w:r w:rsidRPr="00D4309F">
              <w:rPr>
                <w:spacing w:val="-10"/>
              </w:rPr>
              <w:t xml:space="preserve"> </w:t>
            </w:r>
            <w:r w:rsidRPr="00D4309F">
              <w:t>to</w:t>
            </w:r>
            <w:r w:rsidRPr="00D4309F">
              <w:rPr>
                <w:spacing w:val="-11"/>
              </w:rPr>
              <w:t xml:space="preserve"> </w:t>
            </w:r>
            <w:r w:rsidRPr="00D4309F">
              <w:t>beach impacting nesting</w:t>
            </w:r>
          </w:p>
        </w:tc>
        <w:tc>
          <w:tcPr>
            <w:tcW w:w="1276" w:type="dxa"/>
            <w:tcBorders>
              <w:top w:val="single" w:sz="4" w:space="0" w:color="000000"/>
              <w:bottom w:val="single" w:sz="4" w:space="0" w:color="000000"/>
            </w:tcBorders>
            <w:shd w:val="clear" w:color="auto" w:fill="FFFF00"/>
            <w:vAlign w:val="center"/>
          </w:tcPr>
          <w:p w14:paraId="6800F82D" w14:textId="57661C35" w:rsidR="00E2682F" w:rsidRPr="00F842F6" w:rsidRDefault="00E2682F" w:rsidP="00F842F6">
            <w:pPr>
              <w:pStyle w:val="Table-Text"/>
              <w:rPr>
                <w:b/>
                <w:bCs/>
                <w:spacing w:val="-5"/>
              </w:rPr>
            </w:pPr>
            <w:r w:rsidRPr="00F842F6">
              <w:rPr>
                <w:b/>
                <w:bCs/>
                <w:spacing w:val="-2"/>
              </w:rPr>
              <w:t>Moderate</w:t>
            </w:r>
          </w:p>
        </w:tc>
        <w:tc>
          <w:tcPr>
            <w:tcW w:w="2957" w:type="dxa"/>
            <w:tcBorders>
              <w:top w:val="single" w:sz="4" w:space="0" w:color="000000"/>
              <w:bottom w:val="single" w:sz="4" w:space="0" w:color="000000"/>
            </w:tcBorders>
            <w:vAlign w:val="center"/>
          </w:tcPr>
          <w:p w14:paraId="083DC146" w14:textId="5EADE4D0" w:rsidR="00E2682F" w:rsidRPr="00D4309F" w:rsidRDefault="00E2682F" w:rsidP="007E44C8">
            <w:pPr>
              <w:pStyle w:val="Table-Bullet"/>
            </w:pPr>
            <w:r w:rsidRPr="00D4309F">
              <w:t>Several turtle species listed as endangered or vulnerable under the EPBC were identified in the project area with Green (Vulnerable) and Loggerhead (Endangered) turtles known to nest on Buddina and Mooloolaba beaches.</w:t>
            </w:r>
            <w:r w:rsidRPr="00D4309F">
              <w:rPr>
                <w:spacing w:val="-15"/>
              </w:rPr>
              <w:t xml:space="preserve"> </w:t>
            </w:r>
            <w:r w:rsidRPr="00D4309F">
              <w:t>Therefore,</w:t>
            </w:r>
            <w:r w:rsidRPr="00D4309F">
              <w:rPr>
                <w:spacing w:val="-12"/>
              </w:rPr>
              <w:t xml:space="preserve"> </w:t>
            </w:r>
            <w:r w:rsidRPr="00D4309F">
              <w:t>potential impacts</w:t>
            </w:r>
            <w:r w:rsidRPr="00D4309F">
              <w:rPr>
                <w:spacing w:val="-5"/>
              </w:rPr>
              <w:t xml:space="preserve"> </w:t>
            </w:r>
            <w:r w:rsidRPr="00D4309F">
              <w:t>need</w:t>
            </w:r>
            <w:r w:rsidRPr="00D4309F">
              <w:rPr>
                <w:spacing w:val="-6"/>
              </w:rPr>
              <w:t xml:space="preserve"> </w:t>
            </w:r>
            <w:r w:rsidRPr="00D4309F">
              <w:t>to</w:t>
            </w:r>
            <w:r w:rsidRPr="00D4309F">
              <w:rPr>
                <w:spacing w:val="-6"/>
              </w:rPr>
              <w:t xml:space="preserve"> </w:t>
            </w:r>
            <w:r w:rsidRPr="00D4309F">
              <w:t>be</w:t>
            </w:r>
            <w:r w:rsidRPr="00D4309F">
              <w:rPr>
                <w:spacing w:val="-6"/>
              </w:rPr>
              <w:t xml:space="preserve"> </w:t>
            </w:r>
            <w:r w:rsidRPr="00D4309F">
              <w:t xml:space="preserve">managed </w:t>
            </w:r>
            <w:r w:rsidRPr="00D4309F">
              <w:rPr>
                <w:spacing w:val="-2"/>
              </w:rPr>
              <w:t>accordingly.</w:t>
            </w:r>
          </w:p>
        </w:tc>
        <w:tc>
          <w:tcPr>
            <w:tcW w:w="2004" w:type="dxa"/>
            <w:tcBorders>
              <w:top w:val="single" w:sz="4" w:space="0" w:color="000000"/>
              <w:bottom w:val="single" w:sz="4" w:space="0" w:color="000000"/>
            </w:tcBorders>
            <w:vAlign w:val="center"/>
          </w:tcPr>
          <w:p w14:paraId="0930C266" w14:textId="77777777" w:rsidR="00E2682F" w:rsidRPr="00D4309F" w:rsidRDefault="00E2682F" w:rsidP="007E44C8">
            <w:pPr>
              <w:pStyle w:val="Table-Bullet"/>
            </w:pPr>
            <w:r w:rsidRPr="00D4309F">
              <w:t>Assessment of shoreline</w:t>
            </w:r>
            <w:r w:rsidRPr="00D4309F">
              <w:rPr>
                <w:spacing w:val="-13"/>
              </w:rPr>
              <w:t xml:space="preserve"> </w:t>
            </w:r>
            <w:r w:rsidRPr="00D4309F">
              <w:t>response to works</w:t>
            </w:r>
          </w:p>
          <w:p w14:paraId="442C55A0" w14:textId="2E9E7B7A" w:rsidR="00E2682F" w:rsidRPr="00D4309F" w:rsidRDefault="00E2682F" w:rsidP="007E44C8">
            <w:pPr>
              <w:pStyle w:val="Table-Bullet"/>
              <w:rPr>
                <w:spacing w:val="-4"/>
              </w:rPr>
            </w:pPr>
            <w:r w:rsidRPr="00D4309F">
              <w:t>Light</w:t>
            </w:r>
            <w:r w:rsidRPr="00D4309F">
              <w:rPr>
                <w:spacing w:val="-15"/>
              </w:rPr>
              <w:t xml:space="preserve"> </w:t>
            </w:r>
            <w:r w:rsidRPr="00D4309F">
              <w:t>assessment</w:t>
            </w:r>
            <w:r w:rsidRPr="00D4309F">
              <w:rPr>
                <w:spacing w:val="-12"/>
              </w:rPr>
              <w:t xml:space="preserve"> </w:t>
            </w:r>
            <w:r w:rsidRPr="00D4309F">
              <w:t xml:space="preserve">if night works are </w:t>
            </w:r>
            <w:r w:rsidRPr="00D4309F">
              <w:rPr>
                <w:spacing w:val="-2"/>
              </w:rPr>
              <w:t>proposed</w:t>
            </w:r>
          </w:p>
        </w:tc>
        <w:tc>
          <w:tcPr>
            <w:tcW w:w="2665" w:type="dxa"/>
            <w:tcBorders>
              <w:top w:val="single" w:sz="4" w:space="0" w:color="000000"/>
              <w:bottom w:val="single" w:sz="4" w:space="0" w:color="000000"/>
            </w:tcBorders>
            <w:vAlign w:val="center"/>
          </w:tcPr>
          <w:p w14:paraId="10F3C88C" w14:textId="77777777" w:rsidR="00E2682F" w:rsidRPr="00D4309F" w:rsidRDefault="00E2682F" w:rsidP="007E44C8">
            <w:pPr>
              <w:pStyle w:val="Table-Bullet"/>
            </w:pPr>
            <w:r w:rsidRPr="00D4309F">
              <w:t>Timing</w:t>
            </w:r>
            <w:r w:rsidRPr="00D4309F">
              <w:rPr>
                <w:spacing w:val="-11"/>
              </w:rPr>
              <w:t xml:space="preserve"> </w:t>
            </w:r>
            <w:r w:rsidRPr="00D4309F">
              <w:t>of</w:t>
            </w:r>
            <w:r w:rsidRPr="00D4309F">
              <w:rPr>
                <w:spacing w:val="-10"/>
              </w:rPr>
              <w:t xml:space="preserve"> </w:t>
            </w:r>
            <w:r w:rsidRPr="00D4309F">
              <w:t>works</w:t>
            </w:r>
            <w:r w:rsidRPr="00D4309F">
              <w:rPr>
                <w:spacing w:val="-10"/>
              </w:rPr>
              <w:t xml:space="preserve"> </w:t>
            </w:r>
            <w:r w:rsidRPr="00D4309F">
              <w:t>outside</w:t>
            </w:r>
            <w:r w:rsidRPr="00D4309F">
              <w:rPr>
                <w:spacing w:val="-11"/>
              </w:rPr>
              <w:t xml:space="preserve"> </w:t>
            </w:r>
            <w:r w:rsidRPr="00D4309F">
              <w:t>of turtle nesting periods</w:t>
            </w:r>
          </w:p>
          <w:p w14:paraId="73615270" w14:textId="77777777" w:rsidR="00E2682F" w:rsidRPr="00D4309F" w:rsidRDefault="00E2682F" w:rsidP="007E44C8">
            <w:pPr>
              <w:pStyle w:val="Table-Bullet"/>
            </w:pPr>
            <w:r w:rsidRPr="00D4309F">
              <w:t>Limitation of works to daylight hours or if necessary,</w:t>
            </w:r>
            <w:r w:rsidRPr="00D4309F">
              <w:rPr>
                <w:spacing w:val="-15"/>
              </w:rPr>
              <w:t xml:space="preserve"> </w:t>
            </w:r>
            <w:r w:rsidRPr="00D4309F">
              <w:t>standard</w:t>
            </w:r>
            <w:r w:rsidRPr="00D4309F">
              <w:rPr>
                <w:spacing w:val="-12"/>
              </w:rPr>
              <w:t xml:space="preserve"> </w:t>
            </w:r>
            <w:r w:rsidRPr="00D4309F">
              <w:t>light mitigation procedures</w:t>
            </w:r>
          </w:p>
          <w:p w14:paraId="77A479A3" w14:textId="77777777" w:rsidR="00E2682F" w:rsidRPr="00D4309F" w:rsidRDefault="00E2682F" w:rsidP="007E44C8">
            <w:pPr>
              <w:pStyle w:val="Table-Bullet"/>
            </w:pPr>
            <w:r w:rsidRPr="00D4309F">
              <w:t>Design to minimise disturbance of turtle habitat</w:t>
            </w:r>
            <w:r w:rsidRPr="00D4309F">
              <w:rPr>
                <w:spacing w:val="-13"/>
              </w:rPr>
              <w:t xml:space="preserve"> </w:t>
            </w:r>
            <w:r w:rsidRPr="00D4309F">
              <w:t>and</w:t>
            </w:r>
            <w:r w:rsidRPr="00D4309F">
              <w:rPr>
                <w:spacing w:val="-12"/>
              </w:rPr>
              <w:t xml:space="preserve"> </w:t>
            </w:r>
            <w:r w:rsidRPr="00D4309F">
              <w:t>maintain</w:t>
            </w:r>
            <w:r w:rsidRPr="00D4309F">
              <w:rPr>
                <w:spacing w:val="-13"/>
              </w:rPr>
              <w:t xml:space="preserve"> </w:t>
            </w:r>
            <w:r w:rsidRPr="00D4309F">
              <w:t>the beach profile</w:t>
            </w:r>
          </w:p>
          <w:p w14:paraId="7BDB523B" w14:textId="77777777" w:rsidR="00E2682F" w:rsidRPr="00D4309F" w:rsidRDefault="00E2682F" w:rsidP="007E44C8">
            <w:pPr>
              <w:pStyle w:val="Table-Bullet"/>
            </w:pPr>
            <w:r w:rsidRPr="00D4309F">
              <w:t>Standard marine fauna mitigation</w:t>
            </w:r>
            <w:r w:rsidRPr="00D4309F">
              <w:rPr>
                <w:spacing w:val="-15"/>
              </w:rPr>
              <w:t xml:space="preserve"> </w:t>
            </w:r>
            <w:r w:rsidRPr="00D4309F">
              <w:t>practices</w:t>
            </w:r>
            <w:r w:rsidRPr="00D4309F">
              <w:rPr>
                <w:spacing w:val="-12"/>
              </w:rPr>
              <w:t xml:space="preserve"> </w:t>
            </w:r>
            <w:r w:rsidRPr="00D4309F">
              <w:t>e.g. marine</w:t>
            </w:r>
            <w:r w:rsidRPr="00D4309F">
              <w:rPr>
                <w:spacing w:val="-15"/>
              </w:rPr>
              <w:t xml:space="preserve"> </w:t>
            </w:r>
            <w:r w:rsidRPr="00D4309F">
              <w:t>fauna</w:t>
            </w:r>
            <w:r w:rsidRPr="00D4309F">
              <w:rPr>
                <w:spacing w:val="-12"/>
              </w:rPr>
              <w:t xml:space="preserve"> </w:t>
            </w:r>
            <w:r w:rsidRPr="00D4309F">
              <w:t>observers and exclusion zones</w:t>
            </w:r>
          </w:p>
          <w:p w14:paraId="27EE908E" w14:textId="77777777" w:rsidR="00E2682F" w:rsidRPr="00D4309F" w:rsidRDefault="00E2682F" w:rsidP="007E44C8">
            <w:pPr>
              <w:pStyle w:val="Table-Bullet"/>
            </w:pPr>
            <w:r w:rsidRPr="00D4309F">
              <w:t xml:space="preserve">Turtle guards on </w:t>
            </w:r>
            <w:r w:rsidRPr="00D4309F">
              <w:rPr>
                <w:spacing w:val="-2"/>
              </w:rPr>
              <w:t>dredger/bypassing equipment</w:t>
            </w:r>
          </w:p>
          <w:p w14:paraId="062C5974" w14:textId="77777777" w:rsidR="00E2682F" w:rsidRPr="00D4309F" w:rsidRDefault="00E2682F" w:rsidP="007E44C8">
            <w:pPr>
              <w:pStyle w:val="Table-Bullet"/>
            </w:pPr>
            <w:r w:rsidRPr="00D4309F">
              <w:t>Appropriate management for onshore works e.g. onshore</w:t>
            </w:r>
            <w:r w:rsidRPr="00D4309F">
              <w:rPr>
                <w:spacing w:val="-13"/>
              </w:rPr>
              <w:t xml:space="preserve"> </w:t>
            </w:r>
            <w:r w:rsidRPr="00D4309F">
              <w:t>vehicles</w:t>
            </w:r>
            <w:r w:rsidRPr="00D4309F">
              <w:rPr>
                <w:spacing w:val="-12"/>
              </w:rPr>
              <w:t xml:space="preserve"> </w:t>
            </w:r>
            <w:r w:rsidRPr="00D4309F">
              <w:t>and</w:t>
            </w:r>
            <w:r w:rsidRPr="00D4309F">
              <w:rPr>
                <w:spacing w:val="-13"/>
              </w:rPr>
              <w:t xml:space="preserve"> </w:t>
            </w:r>
            <w:r w:rsidRPr="00D4309F">
              <w:t>plant to operate in designated tracks and areas</w:t>
            </w:r>
          </w:p>
          <w:p w14:paraId="73DDA1A1" w14:textId="6E705DA7" w:rsidR="00E2682F" w:rsidRPr="00D4309F" w:rsidRDefault="00E2682F" w:rsidP="007E44C8">
            <w:pPr>
              <w:pStyle w:val="Table-Bullet"/>
            </w:pPr>
            <w:r w:rsidRPr="00D4309F">
              <w:t>Beach</w:t>
            </w:r>
            <w:r w:rsidRPr="00D4309F">
              <w:rPr>
                <w:spacing w:val="-4"/>
              </w:rPr>
              <w:t xml:space="preserve"> </w:t>
            </w:r>
            <w:r w:rsidRPr="00D4309F">
              <w:t>profile</w:t>
            </w:r>
            <w:r w:rsidRPr="00D4309F">
              <w:rPr>
                <w:spacing w:val="-3"/>
              </w:rPr>
              <w:t xml:space="preserve"> </w:t>
            </w:r>
            <w:r w:rsidRPr="00D4309F">
              <w:rPr>
                <w:spacing w:val="-2"/>
              </w:rPr>
              <w:t>monitoring</w:t>
            </w:r>
          </w:p>
        </w:tc>
      </w:tr>
      <w:tr w:rsidR="00F07A84" w:rsidRPr="00D4309F" w14:paraId="307BBEA8" w14:textId="77777777" w:rsidTr="007E44C8">
        <w:trPr>
          <w:cantSplit/>
          <w:trHeight w:val="20"/>
        </w:trPr>
        <w:tc>
          <w:tcPr>
            <w:tcW w:w="1418" w:type="dxa"/>
            <w:tcBorders>
              <w:top w:val="single" w:sz="4" w:space="0" w:color="000000"/>
              <w:bottom w:val="single" w:sz="4" w:space="0" w:color="000000"/>
            </w:tcBorders>
            <w:vAlign w:val="center"/>
          </w:tcPr>
          <w:p w14:paraId="5F6534C7" w14:textId="07BEC940" w:rsidR="00E2682F" w:rsidRPr="00D4309F" w:rsidRDefault="00E2682F" w:rsidP="007E44C8">
            <w:pPr>
              <w:pStyle w:val="Table-Text"/>
            </w:pPr>
            <w:r w:rsidRPr="00D4309F">
              <w:lastRenderedPageBreak/>
              <w:t>Marine</w:t>
            </w:r>
            <w:r w:rsidRPr="00D4309F">
              <w:rPr>
                <w:spacing w:val="-4"/>
              </w:rPr>
              <w:t xml:space="preserve"> </w:t>
            </w:r>
            <w:r w:rsidRPr="00D4309F">
              <w:t>fauna</w:t>
            </w:r>
          </w:p>
        </w:tc>
        <w:tc>
          <w:tcPr>
            <w:tcW w:w="1701" w:type="dxa"/>
            <w:tcBorders>
              <w:top w:val="single" w:sz="4" w:space="0" w:color="000000"/>
              <w:bottom w:val="single" w:sz="4" w:space="0" w:color="000000"/>
            </w:tcBorders>
            <w:vAlign w:val="center"/>
          </w:tcPr>
          <w:p w14:paraId="48A691A1" w14:textId="45DF6AE8" w:rsidR="00E2682F" w:rsidRPr="00D4309F" w:rsidRDefault="00E2682F" w:rsidP="007E44C8">
            <w:pPr>
              <w:pStyle w:val="Table-Text"/>
            </w:pPr>
            <w:r w:rsidRPr="00D4309F">
              <w:t>Marine mammals</w:t>
            </w:r>
          </w:p>
        </w:tc>
        <w:tc>
          <w:tcPr>
            <w:tcW w:w="2551" w:type="dxa"/>
            <w:tcBorders>
              <w:top w:val="single" w:sz="4" w:space="0" w:color="000000"/>
              <w:bottom w:val="single" w:sz="4" w:space="0" w:color="000000"/>
            </w:tcBorders>
            <w:vAlign w:val="center"/>
          </w:tcPr>
          <w:p w14:paraId="3BDE1691" w14:textId="77777777" w:rsidR="00E2682F" w:rsidRPr="00D4309F" w:rsidRDefault="00E2682F" w:rsidP="007E44C8">
            <w:pPr>
              <w:pStyle w:val="Table-Bullet"/>
            </w:pPr>
            <w:r w:rsidRPr="00D4309F">
              <w:rPr>
                <w:spacing w:val="-2"/>
              </w:rPr>
              <w:t xml:space="preserve">Mortality/injury/behavioural </w:t>
            </w:r>
            <w:r w:rsidRPr="00D4309F">
              <w:t>response</w:t>
            </w:r>
            <w:r w:rsidRPr="00D4309F">
              <w:rPr>
                <w:spacing w:val="-8"/>
              </w:rPr>
              <w:t xml:space="preserve"> </w:t>
            </w:r>
            <w:r w:rsidRPr="00D4309F">
              <w:t>due</w:t>
            </w:r>
            <w:r w:rsidRPr="00D4309F">
              <w:rPr>
                <w:spacing w:val="-8"/>
              </w:rPr>
              <w:t xml:space="preserve"> </w:t>
            </w:r>
            <w:r w:rsidRPr="00D4309F">
              <w:t>to</w:t>
            </w:r>
            <w:r w:rsidRPr="00D4309F">
              <w:rPr>
                <w:spacing w:val="-8"/>
              </w:rPr>
              <w:t xml:space="preserve"> </w:t>
            </w:r>
            <w:r w:rsidRPr="00D4309F">
              <w:t>noise</w:t>
            </w:r>
            <w:r w:rsidRPr="00D4309F">
              <w:rPr>
                <w:spacing w:val="-8"/>
              </w:rPr>
              <w:t xml:space="preserve"> </w:t>
            </w:r>
            <w:r w:rsidRPr="00D4309F">
              <w:t>of</w:t>
            </w:r>
            <w:r w:rsidRPr="00D4309F">
              <w:rPr>
                <w:spacing w:val="-8"/>
              </w:rPr>
              <w:t xml:space="preserve"> </w:t>
            </w:r>
            <w:r w:rsidRPr="00D4309F">
              <w:t>rock cutting and dredging</w:t>
            </w:r>
          </w:p>
          <w:p w14:paraId="392DB770" w14:textId="52149A88" w:rsidR="00E2682F" w:rsidRPr="00D4309F" w:rsidRDefault="00E2682F" w:rsidP="007E44C8">
            <w:pPr>
              <w:pStyle w:val="Table-Bullet"/>
            </w:pPr>
            <w:r w:rsidRPr="00D4309F">
              <w:t>Vessel</w:t>
            </w:r>
            <w:r w:rsidRPr="00D4309F">
              <w:rPr>
                <w:spacing w:val="-15"/>
              </w:rPr>
              <w:t xml:space="preserve"> </w:t>
            </w:r>
            <w:r w:rsidRPr="00D4309F">
              <w:t>collision,</w:t>
            </w:r>
            <w:r w:rsidRPr="00D4309F">
              <w:rPr>
                <w:spacing w:val="-12"/>
              </w:rPr>
              <w:t xml:space="preserve"> </w:t>
            </w:r>
            <w:r w:rsidRPr="00D4309F">
              <w:t xml:space="preserve">entanglement, </w:t>
            </w:r>
            <w:r w:rsidRPr="00D4309F">
              <w:rPr>
                <w:spacing w:val="-2"/>
              </w:rPr>
              <w:t>entrainment</w:t>
            </w:r>
          </w:p>
        </w:tc>
        <w:tc>
          <w:tcPr>
            <w:tcW w:w="1276" w:type="dxa"/>
            <w:tcBorders>
              <w:top w:val="single" w:sz="4" w:space="0" w:color="000000"/>
              <w:bottom w:val="single" w:sz="4" w:space="0" w:color="000000"/>
            </w:tcBorders>
            <w:shd w:val="clear" w:color="auto" w:fill="FFC000"/>
            <w:vAlign w:val="center"/>
          </w:tcPr>
          <w:p w14:paraId="29E31762" w14:textId="1567518F" w:rsidR="00E2682F" w:rsidRPr="00F842F6" w:rsidRDefault="00E2682F" w:rsidP="00F842F6">
            <w:pPr>
              <w:pStyle w:val="Table-Text"/>
              <w:rPr>
                <w:b/>
                <w:bCs/>
                <w:spacing w:val="-5"/>
              </w:rPr>
            </w:pPr>
            <w:r w:rsidRPr="00F842F6">
              <w:rPr>
                <w:b/>
                <w:bCs/>
              </w:rPr>
              <w:t>High (for rock</w:t>
            </w:r>
            <w:r w:rsidRPr="00F842F6">
              <w:rPr>
                <w:b/>
                <w:bCs/>
                <w:spacing w:val="-13"/>
              </w:rPr>
              <w:t xml:space="preserve"> </w:t>
            </w:r>
            <w:r w:rsidRPr="00F842F6">
              <w:rPr>
                <w:b/>
                <w:bCs/>
              </w:rPr>
              <w:t>cutting)</w:t>
            </w:r>
          </w:p>
        </w:tc>
        <w:tc>
          <w:tcPr>
            <w:tcW w:w="2957" w:type="dxa"/>
            <w:tcBorders>
              <w:top w:val="single" w:sz="4" w:space="0" w:color="000000"/>
              <w:bottom w:val="single" w:sz="4" w:space="0" w:color="000000"/>
            </w:tcBorders>
            <w:vAlign w:val="center"/>
          </w:tcPr>
          <w:p w14:paraId="37B08536" w14:textId="77777777" w:rsidR="00E2682F" w:rsidRPr="00D4309F" w:rsidRDefault="00E2682F" w:rsidP="007E44C8">
            <w:pPr>
              <w:pStyle w:val="Table-Bullet"/>
            </w:pPr>
            <w:r w:rsidRPr="00D4309F">
              <w:t>Humpback whales may use the area for resting with calves</w:t>
            </w:r>
            <w:r w:rsidRPr="00D4309F">
              <w:rPr>
                <w:spacing w:val="-13"/>
              </w:rPr>
              <w:t xml:space="preserve"> </w:t>
            </w:r>
            <w:r w:rsidRPr="00D4309F">
              <w:t>during</w:t>
            </w:r>
            <w:r w:rsidRPr="00D4309F">
              <w:rPr>
                <w:spacing w:val="-12"/>
              </w:rPr>
              <w:t xml:space="preserve"> </w:t>
            </w:r>
            <w:r w:rsidRPr="00D4309F">
              <w:t>their</w:t>
            </w:r>
            <w:r w:rsidRPr="00D4309F">
              <w:rPr>
                <w:spacing w:val="-13"/>
              </w:rPr>
              <w:t xml:space="preserve"> </w:t>
            </w:r>
            <w:r w:rsidRPr="00D4309F">
              <w:t xml:space="preserve">migration </w:t>
            </w:r>
            <w:r w:rsidRPr="00D4309F">
              <w:rPr>
                <w:spacing w:val="-2"/>
              </w:rPr>
              <w:t>period</w:t>
            </w:r>
          </w:p>
          <w:p w14:paraId="0804E053" w14:textId="09F32D2E" w:rsidR="00E2682F" w:rsidRPr="00D4309F" w:rsidRDefault="00E2682F" w:rsidP="007E44C8">
            <w:pPr>
              <w:pStyle w:val="Table-Bullet"/>
            </w:pPr>
            <w:r w:rsidRPr="00D4309F">
              <w:t>Species</w:t>
            </w:r>
            <w:r w:rsidRPr="00D4309F">
              <w:rPr>
                <w:spacing w:val="-3"/>
              </w:rPr>
              <w:t xml:space="preserve"> </w:t>
            </w:r>
            <w:r w:rsidRPr="00D4309F">
              <w:t>of</w:t>
            </w:r>
            <w:r w:rsidRPr="00D4309F">
              <w:rPr>
                <w:spacing w:val="-3"/>
              </w:rPr>
              <w:t xml:space="preserve"> </w:t>
            </w:r>
            <w:r w:rsidRPr="00D4309F">
              <w:t>dolphins</w:t>
            </w:r>
            <w:r w:rsidRPr="00D4309F">
              <w:rPr>
                <w:spacing w:val="-3"/>
              </w:rPr>
              <w:t xml:space="preserve"> </w:t>
            </w:r>
            <w:r w:rsidRPr="00D4309F">
              <w:t>listed</w:t>
            </w:r>
            <w:r w:rsidRPr="00D4309F">
              <w:rPr>
                <w:spacing w:val="-2"/>
              </w:rPr>
              <w:t xml:space="preserve"> </w:t>
            </w:r>
            <w:r w:rsidRPr="00D4309F">
              <w:t>as vulnerable</w:t>
            </w:r>
            <w:r w:rsidRPr="00D4309F">
              <w:rPr>
                <w:spacing w:val="-6"/>
              </w:rPr>
              <w:t xml:space="preserve"> </w:t>
            </w:r>
            <w:r w:rsidRPr="00D4309F">
              <w:t>may</w:t>
            </w:r>
            <w:r w:rsidRPr="00D4309F">
              <w:rPr>
                <w:spacing w:val="-4"/>
              </w:rPr>
              <w:t xml:space="preserve"> </w:t>
            </w:r>
            <w:r w:rsidRPr="00D4309F">
              <w:t>also</w:t>
            </w:r>
            <w:r w:rsidRPr="00D4309F">
              <w:rPr>
                <w:spacing w:val="-6"/>
              </w:rPr>
              <w:t xml:space="preserve"> </w:t>
            </w:r>
            <w:r w:rsidRPr="00D4309F">
              <w:t>occur</w:t>
            </w:r>
            <w:r w:rsidRPr="00D4309F">
              <w:rPr>
                <w:spacing w:val="-5"/>
              </w:rPr>
              <w:t xml:space="preserve"> </w:t>
            </w:r>
            <w:r w:rsidRPr="00D4309F">
              <w:t>in the</w:t>
            </w:r>
            <w:r w:rsidRPr="00D4309F">
              <w:rPr>
                <w:spacing w:val="-1"/>
              </w:rPr>
              <w:t xml:space="preserve"> </w:t>
            </w:r>
            <w:r w:rsidRPr="00D4309F">
              <w:t>area and</w:t>
            </w:r>
            <w:r w:rsidRPr="00D4309F">
              <w:rPr>
                <w:spacing w:val="-1"/>
              </w:rPr>
              <w:t xml:space="preserve"> </w:t>
            </w:r>
            <w:r w:rsidRPr="00D4309F">
              <w:t>while they tend to move away from noise sources</w:t>
            </w:r>
            <w:r w:rsidRPr="00D4309F">
              <w:rPr>
                <w:spacing w:val="-8"/>
              </w:rPr>
              <w:t xml:space="preserve"> </w:t>
            </w:r>
            <w:r w:rsidRPr="00D4309F">
              <w:t>and</w:t>
            </w:r>
            <w:r w:rsidRPr="00D4309F">
              <w:rPr>
                <w:spacing w:val="-9"/>
              </w:rPr>
              <w:t xml:space="preserve"> </w:t>
            </w:r>
            <w:r w:rsidRPr="00D4309F">
              <w:t>are</w:t>
            </w:r>
            <w:r w:rsidRPr="00D4309F">
              <w:rPr>
                <w:spacing w:val="-9"/>
              </w:rPr>
              <w:t xml:space="preserve"> </w:t>
            </w:r>
            <w:r w:rsidRPr="00D4309F">
              <w:t>at</w:t>
            </w:r>
            <w:r w:rsidRPr="00D4309F">
              <w:rPr>
                <w:spacing w:val="-8"/>
              </w:rPr>
              <w:t xml:space="preserve"> </w:t>
            </w:r>
            <w:r w:rsidRPr="00D4309F">
              <w:t>lower</w:t>
            </w:r>
            <w:r w:rsidRPr="00D4309F">
              <w:rPr>
                <w:spacing w:val="-8"/>
              </w:rPr>
              <w:t xml:space="preserve"> </w:t>
            </w:r>
            <w:r w:rsidRPr="00D4309F">
              <w:t xml:space="preserve">risk of injury, the greater level of noise generated from rock cutting requires further </w:t>
            </w:r>
            <w:r w:rsidRPr="00D4309F">
              <w:rPr>
                <w:spacing w:val="-2"/>
              </w:rPr>
              <w:t>assessment</w:t>
            </w:r>
          </w:p>
        </w:tc>
        <w:tc>
          <w:tcPr>
            <w:tcW w:w="2004" w:type="dxa"/>
            <w:tcBorders>
              <w:top w:val="single" w:sz="4" w:space="0" w:color="000000"/>
              <w:bottom w:val="single" w:sz="4" w:space="0" w:color="000000"/>
            </w:tcBorders>
            <w:vAlign w:val="center"/>
          </w:tcPr>
          <w:p w14:paraId="3E1E7BD6" w14:textId="025769CF" w:rsidR="00E2682F" w:rsidRPr="00D4309F" w:rsidRDefault="00E2682F" w:rsidP="007E44C8">
            <w:pPr>
              <w:pStyle w:val="Table-Bullet"/>
              <w:rPr>
                <w:spacing w:val="-4"/>
              </w:rPr>
            </w:pPr>
            <w:r w:rsidRPr="00D4309F">
              <w:t xml:space="preserve">Underwater noise </w:t>
            </w:r>
            <w:r w:rsidRPr="00D4309F">
              <w:rPr>
                <w:spacing w:val="-2"/>
              </w:rPr>
              <w:t xml:space="preserve">assessment </w:t>
            </w:r>
            <w:r w:rsidRPr="00D4309F">
              <w:t>including</w:t>
            </w:r>
            <w:r w:rsidRPr="00D4309F">
              <w:rPr>
                <w:spacing w:val="-13"/>
              </w:rPr>
              <w:t xml:space="preserve"> </w:t>
            </w:r>
            <w:r w:rsidRPr="00D4309F">
              <w:t>modelling</w:t>
            </w:r>
          </w:p>
        </w:tc>
        <w:tc>
          <w:tcPr>
            <w:tcW w:w="2665" w:type="dxa"/>
            <w:tcBorders>
              <w:top w:val="single" w:sz="4" w:space="0" w:color="000000"/>
              <w:bottom w:val="single" w:sz="4" w:space="0" w:color="000000"/>
            </w:tcBorders>
            <w:vAlign w:val="center"/>
          </w:tcPr>
          <w:p w14:paraId="78725660" w14:textId="77777777" w:rsidR="00E2682F" w:rsidRPr="00D4309F" w:rsidRDefault="00E2682F" w:rsidP="007E44C8">
            <w:pPr>
              <w:pStyle w:val="Table-Bullet"/>
            </w:pPr>
            <w:r w:rsidRPr="00D4309F">
              <w:t>Timing</w:t>
            </w:r>
            <w:r w:rsidRPr="00D4309F">
              <w:rPr>
                <w:spacing w:val="-11"/>
              </w:rPr>
              <w:t xml:space="preserve"> </w:t>
            </w:r>
            <w:r w:rsidRPr="00D4309F">
              <w:t>of</w:t>
            </w:r>
            <w:r w:rsidRPr="00D4309F">
              <w:rPr>
                <w:spacing w:val="-10"/>
              </w:rPr>
              <w:t xml:space="preserve"> </w:t>
            </w:r>
            <w:r w:rsidRPr="00D4309F">
              <w:t>works</w:t>
            </w:r>
            <w:r w:rsidRPr="00D4309F">
              <w:rPr>
                <w:spacing w:val="-10"/>
              </w:rPr>
              <w:t xml:space="preserve"> </w:t>
            </w:r>
            <w:r w:rsidRPr="00D4309F">
              <w:t>outside</w:t>
            </w:r>
            <w:r w:rsidRPr="00D4309F">
              <w:rPr>
                <w:spacing w:val="-11"/>
              </w:rPr>
              <w:t xml:space="preserve"> </w:t>
            </w:r>
            <w:r w:rsidRPr="00D4309F">
              <w:t>of whale migration periods</w:t>
            </w:r>
          </w:p>
          <w:p w14:paraId="3281969C" w14:textId="55689397" w:rsidR="00E2682F" w:rsidRPr="00D4309F" w:rsidRDefault="00E2682F" w:rsidP="007E44C8">
            <w:pPr>
              <w:pStyle w:val="Table-Bullet"/>
            </w:pPr>
            <w:r w:rsidRPr="00D4309F">
              <w:t>Standard marine fauna mitigation</w:t>
            </w:r>
            <w:r w:rsidRPr="00D4309F">
              <w:rPr>
                <w:spacing w:val="-15"/>
              </w:rPr>
              <w:t xml:space="preserve"> </w:t>
            </w:r>
            <w:r w:rsidRPr="00D4309F">
              <w:t>practices</w:t>
            </w:r>
            <w:r w:rsidRPr="00D4309F">
              <w:rPr>
                <w:spacing w:val="-12"/>
              </w:rPr>
              <w:t xml:space="preserve"> </w:t>
            </w:r>
            <w:r w:rsidRPr="00D4309F">
              <w:t>e.g. marine</w:t>
            </w:r>
            <w:r w:rsidRPr="00D4309F">
              <w:rPr>
                <w:spacing w:val="-15"/>
              </w:rPr>
              <w:t xml:space="preserve"> </w:t>
            </w:r>
            <w:r w:rsidRPr="00D4309F">
              <w:t>fauna</w:t>
            </w:r>
            <w:r w:rsidRPr="00D4309F">
              <w:rPr>
                <w:spacing w:val="-12"/>
              </w:rPr>
              <w:t xml:space="preserve"> </w:t>
            </w:r>
            <w:r w:rsidRPr="00D4309F">
              <w:t>observers and exclusion zone</w:t>
            </w:r>
          </w:p>
        </w:tc>
      </w:tr>
      <w:tr w:rsidR="00F07A84" w:rsidRPr="00D4309F" w14:paraId="027F3A49" w14:textId="77777777" w:rsidTr="007E44C8">
        <w:trPr>
          <w:cantSplit/>
          <w:trHeight w:val="20"/>
        </w:trPr>
        <w:tc>
          <w:tcPr>
            <w:tcW w:w="1418" w:type="dxa"/>
            <w:tcBorders>
              <w:top w:val="single" w:sz="4" w:space="0" w:color="000000"/>
              <w:bottom w:val="single" w:sz="4" w:space="0" w:color="000000"/>
            </w:tcBorders>
            <w:vAlign w:val="center"/>
          </w:tcPr>
          <w:p w14:paraId="1FD7D21B" w14:textId="40E9D407" w:rsidR="00E2682F" w:rsidRPr="00D4309F" w:rsidRDefault="00E2682F" w:rsidP="007E44C8">
            <w:pPr>
              <w:pStyle w:val="Table-Text"/>
            </w:pPr>
            <w:r w:rsidRPr="00D4309F">
              <w:t>Marine</w:t>
            </w:r>
            <w:r w:rsidRPr="00D4309F">
              <w:rPr>
                <w:spacing w:val="-4"/>
              </w:rPr>
              <w:t xml:space="preserve"> </w:t>
            </w:r>
            <w:r w:rsidRPr="00D4309F">
              <w:t>fauna</w:t>
            </w:r>
          </w:p>
        </w:tc>
        <w:tc>
          <w:tcPr>
            <w:tcW w:w="1701" w:type="dxa"/>
            <w:tcBorders>
              <w:top w:val="single" w:sz="4" w:space="0" w:color="000000"/>
              <w:bottom w:val="single" w:sz="4" w:space="0" w:color="000000"/>
            </w:tcBorders>
            <w:vAlign w:val="center"/>
          </w:tcPr>
          <w:p w14:paraId="35A41D84" w14:textId="5AF74BF8" w:rsidR="00E2682F" w:rsidRPr="00D4309F" w:rsidRDefault="00E2682F" w:rsidP="007E44C8">
            <w:pPr>
              <w:pStyle w:val="Table-Text"/>
            </w:pPr>
            <w:r w:rsidRPr="00D4309F">
              <w:t>Roosting Seabirds</w:t>
            </w:r>
          </w:p>
        </w:tc>
        <w:tc>
          <w:tcPr>
            <w:tcW w:w="2551" w:type="dxa"/>
            <w:tcBorders>
              <w:top w:val="single" w:sz="4" w:space="0" w:color="000000"/>
              <w:bottom w:val="single" w:sz="4" w:space="0" w:color="000000"/>
            </w:tcBorders>
            <w:vAlign w:val="center"/>
          </w:tcPr>
          <w:p w14:paraId="5C2A525E" w14:textId="77777777" w:rsidR="00E2682F" w:rsidRPr="00D4309F" w:rsidRDefault="00E2682F" w:rsidP="007E44C8">
            <w:pPr>
              <w:pStyle w:val="Table-Bullet"/>
            </w:pPr>
            <w:r w:rsidRPr="00D4309F">
              <w:rPr>
                <w:spacing w:val="-2"/>
              </w:rPr>
              <w:t xml:space="preserve">Mortality/injury/behavioural </w:t>
            </w:r>
            <w:r w:rsidRPr="00D4309F">
              <w:t>response</w:t>
            </w:r>
            <w:r w:rsidRPr="00D4309F">
              <w:rPr>
                <w:spacing w:val="-8"/>
              </w:rPr>
              <w:t xml:space="preserve"> </w:t>
            </w:r>
            <w:r w:rsidRPr="00D4309F">
              <w:t>due</w:t>
            </w:r>
            <w:r w:rsidRPr="00D4309F">
              <w:rPr>
                <w:spacing w:val="-8"/>
              </w:rPr>
              <w:t xml:space="preserve"> </w:t>
            </w:r>
            <w:r w:rsidRPr="00D4309F">
              <w:t>to</w:t>
            </w:r>
            <w:r w:rsidRPr="00D4309F">
              <w:rPr>
                <w:spacing w:val="-8"/>
              </w:rPr>
              <w:t xml:space="preserve"> </w:t>
            </w:r>
            <w:r w:rsidRPr="00D4309F">
              <w:t>noise</w:t>
            </w:r>
            <w:r w:rsidRPr="00D4309F">
              <w:rPr>
                <w:spacing w:val="-8"/>
              </w:rPr>
              <w:t xml:space="preserve"> </w:t>
            </w:r>
            <w:r w:rsidRPr="00D4309F">
              <w:t>of</w:t>
            </w:r>
            <w:r w:rsidRPr="00D4309F">
              <w:rPr>
                <w:spacing w:val="-8"/>
              </w:rPr>
              <w:t xml:space="preserve"> </w:t>
            </w:r>
            <w:r w:rsidRPr="00D4309F">
              <w:t>rock cutting and dredging</w:t>
            </w:r>
          </w:p>
          <w:p w14:paraId="5EA6C1DA" w14:textId="77777777" w:rsidR="00E2682F" w:rsidRPr="00D4309F" w:rsidRDefault="00E2682F" w:rsidP="007E44C8">
            <w:pPr>
              <w:pStyle w:val="Table-Bullet"/>
            </w:pPr>
            <w:r w:rsidRPr="00D4309F">
              <w:t>Behavioural response and interruption</w:t>
            </w:r>
            <w:r w:rsidRPr="00D4309F">
              <w:rPr>
                <w:spacing w:val="-13"/>
              </w:rPr>
              <w:t xml:space="preserve"> </w:t>
            </w:r>
            <w:r w:rsidRPr="00D4309F">
              <w:t>of</w:t>
            </w:r>
            <w:r w:rsidRPr="00D4309F">
              <w:rPr>
                <w:spacing w:val="-12"/>
              </w:rPr>
              <w:t xml:space="preserve"> </w:t>
            </w:r>
            <w:r w:rsidRPr="00D4309F">
              <w:t>nesting</w:t>
            </w:r>
            <w:r w:rsidRPr="00D4309F">
              <w:rPr>
                <w:spacing w:val="-13"/>
              </w:rPr>
              <w:t xml:space="preserve"> </w:t>
            </w:r>
            <w:r w:rsidRPr="00D4309F">
              <w:t>behaviour due to light</w:t>
            </w:r>
          </w:p>
          <w:p w14:paraId="3E67C301" w14:textId="77777777" w:rsidR="00E2682F" w:rsidRPr="00D4309F" w:rsidRDefault="00E2682F" w:rsidP="007E44C8">
            <w:pPr>
              <w:pStyle w:val="Table-Bullet"/>
            </w:pPr>
            <w:r w:rsidRPr="00D4309F">
              <w:rPr>
                <w:spacing w:val="-2"/>
              </w:rPr>
              <w:t xml:space="preserve">Mortality/injury/behavioural </w:t>
            </w:r>
            <w:r w:rsidRPr="00D4309F">
              <w:t>response</w:t>
            </w:r>
            <w:r w:rsidRPr="00D4309F">
              <w:rPr>
                <w:spacing w:val="-11"/>
              </w:rPr>
              <w:t xml:space="preserve"> </w:t>
            </w:r>
            <w:r w:rsidRPr="00D4309F">
              <w:t>due</w:t>
            </w:r>
            <w:r w:rsidRPr="00D4309F">
              <w:rPr>
                <w:spacing w:val="-11"/>
              </w:rPr>
              <w:t xml:space="preserve"> </w:t>
            </w:r>
            <w:r w:rsidRPr="00D4309F">
              <w:t>to</w:t>
            </w:r>
            <w:r w:rsidRPr="00D4309F">
              <w:rPr>
                <w:spacing w:val="-10"/>
              </w:rPr>
              <w:t xml:space="preserve"> </w:t>
            </w:r>
            <w:r w:rsidRPr="00D4309F">
              <w:t>physical</w:t>
            </w:r>
            <w:r w:rsidRPr="00D4309F">
              <w:rPr>
                <w:spacing w:val="-10"/>
              </w:rPr>
              <w:t xml:space="preserve"> </w:t>
            </w:r>
            <w:r w:rsidRPr="00D4309F">
              <w:t>presence</w:t>
            </w:r>
          </w:p>
          <w:p w14:paraId="2DB0CC0A" w14:textId="77777777" w:rsidR="00E2682F" w:rsidRPr="00D4309F" w:rsidRDefault="00E2682F" w:rsidP="007E44C8">
            <w:pPr>
              <w:pStyle w:val="Table-Bullet"/>
            </w:pPr>
            <w:r w:rsidRPr="00D4309F">
              <w:t>Disturbance/degradation</w:t>
            </w:r>
            <w:r w:rsidRPr="00D4309F">
              <w:rPr>
                <w:spacing w:val="-15"/>
              </w:rPr>
              <w:t xml:space="preserve"> </w:t>
            </w:r>
            <w:r w:rsidRPr="00D4309F">
              <w:t>of</w:t>
            </w:r>
            <w:r w:rsidRPr="00D4309F">
              <w:rPr>
                <w:spacing w:val="-12"/>
              </w:rPr>
              <w:t xml:space="preserve"> </w:t>
            </w:r>
            <w:r w:rsidRPr="00D4309F">
              <w:t>habitat during pump installation</w:t>
            </w:r>
          </w:p>
          <w:p w14:paraId="740D2445" w14:textId="72906AD4" w:rsidR="00E2682F" w:rsidRPr="00D4309F" w:rsidRDefault="00E2682F" w:rsidP="007E44C8">
            <w:pPr>
              <w:pStyle w:val="Table-Bullet"/>
            </w:pPr>
            <w:r w:rsidRPr="00D4309F">
              <w:t>Mortality/injury</w:t>
            </w:r>
            <w:r w:rsidRPr="00D4309F">
              <w:rPr>
                <w:spacing w:val="-9"/>
              </w:rPr>
              <w:t xml:space="preserve"> </w:t>
            </w:r>
            <w:r w:rsidRPr="00D4309F">
              <w:t>due</w:t>
            </w:r>
            <w:r w:rsidRPr="00D4309F">
              <w:rPr>
                <w:spacing w:val="-10"/>
              </w:rPr>
              <w:t xml:space="preserve"> </w:t>
            </w:r>
            <w:r w:rsidRPr="00D4309F">
              <w:t>to</w:t>
            </w:r>
            <w:r w:rsidRPr="00D4309F">
              <w:rPr>
                <w:spacing w:val="-10"/>
              </w:rPr>
              <w:t xml:space="preserve"> </w:t>
            </w:r>
            <w:r w:rsidRPr="00D4309F">
              <w:t>onshore</w:t>
            </w:r>
            <w:r w:rsidRPr="00D4309F">
              <w:rPr>
                <w:spacing w:val="-9"/>
              </w:rPr>
              <w:t xml:space="preserve"> </w:t>
            </w:r>
            <w:r w:rsidRPr="00D4309F">
              <w:t>plant and</w:t>
            </w:r>
            <w:r w:rsidRPr="00D4309F">
              <w:rPr>
                <w:spacing w:val="-11"/>
              </w:rPr>
              <w:t xml:space="preserve"> </w:t>
            </w:r>
            <w:r w:rsidRPr="00D4309F">
              <w:t>vehicle</w:t>
            </w:r>
            <w:r w:rsidRPr="00D4309F">
              <w:rPr>
                <w:spacing w:val="-11"/>
              </w:rPr>
              <w:t xml:space="preserve"> </w:t>
            </w:r>
            <w:r w:rsidRPr="00D4309F">
              <w:t>movement</w:t>
            </w:r>
            <w:r w:rsidRPr="00D4309F">
              <w:rPr>
                <w:spacing w:val="-10"/>
              </w:rPr>
              <w:t xml:space="preserve"> </w:t>
            </w:r>
            <w:r w:rsidRPr="00D4309F">
              <w:t>during</w:t>
            </w:r>
            <w:r w:rsidRPr="00D4309F">
              <w:rPr>
                <w:spacing w:val="-9"/>
              </w:rPr>
              <w:t xml:space="preserve"> </w:t>
            </w:r>
            <w:r w:rsidRPr="00D4309F">
              <w:t>pump installation and beach reprofiling</w:t>
            </w:r>
          </w:p>
        </w:tc>
        <w:tc>
          <w:tcPr>
            <w:tcW w:w="1276" w:type="dxa"/>
            <w:tcBorders>
              <w:top w:val="single" w:sz="4" w:space="0" w:color="000000"/>
              <w:bottom w:val="single" w:sz="4" w:space="0" w:color="000000"/>
            </w:tcBorders>
            <w:shd w:val="clear" w:color="auto" w:fill="FFFF00"/>
            <w:vAlign w:val="center"/>
          </w:tcPr>
          <w:p w14:paraId="37356AAC" w14:textId="4ED83C53" w:rsidR="00E2682F" w:rsidRPr="00F842F6" w:rsidRDefault="00E2682F" w:rsidP="00F842F6">
            <w:pPr>
              <w:pStyle w:val="Table-Text"/>
              <w:rPr>
                <w:b/>
                <w:bCs/>
                <w:spacing w:val="-5"/>
              </w:rPr>
            </w:pPr>
            <w:r w:rsidRPr="00F842F6">
              <w:rPr>
                <w:b/>
                <w:bCs/>
                <w:spacing w:val="-2"/>
              </w:rPr>
              <w:t>Moderate</w:t>
            </w:r>
          </w:p>
        </w:tc>
        <w:tc>
          <w:tcPr>
            <w:tcW w:w="2957" w:type="dxa"/>
            <w:tcBorders>
              <w:top w:val="single" w:sz="4" w:space="0" w:color="000000"/>
              <w:bottom w:val="single" w:sz="4" w:space="0" w:color="000000"/>
            </w:tcBorders>
            <w:vAlign w:val="center"/>
          </w:tcPr>
          <w:p w14:paraId="174A08DA" w14:textId="2C82E9E9" w:rsidR="00E2682F" w:rsidRPr="00D4309F" w:rsidRDefault="00E2682F" w:rsidP="007E44C8">
            <w:pPr>
              <w:pStyle w:val="Table-Bullet"/>
            </w:pPr>
            <w:r w:rsidRPr="00D4309F">
              <w:t>Several</w:t>
            </w:r>
            <w:r w:rsidRPr="00D4309F">
              <w:rPr>
                <w:spacing w:val="-10"/>
              </w:rPr>
              <w:t xml:space="preserve"> </w:t>
            </w:r>
            <w:r w:rsidRPr="00D4309F">
              <w:t>species</w:t>
            </w:r>
            <w:r w:rsidRPr="00D4309F">
              <w:rPr>
                <w:spacing w:val="-10"/>
              </w:rPr>
              <w:t xml:space="preserve"> </w:t>
            </w:r>
            <w:r w:rsidRPr="00D4309F">
              <w:t>of</w:t>
            </w:r>
            <w:r w:rsidRPr="00D4309F">
              <w:rPr>
                <w:spacing w:val="-10"/>
              </w:rPr>
              <w:t xml:space="preserve"> </w:t>
            </w:r>
            <w:r w:rsidRPr="00D4309F">
              <w:t>migratory seabirds</w:t>
            </w:r>
            <w:r w:rsidRPr="00D4309F">
              <w:rPr>
                <w:spacing w:val="-13"/>
              </w:rPr>
              <w:t xml:space="preserve"> </w:t>
            </w:r>
            <w:r w:rsidRPr="00D4309F">
              <w:t>aggregate</w:t>
            </w:r>
            <w:r w:rsidRPr="00D4309F">
              <w:rPr>
                <w:spacing w:val="-12"/>
              </w:rPr>
              <w:t xml:space="preserve"> </w:t>
            </w:r>
            <w:r w:rsidRPr="00D4309F">
              <w:t>and</w:t>
            </w:r>
            <w:r w:rsidRPr="00D4309F">
              <w:rPr>
                <w:spacing w:val="-13"/>
              </w:rPr>
              <w:t xml:space="preserve"> </w:t>
            </w:r>
            <w:r w:rsidRPr="00D4309F">
              <w:t>may nest at Point Cartwright and could be impacted</w:t>
            </w:r>
          </w:p>
        </w:tc>
        <w:tc>
          <w:tcPr>
            <w:tcW w:w="2004" w:type="dxa"/>
            <w:tcBorders>
              <w:top w:val="single" w:sz="4" w:space="0" w:color="000000"/>
              <w:bottom w:val="single" w:sz="4" w:space="0" w:color="000000"/>
            </w:tcBorders>
            <w:vAlign w:val="center"/>
          </w:tcPr>
          <w:p w14:paraId="093ACA5E" w14:textId="77777777" w:rsidR="00E2682F" w:rsidRPr="00D4309F" w:rsidRDefault="00E2682F" w:rsidP="007E44C8">
            <w:pPr>
              <w:pStyle w:val="Table-Bullet"/>
            </w:pPr>
            <w:r w:rsidRPr="00D4309F">
              <w:t>Noise assessment including</w:t>
            </w:r>
            <w:r w:rsidRPr="00D4309F">
              <w:rPr>
                <w:spacing w:val="-13"/>
              </w:rPr>
              <w:t xml:space="preserve"> </w:t>
            </w:r>
            <w:r w:rsidRPr="00D4309F">
              <w:t>modelling</w:t>
            </w:r>
          </w:p>
          <w:p w14:paraId="0E4247CC" w14:textId="2F721D17" w:rsidR="00E2682F" w:rsidRPr="00D4309F" w:rsidRDefault="00E2682F" w:rsidP="007E44C8">
            <w:pPr>
              <w:pStyle w:val="Table-Bullet"/>
              <w:rPr>
                <w:spacing w:val="-4"/>
              </w:rPr>
            </w:pPr>
            <w:r w:rsidRPr="00D4309F">
              <w:t>Light</w:t>
            </w:r>
            <w:r w:rsidRPr="00D4309F">
              <w:rPr>
                <w:spacing w:val="-15"/>
              </w:rPr>
              <w:t xml:space="preserve"> </w:t>
            </w:r>
            <w:r w:rsidRPr="00D4309F">
              <w:t>assessment</w:t>
            </w:r>
            <w:r w:rsidRPr="00D4309F">
              <w:rPr>
                <w:spacing w:val="-12"/>
              </w:rPr>
              <w:t xml:space="preserve"> </w:t>
            </w:r>
            <w:r w:rsidRPr="00D4309F">
              <w:t xml:space="preserve">if night works are </w:t>
            </w:r>
            <w:r w:rsidRPr="00D4309F">
              <w:rPr>
                <w:spacing w:val="-2"/>
              </w:rPr>
              <w:t>proposed</w:t>
            </w:r>
          </w:p>
        </w:tc>
        <w:tc>
          <w:tcPr>
            <w:tcW w:w="2665" w:type="dxa"/>
            <w:tcBorders>
              <w:top w:val="single" w:sz="4" w:space="0" w:color="000000"/>
              <w:bottom w:val="single" w:sz="4" w:space="0" w:color="000000"/>
            </w:tcBorders>
            <w:vAlign w:val="center"/>
          </w:tcPr>
          <w:p w14:paraId="47D2C3E3" w14:textId="77777777" w:rsidR="00E2682F" w:rsidRPr="00D4309F" w:rsidRDefault="00E2682F" w:rsidP="007E44C8">
            <w:pPr>
              <w:pStyle w:val="Table-Bullet"/>
            </w:pPr>
            <w:r w:rsidRPr="00D4309F">
              <w:t>Timing</w:t>
            </w:r>
            <w:r w:rsidRPr="00D4309F">
              <w:rPr>
                <w:spacing w:val="-11"/>
              </w:rPr>
              <w:t xml:space="preserve"> </w:t>
            </w:r>
            <w:r w:rsidRPr="00D4309F">
              <w:t>of</w:t>
            </w:r>
            <w:r w:rsidRPr="00D4309F">
              <w:rPr>
                <w:spacing w:val="-10"/>
              </w:rPr>
              <w:t xml:space="preserve"> </w:t>
            </w:r>
            <w:r w:rsidRPr="00D4309F">
              <w:t>works</w:t>
            </w:r>
            <w:r w:rsidRPr="00D4309F">
              <w:rPr>
                <w:spacing w:val="-10"/>
              </w:rPr>
              <w:t xml:space="preserve"> </w:t>
            </w:r>
            <w:r w:rsidRPr="00D4309F">
              <w:t>outside</w:t>
            </w:r>
            <w:r w:rsidRPr="00D4309F">
              <w:rPr>
                <w:spacing w:val="-11"/>
              </w:rPr>
              <w:t xml:space="preserve"> </w:t>
            </w:r>
            <w:r w:rsidRPr="00D4309F">
              <w:t xml:space="preserve">of peak aggregation season (summer) for migratory </w:t>
            </w:r>
            <w:r w:rsidRPr="00D4309F">
              <w:rPr>
                <w:spacing w:val="-2"/>
              </w:rPr>
              <w:t>terns</w:t>
            </w:r>
          </w:p>
          <w:p w14:paraId="7BB1AEB5" w14:textId="77777777" w:rsidR="00E2682F" w:rsidRPr="00D4309F" w:rsidRDefault="00E2682F" w:rsidP="007E44C8">
            <w:pPr>
              <w:pStyle w:val="Table-Bullet"/>
            </w:pPr>
            <w:r w:rsidRPr="00D4309F">
              <w:t>Design to minimise clearing required and avoid</w:t>
            </w:r>
            <w:r w:rsidRPr="00D4309F">
              <w:rPr>
                <w:spacing w:val="-13"/>
              </w:rPr>
              <w:t xml:space="preserve"> </w:t>
            </w:r>
            <w:r w:rsidRPr="00D4309F">
              <w:t>key</w:t>
            </w:r>
            <w:r w:rsidRPr="00D4309F">
              <w:rPr>
                <w:spacing w:val="-12"/>
              </w:rPr>
              <w:t xml:space="preserve"> </w:t>
            </w:r>
            <w:r w:rsidRPr="00D4309F">
              <w:t>habitat</w:t>
            </w:r>
            <w:r w:rsidRPr="00D4309F">
              <w:rPr>
                <w:spacing w:val="-13"/>
              </w:rPr>
              <w:t xml:space="preserve"> </w:t>
            </w:r>
            <w:r w:rsidRPr="00D4309F">
              <w:t>areas</w:t>
            </w:r>
          </w:p>
          <w:p w14:paraId="1FC92438" w14:textId="6A884E63" w:rsidR="00E2682F" w:rsidRPr="00D4309F" w:rsidRDefault="00E2682F" w:rsidP="007E44C8">
            <w:pPr>
              <w:pStyle w:val="Table-Bullet"/>
            </w:pPr>
            <w:r w:rsidRPr="00D4309F">
              <w:t>Appropriate management for onshore works e.g. onshore</w:t>
            </w:r>
            <w:r w:rsidRPr="00D4309F">
              <w:rPr>
                <w:spacing w:val="-13"/>
              </w:rPr>
              <w:t xml:space="preserve"> </w:t>
            </w:r>
            <w:r w:rsidRPr="00D4309F">
              <w:t>vehicles</w:t>
            </w:r>
            <w:r w:rsidRPr="00D4309F">
              <w:rPr>
                <w:spacing w:val="-12"/>
              </w:rPr>
              <w:t xml:space="preserve"> </w:t>
            </w:r>
            <w:r w:rsidRPr="00D4309F">
              <w:t>and</w:t>
            </w:r>
            <w:r w:rsidRPr="00D4309F">
              <w:rPr>
                <w:spacing w:val="-13"/>
              </w:rPr>
              <w:t xml:space="preserve"> </w:t>
            </w:r>
            <w:r w:rsidRPr="00D4309F">
              <w:t>plant to operate in designated tracks and areas, design</w:t>
            </w:r>
            <w:r w:rsidRPr="00D4309F">
              <w:rPr>
                <w:spacing w:val="40"/>
              </w:rPr>
              <w:t xml:space="preserve"> </w:t>
            </w:r>
            <w:r w:rsidRPr="00D4309F">
              <w:t>to</w:t>
            </w:r>
            <w:r w:rsidRPr="00D4309F">
              <w:rPr>
                <w:spacing w:val="-1"/>
              </w:rPr>
              <w:t xml:space="preserve"> </w:t>
            </w:r>
            <w:r w:rsidRPr="00D4309F">
              <w:t>avoid</w:t>
            </w:r>
            <w:r w:rsidRPr="00D4309F">
              <w:rPr>
                <w:spacing w:val="-1"/>
              </w:rPr>
              <w:t xml:space="preserve"> </w:t>
            </w:r>
            <w:r w:rsidRPr="00D4309F">
              <w:t>key habitat areas.</w:t>
            </w:r>
          </w:p>
        </w:tc>
      </w:tr>
      <w:tr w:rsidR="00F07A84" w:rsidRPr="00D4309F" w14:paraId="3B3031D5" w14:textId="77777777" w:rsidTr="007E44C8">
        <w:trPr>
          <w:cantSplit/>
          <w:trHeight w:val="20"/>
        </w:trPr>
        <w:tc>
          <w:tcPr>
            <w:tcW w:w="1418" w:type="dxa"/>
            <w:tcBorders>
              <w:top w:val="single" w:sz="4" w:space="0" w:color="000000"/>
              <w:bottom w:val="single" w:sz="4" w:space="0" w:color="000000"/>
            </w:tcBorders>
            <w:vAlign w:val="center"/>
          </w:tcPr>
          <w:p w14:paraId="27AEDEA0" w14:textId="143DBE8A" w:rsidR="00E2682F" w:rsidRPr="00D4309F" w:rsidRDefault="00E2682F" w:rsidP="007E44C8">
            <w:pPr>
              <w:pStyle w:val="Table-Text"/>
            </w:pPr>
            <w:r w:rsidRPr="00D4309F">
              <w:lastRenderedPageBreak/>
              <w:t>Marine</w:t>
            </w:r>
            <w:r w:rsidRPr="00D4309F">
              <w:rPr>
                <w:spacing w:val="-4"/>
              </w:rPr>
              <w:t xml:space="preserve"> </w:t>
            </w:r>
            <w:r w:rsidRPr="00D4309F">
              <w:t>fauna</w:t>
            </w:r>
          </w:p>
        </w:tc>
        <w:tc>
          <w:tcPr>
            <w:tcW w:w="1701" w:type="dxa"/>
            <w:tcBorders>
              <w:top w:val="single" w:sz="4" w:space="0" w:color="000000"/>
              <w:bottom w:val="single" w:sz="4" w:space="0" w:color="000000"/>
            </w:tcBorders>
            <w:vAlign w:val="center"/>
          </w:tcPr>
          <w:p w14:paraId="7A9F6B46" w14:textId="1653E883" w:rsidR="00E2682F" w:rsidRPr="00D4309F" w:rsidRDefault="00E2682F" w:rsidP="007E44C8">
            <w:pPr>
              <w:pStyle w:val="Table-Text"/>
            </w:pPr>
            <w:r w:rsidRPr="00D4309F">
              <w:t>Foraging Seabirds</w:t>
            </w:r>
          </w:p>
        </w:tc>
        <w:tc>
          <w:tcPr>
            <w:tcW w:w="2551" w:type="dxa"/>
            <w:tcBorders>
              <w:top w:val="single" w:sz="4" w:space="0" w:color="000000"/>
              <w:bottom w:val="single" w:sz="4" w:space="0" w:color="000000"/>
            </w:tcBorders>
            <w:vAlign w:val="center"/>
          </w:tcPr>
          <w:p w14:paraId="50E363C0" w14:textId="60DE9595" w:rsidR="00E2682F" w:rsidRPr="00D4309F" w:rsidRDefault="00E2682F" w:rsidP="007E44C8">
            <w:pPr>
              <w:pStyle w:val="Table-Bullet"/>
            </w:pPr>
            <w:r w:rsidRPr="00D4309F">
              <w:t>Generation</w:t>
            </w:r>
            <w:r w:rsidRPr="00D4309F">
              <w:rPr>
                <w:spacing w:val="-13"/>
              </w:rPr>
              <w:t xml:space="preserve"> </w:t>
            </w:r>
            <w:r w:rsidRPr="00D4309F">
              <w:t>of</w:t>
            </w:r>
            <w:r w:rsidRPr="00D4309F">
              <w:rPr>
                <w:spacing w:val="-12"/>
              </w:rPr>
              <w:t xml:space="preserve"> </w:t>
            </w:r>
            <w:r w:rsidRPr="00D4309F">
              <w:t>turbidity</w:t>
            </w:r>
            <w:r w:rsidRPr="00D4309F">
              <w:rPr>
                <w:spacing w:val="-13"/>
              </w:rPr>
              <w:t xml:space="preserve"> </w:t>
            </w:r>
            <w:r w:rsidRPr="00D4309F">
              <w:t>impacting foraging activities</w:t>
            </w:r>
          </w:p>
        </w:tc>
        <w:tc>
          <w:tcPr>
            <w:tcW w:w="1276" w:type="dxa"/>
            <w:tcBorders>
              <w:top w:val="single" w:sz="4" w:space="0" w:color="000000"/>
              <w:bottom w:val="single" w:sz="4" w:space="0" w:color="000000"/>
            </w:tcBorders>
            <w:shd w:val="clear" w:color="auto" w:fill="FFFF00"/>
            <w:vAlign w:val="center"/>
          </w:tcPr>
          <w:p w14:paraId="3E769863" w14:textId="17A9F19B" w:rsidR="00E2682F" w:rsidRPr="00F842F6" w:rsidRDefault="00E2682F" w:rsidP="00F842F6">
            <w:pPr>
              <w:pStyle w:val="Table-Text"/>
              <w:rPr>
                <w:b/>
                <w:bCs/>
                <w:spacing w:val="-5"/>
              </w:rPr>
            </w:pPr>
            <w:r w:rsidRPr="00F842F6">
              <w:rPr>
                <w:b/>
                <w:bCs/>
                <w:spacing w:val="-2"/>
              </w:rPr>
              <w:t>Moderate</w:t>
            </w:r>
          </w:p>
        </w:tc>
        <w:tc>
          <w:tcPr>
            <w:tcW w:w="2957" w:type="dxa"/>
            <w:tcBorders>
              <w:top w:val="single" w:sz="4" w:space="0" w:color="000000"/>
              <w:bottom w:val="single" w:sz="4" w:space="0" w:color="000000"/>
            </w:tcBorders>
            <w:vAlign w:val="center"/>
          </w:tcPr>
          <w:p w14:paraId="6DA6989A" w14:textId="77777777" w:rsidR="00E2682F" w:rsidRPr="00D4309F" w:rsidRDefault="00E2682F" w:rsidP="007E44C8">
            <w:pPr>
              <w:pStyle w:val="Table-Bullet"/>
            </w:pPr>
            <w:r w:rsidRPr="00D4309F">
              <w:t>Turbidity will impede the ability of aerial feeding birds to see prey underwater, which will impact the Little Terns aggregating in Point Cartwright reserve. Larger seabirds</w:t>
            </w:r>
            <w:r w:rsidRPr="00D4309F">
              <w:rPr>
                <w:spacing w:val="-10"/>
              </w:rPr>
              <w:t xml:space="preserve"> </w:t>
            </w:r>
            <w:r w:rsidRPr="00D4309F">
              <w:t>will</w:t>
            </w:r>
            <w:r w:rsidRPr="00D4309F">
              <w:rPr>
                <w:spacing w:val="-10"/>
              </w:rPr>
              <w:t xml:space="preserve"> </w:t>
            </w:r>
            <w:r w:rsidRPr="00D4309F">
              <w:t>travel</w:t>
            </w:r>
            <w:r w:rsidRPr="00D4309F">
              <w:rPr>
                <w:spacing w:val="-10"/>
              </w:rPr>
              <w:t xml:space="preserve"> </w:t>
            </w:r>
            <w:r w:rsidRPr="00D4309F">
              <w:t>outside</w:t>
            </w:r>
            <w:r w:rsidRPr="00D4309F">
              <w:rPr>
                <w:spacing w:val="-11"/>
              </w:rPr>
              <w:t xml:space="preserve"> </w:t>
            </w:r>
            <w:r w:rsidRPr="00D4309F">
              <w:t>of the turbid zone to forage.</w:t>
            </w:r>
          </w:p>
          <w:p w14:paraId="2B394F39" w14:textId="77777777" w:rsidR="00E2682F" w:rsidRPr="00D4309F" w:rsidRDefault="00E2682F" w:rsidP="007E44C8">
            <w:pPr>
              <w:pStyle w:val="Table-Bullet"/>
            </w:pPr>
            <w:r w:rsidRPr="00D4309F">
              <w:t>An assessment of the predicted plume extent will inform the extent of turbidity related impacts however as this</w:t>
            </w:r>
            <w:r w:rsidRPr="00D4309F">
              <w:rPr>
                <w:spacing w:val="-8"/>
              </w:rPr>
              <w:t xml:space="preserve"> </w:t>
            </w:r>
            <w:r w:rsidRPr="00D4309F">
              <w:t>is</w:t>
            </w:r>
            <w:r w:rsidRPr="00D4309F">
              <w:rPr>
                <w:spacing w:val="-8"/>
              </w:rPr>
              <w:t xml:space="preserve"> </w:t>
            </w:r>
            <w:r w:rsidRPr="00D4309F">
              <w:t>a</w:t>
            </w:r>
            <w:r w:rsidRPr="00D4309F">
              <w:rPr>
                <w:spacing w:val="-9"/>
              </w:rPr>
              <w:t xml:space="preserve"> </w:t>
            </w:r>
            <w:r w:rsidRPr="00D4309F">
              <w:t>dynamic,</w:t>
            </w:r>
            <w:r w:rsidRPr="00D4309F">
              <w:rPr>
                <w:spacing w:val="-8"/>
              </w:rPr>
              <w:t xml:space="preserve"> </w:t>
            </w:r>
            <w:r w:rsidRPr="00D4309F">
              <w:t>open</w:t>
            </w:r>
            <w:r w:rsidRPr="00D4309F">
              <w:rPr>
                <w:spacing w:val="-9"/>
              </w:rPr>
              <w:t xml:space="preserve"> </w:t>
            </w:r>
            <w:r w:rsidRPr="00D4309F">
              <w:t>ocean environment, any plume will likely dissipate quickly</w:t>
            </w:r>
          </w:p>
          <w:p w14:paraId="66C0ED6C" w14:textId="50A0FA2C" w:rsidR="00E2682F" w:rsidRPr="00D4309F" w:rsidRDefault="00E2682F" w:rsidP="007E44C8">
            <w:pPr>
              <w:pStyle w:val="Table-Bullet"/>
            </w:pPr>
            <w:r w:rsidRPr="00D4309F">
              <w:t>Turbidity</w:t>
            </w:r>
            <w:r w:rsidRPr="00D4309F">
              <w:rPr>
                <w:spacing w:val="-8"/>
              </w:rPr>
              <w:t xml:space="preserve"> </w:t>
            </w:r>
            <w:r w:rsidRPr="00D4309F">
              <w:t>is</w:t>
            </w:r>
            <w:r w:rsidRPr="00D4309F">
              <w:rPr>
                <w:spacing w:val="-8"/>
              </w:rPr>
              <w:t xml:space="preserve"> </w:t>
            </w:r>
            <w:r w:rsidRPr="00D4309F">
              <w:t>likely</w:t>
            </w:r>
            <w:r w:rsidRPr="00D4309F">
              <w:rPr>
                <w:spacing w:val="-8"/>
              </w:rPr>
              <w:t xml:space="preserve"> </w:t>
            </w:r>
            <w:r w:rsidRPr="00D4309F">
              <w:t>to</w:t>
            </w:r>
            <w:r w:rsidRPr="00D4309F">
              <w:rPr>
                <w:spacing w:val="-9"/>
              </w:rPr>
              <w:t xml:space="preserve"> </w:t>
            </w:r>
            <w:r w:rsidRPr="00D4309F">
              <w:t>be</w:t>
            </w:r>
            <w:r w:rsidRPr="00D4309F">
              <w:rPr>
                <w:spacing w:val="-9"/>
              </w:rPr>
              <w:t xml:space="preserve"> </w:t>
            </w:r>
            <w:r w:rsidRPr="00D4309F">
              <w:t>more extensive and persistent during rock cutting works</w:t>
            </w:r>
          </w:p>
        </w:tc>
        <w:tc>
          <w:tcPr>
            <w:tcW w:w="2004" w:type="dxa"/>
            <w:tcBorders>
              <w:top w:val="single" w:sz="4" w:space="0" w:color="000000"/>
              <w:bottom w:val="single" w:sz="4" w:space="0" w:color="000000"/>
            </w:tcBorders>
            <w:vAlign w:val="center"/>
          </w:tcPr>
          <w:p w14:paraId="126131D0" w14:textId="2AF56153" w:rsidR="00E2682F" w:rsidRPr="00D4309F" w:rsidRDefault="00E2682F" w:rsidP="007E44C8">
            <w:pPr>
              <w:pStyle w:val="Table-Bullet"/>
              <w:rPr>
                <w:spacing w:val="-4"/>
              </w:rPr>
            </w:pPr>
            <w:r w:rsidRPr="00D4309F">
              <w:t>Turbidity</w:t>
            </w:r>
            <w:r w:rsidRPr="00D4309F">
              <w:rPr>
                <w:spacing w:val="-5"/>
              </w:rPr>
              <w:t xml:space="preserve"> </w:t>
            </w:r>
            <w:r w:rsidRPr="00D4309F">
              <w:rPr>
                <w:spacing w:val="-2"/>
              </w:rPr>
              <w:t>modelling</w:t>
            </w:r>
          </w:p>
        </w:tc>
        <w:tc>
          <w:tcPr>
            <w:tcW w:w="2665" w:type="dxa"/>
            <w:tcBorders>
              <w:top w:val="single" w:sz="4" w:space="0" w:color="000000"/>
              <w:bottom w:val="single" w:sz="4" w:space="0" w:color="000000"/>
            </w:tcBorders>
            <w:vAlign w:val="center"/>
          </w:tcPr>
          <w:p w14:paraId="3385924D" w14:textId="77777777" w:rsidR="00E2682F" w:rsidRPr="00D4309F" w:rsidRDefault="00E2682F" w:rsidP="007E44C8">
            <w:pPr>
              <w:pStyle w:val="Table-Bullet"/>
            </w:pPr>
            <w:r w:rsidRPr="00D4309F">
              <w:t>Timing</w:t>
            </w:r>
            <w:r w:rsidRPr="00D4309F">
              <w:rPr>
                <w:spacing w:val="-11"/>
              </w:rPr>
              <w:t xml:space="preserve"> </w:t>
            </w:r>
            <w:r w:rsidRPr="00D4309F">
              <w:t>of</w:t>
            </w:r>
            <w:r w:rsidRPr="00D4309F">
              <w:rPr>
                <w:spacing w:val="-10"/>
              </w:rPr>
              <w:t xml:space="preserve"> </w:t>
            </w:r>
            <w:r w:rsidRPr="00D4309F">
              <w:t>works</w:t>
            </w:r>
            <w:r w:rsidRPr="00D4309F">
              <w:rPr>
                <w:spacing w:val="-10"/>
              </w:rPr>
              <w:t xml:space="preserve"> </w:t>
            </w:r>
            <w:r w:rsidRPr="00D4309F">
              <w:t>outside</w:t>
            </w:r>
            <w:r w:rsidRPr="00D4309F">
              <w:rPr>
                <w:spacing w:val="-11"/>
              </w:rPr>
              <w:t xml:space="preserve"> </w:t>
            </w:r>
            <w:r w:rsidRPr="00D4309F">
              <w:t xml:space="preserve">of peak aggregation season (summer) for migratory </w:t>
            </w:r>
            <w:r w:rsidRPr="00D4309F">
              <w:rPr>
                <w:spacing w:val="-2"/>
              </w:rPr>
              <w:t>terns</w:t>
            </w:r>
          </w:p>
          <w:p w14:paraId="264A5576" w14:textId="77777777" w:rsidR="00E2682F" w:rsidRPr="00D4309F" w:rsidRDefault="00E2682F" w:rsidP="007E44C8">
            <w:pPr>
              <w:pStyle w:val="Table-Bullet"/>
            </w:pPr>
            <w:r w:rsidRPr="00D4309F">
              <w:t>Turbidity</w:t>
            </w:r>
            <w:r w:rsidRPr="00D4309F">
              <w:rPr>
                <w:spacing w:val="-15"/>
              </w:rPr>
              <w:t xml:space="preserve"> </w:t>
            </w:r>
            <w:r w:rsidRPr="00D4309F">
              <w:t>monitoring</w:t>
            </w:r>
            <w:r w:rsidRPr="00D4309F">
              <w:rPr>
                <w:spacing w:val="-12"/>
              </w:rPr>
              <w:t xml:space="preserve"> </w:t>
            </w:r>
            <w:r w:rsidRPr="00D4309F">
              <w:t xml:space="preserve">during </w:t>
            </w:r>
            <w:r w:rsidRPr="00D4309F">
              <w:rPr>
                <w:spacing w:val="-2"/>
              </w:rPr>
              <w:t>works</w:t>
            </w:r>
          </w:p>
          <w:p w14:paraId="35C0A96B" w14:textId="0CBD6045" w:rsidR="00E2682F" w:rsidRPr="00D4309F" w:rsidRDefault="00E2682F" w:rsidP="007E44C8">
            <w:pPr>
              <w:pStyle w:val="Table-Bullet"/>
            </w:pPr>
            <w:r w:rsidRPr="00D4309F">
              <w:t>Standard turbidity mitigation</w:t>
            </w:r>
            <w:r w:rsidRPr="00D4309F">
              <w:rPr>
                <w:spacing w:val="-15"/>
              </w:rPr>
              <w:t xml:space="preserve"> </w:t>
            </w:r>
            <w:r w:rsidRPr="00D4309F">
              <w:t>procedures</w:t>
            </w:r>
            <w:r w:rsidRPr="00D4309F">
              <w:rPr>
                <w:spacing w:val="-12"/>
              </w:rPr>
              <w:t xml:space="preserve"> </w:t>
            </w:r>
            <w:r w:rsidRPr="00D4309F">
              <w:t xml:space="preserve">e.g. silt curtains, staging of </w:t>
            </w:r>
            <w:r w:rsidRPr="00D4309F">
              <w:rPr>
                <w:spacing w:val="-2"/>
              </w:rPr>
              <w:t>works</w:t>
            </w:r>
          </w:p>
        </w:tc>
      </w:tr>
      <w:tr w:rsidR="009213C9" w:rsidRPr="00D4309F" w14:paraId="06D860C5" w14:textId="77777777" w:rsidTr="007E44C8">
        <w:trPr>
          <w:cantSplit/>
          <w:trHeight w:val="20"/>
        </w:trPr>
        <w:tc>
          <w:tcPr>
            <w:tcW w:w="1418" w:type="dxa"/>
            <w:tcBorders>
              <w:top w:val="single" w:sz="4" w:space="0" w:color="000000"/>
              <w:bottom w:val="single" w:sz="4" w:space="0" w:color="000000"/>
            </w:tcBorders>
            <w:vAlign w:val="center"/>
          </w:tcPr>
          <w:p w14:paraId="5873E19F" w14:textId="4EAF52A8" w:rsidR="00E2682F" w:rsidRPr="00D4309F" w:rsidRDefault="00E2682F" w:rsidP="007E44C8">
            <w:pPr>
              <w:pStyle w:val="Table-Text"/>
            </w:pPr>
            <w:r w:rsidRPr="00D4309F">
              <w:lastRenderedPageBreak/>
              <w:t>Marine</w:t>
            </w:r>
            <w:r w:rsidRPr="00D4309F">
              <w:rPr>
                <w:spacing w:val="-4"/>
              </w:rPr>
              <w:t xml:space="preserve"> </w:t>
            </w:r>
            <w:r w:rsidRPr="00D4309F">
              <w:t>fauna</w:t>
            </w:r>
          </w:p>
        </w:tc>
        <w:tc>
          <w:tcPr>
            <w:tcW w:w="1701" w:type="dxa"/>
            <w:tcBorders>
              <w:top w:val="single" w:sz="4" w:space="0" w:color="000000"/>
              <w:bottom w:val="single" w:sz="4" w:space="0" w:color="000000"/>
            </w:tcBorders>
            <w:vAlign w:val="center"/>
          </w:tcPr>
          <w:p w14:paraId="70A37A7C" w14:textId="692020B5" w:rsidR="00E2682F" w:rsidRPr="00D4309F" w:rsidRDefault="00E2682F" w:rsidP="007E44C8">
            <w:pPr>
              <w:pStyle w:val="Table-Text"/>
            </w:pPr>
            <w:r w:rsidRPr="00D4309F">
              <w:rPr>
                <w:spacing w:val="-4"/>
              </w:rPr>
              <w:t xml:space="preserve">Site </w:t>
            </w:r>
            <w:r w:rsidRPr="00D4309F">
              <w:t>attached species</w:t>
            </w:r>
          </w:p>
        </w:tc>
        <w:tc>
          <w:tcPr>
            <w:tcW w:w="2551" w:type="dxa"/>
            <w:tcBorders>
              <w:top w:val="single" w:sz="4" w:space="0" w:color="000000"/>
              <w:bottom w:val="single" w:sz="4" w:space="0" w:color="000000"/>
            </w:tcBorders>
            <w:vAlign w:val="center"/>
          </w:tcPr>
          <w:p w14:paraId="0283FA00" w14:textId="77777777" w:rsidR="00E2682F" w:rsidRPr="00D4309F" w:rsidRDefault="00E2682F" w:rsidP="007E44C8">
            <w:pPr>
              <w:pStyle w:val="Table-Bullet"/>
            </w:pPr>
            <w:r w:rsidRPr="00D4309F">
              <w:t>Direct</w:t>
            </w:r>
            <w:r w:rsidRPr="00D4309F">
              <w:rPr>
                <w:spacing w:val="-13"/>
              </w:rPr>
              <w:t xml:space="preserve"> </w:t>
            </w:r>
            <w:r w:rsidRPr="00D4309F">
              <w:t>mortality/injury</w:t>
            </w:r>
            <w:r w:rsidRPr="00D4309F">
              <w:rPr>
                <w:spacing w:val="-12"/>
              </w:rPr>
              <w:t xml:space="preserve"> </w:t>
            </w:r>
            <w:r w:rsidRPr="00D4309F">
              <w:t>due</w:t>
            </w:r>
            <w:r w:rsidRPr="00D4309F">
              <w:rPr>
                <w:spacing w:val="-13"/>
              </w:rPr>
              <w:t xml:space="preserve"> </w:t>
            </w:r>
            <w:r w:rsidRPr="00D4309F">
              <w:t>to dredging and disposal</w:t>
            </w:r>
          </w:p>
          <w:p w14:paraId="1C1A94C3" w14:textId="77777777" w:rsidR="00E2682F" w:rsidRPr="00D4309F" w:rsidRDefault="00E2682F" w:rsidP="007E44C8">
            <w:pPr>
              <w:pStyle w:val="Table-Bullet"/>
            </w:pPr>
            <w:r w:rsidRPr="00D4309F">
              <w:rPr>
                <w:spacing w:val="-2"/>
              </w:rPr>
              <w:t xml:space="preserve">Mortality/injury/behavioural </w:t>
            </w:r>
            <w:r w:rsidRPr="00D4309F">
              <w:t>response</w:t>
            </w:r>
            <w:r w:rsidRPr="00D4309F">
              <w:rPr>
                <w:spacing w:val="-9"/>
              </w:rPr>
              <w:t xml:space="preserve"> </w:t>
            </w:r>
            <w:r w:rsidRPr="00D4309F">
              <w:t>due</w:t>
            </w:r>
            <w:r w:rsidRPr="00D4309F">
              <w:rPr>
                <w:spacing w:val="-9"/>
              </w:rPr>
              <w:t xml:space="preserve"> </w:t>
            </w:r>
            <w:r w:rsidRPr="00D4309F">
              <w:t>to</w:t>
            </w:r>
            <w:r w:rsidRPr="00D4309F">
              <w:rPr>
                <w:spacing w:val="-9"/>
              </w:rPr>
              <w:t xml:space="preserve"> </w:t>
            </w:r>
            <w:r w:rsidRPr="00D4309F">
              <w:t>physical</w:t>
            </w:r>
            <w:r w:rsidRPr="00D4309F">
              <w:rPr>
                <w:spacing w:val="-8"/>
              </w:rPr>
              <w:t xml:space="preserve"> </w:t>
            </w:r>
            <w:r w:rsidRPr="00D4309F">
              <w:t>effects</w:t>
            </w:r>
            <w:r w:rsidRPr="00D4309F">
              <w:rPr>
                <w:spacing w:val="-8"/>
              </w:rPr>
              <w:t xml:space="preserve"> </w:t>
            </w:r>
            <w:r w:rsidRPr="00D4309F">
              <w:t xml:space="preserve">of </w:t>
            </w:r>
            <w:r w:rsidRPr="00D4309F">
              <w:rPr>
                <w:spacing w:val="-2"/>
              </w:rPr>
              <w:t>turbidity</w:t>
            </w:r>
          </w:p>
          <w:p w14:paraId="4A9ECC33" w14:textId="42C9D09D" w:rsidR="00E2682F" w:rsidRPr="00D4309F" w:rsidRDefault="00E2682F" w:rsidP="007E44C8">
            <w:pPr>
              <w:pStyle w:val="Table-Bullet"/>
            </w:pPr>
            <w:r w:rsidRPr="00D4309F">
              <w:rPr>
                <w:spacing w:val="-2"/>
              </w:rPr>
              <w:t xml:space="preserve">Mortality/injury/behavioural </w:t>
            </w:r>
            <w:r w:rsidRPr="00D4309F">
              <w:t>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smothering</w:t>
            </w:r>
            <w:r w:rsidRPr="00D4309F">
              <w:rPr>
                <w:spacing w:val="-10"/>
              </w:rPr>
              <w:t xml:space="preserve"> </w:t>
            </w:r>
            <w:r w:rsidRPr="00D4309F">
              <w:t>at disposal site</w:t>
            </w:r>
          </w:p>
        </w:tc>
        <w:tc>
          <w:tcPr>
            <w:tcW w:w="1276" w:type="dxa"/>
            <w:tcBorders>
              <w:top w:val="single" w:sz="4" w:space="0" w:color="000000"/>
              <w:bottom w:val="single" w:sz="4" w:space="0" w:color="000000"/>
            </w:tcBorders>
            <w:shd w:val="clear" w:color="auto" w:fill="FFC000"/>
            <w:vAlign w:val="center"/>
          </w:tcPr>
          <w:p w14:paraId="490CA2C2" w14:textId="53BF0088" w:rsidR="00E2682F" w:rsidRPr="00F842F6" w:rsidRDefault="00E2682F" w:rsidP="00F842F6">
            <w:pPr>
              <w:pStyle w:val="Table-Text"/>
              <w:rPr>
                <w:b/>
                <w:bCs/>
                <w:spacing w:val="-5"/>
              </w:rPr>
            </w:pPr>
            <w:r w:rsidRPr="00F842F6">
              <w:rPr>
                <w:b/>
                <w:bCs/>
              </w:rPr>
              <w:t>High (for rock</w:t>
            </w:r>
            <w:r w:rsidRPr="00F842F6">
              <w:rPr>
                <w:b/>
                <w:bCs/>
                <w:spacing w:val="-13"/>
              </w:rPr>
              <w:t xml:space="preserve"> </w:t>
            </w:r>
            <w:r w:rsidRPr="00F842F6">
              <w:rPr>
                <w:b/>
                <w:bCs/>
              </w:rPr>
              <w:t>cutting)</w:t>
            </w:r>
          </w:p>
        </w:tc>
        <w:tc>
          <w:tcPr>
            <w:tcW w:w="2957" w:type="dxa"/>
            <w:tcBorders>
              <w:top w:val="single" w:sz="4" w:space="0" w:color="000000"/>
              <w:bottom w:val="single" w:sz="4" w:space="0" w:color="000000"/>
            </w:tcBorders>
            <w:vAlign w:val="center"/>
          </w:tcPr>
          <w:p w14:paraId="61844356" w14:textId="77777777" w:rsidR="00E2682F" w:rsidRPr="00D4309F" w:rsidRDefault="00E2682F" w:rsidP="007E44C8">
            <w:pPr>
              <w:pStyle w:val="Table-Bullet"/>
            </w:pPr>
            <w:r w:rsidRPr="00D4309F">
              <w:t>These species are broadly distributed</w:t>
            </w:r>
            <w:r w:rsidRPr="00D4309F">
              <w:rPr>
                <w:spacing w:val="-13"/>
              </w:rPr>
              <w:t xml:space="preserve"> </w:t>
            </w:r>
            <w:r w:rsidRPr="00D4309F">
              <w:t>along</w:t>
            </w:r>
            <w:r w:rsidRPr="00D4309F">
              <w:rPr>
                <w:spacing w:val="-12"/>
              </w:rPr>
              <w:t xml:space="preserve"> </w:t>
            </w:r>
            <w:r w:rsidRPr="00D4309F">
              <w:t>the</w:t>
            </w:r>
            <w:r w:rsidRPr="00D4309F">
              <w:rPr>
                <w:spacing w:val="-13"/>
              </w:rPr>
              <w:t xml:space="preserve"> </w:t>
            </w:r>
            <w:r w:rsidRPr="00D4309F">
              <w:t>coastline</w:t>
            </w:r>
          </w:p>
          <w:p w14:paraId="2A182398" w14:textId="77777777" w:rsidR="00E2682F" w:rsidRPr="00D4309F" w:rsidRDefault="00E2682F" w:rsidP="007E44C8">
            <w:pPr>
              <w:pStyle w:val="Table-Bullet"/>
            </w:pPr>
            <w:r w:rsidRPr="00D4309F">
              <w:t>The dredging area has a relatively small footprint and in</w:t>
            </w:r>
            <w:r w:rsidRPr="00D4309F">
              <w:rPr>
                <w:spacing w:val="-7"/>
              </w:rPr>
              <w:t xml:space="preserve"> </w:t>
            </w:r>
            <w:r w:rsidRPr="00D4309F">
              <w:t>an</w:t>
            </w:r>
            <w:r w:rsidRPr="00D4309F">
              <w:rPr>
                <w:spacing w:val="-7"/>
              </w:rPr>
              <w:t xml:space="preserve"> </w:t>
            </w:r>
            <w:r w:rsidRPr="00D4309F">
              <w:t>area</w:t>
            </w:r>
            <w:r w:rsidRPr="00D4309F">
              <w:rPr>
                <w:spacing w:val="-7"/>
              </w:rPr>
              <w:t xml:space="preserve"> </w:t>
            </w:r>
            <w:r w:rsidRPr="00D4309F">
              <w:t>of</w:t>
            </w:r>
            <w:r w:rsidRPr="00D4309F">
              <w:rPr>
                <w:spacing w:val="-6"/>
              </w:rPr>
              <w:t xml:space="preserve"> </w:t>
            </w:r>
            <w:r w:rsidRPr="00D4309F">
              <w:t>bare</w:t>
            </w:r>
            <w:r w:rsidRPr="00D4309F">
              <w:rPr>
                <w:spacing w:val="-7"/>
              </w:rPr>
              <w:t xml:space="preserve"> </w:t>
            </w:r>
            <w:r w:rsidRPr="00D4309F">
              <w:t>sand</w:t>
            </w:r>
            <w:r w:rsidRPr="00D4309F">
              <w:rPr>
                <w:spacing w:val="-7"/>
              </w:rPr>
              <w:t xml:space="preserve"> </w:t>
            </w:r>
            <w:r w:rsidRPr="00D4309F">
              <w:t>which is not the habitat for most of these species, including the endangered White’s Seahorse and sand yabby</w:t>
            </w:r>
          </w:p>
          <w:p w14:paraId="7B1A4087" w14:textId="77777777" w:rsidR="00E2682F" w:rsidRPr="00D4309F" w:rsidRDefault="00E2682F" w:rsidP="007E44C8">
            <w:pPr>
              <w:pStyle w:val="Table-Bullet"/>
            </w:pPr>
            <w:r w:rsidRPr="00D4309F">
              <w:t>It is assumed that the disposal area is an already disturbed</w:t>
            </w:r>
            <w:r w:rsidRPr="00D4309F">
              <w:rPr>
                <w:spacing w:val="-13"/>
              </w:rPr>
              <w:t xml:space="preserve"> </w:t>
            </w:r>
            <w:r w:rsidRPr="00D4309F">
              <w:t>area</w:t>
            </w:r>
            <w:r w:rsidRPr="00D4309F">
              <w:rPr>
                <w:spacing w:val="-12"/>
              </w:rPr>
              <w:t xml:space="preserve"> </w:t>
            </w:r>
            <w:r w:rsidRPr="00D4309F">
              <w:t>from</w:t>
            </w:r>
            <w:r w:rsidRPr="00D4309F">
              <w:rPr>
                <w:spacing w:val="-13"/>
              </w:rPr>
              <w:t xml:space="preserve"> </w:t>
            </w:r>
            <w:r w:rsidRPr="00D4309F">
              <w:t>previous disposal works</w:t>
            </w:r>
          </w:p>
          <w:p w14:paraId="392A71BB" w14:textId="77777777" w:rsidR="00E2682F" w:rsidRPr="00D4309F" w:rsidRDefault="00E2682F" w:rsidP="007E44C8">
            <w:pPr>
              <w:pStyle w:val="Table-Bullet"/>
            </w:pPr>
            <w:r w:rsidRPr="00D4309F">
              <w:t>Dredging</w:t>
            </w:r>
            <w:r w:rsidRPr="00D4309F">
              <w:rPr>
                <w:spacing w:val="-9"/>
              </w:rPr>
              <w:t xml:space="preserve"> </w:t>
            </w:r>
            <w:r w:rsidRPr="00D4309F">
              <w:t>and</w:t>
            </w:r>
            <w:r w:rsidRPr="00D4309F">
              <w:rPr>
                <w:spacing w:val="-9"/>
              </w:rPr>
              <w:t xml:space="preserve"> </w:t>
            </w:r>
            <w:r w:rsidRPr="00D4309F">
              <w:t>disposal</w:t>
            </w:r>
            <w:r w:rsidRPr="00D4309F">
              <w:rPr>
                <w:spacing w:val="-8"/>
              </w:rPr>
              <w:t xml:space="preserve"> </w:t>
            </w:r>
            <w:r w:rsidRPr="00D4309F">
              <w:t>is</w:t>
            </w:r>
            <w:r w:rsidRPr="00D4309F">
              <w:rPr>
                <w:spacing w:val="-8"/>
              </w:rPr>
              <w:t xml:space="preserve"> </w:t>
            </w:r>
            <w:r w:rsidRPr="00D4309F">
              <w:t>in</w:t>
            </w:r>
            <w:r w:rsidRPr="00D4309F">
              <w:rPr>
                <w:spacing w:val="-9"/>
              </w:rPr>
              <w:t xml:space="preserve"> </w:t>
            </w:r>
            <w:r w:rsidRPr="00D4309F">
              <w:t>a dynamic, open ocean environment, any plume will likely dissipate quickly</w:t>
            </w:r>
          </w:p>
          <w:p w14:paraId="04CCCB57" w14:textId="2C59E1FC" w:rsidR="00E2682F" w:rsidRPr="00D4309F" w:rsidRDefault="00E2682F" w:rsidP="007E44C8">
            <w:pPr>
              <w:pStyle w:val="Table-Bullet"/>
            </w:pPr>
            <w:r w:rsidRPr="00D4309F">
              <w:t>Turbidity is likely to be more extensive and persistent during</w:t>
            </w:r>
            <w:r w:rsidRPr="00D4309F">
              <w:rPr>
                <w:spacing w:val="-11"/>
              </w:rPr>
              <w:t xml:space="preserve"> </w:t>
            </w:r>
            <w:r w:rsidRPr="00D4309F">
              <w:t>rock</w:t>
            </w:r>
            <w:r w:rsidRPr="00D4309F">
              <w:rPr>
                <w:spacing w:val="-10"/>
              </w:rPr>
              <w:t xml:space="preserve"> </w:t>
            </w:r>
            <w:r w:rsidRPr="00D4309F">
              <w:t>cutting</w:t>
            </w:r>
            <w:r w:rsidRPr="00D4309F">
              <w:rPr>
                <w:spacing w:val="-11"/>
              </w:rPr>
              <w:t xml:space="preserve"> </w:t>
            </w:r>
            <w:r w:rsidRPr="00D4309F">
              <w:t>works</w:t>
            </w:r>
            <w:r w:rsidRPr="00D4309F">
              <w:rPr>
                <w:spacing w:val="-10"/>
              </w:rPr>
              <w:t xml:space="preserve"> </w:t>
            </w:r>
            <w:r w:rsidRPr="00D4309F">
              <w:t>and could impact endangered species habitat</w:t>
            </w:r>
          </w:p>
        </w:tc>
        <w:tc>
          <w:tcPr>
            <w:tcW w:w="2004" w:type="dxa"/>
            <w:tcBorders>
              <w:top w:val="single" w:sz="4" w:space="0" w:color="000000"/>
              <w:bottom w:val="single" w:sz="4" w:space="0" w:color="000000"/>
            </w:tcBorders>
            <w:vAlign w:val="center"/>
          </w:tcPr>
          <w:p w14:paraId="45EB77A6" w14:textId="77777777" w:rsidR="00E2682F" w:rsidRPr="00D4309F" w:rsidRDefault="00E2682F" w:rsidP="007E44C8">
            <w:pPr>
              <w:pStyle w:val="Table-Bullet"/>
            </w:pPr>
            <w:r w:rsidRPr="00D4309F">
              <w:t>Turbidity</w:t>
            </w:r>
            <w:r w:rsidRPr="00D4309F">
              <w:rPr>
                <w:spacing w:val="-5"/>
              </w:rPr>
              <w:t xml:space="preserve"> </w:t>
            </w:r>
            <w:r w:rsidRPr="00D4309F">
              <w:rPr>
                <w:spacing w:val="-2"/>
              </w:rPr>
              <w:t>modelling</w:t>
            </w:r>
          </w:p>
          <w:p w14:paraId="3FA17A6F" w14:textId="755A06AD" w:rsidR="00E2682F" w:rsidRPr="00D4309F" w:rsidRDefault="00E2682F" w:rsidP="007E44C8">
            <w:pPr>
              <w:pStyle w:val="Table-Bullet"/>
              <w:rPr>
                <w:spacing w:val="-4"/>
              </w:rPr>
            </w:pPr>
            <w:r w:rsidRPr="00D4309F">
              <w:t>Fauna / benthic habitat</w:t>
            </w:r>
            <w:r w:rsidRPr="00D4309F">
              <w:rPr>
                <w:spacing w:val="-13"/>
              </w:rPr>
              <w:t xml:space="preserve"> </w:t>
            </w:r>
            <w:r w:rsidRPr="00D4309F">
              <w:t>assessment</w:t>
            </w:r>
          </w:p>
        </w:tc>
        <w:tc>
          <w:tcPr>
            <w:tcW w:w="2665" w:type="dxa"/>
            <w:tcBorders>
              <w:top w:val="single" w:sz="4" w:space="0" w:color="000000"/>
              <w:bottom w:val="single" w:sz="4" w:space="0" w:color="000000"/>
            </w:tcBorders>
            <w:vAlign w:val="center"/>
          </w:tcPr>
          <w:p w14:paraId="4CD8E6FD" w14:textId="77777777" w:rsidR="00E2682F" w:rsidRPr="00D4309F" w:rsidRDefault="00E2682F" w:rsidP="007E44C8">
            <w:pPr>
              <w:pStyle w:val="Table-Bullet"/>
            </w:pPr>
            <w:r w:rsidRPr="00D4309F">
              <w:t>Turbidity</w:t>
            </w:r>
            <w:r w:rsidRPr="00D4309F">
              <w:rPr>
                <w:spacing w:val="-15"/>
              </w:rPr>
              <w:t xml:space="preserve"> </w:t>
            </w:r>
            <w:r w:rsidRPr="00D4309F">
              <w:t>monitoring</w:t>
            </w:r>
            <w:r w:rsidRPr="00D4309F">
              <w:rPr>
                <w:spacing w:val="-12"/>
              </w:rPr>
              <w:t xml:space="preserve"> </w:t>
            </w:r>
            <w:r w:rsidRPr="00D4309F">
              <w:t xml:space="preserve">during </w:t>
            </w:r>
            <w:r w:rsidRPr="00D4309F">
              <w:rPr>
                <w:spacing w:val="-2"/>
              </w:rPr>
              <w:t>works</w:t>
            </w:r>
          </w:p>
          <w:p w14:paraId="30E2C626" w14:textId="38225173" w:rsidR="00E2682F" w:rsidRPr="00D4309F" w:rsidRDefault="00E2682F" w:rsidP="007E44C8">
            <w:pPr>
              <w:pStyle w:val="Table-Bullet"/>
            </w:pPr>
            <w:r w:rsidRPr="00D4309F">
              <w:t>Standard turbidity mitigation</w:t>
            </w:r>
            <w:r w:rsidRPr="00D4309F">
              <w:rPr>
                <w:spacing w:val="-15"/>
              </w:rPr>
              <w:t xml:space="preserve"> </w:t>
            </w:r>
            <w:r w:rsidRPr="00D4309F">
              <w:t>procedures</w:t>
            </w:r>
            <w:r w:rsidRPr="00D4309F">
              <w:rPr>
                <w:spacing w:val="-12"/>
              </w:rPr>
              <w:t xml:space="preserve"> </w:t>
            </w:r>
            <w:r w:rsidRPr="00D4309F">
              <w:t xml:space="preserve">e.g. silt curtains, staging of </w:t>
            </w:r>
            <w:r w:rsidRPr="00D4309F">
              <w:rPr>
                <w:spacing w:val="-2"/>
              </w:rPr>
              <w:t>works</w:t>
            </w:r>
          </w:p>
        </w:tc>
      </w:tr>
      <w:tr w:rsidR="009213C9" w:rsidRPr="00D4309F" w14:paraId="000CF923" w14:textId="77777777" w:rsidTr="007E44C8">
        <w:trPr>
          <w:cantSplit/>
          <w:trHeight w:val="20"/>
        </w:trPr>
        <w:tc>
          <w:tcPr>
            <w:tcW w:w="1418" w:type="dxa"/>
            <w:tcBorders>
              <w:top w:val="single" w:sz="4" w:space="0" w:color="000000"/>
              <w:bottom w:val="single" w:sz="4" w:space="0" w:color="000000"/>
            </w:tcBorders>
            <w:vAlign w:val="center"/>
          </w:tcPr>
          <w:p w14:paraId="0FB57851" w14:textId="12C5938B" w:rsidR="00E2682F" w:rsidRPr="00D4309F" w:rsidRDefault="00E2682F" w:rsidP="007E44C8">
            <w:pPr>
              <w:pStyle w:val="Table-Text"/>
            </w:pPr>
            <w:r w:rsidRPr="00D4309F">
              <w:t>Marine</w:t>
            </w:r>
            <w:r w:rsidRPr="00D4309F">
              <w:rPr>
                <w:spacing w:val="-4"/>
              </w:rPr>
              <w:t xml:space="preserve"> </w:t>
            </w:r>
            <w:r w:rsidRPr="00D4309F">
              <w:t>fauna</w:t>
            </w:r>
          </w:p>
        </w:tc>
        <w:tc>
          <w:tcPr>
            <w:tcW w:w="1701" w:type="dxa"/>
            <w:tcBorders>
              <w:top w:val="single" w:sz="4" w:space="0" w:color="000000"/>
              <w:bottom w:val="single" w:sz="4" w:space="0" w:color="000000"/>
            </w:tcBorders>
            <w:vAlign w:val="center"/>
          </w:tcPr>
          <w:p w14:paraId="3FD58468" w14:textId="38119821" w:rsidR="00E2682F" w:rsidRPr="00D4309F" w:rsidRDefault="00E2682F" w:rsidP="007E44C8">
            <w:pPr>
              <w:pStyle w:val="Table-Text"/>
            </w:pPr>
            <w:r w:rsidRPr="00D4309F">
              <w:rPr>
                <w:spacing w:val="-4"/>
              </w:rPr>
              <w:t xml:space="preserve">Site </w:t>
            </w:r>
            <w:r w:rsidRPr="00D4309F">
              <w:t>attached species</w:t>
            </w:r>
          </w:p>
        </w:tc>
        <w:tc>
          <w:tcPr>
            <w:tcW w:w="2551" w:type="dxa"/>
            <w:tcBorders>
              <w:top w:val="single" w:sz="4" w:space="0" w:color="000000"/>
              <w:bottom w:val="single" w:sz="4" w:space="0" w:color="000000"/>
            </w:tcBorders>
            <w:vAlign w:val="center"/>
          </w:tcPr>
          <w:p w14:paraId="7D456078" w14:textId="7FBC6E76" w:rsidR="00E2682F" w:rsidRPr="00D4309F" w:rsidRDefault="00E2682F" w:rsidP="007E44C8">
            <w:pPr>
              <w:pStyle w:val="Table-Bullet"/>
            </w:pPr>
            <w:r w:rsidRPr="00D4309F">
              <w:rPr>
                <w:spacing w:val="-2"/>
              </w:rPr>
              <w:t>Mortality/injury/behavioural</w:t>
            </w:r>
            <w:r w:rsidRPr="00D4309F">
              <w:rPr>
                <w:spacing w:val="40"/>
              </w:rPr>
              <w:t xml:space="preserve"> </w:t>
            </w:r>
            <w:r w:rsidRPr="00D4309F">
              <w:t>response</w:t>
            </w:r>
            <w:r w:rsidRPr="00D4309F">
              <w:rPr>
                <w:spacing w:val="-7"/>
              </w:rPr>
              <w:t xml:space="preserve"> </w:t>
            </w:r>
            <w:r w:rsidRPr="00D4309F">
              <w:t>due</w:t>
            </w:r>
            <w:r w:rsidRPr="00D4309F">
              <w:rPr>
                <w:spacing w:val="-7"/>
              </w:rPr>
              <w:t xml:space="preserve"> </w:t>
            </w:r>
            <w:r w:rsidRPr="00D4309F">
              <w:t>to</w:t>
            </w:r>
            <w:r w:rsidRPr="00D4309F">
              <w:rPr>
                <w:spacing w:val="-7"/>
              </w:rPr>
              <w:t xml:space="preserve"> </w:t>
            </w:r>
            <w:r w:rsidRPr="00D4309F">
              <w:t>toxic</w:t>
            </w:r>
            <w:r w:rsidRPr="00D4309F">
              <w:rPr>
                <w:spacing w:val="-6"/>
              </w:rPr>
              <w:t xml:space="preserve"> </w:t>
            </w:r>
            <w:r w:rsidRPr="00D4309F">
              <w:t>effects</w:t>
            </w:r>
            <w:r w:rsidRPr="00D4309F">
              <w:rPr>
                <w:spacing w:val="-6"/>
              </w:rPr>
              <w:t xml:space="preserve"> </w:t>
            </w:r>
            <w:r w:rsidRPr="00D4309F">
              <w:t>due</w:t>
            </w:r>
            <w:r w:rsidRPr="00D4309F">
              <w:rPr>
                <w:spacing w:val="-7"/>
              </w:rPr>
              <w:t xml:space="preserve"> </w:t>
            </w:r>
            <w:r w:rsidRPr="00D4309F">
              <w:t>to release of contaminants/hypoxia</w:t>
            </w:r>
          </w:p>
        </w:tc>
        <w:tc>
          <w:tcPr>
            <w:tcW w:w="1276" w:type="dxa"/>
            <w:tcBorders>
              <w:top w:val="single" w:sz="4" w:space="0" w:color="000000"/>
              <w:bottom w:val="single" w:sz="4" w:space="0" w:color="000000"/>
            </w:tcBorders>
            <w:shd w:val="clear" w:color="auto" w:fill="92D050"/>
            <w:vAlign w:val="center"/>
          </w:tcPr>
          <w:p w14:paraId="6992E1DD" w14:textId="23858E82" w:rsidR="00E2682F" w:rsidRPr="00F842F6" w:rsidRDefault="00E2682F" w:rsidP="00F842F6">
            <w:pPr>
              <w:pStyle w:val="Table-Text"/>
              <w:rPr>
                <w:b/>
                <w:bCs/>
                <w:spacing w:val="-5"/>
              </w:rPr>
            </w:pPr>
            <w:r w:rsidRPr="00F842F6">
              <w:rPr>
                <w:b/>
                <w:bCs/>
                <w:spacing w:val="-5"/>
              </w:rPr>
              <w:t>Low</w:t>
            </w:r>
          </w:p>
        </w:tc>
        <w:tc>
          <w:tcPr>
            <w:tcW w:w="2957" w:type="dxa"/>
            <w:tcBorders>
              <w:top w:val="single" w:sz="4" w:space="0" w:color="000000"/>
              <w:bottom w:val="single" w:sz="4" w:space="0" w:color="000000"/>
            </w:tcBorders>
            <w:vAlign w:val="center"/>
          </w:tcPr>
          <w:p w14:paraId="55B8E8AB" w14:textId="77777777" w:rsidR="00E2682F" w:rsidRPr="00D4309F" w:rsidRDefault="00E2682F" w:rsidP="007E44C8">
            <w:pPr>
              <w:pStyle w:val="Table-Bullet"/>
            </w:pPr>
            <w:r w:rsidRPr="00D4309F">
              <w:t>Dredge sediments likely comprise clean marine sand free</w:t>
            </w:r>
            <w:r w:rsidRPr="00D4309F">
              <w:rPr>
                <w:spacing w:val="-11"/>
              </w:rPr>
              <w:t xml:space="preserve"> </w:t>
            </w:r>
            <w:r w:rsidRPr="00D4309F">
              <w:t>of</w:t>
            </w:r>
            <w:r w:rsidRPr="00D4309F">
              <w:rPr>
                <w:spacing w:val="-10"/>
              </w:rPr>
              <w:t xml:space="preserve"> </w:t>
            </w:r>
            <w:r w:rsidRPr="00D4309F">
              <w:t>contaminants</w:t>
            </w:r>
            <w:r w:rsidRPr="00D4309F">
              <w:rPr>
                <w:spacing w:val="-10"/>
              </w:rPr>
              <w:t xml:space="preserve"> </w:t>
            </w:r>
            <w:r w:rsidRPr="00D4309F">
              <w:t>with</w:t>
            </w:r>
            <w:r w:rsidRPr="00D4309F">
              <w:rPr>
                <w:spacing w:val="-11"/>
              </w:rPr>
              <w:t xml:space="preserve"> </w:t>
            </w:r>
            <w:r w:rsidRPr="00D4309F">
              <w:t>low organic matter content</w:t>
            </w:r>
          </w:p>
          <w:p w14:paraId="42EFC84E" w14:textId="31C2C0FD" w:rsidR="00E2682F" w:rsidRPr="00D4309F" w:rsidRDefault="00E2682F" w:rsidP="007E44C8">
            <w:pPr>
              <w:pStyle w:val="Table-Bullet"/>
            </w:pPr>
            <w:r w:rsidRPr="00D4309F">
              <w:t>Rock</w:t>
            </w:r>
            <w:r w:rsidRPr="00D4309F">
              <w:rPr>
                <w:spacing w:val="-10"/>
              </w:rPr>
              <w:t xml:space="preserve"> </w:t>
            </w:r>
            <w:r w:rsidRPr="00D4309F">
              <w:t>is</w:t>
            </w:r>
            <w:r w:rsidRPr="00D4309F">
              <w:rPr>
                <w:spacing w:val="-10"/>
              </w:rPr>
              <w:t xml:space="preserve"> </w:t>
            </w:r>
            <w:r w:rsidRPr="00D4309F">
              <w:t>likely</w:t>
            </w:r>
            <w:r w:rsidRPr="00D4309F">
              <w:rPr>
                <w:spacing w:val="-10"/>
              </w:rPr>
              <w:t xml:space="preserve"> </w:t>
            </w:r>
            <w:r w:rsidRPr="00D4309F">
              <w:t>to</w:t>
            </w:r>
            <w:r w:rsidRPr="00D4309F">
              <w:rPr>
                <w:spacing w:val="-11"/>
              </w:rPr>
              <w:t xml:space="preserve"> </w:t>
            </w:r>
            <w:r w:rsidRPr="00D4309F">
              <w:t xml:space="preserve">be </w:t>
            </w:r>
            <w:r w:rsidRPr="00D4309F">
              <w:rPr>
                <w:spacing w:val="-2"/>
              </w:rPr>
              <w:t>uncontaminated</w:t>
            </w:r>
          </w:p>
        </w:tc>
        <w:tc>
          <w:tcPr>
            <w:tcW w:w="2004" w:type="dxa"/>
            <w:tcBorders>
              <w:top w:val="single" w:sz="4" w:space="0" w:color="000000"/>
              <w:bottom w:val="single" w:sz="4" w:space="0" w:color="000000"/>
            </w:tcBorders>
            <w:vAlign w:val="center"/>
          </w:tcPr>
          <w:p w14:paraId="03E43D32" w14:textId="1BE81472" w:rsidR="00E2682F" w:rsidRPr="00D4309F" w:rsidRDefault="00E2682F" w:rsidP="007E44C8">
            <w:pPr>
              <w:pStyle w:val="Table-Bullet"/>
              <w:rPr>
                <w:spacing w:val="-4"/>
              </w:rPr>
            </w:pPr>
            <w:r w:rsidRPr="00D4309F">
              <w:t>Assumption that suitable</w:t>
            </w:r>
            <w:r w:rsidRPr="00D4309F">
              <w:rPr>
                <w:spacing w:val="-15"/>
              </w:rPr>
              <w:t xml:space="preserve"> </w:t>
            </w:r>
            <w:r w:rsidRPr="00D4309F">
              <w:t>data</w:t>
            </w:r>
            <w:r w:rsidRPr="00D4309F">
              <w:rPr>
                <w:spacing w:val="-12"/>
              </w:rPr>
              <w:t xml:space="preserve"> </w:t>
            </w:r>
            <w:r w:rsidRPr="00D4309F">
              <w:t>exists to inform this risk</w:t>
            </w:r>
          </w:p>
        </w:tc>
        <w:tc>
          <w:tcPr>
            <w:tcW w:w="2665" w:type="dxa"/>
            <w:tcBorders>
              <w:top w:val="single" w:sz="4" w:space="0" w:color="000000"/>
              <w:bottom w:val="single" w:sz="4" w:space="0" w:color="000000"/>
            </w:tcBorders>
            <w:vAlign w:val="center"/>
          </w:tcPr>
          <w:p w14:paraId="660C4702" w14:textId="131CC7F7" w:rsidR="00E2682F" w:rsidRPr="00D4309F" w:rsidRDefault="00E2682F" w:rsidP="007E44C8">
            <w:pPr>
              <w:pStyle w:val="Table-Bullet"/>
            </w:pPr>
            <w:r w:rsidRPr="00D4309F">
              <w:rPr>
                <w:spacing w:val="-4"/>
              </w:rPr>
              <w:t>None</w:t>
            </w:r>
          </w:p>
        </w:tc>
      </w:tr>
      <w:tr w:rsidR="009213C9" w:rsidRPr="00D4309F" w14:paraId="7232FF2E" w14:textId="77777777" w:rsidTr="007E44C8">
        <w:trPr>
          <w:cantSplit/>
          <w:trHeight w:val="20"/>
        </w:trPr>
        <w:tc>
          <w:tcPr>
            <w:tcW w:w="1418" w:type="dxa"/>
            <w:tcBorders>
              <w:top w:val="single" w:sz="4" w:space="0" w:color="000000"/>
              <w:bottom w:val="single" w:sz="4" w:space="0" w:color="000000"/>
            </w:tcBorders>
            <w:vAlign w:val="center"/>
          </w:tcPr>
          <w:p w14:paraId="2C4CA685" w14:textId="08FCA4C4" w:rsidR="00E2682F" w:rsidRPr="00D4309F" w:rsidRDefault="00E2682F" w:rsidP="007E44C8">
            <w:pPr>
              <w:pStyle w:val="Table-Text"/>
            </w:pPr>
            <w:r w:rsidRPr="00D4309F">
              <w:t>Marine</w:t>
            </w:r>
            <w:r w:rsidRPr="00D4309F">
              <w:rPr>
                <w:spacing w:val="-4"/>
              </w:rPr>
              <w:t xml:space="preserve"> </w:t>
            </w:r>
            <w:r w:rsidRPr="00D4309F">
              <w:t>fauna</w:t>
            </w:r>
          </w:p>
        </w:tc>
        <w:tc>
          <w:tcPr>
            <w:tcW w:w="1701" w:type="dxa"/>
            <w:tcBorders>
              <w:top w:val="single" w:sz="4" w:space="0" w:color="000000"/>
              <w:bottom w:val="single" w:sz="4" w:space="0" w:color="000000"/>
            </w:tcBorders>
            <w:vAlign w:val="center"/>
          </w:tcPr>
          <w:p w14:paraId="139CFD6F" w14:textId="22B25CC8" w:rsidR="00E2682F" w:rsidRPr="00D4309F" w:rsidRDefault="00E2682F" w:rsidP="007E44C8">
            <w:pPr>
              <w:pStyle w:val="Table-Text"/>
            </w:pPr>
            <w:r w:rsidRPr="00D4309F">
              <w:t>Mobile species</w:t>
            </w:r>
          </w:p>
        </w:tc>
        <w:tc>
          <w:tcPr>
            <w:tcW w:w="2551" w:type="dxa"/>
            <w:tcBorders>
              <w:top w:val="single" w:sz="4" w:space="0" w:color="000000"/>
              <w:bottom w:val="single" w:sz="4" w:space="0" w:color="000000"/>
            </w:tcBorders>
            <w:vAlign w:val="center"/>
          </w:tcPr>
          <w:p w14:paraId="2F9E3AD3" w14:textId="77777777" w:rsidR="00E2682F" w:rsidRPr="00D4309F" w:rsidRDefault="00E2682F" w:rsidP="007E44C8">
            <w:pPr>
              <w:pStyle w:val="Table-Bullet"/>
            </w:pPr>
            <w:r w:rsidRPr="00D4309F">
              <w:t>Vessel</w:t>
            </w:r>
            <w:r w:rsidRPr="00D4309F">
              <w:rPr>
                <w:spacing w:val="-5"/>
              </w:rPr>
              <w:t xml:space="preserve"> </w:t>
            </w:r>
            <w:r w:rsidRPr="00D4309F">
              <w:rPr>
                <w:spacing w:val="-2"/>
              </w:rPr>
              <w:t>collision</w:t>
            </w:r>
          </w:p>
          <w:p w14:paraId="64438625" w14:textId="77777777" w:rsidR="00E2682F" w:rsidRPr="00D4309F" w:rsidRDefault="00E2682F" w:rsidP="007E44C8">
            <w:pPr>
              <w:pStyle w:val="Table-Bullet"/>
            </w:pPr>
            <w:r w:rsidRPr="00D4309F">
              <w:t>Direct</w:t>
            </w:r>
            <w:r w:rsidRPr="00D4309F">
              <w:rPr>
                <w:spacing w:val="-13"/>
              </w:rPr>
              <w:t xml:space="preserve"> </w:t>
            </w:r>
            <w:r w:rsidRPr="00D4309F">
              <w:t>mortality/injury</w:t>
            </w:r>
            <w:r w:rsidRPr="00D4309F">
              <w:rPr>
                <w:spacing w:val="-12"/>
              </w:rPr>
              <w:t xml:space="preserve"> </w:t>
            </w:r>
            <w:r w:rsidRPr="00D4309F">
              <w:t>due</w:t>
            </w:r>
            <w:r w:rsidRPr="00D4309F">
              <w:rPr>
                <w:spacing w:val="-13"/>
              </w:rPr>
              <w:t xml:space="preserve"> </w:t>
            </w:r>
            <w:r w:rsidRPr="00D4309F">
              <w:t xml:space="preserve">to </w:t>
            </w:r>
            <w:r w:rsidRPr="00D4309F">
              <w:rPr>
                <w:spacing w:val="-2"/>
              </w:rPr>
              <w:t>dredging</w:t>
            </w:r>
          </w:p>
          <w:p w14:paraId="08B338E2" w14:textId="0D7E1CF3" w:rsidR="00E2682F" w:rsidRPr="00D4309F" w:rsidRDefault="00E2682F" w:rsidP="007E44C8">
            <w:pPr>
              <w:pStyle w:val="Table-Bullet"/>
            </w:pPr>
            <w:r w:rsidRPr="00D4309F">
              <w:rPr>
                <w:spacing w:val="-2"/>
              </w:rPr>
              <w:t xml:space="preserve">Mortality/injury/behavioural </w:t>
            </w:r>
            <w:r w:rsidRPr="00D4309F">
              <w:t>response</w:t>
            </w:r>
            <w:r w:rsidRPr="00D4309F">
              <w:rPr>
                <w:spacing w:val="-8"/>
              </w:rPr>
              <w:t xml:space="preserve"> </w:t>
            </w:r>
            <w:r w:rsidRPr="00D4309F">
              <w:t>due</w:t>
            </w:r>
            <w:r w:rsidRPr="00D4309F">
              <w:rPr>
                <w:spacing w:val="-8"/>
              </w:rPr>
              <w:t xml:space="preserve"> </w:t>
            </w:r>
            <w:r w:rsidRPr="00D4309F">
              <w:t>to</w:t>
            </w:r>
            <w:r w:rsidRPr="00D4309F">
              <w:rPr>
                <w:spacing w:val="-8"/>
              </w:rPr>
              <w:t xml:space="preserve"> </w:t>
            </w:r>
            <w:r w:rsidRPr="00D4309F">
              <w:t>physical</w:t>
            </w:r>
            <w:r w:rsidRPr="00D4309F">
              <w:rPr>
                <w:spacing w:val="-8"/>
              </w:rPr>
              <w:t xml:space="preserve"> </w:t>
            </w:r>
            <w:r w:rsidRPr="00D4309F">
              <w:t>effects</w:t>
            </w:r>
            <w:r w:rsidRPr="00D4309F">
              <w:rPr>
                <w:spacing w:val="-8"/>
              </w:rPr>
              <w:t xml:space="preserve"> </w:t>
            </w:r>
            <w:r w:rsidRPr="00D4309F">
              <w:t xml:space="preserve">of </w:t>
            </w:r>
            <w:r w:rsidRPr="00D4309F">
              <w:rPr>
                <w:spacing w:val="-2"/>
              </w:rPr>
              <w:t>turbidity</w:t>
            </w:r>
          </w:p>
        </w:tc>
        <w:tc>
          <w:tcPr>
            <w:tcW w:w="1276" w:type="dxa"/>
            <w:tcBorders>
              <w:top w:val="single" w:sz="4" w:space="0" w:color="000000"/>
              <w:bottom w:val="single" w:sz="4" w:space="0" w:color="000000"/>
            </w:tcBorders>
            <w:shd w:val="clear" w:color="auto" w:fill="92D050"/>
            <w:vAlign w:val="center"/>
          </w:tcPr>
          <w:p w14:paraId="5E99FA5C" w14:textId="0680462B" w:rsidR="00E2682F" w:rsidRPr="00F842F6" w:rsidRDefault="00E2682F" w:rsidP="00F842F6">
            <w:pPr>
              <w:pStyle w:val="Table-Text"/>
              <w:rPr>
                <w:b/>
                <w:bCs/>
                <w:spacing w:val="-5"/>
              </w:rPr>
            </w:pPr>
            <w:r w:rsidRPr="00F842F6">
              <w:rPr>
                <w:b/>
                <w:bCs/>
                <w:spacing w:val="-5"/>
              </w:rPr>
              <w:t>Low</w:t>
            </w:r>
          </w:p>
        </w:tc>
        <w:tc>
          <w:tcPr>
            <w:tcW w:w="2957" w:type="dxa"/>
            <w:tcBorders>
              <w:top w:val="single" w:sz="4" w:space="0" w:color="000000"/>
              <w:bottom w:val="single" w:sz="4" w:space="0" w:color="000000"/>
            </w:tcBorders>
            <w:vAlign w:val="center"/>
          </w:tcPr>
          <w:p w14:paraId="54268778" w14:textId="02108B15" w:rsidR="00E2682F" w:rsidRPr="00D4309F" w:rsidRDefault="00E2682F" w:rsidP="007E44C8">
            <w:pPr>
              <w:pStyle w:val="Table-Bullet"/>
            </w:pPr>
            <w:r w:rsidRPr="00D4309F">
              <w:t>Mobile species including the critically endangered Grey Nurse Shark and</w:t>
            </w:r>
            <w:r w:rsidRPr="00D4309F">
              <w:rPr>
                <w:spacing w:val="40"/>
              </w:rPr>
              <w:t xml:space="preserve"> </w:t>
            </w:r>
            <w:r w:rsidRPr="00D4309F">
              <w:t>conservation dependent scalloped hammerhead will actively</w:t>
            </w:r>
            <w:r w:rsidRPr="00D4309F">
              <w:rPr>
                <w:spacing w:val="-10"/>
              </w:rPr>
              <w:t xml:space="preserve"> </w:t>
            </w:r>
            <w:r w:rsidRPr="00D4309F">
              <w:t>avoid</w:t>
            </w:r>
            <w:r w:rsidRPr="00D4309F">
              <w:rPr>
                <w:spacing w:val="-9"/>
              </w:rPr>
              <w:t xml:space="preserve"> </w:t>
            </w:r>
            <w:r w:rsidRPr="00D4309F">
              <w:t>areas</w:t>
            </w:r>
            <w:r w:rsidRPr="00D4309F">
              <w:rPr>
                <w:spacing w:val="-10"/>
              </w:rPr>
              <w:t xml:space="preserve"> </w:t>
            </w:r>
            <w:r w:rsidRPr="00D4309F">
              <w:t>of</w:t>
            </w:r>
            <w:r w:rsidRPr="00D4309F">
              <w:rPr>
                <w:spacing w:val="-10"/>
              </w:rPr>
              <w:t xml:space="preserve"> </w:t>
            </w:r>
            <w:r w:rsidRPr="00D4309F">
              <w:t>activity</w:t>
            </w:r>
          </w:p>
        </w:tc>
        <w:tc>
          <w:tcPr>
            <w:tcW w:w="2004" w:type="dxa"/>
            <w:tcBorders>
              <w:top w:val="single" w:sz="4" w:space="0" w:color="000000"/>
              <w:bottom w:val="single" w:sz="4" w:space="0" w:color="000000"/>
            </w:tcBorders>
            <w:vAlign w:val="center"/>
          </w:tcPr>
          <w:p w14:paraId="6527DD95" w14:textId="5C213465" w:rsidR="00E2682F" w:rsidRPr="00D4309F" w:rsidRDefault="00E2682F" w:rsidP="007E44C8">
            <w:pPr>
              <w:pStyle w:val="Table-Bullet"/>
              <w:rPr>
                <w:spacing w:val="-4"/>
              </w:rPr>
            </w:pPr>
            <w:r w:rsidRPr="00D4309F">
              <w:rPr>
                <w:color w:val="211E1F"/>
                <w:spacing w:val="-4"/>
              </w:rPr>
              <w:t>None</w:t>
            </w:r>
          </w:p>
        </w:tc>
        <w:tc>
          <w:tcPr>
            <w:tcW w:w="2665" w:type="dxa"/>
            <w:tcBorders>
              <w:top w:val="single" w:sz="4" w:space="0" w:color="000000"/>
              <w:bottom w:val="single" w:sz="4" w:space="0" w:color="000000"/>
            </w:tcBorders>
            <w:vAlign w:val="center"/>
          </w:tcPr>
          <w:p w14:paraId="456C98E9" w14:textId="31CA9369" w:rsidR="00E2682F" w:rsidRPr="00D4309F" w:rsidRDefault="00E2682F" w:rsidP="007E44C8">
            <w:pPr>
              <w:pStyle w:val="Table-Bullet"/>
            </w:pPr>
            <w:r w:rsidRPr="00D4309F">
              <w:rPr>
                <w:color w:val="211E1F"/>
                <w:spacing w:val="-4"/>
              </w:rPr>
              <w:t>None</w:t>
            </w:r>
          </w:p>
        </w:tc>
      </w:tr>
      <w:tr w:rsidR="009213C9" w:rsidRPr="00D4309F" w14:paraId="6FA922D9" w14:textId="77777777" w:rsidTr="007E44C8">
        <w:trPr>
          <w:cantSplit/>
          <w:trHeight w:val="20"/>
        </w:trPr>
        <w:tc>
          <w:tcPr>
            <w:tcW w:w="1418" w:type="dxa"/>
            <w:tcBorders>
              <w:top w:val="single" w:sz="4" w:space="0" w:color="000000"/>
              <w:bottom w:val="single" w:sz="4" w:space="0" w:color="000000"/>
            </w:tcBorders>
            <w:vAlign w:val="center"/>
          </w:tcPr>
          <w:p w14:paraId="00BBAE2E" w14:textId="4065B94D" w:rsidR="00E2682F" w:rsidRPr="00D4309F" w:rsidRDefault="00E2682F" w:rsidP="007E44C8">
            <w:pPr>
              <w:pStyle w:val="Table-Text"/>
            </w:pPr>
            <w:r w:rsidRPr="00D4309F">
              <w:lastRenderedPageBreak/>
              <w:t>Marine</w:t>
            </w:r>
            <w:r w:rsidRPr="00D4309F">
              <w:rPr>
                <w:spacing w:val="-4"/>
              </w:rPr>
              <w:t xml:space="preserve"> </w:t>
            </w:r>
            <w:r w:rsidRPr="00D4309F">
              <w:t>fauna</w:t>
            </w:r>
          </w:p>
        </w:tc>
        <w:tc>
          <w:tcPr>
            <w:tcW w:w="1701" w:type="dxa"/>
            <w:tcBorders>
              <w:top w:val="single" w:sz="4" w:space="0" w:color="000000"/>
              <w:bottom w:val="single" w:sz="4" w:space="0" w:color="000000"/>
            </w:tcBorders>
            <w:vAlign w:val="center"/>
          </w:tcPr>
          <w:p w14:paraId="3B15DDFF" w14:textId="46361145" w:rsidR="00E2682F" w:rsidRPr="00D4309F" w:rsidRDefault="00E2682F" w:rsidP="007E44C8">
            <w:pPr>
              <w:pStyle w:val="Table-Text"/>
            </w:pPr>
            <w:r w:rsidRPr="00D4309F">
              <w:t>Mobile species</w:t>
            </w:r>
          </w:p>
        </w:tc>
        <w:tc>
          <w:tcPr>
            <w:tcW w:w="2551" w:type="dxa"/>
            <w:tcBorders>
              <w:top w:val="single" w:sz="4" w:space="0" w:color="000000"/>
              <w:bottom w:val="single" w:sz="4" w:space="0" w:color="000000"/>
            </w:tcBorders>
            <w:vAlign w:val="center"/>
          </w:tcPr>
          <w:p w14:paraId="50F25DD2" w14:textId="1E4EF85C" w:rsidR="00E2682F" w:rsidRPr="00D4309F" w:rsidRDefault="00E2682F" w:rsidP="007E44C8">
            <w:pPr>
              <w:pStyle w:val="Table-Bullet"/>
            </w:pPr>
            <w:r w:rsidRPr="00D4309F">
              <w:rPr>
                <w:spacing w:val="-2"/>
              </w:rPr>
              <w:t>Mortality/injury/behavioural</w:t>
            </w:r>
            <w:r w:rsidRPr="00D4309F">
              <w:rPr>
                <w:spacing w:val="40"/>
              </w:rPr>
              <w:t xml:space="preserve"> </w:t>
            </w:r>
            <w:r w:rsidRPr="00D4309F">
              <w:t>response</w:t>
            </w:r>
            <w:r w:rsidRPr="00D4309F">
              <w:rPr>
                <w:spacing w:val="-7"/>
              </w:rPr>
              <w:t xml:space="preserve"> </w:t>
            </w:r>
            <w:r w:rsidRPr="00D4309F">
              <w:t>due</w:t>
            </w:r>
            <w:r w:rsidRPr="00D4309F">
              <w:rPr>
                <w:spacing w:val="-7"/>
              </w:rPr>
              <w:t xml:space="preserve"> </w:t>
            </w:r>
            <w:r w:rsidRPr="00D4309F">
              <w:t>to</w:t>
            </w:r>
            <w:r w:rsidRPr="00D4309F">
              <w:rPr>
                <w:spacing w:val="-7"/>
              </w:rPr>
              <w:t xml:space="preserve"> </w:t>
            </w:r>
            <w:r w:rsidRPr="00D4309F">
              <w:t>toxic</w:t>
            </w:r>
            <w:r w:rsidRPr="00D4309F">
              <w:rPr>
                <w:spacing w:val="-6"/>
              </w:rPr>
              <w:t xml:space="preserve"> </w:t>
            </w:r>
            <w:r w:rsidRPr="00D4309F">
              <w:t>effects</w:t>
            </w:r>
            <w:r w:rsidRPr="00D4309F">
              <w:rPr>
                <w:spacing w:val="-6"/>
              </w:rPr>
              <w:t xml:space="preserve"> </w:t>
            </w:r>
            <w:r w:rsidRPr="00D4309F">
              <w:t>due</w:t>
            </w:r>
            <w:r w:rsidRPr="00D4309F">
              <w:rPr>
                <w:spacing w:val="-7"/>
              </w:rPr>
              <w:t xml:space="preserve"> </w:t>
            </w:r>
            <w:r w:rsidRPr="00D4309F">
              <w:t>to release of contaminants/hypoxia</w:t>
            </w:r>
          </w:p>
        </w:tc>
        <w:tc>
          <w:tcPr>
            <w:tcW w:w="1276" w:type="dxa"/>
            <w:tcBorders>
              <w:top w:val="single" w:sz="4" w:space="0" w:color="000000"/>
              <w:bottom w:val="single" w:sz="4" w:space="0" w:color="000000"/>
            </w:tcBorders>
            <w:shd w:val="clear" w:color="auto" w:fill="92D050"/>
            <w:vAlign w:val="center"/>
          </w:tcPr>
          <w:p w14:paraId="7D0632F4" w14:textId="788538EB" w:rsidR="00E2682F" w:rsidRPr="00F842F6" w:rsidRDefault="00E2682F" w:rsidP="00F842F6">
            <w:pPr>
              <w:pStyle w:val="Table-Text"/>
              <w:rPr>
                <w:b/>
                <w:bCs/>
                <w:spacing w:val="-5"/>
              </w:rPr>
            </w:pPr>
            <w:r w:rsidRPr="00F842F6">
              <w:rPr>
                <w:b/>
                <w:bCs/>
                <w:spacing w:val="-5"/>
              </w:rPr>
              <w:t>Low</w:t>
            </w:r>
          </w:p>
        </w:tc>
        <w:tc>
          <w:tcPr>
            <w:tcW w:w="2957" w:type="dxa"/>
            <w:tcBorders>
              <w:top w:val="single" w:sz="4" w:space="0" w:color="000000"/>
              <w:bottom w:val="single" w:sz="4" w:space="0" w:color="000000"/>
            </w:tcBorders>
            <w:vAlign w:val="center"/>
          </w:tcPr>
          <w:p w14:paraId="29E59904" w14:textId="77777777" w:rsidR="00E2682F" w:rsidRPr="00D4309F" w:rsidRDefault="00E2682F" w:rsidP="007E44C8">
            <w:pPr>
              <w:pStyle w:val="Table-Bullet"/>
            </w:pPr>
            <w:r w:rsidRPr="00D4309F">
              <w:t>Dredge sediments likely comprise clean marine sand free</w:t>
            </w:r>
            <w:r w:rsidRPr="00D4309F">
              <w:rPr>
                <w:spacing w:val="-11"/>
              </w:rPr>
              <w:t xml:space="preserve"> </w:t>
            </w:r>
            <w:r w:rsidRPr="00D4309F">
              <w:t>of</w:t>
            </w:r>
            <w:r w:rsidRPr="00D4309F">
              <w:rPr>
                <w:spacing w:val="-10"/>
              </w:rPr>
              <w:t xml:space="preserve"> </w:t>
            </w:r>
            <w:r w:rsidRPr="00D4309F">
              <w:t>contaminants</w:t>
            </w:r>
            <w:r w:rsidRPr="00D4309F">
              <w:rPr>
                <w:spacing w:val="-10"/>
              </w:rPr>
              <w:t xml:space="preserve"> </w:t>
            </w:r>
            <w:r w:rsidRPr="00D4309F">
              <w:t>with</w:t>
            </w:r>
            <w:r w:rsidRPr="00D4309F">
              <w:rPr>
                <w:spacing w:val="-11"/>
              </w:rPr>
              <w:t xml:space="preserve"> </w:t>
            </w:r>
            <w:r w:rsidRPr="00D4309F">
              <w:t>low organic matter content</w:t>
            </w:r>
          </w:p>
          <w:p w14:paraId="71DDA988" w14:textId="682BFBDA" w:rsidR="00E2682F" w:rsidRPr="00D4309F" w:rsidRDefault="00E2682F" w:rsidP="007E44C8">
            <w:pPr>
              <w:pStyle w:val="Table-Bullet"/>
            </w:pPr>
            <w:r w:rsidRPr="00D4309F">
              <w:t>Rock</w:t>
            </w:r>
            <w:r w:rsidRPr="00D4309F">
              <w:rPr>
                <w:spacing w:val="-10"/>
              </w:rPr>
              <w:t xml:space="preserve"> </w:t>
            </w:r>
            <w:r w:rsidRPr="00D4309F">
              <w:t>is</w:t>
            </w:r>
            <w:r w:rsidRPr="00D4309F">
              <w:rPr>
                <w:spacing w:val="-10"/>
              </w:rPr>
              <w:t xml:space="preserve"> </w:t>
            </w:r>
            <w:r w:rsidRPr="00D4309F">
              <w:t>likely</w:t>
            </w:r>
            <w:r w:rsidRPr="00D4309F">
              <w:rPr>
                <w:spacing w:val="-10"/>
              </w:rPr>
              <w:t xml:space="preserve"> </w:t>
            </w:r>
            <w:r w:rsidRPr="00D4309F">
              <w:t>to</w:t>
            </w:r>
            <w:r w:rsidRPr="00D4309F">
              <w:rPr>
                <w:spacing w:val="-11"/>
              </w:rPr>
              <w:t xml:space="preserve"> </w:t>
            </w:r>
            <w:r w:rsidRPr="00D4309F">
              <w:t xml:space="preserve">be </w:t>
            </w:r>
            <w:r w:rsidRPr="00D4309F">
              <w:rPr>
                <w:spacing w:val="-2"/>
              </w:rPr>
              <w:t>uncontaminated</w:t>
            </w:r>
          </w:p>
        </w:tc>
        <w:tc>
          <w:tcPr>
            <w:tcW w:w="2004" w:type="dxa"/>
            <w:tcBorders>
              <w:top w:val="single" w:sz="4" w:space="0" w:color="000000"/>
              <w:bottom w:val="single" w:sz="4" w:space="0" w:color="000000"/>
            </w:tcBorders>
            <w:vAlign w:val="center"/>
          </w:tcPr>
          <w:p w14:paraId="5FBDC003" w14:textId="47D2C4E9" w:rsidR="00E2682F" w:rsidRPr="00D4309F" w:rsidRDefault="00E2682F" w:rsidP="007E44C8">
            <w:pPr>
              <w:pStyle w:val="Table-Bullet"/>
              <w:rPr>
                <w:spacing w:val="-4"/>
              </w:rPr>
            </w:pPr>
            <w:r w:rsidRPr="00D4309F">
              <w:t>Assumption that suitable</w:t>
            </w:r>
            <w:r w:rsidRPr="00D4309F">
              <w:rPr>
                <w:spacing w:val="-15"/>
              </w:rPr>
              <w:t xml:space="preserve"> </w:t>
            </w:r>
            <w:r w:rsidRPr="00D4309F">
              <w:t>data</w:t>
            </w:r>
            <w:r w:rsidRPr="00D4309F">
              <w:rPr>
                <w:spacing w:val="-12"/>
              </w:rPr>
              <w:t xml:space="preserve"> </w:t>
            </w:r>
            <w:r w:rsidRPr="00D4309F">
              <w:t>exists to inform this risk</w:t>
            </w:r>
          </w:p>
        </w:tc>
        <w:tc>
          <w:tcPr>
            <w:tcW w:w="2665" w:type="dxa"/>
            <w:tcBorders>
              <w:top w:val="single" w:sz="4" w:space="0" w:color="000000"/>
              <w:bottom w:val="single" w:sz="4" w:space="0" w:color="000000"/>
            </w:tcBorders>
            <w:vAlign w:val="center"/>
          </w:tcPr>
          <w:p w14:paraId="0D7C2BCD" w14:textId="4E27BE02" w:rsidR="00E2682F" w:rsidRPr="00D4309F" w:rsidRDefault="00E2682F" w:rsidP="007E44C8">
            <w:pPr>
              <w:pStyle w:val="Table-Bullet"/>
            </w:pPr>
            <w:r w:rsidRPr="00D4309F">
              <w:rPr>
                <w:color w:val="211E1F"/>
                <w:spacing w:val="-4"/>
              </w:rPr>
              <w:t>None</w:t>
            </w:r>
          </w:p>
        </w:tc>
      </w:tr>
      <w:tr w:rsidR="009213C9" w:rsidRPr="00D4309F" w14:paraId="51025EA6" w14:textId="77777777" w:rsidTr="007E44C8">
        <w:trPr>
          <w:cantSplit/>
          <w:trHeight w:val="20"/>
        </w:trPr>
        <w:tc>
          <w:tcPr>
            <w:tcW w:w="1418" w:type="dxa"/>
            <w:tcBorders>
              <w:top w:val="single" w:sz="4" w:space="0" w:color="000000"/>
              <w:bottom w:val="single" w:sz="4" w:space="0" w:color="000000"/>
            </w:tcBorders>
            <w:vAlign w:val="center"/>
          </w:tcPr>
          <w:p w14:paraId="612C5BE0" w14:textId="1ADE9D8A" w:rsidR="00E2682F" w:rsidRPr="00D4309F" w:rsidRDefault="00E2682F" w:rsidP="007E44C8">
            <w:pPr>
              <w:pStyle w:val="Table-Text"/>
            </w:pPr>
            <w:r w:rsidRPr="00D4309F">
              <w:t>Benthic habitats</w:t>
            </w:r>
          </w:p>
        </w:tc>
        <w:tc>
          <w:tcPr>
            <w:tcW w:w="1701" w:type="dxa"/>
            <w:tcBorders>
              <w:top w:val="single" w:sz="4" w:space="0" w:color="000000"/>
              <w:bottom w:val="single" w:sz="4" w:space="0" w:color="000000"/>
            </w:tcBorders>
            <w:vAlign w:val="center"/>
          </w:tcPr>
          <w:p w14:paraId="7DCD8992" w14:textId="291D9B6A" w:rsidR="00E2682F" w:rsidRPr="00D4309F" w:rsidRDefault="00E2682F" w:rsidP="007E44C8">
            <w:pPr>
              <w:pStyle w:val="Table-Text"/>
            </w:pPr>
            <w:r w:rsidRPr="00D4309F">
              <w:t>Rocky</w:t>
            </w:r>
            <w:r w:rsidRPr="00D4309F">
              <w:rPr>
                <w:spacing w:val="-13"/>
              </w:rPr>
              <w:t xml:space="preserve"> </w:t>
            </w:r>
            <w:r w:rsidRPr="00D4309F">
              <w:t>reef habitat, seagrass and</w:t>
            </w:r>
            <w:r w:rsidRPr="00D4309F">
              <w:rPr>
                <w:spacing w:val="-10"/>
              </w:rPr>
              <w:t xml:space="preserve"> </w:t>
            </w:r>
            <w:r w:rsidRPr="00D4309F">
              <w:t>corals</w:t>
            </w:r>
          </w:p>
        </w:tc>
        <w:tc>
          <w:tcPr>
            <w:tcW w:w="2551" w:type="dxa"/>
            <w:tcBorders>
              <w:top w:val="single" w:sz="4" w:space="0" w:color="000000"/>
              <w:bottom w:val="single" w:sz="4" w:space="0" w:color="000000"/>
            </w:tcBorders>
            <w:vAlign w:val="center"/>
          </w:tcPr>
          <w:p w14:paraId="59E7408D" w14:textId="77777777" w:rsidR="00E2682F" w:rsidRPr="00D4309F" w:rsidRDefault="00E2682F" w:rsidP="007E44C8">
            <w:pPr>
              <w:pStyle w:val="Table-Bullet"/>
            </w:pPr>
            <w:r w:rsidRPr="00D4309F">
              <w:t>Direct</w:t>
            </w:r>
            <w:r w:rsidRPr="00D4309F">
              <w:rPr>
                <w:spacing w:val="-2"/>
              </w:rPr>
              <w:t xml:space="preserve"> </w:t>
            </w:r>
            <w:r w:rsidRPr="00D4309F">
              <w:t>removal</w:t>
            </w:r>
            <w:r w:rsidRPr="00D4309F">
              <w:rPr>
                <w:spacing w:val="-1"/>
              </w:rPr>
              <w:t xml:space="preserve"> </w:t>
            </w:r>
            <w:r w:rsidRPr="00D4309F">
              <w:t>due</w:t>
            </w:r>
            <w:r w:rsidRPr="00D4309F">
              <w:rPr>
                <w:spacing w:val="-3"/>
              </w:rPr>
              <w:t xml:space="preserve"> </w:t>
            </w:r>
            <w:r w:rsidRPr="00D4309F">
              <w:t>to</w:t>
            </w:r>
            <w:r w:rsidRPr="00D4309F">
              <w:rPr>
                <w:spacing w:val="-2"/>
              </w:rPr>
              <w:t xml:space="preserve"> dredging</w:t>
            </w:r>
          </w:p>
          <w:p w14:paraId="17A45750" w14:textId="77777777" w:rsidR="00E2682F" w:rsidRPr="00D4309F" w:rsidRDefault="00E2682F" w:rsidP="007E44C8">
            <w:pPr>
              <w:pStyle w:val="Table-Bullet"/>
            </w:pPr>
            <w:r w:rsidRPr="00D4309F">
              <w:t>Generation</w:t>
            </w:r>
            <w:r w:rsidRPr="00D4309F">
              <w:rPr>
                <w:spacing w:val="-4"/>
              </w:rPr>
              <w:t xml:space="preserve"> </w:t>
            </w:r>
            <w:r w:rsidRPr="00D4309F">
              <w:t>of</w:t>
            </w:r>
            <w:r w:rsidRPr="00D4309F">
              <w:rPr>
                <w:spacing w:val="-3"/>
              </w:rPr>
              <w:t xml:space="preserve"> </w:t>
            </w:r>
            <w:r w:rsidRPr="00D4309F">
              <w:rPr>
                <w:spacing w:val="-2"/>
              </w:rPr>
              <w:t>turbidity</w:t>
            </w:r>
          </w:p>
          <w:p w14:paraId="5123A724" w14:textId="16B655BB" w:rsidR="00E2682F" w:rsidRPr="00D4309F" w:rsidRDefault="00E2682F" w:rsidP="007E44C8">
            <w:pPr>
              <w:pStyle w:val="Table-Bullet"/>
            </w:pPr>
            <w:r w:rsidRPr="00D4309F">
              <w:rPr>
                <w:spacing w:val="-2"/>
              </w:rPr>
              <w:t>Smothering</w:t>
            </w:r>
          </w:p>
        </w:tc>
        <w:tc>
          <w:tcPr>
            <w:tcW w:w="1276" w:type="dxa"/>
            <w:tcBorders>
              <w:top w:val="single" w:sz="4" w:space="0" w:color="000000"/>
              <w:bottom w:val="single" w:sz="4" w:space="0" w:color="000000"/>
            </w:tcBorders>
            <w:shd w:val="clear" w:color="auto" w:fill="FFC000"/>
            <w:vAlign w:val="center"/>
          </w:tcPr>
          <w:p w14:paraId="5FCFE8B7" w14:textId="39270DA0" w:rsidR="00E2682F" w:rsidRPr="00F842F6" w:rsidRDefault="00E2682F" w:rsidP="00F842F6">
            <w:pPr>
              <w:pStyle w:val="Table-Text"/>
              <w:rPr>
                <w:b/>
                <w:bCs/>
                <w:spacing w:val="-5"/>
              </w:rPr>
            </w:pPr>
            <w:r w:rsidRPr="00F842F6">
              <w:rPr>
                <w:b/>
                <w:bCs/>
              </w:rPr>
              <w:t>High (for rock</w:t>
            </w:r>
            <w:r w:rsidRPr="00F842F6">
              <w:rPr>
                <w:b/>
                <w:bCs/>
                <w:spacing w:val="-13"/>
              </w:rPr>
              <w:t xml:space="preserve"> </w:t>
            </w:r>
            <w:r w:rsidRPr="00F842F6">
              <w:rPr>
                <w:b/>
                <w:bCs/>
              </w:rPr>
              <w:t>cutting)</w:t>
            </w:r>
          </w:p>
        </w:tc>
        <w:tc>
          <w:tcPr>
            <w:tcW w:w="2957" w:type="dxa"/>
            <w:tcBorders>
              <w:top w:val="single" w:sz="4" w:space="0" w:color="000000"/>
              <w:bottom w:val="single" w:sz="4" w:space="0" w:color="000000"/>
            </w:tcBorders>
            <w:vAlign w:val="center"/>
          </w:tcPr>
          <w:p w14:paraId="2A4287DF" w14:textId="77777777" w:rsidR="00E2682F" w:rsidRPr="00D4309F" w:rsidRDefault="00E2682F" w:rsidP="007E44C8">
            <w:pPr>
              <w:pStyle w:val="Table-Bullet"/>
            </w:pPr>
            <w:r w:rsidRPr="00D4309F">
              <w:t>The</w:t>
            </w:r>
            <w:r w:rsidRPr="00D4309F">
              <w:rPr>
                <w:spacing w:val="-10"/>
              </w:rPr>
              <w:t xml:space="preserve"> </w:t>
            </w:r>
            <w:r w:rsidRPr="00D4309F">
              <w:t>dredge</w:t>
            </w:r>
            <w:r w:rsidRPr="00D4309F">
              <w:rPr>
                <w:spacing w:val="-10"/>
              </w:rPr>
              <w:t xml:space="preserve"> </w:t>
            </w:r>
            <w:r w:rsidRPr="00D4309F">
              <w:t>area</w:t>
            </w:r>
            <w:r w:rsidRPr="00D4309F">
              <w:rPr>
                <w:spacing w:val="-10"/>
              </w:rPr>
              <w:t xml:space="preserve"> </w:t>
            </w:r>
            <w:r w:rsidRPr="00D4309F">
              <w:t>has</w:t>
            </w:r>
            <w:r w:rsidRPr="00D4309F">
              <w:rPr>
                <w:spacing w:val="-10"/>
              </w:rPr>
              <w:t xml:space="preserve"> </w:t>
            </w:r>
            <w:r w:rsidRPr="00D4309F">
              <w:t>been previously dredged and comprises bare sand</w:t>
            </w:r>
          </w:p>
          <w:p w14:paraId="55633A32" w14:textId="77777777" w:rsidR="00E2682F" w:rsidRPr="00D4309F" w:rsidRDefault="00E2682F" w:rsidP="007E44C8">
            <w:pPr>
              <w:pStyle w:val="Table-Bullet"/>
            </w:pPr>
            <w:r w:rsidRPr="00D4309F">
              <w:t>Further assessment is required to determine if the potential</w:t>
            </w:r>
            <w:r w:rsidRPr="00D4309F">
              <w:rPr>
                <w:spacing w:val="-15"/>
              </w:rPr>
              <w:t xml:space="preserve"> </w:t>
            </w:r>
            <w:r w:rsidRPr="00D4309F">
              <w:t>turbidity</w:t>
            </w:r>
            <w:r w:rsidRPr="00D4309F">
              <w:rPr>
                <w:spacing w:val="-12"/>
              </w:rPr>
              <w:t xml:space="preserve"> </w:t>
            </w:r>
            <w:r w:rsidRPr="00D4309F">
              <w:t xml:space="preserve">generated will impact sensitive marine </w:t>
            </w:r>
            <w:r w:rsidRPr="00D4309F">
              <w:rPr>
                <w:spacing w:val="-2"/>
              </w:rPr>
              <w:t>habitats</w:t>
            </w:r>
          </w:p>
          <w:p w14:paraId="5ABC753E" w14:textId="77777777" w:rsidR="00E2682F" w:rsidRPr="00D4309F" w:rsidRDefault="00E2682F" w:rsidP="007E44C8">
            <w:pPr>
              <w:pStyle w:val="Table-Bullet"/>
            </w:pPr>
            <w:r w:rsidRPr="00D4309F">
              <w:t>Dredging is in a dynamic, open</w:t>
            </w:r>
            <w:r w:rsidRPr="00D4309F">
              <w:rPr>
                <w:spacing w:val="-13"/>
              </w:rPr>
              <w:t xml:space="preserve"> </w:t>
            </w:r>
            <w:r w:rsidRPr="00D4309F">
              <w:t>ocean</w:t>
            </w:r>
            <w:r w:rsidRPr="00D4309F">
              <w:rPr>
                <w:spacing w:val="-12"/>
              </w:rPr>
              <w:t xml:space="preserve"> </w:t>
            </w:r>
            <w:r w:rsidRPr="00D4309F">
              <w:t>environment,</w:t>
            </w:r>
            <w:r w:rsidRPr="00D4309F">
              <w:rPr>
                <w:spacing w:val="-13"/>
              </w:rPr>
              <w:t xml:space="preserve"> </w:t>
            </w:r>
            <w:r w:rsidRPr="00D4309F">
              <w:t xml:space="preserve">any plume will likely dissipate </w:t>
            </w:r>
            <w:r w:rsidRPr="00D4309F">
              <w:rPr>
                <w:spacing w:val="-2"/>
              </w:rPr>
              <w:t>quickly</w:t>
            </w:r>
          </w:p>
          <w:p w14:paraId="461FB01D" w14:textId="0AEAA6A4" w:rsidR="00E2682F" w:rsidRPr="00D4309F" w:rsidRDefault="00E2682F" w:rsidP="007E44C8">
            <w:pPr>
              <w:pStyle w:val="Table-Bullet"/>
            </w:pPr>
            <w:r w:rsidRPr="00D4309F">
              <w:t>Turbidity</w:t>
            </w:r>
            <w:r w:rsidRPr="00D4309F">
              <w:rPr>
                <w:spacing w:val="-8"/>
              </w:rPr>
              <w:t xml:space="preserve"> </w:t>
            </w:r>
            <w:r w:rsidRPr="00D4309F">
              <w:t>is</w:t>
            </w:r>
            <w:r w:rsidRPr="00D4309F">
              <w:rPr>
                <w:spacing w:val="-8"/>
              </w:rPr>
              <w:t xml:space="preserve"> </w:t>
            </w:r>
            <w:r w:rsidRPr="00D4309F">
              <w:t>likely</w:t>
            </w:r>
            <w:r w:rsidRPr="00D4309F">
              <w:rPr>
                <w:spacing w:val="-8"/>
              </w:rPr>
              <w:t xml:space="preserve"> </w:t>
            </w:r>
            <w:r w:rsidRPr="00D4309F">
              <w:t>to</w:t>
            </w:r>
            <w:r w:rsidRPr="00D4309F">
              <w:rPr>
                <w:spacing w:val="-9"/>
              </w:rPr>
              <w:t xml:space="preserve"> </w:t>
            </w:r>
            <w:r w:rsidRPr="00D4309F">
              <w:t>be</w:t>
            </w:r>
            <w:r w:rsidRPr="00D4309F">
              <w:rPr>
                <w:spacing w:val="-9"/>
              </w:rPr>
              <w:t xml:space="preserve"> </w:t>
            </w:r>
            <w:r w:rsidRPr="00D4309F">
              <w:t>more extensive and persistent during rock cutting works</w:t>
            </w:r>
          </w:p>
        </w:tc>
        <w:tc>
          <w:tcPr>
            <w:tcW w:w="2004" w:type="dxa"/>
            <w:tcBorders>
              <w:top w:val="single" w:sz="4" w:space="0" w:color="000000"/>
              <w:bottom w:val="single" w:sz="4" w:space="0" w:color="000000"/>
            </w:tcBorders>
            <w:vAlign w:val="center"/>
          </w:tcPr>
          <w:p w14:paraId="1B07C984" w14:textId="77777777" w:rsidR="00E2682F" w:rsidRPr="00D4309F" w:rsidRDefault="00E2682F" w:rsidP="007E44C8">
            <w:pPr>
              <w:pStyle w:val="Table-Bullet"/>
            </w:pPr>
            <w:r w:rsidRPr="00D4309F">
              <w:t>Benthic habitat assessment</w:t>
            </w:r>
            <w:r w:rsidRPr="00D4309F">
              <w:rPr>
                <w:spacing w:val="-15"/>
              </w:rPr>
              <w:t xml:space="preserve"> </w:t>
            </w:r>
            <w:r w:rsidRPr="00D4309F">
              <w:t>in</w:t>
            </w:r>
            <w:r w:rsidRPr="00D4309F">
              <w:rPr>
                <w:spacing w:val="-12"/>
              </w:rPr>
              <w:t xml:space="preserve"> </w:t>
            </w:r>
            <w:r w:rsidRPr="00D4309F">
              <w:t xml:space="preserve">and </w:t>
            </w:r>
            <w:r w:rsidRPr="00D4309F">
              <w:rPr>
                <w:spacing w:val="-2"/>
              </w:rPr>
              <w:t xml:space="preserve">surrounding </w:t>
            </w:r>
            <w:r w:rsidRPr="00D4309F">
              <w:t>dredging and disposal areas</w:t>
            </w:r>
          </w:p>
          <w:p w14:paraId="48B41722" w14:textId="14CA8108" w:rsidR="00E2682F" w:rsidRPr="00D4309F" w:rsidRDefault="00E2682F" w:rsidP="007E44C8">
            <w:pPr>
              <w:pStyle w:val="Table-Bullet"/>
              <w:rPr>
                <w:spacing w:val="-4"/>
              </w:rPr>
            </w:pPr>
            <w:r w:rsidRPr="00D4309F">
              <w:t>Turbidity</w:t>
            </w:r>
            <w:r w:rsidRPr="00D4309F">
              <w:rPr>
                <w:spacing w:val="-5"/>
              </w:rPr>
              <w:t xml:space="preserve"> </w:t>
            </w:r>
            <w:r w:rsidRPr="00D4309F">
              <w:rPr>
                <w:spacing w:val="-2"/>
              </w:rPr>
              <w:t>modelling</w:t>
            </w:r>
          </w:p>
        </w:tc>
        <w:tc>
          <w:tcPr>
            <w:tcW w:w="2665" w:type="dxa"/>
            <w:tcBorders>
              <w:top w:val="single" w:sz="4" w:space="0" w:color="000000"/>
              <w:bottom w:val="single" w:sz="4" w:space="0" w:color="000000"/>
            </w:tcBorders>
            <w:vAlign w:val="center"/>
          </w:tcPr>
          <w:p w14:paraId="4F1BBA17" w14:textId="77777777" w:rsidR="00E2682F" w:rsidRPr="00D4309F" w:rsidRDefault="00E2682F" w:rsidP="007E44C8">
            <w:pPr>
              <w:pStyle w:val="Table-Bullet"/>
            </w:pPr>
            <w:r w:rsidRPr="00D4309F">
              <w:t>Turbidity</w:t>
            </w:r>
            <w:r w:rsidRPr="00D4309F">
              <w:rPr>
                <w:spacing w:val="-15"/>
              </w:rPr>
              <w:t xml:space="preserve"> </w:t>
            </w:r>
            <w:r w:rsidRPr="00D4309F">
              <w:t>monitoring</w:t>
            </w:r>
            <w:r w:rsidRPr="00D4309F">
              <w:rPr>
                <w:spacing w:val="-12"/>
              </w:rPr>
              <w:t xml:space="preserve"> </w:t>
            </w:r>
            <w:r w:rsidRPr="00D4309F">
              <w:t xml:space="preserve">during </w:t>
            </w:r>
            <w:r w:rsidRPr="00D4309F">
              <w:rPr>
                <w:spacing w:val="-2"/>
              </w:rPr>
              <w:t>works</w:t>
            </w:r>
          </w:p>
          <w:p w14:paraId="75BEF438" w14:textId="77777777" w:rsidR="00E2682F" w:rsidRPr="00D4309F" w:rsidRDefault="00E2682F" w:rsidP="007E44C8">
            <w:pPr>
              <w:pStyle w:val="Table-Bullet"/>
            </w:pPr>
            <w:r w:rsidRPr="00D4309F">
              <w:t>Standard turbidity mitigation</w:t>
            </w:r>
            <w:r w:rsidRPr="00D4309F">
              <w:rPr>
                <w:spacing w:val="-15"/>
              </w:rPr>
              <w:t xml:space="preserve"> </w:t>
            </w:r>
            <w:r w:rsidRPr="00D4309F">
              <w:t>procedures</w:t>
            </w:r>
            <w:r w:rsidRPr="00D4309F">
              <w:rPr>
                <w:spacing w:val="-12"/>
              </w:rPr>
              <w:t xml:space="preserve"> </w:t>
            </w:r>
            <w:r w:rsidRPr="00D4309F">
              <w:t xml:space="preserve">e.g. silt curtains, staging of </w:t>
            </w:r>
            <w:r w:rsidRPr="00D4309F">
              <w:rPr>
                <w:spacing w:val="-2"/>
              </w:rPr>
              <w:t>works</w:t>
            </w:r>
          </w:p>
          <w:p w14:paraId="3FE861F2" w14:textId="39AC0FD1" w:rsidR="00E2682F" w:rsidRPr="00D4309F" w:rsidRDefault="00E2682F" w:rsidP="007E44C8">
            <w:pPr>
              <w:pStyle w:val="Table-Bullet"/>
            </w:pPr>
            <w:r w:rsidRPr="00D4309F">
              <w:t>Benthic</w:t>
            </w:r>
            <w:r w:rsidRPr="00D4309F">
              <w:rPr>
                <w:spacing w:val="-4"/>
              </w:rPr>
              <w:t xml:space="preserve"> </w:t>
            </w:r>
            <w:r w:rsidRPr="00D4309F">
              <w:t>habitat</w:t>
            </w:r>
            <w:r w:rsidRPr="00D4309F">
              <w:rPr>
                <w:spacing w:val="-4"/>
              </w:rPr>
              <w:t xml:space="preserve"> </w:t>
            </w:r>
            <w:r w:rsidRPr="00D4309F">
              <w:rPr>
                <w:spacing w:val="-2"/>
              </w:rPr>
              <w:t>monitoring</w:t>
            </w:r>
          </w:p>
        </w:tc>
      </w:tr>
      <w:tr w:rsidR="009213C9" w:rsidRPr="00D4309F" w14:paraId="10376698" w14:textId="77777777" w:rsidTr="007E44C8">
        <w:trPr>
          <w:cantSplit/>
          <w:trHeight w:val="20"/>
        </w:trPr>
        <w:tc>
          <w:tcPr>
            <w:tcW w:w="1418" w:type="dxa"/>
            <w:tcBorders>
              <w:top w:val="single" w:sz="4" w:space="0" w:color="000000"/>
              <w:bottom w:val="single" w:sz="4" w:space="0" w:color="000000"/>
            </w:tcBorders>
            <w:vAlign w:val="center"/>
          </w:tcPr>
          <w:p w14:paraId="3C133D3D" w14:textId="38852A01" w:rsidR="00E2682F" w:rsidRPr="00D4309F" w:rsidRDefault="00E2682F" w:rsidP="007E44C8">
            <w:pPr>
              <w:pStyle w:val="Table-Text"/>
            </w:pPr>
            <w:r w:rsidRPr="00D4309F">
              <w:t>Benthic habitats</w:t>
            </w:r>
          </w:p>
        </w:tc>
        <w:tc>
          <w:tcPr>
            <w:tcW w:w="1701" w:type="dxa"/>
            <w:tcBorders>
              <w:top w:val="single" w:sz="4" w:space="0" w:color="000000"/>
              <w:bottom w:val="single" w:sz="4" w:space="0" w:color="000000"/>
            </w:tcBorders>
            <w:vAlign w:val="center"/>
          </w:tcPr>
          <w:p w14:paraId="49210F66" w14:textId="61CE0889" w:rsidR="00E2682F" w:rsidRPr="00D4309F" w:rsidRDefault="00E2682F" w:rsidP="007E44C8">
            <w:pPr>
              <w:pStyle w:val="Table-Text"/>
            </w:pPr>
            <w:r w:rsidRPr="00D4309F">
              <w:t>Rocky</w:t>
            </w:r>
            <w:r w:rsidRPr="00D4309F">
              <w:rPr>
                <w:spacing w:val="-13"/>
              </w:rPr>
              <w:t xml:space="preserve"> </w:t>
            </w:r>
            <w:r w:rsidRPr="00D4309F">
              <w:t>reef habitat, seagrass and</w:t>
            </w:r>
            <w:r w:rsidRPr="00D4309F">
              <w:rPr>
                <w:spacing w:val="-10"/>
              </w:rPr>
              <w:t xml:space="preserve"> </w:t>
            </w:r>
            <w:r w:rsidRPr="00D4309F">
              <w:t>corals</w:t>
            </w:r>
          </w:p>
        </w:tc>
        <w:tc>
          <w:tcPr>
            <w:tcW w:w="2551" w:type="dxa"/>
            <w:tcBorders>
              <w:top w:val="single" w:sz="4" w:space="0" w:color="000000"/>
              <w:bottom w:val="single" w:sz="4" w:space="0" w:color="000000"/>
            </w:tcBorders>
            <w:vAlign w:val="center"/>
          </w:tcPr>
          <w:p w14:paraId="1458856A" w14:textId="025156DD" w:rsidR="00E2682F" w:rsidRPr="00D4309F" w:rsidRDefault="00E2682F" w:rsidP="007E44C8">
            <w:pPr>
              <w:pStyle w:val="Table-Bullet"/>
            </w:pPr>
            <w:r w:rsidRPr="00D4309F">
              <w:t>Release</w:t>
            </w:r>
            <w:r w:rsidRPr="00D4309F">
              <w:rPr>
                <w:spacing w:val="-4"/>
              </w:rPr>
              <w:t xml:space="preserve"> </w:t>
            </w:r>
            <w:r w:rsidRPr="00D4309F">
              <w:t>of</w:t>
            </w:r>
            <w:r w:rsidRPr="00D4309F">
              <w:rPr>
                <w:spacing w:val="-2"/>
              </w:rPr>
              <w:t xml:space="preserve"> contaminants/hypoxia</w:t>
            </w:r>
          </w:p>
        </w:tc>
        <w:tc>
          <w:tcPr>
            <w:tcW w:w="1276" w:type="dxa"/>
            <w:tcBorders>
              <w:top w:val="single" w:sz="4" w:space="0" w:color="000000"/>
              <w:bottom w:val="single" w:sz="4" w:space="0" w:color="000000"/>
            </w:tcBorders>
            <w:shd w:val="clear" w:color="auto" w:fill="92D050"/>
            <w:vAlign w:val="center"/>
          </w:tcPr>
          <w:p w14:paraId="2302E051" w14:textId="42BDDA5B" w:rsidR="00E2682F" w:rsidRPr="00F842F6" w:rsidRDefault="00E2682F" w:rsidP="00F842F6">
            <w:pPr>
              <w:pStyle w:val="Table-Text"/>
              <w:rPr>
                <w:b/>
                <w:bCs/>
                <w:spacing w:val="-5"/>
              </w:rPr>
            </w:pPr>
            <w:r w:rsidRPr="00F842F6">
              <w:rPr>
                <w:b/>
                <w:bCs/>
                <w:spacing w:val="-5"/>
              </w:rPr>
              <w:t>Low</w:t>
            </w:r>
          </w:p>
        </w:tc>
        <w:tc>
          <w:tcPr>
            <w:tcW w:w="2957" w:type="dxa"/>
            <w:tcBorders>
              <w:top w:val="single" w:sz="4" w:space="0" w:color="000000"/>
              <w:bottom w:val="single" w:sz="4" w:space="0" w:color="000000"/>
            </w:tcBorders>
            <w:vAlign w:val="center"/>
          </w:tcPr>
          <w:p w14:paraId="086E9D85" w14:textId="77777777" w:rsidR="00E2682F" w:rsidRPr="00D4309F" w:rsidRDefault="00E2682F" w:rsidP="007E44C8">
            <w:pPr>
              <w:pStyle w:val="Table-Bullet"/>
            </w:pPr>
            <w:r w:rsidRPr="00D4309F">
              <w:t>Dredge sediments likely comprise clean marine sand free</w:t>
            </w:r>
            <w:r w:rsidRPr="00D4309F">
              <w:rPr>
                <w:spacing w:val="-11"/>
              </w:rPr>
              <w:t xml:space="preserve"> </w:t>
            </w:r>
            <w:r w:rsidRPr="00D4309F">
              <w:t>of</w:t>
            </w:r>
            <w:r w:rsidRPr="00D4309F">
              <w:rPr>
                <w:spacing w:val="-10"/>
              </w:rPr>
              <w:t xml:space="preserve"> </w:t>
            </w:r>
            <w:r w:rsidRPr="00D4309F">
              <w:t>contaminants</w:t>
            </w:r>
            <w:r w:rsidRPr="00D4309F">
              <w:rPr>
                <w:spacing w:val="-10"/>
              </w:rPr>
              <w:t xml:space="preserve"> </w:t>
            </w:r>
            <w:r w:rsidRPr="00D4309F">
              <w:t>with</w:t>
            </w:r>
            <w:r w:rsidRPr="00D4309F">
              <w:rPr>
                <w:spacing w:val="-11"/>
              </w:rPr>
              <w:t xml:space="preserve"> </w:t>
            </w:r>
            <w:r w:rsidRPr="00D4309F">
              <w:t>low organic matter content</w:t>
            </w:r>
          </w:p>
          <w:p w14:paraId="40644EBB" w14:textId="169D9D3C" w:rsidR="00E2682F" w:rsidRPr="00D4309F" w:rsidRDefault="00E2682F" w:rsidP="007E44C8">
            <w:pPr>
              <w:pStyle w:val="Table-Bullet"/>
            </w:pPr>
            <w:r w:rsidRPr="00D4309F">
              <w:t>Rock</w:t>
            </w:r>
            <w:r w:rsidRPr="00D4309F">
              <w:rPr>
                <w:spacing w:val="-10"/>
              </w:rPr>
              <w:t xml:space="preserve"> </w:t>
            </w:r>
            <w:r w:rsidRPr="00D4309F">
              <w:t>is</w:t>
            </w:r>
            <w:r w:rsidRPr="00D4309F">
              <w:rPr>
                <w:spacing w:val="-10"/>
              </w:rPr>
              <w:t xml:space="preserve"> </w:t>
            </w:r>
            <w:r w:rsidRPr="00D4309F">
              <w:t>likely</w:t>
            </w:r>
            <w:r w:rsidRPr="00D4309F">
              <w:rPr>
                <w:spacing w:val="-10"/>
              </w:rPr>
              <w:t xml:space="preserve"> </w:t>
            </w:r>
            <w:r w:rsidRPr="00D4309F">
              <w:t>to</w:t>
            </w:r>
            <w:r w:rsidRPr="00D4309F">
              <w:rPr>
                <w:spacing w:val="-11"/>
              </w:rPr>
              <w:t xml:space="preserve"> </w:t>
            </w:r>
            <w:r w:rsidRPr="00D4309F">
              <w:t xml:space="preserve">be </w:t>
            </w:r>
            <w:r w:rsidRPr="00D4309F">
              <w:rPr>
                <w:spacing w:val="-2"/>
              </w:rPr>
              <w:t>uncontaminated</w:t>
            </w:r>
          </w:p>
        </w:tc>
        <w:tc>
          <w:tcPr>
            <w:tcW w:w="2004" w:type="dxa"/>
            <w:tcBorders>
              <w:top w:val="single" w:sz="4" w:space="0" w:color="000000"/>
              <w:bottom w:val="single" w:sz="4" w:space="0" w:color="000000"/>
            </w:tcBorders>
            <w:vAlign w:val="center"/>
          </w:tcPr>
          <w:p w14:paraId="632D2476" w14:textId="6B63A70C" w:rsidR="00E2682F" w:rsidRPr="00D4309F" w:rsidRDefault="00E2682F" w:rsidP="007E44C8">
            <w:pPr>
              <w:pStyle w:val="Table-Bullet"/>
              <w:rPr>
                <w:spacing w:val="-4"/>
              </w:rPr>
            </w:pPr>
            <w:r w:rsidRPr="00D4309F">
              <w:t>Assumption that suitable</w:t>
            </w:r>
            <w:r w:rsidRPr="00D4309F">
              <w:rPr>
                <w:spacing w:val="-15"/>
              </w:rPr>
              <w:t xml:space="preserve"> </w:t>
            </w:r>
            <w:r w:rsidRPr="00D4309F">
              <w:t>data</w:t>
            </w:r>
            <w:r w:rsidRPr="00D4309F">
              <w:rPr>
                <w:spacing w:val="-12"/>
              </w:rPr>
              <w:t xml:space="preserve"> </w:t>
            </w:r>
            <w:r w:rsidRPr="00D4309F">
              <w:t>exists to inform this risk</w:t>
            </w:r>
          </w:p>
        </w:tc>
        <w:tc>
          <w:tcPr>
            <w:tcW w:w="2665" w:type="dxa"/>
            <w:tcBorders>
              <w:top w:val="single" w:sz="4" w:space="0" w:color="000000"/>
              <w:bottom w:val="single" w:sz="4" w:space="0" w:color="000000"/>
            </w:tcBorders>
            <w:vAlign w:val="center"/>
          </w:tcPr>
          <w:p w14:paraId="55DCBC7A" w14:textId="076FB8BF" w:rsidR="00E2682F" w:rsidRPr="00D4309F" w:rsidRDefault="00E2682F" w:rsidP="007E44C8">
            <w:pPr>
              <w:pStyle w:val="Table-Bullet"/>
            </w:pPr>
            <w:r w:rsidRPr="00D4309F">
              <w:rPr>
                <w:color w:val="211E1F"/>
                <w:spacing w:val="-4"/>
              </w:rPr>
              <w:t>None</w:t>
            </w:r>
          </w:p>
        </w:tc>
      </w:tr>
      <w:tr w:rsidR="009213C9" w:rsidRPr="00D4309F" w14:paraId="74364A5D" w14:textId="77777777" w:rsidTr="007E44C8">
        <w:trPr>
          <w:cantSplit/>
          <w:trHeight w:val="20"/>
        </w:trPr>
        <w:tc>
          <w:tcPr>
            <w:tcW w:w="1418" w:type="dxa"/>
            <w:tcBorders>
              <w:top w:val="single" w:sz="4" w:space="0" w:color="000000"/>
              <w:bottom w:val="single" w:sz="4" w:space="0" w:color="000000"/>
            </w:tcBorders>
            <w:vAlign w:val="center"/>
          </w:tcPr>
          <w:p w14:paraId="1314D200" w14:textId="7A2FAB36" w:rsidR="00F842F6" w:rsidRPr="00D4309F" w:rsidRDefault="00F842F6" w:rsidP="007E44C8">
            <w:pPr>
              <w:pStyle w:val="Table-Text"/>
            </w:pPr>
            <w:r w:rsidRPr="00D4309F">
              <w:lastRenderedPageBreak/>
              <w:t>Terrestrial</w:t>
            </w:r>
            <w:r w:rsidRPr="00D4309F">
              <w:rPr>
                <w:spacing w:val="-15"/>
              </w:rPr>
              <w:t xml:space="preserve"> </w:t>
            </w:r>
            <w:r w:rsidRPr="00D4309F">
              <w:t>fauna</w:t>
            </w:r>
            <w:r w:rsidRPr="00D4309F">
              <w:rPr>
                <w:spacing w:val="-12"/>
              </w:rPr>
              <w:t xml:space="preserve"> </w:t>
            </w:r>
            <w:r w:rsidRPr="00D4309F">
              <w:t>including shorebirds and raptors</w:t>
            </w:r>
          </w:p>
        </w:tc>
        <w:tc>
          <w:tcPr>
            <w:tcW w:w="1701" w:type="dxa"/>
            <w:tcBorders>
              <w:top w:val="single" w:sz="4" w:space="0" w:color="000000"/>
              <w:bottom w:val="single" w:sz="4" w:space="0" w:color="000000"/>
            </w:tcBorders>
            <w:vAlign w:val="center"/>
          </w:tcPr>
          <w:p w14:paraId="20C90D96" w14:textId="2F7FC6A3" w:rsidR="00F842F6" w:rsidRPr="00D4309F" w:rsidRDefault="00F842F6" w:rsidP="007E44C8">
            <w:pPr>
              <w:pStyle w:val="Table-Text"/>
            </w:pPr>
          </w:p>
        </w:tc>
        <w:tc>
          <w:tcPr>
            <w:tcW w:w="2551" w:type="dxa"/>
            <w:tcBorders>
              <w:top w:val="single" w:sz="4" w:space="0" w:color="000000"/>
              <w:bottom w:val="single" w:sz="4" w:space="0" w:color="000000"/>
            </w:tcBorders>
            <w:vAlign w:val="center"/>
          </w:tcPr>
          <w:p w14:paraId="5599D5FB" w14:textId="77777777" w:rsidR="00F842F6" w:rsidRPr="00D4309F" w:rsidRDefault="00F842F6" w:rsidP="007E44C8">
            <w:pPr>
              <w:pStyle w:val="Table-Bullet"/>
            </w:pPr>
            <w:r w:rsidRPr="00D4309F">
              <w:rPr>
                <w:spacing w:val="-2"/>
              </w:rPr>
              <w:t xml:space="preserve">Mortality/injury/behavioural </w:t>
            </w:r>
            <w:r w:rsidRPr="00D4309F">
              <w:t>response due to noise</w:t>
            </w:r>
          </w:p>
          <w:p w14:paraId="09B2E79D" w14:textId="77777777" w:rsidR="00F842F6" w:rsidRPr="00D4309F" w:rsidRDefault="00F842F6" w:rsidP="007E44C8">
            <w:pPr>
              <w:pStyle w:val="Table-Bullet"/>
            </w:pPr>
            <w:r w:rsidRPr="00D4309F">
              <w:rPr>
                <w:spacing w:val="-2"/>
              </w:rPr>
              <w:t xml:space="preserve">Mortality/injury/behavioural </w:t>
            </w:r>
            <w:r w:rsidRPr="00D4309F">
              <w:t>response</w:t>
            </w:r>
            <w:r w:rsidRPr="00D4309F">
              <w:rPr>
                <w:spacing w:val="-9"/>
              </w:rPr>
              <w:t xml:space="preserve"> </w:t>
            </w:r>
            <w:r w:rsidRPr="00D4309F">
              <w:t>due</w:t>
            </w:r>
            <w:r w:rsidRPr="00D4309F">
              <w:rPr>
                <w:spacing w:val="-9"/>
              </w:rPr>
              <w:t xml:space="preserve"> </w:t>
            </w:r>
            <w:r w:rsidRPr="00D4309F">
              <w:t>to</w:t>
            </w:r>
            <w:r w:rsidRPr="00D4309F">
              <w:rPr>
                <w:spacing w:val="-9"/>
              </w:rPr>
              <w:t xml:space="preserve"> </w:t>
            </w:r>
            <w:r w:rsidRPr="00D4309F">
              <w:t>dust</w:t>
            </w:r>
            <w:r w:rsidRPr="00D4309F">
              <w:rPr>
                <w:spacing w:val="-8"/>
              </w:rPr>
              <w:t xml:space="preserve"> </w:t>
            </w:r>
            <w:r w:rsidRPr="00D4309F">
              <w:t>from</w:t>
            </w:r>
            <w:r w:rsidRPr="00D4309F">
              <w:rPr>
                <w:spacing w:val="-8"/>
              </w:rPr>
              <w:t xml:space="preserve"> </w:t>
            </w:r>
            <w:r w:rsidRPr="00D4309F">
              <w:t>beach disposal and onshore works</w:t>
            </w:r>
          </w:p>
          <w:p w14:paraId="2F6C14F4" w14:textId="77777777" w:rsidR="00F842F6" w:rsidRPr="00D4309F" w:rsidRDefault="00F842F6" w:rsidP="007E44C8">
            <w:pPr>
              <w:pStyle w:val="Table-Bullet"/>
            </w:pPr>
            <w:r w:rsidRPr="00D4309F">
              <w:t>Behavioural response and interruption</w:t>
            </w:r>
            <w:r w:rsidRPr="00D4309F">
              <w:rPr>
                <w:spacing w:val="-7"/>
              </w:rPr>
              <w:t xml:space="preserve"> </w:t>
            </w:r>
            <w:r w:rsidRPr="00D4309F">
              <w:t>of</w:t>
            </w:r>
            <w:r w:rsidRPr="00D4309F">
              <w:rPr>
                <w:spacing w:val="-8"/>
              </w:rPr>
              <w:t xml:space="preserve"> </w:t>
            </w:r>
            <w:r w:rsidRPr="00D4309F">
              <w:t>nesting</w:t>
            </w:r>
            <w:r w:rsidRPr="00D4309F">
              <w:rPr>
                <w:spacing w:val="-9"/>
              </w:rPr>
              <w:t xml:space="preserve"> </w:t>
            </w:r>
            <w:r w:rsidRPr="00D4309F">
              <w:t>due</w:t>
            </w:r>
            <w:r w:rsidRPr="00D4309F">
              <w:rPr>
                <w:spacing w:val="-9"/>
              </w:rPr>
              <w:t xml:space="preserve"> </w:t>
            </w:r>
            <w:r w:rsidRPr="00D4309F">
              <w:t>to</w:t>
            </w:r>
            <w:r w:rsidRPr="00D4309F">
              <w:rPr>
                <w:spacing w:val="-9"/>
              </w:rPr>
              <w:t xml:space="preserve"> </w:t>
            </w:r>
            <w:r w:rsidRPr="00D4309F">
              <w:t>light</w:t>
            </w:r>
          </w:p>
          <w:p w14:paraId="606CA0D7" w14:textId="77777777" w:rsidR="00F842F6" w:rsidRPr="00D4309F" w:rsidRDefault="00F842F6" w:rsidP="007E44C8">
            <w:pPr>
              <w:pStyle w:val="Table-Bullet"/>
            </w:pPr>
            <w:r w:rsidRPr="00D4309F">
              <w:rPr>
                <w:spacing w:val="-2"/>
              </w:rPr>
              <w:t xml:space="preserve">Mortality/injury/behavioural </w:t>
            </w:r>
            <w:r w:rsidRPr="00D4309F">
              <w:t>response</w:t>
            </w:r>
            <w:r w:rsidRPr="00D4309F">
              <w:rPr>
                <w:spacing w:val="-13"/>
              </w:rPr>
              <w:t xml:space="preserve"> </w:t>
            </w:r>
            <w:r w:rsidRPr="00D4309F">
              <w:t>due</w:t>
            </w:r>
            <w:r w:rsidRPr="00D4309F">
              <w:rPr>
                <w:spacing w:val="-12"/>
              </w:rPr>
              <w:t xml:space="preserve"> </w:t>
            </w:r>
            <w:r w:rsidRPr="00D4309F">
              <w:t>physical</w:t>
            </w:r>
            <w:r w:rsidRPr="00D4309F">
              <w:rPr>
                <w:spacing w:val="-13"/>
              </w:rPr>
              <w:t xml:space="preserve"> </w:t>
            </w:r>
            <w:r w:rsidRPr="00D4309F">
              <w:t>presence</w:t>
            </w:r>
          </w:p>
          <w:p w14:paraId="42634DE5" w14:textId="77777777" w:rsidR="00F842F6" w:rsidRPr="00D4309F" w:rsidRDefault="00F842F6" w:rsidP="007E44C8">
            <w:pPr>
              <w:pStyle w:val="Table-Bullet"/>
            </w:pPr>
            <w:r w:rsidRPr="00D4309F">
              <w:t>Mortality/injury</w:t>
            </w:r>
            <w:r w:rsidRPr="00D4309F">
              <w:rPr>
                <w:spacing w:val="-10"/>
              </w:rPr>
              <w:t xml:space="preserve"> </w:t>
            </w:r>
            <w:r w:rsidRPr="00D4309F">
              <w:t>due</w:t>
            </w:r>
            <w:r w:rsidRPr="00D4309F">
              <w:rPr>
                <w:spacing w:val="-11"/>
              </w:rPr>
              <w:t xml:space="preserve"> </w:t>
            </w:r>
            <w:r w:rsidRPr="00D4309F">
              <w:t>to</w:t>
            </w:r>
            <w:r w:rsidRPr="00D4309F">
              <w:rPr>
                <w:spacing w:val="-11"/>
              </w:rPr>
              <w:t xml:space="preserve"> </w:t>
            </w:r>
            <w:r w:rsidRPr="00D4309F">
              <w:t>onshore</w:t>
            </w:r>
            <w:r w:rsidRPr="00D4309F">
              <w:rPr>
                <w:spacing w:val="-10"/>
              </w:rPr>
              <w:t xml:space="preserve"> </w:t>
            </w:r>
            <w:r w:rsidRPr="00D4309F">
              <w:t>plant and vehicle movement</w:t>
            </w:r>
          </w:p>
          <w:p w14:paraId="5C1B0730" w14:textId="76B01258" w:rsidR="00F842F6" w:rsidRPr="00D4309F" w:rsidRDefault="00F842F6" w:rsidP="007E44C8">
            <w:pPr>
              <w:pStyle w:val="Table-Bullet"/>
            </w:pPr>
            <w:r w:rsidRPr="00D4309F">
              <w:t>Loss/degradation/fragmentation of habitat</w:t>
            </w:r>
            <w:r w:rsidRPr="00D4309F">
              <w:rPr>
                <w:spacing w:val="-10"/>
              </w:rPr>
              <w:t xml:space="preserve"> </w:t>
            </w:r>
            <w:r w:rsidRPr="00D4309F">
              <w:t>due</w:t>
            </w:r>
            <w:r w:rsidRPr="00D4309F">
              <w:rPr>
                <w:spacing w:val="-11"/>
              </w:rPr>
              <w:t xml:space="preserve"> </w:t>
            </w:r>
            <w:r w:rsidRPr="00D4309F">
              <w:t>to</w:t>
            </w:r>
            <w:r w:rsidRPr="00D4309F">
              <w:rPr>
                <w:spacing w:val="-10"/>
              </w:rPr>
              <w:t xml:space="preserve"> </w:t>
            </w:r>
            <w:r w:rsidRPr="00D4309F">
              <w:t>onshore</w:t>
            </w:r>
            <w:r w:rsidRPr="00D4309F">
              <w:rPr>
                <w:spacing w:val="-11"/>
              </w:rPr>
              <w:t xml:space="preserve"> </w:t>
            </w:r>
            <w:r w:rsidRPr="00D4309F">
              <w:t>construction of pipeline and pumping station</w:t>
            </w:r>
          </w:p>
        </w:tc>
        <w:tc>
          <w:tcPr>
            <w:tcW w:w="1276" w:type="dxa"/>
            <w:tcBorders>
              <w:top w:val="single" w:sz="4" w:space="0" w:color="000000"/>
              <w:bottom w:val="single" w:sz="4" w:space="0" w:color="000000"/>
            </w:tcBorders>
            <w:shd w:val="clear" w:color="auto" w:fill="FFC000"/>
            <w:vAlign w:val="center"/>
          </w:tcPr>
          <w:p w14:paraId="13EF9229" w14:textId="395E8E6A" w:rsidR="00F842F6" w:rsidRPr="00F842F6" w:rsidRDefault="00F842F6" w:rsidP="00F842F6">
            <w:pPr>
              <w:pStyle w:val="Table-Text"/>
              <w:rPr>
                <w:b/>
                <w:bCs/>
                <w:spacing w:val="-5"/>
              </w:rPr>
            </w:pPr>
            <w:r w:rsidRPr="00F842F6">
              <w:rPr>
                <w:b/>
                <w:bCs/>
                <w:spacing w:val="-4"/>
              </w:rPr>
              <w:t>High</w:t>
            </w:r>
            <w:r w:rsidRPr="00F842F6">
              <w:rPr>
                <w:b/>
                <w:bCs/>
                <w:spacing w:val="40"/>
              </w:rPr>
              <w:t xml:space="preserve"> </w:t>
            </w:r>
            <w:r w:rsidRPr="00F842F6">
              <w:rPr>
                <w:b/>
                <w:bCs/>
              </w:rPr>
              <w:t>(for</w:t>
            </w:r>
            <w:r w:rsidRPr="00F842F6">
              <w:rPr>
                <w:b/>
                <w:bCs/>
                <w:spacing w:val="-13"/>
              </w:rPr>
              <w:t xml:space="preserve"> </w:t>
            </w:r>
            <w:r w:rsidRPr="00F842F6">
              <w:rPr>
                <w:b/>
                <w:bCs/>
              </w:rPr>
              <w:t>rock</w:t>
            </w:r>
            <w:r>
              <w:rPr>
                <w:b/>
                <w:bCs/>
              </w:rPr>
              <w:t xml:space="preserve"> </w:t>
            </w:r>
            <w:r w:rsidRPr="00F842F6">
              <w:rPr>
                <w:b/>
                <w:bCs/>
              </w:rPr>
              <w:t>cutting</w:t>
            </w:r>
            <w:r w:rsidRPr="00F842F6">
              <w:rPr>
                <w:b/>
                <w:bCs/>
                <w:spacing w:val="-1"/>
              </w:rPr>
              <w:t xml:space="preserve"> </w:t>
            </w:r>
            <w:r w:rsidRPr="00F842F6">
              <w:rPr>
                <w:b/>
                <w:bCs/>
                <w:spacing w:val="-5"/>
              </w:rPr>
              <w:t>and</w:t>
            </w:r>
            <w:r>
              <w:rPr>
                <w:b/>
                <w:bCs/>
                <w:spacing w:val="-5"/>
              </w:rPr>
              <w:t xml:space="preserve"> </w:t>
            </w:r>
            <w:r w:rsidRPr="00F842F6">
              <w:rPr>
                <w:b/>
                <w:bCs/>
                <w:spacing w:val="-4"/>
              </w:rPr>
              <w:t xml:space="preserve">pump </w:t>
            </w:r>
            <w:r w:rsidRPr="00F842F6">
              <w:rPr>
                <w:b/>
                <w:bCs/>
                <w:spacing w:val="-2"/>
              </w:rPr>
              <w:t>installation)</w:t>
            </w:r>
          </w:p>
        </w:tc>
        <w:tc>
          <w:tcPr>
            <w:tcW w:w="2957" w:type="dxa"/>
            <w:tcBorders>
              <w:top w:val="single" w:sz="4" w:space="0" w:color="000000"/>
              <w:bottom w:val="single" w:sz="4" w:space="0" w:color="000000"/>
            </w:tcBorders>
            <w:vAlign w:val="center"/>
          </w:tcPr>
          <w:p w14:paraId="01DB6EC0" w14:textId="77777777" w:rsidR="00F842F6" w:rsidRPr="00D4309F" w:rsidRDefault="00F842F6" w:rsidP="007E44C8">
            <w:pPr>
              <w:pStyle w:val="Table-Bullet"/>
            </w:pPr>
            <w:r w:rsidRPr="00D4309F">
              <w:t>Several species listed as vulnerable or endangered may</w:t>
            </w:r>
            <w:r w:rsidRPr="00D4309F">
              <w:rPr>
                <w:spacing w:val="-4"/>
              </w:rPr>
              <w:t xml:space="preserve"> </w:t>
            </w:r>
            <w:r w:rsidRPr="00D4309F">
              <w:t>occur</w:t>
            </w:r>
            <w:r w:rsidRPr="00D4309F">
              <w:rPr>
                <w:spacing w:val="-1"/>
              </w:rPr>
              <w:t xml:space="preserve"> </w:t>
            </w:r>
            <w:r w:rsidRPr="00D4309F">
              <w:t>in</w:t>
            </w:r>
            <w:r w:rsidRPr="00D4309F">
              <w:rPr>
                <w:spacing w:val="-3"/>
              </w:rPr>
              <w:t xml:space="preserve"> </w:t>
            </w:r>
            <w:r w:rsidRPr="00D4309F">
              <w:t>the</w:t>
            </w:r>
            <w:r w:rsidRPr="00D4309F">
              <w:rPr>
                <w:spacing w:val="-2"/>
              </w:rPr>
              <w:t xml:space="preserve"> </w:t>
            </w:r>
            <w:r w:rsidRPr="00D4309F">
              <w:t>project</w:t>
            </w:r>
            <w:r w:rsidRPr="00D4309F">
              <w:rPr>
                <w:spacing w:val="-1"/>
              </w:rPr>
              <w:t xml:space="preserve"> </w:t>
            </w:r>
            <w:r w:rsidRPr="00D4309F">
              <w:rPr>
                <w:spacing w:val="-4"/>
              </w:rPr>
              <w:t>area</w:t>
            </w:r>
          </w:p>
          <w:p w14:paraId="68C6DA93" w14:textId="5A347332" w:rsidR="00F842F6" w:rsidRPr="00D4309F" w:rsidRDefault="00F842F6" w:rsidP="007E44C8">
            <w:pPr>
              <w:pStyle w:val="Table-Bullet"/>
            </w:pPr>
            <w:r w:rsidRPr="00D4309F">
              <w:t>Several</w:t>
            </w:r>
            <w:r w:rsidRPr="00D4309F">
              <w:rPr>
                <w:spacing w:val="-13"/>
              </w:rPr>
              <w:t xml:space="preserve"> </w:t>
            </w:r>
            <w:r w:rsidRPr="00D4309F">
              <w:t>species</w:t>
            </w:r>
            <w:r w:rsidRPr="00D4309F">
              <w:rPr>
                <w:spacing w:val="-12"/>
              </w:rPr>
              <w:t xml:space="preserve"> </w:t>
            </w:r>
            <w:r w:rsidRPr="00D4309F">
              <w:t>of</w:t>
            </w:r>
            <w:r w:rsidRPr="00D4309F">
              <w:rPr>
                <w:spacing w:val="-13"/>
              </w:rPr>
              <w:t xml:space="preserve"> </w:t>
            </w:r>
            <w:r w:rsidRPr="00D4309F">
              <w:t>shorebirds are listed as occurring at Point</w:t>
            </w:r>
            <w:r w:rsidRPr="00D4309F">
              <w:rPr>
                <w:spacing w:val="-9"/>
              </w:rPr>
              <w:t xml:space="preserve"> </w:t>
            </w:r>
            <w:r w:rsidRPr="00D4309F">
              <w:t>Cartwright</w:t>
            </w:r>
            <w:r w:rsidRPr="00D4309F">
              <w:rPr>
                <w:spacing w:val="-9"/>
              </w:rPr>
              <w:t xml:space="preserve"> </w:t>
            </w:r>
            <w:r w:rsidRPr="00D4309F">
              <w:t>and</w:t>
            </w:r>
            <w:r w:rsidRPr="00D4309F">
              <w:rPr>
                <w:spacing w:val="-10"/>
              </w:rPr>
              <w:t xml:space="preserve"> </w:t>
            </w:r>
            <w:r w:rsidRPr="00D4309F">
              <w:t>could</w:t>
            </w:r>
            <w:r w:rsidRPr="00D4309F">
              <w:rPr>
                <w:spacing w:val="-10"/>
              </w:rPr>
              <w:t xml:space="preserve"> </w:t>
            </w:r>
            <w:r w:rsidRPr="00D4309F">
              <w:t>be impacted;</w:t>
            </w:r>
            <w:r w:rsidRPr="00D4309F">
              <w:rPr>
                <w:spacing w:val="-5"/>
              </w:rPr>
              <w:t xml:space="preserve"> </w:t>
            </w:r>
            <w:r w:rsidRPr="00D4309F">
              <w:t>however,</w:t>
            </w:r>
            <w:r w:rsidRPr="00D4309F">
              <w:rPr>
                <w:spacing w:val="-5"/>
              </w:rPr>
              <w:t xml:space="preserve"> </w:t>
            </w:r>
            <w:r w:rsidRPr="00D4309F">
              <w:t>it</w:t>
            </w:r>
            <w:r w:rsidRPr="00D4309F">
              <w:rPr>
                <w:spacing w:val="-5"/>
              </w:rPr>
              <w:t xml:space="preserve"> </w:t>
            </w:r>
            <w:r w:rsidRPr="00D4309F">
              <w:t>is</w:t>
            </w:r>
            <w:r w:rsidRPr="00D4309F">
              <w:rPr>
                <w:spacing w:val="-5"/>
              </w:rPr>
              <w:t xml:space="preserve"> </w:t>
            </w:r>
            <w:r w:rsidRPr="00D4309F">
              <w:t>more likely they would occur at the lower Maroochy River</w:t>
            </w:r>
          </w:p>
        </w:tc>
        <w:tc>
          <w:tcPr>
            <w:tcW w:w="2004" w:type="dxa"/>
            <w:tcBorders>
              <w:top w:val="single" w:sz="4" w:space="0" w:color="000000"/>
              <w:bottom w:val="single" w:sz="4" w:space="0" w:color="000000"/>
            </w:tcBorders>
            <w:vAlign w:val="center"/>
          </w:tcPr>
          <w:p w14:paraId="63F26663" w14:textId="77777777" w:rsidR="00F842F6" w:rsidRPr="00D4309F" w:rsidRDefault="00F842F6" w:rsidP="007E44C8">
            <w:pPr>
              <w:pStyle w:val="Table-Bullet"/>
            </w:pPr>
            <w:r w:rsidRPr="00D4309F">
              <w:t>Noise assessment including</w:t>
            </w:r>
            <w:r w:rsidRPr="00D4309F">
              <w:rPr>
                <w:spacing w:val="-13"/>
              </w:rPr>
              <w:t xml:space="preserve"> </w:t>
            </w:r>
            <w:r w:rsidRPr="00D4309F">
              <w:t>modelling</w:t>
            </w:r>
          </w:p>
          <w:p w14:paraId="2FBC35A3" w14:textId="654EC5D2" w:rsidR="00F842F6" w:rsidRPr="00D4309F" w:rsidRDefault="00F842F6" w:rsidP="007E44C8">
            <w:pPr>
              <w:pStyle w:val="Table-Bullet"/>
              <w:rPr>
                <w:spacing w:val="-4"/>
              </w:rPr>
            </w:pPr>
            <w:r w:rsidRPr="00D4309F">
              <w:t>Terrestrial</w:t>
            </w:r>
            <w:r w:rsidRPr="00D4309F">
              <w:rPr>
                <w:spacing w:val="-13"/>
              </w:rPr>
              <w:t xml:space="preserve"> </w:t>
            </w:r>
            <w:r w:rsidRPr="00D4309F">
              <w:t xml:space="preserve">fauna </w:t>
            </w:r>
            <w:r w:rsidRPr="00D4309F">
              <w:rPr>
                <w:spacing w:val="-2"/>
              </w:rPr>
              <w:t>assessment</w:t>
            </w:r>
          </w:p>
        </w:tc>
        <w:tc>
          <w:tcPr>
            <w:tcW w:w="2665" w:type="dxa"/>
            <w:tcBorders>
              <w:top w:val="single" w:sz="4" w:space="0" w:color="000000"/>
              <w:bottom w:val="single" w:sz="4" w:space="0" w:color="000000"/>
            </w:tcBorders>
            <w:vAlign w:val="center"/>
          </w:tcPr>
          <w:p w14:paraId="1A07EBAC" w14:textId="77777777" w:rsidR="00F842F6" w:rsidRPr="00D4309F" w:rsidRDefault="00F842F6" w:rsidP="007E44C8">
            <w:pPr>
              <w:pStyle w:val="Table-Bullet"/>
            </w:pPr>
            <w:r w:rsidRPr="00D4309F">
              <w:t>Timing</w:t>
            </w:r>
            <w:r w:rsidRPr="00D4309F">
              <w:rPr>
                <w:spacing w:val="-11"/>
              </w:rPr>
              <w:t xml:space="preserve"> </w:t>
            </w:r>
            <w:r w:rsidRPr="00D4309F">
              <w:t>of</w:t>
            </w:r>
            <w:r w:rsidRPr="00D4309F">
              <w:rPr>
                <w:spacing w:val="-10"/>
              </w:rPr>
              <w:t xml:space="preserve"> </w:t>
            </w:r>
            <w:r w:rsidRPr="00D4309F">
              <w:t>works</w:t>
            </w:r>
            <w:r w:rsidRPr="00D4309F">
              <w:rPr>
                <w:spacing w:val="-10"/>
              </w:rPr>
              <w:t xml:space="preserve"> </w:t>
            </w:r>
            <w:r w:rsidRPr="00D4309F">
              <w:t>outside</w:t>
            </w:r>
            <w:r w:rsidRPr="00D4309F">
              <w:rPr>
                <w:spacing w:val="-11"/>
              </w:rPr>
              <w:t xml:space="preserve"> </w:t>
            </w:r>
            <w:r w:rsidRPr="00D4309F">
              <w:t>of peak aggregation periods for migratory shorebirds</w:t>
            </w:r>
          </w:p>
          <w:p w14:paraId="3CE8EBEB" w14:textId="77777777" w:rsidR="00F842F6" w:rsidRPr="00D4309F" w:rsidRDefault="00F842F6" w:rsidP="007E44C8">
            <w:pPr>
              <w:pStyle w:val="Table-Bullet"/>
            </w:pPr>
            <w:r w:rsidRPr="00D4309F">
              <w:t>Standard noise management</w:t>
            </w:r>
            <w:r w:rsidRPr="00D4309F">
              <w:rPr>
                <w:spacing w:val="-13"/>
              </w:rPr>
              <w:t xml:space="preserve"> </w:t>
            </w:r>
            <w:r w:rsidRPr="00D4309F">
              <w:t>procedures</w:t>
            </w:r>
          </w:p>
          <w:p w14:paraId="4EAF6652" w14:textId="77777777" w:rsidR="00F842F6" w:rsidRPr="00D4309F" w:rsidRDefault="00F842F6" w:rsidP="007E44C8">
            <w:pPr>
              <w:pStyle w:val="Table-Bullet"/>
            </w:pPr>
            <w:r w:rsidRPr="00D4309F">
              <w:t>Limitation of works to daylight hours or if necessary,</w:t>
            </w:r>
            <w:r w:rsidRPr="00D4309F">
              <w:rPr>
                <w:spacing w:val="-15"/>
              </w:rPr>
              <w:t xml:space="preserve"> </w:t>
            </w:r>
            <w:r w:rsidRPr="00D4309F">
              <w:t>standard</w:t>
            </w:r>
            <w:r w:rsidRPr="00D4309F">
              <w:rPr>
                <w:spacing w:val="-12"/>
              </w:rPr>
              <w:t xml:space="preserve"> </w:t>
            </w:r>
            <w:r w:rsidRPr="00D4309F">
              <w:t>light mitigation procedures</w:t>
            </w:r>
          </w:p>
          <w:p w14:paraId="39F52A5C" w14:textId="77777777" w:rsidR="00F842F6" w:rsidRPr="00D4309F" w:rsidRDefault="00F842F6" w:rsidP="007E44C8">
            <w:pPr>
              <w:pStyle w:val="Table-Bullet"/>
            </w:pPr>
            <w:r w:rsidRPr="00D4309F">
              <w:t>Standard</w:t>
            </w:r>
            <w:r w:rsidRPr="00D4309F">
              <w:rPr>
                <w:spacing w:val="-15"/>
              </w:rPr>
              <w:t xml:space="preserve"> </w:t>
            </w:r>
            <w:r w:rsidRPr="00D4309F">
              <w:t>fauna</w:t>
            </w:r>
            <w:r w:rsidRPr="00D4309F">
              <w:rPr>
                <w:spacing w:val="-12"/>
              </w:rPr>
              <w:t xml:space="preserve"> </w:t>
            </w:r>
            <w:r w:rsidRPr="00D4309F">
              <w:t>mitigation practices including monitoring for conservation significant fauna, management of fauna entrapment in construction trenches, appropriate fencing of work area</w:t>
            </w:r>
          </w:p>
          <w:p w14:paraId="0D66EBB5" w14:textId="77777777" w:rsidR="00F842F6" w:rsidRPr="00D4309F" w:rsidRDefault="00F842F6" w:rsidP="007E44C8">
            <w:pPr>
              <w:pStyle w:val="Table-Bullet"/>
            </w:pPr>
            <w:r w:rsidRPr="00D4309F">
              <w:t>Fauna</w:t>
            </w:r>
            <w:r w:rsidRPr="00D4309F">
              <w:rPr>
                <w:spacing w:val="-13"/>
              </w:rPr>
              <w:t xml:space="preserve"> </w:t>
            </w:r>
            <w:r w:rsidRPr="00D4309F">
              <w:t xml:space="preserve">relocation </w:t>
            </w:r>
            <w:r w:rsidRPr="00D4309F">
              <w:rPr>
                <w:spacing w:val="-2"/>
              </w:rPr>
              <w:t>procedures</w:t>
            </w:r>
          </w:p>
          <w:p w14:paraId="406D41E4" w14:textId="77777777" w:rsidR="00F842F6" w:rsidRPr="00D4309F" w:rsidRDefault="00F842F6" w:rsidP="007E44C8">
            <w:pPr>
              <w:pStyle w:val="Table-Bullet"/>
            </w:pPr>
            <w:r w:rsidRPr="00D4309F">
              <w:t>Waste</w:t>
            </w:r>
            <w:r w:rsidRPr="00D4309F">
              <w:rPr>
                <w:spacing w:val="-13"/>
              </w:rPr>
              <w:t xml:space="preserve"> </w:t>
            </w:r>
            <w:r w:rsidRPr="00D4309F">
              <w:t xml:space="preserve">management </w:t>
            </w:r>
            <w:r w:rsidRPr="00D4309F">
              <w:rPr>
                <w:spacing w:val="-2"/>
              </w:rPr>
              <w:t>procedures</w:t>
            </w:r>
          </w:p>
          <w:p w14:paraId="626267D5" w14:textId="3A859814" w:rsidR="00F842F6" w:rsidRPr="00D4309F" w:rsidRDefault="00F842F6" w:rsidP="007E44C8">
            <w:pPr>
              <w:pStyle w:val="Table-Bullet"/>
            </w:pPr>
            <w:r w:rsidRPr="00D4309F">
              <w:t>Revegetation</w:t>
            </w:r>
            <w:r w:rsidRPr="00D4309F">
              <w:rPr>
                <w:spacing w:val="-15"/>
              </w:rPr>
              <w:t xml:space="preserve"> </w:t>
            </w:r>
            <w:r w:rsidRPr="00D4309F">
              <w:t>of</w:t>
            </w:r>
            <w:r w:rsidRPr="00D4309F">
              <w:rPr>
                <w:spacing w:val="-12"/>
              </w:rPr>
              <w:t xml:space="preserve"> </w:t>
            </w:r>
            <w:r w:rsidRPr="00D4309F">
              <w:t>cleared areas</w:t>
            </w:r>
            <w:r w:rsidRPr="00D4309F">
              <w:rPr>
                <w:spacing w:val="-10"/>
              </w:rPr>
              <w:t xml:space="preserve"> </w:t>
            </w:r>
            <w:r w:rsidRPr="00D4309F">
              <w:t>post-construction</w:t>
            </w:r>
          </w:p>
        </w:tc>
      </w:tr>
      <w:tr w:rsidR="009213C9" w:rsidRPr="00D4309F" w14:paraId="160A34FE" w14:textId="77777777" w:rsidTr="007E44C8">
        <w:trPr>
          <w:cantSplit/>
          <w:trHeight w:val="20"/>
        </w:trPr>
        <w:tc>
          <w:tcPr>
            <w:tcW w:w="1418" w:type="dxa"/>
            <w:tcBorders>
              <w:top w:val="single" w:sz="4" w:space="0" w:color="000000"/>
              <w:bottom w:val="single" w:sz="4" w:space="0" w:color="000000"/>
            </w:tcBorders>
            <w:vAlign w:val="center"/>
          </w:tcPr>
          <w:p w14:paraId="0744EDDA" w14:textId="4AFEA931" w:rsidR="00F842F6" w:rsidRPr="00D4309F" w:rsidRDefault="00F842F6" w:rsidP="007E44C8">
            <w:pPr>
              <w:pStyle w:val="Table-Text"/>
            </w:pPr>
            <w:r w:rsidRPr="00D4309F">
              <w:lastRenderedPageBreak/>
              <w:t>Terrestrial</w:t>
            </w:r>
            <w:r w:rsidRPr="00D4309F">
              <w:rPr>
                <w:spacing w:val="-4"/>
              </w:rPr>
              <w:t xml:space="preserve"> </w:t>
            </w:r>
            <w:r w:rsidRPr="00D4309F">
              <w:t>flora</w:t>
            </w:r>
          </w:p>
        </w:tc>
        <w:tc>
          <w:tcPr>
            <w:tcW w:w="1701" w:type="dxa"/>
            <w:tcBorders>
              <w:top w:val="single" w:sz="4" w:space="0" w:color="000000"/>
              <w:bottom w:val="single" w:sz="4" w:space="0" w:color="000000"/>
            </w:tcBorders>
            <w:vAlign w:val="center"/>
          </w:tcPr>
          <w:p w14:paraId="7A657E90" w14:textId="77777777" w:rsidR="00F842F6" w:rsidRPr="00D4309F" w:rsidRDefault="00F842F6" w:rsidP="007E44C8">
            <w:pPr>
              <w:pStyle w:val="Table-Text"/>
            </w:pPr>
          </w:p>
        </w:tc>
        <w:tc>
          <w:tcPr>
            <w:tcW w:w="2551" w:type="dxa"/>
            <w:tcBorders>
              <w:top w:val="single" w:sz="4" w:space="0" w:color="000000"/>
              <w:bottom w:val="single" w:sz="4" w:space="0" w:color="000000"/>
            </w:tcBorders>
            <w:vAlign w:val="center"/>
          </w:tcPr>
          <w:p w14:paraId="7C283DBA" w14:textId="77777777" w:rsidR="00F842F6" w:rsidRPr="00D4309F" w:rsidRDefault="00F842F6" w:rsidP="007E44C8">
            <w:pPr>
              <w:pStyle w:val="Table-Bullet"/>
            </w:pPr>
            <w:r w:rsidRPr="00D4309F">
              <w:t>Direct</w:t>
            </w:r>
            <w:r w:rsidRPr="00D4309F">
              <w:rPr>
                <w:spacing w:val="-3"/>
              </w:rPr>
              <w:t xml:space="preserve"> </w:t>
            </w:r>
            <w:r w:rsidRPr="00D4309F">
              <w:t>clearing</w:t>
            </w:r>
            <w:r w:rsidRPr="00D4309F">
              <w:rPr>
                <w:spacing w:val="-3"/>
              </w:rPr>
              <w:t xml:space="preserve"> </w:t>
            </w:r>
            <w:r w:rsidRPr="00D4309F">
              <w:t>of</w:t>
            </w:r>
            <w:r w:rsidRPr="00D4309F">
              <w:rPr>
                <w:spacing w:val="-2"/>
              </w:rPr>
              <w:t xml:space="preserve"> vegetation</w:t>
            </w:r>
          </w:p>
          <w:p w14:paraId="22B54743" w14:textId="2ED4F2D2" w:rsidR="00F842F6" w:rsidRPr="00D4309F" w:rsidRDefault="00F842F6" w:rsidP="007E44C8">
            <w:pPr>
              <w:pStyle w:val="Table-Bullet"/>
            </w:pPr>
            <w:r w:rsidRPr="00D4309F">
              <w:t>Smothering and degradation of habitat</w:t>
            </w:r>
            <w:r w:rsidRPr="00D4309F">
              <w:rPr>
                <w:spacing w:val="-8"/>
              </w:rPr>
              <w:t xml:space="preserve"> </w:t>
            </w:r>
            <w:r w:rsidRPr="00D4309F">
              <w:t>due</w:t>
            </w:r>
            <w:r w:rsidRPr="00D4309F">
              <w:rPr>
                <w:spacing w:val="-9"/>
              </w:rPr>
              <w:t xml:space="preserve"> </w:t>
            </w:r>
            <w:r w:rsidRPr="00D4309F">
              <w:t>to</w:t>
            </w:r>
            <w:r w:rsidRPr="00D4309F">
              <w:rPr>
                <w:spacing w:val="-7"/>
              </w:rPr>
              <w:t xml:space="preserve"> </w:t>
            </w:r>
            <w:r w:rsidRPr="00D4309F">
              <w:t>dust</w:t>
            </w:r>
            <w:r w:rsidRPr="00D4309F">
              <w:rPr>
                <w:spacing w:val="-8"/>
              </w:rPr>
              <w:t xml:space="preserve"> </w:t>
            </w:r>
            <w:r w:rsidRPr="00D4309F">
              <w:t>generation</w:t>
            </w:r>
            <w:r w:rsidRPr="00D4309F">
              <w:rPr>
                <w:spacing w:val="-9"/>
              </w:rPr>
              <w:t xml:space="preserve"> </w:t>
            </w:r>
            <w:r w:rsidRPr="00D4309F">
              <w:t xml:space="preserve">from </w:t>
            </w:r>
            <w:r w:rsidRPr="00D4309F">
              <w:rPr>
                <w:spacing w:val="-2"/>
              </w:rPr>
              <w:t>works</w:t>
            </w:r>
          </w:p>
        </w:tc>
        <w:tc>
          <w:tcPr>
            <w:tcW w:w="1276" w:type="dxa"/>
            <w:tcBorders>
              <w:top w:val="single" w:sz="4" w:space="0" w:color="000000"/>
              <w:bottom w:val="single" w:sz="4" w:space="0" w:color="000000"/>
            </w:tcBorders>
            <w:shd w:val="clear" w:color="auto" w:fill="FFC000"/>
            <w:vAlign w:val="center"/>
          </w:tcPr>
          <w:p w14:paraId="1F7B8D04" w14:textId="184778FF" w:rsidR="00F842F6" w:rsidRPr="00D4309F" w:rsidRDefault="00F842F6" w:rsidP="00F842F6">
            <w:pPr>
              <w:pStyle w:val="Table-Text"/>
              <w:rPr>
                <w:spacing w:val="-5"/>
              </w:rPr>
            </w:pPr>
            <w:r w:rsidRPr="00F842F6">
              <w:rPr>
                <w:b/>
                <w:bCs/>
                <w:spacing w:val="-4"/>
              </w:rPr>
              <w:t>High</w:t>
            </w:r>
            <w:r w:rsidRPr="00F842F6">
              <w:rPr>
                <w:b/>
                <w:bCs/>
                <w:spacing w:val="40"/>
              </w:rPr>
              <w:t xml:space="preserve"> </w:t>
            </w:r>
            <w:r w:rsidRPr="00F842F6">
              <w:rPr>
                <w:b/>
                <w:bCs/>
              </w:rPr>
              <w:t>(for</w:t>
            </w:r>
            <w:r w:rsidRPr="00F842F6">
              <w:rPr>
                <w:b/>
                <w:bCs/>
                <w:spacing w:val="-13"/>
              </w:rPr>
              <w:t xml:space="preserve"> </w:t>
            </w:r>
            <w:r w:rsidRPr="00F842F6">
              <w:rPr>
                <w:b/>
                <w:bCs/>
              </w:rPr>
              <w:t>rock</w:t>
            </w:r>
            <w:r>
              <w:rPr>
                <w:b/>
                <w:bCs/>
              </w:rPr>
              <w:t xml:space="preserve"> </w:t>
            </w:r>
            <w:r w:rsidRPr="00F842F6">
              <w:rPr>
                <w:b/>
                <w:bCs/>
              </w:rPr>
              <w:t>cutting</w:t>
            </w:r>
            <w:r w:rsidRPr="00F842F6">
              <w:rPr>
                <w:b/>
                <w:bCs/>
                <w:spacing w:val="-1"/>
              </w:rPr>
              <w:t xml:space="preserve"> </w:t>
            </w:r>
            <w:r w:rsidRPr="00F842F6">
              <w:rPr>
                <w:b/>
                <w:bCs/>
                <w:spacing w:val="-5"/>
              </w:rPr>
              <w:t>and</w:t>
            </w:r>
            <w:r>
              <w:rPr>
                <w:b/>
                <w:bCs/>
                <w:spacing w:val="-5"/>
              </w:rPr>
              <w:t xml:space="preserve"> </w:t>
            </w:r>
            <w:r w:rsidRPr="00F842F6">
              <w:rPr>
                <w:b/>
                <w:bCs/>
                <w:spacing w:val="-4"/>
              </w:rPr>
              <w:t xml:space="preserve">pump </w:t>
            </w:r>
            <w:r w:rsidRPr="00F842F6">
              <w:rPr>
                <w:b/>
                <w:bCs/>
                <w:spacing w:val="-2"/>
              </w:rPr>
              <w:t>installation)</w:t>
            </w:r>
          </w:p>
        </w:tc>
        <w:tc>
          <w:tcPr>
            <w:tcW w:w="2957" w:type="dxa"/>
            <w:tcBorders>
              <w:top w:val="single" w:sz="4" w:space="0" w:color="000000"/>
              <w:bottom w:val="single" w:sz="4" w:space="0" w:color="000000"/>
            </w:tcBorders>
            <w:vAlign w:val="center"/>
          </w:tcPr>
          <w:p w14:paraId="61DD845B" w14:textId="05E947D2" w:rsidR="00F842F6" w:rsidRPr="00D4309F" w:rsidRDefault="00F842F6" w:rsidP="007E44C8">
            <w:pPr>
              <w:pStyle w:val="Table-Bullet"/>
            </w:pPr>
            <w:r w:rsidRPr="00D4309F">
              <w:t>Several</w:t>
            </w:r>
            <w:r w:rsidRPr="00D4309F">
              <w:rPr>
                <w:spacing w:val="-13"/>
              </w:rPr>
              <w:t xml:space="preserve"> </w:t>
            </w:r>
            <w:r w:rsidRPr="00D4309F">
              <w:t>MSES</w:t>
            </w:r>
            <w:r w:rsidRPr="00D4309F">
              <w:rPr>
                <w:spacing w:val="-12"/>
              </w:rPr>
              <w:t xml:space="preserve"> </w:t>
            </w:r>
            <w:r w:rsidRPr="00D4309F">
              <w:t>and</w:t>
            </w:r>
            <w:r w:rsidRPr="00D4309F">
              <w:rPr>
                <w:spacing w:val="-13"/>
              </w:rPr>
              <w:t xml:space="preserve"> </w:t>
            </w:r>
            <w:r w:rsidRPr="00D4309F">
              <w:t>TECs occur in the project area</w:t>
            </w:r>
          </w:p>
        </w:tc>
        <w:tc>
          <w:tcPr>
            <w:tcW w:w="2004" w:type="dxa"/>
            <w:tcBorders>
              <w:top w:val="single" w:sz="4" w:space="0" w:color="000000"/>
              <w:bottom w:val="single" w:sz="4" w:space="0" w:color="000000"/>
            </w:tcBorders>
            <w:vAlign w:val="center"/>
          </w:tcPr>
          <w:p w14:paraId="31795DD4" w14:textId="77777777" w:rsidR="00F842F6" w:rsidRPr="00D4309F" w:rsidRDefault="00F842F6" w:rsidP="007E44C8">
            <w:pPr>
              <w:pStyle w:val="Table-Bullet"/>
            </w:pPr>
            <w:r w:rsidRPr="00D4309F">
              <w:t>Terrestrial</w:t>
            </w:r>
            <w:r w:rsidRPr="00D4309F">
              <w:rPr>
                <w:spacing w:val="-13"/>
              </w:rPr>
              <w:t xml:space="preserve"> </w:t>
            </w:r>
            <w:r w:rsidRPr="00D4309F">
              <w:t xml:space="preserve">flora </w:t>
            </w:r>
            <w:r w:rsidRPr="00D4309F">
              <w:rPr>
                <w:spacing w:val="-2"/>
              </w:rPr>
              <w:t>assessment</w:t>
            </w:r>
          </w:p>
          <w:p w14:paraId="0A2B6FDA" w14:textId="18115C2B" w:rsidR="00F842F6" w:rsidRPr="00D4309F" w:rsidRDefault="00F842F6" w:rsidP="007E44C8">
            <w:pPr>
              <w:pStyle w:val="Table-Bullet"/>
              <w:rPr>
                <w:spacing w:val="-4"/>
              </w:rPr>
            </w:pPr>
            <w:r w:rsidRPr="00D4309F">
              <w:rPr>
                <w:spacing w:val="-2"/>
              </w:rPr>
              <w:t>Extended vegetation mapping</w:t>
            </w:r>
          </w:p>
        </w:tc>
        <w:tc>
          <w:tcPr>
            <w:tcW w:w="2665" w:type="dxa"/>
            <w:tcBorders>
              <w:top w:val="single" w:sz="4" w:space="0" w:color="000000"/>
              <w:bottom w:val="single" w:sz="4" w:space="0" w:color="000000"/>
            </w:tcBorders>
            <w:vAlign w:val="center"/>
          </w:tcPr>
          <w:p w14:paraId="6D09A267" w14:textId="77777777" w:rsidR="00F842F6" w:rsidRPr="00D4309F" w:rsidRDefault="00F842F6" w:rsidP="007E44C8">
            <w:pPr>
              <w:pStyle w:val="Table-Bullet"/>
            </w:pPr>
            <w:r w:rsidRPr="00D4309F">
              <w:t>Design to minimise clearing required and avoid</w:t>
            </w:r>
            <w:r w:rsidRPr="00D4309F">
              <w:rPr>
                <w:spacing w:val="-13"/>
              </w:rPr>
              <w:t xml:space="preserve"> </w:t>
            </w:r>
            <w:r w:rsidRPr="00D4309F">
              <w:t>key</w:t>
            </w:r>
            <w:r w:rsidRPr="00D4309F">
              <w:rPr>
                <w:spacing w:val="-12"/>
              </w:rPr>
              <w:t xml:space="preserve"> </w:t>
            </w:r>
            <w:r w:rsidRPr="00D4309F">
              <w:t>habitat</w:t>
            </w:r>
            <w:r w:rsidRPr="00D4309F">
              <w:rPr>
                <w:spacing w:val="-13"/>
              </w:rPr>
              <w:t xml:space="preserve"> </w:t>
            </w:r>
            <w:r w:rsidRPr="00D4309F">
              <w:t>areas</w:t>
            </w:r>
          </w:p>
          <w:p w14:paraId="25A83FE2" w14:textId="77777777" w:rsidR="00F842F6" w:rsidRPr="00D4309F" w:rsidRDefault="00F842F6" w:rsidP="007E44C8">
            <w:pPr>
              <w:pStyle w:val="Table-Bullet"/>
            </w:pPr>
            <w:r w:rsidRPr="00D4309F">
              <w:t>Appropriate management for onshore works e.g. onshore</w:t>
            </w:r>
            <w:r w:rsidRPr="00D4309F">
              <w:rPr>
                <w:spacing w:val="-13"/>
              </w:rPr>
              <w:t xml:space="preserve"> </w:t>
            </w:r>
            <w:r w:rsidRPr="00D4309F">
              <w:t>vehicles</w:t>
            </w:r>
            <w:r w:rsidRPr="00D4309F">
              <w:rPr>
                <w:spacing w:val="-12"/>
              </w:rPr>
              <w:t xml:space="preserve"> </w:t>
            </w:r>
            <w:r w:rsidRPr="00D4309F">
              <w:t>and</w:t>
            </w:r>
            <w:r w:rsidRPr="00D4309F">
              <w:rPr>
                <w:spacing w:val="-13"/>
              </w:rPr>
              <w:t xml:space="preserve"> </w:t>
            </w:r>
            <w:r w:rsidRPr="00D4309F">
              <w:t>plant to operate in designated tracks and areas</w:t>
            </w:r>
          </w:p>
          <w:p w14:paraId="42A77B52" w14:textId="77777777" w:rsidR="00F842F6" w:rsidRPr="00D4309F" w:rsidRDefault="00F842F6" w:rsidP="007E44C8">
            <w:pPr>
              <w:pStyle w:val="Table-Bullet"/>
            </w:pPr>
            <w:r w:rsidRPr="00D4309F">
              <w:t>Dust</w:t>
            </w:r>
            <w:r w:rsidRPr="00D4309F">
              <w:rPr>
                <w:spacing w:val="-13"/>
              </w:rPr>
              <w:t xml:space="preserve"> </w:t>
            </w:r>
            <w:r w:rsidRPr="00D4309F">
              <w:t xml:space="preserve">management </w:t>
            </w:r>
            <w:r w:rsidRPr="00D4309F">
              <w:rPr>
                <w:spacing w:val="-2"/>
              </w:rPr>
              <w:t>procedures</w:t>
            </w:r>
          </w:p>
          <w:p w14:paraId="2E32D7CD" w14:textId="77777777" w:rsidR="00F842F6" w:rsidRPr="00D4309F" w:rsidRDefault="00F842F6" w:rsidP="007E44C8">
            <w:pPr>
              <w:pStyle w:val="Table-Bullet"/>
            </w:pPr>
            <w:r w:rsidRPr="00D4309F">
              <w:t>Weed control management</w:t>
            </w:r>
            <w:r w:rsidRPr="00D4309F">
              <w:rPr>
                <w:spacing w:val="-13"/>
              </w:rPr>
              <w:t xml:space="preserve"> </w:t>
            </w:r>
            <w:r w:rsidRPr="00D4309F">
              <w:t>procedures</w:t>
            </w:r>
          </w:p>
          <w:p w14:paraId="6F8D933C" w14:textId="77777777" w:rsidR="00F842F6" w:rsidRPr="00D4309F" w:rsidRDefault="00F842F6" w:rsidP="007E44C8">
            <w:pPr>
              <w:pStyle w:val="Table-Bullet"/>
            </w:pPr>
            <w:r w:rsidRPr="00D4309F">
              <w:t>Waste</w:t>
            </w:r>
            <w:r w:rsidRPr="00D4309F">
              <w:rPr>
                <w:spacing w:val="-13"/>
              </w:rPr>
              <w:t xml:space="preserve"> </w:t>
            </w:r>
            <w:r w:rsidRPr="00D4309F">
              <w:t xml:space="preserve">management </w:t>
            </w:r>
            <w:r w:rsidRPr="00D4309F">
              <w:rPr>
                <w:spacing w:val="-2"/>
              </w:rPr>
              <w:t>procedures</w:t>
            </w:r>
          </w:p>
          <w:p w14:paraId="255654BE" w14:textId="77777777" w:rsidR="00F842F6" w:rsidRPr="00D4309F" w:rsidRDefault="00F842F6" w:rsidP="007E44C8">
            <w:pPr>
              <w:pStyle w:val="Table-Bullet"/>
            </w:pPr>
            <w:r w:rsidRPr="00D4309F">
              <w:t>Monitor</w:t>
            </w:r>
            <w:r w:rsidRPr="00D4309F">
              <w:rPr>
                <w:spacing w:val="-13"/>
              </w:rPr>
              <w:t xml:space="preserve"> </w:t>
            </w:r>
            <w:r w:rsidRPr="00D4309F">
              <w:t>conservation significant flora</w:t>
            </w:r>
          </w:p>
          <w:p w14:paraId="7BFDBEE2" w14:textId="77777777" w:rsidR="00F842F6" w:rsidRPr="00D4309F" w:rsidRDefault="00F842F6" w:rsidP="007E44C8">
            <w:pPr>
              <w:pStyle w:val="Table-Bullet"/>
            </w:pPr>
            <w:r w:rsidRPr="00D4309F">
              <w:t>Post</w:t>
            </w:r>
            <w:r w:rsidRPr="00D4309F">
              <w:rPr>
                <w:spacing w:val="-5"/>
              </w:rPr>
              <w:t xml:space="preserve"> </w:t>
            </w:r>
            <w:r w:rsidRPr="00D4309F">
              <w:t>construction</w:t>
            </w:r>
            <w:r w:rsidRPr="00D4309F">
              <w:rPr>
                <w:spacing w:val="-4"/>
              </w:rPr>
              <w:t xml:space="preserve"> </w:t>
            </w:r>
            <w:r w:rsidRPr="00D4309F">
              <w:rPr>
                <w:spacing w:val="-2"/>
              </w:rPr>
              <w:t>survey</w:t>
            </w:r>
          </w:p>
          <w:p w14:paraId="3F6EBB0A" w14:textId="5090D757" w:rsidR="00F842F6" w:rsidRPr="00D4309F" w:rsidRDefault="00F842F6" w:rsidP="007E44C8">
            <w:pPr>
              <w:pStyle w:val="Table-Bullet"/>
            </w:pPr>
            <w:r w:rsidRPr="00D4309F">
              <w:t>Topsoil stockpiling and revegetation of cleared areas</w:t>
            </w:r>
            <w:r w:rsidRPr="00D4309F">
              <w:rPr>
                <w:spacing w:val="-5"/>
              </w:rPr>
              <w:t xml:space="preserve"> </w:t>
            </w:r>
            <w:r w:rsidRPr="00D4309F">
              <w:t>post-</w:t>
            </w:r>
            <w:r w:rsidRPr="00D4309F">
              <w:rPr>
                <w:spacing w:val="-2"/>
              </w:rPr>
              <w:t>construction</w:t>
            </w:r>
          </w:p>
        </w:tc>
      </w:tr>
    </w:tbl>
    <w:p w14:paraId="655D0E61" w14:textId="00E8ECC8" w:rsidR="00725977" w:rsidRPr="00D4309F" w:rsidRDefault="00725977" w:rsidP="003E0830">
      <w:pPr>
        <w:pStyle w:val="Table-Note"/>
      </w:pPr>
      <w:r w:rsidRPr="00D4309F">
        <w:t>Assumptions:</w:t>
      </w:r>
    </w:p>
    <w:p w14:paraId="44E90E96" w14:textId="7C2D7A20" w:rsidR="00725977" w:rsidRPr="00D4309F" w:rsidRDefault="00725977" w:rsidP="00D27F26">
      <w:pPr>
        <w:pStyle w:val="Table-Note"/>
        <w:numPr>
          <w:ilvl w:val="0"/>
          <w:numId w:val="493"/>
        </w:numPr>
      </w:pPr>
      <w:r w:rsidRPr="00F842F6">
        <w:t>Dredge</w:t>
      </w:r>
      <w:r w:rsidRPr="00F842F6">
        <w:rPr>
          <w:spacing w:val="-3"/>
        </w:rPr>
        <w:t xml:space="preserve"> </w:t>
      </w:r>
      <w:r w:rsidRPr="00F842F6">
        <w:t>area</w:t>
      </w:r>
      <w:r w:rsidRPr="00F842F6">
        <w:rPr>
          <w:spacing w:val="-3"/>
        </w:rPr>
        <w:t xml:space="preserve"> </w:t>
      </w:r>
      <w:r w:rsidRPr="00F842F6">
        <w:t>is an</w:t>
      </w:r>
      <w:r w:rsidRPr="00F842F6">
        <w:rPr>
          <w:spacing w:val="-3"/>
        </w:rPr>
        <w:t xml:space="preserve"> </w:t>
      </w:r>
      <w:r w:rsidRPr="00F842F6">
        <w:t>area of</w:t>
      </w:r>
      <w:r w:rsidRPr="00F842F6">
        <w:rPr>
          <w:spacing w:val="-3"/>
        </w:rPr>
        <w:t xml:space="preserve"> </w:t>
      </w:r>
      <w:r w:rsidRPr="00F842F6">
        <w:t xml:space="preserve">bare </w:t>
      </w:r>
      <w:r w:rsidRPr="00F842F6">
        <w:rPr>
          <w:spacing w:val="-4"/>
        </w:rPr>
        <w:t>sand</w:t>
      </w:r>
    </w:p>
    <w:p w14:paraId="51CA4FC6" w14:textId="04AF59EF" w:rsidR="00725977" w:rsidRPr="00D4309F" w:rsidRDefault="00725977" w:rsidP="00D27F26">
      <w:pPr>
        <w:pStyle w:val="Table-Note"/>
        <w:numPr>
          <w:ilvl w:val="0"/>
          <w:numId w:val="493"/>
        </w:numPr>
      </w:pPr>
      <w:r w:rsidRPr="00F842F6">
        <w:t>There</w:t>
      </w:r>
      <w:r w:rsidRPr="00F842F6">
        <w:rPr>
          <w:spacing w:val="-7"/>
        </w:rPr>
        <w:t xml:space="preserve"> </w:t>
      </w:r>
      <w:r w:rsidRPr="00F842F6">
        <w:t>is</w:t>
      </w:r>
      <w:r w:rsidRPr="00F842F6">
        <w:rPr>
          <w:spacing w:val="-3"/>
        </w:rPr>
        <w:t xml:space="preserve"> </w:t>
      </w:r>
      <w:r w:rsidRPr="00F842F6">
        <w:t>sediment</w:t>
      </w:r>
      <w:r w:rsidRPr="00F842F6">
        <w:rPr>
          <w:spacing w:val="-3"/>
        </w:rPr>
        <w:t xml:space="preserve"> </w:t>
      </w:r>
      <w:r w:rsidRPr="00F842F6">
        <w:t>contamination</w:t>
      </w:r>
      <w:r w:rsidRPr="00F842F6">
        <w:rPr>
          <w:spacing w:val="-5"/>
        </w:rPr>
        <w:t xml:space="preserve"> </w:t>
      </w:r>
      <w:r w:rsidRPr="00F842F6">
        <w:t>data</w:t>
      </w:r>
      <w:r w:rsidRPr="00F842F6">
        <w:rPr>
          <w:spacing w:val="-4"/>
        </w:rPr>
        <w:t xml:space="preserve"> </w:t>
      </w:r>
      <w:r w:rsidRPr="00F842F6">
        <w:t>to</w:t>
      </w:r>
      <w:r w:rsidRPr="00F842F6">
        <w:rPr>
          <w:spacing w:val="-3"/>
        </w:rPr>
        <w:t xml:space="preserve"> </w:t>
      </w:r>
      <w:r w:rsidRPr="00F842F6">
        <w:t>inform</w:t>
      </w:r>
      <w:r w:rsidRPr="00F842F6">
        <w:rPr>
          <w:spacing w:val="-4"/>
        </w:rPr>
        <w:t xml:space="preserve"> </w:t>
      </w:r>
      <w:r w:rsidRPr="00F842F6">
        <w:t>the</w:t>
      </w:r>
      <w:r w:rsidRPr="00F842F6">
        <w:rPr>
          <w:spacing w:val="-4"/>
        </w:rPr>
        <w:t xml:space="preserve"> </w:t>
      </w:r>
      <w:r w:rsidRPr="00F842F6">
        <w:t>risk</w:t>
      </w:r>
      <w:r w:rsidRPr="00F842F6">
        <w:rPr>
          <w:spacing w:val="-3"/>
        </w:rPr>
        <w:t xml:space="preserve"> </w:t>
      </w:r>
      <w:r w:rsidRPr="00F842F6">
        <w:t>of</w:t>
      </w:r>
      <w:r w:rsidRPr="00F842F6">
        <w:rPr>
          <w:spacing w:val="-5"/>
        </w:rPr>
        <w:t xml:space="preserve"> </w:t>
      </w:r>
      <w:r w:rsidRPr="00F842F6">
        <w:t>on</w:t>
      </w:r>
      <w:r w:rsidRPr="00F842F6">
        <w:rPr>
          <w:spacing w:val="-4"/>
        </w:rPr>
        <w:t xml:space="preserve"> </w:t>
      </w:r>
      <w:r w:rsidRPr="00F842F6">
        <w:t>release</w:t>
      </w:r>
      <w:r w:rsidRPr="00F842F6">
        <w:rPr>
          <w:spacing w:val="-4"/>
        </w:rPr>
        <w:t xml:space="preserve"> </w:t>
      </w:r>
      <w:r w:rsidRPr="00F842F6">
        <w:t>of</w:t>
      </w:r>
      <w:r w:rsidRPr="00F842F6">
        <w:rPr>
          <w:spacing w:val="-5"/>
        </w:rPr>
        <w:t xml:space="preserve"> </w:t>
      </w:r>
      <w:r w:rsidRPr="00F842F6">
        <w:t>contaminants</w:t>
      </w:r>
      <w:r w:rsidRPr="00F842F6">
        <w:rPr>
          <w:spacing w:val="-4"/>
        </w:rPr>
        <w:t xml:space="preserve"> </w:t>
      </w:r>
      <w:r w:rsidRPr="00F842F6">
        <w:t>via</w:t>
      </w:r>
      <w:r w:rsidRPr="00F842F6">
        <w:rPr>
          <w:spacing w:val="-4"/>
        </w:rPr>
        <w:t xml:space="preserve"> </w:t>
      </w:r>
      <w:r w:rsidRPr="00F842F6">
        <w:t>dredging</w:t>
      </w:r>
      <w:r w:rsidRPr="00F842F6">
        <w:rPr>
          <w:spacing w:val="-3"/>
        </w:rPr>
        <w:t xml:space="preserve"> </w:t>
      </w:r>
      <w:r w:rsidRPr="00F842F6">
        <w:t>and</w:t>
      </w:r>
      <w:r w:rsidRPr="00F842F6">
        <w:rPr>
          <w:spacing w:val="-4"/>
        </w:rPr>
        <w:t xml:space="preserve"> </w:t>
      </w:r>
      <w:r w:rsidRPr="00F842F6">
        <w:t>disposal</w:t>
      </w:r>
    </w:p>
    <w:p w14:paraId="596345F4" w14:textId="77777777" w:rsidR="00725977" w:rsidRPr="00D4309F" w:rsidRDefault="00725977" w:rsidP="00D27F26">
      <w:pPr>
        <w:pStyle w:val="Table-Note"/>
        <w:numPr>
          <w:ilvl w:val="0"/>
          <w:numId w:val="493"/>
        </w:numPr>
      </w:pPr>
      <w:r w:rsidRPr="00D4309F">
        <w:t>Excavated</w:t>
      </w:r>
      <w:r w:rsidRPr="00D4309F">
        <w:rPr>
          <w:spacing w:val="-5"/>
        </w:rPr>
        <w:t xml:space="preserve"> </w:t>
      </w:r>
      <w:r w:rsidRPr="00D4309F">
        <w:t>rock</w:t>
      </w:r>
      <w:r w:rsidRPr="00D4309F">
        <w:rPr>
          <w:spacing w:val="-5"/>
        </w:rPr>
        <w:t xml:space="preserve"> </w:t>
      </w:r>
      <w:r w:rsidRPr="00D4309F">
        <w:t>will</w:t>
      </w:r>
      <w:r w:rsidRPr="00D4309F">
        <w:rPr>
          <w:spacing w:val="-5"/>
        </w:rPr>
        <w:t xml:space="preserve"> </w:t>
      </w:r>
      <w:r w:rsidRPr="00D4309F">
        <w:t>be</w:t>
      </w:r>
      <w:r w:rsidRPr="00D4309F">
        <w:rPr>
          <w:spacing w:val="-4"/>
        </w:rPr>
        <w:t xml:space="preserve"> </w:t>
      </w:r>
      <w:r w:rsidRPr="00D4309F">
        <w:t>disposed</w:t>
      </w:r>
      <w:r w:rsidRPr="00D4309F">
        <w:rPr>
          <w:spacing w:val="-5"/>
        </w:rPr>
        <w:t xml:space="preserve"> </w:t>
      </w:r>
      <w:r w:rsidRPr="00D4309F">
        <w:t>of offsite</w:t>
      </w:r>
      <w:r w:rsidRPr="00D4309F">
        <w:rPr>
          <w:spacing w:val="-4"/>
        </w:rPr>
        <w:t xml:space="preserve"> </w:t>
      </w:r>
      <w:r w:rsidRPr="00D4309F">
        <w:t>if</w:t>
      </w:r>
      <w:r w:rsidRPr="00D4309F">
        <w:rPr>
          <w:spacing w:val="-3"/>
        </w:rPr>
        <w:t xml:space="preserve"> </w:t>
      </w:r>
      <w:r w:rsidRPr="00D4309F">
        <w:t>not</w:t>
      </w:r>
      <w:r w:rsidRPr="00D4309F">
        <w:rPr>
          <w:spacing w:val="-4"/>
        </w:rPr>
        <w:t xml:space="preserve"> </w:t>
      </w:r>
      <w:r w:rsidRPr="00D4309F">
        <w:t>appropriate</w:t>
      </w:r>
      <w:r w:rsidRPr="00D4309F">
        <w:rPr>
          <w:spacing w:val="-3"/>
        </w:rPr>
        <w:t xml:space="preserve"> </w:t>
      </w:r>
      <w:r w:rsidRPr="00D4309F">
        <w:t>for</w:t>
      </w:r>
      <w:r w:rsidRPr="00D4309F">
        <w:rPr>
          <w:spacing w:val="-4"/>
        </w:rPr>
        <w:t xml:space="preserve"> </w:t>
      </w:r>
      <w:r w:rsidRPr="00D4309F">
        <w:t>offshore</w:t>
      </w:r>
      <w:r w:rsidRPr="00D4309F">
        <w:rPr>
          <w:spacing w:val="-3"/>
        </w:rPr>
        <w:t xml:space="preserve"> </w:t>
      </w:r>
      <w:r w:rsidRPr="00D4309F">
        <w:t>disposal</w:t>
      </w:r>
    </w:p>
    <w:p w14:paraId="507F987A" w14:textId="77777777" w:rsidR="00725977" w:rsidRPr="00D4309F" w:rsidRDefault="00725977" w:rsidP="00725977">
      <w:pPr>
        <w:pStyle w:val="ListParagraph"/>
        <w:rPr>
          <w:sz w:val="14"/>
        </w:rPr>
        <w:sectPr w:rsidR="00725977" w:rsidRPr="00D4309F" w:rsidSect="00405D4F">
          <w:headerReference w:type="default" r:id="rId113"/>
          <w:footerReference w:type="default" r:id="rId114"/>
          <w:pgSz w:w="16840" w:h="11910" w:orient="landscape"/>
          <w:pgMar w:top="1418" w:right="1134" w:bottom="1418" w:left="1134" w:header="916" w:footer="976" w:gutter="0"/>
          <w:cols w:space="720"/>
        </w:sectPr>
      </w:pPr>
    </w:p>
    <w:p w14:paraId="4A095D4E" w14:textId="77777777" w:rsidR="00725977" w:rsidRPr="00D4309F" w:rsidRDefault="00725977" w:rsidP="00725977">
      <w:pPr>
        <w:pStyle w:val="BodyText"/>
      </w:pPr>
      <w:r w:rsidRPr="00D4309F">
        <w:lastRenderedPageBreak/>
        <w:t>Similar</w:t>
      </w:r>
      <w:r w:rsidRPr="00D4309F">
        <w:rPr>
          <w:spacing w:val="-2"/>
        </w:rPr>
        <w:t xml:space="preserve"> </w:t>
      </w:r>
      <w:r w:rsidRPr="00D4309F">
        <w:t>to</w:t>
      </w:r>
      <w:r w:rsidRPr="00D4309F">
        <w:rPr>
          <w:spacing w:val="-2"/>
        </w:rPr>
        <w:t xml:space="preserve"> </w:t>
      </w:r>
      <w:r w:rsidRPr="00D4309F">
        <w:t>Option</w:t>
      </w:r>
      <w:r w:rsidRPr="00D4309F">
        <w:rPr>
          <w:spacing w:val="-3"/>
        </w:rPr>
        <w:t xml:space="preserve"> </w:t>
      </w:r>
      <w:r w:rsidRPr="00D4309F">
        <w:t>2A,</w:t>
      </w:r>
      <w:r w:rsidRPr="00D4309F">
        <w:rPr>
          <w:spacing w:val="-3"/>
        </w:rPr>
        <w:t xml:space="preserve"> </w:t>
      </w:r>
      <w:r w:rsidRPr="00D4309F">
        <w:t>capital</w:t>
      </w:r>
      <w:r w:rsidRPr="00D4309F">
        <w:rPr>
          <w:spacing w:val="-3"/>
        </w:rPr>
        <w:t xml:space="preserve"> </w:t>
      </w:r>
      <w:r w:rsidRPr="00D4309F">
        <w:t>rock</w:t>
      </w:r>
      <w:r w:rsidRPr="00D4309F">
        <w:rPr>
          <w:spacing w:val="-2"/>
        </w:rPr>
        <w:t xml:space="preserve"> </w:t>
      </w:r>
      <w:r w:rsidRPr="00D4309F">
        <w:t>cutting</w:t>
      </w:r>
      <w:r w:rsidRPr="00D4309F">
        <w:rPr>
          <w:spacing w:val="-3"/>
        </w:rPr>
        <w:t xml:space="preserve"> </w:t>
      </w:r>
      <w:r w:rsidRPr="00D4309F">
        <w:t>will</w:t>
      </w:r>
      <w:r w:rsidRPr="00D4309F">
        <w:rPr>
          <w:spacing w:val="-3"/>
        </w:rPr>
        <w:t xml:space="preserve"> </w:t>
      </w:r>
      <w:r w:rsidRPr="00D4309F">
        <w:t>potentially</w:t>
      </w:r>
      <w:r w:rsidRPr="00D4309F">
        <w:rPr>
          <w:spacing w:val="-2"/>
        </w:rPr>
        <w:t xml:space="preserve"> </w:t>
      </w:r>
      <w:r w:rsidRPr="00D4309F">
        <w:t>result</w:t>
      </w:r>
      <w:r w:rsidRPr="00D4309F">
        <w:rPr>
          <w:spacing w:val="-3"/>
        </w:rPr>
        <w:t xml:space="preserve"> </w:t>
      </w:r>
      <w:r w:rsidRPr="00D4309F">
        <w:t>in</w:t>
      </w:r>
      <w:r w:rsidRPr="00D4309F">
        <w:rPr>
          <w:spacing w:val="-3"/>
        </w:rPr>
        <w:t xml:space="preserve"> </w:t>
      </w:r>
      <w:r w:rsidRPr="00D4309F">
        <w:t>a</w:t>
      </w:r>
      <w:r w:rsidRPr="00D4309F">
        <w:rPr>
          <w:spacing w:val="-4"/>
        </w:rPr>
        <w:t xml:space="preserve"> </w:t>
      </w:r>
      <w:r w:rsidRPr="00D4309F">
        <w:t>more</w:t>
      </w:r>
      <w:r w:rsidRPr="00D4309F">
        <w:rPr>
          <w:spacing w:val="-3"/>
        </w:rPr>
        <w:t xml:space="preserve"> </w:t>
      </w:r>
      <w:r w:rsidRPr="00D4309F">
        <w:t>extensive</w:t>
      </w:r>
      <w:r w:rsidRPr="00D4309F">
        <w:rPr>
          <w:spacing w:val="-3"/>
        </w:rPr>
        <w:t xml:space="preserve"> </w:t>
      </w:r>
      <w:r w:rsidRPr="00D4309F">
        <w:t>and</w:t>
      </w:r>
      <w:r w:rsidRPr="00D4309F">
        <w:rPr>
          <w:spacing w:val="-3"/>
        </w:rPr>
        <w:t xml:space="preserve"> </w:t>
      </w:r>
      <w:r w:rsidRPr="00D4309F">
        <w:t>persistent</w:t>
      </w:r>
      <w:r w:rsidRPr="00D4309F">
        <w:rPr>
          <w:spacing w:val="-3"/>
        </w:rPr>
        <w:t xml:space="preserve"> </w:t>
      </w:r>
      <w:r w:rsidRPr="00D4309F">
        <w:t>turbid</w:t>
      </w:r>
      <w:r w:rsidRPr="00D4309F">
        <w:rPr>
          <w:spacing w:val="-3"/>
        </w:rPr>
        <w:t xml:space="preserve"> </w:t>
      </w:r>
      <w:r w:rsidRPr="00D4309F">
        <w:t>plume and greater noise impacts potentially resulting in significant impacts to marine environmental quality, marine and terrestrial fauna and benthic habitats. This will require further assessment and monitoring/management during works, including timing the works to avoid key seasons for conservation significant fauna and minimising/avoiding disturbance to onshore habitats.</w:t>
      </w:r>
    </w:p>
    <w:p w14:paraId="644D6322" w14:textId="77777777" w:rsidR="00725977" w:rsidRPr="00D4309F" w:rsidRDefault="00725977" w:rsidP="00725977">
      <w:pPr>
        <w:pStyle w:val="BodyText"/>
      </w:pPr>
      <w:r w:rsidRPr="00D4309F">
        <w:t>Once established, the pump would generate localized noise, vibration, and minor exhaust emissions during operation, though these can be mitigated through acoustic shielding, appropriate housing, and limited run times. Unlike dredging, the slurry system eliminates the need for frequent vessel operations, reducing turbidity,</w:t>
      </w:r>
      <w:r w:rsidRPr="00D4309F">
        <w:rPr>
          <w:spacing w:val="-3"/>
        </w:rPr>
        <w:t xml:space="preserve"> </w:t>
      </w:r>
      <w:r w:rsidRPr="00D4309F">
        <w:t>fuel</w:t>
      </w:r>
      <w:r w:rsidRPr="00D4309F">
        <w:rPr>
          <w:spacing w:val="-4"/>
        </w:rPr>
        <w:t xml:space="preserve"> </w:t>
      </w:r>
      <w:r w:rsidRPr="00D4309F">
        <w:t>use,</w:t>
      </w:r>
      <w:r w:rsidRPr="00D4309F">
        <w:rPr>
          <w:spacing w:val="-3"/>
        </w:rPr>
        <w:t xml:space="preserve"> </w:t>
      </w:r>
      <w:r w:rsidRPr="00D4309F">
        <w:t>and</w:t>
      </w:r>
      <w:r w:rsidRPr="00D4309F">
        <w:rPr>
          <w:spacing w:val="-3"/>
        </w:rPr>
        <w:t xml:space="preserve"> </w:t>
      </w:r>
      <w:r w:rsidRPr="00D4309F">
        <w:t>marine</w:t>
      </w:r>
      <w:r w:rsidRPr="00D4309F">
        <w:rPr>
          <w:spacing w:val="-3"/>
        </w:rPr>
        <w:t xml:space="preserve"> </w:t>
      </w:r>
      <w:r w:rsidRPr="00D4309F">
        <w:t>disturbance.</w:t>
      </w:r>
      <w:r w:rsidRPr="00D4309F">
        <w:rPr>
          <w:spacing w:val="-3"/>
        </w:rPr>
        <w:t xml:space="preserve"> </w:t>
      </w:r>
      <w:r w:rsidRPr="00D4309F">
        <w:t>The</w:t>
      </w:r>
      <w:r w:rsidRPr="00D4309F">
        <w:rPr>
          <w:spacing w:val="-3"/>
        </w:rPr>
        <w:t xml:space="preserve"> </w:t>
      </w:r>
      <w:r w:rsidRPr="00D4309F">
        <w:t>fixed</w:t>
      </w:r>
      <w:r w:rsidRPr="00D4309F">
        <w:rPr>
          <w:spacing w:val="-3"/>
        </w:rPr>
        <w:t xml:space="preserve"> </w:t>
      </w:r>
      <w:r w:rsidRPr="00D4309F">
        <w:t>intakes</w:t>
      </w:r>
      <w:r w:rsidRPr="00D4309F">
        <w:rPr>
          <w:spacing w:val="-2"/>
        </w:rPr>
        <w:t xml:space="preserve"> </w:t>
      </w:r>
      <w:r w:rsidRPr="00D4309F">
        <w:t>create</w:t>
      </w:r>
      <w:r w:rsidRPr="00D4309F">
        <w:rPr>
          <w:spacing w:val="-4"/>
        </w:rPr>
        <w:t xml:space="preserve"> </w:t>
      </w:r>
      <w:r w:rsidRPr="00D4309F">
        <w:t>only</w:t>
      </w:r>
      <w:r w:rsidRPr="00D4309F">
        <w:rPr>
          <w:spacing w:val="-2"/>
        </w:rPr>
        <w:t xml:space="preserve"> </w:t>
      </w:r>
      <w:r w:rsidRPr="00D4309F">
        <w:t>minor,</w:t>
      </w:r>
      <w:r w:rsidRPr="00D4309F">
        <w:rPr>
          <w:spacing w:val="-3"/>
        </w:rPr>
        <w:t xml:space="preserve"> </w:t>
      </w:r>
      <w:r w:rsidRPr="00D4309F">
        <w:t>localized</w:t>
      </w:r>
      <w:r w:rsidRPr="00D4309F">
        <w:rPr>
          <w:spacing w:val="-3"/>
        </w:rPr>
        <w:t xml:space="preserve"> </w:t>
      </w:r>
      <w:r w:rsidRPr="00D4309F">
        <w:t>seabed</w:t>
      </w:r>
      <w:r w:rsidRPr="00D4309F">
        <w:rPr>
          <w:spacing w:val="-3"/>
        </w:rPr>
        <w:t xml:space="preserve"> </w:t>
      </w:r>
      <w:r w:rsidRPr="00D4309F">
        <w:t>effects,</w:t>
      </w:r>
      <w:r w:rsidRPr="00D4309F">
        <w:rPr>
          <w:spacing w:val="-3"/>
        </w:rPr>
        <w:t xml:space="preserve"> </w:t>
      </w:r>
      <w:r w:rsidRPr="00D4309F">
        <w:t>and ongoing monitoring would confirm there are no unintended impacts on water quality or nearby habitats.</w:t>
      </w:r>
    </w:p>
    <w:p w14:paraId="5D1C2EEA" w14:textId="3FF33CD5" w:rsidR="00725977" w:rsidRPr="00D4309F" w:rsidRDefault="00725977" w:rsidP="00725977">
      <w:pPr>
        <w:pStyle w:val="BodyText"/>
      </w:pPr>
      <w:r w:rsidRPr="00D4309F">
        <w:t>Overall,</w:t>
      </w:r>
      <w:r w:rsidRPr="00D4309F">
        <w:rPr>
          <w:spacing w:val="-3"/>
        </w:rPr>
        <w:t xml:space="preserve"> </w:t>
      </w:r>
      <w:r w:rsidRPr="00D4309F">
        <w:t>the</w:t>
      </w:r>
      <w:r w:rsidRPr="00D4309F">
        <w:rPr>
          <w:spacing w:val="-3"/>
        </w:rPr>
        <w:t xml:space="preserve"> </w:t>
      </w:r>
      <w:r w:rsidRPr="00D4309F">
        <w:t>system</w:t>
      </w:r>
      <w:r w:rsidRPr="00D4309F">
        <w:rPr>
          <w:spacing w:val="-3"/>
        </w:rPr>
        <w:t xml:space="preserve"> </w:t>
      </w:r>
      <w:r w:rsidRPr="00D4309F">
        <w:t>represents</w:t>
      </w:r>
      <w:r w:rsidRPr="00D4309F">
        <w:rPr>
          <w:spacing w:val="-2"/>
        </w:rPr>
        <w:t xml:space="preserve"> </w:t>
      </w:r>
      <w:r w:rsidRPr="00D4309F">
        <w:t>a</w:t>
      </w:r>
      <w:r w:rsidRPr="00D4309F">
        <w:rPr>
          <w:spacing w:val="-3"/>
        </w:rPr>
        <w:t xml:space="preserve"> </w:t>
      </w:r>
      <w:r w:rsidRPr="00D4309F">
        <w:t>lower-impact</w:t>
      </w:r>
      <w:r w:rsidRPr="00D4309F">
        <w:rPr>
          <w:spacing w:val="-3"/>
        </w:rPr>
        <w:t xml:space="preserve"> </w:t>
      </w:r>
      <w:r w:rsidRPr="00D4309F">
        <w:t>and</w:t>
      </w:r>
      <w:r w:rsidRPr="00D4309F">
        <w:rPr>
          <w:spacing w:val="-3"/>
        </w:rPr>
        <w:t xml:space="preserve"> </w:t>
      </w:r>
      <w:r w:rsidRPr="00D4309F">
        <w:t>more</w:t>
      </w:r>
      <w:r w:rsidRPr="00D4309F">
        <w:rPr>
          <w:spacing w:val="-3"/>
        </w:rPr>
        <w:t xml:space="preserve"> </w:t>
      </w:r>
      <w:r w:rsidRPr="00D4309F">
        <w:t>sustainable</w:t>
      </w:r>
      <w:r w:rsidRPr="00D4309F">
        <w:rPr>
          <w:spacing w:val="-3"/>
        </w:rPr>
        <w:t xml:space="preserve"> </w:t>
      </w:r>
      <w:r w:rsidRPr="00D4309F">
        <w:t>alternative</w:t>
      </w:r>
      <w:r w:rsidRPr="00D4309F">
        <w:rPr>
          <w:spacing w:val="-4"/>
        </w:rPr>
        <w:t xml:space="preserve"> </w:t>
      </w:r>
      <w:r w:rsidRPr="00D4309F">
        <w:t>for</w:t>
      </w:r>
      <w:r w:rsidRPr="00D4309F">
        <w:rPr>
          <w:spacing w:val="-2"/>
        </w:rPr>
        <w:t xml:space="preserve"> </w:t>
      </w:r>
      <w:r w:rsidRPr="00D4309F">
        <w:t>ongoing</w:t>
      </w:r>
      <w:r w:rsidRPr="00D4309F">
        <w:rPr>
          <w:spacing w:val="-3"/>
        </w:rPr>
        <w:t xml:space="preserve"> </w:t>
      </w:r>
      <w:r w:rsidRPr="00D4309F">
        <w:t xml:space="preserve">sediment </w:t>
      </w:r>
      <w:r w:rsidRPr="00D4309F">
        <w:rPr>
          <w:spacing w:val="-2"/>
        </w:rPr>
        <w:t>transfer.</w:t>
      </w:r>
    </w:p>
    <w:p w14:paraId="1D40BEAC" w14:textId="77777777" w:rsidR="00725977" w:rsidRPr="00D4309F" w:rsidRDefault="00725977" w:rsidP="008228CB">
      <w:pPr>
        <w:pStyle w:val="Heading3"/>
      </w:pPr>
      <w:bookmarkStart w:id="367" w:name="_Toc216699433"/>
      <w:r w:rsidRPr="00D4309F">
        <w:t>Social</w:t>
      </w:r>
      <w:r w:rsidRPr="00D4309F">
        <w:rPr>
          <w:spacing w:val="-3"/>
        </w:rPr>
        <w:t xml:space="preserve"> </w:t>
      </w:r>
      <w:r w:rsidRPr="00D4309F">
        <w:rPr>
          <w:spacing w:val="-2"/>
        </w:rPr>
        <w:t>impacts</w:t>
      </w:r>
      <w:bookmarkEnd w:id="367"/>
    </w:p>
    <w:p w14:paraId="57DF8308" w14:textId="77777777" w:rsidR="00725977" w:rsidRPr="00D4309F" w:rsidRDefault="00725977" w:rsidP="00725977">
      <w:pPr>
        <w:pStyle w:val="BodyText"/>
      </w:pPr>
      <w:r w:rsidRPr="00D4309F">
        <w:t>Option 2C is expected to generate social value with three positive impacts ranked as high in the SIE assessment, including: safer channel access through reduced shoaling, improved economic outcomes through</w:t>
      </w:r>
      <w:r w:rsidRPr="00D4309F">
        <w:rPr>
          <w:spacing w:val="-3"/>
        </w:rPr>
        <w:t xml:space="preserve"> </w:t>
      </w:r>
      <w:r w:rsidRPr="00D4309F">
        <w:t>more</w:t>
      </w:r>
      <w:r w:rsidRPr="00D4309F">
        <w:rPr>
          <w:spacing w:val="-4"/>
        </w:rPr>
        <w:t xml:space="preserve"> </w:t>
      </w:r>
      <w:r w:rsidRPr="00D4309F">
        <w:t>reliable</w:t>
      </w:r>
      <w:r w:rsidRPr="00D4309F">
        <w:rPr>
          <w:spacing w:val="-4"/>
        </w:rPr>
        <w:t xml:space="preserve"> </w:t>
      </w:r>
      <w:r w:rsidRPr="00D4309F">
        <w:t>channel</w:t>
      </w:r>
      <w:r w:rsidRPr="00D4309F">
        <w:rPr>
          <w:spacing w:val="-3"/>
        </w:rPr>
        <w:t xml:space="preserve"> </w:t>
      </w:r>
      <w:r w:rsidRPr="00D4309F">
        <w:t>access</w:t>
      </w:r>
      <w:r w:rsidRPr="00D4309F">
        <w:rPr>
          <w:spacing w:val="-3"/>
        </w:rPr>
        <w:t xml:space="preserve"> </w:t>
      </w:r>
      <w:r w:rsidRPr="00D4309F">
        <w:t>and</w:t>
      </w:r>
      <w:r w:rsidRPr="00D4309F">
        <w:rPr>
          <w:spacing w:val="-3"/>
        </w:rPr>
        <w:t xml:space="preserve"> </w:t>
      </w:r>
      <w:r w:rsidRPr="00D4309F">
        <w:t>increased</w:t>
      </w:r>
      <w:r w:rsidRPr="00D4309F">
        <w:rPr>
          <w:spacing w:val="-3"/>
        </w:rPr>
        <w:t xml:space="preserve"> </w:t>
      </w:r>
      <w:r w:rsidRPr="00D4309F">
        <w:t>frequency</w:t>
      </w:r>
      <w:r w:rsidRPr="00D4309F">
        <w:rPr>
          <w:spacing w:val="-2"/>
        </w:rPr>
        <w:t xml:space="preserve"> </w:t>
      </w:r>
      <w:r w:rsidRPr="00D4309F">
        <w:t>of</w:t>
      </w:r>
      <w:r w:rsidRPr="00D4309F">
        <w:rPr>
          <w:spacing w:val="-3"/>
        </w:rPr>
        <w:t xml:space="preserve"> </w:t>
      </w:r>
      <w:r w:rsidRPr="00D4309F">
        <w:t>sand</w:t>
      </w:r>
      <w:r w:rsidRPr="00D4309F">
        <w:rPr>
          <w:spacing w:val="-3"/>
        </w:rPr>
        <w:t xml:space="preserve"> </w:t>
      </w:r>
      <w:r w:rsidRPr="00D4309F">
        <w:t>placement</w:t>
      </w:r>
      <w:r w:rsidRPr="00D4309F">
        <w:rPr>
          <w:spacing w:val="-3"/>
        </w:rPr>
        <w:t xml:space="preserve"> </w:t>
      </w:r>
      <w:r w:rsidRPr="00D4309F">
        <w:t>for</w:t>
      </w:r>
      <w:r w:rsidRPr="00D4309F">
        <w:rPr>
          <w:spacing w:val="-2"/>
        </w:rPr>
        <w:t xml:space="preserve"> </w:t>
      </w:r>
      <w:r w:rsidRPr="00D4309F">
        <w:t>beach</w:t>
      </w:r>
      <w:r w:rsidRPr="00D4309F">
        <w:rPr>
          <w:spacing w:val="-3"/>
        </w:rPr>
        <w:t xml:space="preserve"> </w:t>
      </w:r>
      <w:r w:rsidRPr="00D4309F">
        <w:t>nourishment.</w:t>
      </w:r>
    </w:p>
    <w:p w14:paraId="4599988A" w14:textId="27B9BFE9" w:rsidR="00725977" w:rsidRPr="00D4309F" w:rsidRDefault="00725977" w:rsidP="00725977">
      <w:pPr>
        <w:pStyle w:val="BodyText"/>
      </w:pPr>
      <w:r w:rsidRPr="00D4309F">
        <w:t>When compared to the baseline, there</w:t>
      </w:r>
      <w:r w:rsidRPr="00D4309F">
        <w:rPr>
          <w:spacing w:val="-1"/>
        </w:rPr>
        <w:t xml:space="preserve"> </w:t>
      </w:r>
      <w:r w:rsidRPr="00D4309F">
        <w:t>were 11 negative social impacts identified, however, after mitigation measures were considered, there were four which may be of high concern to the community and stakeholders, including: potential negative environmental impacts, potential visual impacts, risks to pump infrastructure from severe weather and potential noise during pump operation. Further mitigations must be undertaken</w:t>
      </w:r>
      <w:r w:rsidRPr="00D4309F">
        <w:rPr>
          <w:spacing w:val="-3"/>
        </w:rPr>
        <w:t xml:space="preserve"> </w:t>
      </w:r>
      <w:r w:rsidRPr="00D4309F">
        <w:t>to</w:t>
      </w:r>
      <w:r w:rsidRPr="00D4309F">
        <w:rPr>
          <w:spacing w:val="-4"/>
        </w:rPr>
        <w:t xml:space="preserve"> </w:t>
      </w:r>
      <w:r w:rsidRPr="00D4309F">
        <w:t>reduce</w:t>
      </w:r>
      <w:r w:rsidRPr="00D4309F">
        <w:rPr>
          <w:spacing w:val="-3"/>
        </w:rPr>
        <w:t xml:space="preserve"> </w:t>
      </w:r>
      <w:r w:rsidRPr="00D4309F">
        <w:t>potential</w:t>
      </w:r>
      <w:r w:rsidRPr="00D4309F">
        <w:rPr>
          <w:spacing w:val="-3"/>
        </w:rPr>
        <w:t xml:space="preserve"> </w:t>
      </w:r>
      <w:r w:rsidRPr="00D4309F">
        <w:t>negative</w:t>
      </w:r>
      <w:r w:rsidRPr="00D4309F">
        <w:rPr>
          <w:spacing w:val="-3"/>
        </w:rPr>
        <w:t xml:space="preserve"> </w:t>
      </w:r>
      <w:r w:rsidRPr="00D4309F">
        <w:t>social</w:t>
      </w:r>
      <w:r w:rsidRPr="00D4309F">
        <w:rPr>
          <w:spacing w:val="-3"/>
        </w:rPr>
        <w:t xml:space="preserve"> </w:t>
      </w:r>
      <w:r w:rsidRPr="00D4309F">
        <w:t>impacts</w:t>
      </w:r>
      <w:r w:rsidRPr="00D4309F">
        <w:rPr>
          <w:spacing w:val="-2"/>
        </w:rPr>
        <w:t xml:space="preserve"> </w:t>
      </w:r>
      <w:r w:rsidRPr="00D4309F">
        <w:t>including</w:t>
      </w:r>
      <w:r w:rsidRPr="00D4309F">
        <w:rPr>
          <w:spacing w:val="-3"/>
        </w:rPr>
        <w:t xml:space="preserve"> </w:t>
      </w:r>
      <w:r w:rsidRPr="00D4309F">
        <w:t>environmental</w:t>
      </w:r>
      <w:r w:rsidRPr="00D4309F">
        <w:rPr>
          <w:spacing w:val="-3"/>
        </w:rPr>
        <w:t xml:space="preserve"> </w:t>
      </w:r>
      <w:r w:rsidRPr="00D4309F">
        <w:t>assessments,</w:t>
      </w:r>
      <w:r w:rsidRPr="00D4309F">
        <w:rPr>
          <w:spacing w:val="-6"/>
        </w:rPr>
        <w:t xml:space="preserve"> </w:t>
      </w:r>
      <w:r w:rsidRPr="00D4309F">
        <w:t>visual</w:t>
      </w:r>
      <w:r w:rsidRPr="00D4309F">
        <w:rPr>
          <w:spacing w:val="-3"/>
        </w:rPr>
        <w:t xml:space="preserve"> </w:t>
      </w:r>
      <w:r w:rsidRPr="00D4309F">
        <w:t>impact assessments, management plans, silt curtains and broader community and stakeholder engagement.</w:t>
      </w:r>
    </w:p>
    <w:p w14:paraId="307DC3B8" w14:textId="77777777" w:rsidR="00725977" w:rsidRPr="00D4309F" w:rsidRDefault="00725977" w:rsidP="008228CB">
      <w:pPr>
        <w:pStyle w:val="Heading3"/>
      </w:pPr>
      <w:bookmarkStart w:id="368" w:name="_Toc216699434"/>
      <w:r w:rsidRPr="00D4309F">
        <w:t>Economic</w:t>
      </w:r>
      <w:r w:rsidRPr="00D4309F">
        <w:rPr>
          <w:spacing w:val="-4"/>
        </w:rPr>
        <w:t xml:space="preserve"> </w:t>
      </w:r>
      <w:r w:rsidRPr="00D4309F">
        <w:rPr>
          <w:spacing w:val="-2"/>
        </w:rPr>
        <w:t>impacts</w:t>
      </w:r>
      <w:bookmarkEnd w:id="368"/>
    </w:p>
    <w:p w14:paraId="63CA3EA9" w14:textId="77777777" w:rsidR="00725977" w:rsidRPr="00D4309F" w:rsidRDefault="00725977" w:rsidP="00725977">
      <w:pPr>
        <w:pStyle w:val="BodyText"/>
      </w:pPr>
      <w:r w:rsidRPr="00D4309F">
        <w:t>Option</w:t>
      </w:r>
      <w:r w:rsidRPr="00D4309F">
        <w:rPr>
          <w:spacing w:val="-2"/>
        </w:rPr>
        <w:t xml:space="preserve"> </w:t>
      </w:r>
      <w:r w:rsidRPr="00D4309F">
        <w:t>2C</w:t>
      </w:r>
      <w:r w:rsidRPr="00D4309F">
        <w:rPr>
          <w:spacing w:val="-1"/>
        </w:rPr>
        <w:t xml:space="preserve"> </w:t>
      </w:r>
      <w:r w:rsidRPr="00D4309F">
        <w:t>is</w:t>
      </w:r>
      <w:r w:rsidRPr="00D4309F">
        <w:rPr>
          <w:spacing w:val="-2"/>
        </w:rPr>
        <w:t xml:space="preserve"> </w:t>
      </w:r>
      <w:r w:rsidRPr="00D4309F">
        <w:t>expected</w:t>
      </w:r>
      <w:r w:rsidRPr="00D4309F">
        <w:rPr>
          <w:spacing w:val="-2"/>
        </w:rPr>
        <w:t xml:space="preserve"> </w:t>
      </w:r>
      <w:r w:rsidRPr="00D4309F">
        <w:t>to</w:t>
      </w:r>
      <w:r w:rsidRPr="00D4309F">
        <w:rPr>
          <w:spacing w:val="-2"/>
        </w:rPr>
        <w:t xml:space="preserve"> </w:t>
      </w:r>
      <w:r w:rsidRPr="00D4309F">
        <w:t>have</w:t>
      </w:r>
      <w:r w:rsidRPr="00D4309F">
        <w:rPr>
          <w:spacing w:val="-2"/>
        </w:rPr>
        <w:t xml:space="preserve"> </w:t>
      </w:r>
      <w:r w:rsidRPr="00D4309F">
        <w:t>a</w:t>
      </w:r>
      <w:r w:rsidRPr="00D4309F">
        <w:rPr>
          <w:spacing w:val="-2"/>
        </w:rPr>
        <w:t xml:space="preserve"> </w:t>
      </w:r>
      <w:r w:rsidRPr="00D4309F">
        <w:t>low</w:t>
      </w:r>
      <w:r w:rsidRPr="00D4309F">
        <w:rPr>
          <w:spacing w:val="-1"/>
        </w:rPr>
        <w:t xml:space="preserve"> </w:t>
      </w:r>
      <w:r w:rsidRPr="00D4309F">
        <w:t>to</w:t>
      </w:r>
      <w:r w:rsidRPr="00D4309F">
        <w:rPr>
          <w:spacing w:val="-2"/>
        </w:rPr>
        <w:t xml:space="preserve"> </w:t>
      </w:r>
      <w:r w:rsidRPr="00D4309F">
        <w:t>moderate</w:t>
      </w:r>
      <w:r w:rsidRPr="00D4309F">
        <w:rPr>
          <w:spacing w:val="-2"/>
        </w:rPr>
        <w:t xml:space="preserve"> </w:t>
      </w:r>
      <w:r w:rsidRPr="00D4309F">
        <w:t>economic</w:t>
      </w:r>
      <w:r w:rsidRPr="00D4309F">
        <w:rPr>
          <w:spacing w:val="-1"/>
        </w:rPr>
        <w:t xml:space="preserve"> </w:t>
      </w:r>
      <w:r w:rsidRPr="00D4309F">
        <w:t>impact</w:t>
      </w:r>
      <w:r w:rsidRPr="00D4309F">
        <w:rPr>
          <w:spacing w:val="-2"/>
        </w:rPr>
        <w:t xml:space="preserve"> </w:t>
      </w:r>
      <w:r w:rsidRPr="00D4309F">
        <w:t>compared</w:t>
      </w:r>
      <w:r w:rsidRPr="00D4309F">
        <w:rPr>
          <w:spacing w:val="-2"/>
        </w:rPr>
        <w:t xml:space="preserve"> </w:t>
      </w:r>
      <w:r w:rsidRPr="00D4309F">
        <w:t>with</w:t>
      </w:r>
      <w:r w:rsidRPr="00D4309F">
        <w:rPr>
          <w:spacing w:val="-2"/>
        </w:rPr>
        <w:t xml:space="preserve"> </w:t>
      </w:r>
      <w:r w:rsidRPr="00D4309F">
        <w:t>the</w:t>
      </w:r>
      <w:r w:rsidRPr="00D4309F">
        <w:rPr>
          <w:spacing w:val="-2"/>
        </w:rPr>
        <w:t xml:space="preserve"> </w:t>
      </w:r>
      <w:r w:rsidRPr="00D4309F">
        <w:t>current</w:t>
      </w:r>
      <w:r w:rsidRPr="00D4309F">
        <w:rPr>
          <w:spacing w:val="-4"/>
        </w:rPr>
        <w:t xml:space="preserve"> </w:t>
      </w:r>
      <w:r w:rsidRPr="00D4309F">
        <w:t>approach.</w:t>
      </w:r>
      <w:r w:rsidRPr="00D4309F">
        <w:rPr>
          <w:spacing w:val="-2"/>
        </w:rPr>
        <w:t xml:space="preserve"> </w:t>
      </w:r>
      <w:r w:rsidRPr="00D4309F">
        <w:t>The project will reduce shoaling at the harbour entrance improving channel access and reliability for users in the long-term. This enhancement will allow both commercial and recreational vessels to navigate the channel without interruption, reducing delays and minimising reliance on emergency maintenance dredging. By ensuring</w:t>
      </w:r>
      <w:r w:rsidRPr="00D4309F">
        <w:rPr>
          <w:spacing w:val="-3"/>
        </w:rPr>
        <w:t xml:space="preserve"> </w:t>
      </w:r>
      <w:r w:rsidRPr="00D4309F">
        <w:t>consistent</w:t>
      </w:r>
      <w:r w:rsidRPr="00D4309F">
        <w:rPr>
          <w:spacing w:val="-3"/>
        </w:rPr>
        <w:t xml:space="preserve"> </w:t>
      </w:r>
      <w:r w:rsidRPr="00D4309F">
        <w:t>access,</w:t>
      </w:r>
      <w:r w:rsidRPr="00D4309F">
        <w:rPr>
          <w:spacing w:val="-3"/>
        </w:rPr>
        <w:t xml:space="preserve"> </w:t>
      </w:r>
      <w:r w:rsidRPr="00D4309F">
        <w:t>the</w:t>
      </w:r>
      <w:r w:rsidRPr="00D4309F">
        <w:rPr>
          <w:spacing w:val="-3"/>
        </w:rPr>
        <w:t xml:space="preserve"> </w:t>
      </w:r>
      <w:r w:rsidRPr="00D4309F">
        <w:t>project</w:t>
      </w:r>
      <w:r w:rsidRPr="00D4309F">
        <w:rPr>
          <w:spacing w:val="-5"/>
        </w:rPr>
        <w:t xml:space="preserve"> </w:t>
      </w:r>
      <w:r w:rsidRPr="00D4309F">
        <w:t>supports</w:t>
      </w:r>
      <w:r w:rsidRPr="00D4309F">
        <w:rPr>
          <w:spacing w:val="-2"/>
        </w:rPr>
        <w:t xml:space="preserve"> </w:t>
      </w:r>
      <w:r w:rsidRPr="00D4309F">
        <w:t>safer</w:t>
      </w:r>
      <w:r w:rsidRPr="00D4309F">
        <w:rPr>
          <w:spacing w:val="-2"/>
        </w:rPr>
        <w:t xml:space="preserve"> </w:t>
      </w:r>
      <w:r w:rsidRPr="00D4309F">
        <w:t>operations</w:t>
      </w:r>
      <w:r w:rsidRPr="00D4309F">
        <w:rPr>
          <w:spacing w:val="-2"/>
        </w:rPr>
        <w:t xml:space="preserve"> </w:t>
      </w:r>
      <w:r w:rsidRPr="00D4309F">
        <w:t>and</w:t>
      </w:r>
      <w:r w:rsidRPr="00D4309F">
        <w:rPr>
          <w:spacing w:val="-3"/>
        </w:rPr>
        <w:t xml:space="preserve"> </w:t>
      </w:r>
      <w:r w:rsidRPr="00D4309F">
        <w:t>greater</w:t>
      </w:r>
      <w:r w:rsidRPr="00D4309F">
        <w:rPr>
          <w:spacing w:val="-4"/>
        </w:rPr>
        <w:t xml:space="preserve"> </w:t>
      </w:r>
      <w:r w:rsidRPr="00D4309F">
        <w:t>confidence</w:t>
      </w:r>
      <w:r w:rsidRPr="00D4309F">
        <w:rPr>
          <w:spacing w:val="-3"/>
        </w:rPr>
        <w:t xml:space="preserve"> </w:t>
      </w:r>
      <w:r w:rsidRPr="00D4309F">
        <w:t>for</w:t>
      </w:r>
      <w:r w:rsidRPr="00D4309F">
        <w:rPr>
          <w:spacing w:val="-4"/>
        </w:rPr>
        <w:t xml:space="preserve"> </w:t>
      </w:r>
      <w:r w:rsidRPr="00D4309F">
        <w:t>businesses</w:t>
      </w:r>
      <w:r w:rsidRPr="00D4309F">
        <w:rPr>
          <w:spacing w:val="-2"/>
        </w:rPr>
        <w:t xml:space="preserve"> </w:t>
      </w:r>
      <w:r w:rsidRPr="00D4309F">
        <w:t>and the boating community.</w:t>
      </w:r>
    </w:p>
    <w:p w14:paraId="60D2CAE9" w14:textId="77777777" w:rsidR="00725977" w:rsidRPr="00D4309F" w:rsidRDefault="00725977" w:rsidP="00725977">
      <w:pPr>
        <w:pStyle w:val="BodyText"/>
      </w:pPr>
      <w:r w:rsidRPr="00D4309F">
        <w:t>The project involves installing a pump station and an onshore pipeline to transfer sand from the trap to Mooloolaba Beach for nourishment. While this sand nourishment will enhance beach amenity and provide long-term coastal protection, these benefits may be partially offset by operation and the ongoing presence of infrastructure.</w:t>
      </w:r>
      <w:r w:rsidRPr="00D4309F">
        <w:rPr>
          <w:spacing w:val="-4"/>
        </w:rPr>
        <w:t xml:space="preserve"> </w:t>
      </w:r>
      <w:r w:rsidRPr="00D4309F">
        <w:t>Potential</w:t>
      </w:r>
      <w:r w:rsidRPr="00D4309F">
        <w:rPr>
          <w:spacing w:val="-3"/>
        </w:rPr>
        <w:t xml:space="preserve"> </w:t>
      </w:r>
      <w:r w:rsidRPr="00D4309F">
        <w:t>concerns</w:t>
      </w:r>
      <w:r w:rsidRPr="00D4309F">
        <w:rPr>
          <w:spacing w:val="-2"/>
        </w:rPr>
        <w:t xml:space="preserve"> </w:t>
      </w:r>
      <w:r w:rsidRPr="00D4309F">
        <w:t>include</w:t>
      </w:r>
      <w:r w:rsidRPr="00D4309F">
        <w:rPr>
          <w:spacing w:val="-4"/>
        </w:rPr>
        <w:t xml:space="preserve"> </w:t>
      </w:r>
      <w:r w:rsidRPr="00D4309F">
        <w:t>noise</w:t>
      </w:r>
      <w:r w:rsidRPr="00D4309F">
        <w:rPr>
          <w:spacing w:val="-3"/>
        </w:rPr>
        <w:t xml:space="preserve"> </w:t>
      </w:r>
      <w:r w:rsidRPr="00D4309F">
        <w:t>from</w:t>
      </w:r>
      <w:r w:rsidRPr="00D4309F">
        <w:rPr>
          <w:spacing w:val="-3"/>
        </w:rPr>
        <w:t xml:space="preserve"> </w:t>
      </w:r>
      <w:r w:rsidRPr="00D4309F">
        <w:t>pump</w:t>
      </w:r>
      <w:r w:rsidRPr="00D4309F">
        <w:rPr>
          <w:spacing w:val="-3"/>
        </w:rPr>
        <w:t xml:space="preserve"> </w:t>
      </w:r>
      <w:r w:rsidRPr="00D4309F">
        <w:t>operations</w:t>
      </w:r>
      <w:r w:rsidRPr="00D4309F">
        <w:rPr>
          <w:spacing w:val="-2"/>
        </w:rPr>
        <w:t xml:space="preserve"> </w:t>
      </w:r>
      <w:r w:rsidRPr="00D4309F">
        <w:t>and</w:t>
      </w:r>
      <w:r w:rsidRPr="00D4309F">
        <w:rPr>
          <w:spacing w:val="-3"/>
        </w:rPr>
        <w:t xml:space="preserve"> </w:t>
      </w:r>
      <w:r w:rsidRPr="00D4309F">
        <w:t>reduced</w:t>
      </w:r>
      <w:r w:rsidRPr="00D4309F">
        <w:rPr>
          <w:spacing w:val="-3"/>
        </w:rPr>
        <w:t xml:space="preserve"> </w:t>
      </w:r>
      <w:r w:rsidRPr="00D4309F">
        <w:t>visual</w:t>
      </w:r>
      <w:r w:rsidRPr="00D4309F">
        <w:rPr>
          <w:spacing w:val="-3"/>
        </w:rPr>
        <w:t xml:space="preserve"> </w:t>
      </w:r>
      <w:r w:rsidRPr="00D4309F">
        <w:t>amenity,</w:t>
      </w:r>
      <w:r w:rsidRPr="00D4309F">
        <w:rPr>
          <w:spacing w:val="-3"/>
        </w:rPr>
        <w:t xml:space="preserve"> </w:t>
      </w:r>
      <w:r w:rsidRPr="00D4309F">
        <w:t>as</w:t>
      </w:r>
      <w:r w:rsidRPr="00D4309F">
        <w:rPr>
          <w:spacing w:val="-3"/>
        </w:rPr>
        <w:t xml:space="preserve"> </w:t>
      </w:r>
      <w:r w:rsidRPr="00D4309F">
        <w:t>well</w:t>
      </w:r>
      <w:r w:rsidRPr="00D4309F">
        <w:rPr>
          <w:spacing w:val="-4"/>
        </w:rPr>
        <w:t xml:space="preserve"> </w:t>
      </w:r>
      <w:r w:rsidRPr="00D4309F">
        <w:t>as the occupation of space adjacent to the national park.</w:t>
      </w:r>
    </w:p>
    <w:p w14:paraId="11BF2D9B" w14:textId="77777777" w:rsidR="00725977" w:rsidRPr="00D4309F" w:rsidRDefault="00725977" w:rsidP="00725977">
      <w:pPr>
        <w:pStyle w:val="BodyText"/>
      </w:pPr>
      <w:r w:rsidRPr="00D4309F">
        <w:t>During construction, temporary changes to channel access may occur, affecting recreational boaters and commercial operators who use the harbour entrance. Onshore rock fishing at the breakwater and Point Cartwright may also be impacted due to reduced fishing locations and safety requirements during works. These disruptions could lead to fewer</w:t>
      </w:r>
      <w:r w:rsidRPr="00D4309F">
        <w:rPr>
          <w:spacing w:val="-1"/>
        </w:rPr>
        <w:t xml:space="preserve"> </w:t>
      </w:r>
      <w:r w:rsidRPr="00D4309F">
        <w:t>visitors during the construction period, with</w:t>
      </w:r>
      <w:r w:rsidRPr="00D4309F">
        <w:rPr>
          <w:spacing w:val="-1"/>
        </w:rPr>
        <w:t xml:space="preserve"> </w:t>
      </w:r>
      <w:r w:rsidRPr="00D4309F">
        <w:t>some</w:t>
      </w:r>
      <w:r w:rsidRPr="00D4309F">
        <w:rPr>
          <w:spacing w:val="-1"/>
        </w:rPr>
        <w:t xml:space="preserve"> </w:t>
      </w:r>
      <w:r w:rsidRPr="00D4309F">
        <w:t>choosing alternative destinations on the Sunshine Coast or other coastal areas. This may result in short-term reductions in local spending,</w:t>
      </w:r>
      <w:r w:rsidRPr="00D4309F">
        <w:rPr>
          <w:spacing w:val="-3"/>
        </w:rPr>
        <w:t xml:space="preserve"> </w:t>
      </w:r>
      <w:r w:rsidRPr="00D4309F">
        <w:t>affecting</w:t>
      </w:r>
      <w:r w:rsidRPr="00D4309F">
        <w:rPr>
          <w:spacing w:val="-3"/>
        </w:rPr>
        <w:t xml:space="preserve"> </w:t>
      </w:r>
      <w:r w:rsidRPr="00D4309F">
        <w:t>nearby</w:t>
      </w:r>
      <w:r w:rsidRPr="00D4309F">
        <w:rPr>
          <w:spacing w:val="-3"/>
        </w:rPr>
        <w:t xml:space="preserve"> </w:t>
      </w:r>
      <w:r w:rsidRPr="00D4309F">
        <w:t>businesses;</w:t>
      </w:r>
      <w:r w:rsidRPr="00D4309F">
        <w:rPr>
          <w:spacing w:val="-3"/>
        </w:rPr>
        <w:t xml:space="preserve"> </w:t>
      </w:r>
      <w:r w:rsidRPr="00D4309F">
        <w:t>however,</w:t>
      </w:r>
      <w:r w:rsidRPr="00D4309F">
        <w:rPr>
          <w:spacing w:val="-3"/>
        </w:rPr>
        <w:t xml:space="preserve"> </w:t>
      </w:r>
      <w:r w:rsidRPr="00D4309F">
        <w:t>these</w:t>
      </w:r>
      <w:r w:rsidRPr="00D4309F">
        <w:rPr>
          <w:spacing w:val="-3"/>
        </w:rPr>
        <w:t xml:space="preserve"> </w:t>
      </w:r>
      <w:r w:rsidRPr="00D4309F">
        <w:t>impacts</w:t>
      </w:r>
      <w:r w:rsidRPr="00D4309F">
        <w:rPr>
          <w:spacing w:val="-2"/>
        </w:rPr>
        <w:t xml:space="preserve"> </w:t>
      </w:r>
      <w:r w:rsidRPr="00D4309F">
        <w:t>are</w:t>
      </w:r>
      <w:r w:rsidRPr="00D4309F">
        <w:rPr>
          <w:spacing w:val="-3"/>
        </w:rPr>
        <w:t xml:space="preserve"> </w:t>
      </w:r>
      <w:r w:rsidRPr="00D4309F">
        <w:t>expected</w:t>
      </w:r>
      <w:r w:rsidRPr="00D4309F">
        <w:rPr>
          <w:spacing w:val="-3"/>
        </w:rPr>
        <w:t xml:space="preserve"> </w:t>
      </w:r>
      <w:r w:rsidRPr="00D4309F">
        <w:t>to</w:t>
      </w:r>
      <w:r w:rsidRPr="00D4309F">
        <w:rPr>
          <w:spacing w:val="-3"/>
        </w:rPr>
        <w:t xml:space="preserve"> </w:t>
      </w:r>
      <w:r w:rsidRPr="00D4309F">
        <w:t>be</w:t>
      </w:r>
      <w:r w:rsidRPr="00D4309F">
        <w:rPr>
          <w:spacing w:val="-3"/>
        </w:rPr>
        <w:t xml:space="preserve"> </w:t>
      </w:r>
      <w:r w:rsidRPr="00D4309F">
        <w:t>temporary</w:t>
      </w:r>
      <w:r w:rsidRPr="00D4309F">
        <w:rPr>
          <w:spacing w:val="-2"/>
        </w:rPr>
        <w:t xml:space="preserve"> </w:t>
      </w:r>
      <w:r w:rsidRPr="00D4309F">
        <w:t>and</w:t>
      </w:r>
      <w:r w:rsidRPr="00D4309F">
        <w:rPr>
          <w:spacing w:val="-3"/>
        </w:rPr>
        <w:t xml:space="preserve"> </w:t>
      </w:r>
      <w:r w:rsidRPr="00D4309F">
        <w:t>managed to minimise disruption.</w:t>
      </w:r>
    </w:p>
    <w:p w14:paraId="253199FA" w14:textId="4DCC0FD8" w:rsidR="00900F80" w:rsidRPr="00D4309F" w:rsidRDefault="00725977" w:rsidP="00725977">
      <w:pPr>
        <w:pStyle w:val="BodyText"/>
      </w:pPr>
      <w:r w:rsidRPr="00D4309F">
        <w:t>In the longer term, Option 2C may result in changes to tidal patterns that influence wave conditions at Mooloolaba Beach. These changes could lead to a decline in surf quality, particularly to the north of the harbour, where wave energy may be reduced. A reduction in surf conditions could affect the area’s reputation as a popular surfing destination, potentially decreasing visitation over time. This decline in visitor numbers may have flow-on effects for local businesses that rely on tourism and recreational activity, including accommodation providers, cafes, and surf-related enterprises. While these impacts are uncertain and</w:t>
      </w:r>
      <w:r w:rsidRPr="00D4309F">
        <w:rPr>
          <w:spacing w:val="-3"/>
        </w:rPr>
        <w:t xml:space="preserve"> </w:t>
      </w:r>
      <w:r w:rsidRPr="00D4309F">
        <w:t>dependent</w:t>
      </w:r>
      <w:r w:rsidRPr="00D4309F">
        <w:rPr>
          <w:spacing w:val="-3"/>
        </w:rPr>
        <w:t xml:space="preserve"> </w:t>
      </w:r>
      <w:r w:rsidRPr="00D4309F">
        <w:t>on</w:t>
      </w:r>
      <w:r w:rsidRPr="00D4309F">
        <w:rPr>
          <w:spacing w:val="-3"/>
        </w:rPr>
        <w:t xml:space="preserve"> </w:t>
      </w:r>
      <w:r w:rsidRPr="00D4309F">
        <w:t>the</w:t>
      </w:r>
      <w:r w:rsidRPr="00D4309F">
        <w:rPr>
          <w:spacing w:val="-3"/>
        </w:rPr>
        <w:t xml:space="preserve"> </w:t>
      </w:r>
      <w:r w:rsidRPr="00D4309F">
        <w:t>extent</w:t>
      </w:r>
      <w:r w:rsidRPr="00D4309F">
        <w:rPr>
          <w:spacing w:val="-3"/>
        </w:rPr>
        <w:t xml:space="preserve"> </w:t>
      </w:r>
      <w:r w:rsidRPr="00D4309F">
        <w:t>of</w:t>
      </w:r>
      <w:r w:rsidRPr="00D4309F">
        <w:rPr>
          <w:spacing w:val="-3"/>
        </w:rPr>
        <w:t xml:space="preserve"> </w:t>
      </w:r>
      <w:r w:rsidRPr="00D4309F">
        <w:t>tidal</w:t>
      </w:r>
      <w:r w:rsidRPr="00D4309F">
        <w:rPr>
          <w:spacing w:val="-3"/>
        </w:rPr>
        <w:t xml:space="preserve"> </w:t>
      </w:r>
      <w:r w:rsidRPr="00D4309F">
        <w:t>changes,</w:t>
      </w:r>
      <w:r w:rsidRPr="00D4309F">
        <w:rPr>
          <w:spacing w:val="-3"/>
        </w:rPr>
        <w:t xml:space="preserve"> </w:t>
      </w:r>
      <w:r w:rsidRPr="00D4309F">
        <w:t>they</w:t>
      </w:r>
      <w:r w:rsidRPr="00D4309F">
        <w:rPr>
          <w:spacing w:val="-2"/>
        </w:rPr>
        <w:t xml:space="preserve"> </w:t>
      </w:r>
      <w:r w:rsidRPr="00D4309F">
        <w:t>represent</w:t>
      </w:r>
      <w:r w:rsidRPr="00D4309F">
        <w:rPr>
          <w:spacing w:val="-3"/>
        </w:rPr>
        <w:t xml:space="preserve"> </w:t>
      </w:r>
      <w:r w:rsidRPr="00D4309F">
        <w:t>a</w:t>
      </w:r>
      <w:r w:rsidRPr="00D4309F">
        <w:rPr>
          <w:spacing w:val="-3"/>
        </w:rPr>
        <w:t xml:space="preserve"> </w:t>
      </w:r>
      <w:r w:rsidRPr="00D4309F">
        <w:t>potential</w:t>
      </w:r>
      <w:r w:rsidRPr="00D4309F">
        <w:rPr>
          <w:spacing w:val="-3"/>
        </w:rPr>
        <w:t xml:space="preserve"> </w:t>
      </w:r>
      <w:r w:rsidRPr="00D4309F">
        <w:t>long-term</w:t>
      </w:r>
      <w:r w:rsidRPr="00D4309F">
        <w:rPr>
          <w:spacing w:val="-3"/>
        </w:rPr>
        <w:t xml:space="preserve"> </w:t>
      </w:r>
      <w:r w:rsidRPr="00D4309F">
        <w:t>consideration</w:t>
      </w:r>
      <w:r w:rsidRPr="00D4309F">
        <w:rPr>
          <w:spacing w:val="-3"/>
        </w:rPr>
        <w:t xml:space="preserve"> </w:t>
      </w:r>
      <w:r w:rsidRPr="00D4309F">
        <w:t>for</w:t>
      </w:r>
      <w:r w:rsidRPr="00D4309F">
        <w:rPr>
          <w:spacing w:val="-2"/>
        </w:rPr>
        <w:t xml:space="preserve"> </w:t>
      </w:r>
      <w:r w:rsidRPr="00D4309F">
        <w:t>the</w:t>
      </w:r>
      <w:r w:rsidRPr="00D4309F">
        <w:rPr>
          <w:spacing w:val="-3"/>
        </w:rPr>
        <w:t xml:space="preserve"> </w:t>
      </w:r>
      <w:r w:rsidRPr="00D4309F">
        <w:t>local economy and community.</w:t>
      </w:r>
    </w:p>
    <w:p w14:paraId="467F9F49" w14:textId="77777777" w:rsidR="00725977" w:rsidRPr="00D4309F" w:rsidRDefault="00725977" w:rsidP="008228CB">
      <w:pPr>
        <w:pStyle w:val="Heading3"/>
      </w:pPr>
      <w:bookmarkStart w:id="369" w:name="_Toc216699435"/>
      <w:r w:rsidRPr="00D4309F">
        <w:lastRenderedPageBreak/>
        <w:t>Future</w:t>
      </w:r>
      <w:r w:rsidRPr="00D4309F">
        <w:rPr>
          <w:spacing w:val="-5"/>
        </w:rPr>
        <w:t xml:space="preserve"> </w:t>
      </w:r>
      <w:r w:rsidRPr="00D4309F">
        <w:t>adaption</w:t>
      </w:r>
      <w:bookmarkEnd w:id="369"/>
    </w:p>
    <w:p w14:paraId="290E8A10" w14:textId="77777777" w:rsidR="00725977" w:rsidRPr="00D4309F" w:rsidRDefault="00725977" w:rsidP="00725977">
      <w:pPr>
        <w:pStyle w:val="BodyText"/>
      </w:pPr>
      <w:r w:rsidRPr="00D4309F">
        <w:t>The</w:t>
      </w:r>
      <w:r w:rsidRPr="00D4309F">
        <w:rPr>
          <w:spacing w:val="-3"/>
        </w:rPr>
        <w:t xml:space="preserve"> </w:t>
      </w:r>
      <w:r w:rsidRPr="00D4309F">
        <w:t>combination</w:t>
      </w:r>
      <w:r w:rsidRPr="00D4309F">
        <w:rPr>
          <w:spacing w:val="-3"/>
        </w:rPr>
        <w:t xml:space="preserve"> </w:t>
      </w:r>
      <w:r w:rsidRPr="00D4309F">
        <w:t>of</w:t>
      </w:r>
      <w:r w:rsidRPr="00D4309F">
        <w:rPr>
          <w:spacing w:val="-3"/>
        </w:rPr>
        <w:t xml:space="preserve"> </w:t>
      </w:r>
      <w:r w:rsidRPr="00D4309F">
        <w:t>an</w:t>
      </w:r>
      <w:r w:rsidRPr="00D4309F">
        <w:rPr>
          <w:spacing w:val="-3"/>
        </w:rPr>
        <w:t xml:space="preserve"> </w:t>
      </w:r>
      <w:r w:rsidRPr="00D4309F">
        <w:t>excavated</w:t>
      </w:r>
      <w:r w:rsidRPr="00D4309F">
        <w:rPr>
          <w:spacing w:val="-3"/>
        </w:rPr>
        <w:t xml:space="preserve"> </w:t>
      </w:r>
      <w:r w:rsidRPr="00D4309F">
        <w:t>sand</w:t>
      </w:r>
      <w:r w:rsidRPr="00D4309F">
        <w:rPr>
          <w:spacing w:val="-3"/>
        </w:rPr>
        <w:t xml:space="preserve"> </w:t>
      </w:r>
      <w:r w:rsidRPr="00D4309F">
        <w:t>trap</w:t>
      </w:r>
      <w:r w:rsidRPr="00D4309F">
        <w:rPr>
          <w:spacing w:val="-3"/>
        </w:rPr>
        <w:t xml:space="preserve"> </w:t>
      </w:r>
      <w:r w:rsidRPr="00D4309F">
        <w:t>and</w:t>
      </w:r>
      <w:r w:rsidRPr="00D4309F">
        <w:rPr>
          <w:spacing w:val="-3"/>
        </w:rPr>
        <w:t xml:space="preserve"> </w:t>
      </w:r>
      <w:r w:rsidRPr="00D4309F">
        <w:t>semi-permanent</w:t>
      </w:r>
      <w:r w:rsidRPr="00D4309F">
        <w:rPr>
          <w:spacing w:val="-3"/>
        </w:rPr>
        <w:t xml:space="preserve"> </w:t>
      </w:r>
      <w:r w:rsidRPr="00D4309F">
        <w:t>pump</w:t>
      </w:r>
      <w:r w:rsidRPr="00D4309F">
        <w:rPr>
          <w:spacing w:val="-3"/>
        </w:rPr>
        <w:t xml:space="preserve"> </w:t>
      </w:r>
      <w:r w:rsidRPr="00D4309F">
        <w:t>system</w:t>
      </w:r>
      <w:r w:rsidRPr="00D4309F">
        <w:rPr>
          <w:spacing w:val="-3"/>
        </w:rPr>
        <w:t xml:space="preserve"> </w:t>
      </w:r>
      <w:r w:rsidRPr="00D4309F">
        <w:t>allows</w:t>
      </w:r>
      <w:r w:rsidRPr="00D4309F">
        <w:rPr>
          <w:spacing w:val="-2"/>
        </w:rPr>
        <w:t xml:space="preserve"> </w:t>
      </w:r>
      <w:r w:rsidRPr="00D4309F">
        <w:t>for</w:t>
      </w:r>
      <w:r w:rsidRPr="00D4309F">
        <w:rPr>
          <w:spacing w:val="-2"/>
        </w:rPr>
        <w:t xml:space="preserve"> </w:t>
      </w:r>
      <w:r w:rsidRPr="00D4309F">
        <w:t>flexible</w:t>
      </w:r>
      <w:r w:rsidRPr="00D4309F">
        <w:rPr>
          <w:spacing w:val="-3"/>
        </w:rPr>
        <w:t xml:space="preserve"> </w:t>
      </w:r>
      <w:r w:rsidRPr="00D4309F">
        <w:t>and scalable management that can evolve as sedimentation rates, storm patterns, or sea levels change.</w:t>
      </w:r>
    </w:p>
    <w:p w14:paraId="2DD359C9" w14:textId="77777777" w:rsidR="00725977" w:rsidRPr="00D4309F" w:rsidRDefault="00725977" w:rsidP="00725977">
      <w:pPr>
        <w:pStyle w:val="BodyText"/>
      </w:pPr>
      <w:r w:rsidRPr="00D4309F">
        <w:t>As</w:t>
      </w:r>
      <w:r w:rsidRPr="00D4309F">
        <w:rPr>
          <w:spacing w:val="-2"/>
        </w:rPr>
        <w:t xml:space="preserve"> </w:t>
      </w:r>
      <w:r w:rsidRPr="00D4309F">
        <w:t>sea-level</w:t>
      </w:r>
      <w:r w:rsidRPr="00D4309F">
        <w:rPr>
          <w:spacing w:val="-3"/>
        </w:rPr>
        <w:t xml:space="preserve"> </w:t>
      </w:r>
      <w:r w:rsidRPr="00D4309F">
        <w:t>rise</w:t>
      </w:r>
      <w:r w:rsidRPr="00D4309F">
        <w:rPr>
          <w:spacing w:val="-3"/>
        </w:rPr>
        <w:t xml:space="preserve"> </w:t>
      </w:r>
      <w:r w:rsidRPr="00D4309F">
        <w:t>and</w:t>
      </w:r>
      <w:r w:rsidRPr="00D4309F">
        <w:rPr>
          <w:spacing w:val="-3"/>
        </w:rPr>
        <w:t xml:space="preserve"> </w:t>
      </w:r>
      <w:r w:rsidRPr="00D4309F">
        <w:t>more</w:t>
      </w:r>
      <w:r w:rsidRPr="00D4309F">
        <w:rPr>
          <w:spacing w:val="-3"/>
        </w:rPr>
        <w:t xml:space="preserve"> </w:t>
      </w:r>
      <w:r w:rsidRPr="00D4309F">
        <w:t>frequent</w:t>
      </w:r>
      <w:r w:rsidRPr="00D4309F">
        <w:rPr>
          <w:spacing w:val="-3"/>
        </w:rPr>
        <w:t xml:space="preserve"> </w:t>
      </w:r>
      <w:r w:rsidRPr="00D4309F">
        <w:t>storm</w:t>
      </w:r>
      <w:r w:rsidRPr="00D4309F">
        <w:rPr>
          <w:spacing w:val="-3"/>
        </w:rPr>
        <w:t xml:space="preserve"> </w:t>
      </w:r>
      <w:r w:rsidRPr="00D4309F">
        <w:t>events</w:t>
      </w:r>
      <w:r w:rsidRPr="00D4309F">
        <w:rPr>
          <w:spacing w:val="-2"/>
        </w:rPr>
        <w:t xml:space="preserve"> </w:t>
      </w:r>
      <w:r w:rsidRPr="00D4309F">
        <w:t>increase</w:t>
      </w:r>
      <w:r w:rsidRPr="00D4309F">
        <w:rPr>
          <w:spacing w:val="-3"/>
        </w:rPr>
        <w:t xml:space="preserve"> </w:t>
      </w:r>
      <w:r w:rsidRPr="00D4309F">
        <w:t>sediment</w:t>
      </w:r>
      <w:r w:rsidRPr="00D4309F">
        <w:rPr>
          <w:spacing w:val="-3"/>
        </w:rPr>
        <w:t xml:space="preserve"> </w:t>
      </w:r>
      <w:r w:rsidRPr="00D4309F">
        <w:t>movement</w:t>
      </w:r>
      <w:r w:rsidRPr="00D4309F">
        <w:rPr>
          <w:spacing w:val="-3"/>
        </w:rPr>
        <w:t xml:space="preserve"> </w:t>
      </w:r>
      <w:r w:rsidRPr="00D4309F">
        <w:t>around</w:t>
      </w:r>
      <w:r w:rsidRPr="00D4309F">
        <w:rPr>
          <w:spacing w:val="-3"/>
        </w:rPr>
        <w:t xml:space="preserve"> </w:t>
      </w:r>
      <w:r w:rsidRPr="00D4309F">
        <w:t>Point</w:t>
      </w:r>
      <w:r w:rsidRPr="00D4309F">
        <w:rPr>
          <w:spacing w:val="-5"/>
        </w:rPr>
        <w:t xml:space="preserve"> </w:t>
      </w:r>
      <w:r w:rsidRPr="00D4309F">
        <w:t>Cartwright,</w:t>
      </w:r>
      <w:r w:rsidRPr="00D4309F">
        <w:rPr>
          <w:spacing w:val="-3"/>
        </w:rPr>
        <w:t xml:space="preserve"> </w:t>
      </w:r>
      <w:r w:rsidRPr="00D4309F">
        <w:t>the rate of infill within the trap is likely to accelerate. In response, the system could be upgraded with additional sand intake heads or higher-capacity pumps to maintain the required bypassing rate and prevent excessive shoaling. The modular nature of the system means these upgrades can be implemented progressively with minimal disruption to existing infrastructure.</w:t>
      </w:r>
    </w:p>
    <w:p w14:paraId="202842EC" w14:textId="77777777" w:rsidR="00725977" w:rsidRPr="00D4309F" w:rsidRDefault="00725977" w:rsidP="00725977">
      <w:pPr>
        <w:pStyle w:val="BodyText"/>
      </w:pPr>
      <w:r w:rsidRPr="00D4309F">
        <w:t>The pump and intake setup is also highly adaptable operationally, pumping frequency, duration, and placement</w:t>
      </w:r>
      <w:r w:rsidRPr="00D4309F">
        <w:rPr>
          <w:spacing w:val="-3"/>
        </w:rPr>
        <w:t xml:space="preserve"> </w:t>
      </w:r>
      <w:r w:rsidRPr="00D4309F">
        <w:t>strategies</w:t>
      </w:r>
      <w:r w:rsidRPr="00D4309F">
        <w:rPr>
          <w:spacing w:val="-2"/>
        </w:rPr>
        <w:t xml:space="preserve"> </w:t>
      </w:r>
      <w:r w:rsidRPr="00D4309F">
        <w:t>can</w:t>
      </w:r>
      <w:r w:rsidRPr="00D4309F">
        <w:rPr>
          <w:spacing w:val="-3"/>
        </w:rPr>
        <w:t xml:space="preserve"> </w:t>
      </w:r>
      <w:r w:rsidRPr="00D4309F">
        <w:t>be</w:t>
      </w:r>
      <w:r w:rsidRPr="00D4309F">
        <w:rPr>
          <w:spacing w:val="-3"/>
        </w:rPr>
        <w:t xml:space="preserve"> </w:t>
      </w:r>
      <w:r w:rsidRPr="00D4309F">
        <w:t>adjusted</w:t>
      </w:r>
      <w:r w:rsidRPr="00D4309F">
        <w:rPr>
          <w:spacing w:val="-3"/>
        </w:rPr>
        <w:t xml:space="preserve"> </w:t>
      </w:r>
      <w:r w:rsidRPr="00D4309F">
        <w:t>based</w:t>
      </w:r>
      <w:r w:rsidRPr="00D4309F">
        <w:rPr>
          <w:spacing w:val="-3"/>
        </w:rPr>
        <w:t xml:space="preserve"> </w:t>
      </w:r>
      <w:r w:rsidRPr="00D4309F">
        <w:t>on</w:t>
      </w:r>
      <w:r w:rsidRPr="00D4309F">
        <w:rPr>
          <w:spacing w:val="-3"/>
        </w:rPr>
        <w:t xml:space="preserve"> </w:t>
      </w:r>
      <w:r w:rsidRPr="00D4309F">
        <w:t>real-time</w:t>
      </w:r>
      <w:r w:rsidRPr="00D4309F">
        <w:rPr>
          <w:spacing w:val="-3"/>
        </w:rPr>
        <w:t xml:space="preserve"> </w:t>
      </w:r>
      <w:r w:rsidRPr="00D4309F">
        <w:t>monitoring</w:t>
      </w:r>
      <w:r w:rsidRPr="00D4309F">
        <w:rPr>
          <w:spacing w:val="-3"/>
        </w:rPr>
        <w:t xml:space="preserve"> </w:t>
      </w:r>
      <w:r w:rsidRPr="00D4309F">
        <w:t>of</w:t>
      </w:r>
      <w:r w:rsidRPr="00D4309F">
        <w:rPr>
          <w:spacing w:val="-3"/>
        </w:rPr>
        <w:t xml:space="preserve"> </w:t>
      </w:r>
      <w:r w:rsidRPr="00D4309F">
        <w:t>sediment</w:t>
      </w:r>
      <w:r w:rsidRPr="00D4309F">
        <w:rPr>
          <w:spacing w:val="-3"/>
        </w:rPr>
        <w:t xml:space="preserve"> </w:t>
      </w:r>
      <w:r w:rsidRPr="00D4309F">
        <w:t>accumulation</w:t>
      </w:r>
      <w:r w:rsidRPr="00D4309F">
        <w:rPr>
          <w:spacing w:val="-3"/>
        </w:rPr>
        <w:t xml:space="preserve"> </w:t>
      </w:r>
      <w:r w:rsidRPr="00D4309F">
        <w:t>and</w:t>
      </w:r>
      <w:r w:rsidRPr="00D4309F">
        <w:rPr>
          <w:spacing w:val="-3"/>
        </w:rPr>
        <w:t xml:space="preserve"> </w:t>
      </w:r>
      <w:r w:rsidRPr="00D4309F">
        <w:t>coastal behaviour. Over time, the system could even be automated or integrated into a broader active sediment management program that responds dynamically to changing coastal conditions.</w:t>
      </w:r>
    </w:p>
    <w:p w14:paraId="55F0B692" w14:textId="671DB66A" w:rsidR="00725977" w:rsidRPr="00D4309F" w:rsidRDefault="00725977" w:rsidP="00725977">
      <w:pPr>
        <w:pStyle w:val="BodyText"/>
      </w:pPr>
      <w:r w:rsidRPr="00D4309F">
        <w:t>Structurally,</w:t>
      </w:r>
      <w:r w:rsidRPr="00D4309F">
        <w:rPr>
          <w:spacing w:val="-3"/>
        </w:rPr>
        <w:t xml:space="preserve"> </w:t>
      </w:r>
      <w:r w:rsidRPr="00D4309F">
        <w:t>the</w:t>
      </w:r>
      <w:r w:rsidRPr="00D4309F">
        <w:rPr>
          <w:spacing w:val="-3"/>
        </w:rPr>
        <w:t xml:space="preserve"> </w:t>
      </w:r>
      <w:r w:rsidRPr="00D4309F">
        <w:t>system</w:t>
      </w:r>
      <w:r w:rsidRPr="00D4309F">
        <w:rPr>
          <w:spacing w:val="-3"/>
        </w:rPr>
        <w:t xml:space="preserve"> </w:t>
      </w:r>
      <w:r w:rsidRPr="00D4309F">
        <w:t>is</w:t>
      </w:r>
      <w:r w:rsidRPr="00D4309F">
        <w:rPr>
          <w:spacing w:val="-3"/>
        </w:rPr>
        <w:t xml:space="preserve"> </w:t>
      </w:r>
      <w:r w:rsidRPr="00D4309F">
        <w:t>expected</w:t>
      </w:r>
      <w:r w:rsidRPr="00D4309F">
        <w:rPr>
          <w:spacing w:val="-3"/>
        </w:rPr>
        <w:t xml:space="preserve"> </w:t>
      </w:r>
      <w:r w:rsidRPr="00D4309F">
        <w:t>to</w:t>
      </w:r>
      <w:r w:rsidRPr="00D4309F">
        <w:rPr>
          <w:spacing w:val="-3"/>
        </w:rPr>
        <w:t xml:space="preserve"> </w:t>
      </w:r>
      <w:r w:rsidRPr="00D4309F">
        <w:t>remain</w:t>
      </w:r>
      <w:r w:rsidRPr="00D4309F">
        <w:rPr>
          <w:spacing w:val="-3"/>
        </w:rPr>
        <w:t xml:space="preserve"> </w:t>
      </w:r>
      <w:r w:rsidRPr="00D4309F">
        <w:t>resilient</w:t>
      </w:r>
      <w:r w:rsidRPr="00D4309F">
        <w:rPr>
          <w:spacing w:val="-3"/>
        </w:rPr>
        <w:t xml:space="preserve"> </w:t>
      </w:r>
      <w:r w:rsidRPr="00D4309F">
        <w:t>under</w:t>
      </w:r>
      <w:r w:rsidRPr="00D4309F">
        <w:rPr>
          <w:spacing w:val="-2"/>
        </w:rPr>
        <w:t xml:space="preserve"> </w:t>
      </w:r>
      <w:r w:rsidRPr="00D4309F">
        <w:t>future</w:t>
      </w:r>
      <w:r w:rsidRPr="00D4309F">
        <w:rPr>
          <w:spacing w:val="-3"/>
        </w:rPr>
        <w:t xml:space="preserve"> </w:t>
      </w:r>
      <w:r w:rsidRPr="00D4309F">
        <w:t>sea-level</w:t>
      </w:r>
      <w:r w:rsidRPr="00D4309F">
        <w:rPr>
          <w:spacing w:val="-3"/>
        </w:rPr>
        <w:t xml:space="preserve"> </w:t>
      </w:r>
      <w:r w:rsidRPr="00D4309F">
        <w:t>rise,</w:t>
      </w:r>
      <w:r w:rsidRPr="00D4309F">
        <w:rPr>
          <w:spacing w:val="-3"/>
        </w:rPr>
        <w:t xml:space="preserve"> </w:t>
      </w:r>
      <w:r w:rsidRPr="00D4309F">
        <w:t>with</w:t>
      </w:r>
      <w:r w:rsidRPr="00D4309F">
        <w:rPr>
          <w:spacing w:val="-3"/>
        </w:rPr>
        <w:t xml:space="preserve"> </w:t>
      </w:r>
      <w:r w:rsidRPr="00D4309F">
        <w:t>intake</w:t>
      </w:r>
      <w:r w:rsidRPr="00D4309F">
        <w:rPr>
          <w:spacing w:val="-3"/>
        </w:rPr>
        <w:t xml:space="preserve"> </w:t>
      </w:r>
      <w:r w:rsidRPr="00D4309F">
        <w:t>heads</w:t>
      </w:r>
      <w:r w:rsidRPr="00D4309F">
        <w:rPr>
          <w:spacing w:val="-2"/>
        </w:rPr>
        <w:t xml:space="preserve"> </w:t>
      </w:r>
      <w:r w:rsidRPr="00D4309F">
        <w:t>and</w:t>
      </w:r>
      <w:r w:rsidRPr="00D4309F">
        <w:rPr>
          <w:spacing w:val="-3"/>
        </w:rPr>
        <w:t xml:space="preserve"> </w:t>
      </w:r>
      <w:r w:rsidRPr="00D4309F">
        <w:t>pipe alignments able to be modified or extended to suit new seabed and shoreline profiles. This adaptability ensures</w:t>
      </w:r>
      <w:r w:rsidRPr="00D4309F">
        <w:rPr>
          <w:spacing w:val="-1"/>
        </w:rPr>
        <w:t xml:space="preserve"> </w:t>
      </w:r>
      <w:r w:rsidRPr="00D4309F">
        <w:t>that</w:t>
      </w:r>
      <w:r w:rsidRPr="00D4309F">
        <w:rPr>
          <w:spacing w:val="-2"/>
        </w:rPr>
        <w:t xml:space="preserve"> </w:t>
      </w:r>
      <w:r w:rsidRPr="00D4309F">
        <w:t>the</w:t>
      </w:r>
      <w:r w:rsidRPr="00D4309F">
        <w:rPr>
          <w:spacing w:val="-2"/>
        </w:rPr>
        <w:t xml:space="preserve"> </w:t>
      </w:r>
      <w:r w:rsidRPr="00D4309F">
        <w:t>infrastructure</w:t>
      </w:r>
      <w:r w:rsidRPr="00D4309F">
        <w:rPr>
          <w:spacing w:val="-2"/>
        </w:rPr>
        <w:t xml:space="preserve"> </w:t>
      </w:r>
      <w:r w:rsidRPr="00D4309F">
        <w:t>remains</w:t>
      </w:r>
      <w:r w:rsidRPr="00D4309F">
        <w:rPr>
          <w:spacing w:val="-2"/>
        </w:rPr>
        <w:t xml:space="preserve"> </w:t>
      </w:r>
      <w:r w:rsidRPr="00D4309F">
        <w:t>functional</w:t>
      </w:r>
      <w:r w:rsidRPr="00D4309F">
        <w:rPr>
          <w:spacing w:val="-2"/>
        </w:rPr>
        <w:t xml:space="preserve"> </w:t>
      </w:r>
      <w:r w:rsidRPr="00D4309F">
        <w:t>and</w:t>
      </w:r>
      <w:r w:rsidRPr="00D4309F">
        <w:rPr>
          <w:spacing w:val="-3"/>
        </w:rPr>
        <w:t xml:space="preserve"> </w:t>
      </w:r>
      <w:r w:rsidRPr="00D4309F">
        <w:t>effective</w:t>
      </w:r>
      <w:r w:rsidRPr="00D4309F">
        <w:rPr>
          <w:spacing w:val="-2"/>
        </w:rPr>
        <w:t xml:space="preserve"> </w:t>
      </w:r>
      <w:r w:rsidRPr="00D4309F">
        <w:t>as</w:t>
      </w:r>
      <w:r w:rsidRPr="00D4309F">
        <w:rPr>
          <w:spacing w:val="-1"/>
        </w:rPr>
        <w:t xml:space="preserve"> </w:t>
      </w:r>
      <w:r w:rsidRPr="00D4309F">
        <w:t>environmental</w:t>
      </w:r>
      <w:r w:rsidRPr="00D4309F">
        <w:rPr>
          <w:spacing w:val="-2"/>
        </w:rPr>
        <w:t xml:space="preserve"> </w:t>
      </w:r>
      <w:r w:rsidRPr="00D4309F">
        <w:t>conditions</w:t>
      </w:r>
      <w:r w:rsidRPr="00D4309F">
        <w:rPr>
          <w:spacing w:val="-1"/>
        </w:rPr>
        <w:t xml:space="preserve"> </w:t>
      </w:r>
      <w:r w:rsidRPr="00D4309F">
        <w:t>evolve,</w:t>
      </w:r>
      <w:r w:rsidRPr="00D4309F">
        <w:rPr>
          <w:spacing w:val="-2"/>
        </w:rPr>
        <w:t xml:space="preserve"> </w:t>
      </w:r>
      <w:r w:rsidRPr="00D4309F">
        <w:t>providing a sustainable long-term approach to maintaining safe navigation and balanced coastal sediment transport</w:t>
      </w:r>
    </w:p>
    <w:p w14:paraId="0E98E34C" w14:textId="77777777" w:rsidR="00725977" w:rsidRPr="00D4309F" w:rsidRDefault="00725977" w:rsidP="008228CB">
      <w:pPr>
        <w:pStyle w:val="Heading3"/>
      </w:pPr>
      <w:bookmarkStart w:id="370" w:name="_Toc216699436"/>
      <w:r w:rsidRPr="00D4309F">
        <w:t>Safety</w:t>
      </w:r>
      <w:r w:rsidRPr="00D4309F">
        <w:rPr>
          <w:spacing w:val="-5"/>
        </w:rPr>
        <w:t xml:space="preserve"> </w:t>
      </w:r>
      <w:r w:rsidRPr="00D4309F">
        <w:t>of</w:t>
      </w:r>
      <w:r w:rsidRPr="00D4309F">
        <w:rPr>
          <w:spacing w:val="-3"/>
        </w:rPr>
        <w:t xml:space="preserve"> </w:t>
      </w:r>
      <w:r w:rsidRPr="00D4309F">
        <w:t>Option</w:t>
      </w:r>
      <w:r w:rsidRPr="00D4309F">
        <w:rPr>
          <w:spacing w:val="-2"/>
        </w:rPr>
        <w:t xml:space="preserve"> </w:t>
      </w:r>
      <w:r w:rsidRPr="00D4309F">
        <w:rPr>
          <w:spacing w:val="-5"/>
        </w:rPr>
        <w:t>2C</w:t>
      </w:r>
      <w:bookmarkEnd w:id="370"/>
    </w:p>
    <w:p w14:paraId="1A548F70" w14:textId="77777777" w:rsidR="00725977" w:rsidRPr="00D4309F" w:rsidRDefault="00725977" w:rsidP="00725977">
      <w:pPr>
        <w:pStyle w:val="BodyText"/>
      </w:pPr>
      <w:r w:rsidRPr="00D4309F">
        <w:t>Option 2C provides the highest safety benefit</w:t>
      </w:r>
      <w:r w:rsidRPr="00D4309F">
        <w:rPr>
          <w:spacing w:val="-1"/>
        </w:rPr>
        <w:t xml:space="preserve"> </w:t>
      </w:r>
      <w:r w:rsidRPr="00D4309F">
        <w:t>of the three variations due to its ability to transfer</w:t>
      </w:r>
      <w:r w:rsidRPr="00D4309F">
        <w:rPr>
          <w:spacing w:val="-1"/>
        </w:rPr>
        <w:t xml:space="preserve"> </w:t>
      </w:r>
      <w:r w:rsidRPr="00D4309F">
        <w:t>sand across the entrance more regularly and responsively. This enhances the reliability of all-tide access by maintaining shallower</w:t>
      </w:r>
      <w:r w:rsidRPr="00D4309F">
        <w:rPr>
          <w:spacing w:val="-2"/>
        </w:rPr>
        <w:t xml:space="preserve"> </w:t>
      </w:r>
      <w:r w:rsidRPr="00D4309F">
        <w:t>shoal</w:t>
      </w:r>
      <w:r w:rsidRPr="00D4309F">
        <w:rPr>
          <w:spacing w:val="-3"/>
        </w:rPr>
        <w:t xml:space="preserve"> </w:t>
      </w:r>
      <w:r w:rsidRPr="00D4309F">
        <w:t>growth,</w:t>
      </w:r>
      <w:r w:rsidRPr="00D4309F">
        <w:rPr>
          <w:spacing w:val="-3"/>
        </w:rPr>
        <w:t xml:space="preserve"> </w:t>
      </w:r>
      <w:r w:rsidRPr="00D4309F">
        <w:t>reducing</w:t>
      </w:r>
      <w:r w:rsidRPr="00D4309F">
        <w:rPr>
          <w:spacing w:val="-3"/>
        </w:rPr>
        <w:t xml:space="preserve"> </w:t>
      </w:r>
      <w:r w:rsidRPr="00D4309F">
        <w:t>the</w:t>
      </w:r>
      <w:r w:rsidRPr="00D4309F">
        <w:rPr>
          <w:spacing w:val="-3"/>
        </w:rPr>
        <w:t xml:space="preserve"> </w:t>
      </w:r>
      <w:r w:rsidRPr="00D4309F">
        <w:t>likelihood</w:t>
      </w:r>
      <w:r w:rsidRPr="00D4309F">
        <w:rPr>
          <w:spacing w:val="-3"/>
        </w:rPr>
        <w:t xml:space="preserve"> </w:t>
      </w:r>
      <w:r w:rsidRPr="00D4309F">
        <w:t>of</w:t>
      </w:r>
      <w:r w:rsidRPr="00D4309F">
        <w:rPr>
          <w:spacing w:val="-3"/>
        </w:rPr>
        <w:t xml:space="preserve"> </w:t>
      </w:r>
      <w:r w:rsidRPr="00D4309F">
        <w:t>unexpected</w:t>
      </w:r>
      <w:r w:rsidRPr="00D4309F">
        <w:rPr>
          <w:spacing w:val="-3"/>
        </w:rPr>
        <w:t xml:space="preserve"> </w:t>
      </w:r>
      <w:r w:rsidRPr="00D4309F">
        <w:t>depth</w:t>
      </w:r>
      <w:r w:rsidRPr="00D4309F">
        <w:rPr>
          <w:spacing w:val="-4"/>
        </w:rPr>
        <w:t xml:space="preserve"> </w:t>
      </w:r>
      <w:r w:rsidRPr="00D4309F">
        <w:t>constraints.</w:t>
      </w:r>
      <w:r w:rsidRPr="00D4309F">
        <w:rPr>
          <w:spacing w:val="-5"/>
        </w:rPr>
        <w:t xml:space="preserve"> </w:t>
      </w:r>
      <w:r w:rsidRPr="00D4309F">
        <w:t>The</w:t>
      </w:r>
      <w:r w:rsidRPr="00D4309F">
        <w:rPr>
          <w:spacing w:val="-3"/>
        </w:rPr>
        <w:t xml:space="preserve"> </w:t>
      </w:r>
      <w:r w:rsidRPr="00D4309F">
        <w:t>semi-permanent</w:t>
      </w:r>
      <w:r w:rsidRPr="00D4309F">
        <w:rPr>
          <w:spacing w:val="-3"/>
        </w:rPr>
        <w:t xml:space="preserve"> </w:t>
      </w:r>
      <w:r w:rsidRPr="00D4309F">
        <w:t>pump system also improves clarity of navigation, as sediment transfer can occur before depths become critically low, ensuring channel markers and charted depths remain relevant for longer periods.</w:t>
      </w:r>
    </w:p>
    <w:p w14:paraId="390F7156" w14:textId="77777777" w:rsidR="00725977" w:rsidRPr="00D4309F" w:rsidRDefault="00725977" w:rsidP="00725977">
      <w:pPr>
        <w:pStyle w:val="BodyText"/>
      </w:pPr>
      <w:r w:rsidRPr="00D4309F">
        <w:t>In terms of mariner safety, Option 2C excels because it minimises the need for large dredging vessels to operate</w:t>
      </w:r>
      <w:r w:rsidRPr="00D4309F">
        <w:rPr>
          <w:spacing w:val="-3"/>
        </w:rPr>
        <w:t xml:space="preserve"> </w:t>
      </w:r>
      <w:r w:rsidRPr="00D4309F">
        <w:t>near</w:t>
      </w:r>
      <w:r w:rsidRPr="00D4309F">
        <w:rPr>
          <w:spacing w:val="-4"/>
        </w:rPr>
        <w:t xml:space="preserve"> </w:t>
      </w:r>
      <w:r w:rsidRPr="00D4309F">
        <w:t>the</w:t>
      </w:r>
      <w:r w:rsidRPr="00D4309F">
        <w:rPr>
          <w:spacing w:val="-3"/>
        </w:rPr>
        <w:t xml:space="preserve"> </w:t>
      </w:r>
      <w:r w:rsidRPr="00D4309F">
        <w:t>entrance.</w:t>
      </w:r>
      <w:r w:rsidRPr="00D4309F">
        <w:rPr>
          <w:spacing w:val="-5"/>
        </w:rPr>
        <w:t xml:space="preserve"> </w:t>
      </w:r>
      <w:r w:rsidRPr="00D4309F">
        <w:t>The</w:t>
      </w:r>
      <w:r w:rsidRPr="00D4309F">
        <w:rPr>
          <w:spacing w:val="-3"/>
        </w:rPr>
        <w:t xml:space="preserve"> </w:t>
      </w:r>
      <w:r w:rsidRPr="00D4309F">
        <w:t>reduction</w:t>
      </w:r>
      <w:r w:rsidRPr="00D4309F">
        <w:rPr>
          <w:spacing w:val="-4"/>
        </w:rPr>
        <w:t xml:space="preserve"> </w:t>
      </w:r>
      <w:r w:rsidRPr="00D4309F">
        <w:t>in</w:t>
      </w:r>
      <w:r w:rsidRPr="00D4309F">
        <w:rPr>
          <w:spacing w:val="-3"/>
        </w:rPr>
        <w:t xml:space="preserve"> </w:t>
      </w:r>
      <w:r w:rsidRPr="00D4309F">
        <w:t>mobilisation</w:t>
      </w:r>
      <w:r w:rsidRPr="00D4309F">
        <w:rPr>
          <w:spacing w:val="-3"/>
        </w:rPr>
        <w:t xml:space="preserve"> </w:t>
      </w:r>
      <w:r w:rsidRPr="00D4309F">
        <w:t>events</w:t>
      </w:r>
      <w:r w:rsidRPr="00D4309F">
        <w:rPr>
          <w:spacing w:val="-2"/>
        </w:rPr>
        <w:t xml:space="preserve"> </w:t>
      </w:r>
      <w:r w:rsidRPr="00D4309F">
        <w:t>eliminates</w:t>
      </w:r>
      <w:r w:rsidRPr="00D4309F">
        <w:rPr>
          <w:spacing w:val="-3"/>
        </w:rPr>
        <w:t xml:space="preserve"> </w:t>
      </w:r>
      <w:r w:rsidRPr="00D4309F">
        <w:t>vessel–recreational</w:t>
      </w:r>
      <w:r w:rsidRPr="00D4309F">
        <w:rPr>
          <w:spacing w:val="-4"/>
        </w:rPr>
        <w:t xml:space="preserve"> </w:t>
      </w:r>
      <w:r w:rsidRPr="00D4309F">
        <w:t>craft</w:t>
      </w:r>
      <w:r w:rsidRPr="00D4309F">
        <w:rPr>
          <w:spacing w:val="-3"/>
        </w:rPr>
        <w:t xml:space="preserve"> </w:t>
      </w:r>
      <w:r w:rsidRPr="00D4309F">
        <w:t>conflicts, bar-crossing risks, and dredge-related navigation hazards. This option also allows for more proactive safety management by activating the bypass system in response to short-term shoaling pulses, which reduces hazardous wave steepening and breaking conditions at the entrance.</w:t>
      </w:r>
    </w:p>
    <w:p w14:paraId="4854D5AE" w14:textId="28C10C13" w:rsidR="00725977" w:rsidRPr="00D4309F" w:rsidRDefault="00725977" w:rsidP="00725977">
      <w:pPr>
        <w:pStyle w:val="BodyText"/>
      </w:pPr>
      <w:r w:rsidRPr="00D4309F">
        <w:t>There is limited design or modelling for all option 2 scenarios. It’s noted that there may be potential risk during</w:t>
      </w:r>
      <w:r w:rsidRPr="00D4309F">
        <w:rPr>
          <w:spacing w:val="-2"/>
        </w:rPr>
        <w:t xml:space="preserve"> </w:t>
      </w:r>
      <w:r w:rsidRPr="00D4309F">
        <w:t>larger</w:t>
      </w:r>
      <w:r w:rsidRPr="00D4309F">
        <w:rPr>
          <w:spacing w:val="-3"/>
        </w:rPr>
        <w:t xml:space="preserve"> </w:t>
      </w:r>
      <w:r w:rsidRPr="00D4309F">
        <w:t>wave</w:t>
      </w:r>
      <w:r w:rsidRPr="00D4309F">
        <w:rPr>
          <w:spacing w:val="-2"/>
        </w:rPr>
        <w:t xml:space="preserve"> </w:t>
      </w:r>
      <w:r w:rsidRPr="00D4309F">
        <w:t>events</w:t>
      </w:r>
      <w:r w:rsidRPr="00D4309F">
        <w:rPr>
          <w:spacing w:val="-1"/>
        </w:rPr>
        <w:t xml:space="preserve"> </w:t>
      </w:r>
      <w:r w:rsidRPr="00D4309F">
        <w:t>that</w:t>
      </w:r>
      <w:r w:rsidRPr="00D4309F">
        <w:rPr>
          <w:spacing w:val="-2"/>
        </w:rPr>
        <w:t xml:space="preserve"> </w:t>
      </w:r>
      <w:r w:rsidRPr="00D4309F">
        <w:t>the</w:t>
      </w:r>
      <w:r w:rsidRPr="00D4309F">
        <w:rPr>
          <w:spacing w:val="-2"/>
        </w:rPr>
        <w:t xml:space="preserve"> </w:t>
      </w:r>
      <w:r w:rsidRPr="00D4309F">
        <w:t>sudden</w:t>
      </w:r>
      <w:r w:rsidRPr="00D4309F">
        <w:rPr>
          <w:spacing w:val="-2"/>
        </w:rPr>
        <w:t xml:space="preserve"> </w:t>
      </w:r>
      <w:r w:rsidRPr="00D4309F">
        <w:t>drop</w:t>
      </w:r>
      <w:r w:rsidRPr="00D4309F">
        <w:rPr>
          <w:spacing w:val="-2"/>
        </w:rPr>
        <w:t xml:space="preserve"> </w:t>
      </w:r>
      <w:r w:rsidRPr="00D4309F">
        <w:t>in</w:t>
      </w:r>
      <w:r w:rsidRPr="00D4309F">
        <w:rPr>
          <w:spacing w:val="-2"/>
        </w:rPr>
        <w:t xml:space="preserve"> </w:t>
      </w:r>
      <w:r w:rsidRPr="00D4309F">
        <w:t>the</w:t>
      </w:r>
      <w:r w:rsidRPr="00D4309F">
        <w:rPr>
          <w:spacing w:val="-3"/>
        </w:rPr>
        <w:t xml:space="preserve"> </w:t>
      </w:r>
      <w:r w:rsidRPr="00D4309F">
        <w:t>seabed</w:t>
      </w:r>
      <w:r w:rsidRPr="00D4309F">
        <w:rPr>
          <w:spacing w:val="-2"/>
        </w:rPr>
        <w:t xml:space="preserve"> </w:t>
      </w:r>
      <w:r w:rsidRPr="00D4309F">
        <w:t>at</w:t>
      </w:r>
      <w:r w:rsidRPr="00D4309F">
        <w:rPr>
          <w:spacing w:val="-2"/>
        </w:rPr>
        <w:t xml:space="preserve"> </w:t>
      </w:r>
      <w:r w:rsidRPr="00D4309F">
        <w:t>the</w:t>
      </w:r>
      <w:r w:rsidRPr="00D4309F">
        <w:rPr>
          <w:spacing w:val="-3"/>
        </w:rPr>
        <w:t xml:space="preserve"> </w:t>
      </w:r>
      <w:r w:rsidRPr="00D4309F">
        <w:t>entrance</w:t>
      </w:r>
      <w:r w:rsidRPr="00D4309F">
        <w:rPr>
          <w:spacing w:val="-2"/>
        </w:rPr>
        <w:t xml:space="preserve"> </w:t>
      </w:r>
      <w:r w:rsidRPr="00D4309F">
        <w:t>hole</w:t>
      </w:r>
      <w:r w:rsidRPr="00D4309F">
        <w:rPr>
          <w:spacing w:val="-2"/>
        </w:rPr>
        <w:t xml:space="preserve"> </w:t>
      </w:r>
      <w:r w:rsidRPr="00D4309F">
        <w:t>may</w:t>
      </w:r>
      <w:r w:rsidRPr="00D4309F">
        <w:rPr>
          <w:spacing w:val="-1"/>
        </w:rPr>
        <w:t xml:space="preserve"> </w:t>
      </w:r>
      <w:r w:rsidRPr="00D4309F">
        <w:t>trigger</w:t>
      </w:r>
      <w:r w:rsidRPr="00D4309F">
        <w:rPr>
          <w:spacing w:val="-3"/>
        </w:rPr>
        <w:t xml:space="preserve"> </w:t>
      </w:r>
      <w:r w:rsidRPr="00D4309F">
        <w:t>some</w:t>
      </w:r>
      <w:r w:rsidRPr="00D4309F">
        <w:rPr>
          <w:spacing w:val="-3"/>
        </w:rPr>
        <w:t xml:space="preserve"> </w:t>
      </w:r>
      <w:r w:rsidRPr="00D4309F">
        <w:t xml:space="preserve">wave </w:t>
      </w:r>
      <w:r w:rsidRPr="00D4309F">
        <w:rPr>
          <w:spacing w:val="-2"/>
        </w:rPr>
        <w:t>shoaling.</w:t>
      </w:r>
    </w:p>
    <w:p w14:paraId="79964D4C" w14:textId="77777777" w:rsidR="00725977" w:rsidRPr="00D4309F" w:rsidRDefault="00725977" w:rsidP="008228CB">
      <w:pPr>
        <w:pStyle w:val="Heading3"/>
      </w:pPr>
      <w:bookmarkStart w:id="371" w:name="_Toc216699437"/>
      <w:r w:rsidRPr="00D4309F">
        <w:t>Cost</w:t>
      </w:r>
      <w:bookmarkEnd w:id="371"/>
    </w:p>
    <w:p w14:paraId="16205BB1" w14:textId="77777777" w:rsidR="00725977" w:rsidRPr="00D4309F" w:rsidRDefault="00725977" w:rsidP="005A0545">
      <w:pPr>
        <w:pStyle w:val="Heading5-nonumber"/>
      </w:pPr>
      <w:r w:rsidRPr="00D4309F">
        <w:t>Capital</w:t>
      </w:r>
      <w:r w:rsidRPr="00D4309F">
        <w:rPr>
          <w:spacing w:val="-4"/>
        </w:rPr>
        <w:t xml:space="preserve"> </w:t>
      </w:r>
      <w:r w:rsidRPr="00D4309F">
        <w:t>Works</w:t>
      </w:r>
      <w:r w:rsidRPr="00D4309F">
        <w:rPr>
          <w:spacing w:val="-4"/>
        </w:rPr>
        <w:t xml:space="preserve"> Costs</w:t>
      </w:r>
    </w:p>
    <w:p w14:paraId="726A4B2C" w14:textId="77777777" w:rsidR="00725977" w:rsidRPr="00D4309F" w:rsidRDefault="00725977" w:rsidP="00725977">
      <w:pPr>
        <w:pStyle w:val="BodyText"/>
      </w:pPr>
      <w:r w:rsidRPr="00D4309F">
        <w:t>Capital</w:t>
      </w:r>
      <w:r w:rsidRPr="00D4309F">
        <w:rPr>
          <w:spacing w:val="-3"/>
        </w:rPr>
        <w:t xml:space="preserve"> </w:t>
      </w:r>
      <w:r w:rsidRPr="00D4309F">
        <w:t>costs</w:t>
      </w:r>
      <w:r w:rsidRPr="00D4309F">
        <w:rPr>
          <w:spacing w:val="-2"/>
        </w:rPr>
        <w:t xml:space="preserve"> </w:t>
      </w:r>
      <w:r w:rsidRPr="00D4309F">
        <w:t>for</w:t>
      </w:r>
      <w:r w:rsidRPr="00D4309F">
        <w:rPr>
          <w:spacing w:val="-1"/>
        </w:rPr>
        <w:t xml:space="preserve"> </w:t>
      </w:r>
      <w:r w:rsidRPr="00D4309F">
        <w:t>Option</w:t>
      </w:r>
      <w:r w:rsidRPr="00D4309F">
        <w:rPr>
          <w:spacing w:val="-2"/>
        </w:rPr>
        <w:t xml:space="preserve"> </w:t>
      </w:r>
      <w:r w:rsidRPr="00D4309F">
        <w:t>2C</w:t>
      </w:r>
      <w:r w:rsidRPr="00D4309F">
        <w:rPr>
          <w:spacing w:val="-3"/>
        </w:rPr>
        <w:t xml:space="preserve"> </w:t>
      </w:r>
      <w:r w:rsidRPr="00D4309F">
        <w:t>are</w:t>
      </w:r>
      <w:r w:rsidRPr="00D4309F">
        <w:rPr>
          <w:spacing w:val="-2"/>
        </w:rPr>
        <w:t xml:space="preserve"> </w:t>
      </w:r>
      <w:r w:rsidRPr="00D4309F">
        <w:t>expected</w:t>
      </w:r>
      <w:r w:rsidRPr="00D4309F">
        <w:rPr>
          <w:spacing w:val="-3"/>
        </w:rPr>
        <w:t xml:space="preserve"> </w:t>
      </w:r>
      <w:r w:rsidRPr="00D4309F">
        <w:t>to</w:t>
      </w:r>
      <w:r w:rsidRPr="00D4309F">
        <w:rPr>
          <w:spacing w:val="-2"/>
        </w:rPr>
        <w:t xml:space="preserve"> </w:t>
      </w:r>
      <w:r w:rsidRPr="00D4309F">
        <w:t>be</w:t>
      </w:r>
      <w:r w:rsidRPr="00D4309F">
        <w:rPr>
          <w:spacing w:val="-2"/>
        </w:rPr>
        <w:t xml:space="preserve"> </w:t>
      </w:r>
      <w:r w:rsidRPr="00D4309F">
        <w:t>significantly</w:t>
      </w:r>
      <w:r w:rsidRPr="00D4309F">
        <w:rPr>
          <w:spacing w:val="-1"/>
        </w:rPr>
        <w:t xml:space="preserve"> </w:t>
      </w:r>
      <w:r w:rsidRPr="00D4309F">
        <w:t>higher</w:t>
      </w:r>
      <w:r w:rsidRPr="00D4309F">
        <w:rPr>
          <w:spacing w:val="-1"/>
        </w:rPr>
        <w:t xml:space="preserve"> </w:t>
      </w:r>
      <w:r w:rsidRPr="00D4309F">
        <w:t>than</w:t>
      </w:r>
      <w:r w:rsidRPr="00D4309F">
        <w:rPr>
          <w:spacing w:val="-2"/>
        </w:rPr>
        <w:t xml:space="preserve"> </w:t>
      </w:r>
      <w:r w:rsidRPr="00D4309F">
        <w:t>Options</w:t>
      </w:r>
      <w:r w:rsidRPr="00D4309F">
        <w:rPr>
          <w:spacing w:val="-2"/>
        </w:rPr>
        <w:t xml:space="preserve"> </w:t>
      </w:r>
      <w:r w:rsidRPr="00D4309F">
        <w:t>2A</w:t>
      </w:r>
      <w:r w:rsidRPr="00D4309F">
        <w:rPr>
          <w:spacing w:val="-2"/>
        </w:rPr>
        <w:t xml:space="preserve"> </w:t>
      </w:r>
      <w:r w:rsidRPr="00D4309F">
        <w:t>and</w:t>
      </w:r>
      <w:r w:rsidRPr="00D4309F">
        <w:rPr>
          <w:spacing w:val="-2"/>
        </w:rPr>
        <w:t xml:space="preserve"> </w:t>
      </w:r>
      <w:r w:rsidRPr="00D4309F">
        <w:t>2B.</w:t>
      </w:r>
      <w:r w:rsidRPr="00D4309F">
        <w:rPr>
          <w:spacing w:val="-2"/>
        </w:rPr>
        <w:t xml:space="preserve"> </w:t>
      </w:r>
      <w:r w:rsidRPr="00D4309F">
        <w:t>In</w:t>
      </w:r>
      <w:r w:rsidRPr="00D4309F">
        <w:rPr>
          <w:spacing w:val="-2"/>
        </w:rPr>
        <w:t xml:space="preserve"> </w:t>
      </w:r>
      <w:r w:rsidRPr="00D4309F">
        <w:t>addition</w:t>
      </w:r>
      <w:r w:rsidRPr="00D4309F">
        <w:rPr>
          <w:spacing w:val="-2"/>
        </w:rPr>
        <w:t xml:space="preserve"> </w:t>
      </w:r>
      <w:r w:rsidRPr="00D4309F">
        <w:t>to</w:t>
      </w:r>
      <w:r w:rsidRPr="00D4309F">
        <w:rPr>
          <w:spacing w:val="-2"/>
        </w:rPr>
        <w:t xml:space="preserve"> </w:t>
      </w:r>
      <w:r w:rsidRPr="00D4309F">
        <w:t>the full</w:t>
      </w:r>
      <w:r w:rsidRPr="00D4309F">
        <w:rPr>
          <w:spacing w:val="-3"/>
        </w:rPr>
        <w:t xml:space="preserve"> </w:t>
      </w:r>
      <w:r w:rsidRPr="00D4309F">
        <w:t>rock</w:t>
      </w:r>
      <w:r w:rsidRPr="00D4309F">
        <w:rPr>
          <w:spacing w:val="-2"/>
        </w:rPr>
        <w:t xml:space="preserve"> </w:t>
      </w:r>
      <w:r w:rsidRPr="00D4309F">
        <w:t>excavation</w:t>
      </w:r>
      <w:r w:rsidRPr="00D4309F">
        <w:rPr>
          <w:spacing w:val="-3"/>
        </w:rPr>
        <w:t xml:space="preserve"> </w:t>
      </w:r>
      <w:r w:rsidRPr="00D4309F">
        <w:t>required</w:t>
      </w:r>
      <w:r w:rsidRPr="00D4309F">
        <w:rPr>
          <w:spacing w:val="-3"/>
        </w:rPr>
        <w:t xml:space="preserve"> </w:t>
      </w:r>
      <w:r w:rsidRPr="00D4309F">
        <w:t>to</w:t>
      </w:r>
      <w:r w:rsidRPr="00D4309F">
        <w:rPr>
          <w:spacing w:val="-3"/>
        </w:rPr>
        <w:t xml:space="preserve"> </w:t>
      </w:r>
      <w:r w:rsidRPr="00D4309F">
        <w:t>form</w:t>
      </w:r>
      <w:r w:rsidRPr="00D4309F">
        <w:rPr>
          <w:spacing w:val="-3"/>
        </w:rPr>
        <w:t xml:space="preserve"> </w:t>
      </w:r>
      <w:r w:rsidRPr="00D4309F">
        <w:t>the</w:t>
      </w:r>
      <w:r w:rsidRPr="00D4309F">
        <w:rPr>
          <w:spacing w:val="-3"/>
        </w:rPr>
        <w:t xml:space="preserve"> </w:t>
      </w:r>
      <w:r w:rsidRPr="00D4309F">
        <w:t>sand</w:t>
      </w:r>
      <w:r w:rsidRPr="00D4309F">
        <w:rPr>
          <w:spacing w:val="-3"/>
        </w:rPr>
        <w:t xml:space="preserve"> </w:t>
      </w:r>
      <w:r w:rsidRPr="00D4309F">
        <w:t>trap,</w:t>
      </w:r>
      <w:r w:rsidRPr="00D4309F">
        <w:rPr>
          <w:spacing w:val="-3"/>
        </w:rPr>
        <w:t xml:space="preserve"> </w:t>
      </w:r>
      <w:r w:rsidRPr="00D4309F">
        <w:t>this</w:t>
      </w:r>
      <w:r w:rsidRPr="00D4309F">
        <w:rPr>
          <w:spacing w:val="-2"/>
        </w:rPr>
        <w:t xml:space="preserve"> </w:t>
      </w:r>
      <w:r w:rsidRPr="00D4309F">
        <w:t>option</w:t>
      </w:r>
      <w:r w:rsidRPr="00D4309F">
        <w:rPr>
          <w:spacing w:val="-3"/>
        </w:rPr>
        <w:t xml:space="preserve"> </w:t>
      </w:r>
      <w:r w:rsidRPr="00D4309F">
        <w:t>includes</w:t>
      </w:r>
      <w:r w:rsidRPr="00D4309F">
        <w:rPr>
          <w:spacing w:val="-2"/>
        </w:rPr>
        <w:t xml:space="preserve"> </w:t>
      </w:r>
      <w:r w:rsidRPr="00D4309F">
        <w:t>installation</w:t>
      </w:r>
      <w:r w:rsidRPr="00D4309F">
        <w:rPr>
          <w:spacing w:val="-3"/>
        </w:rPr>
        <w:t xml:space="preserve"> </w:t>
      </w:r>
      <w:r w:rsidRPr="00D4309F">
        <w:t>of</w:t>
      </w:r>
      <w:r w:rsidRPr="00D4309F">
        <w:rPr>
          <w:spacing w:val="-3"/>
        </w:rPr>
        <w:t xml:space="preserve"> </w:t>
      </w:r>
      <w:r w:rsidRPr="00D4309F">
        <w:t>a</w:t>
      </w:r>
      <w:r w:rsidRPr="00D4309F">
        <w:rPr>
          <w:spacing w:val="-3"/>
        </w:rPr>
        <w:t xml:space="preserve"> </w:t>
      </w:r>
      <w:r w:rsidRPr="00D4309F">
        <w:t>semi-permanent</w:t>
      </w:r>
      <w:r w:rsidRPr="00D4309F">
        <w:rPr>
          <w:spacing w:val="-3"/>
        </w:rPr>
        <w:t xml:space="preserve"> </w:t>
      </w:r>
      <w:r w:rsidRPr="00D4309F">
        <w:t>sand pumping system, intake structures, electrical supply, control systems, and a dedicated discharge pipeline to Mooloolaba Beach. These additional mechanical and electrical components, together with the required structural and civil works, place Option 2C in the upper cost range of the rock-trap options.</w:t>
      </w:r>
    </w:p>
    <w:p w14:paraId="72D2C7D3" w14:textId="77777777" w:rsidR="00725977" w:rsidRPr="00D4309F" w:rsidRDefault="00725977" w:rsidP="005A0545">
      <w:pPr>
        <w:pStyle w:val="Heading5-nonumber"/>
      </w:pPr>
      <w:r w:rsidRPr="00D4309F">
        <w:t>Operational</w:t>
      </w:r>
      <w:r w:rsidRPr="00D4309F">
        <w:rPr>
          <w:spacing w:val="-13"/>
        </w:rPr>
        <w:t xml:space="preserve"> </w:t>
      </w:r>
      <w:r w:rsidRPr="00D4309F">
        <w:rPr>
          <w:spacing w:val="-4"/>
        </w:rPr>
        <w:t>Costs</w:t>
      </w:r>
    </w:p>
    <w:p w14:paraId="1B48D8C6" w14:textId="77777777" w:rsidR="00725977" w:rsidRPr="00D4309F" w:rsidRDefault="00725977" w:rsidP="00725977">
      <w:pPr>
        <w:pStyle w:val="BodyText"/>
      </w:pPr>
      <w:r w:rsidRPr="00D4309F">
        <w:t>Although this option avoids repeated mobilisation of dredging plant, ongoing costs include energy consumption, maintenance of pumps and control systems, periodic inspection of the pipeline, and replacement of mechanical components. When averaged annually, overall operational expenditure is expected</w:t>
      </w:r>
      <w:r w:rsidRPr="00D4309F">
        <w:rPr>
          <w:spacing w:val="-3"/>
        </w:rPr>
        <w:t xml:space="preserve"> </w:t>
      </w:r>
      <w:r w:rsidRPr="00D4309F">
        <w:t>to</w:t>
      </w:r>
      <w:r w:rsidRPr="00D4309F">
        <w:rPr>
          <w:spacing w:val="-3"/>
        </w:rPr>
        <w:t xml:space="preserve"> </w:t>
      </w:r>
      <w:r w:rsidRPr="00D4309F">
        <w:t>be</w:t>
      </w:r>
      <w:r w:rsidRPr="00D4309F">
        <w:rPr>
          <w:spacing w:val="-3"/>
        </w:rPr>
        <w:t xml:space="preserve"> </w:t>
      </w:r>
      <w:r w:rsidRPr="00D4309F">
        <w:t>similar</w:t>
      </w:r>
      <w:r w:rsidRPr="00D4309F">
        <w:rPr>
          <w:spacing w:val="-2"/>
        </w:rPr>
        <w:t xml:space="preserve"> </w:t>
      </w:r>
      <w:r w:rsidRPr="00D4309F">
        <w:t>to</w:t>
      </w:r>
      <w:r w:rsidRPr="00D4309F">
        <w:rPr>
          <w:spacing w:val="-3"/>
        </w:rPr>
        <w:t xml:space="preserve"> </w:t>
      </w:r>
      <w:r w:rsidRPr="00D4309F">
        <w:t>(or</w:t>
      </w:r>
      <w:r w:rsidRPr="00D4309F">
        <w:rPr>
          <w:spacing w:val="-2"/>
        </w:rPr>
        <w:t xml:space="preserve"> </w:t>
      </w:r>
      <w:r w:rsidRPr="00D4309F">
        <w:t>slightly</w:t>
      </w:r>
      <w:r w:rsidRPr="00D4309F">
        <w:rPr>
          <w:spacing w:val="-2"/>
        </w:rPr>
        <w:t xml:space="preserve"> </w:t>
      </w:r>
      <w:r w:rsidRPr="00D4309F">
        <w:t>higher</w:t>
      </w:r>
      <w:r w:rsidRPr="00D4309F">
        <w:rPr>
          <w:spacing w:val="-2"/>
        </w:rPr>
        <w:t xml:space="preserve"> </w:t>
      </w:r>
      <w:r w:rsidRPr="00D4309F">
        <w:t>than)</w:t>
      </w:r>
      <w:r w:rsidRPr="00D4309F">
        <w:rPr>
          <w:spacing w:val="-2"/>
        </w:rPr>
        <w:t xml:space="preserve"> </w:t>
      </w:r>
      <w:r w:rsidRPr="00D4309F">
        <w:t>the</w:t>
      </w:r>
      <w:r w:rsidRPr="00D4309F">
        <w:rPr>
          <w:spacing w:val="-3"/>
        </w:rPr>
        <w:t xml:space="preserve"> </w:t>
      </w:r>
      <w:r w:rsidRPr="00D4309F">
        <w:t>maintenance</w:t>
      </w:r>
      <w:r w:rsidRPr="00D4309F">
        <w:rPr>
          <w:spacing w:val="-3"/>
        </w:rPr>
        <w:t xml:space="preserve"> </w:t>
      </w:r>
      <w:r w:rsidRPr="00D4309F">
        <w:t>costs</w:t>
      </w:r>
      <w:r w:rsidRPr="00D4309F">
        <w:rPr>
          <w:spacing w:val="-2"/>
        </w:rPr>
        <w:t xml:space="preserve"> </w:t>
      </w:r>
      <w:r w:rsidRPr="00D4309F">
        <w:t>of</w:t>
      </w:r>
      <w:r w:rsidRPr="00D4309F">
        <w:rPr>
          <w:spacing w:val="-3"/>
        </w:rPr>
        <w:t xml:space="preserve"> </w:t>
      </w:r>
      <w:r w:rsidRPr="00D4309F">
        <w:t>Option</w:t>
      </w:r>
      <w:r w:rsidRPr="00D4309F">
        <w:rPr>
          <w:spacing w:val="-3"/>
        </w:rPr>
        <w:t xml:space="preserve"> </w:t>
      </w:r>
      <w:r w:rsidRPr="00D4309F">
        <w:t>2A/2B,</w:t>
      </w:r>
      <w:r w:rsidRPr="00D4309F">
        <w:rPr>
          <w:spacing w:val="-3"/>
        </w:rPr>
        <w:t xml:space="preserve"> </w:t>
      </w:r>
      <w:r w:rsidRPr="00D4309F">
        <w:t xml:space="preserve">acknowledging </w:t>
      </w:r>
      <w:r w:rsidRPr="00D4309F">
        <w:rPr>
          <w:spacing w:val="-2"/>
        </w:rPr>
        <w:t>that:</w:t>
      </w:r>
    </w:p>
    <w:p w14:paraId="54B0E5CA" w14:textId="77777777" w:rsidR="00725977" w:rsidRPr="00D4309F" w:rsidRDefault="00725977" w:rsidP="00D27F26">
      <w:pPr>
        <w:pStyle w:val="ListParagraph"/>
        <w:widowControl w:val="0"/>
        <w:numPr>
          <w:ilvl w:val="0"/>
          <w:numId w:val="293"/>
        </w:numPr>
        <w:tabs>
          <w:tab w:val="left" w:pos="501"/>
        </w:tabs>
        <w:autoSpaceDE w:val="0"/>
        <w:autoSpaceDN w:val="0"/>
        <w:spacing w:before="119" w:after="0" w:line="240" w:lineRule="auto"/>
        <w:contextualSpacing w:val="0"/>
      </w:pPr>
      <w:r w:rsidRPr="00D4309F">
        <w:rPr>
          <w:color w:val="211E1F"/>
        </w:rPr>
        <w:t>the</w:t>
      </w:r>
      <w:r w:rsidRPr="00D4309F">
        <w:rPr>
          <w:color w:val="211E1F"/>
          <w:spacing w:val="-4"/>
        </w:rPr>
        <w:t xml:space="preserve"> </w:t>
      </w:r>
      <w:r w:rsidRPr="00D4309F">
        <w:rPr>
          <w:color w:val="211E1F"/>
        </w:rPr>
        <w:t>trap</w:t>
      </w:r>
      <w:r w:rsidRPr="00D4309F">
        <w:rPr>
          <w:color w:val="211E1F"/>
          <w:spacing w:val="-4"/>
        </w:rPr>
        <w:t xml:space="preserve"> </w:t>
      </w:r>
      <w:r w:rsidRPr="00D4309F">
        <w:rPr>
          <w:color w:val="211E1F"/>
        </w:rPr>
        <w:t>still</w:t>
      </w:r>
      <w:r w:rsidRPr="00D4309F">
        <w:rPr>
          <w:color w:val="211E1F"/>
          <w:spacing w:val="-4"/>
        </w:rPr>
        <w:t xml:space="preserve"> </w:t>
      </w:r>
      <w:r w:rsidRPr="00D4309F">
        <w:rPr>
          <w:color w:val="211E1F"/>
        </w:rPr>
        <w:t>infills</w:t>
      </w:r>
      <w:r w:rsidRPr="00D4309F">
        <w:rPr>
          <w:color w:val="211E1F"/>
          <w:spacing w:val="-4"/>
        </w:rPr>
        <w:t xml:space="preserve"> </w:t>
      </w:r>
      <w:r w:rsidRPr="00D4309F">
        <w:rPr>
          <w:color w:val="211E1F"/>
        </w:rPr>
        <w:t>at</w:t>
      </w:r>
      <w:r w:rsidRPr="00D4309F">
        <w:rPr>
          <w:color w:val="211E1F"/>
          <w:spacing w:val="-4"/>
        </w:rPr>
        <w:t xml:space="preserve"> </w:t>
      </w:r>
      <w:r w:rsidRPr="00D4309F">
        <w:rPr>
          <w:color w:val="211E1F"/>
        </w:rPr>
        <w:t>variable,</w:t>
      </w:r>
      <w:r w:rsidRPr="00D4309F">
        <w:rPr>
          <w:color w:val="211E1F"/>
          <w:spacing w:val="-3"/>
        </w:rPr>
        <w:t xml:space="preserve"> </w:t>
      </w:r>
      <w:r w:rsidRPr="00D4309F">
        <w:rPr>
          <w:color w:val="211E1F"/>
        </w:rPr>
        <w:t>storm-driven</w:t>
      </w:r>
      <w:r w:rsidRPr="00D4309F">
        <w:rPr>
          <w:color w:val="211E1F"/>
          <w:spacing w:val="-4"/>
        </w:rPr>
        <w:t xml:space="preserve"> rates</w:t>
      </w:r>
    </w:p>
    <w:p w14:paraId="216C69A0" w14:textId="77777777" w:rsidR="00725977" w:rsidRPr="00D4309F" w:rsidRDefault="00725977" w:rsidP="00D27F26">
      <w:pPr>
        <w:pStyle w:val="ListParagraph"/>
        <w:widowControl w:val="0"/>
        <w:numPr>
          <w:ilvl w:val="0"/>
          <w:numId w:val="293"/>
        </w:numPr>
        <w:tabs>
          <w:tab w:val="left" w:pos="501"/>
        </w:tabs>
        <w:autoSpaceDE w:val="0"/>
        <w:autoSpaceDN w:val="0"/>
        <w:spacing w:before="119" w:after="0" w:line="240" w:lineRule="auto"/>
        <w:contextualSpacing w:val="0"/>
      </w:pPr>
      <w:r w:rsidRPr="00D4309F">
        <w:rPr>
          <w:color w:val="211E1F"/>
        </w:rPr>
        <w:t>the</w:t>
      </w:r>
      <w:r w:rsidRPr="00D4309F">
        <w:rPr>
          <w:color w:val="211E1F"/>
          <w:spacing w:val="-6"/>
        </w:rPr>
        <w:t xml:space="preserve"> </w:t>
      </w:r>
      <w:r w:rsidRPr="00D4309F">
        <w:rPr>
          <w:color w:val="211E1F"/>
        </w:rPr>
        <w:t>pump</w:t>
      </w:r>
      <w:r w:rsidRPr="00D4309F">
        <w:rPr>
          <w:color w:val="211E1F"/>
          <w:spacing w:val="-3"/>
        </w:rPr>
        <w:t xml:space="preserve"> </w:t>
      </w:r>
      <w:r w:rsidRPr="00D4309F">
        <w:rPr>
          <w:color w:val="211E1F"/>
        </w:rPr>
        <w:t>system</w:t>
      </w:r>
      <w:r w:rsidRPr="00D4309F">
        <w:rPr>
          <w:color w:val="211E1F"/>
          <w:spacing w:val="-4"/>
        </w:rPr>
        <w:t xml:space="preserve"> </w:t>
      </w:r>
      <w:r w:rsidRPr="00D4309F">
        <w:rPr>
          <w:color w:val="211E1F"/>
        </w:rPr>
        <w:t>must</w:t>
      </w:r>
      <w:r w:rsidRPr="00D4309F">
        <w:rPr>
          <w:color w:val="211E1F"/>
          <w:spacing w:val="-4"/>
        </w:rPr>
        <w:t xml:space="preserve"> </w:t>
      </w:r>
      <w:r w:rsidRPr="00D4309F">
        <w:rPr>
          <w:color w:val="211E1F"/>
        </w:rPr>
        <w:t>be</w:t>
      </w:r>
      <w:r w:rsidRPr="00D4309F">
        <w:rPr>
          <w:color w:val="211E1F"/>
          <w:spacing w:val="-4"/>
        </w:rPr>
        <w:t xml:space="preserve"> </w:t>
      </w:r>
      <w:r w:rsidRPr="00D4309F">
        <w:rPr>
          <w:color w:val="211E1F"/>
        </w:rPr>
        <w:t>maintained</w:t>
      </w:r>
      <w:r w:rsidRPr="00D4309F">
        <w:rPr>
          <w:color w:val="211E1F"/>
          <w:spacing w:val="-3"/>
        </w:rPr>
        <w:t xml:space="preserve"> </w:t>
      </w:r>
      <w:r w:rsidRPr="00D4309F">
        <w:rPr>
          <w:color w:val="211E1F"/>
        </w:rPr>
        <w:t>in</w:t>
      </w:r>
      <w:r w:rsidRPr="00D4309F">
        <w:rPr>
          <w:color w:val="211E1F"/>
          <w:spacing w:val="-5"/>
        </w:rPr>
        <w:t xml:space="preserve"> </w:t>
      </w:r>
      <w:r w:rsidRPr="00D4309F">
        <w:rPr>
          <w:color w:val="211E1F"/>
        </w:rPr>
        <w:t>a</w:t>
      </w:r>
      <w:r w:rsidRPr="00D4309F">
        <w:rPr>
          <w:color w:val="211E1F"/>
          <w:spacing w:val="-3"/>
        </w:rPr>
        <w:t xml:space="preserve"> </w:t>
      </w:r>
      <w:r w:rsidRPr="00D4309F">
        <w:rPr>
          <w:color w:val="211E1F"/>
        </w:rPr>
        <w:t>high-energy</w:t>
      </w:r>
      <w:r w:rsidRPr="00D4309F">
        <w:rPr>
          <w:color w:val="211E1F"/>
          <w:spacing w:val="-3"/>
        </w:rPr>
        <w:t xml:space="preserve"> </w:t>
      </w:r>
      <w:r w:rsidRPr="00D4309F">
        <w:rPr>
          <w:color w:val="211E1F"/>
        </w:rPr>
        <w:t>marine</w:t>
      </w:r>
      <w:r w:rsidRPr="00D4309F">
        <w:rPr>
          <w:color w:val="211E1F"/>
          <w:spacing w:val="-3"/>
        </w:rPr>
        <w:t xml:space="preserve"> </w:t>
      </w:r>
      <w:r w:rsidRPr="00D4309F">
        <w:rPr>
          <w:color w:val="211E1F"/>
          <w:spacing w:val="-2"/>
        </w:rPr>
        <w:t>environment</w:t>
      </w:r>
    </w:p>
    <w:p w14:paraId="571CE089" w14:textId="77777777" w:rsidR="00725977" w:rsidRPr="00D4309F" w:rsidRDefault="00725977" w:rsidP="00D27F26">
      <w:pPr>
        <w:pStyle w:val="ListParagraph"/>
        <w:widowControl w:val="0"/>
        <w:numPr>
          <w:ilvl w:val="0"/>
          <w:numId w:val="293"/>
        </w:numPr>
        <w:tabs>
          <w:tab w:val="left" w:pos="501"/>
        </w:tabs>
        <w:autoSpaceDE w:val="0"/>
        <w:autoSpaceDN w:val="0"/>
        <w:spacing w:before="118" w:after="0" w:line="240" w:lineRule="auto"/>
        <w:contextualSpacing w:val="0"/>
      </w:pPr>
      <w:r w:rsidRPr="00D4309F">
        <w:rPr>
          <w:color w:val="211E1F"/>
        </w:rPr>
        <w:t>periodic</w:t>
      </w:r>
      <w:r w:rsidRPr="00D4309F">
        <w:rPr>
          <w:color w:val="211E1F"/>
          <w:spacing w:val="-8"/>
        </w:rPr>
        <w:t xml:space="preserve"> </w:t>
      </w:r>
      <w:r w:rsidRPr="00D4309F">
        <w:rPr>
          <w:color w:val="211E1F"/>
        </w:rPr>
        <w:t>supplementary</w:t>
      </w:r>
      <w:r w:rsidRPr="00D4309F">
        <w:rPr>
          <w:color w:val="211E1F"/>
          <w:spacing w:val="-4"/>
        </w:rPr>
        <w:t xml:space="preserve"> </w:t>
      </w:r>
      <w:r w:rsidRPr="00D4309F">
        <w:rPr>
          <w:color w:val="211E1F"/>
        </w:rPr>
        <w:t>dredging</w:t>
      </w:r>
      <w:r w:rsidRPr="00D4309F">
        <w:rPr>
          <w:color w:val="211E1F"/>
          <w:spacing w:val="-5"/>
        </w:rPr>
        <w:t xml:space="preserve"> </w:t>
      </w:r>
      <w:r w:rsidRPr="00D4309F">
        <w:rPr>
          <w:color w:val="211E1F"/>
        </w:rPr>
        <w:t>may</w:t>
      </w:r>
      <w:r w:rsidRPr="00D4309F">
        <w:rPr>
          <w:color w:val="211E1F"/>
          <w:spacing w:val="-4"/>
        </w:rPr>
        <w:t xml:space="preserve"> </w:t>
      </w:r>
      <w:r w:rsidRPr="00D4309F">
        <w:rPr>
          <w:color w:val="211E1F"/>
        </w:rPr>
        <w:t>still</w:t>
      </w:r>
      <w:r w:rsidRPr="00D4309F">
        <w:rPr>
          <w:color w:val="211E1F"/>
          <w:spacing w:val="-5"/>
        </w:rPr>
        <w:t xml:space="preserve"> </w:t>
      </w:r>
      <w:r w:rsidRPr="00D4309F">
        <w:rPr>
          <w:color w:val="211E1F"/>
        </w:rPr>
        <w:t>be</w:t>
      </w:r>
      <w:r w:rsidRPr="00D4309F">
        <w:rPr>
          <w:color w:val="211E1F"/>
          <w:spacing w:val="-5"/>
        </w:rPr>
        <w:t xml:space="preserve"> </w:t>
      </w:r>
      <w:r w:rsidRPr="00D4309F">
        <w:rPr>
          <w:color w:val="211E1F"/>
        </w:rPr>
        <w:t>required</w:t>
      </w:r>
      <w:r w:rsidRPr="00D4309F">
        <w:rPr>
          <w:color w:val="211E1F"/>
          <w:spacing w:val="-5"/>
        </w:rPr>
        <w:t xml:space="preserve"> </w:t>
      </w:r>
      <w:r w:rsidRPr="00D4309F">
        <w:rPr>
          <w:color w:val="211E1F"/>
        </w:rPr>
        <w:t>following</w:t>
      </w:r>
      <w:r w:rsidRPr="00D4309F">
        <w:rPr>
          <w:color w:val="211E1F"/>
          <w:spacing w:val="-5"/>
        </w:rPr>
        <w:t xml:space="preserve"> </w:t>
      </w:r>
      <w:r w:rsidRPr="00D4309F">
        <w:rPr>
          <w:color w:val="211E1F"/>
        </w:rPr>
        <w:t>large</w:t>
      </w:r>
      <w:r w:rsidRPr="00D4309F">
        <w:rPr>
          <w:color w:val="211E1F"/>
          <w:spacing w:val="-6"/>
        </w:rPr>
        <w:t xml:space="preserve"> </w:t>
      </w:r>
      <w:r w:rsidRPr="00D4309F">
        <w:rPr>
          <w:color w:val="211E1F"/>
          <w:spacing w:val="-2"/>
        </w:rPr>
        <w:t>events</w:t>
      </w:r>
    </w:p>
    <w:p w14:paraId="40A5EE53" w14:textId="5AAF8741" w:rsidR="00725977" w:rsidRPr="00D4309F" w:rsidRDefault="00725977" w:rsidP="00725977">
      <w:pPr>
        <w:pStyle w:val="BodyText"/>
      </w:pPr>
      <w:r w:rsidRPr="00D4309F">
        <w:lastRenderedPageBreak/>
        <w:t>Because the initial rock excavation removes the major cost burden, operational works involve only the handling</w:t>
      </w:r>
      <w:r w:rsidRPr="00D4309F">
        <w:rPr>
          <w:spacing w:val="-3"/>
        </w:rPr>
        <w:t xml:space="preserve"> </w:t>
      </w:r>
      <w:r w:rsidRPr="00D4309F">
        <w:t>of</w:t>
      </w:r>
      <w:r w:rsidRPr="00D4309F">
        <w:rPr>
          <w:spacing w:val="-3"/>
        </w:rPr>
        <w:t xml:space="preserve"> </w:t>
      </w:r>
      <w:r w:rsidRPr="00D4309F">
        <w:t>clean</w:t>
      </w:r>
      <w:r w:rsidRPr="00D4309F">
        <w:rPr>
          <w:spacing w:val="-3"/>
        </w:rPr>
        <w:t xml:space="preserve"> </w:t>
      </w:r>
      <w:r w:rsidRPr="00D4309F">
        <w:t>sand,</w:t>
      </w:r>
      <w:r w:rsidRPr="00D4309F">
        <w:rPr>
          <w:spacing w:val="-3"/>
        </w:rPr>
        <w:t xml:space="preserve"> </w:t>
      </w:r>
      <w:r w:rsidRPr="00D4309F">
        <w:t>but</w:t>
      </w:r>
      <w:r w:rsidRPr="00D4309F">
        <w:rPr>
          <w:spacing w:val="-5"/>
        </w:rPr>
        <w:t xml:space="preserve"> </w:t>
      </w:r>
      <w:r w:rsidRPr="00D4309F">
        <w:t>the</w:t>
      </w:r>
      <w:r w:rsidRPr="00D4309F">
        <w:rPr>
          <w:spacing w:val="-3"/>
        </w:rPr>
        <w:t xml:space="preserve"> </w:t>
      </w:r>
      <w:r w:rsidRPr="00D4309F">
        <w:t>semi-permanent</w:t>
      </w:r>
      <w:r w:rsidRPr="00D4309F">
        <w:rPr>
          <w:spacing w:val="-3"/>
        </w:rPr>
        <w:t xml:space="preserve"> </w:t>
      </w:r>
      <w:r w:rsidRPr="00D4309F">
        <w:t>pumping</w:t>
      </w:r>
      <w:r w:rsidRPr="00D4309F">
        <w:rPr>
          <w:spacing w:val="-3"/>
        </w:rPr>
        <w:t xml:space="preserve"> </w:t>
      </w:r>
      <w:r w:rsidRPr="00D4309F">
        <w:t>infrastructure</w:t>
      </w:r>
      <w:r w:rsidRPr="00D4309F">
        <w:rPr>
          <w:spacing w:val="-3"/>
        </w:rPr>
        <w:t xml:space="preserve"> </w:t>
      </w:r>
      <w:r w:rsidRPr="00D4309F">
        <w:t>introduces</w:t>
      </w:r>
      <w:r w:rsidRPr="00D4309F">
        <w:rPr>
          <w:spacing w:val="-2"/>
        </w:rPr>
        <w:t xml:space="preserve"> </w:t>
      </w:r>
      <w:r w:rsidRPr="00D4309F">
        <w:t>a</w:t>
      </w:r>
      <w:r w:rsidRPr="00D4309F">
        <w:rPr>
          <w:spacing w:val="-3"/>
        </w:rPr>
        <w:t xml:space="preserve"> </w:t>
      </w:r>
      <w:r w:rsidRPr="00D4309F">
        <w:t>steady</w:t>
      </w:r>
      <w:r w:rsidRPr="00D4309F">
        <w:rPr>
          <w:spacing w:val="-2"/>
        </w:rPr>
        <w:t xml:space="preserve"> </w:t>
      </w:r>
      <w:r w:rsidRPr="00D4309F">
        <w:t>annual</w:t>
      </w:r>
      <w:r w:rsidRPr="00D4309F">
        <w:rPr>
          <w:spacing w:val="-3"/>
        </w:rPr>
        <w:t xml:space="preserve"> </w:t>
      </w:r>
      <w:r w:rsidRPr="00D4309F">
        <w:t>running cost profile rather than episodic campaign-based expenditure.</w:t>
      </w:r>
    </w:p>
    <w:p w14:paraId="38B4AF0F" w14:textId="77777777" w:rsidR="00725977" w:rsidRPr="00D4309F" w:rsidRDefault="00725977" w:rsidP="008228CB">
      <w:pPr>
        <w:pStyle w:val="Heading2"/>
      </w:pPr>
      <w:bookmarkStart w:id="372" w:name="_bookmark141"/>
      <w:bookmarkStart w:id="373" w:name="_Toc216699438"/>
      <w:bookmarkEnd w:id="372"/>
      <w:r w:rsidRPr="00D4309F">
        <w:t>Option</w:t>
      </w:r>
      <w:r w:rsidRPr="00D4309F">
        <w:rPr>
          <w:spacing w:val="-13"/>
        </w:rPr>
        <w:t xml:space="preserve"> </w:t>
      </w:r>
      <w:r w:rsidRPr="00D4309F">
        <w:t>2</w:t>
      </w:r>
      <w:r w:rsidRPr="00D4309F">
        <w:rPr>
          <w:spacing w:val="-11"/>
        </w:rPr>
        <w:t xml:space="preserve"> </w:t>
      </w:r>
      <w:r w:rsidRPr="00D4309F">
        <w:t>sub-options</w:t>
      </w:r>
      <w:r w:rsidRPr="00D4309F">
        <w:rPr>
          <w:spacing w:val="-11"/>
        </w:rPr>
        <w:t xml:space="preserve"> </w:t>
      </w:r>
      <w:r w:rsidRPr="00D4309F">
        <w:rPr>
          <w:spacing w:val="-2"/>
        </w:rPr>
        <w:t>compared</w:t>
      </w:r>
      <w:bookmarkEnd w:id="373"/>
    </w:p>
    <w:p w14:paraId="4FD54F05" w14:textId="2CE4C91C" w:rsidR="00DB7B5A" w:rsidRPr="00DB7B5A" w:rsidRDefault="005A0545" w:rsidP="00151534">
      <w:pPr>
        <w:pStyle w:val="Table-Caption"/>
      </w:pPr>
      <w:bookmarkStart w:id="374" w:name="_bookmark142"/>
      <w:bookmarkStart w:id="375" w:name="_Toc216699564"/>
      <w:bookmarkEnd w:id="374"/>
      <w:r>
        <w:t xml:space="preserve">Table </w:t>
      </w:r>
      <w:r w:rsidR="00151534">
        <w:fldChar w:fldCharType="begin" w:fldLock="1"/>
      </w:r>
      <w:r w:rsidR="00151534">
        <w:instrText xml:space="preserve"> STYLEREF 1 \s </w:instrText>
      </w:r>
      <w:r w:rsidR="00151534">
        <w:fldChar w:fldCharType="separate"/>
      </w:r>
      <w:r w:rsidR="00151534">
        <w:rPr>
          <w:noProof/>
        </w:rPr>
        <w:t>14</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7</w:t>
      </w:r>
      <w:r w:rsidR="00151534">
        <w:fldChar w:fldCharType="end"/>
      </w:r>
      <w:r>
        <w:t>:</w:t>
      </w:r>
      <w:r>
        <w:tab/>
      </w:r>
      <w:r w:rsidRPr="00D4309F">
        <w:rPr>
          <w:color w:val="211E1F"/>
        </w:rPr>
        <w:t>Comparing</w:t>
      </w:r>
      <w:r w:rsidRPr="00D4309F">
        <w:rPr>
          <w:color w:val="211E1F"/>
          <w:spacing w:val="-1"/>
        </w:rPr>
        <w:t xml:space="preserve"> </w:t>
      </w:r>
      <w:r w:rsidRPr="00D4309F">
        <w:rPr>
          <w:color w:val="211E1F"/>
        </w:rPr>
        <w:t>of</w:t>
      </w:r>
      <w:r w:rsidRPr="00D4309F">
        <w:rPr>
          <w:color w:val="211E1F"/>
          <w:spacing w:val="-2"/>
        </w:rPr>
        <w:t xml:space="preserve"> </w:t>
      </w:r>
      <w:r w:rsidRPr="00D4309F">
        <w:rPr>
          <w:color w:val="211E1F"/>
        </w:rPr>
        <w:t>Option</w:t>
      </w:r>
      <w:r w:rsidRPr="00D4309F">
        <w:rPr>
          <w:color w:val="211E1F"/>
          <w:spacing w:val="-1"/>
        </w:rPr>
        <w:t xml:space="preserve"> </w:t>
      </w:r>
      <w:r w:rsidRPr="00D4309F">
        <w:rPr>
          <w:color w:val="211E1F"/>
        </w:rPr>
        <w:t>2</w:t>
      </w:r>
      <w:r w:rsidRPr="00D4309F">
        <w:rPr>
          <w:color w:val="211E1F"/>
          <w:spacing w:val="-3"/>
        </w:rPr>
        <w:t xml:space="preserve"> </w:t>
      </w:r>
      <w:r w:rsidRPr="00D4309F">
        <w:rPr>
          <w:color w:val="211E1F"/>
          <w:spacing w:val="-2"/>
        </w:rPr>
        <w:t>variations</w:t>
      </w:r>
      <w:bookmarkEnd w:id="375"/>
    </w:p>
    <w:tbl>
      <w:tblPr>
        <w:tblStyle w:val="Table1"/>
        <w:tblW w:w="9700" w:type="dxa"/>
        <w:tblLayout w:type="fixed"/>
        <w:tblLook w:val="04A0" w:firstRow="1" w:lastRow="0" w:firstColumn="1" w:lastColumn="0" w:noHBand="0" w:noVBand="1"/>
      </w:tblPr>
      <w:tblGrid>
        <w:gridCol w:w="1673"/>
        <w:gridCol w:w="2521"/>
        <w:gridCol w:w="2925"/>
        <w:gridCol w:w="2581"/>
      </w:tblGrid>
      <w:tr w:rsidR="00725977" w:rsidRPr="00D4309F" w14:paraId="1900F4DC" w14:textId="77777777" w:rsidTr="0007157B">
        <w:trPr>
          <w:cnfStyle w:val="100000000000" w:firstRow="1" w:lastRow="0" w:firstColumn="0" w:lastColumn="0" w:oddVBand="0" w:evenVBand="0" w:oddHBand="0" w:evenHBand="0" w:firstRowFirstColumn="0" w:firstRowLastColumn="0" w:lastRowFirstColumn="0" w:lastRowLastColumn="0"/>
          <w:trHeight w:val="700"/>
          <w:tblHeader/>
        </w:trPr>
        <w:tc>
          <w:tcPr>
            <w:tcW w:w="1673" w:type="dxa"/>
          </w:tcPr>
          <w:p w14:paraId="64AE9DBC" w14:textId="77777777" w:rsidR="00725977" w:rsidRPr="00D4309F" w:rsidRDefault="00725977">
            <w:pPr>
              <w:pStyle w:val="TableParagraph"/>
              <w:spacing w:before="40"/>
              <w:rPr>
                <w:b/>
                <w:sz w:val="18"/>
              </w:rPr>
            </w:pPr>
          </w:p>
          <w:p w14:paraId="19E61DAD" w14:textId="77777777" w:rsidR="00725977" w:rsidRPr="00D4309F" w:rsidRDefault="00725977">
            <w:pPr>
              <w:pStyle w:val="TableParagraph"/>
              <w:ind w:left="195"/>
              <w:rPr>
                <w:b/>
                <w:sz w:val="18"/>
              </w:rPr>
            </w:pPr>
            <w:r w:rsidRPr="00D4309F">
              <w:rPr>
                <w:b/>
                <w:color w:val="70004A"/>
                <w:spacing w:val="-2"/>
                <w:sz w:val="18"/>
              </w:rPr>
              <w:t>Criteria</w:t>
            </w:r>
          </w:p>
        </w:tc>
        <w:tc>
          <w:tcPr>
            <w:tcW w:w="2521" w:type="dxa"/>
          </w:tcPr>
          <w:p w14:paraId="2C0D2A4D" w14:textId="77777777" w:rsidR="00725977" w:rsidRPr="00D4309F" w:rsidRDefault="00725977">
            <w:pPr>
              <w:pStyle w:val="TableParagraph"/>
              <w:spacing w:before="40"/>
              <w:ind w:left="216" w:right="213"/>
              <w:rPr>
                <w:b/>
                <w:sz w:val="18"/>
              </w:rPr>
            </w:pPr>
            <w:r w:rsidRPr="00D4309F">
              <w:rPr>
                <w:b/>
                <w:color w:val="70004A"/>
                <w:sz w:val="18"/>
              </w:rPr>
              <w:t>Option</w:t>
            </w:r>
            <w:r w:rsidRPr="00D4309F">
              <w:rPr>
                <w:b/>
                <w:color w:val="70004A"/>
                <w:spacing w:val="-13"/>
                <w:sz w:val="18"/>
              </w:rPr>
              <w:t xml:space="preserve"> </w:t>
            </w:r>
            <w:r w:rsidRPr="00D4309F">
              <w:rPr>
                <w:b/>
                <w:color w:val="70004A"/>
                <w:sz w:val="18"/>
              </w:rPr>
              <w:t>2A</w:t>
            </w:r>
            <w:r w:rsidRPr="00D4309F">
              <w:rPr>
                <w:b/>
                <w:color w:val="70004A"/>
                <w:spacing w:val="-12"/>
                <w:sz w:val="18"/>
              </w:rPr>
              <w:t xml:space="preserve"> </w:t>
            </w:r>
            <w:r w:rsidRPr="00D4309F">
              <w:rPr>
                <w:b/>
                <w:color w:val="70004A"/>
                <w:sz w:val="18"/>
              </w:rPr>
              <w:t>–</w:t>
            </w:r>
            <w:r w:rsidRPr="00D4309F">
              <w:rPr>
                <w:b/>
                <w:color w:val="70004A"/>
                <w:spacing w:val="-13"/>
                <w:sz w:val="18"/>
              </w:rPr>
              <w:t xml:space="preserve"> </w:t>
            </w:r>
            <w:r w:rsidRPr="00D4309F">
              <w:rPr>
                <w:b/>
                <w:color w:val="70004A"/>
                <w:sz w:val="18"/>
              </w:rPr>
              <w:t xml:space="preserve">Deepened entrance trap (CSD </w:t>
            </w:r>
            <w:r w:rsidRPr="00D4309F">
              <w:rPr>
                <w:b/>
                <w:color w:val="70004A"/>
                <w:spacing w:val="-2"/>
                <w:sz w:val="18"/>
              </w:rPr>
              <w:t>maintenance)</w:t>
            </w:r>
          </w:p>
        </w:tc>
        <w:tc>
          <w:tcPr>
            <w:tcW w:w="2925" w:type="dxa"/>
          </w:tcPr>
          <w:p w14:paraId="101C8525" w14:textId="77777777" w:rsidR="00725977" w:rsidRPr="00D4309F" w:rsidRDefault="00725977">
            <w:pPr>
              <w:pStyle w:val="TableParagraph"/>
              <w:spacing w:before="40"/>
              <w:ind w:left="173" w:right="140"/>
              <w:rPr>
                <w:b/>
                <w:sz w:val="18"/>
              </w:rPr>
            </w:pPr>
            <w:r w:rsidRPr="00D4309F">
              <w:rPr>
                <w:b/>
                <w:color w:val="70004A"/>
                <w:sz w:val="18"/>
              </w:rPr>
              <w:t>Option</w:t>
            </w:r>
            <w:r w:rsidRPr="00D4309F">
              <w:rPr>
                <w:b/>
                <w:color w:val="70004A"/>
                <w:spacing w:val="-13"/>
                <w:sz w:val="18"/>
              </w:rPr>
              <w:t xml:space="preserve"> </w:t>
            </w:r>
            <w:r w:rsidRPr="00D4309F">
              <w:rPr>
                <w:b/>
                <w:color w:val="70004A"/>
                <w:sz w:val="18"/>
              </w:rPr>
              <w:t>2B</w:t>
            </w:r>
            <w:r w:rsidRPr="00D4309F">
              <w:rPr>
                <w:b/>
                <w:color w:val="70004A"/>
                <w:spacing w:val="-12"/>
                <w:sz w:val="18"/>
              </w:rPr>
              <w:t xml:space="preserve"> </w:t>
            </w:r>
            <w:r w:rsidRPr="00D4309F">
              <w:rPr>
                <w:b/>
                <w:color w:val="70004A"/>
                <w:sz w:val="18"/>
              </w:rPr>
              <w:t>–</w:t>
            </w:r>
            <w:r w:rsidRPr="00D4309F">
              <w:rPr>
                <w:b/>
                <w:color w:val="70004A"/>
                <w:spacing w:val="-13"/>
                <w:sz w:val="18"/>
              </w:rPr>
              <w:t xml:space="preserve"> </w:t>
            </w:r>
            <w:r w:rsidRPr="00D4309F">
              <w:rPr>
                <w:b/>
                <w:color w:val="70004A"/>
                <w:sz w:val="18"/>
              </w:rPr>
              <w:t xml:space="preserve">Deepened entrance trap (TSHD </w:t>
            </w:r>
            <w:r w:rsidRPr="00D4309F">
              <w:rPr>
                <w:b/>
                <w:color w:val="70004A"/>
                <w:spacing w:val="-2"/>
                <w:sz w:val="18"/>
              </w:rPr>
              <w:t>campaigns)</w:t>
            </w:r>
          </w:p>
        </w:tc>
        <w:tc>
          <w:tcPr>
            <w:tcW w:w="2581" w:type="dxa"/>
          </w:tcPr>
          <w:p w14:paraId="312CA69F" w14:textId="77777777" w:rsidR="00725977" w:rsidRPr="00D4309F" w:rsidRDefault="00725977">
            <w:pPr>
              <w:pStyle w:val="TableParagraph"/>
              <w:spacing w:before="40"/>
              <w:ind w:left="169" w:right="239"/>
              <w:rPr>
                <w:b/>
                <w:sz w:val="18"/>
              </w:rPr>
            </w:pPr>
            <w:r w:rsidRPr="00D4309F">
              <w:rPr>
                <w:b/>
                <w:color w:val="70004A"/>
                <w:sz w:val="18"/>
              </w:rPr>
              <w:t>Option 2C – Deepened entrance trap with semi-permanent</w:t>
            </w:r>
            <w:r w:rsidRPr="00D4309F">
              <w:rPr>
                <w:b/>
                <w:color w:val="70004A"/>
                <w:spacing w:val="-15"/>
                <w:sz w:val="18"/>
              </w:rPr>
              <w:t xml:space="preserve"> </w:t>
            </w:r>
            <w:r w:rsidRPr="00D4309F">
              <w:rPr>
                <w:b/>
                <w:color w:val="70004A"/>
                <w:sz w:val="18"/>
              </w:rPr>
              <w:t>pump</w:t>
            </w:r>
            <w:r w:rsidRPr="00D4309F">
              <w:rPr>
                <w:b/>
                <w:color w:val="70004A"/>
                <w:spacing w:val="-12"/>
                <w:sz w:val="18"/>
              </w:rPr>
              <w:t xml:space="preserve"> </w:t>
            </w:r>
            <w:r w:rsidRPr="00D4309F">
              <w:rPr>
                <w:b/>
                <w:color w:val="70004A"/>
                <w:sz w:val="18"/>
              </w:rPr>
              <w:t>system</w:t>
            </w:r>
          </w:p>
        </w:tc>
      </w:tr>
      <w:tr w:rsidR="00725977" w:rsidRPr="00D4309F" w14:paraId="48268BF6" w14:textId="77777777" w:rsidTr="0007157B">
        <w:trPr>
          <w:trHeight w:val="1322"/>
        </w:trPr>
        <w:tc>
          <w:tcPr>
            <w:tcW w:w="1673" w:type="dxa"/>
          </w:tcPr>
          <w:p w14:paraId="54BE6041" w14:textId="77777777" w:rsidR="00725977" w:rsidRPr="00D4309F" w:rsidRDefault="00725977">
            <w:pPr>
              <w:pStyle w:val="TableParagraph"/>
              <w:rPr>
                <w:b/>
                <w:sz w:val="18"/>
              </w:rPr>
            </w:pPr>
          </w:p>
          <w:p w14:paraId="267F90A1" w14:textId="77777777" w:rsidR="00725977" w:rsidRPr="00D4309F" w:rsidRDefault="00725977">
            <w:pPr>
              <w:pStyle w:val="TableParagraph"/>
              <w:spacing w:before="144"/>
              <w:rPr>
                <w:b/>
                <w:sz w:val="18"/>
              </w:rPr>
            </w:pPr>
          </w:p>
          <w:p w14:paraId="06DC435D" w14:textId="77777777" w:rsidR="00725977" w:rsidRPr="00D4309F" w:rsidRDefault="00725977">
            <w:pPr>
              <w:pStyle w:val="TableParagraph"/>
              <w:ind w:left="195"/>
              <w:rPr>
                <w:b/>
                <w:sz w:val="18"/>
              </w:rPr>
            </w:pPr>
            <w:r w:rsidRPr="00D4309F">
              <w:rPr>
                <w:b/>
                <w:color w:val="211E1F"/>
                <w:spacing w:val="-2"/>
                <w:sz w:val="18"/>
              </w:rPr>
              <w:t>Description</w:t>
            </w:r>
          </w:p>
        </w:tc>
        <w:tc>
          <w:tcPr>
            <w:tcW w:w="2521" w:type="dxa"/>
          </w:tcPr>
          <w:p w14:paraId="4B10F637" w14:textId="77777777" w:rsidR="00725977" w:rsidRPr="00D4309F" w:rsidRDefault="00725977">
            <w:pPr>
              <w:pStyle w:val="TableParagraph"/>
              <w:spacing w:before="144"/>
              <w:ind w:left="216" w:right="194"/>
              <w:rPr>
                <w:sz w:val="18"/>
              </w:rPr>
            </w:pPr>
            <w:r w:rsidRPr="00D4309F">
              <w:rPr>
                <w:color w:val="211E1F"/>
                <w:sz w:val="18"/>
              </w:rPr>
              <w:t>Excavate a rock-based sand</w:t>
            </w:r>
            <w:r w:rsidRPr="00D4309F">
              <w:rPr>
                <w:color w:val="211E1F"/>
                <w:spacing w:val="-10"/>
                <w:sz w:val="18"/>
              </w:rPr>
              <w:t xml:space="preserve"> </w:t>
            </w:r>
            <w:r w:rsidRPr="00D4309F">
              <w:rPr>
                <w:color w:val="211E1F"/>
                <w:sz w:val="18"/>
              </w:rPr>
              <w:t>trap</w:t>
            </w:r>
            <w:r w:rsidRPr="00D4309F">
              <w:rPr>
                <w:color w:val="211E1F"/>
                <w:spacing w:val="-10"/>
                <w:sz w:val="18"/>
              </w:rPr>
              <w:t xml:space="preserve"> </w:t>
            </w:r>
            <w:r w:rsidRPr="00D4309F">
              <w:rPr>
                <w:color w:val="211E1F"/>
                <w:sz w:val="18"/>
              </w:rPr>
              <w:t>in</w:t>
            </w:r>
            <w:r w:rsidRPr="00D4309F">
              <w:rPr>
                <w:color w:val="211E1F"/>
                <w:spacing w:val="-10"/>
                <w:sz w:val="18"/>
              </w:rPr>
              <w:t xml:space="preserve"> </w:t>
            </w:r>
            <w:r w:rsidRPr="00D4309F">
              <w:rPr>
                <w:color w:val="211E1F"/>
                <w:sz w:val="18"/>
              </w:rPr>
              <w:t>the</w:t>
            </w:r>
            <w:r w:rsidRPr="00D4309F">
              <w:rPr>
                <w:color w:val="211E1F"/>
                <w:spacing w:val="-10"/>
                <w:sz w:val="18"/>
              </w:rPr>
              <w:t xml:space="preserve"> </w:t>
            </w:r>
            <w:r w:rsidRPr="00D4309F">
              <w:rPr>
                <w:color w:val="211E1F"/>
                <w:sz w:val="18"/>
              </w:rPr>
              <w:t>entrance; maintain via periodic Cutter Suction Dredge (CSD) operations.</w:t>
            </w:r>
          </w:p>
        </w:tc>
        <w:tc>
          <w:tcPr>
            <w:tcW w:w="2925" w:type="dxa"/>
          </w:tcPr>
          <w:p w14:paraId="64C274FE" w14:textId="77777777" w:rsidR="00725977" w:rsidRPr="00D4309F" w:rsidRDefault="00725977">
            <w:pPr>
              <w:pStyle w:val="TableParagraph"/>
              <w:spacing w:before="39"/>
              <w:ind w:left="173" w:right="140"/>
              <w:rPr>
                <w:sz w:val="18"/>
              </w:rPr>
            </w:pPr>
            <w:r w:rsidRPr="00D4309F">
              <w:rPr>
                <w:color w:val="211E1F"/>
                <w:sz w:val="18"/>
              </w:rPr>
              <w:t>Excavate a rock-based sand trap;</w:t>
            </w:r>
            <w:r w:rsidRPr="00D4309F">
              <w:rPr>
                <w:color w:val="211E1F"/>
                <w:spacing w:val="-13"/>
                <w:sz w:val="18"/>
              </w:rPr>
              <w:t xml:space="preserve"> </w:t>
            </w:r>
            <w:r w:rsidRPr="00D4309F">
              <w:rPr>
                <w:color w:val="211E1F"/>
                <w:sz w:val="18"/>
              </w:rPr>
              <w:t>remove</w:t>
            </w:r>
            <w:r w:rsidRPr="00D4309F">
              <w:rPr>
                <w:color w:val="211E1F"/>
                <w:spacing w:val="-12"/>
                <w:sz w:val="18"/>
              </w:rPr>
              <w:t xml:space="preserve"> </w:t>
            </w:r>
            <w:r w:rsidRPr="00D4309F">
              <w:rPr>
                <w:color w:val="211E1F"/>
                <w:sz w:val="18"/>
              </w:rPr>
              <w:t>accumulated</w:t>
            </w:r>
            <w:r w:rsidRPr="00D4309F">
              <w:rPr>
                <w:color w:val="211E1F"/>
                <w:spacing w:val="-13"/>
                <w:sz w:val="18"/>
              </w:rPr>
              <w:t xml:space="preserve"> </w:t>
            </w:r>
            <w:r w:rsidRPr="00D4309F">
              <w:rPr>
                <w:color w:val="211E1F"/>
                <w:sz w:val="18"/>
              </w:rPr>
              <w:t xml:space="preserve">sand with periodic Trailer Suction Hopper Dredge (TSHD) campaigns and nearshore </w:t>
            </w:r>
            <w:r w:rsidRPr="00D4309F">
              <w:rPr>
                <w:color w:val="211E1F"/>
                <w:spacing w:val="-2"/>
                <w:sz w:val="18"/>
              </w:rPr>
              <w:t>placement.</w:t>
            </w:r>
          </w:p>
        </w:tc>
        <w:tc>
          <w:tcPr>
            <w:tcW w:w="2581" w:type="dxa"/>
          </w:tcPr>
          <w:p w14:paraId="130F2C63" w14:textId="77777777" w:rsidR="00725977" w:rsidRPr="00D4309F" w:rsidRDefault="00725977">
            <w:pPr>
              <w:pStyle w:val="TableParagraph"/>
              <w:spacing w:before="39"/>
              <w:ind w:left="169" w:right="239"/>
              <w:rPr>
                <w:sz w:val="18"/>
              </w:rPr>
            </w:pPr>
            <w:r w:rsidRPr="00D4309F">
              <w:rPr>
                <w:color w:val="211E1F"/>
                <w:sz w:val="18"/>
              </w:rPr>
              <w:t>Excavate a rock-based sand trap; install an onshore</w:t>
            </w:r>
            <w:r w:rsidRPr="00D4309F">
              <w:rPr>
                <w:color w:val="211E1F"/>
                <w:spacing w:val="-13"/>
                <w:sz w:val="18"/>
              </w:rPr>
              <w:t xml:space="preserve"> </w:t>
            </w:r>
            <w:r w:rsidRPr="00D4309F">
              <w:rPr>
                <w:color w:val="211E1F"/>
                <w:sz w:val="18"/>
              </w:rPr>
              <w:t>pump</w:t>
            </w:r>
            <w:r w:rsidRPr="00D4309F">
              <w:rPr>
                <w:color w:val="211E1F"/>
                <w:spacing w:val="-12"/>
                <w:sz w:val="18"/>
              </w:rPr>
              <w:t xml:space="preserve"> </w:t>
            </w:r>
            <w:r w:rsidRPr="00D4309F">
              <w:rPr>
                <w:color w:val="211E1F"/>
                <w:sz w:val="18"/>
              </w:rPr>
              <w:t>system</w:t>
            </w:r>
            <w:r w:rsidRPr="00D4309F">
              <w:rPr>
                <w:color w:val="211E1F"/>
                <w:spacing w:val="-13"/>
                <w:sz w:val="18"/>
              </w:rPr>
              <w:t xml:space="preserve"> </w:t>
            </w:r>
            <w:r w:rsidRPr="00D4309F">
              <w:rPr>
                <w:color w:val="211E1F"/>
                <w:sz w:val="18"/>
              </w:rPr>
              <w:t>and fixed intakes to transfer sand slurry across the entrance on demand.</w:t>
            </w:r>
          </w:p>
        </w:tc>
      </w:tr>
      <w:tr w:rsidR="00725977" w:rsidRPr="00D4309F" w14:paraId="37C42DB8" w14:textId="77777777" w:rsidTr="0007157B">
        <w:trPr>
          <w:trHeight w:val="701"/>
        </w:trPr>
        <w:tc>
          <w:tcPr>
            <w:tcW w:w="1673" w:type="dxa"/>
          </w:tcPr>
          <w:p w14:paraId="09D4267A" w14:textId="77777777" w:rsidR="00725977" w:rsidRPr="00D4309F" w:rsidRDefault="00725977">
            <w:pPr>
              <w:pStyle w:val="TableParagraph"/>
              <w:spacing w:before="40"/>
              <w:rPr>
                <w:b/>
                <w:sz w:val="18"/>
              </w:rPr>
            </w:pPr>
          </w:p>
          <w:p w14:paraId="2AD4BC16" w14:textId="77777777" w:rsidR="00725977" w:rsidRPr="00D4309F" w:rsidRDefault="00725977">
            <w:pPr>
              <w:pStyle w:val="TableParagraph"/>
              <w:ind w:left="195"/>
              <w:rPr>
                <w:b/>
                <w:sz w:val="18"/>
              </w:rPr>
            </w:pPr>
            <w:r w:rsidRPr="00D4309F">
              <w:rPr>
                <w:b/>
                <w:color w:val="211E1F"/>
                <w:sz w:val="18"/>
              </w:rPr>
              <w:t>Capital</w:t>
            </w:r>
            <w:r w:rsidRPr="00D4309F">
              <w:rPr>
                <w:b/>
                <w:color w:val="211E1F"/>
                <w:spacing w:val="-5"/>
                <w:sz w:val="18"/>
              </w:rPr>
              <w:t xml:space="preserve"> </w:t>
            </w:r>
            <w:r w:rsidRPr="00D4309F">
              <w:rPr>
                <w:b/>
                <w:color w:val="211E1F"/>
                <w:spacing w:val="-2"/>
                <w:sz w:val="18"/>
              </w:rPr>
              <w:t>works</w:t>
            </w:r>
          </w:p>
        </w:tc>
        <w:tc>
          <w:tcPr>
            <w:tcW w:w="2521" w:type="dxa"/>
          </w:tcPr>
          <w:p w14:paraId="3E406073" w14:textId="77777777" w:rsidR="00725977" w:rsidRPr="00D4309F" w:rsidRDefault="00725977">
            <w:pPr>
              <w:pStyle w:val="TableParagraph"/>
              <w:spacing w:before="39"/>
              <w:ind w:left="216" w:right="213"/>
              <w:rPr>
                <w:sz w:val="18"/>
              </w:rPr>
            </w:pPr>
            <w:r w:rsidRPr="00D4309F">
              <w:rPr>
                <w:color w:val="211E1F"/>
                <w:sz w:val="18"/>
              </w:rPr>
              <w:t>Moderate– rock excavation</w:t>
            </w:r>
            <w:r w:rsidRPr="00D4309F">
              <w:rPr>
                <w:color w:val="211E1F"/>
                <w:spacing w:val="-15"/>
                <w:sz w:val="18"/>
              </w:rPr>
              <w:t xml:space="preserve"> </w:t>
            </w:r>
            <w:r w:rsidRPr="00D4309F">
              <w:rPr>
                <w:color w:val="211E1F"/>
                <w:sz w:val="18"/>
              </w:rPr>
              <w:t>only;</w:t>
            </w:r>
            <w:r w:rsidRPr="00D4309F">
              <w:rPr>
                <w:color w:val="211E1F"/>
                <w:spacing w:val="-12"/>
                <w:sz w:val="18"/>
              </w:rPr>
              <w:t xml:space="preserve"> </w:t>
            </w:r>
            <w:r w:rsidRPr="00D4309F">
              <w:rPr>
                <w:color w:val="211E1F"/>
                <w:sz w:val="18"/>
              </w:rPr>
              <w:t>minimal surface works.</w:t>
            </w:r>
          </w:p>
        </w:tc>
        <w:tc>
          <w:tcPr>
            <w:tcW w:w="2925" w:type="dxa"/>
          </w:tcPr>
          <w:p w14:paraId="46C0E80E" w14:textId="77777777" w:rsidR="00725977" w:rsidRPr="00D4309F" w:rsidRDefault="00725977">
            <w:pPr>
              <w:pStyle w:val="TableParagraph"/>
              <w:spacing w:before="144"/>
              <w:ind w:left="173" w:right="140"/>
              <w:rPr>
                <w:sz w:val="18"/>
              </w:rPr>
            </w:pPr>
            <w:r w:rsidRPr="00D4309F">
              <w:rPr>
                <w:color w:val="211E1F"/>
                <w:sz w:val="18"/>
              </w:rPr>
              <w:t>Moderate</w:t>
            </w:r>
            <w:r w:rsidRPr="00D4309F">
              <w:rPr>
                <w:color w:val="211E1F"/>
                <w:spacing w:val="-10"/>
                <w:sz w:val="18"/>
              </w:rPr>
              <w:t xml:space="preserve"> </w:t>
            </w:r>
            <w:r w:rsidRPr="00D4309F">
              <w:rPr>
                <w:color w:val="211E1F"/>
                <w:sz w:val="18"/>
              </w:rPr>
              <w:t>–</w:t>
            </w:r>
            <w:r w:rsidRPr="00D4309F">
              <w:rPr>
                <w:color w:val="211E1F"/>
                <w:spacing w:val="-10"/>
                <w:sz w:val="18"/>
              </w:rPr>
              <w:t xml:space="preserve"> </w:t>
            </w:r>
            <w:r w:rsidRPr="00D4309F">
              <w:rPr>
                <w:color w:val="211E1F"/>
                <w:sz w:val="18"/>
              </w:rPr>
              <w:t>same</w:t>
            </w:r>
            <w:r w:rsidRPr="00D4309F">
              <w:rPr>
                <w:color w:val="211E1F"/>
                <w:spacing w:val="-11"/>
                <w:sz w:val="18"/>
              </w:rPr>
              <w:t xml:space="preserve"> </w:t>
            </w:r>
            <w:r w:rsidRPr="00D4309F">
              <w:rPr>
                <w:color w:val="211E1F"/>
                <w:sz w:val="18"/>
              </w:rPr>
              <w:t>excavation</w:t>
            </w:r>
            <w:r w:rsidRPr="00D4309F">
              <w:rPr>
                <w:color w:val="211E1F"/>
                <w:spacing w:val="-9"/>
                <w:sz w:val="18"/>
              </w:rPr>
              <w:t xml:space="preserve"> </w:t>
            </w:r>
            <w:r w:rsidRPr="00D4309F">
              <w:rPr>
                <w:color w:val="211E1F"/>
                <w:sz w:val="18"/>
              </w:rPr>
              <w:t xml:space="preserve">as </w:t>
            </w:r>
            <w:r w:rsidRPr="00D4309F">
              <w:rPr>
                <w:color w:val="211E1F"/>
                <w:spacing w:val="-6"/>
                <w:sz w:val="18"/>
              </w:rPr>
              <w:t>2A</w:t>
            </w:r>
          </w:p>
        </w:tc>
        <w:tc>
          <w:tcPr>
            <w:tcW w:w="2581" w:type="dxa"/>
          </w:tcPr>
          <w:p w14:paraId="7193377A" w14:textId="77777777" w:rsidR="00725977" w:rsidRPr="00D4309F" w:rsidRDefault="00725977">
            <w:pPr>
              <w:pStyle w:val="TableParagraph"/>
              <w:spacing w:before="39"/>
              <w:ind w:left="169" w:right="239"/>
              <w:rPr>
                <w:sz w:val="18"/>
              </w:rPr>
            </w:pPr>
            <w:r w:rsidRPr="00D4309F">
              <w:rPr>
                <w:color w:val="211E1F"/>
                <w:sz w:val="18"/>
              </w:rPr>
              <w:t>Major– additional excavation</w:t>
            </w:r>
            <w:r w:rsidRPr="00D4309F">
              <w:rPr>
                <w:color w:val="211E1F"/>
                <w:spacing w:val="-13"/>
                <w:sz w:val="18"/>
              </w:rPr>
              <w:t xml:space="preserve"> </w:t>
            </w:r>
            <w:r w:rsidRPr="00D4309F">
              <w:rPr>
                <w:color w:val="211E1F"/>
                <w:sz w:val="18"/>
              </w:rPr>
              <w:t>for</w:t>
            </w:r>
            <w:r w:rsidRPr="00D4309F">
              <w:rPr>
                <w:color w:val="211E1F"/>
                <w:spacing w:val="-12"/>
                <w:sz w:val="18"/>
              </w:rPr>
              <w:t xml:space="preserve"> </w:t>
            </w:r>
            <w:r w:rsidRPr="00D4309F">
              <w:rPr>
                <w:color w:val="211E1F"/>
                <w:sz w:val="18"/>
              </w:rPr>
              <w:t>pump</w:t>
            </w:r>
            <w:r w:rsidRPr="00D4309F">
              <w:rPr>
                <w:color w:val="211E1F"/>
                <w:spacing w:val="-13"/>
                <w:sz w:val="18"/>
              </w:rPr>
              <w:t xml:space="preserve"> </w:t>
            </w:r>
            <w:r w:rsidRPr="00D4309F">
              <w:rPr>
                <w:color w:val="211E1F"/>
                <w:sz w:val="18"/>
              </w:rPr>
              <w:t>head and pipeline.</w:t>
            </w:r>
          </w:p>
        </w:tc>
      </w:tr>
      <w:tr w:rsidR="00725977" w:rsidRPr="00D4309F" w14:paraId="4DDD034B" w14:textId="77777777" w:rsidTr="0007157B">
        <w:trPr>
          <w:trHeight w:val="1114"/>
        </w:trPr>
        <w:tc>
          <w:tcPr>
            <w:tcW w:w="1673" w:type="dxa"/>
          </w:tcPr>
          <w:p w14:paraId="7C1AC2FB" w14:textId="77777777" w:rsidR="00725977" w:rsidRPr="00D4309F" w:rsidRDefault="00725977">
            <w:pPr>
              <w:pStyle w:val="TableParagraph"/>
              <w:spacing w:before="142"/>
              <w:rPr>
                <w:b/>
                <w:sz w:val="18"/>
              </w:rPr>
            </w:pPr>
          </w:p>
          <w:p w14:paraId="29B720E7" w14:textId="77777777" w:rsidR="00725977" w:rsidRPr="00D4309F" w:rsidRDefault="00725977">
            <w:pPr>
              <w:pStyle w:val="TableParagraph"/>
              <w:ind w:left="195" w:right="9"/>
              <w:rPr>
                <w:b/>
                <w:sz w:val="18"/>
              </w:rPr>
            </w:pPr>
            <w:r w:rsidRPr="00D4309F">
              <w:rPr>
                <w:b/>
                <w:color w:val="211E1F"/>
                <w:spacing w:val="-2"/>
                <w:sz w:val="18"/>
              </w:rPr>
              <w:t>Operational works</w:t>
            </w:r>
          </w:p>
        </w:tc>
        <w:tc>
          <w:tcPr>
            <w:tcW w:w="2521" w:type="dxa"/>
          </w:tcPr>
          <w:p w14:paraId="7176125C" w14:textId="77777777" w:rsidR="00725977" w:rsidRPr="00D4309F" w:rsidRDefault="00725977">
            <w:pPr>
              <w:pStyle w:val="TableParagraph"/>
              <w:spacing w:before="143"/>
              <w:ind w:left="216" w:right="194"/>
              <w:rPr>
                <w:sz w:val="18"/>
              </w:rPr>
            </w:pPr>
            <w:r w:rsidRPr="00D4309F">
              <w:rPr>
                <w:color w:val="211E1F"/>
                <w:sz w:val="18"/>
              </w:rPr>
              <w:t>Small-scale dredging (CSD); placement</w:t>
            </w:r>
            <w:r w:rsidRPr="00D4309F">
              <w:rPr>
                <w:color w:val="211E1F"/>
                <w:spacing w:val="-15"/>
                <w:sz w:val="18"/>
              </w:rPr>
              <w:t xml:space="preserve"> </w:t>
            </w:r>
            <w:r w:rsidRPr="00D4309F">
              <w:rPr>
                <w:color w:val="211E1F"/>
                <w:sz w:val="18"/>
              </w:rPr>
              <w:t>to</w:t>
            </w:r>
            <w:r w:rsidRPr="00D4309F">
              <w:rPr>
                <w:color w:val="211E1F"/>
                <w:spacing w:val="-12"/>
                <w:sz w:val="18"/>
              </w:rPr>
              <w:t xml:space="preserve"> </w:t>
            </w:r>
            <w:r w:rsidRPr="00D4309F">
              <w:rPr>
                <w:color w:val="211E1F"/>
                <w:sz w:val="18"/>
              </w:rPr>
              <w:t xml:space="preserve">Mooloolaba </w:t>
            </w:r>
            <w:r w:rsidRPr="00D4309F">
              <w:rPr>
                <w:color w:val="211E1F"/>
                <w:spacing w:val="-2"/>
                <w:sz w:val="18"/>
              </w:rPr>
              <w:t>Beach.</w:t>
            </w:r>
          </w:p>
        </w:tc>
        <w:tc>
          <w:tcPr>
            <w:tcW w:w="2925" w:type="dxa"/>
          </w:tcPr>
          <w:p w14:paraId="59AB4875" w14:textId="77777777" w:rsidR="00725977" w:rsidRPr="00D4309F" w:rsidRDefault="00725977">
            <w:pPr>
              <w:pStyle w:val="TableParagraph"/>
              <w:spacing w:before="39"/>
              <w:rPr>
                <w:b/>
                <w:sz w:val="18"/>
              </w:rPr>
            </w:pPr>
          </w:p>
          <w:p w14:paraId="1B07A638" w14:textId="77777777" w:rsidR="00725977" w:rsidRPr="00D4309F" w:rsidRDefault="00725977">
            <w:pPr>
              <w:pStyle w:val="TableParagraph"/>
              <w:ind w:left="173" w:right="333"/>
              <w:rPr>
                <w:sz w:val="18"/>
              </w:rPr>
            </w:pPr>
            <w:r w:rsidRPr="00D4309F">
              <w:rPr>
                <w:color w:val="211E1F"/>
                <w:sz w:val="18"/>
              </w:rPr>
              <w:t>Larger dredging campaigns (TSHD);</w:t>
            </w:r>
            <w:r w:rsidRPr="00D4309F">
              <w:rPr>
                <w:color w:val="211E1F"/>
                <w:spacing w:val="-15"/>
                <w:sz w:val="18"/>
              </w:rPr>
              <w:t xml:space="preserve"> </w:t>
            </w:r>
            <w:r w:rsidRPr="00D4309F">
              <w:rPr>
                <w:color w:val="211E1F"/>
                <w:sz w:val="18"/>
              </w:rPr>
              <w:t>nearshore</w:t>
            </w:r>
            <w:r w:rsidRPr="00D4309F">
              <w:rPr>
                <w:color w:val="211E1F"/>
                <w:spacing w:val="-12"/>
                <w:sz w:val="18"/>
              </w:rPr>
              <w:t xml:space="preserve"> </w:t>
            </w:r>
            <w:r w:rsidRPr="00D4309F">
              <w:rPr>
                <w:color w:val="211E1F"/>
                <w:sz w:val="18"/>
              </w:rPr>
              <w:t>placement in Area B.</w:t>
            </w:r>
          </w:p>
        </w:tc>
        <w:tc>
          <w:tcPr>
            <w:tcW w:w="2581" w:type="dxa"/>
          </w:tcPr>
          <w:p w14:paraId="0F807389" w14:textId="77777777" w:rsidR="00725977" w:rsidRPr="00D4309F" w:rsidRDefault="00725977">
            <w:pPr>
              <w:pStyle w:val="TableParagraph"/>
              <w:spacing w:before="39"/>
              <w:ind w:left="169" w:right="239"/>
              <w:rPr>
                <w:sz w:val="18"/>
              </w:rPr>
            </w:pPr>
            <w:r w:rsidRPr="00D4309F">
              <w:rPr>
                <w:color w:val="211E1F"/>
                <w:sz w:val="18"/>
              </w:rPr>
              <w:t>Intermittent pumping as required; on-demand sediment</w:t>
            </w:r>
            <w:r w:rsidRPr="00D4309F">
              <w:rPr>
                <w:color w:val="211E1F"/>
                <w:spacing w:val="-15"/>
                <w:sz w:val="18"/>
              </w:rPr>
              <w:t xml:space="preserve"> </w:t>
            </w:r>
            <w:r w:rsidRPr="00D4309F">
              <w:rPr>
                <w:color w:val="211E1F"/>
                <w:sz w:val="18"/>
              </w:rPr>
              <w:t>transfer</w:t>
            </w:r>
            <w:r w:rsidRPr="00D4309F">
              <w:rPr>
                <w:color w:val="211E1F"/>
                <w:spacing w:val="-12"/>
                <w:sz w:val="18"/>
              </w:rPr>
              <w:t xml:space="preserve"> </w:t>
            </w:r>
            <w:r w:rsidRPr="00D4309F">
              <w:rPr>
                <w:color w:val="211E1F"/>
                <w:sz w:val="18"/>
              </w:rPr>
              <w:t xml:space="preserve">across entrance using slurry </w:t>
            </w:r>
            <w:r w:rsidRPr="00D4309F">
              <w:rPr>
                <w:color w:val="211E1F"/>
                <w:spacing w:val="-2"/>
                <w:sz w:val="18"/>
              </w:rPr>
              <w:t>system.</w:t>
            </w:r>
          </w:p>
        </w:tc>
      </w:tr>
      <w:tr w:rsidR="00725977" w:rsidRPr="00D4309F" w14:paraId="7218FE06" w14:textId="77777777" w:rsidTr="0007157B">
        <w:trPr>
          <w:trHeight w:val="1114"/>
        </w:trPr>
        <w:tc>
          <w:tcPr>
            <w:tcW w:w="1673" w:type="dxa"/>
          </w:tcPr>
          <w:p w14:paraId="32D43AC0" w14:textId="77777777" w:rsidR="00725977" w:rsidRPr="00D4309F" w:rsidRDefault="00725977">
            <w:pPr>
              <w:pStyle w:val="TableParagraph"/>
              <w:spacing w:before="143"/>
              <w:rPr>
                <w:b/>
                <w:sz w:val="18"/>
              </w:rPr>
            </w:pPr>
          </w:p>
          <w:p w14:paraId="12DE9DD0" w14:textId="77777777" w:rsidR="00725977" w:rsidRPr="00D4309F" w:rsidRDefault="00725977">
            <w:pPr>
              <w:pStyle w:val="TableParagraph"/>
              <w:ind w:left="195" w:right="585"/>
              <w:rPr>
                <w:b/>
                <w:sz w:val="18"/>
              </w:rPr>
            </w:pPr>
            <w:r w:rsidRPr="00D4309F">
              <w:rPr>
                <w:b/>
                <w:color w:val="211E1F"/>
                <w:spacing w:val="-2"/>
                <w:sz w:val="18"/>
              </w:rPr>
              <w:t>Physical processes</w:t>
            </w:r>
          </w:p>
        </w:tc>
        <w:tc>
          <w:tcPr>
            <w:tcW w:w="2521" w:type="dxa"/>
          </w:tcPr>
          <w:p w14:paraId="0158E1AC" w14:textId="77777777" w:rsidR="00725977" w:rsidRPr="00D4309F" w:rsidRDefault="00725977">
            <w:pPr>
              <w:pStyle w:val="TableParagraph"/>
              <w:spacing w:before="143"/>
              <w:ind w:left="217" w:right="194"/>
              <w:rPr>
                <w:sz w:val="18"/>
              </w:rPr>
            </w:pPr>
            <w:r w:rsidRPr="00D4309F">
              <w:rPr>
                <w:color w:val="211E1F"/>
                <w:sz w:val="18"/>
              </w:rPr>
              <w:t>Functions</w:t>
            </w:r>
            <w:r w:rsidRPr="00D4309F">
              <w:rPr>
                <w:color w:val="211E1F"/>
                <w:spacing w:val="-13"/>
                <w:sz w:val="18"/>
              </w:rPr>
              <w:t xml:space="preserve"> </w:t>
            </w:r>
            <w:r w:rsidRPr="00D4309F">
              <w:rPr>
                <w:color w:val="211E1F"/>
                <w:sz w:val="18"/>
              </w:rPr>
              <w:t>as</w:t>
            </w:r>
            <w:r w:rsidRPr="00D4309F">
              <w:rPr>
                <w:color w:val="211E1F"/>
                <w:spacing w:val="-12"/>
                <w:sz w:val="18"/>
              </w:rPr>
              <w:t xml:space="preserve"> </w:t>
            </w:r>
            <w:r w:rsidRPr="00D4309F">
              <w:rPr>
                <w:color w:val="211E1F"/>
                <w:sz w:val="18"/>
              </w:rPr>
              <w:t>a</w:t>
            </w:r>
            <w:r w:rsidRPr="00D4309F">
              <w:rPr>
                <w:color w:val="211E1F"/>
                <w:spacing w:val="-13"/>
                <w:sz w:val="18"/>
              </w:rPr>
              <w:t xml:space="preserve"> </w:t>
            </w:r>
            <w:r w:rsidRPr="00D4309F">
              <w:rPr>
                <w:color w:val="211E1F"/>
                <w:sz w:val="18"/>
              </w:rPr>
              <w:t>sediment sink; reduces shoaling frequency but relies on dredging access.</w:t>
            </w:r>
          </w:p>
        </w:tc>
        <w:tc>
          <w:tcPr>
            <w:tcW w:w="2925" w:type="dxa"/>
          </w:tcPr>
          <w:p w14:paraId="49D6444C" w14:textId="77777777" w:rsidR="00725977" w:rsidRPr="00D4309F" w:rsidRDefault="00725977">
            <w:pPr>
              <w:pStyle w:val="TableParagraph"/>
              <w:spacing w:before="123"/>
              <w:ind w:left="173" w:right="140"/>
              <w:rPr>
                <w:sz w:val="18"/>
              </w:rPr>
            </w:pPr>
            <w:r w:rsidRPr="00D4309F">
              <w:rPr>
                <w:color w:val="211E1F"/>
                <w:sz w:val="18"/>
              </w:rPr>
              <w:t>Functions as a sediment sink; reduces</w:t>
            </w:r>
            <w:r w:rsidRPr="00D4309F">
              <w:rPr>
                <w:color w:val="211E1F"/>
                <w:spacing w:val="-13"/>
                <w:sz w:val="18"/>
              </w:rPr>
              <w:t xml:space="preserve"> </w:t>
            </w:r>
            <w:r w:rsidRPr="00D4309F">
              <w:rPr>
                <w:color w:val="211E1F"/>
                <w:sz w:val="18"/>
              </w:rPr>
              <w:t>shoaling</w:t>
            </w:r>
            <w:r w:rsidRPr="00D4309F">
              <w:rPr>
                <w:color w:val="211E1F"/>
                <w:spacing w:val="-12"/>
                <w:sz w:val="18"/>
              </w:rPr>
              <w:t xml:space="preserve"> </w:t>
            </w:r>
            <w:r w:rsidRPr="00D4309F">
              <w:rPr>
                <w:color w:val="211E1F"/>
                <w:sz w:val="18"/>
              </w:rPr>
              <w:t>frequency</w:t>
            </w:r>
            <w:r w:rsidRPr="00D4309F">
              <w:rPr>
                <w:color w:val="211E1F"/>
                <w:spacing w:val="-13"/>
                <w:sz w:val="18"/>
              </w:rPr>
              <w:t xml:space="preserve"> </w:t>
            </w:r>
            <w:r w:rsidRPr="00D4309F">
              <w:rPr>
                <w:color w:val="211E1F"/>
                <w:sz w:val="18"/>
              </w:rPr>
              <w:t>but relies on dredging access.</w:t>
            </w:r>
          </w:p>
        </w:tc>
        <w:tc>
          <w:tcPr>
            <w:tcW w:w="2581" w:type="dxa"/>
          </w:tcPr>
          <w:p w14:paraId="3C06F605" w14:textId="77777777" w:rsidR="00725977" w:rsidRPr="00D4309F" w:rsidRDefault="00725977">
            <w:pPr>
              <w:pStyle w:val="TableParagraph"/>
              <w:spacing w:before="39"/>
              <w:ind w:left="169" w:right="239"/>
              <w:rPr>
                <w:sz w:val="18"/>
              </w:rPr>
            </w:pPr>
            <w:r w:rsidRPr="00D4309F">
              <w:rPr>
                <w:color w:val="211E1F"/>
                <w:sz w:val="18"/>
              </w:rPr>
              <w:t>Continuous</w:t>
            </w:r>
            <w:r w:rsidRPr="00D4309F">
              <w:rPr>
                <w:color w:val="211E1F"/>
                <w:spacing w:val="-15"/>
                <w:sz w:val="18"/>
              </w:rPr>
              <w:t xml:space="preserve"> </w:t>
            </w:r>
            <w:r w:rsidRPr="00D4309F">
              <w:rPr>
                <w:color w:val="211E1F"/>
                <w:sz w:val="18"/>
              </w:rPr>
              <w:t>or</w:t>
            </w:r>
            <w:r w:rsidRPr="00D4309F">
              <w:rPr>
                <w:color w:val="211E1F"/>
                <w:spacing w:val="-12"/>
                <w:sz w:val="18"/>
              </w:rPr>
              <w:t xml:space="preserve"> </w:t>
            </w:r>
            <w:r w:rsidRPr="00D4309F">
              <w:rPr>
                <w:color w:val="211E1F"/>
                <w:sz w:val="18"/>
              </w:rPr>
              <w:t>responsive sediment management; high</w:t>
            </w:r>
            <w:r w:rsidRPr="00D4309F">
              <w:rPr>
                <w:color w:val="211E1F"/>
                <w:spacing w:val="-13"/>
                <w:sz w:val="18"/>
              </w:rPr>
              <w:t xml:space="preserve"> </w:t>
            </w:r>
            <w:r w:rsidRPr="00D4309F">
              <w:rPr>
                <w:color w:val="211E1F"/>
                <w:sz w:val="18"/>
              </w:rPr>
              <w:t>control</w:t>
            </w:r>
            <w:r w:rsidRPr="00D4309F">
              <w:rPr>
                <w:color w:val="211E1F"/>
                <w:spacing w:val="-12"/>
                <w:sz w:val="18"/>
              </w:rPr>
              <w:t xml:space="preserve"> </w:t>
            </w:r>
            <w:r w:rsidRPr="00D4309F">
              <w:rPr>
                <w:color w:val="211E1F"/>
                <w:sz w:val="18"/>
              </w:rPr>
              <w:t>over</w:t>
            </w:r>
            <w:r w:rsidRPr="00D4309F">
              <w:rPr>
                <w:color w:val="211E1F"/>
                <w:spacing w:val="-13"/>
                <w:sz w:val="18"/>
              </w:rPr>
              <w:t xml:space="preserve"> </w:t>
            </w:r>
            <w:r w:rsidRPr="00D4309F">
              <w:rPr>
                <w:color w:val="211E1F"/>
                <w:sz w:val="18"/>
              </w:rPr>
              <w:t xml:space="preserve">shoaling and near-natural bypass </w:t>
            </w:r>
            <w:r w:rsidRPr="00D4309F">
              <w:rPr>
                <w:color w:val="211E1F"/>
                <w:spacing w:val="-2"/>
                <w:sz w:val="18"/>
              </w:rPr>
              <w:t>replication.</w:t>
            </w:r>
          </w:p>
        </w:tc>
      </w:tr>
      <w:tr w:rsidR="00725977" w:rsidRPr="00D4309F" w14:paraId="4B31C47D" w14:textId="77777777" w:rsidTr="0007157B">
        <w:trPr>
          <w:trHeight w:val="3432"/>
        </w:trPr>
        <w:tc>
          <w:tcPr>
            <w:tcW w:w="1673" w:type="dxa"/>
          </w:tcPr>
          <w:p w14:paraId="43D60EB6" w14:textId="77777777" w:rsidR="00725977" w:rsidRPr="00D4309F" w:rsidRDefault="00725977">
            <w:pPr>
              <w:pStyle w:val="TableParagraph"/>
              <w:rPr>
                <w:b/>
                <w:sz w:val="18"/>
              </w:rPr>
            </w:pPr>
          </w:p>
          <w:p w14:paraId="05FF3091" w14:textId="77777777" w:rsidR="00725977" w:rsidRPr="00D4309F" w:rsidRDefault="00725977">
            <w:pPr>
              <w:pStyle w:val="TableParagraph"/>
              <w:rPr>
                <w:b/>
                <w:sz w:val="18"/>
              </w:rPr>
            </w:pPr>
          </w:p>
          <w:p w14:paraId="29F6D2FD" w14:textId="77777777" w:rsidR="00725977" w:rsidRPr="00D4309F" w:rsidRDefault="00725977">
            <w:pPr>
              <w:pStyle w:val="TableParagraph"/>
              <w:rPr>
                <w:b/>
                <w:sz w:val="18"/>
              </w:rPr>
            </w:pPr>
          </w:p>
          <w:p w14:paraId="7D09031B" w14:textId="77777777" w:rsidR="00725977" w:rsidRPr="00D4309F" w:rsidRDefault="00725977">
            <w:pPr>
              <w:pStyle w:val="TableParagraph"/>
              <w:rPr>
                <w:b/>
                <w:sz w:val="18"/>
              </w:rPr>
            </w:pPr>
          </w:p>
          <w:p w14:paraId="5DC922C9" w14:textId="77777777" w:rsidR="00725977" w:rsidRPr="00D4309F" w:rsidRDefault="00725977">
            <w:pPr>
              <w:pStyle w:val="TableParagraph"/>
              <w:rPr>
                <w:b/>
                <w:sz w:val="18"/>
              </w:rPr>
            </w:pPr>
          </w:p>
          <w:p w14:paraId="08485C27" w14:textId="77777777" w:rsidR="00725977" w:rsidRPr="00D4309F" w:rsidRDefault="00725977">
            <w:pPr>
              <w:pStyle w:val="TableParagraph"/>
              <w:rPr>
                <w:b/>
                <w:sz w:val="18"/>
              </w:rPr>
            </w:pPr>
          </w:p>
          <w:p w14:paraId="5B04038E" w14:textId="77777777" w:rsidR="00725977" w:rsidRPr="00D4309F" w:rsidRDefault="00725977">
            <w:pPr>
              <w:pStyle w:val="TableParagraph"/>
              <w:spacing w:before="60"/>
              <w:rPr>
                <w:b/>
                <w:sz w:val="18"/>
              </w:rPr>
            </w:pPr>
          </w:p>
          <w:p w14:paraId="4409520D" w14:textId="77777777" w:rsidR="00725977" w:rsidRPr="00D4309F" w:rsidRDefault="00725977">
            <w:pPr>
              <w:pStyle w:val="TableParagraph"/>
              <w:spacing w:before="1"/>
              <w:ind w:left="195"/>
              <w:rPr>
                <w:b/>
                <w:sz w:val="18"/>
              </w:rPr>
            </w:pPr>
            <w:r w:rsidRPr="00D4309F">
              <w:rPr>
                <w:b/>
                <w:color w:val="211E1F"/>
                <w:spacing w:val="-2"/>
                <w:sz w:val="18"/>
              </w:rPr>
              <w:t>Environmental impacts</w:t>
            </w:r>
          </w:p>
        </w:tc>
        <w:tc>
          <w:tcPr>
            <w:tcW w:w="2521" w:type="dxa"/>
          </w:tcPr>
          <w:p w14:paraId="349D930B" w14:textId="77777777" w:rsidR="00725977" w:rsidRPr="00D4309F" w:rsidRDefault="00725977">
            <w:pPr>
              <w:pStyle w:val="TableParagraph"/>
              <w:spacing w:before="40"/>
              <w:rPr>
                <w:b/>
                <w:sz w:val="18"/>
              </w:rPr>
            </w:pPr>
          </w:p>
          <w:p w14:paraId="1C1ECA11" w14:textId="77777777" w:rsidR="00725977" w:rsidRPr="00D4309F" w:rsidRDefault="00725977">
            <w:pPr>
              <w:pStyle w:val="TableParagraph"/>
              <w:ind w:left="216" w:right="183"/>
              <w:rPr>
                <w:sz w:val="18"/>
              </w:rPr>
            </w:pPr>
            <w:r w:rsidRPr="00D4309F">
              <w:rPr>
                <w:color w:val="211E1F"/>
                <w:sz w:val="18"/>
              </w:rPr>
              <w:t>Turbidity and noise rock cutting during capital works</w:t>
            </w:r>
            <w:r w:rsidRPr="00D4309F">
              <w:rPr>
                <w:color w:val="211E1F"/>
                <w:spacing w:val="-13"/>
                <w:sz w:val="18"/>
              </w:rPr>
              <w:t xml:space="preserve"> </w:t>
            </w:r>
            <w:r w:rsidRPr="00D4309F">
              <w:rPr>
                <w:color w:val="211E1F"/>
                <w:sz w:val="18"/>
              </w:rPr>
              <w:t>will</w:t>
            </w:r>
            <w:r w:rsidRPr="00D4309F">
              <w:rPr>
                <w:color w:val="211E1F"/>
                <w:spacing w:val="-12"/>
                <w:sz w:val="18"/>
              </w:rPr>
              <w:t xml:space="preserve"> </w:t>
            </w:r>
            <w:r w:rsidRPr="00D4309F">
              <w:rPr>
                <w:color w:val="211E1F"/>
                <w:sz w:val="18"/>
              </w:rPr>
              <w:t>potentially</w:t>
            </w:r>
            <w:r w:rsidRPr="00D4309F">
              <w:rPr>
                <w:color w:val="211E1F"/>
                <w:spacing w:val="-13"/>
                <w:sz w:val="18"/>
              </w:rPr>
              <w:t xml:space="preserve"> </w:t>
            </w:r>
            <w:r w:rsidRPr="00D4309F">
              <w:rPr>
                <w:color w:val="211E1F"/>
                <w:sz w:val="18"/>
              </w:rPr>
              <w:t>result in significant impacts to marine environmental quality, marine and terrestrial fauna and benthic habitats of conservation significance.</w:t>
            </w:r>
          </w:p>
          <w:p w14:paraId="643AA313" w14:textId="77777777" w:rsidR="00725977" w:rsidRPr="00D4309F" w:rsidRDefault="00725977">
            <w:pPr>
              <w:pStyle w:val="TableParagraph"/>
              <w:spacing w:before="39"/>
              <w:ind w:left="217" w:right="194"/>
              <w:rPr>
                <w:sz w:val="18"/>
              </w:rPr>
            </w:pPr>
            <w:r w:rsidRPr="00D4309F">
              <w:rPr>
                <w:color w:val="211E1F"/>
                <w:sz w:val="18"/>
              </w:rPr>
              <w:t>Ongoing works broadly consistent with existing maintenance dredging operations and have low risk</w:t>
            </w:r>
            <w:r w:rsidRPr="00D4309F">
              <w:rPr>
                <w:color w:val="211E1F"/>
                <w:spacing w:val="-13"/>
                <w:sz w:val="18"/>
              </w:rPr>
              <w:t xml:space="preserve"> </w:t>
            </w:r>
            <w:r w:rsidRPr="00D4309F">
              <w:rPr>
                <w:color w:val="211E1F"/>
                <w:sz w:val="18"/>
              </w:rPr>
              <w:t>of</w:t>
            </w:r>
            <w:r w:rsidRPr="00D4309F">
              <w:rPr>
                <w:color w:val="211E1F"/>
                <w:spacing w:val="-12"/>
                <w:sz w:val="18"/>
              </w:rPr>
              <w:t xml:space="preserve"> </w:t>
            </w:r>
            <w:r w:rsidRPr="00D4309F">
              <w:rPr>
                <w:color w:val="211E1F"/>
                <w:sz w:val="18"/>
              </w:rPr>
              <w:t>significant</w:t>
            </w:r>
            <w:r w:rsidRPr="00D4309F">
              <w:rPr>
                <w:color w:val="211E1F"/>
                <w:spacing w:val="-13"/>
                <w:sz w:val="18"/>
              </w:rPr>
              <w:t xml:space="preserve"> </w:t>
            </w:r>
            <w:r w:rsidRPr="00D4309F">
              <w:rPr>
                <w:color w:val="211E1F"/>
                <w:sz w:val="18"/>
              </w:rPr>
              <w:t>impacts.</w:t>
            </w:r>
          </w:p>
        </w:tc>
        <w:tc>
          <w:tcPr>
            <w:tcW w:w="2925" w:type="dxa"/>
          </w:tcPr>
          <w:p w14:paraId="388EF2E2" w14:textId="77777777" w:rsidR="00725977" w:rsidRPr="00D4309F" w:rsidRDefault="00725977">
            <w:pPr>
              <w:pStyle w:val="TableParagraph"/>
              <w:spacing w:before="40"/>
              <w:rPr>
                <w:b/>
                <w:sz w:val="18"/>
              </w:rPr>
            </w:pPr>
          </w:p>
          <w:p w14:paraId="5F089FEA" w14:textId="77777777" w:rsidR="00725977" w:rsidRPr="00D4309F" w:rsidRDefault="00725977">
            <w:pPr>
              <w:pStyle w:val="TableParagraph"/>
              <w:ind w:left="173" w:right="180"/>
              <w:rPr>
                <w:sz w:val="18"/>
              </w:rPr>
            </w:pPr>
            <w:r w:rsidRPr="00D4309F">
              <w:rPr>
                <w:color w:val="211E1F"/>
                <w:sz w:val="18"/>
              </w:rPr>
              <w:t>Turbidity and noise rock cutting during capital works will potentially result in significant impacts to marine</w:t>
            </w:r>
            <w:r w:rsidRPr="00D4309F">
              <w:rPr>
                <w:color w:val="211E1F"/>
                <w:spacing w:val="40"/>
                <w:sz w:val="18"/>
              </w:rPr>
              <w:t xml:space="preserve"> </w:t>
            </w:r>
            <w:r w:rsidRPr="00D4309F">
              <w:rPr>
                <w:color w:val="211E1F"/>
                <w:sz w:val="18"/>
              </w:rPr>
              <w:t>environmental quality, marine and</w:t>
            </w:r>
            <w:r w:rsidRPr="00D4309F">
              <w:rPr>
                <w:color w:val="211E1F"/>
                <w:spacing w:val="-10"/>
                <w:sz w:val="18"/>
              </w:rPr>
              <w:t xml:space="preserve"> </w:t>
            </w:r>
            <w:r w:rsidRPr="00D4309F">
              <w:rPr>
                <w:color w:val="211E1F"/>
                <w:sz w:val="18"/>
              </w:rPr>
              <w:t>terrestrial</w:t>
            </w:r>
            <w:r w:rsidRPr="00D4309F">
              <w:rPr>
                <w:color w:val="211E1F"/>
                <w:spacing w:val="-10"/>
                <w:sz w:val="18"/>
              </w:rPr>
              <w:t xml:space="preserve"> </w:t>
            </w:r>
            <w:r w:rsidRPr="00D4309F">
              <w:rPr>
                <w:color w:val="211E1F"/>
                <w:sz w:val="18"/>
              </w:rPr>
              <w:t>fauna</w:t>
            </w:r>
            <w:r w:rsidRPr="00D4309F">
              <w:rPr>
                <w:color w:val="211E1F"/>
                <w:spacing w:val="-10"/>
                <w:sz w:val="18"/>
              </w:rPr>
              <w:t xml:space="preserve"> </w:t>
            </w:r>
            <w:r w:rsidRPr="00D4309F">
              <w:rPr>
                <w:color w:val="211E1F"/>
                <w:sz w:val="18"/>
              </w:rPr>
              <w:t>and</w:t>
            </w:r>
            <w:r w:rsidRPr="00D4309F">
              <w:rPr>
                <w:color w:val="211E1F"/>
                <w:spacing w:val="-10"/>
                <w:sz w:val="18"/>
              </w:rPr>
              <w:t xml:space="preserve"> </w:t>
            </w:r>
            <w:r w:rsidRPr="00D4309F">
              <w:rPr>
                <w:color w:val="211E1F"/>
                <w:sz w:val="18"/>
              </w:rPr>
              <w:t xml:space="preserve">benthic habitats of conservation </w:t>
            </w:r>
            <w:r w:rsidRPr="00D4309F">
              <w:rPr>
                <w:color w:val="211E1F"/>
                <w:spacing w:val="-2"/>
                <w:sz w:val="18"/>
              </w:rPr>
              <w:t>significance.</w:t>
            </w:r>
          </w:p>
          <w:p w14:paraId="68EBCFB6" w14:textId="77777777" w:rsidR="00725977" w:rsidRPr="00D4309F" w:rsidRDefault="00725977">
            <w:pPr>
              <w:pStyle w:val="TableParagraph"/>
              <w:spacing w:before="40"/>
              <w:ind w:left="173" w:right="333"/>
              <w:rPr>
                <w:sz w:val="18"/>
              </w:rPr>
            </w:pPr>
            <w:r w:rsidRPr="00D4309F">
              <w:rPr>
                <w:color w:val="211E1F"/>
                <w:sz w:val="18"/>
              </w:rPr>
              <w:t>Ongoing works will result in temporary</w:t>
            </w:r>
            <w:r w:rsidRPr="00D4309F">
              <w:rPr>
                <w:color w:val="211E1F"/>
                <w:spacing w:val="-9"/>
                <w:sz w:val="18"/>
              </w:rPr>
              <w:t xml:space="preserve"> </w:t>
            </w:r>
            <w:r w:rsidRPr="00D4309F">
              <w:rPr>
                <w:color w:val="211E1F"/>
                <w:sz w:val="18"/>
              </w:rPr>
              <w:t>turbidity</w:t>
            </w:r>
            <w:r w:rsidRPr="00D4309F">
              <w:rPr>
                <w:color w:val="211E1F"/>
                <w:spacing w:val="-9"/>
                <w:sz w:val="18"/>
              </w:rPr>
              <w:t xml:space="preserve"> </w:t>
            </w:r>
            <w:r w:rsidRPr="00D4309F">
              <w:rPr>
                <w:color w:val="211E1F"/>
                <w:sz w:val="18"/>
              </w:rPr>
              <w:t>generation greater than Option 2A during dredging/placement,</w:t>
            </w:r>
            <w:r w:rsidRPr="00D4309F">
              <w:rPr>
                <w:color w:val="211E1F"/>
                <w:spacing w:val="-13"/>
                <w:sz w:val="18"/>
              </w:rPr>
              <w:t xml:space="preserve"> </w:t>
            </w:r>
            <w:r w:rsidRPr="00D4309F">
              <w:rPr>
                <w:color w:val="211E1F"/>
                <w:sz w:val="18"/>
              </w:rPr>
              <w:t>however, there will be low risk of significant impacts.</w:t>
            </w:r>
          </w:p>
        </w:tc>
        <w:tc>
          <w:tcPr>
            <w:tcW w:w="2581" w:type="dxa"/>
          </w:tcPr>
          <w:p w14:paraId="398C750D" w14:textId="77777777" w:rsidR="00725977" w:rsidRPr="00D4309F" w:rsidRDefault="00725977">
            <w:pPr>
              <w:pStyle w:val="TableParagraph"/>
              <w:spacing w:before="40"/>
              <w:ind w:left="169" w:right="239"/>
              <w:rPr>
                <w:sz w:val="18"/>
              </w:rPr>
            </w:pPr>
            <w:r w:rsidRPr="00D4309F">
              <w:rPr>
                <w:color w:val="211E1F"/>
                <w:sz w:val="18"/>
              </w:rPr>
              <w:t>Turbidity and noise rock cutting</w:t>
            </w:r>
            <w:r w:rsidRPr="00D4309F">
              <w:rPr>
                <w:color w:val="211E1F"/>
                <w:spacing w:val="-13"/>
                <w:sz w:val="18"/>
              </w:rPr>
              <w:t xml:space="preserve"> </w:t>
            </w:r>
            <w:r w:rsidRPr="00D4309F">
              <w:rPr>
                <w:color w:val="211E1F"/>
                <w:sz w:val="18"/>
              </w:rPr>
              <w:t>during</w:t>
            </w:r>
            <w:r w:rsidRPr="00D4309F">
              <w:rPr>
                <w:color w:val="211E1F"/>
                <w:spacing w:val="-12"/>
                <w:sz w:val="18"/>
              </w:rPr>
              <w:t xml:space="preserve"> </w:t>
            </w:r>
            <w:r w:rsidRPr="00D4309F">
              <w:rPr>
                <w:color w:val="211E1F"/>
                <w:sz w:val="18"/>
              </w:rPr>
              <w:t>capital</w:t>
            </w:r>
            <w:r w:rsidRPr="00D4309F">
              <w:rPr>
                <w:color w:val="211E1F"/>
                <w:spacing w:val="-13"/>
                <w:sz w:val="18"/>
              </w:rPr>
              <w:t xml:space="preserve"> </w:t>
            </w:r>
            <w:r w:rsidRPr="00D4309F">
              <w:rPr>
                <w:color w:val="211E1F"/>
                <w:sz w:val="18"/>
              </w:rPr>
              <w:t>works will potentially result in significant impacts to marine environmental quality, marine and terrestrial fauna and benthic habitats of conservation significance.</w:t>
            </w:r>
          </w:p>
          <w:p w14:paraId="5C7337D5" w14:textId="77777777" w:rsidR="00725977" w:rsidRPr="00D4309F" w:rsidRDefault="00725977">
            <w:pPr>
              <w:pStyle w:val="TableParagraph"/>
              <w:spacing w:before="40"/>
              <w:ind w:left="169" w:right="229"/>
              <w:rPr>
                <w:sz w:val="18"/>
              </w:rPr>
            </w:pPr>
            <w:r w:rsidRPr="00D4309F">
              <w:rPr>
                <w:color w:val="211E1F"/>
                <w:sz w:val="18"/>
              </w:rPr>
              <w:t>Ongoing</w:t>
            </w:r>
            <w:r w:rsidRPr="00D4309F">
              <w:rPr>
                <w:color w:val="211E1F"/>
                <w:spacing w:val="-11"/>
                <w:sz w:val="18"/>
              </w:rPr>
              <w:t xml:space="preserve"> </w:t>
            </w:r>
            <w:r w:rsidRPr="00D4309F">
              <w:rPr>
                <w:color w:val="211E1F"/>
                <w:sz w:val="18"/>
              </w:rPr>
              <w:t>works</w:t>
            </w:r>
            <w:r w:rsidRPr="00D4309F">
              <w:rPr>
                <w:color w:val="211E1F"/>
                <w:spacing w:val="-10"/>
                <w:sz w:val="18"/>
              </w:rPr>
              <w:t xml:space="preserve"> </w:t>
            </w:r>
            <w:r w:rsidRPr="00D4309F">
              <w:rPr>
                <w:color w:val="211E1F"/>
                <w:sz w:val="18"/>
              </w:rPr>
              <w:t>will</w:t>
            </w:r>
            <w:r w:rsidRPr="00D4309F">
              <w:rPr>
                <w:color w:val="211E1F"/>
                <w:spacing w:val="-10"/>
                <w:sz w:val="18"/>
              </w:rPr>
              <w:t xml:space="preserve"> </w:t>
            </w:r>
            <w:r w:rsidRPr="00D4309F">
              <w:rPr>
                <w:color w:val="211E1F"/>
                <w:sz w:val="18"/>
              </w:rPr>
              <w:t>result</w:t>
            </w:r>
            <w:r w:rsidRPr="00D4309F">
              <w:rPr>
                <w:color w:val="211E1F"/>
                <w:spacing w:val="-10"/>
                <w:sz w:val="18"/>
              </w:rPr>
              <w:t xml:space="preserve"> </w:t>
            </w:r>
            <w:r w:rsidRPr="00D4309F">
              <w:rPr>
                <w:color w:val="211E1F"/>
                <w:sz w:val="18"/>
              </w:rPr>
              <w:t>in low overall impact; some pump noise and minor emissions; there will be reduced turbidity and vessel disturbance compared with dredging.</w:t>
            </w:r>
          </w:p>
        </w:tc>
      </w:tr>
      <w:tr w:rsidR="00725977" w:rsidRPr="00D4309F" w14:paraId="520ADE49" w14:textId="77777777" w:rsidTr="0007157B">
        <w:trPr>
          <w:trHeight w:val="1114"/>
        </w:trPr>
        <w:tc>
          <w:tcPr>
            <w:tcW w:w="1673" w:type="dxa"/>
          </w:tcPr>
          <w:p w14:paraId="4F4BCEA5" w14:textId="77777777" w:rsidR="00725977" w:rsidRPr="00D4309F" w:rsidRDefault="00725977">
            <w:pPr>
              <w:pStyle w:val="TableParagraph"/>
              <w:rPr>
                <w:b/>
                <w:sz w:val="18"/>
              </w:rPr>
            </w:pPr>
          </w:p>
          <w:p w14:paraId="2A43649D" w14:textId="77777777" w:rsidR="00725977" w:rsidRPr="00D4309F" w:rsidRDefault="00725977">
            <w:pPr>
              <w:pStyle w:val="TableParagraph"/>
              <w:spacing w:before="39"/>
              <w:rPr>
                <w:b/>
                <w:sz w:val="18"/>
              </w:rPr>
            </w:pPr>
          </w:p>
          <w:p w14:paraId="76779840" w14:textId="77777777" w:rsidR="00725977" w:rsidRPr="00D4309F" w:rsidRDefault="00725977">
            <w:pPr>
              <w:pStyle w:val="TableParagraph"/>
              <w:spacing w:before="1"/>
              <w:ind w:left="195"/>
              <w:rPr>
                <w:b/>
                <w:sz w:val="18"/>
              </w:rPr>
            </w:pPr>
            <w:r w:rsidRPr="00D4309F">
              <w:rPr>
                <w:b/>
                <w:color w:val="211E1F"/>
                <w:sz w:val="18"/>
              </w:rPr>
              <w:t>Social</w:t>
            </w:r>
            <w:r w:rsidRPr="00D4309F">
              <w:rPr>
                <w:b/>
                <w:color w:val="211E1F"/>
                <w:spacing w:val="-5"/>
                <w:sz w:val="18"/>
              </w:rPr>
              <w:t xml:space="preserve"> </w:t>
            </w:r>
            <w:r w:rsidRPr="00D4309F">
              <w:rPr>
                <w:b/>
                <w:color w:val="211E1F"/>
                <w:spacing w:val="-2"/>
                <w:sz w:val="18"/>
              </w:rPr>
              <w:t>impacts</w:t>
            </w:r>
          </w:p>
        </w:tc>
        <w:tc>
          <w:tcPr>
            <w:tcW w:w="2521" w:type="dxa"/>
          </w:tcPr>
          <w:p w14:paraId="6518B873" w14:textId="77777777" w:rsidR="00725977" w:rsidRPr="00D4309F" w:rsidRDefault="00725977">
            <w:pPr>
              <w:pStyle w:val="TableParagraph"/>
              <w:spacing w:before="39"/>
              <w:rPr>
                <w:b/>
                <w:sz w:val="18"/>
              </w:rPr>
            </w:pPr>
          </w:p>
          <w:p w14:paraId="0068EE85" w14:textId="77777777" w:rsidR="00725977" w:rsidRPr="00D4309F" w:rsidRDefault="00725977">
            <w:pPr>
              <w:pStyle w:val="TableParagraph"/>
              <w:ind w:left="217" w:right="582"/>
              <w:jc w:val="both"/>
              <w:rPr>
                <w:sz w:val="18"/>
              </w:rPr>
            </w:pPr>
            <w:r w:rsidRPr="00D4309F">
              <w:rPr>
                <w:color w:val="211E1F"/>
                <w:sz w:val="18"/>
              </w:rPr>
              <w:t>Low</w:t>
            </w:r>
            <w:r w:rsidRPr="00D4309F">
              <w:rPr>
                <w:color w:val="211E1F"/>
                <w:spacing w:val="-13"/>
                <w:sz w:val="18"/>
              </w:rPr>
              <w:t xml:space="preserve"> </w:t>
            </w:r>
            <w:r w:rsidRPr="00D4309F">
              <w:rPr>
                <w:color w:val="211E1F"/>
                <w:sz w:val="18"/>
              </w:rPr>
              <w:t>visual</w:t>
            </w:r>
            <w:r w:rsidRPr="00D4309F">
              <w:rPr>
                <w:color w:val="211E1F"/>
                <w:spacing w:val="-12"/>
                <w:sz w:val="18"/>
              </w:rPr>
              <w:t xml:space="preserve"> </w:t>
            </w:r>
            <w:r w:rsidRPr="00D4309F">
              <w:rPr>
                <w:color w:val="211E1F"/>
                <w:sz w:val="18"/>
              </w:rPr>
              <w:t>impact</w:t>
            </w:r>
            <w:r w:rsidRPr="00D4309F">
              <w:rPr>
                <w:color w:val="211E1F"/>
                <w:spacing w:val="-13"/>
                <w:sz w:val="18"/>
              </w:rPr>
              <w:t xml:space="preserve"> </w:t>
            </w:r>
            <w:r w:rsidRPr="00D4309F">
              <w:rPr>
                <w:color w:val="211E1F"/>
                <w:sz w:val="18"/>
              </w:rPr>
              <w:t>but consideration</w:t>
            </w:r>
            <w:r w:rsidRPr="00D4309F">
              <w:rPr>
                <w:color w:val="211E1F"/>
                <w:spacing w:val="-13"/>
                <w:sz w:val="18"/>
              </w:rPr>
              <w:t xml:space="preserve"> </w:t>
            </w:r>
            <w:r w:rsidRPr="00D4309F">
              <w:rPr>
                <w:color w:val="211E1F"/>
                <w:sz w:val="18"/>
              </w:rPr>
              <w:t>needed around environment</w:t>
            </w:r>
          </w:p>
        </w:tc>
        <w:tc>
          <w:tcPr>
            <w:tcW w:w="2925" w:type="dxa"/>
          </w:tcPr>
          <w:p w14:paraId="54931684" w14:textId="77777777" w:rsidR="00725977" w:rsidRPr="00D4309F" w:rsidRDefault="00725977">
            <w:pPr>
              <w:pStyle w:val="TableParagraph"/>
              <w:spacing w:before="39"/>
              <w:rPr>
                <w:b/>
                <w:sz w:val="18"/>
              </w:rPr>
            </w:pPr>
          </w:p>
          <w:p w14:paraId="29D3BA9F" w14:textId="77777777" w:rsidR="00725977" w:rsidRPr="00D4309F" w:rsidRDefault="00725977">
            <w:pPr>
              <w:pStyle w:val="TableParagraph"/>
              <w:ind w:left="174" w:right="140"/>
              <w:rPr>
                <w:sz w:val="18"/>
              </w:rPr>
            </w:pPr>
            <w:r w:rsidRPr="00D4309F">
              <w:rPr>
                <w:color w:val="211E1F"/>
                <w:sz w:val="18"/>
              </w:rPr>
              <w:t>Low visual impact but consideration</w:t>
            </w:r>
            <w:r w:rsidRPr="00D4309F">
              <w:rPr>
                <w:color w:val="211E1F"/>
                <w:spacing w:val="-15"/>
                <w:sz w:val="18"/>
              </w:rPr>
              <w:t xml:space="preserve"> </w:t>
            </w:r>
            <w:r w:rsidRPr="00D4309F">
              <w:rPr>
                <w:color w:val="211E1F"/>
                <w:sz w:val="18"/>
              </w:rPr>
              <w:t>needed</w:t>
            </w:r>
            <w:r w:rsidRPr="00D4309F">
              <w:rPr>
                <w:color w:val="211E1F"/>
                <w:spacing w:val="-12"/>
                <w:sz w:val="18"/>
              </w:rPr>
              <w:t xml:space="preserve"> </w:t>
            </w:r>
            <w:r w:rsidRPr="00D4309F">
              <w:rPr>
                <w:color w:val="211E1F"/>
                <w:sz w:val="18"/>
              </w:rPr>
              <w:t xml:space="preserve">around </w:t>
            </w:r>
            <w:r w:rsidRPr="00D4309F">
              <w:rPr>
                <w:color w:val="211E1F"/>
                <w:spacing w:val="-2"/>
                <w:sz w:val="18"/>
              </w:rPr>
              <w:t>environment</w:t>
            </w:r>
          </w:p>
        </w:tc>
        <w:tc>
          <w:tcPr>
            <w:tcW w:w="2581" w:type="dxa"/>
          </w:tcPr>
          <w:p w14:paraId="3AAB2082" w14:textId="77777777" w:rsidR="00725977" w:rsidRPr="00D4309F" w:rsidRDefault="00725977">
            <w:pPr>
              <w:pStyle w:val="TableParagraph"/>
              <w:spacing w:before="40"/>
              <w:ind w:left="170" w:right="239"/>
              <w:rPr>
                <w:sz w:val="18"/>
              </w:rPr>
            </w:pPr>
            <w:r w:rsidRPr="00D4309F">
              <w:rPr>
                <w:color w:val="211E1F"/>
                <w:sz w:val="18"/>
              </w:rPr>
              <w:t>Increased visual impact with</w:t>
            </w:r>
            <w:r w:rsidRPr="00D4309F">
              <w:rPr>
                <w:color w:val="211E1F"/>
                <w:spacing w:val="-15"/>
                <w:sz w:val="18"/>
              </w:rPr>
              <w:t xml:space="preserve"> </w:t>
            </w:r>
            <w:r w:rsidRPr="00D4309F">
              <w:rPr>
                <w:color w:val="211E1F"/>
                <w:sz w:val="18"/>
              </w:rPr>
              <w:t>consideration</w:t>
            </w:r>
            <w:r w:rsidRPr="00D4309F">
              <w:rPr>
                <w:color w:val="211E1F"/>
                <w:spacing w:val="-12"/>
                <w:sz w:val="18"/>
              </w:rPr>
              <w:t xml:space="preserve"> </w:t>
            </w:r>
            <w:r w:rsidRPr="00D4309F">
              <w:rPr>
                <w:color w:val="211E1F"/>
                <w:sz w:val="18"/>
              </w:rPr>
              <w:t xml:space="preserve">needed around environment, and pump resilience and </w:t>
            </w:r>
            <w:r w:rsidRPr="00D4309F">
              <w:rPr>
                <w:color w:val="211E1F"/>
                <w:spacing w:val="-2"/>
                <w:sz w:val="18"/>
              </w:rPr>
              <w:t>operations.</w:t>
            </w:r>
          </w:p>
        </w:tc>
      </w:tr>
      <w:tr w:rsidR="00725977" w:rsidRPr="00D4309F" w14:paraId="15592E2E" w14:textId="77777777" w:rsidTr="0007157B">
        <w:trPr>
          <w:trHeight w:val="907"/>
        </w:trPr>
        <w:tc>
          <w:tcPr>
            <w:tcW w:w="1673" w:type="dxa"/>
          </w:tcPr>
          <w:p w14:paraId="05FE862B" w14:textId="77777777" w:rsidR="00725977" w:rsidRPr="00D4309F" w:rsidRDefault="00725977">
            <w:pPr>
              <w:pStyle w:val="TableParagraph"/>
              <w:spacing w:before="143"/>
              <w:rPr>
                <w:b/>
                <w:sz w:val="18"/>
              </w:rPr>
            </w:pPr>
          </w:p>
          <w:p w14:paraId="106DC577" w14:textId="77777777" w:rsidR="00725977" w:rsidRPr="00D4309F" w:rsidRDefault="00725977">
            <w:pPr>
              <w:pStyle w:val="TableParagraph"/>
              <w:ind w:left="195"/>
              <w:rPr>
                <w:b/>
                <w:sz w:val="18"/>
              </w:rPr>
            </w:pPr>
            <w:r w:rsidRPr="00D4309F">
              <w:rPr>
                <w:b/>
                <w:color w:val="211E1F"/>
                <w:sz w:val="18"/>
              </w:rPr>
              <w:t>Cost</w:t>
            </w:r>
            <w:r w:rsidRPr="00D4309F">
              <w:rPr>
                <w:b/>
                <w:color w:val="211E1F"/>
                <w:spacing w:val="-4"/>
                <w:sz w:val="18"/>
              </w:rPr>
              <w:t xml:space="preserve"> </w:t>
            </w:r>
            <w:r w:rsidRPr="00D4309F">
              <w:rPr>
                <w:b/>
                <w:color w:val="211E1F"/>
                <w:spacing w:val="-2"/>
                <w:sz w:val="18"/>
              </w:rPr>
              <w:t>profile</w:t>
            </w:r>
          </w:p>
        </w:tc>
        <w:tc>
          <w:tcPr>
            <w:tcW w:w="2521" w:type="dxa"/>
          </w:tcPr>
          <w:p w14:paraId="5E3D0F4A" w14:textId="77777777" w:rsidR="00725977" w:rsidRPr="00D4309F" w:rsidRDefault="00725977">
            <w:pPr>
              <w:pStyle w:val="TableParagraph"/>
              <w:spacing w:before="143"/>
              <w:ind w:left="216" w:right="173"/>
              <w:rPr>
                <w:sz w:val="18"/>
              </w:rPr>
            </w:pPr>
            <w:r w:rsidRPr="00D4309F">
              <w:rPr>
                <w:color w:val="211E1F"/>
                <w:sz w:val="18"/>
              </w:rPr>
              <w:t>Moderate CAPEX;</w:t>
            </w:r>
            <w:r w:rsidRPr="00D4309F">
              <w:rPr>
                <w:color w:val="211E1F"/>
                <w:spacing w:val="40"/>
                <w:sz w:val="18"/>
              </w:rPr>
              <w:t xml:space="preserve"> </w:t>
            </w:r>
            <w:r w:rsidRPr="00D4309F">
              <w:rPr>
                <w:color w:val="211E1F"/>
                <w:sz w:val="18"/>
              </w:rPr>
              <w:t>ongoing</w:t>
            </w:r>
            <w:r w:rsidRPr="00D4309F">
              <w:rPr>
                <w:color w:val="211E1F"/>
                <w:spacing w:val="-13"/>
                <w:sz w:val="18"/>
              </w:rPr>
              <w:t xml:space="preserve"> </w:t>
            </w:r>
            <w:r w:rsidRPr="00D4309F">
              <w:rPr>
                <w:color w:val="211E1F"/>
                <w:sz w:val="18"/>
              </w:rPr>
              <w:t>OPEX</w:t>
            </w:r>
            <w:r w:rsidRPr="00D4309F">
              <w:rPr>
                <w:color w:val="211E1F"/>
                <w:spacing w:val="-12"/>
                <w:sz w:val="18"/>
              </w:rPr>
              <w:t xml:space="preserve"> </w:t>
            </w:r>
            <w:r w:rsidRPr="00D4309F">
              <w:rPr>
                <w:color w:val="211E1F"/>
                <w:sz w:val="18"/>
              </w:rPr>
              <w:t>for</w:t>
            </w:r>
            <w:r w:rsidRPr="00D4309F">
              <w:rPr>
                <w:color w:val="211E1F"/>
                <w:spacing w:val="-13"/>
                <w:sz w:val="18"/>
              </w:rPr>
              <w:t xml:space="preserve"> </w:t>
            </w:r>
            <w:r w:rsidRPr="00D4309F">
              <w:rPr>
                <w:color w:val="211E1F"/>
                <w:sz w:val="18"/>
              </w:rPr>
              <w:t xml:space="preserve">periodic </w:t>
            </w:r>
            <w:r w:rsidRPr="00D4309F">
              <w:rPr>
                <w:color w:val="211E1F"/>
                <w:spacing w:val="-2"/>
                <w:sz w:val="18"/>
              </w:rPr>
              <w:t>dredging.</w:t>
            </w:r>
          </w:p>
        </w:tc>
        <w:tc>
          <w:tcPr>
            <w:tcW w:w="2925" w:type="dxa"/>
          </w:tcPr>
          <w:p w14:paraId="67807866" w14:textId="77777777" w:rsidR="00725977" w:rsidRPr="00D4309F" w:rsidRDefault="00725977">
            <w:pPr>
              <w:pStyle w:val="TableParagraph"/>
              <w:spacing w:before="40"/>
              <w:rPr>
                <w:b/>
                <w:sz w:val="18"/>
              </w:rPr>
            </w:pPr>
          </w:p>
          <w:p w14:paraId="4697DE2F" w14:textId="77777777" w:rsidR="00725977" w:rsidRPr="00D4309F" w:rsidRDefault="00725977">
            <w:pPr>
              <w:pStyle w:val="TableParagraph"/>
              <w:ind w:left="173" w:right="140"/>
              <w:rPr>
                <w:sz w:val="18"/>
              </w:rPr>
            </w:pPr>
            <w:r w:rsidRPr="00D4309F">
              <w:rPr>
                <w:color w:val="211E1F"/>
                <w:sz w:val="18"/>
              </w:rPr>
              <w:t>Moderate</w:t>
            </w:r>
            <w:r w:rsidRPr="00D4309F">
              <w:rPr>
                <w:color w:val="211E1F"/>
                <w:spacing w:val="-13"/>
                <w:sz w:val="18"/>
              </w:rPr>
              <w:t xml:space="preserve"> </w:t>
            </w:r>
            <w:r w:rsidRPr="00D4309F">
              <w:rPr>
                <w:color w:val="211E1F"/>
                <w:sz w:val="18"/>
              </w:rPr>
              <w:t>CAPEX;</w:t>
            </w:r>
            <w:r w:rsidRPr="00D4309F">
              <w:rPr>
                <w:color w:val="211E1F"/>
                <w:spacing w:val="-12"/>
                <w:sz w:val="18"/>
              </w:rPr>
              <w:t xml:space="preserve"> </w:t>
            </w:r>
            <w:r w:rsidRPr="00D4309F">
              <w:rPr>
                <w:color w:val="211E1F"/>
                <w:sz w:val="18"/>
              </w:rPr>
              <w:t>higher</w:t>
            </w:r>
            <w:r w:rsidRPr="00D4309F">
              <w:rPr>
                <w:color w:val="211E1F"/>
                <w:spacing w:val="-12"/>
                <w:sz w:val="18"/>
              </w:rPr>
              <w:t xml:space="preserve"> </w:t>
            </w:r>
            <w:r w:rsidRPr="00D4309F">
              <w:rPr>
                <w:color w:val="211E1F"/>
                <w:sz w:val="18"/>
              </w:rPr>
              <w:t>OPEX per campaign but less frequent.</w:t>
            </w:r>
          </w:p>
        </w:tc>
        <w:tc>
          <w:tcPr>
            <w:tcW w:w="2581" w:type="dxa"/>
          </w:tcPr>
          <w:p w14:paraId="4B3397F3" w14:textId="77777777" w:rsidR="00725977" w:rsidRPr="00D4309F" w:rsidRDefault="00725977">
            <w:pPr>
              <w:pStyle w:val="TableParagraph"/>
              <w:spacing w:before="39"/>
              <w:ind w:left="169" w:right="239"/>
              <w:rPr>
                <w:sz w:val="18"/>
              </w:rPr>
            </w:pPr>
            <w:r w:rsidRPr="00D4309F">
              <w:rPr>
                <w:color w:val="211E1F"/>
                <w:sz w:val="18"/>
              </w:rPr>
              <w:t>Higher initial CAPEX for pump system; lower ongoing</w:t>
            </w:r>
            <w:r w:rsidRPr="00D4309F">
              <w:rPr>
                <w:color w:val="211E1F"/>
                <w:spacing w:val="-15"/>
                <w:sz w:val="18"/>
              </w:rPr>
              <w:t xml:space="preserve"> </w:t>
            </w:r>
            <w:r w:rsidRPr="00D4309F">
              <w:rPr>
                <w:color w:val="211E1F"/>
                <w:sz w:val="18"/>
              </w:rPr>
              <w:t>OPEX;</w:t>
            </w:r>
            <w:r w:rsidRPr="00D4309F">
              <w:rPr>
                <w:color w:val="211E1F"/>
                <w:spacing w:val="-12"/>
                <w:sz w:val="18"/>
              </w:rPr>
              <w:t xml:space="preserve"> </w:t>
            </w:r>
            <w:r w:rsidRPr="00D4309F">
              <w:rPr>
                <w:color w:val="211E1F"/>
                <w:sz w:val="18"/>
              </w:rPr>
              <w:t>adaptable to demand.</w:t>
            </w:r>
          </w:p>
        </w:tc>
      </w:tr>
      <w:tr w:rsidR="00725977" w:rsidRPr="00D4309F" w14:paraId="0779E1E3" w14:textId="77777777" w:rsidTr="0007157B">
        <w:trPr>
          <w:trHeight w:val="1076"/>
        </w:trPr>
        <w:tc>
          <w:tcPr>
            <w:tcW w:w="1673" w:type="dxa"/>
          </w:tcPr>
          <w:p w14:paraId="194D5994" w14:textId="77777777" w:rsidR="00725977" w:rsidRPr="00D4309F" w:rsidRDefault="00725977">
            <w:pPr>
              <w:pStyle w:val="TableParagraph"/>
              <w:spacing w:before="143"/>
              <w:rPr>
                <w:b/>
                <w:sz w:val="18"/>
              </w:rPr>
            </w:pPr>
          </w:p>
          <w:p w14:paraId="47724574" w14:textId="77777777" w:rsidR="00725977" w:rsidRPr="00D4309F" w:rsidRDefault="00725977">
            <w:pPr>
              <w:pStyle w:val="TableParagraph"/>
              <w:ind w:left="195"/>
              <w:rPr>
                <w:b/>
                <w:sz w:val="18"/>
              </w:rPr>
            </w:pPr>
            <w:r w:rsidRPr="00D4309F">
              <w:rPr>
                <w:b/>
                <w:color w:val="211E1F"/>
                <w:spacing w:val="-2"/>
                <w:sz w:val="18"/>
              </w:rPr>
              <w:t>Technical feasibility</w:t>
            </w:r>
          </w:p>
        </w:tc>
        <w:tc>
          <w:tcPr>
            <w:tcW w:w="2521" w:type="dxa"/>
          </w:tcPr>
          <w:p w14:paraId="05DF3FF2" w14:textId="77777777" w:rsidR="00725977" w:rsidRPr="00D4309F" w:rsidRDefault="00725977">
            <w:pPr>
              <w:pStyle w:val="TableParagraph"/>
              <w:spacing w:before="40"/>
              <w:rPr>
                <w:b/>
                <w:sz w:val="18"/>
              </w:rPr>
            </w:pPr>
          </w:p>
          <w:p w14:paraId="60A4E15B" w14:textId="77777777" w:rsidR="00725977" w:rsidRPr="00D4309F" w:rsidRDefault="00725977">
            <w:pPr>
              <w:pStyle w:val="TableParagraph"/>
              <w:ind w:left="216" w:right="213"/>
              <w:rPr>
                <w:sz w:val="18"/>
              </w:rPr>
            </w:pPr>
            <w:r w:rsidRPr="00D4309F">
              <w:rPr>
                <w:color w:val="211E1F"/>
                <w:sz w:val="18"/>
              </w:rPr>
              <w:t>High</w:t>
            </w:r>
            <w:r w:rsidRPr="00D4309F">
              <w:rPr>
                <w:color w:val="211E1F"/>
                <w:spacing w:val="-13"/>
                <w:sz w:val="18"/>
              </w:rPr>
              <w:t xml:space="preserve"> </w:t>
            </w:r>
            <w:r w:rsidRPr="00D4309F">
              <w:rPr>
                <w:color w:val="211E1F"/>
                <w:sz w:val="18"/>
              </w:rPr>
              <w:t>–</w:t>
            </w:r>
            <w:r w:rsidRPr="00D4309F">
              <w:rPr>
                <w:color w:val="211E1F"/>
                <w:spacing w:val="-12"/>
                <w:sz w:val="18"/>
              </w:rPr>
              <w:t xml:space="preserve"> </w:t>
            </w:r>
            <w:r w:rsidRPr="00D4309F">
              <w:rPr>
                <w:color w:val="211E1F"/>
                <w:sz w:val="18"/>
              </w:rPr>
              <w:t>straight</w:t>
            </w:r>
            <w:r w:rsidRPr="00D4309F">
              <w:rPr>
                <w:color w:val="211E1F"/>
                <w:spacing w:val="-13"/>
                <w:sz w:val="18"/>
              </w:rPr>
              <w:t xml:space="preserve"> </w:t>
            </w:r>
            <w:r w:rsidRPr="00D4309F">
              <w:rPr>
                <w:color w:val="211E1F"/>
                <w:sz w:val="18"/>
              </w:rPr>
              <w:t xml:space="preserve">forward dredging in known </w:t>
            </w:r>
            <w:r w:rsidRPr="00D4309F">
              <w:rPr>
                <w:color w:val="211E1F"/>
                <w:spacing w:val="-2"/>
                <w:sz w:val="18"/>
              </w:rPr>
              <w:t>conditions.</w:t>
            </w:r>
          </w:p>
        </w:tc>
        <w:tc>
          <w:tcPr>
            <w:tcW w:w="2925" w:type="dxa"/>
          </w:tcPr>
          <w:p w14:paraId="306653F9" w14:textId="77777777" w:rsidR="00725977" w:rsidRPr="00D4309F" w:rsidRDefault="00725977">
            <w:pPr>
              <w:pStyle w:val="TableParagraph"/>
              <w:spacing w:before="40"/>
              <w:rPr>
                <w:b/>
                <w:sz w:val="18"/>
              </w:rPr>
            </w:pPr>
          </w:p>
          <w:p w14:paraId="60B05138" w14:textId="77777777" w:rsidR="00725977" w:rsidRPr="00D4309F" w:rsidRDefault="00725977">
            <w:pPr>
              <w:pStyle w:val="TableParagraph"/>
              <w:ind w:left="173" w:right="238"/>
              <w:jc w:val="both"/>
              <w:rPr>
                <w:sz w:val="18"/>
              </w:rPr>
            </w:pPr>
            <w:r w:rsidRPr="00D4309F">
              <w:rPr>
                <w:color w:val="211E1F"/>
                <w:sz w:val="18"/>
              </w:rPr>
              <w:t>High</w:t>
            </w:r>
            <w:r w:rsidRPr="00D4309F">
              <w:rPr>
                <w:color w:val="211E1F"/>
                <w:spacing w:val="-9"/>
                <w:sz w:val="18"/>
              </w:rPr>
              <w:t xml:space="preserve"> </w:t>
            </w:r>
            <w:r w:rsidRPr="00D4309F">
              <w:rPr>
                <w:color w:val="211E1F"/>
                <w:sz w:val="18"/>
              </w:rPr>
              <w:t>–</w:t>
            </w:r>
            <w:r w:rsidRPr="00D4309F">
              <w:rPr>
                <w:color w:val="211E1F"/>
                <w:spacing w:val="-11"/>
                <w:sz w:val="18"/>
              </w:rPr>
              <w:t xml:space="preserve"> </w:t>
            </w:r>
            <w:r w:rsidRPr="00D4309F">
              <w:rPr>
                <w:color w:val="211E1F"/>
                <w:sz w:val="18"/>
              </w:rPr>
              <w:t>proven</w:t>
            </w:r>
            <w:r w:rsidRPr="00D4309F">
              <w:rPr>
                <w:color w:val="211E1F"/>
                <w:spacing w:val="-9"/>
                <w:sz w:val="18"/>
              </w:rPr>
              <w:t xml:space="preserve"> </w:t>
            </w:r>
            <w:r w:rsidRPr="00D4309F">
              <w:rPr>
                <w:color w:val="211E1F"/>
                <w:sz w:val="18"/>
              </w:rPr>
              <w:t>TSHD</w:t>
            </w:r>
            <w:r w:rsidRPr="00D4309F">
              <w:rPr>
                <w:color w:val="211E1F"/>
                <w:spacing w:val="-10"/>
                <w:sz w:val="18"/>
              </w:rPr>
              <w:t xml:space="preserve"> </w:t>
            </w:r>
            <w:r w:rsidRPr="00D4309F">
              <w:rPr>
                <w:color w:val="211E1F"/>
                <w:sz w:val="18"/>
              </w:rPr>
              <w:t xml:space="preserve">capability; requires scheduling and vessel </w:t>
            </w:r>
            <w:r w:rsidRPr="00D4309F">
              <w:rPr>
                <w:color w:val="211E1F"/>
                <w:spacing w:val="-2"/>
                <w:sz w:val="18"/>
              </w:rPr>
              <w:t>access.</w:t>
            </w:r>
          </w:p>
        </w:tc>
        <w:tc>
          <w:tcPr>
            <w:tcW w:w="2581" w:type="dxa"/>
          </w:tcPr>
          <w:p w14:paraId="6728C269" w14:textId="77777777" w:rsidR="00725977" w:rsidRPr="00D4309F" w:rsidRDefault="00725977">
            <w:pPr>
              <w:pStyle w:val="TableParagraph"/>
              <w:spacing w:before="39"/>
              <w:ind w:left="169" w:right="239"/>
              <w:rPr>
                <w:sz w:val="18"/>
              </w:rPr>
            </w:pPr>
            <w:r w:rsidRPr="00D4309F">
              <w:rPr>
                <w:color w:val="211E1F"/>
                <w:sz w:val="18"/>
              </w:rPr>
              <w:t>Moderate–high – established technology; requires</w:t>
            </w:r>
            <w:r w:rsidRPr="00D4309F">
              <w:rPr>
                <w:color w:val="211E1F"/>
                <w:spacing w:val="-15"/>
                <w:sz w:val="18"/>
              </w:rPr>
              <w:t xml:space="preserve"> </w:t>
            </w:r>
            <w:r w:rsidRPr="00D4309F">
              <w:rPr>
                <w:color w:val="211E1F"/>
                <w:sz w:val="18"/>
              </w:rPr>
              <w:t>design</w:t>
            </w:r>
            <w:r w:rsidRPr="00D4309F">
              <w:rPr>
                <w:color w:val="211E1F"/>
                <w:spacing w:val="-12"/>
                <w:sz w:val="18"/>
              </w:rPr>
              <w:t xml:space="preserve"> </w:t>
            </w:r>
            <w:r w:rsidRPr="00D4309F">
              <w:rPr>
                <w:color w:val="211E1F"/>
                <w:sz w:val="18"/>
              </w:rPr>
              <w:t>refinement and</w:t>
            </w:r>
            <w:r w:rsidRPr="00D4309F">
              <w:rPr>
                <w:color w:val="211E1F"/>
                <w:spacing w:val="-4"/>
                <w:sz w:val="18"/>
              </w:rPr>
              <w:t xml:space="preserve"> </w:t>
            </w:r>
            <w:r w:rsidRPr="00D4309F">
              <w:rPr>
                <w:color w:val="211E1F"/>
                <w:sz w:val="18"/>
              </w:rPr>
              <w:t>approvals</w:t>
            </w:r>
            <w:r w:rsidRPr="00D4309F">
              <w:rPr>
                <w:color w:val="211E1F"/>
                <w:spacing w:val="-1"/>
                <w:sz w:val="18"/>
              </w:rPr>
              <w:t xml:space="preserve"> </w:t>
            </w:r>
            <w:r w:rsidRPr="00D4309F">
              <w:rPr>
                <w:color w:val="211E1F"/>
                <w:sz w:val="18"/>
              </w:rPr>
              <w:t>for</w:t>
            </w:r>
            <w:r w:rsidRPr="00D4309F">
              <w:rPr>
                <w:color w:val="211E1F"/>
                <w:spacing w:val="-2"/>
                <w:sz w:val="18"/>
              </w:rPr>
              <w:t xml:space="preserve"> onshore</w:t>
            </w:r>
          </w:p>
          <w:p w14:paraId="21B713A8" w14:textId="77777777" w:rsidR="00725977" w:rsidRPr="00D4309F" w:rsidRDefault="00725977">
            <w:pPr>
              <w:pStyle w:val="TableParagraph"/>
              <w:spacing w:before="2" w:line="187" w:lineRule="exact"/>
              <w:ind w:left="169"/>
              <w:rPr>
                <w:sz w:val="18"/>
              </w:rPr>
            </w:pPr>
            <w:r w:rsidRPr="00D4309F">
              <w:rPr>
                <w:color w:val="211E1F"/>
                <w:spacing w:val="-2"/>
                <w:sz w:val="18"/>
              </w:rPr>
              <w:t>installation.</w:t>
            </w:r>
          </w:p>
        </w:tc>
      </w:tr>
      <w:tr w:rsidR="0007157B" w:rsidRPr="00D4309F" w14:paraId="709F03E2" w14:textId="77777777" w:rsidTr="0007157B">
        <w:trPr>
          <w:trHeight w:val="1076"/>
        </w:trPr>
        <w:tc>
          <w:tcPr>
            <w:tcW w:w="1673" w:type="dxa"/>
          </w:tcPr>
          <w:p w14:paraId="5B5C2227" w14:textId="77777777" w:rsidR="0007157B" w:rsidRPr="00D4309F" w:rsidRDefault="0007157B" w:rsidP="0007157B">
            <w:pPr>
              <w:pStyle w:val="TableParagraph"/>
              <w:rPr>
                <w:b/>
                <w:sz w:val="18"/>
              </w:rPr>
            </w:pPr>
          </w:p>
          <w:p w14:paraId="78970A81" w14:textId="77777777" w:rsidR="0007157B" w:rsidRPr="00D4309F" w:rsidRDefault="0007157B" w:rsidP="0007157B">
            <w:pPr>
              <w:pStyle w:val="TableParagraph"/>
              <w:spacing w:before="39"/>
              <w:rPr>
                <w:b/>
                <w:sz w:val="18"/>
              </w:rPr>
            </w:pPr>
          </w:p>
          <w:p w14:paraId="0B7BD3A9" w14:textId="557AFCFC" w:rsidR="0007157B" w:rsidRPr="00D4309F" w:rsidRDefault="0007157B" w:rsidP="0007157B">
            <w:pPr>
              <w:pStyle w:val="TableParagraph"/>
              <w:spacing w:before="143"/>
              <w:rPr>
                <w:b/>
                <w:sz w:val="18"/>
              </w:rPr>
            </w:pPr>
            <w:r w:rsidRPr="00D4309F">
              <w:rPr>
                <w:b/>
                <w:color w:val="211E1F"/>
                <w:spacing w:val="-2"/>
                <w:sz w:val="18"/>
              </w:rPr>
              <w:t>Advantages</w:t>
            </w:r>
          </w:p>
        </w:tc>
        <w:tc>
          <w:tcPr>
            <w:tcW w:w="2521" w:type="dxa"/>
          </w:tcPr>
          <w:p w14:paraId="6A482EC7" w14:textId="77777777" w:rsidR="0007157B" w:rsidRPr="00D4309F" w:rsidRDefault="0007157B" w:rsidP="0007157B">
            <w:pPr>
              <w:pStyle w:val="TableParagraph"/>
              <w:spacing w:before="40"/>
              <w:rPr>
                <w:b/>
                <w:sz w:val="18"/>
              </w:rPr>
            </w:pPr>
          </w:p>
          <w:p w14:paraId="2873AC00" w14:textId="6E378353" w:rsidR="0007157B" w:rsidRPr="00D4309F" w:rsidRDefault="0007157B" w:rsidP="0007157B">
            <w:pPr>
              <w:pStyle w:val="TableParagraph"/>
              <w:spacing w:before="40"/>
              <w:rPr>
                <w:b/>
                <w:sz w:val="18"/>
              </w:rPr>
            </w:pPr>
            <w:r w:rsidRPr="00D4309F">
              <w:rPr>
                <w:color w:val="211E1F"/>
                <w:sz w:val="18"/>
              </w:rPr>
              <w:t>Simple,</w:t>
            </w:r>
            <w:r w:rsidRPr="00D4309F">
              <w:rPr>
                <w:color w:val="211E1F"/>
                <w:spacing w:val="-15"/>
                <w:sz w:val="18"/>
              </w:rPr>
              <w:t xml:space="preserve"> </w:t>
            </w:r>
            <w:r w:rsidRPr="00D4309F">
              <w:rPr>
                <w:color w:val="211E1F"/>
                <w:sz w:val="18"/>
              </w:rPr>
              <w:t>proven,</w:t>
            </w:r>
            <w:r w:rsidRPr="00D4309F">
              <w:rPr>
                <w:color w:val="211E1F"/>
                <w:spacing w:val="-12"/>
                <w:sz w:val="18"/>
              </w:rPr>
              <w:t xml:space="preserve"> </w:t>
            </w:r>
            <w:r w:rsidRPr="00D4309F">
              <w:rPr>
                <w:color w:val="211E1F"/>
                <w:sz w:val="18"/>
              </w:rPr>
              <w:t>easily reversible; low environmental risk.</w:t>
            </w:r>
          </w:p>
        </w:tc>
        <w:tc>
          <w:tcPr>
            <w:tcW w:w="2925" w:type="dxa"/>
          </w:tcPr>
          <w:p w14:paraId="62B5EABB" w14:textId="77777777" w:rsidR="0007157B" w:rsidRPr="00D4309F" w:rsidRDefault="0007157B" w:rsidP="0007157B">
            <w:pPr>
              <w:pStyle w:val="TableParagraph"/>
              <w:spacing w:before="40"/>
              <w:rPr>
                <w:b/>
                <w:sz w:val="18"/>
              </w:rPr>
            </w:pPr>
          </w:p>
          <w:p w14:paraId="789A38EA" w14:textId="77FAF134" w:rsidR="0007157B" w:rsidRPr="00D4309F" w:rsidRDefault="0007157B" w:rsidP="0007157B">
            <w:pPr>
              <w:pStyle w:val="TableParagraph"/>
              <w:spacing w:before="40"/>
              <w:rPr>
                <w:b/>
                <w:sz w:val="18"/>
              </w:rPr>
            </w:pPr>
            <w:r w:rsidRPr="00D4309F">
              <w:rPr>
                <w:color w:val="211E1F"/>
                <w:sz w:val="18"/>
              </w:rPr>
              <w:t>Efficient sediment transfer; reduced dredge frequency; supports</w:t>
            </w:r>
            <w:r w:rsidRPr="00D4309F">
              <w:rPr>
                <w:color w:val="211E1F"/>
                <w:spacing w:val="-15"/>
                <w:sz w:val="18"/>
              </w:rPr>
              <w:t xml:space="preserve"> </w:t>
            </w:r>
            <w:r w:rsidRPr="00D4309F">
              <w:rPr>
                <w:color w:val="211E1F"/>
                <w:sz w:val="18"/>
              </w:rPr>
              <w:t>regional</w:t>
            </w:r>
            <w:r w:rsidRPr="00D4309F">
              <w:rPr>
                <w:color w:val="211E1F"/>
                <w:spacing w:val="-12"/>
                <w:sz w:val="18"/>
              </w:rPr>
              <w:t xml:space="preserve"> </w:t>
            </w:r>
            <w:r w:rsidRPr="00D4309F">
              <w:rPr>
                <w:color w:val="211E1F"/>
                <w:sz w:val="18"/>
              </w:rPr>
              <w:t>nourishment.</w:t>
            </w:r>
          </w:p>
        </w:tc>
        <w:tc>
          <w:tcPr>
            <w:tcW w:w="2581" w:type="dxa"/>
          </w:tcPr>
          <w:p w14:paraId="4F865CB2" w14:textId="71045FF5" w:rsidR="0007157B" w:rsidRPr="00D4309F" w:rsidRDefault="0007157B" w:rsidP="0007157B">
            <w:pPr>
              <w:pStyle w:val="TableParagraph"/>
              <w:spacing w:before="39"/>
              <w:ind w:left="169" w:right="239"/>
              <w:rPr>
                <w:color w:val="211E1F"/>
                <w:sz w:val="18"/>
              </w:rPr>
            </w:pPr>
            <w:r w:rsidRPr="00D4309F">
              <w:rPr>
                <w:color w:val="211E1F"/>
                <w:sz w:val="18"/>
              </w:rPr>
              <w:t>Continuous</w:t>
            </w:r>
            <w:r w:rsidRPr="00D4309F">
              <w:rPr>
                <w:color w:val="211E1F"/>
                <w:spacing w:val="-15"/>
                <w:sz w:val="18"/>
              </w:rPr>
              <w:t xml:space="preserve"> </w:t>
            </w:r>
            <w:r w:rsidRPr="00D4309F">
              <w:rPr>
                <w:color w:val="211E1F"/>
                <w:sz w:val="18"/>
              </w:rPr>
              <w:t>control;</w:t>
            </w:r>
            <w:r w:rsidRPr="00D4309F">
              <w:rPr>
                <w:color w:val="211E1F"/>
                <w:spacing w:val="-12"/>
                <w:sz w:val="18"/>
              </w:rPr>
              <w:t xml:space="preserve"> </w:t>
            </w:r>
            <w:r w:rsidRPr="00D4309F">
              <w:rPr>
                <w:color w:val="211E1F"/>
                <w:sz w:val="18"/>
              </w:rPr>
              <w:t xml:space="preserve">less </w:t>
            </w:r>
            <w:r w:rsidRPr="00D4309F">
              <w:rPr>
                <w:color w:val="211E1F"/>
                <w:spacing w:val="-2"/>
                <w:sz w:val="18"/>
              </w:rPr>
              <w:t xml:space="preserve">weather-dependent; </w:t>
            </w:r>
            <w:r w:rsidRPr="00D4309F">
              <w:rPr>
                <w:color w:val="211E1F"/>
                <w:sz w:val="18"/>
              </w:rPr>
              <w:t>adaptable</w:t>
            </w:r>
            <w:r w:rsidRPr="00D4309F">
              <w:rPr>
                <w:color w:val="211E1F"/>
                <w:spacing w:val="-11"/>
                <w:sz w:val="18"/>
              </w:rPr>
              <w:t xml:space="preserve"> </w:t>
            </w:r>
            <w:r w:rsidRPr="00D4309F">
              <w:rPr>
                <w:color w:val="211E1F"/>
                <w:sz w:val="18"/>
              </w:rPr>
              <w:t>and</w:t>
            </w:r>
            <w:r w:rsidRPr="00D4309F">
              <w:rPr>
                <w:color w:val="211E1F"/>
                <w:spacing w:val="-9"/>
                <w:sz w:val="18"/>
              </w:rPr>
              <w:t xml:space="preserve"> </w:t>
            </w:r>
            <w:r w:rsidRPr="00D4309F">
              <w:rPr>
                <w:color w:val="211E1F"/>
                <w:sz w:val="18"/>
              </w:rPr>
              <w:t>scalable; lower long-term environmental footprint.</w:t>
            </w:r>
          </w:p>
        </w:tc>
      </w:tr>
      <w:tr w:rsidR="0007157B" w:rsidRPr="00D4309F" w14:paraId="371F839F" w14:textId="77777777" w:rsidTr="0007157B">
        <w:trPr>
          <w:trHeight w:val="1076"/>
        </w:trPr>
        <w:tc>
          <w:tcPr>
            <w:tcW w:w="1673" w:type="dxa"/>
          </w:tcPr>
          <w:p w14:paraId="4FE234D0" w14:textId="77777777" w:rsidR="0007157B" w:rsidRPr="00D4309F" w:rsidRDefault="0007157B" w:rsidP="0007157B">
            <w:pPr>
              <w:pStyle w:val="TableParagraph"/>
              <w:spacing w:before="143"/>
              <w:rPr>
                <w:b/>
                <w:sz w:val="18"/>
              </w:rPr>
            </w:pPr>
          </w:p>
          <w:p w14:paraId="129234E0" w14:textId="3410DE50" w:rsidR="0007157B" w:rsidRPr="00D4309F" w:rsidRDefault="0007157B" w:rsidP="0007157B">
            <w:pPr>
              <w:pStyle w:val="TableParagraph"/>
              <w:spacing w:before="143"/>
              <w:rPr>
                <w:b/>
                <w:sz w:val="18"/>
              </w:rPr>
            </w:pPr>
            <w:r w:rsidRPr="00D4309F">
              <w:rPr>
                <w:b/>
                <w:color w:val="211E1F"/>
                <w:spacing w:val="-2"/>
                <w:sz w:val="18"/>
              </w:rPr>
              <w:t>Disadvantages</w:t>
            </w:r>
          </w:p>
        </w:tc>
        <w:tc>
          <w:tcPr>
            <w:tcW w:w="2521" w:type="dxa"/>
          </w:tcPr>
          <w:p w14:paraId="0E032D33" w14:textId="062D793C" w:rsidR="0007157B" w:rsidRPr="00D4309F" w:rsidRDefault="0007157B" w:rsidP="0007157B">
            <w:pPr>
              <w:pStyle w:val="TableParagraph"/>
              <w:spacing w:before="40"/>
              <w:rPr>
                <w:b/>
                <w:sz w:val="18"/>
              </w:rPr>
            </w:pPr>
            <w:r w:rsidRPr="00D4309F">
              <w:rPr>
                <w:color w:val="211E1F"/>
                <w:sz w:val="18"/>
              </w:rPr>
              <w:t>Reliant on dredge availability;</w:t>
            </w:r>
            <w:r w:rsidRPr="00D4309F">
              <w:rPr>
                <w:color w:val="211E1F"/>
                <w:spacing w:val="-13"/>
                <w:sz w:val="18"/>
              </w:rPr>
              <w:t xml:space="preserve"> </w:t>
            </w:r>
            <w:r w:rsidRPr="00D4309F">
              <w:rPr>
                <w:color w:val="211E1F"/>
                <w:sz w:val="18"/>
              </w:rPr>
              <w:t xml:space="preserve">frequent </w:t>
            </w:r>
            <w:r w:rsidRPr="00D4309F">
              <w:rPr>
                <w:color w:val="211E1F"/>
                <w:spacing w:val="-2"/>
                <w:sz w:val="18"/>
              </w:rPr>
              <w:t>maintenance.</w:t>
            </w:r>
          </w:p>
        </w:tc>
        <w:tc>
          <w:tcPr>
            <w:tcW w:w="2925" w:type="dxa"/>
          </w:tcPr>
          <w:p w14:paraId="2AE9BD5E" w14:textId="1990A1EE" w:rsidR="0007157B" w:rsidRPr="00D4309F" w:rsidRDefault="0007157B" w:rsidP="0007157B">
            <w:pPr>
              <w:pStyle w:val="TableParagraph"/>
              <w:spacing w:before="40"/>
              <w:rPr>
                <w:b/>
                <w:sz w:val="18"/>
              </w:rPr>
            </w:pPr>
            <w:r w:rsidRPr="00D4309F">
              <w:rPr>
                <w:color w:val="211E1F"/>
                <w:sz w:val="18"/>
              </w:rPr>
              <w:t>Dependent on TSHD availability;</w:t>
            </w:r>
            <w:r w:rsidRPr="00D4309F">
              <w:rPr>
                <w:color w:val="211E1F"/>
                <w:spacing w:val="-15"/>
                <w:sz w:val="18"/>
              </w:rPr>
              <w:t xml:space="preserve"> </w:t>
            </w:r>
            <w:r w:rsidRPr="00D4309F">
              <w:rPr>
                <w:color w:val="211E1F"/>
                <w:sz w:val="18"/>
              </w:rPr>
              <w:t>higher</w:t>
            </w:r>
            <w:r w:rsidRPr="00D4309F">
              <w:rPr>
                <w:color w:val="211E1F"/>
                <w:spacing w:val="-12"/>
                <w:sz w:val="18"/>
              </w:rPr>
              <w:t xml:space="preserve"> </w:t>
            </w:r>
            <w:r w:rsidRPr="00D4309F">
              <w:rPr>
                <w:color w:val="211E1F"/>
                <w:sz w:val="18"/>
              </w:rPr>
              <w:t xml:space="preserve">mobilisation </w:t>
            </w:r>
            <w:r w:rsidRPr="00D4309F">
              <w:rPr>
                <w:color w:val="211E1F"/>
                <w:spacing w:val="-2"/>
                <w:sz w:val="18"/>
              </w:rPr>
              <w:t>cost.</w:t>
            </w:r>
          </w:p>
        </w:tc>
        <w:tc>
          <w:tcPr>
            <w:tcW w:w="2581" w:type="dxa"/>
          </w:tcPr>
          <w:p w14:paraId="64128FB2" w14:textId="5CA0E49A" w:rsidR="0007157B" w:rsidRPr="00D4309F" w:rsidRDefault="0007157B" w:rsidP="0007157B">
            <w:pPr>
              <w:pStyle w:val="TableParagraph"/>
              <w:spacing w:before="39"/>
              <w:ind w:left="169" w:right="239"/>
              <w:rPr>
                <w:color w:val="211E1F"/>
                <w:sz w:val="18"/>
              </w:rPr>
            </w:pPr>
            <w:r w:rsidRPr="00D4309F">
              <w:rPr>
                <w:color w:val="211E1F"/>
                <w:sz w:val="18"/>
              </w:rPr>
              <w:t>Higher setup cost; some visual/aesthetic change; mechanical</w:t>
            </w:r>
            <w:r w:rsidRPr="00D4309F">
              <w:rPr>
                <w:color w:val="211E1F"/>
                <w:spacing w:val="-13"/>
                <w:sz w:val="18"/>
              </w:rPr>
              <w:t xml:space="preserve"> </w:t>
            </w:r>
            <w:r w:rsidRPr="00D4309F">
              <w:rPr>
                <w:color w:val="211E1F"/>
                <w:sz w:val="18"/>
              </w:rPr>
              <w:t xml:space="preserve">maintenance </w:t>
            </w:r>
            <w:r w:rsidRPr="00D4309F">
              <w:rPr>
                <w:color w:val="211E1F"/>
                <w:spacing w:val="-2"/>
                <w:sz w:val="18"/>
              </w:rPr>
              <w:t>required.</w:t>
            </w:r>
          </w:p>
        </w:tc>
      </w:tr>
      <w:tr w:rsidR="0007157B" w:rsidRPr="00D4309F" w14:paraId="5119A387" w14:textId="77777777" w:rsidTr="0007157B">
        <w:trPr>
          <w:trHeight w:val="1076"/>
        </w:trPr>
        <w:tc>
          <w:tcPr>
            <w:tcW w:w="1673" w:type="dxa"/>
          </w:tcPr>
          <w:p w14:paraId="236ECA2E" w14:textId="77777777" w:rsidR="0007157B" w:rsidRPr="00D4309F" w:rsidRDefault="0007157B" w:rsidP="0007157B">
            <w:pPr>
              <w:pStyle w:val="TableParagraph"/>
              <w:spacing w:before="143"/>
              <w:rPr>
                <w:b/>
                <w:sz w:val="18"/>
              </w:rPr>
            </w:pPr>
          </w:p>
          <w:p w14:paraId="075575F4" w14:textId="6C4EFF34" w:rsidR="0007157B" w:rsidRPr="00D4309F" w:rsidRDefault="0007157B" w:rsidP="0007157B">
            <w:pPr>
              <w:pStyle w:val="TableParagraph"/>
              <w:spacing w:before="143"/>
              <w:rPr>
                <w:b/>
                <w:sz w:val="18"/>
              </w:rPr>
            </w:pPr>
            <w:r w:rsidRPr="00D4309F">
              <w:rPr>
                <w:b/>
                <w:color w:val="211E1F"/>
                <w:spacing w:val="-2"/>
                <w:sz w:val="18"/>
              </w:rPr>
              <w:t>Overall assessment</w:t>
            </w:r>
          </w:p>
        </w:tc>
        <w:tc>
          <w:tcPr>
            <w:tcW w:w="2521" w:type="dxa"/>
          </w:tcPr>
          <w:p w14:paraId="2DA16C72" w14:textId="77777777" w:rsidR="0007157B" w:rsidRPr="00D4309F" w:rsidRDefault="0007157B" w:rsidP="0007157B">
            <w:pPr>
              <w:pStyle w:val="TableParagraph"/>
              <w:spacing w:before="40"/>
              <w:rPr>
                <w:b/>
                <w:sz w:val="18"/>
              </w:rPr>
            </w:pPr>
          </w:p>
          <w:p w14:paraId="749ACA6F" w14:textId="24CA2350" w:rsidR="0007157B" w:rsidRPr="00D4309F" w:rsidRDefault="0007157B" w:rsidP="0007157B">
            <w:pPr>
              <w:pStyle w:val="TableParagraph"/>
              <w:spacing w:before="40"/>
              <w:rPr>
                <w:b/>
                <w:sz w:val="18"/>
              </w:rPr>
            </w:pPr>
            <w:r w:rsidRPr="00D4309F">
              <w:rPr>
                <w:color w:val="211E1F"/>
                <w:sz w:val="18"/>
              </w:rPr>
              <w:t>Low-risk, conservative improvement</w:t>
            </w:r>
            <w:r w:rsidRPr="00D4309F">
              <w:rPr>
                <w:color w:val="211E1F"/>
                <w:spacing w:val="-15"/>
                <w:sz w:val="18"/>
              </w:rPr>
              <w:t xml:space="preserve"> </w:t>
            </w:r>
            <w:r w:rsidRPr="00D4309F">
              <w:rPr>
                <w:color w:val="211E1F"/>
                <w:sz w:val="18"/>
              </w:rPr>
              <w:t>to</w:t>
            </w:r>
            <w:r w:rsidRPr="00D4309F">
              <w:rPr>
                <w:color w:val="211E1F"/>
                <w:spacing w:val="-12"/>
                <w:sz w:val="18"/>
              </w:rPr>
              <w:t xml:space="preserve"> </w:t>
            </w:r>
            <w:r w:rsidRPr="00D4309F">
              <w:rPr>
                <w:color w:val="211E1F"/>
                <w:sz w:val="18"/>
              </w:rPr>
              <w:t xml:space="preserve">current </w:t>
            </w:r>
            <w:r w:rsidRPr="00D4309F">
              <w:rPr>
                <w:color w:val="211E1F"/>
                <w:spacing w:val="-2"/>
                <w:sz w:val="18"/>
              </w:rPr>
              <w:t>management.</w:t>
            </w:r>
          </w:p>
        </w:tc>
        <w:tc>
          <w:tcPr>
            <w:tcW w:w="2925" w:type="dxa"/>
          </w:tcPr>
          <w:p w14:paraId="79B97BFE" w14:textId="77777777" w:rsidR="0007157B" w:rsidRPr="00D4309F" w:rsidRDefault="0007157B" w:rsidP="0007157B">
            <w:pPr>
              <w:pStyle w:val="TableParagraph"/>
              <w:spacing w:before="40"/>
              <w:rPr>
                <w:b/>
                <w:sz w:val="18"/>
              </w:rPr>
            </w:pPr>
          </w:p>
          <w:p w14:paraId="7154F863" w14:textId="5BD6A77F" w:rsidR="0007157B" w:rsidRPr="00D4309F" w:rsidRDefault="0007157B" w:rsidP="0007157B">
            <w:pPr>
              <w:pStyle w:val="TableParagraph"/>
              <w:spacing w:before="40"/>
              <w:rPr>
                <w:b/>
                <w:sz w:val="18"/>
              </w:rPr>
            </w:pPr>
            <w:r w:rsidRPr="00D4309F">
              <w:rPr>
                <w:color w:val="211E1F"/>
                <w:sz w:val="18"/>
              </w:rPr>
              <w:t>Effective medium-term strategy with</w:t>
            </w:r>
            <w:r w:rsidRPr="00D4309F">
              <w:rPr>
                <w:color w:val="211E1F"/>
                <w:spacing w:val="-13"/>
                <w:sz w:val="18"/>
              </w:rPr>
              <w:t xml:space="preserve"> </w:t>
            </w:r>
            <w:r w:rsidRPr="00D4309F">
              <w:rPr>
                <w:color w:val="211E1F"/>
                <w:sz w:val="18"/>
              </w:rPr>
              <w:t>strong</w:t>
            </w:r>
            <w:r w:rsidRPr="00D4309F">
              <w:rPr>
                <w:color w:val="211E1F"/>
                <w:spacing w:val="-12"/>
                <w:sz w:val="18"/>
              </w:rPr>
              <w:t xml:space="preserve"> </w:t>
            </w:r>
            <w:r w:rsidRPr="00D4309F">
              <w:rPr>
                <w:color w:val="211E1F"/>
                <w:sz w:val="18"/>
              </w:rPr>
              <w:t>bypass</w:t>
            </w:r>
            <w:r w:rsidRPr="00D4309F">
              <w:rPr>
                <w:color w:val="211E1F"/>
                <w:spacing w:val="-13"/>
                <w:sz w:val="18"/>
              </w:rPr>
              <w:t xml:space="preserve"> </w:t>
            </w:r>
            <w:r w:rsidRPr="00D4309F">
              <w:rPr>
                <w:color w:val="211E1F"/>
                <w:sz w:val="18"/>
              </w:rPr>
              <w:t>performance and moderate intervention.</w:t>
            </w:r>
          </w:p>
        </w:tc>
        <w:tc>
          <w:tcPr>
            <w:tcW w:w="2581" w:type="dxa"/>
          </w:tcPr>
          <w:p w14:paraId="54E4A673" w14:textId="77777777" w:rsidR="0007157B" w:rsidRPr="00D4309F" w:rsidRDefault="0007157B" w:rsidP="0007157B">
            <w:pPr>
              <w:pStyle w:val="TableParagraph"/>
              <w:spacing w:before="39"/>
              <w:ind w:left="186" w:right="247"/>
              <w:rPr>
                <w:sz w:val="18"/>
              </w:rPr>
            </w:pPr>
            <w:r w:rsidRPr="00D4309F">
              <w:rPr>
                <w:color w:val="211E1F"/>
                <w:sz w:val="18"/>
              </w:rPr>
              <w:t>Proactive long-term solution offering best operational control and adaptability</w:t>
            </w:r>
            <w:r w:rsidRPr="00D4309F">
              <w:rPr>
                <w:color w:val="211E1F"/>
                <w:spacing w:val="-13"/>
                <w:sz w:val="18"/>
              </w:rPr>
              <w:t xml:space="preserve"> </w:t>
            </w:r>
            <w:r w:rsidRPr="00D4309F">
              <w:rPr>
                <w:color w:val="211E1F"/>
                <w:sz w:val="18"/>
              </w:rPr>
              <w:t>to</w:t>
            </w:r>
            <w:r w:rsidRPr="00D4309F">
              <w:rPr>
                <w:color w:val="211E1F"/>
                <w:spacing w:val="-12"/>
                <w:sz w:val="18"/>
              </w:rPr>
              <w:t xml:space="preserve"> </w:t>
            </w:r>
            <w:r w:rsidRPr="00D4309F">
              <w:rPr>
                <w:color w:val="211E1F"/>
                <w:sz w:val="18"/>
              </w:rPr>
              <w:t>climate</w:t>
            </w:r>
            <w:r w:rsidRPr="00D4309F">
              <w:rPr>
                <w:color w:val="211E1F"/>
                <w:spacing w:val="-13"/>
                <w:sz w:val="18"/>
              </w:rPr>
              <w:t xml:space="preserve"> </w:t>
            </w:r>
            <w:r w:rsidRPr="00D4309F">
              <w:rPr>
                <w:color w:val="211E1F"/>
                <w:sz w:val="18"/>
              </w:rPr>
              <w:t>and</w:t>
            </w:r>
          </w:p>
          <w:p w14:paraId="63C9D5BD" w14:textId="62D27885" w:rsidR="0007157B" w:rsidRPr="00D4309F" w:rsidRDefault="0007157B" w:rsidP="0007157B">
            <w:pPr>
              <w:pStyle w:val="TableParagraph"/>
              <w:spacing w:before="39"/>
              <w:ind w:left="169" w:right="239"/>
              <w:rPr>
                <w:color w:val="211E1F"/>
                <w:sz w:val="18"/>
              </w:rPr>
            </w:pPr>
            <w:r w:rsidRPr="00D4309F">
              <w:rPr>
                <w:color w:val="211E1F"/>
                <w:sz w:val="18"/>
              </w:rPr>
              <w:t>sea-level</w:t>
            </w:r>
            <w:r w:rsidRPr="00D4309F">
              <w:rPr>
                <w:color w:val="211E1F"/>
                <w:spacing w:val="-4"/>
                <w:sz w:val="18"/>
              </w:rPr>
              <w:t xml:space="preserve"> </w:t>
            </w:r>
            <w:r w:rsidRPr="00D4309F">
              <w:rPr>
                <w:color w:val="211E1F"/>
                <w:spacing w:val="-2"/>
                <w:sz w:val="18"/>
              </w:rPr>
              <w:t>change.</w:t>
            </w:r>
          </w:p>
        </w:tc>
      </w:tr>
    </w:tbl>
    <w:p w14:paraId="566D1A33" w14:textId="77777777" w:rsidR="00725977" w:rsidRPr="00D4309F" w:rsidRDefault="00725977" w:rsidP="00725977">
      <w:pPr>
        <w:pStyle w:val="BodyText"/>
      </w:pPr>
      <w:bookmarkStart w:id="376" w:name="_bookmark143"/>
      <w:bookmarkEnd w:id="376"/>
    </w:p>
    <w:p w14:paraId="4B2CAEC7" w14:textId="3952D83D" w:rsidR="0007157B" w:rsidRDefault="0007157B" w:rsidP="00151534">
      <w:pPr>
        <w:pStyle w:val="Table-Caption"/>
      </w:pPr>
      <w:bookmarkStart w:id="377" w:name="_Toc216699565"/>
      <w:r>
        <w:t xml:space="preserve">Table </w:t>
      </w:r>
      <w:r w:rsidR="00151534">
        <w:fldChar w:fldCharType="begin" w:fldLock="1"/>
      </w:r>
      <w:r w:rsidR="00151534">
        <w:instrText xml:space="preserve"> STYLEREF 1 \s </w:instrText>
      </w:r>
      <w:r w:rsidR="00151534">
        <w:fldChar w:fldCharType="separate"/>
      </w:r>
      <w:r w:rsidR="00151534">
        <w:rPr>
          <w:noProof/>
        </w:rPr>
        <w:t>14</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8</w:t>
      </w:r>
      <w:r w:rsidR="00151534">
        <w:fldChar w:fldCharType="end"/>
      </w:r>
      <w:r>
        <w:t>:</w:t>
      </w:r>
      <w:r>
        <w:tab/>
      </w:r>
      <w:r w:rsidRPr="00D4309F">
        <w:rPr>
          <w:color w:val="211E1F"/>
        </w:rPr>
        <w:t>Comparison of</w:t>
      </w:r>
      <w:r w:rsidRPr="00D4309F">
        <w:rPr>
          <w:color w:val="211E1F"/>
          <w:spacing w:val="-2"/>
        </w:rPr>
        <w:t xml:space="preserve"> </w:t>
      </w:r>
      <w:r w:rsidRPr="00D4309F">
        <w:rPr>
          <w:color w:val="211E1F"/>
        </w:rPr>
        <w:t>CAPEX</w:t>
      </w:r>
      <w:r w:rsidRPr="00D4309F">
        <w:rPr>
          <w:color w:val="211E1F"/>
          <w:spacing w:val="-1"/>
        </w:rPr>
        <w:t xml:space="preserve"> </w:t>
      </w:r>
      <w:r w:rsidRPr="00D4309F">
        <w:rPr>
          <w:color w:val="211E1F"/>
        </w:rPr>
        <w:t>vs</w:t>
      </w:r>
      <w:r w:rsidRPr="00D4309F">
        <w:rPr>
          <w:color w:val="211E1F"/>
          <w:spacing w:val="-2"/>
        </w:rPr>
        <w:t xml:space="preserve"> </w:t>
      </w:r>
      <w:r w:rsidRPr="00D4309F">
        <w:rPr>
          <w:color w:val="211E1F"/>
        </w:rPr>
        <w:t>OPEX</w:t>
      </w:r>
      <w:r w:rsidRPr="00D4309F">
        <w:rPr>
          <w:color w:val="211E1F"/>
          <w:spacing w:val="-2"/>
        </w:rPr>
        <w:t xml:space="preserve"> </w:t>
      </w:r>
      <w:r w:rsidRPr="00D4309F">
        <w:rPr>
          <w:color w:val="211E1F"/>
        </w:rPr>
        <w:t>for</w:t>
      </w:r>
      <w:r w:rsidRPr="00D4309F">
        <w:rPr>
          <w:color w:val="211E1F"/>
          <w:spacing w:val="-2"/>
        </w:rPr>
        <w:t xml:space="preserve"> </w:t>
      </w:r>
      <w:r w:rsidRPr="00D4309F">
        <w:rPr>
          <w:color w:val="211E1F"/>
        </w:rPr>
        <w:t>Option</w:t>
      </w:r>
      <w:r w:rsidRPr="00D4309F">
        <w:rPr>
          <w:color w:val="211E1F"/>
          <w:spacing w:val="-1"/>
        </w:rPr>
        <w:t xml:space="preserve"> </w:t>
      </w:r>
      <w:r w:rsidRPr="00D4309F">
        <w:rPr>
          <w:color w:val="211E1F"/>
        </w:rPr>
        <w:t>2</w:t>
      </w:r>
      <w:r w:rsidRPr="00D4309F">
        <w:rPr>
          <w:color w:val="211E1F"/>
          <w:spacing w:val="-2"/>
        </w:rPr>
        <w:t xml:space="preserve"> variations</w:t>
      </w:r>
      <w:bookmarkEnd w:id="377"/>
    </w:p>
    <w:tbl>
      <w:tblPr>
        <w:tblStyle w:val="Table1"/>
        <w:tblW w:w="0" w:type="auto"/>
        <w:tblLayout w:type="fixed"/>
        <w:tblLook w:val="04A0" w:firstRow="1" w:lastRow="0" w:firstColumn="1" w:lastColumn="0" w:noHBand="0" w:noVBand="1"/>
      </w:tblPr>
      <w:tblGrid>
        <w:gridCol w:w="1165"/>
        <w:gridCol w:w="1626"/>
        <w:gridCol w:w="1326"/>
        <w:gridCol w:w="1327"/>
        <w:gridCol w:w="1329"/>
        <w:gridCol w:w="1425"/>
        <w:gridCol w:w="1494"/>
      </w:tblGrid>
      <w:tr w:rsidR="00725977" w:rsidRPr="00D4309F" w14:paraId="5296510D" w14:textId="77777777" w:rsidTr="0007157B">
        <w:trPr>
          <w:cnfStyle w:val="100000000000" w:firstRow="1" w:lastRow="0" w:firstColumn="0" w:lastColumn="0" w:oddVBand="0" w:evenVBand="0" w:oddHBand="0" w:evenHBand="0" w:firstRowFirstColumn="0" w:firstRowLastColumn="0" w:lastRowFirstColumn="0" w:lastRowLastColumn="0"/>
          <w:trHeight w:val="299"/>
          <w:tblHeader/>
        </w:trPr>
        <w:tc>
          <w:tcPr>
            <w:tcW w:w="1165" w:type="dxa"/>
          </w:tcPr>
          <w:p w14:paraId="3292F803" w14:textId="77777777" w:rsidR="00725977" w:rsidRPr="00D4309F" w:rsidRDefault="00725977">
            <w:pPr>
              <w:pStyle w:val="TableParagraph"/>
              <w:rPr>
                <w:rFonts w:ascii="Times New Roman"/>
                <w:sz w:val="16"/>
              </w:rPr>
            </w:pPr>
          </w:p>
        </w:tc>
        <w:tc>
          <w:tcPr>
            <w:tcW w:w="1626" w:type="dxa"/>
          </w:tcPr>
          <w:p w14:paraId="4B414AA1" w14:textId="77777777" w:rsidR="00725977" w:rsidRPr="00D4309F" w:rsidRDefault="00725977">
            <w:pPr>
              <w:pStyle w:val="TableParagraph"/>
              <w:spacing w:before="46"/>
              <w:ind w:left="190"/>
              <w:rPr>
                <w:b/>
                <w:sz w:val="18"/>
              </w:rPr>
            </w:pPr>
            <w:r w:rsidRPr="00D4309F">
              <w:rPr>
                <w:b/>
                <w:color w:val="70004A"/>
                <w:sz w:val="18"/>
              </w:rPr>
              <w:t>Capital</w:t>
            </w:r>
            <w:r w:rsidRPr="00D4309F">
              <w:rPr>
                <w:b/>
                <w:color w:val="70004A"/>
                <w:spacing w:val="-5"/>
                <w:sz w:val="18"/>
              </w:rPr>
              <w:t xml:space="preserve"> </w:t>
            </w:r>
            <w:r w:rsidRPr="00D4309F">
              <w:rPr>
                <w:b/>
                <w:color w:val="70004A"/>
                <w:spacing w:val="-2"/>
                <w:sz w:val="18"/>
              </w:rPr>
              <w:t>works</w:t>
            </w:r>
          </w:p>
        </w:tc>
        <w:tc>
          <w:tcPr>
            <w:tcW w:w="1326" w:type="dxa"/>
          </w:tcPr>
          <w:p w14:paraId="22D8DD87" w14:textId="77777777" w:rsidR="00725977" w:rsidRPr="00D4309F" w:rsidRDefault="00725977">
            <w:pPr>
              <w:pStyle w:val="TableParagraph"/>
              <w:rPr>
                <w:rFonts w:ascii="Times New Roman"/>
                <w:sz w:val="16"/>
              </w:rPr>
            </w:pPr>
          </w:p>
        </w:tc>
        <w:tc>
          <w:tcPr>
            <w:tcW w:w="1327" w:type="dxa"/>
          </w:tcPr>
          <w:p w14:paraId="74B7521E" w14:textId="77777777" w:rsidR="00725977" w:rsidRPr="00D4309F" w:rsidRDefault="00725977">
            <w:pPr>
              <w:pStyle w:val="TableParagraph"/>
              <w:rPr>
                <w:rFonts w:ascii="Times New Roman"/>
                <w:sz w:val="16"/>
              </w:rPr>
            </w:pPr>
          </w:p>
        </w:tc>
        <w:tc>
          <w:tcPr>
            <w:tcW w:w="2754" w:type="dxa"/>
            <w:gridSpan w:val="2"/>
          </w:tcPr>
          <w:p w14:paraId="37D62D14" w14:textId="77777777" w:rsidR="00725977" w:rsidRPr="00D4309F" w:rsidRDefault="00725977">
            <w:pPr>
              <w:pStyle w:val="TableParagraph"/>
              <w:spacing w:before="46"/>
              <w:ind w:left="172"/>
              <w:rPr>
                <w:b/>
                <w:sz w:val="18"/>
              </w:rPr>
            </w:pPr>
            <w:r w:rsidRPr="00D4309F">
              <w:rPr>
                <w:b/>
                <w:color w:val="70004A"/>
                <w:sz w:val="18"/>
              </w:rPr>
              <w:t>Operational</w:t>
            </w:r>
            <w:r w:rsidRPr="00D4309F">
              <w:rPr>
                <w:b/>
                <w:color w:val="70004A"/>
                <w:spacing w:val="-4"/>
                <w:sz w:val="18"/>
              </w:rPr>
              <w:t xml:space="preserve"> </w:t>
            </w:r>
            <w:r w:rsidRPr="00D4309F">
              <w:rPr>
                <w:b/>
                <w:color w:val="70004A"/>
                <w:spacing w:val="-2"/>
                <w:sz w:val="18"/>
              </w:rPr>
              <w:t>works</w:t>
            </w:r>
          </w:p>
        </w:tc>
        <w:tc>
          <w:tcPr>
            <w:tcW w:w="1494" w:type="dxa"/>
          </w:tcPr>
          <w:p w14:paraId="2E8C2C90" w14:textId="77777777" w:rsidR="00725977" w:rsidRPr="00D4309F" w:rsidRDefault="00725977">
            <w:pPr>
              <w:pStyle w:val="TableParagraph"/>
              <w:rPr>
                <w:rFonts w:ascii="Times New Roman"/>
                <w:sz w:val="16"/>
              </w:rPr>
            </w:pPr>
          </w:p>
        </w:tc>
      </w:tr>
      <w:tr w:rsidR="00725977" w:rsidRPr="00D4309F" w14:paraId="1E9D9EA4" w14:textId="77777777" w:rsidTr="0007157B">
        <w:trPr>
          <w:trHeight w:val="299"/>
        </w:trPr>
        <w:tc>
          <w:tcPr>
            <w:tcW w:w="1165" w:type="dxa"/>
          </w:tcPr>
          <w:p w14:paraId="6BB03729" w14:textId="77777777" w:rsidR="00725977" w:rsidRPr="00D4309F" w:rsidRDefault="00725977">
            <w:pPr>
              <w:pStyle w:val="TableParagraph"/>
              <w:spacing w:before="47"/>
              <w:ind w:left="195"/>
              <w:rPr>
                <w:b/>
                <w:sz w:val="18"/>
              </w:rPr>
            </w:pPr>
            <w:r w:rsidRPr="00D4309F">
              <w:rPr>
                <w:b/>
                <w:color w:val="70004A"/>
                <w:spacing w:val="-2"/>
                <w:sz w:val="18"/>
              </w:rPr>
              <w:t>Category</w:t>
            </w:r>
          </w:p>
        </w:tc>
        <w:tc>
          <w:tcPr>
            <w:tcW w:w="1626" w:type="dxa"/>
          </w:tcPr>
          <w:p w14:paraId="62411F1F" w14:textId="77777777" w:rsidR="00725977" w:rsidRPr="00D4309F" w:rsidRDefault="00725977">
            <w:pPr>
              <w:pStyle w:val="TableParagraph"/>
              <w:spacing w:before="47"/>
              <w:ind w:left="190"/>
              <w:rPr>
                <w:b/>
                <w:sz w:val="18"/>
              </w:rPr>
            </w:pPr>
            <w:r w:rsidRPr="00D4309F">
              <w:rPr>
                <w:b/>
                <w:color w:val="70004A"/>
                <w:sz w:val="18"/>
              </w:rPr>
              <w:t>Option</w:t>
            </w:r>
            <w:r w:rsidRPr="00D4309F">
              <w:rPr>
                <w:b/>
                <w:color w:val="70004A"/>
                <w:spacing w:val="-1"/>
                <w:sz w:val="18"/>
              </w:rPr>
              <w:t xml:space="preserve"> </w:t>
            </w:r>
            <w:r w:rsidRPr="00D4309F">
              <w:rPr>
                <w:b/>
                <w:color w:val="70004A"/>
                <w:spacing w:val="-5"/>
                <w:sz w:val="18"/>
              </w:rPr>
              <w:t>2A</w:t>
            </w:r>
          </w:p>
        </w:tc>
        <w:tc>
          <w:tcPr>
            <w:tcW w:w="1326" w:type="dxa"/>
          </w:tcPr>
          <w:p w14:paraId="7753D295" w14:textId="77777777" w:rsidR="00725977" w:rsidRPr="00D4309F" w:rsidRDefault="00725977">
            <w:pPr>
              <w:pStyle w:val="TableParagraph"/>
              <w:spacing w:before="47"/>
              <w:ind w:left="166"/>
              <w:rPr>
                <w:b/>
                <w:sz w:val="18"/>
              </w:rPr>
            </w:pPr>
            <w:r w:rsidRPr="00D4309F">
              <w:rPr>
                <w:b/>
                <w:color w:val="70004A"/>
                <w:sz w:val="18"/>
              </w:rPr>
              <w:t>Option</w:t>
            </w:r>
            <w:r w:rsidRPr="00D4309F">
              <w:rPr>
                <w:b/>
                <w:color w:val="70004A"/>
                <w:spacing w:val="-1"/>
                <w:sz w:val="18"/>
              </w:rPr>
              <w:t xml:space="preserve"> </w:t>
            </w:r>
            <w:r w:rsidRPr="00D4309F">
              <w:rPr>
                <w:b/>
                <w:color w:val="70004A"/>
                <w:spacing w:val="-5"/>
                <w:sz w:val="18"/>
              </w:rPr>
              <w:t>2B</w:t>
            </w:r>
          </w:p>
        </w:tc>
        <w:tc>
          <w:tcPr>
            <w:tcW w:w="1327" w:type="dxa"/>
          </w:tcPr>
          <w:p w14:paraId="65C294AA" w14:textId="77777777" w:rsidR="00725977" w:rsidRPr="00D4309F" w:rsidRDefault="00725977">
            <w:pPr>
              <w:pStyle w:val="TableParagraph"/>
              <w:spacing w:before="47"/>
              <w:ind w:left="174"/>
              <w:rPr>
                <w:b/>
                <w:sz w:val="18"/>
              </w:rPr>
            </w:pPr>
            <w:r w:rsidRPr="00D4309F">
              <w:rPr>
                <w:b/>
                <w:color w:val="70004A"/>
                <w:sz w:val="18"/>
              </w:rPr>
              <w:t>Option</w:t>
            </w:r>
            <w:r w:rsidRPr="00D4309F">
              <w:rPr>
                <w:b/>
                <w:color w:val="70004A"/>
                <w:spacing w:val="-1"/>
                <w:sz w:val="18"/>
              </w:rPr>
              <w:t xml:space="preserve"> </w:t>
            </w:r>
            <w:r w:rsidRPr="00D4309F">
              <w:rPr>
                <w:b/>
                <w:color w:val="70004A"/>
                <w:spacing w:val="-5"/>
                <w:sz w:val="18"/>
              </w:rPr>
              <w:t>2C</w:t>
            </w:r>
          </w:p>
        </w:tc>
        <w:tc>
          <w:tcPr>
            <w:tcW w:w="1329" w:type="dxa"/>
          </w:tcPr>
          <w:p w14:paraId="74CE2561" w14:textId="77777777" w:rsidR="00725977" w:rsidRPr="00D4309F" w:rsidRDefault="00725977">
            <w:pPr>
              <w:pStyle w:val="TableParagraph"/>
              <w:spacing w:before="47"/>
              <w:ind w:left="172"/>
              <w:rPr>
                <w:b/>
                <w:sz w:val="18"/>
              </w:rPr>
            </w:pPr>
            <w:r w:rsidRPr="00D4309F">
              <w:rPr>
                <w:b/>
                <w:color w:val="70004A"/>
                <w:sz w:val="18"/>
              </w:rPr>
              <w:t>Option</w:t>
            </w:r>
            <w:r w:rsidRPr="00D4309F">
              <w:rPr>
                <w:b/>
                <w:color w:val="70004A"/>
                <w:spacing w:val="-1"/>
                <w:sz w:val="18"/>
              </w:rPr>
              <w:t xml:space="preserve"> </w:t>
            </w:r>
            <w:r w:rsidRPr="00D4309F">
              <w:rPr>
                <w:b/>
                <w:color w:val="70004A"/>
                <w:spacing w:val="-5"/>
                <w:sz w:val="18"/>
              </w:rPr>
              <w:t>2A</w:t>
            </w:r>
          </w:p>
        </w:tc>
        <w:tc>
          <w:tcPr>
            <w:tcW w:w="1425" w:type="dxa"/>
          </w:tcPr>
          <w:p w14:paraId="237D0276" w14:textId="77777777" w:rsidR="00725977" w:rsidRPr="00D4309F" w:rsidRDefault="00725977">
            <w:pPr>
              <w:pStyle w:val="TableParagraph"/>
              <w:spacing w:before="47"/>
              <w:ind w:left="175"/>
              <w:rPr>
                <w:b/>
                <w:sz w:val="18"/>
              </w:rPr>
            </w:pPr>
            <w:r w:rsidRPr="00D4309F">
              <w:rPr>
                <w:b/>
                <w:color w:val="70004A"/>
                <w:sz w:val="18"/>
              </w:rPr>
              <w:t>Option</w:t>
            </w:r>
            <w:r w:rsidRPr="00D4309F">
              <w:rPr>
                <w:b/>
                <w:color w:val="70004A"/>
                <w:spacing w:val="-1"/>
                <w:sz w:val="18"/>
              </w:rPr>
              <w:t xml:space="preserve"> </w:t>
            </w:r>
            <w:r w:rsidRPr="00D4309F">
              <w:rPr>
                <w:b/>
                <w:color w:val="70004A"/>
                <w:spacing w:val="-5"/>
                <w:sz w:val="18"/>
              </w:rPr>
              <w:t>2B</w:t>
            </w:r>
          </w:p>
        </w:tc>
        <w:tc>
          <w:tcPr>
            <w:tcW w:w="1494" w:type="dxa"/>
          </w:tcPr>
          <w:p w14:paraId="0DD4250A" w14:textId="77777777" w:rsidR="00725977" w:rsidRPr="00D4309F" w:rsidRDefault="00725977">
            <w:pPr>
              <w:pStyle w:val="TableParagraph"/>
              <w:spacing w:before="47"/>
              <w:ind w:left="172"/>
              <w:rPr>
                <w:b/>
                <w:sz w:val="18"/>
              </w:rPr>
            </w:pPr>
            <w:r w:rsidRPr="00D4309F">
              <w:rPr>
                <w:b/>
                <w:color w:val="70004A"/>
                <w:sz w:val="18"/>
              </w:rPr>
              <w:t>Option</w:t>
            </w:r>
            <w:r w:rsidRPr="00D4309F">
              <w:rPr>
                <w:b/>
                <w:color w:val="70004A"/>
                <w:spacing w:val="-1"/>
                <w:sz w:val="18"/>
              </w:rPr>
              <w:t xml:space="preserve"> </w:t>
            </w:r>
            <w:r w:rsidRPr="00D4309F">
              <w:rPr>
                <w:b/>
                <w:color w:val="70004A"/>
                <w:spacing w:val="-5"/>
                <w:sz w:val="18"/>
              </w:rPr>
              <w:t>2C</w:t>
            </w:r>
          </w:p>
        </w:tc>
      </w:tr>
      <w:tr w:rsidR="00725977" w:rsidRPr="00D4309F" w14:paraId="55297D44" w14:textId="77777777" w:rsidTr="0007157B">
        <w:trPr>
          <w:trHeight w:val="2977"/>
        </w:trPr>
        <w:tc>
          <w:tcPr>
            <w:tcW w:w="1165" w:type="dxa"/>
          </w:tcPr>
          <w:p w14:paraId="1FDBC149" w14:textId="77777777" w:rsidR="00725977" w:rsidRPr="00D4309F" w:rsidRDefault="00725977">
            <w:pPr>
              <w:pStyle w:val="TableParagraph"/>
              <w:rPr>
                <w:b/>
                <w:sz w:val="18"/>
              </w:rPr>
            </w:pPr>
          </w:p>
          <w:p w14:paraId="4C92E0D7" w14:textId="77777777" w:rsidR="00725977" w:rsidRPr="00D4309F" w:rsidRDefault="00725977">
            <w:pPr>
              <w:pStyle w:val="TableParagraph"/>
              <w:rPr>
                <w:b/>
                <w:sz w:val="18"/>
              </w:rPr>
            </w:pPr>
          </w:p>
          <w:p w14:paraId="39C87159" w14:textId="77777777" w:rsidR="00725977" w:rsidRPr="00D4309F" w:rsidRDefault="00725977">
            <w:pPr>
              <w:pStyle w:val="TableParagraph"/>
              <w:rPr>
                <w:b/>
                <w:sz w:val="18"/>
              </w:rPr>
            </w:pPr>
          </w:p>
          <w:p w14:paraId="59B1239F" w14:textId="77777777" w:rsidR="00725977" w:rsidRPr="00D4309F" w:rsidRDefault="00725977">
            <w:pPr>
              <w:pStyle w:val="TableParagraph"/>
              <w:rPr>
                <w:b/>
                <w:sz w:val="18"/>
              </w:rPr>
            </w:pPr>
          </w:p>
          <w:p w14:paraId="7BB05EC1" w14:textId="77777777" w:rsidR="00725977" w:rsidRPr="00D4309F" w:rsidRDefault="00725977">
            <w:pPr>
              <w:pStyle w:val="TableParagraph"/>
              <w:rPr>
                <w:b/>
                <w:sz w:val="18"/>
              </w:rPr>
            </w:pPr>
          </w:p>
          <w:p w14:paraId="383003B5" w14:textId="77777777" w:rsidR="00725977" w:rsidRPr="00D4309F" w:rsidRDefault="00725977">
            <w:pPr>
              <w:pStyle w:val="TableParagraph"/>
              <w:spacing w:before="144"/>
              <w:rPr>
                <w:b/>
                <w:sz w:val="18"/>
              </w:rPr>
            </w:pPr>
          </w:p>
          <w:p w14:paraId="250AF851" w14:textId="77777777" w:rsidR="00725977" w:rsidRPr="00D4309F" w:rsidRDefault="00725977">
            <w:pPr>
              <w:pStyle w:val="TableParagraph"/>
              <w:ind w:left="195"/>
              <w:rPr>
                <w:b/>
                <w:sz w:val="18"/>
              </w:rPr>
            </w:pPr>
            <w:r w:rsidRPr="00D4309F">
              <w:rPr>
                <w:b/>
                <w:color w:val="211E1F"/>
                <w:spacing w:val="-2"/>
                <w:sz w:val="18"/>
              </w:rPr>
              <w:t>General</w:t>
            </w:r>
          </w:p>
        </w:tc>
        <w:tc>
          <w:tcPr>
            <w:tcW w:w="1626" w:type="dxa"/>
          </w:tcPr>
          <w:p w14:paraId="30E512CB" w14:textId="77777777" w:rsidR="00725977" w:rsidRPr="00D4309F" w:rsidRDefault="00725977">
            <w:pPr>
              <w:pStyle w:val="TableParagraph"/>
              <w:rPr>
                <w:b/>
                <w:sz w:val="18"/>
              </w:rPr>
            </w:pPr>
          </w:p>
          <w:p w14:paraId="5F0EC7A4" w14:textId="77777777" w:rsidR="00725977" w:rsidRPr="00D4309F" w:rsidRDefault="00725977">
            <w:pPr>
              <w:pStyle w:val="TableParagraph"/>
              <w:rPr>
                <w:b/>
                <w:sz w:val="18"/>
              </w:rPr>
            </w:pPr>
          </w:p>
          <w:p w14:paraId="550DCCDF" w14:textId="77777777" w:rsidR="00725977" w:rsidRPr="00D4309F" w:rsidRDefault="00725977">
            <w:pPr>
              <w:pStyle w:val="TableParagraph"/>
              <w:spacing w:before="143"/>
              <w:rPr>
                <w:b/>
                <w:sz w:val="18"/>
              </w:rPr>
            </w:pPr>
          </w:p>
          <w:p w14:paraId="0D796F3E" w14:textId="77777777" w:rsidR="00725977" w:rsidRPr="00D4309F" w:rsidRDefault="00725977">
            <w:pPr>
              <w:pStyle w:val="TableParagraph"/>
              <w:ind w:left="191" w:right="193"/>
              <w:rPr>
                <w:sz w:val="18"/>
              </w:rPr>
            </w:pPr>
            <w:r w:rsidRPr="00D4309F">
              <w:rPr>
                <w:color w:val="211E1F"/>
                <w:sz w:val="18"/>
              </w:rPr>
              <w:t xml:space="preserve">Excavate a </w:t>
            </w:r>
            <w:r w:rsidRPr="00D4309F">
              <w:rPr>
                <w:color w:val="211E1F"/>
                <w:spacing w:val="-2"/>
                <w:sz w:val="18"/>
              </w:rPr>
              <w:t xml:space="preserve">rock-based </w:t>
            </w:r>
            <w:r w:rsidRPr="00D4309F">
              <w:rPr>
                <w:color w:val="211E1F"/>
                <w:sz w:val="18"/>
              </w:rPr>
              <w:t>sand</w:t>
            </w:r>
            <w:r w:rsidRPr="00D4309F">
              <w:rPr>
                <w:color w:val="211E1F"/>
                <w:spacing w:val="-13"/>
                <w:sz w:val="18"/>
              </w:rPr>
              <w:t xml:space="preserve"> </w:t>
            </w:r>
            <w:r w:rsidRPr="00D4309F">
              <w:rPr>
                <w:color w:val="211E1F"/>
                <w:sz w:val="18"/>
              </w:rPr>
              <w:t>trap</w:t>
            </w:r>
            <w:r w:rsidRPr="00D4309F">
              <w:rPr>
                <w:color w:val="211E1F"/>
                <w:spacing w:val="-12"/>
                <w:sz w:val="18"/>
              </w:rPr>
              <w:t xml:space="preserve"> </w:t>
            </w:r>
            <w:r w:rsidRPr="00D4309F">
              <w:rPr>
                <w:color w:val="211E1F"/>
                <w:sz w:val="18"/>
              </w:rPr>
              <w:t>in</w:t>
            </w:r>
            <w:r w:rsidRPr="00D4309F">
              <w:rPr>
                <w:color w:val="211E1F"/>
                <w:spacing w:val="-13"/>
                <w:sz w:val="18"/>
              </w:rPr>
              <w:t xml:space="preserve"> </w:t>
            </w:r>
            <w:r w:rsidRPr="00D4309F">
              <w:rPr>
                <w:color w:val="211E1F"/>
                <w:sz w:val="18"/>
              </w:rPr>
              <w:t>the entrance to form a controlled sink for sand.</w:t>
            </w:r>
          </w:p>
        </w:tc>
        <w:tc>
          <w:tcPr>
            <w:tcW w:w="1326" w:type="dxa"/>
          </w:tcPr>
          <w:p w14:paraId="06AD440A" w14:textId="77777777" w:rsidR="00725977" w:rsidRPr="00D4309F" w:rsidRDefault="00725977">
            <w:pPr>
              <w:pStyle w:val="TableParagraph"/>
              <w:rPr>
                <w:b/>
                <w:sz w:val="18"/>
              </w:rPr>
            </w:pPr>
          </w:p>
          <w:p w14:paraId="4017F50C" w14:textId="77777777" w:rsidR="00725977" w:rsidRPr="00D4309F" w:rsidRDefault="00725977">
            <w:pPr>
              <w:pStyle w:val="TableParagraph"/>
              <w:spacing w:before="143"/>
              <w:rPr>
                <w:b/>
                <w:sz w:val="18"/>
              </w:rPr>
            </w:pPr>
          </w:p>
          <w:p w14:paraId="722096C9" w14:textId="77777777" w:rsidR="00725977" w:rsidRPr="00D4309F" w:rsidRDefault="00725977">
            <w:pPr>
              <w:pStyle w:val="TableParagraph"/>
              <w:ind w:left="167" w:right="209"/>
              <w:rPr>
                <w:sz w:val="18"/>
              </w:rPr>
            </w:pPr>
            <w:r w:rsidRPr="00D4309F">
              <w:rPr>
                <w:color w:val="211E1F"/>
                <w:spacing w:val="-4"/>
                <w:sz w:val="18"/>
              </w:rPr>
              <w:t xml:space="preserve">Same </w:t>
            </w:r>
            <w:r w:rsidRPr="00D4309F">
              <w:rPr>
                <w:color w:val="211E1F"/>
                <w:spacing w:val="-2"/>
                <w:sz w:val="18"/>
              </w:rPr>
              <w:t xml:space="preserve">excavation </w:t>
            </w:r>
            <w:r w:rsidRPr="00D4309F">
              <w:rPr>
                <w:color w:val="211E1F"/>
                <w:sz w:val="18"/>
              </w:rPr>
              <w:t xml:space="preserve">as 2A; </w:t>
            </w:r>
            <w:r w:rsidRPr="00D4309F">
              <w:rPr>
                <w:color w:val="211E1F"/>
                <w:spacing w:val="-2"/>
                <w:sz w:val="18"/>
              </w:rPr>
              <w:t xml:space="preserve">configure </w:t>
            </w:r>
            <w:r w:rsidRPr="00D4309F">
              <w:rPr>
                <w:color w:val="211E1F"/>
                <w:sz w:val="18"/>
              </w:rPr>
              <w:t xml:space="preserve">access for </w:t>
            </w:r>
            <w:r w:rsidRPr="00D4309F">
              <w:rPr>
                <w:color w:val="211E1F"/>
                <w:spacing w:val="-2"/>
                <w:sz w:val="18"/>
              </w:rPr>
              <w:t>larger dredge operations (TSHD).</w:t>
            </w:r>
          </w:p>
        </w:tc>
        <w:tc>
          <w:tcPr>
            <w:tcW w:w="1327" w:type="dxa"/>
          </w:tcPr>
          <w:p w14:paraId="67459D85" w14:textId="77777777" w:rsidR="00725977" w:rsidRPr="00D4309F" w:rsidRDefault="00725977">
            <w:pPr>
              <w:pStyle w:val="TableParagraph"/>
              <w:spacing w:before="143"/>
              <w:ind w:left="174" w:right="163"/>
              <w:rPr>
                <w:sz w:val="18"/>
              </w:rPr>
            </w:pPr>
            <w:r w:rsidRPr="00D4309F">
              <w:rPr>
                <w:color w:val="211E1F"/>
                <w:spacing w:val="-4"/>
                <w:sz w:val="18"/>
              </w:rPr>
              <w:t xml:space="preserve">Same </w:t>
            </w:r>
            <w:r w:rsidRPr="00D4309F">
              <w:rPr>
                <w:color w:val="211E1F"/>
                <w:spacing w:val="-2"/>
                <w:sz w:val="18"/>
              </w:rPr>
              <w:t xml:space="preserve">excavation </w:t>
            </w:r>
            <w:r w:rsidRPr="00D4309F">
              <w:rPr>
                <w:color w:val="211E1F"/>
                <w:sz w:val="18"/>
              </w:rPr>
              <w:t xml:space="preserve">plus install </w:t>
            </w:r>
            <w:r w:rsidRPr="00D4309F">
              <w:rPr>
                <w:color w:val="211E1F"/>
                <w:spacing w:val="-2"/>
                <w:sz w:val="18"/>
              </w:rPr>
              <w:t xml:space="preserve">semi-permanent </w:t>
            </w:r>
            <w:r w:rsidRPr="00D4309F">
              <w:rPr>
                <w:color w:val="211E1F"/>
                <w:spacing w:val="-4"/>
                <w:sz w:val="18"/>
              </w:rPr>
              <w:t>pump</w:t>
            </w:r>
            <w:r w:rsidRPr="00D4309F">
              <w:rPr>
                <w:color w:val="211E1F"/>
                <w:spacing w:val="40"/>
                <w:sz w:val="18"/>
              </w:rPr>
              <w:t xml:space="preserve"> </w:t>
            </w:r>
            <w:r w:rsidRPr="00D4309F">
              <w:rPr>
                <w:color w:val="211E1F"/>
                <w:sz w:val="18"/>
              </w:rPr>
              <w:t>station</w:t>
            </w:r>
            <w:r w:rsidRPr="00D4309F">
              <w:rPr>
                <w:color w:val="211E1F"/>
                <w:spacing w:val="-15"/>
                <w:sz w:val="18"/>
              </w:rPr>
              <w:t xml:space="preserve"> </w:t>
            </w:r>
            <w:r w:rsidRPr="00D4309F">
              <w:rPr>
                <w:color w:val="211E1F"/>
                <w:sz w:val="18"/>
              </w:rPr>
              <w:t>(≈</w:t>
            </w:r>
            <w:r w:rsidRPr="00D4309F">
              <w:rPr>
                <w:color w:val="211E1F"/>
                <w:spacing w:val="-12"/>
                <w:sz w:val="18"/>
              </w:rPr>
              <w:t xml:space="preserve"> </w:t>
            </w:r>
            <w:r w:rsidRPr="00D4309F">
              <w:rPr>
                <w:color w:val="211E1F"/>
                <w:sz w:val="18"/>
              </w:rPr>
              <w:t>30</w:t>
            </w:r>
          </w:p>
          <w:p w14:paraId="74B8E4EF" w14:textId="77777777" w:rsidR="00725977" w:rsidRPr="00D4309F" w:rsidRDefault="00725977">
            <w:pPr>
              <w:pStyle w:val="TableParagraph"/>
              <w:spacing w:line="207" w:lineRule="exact"/>
              <w:ind w:left="174"/>
              <w:rPr>
                <w:sz w:val="18"/>
              </w:rPr>
            </w:pPr>
            <w:r w:rsidRPr="00D4309F">
              <w:rPr>
                <w:color w:val="211E1F"/>
                <w:sz w:val="18"/>
              </w:rPr>
              <w:t>×</w:t>
            </w:r>
            <w:r w:rsidRPr="00D4309F">
              <w:rPr>
                <w:color w:val="211E1F"/>
                <w:spacing w:val="-1"/>
                <w:sz w:val="18"/>
              </w:rPr>
              <w:t xml:space="preserve"> </w:t>
            </w:r>
            <w:r w:rsidRPr="00D4309F">
              <w:rPr>
                <w:color w:val="211E1F"/>
                <w:sz w:val="18"/>
              </w:rPr>
              <w:t>20</w:t>
            </w:r>
            <w:r w:rsidRPr="00D4309F">
              <w:rPr>
                <w:color w:val="211E1F"/>
                <w:spacing w:val="-1"/>
                <w:sz w:val="18"/>
              </w:rPr>
              <w:t xml:space="preserve"> </w:t>
            </w:r>
            <w:r w:rsidRPr="00D4309F">
              <w:rPr>
                <w:color w:val="211E1F"/>
                <w:spacing w:val="-5"/>
                <w:sz w:val="18"/>
              </w:rPr>
              <w:t>m),</w:t>
            </w:r>
          </w:p>
          <w:p w14:paraId="74339B0F" w14:textId="77777777" w:rsidR="00725977" w:rsidRPr="00D4309F" w:rsidRDefault="00725977">
            <w:pPr>
              <w:pStyle w:val="TableParagraph"/>
              <w:ind w:left="174" w:right="242"/>
              <w:rPr>
                <w:sz w:val="18"/>
              </w:rPr>
            </w:pPr>
            <w:r w:rsidRPr="00D4309F">
              <w:rPr>
                <w:color w:val="211E1F"/>
                <w:spacing w:val="-2"/>
                <w:sz w:val="18"/>
              </w:rPr>
              <w:t xml:space="preserve">short pipelines, </w:t>
            </w:r>
            <w:r w:rsidRPr="00D4309F">
              <w:rPr>
                <w:color w:val="211E1F"/>
                <w:spacing w:val="-4"/>
                <w:sz w:val="18"/>
              </w:rPr>
              <w:t xml:space="preserve">and </w:t>
            </w:r>
            <w:r w:rsidRPr="00D4309F">
              <w:rPr>
                <w:color w:val="211E1F"/>
                <w:spacing w:val="-2"/>
                <w:sz w:val="18"/>
              </w:rPr>
              <w:t>walkway covers.</w:t>
            </w:r>
          </w:p>
        </w:tc>
        <w:tc>
          <w:tcPr>
            <w:tcW w:w="1329" w:type="dxa"/>
          </w:tcPr>
          <w:p w14:paraId="7AD08090" w14:textId="77777777" w:rsidR="00725977" w:rsidRPr="00D4309F" w:rsidRDefault="00725977">
            <w:pPr>
              <w:pStyle w:val="TableParagraph"/>
              <w:rPr>
                <w:b/>
                <w:sz w:val="18"/>
              </w:rPr>
            </w:pPr>
          </w:p>
          <w:p w14:paraId="2BE106BB" w14:textId="77777777" w:rsidR="00725977" w:rsidRPr="00D4309F" w:rsidRDefault="00725977">
            <w:pPr>
              <w:pStyle w:val="TableParagraph"/>
              <w:spacing w:before="39"/>
              <w:rPr>
                <w:b/>
                <w:sz w:val="18"/>
              </w:rPr>
            </w:pPr>
          </w:p>
          <w:p w14:paraId="72CBF57E" w14:textId="77777777" w:rsidR="00725977" w:rsidRPr="00D4309F" w:rsidRDefault="00725977">
            <w:pPr>
              <w:pStyle w:val="TableParagraph"/>
              <w:spacing w:before="1"/>
              <w:ind w:left="172" w:right="255"/>
              <w:rPr>
                <w:sz w:val="18"/>
              </w:rPr>
            </w:pPr>
            <w:r w:rsidRPr="00D4309F">
              <w:rPr>
                <w:color w:val="211E1F"/>
                <w:spacing w:val="-2"/>
                <w:sz w:val="18"/>
              </w:rPr>
              <w:t xml:space="preserve">Periodic small-scale </w:t>
            </w:r>
            <w:r w:rsidRPr="00D4309F">
              <w:rPr>
                <w:color w:val="211E1F"/>
                <w:spacing w:val="-4"/>
                <w:sz w:val="18"/>
              </w:rPr>
              <w:t>CSD</w:t>
            </w:r>
          </w:p>
          <w:p w14:paraId="1595E082" w14:textId="77777777" w:rsidR="00725977" w:rsidRPr="00D4309F" w:rsidRDefault="00725977">
            <w:pPr>
              <w:pStyle w:val="TableParagraph"/>
              <w:ind w:left="172" w:right="198"/>
              <w:rPr>
                <w:sz w:val="18"/>
              </w:rPr>
            </w:pPr>
            <w:r w:rsidRPr="00D4309F">
              <w:rPr>
                <w:color w:val="211E1F"/>
                <w:sz w:val="18"/>
              </w:rPr>
              <w:t>dredging</w:t>
            </w:r>
            <w:r w:rsidRPr="00D4309F">
              <w:rPr>
                <w:color w:val="211E1F"/>
                <w:spacing w:val="-8"/>
                <w:sz w:val="18"/>
              </w:rPr>
              <w:t xml:space="preserve"> </w:t>
            </w:r>
            <w:r w:rsidRPr="00D4309F">
              <w:rPr>
                <w:color w:val="211E1F"/>
                <w:sz w:val="18"/>
              </w:rPr>
              <w:t xml:space="preserve">to </w:t>
            </w:r>
            <w:r w:rsidRPr="00D4309F">
              <w:rPr>
                <w:color w:val="211E1F"/>
                <w:spacing w:val="-2"/>
                <w:sz w:val="18"/>
              </w:rPr>
              <w:t xml:space="preserve">remove </w:t>
            </w:r>
            <w:r w:rsidRPr="00D4309F">
              <w:rPr>
                <w:color w:val="211E1F"/>
                <w:sz w:val="18"/>
              </w:rPr>
              <w:t xml:space="preserve">sand from trap and place at </w:t>
            </w:r>
            <w:r w:rsidRPr="00D4309F">
              <w:rPr>
                <w:color w:val="211E1F"/>
                <w:spacing w:val="-2"/>
                <w:sz w:val="18"/>
              </w:rPr>
              <w:t>Mooloolaba Beach.</w:t>
            </w:r>
          </w:p>
        </w:tc>
        <w:tc>
          <w:tcPr>
            <w:tcW w:w="1425" w:type="dxa"/>
          </w:tcPr>
          <w:p w14:paraId="31D286E9" w14:textId="77777777" w:rsidR="00725977" w:rsidRPr="00D4309F" w:rsidRDefault="00725977">
            <w:pPr>
              <w:pStyle w:val="TableParagraph"/>
              <w:rPr>
                <w:b/>
                <w:sz w:val="18"/>
              </w:rPr>
            </w:pPr>
          </w:p>
          <w:p w14:paraId="748E6E82" w14:textId="77777777" w:rsidR="00725977" w:rsidRPr="00D4309F" w:rsidRDefault="00725977">
            <w:pPr>
              <w:pStyle w:val="TableParagraph"/>
              <w:spacing w:before="143"/>
              <w:rPr>
                <w:b/>
                <w:sz w:val="18"/>
              </w:rPr>
            </w:pPr>
          </w:p>
          <w:p w14:paraId="17327793" w14:textId="77777777" w:rsidR="00725977" w:rsidRPr="00D4309F" w:rsidRDefault="00725977">
            <w:pPr>
              <w:pStyle w:val="TableParagraph"/>
              <w:ind w:left="175" w:right="667"/>
              <w:jc w:val="both"/>
              <w:rPr>
                <w:sz w:val="18"/>
              </w:rPr>
            </w:pPr>
            <w:r w:rsidRPr="00D4309F">
              <w:rPr>
                <w:color w:val="211E1F"/>
                <w:spacing w:val="-2"/>
                <w:sz w:val="18"/>
              </w:rPr>
              <w:t xml:space="preserve">Larger-volume </w:t>
            </w:r>
            <w:r w:rsidRPr="00D4309F">
              <w:rPr>
                <w:color w:val="211E1F"/>
                <w:spacing w:val="-4"/>
                <w:sz w:val="18"/>
              </w:rPr>
              <w:t>TSHD</w:t>
            </w:r>
          </w:p>
          <w:p w14:paraId="0622101B" w14:textId="77777777" w:rsidR="00725977" w:rsidRPr="00D4309F" w:rsidRDefault="00725977">
            <w:pPr>
              <w:pStyle w:val="TableParagraph"/>
              <w:ind w:left="175" w:right="222"/>
              <w:rPr>
                <w:sz w:val="18"/>
              </w:rPr>
            </w:pPr>
            <w:r w:rsidRPr="00D4309F">
              <w:rPr>
                <w:color w:val="211E1F"/>
                <w:spacing w:val="-2"/>
                <w:sz w:val="18"/>
              </w:rPr>
              <w:t xml:space="preserve">campaigns; </w:t>
            </w:r>
            <w:r w:rsidRPr="00D4309F">
              <w:rPr>
                <w:color w:val="211E1F"/>
                <w:sz w:val="18"/>
              </w:rPr>
              <w:t>placement</w:t>
            </w:r>
            <w:r w:rsidRPr="00D4309F">
              <w:rPr>
                <w:color w:val="211E1F"/>
                <w:spacing w:val="-13"/>
                <w:sz w:val="18"/>
              </w:rPr>
              <w:t xml:space="preserve"> </w:t>
            </w:r>
            <w:r w:rsidRPr="00D4309F">
              <w:rPr>
                <w:color w:val="211E1F"/>
                <w:sz w:val="18"/>
              </w:rPr>
              <w:t xml:space="preserve">in </w:t>
            </w:r>
            <w:r w:rsidRPr="00D4309F">
              <w:rPr>
                <w:color w:val="211E1F"/>
                <w:spacing w:val="-2"/>
                <w:sz w:val="18"/>
              </w:rPr>
              <w:t xml:space="preserve">nearshore </w:t>
            </w:r>
            <w:r w:rsidRPr="00D4309F">
              <w:rPr>
                <w:color w:val="211E1F"/>
                <w:sz w:val="18"/>
              </w:rPr>
              <w:t xml:space="preserve">Area B for </w:t>
            </w:r>
            <w:r w:rsidRPr="00D4309F">
              <w:rPr>
                <w:color w:val="211E1F"/>
                <w:spacing w:val="-2"/>
                <w:sz w:val="18"/>
              </w:rPr>
              <w:t>natural dispersion.</w:t>
            </w:r>
          </w:p>
        </w:tc>
        <w:tc>
          <w:tcPr>
            <w:tcW w:w="1494" w:type="dxa"/>
          </w:tcPr>
          <w:p w14:paraId="63D09D25" w14:textId="77777777" w:rsidR="00725977" w:rsidRPr="00D4309F" w:rsidRDefault="00725977">
            <w:pPr>
              <w:pStyle w:val="TableParagraph"/>
              <w:spacing w:before="40"/>
              <w:ind w:left="172" w:right="230"/>
              <w:rPr>
                <w:sz w:val="18"/>
              </w:rPr>
            </w:pPr>
            <w:r w:rsidRPr="00D4309F">
              <w:rPr>
                <w:color w:val="211E1F"/>
                <w:sz w:val="18"/>
              </w:rPr>
              <w:t>Pump</w:t>
            </w:r>
            <w:r w:rsidRPr="00D4309F">
              <w:rPr>
                <w:color w:val="211E1F"/>
                <w:spacing w:val="-13"/>
                <w:sz w:val="18"/>
              </w:rPr>
              <w:t xml:space="preserve"> </w:t>
            </w:r>
            <w:r w:rsidRPr="00D4309F">
              <w:rPr>
                <w:color w:val="211E1F"/>
                <w:sz w:val="18"/>
              </w:rPr>
              <w:t xml:space="preserve">system operated on </w:t>
            </w:r>
            <w:r w:rsidRPr="00D4309F">
              <w:rPr>
                <w:color w:val="211E1F"/>
                <w:spacing w:val="-2"/>
                <w:sz w:val="18"/>
              </w:rPr>
              <w:t>demand;</w:t>
            </w:r>
            <w:r w:rsidRPr="00D4309F">
              <w:rPr>
                <w:color w:val="211E1F"/>
                <w:spacing w:val="40"/>
                <w:sz w:val="18"/>
              </w:rPr>
              <w:t xml:space="preserve"> </w:t>
            </w:r>
            <w:r w:rsidRPr="00D4309F">
              <w:rPr>
                <w:color w:val="211E1F"/>
                <w:sz w:val="18"/>
              </w:rPr>
              <w:t>sand and water</w:t>
            </w:r>
            <w:r w:rsidRPr="00D4309F">
              <w:rPr>
                <w:color w:val="211E1F"/>
                <w:spacing w:val="-9"/>
                <w:sz w:val="18"/>
              </w:rPr>
              <w:t xml:space="preserve"> </w:t>
            </w:r>
            <w:r w:rsidRPr="00D4309F">
              <w:rPr>
                <w:color w:val="211E1F"/>
                <w:sz w:val="18"/>
              </w:rPr>
              <w:t xml:space="preserve">intakes </w:t>
            </w:r>
            <w:r w:rsidRPr="00D4309F">
              <w:rPr>
                <w:color w:val="211E1F"/>
                <w:spacing w:val="-2"/>
                <w:sz w:val="18"/>
              </w:rPr>
              <w:t xml:space="preserve">remove accumulated </w:t>
            </w:r>
            <w:r w:rsidRPr="00D4309F">
              <w:rPr>
                <w:color w:val="211E1F"/>
                <w:sz w:val="18"/>
              </w:rPr>
              <w:t xml:space="preserve">sand from trap and </w:t>
            </w:r>
            <w:r w:rsidRPr="00D4309F">
              <w:rPr>
                <w:color w:val="211E1F"/>
                <w:spacing w:val="-2"/>
                <w:sz w:val="18"/>
              </w:rPr>
              <w:t xml:space="preserve">transfer across </w:t>
            </w:r>
            <w:r w:rsidRPr="00D4309F">
              <w:rPr>
                <w:color w:val="211E1F"/>
                <w:sz w:val="18"/>
              </w:rPr>
              <w:t xml:space="preserve">entrance via existing pipe </w:t>
            </w:r>
            <w:r w:rsidRPr="00D4309F">
              <w:rPr>
                <w:color w:val="211E1F"/>
                <w:spacing w:val="-2"/>
                <w:sz w:val="18"/>
              </w:rPr>
              <w:t>network.</w:t>
            </w:r>
          </w:p>
        </w:tc>
      </w:tr>
      <w:tr w:rsidR="00725977" w:rsidRPr="00D4309F" w14:paraId="3CA78570" w14:textId="77777777" w:rsidTr="0007157B">
        <w:trPr>
          <w:trHeight w:val="2770"/>
        </w:trPr>
        <w:tc>
          <w:tcPr>
            <w:tcW w:w="1165" w:type="dxa"/>
          </w:tcPr>
          <w:p w14:paraId="33B777F7" w14:textId="77777777" w:rsidR="00725977" w:rsidRPr="00D4309F" w:rsidRDefault="00725977">
            <w:pPr>
              <w:pStyle w:val="TableParagraph"/>
              <w:rPr>
                <w:b/>
                <w:sz w:val="18"/>
              </w:rPr>
            </w:pPr>
          </w:p>
          <w:p w14:paraId="2082058A" w14:textId="77777777" w:rsidR="00725977" w:rsidRPr="00D4309F" w:rsidRDefault="00725977">
            <w:pPr>
              <w:pStyle w:val="TableParagraph"/>
              <w:rPr>
                <w:b/>
                <w:sz w:val="18"/>
              </w:rPr>
            </w:pPr>
          </w:p>
          <w:p w14:paraId="371B4B8F" w14:textId="77777777" w:rsidR="00725977" w:rsidRPr="00D4309F" w:rsidRDefault="00725977">
            <w:pPr>
              <w:pStyle w:val="TableParagraph"/>
              <w:rPr>
                <w:b/>
                <w:sz w:val="18"/>
              </w:rPr>
            </w:pPr>
          </w:p>
          <w:p w14:paraId="2D2E9148" w14:textId="77777777" w:rsidR="00725977" w:rsidRPr="00D4309F" w:rsidRDefault="00725977">
            <w:pPr>
              <w:pStyle w:val="TableParagraph"/>
              <w:rPr>
                <w:b/>
                <w:sz w:val="18"/>
              </w:rPr>
            </w:pPr>
          </w:p>
          <w:p w14:paraId="6E8832F2" w14:textId="77777777" w:rsidR="00725977" w:rsidRPr="00D4309F" w:rsidRDefault="00725977">
            <w:pPr>
              <w:pStyle w:val="TableParagraph"/>
              <w:rPr>
                <w:b/>
                <w:sz w:val="18"/>
              </w:rPr>
            </w:pPr>
          </w:p>
          <w:p w14:paraId="7A176C2A" w14:textId="77777777" w:rsidR="00725977" w:rsidRPr="00D4309F" w:rsidRDefault="00725977">
            <w:pPr>
              <w:pStyle w:val="TableParagraph"/>
              <w:spacing w:before="39"/>
              <w:rPr>
                <w:b/>
                <w:sz w:val="18"/>
              </w:rPr>
            </w:pPr>
          </w:p>
          <w:p w14:paraId="6F9D8A01" w14:textId="77777777" w:rsidR="00725977" w:rsidRPr="00D4309F" w:rsidRDefault="00725977">
            <w:pPr>
              <w:pStyle w:val="TableParagraph"/>
              <w:spacing w:before="1"/>
              <w:ind w:left="195"/>
              <w:rPr>
                <w:b/>
                <w:sz w:val="18"/>
              </w:rPr>
            </w:pPr>
            <w:r w:rsidRPr="00D4309F">
              <w:rPr>
                <w:b/>
                <w:color w:val="211E1F"/>
                <w:spacing w:val="-4"/>
                <w:sz w:val="18"/>
              </w:rPr>
              <w:t>Pros</w:t>
            </w:r>
          </w:p>
        </w:tc>
        <w:tc>
          <w:tcPr>
            <w:tcW w:w="1626" w:type="dxa"/>
          </w:tcPr>
          <w:p w14:paraId="09C44738" w14:textId="77777777" w:rsidR="00725977" w:rsidRPr="00D4309F" w:rsidRDefault="00725977">
            <w:pPr>
              <w:pStyle w:val="TableParagraph"/>
              <w:rPr>
                <w:b/>
                <w:sz w:val="18"/>
              </w:rPr>
            </w:pPr>
          </w:p>
          <w:p w14:paraId="49ECF6C0" w14:textId="77777777" w:rsidR="00725977" w:rsidRPr="00D4309F" w:rsidRDefault="00725977">
            <w:pPr>
              <w:pStyle w:val="TableParagraph"/>
              <w:spacing w:before="142"/>
              <w:rPr>
                <w:b/>
                <w:sz w:val="18"/>
              </w:rPr>
            </w:pPr>
          </w:p>
          <w:p w14:paraId="22C30190" w14:textId="77777777" w:rsidR="00725977" w:rsidRPr="00D4309F" w:rsidRDefault="00725977">
            <w:pPr>
              <w:pStyle w:val="TableParagraph"/>
              <w:spacing w:before="1"/>
              <w:ind w:left="191" w:right="126"/>
              <w:rPr>
                <w:sz w:val="18"/>
              </w:rPr>
            </w:pPr>
            <w:r w:rsidRPr="00D4309F">
              <w:rPr>
                <w:color w:val="211E1F"/>
                <w:spacing w:val="-2"/>
                <w:sz w:val="18"/>
              </w:rPr>
              <w:t xml:space="preserve">Straightforward, </w:t>
            </w:r>
            <w:r w:rsidRPr="00D4309F">
              <w:rPr>
                <w:color w:val="211E1F"/>
                <w:sz w:val="18"/>
              </w:rPr>
              <w:t xml:space="preserve">low impact works; minimal </w:t>
            </w:r>
            <w:r w:rsidRPr="00D4309F">
              <w:rPr>
                <w:color w:val="211E1F"/>
                <w:spacing w:val="-2"/>
                <w:sz w:val="18"/>
              </w:rPr>
              <w:t xml:space="preserve">infrastructure; easily implemented </w:t>
            </w:r>
            <w:r w:rsidRPr="00D4309F">
              <w:rPr>
                <w:color w:val="211E1F"/>
                <w:sz w:val="18"/>
              </w:rPr>
              <w:t xml:space="preserve">with existing </w:t>
            </w:r>
            <w:r w:rsidRPr="00D4309F">
              <w:rPr>
                <w:color w:val="211E1F"/>
                <w:spacing w:val="-2"/>
                <w:sz w:val="18"/>
              </w:rPr>
              <w:t>plant.</w:t>
            </w:r>
          </w:p>
        </w:tc>
        <w:tc>
          <w:tcPr>
            <w:tcW w:w="1326" w:type="dxa"/>
          </w:tcPr>
          <w:p w14:paraId="2E1FB4AD" w14:textId="77777777" w:rsidR="00725977" w:rsidRPr="00D4309F" w:rsidRDefault="00725977">
            <w:pPr>
              <w:pStyle w:val="TableParagraph"/>
              <w:spacing w:before="39"/>
              <w:ind w:left="167" w:right="167"/>
              <w:rPr>
                <w:sz w:val="18"/>
              </w:rPr>
            </w:pPr>
            <w:r w:rsidRPr="00D4309F">
              <w:rPr>
                <w:color w:val="211E1F"/>
                <w:spacing w:val="-2"/>
                <w:sz w:val="18"/>
              </w:rPr>
              <w:t xml:space="preserve">Proven construction method; allows efficient large-volume dredging; compatible </w:t>
            </w:r>
            <w:r w:rsidRPr="00D4309F">
              <w:rPr>
                <w:color w:val="211E1F"/>
                <w:spacing w:val="-4"/>
                <w:sz w:val="18"/>
              </w:rPr>
              <w:t>with</w:t>
            </w:r>
            <w:r w:rsidRPr="00D4309F">
              <w:rPr>
                <w:color w:val="211E1F"/>
                <w:spacing w:val="80"/>
                <w:sz w:val="18"/>
              </w:rPr>
              <w:t xml:space="preserve"> </w:t>
            </w:r>
            <w:r w:rsidRPr="00D4309F">
              <w:rPr>
                <w:color w:val="211E1F"/>
                <w:spacing w:val="-2"/>
                <w:sz w:val="18"/>
              </w:rPr>
              <w:t>regional nourishment programs.</w:t>
            </w:r>
          </w:p>
        </w:tc>
        <w:tc>
          <w:tcPr>
            <w:tcW w:w="1327" w:type="dxa"/>
          </w:tcPr>
          <w:p w14:paraId="11630FA4" w14:textId="77777777" w:rsidR="00725977" w:rsidRPr="00D4309F" w:rsidRDefault="00725977">
            <w:pPr>
              <w:pStyle w:val="TableParagraph"/>
              <w:spacing w:before="142"/>
              <w:ind w:left="174" w:right="242"/>
              <w:rPr>
                <w:sz w:val="18"/>
              </w:rPr>
            </w:pPr>
            <w:r w:rsidRPr="00D4309F">
              <w:rPr>
                <w:color w:val="211E1F"/>
                <w:spacing w:val="-2"/>
                <w:sz w:val="18"/>
              </w:rPr>
              <w:t xml:space="preserve">Compact, low-impact setup; flexible operation; limited excavation; </w:t>
            </w:r>
            <w:r w:rsidRPr="00D4309F">
              <w:rPr>
                <w:color w:val="211E1F"/>
                <w:spacing w:val="-4"/>
                <w:sz w:val="18"/>
              </w:rPr>
              <w:t xml:space="preserve">can </w:t>
            </w:r>
            <w:r w:rsidRPr="00D4309F">
              <w:rPr>
                <w:color w:val="211E1F"/>
                <w:spacing w:val="-2"/>
                <w:sz w:val="18"/>
              </w:rPr>
              <w:t xml:space="preserve">integrate </w:t>
            </w:r>
            <w:r w:rsidRPr="00D4309F">
              <w:rPr>
                <w:color w:val="211E1F"/>
                <w:sz w:val="18"/>
              </w:rPr>
              <w:t xml:space="preserve">with future </w:t>
            </w:r>
            <w:r w:rsidRPr="00D4309F">
              <w:rPr>
                <w:color w:val="211E1F"/>
                <w:spacing w:val="-2"/>
                <w:sz w:val="18"/>
              </w:rPr>
              <w:t>automated systems.</w:t>
            </w:r>
          </w:p>
        </w:tc>
        <w:tc>
          <w:tcPr>
            <w:tcW w:w="1329" w:type="dxa"/>
          </w:tcPr>
          <w:p w14:paraId="205BC24C" w14:textId="77777777" w:rsidR="00725977" w:rsidRPr="00D4309F" w:rsidRDefault="00725977">
            <w:pPr>
              <w:pStyle w:val="TableParagraph"/>
              <w:spacing w:before="142"/>
              <w:ind w:left="172" w:right="249"/>
              <w:rPr>
                <w:sz w:val="18"/>
              </w:rPr>
            </w:pPr>
            <w:r w:rsidRPr="00D4309F">
              <w:rPr>
                <w:color w:val="211E1F"/>
                <w:sz w:val="18"/>
              </w:rPr>
              <w:t>Simple</w:t>
            </w:r>
            <w:r w:rsidRPr="00D4309F">
              <w:rPr>
                <w:color w:val="211E1F"/>
                <w:spacing w:val="-13"/>
                <w:sz w:val="18"/>
              </w:rPr>
              <w:t xml:space="preserve"> </w:t>
            </w:r>
            <w:r w:rsidRPr="00D4309F">
              <w:rPr>
                <w:color w:val="211E1F"/>
                <w:sz w:val="18"/>
              </w:rPr>
              <w:t xml:space="preserve">and </w:t>
            </w:r>
            <w:r w:rsidRPr="00D4309F">
              <w:rPr>
                <w:color w:val="211E1F"/>
                <w:spacing w:val="-2"/>
                <w:sz w:val="18"/>
              </w:rPr>
              <w:t>proven method; regular small dredging maintains entrance depth; minimal onshore activity.</w:t>
            </w:r>
          </w:p>
        </w:tc>
        <w:tc>
          <w:tcPr>
            <w:tcW w:w="1425" w:type="dxa"/>
          </w:tcPr>
          <w:p w14:paraId="7B39AE87" w14:textId="77777777" w:rsidR="00725977" w:rsidRPr="00D4309F" w:rsidRDefault="00725977">
            <w:pPr>
              <w:pStyle w:val="TableParagraph"/>
              <w:spacing w:before="40"/>
              <w:rPr>
                <w:b/>
                <w:sz w:val="18"/>
              </w:rPr>
            </w:pPr>
          </w:p>
          <w:p w14:paraId="6EE977D6" w14:textId="77777777" w:rsidR="00725977" w:rsidRPr="00D4309F" w:rsidRDefault="00725977">
            <w:pPr>
              <w:pStyle w:val="TableParagraph"/>
              <w:ind w:left="175" w:right="152"/>
              <w:rPr>
                <w:sz w:val="18"/>
              </w:rPr>
            </w:pPr>
            <w:r w:rsidRPr="00D4309F">
              <w:rPr>
                <w:color w:val="211E1F"/>
                <w:spacing w:val="-2"/>
                <w:sz w:val="18"/>
              </w:rPr>
              <w:t xml:space="preserve">Efficient, predictable </w:t>
            </w:r>
            <w:r w:rsidRPr="00D4309F">
              <w:rPr>
                <w:color w:val="211E1F"/>
                <w:sz w:val="18"/>
              </w:rPr>
              <w:t>removal in good</w:t>
            </w:r>
            <w:r w:rsidRPr="00D4309F">
              <w:rPr>
                <w:color w:val="211E1F"/>
                <w:spacing w:val="-13"/>
                <w:sz w:val="18"/>
              </w:rPr>
              <w:t xml:space="preserve"> </w:t>
            </w:r>
            <w:r w:rsidRPr="00D4309F">
              <w:rPr>
                <w:color w:val="211E1F"/>
                <w:sz w:val="18"/>
              </w:rPr>
              <w:t xml:space="preserve">weather </w:t>
            </w:r>
            <w:r w:rsidRPr="00D4309F">
              <w:rPr>
                <w:color w:val="211E1F"/>
                <w:spacing w:val="-2"/>
                <w:sz w:val="18"/>
              </w:rPr>
              <w:t xml:space="preserve">windows; </w:t>
            </w:r>
            <w:r w:rsidRPr="00D4309F">
              <w:rPr>
                <w:color w:val="211E1F"/>
                <w:sz w:val="18"/>
              </w:rPr>
              <w:t xml:space="preserve">fewer, safer </w:t>
            </w:r>
            <w:r w:rsidRPr="00D4309F">
              <w:rPr>
                <w:color w:val="211E1F"/>
                <w:spacing w:val="-2"/>
                <w:sz w:val="18"/>
              </w:rPr>
              <w:t>campaigns; supports natural nearshore nourishment.</w:t>
            </w:r>
          </w:p>
        </w:tc>
        <w:tc>
          <w:tcPr>
            <w:tcW w:w="1494" w:type="dxa"/>
          </w:tcPr>
          <w:p w14:paraId="0DA74442" w14:textId="77777777" w:rsidR="00725977" w:rsidRPr="00D4309F" w:rsidRDefault="00725977">
            <w:pPr>
              <w:pStyle w:val="TableParagraph"/>
              <w:spacing w:before="40"/>
              <w:rPr>
                <w:b/>
                <w:sz w:val="18"/>
              </w:rPr>
            </w:pPr>
          </w:p>
          <w:p w14:paraId="64F240A9" w14:textId="77777777" w:rsidR="00725977" w:rsidRPr="00D4309F" w:rsidRDefault="00725977">
            <w:pPr>
              <w:pStyle w:val="TableParagraph"/>
              <w:ind w:left="172" w:right="191"/>
              <w:rPr>
                <w:sz w:val="18"/>
              </w:rPr>
            </w:pPr>
            <w:r w:rsidRPr="00D4309F">
              <w:rPr>
                <w:color w:val="211E1F"/>
                <w:spacing w:val="-2"/>
                <w:sz w:val="18"/>
              </w:rPr>
              <w:t xml:space="preserve">Precise, responsive </w:t>
            </w:r>
            <w:r w:rsidRPr="00D4309F">
              <w:rPr>
                <w:color w:val="211E1F"/>
                <w:sz w:val="18"/>
              </w:rPr>
              <w:t>control of</w:t>
            </w:r>
            <w:r w:rsidRPr="00D4309F">
              <w:rPr>
                <w:color w:val="211E1F"/>
                <w:spacing w:val="40"/>
                <w:sz w:val="18"/>
              </w:rPr>
              <w:t xml:space="preserve"> </w:t>
            </w:r>
            <w:r w:rsidRPr="00D4309F">
              <w:rPr>
                <w:color w:val="211E1F"/>
                <w:spacing w:val="-4"/>
                <w:sz w:val="18"/>
              </w:rPr>
              <w:t xml:space="preserve">sand </w:t>
            </w:r>
            <w:r w:rsidRPr="00D4309F">
              <w:rPr>
                <w:color w:val="211E1F"/>
                <w:spacing w:val="-2"/>
                <w:sz w:val="18"/>
              </w:rPr>
              <w:t xml:space="preserve">movement; </w:t>
            </w:r>
            <w:r w:rsidRPr="00D4309F">
              <w:rPr>
                <w:color w:val="211E1F"/>
                <w:sz w:val="18"/>
              </w:rPr>
              <w:t>less weather-</w:t>
            </w:r>
            <w:r w:rsidRPr="00D4309F">
              <w:rPr>
                <w:color w:val="211E1F"/>
                <w:spacing w:val="-2"/>
                <w:sz w:val="18"/>
              </w:rPr>
              <w:t xml:space="preserve">dependent; </w:t>
            </w:r>
            <w:r w:rsidRPr="00D4309F">
              <w:rPr>
                <w:color w:val="211E1F"/>
                <w:sz w:val="18"/>
              </w:rPr>
              <w:t>lower long-</w:t>
            </w:r>
            <w:r w:rsidRPr="00D4309F">
              <w:rPr>
                <w:color w:val="211E1F"/>
                <w:spacing w:val="-4"/>
                <w:sz w:val="18"/>
              </w:rPr>
              <w:t xml:space="preserve">term </w:t>
            </w:r>
            <w:r w:rsidRPr="00D4309F">
              <w:rPr>
                <w:color w:val="211E1F"/>
                <w:spacing w:val="-2"/>
                <w:sz w:val="18"/>
              </w:rPr>
              <w:t>environmental disturbance.</w:t>
            </w:r>
          </w:p>
        </w:tc>
      </w:tr>
      <w:tr w:rsidR="00725977" w:rsidRPr="00D4309F" w14:paraId="3C4B20B8" w14:textId="77777777" w:rsidTr="0007157B">
        <w:trPr>
          <w:trHeight w:val="2732"/>
        </w:trPr>
        <w:tc>
          <w:tcPr>
            <w:tcW w:w="1165" w:type="dxa"/>
          </w:tcPr>
          <w:p w14:paraId="01B6DEB3" w14:textId="77777777" w:rsidR="00725977" w:rsidRPr="00D4309F" w:rsidRDefault="00725977">
            <w:pPr>
              <w:pStyle w:val="TableParagraph"/>
              <w:rPr>
                <w:b/>
                <w:sz w:val="18"/>
              </w:rPr>
            </w:pPr>
          </w:p>
          <w:p w14:paraId="5F8A37AA" w14:textId="77777777" w:rsidR="00725977" w:rsidRPr="00D4309F" w:rsidRDefault="00725977">
            <w:pPr>
              <w:pStyle w:val="TableParagraph"/>
              <w:rPr>
                <w:b/>
                <w:sz w:val="18"/>
              </w:rPr>
            </w:pPr>
          </w:p>
          <w:p w14:paraId="54866F44" w14:textId="77777777" w:rsidR="00725977" w:rsidRPr="00D4309F" w:rsidRDefault="00725977">
            <w:pPr>
              <w:pStyle w:val="TableParagraph"/>
              <w:rPr>
                <w:b/>
                <w:sz w:val="18"/>
              </w:rPr>
            </w:pPr>
          </w:p>
          <w:p w14:paraId="446773DF" w14:textId="77777777" w:rsidR="00725977" w:rsidRPr="00D4309F" w:rsidRDefault="00725977">
            <w:pPr>
              <w:pStyle w:val="TableParagraph"/>
              <w:rPr>
                <w:b/>
                <w:sz w:val="18"/>
              </w:rPr>
            </w:pPr>
          </w:p>
          <w:p w14:paraId="4FD508A1" w14:textId="77777777" w:rsidR="00725977" w:rsidRPr="00D4309F" w:rsidRDefault="00725977">
            <w:pPr>
              <w:pStyle w:val="TableParagraph"/>
              <w:rPr>
                <w:b/>
                <w:sz w:val="18"/>
              </w:rPr>
            </w:pPr>
          </w:p>
          <w:p w14:paraId="3AB8E16E" w14:textId="77777777" w:rsidR="00725977" w:rsidRPr="00D4309F" w:rsidRDefault="00725977">
            <w:pPr>
              <w:pStyle w:val="TableParagraph"/>
              <w:spacing w:before="39"/>
              <w:rPr>
                <w:b/>
                <w:sz w:val="18"/>
              </w:rPr>
            </w:pPr>
          </w:p>
          <w:p w14:paraId="61AD03BD" w14:textId="77777777" w:rsidR="00725977" w:rsidRPr="00D4309F" w:rsidRDefault="00725977">
            <w:pPr>
              <w:pStyle w:val="TableParagraph"/>
              <w:spacing w:before="1"/>
              <w:ind w:left="195"/>
              <w:rPr>
                <w:b/>
                <w:sz w:val="18"/>
              </w:rPr>
            </w:pPr>
            <w:r w:rsidRPr="00D4309F">
              <w:rPr>
                <w:b/>
                <w:color w:val="211E1F"/>
                <w:spacing w:val="-4"/>
                <w:sz w:val="18"/>
              </w:rPr>
              <w:t>Cons</w:t>
            </w:r>
          </w:p>
        </w:tc>
        <w:tc>
          <w:tcPr>
            <w:tcW w:w="1626" w:type="dxa"/>
          </w:tcPr>
          <w:p w14:paraId="45754E24" w14:textId="77777777" w:rsidR="00725977" w:rsidRPr="00D4309F" w:rsidRDefault="00725977">
            <w:pPr>
              <w:pStyle w:val="TableParagraph"/>
              <w:rPr>
                <w:b/>
                <w:sz w:val="18"/>
              </w:rPr>
            </w:pPr>
          </w:p>
          <w:p w14:paraId="404384CF" w14:textId="77777777" w:rsidR="00725977" w:rsidRPr="00D4309F" w:rsidRDefault="00725977">
            <w:pPr>
              <w:pStyle w:val="TableParagraph"/>
              <w:rPr>
                <w:b/>
                <w:sz w:val="18"/>
              </w:rPr>
            </w:pPr>
          </w:p>
          <w:p w14:paraId="794AC8D8" w14:textId="77777777" w:rsidR="00725977" w:rsidRPr="00D4309F" w:rsidRDefault="00725977">
            <w:pPr>
              <w:pStyle w:val="TableParagraph"/>
              <w:spacing w:before="40"/>
              <w:rPr>
                <w:b/>
                <w:sz w:val="18"/>
              </w:rPr>
            </w:pPr>
          </w:p>
          <w:p w14:paraId="450809E5" w14:textId="77777777" w:rsidR="00725977" w:rsidRPr="00D4309F" w:rsidRDefault="00725977">
            <w:pPr>
              <w:pStyle w:val="TableParagraph"/>
              <w:ind w:left="191" w:right="207"/>
              <w:rPr>
                <w:sz w:val="18"/>
              </w:rPr>
            </w:pPr>
            <w:r w:rsidRPr="00D4309F">
              <w:rPr>
                <w:color w:val="211E1F"/>
                <w:spacing w:val="-2"/>
                <w:sz w:val="18"/>
              </w:rPr>
              <w:t xml:space="preserve">Ongoing </w:t>
            </w:r>
            <w:r w:rsidRPr="00D4309F">
              <w:rPr>
                <w:color w:val="211E1F"/>
                <w:sz w:val="18"/>
              </w:rPr>
              <w:t>reliance on dredge</w:t>
            </w:r>
            <w:r w:rsidRPr="00D4309F">
              <w:rPr>
                <w:color w:val="211E1F"/>
                <w:spacing w:val="-13"/>
                <w:sz w:val="18"/>
              </w:rPr>
              <w:t xml:space="preserve"> </w:t>
            </w:r>
            <w:r w:rsidRPr="00D4309F">
              <w:rPr>
                <w:color w:val="211E1F"/>
                <w:sz w:val="18"/>
              </w:rPr>
              <w:t xml:space="preserve">access; </w:t>
            </w:r>
            <w:r w:rsidRPr="00D4309F">
              <w:rPr>
                <w:color w:val="211E1F"/>
                <w:spacing w:val="-2"/>
                <w:sz w:val="18"/>
              </w:rPr>
              <w:t xml:space="preserve">minor temporary </w:t>
            </w:r>
            <w:r w:rsidRPr="00D4309F">
              <w:rPr>
                <w:color w:val="211E1F"/>
                <w:sz w:val="18"/>
              </w:rPr>
              <w:t xml:space="preserve">turbidity during </w:t>
            </w:r>
            <w:r w:rsidRPr="00D4309F">
              <w:rPr>
                <w:color w:val="211E1F"/>
                <w:spacing w:val="-2"/>
                <w:sz w:val="18"/>
              </w:rPr>
              <w:t>excavation.</w:t>
            </w:r>
          </w:p>
        </w:tc>
        <w:tc>
          <w:tcPr>
            <w:tcW w:w="1326" w:type="dxa"/>
          </w:tcPr>
          <w:p w14:paraId="607060BE" w14:textId="77777777" w:rsidR="00725977" w:rsidRPr="00D4309F" w:rsidRDefault="00725977">
            <w:pPr>
              <w:pStyle w:val="TableParagraph"/>
              <w:rPr>
                <w:b/>
                <w:sz w:val="18"/>
              </w:rPr>
            </w:pPr>
          </w:p>
          <w:p w14:paraId="523C4EF6" w14:textId="77777777" w:rsidR="00725977" w:rsidRPr="00D4309F" w:rsidRDefault="00725977">
            <w:pPr>
              <w:pStyle w:val="TableParagraph"/>
              <w:spacing w:before="39"/>
              <w:rPr>
                <w:b/>
                <w:sz w:val="18"/>
              </w:rPr>
            </w:pPr>
          </w:p>
          <w:p w14:paraId="6EAE0975" w14:textId="77777777" w:rsidR="00725977" w:rsidRPr="00D4309F" w:rsidRDefault="00725977">
            <w:pPr>
              <w:pStyle w:val="TableParagraph"/>
              <w:spacing w:before="1"/>
              <w:ind w:left="167" w:right="434"/>
              <w:rPr>
                <w:sz w:val="18"/>
              </w:rPr>
            </w:pPr>
            <w:r w:rsidRPr="00D4309F">
              <w:rPr>
                <w:color w:val="211E1F"/>
                <w:spacing w:val="-2"/>
                <w:sz w:val="18"/>
              </w:rPr>
              <w:t xml:space="preserve">Requires </w:t>
            </w:r>
            <w:r w:rsidRPr="00D4309F">
              <w:rPr>
                <w:color w:val="211E1F"/>
                <w:spacing w:val="-4"/>
                <w:sz w:val="18"/>
              </w:rPr>
              <w:t>TSHD</w:t>
            </w:r>
          </w:p>
          <w:p w14:paraId="25ADC265" w14:textId="77777777" w:rsidR="00725977" w:rsidRPr="00D4309F" w:rsidRDefault="00725977">
            <w:pPr>
              <w:pStyle w:val="TableParagraph"/>
              <w:ind w:left="167" w:right="209"/>
              <w:rPr>
                <w:sz w:val="18"/>
              </w:rPr>
            </w:pPr>
            <w:r w:rsidRPr="00D4309F">
              <w:rPr>
                <w:color w:val="211E1F"/>
                <w:sz w:val="18"/>
              </w:rPr>
              <w:t>access</w:t>
            </w:r>
            <w:r w:rsidRPr="00D4309F">
              <w:rPr>
                <w:color w:val="211E1F"/>
                <w:spacing w:val="-1"/>
                <w:sz w:val="18"/>
              </w:rPr>
              <w:t xml:space="preserve"> </w:t>
            </w:r>
            <w:r w:rsidRPr="00D4309F">
              <w:rPr>
                <w:color w:val="211E1F"/>
                <w:sz w:val="18"/>
              </w:rPr>
              <w:t xml:space="preserve">and </w:t>
            </w:r>
            <w:r w:rsidRPr="00D4309F">
              <w:rPr>
                <w:color w:val="211E1F"/>
                <w:spacing w:val="-2"/>
                <w:sz w:val="18"/>
              </w:rPr>
              <w:t>mobilisation costs, limited flexibility between campaigns.</w:t>
            </w:r>
          </w:p>
        </w:tc>
        <w:tc>
          <w:tcPr>
            <w:tcW w:w="1327" w:type="dxa"/>
          </w:tcPr>
          <w:p w14:paraId="16075DF5" w14:textId="77777777" w:rsidR="00725977" w:rsidRPr="00D4309F" w:rsidRDefault="00725977">
            <w:pPr>
              <w:pStyle w:val="TableParagraph"/>
              <w:spacing w:before="39"/>
              <w:ind w:left="174" w:right="172"/>
              <w:rPr>
                <w:sz w:val="18"/>
              </w:rPr>
            </w:pPr>
            <w:r w:rsidRPr="00D4309F">
              <w:rPr>
                <w:color w:val="211E1F"/>
                <w:spacing w:val="-2"/>
                <w:sz w:val="18"/>
              </w:rPr>
              <w:t>Requires approvals</w:t>
            </w:r>
            <w:r w:rsidRPr="00D4309F">
              <w:rPr>
                <w:color w:val="211E1F"/>
                <w:sz w:val="18"/>
              </w:rPr>
              <w:t xml:space="preserve"> for onshore pump site and dune </w:t>
            </w:r>
            <w:r w:rsidRPr="00D4309F">
              <w:rPr>
                <w:color w:val="211E1F"/>
                <w:spacing w:val="-2"/>
                <w:sz w:val="18"/>
              </w:rPr>
              <w:t>access; minor vegetation disturbance; visual change along</w:t>
            </w:r>
          </w:p>
          <w:p w14:paraId="33AC3B80" w14:textId="77777777" w:rsidR="00725977" w:rsidRPr="00D4309F" w:rsidRDefault="00725977">
            <w:pPr>
              <w:pStyle w:val="TableParagraph"/>
              <w:spacing w:before="2" w:line="187" w:lineRule="exact"/>
              <w:ind w:left="174"/>
              <w:rPr>
                <w:sz w:val="18"/>
              </w:rPr>
            </w:pPr>
            <w:r w:rsidRPr="00D4309F">
              <w:rPr>
                <w:color w:val="211E1F"/>
                <w:spacing w:val="-2"/>
                <w:sz w:val="18"/>
              </w:rPr>
              <w:t>breakwater.</w:t>
            </w:r>
          </w:p>
        </w:tc>
        <w:tc>
          <w:tcPr>
            <w:tcW w:w="1329" w:type="dxa"/>
          </w:tcPr>
          <w:p w14:paraId="71735984" w14:textId="77777777" w:rsidR="00725977" w:rsidRPr="00D4309F" w:rsidRDefault="00725977">
            <w:pPr>
              <w:pStyle w:val="TableParagraph"/>
              <w:rPr>
                <w:b/>
                <w:sz w:val="18"/>
              </w:rPr>
            </w:pPr>
          </w:p>
          <w:p w14:paraId="713E09BF" w14:textId="77777777" w:rsidR="00725977" w:rsidRPr="00D4309F" w:rsidRDefault="00725977">
            <w:pPr>
              <w:pStyle w:val="TableParagraph"/>
              <w:spacing w:before="39"/>
              <w:rPr>
                <w:b/>
                <w:sz w:val="18"/>
              </w:rPr>
            </w:pPr>
          </w:p>
          <w:p w14:paraId="7408DAB2" w14:textId="77777777" w:rsidR="00725977" w:rsidRPr="00D4309F" w:rsidRDefault="00725977">
            <w:pPr>
              <w:pStyle w:val="TableParagraph"/>
              <w:spacing w:before="1"/>
              <w:ind w:left="172" w:right="40"/>
              <w:rPr>
                <w:sz w:val="18"/>
              </w:rPr>
            </w:pPr>
            <w:r w:rsidRPr="00D4309F">
              <w:rPr>
                <w:color w:val="211E1F"/>
                <w:spacing w:val="-2"/>
                <w:sz w:val="18"/>
              </w:rPr>
              <w:t xml:space="preserve">Continual dependence </w:t>
            </w:r>
            <w:r w:rsidRPr="00D4309F">
              <w:rPr>
                <w:color w:val="211E1F"/>
                <w:sz w:val="18"/>
              </w:rPr>
              <w:t xml:space="preserve">on dredge </w:t>
            </w:r>
            <w:r w:rsidRPr="00D4309F">
              <w:rPr>
                <w:color w:val="211E1F"/>
                <w:spacing w:val="-2"/>
                <w:sz w:val="18"/>
              </w:rPr>
              <w:t xml:space="preserve">availability; short operational windows </w:t>
            </w:r>
            <w:r w:rsidRPr="00D4309F">
              <w:rPr>
                <w:color w:val="211E1F"/>
                <w:sz w:val="18"/>
              </w:rPr>
              <w:t xml:space="preserve">under calm </w:t>
            </w:r>
            <w:r w:rsidRPr="00D4309F">
              <w:rPr>
                <w:color w:val="211E1F"/>
                <w:spacing w:val="-2"/>
                <w:sz w:val="18"/>
              </w:rPr>
              <w:t>conditions.</w:t>
            </w:r>
          </w:p>
        </w:tc>
        <w:tc>
          <w:tcPr>
            <w:tcW w:w="1425" w:type="dxa"/>
          </w:tcPr>
          <w:p w14:paraId="12BAD7AD" w14:textId="77777777" w:rsidR="00725977" w:rsidRPr="00D4309F" w:rsidRDefault="00725977">
            <w:pPr>
              <w:pStyle w:val="TableParagraph"/>
              <w:rPr>
                <w:b/>
                <w:sz w:val="18"/>
              </w:rPr>
            </w:pPr>
          </w:p>
          <w:p w14:paraId="24F0C8D0" w14:textId="77777777" w:rsidR="00725977" w:rsidRPr="00D4309F" w:rsidRDefault="00725977">
            <w:pPr>
              <w:pStyle w:val="TableParagraph"/>
              <w:spacing w:before="39"/>
              <w:rPr>
                <w:b/>
                <w:sz w:val="18"/>
              </w:rPr>
            </w:pPr>
          </w:p>
          <w:p w14:paraId="4454998C" w14:textId="77777777" w:rsidR="00725977" w:rsidRPr="00D4309F" w:rsidRDefault="00725977">
            <w:pPr>
              <w:pStyle w:val="TableParagraph"/>
              <w:spacing w:before="1"/>
              <w:ind w:left="175" w:right="262"/>
              <w:rPr>
                <w:sz w:val="18"/>
              </w:rPr>
            </w:pPr>
            <w:r w:rsidRPr="00D4309F">
              <w:rPr>
                <w:color w:val="211E1F"/>
                <w:spacing w:val="-2"/>
                <w:sz w:val="18"/>
              </w:rPr>
              <w:t xml:space="preserve">Dependent </w:t>
            </w:r>
            <w:r w:rsidRPr="00D4309F">
              <w:rPr>
                <w:color w:val="211E1F"/>
                <w:sz w:val="18"/>
              </w:rPr>
              <w:t xml:space="preserve">on vessel </w:t>
            </w:r>
            <w:r w:rsidRPr="00D4309F">
              <w:rPr>
                <w:color w:val="211E1F"/>
                <w:spacing w:val="-2"/>
                <w:sz w:val="18"/>
              </w:rPr>
              <w:t xml:space="preserve">scheduling </w:t>
            </w:r>
            <w:r w:rsidRPr="00D4309F">
              <w:rPr>
                <w:color w:val="211E1F"/>
                <w:sz w:val="18"/>
              </w:rPr>
              <w:t xml:space="preserve">and sea </w:t>
            </w:r>
            <w:r w:rsidRPr="00D4309F">
              <w:rPr>
                <w:color w:val="211E1F"/>
                <w:spacing w:val="-2"/>
                <w:sz w:val="18"/>
              </w:rPr>
              <w:t xml:space="preserve">state; temporary </w:t>
            </w:r>
            <w:r w:rsidRPr="00D4309F">
              <w:rPr>
                <w:color w:val="211E1F"/>
                <w:sz w:val="18"/>
              </w:rPr>
              <w:t>turbidity</w:t>
            </w:r>
            <w:r w:rsidRPr="00D4309F">
              <w:rPr>
                <w:color w:val="211E1F"/>
                <w:spacing w:val="-13"/>
                <w:sz w:val="18"/>
              </w:rPr>
              <w:t xml:space="preserve"> </w:t>
            </w:r>
            <w:r w:rsidRPr="00D4309F">
              <w:rPr>
                <w:color w:val="211E1F"/>
                <w:sz w:val="18"/>
              </w:rPr>
              <w:t>and noise</w:t>
            </w:r>
            <w:r w:rsidRPr="00D4309F">
              <w:rPr>
                <w:color w:val="211E1F"/>
                <w:spacing w:val="-13"/>
                <w:sz w:val="18"/>
              </w:rPr>
              <w:t xml:space="preserve"> </w:t>
            </w:r>
            <w:r w:rsidRPr="00D4309F">
              <w:rPr>
                <w:color w:val="211E1F"/>
                <w:sz w:val="18"/>
              </w:rPr>
              <w:t xml:space="preserve">during </w:t>
            </w:r>
            <w:r w:rsidRPr="00D4309F">
              <w:rPr>
                <w:color w:val="211E1F"/>
                <w:spacing w:val="-2"/>
                <w:sz w:val="18"/>
              </w:rPr>
              <w:t>operations.</w:t>
            </w:r>
          </w:p>
        </w:tc>
        <w:tc>
          <w:tcPr>
            <w:tcW w:w="1494" w:type="dxa"/>
          </w:tcPr>
          <w:p w14:paraId="7C935C5C" w14:textId="77777777" w:rsidR="00725977" w:rsidRPr="00D4309F" w:rsidRDefault="00725977">
            <w:pPr>
              <w:pStyle w:val="TableParagraph"/>
              <w:spacing w:before="144"/>
              <w:ind w:left="172" w:right="175"/>
              <w:rPr>
                <w:sz w:val="18"/>
              </w:rPr>
            </w:pPr>
            <w:r w:rsidRPr="00D4309F">
              <w:rPr>
                <w:color w:val="211E1F"/>
                <w:sz w:val="18"/>
              </w:rPr>
              <w:t xml:space="preserve">Pump noise </w:t>
            </w:r>
            <w:r w:rsidRPr="00D4309F">
              <w:rPr>
                <w:color w:val="211E1F"/>
                <w:spacing w:val="-2"/>
                <w:sz w:val="18"/>
              </w:rPr>
              <w:t xml:space="preserve">during operation; localised vibration; </w:t>
            </w:r>
            <w:r w:rsidRPr="00D4309F">
              <w:rPr>
                <w:color w:val="211E1F"/>
                <w:sz w:val="18"/>
              </w:rPr>
              <w:t xml:space="preserve">limited reach of intake heads may </w:t>
            </w:r>
            <w:r w:rsidRPr="00D4309F">
              <w:rPr>
                <w:color w:val="211E1F"/>
                <w:spacing w:val="-2"/>
                <w:sz w:val="18"/>
              </w:rPr>
              <w:t xml:space="preserve">require </w:t>
            </w:r>
            <w:r w:rsidRPr="00D4309F">
              <w:rPr>
                <w:color w:val="211E1F"/>
                <w:sz w:val="18"/>
              </w:rPr>
              <w:t>multiple</w:t>
            </w:r>
            <w:r w:rsidRPr="00D4309F">
              <w:rPr>
                <w:color w:val="211E1F"/>
                <w:spacing w:val="-9"/>
                <w:sz w:val="18"/>
              </w:rPr>
              <w:t xml:space="preserve"> </w:t>
            </w:r>
            <w:r w:rsidRPr="00D4309F">
              <w:rPr>
                <w:color w:val="211E1F"/>
                <w:sz w:val="18"/>
              </w:rPr>
              <w:t xml:space="preserve">units and periodic </w:t>
            </w:r>
            <w:r w:rsidRPr="00D4309F">
              <w:rPr>
                <w:color w:val="211E1F"/>
                <w:spacing w:val="-2"/>
                <w:sz w:val="18"/>
              </w:rPr>
              <w:t>maintenance.</w:t>
            </w:r>
          </w:p>
        </w:tc>
      </w:tr>
    </w:tbl>
    <w:p w14:paraId="293310E1" w14:textId="77777777" w:rsidR="00725977" w:rsidRPr="00D4309F" w:rsidRDefault="00725977" w:rsidP="00725977">
      <w:pPr>
        <w:pStyle w:val="TableParagraph"/>
        <w:rPr>
          <w:sz w:val="18"/>
        </w:rPr>
        <w:sectPr w:rsidR="00725977" w:rsidRPr="00D4309F" w:rsidSect="00405D4F">
          <w:headerReference w:type="default" r:id="rId115"/>
          <w:footerReference w:type="default" r:id="rId116"/>
          <w:pgSz w:w="11910" w:h="16840"/>
          <w:pgMar w:top="1418" w:right="1134" w:bottom="1418" w:left="1134" w:header="916" w:footer="980" w:gutter="0"/>
          <w:cols w:space="720"/>
        </w:sectPr>
      </w:pPr>
    </w:p>
    <w:p w14:paraId="603EDF27" w14:textId="77777777" w:rsidR="00725977" w:rsidRPr="00D4309F" w:rsidRDefault="00725977" w:rsidP="008228CB">
      <w:pPr>
        <w:pStyle w:val="Heading2"/>
      </w:pPr>
      <w:bookmarkStart w:id="378" w:name="_bookmark144"/>
      <w:bookmarkStart w:id="379" w:name="_Toc216699439"/>
      <w:bookmarkEnd w:id="378"/>
      <w:r w:rsidRPr="00D4309F">
        <w:lastRenderedPageBreak/>
        <w:t>Multi-criteria</w:t>
      </w:r>
      <w:r w:rsidRPr="00D4309F">
        <w:rPr>
          <w:spacing w:val="-10"/>
        </w:rPr>
        <w:t xml:space="preserve"> </w:t>
      </w:r>
      <w:r w:rsidRPr="00D4309F">
        <w:t>analysis</w:t>
      </w:r>
      <w:r w:rsidRPr="00D4309F">
        <w:rPr>
          <w:spacing w:val="-9"/>
        </w:rPr>
        <w:t xml:space="preserve"> </w:t>
      </w:r>
      <w:r w:rsidRPr="00D4309F">
        <w:t>for</w:t>
      </w:r>
      <w:r w:rsidRPr="00D4309F">
        <w:rPr>
          <w:spacing w:val="-9"/>
        </w:rPr>
        <w:t xml:space="preserve"> </w:t>
      </w:r>
      <w:r w:rsidRPr="00D4309F">
        <w:t>Options</w:t>
      </w:r>
      <w:r w:rsidRPr="00D4309F">
        <w:rPr>
          <w:spacing w:val="-10"/>
        </w:rPr>
        <w:t xml:space="preserve"> </w:t>
      </w:r>
      <w:r w:rsidRPr="00D4309F">
        <w:t>2A,</w:t>
      </w:r>
      <w:r w:rsidRPr="00D4309F">
        <w:rPr>
          <w:spacing w:val="-9"/>
        </w:rPr>
        <w:t xml:space="preserve"> </w:t>
      </w:r>
      <w:r w:rsidRPr="00D4309F">
        <w:t>2B</w:t>
      </w:r>
      <w:r w:rsidRPr="00D4309F">
        <w:rPr>
          <w:spacing w:val="-9"/>
        </w:rPr>
        <w:t xml:space="preserve"> </w:t>
      </w:r>
      <w:r w:rsidRPr="00D4309F">
        <w:t>&amp;</w:t>
      </w:r>
      <w:r w:rsidRPr="00D4309F">
        <w:rPr>
          <w:spacing w:val="-9"/>
        </w:rPr>
        <w:t xml:space="preserve"> </w:t>
      </w:r>
      <w:r w:rsidRPr="00D4309F">
        <w:rPr>
          <w:spacing w:val="-5"/>
        </w:rPr>
        <w:t>2C</w:t>
      </w:r>
      <w:bookmarkEnd w:id="379"/>
    </w:p>
    <w:p w14:paraId="7D11E2FC" w14:textId="77777777" w:rsidR="00007528" w:rsidRDefault="00007528" w:rsidP="00007528">
      <w:pPr>
        <w:pStyle w:val="BodyText"/>
        <w:rPr>
          <w:spacing w:val="-2"/>
        </w:rPr>
      </w:pPr>
      <w:r w:rsidRPr="00D4309F">
        <w:t>The</w:t>
      </w:r>
      <w:r w:rsidRPr="00D4309F">
        <w:rPr>
          <w:spacing w:val="-4"/>
        </w:rPr>
        <w:t xml:space="preserve"> </w:t>
      </w:r>
      <w:r w:rsidRPr="00D4309F">
        <w:t>MCA</w:t>
      </w:r>
      <w:r w:rsidRPr="00D4309F">
        <w:rPr>
          <w:spacing w:val="-4"/>
        </w:rPr>
        <w:t xml:space="preserve"> </w:t>
      </w:r>
      <w:r w:rsidRPr="00D4309F">
        <w:t>scoring</w:t>
      </w:r>
      <w:r w:rsidRPr="00D4309F">
        <w:rPr>
          <w:spacing w:val="-3"/>
        </w:rPr>
        <w:t xml:space="preserve"> </w:t>
      </w:r>
      <w:r w:rsidRPr="00D4309F">
        <w:t>legend</w:t>
      </w:r>
      <w:r w:rsidRPr="00D4309F">
        <w:rPr>
          <w:spacing w:val="-3"/>
        </w:rPr>
        <w:t xml:space="preserve"> </w:t>
      </w:r>
      <w:r w:rsidRPr="00D4309F">
        <w:rPr>
          <w:spacing w:val="-2"/>
        </w:rPr>
        <w:t>follows:</w:t>
      </w:r>
    </w:p>
    <w:tbl>
      <w:tblPr>
        <w:tblStyle w:val="Table1"/>
        <w:tblW w:w="5000" w:type="pct"/>
        <w:tblLook w:val="0620" w:firstRow="1" w:lastRow="0" w:firstColumn="0" w:lastColumn="0" w:noHBand="1" w:noVBand="1"/>
      </w:tblPr>
      <w:tblGrid>
        <w:gridCol w:w="3856"/>
        <w:gridCol w:w="10716"/>
      </w:tblGrid>
      <w:tr w:rsidR="00007528" w:rsidRPr="0078153E" w14:paraId="23170BF1" w14:textId="77777777">
        <w:trPr>
          <w:cnfStyle w:val="100000000000" w:firstRow="1" w:lastRow="0" w:firstColumn="0" w:lastColumn="0" w:oddVBand="0" w:evenVBand="0" w:oddHBand="0" w:evenHBand="0" w:firstRowFirstColumn="0" w:firstRowLastColumn="0" w:lastRowFirstColumn="0" w:lastRowLastColumn="0"/>
          <w:tblHeader/>
        </w:trPr>
        <w:tc>
          <w:tcPr>
            <w:tcW w:w="1323" w:type="pct"/>
            <w:hideMark/>
          </w:tcPr>
          <w:p w14:paraId="323DEBD6" w14:textId="77777777" w:rsidR="00007528" w:rsidRPr="0078153E" w:rsidRDefault="00007528">
            <w:pPr>
              <w:pStyle w:val="Table-Heading"/>
            </w:pPr>
            <w:r>
              <w:t>Score</w:t>
            </w:r>
          </w:p>
        </w:tc>
        <w:tc>
          <w:tcPr>
            <w:tcW w:w="3677" w:type="pct"/>
          </w:tcPr>
          <w:p w14:paraId="0C8D4830" w14:textId="77777777" w:rsidR="00007528" w:rsidRPr="0078153E" w:rsidRDefault="00007528">
            <w:pPr>
              <w:pStyle w:val="Table-Heading"/>
            </w:pPr>
            <w:r>
              <w:t>Description of scores</w:t>
            </w:r>
          </w:p>
        </w:tc>
      </w:tr>
      <w:tr w:rsidR="00007528" w14:paraId="79B53988" w14:textId="77777777">
        <w:tc>
          <w:tcPr>
            <w:tcW w:w="1323" w:type="pct"/>
            <w:tcBorders>
              <w:top w:val="single" w:sz="4" w:space="0" w:color="5F6369" w:themeColor="text2"/>
              <w:left w:val="nil"/>
              <w:bottom w:val="single" w:sz="4" w:space="0" w:color="5F6369" w:themeColor="text2"/>
              <w:right w:val="nil"/>
            </w:tcBorders>
          </w:tcPr>
          <w:p w14:paraId="4631E05C" w14:textId="77777777" w:rsidR="00007528" w:rsidRPr="007B7606" w:rsidRDefault="00007528">
            <w:pPr>
              <w:pStyle w:val="Table-Text"/>
            </w:pPr>
            <w:r>
              <w:t>1</w:t>
            </w:r>
          </w:p>
        </w:tc>
        <w:tc>
          <w:tcPr>
            <w:tcW w:w="3677" w:type="pct"/>
            <w:tcBorders>
              <w:top w:val="single" w:sz="4" w:space="0" w:color="5F6369" w:themeColor="text2"/>
              <w:left w:val="nil"/>
              <w:bottom w:val="single" w:sz="4" w:space="0" w:color="5F6369" w:themeColor="text2"/>
              <w:right w:val="nil"/>
            </w:tcBorders>
          </w:tcPr>
          <w:p w14:paraId="02791207" w14:textId="77777777" w:rsidR="00007528" w:rsidRPr="007B7606" w:rsidRDefault="00007528">
            <w:pPr>
              <w:pStyle w:val="Table-Text"/>
            </w:pPr>
            <w:r w:rsidRPr="00D4309F">
              <w:rPr>
                <w:color w:val="211E1F"/>
              </w:rPr>
              <w:t>Worst</w:t>
            </w:r>
            <w:r w:rsidRPr="00D4309F">
              <w:rPr>
                <w:color w:val="211E1F"/>
                <w:spacing w:val="-6"/>
              </w:rPr>
              <w:t xml:space="preserve"> </w:t>
            </w:r>
            <w:r w:rsidRPr="00D4309F">
              <w:rPr>
                <w:color w:val="211E1F"/>
              </w:rPr>
              <w:t>performance</w:t>
            </w:r>
            <w:r w:rsidRPr="00D4309F">
              <w:rPr>
                <w:color w:val="211E1F"/>
                <w:spacing w:val="-4"/>
              </w:rPr>
              <w:t xml:space="preserve"> </w:t>
            </w:r>
            <w:r w:rsidRPr="00D4309F">
              <w:rPr>
                <w:color w:val="211E1F"/>
              </w:rPr>
              <w:t>or</w:t>
            </w:r>
            <w:r w:rsidRPr="00D4309F">
              <w:rPr>
                <w:color w:val="211E1F"/>
                <w:spacing w:val="-3"/>
              </w:rPr>
              <w:t xml:space="preserve"> </w:t>
            </w:r>
            <w:r w:rsidRPr="00D4309F">
              <w:rPr>
                <w:color w:val="211E1F"/>
              </w:rPr>
              <w:t>Significant</w:t>
            </w:r>
            <w:r w:rsidRPr="00D4309F">
              <w:rPr>
                <w:color w:val="211E1F"/>
                <w:spacing w:val="-3"/>
              </w:rPr>
              <w:t xml:space="preserve"> </w:t>
            </w:r>
            <w:r w:rsidRPr="00D4309F">
              <w:rPr>
                <w:color w:val="211E1F"/>
                <w:spacing w:val="-2"/>
              </w:rPr>
              <w:t>impacts</w:t>
            </w:r>
          </w:p>
        </w:tc>
      </w:tr>
      <w:tr w:rsidR="00007528" w14:paraId="448B0142" w14:textId="77777777">
        <w:tc>
          <w:tcPr>
            <w:tcW w:w="1323" w:type="pct"/>
            <w:tcBorders>
              <w:top w:val="single" w:sz="4" w:space="0" w:color="5F6369" w:themeColor="text2"/>
              <w:left w:val="nil"/>
              <w:bottom w:val="single" w:sz="4" w:space="0" w:color="5F6369" w:themeColor="text2"/>
              <w:right w:val="nil"/>
            </w:tcBorders>
          </w:tcPr>
          <w:p w14:paraId="386D0FF1" w14:textId="77777777" w:rsidR="00007528" w:rsidRDefault="00007528">
            <w:pPr>
              <w:pStyle w:val="Table-Text"/>
              <w:rPr>
                <w:lang w:val="en-GB"/>
              </w:rPr>
            </w:pPr>
            <w:r>
              <w:rPr>
                <w:lang w:val="en-GB"/>
              </w:rPr>
              <w:t>2</w:t>
            </w:r>
          </w:p>
        </w:tc>
        <w:tc>
          <w:tcPr>
            <w:tcW w:w="3677" w:type="pct"/>
            <w:tcBorders>
              <w:top w:val="single" w:sz="4" w:space="0" w:color="5F6369" w:themeColor="text2"/>
              <w:left w:val="nil"/>
              <w:bottom w:val="single" w:sz="4" w:space="0" w:color="5F6369" w:themeColor="text2"/>
              <w:right w:val="nil"/>
            </w:tcBorders>
          </w:tcPr>
          <w:p w14:paraId="4B0972EE" w14:textId="77777777" w:rsidR="00007528" w:rsidRPr="002A5F65" w:rsidRDefault="00007528">
            <w:pPr>
              <w:pStyle w:val="Table-Text"/>
            </w:pPr>
            <w:r w:rsidRPr="00D4309F">
              <w:rPr>
                <w:color w:val="211E1F"/>
              </w:rPr>
              <w:t>Poor</w:t>
            </w:r>
            <w:r w:rsidRPr="00D4309F">
              <w:rPr>
                <w:color w:val="211E1F"/>
                <w:spacing w:val="-5"/>
              </w:rPr>
              <w:t xml:space="preserve"> </w:t>
            </w:r>
            <w:r w:rsidRPr="00D4309F">
              <w:rPr>
                <w:color w:val="211E1F"/>
              </w:rPr>
              <w:t>performance</w:t>
            </w:r>
            <w:r w:rsidRPr="00D4309F">
              <w:rPr>
                <w:color w:val="211E1F"/>
                <w:spacing w:val="-2"/>
              </w:rPr>
              <w:t xml:space="preserve"> </w:t>
            </w:r>
            <w:r w:rsidRPr="00D4309F">
              <w:rPr>
                <w:color w:val="211E1F"/>
              </w:rPr>
              <w:t>or</w:t>
            </w:r>
            <w:r w:rsidRPr="00D4309F">
              <w:rPr>
                <w:color w:val="211E1F"/>
                <w:spacing w:val="-2"/>
              </w:rPr>
              <w:t xml:space="preserve"> </w:t>
            </w:r>
            <w:r w:rsidRPr="00D4309F">
              <w:rPr>
                <w:color w:val="211E1F"/>
              </w:rPr>
              <w:t>Major</w:t>
            </w:r>
            <w:r w:rsidRPr="00D4309F">
              <w:rPr>
                <w:color w:val="211E1F"/>
                <w:spacing w:val="-2"/>
              </w:rPr>
              <w:t xml:space="preserve"> impacts</w:t>
            </w:r>
          </w:p>
        </w:tc>
      </w:tr>
      <w:tr w:rsidR="00007528" w14:paraId="7EF24E67" w14:textId="77777777">
        <w:tc>
          <w:tcPr>
            <w:tcW w:w="1323" w:type="pct"/>
            <w:tcBorders>
              <w:top w:val="single" w:sz="4" w:space="0" w:color="5F6369" w:themeColor="text2"/>
              <w:left w:val="nil"/>
              <w:bottom w:val="single" w:sz="4" w:space="0" w:color="5F6369" w:themeColor="text2"/>
              <w:right w:val="nil"/>
            </w:tcBorders>
          </w:tcPr>
          <w:p w14:paraId="23BC10ED" w14:textId="77777777" w:rsidR="00007528" w:rsidRDefault="00007528">
            <w:pPr>
              <w:pStyle w:val="Table-Text"/>
              <w:rPr>
                <w:lang w:val="en-GB"/>
              </w:rPr>
            </w:pPr>
            <w:r>
              <w:rPr>
                <w:lang w:val="en-GB"/>
              </w:rPr>
              <w:t>3</w:t>
            </w:r>
          </w:p>
        </w:tc>
        <w:tc>
          <w:tcPr>
            <w:tcW w:w="3677" w:type="pct"/>
            <w:tcBorders>
              <w:top w:val="single" w:sz="4" w:space="0" w:color="5F6369" w:themeColor="text2"/>
              <w:left w:val="nil"/>
              <w:bottom w:val="single" w:sz="4" w:space="0" w:color="5F6369" w:themeColor="text2"/>
              <w:right w:val="nil"/>
            </w:tcBorders>
          </w:tcPr>
          <w:p w14:paraId="00E226AC" w14:textId="77777777" w:rsidR="00007528" w:rsidRDefault="00007528">
            <w:pPr>
              <w:pStyle w:val="Table-Text"/>
              <w:rPr>
                <w:lang w:val="en-GB"/>
              </w:rPr>
            </w:pPr>
            <w:r w:rsidRPr="00D4309F">
              <w:rPr>
                <w:color w:val="211E1F"/>
              </w:rPr>
              <w:t>Average</w:t>
            </w:r>
            <w:r w:rsidRPr="00D4309F">
              <w:rPr>
                <w:color w:val="211E1F"/>
                <w:spacing w:val="-6"/>
              </w:rPr>
              <w:t xml:space="preserve"> </w:t>
            </w:r>
            <w:r w:rsidRPr="00D4309F">
              <w:rPr>
                <w:color w:val="211E1F"/>
              </w:rPr>
              <w:t>performance</w:t>
            </w:r>
            <w:r w:rsidRPr="00D4309F">
              <w:rPr>
                <w:color w:val="211E1F"/>
                <w:spacing w:val="-3"/>
              </w:rPr>
              <w:t xml:space="preserve"> </w:t>
            </w:r>
            <w:r w:rsidRPr="00D4309F">
              <w:rPr>
                <w:color w:val="211E1F"/>
              </w:rPr>
              <w:t>or</w:t>
            </w:r>
            <w:r w:rsidRPr="00D4309F">
              <w:rPr>
                <w:color w:val="211E1F"/>
                <w:spacing w:val="-4"/>
              </w:rPr>
              <w:t xml:space="preserve"> </w:t>
            </w:r>
            <w:r w:rsidRPr="00D4309F">
              <w:rPr>
                <w:color w:val="211E1F"/>
              </w:rPr>
              <w:t>Moderate</w:t>
            </w:r>
            <w:r w:rsidRPr="00D4309F">
              <w:rPr>
                <w:color w:val="211E1F"/>
                <w:spacing w:val="-3"/>
              </w:rPr>
              <w:t xml:space="preserve"> </w:t>
            </w:r>
            <w:r w:rsidRPr="00D4309F">
              <w:rPr>
                <w:color w:val="211E1F"/>
                <w:spacing w:val="-2"/>
              </w:rPr>
              <w:t>impacts</w:t>
            </w:r>
            <w:r w:rsidRPr="00D4309F">
              <w:rPr>
                <w:color w:val="211E1F"/>
              </w:rPr>
              <w:t xml:space="preserve"> Average</w:t>
            </w:r>
            <w:r w:rsidRPr="00D4309F">
              <w:rPr>
                <w:color w:val="211E1F"/>
                <w:spacing w:val="-6"/>
              </w:rPr>
              <w:t xml:space="preserve"> </w:t>
            </w:r>
            <w:r w:rsidRPr="00D4309F">
              <w:rPr>
                <w:color w:val="211E1F"/>
              </w:rPr>
              <w:t>performance</w:t>
            </w:r>
            <w:r w:rsidRPr="00D4309F">
              <w:rPr>
                <w:color w:val="211E1F"/>
                <w:spacing w:val="-3"/>
              </w:rPr>
              <w:t xml:space="preserve"> </w:t>
            </w:r>
            <w:r w:rsidRPr="00D4309F">
              <w:rPr>
                <w:color w:val="211E1F"/>
              </w:rPr>
              <w:t>or</w:t>
            </w:r>
            <w:r w:rsidRPr="00D4309F">
              <w:rPr>
                <w:color w:val="211E1F"/>
                <w:spacing w:val="-4"/>
              </w:rPr>
              <w:t xml:space="preserve"> </w:t>
            </w:r>
            <w:r w:rsidRPr="00D4309F">
              <w:rPr>
                <w:color w:val="211E1F"/>
              </w:rPr>
              <w:t>Moderate</w:t>
            </w:r>
            <w:r w:rsidRPr="00D4309F">
              <w:rPr>
                <w:color w:val="211E1F"/>
                <w:spacing w:val="-3"/>
              </w:rPr>
              <w:t xml:space="preserve"> </w:t>
            </w:r>
            <w:r w:rsidRPr="00D4309F">
              <w:rPr>
                <w:color w:val="211E1F"/>
                <w:spacing w:val="-2"/>
              </w:rPr>
              <w:t>impacts</w:t>
            </w:r>
          </w:p>
        </w:tc>
      </w:tr>
      <w:tr w:rsidR="00007528" w14:paraId="0E4070EE" w14:textId="77777777">
        <w:tc>
          <w:tcPr>
            <w:tcW w:w="1323" w:type="pct"/>
            <w:tcBorders>
              <w:top w:val="single" w:sz="4" w:space="0" w:color="5F6369" w:themeColor="text2"/>
              <w:left w:val="nil"/>
              <w:bottom w:val="single" w:sz="4" w:space="0" w:color="5F6369" w:themeColor="text2"/>
              <w:right w:val="nil"/>
            </w:tcBorders>
          </w:tcPr>
          <w:p w14:paraId="30B6AEEB" w14:textId="77777777" w:rsidR="00007528" w:rsidRDefault="00007528">
            <w:pPr>
              <w:pStyle w:val="Table-Text"/>
              <w:rPr>
                <w:lang w:val="en-GB"/>
              </w:rPr>
            </w:pPr>
            <w:r>
              <w:rPr>
                <w:lang w:val="en-GB"/>
              </w:rPr>
              <w:t>4</w:t>
            </w:r>
          </w:p>
        </w:tc>
        <w:tc>
          <w:tcPr>
            <w:tcW w:w="3677" w:type="pct"/>
            <w:tcBorders>
              <w:top w:val="single" w:sz="4" w:space="0" w:color="5F6369" w:themeColor="text2"/>
              <w:left w:val="nil"/>
              <w:bottom w:val="single" w:sz="4" w:space="0" w:color="5F6369" w:themeColor="text2"/>
              <w:right w:val="nil"/>
            </w:tcBorders>
          </w:tcPr>
          <w:p w14:paraId="6B614928" w14:textId="77777777" w:rsidR="00007528" w:rsidRDefault="00007528">
            <w:pPr>
              <w:pStyle w:val="Table-Text"/>
              <w:rPr>
                <w:lang w:val="en-GB"/>
              </w:rPr>
            </w:pPr>
            <w:r w:rsidRPr="00D4309F">
              <w:rPr>
                <w:color w:val="211E1F"/>
              </w:rPr>
              <w:t>Good</w:t>
            </w:r>
            <w:r w:rsidRPr="00D4309F">
              <w:rPr>
                <w:color w:val="211E1F"/>
                <w:spacing w:val="-5"/>
              </w:rPr>
              <w:t xml:space="preserve"> </w:t>
            </w:r>
            <w:r w:rsidRPr="00D4309F">
              <w:rPr>
                <w:color w:val="211E1F"/>
              </w:rPr>
              <w:t>performance</w:t>
            </w:r>
            <w:r w:rsidRPr="00D4309F">
              <w:rPr>
                <w:color w:val="211E1F"/>
                <w:spacing w:val="-2"/>
              </w:rPr>
              <w:t xml:space="preserve"> </w:t>
            </w:r>
            <w:r w:rsidRPr="00D4309F">
              <w:rPr>
                <w:color w:val="211E1F"/>
              </w:rPr>
              <w:t>or</w:t>
            </w:r>
            <w:r w:rsidRPr="00D4309F">
              <w:rPr>
                <w:color w:val="211E1F"/>
                <w:spacing w:val="-2"/>
              </w:rPr>
              <w:t xml:space="preserve"> </w:t>
            </w:r>
            <w:r w:rsidRPr="00D4309F">
              <w:rPr>
                <w:color w:val="211E1F"/>
              </w:rPr>
              <w:t>Minor</w:t>
            </w:r>
            <w:r w:rsidRPr="00D4309F">
              <w:rPr>
                <w:color w:val="211E1F"/>
                <w:spacing w:val="-2"/>
              </w:rPr>
              <w:t xml:space="preserve"> impacts</w:t>
            </w:r>
          </w:p>
        </w:tc>
      </w:tr>
      <w:tr w:rsidR="00007528" w14:paraId="2C7C0B61" w14:textId="77777777">
        <w:tc>
          <w:tcPr>
            <w:tcW w:w="1323" w:type="pct"/>
            <w:tcBorders>
              <w:top w:val="single" w:sz="4" w:space="0" w:color="5F6369" w:themeColor="text2"/>
              <w:left w:val="nil"/>
              <w:bottom w:val="single" w:sz="18" w:space="0" w:color="5F6369" w:themeColor="text2"/>
              <w:right w:val="nil"/>
            </w:tcBorders>
          </w:tcPr>
          <w:p w14:paraId="5939156E" w14:textId="77777777" w:rsidR="00007528" w:rsidRDefault="00007528">
            <w:pPr>
              <w:pStyle w:val="Table-Text"/>
              <w:rPr>
                <w:lang w:val="en-GB"/>
              </w:rPr>
            </w:pPr>
            <w:r>
              <w:rPr>
                <w:lang w:val="en-GB"/>
              </w:rPr>
              <w:t>5</w:t>
            </w:r>
          </w:p>
        </w:tc>
        <w:tc>
          <w:tcPr>
            <w:tcW w:w="3677" w:type="pct"/>
            <w:tcBorders>
              <w:top w:val="single" w:sz="4" w:space="0" w:color="5F6369" w:themeColor="text2"/>
              <w:left w:val="nil"/>
              <w:bottom w:val="single" w:sz="18" w:space="0" w:color="5F6369" w:themeColor="text2"/>
              <w:right w:val="nil"/>
            </w:tcBorders>
          </w:tcPr>
          <w:p w14:paraId="7DF7F4EC" w14:textId="77777777" w:rsidR="00007528" w:rsidRDefault="00007528">
            <w:pPr>
              <w:pStyle w:val="Table-Text"/>
              <w:rPr>
                <w:lang w:val="en-GB"/>
              </w:rPr>
            </w:pPr>
            <w:r w:rsidRPr="00D4309F">
              <w:rPr>
                <w:color w:val="211E1F"/>
              </w:rPr>
              <w:t>Excellent</w:t>
            </w:r>
            <w:r w:rsidRPr="00D4309F">
              <w:rPr>
                <w:color w:val="211E1F"/>
                <w:spacing w:val="-6"/>
              </w:rPr>
              <w:t xml:space="preserve"> </w:t>
            </w:r>
            <w:r w:rsidRPr="00D4309F">
              <w:rPr>
                <w:color w:val="211E1F"/>
              </w:rPr>
              <w:t>performance</w:t>
            </w:r>
            <w:r w:rsidRPr="00D4309F">
              <w:rPr>
                <w:color w:val="211E1F"/>
                <w:spacing w:val="-4"/>
              </w:rPr>
              <w:t xml:space="preserve"> </w:t>
            </w:r>
            <w:r w:rsidRPr="00D4309F">
              <w:rPr>
                <w:color w:val="211E1F"/>
              </w:rPr>
              <w:t>or</w:t>
            </w:r>
            <w:r w:rsidRPr="00D4309F">
              <w:rPr>
                <w:color w:val="211E1F"/>
                <w:spacing w:val="-4"/>
              </w:rPr>
              <w:t xml:space="preserve"> </w:t>
            </w:r>
            <w:r w:rsidRPr="00D4309F">
              <w:rPr>
                <w:color w:val="211E1F"/>
              </w:rPr>
              <w:t>Insignificant</w:t>
            </w:r>
            <w:r w:rsidRPr="00D4309F">
              <w:rPr>
                <w:color w:val="211E1F"/>
                <w:spacing w:val="-4"/>
              </w:rPr>
              <w:t xml:space="preserve"> </w:t>
            </w:r>
            <w:r w:rsidRPr="00D4309F">
              <w:rPr>
                <w:color w:val="211E1F"/>
                <w:spacing w:val="-2"/>
              </w:rPr>
              <w:t>impacts</w:t>
            </w:r>
          </w:p>
        </w:tc>
      </w:tr>
    </w:tbl>
    <w:p w14:paraId="2DCD55A4" w14:textId="77777777" w:rsidR="00007528" w:rsidRPr="00D4309F" w:rsidRDefault="00007528" w:rsidP="00007528">
      <w:pPr>
        <w:pStyle w:val="BodyText"/>
      </w:pPr>
    </w:p>
    <w:p w14:paraId="5D3695EF" w14:textId="5E0D5918" w:rsidR="00725977" w:rsidRDefault="00007528" w:rsidP="00151534">
      <w:pPr>
        <w:pStyle w:val="Table-Caption"/>
        <w:rPr>
          <w:color w:val="211E1F"/>
          <w:spacing w:val="-2"/>
        </w:rPr>
      </w:pPr>
      <w:bookmarkStart w:id="380" w:name="_bookmark145"/>
      <w:bookmarkStart w:id="381" w:name="_Toc216699566"/>
      <w:bookmarkEnd w:id="380"/>
      <w:r>
        <w:t xml:space="preserve">Table </w:t>
      </w:r>
      <w:r w:rsidR="00151534">
        <w:fldChar w:fldCharType="begin" w:fldLock="1"/>
      </w:r>
      <w:r w:rsidR="00151534">
        <w:instrText xml:space="preserve"> STYLEREF 1 \s </w:instrText>
      </w:r>
      <w:r w:rsidR="00151534">
        <w:fldChar w:fldCharType="separate"/>
      </w:r>
      <w:r w:rsidR="00151534">
        <w:rPr>
          <w:noProof/>
        </w:rPr>
        <w:t>14</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9</w:t>
      </w:r>
      <w:r w:rsidR="00151534">
        <w:fldChar w:fldCharType="end"/>
      </w:r>
      <w:r>
        <w:t>:</w:t>
      </w:r>
      <w:r>
        <w:tab/>
      </w:r>
      <w:r w:rsidRPr="00D4309F">
        <w:rPr>
          <w:color w:val="211E1F"/>
        </w:rPr>
        <w:t>Option 2A</w:t>
      </w:r>
      <w:r w:rsidRPr="00D4309F">
        <w:rPr>
          <w:color w:val="211E1F"/>
          <w:spacing w:val="-1"/>
        </w:rPr>
        <w:t xml:space="preserve"> </w:t>
      </w:r>
      <w:r w:rsidRPr="00D4309F">
        <w:rPr>
          <w:color w:val="211E1F"/>
        </w:rPr>
        <w:t>MCA</w:t>
      </w:r>
      <w:r w:rsidRPr="00D4309F">
        <w:rPr>
          <w:color w:val="211E1F"/>
          <w:spacing w:val="-1"/>
        </w:rPr>
        <w:t xml:space="preserve"> </w:t>
      </w:r>
      <w:r w:rsidRPr="00D4309F">
        <w:rPr>
          <w:color w:val="211E1F"/>
          <w:spacing w:val="-2"/>
        </w:rPr>
        <w:t>scoring</w:t>
      </w:r>
      <w:bookmarkEnd w:id="381"/>
    </w:p>
    <w:tbl>
      <w:tblPr>
        <w:tblStyle w:val="Table1"/>
        <w:tblW w:w="5000" w:type="pct"/>
        <w:tblLook w:val="04A0" w:firstRow="1" w:lastRow="0" w:firstColumn="1" w:lastColumn="0" w:noHBand="0" w:noVBand="1"/>
      </w:tblPr>
      <w:tblGrid>
        <w:gridCol w:w="2920"/>
        <w:gridCol w:w="9988"/>
        <w:gridCol w:w="1664"/>
      </w:tblGrid>
      <w:tr w:rsidR="00007528" w:rsidRPr="00D4309F" w14:paraId="7CDBE026" w14:textId="77777777">
        <w:trPr>
          <w:cnfStyle w:val="100000000000" w:firstRow="1" w:lastRow="0" w:firstColumn="0" w:lastColumn="0" w:oddVBand="0" w:evenVBand="0" w:oddHBand="0" w:evenHBand="0" w:firstRowFirstColumn="0" w:firstRowLastColumn="0" w:lastRowFirstColumn="0" w:lastRowLastColumn="0"/>
          <w:trHeight w:val="286"/>
          <w:tblHeader/>
        </w:trPr>
        <w:tc>
          <w:tcPr>
            <w:tcW w:w="1002" w:type="pct"/>
          </w:tcPr>
          <w:p w14:paraId="0CDE22A4" w14:textId="77777777" w:rsidR="00007528" w:rsidRPr="00D4309F" w:rsidRDefault="00007528">
            <w:pPr>
              <w:pStyle w:val="TableParagraph"/>
              <w:spacing w:before="40"/>
              <w:ind w:left="165"/>
              <w:rPr>
                <w:b/>
                <w:sz w:val="18"/>
              </w:rPr>
            </w:pPr>
            <w:r w:rsidRPr="00D4309F">
              <w:rPr>
                <w:b/>
                <w:color w:val="70004A"/>
                <w:sz w:val="18"/>
              </w:rPr>
              <w:t>MCA</w:t>
            </w:r>
            <w:r w:rsidRPr="00D4309F">
              <w:rPr>
                <w:b/>
                <w:color w:val="70004A"/>
                <w:spacing w:val="-3"/>
                <w:sz w:val="18"/>
              </w:rPr>
              <w:t xml:space="preserve"> </w:t>
            </w:r>
            <w:r w:rsidRPr="00D4309F">
              <w:rPr>
                <w:b/>
                <w:color w:val="70004A"/>
                <w:spacing w:val="-2"/>
                <w:sz w:val="18"/>
              </w:rPr>
              <w:t>Category</w:t>
            </w:r>
          </w:p>
        </w:tc>
        <w:tc>
          <w:tcPr>
            <w:tcW w:w="3427" w:type="pct"/>
          </w:tcPr>
          <w:p w14:paraId="40E3A866" w14:textId="77777777" w:rsidR="00007528" w:rsidRPr="00D4309F" w:rsidRDefault="00007528">
            <w:pPr>
              <w:pStyle w:val="TableParagraph"/>
              <w:spacing w:before="40"/>
              <w:ind w:left="165"/>
              <w:rPr>
                <w:b/>
                <w:sz w:val="18"/>
              </w:rPr>
            </w:pPr>
            <w:r w:rsidRPr="00D4309F">
              <w:rPr>
                <w:b/>
                <w:color w:val="70004A"/>
                <w:sz w:val="18"/>
              </w:rPr>
              <w:t>MCA</w:t>
            </w:r>
            <w:r w:rsidRPr="00D4309F">
              <w:rPr>
                <w:b/>
                <w:color w:val="70004A"/>
                <w:spacing w:val="-1"/>
                <w:sz w:val="18"/>
              </w:rPr>
              <w:t xml:space="preserve"> </w:t>
            </w:r>
            <w:r w:rsidRPr="00D4309F">
              <w:rPr>
                <w:b/>
                <w:color w:val="70004A"/>
                <w:spacing w:val="-2"/>
                <w:sz w:val="18"/>
              </w:rPr>
              <w:t>criteria</w:t>
            </w:r>
          </w:p>
        </w:tc>
        <w:tc>
          <w:tcPr>
            <w:tcW w:w="571" w:type="pct"/>
          </w:tcPr>
          <w:p w14:paraId="78C01B15" w14:textId="77777777" w:rsidR="00007528" w:rsidRPr="00D4309F" w:rsidRDefault="00007528">
            <w:pPr>
              <w:pStyle w:val="TableParagraph"/>
              <w:spacing w:before="40"/>
              <w:ind w:left="485"/>
              <w:rPr>
                <w:b/>
                <w:sz w:val="18"/>
              </w:rPr>
            </w:pPr>
            <w:r w:rsidRPr="00D4309F">
              <w:rPr>
                <w:b/>
                <w:color w:val="70004A"/>
                <w:spacing w:val="-2"/>
                <w:sz w:val="18"/>
              </w:rPr>
              <w:t>Score</w:t>
            </w:r>
          </w:p>
        </w:tc>
      </w:tr>
      <w:tr w:rsidR="00007528" w:rsidRPr="00D4309F" w14:paraId="58B36BD7" w14:textId="77777777">
        <w:trPr>
          <w:trHeight w:val="494"/>
        </w:trPr>
        <w:tc>
          <w:tcPr>
            <w:tcW w:w="1002" w:type="pct"/>
            <w:vMerge w:val="restart"/>
          </w:tcPr>
          <w:p w14:paraId="1A3304D2" w14:textId="77777777" w:rsidR="00007528" w:rsidRPr="00D4309F" w:rsidRDefault="00007528" w:rsidP="00007528">
            <w:pPr>
              <w:pStyle w:val="TableParagraph"/>
              <w:spacing w:before="39"/>
              <w:ind w:left="165"/>
              <w:rPr>
                <w:b/>
                <w:sz w:val="18"/>
              </w:rPr>
            </w:pPr>
            <w:r w:rsidRPr="00D4309F">
              <w:rPr>
                <w:b/>
                <w:color w:val="211E1F"/>
                <w:sz w:val="18"/>
              </w:rPr>
              <w:t>Coastal</w:t>
            </w:r>
            <w:r w:rsidRPr="00D4309F">
              <w:rPr>
                <w:b/>
                <w:color w:val="211E1F"/>
                <w:spacing w:val="-4"/>
                <w:sz w:val="18"/>
              </w:rPr>
              <w:t xml:space="preserve"> </w:t>
            </w:r>
            <w:r w:rsidRPr="00D4309F">
              <w:rPr>
                <w:b/>
                <w:color w:val="211E1F"/>
                <w:spacing w:val="-2"/>
                <w:sz w:val="18"/>
              </w:rPr>
              <w:t>engineering</w:t>
            </w:r>
          </w:p>
        </w:tc>
        <w:tc>
          <w:tcPr>
            <w:tcW w:w="3427" w:type="pct"/>
          </w:tcPr>
          <w:p w14:paraId="324CBF3C" w14:textId="77777777" w:rsidR="00007528" w:rsidRPr="00D4309F" w:rsidRDefault="00007528" w:rsidP="00007528">
            <w:pPr>
              <w:pStyle w:val="TableParagraph"/>
              <w:spacing w:before="39"/>
              <w:ind w:left="166"/>
              <w:rPr>
                <w:sz w:val="18"/>
              </w:rPr>
            </w:pPr>
            <w:r w:rsidRPr="00D4309F">
              <w:rPr>
                <w:color w:val="211E1F"/>
                <w:sz w:val="18"/>
              </w:rPr>
              <w:t>Effectiveness:</w:t>
            </w:r>
            <w:r w:rsidRPr="00D4309F">
              <w:rPr>
                <w:color w:val="211E1F"/>
                <w:spacing w:val="-2"/>
                <w:sz w:val="18"/>
              </w:rPr>
              <w:t xml:space="preserve"> </w:t>
            </w:r>
            <w:r w:rsidRPr="00D4309F">
              <w:rPr>
                <w:color w:val="211E1F"/>
                <w:sz w:val="18"/>
              </w:rPr>
              <w:t>Likely</w:t>
            </w:r>
            <w:r w:rsidRPr="00D4309F">
              <w:rPr>
                <w:color w:val="211E1F"/>
                <w:spacing w:val="-1"/>
                <w:sz w:val="18"/>
              </w:rPr>
              <w:t xml:space="preserve"> </w:t>
            </w:r>
            <w:r w:rsidRPr="00D4309F">
              <w:rPr>
                <w:color w:val="211E1F"/>
                <w:sz w:val="18"/>
              </w:rPr>
              <w:t>ability</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shift</w:t>
            </w:r>
            <w:r w:rsidRPr="00D4309F">
              <w:rPr>
                <w:color w:val="211E1F"/>
                <w:spacing w:val="-2"/>
                <w:sz w:val="18"/>
              </w:rPr>
              <w:t xml:space="preserve"> </w:t>
            </w:r>
            <w:r w:rsidRPr="00D4309F">
              <w:rPr>
                <w:color w:val="211E1F"/>
                <w:sz w:val="18"/>
              </w:rPr>
              <w:t>enough</w:t>
            </w:r>
            <w:r w:rsidRPr="00D4309F">
              <w:rPr>
                <w:color w:val="211E1F"/>
                <w:spacing w:val="-3"/>
                <w:sz w:val="18"/>
              </w:rPr>
              <w:t xml:space="preserve"> </w:t>
            </w:r>
            <w:r w:rsidRPr="00D4309F">
              <w:rPr>
                <w:color w:val="211E1F"/>
                <w:sz w:val="18"/>
              </w:rPr>
              <w:t>sand</w:t>
            </w:r>
            <w:r w:rsidRPr="00D4309F">
              <w:rPr>
                <w:color w:val="211E1F"/>
                <w:spacing w:val="-3"/>
                <w:sz w:val="18"/>
              </w:rPr>
              <w:t xml:space="preserve"> </w:t>
            </w:r>
            <w:r w:rsidRPr="00D4309F">
              <w:rPr>
                <w:color w:val="211E1F"/>
                <w:sz w:val="18"/>
              </w:rPr>
              <w:t>past</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entrance</w:t>
            </w:r>
            <w:r w:rsidRPr="00D4309F">
              <w:rPr>
                <w:color w:val="211E1F"/>
                <w:spacing w:val="-3"/>
                <w:sz w:val="18"/>
              </w:rPr>
              <w:t xml:space="preserve"> </w:t>
            </w:r>
            <w:r w:rsidRPr="00D4309F">
              <w:rPr>
                <w:color w:val="211E1F"/>
                <w:sz w:val="18"/>
              </w:rPr>
              <w:t>(bypassing</w:t>
            </w:r>
            <w:r w:rsidRPr="00D4309F">
              <w:rPr>
                <w:color w:val="211E1F"/>
                <w:spacing w:val="-3"/>
                <w:sz w:val="18"/>
              </w:rPr>
              <w:t xml:space="preserve"> </w:t>
            </w:r>
            <w:r w:rsidRPr="00D4309F">
              <w:rPr>
                <w:color w:val="211E1F"/>
                <w:sz w:val="18"/>
              </w:rPr>
              <w:t>efficiency,</w:t>
            </w:r>
            <w:r w:rsidRPr="00D4309F">
              <w:rPr>
                <w:color w:val="211E1F"/>
                <w:spacing w:val="-2"/>
                <w:sz w:val="18"/>
              </w:rPr>
              <w:t xml:space="preserve"> </w:t>
            </w:r>
            <w:r w:rsidRPr="00D4309F">
              <w:rPr>
                <w:color w:val="211E1F"/>
                <w:sz w:val="18"/>
              </w:rPr>
              <w:t>trap</w:t>
            </w:r>
            <w:r w:rsidRPr="00D4309F">
              <w:rPr>
                <w:color w:val="211E1F"/>
                <w:spacing w:val="-3"/>
                <w:sz w:val="18"/>
              </w:rPr>
              <w:t xml:space="preserve"> </w:t>
            </w:r>
            <w:r w:rsidRPr="00D4309F">
              <w:rPr>
                <w:color w:val="211E1F"/>
                <w:sz w:val="18"/>
              </w:rPr>
              <w:t>capture</w:t>
            </w:r>
            <w:r w:rsidRPr="00D4309F">
              <w:rPr>
                <w:color w:val="211E1F"/>
                <w:spacing w:val="-3"/>
                <w:sz w:val="18"/>
              </w:rPr>
              <w:t xml:space="preserve"> </w:t>
            </w:r>
            <w:r w:rsidRPr="00D4309F">
              <w:rPr>
                <w:color w:val="211E1F"/>
                <w:sz w:val="18"/>
              </w:rPr>
              <w:t>rate,</w:t>
            </w:r>
            <w:r w:rsidRPr="00D4309F">
              <w:rPr>
                <w:color w:val="211E1F"/>
                <w:spacing w:val="-2"/>
                <w:sz w:val="18"/>
              </w:rPr>
              <w:t xml:space="preserve"> </w:t>
            </w:r>
            <w:r w:rsidRPr="00D4309F">
              <w:rPr>
                <w:color w:val="211E1F"/>
                <w:sz w:val="18"/>
              </w:rPr>
              <w:t>reduction</w:t>
            </w:r>
            <w:r w:rsidRPr="00D4309F">
              <w:rPr>
                <w:color w:val="211E1F"/>
                <w:spacing w:val="-3"/>
                <w:sz w:val="18"/>
              </w:rPr>
              <w:t xml:space="preserve"> </w:t>
            </w:r>
            <w:r w:rsidRPr="00D4309F">
              <w:rPr>
                <w:color w:val="211E1F"/>
                <w:sz w:val="18"/>
              </w:rPr>
              <w:t>in</w:t>
            </w:r>
            <w:r w:rsidRPr="00D4309F">
              <w:rPr>
                <w:color w:val="211E1F"/>
                <w:spacing w:val="-3"/>
                <w:sz w:val="18"/>
              </w:rPr>
              <w:t xml:space="preserve"> </w:t>
            </w:r>
            <w:r w:rsidRPr="00D4309F">
              <w:rPr>
                <w:color w:val="211E1F"/>
                <w:sz w:val="18"/>
              </w:rPr>
              <w:t>shoal frequency/magnitude, entrance depth reliability).</w:t>
            </w:r>
          </w:p>
        </w:tc>
        <w:tc>
          <w:tcPr>
            <w:tcW w:w="571" w:type="pct"/>
          </w:tcPr>
          <w:p w14:paraId="45513D8F" w14:textId="58CE899A" w:rsidR="00007528" w:rsidRPr="00D4309F" w:rsidRDefault="00007528" w:rsidP="00007528">
            <w:pPr>
              <w:pStyle w:val="TableParagraph"/>
              <w:spacing w:before="39"/>
              <w:ind w:left="485"/>
              <w:rPr>
                <w:sz w:val="18"/>
              </w:rPr>
            </w:pPr>
            <w:r w:rsidRPr="00D4309F">
              <w:rPr>
                <w:color w:val="211E1F"/>
                <w:spacing w:val="-10"/>
                <w:sz w:val="18"/>
              </w:rPr>
              <w:t>4</w:t>
            </w:r>
          </w:p>
        </w:tc>
      </w:tr>
      <w:tr w:rsidR="00007528" w:rsidRPr="00D4309F" w14:paraId="76000320" w14:textId="77777777">
        <w:trPr>
          <w:trHeight w:val="286"/>
        </w:trPr>
        <w:tc>
          <w:tcPr>
            <w:tcW w:w="1002" w:type="pct"/>
            <w:vMerge/>
          </w:tcPr>
          <w:p w14:paraId="763D0F96" w14:textId="77777777" w:rsidR="00007528" w:rsidRPr="00D4309F" w:rsidRDefault="00007528" w:rsidP="00007528">
            <w:pPr>
              <w:pStyle w:val="TableParagraph"/>
              <w:rPr>
                <w:rFonts w:ascii="Times New Roman"/>
                <w:sz w:val="18"/>
              </w:rPr>
            </w:pPr>
          </w:p>
        </w:tc>
        <w:tc>
          <w:tcPr>
            <w:tcW w:w="3427" w:type="pct"/>
          </w:tcPr>
          <w:p w14:paraId="1F8BF0B2" w14:textId="77777777" w:rsidR="00007528" w:rsidRPr="00D4309F" w:rsidRDefault="00007528" w:rsidP="00007528">
            <w:pPr>
              <w:pStyle w:val="TableParagraph"/>
              <w:spacing w:before="39"/>
              <w:ind w:left="165"/>
              <w:rPr>
                <w:sz w:val="18"/>
              </w:rPr>
            </w:pPr>
            <w:r w:rsidRPr="00D4309F">
              <w:rPr>
                <w:color w:val="211E1F"/>
                <w:sz w:val="18"/>
              </w:rPr>
              <w:t>Impacts</w:t>
            </w:r>
            <w:r w:rsidRPr="00D4309F">
              <w:rPr>
                <w:color w:val="211E1F"/>
                <w:spacing w:val="-5"/>
                <w:sz w:val="18"/>
              </w:rPr>
              <w:t xml:space="preserve"> </w:t>
            </w:r>
            <w:r w:rsidRPr="00D4309F">
              <w:rPr>
                <w:color w:val="211E1F"/>
                <w:sz w:val="18"/>
              </w:rPr>
              <w:t>on</w:t>
            </w:r>
            <w:r w:rsidRPr="00D4309F">
              <w:rPr>
                <w:color w:val="211E1F"/>
                <w:spacing w:val="-2"/>
                <w:sz w:val="18"/>
              </w:rPr>
              <w:t xml:space="preserve"> </w:t>
            </w:r>
            <w:r w:rsidRPr="00D4309F">
              <w:rPr>
                <w:color w:val="211E1F"/>
                <w:sz w:val="18"/>
              </w:rPr>
              <w:t>coastal</w:t>
            </w:r>
            <w:r w:rsidRPr="00D4309F">
              <w:rPr>
                <w:color w:val="211E1F"/>
                <w:spacing w:val="-2"/>
                <w:sz w:val="18"/>
              </w:rPr>
              <w:t xml:space="preserve"> </w:t>
            </w:r>
            <w:r w:rsidRPr="00D4309F">
              <w:rPr>
                <w:color w:val="211E1F"/>
                <w:sz w:val="18"/>
              </w:rPr>
              <w:t>processes:</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level</w:t>
            </w:r>
            <w:r w:rsidRPr="00D4309F">
              <w:rPr>
                <w:color w:val="211E1F"/>
                <w:spacing w:val="-2"/>
                <w:sz w:val="18"/>
              </w:rPr>
              <w:t xml:space="preserve"> </w:t>
            </w:r>
            <w:r w:rsidRPr="00D4309F">
              <w:rPr>
                <w:color w:val="211E1F"/>
                <w:sz w:val="18"/>
              </w:rPr>
              <w:t>in</w:t>
            </w:r>
            <w:r w:rsidRPr="00D4309F">
              <w:rPr>
                <w:color w:val="211E1F"/>
                <w:spacing w:val="-3"/>
                <w:sz w:val="18"/>
              </w:rPr>
              <w:t xml:space="preserve"> </w:t>
            </w:r>
            <w:r w:rsidRPr="00D4309F">
              <w:rPr>
                <w:color w:val="211E1F"/>
                <w:sz w:val="18"/>
              </w:rPr>
              <w:t>which</w:t>
            </w:r>
            <w:r w:rsidRPr="00D4309F">
              <w:rPr>
                <w:color w:val="211E1F"/>
                <w:spacing w:val="-3"/>
                <w:sz w:val="18"/>
              </w:rPr>
              <w:t xml:space="preserve"> </w:t>
            </w:r>
            <w:r w:rsidRPr="00D4309F">
              <w:rPr>
                <w:color w:val="211E1F"/>
                <w:sz w:val="18"/>
              </w:rPr>
              <w:t>it</w:t>
            </w:r>
            <w:r w:rsidRPr="00D4309F">
              <w:rPr>
                <w:color w:val="211E1F"/>
                <w:spacing w:val="-2"/>
                <w:sz w:val="18"/>
              </w:rPr>
              <w:t xml:space="preserve"> </w:t>
            </w:r>
            <w:r w:rsidRPr="00D4309F">
              <w:rPr>
                <w:color w:val="211E1F"/>
                <w:sz w:val="18"/>
              </w:rPr>
              <w:t>changes</w:t>
            </w:r>
            <w:r w:rsidRPr="00D4309F">
              <w:rPr>
                <w:color w:val="211E1F"/>
                <w:spacing w:val="-1"/>
                <w:sz w:val="18"/>
              </w:rPr>
              <w:t xml:space="preserve"> </w:t>
            </w:r>
            <w:r w:rsidRPr="00D4309F">
              <w:rPr>
                <w:color w:val="211E1F"/>
                <w:sz w:val="18"/>
              </w:rPr>
              <w:t>or</w:t>
            </w:r>
            <w:r w:rsidRPr="00D4309F">
              <w:rPr>
                <w:color w:val="211E1F"/>
                <w:spacing w:val="-2"/>
                <w:sz w:val="18"/>
              </w:rPr>
              <w:t xml:space="preserve"> </w:t>
            </w:r>
            <w:r w:rsidRPr="00D4309F">
              <w:rPr>
                <w:color w:val="211E1F"/>
                <w:sz w:val="18"/>
              </w:rPr>
              <w:t>has</w:t>
            </w:r>
            <w:r w:rsidRPr="00D4309F">
              <w:rPr>
                <w:color w:val="211E1F"/>
                <w:spacing w:val="-3"/>
                <w:sz w:val="18"/>
              </w:rPr>
              <w:t xml:space="preserve"> </w:t>
            </w:r>
            <w:r w:rsidRPr="00D4309F">
              <w:rPr>
                <w:color w:val="211E1F"/>
                <w:sz w:val="18"/>
              </w:rPr>
              <w:t>negative</w:t>
            </w:r>
            <w:r w:rsidRPr="00D4309F">
              <w:rPr>
                <w:color w:val="211E1F"/>
                <w:spacing w:val="-2"/>
                <w:sz w:val="18"/>
              </w:rPr>
              <w:t xml:space="preserve"> </w:t>
            </w:r>
            <w:r w:rsidRPr="00D4309F">
              <w:rPr>
                <w:color w:val="211E1F"/>
                <w:sz w:val="18"/>
              </w:rPr>
              <w:t>impacts</w:t>
            </w:r>
            <w:r w:rsidRPr="00D4309F">
              <w:rPr>
                <w:color w:val="211E1F"/>
                <w:spacing w:val="-2"/>
                <w:sz w:val="18"/>
              </w:rPr>
              <w:t xml:space="preserve"> </w:t>
            </w:r>
            <w:r w:rsidRPr="00D4309F">
              <w:rPr>
                <w:color w:val="211E1F"/>
                <w:sz w:val="18"/>
              </w:rPr>
              <w:t>on</w:t>
            </w:r>
            <w:r w:rsidRPr="00D4309F">
              <w:rPr>
                <w:color w:val="211E1F"/>
                <w:spacing w:val="-3"/>
                <w:sz w:val="18"/>
              </w:rPr>
              <w:t xml:space="preserve"> </w:t>
            </w:r>
            <w:r w:rsidRPr="00D4309F">
              <w:rPr>
                <w:color w:val="211E1F"/>
                <w:sz w:val="18"/>
              </w:rPr>
              <w:t>existing</w:t>
            </w:r>
            <w:r w:rsidRPr="00D4309F">
              <w:rPr>
                <w:color w:val="211E1F"/>
                <w:spacing w:val="-3"/>
                <w:sz w:val="18"/>
              </w:rPr>
              <w:t xml:space="preserve"> </w:t>
            </w:r>
            <w:r w:rsidRPr="00D4309F">
              <w:rPr>
                <w:color w:val="211E1F"/>
                <w:sz w:val="18"/>
              </w:rPr>
              <w:t>coastal</w:t>
            </w:r>
            <w:r w:rsidRPr="00D4309F">
              <w:rPr>
                <w:color w:val="211E1F"/>
                <w:spacing w:val="-1"/>
                <w:sz w:val="18"/>
              </w:rPr>
              <w:t xml:space="preserve"> </w:t>
            </w:r>
            <w:r w:rsidRPr="00D4309F">
              <w:rPr>
                <w:color w:val="211E1F"/>
                <w:spacing w:val="-2"/>
                <w:sz w:val="18"/>
              </w:rPr>
              <w:t>processes</w:t>
            </w:r>
          </w:p>
        </w:tc>
        <w:tc>
          <w:tcPr>
            <w:tcW w:w="571" w:type="pct"/>
          </w:tcPr>
          <w:p w14:paraId="569D923D" w14:textId="3BB1384B" w:rsidR="00007528" w:rsidRPr="00D4309F" w:rsidRDefault="00007528" w:rsidP="00007528">
            <w:pPr>
              <w:pStyle w:val="TableParagraph"/>
              <w:spacing w:before="39"/>
              <w:ind w:left="485"/>
              <w:rPr>
                <w:sz w:val="18"/>
              </w:rPr>
            </w:pPr>
            <w:r w:rsidRPr="00D4309F">
              <w:rPr>
                <w:color w:val="211E1F"/>
                <w:spacing w:val="-10"/>
                <w:sz w:val="18"/>
              </w:rPr>
              <w:t>3</w:t>
            </w:r>
          </w:p>
        </w:tc>
      </w:tr>
      <w:tr w:rsidR="00007528" w:rsidRPr="00D4309F" w14:paraId="3905718D" w14:textId="77777777">
        <w:trPr>
          <w:trHeight w:val="287"/>
        </w:trPr>
        <w:tc>
          <w:tcPr>
            <w:tcW w:w="1002" w:type="pct"/>
            <w:vMerge/>
          </w:tcPr>
          <w:p w14:paraId="7984E213" w14:textId="77777777" w:rsidR="00007528" w:rsidRPr="00D4309F" w:rsidRDefault="00007528" w:rsidP="00007528">
            <w:pPr>
              <w:pStyle w:val="TableParagraph"/>
              <w:rPr>
                <w:rFonts w:ascii="Times New Roman"/>
                <w:sz w:val="18"/>
              </w:rPr>
            </w:pPr>
          </w:p>
        </w:tc>
        <w:tc>
          <w:tcPr>
            <w:tcW w:w="3427" w:type="pct"/>
          </w:tcPr>
          <w:p w14:paraId="79E1F20D" w14:textId="77777777" w:rsidR="00007528" w:rsidRPr="00D4309F" w:rsidRDefault="00007528" w:rsidP="00007528">
            <w:pPr>
              <w:pStyle w:val="TableParagraph"/>
              <w:spacing w:before="41"/>
              <w:ind w:left="165"/>
              <w:rPr>
                <w:sz w:val="18"/>
              </w:rPr>
            </w:pPr>
            <w:r w:rsidRPr="00D4309F">
              <w:rPr>
                <w:color w:val="211E1F"/>
                <w:sz w:val="18"/>
              </w:rPr>
              <w:t>Design</w:t>
            </w:r>
            <w:r w:rsidRPr="00D4309F">
              <w:rPr>
                <w:color w:val="211E1F"/>
                <w:spacing w:val="-5"/>
                <w:sz w:val="18"/>
              </w:rPr>
              <w:t xml:space="preserve"> </w:t>
            </w:r>
            <w:r w:rsidRPr="00D4309F">
              <w:rPr>
                <w:color w:val="211E1F"/>
                <w:sz w:val="18"/>
              </w:rPr>
              <w:t>and</w:t>
            </w:r>
            <w:r w:rsidRPr="00D4309F">
              <w:rPr>
                <w:color w:val="211E1F"/>
                <w:spacing w:val="-3"/>
                <w:sz w:val="18"/>
              </w:rPr>
              <w:t xml:space="preserve"> </w:t>
            </w:r>
            <w:r w:rsidRPr="00D4309F">
              <w:rPr>
                <w:color w:val="211E1F"/>
                <w:sz w:val="18"/>
              </w:rPr>
              <w:t>approvals:</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far</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option</w:t>
            </w:r>
            <w:r w:rsidRPr="00D4309F">
              <w:rPr>
                <w:color w:val="211E1F"/>
                <w:spacing w:val="-1"/>
                <w:sz w:val="18"/>
              </w:rPr>
              <w:t xml:space="preserve"> </w:t>
            </w:r>
            <w:r w:rsidRPr="00D4309F">
              <w:rPr>
                <w:color w:val="211E1F"/>
                <w:sz w:val="18"/>
              </w:rPr>
              <w:t>progressed</w:t>
            </w:r>
            <w:r w:rsidRPr="00D4309F">
              <w:rPr>
                <w:color w:val="211E1F"/>
                <w:spacing w:val="-3"/>
                <w:sz w:val="18"/>
              </w:rPr>
              <w:t xml:space="preserve"> </w:t>
            </w:r>
            <w:r w:rsidRPr="00D4309F">
              <w:rPr>
                <w:color w:val="211E1F"/>
                <w:sz w:val="18"/>
              </w:rPr>
              <w:t>with</w:t>
            </w:r>
            <w:r w:rsidRPr="00D4309F">
              <w:rPr>
                <w:color w:val="211E1F"/>
                <w:spacing w:val="-3"/>
                <w:sz w:val="18"/>
              </w:rPr>
              <w:t xml:space="preserve"> </w:t>
            </w:r>
            <w:r w:rsidRPr="00D4309F">
              <w:rPr>
                <w:color w:val="211E1F"/>
                <w:sz w:val="18"/>
              </w:rPr>
              <w:t>design</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approvals</w:t>
            </w:r>
            <w:r w:rsidRPr="00D4309F">
              <w:rPr>
                <w:color w:val="211E1F"/>
                <w:spacing w:val="-2"/>
                <w:sz w:val="18"/>
              </w:rPr>
              <w:t xml:space="preserve"> </w:t>
            </w:r>
            <w:r w:rsidRPr="00D4309F">
              <w:rPr>
                <w:color w:val="211E1F"/>
                <w:sz w:val="18"/>
              </w:rPr>
              <w:t>and</w:t>
            </w:r>
            <w:r w:rsidRPr="00D4309F">
              <w:rPr>
                <w:color w:val="211E1F"/>
                <w:spacing w:val="-3"/>
                <w:sz w:val="18"/>
              </w:rPr>
              <w:t xml:space="preserve"> </w:t>
            </w:r>
            <w:r w:rsidRPr="00D4309F">
              <w:rPr>
                <w:color w:val="211E1F"/>
                <w:sz w:val="18"/>
              </w:rPr>
              <w:t>how</w:t>
            </w:r>
            <w:r w:rsidRPr="00D4309F">
              <w:rPr>
                <w:color w:val="211E1F"/>
                <w:spacing w:val="-2"/>
                <w:sz w:val="18"/>
              </w:rPr>
              <w:t xml:space="preserve"> </w:t>
            </w:r>
            <w:r w:rsidRPr="00D4309F">
              <w:rPr>
                <w:color w:val="211E1F"/>
                <w:sz w:val="18"/>
              </w:rPr>
              <w:t>much</w:t>
            </w:r>
            <w:r w:rsidRPr="00D4309F">
              <w:rPr>
                <w:color w:val="211E1F"/>
                <w:spacing w:val="-3"/>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2"/>
                <w:sz w:val="18"/>
              </w:rPr>
              <w:t xml:space="preserve"> required</w:t>
            </w:r>
          </w:p>
        </w:tc>
        <w:tc>
          <w:tcPr>
            <w:tcW w:w="571" w:type="pct"/>
          </w:tcPr>
          <w:p w14:paraId="6C0FE65D" w14:textId="7F591775" w:rsidR="00007528" w:rsidRPr="00D4309F" w:rsidRDefault="00007528" w:rsidP="00007528">
            <w:pPr>
              <w:pStyle w:val="TableParagraph"/>
              <w:spacing w:before="41"/>
              <w:ind w:left="484"/>
              <w:rPr>
                <w:sz w:val="18"/>
              </w:rPr>
            </w:pPr>
            <w:r w:rsidRPr="00D4309F">
              <w:rPr>
                <w:color w:val="211E1F"/>
                <w:spacing w:val="-10"/>
                <w:sz w:val="18"/>
              </w:rPr>
              <w:t>1</w:t>
            </w:r>
          </w:p>
        </w:tc>
      </w:tr>
      <w:tr w:rsidR="00007528" w:rsidRPr="00D4309F" w14:paraId="10A19E34" w14:textId="77777777">
        <w:trPr>
          <w:trHeight w:val="286"/>
        </w:trPr>
        <w:tc>
          <w:tcPr>
            <w:tcW w:w="1002" w:type="pct"/>
            <w:vMerge/>
          </w:tcPr>
          <w:p w14:paraId="20E1FA21" w14:textId="77777777" w:rsidR="00007528" w:rsidRPr="00D4309F" w:rsidRDefault="00007528" w:rsidP="00007528">
            <w:pPr>
              <w:pStyle w:val="TableParagraph"/>
              <w:rPr>
                <w:rFonts w:ascii="Times New Roman"/>
                <w:sz w:val="18"/>
              </w:rPr>
            </w:pPr>
          </w:p>
        </w:tc>
        <w:tc>
          <w:tcPr>
            <w:tcW w:w="3427" w:type="pct"/>
          </w:tcPr>
          <w:p w14:paraId="1845778B" w14:textId="77777777" w:rsidR="00007528" w:rsidRPr="00D4309F" w:rsidRDefault="00007528" w:rsidP="00007528">
            <w:pPr>
              <w:pStyle w:val="TableParagraph"/>
              <w:spacing w:before="39"/>
              <w:ind w:left="165"/>
              <w:rPr>
                <w:sz w:val="18"/>
              </w:rPr>
            </w:pPr>
            <w:r w:rsidRPr="00D4309F">
              <w:rPr>
                <w:color w:val="211E1F"/>
                <w:sz w:val="18"/>
              </w:rPr>
              <w:t>Capital</w:t>
            </w:r>
            <w:r w:rsidRPr="00D4309F">
              <w:rPr>
                <w:color w:val="211E1F"/>
                <w:spacing w:val="-5"/>
                <w:sz w:val="18"/>
              </w:rPr>
              <w:t xml:space="preserve"> </w:t>
            </w:r>
            <w:r w:rsidRPr="00D4309F">
              <w:rPr>
                <w:color w:val="211E1F"/>
                <w:sz w:val="18"/>
              </w:rPr>
              <w:t>works:</w:t>
            </w:r>
            <w:r w:rsidRPr="00D4309F">
              <w:rPr>
                <w:color w:val="211E1F"/>
                <w:spacing w:val="-1"/>
                <w:sz w:val="18"/>
              </w:rPr>
              <w:t xml:space="preserve"> </w:t>
            </w:r>
            <w:r w:rsidRPr="00D4309F">
              <w:rPr>
                <w:color w:val="211E1F"/>
                <w:sz w:val="18"/>
              </w:rPr>
              <w:t>how</w:t>
            </w:r>
            <w:r w:rsidRPr="00D4309F">
              <w:rPr>
                <w:color w:val="211E1F"/>
                <w:spacing w:val="-2"/>
                <w:sz w:val="18"/>
              </w:rPr>
              <w:t xml:space="preserve"> </w:t>
            </w:r>
            <w:r w:rsidRPr="00D4309F">
              <w:rPr>
                <w:color w:val="211E1F"/>
                <w:sz w:val="18"/>
              </w:rPr>
              <w:t>significant</w:t>
            </w:r>
            <w:r w:rsidRPr="00D4309F">
              <w:rPr>
                <w:color w:val="211E1F"/>
                <w:spacing w:val="-1"/>
                <w:sz w:val="18"/>
              </w:rPr>
              <w:t xml:space="preserve"> </w:t>
            </w:r>
            <w:r w:rsidRPr="00D4309F">
              <w:rPr>
                <w:color w:val="211E1F"/>
                <w:sz w:val="18"/>
              </w:rPr>
              <w:t>the</w:t>
            </w:r>
            <w:r w:rsidRPr="00D4309F">
              <w:rPr>
                <w:color w:val="211E1F"/>
                <w:spacing w:val="-4"/>
                <w:sz w:val="18"/>
              </w:rPr>
              <w:t xml:space="preserve"> </w:t>
            </w:r>
            <w:r w:rsidRPr="00D4309F">
              <w:rPr>
                <w:color w:val="211E1F"/>
                <w:sz w:val="18"/>
              </w:rPr>
              <w:t>capital</w:t>
            </w:r>
            <w:r w:rsidRPr="00D4309F">
              <w:rPr>
                <w:color w:val="211E1F"/>
                <w:spacing w:val="-2"/>
                <w:sz w:val="18"/>
              </w:rPr>
              <w:t xml:space="preserve"> </w:t>
            </w:r>
            <w:r w:rsidRPr="00D4309F">
              <w:rPr>
                <w:color w:val="211E1F"/>
                <w:sz w:val="18"/>
              </w:rPr>
              <w:t>works</w:t>
            </w:r>
            <w:r w:rsidRPr="00D4309F">
              <w:rPr>
                <w:color w:val="211E1F"/>
                <w:spacing w:val="-2"/>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and</w:t>
            </w:r>
            <w:r w:rsidRPr="00D4309F">
              <w:rPr>
                <w:color w:val="211E1F"/>
                <w:spacing w:val="-4"/>
                <w:sz w:val="18"/>
              </w:rPr>
              <w:t xml:space="preserve"> </w:t>
            </w:r>
            <w:r w:rsidRPr="00D4309F">
              <w:rPr>
                <w:color w:val="211E1F"/>
                <w:sz w:val="18"/>
              </w:rPr>
              <w:t>their</w:t>
            </w:r>
            <w:r w:rsidRPr="00D4309F">
              <w:rPr>
                <w:color w:val="211E1F"/>
                <w:spacing w:val="-2"/>
                <w:sz w:val="18"/>
              </w:rPr>
              <w:t xml:space="preserve"> </w:t>
            </w:r>
            <w:r w:rsidRPr="00D4309F">
              <w:rPr>
                <w:color w:val="211E1F"/>
                <w:sz w:val="18"/>
              </w:rPr>
              <w:t>impacts</w:t>
            </w:r>
            <w:r w:rsidRPr="00D4309F">
              <w:rPr>
                <w:color w:val="211E1F"/>
                <w:spacing w:val="-2"/>
                <w:sz w:val="18"/>
              </w:rPr>
              <w:t xml:space="preserve"> </w:t>
            </w:r>
            <w:r w:rsidRPr="00D4309F">
              <w:rPr>
                <w:color w:val="211E1F"/>
                <w:sz w:val="18"/>
              </w:rPr>
              <w:t>during</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pacing w:val="-2"/>
                <w:sz w:val="18"/>
              </w:rPr>
              <w:t>process</w:t>
            </w:r>
          </w:p>
        </w:tc>
        <w:tc>
          <w:tcPr>
            <w:tcW w:w="571" w:type="pct"/>
          </w:tcPr>
          <w:p w14:paraId="3C07C1C6" w14:textId="6A999A46" w:rsidR="00007528" w:rsidRPr="00D4309F" w:rsidRDefault="00007528" w:rsidP="00007528">
            <w:pPr>
              <w:pStyle w:val="TableParagraph"/>
              <w:spacing w:before="39"/>
              <w:ind w:left="484"/>
              <w:rPr>
                <w:sz w:val="18"/>
              </w:rPr>
            </w:pPr>
            <w:r w:rsidRPr="00D4309F">
              <w:rPr>
                <w:color w:val="211E1F"/>
                <w:spacing w:val="-10"/>
                <w:sz w:val="18"/>
              </w:rPr>
              <w:t>2</w:t>
            </w:r>
          </w:p>
        </w:tc>
      </w:tr>
      <w:tr w:rsidR="00007528" w:rsidRPr="00D4309F" w14:paraId="5B942305" w14:textId="77777777">
        <w:trPr>
          <w:trHeight w:val="287"/>
        </w:trPr>
        <w:tc>
          <w:tcPr>
            <w:tcW w:w="1002" w:type="pct"/>
            <w:vMerge/>
          </w:tcPr>
          <w:p w14:paraId="233ED921" w14:textId="77777777" w:rsidR="00007528" w:rsidRPr="00D4309F" w:rsidRDefault="00007528" w:rsidP="00007528">
            <w:pPr>
              <w:pStyle w:val="TableParagraph"/>
              <w:rPr>
                <w:rFonts w:ascii="Times New Roman"/>
                <w:sz w:val="18"/>
              </w:rPr>
            </w:pPr>
          </w:p>
        </w:tc>
        <w:tc>
          <w:tcPr>
            <w:tcW w:w="3427" w:type="pct"/>
          </w:tcPr>
          <w:p w14:paraId="3D1C8F38" w14:textId="77777777" w:rsidR="00007528" w:rsidRPr="00D4309F" w:rsidRDefault="00007528" w:rsidP="00007528">
            <w:pPr>
              <w:pStyle w:val="TableParagraph"/>
              <w:spacing w:before="41"/>
              <w:ind w:left="165"/>
              <w:rPr>
                <w:sz w:val="18"/>
              </w:rPr>
            </w:pPr>
            <w:r w:rsidRPr="00D4309F">
              <w:rPr>
                <w:color w:val="211E1F"/>
                <w:sz w:val="18"/>
              </w:rPr>
              <w:t>Operational</w:t>
            </w:r>
            <w:r w:rsidRPr="00D4309F">
              <w:rPr>
                <w:color w:val="211E1F"/>
                <w:spacing w:val="-5"/>
                <w:sz w:val="18"/>
              </w:rPr>
              <w:t xml:space="preserve"> </w:t>
            </w:r>
            <w:r w:rsidRPr="00D4309F">
              <w:rPr>
                <w:color w:val="211E1F"/>
                <w:sz w:val="18"/>
              </w:rPr>
              <w:t>works:</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significant</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operational</w:t>
            </w:r>
            <w:r w:rsidRPr="00D4309F">
              <w:rPr>
                <w:color w:val="211E1F"/>
                <w:spacing w:val="-2"/>
                <w:sz w:val="18"/>
              </w:rPr>
              <w:t xml:space="preserve"> </w:t>
            </w:r>
            <w:r w:rsidRPr="00D4309F">
              <w:rPr>
                <w:color w:val="211E1F"/>
                <w:sz w:val="18"/>
              </w:rPr>
              <w:t>works</w:t>
            </w:r>
            <w:r w:rsidRPr="00D4309F">
              <w:rPr>
                <w:color w:val="211E1F"/>
                <w:spacing w:val="-3"/>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their</w:t>
            </w:r>
            <w:r w:rsidRPr="00D4309F">
              <w:rPr>
                <w:color w:val="211E1F"/>
                <w:spacing w:val="-3"/>
                <w:sz w:val="18"/>
              </w:rPr>
              <w:t xml:space="preserve"> </w:t>
            </w:r>
            <w:r w:rsidRPr="00D4309F">
              <w:rPr>
                <w:color w:val="211E1F"/>
                <w:sz w:val="18"/>
              </w:rPr>
              <w:t>impacts</w:t>
            </w:r>
            <w:r w:rsidRPr="00D4309F">
              <w:rPr>
                <w:color w:val="211E1F"/>
                <w:spacing w:val="-2"/>
                <w:sz w:val="18"/>
              </w:rPr>
              <w:t xml:space="preserve"> </w:t>
            </w:r>
            <w:r w:rsidRPr="00D4309F">
              <w:rPr>
                <w:color w:val="211E1F"/>
                <w:sz w:val="18"/>
              </w:rPr>
              <w:t>during</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pacing w:val="-2"/>
                <w:sz w:val="18"/>
              </w:rPr>
              <w:t>process</w:t>
            </w:r>
          </w:p>
        </w:tc>
        <w:tc>
          <w:tcPr>
            <w:tcW w:w="571" w:type="pct"/>
          </w:tcPr>
          <w:p w14:paraId="0BAF3515" w14:textId="6ACFF654" w:rsidR="00007528" w:rsidRPr="00D4309F" w:rsidRDefault="00007528" w:rsidP="00007528">
            <w:pPr>
              <w:pStyle w:val="TableParagraph"/>
              <w:spacing w:before="41"/>
              <w:ind w:left="485"/>
              <w:rPr>
                <w:sz w:val="18"/>
              </w:rPr>
            </w:pPr>
            <w:r w:rsidRPr="00D4309F">
              <w:rPr>
                <w:color w:val="211E1F"/>
                <w:spacing w:val="-10"/>
                <w:sz w:val="18"/>
              </w:rPr>
              <w:t>3</w:t>
            </w:r>
          </w:p>
        </w:tc>
      </w:tr>
      <w:tr w:rsidR="00007528" w:rsidRPr="00D4309F" w14:paraId="686298A6" w14:textId="77777777">
        <w:trPr>
          <w:trHeight w:val="286"/>
        </w:trPr>
        <w:tc>
          <w:tcPr>
            <w:tcW w:w="1002" w:type="pct"/>
            <w:vMerge/>
          </w:tcPr>
          <w:p w14:paraId="5D106017" w14:textId="77777777" w:rsidR="00007528" w:rsidRPr="00D4309F" w:rsidRDefault="00007528" w:rsidP="00007528">
            <w:pPr>
              <w:pStyle w:val="TableParagraph"/>
              <w:rPr>
                <w:rFonts w:ascii="Times New Roman"/>
                <w:sz w:val="18"/>
              </w:rPr>
            </w:pPr>
          </w:p>
        </w:tc>
        <w:tc>
          <w:tcPr>
            <w:tcW w:w="3427" w:type="pct"/>
          </w:tcPr>
          <w:p w14:paraId="58433410" w14:textId="77777777" w:rsidR="00007528" w:rsidRPr="00D4309F" w:rsidRDefault="00007528" w:rsidP="00007528">
            <w:pPr>
              <w:pStyle w:val="TableParagraph"/>
              <w:spacing w:before="39"/>
              <w:ind w:left="165"/>
              <w:rPr>
                <w:sz w:val="18"/>
              </w:rPr>
            </w:pPr>
            <w:r w:rsidRPr="00D4309F">
              <w:rPr>
                <w:color w:val="211E1F"/>
                <w:sz w:val="18"/>
              </w:rPr>
              <w:t>Future</w:t>
            </w:r>
            <w:r w:rsidRPr="00D4309F">
              <w:rPr>
                <w:color w:val="211E1F"/>
                <w:spacing w:val="-6"/>
                <w:sz w:val="18"/>
              </w:rPr>
              <w:t xml:space="preserve"> </w:t>
            </w:r>
            <w:r w:rsidRPr="00D4309F">
              <w:rPr>
                <w:color w:val="211E1F"/>
                <w:sz w:val="18"/>
              </w:rPr>
              <w:t>adaption:</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well</w:t>
            </w:r>
            <w:r w:rsidRPr="00D4309F">
              <w:rPr>
                <w:color w:val="211E1F"/>
                <w:spacing w:val="-2"/>
                <w:sz w:val="18"/>
              </w:rPr>
              <w:t xml:space="preserve"> </w:t>
            </w:r>
            <w:r w:rsidRPr="00D4309F">
              <w:rPr>
                <w:color w:val="211E1F"/>
                <w:sz w:val="18"/>
              </w:rPr>
              <w:t>the</w:t>
            </w:r>
            <w:r w:rsidRPr="00D4309F">
              <w:rPr>
                <w:color w:val="211E1F"/>
                <w:spacing w:val="-1"/>
                <w:sz w:val="18"/>
              </w:rPr>
              <w:t xml:space="preserve"> </w:t>
            </w:r>
            <w:r w:rsidRPr="00D4309F">
              <w:rPr>
                <w:color w:val="211E1F"/>
                <w:sz w:val="18"/>
              </w:rPr>
              <w:t>option</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adapted</w:t>
            </w:r>
            <w:r w:rsidRPr="00D4309F">
              <w:rPr>
                <w:color w:val="211E1F"/>
                <w:spacing w:val="-3"/>
                <w:sz w:val="18"/>
              </w:rPr>
              <w:t xml:space="preserve"> </w:t>
            </w:r>
            <w:r w:rsidRPr="00D4309F">
              <w:rPr>
                <w:color w:val="211E1F"/>
                <w:sz w:val="18"/>
              </w:rPr>
              <w:t>to</w:t>
            </w:r>
            <w:r w:rsidRPr="00D4309F">
              <w:rPr>
                <w:color w:val="211E1F"/>
                <w:spacing w:val="-3"/>
                <w:sz w:val="18"/>
              </w:rPr>
              <w:t xml:space="preserve"> </w:t>
            </w:r>
            <w:r w:rsidRPr="00D4309F">
              <w:rPr>
                <w:color w:val="211E1F"/>
                <w:sz w:val="18"/>
              </w:rPr>
              <w:t>future</w:t>
            </w:r>
            <w:r w:rsidRPr="00D4309F">
              <w:rPr>
                <w:color w:val="211E1F"/>
                <w:spacing w:val="-3"/>
                <w:sz w:val="18"/>
              </w:rPr>
              <w:t xml:space="preserve"> </w:t>
            </w:r>
            <w:r w:rsidRPr="00D4309F">
              <w:rPr>
                <w:color w:val="211E1F"/>
                <w:spacing w:val="-2"/>
                <w:sz w:val="18"/>
              </w:rPr>
              <w:t>conditions</w:t>
            </w:r>
          </w:p>
        </w:tc>
        <w:tc>
          <w:tcPr>
            <w:tcW w:w="571" w:type="pct"/>
          </w:tcPr>
          <w:p w14:paraId="25311E42" w14:textId="2D0046CD" w:rsidR="00007528" w:rsidRPr="00D4309F" w:rsidRDefault="00007528" w:rsidP="00007528">
            <w:pPr>
              <w:pStyle w:val="TableParagraph"/>
              <w:spacing w:before="39"/>
              <w:ind w:left="485"/>
              <w:rPr>
                <w:sz w:val="18"/>
              </w:rPr>
            </w:pPr>
            <w:r w:rsidRPr="00D4309F">
              <w:rPr>
                <w:color w:val="211E1F"/>
                <w:spacing w:val="-10"/>
                <w:sz w:val="18"/>
              </w:rPr>
              <w:t>4</w:t>
            </w:r>
          </w:p>
        </w:tc>
      </w:tr>
      <w:tr w:rsidR="00007528" w:rsidRPr="00D4309F" w14:paraId="27C7C959" w14:textId="77777777">
        <w:trPr>
          <w:trHeight w:val="287"/>
        </w:trPr>
        <w:tc>
          <w:tcPr>
            <w:tcW w:w="1002" w:type="pct"/>
            <w:vMerge/>
          </w:tcPr>
          <w:p w14:paraId="29870DDE" w14:textId="77777777" w:rsidR="00007528" w:rsidRPr="00D4309F" w:rsidRDefault="00007528" w:rsidP="00007528">
            <w:pPr>
              <w:pStyle w:val="TableParagraph"/>
              <w:rPr>
                <w:rFonts w:ascii="Times New Roman"/>
                <w:sz w:val="18"/>
              </w:rPr>
            </w:pPr>
          </w:p>
        </w:tc>
        <w:tc>
          <w:tcPr>
            <w:tcW w:w="3427" w:type="pct"/>
          </w:tcPr>
          <w:p w14:paraId="3D2BD743" w14:textId="77777777" w:rsidR="00007528" w:rsidRPr="00D4309F" w:rsidRDefault="00007528" w:rsidP="00007528">
            <w:pPr>
              <w:pStyle w:val="TableParagraph"/>
              <w:rPr>
                <w:rFonts w:ascii="Times New Roman"/>
                <w:sz w:val="18"/>
              </w:rPr>
            </w:pPr>
          </w:p>
        </w:tc>
        <w:tc>
          <w:tcPr>
            <w:tcW w:w="571" w:type="pct"/>
          </w:tcPr>
          <w:p w14:paraId="55EE0878" w14:textId="77777777" w:rsidR="00007528" w:rsidRPr="00D4309F" w:rsidRDefault="00007528" w:rsidP="00007528">
            <w:pPr>
              <w:pStyle w:val="TableParagraph"/>
              <w:rPr>
                <w:rFonts w:ascii="Times New Roman"/>
                <w:sz w:val="18"/>
              </w:rPr>
            </w:pPr>
          </w:p>
        </w:tc>
      </w:tr>
      <w:tr w:rsidR="00007528" w:rsidRPr="00D4309F" w14:paraId="62E362FD" w14:textId="77777777">
        <w:trPr>
          <w:trHeight w:val="286"/>
        </w:trPr>
        <w:tc>
          <w:tcPr>
            <w:tcW w:w="1002" w:type="pct"/>
            <w:vMerge/>
          </w:tcPr>
          <w:p w14:paraId="3684286F" w14:textId="77777777" w:rsidR="00007528" w:rsidRPr="00D4309F" w:rsidRDefault="00007528" w:rsidP="00007528">
            <w:pPr>
              <w:pStyle w:val="TableParagraph"/>
              <w:rPr>
                <w:rFonts w:ascii="Times New Roman"/>
                <w:sz w:val="18"/>
              </w:rPr>
            </w:pPr>
          </w:p>
        </w:tc>
        <w:tc>
          <w:tcPr>
            <w:tcW w:w="3427" w:type="pct"/>
          </w:tcPr>
          <w:p w14:paraId="071000A5" w14:textId="77777777" w:rsidR="00007528" w:rsidRPr="00D4309F" w:rsidRDefault="00007528" w:rsidP="00007528">
            <w:pPr>
              <w:pStyle w:val="TableParagraph"/>
              <w:spacing w:before="39"/>
              <w:ind w:left="165"/>
              <w:rPr>
                <w:b/>
                <w:sz w:val="18"/>
              </w:rPr>
            </w:pPr>
            <w:r w:rsidRPr="00D4309F">
              <w:rPr>
                <w:b/>
                <w:color w:val="211E1F"/>
                <w:sz w:val="18"/>
              </w:rPr>
              <w:t>Sub-</w:t>
            </w:r>
            <w:r w:rsidRPr="00D4309F">
              <w:rPr>
                <w:b/>
                <w:color w:val="211E1F"/>
                <w:spacing w:val="-2"/>
                <w:sz w:val="18"/>
              </w:rPr>
              <w:t>total</w:t>
            </w:r>
          </w:p>
        </w:tc>
        <w:tc>
          <w:tcPr>
            <w:tcW w:w="571" w:type="pct"/>
          </w:tcPr>
          <w:p w14:paraId="0BF57703" w14:textId="30EE97BB" w:rsidR="00007528" w:rsidRPr="00D4309F" w:rsidRDefault="00007528" w:rsidP="00007528">
            <w:pPr>
              <w:pStyle w:val="TableParagraph"/>
              <w:spacing w:before="39"/>
              <w:ind w:left="485"/>
              <w:rPr>
                <w:b/>
                <w:sz w:val="18"/>
              </w:rPr>
            </w:pPr>
            <w:r w:rsidRPr="00D4309F">
              <w:rPr>
                <w:b/>
                <w:color w:val="211E1F"/>
                <w:spacing w:val="-5"/>
                <w:sz w:val="18"/>
              </w:rPr>
              <w:t>17</w:t>
            </w:r>
          </w:p>
        </w:tc>
      </w:tr>
      <w:tr w:rsidR="00007528" w:rsidRPr="00D4309F" w14:paraId="68C84916" w14:textId="77777777">
        <w:trPr>
          <w:trHeight w:val="287"/>
        </w:trPr>
        <w:tc>
          <w:tcPr>
            <w:tcW w:w="1002" w:type="pct"/>
            <w:vMerge w:val="restart"/>
          </w:tcPr>
          <w:p w14:paraId="485966E4" w14:textId="77777777" w:rsidR="00007528" w:rsidRPr="00D4309F" w:rsidRDefault="00007528" w:rsidP="00007528">
            <w:pPr>
              <w:pStyle w:val="TableParagraph"/>
              <w:spacing w:before="41"/>
              <w:ind w:left="165"/>
              <w:rPr>
                <w:b/>
                <w:sz w:val="18"/>
              </w:rPr>
            </w:pPr>
            <w:r w:rsidRPr="00D4309F">
              <w:rPr>
                <w:b/>
                <w:color w:val="211E1F"/>
                <w:spacing w:val="-2"/>
                <w:sz w:val="18"/>
              </w:rPr>
              <w:t>Safety</w:t>
            </w:r>
          </w:p>
        </w:tc>
        <w:tc>
          <w:tcPr>
            <w:tcW w:w="3427" w:type="pct"/>
          </w:tcPr>
          <w:p w14:paraId="28CD10A5" w14:textId="77777777" w:rsidR="00007528" w:rsidRPr="00D4309F" w:rsidRDefault="00007528" w:rsidP="00007528">
            <w:pPr>
              <w:pStyle w:val="TableParagraph"/>
              <w:spacing w:before="41"/>
              <w:ind w:left="166"/>
              <w:rPr>
                <w:sz w:val="18"/>
              </w:rPr>
            </w:pPr>
            <w:r w:rsidRPr="00D4309F">
              <w:rPr>
                <w:color w:val="211E1F"/>
                <w:sz w:val="18"/>
              </w:rPr>
              <w:t>Reliability</w:t>
            </w:r>
            <w:r w:rsidRPr="00D4309F">
              <w:rPr>
                <w:color w:val="211E1F"/>
                <w:spacing w:val="-5"/>
                <w:sz w:val="18"/>
              </w:rPr>
              <w:t xml:space="preserve"> </w:t>
            </w:r>
            <w:r w:rsidRPr="00D4309F">
              <w:rPr>
                <w:color w:val="211E1F"/>
                <w:sz w:val="18"/>
              </w:rPr>
              <w:t>of</w:t>
            </w:r>
            <w:r w:rsidRPr="00D4309F">
              <w:rPr>
                <w:color w:val="211E1F"/>
                <w:spacing w:val="-4"/>
                <w:sz w:val="18"/>
              </w:rPr>
              <w:t xml:space="preserve"> </w:t>
            </w:r>
            <w:r w:rsidRPr="00D4309F">
              <w:rPr>
                <w:color w:val="211E1F"/>
                <w:sz w:val="18"/>
              </w:rPr>
              <w:t>all-tide</w:t>
            </w:r>
            <w:r w:rsidRPr="00D4309F">
              <w:rPr>
                <w:color w:val="211E1F"/>
                <w:spacing w:val="-4"/>
                <w:sz w:val="18"/>
              </w:rPr>
              <w:t xml:space="preserve"> </w:t>
            </w:r>
            <w:r w:rsidRPr="00D4309F">
              <w:rPr>
                <w:color w:val="211E1F"/>
                <w:spacing w:val="-2"/>
                <w:sz w:val="18"/>
              </w:rPr>
              <w:t>access</w:t>
            </w:r>
          </w:p>
        </w:tc>
        <w:tc>
          <w:tcPr>
            <w:tcW w:w="571" w:type="pct"/>
          </w:tcPr>
          <w:p w14:paraId="5E045F49" w14:textId="442C4CC2" w:rsidR="00007528" w:rsidRPr="00D4309F" w:rsidRDefault="00007528" w:rsidP="00007528">
            <w:pPr>
              <w:pStyle w:val="TableParagraph"/>
              <w:spacing w:before="41"/>
              <w:ind w:left="485"/>
              <w:rPr>
                <w:sz w:val="18"/>
              </w:rPr>
            </w:pPr>
            <w:r w:rsidRPr="00D4309F">
              <w:rPr>
                <w:color w:val="211E1F"/>
                <w:spacing w:val="-10"/>
                <w:sz w:val="18"/>
              </w:rPr>
              <w:t>4</w:t>
            </w:r>
          </w:p>
        </w:tc>
      </w:tr>
      <w:tr w:rsidR="00007528" w:rsidRPr="00D4309F" w14:paraId="42AB86D9" w14:textId="77777777">
        <w:trPr>
          <w:trHeight w:val="286"/>
        </w:trPr>
        <w:tc>
          <w:tcPr>
            <w:tcW w:w="1002" w:type="pct"/>
            <w:vMerge/>
          </w:tcPr>
          <w:p w14:paraId="66A8BB77" w14:textId="77777777" w:rsidR="00007528" w:rsidRPr="00D4309F" w:rsidRDefault="00007528" w:rsidP="00007528">
            <w:pPr>
              <w:pStyle w:val="TableParagraph"/>
              <w:rPr>
                <w:rFonts w:ascii="Times New Roman"/>
                <w:sz w:val="18"/>
              </w:rPr>
            </w:pPr>
          </w:p>
        </w:tc>
        <w:tc>
          <w:tcPr>
            <w:tcW w:w="3427" w:type="pct"/>
          </w:tcPr>
          <w:p w14:paraId="722CA256" w14:textId="77777777" w:rsidR="00007528" w:rsidRPr="00D4309F" w:rsidRDefault="00007528" w:rsidP="00007528">
            <w:pPr>
              <w:pStyle w:val="TableParagraph"/>
              <w:spacing w:before="39"/>
              <w:ind w:left="165"/>
              <w:rPr>
                <w:sz w:val="18"/>
              </w:rPr>
            </w:pPr>
            <w:r w:rsidRPr="00D4309F">
              <w:rPr>
                <w:color w:val="211E1F"/>
                <w:sz w:val="18"/>
              </w:rPr>
              <w:t>Clarity</w:t>
            </w:r>
            <w:r w:rsidRPr="00D4309F">
              <w:rPr>
                <w:color w:val="211E1F"/>
                <w:spacing w:val="-3"/>
                <w:sz w:val="18"/>
              </w:rPr>
              <w:t xml:space="preserve"> </w:t>
            </w:r>
            <w:r w:rsidRPr="00D4309F">
              <w:rPr>
                <w:color w:val="211E1F"/>
                <w:sz w:val="18"/>
              </w:rPr>
              <w:t>of</w:t>
            </w:r>
            <w:r w:rsidRPr="00D4309F">
              <w:rPr>
                <w:color w:val="211E1F"/>
                <w:spacing w:val="-2"/>
                <w:sz w:val="18"/>
              </w:rPr>
              <w:t xml:space="preserve"> navigation</w:t>
            </w:r>
          </w:p>
        </w:tc>
        <w:tc>
          <w:tcPr>
            <w:tcW w:w="571" w:type="pct"/>
          </w:tcPr>
          <w:p w14:paraId="355CC2D7" w14:textId="1F1775EE" w:rsidR="00007528" w:rsidRPr="00D4309F" w:rsidRDefault="00007528" w:rsidP="00007528">
            <w:pPr>
              <w:pStyle w:val="TableParagraph"/>
              <w:spacing w:before="39"/>
              <w:ind w:left="485"/>
              <w:rPr>
                <w:sz w:val="18"/>
              </w:rPr>
            </w:pPr>
            <w:r w:rsidRPr="00D4309F">
              <w:rPr>
                <w:color w:val="211E1F"/>
                <w:spacing w:val="-10"/>
                <w:sz w:val="18"/>
              </w:rPr>
              <w:t>4</w:t>
            </w:r>
          </w:p>
        </w:tc>
      </w:tr>
      <w:tr w:rsidR="00007528" w:rsidRPr="00D4309F" w14:paraId="7836B82C" w14:textId="77777777">
        <w:trPr>
          <w:trHeight w:val="287"/>
        </w:trPr>
        <w:tc>
          <w:tcPr>
            <w:tcW w:w="1002" w:type="pct"/>
            <w:vMerge/>
          </w:tcPr>
          <w:p w14:paraId="49611D61" w14:textId="77777777" w:rsidR="00007528" w:rsidRPr="00D4309F" w:rsidRDefault="00007528" w:rsidP="00007528">
            <w:pPr>
              <w:pStyle w:val="TableParagraph"/>
              <w:rPr>
                <w:rFonts w:ascii="Times New Roman"/>
                <w:sz w:val="18"/>
              </w:rPr>
            </w:pPr>
          </w:p>
        </w:tc>
        <w:tc>
          <w:tcPr>
            <w:tcW w:w="3427" w:type="pct"/>
          </w:tcPr>
          <w:p w14:paraId="2DB0F751" w14:textId="77777777" w:rsidR="00007528" w:rsidRPr="00D4309F" w:rsidRDefault="00007528" w:rsidP="00007528">
            <w:pPr>
              <w:pStyle w:val="TableParagraph"/>
              <w:spacing w:before="41"/>
              <w:ind w:left="165"/>
              <w:rPr>
                <w:sz w:val="18"/>
              </w:rPr>
            </w:pPr>
            <w:r w:rsidRPr="00D4309F">
              <w:rPr>
                <w:color w:val="211E1F"/>
                <w:sz w:val="18"/>
              </w:rPr>
              <w:t>Mariner</w:t>
            </w:r>
            <w:r w:rsidRPr="00D4309F">
              <w:rPr>
                <w:color w:val="211E1F"/>
                <w:spacing w:val="-6"/>
                <w:sz w:val="18"/>
              </w:rPr>
              <w:t xml:space="preserve"> </w:t>
            </w:r>
            <w:r w:rsidRPr="00D4309F">
              <w:rPr>
                <w:color w:val="211E1F"/>
                <w:spacing w:val="-2"/>
                <w:sz w:val="18"/>
              </w:rPr>
              <w:t>safety</w:t>
            </w:r>
          </w:p>
        </w:tc>
        <w:tc>
          <w:tcPr>
            <w:tcW w:w="571" w:type="pct"/>
          </w:tcPr>
          <w:p w14:paraId="790CB989" w14:textId="32E8C5FE" w:rsidR="00007528" w:rsidRPr="00D4309F" w:rsidRDefault="00007528" w:rsidP="00007528">
            <w:pPr>
              <w:pStyle w:val="TableParagraph"/>
              <w:spacing w:before="41"/>
              <w:ind w:left="485"/>
              <w:rPr>
                <w:sz w:val="18"/>
              </w:rPr>
            </w:pPr>
            <w:r w:rsidRPr="00D4309F">
              <w:rPr>
                <w:color w:val="211E1F"/>
                <w:spacing w:val="-10"/>
                <w:sz w:val="18"/>
              </w:rPr>
              <w:t>3</w:t>
            </w:r>
          </w:p>
        </w:tc>
      </w:tr>
      <w:tr w:rsidR="00007528" w:rsidRPr="00D4309F" w14:paraId="0809A79D" w14:textId="77777777">
        <w:trPr>
          <w:trHeight w:val="286"/>
        </w:trPr>
        <w:tc>
          <w:tcPr>
            <w:tcW w:w="1002" w:type="pct"/>
            <w:vMerge/>
          </w:tcPr>
          <w:p w14:paraId="6644767B" w14:textId="77777777" w:rsidR="00007528" w:rsidRPr="00D4309F" w:rsidRDefault="00007528" w:rsidP="00007528">
            <w:pPr>
              <w:pStyle w:val="TableParagraph"/>
              <w:rPr>
                <w:rFonts w:ascii="Times New Roman"/>
                <w:sz w:val="18"/>
              </w:rPr>
            </w:pPr>
          </w:p>
        </w:tc>
        <w:tc>
          <w:tcPr>
            <w:tcW w:w="3427" w:type="pct"/>
          </w:tcPr>
          <w:p w14:paraId="6B822852" w14:textId="77777777" w:rsidR="00007528" w:rsidRPr="00D4309F" w:rsidRDefault="00007528" w:rsidP="00007528">
            <w:pPr>
              <w:pStyle w:val="TableParagraph"/>
              <w:spacing w:before="39"/>
              <w:ind w:left="165"/>
              <w:rPr>
                <w:color w:val="211E1F"/>
                <w:spacing w:val="-2"/>
                <w:sz w:val="18"/>
              </w:rPr>
            </w:pPr>
          </w:p>
        </w:tc>
        <w:tc>
          <w:tcPr>
            <w:tcW w:w="571" w:type="pct"/>
          </w:tcPr>
          <w:p w14:paraId="7B51B13F" w14:textId="77777777" w:rsidR="00007528" w:rsidRPr="00D4309F" w:rsidRDefault="00007528" w:rsidP="00007528">
            <w:pPr>
              <w:pStyle w:val="TableParagraph"/>
              <w:spacing w:before="39"/>
              <w:ind w:left="484"/>
              <w:rPr>
                <w:color w:val="211E1F"/>
                <w:spacing w:val="-10"/>
                <w:sz w:val="18"/>
              </w:rPr>
            </w:pPr>
          </w:p>
        </w:tc>
      </w:tr>
      <w:tr w:rsidR="00007528" w:rsidRPr="00D4309F" w14:paraId="50F96DB8" w14:textId="77777777">
        <w:trPr>
          <w:trHeight w:val="286"/>
        </w:trPr>
        <w:tc>
          <w:tcPr>
            <w:tcW w:w="1002" w:type="pct"/>
            <w:vMerge/>
          </w:tcPr>
          <w:p w14:paraId="756FF0E6" w14:textId="77777777" w:rsidR="00007528" w:rsidRPr="00D4309F" w:rsidRDefault="00007528" w:rsidP="00007528">
            <w:pPr>
              <w:pStyle w:val="TableParagraph"/>
              <w:rPr>
                <w:rFonts w:ascii="Times New Roman"/>
                <w:sz w:val="18"/>
              </w:rPr>
            </w:pPr>
          </w:p>
        </w:tc>
        <w:tc>
          <w:tcPr>
            <w:tcW w:w="3427" w:type="pct"/>
          </w:tcPr>
          <w:p w14:paraId="6279909A" w14:textId="77777777" w:rsidR="00007528" w:rsidRPr="00230A0A" w:rsidRDefault="00007528" w:rsidP="00007528">
            <w:pPr>
              <w:pStyle w:val="TableParagraph"/>
              <w:spacing w:before="39"/>
              <w:ind w:left="165"/>
              <w:rPr>
                <w:b/>
                <w:bCs/>
                <w:sz w:val="18"/>
              </w:rPr>
            </w:pPr>
            <w:r w:rsidRPr="00230A0A">
              <w:rPr>
                <w:b/>
                <w:bCs/>
                <w:color w:val="211E1F"/>
                <w:spacing w:val="-2"/>
                <w:sz w:val="18"/>
              </w:rPr>
              <w:t>Sub-total</w:t>
            </w:r>
          </w:p>
        </w:tc>
        <w:tc>
          <w:tcPr>
            <w:tcW w:w="571" w:type="pct"/>
          </w:tcPr>
          <w:p w14:paraId="6CAD5742" w14:textId="58BF165C" w:rsidR="00007528" w:rsidRPr="00230A0A" w:rsidRDefault="00007528" w:rsidP="00007528">
            <w:pPr>
              <w:pStyle w:val="TableParagraph"/>
              <w:spacing w:before="39"/>
              <w:ind w:left="484"/>
              <w:rPr>
                <w:b/>
                <w:bCs/>
                <w:sz w:val="18"/>
              </w:rPr>
            </w:pPr>
            <w:r w:rsidRPr="00D4309F">
              <w:rPr>
                <w:b/>
                <w:color w:val="211E1F"/>
                <w:spacing w:val="-5"/>
                <w:sz w:val="18"/>
              </w:rPr>
              <w:t>11</w:t>
            </w:r>
          </w:p>
        </w:tc>
      </w:tr>
      <w:tr w:rsidR="00007528" w:rsidRPr="00D4309F" w14:paraId="692540AE" w14:textId="77777777">
        <w:trPr>
          <w:trHeight w:val="287"/>
        </w:trPr>
        <w:tc>
          <w:tcPr>
            <w:tcW w:w="1002" w:type="pct"/>
            <w:vMerge w:val="restart"/>
          </w:tcPr>
          <w:p w14:paraId="0BF317AB" w14:textId="77777777" w:rsidR="00007528" w:rsidRPr="00D4309F" w:rsidRDefault="00007528" w:rsidP="00007528">
            <w:pPr>
              <w:pStyle w:val="TableParagraph"/>
              <w:spacing w:before="41"/>
              <w:ind w:left="165"/>
              <w:rPr>
                <w:b/>
                <w:sz w:val="18"/>
              </w:rPr>
            </w:pPr>
            <w:r w:rsidRPr="00D4309F">
              <w:rPr>
                <w:b/>
                <w:color w:val="211E1F"/>
                <w:sz w:val="18"/>
              </w:rPr>
              <w:t>Social</w:t>
            </w:r>
            <w:r w:rsidRPr="00D4309F">
              <w:rPr>
                <w:b/>
                <w:color w:val="211E1F"/>
                <w:spacing w:val="-2"/>
                <w:sz w:val="18"/>
              </w:rPr>
              <w:t xml:space="preserve"> </w:t>
            </w:r>
            <w:r w:rsidRPr="00D4309F">
              <w:rPr>
                <w:b/>
                <w:color w:val="211E1F"/>
                <w:sz w:val="18"/>
              </w:rPr>
              <w:t>and</w:t>
            </w:r>
            <w:r w:rsidRPr="00D4309F">
              <w:rPr>
                <w:b/>
                <w:color w:val="211E1F"/>
                <w:spacing w:val="-2"/>
                <w:sz w:val="18"/>
              </w:rPr>
              <w:t xml:space="preserve"> economic</w:t>
            </w:r>
          </w:p>
        </w:tc>
        <w:tc>
          <w:tcPr>
            <w:tcW w:w="3427" w:type="pct"/>
          </w:tcPr>
          <w:p w14:paraId="07DFBD36" w14:textId="77777777" w:rsidR="00007528" w:rsidRPr="00D4309F" w:rsidRDefault="00007528" w:rsidP="00007528">
            <w:pPr>
              <w:pStyle w:val="TableParagraph"/>
              <w:spacing w:before="41"/>
              <w:ind w:left="166"/>
              <w:rPr>
                <w:sz w:val="18"/>
              </w:rPr>
            </w:pPr>
            <w:r w:rsidRPr="00D4309F">
              <w:rPr>
                <w:color w:val="211E1F"/>
                <w:sz w:val="18"/>
              </w:rPr>
              <w:t>Consistency</w:t>
            </w:r>
            <w:r w:rsidRPr="00D4309F">
              <w:rPr>
                <w:color w:val="211E1F"/>
                <w:spacing w:val="-5"/>
                <w:sz w:val="18"/>
              </w:rPr>
              <w:t xml:space="preserve"> </w:t>
            </w:r>
            <w:r w:rsidRPr="00D4309F">
              <w:rPr>
                <w:color w:val="211E1F"/>
                <w:sz w:val="18"/>
              </w:rPr>
              <w:t>with</w:t>
            </w:r>
            <w:r w:rsidRPr="00D4309F">
              <w:rPr>
                <w:color w:val="211E1F"/>
                <w:spacing w:val="-3"/>
                <w:sz w:val="18"/>
              </w:rPr>
              <w:t xml:space="preserve"> </w:t>
            </w:r>
            <w:r w:rsidRPr="00D4309F">
              <w:rPr>
                <w:color w:val="211E1F"/>
                <w:sz w:val="18"/>
              </w:rPr>
              <w:t>SRG</w:t>
            </w:r>
            <w:r w:rsidRPr="00D4309F">
              <w:rPr>
                <w:color w:val="211E1F"/>
                <w:spacing w:val="-3"/>
                <w:sz w:val="18"/>
              </w:rPr>
              <w:t xml:space="preserve"> </w:t>
            </w:r>
            <w:r w:rsidRPr="00D4309F">
              <w:rPr>
                <w:color w:val="211E1F"/>
                <w:sz w:val="18"/>
              </w:rPr>
              <w:t>preference</w:t>
            </w:r>
            <w:r w:rsidRPr="00D4309F">
              <w:rPr>
                <w:color w:val="211E1F"/>
                <w:spacing w:val="-3"/>
                <w:sz w:val="18"/>
              </w:rPr>
              <w:t xml:space="preserve"> </w:t>
            </w:r>
            <w:r w:rsidRPr="00D4309F">
              <w:rPr>
                <w:color w:val="211E1F"/>
                <w:sz w:val="18"/>
              </w:rPr>
              <w:t>for</w:t>
            </w:r>
            <w:r w:rsidRPr="00D4309F">
              <w:rPr>
                <w:color w:val="211E1F"/>
                <w:spacing w:val="-3"/>
                <w:sz w:val="18"/>
              </w:rPr>
              <w:t xml:space="preserve"> </w:t>
            </w:r>
            <w:r w:rsidRPr="00D4309F">
              <w:rPr>
                <w:color w:val="211E1F"/>
                <w:sz w:val="18"/>
              </w:rPr>
              <w:t>lower</w:t>
            </w:r>
            <w:r w:rsidRPr="00D4309F">
              <w:rPr>
                <w:color w:val="211E1F"/>
                <w:spacing w:val="-2"/>
                <w:sz w:val="18"/>
              </w:rPr>
              <w:t xml:space="preserve"> </w:t>
            </w:r>
            <w:r w:rsidRPr="00D4309F">
              <w:rPr>
                <w:color w:val="211E1F"/>
                <w:sz w:val="18"/>
              </w:rPr>
              <w:t>impact,</w:t>
            </w:r>
            <w:r w:rsidRPr="00D4309F">
              <w:rPr>
                <w:color w:val="211E1F"/>
                <w:spacing w:val="-3"/>
                <w:sz w:val="18"/>
              </w:rPr>
              <w:t xml:space="preserve"> </w:t>
            </w:r>
            <w:r w:rsidRPr="00D4309F">
              <w:rPr>
                <w:color w:val="211E1F"/>
                <w:sz w:val="18"/>
              </w:rPr>
              <w:t>“softer”</w:t>
            </w:r>
            <w:r w:rsidRPr="00D4309F">
              <w:rPr>
                <w:color w:val="211E1F"/>
                <w:spacing w:val="-3"/>
                <w:sz w:val="18"/>
              </w:rPr>
              <w:t xml:space="preserve"> </w:t>
            </w:r>
            <w:r w:rsidRPr="00D4309F">
              <w:rPr>
                <w:color w:val="211E1F"/>
                <w:sz w:val="18"/>
              </w:rPr>
              <w:t>measures</w:t>
            </w:r>
            <w:r w:rsidRPr="00D4309F">
              <w:rPr>
                <w:color w:val="211E1F"/>
                <w:spacing w:val="-2"/>
                <w:sz w:val="18"/>
              </w:rPr>
              <w:t xml:space="preserve"> </w:t>
            </w:r>
            <w:r w:rsidRPr="00D4309F">
              <w:rPr>
                <w:color w:val="211E1F"/>
                <w:sz w:val="18"/>
              </w:rPr>
              <w:t>where</w:t>
            </w:r>
            <w:r w:rsidRPr="00D4309F">
              <w:rPr>
                <w:color w:val="211E1F"/>
                <w:spacing w:val="-3"/>
                <w:sz w:val="18"/>
              </w:rPr>
              <w:t xml:space="preserve"> </w:t>
            </w:r>
            <w:r w:rsidRPr="00D4309F">
              <w:rPr>
                <w:color w:val="211E1F"/>
                <w:spacing w:val="-2"/>
                <w:sz w:val="18"/>
              </w:rPr>
              <w:t>practicable.</w:t>
            </w:r>
          </w:p>
        </w:tc>
        <w:tc>
          <w:tcPr>
            <w:tcW w:w="571" w:type="pct"/>
          </w:tcPr>
          <w:p w14:paraId="2D6A7C09" w14:textId="16D42FA1" w:rsidR="00007528" w:rsidRPr="00D4309F" w:rsidRDefault="00007528" w:rsidP="00007528">
            <w:pPr>
              <w:pStyle w:val="TableParagraph"/>
              <w:spacing w:before="41"/>
              <w:ind w:left="485"/>
              <w:rPr>
                <w:sz w:val="18"/>
              </w:rPr>
            </w:pPr>
            <w:r w:rsidRPr="00D4309F">
              <w:rPr>
                <w:color w:val="211E1F"/>
                <w:spacing w:val="-10"/>
                <w:sz w:val="18"/>
              </w:rPr>
              <w:t>5</w:t>
            </w:r>
          </w:p>
        </w:tc>
      </w:tr>
      <w:tr w:rsidR="00007528" w:rsidRPr="00D4309F" w14:paraId="10D2C34F" w14:textId="77777777">
        <w:trPr>
          <w:trHeight w:val="286"/>
        </w:trPr>
        <w:tc>
          <w:tcPr>
            <w:tcW w:w="1002" w:type="pct"/>
            <w:vMerge/>
          </w:tcPr>
          <w:p w14:paraId="552F4420" w14:textId="77777777" w:rsidR="00007528" w:rsidRPr="00D4309F" w:rsidRDefault="00007528" w:rsidP="00007528">
            <w:pPr>
              <w:pStyle w:val="TableParagraph"/>
              <w:rPr>
                <w:rFonts w:ascii="Times New Roman"/>
                <w:sz w:val="18"/>
              </w:rPr>
            </w:pPr>
          </w:p>
        </w:tc>
        <w:tc>
          <w:tcPr>
            <w:tcW w:w="3427" w:type="pct"/>
          </w:tcPr>
          <w:p w14:paraId="11557591" w14:textId="77777777" w:rsidR="00007528" w:rsidRPr="00D4309F" w:rsidRDefault="00007528" w:rsidP="00007528">
            <w:pPr>
              <w:pStyle w:val="TableParagraph"/>
              <w:spacing w:before="39"/>
              <w:ind w:left="165"/>
              <w:rPr>
                <w:sz w:val="18"/>
              </w:rPr>
            </w:pPr>
            <w:r w:rsidRPr="00D4309F">
              <w:rPr>
                <w:color w:val="211E1F"/>
                <w:sz w:val="18"/>
              </w:rPr>
              <w:t>Traditional</w:t>
            </w:r>
            <w:r w:rsidRPr="00D4309F">
              <w:rPr>
                <w:color w:val="211E1F"/>
                <w:spacing w:val="-3"/>
                <w:sz w:val="18"/>
              </w:rPr>
              <w:t xml:space="preserve"> </w:t>
            </w:r>
            <w:r w:rsidRPr="00D4309F">
              <w:rPr>
                <w:color w:val="211E1F"/>
                <w:sz w:val="18"/>
              </w:rPr>
              <w:t>Owners</w:t>
            </w:r>
            <w:r w:rsidRPr="00D4309F">
              <w:rPr>
                <w:color w:val="211E1F"/>
                <w:spacing w:val="-3"/>
                <w:sz w:val="18"/>
              </w:rPr>
              <w:t xml:space="preserve"> </w:t>
            </w:r>
            <w:r w:rsidRPr="00D4309F">
              <w:rPr>
                <w:color w:val="211E1F"/>
                <w:sz w:val="18"/>
              </w:rPr>
              <w:t>do</w:t>
            </w:r>
            <w:r w:rsidRPr="00D4309F">
              <w:rPr>
                <w:color w:val="211E1F"/>
                <w:spacing w:val="-3"/>
                <w:sz w:val="18"/>
              </w:rPr>
              <w:t xml:space="preserve"> </w:t>
            </w:r>
            <w:r w:rsidRPr="00D4309F">
              <w:rPr>
                <w:color w:val="211E1F"/>
                <w:sz w:val="18"/>
              </w:rPr>
              <w:t>not</w:t>
            </w:r>
            <w:r w:rsidRPr="00D4309F">
              <w:rPr>
                <w:color w:val="211E1F"/>
                <w:spacing w:val="-3"/>
                <w:sz w:val="18"/>
              </w:rPr>
              <w:t xml:space="preserve"> </w:t>
            </w:r>
            <w:r w:rsidRPr="00D4309F">
              <w:rPr>
                <w:color w:val="211E1F"/>
                <w:sz w:val="18"/>
              </w:rPr>
              <w:t>experience</w:t>
            </w:r>
            <w:r w:rsidRPr="00D4309F">
              <w:rPr>
                <w:color w:val="211E1F"/>
                <w:spacing w:val="-3"/>
                <w:sz w:val="18"/>
              </w:rPr>
              <w:t xml:space="preserve"> </w:t>
            </w:r>
            <w:r w:rsidRPr="00D4309F">
              <w:rPr>
                <w:color w:val="211E1F"/>
                <w:sz w:val="18"/>
              </w:rPr>
              <w:t>disturbance</w:t>
            </w:r>
            <w:r w:rsidRPr="00D4309F">
              <w:rPr>
                <w:color w:val="211E1F"/>
                <w:spacing w:val="-3"/>
                <w:sz w:val="18"/>
              </w:rPr>
              <w:t xml:space="preserve"> </w:t>
            </w:r>
            <w:r w:rsidRPr="00D4309F">
              <w:rPr>
                <w:color w:val="211E1F"/>
                <w:sz w:val="18"/>
              </w:rPr>
              <w:t>to</w:t>
            </w:r>
            <w:r w:rsidRPr="00D4309F">
              <w:rPr>
                <w:color w:val="211E1F"/>
                <w:spacing w:val="-4"/>
                <w:sz w:val="18"/>
              </w:rPr>
              <w:t xml:space="preserve"> </w:t>
            </w:r>
            <w:r w:rsidRPr="00D4309F">
              <w:rPr>
                <w:color w:val="211E1F"/>
                <w:sz w:val="18"/>
              </w:rPr>
              <w:t>cultural</w:t>
            </w:r>
            <w:r w:rsidRPr="00D4309F">
              <w:rPr>
                <w:color w:val="211E1F"/>
                <w:spacing w:val="-2"/>
                <w:sz w:val="18"/>
              </w:rPr>
              <w:t xml:space="preserve"> values</w:t>
            </w:r>
          </w:p>
        </w:tc>
        <w:tc>
          <w:tcPr>
            <w:tcW w:w="571" w:type="pct"/>
          </w:tcPr>
          <w:p w14:paraId="168BEB68" w14:textId="16B6FACC" w:rsidR="00007528" w:rsidRPr="00D4309F" w:rsidRDefault="00007528" w:rsidP="00007528">
            <w:pPr>
              <w:pStyle w:val="TableParagraph"/>
              <w:spacing w:before="39"/>
              <w:ind w:left="485"/>
              <w:rPr>
                <w:sz w:val="18"/>
              </w:rPr>
            </w:pPr>
            <w:r w:rsidRPr="00D4309F">
              <w:rPr>
                <w:color w:val="211E1F"/>
                <w:spacing w:val="-10"/>
                <w:sz w:val="18"/>
              </w:rPr>
              <w:t>3</w:t>
            </w:r>
          </w:p>
        </w:tc>
      </w:tr>
      <w:tr w:rsidR="00007528" w:rsidRPr="00D4309F" w14:paraId="5011FA40" w14:textId="77777777">
        <w:trPr>
          <w:trHeight w:val="287"/>
        </w:trPr>
        <w:tc>
          <w:tcPr>
            <w:tcW w:w="1002" w:type="pct"/>
            <w:vMerge/>
          </w:tcPr>
          <w:p w14:paraId="009B6EF7" w14:textId="77777777" w:rsidR="00007528" w:rsidRPr="00D4309F" w:rsidRDefault="00007528" w:rsidP="00007528">
            <w:pPr>
              <w:pStyle w:val="TableParagraph"/>
              <w:rPr>
                <w:rFonts w:ascii="Times New Roman"/>
                <w:sz w:val="18"/>
              </w:rPr>
            </w:pPr>
          </w:p>
        </w:tc>
        <w:tc>
          <w:tcPr>
            <w:tcW w:w="3427" w:type="pct"/>
          </w:tcPr>
          <w:p w14:paraId="65FCB539" w14:textId="77777777" w:rsidR="00007528" w:rsidRPr="00D4309F" w:rsidRDefault="00007528" w:rsidP="00007528">
            <w:pPr>
              <w:pStyle w:val="TableParagraph"/>
              <w:spacing w:before="41"/>
              <w:ind w:left="165"/>
              <w:rPr>
                <w:sz w:val="18"/>
              </w:rPr>
            </w:pPr>
            <w:r w:rsidRPr="00D4309F">
              <w:rPr>
                <w:color w:val="211E1F"/>
                <w:sz w:val="18"/>
              </w:rPr>
              <w:t>Visual</w:t>
            </w:r>
            <w:r w:rsidRPr="00D4309F">
              <w:rPr>
                <w:color w:val="211E1F"/>
                <w:spacing w:val="-5"/>
                <w:sz w:val="18"/>
              </w:rPr>
              <w:t xml:space="preserve"> </w:t>
            </w:r>
            <w:r w:rsidRPr="00D4309F">
              <w:rPr>
                <w:color w:val="211E1F"/>
                <w:spacing w:val="-2"/>
                <w:sz w:val="18"/>
              </w:rPr>
              <w:t>amenity</w:t>
            </w:r>
          </w:p>
        </w:tc>
        <w:tc>
          <w:tcPr>
            <w:tcW w:w="571" w:type="pct"/>
          </w:tcPr>
          <w:p w14:paraId="2AC12E17" w14:textId="59D11617" w:rsidR="00007528" w:rsidRPr="00D4309F" w:rsidRDefault="00007528" w:rsidP="00007528">
            <w:pPr>
              <w:pStyle w:val="TableParagraph"/>
              <w:spacing w:before="41"/>
              <w:ind w:left="485"/>
              <w:rPr>
                <w:sz w:val="18"/>
              </w:rPr>
            </w:pPr>
            <w:r w:rsidRPr="00D4309F">
              <w:rPr>
                <w:color w:val="211E1F"/>
                <w:spacing w:val="-10"/>
                <w:sz w:val="18"/>
              </w:rPr>
              <w:t>4</w:t>
            </w:r>
          </w:p>
        </w:tc>
      </w:tr>
      <w:tr w:rsidR="00007528" w:rsidRPr="00D4309F" w14:paraId="0E910A8F" w14:textId="77777777">
        <w:trPr>
          <w:trHeight w:val="286"/>
        </w:trPr>
        <w:tc>
          <w:tcPr>
            <w:tcW w:w="1002" w:type="pct"/>
            <w:vMerge/>
          </w:tcPr>
          <w:p w14:paraId="5CBA578B" w14:textId="77777777" w:rsidR="00007528" w:rsidRPr="00D4309F" w:rsidRDefault="00007528" w:rsidP="00007528">
            <w:pPr>
              <w:pStyle w:val="TableParagraph"/>
              <w:rPr>
                <w:rFonts w:ascii="Times New Roman"/>
                <w:sz w:val="18"/>
              </w:rPr>
            </w:pPr>
          </w:p>
        </w:tc>
        <w:tc>
          <w:tcPr>
            <w:tcW w:w="3427" w:type="pct"/>
          </w:tcPr>
          <w:p w14:paraId="73BD57B8" w14:textId="77777777" w:rsidR="00007528" w:rsidRPr="00D4309F" w:rsidRDefault="00007528" w:rsidP="00007528">
            <w:pPr>
              <w:pStyle w:val="TableParagraph"/>
              <w:spacing w:before="39"/>
              <w:ind w:left="165"/>
              <w:rPr>
                <w:sz w:val="18"/>
              </w:rPr>
            </w:pPr>
            <w:r w:rsidRPr="00D4309F">
              <w:rPr>
                <w:color w:val="211E1F"/>
                <w:sz w:val="18"/>
              </w:rPr>
              <w:t>Community</w:t>
            </w:r>
            <w:r w:rsidRPr="00D4309F">
              <w:rPr>
                <w:color w:val="211E1F"/>
                <w:spacing w:val="-3"/>
                <w:sz w:val="18"/>
              </w:rPr>
              <w:t xml:space="preserve"> </w:t>
            </w:r>
            <w:r w:rsidRPr="00D4309F">
              <w:rPr>
                <w:color w:val="211E1F"/>
                <w:sz w:val="18"/>
              </w:rPr>
              <w:t>amenity</w:t>
            </w:r>
            <w:r w:rsidRPr="00D4309F">
              <w:rPr>
                <w:color w:val="211E1F"/>
                <w:spacing w:val="-2"/>
                <w:sz w:val="18"/>
              </w:rPr>
              <w:t xml:space="preserve"> </w:t>
            </w:r>
            <w:r w:rsidRPr="00D4309F">
              <w:rPr>
                <w:color w:val="211E1F"/>
                <w:sz w:val="18"/>
              </w:rPr>
              <w:t>(inc.</w:t>
            </w:r>
            <w:r w:rsidRPr="00D4309F">
              <w:rPr>
                <w:color w:val="211E1F"/>
                <w:spacing w:val="-2"/>
                <w:sz w:val="18"/>
              </w:rPr>
              <w:t xml:space="preserve"> </w:t>
            </w:r>
            <w:r w:rsidRPr="00D4309F">
              <w:rPr>
                <w:color w:val="211E1F"/>
                <w:sz w:val="18"/>
              </w:rPr>
              <w:t>noise</w:t>
            </w:r>
            <w:r w:rsidRPr="00D4309F">
              <w:rPr>
                <w:color w:val="211E1F"/>
                <w:spacing w:val="-3"/>
                <w:sz w:val="18"/>
              </w:rPr>
              <w:t xml:space="preserve"> </w:t>
            </w:r>
            <w:r w:rsidRPr="00D4309F">
              <w:rPr>
                <w:color w:val="211E1F"/>
                <w:sz w:val="18"/>
              </w:rPr>
              <w:t>from</w:t>
            </w:r>
            <w:r w:rsidRPr="00D4309F">
              <w:rPr>
                <w:color w:val="211E1F"/>
                <w:spacing w:val="-2"/>
                <w:sz w:val="18"/>
              </w:rPr>
              <w:t xml:space="preserve"> pumps)</w:t>
            </w:r>
          </w:p>
        </w:tc>
        <w:tc>
          <w:tcPr>
            <w:tcW w:w="571" w:type="pct"/>
          </w:tcPr>
          <w:p w14:paraId="41DB2115" w14:textId="2C563C4C" w:rsidR="00007528" w:rsidRPr="00D4309F" w:rsidRDefault="00007528" w:rsidP="00007528">
            <w:pPr>
              <w:pStyle w:val="TableParagraph"/>
              <w:spacing w:before="39"/>
              <w:ind w:left="484"/>
              <w:rPr>
                <w:sz w:val="18"/>
              </w:rPr>
            </w:pPr>
            <w:r w:rsidRPr="00D4309F">
              <w:rPr>
                <w:color w:val="211E1F"/>
                <w:spacing w:val="-10"/>
                <w:sz w:val="18"/>
              </w:rPr>
              <w:t>3</w:t>
            </w:r>
          </w:p>
        </w:tc>
      </w:tr>
      <w:tr w:rsidR="00007528" w:rsidRPr="00D4309F" w14:paraId="4367BDE9" w14:textId="77777777">
        <w:trPr>
          <w:trHeight w:val="247"/>
        </w:trPr>
        <w:tc>
          <w:tcPr>
            <w:tcW w:w="1002" w:type="pct"/>
            <w:vMerge/>
          </w:tcPr>
          <w:p w14:paraId="6D4EC0F3" w14:textId="77777777" w:rsidR="00007528" w:rsidRPr="00D4309F" w:rsidRDefault="00007528" w:rsidP="00007528">
            <w:pPr>
              <w:pStyle w:val="TableParagraph"/>
              <w:rPr>
                <w:rFonts w:ascii="Times New Roman"/>
                <w:sz w:val="18"/>
              </w:rPr>
            </w:pPr>
          </w:p>
        </w:tc>
        <w:tc>
          <w:tcPr>
            <w:tcW w:w="3427" w:type="pct"/>
          </w:tcPr>
          <w:p w14:paraId="014D228B" w14:textId="77777777" w:rsidR="00007528" w:rsidRPr="00D4309F" w:rsidRDefault="00007528" w:rsidP="00007528">
            <w:pPr>
              <w:pStyle w:val="TableParagraph"/>
              <w:spacing w:before="41" w:line="187" w:lineRule="exact"/>
              <w:ind w:left="165"/>
              <w:rPr>
                <w:sz w:val="18"/>
              </w:rPr>
            </w:pPr>
            <w:r w:rsidRPr="00D4309F">
              <w:rPr>
                <w:color w:val="211E1F"/>
                <w:sz w:val="18"/>
              </w:rPr>
              <w:t>Beach</w:t>
            </w:r>
            <w:r w:rsidRPr="00D4309F">
              <w:rPr>
                <w:color w:val="211E1F"/>
                <w:spacing w:val="-5"/>
                <w:sz w:val="18"/>
              </w:rPr>
              <w:t xml:space="preserve"> </w:t>
            </w:r>
            <w:r w:rsidRPr="00D4309F">
              <w:rPr>
                <w:color w:val="211E1F"/>
                <w:sz w:val="18"/>
              </w:rPr>
              <w:t>users</w:t>
            </w:r>
            <w:r w:rsidRPr="00D4309F">
              <w:rPr>
                <w:color w:val="211E1F"/>
                <w:spacing w:val="-2"/>
                <w:sz w:val="18"/>
              </w:rPr>
              <w:t xml:space="preserve"> experience</w:t>
            </w:r>
          </w:p>
        </w:tc>
        <w:tc>
          <w:tcPr>
            <w:tcW w:w="571" w:type="pct"/>
          </w:tcPr>
          <w:p w14:paraId="0732D025" w14:textId="165AEA72" w:rsidR="00007528" w:rsidRPr="00D4309F" w:rsidRDefault="00007528" w:rsidP="00007528">
            <w:pPr>
              <w:pStyle w:val="TableParagraph"/>
              <w:spacing w:before="41" w:line="187" w:lineRule="exact"/>
              <w:ind w:left="485"/>
              <w:rPr>
                <w:sz w:val="18"/>
              </w:rPr>
            </w:pPr>
            <w:r w:rsidRPr="00D4309F">
              <w:rPr>
                <w:color w:val="211E1F"/>
                <w:spacing w:val="-10"/>
                <w:sz w:val="18"/>
              </w:rPr>
              <w:t>4</w:t>
            </w:r>
          </w:p>
        </w:tc>
      </w:tr>
      <w:tr w:rsidR="00007528" w:rsidRPr="00D4309F" w14:paraId="5800DC9A" w14:textId="77777777">
        <w:trPr>
          <w:trHeight w:val="247"/>
        </w:trPr>
        <w:tc>
          <w:tcPr>
            <w:tcW w:w="1002" w:type="pct"/>
            <w:vMerge/>
          </w:tcPr>
          <w:p w14:paraId="7DED67E6" w14:textId="77777777" w:rsidR="00007528" w:rsidRPr="00D4309F" w:rsidRDefault="00007528" w:rsidP="00007528">
            <w:pPr>
              <w:pStyle w:val="TableParagraph"/>
              <w:rPr>
                <w:rFonts w:ascii="Times New Roman"/>
                <w:sz w:val="18"/>
              </w:rPr>
            </w:pPr>
          </w:p>
        </w:tc>
        <w:tc>
          <w:tcPr>
            <w:tcW w:w="3427" w:type="pct"/>
          </w:tcPr>
          <w:p w14:paraId="17B7D965" w14:textId="77777777" w:rsidR="00007528" w:rsidRPr="00D4309F" w:rsidRDefault="00007528" w:rsidP="00007528">
            <w:pPr>
              <w:pStyle w:val="TableParagraph"/>
              <w:spacing w:before="41" w:line="187" w:lineRule="exact"/>
              <w:ind w:left="165"/>
              <w:rPr>
                <w:color w:val="211E1F"/>
                <w:sz w:val="18"/>
              </w:rPr>
            </w:pPr>
            <w:r w:rsidRPr="00D4309F">
              <w:rPr>
                <w:color w:val="211E1F"/>
                <w:sz w:val="18"/>
              </w:rPr>
              <w:t>Safe</w:t>
            </w:r>
            <w:r w:rsidRPr="00D4309F">
              <w:rPr>
                <w:color w:val="211E1F"/>
                <w:spacing w:val="-4"/>
                <w:sz w:val="18"/>
              </w:rPr>
              <w:t xml:space="preserve"> </w:t>
            </w:r>
            <w:r w:rsidRPr="00D4309F">
              <w:rPr>
                <w:color w:val="211E1F"/>
                <w:sz w:val="18"/>
              </w:rPr>
              <w:t>access</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business</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recreational</w:t>
            </w:r>
            <w:r w:rsidRPr="00D4309F">
              <w:rPr>
                <w:color w:val="211E1F"/>
                <w:spacing w:val="-2"/>
                <w:sz w:val="18"/>
              </w:rPr>
              <w:t xml:space="preserve"> </w:t>
            </w:r>
            <w:r w:rsidRPr="00D4309F">
              <w:rPr>
                <w:color w:val="211E1F"/>
                <w:spacing w:val="-4"/>
                <w:sz w:val="18"/>
              </w:rPr>
              <w:t>users</w:t>
            </w:r>
          </w:p>
        </w:tc>
        <w:tc>
          <w:tcPr>
            <w:tcW w:w="571" w:type="pct"/>
          </w:tcPr>
          <w:p w14:paraId="031BAE78" w14:textId="2632B7B4" w:rsidR="00007528" w:rsidRPr="00D4309F" w:rsidRDefault="00007528" w:rsidP="00007528">
            <w:pPr>
              <w:pStyle w:val="TableParagraph"/>
              <w:spacing w:before="41" w:line="187" w:lineRule="exact"/>
              <w:ind w:left="485"/>
              <w:rPr>
                <w:color w:val="211E1F"/>
                <w:spacing w:val="-10"/>
                <w:sz w:val="18"/>
              </w:rPr>
            </w:pPr>
            <w:r w:rsidRPr="00D4309F">
              <w:rPr>
                <w:color w:val="211E1F"/>
                <w:spacing w:val="-10"/>
                <w:sz w:val="18"/>
              </w:rPr>
              <w:t>3</w:t>
            </w:r>
          </w:p>
        </w:tc>
      </w:tr>
      <w:tr w:rsidR="00007528" w:rsidRPr="00D4309F" w14:paraId="01EB7C22" w14:textId="77777777">
        <w:trPr>
          <w:trHeight w:val="247"/>
        </w:trPr>
        <w:tc>
          <w:tcPr>
            <w:tcW w:w="1002" w:type="pct"/>
            <w:vMerge/>
          </w:tcPr>
          <w:p w14:paraId="341BE3D4" w14:textId="77777777" w:rsidR="00007528" w:rsidRPr="00D4309F" w:rsidRDefault="00007528" w:rsidP="00007528">
            <w:pPr>
              <w:pStyle w:val="TableParagraph"/>
              <w:rPr>
                <w:rFonts w:ascii="Times New Roman"/>
                <w:sz w:val="18"/>
              </w:rPr>
            </w:pPr>
          </w:p>
        </w:tc>
        <w:tc>
          <w:tcPr>
            <w:tcW w:w="3427" w:type="pct"/>
          </w:tcPr>
          <w:p w14:paraId="2D000B5E" w14:textId="77777777" w:rsidR="00007528" w:rsidRPr="00D4309F" w:rsidRDefault="00007528" w:rsidP="00007528">
            <w:pPr>
              <w:pStyle w:val="TableParagraph"/>
              <w:spacing w:before="41" w:line="187" w:lineRule="exact"/>
              <w:ind w:left="165"/>
              <w:rPr>
                <w:color w:val="211E1F"/>
                <w:sz w:val="18"/>
              </w:rPr>
            </w:pPr>
            <w:r w:rsidRPr="00D4309F">
              <w:rPr>
                <w:color w:val="211E1F"/>
                <w:sz w:val="18"/>
              </w:rPr>
              <w:t>Reliable</w:t>
            </w:r>
            <w:r w:rsidRPr="00D4309F">
              <w:rPr>
                <w:color w:val="211E1F"/>
                <w:spacing w:val="-4"/>
                <w:sz w:val="18"/>
              </w:rPr>
              <w:t xml:space="preserve"> </w:t>
            </w:r>
            <w:r w:rsidRPr="00D4309F">
              <w:rPr>
                <w:color w:val="211E1F"/>
                <w:sz w:val="18"/>
              </w:rPr>
              <w:t>access</w:t>
            </w:r>
            <w:r w:rsidRPr="00D4309F">
              <w:rPr>
                <w:color w:val="211E1F"/>
                <w:spacing w:val="-3"/>
                <w:sz w:val="18"/>
              </w:rPr>
              <w:t xml:space="preserve"> </w:t>
            </w:r>
            <w:r w:rsidRPr="00D4309F">
              <w:rPr>
                <w:color w:val="211E1F"/>
                <w:sz w:val="18"/>
              </w:rPr>
              <w:t>for</w:t>
            </w:r>
            <w:r w:rsidRPr="00D4309F">
              <w:rPr>
                <w:color w:val="211E1F"/>
                <w:spacing w:val="-3"/>
                <w:sz w:val="18"/>
              </w:rPr>
              <w:t xml:space="preserve"> </w:t>
            </w:r>
            <w:r w:rsidRPr="00D4309F">
              <w:rPr>
                <w:color w:val="211E1F"/>
                <w:sz w:val="18"/>
              </w:rPr>
              <w:t>business</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recreational</w:t>
            </w:r>
            <w:r w:rsidRPr="00D4309F">
              <w:rPr>
                <w:color w:val="211E1F"/>
                <w:spacing w:val="-3"/>
                <w:sz w:val="18"/>
              </w:rPr>
              <w:t xml:space="preserve"> </w:t>
            </w:r>
            <w:r w:rsidRPr="00D4309F">
              <w:rPr>
                <w:color w:val="211E1F"/>
                <w:spacing w:val="-4"/>
                <w:sz w:val="18"/>
              </w:rPr>
              <w:t>users</w:t>
            </w:r>
          </w:p>
        </w:tc>
        <w:tc>
          <w:tcPr>
            <w:tcW w:w="571" w:type="pct"/>
          </w:tcPr>
          <w:p w14:paraId="75C0D655" w14:textId="586D4EE2" w:rsidR="00007528" w:rsidRPr="00D4309F" w:rsidRDefault="00007528" w:rsidP="00007528">
            <w:pPr>
              <w:pStyle w:val="TableParagraph"/>
              <w:spacing w:before="41" w:line="187" w:lineRule="exact"/>
              <w:ind w:left="485"/>
              <w:rPr>
                <w:color w:val="211E1F"/>
                <w:spacing w:val="-10"/>
                <w:sz w:val="18"/>
              </w:rPr>
            </w:pPr>
            <w:r w:rsidRPr="00D4309F">
              <w:rPr>
                <w:color w:val="211E1F"/>
                <w:spacing w:val="-10"/>
                <w:sz w:val="18"/>
              </w:rPr>
              <w:t>4</w:t>
            </w:r>
          </w:p>
        </w:tc>
      </w:tr>
      <w:tr w:rsidR="00007528" w:rsidRPr="00D4309F" w14:paraId="38C3CDA9" w14:textId="77777777">
        <w:trPr>
          <w:trHeight w:val="247"/>
        </w:trPr>
        <w:tc>
          <w:tcPr>
            <w:tcW w:w="1002" w:type="pct"/>
            <w:vMerge/>
          </w:tcPr>
          <w:p w14:paraId="4205E491" w14:textId="77777777" w:rsidR="00007528" w:rsidRPr="00D4309F" w:rsidRDefault="00007528" w:rsidP="00007528">
            <w:pPr>
              <w:pStyle w:val="TableParagraph"/>
              <w:rPr>
                <w:rFonts w:ascii="Times New Roman"/>
                <w:sz w:val="18"/>
              </w:rPr>
            </w:pPr>
          </w:p>
        </w:tc>
        <w:tc>
          <w:tcPr>
            <w:tcW w:w="3427" w:type="pct"/>
          </w:tcPr>
          <w:p w14:paraId="771E5BB4" w14:textId="77777777" w:rsidR="00007528" w:rsidRPr="00D4309F" w:rsidRDefault="00007528" w:rsidP="00007528">
            <w:pPr>
              <w:pStyle w:val="TableParagraph"/>
              <w:spacing w:before="41" w:line="187" w:lineRule="exact"/>
              <w:ind w:left="165"/>
              <w:rPr>
                <w:color w:val="211E1F"/>
                <w:sz w:val="18"/>
              </w:rPr>
            </w:pPr>
            <w:r w:rsidRPr="00D4309F">
              <w:rPr>
                <w:color w:val="211E1F"/>
                <w:sz w:val="18"/>
              </w:rPr>
              <w:t>Broader</w:t>
            </w:r>
            <w:r w:rsidRPr="00D4309F">
              <w:rPr>
                <w:color w:val="211E1F"/>
                <w:spacing w:val="-6"/>
                <w:sz w:val="18"/>
              </w:rPr>
              <w:t xml:space="preserve"> </w:t>
            </w:r>
            <w:r w:rsidRPr="00D4309F">
              <w:rPr>
                <w:color w:val="211E1F"/>
                <w:sz w:val="18"/>
              </w:rPr>
              <w:t>economic</w:t>
            </w:r>
            <w:r w:rsidRPr="00D4309F">
              <w:rPr>
                <w:color w:val="211E1F"/>
                <w:spacing w:val="-4"/>
                <w:sz w:val="18"/>
              </w:rPr>
              <w:t xml:space="preserve"> </w:t>
            </w:r>
            <w:r w:rsidRPr="00D4309F">
              <w:rPr>
                <w:color w:val="211E1F"/>
                <w:sz w:val="18"/>
              </w:rPr>
              <w:t>considerations</w:t>
            </w:r>
            <w:r w:rsidRPr="00D4309F">
              <w:rPr>
                <w:color w:val="211E1F"/>
                <w:spacing w:val="-3"/>
                <w:sz w:val="18"/>
              </w:rPr>
              <w:t xml:space="preserve"> </w:t>
            </w:r>
            <w:r w:rsidRPr="00D4309F">
              <w:rPr>
                <w:color w:val="211E1F"/>
                <w:sz w:val="18"/>
              </w:rPr>
              <w:t>during</w:t>
            </w:r>
            <w:r w:rsidRPr="00D4309F">
              <w:rPr>
                <w:color w:val="211E1F"/>
                <w:spacing w:val="-5"/>
                <w:sz w:val="18"/>
              </w:rPr>
              <w:t xml:space="preserve"> </w:t>
            </w:r>
            <w:r w:rsidRPr="00D4309F">
              <w:rPr>
                <w:color w:val="211E1F"/>
                <w:sz w:val="18"/>
              </w:rPr>
              <w:t>construction</w:t>
            </w:r>
            <w:r w:rsidRPr="00D4309F">
              <w:rPr>
                <w:color w:val="211E1F"/>
                <w:spacing w:val="-4"/>
                <w:sz w:val="18"/>
              </w:rPr>
              <w:t xml:space="preserve"> </w:t>
            </w:r>
            <w:r w:rsidRPr="00D4309F">
              <w:rPr>
                <w:color w:val="211E1F"/>
                <w:sz w:val="18"/>
              </w:rPr>
              <w:t>and</w:t>
            </w:r>
            <w:r w:rsidRPr="00D4309F">
              <w:rPr>
                <w:color w:val="211E1F"/>
                <w:spacing w:val="-4"/>
                <w:sz w:val="18"/>
              </w:rPr>
              <w:t xml:space="preserve"> </w:t>
            </w:r>
            <w:r w:rsidRPr="00D4309F">
              <w:rPr>
                <w:color w:val="211E1F"/>
                <w:spacing w:val="-2"/>
                <w:sz w:val="18"/>
              </w:rPr>
              <w:t>operation</w:t>
            </w:r>
          </w:p>
        </w:tc>
        <w:tc>
          <w:tcPr>
            <w:tcW w:w="571" w:type="pct"/>
          </w:tcPr>
          <w:p w14:paraId="62B0EEBE" w14:textId="3D45B905" w:rsidR="00007528" w:rsidRPr="00D4309F" w:rsidRDefault="00007528" w:rsidP="00007528">
            <w:pPr>
              <w:pStyle w:val="TableParagraph"/>
              <w:spacing w:before="41" w:line="187" w:lineRule="exact"/>
              <w:ind w:left="485"/>
              <w:rPr>
                <w:color w:val="211E1F"/>
                <w:spacing w:val="-10"/>
                <w:sz w:val="18"/>
              </w:rPr>
            </w:pPr>
            <w:r w:rsidRPr="00D4309F">
              <w:rPr>
                <w:color w:val="211E1F"/>
                <w:spacing w:val="-10"/>
                <w:sz w:val="18"/>
              </w:rPr>
              <w:t>3</w:t>
            </w:r>
          </w:p>
        </w:tc>
      </w:tr>
      <w:tr w:rsidR="00007528" w:rsidRPr="00D4309F" w14:paraId="28520DBE" w14:textId="77777777">
        <w:trPr>
          <w:trHeight w:val="247"/>
        </w:trPr>
        <w:tc>
          <w:tcPr>
            <w:tcW w:w="1002" w:type="pct"/>
            <w:vMerge/>
          </w:tcPr>
          <w:p w14:paraId="4AB58FAE" w14:textId="77777777" w:rsidR="00007528" w:rsidRPr="00D4309F" w:rsidRDefault="00007528" w:rsidP="00007528">
            <w:pPr>
              <w:pStyle w:val="TableParagraph"/>
              <w:rPr>
                <w:rFonts w:ascii="Times New Roman"/>
                <w:sz w:val="18"/>
              </w:rPr>
            </w:pPr>
          </w:p>
        </w:tc>
        <w:tc>
          <w:tcPr>
            <w:tcW w:w="3427" w:type="pct"/>
          </w:tcPr>
          <w:p w14:paraId="3255E466" w14:textId="77777777" w:rsidR="00007528" w:rsidRPr="00D4309F" w:rsidRDefault="00007528" w:rsidP="00007528">
            <w:pPr>
              <w:pStyle w:val="TableParagraph"/>
              <w:spacing w:before="41" w:line="187" w:lineRule="exact"/>
              <w:ind w:left="165"/>
              <w:rPr>
                <w:color w:val="211E1F"/>
                <w:sz w:val="18"/>
              </w:rPr>
            </w:pPr>
            <w:r w:rsidRPr="00D4309F">
              <w:rPr>
                <w:color w:val="211E1F"/>
                <w:sz w:val="18"/>
              </w:rPr>
              <w:t>Environmental</w:t>
            </w:r>
            <w:r w:rsidRPr="00D4309F">
              <w:rPr>
                <w:color w:val="211E1F"/>
                <w:spacing w:val="-5"/>
                <w:sz w:val="18"/>
              </w:rPr>
              <w:t xml:space="preserve"> </w:t>
            </w:r>
            <w:r w:rsidRPr="00D4309F">
              <w:rPr>
                <w:color w:val="211E1F"/>
                <w:sz w:val="18"/>
              </w:rPr>
              <w:t>impact</w:t>
            </w:r>
            <w:r w:rsidRPr="00D4309F">
              <w:rPr>
                <w:color w:val="211E1F"/>
                <w:spacing w:val="-4"/>
                <w:sz w:val="18"/>
              </w:rPr>
              <w:t xml:space="preserve"> </w:t>
            </w:r>
            <w:r w:rsidRPr="00D4309F">
              <w:rPr>
                <w:color w:val="211E1F"/>
                <w:spacing w:val="-2"/>
                <w:sz w:val="18"/>
              </w:rPr>
              <w:t>perceptions</w:t>
            </w:r>
          </w:p>
        </w:tc>
        <w:tc>
          <w:tcPr>
            <w:tcW w:w="571" w:type="pct"/>
          </w:tcPr>
          <w:p w14:paraId="2427DCE5" w14:textId="0DCFAF59" w:rsidR="00007528" w:rsidRPr="00D4309F" w:rsidRDefault="00007528" w:rsidP="00007528">
            <w:pPr>
              <w:pStyle w:val="TableParagraph"/>
              <w:spacing w:before="41" w:line="187" w:lineRule="exact"/>
              <w:ind w:left="485"/>
              <w:rPr>
                <w:color w:val="211E1F"/>
                <w:spacing w:val="-10"/>
                <w:sz w:val="18"/>
              </w:rPr>
            </w:pPr>
            <w:r w:rsidRPr="00D4309F">
              <w:rPr>
                <w:color w:val="211E1F"/>
                <w:spacing w:val="-10"/>
                <w:sz w:val="18"/>
              </w:rPr>
              <w:t>1</w:t>
            </w:r>
          </w:p>
        </w:tc>
      </w:tr>
      <w:tr w:rsidR="00007528" w:rsidRPr="00D4309F" w14:paraId="01B7E259" w14:textId="77777777">
        <w:trPr>
          <w:trHeight w:val="247"/>
        </w:trPr>
        <w:tc>
          <w:tcPr>
            <w:tcW w:w="1002" w:type="pct"/>
            <w:vMerge/>
          </w:tcPr>
          <w:p w14:paraId="6EE5EF9D" w14:textId="77777777" w:rsidR="00007528" w:rsidRPr="00D4309F" w:rsidRDefault="00007528" w:rsidP="00007528">
            <w:pPr>
              <w:pStyle w:val="TableParagraph"/>
              <w:rPr>
                <w:rFonts w:ascii="Times New Roman"/>
                <w:sz w:val="18"/>
              </w:rPr>
            </w:pPr>
          </w:p>
        </w:tc>
        <w:tc>
          <w:tcPr>
            <w:tcW w:w="3427" w:type="pct"/>
          </w:tcPr>
          <w:p w14:paraId="06263FB7" w14:textId="77777777" w:rsidR="00007528" w:rsidRPr="00D4309F" w:rsidRDefault="00007528" w:rsidP="00007528">
            <w:pPr>
              <w:pStyle w:val="TableParagraph"/>
              <w:spacing w:before="41" w:line="187" w:lineRule="exact"/>
              <w:ind w:left="165"/>
              <w:rPr>
                <w:color w:val="211E1F"/>
                <w:sz w:val="18"/>
              </w:rPr>
            </w:pPr>
          </w:p>
        </w:tc>
        <w:tc>
          <w:tcPr>
            <w:tcW w:w="571" w:type="pct"/>
          </w:tcPr>
          <w:p w14:paraId="046715B1" w14:textId="77777777" w:rsidR="00007528" w:rsidRPr="00D4309F" w:rsidRDefault="00007528" w:rsidP="00007528">
            <w:pPr>
              <w:pStyle w:val="TableParagraph"/>
              <w:spacing w:before="41" w:line="187" w:lineRule="exact"/>
              <w:ind w:left="485"/>
              <w:rPr>
                <w:color w:val="211E1F"/>
                <w:spacing w:val="-10"/>
                <w:sz w:val="18"/>
              </w:rPr>
            </w:pPr>
          </w:p>
        </w:tc>
      </w:tr>
      <w:tr w:rsidR="00007528" w:rsidRPr="00D4309F" w14:paraId="05BB10C0" w14:textId="77777777">
        <w:trPr>
          <w:trHeight w:val="247"/>
        </w:trPr>
        <w:tc>
          <w:tcPr>
            <w:tcW w:w="1002" w:type="pct"/>
            <w:vMerge/>
          </w:tcPr>
          <w:p w14:paraId="067328E8" w14:textId="77777777" w:rsidR="00007528" w:rsidRPr="00D4309F" w:rsidRDefault="00007528" w:rsidP="00007528">
            <w:pPr>
              <w:pStyle w:val="TableParagraph"/>
              <w:rPr>
                <w:rFonts w:ascii="Times New Roman"/>
                <w:sz w:val="18"/>
              </w:rPr>
            </w:pPr>
          </w:p>
        </w:tc>
        <w:tc>
          <w:tcPr>
            <w:tcW w:w="3427" w:type="pct"/>
          </w:tcPr>
          <w:p w14:paraId="0AF50515" w14:textId="77777777" w:rsidR="00007528" w:rsidRPr="00D4309F" w:rsidRDefault="00007528" w:rsidP="00007528">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74D0B4F5" w14:textId="0EE6FB1D" w:rsidR="00007528" w:rsidRPr="00D4309F" w:rsidRDefault="00007528" w:rsidP="00007528">
            <w:pPr>
              <w:pStyle w:val="TableParagraph"/>
              <w:spacing w:before="41" w:line="187" w:lineRule="exact"/>
              <w:ind w:left="485"/>
              <w:rPr>
                <w:color w:val="211E1F"/>
                <w:spacing w:val="-10"/>
                <w:sz w:val="18"/>
              </w:rPr>
            </w:pPr>
            <w:r w:rsidRPr="00D4309F">
              <w:rPr>
                <w:b/>
                <w:color w:val="211E1F"/>
                <w:spacing w:val="-5"/>
                <w:sz w:val="18"/>
              </w:rPr>
              <w:t>30</w:t>
            </w:r>
          </w:p>
        </w:tc>
      </w:tr>
      <w:tr w:rsidR="00007528" w:rsidRPr="00D4309F" w14:paraId="6217EB18" w14:textId="77777777">
        <w:trPr>
          <w:trHeight w:val="247"/>
        </w:trPr>
        <w:tc>
          <w:tcPr>
            <w:tcW w:w="1002" w:type="pct"/>
            <w:vMerge w:val="restart"/>
          </w:tcPr>
          <w:p w14:paraId="747E37FD" w14:textId="77777777" w:rsidR="00007528" w:rsidRPr="00D4309F" w:rsidRDefault="00007528" w:rsidP="00007528">
            <w:pPr>
              <w:pStyle w:val="TableParagraph"/>
              <w:rPr>
                <w:rFonts w:ascii="Times New Roman"/>
                <w:sz w:val="18"/>
              </w:rPr>
            </w:pPr>
            <w:r w:rsidRPr="00D4309F">
              <w:rPr>
                <w:b/>
                <w:color w:val="211E1F"/>
                <w:spacing w:val="-2"/>
                <w:sz w:val="18"/>
              </w:rPr>
              <w:t>Environmental</w:t>
            </w:r>
          </w:p>
        </w:tc>
        <w:tc>
          <w:tcPr>
            <w:tcW w:w="3427" w:type="pct"/>
          </w:tcPr>
          <w:p w14:paraId="2936E57D" w14:textId="77777777" w:rsidR="00007528" w:rsidRPr="00D4309F" w:rsidRDefault="00007528" w:rsidP="00007528">
            <w:pPr>
              <w:pStyle w:val="TableParagraph"/>
              <w:spacing w:before="41" w:line="187" w:lineRule="exact"/>
              <w:ind w:left="165"/>
              <w:rPr>
                <w:color w:val="211E1F"/>
                <w:sz w:val="18"/>
              </w:rPr>
            </w:pPr>
            <w:r w:rsidRPr="00D4309F">
              <w:rPr>
                <w:color w:val="211E1F"/>
                <w:sz w:val="18"/>
              </w:rPr>
              <w:t>Marine</w:t>
            </w:r>
            <w:r w:rsidRPr="00D4309F">
              <w:rPr>
                <w:color w:val="211E1F"/>
                <w:spacing w:val="-4"/>
                <w:sz w:val="18"/>
              </w:rPr>
              <w:t xml:space="preserve"> </w:t>
            </w:r>
            <w:r w:rsidRPr="00D4309F">
              <w:rPr>
                <w:color w:val="211E1F"/>
                <w:sz w:val="18"/>
              </w:rPr>
              <w:t>water</w:t>
            </w:r>
            <w:r w:rsidRPr="00D4309F">
              <w:rPr>
                <w:color w:val="211E1F"/>
                <w:spacing w:val="-3"/>
                <w:sz w:val="18"/>
              </w:rPr>
              <w:t xml:space="preserve"> </w:t>
            </w:r>
            <w:r w:rsidRPr="00D4309F">
              <w:rPr>
                <w:color w:val="211E1F"/>
                <w:sz w:val="18"/>
              </w:rPr>
              <w:t>quality</w:t>
            </w:r>
            <w:r w:rsidRPr="00D4309F">
              <w:rPr>
                <w:color w:val="211E1F"/>
                <w:spacing w:val="-3"/>
                <w:sz w:val="18"/>
              </w:rPr>
              <w:t xml:space="preserve"> </w:t>
            </w:r>
            <w:r w:rsidRPr="00D4309F">
              <w:rPr>
                <w:color w:val="211E1F"/>
                <w:spacing w:val="-2"/>
                <w:sz w:val="18"/>
              </w:rPr>
              <w:t>impacts</w:t>
            </w:r>
          </w:p>
        </w:tc>
        <w:tc>
          <w:tcPr>
            <w:tcW w:w="571" w:type="pct"/>
          </w:tcPr>
          <w:p w14:paraId="3A0EBA90" w14:textId="7AD58F8C" w:rsidR="00007528" w:rsidRPr="00D4309F" w:rsidRDefault="00007528" w:rsidP="00007528">
            <w:pPr>
              <w:pStyle w:val="TableParagraph"/>
              <w:spacing w:before="41" w:line="187" w:lineRule="exact"/>
              <w:ind w:left="485"/>
              <w:rPr>
                <w:color w:val="211E1F"/>
                <w:spacing w:val="-10"/>
                <w:sz w:val="18"/>
              </w:rPr>
            </w:pPr>
            <w:r w:rsidRPr="00D4309F">
              <w:rPr>
                <w:color w:val="211E1F"/>
                <w:spacing w:val="-10"/>
                <w:sz w:val="18"/>
              </w:rPr>
              <w:t>2</w:t>
            </w:r>
          </w:p>
        </w:tc>
      </w:tr>
      <w:tr w:rsidR="00007528" w:rsidRPr="00D4309F" w14:paraId="57CFB8D9" w14:textId="77777777">
        <w:trPr>
          <w:trHeight w:val="247"/>
        </w:trPr>
        <w:tc>
          <w:tcPr>
            <w:tcW w:w="1002" w:type="pct"/>
            <w:vMerge/>
          </w:tcPr>
          <w:p w14:paraId="4AA2EE2E" w14:textId="77777777" w:rsidR="00007528" w:rsidRPr="00D4309F" w:rsidRDefault="00007528" w:rsidP="00007528">
            <w:pPr>
              <w:pStyle w:val="TableParagraph"/>
              <w:rPr>
                <w:rFonts w:ascii="Times New Roman"/>
                <w:sz w:val="18"/>
              </w:rPr>
            </w:pPr>
          </w:p>
        </w:tc>
        <w:tc>
          <w:tcPr>
            <w:tcW w:w="3427" w:type="pct"/>
          </w:tcPr>
          <w:p w14:paraId="67983B37" w14:textId="77777777" w:rsidR="00007528" w:rsidRPr="00D4309F" w:rsidRDefault="00007528" w:rsidP="00007528">
            <w:pPr>
              <w:pStyle w:val="TableParagraph"/>
              <w:spacing w:before="41" w:line="187" w:lineRule="exact"/>
              <w:ind w:left="165"/>
              <w:rPr>
                <w:color w:val="211E1F"/>
                <w:sz w:val="18"/>
              </w:rPr>
            </w:pPr>
            <w:r w:rsidRPr="00D4309F">
              <w:rPr>
                <w:color w:val="211E1F"/>
                <w:sz w:val="18"/>
              </w:rPr>
              <w:t>Marine</w:t>
            </w:r>
            <w:r w:rsidRPr="00D4309F">
              <w:rPr>
                <w:color w:val="211E1F"/>
                <w:spacing w:val="-2"/>
                <w:sz w:val="18"/>
              </w:rPr>
              <w:t xml:space="preserve"> </w:t>
            </w:r>
            <w:r w:rsidRPr="00D4309F">
              <w:rPr>
                <w:color w:val="211E1F"/>
                <w:sz w:val="18"/>
              </w:rPr>
              <w:t>habitats</w:t>
            </w:r>
            <w:r w:rsidRPr="00D4309F">
              <w:rPr>
                <w:color w:val="211E1F"/>
                <w:spacing w:val="-3"/>
                <w:sz w:val="18"/>
              </w:rPr>
              <w:t xml:space="preserve"> </w:t>
            </w:r>
            <w:r w:rsidRPr="00D4309F">
              <w:rPr>
                <w:color w:val="211E1F"/>
                <w:sz w:val="18"/>
              </w:rPr>
              <w:t>&amp;</w:t>
            </w:r>
            <w:r w:rsidRPr="00D4309F">
              <w:rPr>
                <w:color w:val="211E1F"/>
                <w:spacing w:val="-3"/>
                <w:sz w:val="18"/>
              </w:rPr>
              <w:t xml:space="preserve"> </w:t>
            </w:r>
            <w:r w:rsidRPr="00D4309F">
              <w:rPr>
                <w:color w:val="211E1F"/>
                <w:sz w:val="18"/>
              </w:rPr>
              <w:t>protected</w:t>
            </w:r>
            <w:r w:rsidRPr="00D4309F">
              <w:rPr>
                <w:color w:val="211E1F"/>
                <w:spacing w:val="-4"/>
                <w:sz w:val="18"/>
              </w:rPr>
              <w:t xml:space="preserve"> </w:t>
            </w:r>
            <w:r w:rsidRPr="00D4309F">
              <w:rPr>
                <w:color w:val="211E1F"/>
                <w:sz w:val="18"/>
              </w:rPr>
              <w:t>species</w:t>
            </w:r>
            <w:r w:rsidRPr="00D4309F">
              <w:rPr>
                <w:color w:val="211E1F"/>
                <w:spacing w:val="-2"/>
                <w:sz w:val="18"/>
              </w:rPr>
              <w:t xml:space="preserve"> impacts</w:t>
            </w:r>
          </w:p>
        </w:tc>
        <w:tc>
          <w:tcPr>
            <w:tcW w:w="571" w:type="pct"/>
          </w:tcPr>
          <w:p w14:paraId="5624AB62" w14:textId="4E657382" w:rsidR="00007528" w:rsidRPr="00D4309F" w:rsidRDefault="00007528" w:rsidP="00007528">
            <w:pPr>
              <w:pStyle w:val="TableParagraph"/>
              <w:spacing w:before="41" w:line="187" w:lineRule="exact"/>
              <w:ind w:left="485"/>
              <w:rPr>
                <w:color w:val="211E1F"/>
                <w:spacing w:val="-10"/>
                <w:sz w:val="18"/>
              </w:rPr>
            </w:pPr>
            <w:r w:rsidRPr="00D4309F">
              <w:rPr>
                <w:color w:val="211E1F"/>
                <w:spacing w:val="-10"/>
                <w:sz w:val="18"/>
              </w:rPr>
              <w:t>1</w:t>
            </w:r>
          </w:p>
        </w:tc>
      </w:tr>
      <w:tr w:rsidR="00007528" w:rsidRPr="00D4309F" w14:paraId="67DA87C2" w14:textId="77777777">
        <w:trPr>
          <w:trHeight w:val="247"/>
        </w:trPr>
        <w:tc>
          <w:tcPr>
            <w:tcW w:w="1002" w:type="pct"/>
            <w:vMerge/>
          </w:tcPr>
          <w:p w14:paraId="56F34C66" w14:textId="77777777" w:rsidR="00007528" w:rsidRPr="00D4309F" w:rsidRDefault="00007528" w:rsidP="00007528">
            <w:pPr>
              <w:pStyle w:val="TableParagraph"/>
              <w:rPr>
                <w:rFonts w:ascii="Times New Roman"/>
                <w:sz w:val="18"/>
              </w:rPr>
            </w:pPr>
          </w:p>
        </w:tc>
        <w:tc>
          <w:tcPr>
            <w:tcW w:w="3427" w:type="pct"/>
          </w:tcPr>
          <w:p w14:paraId="4EC6D0A7" w14:textId="77777777" w:rsidR="00007528" w:rsidRPr="00D4309F" w:rsidRDefault="00007528" w:rsidP="00007528">
            <w:pPr>
              <w:pStyle w:val="TableParagraph"/>
              <w:spacing w:before="41" w:line="187" w:lineRule="exact"/>
              <w:ind w:left="165"/>
              <w:rPr>
                <w:color w:val="211E1F"/>
                <w:sz w:val="18"/>
              </w:rPr>
            </w:pPr>
            <w:r w:rsidRPr="00D4309F">
              <w:rPr>
                <w:color w:val="211E1F"/>
                <w:sz w:val="18"/>
              </w:rPr>
              <w:t>Terrestrial</w:t>
            </w:r>
            <w:r w:rsidRPr="00D4309F">
              <w:rPr>
                <w:color w:val="211E1F"/>
                <w:spacing w:val="-3"/>
                <w:sz w:val="18"/>
              </w:rPr>
              <w:t xml:space="preserve"> </w:t>
            </w:r>
            <w:r w:rsidRPr="00D4309F">
              <w:rPr>
                <w:color w:val="211E1F"/>
                <w:sz w:val="18"/>
              </w:rPr>
              <w:t>habitats</w:t>
            </w:r>
            <w:r w:rsidRPr="00D4309F">
              <w:rPr>
                <w:color w:val="211E1F"/>
                <w:spacing w:val="-3"/>
                <w:sz w:val="18"/>
              </w:rPr>
              <w:t xml:space="preserve"> </w:t>
            </w:r>
            <w:r w:rsidRPr="00D4309F">
              <w:rPr>
                <w:color w:val="211E1F"/>
                <w:sz w:val="18"/>
              </w:rPr>
              <w:t>&amp;</w:t>
            </w:r>
            <w:r w:rsidRPr="00D4309F">
              <w:rPr>
                <w:color w:val="211E1F"/>
                <w:spacing w:val="-3"/>
                <w:sz w:val="18"/>
              </w:rPr>
              <w:t xml:space="preserve"> </w:t>
            </w:r>
            <w:r w:rsidRPr="00D4309F">
              <w:rPr>
                <w:color w:val="211E1F"/>
                <w:sz w:val="18"/>
              </w:rPr>
              <w:t>protected</w:t>
            </w:r>
            <w:r w:rsidRPr="00D4309F">
              <w:rPr>
                <w:color w:val="211E1F"/>
                <w:spacing w:val="-4"/>
                <w:sz w:val="18"/>
              </w:rPr>
              <w:t xml:space="preserve"> </w:t>
            </w:r>
            <w:r w:rsidRPr="00D4309F">
              <w:rPr>
                <w:color w:val="211E1F"/>
                <w:sz w:val="18"/>
              </w:rPr>
              <w:t>species</w:t>
            </w:r>
            <w:r w:rsidRPr="00D4309F">
              <w:rPr>
                <w:color w:val="211E1F"/>
                <w:spacing w:val="-2"/>
                <w:sz w:val="18"/>
              </w:rPr>
              <w:t xml:space="preserve"> impacts</w:t>
            </w:r>
          </w:p>
        </w:tc>
        <w:tc>
          <w:tcPr>
            <w:tcW w:w="571" w:type="pct"/>
          </w:tcPr>
          <w:p w14:paraId="3C3F6A37" w14:textId="03A1425A" w:rsidR="00007528" w:rsidRPr="00D4309F" w:rsidRDefault="00007528" w:rsidP="00007528">
            <w:pPr>
              <w:pStyle w:val="TableParagraph"/>
              <w:spacing w:before="41" w:line="187" w:lineRule="exact"/>
              <w:ind w:left="485"/>
              <w:rPr>
                <w:color w:val="211E1F"/>
                <w:spacing w:val="-10"/>
                <w:sz w:val="18"/>
              </w:rPr>
            </w:pPr>
            <w:r w:rsidRPr="00D4309F">
              <w:rPr>
                <w:color w:val="211E1F"/>
                <w:spacing w:val="-10"/>
                <w:sz w:val="18"/>
              </w:rPr>
              <w:t>2</w:t>
            </w:r>
          </w:p>
        </w:tc>
      </w:tr>
      <w:tr w:rsidR="00007528" w:rsidRPr="00D4309F" w14:paraId="7384A136" w14:textId="77777777">
        <w:trPr>
          <w:trHeight w:val="247"/>
        </w:trPr>
        <w:tc>
          <w:tcPr>
            <w:tcW w:w="1002" w:type="pct"/>
            <w:vMerge/>
          </w:tcPr>
          <w:p w14:paraId="45971E21" w14:textId="77777777" w:rsidR="00007528" w:rsidRPr="00D4309F" w:rsidRDefault="00007528" w:rsidP="00007528">
            <w:pPr>
              <w:pStyle w:val="TableParagraph"/>
              <w:rPr>
                <w:rFonts w:ascii="Times New Roman"/>
                <w:sz w:val="18"/>
              </w:rPr>
            </w:pPr>
          </w:p>
        </w:tc>
        <w:tc>
          <w:tcPr>
            <w:tcW w:w="3427" w:type="pct"/>
          </w:tcPr>
          <w:p w14:paraId="516BAD1B" w14:textId="77777777" w:rsidR="00007528" w:rsidRPr="00D4309F" w:rsidRDefault="00007528" w:rsidP="00007528">
            <w:pPr>
              <w:pStyle w:val="TableParagraph"/>
              <w:spacing w:before="41" w:line="187" w:lineRule="exact"/>
              <w:ind w:left="165"/>
              <w:rPr>
                <w:color w:val="211E1F"/>
                <w:sz w:val="18"/>
              </w:rPr>
            </w:pPr>
          </w:p>
        </w:tc>
        <w:tc>
          <w:tcPr>
            <w:tcW w:w="571" w:type="pct"/>
          </w:tcPr>
          <w:p w14:paraId="2ADCCBD6" w14:textId="77777777" w:rsidR="00007528" w:rsidRPr="00D4309F" w:rsidRDefault="00007528" w:rsidP="00007528">
            <w:pPr>
              <w:pStyle w:val="TableParagraph"/>
              <w:spacing w:before="41" w:line="187" w:lineRule="exact"/>
              <w:ind w:left="485"/>
              <w:rPr>
                <w:color w:val="211E1F"/>
                <w:spacing w:val="-10"/>
                <w:sz w:val="18"/>
              </w:rPr>
            </w:pPr>
          </w:p>
        </w:tc>
      </w:tr>
      <w:tr w:rsidR="00007528" w:rsidRPr="00D4309F" w14:paraId="1722C61D" w14:textId="77777777">
        <w:trPr>
          <w:trHeight w:val="247"/>
        </w:trPr>
        <w:tc>
          <w:tcPr>
            <w:tcW w:w="1002" w:type="pct"/>
            <w:vMerge/>
          </w:tcPr>
          <w:p w14:paraId="422997F7" w14:textId="77777777" w:rsidR="00007528" w:rsidRPr="00D4309F" w:rsidRDefault="00007528" w:rsidP="00007528">
            <w:pPr>
              <w:pStyle w:val="TableParagraph"/>
              <w:rPr>
                <w:rFonts w:ascii="Times New Roman"/>
                <w:sz w:val="18"/>
              </w:rPr>
            </w:pPr>
          </w:p>
        </w:tc>
        <w:tc>
          <w:tcPr>
            <w:tcW w:w="3427" w:type="pct"/>
          </w:tcPr>
          <w:p w14:paraId="50B7C89A" w14:textId="77777777" w:rsidR="00007528" w:rsidRPr="00D4309F" w:rsidRDefault="00007528" w:rsidP="00007528">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3597AF09" w14:textId="7AA93BB0" w:rsidR="00007528" w:rsidRPr="00D4309F" w:rsidRDefault="00007528" w:rsidP="00007528">
            <w:pPr>
              <w:pStyle w:val="TableParagraph"/>
              <w:spacing w:before="41" w:line="187" w:lineRule="exact"/>
              <w:ind w:left="485"/>
              <w:rPr>
                <w:color w:val="211E1F"/>
                <w:spacing w:val="-10"/>
                <w:sz w:val="18"/>
              </w:rPr>
            </w:pPr>
            <w:r w:rsidRPr="00D4309F">
              <w:rPr>
                <w:b/>
                <w:color w:val="211E1F"/>
                <w:spacing w:val="-10"/>
                <w:sz w:val="18"/>
              </w:rPr>
              <w:t>5</w:t>
            </w:r>
          </w:p>
        </w:tc>
      </w:tr>
      <w:tr w:rsidR="00007528" w:rsidRPr="00D4309F" w14:paraId="72ED4F8E" w14:textId="77777777">
        <w:trPr>
          <w:trHeight w:val="247"/>
        </w:trPr>
        <w:tc>
          <w:tcPr>
            <w:tcW w:w="1002" w:type="pct"/>
            <w:vMerge w:val="restart"/>
          </w:tcPr>
          <w:p w14:paraId="2C16F1D8" w14:textId="77777777" w:rsidR="00007528" w:rsidRPr="00D4309F" w:rsidRDefault="00007528" w:rsidP="00007528">
            <w:pPr>
              <w:pStyle w:val="TableParagraph"/>
              <w:rPr>
                <w:rFonts w:ascii="Times New Roman"/>
                <w:sz w:val="18"/>
              </w:rPr>
            </w:pPr>
            <w:r w:rsidRPr="00D4309F">
              <w:rPr>
                <w:b/>
                <w:color w:val="211E1F"/>
                <w:spacing w:val="-2"/>
                <w:sz w:val="18"/>
              </w:rPr>
              <w:t>Financial</w:t>
            </w:r>
          </w:p>
        </w:tc>
        <w:tc>
          <w:tcPr>
            <w:tcW w:w="3427" w:type="pct"/>
          </w:tcPr>
          <w:p w14:paraId="0748C4DD" w14:textId="77777777" w:rsidR="00007528" w:rsidRPr="00D4309F" w:rsidRDefault="00007528" w:rsidP="00007528">
            <w:pPr>
              <w:pStyle w:val="TableParagraph"/>
              <w:spacing w:before="41" w:line="187" w:lineRule="exact"/>
              <w:ind w:left="165"/>
              <w:rPr>
                <w:color w:val="211E1F"/>
                <w:sz w:val="18"/>
              </w:rPr>
            </w:pPr>
            <w:r w:rsidRPr="00D4309F">
              <w:rPr>
                <w:color w:val="211E1F"/>
                <w:sz w:val="18"/>
              </w:rPr>
              <w:t>Capital</w:t>
            </w:r>
            <w:r w:rsidRPr="00D4309F">
              <w:rPr>
                <w:color w:val="211E1F"/>
                <w:spacing w:val="-6"/>
                <w:sz w:val="18"/>
              </w:rPr>
              <w:t xml:space="preserve"> </w:t>
            </w:r>
            <w:r w:rsidRPr="00D4309F">
              <w:rPr>
                <w:color w:val="211E1F"/>
                <w:spacing w:val="-2"/>
                <w:sz w:val="18"/>
              </w:rPr>
              <w:t>(CAPEX),</w:t>
            </w:r>
          </w:p>
        </w:tc>
        <w:tc>
          <w:tcPr>
            <w:tcW w:w="571" w:type="pct"/>
          </w:tcPr>
          <w:p w14:paraId="0DB4FA27" w14:textId="16D49565" w:rsidR="00007528" w:rsidRPr="00D4309F" w:rsidRDefault="00007528" w:rsidP="00007528">
            <w:pPr>
              <w:pStyle w:val="TableParagraph"/>
              <w:spacing w:before="41" w:line="187" w:lineRule="exact"/>
              <w:ind w:left="485"/>
              <w:rPr>
                <w:color w:val="211E1F"/>
                <w:spacing w:val="-10"/>
                <w:sz w:val="18"/>
              </w:rPr>
            </w:pPr>
            <w:r w:rsidRPr="00D4309F">
              <w:rPr>
                <w:color w:val="211E1F"/>
                <w:spacing w:val="-10"/>
                <w:sz w:val="18"/>
              </w:rPr>
              <w:t>2</w:t>
            </w:r>
          </w:p>
        </w:tc>
      </w:tr>
      <w:tr w:rsidR="00007528" w:rsidRPr="00D4309F" w14:paraId="7259CFF6" w14:textId="77777777">
        <w:trPr>
          <w:trHeight w:val="247"/>
        </w:trPr>
        <w:tc>
          <w:tcPr>
            <w:tcW w:w="1002" w:type="pct"/>
            <w:vMerge/>
          </w:tcPr>
          <w:p w14:paraId="1511ECEE" w14:textId="77777777" w:rsidR="00007528" w:rsidRPr="00D4309F" w:rsidRDefault="00007528" w:rsidP="00007528">
            <w:pPr>
              <w:pStyle w:val="TableParagraph"/>
              <w:rPr>
                <w:rFonts w:ascii="Times New Roman"/>
                <w:sz w:val="18"/>
              </w:rPr>
            </w:pPr>
          </w:p>
        </w:tc>
        <w:tc>
          <w:tcPr>
            <w:tcW w:w="3427" w:type="pct"/>
          </w:tcPr>
          <w:p w14:paraId="6BBB2121" w14:textId="77777777" w:rsidR="00007528" w:rsidRPr="00D4309F" w:rsidRDefault="00007528" w:rsidP="00007528">
            <w:pPr>
              <w:pStyle w:val="TableParagraph"/>
              <w:spacing w:before="41" w:line="187" w:lineRule="exact"/>
              <w:ind w:left="165"/>
              <w:rPr>
                <w:color w:val="211E1F"/>
                <w:sz w:val="18"/>
              </w:rPr>
            </w:pPr>
            <w:r w:rsidRPr="00D4309F">
              <w:rPr>
                <w:color w:val="211E1F"/>
                <w:sz w:val="18"/>
              </w:rPr>
              <w:t>Operations</w:t>
            </w:r>
            <w:r w:rsidRPr="00D4309F">
              <w:rPr>
                <w:color w:val="211E1F"/>
                <w:spacing w:val="-6"/>
                <w:sz w:val="18"/>
              </w:rPr>
              <w:t xml:space="preserve"> </w:t>
            </w:r>
            <w:r w:rsidRPr="00D4309F">
              <w:rPr>
                <w:color w:val="211E1F"/>
                <w:sz w:val="18"/>
              </w:rPr>
              <w:t>and</w:t>
            </w:r>
            <w:r w:rsidRPr="00D4309F">
              <w:rPr>
                <w:color w:val="211E1F"/>
                <w:spacing w:val="-5"/>
                <w:sz w:val="18"/>
              </w:rPr>
              <w:t xml:space="preserve"> </w:t>
            </w:r>
            <w:r w:rsidRPr="00D4309F">
              <w:rPr>
                <w:color w:val="211E1F"/>
                <w:sz w:val="18"/>
              </w:rPr>
              <w:t>maintenance</w:t>
            </w:r>
            <w:r w:rsidRPr="00D4309F">
              <w:rPr>
                <w:color w:val="211E1F"/>
                <w:spacing w:val="-3"/>
                <w:sz w:val="18"/>
              </w:rPr>
              <w:t xml:space="preserve"> </w:t>
            </w:r>
            <w:r w:rsidRPr="00D4309F">
              <w:rPr>
                <w:color w:val="211E1F"/>
                <w:sz w:val="18"/>
              </w:rPr>
              <w:t>(OPEX),</w:t>
            </w:r>
            <w:r w:rsidRPr="00D4309F">
              <w:rPr>
                <w:color w:val="211E1F"/>
                <w:spacing w:val="-4"/>
                <w:sz w:val="18"/>
              </w:rPr>
              <w:t xml:space="preserve"> </w:t>
            </w:r>
            <w:r w:rsidRPr="00D4309F">
              <w:rPr>
                <w:color w:val="211E1F"/>
                <w:sz w:val="18"/>
              </w:rPr>
              <w:t>contingency,</w:t>
            </w:r>
            <w:r w:rsidRPr="00D4309F">
              <w:rPr>
                <w:color w:val="211E1F"/>
                <w:spacing w:val="-4"/>
                <w:sz w:val="18"/>
              </w:rPr>
              <w:t xml:space="preserve"> </w:t>
            </w:r>
            <w:r w:rsidRPr="00D4309F">
              <w:rPr>
                <w:color w:val="211E1F"/>
                <w:spacing w:val="-2"/>
                <w:sz w:val="18"/>
              </w:rPr>
              <w:t>monitoring.</w:t>
            </w:r>
          </w:p>
        </w:tc>
        <w:tc>
          <w:tcPr>
            <w:tcW w:w="571" w:type="pct"/>
          </w:tcPr>
          <w:p w14:paraId="04F2D173" w14:textId="2100513C" w:rsidR="00007528" w:rsidRPr="00D4309F" w:rsidRDefault="00007528" w:rsidP="00007528">
            <w:pPr>
              <w:pStyle w:val="TableParagraph"/>
              <w:spacing w:before="41" w:line="187" w:lineRule="exact"/>
              <w:ind w:left="485"/>
              <w:rPr>
                <w:color w:val="211E1F"/>
                <w:spacing w:val="-10"/>
                <w:sz w:val="18"/>
              </w:rPr>
            </w:pPr>
            <w:r w:rsidRPr="00D4309F">
              <w:rPr>
                <w:color w:val="211E1F"/>
                <w:spacing w:val="-10"/>
                <w:sz w:val="18"/>
              </w:rPr>
              <w:t>5</w:t>
            </w:r>
          </w:p>
        </w:tc>
      </w:tr>
      <w:tr w:rsidR="00007528" w:rsidRPr="00D4309F" w14:paraId="017501E8" w14:textId="77777777">
        <w:trPr>
          <w:trHeight w:val="247"/>
        </w:trPr>
        <w:tc>
          <w:tcPr>
            <w:tcW w:w="1002" w:type="pct"/>
            <w:vMerge/>
          </w:tcPr>
          <w:p w14:paraId="7A8C107E" w14:textId="77777777" w:rsidR="00007528" w:rsidRPr="00D4309F" w:rsidRDefault="00007528">
            <w:pPr>
              <w:pStyle w:val="TableParagraph"/>
              <w:rPr>
                <w:rFonts w:ascii="Times New Roman"/>
                <w:sz w:val="18"/>
              </w:rPr>
            </w:pPr>
          </w:p>
        </w:tc>
        <w:tc>
          <w:tcPr>
            <w:tcW w:w="3427" w:type="pct"/>
          </w:tcPr>
          <w:p w14:paraId="6A61A2FD" w14:textId="77777777" w:rsidR="00007528" w:rsidRPr="00D4309F" w:rsidRDefault="00007528">
            <w:pPr>
              <w:pStyle w:val="TableParagraph"/>
              <w:spacing w:before="41" w:line="187" w:lineRule="exact"/>
              <w:ind w:left="165"/>
              <w:rPr>
                <w:color w:val="211E1F"/>
                <w:sz w:val="18"/>
              </w:rPr>
            </w:pPr>
          </w:p>
        </w:tc>
        <w:tc>
          <w:tcPr>
            <w:tcW w:w="571" w:type="pct"/>
          </w:tcPr>
          <w:p w14:paraId="3EB6AF6F" w14:textId="77777777" w:rsidR="00007528" w:rsidRPr="00D4309F" w:rsidRDefault="00007528">
            <w:pPr>
              <w:pStyle w:val="TableParagraph"/>
              <w:spacing w:before="41" w:line="187" w:lineRule="exact"/>
              <w:ind w:left="485"/>
              <w:rPr>
                <w:color w:val="211E1F"/>
                <w:spacing w:val="-10"/>
                <w:sz w:val="18"/>
              </w:rPr>
            </w:pPr>
          </w:p>
        </w:tc>
      </w:tr>
      <w:tr w:rsidR="00007528" w:rsidRPr="00D4309F" w14:paraId="40C3D2DC" w14:textId="77777777">
        <w:trPr>
          <w:trHeight w:val="247"/>
        </w:trPr>
        <w:tc>
          <w:tcPr>
            <w:tcW w:w="1002" w:type="pct"/>
            <w:vMerge/>
          </w:tcPr>
          <w:p w14:paraId="00D6C6D3" w14:textId="77777777" w:rsidR="00007528" w:rsidRPr="00D4309F" w:rsidRDefault="00007528">
            <w:pPr>
              <w:pStyle w:val="TableParagraph"/>
              <w:rPr>
                <w:b/>
                <w:color w:val="211E1F"/>
                <w:spacing w:val="-2"/>
                <w:sz w:val="18"/>
              </w:rPr>
            </w:pPr>
          </w:p>
        </w:tc>
        <w:tc>
          <w:tcPr>
            <w:tcW w:w="3427" w:type="pct"/>
          </w:tcPr>
          <w:p w14:paraId="4A964034" w14:textId="77777777" w:rsidR="00007528" w:rsidRPr="00D4309F" w:rsidRDefault="00007528">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0129EF09" w14:textId="43C48882" w:rsidR="00007528" w:rsidRPr="00D4309F" w:rsidRDefault="00007528">
            <w:pPr>
              <w:pStyle w:val="TableParagraph"/>
              <w:spacing w:before="41" w:line="187" w:lineRule="exact"/>
              <w:ind w:left="485"/>
              <w:rPr>
                <w:color w:val="211E1F"/>
                <w:spacing w:val="-10"/>
                <w:sz w:val="18"/>
              </w:rPr>
            </w:pPr>
            <w:r>
              <w:rPr>
                <w:b/>
                <w:color w:val="211E1F"/>
                <w:spacing w:val="-10"/>
                <w:sz w:val="18"/>
              </w:rPr>
              <w:t>7</w:t>
            </w:r>
          </w:p>
        </w:tc>
      </w:tr>
      <w:tr w:rsidR="00007528" w:rsidRPr="00D4309F" w14:paraId="02A86871" w14:textId="77777777" w:rsidTr="00213A04">
        <w:trPr>
          <w:trHeight w:val="247"/>
        </w:trPr>
        <w:tc>
          <w:tcPr>
            <w:tcW w:w="1002" w:type="pct"/>
            <w:shd w:val="clear" w:color="auto" w:fill="D9D9D9" w:themeFill="background1" w:themeFillShade="D9"/>
          </w:tcPr>
          <w:p w14:paraId="337D0A4E" w14:textId="77777777" w:rsidR="00007528" w:rsidRPr="00D4309F" w:rsidRDefault="00007528">
            <w:pPr>
              <w:pStyle w:val="TableParagraph"/>
              <w:rPr>
                <w:b/>
                <w:color w:val="211E1F"/>
                <w:spacing w:val="-2"/>
                <w:sz w:val="18"/>
              </w:rPr>
            </w:pPr>
            <w:r w:rsidRPr="00D4309F">
              <w:rPr>
                <w:b/>
                <w:color w:val="70004A"/>
                <w:sz w:val="18"/>
              </w:rPr>
              <w:t>Total</w:t>
            </w:r>
            <w:r w:rsidRPr="00D4309F">
              <w:rPr>
                <w:b/>
                <w:color w:val="70004A"/>
                <w:spacing w:val="-3"/>
                <w:sz w:val="18"/>
              </w:rPr>
              <w:t xml:space="preserve"> </w:t>
            </w:r>
            <w:r w:rsidRPr="00D4309F">
              <w:rPr>
                <w:b/>
                <w:color w:val="70004A"/>
                <w:spacing w:val="-2"/>
                <w:sz w:val="18"/>
              </w:rPr>
              <w:t>Score</w:t>
            </w:r>
          </w:p>
        </w:tc>
        <w:tc>
          <w:tcPr>
            <w:tcW w:w="3427" w:type="pct"/>
            <w:shd w:val="clear" w:color="auto" w:fill="D9D9D9" w:themeFill="background1" w:themeFillShade="D9"/>
          </w:tcPr>
          <w:p w14:paraId="5F01231B" w14:textId="77777777" w:rsidR="00007528" w:rsidRPr="00D4309F" w:rsidRDefault="00007528">
            <w:pPr>
              <w:pStyle w:val="TableParagraph"/>
              <w:spacing w:before="41" w:line="187" w:lineRule="exact"/>
              <w:ind w:left="165"/>
              <w:rPr>
                <w:color w:val="211E1F"/>
                <w:sz w:val="18"/>
              </w:rPr>
            </w:pPr>
          </w:p>
        </w:tc>
        <w:tc>
          <w:tcPr>
            <w:tcW w:w="571" w:type="pct"/>
            <w:shd w:val="clear" w:color="auto" w:fill="D9D9D9" w:themeFill="background1" w:themeFillShade="D9"/>
          </w:tcPr>
          <w:p w14:paraId="49ACBBAB" w14:textId="10421E4D" w:rsidR="00007528" w:rsidRPr="00D4309F" w:rsidRDefault="00007528">
            <w:pPr>
              <w:pStyle w:val="TableParagraph"/>
              <w:spacing w:before="41" w:line="187" w:lineRule="exact"/>
              <w:ind w:left="485"/>
              <w:rPr>
                <w:color w:val="211E1F"/>
                <w:spacing w:val="-10"/>
                <w:sz w:val="18"/>
              </w:rPr>
            </w:pPr>
            <w:r w:rsidRPr="00D4309F">
              <w:rPr>
                <w:b/>
                <w:color w:val="70004A"/>
                <w:spacing w:val="-5"/>
                <w:sz w:val="18"/>
              </w:rPr>
              <w:t>7</w:t>
            </w:r>
            <w:r>
              <w:rPr>
                <w:b/>
                <w:color w:val="70004A"/>
                <w:spacing w:val="-5"/>
                <w:sz w:val="18"/>
              </w:rPr>
              <w:t>0</w:t>
            </w:r>
          </w:p>
        </w:tc>
      </w:tr>
    </w:tbl>
    <w:p w14:paraId="07CE733C" w14:textId="77777777" w:rsidR="00007528" w:rsidRDefault="00007528" w:rsidP="00007528">
      <w:pPr>
        <w:pStyle w:val="Caption"/>
      </w:pPr>
      <w:bookmarkStart w:id="382" w:name="_bookmark146"/>
      <w:bookmarkEnd w:id="382"/>
    </w:p>
    <w:p w14:paraId="4371171C" w14:textId="3198420B" w:rsidR="00725977" w:rsidRDefault="00007528" w:rsidP="00151534">
      <w:pPr>
        <w:pStyle w:val="Table-Caption"/>
        <w:rPr>
          <w:color w:val="211E1F"/>
          <w:spacing w:val="-2"/>
        </w:rPr>
      </w:pPr>
      <w:bookmarkStart w:id="383" w:name="_Toc216699567"/>
      <w:r>
        <w:t xml:space="preserve">Table </w:t>
      </w:r>
      <w:r w:rsidR="00151534">
        <w:fldChar w:fldCharType="begin" w:fldLock="1"/>
      </w:r>
      <w:r w:rsidR="00151534">
        <w:instrText xml:space="preserve"> STYLEREF 1 \s </w:instrText>
      </w:r>
      <w:r w:rsidR="00151534">
        <w:fldChar w:fldCharType="separate"/>
      </w:r>
      <w:r w:rsidR="00151534">
        <w:rPr>
          <w:noProof/>
        </w:rPr>
        <w:t>14</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10</w:t>
      </w:r>
      <w:r w:rsidR="00151534">
        <w:fldChar w:fldCharType="end"/>
      </w:r>
      <w:r>
        <w:t>:</w:t>
      </w:r>
      <w:r>
        <w:tab/>
      </w:r>
      <w:r w:rsidRPr="00D4309F">
        <w:rPr>
          <w:color w:val="211E1F"/>
        </w:rPr>
        <w:t>Option</w:t>
      </w:r>
      <w:r w:rsidRPr="00D4309F">
        <w:rPr>
          <w:color w:val="211E1F"/>
          <w:spacing w:val="-2"/>
        </w:rPr>
        <w:t xml:space="preserve"> </w:t>
      </w:r>
      <w:r w:rsidRPr="00D4309F">
        <w:rPr>
          <w:color w:val="211E1F"/>
        </w:rPr>
        <w:t>2B</w:t>
      </w:r>
      <w:r w:rsidRPr="00D4309F">
        <w:rPr>
          <w:color w:val="211E1F"/>
          <w:spacing w:val="-1"/>
        </w:rPr>
        <w:t xml:space="preserve"> </w:t>
      </w:r>
      <w:r w:rsidRPr="00D4309F">
        <w:rPr>
          <w:color w:val="211E1F"/>
        </w:rPr>
        <w:t>MCA</w:t>
      </w:r>
      <w:r w:rsidRPr="00D4309F">
        <w:rPr>
          <w:color w:val="211E1F"/>
          <w:spacing w:val="-1"/>
        </w:rPr>
        <w:t xml:space="preserve"> </w:t>
      </w:r>
      <w:r w:rsidRPr="00D4309F">
        <w:rPr>
          <w:color w:val="211E1F"/>
          <w:spacing w:val="-2"/>
        </w:rPr>
        <w:t>scoring</w:t>
      </w:r>
      <w:bookmarkEnd w:id="383"/>
    </w:p>
    <w:tbl>
      <w:tblPr>
        <w:tblStyle w:val="Table1"/>
        <w:tblW w:w="5000" w:type="pct"/>
        <w:tblLook w:val="04A0" w:firstRow="1" w:lastRow="0" w:firstColumn="1" w:lastColumn="0" w:noHBand="0" w:noVBand="1"/>
      </w:tblPr>
      <w:tblGrid>
        <w:gridCol w:w="2920"/>
        <w:gridCol w:w="9988"/>
        <w:gridCol w:w="1664"/>
      </w:tblGrid>
      <w:tr w:rsidR="00007528" w:rsidRPr="00D4309F" w14:paraId="11786952" w14:textId="77777777">
        <w:trPr>
          <w:cnfStyle w:val="100000000000" w:firstRow="1" w:lastRow="0" w:firstColumn="0" w:lastColumn="0" w:oddVBand="0" w:evenVBand="0" w:oddHBand="0" w:evenHBand="0" w:firstRowFirstColumn="0" w:firstRowLastColumn="0" w:lastRowFirstColumn="0" w:lastRowLastColumn="0"/>
          <w:trHeight w:val="286"/>
          <w:tblHeader/>
        </w:trPr>
        <w:tc>
          <w:tcPr>
            <w:tcW w:w="1002" w:type="pct"/>
          </w:tcPr>
          <w:p w14:paraId="2A426D67" w14:textId="77777777" w:rsidR="00007528" w:rsidRPr="00D4309F" w:rsidRDefault="00007528">
            <w:pPr>
              <w:pStyle w:val="TableParagraph"/>
              <w:spacing w:before="40"/>
              <w:ind w:left="165"/>
              <w:rPr>
                <w:b/>
                <w:sz w:val="18"/>
              </w:rPr>
            </w:pPr>
            <w:r w:rsidRPr="00D4309F">
              <w:rPr>
                <w:b/>
                <w:color w:val="70004A"/>
                <w:sz w:val="18"/>
              </w:rPr>
              <w:t>MCA</w:t>
            </w:r>
            <w:r w:rsidRPr="00D4309F">
              <w:rPr>
                <w:b/>
                <w:color w:val="70004A"/>
                <w:spacing w:val="-3"/>
                <w:sz w:val="18"/>
              </w:rPr>
              <w:t xml:space="preserve"> </w:t>
            </w:r>
            <w:r w:rsidRPr="00D4309F">
              <w:rPr>
                <w:b/>
                <w:color w:val="70004A"/>
                <w:spacing w:val="-2"/>
                <w:sz w:val="18"/>
              </w:rPr>
              <w:t>Category</w:t>
            </w:r>
          </w:p>
        </w:tc>
        <w:tc>
          <w:tcPr>
            <w:tcW w:w="3427" w:type="pct"/>
          </w:tcPr>
          <w:p w14:paraId="516BBF91" w14:textId="77777777" w:rsidR="00007528" w:rsidRPr="00D4309F" w:rsidRDefault="00007528">
            <w:pPr>
              <w:pStyle w:val="TableParagraph"/>
              <w:spacing w:before="40"/>
              <w:ind w:left="165"/>
              <w:rPr>
                <w:b/>
                <w:sz w:val="18"/>
              </w:rPr>
            </w:pPr>
            <w:r w:rsidRPr="00D4309F">
              <w:rPr>
                <w:b/>
                <w:color w:val="70004A"/>
                <w:sz w:val="18"/>
              </w:rPr>
              <w:t>MCA</w:t>
            </w:r>
            <w:r w:rsidRPr="00D4309F">
              <w:rPr>
                <w:b/>
                <w:color w:val="70004A"/>
                <w:spacing w:val="-1"/>
                <w:sz w:val="18"/>
              </w:rPr>
              <w:t xml:space="preserve"> </w:t>
            </w:r>
            <w:r w:rsidRPr="00D4309F">
              <w:rPr>
                <w:b/>
                <w:color w:val="70004A"/>
                <w:spacing w:val="-2"/>
                <w:sz w:val="18"/>
              </w:rPr>
              <w:t>criteria</w:t>
            </w:r>
          </w:p>
        </w:tc>
        <w:tc>
          <w:tcPr>
            <w:tcW w:w="571" w:type="pct"/>
          </w:tcPr>
          <w:p w14:paraId="2DA0EB87" w14:textId="77777777" w:rsidR="00007528" w:rsidRPr="00D4309F" w:rsidRDefault="00007528">
            <w:pPr>
              <w:pStyle w:val="TableParagraph"/>
              <w:spacing w:before="40"/>
              <w:ind w:left="485"/>
              <w:rPr>
                <w:b/>
                <w:sz w:val="18"/>
              </w:rPr>
            </w:pPr>
            <w:r w:rsidRPr="00D4309F">
              <w:rPr>
                <w:b/>
                <w:color w:val="70004A"/>
                <w:spacing w:val="-2"/>
                <w:sz w:val="18"/>
              </w:rPr>
              <w:t>Score</w:t>
            </w:r>
          </w:p>
        </w:tc>
      </w:tr>
      <w:tr w:rsidR="00007528" w:rsidRPr="00D4309F" w14:paraId="50F4392D" w14:textId="77777777">
        <w:trPr>
          <w:trHeight w:val="494"/>
        </w:trPr>
        <w:tc>
          <w:tcPr>
            <w:tcW w:w="1002" w:type="pct"/>
            <w:vMerge w:val="restart"/>
          </w:tcPr>
          <w:p w14:paraId="536D2902" w14:textId="77777777" w:rsidR="00007528" w:rsidRPr="00D4309F" w:rsidRDefault="00007528" w:rsidP="00007528">
            <w:pPr>
              <w:pStyle w:val="TableParagraph"/>
              <w:spacing w:before="39"/>
              <w:ind w:left="165"/>
              <w:rPr>
                <w:b/>
                <w:sz w:val="18"/>
              </w:rPr>
            </w:pPr>
            <w:r w:rsidRPr="00D4309F">
              <w:rPr>
                <w:b/>
                <w:color w:val="211E1F"/>
                <w:sz w:val="18"/>
              </w:rPr>
              <w:t>Coastal</w:t>
            </w:r>
            <w:r w:rsidRPr="00D4309F">
              <w:rPr>
                <w:b/>
                <w:color w:val="211E1F"/>
                <w:spacing w:val="-4"/>
                <w:sz w:val="18"/>
              </w:rPr>
              <w:t xml:space="preserve"> </w:t>
            </w:r>
            <w:r w:rsidRPr="00D4309F">
              <w:rPr>
                <w:b/>
                <w:color w:val="211E1F"/>
                <w:spacing w:val="-2"/>
                <w:sz w:val="18"/>
              </w:rPr>
              <w:t>engineering</w:t>
            </w:r>
          </w:p>
        </w:tc>
        <w:tc>
          <w:tcPr>
            <w:tcW w:w="3427" w:type="pct"/>
          </w:tcPr>
          <w:p w14:paraId="1DCB10BD" w14:textId="77777777" w:rsidR="00007528" w:rsidRPr="00D4309F" w:rsidRDefault="00007528" w:rsidP="00007528">
            <w:pPr>
              <w:pStyle w:val="TableParagraph"/>
              <w:spacing w:before="39"/>
              <w:ind w:left="166"/>
              <w:rPr>
                <w:sz w:val="18"/>
              </w:rPr>
            </w:pPr>
            <w:r w:rsidRPr="00D4309F">
              <w:rPr>
                <w:color w:val="211E1F"/>
                <w:sz w:val="18"/>
              </w:rPr>
              <w:t>Effectiveness:</w:t>
            </w:r>
            <w:r w:rsidRPr="00D4309F">
              <w:rPr>
                <w:color w:val="211E1F"/>
                <w:spacing w:val="-2"/>
                <w:sz w:val="18"/>
              </w:rPr>
              <w:t xml:space="preserve"> </w:t>
            </w:r>
            <w:r w:rsidRPr="00D4309F">
              <w:rPr>
                <w:color w:val="211E1F"/>
                <w:sz w:val="18"/>
              </w:rPr>
              <w:t>Likely</w:t>
            </w:r>
            <w:r w:rsidRPr="00D4309F">
              <w:rPr>
                <w:color w:val="211E1F"/>
                <w:spacing w:val="-1"/>
                <w:sz w:val="18"/>
              </w:rPr>
              <w:t xml:space="preserve"> </w:t>
            </w:r>
            <w:r w:rsidRPr="00D4309F">
              <w:rPr>
                <w:color w:val="211E1F"/>
                <w:sz w:val="18"/>
              </w:rPr>
              <w:t>ability</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shift</w:t>
            </w:r>
            <w:r w:rsidRPr="00D4309F">
              <w:rPr>
                <w:color w:val="211E1F"/>
                <w:spacing w:val="-2"/>
                <w:sz w:val="18"/>
              </w:rPr>
              <w:t xml:space="preserve"> </w:t>
            </w:r>
            <w:r w:rsidRPr="00D4309F">
              <w:rPr>
                <w:color w:val="211E1F"/>
                <w:sz w:val="18"/>
              </w:rPr>
              <w:t>enough</w:t>
            </w:r>
            <w:r w:rsidRPr="00D4309F">
              <w:rPr>
                <w:color w:val="211E1F"/>
                <w:spacing w:val="-3"/>
                <w:sz w:val="18"/>
              </w:rPr>
              <w:t xml:space="preserve"> </w:t>
            </w:r>
            <w:r w:rsidRPr="00D4309F">
              <w:rPr>
                <w:color w:val="211E1F"/>
                <w:sz w:val="18"/>
              </w:rPr>
              <w:t>sand</w:t>
            </w:r>
            <w:r w:rsidRPr="00D4309F">
              <w:rPr>
                <w:color w:val="211E1F"/>
                <w:spacing w:val="-3"/>
                <w:sz w:val="18"/>
              </w:rPr>
              <w:t xml:space="preserve"> </w:t>
            </w:r>
            <w:r w:rsidRPr="00D4309F">
              <w:rPr>
                <w:color w:val="211E1F"/>
                <w:sz w:val="18"/>
              </w:rPr>
              <w:t>past</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entrance</w:t>
            </w:r>
            <w:r w:rsidRPr="00D4309F">
              <w:rPr>
                <w:color w:val="211E1F"/>
                <w:spacing w:val="-3"/>
                <w:sz w:val="18"/>
              </w:rPr>
              <w:t xml:space="preserve"> </w:t>
            </w:r>
            <w:r w:rsidRPr="00D4309F">
              <w:rPr>
                <w:color w:val="211E1F"/>
                <w:sz w:val="18"/>
              </w:rPr>
              <w:t>(bypassing</w:t>
            </w:r>
            <w:r w:rsidRPr="00D4309F">
              <w:rPr>
                <w:color w:val="211E1F"/>
                <w:spacing w:val="-3"/>
                <w:sz w:val="18"/>
              </w:rPr>
              <w:t xml:space="preserve"> </w:t>
            </w:r>
            <w:r w:rsidRPr="00D4309F">
              <w:rPr>
                <w:color w:val="211E1F"/>
                <w:sz w:val="18"/>
              </w:rPr>
              <w:t>efficiency,</w:t>
            </w:r>
            <w:r w:rsidRPr="00D4309F">
              <w:rPr>
                <w:color w:val="211E1F"/>
                <w:spacing w:val="-2"/>
                <w:sz w:val="18"/>
              </w:rPr>
              <w:t xml:space="preserve"> </w:t>
            </w:r>
            <w:r w:rsidRPr="00D4309F">
              <w:rPr>
                <w:color w:val="211E1F"/>
                <w:sz w:val="18"/>
              </w:rPr>
              <w:t>trap</w:t>
            </w:r>
            <w:r w:rsidRPr="00D4309F">
              <w:rPr>
                <w:color w:val="211E1F"/>
                <w:spacing w:val="-3"/>
                <w:sz w:val="18"/>
              </w:rPr>
              <w:t xml:space="preserve"> </w:t>
            </w:r>
            <w:r w:rsidRPr="00D4309F">
              <w:rPr>
                <w:color w:val="211E1F"/>
                <w:sz w:val="18"/>
              </w:rPr>
              <w:t>capture</w:t>
            </w:r>
            <w:r w:rsidRPr="00D4309F">
              <w:rPr>
                <w:color w:val="211E1F"/>
                <w:spacing w:val="-3"/>
                <w:sz w:val="18"/>
              </w:rPr>
              <w:t xml:space="preserve"> </w:t>
            </w:r>
            <w:r w:rsidRPr="00D4309F">
              <w:rPr>
                <w:color w:val="211E1F"/>
                <w:sz w:val="18"/>
              </w:rPr>
              <w:t>rate,</w:t>
            </w:r>
            <w:r w:rsidRPr="00D4309F">
              <w:rPr>
                <w:color w:val="211E1F"/>
                <w:spacing w:val="-2"/>
                <w:sz w:val="18"/>
              </w:rPr>
              <w:t xml:space="preserve"> </w:t>
            </w:r>
            <w:r w:rsidRPr="00D4309F">
              <w:rPr>
                <w:color w:val="211E1F"/>
                <w:sz w:val="18"/>
              </w:rPr>
              <w:t>reduction</w:t>
            </w:r>
            <w:r w:rsidRPr="00D4309F">
              <w:rPr>
                <w:color w:val="211E1F"/>
                <w:spacing w:val="-3"/>
                <w:sz w:val="18"/>
              </w:rPr>
              <w:t xml:space="preserve"> </w:t>
            </w:r>
            <w:r w:rsidRPr="00D4309F">
              <w:rPr>
                <w:color w:val="211E1F"/>
                <w:sz w:val="18"/>
              </w:rPr>
              <w:t>in</w:t>
            </w:r>
            <w:r w:rsidRPr="00D4309F">
              <w:rPr>
                <w:color w:val="211E1F"/>
                <w:spacing w:val="-3"/>
                <w:sz w:val="18"/>
              </w:rPr>
              <w:t xml:space="preserve"> </w:t>
            </w:r>
            <w:r w:rsidRPr="00D4309F">
              <w:rPr>
                <w:color w:val="211E1F"/>
                <w:sz w:val="18"/>
              </w:rPr>
              <w:t>shoal frequency/magnitude, entrance depth reliability).</w:t>
            </w:r>
          </w:p>
        </w:tc>
        <w:tc>
          <w:tcPr>
            <w:tcW w:w="571" w:type="pct"/>
          </w:tcPr>
          <w:p w14:paraId="124DE26D" w14:textId="367A2E52" w:rsidR="00007528" w:rsidRPr="00D4309F" w:rsidRDefault="00007528" w:rsidP="00007528">
            <w:pPr>
              <w:pStyle w:val="TableParagraph"/>
              <w:spacing w:before="39"/>
              <w:ind w:left="485"/>
              <w:rPr>
                <w:sz w:val="18"/>
              </w:rPr>
            </w:pPr>
            <w:r w:rsidRPr="00D4309F">
              <w:rPr>
                <w:color w:val="211E1F"/>
                <w:spacing w:val="-10"/>
                <w:sz w:val="18"/>
              </w:rPr>
              <w:t>4</w:t>
            </w:r>
          </w:p>
        </w:tc>
      </w:tr>
      <w:tr w:rsidR="00007528" w:rsidRPr="00D4309F" w14:paraId="48F9C410" w14:textId="77777777">
        <w:trPr>
          <w:trHeight w:val="286"/>
        </w:trPr>
        <w:tc>
          <w:tcPr>
            <w:tcW w:w="1002" w:type="pct"/>
            <w:vMerge/>
          </w:tcPr>
          <w:p w14:paraId="44425B6C" w14:textId="77777777" w:rsidR="00007528" w:rsidRPr="00D4309F" w:rsidRDefault="00007528" w:rsidP="00007528">
            <w:pPr>
              <w:pStyle w:val="TableParagraph"/>
              <w:rPr>
                <w:rFonts w:ascii="Times New Roman"/>
                <w:sz w:val="18"/>
              </w:rPr>
            </w:pPr>
          </w:p>
        </w:tc>
        <w:tc>
          <w:tcPr>
            <w:tcW w:w="3427" w:type="pct"/>
          </w:tcPr>
          <w:p w14:paraId="40BA238A" w14:textId="77777777" w:rsidR="00007528" w:rsidRPr="00D4309F" w:rsidRDefault="00007528" w:rsidP="00007528">
            <w:pPr>
              <w:pStyle w:val="TableParagraph"/>
              <w:spacing w:before="39"/>
              <w:ind w:left="165"/>
              <w:rPr>
                <w:sz w:val="18"/>
              </w:rPr>
            </w:pPr>
            <w:r w:rsidRPr="00D4309F">
              <w:rPr>
                <w:color w:val="211E1F"/>
                <w:sz w:val="18"/>
              </w:rPr>
              <w:t>Impacts</w:t>
            </w:r>
            <w:r w:rsidRPr="00D4309F">
              <w:rPr>
                <w:color w:val="211E1F"/>
                <w:spacing w:val="-5"/>
                <w:sz w:val="18"/>
              </w:rPr>
              <w:t xml:space="preserve"> </w:t>
            </w:r>
            <w:r w:rsidRPr="00D4309F">
              <w:rPr>
                <w:color w:val="211E1F"/>
                <w:sz w:val="18"/>
              </w:rPr>
              <w:t>on</w:t>
            </w:r>
            <w:r w:rsidRPr="00D4309F">
              <w:rPr>
                <w:color w:val="211E1F"/>
                <w:spacing w:val="-2"/>
                <w:sz w:val="18"/>
              </w:rPr>
              <w:t xml:space="preserve"> </w:t>
            </w:r>
            <w:r w:rsidRPr="00D4309F">
              <w:rPr>
                <w:color w:val="211E1F"/>
                <w:sz w:val="18"/>
              </w:rPr>
              <w:t>coastal</w:t>
            </w:r>
            <w:r w:rsidRPr="00D4309F">
              <w:rPr>
                <w:color w:val="211E1F"/>
                <w:spacing w:val="-2"/>
                <w:sz w:val="18"/>
              </w:rPr>
              <w:t xml:space="preserve"> </w:t>
            </w:r>
            <w:r w:rsidRPr="00D4309F">
              <w:rPr>
                <w:color w:val="211E1F"/>
                <w:sz w:val="18"/>
              </w:rPr>
              <w:t>processes:</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level</w:t>
            </w:r>
            <w:r w:rsidRPr="00D4309F">
              <w:rPr>
                <w:color w:val="211E1F"/>
                <w:spacing w:val="-2"/>
                <w:sz w:val="18"/>
              </w:rPr>
              <w:t xml:space="preserve"> </w:t>
            </w:r>
            <w:r w:rsidRPr="00D4309F">
              <w:rPr>
                <w:color w:val="211E1F"/>
                <w:sz w:val="18"/>
              </w:rPr>
              <w:t>in</w:t>
            </w:r>
            <w:r w:rsidRPr="00D4309F">
              <w:rPr>
                <w:color w:val="211E1F"/>
                <w:spacing w:val="-3"/>
                <w:sz w:val="18"/>
              </w:rPr>
              <w:t xml:space="preserve"> </w:t>
            </w:r>
            <w:r w:rsidRPr="00D4309F">
              <w:rPr>
                <w:color w:val="211E1F"/>
                <w:sz w:val="18"/>
              </w:rPr>
              <w:t>which</w:t>
            </w:r>
            <w:r w:rsidRPr="00D4309F">
              <w:rPr>
                <w:color w:val="211E1F"/>
                <w:spacing w:val="-3"/>
                <w:sz w:val="18"/>
              </w:rPr>
              <w:t xml:space="preserve"> </w:t>
            </w:r>
            <w:r w:rsidRPr="00D4309F">
              <w:rPr>
                <w:color w:val="211E1F"/>
                <w:sz w:val="18"/>
              </w:rPr>
              <w:t>it</w:t>
            </w:r>
            <w:r w:rsidRPr="00D4309F">
              <w:rPr>
                <w:color w:val="211E1F"/>
                <w:spacing w:val="-2"/>
                <w:sz w:val="18"/>
              </w:rPr>
              <w:t xml:space="preserve"> </w:t>
            </w:r>
            <w:r w:rsidRPr="00D4309F">
              <w:rPr>
                <w:color w:val="211E1F"/>
                <w:sz w:val="18"/>
              </w:rPr>
              <w:t>changes</w:t>
            </w:r>
            <w:r w:rsidRPr="00D4309F">
              <w:rPr>
                <w:color w:val="211E1F"/>
                <w:spacing w:val="-1"/>
                <w:sz w:val="18"/>
              </w:rPr>
              <w:t xml:space="preserve"> </w:t>
            </w:r>
            <w:r w:rsidRPr="00D4309F">
              <w:rPr>
                <w:color w:val="211E1F"/>
                <w:sz w:val="18"/>
              </w:rPr>
              <w:t>or</w:t>
            </w:r>
            <w:r w:rsidRPr="00D4309F">
              <w:rPr>
                <w:color w:val="211E1F"/>
                <w:spacing w:val="-2"/>
                <w:sz w:val="18"/>
              </w:rPr>
              <w:t xml:space="preserve"> </w:t>
            </w:r>
            <w:r w:rsidRPr="00D4309F">
              <w:rPr>
                <w:color w:val="211E1F"/>
                <w:sz w:val="18"/>
              </w:rPr>
              <w:t>has</w:t>
            </w:r>
            <w:r w:rsidRPr="00D4309F">
              <w:rPr>
                <w:color w:val="211E1F"/>
                <w:spacing w:val="-3"/>
                <w:sz w:val="18"/>
              </w:rPr>
              <w:t xml:space="preserve"> </w:t>
            </w:r>
            <w:r w:rsidRPr="00D4309F">
              <w:rPr>
                <w:color w:val="211E1F"/>
                <w:sz w:val="18"/>
              </w:rPr>
              <w:t>negative</w:t>
            </w:r>
            <w:r w:rsidRPr="00D4309F">
              <w:rPr>
                <w:color w:val="211E1F"/>
                <w:spacing w:val="-2"/>
                <w:sz w:val="18"/>
              </w:rPr>
              <w:t xml:space="preserve"> </w:t>
            </w:r>
            <w:r w:rsidRPr="00D4309F">
              <w:rPr>
                <w:color w:val="211E1F"/>
                <w:sz w:val="18"/>
              </w:rPr>
              <w:t>impacts</w:t>
            </w:r>
            <w:r w:rsidRPr="00D4309F">
              <w:rPr>
                <w:color w:val="211E1F"/>
                <w:spacing w:val="-2"/>
                <w:sz w:val="18"/>
              </w:rPr>
              <w:t xml:space="preserve"> </w:t>
            </w:r>
            <w:r w:rsidRPr="00D4309F">
              <w:rPr>
                <w:color w:val="211E1F"/>
                <w:sz w:val="18"/>
              </w:rPr>
              <w:t>on</w:t>
            </w:r>
            <w:r w:rsidRPr="00D4309F">
              <w:rPr>
                <w:color w:val="211E1F"/>
                <w:spacing w:val="-3"/>
                <w:sz w:val="18"/>
              </w:rPr>
              <w:t xml:space="preserve"> </w:t>
            </w:r>
            <w:r w:rsidRPr="00D4309F">
              <w:rPr>
                <w:color w:val="211E1F"/>
                <w:sz w:val="18"/>
              </w:rPr>
              <w:t>existing</w:t>
            </w:r>
            <w:r w:rsidRPr="00D4309F">
              <w:rPr>
                <w:color w:val="211E1F"/>
                <w:spacing w:val="-3"/>
                <w:sz w:val="18"/>
              </w:rPr>
              <w:t xml:space="preserve"> </w:t>
            </w:r>
            <w:r w:rsidRPr="00D4309F">
              <w:rPr>
                <w:color w:val="211E1F"/>
                <w:sz w:val="18"/>
              </w:rPr>
              <w:t>coastal</w:t>
            </w:r>
            <w:r w:rsidRPr="00D4309F">
              <w:rPr>
                <w:color w:val="211E1F"/>
                <w:spacing w:val="-1"/>
                <w:sz w:val="18"/>
              </w:rPr>
              <w:t xml:space="preserve"> </w:t>
            </w:r>
            <w:r w:rsidRPr="00D4309F">
              <w:rPr>
                <w:color w:val="211E1F"/>
                <w:spacing w:val="-2"/>
                <w:sz w:val="18"/>
              </w:rPr>
              <w:t>processes</w:t>
            </w:r>
          </w:p>
        </w:tc>
        <w:tc>
          <w:tcPr>
            <w:tcW w:w="571" w:type="pct"/>
          </w:tcPr>
          <w:p w14:paraId="3FF22ECA" w14:textId="77AAE632" w:rsidR="00007528" w:rsidRPr="00D4309F" w:rsidRDefault="00007528" w:rsidP="00007528">
            <w:pPr>
              <w:pStyle w:val="TableParagraph"/>
              <w:spacing w:before="39"/>
              <w:ind w:left="485"/>
              <w:rPr>
                <w:sz w:val="18"/>
              </w:rPr>
            </w:pPr>
            <w:r w:rsidRPr="00D4309F">
              <w:rPr>
                <w:color w:val="211E1F"/>
                <w:spacing w:val="-10"/>
                <w:sz w:val="18"/>
              </w:rPr>
              <w:t>3</w:t>
            </w:r>
          </w:p>
        </w:tc>
      </w:tr>
      <w:tr w:rsidR="00007528" w:rsidRPr="00D4309F" w14:paraId="66D4A9BB" w14:textId="77777777">
        <w:trPr>
          <w:trHeight w:val="287"/>
        </w:trPr>
        <w:tc>
          <w:tcPr>
            <w:tcW w:w="1002" w:type="pct"/>
            <w:vMerge/>
          </w:tcPr>
          <w:p w14:paraId="30E37AFF" w14:textId="77777777" w:rsidR="00007528" w:rsidRPr="00D4309F" w:rsidRDefault="00007528" w:rsidP="00007528">
            <w:pPr>
              <w:pStyle w:val="TableParagraph"/>
              <w:rPr>
                <w:rFonts w:ascii="Times New Roman"/>
                <w:sz w:val="18"/>
              </w:rPr>
            </w:pPr>
          </w:p>
        </w:tc>
        <w:tc>
          <w:tcPr>
            <w:tcW w:w="3427" w:type="pct"/>
          </w:tcPr>
          <w:p w14:paraId="21F252AB" w14:textId="77777777" w:rsidR="00007528" w:rsidRPr="00D4309F" w:rsidRDefault="00007528" w:rsidP="00007528">
            <w:pPr>
              <w:pStyle w:val="TableParagraph"/>
              <w:spacing w:before="41"/>
              <w:ind w:left="165"/>
              <w:rPr>
                <w:sz w:val="18"/>
              </w:rPr>
            </w:pPr>
            <w:r w:rsidRPr="00D4309F">
              <w:rPr>
                <w:color w:val="211E1F"/>
                <w:sz w:val="18"/>
              </w:rPr>
              <w:t>Design</w:t>
            </w:r>
            <w:r w:rsidRPr="00D4309F">
              <w:rPr>
                <w:color w:val="211E1F"/>
                <w:spacing w:val="-5"/>
                <w:sz w:val="18"/>
              </w:rPr>
              <w:t xml:space="preserve"> </w:t>
            </w:r>
            <w:r w:rsidRPr="00D4309F">
              <w:rPr>
                <w:color w:val="211E1F"/>
                <w:sz w:val="18"/>
              </w:rPr>
              <w:t>and</w:t>
            </w:r>
            <w:r w:rsidRPr="00D4309F">
              <w:rPr>
                <w:color w:val="211E1F"/>
                <w:spacing w:val="-3"/>
                <w:sz w:val="18"/>
              </w:rPr>
              <w:t xml:space="preserve"> </w:t>
            </w:r>
            <w:r w:rsidRPr="00D4309F">
              <w:rPr>
                <w:color w:val="211E1F"/>
                <w:sz w:val="18"/>
              </w:rPr>
              <w:t>approvals:</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far</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option</w:t>
            </w:r>
            <w:r w:rsidRPr="00D4309F">
              <w:rPr>
                <w:color w:val="211E1F"/>
                <w:spacing w:val="-1"/>
                <w:sz w:val="18"/>
              </w:rPr>
              <w:t xml:space="preserve"> </w:t>
            </w:r>
            <w:r w:rsidRPr="00D4309F">
              <w:rPr>
                <w:color w:val="211E1F"/>
                <w:sz w:val="18"/>
              </w:rPr>
              <w:t>progressed</w:t>
            </w:r>
            <w:r w:rsidRPr="00D4309F">
              <w:rPr>
                <w:color w:val="211E1F"/>
                <w:spacing w:val="-3"/>
                <w:sz w:val="18"/>
              </w:rPr>
              <w:t xml:space="preserve"> </w:t>
            </w:r>
            <w:r w:rsidRPr="00D4309F">
              <w:rPr>
                <w:color w:val="211E1F"/>
                <w:sz w:val="18"/>
              </w:rPr>
              <w:t>with</w:t>
            </w:r>
            <w:r w:rsidRPr="00D4309F">
              <w:rPr>
                <w:color w:val="211E1F"/>
                <w:spacing w:val="-3"/>
                <w:sz w:val="18"/>
              </w:rPr>
              <w:t xml:space="preserve"> </w:t>
            </w:r>
            <w:r w:rsidRPr="00D4309F">
              <w:rPr>
                <w:color w:val="211E1F"/>
                <w:sz w:val="18"/>
              </w:rPr>
              <w:t>design</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approvals</w:t>
            </w:r>
            <w:r w:rsidRPr="00D4309F">
              <w:rPr>
                <w:color w:val="211E1F"/>
                <w:spacing w:val="-2"/>
                <w:sz w:val="18"/>
              </w:rPr>
              <w:t xml:space="preserve"> </w:t>
            </w:r>
            <w:r w:rsidRPr="00D4309F">
              <w:rPr>
                <w:color w:val="211E1F"/>
                <w:sz w:val="18"/>
              </w:rPr>
              <w:t>and</w:t>
            </w:r>
            <w:r w:rsidRPr="00D4309F">
              <w:rPr>
                <w:color w:val="211E1F"/>
                <w:spacing w:val="-3"/>
                <w:sz w:val="18"/>
              </w:rPr>
              <w:t xml:space="preserve"> </w:t>
            </w:r>
            <w:r w:rsidRPr="00D4309F">
              <w:rPr>
                <w:color w:val="211E1F"/>
                <w:sz w:val="18"/>
              </w:rPr>
              <w:t>how</w:t>
            </w:r>
            <w:r w:rsidRPr="00D4309F">
              <w:rPr>
                <w:color w:val="211E1F"/>
                <w:spacing w:val="-2"/>
                <w:sz w:val="18"/>
              </w:rPr>
              <w:t xml:space="preserve"> </w:t>
            </w:r>
            <w:r w:rsidRPr="00D4309F">
              <w:rPr>
                <w:color w:val="211E1F"/>
                <w:sz w:val="18"/>
              </w:rPr>
              <w:t>much</w:t>
            </w:r>
            <w:r w:rsidRPr="00D4309F">
              <w:rPr>
                <w:color w:val="211E1F"/>
                <w:spacing w:val="-3"/>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2"/>
                <w:sz w:val="18"/>
              </w:rPr>
              <w:t xml:space="preserve"> required</w:t>
            </w:r>
          </w:p>
        </w:tc>
        <w:tc>
          <w:tcPr>
            <w:tcW w:w="571" w:type="pct"/>
          </w:tcPr>
          <w:p w14:paraId="685A2F47" w14:textId="35EA1328" w:rsidR="00007528" w:rsidRPr="00D4309F" w:rsidRDefault="00007528" w:rsidP="00007528">
            <w:pPr>
              <w:pStyle w:val="TableParagraph"/>
              <w:spacing w:before="41"/>
              <w:ind w:left="484"/>
              <w:rPr>
                <w:sz w:val="18"/>
              </w:rPr>
            </w:pPr>
            <w:r w:rsidRPr="00D4309F">
              <w:rPr>
                <w:color w:val="211E1F"/>
                <w:spacing w:val="-10"/>
                <w:sz w:val="18"/>
              </w:rPr>
              <w:t>1</w:t>
            </w:r>
          </w:p>
        </w:tc>
      </w:tr>
      <w:tr w:rsidR="00007528" w:rsidRPr="00D4309F" w14:paraId="5BC96591" w14:textId="77777777">
        <w:trPr>
          <w:trHeight w:val="286"/>
        </w:trPr>
        <w:tc>
          <w:tcPr>
            <w:tcW w:w="1002" w:type="pct"/>
            <w:vMerge/>
          </w:tcPr>
          <w:p w14:paraId="07805D34" w14:textId="77777777" w:rsidR="00007528" w:rsidRPr="00D4309F" w:rsidRDefault="00007528" w:rsidP="00007528">
            <w:pPr>
              <w:pStyle w:val="TableParagraph"/>
              <w:rPr>
                <w:rFonts w:ascii="Times New Roman"/>
                <w:sz w:val="18"/>
              </w:rPr>
            </w:pPr>
          </w:p>
        </w:tc>
        <w:tc>
          <w:tcPr>
            <w:tcW w:w="3427" w:type="pct"/>
          </w:tcPr>
          <w:p w14:paraId="62844771" w14:textId="77777777" w:rsidR="00007528" w:rsidRPr="00D4309F" w:rsidRDefault="00007528" w:rsidP="00007528">
            <w:pPr>
              <w:pStyle w:val="TableParagraph"/>
              <w:spacing w:before="39"/>
              <w:ind w:left="165"/>
              <w:rPr>
                <w:sz w:val="18"/>
              </w:rPr>
            </w:pPr>
            <w:r w:rsidRPr="00D4309F">
              <w:rPr>
                <w:color w:val="211E1F"/>
                <w:sz w:val="18"/>
              </w:rPr>
              <w:t>Capital</w:t>
            </w:r>
            <w:r w:rsidRPr="00D4309F">
              <w:rPr>
                <w:color w:val="211E1F"/>
                <w:spacing w:val="-5"/>
                <w:sz w:val="18"/>
              </w:rPr>
              <w:t xml:space="preserve"> </w:t>
            </w:r>
            <w:r w:rsidRPr="00D4309F">
              <w:rPr>
                <w:color w:val="211E1F"/>
                <w:sz w:val="18"/>
              </w:rPr>
              <w:t>works:</w:t>
            </w:r>
            <w:r w:rsidRPr="00D4309F">
              <w:rPr>
                <w:color w:val="211E1F"/>
                <w:spacing w:val="-1"/>
                <w:sz w:val="18"/>
              </w:rPr>
              <w:t xml:space="preserve"> </w:t>
            </w:r>
            <w:r w:rsidRPr="00D4309F">
              <w:rPr>
                <w:color w:val="211E1F"/>
                <w:sz w:val="18"/>
              </w:rPr>
              <w:t>how</w:t>
            </w:r>
            <w:r w:rsidRPr="00D4309F">
              <w:rPr>
                <w:color w:val="211E1F"/>
                <w:spacing w:val="-2"/>
                <w:sz w:val="18"/>
              </w:rPr>
              <w:t xml:space="preserve"> </w:t>
            </w:r>
            <w:r w:rsidRPr="00D4309F">
              <w:rPr>
                <w:color w:val="211E1F"/>
                <w:sz w:val="18"/>
              </w:rPr>
              <w:t>significant</w:t>
            </w:r>
            <w:r w:rsidRPr="00D4309F">
              <w:rPr>
                <w:color w:val="211E1F"/>
                <w:spacing w:val="-1"/>
                <w:sz w:val="18"/>
              </w:rPr>
              <w:t xml:space="preserve"> </w:t>
            </w:r>
            <w:r w:rsidRPr="00D4309F">
              <w:rPr>
                <w:color w:val="211E1F"/>
                <w:sz w:val="18"/>
              </w:rPr>
              <w:t>the</w:t>
            </w:r>
            <w:r w:rsidRPr="00D4309F">
              <w:rPr>
                <w:color w:val="211E1F"/>
                <w:spacing w:val="-4"/>
                <w:sz w:val="18"/>
              </w:rPr>
              <w:t xml:space="preserve"> </w:t>
            </w:r>
            <w:r w:rsidRPr="00D4309F">
              <w:rPr>
                <w:color w:val="211E1F"/>
                <w:sz w:val="18"/>
              </w:rPr>
              <w:t>capital</w:t>
            </w:r>
            <w:r w:rsidRPr="00D4309F">
              <w:rPr>
                <w:color w:val="211E1F"/>
                <w:spacing w:val="-2"/>
                <w:sz w:val="18"/>
              </w:rPr>
              <w:t xml:space="preserve"> </w:t>
            </w:r>
            <w:r w:rsidRPr="00D4309F">
              <w:rPr>
                <w:color w:val="211E1F"/>
                <w:sz w:val="18"/>
              </w:rPr>
              <w:t>works</w:t>
            </w:r>
            <w:r w:rsidRPr="00D4309F">
              <w:rPr>
                <w:color w:val="211E1F"/>
                <w:spacing w:val="-2"/>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and</w:t>
            </w:r>
            <w:r w:rsidRPr="00D4309F">
              <w:rPr>
                <w:color w:val="211E1F"/>
                <w:spacing w:val="-4"/>
                <w:sz w:val="18"/>
              </w:rPr>
              <w:t xml:space="preserve"> </w:t>
            </w:r>
            <w:r w:rsidRPr="00D4309F">
              <w:rPr>
                <w:color w:val="211E1F"/>
                <w:sz w:val="18"/>
              </w:rPr>
              <w:t>their</w:t>
            </w:r>
            <w:r w:rsidRPr="00D4309F">
              <w:rPr>
                <w:color w:val="211E1F"/>
                <w:spacing w:val="-2"/>
                <w:sz w:val="18"/>
              </w:rPr>
              <w:t xml:space="preserve"> </w:t>
            </w:r>
            <w:r w:rsidRPr="00D4309F">
              <w:rPr>
                <w:color w:val="211E1F"/>
                <w:sz w:val="18"/>
              </w:rPr>
              <w:t>impacts</w:t>
            </w:r>
            <w:r w:rsidRPr="00D4309F">
              <w:rPr>
                <w:color w:val="211E1F"/>
                <w:spacing w:val="-2"/>
                <w:sz w:val="18"/>
              </w:rPr>
              <w:t xml:space="preserve"> </w:t>
            </w:r>
            <w:r w:rsidRPr="00D4309F">
              <w:rPr>
                <w:color w:val="211E1F"/>
                <w:sz w:val="18"/>
              </w:rPr>
              <w:t>during</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pacing w:val="-2"/>
                <w:sz w:val="18"/>
              </w:rPr>
              <w:t>process</w:t>
            </w:r>
          </w:p>
        </w:tc>
        <w:tc>
          <w:tcPr>
            <w:tcW w:w="571" w:type="pct"/>
          </w:tcPr>
          <w:p w14:paraId="07B592B2" w14:textId="0DF33B46" w:rsidR="00007528" w:rsidRPr="00D4309F" w:rsidRDefault="00007528" w:rsidP="00007528">
            <w:pPr>
              <w:pStyle w:val="TableParagraph"/>
              <w:spacing w:before="39"/>
              <w:ind w:left="484"/>
              <w:rPr>
                <w:sz w:val="18"/>
              </w:rPr>
            </w:pPr>
            <w:r w:rsidRPr="00D4309F">
              <w:rPr>
                <w:color w:val="211E1F"/>
                <w:spacing w:val="-10"/>
                <w:sz w:val="18"/>
              </w:rPr>
              <w:t>2</w:t>
            </w:r>
          </w:p>
        </w:tc>
      </w:tr>
      <w:tr w:rsidR="00007528" w:rsidRPr="00D4309F" w14:paraId="3BA52095" w14:textId="77777777">
        <w:trPr>
          <w:trHeight w:val="287"/>
        </w:trPr>
        <w:tc>
          <w:tcPr>
            <w:tcW w:w="1002" w:type="pct"/>
            <w:vMerge/>
          </w:tcPr>
          <w:p w14:paraId="584A60A3" w14:textId="77777777" w:rsidR="00007528" w:rsidRPr="00D4309F" w:rsidRDefault="00007528" w:rsidP="00007528">
            <w:pPr>
              <w:pStyle w:val="TableParagraph"/>
              <w:rPr>
                <w:rFonts w:ascii="Times New Roman"/>
                <w:sz w:val="18"/>
              </w:rPr>
            </w:pPr>
          </w:p>
        </w:tc>
        <w:tc>
          <w:tcPr>
            <w:tcW w:w="3427" w:type="pct"/>
          </w:tcPr>
          <w:p w14:paraId="386A3BCF" w14:textId="77777777" w:rsidR="00007528" w:rsidRPr="00D4309F" w:rsidRDefault="00007528" w:rsidP="00007528">
            <w:pPr>
              <w:pStyle w:val="TableParagraph"/>
              <w:spacing w:before="41"/>
              <w:ind w:left="165"/>
              <w:rPr>
                <w:sz w:val="18"/>
              </w:rPr>
            </w:pPr>
            <w:r w:rsidRPr="00D4309F">
              <w:rPr>
                <w:color w:val="211E1F"/>
                <w:sz w:val="18"/>
              </w:rPr>
              <w:t>Operational</w:t>
            </w:r>
            <w:r w:rsidRPr="00D4309F">
              <w:rPr>
                <w:color w:val="211E1F"/>
                <w:spacing w:val="-5"/>
                <w:sz w:val="18"/>
              </w:rPr>
              <w:t xml:space="preserve"> </w:t>
            </w:r>
            <w:r w:rsidRPr="00D4309F">
              <w:rPr>
                <w:color w:val="211E1F"/>
                <w:sz w:val="18"/>
              </w:rPr>
              <w:t>works:</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significant</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operational</w:t>
            </w:r>
            <w:r w:rsidRPr="00D4309F">
              <w:rPr>
                <w:color w:val="211E1F"/>
                <w:spacing w:val="-2"/>
                <w:sz w:val="18"/>
              </w:rPr>
              <w:t xml:space="preserve"> </w:t>
            </w:r>
            <w:r w:rsidRPr="00D4309F">
              <w:rPr>
                <w:color w:val="211E1F"/>
                <w:sz w:val="18"/>
              </w:rPr>
              <w:t>works</w:t>
            </w:r>
            <w:r w:rsidRPr="00D4309F">
              <w:rPr>
                <w:color w:val="211E1F"/>
                <w:spacing w:val="-3"/>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their</w:t>
            </w:r>
            <w:r w:rsidRPr="00D4309F">
              <w:rPr>
                <w:color w:val="211E1F"/>
                <w:spacing w:val="-3"/>
                <w:sz w:val="18"/>
              </w:rPr>
              <w:t xml:space="preserve"> </w:t>
            </w:r>
            <w:r w:rsidRPr="00D4309F">
              <w:rPr>
                <w:color w:val="211E1F"/>
                <w:sz w:val="18"/>
              </w:rPr>
              <w:t>impacts</w:t>
            </w:r>
            <w:r w:rsidRPr="00D4309F">
              <w:rPr>
                <w:color w:val="211E1F"/>
                <w:spacing w:val="-2"/>
                <w:sz w:val="18"/>
              </w:rPr>
              <w:t xml:space="preserve"> </w:t>
            </w:r>
            <w:r w:rsidRPr="00D4309F">
              <w:rPr>
                <w:color w:val="211E1F"/>
                <w:sz w:val="18"/>
              </w:rPr>
              <w:t>during</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pacing w:val="-2"/>
                <w:sz w:val="18"/>
              </w:rPr>
              <w:t>process</w:t>
            </w:r>
          </w:p>
        </w:tc>
        <w:tc>
          <w:tcPr>
            <w:tcW w:w="571" w:type="pct"/>
          </w:tcPr>
          <w:p w14:paraId="5E8551EF" w14:textId="7160C0A3" w:rsidR="00007528" w:rsidRPr="00D4309F" w:rsidRDefault="00007528" w:rsidP="00007528">
            <w:pPr>
              <w:pStyle w:val="TableParagraph"/>
              <w:spacing w:before="41"/>
              <w:ind w:left="485"/>
              <w:rPr>
                <w:sz w:val="18"/>
              </w:rPr>
            </w:pPr>
            <w:r w:rsidRPr="00D4309F">
              <w:rPr>
                <w:color w:val="211E1F"/>
                <w:spacing w:val="-10"/>
                <w:sz w:val="18"/>
              </w:rPr>
              <w:t>2</w:t>
            </w:r>
          </w:p>
        </w:tc>
      </w:tr>
      <w:tr w:rsidR="00007528" w:rsidRPr="00D4309F" w14:paraId="0DA62367" w14:textId="77777777">
        <w:trPr>
          <w:trHeight w:val="286"/>
        </w:trPr>
        <w:tc>
          <w:tcPr>
            <w:tcW w:w="1002" w:type="pct"/>
            <w:vMerge/>
          </w:tcPr>
          <w:p w14:paraId="48DFB70A" w14:textId="77777777" w:rsidR="00007528" w:rsidRPr="00D4309F" w:rsidRDefault="00007528" w:rsidP="00007528">
            <w:pPr>
              <w:pStyle w:val="TableParagraph"/>
              <w:rPr>
                <w:rFonts w:ascii="Times New Roman"/>
                <w:sz w:val="18"/>
              </w:rPr>
            </w:pPr>
          </w:p>
        </w:tc>
        <w:tc>
          <w:tcPr>
            <w:tcW w:w="3427" w:type="pct"/>
          </w:tcPr>
          <w:p w14:paraId="497DDC57" w14:textId="77777777" w:rsidR="00007528" w:rsidRPr="00D4309F" w:rsidRDefault="00007528" w:rsidP="00007528">
            <w:pPr>
              <w:pStyle w:val="TableParagraph"/>
              <w:spacing w:before="39"/>
              <w:ind w:left="165"/>
              <w:rPr>
                <w:sz w:val="18"/>
              </w:rPr>
            </w:pPr>
            <w:r w:rsidRPr="00D4309F">
              <w:rPr>
                <w:color w:val="211E1F"/>
                <w:sz w:val="18"/>
              </w:rPr>
              <w:t>Future</w:t>
            </w:r>
            <w:r w:rsidRPr="00D4309F">
              <w:rPr>
                <w:color w:val="211E1F"/>
                <w:spacing w:val="-6"/>
                <w:sz w:val="18"/>
              </w:rPr>
              <w:t xml:space="preserve"> </w:t>
            </w:r>
            <w:r w:rsidRPr="00D4309F">
              <w:rPr>
                <w:color w:val="211E1F"/>
                <w:sz w:val="18"/>
              </w:rPr>
              <w:t>adaption:</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well</w:t>
            </w:r>
            <w:r w:rsidRPr="00D4309F">
              <w:rPr>
                <w:color w:val="211E1F"/>
                <w:spacing w:val="-2"/>
                <w:sz w:val="18"/>
              </w:rPr>
              <w:t xml:space="preserve"> </w:t>
            </w:r>
            <w:r w:rsidRPr="00D4309F">
              <w:rPr>
                <w:color w:val="211E1F"/>
                <w:sz w:val="18"/>
              </w:rPr>
              <w:t>the</w:t>
            </w:r>
            <w:r w:rsidRPr="00D4309F">
              <w:rPr>
                <w:color w:val="211E1F"/>
                <w:spacing w:val="-1"/>
                <w:sz w:val="18"/>
              </w:rPr>
              <w:t xml:space="preserve"> </w:t>
            </w:r>
            <w:r w:rsidRPr="00D4309F">
              <w:rPr>
                <w:color w:val="211E1F"/>
                <w:sz w:val="18"/>
              </w:rPr>
              <w:t>option</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adapted</w:t>
            </w:r>
            <w:r w:rsidRPr="00D4309F">
              <w:rPr>
                <w:color w:val="211E1F"/>
                <w:spacing w:val="-3"/>
                <w:sz w:val="18"/>
              </w:rPr>
              <w:t xml:space="preserve"> </w:t>
            </w:r>
            <w:r w:rsidRPr="00D4309F">
              <w:rPr>
                <w:color w:val="211E1F"/>
                <w:sz w:val="18"/>
              </w:rPr>
              <w:t>to</w:t>
            </w:r>
            <w:r w:rsidRPr="00D4309F">
              <w:rPr>
                <w:color w:val="211E1F"/>
                <w:spacing w:val="-3"/>
                <w:sz w:val="18"/>
              </w:rPr>
              <w:t xml:space="preserve"> </w:t>
            </w:r>
            <w:r w:rsidRPr="00D4309F">
              <w:rPr>
                <w:color w:val="211E1F"/>
                <w:sz w:val="18"/>
              </w:rPr>
              <w:t>future</w:t>
            </w:r>
            <w:r w:rsidRPr="00D4309F">
              <w:rPr>
                <w:color w:val="211E1F"/>
                <w:spacing w:val="-3"/>
                <w:sz w:val="18"/>
              </w:rPr>
              <w:t xml:space="preserve"> </w:t>
            </w:r>
            <w:r w:rsidRPr="00D4309F">
              <w:rPr>
                <w:color w:val="211E1F"/>
                <w:spacing w:val="-2"/>
                <w:sz w:val="18"/>
              </w:rPr>
              <w:t>conditions</w:t>
            </w:r>
          </w:p>
        </w:tc>
        <w:tc>
          <w:tcPr>
            <w:tcW w:w="571" w:type="pct"/>
          </w:tcPr>
          <w:p w14:paraId="7C7ACA0C" w14:textId="37698154" w:rsidR="00007528" w:rsidRPr="00D4309F" w:rsidRDefault="00007528" w:rsidP="00007528">
            <w:pPr>
              <w:pStyle w:val="TableParagraph"/>
              <w:spacing w:before="39"/>
              <w:ind w:left="485"/>
              <w:rPr>
                <w:sz w:val="18"/>
              </w:rPr>
            </w:pPr>
            <w:r w:rsidRPr="00D4309F">
              <w:rPr>
                <w:color w:val="211E1F"/>
                <w:spacing w:val="-10"/>
                <w:sz w:val="18"/>
              </w:rPr>
              <w:t>5</w:t>
            </w:r>
          </w:p>
        </w:tc>
      </w:tr>
      <w:tr w:rsidR="00007528" w:rsidRPr="00D4309F" w14:paraId="66B788AF" w14:textId="77777777">
        <w:trPr>
          <w:trHeight w:val="287"/>
        </w:trPr>
        <w:tc>
          <w:tcPr>
            <w:tcW w:w="1002" w:type="pct"/>
            <w:vMerge/>
          </w:tcPr>
          <w:p w14:paraId="39A8CF68" w14:textId="77777777" w:rsidR="00007528" w:rsidRPr="00D4309F" w:rsidRDefault="00007528" w:rsidP="00007528">
            <w:pPr>
              <w:pStyle w:val="TableParagraph"/>
              <w:rPr>
                <w:rFonts w:ascii="Times New Roman"/>
                <w:sz w:val="18"/>
              </w:rPr>
            </w:pPr>
          </w:p>
        </w:tc>
        <w:tc>
          <w:tcPr>
            <w:tcW w:w="3427" w:type="pct"/>
          </w:tcPr>
          <w:p w14:paraId="1C2989F9" w14:textId="77777777" w:rsidR="00007528" w:rsidRPr="00D4309F" w:rsidRDefault="00007528" w:rsidP="00007528">
            <w:pPr>
              <w:pStyle w:val="TableParagraph"/>
              <w:rPr>
                <w:rFonts w:ascii="Times New Roman"/>
                <w:sz w:val="18"/>
              </w:rPr>
            </w:pPr>
          </w:p>
        </w:tc>
        <w:tc>
          <w:tcPr>
            <w:tcW w:w="571" w:type="pct"/>
          </w:tcPr>
          <w:p w14:paraId="009EC9FC" w14:textId="25D29D3C" w:rsidR="00007528" w:rsidRPr="00D4309F" w:rsidRDefault="00007528" w:rsidP="00007528">
            <w:pPr>
              <w:pStyle w:val="TableParagraph"/>
              <w:rPr>
                <w:rFonts w:ascii="Times New Roman"/>
                <w:sz w:val="18"/>
              </w:rPr>
            </w:pPr>
          </w:p>
        </w:tc>
      </w:tr>
      <w:tr w:rsidR="00007528" w:rsidRPr="00D4309F" w14:paraId="2B0A703B" w14:textId="77777777">
        <w:trPr>
          <w:trHeight w:val="286"/>
        </w:trPr>
        <w:tc>
          <w:tcPr>
            <w:tcW w:w="1002" w:type="pct"/>
            <w:vMerge/>
          </w:tcPr>
          <w:p w14:paraId="2A038E00" w14:textId="77777777" w:rsidR="00007528" w:rsidRPr="00D4309F" w:rsidRDefault="00007528" w:rsidP="00007528">
            <w:pPr>
              <w:pStyle w:val="TableParagraph"/>
              <w:rPr>
                <w:rFonts w:ascii="Times New Roman"/>
                <w:sz w:val="18"/>
              </w:rPr>
            </w:pPr>
          </w:p>
        </w:tc>
        <w:tc>
          <w:tcPr>
            <w:tcW w:w="3427" w:type="pct"/>
          </w:tcPr>
          <w:p w14:paraId="656B4E92" w14:textId="77777777" w:rsidR="00007528" w:rsidRPr="00D4309F" w:rsidRDefault="00007528" w:rsidP="00007528">
            <w:pPr>
              <w:pStyle w:val="TableParagraph"/>
              <w:spacing w:before="39"/>
              <w:ind w:left="165"/>
              <w:rPr>
                <w:b/>
                <w:sz w:val="18"/>
              </w:rPr>
            </w:pPr>
            <w:r w:rsidRPr="00D4309F">
              <w:rPr>
                <w:b/>
                <w:color w:val="211E1F"/>
                <w:sz w:val="18"/>
              </w:rPr>
              <w:t>Sub-</w:t>
            </w:r>
            <w:r w:rsidRPr="00D4309F">
              <w:rPr>
                <w:b/>
                <w:color w:val="211E1F"/>
                <w:spacing w:val="-2"/>
                <w:sz w:val="18"/>
              </w:rPr>
              <w:t>total</w:t>
            </w:r>
          </w:p>
        </w:tc>
        <w:tc>
          <w:tcPr>
            <w:tcW w:w="571" w:type="pct"/>
          </w:tcPr>
          <w:p w14:paraId="60B21632" w14:textId="69B29A37" w:rsidR="00007528" w:rsidRPr="00D4309F" w:rsidRDefault="00967EED" w:rsidP="00007528">
            <w:pPr>
              <w:pStyle w:val="TableParagraph"/>
              <w:spacing w:before="39"/>
              <w:ind w:left="485"/>
              <w:rPr>
                <w:b/>
                <w:sz w:val="18"/>
              </w:rPr>
            </w:pPr>
            <w:r>
              <w:rPr>
                <w:b/>
                <w:sz w:val="18"/>
              </w:rPr>
              <w:t>17</w:t>
            </w:r>
          </w:p>
        </w:tc>
      </w:tr>
      <w:tr w:rsidR="00007528" w:rsidRPr="00D4309F" w14:paraId="54E55FA9" w14:textId="77777777">
        <w:trPr>
          <w:trHeight w:val="287"/>
        </w:trPr>
        <w:tc>
          <w:tcPr>
            <w:tcW w:w="1002" w:type="pct"/>
            <w:vMerge w:val="restart"/>
          </w:tcPr>
          <w:p w14:paraId="4A8048C5" w14:textId="77777777" w:rsidR="00007528" w:rsidRPr="00D4309F" w:rsidRDefault="00007528" w:rsidP="00007528">
            <w:pPr>
              <w:pStyle w:val="TableParagraph"/>
              <w:spacing w:before="41"/>
              <w:ind w:left="165"/>
              <w:rPr>
                <w:b/>
                <w:sz w:val="18"/>
              </w:rPr>
            </w:pPr>
            <w:r w:rsidRPr="00D4309F">
              <w:rPr>
                <w:b/>
                <w:color w:val="211E1F"/>
                <w:spacing w:val="-2"/>
                <w:sz w:val="18"/>
              </w:rPr>
              <w:lastRenderedPageBreak/>
              <w:t>Safety</w:t>
            </w:r>
          </w:p>
        </w:tc>
        <w:tc>
          <w:tcPr>
            <w:tcW w:w="3427" w:type="pct"/>
          </w:tcPr>
          <w:p w14:paraId="36749664" w14:textId="77777777" w:rsidR="00007528" w:rsidRPr="00D4309F" w:rsidRDefault="00007528" w:rsidP="00007528">
            <w:pPr>
              <w:pStyle w:val="TableParagraph"/>
              <w:spacing w:before="41"/>
              <w:ind w:left="166"/>
              <w:rPr>
                <w:sz w:val="18"/>
              </w:rPr>
            </w:pPr>
            <w:r w:rsidRPr="00D4309F">
              <w:rPr>
                <w:color w:val="211E1F"/>
                <w:sz w:val="18"/>
              </w:rPr>
              <w:t>Reliability</w:t>
            </w:r>
            <w:r w:rsidRPr="00D4309F">
              <w:rPr>
                <w:color w:val="211E1F"/>
                <w:spacing w:val="-5"/>
                <w:sz w:val="18"/>
              </w:rPr>
              <w:t xml:space="preserve"> </w:t>
            </w:r>
            <w:r w:rsidRPr="00D4309F">
              <w:rPr>
                <w:color w:val="211E1F"/>
                <w:sz w:val="18"/>
              </w:rPr>
              <w:t>of</w:t>
            </w:r>
            <w:r w:rsidRPr="00D4309F">
              <w:rPr>
                <w:color w:val="211E1F"/>
                <w:spacing w:val="-4"/>
                <w:sz w:val="18"/>
              </w:rPr>
              <w:t xml:space="preserve"> </w:t>
            </w:r>
            <w:r w:rsidRPr="00D4309F">
              <w:rPr>
                <w:color w:val="211E1F"/>
                <w:sz w:val="18"/>
              </w:rPr>
              <w:t>all-tide</w:t>
            </w:r>
            <w:r w:rsidRPr="00D4309F">
              <w:rPr>
                <w:color w:val="211E1F"/>
                <w:spacing w:val="-4"/>
                <w:sz w:val="18"/>
              </w:rPr>
              <w:t xml:space="preserve"> </w:t>
            </w:r>
            <w:r w:rsidRPr="00D4309F">
              <w:rPr>
                <w:color w:val="211E1F"/>
                <w:spacing w:val="-2"/>
                <w:sz w:val="18"/>
              </w:rPr>
              <w:t>access</w:t>
            </w:r>
          </w:p>
        </w:tc>
        <w:tc>
          <w:tcPr>
            <w:tcW w:w="571" w:type="pct"/>
          </w:tcPr>
          <w:p w14:paraId="31BA5897" w14:textId="51F71A3A" w:rsidR="00007528" w:rsidRPr="00D4309F" w:rsidRDefault="00007528" w:rsidP="00007528">
            <w:pPr>
              <w:pStyle w:val="TableParagraph"/>
              <w:spacing w:before="41"/>
              <w:ind w:left="485"/>
              <w:rPr>
                <w:sz w:val="18"/>
              </w:rPr>
            </w:pPr>
            <w:r w:rsidRPr="00D4309F">
              <w:rPr>
                <w:color w:val="211E1F"/>
                <w:spacing w:val="-10"/>
                <w:sz w:val="18"/>
              </w:rPr>
              <w:t>4</w:t>
            </w:r>
          </w:p>
        </w:tc>
      </w:tr>
      <w:tr w:rsidR="00007528" w:rsidRPr="00D4309F" w14:paraId="0C79C02B" w14:textId="77777777">
        <w:trPr>
          <w:trHeight w:val="286"/>
        </w:trPr>
        <w:tc>
          <w:tcPr>
            <w:tcW w:w="1002" w:type="pct"/>
            <w:vMerge/>
          </w:tcPr>
          <w:p w14:paraId="7E93C92E" w14:textId="77777777" w:rsidR="00007528" w:rsidRPr="00D4309F" w:rsidRDefault="00007528" w:rsidP="00007528">
            <w:pPr>
              <w:pStyle w:val="TableParagraph"/>
              <w:rPr>
                <w:rFonts w:ascii="Times New Roman"/>
                <w:sz w:val="18"/>
              </w:rPr>
            </w:pPr>
          </w:p>
        </w:tc>
        <w:tc>
          <w:tcPr>
            <w:tcW w:w="3427" w:type="pct"/>
          </w:tcPr>
          <w:p w14:paraId="0699F468" w14:textId="77777777" w:rsidR="00007528" w:rsidRPr="00D4309F" w:rsidRDefault="00007528" w:rsidP="00007528">
            <w:pPr>
              <w:pStyle w:val="TableParagraph"/>
              <w:spacing w:before="39"/>
              <w:ind w:left="165"/>
              <w:rPr>
                <w:sz w:val="18"/>
              </w:rPr>
            </w:pPr>
            <w:r w:rsidRPr="00D4309F">
              <w:rPr>
                <w:color w:val="211E1F"/>
                <w:sz w:val="18"/>
              </w:rPr>
              <w:t>Clarity</w:t>
            </w:r>
            <w:r w:rsidRPr="00D4309F">
              <w:rPr>
                <w:color w:val="211E1F"/>
                <w:spacing w:val="-3"/>
                <w:sz w:val="18"/>
              </w:rPr>
              <w:t xml:space="preserve"> </w:t>
            </w:r>
            <w:r w:rsidRPr="00D4309F">
              <w:rPr>
                <w:color w:val="211E1F"/>
                <w:sz w:val="18"/>
              </w:rPr>
              <w:t>of</w:t>
            </w:r>
            <w:r w:rsidRPr="00D4309F">
              <w:rPr>
                <w:color w:val="211E1F"/>
                <w:spacing w:val="-2"/>
                <w:sz w:val="18"/>
              </w:rPr>
              <w:t xml:space="preserve"> navigation</w:t>
            </w:r>
          </w:p>
        </w:tc>
        <w:tc>
          <w:tcPr>
            <w:tcW w:w="571" w:type="pct"/>
          </w:tcPr>
          <w:p w14:paraId="5B41F5A6" w14:textId="56F02312" w:rsidR="00007528" w:rsidRPr="00D4309F" w:rsidRDefault="00007528" w:rsidP="00007528">
            <w:pPr>
              <w:pStyle w:val="TableParagraph"/>
              <w:spacing w:before="39"/>
              <w:ind w:left="485"/>
              <w:rPr>
                <w:sz w:val="18"/>
              </w:rPr>
            </w:pPr>
            <w:r w:rsidRPr="00D4309F">
              <w:rPr>
                <w:color w:val="211E1F"/>
                <w:spacing w:val="-10"/>
                <w:sz w:val="18"/>
              </w:rPr>
              <w:t>3</w:t>
            </w:r>
          </w:p>
        </w:tc>
      </w:tr>
      <w:tr w:rsidR="00007528" w:rsidRPr="00D4309F" w14:paraId="753A58A0" w14:textId="77777777">
        <w:trPr>
          <w:trHeight w:val="287"/>
        </w:trPr>
        <w:tc>
          <w:tcPr>
            <w:tcW w:w="1002" w:type="pct"/>
            <w:vMerge/>
          </w:tcPr>
          <w:p w14:paraId="35CDE373" w14:textId="77777777" w:rsidR="00007528" w:rsidRPr="00D4309F" w:rsidRDefault="00007528" w:rsidP="00007528">
            <w:pPr>
              <w:pStyle w:val="TableParagraph"/>
              <w:rPr>
                <w:rFonts w:ascii="Times New Roman"/>
                <w:sz w:val="18"/>
              </w:rPr>
            </w:pPr>
          </w:p>
        </w:tc>
        <w:tc>
          <w:tcPr>
            <w:tcW w:w="3427" w:type="pct"/>
          </w:tcPr>
          <w:p w14:paraId="369B849A" w14:textId="77777777" w:rsidR="00007528" w:rsidRPr="00D4309F" w:rsidRDefault="00007528" w:rsidP="00007528">
            <w:pPr>
              <w:pStyle w:val="TableParagraph"/>
              <w:spacing w:before="41"/>
              <w:ind w:left="165"/>
              <w:rPr>
                <w:sz w:val="18"/>
              </w:rPr>
            </w:pPr>
            <w:r w:rsidRPr="00D4309F">
              <w:rPr>
                <w:color w:val="211E1F"/>
                <w:sz w:val="18"/>
              </w:rPr>
              <w:t>Mariner</w:t>
            </w:r>
            <w:r w:rsidRPr="00D4309F">
              <w:rPr>
                <w:color w:val="211E1F"/>
                <w:spacing w:val="-6"/>
                <w:sz w:val="18"/>
              </w:rPr>
              <w:t xml:space="preserve"> </w:t>
            </w:r>
            <w:r w:rsidRPr="00D4309F">
              <w:rPr>
                <w:color w:val="211E1F"/>
                <w:spacing w:val="-2"/>
                <w:sz w:val="18"/>
              </w:rPr>
              <w:t>safety</w:t>
            </w:r>
          </w:p>
        </w:tc>
        <w:tc>
          <w:tcPr>
            <w:tcW w:w="571" w:type="pct"/>
          </w:tcPr>
          <w:p w14:paraId="073AC8E9" w14:textId="68366E8C" w:rsidR="00007528" w:rsidRPr="00D4309F" w:rsidRDefault="00007528" w:rsidP="00007528">
            <w:pPr>
              <w:pStyle w:val="TableParagraph"/>
              <w:spacing w:before="41"/>
              <w:ind w:left="485"/>
              <w:rPr>
                <w:sz w:val="18"/>
              </w:rPr>
            </w:pPr>
            <w:r w:rsidRPr="00D4309F">
              <w:rPr>
                <w:color w:val="211E1F"/>
                <w:spacing w:val="-10"/>
                <w:sz w:val="18"/>
              </w:rPr>
              <w:t>4</w:t>
            </w:r>
          </w:p>
        </w:tc>
      </w:tr>
      <w:tr w:rsidR="00007528" w:rsidRPr="00D4309F" w14:paraId="55F43D0A" w14:textId="77777777">
        <w:trPr>
          <w:trHeight w:val="286"/>
        </w:trPr>
        <w:tc>
          <w:tcPr>
            <w:tcW w:w="1002" w:type="pct"/>
            <w:vMerge/>
          </w:tcPr>
          <w:p w14:paraId="5A66E4FD" w14:textId="77777777" w:rsidR="00007528" w:rsidRPr="00D4309F" w:rsidRDefault="00007528" w:rsidP="00007528">
            <w:pPr>
              <w:pStyle w:val="TableParagraph"/>
              <w:rPr>
                <w:rFonts w:ascii="Times New Roman"/>
                <w:sz w:val="18"/>
              </w:rPr>
            </w:pPr>
          </w:p>
        </w:tc>
        <w:tc>
          <w:tcPr>
            <w:tcW w:w="3427" w:type="pct"/>
          </w:tcPr>
          <w:p w14:paraId="386BA948" w14:textId="77777777" w:rsidR="00007528" w:rsidRPr="00D4309F" w:rsidRDefault="00007528" w:rsidP="00007528">
            <w:pPr>
              <w:pStyle w:val="TableParagraph"/>
              <w:spacing w:before="39"/>
              <w:ind w:left="165"/>
              <w:rPr>
                <w:color w:val="211E1F"/>
                <w:spacing w:val="-2"/>
                <w:sz w:val="18"/>
              </w:rPr>
            </w:pPr>
          </w:p>
        </w:tc>
        <w:tc>
          <w:tcPr>
            <w:tcW w:w="571" w:type="pct"/>
          </w:tcPr>
          <w:p w14:paraId="154A142A" w14:textId="77777777" w:rsidR="00007528" w:rsidRPr="00D4309F" w:rsidRDefault="00007528" w:rsidP="00007528">
            <w:pPr>
              <w:pStyle w:val="TableParagraph"/>
              <w:spacing w:before="39"/>
              <w:ind w:left="484"/>
              <w:rPr>
                <w:color w:val="211E1F"/>
                <w:spacing w:val="-10"/>
                <w:sz w:val="18"/>
              </w:rPr>
            </w:pPr>
          </w:p>
        </w:tc>
      </w:tr>
      <w:tr w:rsidR="00007528" w:rsidRPr="00D4309F" w14:paraId="71587E23" w14:textId="77777777">
        <w:trPr>
          <w:trHeight w:val="286"/>
        </w:trPr>
        <w:tc>
          <w:tcPr>
            <w:tcW w:w="1002" w:type="pct"/>
            <w:vMerge/>
          </w:tcPr>
          <w:p w14:paraId="15D681CD" w14:textId="77777777" w:rsidR="00007528" w:rsidRPr="00D4309F" w:rsidRDefault="00007528" w:rsidP="00007528">
            <w:pPr>
              <w:pStyle w:val="TableParagraph"/>
              <w:rPr>
                <w:rFonts w:ascii="Times New Roman"/>
                <w:sz w:val="18"/>
              </w:rPr>
            </w:pPr>
          </w:p>
        </w:tc>
        <w:tc>
          <w:tcPr>
            <w:tcW w:w="3427" w:type="pct"/>
          </w:tcPr>
          <w:p w14:paraId="613E4ECB" w14:textId="77777777" w:rsidR="00007528" w:rsidRPr="00230A0A" w:rsidRDefault="00007528" w:rsidP="00007528">
            <w:pPr>
              <w:pStyle w:val="TableParagraph"/>
              <w:spacing w:before="39"/>
              <w:ind w:left="165"/>
              <w:rPr>
                <w:b/>
                <w:bCs/>
                <w:sz w:val="18"/>
              </w:rPr>
            </w:pPr>
            <w:r w:rsidRPr="00230A0A">
              <w:rPr>
                <w:b/>
                <w:bCs/>
                <w:color w:val="211E1F"/>
                <w:spacing w:val="-2"/>
                <w:sz w:val="18"/>
              </w:rPr>
              <w:t>Sub-total</w:t>
            </w:r>
          </w:p>
        </w:tc>
        <w:tc>
          <w:tcPr>
            <w:tcW w:w="571" w:type="pct"/>
          </w:tcPr>
          <w:p w14:paraId="2E6199DD" w14:textId="54A2A61B" w:rsidR="00007528" w:rsidRPr="00230A0A" w:rsidRDefault="00007528" w:rsidP="00007528">
            <w:pPr>
              <w:pStyle w:val="TableParagraph"/>
              <w:spacing w:before="39"/>
              <w:ind w:left="484"/>
              <w:rPr>
                <w:b/>
                <w:bCs/>
                <w:sz w:val="18"/>
              </w:rPr>
            </w:pPr>
            <w:r w:rsidRPr="00D4309F">
              <w:rPr>
                <w:b/>
                <w:color w:val="211E1F"/>
                <w:spacing w:val="-5"/>
                <w:sz w:val="18"/>
              </w:rPr>
              <w:t>11</w:t>
            </w:r>
          </w:p>
        </w:tc>
      </w:tr>
      <w:tr w:rsidR="00007528" w:rsidRPr="00D4309F" w14:paraId="2D4ED7C1" w14:textId="77777777">
        <w:trPr>
          <w:trHeight w:val="287"/>
        </w:trPr>
        <w:tc>
          <w:tcPr>
            <w:tcW w:w="1002" w:type="pct"/>
            <w:vMerge w:val="restart"/>
          </w:tcPr>
          <w:p w14:paraId="6AEBF029" w14:textId="77777777" w:rsidR="00007528" w:rsidRPr="00D4309F" w:rsidRDefault="00007528" w:rsidP="00007528">
            <w:pPr>
              <w:pStyle w:val="TableParagraph"/>
              <w:spacing w:before="41"/>
              <w:ind w:left="165"/>
              <w:rPr>
                <w:b/>
                <w:sz w:val="18"/>
              </w:rPr>
            </w:pPr>
            <w:r w:rsidRPr="00D4309F">
              <w:rPr>
                <w:b/>
                <w:color w:val="211E1F"/>
                <w:sz w:val="18"/>
              </w:rPr>
              <w:t>Social</w:t>
            </w:r>
            <w:r w:rsidRPr="00D4309F">
              <w:rPr>
                <w:b/>
                <w:color w:val="211E1F"/>
                <w:spacing w:val="-2"/>
                <w:sz w:val="18"/>
              </w:rPr>
              <w:t xml:space="preserve"> </w:t>
            </w:r>
            <w:r w:rsidRPr="00D4309F">
              <w:rPr>
                <w:b/>
                <w:color w:val="211E1F"/>
                <w:sz w:val="18"/>
              </w:rPr>
              <w:t>and</w:t>
            </w:r>
            <w:r w:rsidRPr="00D4309F">
              <w:rPr>
                <w:b/>
                <w:color w:val="211E1F"/>
                <w:spacing w:val="-2"/>
                <w:sz w:val="18"/>
              </w:rPr>
              <w:t xml:space="preserve"> economic</w:t>
            </w:r>
          </w:p>
        </w:tc>
        <w:tc>
          <w:tcPr>
            <w:tcW w:w="3427" w:type="pct"/>
          </w:tcPr>
          <w:p w14:paraId="78694103" w14:textId="77777777" w:rsidR="00007528" w:rsidRPr="00D4309F" w:rsidRDefault="00007528" w:rsidP="00007528">
            <w:pPr>
              <w:pStyle w:val="TableParagraph"/>
              <w:spacing w:before="41"/>
              <w:ind w:left="166"/>
              <w:rPr>
                <w:sz w:val="18"/>
              </w:rPr>
            </w:pPr>
            <w:r w:rsidRPr="00D4309F">
              <w:rPr>
                <w:color w:val="211E1F"/>
                <w:sz w:val="18"/>
              </w:rPr>
              <w:t>Consistency</w:t>
            </w:r>
            <w:r w:rsidRPr="00D4309F">
              <w:rPr>
                <w:color w:val="211E1F"/>
                <w:spacing w:val="-5"/>
                <w:sz w:val="18"/>
              </w:rPr>
              <w:t xml:space="preserve"> </w:t>
            </w:r>
            <w:r w:rsidRPr="00D4309F">
              <w:rPr>
                <w:color w:val="211E1F"/>
                <w:sz w:val="18"/>
              </w:rPr>
              <w:t>with</w:t>
            </w:r>
            <w:r w:rsidRPr="00D4309F">
              <w:rPr>
                <w:color w:val="211E1F"/>
                <w:spacing w:val="-3"/>
                <w:sz w:val="18"/>
              </w:rPr>
              <w:t xml:space="preserve"> </w:t>
            </w:r>
            <w:r w:rsidRPr="00D4309F">
              <w:rPr>
                <w:color w:val="211E1F"/>
                <w:sz w:val="18"/>
              </w:rPr>
              <w:t>SRG</w:t>
            </w:r>
            <w:r w:rsidRPr="00D4309F">
              <w:rPr>
                <w:color w:val="211E1F"/>
                <w:spacing w:val="-3"/>
                <w:sz w:val="18"/>
              </w:rPr>
              <w:t xml:space="preserve"> </w:t>
            </w:r>
            <w:r w:rsidRPr="00D4309F">
              <w:rPr>
                <w:color w:val="211E1F"/>
                <w:sz w:val="18"/>
              </w:rPr>
              <w:t>preference</w:t>
            </w:r>
            <w:r w:rsidRPr="00D4309F">
              <w:rPr>
                <w:color w:val="211E1F"/>
                <w:spacing w:val="-3"/>
                <w:sz w:val="18"/>
              </w:rPr>
              <w:t xml:space="preserve"> </w:t>
            </w:r>
            <w:r w:rsidRPr="00D4309F">
              <w:rPr>
                <w:color w:val="211E1F"/>
                <w:sz w:val="18"/>
              </w:rPr>
              <w:t>for</w:t>
            </w:r>
            <w:r w:rsidRPr="00D4309F">
              <w:rPr>
                <w:color w:val="211E1F"/>
                <w:spacing w:val="-3"/>
                <w:sz w:val="18"/>
              </w:rPr>
              <w:t xml:space="preserve"> </w:t>
            </w:r>
            <w:r w:rsidRPr="00D4309F">
              <w:rPr>
                <w:color w:val="211E1F"/>
                <w:sz w:val="18"/>
              </w:rPr>
              <w:t>lower</w:t>
            </w:r>
            <w:r w:rsidRPr="00D4309F">
              <w:rPr>
                <w:color w:val="211E1F"/>
                <w:spacing w:val="-2"/>
                <w:sz w:val="18"/>
              </w:rPr>
              <w:t xml:space="preserve"> </w:t>
            </w:r>
            <w:r w:rsidRPr="00D4309F">
              <w:rPr>
                <w:color w:val="211E1F"/>
                <w:sz w:val="18"/>
              </w:rPr>
              <w:t>impact,</w:t>
            </w:r>
            <w:r w:rsidRPr="00D4309F">
              <w:rPr>
                <w:color w:val="211E1F"/>
                <w:spacing w:val="-3"/>
                <w:sz w:val="18"/>
              </w:rPr>
              <w:t xml:space="preserve"> </w:t>
            </w:r>
            <w:r w:rsidRPr="00D4309F">
              <w:rPr>
                <w:color w:val="211E1F"/>
                <w:sz w:val="18"/>
              </w:rPr>
              <w:t>“softer”</w:t>
            </w:r>
            <w:r w:rsidRPr="00D4309F">
              <w:rPr>
                <w:color w:val="211E1F"/>
                <w:spacing w:val="-3"/>
                <w:sz w:val="18"/>
              </w:rPr>
              <w:t xml:space="preserve"> </w:t>
            </w:r>
            <w:r w:rsidRPr="00D4309F">
              <w:rPr>
                <w:color w:val="211E1F"/>
                <w:sz w:val="18"/>
              </w:rPr>
              <w:t>measures</w:t>
            </w:r>
            <w:r w:rsidRPr="00D4309F">
              <w:rPr>
                <w:color w:val="211E1F"/>
                <w:spacing w:val="-2"/>
                <w:sz w:val="18"/>
              </w:rPr>
              <w:t xml:space="preserve"> </w:t>
            </w:r>
            <w:r w:rsidRPr="00D4309F">
              <w:rPr>
                <w:color w:val="211E1F"/>
                <w:sz w:val="18"/>
              </w:rPr>
              <w:t>where</w:t>
            </w:r>
            <w:r w:rsidRPr="00D4309F">
              <w:rPr>
                <w:color w:val="211E1F"/>
                <w:spacing w:val="-3"/>
                <w:sz w:val="18"/>
              </w:rPr>
              <w:t xml:space="preserve"> </w:t>
            </w:r>
            <w:r w:rsidRPr="00D4309F">
              <w:rPr>
                <w:color w:val="211E1F"/>
                <w:spacing w:val="-2"/>
                <w:sz w:val="18"/>
              </w:rPr>
              <w:t>practicable.</w:t>
            </w:r>
          </w:p>
        </w:tc>
        <w:tc>
          <w:tcPr>
            <w:tcW w:w="571" w:type="pct"/>
          </w:tcPr>
          <w:p w14:paraId="78F0147C" w14:textId="579FB569" w:rsidR="00007528" w:rsidRPr="00D4309F" w:rsidRDefault="00007528" w:rsidP="00007528">
            <w:pPr>
              <w:pStyle w:val="TableParagraph"/>
              <w:spacing w:before="41"/>
              <w:ind w:left="485"/>
              <w:rPr>
                <w:sz w:val="18"/>
              </w:rPr>
            </w:pPr>
            <w:r w:rsidRPr="00D4309F">
              <w:rPr>
                <w:color w:val="211E1F"/>
                <w:spacing w:val="-10"/>
                <w:sz w:val="18"/>
              </w:rPr>
              <w:t>5</w:t>
            </w:r>
          </w:p>
        </w:tc>
      </w:tr>
      <w:tr w:rsidR="00007528" w:rsidRPr="00D4309F" w14:paraId="1DD7E8C6" w14:textId="77777777">
        <w:trPr>
          <w:trHeight w:val="286"/>
        </w:trPr>
        <w:tc>
          <w:tcPr>
            <w:tcW w:w="1002" w:type="pct"/>
            <w:vMerge/>
          </w:tcPr>
          <w:p w14:paraId="44B7C095" w14:textId="77777777" w:rsidR="00007528" w:rsidRPr="00D4309F" w:rsidRDefault="00007528" w:rsidP="00007528">
            <w:pPr>
              <w:pStyle w:val="TableParagraph"/>
              <w:rPr>
                <w:rFonts w:ascii="Times New Roman"/>
                <w:sz w:val="18"/>
              </w:rPr>
            </w:pPr>
          </w:p>
        </w:tc>
        <w:tc>
          <w:tcPr>
            <w:tcW w:w="3427" w:type="pct"/>
          </w:tcPr>
          <w:p w14:paraId="5863FA2E" w14:textId="77777777" w:rsidR="00007528" w:rsidRPr="00D4309F" w:rsidRDefault="00007528" w:rsidP="00007528">
            <w:pPr>
              <w:pStyle w:val="TableParagraph"/>
              <w:spacing w:before="39"/>
              <w:ind w:left="165"/>
              <w:rPr>
                <w:sz w:val="18"/>
              </w:rPr>
            </w:pPr>
            <w:r w:rsidRPr="00D4309F">
              <w:rPr>
                <w:color w:val="211E1F"/>
                <w:sz w:val="18"/>
              </w:rPr>
              <w:t>Traditional</w:t>
            </w:r>
            <w:r w:rsidRPr="00D4309F">
              <w:rPr>
                <w:color w:val="211E1F"/>
                <w:spacing w:val="-3"/>
                <w:sz w:val="18"/>
              </w:rPr>
              <w:t xml:space="preserve"> </w:t>
            </w:r>
            <w:r w:rsidRPr="00D4309F">
              <w:rPr>
                <w:color w:val="211E1F"/>
                <w:sz w:val="18"/>
              </w:rPr>
              <w:t>Owners</w:t>
            </w:r>
            <w:r w:rsidRPr="00D4309F">
              <w:rPr>
                <w:color w:val="211E1F"/>
                <w:spacing w:val="-3"/>
                <w:sz w:val="18"/>
              </w:rPr>
              <w:t xml:space="preserve"> </w:t>
            </w:r>
            <w:r w:rsidRPr="00D4309F">
              <w:rPr>
                <w:color w:val="211E1F"/>
                <w:sz w:val="18"/>
              </w:rPr>
              <w:t>do</w:t>
            </w:r>
            <w:r w:rsidRPr="00D4309F">
              <w:rPr>
                <w:color w:val="211E1F"/>
                <w:spacing w:val="-3"/>
                <w:sz w:val="18"/>
              </w:rPr>
              <w:t xml:space="preserve"> </w:t>
            </w:r>
            <w:r w:rsidRPr="00D4309F">
              <w:rPr>
                <w:color w:val="211E1F"/>
                <w:sz w:val="18"/>
              </w:rPr>
              <w:t>not</w:t>
            </w:r>
            <w:r w:rsidRPr="00D4309F">
              <w:rPr>
                <w:color w:val="211E1F"/>
                <w:spacing w:val="-3"/>
                <w:sz w:val="18"/>
              </w:rPr>
              <w:t xml:space="preserve"> </w:t>
            </w:r>
            <w:r w:rsidRPr="00D4309F">
              <w:rPr>
                <w:color w:val="211E1F"/>
                <w:sz w:val="18"/>
              </w:rPr>
              <w:t>experience</w:t>
            </w:r>
            <w:r w:rsidRPr="00D4309F">
              <w:rPr>
                <w:color w:val="211E1F"/>
                <w:spacing w:val="-3"/>
                <w:sz w:val="18"/>
              </w:rPr>
              <w:t xml:space="preserve"> </w:t>
            </w:r>
            <w:r w:rsidRPr="00D4309F">
              <w:rPr>
                <w:color w:val="211E1F"/>
                <w:sz w:val="18"/>
              </w:rPr>
              <w:t>disturbance</w:t>
            </w:r>
            <w:r w:rsidRPr="00D4309F">
              <w:rPr>
                <w:color w:val="211E1F"/>
                <w:spacing w:val="-3"/>
                <w:sz w:val="18"/>
              </w:rPr>
              <w:t xml:space="preserve"> </w:t>
            </w:r>
            <w:r w:rsidRPr="00D4309F">
              <w:rPr>
                <w:color w:val="211E1F"/>
                <w:sz w:val="18"/>
              </w:rPr>
              <w:t>to</w:t>
            </w:r>
            <w:r w:rsidRPr="00D4309F">
              <w:rPr>
                <w:color w:val="211E1F"/>
                <w:spacing w:val="-4"/>
                <w:sz w:val="18"/>
              </w:rPr>
              <w:t xml:space="preserve"> </w:t>
            </w:r>
            <w:r w:rsidRPr="00D4309F">
              <w:rPr>
                <w:color w:val="211E1F"/>
                <w:sz w:val="18"/>
              </w:rPr>
              <w:t>cultural</w:t>
            </w:r>
            <w:r w:rsidRPr="00D4309F">
              <w:rPr>
                <w:color w:val="211E1F"/>
                <w:spacing w:val="-2"/>
                <w:sz w:val="18"/>
              </w:rPr>
              <w:t xml:space="preserve"> values</w:t>
            </w:r>
          </w:p>
        </w:tc>
        <w:tc>
          <w:tcPr>
            <w:tcW w:w="571" w:type="pct"/>
          </w:tcPr>
          <w:p w14:paraId="0E819FB0" w14:textId="754DF579" w:rsidR="00007528" w:rsidRPr="00D4309F" w:rsidRDefault="00007528" w:rsidP="00007528">
            <w:pPr>
              <w:pStyle w:val="TableParagraph"/>
              <w:spacing w:before="39"/>
              <w:ind w:left="485"/>
              <w:rPr>
                <w:sz w:val="18"/>
              </w:rPr>
            </w:pPr>
            <w:r w:rsidRPr="00D4309F">
              <w:rPr>
                <w:color w:val="211E1F"/>
                <w:spacing w:val="-10"/>
                <w:sz w:val="18"/>
              </w:rPr>
              <w:t>3</w:t>
            </w:r>
          </w:p>
        </w:tc>
      </w:tr>
      <w:tr w:rsidR="00007528" w:rsidRPr="00D4309F" w14:paraId="1F02DE62" w14:textId="77777777">
        <w:trPr>
          <w:trHeight w:val="287"/>
        </w:trPr>
        <w:tc>
          <w:tcPr>
            <w:tcW w:w="1002" w:type="pct"/>
            <w:vMerge/>
          </w:tcPr>
          <w:p w14:paraId="7F09B27E" w14:textId="77777777" w:rsidR="00007528" w:rsidRPr="00D4309F" w:rsidRDefault="00007528" w:rsidP="00007528">
            <w:pPr>
              <w:pStyle w:val="TableParagraph"/>
              <w:rPr>
                <w:rFonts w:ascii="Times New Roman"/>
                <w:sz w:val="18"/>
              </w:rPr>
            </w:pPr>
          </w:p>
        </w:tc>
        <w:tc>
          <w:tcPr>
            <w:tcW w:w="3427" w:type="pct"/>
          </w:tcPr>
          <w:p w14:paraId="32117F50" w14:textId="77777777" w:rsidR="00007528" w:rsidRPr="00D4309F" w:rsidRDefault="00007528" w:rsidP="00007528">
            <w:pPr>
              <w:pStyle w:val="TableParagraph"/>
              <w:spacing w:before="41"/>
              <w:ind w:left="165"/>
              <w:rPr>
                <w:sz w:val="18"/>
              </w:rPr>
            </w:pPr>
            <w:r w:rsidRPr="00D4309F">
              <w:rPr>
                <w:color w:val="211E1F"/>
                <w:sz w:val="18"/>
              </w:rPr>
              <w:t>Visual</w:t>
            </w:r>
            <w:r w:rsidRPr="00D4309F">
              <w:rPr>
                <w:color w:val="211E1F"/>
                <w:spacing w:val="-5"/>
                <w:sz w:val="18"/>
              </w:rPr>
              <w:t xml:space="preserve"> </w:t>
            </w:r>
            <w:r w:rsidRPr="00D4309F">
              <w:rPr>
                <w:color w:val="211E1F"/>
                <w:spacing w:val="-2"/>
                <w:sz w:val="18"/>
              </w:rPr>
              <w:t>amenity</w:t>
            </w:r>
          </w:p>
        </w:tc>
        <w:tc>
          <w:tcPr>
            <w:tcW w:w="571" w:type="pct"/>
          </w:tcPr>
          <w:p w14:paraId="644DFD7F" w14:textId="0362DD3D" w:rsidR="00007528" w:rsidRPr="00D4309F" w:rsidRDefault="00007528" w:rsidP="00007528">
            <w:pPr>
              <w:pStyle w:val="TableParagraph"/>
              <w:spacing w:before="41"/>
              <w:ind w:left="485"/>
              <w:rPr>
                <w:sz w:val="18"/>
              </w:rPr>
            </w:pPr>
            <w:r w:rsidRPr="00D4309F">
              <w:rPr>
                <w:color w:val="211E1F"/>
                <w:spacing w:val="-10"/>
                <w:sz w:val="18"/>
              </w:rPr>
              <w:t>4</w:t>
            </w:r>
          </w:p>
        </w:tc>
      </w:tr>
      <w:tr w:rsidR="00007528" w:rsidRPr="00D4309F" w14:paraId="12407F5F" w14:textId="77777777">
        <w:trPr>
          <w:trHeight w:val="286"/>
        </w:trPr>
        <w:tc>
          <w:tcPr>
            <w:tcW w:w="1002" w:type="pct"/>
            <w:vMerge/>
          </w:tcPr>
          <w:p w14:paraId="4C1A28FF" w14:textId="77777777" w:rsidR="00007528" w:rsidRPr="00D4309F" w:rsidRDefault="00007528" w:rsidP="00007528">
            <w:pPr>
              <w:pStyle w:val="TableParagraph"/>
              <w:rPr>
                <w:rFonts w:ascii="Times New Roman"/>
                <w:sz w:val="18"/>
              </w:rPr>
            </w:pPr>
          </w:p>
        </w:tc>
        <w:tc>
          <w:tcPr>
            <w:tcW w:w="3427" w:type="pct"/>
          </w:tcPr>
          <w:p w14:paraId="22A39ED9" w14:textId="77777777" w:rsidR="00007528" w:rsidRPr="00D4309F" w:rsidRDefault="00007528" w:rsidP="00007528">
            <w:pPr>
              <w:pStyle w:val="TableParagraph"/>
              <w:spacing w:before="39"/>
              <w:ind w:left="165"/>
              <w:rPr>
                <w:sz w:val="18"/>
              </w:rPr>
            </w:pPr>
            <w:r w:rsidRPr="00D4309F">
              <w:rPr>
                <w:color w:val="211E1F"/>
                <w:sz w:val="18"/>
              </w:rPr>
              <w:t>Community</w:t>
            </w:r>
            <w:r w:rsidRPr="00D4309F">
              <w:rPr>
                <w:color w:val="211E1F"/>
                <w:spacing w:val="-3"/>
                <w:sz w:val="18"/>
              </w:rPr>
              <w:t xml:space="preserve"> </w:t>
            </w:r>
            <w:r w:rsidRPr="00D4309F">
              <w:rPr>
                <w:color w:val="211E1F"/>
                <w:sz w:val="18"/>
              </w:rPr>
              <w:t>amenity</w:t>
            </w:r>
            <w:r w:rsidRPr="00D4309F">
              <w:rPr>
                <w:color w:val="211E1F"/>
                <w:spacing w:val="-2"/>
                <w:sz w:val="18"/>
              </w:rPr>
              <w:t xml:space="preserve"> </w:t>
            </w:r>
            <w:r w:rsidRPr="00D4309F">
              <w:rPr>
                <w:color w:val="211E1F"/>
                <w:sz w:val="18"/>
              </w:rPr>
              <w:t>(inc.</w:t>
            </w:r>
            <w:r w:rsidRPr="00D4309F">
              <w:rPr>
                <w:color w:val="211E1F"/>
                <w:spacing w:val="-2"/>
                <w:sz w:val="18"/>
              </w:rPr>
              <w:t xml:space="preserve"> </w:t>
            </w:r>
            <w:r w:rsidRPr="00D4309F">
              <w:rPr>
                <w:color w:val="211E1F"/>
                <w:sz w:val="18"/>
              </w:rPr>
              <w:t>noise</w:t>
            </w:r>
            <w:r w:rsidRPr="00D4309F">
              <w:rPr>
                <w:color w:val="211E1F"/>
                <w:spacing w:val="-3"/>
                <w:sz w:val="18"/>
              </w:rPr>
              <w:t xml:space="preserve"> </w:t>
            </w:r>
            <w:r w:rsidRPr="00D4309F">
              <w:rPr>
                <w:color w:val="211E1F"/>
                <w:sz w:val="18"/>
              </w:rPr>
              <w:t>from</w:t>
            </w:r>
            <w:r w:rsidRPr="00D4309F">
              <w:rPr>
                <w:color w:val="211E1F"/>
                <w:spacing w:val="-2"/>
                <w:sz w:val="18"/>
              </w:rPr>
              <w:t xml:space="preserve"> pumps)</w:t>
            </w:r>
          </w:p>
        </w:tc>
        <w:tc>
          <w:tcPr>
            <w:tcW w:w="571" w:type="pct"/>
          </w:tcPr>
          <w:p w14:paraId="7A11A6FF" w14:textId="370F12AD" w:rsidR="00007528" w:rsidRPr="00D4309F" w:rsidRDefault="00007528" w:rsidP="00007528">
            <w:pPr>
              <w:pStyle w:val="TableParagraph"/>
              <w:spacing w:before="39"/>
              <w:ind w:left="484"/>
              <w:rPr>
                <w:sz w:val="18"/>
              </w:rPr>
            </w:pPr>
            <w:r w:rsidRPr="00D4309F">
              <w:rPr>
                <w:color w:val="211E1F"/>
                <w:spacing w:val="-10"/>
                <w:sz w:val="18"/>
              </w:rPr>
              <w:t>4</w:t>
            </w:r>
          </w:p>
        </w:tc>
      </w:tr>
      <w:tr w:rsidR="00007528" w:rsidRPr="00D4309F" w14:paraId="4D8E79B2" w14:textId="77777777">
        <w:trPr>
          <w:trHeight w:val="247"/>
        </w:trPr>
        <w:tc>
          <w:tcPr>
            <w:tcW w:w="1002" w:type="pct"/>
            <w:vMerge/>
          </w:tcPr>
          <w:p w14:paraId="4F63275E" w14:textId="77777777" w:rsidR="00007528" w:rsidRPr="00D4309F" w:rsidRDefault="00007528" w:rsidP="00007528">
            <w:pPr>
              <w:pStyle w:val="TableParagraph"/>
              <w:rPr>
                <w:rFonts w:ascii="Times New Roman"/>
                <w:sz w:val="18"/>
              </w:rPr>
            </w:pPr>
          </w:p>
        </w:tc>
        <w:tc>
          <w:tcPr>
            <w:tcW w:w="3427" w:type="pct"/>
          </w:tcPr>
          <w:p w14:paraId="29EA2268" w14:textId="77777777" w:rsidR="00007528" w:rsidRPr="00D4309F" w:rsidRDefault="00007528" w:rsidP="00007528">
            <w:pPr>
              <w:pStyle w:val="TableParagraph"/>
              <w:spacing w:before="41" w:line="187" w:lineRule="exact"/>
              <w:ind w:left="165"/>
              <w:rPr>
                <w:sz w:val="18"/>
              </w:rPr>
            </w:pPr>
            <w:r w:rsidRPr="00D4309F">
              <w:rPr>
                <w:color w:val="211E1F"/>
                <w:sz w:val="18"/>
              </w:rPr>
              <w:t>Beach</w:t>
            </w:r>
            <w:r w:rsidRPr="00D4309F">
              <w:rPr>
                <w:color w:val="211E1F"/>
                <w:spacing w:val="-5"/>
                <w:sz w:val="18"/>
              </w:rPr>
              <w:t xml:space="preserve"> </w:t>
            </w:r>
            <w:r w:rsidRPr="00D4309F">
              <w:rPr>
                <w:color w:val="211E1F"/>
                <w:sz w:val="18"/>
              </w:rPr>
              <w:t>users</w:t>
            </w:r>
            <w:r w:rsidRPr="00D4309F">
              <w:rPr>
                <w:color w:val="211E1F"/>
                <w:spacing w:val="-2"/>
                <w:sz w:val="18"/>
              </w:rPr>
              <w:t xml:space="preserve"> experience</w:t>
            </w:r>
          </w:p>
        </w:tc>
        <w:tc>
          <w:tcPr>
            <w:tcW w:w="571" w:type="pct"/>
          </w:tcPr>
          <w:p w14:paraId="1636C0C8" w14:textId="7F705EC3" w:rsidR="00007528" w:rsidRPr="00D4309F" w:rsidRDefault="00007528" w:rsidP="00007528">
            <w:pPr>
              <w:pStyle w:val="TableParagraph"/>
              <w:spacing w:before="41" w:line="187" w:lineRule="exact"/>
              <w:ind w:left="485"/>
              <w:rPr>
                <w:sz w:val="18"/>
              </w:rPr>
            </w:pPr>
            <w:r w:rsidRPr="00D4309F">
              <w:rPr>
                <w:color w:val="211E1F"/>
                <w:spacing w:val="-10"/>
                <w:sz w:val="18"/>
              </w:rPr>
              <w:t>4</w:t>
            </w:r>
          </w:p>
        </w:tc>
      </w:tr>
      <w:tr w:rsidR="00007528" w:rsidRPr="00D4309F" w14:paraId="341A49FC" w14:textId="77777777">
        <w:trPr>
          <w:trHeight w:val="247"/>
        </w:trPr>
        <w:tc>
          <w:tcPr>
            <w:tcW w:w="1002" w:type="pct"/>
            <w:vMerge/>
          </w:tcPr>
          <w:p w14:paraId="6DDF6E9D" w14:textId="77777777" w:rsidR="00007528" w:rsidRPr="00D4309F" w:rsidRDefault="00007528" w:rsidP="00007528">
            <w:pPr>
              <w:pStyle w:val="TableParagraph"/>
              <w:rPr>
                <w:rFonts w:ascii="Times New Roman"/>
                <w:sz w:val="18"/>
              </w:rPr>
            </w:pPr>
          </w:p>
        </w:tc>
        <w:tc>
          <w:tcPr>
            <w:tcW w:w="3427" w:type="pct"/>
          </w:tcPr>
          <w:p w14:paraId="2FA36BC8" w14:textId="77777777" w:rsidR="00007528" w:rsidRPr="00D4309F" w:rsidRDefault="00007528" w:rsidP="00007528">
            <w:pPr>
              <w:pStyle w:val="TableParagraph"/>
              <w:spacing w:before="41" w:line="187" w:lineRule="exact"/>
              <w:ind w:left="165"/>
              <w:rPr>
                <w:color w:val="211E1F"/>
                <w:sz w:val="18"/>
              </w:rPr>
            </w:pPr>
            <w:r w:rsidRPr="00D4309F">
              <w:rPr>
                <w:color w:val="211E1F"/>
                <w:sz w:val="18"/>
              </w:rPr>
              <w:t>Safe</w:t>
            </w:r>
            <w:r w:rsidRPr="00D4309F">
              <w:rPr>
                <w:color w:val="211E1F"/>
                <w:spacing w:val="-4"/>
                <w:sz w:val="18"/>
              </w:rPr>
              <w:t xml:space="preserve"> </w:t>
            </w:r>
            <w:r w:rsidRPr="00D4309F">
              <w:rPr>
                <w:color w:val="211E1F"/>
                <w:sz w:val="18"/>
              </w:rPr>
              <w:t>access</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business</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recreational</w:t>
            </w:r>
            <w:r w:rsidRPr="00D4309F">
              <w:rPr>
                <w:color w:val="211E1F"/>
                <w:spacing w:val="-2"/>
                <w:sz w:val="18"/>
              </w:rPr>
              <w:t xml:space="preserve"> </w:t>
            </w:r>
            <w:r w:rsidRPr="00D4309F">
              <w:rPr>
                <w:color w:val="211E1F"/>
                <w:spacing w:val="-4"/>
                <w:sz w:val="18"/>
              </w:rPr>
              <w:t>users</w:t>
            </w:r>
          </w:p>
        </w:tc>
        <w:tc>
          <w:tcPr>
            <w:tcW w:w="571" w:type="pct"/>
          </w:tcPr>
          <w:p w14:paraId="2B6A9D1E" w14:textId="6144DFBA" w:rsidR="00007528" w:rsidRPr="00D4309F" w:rsidRDefault="00007528" w:rsidP="00007528">
            <w:pPr>
              <w:pStyle w:val="TableParagraph"/>
              <w:spacing w:before="41" w:line="187" w:lineRule="exact"/>
              <w:ind w:left="485"/>
              <w:rPr>
                <w:color w:val="211E1F"/>
                <w:spacing w:val="-10"/>
                <w:sz w:val="18"/>
              </w:rPr>
            </w:pPr>
            <w:r w:rsidRPr="00D4309F">
              <w:rPr>
                <w:color w:val="211E1F"/>
                <w:spacing w:val="-10"/>
                <w:sz w:val="18"/>
              </w:rPr>
              <w:t>3</w:t>
            </w:r>
          </w:p>
        </w:tc>
      </w:tr>
      <w:tr w:rsidR="00007528" w:rsidRPr="00D4309F" w14:paraId="60267506" w14:textId="77777777">
        <w:trPr>
          <w:trHeight w:val="247"/>
        </w:trPr>
        <w:tc>
          <w:tcPr>
            <w:tcW w:w="1002" w:type="pct"/>
            <w:vMerge/>
          </w:tcPr>
          <w:p w14:paraId="6F952A53" w14:textId="77777777" w:rsidR="00007528" w:rsidRPr="00D4309F" w:rsidRDefault="00007528" w:rsidP="00007528">
            <w:pPr>
              <w:pStyle w:val="TableParagraph"/>
              <w:rPr>
                <w:rFonts w:ascii="Times New Roman"/>
                <w:sz w:val="18"/>
              </w:rPr>
            </w:pPr>
          </w:p>
        </w:tc>
        <w:tc>
          <w:tcPr>
            <w:tcW w:w="3427" w:type="pct"/>
          </w:tcPr>
          <w:p w14:paraId="4885B3EE" w14:textId="77777777" w:rsidR="00007528" w:rsidRPr="00D4309F" w:rsidRDefault="00007528" w:rsidP="00007528">
            <w:pPr>
              <w:pStyle w:val="TableParagraph"/>
              <w:spacing w:before="41" w:line="187" w:lineRule="exact"/>
              <w:ind w:left="165"/>
              <w:rPr>
                <w:color w:val="211E1F"/>
                <w:sz w:val="18"/>
              </w:rPr>
            </w:pPr>
            <w:r w:rsidRPr="00D4309F">
              <w:rPr>
                <w:color w:val="211E1F"/>
                <w:sz w:val="18"/>
              </w:rPr>
              <w:t>Reliable</w:t>
            </w:r>
            <w:r w:rsidRPr="00D4309F">
              <w:rPr>
                <w:color w:val="211E1F"/>
                <w:spacing w:val="-4"/>
                <w:sz w:val="18"/>
              </w:rPr>
              <w:t xml:space="preserve"> </w:t>
            </w:r>
            <w:r w:rsidRPr="00D4309F">
              <w:rPr>
                <w:color w:val="211E1F"/>
                <w:sz w:val="18"/>
              </w:rPr>
              <w:t>access</w:t>
            </w:r>
            <w:r w:rsidRPr="00D4309F">
              <w:rPr>
                <w:color w:val="211E1F"/>
                <w:spacing w:val="-3"/>
                <w:sz w:val="18"/>
              </w:rPr>
              <w:t xml:space="preserve"> </w:t>
            </w:r>
            <w:r w:rsidRPr="00D4309F">
              <w:rPr>
                <w:color w:val="211E1F"/>
                <w:sz w:val="18"/>
              </w:rPr>
              <w:t>for</w:t>
            </w:r>
            <w:r w:rsidRPr="00D4309F">
              <w:rPr>
                <w:color w:val="211E1F"/>
                <w:spacing w:val="-3"/>
                <w:sz w:val="18"/>
              </w:rPr>
              <w:t xml:space="preserve"> </w:t>
            </w:r>
            <w:r w:rsidRPr="00D4309F">
              <w:rPr>
                <w:color w:val="211E1F"/>
                <w:sz w:val="18"/>
              </w:rPr>
              <w:t>business</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recreational</w:t>
            </w:r>
            <w:r w:rsidRPr="00D4309F">
              <w:rPr>
                <w:color w:val="211E1F"/>
                <w:spacing w:val="-3"/>
                <w:sz w:val="18"/>
              </w:rPr>
              <w:t xml:space="preserve"> </w:t>
            </w:r>
            <w:r w:rsidRPr="00D4309F">
              <w:rPr>
                <w:color w:val="211E1F"/>
                <w:spacing w:val="-4"/>
                <w:sz w:val="18"/>
              </w:rPr>
              <w:t>users</w:t>
            </w:r>
          </w:p>
        </w:tc>
        <w:tc>
          <w:tcPr>
            <w:tcW w:w="571" w:type="pct"/>
          </w:tcPr>
          <w:p w14:paraId="4C547C04" w14:textId="22357EB7" w:rsidR="00007528" w:rsidRPr="00D4309F" w:rsidRDefault="00007528" w:rsidP="00007528">
            <w:pPr>
              <w:pStyle w:val="TableParagraph"/>
              <w:spacing w:before="41" w:line="187" w:lineRule="exact"/>
              <w:ind w:left="485"/>
              <w:rPr>
                <w:color w:val="211E1F"/>
                <w:spacing w:val="-10"/>
                <w:sz w:val="18"/>
              </w:rPr>
            </w:pPr>
            <w:r w:rsidRPr="00D4309F">
              <w:rPr>
                <w:color w:val="211E1F"/>
                <w:spacing w:val="-10"/>
                <w:sz w:val="18"/>
              </w:rPr>
              <w:t>4</w:t>
            </w:r>
          </w:p>
        </w:tc>
      </w:tr>
      <w:tr w:rsidR="00007528" w:rsidRPr="00D4309F" w14:paraId="27C62661" w14:textId="77777777">
        <w:trPr>
          <w:trHeight w:val="247"/>
        </w:trPr>
        <w:tc>
          <w:tcPr>
            <w:tcW w:w="1002" w:type="pct"/>
            <w:vMerge/>
          </w:tcPr>
          <w:p w14:paraId="3E6463A3" w14:textId="77777777" w:rsidR="00007528" w:rsidRPr="00D4309F" w:rsidRDefault="00007528" w:rsidP="00007528">
            <w:pPr>
              <w:pStyle w:val="TableParagraph"/>
              <w:rPr>
                <w:rFonts w:ascii="Times New Roman"/>
                <w:sz w:val="18"/>
              </w:rPr>
            </w:pPr>
          </w:p>
        </w:tc>
        <w:tc>
          <w:tcPr>
            <w:tcW w:w="3427" w:type="pct"/>
          </w:tcPr>
          <w:p w14:paraId="2C4F32BE" w14:textId="77777777" w:rsidR="00007528" w:rsidRPr="00D4309F" w:rsidRDefault="00007528" w:rsidP="00007528">
            <w:pPr>
              <w:pStyle w:val="TableParagraph"/>
              <w:spacing w:before="41" w:line="187" w:lineRule="exact"/>
              <w:ind w:left="165"/>
              <w:rPr>
                <w:color w:val="211E1F"/>
                <w:sz w:val="18"/>
              </w:rPr>
            </w:pPr>
            <w:r w:rsidRPr="00D4309F">
              <w:rPr>
                <w:color w:val="211E1F"/>
                <w:sz w:val="18"/>
              </w:rPr>
              <w:t>Broader</w:t>
            </w:r>
            <w:r w:rsidRPr="00D4309F">
              <w:rPr>
                <w:color w:val="211E1F"/>
                <w:spacing w:val="-6"/>
                <w:sz w:val="18"/>
              </w:rPr>
              <w:t xml:space="preserve"> </w:t>
            </w:r>
            <w:r w:rsidRPr="00D4309F">
              <w:rPr>
                <w:color w:val="211E1F"/>
                <w:sz w:val="18"/>
              </w:rPr>
              <w:t>economic</w:t>
            </w:r>
            <w:r w:rsidRPr="00D4309F">
              <w:rPr>
                <w:color w:val="211E1F"/>
                <w:spacing w:val="-4"/>
                <w:sz w:val="18"/>
              </w:rPr>
              <w:t xml:space="preserve"> </w:t>
            </w:r>
            <w:r w:rsidRPr="00D4309F">
              <w:rPr>
                <w:color w:val="211E1F"/>
                <w:sz w:val="18"/>
              </w:rPr>
              <w:t>considerations</w:t>
            </w:r>
            <w:r w:rsidRPr="00D4309F">
              <w:rPr>
                <w:color w:val="211E1F"/>
                <w:spacing w:val="-3"/>
                <w:sz w:val="18"/>
              </w:rPr>
              <w:t xml:space="preserve"> </w:t>
            </w:r>
            <w:r w:rsidRPr="00D4309F">
              <w:rPr>
                <w:color w:val="211E1F"/>
                <w:sz w:val="18"/>
              </w:rPr>
              <w:t>during</w:t>
            </w:r>
            <w:r w:rsidRPr="00D4309F">
              <w:rPr>
                <w:color w:val="211E1F"/>
                <w:spacing w:val="-5"/>
                <w:sz w:val="18"/>
              </w:rPr>
              <w:t xml:space="preserve"> </w:t>
            </w:r>
            <w:r w:rsidRPr="00D4309F">
              <w:rPr>
                <w:color w:val="211E1F"/>
                <w:sz w:val="18"/>
              </w:rPr>
              <w:t>construction</w:t>
            </w:r>
            <w:r w:rsidRPr="00D4309F">
              <w:rPr>
                <w:color w:val="211E1F"/>
                <w:spacing w:val="-4"/>
                <w:sz w:val="18"/>
              </w:rPr>
              <w:t xml:space="preserve"> </w:t>
            </w:r>
            <w:r w:rsidRPr="00D4309F">
              <w:rPr>
                <w:color w:val="211E1F"/>
                <w:sz w:val="18"/>
              </w:rPr>
              <w:t>and</w:t>
            </w:r>
            <w:r w:rsidRPr="00D4309F">
              <w:rPr>
                <w:color w:val="211E1F"/>
                <w:spacing w:val="-4"/>
                <w:sz w:val="18"/>
              </w:rPr>
              <w:t xml:space="preserve"> </w:t>
            </w:r>
            <w:r w:rsidRPr="00D4309F">
              <w:rPr>
                <w:color w:val="211E1F"/>
                <w:spacing w:val="-2"/>
                <w:sz w:val="18"/>
              </w:rPr>
              <w:t>operation</w:t>
            </w:r>
          </w:p>
        </w:tc>
        <w:tc>
          <w:tcPr>
            <w:tcW w:w="571" w:type="pct"/>
          </w:tcPr>
          <w:p w14:paraId="755A6448" w14:textId="4E8C1E51" w:rsidR="00007528" w:rsidRPr="00D4309F" w:rsidRDefault="00007528" w:rsidP="00007528">
            <w:pPr>
              <w:pStyle w:val="TableParagraph"/>
              <w:spacing w:before="41" w:line="187" w:lineRule="exact"/>
              <w:ind w:left="485"/>
              <w:rPr>
                <w:color w:val="211E1F"/>
                <w:spacing w:val="-10"/>
                <w:sz w:val="18"/>
              </w:rPr>
            </w:pPr>
            <w:r w:rsidRPr="00D4309F">
              <w:rPr>
                <w:color w:val="211E1F"/>
                <w:spacing w:val="-10"/>
                <w:sz w:val="18"/>
              </w:rPr>
              <w:t>3</w:t>
            </w:r>
          </w:p>
        </w:tc>
      </w:tr>
      <w:tr w:rsidR="00007528" w:rsidRPr="00D4309F" w14:paraId="34A28070" w14:textId="77777777">
        <w:trPr>
          <w:trHeight w:val="247"/>
        </w:trPr>
        <w:tc>
          <w:tcPr>
            <w:tcW w:w="1002" w:type="pct"/>
            <w:vMerge/>
          </w:tcPr>
          <w:p w14:paraId="77BB1367" w14:textId="77777777" w:rsidR="00007528" w:rsidRPr="00D4309F" w:rsidRDefault="00007528" w:rsidP="00007528">
            <w:pPr>
              <w:pStyle w:val="TableParagraph"/>
              <w:rPr>
                <w:rFonts w:ascii="Times New Roman"/>
                <w:sz w:val="18"/>
              </w:rPr>
            </w:pPr>
          </w:p>
        </w:tc>
        <w:tc>
          <w:tcPr>
            <w:tcW w:w="3427" w:type="pct"/>
          </w:tcPr>
          <w:p w14:paraId="5EE45126" w14:textId="77777777" w:rsidR="00007528" w:rsidRPr="00D4309F" w:rsidRDefault="00007528" w:rsidP="00007528">
            <w:pPr>
              <w:pStyle w:val="TableParagraph"/>
              <w:spacing w:before="41" w:line="187" w:lineRule="exact"/>
              <w:ind w:left="165"/>
              <w:rPr>
                <w:color w:val="211E1F"/>
                <w:sz w:val="18"/>
              </w:rPr>
            </w:pPr>
            <w:r w:rsidRPr="00D4309F">
              <w:rPr>
                <w:color w:val="211E1F"/>
                <w:sz w:val="18"/>
              </w:rPr>
              <w:t>Environmental</w:t>
            </w:r>
            <w:r w:rsidRPr="00D4309F">
              <w:rPr>
                <w:color w:val="211E1F"/>
                <w:spacing w:val="-5"/>
                <w:sz w:val="18"/>
              </w:rPr>
              <w:t xml:space="preserve"> </w:t>
            </w:r>
            <w:r w:rsidRPr="00D4309F">
              <w:rPr>
                <w:color w:val="211E1F"/>
                <w:sz w:val="18"/>
              </w:rPr>
              <w:t>impact</w:t>
            </w:r>
            <w:r w:rsidRPr="00D4309F">
              <w:rPr>
                <w:color w:val="211E1F"/>
                <w:spacing w:val="-4"/>
                <w:sz w:val="18"/>
              </w:rPr>
              <w:t xml:space="preserve"> </w:t>
            </w:r>
            <w:r w:rsidRPr="00D4309F">
              <w:rPr>
                <w:color w:val="211E1F"/>
                <w:spacing w:val="-2"/>
                <w:sz w:val="18"/>
              </w:rPr>
              <w:t>perceptions</w:t>
            </w:r>
          </w:p>
        </w:tc>
        <w:tc>
          <w:tcPr>
            <w:tcW w:w="571" w:type="pct"/>
          </w:tcPr>
          <w:p w14:paraId="780A0D05" w14:textId="2710CE54" w:rsidR="00007528" w:rsidRPr="00D4309F" w:rsidRDefault="00007528" w:rsidP="00007528">
            <w:pPr>
              <w:pStyle w:val="TableParagraph"/>
              <w:spacing w:before="41" w:line="187" w:lineRule="exact"/>
              <w:ind w:left="485"/>
              <w:rPr>
                <w:color w:val="211E1F"/>
                <w:spacing w:val="-10"/>
                <w:sz w:val="18"/>
              </w:rPr>
            </w:pPr>
            <w:r w:rsidRPr="00D4309F">
              <w:rPr>
                <w:color w:val="211E1F"/>
                <w:spacing w:val="-10"/>
                <w:sz w:val="18"/>
              </w:rPr>
              <w:t>1</w:t>
            </w:r>
          </w:p>
        </w:tc>
      </w:tr>
      <w:tr w:rsidR="00007528" w:rsidRPr="00D4309F" w14:paraId="299608B8" w14:textId="77777777">
        <w:trPr>
          <w:trHeight w:val="247"/>
        </w:trPr>
        <w:tc>
          <w:tcPr>
            <w:tcW w:w="1002" w:type="pct"/>
            <w:vMerge/>
          </w:tcPr>
          <w:p w14:paraId="592619D5" w14:textId="77777777" w:rsidR="00007528" w:rsidRPr="00D4309F" w:rsidRDefault="00007528" w:rsidP="00007528">
            <w:pPr>
              <w:pStyle w:val="TableParagraph"/>
              <w:rPr>
                <w:rFonts w:ascii="Times New Roman"/>
                <w:sz w:val="18"/>
              </w:rPr>
            </w:pPr>
          </w:p>
        </w:tc>
        <w:tc>
          <w:tcPr>
            <w:tcW w:w="3427" w:type="pct"/>
          </w:tcPr>
          <w:p w14:paraId="25B9F5B8" w14:textId="77777777" w:rsidR="00007528" w:rsidRPr="00D4309F" w:rsidRDefault="00007528" w:rsidP="00007528">
            <w:pPr>
              <w:pStyle w:val="TableParagraph"/>
              <w:spacing w:before="41" w:line="187" w:lineRule="exact"/>
              <w:ind w:left="165"/>
              <w:rPr>
                <w:color w:val="211E1F"/>
                <w:sz w:val="18"/>
              </w:rPr>
            </w:pPr>
          </w:p>
        </w:tc>
        <w:tc>
          <w:tcPr>
            <w:tcW w:w="571" w:type="pct"/>
          </w:tcPr>
          <w:p w14:paraId="6A14588D" w14:textId="77777777" w:rsidR="00007528" w:rsidRPr="00D4309F" w:rsidRDefault="00007528" w:rsidP="00007528">
            <w:pPr>
              <w:pStyle w:val="TableParagraph"/>
              <w:spacing w:before="41" w:line="187" w:lineRule="exact"/>
              <w:ind w:left="485"/>
              <w:rPr>
                <w:color w:val="211E1F"/>
                <w:spacing w:val="-10"/>
                <w:sz w:val="18"/>
              </w:rPr>
            </w:pPr>
          </w:p>
        </w:tc>
      </w:tr>
      <w:tr w:rsidR="00007528" w:rsidRPr="00D4309F" w14:paraId="4E241024" w14:textId="77777777">
        <w:trPr>
          <w:trHeight w:val="247"/>
        </w:trPr>
        <w:tc>
          <w:tcPr>
            <w:tcW w:w="1002" w:type="pct"/>
            <w:vMerge/>
          </w:tcPr>
          <w:p w14:paraId="7BD9391B" w14:textId="77777777" w:rsidR="00007528" w:rsidRPr="00D4309F" w:rsidRDefault="00007528" w:rsidP="00007528">
            <w:pPr>
              <w:pStyle w:val="TableParagraph"/>
              <w:rPr>
                <w:rFonts w:ascii="Times New Roman"/>
                <w:sz w:val="18"/>
              </w:rPr>
            </w:pPr>
          </w:p>
        </w:tc>
        <w:tc>
          <w:tcPr>
            <w:tcW w:w="3427" w:type="pct"/>
          </w:tcPr>
          <w:p w14:paraId="5770BED6" w14:textId="77777777" w:rsidR="00007528" w:rsidRPr="00D4309F" w:rsidRDefault="00007528" w:rsidP="00007528">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1B5605AA" w14:textId="7CBF0B14" w:rsidR="00007528" w:rsidRPr="00D4309F" w:rsidRDefault="00007528" w:rsidP="00007528">
            <w:pPr>
              <w:pStyle w:val="TableParagraph"/>
              <w:spacing w:before="41" w:line="187" w:lineRule="exact"/>
              <w:ind w:left="485"/>
              <w:rPr>
                <w:color w:val="211E1F"/>
                <w:spacing w:val="-10"/>
                <w:sz w:val="18"/>
              </w:rPr>
            </w:pPr>
            <w:r w:rsidRPr="00D4309F">
              <w:rPr>
                <w:b/>
                <w:color w:val="211E1F"/>
                <w:spacing w:val="-5"/>
                <w:sz w:val="18"/>
              </w:rPr>
              <w:t>31</w:t>
            </w:r>
          </w:p>
        </w:tc>
      </w:tr>
      <w:tr w:rsidR="00007528" w:rsidRPr="00D4309F" w14:paraId="1CAA12E0" w14:textId="77777777">
        <w:trPr>
          <w:trHeight w:val="247"/>
        </w:trPr>
        <w:tc>
          <w:tcPr>
            <w:tcW w:w="1002" w:type="pct"/>
            <w:vMerge w:val="restart"/>
          </w:tcPr>
          <w:p w14:paraId="588C168F" w14:textId="77777777" w:rsidR="00007528" w:rsidRPr="00D4309F" w:rsidRDefault="00007528" w:rsidP="00007528">
            <w:pPr>
              <w:pStyle w:val="TableParagraph"/>
              <w:rPr>
                <w:rFonts w:ascii="Times New Roman"/>
                <w:sz w:val="18"/>
              </w:rPr>
            </w:pPr>
            <w:r w:rsidRPr="00D4309F">
              <w:rPr>
                <w:b/>
                <w:color w:val="211E1F"/>
                <w:spacing w:val="-2"/>
                <w:sz w:val="18"/>
              </w:rPr>
              <w:t>Environmental</w:t>
            </w:r>
          </w:p>
        </w:tc>
        <w:tc>
          <w:tcPr>
            <w:tcW w:w="3427" w:type="pct"/>
          </w:tcPr>
          <w:p w14:paraId="114A51DB" w14:textId="77777777" w:rsidR="00007528" w:rsidRPr="00D4309F" w:rsidRDefault="00007528" w:rsidP="00007528">
            <w:pPr>
              <w:pStyle w:val="TableParagraph"/>
              <w:spacing w:before="41" w:line="187" w:lineRule="exact"/>
              <w:ind w:left="165"/>
              <w:rPr>
                <w:color w:val="211E1F"/>
                <w:sz w:val="18"/>
              </w:rPr>
            </w:pPr>
            <w:r w:rsidRPr="00D4309F">
              <w:rPr>
                <w:color w:val="211E1F"/>
                <w:sz w:val="18"/>
              </w:rPr>
              <w:t>Marine</w:t>
            </w:r>
            <w:r w:rsidRPr="00D4309F">
              <w:rPr>
                <w:color w:val="211E1F"/>
                <w:spacing w:val="-4"/>
                <w:sz w:val="18"/>
              </w:rPr>
              <w:t xml:space="preserve"> </w:t>
            </w:r>
            <w:r w:rsidRPr="00D4309F">
              <w:rPr>
                <w:color w:val="211E1F"/>
                <w:sz w:val="18"/>
              </w:rPr>
              <w:t>water</w:t>
            </w:r>
            <w:r w:rsidRPr="00D4309F">
              <w:rPr>
                <w:color w:val="211E1F"/>
                <w:spacing w:val="-3"/>
                <w:sz w:val="18"/>
              </w:rPr>
              <w:t xml:space="preserve"> </w:t>
            </w:r>
            <w:r w:rsidRPr="00D4309F">
              <w:rPr>
                <w:color w:val="211E1F"/>
                <w:sz w:val="18"/>
              </w:rPr>
              <w:t>quality</w:t>
            </w:r>
            <w:r w:rsidRPr="00D4309F">
              <w:rPr>
                <w:color w:val="211E1F"/>
                <w:spacing w:val="-3"/>
                <w:sz w:val="18"/>
              </w:rPr>
              <w:t xml:space="preserve"> </w:t>
            </w:r>
            <w:r w:rsidRPr="00D4309F">
              <w:rPr>
                <w:color w:val="211E1F"/>
                <w:spacing w:val="-2"/>
                <w:sz w:val="18"/>
              </w:rPr>
              <w:t>impacts</w:t>
            </w:r>
          </w:p>
        </w:tc>
        <w:tc>
          <w:tcPr>
            <w:tcW w:w="571" w:type="pct"/>
          </w:tcPr>
          <w:p w14:paraId="6B32F33B" w14:textId="7F0CF430" w:rsidR="00007528" w:rsidRPr="00D4309F" w:rsidRDefault="00007528" w:rsidP="00007528">
            <w:pPr>
              <w:pStyle w:val="TableParagraph"/>
              <w:spacing w:before="41" w:line="187" w:lineRule="exact"/>
              <w:ind w:left="485"/>
              <w:rPr>
                <w:color w:val="211E1F"/>
                <w:spacing w:val="-10"/>
                <w:sz w:val="18"/>
              </w:rPr>
            </w:pPr>
            <w:r w:rsidRPr="00D4309F">
              <w:rPr>
                <w:color w:val="211E1F"/>
                <w:spacing w:val="-10"/>
                <w:sz w:val="18"/>
              </w:rPr>
              <w:t>2</w:t>
            </w:r>
          </w:p>
        </w:tc>
      </w:tr>
      <w:tr w:rsidR="00007528" w:rsidRPr="00D4309F" w14:paraId="5D5F723E" w14:textId="77777777">
        <w:trPr>
          <w:trHeight w:val="247"/>
        </w:trPr>
        <w:tc>
          <w:tcPr>
            <w:tcW w:w="1002" w:type="pct"/>
            <w:vMerge/>
          </w:tcPr>
          <w:p w14:paraId="43A2D957" w14:textId="77777777" w:rsidR="00007528" w:rsidRPr="00D4309F" w:rsidRDefault="00007528" w:rsidP="00007528">
            <w:pPr>
              <w:pStyle w:val="TableParagraph"/>
              <w:rPr>
                <w:rFonts w:ascii="Times New Roman"/>
                <w:sz w:val="18"/>
              </w:rPr>
            </w:pPr>
          </w:p>
        </w:tc>
        <w:tc>
          <w:tcPr>
            <w:tcW w:w="3427" w:type="pct"/>
          </w:tcPr>
          <w:p w14:paraId="5978C0C3" w14:textId="77777777" w:rsidR="00007528" w:rsidRPr="00D4309F" w:rsidRDefault="00007528" w:rsidP="00007528">
            <w:pPr>
              <w:pStyle w:val="TableParagraph"/>
              <w:spacing w:before="41" w:line="187" w:lineRule="exact"/>
              <w:ind w:left="165"/>
              <w:rPr>
                <w:color w:val="211E1F"/>
                <w:sz w:val="18"/>
              </w:rPr>
            </w:pPr>
            <w:r w:rsidRPr="00D4309F">
              <w:rPr>
                <w:color w:val="211E1F"/>
                <w:sz w:val="18"/>
              </w:rPr>
              <w:t>Marine</w:t>
            </w:r>
            <w:r w:rsidRPr="00D4309F">
              <w:rPr>
                <w:color w:val="211E1F"/>
                <w:spacing w:val="-2"/>
                <w:sz w:val="18"/>
              </w:rPr>
              <w:t xml:space="preserve"> </w:t>
            </w:r>
            <w:r w:rsidRPr="00D4309F">
              <w:rPr>
                <w:color w:val="211E1F"/>
                <w:sz w:val="18"/>
              </w:rPr>
              <w:t>habitats</w:t>
            </w:r>
            <w:r w:rsidRPr="00D4309F">
              <w:rPr>
                <w:color w:val="211E1F"/>
                <w:spacing w:val="-3"/>
                <w:sz w:val="18"/>
              </w:rPr>
              <w:t xml:space="preserve"> </w:t>
            </w:r>
            <w:r w:rsidRPr="00D4309F">
              <w:rPr>
                <w:color w:val="211E1F"/>
                <w:sz w:val="18"/>
              </w:rPr>
              <w:t>&amp;</w:t>
            </w:r>
            <w:r w:rsidRPr="00D4309F">
              <w:rPr>
                <w:color w:val="211E1F"/>
                <w:spacing w:val="-3"/>
                <w:sz w:val="18"/>
              </w:rPr>
              <w:t xml:space="preserve"> </w:t>
            </w:r>
            <w:r w:rsidRPr="00D4309F">
              <w:rPr>
                <w:color w:val="211E1F"/>
                <w:sz w:val="18"/>
              </w:rPr>
              <w:t>protected</w:t>
            </w:r>
            <w:r w:rsidRPr="00D4309F">
              <w:rPr>
                <w:color w:val="211E1F"/>
                <w:spacing w:val="-4"/>
                <w:sz w:val="18"/>
              </w:rPr>
              <w:t xml:space="preserve"> </w:t>
            </w:r>
            <w:r w:rsidRPr="00D4309F">
              <w:rPr>
                <w:color w:val="211E1F"/>
                <w:sz w:val="18"/>
              </w:rPr>
              <w:t>species</w:t>
            </w:r>
            <w:r w:rsidRPr="00D4309F">
              <w:rPr>
                <w:color w:val="211E1F"/>
                <w:spacing w:val="-2"/>
                <w:sz w:val="18"/>
              </w:rPr>
              <w:t xml:space="preserve"> impacts</w:t>
            </w:r>
          </w:p>
        </w:tc>
        <w:tc>
          <w:tcPr>
            <w:tcW w:w="571" w:type="pct"/>
          </w:tcPr>
          <w:p w14:paraId="0887D0BC" w14:textId="4AEECA55" w:rsidR="00007528" w:rsidRPr="00D4309F" w:rsidRDefault="00007528" w:rsidP="00007528">
            <w:pPr>
              <w:pStyle w:val="TableParagraph"/>
              <w:spacing w:before="41" w:line="187" w:lineRule="exact"/>
              <w:ind w:left="485"/>
              <w:rPr>
                <w:color w:val="211E1F"/>
                <w:spacing w:val="-10"/>
                <w:sz w:val="18"/>
              </w:rPr>
            </w:pPr>
            <w:r w:rsidRPr="00D4309F">
              <w:rPr>
                <w:color w:val="211E1F"/>
                <w:spacing w:val="-10"/>
                <w:sz w:val="18"/>
              </w:rPr>
              <w:t>1</w:t>
            </w:r>
          </w:p>
        </w:tc>
      </w:tr>
      <w:tr w:rsidR="00007528" w:rsidRPr="00D4309F" w14:paraId="07B2FC87" w14:textId="77777777">
        <w:trPr>
          <w:trHeight w:val="247"/>
        </w:trPr>
        <w:tc>
          <w:tcPr>
            <w:tcW w:w="1002" w:type="pct"/>
            <w:vMerge/>
          </w:tcPr>
          <w:p w14:paraId="31AEAC56" w14:textId="77777777" w:rsidR="00007528" w:rsidRPr="00D4309F" w:rsidRDefault="00007528" w:rsidP="00007528">
            <w:pPr>
              <w:pStyle w:val="TableParagraph"/>
              <w:rPr>
                <w:rFonts w:ascii="Times New Roman"/>
                <w:sz w:val="18"/>
              </w:rPr>
            </w:pPr>
          </w:p>
        </w:tc>
        <w:tc>
          <w:tcPr>
            <w:tcW w:w="3427" w:type="pct"/>
          </w:tcPr>
          <w:p w14:paraId="151623BB" w14:textId="77777777" w:rsidR="00007528" w:rsidRPr="00D4309F" w:rsidRDefault="00007528" w:rsidP="00007528">
            <w:pPr>
              <w:pStyle w:val="TableParagraph"/>
              <w:spacing w:before="41" w:line="187" w:lineRule="exact"/>
              <w:ind w:left="165"/>
              <w:rPr>
                <w:color w:val="211E1F"/>
                <w:sz w:val="18"/>
              </w:rPr>
            </w:pPr>
            <w:r w:rsidRPr="00D4309F">
              <w:rPr>
                <w:color w:val="211E1F"/>
                <w:sz w:val="18"/>
              </w:rPr>
              <w:t>Terrestrial</w:t>
            </w:r>
            <w:r w:rsidRPr="00D4309F">
              <w:rPr>
                <w:color w:val="211E1F"/>
                <w:spacing w:val="-3"/>
                <w:sz w:val="18"/>
              </w:rPr>
              <w:t xml:space="preserve"> </w:t>
            </w:r>
            <w:r w:rsidRPr="00D4309F">
              <w:rPr>
                <w:color w:val="211E1F"/>
                <w:sz w:val="18"/>
              </w:rPr>
              <w:t>habitats</w:t>
            </w:r>
            <w:r w:rsidRPr="00D4309F">
              <w:rPr>
                <w:color w:val="211E1F"/>
                <w:spacing w:val="-3"/>
                <w:sz w:val="18"/>
              </w:rPr>
              <w:t xml:space="preserve"> </w:t>
            </w:r>
            <w:r w:rsidRPr="00D4309F">
              <w:rPr>
                <w:color w:val="211E1F"/>
                <w:sz w:val="18"/>
              </w:rPr>
              <w:t>&amp;</w:t>
            </w:r>
            <w:r w:rsidRPr="00D4309F">
              <w:rPr>
                <w:color w:val="211E1F"/>
                <w:spacing w:val="-3"/>
                <w:sz w:val="18"/>
              </w:rPr>
              <w:t xml:space="preserve"> </w:t>
            </w:r>
            <w:r w:rsidRPr="00D4309F">
              <w:rPr>
                <w:color w:val="211E1F"/>
                <w:sz w:val="18"/>
              </w:rPr>
              <w:t>protected</w:t>
            </w:r>
            <w:r w:rsidRPr="00D4309F">
              <w:rPr>
                <w:color w:val="211E1F"/>
                <w:spacing w:val="-4"/>
                <w:sz w:val="18"/>
              </w:rPr>
              <w:t xml:space="preserve"> </w:t>
            </w:r>
            <w:r w:rsidRPr="00D4309F">
              <w:rPr>
                <w:color w:val="211E1F"/>
                <w:sz w:val="18"/>
              </w:rPr>
              <w:t>species</w:t>
            </w:r>
            <w:r w:rsidRPr="00D4309F">
              <w:rPr>
                <w:color w:val="211E1F"/>
                <w:spacing w:val="-2"/>
                <w:sz w:val="18"/>
              </w:rPr>
              <w:t xml:space="preserve"> impacts</w:t>
            </w:r>
          </w:p>
        </w:tc>
        <w:tc>
          <w:tcPr>
            <w:tcW w:w="571" w:type="pct"/>
          </w:tcPr>
          <w:p w14:paraId="0D657129" w14:textId="161A1F3C" w:rsidR="00007528" w:rsidRPr="00D4309F" w:rsidRDefault="00007528" w:rsidP="00007528">
            <w:pPr>
              <w:pStyle w:val="TableParagraph"/>
              <w:spacing w:before="41" w:line="187" w:lineRule="exact"/>
              <w:ind w:left="485"/>
              <w:rPr>
                <w:color w:val="211E1F"/>
                <w:spacing w:val="-10"/>
                <w:sz w:val="18"/>
              </w:rPr>
            </w:pPr>
            <w:r w:rsidRPr="00D4309F">
              <w:rPr>
                <w:color w:val="211E1F"/>
                <w:spacing w:val="-10"/>
                <w:sz w:val="18"/>
              </w:rPr>
              <w:t>2</w:t>
            </w:r>
          </w:p>
        </w:tc>
      </w:tr>
      <w:tr w:rsidR="00007528" w:rsidRPr="00D4309F" w14:paraId="27347F05" w14:textId="77777777">
        <w:trPr>
          <w:trHeight w:val="247"/>
        </w:trPr>
        <w:tc>
          <w:tcPr>
            <w:tcW w:w="1002" w:type="pct"/>
            <w:vMerge/>
          </w:tcPr>
          <w:p w14:paraId="788E7738" w14:textId="77777777" w:rsidR="00007528" w:rsidRPr="00D4309F" w:rsidRDefault="00007528" w:rsidP="00007528">
            <w:pPr>
              <w:pStyle w:val="TableParagraph"/>
              <w:rPr>
                <w:rFonts w:ascii="Times New Roman"/>
                <w:sz w:val="18"/>
              </w:rPr>
            </w:pPr>
          </w:p>
        </w:tc>
        <w:tc>
          <w:tcPr>
            <w:tcW w:w="3427" w:type="pct"/>
          </w:tcPr>
          <w:p w14:paraId="0C8097AF" w14:textId="77777777" w:rsidR="00007528" w:rsidRPr="00D4309F" w:rsidRDefault="00007528" w:rsidP="00007528">
            <w:pPr>
              <w:pStyle w:val="TableParagraph"/>
              <w:spacing w:before="41" w:line="187" w:lineRule="exact"/>
              <w:ind w:left="165"/>
              <w:rPr>
                <w:color w:val="211E1F"/>
                <w:sz w:val="18"/>
              </w:rPr>
            </w:pPr>
          </w:p>
        </w:tc>
        <w:tc>
          <w:tcPr>
            <w:tcW w:w="571" w:type="pct"/>
          </w:tcPr>
          <w:p w14:paraId="3C47BD43" w14:textId="77777777" w:rsidR="00007528" w:rsidRPr="00D4309F" w:rsidRDefault="00007528" w:rsidP="00007528">
            <w:pPr>
              <w:pStyle w:val="TableParagraph"/>
              <w:spacing w:before="41" w:line="187" w:lineRule="exact"/>
              <w:ind w:left="485"/>
              <w:rPr>
                <w:color w:val="211E1F"/>
                <w:spacing w:val="-10"/>
                <w:sz w:val="18"/>
              </w:rPr>
            </w:pPr>
          </w:p>
        </w:tc>
      </w:tr>
      <w:tr w:rsidR="00007528" w:rsidRPr="00D4309F" w14:paraId="6F0A1283" w14:textId="77777777">
        <w:trPr>
          <w:trHeight w:val="247"/>
        </w:trPr>
        <w:tc>
          <w:tcPr>
            <w:tcW w:w="1002" w:type="pct"/>
            <w:vMerge/>
          </w:tcPr>
          <w:p w14:paraId="23F9A7D4" w14:textId="77777777" w:rsidR="00007528" w:rsidRPr="00D4309F" w:rsidRDefault="00007528" w:rsidP="00007528">
            <w:pPr>
              <w:pStyle w:val="TableParagraph"/>
              <w:rPr>
                <w:rFonts w:ascii="Times New Roman"/>
                <w:sz w:val="18"/>
              </w:rPr>
            </w:pPr>
          </w:p>
        </w:tc>
        <w:tc>
          <w:tcPr>
            <w:tcW w:w="3427" w:type="pct"/>
          </w:tcPr>
          <w:p w14:paraId="3BA82EA8" w14:textId="77777777" w:rsidR="00007528" w:rsidRPr="00D4309F" w:rsidRDefault="00007528" w:rsidP="00007528">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3E12B72D" w14:textId="700B42EF" w:rsidR="00007528" w:rsidRPr="00D4309F" w:rsidRDefault="00007528" w:rsidP="00007528">
            <w:pPr>
              <w:pStyle w:val="TableParagraph"/>
              <w:spacing w:before="41" w:line="187" w:lineRule="exact"/>
              <w:ind w:left="485"/>
              <w:rPr>
                <w:color w:val="211E1F"/>
                <w:spacing w:val="-10"/>
                <w:sz w:val="18"/>
              </w:rPr>
            </w:pPr>
            <w:r w:rsidRPr="00D4309F">
              <w:rPr>
                <w:b/>
                <w:color w:val="211E1F"/>
                <w:spacing w:val="-10"/>
                <w:sz w:val="18"/>
              </w:rPr>
              <w:t>5</w:t>
            </w:r>
          </w:p>
        </w:tc>
      </w:tr>
      <w:tr w:rsidR="00007528" w:rsidRPr="00D4309F" w14:paraId="05E80054" w14:textId="77777777">
        <w:trPr>
          <w:trHeight w:val="247"/>
        </w:trPr>
        <w:tc>
          <w:tcPr>
            <w:tcW w:w="1002" w:type="pct"/>
            <w:vMerge w:val="restart"/>
          </w:tcPr>
          <w:p w14:paraId="70750B45" w14:textId="77777777" w:rsidR="00007528" w:rsidRPr="00D4309F" w:rsidRDefault="00007528" w:rsidP="00007528">
            <w:pPr>
              <w:pStyle w:val="TableParagraph"/>
              <w:rPr>
                <w:rFonts w:ascii="Times New Roman"/>
                <w:sz w:val="18"/>
              </w:rPr>
            </w:pPr>
            <w:r w:rsidRPr="00D4309F">
              <w:rPr>
                <w:b/>
                <w:color w:val="211E1F"/>
                <w:spacing w:val="-2"/>
                <w:sz w:val="18"/>
              </w:rPr>
              <w:t>Financial</w:t>
            </w:r>
          </w:p>
        </w:tc>
        <w:tc>
          <w:tcPr>
            <w:tcW w:w="3427" w:type="pct"/>
          </w:tcPr>
          <w:p w14:paraId="553E549F" w14:textId="77777777" w:rsidR="00007528" w:rsidRPr="00D4309F" w:rsidRDefault="00007528" w:rsidP="00007528">
            <w:pPr>
              <w:pStyle w:val="TableParagraph"/>
              <w:spacing w:before="41" w:line="187" w:lineRule="exact"/>
              <w:ind w:left="165"/>
              <w:rPr>
                <w:color w:val="211E1F"/>
                <w:sz w:val="18"/>
              </w:rPr>
            </w:pPr>
            <w:r w:rsidRPr="00D4309F">
              <w:rPr>
                <w:color w:val="211E1F"/>
                <w:sz w:val="18"/>
              </w:rPr>
              <w:t>Capital</w:t>
            </w:r>
            <w:r w:rsidRPr="00D4309F">
              <w:rPr>
                <w:color w:val="211E1F"/>
                <w:spacing w:val="-6"/>
                <w:sz w:val="18"/>
              </w:rPr>
              <w:t xml:space="preserve"> </w:t>
            </w:r>
            <w:r w:rsidRPr="00D4309F">
              <w:rPr>
                <w:color w:val="211E1F"/>
                <w:spacing w:val="-2"/>
                <w:sz w:val="18"/>
              </w:rPr>
              <w:t>(CAPEX),</w:t>
            </w:r>
          </w:p>
        </w:tc>
        <w:tc>
          <w:tcPr>
            <w:tcW w:w="571" w:type="pct"/>
          </w:tcPr>
          <w:p w14:paraId="534129A8" w14:textId="6FF4CC1B" w:rsidR="00007528" w:rsidRPr="00D4309F" w:rsidRDefault="00007528" w:rsidP="00007528">
            <w:pPr>
              <w:pStyle w:val="TableParagraph"/>
              <w:spacing w:before="41" w:line="187" w:lineRule="exact"/>
              <w:ind w:left="485"/>
              <w:rPr>
                <w:color w:val="211E1F"/>
                <w:spacing w:val="-10"/>
                <w:sz w:val="18"/>
              </w:rPr>
            </w:pPr>
            <w:r w:rsidRPr="00D4309F">
              <w:rPr>
                <w:color w:val="211E1F"/>
                <w:spacing w:val="-10"/>
                <w:sz w:val="18"/>
              </w:rPr>
              <w:t>2</w:t>
            </w:r>
          </w:p>
        </w:tc>
      </w:tr>
      <w:tr w:rsidR="00007528" w:rsidRPr="00D4309F" w14:paraId="2778447E" w14:textId="77777777">
        <w:trPr>
          <w:trHeight w:val="247"/>
        </w:trPr>
        <w:tc>
          <w:tcPr>
            <w:tcW w:w="1002" w:type="pct"/>
            <w:vMerge/>
          </w:tcPr>
          <w:p w14:paraId="30615861" w14:textId="77777777" w:rsidR="00007528" w:rsidRPr="00D4309F" w:rsidRDefault="00007528" w:rsidP="00007528">
            <w:pPr>
              <w:pStyle w:val="TableParagraph"/>
              <w:rPr>
                <w:rFonts w:ascii="Times New Roman"/>
                <w:sz w:val="18"/>
              </w:rPr>
            </w:pPr>
          </w:p>
        </w:tc>
        <w:tc>
          <w:tcPr>
            <w:tcW w:w="3427" w:type="pct"/>
          </w:tcPr>
          <w:p w14:paraId="21884E1E" w14:textId="77777777" w:rsidR="00007528" w:rsidRPr="00D4309F" w:rsidRDefault="00007528" w:rsidP="00007528">
            <w:pPr>
              <w:pStyle w:val="TableParagraph"/>
              <w:spacing w:before="41" w:line="187" w:lineRule="exact"/>
              <w:ind w:left="165"/>
              <w:rPr>
                <w:color w:val="211E1F"/>
                <w:sz w:val="18"/>
              </w:rPr>
            </w:pPr>
            <w:r w:rsidRPr="00D4309F">
              <w:rPr>
                <w:color w:val="211E1F"/>
                <w:sz w:val="18"/>
              </w:rPr>
              <w:t>Operations</w:t>
            </w:r>
            <w:r w:rsidRPr="00D4309F">
              <w:rPr>
                <w:color w:val="211E1F"/>
                <w:spacing w:val="-6"/>
                <w:sz w:val="18"/>
              </w:rPr>
              <w:t xml:space="preserve"> </w:t>
            </w:r>
            <w:r w:rsidRPr="00D4309F">
              <w:rPr>
                <w:color w:val="211E1F"/>
                <w:sz w:val="18"/>
              </w:rPr>
              <w:t>and</w:t>
            </w:r>
            <w:r w:rsidRPr="00D4309F">
              <w:rPr>
                <w:color w:val="211E1F"/>
                <w:spacing w:val="-5"/>
                <w:sz w:val="18"/>
              </w:rPr>
              <w:t xml:space="preserve"> </w:t>
            </w:r>
            <w:r w:rsidRPr="00D4309F">
              <w:rPr>
                <w:color w:val="211E1F"/>
                <w:sz w:val="18"/>
              </w:rPr>
              <w:t>maintenance</w:t>
            </w:r>
            <w:r w:rsidRPr="00D4309F">
              <w:rPr>
                <w:color w:val="211E1F"/>
                <w:spacing w:val="-3"/>
                <w:sz w:val="18"/>
              </w:rPr>
              <w:t xml:space="preserve"> </w:t>
            </w:r>
            <w:r w:rsidRPr="00D4309F">
              <w:rPr>
                <w:color w:val="211E1F"/>
                <w:sz w:val="18"/>
              </w:rPr>
              <w:t>(OPEX),</w:t>
            </w:r>
            <w:r w:rsidRPr="00D4309F">
              <w:rPr>
                <w:color w:val="211E1F"/>
                <w:spacing w:val="-4"/>
                <w:sz w:val="18"/>
              </w:rPr>
              <w:t xml:space="preserve"> </w:t>
            </w:r>
            <w:r w:rsidRPr="00D4309F">
              <w:rPr>
                <w:color w:val="211E1F"/>
                <w:sz w:val="18"/>
              </w:rPr>
              <w:t>contingency,</w:t>
            </w:r>
            <w:r w:rsidRPr="00D4309F">
              <w:rPr>
                <w:color w:val="211E1F"/>
                <w:spacing w:val="-4"/>
                <w:sz w:val="18"/>
              </w:rPr>
              <w:t xml:space="preserve"> </w:t>
            </w:r>
            <w:r w:rsidRPr="00D4309F">
              <w:rPr>
                <w:color w:val="211E1F"/>
                <w:spacing w:val="-2"/>
                <w:sz w:val="18"/>
              </w:rPr>
              <w:t>monitoring.</w:t>
            </w:r>
          </w:p>
        </w:tc>
        <w:tc>
          <w:tcPr>
            <w:tcW w:w="571" w:type="pct"/>
          </w:tcPr>
          <w:p w14:paraId="05299651" w14:textId="4E274937" w:rsidR="00007528" w:rsidRPr="00D4309F" w:rsidRDefault="00007528" w:rsidP="00007528">
            <w:pPr>
              <w:pStyle w:val="TableParagraph"/>
              <w:spacing w:before="41" w:line="187" w:lineRule="exact"/>
              <w:ind w:left="485"/>
              <w:rPr>
                <w:color w:val="211E1F"/>
                <w:spacing w:val="-10"/>
                <w:sz w:val="18"/>
              </w:rPr>
            </w:pPr>
            <w:r w:rsidRPr="00D4309F">
              <w:rPr>
                <w:color w:val="211E1F"/>
                <w:spacing w:val="-10"/>
                <w:sz w:val="18"/>
              </w:rPr>
              <w:t>3</w:t>
            </w:r>
          </w:p>
        </w:tc>
      </w:tr>
      <w:tr w:rsidR="00007528" w:rsidRPr="00D4309F" w14:paraId="5082527A" w14:textId="77777777">
        <w:trPr>
          <w:trHeight w:val="247"/>
        </w:trPr>
        <w:tc>
          <w:tcPr>
            <w:tcW w:w="1002" w:type="pct"/>
            <w:vMerge/>
          </w:tcPr>
          <w:p w14:paraId="4BE86FE9" w14:textId="77777777" w:rsidR="00007528" w:rsidRPr="00D4309F" w:rsidRDefault="00007528" w:rsidP="00007528">
            <w:pPr>
              <w:pStyle w:val="TableParagraph"/>
              <w:rPr>
                <w:rFonts w:ascii="Times New Roman"/>
                <w:sz w:val="18"/>
              </w:rPr>
            </w:pPr>
          </w:p>
        </w:tc>
        <w:tc>
          <w:tcPr>
            <w:tcW w:w="3427" w:type="pct"/>
          </w:tcPr>
          <w:p w14:paraId="2F1A2B31" w14:textId="77777777" w:rsidR="00007528" w:rsidRPr="00D4309F" w:rsidRDefault="00007528" w:rsidP="00007528">
            <w:pPr>
              <w:pStyle w:val="TableParagraph"/>
              <w:spacing w:before="41" w:line="187" w:lineRule="exact"/>
              <w:ind w:left="165"/>
              <w:rPr>
                <w:color w:val="211E1F"/>
                <w:sz w:val="18"/>
              </w:rPr>
            </w:pPr>
          </w:p>
        </w:tc>
        <w:tc>
          <w:tcPr>
            <w:tcW w:w="571" w:type="pct"/>
          </w:tcPr>
          <w:p w14:paraId="19F7BFB5" w14:textId="77777777" w:rsidR="00007528" w:rsidRPr="00D4309F" w:rsidRDefault="00007528" w:rsidP="00007528">
            <w:pPr>
              <w:pStyle w:val="TableParagraph"/>
              <w:spacing w:before="41" w:line="187" w:lineRule="exact"/>
              <w:ind w:left="485"/>
              <w:rPr>
                <w:color w:val="211E1F"/>
                <w:spacing w:val="-10"/>
                <w:sz w:val="18"/>
              </w:rPr>
            </w:pPr>
          </w:p>
        </w:tc>
      </w:tr>
      <w:tr w:rsidR="00007528" w:rsidRPr="00D4309F" w14:paraId="6E317BFA" w14:textId="77777777">
        <w:trPr>
          <w:trHeight w:val="247"/>
        </w:trPr>
        <w:tc>
          <w:tcPr>
            <w:tcW w:w="1002" w:type="pct"/>
            <w:vMerge/>
          </w:tcPr>
          <w:p w14:paraId="32A2F65A" w14:textId="77777777" w:rsidR="00007528" w:rsidRPr="00D4309F" w:rsidRDefault="00007528" w:rsidP="00007528">
            <w:pPr>
              <w:pStyle w:val="TableParagraph"/>
              <w:rPr>
                <w:b/>
                <w:color w:val="211E1F"/>
                <w:spacing w:val="-2"/>
                <w:sz w:val="18"/>
              </w:rPr>
            </w:pPr>
          </w:p>
        </w:tc>
        <w:tc>
          <w:tcPr>
            <w:tcW w:w="3427" w:type="pct"/>
          </w:tcPr>
          <w:p w14:paraId="30D1A0FB" w14:textId="77777777" w:rsidR="00007528" w:rsidRPr="00D4309F" w:rsidRDefault="00007528" w:rsidP="00007528">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75197F31" w14:textId="68EB8B3A" w:rsidR="00007528" w:rsidRPr="00D4309F" w:rsidRDefault="00007528" w:rsidP="00007528">
            <w:pPr>
              <w:pStyle w:val="TableParagraph"/>
              <w:spacing w:before="41" w:line="187" w:lineRule="exact"/>
              <w:ind w:left="485"/>
              <w:rPr>
                <w:color w:val="211E1F"/>
                <w:spacing w:val="-10"/>
                <w:sz w:val="18"/>
              </w:rPr>
            </w:pPr>
            <w:r w:rsidRPr="00D4309F">
              <w:rPr>
                <w:b/>
                <w:color w:val="211E1F"/>
                <w:spacing w:val="-10"/>
                <w:sz w:val="18"/>
              </w:rPr>
              <w:t>5</w:t>
            </w:r>
          </w:p>
        </w:tc>
      </w:tr>
      <w:tr w:rsidR="00007528" w:rsidRPr="00D4309F" w14:paraId="3C4B5B13" w14:textId="77777777" w:rsidTr="00213A04">
        <w:trPr>
          <w:trHeight w:val="247"/>
        </w:trPr>
        <w:tc>
          <w:tcPr>
            <w:tcW w:w="1002" w:type="pct"/>
            <w:shd w:val="clear" w:color="auto" w:fill="D9D9D9" w:themeFill="background1" w:themeFillShade="D9"/>
          </w:tcPr>
          <w:p w14:paraId="7B6E055A" w14:textId="77777777" w:rsidR="00007528" w:rsidRPr="00D4309F" w:rsidRDefault="00007528" w:rsidP="00007528">
            <w:pPr>
              <w:pStyle w:val="TableParagraph"/>
              <w:rPr>
                <w:b/>
                <w:color w:val="211E1F"/>
                <w:spacing w:val="-2"/>
                <w:sz w:val="18"/>
              </w:rPr>
            </w:pPr>
            <w:r w:rsidRPr="00D4309F">
              <w:rPr>
                <w:b/>
                <w:color w:val="70004A"/>
                <w:sz w:val="18"/>
              </w:rPr>
              <w:t>Total</w:t>
            </w:r>
            <w:r w:rsidRPr="00D4309F">
              <w:rPr>
                <w:b/>
                <w:color w:val="70004A"/>
                <w:spacing w:val="-3"/>
                <w:sz w:val="18"/>
              </w:rPr>
              <w:t xml:space="preserve"> </w:t>
            </w:r>
            <w:r w:rsidRPr="00D4309F">
              <w:rPr>
                <w:b/>
                <w:color w:val="70004A"/>
                <w:spacing w:val="-2"/>
                <w:sz w:val="18"/>
              </w:rPr>
              <w:t>Score</w:t>
            </w:r>
          </w:p>
        </w:tc>
        <w:tc>
          <w:tcPr>
            <w:tcW w:w="3427" w:type="pct"/>
            <w:shd w:val="clear" w:color="auto" w:fill="D9D9D9" w:themeFill="background1" w:themeFillShade="D9"/>
          </w:tcPr>
          <w:p w14:paraId="46D03E50" w14:textId="77777777" w:rsidR="00007528" w:rsidRPr="00D4309F" w:rsidRDefault="00007528" w:rsidP="00007528">
            <w:pPr>
              <w:pStyle w:val="TableParagraph"/>
              <w:spacing w:before="41" w:line="187" w:lineRule="exact"/>
              <w:ind w:left="165"/>
              <w:rPr>
                <w:color w:val="211E1F"/>
                <w:sz w:val="18"/>
              </w:rPr>
            </w:pPr>
          </w:p>
        </w:tc>
        <w:tc>
          <w:tcPr>
            <w:tcW w:w="571" w:type="pct"/>
            <w:shd w:val="clear" w:color="auto" w:fill="D9D9D9" w:themeFill="background1" w:themeFillShade="D9"/>
          </w:tcPr>
          <w:p w14:paraId="3DF35D34" w14:textId="156E5BA4" w:rsidR="00007528" w:rsidRPr="00B3182D" w:rsidRDefault="00FB422C" w:rsidP="00007528">
            <w:pPr>
              <w:pStyle w:val="TableParagraph"/>
              <w:spacing w:before="41" w:line="187" w:lineRule="exact"/>
              <w:ind w:left="485"/>
              <w:rPr>
                <w:b/>
                <w:bCs/>
                <w:color w:val="211E1F"/>
                <w:spacing w:val="-10"/>
                <w:sz w:val="18"/>
              </w:rPr>
            </w:pPr>
            <w:r>
              <w:rPr>
                <w:b/>
                <w:bCs/>
                <w:color w:val="211E1F"/>
                <w:spacing w:val="-10"/>
                <w:sz w:val="18"/>
              </w:rPr>
              <w:t>69</w:t>
            </w:r>
          </w:p>
        </w:tc>
      </w:tr>
    </w:tbl>
    <w:p w14:paraId="27F59CA8" w14:textId="77777777" w:rsidR="00007528" w:rsidRDefault="00007528" w:rsidP="00007528">
      <w:pPr>
        <w:pStyle w:val="BodyText"/>
      </w:pPr>
    </w:p>
    <w:p w14:paraId="68D53355" w14:textId="77777777" w:rsidR="00213A04" w:rsidRDefault="00213A04" w:rsidP="00151534">
      <w:pPr>
        <w:pStyle w:val="Table-Caption"/>
        <w:sectPr w:rsidR="00213A04" w:rsidSect="00405D4F">
          <w:headerReference w:type="default" r:id="rId117"/>
          <w:footerReference w:type="default" r:id="rId118"/>
          <w:type w:val="continuous"/>
          <w:pgSz w:w="16840" w:h="11910" w:orient="landscape"/>
          <w:pgMar w:top="1418" w:right="1134" w:bottom="1418" w:left="1134" w:header="916" w:footer="976" w:gutter="0"/>
          <w:cols w:space="720"/>
        </w:sectPr>
      </w:pPr>
    </w:p>
    <w:p w14:paraId="34E0CE7B" w14:textId="71720BA0" w:rsidR="00007528" w:rsidRDefault="00007528" w:rsidP="00151534">
      <w:pPr>
        <w:pStyle w:val="Table-Caption"/>
      </w:pPr>
      <w:bookmarkStart w:id="384" w:name="_Toc216699568"/>
      <w:r>
        <w:lastRenderedPageBreak/>
        <w:t xml:space="preserve">Table </w:t>
      </w:r>
      <w:r w:rsidR="00151534">
        <w:fldChar w:fldCharType="begin" w:fldLock="1"/>
      </w:r>
      <w:r w:rsidR="00151534">
        <w:instrText xml:space="preserve"> STYLEREF 1 \s </w:instrText>
      </w:r>
      <w:r w:rsidR="00151534">
        <w:fldChar w:fldCharType="separate"/>
      </w:r>
      <w:r w:rsidR="00151534">
        <w:rPr>
          <w:noProof/>
        </w:rPr>
        <w:t>14</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11</w:t>
      </w:r>
      <w:r w:rsidR="00151534">
        <w:fldChar w:fldCharType="end"/>
      </w:r>
      <w:r>
        <w:t>:</w:t>
      </w:r>
      <w:r>
        <w:tab/>
      </w:r>
      <w:r w:rsidRPr="00D4309F">
        <w:rPr>
          <w:color w:val="211E1F"/>
        </w:rPr>
        <w:t>Option</w:t>
      </w:r>
      <w:r w:rsidRPr="00D4309F">
        <w:rPr>
          <w:color w:val="211E1F"/>
          <w:spacing w:val="-2"/>
        </w:rPr>
        <w:t xml:space="preserve"> </w:t>
      </w:r>
      <w:r w:rsidRPr="00D4309F">
        <w:rPr>
          <w:color w:val="211E1F"/>
        </w:rPr>
        <w:t>2C</w:t>
      </w:r>
      <w:r w:rsidRPr="00D4309F">
        <w:rPr>
          <w:color w:val="211E1F"/>
          <w:spacing w:val="-1"/>
        </w:rPr>
        <w:t xml:space="preserve"> </w:t>
      </w:r>
      <w:r w:rsidRPr="00D4309F">
        <w:rPr>
          <w:color w:val="211E1F"/>
        </w:rPr>
        <w:t>MCA</w:t>
      </w:r>
      <w:r w:rsidRPr="00D4309F">
        <w:rPr>
          <w:color w:val="211E1F"/>
          <w:spacing w:val="-1"/>
        </w:rPr>
        <w:t xml:space="preserve"> </w:t>
      </w:r>
      <w:r w:rsidRPr="00D4309F">
        <w:rPr>
          <w:color w:val="211E1F"/>
          <w:spacing w:val="-2"/>
        </w:rPr>
        <w:t>scorin</w:t>
      </w:r>
      <w:r>
        <w:rPr>
          <w:color w:val="211E1F"/>
          <w:spacing w:val="-2"/>
        </w:rPr>
        <w:t>g</w:t>
      </w:r>
      <w:bookmarkEnd w:id="384"/>
    </w:p>
    <w:tbl>
      <w:tblPr>
        <w:tblStyle w:val="Table1"/>
        <w:tblW w:w="5000" w:type="pct"/>
        <w:tblLook w:val="04A0" w:firstRow="1" w:lastRow="0" w:firstColumn="1" w:lastColumn="0" w:noHBand="0" w:noVBand="1"/>
      </w:tblPr>
      <w:tblGrid>
        <w:gridCol w:w="2920"/>
        <w:gridCol w:w="9988"/>
        <w:gridCol w:w="1664"/>
      </w:tblGrid>
      <w:tr w:rsidR="00007528" w:rsidRPr="00D4309F" w14:paraId="7886D4F7" w14:textId="77777777">
        <w:trPr>
          <w:cnfStyle w:val="100000000000" w:firstRow="1" w:lastRow="0" w:firstColumn="0" w:lastColumn="0" w:oddVBand="0" w:evenVBand="0" w:oddHBand="0" w:evenHBand="0" w:firstRowFirstColumn="0" w:firstRowLastColumn="0" w:lastRowFirstColumn="0" w:lastRowLastColumn="0"/>
          <w:trHeight w:val="286"/>
          <w:tblHeader/>
        </w:trPr>
        <w:tc>
          <w:tcPr>
            <w:tcW w:w="1002" w:type="pct"/>
          </w:tcPr>
          <w:p w14:paraId="52B9A399" w14:textId="77777777" w:rsidR="00007528" w:rsidRPr="00D4309F" w:rsidRDefault="00007528">
            <w:pPr>
              <w:pStyle w:val="TableParagraph"/>
              <w:spacing w:before="40"/>
              <w:ind w:left="165"/>
              <w:rPr>
                <w:b/>
                <w:sz w:val="18"/>
              </w:rPr>
            </w:pPr>
            <w:r w:rsidRPr="00D4309F">
              <w:rPr>
                <w:b/>
                <w:color w:val="70004A"/>
                <w:sz w:val="18"/>
              </w:rPr>
              <w:t>MCA</w:t>
            </w:r>
            <w:r w:rsidRPr="00D4309F">
              <w:rPr>
                <w:b/>
                <w:color w:val="70004A"/>
                <w:spacing w:val="-3"/>
                <w:sz w:val="18"/>
              </w:rPr>
              <w:t xml:space="preserve"> </w:t>
            </w:r>
            <w:r w:rsidRPr="00D4309F">
              <w:rPr>
                <w:b/>
                <w:color w:val="70004A"/>
                <w:spacing w:val="-2"/>
                <w:sz w:val="18"/>
              </w:rPr>
              <w:t>Category</w:t>
            </w:r>
          </w:p>
        </w:tc>
        <w:tc>
          <w:tcPr>
            <w:tcW w:w="3427" w:type="pct"/>
          </w:tcPr>
          <w:p w14:paraId="36C601A5" w14:textId="77777777" w:rsidR="00007528" w:rsidRPr="00D4309F" w:rsidRDefault="00007528">
            <w:pPr>
              <w:pStyle w:val="TableParagraph"/>
              <w:spacing w:before="40"/>
              <w:ind w:left="165"/>
              <w:rPr>
                <w:b/>
                <w:sz w:val="18"/>
              </w:rPr>
            </w:pPr>
            <w:r w:rsidRPr="00D4309F">
              <w:rPr>
                <w:b/>
                <w:color w:val="70004A"/>
                <w:sz w:val="18"/>
              </w:rPr>
              <w:t>MCA</w:t>
            </w:r>
            <w:r w:rsidRPr="00D4309F">
              <w:rPr>
                <w:b/>
                <w:color w:val="70004A"/>
                <w:spacing w:val="-1"/>
                <w:sz w:val="18"/>
              </w:rPr>
              <w:t xml:space="preserve"> </w:t>
            </w:r>
            <w:r w:rsidRPr="00D4309F">
              <w:rPr>
                <w:b/>
                <w:color w:val="70004A"/>
                <w:spacing w:val="-2"/>
                <w:sz w:val="18"/>
              </w:rPr>
              <w:t>criteria</w:t>
            </w:r>
          </w:p>
        </w:tc>
        <w:tc>
          <w:tcPr>
            <w:tcW w:w="571" w:type="pct"/>
          </w:tcPr>
          <w:p w14:paraId="6539E158" w14:textId="77777777" w:rsidR="00007528" w:rsidRPr="00D4309F" w:rsidRDefault="00007528">
            <w:pPr>
              <w:pStyle w:val="TableParagraph"/>
              <w:spacing w:before="40"/>
              <w:ind w:left="485"/>
              <w:rPr>
                <w:b/>
                <w:sz w:val="18"/>
              </w:rPr>
            </w:pPr>
            <w:r w:rsidRPr="00D4309F">
              <w:rPr>
                <w:b/>
                <w:color w:val="70004A"/>
                <w:spacing w:val="-2"/>
                <w:sz w:val="18"/>
              </w:rPr>
              <w:t>Score</w:t>
            </w:r>
          </w:p>
        </w:tc>
      </w:tr>
      <w:tr w:rsidR="00007528" w:rsidRPr="00D4309F" w14:paraId="3CBF5153" w14:textId="77777777">
        <w:trPr>
          <w:trHeight w:val="494"/>
        </w:trPr>
        <w:tc>
          <w:tcPr>
            <w:tcW w:w="1002" w:type="pct"/>
            <w:vMerge w:val="restart"/>
          </w:tcPr>
          <w:p w14:paraId="67A50C6D" w14:textId="77777777" w:rsidR="00007528" w:rsidRPr="00D4309F" w:rsidRDefault="00007528" w:rsidP="00007528">
            <w:pPr>
              <w:pStyle w:val="TableParagraph"/>
              <w:spacing w:before="39"/>
              <w:ind w:left="165"/>
              <w:rPr>
                <w:b/>
                <w:sz w:val="18"/>
              </w:rPr>
            </w:pPr>
            <w:r w:rsidRPr="00D4309F">
              <w:rPr>
                <w:b/>
                <w:color w:val="211E1F"/>
                <w:sz w:val="18"/>
              </w:rPr>
              <w:t>Coastal</w:t>
            </w:r>
            <w:r w:rsidRPr="00D4309F">
              <w:rPr>
                <w:b/>
                <w:color w:val="211E1F"/>
                <w:spacing w:val="-4"/>
                <w:sz w:val="18"/>
              </w:rPr>
              <w:t xml:space="preserve"> </w:t>
            </w:r>
            <w:r w:rsidRPr="00D4309F">
              <w:rPr>
                <w:b/>
                <w:color w:val="211E1F"/>
                <w:spacing w:val="-2"/>
                <w:sz w:val="18"/>
              </w:rPr>
              <w:t>engineering</w:t>
            </w:r>
          </w:p>
        </w:tc>
        <w:tc>
          <w:tcPr>
            <w:tcW w:w="3427" w:type="pct"/>
          </w:tcPr>
          <w:p w14:paraId="41DAA5D0" w14:textId="77777777" w:rsidR="00007528" w:rsidRPr="00D4309F" w:rsidRDefault="00007528" w:rsidP="00007528">
            <w:pPr>
              <w:pStyle w:val="TableParagraph"/>
              <w:spacing w:before="39"/>
              <w:ind w:left="166"/>
              <w:rPr>
                <w:sz w:val="18"/>
              </w:rPr>
            </w:pPr>
            <w:r w:rsidRPr="00D4309F">
              <w:rPr>
                <w:color w:val="211E1F"/>
                <w:sz w:val="18"/>
              </w:rPr>
              <w:t>Effectiveness:</w:t>
            </w:r>
            <w:r w:rsidRPr="00D4309F">
              <w:rPr>
                <w:color w:val="211E1F"/>
                <w:spacing w:val="-2"/>
                <w:sz w:val="18"/>
              </w:rPr>
              <w:t xml:space="preserve"> </w:t>
            </w:r>
            <w:r w:rsidRPr="00D4309F">
              <w:rPr>
                <w:color w:val="211E1F"/>
                <w:sz w:val="18"/>
              </w:rPr>
              <w:t>Likely</w:t>
            </w:r>
            <w:r w:rsidRPr="00D4309F">
              <w:rPr>
                <w:color w:val="211E1F"/>
                <w:spacing w:val="-1"/>
                <w:sz w:val="18"/>
              </w:rPr>
              <w:t xml:space="preserve"> </w:t>
            </w:r>
            <w:r w:rsidRPr="00D4309F">
              <w:rPr>
                <w:color w:val="211E1F"/>
                <w:sz w:val="18"/>
              </w:rPr>
              <w:t>ability</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shift</w:t>
            </w:r>
            <w:r w:rsidRPr="00D4309F">
              <w:rPr>
                <w:color w:val="211E1F"/>
                <w:spacing w:val="-2"/>
                <w:sz w:val="18"/>
              </w:rPr>
              <w:t xml:space="preserve"> </w:t>
            </w:r>
            <w:r w:rsidRPr="00D4309F">
              <w:rPr>
                <w:color w:val="211E1F"/>
                <w:sz w:val="18"/>
              </w:rPr>
              <w:t>enough</w:t>
            </w:r>
            <w:r w:rsidRPr="00D4309F">
              <w:rPr>
                <w:color w:val="211E1F"/>
                <w:spacing w:val="-3"/>
                <w:sz w:val="18"/>
              </w:rPr>
              <w:t xml:space="preserve"> </w:t>
            </w:r>
            <w:r w:rsidRPr="00D4309F">
              <w:rPr>
                <w:color w:val="211E1F"/>
                <w:sz w:val="18"/>
              </w:rPr>
              <w:t>sand</w:t>
            </w:r>
            <w:r w:rsidRPr="00D4309F">
              <w:rPr>
                <w:color w:val="211E1F"/>
                <w:spacing w:val="-3"/>
                <w:sz w:val="18"/>
              </w:rPr>
              <w:t xml:space="preserve"> </w:t>
            </w:r>
            <w:r w:rsidRPr="00D4309F">
              <w:rPr>
                <w:color w:val="211E1F"/>
                <w:sz w:val="18"/>
              </w:rPr>
              <w:t>past</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entrance</w:t>
            </w:r>
            <w:r w:rsidRPr="00D4309F">
              <w:rPr>
                <w:color w:val="211E1F"/>
                <w:spacing w:val="-3"/>
                <w:sz w:val="18"/>
              </w:rPr>
              <w:t xml:space="preserve"> </w:t>
            </w:r>
            <w:r w:rsidRPr="00D4309F">
              <w:rPr>
                <w:color w:val="211E1F"/>
                <w:sz w:val="18"/>
              </w:rPr>
              <w:t>(bypassing</w:t>
            </w:r>
            <w:r w:rsidRPr="00D4309F">
              <w:rPr>
                <w:color w:val="211E1F"/>
                <w:spacing w:val="-3"/>
                <w:sz w:val="18"/>
              </w:rPr>
              <w:t xml:space="preserve"> </w:t>
            </w:r>
            <w:r w:rsidRPr="00D4309F">
              <w:rPr>
                <w:color w:val="211E1F"/>
                <w:sz w:val="18"/>
              </w:rPr>
              <w:t>efficiency,</w:t>
            </w:r>
            <w:r w:rsidRPr="00D4309F">
              <w:rPr>
                <w:color w:val="211E1F"/>
                <w:spacing w:val="-2"/>
                <w:sz w:val="18"/>
              </w:rPr>
              <w:t xml:space="preserve"> </w:t>
            </w:r>
            <w:r w:rsidRPr="00D4309F">
              <w:rPr>
                <w:color w:val="211E1F"/>
                <w:sz w:val="18"/>
              </w:rPr>
              <w:t>trap</w:t>
            </w:r>
            <w:r w:rsidRPr="00D4309F">
              <w:rPr>
                <w:color w:val="211E1F"/>
                <w:spacing w:val="-3"/>
                <w:sz w:val="18"/>
              </w:rPr>
              <w:t xml:space="preserve"> </w:t>
            </w:r>
            <w:r w:rsidRPr="00D4309F">
              <w:rPr>
                <w:color w:val="211E1F"/>
                <w:sz w:val="18"/>
              </w:rPr>
              <w:t>capture</w:t>
            </w:r>
            <w:r w:rsidRPr="00D4309F">
              <w:rPr>
                <w:color w:val="211E1F"/>
                <w:spacing w:val="-3"/>
                <w:sz w:val="18"/>
              </w:rPr>
              <w:t xml:space="preserve"> </w:t>
            </w:r>
            <w:r w:rsidRPr="00D4309F">
              <w:rPr>
                <w:color w:val="211E1F"/>
                <w:sz w:val="18"/>
              </w:rPr>
              <w:t>rate,</w:t>
            </w:r>
            <w:r w:rsidRPr="00D4309F">
              <w:rPr>
                <w:color w:val="211E1F"/>
                <w:spacing w:val="-2"/>
                <w:sz w:val="18"/>
              </w:rPr>
              <w:t xml:space="preserve"> </w:t>
            </w:r>
            <w:r w:rsidRPr="00D4309F">
              <w:rPr>
                <w:color w:val="211E1F"/>
                <w:sz w:val="18"/>
              </w:rPr>
              <w:t>reduction</w:t>
            </w:r>
            <w:r w:rsidRPr="00D4309F">
              <w:rPr>
                <w:color w:val="211E1F"/>
                <w:spacing w:val="-3"/>
                <w:sz w:val="18"/>
              </w:rPr>
              <w:t xml:space="preserve"> </w:t>
            </w:r>
            <w:r w:rsidRPr="00D4309F">
              <w:rPr>
                <w:color w:val="211E1F"/>
                <w:sz w:val="18"/>
              </w:rPr>
              <w:t>in</w:t>
            </w:r>
            <w:r w:rsidRPr="00D4309F">
              <w:rPr>
                <w:color w:val="211E1F"/>
                <w:spacing w:val="-3"/>
                <w:sz w:val="18"/>
              </w:rPr>
              <w:t xml:space="preserve"> </w:t>
            </w:r>
            <w:r w:rsidRPr="00D4309F">
              <w:rPr>
                <w:color w:val="211E1F"/>
                <w:sz w:val="18"/>
              </w:rPr>
              <w:t>shoal frequency/magnitude, entrance depth reliability).</w:t>
            </w:r>
          </w:p>
        </w:tc>
        <w:tc>
          <w:tcPr>
            <w:tcW w:w="571" w:type="pct"/>
          </w:tcPr>
          <w:p w14:paraId="7C17EBD5" w14:textId="131107A7" w:rsidR="00007528" w:rsidRPr="00D4309F" w:rsidRDefault="00007528" w:rsidP="00007528">
            <w:pPr>
              <w:pStyle w:val="TableParagraph"/>
              <w:spacing w:before="39"/>
              <w:ind w:left="485"/>
              <w:rPr>
                <w:sz w:val="18"/>
              </w:rPr>
            </w:pPr>
            <w:r w:rsidRPr="00D4309F">
              <w:rPr>
                <w:color w:val="211E1F"/>
                <w:spacing w:val="-10"/>
                <w:sz w:val="18"/>
              </w:rPr>
              <w:t>4</w:t>
            </w:r>
          </w:p>
        </w:tc>
      </w:tr>
      <w:tr w:rsidR="00007528" w:rsidRPr="00D4309F" w14:paraId="1C7A2CC2" w14:textId="77777777">
        <w:trPr>
          <w:trHeight w:val="286"/>
        </w:trPr>
        <w:tc>
          <w:tcPr>
            <w:tcW w:w="1002" w:type="pct"/>
            <w:vMerge/>
          </w:tcPr>
          <w:p w14:paraId="129FBC3D" w14:textId="77777777" w:rsidR="00007528" w:rsidRPr="00D4309F" w:rsidRDefault="00007528" w:rsidP="00007528">
            <w:pPr>
              <w:pStyle w:val="TableParagraph"/>
              <w:rPr>
                <w:rFonts w:ascii="Times New Roman"/>
                <w:sz w:val="18"/>
              </w:rPr>
            </w:pPr>
          </w:p>
        </w:tc>
        <w:tc>
          <w:tcPr>
            <w:tcW w:w="3427" w:type="pct"/>
          </w:tcPr>
          <w:p w14:paraId="150536E5" w14:textId="77777777" w:rsidR="00007528" w:rsidRPr="00D4309F" w:rsidRDefault="00007528" w:rsidP="00007528">
            <w:pPr>
              <w:pStyle w:val="TableParagraph"/>
              <w:spacing w:before="39"/>
              <w:ind w:left="165"/>
              <w:rPr>
                <w:sz w:val="18"/>
              </w:rPr>
            </w:pPr>
            <w:r w:rsidRPr="00D4309F">
              <w:rPr>
                <w:color w:val="211E1F"/>
                <w:sz w:val="18"/>
              </w:rPr>
              <w:t>Impacts</w:t>
            </w:r>
            <w:r w:rsidRPr="00D4309F">
              <w:rPr>
                <w:color w:val="211E1F"/>
                <w:spacing w:val="-5"/>
                <w:sz w:val="18"/>
              </w:rPr>
              <w:t xml:space="preserve"> </w:t>
            </w:r>
            <w:r w:rsidRPr="00D4309F">
              <w:rPr>
                <w:color w:val="211E1F"/>
                <w:sz w:val="18"/>
              </w:rPr>
              <w:t>on</w:t>
            </w:r>
            <w:r w:rsidRPr="00D4309F">
              <w:rPr>
                <w:color w:val="211E1F"/>
                <w:spacing w:val="-2"/>
                <w:sz w:val="18"/>
              </w:rPr>
              <w:t xml:space="preserve"> </w:t>
            </w:r>
            <w:r w:rsidRPr="00D4309F">
              <w:rPr>
                <w:color w:val="211E1F"/>
                <w:sz w:val="18"/>
              </w:rPr>
              <w:t>coastal</w:t>
            </w:r>
            <w:r w:rsidRPr="00D4309F">
              <w:rPr>
                <w:color w:val="211E1F"/>
                <w:spacing w:val="-2"/>
                <w:sz w:val="18"/>
              </w:rPr>
              <w:t xml:space="preserve"> </w:t>
            </w:r>
            <w:r w:rsidRPr="00D4309F">
              <w:rPr>
                <w:color w:val="211E1F"/>
                <w:sz w:val="18"/>
              </w:rPr>
              <w:t>processes:</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level</w:t>
            </w:r>
            <w:r w:rsidRPr="00D4309F">
              <w:rPr>
                <w:color w:val="211E1F"/>
                <w:spacing w:val="-2"/>
                <w:sz w:val="18"/>
              </w:rPr>
              <w:t xml:space="preserve"> </w:t>
            </w:r>
            <w:r w:rsidRPr="00D4309F">
              <w:rPr>
                <w:color w:val="211E1F"/>
                <w:sz w:val="18"/>
              </w:rPr>
              <w:t>in</w:t>
            </w:r>
            <w:r w:rsidRPr="00D4309F">
              <w:rPr>
                <w:color w:val="211E1F"/>
                <w:spacing w:val="-3"/>
                <w:sz w:val="18"/>
              </w:rPr>
              <w:t xml:space="preserve"> </w:t>
            </w:r>
            <w:r w:rsidRPr="00D4309F">
              <w:rPr>
                <w:color w:val="211E1F"/>
                <w:sz w:val="18"/>
              </w:rPr>
              <w:t>which</w:t>
            </w:r>
            <w:r w:rsidRPr="00D4309F">
              <w:rPr>
                <w:color w:val="211E1F"/>
                <w:spacing w:val="-3"/>
                <w:sz w:val="18"/>
              </w:rPr>
              <w:t xml:space="preserve"> </w:t>
            </w:r>
            <w:r w:rsidRPr="00D4309F">
              <w:rPr>
                <w:color w:val="211E1F"/>
                <w:sz w:val="18"/>
              </w:rPr>
              <w:t>it</w:t>
            </w:r>
            <w:r w:rsidRPr="00D4309F">
              <w:rPr>
                <w:color w:val="211E1F"/>
                <w:spacing w:val="-2"/>
                <w:sz w:val="18"/>
              </w:rPr>
              <w:t xml:space="preserve"> </w:t>
            </w:r>
            <w:r w:rsidRPr="00D4309F">
              <w:rPr>
                <w:color w:val="211E1F"/>
                <w:sz w:val="18"/>
              </w:rPr>
              <w:t>changes</w:t>
            </w:r>
            <w:r w:rsidRPr="00D4309F">
              <w:rPr>
                <w:color w:val="211E1F"/>
                <w:spacing w:val="-1"/>
                <w:sz w:val="18"/>
              </w:rPr>
              <w:t xml:space="preserve"> </w:t>
            </w:r>
            <w:r w:rsidRPr="00D4309F">
              <w:rPr>
                <w:color w:val="211E1F"/>
                <w:sz w:val="18"/>
              </w:rPr>
              <w:t>or</w:t>
            </w:r>
            <w:r w:rsidRPr="00D4309F">
              <w:rPr>
                <w:color w:val="211E1F"/>
                <w:spacing w:val="-2"/>
                <w:sz w:val="18"/>
              </w:rPr>
              <w:t xml:space="preserve"> </w:t>
            </w:r>
            <w:r w:rsidRPr="00D4309F">
              <w:rPr>
                <w:color w:val="211E1F"/>
                <w:sz w:val="18"/>
              </w:rPr>
              <w:t>has</w:t>
            </w:r>
            <w:r w:rsidRPr="00D4309F">
              <w:rPr>
                <w:color w:val="211E1F"/>
                <w:spacing w:val="-3"/>
                <w:sz w:val="18"/>
              </w:rPr>
              <w:t xml:space="preserve"> </w:t>
            </w:r>
            <w:r w:rsidRPr="00D4309F">
              <w:rPr>
                <w:color w:val="211E1F"/>
                <w:sz w:val="18"/>
              </w:rPr>
              <w:t>negative</w:t>
            </w:r>
            <w:r w:rsidRPr="00D4309F">
              <w:rPr>
                <w:color w:val="211E1F"/>
                <w:spacing w:val="-2"/>
                <w:sz w:val="18"/>
              </w:rPr>
              <w:t xml:space="preserve"> </w:t>
            </w:r>
            <w:r w:rsidRPr="00D4309F">
              <w:rPr>
                <w:color w:val="211E1F"/>
                <w:sz w:val="18"/>
              </w:rPr>
              <w:t>impacts</w:t>
            </w:r>
            <w:r w:rsidRPr="00D4309F">
              <w:rPr>
                <w:color w:val="211E1F"/>
                <w:spacing w:val="-2"/>
                <w:sz w:val="18"/>
              </w:rPr>
              <w:t xml:space="preserve"> </w:t>
            </w:r>
            <w:r w:rsidRPr="00D4309F">
              <w:rPr>
                <w:color w:val="211E1F"/>
                <w:sz w:val="18"/>
              </w:rPr>
              <w:t>on</w:t>
            </w:r>
            <w:r w:rsidRPr="00D4309F">
              <w:rPr>
                <w:color w:val="211E1F"/>
                <w:spacing w:val="-3"/>
                <w:sz w:val="18"/>
              </w:rPr>
              <w:t xml:space="preserve"> </w:t>
            </w:r>
            <w:r w:rsidRPr="00D4309F">
              <w:rPr>
                <w:color w:val="211E1F"/>
                <w:sz w:val="18"/>
              </w:rPr>
              <w:t>existing</w:t>
            </w:r>
            <w:r w:rsidRPr="00D4309F">
              <w:rPr>
                <w:color w:val="211E1F"/>
                <w:spacing w:val="-3"/>
                <w:sz w:val="18"/>
              </w:rPr>
              <w:t xml:space="preserve"> </w:t>
            </w:r>
            <w:r w:rsidRPr="00D4309F">
              <w:rPr>
                <w:color w:val="211E1F"/>
                <w:sz w:val="18"/>
              </w:rPr>
              <w:t>coastal</w:t>
            </w:r>
            <w:r w:rsidRPr="00D4309F">
              <w:rPr>
                <w:color w:val="211E1F"/>
                <w:spacing w:val="-1"/>
                <w:sz w:val="18"/>
              </w:rPr>
              <w:t xml:space="preserve"> </w:t>
            </w:r>
            <w:r w:rsidRPr="00D4309F">
              <w:rPr>
                <w:color w:val="211E1F"/>
                <w:spacing w:val="-2"/>
                <w:sz w:val="18"/>
              </w:rPr>
              <w:t>processes</w:t>
            </w:r>
          </w:p>
        </w:tc>
        <w:tc>
          <w:tcPr>
            <w:tcW w:w="571" w:type="pct"/>
          </w:tcPr>
          <w:p w14:paraId="0417B4A7" w14:textId="53BBBBD2" w:rsidR="00007528" w:rsidRPr="00D4309F" w:rsidRDefault="00007528" w:rsidP="00007528">
            <w:pPr>
              <w:pStyle w:val="TableParagraph"/>
              <w:spacing w:before="39"/>
              <w:ind w:left="485"/>
              <w:rPr>
                <w:sz w:val="18"/>
              </w:rPr>
            </w:pPr>
            <w:r w:rsidRPr="00D4309F">
              <w:rPr>
                <w:color w:val="211E1F"/>
                <w:spacing w:val="-10"/>
                <w:sz w:val="18"/>
              </w:rPr>
              <w:t>3</w:t>
            </w:r>
          </w:p>
        </w:tc>
      </w:tr>
      <w:tr w:rsidR="00007528" w:rsidRPr="00D4309F" w14:paraId="5DCBDADC" w14:textId="77777777">
        <w:trPr>
          <w:trHeight w:val="287"/>
        </w:trPr>
        <w:tc>
          <w:tcPr>
            <w:tcW w:w="1002" w:type="pct"/>
            <w:vMerge/>
          </w:tcPr>
          <w:p w14:paraId="1613C9E6" w14:textId="77777777" w:rsidR="00007528" w:rsidRPr="00D4309F" w:rsidRDefault="00007528" w:rsidP="00007528">
            <w:pPr>
              <w:pStyle w:val="TableParagraph"/>
              <w:rPr>
                <w:rFonts w:ascii="Times New Roman"/>
                <w:sz w:val="18"/>
              </w:rPr>
            </w:pPr>
          </w:p>
        </w:tc>
        <w:tc>
          <w:tcPr>
            <w:tcW w:w="3427" w:type="pct"/>
          </w:tcPr>
          <w:p w14:paraId="1035319B" w14:textId="77777777" w:rsidR="00007528" w:rsidRPr="00D4309F" w:rsidRDefault="00007528" w:rsidP="00007528">
            <w:pPr>
              <w:pStyle w:val="TableParagraph"/>
              <w:spacing w:before="41"/>
              <w:ind w:left="165"/>
              <w:rPr>
                <w:sz w:val="18"/>
              </w:rPr>
            </w:pPr>
            <w:r w:rsidRPr="00D4309F">
              <w:rPr>
                <w:color w:val="211E1F"/>
                <w:sz w:val="18"/>
              </w:rPr>
              <w:t>Design</w:t>
            </w:r>
            <w:r w:rsidRPr="00D4309F">
              <w:rPr>
                <w:color w:val="211E1F"/>
                <w:spacing w:val="-5"/>
                <w:sz w:val="18"/>
              </w:rPr>
              <w:t xml:space="preserve"> </w:t>
            </w:r>
            <w:r w:rsidRPr="00D4309F">
              <w:rPr>
                <w:color w:val="211E1F"/>
                <w:sz w:val="18"/>
              </w:rPr>
              <w:t>and</w:t>
            </w:r>
            <w:r w:rsidRPr="00D4309F">
              <w:rPr>
                <w:color w:val="211E1F"/>
                <w:spacing w:val="-3"/>
                <w:sz w:val="18"/>
              </w:rPr>
              <w:t xml:space="preserve"> </w:t>
            </w:r>
            <w:r w:rsidRPr="00D4309F">
              <w:rPr>
                <w:color w:val="211E1F"/>
                <w:sz w:val="18"/>
              </w:rPr>
              <w:t>approvals:</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far</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option</w:t>
            </w:r>
            <w:r w:rsidRPr="00D4309F">
              <w:rPr>
                <w:color w:val="211E1F"/>
                <w:spacing w:val="-1"/>
                <w:sz w:val="18"/>
              </w:rPr>
              <w:t xml:space="preserve"> </w:t>
            </w:r>
            <w:r w:rsidRPr="00D4309F">
              <w:rPr>
                <w:color w:val="211E1F"/>
                <w:sz w:val="18"/>
              </w:rPr>
              <w:t>progressed</w:t>
            </w:r>
            <w:r w:rsidRPr="00D4309F">
              <w:rPr>
                <w:color w:val="211E1F"/>
                <w:spacing w:val="-3"/>
                <w:sz w:val="18"/>
              </w:rPr>
              <w:t xml:space="preserve"> </w:t>
            </w:r>
            <w:r w:rsidRPr="00D4309F">
              <w:rPr>
                <w:color w:val="211E1F"/>
                <w:sz w:val="18"/>
              </w:rPr>
              <w:t>with</w:t>
            </w:r>
            <w:r w:rsidRPr="00D4309F">
              <w:rPr>
                <w:color w:val="211E1F"/>
                <w:spacing w:val="-3"/>
                <w:sz w:val="18"/>
              </w:rPr>
              <w:t xml:space="preserve"> </w:t>
            </w:r>
            <w:r w:rsidRPr="00D4309F">
              <w:rPr>
                <w:color w:val="211E1F"/>
                <w:sz w:val="18"/>
              </w:rPr>
              <w:t>design</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approvals</w:t>
            </w:r>
            <w:r w:rsidRPr="00D4309F">
              <w:rPr>
                <w:color w:val="211E1F"/>
                <w:spacing w:val="-2"/>
                <w:sz w:val="18"/>
              </w:rPr>
              <w:t xml:space="preserve"> </w:t>
            </w:r>
            <w:r w:rsidRPr="00D4309F">
              <w:rPr>
                <w:color w:val="211E1F"/>
                <w:sz w:val="18"/>
              </w:rPr>
              <w:t>and</w:t>
            </w:r>
            <w:r w:rsidRPr="00D4309F">
              <w:rPr>
                <w:color w:val="211E1F"/>
                <w:spacing w:val="-3"/>
                <w:sz w:val="18"/>
              </w:rPr>
              <w:t xml:space="preserve"> </w:t>
            </w:r>
            <w:r w:rsidRPr="00D4309F">
              <w:rPr>
                <w:color w:val="211E1F"/>
                <w:sz w:val="18"/>
              </w:rPr>
              <w:t>how</w:t>
            </w:r>
            <w:r w:rsidRPr="00D4309F">
              <w:rPr>
                <w:color w:val="211E1F"/>
                <w:spacing w:val="-2"/>
                <w:sz w:val="18"/>
              </w:rPr>
              <w:t xml:space="preserve"> </w:t>
            </w:r>
            <w:r w:rsidRPr="00D4309F">
              <w:rPr>
                <w:color w:val="211E1F"/>
                <w:sz w:val="18"/>
              </w:rPr>
              <w:t>much</w:t>
            </w:r>
            <w:r w:rsidRPr="00D4309F">
              <w:rPr>
                <w:color w:val="211E1F"/>
                <w:spacing w:val="-3"/>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2"/>
                <w:sz w:val="18"/>
              </w:rPr>
              <w:t xml:space="preserve"> required</w:t>
            </w:r>
          </w:p>
        </w:tc>
        <w:tc>
          <w:tcPr>
            <w:tcW w:w="571" w:type="pct"/>
          </w:tcPr>
          <w:p w14:paraId="63BCD1DC" w14:textId="6CF447D4" w:rsidR="00007528" w:rsidRPr="00D4309F" w:rsidRDefault="00007528" w:rsidP="00007528">
            <w:pPr>
              <w:pStyle w:val="TableParagraph"/>
              <w:spacing w:before="41"/>
              <w:ind w:left="484"/>
              <w:rPr>
                <w:sz w:val="18"/>
              </w:rPr>
            </w:pPr>
            <w:r w:rsidRPr="00D4309F">
              <w:rPr>
                <w:color w:val="211E1F"/>
                <w:spacing w:val="-10"/>
                <w:sz w:val="18"/>
              </w:rPr>
              <w:t>1</w:t>
            </w:r>
          </w:p>
        </w:tc>
      </w:tr>
      <w:tr w:rsidR="00007528" w:rsidRPr="00D4309F" w14:paraId="64E6FC45" w14:textId="77777777">
        <w:trPr>
          <w:trHeight w:val="286"/>
        </w:trPr>
        <w:tc>
          <w:tcPr>
            <w:tcW w:w="1002" w:type="pct"/>
            <w:vMerge/>
          </w:tcPr>
          <w:p w14:paraId="70980003" w14:textId="77777777" w:rsidR="00007528" w:rsidRPr="00D4309F" w:rsidRDefault="00007528" w:rsidP="00007528">
            <w:pPr>
              <w:pStyle w:val="TableParagraph"/>
              <w:rPr>
                <w:rFonts w:ascii="Times New Roman"/>
                <w:sz w:val="18"/>
              </w:rPr>
            </w:pPr>
          </w:p>
        </w:tc>
        <w:tc>
          <w:tcPr>
            <w:tcW w:w="3427" w:type="pct"/>
          </w:tcPr>
          <w:p w14:paraId="124567FB" w14:textId="77777777" w:rsidR="00007528" w:rsidRPr="00D4309F" w:rsidRDefault="00007528" w:rsidP="00007528">
            <w:pPr>
              <w:pStyle w:val="TableParagraph"/>
              <w:spacing w:before="39"/>
              <w:ind w:left="165"/>
              <w:rPr>
                <w:sz w:val="18"/>
              </w:rPr>
            </w:pPr>
            <w:r w:rsidRPr="00D4309F">
              <w:rPr>
                <w:color w:val="211E1F"/>
                <w:sz w:val="18"/>
              </w:rPr>
              <w:t>Capital</w:t>
            </w:r>
            <w:r w:rsidRPr="00D4309F">
              <w:rPr>
                <w:color w:val="211E1F"/>
                <w:spacing w:val="-5"/>
                <w:sz w:val="18"/>
              </w:rPr>
              <w:t xml:space="preserve"> </w:t>
            </w:r>
            <w:r w:rsidRPr="00D4309F">
              <w:rPr>
                <w:color w:val="211E1F"/>
                <w:sz w:val="18"/>
              </w:rPr>
              <w:t>works:</w:t>
            </w:r>
            <w:r w:rsidRPr="00D4309F">
              <w:rPr>
                <w:color w:val="211E1F"/>
                <w:spacing w:val="-1"/>
                <w:sz w:val="18"/>
              </w:rPr>
              <w:t xml:space="preserve"> </w:t>
            </w:r>
            <w:r w:rsidRPr="00D4309F">
              <w:rPr>
                <w:color w:val="211E1F"/>
                <w:sz w:val="18"/>
              </w:rPr>
              <w:t>how</w:t>
            </w:r>
            <w:r w:rsidRPr="00D4309F">
              <w:rPr>
                <w:color w:val="211E1F"/>
                <w:spacing w:val="-2"/>
                <w:sz w:val="18"/>
              </w:rPr>
              <w:t xml:space="preserve"> </w:t>
            </w:r>
            <w:r w:rsidRPr="00D4309F">
              <w:rPr>
                <w:color w:val="211E1F"/>
                <w:sz w:val="18"/>
              </w:rPr>
              <w:t>significant</w:t>
            </w:r>
            <w:r w:rsidRPr="00D4309F">
              <w:rPr>
                <w:color w:val="211E1F"/>
                <w:spacing w:val="-1"/>
                <w:sz w:val="18"/>
              </w:rPr>
              <w:t xml:space="preserve"> </w:t>
            </w:r>
            <w:r w:rsidRPr="00D4309F">
              <w:rPr>
                <w:color w:val="211E1F"/>
                <w:sz w:val="18"/>
              </w:rPr>
              <w:t>the</w:t>
            </w:r>
            <w:r w:rsidRPr="00D4309F">
              <w:rPr>
                <w:color w:val="211E1F"/>
                <w:spacing w:val="-4"/>
                <w:sz w:val="18"/>
              </w:rPr>
              <w:t xml:space="preserve"> </w:t>
            </w:r>
            <w:r w:rsidRPr="00D4309F">
              <w:rPr>
                <w:color w:val="211E1F"/>
                <w:sz w:val="18"/>
              </w:rPr>
              <w:t>capital</w:t>
            </w:r>
            <w:r w:rsidRPr="00D4309F">
              <w:rPr>
                <w:color w:val="211E1F"/>
                <w:spacing w:val="-2"/>
                <w:sz w:val="18"/>
              </w:rPr>
              <w:t xml:space="preserve"> </w:t>
            </w:r>
            <w:r w:rsidRPr="00D4309F">
              <w:rPr>
                <w:color w:val="211E1F"/>
                <w:sz w:val="18"/>
              </w:rPr>
              <w:t>works</w:t>
            </w:r>
            <w:r w:rsidRPr="00D4309F">
              <w:rPr>
                <w:color w:val="211E1F"/>
                <w:spacing w:val="-2"/>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and</w:t>
            </w:r>
            <w:r w:rsidRPr="00D4309F">
              <w:rPr>
                <w:color w:val="211E1F"/>
                <w:spacing w:val="-4"/>
                <w:sz w:val="18"/>
              </w:rPr>
              <w:t xml:space="preserve"> </w:t>
            </w:r>
            <w:r w:rsidRPr="00D4309F">
              <w:rPr>
                <w:color w:val="211E1F"/>
                <w:sz w:val="18"/>
              </w:rPr>
              <w:t>their</w:t>
            </w:r>
            <w:r w:rsidRPr="00D4309F">
              <w:rPr>
                <w:color w:val="211E1F"/>
                <w:spacing w:val="-2"/>
                <w:sz w:val="18"/>
              </w:rPr>
              <w:t xml:space="preserve"> </w:t>
            </w:r>
            <w:r w:rsidRPr="00D4309F">
              <w:rPr>
                <w:color w:val="211E1F"/>
                <w:sz w:val="18"/>
              </w:rPr>
              <w:t>impacts</w:t>
            </w:r>
            <w:r w:rsidRPr="00D4309F">
              <w:rPr>
                <w:color w:val="211E1F"/>
                <w:spacing w:val="-2"/>
                <w:sz w:val="18"/>
              </w:rPr>
              <w:t xml:space="preserve"> </w:t>
            </w:r>
            <w:r w:rsidRPr="00D4309F">
              <w:rPr>
                <w:color w:val="211E1F"/>
                <w:sz w:val="18"/>
              </w:rPr>
              <w:t>during</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pacing w:val="-2"/>
                <w:sz w:val="18"/>
              </w:rPr>
              <w:t>process</w:t>
            </w:r>
          </w:p>
        </w:tc>
        <w:tc>
          <w:tcPr>
            <w:tcW w:w="571" w:type="pct"/>
          </w:tcPr>
          <w:p w14:paraId="0BB2C973" w14:textId="7924703F" w:rsidR="00007528" w:rsidRPr="00D4309F" w:rsidRDefault="00007528" w:rsidP="00007528">
            <w:pPr>
              <w:pStyle w:val="TableParagraph"/>
              <w:spacing w:before="39"/>
              <w:ind w:left="484"/>
              <w:rPr>
                <w:sz w:val="18"/>
              </w:rPr>
            </w:pPr>
            <w:r w:rsidRPr="00D4309F">
              <w:rPr>
                <w:color w:val="211E1F"/>
                <w:spacing w:val="-10"/>
                <w:sz w:val="18"/>
              </w:rPr>
              <w:t>1</w:t>
            </w:r>
          </w:p>
        </w:tc>
      </w:tr>
      <w:tr w:rsidR="00007528" w:rsidRPr="00D4309F" w14:paraId="7301E33E" w14:textId="77777777">
        <w:trPr>
          <w:trHeight w:val="287"/>
        </w:trPr>
        <w:tc>
          <w:tcPr>
            <w:tcW w:w="1002" w:type="pct"/>
            <w:vMerge/>
          </w:tcPr>
          <w:p w14:paraId="0C68C573" w14:textId="77777777" w:rsidR="00007528" w:rsidRPr="00D4309F" w:rsidRDefault="00007528" w:rsidP="00007528">
            <w:pPr>
              <w:pStyle w:val="TableParagraph"/>
              <w:rPr>
                <w:rFonts w:ascii="Times New Roman"/>
                <w:sz w:val="18"/>
              </w:rPr>
            </w:pPr>
          </w:p>
        </w:tc>
        <w:tc>
          <w:tcPr>
            <w:tcW w:w="3427" w:type="pct"/>
          </w:tcPr>
          <w:p w14:paraId="2A6B9336" w14:textId="77777777" w:rsidR="00007528" w:rsidRPr="00D4309F" w:rsidRDefault="00007528" w:rsidP="00007528">
            <w:pPr>
              <w:pStyle w:val="TableParagraph"/>
              <w:spacing w:before="41"/>
              <w:ind w:left="165"/>
              <w:rPr>
                <w:sz w:val="18"/>
              </w:rPr>
            </w:pPr>
            <w:r w:rsidRPr="00D4309F">
              <w:rPr>
                <w:color w:val="211E1F"/>
                <w:sz w:val="18"/>
              </w:rPr>
              <w:t>Operational</w:t>
            </w:r>
            <w:r w:rsidRPr="00D4309F">
              <w:rPr>
                <w:color w:val="211E1F"/>
                <w:spacing w:val="-5"/>
                <w:sz w:val="18"/>
              </w:rPr>
              <w:t xml:space="preserve"> </w:t>
            </w:r>
            <w:r w:rsidRPr="00D4309F">
              <w:rPr>
                <w:color w:val="211E1F"/>
                <w:sz w:val="18"/>
              </w:rPr>
              <w:t>works:</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significant</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operational</w:t>
            </w:r>
            <w:r w:rsidRPr="00D4309F">
              <w:rPr>
                <w:color w:val="211E1F"/>
                <w:spacing w:val="-2"/>
                <w:sz w:val="18"/>
              </w:rPr>
              <w:t xml:space="preserve"> </w:t>
            </w:r>
            <w:r w:rsidRPr="00D4309F">
              <w:rPr>
                <w:color w:val="211E1F"/>
                <w:sz w:val="18"/>
              </w:rPr>
              <w:t>works</w:t>
            </w:r>
            <w:r w:rsidRPr="00D4309F">
              <w:rPr>
                <w:color w:val="211E1F"/>
                <w:spacing w:val="-3"/>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their</w:t>
            </w:r>
            <w:r w:rsidRPr="00D4309F">
              <w:rPr>
                <w:color w:val="211E1F"/>
                <w:spacing w:val="-3"/>
                <w:sz w:val="18"/>
              </w:rPr>
              <w:t xml:space="preserve"> </w:t>
            </w:r>
            <w:r w:rsidRPr="00D4309F">
              <w:rPr>
                <w:color w:val="211E1F"/>
                <w:sz w:val="18"/>
              </w:rPr>
              <w:t>impacts</w:t>
            </w:r>
            <w:r w:rsidRPr="00D4309F">
              <w:rPr>
                <w:color w:val="211E1F"/>
                <w:spacing w:val="-2"/>
                <w:sz w:val="18"/>
              </w:rPr>
              <w:t xml:space="preserve"> </w:t>
            </w:r>
            <w:r w:rsidRPr="00D4309F">
              <w:rPr>
                <w:color w:val="211E1F"/>
                <w:sz w:val="18"/>
              </w:rPr>
              <w:t>during</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pacing w:val="-2"/>
                <w:sz w:val="18"/>
              </w:rPr>
              <w:t>process</w:t>
            </w:r>
          </w:p>
        </w:tc>
        <w:tc>
          <w:tcPr>
            <w:tcW w:w="571" w:type="pct"/>
          </w:tcPr>
          <w:p w14:paraId="7BFB4E90" w14:textId="5C62F46D" w:rsidR="00007528" w:rsidRPr="00D4309F" w:rsidRDefault="00007528" w:rsidP="00007528">
            <w:pPr>
              <w:pStyle w:val="TableParagraph"/>
              <w:spacing w:before="41"/>
              <w:ind w:left="485"/>
              <w:rPr>
                <w:sz w:val="18"/>
              </w:rPr>
            </w:pPr>
            <w:r w:rsidRPr="00D4309F">
              <w:rPr>
                <w:color w:val="211E1F"/>
                <w:spacing w:val="-10"/>
                <w:sz w:val="18"/>
              </w:rPr>
              <w:t>4</w:t>
            </w:r>
          </w:p>
        </w:tc>
      </w:tr>
      <w:tr w:rsidR="00007528" w:rsidRPr="00D4309F" w14:paraId="2EAD4FF8" w14:textId="77777777">
        <w:trPr>
          <w:trHeight w:val="286"/>
        </w:trPr>
        <w:tc>
          <w:tcPr>
            <w:tcW w:w="1002" w:type="pct"/>
            <w:vMerge/>
          </w:tcPr>
          <w:p w14:paraId="2A77C852" w14:textId="77777777" w:rsidR="00007528" w:rsidRPr="00D4309F" w:rsidRDefault="00007528" w:rsidP="00007528">
            <w:pPr>
              <w:pStyle w:val="TableParagraph"/>
              <w:rPr>
                <w:rFonts w:ascii="Times New Roman"/>
                <w:sz w:val="18"/>
              </w:rPr>
            </w:pPr>
          </w:p>
        </w:tc>
        <w:tc>
          <w:tcPr>
            <w:tcW w:w="3427" w:type="pct"/>
          </w:tcPr>
          <w:p w14:paraId="504CC2F0" w14:textId="77777777" w:rsidR="00007528" w:rsidRPr="00D4309F" w:rsidRDefault="00007528" w:rsidP="00007528">
            <w:pPr>
              <w:pStyle w:val="TableParagraph"/>
              <w:spacing w:before="39"/>
              <w:ind w:left="165"/>
              <w:rPr>
                <w:sz w:val="18"/>
              </w:rPr>
            </w:pPr>
            <w:r w:rsidRPr="00D4309F">
              <w:rPr>
                <w:color w:val="211E1F"/>
                <w:sz w:val="18"/>
              </w:rPr>
              <w:t>Future</w:t>
            </w:r>
            <w:r w:rsidRPr="00D4309F">
              <w:rPr>
                <w:color w:val="211E1F"/>
                <w:spacing w:val="-6"/>
                <w:sz w:val="18"/>
              </w:rPr>
              <w:t xml:space="preserve"> </w:t>
            </w:r>
            <w:r w:rsidRPr="00D4309F">
              <w:rPr>
                <w:color w:val="211E1F"/>
                <w:sz w:val="18"/>
              </w:rPr>
              <w:t>adaption:</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well</w:t>
            </w:r>
            <w:r w:rsidRPr="00D4309F">
              <w:rPr>
                <w:color w:val="211E1F"/>
                <w:spacing w:val="-2"/>
                <w:sz w:val="18"/>
              </w:rPr>
              <w:t xml:space="preserve"> </w:t>
            </w:r>
            <w:r w:rsidRPr="00D4309F">
              <w:rPr>
                <w:color w:val="211E1F"/>
                <w:sz w:val="18"/>
              </w:rPr>
              <w:t>the</w:t>
            </w:r>
            <w:r w:rsidRPr="00D4309F">
              <w:rPr>
                <w:color w:val="211E1F"/>
                <w:spacing w:val="-1"/>
                <w:sz w:val="18"/>
              </w:rPr>
              <w:t xml:space="preserve"> </w:t>
            </w:r>
            <w:r w:rsidRPr="00D4309F">
              <w:rPr>
                <w:color w:val="211E1F"/>
                <w:sz w:val="18"/>
              </w:rPr>
              <w:t>option</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adapted</w:t>
            </w:r>
            <w:r w:rsidRPr="00D4309F">
              <w:rPr>
                <w:color w:val="211E1F"/>
                <w:spacing w:val="-3"/>
                <w:sz w:val="18"/>
              </w:rPr>
              <w:t xml:space="preserve"> </w:t>
            </w:r>
            <w:r w:rsidRPr="00D4309F">
              <w:rPr>
                <w:color w:val="211E1F"/>
                <w:sz w:val="18"/>
              </w:rPr>
              <w:t>to</w:t>
            </w:r>
            <w:r w:rsidRPr="00D4309F">
              <w:rPr>
                <w:color w:val="211E1F"/>
                <w:spacing w:val="-3"/>
                <w:sz w:val="18"/>
              </w:rPr>
              <w:t xml:space="preserve"> </w:t>
            </w:r>
            <w:r w:rsidRPr="00D4309F">
              <w:rPr>
                <w:color w:val="211E1F"/>
                <w:sz w:val="18"/>
              </w:rPr>
              <w:t>future</w:t>
            </w:r>
            <w:r w:rsidRPr="00D4309F">
              <w:rPr>
                <w:color w:val="211E1F"/>
                <w:spacing w:val="-3"/>
                <w:sz w:val="18"/>
              </w:rPr>
              <w:t xml:space="preserve"> </w:t>
            </w:r>
            <w:r w:rsidRPr="00D4309F">
              <w:rPr>
                <w:color w:val="211E1F"/>
                <w:spacing w:val="-2"/>
                <w:sz w:val="18"/>
              </w:rPr>
              <w:t>conditions</w:t>
            </w:r>
          </w:p>
        </w:tc>
        <w:tc>
          <w:tcPr>
            <w:tcW w:w="571" w:type="pct"/>
          </w:tcPr>
          <w:p w14:paraId="2BDF402A" w14:textId="7138F6CF" w:rsidR="00007528" w:rsidRPr="00D4309F" w:rsidRDefault="00007528" w:rsidP="00007528">
            <w:pPr>
              <w:pStyle w:val="TableParagraph"/>
              <w:spacing w:before="39"/>
              <w:ind w:left="485"/>
              <w:rPr>
                <w:sz w:val="18"/>
              </w:rPr>
            </w:pPr>
            <w:r w:rsidRPr="00D4309F">
              <w:rPr>
                <w:color w:val="211E1F"/>
                <w:spacing w:val="-10"/>
                <w:sz w:val="18"/>
              </w:rPr>
              <w:t>4</w:t>
            </w:r>
          </w:p>
        </w:tc>
      </w:tr>
      <w:tr w:rsidR="00007528" w:rsidRPr="00D4309F" w14:paraId="3A03A934" w14:textId="77777777">
        <w:trPr>
          <w:trHeight w:val="287"/>
        </w:trPr>
        <w:tc>
          <w:tcPr>
            <w:tcW w:w="1002" w:type="pct"/>
            <w:vMerge/>
          </w:tcPr>
          <w:p w14:paraId="49E1A639" w14:textId="77777777" w:rsidR="00007528" w:rsidRPr="00D4309F" w:rsidRDefault="00007528" w:rsidP="00007528">
            <w:pPr>
              <w:pStyle w:val="TableParagraph"/>
              <w:rPr>
                <w:rFonts w:ascii="Times New Roman"/>
                <w:sz w:val="18"/>
              </w:rPr>
            </w:pPr>
          </w:p>
        </w:tc>
        <w:tc>
          <w:tcPr>
            <w:tcW w:w="3427" w:type="pct"/>
          </w:tcPr>
          <w:p w14:paraId="70B2BD55" w14:textId="77777777" w:rsidR="00007528" w:rsidRPr="00D4309F" w:rsidRDefault="00007528" w:rsidP="00007528">
            <w:pPr>
              <w:pStyle w:val="TableParagraph"/>
              <w:rPr>
                <w:rFonts w:ascii="Times New Roman"/>
                <w:sz w:val="18"/>
              </w:rPr>
            </w:pPr>
          </w:p>
        </w:tc>
        <w:tc>
          <w:tcPr>
            <w:tcW w:w="571" w:type="pct"/>
          </w:tcPr>
          <w:p w14:paraId="141663E9" w14:textId="316155D7" w:rsidR="00007528" w:rsidRPr="00D4309F" w:rsidRDefault="00007528" w:rsidP="00007528">
            <w:pPr>
              <w:pStyle w:val="TableParagraph"/>
              <w:rPr>
                <w:rFonts w:ascii="Times New Roman"/>
                <w:sz w:val="18"/>
              </w:rPr>
            </w:pPr>
          </w:p>
        </w:tc>
      </w:tr>
      <w:tr w:rsidR="00007528" w:rsidRPr="00D4309F" w14:paraId="7A01FCE5" w14:textId="77777777">
        <w:trPr>
          <w:trHeight w:val="286"/>
        </w:trPr>
        <w:tc>
          <w:tcPr>
            <w:tcW w:w="1002" w:type="pct"/>
            <w:vMerge/>
          </w:tcPr>
          <w:p w14:paraId="397EF546" w14:textId="77777777" w:rsidR="00007528" w:rsidRPr="00D4309F" w:rsidRDefault="00007528" w:rsidP="00007528">
            <w:pPr>
              <w:pStyle w:val="TableParagraph"/>
              <w:rPr>
                <w:rFonts w:ascii="Times New Roman"/>
                <w:sz w:val="18"/>
              </w:rPr>
            </w:pPr>
          </w:p>
        </w:tc>
        <w:tc>
          <w:tcPr>
            <w:tcW w:w="3427" w:type="pct"/>
          </w:tcPr>
          <w:p w14:paraId="56945FE9" w14:textId="77777777" w:rsidR="00007528" w:rsidRPr="00D4309F" w:rsidRDefault="00007528" w:rsidP="00007528">
            <w:pPr>
              <w:pStyle w:val="TableParagraph"/>
              <w:spacing w:before="39"/>
              <w:ind w:left="165"/>
              <w:rPr>
                <w:b/>
                <w:sz w:val="18"/>
              </w:rPr>
            </w:pPr>
            <w:r w:rsidRPr="00D4309F">
              <w:rPr>
                <w:b/>
                <w:color w:val="211E1F"/>
                <w:sz w:val="18"/>
              </w:rPr>
              <w:t>Sub-</w:t>
            </w:r>
            <w:r w:rsidRPr="00D4309F">
              <w:rPr>
                <w:b/>
                <w:color w:val="211E1F"/>
                <w:spacing w:val="-2"/>
                <w:sz w:val="18"/>
              </w:rPr>
              <w:t>total</w:t>
            </w:r>
          </w:p>
        </w:tc>
        <w:tc>
          <w:tcPr>
            <w:tcW w:w="571" w:type="pct"/>
          </w:tcPr>
          <w:p w14:paraId="1530538D" w14:textId="36C48547" w:rsidR="00007528" w:rsidRPr="00D4309F" w:rsidRDefault="00007528" w:rsidP="00007528">
            <w:pPr>
              <w:pStyle w:val="TableParagraph"/>
              <w:spacing w:before="39"/>
              <w:ind w:left="485"/>
              <w:rPr>
                <w:b/>
                <w:sz w:val="18"/>
              </w:rPr>
            </w:pPr>
            <w:r w:rsidRPr="00D4309F">
              <w:rPr>
                <w:b/>
                <w:color w:val="211E1F"/>
                <w:spacing w:val="-5"/>
                <w:sz w:val="18"/>
              </w:rPr>
              <w:t>17</w:t>
            </w:r>
          </w:p>
        </w:tc>
      </w:tr>
      <w:tr w:rsidR="00007528" w:rsidRPr="00D4309F" w14:paraId="66B21A85" w14:textId="77777777">
        <w:trPr>
          <w:trHeight w:val="287"/>
        </w:trPr>
        <w:tc>
          <w:tcPr>
            <w:tcW w:w="1002" w:type="pct"/>
            <w:vMerge w:val="restart"/>
          </w:tcPr>
          <w:p w14:paraId="394FD1A1" w14:textId="77777777" w:rsidR="00007528" w:rsidRPr="00D4309F" w:rsidRDefault="00007528" w:rsidP="00007528">
            <w:pPr>
              <w:pStyle w:val="TableParagraph"/>
              <w:spacing w:before="41"/>
              <w:ind w:left="165"/>
              <w:rPr>
                <w:b/>
                <w:sz w:val="18"/>
              </w:rPr>
            </w:pPr>
            <w:r w:rsidRPr="00D4309F">
              <w:rPr>
                <w:b/>
                <w:color w:val="211E1F"/>
                <w:spacing w:val="-2"/>
                <w:sz w:val="18"/>
              </w:rPr>
              <w:t>Safety</w:t>
            </w:r>
          </w:p>
        </w:tc>
        <w:tc>
          <w:tcPr>
            <w:tcW w:w="3427" w:type="pct"/>
          </w:tcPr>
          <w:p w14:paraId="4629F1D1" w14:textId="77777777" w:rsidR="00007528" w:rsidRPr="00D4309F" w:rsidRDefault="00007528" w:rsidP="00007528">
            <w:pPr>
              <w:pStyle w:val="TableParagraph"/>
              <w:spacing w:before="41"/>
              <w:ind w:left="166"/>
              <w:rPr>
                <w:sz w:val="18"/>
              </w:rPr>
            </w:pPr>
            <w:r w:rsidRPr="00D4309F">
              <w:rPr>
                <w:color w:val="211E1F"/>
                <w:sz w:val="18"/>
              </w:rPr>
              <w:t>Reliability</w:t>
            </w:r>
            <w:r w:rsidRPr="00D4309F">
              <w:rPr>
                <w:color w:val="211E1F"/>
                <w:spacing w:val="-5"/>
                <w:sz w:val="18"/>
              </w:rPr>
              <w:t xml:space="preserve"> </w:t>
            </w:r>
            <w:r w:rsidRPr="00D4309F">
              <w:rPr>
                <w:color w:val="211E1F"/>
                <w:sz w:val="18"/>
              </w:rPr>
              <w:t>of</w:t>
            </w:r>
            <w:r w:rsidRPr="00D4309F">
              <w:rPr>
                <w:color w:val="211E1F"/>
                <w:spacing w:val="-4"/>
                <w:sz w:val="18"/>
              </w:rPr>
              <w:t xml:space="preserve"> </w:t>
            </w:r>
            <w:r w:rsidRPr="00D4309F">
              <w:rPr>
                <w:color w:val="211E1F"/>
                <w:sz w:val="18"/>
              </w:rPr>
              <w:t>all-tide</w:t>
            </w:r>
            <w:r w:rsidRPr="00D4309F">
              <w:rPr>
                <w:color w:val="211E1F"/>
                <w:spacing w:val="-4"/>
                <w:sz w:val="18"/>
              </w:rPr>
              <w:t xml:space="preserve"> </w:t>
            </w:r>
            <w:r w:rsidRPr="00D4309F">
              <w:rPr>
                <w:color w:val="211E1F"/>
                <w:spacing w:val="-2"/>
                <w:sz w:val="18"/>
              </w:rPr>
              <w:t>access</w:t>
            </w:r>
          </w:p>
        </w:tc>
        <w:tc>
          <w:tcPr>
            <w:tcW w:w="571" w:type="pct"/>
          </w:tcPr>
          <w:p w14:paraId="522EC115" w14:textId="3F1B0126" w:rsidR="00007528" w:rsidRPr="00D4309F" w:rsidRDefault="00007528" w:rsidP="00007528">
            <w:pPr>
              <w:pStyle w:val="TableParagraph"/>
              <w:spacing w:before="41"/>
              <w:ind w:left="485"/>
              <w:rPr>
                <w:sz w:val="18"/>
              </w:rPr>
            </w:pPr>
            <w:r w:rsidRPr="00D4309F">
              <w:rPr>
                <w:color w:val="211E1F"/>
                <w:spacing w:val="-10"/>
                <w:sz w:val="18"/>
              </w:rPr>
              <w:t>4</w:t>
            </w:r>
          </w:p>
        </w:tc>
      </w:tr>
      <w:tr w:rsidR="00007528" w:rsidRPr="00D4309F" w14:paraId="7FDBF512" w14:textId="77777777">
        <w:trPr>
          <w:trHeight w:val="286"/>
        </w:trPr>
        <w:tc>
          <w:tcPr>
            <w:tcW w:w="1002" w:type="pct"/>
            <w:vMerge/>
          </w:tcPr>
          <w:p w14:paraId="59B03CA0" w14:textId="77777777" w:rsidR="00007528" w:rsidRPr="00D4309F" w:rsidRDefault="00007528" w:rsidP="00007528">
            <w:pPr>
              <w:pStyle w:val="TableParagraph"/>
              <w:rPr>
                <w:rFonts w:ascii="Times New Roman"/>
                <w:sz w:val="18"/>
              </w:rPr>
            </w:pPr>
          </w:p>
        </w:tc>
        <w:tc>
          <w:tcPr>
            <w:tcW w:w="3427" w:type="pct"/>
          </w:tcPr>
          <w:p w14:paraId="5912BDEF" w14:textId="77777777" w:rsidR="00007528" w:rsidRPr="00D4309F" w:rsidRDefault="00007528" w:rsidP="00007528">
            <w:pPr>
              <w:pStyle w:val="TableParagraph"/>
              <w:spacing w:before="39"/>
              <w:ind w:left="165"/>
              <w:rPr>
                <w:sz w:val="18"/>
              </w:rPr>
            </w:pPr>
            <w:r w:rsidRPr="00D4309F">
              <w:rPr>
                <w:color w:val="211E1F"/>
                <w:sz w:val="18"/>
              </w:rPr>
              <w:t>Clarity</w:t>
            </w:r>
            <w:r w:rsidRPr="00D4309F">
              <w:rPr>
                <w:color w:val="211E1F"/>
                <w:spacing w:val="-3"/>
                <w:sz w:val="18"/>
              </w:rPr>
              <w:t xml:space="preserve"> </w:t>
            </w:r>
            <w:r w:rsidRPr="00D4309F">
              <w:rPr>
                <w:color w:val="211E1F"/>
                <w:sz w:val="18"/>
              </w:rPr>
              <w:t>of</w:t>
            </w:r>
            <w:r w:rsidRPr="00D4309F">
              <w:rPr>
                <w:color w:val="211E1F"/>
                <w:spacing w:val="-2"/>
                <w:sz w:val="18"/>
              </w:rPr>
              <w:t xml:space="preserve"> navigation</w:t>
            </w:r>
          </w:p>
        </w:tc>
        <w:tc>
          <w:tcPr>
            <w:tcW w:w="571" w:type="pct"/>
          </w:tcPr>
          <w:p w14:paraId="3F0D64AC" w14:textId="6955B790" w:rsidR="00007528" w:rsidRPr="00D4309F" w:rsidRDefault="00007528" w:rsidP="00007528">
            <w:pPr>
              <w:pStyle w:val="TableParagraph"/>
              <w:spacing w:before="39"/>
              <w:ind w:left="485"/>
              <w:rPr>
                <w:sz w:val="18"/>
              </w:rPr>
            </w:pPr>
            <w:r w:rsidRPr="00D4309F">
              <w:rPr>
                <w:color w:val="211E1F"/>
                <w:spacing w:val="-10"/>
                <w:sz w:val="18"/>
              </w:rPr>
              <w:t>4</w:t>
            </w:r>
          </w:p>
        </w:tc>
      </w:tr>
      <w:tr w:rsidR="00007528" w:rsidRPr="00D4309F" w14:paraId="405C9526" w14:textId="77777777">
        <w:trPr>
          <w:trHeight w:val="287"/>
        </w:trPr>
        <w:tc>
          <w:tcPr>
            <w:tcW w:w="1002" w:type="pct"/>
            <w:vMerge/>
          </w:tcPr>
          <w:p w14:paraId="3455A488" w14:textId="77777777" w:rsidR="00007528" w:rsidRPr="00D4309F" w:rsidRDefault="00007528" w:rsidP="00007528">
            <w:pPr>
              <w:pStyle w:val="TableParagraph"/>
              <w:rPr>
                <w:rFonts w:ascii="Times New Roman"/>
                <w:sz w:val="18"/>
              </w:rPr>
            </w:pPr>
          </w:p>
        </w:tc>
        <w:tc>
          <w:tcPr>
            <w:tcW w:w="3427" w:type="pct"/>
          </w:tcPr>
          <w:p w14:paraId="5495CBF3" w14:textId="77777777" w:rsidR="00007528" w:rsidRPr="00D4309F" w:rsidRDefault="00007528" w:rsidP="00007528">
            <w:pPr>
              <w:pStyle w:val="TableParagraph"/>
              <w:spacing w:before="41"/>
              <w:ind w:left="165"/>
              <w:rPr>
                <w:sz w:val="18"/>
              </w:rPr>
            </w:pPr>
            <w:r w:rsidRPr="00D4309F">
              <w:rPr>
                <w:color w:val="211E1F"/>
                <w:sz w:val="18"/>
              </w:rPr>
              <w:t>Mariner</w:t>
            </w:r>
            <w:r w:rsidRPr="00D4309F">
              <w:rPr>
                <w:color w:val="211E1F"/>
                <w:spacing w:val="-6"/>
                <w:sz w:val="18"/>
              </w:rPr>
              <w:t xml:space="preserve"> </w:t>
            </w:r>
            <w:r w:rsidRPr="00D4309F">
              <w:rPr>
                <w:color w:val="211E1F"/>
                <w:spacing w:val="-2"/>
                <w:sz w:val="18"/>
              </w:rPr>
              <w:t>safety</w:t>
            </w:r>
          </w:p>
        </w:tc>
        <w:tc>
          <w:tcPr>
            <w:tcW w:w="571" w:type="pct"/>
          </w:tcPr>
          <w:p w14:paraId="11BDFB41" w14:textId="1D359675" w:rsidR="00007528" w:rsidRPr="00D4309F" w:rsidRDefault="00007528" w:rsidP="00007528">
            <w:pPr>
              <w:pStyle w:val="TableParagraph"/>
              <w:spacing w:before="41"/>
              <w:ind w:left="485"/>
              <w:rPr>
                <w:sz w:val="18"/>
              </w:rPr>
            </w:pPr>
            <w:r w:rsidRPr="00D4309F">
              <w:rPr>
                <w:color w:val="211E1F"/>
                <w:spacing w:val="-10"/>
                <w:sz w:val="18"/>
              </w:rPr>
              <w:t>3</w:t>
            </w:r>
          </w:p>
        </w:tc>
      </w:tr>
      <w:tr w:rsidR="00007528" w:rsidRPr="00D4309F" w14:paraId="5F016E9A" w14:textId="77777777">
        <w:trPr>
          <w:trHeight w:val="286"/>
        </w:trPr>
        <w:tc>
          <w:tcPr>
            <w:tcW w:w="1002" w:type="pct"/>
            <w:vMerge/>
          </w:tcPr>
          <w:p w14:paraId="3AD2B6E9" w14:textId="77777777" w:rsidR="00007528" w:rsidRPr="00D4309F" w:rsidRDefault="00007528" w:rsidP="00007528">
            <w:pPr>
              <w:pStyle w:val="TableParagraph"/>
              <w:rPr>
                <w:rFonts w:ascii="Times New Roman"/>
                <w:sz w:val="18"/>
              </w:rPr>
            </w:pPr>
          </w:p>
        </w:tc>
        <w:tc>
          <w:tcPr>
            <w:tcW w:w="3427" w:type="pct"/>
          </w:tcPr>
          <w:p w14:paraId="40BFD5E5" w14:textId="77777777" w:rsidR="00007528" w:rsidRPr="00D4309F" w:rsidRDefault="00007528" w:rsidP="00007528">
            <w:pPr>
              <w:pStyle w:val="TableParagraph"/>
              <w:spacing w:before="39"/>
              <w:ind w:left="165"/>
              <w:rPr>
                <w:color w:val="211E1F"/>
                <w:spacing w:val="-2"/>
                <w:sz w:val="18"/>
              </w:rPr>
            </w:pPr>
          </w:p>
        </w:tc>
        <w:tc>
          <w:tcPr>
            <w:tcW w:w="571" w:type="pct"/>
          </w:tcPr>
          <w:p w14:paraId="1A7D9673" w14:textId="77777777" w:rsidR="00007528" w:rsidRPr="00D4309F" w:rsidRDefault="00007528" w:rsidP="00007528">
            <w:pPr>
              <w:pStyle w:val="TableParagraph"/>
              <w:spacing w:before="39"/>
              <w:ind w:left="484"/>
              <w:rPr>
                <w:color w:val="211E1F"/>
                <w:spacing w:val="-10"/>
                <w:sz w:val="18"/>
              </w:rPr>
            </w:pPr>
          </w:p>
        </w:tc>
      </w:tr>
      <w:tr w:rsidR="00007528" w:rsidRPr="00D4309F" w14:paraId="1B62CC69" w14:textId="77777777">
        <w:trPr>
          <w:trHeight w:val="286"/>
        </w:trPr>
        <w:tc>
          <w:tcPr>
            <w:tcW w:w="1002" w:type="pct"/>
            <w:vMerge/>
          </w:tcPr>
          <w:p w14:paraId="54FCE5F5" w14:textId="77777777" w:rsidR="00007528" w:rsidRPr="00D4309F" w:rsidRDefault="00007528" w:rsidP="00007528">
            <w:pPr>
              <w:pStyle w:val="TableParagraph"/>
              <w:rPr>
                <w:rFonts w:ascii="Times New Roman"/>
                <w:sz w:val="18"/>
              </w:rPr>
            </w:pPr>
          </w:p>
        </w:tc>
        <w:tc>
          <w:tcPr>
            <w:tcW w:w="3427" w:type="pct"/>
          </w:tcPr>
          <w:p w14:paraId="050EC3F2" w14:textId="77777777" w:rsidR="00007528" w:rsidRPr="00230A0A" w:rsidRDefault="00007528" w:rsidP="00007528">
            <w:pPr>
              <w:pStyle w:val="TableParagraph"/>
              <w:spacing w:before="39"/>
              <w:ind w:left="165"/>
              <w:rPr>
                <w:b/>
                <w:bCs/>
                <w:sz w:val="18"/>
              </w:rPr>
            </w:pPr>
            <w:r w:rsidRPr="00230A0A">
              <w:rPr>
                <w:b/>
                <w:bCs/>
                <w:color w:val="211E1F"/>
                <w:spacing w:val="-2"/>
                <w:sz w:val="18"/>
              </w:rPr>
              <w:t>Sub-total</w:t>
            </w:r>
          </w:p>
        </w:tc>
        <w:tc>
          <w:tcPr>
            <w:tcW w:w="571" w:type="pct"/>
          </w:tcPr>
          <w:p w14:paraId="227FC986" w14:textId="7C6787C4" w:rsidR="00007528" w:rsidRPr="00230A0A" w:rsidRDefault="00007528" w:rsidP="00007528">
            <w:pPr>
              <w:pStyle w:val="TableParagraph"/>
              <w:spacing w:before="39"/>
              <w:ind w:left="484"/>
              <w:rPr>
                <w:b/>
                <w:bCs/>
                <w:sz w:val="18"/>
              </w:rPr>
            </w:pPr>
            <w:r w:rsidRPr="00D4309F">
              <w:rPr>
                <w:b/>
                <w:color w:val="211E1F"/>
                <w:spacing w:val="-5"/>
                <w:sz w:val="18"/>
              </w:rPr>
              <w:t>1</w:t>
            </w:r>
            <w:r w:rsidR="00A57749">
              <w:rPr>
                <w:b/>
                <w:color w:val="211E1F"/>
                <w:spacing w:val="-5"/>
                <w:sz w:val="18"/>
              </w:rPr>
              <w:t>1</w:t>
            </w:r>
          </w:p>
        </w:tc>
      </w:tr>
      <w:tr w:rsidR="00007528" w:rsidRPr="00D4309F" w14:paraId="73407AA9" w14:textId="77777777">
        <w:trPr>
          <w:trHeight w:val="287"/>
        </w:trPr>
        <w:tc>
          <w:tcPr>
            <w:tcW w:w="1002" w:type="pct"/>
            <w:vMerge w:val="restart"/>
          </w:tcPr>
          <w:p w14:paraId="38488A7F" w14:textId="77777777" w:rsidR="00007528" w:rsidRPr="00D4309F" w:rsidRDefault="00007528" w:rsidP="00007528">
            <w:pPr>
              <w:pStyle w:val="TableParagraph"/>
              <w:spacing w:before="41"/>
              <w:ind w:left="165"/>
              <w:rPr>
                <w:b/>
                <w:sz w:val="18"/>
              </w:rPr>
            </w:pPr>
            <w:r w:rsidRPr="00D4309F">
              <w:rPr>
                <w:b/>
                <w:color w:val="211E1F"/>
                <w:sz w:val="18"/>
              </w:rPr>
              <w:t>Social</w:t>
            </w:r>
            <w:r w:rsidRPr="00D4309F">
              <w:rPr>
                <w:b/>
                <w:color w:val="211E1F"/>
                <w:spacing w:val="-2"/>
                <w:sz w:val="18"/>
              </w:rPr>
              <w:t xml:space="preserve"> </w:t>
            </w:r>
            <w:r w:rsidRPr="00D4309F">
              <w:rPr>
                <w:b/>
                <w:color w:val="211E1F"/>
                <w:sz w:val="18"/>
              </w:rPr>
              <w:t>and</w:t>
            </w:r>
            <w:r w:rsidRPr="00D4309F">
              <w:rPr>
                <w:b/>
                <w:color w:val="211E1F"/>
                <w:spacing w:val="-2"/>
                <w:sz w:val="18"/>
              </w:rPr>
              <w:t xml:space="preserve"> economic</w:t>
            </w:r>
          </w:p>
        </w:tc>
        <w:tc>
          <w:tcPr>
            <w:tcW w:w="3427" w:type="pct"/>
          </w:tcPr>
          <w:p w14:paraId="51F6065F" w14:textId="77777777" w:rsidR="00007528" w:rsidRPr="00D4309F" w:rsidRDefault="00007528" w:rsidP="00007528">
            <w:pPr>
              <w:pStyle w:val="TableParagraph"/>
              <w:spacing w:before="41"/>
              <w:ind w:left="166"/>
              <w:rPr>
                <w:sz w:val="18"/>
              </w:rPr>
            </w:pPr>
            <w:r w:rsidRPr="00D4309F">
              <w:rPr>
                <w:color w:val="211E1F"/>
                <w:sz w:val="18"/>
              </w:rPr>
              <w:t>Consistency</w:t>
            </w:r>
            <w:r w:rsidRPr="00D4309F">
              <w:rPr>
                <w:color w:val="211E1F"/>
                <w:spacing w:val="-5"/>
                <w:sz w:val="18"/>
              </w:rPr>
              <w:t xml:space="preserve"> </w:t>
            </w:r>
            <w:r w:rsidRPr="00D4309F">
              <w:rPr>
                <w:color w:val="211E1F"/>
                <w:sz w:val="18"/>
              </w:rPr>
              <w:t>with</w:t>
            </w:r>
            <w:r w:rsidRPr="00D4309F">
              <w:rPr>
                <w:color w:val="211E1F"/>
                <w:spacing w:val="-3"/>
                <w:sz w:val="18"/>
              </w:rPr>
              <w:t xml:space="preserve"> </w:t>
            </w:r>
            <w:r w:rsidRPr="00D4309F">
              <w:rPr>
                <w:color w:val="211E1F"/>
                <w:sz w:val="18"/>
              </w:rPr>
              <w:t>SRG</w:t>
            </w:r>
            <w:r w:rsidRPr="00D4309F">
              <w:rPr>
                <w:color w:val="211E1F"/>
                <w:spacing w:val="-3"/>
                <w:sz w:val="18"/>
              </w:rPr>
              <w:t xml:space="preserve"> </w:t>
            </w:r>
            <w:r w:rsidRPr="00D4309F">
              <w:rPr>
                <w:color w:val="211E1F"/>
                <w:sz w:val="18"/>
              </w:rPr>
              <w:t>preference</w:t>
            </w:r>
            <w:r w:rsidRPr="00D4309F">
              <w:rPr>
                <w:color w:val="211E1F"/>
                <w:spacing w:val="-3"/>
                <w:sz w:val="18"/>
              </w:rPr>
              <w:t xml:space="preserve"> </w:t>
            </w:r>
            <w:r w:rsidRPr="00D4309F">
              <w:rPr>
                <w:color w:val="211E1F"/>
                <w:sz w:val="18"/>
              </w:rPr>
              <w:t>for</w:t>
            </w:r>
            <w:r w:rsidRPr="00D4309F">
              <w:rPr>
                <w:color w:val="211E1F"/>
                <w:spacing w:val="-3"/>
                <w:sz w:val="18"/>
              </w:rPr>
              <w:t xml:space="preserve"> </w:t>
            </w:r>
            <w:r w:rsidRPr="00D4309F">
              <w:rPr>
                <w:color w:val="211E1F"/>
                <w:sz w:val="18"/>
              </w:rPr>
              <w:t>lower</w:t>
            </w:r>
            <w:r w:rsidRPr="00D4309F">
              <w:rPr>
                <w:color w:val="211E1F"/>
                <w:spacing w:val="-2"/>
                <w:sz w:val="18"/>
              </w:rPr>
              <w:t xml:space="preserve"> </w:t>
            </w:r>
            <w:r w:rsidRPr="00D4309F">
              <w:rPr>
                <w:color w:val="211E1F"/>
                <w:sz w:val="18"/>
              </w:rPr>
              <w:t>impact,</w:t>
            </w:r>
            <w:r w:rsidRPr="00D4309F">
              <w:rPr>
                <w:color w:val="211E1F"/>
                <w:spacing w:val="-3"/>
                <w:sz w:val="18"/>
              </w:rPr>
              <w:t xml:space="preserve"> </w:t>
            </w:r>
            <w:r w:rsidRPr="00D4309F">
              <w:rPr>
                <w:color w:val="211E1F"/>
                <w:sz w:val="18"/>
              </w:rPr>
              <w:t>“softer”</w:t>
            </w:r>
            <w:r w:rsidRPr="00D4309F">
              <w:rPr>
                <w:color w:val="211E1F"/>
                <w:spacing w:val="-3"/>
                <w:sz w:val="18"/>
              </w:rPr>
              <w:t xml:space="preserve"> </w:t>
            </w:r>
            <w:r w:rsidRPr="00D4309F">
              <w:rPr>
                <w:color w:val="211E1F"/>
                <w:sz w:val="18"/>
              </w:rPr>
              <w:t>measures</w:t>
            </w:r>
            <w:r w:rsidRPr="00D4309F">
              <w:rPr>
                <w:color w:val="211E1F"/>
                <w:spacing w:val="-2"/>
                <w:sz w:val="18"/>
              </w:rPr>
              <w:t xml:space="preserve"> </w:t>
            </w:r>
            <w:r w:rsidRPr="00D4309F">
              <w:rPr>
                <w:color w:val="211E1F"/>
                <w:sz w:val="18"/>
              </w:rPr>
              <w:t>where</w:t>
            </w:r>
            <w:r w:rsidRPr="00D4309F">
              <w:rPr>
                <w:color w:val="211E1F"/>
                <w:spacing w:val="-3"/>
                <w:sz w:val="18"/>
              </w:rPr>
              <w:t xml:space="preserve"> </w:t>
            </w:r>
            <w:r w:rsidRPr="00D4309F">
              <w:rPr>
                <w:color w:val="211E1F"/>
                <w:spacing w:val="-2"/>
                <w:sz w:val="18"/>
              </w:rPr>
              <w:t>practicable.</w:t>
            </w:r>
          </w:p>
        </w:tc>
        <w:tc>
          <w:tcPr>
            <w:tcW w:w="571" w:type="pct"/>
          </w:tcPr>
          <w:p w14:paraId="665F5B5A" w14:textId="59DB6551" w:rsidR="00007528" w:rsidRPr="00D4309F" w:rsidRDefault="00007528" w:rsidP="00007528">
            <w:pPr>
              <w:pStyle w:val="TableParagraph"/>
              <w:spacing w:before="41"/>
              <w:ind w:left="485"/>
              <w:rPr>
                <w:sz w:val="18"/>
              </w:rPr>
            </w:pPr>
            <w:r w:rsidRPr="00D4309F">
              <w:rPr>
                <w:color w:val="211E1F"/>
                <w:spacing w:val="-10"/>
                <w:sz w:val="18"/>
              </w:rPr>
              <w:t>3</w:t>
            </w:r>
          </w:p>
        </w:tc>
      </w:tr>
      <w:tr w:rsidR="00007528" w:rsidRPr="00D4309F" w14:paraId="3B8E909A" w14:textId="77777777">
        <w:trPr>
          <w:trHeight w:val="286"/>
        </w:trPr>
        <w:tc>
          <w:tcPr>
            <w:tcW w:w="1002" w:type="pct"/>
            <w:vMerge/>
          </w:tcPr>
          <w:p w14:paraId="0BAEA5FA" w14:textId="77777777" w:rsidR="00007528" w:rsidRPr="00D4309F" w:rsidRDefault="00007528" w:rsidP="00007528">
            <w:pPr>
              <w:pStyle w:val="TableParagraph"/>
              <w:rPr>
                <w:rFonts w:ascii="Times New Roman"/>
                <w:sz w:val="18"/>
              </w:rPr>
            </w:pPr>
          </w:p>
        </w:tc>
        <w:tc>
          <w:tcPr>
            <w:tcW w:w="3427" w:type="pct"/>
          </w:tcPr>
          <w:p w14:paraId="46220F9B" w14:textId="77777777" w:rsidR="00007528" w:rsidRPr="00D4309F" w:rsidRDefault="00007528" w:rsidP="00007528">
            <w:pPr>
              <w:pStyle w:val="TableParagraph"/>
              <w:spacing w:before="39"/>
              <w:ind w:left="165"/>
              <w:rPr>
                <w:sz w:val="18"/>
              </w:rPr>
            </w:pPr>
            <w:r w:rsidRPr="00D4309F">
              <w:rPr>
                <w:color w:val="211E1F"/>
                <w:sz w:val="18"/>
              </w:rPr>
              <w:t>Traditional</w:t>
            </w:r>
            <w:r w:rsidRPr="00D4309F">
              <w:rPr>
                <w:color w:val="211E1F"/>
                <w:spacing w:val="-3"/>
                <w:sz w:val="18"/>
              </w:rPr>
              <w:t xml:space="preserve"> </w:t>
            </w:r>
            <w:r w:rsidRPr="00D4309F">
              <w:rPr>
                <w:color w:val="211E1F"/>
                <w:sz w:val="18"/>
              </w:rPr>
              <w:t>Owners</w:t>
            </w:r>
            <w:r w:rsidRPr="00D4309F">
              <w:rPr>
                <w:color w:val="211E1F"/>
                <w:spacing w:val="-3"/>
                <w:sz w:val="18"/>
              </w:rPr>
              <w:t xml:space="preserve"> </w:t>
            </w:r>
            <w:r w:rsidRPr="00D4309F">
              <w:rPr>
                <w:color w:val="211E1F"/>
                <w:sz w:val="18"/>
              </w:rPr>
              <w:t>do</w:t>
            </w:r>
            <w:r w:rsidRPr="00D4309F">
              <w:rPr>
                <w:color w:val="211E1F"/>
                <w:spacing w:val="-3"/>
                <w:sz w:val="18"/>
              </w:rPr>
              <w:t xml:space="preserve"> </w:t>
            </w:r>
            <w:r w:rsidRPr="00D4309F">
              <w:rPr>
                <w:color w:val="211E1F"/>
                <w:sz w:val="18"/>
              </w:rPr>
              <w:t>not</w:t>
            </w:r>
            <w:r w:rsidRPr="00D4309F">
              <w:rPr>
                <w:color w:val="211E1F"/>
                <w:spacing w:val="-3"/>
                <w:sz w:val="18"/>
              </w:rPr>
              <w:t xml:space="preserve"> </w:t>
            </w:r>
            <w:r w:rsidRPr="00D4309F">
              <w:rPr>
                <w:color w:val="211E1F"/>
                <w:sz w:val="18"/>
              </w:rPr>
              <w:t>experience</w:t>
            </w:r>
            <w:r w:rsidRPr="00D4309F">
              <w:rPr>
                <w:color w:val="211E1F"/>
                <w:spacing w:val="-3"/>
                <w:sz w:val="18"/>
              </w:rPr>
              <w:t xml:space="preserve"> </w:t>
            </w:r>
            <w:r w:rsidRPr="00D4309F">
              <w:rPr>
                <w:color w:val="211E1F"/>
                <w:sz w:val="18"/>
              </w:rPr>
              <w:t>disturbance</w:t>
            </w:r>
            <w:r w:rsidRPr="00D4309F">
              <w:rPr>
                <w:color w:val="211E1F"/>
                <w:spacing w:val="-3"/>
                <w:sz w:val="18"/>
              </w:rPr>
              <w:t xml:space="preserve"> </w:t>
            </w:r>
            <w:r w:rsidRPr="00D4309F">
              <w:rPr>
                <w:color w:val="211E1F"/>
                <w:sz w:val="18"/>
              </w:rPr>
              <w:t>to</w:t>
            </w:r>
            <w:r w:rsidRPr="00D4309F">
              <w:rPr>
                <w:color w:val="211E1F"/>
                <w:spacing w:val="-4"/>
                <w:sz w:val="18"/>
              </w:rPr>
              <w:t xml:space="preserve"> </w:t>
            </w:r>
            <w:r w:rsidRPr="00D4309F">
              <w:rPr>
                <w:color w:val="211E1F"/>
                <w:sz w:val="18"/>
              </w:rPr>
              <w:t>cultural</w:t>
            </w:r>
            <w:r w:rsidRPr="00D4309F">
              <w:rPr>
                <w:color w:val="211E1F"/>
                <w:spacing w:val="-2"/>
                <w:sz w:val="18"/>
              </w:rPr>
              <w:t xml:space="preserve"> values</w:t>
            </w:r>
          </w:p>
        </w:tc>
        <w:tc>
          <w:tcPr>
            <w:tcW w:w="571" w:type="pct"/>
          </w:tcPr>
          <w:p w14:paraId="23BD9875" w14:textId="0D43D915" w:rsidR="00007528" w:rsidRPr="00D4309F" w:rsidRDefault="00007528" w:rsidP="00007528">
            <w:pPr>
              <w:pStyle w:val="TableParagraph"/>
              <w:spacing w:before="39"/>
              <w:ind w:left="485"/>
              <w:rPr>
                <w:sz w:val="18"/>
              </w:rPr>
            </w:pPr>
            <w:r w:rsidRPr="00D4309F">
              <w:rPr>
                <w:color w:val="211E1F"/>
                <w:spacing w:val="-10"/>
                <w:sz w:val="18"/>
              </w:rPr>
              <w:t>3</w:t>
            </w:r>
          </w:p>
        </w:tc>
      </w:tr>
      <w:tr w:rsidR="00007528" w:rsidRPr="00D4309F" w14:paraId="792C5A92" w14:textId="77777777">
        <w:trPr>
          <w:trHeight w:val="287"/>
        </w:trPr>
        <w:tc>
          <w:tcPr>
            <w:tcW w:w="1002" w:type="pct"/>
            <w:vMerge/>
          </w:tcPr>
          <w:p w14:paraId="674E4473" w14:textId="77777777" w:rsidR="00007528" w:rsidRPr="00D4309F" w:rsidRDefault="00007528" w:rsidP="00007528">
            <w:pPr>
              <w:pStyle w:val="TableParagraph"/>
              <w:rPr>
                <w:rFonts w:ascii="Times New Roman"/>
                <w:sz w:val="18"/>
              </w:rPr>
            </w:pPr>
          </w:p>
        </w:tc>
        <w:tc>
          <w:tcPr>
            <w:tcW w:w="3427" w:type="pct"/>
          </w:tcPr>
          <w:p w14:paraId="40A4EE2F" w14:textId="77777777" w:rsidR="00007528" w:rsidRPr="00D4309F" w:rsidRDefault="00007528" w:rsidP="00007528">
            <w:pPr>
              <w:pStyle w:val="TableParagraph"/>
              <w:spacing w:before="41"/>
              <w:ind w:left="165"/>
              <w:rPr>
                <w:sz w:val="18"/>
              </w:rPr>
            </w:pPr>
            <w:r w:rsidRPr="00D4309F">
              <w:rPr>
                <w:color w:val="211E1F"/>
                <w:sz w:val="18"/>
              </w:rPr>
              <w:t>Visual</w:t>
            </w:r>
            <w:r w:rsidRPr="00D4309F">
              <w:rPr>
                <w:color w:val="211E1F"/>
                <w:spacing w:val="-5"/>
                <w:sz w:val="18"/>
              </w:rPr>
              <w:t xml:space="preserve"> </w:t>
            </w:r>
            <w:r w:rsidRPr="00D4309F">
              <w:rPr>
                <w:color w:val="211E1F"/>
                <w:spacing w:val="-2"/>
                <w:sz w:val="18"/>
              </w:rPr>
              <w:t>amenity</w:t>
            </w:r>
          </w:p>
        </w:tc>
        <w:tc>
          <w:tcPr>
            <w:tcW w:w="571" w:type="pct"/>
          </w:tcPr>
          <w:p w14:paraId="125244F6" w14:textId="32779400" w:rsidR="00007528" w:rsidRPr="00D4309F" w:rsidRDefault="00007528" w:rsidP="00007528">
            <w:pPr>
              <w:pStyle w:val="TableParagraph"/>
              <w:spacing w:before="41"/>
              <w:ind w:left="485"/>
              <w:rPr>
                <w:sz w:val="18"/>
              </w:rPr>
            </w:pPr>
            <w:r w:rsidRPr="00D4309F">
              <w:rPr>
                <w:color w:val="211E1F"/>
                <w:spacing w:val="-10"/>
                <w:sz w:val="18"/>
              </w:rPr>
              <w:t>2</w:t>
            </w:r>
          </w:p>
        </w:tc>
      </w:tr>
      <w:tr w:rsidR="00007528" w:rsidRPr="00D4309F" w14:paraId="265F640D" w14:textId="77777777">
        <w:trPr>
          <w:trHeight w:val="286"/>
        </w:trPr>
        <w:tc>
          <w:tcPr>
            <w:tcW w:w="1002" w:type="pct"/>
            <w:vMerge/>
          </w:tcPr>
          <w:p w14:paraId="359B7EA3" w14:textId="77777777" w:rsidR="00007528" w:rsidRPr="00D4309F" w:rsidRDefault="00007528" w:rsidP="00007528">
            <w:pPr>
              <w:pStyle w:val="TableParagraph"/>
              <w:rPr>
                <w:rFonts w:ascii="Times New Roman"/>
                <w:sz w:val="18"/>
              </w:rPr>
            </w:pPr>
          </w:p>
        </w:tc>
        <w:tc>
          <w:tcPr>
            <w:tcW w:w="3427" w:type="pct"/>
          </w:tcPr>
          <w:p w14:paraId="295606C3" w14:textId="77777777" w:rsidR="00007528" w:rsidRPr="00D4309F" w:rsidRDefault="00007528" w:rsidP="00007528">
            <w:pPr>
              <w:pStyle w:val="TableParagraph"/>
              <w:spacing w:before="39"/>
              <w:ind w:left="165"/>
              <w:rPr>
                <w:sz w:val="18"/>
              </w:rPr>
            </w:pPr>
            <w:r w:rsidRPr="00D4309F">
              <w:rPr>
                <w:color w:val="211E1F"/>
                <w:sz w:val="18"/>
              </w:rPr>
              <w:t>Community</w:t>
            </w:r>
            <w:r w:rsidRPr="00D4309F">
              <w:rPr>
                <w:color w:val="211E1F"/>
                <w:spacing w:val="-3"/>
                <w:sz w:val="18"/>
              </w:rPr>
              <w:t xml:space="preserve"> </w:t>
            </w:r>
            <w:r w:rsidRPr="00D4309F">
              <w:rPr>
                <w:color w:val="211E1F"/>
                <w:sz w:val="18"/>
              </w:rPr>
              <w:t>amenity</w:t>
            </w:r>
            <w:r w:rsidRPr="00D4309F">
              <w:rPr>
                <w:color w:val="211E1F"/>
                <w:spacing w:val="-2"/>
                <w:sz w:val="18"/>
              </w:rPr>
              <w:t xml:space="preserve"> </w:t>
            </w:r>
            <w:r w:rsidRPr="00D4309F">
              <w:rPr>
                <w:color w:val="211E1F"/>
                <w:sz w:val="18"/>
              </w:rPr>
              <w:t>(inc.</w:t>
            </w:r>
            <w:r w:rsidRPr="00D4309F">
              <w:rPr>
                <w:color w:val="211E1F"/>
                <w:spacing w:val="-2"/>
                <w:sz w:val="18"/>
              </w:rPr>
              <w:t xml:space="preserve"> </w:t>
            </w:r>
            <w:r w:rsidRPr="00D4309F">
              <w:rPr>
                <w:color w:val="211E1F"/>
                <w:sz w:val="18"/>
              </w:rPr>
              <w:t>noise</w:t>
            </w:r>
            <w:r w:rsidRPr="00D4309F">
              <w:rPr>
                <w:color w:val="211E1F"/>
                <w:spacing w:val="-3"/>
                <w:sz w:val="18"/>
              </w:rPr>
              <w:t xml:space="preserve"> </w:t>
            </w:r>
            <w:r w:rsidRPr="00D4309F">
              <w:rPr>
                <w:color w:val="211E1F"/>
                <w:sz w:val="18"/>
              </w:rPr>
              <w:t>from</w:t>
            </w:r>
            <w:r w:rsidRPr="00D4309F">
              <w:rPr>
                <w:color w:val="211E1F"/>
                <w:spacing w:val="-2"/>
                <w:sz w:val="18"/>
              </w:rPr>
              <w:t xml:space="preserve"> pumps)</w:t>
            </w:r>
          </w:p>
        </w:tc>
        <w:tc>
          <w:tcPr>
            <w:tcW w:w="571" w:type="pct"/>
          </w:tcPr>
          <w:p w14:paraId="644E2E9F" w14:textId="27E2390F" w:rsidR="00007528" w:rsidRPr="00D4309F" w:rsidRDefault="00007528" w:rsidP="00007528">
            <w:pPr>
              <w:pStyle w:val="TableParagraph"/>
              <w:spacing w:before="39"/>
              <w:ind w:left="484"/>
              <w:rPr>
                <w:sz w:val="18"/>
              </w:rPr>
            </w:pPr>
            <w:r w:rsidRPr="00D4309F">
              <w:rPr>
                <w:color w:val="211E1F"/>
                <w:spacing w:val="-10"/>
                <w:sz w:val="18"/>
              </w:rPr>
              <w:t>2</w:t>
            </w:r>
          </w:p>
        </w:tc>
      </w:tr>
      <w:tr w:rsidR="00007528" w:rsidRPr="00D4309F" w14:paraId="2D4CA1A4" w14:textId="77777777">
        <w:trPr>
          <w:trHeight w:val="247"/>
        </w:trPr>
        <w:tc>
          <w:tcPr>
            <w:tcW w:w="1002" w:type="pct"/>
            <w:vMerge/>
          </w:tcPr>
          <w:p w14:paraId="348E1BD8" w14:textId="77777777" w:rsidR="00007528" w:rsidRPr="00D4309F" w:rsidRDefault="00007528" w:rsidP="00007528">
            <w:pPr>
              <w:pStyle w:val="TableParagraph"/>
              <w:rPr>
                <w:rFonts w:ascii="Times New Roman"/>
                <w:sz w:val="18"/>
              </w:rPr>
            </w:pPr>
          </w:p>
        </w:tc>
        <w:tc>
          <w:tcPr>
            <w:tcW w:w="3427" w:type="pct"/>
          </w:tcPr>
          <w:p w14:paraId="4ACEEE22" w14:textId="77777777" w:rsidR="00007528" w:rsidRPr="00D4309F" w:rsidRDefault="00007528" w:rsidP="00007528">
            <w:pPr>
              <w:pStyle w:val="TableParagraph"/>
              <w:spacing w:before="41" w:line="187" w:lineRule="exact"/>
              <w:ind w:left="165"/>
              <w:rPr>
                <w:sz w:val="18"/>
              </w:rPr>
            </w:pPr>
            <w:r w:rsidRPr="00D4309F">
              <w:rPr>
                <w:color w:val="211E1F"/>
                <w:sz w:val="18"/>
              </w:rPr>
              <w:t>Beach</w:t>
            </w:r>
            <w:r w:rsidRPr="00D4309F">
              <w:rPr>
                <w:color w:val="211E1F"/>
                <w:spacing w:val="-5"/>
                <w:sz w:val="18"/>
              </w:rPr>
              <w:t xml:space="preserve"> </w:t>
            </w:r>
            <w:r w:rsidRPr="00D4309F">
              <w:rPr>
                <w:color w:val="211E1F"/>
                <w:sz w:val="18"/>
              </w:rPr>
              <w:t>users</w:t>
            </w:r>
            <w:r w:rsidRPr="00D4309F">
              <w:rPr>
                <w:color w:val="211E1F"/>
                <w:spacing w:val="-2"/>
                <w:sz w:val="18"/>
              </w:rPr>
              <w:t xml:space="preserve"> experience</w:t>
            </w:r>
          </w:p>
        </w:tc>
        <w:tc>
          <w:tcPr>
            <w:tcW w:w="571" w:type="pct"/>
          </w:tcPr>
          <w:p w14:paraId="7F925ED2" w14:textId="07C18CC9" w:rsidR="00007528" w:rsidRPr="00D4309F" w:rsidRDefault="00007528" w:rsidP="00007528">
            <w:pPr>
              <w:pStyle w:val="TableParagraph"/>
              <w:spacing w:before="41" w:line="187" w:lineRule="exact"/>
              <w:ind w:left="485"/>
              <w:rPr>
                <w:sz w:val="18"/>
              </w:rPr>
            </w:pPr>
            <w:r w:rsidRPr="00D4309F">
              <w:rPr>
                <w:color w:val="211E1F"/>
                <w:spacing w:val="-10"/>
                <w:sz w:val="18"/>
              </w:rPr>
              <w:t>4</w:t>
            </w:r>
          </w:p>
        </w:tc>
      </w:tr>
      <w:tr w:rsidR="00007528" w:rsidRPr="00D4309F" w14:paraId="68160B43" w14:textId="77777777">
        <w:trPr>
          <w:trHeight w:val="247"/>
        </w:trPr>
        <w:tc>
          <w:tcPr>
            <w:tcW w:w="1002" w:type="pct"/>
            <w:vMerge/>
          </w:tcPr>
          <w:p w14:paraId="6FE1D416" w14:textId="77777777" w:rsidR="00007528" w:rsidRPr="00D4309F" w:rsidRDefault="00007528" w:rsidP="00007528">
            <w:pPr>
              <w:pStyle w:val="TableParagraph"/>
              <w:rPr>
                <w:rFonts w:ascii="Times New Roman"/>
                <w:sz w:val="18"/>
              </w:rPr>
            </w:pPr>
          </w:p>
        </w:tc>
        <w:tc>
          <w:tcPr>
            <w:tcW w:w="3427" w:type="pct"/>
          </w:tcPr>
          <w:p w14:paraId="45924315" w14:textId="77777777" w:rsidR="00007528" w:rsidRPr="00D4309F" w:rsidRDefault="00007528" w:rsidP="00007528">
            <w:pPr>
              <w:pStyle w:val="TableParagraph"/>
              <w:spacing w:before="41" w:line="187" w:lineRule="exact"/>
              <w:ind w:left="165"/>
              <w:rPr>
                <w:color w:val="211E1F"/>
                <w:sz w:val="18"/>
              </w:rPr>
            </w:pPr>
            <w:r w:rsidRPr="00D4309F">
              <w:rPr>
                <w:color w:val="211E1F"/>
                <w:sz w:val="18"/>
              </w:rPr>
              <w:t>Safe</w:t>
            </w:r>
            <w:r w:rsidRPr="00D4309F">
              <w:rPr>
                <w:color w:val="211E1F"/>
                <w:spacing w:val="-4"/>
                <w:sz w:val="18"/>
              </w:rPr>
              <w:t xml:space="preserve"> </w:t>
            </w:r>
            <w:r w:rsidRPr="00D4309F">
              <w:rPr>
                <w:color w:val="211E1F"/>
                <w:sz w:val="18"/>
              </w:rPr>
              <w:t>access</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business</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recreational</w:t>
            </w:r>
            <w:r w:rsidRPr="00D4309F">
              <w:rPr>
                <w:color w:val="211E1F"/>
                <w:spacing w:val="-2"/>
                <w:sz w:val="18"/>
              </w:rPr>
              <w:t xml:space="preserve"> </w:t>
            </w:r>
            <w:r w:rsidRPr="00D4309F">
              <w:rPr>
                <w:color w:val="211E1F"/>
                <w:spacing w:val="-4"/>
                <w:sz w:val="18"/>
              </w:rPr>
              <w:t>users</w:t>
            </w:r>
          </w:p>
        </w:tc>
        <w:tc>
          <w:tcPr>
            <w:tcW w:w="571" w:type="pct"/>
          </w:tcPr>
          <w:p w14:paraId="17245679" w14:textId="430D9CBE" w:rsidR="00007528" w:rsidRPr="00D4309F" w:rsidRDefault="00007528" w:rsidP="00007528">
            <w:pPr>
              <w:pStyle w:val="TableParagraph"/>
              <w:spacing w:before="41" w:line="187" w:lineRule="exact"/>
              <w:ind w:left="485"/>
              <w:rPr>
                <w:color w:val="211E1F"/>
                <w:spacing w:val="-10"/>
                <w:sz w:val="18"/>
              </w:rPr>
            </w:pPr>
            <w:r w:rsidRPr="00D4309F">
              <w:rPr>
                <w:color w:val="211E1F"/>
                <w:spacing w:val="-10"/>
                <w:sz w:val="18"/>
              </w:rPr>
              <w:t>3</w:t>
            </w:r>
          </w:p>
        </w:tc>
      </w:tr>
      <w:tr w:rsidR="00007528" w:rsidRPr="00D4309F" w14:paraId="37102219" w14:textId="77777777">
        <w:trPr>
          <w:trHeight w:val="247"/>
        </w:trPr>
        <w:tc>
          <w:tcPr>
            <w:tcW w:w="1002" w:type="pct"/>
            <w:vMerge/>
          </w:tcPr>
          <w:p w14:paraId="30BB0918" w14:textId="77777777" w:rsidR="00007528" w:rsidRPr="00D4309F" w:rsidRDefault="00007528" w:rsidP="00007528">
            <w:pPr>
              <w:pStyle w:val="TableParagraph"/>
              <w:rPr>
                <w:rFonts w:ascii="Times New Roman"/>
                <w:sz w:val="18"/>
              </w:rPr>
            </w:pPr>
          </w:p>
        </w:tc>
        <w:tc>
          <w:tcPr>
            <w:tcW w:w="3427" w:type="pct"/>
          </w:tcPr>
          <w:p w14:paraId="1258ABF2" w14:textId="77777777" w:rsidR="00007528" w:rsidRPr="00D4309F" w:rsidRDefault="00007528" w:rsidP="00007528">
            <w:pPr>
              <w:pStyle w:val="TableParagraph"/>
              <w:spacing w:before="41" w:line="187" w:lineRule="exact"/>
              <w:ind w:left="165"/>
              <w:rPr>
                <w:color w:val="211E1F"/>
                <w:sz w:val="18"/>
              </w:rPr>
            </w:pPr>
            <w:r w:rsidRPr="00D4309F">
              <w:rPr>
                <w:color w:val="211E1F"/>
                <w:sz w:val="18"/>
              </w:rPr>
              <w:t>Reliable</w:t>
            </w:r>
            <w:r w:rsidRPr="00D4309F">
              <w:rPr>
                <w:color w:val="211E1F"/>
                <w:spacing w:val="-4"/>
                <w:sz w:val="18"/>
              </w:rPr>
              <w:t xml:space="preserve"> </w:t>
            </w:r>
            <w:r w:rsidRPr="00D4309F">
              <w:rPr>
                <w:color w:val="211E1F"/>
                <w:sz w:val="18"/>
              </w:rPr>
              <w:t>access</w:t>
            </w:r>
            <w:r w:rsidRPr="00D4309F">
              <w:rPr>
                <w:color w:val="211E1F"/>
                <w:spacing w:val="-3"/>
                <w:sz w:val="18"/>
              </w:rPr>
              <w:t xml:space="preserve"> </w:t>
            </w:r>
            <w:r w:rsidRPr="00D4309F">
              <w:rPr>
                <w:color w:val="211E1F"/>
                <w:sz w:val="18"/>
              </w:rPr>
              <w:t>for</w:t>
            </w:r>
            <w:r w:rsidRPr="00D4309F">
              <w:rPr>
                <w:color w:val="211E1F"/>
                <w:spacing w:val="-3"/>
                <w:sz w:val="18"/>
              </w:rPr>
              <w:t xml:space="preserve"> </w:t>
            </w:r>
            <w:r w:rsidRPr="00D4309F">
              <w:rPr>
                <w:color w:val="211E1F"/>
                <w:sz w:val="18"/>
              </w:rPr>
              <w:t>business</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recreational</w:t>
            </w:r>
            <w:r w:rsidRPr="00D4309F">
              <w:rPr>
                <w:color w:val="211E1F"/>
                <w:spacing w:val="-3"/>
                <w:sz w:val="18"/>
              </w:rPr>
              <w:t xml:space="preserve"> </w:t>
            </w:r>
            <w:r w:rsidRPr="00D4309F">
              <w:rPr>
                <w:color w:val="211E1F"/>
                <w:spacing w:val="-4"/>
                <w:sz w:val="18"/>
              </w:rPr>
              <w:t>users</w:t>
            </w:r>
          </w:p>
        </w:tc>
        <w:tc>
          <w:tcPr>
            <w:tcW w:w="571" w:type="pct"/>
          </w:tcPr>
          <w:p w14:paraId="6EC92EAA" w14:textId="2FAB87CE" w:rsidR="00007528" w:rsidRPr="00D4309F" w:rsidRDefault="00007528" w:rsidP="00007528">
            <w:pPr>
              <w:pStyle w:val="TableParagraph"/>
              <w:spacing w:before="41" w:line="187" w:lineRule="exact"/>
              <w:ind w:left="485"/>
              <w:rPr>
                <w:color w:val="211E1F"/>
                <w:spacing w:val="-10"/>
                <w:sz w:val="18"/>
              </w:rPr>
            </w:pPr>
            <w:r w:rsidRPr="00D4309F">
              <w:rPr>
                <w:color w:val="211E1F"/>
                <w:spacing w:val="-10"/>
                <w:sz w:val="18"/>
              </w:rPr>
              <w:t>4</w:t>
            </w:r>
          </w:p>
        </w:tc>
      </w:tr>
      <w:tr w:rsidR="00007528" w:rsidRPr="00D4309F" w14:paraId="5DF47923" w14:textId="77777777">
        <w:trPr>
          <w:trHeight w:val="247"/>
        </w:trPr>
        <w:tc>
          <w:tcPr>
            <w:tcW w:w="1002" w:type="pct"/>
            <w:vMerge/>
          </w:tcPr>
          <w:p w14:paraId="00F8FA1E" w14:textId="77777777" w:rsidR="00007528" w:rsidRPr="00D4309F" w:rsidRDefault="00007528" w:rsidP="00007528">
            <w:pPr>
              <w:pStyle w:val="TableParagraph"/>
              <w:rPr>
                <w:rFonts w:ascii="Times New Roman"/>
                <w:sz w:val="18"/>
              </w:rPr>
            </w:pPr>
          </w:p>
        </w:tc>
        <w:tc>
          <w:tcPr>
            <w:tcW w:w="3427" w:type="pct"/>
          </w:tcPr>
          <w:p w14:paraId="6AA00CFD" w14:textId="77777777" w:rsidR="00007528" w:rsidRPr="00D4309F" w:rsidRDefault="00007528" w:rsidP="00007528">
            <w:pPr>
              <w:pStyle w:val="TableParagraph"/>
              <w:spacing w:before="41" w:line="187" w:lineRule="exact"/>
              <w:ind w:left="165"/>
              <w:rPr>
                <w:color w:val="211E1F"/>
                <w:sz w:val="18"/>
              </w:rPr>
            </w:pPr>
            <w:r w:rsidRPr="00D4309F">
              <w:rPr>
                <w:color w:val="211E1F"/>
                <w:sz w:val="18"/>
              </w:rPr>
              <w:t>Broader</w:t>
            </w:r>
            <w:r w:rsidRPr="00D4309F">
              <w:rPr>
                <w:color w:val="211E1F"/>
                <w:spacing w:val="-6"/>
                <w:sz w:val="18"/>
              </w:rPr>
              <w:t xml:space="preserve"> </w:t>
            </w:r>
            <w:r w:rsidRPr="00D4309F">
              <w:rPr>
                <w:color w:val="211E1F"/>
                <w:sz w:val="18"/>
              </w:rPr>
              <w:t>economic</w:t>
            </w:r>
            <w:r w:rsidRPr="00D4309F">
              <w:rPr>
                <w:color w:val="211E1F"/>
                <w:spacing w:val="-4"/>
                <w:sz w:val="18"/>
              </w:rPr>
              <w:t xml:space="preserve"> </w:t>
            </w:r>
            <w:r w:rsidRPr="00D4309F">
              <w:rPr>
                <w:color w:val="211E1F"/>
                <w:sz w:val="18"/>
              </w:rPr>
              <w:t>considerations</w:t>
            </w:r>
            <w:r w:rsidRPr="00D4309F">
              <w:rPr>
                <w:color w:val="211E1F"/>
                <w:spacing w:val="-3"/>
                <w:sz w:val="18"/>
              </w:rPr>
              <w:t xml:space="preserve"> </w:t>
            </w:r>
            <w:r w:rsidRPr="00D4309F">
              <w:rPr>
                <w:color w:val="211E1F"/>
                <w:sz w:val="18"/>
              </w:rPr>
              <w:t>during</w:t>
            </w:r>
            <w:r w:rsidRPr="00D4309F">
              <w:rPr>
                <w:color w:val="211E1F"/>
                <w:spacing w:val="-5"/>
                <w:sz w:val="18"/>
              </w:rPr>
              <w:t xml:space="preserve"> </w:t>
            </w:r>
            <w:r w:rsidRPr="00D4309F">
              <w:rPr>
                <w:color w:val="211E1F"/>
                <w:sz w:val="18"/>
              </w:rPr>
              <w:t>construction</w:t>
            </w:r>
            <w:r w:rsidRPr="00D4309F">
              <w:rPr>
                <w:color w:val="211E1F"/>
                <w:spacing w:val="-4"/>
                <w:sz w:val="18"/>
              </w:rPr>
              <w:t xml:space="preserve"> </w:t>
            </w:r>
            <w:r w:rsidRPr="00D4309F">
              <w:rPr>
                <w:color w:val="211E1F"/>
                <w:sz w:val="18"/>
              </w:rPr>
              <w:t>and</w:t>
            </w:r>
            <w:r w:rsidRPr="00D4309F">
              <w:rPr>
                <w:color w:val="211E1F"/>
                <w:spacing w:val="-4"/>
                <w:sz w:val="18"/>
              </w:rPr>
              <w:t xml:space="preserve"> </w:t>
            </w:r>
            <w:r w:rsidRPr="00D4309F">
              <w:rPr>
                <w:color w:val="211E1F"/>
                <w:spacing w:val="-2"/>
                <w:sz w:val="18"/>
              </w:rPr>
              <w:t>operation</w:t>
            </w:r>
          </w:p>
        </w:tc>
        <w:tc>
          <w:tcPr>
            <w:tcW w:w="571" w:type="pct"/>
          </w:tcPr>
          <w:p w14:paraId="191F39AE" w14:textId="3F9CA1EF" w:rsidR="00007528" w:rsidRPr="00D4309F" w:rsidRDefault="00007528" w:rsidP="00007528">
            <w:pPr>
              <w:pStyle w:val="TableParagraph"/>
              <w:spacing w:before="41" w:line="187" w:lineRule="exact"/>
              <w:ind w:left="485"/>
              <w:rPr>
                <w:color w:val="211E1F"/>
                <w:spacing w:val="-10"/>
                <w:sz w:val="18"/>
              </w:rPr>
            </w:pPr>
            <w:r w:rsidRPr="00D4309F">
              <w:rPr>
                <w:color w:val="211E1F"/>
                <w:spacing w:val="-10"/>
                <w:sz w:val="18"/>
              </w:rPr>
              <w:t>3</w:t>
            </w:r>
          </w:p>
        </w:tc>
      </w:tr>
      <w:tr w:rsidR="007715DD" w:rsidRPr="00D4309F" w14:paraId="1F547ED7" w14:textId="77777777">
        <w:trPr>
          <w:trHeight w:val="247"/>
        </w:trPr>
        <w:tc>
          <w:tcPr>
            <w:tcW w:w="1002" w:type="pct"/>
            <w:vMerge/>
          </w:tcPr>
          <w:p w14:paraId="06D82503" w14:textId="77777777" w:rsidR="007715DD" w:rsidRPr="00D4309F" w:rsidRDefault="007715DD" w:rsidP="007715DD">
            <w:pPr>
              <w:pStyle w:val="TableParagraph"/>
              <w:rPr>
                <w:rFonts w:ascii="Times New Roman"/>
                <w:sz w:val="18"/>
              </w:rPr>
            </w:pPr>
          </w:p>
        </w:tc>
        <w:tc>
          <w:tcPr>
            <w:tcW w:w="3427" w:type="pct"/>
          </w:tcPr>
          <w:p w14:paraId="2D1089C8" w14:textId="77777777" w:rsidR="007715DD" w:rsidRPr="00D4309F" w:rsidRDefault="007715DD" w:rsidP="007715DD">
            <w:pPr>
              <w:pStyle w:val="TableParagraph"/>
              <w:spacing w:before="41" w:line="187" w:lineRule="exact"/>
              <w:ind w:left="165"/>
              <w:rPr>
                <w:color w:val="211E1F"/>
                <w:sz w:val="18"/>
              </w:rPr>
            </w:pPr>
            <w:r w:rsidRPr="00D4309F">
              <w:rPr>
                <w:color w:val="211E1F"/>
                <w:sz w:val="18"/>
              </w:rPr>
              <w:t>Environmental</w:t>
            </w:r>
            <w:r w:rsidRPr="00D4309F">
              <w:rPr>
                <w:color w:val="211E1F"/>
                <w:spacing w:val="-5"/>
                <w:sz w:val="18"/>
              </w:rPr>
              <w:t xml:space="preserve"> </w:t>
            </w:r>
            <w:r w:rsidRPr="00D4309F">
              <w:rPr>
                <w:color w:val="211E1F"/>
                <w:sz w:val="18"/>
              </w:rPr>
              <w:t>impact</w:t>
            </w:r>
            <w:r w:rsidRPr="00D4309F">
              <w:rPr>
                <w:color w:val="211E1F"/>
                <w:spacing w:val="-4"/>
                <w:sz w:val="18"/>
              </w:rPr>
              <w:t xml:space="preserve"> </w:t>
            </w:r>
            <w:r w:rsidRPr="00D4309F">
              <w:rPr>
                <w:color w:val="211E1F"/>
                <w:spacing w:val="-2"/>
                <w:sz w:val="18"/>
              </w:rPr>
              <w:t>perceptions</w:t>
            </w:r>
          </w:p>
        </w:tc>
        <w:tc>
          <w:tcPr>
            <w:tcW w:w="571" w:type="pct"/>
          </w:tcPr>
          <w:p w14:paraId="6E827F24" w14:textId="47CE6172" w:rsidR="007715DD" w:rsidRPr="00D4309F" w:rsidRDefault="007715DD" w:rsidP="007715DD">
            <w:pPr>
              <w:pStyle w:val="TableParagraph"/>
              <w:spacing w:before="41" w:line="187" w:lineRule="exact"/>
              <w:ind w:left="485"/>
              <w:rPr>
                <w:color w:val="211E1F"/>
                <w:spacing w:val="-10"/>
                <w:sz w:val="18"/>
              </w:rPr>
            </w:pPr>
            <w:r w:rsidRPr="00D4309F">
              <w:rPr>
                <w:color w:val="211E1F"/>
                <w:spacing w:val="-10"/>
                <w:sz w:val="18"/>
              </w:rPr>
              <w:t>1</w:t>
            </w:r>
          </w:p>
        </w:tc>
      </w:tr>
      <w:tr w:rsidR="007715DD" w:rsidRPr="00D4309F" w14:paraId="644ED930" w14:textId="77777777">
        <w:trPr>
          <w:trHeight w:val="247"/>
        </w:trPr>
        <w:tc>
          <w:tcPr>
            <w:tcW w:w="1002" w:type="pct"/>
            <w:vMerge/>
          </w:tcPr>
          <w:p w14:paraId="0792D434" w14:textId="77777777" w:rsidR="007715DD" w:rsidRPr="00D4309F" w:rsidRDefault="007715DD" w:rsidP="007715DD">
            <w:pPr>
              <w:pStyle w:val="TableParagraph"/>
              <w:rPr>
                <w:rFonts w:ascii="Times New Roman"/>
                <w:sz w:val="18"/>
              </w:rPr>
            </w:pPr>
          </w:p>
        </w:tc>
        <w:tc>
          <w:tcPr>
            <w:tcW w:w="3427" w:type="pct"/>
          </w:tcPr>
          <w:p w14:paraId="26E3770E" w14:textId="77777777" w:rsidR="007715DD" w:rsidRPr="00D4309F" w:rsidRDefault="007715DD" w:rsidP="007715DD">
            <w:pPr>
              <w:pStyle w:val="TableParagraph"/>
              <w:spacing w:before="41" w:line="187" w:lineRule="exact"/>
              <w:ind w:left="165"/>
              <w:rPr>
                <w:color w:val="211E1F"/>
                <w:sz w:val="18"/>
              </w:rPr>
            </w:pPr>
          </w:p>
        </w:tc>
        <w:tc>
          <w:tcPr>
            <w:tcW w:w="571" w:type="pct"/>
          </w:tcPr>
          <w:p w14:paraId="7F5B1558" w14:textId="77777777" w:rsidR="007715DD" w:rsidRPr="00D4309F" w:rsidRDefault="007715DD" w:rsidP="007715DD">
            <w:pPr>
              <w:pStyle w:val="TableParagraph"/>
              <w:spacing w:before="41" w:line="187" w:lineRule="exact"/>
              <w:ind w:left="485"/>
              <w:rPr>
                <w:color w:val="211E1F"/>
                <w:spacing w:val="-10"/>
                <w:sz w:val="18"/>
              </w:rPr>
            </w:pPr>
          </w:p>
        </w:tc>
      </w:tr>
      <w:tr w:rsidR="007715DD" w:rsidRPr="00D4309F" w14:paraId="62286C82" w14:textId="77777777">
        <w:trPr>
          <w:trHeight w:val="247"/>
        </w:trPr>
        <w:tc>
          <w:tcPr>
            <w:tcW w:w="1002" w:type="pct"/>
            <w:vMerge/>
          </w:tcPr>
          <w:p w14:paraId="3FEEE8F8" w14:textId="77777777" w:rsidR="007715DD" w:rsidRPr="00D4309F" w:rsidRDefault="007715DD" w:rsidP="007715DD">
            <w:pPr>
              <w:pStyle w:val="TableParagraph"/>
              <w:rPr>
                <w:rFonts w:ascii="Times New Roman"/>
                <w:sz w:val="18"/>
              </w:rPr>
            </w:pPr>
          </w:p>
        </w:tc>
        <w:tc>
          <w:tcPr>
            <w:tcW w:w="3427" w:type="pct"/>
          </w:tcPr>
          <w:p w14:paraId="4B6C4676" w14:textId="77777777" w:rsidR="007715DD" w:rsidRPr="00D4309F" w:rsidRDefault="007715DD" w:rsidP="007715DD">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13D80AF1" w14:textId="04C40388" w:rsidR="007715DD" w:rsidRPr="00D4309F" w:rsidRDefault="007715DD" w:rsidP="007715DD">
            <w:pPr>
              <w:pStyle w:val="TableParagraph"/>
              <w:spacing w:before="41" w:line="187" w:lineRule="exact"/>
              <w:ind w:left="485"/>
              <w:rPr>
                <w:color w:val="211E1F"/>
                <w:spacing w:val="-10"/>
                <w:sz w:val="18"/>
              </w:rPr>
            </w:pPr>
            <w:r w:rsidRPr="00D4309F">
              <w:rPr>
                <w:b/>
                <w:color w:val="211E1F"/>
                <w:spacing w:val="-5"/>
                <w:sz w:val="18"/>
              </w:rPr>
              <w:t>25</w:t>
            </w:r>
          </w:p>
        </w:tc>
      </w:tr>
      <w:tr w:rsidR="007715DD" w:rsidRPr="00D4309F" w14:paraId="5558D74F" w14:textId="77777777">
        <w:trPr>
          <w:trHeight w:val="247"/>
        </w:trPr>
        <w:tc>
          <w:tcPr>
            <w:tcW w:w="1002" w:type="pct"/>
            <w:vMerge w:val="restart"/>
          </w:tcPr>
          <w:p w14:paraId="43D79077" w14:textId="77777777" w:rsidR="007715DD" w:rsidRPr="00D4309F" w:rsidRDefault="007715DD" w:rsidP="007715DD">
            <w:pPr>
              <w:pStyle w:val="TableParagraph"/>
              <w:rPr>
                <w:rFonts w:ascii="Times New Roman"/>
                <w:sz w:val="18"/>
              </w:rPr>
            </w:pPr>
            <w:r w:rsidRPr="00D4309F">
              <w:rPr>
                <w:b/>
                <w:color w:val="211E1F"/>
                <w:spacing w:val="-2"/>
                <w:sz w:val="18"/>
              </w:rPr>
              <w:t>Environmental</w:t>
            </w:r>
          </w:p>
        </w:tc>
        <w:tc>
          <w:tcPr>
            <w:tcW w:w="3427" w:type="pct"/>
          </w:tcPr>
          <w:p w14:paraId="3FCE0BE2" w14:textId="77777777" w:rsidR="007715DD" w:rsidRPr="00D4309F" w:rsidRDefault="007715DD" w:rsidP="007715DD">
            <w:pPr>
              <w:pStyle w:val="TableParagraph"/>
              <w:spacing w:before="41" w:line="187" w:lineRule="exact"/>
              <w:ind w:left="165"/>
              <w:rPr>
                <w:color w:val="211E1F"/>
                <w:sz w:val="18"/>
              </w:rPr>
            </w:pPr>
            <w:r w:rsidRPr="00D4309F">
              <w:rPr>
                <w:color w:val="211E1F"/>
                <w:sz w:val="18"/>
              </w:rPr>
              <w:t>Marine</w:t>
            </w:r>
            <w:r w:rsidRPr="00D4309F">
              <w:rPr>
                <w:color w:val="211E1F"/>
                <w:spacing w:val="-4"/>
                <w:sz w:val="18"/>
              </w:rPr>
              <w:t xml:space="preserve"> </w:t>
            </w:r>
            <w:r w:rsidRPr="00D4309F">
              <w:rPr>
                <w:color w:val="211E1F"/>
                <w:sz w:val="18"/>
              </w:rPr>
              <w:t>water</w:t>
            </w:r>
            <w:r w:rsidRPr="00D4309F">
              <w:rPr>
                <w:color w:val="211E1F"/>
                <w:spacing w:val="-3"/>
                <w:sz w:val="18"/>
              </w:rPr>
              <w:t xml:space="preserve"> </w:t>
            </w:r>
            <w:r w:rsidRPr="00D4309F">
              <w:rPr>
                <w:color w:val="211E1F"/>
                <w:sz w:val="18"/>
              </w:rPr>
              <w:t>quality</w:t>
            </w:r>
            <w:r w:rsidRPr="00D4309F">
              <w:rPr>
                <w:color w:val="211E1F"/>
                <w:spacing w:val="-3"/>
                <w:sz w:val="18"/>
              </w:rPr>
              <w:t xml:space="preserve"> </w:t>
            </w:r>
            <w:r w:rsidRPr="00D4309F">
              <w:rPr>
                <w:color w:val="211E1F"/>
                <w:spacing w:val="-2"/>
                <w:sz w:val="18"/>
              </w:rPr>
              <w:t>impacts</w:t>
            </w:r>
          </w:p>
        </w:tc>
        <w:tc>
          <w:tcPr>
            <w:tcW w:w="571" w:type="pct"/>
          </w:tcPr>
          <w:p w14:paraId="5EAAB118" w14:textId="0DA7AD0A" w:rsidR="007715DD" w:rsidRPr="00D4309F" w:rsidRDefault="007715DD" w:rsidP="007715DD">
            <w:pPr>
              <w:pStyle w:val="TableParagraph"/>
              <w:spacing w:before="41" w:line="187" w:lineRule="exact"/>
              <w:ind w:left="485"/>
              <w:rPr>
                <w:color w:val="211E1F"/>
                <w:spacing w:val="-10"/>
                <w:sz w:val="18"/>
              </w:rPr>
            </w:pPr>
            <w:r w:rsidRPr="00D4309F">
              <w:rPr>
                <w:color w:val="211E1F"/>
                <w:spacing w:val="-10"/>
                <w:sz w:val="18"/>
              </w:rPr>
              <w:t>2</w:t>
            </w:r>
          </w:p>
        </w:tc>
      </w:tr>
      <w:tr w:rsidR="007715DD" w:rsidRPr="00D4309F" w14:paraId="5965EB6A" w14:textId="77777777">
        <w:trPr>
          <w:trHeight w:val="247"/>
        </w:trPr>
        <w:tc>
          <w:tcPr>
            <w:tcW w:w="1002" w:type="pct"/>
            <w:vMerge/>
          </w:tcPr>
          <w:p w14:paraId="4C48D9A0" w14:textId="77777777" w:rsidR="007715DD" w:rsidRPr="00D4309F" w:rsidRDefault="007715DD" w:rsidP="007715DD">
            <w:pPr>
              <w:pStyle w:val="TableParagraph"/>
              <w:rPr>
                <w:rFonts w:ascii="Times New Roman"/>
                <w:sz w:val="18"/>
              </w:rPr>
            </w:pPr>
          </w:p>
        </w:tc>
        <w:tc>
          <w:tcPr>
            <w:tcW w:w="3427" w:type="pct"/>
          </w:tcPr>
          <w:p w14:paraId="21D1A67E" w14:textId="77777777" w:rsidR="007715DD" w:rsidRPr="00D4309F" w:rsidRDefault="007715DD" w:rsidP="007715DD">
            <w:pPr>
              <w:pStyle w:val="TableParagraph"/>
              <w:spacing w:before="41" w:line="187" w:lineRule="exact"/>
              <w:ind w:left="165"/>
              <w:rPr>
                <w:color w:val="211E1F"/>
                <w:sz w:val="18"/>
              </w:rPr>
            </w:pPr>
            <w:r w:rsidRPr="00D4309F">
              <w:rPr>
                <w:color w:val="211E1F"/>
                <w:sz w:val="18"/>
              </w:rPr>
              <w:t>Marine</w:t>
            </w:r>
            <w:r w:rsidRPr="00D4309F">
              <w:rPr>
                <w:color w:val="211E1F"/>
                <w:spacing w:val="-2"/>
                <w:sz w:val="18"/>
              </w:rPr>
              <w:t xml:space="preserve"> </w:t>
            </w:r>
            <w:r w:rsidRPr="00D4309F">
              <w:rPr>
                <w:color w:val="211E1F"/>
                <w:sz w:val="18"/>
              </w:rPr>
              <w:t>habitats</w:t>
            </w:r>
            <w:r w:rsidRPr="00D4309F">
              <w:rPr>
                <w:color w:val="211E1F"/>
                <w:spacing w:val="-3"/>
                <w:sz w:val="18"/>
              </w:rPr>
              <w:t xml:space="preserve"> </w:t>
            </w:r>
            <w:r w:rsidRPr="00D4309F">
              <w:rPr>
                <w:color w:val="211E1F"/>
                <w:sz w:val="18"/>
              </w:rPr>
              <w:t>&amp;</w:t>
            </w:r>
            <w:r w:rsidRPr="00D4309F">
              <w:rPr>
                <w:color w:val="211E1F"/>
                <w:spacing w:val="-3"/>
                <w:sz w:val="18"/>
              </w:rPr>
              <w:t xml:space="preserve"> </w:t>
            </w:r>
            <w:r w:rsidRPr="00D4309F">
              <w:rPr>
                <w:color w:val="211E1F"/>
                <w:sz w:val="18"/>
              </w:rPr>
              <w:t>protected</w:t>
            </w:r>
            <w:r w:rsidRPr="00D4309F">
              <w:rPr>
                <w:color w:val="211E1F"/>
                <w:spacing w:val="-4"/>
                <w:sz w:val="18"/>
              </w:rPr>
              <w:t xml:space="preserve"> </w:t>
            </w:r>
            <w:r w:rsidRPr="00D4309F">
              <w:rPr>
                <w:color w:val="211E1F"/>
                <w:sz w:val="18"/>
              </w:rPr>
              <w:t>species</w:t>
            </w:r>
            <w:r w:rsidRPr="00D4309F">
              <w:rPr>
                <w:color w:val="211E1F"/>
                <w:spacing w:val="-2"/>
                <w:sz w:val="18"/>
              </w:rPr>
              <w:t xml:space="preserve"> impacts</w:t>
            </w:r>
          </w:p>
        </w:tc>
        <w:tc>
          <w:tcPr>
            <w:tcW w:w="571" w:type="pct"/>
          </w:tcPr>
          <w:p w14:paraId="02ED01AD" w14:textId="21E35792" w:rsidR="007715DD" w:rsidRPr="00D4309F" w:rsidRDefault="007715DD" w:rsidP="007715DD">
            <w:pPr>
              <w:pStyle w:val="TableParagraph"/>
              <w:spacing w:before="41" w:line="187" w:lineRule="exact"/>
              <w:ind w:left="485"/>
              <w:rPr>
                <w:color w:val="211E1F"/>
                <w:spacing w:val="-10"/>
                <w:sz w:val="18"/>
              </w:rPr>
            </w:pPr>
            <w:r w:rsidRPr="00D4309F">
              <w:rPr>
                <w:color w:val="211E1F"/>
                <w:spacing w:val="-10"/>
                <w:sz w:val="18"/>
              </w:rPr>
              <w:t>1</w:t>
            </w:r>
          </w:p>
        </w:tc>
      </w:tr>
      <w:tr w:rsidR="007715DD" w:rsidRPr="00D4309F" w14:paraId="4FAC6FB4" w14:textId="77777777">
        <w:trPr>
          <w:trHeight w:val="247"/>
        </w:trPr>
        <w:tc>
          <w:tcPr>
            <w:tcW w:w="1002" w:type="pct"/>
            <w:vMerge/>
          </w:tcPr>
          <w:p w14:paraId="360529BD" w14:textId="77777777" w:rsidR="007715DD" w:rsidRPr="00D4309F" w:rsidRDefault="007715DD" w:rsidP="007715DD">
            <w:pPr>
              <w:pStyle w:val="TableParagraph"/>
              <w:rPr>
                <w:rFonts w:ascii="Times New Roman"/>
                <w:sz w:val="18"/>
              </w:rPr>
            </w:pPr>
          </w:p>
        </w:tc>
        <w:tc>
          <w:tcPr>
            <w:tcW w:w="3427" w:type="pct"/>
          </w:tcPr>
          <w:p w14:paraId="7F1EF52C" w14:textId="77777777" w:rsidR="007715DD" w:rsidRPr="00D4309F" w:rsidRDefault="007715DD" w:rsidP="007715DD">
            <w:pPr>
              <w:pStyle w:val="TableParagraph"/>
              <w:spacing w:before="41" w:line="187" w:lineRule="exact"/>
              <w:ind w:left="165"/>
              <w:rPr>
                <w:color w:val="211E1F"/>
                <w:sz w:val="18"/>
              </w:rPr>
            </w:pPr>
            <w:r w:rsidRPr="00D4309F">
              <w:rPr>
                <w:color w:val="211E1F"/>
                <w:sz w:val="18"/>
              </w:rPr>
              <w:t>Terrestrial</w:t>
            </w:r>
            <w:r w:rsidRPr="00D4309F">
              <w:rPr>
                <w:color w:val="211E1F"/>
                <w:spacing w:val="-3"/>
                <w:sz w:val="18"/>
              </w:rPr>
              <w:t xml:space="preserve"> </w:t>
            </w:r>
            <w:r w:rsidRPr="00D4309F">
              <w:rPr>
                <w:color w:val="211E1F"/>
                <w:sz w:val="18"/>
              </w:rPr>
              <w:t>habitats</w:t>
            </w:r>
            <w:r w:rsidRPr="00D4309F">
              <w:rPr>
                <w:color w:val="211E1F"/>
                <w:spacing w:val="-3"/>
                <w:sz w:val="18"/>
              </w:rPr>
              <w:t xml:space="preserve"> </w:t>
            </w:r>
            <w:r w:rsidRPr="00D4309F">
              <w:rPr>
                <w:color w:val="211E1F"/>
                <w:sz w:val="18"/>
              </w:rPr>
              <w:t>&amp;</w:t>
            </w:r>
            <w:r w:rsidRPr="00D4309F">
              <w:rPr>
                <w:color w:val="211E1F"/>
                <w:spacing w:val="-3"/>
                <w:sz w:val="18"/>
              </w:rPr>
              <w:t xml:space="preserve"> </w:t>
            </w:r>
            <w:r w:rsidRPr="00D4309F">
              <w:rPr>
                <w:color w:val="211E1F"/>
                <w:sz w:val="18"/>
              </w:rPr>
              <w:t>protected</w:t>
            </w:r>
            <w:r w:rsidRPr="00D4309F">
              <w:rPr>
                <w:color w:val="211E1F"/>
                <w:spacing w:val="-4"/>
                <w:sz w:val="18"/>
              </w:rPr>
              <w:t xml:space="preserve"> </w:t>
            </w:r>
            <w:r w:rsidRPr="00D4309F">
              <w:rPr>
                <w:color w:val="211E1F"/>
                <w:sz w:val="18"/>
              </w:rPr>
              <w:t>species</w:t>
            </w:r>
            <w:r w:rsidRPr="00D4309F">
              <w:rPr>
                <w:color w:val="211E1F"/>
                <w:spacing w:val="-2"/>
                <w:sz w:val="18"/>
              </w:rPr>
              <w:t xml:space="preserve"> impacts</w:t>
            </w:r>
          </w:p>
        </w:tc>
        <w:tc>
          <w:tcPr>
            <w:tcW w:w="571" w:type="pct"/>
          </w:tcPr>
          <w:p w14:paraId="61B09E0E" w14:textId="750F24DD" w:rsidR="007715DD" w:rsidRPr="00D4309F" w:rsidRDefault="007715DD" w:rsidP="007715DD">
            <w:pPr>
              <w:pStyle w:val="TableParagraph"/>
              <w:spacing w:before="41" w:line="187" w:lineRule="exact"/>
              <w:ind w:left="485"/>
              <w:rPr>
                <w:color w:val="211E1F"/>
                <w:spacing w:val="-10"/>
                <w:sz w:val="18"/>
              </w:rPr>
            </w:pPr>
            <w:r w:rsidRPr="00D4309F">
              <w:rPr>
                <w:color w:val="211E1F"/>
                <w:spacing w:val="-10"/>
                <w:sz w:val="18"/>
              </w:rPr>
              <w:t>2</w:t>
            </w:r>
          </w:p>
        </w:tc>
      </w:tr>
      <w:tr w:rsidR="00007528" w:rsidRPr="00D4309F" w14:paraId="2EF0035D" w14:textId="77777777">
        <w:trPr>
          <w:trHeight w:val="247"/>
        </w:trPr>
        <w:tc>
          <w:tcPr>
            <w:tcW w:w="1002" w:type="pct"/>
            <w:vMerge/>
          </w:tcPr>
          <w:p w14:paraId="25462675" w14:textId="77777777" w:rsidR="00007528" w:rsidRPr="00D4309F" w:rsidRDefault="00007528">
            <w:pPr>
              <w:pStyle w:val="TableParagraph"/>
              <w:rPr>
                <w:rFonts w:ascii="Times New Roman"/>
                <w:sz w:val="18"/>
              </w:rPr>
            </w:pPr>
          </w:p>
        </w:tc>
        <w:tc>
          <w:tcPr>
            <w:tcW w:w="3427" w:type="pct"/>
          </w:tcPr>
          <w:p w14:paraId="0F3E16B9" w14:textId="77777777" w:rsidR="00007528" w:rsidRPr="00D4309F" w:rsidRDefault="00007528">
            <w:pPr>
              <w:pStyle w:val="TableParagraph"/>
              <w:spacing w:before="41" w:line="187" w:lineRule="exact"/>
              <w:ind w:left="165"/>
              <w:rPr>
                <w:color w:val="211E1F"/>
                <w:sz w:val="18"/>
              </w:rPr>
            </w:pPr>
          </w:p>
        </w:tc>
        <w:tc>
          <w:tcPr>
            <w:tcW w:w="571" w:type="pct"/>
          </w:tcPr>
          <w:p w14:paraId="5BFA5DDE" w14:textId="77777777" w:rsidR="00007528" w:rsidRPr="00D4309F" w:rsidRDefault="00007528">
            <w:pPr>
              <w:pStyle w:val="TableParagraph"/>
              <w:spacing w:before="41" w:line="187" w:lineRule="exact"/>
              <w:ind w:left="485"/>
              <w:rPr>
                <w:color w:val="211E1F"/>
                <w:spacing w:val="-10"/>
                <w:sz w:val="18"/>
              </w:rPr>
            </w:pPr>
          </w:p>
        </w:tc>
      </w:tr>
      <w:tr w:rsidR="007715DD" w:rsidRPr="00D4309F" w14:paraId="002C8C05" w14:textId="77777777">
        <w:trPr>
          <w:trHeight w:val="247"/>
        </w:trPr>
        <w:tc>
          <w:tcPr>
            <w:tcW w:w="1002" w:type="pct"/>
            <w:vMerge/>
          </w:tcPr>
          <w:p w14:paraId="48BDC7F9" w14:textId="77777777" w:rsidR="007715DD" w:rsidRPr="00D4309F" w:rsidRDefault="007715DD" w:rsidP="007715DD">
            <w:pPr>
              <w:pStyle w:val="TableParagraph"/>
              <w:rPr>
                <w:rFonts w:ascii="Times New Roman"/>
                <w:sz w:val="18"/>
              </w:rPr>
            </w:pPr>
          </w:p>
        </w:tc>
        <w:tc>
          <w:tcPr>
            <w:tcW w:w="3427" w:type="pct"/>
          </w:tcPr>
          <w:p w14:paraId="33AD7659" w14:textId="77777777" w:rsidR="007715DD" w:rsidRPr="00D4309F" w:rsidRDefault="007715DD" w:rsidP="007715DD">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20A1F479" w14:textId="272E33D5" w:rsidR="007715DD" w:rsidRPr="00D4309F" w:rsidRDefault="007715DD" w:rsidP="007715DD">
            <w:pPr>
              <w:pStyle w:val="TableParagraph"/>
              <w:spacing w:before="41" w:line="187" w:lineRule="exact"/>
              <w:ind w:left="485"/>
              <w:rPr>
                <w:color w:val="211E1F"/>
                <w:spacing w:val="-10"/>
                <w:sz w:val="18"/>
              </w:rPr>
            </w:pPr>
            <w:r w:rsidRPr="00D4309F">
              <w:rPr>
                <w:b/>
                <w:color w:val="211E1F"/>
                <w:spacing w:val="-10"/>
                <w:sz w:val="18"/>
              </w:rPr>
              <w:t>5</w:t>
            </w:r>
          </w:p>
        </w:tc>
      </w:tr>
      <w:tr w:rsidR="007715DD" w:rsidRPr="00D4309F" w14:paraId="64D7A5FF" w14:textId="77777777">
        <w:trPr>
          <w:trHeight w:val="247"/>
        </w:trPr>
        <w:tc>
          <w:tcPr>
            <w:tcW w:w="1002" w:type="pct"/>
            <w:vMerge w:val="restart"/>
          </w:tcPr>
          <w:p w14:paraId="480448EC" w14:textId="77777777" w:rsidR="007715DD" w:rsidRPr="00D4309F" w:rsidRDefault="007715DD" w:rsidP="007715DD">
            <w:pPr>
              <w:pStyle w:val="TableParagraph"/>
              <w:rPr>
                <w:rFonts w:ascii="Times New Roman"/>
                <w:sz w:val="18"/>
              </w:rPr>
            </w:pPr>
            <w:r w:rsidRPr="00D4309F">
              <w:rPr>
                <w:b/>
                <w:color w:val="211E1F"/>
                <w:spacing w:val="-2"/>
                <w:sz w:val="18"/>
              </w:rPr>
              <w:lastRenderedPageBreak/>
              <w:t>Financial</w:t>
            </w:r>
          </w:p>
        </w:tc>
        <w:tc>
          <w:tcPr>
            <w:tcW w:w="3427" w:type="pct"/>
          </w:tcPr>
          <w:p w14:paraId="676E6CE9" w14:textId="77777777" w:rsidR="007715DD" w:rsidRPr="00D4309F" w:rsidRDefault="007715DD" w:rsidP="007715DD">
            <w:pPr>
              <w:pStyle w:val="TableParagraph"/>
              <w:spacing w:before="41" w:line="187" w:lineRule="exact"/>
              <w:ind w:left="165"/>
              <w:rPr>
                <w:color w:val="211E1F"/>
                <w:sz w:val="18"/>
              </w:rPr>
            </w:pPr>
            <w:r w:rsidRPr="00D4309F">
              <w:rPr>
                <w:color w:val="211E1F"/>
                <w:sz w:val="18"/>
              </w:rPr>
              <w:t>Capital</w:t>
            </w:r>
            <w:r w:rsidRPr="00D4309F">
              <w:rPr>
                <w:color w:val="211E1F"/>
                <w:spacing w:val="-6"/>
                <w:sz w:val="18"/>
              </w:rPr>
              <w:t xml:space="preserve"> </w:t>
            </w:r>
            <w:r w:rsidRPr="00D4309F">
              <w:rPr>
                <w:color w:val="211E1F"/>
                <w:spacing w:val="-2"/>
                <w:sz w:val="18"/>
              </w:rPr>
              <w:t>(CAPEX),</w:t>
            </w:r>
          </w:p>
        </w:tc>
        <w:tc>
          <w:tcPr>
            <w:tcW w:w="571" w:type="pct"/>
          </w:tcPr>
          <w:p w14:paraId="12551372" w14:textId="0B9DB0DB" w:rsidR="007715DD" w:rsidRPr="00D4309F" w:rsidRDefault="007715DD" w:rsidP="007715DD">
            <w:pPr>
              <w:pStyle w:val="TableParagraph"/>
              <w:spacing w:before="41" w:line="187" w:lineRule="exact"/>
              <w:ind w:left="485"/>
              <w:rPr>
                <w:color w:val="211E1F"/>
                <w:spacing w:val="-10"/>
                <w:sz w:val="18"/>
              </w:rPr>
            </w:pPr>
            <w:r w:rsidRPr="00D4309F">
              <w:rPr>
                <w:color w:val="211E1F"/>
                <w:spacing w:val="-10"/>
                <w:sz w:val="18"/>
              </w:rPr>
              <w:t>1</w:t>
            </w:r>
          </w:p>
        </w:tc>
      </w:tr>
      <w:tr w:rsidR="007715DD" w:rsidRPr="00D4309F" w14:paraId="1FC09722" w14:textId="77777777">
        <w:trPr>
          <w:trHeight w:val="247"/>
        </w:trPr>
        <w:tc>
          <w:tcPr>
            <w:tcW w:w="1002" w:type="pct"/>
            <w:vMerge/>
          </w:tcPr>
          <w:p w14:paraId="40082092" w14:textId="77777777" w:rsidR="007715DD" w:rsidRPr="00D4309F" w:rsidRDefault="007715DD" w:rsidP="007715DD">
            <w:pPr>
              <w:pStyle w:val="TableParagraph"/>
              <w:rPr>
                <w:rFonts w:ascii="Times New Roman"/>
                <w:sz w:val="18"/>
              </w:rPr>
            </w:pPr>
          </w:p>
        </w:tc>
        <w:tc>
          <w:tcPr>
            <w:tcW w:w="3427" w:type="pct"/>
          </w:tcPr>
          <w:p w14:paraId="12D66153" w14:textId="77777777" w:rsidR="007715DD" w:rsidRPr="00D4309F" w:rsidRDefault="007715DD" w:rsidP="007715DD">
            <w:pPr>
              <w:pStyle w:val="TableParagraph"/>
              <w:spacing w:before="41" w:line="187" w:lineRule="exact"/>
              <w:ind w:left="165"/>
              <w:rPr>
                <w:color w:val="211E1F"/>
                <w:sz w:val="18"/>
              </w:rPr>
            </w:pPr>
            <w:r w:rsidRPr="00D4309F">
              <w:rPr>
                <w:color w:val="211E1F"/>
                <w:sz w:val="18"/>
              </w:rPr>
              <w:t>Operations</w:t>
            </w:r>
            <w:r w:rsidRPr="00D4309F">
              <w:rPr>
                <w:color w:val="211E1F"/>
                <w:spacing w:val="-6"/>
                <w:sz w:val="18"/>
              </w:rPr>
              <w:t xml:space="preserve"> </w:t>
            </w:r>
            <w:r w:rsidRPr="00D4309F">
              <w:rPr>
                <w:color w:val="211E1F"/>
                <w:sz w:val="18"/>
              </w:rPr>
              <w:t>and</w:t>
            </w:r>
            <w:r w:rsidRPr="00D4309F">
              <w:rPr>
                <w:color w:val="211E1F"/>
                <w:spacing w:val="-5"/>
                <w:sz w:val="18"/>
              </w:rPr>
              <w:t xml:space="preserve"> </w:t>
            </w:r>
            <w:r w:rsidRPr="00D4309F">
              <w:rPr>
                <w:color w:val="211E1F"/>
                <w:sz w:val="18"/>
              </w:rPr>
              <w:t>maintenance</w:t>
            </w:r>
            <w:r w:rsidRPr="00D4309F">
              <w:rPr>
                <w:color w:val="211E1F"/>
                <w:spacing w:val="-3"/>
                <w:sz w:val="18"/>
              </w:rPr>
              <w:t xml:space="preserve"> </w:t>
            </w:r>
            <w:r w:rsidRPr="00D4309F">
              <w:rPr>
                <w:color w:val="211E1F"/>
                <w:sz w:val="18"/>
              </w:rPr>
              <w:t>(OPEX),</w:t>
            </w:r>
            <w:r w:rsidRPr="00D4309F">
              <w:rPr>
                <w:color w:val="211E1F"/>
                <w:spacing w:val="-4"/>
                <w:sz w:val="18"/>
              </w:rPr>
              <w:t xml:space="preserve"> </w:t>
            </w:r>
            <w:r w:rsidRPr="00D4309F">
              <w:rPr>
                <w:color w:val="211E1F"/>
                <w:sz w:val="18"/>
              </w:rPr>
              <w:t>contingency,</w:t>
            </w:r>
            <w:r w:rsidRPr="00D4309F">
              <w:rPr>
                <w:color w:val="211E1F"/>
                <w:spacing w:val="-4"/>
                <w:sz w:val="18"/>
              </w:rPr>
              <w:t xml:space="preserve"> </w:t>
            </w:r>
            <w:r w:rsidRPr="00D4309F">
              <w:rPr>
                <w:color w:val="211E1F"/>
                <w:spacing w:val="-2"/>
                <w:sz w:val="18"/>
              </w:rPr>
              <w:t>monitoring.</w:t>
            </w:r>
          </w:p>
        </w:tc>
        <w:tc>
          <w:tcPr>
            <w:tcW w:w="571" w:type="pct"/>
          </w:tcPr>
          <w:p w14:paraId="4560704A" w14:textId="16344A86" w:rsidR="007715DD" w:rsidRPr="00D4309F" w:rsidRDefault="007715DD" w:rsidP="007715DD">
            <w:pPr>
              <w:pStyle w:val="TableParagraph"/>
              <w:spacing w:before="41" w:line="187" w:lineRule="exact"/>
              <w:ind w:left="485"/>
              <w:rPr>
                <w:color w:val="211E1F"/>
                <w:spacing w:val="-10"/>
                <w:sz w:val="18"/>
              </w:rPr>
            </w:pPr>
            <w:r w:rsidRPr="00D4309F">
              <w:rPr>
                <w:color w:val="211E1F"/>
                <w:spacing w:val="-10"/>
                <w:sz w:val="18"/>
              </w:rPr>
              <w:t>3</w:t>
            </w:r>
          </w:p>
        </w:tc>
      </w:tr>
      <w:tr w:rsidR="007715DD" w:rsidRPr="00D4309F" w14:paraId="08764581" w14:textId="77777777">
        <w:trPr>
          <w:trHeight w:val="247"/>
        </w:trPr>
        <w:tc>
          <w:tcPr>
            <w:tcW w:w="1002" w:type="pct"/>
            <w:vMerge/>
          </w:tcPr>
          <w:p w14:paraId="3A72BB6F" w14:textId="77777777" w:rsidR="007715DD" w:rsidRPr="00D4309F" w:rsidRDefault="007715DD" w:rsidP="007715DD">
            <w:pPr>
              <w:pStyle w:val="TableParagraph"/>
              <w:rPr>
                <w:rFonts w:ascii="Times New Roman"/>
                <w:sz w:val="18"/>
              </w:rPr>
            </w:pPr>
          </w:p>
        </w:tc>
        <w:tc>
          <w:tcPr>
            <w:tcW w:w="3427" w:type="pct"/>
          </w:tcPr>
          <w:p w14:paraId="5E8D611F" w14:textId="77777777" w:rsidR="007715DD" w:rsidRPr="00D4309F" w:rsidRDefault="007715DD" w:rsidP="007715DD">
            <w:pPr>
              <w:pStyle w:val="TableParagraph"/>
              <w:spacing w:before="41" w:line="187" w:lineRule="exact"/>
              <w:ind w:left="165"/>
              <w:rPr>
                <w:color w:val="211E1F"/>
                <w:sz w:val="18"/>
              </w:rPr>
            </w:pPr>
          </w:p>
        </w:tc>
        <w:tc>
          <w:tcPr>
            <w:tcW w:w="571" w:type="pct"/>
          </w:tcPr>
          <w:p w14:paraId="70D3CD42" w14:textId="77777777" w:rsidR="007715DD" w:rsidRPr="00D4309F" w:rsidRDefault="007715DD" w:rsidP="007715DD">
            <w:pPr>
              <w:pStyle w:val="TableParagraph"/>
              <w:spacing w:before="41" w:line="187" w:lineRule="exact"/>
              <w:ind w:left="485"/>
              <w:rPr>
                <w:color w:val="211E1F"/>
                <w:spacing w:val="-10"/>
                <w:sz w:val="18"/>
              </w:rPr>
            </w:pPr>
          </w:p>
        </w:tc>
      </w:tr>
      <w:tr w:rsidR="007715DD" w:rsidRPr="00D4309F" w14:paraId="09F65ADB" w14:textId="77777777">
        <w:trPr>
          <w:trHeight w:val="247"/>
        </w:trPr>
        <w:tc>
          <w:tcPr>
            <w:tcW w:w="1002" w:type="pct"/>
            <w:vMerge/>
          </w:tcPr>
          <w:p w14:paraId="3C552853" w14:textId="77777777" w:rsidR="007715DD" w:rsidRPr="00D4309F" w:rsidRDefault="007715DD" w:rsidP="007715DD">
            <w:pPr>
              <w:pStyle w:val="TableParagraph"/>
              <w:rPr>
                <w:b/>
                <w:color w:val="211E1F"/>
                <w:spacing w:val="-2"/>
                <w:sz w:val="18"/>
              </w:rPr>
            </w:pPr>
          </w:p>
        </w:tc>
        <w:tc>
          <w:tcPr>
            <w:tcW w:w="3427" w:type="pct"/>
          </w:tcPr>
          <w:p w14:paraId="29F8D66A" w14:textId="77777777" w:rsidR="007715DD" w:rsidRPr="00D4309F" w:rsidRDefault="007715DD" w:rsidP="007715DD">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4A466751" w14:textId="123EFF02" w:rsidR="007715DD" w:rsidRPr="00D4309F" w:rsidRDefault="007715DD" w:rsidP="007715DD">
            <w:pPr>
              <w:pStyle w:val="TableParagraph"/>
              <w:spacing w:before="41" w:line="187" w:lineRule="exact"/>
              <w:ind w:left="485"/>
              <w:rPr>
                <w:color w:val="211E1F"/>
                <w:spacing w:val="-10"/>
                <w:sz w:val="18"/>
              </w:rPr>
            </w:pPr>
            <w:r w:rsidRPr="00D4309F">
              <w:rPr>
                <w:b/>
                <w:color w:val="211E1F"/>
                <w:spacing w:val="-10"/>
                <w:sz w:val="18"/>
              </w:rPr>
              <w:t>4</w:t>
            </w:r>
          </w:p>
        </w:tc>
      </w:tr>
      <w:tr w:rsidR="007715DD" w:rsidRPr="00D4309F" w14:paraId="4E7C332A" w14:textId="77777777" w:rsidTr="00213A04">
        <w:trPr>
          <w:trHeight w:val="247"/>
        </w:trPr>
        <w:tc>
          <w:tcPr>
            <w:tcW w:w="1002" w:type="pct"/>
            <w:shd w:val="clear" w:color="auto" w:fill="D9D9D9" w:themeFill="background1" w:themeFillShade="D9"/>
          </w:tcPr>
          <w:p w14:paraId="4B084186" w14:textId="77777777" w:rsidR="007715DD" w:rsidRPr="00D4309F" w:rsidRDefault="007715DD" w:rsidP="007715DD">
            <w:pPr>
              <w:pStyle w:val="TableParagraph"/>
              <w:rPr>
                <w:b/>
                <w:color w:val="211E1F"/>
                <w:spacing w:val="-2"/>
                <w:sz w:val="18"/>
              </w:rPr>
            </w:pPr>
            <w:r w:rsidRPr="00D4309F">
              <w:rPr>
                <w:b/>
                <w:color w:val="70004A"/>
                <w:sz w:val="18"/>
              </w:rPr>
              <w:t>Total</w:t>
            </w:r>
            <w:r w:rsidRPr="00D4309F">
              <w:rPr>
                <w:b/>
                <w:color w:val="70004A"/>
                <w:spacing w:val="-3"/>
                <w:sz w:val="18"/>
              </w:rPr>
              <w:t xml:space="preserve"> </w:t>
            </w:r>
            <w:r w:rsidRPr="00D4309F">
              <w:rPr>
                <w:b/>
                <w:color w:val="70004A"/>
                <w:spacing w:val="-2"/>
                <w:sz w:val="18"/>
              </w:rPr>
              <w:t>Score</w:t>
            </w:r>
          </w:p>
        </w:tc>
        <w:tc>
          <w:tcPr>
            <w:tcW w:w="3427" w:type="pct"/>
            <w:shd w:val="clear" w:color="auto" w:fill="D9D9D9" w:themeFill="background1" w:themeFillShade="D9"/>
          </w:tcPr>
          <w:p w14:paraId="16C693D7" w14:textId="77777777" w:rsidR="007715DD" w:rsidRPr="00D4309F" w:rsidRDefault="007715DD" w:rsidP="007715DD">
            <w:pPr>
              <w:pStyle w:val="TableParagraph"/>
              <w:spacing w:before="41" w:line="187" w:lineRule="exact"/>
              <w:ind w:left="165"/>
              <w:rPr>
                <w:color w:val="211E1F"/>
                <w:sz w:val="18"/>
              </w:rPr>
            </w:pPr>
          </w:p>
        </w:tc>
        <w:tc>
          <w:tcPr>
            <w:tcW w:w="571" w:type="pct"/>
            <w:shd w:val="clear" w:color="auto" w:fill="D9D9D9" w:themeFill="background1" w:themeFillShade="D9"/>
          </w:tcPr>
          <w:p w14:paraId="5B2250A2" w14:textId="6FC05874" w:rsidR="007715DD" w:rsidRPr="007715DD" w:rsidRDefault="007715DD" w:rsidP="007715DD">
            <w:pPr>
              <w:pStyle w:val="TableParagraph"/>
              <w:spacing w:before="41" w:line="187" w:lineRule="exact"/>
              <w:ind w:left="485"/>
              <w:rPr>
                <w:b/>
                <w:bCs/>
                <w:color w:val="211E1F"/>
                <w:spacing w:val="-10"/>
                <w:sz w:val="18"/>
              </w:rPr>
            </w:pPr>
            <w:r w:rsidRPr="007715DD">
              <w:rPr>
                <w:b/>
                <w:bCs/>
                <w:color w:val="211E1F"/>
                <w:spacing w:val="-5"/>
                <w:sz w:val="18"/>
              </w:rPr>
              <w:t>6</w:t>
            </w:r>
            <w:r w:rsidR="007150FD">
              <w:rPr>
                <w:b/>
                <w:bCs/>
                <w:color w:val="211E1F"/>
                <w:spacing w:val="-5"/>
                <w:sz w:val="18"/>
              </w:rPr>
              <w:t>2</w:t>
            </w:r>
          </w:p>
        </w:tc>
      </w:tr>
    </w:tbl>
    <w:p w14:paraId="0FCE39AD" w14:textId="77777777" w:rsidR="00007528" w:rsidRDefault="00007528" w:rsidP="00007528">
      <w:pPr>
        <w:pStyle w:val="BodyText"/>
      </w:pPr>
    </w:p>
    <w:p w14:paraId="549D483B" w14:textId="77777777" w:rsidR="00725977" w:rsidRPr="00D4309F" w:rsidRDefault="00725977" w:rsidP="00725977">
      <w:pPr>
        <w:pStyle w:val="TableParagraph"/>
        <w:spacing w:line="187" w:lineRule="exact"/>
        <w:rPr>
          <w:sz w:val="18"/>
        </w:rPr>
        <w:sectPr w:rsidR="00725977" w:rsidRPr="00D4309F" w:rsidSect="00213A04">
          <w:pgSz w:w="16840" w:h="11910" w:orient="landscape"/>
          <w:pgMar w:top="1418" w:right="1134" w:bottom="1418" w:left="1134" w:header="916" w:footer="976" w:gutter="0"/>
          <w:cols w:space="720"/>
        </w:sectPr>
      </w:pPr>
      <w:bookmarkStart w:id="385" w:name="_bookmark147"/>
      <w:bookmarkEnd w:id="385"/>
    </w:p>
    <w:p w14:paraId="30E8DBAC" w14:textId="77777777" w:rsidR="00725977" w:rsidRPr="00D4309F" w:rsidRDefault="00725977" w:rsidP="00084FC5">
      <w:pPr>
        <w:pStyle w:val="Heading1"/>
      </w:pPr>
      <w:bookmarkStart w:id="386" w:name="_bookmark148"/>
      <w:bookmarkStart w:id="387" w:name="_Toc216699440"/>
      <w:bookmarkEnd w:id="386"/>
      <w:r w:rsidRPr="00D4309F">
        <w:lastRenderedPageBreak/>
        <w:t>OPTION</w:t>
      </w:r>
      <w:r w:rsidRPr="00D4309F">
        <w:rPr>
          <w:spacing w:val="-7"/>
        </w:rPr>
        <w:t xml:space="preserve"> </w:t>
      </w:r>
      <w:r w:rsidRPr="00D4309F">
        <w:t>3</w:t>
      </w:r>
      <w:r w:rsidRPr="00D4309F">
        <w:rPr>
          <w:spacing w:val="-3"/>
        </w:rPr>
        <w:t xml:space="preserve"> </w:t>
      </w:r>
      <w:r w:rsidRPr="00D4309F">
        <w:t>–</w:t>
      </w:r>
      <w:r w:rsidRPr="00D4309F">
        <w:rPr>
          <w:spacing w:val="-2"/>
        </w:rPr>
        <w:t xml:space="preserve"> </w:t>
      </w:r>
      <w:r w:rsidRPr="00D4309F">
        <w:t>EASTERN</w:t>
      </w:r>
      <w:r w:rsidRPr="00D4309F">
        <w:rPr>
          <w:spacing w:val="-5"/>
        </w:rPr>
        <w:t xml:space="preserve"> </w:t>
      </w:r>
      <w:r w:rsidRPr="00D4309F">
        <w:t>BREAKWATER</w:t>
      </w:r>
      <w:r w:rsidRPr="00D4309F">
        <w:rPr>
          <w:spacing w:val="-4"/>
        </w:rPr>
        <w:t xml:space="preserve"> </w:t>
      </w:r>
      <w:r w:rsidRPr="00D4309F">
        <w:rPr>
          <w:spacing w:val="-2"/>
        </w:rPr>
        <w:t>EXTENSION</w:t>
      </w:r>
      <w:bookmarkEnd w:id="387"/>
    </w:p>
    <w:p w14:paraId="70401FF6" w14:textId="77777777" w:rsidR="00725977" w:rsidRPr="00D4309F" w:rsidRDefault="00725977" w:rsidP="008228CB">
      <w:pPr>
        <w:pStyle w:val="Heading2"/>
      </w:pPr>
      <w:bookmarkStart w:id="388" w:name="_bookmark149"/>
      <w:bookmarkStart w:id="389" w:name="_Toc216699441"/>
      <w:bookmarkEnd w:id="388"/>
      <w:r w:rsidRPr="00D4309F">
        <w:t>Option</w:t>
      </w:r>
      <w:r w:rsidRPr="00D4309F">
        <w:rPr>
          <w:spacing w:val="-13"/>
        </w:rPr>
        <w:t xml:space="preserve"> </w:t>
      </w:r>
      <w:r w:rsidRPr="00D4309F">
        <w:t>description</w:t>
      </w:r>
      <w:bookmarkEnd w:id="389"/>
    </w:p>
    <w:p w14:paraId="67170F55" w14:textId="77777777" w:rsidR="00725977" w:rsidRPr="00D4309F" w:rsidRDefault="00725977" w:rsidP="00725977">
      <w:pPr>
        <w:pStyle w:val="BodyText"/>
      </w:pPr>
      <w:r w:rsidRPr="00D4309F">
        <w:t>This option involves extending the existing eastern breakwater by approximately 60 m to intercept and control sediment transport at the Mooloolah River entrance. The extension functions as a groyne-like structure</w:t>
      </w:r>
      <w:r w:rsidRPr="00D4309F">
        <w:rPr>
          <w:spacing w:val="-3"/>
        </w:rPr>
        <w:t xml:space="preserve"> </w:t>
      </w:r>
      <w:r w:rsidRPr="00D4309F">
        <w:t>designed</w:t>
      </w:r>
      <w:r w:rsidRPr="00D4309F">
        <w:rPr>
          <w:spacing w:val="-3"/>
        </w:rPr>
        <w:t xml:space="preserve"> </w:t>
      </w:r>
      <w:r w:rsidRPr="00D4309F">
        <w:t>to</w:t>
      </w:r>
      <w:r w:rsidRPr="00D4309F">
        <w:rPr>
          <w:spacing w:val="-3"/>
        </w:rPr>
        <w:t xml:space="preserve"> </w:t>
      </w:r>
      <w:r w:rsidRPr="00D4309F">
        <w:t>capture</w:t>
      </w:r>
      <w:r w:rsidRPr="00D4309F">
        <w:rPr>
          <w:spacing w:val="-3"/>
        </w:rPr>
        <w:t xml:space="preserve"> </w:t>
      </w:r>
      <w:r w:rsidRPr="00D4309F">
        <w:t>northward-moving</w:t>
      </w:r>
      <w:r w:rsidRPr="00D4309F">
        <w:rPr>
          <w:spacing w:val="-3"/>
        </w:rPr>
        <w:t xml:space="preserve"> </w:t>
      </w:r>
      <w:r w:rsidRPr="00D4309F">
        <w:t>sand</w:t>
      </w:r>
      <w:r w:rsidRPr="00D4309F">
        <w:rPr>
          <w:spacing w:val="-4"/>
        </w:rPr>
        <w:t xml:space="preserve"> </w:t>
      </w:r>
      <w:r w:rsidRPr="00D4309F">
        <w:t>along</w:t>
      </w:r>
      <w:r w:rsidRPr="00D4309F">
        <w:rPr>
          <w:spacing w:val="-3"/>
        </w:rPr>
        <w:t xml:space="preserve"> </w:t>
      </w:r>
      <w:r w:rsidRPr="00D4309F">
        <w:t>the</w:t>
      </w:r>
      <w:r w:rsidRPr="00D4309F">
        <w:rPr>
          <w:spacing w:val="-4"/>
        </w:rPr>
        <w:t xml:space="preserve"> </w:t>
      </w:r>
      <w:r w:rsidRPr="00D4309F">
        <w:t>shoreline,</w:t>
      </w:r>
      <w:r w:rsidRPr="00D4309F">
        <w:rPr>
          <w:spacing w:val="-3"/>
        </w:rPr>
        <w:t xml:space="preserve"> </w:t>
      </w:r>
      <w:r w:rsidRPr="00D4309F">
        <w:t>thereby</w:t>
      </w:r>
      <w:r w:rsidRPr="00D4309F">
        <w:rPr>
          <w:spacing w:val="-2"/>
        </w:rPr>
        <w:t xml:space="preserve"> </w:t>
      </w:r>
      <w:r w:rsidRPr="00D4309F">
        <w:t>forming</w:t>
      </w:r>
      <w:r w:rsidRPr="00D4309F">
        <w:rPr>
          <w:spacing w:val="-3"/>
        </w:rPr>
        <w:t xml:space="preserve"> </w:t>
      </w:r>
      <w:r w:rsidRPr="00D4309F">
        <w:t>a</w:t>
      </w:r>
      <w:r w:rsidRPr="00D4309F">
        <w:rPr>
          <w:spacing w:val="-3"/>
        </w:rPr>
        <w:t xml:space="preserve"> </w:t>
      </w:r>
      <w:r w:rsidRPr="00D4309F">
        <w:t>controlled</w:t>
      </w:r>
      <w:r w:rsidRPr="00D4309F">
        <w:rPr>
          <w:spacing w:val="-3"/>
        </w:rPr>
        <w:t xml:space="preserve"> </w:t>
      </w:r>
      <w:r w:rsidRPr="00D4309F">
        <w:t>sand accumulation zone on the updrift (Point Cartwright) side.</w:t>
      </w:r>
    </w:p>
    <w:p w14:paraId="7AB43087" w14:textId="77777777" w:rsidR="00725977" w:rsidRPr="00D4309F" w:rsidRDefault="00725977" w:rsidP="00725977">
      <w:pPr>
        <w:pStyle w:val="BodyText"/>
      </w:pPr>
      <w:r w:rsidRPr="00D4309F">
        <w:t>By creating a predictable sediment trap (Area A), the structure reduces the volume of sand that naturally bypasses</w:t>
      </w:r>
      <w:r w:rsidRPr="00D4309F">
        <w:rPr>
          <w:spacing w:val="-2"/>
        </w:rPr>
        <w:t xml:space="preserve"> </w:t>
      </w:r>
      <w:r w:rsidRPr="00D4309F">
        <w:t>into</w:t>
      </w:r>
      <w:r w:rsidRPr="00D4309F">
        <w:rPr>
          <w:spacing w:val="-4"/>
        </w:rPr>
        <w:t xml:space="preserve"> </w:t>
      </w:r>
      <w:r w:rsidRPr="00D4309F">
        <w:t>the</w:t>
      </w:r>
      <w:r w:rsidRPr="00D4309F">
        <w:rPr>
          <w:spacing w:val="-3"/>
        </w:rPr>
        <w:t xml:space="preserve"> </w:t>
      </w:r>
      <w:r w:rsidRPr="00D4309F">
        <w:t>entrance</w:t>
      </w:r>
      <w:r w:rsidRPr="00D4309F">
        <w:rPr>
          <w:spacing w:val="-4"/>
        </w:rPr>
        <w:t xml:space="preserve"> </w:t>
      </w:r>
      <w:r w:rsidRPr="00D4309F">
        <w:t>channel,</w:t>
      </w:r>
      <w:r w:rsidRPr="00D4309F">
        <w:rPr>
          <w:spacing w:val="-3"/>
        </w:rPr>
        <w:t xml:space="preserve"> </w:t>
      </w:r>
      <w:r w:rsidRPr="00D4309F">
        <w:t>thereby</w:t>
      </w:r>
      <w:r w:rsidRPr="00D4309F">
        <w:rPr>
          <w:spacing w:val="-2"/>
        </w:rPr>
        <w:t xml:space="preserve"> </w:t>
      </w:r>
      <w:r w:rsidRPr="00D4309F">
        <w:t>mitigating</w:t>
      </w:r>
      <w:r w:rsidRPr="00D4309F">
        <w:rPr>
          <w:spacing w:val="-3"/>
        </w:rPr>
        <w:t xml:space="preserve"> </w:t>
      </w:r>
      <w:r w:rsidRPr="00D4309F">
        <w:t>shoaling</w:t>
      </w:r>
      <w:r w:rsidRPr="00D4309F">
        <w:rPr>
          <w:spacing w:val="-3"/>
        </w:rPr>
        <w:t xml:space="preserve"> </w:t>
      </w:r>
      <w:r w:rsidRPr="00D4309F">
        <w:t>and</w:t>
      </w:r>
      <w:r w:rsidRPr="00D4309F">
        <w:rPr>
          <w:spacing w:val="-3"/>
        </w:rPr>
        <w:t xml:space="preserve"> </w:t>
      </w:r>
      <w:r w:rsidRPr="00D4309F">
        <w:t>improving</w:t>
      </w:r>
      <w:r w:rsidRPr="00D4309F">
        <w:rPr>
          <w:spacing w:val="-3"/>
        </w:rPr>
        <w:t xml:space="preserve"> </w:t>
      </w:r>
      <w:r w:rsidRPr="00D4309F">
        <w:t>navigability.</w:t>
      </w:r>
      <w:r w:rsidRPr="00D4309F">
        <w:rPr>
          <w:spacing w:val="-3"/>
        </w:rPr>
        <w:t xml:space="preserve"> </w:t>
      </w:r>
      <w:r w:rsidRPr="00D4309F">
        <w:t>Accumulated sand</w:t>
      </w:r>
      <w:r w:rsidRPr="00D4309F">
        <w:rPr>
          <w:spacing w:val="-2"/>
        </w:rPr>
        <w:t xml:space="preserve"> </w:t>
      </w:r>
      <w:r w:rsidRPr="00D4309F">
        <w:t>can</w:t>
      </w:r>
      <w:r w:rsidRPr="00D4309F">
        <w:rPr>
          <w:spacing w:val="-2"/>
        </w:rPr>
        <w:t xml:space="preserve"> </w:t>
      </w:r>
      <w:r w:rsidRPr="00D4309F">
        <w:t>then</w:t>
      </w:r>
      <w:r w:rsidRPr="00D4309F">
        <w:rPr>
          <w:spacing w:val="-2"/>
        </w:rPr>
        <w:t xml:space="preserve"> </w:t>
      </w:r>
      <w:r w:rsidRPr="00D4309F">
        <w:t>be</w:t>
      </w:r>
      <w:r w:rsidRPr="00D4309F">
        <w:rPr>
          <w:spacing w:val="-2"/>
        </w:rPr>
        <w:t xml:space="preserve"> </w:t>
      </w:r>
      <w:r w:rsidRPr="00D4309F">
        <w:t>mechanically</w:t>
      </w:r>
      <w:r w:rsidRPr="00D4309F">
        <w:rPr>
          <w:spacing w:val="-1"/>
        </w:rPr>
        <w:t xml:space="preserve"> </w:t>
      </w:r>
      <w:r w:rsidRPr="00D4309F">
        <w:t>bypassed</w:t>
      </w:r>
      <w:r w:rsidRPr="00D4309F">
        <w:rPr>
          <w:spacing w:val="-2"/>
        </w:rPr>
        <w:t xml:space="preserve"> </w:t>
      </w:r>
      <w:r w:rsidRPr="00D4309F">
        <w:t>to</w:t>
      </w:r>
      <w:r w:rsidRPr="00D4309F">
        <w:rPr>
          <w:spacing w:val="-2"/>
        </w:rPr>
        <w:t xml:space="preserve"> </w:t>
      </w:r>
      <w:r w:rsidRPr="00D4309F">
        <w:t>the</w:t>
      </w:r>
      <w:r w:rsidRPr="00D4309F">
        <w:rPr>
          <w:spacing w:val="-2"/>
        </w:rPr>
        <w:t xml:space="preserve"> </w:t>
      </w:r>
      <w:r w:rsidRPr="00D4309F">
        <w:t>downdrift</w:t>
      </w:r>
      <w:r w:rsidRPr="00D4309F">
        <w:rPr>
          <w:spacing w:val="-2"/>
        </w:rPr>
        <w:t xml:space="preserve"> </w:t>
      </w:r>
      <w:r w:rsidRPr="00D4309F">
        <w:t>shoreline</w:t>
      </w:r>
      <w:r w:rsidRPr="00D4309F">
        <w:rPr>
          <w:spacing w:val="-3"/>
        </w:rPr>
        <w:t xml:space="preserve"> </w:t>
      </w:r>
      <w:r w:rsidRPr="00D4309F">
        <w:t>(Mooloolaba</w:t>
      </w:r>
      <w:r w:rsidRPr="00D4309F">
        <w:rPr>
          <w:spacing w:val="-3"/>
        </w:rPr>
        <w:t xml:space="preserve"> </w:t>
      </w:r>
      <w:r w:rsidRPr="00D4309F">
        <w:t>Beach,</w:t>
      </w:r>
      <w:r w:rsidRPr="00D4309F">
        <w:rPr>
          <w:spacing w:val="-2"/>
        </w:rPr>
        <w:t xml:space="preserve"> </w:t>
      </w:r>
      <w:r w:rsidRPr="00D4309F">
        <w:t>Area</w:t>
      </w:r>
      <w:r w:rsidRPr="00D4309F">
        <w:rPr>
          <w:spacing w:val="-2"/>
        </w:rPr>
        <w:t xml:space="preserve"> </w:t>
      </w:r>
      <w:r w:rsidRPr="00D4309F">
        <w:t>B)</w:t>
      </w:r>
      <w:r w:rsidRPr="00D4309F">
        <w:rPr>
          <w:spacing w:val="-1"/>
        </w:rPr>
        <w:t xml:space="preserve"> </w:t>
      </w:r>
      <w:r w:rsidRPr="00D4309F">
        <w:t>through one of several proposed transfer methods.</w:t>
      </w:r>
    </w:p>
    <w:p w14:paraId="6DB6A686" w14:textId="77777777" w:rsidR="00725977" w:rsidRPr="00D4309F" w:rsidRDefault="00725977" w:rsidP="00D27F26">
      <w:pPr>
        <w:pStyle w:val="ListParagraph"/>
        <w:widowControl w:val="0"/>
        <w:numPr>
          <w:ilvl w:val="0"/>
          <w:numId w:val="292"/>
        </w:numPr>
        <w:tabs>
          <w:tab w:val="left" w:pos="502"/>
        </w:tabs>
        <w:autoSpaceDE w:val="0"/>
        <w:autoSpaceDN w:val="0"/>
        <w:spacing w:after="0" w:line="240" w:lineRule="auto"/>
        <w:contextualSpacing w:val="0"/>
      </w:pPr>
      <w:r w:rsidRPr="00D4309F">
        <w:rPr>
          <w:color w:val="211E1F"/>
        </w:rPr>
        <w:t>Cutter</w:t>
      </w:r>
      <w:r w:rsidRPr="00D4309F">
        <w:rPr>
          <w:color w:val="211E1F"/>
          <w:spacing w:val="-8"/>
        </w:rPr>
        <w:t xml:space="preserve"> </w:t>
      </w:r>
      <w:r w:rsidRPr="00D4309F">
        <w:rPr>
          <w:color w:val="211E1F"/>
        </w:rPr>
        <w:t>suction</w:t>
      </w:r>
      <w:r w:rsidRPr="00D4309F">
        <w:rPr>
          <w:color w:val="211E1F"/>
          <w:spacing w:val="-4"/>
        </w:rPr>
        <w:t xml:space="preserve"> </w:t>
      </w:r>
      <w:r w:rsidRPr="00D4309F">
        <w:rPr>
          <w:color w:val="211E1F"/>
        </w:rPr>
        <w:t>dredge</w:t>
      </w:r>
      <w:r w:rsidRPr="00D4309F">
        <w:rPr>
          <w:color w:val="211E1F"/>
          <w:spacing w:val="-4"/>
        </w:rPr>
        <w:t xml:space="preserve"> </w:t>
      </w:r>
      <w:r w:rsidRPr="00D4309F">
        <w:rPr>
          <w:color w:val="211E1F"/>
        </w:rPr>
        <w:t>and</w:t>
      </w:r>
      <w:r w:rsidRPr="00D4309F">
        <w:rPr>
          <w:color w:val="211E1F"/>
          <w:spacing w:val="-5"/>
        </w:rPr>
        <w:t xml:space="preserve"> </w:t>
      </w:r>
      <w:r w:rsidRPr="00D4309F">
        <w:rPr>
          <w:color w:val="211E1F"/>
        </w:rPr>
        <w:t>pipeline</w:t>
      </w:r>
      <w:r w:rsidRPr="00D4309F">
        <w:rPr>
          <w:color w:val="211E1F"/>
          <w:spacing w:val="-4"/>
        </w:rPr>
        <w:t xml:space="preserve"> </w:t>
      </w:r>
      <w:r w:rsidRPr="00D4309F">
        <w:rPr>
          <w:color w:val="211E1F"/>
        </w:rPr>
        <w:t>transfer</w:t>
      </w:r>
      <w:r w:rsidRPr="00D4309F">
        <w:rPr>
          <w:color w:val="211E1F"/>
          <w:spacing w:val="-3"/>
        </w:rPr>
        <w:t xml:space="preserve"> </w:t>
      </w:r>
      <w:r w:rsidRPr="00D4309F">
        <w:rPr>
          <w:color w:val="211E1F"/>
        </w:rPr>
        <w:t>(Option</w:t>
      </w:r>
      <w:r w:rsidRPr="00D4309F">
        <w:rPr>
          <w:color w:val="211E1F"/>
          <w:spacing w:val="-4"/>
        </w:rPr>
        <w:t xml:space="preserve"> </w:t>
      </w:r>
      <w:r w:rsidRPr="00D4309F">
        <w:rPr>
          <w:color w:val="211E1F"/>
          <w:spacing w:val="-5"/>
        </w:rPr>
        <w:t>3A)</w:t>
      </w:r>
    </w:p>
    <w:p w14:paraId="131F49B6" w14:textId="77777777" w:rsidR="00725977" w:rsidRPr="00D4309F" w:rsidRDefault="00725977" w:rsidP="00D27F26">
      <w:pPr>
        <w:pStyle w:val="ListParagraph"/>
        <w:widowControl w:val="0"/>
        <w:numPr>
          <w:ilvl w:val="0"/>
          <w:numId w:val="292"/>
        </w:numPr>
        <w:tabs>
          <w:tab w:val="left" w:pos="502"/>
        </w:tabs>
        <w:autoSpaceDE w:val="0"/>
        <w:autoSpaceDN w:val="0"/>
        <w:spacing w:before="119" w:after="0" w:line="240" w:lineRule="auto"/>
        <w:contextualSpacing w:val="0"/>
      </w:pPr>
      <w:r w:rsidRPr="00D4309F">
        <w:rPr>
          <w:color w:val="211E1F"/>
        </w:rPr>
        <w:t>Buried</w:t>
      </w:r>
      <w:r w:rsidRPr="00D4309F">
        <w:rPr>
          <w:color w:val="211E1F"/>
          <w:spacing w:val="-5"/>
        </w:rPr>
        <w:t xml:space="preserve"> </w:t>
      </w:r>
      <w:r w:rsidRPr="00D4309F">
        <w:rPr>
          <w:color w:val="211E1F"/>
        </w:rPr>
        <w:t>slurry</w:t>
      </w:r>
      <w:r w:rsidRPr="00D4309F">
        <w:rPr>
          <w:color w:val="211E1F"/>
          <w:spacing w:val="-3"/>
        </w:rPr>
        <w:t xml:space="preserve"> </w:t>
      </w:r>
      <w:r w:rsidRPr="00D4309F">
        <w:rPr>
          <w:color w:val="211E1F"/>
        </w:rPr>
        <w:t>pump</w:t>
      </w:r>
      <w:r w:rsidRPr="00D4309F">
        <w:rPr>
          <w:color w:val="211E1F"/>
          <w:spacing w:val="-4"/>
        </w:rPr>
        <w:t xml:space="preserve"> </w:t>
      </w:r>
      <w:r w:rsidRPr="00D4309F">
        <w:rPr>
          <w:color w:val="211E1F"/>
        </w:rPr>
        <w:t>(Sand</w:t>
      </w:r>
      <w:r w:rsidRPr="00D4309F">
        <w:rPr>
          <w:color w:val="211E1F"/>
          <w:spacing w:val="-5"/>
        </w:rPr>
        <w:t xml:space="preserve"> </w:t>
      </w:r>
      <w:r w:rsidRPr="00D4309F">
        <w:rPr>
          <w:color w:val="211E1F"/>
        </w:rPr>
        <w:t>Shifter)</w:t>
      </w:r>
      <w:r w:rsidRPr="00D4309F">
        <w:rPr>
          <w:color w:val="211E1F"/>
          <w:spacing w:val="-3"/>
        </w:rPr>
        <w:t xml:space="preserve"> </w:t>
      </w:r>
      <w:r w:rsidRPr="00D4309F">
        <w:rPr>
          <w:color w:val="211E1F"/>
        </w:rPr>
        <w:t>system</w:t>
      </w:r>
      <w:r w:rsidRPr="00D4309F">
        <w:rPr>
          <w:color w:val="211E1F"/>
          <w:spacing w:val="-4"/>
        </w:rPr>
        <w:t xml:space="preserve"> </w:t>
      </w:r>
      <w:r w:rsidRPr="00D4309F">
        <w:rPr>
          <w:color w:val="211E1F"/>
        </w:rPr>
        <w:t>(Option</w:t>
      </w:r>
      <w:r w:rsidRPr="00D4309F">
        <w:rPr>
          <w:color w:val="211E1F"/>
          <w:spacing w:val="-3"/>
        </w:rPr>
        <w:t xml:space="preserve"> </w:t>
      </w:r>
      <w:r w:rsidRPr="00D4309F">
        <w:rPr>
          <w:color w:val="211E1F"/>
          <w:spacing w:val="-5"/>
        </w:rPr>
        <w:t>3B)</w:t>
      </w:r>
    </w:p>
    <w:p w14:paraId="325B754E" w14:textId="77777777" w:rsidR="00725977" w:rsidRPr="00D4309F" w:rsidRDefault="00725977" w:rsidP="00D27F26">
      <w:pPr>
        <w:pStyle w:val="ListParagraph"/>
        <w:widowControl w:val="0"/>
        <w:numPr>
          <w:ilvl w:val="0"/>
          <w:numId w:val="292"/>
        </w:numPr>
        <w:tabs>
          <w:tab w:val="left" w:pos="502"/>
        </w:tabs>
        <w:autoSpaceDE w:val="0"/>
        <w:autoSpaceDN w:val="0"/>
        <w:spacing w:before="118" w:after="0" w:line="240" w:lineRule="auto"/>
        <w:contextualSpacing w:val="0"/>
      </w:pPr>
      <w:r w:rsidRPr="00D4309F">
        <w:rPr>
          <w:color w:val="211E1F"/>
        </w:rPr>
        <w:t>Crane-operated</w:t>
      </w:r>
      <w:r w:rsidRPr="00D4309F">
        <w:rPr>
          <w:color w:val="211E1F"/>
          <w:spacing w:val="-4"/>
        </w:rPr>
        <w:t xml:space="preserve"> </w:t>
      </w:r>
      <w:r w:rsidRPr="00D4309F">
        <w:rPr>
          <w:color w:val="211E1F"/>
        </w:rPr>
        <w:t>jet</w:t>
      </w:r>
      <w:r w:rsidRPr="00D4309F">
        <w:rPr>
          <w:color w:val="211E1F"/>
          <w:spacing w:val="-4"/>
        </w:rPr>
        <w:t xml:space="preserve"> </w:t>
      </w:r>
      <w:r w:rsidRPr="00D4309F">
        <w:rPr>
          <w:color w:val="211E1F"/>
        </w:rPr>
        <w:t>pump</w:t>
      </w:r>
      <w:r w:rsidRPr="00D4309F">
        <w:rPr>
          <w:color w:val="211E1F"/>
          <w:spacing w:val="-4"/>
        </w:rPr>
        <w:t xml:space="preserve"> </w:t>
      </w:r>
      <w:r w:rsidRPr="00D4309F">
        <w:rPr>
          <w:color w:val="211E1F"/>
        </w:rPr>
        <w:t>(Option</w:t>
      </w:r>
      <w:r w:rsidRPr="00D4309F">
        <w:rPr>
          <w:color w:val="211E1F"/>
          <w:spacing w:val="-4"/>
        </w:rPr>
        <w:t xml:space="preserve"> </w:t>
      </w:r>
      <w:r w:rsidRPr="00D4309F">
        <w:rPr>
          <w:color w:val="211E1F"/>
          <w:spacing w:val="-5"/>
        </w:rPr>
        <w:t>3C)</w:t>
      </w:r>
    </w:p>
    <w:p w14:paraId="2595A883" w14:textId="0DC37D90" w:rsidR="007715DD" w:rsidRPr="00D4309F" w:rsidRDefault="00725977" w:rsidP="00725977">
      <w:pPr>
        <w:pStyle w:val="BodyText"/>
      </w:pPr>
      <w:r w:rsidRPr="00D4309F">
        <w:t>Once</w:t>
      </w:r>
      <w:r w:rsidRPr="00D4309F">
        <w:rPr>
          <w:spacing w:val="-3"/>
        </w:rPr>
        <w:t xml:space="preserve"> </w:t>
      </w:r>
      <w:r w:rsidRPr="00D4309F">
        <w:t>the</w:t>
      </w:r>
      <w:r w:rsidRPr="00D4309F">
        <w:rPr>
          <w:spacing w:val="-3"/>
        </w:rPr>
        <w:t xml:space="preserve"> </w:t>
      </w:r>
      <w:r w:rsidRPr="00D4309F">
        <w:t>updrift</w:t>
      </w:r>
      <w:r w:rsidRPr="00D4309F">
        <w:rPr>
          <w:spacing w:val="-3"/>
        </w:rPr>
        <w:t xml:space="preserve"> </w:t>
      </w:r>
      <w:r w:rsidRPr="00D4309F">
        <w:t>compartment</w:t>
      </w:r>
      <w:r w:rsidRPr="00D4309F">
        <w:rPr>
          <w:spacing w:val="-3"/>
        </w:rPr>
        <w:t xml:space="preserve"> </w:t>
      </w:r>
      <w:r w:rsidRPr="00D4309F">
        <w:t>reaches</w:t>
      </w:r>
      <w:r w:rsidRPr="00D4309F">
        <w:rPr>
          <w:spacing w:val="-2"/>
        </w:rPr>
        <w:t xml:space="preserve"> </w:t>
      </w:r>
      <w:r w:rsidRPr="00D4309F">
        <w:t>capacity,</w:t>
      </w:r>
      <w:r w:rsidRPr="00D4309F">
        <w:rPr>
          <w:spacing w:val="-3"/>
        </w:rPr>
        <w:t xml:space="preserve"> </w:t>
      </w:r>
      <w:r w:rsidRPr="00D4309F">
        <w:t>natural</w:t>
      </w:r>
      <w:r w:rsidRPr="00D4309F">
        <w:rPr>
          <w:spacing w:val="-3"/>
        </w:rPr>
        <w:t xml:space="preserve"> </w:t>
      </w:r>
      <w:r w:rsidRPr="00D4309F">
        <w:t>bypassing</w:t>
      </w:r>
      <w:r w:rsidRPr="00D4309F">
        <w:rPr>
          <w:spacing w:val="-3"/>
        </w:rPr>
        <w:t xml:space="preserve"> </w:t>
      </w:r>
      <w:r w:rsidRPr="00D4309F">
        <w:t>resumes,</w:t>
      </w:r>
      <w:r w:rsidRPr="00D4309F">
        <w:rPr>
          <w:spacing w:val="-3"/>
        </w:rPr>
        <w:t xml:space="preserve"> </w:t>
      </w:r>
      <w:r w:rsidRPr="00D4309F">
        <w:t>and</w:t>
      </w:r>
      <w:r w:rsidRPr="00D4309F">
        <w:rPr>
          <w:spacing w:val="-4"/>
        </w:rPr>
        <w:t xml:space="preserve"> </w:t>
      </w:r>
      <w:r w:rsidRPr="00D4309F">
        <w:t>without</w:t>
      </w:r>
      <w:r w:rsidRPr="00D4309F">
        <w:rPr>
          <w:spacing w:val="-3"/>
        </w:rPr>
        <w:t xml:space="preserve"> </w:t>
      </w:r>
      <w:r w:rsidRPr="00D4309F">
        <w:t>timely</w:t>
      </w:r>
      <w:r w:rsidRPr="00D4309F">
        <w:rPr>
          <w:spacing w:val="-2"/>
        </w:rPr>
        <w:t xml:space="preserve"> </w:t>
      </w:r>
      <w:r w:rsidRPr="00D4309F">
        <w:t>intervention, shoaling may again occur. As such, this option requires ongoing but predictable management through planned bypassing campaigns.</w:t>
      </w:r>
    </w:p>
    <w:p w14:paraId="2B2E9B81" w14:textId="77777777" w:rsidR="00725977" w:rsidRPr="00D4309F" w:rsidRDefault="00725977" w:rsidP="008228CB">
      <w:pPr>
        <w:pStyle w:val="Heading3"/>
      </w:pPr>
      <w:bookmarkStart w:id="390" w:name="_Toc216699442"/>
      <w:r w:rsidRPr="00D4309F">
        <w:t>Impact</w:t>
      </w:r>
      <w:r w:rsidRPr="00D4309F">
        <w:rPr>
          <w:spacing w:val="-3"/>
        </w:rPr>
        <w:t xml:space="preserve"> </w:t>
      </w:r>
      <w:r w:rsidRPr="00D4309F">
        <w:t>on</w:t>
      </w:r>
      <w:r w:rsidRPr="00D4309F">
        <w:rPr>
          <w:spacing w:val="-3"/>
        </w:rPr>
        <w:t xml:space="preserve"> </w:t>
      </w:r>
      <w:r w:rsidRPr="00D4309F">
        <w:t>Coastal</w:t>
      </w:r>
      <w:r w:rsidRPr="00D4309F">
        <w:rPr>
          <w:spacing w:val="-3"/>
        </w:rPr>
        <w:t xml:space="preserve"> </w:t>
      </w:r>
      <w:r w:rsidRPr="00D4309F">
        <w:rPr>
          <w:spacing w:val="-2"/>
        </w:rPr>
        <w:t>Processes</w:t>
      </w:r>
      <w:bookmarkEnd w:id="390"/>
    </w:p>
    <w:p w14:paraId="36105EFC" w14:textId="77777777" w:rsidR="00725977" w:rsidRPr="00D4309F" w:rsidRDefault="00725977" w:rsidP="00725977">
      <w:pPr>
        <w:pStyle w:val="BodyText"/>
      </w:pPr>
      <w:r w:rsidRPr="00D4309F">
        <w:t>The 60</w:t>
      </w:r>
      <w:r w:rsidRPr="00D4309F">
        <w:rPr>
          <w:spacing w:val="-14"/>
        </w:rPr>
        <w:t xml:space="preserve"> </w:t>
      </w:r>
      <w:r w:rsidRPr="00D4309F">
        <w:t>m extension of the eastern breakwater alters the entrance's sediment dynamics by functioning as a groyne,</w:t>
      </w:r>
      <w:r w:rsidRPr="00D4309F">
        <w:rPr>
          <w:spacing w:val="-3"/>
        </w:rPr>
        <w:t xml:space="preserve"> </w:t>
      </w:r>
      <w:r w:rsidRPr="00D4309F">
        <w:t>capturing</w:t>
      </w:r>
      <w:r w:rsidRPr="00D4309F">
        <w:rPr>
          <w:spacing w:val="-3"/>
        </w:rPr>
        <w:t xml:space="preserve"> </w:t>
      </w:r>
      <w:r w:rsidRPr="00D4309F">
        <w:t>sand</w:t>
      </w:r>
      <w:r w:rsidRPr="00D4309F">
        <w:rPr>
          <w:spacing w:val="-3"/>
        </w:rPr>
        <w:t xml:space="preserve"> </w:t>
      </w:r>
      <w:r w:rsidRPr="00D4309F">
        <w:t>transported</w:t>
      </w:r>
      <w:r w:rsidRPr="00D4309F">
        <w:rPr>
          <w:spacing w:val="-3"/>
        </w:rPr>
        <w:t xml:space="preserve"> </w:t>
      </w:r>
      <w:r w:rsidRPr="00D4309F">
        <w:t>northward</w:t>
      </w:r>
      <w:r w:rsidRPr="00D4309F">
        <w:rPr>
          <w:spacing w:val="-3"/>
        </w:rPr>
        <w:t xml:space="preserve"> </w:t>
      </w:r>
      <w:r w:rsidRPr="00D4309F">
        <w:t>along</w:t>
      </w:r>
      <w:r w:rsidRPr="00D4309F">
        <w:rPr>
          <w:spacing w:val="-3"/>
        </w:rPr>
        <w:t xml:space="preserve"> </w:t>
      </w:r>
      <w:r w:rsidRPr="00D4309F">
        <w:t>the</w:t>
      </w:r>
      <w:r w:rsidRPr="00D4309F">
        <w:rPr>
          <w:spacing w:val="-3"/>
        </w:rPr>
        <w:t xml:space="preserve"> </w:t>
      </w:r>
      <w:r w:rsidRPr="00D4309F">
        <w:t>shoreline.</w:t>
      </w:r>
      <w:r w:rsidRPr="00D4309F">
        <w:rPr>
          <w:spacing w:val="-3"/>
        </w:rPr>
        <w:t xml:space="preserve"> </w:t>
      </w:r>
      <w:r w:rsidRPr="00D4309F">
        <w:t>This</w:t>
      </w:r>
      <w:r w:rsidRPr="00D4309F">
        <w:rPr>
          <w:spacing w:val="-2"/>
        </w:rPr>
        <w:t xml:space="preserve"> </w:t>
      </w:r>
      <w:r w:rsidRPr="00D4309F">
        <w:t>intervention</w:t>
      </w:r>
      <w:r w:rsidRPr="00D4309F">
        <w:rPr>
          <w:spacing w:val="-3"/>
        </w:rPr>
        <w:t xml:space="preserve"> </w:t>
      </w:r>
      <w:r w:rsidRPr="00D4309F">
        <w:t>promotes</w:t>
      </w:r>
      <w:r w:rsidRPr="00D4309F">
        <w:rPr>
          <w:spacing w:val="-2"/>
        </w:rPr>
        <w:t xml:space="preserve"> </w:t>
      </w:r>
      <w:r w:rsidRPr="00D4309F">
        <w:t>the</w:t>
      </w:r>
      <w:r w:rsidRPr="00D4309F">
        <w:rPr>
          <w:spacing w:val="-3"/>
        </w:rPr>
        <w:t xml:space="preserve"> </w:t>
      </w:r>
      <w:r w:rsidRPr="00D4309F">
        <w:t>formation of an updrift sediment compartment, modifying the natural littoral transport regime and reducing sand influx into the navigation channel. By concentrating sediment deposition in a defined area, the structure reduces irregular shoaling and enables proactive sand extraction.</w:t>
      </w:r>
    </w:p>
    <w:p w14:paraId="2D18A916" w14:textId="77777777" w:rsidR="00725977" w:rsidRPr="00D4309F" w:rsidRDefault="00725977" w:rsidP="00725977">
      <w:pPr>
        <w:pStyle w:val="BodyText"/>
      </w:pPr>
      <w:r w:rsidRPr="00D4309F">
        <w:t>The breakwater also modifies wave transformation across the entrance by altering nearshore bathymetry. This</w:t>
      </w:r>
      <w:r w:rsidRPr="00D4309F">
        <w:rPr>
          <w:spacing w:val="-2"/>
        </w:rPr>
        <w:t xml:space="preserve"> </w:t>
      </w:r>
      <w:r w:rsidRPr="00D4309F">
        <w:t>results</w:t>
      </w:r>
      <w:r w:rsidRPr="00D4309F">
        <w:rPr>
          <w:spacing w:val="-2"/>
        </w:rPr>
        <w:t xml:space="preserve"> </w:t>
      </w:r>
      <w:r w:rsidRPr="00D4309F">
        <w:t>in</w:t>
      </w:r>
      <w:r w:rsidRPr="00D4309F">
        <w:rPr>
          <w:spacing w:val="-3"/>
        </w:rPr>
        <w:t xml:space="preserve"> </w:t>
      </w:r>
      <w:r w:rsidRPr="00D4309F">
        <w:t>improved</w:t>
      </w:r>
      <w:r w:rsidRPr="00D4309F">
        <w:rPr>
          <w:spacing w:val="-3"/>
        </w:rPr>
        <w:t xml:space="preserve"> </w:t>
      </w:r>
      <w:r w:rsidRPr="00D4309F">
        <w:t>wave</w:t>
      </w:r>
      <w:r w:rsidRPr="00D4309F">
        <w:rPr>
          <w:spacing w:val="-3"/>
        </w:rPr>
        <w:t xml:space="preserve"> </w:t>
      </w:r>
      <w:r w:rsidRPr="00D4309F">
        <w:t>attenuation</w:t>
      </w:r>
      <w:r w:rsidRPr="00D4309F">
        <w:rPr>
          <w:spacing w:val="-3"/>
        </w:rPr>
        <w:t xml:space="preserve"> </w:t>
      </w:r>
      <w:r w:rsidRPr="00D4309F">
        <w:t>and</w:t>
      </w:r>
      <w:r w:rsidRPr="00D4309F">
        <w:rPr>
          <w:spacing w:val="-3"/>
        </w:rPr>
        <w:t xml:space="preserve"> </w:t>
      </w:r>
      <w:r w:rsidRPr="00D4309F">
        <w:t>more</w:t>
      </w:r>
      <w:r w:rsidRPr="00D4309F">
        <w:rPr>
          <w:spacing w:val="-4"/>
        </w:rPr>
        <w:t xml:space="preserve"> </w:t>
      </w:r>
      <w:r w:rsidRPr="00D4309F">
        <w:t>stable</w:t>
      </w:r>
      <w:r w:rsidRPr="00D4309F">
        <w:rPr>
          <w:spacing w:val="-3"/>
        </w:rPr>
        <w:t xml:space="preserve"> </w:t>
      </w:r>
      <w:r w:rsidRPr="00D4309F">
        <w:t>entrance</w:t>
      </w:r>
      <w:r w:rsidRPr="00D4309F">
        <w:rPr>
          <w:spacing w:val="-3"/>
        </w:rPr>
        <w:t xml:space="preserve"> </w:t>
      </w:r>
      <w:r w:rsidRPr="00D4309F">
        <w:t>conditions.</w:t>
      </w:r>
      <w:r w:rsidRPr="00D4309F">
        <w:rPr>
          <w:spacing w:val="-5"/>
        </w:rPr>
        <w:t xml:space="preserve"> </w:t>
      </w:r>
      <w:r w:rsidRPr="00D4309F">
        <w:t>However,</w:t>
      </w:r>
      <w:r w:rsidRPr="00D4309F">
        <w:rPr>
          <w:spacing w:val="-3"/>
        </w:rPr>
        <w:t xml:space="preserve"> </w:t>
      </w:r>
      <w:r w:rsidRPr="00D4309F">
        <w:t>reduced</w:t>
      </w:r>
      <w:r w:rsidRPr="00D4309F">
        <w:rPr>
          <w:spacing w:val="-3"/>
        </w:rPr>
        <w:t xml:space="preserve"> </w:t>
      </w:r>
      <w:r w:rsidRPr="00D4309F">
        <w:t>natural bypassing will necessitate managed sediment transfer to maintain downdrift supply to Mooloolaba Beach.</w:t>
      </w:r>
    </w:p>
    <w:p w14:paraId="09D7DCFC" w14:textId="2869DB37" w:rsidR="00725977" w:rsidRPr="00D4309F" w:rsidRDefault="00725977" w:rsidP="00725977">
      <w:pPr>
        <w:pStyle w:val="BodyText"/>
      </w:pPr>
      <w:r w:rsidRPr="00D4309F">
        <w:t>These</w:t>
      </w:r>
      <w:r w:rsidRPr="00D4309F">
        <w:rPr>
          <w:spacing w:val="-3"/>
        </w:rPr>
        <w:t xml:space="preserve"> </w:t>
      </w:r>
      <w:r w:rsidRPr="00D4309F">
        <w:t>changes</w:t>
      </w:r>
      <w:r w:rsidRPr="00D4309F">
        <w:rPr>
          <w:spacing w:val="-2"/>
        </w:rPr>
        <w:t xml:space="preserve"> </w:t>
      </w:r>
      <w:r w:rsidRPr="00D4309F">
        <w:t>are</w:t>
      </w:r>
      <w:r w:rsidRPr="00D4309F">
        <w:rPr>
          <w:spacing w:val="-3"/>
        </w:rPr>
        <w:t xml:space="preserve"> </w:t>
      </w:r>
      <w:r w:rsidRPr="00D4309F">
        <w:t>consistent</w:t>
      </w:r>
      <w:r w:rsidRPr="00D4309F">
        <w:rPr>
          <w:spacing w:val="-3"/>
        </w:rPr>
        <w:t xml:space="preserve"> </w:t>
      </w:r>
      <w:r w:rsidRPr="00D4309F">
        <w:t>with</w:t>
      </w:r>
      <w:r w:rsidRPr="00D4309F">
        <w:rPr>
          <w:spacing w:val="-3"/>
        </w:rPr>
        <w:t xml:space="preserve"> </w:t>
      </w:r>
      <w:r w:rsidRPr="00D4309F">
        <w:t>coastal</w:t>
      </w:r>
      <w:r w:rsidRPr="00D4309F">
        <w:rPr>
          <w:spacing w:val="-3"/>
        </w:rPr>
        <w:t xml:space="preserve"> </w:t>
      </w:r>
      <w:r w:rsidRPr="00D4309F">
        <w:t>management</w:t>
      </w:r>
      <w:r w:rsidRPr="00D4309F">
        <w:rPr>
          <w:spacing w:val="-3"/>
        </w:rPr>
        <w:t xml:space="preserve"> </w:t>
      </w:r>
      <w:r w:rsidRPr="00D4309F">
        <w:t>objectives</w:t>
      </w:r>
      <w:r w:rsidRPr="00D4309F">
        <w:rPr>
          <w:spacing w:val="-3"/>
        </w:rPr>
        <w:t xml:space="preserve"> </w:t>
      </w:r>
      <w:r w:rsidRPr="00D4309F">
        <w:t>but</w:t>
      </w:r>
      <w:r w:rsidRPr="00D4309F">
        <w:rPr>
          <w:spacing w:val="-3"/>
        </w:rPr>
        <w:t xml:space="preserve"> </w:t>
      </w:r>
      <w:r w:rsidRPr="00D4309F">
        <w:t>require</w:t>
      </w:r>
      <w:r w:rsidRPr="00D4309F">
        <w:rPr>
          <w:spacing w:val="-3"/>
        </w:rPr>
        <w:t xml:space="preserve"> </w:t>
      </w:r>
      <w:r w:rsidRPr="00D4309F">
        <w:t>complementary</w:t>
      </w:r>
      <w:r w:rsidRPr="00D4309F">
        <w:rPr>
          <w:spacing w:val="-2"/>
        </w:rPr>
        <w:t xml:space="preserve"> </w:t>
      </w:r>
      <w:r w:rsidRPr="00D4309F">
        <w:t>operational strategies to sustain system balance and minimise erosion risks.</w:t>
      </w:r>
    </w:p>
    <w:p w14:paraId="39456D5D" w14:textId="77777777" w:rsidR="00725977" w:rsidRPr="00D4309F" w:rsidRDefault="00725977" w:rsidP="008228CB">
      <w:pPr>
        <w:pStyle w:val="Heading2"/>
      </w:pPr>
      <w:bookmarkStart w:id="391" w:name="_bookmark150"/>
      <w:bookmarkStart w:id="392" w:name="_Toc216699443"/>
      <w:bookmarkEnd w:id="391"/>
      <w:r w:rsidRPr="00D4309F">
        <w:t>Effectiveness</w:t>
      </w:r>
      <w:r w:rsidRPr="00D4309F">
        <w:rPr>
          <w:spacing w:val="-13"/>
        </w:rPr>
        <w:t xml:space="preserve"> </w:t>
      </w:r>
      <w:r w:rsidRPr="00D4309F">
        <w:t>of</w:t>
      </w:r>
      <w:r w:rsidRPr="00D4309F">
        <w:rPr>
          <w:spacing w:val="-12"/>
        </w:rPr>
        <w:t xml:space="preserve"> </w:t>
      </w:r>
      <w:r w:rsidRPr="00D4309F">
        <w:rPr>
          <w:spacing w:val="-2"/>
        </w:rPr>
        <w:t>option</w:t>
      </w:r>
      <w:bookmarkEnd w:id="392"/>
    </w:p>
    <w:p w14:paraId="37815D01" w14:textId="77777777" w:rsidR="00725977" w:rsidRPr="00D4309F" w:rsidRDefault="00725977" w:rsidP="00725977">
      <w:pPr>
        <w:pStyle w:val="BodyText"/>
      </w:pPr>
      <w:r w:rsidRPr="00D4309F">
        <w:t>The</w:t>
      </w:r>
      <w:r w:rsidRPr="00D4309F">
        <w:rPr>
          <w:spacing w:val="-2"/>
        </w:rPr>
        <w:t xml:space="preserve"> </w:t>
      </w:r>
      <w:r w:rsidRPr="00D4309F">
        <w:t>2014</w:t>
      </w:r>
      <w:r w:rsidRPr="00D4309F">
        <w:rPr>
          <w:spacing w:val="-2"/>
        </w:rPr>
        <w:t xml:space="preserve"> </w:t>
      </w:r>
      <w:r w:rsidRPr="00D4309F">
        <w:t>BMT</w:t>
      </w:r>
      <w:r w:rsidRPr="00D4309F">
        <w:rPr>
          <w:spacing w:val="-2"/>
        </w:rPr>
        <w:t xml:space="preserve"> </w:t>
      </w:r>
      <w:r w:rsidRPr="00D4309F">
        <w:t>WBM</w:t>
      </w:r>
      <w:r w:rsidRPr="00D4309F">
        <w:rPr>
          <w:spacing w:val="-2"/>
        </w:rPr>
        <w:t xml:space="preserve"> </w:t>
      </w:r>
      <w:r w:rsidRPr="00D4309F">
        <w:t>study</w:t>
      </w:r>
      <w:r w:rsidRPr="00D4309F">
        <w:rPr>
          <w:spacing w:val="-2"/>
        </w:rPr>
        <w:t xml:space="preserve"> </w:t>
      </w:r>
      <w:r w:rsidRPr="00D4309F">
        <w:t>and</w:t>
      </w:r>
      <w:r w:rsidRPr="00D4309F">
        <w:rPr>
          <w:spacing w:val="-2"/>
        </w:rPr>
        <w:t xml:space="preserve"> </w:t>
      </w:r>
      <w:r w:rsidRPr="00D4309F">
        <w:t>the</w:t>
      </w:r>
      <w:r w:rsidRPr="00D4309F">
        <w:rPr>
          <w:spacing w:val="-2"/>
        </w:rPr>
        <w:t xml:space="preserve"> </w:t>
      </w:r>
      <w:r w:rsidRPr="00D4309F">
        <w:t>subsequent</w:t>
      </w:r>
      <w:r w:rsidRPr="00D4309F">
        <w:rPr>
          <w:spacing w:val="-3"/>
        </w:rPr>
        <w:t xml:space="preserve"> </w:t>
      </w:r>
      <w:r w:rsidRPr="00D4309F">
        <w:t>2018</w:t>
      </w:r>
      <w:r w:rsidRPr="00D4309F">
        <w:rPr>
          <w:spacing w:val="-3"/>
        </w:rPr>
        <w:t xml:space="preserve"> </w:t>
      </w:r>
      <w:r w:rsidRPr="00D4309F">
        <w:t>extended</w:t>
      </w:r>
      <w:r w:rsidRPr="00D4309F">
        <w:rPr>
          <w:spacing w:val="-2"/>
        </w:rPr>
        <w:t xml:space="preserve"> </w:t>
      </w:r>
      <w:r w:rsidRPr="00D4309F">
        <w:t>modelling</w:t>
      </w:r>
      <w:r w:rsidRPr="00D4309F">
        <w:rPr>
          <w:spacing w:val="-3"/>
        </w:rPr>
        <w:t xml:space="preserve"> </w:t>
      </w:r>
      <w:r w:rsidRPr="00D4309F">
        <w:t>collectively</w:t>
      </w:r>
      <w:r w:rsidRPr="00D4309F">
        <w:rPr>
          <w:spacing w:val="-2"/>
        </w:rPr>
        <w:t xml:space="preserve"> </w:t>
      </w:r>
      <w:r w:rsidRPr="00D4309F">
        <w:t>demonstrate</w:t>
      </w:r>
      <w:r w:rsidRPr="00D4309F">
        <w:rPr>
          <w:spacing w:val="-2"/>
        </w:rPr>
        <w:t xml:space="preserve"> </w:t>
      </w:r>
      <w:r w:rsidRPr="00D4309F">
        <w:t>that</w:t>
      </w:r>
      <w:r w:rsidRPr="00D4309F">
        <w:rPr>
          <w:spacing w:val="-2"/>
        </w:rPr>
        <w:t xml:space="preserve"> </w:t>
      </w:r>
      <w:r w:rsidRPr="00D4309F">
        <w:t>the eastern breakwater 60m extension is highly effective in mitigating entrance shoaling at Mooloolaba.</w:t>
      </w:r>
    </w:p>
    <w:p w14:paraId="78D9CF7E" w14:textId="77777777" w:rsidR="00725977" w:rsidRPr="00D4309F" w:rsidRDefault="00725977" w:rsidP="00725977">
      <w:pPr>
        <w:pStyle w:val="BodyText"/>
      </w:pPr>
      <w:r w:rsidRPr="00D4309F">
        <w:t>Key</w:t>
      </w:r>
      <w:r w:rsidRPr="00D4309F">
        <w:rPr>
          <w:spacing w:val="-3"/>
        </w:rPr>
        <w:t xml:space="preserve"> </w:t>
      </w:r>
      <w:r w:rsidRPr="00D4309F">
        <w:t>findings</w:t>
      </w:r>
      <w:r w:rsidRPr="00D4309F">
        <w:rPr>
          <w:spacing w:val="-3"/>
        </w:rPr>
        <w:t xml:space="preserve"> </w:t>
      </w:r>
      <w:r w:rsidRPr="00D4309F">
        <w:rPr>
          <w:spacing w:val="-2"/>
        </w:rPr>
        <w:t>include:</w:t>
      </w:r>
    </w:p>
    <w:p w14:paraId="56FA16B3" w14:textId="77777777" w:rsidR="00725977" w:rsidRPr="00D4309F" w:rsidRDefault="00725977" w:rsidP="00D27F26">
      <w:pPr>
        <w:pStyle w:val="ListParagraph"/>
        <w:widowControl w:val="0"/>
        <w:numPr>
          <w:ilvl w:val="0"/>
          <w:numId w:val="291"/>
        </w:numPr>
        <w:tabs>
          <w:tab w:val="left" w:pos="501"/>
        </w:tabs>
        <w:autoSpaceDE w:val="0"/>
        <w:autoSpaceDN w:val="0"/>
        <w:spacing w:before="119" w:after="0" w:line="240" w:lineRule="auto"/>
        <w:contextualSpacing w:val="0"/>
      </w:pPr>
      <w:r w:rsidRPr="00D4309F">
        <w:rPr>
          <w:color w:val="211E1F"/>
        </w:rPr>
        <w:t>Entrance</w:t>
      </w:r>
      <w:r w:rsidRPr="00D4309F">
        <w:rPr>
          <w:color w:val="211E1F"/>
          <w:spacing w:val="-6"/>
        </w:rPr>
        <w:t xml:space="preserve"> </w:t>
      </w:r>
      <w:r w:rsidRPr="00D4309F">
        <w:rPr>
          <w:color w:val="211E1F"/>
        </w:rPr>
        <w:t>wave</w:t>
      </w:r>
      <w:r w:rsidRPr="00D4309F">
        <w:rPr>
          <w:color w:val="211E1F"/>
          <w:spacing w:val="-3"/>
        </w:rPr>
        <w:t xml:space="preserve"> </w:t>
      </w:r>
      <w:r w:rsidRPr="00D4309F">
        <w:rPr>
          <w:color w:val="211E1F"/>
        </w:rPr>
        <w:t>heights</w:t>
      </w:r>
      <w:r w:rsidRPr="00D4309F">
        <w:rPr>
          <w:color w:val="211E1F"/>
          <w:spacing w:val="-3"/>
        </w:rPr>
        <w:t xml:space="preserve"> </w:t>
      </w:r>
      <w:r w:rsidRPr="00D4309F">
        <w:rPr>
          <w:color w:val="211E1F"/>
        </w:rPr>
        <w:t>reduced</w:t>
      </w:r>
      <w:r w:rsidRPr="00D4309F">
        <w:rPr>
          <w:color w:val="211E1F"/>
          <w:spacing w:val="-3"/>
        </w:rPr>
        <w:t xml:space="preserve"> </w:t>
      </w:r>
      <w:r w:rsidRPr="00D4309F">
        <w:rPr>
          <w:color w:val="211E1F"/>
        </w:rPr>
        <w:t>by</w:t>
      </w:r>
      <w:r w:rsidRPr="00D4309F">
        <w:rPr>
          <w:color w:val="211E1F"/>
          <w:spacing w:val="-2"/>
        </w:rPr>
        <w:t xml:space="preserve"> </w:t>
      </w:r>
      <w:r w:rsidRPr="00D4309F">
        <w:rPr>
          <w:color w:val="211E1F"/>
        </w:rPr>
        <w:t>up</w:t>
      </w:r>
      <w:r w:rsidRPr="00D4309F">
        <w:rPr>
          <w:color w:val="211E1F"/>
          <w:spacing w:val="-4"/>
        </w:rPr>
        <w:t xml:space="preserve"> </w:t>
      </w:r>
      <w:r w:rsidRPr="00D4309F">
        <w:rPr>
          <w:color w:val="211E1F"/>
        </w:rPr>
        <w:t>to</w:t>
      </w:r>
      <w:r w:rsidRPr="00D4309F">
        <w:rPr>
          <w:color w:val="211E1F"/>
          <w:spacing w:val="-3"/>
        </w:rPr>
        <w:t xml:space="preserve"> </w:t>
      </w:r>
      <w:r w:rsidRPr="00D4309F">
        <w:rPr>
          <w:color w:val="211E1F"/>
        </w:rPr>
        <w:t>80%,</w:t>
      </w:r>
      <w:r w:rsidRPr="00D4309F">
        <w:rPr>
          <w:color w:val="211E1F"/>
          <w:spacing w:val="-3"/>
        </w:rPr>
        <w:t xml:space="preserve"> </w:t>
      </w:r>
      <w:r w:rsidRPr="00D4309F">
        <w:rPr>
          <w:color w:val="211E1F"/>
        </w:rPr>
        <w:t>with</w:t>
      </w:r>
      <w:r w:rsidRPr="00D4309F">
        <w:rPr>
          <w:color w:val="211E1F"/>
          <w:spacing w:val="-3"/>
        </w:rPr>
        <w:t xml:space="preserve"> </w:t>
      </w:r>
      <w:r w:rsidRPr="00D4309F">
        <w:rPr>
          <w:color w:val="211E1F"/>
        </w:rPr>
        <w:t>typical</w:t>
      </w:r>
      <w:r w:rsidRPr="00D4309F">
        <w:rPr>
          <w:color w:val="211E1F"/>
          <w:spacing w:val="-4"/>
        </w:rPr>
        <w:t xml:space="preserve"> </w:t>
      </w:r>
      <w:r w:rsidRPr="00D4309F">
        <w:rPr>
          <w:color w:val="211E1F"/>
        </w:rPr>
        <w:t>entrance</w:t>
      </w:r>
      <w:r w:rsidRPr="00D4309F">
        <w:rPr>
          <w:color w:val="211E1F"/>
          <w:spacing w:val="-3"/>
        </w:rPr>
        <w:t xml:space="preserve"> </w:t>
      </w:r>
      <w:r w:rsidRPr="00D4309F">
        <w:rPr>
          <w:color w:val="211E1F"/>
        </w:rPr>
        <w:t>wave</w:t>
      </w:r>
      <w:r w:rsidRPr="00D4309F">
        <w:rPr>
          <w:color w:val="211E1F"/>
          <w:spacing w:val="-3"/>
        </w:rPr>
        <w:t xml:space="preserve"> </w:t>
      </w:r>
      <w:r w:rsidRPr="00D4309F">
        <w:rPr>
          <w:color w:val="211E1F"/>
        </w:rPr>
        <w:t>heights</w:t>
      </w:r>
      <w:r w:rsidRPr="00D4309F">
        <w:rPr>
          <w:color w:val="211E1F"/>
          <w:spacing w:val="-3"/>
        </w:rPr>
        <w:t xml:space="preserve"> </w:t>
      </w:r>
      <w:r w:rsidRPr="00D4309F">
        <w:rPr>
          <w:color w:val="211E1F"/>
        </w:rPr>
        <w:t>&lt;</w:t>
      </w:r>
      <w:r w:rsidRPr="00D4309F">
        <w:rPr>
          <w:color w:val="211E1F"/>
          <w:spacing w:val="-2"/>
        </w:rPr>
        <w:t xml:space="preserve"> </w:t>
      </w:r>
      <w:r w:rsidRPr="00D4309F">
        <w:rPr>
          <w:color w:val="211E1F"/>
        </w:rPr>
        <w:t>0.5</w:t>
      </w:r>
      <w:r w:rsidRPr="00D4309F">
        <w:rPr>
          <w:color w:val="211E1F"/>
          <w:spacing w:val="-4"/>
        </w:rPr>
        <w:t xml:space="preserve"> </w:t>
      </w:r>
      <w:r w:rsidRPr="00D4309F">
        <w:rPr>
          <w:color w:val="211E1F"/>
          <w:spacing w:val="-10"/>
        </w:rPr>
        <w:t>m</w:t>
      </w:r>
    </w:p>
    <w:p w14:paraId="5345A9AB" w14:textId="77777777" w:rsidR="00725977" w:rsidRPr="00D4309F" w:rsidRDefault="00725977" w:rsidP="00D27F26">
      <w:pPr>
        <w:pStyle w:val="ListParagraph"/>
        <w:widowControl w:val="0"/>
        <w:numPr>
          <w:ilvl w:val="0"/>
          <w:numId w:val="291"/>
        </w:numPr>
        <w:tabs>
          <w:tab w:val="left" w:pos="501"/>
        </w:tabs>
        <w:autoSpaceDE w:val="0"/>
        <w:autoSpaceDN w:val="0"/>
        <w:spacing w:before="118" w:after="0" w:line="240" w:lineRule="auto"/>
        <w:ind w:right="786"/>
        <w:contextualSpacing w:val="0"/>
      </w:pPr>
      <w:r w:rsidRPr="00D4309F">
        <w:rPr>
          <w:color w:val="211E1F"/>
        </w:rPr>
        <w:t>Reduces</w:t>
      </w:r>
      <w:r w:rsidRPr="00D4309F">
        <w:rPr>
          <w:color w:val="211E1F"/>
          <w:spacing w:val="-2"/>
        </w:rPr>
        <w:t xml:space="preserve"> </w:t>
      </w:r>
      <w:r w:rsidRPr="00D4309F">
        <w:rPr>
          <w:color w:val="211E1F"/>
        </w:rPr>
        <w:t>natural</w:t>
      </w:r>
      <w:r w:rsidRPr="00D4309F">
        <w:rPr>
          <w:color w:val="211E1F"/>
          <w:spacing w:val="-3"/>
        </w:rPr>
        <w:t xml:space="preserve"> </w:t>
      </w:r>
      <w:r w:rsidRPr="00D4309F">
        <w:rPr>
          <w:color w:val="211E1F"/>
        </w:rPr>
        <w:t>sand</w:t>
      </w:r>
      <w:r w:rsidRPr="00D4309F">
        <w:rPr>
          <w:color w:val="211E1F"/>
          <w:spacing w:val="-3"/>
        </w:rPr>
        <w:t xml:space="preserve"> </w:t>
      </w:r>
      <w:r w:rsidRPr="00D4309F">
        <w:rPr>
          <w:color w:val="211E1F"/>
        </w:rPr>
        <w:t>bypassing</w:t>
      </w:r>
      <w:r w:rsidRPr="00D4309F">
        <w:rPr>
          <w:color w:val="211E1F"/>
          <w:spacing w:val="-3"/>
        </w:rPr>
        <w:t xml:space="preserve"> </w:t>
      </w:r>
      <w:r w:rsidRPr="00D4309F">
        <w:rPr>
          <w:color w:val="211E1F"/>
        </w:rPr>
        <w:t>to</w:t>
      </w:r>
      <w:r w:rsidRPr="00D4309F">
        <w:rPr>
          <w:color w:val="211E1F"/>
          <w:spacing w:val="-3"/>
        </w:rPr>
        <w:t xml:space="preserve"> </w:t>
      </w:r>
      <w:r w:rsidRPr="00D4309F">
        <w:rPr>
          <w:color w:val="211E1F"/>
        </w:rPr>
        <w:t>less</w:t>
      </w:r>
      <w:r w:rsidRPr="00D4309F">
        <w:rPr>
          <w:color w:val="211E1F"/>
          <w:spacing w:val="-3"/>
        </w:rPr>
        <w:t xml:space="preserve"> </w:t>
      </w:r>
      <w:r w:rsidRPr="00D4309F">
        <w:rPr>
          <w:color w:val="211E1F"/>
        </w:rPr>
        <w:t>than</w:t>
      </w:r>
      <w:r w:rsidRPr="00D4309F">
        <w:rPr>
          <w:color w:val="211E1F"/>
          <w:spacing w:val="-3"/>
        </w:rPr>
        <w:t xml:space="preserve"> </w:t>
      </w:r>
      <w:r w:rsidRPr="00D4309F">
        <w:rPr>
          <w:color w:val="211E1F"/>
        </w:rPr>
        <w:t>~10%</w:t>
      </w:r>
      <w:r w:rsidRPr="00D4309F">
        <w:rPr>
          <w:color w:val="211E1F"/>
          <w:spacing w:val="-2"/>
        </w:rPr>
        <w:t xml:space="preserve"> </w:t>
      </w:r>
      <w:r w:rsidRPr="00D4309F">
        <w:rPr>
          <w:color w:val="211E1F"/>
        </w:rPr>
        <w:t>of</w:t>
      </w:r>
      <w:r w:rsidRPr="00D4309F">
        <w:rPr>
          <w:color w:val="211E1F"/>
          <w:spacing w:val="-3"/>
        </w:rPr>
        <w:t xml:space="preserve"> </w:t>
      </w:r>
      <w:r w:rsidRPr="00D4309F">
        <w:rPr>
          <w:color w:val="211E1F"/>
        </w:rPr>
        <w:t>baseline</w:t>
      </w:r>
      <w:r w:rsidRPr="00D4309F">
        <w:rPr>
          <w:color w:val="211E1F"/>
          <w:spacing w:val="-3"/>
        </w:rPr>
        <w:t xml:space="preserve"> </w:t>
      </w:r>
      <w:r w:rsidRPr="00D4309F">
        <w:rPr>
          <w:color w:val="211E1F"/>
        </w:rPr>
        <w:t>volumes</w:t>
      </w:r>
      <w:r w:rsidRPr="00D4309F">
        <w:rPr>
          <w:color w:val="211E1F"/>
          <w:spacing w:val="-2"/>
        </w:rPr>
        <w:t xml:space="preserve"> </w:t>
      </w:r>
      <w:r w:rsidRPr="00D4309F">
        <w:rPr>
          <w:color w:val="211E1F"/>
        </w:rPr>
        <w:t>natural</w:t>
      </w:r>
      <w:r w:rsidRPr="00D4309F">
        <w:rPr>
          <w:color w:val="211E1F"/>
          <w:spacing w:val="-3"/>
        </w:rPr>
        <w:t xml:space="preserve"> </w:t>
      </w:r>
      <w:r w:rsidRPr="00D4309F">
        <w:rPr>
          <w:color w:val="211E1F"/>
        </w:rPr>
        <w:t>sand</w:t>
      </w:r>
      <w:r w:rsidRPr="00D4309F">
        <w:rPr>
          <w:color w:val="211E1F"/>
          <w:spacing w:val="-4"/>
        </w:rPr>
        <w:t xml:space="preserve"> </w:t>
      </w:r>
      <w:r w:rsidRPr="00D4309F">
        <w:rPr>
          <w:color w:val="211E1F"/>
        </w:rPr>
        <w:t>bypassing (including depths beyond channel) reduced from ~96,500 m</w:t>
      </w:r>
      <w:r w:rsidRPr="00D4309F">
        <w:rPr>
          <w:color w:val="211E1F"/>
          <w:vertAlign w:val="superscript"/>
        </w:rPr>
        <w:t>3</w:t>
      </w:r>
      <w:r w:rsidRPr="00D4309F">
        <w:rPr>
          <w:color w:val="211E1F"/>
        </w:rPr>
        <w:t xml:space="preserve"> to approximately 8,600 m</w:t>
      </w:r>
      <w:r w:rsidRPr="00D4309F">
        <w:rPr>
          <w:color w:val="211E1F"/>
          <w:vertAlign w:val="superscript"/>
        </w:rPr>
        <w:t>3</w:t>
      </w:r>
      <w:r w:rsidRPr="00D4309F">
        <w:rPr>
          <w:color w:val="211E1F"/>
        </w:rPr>
        <w:t>.</w:t>
      </w:r>
    </w:p>
    <w:p w14:paraId="328ADA64" w14:textId="77777777" w:rsidR="00725977" w:rsidRPr="00D4309F" w:rsidRDefault="00725977" w:rsidP="00D27F26">
      <w:pPr>
        <w:pStyle w:val="ListParagraph"/>
        <w:widowControl w:val="0"/>
        <w:numPr>
          <w:ilvl w:val="0"/>
          <w:numId w:val="291"/>
        </w:numPr>
        <w:tabs>
          <w:tab w:val="left" w:pos="501"/>
        </w:tabs>
        <w:autoSpaceDE w:val="0"/>
        <w:autoSpaceDN w:val="0"/>
        <w:spacing w:before="119" w:after="0" w:line="240" w:lineRule="auto"/>
        <w:ind w:right="169"/>
        <w:contextualSpacing w:val="0"/>
      </w:pPr>
      <w:r w:rsidRPr="00D4309F">
        <w:rPr>
          <w:color w:val="211E1F"/>
        </w:rPr>
        <w:t>Maintains</w:t>
      </w:r>
      <w:r w:rsidRPr="00D4309F">
        <w:rPr>
          <w:color w:val="211E1F"/>
          <w:spacing w:val="-2"/>
        </w:rPr>
        <w:t xml:space="preserve"> </w:t>
      </w:r>
      <w:r w:rsidRPr="00D4309F">
        <w:rPr>
          <w:color w:val="211E1F"/>
        </w:rPr>
        <w:t>reliable</w:t>
      </w:r>
      <w:r w:rsidRPr="00D4309F">
        <w:rPr>
          <w:color w:val="211E1F"/>
          <w:spacing w:val="-3"/>
        </w:rPr>
        <w:t xml:space="preserve"> </w:t>
      </w:r>
      <w:r w:rsidRPr="00D4309F">
        <w:rPr>
          <w:color w:val="211E1F"/>
        </w:rPr>
        <w:t>navigation</w:t>
      </w:r>
      <w:r w:rsidRPr="00D4309F">
        <w:rPr>
          <w:color w:val="211E1F"/>
          <w:spacing w:val="-3"/>
        </w:rPr>
        <w:t xml:space="preserve"> </w:t>
      </w:r>
      <w:r w:rsidRPr="00D4309F">
        <w:rPr>
          <w:color w:val="211E1F"/>
        </w:rPr>
        <w:t>depths,</w:t>
      </w:r>
      <w:r w:rsidRPr="00D4309F">
        <w:rPr>
          <w:color w:val="211E1F"/>
          <w:spacing w:val="-3"/>
        </w:rPr>
        <w:t xml:space="preserve"> </w:t>
      </w:r>
      <w:r w:rsidRPr="00D4309F">
        <w:rPr>
          <w:color w:val="211E1F"/>
        </w:rPr>
        <w:t>with</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entrance</w:t>
      </w:r>
      <w:r w:rsidRPr="00D4309F">
        <w:rPr>
          <w:color w:val="211E1F"/>
          <w:spacing w:val="-3"/>
        </w:rPr>
        <w:t xml:space="preserve"> </w:t>
      </w:r>
      <w:r w:rsidRPr="00D4309F">
        <w:rPr>
          <w:color w:val="211E1F"/>
        </w:rPr>
        <w:t>channel</w:t>
      </w:r>
      <w:r w:rsidRPr="00D4309F">
        <w:rPr>
          <w:color w:val="211E1F"/>
          <w:spacing w:val="-4"/>
        </w:rPr>
        <w:t xml:space="preserve"> </w:t>
      </w:r>
      <w:r w:rsidRPr="00D4309F">
        <w:rPr>
          <w:color w:val="211E1F"/>
        </w:rPr>
        <w:t>consistently</w:t>
      </w:r>
      <w:r w:rsidRPr="00D4309F">
        <w:rPr>
          <w:color w:val="211E1F"/>
          <w:spacing w:val="-2"/>
        </w:rPr>
        <w:t xml:space="preserve"> </w:t>
      </w:r>
      <w:r w:rsidRPr="00D4309F">
        <w:rPr>
          <w:color w:val="211E1F"/>
        </w:rPr>
        <w:t>modelled</w:t>
      </w:r>
      <w:r w:rsidRPr="00D4309F">
        <w:rPr>
          <w:color w:val="211E1F"/>
          <w:spacing w:val="-3"/>
        </w:rPr>
        <w:t xml:space="preserve"> </w:t>
      </w:r>
      <w:r w:rsidRPr="00D4309F">
        <w:rPr>
          <w:color w:val="211E1F"/>
        </w:rPr>
        <w:t>to</w:t>
      </w:r>
      <w:r w:rsidRPr="00D4309F">
        <w:rPr>
          <w:color w:val="211E1F"/>
          <w:spacing w:val="-3"/>
        </w:rPr>
        <w:t xml:space="preserve"> </w:t>
      </w:r>
      <w:r w:rsidRPr="00D4309F">
        <w:rPr>
          <w:color w:val="211E1F"/>
        </w:rPr>
        <w:t>remain</w:t>
      </w:r>
      <w:r w:rsidRPr="00D4309F">
        <w:rPr>
          <w:color w:val="211E1F"/>
          <w:spacing w:val="-3"/>
        </w:rPr>
        <w:t xml:space="preserve"> </w:t>
      </w:r>
      <w:r w:rsidRPr="00D4309F">
        <w:rPr>
          <w:color w:val="211E1F"/>
        </w:rPr>
        <w:t>deeper than -3 m LAT.</w:t>
      </w:r>
    </w:p>
    <w:p w14:paraId="13E8FCEE" w14:textId="77777777" w:rsidR="00725977" w:rsidRPr="00D4309F" w:rsidRDefault="00725977" w:rsidP="00D27F26">
      <w:pPr>
        <w:pStyle w:val="ListParagraph"/>
        <w:widowControl w:val="0"/>
        <w:numPr>
          <w:ilvl w:val="0"/>
          <w:numId w:val="291"/>
        </w:numPr>
        <w:tabs>
          <w:tab w:val="left" w:pos="501"/>
        </w:tabs>
        <w:autoSpaceDE w:val="0"/>
        <w:autoSpaceDN w:val="0"/>
        <w:spacing w:before="118" w:after="0" w:line="240" w:lineRule="auto"/>
        <w:ind w:right="244"/>
        <w:contextualSpacing w:val="0"/>
      </w:pPr>
      <w:r w:rsidRPr="00D4309F">
        <w:rPr>
          <w:color w:val="211E1F"/>
        </w:rPr>
        <w:t>Formation</w:t>
      </w:r>
      <w:r w:rsidRPr="00D4309F">
        <w:rPr>
          <w:color w:val="211E1F"/>
          <w:spacing w:val="-2"/>
        </w:rPr>
        <w:t xml:space="preserve"> </w:t>
      </w:r>
      <w:r w:rsidRPr="00D4309F">
        <w:rPr>
          <w:color w:val="211E1F"/>
        </w:rPr>
        <w:t>of</w:t>
      </w:r>
      <w:r w:rsidRPr="00D4309F">
        <w:rPr>
          <w:color w:val="211E1F"/>
          <w:spacing w:val="-2"/>
        </w:rPr>
        <w:t xml:space="preserve"> </w:t>
      </w:r>
      <w:r w:rsidRPr="00D4309F">
        <w:rPr>
          <w:color w:val="211E1F"/>
        </w:rPr>
        <w:t>a</w:t>
      </w:r>
      <w:r w:rsidRPr="00D4309F">
        <w:rPr>
          <w:color w:val="211E1F"/>
          <w:spacing w:val="-2"/>
        </w:rPr>
        <w:t xml:space="preserve"> </w:t>
      </w:r>
      <w:r w:rsidRPr="00D4309F">
        <w:rPr>
          <w:color w:val="211E1F"/>
        </w:rPr>
        <w:t>distinct</w:t>
      </w:r>
      <w:r w:rsidRPr="00D4309F">
        <w:rPr>
          <w:color w:val="211E1F"/>
          <w:spacing w:val="-2"/>
        </w:rPr>
        <w:t xml:space="preserve"> </w:t>
      </w:r>
      <w:r w:rsidRPr="00D4309F">
        <w:rPr>
          <w:color w:val="211E1F"/>
        </w:rPr>
        <w:t>updrift</w:t>
      </w:r>
      <w:r w:rsidRPr="00D4309F">
        <w:rPr>
          <w:color w:val="211E1F"/>
          <w:spacing w:val="-2"/>
        </w:rPr>
        <w:t xml:space="preserve"> </w:t>
      </w:r>
      <w:r w:rsidRPr="00D4309F">
        <w:rPr>
          <w:color w:val="211E1F"/>
        </w:rPr>
        <w:t>sand</w:t>
      </w:r>
      <w:r w:rsidRPr="00D4309F">
        <w:rPr>
          <w:color w:val="211E1F"/>
          <w:spacing w:val="-3"/>
        </w:rPr>
        <w:t xml:space="preserve"> </w:t>
      </w:r>
      <w:r w:rsidRPr="00D4309F">
        <w:rPr>
          <w:color w:val="211E1F"/>
        </w:rPr>
        <w:t>compartment</w:t>
      </w:r>
      <w:r w:rsidRPr="00D4309F">
        <w:rPr>
          <w:color w:val="211E1F"/>
          <w:spacing w:val="-3"/>
        </w:rPr>
        <w:t xml:space="preserve"> </w:t>
      </w:r>
      <w:r w:rsidRPr="00D4309F">
        <w:rPr>
          <w:color w:val="211E1F"/>
        </w:rPr>
        <w:t>(up</w:t>
      </w:r>
      <w:r w:rsidRPr="00D4309F">
        <w:rPr>
          <w:color w:val="211E1F"/>
          <w:spacing w:val="-3"/>
        </w:rPr>
        <w:t xml:space="preserve"> </w:t>
      </w:r>
      <w:r w:rsidRPr="00D4309F">
        <w:rPr>
          <w:color w:val="211E1F"/>
        </w:rPr>
        <w:t>to</w:t>
      </w:r>
      <w:r w:rsidRPr="00D4309F">
        <w:rPr>
          <w:color w:val="211E1F"/>
          <w:spacing w:val="-2"/>
        </w:rPr>
        <w:t xml:space="preserve"> </w:t>
      </w:r>
      <w:r w:rsidRPr="00D4309F">
        <w:rPr>
          <w:color w:val="211E1F"/>
        </w:rPr>
        <w:t>~5</w:t>
      </w:r>
      <w:r w:rsidRPr="00D4309F">
        <w:rPr>
          <w:color w:val="211E1F"/>
          <w:spacing w:val="-2"/>
        </w:rPr>
        <w:t xml:space="preserve"> </w:t>
      </w:r>
      <w:r w:rsidRPr="00D4309F">
        <w:rPr>
          <w:color w:val="211E1F"/>
        </w:rPr>
        <w:t>m</w:t>
      </w:r>
      <w:r w:rsidRPr="00D4309F">
        <w:rPr>
          <w:color w:val="211E1F"/>
          <w:spacing w:val="-2"/>
        </w:rPr>
        <w:t xml:space="preserve"> </w:t>
      </w:r>
      <w:r w:rsidRPr="00D4309F">
        <w:rPr>
          <w:color w:val="211E1F"/>
        </w:rPr>
        <w:t>thick)</w:t>
      </w:r>
      <w:r w:rsidRPr="00D4309F">
        <w:rPr>
          <w:color w:val="211E1F"/>
          <w:spacing w:val="-3"/>
        </w:rPr>
        <w:t xml:space="preserve"> </w:t>
      </w:r>
      <w:r w:rsidRPr="00D4309F">
        <w:rPr>
          <w:color w:val="211E1F"/>
        </w:rPr>
        <w:t>that</w:t>
      </w:r>
      <w:r w:rsidRPr="00D4309F">
        <w:rPr>
          <w:color w:val="211E1F"/>
          <w:spacing w:val="-2"/>
        </w:rPr>
        <w:t xml:space="preserve"> </w:t>
      </w:r>
      <w:r w:rsidRPr="00D4309F">
        <w:rPr>
          <w:color w:val="211E1F"/>
        </w:rPr>
        <w:t>could</w:t>
      </w:r>
      <w:r w:rsidRPr="00D4309F">
        <w:rPr>
          <w:color w:val="211E1F"/>
          <w:spacing w:val="-2"/>
        </w:rPr>
        <w:t xml:space="preserve"> </w:t>
      </w:r>
      <w:r w:rsidRPr="00D4309F">
        <w:rPr>
          <w:color w:val="211E1F"/>
        </w:rPr>
        <w:t>be</w:t>
      </w:r>
      <w:r w:rsidRPr="00D4309F">
        <w:rPr>
          <w:color w:val="211E1F"/>
          <w:spacing w:val="-3"/>
        </w:rPr>
        <w:t xml:space="preserve"> </w:t>
      </w:r>
      <w:r w:rsidRPr="00D4309F">
        <w:rPr>
          <w:color w:val="211E1F"/>
        </w:rPr>
        <w:t>periodically</w:t>
      </w:r>
      <w:r w:rsidRPr="00D4309F">
        <w:rPr>
          <w:color w:val="211E1F"/>
          <w:spacing w:val="-2"/>
        </w:rPr>
        <w:t xml:space="preserve"> </w:t>
      </w:r>
      <w:r w:rsidRPr="00D4309F">
        <w:rPr>
          <w:color w:val="211E1F"/>
        </w:rPr>
        <w:t>extracted and bypassed mechanically</w:t>
      </w:r>
    </w:p>
    <w:p w14:paraId="6C3BFEB0" w14:textId="77777777" w:rsidR="00725977" w:rsidRPr="00D4309F" w:rsidRDefault="00725977" w:rsidP="00725977">
      <w:pPr>
        <w:pStyle w:val="BodyText"/>
      </w:pPr>
      <w:r w:rsidRPr="00D4309F">
        <w:t>The</w:t>
      </w:r>
      <w:r w:rsidRPr="00D4309F">
        <w:rPr>
          <w:spacing w:val="-1"/>
        </w:rPr>
        <w:t xml:space="preserve"> </w:t>
      </w:r>
      <w:r w:rsidRPr="00D4309F">
        <w:t>2018</w:t>
      </w:r>
      <w:r w:rsidRPr="00D4309F">
        <w:rPr>
          <w:spacing w:val="-1"/>
        </w:rPr>
        <w:t xml:space="preserve"> </w:t>
      </w:r>
      <w:r w:rsidRPr="00D4309F">
        <w:t>modelling</w:t>
      </w:r>
      <w:r w:rsidRPr="00D4309F">
        <w:rPr>
          <w:spacing w:val="-1"/>
        </w:rPr>
        <w:t xml:space="preserve"> </w:t>
      </w:r>
      <w:r w:rsidRPr="00D4309F">
        <w:t>extended</w:t>
      </w:r>
      <w:r w:rsidRPr="00D4309F">
        <w:rPr>
          <w:spacing w:val="-1"/>
        </w:rPr>
        <w:t xml:space="preserve"> </w:t>
      </w:r>
      <w:r w:rsidRPr="00D4309F">
        <w:t>the</w:t>
      </w:r>
      <w:r w:rsidRPr="00D4309F">
        <w:rPr>
          <w:spacing w:val="-1"/>
        </w:rPr>
        <w:t xml:space="preserve"> </w:t>
      </w:r>
      <w:r w:rsidRPr="00D4309F">
        <w:t>analysis to</w:t>
      </w:r>
      <w:r w:rsidRPr="00D4309F">
        <w:rPr>
          <w:spacing w:val="-1"/>
        </w:rPr>
        <w:t xml:space="preserve"> </w:t>
      </w:r>
      <w:r w:rsidRPr="00D4309F">
        <w:t>assess</w:t>
      </w:r>
      <w:r w:rsidRPr="00D4309F">
        <w:rPr>
          <w:spacing w:val="-1"/>
        </w:rPr>
        <w:t xml:space="preserve"> </w:t>
      </w:r>
      <w:r w:rsidRPr="00D4309F">
        <w:t>longer-term</w:t>
      </w:r>
      <w:r w:rsidRPr="00D4309F">
        <w:rPr>
          <w:spacing w:val="-1"/>
        </w:rPr>
        <w:t xml:space="preserve"> </w:t>
      </w:r>
      <w:r w:rsidRPr="00D4309F">
        <w:t>performance</w:t>
      </w:r>
      <w:r w:rsidRPr="00D4309F">
        <w:rPr>
          <w:spacing w:val="-1"/>
        </w:rPr>
        <w:t xml:space="preserve"> </w:t>
      </w:r>
      <w:r w:rsidRPr="00D4309F">
        <w:t>under</w:t>
      </w:r>
      <w:r w:rsidRPr="00D4309F">
        <w:rPr>
          <w:spacing w:val="-2"/>
        </w:rPr>
        <w:t xml:space="preserve"> </w:t>
      </w:r>
      <w:r w:rsidRPr="00D4309F">
        <w:t>sequential</w:t>
      </w:r>
      <w:r w:rsidRPr="00D4309F">
        <w:rPr>
          <w:spacing w:val="-1"/>
        </w:rPr>
        <w:t xml:space="preserve"> </w:t>
      </w:r>
      <w:r w:rsidRPr="00D4309F">
        <w:t>storm</w:t>
      </w:r>
      <w:r w:rsidRPr="00D4309F">
        <w:rPr>
          <w:spacing w:val="-1"/>
        </w:rPr>
        <w:t xml:space="preserve"> </w:t>
      </w:r>
      <w:r w:rsidRPr="00D4309F">
        <w:t>and shoaling</w:t>
      </w:r>
      <w:r w:rsidRPr="00D4309F">
        <w:rPr>
          <w:spacing w:val="-3"/>
        </w:rPr>
        <w:t xml:space="preserve"> </w:t>
      </w:r>
      <w:r w:rsidRPr="00D4309F">
        <w:t>events,</w:t>
      </w:r>
      <w:r w:rsidRPr="00D4309F">
        <w:rPr>
          <w:spacing w:val="-3"/>
        </w:rPr>
        <w:t xml:space="preserve"> </w:t>
      </w:r>
      <w:r w:rsidRPr="00D4309F">
        <w:t>particularly</w:t>
      </w:r>
      <w:r w:rsidRPr="00D4309F">
        <w:rPr>
          <w:spacing w:val="-2"/>
        </w:rPr>
        <w:t xml:space="preserve"> </w:t>
      </w:r>
      <w:r w:rsidRPr="00D4309F">
        <w:t>in</w:t>
      </w:r>
      <w:r w:rsidRPr="00D4309F">
        <w:rPr>
          <w:spacing w:val="-3"/>
        </w:rPr>
        <w:t xml:space="preserve"> </w:t>
      </w:r>
      <w:r w:rsidRPr="00D4309F">
        <w:t>scenarios</w:t>
      </w:r>
      <w:r w:rsidRPr="00D4309F">
        <w:rPr>
          <w:spacing w:val="-2"/>
        </w:rPr>
        <w:t xml:space="preserve"> </w:t>
      </w:r>
      <w:r w:rsidRPr="00D4309F">
        <w:t>where</w:t>
      </w:r>
      <w:r w:rsidRPr="00D4309F">
        <w:rPr>
          <w:spacing w:val="-3"/>
        </w:rPr>
        <w:t xml:space="preserve"> </w:t>
      </w:r>
      <w:r w:rsidRPr="00D4309F">
        <w:t>the</w:t>
      </w:r>
      <w:r w:rsidRPr="00D4309F">
        <w:rPr>
          <w:spacing w:val="-3"/>
        </w:rPr>
        <w:t xml:space="preserve"> </w:t>
      </w:r>
      <w:r w:rsidRPr="00D4309F">
        <w:t>updrift</w:t>
      </w:r>
      <w:r w:rsidRPr="00D4309F">
        <w:rPr>
          <w:spacing w:val="-3"/>
        </w:rPr>
        <w:t xml:space="preserve"> </w:t>
      </w:r>
      <w:r w:rsidRPr="00D4309F">
        <w:t>compartment</w:t>
      </w:r>
      <w:r w:rsidRPr="00D4309F">
        <w:rPr>
          <w:spacing w:val="-3"/>
        </w:rPr>
        <w:t xml:space="preserve"> </w:t>
      </w:r>
      <w:r w:rsidRPr="00D4309F">
        <w:t>is</w:t>
      </w:r>
      <w:r w:rsidRPr="00D4309F">
        <w:rPr>
          <w:spacing w:val="-2"/>
        </w:rPr>
        <w:t xml:space="preserve"> </w:t>
      </w:r>
      <w:r w:rsidRPr="00D4309F">
        <w:t>not</w:t>
      </w:r>
      <w:r w:rsidRPr="00D4309F">
        <w:rPr>
          <w:spacing w:val="-3"/>
        </w:rPr>
        <w:t xml:space="preserve"> </w:t>
      </w:r>
      <w:r w:rsidRPr="00D4309F">
        <w:t>maintained</w:t>
      </w:r>
      <w:r w:rsidRPr="00D4309F">
        <w:rPr>
          <w:spacing w:val="-3"/>
        </w:rPr>
        <w:t xml:space="preserve"> </w:t>
      </w:r>
      <w:r w:rsidRPr="00D4309F">
        <w:t>below</w:t>
      </w:r>
      <w:r w:rsidRPr="00D4309F">
        <w:rPr>
          <w:spacing w:val="-2"/>
        </w:rPr>
        <w:t xml:space="preserve"> </w:t>
      </w:r>
      <w:r w:rsidRPr="00D4309F">
        <w:t>its</w:t>
      </w:r>
      <w:r w:rsidRPr="00D4309F">
        <w:rPr>
          <w:spacing w:val="-2"/>
        </w:rPr>
        <w:t xml:space="preserve"> </w:t>
      </w:r>
      <w:r w:rsidRPr="00D4309F">
        <w:t>design capacity. Results showed that once the compartment reaches full capacity, natural bypassing resumes, allowing sediment to enter the navigation channel and offshore areas.</w:t>
      </w:r>
    </w:p>
    <w:p w14:paraId="54A6AA09" w14:textId="77777777" w:rsidR="00725977" w:rsidRPr="00D4309F" w:rsidRDefault="00725977" w:rsidP="00D27F26">
      <w:pPr>
        <w:pStyle w:val="ListParagraph"/>
        <w:widowControl w:val="0"/>
        <w:numPr>
          <w:ilvl w:val="0"/>
          <w:numId w:val="291"/>
        </w:numPr>
        <w:tabs>
          <w:tab w:val="left" w:pos="500"/>
        </w:tabs>
        <w:autoSpaceDE w:val="0"/>
        <w:autoSpaceDN w:val="0"/>
        <w:spacing w:before="91" w:after="0" w:line="240" w:lineRule="auto"/>
        <w:ind w:left="500" w:right="994"/>
        <w:contextualSpacing w:val="0"/>
      </w:pPr>
      <w:r w:rsidRPr="00D4309F">
        <w:rPr>
          <w:color w:val="211E1F"/>
        </w:rPr>
        <w:t>During</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first</w:t>
      </w:r>
      <w:r w:rsidRPr="00D4309F">
        <w:rPr>
          <w:color w:val="211E1F"/>
          <w:spacing w:val="-3"/>
        </w:rPr>
        <w:t xml:space="preserve"> </w:t>
      </w:r>
      <w:r w:rsidRPr="00D4309F">
        <w:rPr>
          <w:color w:val="211E1F"/>
        </w:rPr>
        <w:t>design</w:t>
      </w:r>
      <w:r w:rsidRPr="00D4309F">
        <w:rPr>
          <w:color w:val="211E1F"/>
          <w:spacing w:val="-3"/>
        </w:rPr>
        <w:t xml:space="preserve"> </w:t>
      </w:r>
      <w:r w:rsidRPr="00D4309F">
        <w:rPr>
          <w:color w:val="211E1F"/>
        </w:rPr>
        <w:t>shoaling</w:t>
      </w:r>
      <w:r w:rsidRPr="00D4309F">
        <w:rPr>
          <w:color w:val="211E1F"/>
          <w:spacing w:val="-3"/>
        </w:rPr>
        <w:t xml:space="preserve"> </w:t>
      </w:r>
      <w:r w:rsidRPr="00D4309F">
        <w:rPr>
          <w:color w:val="211E1F"/>
        </w:rPr>
        <w:t>event</w:t>
      </w:r>
      <w:r w:rsidRPr="00D4309F">
        <w:rPr>
          <w:color w:val="211E1F"/>
          <w:spacing w:val="-3"/>
        </w:rPr>
        <w:t xml:space="preserve"> </w:t>
      </w:r>
      <w:r w:rsidRPr="00D4309F">
        <w:rPr>
          <w:color w:val="211E1F"/>
        </w:rPr>
        <w:t>(based</w:t>
      </w:r>
      <w:r w:rsidRPr="00D4309F">
        <w:rPr>
          <w:color w:val="211E1F"/>
          <w:spacing w:val="-3"/>
        </w:rPr>
        <w:t xml:space="preserve"> </w:t>
      </w:r>
      <w:r w:rsidRPr="00D4309F">
        <w:rPr>
          <w:color w:val="211E1F"/>
        </w:rPr>
        <w:t>on</w:t>
      </w:r>
      <w:r w:rsidRPr="00D4309F">
        <w:rPr>
          <w:color w:val="211E1F"/>
          <w:spacing w:val="-3"/>
        </w:rPr>
        <w:t xml:space="preserve"> </w:t>
      </w:r>
      <w:r w:rsidRPr="00D4309F">
        <w:rPr>
          <w:color w:val="211E1F"/>
        </w:rPr>
        <w:t>2011–2012</w:t>
      </w:r>
      <w:r w:rsidRPr="00D4309F">
        <w:rPr>
          <w:color w:val="211E1F"/>
          <w:spacing w:val="-3"/>
        </w:rPr>
        <w:t xml:space="preserve"> </w:t>
      </w:r>
      <w:r w:rsidRPr="00D4309F">
        <w:rPr>
          <w:color w:val="211E1F"/>
        </w:rPr>
        <w:t>data),</w:t>
      </w:r>
      <w:r w:rsidRPr="00D4309F">
        <w:rPr>
          <w:color w:val="211E1F"/>
          <w:spacing w:val="-5"/>
        </w:rPr>
        <w:t xml:space="preserve"> </w:t>
      </w:r>
      <w:r w:rsidRPr="00D4309F">
        <w:rPr>
          <w:color w:val="211E1F"/>
        </w:rPr>
        <w:t>channel</w:t>
      </w:r>
      <w:r w:rsidRPr="00D4309F">
        <w:rPr>
          <w:color w:val="211E1F"/>
          <w:spacing w:val="-3"/>
        </w:rPr>
        <w:t xml:space="preserve"> </w:t>
      </w:r>
      <w:r w:rsidRPr="00D4309F">
        <w:rPr>
          <w:color w:val="211E1F"/>
        </w:rPr>
        <w:t>infill</w:t>
      </w:r>
      <w:r w:rsidRPr="00D4309F">
        <w:rPr>
          <w:color w:val="211E1F"/>
          <w:spacing w:val="-3"/>
        </w:rPr>
        <w:t xml:space="preserve"> </w:t>
      </w:r>
      <w:r w:rsidRPr="00D4309F">
        <w:rPr>
          <w:color w:val="211E1F"/>
        </w:rPr>
        <w:t>was</w:t>
      </w:r>
      <w:r w:rsidRPr="00D4309F">
        <w:rPr>
          <w:color w:val="211E1F"/>
          <w:spacing w:val="-2"/>
        </w:rPr>
        <w:t xml:space="preserve"> </w:t>
      </w:r>
      <w:r w:rsidRPr="00D4309F">
        <w:rPr>
          <w:color w:val="211E1F"/>
        </w:rPr>
        <w:t>limited</w:t>
      </w:r>
      <w:r w:rsidRPr="00D4309F">
        <w:rPr>
          <w:color w:val="211E1F"/>
          <w:spacing w:val="-3"/>
        </w:rPr>
        <w:t xml:space="preserve"> </w:t>
      </w:r>
      <w:r w:rsidRPr="00D4309F">
        <w:rPr>
          <w:color w:val="211E1F"/>
        </w:rPr>
        <w:t>to approximately 300 m</w:t>
      </w:r>
      <w:r w:rsidRPr="00D4309F">
        <w:rPr>
          <w:color w:val="211E1F"/>
          <w:vertAlign w:val="superscript"/>
        </w:rPr>
        <w:t>3</w:t>
      </w:r>
      <w:r w:rsidRPr="00D4309F">
        <w:rPr>
          <w:color w:val="211E1F"/>
        </w:rPr>
        <w:t>, indicating strong initial protection.</w:t>
      </w:r>
    </w:p>
    <w:p w14:paraId="6481F553" w14:textId="77777777" w:rsidR="00725977" w:rsidRPr="00D4309F" w:rsidRDefault="00725977" w:rsidP="00D27F26">
      <w:pPr>
        <w:pStyle w:val="ListParagraph"/>
        <w:widowControl w:val="0"/>
        <w:numPr>
          <w:ilvl w:val="0"/>
          <w:numId w:val="291"/>
        </w:numPr>
        <w:tabs>
          <w:tab w:val="left" w:pos="501"/>
        </w:tabs>
        <w:autoSpaceDE w:val="0"/>
        <w:autoSpaceDN w:val="0"/>
        <w:spacing w:before="90" w:after="0" w:line="240" w:lineRule="auto"/>
        <w:ind w:right="67"/>
        <w:contextualSpacing w:val="0"/>
      </w:pPr>
      <w:r w:rsidRPr="00D4309F">
        <w:rPr>
          <w:color w:val="211E1F"/>
        </w:rPr>
        <w:lastRenderedPageBreak/>
        <w:t>In</w:t>
      </w:r>
      <w:r w:rsidRPr="00D4309F">
        <w:rPr>
          <w:color w:val="211E1F"/>
          <w:spacing w:val="-2"/>
        </w:rPr>
        <w:t xml:space="preserve"> </w:t>
      </w:r>
      <w:r w:rsidRPr="00D4309F">
        <w:rPr>
          <w:color w:val="211E1F"/>
        </w:rPr>
        <w:t>the</w:t>
      </w:r>
      <w:r w:rsidRPr="00D4309F">
        <w:rPr>
          <w:color w:val="211E1F"/>
          <w:spacing w:val="-2"/>
        </w:rPr>
        <w:t xml:space="preserve"> </w:t>
      </w:r>
      <w:r w:rsidRPr="00D4309F">
        <w:rPr>
          <w:color w:val="211E1F"/>
        </w:rPr>
        <w:t>subsequent</w:t>
      </w:r>
      <w:r w:rsidRPr="00D4309F">
        <w:rPr>
          <w:color w:val="211E1F"/>
          <w:spacing w:val="-2"/>
        </w:rPr>
        <w:t xml:space="preserve"> </w:t>
      </w:r>
      <w:r w:rsidRPr="00D4309F">
        <w:rPr>
          <w:color w:val="211E1F"/>
        </w:rPr>
        <w:t>event,</w:t>
      </w:r>
      <w:r w:rsidRPr="00D4309F">
        <w:rPr>
          <w:color w:val="211E1F"/>
          <w:spacing w:val="-2"/>
        </w:rPr>
        <w:t xml:space="preserve"> </w:t>
      </w:r>
      <w:r w:rsidRPr="00D4309F">
        <w:rPr>
          <w:color w:val="211E1F"/>
        </w:rPr>
        <w:t>infill</w:t>
      </w:r>
      <w:r w:rsidRPr="00D4309F">
        <w:rPr>
          <w:color w:val="211E1F"/>
          <w:spacing w:val="-2"/>
        </w:rPr>
        <w:t xml:space="preserve"> </w:t>
      </w:r>
      <w:r w:rsidRPr="00D4309F">
        <w:rPr>
          <w:color w:val="211E1F"/>
        </w:rPr>
        <w:t>increased</w:t>
      </w:r>
      <w:r w:rsidRPr="00D4309F">
        <w:rPr>
          <w:color w:val="211E1F"/>
          <w:spacing w:val="-2"/>
        </w:rPr>
        <w:t xml:space="preserve"> </w:t>
      </w:r>
      <w:r w:rsidRPr="00D4309F">
        <w:rPr>
          <w:color w:val="211E1F"/>
        </w:rPr>
        <w:t>by</w:t>
      </w:r>
      <w:r w:rsidRPr="00D4309F">
        <w:rPr>
          <w:color w:val="211E1F"/>
          <w:spacing w:val="-1"/>
        </w:rPr>
        <w:t xml:space="preserve"> </w:t>
      </w:r>
      <w:r w:rsidRPr="00D4309F">
        <w:rPr>
          <w:color w:val="211E1F"/>
        </w:rPr>
        <w:t>a</w:t>
      </w:r>
      <w:r w:rsidRPr="00D4309F">
        <w:rPr>
          <w:color w:val="211E1F"/>
          <w:spacing w:val="-2"/>
        </w:rPr>
        <w:t xml:space="preserve"> </w:t>
      </w:r>
      <w:r w:rsidRPr="00D4309F">
        <w:rPr>
          <w:color w:val="211E1F"/>
        </w:rPr>
        <w:t>further</w:t>
      </w:r>
      <w:r w:rsidRPr="00D4309F">
        <w:rPr>
          <w:color w:val="211E1F"/>
          <w:spacing w:val="-1"/>
        </w:rPr>
        <w:t xml:space="preserve"> </w:t>
      </w:r>
      <w:r w:rsidRPr="00D4309F">
        <w:rPr>
          <w:color w:val="211E1F"/>
        </w:rPr>
        <w:t>~6,900</w:t>
      </w:r>
      <w:r w:rsidRPr="00D4309F">
        <w:rPr>
          <w:color w:val="211E1F"/>
          <w:spacing w:val="-3"/>
        </w:rPr>
        <w:t xml:space="preserve"> </w:t>
      </w:r>
      <w:r w:rsidRPr="00D4309F">
        <w:rPr>
          <w:color w:val="211E1F"/>
        </w:rPr>
        <w:t>m</w:t>
      </w:r>
      <w:r w:rsidRPr="00D4309F">
        <w:rPr>
          <w:color w:val="211E1F"/>
          <w:vertAlign w:val="superscript"/>
        </w:rPr>
        <w:t>3</w:t>
      </w:r>
      <w:r w:rsidRPr="00D4309F">
        <w:rPr>
          <w:color w:val="211E1F"/>
        </w:rPr>
        <w:t>,</w:t>
      </w:r>
      <w:r w:rsidRPr="00D4309F">
        <w:rPr>
          <w:color w:val="211E1F"/>
          <w:spacing w:val="-2"/>
        </w:rPr>
        <w:t xml:space="preserve"> </w:t>
      </w:r>
      <w:r w:rsidRPr="00D4309F">
        <w:rPr>
          <w:color w:val="211E1F"/>
        </w:rPr>
        <w:t>while</w:t>
      </w:r>
      <w:r w:rsidRPr="00D4309F">
        <w:rPr>
          <w:color w:val="211E1F"/>
          <w:spacing w:val="-2"/>
        </w:rPr>
        <w:t xml:space="preserve"> </w:t>
      </w:r>
      <w:r w:rsidRPr="00D4309F">
        <w:rPr>
          <w:color w:val="211E1F"/>
        </w:rPr>
        <w:t>bypassing</w:t>
      </w:r>
      <w:r w:rsidRPr="00D4309F">
        <w:rPr>
          <w:color w:val="211E1F"/>
          <w:spacing w:val="-2"/>
        </w:rPr>
        <w:t xml:space="preserve"> </w:t>
      </w:r>
      <w:r w:rsidRPr="00D4309F">
        <w:rPr>
          <w:color w:val="211E1F"/>
        </w:rPr>
        <w:t>volumes</w:t>
      </w:r>
      <w:r w:rsidRPr="00D4309F">
        <w:rPr>
          <w:color w:val="211E1F"/>
          <w:spacing w:val="-1"/>
        </w:rPr>
        <w:t xml:space="preserve"> </w:t>
      </w:r>
      <w:r w:rsidRPr="00D4309F">
        <w:rPr>
          <w:color w:val="211E1F"/>
        </w:rPr>
        <w:t>offshore</w:t>
      </w:r>
      <w:r w:rsidRPr="00D4309F">
        <w:rPr>
          <w:color w:val="211E1F"/>
          <w:spacing w:val="-2"/>
        </w:rPr>
        <w:t xml:space="preserve"> </w:t>
      </w:r>
      <w:r w:rsidRPr="00D4309F">
        <w:rPr>
          <w:color w:val="211E1F"/>
        </w:rPr>
        <w:t>of</w:t>
      </w:r>
      <w:r w:rsidRPr="00D4309F">
        <w:rPr>
          <w:color w:val="211E1F"/>
          <w:spacing w:val="-2"/>
        </w:rPr>
        <w:t xml:space="preserve"> </w:t>
      </w:r>
      <w:r w:rsidRPr="00D4309F">
        <w:rPr>
          <w:color w:val="211E1F"/>
        </w:rPr>
        <w:t xml:space="preserve">the breakwater (between </w:t>
      </w:r>
      <w:r w:rsidRPr="00D4309F">
        <w:rPr>
          <w:rFonts w:ascii="Calibri" w:hAnsi="Calibri"/>
          <w:color w:val="211E1F"/>
        </w:rPr>
        <w:t>-</w:t>
      </w:r>
      <w:r w:rsidRPr="00D4309F">
        <w:rPr>
          <w:color w:val="211E1F"/>
        </w:rPr>
        <w:t xml:space="preserve">3 m and </w:t>
      </w:r>
      <w:r w:rsidRPr="00D4309F">
        <w:rPr>
          <w:rFonts w:ascii="Calibri" w:hAnsi="Calibri"/>
          <w:color w:val="211E1F"/>
        </w:rPr>
        <w:t>-</w:t>
      </w:r>
      <w:r w:rsidRPr="00D4309F">
        <w:rPr>
          <w:color w:val="211E1F"/>
        </w:rPr>
        <w:t>9 m LAT) rose to approximately 77,600 m</w:t>
      </w:r>
      <w:r w:rsidRPr="00D4309F">
        <w:rPr>
          <w:color w:val="211E1F"/>
          <w:vertAlign w:val="superscript"/>
        </w:rPr>
        <w:t>3</w:t>
      </w:r>
      <w:r w:rsidRPr="00D4309F">
        <w:rPr>
          <w:color w:val="211E1F"/>
        </w:rPr>
        <w:t>, confirming the onset of overflow once storage is exceeded.</w:t>
      </w:r>
    </w:p>
    <w:p w14:paraId="3C6EB86F" w14:textId="4F9B3197" w:rsidR="00DB7B5A" w:rsidRPr="00D4309F" w:rsidRDefault="00725977" w:rsidP="00725977">
      <w:pPr>
        <w:pStyle w:val="BodyText"/>
      </w:pPr>
      <w:r w:rsidRPr="00D4309F">
        <w:t>These</w:t>
      </w:r>
      <w:r w:rsidRPr="00D4309F">
        <w:rPr>
          <w:spacing w:val="-3"/>
        </w:rPr>
        <w:t xml:space="preserve"> </w:t>
      </w:r>
      <w:r w:rsidRPr="00D4309F">
        <w:t>outcomes</w:t>
      </w:r>
      <w:r w:rsidRPr="00D4309F">
        <w:rPr>
          <w:spacing w:val="-2"/>
        </w:rPr>
        <w:t xml:space="preserve"> </w:t>
      </w:r>
      <w:r w:rsidRPr="00D4309F">
        <w:t>reinforce</w:t>
      </w:r>
      <w:r w:rsidRPr="00D4309F">
        <w:rPr>
          <w:spacing w:val="-4"/>
        </w:rPr>
        <w:t xml:space="preserve"> </w:t>
      </w:r>
      <w:r w:rsidRPr="00D4309F">
        <w:t>the</w:t>
      </w:r>
      <w:r w:rsidRPr="00D4309F">
        <w:rPr>
          <w:spacing w:val="-3"/>
        </w:rPr>
        <w:t xml:space="preserve"> </w:t>
      </w:r>
      <w:r w:rsidRPr="00D4309F">
        <w:t>importance</w:t>
      </w:r>
      <w:r w:rsidRPr="00D4309F">
        <w:rPr>
          <w:spacing w:val="-3"/>
        </w:rPr>
        <w:t xml:space="preserve"> </w:t>
      </w:r>
      <w:r w:rsidRPr="00D4309F">
        <w:t>of</w:t>
      </w:r>
      <w:r w:rsidRPr="00D4309F">
        <w:rPr>
          <w:spacing w:val="-3"/>
        </w:rPr>
        <w:t xml:space="preserve"> </w:t>
      </w:r>
      <w:r w:rsidRPr="00D4309F">
        <w:t>periodic</w:t>
      </w:r>
      <w:r w:rsidRPr="00D4309F">
        <w:rPr>
          <w:spacing w:val="-3"/>
        </w:rPr>
        <w:t xml:space="preserve"> </w:t>
      </w:r>
      <w:r w:rsidRPr="00D4309F">
        <w:t>sediment</w:t>
      </w:r>
      <w:r w:rsidRPr="00D4309F">
        <w:rPr>
          <w:spacing w:val="-3"/>
        </w:rPr>
        <w:t xml:space="preserve"> </w:t>
      </w:r>
      <w:r w:rsidRPr="00D4309F">
        <w:t>removal</w:t>
      </w:r>
      <w:r w:rsidRPr="00D4309F">
        <w:rPr>
          <w:spacing w:val="-3"/>
        </w:rPr>
        <w:t xml:space="preserve"> </w:t>
      </w:r>
      <w:r w:rsidRPr="00D4309F">
        <w:t>to</w:t>
      </w:r>
      <w:r w:rsidRPr="00D4309F">
        <w:rPr>
          <w:spacing w:val="-3"/>
        </w:rPr>
        <w:t xml:space="preserve"> </w:t>
      </w:r>
      <w:r w:rsidRPr="00D4309F">
        <w:t>maintain</w:t>
      </w:r>
      <w:r w:rsidRPr="00D4309F">
        <w:rPr>
          <w:spacing w:val="-3"/>
        </w:rPr>
        <w:t xml:space="preserve"> </w:t>
      </w:r>
      <w:r w:rsidRPr="00D4309F">
        <w:t>system</w:t>
      </w:r>
      <w:r w:rsidRPr="00D4309F">
        <w:rPr>
          <w:spacing w:val="-4"/>
        </w:rPr>
        <w:t xml:space="preserve"> </w:t>
      </w:r>
      <w:r w:rsidRPr="00D4309F">
        <w:t>performance. Modelling indicates an optimal dredging cycle of approximately every two years, with each campaign targeting removal of around 30,000 m</w:t>
      </w:r>
      <w:r w:rsidRPr="00D4309F">
        <w:rPr>
          <w:vertAlign w:val="superscript"/>
        </w:rPr>
        <w:t>3</w:t>
      </w:r>
      <w:r w:rsidRPr="00D4309F">
        <w:t xml:space="preserve"> from the updrift sand trap for placement on Mooloolaba Beach.</w:t>
      </w:r>
    </w:p>
    <w:p w14:paraId="5BB27D7A" w14:textId="77777777" w:rsidR="00725977" w:rsidRPr="00D4309F" w:rsidRDefault="00725977" w:rsidP="008228CB">
      <w:pPr>
        <w:pStyle w:val="Heading2"/>
      </w:pPr>
      <w:bookmarkStart w:id="393" w:name="_bookmark151"/>
      <w:bookmarkStart w:id="394" w:name="_Toc216699444"/>
      <w:bookmarkEnd w:id="393"/>
      <w:r w:rsidRPr="00D4309F">
        <w:t>Variations</w:t>
      </w:r>
      <w:r w:rsidRPr="00D4309F">
        <w:rPr>
          <w:spacing w:val="-11"/>
        </w:rPr>
        <w:t xml:space="preserve"> </w:t>
      </w:r>
      <w:r w:rsidRPr="00D4309F">
        <w:t>of</w:t>
      </w:r>
      <w:r w:rsidRPr="00D4309F">
        <w:rPr>
          <w:spacing w:val="-11"/>
        </w:rPr>
        <w:t xml:space="preserve"> </w:t>
      </w:r>
      <w:r w:rsidRPr="00D4309F">
        <w:t>Option</w:t>
      </w:r>
      <w:r w:rsidRPr="00D4309F">
        <w:rPr>
          <w:spacing w:val="-12"/>
        </w:rPr>
        <w:t xml:space="preserve"> </w:t>
      </w:r>
      <w:r w:rsidRPr="00D4309F">
        <w:rPr>
          <w:spacing w:val="-10"/>
        </w:rPr>
        <w:t>3</w:t>
      </w:r>
      <w:bookmarkEnd w:id="394"/>
    </w:p>
    <w:p w14:paraId="6984A2D6" w14:textId="77777777" w:rsidR="00725977" w:rsidRPr="00D4309F" w:rsidRDefault="00725977" w:rsidP="00725977">
      <w:pPr>
        <w:pStyle w:val="BodyText"/>
      </w:pPr>
      <w:r w:rsidRPr="00D4309F">
        <w:t>Three</w:t>
      </w:r>
      <w:r w:rsidRPr="00D4309F">
        <w:rPr>
          <w:spacing w:val="-3"/>
        </w:rPr>
        <w:t xml:space="preserve"> </w:t>
      </w:r>
      <w:r w:rsidRPr="00D4309F">
        <w:t>variations</w:t>
      </w:r>
      <w:r w:rsidRPr="00D4309F">
        <w:rPr>
          <w:spacing w:val="-2"/>
        </w:rPr>
        <w:t xml:space="preserve"> </w:t>
      </w:r>
      <w:r w:rsidRPr="00D4309F">
        <w:t>of</w:t>
      </w:r>
      <w:r w:rsidRPr="00D4309F">
        <w:rPr>
          <w:spacing w:val="-3"/>
        </w:rPr>
        <w:t xml:space="preserve"> </w:t>
      </w:r>
      <w:r w:rsidRPr="00D4309F">
        <w:t>the</w:t>
      </w:r>
      <w:r w:rsidRPr="00D4309F">
        <w:rPr>
          <w:spacing w:val="-3"/>
        </w:rPr>
        <w:t xml:space="preserve"> </w:t>
      </w:r>
      <w:r w:rsidRPr="00D4309F">
        <w:t>breakwater</w:t>
      </w:r>
      <w:r w:rsidRPr="00D4309F">
        <w:rPr>
          <w:spacing w:val="-2"/>
        </w:rPr>
        <w:t xml:space="preserve"> </w:t>
      </w:r>
      <w:r w:rsidRPr="00D4309F">
        <w:t>extension</w:t>
      </w:r>
      <w:r w:rsidRPr="00D4309F">
        <w:rPr>
          <w:spacing w:val="-3"/>
        </w:rPr>
        <w:t xml:space="preserve"> </w:t>
      </w:r>
      <w:r w:rsidRPr="00D4309F">
        <w:t>option</w:t>
      </w:r>
      <w:r w:rsidRPr="00D4309F">
        <w:rPr>
          <w:spacing w:val="-3"/>
        </w:rPr>
        <w:t xml:space="preserve"> </w:t>
      </w:r>
      <w:r w:rsidRPr="00D4309F">
        <w:t>are</w:t>
      </w:r>
      <w:r w:rsidRPr="00D4309F">
        <w:rPr>
          <w:spacing w:val="-3"/>
        </w:rPr>
        <w:t xml:space="preserve"> </w:t>
      </w:r>
      <w:r w:rsidRPr="00D4309F">
        <w:t>proposed,</w:t>
      </w:r>
      <w:r w:rsidRPr="00D4309F">
        <w:rPr>
          <w:spacing w:val="-3"/>
        </w:rPr>
        <w:t xml:space="preserve"> </w:t>
      </w:r>
      <w:r w:rsidRPr="00D4309F">
        <w:t>which</w:t>
      </w:r>
      <w:r w:rsidRPr="00D4309F">
        <w:rPr>
          <w:spacing w:val="-3"/>
        </w:rPr>
        <w:t xml:space="preserve"> </w:t>
      </w:r>
      <w:r w:rsidRPr="00D4309F">
        <w:t>differ</w:t>
      </w:r>
      <w:r w:rsidRPr="00D4309F">
        <w:rPr>
          <w:spacing w:val="-2"/>
        </w:rPr>
        <w:t xml:space="preserve"> </w:t>
      </w:r>
      <w:r w:rsidRPr="00D4309F">
        <w:t>primarily</w:t>
      </w:r>
      <w:r w:rsidRPr="00D4309F">
        <w:rPr>
          <w:spacing w:val="-2"/>
        </w:rPr>
        <w:t xml:space="preserve"> </w:t>
      </w:r>
      <w:r w:rsidRPr="00D4309F">
        <w:t>in</w:t>
      </w:r>
      <w:r w:rsidRPr="00D4309F">
        <w:rPr>
          <w:spacing w:val="-3"/>
        </w:rPr>
        <w:t xml:space="preserve"> </w:t>
      </w:r>
      <w:r w:rsidRPr="00D4309F">
        <w:t>how</w:t>
      </w:r>
      <w:r w:rsidRPr="00D4309F">
        <w:rPr>
          <w:spacing w:val="-2"/>
        </w:rPr>
        <w:t xml:space="preserve"> </w:t>
      </w:r>
      <w:r w:rsidRPr="00D4309F">
        <w:t>accumulated sand is intercepted at the updrift (eastern) breakwater and transferred to Mooloolaba Bay. All three are examined in the following subsections in terms of capital and operational works, physical processes, environmental and social implications, cost, and overall feasibility.</w:t>
      </w:r>
    </w:p>
    <w:p w14:paraId="2067CCB4" w14:textId="77777777" w:rsidR="00725977" w:rsidRPr="00D4309F" w:rsidRDefault="00725977" w:rsidP="00D27F26">
      <w:pPr>
        <w:pStyle w:val="ListParagraph"/>
        <w:widowControl w:val="0"/>
        <w:numPr>
          <w:ilvl w:val="0"/>
          <w:numId w:val="290"/>
        </w:numPr>
        <w:tabs>
          <w:tab w:val="left" w:pos="501"/>
        </w:tabs>
        <w:autoSpaceDE w:val="0"/>
        <w:autoSpaceDN w:val="0"/>
        <w:spacing w:after="0" w:line="240" w:lineRule="auto"/>
        <w:ind w:right="373"/>
        <w:contextualSpacing w:val="0"/>
      </w:pPr>
      <w:r w:rsidRPr="00D4309F">
        <w:rPr>
          <w:b/>
          <w:color w:val="211E1F"/>
        </w:rPr>
        <w:t>Option</w:t>
      </w:r>
      <w:r w:rsidRPr="00D4309F">
        <w:rPr>
          <w:b/>
          <w:color w:val="211E1F"/>
          <w:spacing w:val="-3"/>
        </w:rPr>
        <w:t xml:space="preserve"> </w:t>
      </w:r>
      <w:r w:rsidRPr="00D4309F">
        <w:rPr>
          <w:b/>
          <w:color w:val="211E1F"/>
        </w:rPr>
        <w:t>3A</w:t>
      </w:r>
      <w:r w:rsidRPr="00D4309F">
        <w:rPr>
          <w:b/>
          <w:color w:val="211E1F"/>
          <w:spacing w:val="-3"/>
        </w:rPr>
        <w:t xml:space="preserve"> </w:t>
      </w:r>
      <w:r w:rsidRPr="00D4309F">
        <w:rPr>
          <w:b/>
          <w:color w:val="211E1F"/>
        </w:rPr>
        <w:t>–</w:t>
      </w:r>
      <w:r w:rsidRPr="00D4309F">
        <w:rPr>
          <w:b/>
          <w:color w:val="211E1F"/>
          <w:spacing w:val="-4"/>
        </w:rPr>
        <w:t xml:space="preserve"> </w:t>
      </w:r>
      <w:r w:rsidRPr="00D4309F">
        <w:rPr>
          <w:b/>
          <w:color w:val="211E1F"/>
        </w:rPr>
        <w:t>Breakwater</w:t>
      </w:r>
      <w:r w:rsidRPr="00D4309F">
        <w:rPr>
          <w:b/>
          <w:color w:val="211E1F"/>
          <w:spacing w:val="-4"/>
        </w:rPr>
        <w:t xml:space="preserve"> </w:t>
      </w:r>
      <w:r w:rsidRPr="00D4309F">
        <w:rPr>
          <w:b/>
          <w:color w:val="211E1F"/>
        </w:rPr>
        <w:t>extension</w:t>
      </w:r>
      <w:r w:rsidRPr="00D4309F">
        <w:rPr>
          <w:b/>
          <w:color w:val="211E1F"/>
          <w:spacing w:val="-3"/>
        </w:rPr>
        <w:t xml:space="preserve"> </w:t>
      </w:r>
      <w:r w:rsidRPr="00D4309F">
        <w:rPr>
          <w:b/>
          <w:color w:val="211E1F"/>
        </w:rPr>
        <w:t>with</w:t>
      </w:r>
      <w:r w:rsidRPr="00D4309F">
        <w:rPr>
          <w:b/>
          <w:color w:val="211E1F"/>
          <w:spacing w:val="-3"/>
        </w:rPr>
        <w:t xml:space="preserve"> </w:t>
      </w:r>
      <w:r w:rsidRPr="00D4309F">
        <w:rPr>
          <w:b/>
          <w:color w:val="211E1F"/>
        </w:rPr>
        <w:t>dredging</w:t>
      </w:r>
      <w:r w:rsidRPr="00D4309F">
        <w:rPr>
          <w:b/>
          <w:color w:val="211E1F"/>
          <w:spacing w:val="-3"/>
        </w:rPr>
        <w:t xml:space="preserve"> </w:t>
      </w:r>
      <w:r w:rsidRPr="00D4309F">
        <w:rPr>
          <w:b/>
          <w:color w:val="211E1F"/>
        </w:rPr>
        <w:t>and</w:t>
      </w:r>
      <w:r w:rsidRPr="00D4309F">
        <w:rPr>
          <w:b/>
          <w:color w:val="211E1F"/>
          <w:spacing w:val="-3"/>
        </w:rPr>
        <w:t xml:space="preserve"> </w:t>
      </w:r>
      <w:r w:rsidRPr="00D4309F">
        <w:rPr>
          <w:b/>
          <w:color w:val="211E1F"/>
        </w:rPr>
        <w:t>placement</w:t>
      </w:r>
      <w:r w:rsidRPr="00D4309F">
        <w:rPr>
          <w:color w:val="211E1F"/>
        </w:rPr>
        <w:t>:</w:t>
      </w:r>
      <w:r w:rsidRPr="00D4309F">
        <w:rPr>
          <w:color w:val="211E1F"/>
          <w:spacing w:val="-3"/>
        </w:rPr>
        <w:t xml:space="preserve"> </w:t>
      </w:r>
      <w:r w:rsidRPr="00D4309F">
        <w:rPr>
          <w:color w:val="211E1F"/>
        </w:rPr>
        <w:t>Continuation</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adaptation</w:t>
      </w:r>
      <w:r w:rsidRPr="00D4309F">
        <w:rPr>
          <w:color w:val="211E1F"/>
          <w:spacing w:val="-3"/>
        </w:rPr>
        <w:t xml:space="preserve"> </w:t>
      </w:r>
      <w:r w:rsidRPr="00D4309F">
        <w:rPr>
          <w:color w:val="211E1F"/>
        </w:rPr>
        <w:t>of TMR’s existing maintenance strategy, using a Cutter Suction Dredge (CSD) to remove accumulated sand from the updrift side of the extended breakwater and pump it via pipeline for placement on Mooloolaba Beach.</w:t>
      </w:r>
    </w:p>
    <w:p w14:paraId="4924CA84" w14:textId="77777777" w:rsidR="00725977" w:rsidRPr="00D4309F" w:rsidRDefault="00725977" w:rsidP="00D27F26">
      <w:pPr>
        <w:pStyle w:val="ListParagraph"/>
        <w:widowControl w:val="0"/>
        <w:numPr>
          <w:ilvl w:val="0"/>
          <w:numId w:val="290"/>
        </w:numPr>
        <w:tabs>
          <w:tab w:val="left" w:pos="501"/>
        </w:tabs>
        <w:autoSpaceDE w:val="0"/>
        <w:autoSpaceDN w:val="0"/>
        <w:spacing w:before="118" w:after="0" w:line="240" w:lineRule="auto"/>
        <w:ind w:right="340"/>
        <w:contextualSpacing w:val="0"/>
      </w:pPr>
      <w:r w:rsidRPr="00D4309F">
        <w:rPr>
          <w:b/>
          <w:color w:val="211E1F"/>
        </w:rPr>
        <w:t>Option</w:t>
      </w:r>
      <w:r w:rsidRPr="00D4309F">
        <w:rPr>
          <w:b/>
          <w:color w:val="211E1F"/>
          <w:spacing w:val="-3"/>
        </w:rPr>
        <w:t xml:space="preserve"> </w:t>
      </w:r>
      <w:r w:rsidRPr="00D4309F">
        <w:rPr>
          <w:b/>
          <w:color w:val="211E1F"/>
        </w:rPr>
        <w:t>3B</w:t>
      </w:r>
      <w:r w:rsidRPr="00D4309F">
        <w:rPr>
          <w:b/>
          <w:color w:val="211E1F"/>
          <w:spacing w:val="-3"/>
        </w:rPr>
        <w:t xml:space="preserve"> </w:t>
      </w:r>
      <w:r w:rsidRPr="00D4309F">
        <w:rPr>
          <w:b/>
          <w:color w:val="211E1F"/>
        </w:rPr>
        <w:t>–</w:t>
      </w:r>
      <w:r w:rsidRPr="00D4309F">
        <w:rPr>
          <w:b/>
          <w:color w:val="211E1F"/>
          <w:spacing w:val="-4"/>
        </w:rPr>
        <w:t xml:space="preserve"> </w:t>
      </w:r>
      <w:r w:rsidRPr="00D4309F">
        <w:rPr>
          <w:b/>
          <w:color w:val="211E1F"/>
        </w:rPr>
        <w:t>Breakwater</w:t>
      </w:r>
      <w:r w:rsidRPr="00D4309F">
        <w:rPr>
          <w:b/>
          <w:color w:val="211E1F"/>
          <w:spacing w:val="-4"/>
        </w:rPr>
        <w:t xml:space="preserve"> </w:t>
      </w:r>
      <w:r w:rsidRPr="00D4309F">
        <w:rPr>
          <w:b/>
          <w:color w:val="211E1F"/>
        </w:rPr>
        <w:t>extension</w:t>
      </w:r>
      <w:r w:rsidRPr="00D4309F">
        <w:rPr>
          <w:b/>
          <w:color w:val="211E1F"/>
          <w:spacing w:val="-3"/>
        </w:rPr>
        <w:t xml:space="preserve"> </w:t>
      </w:r>
      <w:r w:rsidRPr="00D4309F">
        <w:rPr>
          <w:b/>
          <w:color w:val="211E1F"/>
        </w:rPr>
        <w:t>with</w:t>
      </w:r>
      <w:r w:rsidRPr="00D4309F">
        <w:rPr>
          <w:b/>
          <w:color w:val="211E1F"/>
          <w:spacing w:val="-3"/>
        </w:rPr>
        <w:t xml:space="preserve"> </w:t>
      </w:r>
      <w:r w:rsidRPr="00D4309F">
        <w:rPr>
          <w:b/>
          <w:color w:val="211E1F"/>
        </w:rPr>
        <w:t>sand</w:t>
      </w:r>
      <w:r w:rsidRPr="00D4309F">
        <w:rPr>
          <w:b/>
          <w:color w:val="211E1F"/>
          <w:spacing w:val="-3"/>
        </w:rPr>
        <w:t xml:space="preserve"> </w:t>
      </w:r>
      <w:r w:rsidRPr="00D4309F">
        <w:rPr>
          <w:b/>
          <w:color w:val="211E1F"/>
        </w:rPr>
        <w:t>shifter</w:t>
      </w:r>
      <w:r w:rsidRPr="00D4309F">
        <w:rPr>
          <w:b/>
          <w:color w:val="211E1F"/>
          <w:spacing w:val="-3"/>
        </w:rPr>
        <w:t xml:space="preserve"> </w:t>
      </w:r>
      <w:r w:rsidRPr="00D4309F">
        <w:rPr>
          <w:b/>
          <w:color w:val="211E1F"/>
        </w:rPr>
        <w:t>bypass</w:t>
      </w:r>
      <w:r w:rsidRPr="00D4309F">
        <w:rPr>
          <w:b/>
          <w:color w:val="211E1F"/>
          <w:spacing w:val="-3"/>
        </w:rPr>
        <w:t xml:space="preserve"> </w:t>
      </w:r>
      <w:r w:rsidRPr="00D4309F">
        <w:rPr>
          <w:b/>
          <w:color w:val="211E1F"/>
        </w:rPr>
        <w:t>system</w:t>
      </w:r>
      <w:r w:rsidRPr="00D4309F">
        <w:rPr>
          <w:color w:val="211E1F"/>
        </w:rPr>
        <w:t>:</w:t>
      </w:r>
      <w:r w:rsidRPr="00D4309F">
        <w:rPr>
          <w:color w:val="211E1F"/>
          <w:spacing w:val="-3"/>
        </w:rPr>
        <w:t xml:space="preserve"> </w:t>
      </w:r>
      <w:r w:rsidRPr="00D4309F">
        <w:rPr>
          <w:color w:val="211E1F"/>
        </w:rPr>
        <w:t>Installation</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a</w:t>
      </w:r>
      <w:r w:rsidRPr="00D4309F">
        <w:rPr>
          <w:color w:val="211E1F"/>
          <w:spacing w:val="-3"/>
        </w:rPr>
        <w:t xml:space="preserve"> </w:t>
      </w:r>
      <w:r w:rsidRPr="00D4309F">
        <w:rPr>
          <w:color w:val="211E1F"/>
        </w:rPr>
        <w:t>buried</w:t>
      </w:r>
      <w:r w:rsidRPr="00D4309F">
        <w:rPr>
          <w:color w:val="211E1F"/>
          <w:spacing w:val="-3"/>
        </w:rPr>
        <w:t xml:space="preserve"> </w:t>
      </w:r>
      <w:r w:rsidRPr="00D4309F">
        <w:rPr>
          <w:color w:val="211E1F"/>
        </w:rPr>
        <w:t>sand shifter system adjacent to the eastern breakwater, designed to intermittently pump sand across the entrance to Mooloolaba Bay in a semi-automated manner, similar to the Noosa Main Beach facility.</w:t>
      </w:r>
    </w:p>
    <w:p w14:paraId="2379FB7A" w14:textId="77777777" w:rsidR="00725977" w:rsidRPr="00D4309F" w:rsidRDefault="00725977" w:rsidP="00D27F26">
      <w:pPr>
        <w:pStyle w:val="ListParagraph"/>
        <w:widowControl w:val="0"/>
        <w:numPr>
          <w:ilvl w:val="0"/>
          <w:numId w:val="290"/>
        </w:numPr>
        <w:tabs>
          <w:tab w:val="left" w:pos="501"/>
        </w:tabs>
        <w:autoSpaceDE w:val="0"/>
        <w:autoSpaceDN w:val="0"/>
        <w:spacing w:before="119" w:after="0" w:line="240" w:lineRule="auto"/>
        <w:ind w:right="136"/>
        <w:contextualSpacing w:val="0"/>
        <w:jc w:val="both"/>
      </w:pPr>
      <w:r w:rsidRPr="00D4309F">
        <w:rPr>
          <w:b/>
          <w:color w:val="211E1F"/>
        </w:rPr>
        <w:t>Option 3C –</w:t>
      </w:r>
      <w:r w:rsidRPr="00D4309F">
        <w:rPr>
          <w:b/>
          <w:color w:val="211E1F"/>
          <w:spacing w:val="-1"/>
        </w:rPr>
        <w:t xml:space="preserve"> </w:t>
      </w:r>
      <w:r w:rsidRPr="00D4309F">
        <w:rPr>
          <w:b/>
          <w:color w:val="211E1F"/>
        </w:rPr>
        <w:t>Breakwater</w:t>
      </w:r>
      <w:r w:rsidRPr="00D4309F">
        <w:rPr>
          <w:b/>
          <w:color w:val="211E1F"/>
          <w:spacing w:val="-1"/>
        </w:rPr>
        <w:t xml:space="preserve"> </w:t>
      </w:r>
      <w:r w:rsidRPr="00D4309F">
        <w:rPr>
          <w:b/>
          <w:color w:val="211E1F"/>
        </w:rPr>
        <w:t>extension with crane-operated</w:t>
      </w:r>
      <w:r w:rsidRPr="00D4309F">
        <w:rPr>
          <w:b/>
          <w:color w:val="211E1F"/>
          <w:spacing w:val="-1"/>
        </w:rPr>
        <w:t xml:space="preserve"> </w:t>
      </w:r>
      <w:r w:rsidRPr="00D4309F">
        <w:rPr>
          <w:b/>
          <w:color w:val="211E1F"/>
        </w:rPr>
        <w:t>mobile</w:t>
      </w:r>
      <w:r w:rsidRPr="00D4309F">
        <w:rPr>
          <w:b/>
          <w:color w:val="211E1F"/>
          <w:spacing w:val="-1"/>
        </w:rPr>
        <w:t xml:space="preserve"> </w:t>
      </w:r>
      <w:r w:rsidRPr="00D4309F">
        <w:rPr>
          <w:b/>
          <w:color w:val="211E1F"/>
        </w:rPr>
        <w:t>jet pump system</w:t>
      </w:r>
      <w:r w:rsidRPr="00D4309F">
        <w:rPr>
          <w:color w:val="211E1F"/>
        </w:rPr>
        <w:t>: Deployment of a crane-mounted jet pump (“eductor”) to fluidise and pump sand from the entrance shoal to the downdrift shoreline,</w:t>
      </w:r>
      <w:r w:rsidRPr="00D4309F">
        <w:rPr>
          <w:color w:val="211E1F"/>
          <w:spacing w:val="-3"/>
        </w:rPr>
        <w:t xml:space="preserve"> </w:t>
      </w:r>
      <w:r w:rsidRPr="00D4309F">
        <w:rPr>
          <w:color w:val="211E1F"/>
        </w:rPr>
        <w:t>using</w:t>
      </w:r>
      <w:r w:rsidRPr="00D4309F">
        <w:rPr>
          <w:color w:val="211E1F"/>
          <w:spacing w:val="-3"/>
        </w:rPr>
        <w:t xml:space="preserve"> </w:t>
      </w:r>
      <w:r w:rsidRPr="00D4309F">
        <w:rPr>
          <w:color w:val="211E1F"/>
        </w:rPr>
        <w:t>50t</w:t>
      </w:r>
      <w:r w:rsidRPr="00D4309F">
        <w:rPr>
          <w:color w:val="211E1F"/>
          <w:spacing w:val="-3"/>
        </w:rPr>
        <w:t xml:space="preserve"> </w:t>
      </w:r>
      <w:r w:rsidRPr="00D4309F">
        <w:rPr>
          <w:color w:val="211E1F"/>
        </w:rPr>
        <w:t>or</w:t>
      </w:r>
      <w:r w:rsidRPr="00D4309F">
        <w:rPr>
          <w:color w:val="211E1F"/>
          <w:spacing w:val="-2"/>
        </w:rPr>
        <w:t xml:space="preserve"> </w:t>
      </w:r>
      <w:r w:rsidRPr="00D4309F">
        <w:rPr>
          <w:color w:val="211E1F"/>
        </w:rPr>
        <w:t>90t</w:t>
      </w:r>
      <w:r w:rsidRPr="00D4309F">
        <w:rPr>
          <w:color w:val="211E1F"/>
          <w:spacing w:val="-5"/>
        </w:rPr>
        <w:t xml:space="preserve"> </w:t>
      </w:r>
      <w:r w:rsidRPr="00D4309F">
        <w:rPr>
          <w:color w:val="211E1F"/>
        </w:rPr>
        <w:t>crawler</w:t>
      </w:r>
      <w:r w:rsidRPr="00D4309F">
        <w:rPr>
          <w:color w:val="211E1F"/>
          <w:spacing w:val="-2"/>
        </w:rPr>
        <w:t xml:space="preserve"> </w:t>
      </w:r>
      <w:r w:rsidRPr="00D4309F">
        <w:rPr>
          <w:color w:val="211E1F"/>
        </w:rPr>
        <w:t>cranes</w:t>
      </w:r>
      <w:r w:rsidRPr="00D4309F">
        <w:rPr>
          <w:color w:val="211E1F"/>
          <w:spacing w:val="-2"/>
        </w:rPr>
        <w:t xml:space="preserve"> </w:t>
      </w:r>
      <w:r w:rsidRPr="00D4309F">
        <w:rPr>
          <w:color w:val="211E1F"/>
        </w:rPr>
        <w:t>operating</w:t>
      </w:r>
      <w:r w:rsidRPr="00D4309F">
        <w:rPr>
          <w:color w:val="211E1F"/>
          <w:spacing w:val="-3"/>
        </w:rPr>
        <w:t xml:space="preserve"> </w:t>
      </w:r>
      <w:r w:rsidRPr="00D4309F">
        <w:rPr>
          <w:color w:val="211E1F"/>
        </w:rPr>
        <w:t>from</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breakwater</w:t>
      </w:r>
      <w:r w:rsidRPr="00D4309F">
        <w:rPr>
          <w:color w:val="211E1F"/>
          <w:spacing w:val="-4"/>
        </w:rPr>
        <w:t xml:space="preserve"> </w:t>
      </w:r>
      <w:r w:rsidRPr="00D4309F">
        <w:rPr>
          <w:color w:val="211E1F"/>
        </w:rPr>
        <w:t>crest</w:t>
      </w:r>
      <w:r w:rsidRPr="00D4309F">
        <w:rPr>
          <w:color w:val="211E1F"/>
          <w:spacing w:val="-3"/>
        </w:rPr>
        <w:t xml:space="preserve"> </w:t>
      </w:r>
      <w:r w:rsidRPr="00D4309F">
        <w:rPr>
          <w:color w:val="211E1F"/>
        </w:rPr>
        <w:t>and/or</w:t>
      </w:r>
      <w:r w:rsidRPr="00D4309F">
        <w:rPr>
          <w:color w:val="211E1F"/>
          <w:spacing w:val="-2"/>
        </w:rPr>
        <w:t xml:space="preserve"> </w:t>
      </w:r>
      <w:r w:rsidRPr="00D4309F">
        <w:rPr>
          <w:color w:val="211E1F"/>
        </w:rPr>
        <w:t>a</w:t>
      </w:r>
      <w:r w:rsidRPr="00D4309F">
        <w:rPr>
          <w:color w:val="211E1F"/>
          <w:spacing w:val="-3"/>
        </w:rPr>
        <w:t xml:space="preserve"> </w:t>
      </w:r>
      <w:r w:rsidRPr="00D4309F">
        <w:rPr>
          <w:color w:val="211E1F"/>
        </w:rPr>
        <w:t>dedicated</w:t>
      </w:r>
      <w:r w:rsidRPr="00D4309F">
        <w:rPr>
          <w:color w:val="211E1F"/>
          <w:spacing w:val="-3"/>
        </w:rPr>
        <w:t xml:space="preserve"> </w:t>
      </w:r>
      <w:r w:rsidRPr="00D4309F">
        <w:rPr>
          <w:color w:val="211E1F"/>
        </w:rPr>
        <w:t xml:space="preserve">crane </w:t>
      </w:r>
      <w:r w:rsidRPr="00D4309F">
        <w:rPr>
          <w:color w:val="211E1F"/>
          <w:spacing w:val="-2"/>
        </w:rPr>
        <w:t>platform.</w:t>
      </w:r>
    </w:p>
    <w:p w14:paraId="405B7C66" w14:textId="77777777" w:rsidR="00725977" w:rsidRPr="00D4309F" w:rsidRDefault="00725977" w:rsidP="00725977">
      <w:pPr>
        <w:pStyle w:val="BodyText"/>
      </w:pPr>
    </w:p>
    <w:p w14:paraId="10C02010" w14:textId="77777777" w:rsidR="00725977" w:rsidRPr="00D4309F" w:rsidRDefault="00725977" w:rsidP="001E18C2">
      <w:pPr>
        <w:keepNext/>
        <w:ind w:left="142"/>
        <w:jc w:val="center"/>
      </w:pPr>
      <w:r w:rsidRPr="00D4309F">
        <w:rPr>
          <w:noProof/>
        </w:rPr>
        <w:lastRenderedPageBreak/>
        <w:drawing>
          <wp:inline distT="0" distB="0" distL="0" distR="0" wp14:anchorId="453A3168" wp14:editId="79D12C85">
            <wp:extent cx="5958896" cy="4101084"/>
            <wp:effectExtent l="0" t="0" r="0" b="0"/>
            <wp:docPr id="272" name="Image 272" descr="Arial image of Point Cartwright and the Mooloolaba Boat Harbour Entrance. Map overlay shows where sand is trapped and pumped when required, near the boat hrabour entrance. It also shows a pump station an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descr="Arial image of Point Cartwright and the Mooloolaba Boat Harbour Entrance. Map overlay shows where sand is trapped and pumped when required, near the boat hrabour entrance. It also shows a pump station and "/>
                    <pic:cNvPicPr/>
                  </pic:nvPicPr>
                  <pic:blipFill>
                    <a:blip r:embed="rId119" cstate="print"/>
                    <a:stretch>
                      <a:fillRect/>
                    </a:stretch>
                  </pic:blipFill>
                  <pic:spPr>
                    <a:xfrm>
                      <a:off x="0" y="0"/>
                      <a:ext cx="5958896" cy="4101084"/>
                    </a:xfrm>
                    <a:prstGeom prst="rect">
                      <a:avLst/>
                    </a:prstGeom>
                  </pic:spPr>
                </pic:pic>
              </a:graphicData>
            </a:graphic>
          </wp:inline>
        </w:drawing>
      </w:r>
    </w:p>
    <w:p w14:paraId="359AB279" w14:textId="77777777" w:rsidR="00725977" w:rsidRPr="00D4309F" w:rsidRDefault="00725977" w:rsidP="007715DD">
      <w:pPr>
        <w:pStyle w:val="BodyText"/>
        <w:jc w:val="center"/>
      </w:pPr>
      <w:r w:rsidRPr="00D4309F">
        <w:rPr>
          <w:noProof/>
        </w:rPr>
        <w:drawing>
          <wp:inline distT="0" distB="0" distL="0" distR="0" wp14:anchorId="0CB6929A" wp14:editId="48819B8C">
            <wp:extent cx="5829149" cy="4071937"/>
            <wp:effectExtent l="0" t="0" r="635" b="5080"/>
            <wp:docPr id="273" name="Image 273" descr="Arial image of Point Cartwright and the Mooloolaba Boat Harbour Entrance. ma overlay shows the location of a sand pump intake at the boat harbour entrance. it also shows a pump station located next to the entrance at Point Cartwright. it also shows a permanent pipeline that leads from the pump station to an outlet on Mooloolaba beach.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descr="Arial image of Point Cartwright and the Mooloolaba Boat Harbour Entrance. ma overlay shows the location of a sand pump intake at the boat harbour entrance. it also shows a pump station located next to the entrance at Point Cartwright. it also shows a permanent pipeline that leads from the pump station to an outlet on Mooloolaba beach. "/>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829149" cy="4071937"/>
                    </a:xfrm>
                    <a:prstGeom prst="rect">
                      <a:avLst/>
                    </a:prstGeom>
                  </pic:spPr>
                </pic:pic>
              </a:graphicData>
            </a:graphic>
          </wp:inline>
        </w:drawing>
      </w:r>
    </w:p>
    <w:p w14:paraId="18296BE5" w14:textId="3638A8E8" w:rsidR="007715DD" w:rsidRDefault="007715DD" w:rsidP="00BF1F28">
      <w:pPr>
        <w:pStyle w:val="Caption"/>
        <w:rPr>
          <w:color w:val="211E1F"/>
          <w:spacing w:val="-2"/>
        </w:rPr>
      </w:pPr>
      <w:bookmarkStart w:id="395" w:name="_bookmark152"/>
      <w:bookmarkStart w:id="396" w:name="_Toc216699629"/>
      <w:bookmarkEnd w:id="395"/>
      <w:r>
        <w:t xml:space="preserve">Figure </w:t>
      </w:r>
      <w:r w:rsidR="00B538D4">
        <w:fldChar w:fldCharType="begin" w:fldLock="1"/>
      </w:r>
      <w:r w:rsidR="00B538D4">
        <w:instrText xml:space="preserve"> STYLEREF 1 \s </w:instrText>
      </w:r>
      <w:r w:rsidR="00B538D4">
        <w:fldChar w:fldCharType="separate"/>
      </w:r>
      <w:r w:rsidR="00B538D4">
        <w:rPr>
          <w:noProof/>
        </w:rPr>
        <w:t>15</w:t>
      </w:r>
      <w:r w:rsidR="00B538D4">
        <w:fldChar w:fldCharType="end"/>
      </w:r>
      <w:r w:rsidR="00B538D4">
        <w:noBreakHyphen/>
      </w:r>
      <w:r w:rsidR="00B538D4">
        <w:fldChar w:fldCharType="begin"/>
      </w:r>
      <w:r w:rsidR="00B538D4">
        <w:instrText xml:space="preserve"> SEQ Figure \* ARABIC \s 1 </w:instrText>
      </w:r>
      <w:r w:rsidR="00B538D4">
        <w:fldChar w:fldCharType="separate"/>
      </w:r>
      <w:r w:rsidR="006D0876">
        <w:rPr>
          <w:noProof/>
        </w:rPr>
        <w:t>1</w:t>
      </w:r>
      <w:r w:rsidR="00B538D4">
        <w:fldChar w:fldCharType="end"/>
      </w:r>
      <w:r>
        <w:t>:</w:t>
      </w:r>
      <w:r>
        <w:tab/>
      </w:r>
      <w:r w:rsidRPr="00D4309F">
        <w:rPr>
          <w:color w:val="211E1F"/>
        </w:rPr>
        <w:t>Option</w:t>
      </w:r>
      <w:r w:rsidRPr="00D4309F">
        <w:rPr>
          <w:color w:val="211E1F"/>
          <w:spacing w:val="-1"/>
        </w:rPr>
        <w:t xml:space="preserve"> </w:t>
      </w:r>
      <w:r w:rsidRPr="00D4309F">
        <w:rPr>
          <w:color w:val="211E1F"/>
        </w:rPr>
        <w:t>3</w:t>
      </w:r>
      <w:r w:rsidRPr="00D4309F">
        <w:rPr>
          <w:color w:val="211E1F"/>
          <w:spacing w:val="-1"/>
        </w:rPr>
        <w:t xml:space="preserve"> </w:t>
      </w:r>
      <w:r w:rsidRPr="00D4309F">
        <w:rPr>
          <w:color w:val="211E1F"/>
          <w:spacing w:val="-2"/>
        </w:rPr>
        <w:t>schematics</w:t>
      </w:r>
      <w:bookmarkEnd w:id="396"/>
    </w:p>
    <w:p w14:paraId="5ACF20D4" w14:textId="77777777" w:rsidR="007715DD" w:rsidRDefault="007715DD" w:rsidP="007715DD">
      <w:pPr>
        <w:pStyle w:val="BodyText"/>
      </w:pPr>
    </w:p>
    <w:p w14:paraId="46D22798" w14:textId="77777777" w:rsidR="00725977" w:rsidRPr="00D4309F" w:rsidRDefault="00725977" w:rsidP="008228CB">
      <w:pPr>
        <w:pStyle w:val="Heading2"/>
      </w:pPr>
      <w:bookmarkStart w:id="397" w:name="_bookmark153"/>
      <w:bookmarkStart w:id="398" w:name="_Ref216022409"/>
      <w:bookmarkStart w:id="399" w:name="_Ref216022431"/>
      <w:bookmarkStart w:id="400" w:name="_Ref216022445"/>
      <w:bookmarkStart w:id="401" w:name="_Toc216699445"/>
      <w:bookmarkEnd w:id="397"/>
      <w:r w:rsidRPr="00D4309F">
        <w:lastRenderedPageBreak/>
        <w:t>Option</w:t>
      </w:r>
      <w:r w:rsidRPr="00D4309F">
        <w:rPr>
          <w:spacing w:val="-11"/>
        </w:rPr>
        <w:t xml:space="preserve"> </w:t>
      </w:r>
      <w:r w:rsidRPr="00D4309F">
        <w:t>3A</w:t>
      </w:r>
      <w:r w:rsidRPr="00D4309F">
        <w:rPr>
          <w:spacing w:val="-11"/>
        </w:rPr>
        <w:t xml:space="preserve"> </w:t>
      </w:r>
      <w:r w:rsidRPr="00D4309F">
        <w:t>–</w:t>
      </w:r>
      <w:r w:rsidRPr="00D4309F">
        <w:rPr>
          <w:spacing w:val="-10"/>
        </w:rPr>
        <w:t xml:space="preserve"> </w:t>
      </w:r>
      <w:r w:rsidRPr="00D4309F">
        <w:t>Breakwater</w:t>
      </w:r>
      <w:r w:rsidRPr="00D4309F">
        <w:rPr>
          <w:spacing w:val="-11"/>
        </w:rPr>
        <w:t xml:space="preserve"> </w:t>
      </w:r>
      <w:r w:rsidRPr="00D4309F">
        <w:t>extensions</w:t>
      </w:r>
      <w:r w:rsidRPr="00D4309F">
        <w:rPr>
          <w:spacing w:val="-10"/>
        </w:rPr>
        <w:t xml:space="preserve"> </w:t>
      </w:r>
      <w:r w:rsidRPr="00D4309F">
        <w:t>with</w:t>
      </w:r>
      <w:r w:rsidRPr="00D4309F">
        <w:rPr>
          <w:spacing w:val="-11"/>
        </w:rPr>
        <w:t xml:space="preserve"> </w:t>
      </w:r>
      <w:r w:rsidRPr="00D4309F">
        <w:t>dredging</w:t>
      </w:r>
      <w:r w:rsidRPr="00D4309F">
        <w:rPr>
          <w:spacing w:val="-11"/>
        </w:rPr>
        <w:t xml:space="preserve"> </w:t>
      </w:r>
      <w:r w:rsidRPr="00D4309F">
        <w:t>and</w:t>
      </w:r>
      <w:r w:rsidRPr="00D4309F">
        <w:rPr>
          <w:spacing w:val="-11"/>
        </w:rPr>
        <w:t xml:space="preserve"> </w:t>
      </w:r>
      <w:r w:rsidRPr="00D4309F">
        <w:rPr>
          <w:spacing w:val="-2"/>
        </w:rPr>
        <w:t>placement</w:t>
      </w:r>
      <w:bookmarkEnd w:id="398"/>
      <w:bookmarkEnd w:id="399"/>
      <w:bookmarkEnd w:id="400"/>
      <w:bookmarkEnd w:id="401"/>
    </w:p>
    <w:p w14:paraId="0745CB89" w14:textId="77777777" w:rsidR="00725977" w:rsidRPr="00D4309F" w:rsidRDefault="00725977" w:rsidP="008228CB">
      <w:pPr>
        <w:pStyle w:val="Heading3"/>
      </w:pPr>
      <w:bookmarkStart w:id="402" w:name="_Toc216699446"/>
      <w:r w:rsidRPr="00D4309F">
        <w:t>Option</w:t>
      </w:r>
      <w:r w:rsidRPr="00D4309F">
        <w:rPr>
          <w:spacing w:val="-5"/>
        </w:rPr>
        <w:t xml:space="preserve"> </w:t>
      </w:r>
      <w:r w:rsidRPr="00D4309F">
        <w:t>descriptions</w:t>
      </w:r>
      <w:bookmarkEnd w:id="402"/>
    </w:p>
    <w:p w14:paraId="198CF26B" w14:textId="0D328342" w:rsidR="00725977" w:rsidRPr="00D4309F" w:rsidRDefault="00725977" w:rsidP="00725977">
      <w:pPr>
        <w:pStyle w:val="BodyText"/>
      </w:pPr>
      <w:r w:rsidRPr="00D4309F">
        <w:t>Option</w:t>
      </w:r>
      <w:r w:rsidRPr="00D4309F">
        <w:rPr>
          <w:spacing w:val="-1"/>
        </w:rPr>
        <w:t xml:space="preserve"> </w:t>
      </w:r>
      <w:r w:rsidRPr="00D4309F">
        <w:t>3A</w:t>
      </w:r>
      <w:r w:rsidRPr="00D4309F">
        <w:rPr>
          <w:spacing w:val="-1"/>
        </w:rPr>
        <w:t xml:space="preserve"> </w:t>
      </w:r>
      <w:r w:rsidRPr="00D4309F">
        <w:t>builds on</w:t>
      </w:r>
      <w:r w:rsidRPr="00D4309F">
        <w:rPr>
          <w:spacing w:val="-1"/>
        </w:rPr>
        <w:t xml:space="preserve"> </w:t>
      </w:r>
      <w:r w:rsidRPr="00D4309F">
        <w:t>the</w:t>
      </w:r>
      <w:r w:rsidRPr="00D4309F">
        <w:rPr>
          <w:spacing w:val="-1"/>
        </w:rPr>
        <w:t xml:space="preserve"> </w:t>
      </w:r>
      <w:r w:rsidRPr="00D4309F">
        <w:t>long-standing</w:t>
      </w:r>
      <w:r w:rsidRPr="00D4309F">
        <w:rPr>
          <w:spacing w:val="-1"/>
        </w:rPr>
        <w:t xml:space="preserve"> </w:t>
      </w:r>
      <w:r w:rsidRPr="00D4309F">
        <w:t>dredging</w:t>
      </w:r>
      <w:r w:rsidRPr="00D4309F">
        <w:rPr>
          <w:spacing w:val="-1"/>
        </w:rPr>
        <w:t xml:space="preserve"> </w:t>
      </w:r>
      <w:r w:rsidRPr="00D4309F">
        <w:t>approach</w:t>
      </w:r>
      <w:r w:rsidRPr="00D4309F">
        <w:rPr>
          <w:spacing w:val="-1"/>
        </w:rPr>
        <w:t xml:space="preserve"> </w:t>
      </w:r>
      <w:r w:rsidRPr="00D4309F">
        <w:t>already used</w:t>
      </w:r>
      <w:r w:rsidRPr="00D4309F">
        <w:rPr>
          <w:spacing w:val="-1"/>
        </w:rPr>
        <w:t xml:space="preserve"> </w:t>
      </w:r>
      <w:r w:rsidRPr="00D4309F">
        <w:t>to</w:t>
      </w:r>
      <w:r w:rsidRPr="00D4309F">
        <w:rPr>
          <w:spacing w:val="-1"/>
        </w:rPr>
        <w:t xml:space="preserve"> </w:t>
      </w:r>
      <w:r w:rsidRPr="00D4309F">
        <w:t>manage</w:t>
      </w:r>
      <w:r w:rsidRPr="00D4309F">
        <w:rPr>
          <w:spacing w:val="-1"/>
        </w:rPr>
        <w:t xml:space="preserve"> </w:t>
      </w:r>
      <w:r w:rsidRPr="00D4309F">
        <w:t>shoaling</w:t>
      </w:r>
      <w:r w:rsidRPr="00D4309F">
        <w:rPr>
          <w:spacing w:val="-1"/>
        </w:rPr>
        <w:t xml:space="preserve"> </w:t>
      </w:r>
      <w:r w:rsidRPr="00D4309F">
        <w:t>at</w:t>
      </w:r>
      <w:r w:rsidRPr="00D4309F">
        <w:rPr>
          <w:spacing w:val="-3"/>
        </w:rPr>
        <w:t xml:space="preserve"> </w:t>
      </w:r>
      <w:r w:rsidRPr="00D4309F">
        <w:t>the</w:t>
      </w:r>
      <w:r w:rsidRPr="00D4309F">
        <w:rPr>
          <w:spacing w:val="-1"/>
        </w:rPr>
        <w:t xml:space="preserve"> </w:t>
      </w:r>
      <w:r w:rsidRPr="00D4309F">
        <w:t>Mooloolah River entrance. Under this variation, the extended eastern breakwater is allowed to function as a controlled sand trap, intercepting sand that would otherwise bypass naturally into Mooloolaba Bay. At intervals of approximately</w:t>
      </w:r>
      <w:r w:rsidRPr="00D4309F">
        <w:rPr>
          <w:spacing w:val="-2"/>
        </w:rPr>
        <w:t xml:space="preserve"> </w:t>
      </w:r>
      <w:r w:rsidRPr="00D4309F">
        <w:t>2</w:t>
      </w:r>
      <w:r w:rsidRPr="00D4309F">
        <w:rPr>
          <w:spacing w:val="-3"/>
        </w:rPr>
        <w:t xml:space="preserve"> </w:t>
      </w:r>
      <w:r w:rsidRPr="00D4309F">
        <w:t>years,</w:t>
      </w:r>
      <w:r w:rsidRPr="00D4309F">
        <w:rPr>
          <w:spacing w:val="-3"/>
        </w:rPr>
        <w:t xml:space="preserve"> </w:t>
      </w:r>
      <w:r w:rsidRPr="00D4309F">
        <w:t>accumulated</w:t>
      </w:r>
      <w:r w:rsidRPr="00D4309F">
        <w:rPr>
          <w:spacing w:val="-3"/>
        </w:rPr>
        <w:t xml:space="preserve"> </w:t>
      </w:r>
      <w:r w:rsidRPr="00D4309F">
        <w:t>sand</w:t>
      </w:r>
      <w:r w:rsidRPr="00D4309F">
        <w:rPr>
          <w:spacing w:val="-3"/>
        </w:rPr>
        <w:t xml:space="preserve"> </w:t>
      </w:r>
      <w:r w:rsidRPr="00D4309F">
        <w:t>is</w:t>
      </w:r>
      <w:r w:rsidRPr="00D4309F">
        <w:rPr>
          <w:spacing w:val="-2"/>
        </w:rPr>
        <w:t xml:space="preserve"> </w:t>
      </w:r>
      <w:r w:rsidRPr="00D4309F">
        <w:t>mechanically</w:t>
      </w:r>
      <w:r w:rsidRPr="00D4309F">
        <w:rPr>
          <w:spacing w:val="-2"/>
        </w:rPr>
        <w:t xml:space="preserve"> </w:t>
      </w:r>
      <w:r w:rsidRPr="00D4309F">
        <w:t>relocated</w:t>
      </w:r>
      <w:r w:rsidRPr="00D4309F">
        <w:rPr>
          <w:spacing w:val="-3"/>
        </w:rPr>
        <w:t xml:space="preserve"> </w:t>
      </w:r>
      <w:r w:rsidRPr="00D4309F">
        <w:t>from</w:t>
      </w:r>
      <w:r w:rsidRPr="00D4309F">
        <w:rPr>
          <w:spacing w:val="-3"/>
        </w:rPr>
        <w:t xml:space="preserve"> </w:t>
      </w:r>
      <w:r w:rsidRPr="00D4309F">
        <w:t>the</w:t>
      </w:r>
      <w:r w:rsidRPr="00D4309F">
        <w:rPr>
          <w:spacing w:val="-3"/>
        </w:rPr>
        <w:t xml:space="preserve"> </w:t>
      </w:r>
      <w:r w:rsidRPr="00D4309F">
        <w:t>updrift</w:t>
      </w:r>
      <w:r w:rsidRPr="00D4309F">
        <w:rPr>
          <w:spacing w:val="-3"/>
        </w:rPr>
        <w:t xml:space="preserve"> </w:t>
      </w:r>
      <w:r w:rsidRPr="00D4309F">
        <w:t>side</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breakwater</w:t>
      </w:r>
      <w:r w:rsidRPr="00D4309F">
        <w:rPr>
          <w:spacing w:val="-2"/>
        </w:rPr>
        <w:t xml:space="preserve"> </w:t>
      </w:r>
      <w:r w:rsidRPr="00D4309F">
        <w:t>to the downdrift beach system using a CSD and pipeline placement.</w:t>
      </w:r>
    </w:p>
    <w:p w14:paraId="4F3CBE79" w14:textId="77777777" w:rsidR="00725977" w:rsidRPr="00D4309F" w:rsidRDefault="00725977" w:rsidP="008228CB">
      <w:pPr>
        <w:pStyle w:val="Heading3"/>
      </w:pPr>
      <w:bookmarkStart w:id="403" w:name="_Toc216699447"/>
      <w:r w:rsidRPr="00D4309F">
        <w:t>Design</w:t>
      </w:r>
      <w:r w:rsidRPr="00D4309F">
        <w:rPr>
          <w:spacing w:val="-3"/>
        </w:rPr>
        <w:t xml:space="preserve"> </w:t>
      </w:r>
      <w:r w:rsidRPr="00D4309F">
        <w:t>and</w:t>
      </w:r>
      <w:r w:rsidRPr="00D4309F">
        <w:rPr>
          <w:spacing w:val="-3"/>
        </w:rPr>
        <w:t xml:space="preserve"> </w:t>
      </w:r>
      <w:r w:rsidRPr="00D4309F">
        <w:rPr>
          <w:spacing w:val="-2"/>
        </w:rPr>
        <w:t>approvals</w:t>
      </w:r>
      <w:bookmarkEnd w:id="403"/>
    </w:p>
    <w:p w14:paraId="68640C5C" w14:textId="77777777" w:rsidR="00725977" w:rsidRPr="00D4309F" w:rsidRDefault="00725977" w:rsidP="00725977">
      <w:pPr>
        <w:pStyle w:val="BodyText"/>
      </w:pPr>
      <w:r w:rsidRPr="00D4309F">
        <w:t>The</w:t>
      </w:r>
      <w:r w:rsidRPr="00D4309F">
        <w:rPr>
          <w:spacing w:val="-3"/>
        </w:rPr>
        <w:t xml:space="preserve"> </w:t>
      </w:r>
      <w:r w:rsidRPr="00D4309F">
        <w:t>proposed</w:t>
      </w:r>
      <w:r w:rsidRPr="00D4309F">
        <w:rPr>
          <w:spacing w:val="-3"/>
        </w:rPr>
        <w:t xml:space="preserve"> </w:t>
      </w:r>
      <w:r w:rsidRPr="00D4309F">
        <w:t>60</w:t>
      </w:r>
      <w:r w:rsidRPr="00D4309F">
        <w:rPr>
          <w:spacing w:val="-3"/>
        </w:rPr>
        <w:t xml:space="preserve"> </w:t>
      </w:r>
      <w:r w:rsidRPr="00D4309F">
        <w:t>m</w:t>
      </w:r>
      <w:r w:rsidRPr="00D4309F">
        <w:rPr>
          <w:spacing w:val="-3"/>
        </w:rPr>
        <w:t xml:space="preserve"> </w:t>
      </w:r>
      <w:r w:rsidRPr="00D4309F">
        <w:t>breakwater</w:t>
      </w:r>
      <w:r w:rsidRPr="00D4309F">
        <w:rPr>
          <w:spacing w:val="-2"/>
        </w:rPr>
        <w:t xml:space="preserve"> </w:t>
      </w:r>
      <w:r w:rsidRPr="00D4309F">
        <w:t>extension</w:t>
      </w:r>
      <w:r w:rsidRPr="00D4309F">
        <w:rPr>
          <w:spacing w:val="-3"/>
        </w:rPr>
        <w:t xml:space="preserve"> </w:t>
      </w:r>
      <w:r w:rsidRPr="00D4309F">
        <w:t>has</w:t>
      </w:r>
      <w:r w:rsidRPr="00D4309F">
        <w:rPr>
          <w:spacing w:val="-2"/>
        </w:rPr>
        <w:t xml:space="preserve"> </w:t>
      </w:r>
      <w:r w:rsidRPr="00D4309F">
        <w:t>been</w:t>
      </w:r>
      <w:r w:rsidRPr="00D4309F">
        <w:rPr>
          <w:spacing w:val="-3"/>
        </w:rPr>
        <w:t xml:space="preserve"> </w:t>
      </w:r>
      <w:r w:rsidRPr="00D4309F">
        <w:t>extensively</w:t>
      </w:r>
      <w:r w:rsidRPr="00D4309F">
        <w:rPr>
          <w:spacing w:val="-2"/>
        </w:rPr>
        <w:t xml:space="preserve"> </w:t>
      </w:r>
      <w:r w:rsidRPr="00D4309F">
        <w:t>modelled</w:t>
      </w:r>
      <w:r w:rsidRPr="00D4309F">
        <w:rPr>
          <w:spacing w:val="-3"/>
        </w:rPr>
        <w:t xml:space="preserve"> </w:t>
      </w:r>
      <w:r w:rsidRPr="00D4309F">
        <w:t>and</w:t>
      </w:r>
      <w:r w:rsidRPr="00D4309F">
        <w:rPr>
          <w:spacing w:val="-3"/>
        </w:rPr>
        <w:t xml:space="preserve"> </w:t>
      </w:r>
      <w:r w:rsidRPr="00D4309F">
        <w:t>engineered</w:t>
      </w:r>
      <w:r w:rsidRPr="00D4309F">
        <w:rPr>
          <w:spacing w:val="-3"/>
        </w:rPr>
        <w:t xml:space="preserve"> </w:t>
      </w:r>
      <w:r w:rsidRPr="00D4309F">
        <w:t>as</w:t>
      </w:r>
      <w:r w:rsidRPr="00D4309F">
        <w:rPr>
          <w:spacing w:val="-3"/>
        </w:rPr>
        <w:t xml:space="preserve"> </w:t>
      </w:r>
      <w:r w:rsidRPr="00D4309F">
        <w:t>a</w:t>
      </w:r>
      <w:r w:rsidRPr="00D4309F">
        <w:rPr>
          <w:spacing w:val="-3"/>
        </w:rPr>
        <w:t xml:space="preserve"> </w:t>
      </w:r>
      <w:r w:rsidRPr="00D4309F">
        <w:t>conventional rock</w:t>
      </w:r>
      <w:r w:rsidRPr="00D4309F">
        <w:rPr>
          <w:spacing w:val="-1"/>
        </w:rPr>
        <w:t xml:space="preserve"> </w:t>
      </w:r>
      <w:r w:rsidRPr="00D4309F">
        <w:t>structure,</w:t>
      </w:r>
      <w:r w:rsidRPr="00D4309F">
        <w:rPr>
          <w:spacing w:val="-1"/>
        </w:rPr>
        <w:t xml:space="preserve"> </w:t>
      </w:r>
      <w:r w:rsidRPr="00D4309F">
        <w:t>directly tied</w:t>
      </w:r>
      <w:r w:rsidRPr="00D4309F">
        <w:rPr>
          <w:spacing w:val="-1"/>
        </w:rPr>
        <w:t xml:space="preserve"> </w:t>
      </w:r>
      <w:r w:rsidRPr="00D4309F">
        <w:t>into</w:t>
      </w:r>
      <w:r w:rsidRPr="00D4309F">
        <w:rPr>
          <w:spacing w:val="-1"/>
        </w:rPr>
        <w:t xml:space="preserve"> </w:t>
      </w:r>
      <w:r w:rsidRPr="00D4309F">
        <w:t>the</w:t>
      </w:r>
      <w:r w:rsidRPr="00D4309F">
        <w:rPr>
          <w:spacing w:val="-1"/>
        </w:rPr>
        <w:t xml:space="preserve"> </w:t>
      </w:r>
      <w:r w:rsidRPr="00D4309F">
        <w:t>existing</w:t>
      </w:r>
      <w:r w:rsidRPr="00D4309F">
        <w:rPr>
          <w:spacing w:val="-1"/>
        </w:rPr>
        <w:t xml:space="preserve"> </w:t>
      </w:r>
      <w:r w:rsidRPr="00D4309F">
        <w:t>breakwater and</w:t>
      </w:r>
      <w:r w:rsidRPr="00D4309F">
        <w:rPr>
          <w:spacing w:val="-1"/>
        </w:rPr>
        <w:t xml:space="preserve"> </w:t>
      </w:r>
      <w:r w:rsidRPr="00D4309F">
        <w:t>topped</w:t>
      </w:r>
      <w:r w:rsidRPr="00D4309F">
        <w:rPr>
          <w:spacing w:val="-2"/>
        </w:rPr>
        <w:t xml:space="preserve"> </w:t>
      </w:r>
      <w:r w:rsidRPr="00D4309F">
        <w:t>with</w:t>
      </w:r>
      <w:r w:rsidRPr="00D4309F">
        <w:rPr>
          <w:spacing w:val="-1"/>
        </w:rPr>
        <w:t xml:space="preserve"> </w:t>
      </w:r>
      <w:r w:rsidRPr="00D4309F">
        <w:t>a</w:t>
      </w:r>
      <w:r w:rsidRPr="00D4309F">
        <w:rPr>
          <w:spacing w:val="-1"/>
        </w:rPr>
        <w:t xml:space="preserve"> </w:t>
      </w:r>
      <w:r w:rsidRPr="00D4309F">
        <w:t>reinforced</w:t>
      </w:r>
      <w:r w:rsidRPr="00D4309F">
        <w:rPr>
          <w:spacing w:val="-2"/>
        </w:rPr>
        <w:t xml:space="preserve"> </w:t>
      </w:r>
      <w:r w:rsidRPr="00D4309F">
        <w:t>concrete</w:t>
      </w:r>
      <w:r w:rsidRPr="00D4309F">
        <w:rPr>
          <w:spacing w:val="-1"/>
        </w:rPr>
        <w:t xml:space="preserve"> </w:t>
      </w:r>
      <w:r w:rsidRPr="00D4309F">
        <w:t>crest</w:t>
      </w:r>
      <w:r w:rsidRPr="00D4309F">
        <w:rPr>
          <w:spacing w:val="-1"/>
        </w:rPr>
        <w:t xml:space="preserve"> </w:t>
      </w:r>
      <w:r w:rsidRPr="00D4309F">
        <w:t>pathway to provide durable maintenance access. The structure is designed to withstand a 200-year ARI wave conditions and incorporates a crest height allowance for future sea-level rise, ensuring long-term stability under extreme conditions.</w:t>
      </w:r>
    </w:p>
    <w:p w14:paraId="613B0E8B" w14:textId="77777777" w:rsidR="00725977" w:rsidRPr="00D4309F" w:rsidRDefault="00725977" w:rsidP="00725977">
      <w:pPr>
        <w:pStyle w:val="BodyText"/>
      </w:pPr>
      <w:r w:rsidRPr="00D4309F">
        <w:t>The</w:t>
      </w:r>
      <w:r w:rsidRPr="00D4309F">
        <w:rPr>
          <w:spacing w:val="-2"/>
        </w:rPr>
        <w:t xml:space="preserve"> </w:t>
      </w:r>
      <w:r w:rsidRPr="00D4309F">
        <w:t>updrift</w:t>
      </w:r>
      <w:r w:rsidRPr="00D4309F">
        <w:rPr>
          <w:spacing w:val="-2"/>
        </w:rPr>
        <w:t xml:space="preserve"> </w:t>
      </w:r>
      <w:r w:rsidRPr="00D4309F">
        <w:t>sand</w:t>
      </w:r>
      <w:r w:rsidRPr="00D4309F">
        <w:rPr>
          <w:spacing w:val="-2"/>
        </w:rPr>
        <w:t xml:space="preserve"> </w:t>
      </w:r>
      <w:r w:rsidRPr="00D4309F">
        <w:t>trap</w:t>
      </w:r>
      <w:r w:rsidRPr="00D4309F">
        <w:rPr>
          <w:spacing w:val="-2"/>
        </w:rPr>
        <w:t xml:space="preserve"> </w:t>
      </w:r>
      <w:r w:rsidRPr="00D4309F">
        <w:t>formed</w:t>
      </w:r>
      <w:r w:rsidRPr="00D4309F">
        <w:rPr>
          <w:spacing w:val="-2"/>
        </w:rPr>
        <w:t xml:space="preserve"> </w:t>
      </w:r>
      <w:r w:rsidRPr="00D4309F">
        <w:t>by</w:t>
      </w:r>
      <w:r w:rsidRPr="00D4309F">
        <w:rPr>
          <w:spacing w:val="-1"/>
        </w:rPr>
        <w:t xml:space="preserve"> </w:t>
      </w:r>
      <w:r w:rsidRPr="00D4309F">
        <w:t>the</w:t>
      </w:r>
      <w:r w:rsidRPr="00D4309F">
        <w:rPr>
          <w:spacing w:val="-2"/>
        </w:rPr>
        <w:t xml:space="preserve"> </w:t>
      </w:r>
      <w:r w:rsidRPr="00D4309F">
        <w:t>extension</w:t>
      </w:r>
      <w:r w:rsidRPr="00D4309F">
        <w:rPr>
          <w:spacing w:val="-2"/>
        </w:rPr>
        <w:t xml:space="preserve"> </w:t>
      </w:r>
      <w:r w:rsidRPr="00D4309F">
        <w:t>will</w:t>
      </w:r>
      <w:r w:rsidRPr="00D4309F">
        <w:rPr>
          <w:spacing w:val="-2"/>
        </w:rPr>
        <w:t xml:space="preserve"> </w:t>
      </w:r>
      <w:r w:rsidRPr="00D4309F">
        <w:t>lie</w:t>
      </w:r>
      <w:r w:rsidRPr="00D4309F">
        <w:rPr>
          <w:spacing w:val="-2"/>
        </w:rPr>
        <w:t xml:space="preserve"> </w:t>
      </w:r>
      <w:r w:rsidRPr="00D4309F">
        <w:t>within</w:t>
      </w:r>
      <w:r w:rsidRPr="00D4309F">
        <w:rPr>
          <w:spacing w:val="-2"/>
        </w:rPr>
        <w:t xml:space="preserve"> </w:t>
      </w:r>
      <w:r w:rsidRPr="00D4309F">
        <w:t>an</w:t>
      </w:r>
      <w:r w:rsidRPr="00D4309F">
        <w:rPr>
          <w:spacing w:val="-2"/>
        </w:rPr>
        <w:t xml:space="preserve"> </w:t>
      </w:r>
      <w:r w:rsidRPr="00D4309F">
        <w:t>exposed</w:t>
      </w:r>
      <w:r w:rsidRPr="00D4309F">
        <w:rPr>
          <w:spacing w:val="-2"/>
        </w:rPr>
        <w:t xml:space="preserve"> </w:t>
      </w:r>
      <w:r w:rsidRPr="00D4309F">
        <w:t>nearshore</w:t>
      </w:r>
      <w:r w:rsidRPr="00D4309F">
        <w:rPr>
          <w:spacing w:val="-2"/>
        </w:rPr>
        <w:t xml:space="preserve"> </w:t>
      </w:r>
      <w:r w:rsidRPr="00D4309F">
        <w:t>environment,</w:t>
      </w:r>
      <w:r w:rsidRPr="00D4309F">
        <w:rPr>
          <w:spacing w:val="-2"/>
        </w:rPr>
        <w:t xml:space="preserve"> </w:t>
      </w:r>
      <w:r w:rsidRPr="00D4309F">
        <w:t>requiring</w:t>
      </w:r>
      <w:r w:rsidRPr="00D4309F">
        <w:rPr>
          <w:spacing w:val="-2"/>
        </w:rPr>
        <w:t xml:space="preserve"> </w:t>
      </w:r>
      <w:r w:rsidRPr="00D4309F">
        <w:t>the associated dredging system to be resilient to energetic wave conditions and variable seabed characteristics, including shallow rock substrata. The CSD currently used for maintenance dredging within the entrance channel is considered suitable for this task; however, its operational capacity may be constrained during adverse sea states. The existing pipeline infrastructure located along the breakwater can be reused for sediment outflow and transport to the designated placement area at Mooloolaba Beach (Area B).</w:t>
      </w:r>
    </w:p>
    <w:p w14:paraId="31A9E4A1" w14:textId="77777777" w:rsidR="00725977" w:rsidRPr="00D4309F" w:rsidRDefault="00725977" w:rsidP="00725977">
      <w:pPr>
        <w:pStyle w:val="BodyText"/>
      </w:pPr>
      <w:r w:rsidRPr="00D4309F">
        <w:t>The</w:t>
      </w:r>
      <w:r w:rsidRPr="00D4309F">
        <w:rPr>
          <w:spacing w:val="-3"/>
        </w:rPr>
        <w:t xml:space="preserve"> </w:t>
      </w:r>
      <w:r w:rsidRPr="00D4309F">
        <w:t>breakwater</w:t>
      </w:r>
      <w:r w:rsidRPr="00D4309F">
        <w:rPr>
          <w:spacing w:val="-2"/>
        </w:rPr>
        <w:t xml:space="preserve"> </w:t>
      </w:r>
      <w:r w:rsidRPr="00D4309F">
        <w:t>extension</w:t>
      </w:r>
      <w:r w:rsidRPr="00D4309F">
        <w:rPr>
          <w:spacing w:val="-4"/>
        </w:rPr>
        <w:t xml:space="preserve"> </w:t>
      </w:r>
      <w:r w:rsidRPr="00D4309F">
        <w:t>and</w:t>
      </w:r>
      <w:r w:rsidRPr="00D4309F">
        <w:rPr>
          <w:spacing w:val="-3"/>
        </w:rPr>
        <w:t xml:space="preserve"> </w:t>
      </w:r>
      <w:r w:rsidRPr="00D4309F">
        <w:t>associated</w:t>
      </w:r>
      <w:r w:rsidRPr="00D4309F">
        <w:rPr>
          <w:spacing w:val="-3"/>
        </w:rPr>
        <w:t xml:space="preserve"> </w:t>
      </w:r>
      <w:r w:rsidRPr="00D4309F">
        <w:t>dredging</w:t>
      </w:r>
      <w:r w:rsidRPr="00D4309F">
        <w:rPr>
          <w:spacing w:val="-3"/>
        </w:rPr>
        <w:t xml:space="preserve"> </w:t>
      </w:r>
      <w:r w:rsidRPr="00D4309F">
        <w:t>activities</w:t>
      </w:r>
      <w:r w:rsidRPr="00D4309F">
        <w:rPr>
          <w:spacing w:val="-2"/>
        </w:rPr>
        <w:t xml:space="preserve"> </w:t>
      </w:r>
      <w:r w:rsidRPr="00D4309F">
        <w:t>constitute</w:t>
      </w:r>
      <w:r w:rsidRPr="00D4309F">
        <w:rPr>
          <w:spacing w:val="-3"/>
        </w:rPr>
        <w:t xml:space="preserve"> </w:t>
      </w:r>
      <w:r w:rsidRPr="00D4309F">
        <w:t>Prescribed</w:t>
      </w:r>
      <w:r w:rsidRPr="00D4309F">
        <w:rPr>
          <w:spacing w:val="-3"/>
        </w:rPr>
        <w:t xml:space="preserve"> </w:t>
      </w:r>
      <w:r w:rsidRPr="00D4309F">
        <w:t>Tidal</w:t>
      </w:r>
      <w:r w:rsidRPr="00D4309F">
        <w:rPr>
          <w:spacing w:val="-3"/>
        </w:rPr>
        <w:t xml:space="preserve"> </w:t>
      </w:r>
      <w:r w:rsidRPr="00D4309F">
        <w:t>Works</w:t>
      </w:r>
      <w:r w:rsidRPr="00D4309F">
        <w:rPr>
          <w:spacing w:val="-2"/>
        </w:rPr>
        <w:t xml:space="preserve"> </w:t>
      </w:r>
      <w:r w:rsidRPr="00D4309F">
        <w:t>and</w:t>
      </w:r>
      <w:r w:rsidRPr="00D4309F">
        <w:rPr>
          <w:spacing w:val="-3"/>
        </w:rPr>
        <w:t xml:space="preserve"> </w:t>
      </w:r>
      <w:r w:rsidRPr="00D4309F">
        <w:t>will trigger relevant statutory approval processes, including:</w:t>
      </w:r>
    </w:p>
    <w:p w14:paraId="5DB4D12C" w14:textId="77777777" w:rsidR="00725977" w:rsidRPr="00D4309F" w:rsidRDefault="00725977" w:rsidP="00D27F26">
      <w:pPr>
        <w:pStyle w:val="ListParagraph"/>
        <w:widowControl w:val="0"/>
        <w:numPr>
          <w:ilvl w:val="0"/>
          <w:numId w:val="289"/>
        </w:numPr>
        <w:tabs>
          <w:tab w:val="left" w:pos="501"/>
        </w:tabs>
        <w:autoSpaceDE w:val="0"/>
        <w:autoSpaceDN w:val="0"/>
        <w:spacing w:after="0" w:line="240" w:lineRule="auto"/>
        <w:contextualSpacing w:val="0"/>
      </w:pPr>
      <w:r w:rsidRPr="00D4309F">
        <w:rPr>
          <w:color w:val="211E1F"/>
        </w:rPr>
        <w:t>Owner’s</w:t>
      </w:r>
      <w:r w:rsidRPr="00D4309F">
        <w:rPr>
          <w:color w:val="211E1F"/>
          <w:spacing w:val="-4"/>
        </w:rPr>
        <w:t xml:space="preserve"> </w:t>
      </w:r>
      <w:r w:rsidRPr="00D4309F">
        <w:rPr>
          <w:color w:val="211E1F"/>
        </w:rPr>
        <w:t>consent</w:t>
      </w:r>
      <w:r w:rsidRPr="00D4309F">
        <w:rPr>
          <w:color w:val="211E1F"/>
          <w:spacing w:val="-3"/>
        </w:rPr>
        <w:t xml:space="preserve"> </w:t>
      </w:r>
      <w:r w:rsidRPr="00D4309F">
        <w:rPr>
          <w:color w:val="211E1F"/>
        </w:rPr>
        <w:t>for</w:t>
      </w:r>
      <w:r w:rsidRPr="00D4309F">
        <w:rPr>
          <w:color w:val="211E1F"/>
          <w:spacing w:val="-2"/>
        </w:rPr>
        <w:t xml:space="preserve"> </w:t>
      </w:r>
      <w:r w:rsidRPr="00D4309F">
        <w:rPr>
          <w:color w:val="211E1F"/>
        </w:rPr>
        <w:t>use</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State</w:t>
      </w:r>
      <w:r w:rsidRPr="00D4309F">
        <w:rPr>
          <w:color w:val="211E1F"/>
          <w:spacing w:val="-3"/>
        </w:rPr>
        <w:t xml:space="preserve"> </w:t>
      </w:r>
      <w:r w:rsidRPr="00D4309F">
        <w:rPr>
          <w:color w:val="211E1F"/>
        </w:rPr>
        <w:t>land</w:t>
      </w:r>
      <w:r w:rsidRPr="00D4309F">
        <w:rPr>
          <w:color w:val="211E1F"/>
          <w:spacing w:val="-3"/>
        </w:rPr>
        <w:t xml:space="preserve"> </w:t>
      </w:r>
      <w:r w:rsidRPr="00D4309F">
        <w:rPr>
          <w:color w:val="211E1F"/>
        </w:rPr>
        <w:t>and</w:t>
      </w:r>
      <w:r w:rsidRPr="00D4309F">
        <w:rPr>
          <w:color w:val="211E1F"/>
          <w:spacing w:val="-2"/>
        </w:rPr>
        <w:t xml:space="preserve"> seabed.</w:t>
      </w:r>
    </w:p>
    <w:p w14:paraId="7CC97945" w14:textId="77777777" w:rsidR="00725977" w:rsidRPr="00D4309F" w:rsidRDefault="00725977" w:rsidP="00D27F26">
      <w:pPr>
        <w:pStyle w:val="ListParagraph"/>
        <w:widowControl w:val="0"/>
        <w:numPr>
          <w:ilvl w:val="0"/>
          <w:numId w:val="289"/>
        </w:numPr>
        <w:tabs>
          <w:tab w:val="left" w:pos="500"/>
        </w:tabs>
        <w:autoSpaceDE w:val="0"/>
        <w:autoSpaceDN w:val="0"/>
        <w:spacing w:before="119" w:after="0" w:line="240" w:lineRule="auto"/>
        <w:ind w:left="500"/>
        <w:contextualSpacing w:val="0"/>
      </w:pPr>
      <w:r w:rsidRPr="00D4309F">
        <w:rPr>
          <w:color w:val="211E1F"/>
        </w:rPr>
        <w:t>A</w:t>
      </w:r>
      <w:r w:rsidRPr="00D4309F">
        <w:rPr>
          <w:color w:val="211E1F"/>
          <w:spacing w:val="-6"/>
        </w:rPr>
        <w:t xml:space="preserve"> </w:t>
      </w:r>
      <w:r w:rsidRPr="00D4309F">
        <w:rPr>
          <w:color w:val="211E1F"/>
        </w:rPr>
        <w:t>Prescribed</w:t>
      </w:r>
      <w:r w:rsidRPr="00D4309F">
        <w:rPr>
          <w:color w:val="211E1F"/>
          <w:spacing w:val="-5"/>
        </w:rPr>
        <w:t xml:space="preserve"> </w:t>
      </w:r>
      <w:r w:rsidRPr="00D4309F">
        <w:rPr>
          <w:color w:val="211E1F"/>
        </w:rPr>
        <w:t>Tidal</w:t>
      </w:r>
      <w:r w:rsidRPr="00D4309F">
        <w:rPr>
          <w:color w:val="211E1F"/>
          <w:spacing w:val="-4"/>
        </w:rPr>
        <w:t xml:space="preserve"> </w:t>
      </w:r>
      <w:r w:rsidRPr="00D4309F">
        <w:rPr>
          <w:color w:val="211E1F"/>
        </w:rPr>
        <w:t>Works</w:t>
      </w:r>
      <w:r w:rsidRPr="00D4309F">
        <w:rPr>
          <w:color w:val="211E1F"/>
          <w:spacing w:val="-3"/>
        </w:rPr>
        <w:t xml:space="preserve"> </w:t>
      </w:r>
      <w:r w:rsidRPr="00D4309F">
        <w:rPr>
          <w:color w:val="211E1F"/>
        </w:rPr>
        <w:t>application</w:t>
      </w:r>
      <w:r w:rsidRPr="00D4309F">
        <w:rPr>
          <w:color w:val="211E1F"/>
          <w:spacing w:val="-4"/>
        </w:rPr>
        <w:t xml:space="preserve"> </w:t>
      </w:r>
      <w:r w:rsidRPr="00D4309F">
        <w:rPr>
          <w:color w:val="211E1F"/>
        </w:rPr>
        <w:t>under</w:t>
      </w:r>
      <w:r w:rsidRPr="00D4309F">
        <w:rPr>
          <w:color w:val="211E1F"/>
          <w:spacing w:val="-4"/>
        </w:rPr>
        <w:t xml:space="preserve"> </w:t>
      </w:r>
      <w:r w:rsidRPr="00D4309F">
        <w:rPr>
          <w:color w:val="211E1F"/>
        </w:rPr>
        <w:t>the</w:t>
      </w:r>
      <w:r w:rsidRPr="00D4309F">
        <w:rPr>
          <w:color w:val="211E1F"/>
          <w:spacing w:val="-4"/>
        </w:rPr>
        <w:t xml:space="preserve"> </w:t>
      </w:r>
      <w:r w:rsidRPr="00D4309F">
        <w:rPr>
          <w:i/>
          <w:color w:val="211E1F"/>
        </w:rPr>
        <w:t>Planning</w:t>
      </w:r>
      <w:r w:rsidRPr="00D4309F">
        <w:rPr>
          <w:i/>
          <w:color w:val="211E1F"/>
          <w:spacing w:val="-3"/>
        </w:rPr>
        <w:t xml:space="preserve"> </w:t>
      </w:r>
      <w:r w:rsidRPr="00D4309F">
        <w:rPr>
          <w:i/>
          <w:color w:val="211E1F"/>
        </w:rPr>
        <w:t>Act</w:t>
      </w:r>
      <w:r w:rsidRPr="00D4309F">
        <w:rPr>
          <w:i/>
          <w:color w:val="211E1F"/>
          <w:spacing w:val="-4"/>
        </w:rPr>
        <w:t xml:space="preserve"> </w:t>
      </w:r>
      <w:r w:rsidRPr="00D4309F">
        <w:rPr>
          <w:i/>
          <w:color w:val="211E1F"/>
          <w:spacing w:val="-2"/>
        </w:rPr>
        <w:t>2016</w:t>
      </w:r>
      <w:r w:rsidRPr="00D4309F">
        <w:rPr>
          <w:color w:val="211E1F"/>
          <w:spacing w:val="-2"/>
        </w:rPr>
        <w:t>.</w:t>
      </w:r>
    </w:p>
    <w:p w14:paraId="583E48AC" w14:textId="77777777" w:rsidR="00725977" w:rsidRPr="00D4309F" w:rsidRDefault="00725977" w:rsidP="00D27F26">
      <w:pPr>
        <w:pStyle w:val="ListParagraph"/>
        <w:widowControl w:val="0"/>
        <w:numPr>
          <w:ilvl w:val="0"/>
          <w:numId w:val="289"/>
        </w:numPr>
        <w:tabs>
          <w:tab w:val="left" w:pos="500"/>
        </w:tabs>
        <w:autoSpaceDE w:val="0"/>
        <w:autoSpaceDN w:val="0"/>
        <w:spacing w:before="118" w:after="0" w:line="240" w:lineRule="auto"/>
        <w:ind w:left="500"/>
        <w:contextualSpacing w:val="0"/>
      </w:pPr>
      <w:r w:rsidRPr="00D4309F">
        <w:rPr>
          <w:color w:val="211E1F"/>
        </w:rPr>
        <w:t>Dredging</w:t>
      </w:r>
      <w:r w:rsidRPr="00D4309F">
        <w:rPr>
          <w:color w:val="211E1F"/>
          <w:spacing w:val="-7"/>
        </w:rPr>
        <w:t xml:space="preserve"> </w:t>
      </w:r>
      <w:r w:rsidRPr="00D4309F">
        <w:rPr>
          <w:color w:val="211E1F"/>
        </w:rPr>
        <w:t>permits</w:t>
      </w:r>
      <w:r w:rsidRPr="00D4309F">
        <w:rPr>
          <w:color w:val="211E1F"/>
          <w:spacing w:val="-3"/>
        </w:rPr>
        <w:t xml:space="preserve"> </w:t>
      </w:r>
      <w:r w:rsidRPr="00D4309F">
        <w:rPr>
          <w:color w:val="211E1F"/>
        </w:rPr>
        <w:t>under</w:t>
      </w:r>
      <w:r w:rsidRPr="00D4309F">
        <w:rPr>
          <w:color w:val="211E1F"/>
          <w:spacing w:val="-4"/>
        </w:rPr>
        <w:t xml:space="preserve"> </w:t>
      </w:r>
      <w:r w:rsidRPr="00D4309F">
        <w:rPr>
          <w:color w:val="211E1F"/>
        </w:rPr>
        <w:t>the</w:t>
      </w:r>
      <w:r w:rsidRPr="00D4309F">
        <w:rPr>
          <w:color w:val="211E1F"/>
          <w:spacing w:val="-4"/>
        </w:rPr>
        <w:t xml:space="preserve"> </w:t>
      </w:r>
      <w:r w:rsidRPr="00D4309F">
        <w:rPr>
          <w:color w:val="211E1F"/>
        </w:rPr>
        <w:t>Coastal</w:t>
      </w:r>
      <w:r w:rsidRPr="00D4309F">
        <w:rPr>
          <w:color w:val="211E1F"/>
          <w:spacing w:val="-5"/>
        </w:rPr>
        <w:t xml:space="preserve"> </w:t>
      </w:r>
      <w:r w:rsidRPr="00D4309F">
        <w:rPr>
          <w:color w:val="211E1F"/>
        </w:rPr>
        <w:t>Protection</w:t>
      </w:r>
      <w:r w:rsidRPr="00D4309F">
        <w:rPr>
          <w:color w:val="211E1F"/>
          <w:spacing w:val="-4"/>
        </w:rPr>
        <w:t xml:space="preserve"> </w:t>
      </w:r>
      <w:r w:rsidRPr="00D4309F">
        <w:rPr>
          <w:color w:val="211E1F"/>
        </w:rPr>
        <w:t>and</w:t>
      </w:r>
      <w:r w:rsidRPr="00D4309F">
        <w:rPr>
          <w:color w:val="211E1F"/>
          <w:spacing w:val="-5"/>
        </w:rPr>
        <w:t xml:space="preserve"> </w:t>
      </w:r>
      <w:r w:rsidRPr="00D4309F">
        <w:rPr>
          <w:color w:val="211E1F"/>
        </w:rPr>
        <w:t>Management</w:t>
      </w:r>
      <w:r w:rsidRPr="00D4309F">
        <w:rPr>
          <w:color w:val="211E1F"/>
          <w:spacing w:val="-4"/>
        </w:rPr>
        <w:t xml:space="preserve"> </w:t>
      </w:r>
      <w:r w:rsidRPr="00D4309F">
        <w:rPr>
          <w:color w:val="211E1F"/>
        </w:rPr>
        <w:t>Act</w:t>
      </w:r>
      <w:r w:rsidRPr="00D4309F">
        <w:rPr>
          <w:color w:val="211E1F"/>
          <w:spacing w:val="-4"/>
        </w:rPr>
        <w:t xml:space="preserve"> </w:t>
      </w:r>
      <w:r w:rsidRPr="00D4309F">
        <w:rPr>
          <w:color w:val="211E1F"/>
          <w:spacing w:val="-2"/>
        </w:rPr>
        <w:t>1995.</w:t>
      </w:r>
    </w:p>
    <w:p w14:paraId="6876CB05" w14:textId="77777777" w:rsidR="00725977" w:rsidRPr="00D4309F" w:rsidRDefault="00725977" w:rsidP="00725977">
      <w:pPr>
        <w:pStyle w:val="BodyText"/>
      </w:pPr>
      <w:r w:rsidRPr="00D4309F">
        <w:t>Given</w:t>
      </w:r>
      <w:r w:rsidRPr="00D4309F">
        <w:rPr>
          <w:spacing w:val="-3"/>
        </w:rPr>
        <w:t xml:space="preserve"> </w:t>
      </w:r>
      <w:r w:rsidRPr="00D4309F">
        <w:t>the</w:t>
      </w:r>
      <w:r w:rsidRPr="00D4309F">
        <w:rPr>
          <w:spacing w:val="-3"/>
        </w:rPr>
        <w:t xml:space="preserve"> </w:t>
      </w:r>
      <w:r w:rsidRPr="00D4309F">
        <w:t>potential</w:t>
      </w:r>
      <w:r w:rsidRPr="00D4309F">
        <w:rPr>
          <w:spacing w:val="-3"/>
        </w:rPr>
        <w:t xml:space="preserve"> </w:t>
      </w:r>
      <w:r w:rsidRPr="00D4309F">
        <w:t>disturbance</w:t>
      </w:r>
      <w:r w:rsidRPr="00D4309F">
        <w:rPr>
          <w:spacing w:val="-3"/>
        </w:rPr>
        <w:t xml:space="preserve"> </w:t>
      </w:r>
      <w:r w:rsidRPr="00D4309F">
        <w:t>to</w:t>
      </w:r>
      <w:r w:rsidRPr="00D4309F">
        <w:rPr>
          <w:spacing w:val="-3"/>
        </w:rPr>
        <w:t xml:space="preserve"> </w:t>
      </w:r>
      <w:r w:rsidRPr="00D4309F">
        <w:t>marine</w:t>
      </w:r>
      <w:r w:rsidRPr="00D4309F">
        <w:rPr>
          <w:spacing w:val="-3"/>
        </w:rPr>
        <w:t xml:space="preserve"> </w:t>
      </w:r>
      <w:r w:rsidRPr="00D4309F">
        <w:t>habitats</w:t>
      </w:r>
      <w:r w:rsidRPr="00D4309F">
        <w:rPr>
          <w:spacing w:val="-2"/>
        </w:rPr>
        <w:t xml:space="preserve"> </w:t>
      </w:r>
      <w:r w:rsidRPr="00D4309F">
        <w:t>and</w:t>
      </w:r>
      <w:r w:rsidRPr="00D4309F">
        <w:rPr>
          <w:spacing w:val="-3"/>
        </w:rPr>
        <w:t xml:space="preserve"> </w:t>
      </w:r>
      <w:r w:rsidRPr="00D4309F">
        <w:t>alteration</w:t>
      </w:r>
      <w:r w:rsidRPr="00D4309F">
        <w:rPr>
          <w:spacing w:val="-3"/>
        </w:rPr>
        <w:t xml:space="preserve"> </w:t>
      </w:r>
      <w:r w:rsidRPr="00D4309F">
        <w:t>of</w:t>
      </w:r>
      <w:r w:rsidRPr="00D4309F">
        <w:rPr>
          <w:spacing w:val="-5"/>
        </w:rPr>
        <w:t xml:space="preserve"> </w:t>
      </w:r>
      <w:r w:rsidRPr="00D4309F">
        <w:t>coastal</w:t>
      </w:r>
      <w:r w:rsidRPr="00D4309F">
        <w:rPr>
          <w:spacing w:val="-3"/>
        </w:rPr>
        <w:t xml:space="preserve"> </w:t>
      </w:r>
      <w:r w:rsidRPr="00D4309F">
        <w:t>processes,</w:t>
      </w:r>
      <w:r w:rsidRPr="00D4309F">
        <w:rPr>
          <w:spacing w:val="-3"/>
        </w:rPr>
        <w:t xml:space="preserve"> </w:t>
      </w:r>
      <w:r w:rsidRPr="00D4309F">
        <w:t>an</w:t>
      </w:r>
      <w:r w:rsidRPr="00D4309F">
        <w:rPr>
          <w:spacing w:val="-3"/>
        </w:rPr>
        <w:t xml:space="preserve"> </w:t>
      </w:r>
      <w:r w:rsidRPr="00D4309F">
        <w:t>Environmental Impact Assessment / Dredge Management Plan is likely to be required.</w:t>
      </w:r>
    </w:p>
    <w:p w14:paraId="23D1011C" w14:textId="4EFFAC47" w:rsidR="00725977" w:rsidRPr="00D4309F" w:rsidRDefault="00725977" w:rsidP="00725977">
      <w:pPr>
        <w:pStyle w:val="BodyText"/>
      </w:pPr>
      <w:r w:rsidRPr="00D4309F">
        <w:t>Early</w:t>
      </w:r>
      <w:r w:rsidRPr="00D4309F">
        <w:rPr>
          <w:spacing w:val="-2"/>
        </w:rPr>
        <w:t xml:space="preserve"> </w:t>
      </w:r>
      <w:r w:rsidRPr="00D4309F">
        <w:t>engagement</w:t>
      </w:r>
      <w:r w:rsidRPr="00D4309F">
        <w:rPr>
          <w:spacing w:val="-3"/>
        </w:rPr>
        <w:t xml:space="preserve"> </w:t>
      </w:r>
      <w:r w:rsidRPr="00D4309F">
        <w:t>with</w:t>
      </w:r>
      <w:r w:rsidRPr="00D4309F">
        <w:rPr>
          <w:spacing w:val="-3"/>
        </w:rPr>
        <w:t xml:space="preserve"> </w:t>
      </w:r>
      <w:r w:rsidRPr="00D4309F">
        <w:t>regulatory</w:t>
      </w:r>
      <w:r w:rsidRPr="00D4309F">
        <w:rPr>
          <w:spacing w:val="-2"/>
        </w:rPr>
        <w:t xml:space="preserve"> </w:t>
      </w:r>
      <w:r w:rsidRPr="00D4309F">
        <w:t>authorities</w:t>
      </w:r>
      <w:r w:rsidRPr="00D4309F">
        <w:rPr>
          <w:spacing w:val="-2"/>
        </w:rPr>
        <w:t xml:space="preserve"> </w:t>
      </w:r>
      <w:r w:rsidRPr="00D4309F">
        <w:t>is</w:t>
      </w:r>
      <w:r w:rsidRPr="00D4309F">
        <w:rPr>
          <w:spacing w:val="-2"/>
        </w:rPr>
        <w:t xml:space="preserve"> </w:t>
      </w:r>
      <w:r w:rsidRPr="00D4309F">
        <w:t>strongly</w:t>
      </w:r>
      <w:r w:rsidRPr="00D4309F">
        <w:rPr>
          <w:spacing w:val="-2"/>
        </w:rPr>
        <w:t xml:space="preserve"> </w:t>
      </w:r>
      <w:r w:rsidRPr="00D4309F">
        <w:t>recommended</w:t>
      </w:r>
      <w:r w:rsidRPr="00D4309F">
        <w:rPr>
          <w:spacing w:val="-3"/>
        </w:rPr>
        <w:t xml:space="preserve"> </w:t>
      </w:r>
      <w:r w:rsidRPr="00D4309F">
        <w:t>to</w:t>
      </w:r>
      <w:r w:rsidRPr="00D4309F">
        <w:rPr>
          <w:spacing w:val="-3"/>
        </w:rPr>
        <w:t xml:space="preserve"> </w:t>
      </w:r>
      <w:r w:rsidRPr="00D4309F">
        <w:t>guide</w:t>
      </w:r>
      <w:r w:rsidRPr="00D4309F">
        <w:rPr>
          <w:spacing w:val="-3"/>
        </w:rPr>
        <w:t xml:space="preserve"> </w:t>
      </w:r>
      <w:r w:rsidRPr="00D4309F">
        <w:t>the</w:t>
      </w:r>
      <w:r w:rsidRPr="00D4309F">
        <w:rPr>
          <w:spacing w:val="-3"/>
        </w:rPr>
        <w:t xml:space="preserve"> </w:t>
      </w:r>
      <w:r w:rsidRPr="00D4309F">
        <w:t>approval</w:t>
      </w:r>
      <w:r w:rsidRPr="00D4309F">
        <w:rPr>
          <w:spacing w:val="-3"/>
        </w:rPr>
        <w:t xml:space="preserve"> </w:t>
      </w:r>
      <w:r w:rsidRPr="00D4309F">
        <w:t>pathway.</w:t>
      </w:r>
      <w:r w:rsidRPr="00D4309F">
        <w:rPr>
          <w:spacing w:val="-3"/>
        </w:rPr>
        <w:t xml:space="preserve"> </w:t>
      </w:r>
      <w:r w:rsidRPr="00D4309F">
        <w:t>Pre-lodgement meetings will assist in aligning the design with statutory requirements, identifying information needs, and streamlining the assessment process.</w:t>
      </w:r>
    </w:p>
    <w:p w14:paraId="24244486" w14:textId="77777777" w:rsidR="00725977" w:rsidRPr="00D4309F" w:rsidRDefault="00725977" w:rsidP="008228CB">
      <w:pPr>
        <w:pStyle w:val="Heading3"/>
      </w:pPr>
      <w:bookmarkStart w:id="404" w:name="_Toc216699448"/>
      <w:r w:rsidRPr="00D4309F">
        <w:t>Capital</w:t>
      </w:r>
      <w:r w:rsidRPr="00D4309F">
        <w:rPr>
          <w:spacing w:val="-4"/>
        </w:rPr>
        <w:t xml:space="preserve"> </w:t>
      </w:r>
      <w:r w:rsidRPr="00D4309F">
        <w:rPr>
          <w:spacing w:val="-2"/>
        </w:rPr>
        <w:t>works</w:t>
      </w:r>
      <w:bookmarkEnd w:id="404"/>
    </w:p>
    <w:p w14:paraId="1E6588BF" w14:textId="77777777" w:rsidR="00725977" w:rsidRPr="00D4309F" w:rsidRDefault="00725977" w:rsidP="00725977">
      <w:pPr>
        <w:pStyle w:val="BodyText"/>
      </w:pPr>
      <w:r w:rsidRPr="00D4309F">
        <w:t>Capital works for Option 3A primarily involve the construction of the 60 m eastern breakwater extension and enabling infrastructure for periodic dredging operations. The breakwater extension represents the most significant</w:t>
      </w:r>
      <w:r w:rsidRPr="00D4309F">
        <w:rPr>
          <w:spacing w:val="-3"/>
        </w:rPr>
        <w:t xml:space="preserve"> </w:t>
      </w:r>
      <w:r w:rsidRPr="00D4309F">
        <w:t>capital</w:t>
      </w:r>
      <w:r w:rsidRPr="00D4309F">
        <w:rPr>
          <w:spacing w:val="-3"/>
        </w:rPr>
        <w:t xml:space="preserve"> </w:t>
      </w:r>
      <w:r w:rsidRPr="00D4309F">
        <w:t>component,</w:t>
      </w:r>
      <w:r w:rsidRPr="00D4309F">
        <w:rPr>
          <w:spacing w:val="-3"/>
        </w:rPr>
        <w:t xml:space="preserve"> </w:t>
      </w:r>
      <w:r w:rsidRPr="00D4309F">
        <w:t>requiring</w:t>
      </w:r>
      <w:r w:rsidRPr="00D4309F">
        <w:rPr>
          <w:spacing w:val="-4"/>
        </w:rPr>
        <w:t xml:space="preserve"> </w:t>
      </w:r>
      <w:r w:rsidRPr="00D4309F">
        <w:t>approximately</w:t>
      </w:r>
      <w:r w:rsidRPr="00D4309F">
        <w:rPr>
          <w:spacing w:val="-2"/>
        </w:rPr>
        <w:t xml:space="preserve"> </w:t>
      </w:r>
      <w:r w:rsidRPr="00D4309F">
        <w:t>30,000</w:t>
      </w:r>
      <w:r w:rsidRPr="00D4309F">
        <w:rPr>
          <w:spacing w:val="-3"/>
        </w:rPr>
        <w:t xml:space="preserve"> </w:t>
      </w:r>
      <w:r w:rsidRPr="00D4309F">
        <w:t>tonnes</w:t>
      </w:r>
      <w:r w:rsidRPr="00D4309F">
        <w:rPr>
          <w:spacing w:val="-2"/>
        </w:rPr>
        <w:t xml:space="preserve"> </w:t>
      </w:r>
      <w:r w:rsidRPr="00D4309F">
        <w:t>of</w:t>
      </w:r>
      <w:r w:rsidRPr="00D4309F">
        <w:rPr>
          <w:spacing w:val="-3"/>
        </w:rPr>
        <w:t xml:space="preserve"> </w:t>
      </w:r>
      <w:r w:rsidRPr="00D4309F">
        <w:t>core</w:t>
      </w:r>
      <w:r w:rsidRPr="00D4309F">
        <w:rPr>
          <w:spacing w:val="-3"/>
        </w:rPr>
        <w:t xml:space="preserve"> </w:t>
      </w:r>
      <w:r w:rsidRPr="00D4309F">
        <w:t>and</w:t>
      </w:r>
      <w:r w:rsidRPr="00D4309F">
        <w:rPr>
          <w:spacing w:val="-3"/>
        </w:rPr>
        <w:t xml:space="preserve"> </w:t>
      </w:r>
      <w:r w:rsidRPr="00D4309F">
        <w:t>armour</w:t>
      </w:r>
      <w:r w:rsidRPr="00D4309F">
        <w:rPr>
          <w:spacing w:val="-2"/>
        </w:rPr>
        <w:t xml:space="preserve"> </w:t>
      </w:r>
      <w:r w:rsidRPr="00D4309F">
        <w:t>rock,</w:t>
      </w:r>
      <w:r w:rsidRPr="00D4309F">
        <w:rPr>
          <w:spacing w:val="-3"/>
        </w:rPr>
        <w:t xml:space="preserve"> </w:t>
      </w:r>
      <w:r w:rsidRPr="00D4309F">
        <w:t>with</w:t>
      </w:r>
      <w:r w:rsidRPr="00D4309F">
        <w:rPr>
          <w:spacing w:val="-3"/>
        </w:rPr>
        <w:t xml:space="preserve"> </w:t>
      </w:r>
      <w:r w:rsidRPr="00D4309F">
        <w:t>individual armour units weighing up to 12</w:t>
      </w:r>
      <w:r w:rsidRPr="00D4309F">
        <w:rPr>
          <w:spacing w:val="-14"/>
        </w:rPr>
        <w:t xml:space="preserve"> </w:t>
      </w:r>
      <w:r w:rsidRPr="00D4309F">
        <w:t>tonnes. Material will be sourced from approved quarries, transported by road or sea, and placed using a combination of land-based equipment and marine plant (e.g. barges or cranes), depending on access conditions.</w:t>
      </w:r>
    </w:p>
    <w:p w14:paraId="383BC67A" w14:textId="77777777" w:rsidR="00725977" w:rsidRPr="00D4309F" w:rsidRDefault="00725977" w:rsidP="00725977">
      <w:pPr>
        <w:pStyle w:val="BodyText"/>
      </w:pPr>
      <w:r w:rsidRPr="00D4309F">
        <w:t>Construction</w:t>
      </w:r>
      <w:r w:rsidRPr="00D4309F">
        <w:rPr>
          <w:spacing w:val="-4"/>
        </w:rPr>
        <w:t xml:space="preserve"> </w:t>
      </w:r>
      <w:r w:rsidRPr="00D4309F">
        <w:t>staging</w:t>
      </w:r>
      <w:r w:rsidRPr="00D4309F">
        <w:rPr>
          <w:spacing w:val="-3"/>
        </w:rPr>
        <w:t xml:space="preserve"> </w:t>
      </w:r>
      <w:r w:rsidRPr="00D4309F">
        <w:t>will</w:t>
      </w:r>
      <w:r w:rsidRPr="00D4309F">
        <w:rPr>
          <w:spacing w:val="-3"/>
        </w:rPr>
        <w:t xml:space="preserve"> </w:t>
      </w:r>
      <w:r w:rsidRPr="00D4309F">
        <w:t>be</w:t>
      </w:r>
      <w:r w:rsidRPr="00D4309F">
        <w:rPr>
          <w:spacing w:val="-3"/>
        </w:rPr>
        <w:t xml:space="preserve"> </w:t>
      </w:r>
      <w:r w:rsidRPr="00D4309F">
        <w:t>carefully</w:t>
      </w:r>
      <w:r w:rsidRPr="00D4309F">
        <w:rPr>
          <w:spacing w:val="-3"/>
        </w:rPr>
        <w:t xml:space="preserve"> </w:t>
      </w:r>
      <w:r w:rsidRPr="00D4309F">
        <w:t>sequenced</w:t>
      </w:r>
      <w:r w:rsidRPr="00D4309F">
        <w:rPr>
          <w:spacing w:val="-3"/>
        </w:rPr>
        <w:t xml:space="preserve"> </w:t>
      </w:r>
      <w:r w:rsidRPr="00D4309F">
        <w:t>to</w:t>
      </w:r>
      <w:r w:rsidRPr="00D4309F">
        <w:rPr>
          <w:spacing w:val="-3"/>
        </w:rPr>
        <w:t xml:space="preserve"> </w:t>
      </w:r>
      <w:r w:rsidRPr="00D4309F">
        <w:t>maintain</w:t>
      </w:r>
      <w:r w:rsidRPr="00D4309F">
        <w:rPr>
          <w:spacing w:val="-3"/>
        </w:rPr>
        <w:t xml:space="preserve"> </w:t>
      </w:r>
      <w:r w:rsidRPr="00D4309F">
        <w:t>safe</w:t>
      </w:r>
      <w:r w:rsidRPr="00D4309F">
        <w:rPr>
          <w:spacing w:val="-3"/>
        </w:rPr>
        <w:t xml:space="preserve"> </w:t>
      </w:r>
      <w:r w:rsidRPr="00D4309F">
        <w:t>navigation</w:t>
      </w:r>
      <w:r w:rsidRPr="00D4309F">
        <w:rPr>
          <w:spacing w:val="-3"/>
        </w:rPr>
        <w:t xml:space="preserve"> </w:t>
      </w:r>
      <w:r w:rsidRPr="00D4309F">
        <w:t>access</w:t>
      </w:r>
      <w:r w:rsidRPr="00D4309F">
        <w:rPr>
          <w:spacing w:val="-2"/>
        </w:rPr>
        <w:t xml:space="preserve"> </w:t>
      </w:r>
      <w:r w:rsidRPr="00D4309F">
        <w:t>throughout</w:t>
      </w:r>
      <w:r w:rsidRPr="00D4309F">
        <w:rPr>
          <w:spacing w:val="-3"/>
        </w:rPr>
        <w:t xml:space="preserve"> </w:t>
      </w:r>
      <w:r w:rsidRPr="00D4309F">
        <w:t>the</w:t>
      </w:r>
      <w:r w:rsidRPr="00D4309F">
        <w:rPr>
          <w:spacing w:val="-3"/>
        </w:rPr>
        <w:t xml:space="preserve"> </w:t>
      </w:r>
      <w:r w:rsidRPr="00D4309F">
        <w:t>works. Where possible, construction activities will be scheduled outside of the peak swell season to reduce weather-related risks and minimise disruption to marine operations.</w:t>
      </w:r>
    </w:p>
    <w:p w14:paraId="683A0DE9" w14:textId="77777777" w:rsidR="00725977" w:rsidRPr="00D4309F" w:rsidRDefault="00725977" w:rsidP="00725977">
      <w:pPr>
        <w:pStyle w:val="BodyText"/>
      </w:pPr>
      <w:r w:rsidRPr="00D4309F">
        <w:t>Beyond the breakwater itself, only minimal permanent infrastructure is required to support dredging operations.</w:t>
      </w:r>
      <w:r w:rsidRPr="00D4309F">
        <w:rPr>
          <w:spacing w:val="-3"/>
        </w:rPr>
        <w:t xml:space="preserve"> </w:t>
      </w:r>
      <w:r w:rsidRPr="00D4309F">
        <w:t>The</w:t>
      </w:r>
      <w:r w:rsidRPr="00D4309F">
        <w:rPr>
          <w:spacing w:val="-3"/>
        </w:rPr>
        <w:t xml:space="preserve"> </w:t>
      </w:r>
      <w:r w:rsidRPr="00D4309F">
        <w:t>CSD</w:t>
      </w:r>
      <w:r w:rsidRPr="00D4309F">
        <w:rPr>
          <w:spacing w:val="-2"/>
        </w:rPr>
        <w:t xml:space="preserve"> </w:t>
      </w:r>
      <w:r w:rsidRPr="00D4309F">
        <w:t>and</w:t>
      </w:r>
      <w:r w:rsidRPr="00D4309F">
        <w:rPr>
          <w:spacing w:val="-4"/>
        </w:rPr>
        <w:t xml:space="preserve"> </w:t>
      </w:r>
      <w:r w:rsidRPr="00D4309F">
        <w:t>associated</w:t>
      </w:r>
      <w:r w:rsidRPr="00D4309F">
        <w:rPr>
          <w:spacing w:val="-3"/>
        </w:rPr>
        <w:t xml:space="preserve"> </w:t>
      </w:r>
      <w:r w:rsidRPr="00D4309F">
        <w:t>floating</w:t>
      </w:r>
      <w:r w:rsidRPr="00D4309F">
        <w:rPr>
          <w:spacing w:val="-3"/>
        </w:rPr>
        <w:t xml:space="preserve"> </w:t>
      </w:r>
      <w:r w:rsidRPr="00D4309F">
        <w:t>pipeline</w:t>
      </w:r>
      <w:r w:rsidRPr="00D4309F">
        <w:rPr>
          <w:spacing w:val="-4"/>
        </w:rPr>
        <w:t xml:space="preserve"> </w:t>
      </w:r>
      <w:r w:rsidRPr="00D4309F">
        <w:t>are</w:t>
      </w:r>
      <w:r w:rsidRPr="00D4309F">
        <w:rPr>
          <w:spacing w:val="-3"/>
        </w:rPr>
        <w:t xml:space="preserve"> </w:t>
      </w:r>
      <w:r w:rsidRPr="00D4309F">
        <w:t>mobilised</w:t>
      </w:r>
      <w:r w:rsidRPr="00D4309F">
        <w:rPr>
          <w:spacing w:val="-3"/>
        </w:rPr>
        <w:t xml:space="preserve"> </w:t>
      </w:r>
      <w:r w:rsidRPr="00D4309F">
        <w:t>on</w:t>
      </w:r>
      <w:r w:rsidRPr="00D4309F">
        <w:rPr>
          <w:spacing w:val="-3"/>
        </w:rPr>
        <w:t xml:space="preserve"> </w:t>
      </w:r>
      <w:r w:rsidRPr="00D4309F">
        <w:t>an</w:t>
      </w:r>
      <w:r w:rsidRPr="00D4309F">
        <w:rPr>
          <w:spacing w:val="-3"/>
        </w:rPr>
        <w:t xml:space="preserve"> </w:t>
      </w:r>
      <w:r w:rsidRPr="00D4309F">
        <w:t>as-needed</w:t>
      </w:r>
      <w:r w:rsidRPr="00D4309F">
        <w:rPr>
          <w:spacing w:val="-3"/>
        </w:rPr>
        <w:t xml:space="preserve"> </w:t>
      </w:r>
      <w:r w:rsidRPr="00D4309F">
        <w:t>basis</w:t>
      </w:r>
      <w:r w:rsidRPr="00D4309F">
        <w:rPr>
          <w:spacing w:val="-2"/>
        </w:rPr>
        <w:t xml:space="preserve"> </w:t>
      </w:r>
      <w:r w:rsidRPr="00D4309F">
        <w:t>and</w:t>
      </w:r>
      <w:r w:rsidRPr="00D4309F">
        <w:rPr>
          <w:spacing w:val="-3"/>
        </w:rPr>
        <w:t xml:space="preserve"> </w:t>
      </w:r>
      <w:r w:rsidRPr="00D4309F">
        <w:t>do</w:t>
      </w:r>
      <w:r w:rsidRPr="00D4309F">
        <w:rPr>
          <w:spacing w:val="-3"/>
        </w:rPr>
        <w:t xml:space="preserve"> </w:t>
      </w:r>
      <w:r w:rsidRPr="00D4309F">
        <w:t>not require fixed installations.</w:t>
      </w:r>
    </w:p>
    <w:p w14:paraId="16348A73" w14:textId="77777777" w:rsidR="00725977" w:rsidRPr="00D4309F" w:rsidRDefault="00725977" w:rsidP="00725977">
      <w:pPr>
        <w:pStyle w:val="BodyText"/>
      </w:pPr>
      <w:r w:rsidRPr="00D4309F">
        <w:t>Any shore-based booster pumps or temporary beach works (e.g. spreaders, discharge diffusers) would be assembled</w:t>
      </w:r>
      <w:r w:rsidRPr="00D4309F">
        <w:rPr>
          <w:spacing w:val="-3"/>
        </w:rPr>
        <w:t xml:space="preserve"> </w:t>
      </w:r>
      <w:r w:rsidRPr="00D4309F">
        <w:t>and</w:t>
      </w:r>
      <w:r w:rsidRPr="00D4309F">
        <w:rPr>
          <w:spacing w:val="-3"/>
        </w:rPr>
        <w:t xml:space="preserve"> </w:t>
      </w:r>
      <w:r w:rsidRPr="00D4309F">
        <w:t>operated</w:t>
      </w:r>
      <w:r w:rsidRPr="00D4309F">
        <w:rPr>
          <w:spacing w:val="-4"/>
        </w:rPr>
        <w:t xml:space="preserve"> </w:t>
      </w:r>
      <w:r w:rsidRPr="00D4309F">
        <w:t>during</w:t>
      </w:r>
      <w:r w:rsidRPr="00D4309F">
        <w:rPr>
          <w:spacing w:val="-3"/>
        </w:rPr>
        <w:t xml:space="preserve"> </w:t>
      </w:r>
      <w:r w:rsidRPr="00D4309F">
        <w:t>dredging</w:t>
      </w:r>
      <w:r w:rsidRPr="00D4309F">
        <w:rPr>
          <w:spacing w:val="-3"/>
        </w:rPr>
        <w:t xml:space="preserve"> </w:t>
      </w:r>
      <w:r w:rsidRPr="00D4309F">
        <w:t>campaigns</w:t>
      </w:r>
      <w:r w:rsidRPr="00D4309F">
        <w:rPr>
          <w:spacing w:val="-2"/>
        </w:rPr>
        <w:t xml:space="preserve"> </w:t>
      </w:r>
      <w:r w:rsidRPr="00D4309F">
        <w:t>and</w:t>
      </w:r>
      <w:r w:rsidRPr="00D4309F">
        <w:rPr>
          <w:spacing w:val="-3"/>
        </w:rPr>
        <w:t xml:space="preserve"> </w:t>
      </w:r>
      <w:r w:rsidRPr="00D4309F">
        <w:t>then</w:t>
      </w:r>
      <w:r w:rsidRPr="00D4309F">
        <w:rPr>
          <w:spacing w:val="-3"/>
        </w:rPr>
        <w:t xml:space="preserve"> </w:t>
      </w:r>
      <w:r w:rsidRPr="00D4309F">
        <w:t>demobilised.</w:t>
      </w:r>
      <w:r w:rsidRPr="00D4309F">
        <w:rPr>
          <w:spacing w:val="-3"/>
        </w:rPr>
        <w:t xml:space="preserve"> </w:t>
      </w:r>
      <w:r w:rsidRPr="00D4309F">
        <w:t>These</w:t>
      </w:r>
      <w:r w:rsidRPr="00D4309F">
        <w:rPr>
          <w:spacing w:val="-3"/>
        </w:rPr>
        <w:t xml:space="preserve"> </w:t>
      </w:r>
      <w:r w:rsidRPr="00D4309F">
        <w:t>facilities</w:t>
      </w:r>
      <w:r w:rsidRPr="00D4309F">
        <w:rPr>
          <w:spacing w:val="-3"/>
        </w:rPr>
        <w:t xml:space="preserve"> </w:t>
      </w:r>
      <w:r w:rsidRPr="00D4309F">
        <w:t>are</w:t>
      </w:r>
      <w:r w:rsidRPr="00D4309F">
        <w:rPr>
          <w:spacing w:val="-3"/>
        </w:rPr>
        <w:t xml:space="preserve"> </w:t>
      </w:r>
      <w:r w:rsidRPr="00D4309F">
        <w:t>considered operational rather than capital assets and would not require permanent installation.</w:t>
      </w:r>
    </w:p>
    <w:p w14:paraId="3F02C240" w14:textId="51FA6538" w:rsidR="00725977" w:rsidRPr="00D4309F" w:rsidRDefault="00725977" w:rsidP="00725977">
      <w:pPr>
        <w:pStyle w:val="BodyText"/>
      </w:pPr>
      <w:r w:rsidRPr="00D4309F">
        <w:lastRenderedPageBreak/>
        <w:t>Standard environmental and construction controls would be applied throughout the works, including sediment</w:t>
      </w:r>
      <w:r w:rsidRPr="00D4309F">
        <w:rPr>
          <w:spacing w:val="-3"/>
        </w:rPr>
        <w:t xml:space="preserve"> </w:t>
      </w:r>
      <w:r w:rsidRPr="00D4309F">
        <w:t>containment,</w:t>
      </w:r>
      <w:r w:rsidRPr="00D4309F">
        <w:rPr>
          <w:spacing w:val="-3"/>
        </w:rPr>
        <w:t xml:space="preserve"> </w:t>
      </w:r>
      <w:r w:rsidRPr="00D4309F">
        <w:t>access</w:t>
      </w:r>
      <w:r w:rsidRPr="00D4309F">
        <w:rPr>
          <w:spacing w:val="-2"/>
        </w:rPr>
        <w:t xml:space="preserve"> </w:t>
      </w:r>
      <w:r w:rsidRPr="00D4309F">
        <w:t>management,</w:t>
      </w:r>
      <w:r w:rsidRPr="00D4309F">
        <w:rPr>
          <w:spacing w:val="-3"/>
        </w:rPr>
        <w:t xml:space="preserve"> </w:t>
      </w:r>
      <w:r w:rsidRPr="00D4309F">
        <w:t>and</w:t>
      </w:r>
      <w:r w:rsidRPr="00D4309F">
        <w:rPr>
          <w:spacing w:val="-3"/>
        </w:rPr>
        <w:t xml:space="preserve"> </w:t>
      </w:r>
      <w:r w:rsidRPr="00D4309F">
        <w:t>buffer</w:t>
      </w:r>
      <w:r w:rsidRPr="00D4309F">
        <w:rPr>
          <w:spacing w:val="-2"/>
        </w:rPr>
        <w:t xml:space="preserve"> </w:t>
      </w:r>
      <w:r w:rsidRPr="00D4309F">
        <w:t>zones</w:t>
      </w:r>
      <w:r w:rsidRPr="00D4309F">
        <w:rPr>
          <w:spacing w:val="-2"/>
        </w:rPr>
        <w:t xml:space="preserve"> </w:t>
      </w:r>
      <w:r w:rsidRPr="00D4309F">
        <w:t>to</w:t>
      </w:r>
      <w:r w:rsidRPr="00D4309F">
        <w:rPr>
          <w:spacing w:val="-3"/>
        </w:rPr>
        <w:t xml:space="preserve"> </w:t>
      </w:r>
      <w:r w:rsidRPr="00D4309F">
        <w:t>reduce</w:t>
      </w:r>
      <w:r w:rsidRPr="00D4309F">
        <w:rPr>
          <w:spacing w:val="-3"/>
        </w:rPr>
        <w:t xml:space="preserve"> </w:t>
      </w:r>
      <w:r w:rsidRPr="00D4309F">
        <w:t>impacts</w:t>
      </w:r>
      <w:r w:rsidRPr="00D4309F">
        <w:rPr>
          <w:spacing w:val="-2"/>
        </w:rPr>
        <w:t xml:space="preserve"> </w:t>
      </w:r>
      <w:r w:rsidRPr="00D4309F">
        <w:t>on</w:t>
      </w:r>
      <w:r w:rsidRPr="00D4309F">
        <w:rPr>
          <w:spacing w:val="-3"/>
        </w:rPr>
        <w:t xml:space="preserve"> </w:t>
      </w:r>
      <w:r w:rsidRPr="00D4309F">
        <w:t>marine</w:t>
      </w:r>
      <w:r w:rsidRPr="00D4309F">
        <w:rPr>
          <w:spacing w:val="-3"/>
        </w:rPr>
        <w:t xml:space="preserve"> </w:t>
      </w:r>
      <w:r w:rsidRPr="00D4309F">
        <w:t>fauna,</w:t>
      </w:r>
      <w:r w:rsidRPr="00D4309F">
        <w:rPr>
          <w:spacing w:val="-3"/>
        </w:rPr>
        <w:t xml:space="preserve"> </w:t>
      </w:r>
      <w:r w:rsidRPr="00D4309F">
        <w:t>water quality, and adjacent recreational areas.</w:t>
      </w:r>
    </w:p>
    <w:p w14:paraId="67E2EF82" w14:textId="77777777" w:rsidR="00725977" w:rsidRPr="00D4309F" w:rsidRDefault="00725977" w:rsidP="008228CB">
      <w:pPr>
        <w:pStyle w:val="Heading3"/>
      </w:pPr>
      <w:bookmarkStart w:id="405" w:name="_Toc216699449"/>
      <w:r w:rsidRPr="00D4309F">
        <w:t>Operational</w:t>
      </w:r>
      <w:r w:rsidRPr="00D4309F">
        <w:rPr>
          <w:spacing w:val="-7"/>
        </w:rPr>
        <w:t xml:space="preserve"> </w:t>
      </w:r>
      <w:r w:rsidRPr="00D4309F">
        <w:rPr>
          <w:spacing w:val="-2"/>
        </w:rPr>
        <w:t>works</w:t>
      </w:r>
      <w:bookmarkEnd w:id="405"/>
    </w:p>
    <w:p w14:paraId="080B3B67" w14:textId="77777777" w:rsidR="00725977" w:rsidRPr="00D4309F" w:rsidRDefault="00725977" w:rsidP="00725977">
      <w:pPr>
        <w:pStyle w:val="BodyText"/>
      </w:pPr>
      <w:r w:rsidRPr="00D4309F">
        <w:t>Operationally, Option 3A relies on regular dredging campaigns to transfer sand across the entrance. Based on numerical modelling and past experience, a dredging campaign is anticipated approximately every two years, targeting up to ~30,000 m</w:t>
      </w:r>
      <w:r w:rsidRPr="00D4309F">
        <w:rPr>
          <w:vertAlign w:val="superscript"/>
        </w:rPr>
        <w:t>3</w:t>
      </w:r>
      <w:r w:rsidRPr="00D4309F">
        <w:t xml:space="preserve"> of sand per</w:t>
      </w:r>
      <w:r w:rsidRPr="00D4309F">
        <w:rPr>
          <w:spacing w:val="-1"/>
        </w:rPr>
        <w:t xml:space="preserve"> </w:t>
      </w:r>
      <w:r w:rsidRPr="00D4309F">
        <w:t>campaign. A CSD would be mobilised for each campaign and positioned</w:t>
      </w:r>
      <w:r w:rsidRPr="00D4309F">
        <w:rPr>
          <w:spacing w:val="-2"/>
        </w:rPr>
        <w:t xml:space="preserve"> </w:t>
      </w:r>
      <w:r w:rsidRPr="00D4309F">
        <w:t>in</w:t>
      </w:r>
      <w:r w:rsidRPr="00D4309F">
        <w:rPr>
          <w:spacing w:val="-3"/>
        </w:rPr>
        <w:t xml:space="preserve"> </w:t>
      </w:r>
      <w:r w:rsidRPr="00D4309F">
        <w:t>the</w:t>
      </w:r>
      <w:r w:rsidRPr="00D4309F">
        <w:rPr>
          <w:spacing w:val="-2"/>
        </w:rPr>
        <w:t xml:space="preserve"> </w:t>
      </w:r>
      <w:r w:rsidRPr="00D4309F">
        <w:t>sand</w:t>
      </w:r>
      <w:r w:rsidRPr="00D4309F">
        <w:rPr>
          <w:spacing w:val="-2"/>
        </w:rPr>
        <w:t xml:space="preserve"> </w:t>
      </w:r>
      <w:r w:rsidRPr="00D4309F">
        <w:t>trap</w:t>
      </w:r>
      <w:r w:rsidRPr="00D4309F">
        <w:rPr>
          <w:spacing w:val="-3"/>
        </w:rPr>
        <w:t xml:space="preserve"> </w:t>
      </w:r>
      <w:r w:rsidRPr="00D4309F">
        <w:t>area</w:t>
      </w:r>
      <w:r w:rsidRPr="00D4309F">
        <w:rPr>
          <w:spacing w:val="-2"/>
        </w:rPr>
        <w:t xml:space="preserve"> </w:t>
      </w:r>
      <w:r w:rsidRPr="00D4309F">
        <w:t>on</w:t>
      </w:r>
      <w:r w:rsidRPr="00D4309F">
        <w:rPr>
          <w:spacing w:val="-2"/>
        </w:rPr>
        <w:t xml:space="preserve"> </w:t>
      </w:r>
      <w:r w:rsidRPr="00D4309F">
        <w:t>the</w:t>
      </w:r>
      <w:r w:rsidRPr="00D4309F">
        <w:rPr>
          <w:spacing w:val="-2"/>
        </w:rPr>
        <w:t xml:space="preserve"> </w:t>
      </w:r>
      <w:r w:rsidRPr="00D4309F">
        <w:t>updrift</w:t>
      </w:r>
      <w:r w:rsidRPr="00D4309F">
        <w:rPr>
          <w:spacing w:val="-2"/>
        </w:rPr>
        <w:t xml:space="preserve"> </w:t>
      </w:r>
      <w:r w:rsidRPr="00D4309F">
        <w:t>side</w:t>
      </w:r>
      <w:r w:rsidRPr="00D4309F">
        <w:rPr>
          <w:spacing w:val="-2"/>
        </w:rPr>
        <w:t xml:space="preserve"> </w:t>
      </w:r>
      <w:r w:rsidRPr="00D4309F">
        <w:t>of</w:t>
      </w:r>
      <w:r w:rsidRPr="00D4309F">
        <w:rPr>
          <w:spacing w:val="-2"/>
        </w:rPr>
        <w:t xml:space="preserve"> </w:t>
      </w:r>
      <w:r w:rsidRPr="00D4309F">
        <w:t>the</w:t>
      </w:r>
      <w:r w:rsidRPr="00D4309F">
        <w:rPr>
          <w:spacing w:val="-2"/>
        </w:rPr>
        <w:t xml:space="preserve"> </w:t>
      </w:r>
      <w:r w:rsidRPr="00D4309F">
        <w:t>extended</w:t>
      </w:r>
      <w:r w:rsidRPr="00D4309F">
        <w:rPr>
          <w:spacing w:val="-2"/>
        </w:rPr>
        <w:t xml:space="preserve"> </w:t>
      </w:r>
      <w:r w:rsidRPr="00D4309F">
        <w:t>breakwater.</w:t>
      </w:r>
      <w:r w:rsidRPr="00D4309F">
        <w:rPr>
          <w:spacing w:val="-2"/>
        </w:rPr>
        <w:t xml:space="preserve"> </w:t>
      </w:r>
      <w:r w:rsidRPr="00D4309F">
        <w:t>The</w:t>
      </w:r>
      <w:r w:rsidRPr="00D4309F">
        <w:rPr>
          <w:spacing w:val="-2"/>
        </w:rPr>
        <w:t xml:space="preserve"> </w:t>
      </w:r>
      <w:r w:rsidRPr="00D4309F">
        <w:t>dredge</w:t>
      </w:r>
      <w:r w:rsidRPr="00D4309F">
        <w:rPr>
          <w:spacing w:val="-2"/>
        </w:rPr>
        <w:t xml:space="preserve"> </w:t>
      </w:r>
      <w:r w:rsidRPr="00D4309F">
        <w:t>uses</w:t>
      </w:r>
      <w:r w:rsidRPr="00D4309F">
        <w:rPr>
          <w:spacing w:val="-1"/>
        </w:rPr>
        <w:t xml:space="preserve"> </w:t>
      </w:r>
      <w:r w:rsidRPr="00D4309F">
        <w:t>a</w:t>
      </w:r>
      <w:r w:rsidRPr="00D4309F">
        <w:rPr>
          <w:spacing w:val="-2"/>
        </w:rPr>
        <w:t xml:space="preserve"> </w:t>
      </w:r>
      <w:r w:rsidRPr="00D4309F">
        <w:t>swinging cutter head</w:t>
      </w:r>
      <w:r w:rsidRPr="00D4309F">
        <w:rPr>
          <w:spacing w:val="-1"/>
        </w:rPr>
        <w:t xml:space="preserve"> </w:t>
      </w:r>
      <w:r w:rsidRPr="00D4309F">
        <w:t>to</w:t>
      </w:r>
      <w:r w:rsidRPr="00D4309F">
        <w:rPr>
          <w:spacing w:val="-2"/>
        </w:rPr>
        <w:t xml:space="preserve"> </w:t>
      </w:r>
      <w:r w:rsidRPr="00D4309F">
        <w:t>agitate</w:t>
      </w:r>
      <w:r w:rsidRPr="00D4309F">
        <w:rPr>
          <w:spacing w:val="-1"/>
        </w:rPr>
        <w:t xml:space="preserve"> </w:t>
      </w:r>
      <w:r w:rsidRPr="00D4309F">
        <w:t>and</w:t>
      </w:r>
      <w:r w:rsidRPr="00D4309F">
        <w:rPr>
          <w:spacing w:val="-1"/>
        </w:rPr>
        <w:t xml:space="preserve"> </w:t>
      </w:r>
      <w:r w:rsidRPr="00D4309F">
        <w:t>suction</w:t>
      </w:r>
      <w:r w:rsidRPr="00D4309F">
        <w:rPr>
          <w:spacing w:val="-1"/>
        </w:rPr>
        <w:t xml:space="preserve"> </w:t>
      </w:r>
      <w:r w:rsidRPr="00D4309F">
        <w:t>up</w:t>
      </w:r>
      <w:r w:rsidRPr="00D4309F">
        <w:rPr>
          <w:spacing w:val="-1"/>
        </w:rPr>
        <w:t xml:space="preserve"> </w:t>
      </w:r>
      <w:r w:rsidRPr="00D4309F">
        <w:t>sand</w:t>
      </w:r>
      <w:r w:rsidRPr="00D4309F">
        <w:rPr>
          <w:spacing w:val="-1"/>
        </w:rPr>
        <w:t xml:space="preserve"> </w:t>
      </w:r>
      <w:r w:rsidRPr="00D4309F">
        <w:t>that</w:t>
      </w:r>
      <w:r w:rsidRPr="00D4309F">
        <w:rPr>
          <w:spacing w:val="-1"/>
        </w:rPr>
        <w:t xml:space="preserve"> </w:t>
      </w:r>
      <w:r w:rsidRPr="00D4309F">
        <w:t>has accumulated</w:t>
      </w:r>
      <w:r w:rsidRPr="00D4309F">
        <w:rPr>
          <w:spacing w:val="-1"/>
        </w:rPr>
        <w:t xml:space="preserve"> </w:t>
      </w:r>
      <w:r w:rsidRPr="00D4309F">
        <w:t>in</w:t>
      </w:r>
      <w:r w:rsidRPr="00D4309F">
        <w:rPr>
          <w:spacing w:val="-2"/>
        </w:rPr>
        <w:t xml:space="preserve"> </w:t>
      </w:r>
      <w:r w:rsidRPr="00D4309F">
        <w:t>the</w:t>
      </w:r>
      <w:r w:rsidRPr="00D4309F">
        <w:rPr>
          <w:spacing w:val="-1"/>
        </w:rPr>
        <w:t xml:space="preserve"> </w:t>
      </w:r>
      <w:r w:rsidRPr="00D4309F">
        <w:t>trap,</w:t>
      </w:r>
      <w:r w:rsidRPr="00D4309F">
        <w:rPr>
          <w:spacing w:val="-1"/>
        </w:rPr>
        <w:t xml:space="preserve"> </w:t>
      </w:r>
      <w:r w:rsidRPr="00D4309F">
        <w:t>and</w:t>
      </w:r>
      <w:r w:rsidRPr="00D4309F">
        <w:rPr>
          <w:spacing w:val="-2"/>
        </w:rPr>
        <w:t xml:space="preserve"> </w:t>
      </w:r>
      <w:r w:rsidRPr="00D4309F">
        <w:t>a</w:t>
      </w:r>
      <w:r w:rsidRPr="00D4309F">
        <w:rPr>
          <w:spacing w:val="-1"/>
        </w:rPr>
        <w:t xml:space="preserve"> </w:t>
      </w:r>
      <w:r w:rsidRPr="00D4309F">
        <w:t>pump</w:t>
      </w:r>
      <w:r w:rsidRPr="00D4309F">
        <w:rPr>
          <w:spacing w:val="-1"/>
        </w:rPr>
        <w:t xml:space="preserve"> </w:t>
      </w:r>
      <w:r w:rsidRPr="00D4309F">
        <w:t>system</w:t>
      </w:r>
      <w:r w:rsidRPr="00D4309F">
        <w:rPr>
          <w:spacing w:val="-1"/>
        </w:rPr>
        <w:t xml:space="preserve"> </w:t>
      </w:r>
      <w:r w:rsidRPr="00D4309F">
        <w:t>to</w:t>
      </w:r>
      <w:r w:rsidRPr="00D4309F">
        <w:rPr>
          <w:spacing w:val="-1"/>
        </w:rPr>
        <w:t xml:space="preserve"> </w:t>
      </w:r>
      <w:r w:rsidRPr="00D4309F">
        <w:t>send</w:t>
      </w:r>
      <w:r w:rsidRPr="00D4309F">
        <w:rPr>
          <w:spacing w:val="-1"/>
        </w:rPr>
        <w:t xml:space="preserve"> </w:t>
      </w:r>
      <w:r w:rsidRPr="00D4309F">
        <w:t>the sand-water slurry through a floating or submerged pipeline. The pipeline would likely be routed around or through</w:t>
      </w:r>
      <w:r w:rsidRPr="00D4309F">
        <w:rPr>
          <w:spacing w:val="-3"/>
        </w:rPr>
        <w:t xml:space="preserve"> </w:t>
      </w:r>
      <w:r w:rsidRPr="00D4309F">
        <w:t>a</w:t>
      </w:r>
      <w:r w:rsidRPr="00D4309F">
        <w:rPr>
          <w:spacing w:val="-3"/>
        </w:rPr>
        <w:t xml:space="preserve"> </w:t>
      </w:r>
      <w:r w:rsidRPr="00D4309F">
        <w:t>dedicated</w:t>
      </w:r>
      <w:r w:rsidRPr="00D4309F">
        <w:rPr>
          <w:spacing w:val="-3"/>
        </w:rPr>
        <w:t xml:space="preserve"> </w:t>
      </w:r>
      <w:r w:rsidRPr="00D4309F">
        <w:t>conduit</w:t>
      </w:r>
      <w:r w:rsidRPr="00D4309F">
        <w:rPr>
          <w:spacing w:val="-3"/>
        </w:rPr>
        <w:t xml:space="preserve"> </w:t>
      </w:r>
      <w:r w:rsidRPr="00D4309F">
        <w:t>on</w:t>
      </w:r>
      <w:r w:rsidRPr="00D4309F">
        <w:rPr>
          <w:spacing w:val="-3"/>
        </w:rPr>
        <w:t xml:space="preserve"> </w:t>
      </w:r>
      <w:r w:rsidRPr="00D4309F">
        <w:t>the</w:t>
      </w:r>
      <w:r w:rsidRPr="00D4309F">
        <w:rPr>
          <w:spacing w:val="-3"/>
        </w:rPr>
        <w:t xml:space="preserve"> </w:t>
      </w:r>
      <w:r w:rsidRPr="00D4309F">
        <w:t>breakwater</w:t>
      </w:r>
      <w:r w:rsidRPr="00D4309F">
        <w:rPr>
          <w:spacing w:val="-2"/>
        </w:rPr>
        <w:t xml:space="preserve"> </w:t>
      </w:r>
      <w:r w:rsidRPr="00D4309F">
        <w:t>to</w:t>
      </w:r>
      <w:r w:rsidRPr="00D4309F">
        <w:rPr>
          <w:spacing w:val="-3"/>
        </w:rPr>
        <w:t xml:space="preserve"> </w:t>
      </w:r>
      <w:r w:rsidRPr="00D4309F">
        <w:t>reach</w:t>
      </w:r>
      <w:r w:rsidRPr="00D4309F">
        <w:rPr>
          <w:spacing w:val="-3"/>
        </w:rPr>
        <w:t xml:space="preserve"> </w:t>
      </w:r>
      <w:r w:rsidRPr="00D4309F">
        <w:t>the</w:t>
      </w:r>
      <w:r w:rsidRPr="00D4309F">
        <w:rPr>
          <w:spacing w:val="-3"/>
        </w:rPr>
        <w:t xml:space="preserve"> </w:t>
      </w:r>
      <w:r w:rsidRPr="00D4309F">
        <w:t>beach</w:t>
      </w:r>
      <w:r w:rsidRPr="00D4309F">
        <w:rPr>
          <w:spacing w:val="-3"/>
        </w:rPr>
        <w:t xml:space="preserve"> </w:t>
      </w:r>
      <w:r w:rsidRPr="00D4309F">
        <w:t>discharge</w:t>
      </w:r>
      <w:r w:rsidRPr="00D4309F">
        <w:rPr>
          <w:spacing w:val="-3"/>
        </w:rPr>
        <w:t xml:space="preserve"> </w:t>
      </w:r>
      <w:r w:rsidRPr="00D4309F">
        <w:t>location</w:t>
      </w:r>
      <w:r w:rsidRPr="00D4309F">
        <w:rPr>
          <w:spacing w:val="-3"/>
        </w:rPr>
        <w:t xml:space="preserve"> </w:t>
      </w:r>
      <w:r w:rsidRPr="00D4309F">
        <w:t>on</w:t>
      </w:r>
      <w:r w:rsidRPr="00D4309F">
        <w:rPr>
          <w:spacing w:val="-3"/>
        </w:rPr>
        <w:t xml:space="preserve"> </w:t>
      </w:r>
      <w:r w:rsidRPr="00D4309F">
        <w:t>Mooloolaba</w:t>
      </w:r>
      <w:r w:rsidRPr="00D4309F">
        <w:rPr>
          <w:spacing w:val="-3"/>
        </w:rPr>
        <w:t xml:space="preserve"> </w:t>
      </w:r>
      <w:r w:rsidRPr="00D4309F">
        <w:t>Beach.</w:t>
      </w:r>
    </w:p>
    <w:p w14:paraId="31F2847C" w14:textId="77777777" w:rsidR="00725977" w:rsidRPr="00D4309F" w:rsidRDefault="00725977" w:rsidP="00725977">
      <w:pPr>
        <w:pStyle w:val="BodyText"/>
      </w:pPr>
      <w:r w:rsidRPr="00D4309F">
        <w:t>During</w:t>
      </w:r>
      <w:r w:rsidRPr="00D4309F">
        <w:rPr>
          <w:spacing w:val="-2"/>
        </w:rPr>
        <w:t xml:space="preserve"> </w:t>
      </w:r>
      <w:r w:rsidRPr="00D4309F">
        <w:t>pumping,</w:t>
      </w:r>
      <w:r w:rsidRPr="00D4309F">
        <w:rPr>
          <w:spacing w:val="-2"/>
        </w:rPr>
        <w:t xml:space="preserve"> </w:t>
      </w:r>
      <w:r w:rsidRPr="00D4309F">
        <w:t>sand</w:t>
      </w:r>
      <w:r w:rsidRPr="00D4309F">
        <w:rPr>
          <w:spacing w:val="-2"/>
        </w:rPr>
        <w:t xml:space="preserve"> </w:t>
      </w:r>
      <w:r w:rsidRPr="00D4309F">
        <w:t>slurry</w:t>
      </w:r>
      <w:r w:rsidRPr="00D4309F">
        <w:rPr>
          <w:spacing w:val="-1"/>
        </w:rPr>
        <w:t xml:space="preserve"> </w:t>
      </w:r>
      <w:r w:rsidRPr="00D4309F">
        <w:t>is</w:t>
      </w:r>
      <w:r w:rsidRPr="00D4309F">
        <w:rPr>
          <w:spacing w:val="-1"/>
        </w:rPr>
        <w:t xml:space="preserve"> </w:t>
      </w:r>
      <w:r w:rsidRPr="00D4309F">
        <w:t>discharged</w:t>
      </w:r>
      <w:r w:rsidRPr="00D4309F">
        <w:rPr>
          <w:spacing w:val="-2"/>
        </w:rPr>
        <w:t xml:space="preserve"> </w:t>
      </w:r>
      <w:r w:rsidRPr="00D4309F">
        <w:t>either</w:t>
      </w:r>
      <w:r w:rsidRPr="00D4309F">
        <w:rPr>
          <w:spacing w:val="-1"/>
        </w:rPr>
        <w:t xml:space="preserve"> </w:t>
      </w:r>
      <w:r w:rsidRPr="00D4309F">
        <w:t>directly</w:t>
      </w:r>
      <w:r w:rsidRPr="00D4309F">
        <w:rPr>
          <w:spacing w:val="-1"/>
        </w:rPr>
        <w:t xml:space="preserve"> </w:t>
      </w:r>
      <w:r w:rsidRPr="00D4309F">
        <w:t>on</w:t>
      </w:r>
      <w:r w:rsidRPr="00D4309F">
        <w:rPr>
          <w:spacing w:val="-2"/>
        </w:rPr>
        <w:t xml:space="preserve"> </w:t>
      </w:r>
      <w:r w:rsidRPr="00D4309F">
        <w:t>the</w:t>
      </w:r>
      <w:r w:rsidRPr="00D4309F">
        <w:rPr>
          <w:spacing w:val="-2"/>
        </w:rPr>
        <w:t xml:space="preserve"> </w:t>
      </w:r>
      <w:r w:rsidRPr="00D4309F">
        <w:t>beach</w:t>
      </w:r>
      <w:r w:rsidRPr="00D4309F">
        <w:rPr>
          <w:spacing w:val="-2"/>
        </w:rPr>
        <w:t xml:space="preserve"> </w:t>
      </w:r>
      <w:r w:rsidRPr="00D4309F">
        <w:t>or</w:t>
      </w:r>
      <w:r w:rsidRPr="00D4309F">
        <w:rPr>
          <w:spacing w:val="-1"/>
        </w:rPr>
        <w:t xml:space="preserve"> </w:t>
      </w:r>
      <w:r w:rsidRPr="00D4309F">
        <w:t>in</w:t>
      </w:r>
      <w:r w:rsidRPr="00D4309F">
        <w:rPr>
          <w:spacing w:val="-2"/>
        </w:rPr>
        <w:t xml:space="preserve"> </w:t>
      </w:r>
      <w:r w:rsidRPr="00D4309F">
        <w:t>the</w:t>
      </w:r>
      <w:r w:rsidRPr="00D4309F">
        <w:rPr>
          <w:spacing w:val="-2"/>
        </w:rPr>
        <w:t xml:space="preserve"> </w:t>
      </w:r>
      <w:r w:rsidRPr="00D4309F">
        <w:t>nearshore</w:t>
      </w:r>
      <w:r w:rsidRPr="00D4309F">
        <w:rPr>
          <w:spacing w:val="-3"/>
        </w:rPr>
        <w:t xml:space="preserve"> </w:t>
      </w:r>
      <w:r w:rsidRPr="00D4309F">
        <w:t>zone,</w:t>
      </w:r>
      <w:r w:rsidRPr="00D4309F">
        <w:rPr>
          <w:spacing w:val="-2"/>
        </w:rPr>
        <w:t xml:space="preserve"> </w:t>
      </w:r>
      <w:r w:rsidRPr="00D4309F">
        <w:t>where</w:t>
      </w:r>
      <w:r w:rsidRPr="00D4309F">
        <w:rPr>
          <w:spacing w:val="-2"/>
        </w:rPr>
        <w:t xml:space="preserve"> </w:t>
      </w:r>
      <w:r w:rsidRPr="00D4309F">
        <w:t>it</w:t>
      </w:r>
      <w:r w:rsidRPr="00D4309F">
        <w:rPr>
          <w:spacing w:val="-2"/>
        </w:rPr>
        <w:t xml:space="preserve"> </w:t>
      </w:r>
      <w:r w:rsidRPr="00D4309F">
        <w:t>is re-profiled to renourish, the beach as needed. Each dredging campaign would likely span a few weeks, including setup, dredging, and demobilisation, though timing can vary with weather. Because the dredging site</w:t>
      </w:r>
      <w:r w:rsidRPr="00D4309F">
        <w:rPr>
          <w:spacing w:val="-2"/>
        </w:rPr>
        <w:t xml:space="preserve"> </w:t>
      </w:r>
      <w:r w:rsidRPr="00D4309F">
        <w:t>is</w:t>
      </w:r>
      <w:r w:rsidRPr="00D4309F">
        <w:rPr>
          <w:spacing w:val="-1"/>
        </w:rPr>
        <w:t xml:space="preserve"> </w:t>
      </w:r>
      <w:r w:rsidRPr="00D4309F">
        <w:t>relatively</w:t>
      </w:r>
      <w:r w:rsidRPr="00D4309F">
        <w:rPr>
          <w:spacing w:val="-1"/>
        </w:rPr>
        <w:t xml:space="preserve"> </w:t>
      </w:r>
      <w:r w:rsidRPr="00D4309F">
        <w:t>exposed,</w:t>
      </w:r>
      <w:r w:rsidRPr="00D4309F">
        <w:rPr>
          <w:spacing w:val="-2"/>
        </w:rPr>
        <w:t xml:space="preserve"> </w:t>
      </w:r>
      <w:r w:rsidRPr="00D4309F">
        <w:t>operations</w:t>
      </w:r>
      <w:r w:rsidRPr="00D4309F">
        <w:rPr>
          <w:spacing w:val="-1"/>
        </w:rPr>
        <w:t xml:space="preserve"> </w:t>
      </w:r>
      <w:r w:rsidRPr="00D4309F">
        <w:t>need</w:t>
      </w:r>
      <w:r w:rsidRPr="00D4309F">
        <w:rPr>
          <w:spacing w:val="-2"/>
        </w:rPr>
        <w:t xml:space="preserve"> </w:t>
      </w:r>
      <w:r w:rsidRPr="00D4309F">
        <w:t>to</w:t>
      </w:r>
      <w:r w:rsidRPr="00D4309F">
        <w:rPr>
          <w:spacing w:val="-2"/>
        </w:rPr>
        <w:t xml:space="preserve"> </w:t>
      </w:r>
      <w:r w:rsidRPr="00D4309F">
        <w:t>be</w:t>
      </w:r>
      <w:r w:rsidRPr="00D4309F">
        <w:rPr>
          <w:spacing w:val="-2"/>
        </w:rPr>
        <w:t xml:space="preserve"> </w:t>
      </w:r>
      <w:r w:rsidRPr="00D4309F">
        <w:t>carefully</w:t>
      </w:r>
      <w:r w:rsidRPr="00D4309F">
        <w:rPr>
          <w:spacing w:val="-1"/>
        </w:rPr>
        <w:t xml:space="preserve"> </w:t>
      </w:r>
      <w:r w:rsidRPr="00D4309F">
        <w:t>timed</w:t>
      </w:r>
      <w:r w:rsidRPr="00D4309F">
        <w:rPr>
          <w:spacing w:val="-2"/>
        </w:rPr>
        <w:t xml:space="preserve"> </w:t>
      </w:r>
      <w:r w:rsidRPr="00D4309F">
        <w:t>to</w:t>
      </w:r>
      <w:r w:rsidRPr="00D4309F">
        <w:rPr>
          <w:spacing w:val="-2"/>
        </w:rPr>
        <w:t xml:space="preserve"> </w:t>
      </w:r>
      <w:r w:rsidRPr="00D4309F">
        <w:t>suitable</w:t>
      </w:r>
      <w:r w:rsidRPr="00D4309F">
        <w:rPr>
          <w:spacing w:val="-2"/>
        </w:rPr>
        <w:t xml:space="preserve"> </w:t>
      </w:r>
      <w:r w:rsidRPr="00D4309F">
        <w:t>wave</w:t>
      </w:r>
      <w:r w:rsidRPr="00D4309F">
        <w:rPr>
          <w:spacing w:val="-3"/>
        </w:rPr>
        <w:t xml:space="preserve"> </w:t>
      </w:r>
      <w:r w:rsidRPr="00D4309F">
        <w:t>conditions</w:t>
      </w:r>
      <w:r w:rsidRPr="00D4309F">
        <w:rPr>
          <w:spacing w:val="-2"/>
        </w:rPr>
        <w:t xml:space="preserve"> </w:t>
      </w:r>
      <w:r w:rsidRPr="00D4309F">
        <w:t>–</w:t>
      </w:r>
      <w:r w:rsidRPr="00D4309F">
        <w:rPr>
          <w:spacing w:val="-2"/>
        </w:rPr>
        <w:t xml:space="preserve"> </w:t>
      </w:r>
      <w:r w:rsidRPr="00D4309F">
        <w:t>calm</w:t>
      </w:r>
      <w:r w:rsidRPr="00D4309F">
        <w:rPr>
          <w:spacing w:val="-2"/>
        </w:rPr>
        <w:t xml:space="preserve"> </w:t>
      </w:r>
      <w:r w:rsidRPr="00D4309F">
        <w:t>weather windows are utilised to maximise productivity and safety.</w:t>
      </w:r>
    </w:p>
    <w:p w14:paraId="3FD14703" w14:textId="77777777" w:rsidR="00725977" w:rsidRPr="00D4309F" w:rsidRDefault="00725977" w:rsidP="00725977">
      <w:pPr>
        <w:pStyle w:val="BodyText"/>
      </w:pPr>
      <w:r w:rsidRPr="00D4309F">
        <w:t>Although there is precedent at the site for CSD working on the outer edge of the existing channel, the number of workable days per campaign east of the breakwater will be constrained by sea state and wave reflection, with associated risks of productivity loss and cost escalation. These constraints are recognised in the MCA by scoring operational works average performance / moderate impact. A detailed metocean and downtime analysis would be required at the next design stage to refine assumptions on workable days and confirm unit rates.</w:t>
      </w:r>
    </w:p>
    <w:p w14:paraId="5A9E203F" w14:textId="77777777" w:rsidR="00725977" w:rsidRPr="00D4309F" w:rsidRDefault="00725977" w:rsidP="00725977">
      <w:pPr>
        <w:pStyle w:val="BodyText"/>
      </w:pPr>
      <w:r w:rsidRPr="00D4309F">
        <w:t>During dredging, Notices to Mariners and exclusion zones would ensure navigational safety around the dredge</w:t>
      </w:r>
      <w:r w:rsidRPr="00D4309F">
        <w:rPr>
          <w:spacing w:val="-3"/>
        </w:rPr>
        <w:t xml:space="preserve"> </w:t>
      </w:r>
      <w:r w:rsidRPr="00D4309F">
        <w:t>and</w:t>
      </w:r>
      <w:r w:rsidRPr="00D4309F">
        <w:rPr>
          <w:spacing w:val="-3"/>
        </w:rPr>
        <w:t xml:space="preserve"> </w:t>
      </w:r>
      <w:r w:rsidRPr="00D4309F">
        <w:t>pipeline.</w:t>
      </w:r>
      <w:r w:rsidRPr="00D4309F">
        <w:rPr>
          <w:spacing w:val="-4"/>
        </w:rPr>
        <w:t xml:space="preserve"> </w:t>
      </w:r>
      <w:r w:rsidRPr="00D4309F">
        <w:t>The</w:t>
      </w:r>
      <w:r w:rsidRPr="00D4309F">
        <w:rPr>
          <w:spacing w:val="-3"/>
        </w:rPr>
        <w:t xml:space="preserve"> </w:t>
      </w:r>
      <w:r w:rsidRPr="00D4309F">
        <w:t>dredging</w:t>
      </w:r>
      <w:r w:rsidRPr="00D4309F">
        <w:rPr>
          <w:spacing w:val="-3"/>
        </w:rPr>
        <w:t xml:space="preserve"> </w:t>
      </w:r>
      <w:r w:rsidRPr="00D4309F">
        <w:t>contractor</w:t>
      </w:r>
      <w:r w:rsidRPr="00D4309F">
        <w:rPr>
          <w:spacing w:val="-2"/>
        </w:rPr>
        <w:t xml:space="preserve"> </w:t>
      </w:r>
      <w:r w:rsidRPr="00D4309F">
        <w:t>or</w:t>
      </w:r>
      <w:r w:rsidRPr="00D4309F">
        <w:rPr>
          <w:spacing w:val="-2"/>
        </w:rPr>
        <w:t xml:space="preserve"> </w:t>
      </w:r>
      <w:r w:rsidRPr="00D4309F">
        <w:t>third-party</w:t>
      </w:r>
      <w:r w:rsidRPr="00D4309F">
        <w:rPr>
          <w:spacing w:val="-3"/>
        </w:rPr>
        <w:t xml:space="preserve"> </w:t>
      </w:r>
      <w:r w:rsidRPr="00D4309F">
        <w:t>contractor</w:t>
      </w:r>
      <w:r w:rsidRPr="00D4309F">
        <w:rPr>
          <w:spacing w:val="-2"/>
        </w:rPr>
        <w:t xml:space="preserve"> </w:t>
      </w:r>
      <w:r w:rsidRPr="00D4309F">
        <w:t>would</w:t>
      </w:r>
      <w:r w:rsidRPr="00D4309F">
        <w:rPr>
          <w:spacing w:val="-3"/>
        </w:rPr>
        <w:t xml:space="preserve"> </w:t>
      </w:r>
      <w:r w:rsidRPr="00D4309F">
        <w:t>likely</w:t>
      </w:r>
      <w:r w:rsidRPr="00D4309F">
        <w:rPr>
          <w:spacing w:val="-3"/>
        </w:rPr>
        <w:t xml:space="preserve"> </w:t>
      </w:r>
      <w:r w:rsidRPr="00D4309F">
        <w:t>be</w:t>
      </w:r>
      <w:r w:rsidRPr="00D4309F">
        <w:rPr>
          <w:spacing w:val="-3"/>
        </w:rPr>
        <w:t xml:space="preserve"> </w:t>
      </w:r>
      <w:r w:rsidRPr="00D4309F">
        <w:t>required</w:t>
      </w:r>
      <w:r w:rsidRPr="00D4309F">
        <w:rPr>
          <w:spacing w:val="-3"/>
        </w:rPr>
        <w:t xml:space="preserve"> </w:t>
      </w:r>
      <w:r w:rsidRPr="00D4309F">
        <w:t>to</w:t>
      </w:r>
      <w:r w:rsidRPr="00D4309F">
        <w:rPr>
          <w:spacing w:val="-3"/>
        </w:rPr>
        <w:t xml:space="preserve"> </w:t>
      </w:r>
      <w:r w:rsidRPr="00D4309F">
        <w:t>implement water quality monitoring (to manage turbidity) and beach management (to spread out the placed sand and remove pipeline sections promptly after completion).</w:t>
      </w:r>
    </w:p>
    <w:p w14:paraId="7F47E8C6" w14:textId="77777777" w:rsidR="00725977" w:rsidRPr="00D4309F" w:rsidRDefault="00725977" w:rsidP="00725977">
      <w:pPr>
        <w:pStyle w:val="BodyText"/>
      </w:pPr>
      <w:r w:rsidRPr="00D4309F">
        <w:t>The operational works consist of periodic, adaptive dredging campaigns that relocate sand from the breakwater’s</w:t>
      </w:r>
      <w:r w:rsidRPr="00D4309F">
        <w:rPr>
          <w:spacing w:val="-3"/>
        </w:rPr>
        <w:t xml:space="preserve"> </w:t>
      </w:r>
      <w:r w:rsidRPr="00D4309F">
        <w:t>trap</w:t>
      </w:r>
      <w:r w:rsidRPr="00D4309F">
        <w:rPr>
          <w:spacing w:val="-3"/>
        </w:rPr>
        <w:t xml:space="preserve"> </w:t>
      </w:r>
      <w:r w:rsidRPr="00D4309F">
        <w:t>to</w:t>
      </w:r>
      <w:r w:rsidRPr="00D4309F">
        <w:rPr>
          <w:spacing w:val="-3"/>
        </w:rPr>
        <w:t xml:space="preserve"> </w:t>
      </w:r>
      <w:r w:rsidRPr="00D4309F">
        <w:t>downdrift</w:t>
      </w:r>
      <w:r w:rsidRPr="00D4309F">
        <w:rPr>
          <w:spacing w:val="-3"/>
        </w:rPr>
        <w:t xml:space="preserve"> </w:t>
      </w:r>
      <w:r w:rsidRPr="00D4309F">
        <w:t>beaches,</w:t>
      </w:r>
      <w:r w:rsidRPr="00D4309F">
        <w:rPr>
          <w:spacing w:val="-3"/>
        </w:rPr>
        <w:t xml:space="preserve"> </w:t>
      </w:r>
      <w:r w:rsidRPr="00D4309F">
        <w:t>thereby</w:t>
      </w:r>
      <w:r w:rsidRPr="00D4309F">
        <w:rPr>
          <w:spacing w:val="-2"/>
        </w:rPr>
        <w:t xml:space="preserve"> </w:t>
      </w:r>
      <w:r w:rsidRPr="00D4309F">
        <w:t>maintaining</w:t>
      </w:r>
      <w:r w:rsidRPr="00D4309F">
        <w:rPr>
          <w:spacing w:val="-3"/>
        </w:rPr>
        <w:t xml:space="preserve"> </w:t>
      </w:r>
      <w:r w:rsidRPr="00D4309F">
        <w:t>the</w:t>
      </w:r>
      <w:r w:rsidRPr="00D4309F">
        <w:rPr>
          <w:spacing w:val="-3"/>
        </w:rPr>
        <w:t xml:space="preserve"> </w:t>
      </w:r>
      <w:r w:rsidRPr="00D4309F">
        <w:t>desired</w:t>
      </w:r>
      <w:r w:rsidRPr="00D4309F">
        <w:rPr>
          <w:spacing w:val="-3"/>
        </w:rPr>
        <w:t xml:space="preserve"> </w:t>
      </w:r>
      <w:r w:rsidRPr="00D4309F">
        <w:t>sediment</w:t>
      </w:r>
      <w:r w:rsidRPr="00D4309F">
        <w:rPr>
          <w:spacing w:val="-3"/>
        </w:rPr>
        <w:t xml:space="preserve"> </w:t>
      </w:r>
      <w:r w:rsidRPr="00D4309F">
        <w:t>balance</w:t>
      </w:r>
      <w:r w:rsidRPr="00D4309F">
        <w:rPr>
          <w:spacing w:val="-3"/>
        </w:rPr>
        <w:t xml:space="preserve"> </w:t>
      </w:r>
      <w:r w:rsidRPr="00D4309F">
        <w:t>and</w:t>
      </w:r>
      <w:r w:rsidRPr="00D4309F">
        <w:rPr>
          <w:spacing w:val="-3"/>
        </w:rPr>
        <w:t xml:space="preserve"> </w:t>
      </w:r>
      <w:r w:rsidRPr="00D4309F">
        <w:t xml:space="preserve">navigation </w:t>
      </w:r>
      <w:r w:rsidRPr="00D4309F">
        <w:rPr>
          <w:spacing w:val="-2"/>
        </w:rPr>
        <w:t>depth.</w:t>
      </w:r>
    </w:p>
    <w:p w14:paraId="04B9F69C" w14:textId="77777777" w:rsidR="00725977" w:rsidRPr="00D4309F" w:rsidRDefault="00725977" w:rsidP="00725977">
      <w:pPr>
        <w:pStyle w:val="BodyText"/>
        <w:sectPr w:rsidR="00725977" w:rsidRPr="00D4309F" w:rsidSect="00405D4F">
          <w:headerReference w:type="default" r:id="rId121"/>
          <w:footerReference w:type="default" r:id="rId122"/>
          <w:pgSz w:w="11910" w:h="16840"/>
          <w:pgMar w:top="1418" w:right="1134" w:bottom="1418" w:left="1134" w:header="916" w:footer="980" w:gutter="0"/>
          <w:cols w:space="720"/>
        </w:sectPr>
      </w:pPr>
    </w:p>
    <w:p w14:paraId="7165E71A" w14:textId="77777777" w:rsidR="00725977" w:rsidRPr="00D4309F" w:rsidRDefault="00725977" w:rsidP="008228CB">
      <w:pPr>
        <w:pStyle w:val="Heading3"/>
      </w:pPr>
      <w:bookmarkStart w:id="406" w:name="_Toc216699450"/>
      <w:r w:rsidRPr="00D4309F">
        <w:lastRenderedPageBreak/>
        <w:t>Environmental</w:t>
      </w:r>
      <w:r w:rsidRPr="00D4309F">
        <w:rPr>
          <w:spacing w:val="-9"/>
        </w:rPr>
        <w:t xml:space="preserve"> </w:t>
      </w:r>
      <w:r w:rsidRPr="00D4309F">
        <w:rPr>
          <w:spacing w:val="-2"/>
        </w:rPr>
        <w:t>constraints</w:t>
      </w:r>
      <w:bookmarkEnd w:id="406"/>
    </w:p>
    <w:p w14:paraId="6D5FCF5F" w14:textId="302B4CAC" w:rsidR="00725977" w:rsidRPr="00D4309F" w:rsidRDefault="00725977" w:rsidP="00725977">
      <w:pPr>
        <w:pStyle w:val="BodyText"/>
      </w:pPr>
      <w:r w:rsidRPr="00D4309F">
        <w:t>A</w:t>
      </w:r>
      <w:r w:rsidRPr="00D4309F">
        <w:rPr>
          <w:spacing w:val="-2"/>
        </w:rPr>
        <w:t xml:space="preserve"> </w:t>
      </w:r>
      <w:r w:rsidRPr="00D4309F">
        <w:t>preliminary</w:t>
      </w:r>
      <w:r w:rsidRPr="00D4309F">
        <w:rPr>
          <w:spacing w:val="-1"/>
        </w:rPr>
        <w:t xml:space="preserve"> </w:t>
      </w:r>
      <w:r w:rsidRPr="00D4309F">
        <w:t>assessment</w:t>
      </w:r>
      <w:r w:rsidRPr="00D4309F">
        <w:rPr>
          <w:spacing w:val="-2"/>
        </w:rPr>
        <w:t xml:space="preserve"> </w:t>
      </w:r>
      <w:r w:rsidRPr="00D4309F">
        <w:t>of</w:t>
      </w:r>
      <w:r w:rsidRPr="00D4309F">
        <w:rPr>
          <w:spacing w:val="-2"/>
        </w:rPr>
        <w:t xml:space="preserve"> </w:t>
      </w:r>
      <w:r w:rsidRPr="00D4309F">
        <w:t>environmental</w:t>
      </w:r>
      <w:r w:rsidRPr="00D4309F">
        <w:rPr>
          <w:spacing w:val="-2"/>
        </w:rPr>
        <w:t xml:space="preserve"> </w:t>
      </w:r>
      <w:r w:rsidRPr="00D4309F">
        <w:t>constraints</w:t>
      </w:r>
      <w:r w:rsidRPr="00D4309F">
        <w:rPr>
          <w:spacing w:val="-1"/>
        </w:rPr>
        <w:t xml:space="preserve"> </w:t>
      </w:r>
      <w:r w:rsidRPr="00D4309F">
        <w:t>for</w:t>
      </w:r>
      <w:r w:rsidRPr="00D4309F">
        <w:rPr>
          <w:spacing w:val="-2"/>
        </w:rPr>
        <w:t xml:space="preserve"> </w:t>
      </w:r>
      <w:r w:rsidRPr="00D4309F">
        <w:t>the</w:t>
      </w:r>
      <w:r w:rsidRPr="00D4309F">
        <w:rPr>
          <w:spacing w:val="-2"/>
        </w:rPr>
        <w:t xml:space="preserve"> </w:t>
      </w:r>
      <w:r w:rsidRPr="00D4309F">
        <w:t>breakwater</w:t>
      </w:r>
      <w:r w:rsidRPr="00D4309F">
        <w:rPr>
          <w:spacing w:val="-1"/>
        </w:rPr>
        <w:t xml:space="preserve"> </w:t>
      </w:r>
      <w:r w:rsidRPr="00D4309F">
        <w:t>extensions</w:t>
      </w:r>
      <w:r w:rsidRPr="00D4309F">
        <w:rPr>
          <w:spacing w:val="-3"/>
        </w:rPr>
        <w:t xml:space="preserve"> </w:t>
      </w:r>
      <w:r w:rsidRPr="00D4309F">
        <w:t>with</w:t>
      </w:r>
      <w:r w:rsidRPr="00D4309F">
        <w:rPr>
          <w:spacing w:val="-2"/>
        </w:rPr>
        <w:t xml:space="preserve"> </w:t>
      </w:r>
      <w:r w:rsidRPr="00D4309F">
        <w:t>dredging</w:t>
      </w:r>
      <w:r w:rsidRPr="00D4309F">
        <w:rPr>
          <w:spacing w:val="-2"/>
        </w:rPr>
        <w:t xml:space="preserve"> </w:t>
      </w:r>
      <w:r w:rsidRPr="00D4309F">
        <w:t>and</w:t>
      </w:r>
      <w:r w:rsidRPr="00D4309F">
        <w:rPr>
          <w:spacing w:val="-2"/>
        </w:rPr>
        <w:t xml:space="preserve"> </w:t>
      </w:r>
      <w:r w:rsidRPr="00D4309F">
        <w:t>placement</w:t>
      </w:r>
      <w:r w:rsidRPr="00D4309F">
        <w:rPr>
          <w:spacing w:val="-3"/>
        </w:rPr>
        <w:t xml:space="preserve"> </w:t>
      </w:r>
      <w:r w:rsidRPr="00D4309F">
        <w:t>(Option</w:t>
      </w:r>
      <w:r w:rsidRPr="00D4309F">
        <w:rPr>
          <w:spacing w:val="-2"/>
        </w:rPr>
        <w:t xml:space="preserve"> </w:t>
      </w:r>
      <w:r w:rsidRPr="00D4309F">
        <w:t>3A),</w:t>
      </w:r>
      <w:r w:rsidRPr="00D4309F">
        <w:rPr>
          <w:spacing w:val="-2"/>
        </w:rPr>
        <w:t xml:space="preserve"> </w:t>
      </w:r>
      <w:r w:rsidRPr="00D4309F">
        <w:t>based</w:t>
      </w:r>
      <w:r w:rsidRPr="00D4309F">
        <w:rPr>
          <w:spacing w:val="-2"/>
        </w:rPr>
        <w:t xml:space="preserve"> </w:t>
      </w:r>
      <w:r w:rsidRPr="00D4309F">
        <w:t>on</w:t>
      </w:r>
      <w:r w:rsidRPr="00D4309F">
        <w:rPr>
          <w:spacing w:val="-2"/>
        </w:rPr>
        <w:t xml:space="preserve"> </w:t>
      </w:r>
      <w:r w:rsidRPr="00D4309F">
        <w:t>the</w:t>
      </w:r>
      <w:r w:rsidRPr="00D4309F">
        <w:rPr>
          <w:spacing w:val="-2"/>
        </w:rPr>
        <w:t xml:space="preserve"> </w:t>
      </w:r>
      <w:r w:rsidRPr="00D4309F">
        <w:t>constraints</w:t>
      </w:r>
      <w:r w:rsidRPr="00D4309F">
        <w:rPr>
          <w:spacing w:val="-1"/>
        </w:rPr>
        <w:t xml:space="preserve"> </w:t>
      </w:r>
      <w:r w:rsidRPr="00D4309F">
        <w:t xml:space="preserve">analysis criteria in </w:t>
      </w:r>
      <w:hyperlink w:anchor="_bookmark154" w:history="1">
        <w:r w:rsidR="00D4229D">
          <w:fldChar w:fldCharType="begin" w:fldLock="1"/>
        </w:r>
        <w:r w:rsidR="00D4229D">
          <w:instrText xml:space="preserve"> REF _Ref215979832 \h </w:instrText>
        </w:r>
        <w:r w:rsidR="00D4229D">
          <w:fldChar w:fldCharType="separate"/>
        </w:r>
        <w:r w:rsidR="00D4229D">
          <w:t xml:space="preserve">Table </w:t>
        </w:r>
        <w:r w:rsidR="00D4229D">
          <w:rPr>
            <w:noProof/>
          </w:rPr>
          <w:t>15</w:t>
        </w:r>
        <w:r w:rsidR="00D4229D">
          <w:noBreakHyphen/>
        </w:r>
        <w:r w:rsidR="00D4229D">
          <w:rPr>
            <w:noProof/>
          </w:rPr>
          <w:t>1</w:t>
        </w:r>
        <w:r w:rsidR="00D4229D">
          <w:fldChar w:fldCharType="end"/>
        </w:r>
        <w:r w:rsidRPr="00D4309F">
          <w:t>,</w:t>
        </w:r>
      </w:hyperlink>
      <w:r w:rsidRPr="00D4309F">
        <w:t xml:space="preserve"> detailed in </w:t>
      </w:r>
      <w:hyperlink w:anchor="_bookmark155" w:history="1">
        <w:r w:rsidR="00D4229D">
          <w:fldChar w:fldCharType="begin" w:fldLock="1"/>
        </w:r>
        <w:r w:rsidR="00D4229D">
          <w:instrText xml:space="preserve"> REF _Ref215979845 \h </w:instrText>
        </w:r>
        <w:r w:rsidR="00D4229D">
          <w:fldChar w:fldCharType="separate"/>
        </w:r>
        <w:r w:rsidR="00D4229D">
          <w:t xml:space="preserve">Table </w:t>
        </w:r>
        <w:r w:rsidR="00D4229D">
          <w:rPr>
            <w:noProof/>
          </w:rPr>
          <w:t>15</w:t>
        </w:r>
        <w:r w:rsidR="00D4229D">
          <w:noBreakHyphen/>
        </w:r>
        <w:r w:rsidR="00D4229D">
          <w:rPr>
            <w:noProof/>
          </w:rPr>
          <w:t>2</w:t>
        </w:r>
        <w:r w:rsidR="00D4229D">
          <w:fldChar w:fldCharType="end"/>
        </w:r>
        <w:r w:rsidRPr="00D4309F">
          <w:t>.</w:t>
        </w:r>
      </w:hyperlink>
    </w:p>
    <w:p w14:paraId="0A4CA4E3" w14:textId="47DFCB8D" w:rsidR="00725977" w:rsidRPr="00D4309F" w:rsidRDefault="007715DD" w:rsidP="00151534">
      <w:pPr>
        <w:pStyle w:val="Table-Caption"/>
      </w:pPr>
      <w:bookmarkStart w:id="407" w:name="_bookmark154"/>
      <w:bookmarkStart w:id="408" w:name="_Ref215979832"/>
      <w:bookmarkStart w:id="409" w:name="_Toc216699569"/>
      <w:bookmarkEnd w:id="407"/>
      <w:r>
        <w:t xml:space="preserve">Table </w:t>
      </w:r>
      <w:r w:rsidR="00151534">
        <w:fldChar w:fldCharType="begin" w:fldLock="1"/>
      </w:r>
      <w:r w:rsidR="00151534">
        <w:instrText xml:space="preserve"> STYLEREF 1 \s </w:instrText>
      </w:r>
      <w:r w:rsidR="00151534">
        <w:fldChar w:fldCharType="separate"/>
      </w:r>
      <w:r w:rsidR="00151534">
        <w:rPr>
          <w:noProof/>
        </w:rPr>
        <w:t>15</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1</w:t>
      </w:r>
      <w:r w:rsidR="00151534">
        <w:fldChar w:fldCharType="end"/>
      </w:r>
      <w:bookmarkEnd w:id="408"/>
      <w:r>
        <w:t>:</w:t>
      </w:r>
      <w:r>
        <w:tab/>
      </w:r>
      <w:r w:rsidRPr="00D4309F">
        <w:rPr>
          <w:color w:val="211E1F"/>
        </w:rPr>
        <w:t>Constraints</w:t>
      </w:r>
      <w:r w:rsidRPr="00D4309F">
        <w:rPr>
          <w:color w:val="211E1F"/>
          <w:spacing w:val="-5"/>
        </w:rPr>
        <w:t xml:space="preserve"> </w:t>
      </w:r>
      <w:r w:rsidRPr="00D4309F">
        <w:rPr>
          <w:color w:val="211E1F"/>
        </w:rPr>
        <w:t>analysis</w:t>
      </w:r>
      <w:r w:rsidRPr="00D4309F">
        <w:rPr>
          <w:color w:val="211E1F"/>
          <w:spacing w:val="-5"/>
        </w:rPr>
        <w:t xml:space="preserve"> </w:t>
      </w:r>
      <w:r w:rsidRPr="00D4309F">
        <w:rPr>
          <w:color w:val="211E1F"/>
          <w:spacing w:val="-2"/>
        </w:rPr>
        <w:t>criteria</w:t>
      </w:r>
      <w:bookmarkEnd w:id="409"/>
    </w:p>
    <w:tbl>
      <w:tblPr>
        <w:tblW w:w="5000" w:type="pct"/>
        <w:tblCellMar>
          <w:left w:w="0" w:type="dxa"/>
          <w:right w:w="0" w:type="dxa"/>
        </w:tblCellMar>
        <w:tblLook w:val="01E0" w:firstRow="1" w:lastRow="1" w:firstColumn="1" w:lastColumn="1" w:noHBand="0" w:noVBand="0"/>
      </w:tblPr>
      <w:tblGrid>
        <w:gridCol w:w="2230"/>
        <w:gridCol w:w="12342"/>
      </w:tblGrid>
      <w:tr w:rsidR="00725977" w:rsidRPr="00D4309F" w14:paraId="34E19437" w14:textId="77777777" w:rsidTr="007715DD">
        <w:trPr>
          <w:trHeight w:val="286"/>
        </w:trPr>
        <w:tc>
          <w:tcPr>
            <w:tcW w:w="765" w:type="pct"/>
            <w:tcBorders>
              <w:bottom w:val="single" w:sz="4" w:space="0" w:color="000000"/>
            </w:tcBorders>
            <w:shd w:val="clear" w:color="auto" w:fill="D6D7D5"/>
          </w:tcPr>
          <w:p w14:paraId="395E5F0C" w14:textId="77777777" w:rsidR="00725977" w:rsidRPr="00D4309F" w:rsidRDefault="00725977">
            <w:pPr>
              <w:pStyle w:val="TableParagraph"/>
              <w:spacing w:before="40"/>
              <w:ind w:left="165"/>
              <w:rPr>
                <w:b/>
                <w:sz w:val="18"/>
              </w:rPr>
            </w:pPr>
            <w:r w:rsidRPr="00D4309F">
              <w:rPr>
                <w:b/>
                <w:color w:val="70004A"/>
                <w:sz w:val="18"/>
              </w:rPr>
              <w:t>Constraint</w:t>
            </w:r>
            <w:r w:rsidRPr="00D4309F">
              <w:rPr>
                <w:b/>
                <w:color w:val="70004A"/>
                <w:spacing w:val="-4"/>
                <w:sz w:val="18"/>
              </w:rPr>
              <w:t xml:space="preserve"> </w:t>
            </w:r>
            <w:r w:rsidRPr="00D4309F">
              <w:rPr>
                <w:b/>
                <w:color w:val="70004A"/>
                <w:spacing w:val="-2"/>
                <w:sz w:val="18"/>
              </w:rPr>
              <w:t>level</w:t>
            </w:r>
          </w:p>
        </w:tc>
        <w:tc>
          <w:tcPr>
            <w:tcW w:w="4235" w:type="pct"/>
            <w:tcBorders>
              <w:bottom w:val="single" w:sz="4" w:space="0" w:color="000000"/>
            </w:tcBorders>
            <w:shd w:val="clear" w:color="auto" w:fill="D6D7D5"/>
          </w:tcPr>
          <w:p w14:paraId="74712D3E" w14:textId="77777777" w:rsidR="00725977" w:rsidRPr="00D4309F" w:rsidRDefault="00725977">
            <w:pPr>
              <w:pStyle w:val="TableParagraph"/>
              <w:spacing w:before="40"/>
              <w:ind w:left="165"/>
              <w:rPr>
                <w:b/>
                <w:sz w:val="18"/>
              </w:rPr>
            </w:pPr>
            <w:r w:rsidRPr="00D4309F">
              <w:rPr>
                <w:b/>
                <w:color w:val="70004A"/>
                <w:spacing w:val="-2"/>
                <w:sz w:val="18"/>
              </w:rPr>
              <w:t>Description</w:t>
            </w:r>
          </w:p>
        </w:tc>
      </w:tr>
      <w:tr w:rsidR="00725977" w:rsidRPr="00D4309F" w14:paraId="2617E443" w14:textId="77777777" w:rsidTr="007715DD">
        <w:trPr>
          <w:trHeight w:val="287"/>
        </w:trPr>
        <w:tc>
          <w:tcPr>
            <w:tcW w:w="765" w:type="pct"/>
            <w:tcBorders>
              <w:top w:val="single" w:sz="4" w:space="0" w:color="000000"/>
              <w:bottom w:val="single" w:sz="4" w:space="0" w:color="000000"/>
            </w:tcBorders>
            <w:shd w:val="clear" w:color="auto" w:fill="BDB7B3"/>
          </w:tcPr>
          <w:p w14:paraId="4CFFE303" w14:textId="77777777" w:rsidR="00725977" w:rsidRPr="00D4309F" w:rsidRDefault="00725977">
            <w:pPr>
              <w:pStyle w:val="TableParagraph"/>
              <w:spacing w:before="41"/>
              <w:ind w:left="165"/>
              <w:rPr>
                <w:b/>
                <w:sz w:val="18"/>
              </w:rPr>
            </w:pPr>
            <w:r w:rsidRPr="00D4309F">
              <w:rPr>
                <w:b/>
                <w:color w:val="211E1F"/>
                <w:sz w:val="18"/>
              </w:rPr>
              <w:t>No</w:t>
            </w:r>
            <w:r w:rsidRPr="00D4309F">
              <w:rPr>
                <w:b/>
                <w:color w:val="211E1F"/>
                <w:spacing w:val="-3"/>
                <w:sz w:val="18"/>
              </w:rPr>
              <w:t xml:space="preserve"> </w:t>
            </w:r>
            <w:r w:rsidRPr="00D4309F">
              <w:rPr>
                <w:b/>
                <w:color w:val="211E1F"/>
                <w:spacing w:val="-2"/>
                <w:sz w:val="18"/>
              </w:rPr>
              <w:t>impact</w:t>
            </w:r>
          </w:p>
        </w:tc>
        <w:tc>
          <w:tcPr>
            <w:tcW w:w="4235" w:type="pct"/>
            <w:tcBorders>
              <w:top w:val="single" w:sz="4" w:space="0" w:color="000000"/>
              <w:bottom w:val="single" w:sz="4" w:space="0" w:color="000000"/>
            </w:tcBorders>
          </w:tcPr>
          <w:p w14:paraId="0FB4CC8D" w14:textId="77777777" w:rsidR="00725977" w:rsidRPr="00D4309F" w:rsidRDefault="00725977">
            <w:pPr>
              <w:pStyle w:val="TableParagraph"/>
              <w:spacing w:before="41"/>
              <w:ind w:left="165"/>
              <w:rPr>
                <w:sz w:val="18"/>
              </w:rPr>
            </w:pPr>
            <w:r w:rsidRPr="00D4309F">
              <w:rPr>
                <w:color w:val="211E1F"/>
                <w:sz w:val="18"/>
              </w:rPr>
              <w:t>There</w:t>
            </w:r>
            <w:r w:rsidRPr="00D4309F">
              <w:rPr>
                <w:color w:val="211E1F"/>
                <w:spacing w:val="-6"/>
                <w:sz w:val="18"/>
              </w:rPr>
              <w:t xml:space="preserve"> </w:t>
            </w:r>
            <w:r w:rsidRPr="00D4309F">
              <w:rPr>
                <w:color w:val="211E1F"/>
                <w:sz w:val="18"/>
              </w:rPr>
              <w:t>is</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impact</w:t>
            </w:r>
            <w:r w:rsidRPr="00D4309F">
              <w:rPr>
                <w:color w:val="211E1F"/>
                <w:spacing w:val="-2"/>
                <w:sz w:val="18"/>
              </w:rPr>
              <w:t xml:space="preserve"> </w:t>
            </w:r>
            <w:r w:rsidRPr="00D4309F">
              <w:rPr>
                <w:color w:val="211E1F"/>
                <w:sz w:val="18"/>
              </w:rPr>
              <w:t>pathway</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1"/>
                <w:sz w:val="18"/>
              </w:rPr>
              <w:t xml:space="preserve"> </w:t>
            </w:r>
            <w:r w:rsidRPr="00D4309F">
              <w:rPr>
                <w:color w:val="211E1F"/>
                <w:sz w:val="18"/>
              </w:rPr>
              <w:t>receptor.</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required.</w:t>
            </w:r>
          </w:p>
        </w:tc>
      </w:tr>
      <w:tr w:rsidR="00725977" w:rsidRPr="00D4309F" w14:paraId="6CBDC582" w14:textId="77777777" w:rsidTr="007715DD">
        <w:trPr>
          <w:trHeight w:val="286"/>
        </w:trPr>
        <w:tc>
          <w:tcPr>
            <w:tcW w:w="765" w:type="pct"/>
            <w:tcBorders>
              <w:top w:val="single" w:sz="4" w:space="0" w:color="000000"/>
              <w:bottom w:val="single" w:sz="4" w:space="0" w:color="000000"/>
            </w:tcBorders>
            <w:shd w:val="clear" w:color="auto" w:fill="92D050"/>
          </w:tcPr>
          <w:p w14:paraId="7D9CAA2A" w14:textId="77777777" w:rsidR="00725977" w:rsidRPr="00D4309F" w:rsidRDefault="00725977">
            <w:pPr>
              <w:pStyle w:val="TableParagraph"/>
              <w:spacing w:before="39"/>
              <w:ind w:left="165"/>
              <w:rPr>
                <w:b/>
                <w:sz w:val="18"/>
              </w:rPr>
            </w:pPr>
            <w:r w:rsidRPr="00D4309F">
              <w:rPr>
                <w:b/>
                <w:color w:val="211E1F"/>
                <w:spacing w:val="-5"/>
                <w:sz w:val="18"/>
              </w:rPr>
              <w:t>Low</w:t>
            </w:r>
          </w:p>
        </w:tc>
        <w:tc>
          <w:tcPr>
            <w:tcW w:w="4235" w:type="pct"/>
            <w:tcBorders>
              <w:top w:val="single" w:sz="4" w:space="0" w:color="000000"/>
              <w:bottom w:val="single" w:sz="4" w:space="0" w:color="000000"/>
            </w:tcBorders>
          </w:tcPr>
          <w:p w14:paraId="7E390690" w14:textId="77777777" w:rsidR="00725977" w:rsidRPr="00D4309F" w:rsidRDefault="00725977">
            <w:pPr>
              <w:pStyle w:val="TableParagraph"/>
              <w:spacing w:before="39"/>
              <w:ind w:left="165"/>
              <w:rPr>
                <w:sz w:val="18"/>
              </w:rPr>
            </w:pPr>
            <w:r w:rsidRPr="00D4309F">
              <w:rPr>
                <w:color w:val="211E1F"/>
                <w:sz w:val="18"/>
              </w:rPr>
              <w:t>There</w:t>
            </w:r>
            <w:r w:rsidRPr="00D4309F">
              <w:rPr>
                <w:color w:val="211E1F"/>
                <w:spacing w:val="-6"/>
                <w:sz w:val="18"/>
              </w:rPr>
              <w:t xml:space="preserve"> </w:t>
            </w:r>
            <w:r w:rsidRPr="00D4309F">
              <w:rPr>
                <w:color w:val="211E1F"/>
                <w:sz w:val="18"/>
              </w:rPr>
              <w:t>is</w:t>
            </w:r>
            <w:r w:rsidRPr="00D4309F">
              <w:rPr>
                <w:color w:val="211E1F"/>
                <w:spacing w:val="-2"/>
                <w:sz w:val="18"/>
              </w:rPr>
              <w:t xml:space="preserve"> </w:t>
            </w:r>
            <w:r w:rsidRPr="00D4309F">
              <w:rPr>
                <w:color w:val="211E1F"/>
                <w:sz w:val="18"/>
              </w:rPr>
              <w:t>low</w:t>
            </w:r>
            <w:r w:rsidRPr="00D4309F">
              <w:rPr>
                <w:color w:val="211E1F"/>
                <w:spacing w:val="-2"/>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3"/>
                <w:sz w:val="18"/>
              </w:rPr>
              <w:t xml:space="preserve"> </w:t>
            </w:r>
            <w:r w:rsidRPr="00D4309F">
              <w:rPr>
                <w:color w:val="211E1F"/>
                <w:sz w:val="18"/>
              </w:rPr>
              <w:t>No</w:t>
            </w:r>
            <w:r w:rsidRPr="00D4309F">
              <w:rPr>
                <w:color w:val="211E1F"/>
                <w:spacing w:val="-3"/>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required.</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or</w:t>
            </w:r>
            <w:r w:rsidRPr="00D4309F">
              <w:rPr>
                <w:color w:val="211E1F"/>
                <w:spacing w:val="-2"/>
                <w:sz w:val="18"/>
              </w:rPr>
              <w:t xml:space="preserve"> </w:t>
            </w:r>
            <w:r w:rsidRPr="00D4309F">
              <w:rPr>
                <w:color w:val="211E1F"/>
                <w:sz w:val="18"/>
              </w:rPr>
              <w:t>standard</w:t>
            </w:r>
            <w:r w:rsidRPr="00D4309F">
              <w:rPr>
                <w:color w:val="211E1F"/>
                <w:spacing w:val="-3"/>
                <w:sz w:val="18"/>
              </w:rPr>
              <w:t xml:space="preserve"> </w:t>
            </w:r>
            <w:r w:rsidRPr="00D4309F">
              <w:rPr>
                <w:color w:val="211E1F"/>
                <w:sz w:val="18"/>
              </w:rPr>
              <w:t>management</w:t>
            </w:r>
            <w:r w:rsidRPr="00D4309F">
              <w:rPr>
                <w:color w:val="211E1F"/>
                <w:spacing w:val="-2"/>
                <w:sz w:val="18"/>
              </w:rPr>
              <w:t xml:space="preserve"> likely.</w:t>
            </w:r>
          </w:p>
        </w:tc>
      </w:tr>
      <w:tr w:rsidR="00725977" w:rsidRPr="00D4309F" w14:paraId="2ADAFA0D" w14:textId="77777777" w:rsidTr="007715DD">
        <w:trPr>
          <w:trHeight w:val="493"/>
        </w:trPr>
        <w:tc>
          <w:tcPr>
            <w:tcW w:w="765" w:type="pct"/>
            <w:tcBorders>
              <w:top w:val="single" w:sz="4" w:space="0" w:color="000000"/>
              <w:bottom w:val="single" w:sz="4" w:space="0" w:color="000000"/>
            </w:tcBorders>
            <w:shd w:val="clear" w:color="auto" w:fill="FFFF00"/>
          </w:tcPr>
          <w:p w14:paraId="474F0E87" w14:textId="77777777" w:rsidR="00725977" w:rsidRPr="00D4309F" w:rsidRDefault="00725977">
            <w:pPr>
              <w:pStyle w:val="TableParagraph"/>
              <w:spacing w:before="144"/>
              <w:ind w:left="165"/>
              <w:rPr>
                <w:b/>
                <w:sz w:val="18"/>
              </w:rPr>
            </w:pPr>
            <w:r w:rsidRPr="00D4309F">
              <w:rPr>
                <w:b/>
                <w:color w:val="211E1F"/>
                <w:spacing w:val="-2"/>
                <w:sz w:val="18"/>
              </w:rPr>
              <w:t>Moderate</w:t>
            </w:r>
          </w:p>
        </w:tc>
        <w:tc>
          <w:tcPr>
            <w:tcW w:w="4235" w:type="pct"/>
            <w:tcBorders>
              <w:top w:val="single" w:sz="4" w:space="0" w:color="000000"/>
              <w:bottom w:val="single" w:sz="4" w:space="0" w:color="000000"/>
            </w:tcBorders>
          </w:tcPr>
          <w:p w14:paraId="3EED2616" w14:textId="77777777" w:rsidR="00725977" w:rsidRPr="00D4309F" w:rsidRDefault="00725977">
            <w:pPr>
              <w:pStyle w:val="TableParagraph"/>
              <w:spacing w:before="41"/>
              <w:ind w:left="165" w:right="296"/>
              <w:rPr>
                <w:sz w:val="18"/>
              </w:rPr>
            </w:pPr>
            <w:r w:rsidRPr="00D4309F">
              <w:rPr>
                <w:color w:val="211E1F"/>
                <w:sz w:val="18"/>
              </w:rPr>
              <w:t>There</w:t>
            </w:r>
            <w:r w:rsidRPr="00D4309F">
              <w:rPr>
                <w:color w:val="211E1F"/>
                <w:spacing w:val="-3"/>
                <w:sz w:val="18"/>
              </w:rPr>
              <w:t xml:space="preserve"> </w:t>
            </w:r>
            <w:r w:rsidRPr="00D4309F">
              <w:rPr>
                <w:color w:val="211E1F"/>
                <w:sz w:val="18"/>
              </w:rPr>
              <w:t>is</w:t>
            </w:r>
            <w:r w:rsidRPr="00D4309F">
              <w:rPr>
                <w:color w:val="211E1F"/>
                <w:spacing w:val="-2"/>
                <w:sz w:val="18"/>
              </w:rPr>
              <w:t xml:space="preserve"> </w:t>
            </w:r>
            <w:r w:rsidRPr="00D4309F">
              <w:rPr>
                <w:color w:val="211E1F"/>
                <w:sz w:val="18"/>
              </w:rPr>
              <w:t>a</w:t>
            </w:r>
            <w:r w:rsidRPr="00D4309F">
              <w:rPr>
                <w:color w:val="211E1F"/>
                <w:spacing w:val="-3"/>
                <w:sz w:val="18"/>
              </w:rPr>
              <w:t xml:space="preserve"> </w:t>
            </w:r>
            <w:r w:rsidRPr="00D4309F">
              <w:rPr>
                <w:color w:val="211E1F"/>
                <w:sz w:val="18"/>
              </w:rPr>
              <w:t>moderate</w:t>
            </w:r>
            <w:r w:rsidRPr="00D4309F">
              <w:rPr>
                <w:color w:val="211E1F"/>
                <w:spacing w:val="-3"/>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2"/>
                <w:sz w:val="18"/>
              </w:rPr>
              <w:t xml:space="preserve"> </w:t>
            </w:r>
            <w:r w:rsidRPr="00D4309F">
              <w:rPr>
                <w:color w:val="211E1F"/>
                <w:sz w:val="18"/>
              </w:rPr>
              <w:t>which</w:t>
            </w:r>
            <w:r w:rsidRPr="00D4309F">
              <w:rPr>
                <w:color w:val="211E1F"/>
                <w:spacing w:val="-3"/>
                <w:sz w:val="18"/>
              </w:rPr>
              <w:t xml:space="preserve"> </w:t>
            </w:r>
            <w:r w:rsidRPr="00D4309F">
              <w:rPr>
                <w:color w:val="211E1F"/>
                <w:sz w:val="18"/>
              </w:rPr>
              <w:t>will</w:t>
            </w:r>
            <w:r w:rsidRPr="00D4309F">
              <w:rPr>
                <w:color w:val="211E1F"/>
                <w:spacing w:val="-1"/>
                <w:sz w:val="18"/>
              </w:rPr>
              <w:t xml:space="preserve"> </w:t>
            </w:r>
            <w:r w:rsidRPr="00D4309F">
              <w:rPr>
                <w:color w:val="211E1F"/>
                <w:sz w:val="18"/>
              </w:rPr>
              <w:t>require</w:t>
            </w:r>
            <w:r w:rsidRPr="00D4309F">
              <w:rPr>
                <w:color w:val="211E1F"/>
                <w:spacing w:val="-3"/>
                <w:sz w:val="18"/>
              </w:rPr>
              <w:t xml:space="preserve"> </w:t>
            </w:r>
            <w:r w:rsidRPr="00D4309F">
              <w:rPr>
                <w:color w:val="211E1F"/>
                <w:sz w:val="18"/>
              </w:rPr>
              <w:t>further</w:t>
            </w:r>
            <w:r w:rsidRPr="00D4309F">
              <w:rPr>
                <w:color w:val="211E1F"/>
                <w:spacing w:val="-1"/>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to</w:t>
            </w:r>
            <w:r w:rsidRPr="00D4309F">
              <w:rPr>
                <w:color w:val="211E1F"/>
                <w:spacing w:val="-1"/>
                <w:sz w:val="18"/>
              </w:rPr>
              <w:t xml:space="preserve"> </w:t>
            </w:r>
            <w:r w:rsidRPr="00D4309F">
              <w:rPr>
                <w:color w:val="211E1F"/>
                <w:sz w:val="18"/>
              </w:rPr>
              <w:t>determine</w:t>
            </w:r>
            <w:r w:rsidRPr="00D4309F">
              <w:rPr>
                <w:color w:val="211E1F"/>
                <w:spacing w:val="-3"/>
                <w:sz w:val="18"/>
              </w:rPr>
              <w:t xml:space="preserve"> </w:t>
            </w:r>
            <w:r w:rsidRPr="00D4309F">
              <w:rPr>
                <w:color w:val="211E1F"/>
                <w:sz w:val="18"/>
              </w:rPr>
              <w:t>the</w:t>
            </w:r>
            <w:r w:rsidRPr="00D4309F">
              <w:rPr>
                <w:color w:val="211E1F"/>
                <w:spacing w:val="-1"/>
                <w:sz w:val="18"/>
              </w:rPr>
              <w:t xml:space="preserve"> </w:t>
            </w:r>
            <w:r w:rsidRPr="00D4309F">
              <w:rPr>
                <w:color w:val="211E1F"/>
                <w:sz w:val="18"/>
              </w:rPr>
              <w:t>significance</w:t>
            </w:r>
            <w:r w:rsidRPr="00D4309F">
              <w:rPr>
                <w:color w:val="211E1F"/>
                <w:spacing w:val="-3"/>
                <w:sz w:val="18"/>
              </w:rPr>
              <w:t xml:space="preserve"> </w:t>
            </w:r>
            <w:r w:rsidRPr="00D4309F">
              <w:rPr>
                <w:color w:val="211E1F"/>
                <w:sz w:val="18"/>
              </w:rPr>
              <w:t>of</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Likely to be manageable or engineered to minimise potential impacts on the receiving environment.</w:t>
            </w:r>
          </w:p>
        </w:tc>
      </w:tr>
      <w:tr w:rsidR="00725977" w:rsidRPr="00D4309F" w14:paraId="413F6797" w14:textId="77777777" w:rsidTr="007715DD">
        <w:trPr>
          <w:trHeight w:val="494"/>
        </w:trPr>
        <w:tc>
          <w:tcPr>
            <w:tcW w:w="765" w:type="pct"/>
            <w:tcBorders>
              <w:top w:val="single" w:sz="4" w:space="0" w:color="000000"/>
            </w:tcBorders>
            <w:shd w:val="clear" w:color="auto" w:fill="FFC000"/>
          </w:tcPr>
          <w:p w14:paraId="2DB79951" w14:textId="77777777" w:rsidR="00725977" w:rsidRPr="00D4309F" w:rsidRDefault="00725977">
            <w:pPr>
              <w:pStyle w:val="TableParagraph"/>
              <w:spacing w:before="144"/>
              <w:ind w:left="165"/>
              <w:rPr>
                <w:b/>
                <w:sz w:val="18"/>
              </w:rPr>
            </w:pPr>
            <w:r w:rsidRPr="00D4309F">
              <w:rPr>
                <w:b/>
                <w:color w:val="211E1F"/>
                <w:spacing w:val="-4"/>
                <w:sz w:val="18"/>
              </w:rPr>
              <w:t>High</w:t>
            </w:r>
          </w:p>
        </w:tc>
        <w:tc>
          <w:tcPr>
            <w:tcW w:w="4235" w:type="pct"/>
            <w:tcBorders>
              <w:top w:val="single" w:sz="4" w:space="0" w:color="000000"/>
            </w:tcBorders>
          </w:tcPr>
          <w:p w14:paraId="77819509" w14:textId="77777777" w:rsidR="00725977" w:rsidRPr="00D4309F" w:rsidRDefault="00725977">
            <w:pPr>
              <w:pStyle w:val="TableParagraph"/>
              <w:spacing w:before="41"/>
              <w:ind w:left="165"/>
              <w:rPr>
                <w:sz w:val="18"/>
              </w:rPr>
            </w:pPr>
            <w:r w:rsidRPr="00D4309F">
              <w:rPr>
                <w:color w:val="211E1F"/>
                <w:sz w:val="18"/>
              </w:rPr>
              <w:t>There</w:t>
            </w:r>
            <w:r w:rsidRPr="00D4309F">
              <w:rPr>
                <w:color w:val="211E1F"/>
                <w:spacing w:val="-3"/>
                <w:sz w:val="18"/>
              </w:rPr>
              <w:t xml:space="preserve"> </w:t>
            </w:r>
            <w:r w:rsidRPr="00D4309F">
              <w:rPr>
                <w:color w:val="211E1F"/>
                <w:sz w:val="18"/>
              </w:rPr>
              <w:t>is</w:t>
            </w:r>
            <w:r w:rsidRPr="00D4309F">
              <w:rPr>
                <w:color w:val="211E1F"/>
                <w:spacing w:val="-2"/>
                <w:sz w:val="18"/>
              </w:rPr>
              <w:t xml:space="preserve"> </w:t>
            </w:r>
            <w:r w:rsidRPr="00D4309F">
              <w:rPr>
                <w:color w:val="211E1F"/>
                <w:sz w:val="18"/>
              </w:rPr>
              <w:t>a</w:t>
            </w:r>
            <w:r w:rsidRPr="00D4309F">
              <w:rPr>
                <w:color w:val="211E1F"/>
                <w:spacing w:val="-3"/>
                <w:sz w:val="18"/>
              </w:rPr>
              <w:t xml:space="preserve"> </w:t>
            </w:r>
            <w:r w:rsidRPr="00D4309F">
              <w:rPr>
                <w:color w:val="211E1F"/>
                <w:sz w:val="18"/>
              </w:rPr>
              <w:t>high</w:t>
            </w:r>
            <w:r w:rsidRPr="00D4309F">
              <w:rPr>
                <w:color w:val="211E1F"/>
                <w:spacing w:val="-1"/>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2"/>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required</w:t>
            </w:r>
            <w:r w:rsidRPr="00D4309F">
              <w:rPr>
                <w:color w:val="211E1F"/>
                <w:spacing w:val="-3"/>
                <w:sz w:val="18"/>
              </w:rPr>
              <w:t xml:space="preserve"> </w:t>
            </w:r>
            <w:r w:rsidRPr="00D4309F">
              <w:rPr>
                <w:color w:val="211E1F"/>
                <w:sz w:val="18"/>
              </w:rPr>
              <w:t>to</w:t>
            </w:r>
            <w:r w:rsidRPr="00D4309F">
              <w:rPr>
                <w:color w:val="211E1F"/>
                <w:spacing w:val="-3"/>
                <w:sz w:val="18"/>
              </w:rPr>
              <w:t xml:space="preserve"> </w:t>
            </w:r>
            <w:r w:rsidRPr="00D4309F">
              <w:rPr>
                <w:color w:val="211E1F"/>
                <w:sz w:val="18"/>
              </w:rPr>
              <w:t>determine</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significance</w:t>
            </w:r>
            <w:r w:rsidRPr="00D4309F">
              <w:rPr>
                <w:color w:val="211E1F"/>
                <w:spacing w:val="-1"/>
                <w:sz w:val="18"/>
              </w:rPr>
              <w:t xml:space="preserve"> </w:t>
            </w:r>
            <w:r w:rsidRPr="00D4309F">
              <w:rPr>
                <w:color w:val="211E1F"/>
                <w:sz w:val="18"/>
              </w:rPr>
              <w:t>of</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and</w:t>
            </w:r>
            <w:r w:rsidRPr="00D4309F">
              <w:rPr>
                <w:color w:val="211E1F"/>
                <w:spacing w:val="-3"/>
                <w:sz w:val="18"/>
              </w:rPr>
              <w:t xml:space="preserve"> </w:t>
            </w:r>
            <w:r w:rsidRPr="00D4309F">
              <w:rPr>
                <w:color w:val="211E1F"/>
                <w:sz w:val="18"/>
              </w:rPr>
              <w:t>mitigation strategy. Consideration for regulatory approvals.</w:t>
            </w:r>
          </w:p>
        </w:tc>
      </w:tr>
    </w:tbl>
    <w:p w14:paraId="3875E64B" w14:textId="0BB33A00" w:rsidR="00725977" w:rsidRPr="00D4309F" w:rsidRDefault="00725977" w:rsidP="007715DD">
      <w:pPr>
        <w:pStyle w:val="BodyText"/>
      </w:pPr>
      <w:bookmarkStart w:id="410" w:name="_bookmark155"/>
      <w:bookmarkEnd w:id="410"/>
    </w:p>
    <w:p w14:paraId="1E10AE4E" w14:textId="13C61908" w:rsidR="00725977" w:rsidRPr="00D4309F" w:rsidRDefault="007715DD" w:rsidP="00151534">
      <w:pPr>
        <w:pStyle w:val="Table-Caption"/>
      </w:pPr>
      <w:bookmarkStart w:id="411" w:name="_Ref215979845"/>
      <w:bookmarkStart w:id="412" w:name="_Toc216699570"/>
      <w:r>
        <w:t xml:space="preserve">Table </w:t>
      </w:r>
      <w:r w:rsidR="00151534">
        <w:fldChar w:fldCharType="begin" w:fldLock="1"/>
      </w:r>
      <w:r w:rsidR="00151534">
        <w:instrText xml:space="preserve"> STYLEREF 1 \s </w:instrText>
      </w:r>
      <w:r w:rsidR="00151534">
        <w:fldChar w:fldCharType="separate"/>
      </w:r>
      <w:r w:rsidR="00151534">
        <w:rPr>
          <w:noProof/>
        </w:rPr>
        <w:t>15</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2</w:t>
      </w:r>
      <w:r w:rsidR="00151534">
        <w:fldChar w:fldCharType="end"/>
      </w:r>
      <w:bookmarkEnd w:id="411"/>
      <w:r>
        <w:t>:</w:t>
      </w:r>
      <w:r>
        <w:tab/>
      </w:r>
      <w:r w:rsidRPr="00D4309F">
        <w:t>Environmental</w:t>
      </w:r>
      <w:r w:rsidRPr="00D4309F">
        <w:rPr>
          <w:spacing w:val="-2"/>
        </w:rPr>
        <w:t xml:space="preserve"> </w:t>
      </w:r>
      <w:r w:rsidRPr="00D4309F">
        <w:t>constraints</w:t>
      </w:r>
      <w:r w:rsidRPr="00D4309F">
        <w:rPr>
          <w:spacing w:val="-4"/>
        </w:rPr>
        <w:t xml:space="preserve"> </w:t>
      </w:r>
      <w:r w:rsidRPr="00D4309F">
        <w:t>for</w:t>
      </w:r>
      <w:r w:rsidRPr="00D4309F">
        <w:rPr>
          <w:spacing w:val="-3"/>
        </w:rPr>
        <w:t xml:space="preserve"> </w:t>
      </w:r>
      <w:r w:rsidRPr="00D4309F">
        <w:t>breakwater</w:t>
      </w:r>
      <w:r w:rsidRPr="00D4309F">
        <w:rPr>
          <w:spacing w:val="-2"/>
        </w:rPr>
        <w:t xml:space="preserve"> </w:t>
      </w:r>
      <w:r w:rsidRPr="00D4309F">
        <w:t>extensions</w:t>
      </w:r>
      <w:r w:rsidRPr="00D4309F">
        <w:rPr>
          <w:spacing w:val="-3"/>
        </w:rPr>
        <w:t xml:space="preserve"> </w:t>
      </w:r>
      <w:r w:rsidRPr="00D4309F">
        <w:t>with</w:t>
      </w:r>
      <w:r w:rsidRPr="00D4309F">
        <w:rPr>
          <w:spacing w:val="-2"/>
        </w:rPr>
        <w:t xml:space="preserve"> </w:t>
      </w:r>
      <w:r w:rsidRPr="00D4309F">
        <w:t>dredging</w:t>
      </w:r>
      <w:r w:rsidRPr="00D4309F">
        <w:rPr>
          <w:spacing w:val="-3"/>
        </w:rPr>
        <w:t xml:space="preserve"> </w:t>
      </w:r>
      <w:r w:rsidRPr="00D4309F">
        <w:t>and</w:t>
      </w:r>
      <w:r w:rsidRPr="00D4309F">
        <w:rPr>
          <w:spacing w:val="-2"/>
        </w:rPr>
        <w:t xml:space="preserve"> </w:t>
      </w:r>
      <w:r w:rsidRPr="00D4309F">
        <w:t>placement</w:t>
      </w:r>
      <w:r w:rsidRPr="00D4309F">
        <w:rPr>
          <w:spacing w:val="-1"/>
        </w:rPr>
        <w:t xml:space="preserve"> </w:t>
      </w:r>
      <w:r w:rsidRPr="00D4309F">
        <w:t>(Option</w:t>
      </w:r>
      <w:r w:rsidRPr="00D4309F">
        <w:rPr>
          <w:spacing w:val="-2"/>
        </w:rPr>
        <w:t xml:space="preserve"> </w:t>
      </w:r>
      <w:r w:rsidRPr="00D4309F">
        <w:rPr>
          <w:spacing w:val="-5"/>
        </w:rPr>
        <w:t>3A)</w:t>
      </w:r>
      <w:bookmarkEnd w:id="412"/>
    </w:p>
    <w:tbl>
      <w:tblPr>
        <w:tblW w:w="5000" w:type="pct"/>
        <w:tblCellMar>
          <w:left w:w="0" w:type="dxa"/>
          <w:right w:w="0" w:type="dxa"/>
        </w:tblCellMar>
        <w:tblLook w:val="01E0" w:firstRow="1" w:lastRow="1" w:firstColumn="1" w:lastColumn="1" w:noHBand="0" w:noVBand="0"/>
      </w:tblPr>
      <w:tblGrid>
        <w:gridCol w:w="1511"/>
        <w:gridCol w:w="1187"/>
        <w:gridCol w:w="3116"/>
        <w:gridCol w:w="1566"/>
        <w:gridCol w:w="2745"/>
        <w:gridCol w:w="2063"/>
        <w:gridCol w:w="2384"/>
      </w:tblGrid>
      <w:tr w:rsidR="00725977" w:rsidRPr="00D4309F" w14:paraId="636D6A12" w14:textId="77777777" w:rsidTr="007E44C8">
        <w:trPr>
          <w:cantSplit/>
          <w:trHeight w:val="20"/>
          <w:tblHeader/>
        </w:trPr>
        <w:tc>
          <w:tcPr>
            <w:tcW w:w="518" w:type="pct"/>
            <w:tcBorders>
              <w:bottom w:val="single" w:sz="4" w:space="0" w:color="000000"/>
            </w:tcBorders>
            <w:shd w:val="clear" w:color="auto" w:fill="D6D7D5"/>
            <w:vAlign w:val="center"/>
          </w:tcPr>
          <w:p w14:paraId="500649B3" w14:textId="77777777" w:rsidR="00725977" w:rsidRPr="00D4309F" w:rsidRDefault="00725977" w:rsidP="00F00E58">
            <w:pPr>
              <w:pStyle w:val="TableParagraph"/>
              <w:ind w:left="195"/>
              <w:rPr>
                <w:b/>
                <w:sz w:val="18"/>
              </w:rPr>
            </w:pPr>
            <w:r w:rsidRPr="00D4309F">
              <w:rPr>
                <w:b/>
                <w:color w:val="70004A"/>
                <w:spacing w:val="-2"/>
                <w:sz w:val="18"/>
              </w:rPr>
              <w:t>Category</w:t>
            </w:r>
          </w:p>
        </w:tc>
        <w:tc>
          <w:tcPr>
            <w:tcW w:w="407" w:type="pct"/>
            <w:tcBorders>
              <w:bottom w:val="single" w:sz="4" w:space="0" w:color="000000"/>
            </w:tcBorders>
            <w:shd w:val="clear" w:color="auto" w:fill="D6D7D5"/>
            <w:vAlign w:val="center"/>
          </w:tcPr>
          <w:p w14:paraId="4B5E7582" w14:textId="77777777" w:rsidR="00725977" w:rsidRPr="00D4309F" w:rsidRDefault="00725977" w:rsidP="00F00E58">
            <w:pPr>
              <w:pStyle w:val="TableParagraph"/>
              <w:ind w:left="196"/>
              <w:rPr>
                <w:b/>
                <w:sz w:val="18"/>
              </w:rPr>
            </w:pPr>
            <w:r w:rsidRPr="00D4309F">
              <w:rPr>
                <w:b/>
                <w:color w:val="70004A"/>
                <w:spacing w:val="-2"/>
                <w:sz w:val="18"/>
              </w:rPr>
              <w:t>Receptor</w:t>
            </w:r>
          </w:p>
        </w:tc>
        <w:tc>
          <w:tcPr>
            <w:tcW w:w="1069" w:type="pct"/>
            <w:tcBorders>
              <w:bottom w:val="single" w:sz="4" w:space="0" w:color="000000"/>
            </w:tcBorders>
            <w:shd w:val="clear" w:color="auto" w:fill="D6D7D5"/>
            <w:vAlign w:val="center"/>
          </w:tcPr>
          <w:p w14:paraId="7910A3A9" w14:textId="77777777" w:rsidR="00725977" w:rsidRPr="00D4309F" w:rsidRDefault="00725977" w:rsidP="00F00E58">
            <w:pPr>
              <w:pStyle w:val="TableParagraph"/>
              <w:ind w:left="256"/>
              <w:rPr>
                <w:b/>
                <w:sz w:val="18"/>
              </w:rPr>
            </w:pPr>
            <w:r w:rsidRPr="00D4309F">
              <w:rPr>
                <w:b/>
                <w:color w:val="70004A"/>
                <w:sz w:val="18"/>
              </w:rPr>
              <w:t>Impact</w:t>
            </w:r>
            <w:r w:rsidRPr="00D4309F">
              <w:rPr>
                <w:b/>
                <w:color w:val="70004A"/>
                <w:spacing w:val="-3"/>
                <w:sz w:val="18"/>
              </w:rPr>
              <w:t xml:space="preserve"> </w:t>
            </w:r>
            <w:r w:rsidRPr="00D4309F">
              <w:rPr>
                <w:b/>
                <w:color w:val="70004A"/>
                <w:spacing w:val="-2"/>
                <w:sz w:val="18"/>
              </w:rPr>
              <w:t>pathway</w:t>
            </w:r>
          </w:p>
        </w:tc>
        <w:tc>
          <w:tcPr>
            <w:tcW w:w="537" w:type="pct"/>
            <w:tcBorders>
              <w:bottom w:val="single" w:sz="4" w:space="0" w:color="000000"/>
            </w:tcBorders>
            <w:shd w:val="clear" w:color="auto" w:fill="D6D7D5"/>
            <w:vAlign w:val="center"/>
          </w:tcPr>
          <w:p w14:paraId="0E6386C8" w14:textId="77777777" w:rsidR="00725977" w:rsidRPr="00D4309F" w:rsidRDefault="00725977" w:rsidP="00F00E58">
            <w:pPr>
              <w:pStyle w:val="TableParagraph"/>
              <w:spacing w:before="143"/>
              <w:ind w:left="166" w:right="157"/>
              <w:rPr>
                <w:b/>
                <w:sz w:val="18"/>
              </w:rPr>
            </w:pPr>
            <w:r w:rsidRPr="00D4309F">
              <w:rPr>
                <w:b/>
                <w:color w:val="70004A"/>
                <w:spacing w:val="-2"/>
                <w:sz w:val="18"/>
              </w:rPr>
              <w:t>Constraint level</w:t>
            </w:r>
          </w:p>
        </w:tc>
        <w:tc>
          <w:tcPr>
            <w:tcW w:w="942" w:type="pct"/>
            <w:tcBorders>
              <w:bottom w:val="single" w:sz="4" w:space="0" w:color="000000"/>
            </w:tcBorders>
            <w:shd w:val="clear" w:color="auto" w:fill="D6D7D5"/>
            <w:vAlign w:val="center"/>
          </w:tcPr>
          <w:p w14:paraId="0FE493C0" w14:textId="77777777" w:rsidR="00725977" w:rsidRPr="00D4309F" w:rsidRDefault="00725977" w:rsidP="00F00E58">
            <w:pPr>
              <w:pStyle w:val="TableParagraph"/>
              <w:ind w:left="166"/>
              <w:rPr>
                <w:b/>
                <w:sz w:val="18"/>
              </w:rPr>
            </w:pPr>
            <w:r w:rsidRPr="00D4309F">
              <w:rPr>
                <w:b/>
                <w:color w:val="70004A"/>
                <w:spacing w:val="-2"/>
                <w:sz w:val="18"/>
              </w:rPr>
              <w:t>Justification</w:t>
            </w:r>
          </w:p>
        </w:tc>
        <w:tc>
          <w:tcPr>
            <w:tcW w:w="708" w:type="pct"/>
            <w:tcBorders>
              <w:bottom w:val="single" w:sz="4" w:space="0" w:color="000000"/>
            </w:tcBorders>
            <w:shd w:val="clear" w:color="auto" w:fill="D6D7D5"/>
            <w:vAlign w:val="center"/>
          </w:tcPr>
          <w:p w14:paraId="4F04E492" w14:textId="77777777" w:rsidR="00725977" w:rsidRPr="00D4309F" w:rsidRDefault="00725977" w:rsidP="00F00E58">
            <w:pPr>
              <w:pStyle w:val="TableParagraph"/>
              <w:spacing w:before="143"/>
              <w:ind w:left="199" w:right="158"/>
              <w:rPr>
                <w:b/>
                <w:sz w:val="18"/>
              </w:rPr>
            </w:pPr>
            <w:r w:rsidRPr="00D4309F">
              <w:rPr>
                <w:b/>
                <w:color w:val="70004A"/>
                <w:sz w:val="18"/>
              </w:rPr>
              <w:t>Further</w:t>
            </w:r>
            <w:r w:rsidRPr="00D4309F">
              <w:rPr>
                <w:b/>
                <w:color w:val="70004A"/>
                <w:spacing w:val="-13"/>
                <w:sz w:val="18"/>
              </w:rPr>
              <w:t xml:space="preserve"> </w:t>
            </w:r>
            <w:r w:rsidRPr="00D4309F">
              <w:rPr>
                <w:b/>
                <w:color w:val="70004A"/>
                <w:sz w:val="18"/>
              </w:rPr>
              <w:t xml:space="preserve">assessment </w:t>
            </w:r>
            <w:r w:rsidRPr="00D4309F">
              <w:rPr>
                <w:b/>
                <w:color w:val="70004A"/>
                <w:spacing w:val="-2"/>
                <w:sz w:val="18"/>
              </w:rPr>
              <w:t>recommendations</w:t>
            </w:r>
          </w:p>
        </w:tc>
        <w:tc>
          <w:tcPr>
            <w:tcW w:w="818" w:type="pct"/>
            <w:tcBorders>
              <w:bottom w:val="single" w:sz="4" w:space="0" w:color="000000"/>
            </w:tcBorders>
            <w:shd w:val="clear" w:color="auto" w:fill="D6D7D5"/>
            <w:vAlign w:val="center"/>
          </w:tcPr>
          <w:p w14:paraId="09C19B3F" w14:textId="77777777" w:rsidR="00725977" w:rsidRPr="00D4309F" w:rsidRDefault="00725977" w:rsidP="00F00E58">
            <w:pPr>
              <w:pStyle w:val="TableParagraph"/>
              <w:spacing w:before="40"/>
              <w:ind w:left="201" w:right="439"/>
              <w:rPr>
                <w:b/>
                <w:sz w:val="18"/>
              </w:rPr>
            </w:pPr>
            <w:r w:rsidRPr="00D4309F">
              <w:rPr>
                <w:b/>
                <w:color w:val="70004A"/>
                <w:sz w:val="18"/>
              </w:rPr>
              <w:t>Potential</w:t>
            </w:r>
            <w:r w:rsidRPr="00D4309F">
              <w:rPr>
                <w:b/>
                <w:color w:val="70004A"/>
                <w:spacing w:val="-13"/>
                <w:sz w:val="18"/>
              </w:rPr>
              <w:t xml:space="preserve"> </w:t>
            </w:r>
            <w:r w:rsidRPr="00D4309F">
              <w:rPr>
                <w:b/>
                <w:color w:val="70004A"/>
                <w:sz w:val="18"/>
              </w:rPr>
              <w:t xml:space="preserve">monitoring and management </w:t>
            </w:r>
            <w:r w:rsidRPr="00D4309F">
              <w:rPr>
                <w:b/>
                <w:color w:val="70004A"/>
                <w:spacing w:val="-2"/>
                <w:sz w:val="18"/>
              </w:rPr>
              <w:t>requirements</w:t>
            </w:r>
          </w:p>
        </w:tc>
      </w:tr>
      <w:tr w:rsidR="00725977" w:rsidRPr="00D4309F" w14:paraId="359D4F2D" w14:textId="77777777" w:rsidTr="007E44C8">
        <w:trPr>
          <w:cantSplit/>
          <w:trHeight w:val="20"/>
        </w:trPr>
        <w:tc>
          <w:tcPr>
            <w:tcW w:w="518" w:type="pct"/>
            <w:tcBorders>
              <w:top w:val="single" w:sz="4" w:space="0" w:color="000000"/>
              <w:bottom w:val="single" w:sz="4" w:space="0" w:color="000000"/>
            </w:tcBorders>
            <w:vAlign w:val="center"/>
          </w:tcPr>
          <w:p w14:paraId="2D5C0F99" w14:textId="77777777" w:rsidR="00725977" w:rsidRPr="00D4309F" w:rsidRDefault="00725977" w:rsidP="007E44C8">
            <w:pPr>
              <w:pStyle w:val="Table-Text"/>
            </w:pPr>
            <w:r w:rsidRPr="00D4309F">
              <w:t>Marine environmental quality</w:t>
            </w:r>
          </w:p>
        </w:tc>
        <w:tc>
          <w:tcPr>
            <w:tcW w:w="407" w:type="pct"/>
            <w:tcBorders>
              <w:top w:val="single" w:sz="4" w:space="0" w:color="000000"/>
              <w:bottom w:val="single" w:sz="4" w:space="0" w:color="000000"/>
            </w:tcBorders>
            <w:vAlign w:val="center"/>
          </w:tcPr>
          <w:p w14:paraId="58124A83" w14:textId="77777777" w:rsidR="00725977" w:rsidRPr="00D4309F" w:rsidRDefault="00725977" w:rsidP="00F00E58">
            <w:pPr>
              <w:pStyle w:val="TableParagraph"/>
              <w:ind w:left="195" w:right="452"/>
              <w:rPr>
                <w:sz w:val="18"/>
              </w:rPr>
            </w:pPr>
            <w:r w:rsidRPr="00D4309F">
              <w:rPr>
                <w:color w:val="211E1F"/>
                <w:spacing w:val="-2"/>
                <w:sz w:val="18"/>
              </w:rPr>
              <w:t>Water quality</w:t>
            </w:r>
          </w:p>
        </w:tc>
        <w:tc>
          <w:tcPr>
            <w:tcW w:w="1069" w:type="pct"/>
            <w:tcBorders>
              <w:top w:val="single" w:sz="4" w:space="0" w:color="000000"/>
              <w:bottom w:val="single" w:sz="4" w:space="0" w:color="000000"/>
            </w:tcBorders>
            <w:vAlign w:val="center"/>
          </w:tcPr>
          <w:p w14:paraId="1EDA8A3B" w14:textId="127A6FFB" w:rsidR="00FC61E2" w:rsidRPr="00FC61E2" w:rsidRDefault="00725977" w:rsidP="002471AD">
            <w:pPr>
              <w:pStyle w:val="Table-Bullet"/>
            </w:pPr>
            <w:r w:rsidRPr="00D4309F">
              <w:t>Generation</w:t>
            </w:r>
            <w:r w:rsidRPr="00D4309F">
              <w:rPr>
                <w:spacing w:val="-13"/>
              </w:rPr>
              <w:t xml:space="preserve"> </w:t>
            </w:r>
            <w:r w:rsidRPr="00D4309F">
              <w:t>of</w:t>
            </w:r>
            <w:r w:rsidRPr="00D4309F">
              <w:rPr>
                <w:spacing w:val="-12"/>
              </w:rPr>
              <w:t xml:space="preserve"> </w:t>
            </w:r>
            <w:r w:rsidRPr="00D4309F">
              <w:t>turbidity</w:t>
            </w:r>
            <w:r w:rsidRPr="00D4309F">
              <w:rPr>
                <w:spacing w:val="-13"/>
              </w:rPr>
              <w:t xml:space="preserve"> </w:t>
            </w:r>
            <w:r w:rsidRPr="00D4309F">
              <w:t>during construction and dredging</w:t>
            </w:r>
          </w:p>
        </w:tc>
        <w:tc>
          <w:tcPr>
            <w:tcW w:w="537" w:type="pct"/>
            <w:tcBorders>
              <w:top w:val="single" w:sz="4" w:space="0" w:color="000000"/>
              <w:bottom w:val="single" w:sz="4" w:space="0" w:color="000000"/>
            </w:tcBorders>
            <w:shd w:val="clear" w:color="auto" w:fill="FFFF00"/>
            <w:vAlign w:val="center"/>
          </w:tcPr>
          <w:p w14:paraId="1955A3AA" w14:textId="77777777" w:rsidR="00725977" w:rsidRPr="00F00E58" w:rsidRDefault="00725977" w:rsidP="00F00E58">
            <w:pPr>
              <w:pStyle w:val="Table-Text"/>
              <w:rPr>
                <w:b/>
                <w:bCs/>
              </w:rPr>
            </w:pPr>
            <w:r w:rsidRPr="00F00E58">
              <w:rPr>
                <w:b/>
                <w:bCs/>
              </w:rPr>
              <w:t>Moderate</w:t>
            </w:r>
          </w:p>
        </w:tc>
        <w:tc>
          <w:tcPr>
            <w:tcW w:w="942" w:type="pct"/>
            <w:tcBorders>
              <w:top w:val="single" w:sz="4" w:space="0" w:color="000000"/>
              <w:bottom w:val="single" w:sz="4" w:space="0" w:color="000000"/>
            </w:tcBorders>
            <w:vAlign w:val="center"/>
          </w:tcPr>
          <w:p w14:paraId="0574782B" w14:textId="77777777" w:rsidR="00725977" w:rsidRPr="00D4309F" w:rsidRDefault="00725977" w:rsidP="007E44C8">
            <w:pPr>
              <w:pStyle w:val="Table-Bullet"/>
            </w:pPr>
            <w:r w:rsidRPr="00D4309F">
              <w:t>An assessment of the predicted plume extent will inform</w:t>
            </w:r>
            <w:r w:rsidRPr="00D4309F">
              <w:rPr>
                <w:spacing w:val="-10"/>
              </w:rPr>
              <w:t xml:space="preserve"> </w:t>
            </w:r>
            <w:r w:rsidRPr="00D4309F">
              <w:t>the</w:t>
            </w:r>
            <w:r w:rsidRPr="00D4309F">
              <w:rPr>
                <w:spacing w:val="-11"/>
              </w:rPr>
              <w:t xml:space="preserve"> </w:t>
            </w:r>
            <w:r w:rsidRPr="00D4309F">
              <w:t>extent</w:t>
            </w:r>
            <w:r w:rsidRPr="00D4309F">
              <w:rPr>
                <w:spacing w:val="-10"/>
              </w:rPr>
              <w:t xml:space="preserve"> </w:t>
            </w:r>
            <w:r w:rsidRPr="00D4309F">
              <w:t>of</w:t>
            </w:r>
            <w:r w:rsidRPr="00D4309F">
              <w:rPr>
                <w:spacing w:val="-10"/>
              </w:rPr>
              <w:t xml:space="preserve"> </w:t>
            </w:r>
            <w:r w:rsidRPr="00D4309F">
              <w:t>turbidity related</w:t>
            </w:r>
            <w:r w:rsidRPr="00D4309F">
              <w:rPr>
                <w:spacing w:val="-5"/>
              </w:rPr>
              <w:t xml:space="preserve"> </w:t>
            </w:r>
            <w:r w:rsidRPr="00D4309F">
              <w:t>impacts</w:t>
            </w:r>
            <w:r w:rsidRPr="00D4309F">
              <w:rPr>
                <w:spacing w:val="-3"/>
              </w:rPr>
              <w:t xml:space="preserve"> </w:t>
            </w:r>
            <w:r w:rsidRPr="00D4309F">
              <w:t>however</w:t>
            </w:r>
            <w:r w:rsidRPr="00D4309F">
              <w:rPr>
                <w:spacing w:val="-4"/>
              </w:rPr>
              <w:t xml:space="preserve"> </w:t>
            </w:r>
            <w:r w:rsidRPr="00D4309F">
              <w:t xml:space="preserve">as this is a dynamic, open ocean environment, any plume will likely dissipate </w:t>
            </w:r>
            <w:r w:rsidRPr="00D4309F">
              <w:rPr>
                <w:spacing w:val="-2"/>
              </w:rPr>
              <w:t>quickly</w:t>
            </w:r>
          </w:p>
          <w:p w14:paraId="6032C111" w14:textId="77777777" w:rsidR="00725977" w:rsidRPr="00D4309F" w:rsidRDefault="00725977" w:rsidP="007E44C8">
            <w:pPr>
              <w:pStyle w:val="Table-Bullet"/>
            </w:pPr>
            <w:r w:rsidRPr="00D4309F">
              <w:t>Turbidity</w:t>
            </w:r>
            <w:r w:rsidRPr="00D4309F">
              <w:rPr>
                <w:spacing w:val="-8"/>
              </w:rPr>
              <w:t xml:space="preserve"> </w:t>
            </w:r>
            <w:r w:rsidRPr="00D4309F">
              <w:t>is</w:t>
            </w:r>
            <w:r w:rsidRPr="00D4309F">
              <w:rPr>
                <w:spacing w:val="-8"/>
              </w:rPr>
              <w:t xml:space="preserve"> </w:t>
            </w:r>
            <w:r w:rsidRPr="00D4309F">
              <w:t>likely</w:t>
            </w:r>
            <w:r w:rsidRPr="00D4309F">
              <w:rPr>
                <w:spacing w:val="-8"/>
              </w:rPr>
              <w:t xml:space="preserve"> </w:t>
            </w:r>
            <w:r w:rsidRPr="00D4309F">
              <w:t>to</w:t>
            </w:r>
            <w:r w:rsidRPr="00D4309F">
              <w:rPr>
                <w:spacing w:val="-9"/>
              </w:rPr>
              <w:t xml:space="preserve"> </w:t>
            </w:r>
            <w:r w:rsidRPr="00D4309F">
              <w:t>be</w:t>
            </w:r>
            <w:r w:rsidRPr="00D4309F">
              <w:rPr>
                <w:spacing w:val="-9"/>
              </w:rPr>
              <w:t xml:space="preserve"> </w:t>
            </w:r>
            <w:r w:rsidRPr="00D4309F">
              <w:t>more extensive during</w:t>
            </w:r>
            <w:r w:rsidRPr="00D4309F">
              <w:rPr>
                <w:spacing w:val="40"/>
              </w:rPr>
              <w:t xml:space="preserve"> </w:t>
            </w:r>
            <w:r w:rsidRPr="00D4309F">
              <w:t>breakwater extension</w:t>
            </w:r>
          </w:p>
        </w:tc>
        <w:tc>
          <w:tcPr>
            <w:tcW w:w="708" w:type="pct"/>
            <w:tcBorders>
              <w:top w:val="single" w:sz="4" w:space="0" w:color="000000"/>
              <w:bottom w:val="single" w:sz="4" w:space="0" w:color="000000"/>
            </w:tcBorders>
            <w:vAlign w:val="center"/>
          </w:tcPr>
          <w:p w14:paraId="6FB497F2" w14:textId="77777777" w:rsidR="00725977" w:rsidRPr="00D4309F" w:rsidRDefault="00725977" w:rsidP="007E44C8">
            <w:pPr>
              <w:pStyle w:val="Table-Bullet"/>
            </w:pPr>
            <w:r w:rsidRPr="00D4309F">
              <w:t>Turbidity</w:t>
            </w:r>
            <w:r w:rsidRPr="00D4309F">
              <w:rPr>
                <w:spacing w:val="-5"/>
              </w:rPr>
              <w:t xml:space="preserve"> </w:t>
            </w:r>
            <w:r w:rsidRPr="00D4309F">
              <w:rPr>
                <w:spacing w:val="-2"/>
              </w:rPr>
              <w:t>modelling</w:t>
            </w:r>
          </w:p>
        </w:tc>
        <w:tc>
          <w:tcPr>
            <w:tcW w:w="818" w:type="pct"/>
            <w:tcBorders>
              <w:top w:val="single" w:sz="4" w:space="0" w:color="000000"/>
              <w:bottom w:val="single" w:sz="4" w:space="0" w:color="000000"/>
            </w:tcBorders>
            <w:vAlign w:val="center"/>
          </w:tcPr>
          <w:p w14:paraId="3AD1E719" w14:textId="77777777" w:rsidR="00725977" w:rsidRPr="00D4309F" w:rsidRDefault="00725977" w:rsidP="007E44C8">
            <w:pPr>
              <w:pStyle w:val="Table-Bullet"/>
            </w:pPr>
            <w:r w:rsidRPr="00D4309F">
              <w:t>Turbidity</w:t>
            </w:r>
            <w:r w:rsidRPr="00D4309F">
              <w:rPr>
                <w:spacing w:val="-13"/>
              </w:rPr>
              <w:t xml:space="preserve"> </w:t>
            </w:r>
            <w:r w:rsidRPr="00D4309F">
              <w:t>monitoring during works</w:t>
            </w:r>
          </w:p>
          <w:p w14:paraId="219B8D84" w14:textId="77777777" w:rsidR="00725977" w:rsidRPr="00D4309F" w:rsidRDefault="00725977" w:rsidP="007E44C8">
            <w:pPr>
              <w:pStyle w:val="Table-Bullet"/>
            </w:pPr>
            <w:r w:rsidRPr="00D4309F">
              <w:t>Standard turbidity mitigation</w:t>
            </w:r>
            <w:r w:rsidRPr="00D4309F">
              <w:rPr>
                <w:spacing w:val="-13"/>
              </w:rPr>
              <w:t xml:space="preserve"> </w:t>
            </w:r>
            <w:r w:rsidRPr="00D4309F">
              <w:t>procedures</w:t>
            </w:r>
          </w:p>
          <w:p w14:paraId="6790B5DA" w14:textId="77777777" w:rsidR="00725977" w:rsidRPr="00D4309F" w:rsidRDefault="00725977" w:rsidP="007E44C8">
            <w:pPr>
              <w:pStyle w:val="Table-Bullet"/>
            </w:pPr>
            <w:r w:rsidRPr="00D4309F">
              <w:t>e.g.</w:t>
            </w:r>
            <w:r w:rsidRPr="00D4309F">
              <w:rPr>
                <w:spacing w:val="-15"/>
              </w:rPr>
              <w:t xml:space="preserve"> </w:t>
            </w:r>
            <w:r w:rsidRPr="00D4309F">
              <w:t>silt</w:t>
            </w:r>
            <w:r w:rsidRPr="00D4309F">
              <w:rPr>
                <w:spacing w:val="-12"/>
              </w:rPr>
              <w:t xml:space="preserve"> </w:t>
            </w:r>
            <w:r w:rsidRPr="00D4309F">
              <w:t>curtains, staging</w:t>
            </w:r>
            <w:r w:rsidRPr="00D4309F">
              <w:rPr>
                <w:spacing w:val="-3"/>
              </w:rPr>
              <w:t xml:space="preserve"> </w:t>
            </w:r>
            <w:r w:rsidRPr="00D4309F">
              <w:t>of</w:t>
            </w:r>
            <w:r w:rsidRPr="00D4309F">
              <w:rPr>
                <w:spacing w:val="-2"/>
              </w:rPr>
              <w:t xml:space="preserve"> works</w:t>
            </w:r>
          </w:p>
        </w:tc>
      </w:tr>
      <w:tr w:rsidR="00725977" w:rsidRPr="00D4309F" w14:paraId="4CC1D209" w14:textId="77777777" w:rsidTr="007E44C8">
        <w:trPr>
          <w:cantSplit/>
          <w:trHeight w:val="20"/>
        </w:trPr>
        <w:tc>
          <w:tcPr>
            <w:tcW w:w="518" w:type="pct"/>
            <w:tcBorders>
              <w:top w:val="single" w:sz="4" w:space="0" w:color="000000"/>
              <w:bottom w:val="single" w:sz="4" w:space="0" w:color="000000"/>
            </w:tcBorders>
            <w:vAlign w:val="center"/>
          </w:tcPr>
          <w:p w14:paraId="78BFDA96" w14:textId="77777777" w:rsidR="00725977" w:rsidRPr="00D4309F" w:rsidRDefault="00725977" w:rsidP="007E44C8">
            <w:pPr>
              <w:pStyle w:val="Table-Text"/>
            </w:pPr>
            <w:r w:rsidRPr="00D4309F">
              <w:t>Marine environmental quality</w:t>
            </w:r>
          </w:p>
        </w:tc>
        <w:tc>
          <w:tcPr>
            <w:tcW w:w="407" w:type="pct"/>
            <w:tcBorders>
              <w:top w:val="single" w:sz="4" w:space="0" w:color="000000"/>
              <w:bottom w:val="single" w:sz="4" w:space="0" w:color="000000"/>
            </w:tcBorders>
            <w:vAlign w:val="center"/>
          </w:tcPr>
          <w:p w14:paraId="669CA6C8" w14:textId="77777777" w:rsidR="00725977" w:rsidRPr="00D4309F" w:rsidRDefault="00725977" w:rsidP="00F00E58">
            <w:pPr>
              <w:pStyle w:val="TableParagraph"/>
              <w:spacing w:before="1"/>
              <w:ind w:left="195" w:right="452"/>
              <w:rPr>
                <w:sz w:val="18"/>
              </w:rPr>
            </w:pPr>
            <w:r w:rsidRPr="00D4309F">
              <w:rPr>
                <w:color w:val="211E1F"/>
                <w:spacing w:val="-2"/>
                <w:sz w:val="18"/>
              </w:rPr>
              <w:t>Water quality</w:t>
            </w:r>
          </w:p>
        </w:tc>
        <w:tc>
          <w:tcPr>
            <w:tcW w:w="1069" w:type="pct"/>
            <w:tcBorders>
              <w:top w:val="single" w:sz="4" w:space="0" w:color="000000"/>
              <w:bottom w:val="single" w:sz="4" w:space="0" w:color="000000"/>
            </w:tcBorders>
            <w:vAlign w:val="center"/>
          </w:tcPr>
          <w:p w14:paraId="7E6697C6" w14:textId="123C9455" w:rsidR="00FC61E2" w:rsidRPr="00FC61E2" w:rsidRDefault="00725977" w:rsidP="002471AD">
            <w:pPr>
              <w:pStyle w:val="Table-Bullet"/>
            </w:pPr>
            <w:r w:rsidRPr="00D4309F">
              <w:t xml:space="preserve">Release of </w:t>
            </w:r>
            <w:r w:rsidRPr="00D4309F">
              <w:rPr>
                <w:spacing w:val="-2"/>
              </w:rPr>
              <w:t>contaminants/hypoxia</w:t>
            </w:r>
          </w:p>
        </w:tc>
        <w:tc>
          <w:tcPr>
            <w:tcW w:w="537" w:type="pct"/>
            <w:tcBorders>
              <w:top w:val="single" w:sz="4" w:space="0" w:color="000000"/>
              <w:bottom w:val="single" w:sz="4" w:space="0" w:color="000000"/>
            </w:tcBorders>
            <w:shd w:val="clear" w:color="auto" w:fill="92D050"/>
            <w:vAlign w:val="center"/>
          </w:tcPr>
          <w:p w14:paraId="3A9A4DF3" w14:textId="77777777" w:rsidR="00725977" w:rsidRPr="00F00E58" w:rsidRDefault="00725977" w:rsidP="00F00E58">
            <w:pPr>
              <w:pStyle w:val="Table-Text"/>
              <w:rPr>
                <w:b/>
                <w:bCs/>
              </w:rPr>
            </w:pPr>
            <w:r w:rsidRPr="00F00E58">
              <w:rPr>
                <w:b/>
                <w:bCs/>
                <w:spacing w:val="-5"/>
              </w:rPr>
              <w:t>Low</w:t>
            </w:r>
          </w:p>
        </w:tc>
        <w:tc>
          <w:tcPr>
            <w:tcW w:w="942" w:type="pct"/>
            <w:tcBorders>
              <w:top w:val="single" w:sz="4" w:space="0" w:color="000000"/>
              <w:bottom w:val="single" w:sz="4" w:space="0" w:color="000000"/>
            </w:tcBorders>
            <w:vAlign w:val="center"/>
          </w:tcPr>
          <w:p w14:paraId="4CAD42BC" w14:textId="77777777" w:rsidR="00725977" w:rsidRPr="00D4309F" w:rsidRDefault="00725977" w:rsidP="007E44C8">
            <w:pPr>
              <w:pStyle w:val="Table-Bullet"/>
            </w:pPr>
            <w:r w:rsidRPr="00D4309F">
              <w:t>Dredge sediments likely comprise clean marine sand</w:t>
            </w:r>
            <w:r w:rsidRPr="00D4309F">
              <w:rPr>
                <w:spacing w:val="-13"/>
              </w:rPr>
              <w:t xml:space="preserve"> </w:t>
            </w:r>
            <w:r w:rsidRPr="00D4309F">
              <w:t>free</w:t>
            </w:r>
            <w:r w:rsidRPr="00D4309F">
              <w:rPr>
                <w:spacing w:val="-12"/>
              </w:rPr>
              <w:t xml:space="preserve"> </w:t>
            </w:r>
            <w:r w:rsidRPr="00D4309F">
              <w:t>of</w:t>
            </w:r>
            <w:r w:rsidRPr="00D4309F">
              <w:rPr>
                <w:spacing w:val="-13"/>
              </w:rPr>
              <w:t xml:space="preserve"> </w:t>
            </w:r>
            <w:r w:rsidRPr="00D4309F">
              <w:t xml:space="preserve">contaminants with low organic matter </w:t>
            </w:r>
            <w:r w:rsidRPr="00D4309F">
              <w:rPr>
                <w:spacing w:val="-2"/>
              </w:rPr>
              <w:t>content</w:t>
            </w:r>
          </w:p>
          <w:p w14:paraId="2DE60FDF" w14:textId="77777777" w:rsidR="00725977" w:rsidRPr="00D4309F" w:rsidRDefault="00725977" w:rsidP="007E44C8">
            <w:pPr>
              <w:pStyle w:val="Table-Bullet"/>
            </w:pPr>
            <w:r w:rsidRPr="00D4309F">
              <w:t>Breakwater</w:t>
            </w:r>
            <w:r w:rsidRPr="00D4309F">
              <w:rPr>
                <w:spacing w:val="-8"/>
              </w:rPr>
              <w:t xml:space="preserve"> </w:t>
            </w:r>
            <w:r w:rsidRPr="00D4309F">
              <w:t>construction materials</w:t>
            </w:r>
            <w:r w:rsidRPr="00D4309F">
              <w:rPr>
                <w:spacing w:val="-13"/>
              </w:rPr>
              <w:t xml:space="preserve"> </w:t>
            </w:r>
            <w:r w:rsidRPr="00D4309F">
              <w:t>assumed</w:t>
            </w:r>
            <w:r w:rsidRPr="00D4309F">
              <w:rPr>
                <w:spacing w:val="-12"/>
              </w:rPr>
              <w:t xml:space="preserve"> </w:t>
            </w:r>
            <w:r w:rsidRPr="00D4309F">
              <w:t>to</w:t>
            </w:r>
            <w:r w:rsidRPr="00D4309F">
              <w:rPr>
                <w:spacing w:val="-13"/>
              </w:rPr>
              <w:t xml:space="preserve"> </w:t>
            </w:r>
            <w:r w:rsidRPr="00D4309F">
              <w:t>be free of contamination</w:t>
            </w:r>
          </w:p>
        </w:tc>
        <w:tc>
          <w:tcPr>
            <w:tcW w:w="708" w:type="pct"/>
            <w:tcBorders>
              <w:top w:val="single" w:sz="4" w:space="0" w:color="000000"/>
              <w:bottom w:val="single" w:sz="4" w:space="0" w:color="000000"/>
            </w:tcBorders>
            <w:vAlign w:val="center"/>
          </w:tcPr>
          <w:p w14:paraId="61395EF0" w14:textId="77777777" w:rsidR="00725977" w:rsidRPr="00D4309F" w:rsidRDefault="00725977" w:rsidP="007E44C8">
            <w:pPr>
              <w:pStyle w:val="Table-Bullet"/>
            </w:pPr>
            <w:r w:rsidRPr="00D4309F">
              <w:t>Assumption</w:t>
            </w:r>
            <w:r w:rsidRPr="00D4309F">
              <w:rPr>
                <w:spacing w:val="-13"/>
              </w:rPr>
              <w:t xml:space="preserve"> </w:t>
            </w:r>
            <w:r w:rsidRPr="00D4309F">
              <w:t>that suitable data exists to inform this risk</w:t>
            </w:r>
          </w:p>
        </w:tc>
        <w:tc>
          <w:tcPr>
            <w:tcW w:w="818" w:type="pct"/>
            <w:tcBorders>
              <w:top w:val="single" w:sz="4" w:space="0" w:color="000000"/>
              <w:bottom w:val="single" w:sz="4" w:space="0" w:color="000000"/>
            </w:tcBorders>
            <w:vAlign w:val="center"/>
          </w:tcPr>
          <w:p w14:paraId="6127BE71" w14:textId="77777777" w:rsidR="00725977" w:rsidRPr="00D4309F" w:rsidRDefault="00725977" w:rsidP="007E44C8">
            <w:pPr>
              <w:pStyle w:val="Table-Bullet"/>
            </w:pPr>
            <w:r w:rsidRPr="00D4309F">
              <w:rPr>
                <w:spacing w:val="-4"/>
              </w:rPr>
              <w:t>None</w:t>
            </w:r>
          </w:p>
        </w:tc>
      </w:tr>
      <w:tr w:rsidR="00F00E58" w:rsidRPr="00D4309F" w14:paraId="0B108779" w14:textId="77777777" w:rsidTr="007E44C8">
        <w:trPr>
          <w:cantSplit/>
          <w:trHeight w:val="20"/>
        </w:trPr>
        <w:tc>
          <w:tcPr>
            <w:tcW w:w="518" w:type="pct"/>
            <w:tcBorders>
              <w:top w:val="single" w:sz="4" w:space="0" w:color="000000"/>
              <w:bottom w:val="single" w:sz="4" w:space="0" w:color="000000"/>
            </w:tcBorders>
            <w:vAlign w:val="center"/>
          </w:tcPr>
          <w:p w14:paraId="05EB8936" w14:textId="72D366BB" w:rsidR="00F00E58" w:rsidRPr="00D4309F" w:rsidRDefault="00F00E58" w:rsidP="007E44C8">
            <w:pPr>
              <w:pStyle w:val="Table-Text"/>
            </w:pPr>
            <w:r w:rsidRPr="00D4309F">
              <w:lastRenderedPageBreak/>
              <w:t>Marine environmental quality</w:t>
            </w:r>
          </w:p>
        </w:tc>
        <w:tc>
          <w:tcPr>
            <w:tcW w:w="407" w:type="pct"/>
            <w:tcBorders>
              <w:top w:val="single" w:sz="4" w:space="0" w:color="000000"/>
              <w:bottom w:val="single" w:sz="4" w:space="0" w:color="000000"/>
            </w:tcBorders>
            <w:vAlign w:val="center"/>
          </w:tcPr>
          <w:p w14:paraId="37FB8215" w14:textId="33191629" w:rsidR="00F00E58" w:rsidRPr="00D4309F" w:rsidRDefault="00F00E58" w:rsidP="00F00E58">
            <w:pPr>
              <w:pStyle w:val="TableParagraph"/>
              <w:spacing w:before="1"/>
              <w:ind w:left="195" w:right="452"/>
              <w:rPr>
                <w:color w:val="211E1F"/>
                <w:spacing w:val="-2"/>
                <w:sz w:val="18"/>
              </w:rPr>
            </w:pPr>
            <w:r w:rsidRPr="00D4309F">
              <w:rPr>
                <w:color w:val="211E1F"/>
                <w:spacing w:val="-2"/>
                <w:sz w:val="18"/>
              </w:rPr>
              <w:t>Water quality</w:t>
            </w:r>
          </w:p>
        </w:tc>
        <w:tc>
          <w:tcPr>
            <w:tcW w:w="1069" w:type="pct"/>
            <w:tcBorders>
              <w:top w:val="single" w:sz="4" w:space="0" w:color="000000"/>
              <w:bottom w:val="single" w:sz="4" w:space="0" w:color="000000"/>
            </w:tcBorders>
            <w:vAlign w:val="center"/>
          </w:tcPr>
          <w:p w14:paraId="46BA3293" w14:textId="4EF31E25" w:rsidR="00F00E58" w:rsidRPr="00D4309F" w:rsidRDefault="00F00E58" w:rsidP="007E44C8">
            <w:pPr>
              <w:pStyle w:val="Table-Bullet"/>
            </w:pPr>
            <w:r w:rsidRPr="00D4309F">
              <w:t>Hydrocarbon</w:t>
            </w:r>
            <w:r w:rsidRPr="00D4309F">
              <w:rPr>
                <w:spacing w:val="-5"/>
              </w:rPr>
              <w:t xml:space="preserve"> </w:t>
            </w:r>
            <w:r w:rsidRPr="00D4309F">
              <w:rPr>
                <w:spacing w:val="-2"/>
              </w:rPr>
              <w:t>spills/waste</w:t>
            </w:r>
          </w:p>
        </w:tc>
        <w:tc>
          <w:tcPr>
            <w:tcW w:w="537" w:type="pct"/>
            <w:tcBorders>
              <w:top w:val="single" w:sz="4" w:space="0" w:color="000000"/>
              <w:bottom w:val="single" w:sz="4" w:space="0" w:color="000000"/>
            </w:tcBorders>
            <w:shd w:val="clear" w:color="auto" w:fill="92D050"/>
            <w:vAlign w:val="center"/>
          </w:tcPr>
          <w:p w14:paraId="70330E29" w14:textId="06572BA5" w:rsidR="00F00E58" w:rsidRPr="00F00E58" w:rsidRDefault="00F00E58" w:rsidP="00F00E58">
            <w:pPr>
              <w:pStyle w:val="Table-Text"/>
              <w:rPr>
                <w:b/>
                <w:bCs/>
                <w:spacing w:val="-5"/>
              </w:rPr>
            </w:pPr>
            <w:r w:rsidRPr="00F00E58">
              <w:rPr>
                <w:b/>
                <w:bCs/>
                <w:spacing w:val="-5"/>
              </w:rPr>
              <w:t>Low</w:t>
            </w:r>
          </w:p>
        </w:tc>
        <w:tc>
          <w:tcPr>
            <w:tcW w:w="942" w:type="pct"/>
            <w:tcBorders>
              <w:top w:val="single" w:sz="4" w:space="0" w:color="000000"/>
              <w:bottom w:val="single" w:sz="4" w:space="0" w:color="000000"/>
            </w:tcBorders>
            <w:vAlign w:val="center"/>
          </w:tcPr>
          <w:p w14:paraId="71B33626" w14:textId="59320A9E" w:rsidR="00F00E58" w:rsidRPr="00D4309F" w:rsidRDefault="00F00E58" w:rsidP="007E44C8">
            <w:pPr>
              <w:pStyle w:val="Table-Bullet"/>
            </w:pPr>
            <w:r w:rsidRPr="00D4309F">
              <w:t>Compliance</w:t>
            </w:r>
            <w:r w:rsidRPr="00D4309F">
              <w:rPr>
                <w:spacing w:val="-15"/>
              </w:rPr>
              <w:t xml:space="preserve"> </w:t>
            </w:r>
            <w:r w:rsidRPr="00D4309F">
              <w:t>with</w:t>
            </w:r>
            <w:r w:rsidRPr="00D4309F">
              <w:rPr>
                <w:spacing w:val="-12"/>
              </w:rPr>
              <w:t xml:space="preserve"> </w:t>
            </w:r>
            <w:r w:rsidRPr="00D4309F">
              <w:t>standard procedures will minimise this risk</w:t>
            </w:r>
          </w:p>
        </w:tc>
        <w:tc>
          <w:tcPr>
            <w:tcW w:w="708" w:type="pct"/>
            <w:tcBorders>
              <w:top w:val="single" w:sz="4" w:space="0" w:color="000000"/>
              <w:bottom w:val="single" w:sz="4" w:space="0" w:color="000000"/>
            </w:tcBorders>
            <w:vAlign w:val="center"/>
          </w:tcPr>
          <w:p w14:paraId="0331485E" w14:textId="55865E82" w:rsidR="00F00E58" w:rsidRPr="00D4309F" w:rsidRDefault="00F00E58" w:rsidP="007E44C8">
            <w:pPr>
              <w:pStyle w:val="Table-Bullet"/>
            </w:pPr>
            <w:r w:rsidRPr="00D4309F">
              <w:rPr>
                <w:spacing w:val="-4"/>
              </w:rPr>
              <w:t>None</w:t>
            </w:r>
          </w:p>
        </w:tc>
        <w:tc>
          <w:tcPr>
            <w:tcW w:w="818" w:type="pct"/>
            <w:tcBorders>
              <w:top w:val="single" w:sz="4" w:space="0" w:color="000000"/>
              <w:bottom w:val="single" w:sz="4" w:space="0" w:color="000000"/>
            </w:tcBorders>
            <w:vAlign w:val="center"/>
          </w:tcPr>
          <w:p w14:paraId="14B1FBAB" w14:textId="1EE48CE7" w:rsidR="00F00E58" w:rsidRPr="00D4309F" w:rsidRDefault="00F00E58" w:rsidP="007E44C8">
            <w:pPr>
              <w:pStyle w:val="Table-Bullet"/>
              <w:rPr>
                <w:spacing w:val="-4"/>
              </w:rPr>
            </w:pPr>
            <w:r w:rsidRPr="00D4309F">
              <w:t>Standard</w:t>
            </w:r>
            <w:r w:rsidRPr="00D4309F">
              <w:rPr>
                <w:spacing w:val="-13"/>
              </w:rPr>
              <w:t xml:space="preserve"> </w:t>
            </w:r>
            <w:r w:rsidRPr="00D4309F">
              <w:t>oil</w:t>
            </w:r>
            <w:r w:rsidRPr="00D4309F">
              <w:rPr>
                <w:spacing w:val="-12"/>
              </w:rPr>
              <w:t xml:space="preserve"> </w:t>
            </w:r>
            <w:r w:rsidRPr="00D4309F">
              <w:t>spill</w:t>
            </w:r>
            <w:r w:rsidRPr="00D4309F">
              <w:rPr>
                <w:spacing w:val="-13"/>
              </w:rPr>
              <w:t xml:space="preserve"> </w:t>
            </w:r>
            <w:r w:rsidRPr="00D4309F">
              <w:t>and waste procedures</w:t>
            </w:r>
          </w:p>
        </w:tc>
      </w:tr>
      <w:tr w:rsidR="00F00E58" w:rsidRPr="00D4309F" w14:paraId="017DACE1" w14:textId="77777777" w:rsidTr="007E44C8">
        <w:trPr>
          <w:cantSplit/>
          <w:trHeight w:val="20"/>
        </w:trPr>
        <w:tc>
          <w:tcPr>
            <w:tcW w:w="518" w:type="pct"/>
            <w:tcBorders>
              <w:top w:val="single" w:sz="4" w:space="0" w:color="000000"/>
              <w:bottom w:val="single" w:sz="4" w:space="0" w:color="000000"/>
            </w:tcBorders>
            <w:vAlign w:val="center"/>
          </w:tcPr>
          <w:p w14:paraId="7331B6E6" w14:textId="723A2C32" w:rsidR="00F00E58" w:rsidRPr="00D4309F" w:rsidRDefault="00F00E58" w:rsidP="007E44C8">
            <w:pPr>
              <w:pStyle w:val="Table-Text"/>
            </w:pPr>
            <w:r w:rsidRPr="00D4309F">
              <w:t>Marine environmental quality</w:t>
            </w:r>
          </w:p>
        </w:tc>
        <w:tc>
          <w:tcPr>
            <w:tcW w:w="407" w:type="pct"/>
            <w:tcBorders>
              <w:top w:val="single" w:sz="4" w:space="0" w:color="000000"/>
              <w:bottom w:val="single" w:sz="4" w:space="0" w:color="000000"/>
            </w:tcBorders>
            <w:vAlign w:val="center"/>
          </w:tcPr>
          <w:p w14:paraId="55428738" w14:textId="7288D88B" w:rsidR="00F00E58" w:rsidRPr="00D4309F" w:rsidRDefault="00F00E58" w:rsidP="00F00E58">
            <w:pPr>
              <w:pStyle w:val="TableParagraph"/>
              <w:spacing w:before="1"/>
              <w:ind w:left="195" w:right="452"/>
              <w:rPr>
                <w:color w:val="211E1F"/>
                <w:spacing w:val="-2"/>
                <w:sz w:val="18"/>
              </w:rPr>
            </w:pPr>
            <w:r w:rsidRPr="00D4309F">
              <w:rPr>
                <w:color w:val="211E1F"/>
                <w:spacing w:val="-2"/>
                <w:sz w:val="18"/>
              </w:rPr>
              <w:t>Water quality</w:t>
            </w:r>
          </w:p>
        </w:tc>
        <w:tc>
          <w:tcPr>
            <w:tcW w:w="1069" w:type="pct"/>
            <w:tcBorders>
              <w:top w:val="single" w:sz="4" w:space="0" w:color="000000"/>
              <w:bottom w:val="single" w:sz="4" w:space="0" w:color="000000"/>
            </w:tcBorders>
            <w:vAlign w:val="center"/>
          </w:tcPr>
          <w:p w14:paraId="744A5E4F" w14:textId="7559A8A5" w:rsidR="00F00E58" w:rsidRPr="00D4309F" w:rsidRDefault="00F00E58" w:rsidP="007E44C8">
            <w:pPr>
              <w:pStyle w:val="Table-Bullet"/>
            </w:pPr>
            <w:r w:rsidRPr="00D4309F">
              <w:t>Introduced</w:t>
            </w:r>
            <w:r w:rsidRPr="00D4309F">
              <w:rPr>
                <w:spacing w:val="-4"/>
              </w:rPr>
              <w:t xml:space="preserve"> </w:t>
            </w:r>
            <w:r w:rsidRPr="00D4309F">
              <w:t>marine</w:t>
            </w:r>
            <w:r w:rsidRPr="00D4309F">
              <w:rPr>
                <w:spacing w:val="-4"/>
              </w:rPr>
              <w:t xml:space="preserve"> </w:t>
            </w:r>
            <w:r w:rsidRPr="00D4309F">
              <w:rPr>
                <w:spacing w:val="-2"/>
              </w:rPr>
              <w:t>species</w:t>
            </w:r>
          </w:p>
        </w:tc>
        <w:tc>
          <w:tcPr>
            <w:tcW w:w="537" w:type="pct"/>
            <w:tcBorders>
              <w:top w:val="single" w:sz="4" w:space="0" w:color="000000"/>
              <w:bottom w:val="single" w:sz="4" w:space="0" w:color="000000"/>
            </w:tcBorders>
            <w:shd w:val="clear" w:color="auto" w:fill="92D050"/>
            <w:vAlign w:val="center"/>
          </w:tcPr>
          <w:p w14:paraId="6410FD46" w14:textId="176DB631" w:rsidR="00F00E58" w:rsidRPr="00F00E58" w:rsidRDefault="00F00E58" w:rsidP="00F00E58">
            <w:pPr>
              <w:pStyle w:val="Table-Text"/>
              <w:rPr>
                <w:b/>
                <w:bCs/>
                <w:spacing w:val="-5"/>
              </w:rPr>
            </w:pPr>
            <w:r w:rsidRPr="00F00E58">
              <w:rPr>
                <w:b/>
                <w:bCs/>
                <w:spacing w:val="-5"/>
              </w:rPr>
              <w:t>Low</w:t>
            </w:r>
          </w:p>
        </w:tc>
        <w:tc>
          <w:tcPr>
            <w:tcW w:w="942" w:type="pct"/>
            <w:tcBorders>
              <w:top w:val="single" w:sz="4" w:space="0" w:color="000000"/>
              <w:bottom w:val="single" w:sz="4" w:space="0" w:color="000000"/>
            </w:tcBorders>
            <w:vAlign w:val="center"/>
          </w:tcPr>
          <w:p w14:paraId="7AD15AF1" w14:textId="1AF349EA" w:rsidR="00F00E58" w:rsidRPr="00D4309F" w:rsidRDefault="00F00E58" w:rsidP="007E44C8">
            <w:pPr>
              <w:pStyle w:val="Table-Bullet"/>
            </w:pPr>
            <w:r w:rsidRPr="00D4309F">
              <w:t>Compliance</w:t>
            </w:r>
            <w:r w:rsidRPr="00D4309F">
              <w:rPr>
                <w:spacing w:val="-15"/>
              </w:rPr>
              <w:t xml:space="preserve"> </w:t>
            </w:r>
            <w:r w:rsidRPr="00D4309F">
              <w:t>with</w:t>
            </w:r>
            <w:r w:rsidRPr="00D4309F">
              <w:rPr>
                <w:spacing w:val="-12"/>
              </w:rPr>
              <w:t xml:space="preserve"> </w:t>
            </w:r>
            <w:r w:rsidRPr="00D4309F">
              <w:t>standard procedures will minimise this risk</w:t>
            </w:r>
          </w:p>
        </w:tc>
        <w:tc>
          <w:tcPr>
            <w:tcW w:w="708" w:type="pct"/>
            <w:tcBorders>
              <w:top w:val="single" w:sz="4" w:space="0" w:color="000000"/>
              <w:bottom w:val="single" w:sz="4" w:space="0" w:color="000000"/>
            </w:tcBorders>
            <w:vAlign w:val="center"/>
          </w:tcPr>
          <w:p w14:paraId="4C9ABAB3" w14:textId="474041E5" w:rsidR="00F00E58" w:rsidRPr="00D4309F" w:rsidRDefault="00F00E58" w:rsidP="007E44C8">
            <w:pPr>
              <w:pStyle w:val="Table-Bullet"/>
            </w:pPr>
            <w:r w:rsidRPr="00D4309F">
              <w:rPr>
                <w:spacing w:val="-4"/>
              </w:rPr>
              <w:t>None</w:t>
            </w:r>
          </w:p>
        </w:tc>
        <w:tc>
          <w:tcPr>
            <w:tcW w:w="818" w:type="pct"/>
            <w:tcBorders>
              <w:top w:val="single" w:sz="4" w:space="0" w:color="000000"/>
              <w:bottom w:val="single" w:sz="4" w:space="0" w:color="000000"/>
            </w:tcBorders>
            <w:vAlign w:val="center"/>
          </w:tcPr>
          <w:p w14:paraId="66F93546" w14:textId="072CDAC4" w:rsidR="00F00E58" w:rsidRPr="00D4309F" w:rsidRDefault="00F00E58" w:rsidP="007E44C8">
            <w:pPr>
              <w:pStyle w:val="Table-Bullet"/>
              <w:rPr>
                <w:spacing w:val="-4"/>
              </w:rPr>
            </w:pPr>
            <w:r w:rsidRPr="00D4309F">
              <w:t xml:space="preserve">Compliance with standard state and </w:t>
            </w:r>
            <w:r w:rsidRPr="00D4309F">
              <w:rPr>
                <w:spacing w:val="-2"/>
              </w:rPr>
              <w:t xml:space="preserve">commonwealth </w:t>
            </w:r>
            <w:r w:rsidRPr="00D4309F">
              <w:t>procedures</w:t>
            </w:r>
            <w:r w:rsidRPr="00D4309F">
              <w:rPr>
                <w:spacing w:val="-13"/>
              </w:rPr>
              <w:t xml:space="preserve"> </w:t>
            </w:r>
            <w:r w:rsidRPr="00D4309F">
              <w:t xml:space="preserve">regarding </w:t>
            </w:r>
            <w:r w:rsidRPr="00D4309F">
              <w:rPr>
                <w:spacing w:val="-4"/>
              </w:rPr>
              <w:t>IMS</w:t>
            </w:r>
          </w:p>
        </w:tc>
      </w:tr>
      <w:tr w:rsidR="00F00E58" w:rsidRPr="00D4309F" w14:paraId="74CB854F" w14:textId="77777777" w:rsidTr="007E44C8">
        <w:trPr>
          <w:cantSplit/>
          <w:trHeight w:val="20"/>
        </w:trPr>
        <w:tc>
          <w:tcPr>
            <w:tcW w:w="518" w:type="pct"/>
            <w:tcBorders>
              <w:top w:val="single" w:sz="4" w:space="0" w:color="000000"/>
              <w:bottom w:val="single" w:sz="4" w:space="0" w:color="000000"/>
            </w:tcBorders>
            <w:vAlign w:val="center"/>
          </w:tcPr>
          <w:p w14:paraId="126796E9" w14:textId="16736DF8" w:rsidR="00F00E58" w:rsidRPr="00D4309F" w:rsidRDefault="00F00E58" w:rsidP="007E44C8">
            <w:pPr>
              <w:pStyle w:val="Table-Text"/>
            </w:pPr>
            <w:r w:rsidRPr="00D4309F">
              <w:t>Marine</w:t>
            </w:r>
            <w:r w:rsidRPr="00D4309F">
              <w:rPr>
                <w:spacing w:val="-4"/>
              </w:rPr>
              <w:t xml:space="preserve"> </w:t>
            </w:r>
            <w:r w:rsidRPr="00D4309F">
              <w:t>fauna</w:t>
            </w:r>
          </w:p>
        </w:tc>
        <w:tc>
          <w:tcPr>
            <w:tcW w:w="407" w:type="pct"/>
            <w:tcBorders>
              <w:top w:val="single" w:sz="4" w:space="0" w:color="000000"/>
              <w:bottom w:val="single" w:sz="4" w:space="0" w:color="000000"/>
            </w:tcBorders>
            <w:vAlign w:val="center"/>
          </w:tcPr>
          <w:p w14:paraId="2B1524BE" w14:textId="6EACADDE" w:rsidR="00F00E58" w:rsidRPr="00D4309F" w:rsidRDefault="00F00E58" w:rsidP="00F00E58">
            <w:pPr>
              <w:pStyle w:val="TableParagraph"/>
              <w:spacing w:before="1"/>
              <w:ind w:left="195" w:right="452"/>
              <w:rPr>
                <w:color w:val="211E1F"/>
                <w:spacing w:val="-2"/>
                <w:sz w:val="18"/>
              </w:rPr>
            </w:pPr>
            <w:r w:rsidRPr="00D4309F">
              <w:rPr>
                <w:color w:val="211E1F"/>
                <w:spacing w:val="-2"/>
                <w:sz w:val="18"/>
              </w:rPr>
              <w:t>Turtles</w:t>
            </w:r>
          </w:p>
        </w:tc>
        <w:tc>
          <w:tcPr>
            <w:tcW w:w="1069" w:type="pct"/>
            <w:tcBorders>
              <w:top w:val="single" w:sz="4" w:space="0" w:color="000000"/>
              <w:bottom w:val="single" w:sz="4" w:space="0" w:color="000000"/>
            </w:tcBorders>
            <w:vAlign w:val="center"/>
          </w:tcPr>
          <w:p w14:paraId="63809E4A" w14:textId="77777777" w:rsidR="00F00E58" w:rsidRPr="00D4309F" w:rsidRDefault="00F00E58" w:rsidP="007E44C8">
            <w:pPr>
              <w:pStyle w:val="Table-Bullet"/>
            </w:pPr>
            <w:r w:rsidRPr="00D4309F">
              <w:t>Behavioural</w:t>
            </w:r>
            <w:r w:rsidRPr="00D4309F">
              <w:rPr>
                <w:spacing w:val="-15"/>
              </w:rPr>
              <w:t xml:space="preserve"> </w:t>
            </w:r>
            <w:r w:rsidRPr="00D4309F">
              <w:t>response</w:t>
            </w:r>
            <w:r w:rsidRPr="00D4309F">
              <w:rPr>
                <w:spacing w:val="-12"/>
              </w:rPr>
              <w:t xml:space="preserve"> </w:t>
            </w:r>
            <w:r w:rsidRPr="00D4309F">
              <w:t>and interruption of nesting behaviour due to light</w:t>
            </w:r>
          </w:p>
          <w:p w14:paraId="58456A94" w14:textId="77777777" w:rsidR="00F00E58" w:rsidRPr="00D4309F" w:rsidRDefault="00F00E58" w:rsidP="007E44C8">
            <w:pPr>
              <w:pStyle w:val="Table-Bullet"/>
            </w:pPr>
            <w:r w:rsidRPr="00D4309F">
              <w:t>Mortality/injury</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 xml:space="preserve">vessel collision, entanglement, </w:t>
            </w:r>
            <w:r w:rsidRPr="00D4309F">
              <w:rPr>
                <w:spacing w:val="-2"/>
              </w:rPr>
              <w:t>entrainment</w:t>
            </w:r>
          </w:p>
          <w:p w14:paraId="7A16869B" w14:textId="77777777" w:rsidR="00F00E58" w:rsidRPr="00D4309F" w:rsidRDefault="00F00E58" w:rsidP="007E44C8">
            <w:pPr>
              <w:pStyle w:val="Table-Bullet"/>
            </w:pPr>
            <w:r w:rsidRPr="00D4309F">
              <w:t>Mortality/injury</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onshore plant and vehicle movement during beach profiling</w:t>
            </w:r>
          </w:p>
          <w:p w14:paraId="4D36D627" w14:textId="77777777" w:rsidR="00F00E58" w:rsidRPr="00D4309F" w:rsidRDefault="00F00E58" w:rsidP="007E44C8">
            <w:pPr>
              <w:pStyle w:val="Table-Bullet"/>
            </w:pPr>
            <w:r w:rsidRPr="00D4309F">
              <w:t>Disturbance</w:t>
            </w:r>
            <w:r w:rsidRPr="00D4309F">
              <w:rPr>
                <w:spacing w:val="-4"/>
              </w:rPr>
              <w:t xml:space="preserve"> </w:t>
            </w:r>
            <w:r w:rsidRPr="00D4309F">
              <w:t>of</w:t>
            </w:r>
            <w:r w:rsidRPr="00D4309F">
              <w:rPr>
                <w:spacing w:val="-2"/>
              </w:rPr>
              <w:t xml:space="preserve"> </w:t>
            </w:r>
            <w:r w:rsidRPr="00D4309F">
              <w:t>habitat</w:t>
            </w:r>
            <w:r w:rsidRPr="00D4309F">
              <w:rPr>
                <w:spacing w:val="-3"/>
              </w:rPr>
              <w:t xml:space="preserve"> </w:t>
            </w:r>
            <w:r w:rsidRPr="00D4309F">
              <w:t>during sediment</w:t>
            </w:r>
            <w:r w:rsidRPr="00D4309F">
              <w:rPr>
                <w:spacing w:val="-13"/>
              </w:rPr>
              <w:t xml:space="preserve"> </w:t>
            </w:r>
            <w:r w:rsidRPr="00D4309F">
              <w:t>disposal</w:t>
            </w:r>
            <w:r w:rsidRPr="00D4309F">
              <w:rPr>
                <w:spacing w:val="-12"/>
              </w:rPr>
              <w:t xml:space="preserve"> </w:t>
            </w:r>
            <w:r w:rsidRPr="00D4309F">
              <w:t>and</w:t>
            </w:r>
            <w:r w:rsidRPr="00D4309F">
              <w:rPr>
                <w:spacing w:val="-13"/>
              </w:rPr>
              <w:t xml:space="preserve"> </w:t>
            </w:r>
            <w:r w:rsidRPr="00D4309F">
              <w:t xml:space="preserve">beach </w:t>
            </w:r>
            <w:r w:rsidRPr="00D4309F">
              <w:rPr>
                <w:spacing w:val="-2"/>
              </w:rPr>
              <w:t>reprofiling</w:t>
            </w:r>
          </w:p>
          <w:p w14:paraId="652F4B10" w14:textId="4BC27B19" w:rsidR="00F00E58" w:rsidRPr="00D4309F" w:rsidRDefault="00F00E58" w:rsidP="007E44C8">
            <w:pPr>
              <w:pStyle w:val="Table-Bullet"/>
            </w:pPr>
            <w:r w:rsidRPr="00D4309F">
              <w:t>Change of beach profile at Mooloolaba</w:t>
            </w:r>
            <w:r w:rsidRPr="00D4309F">
              <w:rPr>
                <w:spacing w:val="-10"/>
              </w:rPr>
              <w:t xml:space="preserve"> </w:t>
            </w:r>
            <w:r w:rsidRPr="00D4309F">
              <w:t>Main</w:t>
            </w:r>
            <w:r w:rsidRPr="00D4309F">
              <w:rPr>
                <w:spacing w:val="-10"/>
              </w:rPr>
              <w:t xml:space="preserve"> </w:t>
            </w:r>
            <w:r w:rsidRPr="00D4309F">
              <w:t>Beach</w:t>
            </w:r>
            <w:r w:rsidRPr="00D4309F">
              <w:rPr>
                <w:spacing w:val="-10"/>
              </w:rPr>
              <w:t xml:space="preserve"> </w:t>
            </w:r>
            <w:r w:rsidRPr="00D4309F">
              <w:t>due</w:t>
            </w:r>
            <w:r w:rsidRPr="00D4309F">
              <w:rPr>
                <w:spacing w:val="-9"/>
              </w:rPr>
              <w:t xml:space="preserve"> </w:t>
            </w:r>
            <w:r w:rsidRPr="00D4309F">
              <w:t>to sediment disposal direct to beach impacting nesting</w:t>
            </w:r>
          </w:p>
        </w:tc>
        <w:tc>
          <w:tcPr>
            <w:tcW w:w="537" w:type="pct"/>
            <w:tcBorders>
              <w:top w:val="single" w:sz="4" w:space="0" w:color="000000"/>
              <w:bottom w:val="single" w:sz="4" w:space="0" w:color="000000"/>
            </w:tcBorders>
            <w:shd w:val="clear" w:color="auto" w:fill="FFFF00"/>
            <w:vAlign w:val="center"/>
          </w:tcPr>
          <w:p w14:paraId="625F8DEF" w14:textId="5B5BC2D6" w:rsidR="00F00E58" w:rsidRPr="00F00E58" w:rsidRDefault="00F00E58" w:rsidP="00F00E58">
            <w:pPr>
              <w:pStyle w:val="Table-Text"/>
              <w:rPr>
                <w:b/>
                <w:bCs/>
                <w:spacing w:val="-5"/>
              </w:rPr>
            </w:pPr>
            <w:r w:rsidRPr="00F00E58">
              <w:rPr>
                <w:b/>
                <w:bCs/>
              </w:rPr>
              <w:t>Moderate</w:t>
            </w:r>
          </w:p>
        </w:tc>
        <w:tc>
          <w:tcPr>
            <w:tcW w:w="942" w:type="pct"/>
            <w:tcBorders>
              <w:top w:val="single" w:sz="4" w:space="0" w:color="000000"/>
              <w:bottom w:val="single" w:sz="4" w:space="0" w:color="000000"/>
            </w:tcBorders>
            <w:vAlign w:val="center"/>
          </w:tcPr>
          <w:p w14:paraId="06D503F6" w14:textId="5FD0CC96" w:rsidR="00F00E58" w:rsidRPr="00D4309F" w:rsidRDefault="00F00E58" w:rsidP="007E44C8">
            <w:pPr>
              <w:pStyle w:val="Table-Bullet"/>
            </w:pPr>
            <w:r w:rsidRPr="00D4309F">
              <w:t>Several</w:t>
            </w:r>
            <w:r w:rsidRPr="00D4309F">
              <w:rPr>
                <w:spacing w:val="-13"/>
              </w:rPr>
              <w:t xml:space="preserve"> </w:t>
            </w:r>
            <w:r w:rsidRPr="00D4309F">
              <w:t>turtle</w:t>
            </w:r>
            <w:r w:rsidRPr="00D4309F">
              <w:rPr>
                <w:spacing w:val="-12"/>
              </w:rPr>
              <w:t xml:space="preserve"> </w:t>
            </w:r>
            <w:r w:rsidRPr="00D4309F">
              <w:t>species</w:t>
            </w:r>
            <w:r w:rsidRPr="00D4309F">
              <w:rPr>
                <w:spacing w:val="-13"/>
              </w:rPr>
              <w:t xml:space="preserve"> </w:t>
            </w:r>
            <w:r w:rsidRPr="00D4309F">
              <w:t>listed as endangered or vulnerable</w:t>
            </w:r>
            <w:r w:rsidRPr="00D4309F">
              <w:rPr>
                <w:spacing w:val="-11"/>
              </w:rPr>
              <w:t xml:space="preserve"> </w:t>
            </w:r>
            <w:r w:rsidRPr="00D4309F">
              <w:t>under</w:t>
            </w:r>
            <w:r w:rsidRPr="00D4309F">
              <w:rPr>
                <w:spacing w:val="-10"/>
              </w:rPr>
              <w:t xml:space="preserve"> </w:t>
            </w:r>
            <w:r w:rsidRPr="00D4309F">
              <w:t>the</w:t>
            </w:r>
            <w:r w:rsidRPr="00D4309F">
              <w:rPr>
                <w:spacing w:val="-11"/>
              </w:rPr>
              <w:t xml:space="preserve"> </w:t>
            </w:r>
            <w:r w:rsidRPr="00D4309F">
              <w:t>EPBC were identified in the project area with Green (Vulnerable) and Loggerhead (Endangered) turtles known to nest on Buddina and Mooloolaba beaches. Therefore, potential impacts need to be managed accordingly.</w:t>
            </w:r>
          </w:p>
        </w:tc>
        <w:tc>
          <w:tcPr>
            <w:tcW w:w="708" w:type="pct"/>
            <w:tcBorders>
              <w:top w:val="single" w:sz="4" w:space="0" w:color="000000"/>
              <w:bottom w:val="single" w:sz="4" w:space="0" w:color="000000"/>
            </w:tcBorders>
            <w:vAlign w:val="center"/>
          </w:tcPr>
          <w:p w14:paraId="7F550A04" w14:textId="77777777" w:rsidR="00F00E58" w:rsidRPr="00D4309F" w:rsidRDefault="00F00E58" w:rsidP="007E44C8">
            <w:pPr>
              <w:pStyle w:val="Table-Bullet"/>
            </w:pPr>
            <w:r w:rsidRPr="00D4309F">
              <w:t>Assessment of shoreline</w:t>
            </w:r>
            <w:r w:rsidRPr="00D4309F">
              <w:rPr>
                <w:spacing w:val="-13"/>
              </w:rPr>
              <w:t xml:space="preserve"> </w:t>
            </w:r>
            <w:r w:rsidRPr="00D4309F">
              <w:t>response to works</w:t>
            </w:r>
          </w:p>
          <w:p w14:paraId="3505AAB1" w14:textId="7C6E3D13" w:rsidR="00F00E58" w:rsidRPr="00D4309F" w:rsidRDefault="00F00E58" w:rsidP="007E44C8">
            <w:pPr>
              <w:pStyle w:val="Table-Bullet"/>
            </w:pPr>
            <w:r w:rsidRPr="00D4309F">
              <w:t>Light</w:t>
            </w:r>
            <w:r w:rsidRPr="00D4309F">
              <w:rPr>
                <w:spacing w:val="-13"/>
              </w:rPr>
              <w:t xml:space="preserve"> </w:t>
            </w:r>
            <w:r w:rsidRPr="00D4309F">
              <w:t xml:space="preserve">assessment if night works are </w:t>
            </w:r>
            <w:r w:rsidRPr="00D4309F">
              <w:rPr>
                <w:spacing w:val="-2"/>
              </w:rPr>
              <w:t>proposed</w:t>
            </w:r>
          </w:p>
        </w:tc>
        <w:tc>
          <w:tcPr>
            <w:tcW w:w="818" w:type="pct"/>
            <w:tcBorders>
              <w:top w:val="single" w:sz="4" w:space="0" w:color="000000"/>
              <w:bottom w:val="single" w:sz="4" w:space="0" w:color="000000"/>
            </w:tcBorders>
            <w:vAlign w:val="center"/>
          </w:tcPr>
          <w:p w14:paraId="2C2A0B66" w14:textId="77777777" w:rsidR="00F00E58" w:rsidRPr="00D4309F" w:rsidRDefault="00F00E58" w:rsidP="007E44C8">
            <w:pPr>
              <w:pStyle w:val="Table-Bullet"/>
            </w:pPr>
            <w:r w:rsidRPr="00D4309F">
              <w:t>Timing</w:t>
            </w:r>
            <w:r w:rsidRPr="00D4309F">
              <w:rPr>
                <w:spacing w:val="-15"/>
              </w:rPr>
              <w:t xml:space="preserve"> </w:t>
            </w:r>
            <w:r w:rsidRPr="00D4309F">
              <w:t>of</w:t>
            </w:r>
            <w:r w:rsidRPr="00D4309F">
              <w:rPr>
                <w:spacing w:val="-12"/>
              </w:rPr>
              <w:t xml:space="preserve"> </w:t>
            </w:r>
            <w:r w:rsidRPr="00D4309F">
              <w:t>works outside</w:t>
            </w:r>
            <w:r w:rsidRPr="00D4309F">
              <w:rPr>
                <w:spacing w:val="-5"/>
              </w:rPr>
              <w:t xml:space="preserve"> </w:t>
            </w:r>
            <w:r w:rsidRPr="00D4309F">
              <w:t>of</w:t>
            </w:r>
            <w:r w:rsidRPr="00D4309F">
              <w:rPr>
                <w:spacing w:val="-4"/>
              </w:rPr>
              <w:t xml:space="preserve"> </w:t>
            </w:r>
            <w:r w:rsidRPr="00D4309F">
              <w:t>turtle nesting periods</w:t>
            </w:r>
          </w:p>
          <w:p w14:paraId="64040784" w14:textId="77777777" w:rsidR="00F00E58" w:rsidRPr="00D4309F" w:rsidRDefault="00F00E58" w:rsidP="007E44C8">
            <w:pPr>
              <w:pStyle w:val="Table-Bullet"/>
            </w:pPr>
            <w:r w:rsidRPr="00D4309F">
              <w:t>Limitation</w:t>
            </w:r>
            <w:r w:rsidRPr="00D4309F">
              <w:rPr>
                <w:spacing w:val="-13"/>
              </w:rPr>
              <w:t xml:space="preserve"> </w:t>
            </w:r>
            <w:r w:rsidRPr="00D4309F">
              <w:t>of</w:t>
            </w:r>
            <w:r w:rsidRPr="00D4309F">
              <w:rPr>
                <w:spacing w:val="-12"/>
              </w:rPr>
              <w:t xml:space="preserve"> </w:t>
            </w:r>
            <w:r w:rsidRPr="00D4309F">
              <w:t>works</w:t>
            </w:r>
            <w:r w:rsidRPr="00D4309F">
              <w:rPr>
                <w:spacing w:val="-12"/>
              </w:rPr>
              <w:t xml:space="preserve"> </w:t>
            </w:r>
            <w:r w:rsidRPr="00D4309F">
              <w:t xml:space="preserve">to daylight hours or if necessary, standard light mitigation </w:t>
            </w:r>
            <w:r w:rsidRPr="00D4309F">
              <w:rPr>
                <w:spacing w:val="-2"/>
              </w:rPr>
              <w:t>procedures</w:t>
            </w:r>
          </w:p>
          <w:p w14:paraId="09A14D64" w14:textId="77777777" w:rsidR="00F00E58" w:rsidRPr="00D4309F" w:rsidRDefault="00F00E58" w:rsidP="007E44C8">
            <w:pPr>
              <w:pStyle w:val="Table-Bullet"/>
            </w:pPr>
            <w:r w:rsidRPr="00D4309F">
              <w:t>Design to minimise disturbance of turtle habitat</w:t>
            </w:r>
            <w:r w:rsidRPr="00D4309F">
              <w:rPr>
                <w:spacing w:val="-15"/>
              </w:rPr>
              <w:t xml:space="preserve"> </w:t>
            </w:r>
            <w:r w:rsidRPr="00D4309F">
              <w:t>and</w:t>
            </w:r>
            <w:r w:rsidRPr="00D4309F">
              <w:rPr>
                <w:spacing w:val="-12"/>
              </w:rPr>
              <w:t xml:space="preserve"> </w:t>
            </w:r>
            <w:r w:rsidRPr="00D4309F">
              <w:t>maintain the beach profile</w:t>
            </w:r>
          </w:p>
          <w:p w14:paraId="0C22A12A" w14:textId="77777777" w:rsidR="00F00E58" w:rsidRPr="00D4309F" w:rsidRDefault="00F00E58" w:rsidP="007E44C8">
            <w:pPr>
              <w:pStyle w:val="Table-Bullet"/>
            </w:pPr>
            <w:r w:rsidRPr="00D4309F">
              <w:t>Standard marine fauna mitigation practices</w:t>
            </w:r>
            <w:r w:rsidRPr="00D4309F">
              <w:rPr>
                <w:spacing w:val="-15"/>
              </w:rPr>
              <w:t xml:space="preserve"> </w:t>
            </w:r>
            <w:r w:rsidRPr="00D4309F">
              <w:t>e.g.</w:t>
            </w:r>
            <w:r w:rsidRPr="00D4309F">
              <w:rPr>
                <w:spacing w:val="-12"/>
              </w:rPr>
              <w:t xml:space="preserve"> </w:t>
            </w:r>
            <w:r w:rsidRPr="00D4309F">
              <w:t>marine fauna</w:t>
            </w:r>
            <w:r w:rsidRPr="00D4309F">
              <w:rPr>
                <w:spacing w:val="-6"/>
              </w:rPr>
              <w:t xml:space="preserve"> </w:t>
            </w:r>
            <w:r w:rsidRPr="00D4309F">
              <w:t>observers</w:t>
            </w:r>
            <w:r w:rsidRPr="00D4309F">
              <w:rPr>
                <w:spacing w:val="-5"/>
              </w:rPr>
              <w:t xml:space="preserve"> </w:t>
            </w:r>
            <w:r w:rsidRPr="00D4309F">
              <w:t>and exclusion zones</w:t>
            </w:r>
          </w:p>
          <w:p w14:paraId="278D85B3" w14:textId="77777777" w:rsidR="00F00E58" w:rsidRPr="00D4309F" w:rsidRDefault="00F00E58" w:rsidP="007E44C8">
            <w:pPr>
              <w:pStyle w:val="Table-Bullet"/>
            </w:pPr>
            <w:r w:rsidRPr="00D4309F">
              <w:t>Turtle</w:t>
            </w:r>
            <w:r w:rsidRPr="00D4309F">
              <w:rPr>
                <w:spacing w:val="-15"/>
              </w:rPr>
              <w:t xml:space="preserve"> </w:t>
            </w:r>
            <w:r w:rsidRPr="00D4309F">
              <w:t>guards</w:t>
            </w:r>
            <w:r w:rsidRPr="00D4309F">
              <w:rPr>
                <w:spacing w:val="-12"/>
              </w:rPr>
              <w:t xml:space="preserve"> </w:t>
            </w:r>
            <w:r w:rsidRPr="00D4309F">
              <w:t xml:space="preserve">on </w:t>
            </w:r>
            <w:r w:rsidRPr="00D4309F">
              <w:rPr>
                <w:spacing w:val="-2"/>
              </w:rPr>
              <w:t>dredger</w:t>
            </w:r>
          </w:p>
          <w:p w14:paraId="7B4EFBC4" w14:textId="77777777" w:rsidR="00F00E58" w:rsidRPr="00D4309F" w:rsidRDefault="00F00E58" w:rsidP="007E44C8">
            <w:pPr>
              <w:pStyle w:val="Table-Bullet"/>
            </w:pPr>
            <w:r w:rsidRPr="00D4309F">
              <w:rPr>
                <w:spacing w:val="-2"/>
              </w:rPr>
              <w:t xml:space="preserve">Appropriate </w:t>
            </w:r>
            <w:r w:rsidRPr="00D4309F">
              <w:t>management for onshore works e.g. onshore vehicles and plant to operate in designated</w:t>
            </w:r>
            <w:r w:rsidRPr="00D4309F">
              <w:rPr>
                <w:spacing w:val="-15"/>
              </w:rPr>
              <w:t xml:space="preserve"> </w:t>
            </w:r>
            <w:r w:rsidRPr="00D4309F">
              <w:t>tracks</w:t>
            </w:r>
            <w:r w:rsidRPr="00D4309F">
              <w:rPr>
                <w:spacing w:val="-12"/>
              </w:rPr>
              <w:t xml:space="preserve"> </w:t>
            </w:r>
            <w:r w:rsidRPr="00D4309F">
              <w:t xml:space="preserve">and </w:t>
            </w:r>
            <w:r w:rsidRPr="00D4309F">
              <w:rPr>
                <w:spacing w:val="-2"/>
              </w:rPr>
              <w:t>areas</w:t>
            </w:r>
          </w:p>
          <w:p w14:paraId="3572163A" w14:textId="201D82F2" w:rsidR="00F00E58" w:rsidRPr="00D4309F" w:rsidRDefault="00F00E58" w:rsidP="007E44C8">
            <w:pPr>
              <w:pStyle w:val="Table-Bullet"/>
              <w:rPr>
                <w:spacing w:val="-4"/>
              </w:rPr>
            </w:pPr>
            <w:r w:rsidRPr="00D4309F">
              <w:t>Beach</w:t>
            </w:r>
            <w:r w:rsidRPr="00D4309F">
              <w:rPr>
                <w:spacing w:val="-13"/>
              </w:rPr>
              <w:t xml:space="preserve"> </w:t>
            </w:r>
            <w:r w:rsidRPr="00D4309F">
              <w:t xml:space="preserve">profile </w:t>
            </w:r>
            <w:r w:rsidRPr="00D4309F">
              <w:rPr>
                <w:spacing w:val="-2"/>
              </w:rPr>
              <w:t>monitoring</w:t>
            </w:r>
          </w:p>
        </w:tc>
      </w:tr>
      <w:tr w:rsidR="00F00E58" w:rsidRPr="00D4309F" w14:paraId="5B646671" w14:textId="77777777" w:rsidTr="007E44C8">
        <w:trPr>
          <w:cantSplit/>
          <w:trHeight w:val="20"/>
        </w:trPr>
        <w:tc>
          <w:tcPr>
            <w:tcW w:w="518" w:type="pct"/>
            <w:tcBorders>
              <w:top w:val="single" w:sz="4" w:space="0" w:color="000000"/>
              <w:bottom w:val="single" w:sz="4" w:space="0" w:color="000000"/>
            </w:tcBorders>
            <w:vAlign w:val="center"/>
          </w:tcPr>
          <w:p w14:paraId="46FF2173" w14:textId="10ECF3DA" w:rsidR="00F00E58" w:rsidRPr="00D4309F" w:rsidRDefault="00F00E58" w:rsidP="007E44C8">
            <w:pPr>
              <w:pStyle w:val="Table-Text"/>
              <w:rPr>
                <w:b/>
              </w:rPr>
            </w:pPr>
            <w:r w:rsidRPr="00D4309F">
              <w:lastRenderedPageBreak/>
              <w:t>Marine</w:t>
            </w:r>
            <w:r w:rsidRPr="00D4309F">
              <w:rPr>
                <w:spacing w:val="-4"/>
              </w:rPr>
              <w:t xml:space="preserve"> </w:t>
            </w:r>
            <w:r w:rsidRPr="00D4309F">
              <w:t>fauna</w:t>
            </w:r>
          </w:p>
        </w:tc>
        <w:tc>
          <w:tcPr>
            <w:tcW w:w="407" w:type="pct"/>
            <w:tcBorders>
              <w:top w:val="single" w:sz="4" w:space="0" w:color="000000"/>
              <w:bottom w:val="single" w:sz="4" w:space="0" w:color="000000"/>
            </w:tcBorders>
            <w:vAlign w:val="center"/>
          </w:tcPr>
          <w:p w14:paraId="44B30940" w14:textId="4BC7FAB9" w:rsidR="00F00E58" w:rsidRPr="00D4309F" w:rsidRDefault="00F00E58" w:rsidP="00F00E58">
            <w:pPr>
              <w:pStyle w:val="TableParagraph"/>
              <w:rPr>
                <w:b/>
                <w:sz w:val="18"/>
              </w:rPr>
            </w:pPr>
            <w:r w:rsidRPr="00D4309F">
              <w:rPr>
                <w:color w:val="211E1F"/>
                <w:spacing w:val="-2"/>
                <w:sz w:val="18"/>
              </w:rPr>
              <w:t>Marine mammals</w:t>
            </w:r>
          </w:p>
        </w:tc>
        <w:tc>
          <w:tcPr>
            <w:tcW w:w="1069" w:type="pct"/>
            <w:tcBorders>
              <w:top w:val="single" w:sz="4" w:space="0" w:color="000000"/>
              <w:bottom w:val="single" w:sz="4" w:space="0" w:color="000000"/>
            </w:tcBorders>
            <w:vAlign w:val="center"/>
          </w:tcPr>
          <w:p w14:paraId="615C7536" w14:textId="77777777" w:rsidR="00F00E58" w:rsidRPr="00D4309F" w:rsidRDefault="00F00E58" w:rsidP="007E44C8">
            <w:pPr>
              <w:pStyle w:val="Table-Bullet"/>
            </w:pPr>
            <w:r w:rsidRPr="00D4309F">
              <w:rPr>
                <w:spacing w:val="-2"/>
              </w:rPr>
              <w:t xml:space="preserve">Mortality/injury/behavioural </w:t>
            </w:r>
            <w:r w:rsidRPr="00D4309F">
              <w:t>response due to noise of dredging and construction</w:t>
            </w:r>
          </w:p>
          <w:p w14:paraId="2376B93D" w14:textId="33097D3F" w:rsidR="00F00E58" w:rsidRPr="00D4309F" w:rsidRDefault="00F00E58" w:rsidP="007E44C8">
            <w:pPr>
              <w:pStyle w:val="Table-Bullet"/>
              <w:rPr>
                <w:b/>
              </w:rPr>
            </w:pPr>
            <w:r w:rsidRPr="00D4309F">
              <w:t>Vessel</w:t>
            </w:r>
            <w:r w:rsidRPr="00D4309F">
              <w:rPr>
                <w:spacing w:val="-15"/>
              </w:rPr>
              <w:t xml:space="preserve"> </w:t>
            </w:r>
            <w:r w:rsidRPr="00D4309F">
              <w:t>collision,</w:t>
            </w:r>
            <w:r w:rsidRPr="00D4309F">
              <w:rPr>
                <w:spacing w:val="-12"/>
              </w:rPr>
              <w:t xml:space="preserve"> </w:t>
            </w:r>
            <w:r w:rsidRPr="00D4309F">
              <w:t xml:space="preserve">entanglement, </w:t>
            </w:r>
            <w:r w:rsidRPr="00D4309F">
              <w:rPr>
                <w:spacing w:val="-2"/>
              </w:rPr>
              <w:t>entrainment</w:t>
            </w:r>
          </w:p>
        </w:tc>
        <w:tc>
          <w:tcPr>
            <w:tcW w:w="537" w:type="pct"/>
            <w:tcBorders>
              <w:top w:val="single" w:sz="4" w:space="0" w:color="000000"/>
              <w:bottom w:val="single" w:sz="4" w:space="0" w:color="000000"/>
            </w:tcBorders>
            <w:shd w:val="clear" w:color="auto" w:fill="FFFF00"/>
            <w:vAlign w:val="center"/>
          </w:tcPr>
          <w:p w14:paraId="1CAD1C99" w14:textId="297CBAE5" w:rsidR="00F00E58" w:rsidRPr="00F00E58" w:rsidRDefault="00F00E58" w:rsidP="00F00E58">
            <w:pPr>
              <w:pStyle w:val="Table-Text"/>
              <w:rPr>
                <w:b/>
                <w:bCs/>
              </w:rPr>
            </w:pPr>
            <w:r w:rsidRPr="00F00E58">
              <w:rPr>
                <w:b/>
                <w:bCs/>
              </w:rPr>
              <w:t>Moderate</w:t>
            </w:r>
          </w:p>
        </w:tc>
        <w:tc>
          <w:tcPr>
            <w:tcW w:w="942" w:type="pct"/>
            <w:tcBorders>
              <w:top w:val="single" w:sz="4" w:space="0" w:color="000000"/>
              <w:bottom w:val="single" w:sz="4" w:space="0" w:color="000000"/>
            </w:tcBorders>
            <w:vAlign w:val="center"/>
          </w:tcPr>
          <w:p w14:paraId="311AB444" w14:textId="77777777" w:rsidR="00F00E58" w:rsidRPr="00D4309F" w:rsidRDefault="00F00E58" w:rsidP="007E44C8">
            <w:pPr>
              <w:pStyle w:val="Table-Bullet"/>
            </w:pPr>
            <w:r w:rsidRPr="00D4309F">
              <w:t>Humpback</w:t>
            </w:r>
            <w:r w:rsidRPr="00D4309F">
              <w:rPr>
                <w:spacing w:val="-13"/>
              </w:rPr>
              <w:t xml:space="preserve"> </w:t>
            </w:r>
            <w:r w:rsidRPr="00D4309F">
              <w:t>whales</w:t>
            </w:r>
            <w:r w:rsidRPr="00D4309F">
              <w:rPr>
                <w:spacing w:val="-12"/>
              </w:rPr>
              <w:t xml:space="preserve"> </w:t>
            </w:r>
            <w:r w:rsidRPr="00D4309F">
              <w:t>may</w:t>
            </w:r>
            <w:r w:rsidRPr="00D4309F">
              <w:rPr>
                <w:spacing w:val="-13"/>
              </w:rPr>
              <w:t xml:space="preserve"> </w:t>
            </w:r>
            <w:r w:rsidRPr="00D4309F">
              <w:t>use the area for resting with calves during their migration period</w:t>
            </w:r>
          </w:p>
          <w:p w14:paraId="68825CB5" w14:textId="77777777" w:rsidR="00F00E58" w:rsidRPr="00D4309F" w:rsidRDefault="00F00E58" w:rsidP="007E44C8">
            <w:pPr>
              <w:pStyle w:val="Table-Bullet"/>
            </w:pPr>
            <w:r w:rsidRPr="00D4309F">
              <w:t>While species of dolphins listed as vulnerable may also</w:t>
            </w:r>
            <w:r w:rsidRPr="00D4309F">
              <w:rPr>
                <w:spacing w:val="-9"/>
              </w:rPr>
              <w:t xml:space="preserve"> </w:t>
            </w:r>
            <w:r w:rsidRPr="00D4309F">
              <w:t>occur</w:t>
            </w:r>
            <w:r w:rsidRPr="00D4309F">
              <w:rPr>
                <w:spacing w:val="-8"/>
              </w:rPr>
              <w:t xml:space="preserve"> </w:t>
            </w:r>
            <w:r w:rsidRPr="00D4309F">
              <w:t>in</w:t>
            </w:r>
            <w:r w:rsidRPr="00D4309F">
              <w:rPr>
                <w:spacing w:val="-9"/>
              </w:rPr>
              <w:t xml:space="preserve"> </w:t>
            </w:r>
            <w:r w:rsidRPr="00D4309F">
              <w:t>the</w:t>
            </w:r>
            <w:r w:rsidRPr="00D4309F">
              <w:rPr>
                <w:spacing w:val="-9"/>
              </w:rPr>
              <w:t xml:space="preserve"> </w:t>
            </w:r>
            <w:r w:rsidRPr="00D4309F">
              <w:t>area,</w:t>
            </w:r>
            <w:r w:rsidRPr="00D4309F">
              <w:rPr>
                <w:spacing w:val="-8"/>
              </w:rPr>
              <w:t xml:space="preserve"> </w:t>
            </w:r>
            <w:r w:rsidRPr="00D4309F">
              <w:t>they tend to move away from noise sources and are at lower risk of injury</w:t>
            </w:r>
          </w:p>
          <w:p w14:paraId="382EDF57" w14:textId="6C2B7AF2" w:rsidR="00F00E58" w:rsidRPr="00D4309F" w:rsidRDefault="00F00E58" w:rsidP="007E44C8">
            <w:pPr>
              <w:pStyle w:val="Table-Bullet"/>
              <w:rPr>
                <w:b/>
              </w:rPr>
            </w:pPr>
            <w:r w:rsidRPr="00D4309F">
              <w:t>While species of dolphin have breeding BIA in area, there is a lower risk to breeding because of the wide</w:t>
            </w:r>
            <w:r w:rsidRPr="00D4309F">
              <w:rPr>
                <w:spacing w:val="-9"/>
              </w:rPr>
              <w:t xml:space="preserve"> </w:t>
            </w:r>
            <w:r w:rsidRPr="00D4309F">
              <w:t>distribution</w:t>
            </w:r>
            <w:r w:rsidRPr="00D4309F">
              <w:rPr>
                <w:spacing w:val="-11"/>
              </w:rPr>
              <w:t xml:space="preserve"> </w:t>
            </w:r>
            <w:r w:rsidRPr="00D4309F">
              <w:t>of</w:t>
            </w:r>
            <w:r w:rsidRPr="00D4309F">
              <w:rPr>
                <w:spacing w:val="-9"/>
              </w:rPr>
              <w:t xml:space="preserve"> </w:t>
            </w:r>
            <w:r w:rsidRPr="00D4309F">
              <w:t>the</w:t>
            </w:r>
            <w:r w:rsidRPr="00D4309F">
              <w:rPr>
                <w:spacing w:val="-10"/>
              </w:rPr>
              <w:t xml:space="preserve"> </w:t>
            </w:r>
            <w:r w:rsidRPr="00D4309F">
              <w:t>BIAs</w:t>
            </w:r>
          </w:p>
        </w:tc>
        <w:tc>
          <w:tcPr>
            <w:tcW w:w="708" w:type="pct"/>
            <w:tcBorders>
              <w:top w:val="single" w:sz="4" w:space="0" w:color="000000"/>
              <w:bottom w:val="single" w:sz="4" w:space="0" w:color="000000"/>
            </w:tcBorders>
            <w:vAlign w:val="center"/>
          </w:tcPr>
          <w:p w14:paraId="793AEA90" w14:textId="1AB330DE" w:rsidR="00F00E58" w:rsidRPr="00D4309F" w:rsidRDefault="00F00E58" w:rsidP="007E44C8">
            <w:pPr>
              <w:pStyle w:val="Table-Bullet"/>
              <w:rPr>
                <w:b/>
              </w:rPr>
            </w:pPr>
            <w:r w:rsidRPr="00D4309F">
              <w:t>Underwater</w:t>
            </w:r>
            <w:r w:rsidRPr="00D4309F">
              <w:rPr>
                <w:spacing w:val="-13"/>
              </w:rPr>
              <w:t xml:space="preserve"> </w:t>
            </w:r>
            <w:r w:rsidRPr="00D4309F">
              <w:t xml:space="preserve">noise </w:t>
            </w:r>
            <w:r w:rsidRPr="00D4309F">
              <w:rPr>
                <w:spacing w:val="-2"/>
              </w:rPr>
              <w:t>assessment</w:t>
            </w:r>
          </w:p>
        </w:tc>
        <w:tc>
          <w:tcPr>
            <w:tcW w:w="818" w:type="pct"/>
            <w:tcBorders>
              <w:top w:val="single" w:sz="4" w:space="0" w:color="000000"/>
              <w:bottom w:val="single" w:sz="4" w:space="0" w:color="000000"/>
            </w:tcBorders>
            <w:vAlign w:val="center"/>
          </w:tcPr>
          <w:p w14:paraId="64C07E9F" w14:textId="77777777" w:rsidR="00F00E58" w:rsidRPr="00D4309F" w:rsidRDefault="00F00E58" w:rsidP="007E44C8">
            <w:pPr>
              <w:pStyle w:val="Table-Bullet"/>
            </w:pPr>
            <w:r w:rsidRPr="00D4309F">
              <w:t>Timing of works outside of whale migration</w:t>
            </w:r>
            <w:r w:rsidRPr="00D4309F">
              <w:rPr>
                <w:spacing w:val="-13"/>
              </w:rPr>
              <w:t xml:space="preserve"> </w:t>
            </w:r>
            <w:r w:rsidRPr="00D4309F">
              <w:t>periods</w:t>
            </w:r>
          </w:p>
          <w:p w14:paraId="64458DF9" w14:textId="47C67B18" w:rsidR="00F00E58" w:rsidRPr="00D4309F" w:rsidRDefault="00F00E58" w:rsidP="007E44C8">
            <w:pPr>
              <w:pStyle w:val="Table-Bullet"/>
            </w:pPr>
            <w:r w:rsidRPr="00D4309F">
              <w:t>Standard marine fauna mitigation practices</w:t>
            </w:r>
            <w:r w:rsidRPr="00D4309F">
              <w:rPr>
                <w:spacing w:val="-15"/>
              </w:rPr>
              <w:t xml:space="preserve"> </w:t>
            </w:r>
            <w:r w:rsidRPr="00D4309F">
              <w:t>e.g.</w:t>
            </w:r>
            <w:r w:rsidRPr="00D4309F">
              <w:rPr>
                <w:spacing w:val="-12"/>
              </w:rPr>
              <w:t xml:space="preserve"> </w:t>
            </w:r>
            <w:r w:rsidRPr="00D4309F">
              <w:t>marine fauna</w:t>
            </w:r>
            <w:r w:rsidRPr="00D4309F">
              <w:rPr>
                <w:spacing w:val="-6"/>
              </w:rPr>
              <w:t xml:space="preserve"> </w:t>
            </w:r>
            <w:r w:rsidRPr="00D4309F">
              <w:t>observers</w:t>
            </w:r>
            <w:r w:rsidRPr="00D4309F">
              <w:rPr>
                <w:spacing w:val="-5"/>
              </w:rPr>
              <w:t xml:space="preserve"> </w:t>
            </w:r>
            <w:r w:rsidRPr="00D4309F">
              <w:t>and exclusion zone</w:t>
            </w:r>
          </w:p>
        </w:tc>
      </w:tr>
      <w:tr w:rsidR="00F00E58" w:rsidRPr="00D4309F" w14:paraId="1E6E523E" w14:textId="77777777" w:rsidTr="007E44C8">
        <w:trPr>
          <w:cantSplit/>
          <w:trHeight w:val="20"/>
        </w:trPr>
        <w:tc>
          <w:tcPr>
            <w:tcW w:w="518" w:type="pct"/>
            <w:tcBorders>
              <w:top w:val="single" w:sz="4" w:space="0" w:color="000000"/>
              <w:bottom w:val="single" w:sz="4" w:space="0" w:color="000000"/>
            </w:tcBorders>
            <w:vAlign w:val="center"/>
          </w:tcPr>
          <w:p w14:paraId="57EB5AEF" w14:textId="4403BB5A" w:rsidR="00F00E58" w:rsidRPr="00D4309F" w:rsidRDefault="00F00E58" w:rsidP="007E44C8">
            <w:pPr>
              <w:pStyle w:val="Table-Text"/>
              <w:rPr>
                <w:b/>
              </w:rPr>
            </w:pPr>
            <w:r w:rsidRPr="00D4309F">
              <w:t>Marine</w:t>
            </w:r>
            <w:r w:rsidRPr="00D4309F">
              <w:rPr>
                <w:spacing w:val="-4"/>
              </w:rPr>
              <w:t xml:space="preserve"> </w:t>
            </w:r>
            <w:r w:rsidRPr="00D4309F">
              <w:t>fauna</w:t>
            </w:r>
          </w:p>
        </w:tc>
        <w:tc>
          <w:tcPr>
            <w:tcW w:w="407" w:type="pct"/>
            <w:tcBorders>
              <w:top w:val="single" w:sz="4" w:space="0" w:color="000000"/>
              <w:bottom w:val="single" w:sz="4" w:space="0" w:color="000000"/>
            </w:tcBorders>
            <w:vAlign w:val="center"/>
          </w:tcPr>
          <w:p w14:paraId="7B0C5F95" w14:textId="57031155" w:rsidR="00F00E58" w:rsidRPr="00D4309F" w:rsidRDefault="00F00E58" w:rsidP="00F00E58">
            <w:pPr>
              <w:pStyle w:val="TableParagraph"/>
              <w:rPr>
                <w:b/>
                <w:sz w:val="18"/>
              </w:rPr>
            </w:pPr>
            <w:r w:rsidRPr="00D4309F">
              <w:rPr>
                <w:color w:val="211E1F"/>
                <w:spacing w:val="-2"/>
                <w:sz w:val="18"/>
              </w:rPr>
              <w:t>Roosting Seabirds</w:t>
            </w:r>
          </w:p>
        </w:tc>
        <w:tc>
          <w:tcPr>
            <w:tcW w:w="1069" w:type="pct"/>
            <w:tcBorders>
              <w:top w:val="single" w:sz="4" w:space="0" w:color="000000"/>
              <w:bottom w:val="single" w:sz="4" w:space="0" w:color="000000"/>
            </w:tcBorders>
            <w:vAlign w:val="center"/>
          </w:tcPr>
          <w:p w14:paraId="2BBCC5BE" w14:textId="77777777" w:rsidR="00F00E58" w:rsidRPr="00D4309F" w:rsidRDefault="00F00E58" w:rsidP="007E44C8">
            <w:pPr>
              <w:pStyle w:val="Table-Bullet"/>
            </w:pPr>
            <w:r w:rsidRPr="00D4309F">
              <w:rPr>
                <w:spacing w:val="-2"/>
              </w:rPr>
              <w:t xml:space="preserve">Mortality/injury/behavioural </w:t>
            </w:r>
            <w:r w:rsidRPr="00D4309F">
              <w:t>response due to noise of dredging and construction</w:t>
            </w:r>
          </w:p>
          <w:p w14:paraId="03FAD807" w14:textId="77777777" w:rsidR="00F00E58" w:rsidRPr="00D4309F" w:rsidRDefault="00F00E58" w:rsidP="007E44C8">
            <w:pPr>
              <w:pStyle w:val="Table-Bullet"/>
            </w:pPr>
            <w:r w:rsidRPr="00D4309F">
              <w:t>Behavioural</w:t>
            </w:r>
            <w:r w:rsidRPr="00D4309F">
              <w:rPr>
                <w:spacing w:val="-15"/>
              </w:rPr>
              <w:t xml:space="preserve"> </w:t>
            </w:r>
            <w:r w:rsidRPr="00D4309F">
              <w:t>response</w:t>
            </w:r>
            <w:r w:rsidRPr="00D4309F">
              <w:rPr>
                <w:spacing w:val="-12"/>
              </w:rPr>
              <w:t xml:space="preserve"> </w:t>
            </w:r>
            <w:r w:rsidRPr="00D4309F">
              <w:t>and interruption of nesting behaviour due to light</w:t>
            </w:r>
          </w:p>
          <w:p w14:paraId="493E3B64" w14:textId="77777777" w:rsidR="00F00E58" w:rsidRPr="00D4309F" w:rsidRDefault="00F00E58" w:rsidP="007E44C8">
            <w:pPr>
              <w:pStyle w:val="Table-Bullet"/>
            </w:pPr>
            <w:r w:rsidRPr="00D4309F">
              <w:rPr>
                <w:spacing w:val="-2"/>
              </w:rPr>
              <w:t xml:space="preserve">Mortality/injury/behavioural </w:t>
            </w:r>
            <w:r w:rsidRPr="00D4309F">
              <w:t xml:space="preserve">response due physical </w:t>
            </w:r>
            <w:r w:rsidRPr="00D4309F">
              <w:rPr>
                <w:spacing w:val="-2"/>
              </w:rPr>
              <w:t>presence</w:t>
            </w:r>
          </w:p>
          <w:p w14:paraId="24BBD263" w14:textId="737943AA" w:rsidR="00F00E58" w:rsidRPr="00D4309F" w:rsidRDefault="00F00E58" w:rsidP="007E44C8">
            <w:pPr>
              <w:pStyle w:val="Table-Bullet"/>
              <w:rPr>
                <w:b/>
              </w:rPr>
            </w:pPr>
            <w:r w:rsidRPr="00D4309F">
              <w:t>Mortality/injury</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onshore plant and vehicle movement during beach reprofiling</w:t>
            </w:r>
          </w:p>
        </w:tc>
        <w:tc>
          <w:tcPr>
            <w:tcW w:w="537" w:type="pct"/>
            <w:tcBorders>
              <w:top w:val="single" w:sz="4" w:space="0" w:color="000000"/>
              <w:bottom w:val="single" w:sz="4" w:space="0" w:color="000000"/>
            </w:tcBorders>
            <w:shd w:val="clear" w:color="auto" w:fill="FFFF00"/>
            <w:vAlign w:val="center"/>
          </w:tcPr>
          <w:p w14:paraId="5482F229" w14:textId="6B4E2248" w:rsidR="00F00E58" w:rsidRPr="00F00E58" w:rsidRDefault="00F00E58" w:rsidP="00F00E58">
            <w:pPr>
              <w:pStyle w:val="Table-Text"/>
              <w:rPr>
                <w:b/>
                <w:bCs/>
              </w:rPr>
            </w:pPr>
            <w:r w:rsidRPr="00F00E58">
              <w:rPr>
                <w:b/>
                <w:bCs/>
              </w:rPr>
              <w:t>Moderate</w:t>
            </w:r>
          </w:p>
        </w:tc>
        <w:tc>
          <w:tcPr>
            <w:tcW w:w="942" w:type="pct"/>
            <w:tcBorders>
              <w:top w:val="single" w:sz="4" w:space="0" w:color="000000"/>
              <w:bottom w:val="single" w:sz="4" w:space="0" w:color="000000"/>
            </w:tcBorders>
            <w:vAlign w:val="center"/>
          </w:tcPr>
          <w:p w14:paraId="3E90F2B3" w14:textId="4583C32F" w:rsidR="00F00E58" w:rsidRPr="00D4309F" w:rsidRDefault="00F00E58" w:rsidP="007E44C8">
            <w:pPr>
              <w:pStyle w:val="Table-Bullet"/>
              <w:rPr>
                <w:b/>
              </w:rPr>
            </w:pPr>
            <w:r w:rsidRPr="00D4309F">
              <w:t>Several species of migratory seabird aggregate</w:t>
            </w:r>
            <w:r w:rsidRPr="00D4309F">
              <w:rPr>
                <w:spacing w:val="-11"/>
              </w:rPr>
              <w:t xml:space="preserve"> </w:t>
            </w:r>
            <w:r w:rsidRPr="00D4309F">
              <w:t>and</w:t>
            </w:r>
            <w:r w:rsidRPr="00D4309F">
              <w:rPr>
                <w:spacing w:val="-9"/>
              </w:rPr>
              <w:t xml:space="preserve"> </w:t>
            </w:r>
            <w:r w:rsidRPr="00D4309F">
              <w:t>may</w:t>
            </w:r>
            <w:r w:rsidRPr="00D4309F">
              <w:rPr>
                <w:spacing w:val="-10"/>
              </w:rPr>
              <w:t xml:space="preserve"> </w:t>
            </w:r>
            <w:r w:rsidRPr="00D4309F">
              <w:t>nest</w:t>
            </w:r>
            <w:r w:rsidRPr="00D4309F">
              <w:rPr>
                <w:spacing w:val="-10"/>
              </w:rPr>
              <w:t xml:space="preserve"> </w:t>
            </w:r>
            <w:r w:rsidRPr="00D4309F">
              <w:t>at Point</w:t>
            </w:r>
            <w:r w:rsidRPr="00D4309F">
              <w:rPr>
                <w:spacing w:val="-3"/>
              </w:rPr>
              <w:t xml:space="preserve"> </w:t>
            </w:r>
            <w:r w:rsidRPr="00D4309F">
              <w:t>Cartwright</w:t>
            </w:r>
            <w:r w:rsidRPr="00D4309F">
              <w:rPr>
                <w:spacing w:val="-3"/>
              </w:rPr>
              <w:t xml:space="preserve"> </w:t>
            </w:r>
            <w:r w:rsidRPr="00D4309F">
              <w:t>and</w:t>
            </w:r>
            <w:r w:rsidRPr="00D4309F">
              <w:rPr>
                <w:spacing w:val="-4"/>
              </w:rPr>
              <w:t xml:space="preserve"> </w:t>
            </w:r>
            <w:r w:rsidRPr="00D4309F">
              <w:t>could be impacted</w:t>
            </w:r>
          </w:p>
        </w:tc>
        <w:tc>
          <w:tcPr>
            <w:tcW w:w="708" w:type="pct"/>
            <w:tcBorders>
              <w:top w:val="single" w:sz="4" w:space="0" w:color="000000"/>
              <w:bottom w:val="single" w:sz="4" w:space="0" w:color="000000"/>
            </w:tcBorders>
            <w:vAlign w:val="center"/>
          </w:tcPr>
          <w:p w14:paraId="5F4C9A2E" w14:textId="77777777" w:rsidR="00F00E58" w:rsidRPr="00D4309F" w:rsidRDefault="00F00E58" w:rsidP="007E44C8">
            <w:pPr>
              <w:pStyle w:val="Table-Bullet"/>
            </w:pPr>
            <w:r w:rsidRPr="00D4309F">
              <w:t>Noise assessment</w:t>
            </w:r>
          </w:p>
          <w:p w14:paraId="59BB94C4" w14:textId="18C3CA2E" w:rsidR="00F00E58" w:rsidRPr="00D4309F" w:rsidRDefault="00F00E58" w:rsidP="007E44C8">
            <w:pPr>
              <w:pStyle w:val="Table-Bullet"/>
              <w:rPr>
                <w:b/>
              </w:rPr>
            </w:pPr>
            <w:r w:rsidRPr="00D4309F">
              <w:t>Light</w:t>
            </w:r>
            <w:r w:rsidRPr="00D4309F">
              <w:rPr>
                <w:spacing w:val="-13"/>
              </w:rPr>
              <w:t xml:space="preserve"> </w:t>
            </w:r>
            <w:r w:rsidRPr="00D4309F">
              <w:t>assessment if night works are proposed</w:t>
            </w:r>
          </w:p>
        </w:tc>
        <w:tc>
          <w:tcPr>
            <w:tcW w:w="818" w:type="pct"/>
            <w:tcBorders>
              <w:top w:val="single" w:sz="4" w:space="0" w:color="000000"/>
              <w:bottom w:val="single" w:sz="4" w:space="0" w:color="000000"/>
            </w:tcBorders>
            <w:vAlign w:val="center"/>
          </w:tcPr>
          <w:p w14:paraId="2A2FF6AB" w14:textId="77777777" w:rsidR="00F00E58" w:rsidRPr="00D4309F" w:rsidRDefault="00F00E58" w:rsidP="007E44C8">
            <w:pPr>
              <w:pStyle w:val="Table-Bullet"/>
            </w:pPr>
            <w:r w:rsidRPr="00D4309F">
              <w:t>Timing of works outside of peak aggregation</w:t>
            </w:r>
            <w:r w:rsidRPr="00D4309F">
              <w:rPr>
                <w:spacing w:val="-13"/>
              </w:rPr>
              <w:t xml:space="preserve"> </w:t>
            </w:r>
            <w:r w:rsidRPr="00D4309F">
              <w:t>season (summer) for migratory terns</w:t>
            </w:r>
          </w:p>
          <w:p w14:paraId="0C4717F2" w14:textId="0D16BB31" w:rsidR="00F00E58" w:rsidRPr="00D4309F" w:rsidRDefault="00F00E58" w:rsidP="007E44C8">
            <w:pPr>
              <w:pStyle w:val="Table-Bullet"/>
            </w:pPr>
            <w:r w:rsidRPr="00D4309F">
              <w:rPr>
                <w:spacing w:val="-2"/>
              </w:rPr>
              <w:t xml:space="preserve">Appropriate </w:t>
            </w:r>
            <w:r w:rsidRPr="00D4309F">
              <w:t>management for onshore works e.g. onshore vehicles and plant to operate in designated</w:t>
            </w:r>
            <w:r w:rsidRPr="00D4309F">
              <w:rPr>
                <w:spacing w:val="-15"/>
              </w:rPr>
              <w:t xml:space="preserve"> </w:t>
            </w:r>
            <w:r w:rsidRPr="00D4309F">
              <w:t>tracks</w:t>
            </w:r>
            <w:r w:rsidRPr="00D4309F">
              <w:rPr>
                <w:spacing w:val="-12"/>
              </w:rPr>
              <w:t xml:space="preserve"> </w:t>
            </w:r>
            <w:r w:rsidRPr="00D4309F">
              <w:t>and areas,</w:t>
            </w:r>
            <w:r w:rsidRPr="00D4309F">
              <w:rPr>
                <w:spacing w:val="-13"/>
              </w:rPr>
              <w:t xml:space="preserve"> </w:t>
            </w:r>
            <w:r w:rsidRPr="00D4309F">
              <w:t>design</w:t>
            </w:r>
            <w:r w:rsidRPr="00D4309F">
              <w:rPr>
                <w:spacing w:val="-12"/>
              </w:rPr>
              <w:t xml:space="preserve"> </w:t>
            </w:r>
            <w:r w:rsidRPr="00D4309F">
              <w:t>to</w:t>
            </w:r>
            <w:r w:rsidRPr="00D4309F">
              <w:rPr>
                <w:spacing w:val="-13"/>
              </w:rPr>
              <w:t xml:space="preserve"> </w:t>
            </w:r>
            <w:r w:rsidRPr="00D4309F">
              <w:t>avoid key habitat areas.</w:t>
            </w:r>
          </w:p>
        </w:tc>
      </w:tr>
      <w:tr w:rsidR="00F00E58" w:rsidRPr="00D4309F" w14:paraId="5A84FC60" w14:textId="77777777" w:rsidTr="007E44C8">
        <w:trPr>
          <w:cantSplit/>
          <w:trHeight w:val="20"/>
        </w:trPr>
        <w:tc>
          <w:tcPr>
            <w:tcW w:w="518" w:type="pct"/>
            <w:tcBorders>
              <w:top w:val="single" w:sz="4" w:space="0" w:color="000000"/>
              <w:bottom w:val="single" w:sz="4" w:space="0" w:color="000000"/>
            </w:tcBorders>
            <w:vAlign w:val="center"/>
          </w:tcPr>
          <w:p w14:paraId="36FB29B8" w14:textId="1DDDA09F" w:rsidR="00F00E58" w:rsidRPr="00D4309F" w:rsidRDefault="00F00E58" w:rsidP="007E44C8">
            <w:pPr>
              <w:pStyle w:val="Table-Text"/>
              <w:rPr>
                <w:b/>
              </w:rPr>
            </w:pPr>
            <w:r w:rsidRPr="00D4309F">
              <w:lastRenderedPageBreak/>
              <w:t>Marine</w:t>
            </w:r>
            <w:r w:rsidRPr="00D4309F">
              <w:rPr>
                <w:spacing w:val="-4"/>
              </w:rPr>
              <w:t xml:space="preserve"> </w:t>
            </w:r>
            <w:r w:rsidRPr="00D4309F">
              <w:t>fauna</w:t>
            </w:r>
          </w:p>
        </w:tc>
        <w:tc>
          <w:tcPr>
            <w:tcW w:w="407" w:type="pct"/>
            <w:tcBorders>
              <w:top w:val="single" w:sz="4" w:space="0" w:color="000000"/>
              <w:bottom w:val="single" w:sz="4" w:space="0" w:color="000000"/>
            </w:tcBorders>
            <w:vAlign w:val="center"/>
          </w:tcPr>
          <w:p w14:paraId="5C7C568D" w14:textId="5B813F34" w:rsidR="00F00E58" w:rsidRPr="00D4309F" w:rsidRDefault="00F00E58" w:rsidP="00F00E58">
            <w:pPr>
              <w:pStyle w:val="TableParagraph"/>
              <w:rPr>
                <w:b/>
                <w:sz w:val="18"/>
              </w:rPr>
            </w:pPr>
            <w:r w:rsidRPr="00D4309F">
              <w:rPr>
                <w:color w:val="211E1F"/>
                <w:spacing w:val="-2"/>
                <w:sz w:val="18"/>
              </w:rPr>
              <w:t>Foraging Seabirds</w:t>
            </w:r>
          </w:p>
        </w:tc>
        <w:tc>
          <w:tcPr>
            <w:tcW w:w="1069" w:type="pct"/>
            <w:tcBorders>
              <w:top w:val="single" w:sz="4" w:space="0" w:color="000000"/>
              <w:bottom w:val="single" w:sz="4" w:space="0" w:color="000000"/>
            </w:tcBorders>
            <w:vAlign w:val="center"/>
          </w:tcPr>
          <w:p w14:paraId="29114FD7" w14:textId="62131164" w:rsidR="00F00E58" w:rsidRPr="00D4309F" w:rsidRDefault="00F00E58" w:rsidP="007E44C8">
            <w:pPr>
              <w:pStyle w:val="Table-Bullet"/>
              <w:rPr>
                <w:b/>
              </w:rPr>
            </w:pPr>
            <w:r w:rsidRPr="00D4309F">
              <w:t>Generation of turbidity impacting</w:t>
            </w:r>
            <w:r w:rsidRPr="00D4309F">
              <w:rPr>
                <w:spacing w:val="-15"/>
              </w:rPr>
              <w:t xml:space="preserve"> </w:t>
            </w:r>
            <w:r w:rsidRPr="00D4309F">
              <w:t>foraging</w:t>
            </w:r>
            <w:r w:rsidRPr="00D4309F">
              <w:rPr>
                <w:spacing w:val="-12"/>
              </w:rPr>
              <w:t xml:space="preserve"> </w:t>
            </w:r>
            <w:r w:rsidRPr="00D4309F">
              <w:t>activities</w:t>
            </w:r>
          </w:p>
        </w:tc>
        <w:tc>
          <w:tcPr>
            <w:tcW w:w="537" w:type="pct"/>
            <w:tcBorders>
              <w:top w:val="single" w:sz="4" w:space="0" w:color="000000"/>
              <w:bottom w:val="single" w:sz="4" w:space="0" w:color="000000"/>
            </w:tcBorders>
            <w:shd w:val="clear" w:color="auto" w:fill="FFFF00"/>
            <w:vAlign w:val="center"/>
          </w:tcPr>
          <w:p w14:paraId="1830C52C" w14:textId="7738670C" w:rsidR="00F00E58" w:rsidRPr="00F00E58" w:rsidRDefault="00F00E58" w:rsidP="00F00E58">
            <w:pPr>
              <w:pStyle w:val="Table-Text"/>
              <w:rPr>
                <w:b/>
                <w:bCs/>
              </w:rPr>
            </w:pPr>
            <w:r w:rsidRPr="00F00E58">
              <w:rPr>
                <w:b/>
                <w:bCs/>
              </w:rPr>
              <w:t>Moderate</w:t>
            </w:r>
          </w:p>
        </w:tc>
        <w:tc>
          <w:tcPr>
            <w:tcW w:w="942" w:type="pct"/>
            <w:tcBorders>
              <w:top w:val="single" w:sz="4" w:space="0" w:color="000000"/>
              <w:bottom w:val="single" w:sz="4" w:space="0" w:color="000000"/>
            </w:tcBorders>
            <w:vAlign w:val="center"/>
          </w:tcPr>
          <w:p w14:paraId="49D62581" w14:textId="77777777" w:rsidR="00F00E58" w:rsidRPr="00D4309F" w:rsidRDefault="00F00E58" w:rsidP="007E44C8">
            <w:pPr>
              <w:pStyle w:val="Table-Bullet"/>
            </w:pPr>
            <w:r w:rsidRPr="00D4309F">
              <w:t>Turbidity will impede the ability</w:t>
            </w:r>
            <w:r w:rsidRPr="00D4309F">
              <w:rPr>
                <w:spacing w:val="-10"/>
              </w:rPr>
              <w:t xml:space="preserve"> </w:t>
            </w:r>
            <w:r w:rsidRPr="00D4309F">
              <w:t>of</w:t>
            </w:r>
            <w:r w:rsidRPr="00D4309F">
              <w:rPr>
                <w:spacing w:val="-10"/>
              </w:rPr>
              <w:t xml:space="preserve"> </w:t>
            </w:r>
            <w:r w:rsidRPr="00D4309F">
              <w:t>aerial</w:t>
            </w:r>
            <w:r w:rsidRPr="00D4309F">
              <w:rPr>
                <w:spacing w:val="-10"/>
              </w:rPr>
              <w:t xml:space="preserve"> </w:t>
            </w:r>
            <w:r w:rsidRPr="00D4309F">
              <w:t>feeding</w:t>
            </w:r>
            <w:r w:rsidRPr="00D4309F">
              <w:rPr>
                <w:spacing w:val="-11"/>
              </w:rPr>
              <w:t xml:space="preserve"> </w:t>
            </w:r>
            <w:r w:rsidRPr="00D4309F">
              <w:t>birds to see prey underwater, which will impact the Little Terns aggregating in Point Cartwright reserve. Larger seabirds will travel outside of</w:t>
            </w:r>
            <w:r w:rsidRPr="00D4309F">
              <w:rPr>
                <w:spacing w:val="-2"/>
              </w:rPr>
              <w:t xml:space="preserve"> </w:t>
            </w:r>
            <w:r w:rsidRPr="00D4309F">
              <w:t>the</w:t>
            </w:r>
            <w:r w:rsidRPr="00D4309F">
              <w:rPr>
                <w:spacing w:val="-3"/>
              </w:rPr>
              <w:t xml:space="preserve"> </w:t>
            </w:r>
            <w:r w:rsidRPr="00D4309F">
              <w:t>turbid</w:t>
            </w:r>
            <w:r w:rsidRPr="00D4309F">
              <w:rPr>
                <w:spacing w:val="-3"/>
              </w:rPr>
              <w:t xml:space="preserve"> </w:t>
            </w:r>
            <w:r w:rsidRPr="00D4309F">
              <w:t>zone</w:t>
            </w:r>
            <w:r w:rsidRPr="00D4309F">
              <w:rPr>
                <w:spacing w:val="-3"/>
              </w:rPr>
              <w:t xml:space="preserve"> </w:t>
            </w:r>
            <w:r w:rsidRPr="00D4309F">
              <w:t>to</w:t>
            </w:r>
            <w:r w:rsidRPr="00D4309F">
              <w:rPr>
                <w:spacing w:val="-3"/>
              </w:rPr>
              <w:t xml:space="preserve"> </w:t>
            </w:r>
            <w:r w:rsidRPr="00D4309F">
              <w:t>forage.</w:t>
            </w:r>
          </w:p>
          <w:p w14:paraId="3769A04D" w14:textId="77777777" w:rsidR="00F00E58" w:rsidRPr="00D4309F" w:rsidRDefault="00F00E58" w:rsidP="007E44C8">
            <w:pPr>
              <w:pStyle w:val="Table-Bullet"/>
            </w:pPr>
            <w:r w:rsidRPr="00D4309F">
              <w:t>An assessment of the predicted plume extent will inform</w:t>
            </w:r>
            <w:r w:rsidRPr="00D4309F">
              <w:rPr>
                <w:spacing w:val="-10"/>
              </w:rPr>
              <w:t xml:space="preserve"> </w:t>
            </w:r>
            <w:r w:rsidRPr="00D4309F">
              <w:t>the</w:t>
            </w:r>
            <w:r w:rsidRPr="00D4309F">
              <w:rPr>
                <w:spacing w:val="-11"/>
              </w:rPr>
              <w:t xml:space="preserve"> </w:t>
            </w:r>
            <w:r w:rsidRPr="00D4309F">
              <w:t>extent</w:t>
            </w:r>
            <w:r w:rsidRPr="00D4309F">
              <w:rPr>
                <w:spacing w:val="-10"/>
              </w:rPr>
              <w:t xml:space="preserve"> </w:t>
            </w:r>
            <w:r w:rsidRPr="00D4309F">
              <w:t>of</w:t>
            </w:r>
            <w:r w:rsidRPr="00D4309F">
              <w:rPr>
                <w:spacing w:val="-10"/>
              </w:rPr>
              <w:t xml:space="preserve"> </w:t>
            </w:r>
            <w:r w:rsidRPr="00D4309F">
              <w:t>turbidity related</w:t>
            </w:r>
            <w:r w:rsidRPr="00D4309F">
              <w:rPr>
                <w:spacing w:val="-5"/>
              </w:rPr>
              <w:t xml:space="preserve"> </w:t>
            </w:r>
            <w:r w:rsidRPr="00D4309F">
              <w:t>impacts</w:t>
            </w:r>
            <w:r w:rsidRPr="00D4309F">
              <w:rPr>
                <w:spacing w:val="-3"/>
              </w:rPr>
              <w:t xml:space="preserve"> </w:t>
            </w:r>
            <w:r w:rsidRPr="00D4309F">
              <w:t>however</w:t>
            </w:r>
            <w:r w:rsidRPr="00D4309F">
              <w:rPr>
                <w:spacing w:val="-4"/>
              </w:rPr>
              <w:t xml:space="preserve"> </w:t>
            </w:r>
            <w:r w:rsidRPr="00D4309F">
              <w:t xml:space="preserve">as this is a dynamic, open ocean environment, any plume will likely dissipate </w:t>
            </w:r>
            <w:r w:rsidRPr="00D4309F">
              <w:rPr>
                <w:spacing w:val="-2"/>
              </w:rPr>
              <w:t>quickly</w:t>
            </w:r>
          </w:p>
          <w:p w14:paraId="2208E933" w14:textId="6A378D07" w:rsidR="00F00E58" w:rsidRPr="00D4309F" w:rsidRDefault="00F00E58" w:rsidP="007E44C8">
            <w:pPr>
              <w:pStyle w:val="Table-Bullet"/>
              <w:rPr>
                <w:b/>
              </w:rPr>
            </w:pPr>
            <w:r w:rsidRPr="00D4309F">
              <w:t>Turbidity</w:t>
            </w:r>
            <w:r w:rsidRPr="00D4309F">
              <w:rPr>
                <w:spacing w:val="-8"/>
              </w:rPr>
              <w:t xml:space="preserve"> </w:t>
            </w:r>
            <w:r w:rsidRPr="00D4309F">
              <w:t>is</w:t>
            </w:r>
            <w:r w:rsidRPr="00D4309F">
              <w:rPr>
                <w:spacing w:val="-8"/>
              </w:rPr>
              <w:t xml:space="preserve"> </w:t>
            </w:r>
            <w:r w:rsidRPr="00D4309F">
              <w:t>likely</w:t>
            </w:r>
            <w:r w:rsidRPr="00D4309F">
              <w:rPr>
                <w:spacing w:val="-8"/>
              </w:rPr>
              <w:t xml:space="preserve"> </w:t>
            </w:r>
            <w:r w:rsidRPr="00D4309F">
              <w:t>to</w:t>
            </w:r>
            <w:r w:rsidRPr="00D4309F">
              <w:rPr>
                <w:spacing w:val="-9"/>
              </w:rPr>
              <w:t xml:space="preserve"> </w:t>
            </w:r>
            <w:r w:rsidRPr="00D4309F">
              <w:t>be</w:t>
            </w:r>
            <w:r w:rsidRPr="00D4309F">
              <w:rPr>
                <w:spacing w:val="-9"/>
              </w:rPr>
              <w:t xml:space="preserve"> </w:t>
            </w:r>
            <w:r w:rsidRPr="00D4309F">
              <w:t>more extensive during</w:t>
            </w:r>
            <w:r w:rsidRPr="00D4309F">
              <w:rPr>
                <w:spacing w:val="40"/>
              </w:rPr>
              <w:t xml:space="preserve"> </w:t>
            </w:r>
            <w:r w:rsidRPr="00D4309F">
              <w:t>breakwater extension</w:t>
            </w:r>
          </w:p>
        </w:tc>
        <w:tc>
          <w:tcPr>
            <w:tcW w:w="708" w:type="pct"/>
            <w:tcBorders>
              <w:top w:val="single" w:sz="4" w:space="0" w:color="000000"/>
              <w:bottom w:val="single" w:sz="4" w:space="0" w:color="000000"/>
            </w:tcBorders>
            <w:vAlign w:val="center"/>
          </w:tcPr>
          <w:p w14:paraId="4AE7168E" w14:textId="68B84EA5" w:rsidR="00F00E58" w:rsidRPr="00D4309F" w:rsidRDefault="00F00E58" w:rsidP="007E44C8">
            <w:pPr>
              <w:pStyle w:val="Table-Bullet"/>
              <w:rPr>
                <w:b/>
              </w:rPr>
            </w:pPr>
            <w:r w:rsidRPr="00D4309F">
              <w:t>Turbidity</w:t>
            </w:r>
            <w:r w:rsidRPr="00D4309F">
              <w:rPr>
                <w:spacing w:val="-5"/>
              </w:rPr>
              <w:t xml:space="preserve"> </w:t>
            </w:r>
            <w:r w:rsidRPr="00D4309F">
              <w:rPr>
                <w:spacing w:val="-2"/>
              </w:rPr>
              <w:t>modelling</w:t>
            </w:r>
          </w:p>
        </w:tc>
        <w:tc>
          <w:tcPr>
            <w:tcW w:w="818" w:type="pct"/>
            <w:tcBorders>
              <w:top w:val="single" w:sz="4" w:space="0" w:color="000000"/>
              <w:bottom w:val="single" w:sz="4" w:space="0" w:color="000000"/>
            </w:tcBorders>
            <w:vAlign w:val="center"/>
          </w:tcPr>
          <w:p w14:paraId="251D6685" w14:textId="77777777" w:rsidR="00F00E58" w:rsidRPr="00D4309F" w:rsidRDefault="00F00E58" w:rsidP="007E44C8">
            <w:pPr>
              <w:pStyle w:val="Table-Bullet"/>
            </w:pPr>
            <w:r w:rsidRPr="00D4309F">
              <w:t>Timing of works outside of peak aggregation</w:t>
            </w:r>
            <w:r w:rsidRPr="00D4309F">
              <w:rPr>
                <w:spacing w:val="-13"/>
              </w:rPr>
              <w:t xml:space="preserve"> </w:t>
            </w:r>
            <w:r w:rsidRPr="00D4309F">
              <w:t>season (summer) for migratory terns</w:t>
            </w:r>
          </w:p>
          <w:p w14:paraId="73F2C0DF" w14:textId="77777777" w:rsidR="00F00E58" w:rsidRPr="00D4309F" w:rsidRDefault="00F00E58" w:rsidP="007E44C8">
            <w:pPr>
              <w:pStyle w:val="Table-Bullet"/>
            </w:pPr>
            <w:r w:rsidRPr="00D4309F">
              <w:t>Turbidity</w:t>
            </w:r>
            <w:r w:rsidRPr="00D4309F">
              <w:rPr>
                <w:spacing w:val="-13"/>
              </w:rPr>
              <w:t xml:space="preserve"> </w:t>
            </w:r>
            <w:r w:rsidRPr="00D4309F">
              <w:t>monitoring during works</w:t>
            </w:r>
          </w:p>
          <w:p w14:paraId="42DE32EF" w14:textId="77777777" w:rsidR="00F00E58" w:rsidRPr="00D4309F" w:rsidRDefault="00F00E58" w:rsidP="007E44C8">
            <w:pPr>
              <w:pStyle w:val="Table-Bullet"/>
            </w:pPr>
            <w:r w:rsidRPr="00D4309F">
              <w:t>Standard turbidity mitigation</w:t>
            </w:r>
            <w:r w:rsidRPr="00D4309F">
              <w:rPr>
                <w:spacing w:val="-13"/>
              </w:rPr>
              <w:t xml:space="preserve"> </w:t>
            </w:r>
            <w:r w:rsidRPr="00D4309F">
              <w:t>procedures</w:t>
            </w:r>
          </w:p>
          <w:p w14:paraId="1E5914F0" w14:textId="6154C17B" w:rsidR="00F00E58" w:rsidRPr="00D4309F" w:rsidRDefault="00F00E58" w:rsidP="007E44C8">
            <w:pPr>
              <w:pStyle w:val="Table-Bullet"/>
            </w:pPr>
            <w:r w:rsidRPr="00D4309F">
              <w:t>e.g.</w:t>
            </w:r>
            <w:r w:rsidRPr="00D4309F">
              <w:rPr>
                <w:spacing w:val="-15"/>
              </w:rPr>
              <w:t xml:space="preserve"> </w:t>
            </w:r>
            <w:r w:rsidRPr="00D4309F">
              <w:t>silt</w:t>
            </w:r>
            <w:r w:rsidRPr="00D4309F">
              <w:rPr>
                <w:spacing w:val="-12"/>
              </w:rPr>
              <w:t xml:space="preserve"> </w:t>
            </w:r>
            <w:r w:rsidRPr="00D4309F">
              <w:t>curtains, staging</w:t>
            </w:r>
            <w:r w:rsidRPr="00D4309F">
              <w:rPr>
                <w:spacing w:val="-3"/>
              </w:rPr>
              <w:t xml:space="preserve"> </w:t>
            </w:r>
            <w:r w:rsidRPr="00D4309F">
              <w:t>of</w:t>
            </w:r>
            <w:r w:rsidRPr="00D4309F">
              <w:rPr>
                <w:spacing w:val="-2"/>
              </w:rPr>
              <w:t xml:space="preserve"> works</w:t>
            </w:r>
          </w:p>
        </w:tc>
      </w:tr>
      <w:tr w:rsidR="00F00E58" w:rsidRPr="00D4309F" w14:paraId="36BEC1BA" w14:textId="77777777" w:rsidTr="007E44C8">
        <w:trPr>
          <w:cantSplit/>
          <w:trHeight w:val="20"/>
        </w:trPr>
        <w:tc>
          <w:tcPr>
            <w:tcW w:w="518" w:type="pct"/>
            <w:tcBorders>
              <w:top w:val="single" w:sz="4" w:space="0" w:color="000000"/>
              <w:bottom w:val="single" w:sz="4" w:space="0" w:color="000000"/>
            </w:tcBorders>
            <w:vAlign w:val="center"/>
          </w:tcPr>
          <w:p w14:paraId="0524F291" w14:textId="07DC40DB" w:rsidR="00F00E58" w:rsidRPr="00D4309F" w:rsidRDefault="00F00E58" w:rsidP="007E44C8">
            <w:pPr>
              <w:pStyle w:val="Table-Text"/>
              <w:rPr>
                <w:b/>
              </w:rPr>
            </w:pPr>
            <w:r w:rsidRPr="00D4309F">
              <w:lastRenderedPageBreak/>
              <w:t>Marine</w:t>
            </w:r>
            <w:r w:rsidRPr="00D4309F">
              <w:rPr>
                <w:spacing w:val="-4"/>
              </w:rPr>
              <w:t xml:space="preserve"> </w:t>
            </w:r>
            <w:r w:rsidRPr="00D4309F">
              <w:t>fauna</w:t>
            </w:r>
          </w:p>
        </w:tc>
        <w:tc>
          <w:tcPr>
            <w:tcW w:w="407" w:type="pct"/>
            <w:tcBorders>
              <w:top w:val="single" w:sz="4" w:space="0" w:color="000000"/>
              <w:bottom w:val="single" w:sz="4" w:space="0" w:color="000000"/>
            </w:tcBorders>
            <w:vAlign w:val="center"/>
          </w:tcPr>
          <w:p w14:paraId="757A5B12" w14:textId="570D8CDF" w:rsidR="00F00E58" w:rsidRPr="00D4309F" w:rsidRDefault="00F00E58" w:rsidP="00F00E58">
            <w:pPr>
              <w:pStyle w:val="TableParagraph"/>
              <w:rPr>
                <w:b/>
                <w:sz w:val="18"/>
              </w:rPr>
            </w:pPr>
            <w:r w:rsidRPr="00D4309F">
              <w:rPr>
                <w:color w:val="211E1F"/>
                <w:spacing w:val="-4"/>
                <w:sz w:val="18"/>
              </w:rPr>
              <w:t xml:space="preserve">Site </w:t>
            </w:r>
            <w:r w:rsidRPr="00D4309F">
              <w:rPr>
                <w:color w:val="211E1F"/>
                <w:spacing w:val="-2"/>
                <w:sz w:val="18"/>
              </w:rPr>
              <w:t>attached species</w:t>
            </w:r>
          </w:p>
        </w:tc>
        <w:tc>
          <w:tcPr>
            <w:tcW w:w="1069" w:type="pct"/>
            <w:tcBorders>
              <w:top w:val="single" w:sz="4" w:space="0" w:color="000000"/>
              <w:bottom w:val="single" w:sz="4" w:space="0" w:color="000000"/>
            </w:tcBorders>
            <w:vAlign w:val="center"/>
          </w:tcPr>
          <w:p w14:paraId="5786AD4C" w14:textId="77777777" w:rsidR="00F00E58" w:rsidRPr="00D4309F" w:rsidRDefault="00F00E58" w:rsidP="007E44C8">
            <w:pPr>
              <w:pStyle w:val="Table-Bullet"/>
            </w:pPr>
            <w:r w:rsidRPr="00D4309F">
              <w:t>Direct</w:t>
            </w:r>
            <w:r w:rsidRPr="00D4309F">
              <w:rPr>
                <w:spacing w:val="-13"/>
              </w:rPr>
              <w:t xml:space="preserve"> </w:t>
            </w:r>
            <w:r w:rsidRPr="00D4309F">
              <w:t>mortality/injury</w:t>
            </w:r>
            <w:r w:rsidRPr="00D4309F">
              <w:rPr>
                <w:spacing w:val="-12"/>
              </w:rPr>
              <w:t xml:space="preserve"> </w:t>
            </w:r>
            <w:r w:rsidRPr="00D4309F">
              <w:t>due</w:t>
            </w:r>
            <w:r w:rsidRPr="00D4309F">
              <w:rPr>
                <w:spacing w:val="-13"/>
              </w:rPr>
              <w:t xml:space="preserve"> </w:t>
            </w:r>
            <w:r w:rsidRPr="00D4309F">
              <w:t>to dredging and construction</w:t>
            </w:r>
          </w:p>
          <w:p w14:paraId="7204BCCB" w14:textId="64B319E5" w:rsidR="00F00E58" w:rsidRPr="00D4309F" w:rsidRDefault="00F00E58" w:rsidP="007E44C8">
            <w:pPr>
              <w:pStyle w:val="Table-Bullet"/>
              <w:rPr>
                <w:b/>
              </w:rPr>
            </w:pPr>
            <w:r w:rsidRPr="00D4309F">
              <w:rPr>
                <w:spacing w:val="-2"/>
              </w:rPr>
              <w:t xml:space="preserve">Mortality/injury/behavioural </w:t>
            </w:r>
            <w:r w:rsidRPr="00D4309F">
              <w:t>response due to physical effects of turbidity</w:t>
            </w:r>
          </w:p>
        </w:tc>
        <w:tc>
          <w:tcPr>
            <w:tcW w:w="537" w:type="pct"/>
            <w:tcBorders>
              <w:top w:val="single" w:sz="4" w:space="0" w:color="000000"/>
              <w:bottom w:val="single" w:sz="4" w:space="0" w:color="000000"/>
            </w:tcBorders>
            <w:shd w:val="clear" w:color="auto" w:fill="FFC000"/>
            <w:vAlign w:val="center"/>
          </w:tcPr>
          <w:p w14:paraId="3ACBB04E" w14:textId="33122799" w:rsidR="00F00E58" w:rsidRPr="00F00E58" w:rsidRDefault="00F00E58" w:rsidP="00F00E58">
            <w:pPr>
              <w:pStyle w:val="Table-Text"/>
              <w:rPr>
                <w:b/>
                <w:bCs/>
              </w:rPr>
            </w:pPr>
            <w:r w:rsidRPr="00F00E58">
              <w:rPr>
                <w:b/>
                <w:bCs/>
              </w:rPr>
              <w:t>High (for breakwater extension)</w:t>
            </w:r>
          </w:p>
        </w:tc>
        <w:tc>
          <w:tcPr>
            <w:tcW w:w="942" w:type="pct"/>
            <w:tcBorders>
              <w:top w:val="single" w:sz="4" w:space="0" w:color="000000"/>
              <w:bottom w:val="single" w:sz="4" w:space="0" w:color="000000"/>
            </w:tcBorders>
            <w:vAlign w:val="center"/>
          </w:tcPr>
          <w:p w14:paraId="5A85E169" w14:textId="77777777" w:rsidR="00F00E58" w:rsidRPr="00D4309F" w:rsidRDefault="00F00E58" w:rsidP="007E44C8">
            <w:pPr>
              <w:pStyle w:val="Table-Bullet"/>
            </w:pPr>
            <w:r w:rsidRPr="00D4309F">
              <w:t>These</w:t>
            </w:r>
            <w:r w:rsidRPr="00D4309F">
              <w:rPr>
                <w:spacing w:val="-13"/>
              </w:rPr>
              <w:t xml:space="preserve"> </w:t>
            </w:r>
            <w:r w:rsidRPr="00D4309F">
              <w:t>species</w:t>
            </w:r>
            <w:r w:rsidRPr="00D4309F">
              <w:rPr>
                <w:spacing w:val="-12"/>
              </w:rPr>
              <w:t xml:space="preserve"> </w:t>
            </w:r>
            <w:r w:rsidRPr="00D4309F">
              <w:t>are</w:t>
            </w:r>
            <w:r w:rsidRPr="00D4309F">
              <w:rPr>
                <w:spacing w:val="-13"/>
              </w:rPr>
              <w:t xml:space="preserve"> </w:t>
            </w:r>
            <w:r w:rsidRPr="00D4309F">
              <w:t xml:space="preserve">broadly distributed along the </w:t>
            </w:r>
            <w:r w:rsidRPr="00D4309F">
              <w:rPr>
                <w:spacing w:val="-2"/>
              </w:rPr>
              <w:t>coastline</w:t>
            </w:r>
          </w:p>
          <w:p w14:paraId="5D256843" w14:textId="77777777" w:rsidR="00F00E58" w:rsidRPr="00D4309F" w:rsidRDefault="00F00E58" w:rsidP="007E44C8">
            <w:pPr>
              <w:pStyle w:val="Table-Bullet"/>
            </w:pPr>
            <w:r w:rsidRPr="00D4309F">
              <w:t>The dredging and construction</w:t>
            </w:r>
            <w:r w:rsidRPr="00D4309F">
              <w:rPr>
                <w:spacing w:val="-15"/>
              </w:rPr>
              <w:t xml:space="preserve"> </w:t>
            </w:r>
            <w:r w:rsidRPr="00D4309F">
              <w:t>footprint</w:t>
            </w:r>
            <w:r w:rsidRPr="00D4309F">
              <w:rPr>
                <w:spacing w:val="-12"/>
              </w:rPr>
              <w:t xml:space="preserve"> </w:t>
            </w:r>
            <w:r w:rsidRPr="00D4309F">
              <w:t>area has a relatively small footprint but further assessment is required</w:t>
            </w:r>
            <w:r w:rsidRPr="00D4309F">
              <w:rPr>
                <w:spacing w:val="-1"/>
              </w:rPr>
              <w:t xml:space="preserve"> </w:t>
            </w:r>
            <w:r w:rsidRPr="00D4309F">
              <w:t>to determine the impact to habitat for species of high conservation e.g. the endangered White’s Seahorse</w:t>
            </w:r>
            <w:r w:rsidRPr="00D4309F">
              <w:rPr>
                <w:spacing w:val="-13"/>
              </w:rPr>
              <w:t xml:space="preserve"> </w:t>
            </w:r>
            <w:r w:rsidRPr="00D4309F">
              <w:t>and</w:t>
            </w:r>
            <w:r w:rsidRPr="00D4309F">
              <w:rPr>
                <w:spacing w:val="-12"/>
              </w:rPr>
              <w:t xml:space="preserve"> </w:t>
            </w:r>
            <w:r w:rsidRPr="00D4309F">
              <w:t>sand</w:t>
            </w:r>
            <w:r w:rsidRPr="00D4309F">
              <w:rPr>
                <w:spacing w:val="-13"/>
              </w:rPr>
              <w:t xml:space="preserve"> </w:t>
            </w:r>
            <w:r w:rsidRPr="00D4309F">
              <w:t>yabby</w:t>
            </w:r>
          </w:p>
          <w:p w14:paraId="7F1DBA7D" w14:textId="77777777" w:rsidR="00F00E58" w:rsidRPr="00D4309F" w:rsidRDefault="00F00E58" w:rsidP="007E44C8">
            <w:pPr>
              <w:pStyle w:val="Table-Bullet"/>
            </w:pPr>
            <w:r w:rsidRPr="00D4309F">
              <w:t>Dredging</w:t>
            </w:r>
            <w:r w:rsidRPr="00D4309F">
              <w:rPr>
                <w:spacing w:val="-8"/>
              </w:rPr>
              <w:t xml:space="preserve"> </w:t>
            </w:r>
            <w:r w:rsidRPr="00D4309F">
              <w:t>is</w:t>
            </w:r>
            <w:r w:rsidRPr="00D4309F">
              <w:rPr>
                <w:spacing w:val="-7"/>
              </w:rPr>
              <w:t xml:space="preserve"> </w:t>
            </w:r>
            <w:r w:rsidRPr="00D4309F">
              <w:t>in</w:t>
            </w:r>
            <w:r w:rsidRPr="00D4309F">
              <w:rPr>
                <w:spacing w:val="-6"/>
              </w:rPr>
              <w:t xml:space="preserve"> </w:t>
            </w:r>
            <w:r w:rsidRPr="00D4309F">
              <w:t>a</w:t>
            </w:r>
            <w:r w:rsidRPr="00D4309F">
              <w:rPr>
                <w:spacing w:val="-8"/>
              </w:rPr>
              <w:t xml:space="preserve"> </w:t>
            </w:r>
            <w:r w:rsidRPr="00D4309F">
              <w:t>dynamic, open</w:t>
            </w:r>
            <w:r w:rsidRPr="00D4309F">
              <w:rPr>
                <w:spacing w:val="-15"/>
              </w:rPr>
              <w:t xml:space="preserve"> </w:t>
            </w:r>
            <w:r w:rsidRPr="00D4309F">
              <w:t>ocean</w:t>
            </w:r>
            <w:r w:rsidRPr="00D4309F">
              <w:rPr>
                <w:spacing w:val="-12"/>
              </w:rPr>
              <w:t xml:space="preserve"> </w:t>
            </w:r>
            <w:r w:rsidRPr="00D4309F">
              <w:t>environment, any plume will likely dissipate quickly</w:t>
            </w:r>
          </w:p>
          <w:p w14:paraId="33378437" w14:textId="328839AF" w:rsidR="00F00E58" w:rsidRPr="00D4309F" w:rsidRDefault="00F00E58" w:rsidP="007E44C8">
            <w:pPr>
              <w:pStyle w:val="Table-Bullet"/>
              <w:rPr>
                <w:b/>
              </w:rPr>
            </w:pPr>
            <w:r w:rsidRPr="00D4309F">
              <w:t>Turbidity</w:t>
            </w:r>
            <w:r w:rsidRPr="00D4309F">
              <w:rPr>
                <w:spacing w:val="-8"/>
              </w:rPr>
              <w:t xml:space="preserve"> </w:t>
            </w:r>
            <w:r w:rsidRPr="00D4309F">
              <w:t>is</w:t>
            </w:r>
            <w:r w:rsidRPr="00D4309F">
              <w:rPr>
                <w:spacing w:val="-8"/>
              </w:rPr>
              <w:t xml:space="preserve"> </w:t>
            </w:r>
            <w:r w:rsidRPr="00D4309F">
              <w:t>likely</w:t>
            </w:r>
            <w:r w:rsidRPr="00D4309F">
              <w:rPr>
                <w:spacing w:val="-8"/>
              </w:rPr>
              <w:t xml:space="preserve"> </w:t>
            </w:r>
            <w:r w:rsidRPr="00D4309F">
              <w:t>to</w:t>
            </w:r>
            <w:r w:rsidRPr="00D4309F">
              <w:rPr>
                <w:spacing w:val="-9"/>
              </w:rPr>
              <w:t xml:space="preserve"> </w:t>
            </w:r>
            <w:r w:rsidRPr="00D4309F">
              <w:t>be</w:t>
            </w:r>
            <w:r w:rsidRPr="00D4309F">
              <w:rPr>
                <w:spacing w:val="-9"/>
              </w:rPr>
              <w:t xml:space="preserve"> </w:t>
            </w:r>
            <w:r w:rsidRPr="00D4309F">
              <w:t>more extensive during</w:t>
            </w:r>
            <w:r w:rsidRPr="00D4309F">
              <w:rPr>
                <w:spacing w:val="40"/>
              </w:rPr>
              <w:t xml:space="preserve"> </w:t>
            </w:r>
            <w:r w:rsidRPr="00D4309F">
              <w:t>breakwater extension</w:t>
            </w:r>
          </w:p>
        </w:tc>
        <w:tc>
          <w:tcPr>
            <w:tcW w:w="708" w:type="pct"/>
            <w:tcBorders>
              <w:top w:val="single" w:sz="4" w:space="0" w:color="000000"/>
              <w:bottom w:val="single" w:sz="4" w:space="0" w:color="000000"/>
            </w:tcBorders>
            <w:vAlign w:val="center"/>
          </w:tcPr>
          <w:p w14:paraId="73D810B0" w14:textId="30F637D1" w:rsidR="00F00E58" w:rsidRPr="00D4309F" w:rsidRDefault="00F00E58" w:rsidP="007E44C8">
            <w:pPr>
              <w:pStyle w:val="Table-Bullet"/>
              <w:rPr>
                <w:b/>
              </w:rPr>
            </w:pPr>
            <w:r w:rsidRPr="00D4309F">
              <w:t>Fauna</w:t>
            </w:r>
            <w:r w:rsidRPr="00D4309F">
              <w:rPr>
                <w:spacing w:val="-15"/>
              </w:rPr>
              <w:t xml:space="preserve"> </w:t>
            </w:r>
            <w:r w:rsidRPr="00D4309F">
              <w:t>/</w:t>
            </w:r>
            <w:r w:rsidRPr="00D4309F">
              <w:rPr>
                <w:spacing w:val="-12"/>
              </w:rPr>
              <w:t xml:space="preserve"> </w:t>
            </w:r>
            <w:r w:rsidRPr="00D4309F">
              <w:t xml:space="preserve">benthic </w:t>
            </w:r>
            <w:r w:rsidRPr="00D4309F">
              <w:rPr>
                <w:spacing w:val="-2"/>
              </w:rPr>
              <w:t>habitat assessment</w:t>
            </w:r>
          </w:p>
        </w:tc>
        <w:tc>
          <w:tcPr>
            <w:tcW w:w="818" w:type="pct"/>
            <w:tcBorders>
              <w:top w:val="single" w:sz="4" w:space="0" w:color="000000"/>
              <w:bottom w:val="single" w:sz="4" w:space="0" w:color="000000"/>
            </w:tcBorders>
            <w:vAlign w:val="center"/>
          </w:tcPr>
          <w:p w14:paraId="4305208E" w14:textId="16A105F1" w:rsidR="00F00E58" w:rsidRPr="00D4309F" w:rsidRDefault="00F00E58" w:rsidP="007E44C8">
            <w:pPr>
              <w:pStyle w:val="Table-Bullet"/>
            </w:pPr>
            <w:r w:rsidRPr="00D4309F">
              <w:t>Construction and dredging designed to avoid protected marine</w:t>
            </w:r>
            <w:r w:rsidRPr="00D4309F">
              <w:rPr>
                <w:spacing w:val="-15"/>
              </w:rPr>
              <w:t xml:space="preserve"> </w:t>
            </w:r>
            <w:r w:rsidRPr="00D4309F">
              <w:t>fauna</w:t>
            </w:r>
            <w:r w:rsidRPr="00D4309F">
              <w:rPr>
                <w:spacing w:val="-12"/>
              </w:rPr>
              <w:t xml:space="preserve"> </w:t>
            </w:r>
            <w:r w:rsidRPr="00D4309F">
              <w:t>habitats</w:t>
            </w:r>
          </w:p>
        </w:tc>
      </w:tr>
      <w:tr w:rsidR="00F00E58" w:rsidRPr="00D4309F" w14:paraId="32F3D37D" w14:textId="77777777" w:rsidTr="007E44C8">
        <w:trPr>
          <w:cantSplit/>
          <w:trHeight w:val="20"/>
        </w:trPr>
        <w:tc>
          <w:tcPr>
            <w:tcW w:w="518" w:type="pct"/>
            <w:tcBorders>
              <w:top w:val="single" w:sz="4" w:space="0" w:color="000000"/>
              <w:bottom w:val="single" w:sz="4" w:space="0" w:color="000000"/>
            </w:tcBorders>
            <w:vAlign w:val="center"/>
          </w:tcPr>
          <w:p w14:paraId="228EF92B" w14:textId="16819F58" w:rsidR="00F00E58" w:rsidRPr="00D4309F" w:rsidRDefault="00F00E58" w:rsidP="007E44C8">
            <w:pPr>
              <w:pStyle w:val="Table-Text"/>
              <w:rPr>
                <w:b/>
              </w:rPr>
            </w:pPr>
            <w:r w:rsidRPr="00D4309F">
              <w:t>Marine</w:t>
            </w:r>
            <w:r w:rsidRPr="00D4309F">
              <w:rPr>
                <w:spacing w:val="-4"/>
              </w:rPr>
              <w:t xml:space="preserve"> </w:t>
            </w:r>
            <w:r w:rsidRPr="00D4309F">
              <w:t>fauna</w:t>
            </w:r>
          </w:p>
        </w:tc>
        <w:tc>
          <w:tcPr>
            <w:tcW w:w="407" w:type="pct"/>
            <w:tcBorders>
              <w:top w:val="single" w:sz="4" w:space="0" w:color="000000"/>
              <w:bottom w:val="single" w:sz="4" w:space="0" w:color="000000"/>
            </w:tcBorders>
            <w:vAlign w:val="center"/>
          </w:tcPr>
          <w:p w14:paraId="61F9B0CC" w14:textId="130F3FF7" w:rsidR="00F00E58" w:rsidRPr="00D4309F" w:rsidRDefault="00F00E58" w:rsidP="00F00E58">
            <w:pPr>
              <w:pStyle w:val="TableParagraph"/>
              <w:rPr>
                <w:b/>
                <w:sz w:val="18"/>
              </w:rPr>
            </w:pPr>
            <w:r w:rsidRPr="00D4309F">
              <w:rPr>
                <w:color w:val="211E1F"/>
                <w:spacing w:val="-4"/>
                <w:sz w:val="18"/>
              </w:rPr>
              <w:t xml:space="preserve">Site </w:t>
            </w:r>
            <w:r w:rsidRPr="00D4309F">
              <w:rPr>
                <w:color w:val="211E1F"/>
                <w:spacing w:val="-2"/>
                <w:sz w:val="18"/>
              </w:rPr>
              <w:t>attached species</w:t>
            </w:r>
          </w:p>
        </w:tc>
        <w:tc>
          <w:tcPr>
            <w:tcW w:w="1069" w:type="pct"/>
            <w:tcBorders>
              <w:top w:val="single" w:sz="4" w:space="0" w:color="000000"/>
              <w:bottom w:val="single" w:sz="4" w:space="0" w:color="000000"/>
            </w:tcBorders>
            <w:vAlign w:val="center"/>
          </w:tcPr>
          <w:p w14:paraId="43007B91" w14:textId="6671E456" w:rsidR="00F00E58" w:rsidRPr="00D4309F" w:rsidRDefault="00F00E58" w:rsidP="007E44C8">
            <w:pPr>
              <w:pStyle w:val="Table-Bullet"/>
              <w:rPr>
                <w:b/>
              </w:rPr>
            </w:pPr>
            <w:r w:rsidRPr="00D4309F">
              <w:rPr>
                <w:spacing w:val="-2"/>
              </w:rPr>
              <w:t xml:space="preserve">Mortality/injury/behavioural </w:t>
            </w:r>
            <w:r w:rsidRPr="00D4309F">
              <w:t>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toxic</w:t>
            </w:r>
            <w:r w:rsidRPr="00D4309F">
              <w:rPr>
                <w:spacing w:val="-10"/>
              </w:rPr>
              <w:t xml:space="preserve"> </w:t>
            </w:r>
            <w:r w:rsidRPr="00D4309F">
              <w:t xml:space="preserve">effects due to release of </w:t>
            </w:r>
            <w:r w:rsidRPr="00D4309F">
              <w:rPr>
                <w:spacing w:val="-2"/>
              </w:rPr>
              <w:t>contaminants/hypoxia</w:t>
            </w:r>
          </w:p>
        </w:tc>
        <w:tc>
          <w:tcPr>
            <w:tcW w:w="537" w:type="pct"/>
            <w:tcBorders>
              <w:top w:val="single" w:sz="4" w:space="0" w:color="000000"/>
              <w:bottom w:val="single" w:sz="4" w:space="0" w:color="000000"/>
            </w:tcBorders>
            <w:shd w:val="clear" w:color="auto" w:fill="92D050"/>
            <w:vAlign w:val="center"/>
          </w:tcPr>
          <w:p w14:paraId="04915461" w14:textId="7C67CAF1" w:rsidR="00F00E58" w:rsidRPr="00F00E58" w:rsidRDefault="00F00E58" w:rsidP="00F00E58">
            <w:pPr>
              <w:pStyle w:val="Table-Text"/>
              <w:rPr>
                <w:b/>
                <w:bCs/>
              </w:rPr>
            </w:pPr>
            <w:r w:rsidRPr="00F00E58">
              <w:rPr>
                <w:b/>
                <w:bCs/>
                <w:spacing w:val="-5"/>
              </w:rPr>
              <w:t>Low</w:t>
            </w:r>
          </w:p>
        </w:tc>
        <w:tc>
          <w:tcPr>
            <w:tcW w:w="942" w:type="pct"/>
            <w:tcBorders>
              <w:top w:val="single" w:sz="4" w:space="0" w:color="000000"/>
              <w:bottom w:val="single" w:sz="4" w:space="0" w:color="000000"/>
            </w:tcBorders>
            <w:vAlign w:val="center"/>
          </w:tcPr>
          <w:p w14:paraId="34E18B11" w14:textId="77777777" w:rsidR="00F00E58" w:rsidRPr="00D4309F" w:rsidRDefault="00F00E58" w:rsidP="007E44C8">
            <w:pPr>
              <w:pStyle w:val="Table-Bullet"/>
            </w:pPr>
            <w:r w:rsidRPr="00D4309F">
              <w:t>Dredge sediments likely comprise clean marine sand</w:t>
            </w:r>
            <w:r w:rsidRPr="00D4309F">
              <w:rPr>
                <w:spacing w:val="-13"/>
              </w:rPr>
              <w:t xml:space="preserve"> </w:t>
            </w:r>
            <w:r w:rsidRPr="00D4309F">
              <w:t>free</w:t>
            </w:r>
            <w:r w:rsidRPr="00D4309F">
              <w:rPr>
                <w:spacing w:val="-12"/>
              </w:rPr>
              <w:t xml:space="preserve"> </w:t>
            </w:r>
            <w:r w:rsidRPr="00D4309F">
              <w:t>of</w:t>
            </w:r>
            <w:r w:rsidRPr="00D4309F">
              <w:rPr>
                <w:spacing w:val="-13"/>
              </w:rPr>
              <w:t xml:space="preserve"> </w:t>
            </w:r>
            <w:r w:rsidRPr="00D4309F">
              <w:t xml:space="preserve">contaminants with low organic matter </w:t>
            </w:r>
            <w:r w:rsidRPr="00D4309F">
              <w:rPr>
                <w:spacing w:val="-2"/>
              </w:rPr>
              <w:t>content</w:t>
            </w:r>
          </w:p>
          <w:p w14:paraId="565EB387" w14:textId="4BA0ED68" w:rsidR="00F00E58" w:rsidRPr="00D4309F" w:rsidRDefault="00F00E58" w:rsidP="007E44C8">
            <w:pPr>
              <w:pStyle w:val="Table-Bullet"/>
              <w:rPr>
                <w:b/>
              </w:rPr>
            </w:pPr>
            <w:r w:rsidRPr="00D4309F">
              <w:t>Breakwater</w:t>
            </w:r>
            <w:r w:rsidRPr="00D4309F">
              <w:rPr>
                <w:spacing w:val="-8"/>
              </w:rPr>
              <w:t xml:space="preserve"> </w:t>
            </w:r>
            <w:r w:rsidRPr="00D4309F">
              <w:t>construction materials</w:t>
            </w:r>
            <w:r w:rsidRPr="00D4309F">
              <w:rPr>
                <w:spacing w:val="-13"/>
              </w:rPr>
              <w:t xml:space="preserve"> </w:t>
            </w:r>
            <w:r w:rsidRPr="00D4309F">
              <w:t>assumed</w:t>
            </w:r>
            <w:r w:rsidRPr="00D4309F">
              <w:rPr>
                <w:spacing w:val="-12"/>
              </w:rPr>
              <w:t xml:space="preserve"> </w:t>
            </w:r>
            <w:r w:rsidRPr="00D4309F">
              <w:t>to</w:t>
            </w:r>
            <w:r w:rsidRPr="00D4309F">
              <w:rPr>
                <w:spacing w:val="-13"/>
              </w:rPr>
              <w:t xml:space="preserve"> </w:t>
            </w:r>
            <w:r w:rsidRPr="00D4309F">
              <w:t>be free of contamination</w:t>
            </w:r>
          </w:p>
        </w:tc>
        <w:tc>
          <w:tcPr>
            <w:tcW w:w="708" w:type="pct"/>
            <w:tcBorders>
              <w:top w:val="single" w:sz="4" w:space="0" w:color="000000"/>
              <w:bottom w:val="single" w:sz="4" w:space="0" w:color="000000"/>
            </w:tcBorders>
            <w:vAlign w:val="center"/>
          </w:tcPr>
          <w:p w14:paraId="0A1A14EB" w14:textId="66EBEB76" w:rsidR="00F00E58" w:rsidRPr="00D4309F" w:rsidRDefault="00F00E58" w:rsidP="007E44C8">
            <w:pPr>
              <w:pStyle w:val="Table-Bullet"/>
              <w:rPr>
                <w:b/>
              </w:rPr>
            </w:pPr>
            <w:r w:rsidRPr="00D4309F">
              <w:t>Assumption</w:t>
            </w:r>
            <w:r w:rsidRPr="00D4309F">
              <w:rPr>
                <w:spacing w:val="-13"/>
              </w:rPr>
              <w:t xml:space="preserve"> </w:t>
            </w:r>
            <w:r w:rsidRPr="00D4309F">
              <w:t>that suitable data exists to inform this risk</w:t>
            </w:r>
          </w:p>
        </w:tc>
        <w:tc>
          <w:tcPr>
            <w:tcW w:w="818" w:type="pct"/>
            <w:tcBorders>
              <w:top w:val="single" w:sz="4" w:space="0" w:color="000000"/>
              <w:bottom w:val="single" w:sz="4" w:space="0" w:color="000000"/>
            </w:tcBorders>
            <w:vAlign w:val="center"/>
          </w:tcPr>
          <w:p w14:paraId="25A12ACD" w14:textId="384BB17E" w:rsidR="00F00E58" w:rsidRPr="00D4309F" w:rsidRDefault="00F00E58" w:rsidP="007E44C8">
            <w:pPr>
              <w:pStyle w:val="Table-Bullet"/>
            </w:pPr>
            <w:r w:rsidRPr="00D4309F">
              <w:rPr>
                <w:spacing w:val="-4"/>
              </w:rPr>
              <w:t>None</w:t>
            </w:r>
          </w:p>
        </w:tc>
      </w:tr>
      <w:tr w:rsidR="00F00E58" w:rsidRPr="00D4309F" w14:paraId="5AB30E54" w14:textId="77777777" w:rsidTr="007E44C8">
        <w:trPr>
          <w:cantSplit/>
          <w:trHeight w:val="20"/>
        </w:trPr>
        <w:tc>
          <w:tcPr>
            <w:tcW w:w="518" w:type="pct"/>
            <w:tcBorders>
              <w:top w:val="single" w:sz="4" w:space="0" w:color="000000"/>
              <w:bottom w:val="single" w:sz="4" w:space="0" w:color="000000"/>
            </w:tcBorders>
            <w:vAlign w:val="center"/>
          </w:tcPr>
          <w:p w14:paraId="2E8BAEF2" w14:textId="5E7F7242" w:rsidR="00F00E58" w:rsidRPr="00D4309F" w:rsidRDefault="00F00E58" w:rsidP="007E44C8">
            <w:pPr>
              <w:pStyle w:val="Table-Text"/>
              <w:rPr>
                <w:b/>
              </w:rPr>
            </w:pPr>
            <w:r w:rsidRPr="00D4309F">
              <w:t>Marine</w:t>
            </w:r>
            <w:r w:rsidRPr="00D4309F">
              <w:rPr>
                <w:spacing w:val="-4"/>
              </w:rPr>
              <w:t xml:space="preserve"> </w:t>
            </w:r>
            <w:r w:rsidRPr="00D4309F">
              <w:t>fauna</w:t>
            </w:r>
          </w:p>
        </w:tc>
        <w:tc>
          <w:tcPr>
            <w:tcW w:w="407" w:type="pct"/>
            <w:tcBorders>
              <w:top w:val="single" w:sz="4" w:space="0" w:color="000000"/>
              <w:bottom w:val="single" w:sz="4" w:space="0" w:color="000000"/>
            </w:tcBorders>
            <w:vAlign w:val="center"/>
          </w:tcPr>
          <w:p w14:paraId="3FC357E0" w14:textId="5E010DC0" w:rsidR="00F00E58" w:rsidRPr="00D4309F" w:rsidRDefault="00F00E58" w:rsidP="00F00E58">
            <w:pPr>
              <w:pStyle w:val="TableParagraph"/>
              <w:rPr>
                <w:b/>
                <w:sz w:val="18"/>
              </w:rPr>
            </w:pPr>
            <w:r w:rsidRPr="00D4309F">
              <w:rPr>
                <w:color w:val="211E1F"/>
                <w:spacing w:val="-2"/>
                <w:sz w:val="18"/>
              </w:rPr>
              <w:t>Mobile species</w:t>
            </w:r>
          </w:p>
        </w:tc>
        <w:tc>
          <w:tcPr>
            <w:tcW w:w="1069" w:type="pct"/>
            <w:tcBorders>
              <w:top w:val="single" w:sz="4" w:space="0" w:color="000000"/>
              <w:bottom w:val="single" w:sz="4" w:space="0" w:color="000000"/>
            </w:tcBorders>
            <w:vAlign w:val="center"/>
          </w:tcPr>
          <w:p w14:paraId="6979671F" w14:textId="77777777" w:rsidR="00F00E58" w:rsidRPr="00D4309F" w:rsidRDefault="00F00E58" w:rsidP="007E44C8">
            <w:pPr>
              <w:pStyle w:val="Table-Bullet"/>
            </w:pPr>
            <w:r w:rsidRPr="00D4309F">
              <w:t>Vessel</w:t>
            </w:r>
            <w:r w:rsidRPr="00D4309F">
              <w:rPr>
                <w:spacing w:val="-5"/>
              </w:rPr>
              <w:t xml:space="preserve"> </w:t>
            </w:r>
            <w:r w:rsidRPr="00D4309F">
              <w:rPr>
                <w:spacing w:val="-2"/>
              </w:rPr>
              <w:t>collision</w:t>
            </w:r>
          </w:p>
          <w:p w14:paraId="7176116F" w14:textId="77777777" w:rsidR="00F00E58" w:rsidRPr="00D4309F" w:rsidRDefault="00F00E58" w:rsidP="007E44C8">
            <w:pPr>
              <w:pStyle w:val="Table-Bullet"/>
            </w:pPr>
            <w:r w:rsidRPr="00D4309F">
              <w:t>Direct</w:t>
            </w:r>
            <w:r w:rsidRPr="00D4309F">
              <w:rPr>
                <w:spacing w:val="-13"/>
              </w:rPr>
              <w:t xml:space="preserve"> </w:t>
            </w:r>
            <w:r w:rsidRPr="00D4309F">
              <w:t>mortality/injury</w:t>
            </w:r>
            <w:r w:rsidRPr="00D4309F">
              <w:rPr>
                <w:spacing w:val="-12"/>
              </w:rPr>
              <w:t xml:space="preserve"> </w:t>
            </w:r>
            <w:r w:rsidRPr="00D4309F">
              <w:t>due</w:t>
            </w:r>
            <w:r w:rsidRPr="00D4309F">
              <w:rPr>
                <w:spacing w:val="-13"/>
              </w:rPr>
              <w:t xml:space="preserve"> </w:t>
            </w:r>
            <w:r w:rsidRPr="00D4309F">
              <w:t>to dredging and construction</w:t>
            </w:r>
          </w:p>
          <w:p w14:paraId="440EFDAC" w14:textId="5987D538" w:rsidR="00F00E58" w:rsidRPr="00D4309F" w:rsidRDefault="00F00E58" w:rsidP="007E44C8">
            <w:pPr>
              <w:pStyle w:val="Table-Bullet"/>
              <w:rPr>
                <w:b/>
              </w:rPr>
            </w:pPr>
            <w:r w:rsidRPr="00D4309F">
              <w:rPr>
                <w:spacing w:val="-2"/>
              </w:rPr>
              <w:t xml:space="preserve">Mortality/injury/behavioural </w:t>
            </w:r>
            <w:r w:rsidRPr="00D4309F">
              <w:t>response due to physical effects of turbidity</w:t>
            </w:r>
          </w:p>
        </w:tc>
        <w:tc>
          <w:tcPr>
            <w:tcW w:w="537" w:type="pct"/>
            <w:tcBorders>
              <w:top w:val="single" w:sz="4" w:space="0" w:color="000000"/>
              <w:bottom w:val="single" w:sz="4" w:space="0" w:color="000000"/>
            </w:tcBorders>
            <w:shd w:val="clear" w:color="auto" w:fill="92D050"/>
            <w:vAlign w:val="center"/>
          </w:tcPr>
          <w:p w14:paraId="0E268C66" w14:textId="34204D29" w:rsidR="00F00E58" w:rsidRPr="00F00E58" w:rsidRDefault="00F00E58" w:rsidP="00F00E58">
            <w:pPr>
              <w:pStyle w:val="Table-Text"/>
              <w:rPr>
                <w:b/>
                <w:bCs/>
              </w:rPr>
            </w:pPr>
            <w:r w:rsidRPr="00F00E58">
              <w:rPr>
                <w:b/>
                <w:bCs/>
                <w:spacing w:val="-5"/>
              </w:rPr>
              <w:t>Low</w:t>
            </w:r>
          </w:p>
        </w:tc>
        <w:tc>
          <w:tcPr>
            <w:tcW w:w="942" w:type="pct"/>
            <w:tcBorders>
              <w:top w:val="single" w:sz="4" w:space="0" w:color="000000"/>
              <w:bottom w:val="single" w:sz="4" w:space="0" w:color="000000"/>
            </w:tcBorders>
            <w:vAlign w:val="center"/>
          </w:tcPr>
          <w:p w14:paraId="77E4E185" w14:textId="563CED3E" w:rsidR="00F00E58" w:rsidRPr="00D4309F" w:rsidRDefault="00F00E58" w:rsidP="007E44C8">
            <w:pPr>
              <w:pStyle w:val="Table-Bullet"/>
              <w:rPr>
                <w:b/>
              </w:rPr>
            </w:pPr>
            <w:r w:rsidRPr="00D4309F">
              <w:t xml:space="preserve">Mobile species including the </w:t>
            </w:r>
            <w:r w:rsidRPr="00F00E58">
              <w:t>critically endangered Grey Nurse Shark and conservation dependant scalloped</w:t>
            </w:r>
            <w:r w:rsidRPr="00F00E58">
              <w:rPr>
                <w:spacing w:val="-15"/>
              </w:rPr>
              <w:t xml:space="preserve"> </w:t>
            </w:r>
            <w:r w:rsidRPr="00F00E58">
              <w:t>hammerhead</w:t>
            </w:r>
            <w:r w:rsidRPr="00F00E58">
              <w:rPr>
                <w:spacing w:val="-12"/>
              </w:rPr>
              <w:t xml:space="preserve"> </w:t>
            </w:r>
            <w:r w:rsidRPr="00F00E58">
              <w:t xml:space="preserve">will actively avoid areas of </w:t>
            </w:r>
            <w:r w:rsidRPr="00F00E58">
              <w:rPr>
                <w:spacing w:val="-2"/>
              </w:rPr>
              <w:t>activity</w:t>
            </w:r>
          </w:p>
        </w:tc>
        <w:tc>
          <w:tcPr>
            <w:tcW w:w="708" w:type="pct"/>
            <w:tcBorders>
              <w:top w:val="single" w:sz="4" w:space="0" w:color="000000"/>
              <w:bottom w:val="single" w:sz="4" w:space="0" w:color="000000"/>
            </w:tcBorders>
            <w:vAlign w:val="center"/>
          </w:tcPr>
          <w:p w14:paraId="22AC9B90" w14:textId="65544B64" w:rsidR="00F00E58" w:rsidRPr="00D4309F" w:rsidRDefault="00F00E58" w:rsidP="007E44C8">
            <w:pPr>
              <w:pStyle w:val="Table-Bullet"/>
              <w:rPr>
                <w:b/>
              </w:rPr>
            </w:pPr>
            <w:r w:rsidRPr="00D4309F">
              <w:rPr>
                <w:color w:val="211E1F"/>
                <w:spacing w:val="-4"/>
              </w:rPr>
              <w:t>None</w:t>
            </w:r>
          </w:p>
        </w:tc>
        <w:tc>
          <w:tcPr>
            <w:tcW w:w="818" w:type="pct"/>
            <w:tcBorders>
              <w:top w:val="single" w:sz="4" w:space="0" w:color="000000"/>
              <w:bottom w:val="single" w:sz="4" w:space="0" w:color="000000"/>
            </w:tcBorders>
            <w:vAlign w:val="center"/>
          </w:tcPr>
          <w:p w14:paraId="52D89AAF" w14:textId="7563889C" w:rsidR="00F00E58" w:rsidRPr="00D4309F" w:rsidRDefault="00F00E58" w:rsidP="007E44C8">
            <w:pPr>
              <w:pStyle w:val="Table-Bullet"/>
            </w:pPr>
            <w:r w:rsidRPr="00D4309F">
              <w:rPr>
                <w:color w:val="211E1F"/>
                <w:spacing w:val="-4"/>
              </w:rPr>
              <w:t>None</w:t>
            </w:r>
          </w:p>
        </w:tc>
      </w:tr>
      <w:tr w:rsidR="00F00E58" w:rsidRPr="00D4309F" w14:paraId="125E01BC" w14:textId="77777777" w:rsidTr="007E44C8">
        <w:trPr>
          <w:cantSplit/>
          <w:trHeight w:val="20"/>
        </w:trPr>
        <w:tc>
          <w:tcPr>
            <w:tcW w:w="518" w:type="pct"/>
            <w:tcBorders>
              <w:top w:val="single" w:sz="4" w:space="0" w:color="000000"/>
              <w:bottom w:val="single" w:sz="4" w:space="0" w:color="000000"/>
            </w:tcBorders>
            <w:vAlign w:val="center"/>
          </w:tcPr>
          <w:p w14:paraId="16D40E83" w14:textId="53E2CF9E" w:rsidR="00F00E58" w:rsidRPr="00D4309F" w:rsidRDefault="00F00E58" w:rsidP="007E44C8">
            <w:pPr>
              <w:pStyle w:val="Table-Text"/>
              <w:rPr>
                <w:b/>
              </w:rPr>
            </w:pPr>
            <w:r w:rsidRPr="00D4309F">
              <w:lastRenderedPageBreak/>
              <w:t>Marine</w:t>
            </w:r>
            <w:r w:rsidRPr="00D4309F">
              <w:rPr>
                <w:spacing w:val="-4"/>
              </w:rPr>
              <w:t xml:space="preserve"> </w:t>
            </w:r>
            <w:r w:rsidRPr="00D4309F">
              <w:t>fauna</w:t>
            </w:r>
          </w:p>
        </w:tc>
        <w:tc>
          <w:tcPr>
            <w:tcW w:w="407" w:type="pct"/>
            <w:tcBorders>
              <w:top w:val="single" w:sz="4" w:space="0" w:color="000000"/>
              <w:bottom w:val="single" w:sz="4" w:space="0" w:color="000000"/>
            </w:tcBorders>
            <w:vAlign w:val="center"/>
          </w:tcPr>
          <w:p w14:paraId="603D84B0" w14:textId="4F76CD56" w:rsidR="00F00E58" w:rsidRPr="00D4309F" w:rsidRDefault="00F00E58" w:rsidP="00F00E58">
            <w:pPr>
              <w:pStyle w:val="TableParagraph"/>
              <w:rPr>
                <w:b/>
                <w:sz w:val="18"/>
              </w:rPr>
            </w:pPr>
            <w:r w:rsidRPr="00D4309F">
              <w:rPr>
                <w:color w:val="211E1F"/>
                <w:spacing w:val="-2"/>
                <w:sz w:val="18"/>
              </w:rPr>
              <w:t>Mobile species</w:t>
            </w:r>
          </w:p>
        </w:tc>
        <w:tc>
          <w:tcPr>
            <w:tcW w:w="1069" w:type="pct"/>
            <w:tcBorders>
              <w:top w:val="single" w:sz="4" w:space="0" w:color="000000"/>
              <w:bottom w:val="single" w:sz="4" w:space="0" w:color="000000"/>
            </w:tcBorders>
            <w:vAlign w:val="center"/>
          </w:tcPr>
          <w:p w14:paraId="3318509F" w14:textId="1340B1C1" w:rsidR="00F00E58" w:rsidRPr="00D4309F" w:rsidRDefault="00F00E58" w:rsidP="007E44C8">
            <w:pPr>
              <w:pStyle w:val="Table-Bullet"/>
              <w:rPr>
                <w:b/>
              </w:rPr>
            </w:pPr>
            <w:r w:rsidRPr="00D4309F">
              <w:rPr>
                <w:spacing w:val="-2"/>
              </w:rPr>
              <w:t xml:space="preserve">Mortality/injury/behavioural </w:t>
            </w:r>
            <w:r w:rsidRPr="00D4309F">
              <w:t>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toxic</w:t>
            </w:r>
            <w:r w:rsidRPr="00D4309F">
              <w:rPr>
                <w:spacing w:val="-10"/>
              </w:rPr>
              <w:t xml:space="preserve"> </w:t>
            </w:r>
            <w:r w:rsidRPr="00D4309F">
              <w:t xml:space="preserve">effects due to release of </w:t>
            </w:r>
            <w:r w:rsidRPr="00D4309F">
              <w:rPr>
                <w:spacing w:val="-2"/>
              </w:rPr>
              <w:t>contaminants/hypoxia</w:t>
            </w:r>
          </w:p>
        </w:tc>
        <w:tc>
          <w:tcPr>
            <w:tcW w:w="537" w:type="pct"/>
            <w:tcBorders>
              <w:top w:val="single" w:sz="4" w:space="0" w:color="000000"/>
              <w:bottom w:val="single" w:sz="4" w:space="0" w:color="000000"/>
            </w:tcBorders>
            <w:shd w:val="clear" w:color="auto" w:fill="92D050"/>
            <w:vAlign w:val="center"/>
          </w:tcPr>
          <w:p w14:paraId="46D9A0D4" w14:textId="795F1B81" w:rsidR="00F00E58" w:rsidRPr="00F00E58" w:rsidRDefault="00F00E58" w:rsidP="00F00E58">
            <w:pPr>
              <w:pStyle w:val="Table-Text"/>
              <w:rPr>
                <w:b/>
                <w:bCs/>
              </w:rPr>
            </w:pPr>
            <w:r w:rsidRPr="00F00E58">
              <w:rPr>
                <w:b/>
                <w:bCs/>
                <w:spacing w:val="-5"/>
              </w:rPr>
              <w:t>Low</w:t>
            </w:r>
          </w:p>
        </w:tc>
        <w:tc>
          <w:tcPr>
            <w:tcW w:w="942" w:type="pct"/>
            <w:tcBorders>
              <w:top w:val="single" w:sz="4" w:space="0" w:color="000000"/>
              <w:bottom w:val="single" w:sz="4" w:space="0" w:color="000000"/>
            </w:tcBorders>
            <w:vAlign w:val="center"/>
          </w:tcPr>
          <w:p w14:paraId="50AF2783" w14:textId="77777777" w:rsidR="00F00E58" w:rsidRPr="00D4309F" w:rsidRDefault="00F00E58" w:rsidP="007E44C8">
            <w:pPr>
              <w:pStyle w:val="Table-Bullet"/>
            </w:pPr>
            <w:r w:rsidRPr="00D4309F">
              <w:t>Dredge sediments likely comprise clean marine sand</w:t>
            </w:r>
            <w:r w:rsidRPr="00D4309F">
              <w:rPr>
                <w:spacing w:val="-13"/>
              </w:rPr>
              <w:t xml:space="preserve"> </w:t>
            </w:r>
            <w:r w:rsidRPr="00D4309F">
              <w:t>free</w:t>
            </w:r>
            <w:r w:rsidRPr="00D4309F">
              <w:rPr>
                <w:spacing w:val="-12"/>
              </w:rPr>
              <w:t xml:space="preserve"> </w:t>
            </w:r>
            <w:r w:rsidRPr="00D4309F">
              <w:t>of</w:t>
            </w:r>
            <w:r w:rsidRPr="00D4309F">
              <w:rPr>
                <w:spacing w:val="-13"/>
              </w:rPr>
              <w:t xml:space="preserve"> </w:t>
            </w:r>
            <w:r w:rsidRPr="00D4309F">
              <w:t xml:space="preserve">contaminants with low organic matter </w:t>
            </w:r>
            <w:r w:rsidRPr="00D4309F">
              <w:rPr>
                <w:spacing w:val="-2"/>
              </w:rPr>
              <w:t>content</w:t>
            </w:r>
          </w:p>
          <w:p w14:paraId="25FBC048" w14:textId="6A8BABF9" w:rsidR="00F00E58" w:rsidRPr="00D4309F" w:rsidRDefault="00F00E58" w:rsidP="007E44C8">
            <w:pPr>
              <w:pStyle w:val="Table-Bullet"/>
              <w:rPr>
                <w:b/>
              </w:rPr>
            </w:pPr>
            <w:r w:rsidRPr="00D4309F">
              <w:t>Breakwater</w:t>
            </w:r>
            <w:r w:rsidRPr="00D4309F">
              <w:rPr>
                <w:spacing w:val="-8"/>
              </w:rPr>
              <w:t xml:space="preserve"> </w:t>
            </w:r>
            <w:r w:rsidRPr="00D4309F">
              <w:t>construction materials</w:t>
            </w:r>
            <w:r w:rsidRPr="00D4309F">
              <w:rPr>
                <w:spacing w:val="-13"/>
              </w:rPr>
              <w:t xml:space="preserve"> </w:t>
            </w:r>
            <w:r w:rsidRPr="00D4309F">
              <w:t>assumed</w:t>
            </w:r>
            <w:r w:rsidRPr="00D4309F">
              <w:rPr>
                <w:spacing w:val="-12"/>
              </w:rPr>
              <w:t xml:space="preserve"> </w:t>
            </w:r>
            <w:r w:rsidRPr="00D4309F">
              <w:t>to</w:t>
            </w:r>
            <w:r w:rsidRPr="00D4309F">
              <w:rPr>
                <w:spacing w:val="-13"/>
              </w:rPr>
              <w:t xml:space="preserve"> </w:t>
            </w:r>
            <w:r w:rsidRPr="00D4309F">
              <w:t>be free of contamination</w:t>
            </w:r>
          </w:p>
        </w:tc>
        <w:tc>
          <w:tcPr>
            <w:tcW w:w="708" w:type="pct"/>
            <w:tcBorders>
              <w:top w:val="single" w:sz="4" w:space="0" w:color="000000"/>
              <w:bottom w:val="single" w:sz="4" w:space="0" w:color="000000"/>
            </w:tcBorders>
            <w:vAlign w:val="center"/>
          </w:tcPr>
          <w:p w14:paraId="460C46C6" w14:textId="4DA69AC1" w:rsidR="00F00E58" w:rsidRPr="00D4309F" w:rsidRDefault="00F00E58" w:rsidP="007E44C8">
            <w:pPr>
              <w:pStyle w:val="Table-Bullet"/>
              <w:rPr>
                <w:b/>
              </w:rPr>
            </w:pPr>
            <w:r w:rsidRPr="00D4309F">
              <w:t>Assumption</w:t>
            </w:r>
            <w:r w:rsidRPr="00D4309F">
              <w:rPr>
                <w:spacing w:val="-13"/>
              </w:rPr>
              <w:t xml:space="preserve"> </w:t>
            </w:r>
            <w:r w:rsidRPr="00D4309F">
              <w:t>that suitable data exists to inform this risk</w:t>
            </w:r>
          </w:p>
        </w:tc>
        <w:tc>
          <w:tcPr>
            <w:tcW w:w="818" w:type="pct"/>
            <w:tcBorders>
              <w:top w:val="single" w:sz="4" w:space="0" w:color="000000"/>
              <w:bottom w:val="single" w:sz="4" w:space="0" w:color="000000"/>
            </w:tcBorders>
            <w:vAlign w:val="center"/>
          </w:tcPr>
          <w:p w14:paraId="6003F1BE" w14:textId="3748C2BD" w:rsidR="00F00E58" w:rsidRPr="00D4309F" w:rsidRDefault="00F00E58" w:rsidP="007E44C8">
            <w:pPr>
              <w:pStyle w:val="Table-Bullet"/>
            </w:pPr>
            <w:r w:rsidRPr="00D4309F">
              <w:rPr>
                <w:color w:val="211E1F"/>
                <w:spacing w:val="-4"/>
              </w:rPr>
              <w:t>None</w:t>
            </w:r>
          </w:p>
        </w:tc>
      </w:tr>
      <w:tr w:rsidR="00F00E58" w:rsidRPr="00D4309F" w14:paraId="4D6CE087" w14:textId="77777777" w:rsidTr="007E44C8">
        <w:trPr>
          <w:cantSplit/>
          <w:trHeight w:val="20"/>
        </w:trPr>
        <w:tc>
          <w:tcPr>
            <w:tcW w:w="518" w:type="pct"/>
            <w:tcBorders>
              <w:top w:val="single" w:sz="4" w:space="0" w:color="000000"/>
              <w:bottom w:val="single" w:sz="4" w:space="0" w:color="000000"/>
            </w:tcBorders>
            <w:vAlign w:val="center"/>
          </w:tcPr>
          <w:p w14:paraId="7015E766" w14:textId="5D78B966" w:rsidR="00F00E58" w:rsidRPr="00D4309F" w:rsidRDefault="00F00E58" w:rsidP="007E44C8">
            <w:pPr>
              <w:pStyle w:val="Table-Text"/>
              <w:rPr>
                <w:b/>
              </w:rPr>
            </w:pPr>
            <w:r w:rsidRPr="00D4309F">
              <w:t>Benthic habitats</w:t>
            </w:r>
          </w:p>
        </w:tc>
        <w:tc>
          <w:tcPr>
            <w:tcW w:w="407" w:type="pct"/>
            <w:tcBorders>
              <w:top w:val="single" w:sz="4" w:space="0" w:color="000000"/>
              <w:bottom w:val="single" w:sz="4" w:space="0" w:color="000000"/>
            </w:tcBorders>
            <w:vAlign w:val="center"/>
          </w:tcPr>
          <w:p w14:paraId="135B2247" w14:textId="2678ACF7" w:rsidR="00F00E58" w:rsidRPr="00D4309F" w:rsidRDefault="00F00E58" w:rsidP="00F00E58">
            <w:pPr>
              <w:pStyle w:val="TableParagraph"/>
              <w:rPr>
                <w:b/>
                <w:sz w:val="18"/>
              </w:rPr>
            </w:pPr>
            <w:r w:rsidRPr="00D4309F">
              <w:rPr>
                <w:color w:val="211E1F"/>
                <w:sz w:val="18"/>
              </w:rPr>
              <w:t>Rocky</w:t>
            </w:r>
            <w:r w:rsidRPr="00D4309F">
              <w:rPr>
                <w:color w:val="211E1F"/>
                <w:spacing w:val="-13"/>
                <w:sz w:val="18"/>
              </w:rPr>
              <w:t xml:space="preserve"> </w:t>
            </w:r>
            <w:r w:rsidRPr="00D4309F">
              <w:rPr>
                <w:color w:val="211E1F"/>
                <w:sz w:val="18"/>
              </w:rPr>
              <w:t xml:space="preserve">reef </w:t>
            </w:r>
            <w:r w:rsidRPr="00D4309F">
              <w:rPr>
                <w:color w:val="211E1F"/>
                <w:spacing w:val="-2"/>
                <w:sz w:val="18"/>
              </w:rPr>
              <w:t xml:space="preserve">habitat, seagrass </w:t>
            </w:r>
            <w:r w:rsidRPr="00D4309F">
              <w:rPr>
                <w:color w:val="211E1F"/>
                <w:sz w:val="18"/>
              </w:rPr>
              <w:t>and</w:t>
            </w:r>
            <w:r w:rsidRPr="00D4309F">
              <w:rPr>
                <w:color w:val="211E1F"/>
                <w:spacing w:val="-10"/>
                <w:sz w:val="18"/>
              </w:rPr>
              <w:t xml:space="preserve"> </w:t>
            </w:r>
            <w:r w:rsidRPr="00D4309F">
              <w:rPr>
                <w:color w:val="211E1F"/>
                <w:sz w:val="18"/>
              </w:rPr>
              <w:t>corals</w:t>
            </w:r>
          </w:p>
        </w:tc>
        <w:tc>
          <w:tcPr>
            <w:tcW w:w="1069" w:type="pct"/>
            <w:tcBorders>
              <w:top w:val="single" w:sz="4" w:space="0" w:color="000000"/>
              <w:bottom w:val="single" w:sz="4" w:space="0" w:color="000000"/>
            </w:tcBorders>
            <w:vAlign w:val="center"/>
          </w:tcPr>
          <w:p w14:paraId="3F9FB52E" w14:textId="77777777" w:rsidR="00F00E58" w:rsidRPr="00D4309F" w:rsidRDefault="00F00E58" w:rsidP="007E44C8">
            <w:pPr>
              <w:pStyle w:val="Table-Bullet"/>
            </w:pPr>
            <w:r w:rsidRPr="00D4309F">
              <w:t>Direct</w:t>
            </w:r>
            <w:r w:rsidRPr="00D4309F">
              <w:rPr>
                <w:spacing w:val="-10"/>
              </w:rPr>
              <w:t xml:space="preserve"> </w:t>
            </w:r>
            <w:r w:rsidRPr="00D4309F">
              <w:t>removal</w:t>
            </w:r>
            <w:r w:rsidRPr="00D4309F">
              <w:rPr>
                <w:spacing w:val="-9"/>
              </w:rPr>
              <w:t xml:space="preserve"> </w:t>
            </w:r>
            <w:r w:rsidRPr="00D4309F">
              <w:t>due</w:t>
            </w:r>
            <w:r w:rsidRPr="00D4309F">
              <w:rPr>
                <w:spacing w:val="-10"/>
              </w:rPr>
              <w:t xml:space="preserve"> </w:t>
            </w:r>
            <w:r w:rsidRPr="00D4309F">
              <w:t>to</w:t>
            </w:r>
            <w:r w:rsidRPr="00D4309F">
              <w:rPr>
                <w:spacing w:val="-10"/>
              </w:rPr>
              <w:t xml:space="preserve"> </w:t>
            </w:r>
            <w:r w:rsidRPr="00D4309F">
              <w:t>dredging and construction</w:t>
            </w:r>
          </w:p>
          <w:p w14:paraId="6CF66B51" w14:textId="77777777" w:rsidR="00F00E58" w:rsidRPr="00D4309F" w:rsidRDefault="00F00E58" w:rsidP="007E44C8">
            <w:pPr>
              <w:pStyle w:val="Table-Bullet"/>
            </w:pPr>
            <w:r w:rsidRPr="00D4309F">
              <w:t>Generation</w:t>
            </w:r>
            <w:r w:rsidRPr="00D4309F">
              <w:rPr>
                <w:spacing w:val="-4"/>
              </w:rPr>
              <w:t xml:space="preserve"> </w:t>
            </w:r>
            <w:r w:rsidRPr="00D4309F">
              <w:t>of</w:t>
            </w:r>
            <w:r w:rsidRPr="00D4309F">
              <w:rPr>
                <w:spacing w:val="-3"/>
              </w:rPr>
              <w:t xml:space="preserve"> </w:t>
            </w:r>
            <w:r w:rsidRPr="00D4309F">
              <w:rPr>
                <w:spacing w:val="-2"/>
              </w:rPr>
              <w:t>turbidity</w:t>
            </w:r>
          </w:p>
          <w:p w14:paraId="2A3EB8C3" w14:textId="447FF8D0" w:rsidR="00F00E58" w:rsidRPr="00D4309F" w:rsidRDefault="00F00E58" w:rsidP="007E44C8">
            <w:pPr>
              <w:pStyle w:val="Table-Bullet"/>
              <w:rPr>
                <w:b/>
              </w:rPr>
            </w:pPr>
            <w:r w:rsidRPr="00D4309F">
              <w:rPr>
                <w:spacing w:val="-2"/>
              </w:rPr>
              <w:t>Smothering</w:t>
            </w:r>
          </w:p>
        </w:tc>
        <w:tc>
          <w:tcPr>
            <w:tcW w:w="537" w:type="pct"/>
            <w:tcBorders>
              <w:top w:val="single" w:sz="4" w:space="0" w:color="000000"/>
              <w:bottom w:val="single" w:sz="4" w:space="0" w:color="000000"/>
            </w:tcBorders>
            <w:shd w:val="clear" w:color="auto" w:fill="FFC000"/>
            <w:vAlign w:val="center"/>
          </w:tcPr>
          <w:p w14:paraId="4342E8CE" w14:textId="070031FB" w:rsidR="00F00E58" w:rsidRPr="00F00E58" w:rsidRDefault="00F00E58" w:rsidP="00F00E58">
            <w:pPr>
              <w:pStyle w:val="Table-Text"/>
              <w:rPr>
                <w:b/>
                <w:bCs/>
              </w:rPr>
            </w:pPr>
            <w:r w:rsidRPr="00F00E58">
              <w:rPr>
                <w:b/>
                <w:bCs/>
              </w:rPr>
              <w:t>High (for breakwater construction)</w:t>
            </w:r>
          </w:p>
        </w:tc>
        <w:tc>
          <w:tcPr>
            <w:tcW w:w="942" w:type="pct"/>
            <w:tcBorders>
              <w:top w:val="single" w:sz="4" w:space="0" w:color="000000"/>
              <w:bottom w:val="single" w:sz="4" w:space="0" w:color="000000"/>
            </w:tcBorders>
            <w:vAlign w:val="center"/>
          </w:tcPr>
          <w:p w14:paraId="2D8A1352" w14:textId="77777777" w:rsidR="00F00E58" w:rsidRPr="00D4309F" w:rsidRDefault="00F00E58" w:rsidP="007E44C8">
            <w:pPr>
              <w:pStyle w:val="Table-Bullet"/>
            </w:pPr>
            <w:r w:rsidRPr="00D4309F">
              <w:t>The dredge area likely comprises bare sand, further assessment is required</w:t>
            </w:r>
            <w:r w:rsidRPr="00D4309F">
              <w:rPr>
                <w:spacing w:val="-13"/>
              </w:rPr>
              <w:t xml:space="preserve"> </w:t>
            </w:r>
            <w:r w:rsidRPr="00D4309F">
              <w:t>for</w:t>
            </w:r>
            <w:r w:rsidRPr="00D4309F">
              <w:rPr>
                <w:spacing w:val="-12"/>
              </w:rPr>
              <w:t xml:space="preserve"> </w:t>
            </w:r>
            <w:r w:rsidRPr="00D4309F">
              <w:t>the</w:t>
            </w:r>
            <w:r w:rsidRPr="00D4309F">
              <w:rPr>
                <w:spacing w:val="-13"/>
              </w:rPr>
              <w:t xml:space="preserve"> </w:t>
            </w:r>
            <w:r w:rsidRPr="00D4309F">
              <w:t>breakwater extension footprint</w:t>
            </w:r>
          </w:p>
          <w:p w14:paraId="2513FFEA" w14:textId="77777777" w:rsidR="00F00E58" w:rsidRPr="00D4309F" w:rsidRDefault="00F00E58" w:rsidP="007E44C8">
            <w:pPr>
              <w:pStyle w:val="Table-Bullet"/>
            </w:pPr>
            <w:r w:rsidRPr="00D4309F">
              <w:t>Further assessment is required to determine if the potential</w:t>
            </w:r>
            <w:r w:rsidRPr="00D4309F">
              <w:rPr>
                <w:spacing w:val="-15"/>
              </w:rPr>
              <w:t xml:space="preserve"> </w:t>
            </w:r>
            <w:r w:rsidRPr="00D4309F">
              <w:t>turbidity</w:t>
            </w:r>
            <w:r w:rsidRPr="00D4309F">
              <w:rPr>
                <w:spacing w:val="-12"/>
              </w:rPr>
              <w:t xml:space="preserve"> </w:t>
            </w:r>
            <w:r w:rsidRPr="00D4309F">
              <w:t xml:space="preserve">generated will impact sensitive marine </w:t>
            </w:r>
            <w:r w:rsidRPr="00D4309F">
              <w:rPr>
                <w:spacing w:val="-2"/>
              </w:rPr>
              <w:t>habitats</w:t>
            </w:r>
          </w:p>
          <w:p w14:paraId="0B4D86A8" w14:textId="77777777" w:rsidR="00F00E58" w:rsidRPr="00D4309F" w:rsidRDefault="00F00E58" w:rsidP="007E44C8">
            <w:pPr>
              <w:pStyle w:val="Table-Bullet"/>
            </w:pPr>
            <w:r w:rsidRPr="00D4309F">
              <w:t>Dredging and construction is</w:t>
            </w:r>
            <w:r w:rsidRPr="00D4309F">
              <w:rPr>
                <w:spacing w:val="-8"/>
              </w:rPr>
              <w:t xml:space="preserve"> </w:t>
            </w:r>
            <w:r w:rsidRPr="00D4309F">
              <w:t>in</w:t>
            </w:r>
            <w:r w:rsidRPr="00D4309F">
              <w:rPr>
                <w:spacing w:val="-9"/>
              </w:rPr>
              <w:t xml:space="preserve"> </w:t>
            </w:r>
            <w:r w:rsidRPr="00D4309F">
              <w:t>a</w:t>
            </w:r>
            <w:r w:rsidRPr="00D4309F">
              <w:rPr>
                <w:spacing w:val="-9"/>
              </w:rPr>
              <w:t xml:space="preserve"> </w:t>
            </w:r>
            <w:r w:rsidRPr="00D4309F">
              <w:t>dynamic,</w:t>
            </w:r>
            <w:r w:rsidRPr="00D4309F">
              <w:rPr>
                <w:spacing w:val="-8"/>
              </w:rPr>
              <w:t xml:space="preserve"> </w:t>
            </w:r>
            <w:r w:rsidRPr="00D4309F">
              <w:t>open</w:t>
            </w:r>
            <w:r w:rsidRPr="00D4309F">
              <w:rPr>
                <w:spacing w:val="-9"/>
              </w:rPr>
              <w:t xml:space="preserve"> </w:t>
            </w:r>
            <w:r w:rsidRPr="00D4309F">
              <w:t>ocean environment,</w:t>
            </w:r>
            <w:r w:rsidRPr="00D4309F">
              <w:rPr>
                <w:spacing w:val="-10"/>
              </w:rPr>
              <w:t xml:space="preserve"> </w:t>
            </w:r>
            <w:r w:rsidRPr="00D4309F">
              <w:t>any</w:t>
            </w:r>
            <w:r w:rsidRPr="00D4309F">
              <w:rPr>
                <w:spacing w:val="-10"/>
              </w:rPr>
              <w:t xml:space="preserve"> </w:t>
            </w:r>
            <w:r w:rsidRPr="00D4309F">
              <w:t>plume</w:t>
            </w:r>
            <w:r w:rsidRPr="00D4309F">
              <w:rPr>
                <w:spacing w:val="-11"/>
              </w:rPr>
              <w:t xml:space="preserve"> </w:t>
            </w:r>
            <w:r w:rsidRPr="00D4309F">
              <w:t>will likely dissipate quickly</w:t>
            </w:r>
          </w:p>
          <w:p w14:paraId="78EA0A1D" w14:textId="38339BEC" w:rsidR="00F00E58" w:rsidRPr="00D4309F" w:rsidRDefault="00F00E58" w:rsidP="007E44C8">
            <w:pPr>
              <w:pStyle w:val="Table-Bullet"/>
              <w:rPr>
                <w:b/>
              </w:rPr>
            </w:pPr>
            <w:r w:rsidRPr="00D4309F">
              <w:t>Turbidity</w:t>
            </w:r>
            <w:r w:rsidRPr="00D4309F">
              <w:rPr>
                <w:spacing w:val="-8"/>
              </w:rPr>
              <w:t xml:space="preserve"> </w:t>
            </w:r>
            <w:r w:rsidRPr="00D4309F">
              <w:t>is</w:t>
            </w:r>
            <w:r w:rsidRPr="00D4309F">
              <w:rPr>
                <w:spacing w:val="-8"/>
              </w:rPr>
              <w:t xml:space="preserve"> </w:t>
            </w:r>
            <w:r w:rsidRPr="00D4309F">
              <w:t>likely</w:t>
            </w:r>
            <w:r w:rsidRPr="00D4309F">
              <w:rPr>
                <w:spacing w:val="-8"/>
              </w:rPr>
              <w:t xml:space="preserve"> </w:t>
            </w:r>
            <w:r w:rsidRPr="00D4309F">
              <w:t>to</w:t>
            </w:r>
            <w:r w:rsidRPr="00D4309F">
              <w:rPr>
                <w:spacing w:val="-9"/>
              </w:rPr>
              <w:t xml:space="preserve"> </w:t>
            </w:r>
            <w:r w:rsidRPr="00D4309F">
              <w:t>be</w:t>
            </w:r>
            <w:r w:rsidRPr="00D4309F">
              <w:rPr>
                <w:spacing w:val="-9"/>
              </w:rPr>
              <w:t xml:space="preserve"> </w:t>
            </w:r>
            <w:r w:rsidRPr="00D4309F">
              <w:t>more extensive during</w:t>
            </w:r>
            <w:r w:rsidRPr="00D4309F">
              <w:rPr>
                <w:spacing w:val="40"/>
              </w:rPr>
              <w:t xml:space="preserve"> </w:t>
            </w:r>
            <w:r w:rsidRPr="00D4309F">
              <w:t>breakwater extension</w:t>
            </w:r>
          </w:p>
        </w:tc>
        <w:tc>
          <w:tcPr>
            <w:tcW w:w="708" w:type="pct"/>
            <w:tcBorders>
              <w:top w:val="single" w:sz="4" w:space="0" w:color="000000"/>
              <w:bottom w:val="single" w:sz="4" w:space="0" w:color="000000"/>
            </w:tcBorders>
            <w:vAlign w:val="center"/>
          </w:tcPr>
          <w:p w14:paraId="71673581" w14:textId="77777777" w:rsidR="00F00E58" w:rsidRPr="00D4309F" w:rsidRDefault="00F00E58" w:rsidP="007E44C8">
            <w:pPr>
              <w:pStyle w:val="Table-Bullet"/>
            </w:pPr>
            <w:r w:rsidRPr="00D4309F">
              <w:t>Benthic habitat assessment</w:t>
            </w:r>
            <w:r w:rsidRPr="00D4309F">
              <w:rPr>
                <w:spacing w:val="-15"/>
              </w:rPr>
              <w:t xml:space="preserve"> </w:t>
            </w:r>
            <w:r w:rsidRPr="00D4309F">
              <w:t>in</w:t>
            </w:r>
            <w:r w:rsidRPr="00D4309F">
              <w:rPr>
                <w:spacing w:val="-12"/>
              </w:rPr>
              <w:t xml:space="preserve"> </w:t>
            </w:r>
            <w:r w:rsidRPr="00D4309F">
              <w:t xml:space="preserve">and </w:t>
            </w:r>
            <w:r w:rsidRPr="00D4309F">
              <w:rPr>
                <w:spacing w:val="-2"/>
              </w:rPr>
              <w:t xml:space="preserve">surrounding </w:t>
            </w:r>
            <w:r w:rsidRPr="00D4309F">
              <w:t>disturbance area</w:t>
            </w:r>
          </w:p>
          <w:p w14:paraId="4592EE39" w14:textId="1F7C995D" w:rsidR="00F00E58" w:rsidRPr="00D4309F" w:rsidRDefault="00F00E58" w:rsidP="007E44C8">
            <w:pPr>
              <w:pStyle w:val="Table-Bullet"/>
              <w:rPr>
                <w:b/>
              </w:rPr>
            </w:pPr>
            <w:r w:rsidRPr="00D4309F">
              <w:t>Turbidity</w:t>
            </w:r>
            <w:r w:rsidRPr="00D4309F">
              <w:rPr>
                <w:spacing w:val="-5"/>
              </w:rPr>
              <w:t xml:space="preserve"> </w:t>
            </w:r>
            <w:r w:rsidRPr="00D4309F">
              <w:rPr>
                <w:spacing w:val="-2"/>
              </w:rPr>
              <w:t>modelling</w:t>
            </w:r>
          </w:p>
        </w:tc>
        <w:tc>
          <w:tcPr>
            <w:tcW w:w="818" w:type="pct"/>
            <w:tcBorders>
              <w:top w:val="single" w:sz="4" w:space="0" w:color="000000"/>
              <w:bottom w:val="single" w:sz="4" w:space="0" w:color="000000"/>
            </w:tcBorders>
            <w:vAlign w:val="center"/>
          </w:tcPr>
          <w:p w14:paraId="4AA9B5FF" w14:textId="77777777" w:rsidR="00F00E58" w:rsidRPr="00D4309F" w:rsidRDefault="00F00E58" w:rsidP="007E44C8">
            <w:pPr>
              <w:pStyle w:val="Table-Bullet"/>
            </w:pPr>
            <w:r w:rsidRPr="00D4309F">
              <w:t>Turbidity</w:t>
            </w:r>
            <w:r w:rsidRPr="00D4309F">
              <w:rPr>
                <w:spacing w:val="-13"/>
              </w:rPr>
              <w:t xml:space="preserve"> </w:t>
            </w:r>
            <w:r w:rsidRPr="00D4309F">
              <w:t>monitoring during works</w:t>
            </w:r>
          </w:p>
          <w:p w14:paraId="6BB7C9AE" w14:textId="77777777" w:rsidR="00F00E58" w:rsidRPr="00D4309F" w:rsidRDefault="00F00E58" w:rsidP="007E44C8">
            <w:pPr>
              <w:pStyle w:val="Table-Bullet"/>
            </w:pPr>
            <w:r w:rsidRPr="00D4309F">
              <w:t>Standard turbidity mitigation</w:t>
            </w:r>
            <w:r w:rsidRPr="00D4309F">
              <w:rPr>
                <w:spacing w:val="-13"/>
              </w:rPr>
              <w:t xml:space="preserve"> </w:t>
            </w:r>
            <w:r w:rsidRPr="00D4309F">
              <w:t>procedures</w:t>
            </w:r>
          </w:p>
          <w:p w14:paraId="04C11472" w14:textId="77777777" w:rsidR="00F00E58" w:rsidRPr="00D4309F" w:rsidRDefault="00F00E58" w:rsidP="007E44C8">
            <w:pPr>
              <w:pStyle w:val="Table-Bullet"/>
            </w:pPr>
            <w:r w:rsidRPr="00D4309F">
              <w:t>e.g.</w:t>
            </w:r>
            <w:r w:rsidRPr="00D4309F">
              <w:rPr>
                <w:spacing w:val="-15"/>
              </w:rPr>
              <w:t xml:space="preserve"> </w:t>
            </w:r>
            <w:r w:rsidRPr="00D4309F">
              <w:t>silt</w:t>
            </w:r>
            <w:r w:rsidRPr="00D4309F">
              <w:rPr>
                <w:spacing w:val="-12"/>
              </w:rPr>
              <w:t xml:space="preserve"> </w:t>
            </w:r>
            <w:r w:rsidRPr="00D4309F">
              <w:t>curtains, staging</w:t>
            </w:r>
            <w:r w:rsidRPr="00D4309F">
              <w:rPr>
                <w:spacing w:val="-3"/>
              </w:rPr>
              <w:t xml:space="preserve"> </w:t>
            </w:r>
            <w:r w:rsidRPr="00D4309F">
              <w:t>of</w:t>
            </w:r>
            <w:r w:rsidRPr="00D4309F">
              <w:rPr>
                <w:spacing w:val="-2"/>
              </w:rPr>
              <w:t xml:space="preserve"> works</w:t>
            </w:r>
          </w:p>
          <w:p w14:paraId="30C9EBEE" w14:textId="7E3A132E" w:rsidR="00F00E58" w:rsidRPr="00D4309F" w:rsidRDefault="00F00E58" w:rsidP="007E44C8">
            <w:pPr>
              <w:pStyle w:val="Table-Bullet"/>
            </w:pPr>
            <w:r w:rsidRPr="00D4309F">
              <w:t>Benthic</w:t>
            </w:r>
            <w:r w:rsidRPr="00D4309F">
              <w:rPr>
                <w:spacing w:val="-13"/>
              </w:rPr>
              <w:t xml:space="preserve"> </w:t>
            </w:r>
            <w:r w:rsidRPr="00D4309F">
              <w:t xml:space="preserve">habitat </w:t>
            </w:r>
            <w:r w:rsidRPr="00D4309F">
              <w:rPr>
                <w:spacing w:val="-2"/>
              </w:rPr>
              <w:t>monitoring</w:t>
            </w:r>
          </w:p>
        </w:tc>
      </w:tr>
      <w:tr w:rsidR="00F00E58" w:rsidRPr="00D4309F" w14:paraId="6BF718CA" w14:textId="77777777" w:rsidTr="007E44C8">
        <w:trPr>
          <w:cantSplit/>
          <w:trHeight w:val="20"/>
        </w:trPr>
        <w:tc>
          <w:tcPr>
            <w:tcW w:w="518" w:type="pct"/>
            <w:tcBorders>
              <w:top w:val="single" w:sz="4" w:space="0" w:color="000000"/>
              <w:bottom w:val="single" w:sz="4" w:space="0" w:color="000000"/>
            </w:tcBorders>
            <w:vAlign w:val="center"/>
          </w:tcPr>
          <w:p w14:paraId="40ECE339" w14:textId="00BC0F9F" w:rsidR="00F00E58" w:rsidRPr="00D4309F" w:rsidRDefault="00F00E58" w:rsidP="007E44C8">
            <w:pPr>
              <w:pStyle w:val="Table-Text"/>
              <w:rPr>
                <w:b/>
              </w:rPr>
            </w:pPr>
            <w:r w:rsidRPr="00D4309F">
              <w:t>Benthic habitats</w:t>
            </w:r>
          </w:p>
        </w:tc>
        <w:tc>
          <w:tcPr>
            <w:tcW w:w="407" w:type="pct"/>
            <w:tcBorders>
              <w:top w:val="single" w:sz="4" w:space="0" w:color="000000"/>
              <w:bottom w:val="single" w:sz="4" w:space="0" w:color="000000"/>
            </w:tcBorders>
            <w:vAlign w:val="center"/>
          </w:tcPr>
          <w:p w14:paraId="5AD5CBF6" w14:textId="469EE6ED" w:rsidR="00F00E58" w:rsidRPr="00D4309F" w:rsidRDefault="00F00E58" w:rsidP="00F00E58">
            <w:pPr>
              <w:pStyle w:val="TableParagraph"/>
              <w:rPr>
                <w:b/>
                <w:sz w:val="18"/>
              </w:rPr>
            </w:pPr>
            <w:r w:rsidRPr="00D4309F">
              <w:rPr>
                <w:color w:val="211E1F"/>
                <w:sz w:val="18"/>
              </w:rPr>
              <w:t>Rocky</w:t>
            </w:r>
            <w:r w:rsidRPr="00D4309F">
              <w:rPr>
                <w:color w:val="211E1F"/>
                <w:spacing w:val="-13"/>
                <w:sz w:val="18"/>
              </w:rPr>
              <w:t xml:space="preserve"> </w:t>
            </w:r>
            <w:r w:rsidRPr="00D4309F">
              <w:rPr>
                <w:color w:val="211E1F"/>
                <w:sz w:val="18"/>
              </w:rPr>
              <w:t xml:space="preserve">reef </w:t>
            </w:r>
            <w:r w:rsidRPr="00D4309F">
              <w:rPr>
                <w:color w:val="211E1F"/>
                <w:spacing w:val="-2"/>
                <w:sz w:val="18"/>
              </w:rPr>
              <w:t xml:space="preserve">habitat, seagrass </w:t>
            </w:r>
            <w:r w:rsidRPr="00D4309F">
              <w:rPr>
                <w:color w:val="211E1F"/>
                <w:sz w:val="18"/>
              </w:rPr>
              <w:t>and</w:t>
            </w:r>
            <w:r w:rsidRPr="00D4309F">
              <w:rPr>
                <w:color w:val="211E1F"/>
                <w:spacing w:val="-10"/>
                <w:sz w:val="18"/>
              </w:rPr>
              <w:t xml:space="preserve"> </w:t>
            </w:r>
            <w:r w:rsidRPr="00D4309F">
              <w:rPr>
                <w:color w:val="211E1F"/>
                <w:sz w:val="18"/>
              </w:rPr>
              <w:t>corals</w:t>
            </w:r>
          </w:p>
        </w:tc>
        <w:tc>
          <w:tcPr>
            <w:tcW w:w="1069" w:type="pct"/>
            <w:tcBorders>
              <w:top w:val="single" w:sz="4" w:space="0" w:color="000000"/>
              <w:bottom w:val="single" w:sz="4" w:space="0" w:color="000000"/>
            </w:tcBorders>
            <w:vAlign w:val="center"/>
          </w:tcPr>
          <w:p w14:paraId="56FE766E" w14:textId="7465AB90" w:rsidR="00F00E58" w:rsidRPr="00D4309F" w:rsidRDefault="00F00E58" w:rsidP="007E44C8">
            <w:pPr>
              <w:pStyle w:val="Table-Bullet"/>
              <w:rPr>
                <w:b/>
              </w:rPr>
            </w:pPr>
            <w:r w:rsidRPr="00D4309F">
              <w:t xml:space="preserve">Release of </w:t>
            </w:r>
            <w:r w:rsidRPr="00D4309F">
              <w:rPr>
                <w:spacing w:val="-2"/>
              </w:rPr>
              <w:t>contaminants/hypoxia</w:t>
            </w:r>
          </w:p>
        </w:tc>
        <w:tc>
          <w:tcPr>
            <w:tcW w:w="537" w:type="pct"/>
            <w:tcBorders>
              <w:top w:val="single" w:sz="4" w:space="0" w:color="000000"/>
              <w:bottom w:val="single" w:sz="4" w:space="0" w:color="000000"/>
            </w:tcBorders>
            <w:shd w:val="clear" w:color="auto" w:fill="92D050"/>
            <w:vAlign w:val="center"/>
          </w:tcPr>
          <w:p w14:paraId="7B124089" w14:textId="1C4C6E2B" w:rsidR="00F00E58" w:rsidRPr="00F00E58" w:rsidRDefault="00F00E58" w:rsidP="00F00E58">
            <w:pPr>
              <w:pStyle w:val="Table-Text"/>
              <w:rPr>
                <w:b/>
                <w:bCs/>
              </w:rPr>
            </w:pPr>
            <w:r w:rsidRPr="00F00E58">
              <w:rPr>
                <w:b/>
                <w:bCs/>
                <w:spacing w:val="-5"/>
              </w:rPr>
              <w:t>Low</w:t>
            </w:r>
          </w:p>
        </w:tc>
        <w:tc>
          <w:tcPr>
            <w:tcW w:w="942" w:type="pct"/>
            <w:tcBorders>
              <w:top w:val="single" w:sz="4" w:space="0" w:color="000000"/>
              <w:bottom w:val="single" w:sz="4" w:space="0" w:color="000000"/>
            </w:tcBorders>
            <w:vAlign w:val="center"/>
          </w:tcPr>
          <w:p w14:paraId="3B2B243D" w14:textId="77777777" w:rsidR="00F00E58" w:rsidRPr="00D4309F" w:rsidRDefault="00F00E58" w:rsidP="007E44C8">
            <w:pPr>
              <w:pStyle w:val="Table-Bullet"/>
            </w:pPr>
            <w:r w:rsidRPr="00D4309F">
              <w:t>Dredge sediments likely comprise clean marine sand</w:t>
            </w:r>
            <w:r w:rsidRPr="00D4309F">
              <w:rPr>
                <w:spacing w:val="-13"/>
              </w:rPr>
              <w:t xml:space="preserve"> </w:t>
            </w:r>
            <w:r w:rsidRPr="00D4309F">
              <w:t>free</w:t>
            </w:r>
            <w:r w:rsidRPr="00D4309F">
              <w:rPr>
                <w:spacing w:val="-12"/>
              </w:rPr>
              <w:t xml:space="preserve"> </w:t>
            </w:r>
            <w:r w:rsidRPr="00D4309F">
              <w:t>of</w:t>
            </w:r>
            <w:r w:rsidRPr="00D4309F">
              <w:rPr>
                <w:spacing w:val="-13"/>
              </w:rPr>
              <w:t xml:space="preserve"> </w:t>
            </w:r>
            <w:r w:rsidRPr="00D4309F">
              <w:t xml:space="preserve">contaminants with low organic matter </w:t>
            </w:r>
            <w:r w:rsidRPr="00D4309F">
              <w:rPr>
                <w:spacing w:val="-2"/>
              </w:rPr>
              <w:t>content</w:t>
            </w:r>
          </w:p>
          <w:p w14:paraId="0642BB2A" w14:textId="011A0FFB" w:rsidR="00F00E58" w:rsidRPr="00D4309F" w:rsidRDefault="00F00E58" w:rsidP="007E44C8">
            <w:pPr>
              <w:pStyle w:val="Table-Bullet"/>
              <w:rPr>
                <w:b/>
              </w:rPr>
            </w:pPr>
            <w:r w:rsidRPr="00D4309F">
              <w:t>Breakwater</w:t>
            </w:r>
            <w:r w:rsidRPr="00D4309F">
              <w:rPr>
                <w:spacing w:val="-8"/>
              </w:rPr>
              <w:t xml:space="preserve"> </w:t>
            </w:r>
            <w:r w:rsidRPr="00D4309F">
              <w:t>construction materials</w:t>
            </w:r>
            <w:r w:rsidRPr="00D4309F">
              <w:rPr>
                <w:spacing w:val="-13"/>
              </w:rPr>
              <w:t xml:space="preserve"> </w:t>
            </w:r>
            <w:r w:rsidRPr="00D4309F">
              <w:t>assumed</w:t>
            </w:r>
            <w:r w:rsidRPr="00D4309F">
              <w:rPr>
                <w:spacing w:val="-12"/>
              </w:rPr>
              <w:t xml:space="preserve"> </w:t>
            </w:r>
            <w:r w:rsidRPr="00D4309F">
              <w:t>to</w:t>
            </w:r>
            <w:r w:rsidRPr="00D4309F">
              <w:rPr>
                <w:spacing w:val="-13"/>
              </w:rPr>
              <w:t xml:space="preserve"> </w:t>
            </w:r>
            <w:r w:rsidRPr="00D4309F">
              <w:t>be free of contamination</w:t>
            </w:r>
          </w:p>
        </w:tc>
        <w:tc>
          <w:tcPr>
            <w:tcW w:w="708" w:type="pct"/>
            <w:tcBorders>
              <w:top w:val="single" w:sz="4" w:space="0" w:color="000000"/>
              <w:bottom w:val="single" w:sz="4" w:space="0" w:color="000000"/>
            </w:tcBorders>
            <w:vAlign w:val="center"/>
          </w:tcPr>
          <w:p w14:paraId="4912E33E" w14:textId="36B32B97" w:rsidR="00F00E58" w:rsidRPr="00D4309F" w:rsidRDefault="00F00E58" w:rsidP="007E44C8">
            <w:pPr>
              <w:pStyle w:val="Table-Bullet"/>
              <w:rPr>
                <w:b/>
              </w:rPr>
            </w:pPr>
            <w:r w:rsidRPr="00D4309F">
              <w:t>Assumption</w:t>
            </w:r>
            <w:r w:rsidRPr="00D4309F">
              <w:rPr>
                <w:spacing w:val="-13"/>
              </w:rPr>
              <w:t xml:space="preserve"> </w:t>
            </w:r>
            <w:r w:rsidRPr="00D4309F">
              <w:t>that suitable data exists to inform this risk</w:t>
            </w:r>
          </w:p>
        </w:tc>
        <w:tc>
          <w:tcPr>
            <w:tcW w:w="818" w:type="pct"/>
            <w:tcBorders>
              <w:top w:val="single" w:sz="4" w:space="0" w:color="000000"/>
              <w:bottom w:val="single" w:sz="4" w:space="0" w:color="000000"/>
            </w:tcBorders>
            <w:vAlign w:val="center"/>
          </w:tcPr>
          <w:p w14:paraId="74A4A912" w14:textId="081B21F1" w:rsidR="00F00E58" w:rsidRPr="00D4309F" w:rsidRDefault="00F00E58" w:rsidP="007E44C8">
            <w:pPr>
              <w:pStyle w:val="Table-Bullet"/>
            </w:pPr>
            <w:r w:rsidRPr="00D4309F">
              <w:rPr>
                <w:color w:val="211E1F"/>
                <w:spacing w:val="-4"/>
              </w:rPr>
              <w:t>None</w:t>
            </w:r>
          </w:p>
        </w:tc>
      </w:tr>
      <w:tr w:rsidR="00F00E58" w:rsidRPr="00D4309F" w14:paraId="1C8CAEBF" w14:textId="77777777" w:rsidTr="007E44C8">
        <w:trPr>
          <w:cantSplit/>
          <w:trHeight w:val="20"/>
        </w:trPr>
        <w:tc>
          <w:tcPr>
            <w:tcW w:w="518" w:type="pct"/>
            <w:tcBorders>
              <w:top w:val="single" w:sz="4" w:space="0" w:color="000000"/>
              <w:bottom w:val="single" w:sz="4" w:space="0" w:color="000000"/>
            </w:tcBorders>
            <w:vAlign w:val="center"/>
          </w:tcPr>
          <w:p w14:paraId="2B818FFE" w14:textId="2649B74B" w:rsidR="00F00E58" w:rsidRPr="00D4309F" w:rsidRDefault="00F00E58" w:rsidP="007E44C8">
            <w:pPr>
              <w:pStyle w:val="Table-Text"/>
              <w:rPr>
                <w:b/>
              </w:rPr>
            </w:pPr>
            <w:r w:rsidRPr="00D4309F">
              <w:lastRenderedPageBreak/>
              <w:t>Terrestrial</w:t>
            </w:r>
            <w:r w:rsidRPr="00D4309F">
              <w:rPr>
                <w:spacing w:val="-15"/>
              </w:rPr>
              <w:t xml:space="preserve"> </w:t>
            </w:r>
            <w:r w:rsidRPr="00D4309F">
              <w:t>fauna</w:t>
            </w:r>
            <w:r w:rsidRPr="00D4309F">
              <w:rPr>
                <w:spacing w:val="-12"/>
              </w:rPr>
              <w:t xml:space="preserve"> </w:t>
            </w:r>
            <w:r w:rsidRPr="00D4309F">
              <w:t>including shorebirds and raptors</w:t>
            </w:r>
          </w:p>
        </w:tc>
        <w:tc>
          <w:tcPr>
            <w:tcW w:w="407" w:type="pct"/>
            <w:tcBorders>
              <w:top w:val="single" w:sz="4" w:space="0" w:color="000000"/>
              <w:bottom w:val="single" w:sz="4" w:space="0" w:color="000000"/>
            </w:tcBorders>
            <w:vAlign w:val="center"/>
          </w:tcPr>
          <w:p w14:paraId="247DBD6B" w14:textId="1FCD06D7" w:rsidR="00F00E58" w:rsidRPr="00D4309F" w:rsidRDefault="00F00E58" w:rsidP="00F00E58">
            <w:pPr>
              <w:pStyle w:val="TableParagraph"/>
              <w:rPr>
                <w:b/>
                <w:sz w:val="18"/>
              </w:rPr>
            </w:pPr>
          </w:p>
        </w:tc>
        <w:tc>
          <w:tcPr>
            <w:tcW w:w="1069" w:type="pct"/>
            <w:tcBorders>
              <w:top w:val="single" w:sz="4" w:space="0" w:color="000000"/>
              <w:bottom w:val="single" w:sz="4" w:space="0" w:color="000000"/>
            </w:tcBorders>
            <w:vAlign w:val="center"/>
          </w:tcPr>
          <w:p w14:paraId="6E8B2CEC" w14:textId="77777777" w:rsidR="00F00E58" w:rsidRPr="00D4309F" w:rsidRDefault="00F00E58" w:rsidP="007E44C8">
            <w:pPr>
              <w:pStyle w:val="Table-Bullet"/>
            </w:pPr>
            <w:r w:rsidRPr="00D4309F">
              <w:rPr>
                <w:spacing w:val="-2"/>
              </w:rPr>
              <w:t xml:space="preserve">Mortality/injury/behavioural </w:t>
            </w:r>
            <w:r w:rsidRPr="00D4309F">
              <w:t>response due to noise</w:t>
            </w:r>
          </w:p>
          <w:p w14:paraId="6C475AE9" w14:textId="77777777" w:rsidR="00F00E58" w:rsidRPr="00D4309F" w:rsidRDefault="00F00E58" w:rsidP="007E44C8">
            <w:pPr>
              <w:pStyle w:val="Table-Bullet"/>
            </w:pPr>
            <w:r w:rsidRPr="00D4309F">
              <w:rPr>
                <w:spacing w:val="-2"/>
              </w:rPr>
              <w:t xml:space="preserve">Mortality/injury/behavioural </w:t>
            </w:r>
            <w:r w:rsidRPr="00D4309F">
              <w:t>response due to dust from breakwater</w:t>
            </w:r>
            <w:r w:rsidRPr="00D4309F">
              <w:rPr>
                <w:spacing w:val="-15"/>
              </w:rPr>
              <w:t xml:space="preserve"> </w:t>
            </w:r>
            <w:r w:rsidRPr="00D4309F">
              <w:t>construction</w:t>
            </w:r>
            <w:r w:rsidRPr="00D4309F">
              <w:rPr>
                <w:spacing w:val="-12"/>
              </w:rPr>
              <w:t xml:space="preserve"> </w:t>
            </w:r>
            <w:r w:rsidRPr="00D4309F">
              <w:t>and beach disposal</w:t>
            </w:r>
          </w:p>
          <w:p w14:paraId="08777C2F" w14:textId="77777777" w:rsidR="00F00E58" w:rsidRPr="00D4309F" w:rsidRDefault="00F00E58" w:rsidP="007E44C8">
            <w:pPr>
              <w:pStyle w:val="Table-Bullet"/>
            </w:pPr>
            <w:r w:rsidRPr="00D4309F">
              <w:t>Behavioural</w:t>
            </w:r>
            <w:r w:rsidRPr="00D4309F">
              <w:rPr>
                <w:spacing w:val="-13"/>
              </w:rPr>
              <w:t xml:space="preserve"> </w:t>
            </w:r>
            <w:r w:rsidRPr="00D4309F">
              <w:t>response</w:t>
            </w:r>
            <w:r w:rsidRPr="00D4309F">
              <w:rPr>
                <w:spacing w:val="-12"/>
              </w:rPr>
              <w:t xml:space="preserve"> </w:t>
            </w:r>
            <w:r w:rsidRPr="00D4309F">
              <w:t>due</w:t>
            </w:r>
            <w:r w:rsidRPr="00D4309F">
              <w:rPr>
                <w:spacing w:val="-13"/>
              </w:rPr>
              <w:t xml:space="preserve"> </w:t>
            </w:r>
            <w:r w:rsidRPr="00D4309F">
              <w:t xml:space="preserve">to </w:t>
            </w:r>
            <w:r w:rsidRPr="00D4309F">
              <w:rPr>
                <w:spacing w:val="-2"/>
              </w:rPr>
              <w:t>light</w:t>
            </w:r>
          </w:p>
          <w:p w14:paraId="6AE3BAF6" w14:textId="77777777" w:rsidR="00F00E58" w:rsidRPr="00D4309F" w:rsidRDefault="00F00E58" w:rsidP="007E44C8">
            <w:pPr>
              <w:pStyle w:val="Table-Bullet"/>
            </w:pPr>
            <w:r w:rsidRPr="00D4309F">
              <w:rPr>
                <w:spacing w:val="-2"/>
              </w:rPr>
              <w:t xml:space="preserve">Mortality/injury/behavioural </w:t>
            </w:r>
            <w:r w:rsidRPr="00D4309F">
              <w:t xml:space="preserve">response due physical </w:t>
            </w:r>
            <w:r w:rsidRPr="00D4309F">
              <w:rPr>
                <w:spacing w:val="-2"/>
              </w:rPr>
              <w:t>presence</w:t>
            </w:r>
          </w:p>
          <w:p w14:paraId="06D889EA" w14:textId="3D886FCB" w:rsidR="00F00E58" w:rsidRPr="00D4309F" w:rsidRDefault="00F00E58" w:rsidP="007E44C8">
            <w:pPr>
              <w:pStyle w:val="Table-Bullet"/>
              <w:rPr>
                <w:b/>
              </w:rPr>
            </w:pPr>
            <w:r w:rsidRPr="00D4309F">
              <w:t>Mortality/injury</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onshore plant and vehicle movement</w:t>
            </w:r>
          </w:p>
        </w:tc>
        <w:tc>
          <w:tcPr>
            <w:tcW w:w="537" w:type="pct"/>
            <w:tcBorders>
              <w:top w:val="single" w:sz="4" w:space="0" w:color="000000"/>
              <w:bottom w:val="single" w:sz="4" w:space="0" w:color="000000"/>
            </w:tcBorders>
            <w:shd w:val="clear" w:color="auto" w:fill="FFC000"/>
            <w:vAlign w:val="center"/>
          </w:tcPr>
          <w:p w14:paraId="3C2F99E5" w14:textId="759E4208" w:rsidR="00F00E58" w:rsidRPr="00F00E58" w:rsidRDefault="00F00E58" w:rsidP="00F00E58">
            <w:pPr>
              <w:pStyle w:val="Table-Text"/>
              <w:rPr>
                <w:b/>
                <w:bCs/>
              </w:rPr>
            </w:pPr>
            <w:r w:rsidRPr="00F00E58">
              <w:rPr>
                <w:b/>
                <w:bCs/>
              </w:rPr>
              <w:t>High (for breakwater construction)</w:t>
            </w:r>
          </w:p>
        </w:tc>
        <w:tc>
          <w:tcPr>
            <w:tcW w:w="942" w:type="pct"/>
            <w:tcBorders>
              <w:top w:val="single" w:sz="4" w:space="0" w:color="000000"/>
              <w:bottom w:val="single" w:sz="4" w:space="0" w:color="000000"/>
            </w:tcBorders>
            <w:vAlign w:val="center"/>
          </w:tcPr>
          <w:p w14:paraId="6CF240DA" w14:textId="77777777" w:rsidR="00F00E58" w:rsidRPr="00D4309F" w:rsidRDefault="00F00E58" w:rsidP="007E44C8">
            <w:pPr>
              <w:pStyle w:val="Table-Bullet"/>
            </w:pPr>
            <w:r w:rsidRPr="00D4309F">
              <w:t>Several species listed as vulnerable</w:t>
            </w:r>
            <w:r w:rsidRPr="00D4309F">
              <w:rPr>
                <w:spacing w:val="-15"/>
              </w:rPr>
              <w:t xml:space="preserve"> </w:t>
            </w:r>
            <w:r w:rsidRPr="00D4309F">
              <w:t>or</w:t>
            </w:r>
            <w:r w:rsidRPr="00D4309F">
              <w:rPr>
                <w:spacing w:val="-12"/>
              </w:rPr>
              <w:t xml:space="preserve"> </w:t>
            </w:r>
            <w:r w:rsidRPr="00D4309F">
              <w:t xml:space="preserve">endangered may occur in the project </w:t>
            </w:r>
            <w:r w:rsidRPr="00D4309F">
              <w:rPr>
                <w:spacing w:val="-4"/>
              </w:rPr>
              <w:t>area</w:t>
            </w:r>
          </w:p>
          <w:p w14:paraId="092FAF66" w14:textId="24AEDCF0" w:rsidR="00F00E58" w:rsidRPr="00D4309F" w:rsidRDefault="00F00E58" w:rsidP="007E44C8">
            <w:pPr>
              <w:pStyle w:val="Table-Bullet"/>
              <w:rPr>
                <w:b/>
              </w:rPr>
            </w:pPr>
            <w:r w:rsidRPr="00D4309F">
              <w:t>Several species of shorebirds are</w:t>
            </w:r>
            <w:r w:rsidRPr="00D4309F">
              <w:rPr>
                <w:spacing w:val="-1"/>
              </w:rPr>
              <w:t xml:space="preserve"> </w:t>
            </w:r>
            <w:r w:rsidRPr="00D4309F">
              <w:t>listed</w:t>
            </w:r>
            <w:r w:rsidRPr="00D4309F">
              <w:rPr>
                <w:spacing w:val="-1"/>
              </w:rPr>
              <w:t xml:space="preserve"> </w:t>
            </w:r>
            <w:r w:rsidRPr="00D4309F">
              <w:t>as occurring at Point Cartwright</w:t>
            </w:r>
            <w:r w:rsidRPr="00D4309F">
              <w:rPr>
                <w:spacing w:val="-13"/>
              </w:rPr>
              <w:t xml:space="preserve"> </w:t>
            </w:r>
            <w:r w:rsidRPr="00D4309F">
              <w:t>and</w:t>
            </w:r>
            <w:r w:rsidRPr="00D4309F">
              <w:rPr>
                <w:spacing w:val="-12"/>
              </w:rPr>
              <w:t xml:space="preserve"> </w:t>
            </w:r>
            <w:r w:rsidRPr="00D4309F">
              <w:t>could</w:t>
            </w:r>
            <w:r w:rsidRPr="00D4309F">
              <w:rPr>
                <w:spacing w:val="-13"/>
              </w:rPr>
              <w:t xml:space="preserve"> </w:t>
            </w:r>
            <w:r w:rsidRPr="00D4309F">
              <w:t>be impacted;</w:t>
            </w:r>
            <w:r w:rsidRPr="00D4309F">
              <w:rPr>
                <w:spacing w:val="-7"/>
              </w:rPr>
              <w:t xml:space="preserve"> </w:t>
            </w:r>
            <w:r w:rsidRPr="00D4309F">
              <w:t>however,</w:t>
            </w:r>
            <w:r w:rsidRPr="00D4309F">
              <w:rPr>
                <w:spacing w:val="-7"/>
              </w:rPr>
              <w:t xml:space="preserve"> </w:t>
            </w:r>
            <w:r w:rsidRPr="00D4309F">
              <w:t>it</w:t>
            </w:r>
            <w:r w:rsidRPr="00D4309F">
              <w:rPr>
                <w:spacing w:val="-7"/>
              </w:rPr>
              <w:t xml:space="preserve"> </w:t>
            </w:r>
            <w:r w:rsidRPr="00D4309F">
              <w:t>is more likely they would occur at the lower Maroochy River</w:t>
            </w:r>
          </w:p>
        </w:tc>
        <w:tc>
          <w:tcPr>
            <w:tcW w:w="708" w:type="pct"/>
            <w:tcBorders>
              <w:top w:val="single" w:sz="4" w:space="0" w:color="000000"/>
              <w:bottom w:val="single" w:sz="4" w:space="0" w:color="000000"/>
            </w:tcBorders>
            <w:vAlign w:val="center"/>
          </w:tcPr>
          <w:p w14:paraId="49D550FA" w14:textId="77777777" w:rsidR="00F00E58" w:rsidRPr="00D4309F" w:rsidRDefault="00F00E58" w:rsidP="007E44C8">
            <w:pPr>
              <w:pStyle w:val="Table-Bullet"/>
            </w:pPr>
            <w:r w:rsidRPr="00D4309F">
              <w:t>Noise assessment</w:t>
            </w:r>
          </w:p>
          <w:p w14:paraId="0568A14B" w14:textId="179053C6" w:rsidR="00F00E58" w:rsidRPr="00D4309F" w:rsidRDefault="00F00E58" w:rsidP="007E44C8">
            <w:pPr>
              <w:pStyle w:val="Table-Bullet"/>
              <w:rPr>
                <w:b/>
              </w:rPr>
            </w:pPr>
            <w:r w:rsidRPr="00D4309F">
              <w:t>Terrestrial</w:t>
            </w:r>
            <w:r w:rsidRPr="00D4309F">
              <w:rPr>
                <w:spacing w:val="-13"/>
              </w:rPr>
              <w:t xml:space="preserve"> </w:t>
            </w:r>
            <w:r w:rsidRPr="00D4309F">
              <w:t>fauna assessment</w:t>
            </w:r>
          </w:p>
        </w:tc>
        <w:tc>
          <w:tcPr>
            <w:tcW w:w="818" w:type="pct"/>
            <w:tcBorders>
              <w:top w:val="single" w:sz="4" w:space="0" w:color="000000"/>
              <w:bottom w:val="single" w:sz="4" w:space="0" w:color="000000"/>
            </w:tcBorders>
            <w:vAlign w:val="center"/>
          </w:tcPr>
          <w:p w14:paraId="16EA9B50" w14:textId="77777777" w:rsidR="00F00E58" w:rsidRPr="00D4309F" w:rsidRDefault="00F00E58" w:rsidP="007E44C8">
            <w:pPr>
              <w:pStyle w:val="Table-Bullet"/>
            </w:pPr>
            <w:r w:rsidRPr="00D4309F">
              <w:t>Timing of works outside of peak aggregation</w:t>
            </w:r>
            <w:r w:rsidRPr="00D4309F">
              <w:rPr>
                <w:spacing w:val="-13"/>
              </w:rPr>
              <w:t xml:space="preserve"> </w:t>
            </w:r>
            <w:r w:rsidRPr="00D4309F">
              <w:t xml:space="preserve">periods for migratory </w:t>
            </w:r>
            <w:r w:rsidRPr="00D4309F">
              <w:rPr>
                <w:spacing w:val="-2"/>
              </w:rPr>
              <w:t>shorebirds</w:t>
            </w:r>
          </w:p>
          <w:p w14:paraId="4155115F" w14:textId="77777777" w:rsidR="00F00E58" w:rsidRPr="00D4309F" w:rsidRDefault="00F00E58" w:rsidP="007E44C8">
            <w:pPr>
              <w:pStyle w:val="Table-Bullet"/>
            </w:pPr>
            <w:r w:rsidRPr="00D4309F">
              <w:t>Standard</w:t>
            </w:r>
            <w:r w:rsidRPr="00D4309F">
              <w:rPr>
                <w:spacing w:val="-13"/>
              </w:rPr>
              <w:t xml:space="preserve"> </w:t>
            </w:r>
            <w:r w:rsidRPr="00D4309F">
              <w:t xml:space="preserve">noise </w:t>
            </w:r>
            <w:r w:rsidRPr="00D4309F">
              <w:rPr>
                <w:spacing w:val="-2"/>
              </w:rPr>
              <w:t>management procedures</w:t>
            </w:r>
          </w:p>
          <w:p w14:paraId="77884406" w14:textId="77777777" w:rsidR="00F00E58" w:rsidRPr="00D4309F" w:rsidRDefault="00F00E58" w:rsidP="007E44C8">
            <w:pPr>
              <w:pStyle w:val="Table-Bullet"/>
            </w:pPr>
            <w:r w:rsidRPr="00D4309F">
              <w:t>Limitation</w:t>
            </w:r>
            <w:r w:rsidRPr="00D4309F">
              <w:rPr>
                <w:spacing w:val="-13"/>
              </w:rPr>
              <w:t xml:space="preserve"> </w:t>
            </w:r>
            <w:r w:rsidRPr="00D4309F">
              <w:t>of</w:t>
            </w:r>
            <w:r w:rsidRPr="00D4309F">
              <w:rPr>
                <w:spacing w:val="-12"/>
              </w:rPr>
              <w:t xml:space="preserve"> </w:t>
            </w:r>
            <w:r w:rsidRPr="00D4309F">
              <w:t>works</w:t>
            </w:r>
            <w:r w:rsidRPr="00D4309F">
              <w:rPr>
                <w:spacing w:val="-12"/>
              </w:rPr>
              <w:t xml:space="preserve"> </w:t>
            </w:r>
            <w:r w:rsidRPr="00D4309F">
              <w:t xml:space="preserve">to daylight hours or if necessary, standard light mitigation </w:t>
            </w:r>
            <w:r w:rsidRPr="00D4309F">
              <w:rPr>
                <w:spacing w:val="-2"/>
              </w:rPr>
              <w:t>procedures</w:t>
            </w:r>
          </w:p>
          <w:p w14:paraId="41A68434" w14:textId="77777777" w:rsidR="00F00E58" w:rsidRPr="00D4309F" w:rsidRDefault="00F00E58" w:rsidP="007E44C8">
            <w:pPr>
              <w:pStyle w:val="Table-Bullet"/>
            </w:pPr>
            <w:r w:rsidRPr="00D4309F">
              <w:t>Standard fauna mitigation practices including monitoring for conservation significant fauna, appropriate</w:t>
            </w:r>
            <w:r w:rsidRPr="00D4309F">
              <w:rPr>
                <w:spacing w:val="-15"/>
              </w:rPr>
              <w:t xml:space="preserve"> </w:t>
            </w:r>
            <w:r w:rsidRPr="00D4309F">
              <w:t>fencing</w:t>
            </w:r>
            <w:r w:rsidRPr="00D4309F">
              <w:rPr>
                <w:spacing w:val="-12"/>
              </w:rPr>
              <w:t xml:space="preserve"> </w:t>
            </w:r>
            <w:r w:rsidRPr="00D4309F">
              <w:t>of work area</w:t>
            </w:r>
          </w:p>
          <w:p w14:paraId="2C2A99A1" w14:textId="77777777" w:rsidR="00F00E58" w:rsidRPr="00D4309F" w:rsidRDefault="00F00E58" w:rsidP="007E44C8">
            <w:pPr>
              <w:pStyle w:val="Table-Bullet"/>
            </w:pPr>
            <w:r w:rsidRPr="00D4309F">
              <w:t>Dust</w:t>
            </w:r>
            <w:r w:rsidRPr="00D4309F">
              <w:rPr>
                <w:spacing w:val="-13"/>
              </w:rPr>
              <w:t xml:space="preserve"> </w:t>
            </w:r>
            <w:r w:rsidRPr="00D4309F">
              <w:t xml:space="preserve">management </w:t>
            </w:r>
            <w:r w:rsidRPr="00D4309F">
              <w:rPr>
                <w:spacing w:val="-2"/>
              </w:rPr>
              <w:t>procedures</w:t>
            </w:r>
          </w:p>
          <w:p w14:paraId="1A00676E" w14:textId="79548E0D" w:rsidR="00F00E58" w:rsidRPr="00D4309F" w:rsidRDefault="00F00E58" w:rsidP="007E44C8">
            <w:pPr>
              <w:pStyle w:val="Table-Bullet"/>
            </w:pPr>
            <w:r w:rsidRPr="00D4309F">
              <w:t>Waste</w:t>
            </w:r>
            <w:r w:rsidRPr="00D4309F">
              <w:rPr>
                <w:spacing w:val="-13"/>
              </w:rPr>
              <w:t xml:space="preserve"> </w:t>
            </w:r>
            <w:r w:rsidRPr="00D4309F">
              <w:t xml:space="preserve">management </w:t>
            </w:r>
            <w:r w:rsidRPr="00D4309F">
              <w:rPr>
                <w:spacing w:val="-2"/>
              </w:rPr>
              <w:t>procedures</w:t>
            </w:r>
          </w:p>
        </w:tc>
      </w:tr>
      <w:tr w:rsidR="00F00E58" w:rsidRPr="00D4309F" w14:paraId="60B5977C" w14:textId="77777777" w:rsidTr="007E44C8">
        <w:trPr>
          <w:cantSplit/>
          <w:trHeight w:val="20"/>
        </w:trPr>
        <w:tc>
          <w:tcPr>
            <w:tcW w:w="518" w:type="pct"/>
            <w:tcBorders>
              <w:top w:val="single" w:sz="4" w:space="0" w:color="000000"/>
              <w:bottom w:val="single" w:sz="4" w:space="0" w:color="000000"/>
            </w:tcBorders>
            <w:vAlign w:val="center"/>
          </w:tcPr>
          <w:p w14:paraId="100DA827" w14:textId="4741D33B" w:rsidR="00F00E58" w:rsidRPr="00D4309F" w:rsidRDefault="00F00E58" w:rsidP="007E44C8">
            <w:pPr>
              <w:pStyle w:val="Table-Text"/>
              <w:rPr>
                <w:b/>
              </w:rPr>
            </w:pPr>
            <w:r w:rsidRPr="00D4309F">
              <w:t>Terrestrial</w:t>
            </w:r>
            <w:r w:rsidRPr="00D4309F">
              <w:rPr>
                <w:spacing w:val="-4"/>
              </w:rPr>
              <w:t xml:space="preserve"> </w:t>
            </w:r>
            <w:r w:rsidRPr="00D4309F">
              <w:t>flora</w:t>
            </w:r>
          </w:p>
        </w:tc>
        <w:tc>
          <w:tcPr>
            <w:tcW w:w="407" w:type="pct"/>
            <w:tcBorders>
              <w:top w:val="single" w:sz="4" w:space="0" w:color="000000"/>
              <w:bottom w:val="single" w:sz="4" w:space="0" w:color="000000"/>
            </w:tcBorders>
            <w:vAlign w:val="center"/>
          </w:tcPr>
          <w:p w14:paraId="76F89211" w14:textId="77777777" w:rsidR="00F00E58" w:rsidRPr="00D4309F" w:rsidRDefault="00F00E58" w:rsidP="00F00E58">
            <w:pPr>
              <w:pStyle w:val="TableParagraph"/>
              <w:rPr>
                <w:b/>
                <w:sz w:val="18"/>
              </w:rPr>
            </w:pPr>
          </w:p>
        </w:tc>
        <w:tc>
          <w:tcPr>
            <w:tcW w:w="1069" w:type="pct"/>
            <w:tcBorders>
              <w:top w:val="single" w:sz="4" w:space="0" w:color="000000"/>
              <w:bottom w:val="single" w:sz="4" w:space="0" w:color="000000"/>
            </w:tcBorders>
            <w:vAlign w:val="center"/>
          </w:tcPr>
          <w:p w14:paraId="22E9B31C" w14:textId="77777777" w:rsidR="00F00E58" w:rsidRPr="00D4309F" w:rsidRDefault="00F00E58" w:rsidP="007E44C8">
            <w:pPr>
              <w:pStyle w:val="Table-Bullet"/>
            </w:pPr>
            <w:r w:rsidRPr="00D4309F">
              <w:t>Smothering</w:t>
            </w:r>
            <w:r w:rsidRPr="00D4309F">
              <w:rPr>
                <w:spacing w:val="-13"/>
              </w:rPr>
              <w:t xml:space="preserve"> </w:t>
            </w:r>
            <w:r w:rsidRPr="00D4309F">
              <w:t>of</w:t>
            </w:r>
            <w:r w:rsidRPr="00D4309F">
              <w:rPr>
                <w:spacing w:val="-12"/>
              </w:rPr>
              <w:t xml:space="preserve"> </w:t>
            </w:r>
            <w:r w:rsidRPr="00D4309F">
              <w:t>vegetation</w:t>
            </w:r>
            <w:r w:rsidRPr="00D4309F">
              <w:rPr>
                <w:spacing w:val="-13"/>
              </w:rPr>
              <w:t xml:space="preserve"> </w:t>
            </w:r>
            <w:r w:rsidRPr="00D4309F">
              <w:t>due to dust generated by breakwater construction</w:t>
            </w:r>
          </w:p>
          <w:p w14:paraId="39089554" w14:textId="7A88FB08" w:rsidR="00F00E58" w:rsidRPr="00D4309F" w:rsidRDefault="00F00E58" w:rsidP="007E44C8">
            <w:pPr>
              <w:pStyle w:val="Table-Bullet"/>
              <w:rPr>
                <w:b/>
              </w:rPr>
            </w:pPr>
            <w:r w:rsidRPr="00D4309F">
              <w:t>Disturbance or degradation of dune vegetation behind Mooloolaba</w:t>
            </w:r>
            <w:r w:rsidRPr="00D4309F">
              <w:rPr>
                <w:spacing w:val="-13"/>
              </w:rPr>
              <w:t xml:space="preserve"> </w:t>
            </w:r>
            <w:r w:rsidRPr="00D4309F">
              <w:t>Main</w:t>
            </w:r>
            <w:r w:rsidRPr="00D4309F">
              <w:rPr>
                <w:spacing w:val="-12"/>
              </w:rPr>
              <w:t xml:space="preserve"> </w:t>
            </w:r>
            <w:r w:rsidRPr="00D4309F">
              <w:t>Beach</w:t>
            </w:r>
            <w:r w:rsidRPr="00D4309F">
              <w:rPr>
                <w:spacing w:val="-13"/>
              </w:rPr>
              <w:t xml:space="preserve"> </w:t>
            </w:r>
            <w:r w:rsidRPr="00D4309F">
              <w:t xml:space="preserve">during </w:t>
            </w:r>
            <w:r w:rsidRPr="00D4309F">
              <w:rPr>
                <w:spacing w:val="-2"/>
              </w:rPr>
              <w:t>reprofiling</w:t>
            </w:r>
          </w:p>
        </w:tc>
        <w:tc>
          <w:tcPr>
            <w:tcW w:w="537" w:type="pct"/>
            <w:tcBorders>
              <w:top w:val="single" w:sz="4" w:space="0" w:color="000000"/>
              <w:bottom w:val="single" w:sz="4" w:space="0" w:color="000000"/>
            </w:tcBorders>
            <w:shd w:val="clear" w:color="auto" w:fill="FFFF00"/>
            <w:vAlign w:val="center"/>
          </w:tcPr>
          <w:p w14:paraId="19559ACC" w14:textId="57B5D513" w:rsidR="00F00E58" w:rsidRPr="00D4309F" w:rsidRDefault="00F00E58" w:rsidP="00F00E58">
            <w:pPr>
              <w:pStyle w:val="TableParagraph"/>
              <w:rPr>
                <w:b/>
                <w:sz w:val="18"/>
              </w:rPr>
            </w:pPr>
            <w:r w:rsidRPr="00D4309F">
              <w:rPr>
                <w:b/>
                <w:color w:val="211E1F"/>
                <w:spacing w:val="-2"/>
                <w:sz w:val="18"/>
              </w:rPr>
              <w:t>Moderate</w:t>
            </w:r>
          </w:p>
        </w:tc>
        <w:tc>
          <w:tcPr>
            <w:tcW w:w="942" w:type="pct"/>
            <w:tcBorders>
              <w:top w:val="single" w:sz="4" w:space="0" w:color="000000"/>
              <w:bottom w:val="single" w:sz="4" w:space="0" w:color="000000"/>
            </w:tcBorders>
            <w:vAlign w:val="center"/>
          </w:tcPr>
          <w:p w14:paraId="04205170" w14:textId="339D7C83" w:rsidR="00F00E58" w:rsidRPr="00D4309F" w:rsidRDefault="00F00E58" w:rsidP="007E44C8">
            <w:pPr>
              <w:pStyle w:val="Table-Bullet"/>
              <w:rPr>
                <w:b/>
              </w:rPr>
            </w:pPr>
            <w:r w:rsidRPr="00D4309F">
              <w:t>Several</w:t>
            </w:r>
            <w:r w:rsidRPr="00D4309F">
              <w:rPr>
                <w:spacing w:val="-13"/>
              </w:rPr>
              <w:t xml:space="preserve"> </w:t>
            </w:r>
            <w:r w:rsidRPr="00D4309F">
              <w:t>MSES</w:t>
            </w:r>
            <w:r w:rsidRPr="00D4309F">
              <w:rPr>
                <w:spacing w:val="-12"/>
              </w:rPr>
              <w:t xml:space="preserve"> </w:t>
            </w:r>
            <w:r w:rsidRPr="00D4309F">
              <w:t>and</w:t>
            </w:r>
            <w:r w:rsidRPr="00D4309F">
              <w:rPr>
                <w:spacing w:val="-13"/>
              </w:rPr>
              <w:t xml:space="preserve"> </w:t>
            </w:r>
            <w:r w:rsidRPr="00D4309F">
              <w:t>TECs occur in the project area</w:t>
            </w:r>
          </w:p>
        </w:tc>
        <w:tc>
          <w:tcPr>
            <w:tcW w:w="708" w:type="pct"/>
            <w:tcBorders>
              <w:top w:val="single" w:sz="4" w:space="0" w:color="000000"/>
              <w:bottom w:val="single" w:sz="4" w:space="0" w:color="000000"/>
            </w:tcBorders>
            <w:vAlign w:val="center"/>
          </w:tcPr>
          <w:p w14:paraId="66E0FA8B" w14:textId="528704A2" w:rsidR="00F00E58" w:rsidRPr="00D4309F" w:rsidRDefault="00F00E58" w:rsidP="007E44C8">
            <w:pPr>
              <w:pStyle w:val="Table-Bullet"/>
              <w:rPr>
                <w:b/>
              </w:rPr>
            </w:pPr>
            <w:r w:rsidRPr="00D4309F">
              <w:rPr>
                <w:color w:val="211E1F"/>
                <w:spacing w:val="-4"/>
              </w:rPr>
              <w:t>None</w:t>
            </w:r>
          </w:p>
        </w:tc>
        <w:tc>
          <w:tcPr>
            <w:tcW w:w="818" w:type="pct"/>
            <w:tcBorders>
              <w:top w:val="single" w:sz="4" w:space="0" w:color="000000"/>
              <w:bottom w:val="single" w:sz="4" w:space="0" w:color="000000"/>
            </w:tcBorders>
            <w:vAlign w:val="center"/>
          </w:tcPr>
          <w:p w14:paraId="20C99F42" w14:textId="77777777" w:rsidR="00F00E58" w:rsidRPr="00D4309F" w:rsidRDefault="00F00E58" w:rsidP="007E44C8">
            <w:pPr>
              <w:pStyle w:val="Table-Bullet"/>
            </w:pPr>
            <w:r w:rsidRPr="00D4309F">
              <w:t>No</w:t>
            </w:r>
            <w:r w:rsidRPr="00D4309F">
              <w:rPr>
                <w:spacing w:val="-13"/>
              </w:rPr>
              <w:t xml:space="preserve"> </w:t>
            </w:r>
            <w:r w:rsidRPr="00D4309F">
              <w:t xml:space="preserve">vegetation </w:t>
            </w:r>
            <w:r w:rsidRPr="00D4309F">
              <w:rPr>
                <w:spacing w:val="-2"/>
              </w:rPr>
              <w:t>clearing</w:t>
            </w:r>
          </w:p>
          <w:p w14:paraId="71EF69BC" w14:textId="77777777" w:rsidR="00F00E58" w:rsidRPr="00D4309F" w:rsidRDefault="00F00E58" w:rsidP="007E44C8">
            <w:pPr>
              <w:pStyle w:val="Table-Bullet"/>
            </w:pPr>
            <w:r w:rsidRPr="00D4309F">
              <w:rPr>
                <w:spacing w:val="-2"/>
              </w:rPr>
              <w:t xml:space="preserve">Appropriate </w:t>
            </w:r>
            <w:r w:rsidRPr="00D4309F">
              <w:t>management for onshore works e.g. onshore vehicles and plant to operate in designated</w:t>
            </w:r>
            <w:r w:rsidRPr="00D4309F">
              <w:rPr>
                <w:spacing w:val="-15"/>
              </w:rPr>
              <w:t xml:space="preserve"> </w:t>
            </w:r>
            <w:r w:rsidRPr="00D4309F">
              <w:t>tracks</w:t>
            </w:r>
            <w:r w:rsidRPr="00D4309F">
              <w:rPr>
                <w:spacing w:val="-12"/>
              </w:rPr>
              <w:t xml:space="preserve"> </w:t>
            </w:r>
            <w:r w:rsidRPr="00D4309F">
              <w:t xml:space="preserve">and </w:t>
            </w:r>
            <w:r w:rsidRPr="00D4309F">
              <w:rPr>
                <w:spacing w:val="-2"/>
              </w:rPr>
              <w:t>areas</w:t>
            </w:r>
          </w:p>
          <w:p w14:paraId="08B84B6F" w14:textId="77777777" w:rsidR="00F00E58" w:rsidRPr="00D4309F" w:rsidRDefault="00F00E58" w:rsidP="007E44C8">
            <w:pPr>
              <w:pStyle w:val="Table-Bullet"/>
            </w:pPr>
            <w:r w:rsidRPr="00D4309F">
              <w:t>Dust</w:t>
            </w:r>
            <w:r w:rsidRPr="00D4309F">
              <w:rPr>
                <w:spacing w:val="-13"/>
              </w:rPr>
              <w:t xml:space="preserve"> </w:t>
            </w:r>
            <w:r w:rsidRPr="00D4309F">
              <w:t xml:space="preserve">management </w:t>
            </w:r>
            <w:r w:rsidRPr="00D4309F">
              <w:rPr>
                <w:spacing w:val="-2"/>
              </w:rPr>
              <w:t>procedures</w:t>
            </w:r>
          </w:p>
          <w:p w14:paraId="213297CD" w14:textId="77777777" w:rsidR="00F00E58" w:rsidRPr="00D4309F" w:rsidRDefault="00F00E58" w:rsidP="007E44C8">
            <w:pPr>
              <w:pStyle w:val="Table-Bullet"/>
            </w:pPr>
            <w:r w:rsidRPr="00D4309F">
              <w:t>Weed</w:t>
            </w:r>
            <w:r w:rsidRPr="00D4309F">
              <w:rPr>
                <w:spacing w:val="-13"/>
              </w:rPr>
              <w:t xml:space="preserve"> </w:t>
            </w:r>
            <w:r w:rsidRPr="00D4309F">
              <w:t xml:space="preserve">control </w:t>
            </w:r>
            <w:r w:rsidRPr="00D4309F">
              <w:rPr>
                <w:spacing w:val="-2"/>
              </w:rPr>
              <w:t>management procedures</w:t>
            </w:r>
          </w:p>
          <w:p w14:paraId="5FF8A3ED" w14:textId="2CF648F9" w:rsidR="00F00E58" w:rsidRPr="00D4309F" w:rsidRDefault="00F00E58" w:rsidP="007E44C8">
            <w:pPr>
              <w:pStyle w:val="Table-Bullet"/>
            </w:pPr>
            <w:r w:rsidRPr="00D4309F">
              <w:t>Waste</w:t>
            </w:r>
            <w:r w:rsidRPr="00D4309F">
              <w:rPr>
                <w:spacing w:val="-13"/>
              </w:rPr>
              <w:t xml:space="preserve"> </w:t>
            </w:r>
            <w:r w:rsidRPr="00D4309F">
              <w:t xml:space="preserve">management </w:t>
            </w:r>
            <w:r w:rsidRPr="00D4309F">
              <w:rPr>
                <w:spacing w:val="-2"/>
              </w:rPr>
              <w:t>procedures</w:t>
            </w:r>
          </w:p>
        </w:tc>
      </w:tr>
    </w:tbl>
    <w:p w14:paraId="01E70BA8" w14:textId="3F1BABA2" w:rsidR="00725977" w:rsidRPr="00D4309F" w:rsidRDefault="00725977" w:rsidP="00FC61E2">
      <w:pPr>
        <w:pStyle w:val="Table-Note"/>
        <w:keepNext/>
      </w:pPr>
      <w:r w:rsidRPr="00D4309F">
        <w:lastRenderedPageBreak/>
        <w:t>Assumptions:</w:t>
      </w:r>
    </w:p>
    <w:p w14:paraId="60107439" w14:textId="72E1A984" w:rsidR="00725977" w:rsidRPr="00D4309F" w:rsidRDefault="00725977" w:rsidP="00D27F26">
      <w:pPr>
        <w:pStyle w:val="Table-Note"/>
        <w:numPr>
          <w:ilvl w:val="0"/>
          <w:numId w:val="492"/>
        </w:numPr>
      </w:pPr>
      <w:r w:rsidRPr="00F00E58">
        <w:t>Dredge</w:t>
      </w:r>
      <w:r w:rsidRPr="00F00E58">
        <w:rPr>
          <w:spacing w:val="-3"/>
        </w:rPr>
        <w:t xml:space="preserve"> </w:t>
      </w:r>
      <w:r w:rsidRPr="00F00E58">
        <w:t>area</w:t>
      </w:r>
      <w:r w:rsidRPr="00F00E58">
        <w:rPr>
          <w:spacing w:val="-3"/>
        </w:rPr>
        <w:t xml:space="preserve"> </w:t>
      </w:r>
      <w:r w:rsidRPr="00F00E58">
        <w:t>is an</w:t>
      </w:r>
      <w:r w:rsidRPr="00F00E58">
        <w:rPr>
          <w:spacing w:val="-3"/>
        </w:rPr>
        <w:t xml:space="preserve"> </w:t>
      </w:r>
      <w:r w:rsidRPr="00F00E58">
        <w:t>area of</w:t>
      </w:r>
      <w:r w:rsidRPr="00F00E58">
        <w:rPr>
          <w:spacing w:val="-3"/>
        </w:rPr>
        <w:t xml:space="preserve"> </w:t>
      </w:r>
      <w:r w:rsidRPr="00F00E58">
        <w:t xml:space="preserve">bare </w:t>
      </w:r>
      <w:r w:rsidRPr="00F00E58">
        <w:rPr>
          <w:spacing w:val="-4"/>
        </w:rPr>
        <w:t>sand</w:t>
      </w:r>
    </w:p>
    <w:p w14:paraId="40C0ACD4" w14:textId="1DE25C5D" w:rsidR="00725977" w:rsidRPr="00D4309F" w:rsidRDefault="00725977" w:rsidP="00D27F26">
      <w:pPr>
        <w:pStyle w:val="Table-Note"/>
        <w:numPr>
          <w:ilvl w:val="0"/>
          <w:numId w:val="492"/>
        </w:numPr>
      </w:pPr>
      <w:r w:rsidRPr="00F00E58">
        <w:t>There</w:t>
      </w:r>
      <w:r w:rsidRPr="00F00E58">
        <w:rPr>
          <w:spacing w:val="-7"/>
        </w:rPr>
        <w:t xml:space="preserve"> </w:t>
      </w:r>
      <w:r w:rsidRPr="00F00E58">
        <w:t>is</w:t>
      </w:r>
      <w:r w:rsidRPr="00F00E58">
        <w:rPr>
          <w:spacing w:val="-3"/>
        </w:rPr>
        <w:t xml:space="preserve"> </w:t>
      </w:r>
      <w:r w:rsidRPr="00F00E58">
        <w:t>sediment</w:t>
      </w:r>
      <w:r w:rsidRPr="00F00E58">
        <w:rPr>
          <w:spacing w:val="-3"/>
        </w:rPr>
        <w:t xml:space="preserve"> </w:t>
      </w:r>
      <w:r w:rsidRPr="00F00E58">
        <w:t>contamination</w:t>
      </w:r>
      <w:r w:rsidRPr="00F00E58">
        <w:rPr>
          <w:spacing w:val="-5"/>
        </w:rPr>
        <w:t xml:space="preserve"> </w:t>
      </w:r>
      <w:r w:rsidRPr="00F00E58">
        <w:t>data</w:t>
      </w:r>
      <w:r w:rsidRPr="00F00E58">
        <w:rPr>
          <w:spacing w:val="-4"/>
        </w:rPr>
        <w:t xml:space="preserve"> </w:t>
      </w:r>
      <w:r w:rsidRPr="00F00E58">
        <w:t>to</w:t>
      </w:r>
      <w:r w:rsidRPr="00F00E58">
        <w:rPr>
          <w:spacing w:val="-3"/>
        </w:rPr>
        <w:t xml:space="preserve"> </w:t>
      </w:r>
      <w:r w:rsidRPr="00F00E58">
        <w:t>inform</w:t>
      </w:r>
      <w:r w:rsidRPr="00F00E58">
        <w:rPr>
          <w:spacing w:val="-4"/>
        </w:rPr>
        <w:t xml:space="preserve"> </w:t>
      </w:r>
      <w:r w:rsidRPr="00F00E58">
        <w:t>the</w:t>
      </w:r>
      <w:r w:rsidRPr="00F00E58">
        <w:rPr>
          <w:spacing w:val="-4"/>
        </w:rPr>
        <w:t xml:space="preserve"> </w:t>
      </w:r>
      <w:r w:rsidRPr="00F00E58">
        <w:t>risk</w:t>
      </w:r>
      <w:r w:rsidRPr="00F00E58">
        <w:rPr>
          <w:spacing w:val="-3"/>
        </w:rPr>
        <w:t xml:space="preserve"> </w:t>
      </w:r>
      <w:r w:rsidRPr="00F00E58">
        <w:t>of</w:t>
      </w:r>
      <w:r w:rsidRPr="00F00E58">
        <w:rPr>
          <w:spacing w:val="-5"/>
        </w:rPr>
        <w:t xml:space="preserve"> </w:t>
      </w:r>
      <w:r w:rsidRPr="00F00E58">
        <w:t>on</w:t>
      </w:r>
      <w:r w:rsidRPr="00F00E58">
        <w:rPr>
          <w:spacing w:val="-4"/>
        </w:rPr>
        <w:t xml:space="preserve"> </w:t>
      </w:r>
      <w:r w:rsidRPr="00F00E58">
        <w:t>release</w:t>
      </w:r>
      <w:r w:rsidRPr="00F00E58">
        <w:rPr>
          <w:spacing w:val="-4"/>
        </w:rPr>
        <w:t xml:space="preserve"> </w:t>
      </w:r>
      <w:r w:rsidRPr="00F00E58">
        <w:t>of</w:t>
      </w:r>
      <w:r w:rsidRPr="00F00E58">
        <w:rPr>
          <w:spacing w:val="-5"/>
        </w:rPr>
        <w:t xml:space="preserve"> </w:t>
      </w:r>
      <w:r w:rsidRPr="00F00E58">
        <w:t>contaminants</w:t>
      </w:r>
      <w:r w:rsidRPr="00F00E58">
        <w:rPr>
          <w:spacing w:val="-4"/>
        </w:rPr>
        <w:t xml:space="preserve"> </w:t>
      </w:r>
      <w:r w:rsidRPr="00F00E58">
        <w:t>via</w:t>
      </w:r>
      <w:r w:rsidRPr="00F00E58">
        <w:rPr>
          <w:spacing w:val="-4"/>
        </w:rPr>
        <w:t xml:space="preserve"> </w:t>
      </w:r>
      <w:r w:rsidRPr="00F00E58">
        <w:t>dredging</w:t>
      </w:r>
      <w:r w:rsidRPr="00F00E58">
        <w:rPr>
          <w:spacing w:val="-3"/>
        </w:rPr>
        <w:t xml:space="preserve"> </w:t>
      </w:r>
      <w:r w:rsidRPr="00F00E58">
        <w:t>and</w:t>
      </w:r>
      <w:r w:rsidRPr="00F00E58">
        <w:rPr>
          <w:spacing w:val="-4"/>
        </w:rPr>
        <w:t xml:space="preserve"> </w:t>
      </w:r>
      <w:r w:rsidRPr="00F00E58">
        <w:t>disposal</w:t>
      </w:r>
    </w:p>
    <w:p w14:paraId="042B5475" w14:textId="2E74EDCF" w:rsidR="00725977" w:rsidRPr="00D4309F" w:rsidRDefault="00725977" w:rsidP="00D27F26">
      <w:pPr>
        <w:pStyle w:val="Table-Note"/>
        <w:numPr>
          <w:ilvl w:val="0"/>
          <w:numId w:val="492"/>
        </w:numPr>
      </w:pPr>
      <w:r w:rsidRPr="00F00E58">
        <w:t>No</w:t>
      </w:r>
      <w:r w:rsidRPr="00F00E58">
        <w:rPr>
          <w:spacing w:val="-5"/>
        </w:rPr>
        <w:t xml:space="preserve"> </w:t>
      </w:r>
      <w:r w:rsidRPr="00F00E58">
        <w:t>vegetation</w:t>
      </w:r>
      <w:r w:rsidRPr="00F00E58">
        <w:rPr>
          <w:spacing w:val="-5"/>
        </w:rPr>
        <w:t xml:space="preserve"> </w:t>
      </w:r>
      <w:r w:rsidRPr="00F00E58">
        <w:t>clearing</w:t>
      </w:r>
      <w:r w:rsidRPr="00F00E58">
        <w:rPr>
          <w:spacing w:val="-4"/>
        </w:rPr>
        <w:t xml:space="preserve"> </w:t>
      </w:r>
      <w:r w:rsidRPr="00F00E58">
        <w:t>is required</w:t>
      </w:r>
      <w:r w:rsidRPr="00F00E58">
        <w:rPr>
          <w:spacing w:val="-5"/>
        </w:rPr>
        <w:t xml:space="preserve"> </w:t>
      </w:r>
      <w:r w:rsidRPr="00F00E58">
        <w:t>for</w:t>
      </w:r>
      <w:r w:rsidRPr="00F00E58">
        <w:rPr>
          <w:spacing w:val="-5"/>
        </w:rPr>
        <w:t xml:space="preserve"> </w:t>
      </w:r>
      <w:r w:rsidRPr="00F00E58">
        <w:t>this</w:t>
      </w:r>
      <w:r w:rsidRPr="00F00E58">
        <w:rPr>
          <w:spacing w:val="-3"/>
        </w:rPr>
        <w:t xml:space="preserve"> </w:t>
      </w:r>
      <w:r w:rsidRPr="00F00E58">
        <w:t>option</w:t>
      </w:r>
    </w:p>
    <w:p w14:paraId="0D53CD2C" w14:textId="77777777" w:rsidR="00725977" w:rsidRPr="00D4309F" w:rsidRDefault="00725977" w:rsidP="00D27F26">
      <w:pPr>
        <w:pStyle w:val="Table-Note"/>
        <w:numPr>
          <w:ilvl w:val="0"/>
          <w:numId w:val="492"/>
        </w:numPr>
      </w:pPr>
      <w:r w:rsidRPr="00D4309F">
        <w:t>All</w:t>
      </w:r>
      <w:r w:rsidRPr="00D4309F">
        <w:rPr>
          <w:spacing w:val="-5"/>
        </w:rPr>
        <w:t xml:space="preserve"> </w:t>
      </w:r>
      <w:r w:rsidRPr="00D4309F">
        <w:t>materials</w:t>
      </w:r>
      <w:r w:rsidRPr="00D4309F">
        <w:rPr>
          <w:spacing w:val="-3"/>
        </w:rPr>
        <w:t xml:space="preserve"> </w:t>
      </w:r>
      <w:r w:rsidRPr="00D4309F">
        <w:t>used</w:t>
      </w:r>
      <w:r w:rsidRPr="00D4309F">
        <w:rPr>
          <w:spacing w:val="-4"/>
        </w:rPr>
        <w:t xml:space="preserve"> </w:t>
      </w:r>
      <w:r w:rsidRPr="00D4309F">
        <w:t>for</w:t>
      </w:r>
      <w:r w:rsidRPr="00D4309F">
        <w:rPr>
          <w:spacing w:val="-4"/>
        </w:rPr>
        <w:t xml:space="preserve"> </w:t>
      </w:r>
      <w:r w:rsidRPr="00D4309F">
        <w:t>breakwater</w:t>
      </w:r>
      <w:r w:rsidRPr="00D4309F">
        <w:rPr>
          <w:spacing w:val="-4"/>
        </w:rPr>
        <w:t xml:space="preserve"> </w:t>
      </w:r>
      <w:r w:rsidRPr="00D4309F">
        <w:t>extension</w:t>
      </w:r>
      <w:r w:rsidRPr="00D4309F">
        <w:rPr>
          <w:spacing w:val="-4"/>
        </w:rPr>
        <w:t xml:space="preserve"> </w:t>
      </w:r>
      <w:r w:rsidRPr="00D4309F">
        <w:t>are</w:t>
      </w:r>
      <w:r w:rsidRPr="00D4309F">
        <w:rPr>
          <w:spacing w:val="-5"/>
        </w:rPr>
        <w:t xml:space="preserve"> </w:t>
      </w:r>
      <w:r w:rsidRPr="00D4309F">
        <w:t>free</w:t>
      </w:r>
      <w:r w:rsidRPr="00D4309F">
        <w:rPr>
          <w:spacing w:val="-4"/>
        </w:rPr>
        <w:t xml:space="preserve"> </w:t>
      </w:r>
      <w:r w:rsidRPr="00D4309F">
        <w:t>of</w:t>
      </w:r>
      <w:r w:rsidRPr="00D4309F">
        <w:rPr>
          <w:spacing w:val="-3"/>
        </w:rPr>
        <w:t xml:space="preserve"> </w:t>
      </w:r>
      <w:r w:rsidRPr="00D4309F">
        <w:t>contaminants</w:t>
      </w:r>
    </w:p>
    <w:p w14:paraId="62F2BB18" w14:textId="77777777" w:rsidR="00725977" w:rsidRPr="00D4309F" w:rsidRDefault="00725977" w:rsidP="00725977">
      <w:pPr>
        <w:pStyle w:val="ListParagraph"/>
        <w:rPr>
          <w:sz w:val="14"/>
        </w:rPr>
        <w:sectPr w:rsidR="00725977" w:rsidRPr="00D4309F" w:rsidSect="00405D4F">
          <w:headerReference w:type="default" r:id="rId123"/>
          <w:footerReference w:type="default" r:id="rId124"/>
          <w:pgSz w:w="16840" w:h="11910" w:orient="landscape"/>
          <w:pgMar w:top="1418" w:right="1134" w:bottom="1418" w:left="1134" w:header="916" w:footer="976" w:gutter="0"/>
          <w:cols w:space="720"/>
        </w:sectPr>
      </w:pPr>
    </w:p>
    <w:p w14:paraId="150064B5" w14:textId="77777777" w:rsidR="00725977" w:rsidRPr="00D4309F" w:rsidRDefault="00725977" w:rsidP="00725977">
      <w:pPr>
        <w:pStyle w:val="BodyText"/>
      </w:pPr>
      <w:r w:rsidRPr="00D4309F">
        <w:lastRenderedPageBreak/>
        <w:t>The breakwater extension</w:t>
      </w:r>
      <w:r w:rsidRPr="00D4309F">
        <w:rPr>
          <w:spacing w:val="-1"/>
        </w:rPr>
        <w:t xml:space="preserve"> </w:t>
      </w:r>
      <w:r w:rsidRPr="00D4309F">
        <w:t>will potentially result in a</w:t>
      </w:r>
      <w:r w:rsidRPr="00D4309F">
        <w:rPr>
          <w:spacing w:val="-1"/>
        </w:rPr>
        <w:t xml:space="preserve"> </w:t>
      </w:r>
      <w:r w:rsidRPr="00D4309F">
        <w:t>more extensive turbid plume and greater underwater noise impacts; benthic and terrestrial habitat impacts that will require further assessment and monitoring/management</w:t>
      </w:r>
      <w:r w:rsidRPr="00D4309F">
        <w:rPr>
          <w:spacing w:val="-3"/>
        </w:rPr>
        <w:t xml:space="preserve"> </w:t>
      </w:r>
      <w:r w:rsidRPr="00D4309F">
        <w:t>during</w:t>
      </w:r>
      <w:r w:rsidRPr="00D4309F">
        <w:rPr>
          <w:spacing w:val="-4"/>
        </w:rPr>
        <w:t xml:space="preserve"> </w:t>
      </w:r>
      <w:r w:rsidRPr="00D4309F">
        <w:t>works.</w:t>
      </w:r>
      <w:r w:rsidRPr="00D4309F">
        <w:rPr>
          <w:spacing w:val="-4"/>
        </w:rPr>
        <w:t xml:space="preserve"> </w:t>
      </w:r>
      <w:r w:rsidRPr="00D4309F">
        <w:t>Overall,</w:t>
      </w:r>
      <w:r w:rsidRPr="00D4309F">
        <w:rPr>
          <w:spacing w:val="-4"/>
        </w:rPr>
        <w:t xml:space="preserve"> </w:t>
      </w:r>
      <w:r w:rsidRPr="00D4309F">
        <w:t>the</w:t>
      </w:r>
      <w:r w:rsidRPr="00D4309F">
        <w:rPr>
          <w:spacing w:val="-3"/>
        </w:rPr>
        <w:t xml:space="preserve"> </w:t>
      </w:r>
      <w:r w:rsidRPr="00D4309F">
        <w:t>breakwater</w:t>
      </w:r>
      <w:r w:rsidRPr="00D4309F">
        <w:rPr>
          <w:spacing w:val="-2"/>
        </w:rPr>
        <w:t xml:space="preserve"> </w:t>
      </w:r>
      <w:r w:rsidRPr="00D4309F">
        <w:t>extension</w:t>
      </w:r>
      <w:r w:rsidRPr="00D4309F">
        <w:rPr>
          <w:spacing w:val="-3"/>
        </w:rPr>
        <w:t xml:space="preserve"> </w:t>
      </w:r>
      <w:r w:rsidRPr="00D4309F">
        <w:t>works</w:t>
      </w:r>
      <w:r w:rsidRPr="00D4309F">
        <w:rPr>
          <w:spacing w:val="-3"/>
        </w:rPr>
        <w:t xml:space="preserve"> </w:t>
      </w:r>
      <w:r w:rsidRPr="00D4309F">
        <w:t>could</w:t>
      </w:r>
      <w:r w:rsidRPr="00D4309F">
        <w:rPr>
          <w:spacing w:val="-3"/>
        </w:rPr>
        <w:t xml:space="preserve"> </w:t>
      </w:r>
      <w:r w:rsidRPr="00D4309F">
        <w:t>potentially</w:t>
      </w:r>
      <w:r w:rsidRPr="00D4309F">
        <w:rPr>
          <w:spacing w:val="-2"/>
        </w:rPr>
        <w:t xml:space="preserve"> </w:t>
      </w:r>
      <w:r w:rsidRPr="00D4309F">
        <w:t>result</w:t>
      </w:r>
      <w:r w:rsidRPr="00D4309F">
        <w:rPr>
          <w:spacing w:val="-3"/>
        </w:rPr>
        <w:t xml:space="preserve"> </w:t>
      </w:r>
      <w:r w:rsidRPr="00D4309F">
        <w:t>in significant impacts to marine and terrestrial fauna of high conservation value.</w:t>
      </w:r>
    </w:p>
    <w:p w14:paraId="4766188F" w14:textId="133F0399" w:rsidR="00725977" w:rsidRPr="00D4309F" w:rsidRDefault="00725977" w:rsidP="00725977">
      <w:pPr>
        <w:pStyle w:val="BodyText"/>
      </w:pPr>
      <w:r w:rsidRPr="00D4309F">
        <w:t>Once</w:t>
      </w:r>
      <w:r w:rsidRPr="00D4309F">
        <w:rPr>
          <w:spacing w:val="-3"/>
        </w:rPr>
        <w:t xml:space="preserve"> </w:t>
      </w:r>
      <w:r w:rsidRPr="00D4309F">
        <w:t>established,</w:t>
      </w:r>
      <w:r w:rsidRPr="00D4309F">
        <w:rPr>
          <w:spacing w:val="-3"/>
        </w:rPr>
        <w:t xml:space="preserve"> </w:t>
      </w:r>
      <w:r w:rsidRPr="00D4309F">
        <w:t>the</w:t>
      </w:r>
      <w:r w:rsidRPr="00D4309F">
        <w:rPr>
          <w:spacing w:val="-3"/>
        </w:rPr>
        <w:t xml:space="preserve"> </w:t>
      </w:r>
      <w:r w:rsidRPr="00D4309F">
        <w:t>ongoing</w:t>
      </w:r>
      <w:r w:rsidRPr="00D4309F">
        <w:rPr>
          <w:spacing w:val="-3"/>
        </w:rPr>
        <w:t xml:space="preserve"> </w:t>
      </w:r>
      <w:r w:rsidRPr="00D4309F">
        <w:t>environmental</w:t>
      </w:r>
      <w:r w:rsidRPr="00D4309F">
        <w:rPr>
          <w:spacing w:val="-3"/>
        </w:rPr>
        <w:t xml:space="preserve"> </w:t>
      </w:r>
      <w:r w:rsidRPr="00D4309F">
        <w:t>impact</w:t>
      </w:r>
      <w:r w:rsidRPr="00D4309F">
        <w:rPr>
          <w:spacing w:val="-3"/>
        </w:rPr>
        <w:t xml:space="preserve"> </w:t>
      </w:r>
      <w:r w:rsidRPr="00D4309F">
        <w:t>would</w:t>
      </w:r>
      <w:r w:rsidRPr="00D4309F">
        <w:rPr>
          <w:spacing w:val="-3"/>
        </w:rPr>
        <w:t xml:space="preserve"> </w:t>
      </w:r>
      <w:r w:rsidRPr="00D4309F">
        <w:t>be</w:t>
      </w:r>
      <w:r w:rsidRPr="00D4309F">
        <w:rPr>
          <w:spacing w:val="-4"/>
        </w:rPr>
        <w:t xml:space="preserve"> </w:t>
      </w:r>
      <w:r w:rsidRPr="00D4309F">
        <w:t>less</w:t>
      </w:r>
      <w:r w:rsidRPr="00D4309F">
        <w:rPr>
          <w:spacing w:val="-3"/>
        </w:rPr>
        <w:t xml:space="preserve"> </w:t>
      </w:r>
      <w:r w:rsidRPr="00D4309F">
        <w:t>with</w:t>
      </w:r>
      <w:r w:rsidRPr="00D4309F">
        <w:rPr>
          <w:spacing w:val="-3"/>
        </w:rPr>
        <w:t xml:space="preserve"> </w:t>
      </w:r>
      <w:r w:rsidRPr="00D4309F">
        <w:t>potential</w:t>
      </w:r>
      <w:r w:rsidRPr="00D4309F">
        <w:rPr>
          <w:spacing w:val="-4"/>
        </w:rPr>
        <w:t xml:space="preserve"> </w:t>
      </w:r>
      <w:r w:rsidRPr="00D4309F">
        <w:t>impacts</w:t>
      </w:r>
      <w:r w:rsidRPr="00D4309F">
        <w:rPr>
          <w:spacing w:val="-2"/>
        </w:rPr>
        <w:t xml:space="preserve"> </w:t>
      </w:r>
      <w:r w:rsidRPr="00D4309F">
        <w:t>to</w:t>
      </w:r>
      <w:r w:rsidRPr="00D4309F">
        <w:rPr>
          <w:spacing w:val="-3"/>
        </w:rPr>
        <w:t xml:space="preserve"> </w:t>
      </w:r>
      <w:r w:rsidRPr="00D4309F">
        <w:t>benthic</w:t>
      </w:r>
      <w:r w:rsidRPr="00D4309F">
        <w:rPr>
          <w:spacing w:val="-2"/>
        </w:rPr>
        <w:t xml:space="preserve"> </w:t>
      </w:r>
      <w:r w:rsidRPr="00D4309F">
        <w:t>habitats, marine fauna and beach habitat that can be managed during works.</w:t>
      </w:r>
      <w:r w:rsidRPr="00D4309F">
        <w:rPr>
          <w:spacing w:val="-1"/>
        </w:rPr>
        <w:t xml:space="preserve"> </w:t>
      </w:r>
      <w:r w:rsidRPr="00D4309F">
        <w:t xml:space="preserve">The beneficial reuse of dredged sand at Mooloolaba Beach would support natural coastal nourishment and maintain sediment balance along the </w:t>
      </w:r>
      <w:r w:rsidRPr="00D4309F">
        <w:rPr>
          <w:spacing w:val="-2"/>
        </w:rPr>
        <w:t>shoreline.</w:t>
      </w:r>
    </w:p>
    <w:p w14:paraId="32C903E9" w14:textId="77777777" w:rsidR="00725977" w:rsidRPr="00D4309F" w:rsidRDefault="00725977" w:rsidP="008228CB">
      <w:pPr>
        <w:pStyle w:val="Heading3"/>
      </w:pPr>
      <w:bookmarkStart w:id="413" w:name="_Toc216699451"/>
      <w:r w:rsidRPr="00D4309F">
        <w:t>Social</w:t>
      </w:r>
      <w:r w:rsidRPr="00D4309F">
        <w:rPr>
          <w:spacing w:val="-3"/>
        </w:rPr>
        <w:t xml:space="preserve"> </w:t>
      </w:r>
      <w:r w:rsidRPr="00D4309F">
        <w:rPr>
          <w:spacing w:val="-2"/>
        </w:rPr>
        <w:t>impacts</w:t>
      </w:r>
      <w:bookmarkEnd w:id="413"/>
    </w:p>
    <w:p w14:paraId="64A7D2F1" w14:textId="77777777" w:rsidR="00725977" w:rsidRPr="00D4309F" w:rsidRDefault="00725977" w:rsidP="00725977">
      <w:pPr>
        <w:pStyle w:val="BodyText"/>
      </w:pPr>
      <w:r w:rsidRPr="00D4309F">
        <w:t>Option 3A is expected to generate social value with three positive impacts ranked as high in the SIE assessment,</w:t>
      </w:r>
      <w:r w:rsidRPr="00D4309F">
        <w:rPr>
          <w:spacing w:val="-4"/>
        </w:rPr>
        <w:t xml:space="preserve"> </w:t>
      </w:r>
      <w:r w:rsidRPr="00D4309F">
        <w:t>including:</w:t>
      </w:r>
      <w:r w:rsidRPr="00D4309F">
        <w:rPr>
          <w:spacing w:val="-4"/>
        </w:rPr>
        <w:t xml:space="preserve"> </w:t>
      </w:r>
      <w:r w:rsidRPr="00D4309F">
        <w:t>safer</w:t>
      </w:r>
      <w:r w:rsidRPr="00D4309F">
        <w:rPr>
          <w:spacing w:val="-3"/>
        </w:rPr>
        <w:t xml:space="preserve"> </w:t>
      </w:r>
      <w:r w:rsidRPr="00D4309F">
        <w:t>channel</w:t>
      </w:r>
      <w:r w:rsidRPr="00D4309F">
        <w:rPr>
          <w:spacing w:val="-4"/>
        </w:rPr>
        <w:t xml:space="preserve"> </w:t>
      </w:r>
      <w:r w:rsidRPr="00D4309F">
        <w:t>access</w:t>
      </w:r>
      <w:r w:rsidRPr="00D4309F">
        <w:rPr>
          <w:spacing w:val="-3"/>
        </w:rPr>
        <w:t xml:space="preserve"> </w:t>
      </w:r>
      <w:r w:rsidRPr="00D4309F">
        <w:t>through</w:t>
      </w:r>
      <w:r w:rsidRPr="00D4309F">
        <w:rPr>
          <w:spacing w:val="-4"/>
        </w:rPr>
        <w:t xml:space="preserve"> </w:t>
      </w:r>
      <w:r w:rsidRPr="00D4309F">
        <w:t>reduced</w:t>
      </w:r>
      <w:r w:rsidRPr="00D4309F">
        <w:rPr>
          <w:spacing w:val="-4"/>
        </w:rPr>
        <w:t xml:space="preserve"> </w:t>
      </w:r>
      <w:r w:rsidRPr="00D4309F">
        <w:t>shoaling,</w:t>
      </w:r>
      <w:r w:rsidRPr="00D4309F">
        <w:rPr>
          <w:spacing w:val="-5"/>
        </w:rPr>
        <w:t xml:space="preserve"> </w:t>
      </w:r>
      <w:r w:rsidRPr="00D4309F">
        <w:t>improved</w:t>
      </w:r>
      <w:r w:rsidRPr="00D4309F">
        <w:rPr>
          <w:spacing w:val="-4"/>
        </w:rPr>
        <w:t xml:space="preserve"> </w:t>
      </w:r>
      <w:r w:rsidRPr="00D4309F">
        <w:t>economic</w:t>
      </w:r>
      <w:r w:rsidRPr="00D4309F">
        <w:rPr>
          <w:spacing w:val="-3"/>
        </w:rPr>
        <w:t xml:space="preserve"> </w:t>
      </w:r>
      <w:r w:rsidRPr="00D4309F">
        <w:t xml:space="preserve">outcomes through more reliable channel access and increase nearshore sand placement improving beach </w:t>
      </w:r>
      <w:r w:rsidRPr="00D4309F">
        <w:rPr>
          <w:spacing w:val="-2"/>
        </w:rPr>
        <w:t>nourishment.</w:t>
      </w:r>
    </w:p>
    <w:p w14:paraId="5CD345B2" w14:textId="1C098CE1" w:rsidR="00725977" w:rsidRPr="00D4309F" w:rsidRDefault="00725977" w:rsidP="00725977">
      <w:pPr>
        <w:pStyle w:val="BodyText"/>
      </w:pPr>
      <w:r w:rsidRPr="00D4309F">
        <w:t>When</w:t>
      </w:r>
      <w:r w:rsidRPr="00D4309F">
        <w:rPr>
          <w:spacing w:val="-3"/>
        </w:rPr>
        <w:t xml:space="preserve"> </w:t>
      </w:r>
      <w:r w:rsidRPr="00D4309F">
        <w:t>compared</w:t>
      </w:r>
      <w:r w:rsidRPr="00D4309F">
        <w:rPr>
          <w:spacing w:val="-3"/>
        </w:rPr>
        <w:t xml:space="preserve"> </w:t>
      </w:r>
      <w:r w:rsidRPr="00D4309F">
        <w:t>to</w:t>
      </w:r>
      <w:r w:rsidRPr="00D4309F">
        <w:rPr>
          <w:spacing w:val="-3"/>
        </w:rPr>
        <w:t xml:space="preserve"> </w:t>
      </w:r>
      <w:r w:rsidRPr="00D4309F">
        <w:t>the</w:t>
      </w:r>
      <w:r w:rsidRPr="00D4309F">
        <w:rPr>
          <w:spacing w:val="-3"/>
        </w:rPr>
        <w:t xml:space="preserve"> </w:t>
      </w:r>
      <w:r w:rsidRPr="00D4309F">
        <w:t>baseline,</w:t>
      </w:r>
      <w:r w:rsidRPr="00D4309F">
        <w:rPr>
          <w:spacing w:val="-3"/>
        </w:rPr>
        <w:t xml:space="preserve"> </w:t>
      </w:r>
      <w:r w:rsidRPr="00D4309F">
        <w:t>there</w:t>
      </w:r>
      <w:r w:rsidRPr="00D4309F">
        <w:rPr>
          <w:spacing w:val="-4"/>
        </w:rPr>
        <w:t xml:space="preserve"> </w:t>
      </w:r>
      <w:r w:rsidRPr="00D4309F">
        <w:t>were</w:t>
      </w:r>
      <w:r w:rsidRPr="00D4309F">
        <w:rPr>
          <w:spacing w:val="-3"/>
        </w:rPr>
        <w:t xml:space="preserve"> </w:t>
      </w:r>
      <w:r w:rsidRPr="00D4309F">
        <w:t>eight</w:t>
      </w:r>
      <w:r w:rsidRPr="00D4309F">
        <w:rPr>
          <w:spacing w:val="-3"/>
        </w:rPr>
        <w:t xml:space="preserve"> </w:t>
      </w:r>
      <w:r w:rsidRPr="00D4309F">
        <w:t>negative</w:t>
      </w:r>
      <w:r w:rsidRPr="00D4309F">
        <w:rPr>
          <w:spacing w:val="-3"/>
        </w:rPr>
        <w:t xml:space="preserve"> </w:t>
      </w:r>
      <w:r w:rsidRPr="00D4309F">
        <w:t>social</w:t>
      </w:r>
      <w:r w:rsidRPr="00D4309F">
        <w:rPr>
          <w:spacing w:val="-3"/>
        </w:rPr>
        <w:t xml:space="preserve"> </w:t>
      </w:r>
      <w:r w:rsidRPr="00D4309F">
        <w:t>impacts</w:t>
      </w:r>
      <w:r w:rsidRPr="00D4309F">
        <w:rPr>
          <w:spacing w:val="-2"/>
        </w:rPr>
        <w:t xml:space="preserve"> </w:t>
      </w:r>
      <w:r w:rsidRPr="00D4309F">
        <w:t>identified,</w:t>
      </w:r>
      <w:r w:rsidRPr="00D4309F">
        <w:rPr>
          <w:spacing w:val="-3"/>
        </w:rPr>
        <w:t xml:space="preserve"> </w:t>
      </w:r>
      <w:r w:rsidRPr="00D4309F">
        <w:t>however,</w:t>
      </w:r>
      <w:r w:rsidRPr="00D4309F">
        <w:rPr>
          <w:spacing w:val="-3"/>
        </w:rPr>
        <w:t xml:space="preserve"> </w:t>
      </w:r>
      <w:r w:rsidRPr="00D4309F">
        <w:t>after</w:t>
      </w:r>
      <w:r w:rsidRPr="00D4309F">
        <w:rPr>
          <w:spacing w:val="-2"/>
        </w:rPr>
        <w:t xml:space="preserve"> </w:t>
      </w:r>
      <w:r w:rsidRPr="00D4309F">
        <w:t>mitigation measures were considered, there were three which may be of high concern to the community and stakeholders, including: potential negative environmental impacts, potential visual impacts and construction impacts. Further mitigations must be undertaken to reduce potential negative social impacts including environmental assessments, visual impact assessments, environment and construction management plans, silt curtains and broader community and stakeholder engagement.</w:t>
      </w:r>
    </w:p>
    <w:p w14:paraId="3025ADE8" w14:textId="77777777" w:rsidR="00725977" w:rsidRPr="00D4309F" w:rsidRDefault="00725977" w:rsidP="008228CB">
      <w:pPr>
        <w:pStyle w:val="Heading3"/>
      </w:pPr>
      <w:bookmarkStart w:id="414" w:name="_Toc216699452"/>
      <w:r w:rsidRPr="00D4309F">
        <w:t>Economic</w:t>
      </w:r>
      <w:r w:rsidRPr="00D4309F">
        <w:rPr>
          <w:spacing w:val="-4"/>
        </w:rPr>
        <w:t xml:space="preserve"> </w:t>
      </w:r>
      <w:r w:rsidRPr="00D4309F">
        <w:rPr>
          <w:spacing w:val="-2"/>
        </w:rPr>
        <w:t>impacts</w:t>
      </w:r>
      <w:bookmarkEnd w:id="414"/>
    </w:p>
    <w:p w14:paraId="308D7ADE" w14:textId="77777777" w:rsidR="00725977" w:rsidRPr="00D4309F" w:rsidRDefault="00725977" w:rsidP="00725977">
      <w:pPr>
        <w:pStyle w:val="BodyText"/>
      </w:pPr>
      <w:r w:rsidRPr="00D4309F">
        <w:t>Option</w:t>
      </w:r>
      <w:r w:rsidRPr="00D4309F">
        <w:rPr>
          <w:spacing w:val="-2"/>
        </w:rPr>
        <w:t xml:space="preserve"> </w:t>
      </w:r>
      <w:r w:rsidRPr="00D4309F">
        <w:t>3A</w:t>
      </w:r>
      <w:r w:rsidRPr="00D4309F">
        <w:rPr>
          <w:spacing w:val="-2"/>
        </w:rPr>
        <w:t xml:space="preserve"> </w:t>
      </w:r>
      <w:r w:rsidRPr="00D4309F">
        <w:t>is</w:t>
      </w:r>
      <w:r w:rsidRPr="00D4309F">
        <w:rPr>
          <w:spacing w:val="-2"/>
        </w:rPr>
        <w:t xml:space="preserve"> </w:t>
      </w:r>
      <w:r w:rsidRPr="00D4309F">
        <w:t>expected</w:t>
      </w:r>
      <w:r w:rsidRPr="00D4309F">
        <w:rPr>
          <w:spacing w:val="-2"/>
        </w:rPr>
        <w:t xml:space="preserve"> </w:t>
      </w:r>
      <w:r w:rsidRPr="00D4309F">
        <w:t>to</w:t>
      </w:r>
      <w:r w:rsidRPr="00D4309F">
        <w:rPr>
          <w:spacing w:val="-2"/>
        </w:rPr>
        <w:t xml:space="preserve"> </w:t>
      </w:r>
      <w:r w:rsidRPr="00D4309F">
        <w:t>have</w:t>
      </w:r>
      <w:r w:rsidRPr="00D4309F">
        <w:rPr>
          <w:spacing w:val="-2"/>
        </w:rPr>
        <w:t xml:space="preserve"> </w:t>
      </w:r>
      <w:r w:rsidRPr="00D4309F">
        <w:t>a</w:t>
      </w:r>
      <w:r w:rsidRPr="00D4309F">
        <w:rPr>
          <w:spacing w:val="-2"/>
        </w:rPr>
        <w:t xml:space="preserve"> </w:t>
      </w:r>
      <w:r w:rsidRPr="00D4309F">
        <w:t>low</w:t>
      </w:r>
      <w:r w:rsidRPr="00D4309F">
        <w:rPr>
          <w:spacing w:val="-1"/>
        </w:rPr>
        <w:t xml:space="preserve"> </w:t>
      </w:r>
      <w:r w:rsidRPr="00D4309F">
        <w:t>to</w:t>
      </w:r>
      <w:r w:rsidRPr="00D4309F">
        <w:rPr>
          <w:spacing w:val="-2"/>
        </w:rPr>
        <w:t xml:space="preserve"> </w:t>
      </w:r>
      <w:r w:rsidRPr="00D4309F">
        <w:t>moderate</w:t>
      </w:r>
      <w:r w:rsidRPr="00D4309F">
        <w:rPr>
          <w:spacing w:val="-2"/>
        </w:rPr>
        <w:t xml:space="preserve"> </w:t>
      </w:r>
      <w:r w:rsidRPr="00D4309F">
        <w:t>economic</w:t>
      </w:r>
      <w:r w:rsidRPr="00D4309F">
        <w:rPr>
          <w:spacing w:val="-1"/>
        </w:rPr>
        <w:t xml:space="preserve"> </w:t>
      </w:r>
      <w:r w:rsidRPr="00D4309F">
        <w:t>impact</w:t>
      </w:r>
      <w:r w:rsidRPr="00D4309F">
        <w:rPr>
          <w:spacing w:val="-2"/>
        </w:rPr>
        <w:t xml:space="preserve"> </w:t>
      </w:r>
      <w:r w:rsidRPr="00D4309F">
        <w:t>compared</w:t>
      </w:r>
      <w:r w:rsidRPr="00D4309F">
        <w:rPr>
          <w:spacing w:val="-2"/>
        </w:rPr>
        <w:t xml:space="preserve"> </w:t>
      </w:r>
      <w:r w:rsidRPr="00D4309F">
        <w:t>with</w:t>
      </w:r>
      <w:r w:rsidRPr="00D4309F">
        <w:rPr>
          <w:spacing w:val="-2"/>
        </w:rPr>
        <w:t xml:space="preserve"> </w:t>
      </w:r>
      <w:r w:rsidRPr="00D4309F">
        <w:t>the</w:t>
      </w:r>
      <w:r w:rsidRPr="00D4309F">
        <w:rPr>
          <w:spacing w:val="-2"/>
        </w:rPr>
        <w:t xml:space="preserve"> </w:t>
      </w:r>
      <w:r w:rsidRPr="00D4309F">
        <w:t>current</w:t>
      </w:r>
      <w:r w:rsidRPr="00D4309F">
        <w:rPr>
          <w:spacing w:val="-4"/>
        </w:rPr>
        <w:t xml:space="preserve"> </w:t>
      </w:r>
      <w:r w:rsidRPr="00D4309F">
        <w:t>approach.</w:t>
      </w:r>
      <w:r w:rsidRPr="00D4309F">
        <w:rPr>
          <w:spacing w:val="-2"/>
        </w:rPr>
        <w:t xml:space="preserve"> </w:t>
      </w:r>
      <w:r w:rsidRPr="00D4309F">
        <w:t>The project will significantly reduce shoaling at the harbour entrance, improving channel access and long-term reliability for both commercial and recreational users. This will minimise delays, reduce reliance on emergency maintenance dredging, and provide greater confidence for businesses and the boating community. While maintenance dredging will continue in line with current practices, the frequency is expected to decrease over time as shoaling at the entrance is reduced.</w:t>
      </w:r>
    </w:p>
    <w:p w14:paraId="3EAF6B78" w14:textId="77777777" w:rsidR="00725977" w:rsidRPr="00D4309F" w:rsidRDefault="00725977" w:rsidP="00725977">
      <w:pPr>
        <w:pStyle w:val="BodyText"/>
      </w:pPr>
      <w:r w:rsidRPr="00D4309F">
        <w:t>Lengthening</w:t>
      </w:r>
      <w:r w:rsidRPr="00D4309F">
        <w:rPr>
          <w:spacing w:val="-3"/>
        </w:rPr>
        <w:t xml:space="preserve"> </w:t>
      </w:r>
      <w:r w:rsidRPr="00D4309F">
        <w:t>the</w:t>
      </w:r>
      <w:r w:rsidRPr="00D4309F">
        <w:rPr>
          <w:spacing w:val="-3"/>
        </w:rPr>
        <w:t xml:space="preserve"> </w:t>
      </w:r>
      <w:r w:rsidRPr="00D4309F">
        <w:t>breakwater</w:t>
      </w:r>
      <w:r w:rsidRPr="00D4309F">
        <w:rPr>
          <w:spacing w:val="-2"/>
        </w:rPr>
        <w:t xml:space="preserve"> </w:t>
      </w:r>
      <w:r w:rsidRPr="00D4309F">
        <w:t>will</w:t>
      </w:r>
      <w:r w:rsidRPr="00D4309F">
        <w:rPr>
          <w:spacing w:val="-3"/>
        </w:rPr>
        <w:t xml:space="preserve"> </w:t>
      </w:r>
      <w:r w:rsidRPr="00D4309F">
        <w:t>create</w:t>
      </w:r>
      <w:r w:rsidRPr="00D4309F">
        <w:rPr>
          <w:spacing w:val="-3"/>
        </w:rPr>
        <w:t xml:space="preserve"> </w:t>
      </w:r>
      <w:r w:rsidRPr="00D4309F">
        <w:t>additional</w:t>
      </w:r>
      <w:r w:rsidRPr="00D4309F">
        <w:rPr>
          <w:spacing w:val="-4"/>
        </w:rPr>
        <w:t xml:space="preserve"> </w:t>
      </w:r>
      <w:r w:rsidRPr="00D4309F">
        <w:t>space</w:t>
      </w:r>
      <w:r w:rsidRPr="00D4309F">
        <w:rPr>
          <w:spacing w:val="-3"/>
        </w:rPr>
        <w:t xml:space="preserve"> </w:t>
      </w:r>
      <w:r w:rsidRPr="00D4309F">
        <w:t>for</w:t>
      </w:r>
      <w:r w:rsidRPr="00D4309F">
        <w:rPr>
          <w:spacing w:val="-2"/>
        </w:rPr>
        <w:t xml:space="preserve"> </w:t>
      </w:r>
      <w:r w:rsidRPr="00D4309F">
        <w:t>recreational</w:t>
      </w:r>
      <w:r w:rsidRPr="00D4309F">
        <w:rPr>
          <w:spacing w:val="-3"/>
        </w:rPr>
        <w:t xml:space="preserve"> </w:t>
      </w:r>
      <w:r w:rsidRPr="00D4309F">
        <w:t>fishing,</w:t>
      </w:r>
      <w:r w:rsidRPr="00D4309F">
        <w:rPr>
          <w:spacing w:val="-3"/>
        </w:rPr>
        <w:t xml:space="preserve"> </w:t>
      </w:r>
      <w:r w:rsidRPr="00D4309F">
        <w:t>enhancing</w:t>
      </w:r>
      <w:r w:rsidRPr="00D4309F">
        <w:rPr>
          <w:spacing w:val="-3"/>
        </w:rPr>
        <w:t xml:space="preserve"> </w:t>
      </w:r>
      <w:r w:rsidRPr="00D4309F">
        <w:t>opportunities</w:t>
      </w:r>
      <w:r w:rsidRPr="00D4309F">
        <w:rPr>
          <w:spacing w:val="-2"/>
        </w:rPr>
        <w:t xml:space="preserve"> </w:t>
      </w:r>
      <w:r w:rsidRPr="00D4309F">
        <w:t>for anglers. The project will also involve redistributing larger volumes of sand to nearshore areas, allowing natural processes to transport material</w:t>
      </w:r>
      <w:r w:rsidRPr="00D4309F">
        <w:rPr>
          <w:spacing w:val="-1"/>
        </w:rPr>
        <w:t xml:space="preserve"> </w:t>
      </w:r>
      <w:r w:rsidRPr="00D4309F">
        <w:t>to beaches further north, supporting coastal resilience and amenity.</w:t>
      </w:r>
    </w:p>
    <w:p w14:paraId="6ABAA5BF" w14:textId="77777777" w:rsidR="00725977" w:rsidRPr="00D4309F" w:rsidRDefault="00725977" w:rsidP="00725977">
      <w:pPr>
        <w:pStyle w:val="BodyText"/>
      </w:pPr>
      <w:r w:rsidRPr="00D4309F">
        <w:t>During construction, temporary changes to channel access may occur, affecting recreational boaters and commercial operators who use the harbour entrance. Onshore rock fishing at the breakwater and Point Cartwright will be impacted due to reduced fishing locations and safety requirements during works. These disruptions could lead to fewer visitors during the construction period, with some choosing alternative destinations on the Sunshine Coast or other coastal areas. This may result in short-term reductions in local spending,</w:t>
      </w:r>
      <w:r w:rsidRPr="00D4309F">
        <w:rPr>
          <w:spacing w:val="-3"/>
        </w:rPr>
        <w:t xml:space="preserve"> </w:t>
      </w:r>
      <w:r w:rsidRPr="00D4309F">
        <w:t>affecting</w:t>
      </w:r>
      <w:r w:rsidRPr="00D4309F">
        <w:rPr>
          <w:spacing w:val="-3"/>
        </w:rPr>
        <w:t xml:space="preserve"> </w:t>
      </w:r>
      <w:r w:rsidRPr="00D4309F">
        <w:t>nearby</w:t>
      </w:r>
      <w:r w:rsidRPr="00D4309F">
        <w:rPr>
          <w:spacing w:val="-3"/>
        </w:rPr>
        <w:t xml:space="preserve"> </w:t>
      </w:r>
      <w:r w:rsidRPr="00D4309F">
        <w:t>businesses;</w:t>
      </w:r>
      <w:r w:rsidRPr="00D4309F">
        <w:rPr>
          <w:spacing w:val="-3"/>
        </w:rPr>
        <w:t xml:space="preserve"> </w:t>
      </w:r>
      <w:r w:rsidRPr="00D4309F">
        <w:t>however,</w:t>
      </w:r>
      <w:r w:rsidRPr="00D4309F">
        <w:rPr>
          <w:spacing w:val="-3"/>
        </w:rPr>
        <w:t xml:space="preserve"> </w:t>
      </w:r>
      <w:r w:rsidRPr="00D4309F">
        <w:t>these</w:t>
      </w:r>
      <w:r w:rsidRPr="00D4309F">
        <w:rPr>
          <w:spacing w:val="-3"/>
        </w:rPr>
        <w:t xml:space="preserve"> </w:t>
      </w:r>
      <w:r w:rsidRPr="00D4309F">
        <w:t>impacts</w:t>
      </w:r>
      <w:r w:rsidRPr="00D4309F">
        <w:rPr>
          <w:spacing w:val="-2"/>
        </w:rPr>
        <w:t xml:space="preserve"> </w:t>
      </w:r>
      <w:r w:rsidRPr="00D4309F">
        <w:t>are</w:t>
      </w:r>
      <w:r w:rsidRPr="00D4309F">
        <w:rPr>
          <w:spacing w:val="-3"/>
        </w:rPr>
        <w:t xml:space="preserve"> </w:t>
      </w:r>
      <w:r w:rsidRPr="00D4309F">
        <w:t>expected</w:t>
      </w:r>
      <w:r w:rsidRPr="00D4309F">
        <w:rPr>
          <w:spacing w:val="-3"/>
        </w:rPr>
        <w:t xml:space="preserve"> </w:t>
      </w:r>
      <w:r w:rsidRPr="00D4309F">
        <w:t>to</w:t>
      </w:r>
      <w:r w:rsidRPr="00D4309F">
        <w:rPr>
          <w:spacing w:val="-3"/>
        </w:rPr>
        <w:t xml:space="preserve"> </w:t>
      </w:r>
      <w:r w:rsidRPr="00D4309F">
        <w:t>be</w:t>
      </w:r>
      <w:r w:rsidRPr="00D4309F">
        <w:rPr>
          <w:spacing w:val="-3"/>
        </w:rPr>
        <w:t xml:space="preserve"> </w:t>
      </w:r>
      <w:r w:rsidRPr="00D4309F">
        <w:t>temporary</w:t>
      </w:r>
      <w:r w:rsidRPr="00D4309F">
        <w:rPr>
          <w:spacing w:val="-2"/>
        </w:rPr>
        <w:t xml:space="preserve"> </w:t>
      </w:r>
      <w:r w:rsidRPr="00D4309F">
        <w:t>and</w:t>
      </w:r>
      <w:r w:rsidRPr="00D4309F">
        <w:rPr>
          <w:spacing w:val="-3"/>
        </w:rPr>
        <w:t xml:space="preserve"> </w:t>
      </w:r>
      <w:r w:rsidRPr="00D4309F">
        <w:t>managed to minimise disruption.</w:t>
      </w:r>
    </w:p>
    <w:p w14:paraId="558A1875" w14:textId="3CE9C34D" w:rsidR="00725977" w:rsidRPr="00D4309F" w:rsidRDefault="00725977" w:rsidP="00725977">
      <w:pPr>
        <w:pStyle w:val="BodyText"/>
      </w:pPr>
      <w:r w:rsidRPr="00D4309F">
        <w:t>In the longer term, Option 3A may result in changes to tidal patterns that influence wave conditions at Mooloolaba Beach. These changes could lead to a decline in surf quality, particularly to the north of the harbour, where wave energy may be reduced. A reduction in surf conditions could affect the area’s reputation as a popular surfing destination, potentially decreasing visitation over time. This decline in visitor numbers may have flow-on effects for local businesses that rely on tourism and recreational activity, including accommodation providers, cafes, and surf-related enterprises. While these impacts are uncertain and</w:t>
      </w:r>
      <w:r w:rsidRPr="00D4309F">
        <w:rPr>
          <w:spacing w:val="-3"/>
        </w:rPr>
        <w:t xml:space="preserve"> </w:t>
      </w:r>
      <w:r w:rsidRPr="00D4309F">
        <w:t>dependent</w:t>
      </w:r>
      <w:r w:rsidRPr="00D4309F">
        <w:rPr>
          <w:spacing w:val="-3"/>
        </w:rPr>
        <w:t xml:space="preserve"> </w:t>
      </w:r>
      <w:r w:rsidRPr="00D4309F">
        <w:t>on</w:t>
      </w:r>
      <w:r w:rsidRPr="00D4309F">
        <w:rPr>
          <w:spacing w:val="-3"/>
        </w:rPr>
        <w:t xml:space="preserve"> </w:t>
      </w:r>
      <w:r w:rsidRPr="00D4309F">
        <w:t>the</w:t>
      </w:r>
      <w:r w:rsidRPr="00D4309F">
        <w:rPr>
          <w:spacing w:val="-3"/>
        </w:rPr>
        <w:t xml:space="preserve"> </w:t>
      </w:r>
      <w:r w:rsidRPr="00D4309F">
        <w:t>extent</w:t>
      </w:r>
      <w:r w:rsidRPr="00D4309F">
        <w:rPr>
          <w:spacing w:val="-3"/>
        </w:rPr>
        <w:t xml:space="preserve"> </w:t>
      </w:r>
      <w:r w:rsidRPr="00D4309F">
        <w:t>of</w:t>
      </w:r>
      <w:r w:rsidRPr="00D4309F">
        <w:rPr>
          <w:spacing w:val="-3"/>
        </w:rPr>
        <w:t xml:space="preserve"> </w:t>
      </w:r>
      <w:r w:rsidRPr="00D4309F">
        <w:t>tidal</w:t>
      </w:r>
      <w:r w:rsidRPr="00D4309F">
        <w:rPr>
          <w:spacing w:val="-3"/>
        </w:rPr>
        <w:t xml:space="preserve"> </w:t>
      </w:r>
      <w:r w:rsidRPr="00D4309F">
        <w:t>changes,</w:t>
      </w:r>
      <w:r w:rsidRPr="00D4309F">
        <w:rPr>
          <w:spacing w:val="-3"/>
        </w:rPr>
        <w:t xml:space="preserve"> </w:t>
      </w:r>
      <w:r w:rsidRPr="00D4309F">
        <w:t>they</w:t>
      </w:r>
      <w:r w:rsidRPr="00D4309F">
        <w:rPr>
          <w:spacing w:val="-2"/>
        </w:rPr>
        <w:t xml:space="preserve"> </w:t>
      </w:r>
      <w:r w:rsidRPr="00D4309F">
        <w:t>represent</w:t>
      </w:r>
      <w:r w:rsidRPr="00D4309F">
        <w:rPr>
          <w:spacing w:val="-3"/>
        </w:rPr>
        <w:t xml:space="preserve"> </w:t>
      </w:r>
      <w:r w:rsidRPr="00D4309F">
        <w:t>a</w:t>
      </w:r>
      <w:r w:rsidRPr="00D4309F">
        <w:rPr>
          <w:spacing w:val="-3"/>
        </w:rPr>
        <w:t xml:space="preserve"> </w:t>
      </w:r>
      <w:r w:rsidRPr="00D4309F">
        <w:t>potential</w:t>
      </w:r>
      <w:r w:rsidRPr="00D4309F">
        <w:rPr>
          <w:spacing w:val="-3"/>
        </w:rPr>
        <w:t xml:space="preserve"> </w:t>
      </w:r>
      <w:r w:rsidRPr="00D4309F">
        <w:t>long-term</w:t>
      </w:r>
      <w:r w:rsidRPr="00D4309F">
        <w:rPr>
          <w:spacing w:val="-3"/>
        </w:rPr>
        <w:t xml:space="preserve"> </w:t>
      </w:r>
      <w:r w:rsidRPr="00D4309F">
        <w:t>consideration</w:t>
      </w:r>
      <w:r w:rsidRPr="00D4309F">
        <w:rPr>
          <w:spacing w:val="-3"/>
        </w:rPr>
        <w:t xml:space="preserve"> </w:t>
      </w:r>
      <w:r w:rsidRPr="00D4309F">
        <w:t>for</w:t>
      </w:r>
      <w:r w:rsidRPr="00D4309F">
        <w:rPr>
          <w:spacing w:val="-2"/>
        </w:rPr>
        <w:t xml:space="preserve"> </w:t>
      </w:r>
      <w:r w:rsidRPr="00D4309F">
        <w:t>the</w:t>
      </w:r>
      <w:r w:rsidRPr="00D4309F">
        <w:rPr>
          <w:spacing w:val="-3"/>
        </w:rPr>
        <w:t xml:space="preserve"> </w:t>
      </w:r>
      <w:r w:rsidRPr="00D4309F">
        <w:t>local economy and community.</w:t>
      </w:r>
    </w:p>
    <w:p w14:paraId="2DD91207" w14:textId="77777777" w:rsidR="00725977" w:rsidRPr="00D4309F" w:rsidRDefault="00725977" w:rsidP="008228CB">
      <w:pPr>
        <w:pStyle w:val="Heading3"/>
      </w:pPr>
      <w:bookmarkStart w:id="415" w:name="_Toc216699453"/>
      <w:r w:rsidRPr="00D4309F">
        <w:t>Future</w:t>
      </w:r>
      <w:r w:rsidRPr="00D4309F">
        <w:rPr>
          <w:spacing w:val="-3"/>
        </w:rPr>
        <w:t xml:space="preserve"> </w:t>
      </w:r>
      <w:r w:rsidRPr="00D4309F">
        <w:t>adaptation</w:t>
      </w:r>
      <w:bookmarkEnd w:id="415"/>
    </w:p>
    <w:p w14:paraId="7B9561FE" w14:textId="77777777" w:rsidR="00725977" w:rsidRPr="00D4309F" w:rsidRDefault="00725977" w:rsidP="00725977">
      <w:pPr>
        <w:pStyle w:val="BodyText"/>
      </w:pPr>
      <w:r w:rsidRPr="00D4309F">
        <w:t>This combined structural and operational solution provides a high degree of future adaptability. The breakwater</w:t>
      </w:r>
      <w:r w:rsidRPr="00D4309F">
        <w:rPr>
          <w:spacing w:val="-2"/>
        </w:rPr>
        <w:t xml:space="preserve"> </w:t>
      </w:r>
      <w:r w:rsidRPr="00D4309F">
        <w:t>extension</w:t>
      </w:r>
      <w:r w:rsidRPr="00D4309F">
        <w:rPr>
          <w:spacing w:val="-3"/>
        </w:rPr>
        <w:t xml:space="preserve"> </w:t>
      </w:r>
      <w:r w:rsidRPr="00D4309F">
        <w:t>is</w:t>
      </w:r>
      <w:r w:rsidRPr="00D4309F">
        <w:rPr>
          <w:spacing w:val="-2"/>
        </w:rPr>
        <w:t xml:space="preserve"> </w:t>
      </w:r>
      <w:r w:rsidRPr="00D4309F">
        <w:t>a</w:t>
      </w:r>
      <w:r w:rsidRPr="00D4309F">
        <w:rPr>
          <w:spacing w:val="-3"/>
        </w:rPr>
        <w:t xml:space="preserve"> </w:t>
      </w:r>
      <w:r w:rsidRPr="00D4309F">
        <w:t>permanent</w:t>
      </w:r>
      <w:r w:rsidRPr="00D4309F">
        <w:rPr>
          <w:spacing w:val="-3"/>
        </w:rPr>
        <w:t xml:space="preserve"> </w:t>
      </w:r>
      <w:r w:rsidRPr="00D4309F">
        <w:t>structure</w:t>
      </w:r>
      <w:r w:rsidRPr="00D4309F">
        <w:rPr>
          <w:spacing w:val="-4"/>
        </w:rPr>
        <w:t xml:space="preserve"> </w:t>
      </w:r>
      <w:r w:rsidRPr="00D4309F">
        <w:t>with</w:t>
      </w:r>
      <w:r w:rsidRPr="00D4309F">
        <w:rPr>
          <w:spacing w:val="-3"/>
        </w:rPr>
        <w:t xml:space="preserve"> </w:t>
      </w:r>
      <w:r w:rsidRPr="00D4309F">
        <w:t>a</w:t>
      </w:r>
      <w:r w:rsidRPr="00D4309F">
        <w:rPr>
          <w:spacing w:val="-4"/>
        </w:rPr>
        <w:t xml:space="preserve"> </w:t>
      </w:r>
      <w:r w:rsidRPr="00D4309F">
        <w:t>long</w:t>
      </w:r>
      <w:r w:rsidRPr="00D4309F">
        <w:rPr>
          <w:spacing w:val="-3"/>
        </w:rPr>
        <w:t xml:space="preserve"> </w:t>
      </w:r>
      <w:r w:rsidRPr="00D4309F">
        <w:t>design</w:t>
      </w:r>
      <w:r w:rsidRPr="00D4309F">
        <w:rPr>
          <w:spacing w:val="-3"/>
        </w:rPr>
        <w:t xml:space="preserve"> </w:t>
      </w:r>
      <w:r w:rsidRPr="00D4309F">
        <w:t>life</w:t>
      </w:r>
      <w:r w:rsidRPr="00D4309F">
        <w:rPr>
          <w:spacing w:val="-3"/>
        </w:rPr>
        <w:t xml:space="preserve"> </w:t>
      </w:r>
      <w:r w:rsidRPr="00D4309F">
        <w:t>(50+</w:t>
      </w:r>
      <w:r w:rsidRPr="00D4309F">
        <w:rPr>
          <w:spacing w:val="-2"/>
        </w:rPr>
        <w:t xml:space="preserve"> </w:t>
      </w:r>
      <w:r w:rsidRPr="00D4309F">
        <w:t>years)</w:t>
      </w:r>
      <w:r w:rsidRPr="00D4309F">
        <w:rPr>
          <w:spacing w:val="-2"/>
        </w:rPr>
        <w:t xml:space="preserve"> </w:t>
      </w:r>
      <w:r w:rsidRPr="00D4309F">
        <w:t>and</w:t>
      </w:r>
      <w:r w:rsidRPr="00D4309F">
        <w:rPr>
          <w:spacing w:val="-3"/>
        </w:rPr>
        <w:t xml:space="preserve"> </w:t>
      </w:r>
      <w:r w:rsidRPr="00D4309F">
        <w:t>is</w:t>
      </w:r>
      <w:r w:rsidRPr="00D4309F">
        <w:rPr>
          <w:spacing w:val="-2"/>
        </w:rPr>
        <w:t xml:space="preserve"> </w:t>
      </w:r>
      <w:r w:rsidRPr="00D4309F">
        <w:t>expected</w:t>
      </w:r>
      <w:r w:rsidRPr="00D4309F">
        <w:rPr>
          <w:spacing w:val="-3"/>
        </w:rPr>
        <w:t xml:space="preserve"> </w:t>
      </w:r>
      <w:r w:rsidRPr="00D4309F">
        <w:t>to</w:t>
      </w:r>
      <w:r w:rsidRPr="00D4309F">
        <w:rPr>
          <w:spacing w:val="-3"/>
        </w:rPr>
        <w:t xml:space="preserve"> </w:t>
      </w:r>
      <w:r w:rsidRPr="00D4309F">
        <w:t>remain stable and effective under rising sea levels and evolving wave climates. Its primary function, reducing channel shoaling, is anticipated to remain effective over time, supported by extensive design modelling.</w:t>
      </w:r>
    </w:p>
    <w:p w14:paraId="2CDD4A1B" w14:textId="77777777" w:rsidR="00725977" w:rsidRPr="00D4309F" w:rsidRDefault="00725977" w:rsidP="00725977">
      <w:pPr>
        <w:pStyle w:val="BodyText"/>
      </w:pPr>
      <w:r w:rsidRPr="00D4309F">
        <w:lastRenderedPageBreak/>
        <w:t>Training</w:t>
      </w:r>
      <w:r w:rsidRPr="00D4309F">
        <w:rPr>
          <w:spacing w:val="-3"/>
        </w:rPr>
        <w:t xml:space="preserve"> </w:t>
      </w:r>
      <w:r w:rsidRPr="00D4309F">
        <w:t>walls</w:t>
      </w:r>
      <w:r w:rsidRPr="00D4309F">
        <w:rPr>
          <w:spacing w:val="-3"/>
        </w:rPr>
        <w:t xml:space="preserve"> </w:t>
      </w:r>
      <w:r w:rsidRPr="00D4309F">
        <w:t>paired</w:t>
      </w:r>
      <w:r w:rsidRPr="00D4309F">
        <w:rPr>
          <w:spacing w:val="-4"/>
        </w:rPr>
        <w:t xml:space="preserve"> </w:t>
      </w:r>
      <w:r w:rsidRPr="00D4309F">
        <w:t>with</w:t>
      </w:r>
      <w:r w:rsidRPr="00D4309F">
        <w:rPr>
          <w:spacing w:val="-3"/>
        </w:rPr>
        <w:t xml:space="preserve"> </w:t>
      </w:r>
      <w:r w:rsidRPr="00D4309F">
        <w:t>managed</w:t>
      </w:r>
      <w:r w:rsidRPr="00D4309F">
        <w:rPr>
          <w:spacing w:val="-3"/>
        </w:rPr>
        <w:t xml:space="preserve"> </w:t>
      </w:r>
      <w:r w:rsidRPr="00D4309F">
        <w:t>sand</w:t>
      </w:r>
      <w:r w:rsidRPr="00D4309F">
        <w:rPr>
          <w:spacing w:val="-3"/>
        </w:rPr>
        <w:t xml:space="preserve"> </w:t>
      </w:r>
      <w:r w:rsidRPr="00D4309F">
        <w:t>bypassing</w:t>
      </w:r>
      <w:r w:rsidRPr="00D4309F">
        <w:rPr>
          <w:spacing w:val="-3"/>
        </w:rPr>
        <w:t xml:space="preserve"> </w:t>
      </w:r>
      <w:r w:rsidRPr="00D4309F">
        <w:t>are</w:t>
      </w:r>
      <w:r w:rsidRPr="00D4309F">
        <w:rPr>
          <w:spacing w:val="-3"/>
        </w:rPr>
        <w:t xml:space="preserve"> </w:t>
      </w:r>
      <w:r w:rsidRPr="00D4309F">
        <w:t>a</w:t>
      </w:r>
      <w:r w:rsidRPr="00D4309F">
        <w:rPr>
          <w:spacing w:val="-3"/>
        </w:rPr>
        <w:t xml:space="preserve"> </w:t>
      </w:r>
      <w:r w:rsidRPr="00D4309F">
        <w:t>well-established</w:t>
      </w:r>
      <w:r w:rsidRPr="00D4309F">
        <w:rPr>
          <w:spacing w:val="-3"/>
        </w:rPr>
        <w:t xml:space="preserve"> </w:t>
      </w:r>
      <w:r w:rsidRPr="00D4309F">
        <w:t>approach</w:t>
      </w:r>
      <w:r w:rsidRPr="00D4309F">
        <w:rPr>
          <w:spacing w:val="-3"/>
        </w:rPr>
        <w:t xml:space="preserve"> </w:t>
      </w:r>
      <w:r w:rsidRPr="00D4309F">
        <w:t>along</w:t>
      </w:r>
      <w:r w:rsidRPr="00D4309F">
        <w:rPr>
          <w:spacing w:val="-3"/>
        </w:rPr>
        <w:t xml:space="preserve"> </w:t>
      </w:r>
      <w:r w:rsidRPr="00D4309F">
        <w:t>Australia’s</w:t>
      </w:r>
      <w:r w:rsidRPr="00D4309F">
        <w:rPr>
          <w:spacing w:val="-2"/>
        </w:rPr>
        <w:t xml:space="preserve"> </w:t>
      </w:r>
      <w:r w:rsidRPr="00D4309F">
        <w:t>east coast, such as the Noosa River, Gold Coast Seaway and Tweed River.</w:t>
      </w:r>
    </w:p>
    <w:p w14:paraId="3F749653" w14:textId="77777777" w:rsidR="00725977" w:rsidRPr="00D4309F" w:rsidRDefault="00725977" w:rsidP="00725977">
      <w:pPr>
        <w:pStyle w:val="BodyText"/>
      </w:pPr>
      <w:r w:rsidRPr="00D4309F">
        <w:t>If future coastal processes shift more significantly, due to changes in sediment supply, wave direction, or storm</w:t>
      </w:r>
      <w:r w:rsidRPr="00D4309F">
        <w:rPr>
          <w:spacing w:val="-1"/>
        </w:rPr>
        <w:t xml:space="preserve"> </w:t>
      </w:r>
      <w:r w:rsidRPr="00D4309F">
        <w:t>intensity,</w:t>
      </w:r>
      <w:r w:rsidRPr="00D4309F">
        <w:rPr>
          <w:spacing w:val="-1"/>
        </w:rPr>
        <w:t xml:space="preserve"> </w:t>
      </w:r>
      <w:r w:rsidRPr="00D4309F">
        <w:t>the</w:t>
      </w:r>
      <w:r w:rsidRPr="00D4309F">
        <w:rPr>
          <w:spacing w:val="-1"/>
        </w:rPr>
        <w:t xml:space="preserve"> </w:t>
      </w:r>
      <w:r w:rsidRPr="00D4309F">
        <w:t>breakwater geometry could</w:t>
      </w:r>
      <w:r w:rsidRPr="00D4309F">
        <w:rPr>
          <w:spacing w:val="-1"/>
        </w:rPr>
        <w:t xml:space="preserve"> </w:t>
      </w:r>
      <w:r w:rsidRPr="00D4309F">
        <w:t>be</w:t>
      </w:r>
      <w:r w:rsidRPr="00D4309F">
        <w:rPr>
          <w:spacing w:val="-1"/>
        </w:rPr>
        <w:t xml:space="preserve"> </w:t>
      </w:r>
      <w:r w:rsidRPr="00D4309F">
        <w:t>modified</w:t>
      </w:r>
      <w:r w:rsidRPr="00D4309F">
        <w:rPr>
          <w:spacing w:val="-1"/>
        </w:rPr>
        <w:t xml:space="preserve"> </w:t>
      </w:r>
      <w:r w:rsidRPr="00D4309F">
        <w:t>or extended,</w:t>
      </w:r>
      <w:r w:rsidRPr="00D4309F">
        <w:rPr>
          <w:spacing w:val="-1"/>
        </w:rPr>
        <w:t xml:space="preserve"> </w:t>
      </w:r>
      <w:r w:rsidRPr="00D4309F">
        <w:t>albeit</w:t>
      </w:r>
      <w:r w:rsidRPr="00D4309F">
        <w:rPr>
          <w:spacing w:val="-1"/>
        </w:rPr>
        <w:t xml:space="preserve"> </w:t>
      </w:r>
      <w:r w:rsidRPr="00D4309F">
        <w:t>with</w:t>
      </w:r>
      <w:r w:rsidRPr="00D4309F">
        <w:rPr>
          <w:spacing w:val="-1"/>
        </w:rPr>
        <w:t xml:space="preserve"> </w:t>
      </w:r>
      <w:r w:rsidRPr="00D4309F">
        <w:t>considerable</w:t>
      </w:r>
      <w:r w:rsidRPr="00D4309F">
        <w:rPr>
          <w:spacing w:val="-1"/>
        </w:rPr>
        <w:t xml:space="preserve"> </w:t>
      </w:r>
      <w:r w:rsidRPr="00D4309F">
        <w:t>additional capital works. The Kirra Groyne on the Gold Coast provides a relevant precedent, having been shortened and</w:t>
      </w:r>
      <w:r w:rsidRPr="00D4309F">
        <w:rPr>
          <w:spacing w:val="-6"/>
        </w:rPr>
        <w:t xml:space="preserve"> </w:t>
      </w:r>
      <w:r w:rsidRPr="00D4309F">
        <w:t>later</w:t>
      </w:r>
      <w:r w:rsidRPr="00D4309F">
        <w:rPr>
          <w:spacing w:val="-5"/>
        </w:rPr>
        <w:t xml:space="preserve"> </w:t>
      </w:r>
      <w:r w:rsidRPr="00D4309F">
        <w:t>re-extended</w:t>
      </w:r>
      <w:r w:rsidRPr="00D4309F">
        <w:rPr>
          <w:spacing w:val="-4"/>
        </w:rPr>
        <w:t xml:space="preserve"> </w:t>
      </w:r>
      <w:r w:rsidRPr="00D4309F">
        <w:t>since</w:t>
      </w:r>
      <w:r w:rsidRPr="00D4309F">
        <w:rPr>
          <w:spacing w:val="-3"/>
        </w:rPr>
        <w:t xml:space="preserve"> </w:t>
      </w:r>
      <w:r w:rsidRPr="00D4309F">
        <w:t>its</w:t>
      </w:r>
      <w:r w:rsidRPr="00D4309F">
        <w:rPr>
          <w:spacing w:val="-3"/>
        </w:rPr>
        <w:t xml:space="preserve"> </w:t>
      </w:r>
      <w:r w:rsidRPr="00D4309F">
        <w:t>original</w:t>
      </w:r>
      <w:r w:rsidRPr="00D4309F">
        <w:rPr>
          <w:spacing w:val="-4"/>
        </w:rPr>
        <w:t xml:space="preserve"> </w:t>
      </w:r>
      <w:r w:rsidRPr="00D4309F">
        <w:t>construction</w:t>
      </w:r>
      <w:r w:rsidRPr="00D4309F">
        <w:rPr>
          <w:spacing w:val="-4"/>
        </w:rPr>
        <w:t xml:space="preserve"> </w:t>
      </w:r>
      <w:r w:rsidRPr="00D4309F">
        <w:t>in</w:t>
      </w:r>
      <w:r w:rsidRPr="00D4309F">
        <w:rPr>
          <w:spacing w:val="-4"/>
        </w:rPr>
        <w:t xml:space="preserve"> </w:t>
      </w:r>
      <w:r w:rsidRPr="00D4309F">
        <w:t>the</w:t>
      </w:r>
      <w:r w:rsidRPr="00D4309F">
        <w:rPr>
          <w:spacing w:val="-4"/>
        </w:rPr>
        <w:t xml:space="preserve"> </w:t>
      </w:r>
      <w:r w:rsidRPr="00D4309F">
        <w:t>1980s</w:t>
      </w:r>
      <w:r w:rsidRPr="00D4309F">
        <w:rPr>
          <w:spacing w:val="-3"/>
        </w:rPr>
        <w:t xml:space="preserve"> </w:t>
      </w:r>
      <w:r w:rsidRPr="00D4309F">
        <w:t>in</w:t>
      </w:r>
      <w:r w:rsidRPr="00D4309F">
        <w:rPr>
          <w:spacing w:val="-4"/>
        </w:rPr>
        <w:t xml:space="preserve"> </w:t>
      </w:r>
      <w:r w:rsidRPr="00D4309F">
        <w:t>response</w:t>
      </w:r>
      <w:r w:rsidRPr="00D4309F">
        <w:rPr>
          <w:spacing w:val="-3"/>
        </w:rPr>
        <w:t xml:space="preserve"> </w:t>
      </w:r>
      <w:r w:rsidRPr="00D4309F">
        <w:t>to</w:t>
      </w:r>
      <w:r w:rsidRPr="00D4309F">
        <w:rPr>
          <w:spacing w:val="-4"/>
        </w:rPr>
        <w:t xml:space="preserve"> </w:t>
      </w:r>
      <w:r w:rsidRPr="00D4309F">
        <w:t>changing</w:t>
      </w:r>
      <w:r w:rsidRPr="00D4309F">
        <w:rPr>
          <w:spacing w:val="-4"/>
        </w:rPr>
        <w:t xml:space="preserve"> </w:t>
      </w:r>
      <w:r w:rsidRPr="00D4309F">
        <w:t>coastal</w:t>
      </w:r>
      <w:r w:rsidRPr="00D4309F">
        <w:rPr>
          <w:spacing w:val="-3"/>
        </w:rPr>
        <w:t xml:space="preserve"> </w:t>
      </w:r>
      <w:r w:rsidRPr="00D4309F">
        <w:rPr>
          <w:spacing w:val="-2"/>
        </w:rPr>
        <w:t>dynamics.</w:t>
      </w:r>
    </w:p>
    <w:p w14:paraId="76B7C9A3" w14:textId="77777777" w:rsidR="00725977" w:rsidRPr="00D4309F" w:rsidRDefault="00725977" w:rsidP="00725977">
      <w:pPr>
        <w:pStyle w:val="BodyText"/>
      </w:pPr>
      <w:r w:rsidRPr="00D4309F">
        <w:t>The</w:t>
      </w:r>
      <w:r w:rsidRPr="00D4309F">
        <w:rPr>
          <w:spacing w:val="-4"/>
        </w:rPr>
        <w:t xml:space="preserve"> </w:t>
      </w:r>
      <w:r w:rsidRPr="00D4309F">
        <w:t>dredging</w:t>
      </w:r>
      <w:r w:rsidRPr="00D4309F">
        <w:rPr>
          <w:spacing w:val="-5"/>
        </w:rPr>
        <w:t xml:space="preserve"> </w:t>
      </w:r>
      <w:r w:rsidRPr="00D4309F">
        <w:t>component</w:t>
      </w:r>
      <w:r w:rsidRPr="00D4309F">
        <w:rPr>
          <w:spacing w:val="-4"/>
        </w:rPr>
        <w:t xml:space="preserve"> </w:t>
      </w:r>
      <w:r w:rsidRPr="00D4309F">
        <w:t>offers</w:t>
      </w:r>
      <w:r w:rsidRPr="00D4309F">
        <w:rPr>
          <w:spacing w:val="-3"/>
        </w:rPr>
        <w:t xml:space="preserve"> </w:t>
      </w:r>
      <w:r w:rsidRPr="00D4309F">
        <w:t>considerable</w:t>
      </w:r>
      <w:r w:rsidRPr="00D4309F">
        <w:rPr>
          <w:spacing w:val="-4"/>
        </w:rPr>
        <w:t xml:space="preserve"> </w:t>
      </w:r>
      <w:r w:rsidRPr="00D4309F">
        <w:t>flexibility</w:t>
      </w:r>
      <w:r w:rsidRPr="00D4309F">
        <w:rPr>
          <w:spacing w:val="-4"/>
        </w:rPr>
        <w:t xml:space="preserve"> </w:t>
      </w:r>
      <w:r w:rsidRPr="00D4309F">
        <w:t>and</w:t>
      </w:r>
      <w:r w:rsidRPr="00D4309F">
        <w:rPr>
          <w:spacing w:val="-4"/>
        </w:rPr>
        <w:t xml:space="preserve"> </w:t>
      </w:r>
      <w:r w:rsidRPr="00D4309F">
        <w:t>responsiveness.</w:t>
      </w:r>
      <w:r w:rsidRPr="00D4309F">
        <w:rPr>
          <w:spacing w:val="-4"/>
        </w:rPr>
        <w:t xml:space="preserve"> </w:t>
      </w:r>
      <w:r w:rsidRPr="00D4309F">
        <w:t>Importantly,</w:t>
      </w:r>
      <w:r w:rsidRPr="00D4309F">
        <w:rPr>
          <w:spacing w:val="-4"/>
        </w:rPr>
        <w:t xml:space="preserve"> </w:t>
      </w:r>
      <w:r w:rsidRPr="00D4309F">
        <w:t>sediment</w:t>
      </w:r>
      <w:r w:rsidRPr="00D4309F">
        <w:rPr>
          <w:spacing w:val="-4"/>
        </w:rPr>
        <w:t xml:space="preserve"> </w:t>
      </w:r>
      <w:r w:rsidRPr="00D4309F">
        <w:t>transport in</w:t>
      </w:r>
      <w:r w:rsidRPr="00D4309F">
        <w:rPr>
          <w:spacing w:val="-1"/>
        </w:rPr>
        <w:t xml:space="preserve"> </w:t>
      </w:r>
      <w:r w:rsidRPr="00D4309F">
        <w:t>this region</w:t>
      </w:r>
      <w:r w:rsidRPr="00D4309F">
        <w:rPr>
          <w:spacing w:val="-2"/>
        </w:rPr>
        <w:t xml:space="preserve"> </w:t>
      </w:r>
      <w:r w:rsidRPr="00D4309F">
        <w:t>is episodic,</w:t>
      </w:r>
      <w:r w:rsidRPr="00D4309F">
        <w:rPr>
          <w:spacing w:val="-1"/>
        </w:rPr>
        <w:t xml:space="preserve"> </w:t>
      </w:r>
      <w:r w:rsidRPr="00D4309F">
        <w:t>with</w:t>
      </w:r>
      <w:r w:rsidRPr="00D4309F">
        <w:rPr>
          <w:spacing w:val="-1"/>
        </w:rPr>
        <w:t xml:space="preserve"> </w:t>
      </w:r>
      <w:r w:rsidRPr="00D4309F">
        <w:t>high</w:t>
      </w:r>
      <w:r w:rsidRPr="00D4309F">
        <w:rPr>
          <w:spacing w:val="-1"/>
        </w:rPr>
        <w:t xml:space="preserve"> </w:t>
      </w:r>
      <w:r w:rsidRPr="00D4309F">
        <w:t>peaks during</w:t>
      </w:r>
      <w:r w:rsidRPr="00D4309F">
        <w:rPr>
          <w:spacing w:val="-1"/>
        </w:rPr>
        <w:t xml:space="preserve"> </w:t>
      </w:r>
      <w:r w:rsidRPr="00D4309F">
        <w:t>major storm</w:t>
      </w:r>
      <w:r w:rsidRPr="00D4309F">
        <w:rPr>
          <w:spacing w:val="-1"/>
        </w:rPr>
        <w:t xml:space="preserve"> </w:t>
      </w:r>
      <w:r w:rsidRPr="00D4309F">
        <w:t>events and</w:t>
      </w:r>
      <w:r w:rsidRPr="00D4309F">
        <w:rPr>
          <w:spacing w:val="-1"/>
        </w:rPr>
        <w:t xml:space="preserve"> </w:t>
      </w:r>
      <w:r w:rsidRPr="00D4309F">
        <w:t>lower background</w:t>
      </w:r>
      <w:r w:rsidRPr="00D4309F">
        <w:rPr>
          <w:spacing w:val="-1"/>
        </w:rPr>
        <w:t xml:space="preserve"> </w:t>
      </w:r>
      <w:r w:rsidRPr="00D4309F">
        <w:t>transport</w:t>
      </w:r>
      <w:r w:rsidRPr="00D4309F">
        <w:rPr>
          <w:spacing w:val="-1"/>
        </w:rPr>
        <w:t xml:space="preserve"> </w:t>
      </w:r>
      <w:r w:rsidRPr="00D4309F">
        <w:t>during calmer periods. This variability in transport means that sand volumes reaching the trap area can fluctuate significantly year to year. Given this, periodic dredging is not bound to a fixed schedule, campaigns can be scaled up, down, or paused entirely based on actual need, as determined through monitoring.</w:t>
      </w:r>
    </w:p>
    <w:p w14:paraId="03BF6A1B" w14:textId="77777777" w:rsidR="00725977" w:rsidRPr="00D4309F" w:rsidRDefault="00725977" w:rsidP="00725977">
      <w:pPr>
        <w:pStyle w:val="BodyText"/>
      </w:pPr>
      <w:r w:rsidRPr="00D4309F">
        <w:t>Each dredging campaign can be tailored in frequency, duration, and volume, depending on infill rates, weather windows, and shoreline response. Sand placement is similarly adaptable: if conditions or priorities shift, material can be redirected to alternative nourishment sites such as Alexandra Headland or Maroochydore</w:t>
      </w:r>
      <w:r w:rsidRPr="00D4309F">
        <w:rPr>
          <w:spacing w:val="-3"/>
        </w:rPr>
        <w:t xml:space="preserve"> </w:t>
      </w:r>
      <w:r w:rsidRPr="00D4309F">
        <w:t>Beach</w:t>
      </w:r>
      <w:r w:rsidRPr="00D4309F">
        <w:rPr>
          <w:spacing w:val="-4"/>
        </w:rPr>
        <w:t xml:space="preserve"> </w:t>
      </w:r>
      <w:r w:rsidRPr="00D4309F">
        <w:t>via</w:t>
      </w:r>
      <w:r w:rsidRPr="00D4309F">
        <w:rPr>
          <w:spacing w:val="-3"/>
        </w:rPr>
        <w:t xml:space="preserve"> </w:t>
      </w:r>
      <w:r w:rsidRPr="00D4309F">
        <w:t>extended</w:t>
      </w:r>
      <w:r w:rsidRPr="00D4309F">
        <w:rPr>
          <w:spacing w:val="-3"/>
        </w:rPr>
        <w:t xml:space="preserve"> </w:t>
      </w:r>
      <w:r w:rsidRPr="00D4309F">
        <w:t>pipelines</w:t>
      </w:r>
      <w:r w:rsidRPr="00D4309F">
        <w:rPr>
          <w:spacing w:val="-2"/>
        </w:rPr>
        <w:t xml:space="preserve"> </w:t>
      </w:r>
      <w:r w:rsidRPr="00D4309F">
        <w:t>or</w:t>
      </w:r>
      <w:r w:rsidRPr="00D4309F">
        <w:rPr>
          <w:spacing w:val="-2"/>
        </w:rPr>
        <w:t xml:space="preserve"> </w:t>
      </w:r>
      <w:r w:rsidRPr="00D4309F">
        <w:t>hopper</w:t>
      </w:r>
      <w:r w:rsidRPr="00D4309F">
        <w:rPr>
          <w:spacing w:val="-2"/>
        </w:rPr>
        <w:t xml:space="preserve"> </w:t>
      </w:r>
      <w:r w:rsidRPr="00D4309F">
        <w:t>barge,</w:t>
      </w:r>
      <w:r w:rsidRPr="00D4309F">
        <w:rPr>
          <w:spacing w:val="-3"/>
        </w:rPr>
        <w:t xml:space="preserve"> </w:t>
      </w:r>
      <w:r w:rsidRPr="00D4309F">
        <w:t>rather</w:t>
      </w:r>
      <w:r w:rsidRPr="00D4309F">
        <w:rPr>
          <w:spacing w:val="-2"/>
        </w:rPr>
        <w:t xml:space="preserve"> </w:t>
      </w:r>
      <w:r w:rsidRPr="00D4309F">
        <w:t>than</w:t>
      </w:r>
      <w:r w:rsidRPr="00D4309F">
        <w:rPr>
          <w:spacing w:val="-3"/>
        </w:rPr>
        <w:t xml:space="preserve"> </w:t>
      </w:r>
      <w:r w:rsidRPr="00D4309F">
        <w:t>exclusively</w:t>
      </w:r>
      <w:r w:rsidRPr="00D4309F">
        <w:rPr>
          <w:spacing w:val="-2"/>
        </w:rPr>
        <w:t xml:space="preserve"> </w:t>
      </w:r>
      <w:r w:rsidRPr="00D4309F">
        <w:t>to</w:t>
      </w:r>
      <w:r w:rsidRPr="00D4309F">
        <w:rPr>
          <w:spacing w:val="-3"/>
        </w:rPr>
        <w:t xml:space="preserve"> </w:t>
      </w:r>
      <w:r w:rsidRPr="00D4309F">
        <w:t>Mooloolaba</w:t>
      </w:r>
      <w:r w:rsidRPr="00D4309F">
        <w:rPr>
          <w:spacing w:val="-3"/>
        </w:rPr>
        <w:t xml:space="preserve"> </w:t>
      </w:r>
      <w:r w:rsidRPr="00D4309F">
        <w:t>Beach. This approach supports broader regional sediment management goals.</w:t>
      </w:r>
    </w:p>
    <w:p w14:paraId="615632E5" w14:textId="77777777" w:rsidR="00725977" w:rsidRPr="00D4309F" w:rsidRDefault="00725977" w:rsidP="00725977">
      <w:pPr>
        <w:pStyle w:val="BodyText"/>
      </w:pPr>
      <w:r w:rsidRPr="00D4309F">
        <w:t>Option 3A is also</w:t>
      </w:r>
      <w:r w:rsidRPr="00D4309F">
        <w:rPr>
          <w:spacing w:val="-1"/>
        </w:rPr>
        <w:t xml:space="preserve"> </w:t>
      </w:r>
      <w:r w:rsidRPr="00D4309F">
        <w:t>compatible with future system upgrades. Should a permanent sand bypass system, such as</w:t>
      </w:r>
      <w:r w:rsidRPr="00D4309F">
        <w:rPr>
          <w:spacing w:val="-1"/>
        </w:rPr>
        <w:t xml:space="preserve"> </w:t>
      </w:r>
      <w:r w:rsidRPr="00D4309F">
        <w:t>a</w:t>
      </w:r>
      <w:r w:rsidRPr="00D4309F">
        <w:rPr>
          <w:spacing w:val="-2"/>
        </w:rPr>
        <w:t xml:space="preserve"> </w:t>
      </w:r>
      <w:r w:rsidRPr="00D4309F">
        <w:t>sand</w:t>
      </w:r>
      <w:r w:rsidRPr="00D4309F">
        <w:rPr>
          <w:spacing w:val="-3"/>
        </w:rPr>
        <w:t xml:space="preserve"> </w:t>
      </w:r>
      <w:r w:rsidRPr="00D4309F">
        <w:t>shifter</w:t>
      </w:r>
      <w:r w:rsidRPr="00D4309F">
        <w:rPr>
          <w:spacing w:val="-1"/>
        </w:rPr>
        <w:t xml:space="preserve"> </w:t>
      </w:r>
      <w:r w:rsidRPr="00D4309F">
        <w:t>or</w:t>
      </w:r>
      <w:r w:rsidRPr="00D4309F">
        <w:rPr>
          <w:spacing w:val="-1"/>
        </w:rPr>
        <w:t xml:space="preserve"> </w:t>
      </w:r>
      <w:r w:rsidRPr="00D4309F">
        <w:t>fixed</w:t>
      </w:r>
      <w:r w:rsidRPr="00D4309F">
        <w:rPr>
          <w:spacing w:val="-2"/>
        </w:rPr>
        <w:t xml:space="preserve"> </w:t>
      </w:r>
      <w:r w:rsidRPr="00D4309F">
        <w:t>pump</w:t>
      </w:r>
      <w:r w:rsidRPr="00D4309F">
        <w:rPr>
          <w:spacing w:val="-2"/>
        </w:rPr>
        <w:t xml:space="preserve"> </w:t>
      </w:r>
      <w:r w:rsidRPr="00D4309F">
        <w:t>system,</w:t>
      </w:r>
      <w:r w:rsidRPr="00D4309F">
        <w:rPr>
          <w:spacing w:val="-2"/>
        </w:rPr>
        <w:t xml:space="preserve"> </w:t>
      </w:r>
      <w:r w:rsidRPr="00D4309F">
        <w:t>become</w:t>
      </w:r>
      <w:r w:rsidRPr="00D4309F">
        <w:rPr>
          <w:spacing w:val="-2"/>
        </w:rPr>
        <w:t xml:space="preserve"> </w:t>
      </w:r>
      <w:r w:rsidRPr="00D4309F">
        <w:t>preferred,</w:t>
      </w:r>
      <w:r w:rsidRPr="00D4309F">
        <w:rPr>
          <w:spacing w:val="-2"/>
        </w:rPr>
        <w:t xml:space="preserve"> </w:t>
      </w:r>
      <w:r w:rsidRPr="00D4309F">
        <w:t>it</w:t>
      </w:r>
      <w:r w:rsidRPr="00D4309F">
        <w:rPr>
          <w:spacing w:val="-2"/>
        </w:rPr>
        <w:t xml:space="preserve"> </w:t>
      </w:r>
      <w:r w:rsidRPr="00D4309F">
        <w:t>could</w:t>
      </w:r>
      <w:r w:rsidRPr="00D4309F">
        <w:rPr>
          <w:spacing w:val="-3"/>
        </w:rPr>
        <w:t xml:space="preserve"> </w:t>
      </w:r>
      <w:r w:rsidRPr="00D4309F">
        <w:t>be</w:t>
      </w:r>
      <w:r w:rsidRPr="00D4309F">
        <w:rPr>
          <w:spacing w:val="-2"/>
        </w:rPr>
        <w:t xml:space="preserve"> </w:t>
      </w:r>
      <w:r w:rsidRPr="00D4309F">
        <w:t>implemented</w:t>
      </w:r>
      <w:r w:rsidRPr="00D4309F">
        <w:rPr>
          <w:spacing w:val="-2"/>
        </w:rPr>
        <w:t xml:space="preserve"> </w:t>
      </w:r>
      <w:r w:rsidRPr="00D4309F">
        <w:t>alongside</w:t>
      </w:r>
      <w:r w:rsidRPr="00D4309F">
        <w:rPr>
          <w:spacing w:val="-3"/>
        </w:rPr>
        <w:t xml:space="preserve"> </w:t>
      </w:r>
      <w:r w:rsidRPr="00D4309F">
        <w:t>or</w:t>
      </w:r>
      <w:r w:rsidRPr="00D4309F">
        <w:rPr>
          <w:spacing w:val="-1"/>
        </w:rPr>
        <w:t xml:space="preserve"> </w:t>
      </w:r>
      <w:r w:rsidRPr="00D4309F">
        <w:t>in</w:t>
      </w:r>
      <w:r w:rsidRPr="00D4309F">
        <w:rPr>
          <w:spacing w:val="-2"/>
        </w:rPr>
        <w:t xml:space="preserve"> </w:t>
      </w:r>
      <w:r w:rsidRPr="00D4309F">
        <w:t>place</w:t>
      </w:r>
      <w:r w:rsidRPr="00D4309F">
        <w:rPr>
          <w:spacing w:val="-2"/>
        </w:rPr>
        <w:t xml:space="preserve"> </w:t>
      </w:r>
      <w:r w:rsidRPr="00D4309F">
        <w:t>of the CSD operations. It is noted that nearby Gold Coast Seaway and Tweed River have a Sand Pumping Stations that are regularly supplemented by Dredging.</w:t>
      </w:r>
    </w:p>
    <w:p w14:paraId="5E68492E" w14:textId="7C0AA43E" w:rsidR="00725977" w:rsidRPr="00D4309F" w:rsidRDefault="00725977" w:rsidP="00725977">
      <w:pPr>
        <w:pStyle w:val="BodyText"/>
      </w:pPr>
      <w:r w:rsidRPr="00D4309F">
        <w:t>Option 3A combines a durable structural intervention (breakwater) with a scalable and responsive management</w:t>
      </w:r>
      <w:r w:rsidRPr="00D4309F">
        <w:rPr>
          <w:spacing w:val="-3"/>
        </w:rPr>
        <w:t xml:space="preserve"> </w:t>
      </w:r>
      <w:r w:rsidRPr="00D4309F">
        <w:t>practice</w:t>
      </w:r>
      <w:r w:rsidRPr="00D4309F">
        <w:rPr>
          <w:spacing w:val="-4"/>
        </w:rPr>
        <w:t xml:space="preserve"> </w:t>
      </w:r>
      <w:r w:rsidRPr="00D4309F">
        <w:t>(dredging),</w:t>
      </w:r>
      <w:r w:rsidRPr="00D4309F">
        <w:rPr>
          <w:spacing w:val="-3"/>
        </w:rPr>
        <w:t xml:space="preserve"> </w:t>
      </w:r>
      <w:r w:rsidRPr="00D4309F">
        <w:t>allowing</w:t>
      </w:r>
      <w:r w:rsidRPr="00D4309F">
        <w:rPr>
          <w:spacing w:val="-3"/>
        </w:rPr>
        <w:t xml:space="preserve"> </w:t>
      </w:r>
      <w:r w:rsidRPr="00D4309F">
        <w:t>the</w:t>
      </w:r>
      <w:r w:rsidRPr="00D4309F">
        <w:rPr>
          <w:spacing w:val="-3"/>
        </w:rPr>
        <w:t xml:space="preserve"> </w:t>
      </w:r>
      <w:r w:rsidRPr="00D4309F">
        <w:t>system</w:t>
      </w:r>
      <w:r w:rsidRPr="00D4309F">
        <w:rPr>
          <w:spacing w:val="-4"/>
        </w:rPr>
        <w:t xml:space="preserve"> </w:t>
      </w:r>
      <w:r w:rsidRPr="00D4309F">
        <w:t>to</w:t>
      </w:r>
      <w:r w:rsidRPr="00D4309F">
        <w:rPr>
          <w:spacing w:val="-3"/>
        </w:rPr>
        <w:t xml:space="preserve"> </w:t>
      </w:r>
      <w:r w:rsidRPr="00D4309F">
        <w:t>be</w:t>
      </w:r>
      <w:r w:rsidRPr="00D4309F">
        <w:rPr>
          <w:spacing w:val="-3"/>
        </w:rPr>
        <w:t xml:space="preserve"> </w:t>
      </w:r>
      <w:r w:rsidRPr="00D4309F">
        <w:t>tuned</w:t>
      </w:r>
      <w:r w:rsidRPr="00D4309F">
        <w:rPr>
          <w:spacing w:val="-3"/>
        </w:rPr>
        <w:t xml:space="preserve"> </w:t>
      </w:r>
      <w:r w:rsidRPr="00D4309F">
        <w:t>over</w:t>
      </w:r>
      <w:r w:rsidRPr="00D4309F">
        <w:rPr>
          <w:spacing w:val="-2"/>
        </w:rPr>
        <w:t xml:space="preserve"> </w:t>
      </w:r>
      <w:r w:rsidRPr="00D4309F">
        <w:t>time</w:t>
      </w:r>
      <w:r w:rsidRPr="00D4309F">
        <w:rPr>
          <w:spacing w:val="-3"/>
        </w:rPr>
        <w:t xml:space="preserve"> </w:t>
      </w:r>
      <w:r w:rsidRPr="00D4309F">
        <w:t>in</w:t>
      </w:r>
      <w:r w:rsidRPr="00D4309F">
        <w:rPr>
          <w:spacing w:val="-4"/>
        </w:rPr>
        <w:t xml:space="preserve"> </w:t>
      </w:r>
      <w:r w:rsidRPr="00D4309F">
        <w:t>response</w:t>
      </w:r>
      <w:r w:rsidRPr="00D4309F">
        <w:rPr>
          <w:spacing w:val="-3"/>
        </w:rPr>
        <w:t xml:space="preserve"> </w:t>
      </w:r>
      <w:r w:rsidRPr="00D4309F">
        <w:t>to</w:t>
      </w:r>
      <w:r w:rsidRPr="00D4309F">
        <w:rPr>
          <w:spacing w:val="-3"/>
        </w:rPr>
        <w:t xml:space="preserve"> </w:t>
      </w:r>
      <w:r w:rsidRPr="00D4309F">
        <w:t>observed</w:t>
      </w:r>
      <w:r w:rsidRPr="00D4309F">
        <w:rPr>
          <w:spacing w:val="-3"/>
        </w:rPr>
        <w:t xml:space="preserve"> </w:t>
      </w:r>
      <w:r w:rsidRPr="00D4309F">
        <w:t>coastal behaviour and evolving needs.</w:t>
      </w:r>
    </w:p>
    <w:p w14:paraId="61CC6318" w14:textId="77777777" w:rsidR="00725977" w:rsidRPr="00D4309F" w:rsidRDefault="00725977" w:rsidP="008228CB">
      <w:pPr>
        <w:pStyle w:val="Heading3"/>
      </w:pPr>
      <w:bookmarkStart w:id="416" w:name="_Toc216699454"/>
      <w:r w:rsidRPr="00D4309F">
        <w:t>Safety</w:t>
      </w:r>
      <w:r w:rsidRPr="00D4309F">
        <w:rPr>
          <w:spacing w:val="-5"/>
        </w:rPr>
        <w:t xml:space="preserve"> </w:t>
      </w:r>
      <w:r w:rsidRPr="00D4309F">
        <w:t>of</w:t>
      </w:r>
      <w:r w:rsidRPr="00D4309F">
        <w:rPr>
          <w:spacing w:val="-3"/>
        </w:rPr>
        <w:t xml:space="preserve"> </w:t>
      </w:r>
      <w:r w:rsidRPr="00D4309F">
        <w:t>Option</w:t>
      </w:r>
      <w:r w:rsidRPr="00D4309F">
        <w:rPr>
          <w:spacing w:val="-2"/>
        </w:rPr>
        <w:t xml:space="preserve"> </w:t>
      </w:r>
      <w:r w:rsidRPr="00D4309F">
        <w:rPr>
          <w:spacing w:val="-5"/>
        </w:rPr>
        <w:t>3A</w:t>
      </w:r>
      <w:bookmarkEnd w:id="416"/>
    </w:p>
    <w:p w14:paraId="79027372" w14:textId="77777777" w:rsidR="00725977" w:rsidRPr="00D4309F" w:rsidRDefault="00725977" w:rsidP="00725977">
      <w:pPr>
        <w:pStyle w:val="BodyText"/>
      </w:pPr>
      <w:r w:rsidRPr="00D4309F">
        <w:t>Option 3A provides a moderate improvement in safety by combining structural interception (breakwater extension)</w:t>
      </w:r>
      <w:r w:rsidRPr="00D4309F">
        <w:rPr>
          <w:spacing w:val="-2"/>
        </w:rPr>
        <w:t xml:space="preserve"> </w:t>
      </w:r>
      <w:r w:rsidRPr="00D4309F">
        <w:t>with</w:t>
      </w:r>
      <w:r w:rsidRPr="00D4309F">
        <w:rPr>
          <w:spacing w:val="-3"/>
        </w:rPr>
        <w:t xml:space="preserve"> </w:t>
      </w:r>
      <w:r w:rsidRPr="00D4309F">
        <w:t>familiar</w:t>
      </w:r>
      <w:r w:rsidRPr="00D4309F">
        <w:rPr>
          <w:spacing w:val="-2"/>
        </w:rPr>
        <w:t xml:space="preserve"> </w:t>
      </w:r>
      <w:r w:rsidRPr="00D4309F">
        <w:t>CSD-based</w:t>
      </w:r>
      <w:r w:rsidRPr="00D4309F">
        <w:rPr>
          <w:spacing w:val="-3"/>
        </w:rPr>
        <w:t xml:space="preserve"> </w:t>
      </w:r>
      <w:r w:rsidRPr="00D4309F">
        <w:t>dredging</w:t>
      </w:r>
      <w:r w:rsidRPr="00D4309F">
        <w:rPr>
          <w:spacing w:val="-3"/>
        </w:rPr>
        <w:t xml:space="preserve"> </w:t>
      </w:r>
      <w:r w:rsidRPr="00D4309F">
        <w:t>operations.</w:t>
      </w:r>
      <w:r w:rsidRPr="00D4309F">
        <w:rPr>
          <w:spacing w:val="-3"/>
        </w:rPr>
        <w:t xml:space="preserve"> </w:t>
      </w:r>
      <w:r w:rsidRPr="00D4309F">
        <w:t>The</w:t>
      </w:r>
      <w:r w:rsidRPr="00D4309F">
        <w:rPr>
          <w:spacing w:val="-3"/>
        </w:rPr>
        <w:t xml:space="preserve"> </w:t>
      </w:r>
      <w:r w:rsidRPr="00D4309F">
        <w:t>extended</w:t>
      </w:r>
      <w:r w:rsidRPr="00D4309F">
        <w:rPr>
          <w:spacing w:val="-3"/>
        </w:rPr>
        <w:t xml:space="preserve"> </w:t>
      </w:r>
      <w:r w:rsidRPr="00D4309F">
        <w:t>breakwater</w:t>
      </w:r>
      <w:r w:rsidRPr="00D4309F">
        <w:rPr>
          <w:spacing w:val="-2"/>
        </w:rPr>
        <w:t xml:space="preserve"> </w:t>
      </w:r>
      <w:r w:rsidRPr="00D4309F">
        <w:t>would</w:t>
      </w:r>
      <w:r w:rsidRPr="00D4309F">
        <w:rPr>
          <w:spacing w:val="-3"/>
        </w:rPr>
        <w:t xml:space="preserve"> </w:t>
      </w:r>
      <w:r w:rsidRPr="00D4309F">
        <w:t>help</w:t>
      </w:r>
      <w:r w:rsidRPr="00D4309F">
        <w:rPr>
          <w:spacing w:val="-4"/>
        </w:rPr>
        <w:t xml:space="preserve"> </w:t>
      </w:r>
      <w:r w:rsidRPr="00D4309F">
        <w:t>stabilise</w:t>
      </w:r>
      <w:r w:rsidRPr="00D4309F">
        <w:rPr>
          <w:spacing w:val="-3"/>
        </w:rPr>
        <w:t xml:space="preserve"> </w:t>
      </w:r>
      <w:r w:rsidRPr="00D4309F">
        <w:t>the entrance bar and marginally improve reliability of all-tide access, though shoaling would still occur and require ongoing dredging. The clarity of navigation improves once dredging is undertaken, but depths may continue to fluctuate between campaigns.</w:t>
      </w:r>
    </w:p>
    <w:p w14:paraId="09A79ADF" w14:textId="140BC232" w:rsidR="00725977" w:rsidRPr="00D4309F" w:rsidRDefault="00725977" w:rsidP="00725977">
      <w:pPr>
        <w:pStyle w:val="BodyText"/>
      </w:pPr>
      <w:r w:rsidRPr="00D4309F">
        <w:t>In terms of mariner safety, CSD dredging introduces temporary operational hazards, including floating pipelines, restricted zones, and vessel interactions near the entrance. These risks are well understood and manageable</w:t>
      </w:r>
      <w:r w:rsidRPr="00D4309F">
        <w:rPr>
          <w:spacing w:val="-3"/>
        </w:rPr>
        <w:t xml:space="preserve"> </w:t>
      </w:r>
      <w:r w:rsidRPr="00D4309F">
        <w:t>but</w:t>
      </w:r>
      <w:r w:rsidRPr="00D4309F">
        <w:rPr>
          <w:spacing w:val="-3"/>
        </w:rPr>
        <w:t xml:space="preserve"> </w:t>
      </w:r>
      <w:r w:rsidRPr="00D4309F">
        <w:t>require</w:t>
      </w:r>
      <w:r w:rsidRPr="00D4309F">
        <w:rPr>
          <w:spacing w:val="-3"/>
        </w:rPr>
        <w:t xml:space="preserve"> </w:t>
      </w:r>
      <w:r w:rsidRPr="00D4309F">
        <w:t>ongoing</w:t>
      </w:r>
      <w:r w:rsidRPr="00D4309F">
        <w:rPr>
          <w:spacing w:val="-3"/>
        </w:rPr>
        <w:t xml:space="preserve"> </w:t>
      </w:r>
      <w:r w:rsidRPr="00D4309F">
        <w:t>navigation</w:t>
      </w:r>
      <w:r w:rsidRPr="00D4309F">
        <w:rPr>
          <w:spacing w:val="-3"/>
        </w:rPr>
        <w:t xml:space="preserve"> </w:t>
      </w:r>
      <w:r w:rsidRPr="00D4309F">
        <w:t>warnings</w:t>
      </w:r>
      <w:r w:rsidRPr="00D4309F">
        <w:rPr>
          <w:spacing w:val="-2"/>
        </w:rPr>
        <w:t xml:space="preserve"> </w:t>
      </w:r>
      <w:r w:rsidRPr="00D4309F">
        <w:t>and</w:t>
      </w:r>
      <w:r w:rsidRPr="00D4309F">
        <w:rPr>
          <w:spacing w:val="-3"/>
        </w:rPr>
        <w:t xml:space="preserve"> </w:t>
      </w:r>
      <w:r w:rsidRPr="00D4309F">
        <w:t>exclusion</w:t>
      </w:r>
      <w:r w:rsidRPr="00D4309F">
        <w:rPr>
          <w:spacing w:val="-3"/>
        </w:rPr>
        <w:t xml:space="preserve"> </w:t>
      </w:r>
      <w:r w:rsidRPr="00D4309F">
        <w:t>areas.</w:t>
      </w:r>
      <w:r w:rsidRPr="00D4309F">
        <w:rPr>
          <w:spacing w:val="-3"/>
        </w:rPr>
        <w:t xml:space="preserve"> </w:t>
      </w:r>
      <w:r w:rsidRPr="00D4309F">
        <w:t>Overall,</w:t>
      </w:r>
      <w:r w:rsidRPr="00D4309F">
        <w:rPr>
          <w:spacing w:val="-3"/>
        </w:rPr>
        <w:t xml:space="preserve"> </w:t>
      </w:r>
      <w:r w:rsidRPr="00D4309F">
        <w:t>Option</w:t>
      </w:r>
      <w:r w:rsidRPr="00D4309F">
        <w:rPr>
          <w:spacing w:val="-4"/>
        </w:rPr>
        <w:t xml:space="preserve"> </w:t>
      </w:r>
      <w:r w:rsidRPr="00D4309F">
        <w:t>3A</w:t>
      </w:r>
      <w:r w:rsidRPr="00D4309F">
        <w:rPr>
          <w:spacing w:val="-3"/>
        </w:rPr>
        <w:t xml:space="preserve"> </w:t>
      </w:r>
      <w:r w:rsidRPr="00D4309F">
        <w:t>delivers</w:t>
      </w:r>
      <w:r w:rsidRPr="00D4309F">
        <w:rPr>
          <w:spacing w:val="-2"/>
        </w:rPr>
        <w:t xml:space="preserve"> </w:t>
      </w:r>
      <w:r w:rsidRPr="00D4309F">
        <w:t>safety gains similar to current practice, with significant improvements provided by the breakwater extension.</w:t>
      </w:r>
    </w:p>
    <w:p w14:paraId="7DED1DF9" w14:textId="77777777" w:rsidR="00725977" w:rsidRPr="00D4309F" w:rsidRDefault="00725977" w:rsidP="008228CB">
      <w:pPr>
        <w:pStyle w:val="Heading3"/>
      </w:pPr>
      <w:bookmarkStart w:id="417" w:name="_Toc216699455"/>
      <w:r w:rsidRPr="00D4309F">
        <w:t>Cost</w:t>
      </w:r>
      <w:bookmarkEnd w:id="417"/>
    </w:p>
    <w:p w14:paraId="0CA3C5CF" w14:textId="77777777" w:rsidR="00725977" w:rsidRPr="00D4309F" w:rsidRDefault="00725977" w:rsidP="00E6351A">
      <w:pPr>
        <w:pStyle w:val="Heading5-nonumber"/>
      </w:pPr>
      <w:r w:rsidRPr="00D4309F">
        <w:t>Capital</w:t>
      </w:r>
      <w:r w:rsidRPr="00D4309F">
        <w:rPr>
          <w:spacing w:val="-3"/>
        </w:rPr>
        <w:t xml:space="preserve"> </w:t>
      </w:r>
      <w:r w:rsidRPr="00D4309F">
        <w:t>Works</w:t>
      </w:r>
      <w:r w:rsidRPr="00D4309F">
        <w:rPr>
          <w:spacing w:val="-3"/>
        </w:rPr>
        <w:t xml:space="preserve"> </w:t>
      </w:r>
      <w:r w:rsidRPr="00D4309F">
        <w:rPr>
          <w:spacing w:val="-2"/>
        </w:rPr>
        <w:t>Costs</w:t>
      </w:r>
    </w:p>
    <w:p w14:paraId="01E83C7E" w14:textId="77777777" w:rsidR="00725977" w:rsidRPr="00D4309F" w:rsidRDefault="00725977" w:rsidP="00725977">
      <w:pPr>
        <w:pStyle w:val="BodyText"/>
      </w:pPr>
      <w:r w:rsidRPr="00D4309F">
        <w:t>Capital</w:t>
      </w:r>
      <w:r w:rsidRPr="00D4309F">
        <w:rPr>
          <w:spacing w:val="-3"/>
        </w:rPr>
        <w:t xml:space="preserve"> </w:t>
      </w:r>
      <w:r w:rsidRPr="00D4309F">
        <w:t>costs</w:t>
      </w:r>
      <w:r w:rsidRPr="00D4309F">
        <w:rPr>
          <w:spacing w:val="-2"/>
        </w:rPr>
        <w:t xml:space="preserve"> </w:t>
      </w:r>
      <w:r w:rsidRPr="00D4309F">
        <w:t>for</w:t>
      </w:r>
      <w:r w:rsidRPr="00D4309F">
        <w:rPr>
          <w:spacing w:val="-1"/>
        </w:rPr>
        <w:t xml:space="preserve"> </w:t>
      </w:r>
      <w:r w:rsidRPr="00D4309F">
        <w:t>Option</w:t>
      </w:r>
      <w:r w:rsidRPr="00D4309F">
        <w:rPr>
          <w:spacing w:val="-2"/>
        </w:rPr>
        <w:t xml:space="preserve"> </w:t>
      </w:r>
      <w:r w:rsidRPr="00D4309F">
        <w:t>3A</w:t>
      </w:r>
      <w:r w:rsidRPr="00D4309F">
        <w:rPr>
          <w:spacing w:val="-4"/>
        </w:rPr>
        <w:t xml:space="preserve"> </w:t>
      </w:r>
      <w:r w:rsidRPr="00D4309F">
        <w:t>are</w:t>
      </w:r>
      <w:r w:rsidRPr="00D4309F">
        <w:rPr>
          <w:spacing w:val="-2"/>
        </w:rPr>
        <w:t xml:space="preserve"> </w:t>
      </w:r>
      <w:r w:rsidRPr="00D4309F">
        <w:t>dominated</w:t>
      </w:r>
      <w:r w:rsidRPr="00D4309F">
        <w:rPr>
          <w:spacing w:val="-2"/>
        </w:rPr>
        <w:t xml:space="preserve"> </w:t>
      </w:r>
      <w:r w:rsidRPr="00D4309F">
        <w:t>by</w:t>
      </w:r>
      <w:r w:rsidRPr="00D4309F">
        <w:rPr>
          <w:spacing w:val="-1"/>
        </w:rPr>
        <w:t xml:space="preserve"> </w:t>
      </w:r>
      <w:r w:rsidRPr="00D4309F">
        <w:t>the</w:t>
      </w:r>
      <w:r w:rsidRPr="00D4309F">
        <w:rPr>
          <w:spacing w:val="-2"/>
        </w:rPr>
        <w:t xml:space="preserve"> </w:t>
      </w:r>
      <w:r w:rsidRPr="00D4309F">
        <w:t>construction</w:t>
      </w:r>
      <w:r w:rsidRPr="00D4309F">
        <w:rPr>
          <w:spacing w:val="-2"/>
        </w:rPr>
        <w:t xml:space="preserve"> </w:t>
      </w:r>
      <w:r w:rsidRPr="00D4309F">
        <w:t>of</w:t>
      </w:r>
      <w:r w:rsidRPr="00D4309F">
        <w:rPr>
          <w:spacing w:val="-2"/>
        </w:rPr>
        <w:t xml:space="preserve"> </w:t>
      </w:r>
      <w:r w:rsidRPr="00D4309F">
        <w:t>the</w:t>
      </w:r>
      <w:r w:rsidRPr="00D4309F">
        <w:rPr>
          <w:spacing w:val="-3"/>
        </w:rPr>
        <w:t xml:space="preserve"> </w:t>
      </w:r>
      <w:r w:rsidRPr="00D4309F">
        <w:t>60</w:t>
      </w:r>
      <w:r w:rsidRPr="00D4309F">
        <w:rPr>
          <w:spacing w:val="-2"/>
        </w:rPr>
        <w:t xml:space="preserve"> </w:t>
      </w:r>
      <w:r w:rsidRPr="00D4309F">
        <w:t>m</w:t>
      </w:r>
      <w:r w:rsidRPr="00D4309F">
        <w:rPr>
          <w:spacing w:val="-2"/>
        </w:rPr>
        <w:t xml:space="preserve"> </w:t>
      </w:r>
      <w:r w:rsidRPr="00D4309F">
        <w:t>eastern</w:t>
      </w:r>
      <w:r w:rsidRPr="00D4309F">
        <w:rPr>
          <w:spacing w:val="-3"/>
        </w:rPr>
        <w:t xml:space="preserve"> </w:t>
      </w:r>
      <w:r w:rsidRPr="00D4309F">
        <w:t>breakwater</w:t>
      </w:r>
      <w:r w:rsidRPr="00D4309F">
        <w:rPr>
          <w:spacing w:val="-1"/>
        </w:rPr>
        <w:t xml:space="preserve"> </w:t>
      </w:r>
      <w:r w:rsidRPr="00D4309F">
        <w:t>extension, including</w:t>
      </w:r>
      <w:r w:rsidRPr="00D4309F">
        <w:rPr>
          <w:spacing w:val="-4"/>
        </w:rPr>
        <w:t xml:space="preserve"> </w:t>
      </w:r>
      <w:r w:rsidRPr="00D4309F">
        <w:t>supply</w:t>
      </w:r>
      <w:r w:rsidRPr="00D4309F">
        <w:rPr>
          <w:spacing w:val="-2"/>
        </w:rPr>
        <w:t xml:space="preserve"> </w:t>
      </w:r>
      <w:r w:rsidRPr="00D4309F">
        <w:t>and</w:t>
      </w:r>
      <w:r w:rsidRPr="00D4309F">
        <w:rPr>
          <w:spacing w:val="-3"/>
        </w:rPr>
        <w:t xml:space="preserve"> </w:t>
      </w:r>
      <w:r w:rsidRPr="00D4309F">
        <w:t>placement</w:t>
      </w:r>
      <w:r w:rsidRPr="00D4309F">
        <w:rPr>
          <w:spacing w:val="-3"/>
        </w:rPr>
        <w:t xml:space="preserve"> </w:t>
      </w:r>
      <w:r w:rsidRPr="00D4309F">
        <w:t>of</w:t>
      </w:r>
      <w:r w:rsidRPr="00D4309F">
        <w:rPr>
          <w:spacing w:val="-3"/>
        </w:rPr>
        <w:t xml:space="preserve"> </w:t>
      </w:r>
      <w:r w:rsidRPr="00D4309F">
        <w:t>armour</w:t>
      </w:r>
      <w:r w:rsidRPr="00D4309F">
        <w:rPr>
          <w:spacing w:val="-2"/>
        </w:rPr>
        <w:t xml:space="preserve"> </w:t>
      </w:r>
      <w:r w:rsidRPr="00D4309F">
        <w:t>rock,</w:t>
      </w:r>
      <w:r w:rsidRPr="00D4309F">
        <w:rPr>
          <w:spacing w:val="-3"/>
        </w:rPr>
        <w:t xml:space="preserve"> </w:t>
      </w:r>
      <w:r w:rsidRPr="00D4309F">
        <w:t>core</w:t>
      </w:r>
      <w:r w:rsidRPr="00D4309F">
        <w:rPr>
          <w:spacing w:val="-4"/>
        </w:rPr>
        <w:t xml:space="preserve"> </w:t>
      </w:r>
      <w:r w:rsidRPr="00D4309F">
        <w:t>material,</w:t>
      </w:r>
      <w:r w:rsidRPr="00D4309F">
        <w:rPr>
          <w:spacing w:val="-3"/>
        </w:rPr>
        <w:t xml:space="preserve"> </w:t>
      </w:r>
      <w:r w:rsidRPr="00D4309F">
        <w:t>and</w:t>
      </w:r>
      <w:r w:rsidRPr="00D4309F">
        <w:rPr>
          <w:spacing w:val="-3"/>
        </w:rPr>
        <w:t xml:space="preserve"> </w:t>
      </w:r>
      <w:r w:rsidRPr="00D4309F">
        <w:t>construction</w:t>
      </w:r>
      <w:r w:rsidRPr="00D4309F">
        <w:rPr>
          <w:spacing w:val="-4"/>
        </w:rPr>
        <w:t xml:space="preserve"> </w:t>
      </w:r>
      <w:r w:rsidRPr="00D4309F">
        <w:t>of</w:t>
      </w:r>
      <w:r w:rsidRPr="00D4309F">
        <w:rPr>
          <w:spacing w:val="-3"/>
        </w:rPr>
        <w:t xml:space="preserve"> </w:t>
      </w:r>
      <w:r w:rsidRPr="00D4309F">
        <w:t>the</w:t>
      </w:r>
      <w:r w:rsidRPr="00D4309F">
        <w:rPr>
          <w:spacing w:val="-3"/>
        </w:rPr>
        <w:t xml:space="preserve"> </w:t>
      </w:r>
      <w:r w:rsidRPr="00D4309F">
        <w:t>concrete</w:t>
      </w:r>
      <w:r w:rsidRPr="00D4309F">
        <w:rPr>
          <w:spacing w:val="-3"/>
        </w:rPr>
        <w:t xml:space="preserve"> </w:t>
      </w:r>
      <w:r w:rsidRPr="00D4309F">
        <w:t>crest</w:t>
      </w:r>
      <w:r w:rsidRPr="00D4309F">
        <w:rPr>
          <w:spacing w:val="-3"/>
        </w:rPr>
        <w:t xml:space="preserve"> </w:t>
      </w:r>
      <w:r w:rsidRPr="00D4309F">
        <w:t>and access infrastructure. The KBR (2021) design report provides an indicative capital cost estimate for the breakwater extension works. This aligns with expectations for a project of this scale and reflects a conventional but substantial rock structure build.</w:t>
      </w:r>
    </w:p>
    <w:p w14:paraId="5C4551F3" w14:textId="5E88A0D8" w:rsidR="00725977" w:rsidRPr="00D4309F" w:rsidRDefault="00725977" w:rsidP="00725977">
      <w:pPr>
        <w:pStyle w:val="BodyText"/>
      </w:pPr>
      <w:r w:rsidRPr="00D4309F">
        <w:t>Beyond the breakwater itself, only minor enabling infrastructure is required, as dredging equipment is mobilised</w:t>
      </w:r>
      <w:r w:rsidRPr="00D4309F">
        <w:rPr>
          <w:spacing w:val="-3"/>
        </w:rPr>
        <w:t xml:space="preserve"> </w:t>
      </w:r>
      <w:r w:rsidRPr="00D4309F">
        <w:t>as</w:t>
      </w:r>
      <w:r w:rsidRPr="00D4309F">
        <w:rPr>
          <w:spacing w:val="-2"/>
        </w:rPr>
        <w:t xml:space="preserve"> </w:t>
      </w:r>
      <w:r w:rsidRPr="00D4309F">
        <w:t>needed.</w:t>
      </w:r>
      <w:r w:rsidRPr="00D4309F">
        <w:rPr>
          <w:spacing w:val="-3"/>
        </w:rPr>
        <w:t xml:space="preserve"> </w:t>
      </w:r>
      <w:r w:rsidRPr="00D4309F">
        <w:t>Adjustments</w:t>
      </w:r>
      <w:r w:rsidRPr="00D4309F">
        <w:rPr>
          <w:spacing w:val="-2"/>
        </w:rPr>
        <w:t xml:space="preserve"> </w:t>
      </w:r>
      <w:r w:rsidRPr="00D4309F">
        <w:t>to</w:t>
      </w:r>
      <w:r w:rsidRPr="00D4309F">
        <w:rPr>
          <w:spacing w:val="-3"/>
        </w:rPr>
        <w:t xml:space="preserve"> </w:t>
      </w:r>
      <w:r w:rsidRPr="00D4309F">
        <w:t>this</w:t>
      </w:r>
      <w:r w:rsidRPr="00D4309F">
        <w:rPr>
          <w:spacing w:val="-2"/>
        </w:rPr>
        <w:t xml:space="preserve"> </w:t>
      </w:r>
      <w:r w:rsidRPr="00D4309F">
        <w:t>estimate</w:t>
      </w:r>
      <w:r w:rsidRPr="00D4309F">
        <w:rPr>
          <w:spacing w:val="-3"/>
        </w:rPr>
        <w:t xml:space="preserve"> </w:t>
      </w:r>
      <w:r w:rsidRPr="00D4309F">
        <w:t>will</w:t>
      </w:r>
      <w:r w:rsidRPr="00D4309F">
        <w:rPr>
          <w:spacing w:val="-3"/>
        </w:rPr>
        <w:t xml:space="preserve"> </w:t>
      </w:r>
      <w:r w:rsidRPr="00D4309F">
        <w:t>depend</w:t>
      </w:r>
      <w:r w:rsidRPr="00D4309F">
        <w:rPr>
          <w:spacing w:val="-3"/>
        </w:rPr>
        <w:t xml:space="preserve"> </w:t>
      </w:r>
      <w:r w:rsidRPr="00D4309F">
        <w:t>on</w:t>
      </w:r>
      <w:r w:rsidRPr="00D4309F">
        <w:rPr>
          <w:spacing w:val="-3"/>
        </w:rPr>
        <w:t xml:space="preserve"> </w:t>
      </w:r>
      <w:r w:rsidRPr="00D4309F">
        <w:t>updated</w:t>
      </w:r>
      <w:r w:rsidRPr="00D4309F">
        <w:rPr>
          <w:spacing w:val="-3"/>
        </w:rPr>
        <w:t xml:space="preserve"> </w:t>
      </w:r>
      <w:r w:rsidRPr="00D4309F">
        <w:t>design</w:t>
      </w:r>
      <w:r w:rsidRPr="00D4309F">
        <w:rPr>
          <w:spacing w:val="-3"/>
        </w:rPr>
        <w:t xml:space="preserve"> </w:t>
      </w:r>
      <w:r w:rsidRPr="00D4309F">
        <w:t>refinements,</w:t>
      </w:r>
      <w:r w:rsidRPr="00D4309F">
        <w:rPr>
          <w:spacing w:val="-3"/>
        </w:rPr>
        <w:t xml:space="preserve"> </w:t>
      </w:r>
      <w:r w:rsidRPr="00D4309F">
        <w:t>material availability, and market conditions at the time of delivery.</w:t>
      </w:r>
    </w:p>
    <w:p w14:paraId="6A65C74B" w14:textId="77777777" w:rsidR="00725977" w:rsidRPr="00D4309F" w:rsidRDefault="00725977" w:rsidP="00E6351A">
      <w:pPr>
        <w:pStyle w:val="Heading5-nonumber"/>
      </w:pPr>
      <w:r w:rsidRPr="00D4309F">
        <w:t>Operational</w:t>
      </w:r>
      <w:r w:rsidRPr="00D4309F">
        <w:rPr>
          <w:spacing w:val="-6"/>
        </w:rPr>
        <w:t xml:space="preserve"> </w:t>
      </w:r>
      <w:r w:rsidRPr="00D4309F">
        <w:rPr>
          <w:spacing w:val="-2"/>
        </w:rPr>
        <w:t>Costs</w:t>
      </w:r>
    </w:p>
    <w:p w14:paraId="5D9B774A" w14:textId="77777777" w:rsidR="00725977" w:rsidRPr="00D4309F" w:rsidRDefault="00725977" w:rsidP="00725977">
      <w:pPr>
        <w:pStyle w:val="BodyText"/>
      </w:pPr>
      <w:r w:rsidRPr="00D4309F">
        <w:t>Operational</w:t>
      </w:r>
      <w:r w:rsidRPr="00D4309F">
        <w:rPr>
          <w:spacing w:val="-4"/>
        </w:rPr>
        <w:t xml:space="preserve"> </w:t>
      </w:r>
      <w:r w:rsidRPr="00D4309F">
        <w:t>costs</w:t>
      </w:r>
      <w:r w:rsidRPr="00D4309F">
        <w:rPr>
          <w:spacing w:val="-2"/>
        </w:rPr>
        <w:t xml:space="preserve"> </w:t>
      </w:r>
      <w:r w:rsidRPr="00D4309F">
        <w:t>are</w:t>
      </w:r>
      <w:r w:rsidRPr="00D4309F">
        <w:rPr>
          <w:spacing w:val="-3"/>
        </w:rPr>
        <w:t xml:space="preserve"> </w:t>
      </w:r>
      <w:r w:rsidRPr="00D4309F">
        <w:t>tied</w:t>
      </w:r>
      <w:r w:rsidRPr="00D4309F">
        <w:rPr>
          <w:spacing w:val="-3"/>
        </w:rPr>
        <w:t xml:space="preserve"> </w:t>
      </w:r>
      <w:r w:rsidRPr="00D4309F">
        <w:t>to</w:t>
      </w:r>
      <w:r w:rsidRPr="00D4309F">
        <w:rPr>
          <w:spacing w:val="-3"/>
        </w:rPr>
        <w:t xml:space="preserve"> </w:t>
      </w:r>
      <w:r w:rsidRPr="00D4309F">
        <w:t>the</w:t>
      </w:r>
      <w:r w:rsidRPr="00D4309F">
        <w:rPr>
          <w:spacing w:val="-3"/>
        </w:rPr>
        <w:t xml:space="preserve"> </w:t>
      </w:r>
      <w:r w:rsidRPr="00D4309F">
        <w:t>periodic</w:t>
      </w:r>
      <w:r w:rsidRPr="00D4309F">
        <w:rPr>
          <w:spacing w:val="-3"/>
        </w:rPr>
        <w:t xml:space="preserve"> </w:t>
      </w:r>
      <w:r w:rsidRPr="00D4309F">
        <w:t>dredging</w:t>
      </w:r>
      <w:r w:rsidRPr="00D4309F">
        <w:rPr>
          <w:spacing w:val="-3"/>
        </w:rPr>
        <w:t xml:space="preserve"> </w:t>
      </w:r>
      <w:r w:rsidRPr="00D4309F">
        <w:t>campaigns</w:t>
      </w:r>
      <w:r w:rsidRPr="00D4309F">
        <w:rPr>
          <w:spacing w:val="-2"/>
        </w:rPr>
        <w:t xml:space="preserve"> </w:t>
      </w:r>
      <w:r w:rsidRPr="00D4309F">
        <w:t>required</w:t>
      </w:r>
      <w:r w:rsidRPr="00D4309F">
        <w:rPr>
          <w:spacing w:val="-3"/>
        </w:rPr>
        <w:t xml:space="preserve"> </w:t>
      </w:r>
      <w:r w:rsidRPr="00D4309F">
        <w:t>to</w:t>
      </w:r>
      <w:r w:rsidRPr="00D4309F">
        <w:rPr>
          <w:spacing w:val="-3"/>
        </w:rPr>
        <w:t xml:space="preserve"> </w:t>
      </w:r>
      <w:r w:rsidRPr="00D4309F">
        <w:t>remove</w:t>
      </w:r>
      <w:r w:rsidRPr="00D4309F">
        <w:rPr>
          <w:spacing w:val="-3"/>
        </w:rPr>
        <w:t xml:space="preserve"> </w:t>
      </w:r>
      <w:r w:rsidRPr="00D4309F">
        <w:t>sand</w:t>
      </w:r>
      <w:r w:rsidRPr="00D4309F">
        <w:rPr>
          <w:spacing w:val="-3"/>
        </w:rPr>
        <w:t xml:space="preserve"> </w:t>
      </w:r>
      <w:r w:rsidRPr="00D4309F">
        <w:t>accumulating</w:t>
      </w:r>
      <w:r w:rsidRPr="00D4309F">
        <w:rPr>
          <w:spacing w:val="-3"/>
        </w:rPr>
        <w:t xml:space="preserve"> </w:t>
      </w:r>
      <w:r w:rsidRPr="00D4309F">
        <w:t>within the updrift trap. Based on modelling and historical behaviour, campaigns would occur roughly every two years, typically removing up to ~30,000 m³ per event. Costs include mobilisation of the Cutter Suction Dredger (CSD), pipeline setup, pumping, and demobilisation.</w:t>
      </w:r>
    </w:p>
    <w:p w14:paraId="42345216" w14:textId="151EC62B" w:rsidR="00725977" w:rsidRPr="00D4309F" w:rsidRDefault="00725977" w:rsidP="00725977">
      <w:pPr>
        <w:pStyle w:val="BodyText"/>
      </w:pPr>
      <w:r w:rsidRPr="00D4309F">
        <w:lastRenderedPageBreak/>
        <w:t>Unit rates are expected to be broadly comparable to current maintenance dredging at Mooloolaba, noting that</w:t>
      </w:r>
      <w:r w:rsidRPr="00D4309F">
        <w:rPr>
          <w:spacing w:val="-3"/>
        </w:rPr>
        <w:t xml:space="preserve"> </w:t>
      </w:r>
      <w:r w:rsidRPr="00D4309F">
        <w:t>the</w:t>
      </w:r>
      <w:r w:rsidRPr="00D4309F">
        <w:rPr>
          <w:spacing w:val="-3"/>
        </w:rPr>
        <w:t xml:space="preserve"> </w:t>
      </w:r>
      <w:r w:rsidRPr="00D4309F">
        <w:t>material</w:t>
      </w:r>
      <w:r w:rsidRPr="00D4309F">
        <w:rPr>
          <w:spacing w:val="-3"/>
        </w:rPr>
        <w:t xml:space="preserve"> </w:t>
      </w:r>
      <w:r w:rsidRPr="00D4309F">
        <w:t>dredged</w:t>
      </w:r>
      <w:r w:rsidRPr="00D4309F">
        <w:rPr>
          <w:spacing w:val="-4"/>
        </w:rPr>
        <w:t xml:space="preserve"> </w:t>
      </w:r>
      <w:r w:rsidRPr="00D4309F">
        <w:t>will</w:t>
      </w:r>
      <w:r w:rsidRPr="00D4309F">
        <w:rPr>
          <w:spacing w:val="-3"/>
        </w:rPr>
        <w:t xml:space="preserve"> </w:t>
      </w:r>
      <w:r w:rsidRPr="00D4309F">
        <w:t>be</w:t>
      </w:r>
      <w:r w:rsidRPr="00D4309F">
        <w:rPr>
          <w:spacing w:val="-3"/>
        </w:rPr>
        <w:t xml:space="preserve"> </w:t>
      </w:r>
      <w:r w:rsidRPr="00D4309F">
        <w:t>clean</w:t>
      </w:r>
      <w:r w:rsidRPr="00D4309F">
        <w:rPr>
          <w:spacing w:val="-4"/>
        </w:rPr>
        <w:t xml:space="preserve"> </w:t>
      </w:r>
      <w:r w:rsidRPr="00D4309F">
        <w:t>sand,</w:t>
      </w:r>
      <w:r w:rsidRPr="00D4309F">
        <w:rPr>
          <w:spacing w:val="-3"/>
        </w:rPr>
        <w:t xml:space="preserve"> </w:t>
      </w:r>
      <w:r w:rsidRPr="00D4309F">
        <w:t>which</w:t>
      </w:r>
      <w:r w:rsidRPr="00D4309F">
        <w:rPr>
          <w:spacing w:val="-3"/>
        </w:rPr>
        <w:t xml:space="preserve"> </w:t>
      </w:r>
      <w:r w:rsidRPr="00D4309F">
        <w:t>is</w:t>
      </w:r>
      <w:r w:rsidRPr="00D4309F">
        <w:rPr>
          <w:spacing w:val="-2"/>
        </w:rPr>
        <w:t xml:space="preserve"> </w:t>
      </w:r>
      <w:r w:rsidRPr="00D4309F">
        <w:t>generally</w:t>
      </w:r>
      <w:r w:rsidRPr="00D4309F">
        <w:rPr>
          <w:spacing w:val="-2"/>
        </w:rPr>
        <w:t xml:space="preserve"> </w:t>
      </w:r>
      <w:r w:rsidRPr="00D4309F">
        <w:t>more</w:t>
      </w:r>
      <w:r w:rsidRPr="00D4309F">
        <w:rPr>
          <w:spacing w:val="-3"/>
        </w:rPr>
        <w:t xml:space="preserve"> </w:t>
      </w:r>
      <w:r w:rsidRPr="00D4309F">
        <w:t>cost-effective</w:t>
      </w:r>
      <w:r w:rsidRPr="00D4309F">
        <w:rPr>
          <w:spacing w:val="-3"/>
        </w:rPr>
        <w:t xml:space="preserve"> </w:t>
      </w:r>
      <w:r w:rsidRPr="00D4309F">
        <w:t>to</w:t>
      </w:r>
      <w:r w:rsidRPr="00D4309F">
        <w:rPr>
          <w:spacing w:val="-3"/>
        </w:rPr>
        <w:t xml:space="preserve"> </w:t>
      </w:r>
      <w:r w:rsidRPr="00D4309F">
        <w:t>handle</w:t>
      </w:r>
      <w:r w:rsidRPr="00D4309F">
        <w:rPr>
          <w:spacing w:val="-4"/>
        </w:rPr>
        <w:t xml:space="preserve"> </w:t>
      </w:r>
      <w:r w:rsidRPr="00D4309F">
        <w:t>than</w:t>
      </w:r>
      <w:r w:rsidRPr="00D4309F">
        <w:rPr>
          <w:spacing w:val="-3"/>
        </w:rPr>
        <w:t xml:space="preserve"> </w:t>
      </w:r>
      <w:r w:rsidRPr="00D4309F">
        <w:t>mixed</w:t>
      </w:r>
      <w:r w:rsidRPr="00D4309F">
        <w:rPr>
          <w:spacing w:val="-3"/>
        </w:rPr>
        <w:t xml:space="preserve"> </w:t>
      </w:r>
      <w:r w:rsidRPr="00D4309F">
        <w:t>or</w:t>
      </w:r>
      <w:r w:rsidR="00756F69">
        <w:t xml:space="preserve"> c</w:t>
      </w:r>
      <w:r w:rsidRPr="00D4309F">
        <w:t>onsolidated</w:t>
      </w:r>
      <w:r w:rsidRPr="00D4309F">
        <w:rPr>
          <w:spacing w:val="-5"/>
        </w:rPr>
        <w:t xml:space="preserve"> </w:t>
      </w:r>
      <w:r w:rsidRPr="00D4309F">
        <w:t>sediments.</w:t>
      </w:r>
      <w:r w:rsidRPr="00D4309F">
        <w:rPr>
          <w:spacing w:val="-4"/>
        </w:rPr>
        <w:t xml:space="preserve"> </w:t>
      </w:r>
      <w:r w:rsidRPr="00D4309F">
        <w:t>Overall</w:t>
      </w:r>
      <w:r w:rsidRPr="00D4309F">
        <w:rPr>
          <w:spacing w:val="-4"/>
        </w:rPr>
        <w:t xml:space="preserve"> </w:t>
      </w:r>
      <w:r w:rsidRPr="00D4309F">
        <w:t>operational</w:t>
      </w:r>
      <w:r w:rsidRPr="00D4309F">
        <w:rPr>
          <w:spacing w:val="-4"/>
        </w:rPr>
        <w:t xml:space="preserve"> </w:t>
      </w:r>
      <w:r w:rsidRPr="00D4309F">
        <w:t>expenditure</w:t>
      </w:r>
      <w:r w:rsidRPr="00D4309F">
        <w:rPr>
          <w:spacing w:val="-4"/>
        </w:rPr>
        <w:t xml:space="preserve"> </w:t>
      </w:r>
      <w:r w:rsidRPr="00D4309F">
        <w:t>remains</w:t>
      </w:r>
      <w:r w:rsidRPr="00D4309F">
        <w:rPr>
          <w:spacing w:val="-4"/>
        </w:rPr>
        <w:t xml:space="preserve"> </w:t>
      </w:r>
      <w:r w:rsidRPr="00D4309F">
        <w:t>moderate,</w:t>
      </w:r>
      <w:r w:rsidRPr="00D4309F">
        <w:rPr>
          <w:spacing w:val="-4"/>
        </w:rPr>
        <w:t xml:space="preserve"> </w:t>
      </w:r>
      <w:r w:rsidRPr="00D4309F">
        <w:t>with</w:t>
      </w:r>
      <w:r w:rsidRPr="00D4309F">
        <w:rPr>
          <w:spacing w:val="-4"/>
        </w:rPr>
        <w:t xml:space="preserve"> </w:t>
      </w:r>
      <w:r w:rsidRPr="00D4309F">
        <w:t>total</w:t>
      </w:r>
      <w:r w:rsidRPr="00D4309F">
        <w:rPr>
          <w:spacing w:val="-4"/>
        </w:rPr>
        <w:t xml:space="preserve"> </w:t>
      </w:r>
      <w:r w:rsidRPr="00D4309F">
        <w:t>annualised</w:t>
      </w:r>
      <w:r w:rsidRPr="00D4309F">
        <w:rPr>
          <w:spacing w:val="-5"/>
        </w:rPr>
        <w:t xml:space="preserve"> </w:t>
      </w:r>
      <w:r w:rsidRPr="00D4309F">
        <w:t>costs dependent on campaign frequency and weather-related productivity constraints.</w:t>
      </w:r>
    </w:p>
    <w:p w14:paraId="6C3DE1E4" w14:textId="77777777" w:rsidR="00725977" w:rsidRPr="00D4309F" w:rsidRDefault="00725977" w:rsidP="008228CB">
      <w:pPr>
        <w:pStyle w:val="Heading2"/>
      </w:pPr>
      <w:bookmarkStart w:id="418" w:name="_bookmark156"/>
      <w:bookmarkStart w:id="419" w:name="_Toc216699456"/>
      <w:bookmarkEnd w:id="418"/>
      <w:r w:rsidRPr="00D4309F">
        <w:t>Option</w:t>
      </w:r>
      <w:r w:rsidRPr="00D4309F">
        <w:rPr>
          <w:spacing w:val="-5"/>
        </w:rPr>
        <w:t xml:space="preserve"> </w:t>
      </w:r>
      <w:r w:rsidRPr="00D4309F">
        <w:t>3B</w:t>
      </w:r>
      <w:r w:rsidRPr="00D4309F">
        <w:rPr>
          <w:spacing w:val="-5"/>
        </w:rPr>
        <w:t xml:space="preserve"> </w:t>
      </w:r>
      <w:r w:rsidRPr="00D4309F">
        <w:t>–</w:t>
      </w:r>
      <w:r w:rsidRPr="00D4309F">
        <w:rPr>
          <w:spacing w:val="-4"/>
        </w:rPr>
        <w:t xml:space="preserve"> </w:t>
      </w:r>
      <w:r w:rsidRPr="00D4309F">
        <w:t>Breakwater</w:t>
      </w:r>
      <w:r w:rsidRPr="00D4309F">
        <w:rPr>
          <w:spacing w:val="-5"/>
        </w:rPr>
        <w:t xml:space="preserve"> </w:t>
      </w:r>
      <w:r w:rsidRPr="00D4309F">
        <w:t>extension</w:t>
      </w:r>
      <w:r w:rsidRPr="00D4309F">
        <w:rPr>
          <w:spacing w:val="-5"/>
        </w:rPr>
        <w:t xml:space="preserve"> </w:t>
      </w:r>
      <w:r w:rsidRPr="00D4309F">
        <w:t>with</w:t>
      </w:r>
      <w:r w:rsidRPr="00D4309F">
        <w:rPr>
          <w:spacing w:val="-5"/>
        </w:rPr>
        <w:t xml:space="preserve"> </w:t>
      </w:r>
      <w:r w:rsidRPr="00D4309F">
        <w:t>sand</w:t>
      </w:r>
      <w:r w:rsidRPr="00D4309F">
        <w:rPr>
          <w:spacing w:val="-5"/>
        </w:rPr>
        <w:t xml:space="preserve"> </w:t>
      </w:r>
      <w:r w:rsidRPr="00D4309F">
        <w:t>shifter</w:t>
      </w:r>
      <w:r w:rsidRPr="00D4309F">
        <w:rPr>
          <w:spacing w:val="-5"/>
        </w:rPr>
        <w:t xml:space="preserve"> </w:t>
      </w:r>
      <w:r w:rsidRPr="00D4309F">
        <w:t xml:space="preserve">bypass </w:t>
      </w:r>
      <w:r w:rsidRPr="00D4309F">
        <w:rPr>
          <w:spacing w:val="-2"/>
        </w:rPr>
        <w:t>system</w:t>
      </w:r>
      <w:bookmarkEnd w:id="419"/>
    </w:p>
    <w:p w14:paraId="1D0FE81C" w14:textId="77777777" w:rsidR="00725977" w:rsidRPr="00D4309F" w:rsidRDefault="00725977" w:rsidP="008228CB">
      <w:pPr>
        <w:pStyle w:val="Heading3"/>
      </w:pPr>
      <w:bookmarkStart w:id="420" w:name="_Toc216699457"/>
      <w:r w:rsidRPr="00D4309F">
        <w:t>Option</w:t>
      </w:r>
      <w:r w:rsidRPr="00D4309F">
        <w:rPr>
          <w:spacing w:val="-5"/>
        </w:rPr>
        <w:t xml:space="preserve"> </w:t>
      </w:r>
      <w:r w:rsidRPr="00D4309F">
        <w:t>description</w:t>
      </w:r>
      <w:bookmarkEnd w:id="420"/>
    </w:p>
    <w:p w14:paraId="06482C74" w14:textId="4413B0BE" w:rsidR="00725977" w:rsidRPr="00D4309F" w:rsidRDefault="00725977" w:rsidP="00725977">
      <w:pPr>
        <w:pStyle w:val="BodyText"/>
      </w:pPr>
      <w:r w:rsidRPr="00D4309F">
        <w:t xml:space="preserve">Option 3B involves the same 60 m extension of the existing eastern breakwater described in Section </w:t>
      </w:r>
      <w:hyperlink w:anchor="_bookmark153" w:history="1">
        <w:r w:rsidR="007A2D1B">
          <w:fldChar w:fldCharType="begin"/>
        </w:r>
        <w:r w:rsidR="007A2D1B">
          <w:instrText xml:space="preserve"> REF _Ref216022409 \r \h </w:instrText>
        </w:r>
        <w:r w:rsidR="007A2D1B">
          <w:fldChar w:fldCharType="separate"/>
        </w:r>
        <w:r w:rsidR="007A2D1B">
          <w:t>15.4</w:t>
        </w:r>
        <w:r w:rsidR="007A2D1B">
          <w:fldChar w:fldCharType="end"/>
        </w:r>
        <w:r w:rsidRPr="00D4309F">
          <w:t>.</w:t>
        </w:r>
      </w:hyperlink>
      <w:r w:rsidRPr="00D4309F">
        <w:t xml:space="preserve"> However,</w:t>
      </w:r>
      <w:r w:rsidRPr="00D4309F">
        <w:rPr>
          <w:spacing w:val="-3"/>
        </w:rPr>
        <w:t xml:space="preserve"> </w:t>
      </w:r>
      <w:r w:rsidRPr="00D4309F">
        <w:t>instead</w:t>
      </w:r>
      <w:r w:rsidRPr="00D4309F">
        <w:rPr>
          <w:spacing w:val="-3"/>
        </w:rPr>
        <w:t xml:space="preserve"> </w:t>
      </w:r>
      <w:r w:rsidRPr="00D4309F">
        <w:t>of</w:t>
      </w:r>
      <w:r w:rsidRPr="00D4309F">
        <w:rPr>
          <w:spacing w:val="-3"/>
        </w:rPr>
        <w:t xml:space="preserve"> </w:t>
      </w:r>
      <w:r w:rsidRPr="00D4309F">
        <w:t>relying</w:t>
      </w:r>
      <w:r w:rsidRPr="00D4309F">
        <w:rPr>
          <w:spacing w:val="-4"/>
        </w:rPr>
        <w:t xml:space="preserve"> </w:t>
      </w:r>
      <w:r w:rsidRPr="00D4309F">
        <w:t>on</w:t>
      </w:r>
      <w:r w:rsidRPr="00D4309F">
        <w:rPr>
          <w:spacing w:val="-3"/>
        </w:rPr>
        <w:t xml:space="preserve"> </w:t>
      </w:r>
      <w:r w:rsidRPr="00D4309F">
        <w:t>mobile</w:t>
      </w:r>
      <w:r w:rsidRPr="00D4309F">
        <w:rPr>
          <w:spacing w:val="-3"/>
        </w:rPr>
        <w:t xml:space="preserve"> </w:t>
      </w:r>
      <w:r w:rsidRPr="00D4309F">
        <w:t>dredging</w:t>
      </w:r>
      <w:r w:rsidRPr="00D4309F">
        <w:rPr>
          <w:spacing w:val="-3"/>
        </w:rPr>
        <w:t xml:space="preserve"> </w:t>
      </w:r>
      <w:r w:rsidRPr="00D4309F">
        <w:t>for</w:t>
      </w:r>
      <w:r w:rsidRPr="00D4309F">
        <w:rPr>
          <w:spacing w:val="-2"/>
        </w:rPr>
        <w:t xml:space="preserve"> </w:t>
      </w:r>
      <w:r w:rsidRPr="00D4309F">
        <w:t>sediment</w:t>
      </w:r>
      <w:r w:rsidRPr="00D4309F">
        <w:rPr>
          <w:spacing w:val="-3"/>
        </w:rPr>
        <w:t xml:space="preserve"> </w:t>
      </w:r>
      <w:r w:rsidRPr="00D4309F">
        <w:t>transfer,</w:t>
      </w:r>
      <w:r w:rsidRPr="00D4309F">
        <w:rPr>
          <w:spacing w:val="-3"/>
        </w:rPr>
        <w:t xml:space="preserve"> </w:t>
      </w:r>
      <w:r w:rsidRPr="00D4309F">
        <w:t>this</w:t>
      </w:r>
      <w:r w:rsidRPr="00D4309F">
        <w:rPr>
          <w:spacing w:val="-2"/>
        </w:rPr>
        <w:t xml:space="preserve"> </w:t>
      </w:r>
      <w:r w:rsidRPr="00D4309F">
        <w:t>variation</w:t>
      </w:r>
      <w:r w:rsidRPr="00D4309F">
        <w:rPr>
          <w:spacing w:val="-3"/>
        </w:rPr>
        <w:t xml:space="preserve"> </w:t>
      </w:r>
      <w:r w:rsidRPr="00D4309F">
        <w:t>proposes</w:t>
      </w:r>
      <w:r w:rsidRPr="00D4309F">
        <w:rPr>
          <w:spacing w:val="-2"/>
        </w:rPr>
        <w:t xml:space="preserve"> </w:t>
      </w:r>
      <w:r w:rsidRPr="00D4309F">
        <w:t>installation</w:t>
      </w:r>
      <w:r w:rsidRPr="00D4309F">
        <w:rPr>
          <w:spacing w:val="-3"/>
        </w:rPr>
        <w:t xml:space="preserve"> </w:t>
      </w:r>
      <w:r w:rsidRPr="00D4309F">
        <w:t>of</w:t>
      </w:r>
      <w:r w:rsidRPr="00D4309F">
        <w:rPr>
          <w:spacing w:val="-3"/>
        </w:rPr>
        <w:t xml:space="preserve"> </w:t>
      </w:r>
      <w:r w:rsidRPr="00D4309F">
        <w:t>a Sand Shifter sediment bypass system to transport sand from the updrift accumulation zone (Area A) to Mooloolaba Beach on the downdrift side.</w:t>
      </w:r>
    </w:p>
    <w:p w14:paraId="76A753F5" w14:textId="4AA840C8" w:rsidR="00725977" w:rsidRPr="00D4309F" w:rsidRDefault="00725977" w:rsidP="00725977">
      <w:pPr>
        <w:pStyle w:val="BodyText"/>
      </w:pPr>
      <w:r w:rsidRPr="00D4309F">
        <w:t>The Sand Shifter is a proprietary, fixed-bed pump system buried within the seabed. It draws in sand and seawater</w:t>
      </w:r>
      <w:r w:rsidRPr="00D4309F">
        <w:rPr>
          <w:spacing w:val="-2"/>
        </w:rPr>
        <w:t xml:space="preserve"> </w:t>
      </w:r>
      <w:r w:rsidRPr="00D4309F">
        <w:t>as</w:t>
      </w:r>
      <w:r w:rsidRPr="00D4309F">
        <w:rPr>
          <w:spacing w:val="-3"/>
        </w:rPr>
        <w:t xml:space="preserve"> </w:t>
      </w:r>
      <w:r w:rsidRPr="00D4309F">
        <w:t>a</w:t>
      </w:r>
      <w:r w:rsidRPr="00D4309F">
        <w:rPr>
          <w:spacing w:val="-3"/>
        </w:rPr>
        <w:t xml:space="preserve"> </w:t>
      </w:r>
      <w:r w:rsidRPr="00D4309F">
        <w:t>slurry</w:t>
      </w:r>
      <w:r w:rsidRPr="00D4309F">
        <w:rPr>
          <w:spacing w:val="-2"/>
        </w:rPr>
        <w:t xml:space="preserve"> </w:t>
      </w:r>
      <w:r w:rsidRPr="00D4309F">
        <w:t>and</w:t>
      </w:r>
      <w:r w:rsidRPr="00D4309F">
        <w:rPr>
          <w:spacing w:val="-3"/>
        </w:rPr>
        <w:t xml:space="preserve"> </w:t>
      </w:r>
      <w:r w:rsidRPr="00D4309F">
        <w:t>transfers</w:t>
      </w:r>
      <w:r w:rsidRPr="00D4309F">
        <w:rPr>
          <w:spacing w:val="-2"/>
        </w:rPr>
        <w:t xml:space="preserve"> </w:t>
      </w:r>
      <w:r w:rsidRPr="00D4309F">
        <w:t>it</w:t>
      </w:r>
      <w:r w:rsidRPr="00D4309F">
        <w:rPr>
          <w:spacing w:val="-3"/>
        </w:rPr>
        <w:t xml:space="preserve"> </w:t>
      </w:r>
      <w:r w:rsidRPr="00D4309F">
        <w:t>through</w:t>
      </w:r>
      <w:r w:rsidRPr="00D4309F">
        <w:rPr>
          <w:spacing w:val="-3"/>
        </w:rPr>
        <w:t xml:space="preserve"> </w:t>
      </w:r>
      <w:r w:rsidRPr="00D4309F">
        <w:t>a</w:t>
      </w:r>
      <w:r w:rsidRPr="00D4309F">
        <w:rPr>
          <w:spacing w:val="-3"/>
        </w:rPr>
        <w:t xml:space="preserve"> </w:t>
      </w:r>
      <w:r w:rsidRPr="00D4309F">
        <w:t>pipeline</w:t>
      </w:r>
      <w:r w:rsidRPr="00D4309F">
        <w:rPr>
          <w:spacing w:val="-3"/>
        </w:rPr>
        <w:t xml:space="preserve"> </w:t>
      </w:r>
      <w:r w:rsidRPr="00D4309F">
        <w:t>across</w:t>
      </w:r>
      <w:r w:rsidRPr="00D4309F">
        <w:rPr>
          <w:spacing w:val="-2"/>
        </w:rPr>
        <w:t xml:space="preserve"> </w:t>
      </w:r>
      <w:r w:rsidRPr="00D4309F">
        <w:t>the</w:t>
      </w:r>
      <w:r w:rsidRPr="00D4309F">
        <w:rPr>
          <w:spacing w:val="-4"/>
        </w:rPr>
        <w:t xml:space="preserve"> </w:t>
      </w:r>
      <w:r w:rsidRPr="00D4309F">
        <w:t>entrance</w:t>
      </w:r>
      <w:r w:rsidRPr="00D4309F">
        <w:rPr>
          <w:spacing w:val="-4"/>
        </w:rPr>
        <w:t xml:space="preserve"> </w:t>
      </w:r>
      <w:r w:rsidRPr="00D4309F">
        <w:t>channel.</w:t>
      </w:r>
      <w:r w:rsidRPr="00D4309F">
        <w:rPr>
          <w:spacing w:val="-3"/>
        </w:rPr>
        <w:t xml:space="preserve"> </w:t>
      </w:r>
      <w:r w:rsidRPr="00D4309F">
        <w:t>This</w:t>
      </w:r>
      <w:r w:rsidRPr="00D4309F">
        <w:rPr>
          <w:spacing w:val="-2"/>
        </w:rPr>
        <w:t xml:space="preserve"> </w:t>
      </w:r>
      <w:r w:rsidRPr="00D4309F">
        <w:t>provides</w:t>
      </w:r>
      <w:r w:rsidRPr="00D4309F">
        <w:rPr>
          <w:spacing w:val="-2"/>
        </w:rPr>
        <w:t xml:space="preserve"> </w:t>
      </w:r>
      <w:r w:rsidRPr="00D4309F">
        <w:t>a</w:t>
      </w:r>
      <w:r w:rsidRPr="00D4309F">
        <w:rPr>
          <w:spacing w:val="-3"/>
        </w:rPr>
        <w:t xml:space="preserve"> </w:t>
      </w:r>
      <w:r w:rsidRPr="00D4309F">
        <w:t>semi-continuous bypass mechanism, replicating natural littoral drift while aiming to prevent the sand trap from reaching full capacity and reducing the risk of entrance shoaling.</w:t>
      </w:r>
    </w:p>
    <w:p w14:paraId="0C4CCC9A" w14:textId="77777777" w:rsidR="00725977" w:rsidRPr="00D4309F" w:rsidRDefault="00725977" w:rsidP="008228CB">
      <w:pPr>
        <w:pStyle w:val="Heading3"/>
      </w:pPr>
      <w:bookmarkStart w:id="421" w:name="_Toc216699458"/>
      <w:r w:rsidRPr="00D4309F">
        <w:t>Design</w:t>
      </w:r>
      <w:r w:rsidRPr="00D4309F">
        <w:rPr>
          <w:spacing w:val="-3"/>
        </w:rPr>
        <w:t xml:space="preserve"> </w:t>
      </w:r>
      <w:r w:rsidRPr="00D4309F">
        <w:t>and</w:t>
      </w:r>
      <w:r w:rsidRPr="00D4309F">
        <w:rPr>
          <w:spacing w:val="-3"/>
        </w:rPr>
        <w:t xml:space="preserve"> </w:t>
      </w:r>
      <w:r w:rsidRPr="00D4309F">
        <w:rPr>
          <w:spacing w:val="-2"/>
        </w:rPr>
        <w:t>approvals</w:t>
      </w:r>
      <w:bookmarkEnd w:id="421"/>
    </w:p>
    <w:p w14:paraId="7951E750" w14:textId="4732A759" w:rsidR="00725977" w:rsidRPr="00D4309F" w:rsidRDefault="00725977" w:rsidP="00725977">
      <w:pPr>
        <w:pStyle w:val="BodyText"/>
      </w:pPr>
      <w:r w:rsidRPr="00D4309F">
        <w:t>Option</w:t>
      </w:r>
      <w:r w:rsidRPr="00D4309F">
        <w:rPr>
          <w:spacing w:val="-3"/>
        </w:rPr>
        <w:t xml:space="preserve"> </w:t>
      </w:r>
      <w:r w:rsidRPr="00D4309F">
        <w:t>3B</w:t>
      </w:r>
      <w:r w:rsidRPr="00D4309F">
        <w:rPr>
          <w:spacing w:val="-3"/>
        </w:rPr>
        <w:t xml:space="preserve"> </w:t>
      </w:r>
      <w:r w:rsidRPr="00D4309F">
        <w:t>involves</w:t>
      </w:r>
      <w:r w:rsidRPr="00D4309F">
        <w:rPr>
          <w:spacing w:val="-2"/>
        </w:rPr>
        <w:t xml:space="preserve"> </w:t>
      </w:r>
      <w:r w:rsidRPr="00D4309F">
        <w:t>the</w:t>
      </w:r>
      <w:r w:rsidRPr="00D4309F">
        <w:rPr>
          <w:spacing w:val="-3"/>
        </w:rPr>
        <w:t xml:space="preserve"> </w:t>
      </w:r>
      <w:r w:rsidRPr="00D4309F">
        <w:t>same</w:t>
      </w:r>
      <w:r w:rsidRPr="00D4309F">
        <w:rPr>
          <w:spacing w:val="-3"/>
        </w:rPr>
        <w:t xml:space="preserve"> </w:t>
      </w:r>
      <w:r w:rsidRPr="00D4309F">
        <w:t>60</w:t>
      </w:r>
      <w:r w:rsidRPr="00D4309F">
        <w:rPr>
          <w:spacing w:val="-3"/>
        </w:rPr>
        <w:t xml:space="preserve"> </w:t>
      </w:r>
      <w:r w:rsidRPr="00D4309F">
        <w:t>m</w:t>
      </w:r>
      <w:r w:rsidRPr="00D4309F">
        <w:rPr>
          <w:spacing w:val="-3"/>
        </w:rPr>
        <w:t xml:space="preserve"> </w:t>
      </w:r>
      <w:r w:rsidRPr="00D4309F">
        <w:t>extension</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eastern</w:t>
      </w:r>
      <w:r w:rsidRPr="00D4309F">
        <w:rPr>
          <w:spacing w:val="-3"/>
        </w:rPr>
        <w:t xml:space="preserve"> </w:t>
      </w:r>
      <w:r w:rsidRPr="00D4309F">
        <w:t>breakwater</w:t>
      </w:r>
      <w:r w:rsidRPr="00D4309F">
        <w:rPr>
          <w:spacing w:val="-2"/>
        </w:rPr>
        <w:t xml:space="preserve"> </w:t>
      </w:r>
      <w:r w:rsidRPr="00D4309F">
        <w:t>described</w:t>
      </w:r>
      <w:r w:rsidRPr="00D4309F">
        <w:rPr>
          <w:spacing w:val="-3"/>
        </w:rPr>
        <w:t xml:space="preserve"> </w:t>
      </w:r>
      <w:r w:rsidRPr="00D4309F">
        <w:t>in</w:t>
      </w:r>
      <w:r w:rsidRPr="00D4309F">
        <w:rPr>
          <w:spacing w:val="-3"/>
        </w:rPr>
        <w:t xml:space="preserve"> </w:t>
      </w:r>
      <w:r w:rsidRPr="00D4309F">
        <w:t>Section</w:t>
      </w:r>
      <w:r w:rsidR="007A2D1B">
        <w:t xml:space="preserve"> </w:t>
      </w:r>
      <w:r w:rsidR="007A2D1B">
        <w:fldChar w:fldCharType="begin"/>
      </w:r>
      <w:r w:rsidR="007A2D1B">
        <w:instrText xml:space="preserve"> REF _Ref216022431 \r \h </w:instrText>
      </w:r>
      <w:r w:rsidR="007A2D1B">
        <w:fldChar w:fldCharType="separate"/>
      </w:r>
      <w:r w:rsidR="007A2D1B">
        <w:t>15.4</w:t>
      </w:r>
      <w:r w:rsidR="007A2D1B">
        <w:fldChar w:fldCharType="end"/>
      </w:r>
      <w:r w:rsidRPr="00D4309F">
        <w:rPr>
          <w:spacing w:val="-3"/>
        </w:rPr>
        <w:t xml:space="preserve"> </w:t>
      </w:r>
      <w:r w:rsidRPr="00D4309F">
        <w:t>but replaces mobile dredging with a Sand Shifter system. This setup allows semi-continuous sediment bypassing, helping to maintain the entrance channel and downdrift supply without relying on periodic dredging campaigns.</w:t>
      </w:r>
    </w:p>
    <w:p w14:paraId="5623F12E" w14:textId="77777777" w:rsidR="00725977" w:rsidRPr="00D4309F" w:rsidRDefault="00725977" w:rsidP="00725977">
      <w:pPr>
        <w:pStyle w:val="BodyText"/>
      </w:pPr>
      <w:r w:rsidRPr="00D4309F">
        <w:t>While the Sand Shifter concept has demonstrated success at Noosa Main Beach, where a system has operated</w:t>
      </w:r>
      <w:r w:rsidRPr="00D4309F">
        <w:rPr>
          <w:spacing w:val="-3"/>
        </w:rPr>
        <w:t xml:space="preserve"> </w:t>
      </w:r>
      <w:r w:rsidRPr="00D4309F">
        <w:t>since</w:t>
      </w:r>
      <w:r w:rsidRPr="00D4309F">
        <w:rPr>
          <w:spacing w:val="-3"/>
        </w:rPr>
        <w:t xml:space="preserve"> </w:t>
      </w:r>
      <w:r w:rsidRPr="00D4309F">
        <w:t>2012,</w:t>
      </w:r>
      <w:r w:rsidRPr="00D4309F">
        <w:rPr>
          <w:spacing w:val="-3"/>
        </w:rPr>
        <w:t xml:space="preserve"> </w:t>
      </w:r>
      <w:r w:rsidRPr="00D4309F">
        <w:t>its</w:t>
      </w:r>
      <w:r w:rsidRPr="00D4309F">
        <w:rPr>
          <w:spacing w:val="-2"/>
        </w:rPr>
        <w:t xml:space="preserve"> </w:t>
      </w:r>
      <w:r w:rsidRPr="00D4309F">
        <w:t>feasibility</w:t>
      </w:r>
      <w:r w:rsidRPr="00D4309F">
        <w:rPr>
          <w:spacing w:val="-2"/>
        </w:rPr>
        <w:t xml:space="preserve"> </w:t>
      </w:r>
      <w:r w:rsidRPr="00D4309F">
        <w:t>at</w:t>
      </w:r>
      <w:r w:rsidRPr="00D4309F">
        <w:rPr>
          <w:spacing w:val="-3"/>
        </w:rPr>
        <w:t xml:space="preserve"> </w:t>
      </w:r>
      <w:r w:rsidRPr="00D4309F">
        <w:t>Mooloolaba</w:t>
      </w:r>
      <w:r w:rsidRPr="00D4309F">
        <w:rPr>
          <w:spacing w:val="-3"/>
        </w:rPr>
        <w:t xml:space="preserve"> </w:t>
      </w:r>
      <w:r w:rsidRPr="00D4309F">
        <w:t>is</w:t>
      </w:r>
      <w:r w:rsidRPr="00D4309F">
        <w:rPr>
          <w:spacing w:val="-2"/>
        </w:rPr>
        <w:t xml:space="preserve"> </w:t>
      </w:r>
      <w:r w:rsidRPr="00D4309F">
        <w:t>more</w:t>
      </w:r>
      <w:r w:rsidRPr="00D4309F">
        <w:rPr>
          <w:spacing w:val="-3"/>
        </w:rPr>
        <w:t xml:space="preserve"> </w:t>
      </w:r>
      <w:r w:rsidRPr="00D4309F">
        <w:t>constrained.</w:t>
      </w:r>
      <w:r w:rsidRPr="00D4309F">
        <w:rPr>
          <w:spacing w:val="-3"/>
        </w:rPr>
        <w:t xml:space="preserve"> </w:t>
      </w:r>
      <w:r w:rsidRPr="00D4309F">
        <w:t>A</w:t>
      </w:r>
      <w:r w:rsidRPr="00D4309F">
        <w:rPr>
          <w:spacing w:val="-3"/>
        </w:rPr>
        <w:t xml:space="preserve"> </w:t>
      </w:r>
      <w:r w:rsidRPr="00D4309F">
        <w:t>trial</w:t>
      </w:r>
      <w:r w:rsidRPr="00D4309F">
        <w:rPr>
          <w:spacing w:val="-3"/>
        </w:rPr>
        <w:t xml:space="preserve"> </w:t>
      </w:r>
      <w:r w:rsidRPr="00D4309F">
        <w:t>of</w:t>
      </w:r>
      <w:r w:rsidRPr="00D4309F">
        <w:rPr>
          <w:spacing w:val="-2"/>
        </w:rPr>
        <w:t xml:space="preserve"> </w:t>
      </w:r>
      <w:r w:rsidRPr="00D4309F">
        <w:t>a</w:t>
      </w:r>
      <w:r w:rsidRPr="00D4309F">
        <w:rPr>
          <w:spacing w:val="-3"/>
        </w:rPr>
        <w:t xml:space="preserve"> </w:t>
      </w:r>
      <w:r w:rsidRPr="00D4309F">
        <w:t>similar</w:t>
      </w:r>
      <w:r w:rsidRPr="00D4309F">
        <w:rPr>
          <w:spacing w:val="-2"/>
        </w:rPr>
        <w:t xml:space="preserve"> </w:t>
      </w:r>
      <w:r w:rsidRPr="00D4309F">
        <w:t>slurry</w:t>
      </w:r>
      <w:r w:rsidRPr="00D4309F">
        <w:rPr>
          <w:spacing w:val="-2"/>
        </w:rPr>
        <w:t xml:space="preserve"> </w:t>
      </w:r>
      <w:r w:rsidRPr="00D4309F">
        <w:t>pump</w:t>
      </w:r>
      <w:r w:rsidRPr="00D4309F">
        <w:rPr>
          <w:spacing w:val="-4"/>
        </w:rPr>
        <w:t xml:space="preserve"> </w:t>
      </w:r>
      <w:r w:rsidRPr="00D4309F">
        <w:t>system was undertaken at the Mooloolah River entrance in 2012 by Maritime Safety Queensland (MSQ). The trial indicated that, without substantial excavation of a sand trap into the underlying rock, the pump system was ineffective as it had the inability to form a conical depression in the seabed limited sediment capture, and sand was not reliably entrained into the pump intake. As a result, a large mobile crane with a jet pump or mechanical removal was considered the only practical bypass method at the time.</w:t>
      </w:r>
    </w:p>
    <w:p w14:paraId="3BE85B23" w14:textId="77777777" w:rsidR="00725977" w:rsidRPr="00D4309F" w:rsidRDefault="00725977" w:rsidP="00725977">
      <w:pPr>
        <w:pStyle w:val="BodyText"/>
      </w:pPr>
      <w:r w:rsidRPr="00D4309F">
        <w:t>It is noted, however, that the 2012 trial was conducted prior to any breakwater extension, meaning no</w:t>
      </w:r>
      <w:r w:rsidRPr="00D4309F">
        <w:rPr>
          <w:spacing w:val="40"/>
        </w:rPr>
        <w:t xml:space="preserve"> </w:t>
      </w:r>
      <w:r w:rsidRPr="00D4309F">
        <w:t>defined sand trap was present. Under Option 3B, the breakwater extension would create a 5</w:t>
      </w:r>
      <w:r w:rsidRPr="00D4309F">
        <w:rPr>
          <w:spacing w:val="-11"/>
        </w:rPr>
        <w:t xml:space="preserve"> </w:t>
      </w:r>
      <w:r w:rsidRPr="00D4309F">
        <w:t>m deep updrift compartment, which is likely to enhance sediment accumulation and may improve pumping effectiveness compared to the initial trial. Nonetheless, key constraints remain - particularly the presence of shallow rock - which would pose significant challenges for installing a buried intake system and may limit the ability to effectively</w:t>
      </w:r>
      <w:r w:rsidRPr="00D4309F">
        <w:rPr>
          <w:spacing w:val="-2"/>
        </w:rPr>
        <w:t xml:space="preserve"> </w:t>
      </w:r>
      <w:r w:rsidRPr="00D4309F">
        <w:t>remove</w:t>
      </w:r>
      <w:r w:rsidRPr="00D4309F">
        <w:rPr>
          <w:spacing w:val="-3"/>
        </w:rPr>
        <w:t xml:space="preserve"> </w:t>
      </w:r>
      <w:r w:rsidRPr="00D4309F">
        <w:t>deeper</w:t>
      </w:r>
      <w:r w:rsidRPr="00D4309F">
        <w:rPr>
          <w:spacing w:val="-4"/>
        </w:rPr>
        <w:t xml:space="preserve"> </w:t>
      </w:r>
      <w:r w:rsidRPr="00D4309F">
        <w:t>sand</w:t>
      </w:r>
      <w:r w:rsidRPr="00D4309F">
        <w:rPr>
          <w:spacing w:val="-3"/>
        </w:rPr>
        <w:t xml:space="preserve"> </w:t>
      </w:r>
      <w:r w:rsidRPr="00D4309F">
        <w:t>within</w:t>
      </w:r>
      <w:r w:rsidRPr="00D4309F">
        <w:rPr>
          <w:spacing w:val="-3"/>
        </w:rPr>
        <w:t xml:space="preserve"> </w:t>
      </w:r>
      <w:r w:rsidRPr="00D4309F">
        <w:t>the</w:t>
      </w:r>
      <w:r w:rsidRPr="00D4309F">
        <w:rPr>
          <w:spacing w:val="-3"/>
        </w:rPr>
        <w:t xml:space="preserve"> </w:t>
      </w:r>
      <w:r w:rsidRPr="00D4309F">
        <w:t>trap.</w:t>
      </w:r>
      <w:r w:rsidRPr="00D4309F">
        <w:rPr>
          <w:spacing w:val="-3"/>
        </w:rPr>
        <w:t xml:space="preserve"> </w:t>
      </w:r>
      <w:r w:rsidRPr="00D4309F">
        <w:t>The</w:t>
      </w:r>
      <w:r w:rsidRPr="00D4309F">
        <w:rPr>
          <w:spacing w:val="-3"/>
        </w:rPr>
        <w:t xml:space="preserve"> </w:t>
      </w:r>
      <w:r w:rsidRPr="00D4309F">
        <w:t>system</w:t>
      </w:r>
      <w:r w:rsidRPr="00D4309F">
        <w:rPr>
          <w:spacing w:val="-3"/>
        </w:rPr>
        <w:t xml:space="preserve"> </w:t>
      </w:r>
      <w:r w:rsidRPr="00D4309F">
        <w:t>is</w:t>
      </w:r>
      <w:r w:rsidRPr="00D4309F">
        <w:rPr>
          <w:spacing w:val="-2"/>
        </w:rPr>
        <w:t xml:space="preserve"> </w:t>
      </w:r>
      <w:r w:rsidRPr="00D4309F">
        <w:t>therefore</w:t>
      </w:r>
      <w:r w:rsidRPr="00D4309F">
        <w:rPr>
          <w:spacing w:val="-3"/>
        </w:rPr>
        <w:t xml:space="preserve"> </w:t>
      </w:r>
      <w:r w:rsidRPr="00D4309F">
        <w:t>expected</w:t>
      </w:r>
      <w:r w:rsidRPr="00D4309F">
        <w:rPr>
          <w:spacing w:val="-4"/>
        </w:rPr>
        <w:t xml:space="preserve"> </w:t>
      </w:r>
      <w:r w:rsidRPr="00D4309F">
        <w:t>to</w:t>
      </w:r>
      <w:r w:rsidRPr="00D4309F">
        <w:rPr>
          <w:spacing w:val="-3"/>
        </w:rPr>
        <w:t xml:space="preserve"> </w:t>
      </w:r>
      <w:r w:rsidRPr="00D4309F">
        <w:t>require</w:t>
      </w:r>
      <w:r w:rsidRPr="00D4309F">
        <w:rPr>
          <w:spacing w:val="-3"/>
        </w:rPr>
        <w:t xml:space="preserve"> </w:t>
      </w:r>
      <w:r w:rsidRPr="00D4309F">
        <w:t>significant</w:t>
      </w:r>
      <w:r w:rsidRPr="00D4309F">
        <w:rPr>
          <w:spacing w:val="-3"/>
        </w:rPr>
        <w:t xml:space="preserve"> </w:t>
      </w:r>
      <w:r w:rsidRPr="00D4309F">
        <w:t>capital works to ensure performance.</w:t>
      </w:r>
    </w:p>
    <w:p w14:paraId="5BFD16FE" w14:textId="77777777" w:rsidR="00725977" w:rsidRPr="00D4309F" w:rsidRDefault="00725977" w:rsidP="00725977">
      <w:pPr>
        <w:pStyle w:val="BodyText"/>
      </w:pPr>
      <w:r w:rsidRPr="00D4309F">
        <w:t>As</w:t>
      </w:r>
      <w:r w:rsidRPr="00D4309F">
        <w:rPr>
          <w:spacing w:val="-5"/>
        </w:rPr>
        <w:t xml:space="preserve"> </w:t>
      </w:r>
      <w:r w:rsidRPr="00D4309F">
        <w:t>with</w:t>
      </w:r>
      <w:r w:rsidRPr="00D4309F">
        <w:rPr>
          <w:spacing w:val="-4"/>
        </w:rPr>
        <w:t xml:space="preserve"> </w:t>
      </w:r>
      <w:r w:rsidRPr="00D4309F">
        <w:t>Option</w:t>
      </w:r>
      <w:r w:rsidRPr="00D4309F">
        <w:rPr>
          <w:spacing w:val="-3"/>
        </w:rPr>
        <w:t xml:space="preserve"> </w:t>
      </w:r>
      <w:r w:rsidRPr="00D4309F">
        <w:t>3A,</w:t>
      </w:r>
      <w:r w:rsidRPr="00D4309F">
        <w:rPr>
          <w:spacing w:val="-4"/>
        </w:rPr>
        <w:t xml:space="preserve"> </w:t>
      </w:r>
      <w:r w:rsidRPr="00D4309F">
        <w:t>the</w:t>
      </w:r>
      <w:r w:rsidRPr="00D4309F">
        <w:rPr>
          <w:spacing w:val="-3"/>
        </w:rPr>
        <w:t xml:space="preserve"> </w:t>
      </w:r>
      <w:r w:rsidRPr="00D4309F">
        <w:t>works</w:t>
      </w:r>
      <w:r w:rsidRPr="00D4309F">
        <w:rPr>
          <w:spacing w:val="-4"/>
        </w:rPr>
        <w:t xml:space="preserve"> </w:t>
      </w:r>
      <w:r w:rsidRPr="00D4309F">
        <w:t>would</w:t>
      </w:r>
      <w:r w:rsidRPr="00D4309F">
        <w:rPr>
          <w:spacing w:val="-3"/>
        </w:rPr>
        <w:t xml:space="preserve"> </w:t>
      </w:r>
      <w:r w:rsidRPr="00D4309F">
        <w:t>trigger</w:t>
      </w:r>
      <w:r w:rsidRPr="00D4309F">
        <w:rPr>
          <w:spacing w:val="-3"/>
        </w:rPr>
        <w:t xml:space="preserve"> </w:t>
      </w:r>
      <w:r w:rsidRPr="00D4309F">
        <w:t>relevant</w:t>
      </w:r>
      <w:r w:rsidRPr="00D4309F">
        <w:rPr>
          <w:spacing w:val="-3"/>
        </w:rPr>
        <w:t xml:space="preserve"> </w:t>
      </w:r>
      <w:r w:rsidRPr="00D4309F">
        <w:t>statutory</w:t>
      </w:r>
      <w:r w:rsidRPr="00D4309F">
        <w:rPr>
          <w:spacing w:val="-4"/>
        </w:rPr>
        <w:t xml:space="preserve"> </w:t>
      </w:r>
      <w:r w:rsidRPr="00D4309F">
        <w:t>approvals</w:t>
      </w:r>
      <w:r w:rsidRPr="00D4309F">
        <w:rPr>
          <w:spacing w:val="-2"/>
        </w:rPr>
        <w:t xml:space="preserve"> </w:t>
      </w:r>
      <w:r w:rsidRPr="00D4309F">
        <w:t>as</w:t>
      </w:r>
      <w:r w:rsidRPr="00D4309F">
        <w:rPr>
          <w:spacing w:val="-3"/>
        </w:rPr>
        <w:t xml:space="preserve"> </w:t>
      </w:r>
      <w:r w:rsidRPr="00D4309F">
        <w:t>Prescribed</w:t>
      </w:r>
      <w:r w:rsidRPr="00D4309F">
        <w:rPr>
          <w:spacing w:val="-3"/>
        </w:rPr>
        <w:t xml:space="preserve"> </w:t>
      </w:r>
      <w:r w:rsidRPr="00D4309F">
        <w:t>Tidal</w:t>
      </w:r>
      <w:r w:rsidRPr="00D4309F">
        <w:rPr>
          <w:spacing w:val="-4"/>
        </w:rPr>
        <w:t xml:space="preserve"> </w:t>
      </w:r>
      <w:r w:rsidRPr="00D4309F">
        <w:t>Works,</w:t>
      </w:r>
      <w:r w:rsidRPr="00D4309F">
        <w:rPr>
          <w:spacing w:val="-3"/>
        </w:rPr>
        <w:t xml:space="preserve"> </w:t>
      </w:r>
      <w:r w:rsidRPr="00D4309F">
        <w:rPr>
          <w:spacing w:val="-2"/>
        </w:rPr>
        <w:t>including:</w:t>
      </w:r>
    </w:p>
    <w:p w14:paraId="176800D7" w14:textId="77777777" w:rsidR="00725977" w:rsidRPr="00D4309F" w:rsidRDefault="00725977" w:rsidP="00D27F26">
      <w:pPr>
        <w:pStyle w:val="ListParagraph"/>
        <w:widowControl w:val="0"/>
        <w:numPr>
          <w:ilvl w:val="0"/>
          <w:numId w:val="275"/>
        </w:numPr>
        <w:tabs>
          <w:tab w:val="left" w:pos="501"/>
        </w:tabs>
        <w:autoSpaceDE w:val="0"/>
        <w:autoSpaceDN w:val="0"/>
        <w:spacing w:after="0" w:line="240" w:lineRule="auto"/>
        <w:contextualSpacing w:val="0"/>
      </w:pPr>
      <w:r w:rsidRPr="00D4309F">
        <w:rPr>
          <w:color w:val="211E1F"/>
        </w:rPr>
        <w:t>Owner’s</w:t>
      </w:r>
      <w:r w:rsidRPr="00D4309F">
        <w:rPr>
          <w:color w:val="211E1F"/>
          <w:spacing w:val="-4"/>
        </w:rPr>
        <w:t xml:space="preserve"> </w:t>
      </w:r>
      <w:r w:rsidRPr="00D4309F">
        <w:rPr>
          <w:color w:val="211E1F"/>
        </w:rPr>
        <w:t>consent</w:t>
      </w:r>
      <w:r w:rsidRPr="00D4309F">
        <w:rPr>
          <w:color w:val="211E1F"/>
          <w:spacing w:val="-3"/>
        </w:rPr>
        <w:t xml:space="preserve"> </w:t>
      </w:r>
      <w:r w:rsidRPr="00D4309F">
        <w:rPr>
          <w:color w:val="211E1F"/>
        </w:rPr>
        <w:t>for</w:t>
      </w:r>
      <w:r w:rsidRPr="00D4309F">
        <w:rPr>
          <w:color w:val="211E1F"/>
          <w:spacing w:val="-2"/>
        </w:rPr>
        <w:t xml:space="preserve"> </w:t>
      </w:r>
      <w:r w:rsidRPr="00D4309F">
        <w:rPr>
          <w:color w:val="211E1F"/>
        </w:rPr>
        <w:t>use</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State</w:t>
      </w:r>
      <w:r w:rsidRPr="00D4309F">
        <w:rPr>
          <w:color w:val="211E1F"/>
          <w:spacing w:val="-3"/>
        </w:rPr>
        <w:t xml:space="preserve"> </w:t>
      </w:r>
      <w:r w:rsidRPr="00D4309F">
        <w:rPr>
          <w:color w:val="211E1F"/>
        </w:rPr>
        <w:t>land</w:t>
      </w:r>
      <w:r w:rsidRPr="00D4309F">
        <w:rPr>
          <w:color w:val="211E1F"/>
          <w:spacing w:val="-3"/>
        </w:rPr>
        <w:t xml:space="preserve"> </w:t>
      </w:r>
      <w:r w:rsidRPr="00D4309F">
        <w:rPr>
          <w:color w:val="211E1F"/>
        </w:rPr>
        <w:t>and</w:t>
      </w:r>
      <w:r w:rsidRPr="00D4309F">
        <w:rPr>
          <w:color w:val="211E1F"/>
          <w:spacing w:val="-2"/>
        </w:rPr>
        <w:t xml:space="preserve"> seabed.</w:t>
      </w:r>
    </w:p>
    <w:p w14:paraId="0BF50788" w14:textId="77777777" w:rsidR="00725977" w:rsidRPr="00D4309F" w:rsidRDefault="00725977" w:rsidP="00D27F26">
      <w:pPr>
        <w:pStyle w:val="ListParagraph"/>
        <w:widowControl w:val="0"/>
        <w:numPr>
          <w:ilvl w:val="0"/>
          <w:numId w:val="275"/>
        </w:numPr>
        <w:tabs>
          <w:tab w:val="left" w:pos="501"/>
        </w:tabs>
        <w:autoSpaceDE w:val="0"/>
        <w:autoSpaceDN w:val="0"/>
        <w:spacing w:before="118" w:after="0" w:line="240" w:lineRule="auto"/>
        <w:contextualSpacing w:val="0"/>
        <w:rPr>
          <w:i/>
        </w:rPr>
      </w:pPr>
      <w:r w:rsidRPr="00D4309F">
        <w:rPr>
          <w:color w:val="211E1F"/>
        </w:rPr>
        <w:t>A</w:t>
      </w:r>
      <w:r w:rsidRPr="00D4309F">
        <w:rPr>
          <w:color w:val="211E1F"/>
          <w:spacing w:val="-5"/>
        </w:rPr>
        <w:t xml:space="preserve"> </w:t>
      </w:r>
      <w:r w:rsidRPr="00D4309F">
        <w:rPr>
          <w:color w:val="211E1F"/>
        </w:rPr>
        <w:t>Prescribed</w:t>
      </w:r>
      <w:r w:rsidRPr="00D4309F">
        <w:rPr>
          <w:color w:val="211E1F"/>
          <w:spacing w:val="-5"/>
        </w:rPr>
        <w:t xml:space="preserve"> </w:t>
      </w:r>
      <w:r w:rsidRPr="00D4309F">
        <w:rPr>
          <w:color w:val="211E1F"/>
        </w:rPr>
        <w:t>Tidal</w:t>
      </w:r>
      <w:r w:rsidRPr="00D4309F">
        <w:rPr>
          <w:color w:val="211E1F"/>
          <w:spacing w:val="-4"/>
        </w:rPr>
        <w:t xml:space="preserve"> </w:t>
      </w:r>
      <w:r w:rsidRPr="00D4309F">
        <w:rPr>
          <w:color w:val="211E1F"/>
        </w:rPr>
        <w:t>Works</w:t>
      </w:r>
      <w:r w:rsidRPr="00D4309F">
        <w:rPr>
          <w:color w:val="211E1F"/>
          <w:spacing w:val="-3"/>
        </w:rPr>
        <w:t xml:space="preserve"> </w:t>
      </w:r>
      <w:r w:rsidRPr="00D4309F">
        <w:rPr>
          <w:color w:val="211E1F"/>
        </w:rPr>
        <w:t>application</w:t>
      </w:r>
      <w:r w:rsidRPr="00D4309F">
        <w:rPr>
          <w:color w:val="211E1F"/>
          <w:spacing w:val="-4"/>
        </w:rPr>
        <w:t xml:space="preserve"> </w:t>
      </w:r>
      <w:r w:rsidRPr="00D4309F">
        <w:rPr>
          <w:color w:val="211E1F"/>
        </w:rPr>
        <w:t>under</w:t>
      </w:r>
      <w:r w:rsidRPr="00D4309F">
        <w:rPr>
          <w:color w:val="211E1F"/>
          <w:spacing w:val="-3"/>
        </w:rPr>
        <w:t xml:space="preserve"> </w:t>
      </w:r>
      <w:r w:rsidRPr="00D4309F">
        <w:rPr>
          <w:color w:val="211E1F"/>
        </w:rPr>
        <w:t>the</w:t>
      </w:r>
      <w:r w:rsidRPr="00D4309F">
        <w:rPr>
          <w:color w:val="211E1F"/>
          <w:spacing w:val="-4"/>
        </w:rPr>
        <w:t xml:space="preserve"> </w:t>
      </w:r>
      <w:r w:rsidRPr="00D4309F">
        <w:rPr>
          <w:i/>
          <w:color w:val="211E1F"/>
        </w:rPr>
        <w:t>Planning</w:t>
      </w:r>
      <w:r w:rsidRPr="00D4309F">
        <w:rPr>
          <w:i/>
          <w:color w:val="211E1F"/>
          <w:spacing w:val="-4"/>
        </w:rPr>
        <w:t xml:space="preserve"> </w:t>
      </w:r>
      <w:r w:rsidRPr="00D4309F">
        <w:rPr>
          <w:i/>
          <w:color w:val="211E1F"/>
        </w:rPr>
        <w:t>Act</w:t>
      </w:r>
      <w:r w:rsidRPr="00D4309F">
        <w:rPr>
          <w:i/>
          <w:color w:val="211E1F"/>
          <w:spacing w:val="-4"/>
        </w:rPr>
        <w:t xml:space="preserve"> </w:t>
      </w:r>
      <w:r w:rsidRPr="00D4309F">
        <w:rPr>
          <w:i/>
          <w:color w:val="211E1F"/>
          <w:spacing w:val="-2"/>
        </w:rPr>
        <w:t>2016.</w:t>
      </w:r>
    </w:p>
    <w:p w14:paraId="522EB490" w14:textId="77777777" w:rsidR="00725977" w:rsidRPr="00D4309F" w:rsidRDefault="00725977" w:rsidP="00D27F26">
      <w:pPr>
        <w:pStyle w:val="ListParagraph"/>
        <w:widowControl w:val="0"/>
        <w:numPr>
          <w:ilvl w:val="0"/>
          <w:numId w:val="275"/>
        </w:numPr>
        <w:tabs>
          <w:tab w:val="left" w:pos="501"/>
        </w:tabs>
        <w:autoSpaceDE w:val="0"/>
        <w:autoSpaceDN w:val="0"/>
        <w:spacing w:before="118" w:after="0" w:line="240" w:lineRule="auto"/>
        <w:contextualSpacing w:val="0"/>
      </w:pPr>
      <w:r w:rsidRPr="00D4309F">
        <w:rPr>
          <w:color w:val="211E1F"/>
        </w:rPr>
        <w:t>Dredging</w:t>
      </w:r>
      <w:r w:rsidRPr="00D4309F">
        <w:rPr>
          <w:color w:val="211E1F"/>
          <w:spacing w:val="-7"/>
        </w:rPr>
        <w:t xml:space="preserve"> </w:t>
      </w:r>
      <w:r w:rsidRPr="00D4309F">
        <w:rPr>
          <w:color w:val="211E1F"/>
        </w:rPr>
        <w:t>permits</w:t>
      </w:r>
      <w:r w:rsidRPr="00D4309F">
        <w:rPr>
          <w:color w:val="211E1F"/>
          <w:spacing w:val="-3"/>
        </w:rPr>
        <w:t xml:space="preserve"> </w:t>
      </w:r>
      <w:r w:rsidRPr="00D4309F">
        <w:rPr>
          <w:color w:val="211E1F"/>
        </w:rPr>
        <w:t>under</w:t>
      </w:r>
      <w:r w:rsidRPr="00D4309F">
        <w:rPr>
          <w:color w:val="211E1F"/>
          <w:spacing w:val="-4"/>
        </w:rPr>
        <w:t xml:space="preserve"> </w:t>
      </w:r>
      <w:r w:rsidRPr="00D4309F">
        <w:rPr>
          <w:color w:val="211E1F"/>
        </w:rPr>
        <w:t>the</w:t>
      </w:r>
      <w:r w:rsidRPr="00D4309F">
        <w:rPr>
          <w:color w:val="211E1F"/>
          <w:spacing w:val="-4"/>
        </w:rPr>
        <w:t xml:space="preserve"> </w:t>
      </w:r>
      <w:r w:rsidRPr="00D4309F">
        <w:rPr>
          <w:color w:val="211E1F"/>
        </w:rPr>
        <w:t>Coastal</w:t>
      </w:r>
      <w:r w:rsidRPr="00D4309F">
        <w:rPr>
          <w:color w:val="211E1F"/>
          <w:spacing w:val="-5"/>
        </w:rPr>
        <w:t xml:space="preserve"> </w:t>
      </w:r>
      <w:r w:rsidRPr="00D4309F">
        <w:rPr>
          <w:color w:val="211E1F"/>
        </w:rPr>
        <w:t>Protection</w:t>
      </w:r>
      <w:r w:rsidRPr="00D4309F">
        <w:rPr>
          <w:color w:val="211E1F"/>
          <w:spacing w:val="-4"/>
        </w:rPr>
        <w:t xml:space="preserve"> </w:t>
      </w:r>
      <w:r w:rsidRPr="00D4309F">
        <w:rPr>
          <w:color w:val="211E1F"/>
        </w:rPr>
        <w:t>and</w:t>
      </w:r>
      <w:r w:rsidRPr="00D4309F">
        <w:rPr>
          <w:color w:val="211E1F"/>
          <w:spacing w:val="-5"/>
        </w:rPr>
        <w:t xml:space="preserve"> </w:t>
      </w:r>
      <w:r w:rsidRPr="00D4309F">
        <w:rPr>
          <w:color w:val="211E1F"/>
        </w:rPr>
        <w:t>Management</w:t>
      </w:r>
      <w:r w:rsidRPr="00D4309F">
        <w:rPr>
          <w:color w:val="211E1F"/>
          <w:spacing w:val="-4"/>
        </w:rPr>
        <w:t xml:space="preserve"> </w:t>
      </w:r>
      <w:r w:rsidRPr="00D4309F">
        <w:rPr>
          <w:color w:val="211E1F"/>
        </w:rPr>
        <w:t>Act</w:t>
      </w:r>
      <w:r w:rsidRPr="00D4309F">
        <w:rPr>
          <w:color w:val="211E1F"/>
          <w:spacing w:val="-4"/>
        </w:rPr>
        <w:t xml:space="preserve"> </w:t>
      </w:r>
      <w:r w:rsidRPr="00D4309F">
        <w:rPr>
          <w:color w:val="211E1F"/>
          <w:spacing w:val="-2"/>
        </w:rPr>
        <w:t>1995.</w:t>
      </w:r>
    </w:p>
    <w:p w14:paraId="64D1CF14" w14:textId="77777777" w:rsidR="00725977" w:rsidRPr="00D4309F" w:rsidRDefault="00725977" w:rsidP="00725977">
      <w:pPr>
        <w:pStyle w:val="BodyText"/>
      </w:pPr>
      <w:r w:rsidRPr="00D4309F">
        <w:t>Given</w:t>
      </w:r>
      <w:r w:rsidRPr="00D4309F">
        <w:rPr>
          <w:spacing w:val="-3"/>
        </w:rPr>
        <w:t xml:space="preserve"> </w:t>
      </w:r>
      <w:r w:rsidRPr="00D4309F">
        <w:t>the</w:t>
      </w:r>
      <w:r w:rsidRPr="00D4309F">
        <w:rPr>
          <w:spacing w:val="-3"/>
        </w:rPr>
        <w:t xml:space="preserve"> </w:t>
      </w:r>
      <w:r w:rsidRPr="00D4309F">
        <w:t>potential</w:t>
      </w:r>
      <w:r w:rsidRPr="00D4309F">
        <w:rPr>
          <w:spacing w:val="-3"/>
        </w:rPr>
        <w:t xml:space="preserve"> </w:t>
      </w:r>
      <w:r w:rsidRPr="00D4309F">
        <w:t>disturbance</w:t>
      </w:r>
      <w:r w:rsidRPr="00D4309F">
        <w:rPr>
          <w:spacing w:val="-3"/>
        </w:rPr>
        <w:t xml:space="preserve"> </w:t>
      </w:r>
      <w:r w:rsidRPr="00D4309F">
        <w:t>to</w:t>
      </w:r>
      <w:r w:rsidRPr="00D4309F">
        <w:rPr>
          <w:spacing w:val="-3"/>
        </w:rPr>
        <w:t xml:space="preserve"> </w:t>
      </w:r>
      <w:r w:rsidRPr="00D4309F">
        <w:t>marine</w:t>
      </w:r>
      <w:r w:rsidRPr="00D4309F">
        <w:rPr>
          <w:spacing w:val="-3"/>
        </w:rPr>
        <w:t xml:space="preserve"> </w:t>
      </w:r>
      <w:r w:rsidRPr="00D4309F">
        <w:t>habitats</w:t>
      </w:r>
      <w:r w:rsidRPr="00D4309F">
        <w:rPr>
          <w:spacing w:val="-2"/>
        </w:rPr>
        <w:t xml:space="preserve"> </w:t>
      </w:r>
      <w:r w:rsidRPr="00D4309F">
        <w:t>and</w:t>
      </w:r>
      <w:r w:rsidRPr="00D4309F">
        <w:rPr>
          <w:spacing w:val="-3"/>
        </w:rPr>
        <w:t xml:space="preserve"> </w:t>
      </w:r>
      <w:r w:rsidRPr="00D4309F">
        <w:t>alteration</w:t>
      </w:r>
      <w:r w:rsidRPr="00D4309F">
        <w:rPr>
          <w:spacing w:val="-3"/>
        </w:rPr>
        <w:t xml:space="preserve"> </w:t>
      </w:r>
      <w:r w:rsidRPr="00D4309F">
        <w:t>of</w:t>
      </w:r>
      <w:r w:rsidRPr="00D4309F">
        <w:rPr>
          <w:spacing w:val="-5"/>
        </w:rPr>
        <w:t xml:space="preserve"> </w:t>
      </w:r>
      <w:r w:rsidRPr="00D4309F">
        <w:t>coastal</w:t>
      </w:r>
      <w:r w:rsidRPr="00D4309F">
        <w:rPr>
          <w:spacing w:val="-3"/>
        </w:rPr>
        <w:t xml:space="preserve"> </w:t>
      </w:r>
      <w:r w:rsidRPr="00D4309F">
        <w:t>processes,</w:t>
      </w:r>
      <w:r w:rsidRPr="00D4309F">
        <w:rPr>
          <w:spacing w:val="-3"/>
        </w:rPr>
        <w:t xml:space="preserve"> </w:t>
      </w:r>
      <w:r w:rsidRPr="00D4309F">
        <w:t>an</w:t>
      </w:r>
      <w:r w:rsidRPr="00D4309F">
        <w:rPr>
          <w:spacing w:val="-3"/>
        </w:rPr>
        <w:t xml:space="preserve"> </w:t>
      </w:r>
      <w:r w:rsidRPr="00D4309F">
        <w:t>Environmental Impact Assessment / Dredge Management Plan is likely to be required.</w:t>
      </w:r>
    </w:p>
    <w:p w14:paraId="4B8B62FA" w14:textId="27C12DA2" w:rsidR="00725977" w:rsidRPr="00D4309F" w:rsidRDefault="00725977" w:rsidP="00725977">
      <w:pPr>
        <w:pStyle w:val="BodyText"/>
      </w:pPr>
      <w:r w:rsidRPr="00D4309F">
        <w:t>Early</w:t>
      </w:r>
      <w:r w:rsidRPr="00D4309F">
        <w:rPr>
          <w:spacing w:val="-2"/>
        </w:rPr>
        <w:t xml:space="preserve"> </w:t>
      </w:r>
      <w:r w:rsidRPr="00D4309F">
        <w:t>engagement</w:t>
      </w:r>
      <w:r w:rsidRPr="00D4309F">
        <w:rPr>
          <w:spacing w:val="-3"/>
        </w:rPr>
        <w:t xml:space="preserve"> </w:t>
      </w:r>
      <w:r w:rsidRPr="00D4309F">
        <w:t>with</w:t>
      </w:r>
      <w:r w:rsidRPr="00D4309F">
        <w:rPr>
          <w:spacing w:val="-3"/>
        </w:rPr>
        <w:t xml:space="preserve"> </w:t>
      </w:r>
      <w:r w:rsidRPr="00D4309F">
        <w:t>regulatory</w:t>
      </w:r>
      <w:r w:rsidRPr="00D4309F">
        <w:rPr>
          <w:spacing w:val="-2"/>
        </w:rPr>
        <w:t xml:space="preserve"> </w:t>
      </w:r>
      <w:r w:rsidRPr="00D4309F">
        <w:t>authorities</w:t>
      </w:r>
      <w:r w:rsidRPr="00D4309F">
        <w:rPr>
          <w:spacing w:val="-2"/>
        </w:rPr>
        <w:t xml:space="preserve"> </w:t>
      </w:r>
      <w:r w:rsidRPr="00D4309F">
        <w:t>is</w:t>
      </w:r>
      <w:r w:rsidRPr="00D4309F">
        <w:rPr>
          <w:spacing w:val="-2"/>
        </w:rPr>
        <w:t xml:space="preserve"> </w:t>
      </w:r>
      <w:r w:rsidRPr="00D4309F">
        <w:t>strongly</w:t>
      </w:r>
      <w:r w:rsidRPr="00D4309F">
        <w:rPr>
          <w:spacing w:val="-2"/>
        </w:rPr>
        <w:t xml:space="preserve"> </w:t>
      </w:r>
      <w:r w:rsidRPr="00D4309F">
        <w:t>recommended</w:t>
      </w:r>
      <w:r w:rsidRPr="00D4309F">
        <w:rPr>
          <w:spacing w:val="-3"/>
        </w:rPr>
        <w:t xml:space="preserve"> </w:t>
      </w:r>
      <w:r w:rsidRPr="00D4309F">
        <w:t>to</w:t>
      </w:r>
      <w:r w:rsidRPr="00D4309F">
        <w:rPr>
          <w:spacing w:val="-3"/>
        </w:rPr>
        <w:t xml:space="preserve"> </w:t>
      </w:r>
      <w:r w:rsidRPr="00D4309F">
        <w:t>guide</w:t>
      </w:r>
      <w:r w:rsidRPr="00D4309F">
        <w:rPr>
          <w:spacing w:val="-3"/>
        </w:rPr>
        <w:t xml:space="preserve"> </w:t>
      </w:r>
      <w:r w:rsidRPr="00D4309F">
        <w:t>the</w:t>
      </w:r>
      <w:r w:rsidRPr="00D4309F">
        <w:rPr>
          <w:spacing w:val="-3"/>
        </w:rPr>
        <w:t xml:space="preserve"> </w:t>
      </w:r>
      <w:r w:rsidRPr="00D4309F">
        <w:t>approval</w:t>
      </w:r>
      <w:r w:rsidRPr="00D4309F">
        <w:rPr>
          <w:spacing w:val="-3"/>
        </w:rPr>
        <w:t xml:space="preserve"> </w:t>
      </w:r>
      <w:r w:rsidRPr="00D4309F">
        <w:t>pathway.</w:t>
      </w:r>
      <w:r w:rsidRPr="00D4309F">
        <w:rPr>
          <w:spacing w:val="-3"/>
        </w:rPr>
        <w:t xml:space="preserve"> </w:t>
      </w:r>
      <w:r w:rsidRPr="00D4309F">
        <w:t>Pre-lodgement meetings will assist in aligning the design with statutory requirements, identifying information needs, and streamlining the assessment process.</w:t>
      </w:r>
    </w:p>
    <w:p w14:paraId="3D60F60D" w14:textId="77777777" w:rsidR="00725977" w:rsidRPr="00D4309F" w:rsidRDefault="00725977" w:rsidP="008228CB">
      <w:pPr>
        <w:pStyle w:val="Heading3"/>
      </w:pPr>
      <w:bookmarkStart w:id="422" w:name="_Toc216699459"/>
      <w:r w:rsidRPr="00D4309F">
        <w:t>Capital</w:t>
      </w:r>
      <w:r w:rsidRPr="00D4309F">
        <w:rPr>
          <w:spacing w:val="-4"/>
        </w:rPr>
        <w:t xml:space="preserve"> </w:t>
      </w:r>
      <w:r w:rsidRPr="00D4309F">
        <w:rPr>
          <w:spacing w:val="-2"/>
        </w:rPr>
        <w:t>works</w:t>
      </w:r>
      <w:bookmarkEnd w:id="422"/>
    </w:p>
    <w:p w14:paraId="4BCC1369" w14:textId="77777777" w:rsidR="00725977" w:rsidRPr="00D4309F" w:rsidRDefault="00725977" w:rsidP="00725977">
      <w:pPr>
        <w:pStyle w:val="BodyText"/>
      </w:pPr>
      <w:r w:rsidRPr="00D4309F">
        <w:t>Implementing</w:t>
      </w:r>
      <w:r w:rsidRPr="00D4309F">
        <w:rPr>
          <w:spacing w:val="-4"/>
        </w:rPr>
        <w:t xml:space="preserve"> </w:t>
      </w:r>
      <w:r w:rsidRPr="00D4309F">
        <w:t>a</w:t>
      </w:r>
      <w:r w:rsidRPr="00D4309F">
        <w:rPr>
          <w:spacing w:val="-3"/>
        </w:rPr>
        <w:t xml:space="preserve"> </w:t>
      </w:r>
      <w:r w:rsidRPr="00D4309F">
        <w:t>Sand</w:t>
      </w:r>
      <w:r w:rsidRPr="00D4309F">
        <w:rPr>
          <w:spacing w:val="-3"/>
        </w:rPr>
        <w:t xml:space="preserve"> </w:t>
      </w:r>
      <w:r w:rsidRPr="00D4309F">
        <w:t>Shifter</w:t>
      </w:r>
      <w:r w:rsidRPr="00D4309F">
        <w:rPr>
          <w:spacing w:val="-2"/>
        </w:rPr>
        <w:t xml:space="preserve"> </w:t>
      </w:r>
      <w:r w:rsidRPr="00D4309F">
        <w:t>system</w:t>
      </w:r>
      <w:r w:rsidRPr="00D4309F">
        <w:rPr>
          <w:spacing w:val="-3"/>
        </w:rPr>
        <w:t xml:space="preserve"> </w:t>
      </w:r>
      <w:r w:rsidRPr="00D4309F">
        <w:t>requires</w:t>
      </w:r>
      <w:r w:rsidRPr="00D4309F">
        <w:rPr>
          <w:spacing w:val="-2"/>
        </w:rPr>
        <w:t xml:space="preserve"> </w:t>
      </w:r>
      <w:r w:rsidRPr="00D4309F">
        <w:t>significant</w:t>
      </w:r>
      <w:r w:rsidRPr="00D4309F">
        <w:rPr>
          <w:spacing w:val="-3"/>
        </w:rPr>
        <w:t xml:space="preserve"> </w:t>
      </w:r>
      <w:r w:rsidRPr="00D4309F">
        <w:t>capital</w:t>
      </w:r>
      <w:r w:rsidRPr="00D4309F">
        <w:rPr>
          <w:spacing w:val="-3"/>
        </w:rPr>
        <w:t xml:space="preserve"> </w:t>
      </w:r>
      <w:r w:rsidRPr="00D4309F">
        <w:t>works.</w:t>
      </w:r>
      <w:r w:rsidRPr="00D4309F">
        <w:rPr>
          <w:spacing w:val="-3"/>
        </w:rPr>
        <w:t xml:space="preserve"> </w:t>
      </w:r>
      <w:r w:rsidRPr="00D4309F">
        <w:t>Unlike</w:t>
      </w:r>
      <w:r w:rsidRPr="00D4309F">
        <w:rPr>
          <w:spacing w:val="-3"/>
        </w:rPr>
        <w:t xml:space="preserve"> </w:t>
      </w:r>
      <w:r w:rsidRPr="00D4309F">
        <w:t>dredging</w:t>
      </w:r>
      <w:r w:rsidRPr="00D4309F">
        <w:rPr>
          <w:spacing w:val="-3"/>
        </w:rPr>
        <w:t xml:space="preserve"> </w:t>
      </w:r>
      <w:r w:rsidRPr="00D4309F">
        <w:t>(which</w:t>
      </w:r>
      <w:r w:rsidRPr="00D4309F">
        <w:rPr>
          <w:spacing w:val="-4"/>
        </w:rPr>
        <w:t xml:space="preserve"> </w:t>
      </w:r>
      <w:r w:rsidRPr="00D4309F">
        <w:t>uses</w:t>
      </w:r>
      <w:r w:rsidRPr="00D4309F">
        <w:rPr>
          <w:spacing w:val="-2"/>
        </w:rPr>
        <w:t xml:space="preserve"> </w:t>
      </w:r>
      <w:r w:rsidRPr="00D4309F">
        <w:t xml:space="preserve">mobile equipment), the Sand Shifter is a permanent installation. Capital components include one or more submersible pump units to be buried in the seabed at the selected trap site, a pipeline running from the pump </w:t>
      </w:r>
      <w:r w:rsidRPr="00D4309F">
        <w:lastRenderedPageBreak/>
        <w:t>to existing pipeline connection, or the discharge outlet on Mooloolaba Beach, a shore-based pump station (to house booster pumps, electrical controls, etc.), and connection to a reliable power supply.</w:t>
      </w:r>
    </w:p>
    <w:p w14:paraId="0B0077BA" w14:textId="77777777" w:rsidR="00725977" w:rsidRPr="00D4309F" w:rsidRDefault="00725977" w:rsidP="00725977">
      <w:pPr>
        <w:pStyle w:val="BodyText"/>
      </w:pPr>
      <w:r w:rsidRPr="00D4309F">
        <w:t>Construction would require both land-based civil works (for the pump station and electrical connection) and significant</w:t>
      </w:r>
      <w:r w:rsidRPr="00D4309F">
        <w:rPr>
          <w:spacing w:val="-2"/>
        </w:rPr>
        <w:t xml:space="preserve"> </w:t>
      </w:r>
      <w:r w:rsidRPr="00D4309F">
        <w:t>marine</w:t>
      </w:r>
      <w:r w:rsidRPr="00D4309F">
        <w:rPr>
          <w:spacing w:val="-2"/>
        </w:rPr>
        <w:t xml:space="preserve"> </w:t>
      </w:r>
      <w:r w:rsidRPr="00D4309F">
        <w:t>construction</w:t>
      </w:r>
      <w:r w:rsidRPr="00D4309F">
        <w:rPr>
          <w:spacing w:val="-2"/>
        </w:rPr>
        <w:t xml:space="preserve"> </w:t>
      </w:r>
      <w:r w:rsidRPr="00D4309F">
        <w:t>to</w:t>
      </w:r>
      <w:r w:rsidRPr="00D4309F">
        <w:rPr>
          <w:spacing w:val="-2"/>
        </w:rPr>
        <w:t xml:space="preserve"> </w:t>
      </w:r>
      <w:r w:rsidRPr="00D4309F">
        <w:t>trench</w:t>
      </w:r>
      <w:r w:rsidRPr="00D4309F">
        <w:rPr>
          <w:spacing w:val="-2"/>
        </w:rPr>
        <w:t xml:space="preserve"> </w:t>
      </w:r>
      <w:r w:rsidRPr="00D4309F">
        <w:t>and</w:t>
      </w:r>
      <w:r w:rsidRPr="00D4309F">
        <w:rPr>
          <w:spacing w:val="-2"/>
        </w:rPr>
        <w:t xml:space="preserve"> </w:t>
      </w:r>
      <w:r w:rsidRPr="00D4309F">
        <w:t>bury</w:t>
      </w:r>
      <w:r w:rsidRPr="00D4309F">
        <w:rPr>
          <w:spacing w:val="-1"/>
        </w:rPr>
        <w:t xml:space="preserve"> </w:t>
      </w:r>
      <w:r w:rsidRPr="00D4309F">
        <w:t>the</w:t>
      </w:r>
      <w:r w:rsidRPr="00D4309F">
        <w:rPr>
          <w:spacing w:val="-2"/>
        </w:rPr>
        <w:t xml:space="preserve"> </w:t>
      </w:r>
      <w:r w:rsidRPr="00D4309F">
        <w:t>intake</w:t>
      </w:r>
      <w:r w:rsidRPr="00D4309F">
        <w:rPr>
          <w:spacing w:val="-3"/>
        </w:rPr>
        <w:t xml:space="preserve"> </w:t>
      </w:r>
      <w:r w:rsidRPr="00D4309F">
        <w:t>system</w:t>
      </w:r>
      <w:r w:rsidRPr="00D4309F">
        <w:rPr>
          <w:spacing w:val="-3"/>
        </w:rPr>
        <w:t xml:space="preserve"> </w:t>
      </w:r>
      <w:r w:rsidRPr="00D4309F">
        <w:t>and</w:t>
      </w:r>
      <w:r w:rsidRPr="00D4309F">
        <w:rPr>
          <w:spacing w:val="-2"/>
        </w:rPr>
        <w:t xml:space="preserve"> </w:t>
      </w:r>
      <w:r w:rsidRPr="00D4309F">
        <w:t>pipeline.</w:t>
      </w:r>
      <w:r w:rsidRPr="00D4309F">
        <w:rPr>
          <w:spacing w:val="-4"/>
        </w:rPr>
        <w:t xml:space="preserve"> </w:t>
      </w:r>
      <w:r w:rsidRPr="00D4309F">
        <w:t>Of</w:t>
      </w:r>
      <w:r w:rsidRPr="00D4309F">
        <w:rPr>
          <w:spacing w:val="-2"/>
        </w:rPr>
        <w:t xml:space="preserve"> </w:t>
      </w:r>
      <w:r w:rsidRPr="00D4309F">
        <w:t>particular</w:t>
      </w:r>
      <w:r w:rsidRPr="00D4309F">
        <w:rPr>
          <w:spacing w:val="-3"/>
        </w:rPr>
        <w:t xml:space="preserve"> </w:t>
      </w:r>
      <w:r w:rsidRPr="00D4309F">
        <w:t>concern</w:t>
      </w:r>
      <w:r w:rsidRPr="00D4309F">
        <w:rPr>
          <w:spacing w:val="-2"/>
        </w:rPr>
        <w:t xml:space="preserve"> </w:t>
      </w:r>
      <w:r w:rsidRPr="00D4309F">
        <w:t>is</w:t>
      </w:r>
      <w:r w:rsidRPr="00D4309F">
        <w:rPr>
          <w:spacing w:val="-1"/>
        </w:rPr>
        <w:t xml:space="preserve"> </w:t>
      </w:r>
      <w:r w:rsidRPr="00D4309F">
        <w:t>the presence of shallow rock substrata, which would complicate excavation and increase the complexity, cost, and feasibility risks of installing the intake structure and pipeline beneath the seabed.</w:t>
      </w:r>
    </w:p>
    <w:p w14:paraId="40FF093E" w14:textId="235BAFC5" w:rsidR="00725977" w:rsidRPr="00D4309F" w:rsidRDefault="00725977" w:rsidP="00725977">
      <w:pPr>
        <w:pStyle w:val="BodyText"/>
      </w:pPr>
      <w:r w:rsidRPr="00D4309F">
        <w:t>While</w:t>
      </w:r>
      <w:r w:rsidRPr="00D4309F">
        <w:rPr>
          <w:spacing w:val="-3"/>
        </w:rPr>
        <w:t xml:space="preserve"> </w:t>
      </w:r>
      <w:r w:rsidRPr="00D4309F">
        <w:t>the</w:t>
      </w:r>
      <w:r w:rsidRPr="00D4309F">
        <w:rPr>
          <w:spacing w:val="-3"/>
        </w:rPr>
        <w:t xml:space="preserve"> </w:t>
      </w:r>
      <w:r w:rsidRPr="00D4309F">
        <w:t>Sand</w:t>
      </w:r>
      <w:r w:rsidRPr="00D4309F">
        <w:rPr>
          <w:spacing w:val="-3"/>
        </w:rPr>
        <w:t xml:space="preserve"> </w:t>
      </w:r>
      <w:r w:rsidRPr="00D4309F">
        <w:t>Shifter</w:t>
      </w:r>
      <w:r w:rsidRPr="00D4309F">
        <w:rPr>
          <w:spacing w:val="-2"/>
        </w:rPr>
        <w:t xml:space="preserve"> </w:t>
      </w:r>
      <w:r w:rsidRPr="00D4309F">
        <w:t>offers</w:t>
      </w:r>
      <w:r w:rsidRPr="00D4309F">
        <w:rPr>
          <w:spacing w:val="-2"/>
        </w:rPr>
        <w:t xml:space="preserve"> </w:t>
      </w:r>
      <w:r w:rsidRPr="00D4309F">
        <w:t>long-term</w:t>
      </w:r>
      <w:r w:rsidRPr="00D4309F">
        <w:rPr>
          <w:spacing w:val="-4"/>
        </w:rPr>
        <w:t xml:space="preserve"> </w:t>
      </w:r>
      <w:r w:rsidRPr="00D4309F">
        <w:t>sediment</w:t>
      </w:r>
      <w:r w:rsidRPr="00D4309F">
        <w:rPr>
          <w:spacing w:val="-3"/>
        </w:rPr>
        <w:t xml:space="preserve"> </w:t>
      </w:r>
      <w:r w:rsidRPr="00D4309F">
        <w:t>management</w:t>
      </w:r>
      <w:r w:rsidRPr="00D4309F">
        <w:rPr>
          <w:spacing w:val="-3"/>
        </w:rPr>
        <w:t xml:space="preserve"> </w:t>
      </w:r>
      <w:r w:rsidRPr="00D4309F">
        <w:t>benefits</w:t>
      </w:r>
      <w:r w:rsidRPr="00D4309F">
        <w:rPr>
          <w:spacing w:val="-2"/>
        </w:rPr>
        <w:t xml:space="preserve"> </w:t>
      </w:r>
      <w:r w:rsidRPr="00D4309F">
        <w:t>and</w:t>
      </w:r>
      <w:r w:rsidRPr="00D4309F">
        <w:rPr>
          <w:spacing w:val="-3"/>
        </w:rPr>
        <w:t xml:space="preserve"> </w:t>
      </w:r>
      <w:r w:rsidRPr="00D4309F">
        <w:t>reduced</w:t>
      </w:r>
      <w:r w:rsidRPr="00D4309F">
        <w:rPr>
          <w:spacing w:val="-3"/>
        </w:rPr>
        <w:t xml:space="preserve"> </w:t>
      </w:r>
      <w:r w:rsidRPr="00D4309F">
        <w:t>reliance</w:t>
      </w:r>
      <w:r w:rsidRPr="00D4309F">
        <w:rPr>
          <w:spacing w:val="-4"/>
        </w:rPr>
        <w:t xml:space="preserve"> </w:t>
      </w:r>
      <w:r w:rsidRPr="00D4309F">
        <w:t>on</w:t>
      </w:r>
      <w:r w:rsidRPr="00D4309F">
        <w:rPr>
          <w:spacing w:val="-3"/>
        </w:rPr>
        <w:t xml:space="preserve"> </w:t>
      </w:r>
      <w:r w:rsidRPr="00D4309F">
        <w:t>mobilisation logistics, its viability is heavily dependent on constructability and geological conditions. The high upfront investment must be weighed against operational savings over time;</w:t>
      </w:r>
      <w:r w:rsidRPr="00D4309F">
        <w:rPr>
          <w:spacing w:val="-1"/>
        </w:rPr>
        <w:t xml:space="preserve"> </w:t>
      </w:r>
      <w:r w:rsidRPr="00D4309F">
        <w:t>and compared against</w:t>
      </w:r>
      <w:r w:rsidRPr="00D4309F">
        <w:rPr>
          <w:spacing w:val="-1"/>
        </w:rPr>
        <w:t xml:space="preserve"> </w:t>
      </w:r>
      <w:r w:rsidRPr="00D4309F">
        <w:t>other alternatives (i.e. Sub option 3A and 3C).</w:t>
      </w:r>
    </w:p>
    <w:p w14:paraId="13125A3B" w14:textId="77777777" w:rsidR="00725977" w:rsidRPr="00D4309F" w:rsidRDefault="00725977" w:rsidP="008228CB">
      <w:pPr>
        <w:pStyle w:val="Heading3"/>
      </w:pPr>
      <w:bookmarkStart w:id="423" w:name="_Toc216699460"/>
      <w:r w:rsidRPr="00D4309F">
        <w:t>Operational</w:t>
      </w:r>
      <w:r w:rsidRPr="00D4309F">
        <w:rPr>
          <w:spacing w:val="-7"/>
        </w:rPr>
        <w:t xml:space="preserve"> </w:t>
      </w:r>
      <w:r w:rsidRPr="00D4309F">
        <w:rPr>
          <w:spacing w:val="-2"/>
        </w:rPr>
        <w:t>works</w:t>
      </w:r>
      <w:bookmarkEnd w:id="423"/>
    </w:p>
    <w:p w14:paraId="421C4095" w14:textId="77777777" w:rsidR="00725977" w:rsidRPr="00D4309F" w:rsidRDefault="00725977" w:rsidP="00725977">
      <w:pPr>
        <w:pStyle w:val="BodyText"/>
      </w:pPr>
      <w:r w:rsidRPr="00D4309F">
        <w:t>Once installed, the Sand Shifter operates continuously or at least regularly (e.g. during high-sediment transport</w:t>
      </w:r>
      <w:r w:rsidRPr="00D4309F">
        <w:rPr>
          <w:spacing w:val="-3"/>
        </w:rPr>
        <w:t xml:space="preserve"> </w:t>
      </w:r>
      <w:r w:rsidRPr="00D4309F">
        <w:t>months)</w:t>
      </w:r>
      <w:r w:rsidRPr="00D4309F">
        <w:rPr>
          <w:spacing w:val="-2"/>
        </w:rPr>
        <w:t xml:space="preserve"> </w:t>
      </w:r>
      <w:r w:rsidRPr="00D4309F">
        <w:t>to</w:t>
      </w:r>
      <w:r w:rsidRPr="00D4309F">
        <w:rPr>
          <w:spacing w:val="-3"/>
        </w:rPr>
        <w:t xml:space="preserve"> </w:t>
      </w:r>
      <w:r w:rsidRPr="00D4309F">
        <w:t>pump</w:t>
      </w:r>
      <w:r w:rsidRPr="00D4309F">
        <w:rPr>
          <w:spacing w:val="-4"/>
        </w:rPr>
        <w:t xml:space="preserve"> </w:t>
      </w:r>
      <w:r w:rsidRPr="00D4309F">
        <w:t>sand.</w:t>
      </w:r>
      <w:r w:rsidRPr="00D4309F">
        <w:rPr>
          <w:spacing w:val="-3"/>
        </w:rPr>
        <w:t xml:space="preserve"> </w:t>
      </w:r>
      <w:r w:rsidRPr="00D4309F">
        <w:t>Operationally,</w:t>
      </w:r>
      <w:r w:rsidRPr="00D4309F">
        <w:rPr>
          <w:spacing w:val="-3"/>
        </w:rPr>
        <w:t xml:space="preserve"> </w:t>
      </w:r>
      <w:r w:rsidRPr="00D4309F">
        <w:t>this</w:t>
      </w:r>
      <w:r w:rsidRPr="00D4309F">
        <w:rPr>
          <w:spacing w:val="-2"/>
        </w:rPr>
        <w:t xml:space="preserve"> </w:t>
      </w:r>
      <w:r w:rsidRPr="00D4309F">
        <w:t>means</w:t>
      </w:r>
      <w:r w:rsidRPr="00D4309F">
        <w:rPr>
          <w:spacing w:val="-2"/>
        </w:rPr>
        <w:t xml:space="preserve"> </w:t>
      </w:r>
      <w:r w:rsidRPr="00D4309F">
        <w:t>running</w:t>
      </w:r>
      <w:r w:rsidRPr="00D4309F">
        <w:rPr>
          <w:spacing w:val="-4"/>
        </w:rPr>
        <w:t xml:space="preserve"> </w:t>
      </w:r>
      <w:r w:rsidRPr="00D4309F">
        <w:t>the</w:t>
      </w:r>
      <w:r w:rsidRPr="00D4309F">
        <w:rPr>
          <w:spacing w:val="-3"/>
        </w:rPr>
        <w:t xml:space="preserve"> </w:t>
      </w:r>
      <w:r w:rsidRPr="00D4309F">
        <w:t>electric</w:t>
      </w:r>
      <w:r w:rsidRPr="00D4309F">
        <w:rPr>
          <w:spacing w:val="-2"/>
        </w:rPr>
        <w:t xml:space="preserve"> </w:t>
      </w:r>
      <w:r w:rsidRPr="00D4309F">
        <w:t>pumps</w:t>
      </w:r>
      <w:r w:rsidRPr="00D4309F">
        <w:rPr>
          <w:spacing w:val="-2"/>
        </w:rPr>
        <w:t xml:space="preserve"> </w:t>
      </w:r>
      <w:r w:rsidRPr="00D4309F">
        <w:t>that</w:t>
      </w:r>
      <w:r w:rsidRPr="00D4309F">
        <w:rPr>
          <w:spacing w:val="-3"/>
        </w:rPr>
        <w:t xml:space="preserve"> </w:t>
      </w:r>
      <w:r w:rsidRPr="00D4309F">
        <w:t>drive</w:t>
      </w:r>
      <w:r w:rsidRPr="00D4309F">
        <w:rPr>
          <w:spacing w:val="-3"/>
        </w:rPr>
        <w:t xml:space="preserve"> </w:t>
      </w:r>
      <w:r w:rsidRPr="00D4309F">
        <w:t>the</w:t>
      </w:r>
      <w:r w:rsidRPr="00D4309F">
        <w:rPr>
          <w:spacing w:val="-3"/>
        </w:rPr>
        <w:t xml:space="preserve"> </w:t>
      </w:r>
      <w:r w:rsidRPr="00D4309F">
        <w:t>eductor and booster, monitoring the pipeline pressure and slurry flow, and managing the discharge on the beach.</w:t>
      </w:r>
    </w:p>
    <w:p w14:paraId="50E661FB" w14:textId="77777777" w:rsidR="00725977" w:rsidRPr="00D4309F" w:rsidRDefault="00725977" w:rsidP="00725977">
      <w:pPr>
        <w:pStyle w:val="BodyText"/>
      </w:pPr>
      <w:r w:rsidRPr="00D4309F">
        <w:t>According</w:t>
      </w:r>
      <w:r w:rsidRPr="00D4309F">
        <w:rPr>
          <w:spacing w:val="-3"/>
        </w:rPr>
        <w:t xml:space="preserve"> </w:t>
      </w:r>
      <w:r w:rsidRPr="00D4309F">
        <w:t>to</w:t>
      </w:r>
      <w:r w:rsidRPr="00D4309F">
        <w:rPr>
          <w:spacing w:val="-3"/>
        </w:rPr>
        <w:t xml:space="preserve"> </w:t>
      </w:r>
      <w:r w:rsidRPr="00D4309F">
        <w:t>Slurry</w:t>
      </w:r>
      <w:r w:rsidRPr="00D4309F">
        <w:rPr>
          <w:spacing w:val="-2"/>
        </w:rPr>
        <w:t xml:space="preserve"> </w:t>
      </w:r>
      <w:r w:rsidRPr="00D4309F">
        <w:t>Systems</w:t>
      </w:r>
      <w:r w:rsidRPr="00D4309F">
        <w:rPr>
          <w:spacing w:val="-2"/>
        </w:rPr>
        <w:t xml:space="preserve"> </w:t>
      </w:r>
      <w:r w:rsidRPr="00D4309F">
        <w:t>Marine’s</w:t>
      </w:r>
      <w:r w:rsidRPr="00D4309F">
        <w:rPr>
          <w:spacing w:val="-2"/>
        </w:rPr>
        <w:t xml:space="preserve"> </w:t>
      </w:r>
      <w:r w:rsidRPr="00D4309F">
        <w:t>input,</w:t>
      </w:r>
      <w:r w:rsidRPr="00D4309F">
        <w:rPr>
          <w:spacing w:val="-3"/>
        </w:rPr>
        <w:t xml:space="preserve"> </w:t>
      </w:r>
      <w:r w:rsidRPr="00D4309F">
        <w:t>a</w:t>
      </w:r>
      <w:r w:rsidRPr="00D4309F">
        <w:rPr>
          <w:spacing w:val="-3"/>
        </w:rPr>
        <w:t xml:space="preserve"> </w:t>
      </w:r>
      <w:r w:rsidRPr="00D4309F">
        <w:t>Mooloolah</w:t>
      </w:r>
      <w:r w:rsidRPr="00D4309F">
        <w:rPr>
          <w:spacing w:val="-3"/>
        </w:rPr>
        <w:t xml:space="preserve"> </w:t>
      </w:r>
      <w:r w:rsidRPr="00D4309F">
        <w:t>Sand</w:t>
      </w:r>
      <w:r w:rsidRPr="00D4309F">
        <w:rPr>
          <w:spacing w:val="-3"/>
        </w:rPr>
        <w:t xml:space="preserve"> </w:t>
      </w:r>
      <w:r w:rsidRPr="00D4309F">
        <w:t>Shifter</w:t>
      </w:r>
      <w:r w:rsidRPr="00D4309F">
        <w:rPr>
          <w:spacing w:val="-2"/>
        </w:rPr>
        <w:t xml:space="preserve"> </w:t>
      </w:r>
      <w:r w:rsidRPr="00D4309F">
        <w:t>was</w:t>
      </w:r>
      <w:r w:rsidRPr="00D4309F">
        <w:rPr>
          <w:spacing w:val="-2"/>
        </w:rPr>
        <w:t xml:space="preserve"> </w:t>
      </w:r>
      <w:r w:rsidRPr="00D4309F">
        <w:t>assumed</w:t>
      </w:r>
      <w:r w:rsidRPr="00D4309F">
        <w:rPr>
          <w:spacing w:val="-3"/>
        </w:rPr>
        <w:t xml:space="preserve"> </w:t>
      </w:r>
      <w:r w:rsidRPr="00D4309F">
        <w:t>to</w:t>
      </w:r>
      <w:r w:rsidRPr="00D4309F">
        <w:rPr>
          <w:spacing w:val="-3"/>
        </w:rPr>
        <w:t xml:space="preserve"> </w:t>
      </w:r>
      <w:r w:rsidRPr="00D4309F">
        <w:t>have</w:t>
      </w:r>
      <w:r w:rsidRPr="00D4309F">
        <w:rPr>
          <w:spacing w:val="-3"/>
        </w:rPr>
        <w:t xml:space="preserve"> </w:t>
      </w:r>
      <w:r w:rsidRPr="00D4309F">
        <w:t>a</w:t>
      </w:r>
      <w:r w:rsidRPr="00D4309F">
        <w:rPr>
          <w:spacing w:val="-3"/>
        </w:rPr>
        <w:t xml:space="preserve"> </w:t>
      </w:r>
      <w:r w:rsidRPr="00D4309F">
        <w:t>capacity similar to Noosa’s system, on the order of tens of thousands of cubic metres per year.</w:t>
      </w:r>
    </w:p>
    <w:p w14:paraId="3149A975" w14:textId="77777777" w:rsidR="00725977" w:rsidRPr="00D4309F" w:rsidRDefault="00725977" w:rsidP="00725977">
      <w:pPr>
        <w:pStyle w:val="BodyText"/>
      </w:pPr>
      <w:r w:rsidRPr="00D4309F">
        <w:t>The</w:t>
      </w:r>
      <w:r w:rsidRPr="00D4309F">
        <w:rPr>
          <w:spacing w:val="-3"/>
        </w:rPr>
        <w:t xml:space="preserve"> </w:t>
      </w:r>
      <w:r w:rsidRPr="00D4309F">
        <w:t>system</w:t>
      </w:r>
      <w:r w:rsidRPr="00D4309F">
        <w:rPr>
          <w:spacing w:val="-3"/>
        </w:rPr>
        <w:t xml:space="preserve"> </w:t>
      </w:r>
      <w:r w:rsidRPr="00D4309F">
        <w:t>would</w:t>
      </w:r>
      <w:r w:rsidRPr="00D4309F">
        <w:rPr>
          <w:spacing w:val="-3"/>
        </w:rPr>
        <w:t xml:space="preserve"> </w:t>
      </w:r>
      <w:r w:rsidRPr="00D4309F">
        <w:t>need</w:t>
      </w:r>
      <w:r w:rsidRPr="00D4309F">
        <w:rPr>
          <w:spacing w:val="-4"/>
        </w:rPr>
        <w:t xml:space="preserve"> </w:t>
      </w:r>
      <w:r w:rsidRPr="00D4309F">
        <w:t>regular</w:t>
      </w:r>
      <w:r w:rsidRPr="00D4309F">
        <w:rPr>
          <w:spacing w:val="-2"/>
        </w:rPr>
        <w:t xml:space="preserve"> </w:t>
      </w:r>
      <w:r w:rsidRPr="00D4309F">
        <w:t>inspections</w:t>
      </w:r>
      <w:r w:rsidRPr="00D4309F">
        <w:rPr>
          <w:spacing w:val="-2"/>
        </w:rPr>
        <w:t xml:space="preserve"> </w:t>
      </w:r>
      <w:r w:rsidRPr="00D4309F">
        <w:t>(diver</w:t>
      </w:r>
      <w:r w:rsidRPr="00D4309F">
        <w:rPr>
          <w:spacing w:val="-2"/>
        </w:rPr>
        <w:t xml:space="preserve"> </w:t>
      </w:r>
      <w:r w:rsidRPr="00D4309F">
        <w:t>checks</w:t>
      </w:r>
      <w:r w:rsidRPr="00D4309F">
        <w:rPr>
          <w:spacing w:val="-2"/>
        </w:rPr>
        <w:t xml:space="preserve"> </w:t>
      </w:r>
      <w:r w:rsidRPr="00D4309F">
        <w:t>of</w:t>
      </w:r>
      <w:r w:rsidRPr="00D4309F">
        <w:rPr>
          <w:spacing w:val="-3"/>
        </w:rPr>
        <w:t xml:space="preserve"> </w:t>
      </w:r>
      <w:r w:rsidRPr="00D4309F">
        <w:t>the</w:t>
      </w:r>
      <w:r w:rsidRPr="00D4309F">
        <w:rPr>
          <w:spacing w:val="-3"/>
        </w:rPr>
        <w:t xml:space="preserve"> </w:t>
      </w:r>
      <w:r w:rsidRPr="00D4309F">
        <w:t>intake,</w:t>
      </w:r>
      <w:r w:rsidRPr="00D4309F">
        <w:rPr>
          <w:spacing w:val="-3"/>
        </w:rPr>
        <w:t xml:space="preserve"> </w:t>
      </w:r>
      <w:r w:rsidRPr="00D4309F">
        <w:t>etc.),</w:t>
      </w:r>
      <w:r w:rsidRPr="00D4309F">
        <w:rPr>
          <w:spacing w:val="-3"/>
        </w:rPr>
        <w:t xml:space="preserve"> </w:t>
      </w:r>
      <w:r w:rsidRPr="00D4309F">
        <w:t>and</w:t>
      </w:r>
      <w:r w:rsidRPr="00D4309F">
        <w:rPr>
          <w:spacing w:val="-3"/>
        </w:rPr>
        <w:t xml:space="preserve"> </w:t>
      </w:r>
      <w:r w:rsidRPr="00D4309F">
        <w:t>maintenance</w:t>
      </w:r>
      <w:r w:rsidRPr="00D4309F">
        <w:rPr>
          <w:spacing w:val="-3"/>
        </w:rPr>
        <w:t xml:space="preserve"> </w:t>
      </w:r>
      <w:r w:rsidRPr="00D4309F">
        <w:t>of</w:t>
      </w:r>
      <w:r w:rsidRPr="00D4309F">
        <w:rPr>
          <w:spacing w:val="-3"/>
        </w:rPr>
        <w:t xml:space="preserve"> </w:t>
      </w:r>
      <w:r w:rsidRPr="00D4309F">
        <w:t>pumps</w:t>
      </w:r>
      <w:r w:rsidRPr="00D4309F">
        <w:rPr>
          <w:spacing w:val="-3"/>
        </w:rPr>
        <w:t xml:space="preserve"> </w:t>
      </w:r>
      <w:r w:rsidRPr="00D4309F">
        <w:t>and pipelines (e.g.</w:t>
      </w:r>
      <w:r w:rsidRPr="00D4309F">
        <w:rPr>
          <w:spacing w:val="-1"/>
        </w:rPr>
        <w:t xml:space="preserve"> </w:t>
      </w:r>
      <w:r w:rsidRPr="00D4309F">
        <w:t>clearing</w:t>
      </w:r>
      <w:r w:rsidRPr="00D4309F">
        <w:rPr>
          <w:spacing w:val="-1"/>
        </w:rPr>
        <w:t xml:space="preserve"> </w:t>
      </w:r>
      <w:r w:rsidRPr="00D4309F">
        <w:t>any</w:t>
      </w:r>
      <w:r w:rsidRPr="00D4309F">
        <w:rPr>
          <w:spacing w:val="-1"/>
        </w:rPr>
        <w:t xml:space="preserve"> </w:t>
      </w:r>
      <w:r w:rsidRPr="00D4309F">
        <w:t>blockages,</w:t>
      </w:r>
      <w:r w:rsidRPr="00D4309F">
        <w:rPr>
          <w:spacing w:val="-1"/>
        </w:rPr>
        <w:t xml:space="preserve"> </w:t>
      </w:r>
      <w:r w:rsidRPr="00D4309F">
        <w:t>servicing</w:t>
      </w:r>
      <w:r w:rsidRPr="00D4309F">
        <w:rPr>
          <w:spacing w:val="-1"/>
        </w:rPr>
        <w:t xml:space="preserve"> </w:t>
      </w:r>
      <w:r w:rsidRPr="00D4309F">
        <w:t>motors).</w:t>
      </w:r>
      <w:r w:rsidRPr="00D4309F">
        <w:rPr>
          <w:spacing w:val="-1"/>
        </w:rPr>
        <w:t xml:space="preserve"> </w:t>
      </w:r>
      <w:r w:rsidRPr="00D4309F">
        <w:t>Notably,</w:t>
      </w:r>
      <w:r w:rsidRPr="00D4309F">
        <w:rPr>
          <w:spacing w:val="-1"/>
        </w:rPr>
        <w:t xml:space="preserve"> </w:t>
      </w:r>
      <w:r w:rsidRPr="00D4309F">
        <w:t>the</w:t>
      </w:r>
      <w:r w:rsidRPr="00D4309F">
        <w:rPr>
          <w:spacing w:val="-1"/>
        </w:rPr>
        <w:t xml:space="preserve"> </w:t>
      </w:r>
      <w:r w:rsidRPr="00D4309F">
        <w:t>Sand</w:t>
      </w:r>
      <w:r w:rsidRPr="00D4309F">
        <w:rPr>
          <w:spacing w:val="-1"/>
        </w:rPr>
        <w:t xml:space="preserve"> </w:t>
      </w:r>
      <w:r w:rsidRPr="00D4309F">
        <w:t>Shifter can</w:t>
      </w:r>
      <w:r w:rsidRPr="00D4309F">
        <w:rPr>
          <w:spacing w:val="-1"/>
        </w:rPr>
        <w:t xml:space="preserve"> </w:t>
      </w:r>
      <w:r w:rsidRPr="00D4309F">
        <w:t>be</w:t>
      </w:r>
      <w:r w:rsidRPr="00D4309F">
        <w:rPr>
          <w:spacing w:val="-1"/>
        </w:rPr>
        <w:t xml:space="preserve"> </w:t>
      </w:r>
      <w:r w:rsidRPr="00D4309F">
        <w:t>largely automated but requires contingency plans for downtime.</w:t>
      </w:r>
    </w:p>
    <w:p w14:paraId="71F6CE15" w14:textId="77777777" w:rsidR="00725977" w:rsidRPr="00D4309F" w:rsidRDefault="00725977" w:rsidP="00725977">
      <w:pPr>
        <w:pStyle w:val="BodyText"/>
      </w:pPr>
      <w:r w:rsidRPr="00D4309F">
        <w:t>Operational</w:t>
      </w:r>
      <w:r w:rsidRPr="00D4309F">
        <w:rPr>
          <w:spacing w:val="-5"/>
        </w:rPr>
        <w:t xml:space="preserve"> </w:t>
      </w:r>
      <w:r w:rsidRPr="00D4309F">
        <w:t>works</w:t>
      </w:r>
      <w:r w:rsidRPr="00D4309F">
        <w:rPr>
          <w:spacing w:val="-3"/>
        </w:rPr>
        <w:t xml:space="preserve"> </w:t>
      </w:r>
      <w:r w:rsidRPr="00D4309F">
        <w:t>for</w:t>
      </w:r>
      <w:r w:rsidRPr="00D4309F">
        <w:rPr>
          <w:spacing w:val="-3"/>
        </w:rPr>
        <w:t xml:space="preserve"> </w:t>
      </w:r>
      <w:r w:rsidRPr="00D4309F">
        <w:t>3B</w:t>
      </w:r>
      <w:r w:rsidRPr="00D4309F">
        <w:rPr>
          <w:spacing w:val="-4"/>
        </w:rPr>
        <w:t xml:space="preserve"> </w:t>
      </w:r>
      <w:r w:rsidRPr="00D4309F">
        <w:t>involve</w:t>
      </w:r>
      <w:r w:rsidRPr="00D4309F">
        <w:rPr>
          <w:spacing w:val="-5"/>
        </w:rPr>
        <w:t xml:space="preserve"> </w:t>
      </w:r>
      <w:r w:rsidRPr="00D4309F">
        <w:t>continuous</w:t>
      </w:r>
      <w:r w:rsidRPr="00D4309F">
        <w:rPr>
          <w:spacing w:val="-3"/>
        </w:rPr>
        <w:t xml:space="preserve"> </w:t>
      </w:r>
      <w:r w:rsidRPr="00D4309F">
        <w:t>management</w:t>
      </w:r>
      <w:r w:rsidRPr="00D4309F">
        <w:rPr>
          <w:spacing w:val="-4"/>
        </w:rPr>
        <w:t xml:space="preserve"> </w:t>
      </w:r>
      <w:r w:rsidRPr="00D4309F">
        <w:t>operational</w:t>
      </w:r>
      <w:r w:rsidRPr="00D4309F">
        <w:rPr>
          <w:spacing w:val="-4"/>
        </w:rPr>
        <w:t xml:space="preserve"> </w:t>
      </w:r>
      <w:r w:rsidRPr="00D4309F">
        <w:t>program,</w:t>
      </w:r>
      <w:r w:rsidRPr="00D4309F">
        <w:rPr>
          <w:spacing w:val="-4"/>
        </w:rPr>
        <w:t xml:space="preserve"> </w:t>
      </w:r>
      <w:r w:rsidRPr="00D4309F">
        <w:t>rather</w:t>
      </w:r>
      <w:r w:rsidRPr="00D4309F">
        <w:rPr>
          <w:spacing w:val="-3"/>
        </w:rPr>
        <w:t xml:space="preserve"> </w:t>
      </w:r>
      <w:r w:rsidRPr="00D4309F">
        <w:t>than</w:t>
      </w:r>
      <w:r w:rsidRPr="00D4309F">
        <w:rPr>
          <w:spacing w:val="-4"/>
        </w:rPr>
        <w:t xml:space="preserve"> </w:t>
      </w:r>
      <w:r w:rsidRPr="00D4309F">
        <w:t xml:space="preserve">individual </w:t>
      </w:r>
      <w:r w:rsidRPr="00D4309F">
        <w:rPr>
          <w:spacing w:val="-2"/>
        </w:rPr>
        <w:t>campaigns.</w:t>
      </w:r>
    </w:p>
    <w:p w14:paraId="244D0101" w14:textId="77777777" w:rsidR="00725977" w:rsidRPr="00D4309F" w:rsidRDefault="00725977" w:rsidP="00725977">
      <w:pPr>
        <w:pStyle w:val="BodyText"/>
        <w:sectPr w:rsidR="00725977" w:rsidRPr="00D4309F" w:rsidSect="00405D4F">
          <w:headerReference w:type="default" r:id="rId125"/>
          <w:footerReference w:type="default" r:id="rId126"/>
          <w:pgSz w:w="11910" w:h="16840"/>
          <w:pgMar w:top="1418" w:right="1134" w:bottom="1418" w:left="1134" w:header="916" w:footer="980" w:gutter="0"/>
          <w:cols w:space="720"/>
        </w:sectPr>
      </w:pPr>
    </w:p>
    <w:p w14:paraId="208D2CC1" w14:textId="77777777" w:rsidR="00725977" w:rsidRPr="00D4309F" w:rsidRDefault="00725977" w:rsidP="008228CB">
      <w:pPr>
        <w:pStyle w:val="Heading3"/>
      </w:pPr>
      <w:bookmarkStart w:id="424" w:name="_Toc216699461"/>
      <w:r w:rsidRPr="00D4309F">
        <w:lastRenderedPageBreak/>
        <w:t>Environmental</w:t>
      </w:r>
      <w:r w:rsidRPr="00D4309F">
        <w:rPr>
          <w:spacing w:val="-9"/>
        </w:rPr>
        <w:t xml:space="preserve"> </w:t>
      </w:r>
      <w:r w:rsidRPr="00D4309F">
        <w:rPr>
          <w:spacing w:val="-2"/>
        </w:rPr>
        <w:t>constraints</w:t>
      </w:r>
      <w:bookmarkEnd w:id="424"/>
    </w:p>
    <w:p w14:paraId="62FAA720" w14:textId="00075B20" w:rsidR="00725977" w:rsidRPr="00D4309F" w:rsidRDefault="00725977" w:rsidP="00725977">
      <w:pPr>
        <w:pStyle w:val="BodyText"/>
      </w:pPr>
      <w:r w:rsidRPr="00D4309F">
        <w:t>A</w:t>
      </w:r>
      <w:r w:rsidRPr="00D4309F">
        <w:rPr>
          <w:spacing w:val="-2"/>
        </w:rPr>
        <w:t xml:space="preserve"> </w:t>
      </w:r>
      <w:r w:rsidRPr="00D4309F">
        <w:t>preliminary</w:t>
      </w:r>
      <w:r w:rsidRPr="00D4309F">
        <w:rPr>
          <w:spacing w:val="-1"/>
        </w:rPr>
        <w:t xml:space="preserve"> </w:t>
      </w:r>
      <w:r w:rsidRPr="00D4309F">
        <w:t>assessment</w:t>
      </w:r>
      <w:r w:rsidRPr="00D4309F">
        <w:rPr>
          <w:spacing w:val="-2"/>
        </w:rPr>
        <w:t xml:space="preserve"> </w:t>
      </w:r>
      <w:r w:rsidRPr="00D4309F">
        <w:t>of</w:t>
      </w:r>
      <w:r w:rsidRPr="00D4309F">
        <w:rPr>
          <w:spacing w:val="-2"/>
        </w:rPr>
        <w:t xml:space="preserve"> </w:t>
      </w:r>
      <w:r w:rsidRPr="00D4309F">
        <w:t>environmental</w:t>
      </w:r>
      <w:r w:rsidRPr="00D4309F">
        <w:rPr>
          <w:spacing w:val="-2"/>
        </w:rPr>
        <w:t xml:space="preserve"> </w:t>
      </w:r>
      <w:r w:rsidRPr="00D4309F">
        <w:t>constraints</w:t>
      </w:r>
      <w:r w:rsidRPr="00D4309F">
        <w:rPr>
          <w:spacing w:val="-1"/>
        </w:rPr>
        <w:t xml:space="preserve"> </w:t>
      </w:r>
      <w:r w:rsidRPr="00D4309F">
        <w:t>for</w:t>
      </w:r>
      <w:r w:rsidRPr="00D4309F">
        <w:rPr>
          <w:spacing w:val="-2"/>
        </w:rPr>
        <w:t xml:space="preserve"> </w:t>
      </w:r>
      <w:r w:rsidRPr="00D4309F">
        <w:t>breakwater</w:t>
      </w:r>
      <w:r w:rsidRPr="00D4309F">
        <w:rPr>
          <w:spacing w:val="-2"/>
        </w:rPr>
        <w:t xml:space="preserve"> </w:t>
      </w:r>
      <w:r w:rsidRPr="00D4309F">
        <w:t>extension</w:t>
      </w:r>
      <w:r w:rsidRPr="00D4309F">
        <w:rPr>
          <w:spacing w:val="-2"/>
        </w:rPr>
        <w:t xml:space="preserve"> </w:t>
      </w:r>
      <w:r w:rsidRPr="00D4309F">
        <w:t>with</w:t>
      </w:r>
      <w:r w:rsidRPr="00D4309F">
        <w:rPr>
          <w:spacing w:val="-2"/>
        </w:rPr>
        <w:t xml:space="preserve"> </w:t>
      </w:r>
      <w:r w:rsidRPr="00D4309F">
        <w:t>sand</w:t>
      </w:r>
      <w:r w:rsidRPr="00D4309F">
        <w:rPr>
          <w:spacing w:val="-2"/>
        </w:rPr>
        <w:t xml:space="preserve"> </w:t>
      </w:r>
      <w:r w:rsidRPr="00D4309F">
        <w:t>shifter</w:t>
      </w:r>
      <w:r w:rsidRPr="00D4309F">
        <w:rPr>
          <w:spacing w:val="-1"/>
        </w:rPr>
        <w:t xml:space="preserve"> </w:t>
      </w:r>
      <w:r w:rsidRPr="00D4309F">
        <w:t>bypass</w:t>
      </w:r>
      <w:r w:rsidRPr="00D4309F">
        <w:rPr>
          <w:spacing w:val="-2"/>
        </w:rPr>
        <w:t xml:space="preserve"> </w:t>
      </w:r>
      <w:r w:rsidRPr="00D4309F">
        <w:t>system</w:t>
      </w:r>
      <w:r w:rsidRPr="00D4309F">
        <w:rPr>
          <w:spacing w:val="-2"/>
        </w:rPr>
        <w:t xml:space="preserve"> </w:t>
      </w:r>
      <w:r w:rsidRPr="00D4309F">
        <w:t>(Option</w:t>
      </w:r>
      <w:r w:rsidRPr="00D4309F">
        <w:rPr>
          <w:spacing w:val="-2"/>
        </w:rPr>
        <w:t xml:space="preserve"> </w:t>
      </w:r>
      <w:r w:rsidRPr="00D4309F">
        <w:t>3B),</w:t>
      </w:r>
      <w:r w:rsidRPr="00D4309F">
        <w:rPr>
          <w:spacing w:val="-2"/>
        </w:rPr>
        <w:t xml:space="preserve"> </w:t>
      </w:r>
      <w:r w:rsidRPr="00D4309F">
        <w:t>based</w:t>
      </w:r>
      <w:r w:rsidRPr="00D4309F">
        <w:rPr>
          <w:spacing w:val="-2"/>
        </w:rPr>
        <w:t xml:space="preserve"> </w:t>
      </w:r>
      <w:r w:rsidRPr="00D4309F">
        <w:t>on</w:t>
      </w:r>
      <w:r w:rsidRPr="00D4309F">
        <w:rPr>
          <w:spacing w:val="-2"/>
        </w:rPr>
        <w:t xml:space="preserve"> </w:t>
      </w:r>
      <w:r w:rsidRPr="00D4309F">
        <w:t>the</w:t>
      </w:r>
      <w:r w:rsidRPr="00D4309F">
        <w:rPr>
          <w:spacing w:val="-2"/>
        </w:rPr>
        <w:t xml:space="preserve"> </w:t>
      </w:r>
      <w:r w:rsidRPr="00D4309F">
        <w:t>constraints</w:t>
      </w:r>
      <w:r w:rsidRPr="00D4309F">
        <w:rPr>
          <w:spacing w:val="-1"/>
        </w:rPr>
        <w:t xml:space="preserve"> </w:t>
      </w:r>
      <w:r w:rsidRPr="00D4309F">
        <w:t xml:space="preserve">analysis criteria in </w:t>
      </w:r>
      <w:hyperlink w:anchor="_bookmark157" w:history="1">
        <w:r w:rsidR="00D4229D">
          <w:fldChar w:fldCharType="begin" w:fldLock="1"/>
        </w:r>
        <w:r w:rsidR="00D4229D">
          <w:instrText xml:space="preserve"> REF _Ref215979959 \h </w:instrText>
        </w:r>
        <w:r w:rsidR="00D4229D">
          <w:fldChar w:fldCharType="separate"/>
        </w:r>
        <w:r w:rsidR="00D4229D">
          <w:t xml:space="preserve">Table </w:t>
        </w:r>
        <w:r w:rsidR="00D4229D">
          <w:rPr>
            <w:noProof/>
          </w:rPr>
          <w:t>15</w:t>
        </w:r>
        <w:r w:rsidR="00D4229D">
          <w:noBreakHyphen/>
        </w:r>
        <w:r w:rsidR="00D4229D">
          <w:rPr>
            <w:noProof/>
          </w:rPr>
          <w:t>3</w:t>
        </w:r>
        <w:r w:rsidR="00D4229D">
          <w:fldChar w:fldCharType="end"/>
        </w:r>
        <w:r w:rsidRPr="00D4309F">
          <w:t>,</w:t>
        </w:r>
      </w:hyperlink>
      <w:r w:rsidRPr="00D4309F">
        <w:t xml:space="preserve"> detailed in </w:t>
      </w:r>
      <w:hyperlink w:anchor="_bookmark158" w:history="1">
        <w:r w:rsidR="00D4229D">
          <w:fldChar w:fldCharType="begin" w:fldLock="1"/>
        </w:r>
        <w:r w:rsidR="00D4229D">
          <w:instrText xml:space="preserve"> REF _Ref215979969 \h </w:instrText>
        </w:r>
        <w:r w:rsidR="00D4229D">
          <w:fldChar w:fldCharType="separate"/>
        </w:r>
        <w:r w:rsidR="00D4229D">
          <w:t xml:space="preserve">Table </w:t>
        </w:r>
        <w:r w:rsidR="00D4229D">
          <w:rPr>
            <w:noProof/>
          </w:rPr>
          <w:t>15</w:t>
        </w:r>
        <w:r w:rsidR="00D4229D">
          <w:noBreakHyphen/>
        </w:r>
        <w:r w:rsidR="00D4229D">
          <w:rPr>
            <w:noProof/>
          </w:rPr>
          <w:t>4</w:t>
        </w:r>
        <w:r w:rsidR="00D4229D">
          <w:fldChar w:fldCharType="end"/>
        </w:r>
        <w:r w:rsidRPr="00D4309F">
          <w:t>.</w:t>
        </w:r>
      </w:hyperlink>
    </w:p>
    <w:p w14:paraId="707BE498" w14:textId="048EA5FA" w:rsidR="00725977" w:rsidRPr="00D4309F" w:rsidRDefault="00D4229D" w:rsidP="007774EC">
      <w:pPr>
        <w:pStyle w:val="Table-Caption"/>
      </w:pPr>
      <w:bookmarkStart w:id="425" w:name="_bookmark157"/>
      <w:bookmarkStart w:id="426" w:name="_Ref215979959"/>
      <w:bookmarkStart w:id="427" w:name="_Toc216699571"/>
      <w:bookmarkEnd w:id="425"/>
      <w:r>
        <w:t xml:space="preserve">Table </w:t>
      </w:r>
      <w:r w:rsidR="00151534">
        <w:fldChar w:fldCharType="begin" w:fldLock="1"/>
      </w:r>
      <w:r w:rsidR="00151534">
        <w:instrText xml:space="preserve"> STYLEREF 1 \s </w:instrText>
      </w:r>
      <w:r w:rsidR="00151534">
        <w:fldChar w:fldCharType="separate"/>
      </w:r>
      <w:r w:rsidR="00151534">
        <w:rPr>
          <w:noProof/>
        </w:rPr>
        <w:t>15</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3</w:t>
      </w:r>
      <w:r w:rsidR="00151534">
        <w:fldChar w:fldCharType="end"/>
      </w:r>
      <w:bookmarkEnd w:id="426"/>
      <w:r>
        <w:t>:</w:t>
      </w:r>
      <w:r>
        <w:tab/>
      </w:r>
      <w:r w:rsidRPr="00D4309F">
        <w:rPr>
          <w:color w:val="211E1F"/>
        </w:rPr>
        <w:t>Constraints</w:t>
      </w:r>
      <w:r w:rsidRPr="00D4309F">
        <w:rPr>
          <w:color w:val="211E1F"/>
          <w:spacing w:val="-3"/>
        </w:rPr>
        <w:t xml:space="preserve"> </w:t>
      </w:r>
      <w:r w:rsidRPr="00D4309F">
        <w:rPr>
          <w:color w:val="211E1F"/>
        </w:rPr>
        <w:t>analysis</w:t>
      </w:r>
      <w:r w:rsidRPr="00D4309F">
        <w:rPr>
          <w:color w:val="211E1F"/>
          <w:spacing w:val="-2"/>
        </w:rPr>
        <w:t xml:space="preserve"> criteria</w:t>
      </w:r>
      <w:bookmarkEnd w:id="427"/>
    </w:p>
    <w:tbl>
      <w:tblPr>
        <w:tblW w:w="5000" w:type="pct"/>
        <w:tblCellMar>
          <w:left w:w="0" w:type="dxa"/>
          <w:right w:w="0" w:type="dxa"/>
        </w:tblCellMar>
        <w:tblLook w:val="01E0" w:firstRow="1" w:lastRow="1" w:firstColumn="1" w:lastColumn="1" w:noHBand="0" w:noVBand="0"/>
      </w:tblPr>
      <w:tblGrid>
        <w:gridCol w:w="2267"/>
        <w:gridCol w:w="12305"/>
      </w:tblGrid>
      <w:tr w:rsidR="00725977" w:rsidRPr="00D4309F" w14:paraId="2ECCE322" w14:textId="77777777" w:rsidTr="009903F7">
        <w:trPr>
          <w:trHeight w:val="299"/>
        </w:trPr>
        <w:tc>
          <w:tcPr>
            <w:tcW w:w="778" w:type="pct"/>
            <w:tcBorders>
              <w:bottom w:val="single" w:sz="4" w:space="0" w:color="000000"/>
            </w:tcBorders>
            <w:shd w:val="clear" w:color="auto" w:fill="D6D7D5"/>
          </w:tcPr>
          <w:p w14:paraId="5BFD7CC6" w14:textId="77777777" w:rsidR="00725977" w:rsidRPr="00D4309F" w:rsidRDefault="00725977">
            <w:pPr>
              <w:pStyle w:val="TableParagraph"/>
              <w:spacing w:before="40"/>
              <w:ind w:left="165"/>
              <w:rPr>
                <w:b/>
                <w:sz w:val="18"/>
              </w:rPr>
            </w:pPr>
            <w:r w:rsidRPr="00D4309F">
              <w:rPr>
                <w:b/>
                <w:color w:val="70004A"/>
                <w:sz w:val="18"/>
              </w:rPr>
              <w:t>Constraint</w:t>
            </w:r>
            <w:r w:rsidRPr="00D4309F">
              <w:rPr>
                <w:b/>
                <w:color w:val="70004A"/>
                <w:spacing w:val="-4"/>
                <w:sz w:val="18"/>
              </w:rPr>
              <w:t xml:space="preserve"> </w:t>
            </w:r>
            <w:r w:rsidRPr="00D4309F">
              <w:rPr>
                <w:b/>
                <w:color w:val="70004A"/>
                <w:spacing w:val="-2"/>
                <w:sz w:val="18"/>
              </w:rPr>
              <w:t>level</w:t>
            </w:r>
          </w:p>
        </w:tc>
        <w:tc>
          <w:tcPr>
            <w:tcW w:w="4222" w:type="pct"/>
            <w:tcBorders>
              <w:bottom w:val="single" w:sz="4" w:space="0" w:color="000000"/>
            </w:tcBorders>
            <w:shd w:val="clear" w:color="auto" w:fill="D6D7D5"/>
          </w:tcPr>
          <w:p w14:paraId="26A8A4F4" w14:textId="77777777" w:rsidR="00725977" w:rsidRPr="00D4309F" w:rsidRDefault="00725977">
            <w:pPr>
              <w:pStyle w:val="TableParagraph"/>
              <w:spacing w:before="40"/>
              <w:ind w:left="165"/>
              <w:rPr>
                <w:b/>
                <w:sz w:val="18"/>
              </w:rPr>
            </w:pPr>
            <w:r w:rsidRPr="00D4309F">
              <w:rPr>
                <w:b/>
                <w:color w:val="70004A"/>
                <w:spacing w:val="-2"/>
                <w:sz w:val="18"/>
              </w:rPr>
              <w:t>Description</w:t>
            </w:r>
          </w:p>
        </w:tc>
      </w:tr>
      <w:tr w:rsidR="00725977" w:rsidRPr="00D4309F" w14:paraId="3690F1FE" w14:textId="77777777" w:rsidTr="009903F7">
        <w:trPr>
          <w:trHeight w:val="287"/>
        </w:trPr>
        <w:tc>
          <w:tcPr>
            <w:tcW w:w="778" w:type="pct"/>
            <w:tcBorders>
              <w:top w:val="single" w:sz="4" w:space="0" w:color="000000"/>
              <w:bottom w:val="single" w:sz="4" w:space="0" w:color="000000"/>
            </w:tcBorders>
            <w:shd w:val="clear" w:color="auto" w:fill="BDB7B3"/>
          </w:tcPr>
          <w:p w14:paraId="05325590" w14:textId="77777777" w:rsidR="00725977" w:rsidRPr="00D4309F" w:rsidRDefault="00725977">
            <w:pPr>
              <w:pStyle w:val="TableParagraph"/>
              <w:spacing w:before="41"/>
              <w:ind w:left="165"/>
              <w:rPr>
                <w:b/>
                <w:sz w:val="18"/>
              </w:rPr>
            </w:pPr>
            <w:r w:rsidRPr="00D4309F">
              <w:rPr>
                <w:b/>
                <w:color w:val="211E1F"/>
                <w:sz w:val="18"/>
              </w:rPr>
              <w:t>No</w:t>
            </w:r>
            <w:r w:rsidRPr="00D4309F">
              <w:rPr>
                <w:b/>
                <w:color w:val="211E1F"/>
                <w:spacing w:val="-3"/>
                <w:sz w:val="18"/>
              </w:rPr>
              <w:t xml:space="preserve"> </w:t>
            </w:r>
            <w:r w:rsidRPr="00D4309F">
              <w:rPr>
                <w:b/>
                <w:color w:val="211E1F"/>
                <w:spacing w:val="-2"/>
                <w:sz w:val="18"/>
              </w:rPr>
              <w:t>impact</w:t>
            </w:r>
          </w:p>
        </w:tc>
        <w:tc>
          <w:tcPr>
            <w:tcW w:w="4222" w:type="pct"/>
            <w:tcBorders>
              <w:top w:val="single" w:sz="4" w:space="0" w:color="000000"/>
              <w:bottom w:val="single" w:sz="4" w:space="0" w:color="000000"/>
            </w:tcBorders>
          </w:tcPr>
          <w:p w14:paraId="7709305A" w14:textId="77777777" w:rsidR="00725977" w:rsidRPr="00D4309F" w:rsidRDefault="00725977">
            <w:pPr>
              <w:pStyle w:val="TableParagraph"/>
              <w:spacing w:before="41"/>
              <w:ind w:left="165"/>
              <w:rPr>
                <w:sz w:val="18"/>
              </w:rPr>
            </w:pPr>
            <w:r w:rsidRPr="00D4309F">
              <w:rPr>
                <w:color w:val="211E1F"/>
                <w:sz w:val="18"/>
              </w:rPr>
              <w:t>There</w:t>
            </w:r>
            <w:r w:rsidRPr="00D4309F">
              <w:rPr>
                <w:color w:val="211E1F"/>
                <w:spacing w:val="-6"/>
                <w:sz w:val="18"/>
              </w:rPr>
              <w:t xml:space="preserve"> </w:t>
            </w:r>
            <w:r w:rsidRPr="00D4309F">
              <w:rPr>
                <w:color w:val="211E1F"/>
                <w:sz w:val="18"/>
              </w:rPr>
              <w:t>is</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impact</w:t>
            </w:r>
            <w:r w:rsidRPr="00D4309F">
              <w:rPr>
                <w:color w:val="211E1F"/>
                <w:spacing w:val="-2"/>
                <w:sz w:val="18"/>
              </w:rPr>
              <w:t xml:space="preserve"> </w:t>
            </w:r>
            <w:r w:rsidRPr="00D4309F">
              <w:rPr>
                <w:color w:val="211E1F"/>
                <w:sz w:val="18"/>
              </w:rPr>
              <w:t>pathway</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1"/>
                <w:sz w:val="18"/>
              </w:rPr>
              <w:t xml:space="preserve"> </w:t>
            </w:r>
            <w:r w:rsidRPr="00D4309F">
              <w:rPr>
                <w:color w:val="211E1F"/>
                <w:sz w:val="18"/>
              </w:rPr>
              <w:t>receptor.</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required.</w:t>
            </w:r>
          </w:p>
        </w:tc>
      </w:tr>
      <w:tr w:rsidR="00725977" w:rsidRPr="00D4309F" w14:paraId="783343EB" w14:textId="77777777" w:rsidTr="009903F7">
        <w:trPr>
          <w:trHeight w:val="286"/>
        </w:trPr>
        <w:tc>
          <w:tcPr>
            <w:tcW w:w="778" w:type="pct"/>
            <w:tcBorders>
              <w:top w:val="single" w:sz="4" w:space="0" w:color="000000"/>
              <w:bottom w:val="single" w:sz="4" w:space="0" w:color="000000"/>
            </w:tcBorders>
            <w:shd w:val="clear" w:color="auto" w:fill="92D050"/>
          </w:tcPr>
          <w:p w14:paraId="71A07C81" w14:textId="77777777" w:rsidR="00725977" w:rsidRPr="00D4309F" w:rsidRDefault="00725977">
            <w:pPr>
              <w:pStyle w:val="TableParagraph"/>
              <w:spacing w:before="39"/>
              <w:ind w:left="165"/>
              <w:rPr>
                <w:b/>
                <w:sz w:val="18"/>
              </w:rPr>
            </w:pPr>
            <w:r w:rsidRPr="00D4309F">
              <w:rPr>
                <w:b/>
                <w:color w:val="211E1F"/>
                <w:spacing w:val="-5"/>
                <w:sz w:val="18"/>
              </w:rPr>
              <w:t>Low</w:t>
            </w:r>
          </w:p>
        </w:tc>
        <w:tc>
          <w:tcPr>
            <w:tcW w:w="4222" w:type="pct"/>
            <w:tcBorders>
              <w:top w:val="single" w:sz="4" w:space="0" w:color="000000"/>
              <w:bottom w:val="single" w:sz="4" w:space="0" w:color="000000"/>
            </w:tcBorders>
          </w:tcPr>
          <w:p w14:paraId="34D55BE6" w14:textId="77777777" w:rsidR="00725977" w:rsidRPr="00D4309F" w:rsidRDefault="00725977">
            <w:pPr>
              <w:pStyle w:val="TableParagraph"/>
              <w:spacing w:before="39"/>
              <w:ind w:left="165"/>
              <w:rPr>
                <w:sz w:val="18"/>
              </w:rPr>
            </w:pPr>
            <w:r w:rsidRPr="00D4309F">
              <w:rPr>
                <w:color w:val="211E1F"/>
                <w:sz w:val="18"/>
              </w:rPr>
              <w:t>There</w:t>
            </w:r>
            <w:r w:rsidRPr="00D4309F">
              <w:rPr>
                <w:color w:val="211E1F"/>
                <w:spacing w:val="-6"/>
                <w:sz w:val="18"/>
              </w:rPr>
              <w:t xml:space="preserve"> </w:t>
            </w:r>
            <w:r w:rsidRPr="00D4309F">
              <w:rPr>
                <w:color w:val="211E1F"/>
                <w:sz w:val="18"/>
              </w:rPr>
              <w:t>is</w:t>
            </w:r>
            <w:r w:rsidRPr="00D4309F">
              <w:rPr>
                <w:color w:val="211E1F"/>
                <w:spacing w:val="-2"/>
                <w:sz w:val="18"/>
              </w:rPr>
              <w:t xml:space="preserve"> </w:t>
            </w:r>
            <w:r w:rsidRPr="00D4309F">
              <w:rPr>
                <w:color w:val="211E1F"/>
                <w:sz w:val="18"/>
              </w:rPr>
              <w:t>low</w:t>
            </w:r>
            <w:r w:rsidRPr="00D4309F">
              <w:rPr>
                <w:color w:val="211E1F"/>
                <w:spacing w:val="-2"/>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3"/>
                <w:sz w:val="18"/>
              </w:rPr>
              <w:t xml:space="preserve"> </w:t>
            </w:r>
            <w:r w:rsidRPr="00D4309F">
              <w:rPr>
                <w:color w:val="211E1F"/>
                <w:sz w:val="18"/>
              </w:rPr>
              <w:t>No</w:t>
            </w:r>
            <w:r w:rsidRPr="00D4309F">
              <w:rPr>
                <w:color w:val="211E1F"/>
                <w:spacing w:val="-3"/>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required.</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or</w:t>
            </w:r>
            <w:r w:rsidRPr="00D4309F">
              <w:rPr>
                <w:color w:val="211E1F"/>
                <w:spacing w:val="-2"/>
                <w:sz w:val="18"/>
              </w:rPr>
              <w:t xml:space="preserve"> </w:t>
            </w:r>
            <w:r w:rsidRPr="00D4309F">
              <w:rPr>
                <w:color w:val="211E1F"/>
                <w:sz w:val="18"/>
              </w:rPr>
              <w:t>standard</w:t>
            </w:r>
            <w:r w:rsidRPr="00D4309F">
              <w:rPr>
                <w:color w:val="211E1F"/>
                <w:spacing w:val="-3"/>
                <w:sz w:val="18"/>
              </w:rPr>
              <w:t xml:space="preserve"> </w:t>
            </w:r>
            <w:r w:rsidRPr="00D4309F">
              <w:rPr>
                <w:color w:val="211E1F"/>
                <w:sz w:val="18"/>
              </w:rPr>
              <w:t>management</w:t>
            </w:r>
            <w:r w:rsidRPr="00D4309F">
              <w:rPr>
                <w:color w:val="211E1F"/>
                <w:spacing w:val="-2"/>
                <w:sz w:val="18"/>
              </w:rPr>
              <w:t xml:space="preserve"> likely.</w:t>
            </w:r>
          </w:p>
        </w:tc>
      </w:tr>
      <w:tr w:rsidR="00725977" w:rsidRPr="00D4309F" w14:paraId="1C7AB844" w14:textId="77777777" w:rsidTr="009903F7">
        <w:trPr>
          <w:trHeight w:val="493"/>
        </w:trPr>
        <w:tc>
          <w:tcPr>
            <w:tcW w:w="778" w:type="pct"/>
            <w:tcBorders>
              <w:top w:val="single" w:sz="4" w:space="0" w:color="000000"/>
              <w:bottom w:val="single" w:sz="4" w:space="0" w:color="000000"/>
            </w:tcBorders>
            <w:shd w:val="clear" w:color="auto" w:fill="FFFF00"/>
          </w:tcPr>
          <w:p w14:paraId="61C18581" w14:textId="77777777" w:rsidR="00725977" w:rsidRPr="00D4309F" w:rsidRDefault="00725977">
            <w:pPr>
              <w:pStyle w:val="TableParagraph"/>
              <w:spacing w:before="144"/>
              <w:ind w:left="165"/>
              <w:rPr>
                <w:b/>
                <w:sz w:val="18"/>
              </w:rPr>
            </w:pPr>
            <w:r w:rsidRPr="00D4309F">
              <w:rPr>
                <w:b/>
                <w:color w:val="211E1F"/>
                <w:spacing w:val="-2"/>
                <w:sz w:val="18"/>
              </w:rPr>
              <w:t>Moderate</w:t>
            </w:r>
          </w:p>
        </w:tc>
        <w:tc>
          <w:tcPr>
            <w:tcW w:w="4222" w:type="pct"/>
            <w:tcBorders>
              <w:top w:val="single" w:sz="4" w:space="0" w:color="000000"/>
              <w:bottom w:val="single" w:sz="4" w:space="0" w:color="000000"/>
            </w:tcBorders>
          </w:tcPr>
          <w:p w14:paraId="582B9EDF" w14:textId="77777777" w:rsidR="00725977" w:rsidRPr="00D4309F" w:rsidRDefault="00725977">
            <w:pPr>
              <w:pStyle w:val="TableParagraph"/>
              <w:spacing w:before="39"/>
              <w:ind w:left="165" w:right="131"/>
              <w:rPr>
                <w:sz w:val="18"/>
              </w:rPr>
            </w:pPr>
            <w:r w:rsidRPr="00D4309F">
              <w:rPr>
                <w:color w:val="211E1F"/>
                <w:sz w:val="18"/>
              </w:rPr>
              <w:t>There</w:t>
            </w:r>
            <w:r w:rsidRPr="00D4309F">
              <w:rPr>
                <w:color w:val="211E1F"/>
                <w:spacing w:val="-3"/>
                <w:sz w:val="18"/>
              </w:rPr>
              <w:t xml:space="preserve"> </w:t>
            </w:r>
            <w:r w:rsidRPr="00D4309F">
              <w:rPr>
                <w:color w:val="211E1F"/>
                <w:sz w:val="18"/>
              </w:rPr>
              <w:t>is</w:t>
            </w:r>
            <w:r w:rsidRPr="00D4309F">
              <w:rPr>
                <w:color w:val="211E1F"/>
                <w:spacing w:val="-2"/>
                <w:sz w:val="18"/>
              </w:rPr>
              <w:t xml:space="preserve"> </w:t>
            </w:r>
            <w:r w:rsidRPr="00D4309F">
              <w:rPr>
                <w:color w:val="211E1F"/>
                <w:sz w:val="18"/>
              </w:rPr>
              <w:t>a</w:t>
            </w:r>
            <w:r w:rsidRPr="00D4309F">
              <w:rPr>
                <w:color w:val="211E1F"/>
                <w:spacing w:val="-3"/>
                <w:sz w:val="18"/>
              </w:rPr>
              <w:t xml:space="preserve"> </w:t>
            </w:r>
            <w:r w:rsidRPr="00D4309F">
              <w:rPr>
                <w:color w:val="211E1F"/>
                <w:sz w:val="18"/>
              </w:rPr>
              <w:t>moderate</w:t>
            </w:r>
            <w:r w:rsidRPr="00D4309F">
              <w:rPr>
                <w:color w:val="211E1F"/>
                <w:spacing w:val="-3"/>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2"/>
                <w:sz w:val="18"/>
              </w:rPr>
              <w:t xml:space="preserve"> </w:t>
            </w:r>
            <w:r w:rsidRPr="00D4309F">
              <w:rPr>
                <w:color w:val="211E1F"/>
                <w:sz w:val="18"/>
              </w:rPr>
              <w:t>which</w:t>
            </w:r>
            <w:r w:rsidRPr="00D4309F">
              <w:rPr>
                <w:color w:val="211E1F"/>
                <w:spacing w:val="-3"/>
                <w:sz w:val="18"/>
              </w:rPr>
              <w:t xml:space="preserve"> </w:t>
            </w:r>
            <w:r w:rsidRPr="00D4309F">
              <w:rPr>
                <w:color w:val="211E1F"/>
                <w:sz w:val="18"/>
              </w:rPr>
              <w:t>will</w:t>
            </w:r>
            <w:r w:rsidRPr="00D4309F">
              <w:rPr>
                <w:color w:val="211E1F"/>
                <w:spacing w:val="-1"/>
                <w:sz w:val="18"/>
              </w:rPr>
              <w:t xml:space="preserve"> </w:t>
            </w:r>
            <w:r w:rsidRPr="00D4309F">
              <w:rPr>
                <w:color w:val="211E1F"/>
                <w:sz w:val="18"/>
              </w:rPr>
              <w:t>require</w:t>
            </w:r>
            <w:r w:rsidRPr="00D4309F">
              <w:rPr>
                <w:color w:val="211E1F"/>
                <w:spacing w:val="-3"/>
                <w:sz w:val="18"/>
              </w:rPr>
              <w:t xml:space="preserve"> </w:t>
            </w:r>
            <w:r w:rsidRPr="00D4309F">
              <w:rPr>
                <w:color w:val="211E1F"/>
                <w:sz w:val="18"/>
              </w:rPr>
              <w:t>further</w:t>
            </w:r>
            <w:r w:rsidRPr="00D4309F">
              <w:rPr>
                <w:color w:val="211E1F"/>
                <w:spacing w:val="-1"/>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to</w:t>
            </w:r>
            <w:r w:rsidRPr="00D4309F">
              <w:rPr>
                <w:color w:val="211E1F"/>
                <w:spacing w:val="-1"/>
                <w:sz w:val="18"/>
              </w:rPr>
              <w:t xml:space="preserve"> </w:t>
            </w:r>
            <w:r w:rsidRPr="00D4309F">
              <w:rPr>
                <w:color w:val="211E1F"/>
                <w:sz w:val="18"/>
              </w:rPr>
              <w:t>determine</w:t>
            </w:r>
            <w:r w:rsidRPr="00D4309F">
              <w:rPr>
                <w:color w:val="211E1F"/>
                <w:spacing w:val="-3"/>
                <w:sz w:val="18"/>
              </w:rPr>
              <w:t xml:space="preserve"> </w:t>
            </w:r>
            <w:r w:rsidRPr="00D4309F">
              <w:rPr>
                <w:color w:val="211E1F"/>
                <w:sz w:val="18"/>
              </w:rPr>
              <w:t>the</w:t>
            </w:r>
            <w:r w:rsidRPr="00D4309F">
              <w:rPr>
                <w:color w:val="211E1F"/>
                <w:spacing w:val="-1"/>
                <w:sz w:val="18"/>
              </w:rPr>
              <w:t xml:space="preserve"> </w:t>
            </w:r>
            <w:r w:rsidRPr="00D4309F">
              <w:rPr>
                <w:color w:val="211E1F"/>
                <w:sz w:val="18"/>
              </w:rPr>
              <w:t>significance</w:t>
            </w:r>
            <w:r w:rsidRPr="00D4309F">
              <w:rPr>
                <w:color w:val="211E1F"/>
                <w:spacing w:val="-3"/>
                <w:sz w:val="18"/>
              </w:rPr>
              <w:t xml:space="preserve"> </w:t>
            </w:r>
            <w:r w:rsidRPr="00D4309F">
              <w:rPr>
                <w:color w:val="211E1F"/>
                <w:sz w:val="18"/>
              </w:rPr>
              <w:t>of</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Likely to be manageable or engineered to minimise potential impacts on the receiving environment.</w:t>
            </w:r>
          </w:p>
        </w:tc>
      </w:tr>
      <w:tr w:rsidR="00725977" w:rsidRPr="00D4309F" w14:paraId="1216F628" w14:textId="77777777" w:rsidTr="009903F7">
        <w:trPr>
          <w:trHeight w:val="494"/>
        </w:trPr>
        <w:tc>
          <w:tcPr>
            <w:tcW w:w="778" w:type="pct"/>
            <w:tcBorders>
              <w:top w:val="single" w:sz="4" w:space="0" w:color="000000"/>
            </w:tcBorders>
            <w:shd w:val="clear" w:color="auto" w:fill="FFC000"/>
          </w:tcPr>
          <w:p w14:paraId="2AFBC7B8" w14:textId="77777777" w:rsidR="00725977" w:rsidRPr="00D4309F" w:rsidRDefault="00725977">
            <w:pPr>
              <w:pStyle w:val="TableParagraph"/>
              <w:spacing w:before="144"/>
              <w:ind w:left="165"/>
              <w:rPr>
                <w:b/>
                <w:sz w:val="18"/>
              </w:rPr>
            </w:pPr>
            <w:r w:rsidRPr="00D4309F">
              <w:rPr>
                <w:b/>
                <w:color w:val="211E1F"/>
                <w:spacing w:val="-4"/>
                <w:sz w:val="18"/>
              </w:rPr>
              <w:t>High</w:t>
            </w:r>
          </w:p>
        </w:tc>
        <w:tc>
          <w:tcPr>
            <w:tcW w:w="4222" w:type="pct"/>
            <w:tcBorders>
              <w:top w:val="single" w:sz="4" w:space="0" w:color="000000"/>
            </w:tcBorders>
          </w:tcPr>
          <w:p w14:paraId="1829AE78" w14:textId="77777777" w:rsidR="00725977" w:rsidRPr="00D4309F" w:rsidRDefault="00725977">
            <w:pPr>
              <w:pStyle w:val="TableParagraph"/>
              <w:spacing w:before="39"/>
              <w:ind w:left="165"/>
              <w:rPr>
                <w:sz w:val="18"/>
              </w:rPr>
            </w:pPr>
            <w:r w:rsidRPr="00D4309F">
              <w:rPr>
                <w:color w:val="211E1F"/>
                <w:sz w:val="18"/>
              </w:rPr>
              <w:t>There</w:t>
            </w:r>
            <w:r w:rsidRPr="00D4309F">
              <w:rPr>
                <w:color w:val="211E1F"/>
                <w:spacing w:val="-3"/>
                <w:sz w:val="18"/>
              </w:rPr>
              <w:t xml:space="preserve"> </w:t>
            </w:r>
            <w:r w:rsidRPr="00D4309F">
              <w:rPr>
                <w:color w:val="211E1F"/>
                <w:sz w:val="18"/>
              </w:rPr>
              <w:t>is</w:t>
            </w:r>
            <w:r w:rsidRPr="00D4309F">
              <w:rPr>
                <w:color w:val="211E1F"/>
                <w:spacing w:val="-2"/>
                <w:sz w:val="18"/>
              </w:rPr>
              <w:t xml:space="preserve"> </w:t>
            </w:r>
            <w:r w:rsidRPr="00D4309F">
              <w:rPr>
                <w:color w:val="211E1F"/>
                <w:sz w:val="18"/>
              </w:rPr>
              <w:t>a</w:t>
            </w:r>
            <w:r w:rsidRPr="00D4309F">
              <w:rPr>
                <w:color w:val="211E1F"/>
                <w:spacing w:val="-3"/>
                <w:sz w:val="18"/>
              </w:rPr>
              <w:t xml:space="preserve"> </w:t>
            </w:r>
            <w:r w:rsidRPr="00D4309F">
              <w:rPr>
                <w:color w:val="211E1F"/>
                <w:sz w:val="18"/>
              </w:rPr>
              <w:t>high</w:t>
            </w:r>
            <w:r w:rsidRPr="00D4309F">
              <w:rPr>
                <w:color w:val="211E1F"/>
                <w:spacing w:val="-1"/>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2"/>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required</w:t>
            </w:r>
            <w:r w:rsidRPr="00D4309F">
              <w:rPr>
                <w:color w:val="211E1F"/>
                <w:spacing w:val="-3"/>
                <w:sz w:val="18"/>
              </w:rPr>
              <w:t xml:space="preserve"> </w:t>
            </w:r>
            <w:r w:rsidRPr="00D4309F">
              <w:rPr>
                <w:color w:val="211E1F"/>
                <w:sz w:val="18"/>
              </w:rPr>
              <w:t>to</w:t>
            </w:r>
            <w:r w:rsidRPr="00D4309F">
              <w:rPr>
                <w:color w:val="211E1F"/>
                <w:spacing w:val="-3"/>
                <w:sz w:val="18"/>
              </w:rPr>
              <w:t xml:space="preserve"> </w:t>
            </w:r>
            <w:r w:rsidRPr="00D4309F">
              <w:rPr>
                <w:color w:val="211E1F"/>
                <w:sz w:val="18"/>
              </w:rPr>
              <w:t>determine</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significance</w:t>
            </w:r>
            <w:r w:rsidRPr="00D4309F">
              <w:rPr>
                <w:color w:val="211E1F"/>
                <w:spacing w:val="-1"/>
                <w:sz w:val="18"/>
              </w:rPr>
              <w:t xml:space="preserve"> </w:t>
            </w:r>
            <w:r w:rsidRPr="00D4309F">
              <w:rPr>
                <w:color w:val="211E1F"/>
                <w:sz w:val="18"/>
              </w:rPr>
              <w:t>of</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and</w:t>
            </w:r>
            <w:r w:rsidRPr="00D4309F">
              <w:rPr>
                <w:color w:val="211E1F"/>
                <w:spacing w:val="-3"/>
                <w:sz w:val="18"/>
              </w:rPr>
              <w:t xml:space="preserve"> </w:t>
            </w:r>
            <w:r w:rsidRPr="00D4309F">
              <w:rPr>
                <w:color w:val="211E1F"/>
                <w:sz w:val="18"/>
              </w:rPr>
              <w:t>mitigation strategy. Consideration for regulatory approvals.</w:t>
            </w:r>
          </w:p>
        </w:tc>
      </w:tr>
    </w:tbl>
    <w:p w14:paraId="15EE17BA" w14:textId="5B8FA7D9" w:rsidR="00725977" w:rsidRPr="00D4309F" w:rsidRDefault="00725977" w:rsidP="00D4229D">
      <w:pPr>
        <w:pStyle w:val="BodyText"/>
      </w:pPr>
      <w:bookmarkStart w:id="428" w:name="_bookmark158"/>
      <w:bookmarkEnd w:id="428"/>
    </w:p>
    <w:p w14:paraId="6A110113" w14:textId="0ADF814A" w:rsidR="00725977" w:rsidRPr="00D4309F" w:rsidRDefault="00D4229D" w:rsidP="007774EC">
      <w:pPr>
        <w:pStyle w:val="Table-Caption"/>
      </w:pPr>
      <w:bookmarkStart w:id="429" w:name="_Ref215979969"/>
      <w:bookmarkStart w:id="430" w:name="_Toc216699572"/>
      <w:r>
        <w:t xml:space="preserve">Table </w:t>
      </w:r>
      <w:r w:rsidR="00151534">
        <w:fldChar w:fldCharType="begin" w:fldLock="1"/>
      </w:r>
      <w:r w:rsidR="00151534">
        <w:instrText xml:space="preserve"> STYLEREF 1 \s </w:instrText>
      </w:r>
      <w:r w:rsidR="00151534">
        <w:fldChar w:fldCharType="separate"/>
      </w:r>
      <w:r w:rsidR="00151534">
        <w:rPr>
          <w:noProof/>
        </w:rPr>
        <w:t>15</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4</w:t>
      </w:r>
      <w:r w:rsidR="00151534">
        <w:fldChar w:fldCharType="end"/>
      </w:r>
      <w:bookmarkEnd w:id="429"/>
      <w:r>
        <w:t>:</w:t>
      </w:r>
      <w:r>
        <w:tab/>
      </w:r>
      <w:r w:rsidRPr="00D4309F">
        <w:t>Environmental</w:t>
      </w:r>
      <w:r w:rsidRPr="00D4309F">
        <w:rPr>
          <w:spacing w:val="-2"/>
        </w:rPr>
        <w:t xml:space="preserve"> </w:t>
      </w:r>
      <w:r w:rsidRPr="00D4309F">
        <w:t>constraints</w:t>
      </w:r>
      <w:r w:rsidRPr="00D4309F">
        <w:rPr>
          <w:spacing w:val="-3"/>
        </w:rPr>
        <w:t xml:space="preserve"> </w:t>
      </w:r>
      <w:r w:rsidRPr="00D4309F">
        <w:t>for</w:t>
      </w:r>
      <w:r w:rsidRPr="00D4309F">
        <w:rPr>
          <w:spacing w:val="-3"/>
        </w:rPr>
        <w:t xml:space="preserve"> </w:t>
      </w:r>
      <w:r w:rsidRPr="00D4309F">
        <w:t>breakwater</w:t>
      </w:r>
      <w:r w:rsidRPr="00D4309F">
        <w:rPr>
          <w:spacing w:val="-2"/>
        </w:rPr>
        <w:t xml:space="preserve"> </w:t>
      </w:r>
      <w:r w:rsidRPr="00D4309F">
        <w:t>extension</w:t>
      </w:r>
      <w:r w:rsidRPr="00D4309F">
        <w:rPr>
          <w:spacing w:val="-2"/>
        </w:rPr>
        <w:t xml:space="preserve"> </w:t>
      </w:r>
      <w:r w:rsidRPr="00D4309F">
        <w:t>with</w:t>
      </w:r>
      <w:r w:rsidRPr="00D4309F">
        <w:rPr>
          <w:spacing w:val="-3"/>
        </w:rPr>
        <w:t xml:space="preserve"> </w:t>
      </w:r>
      <w:r w:rsidRPr="00D4309F">
        <w:t>sand</w:t>
      </w:r>
      <w:r w:rsidRPr="00D4309F">
        <w:rPr>
          <w:spacing w:val="-2"/>
        </w:rPr>
        <w:t xml:space="preserve"> </w:t>
      </w:r>
      <w:r w:rsidRPr="00D4309F">
        <w:t>shifter</w:t>
      </w:r>
      <w:r w:rsidRPr="00D4309F">
        <w:rPr>
          <w:spacing w:val="-4"/>
        </w:rPr>
        <w:t xml:space="preserve"> </w:t>
      </w:r>
      <w:r w:rsidRPr="00D4309F">
        <w:t>bypass</w:t>
      </w:r>
      <w:r w:rsidRPr="00D4309F">
        <w:rPr>
          <w:spacing w:val="-4"/>
        </w:rPr>
        <w:t xml:space="preserve"> </w:t>
      </w:r>
      <w:r w:rsidRPr="00D4309F">
        <w:t>system</w:t>
      </w:r>
      <w:r w:rsidRPr="00D4309F">
        <w:rPr>
          <w:spacing w:val="-2"/>
        </w:rPr>
        <w:t xml:space="preserve"> </w:t>
      </w:r>
      <w:r w:rsidRPr="00D4309F">
        <w:t>(Option</w:t>
      </w:r>
      <w:r w:rsidRPr="00D4309F">
        <w:rPr>
          <w:spacing w:val="-2"/>
        </w:rPr>
        <w:t xml:space="preserve"> </w:t>
      </w:r>
      <w:r w:rsidRPr="00D4309F">
        <w:rPr>
          <w:spacing w:val="-5"/>
        </w:rPr>
        <w:t>3B)</w:t>
      </w:r>
      <w:bookmarkEnd w:id="430"/>
    </w:p>
    <w:tbl>
      <w:tblPr>
        <w:tblW w:w="0" w:type="auto"/>
        <w:tblCellMar>
          <w:left w:w="0" w:type="dxa"/>
          <w:right w:w="0" w:type="dxa"/>
        </w:tblCellMar>
        <w:tblLook w:val="01E0" w:firstRow="1" w:lastRow="1" w:firstColumn="1" w:lastColumn="1" w:noHBand="0" w:noVBand="0"/>
      </w:tblPr>
      <w:tblGrid>
        <w:gridCol w:w="1431"/>
        <w:gridCol w:w="1113"/>
        <w:gridCol w:w="2934"/>
        <w:gridCol w:w="1427"/>
        <w:gridCol w:w="3094"/>
        <w:gridCol w:w="1908"/>
        <w:gridCol w:w="2665"/>
      </w:tblGrid>
      <w:tr w:rsidR="00A21A9D" w:rsidRPr="00D4309F" w14:paraId="321B0F28" w14:textId="77777777" w:rsidTr="002A3DB2">
        <w:trPr>
          <w:cantSplit/>
          <w:trHeight w:val="20"/>
          <w:tblHeader/>
        </w:trPr>
        <w:tc>
          <w:tcPr>
            <w:tcW w:w="0" w:type="auto"/>
            <w:tcBorders>
              <w:bottom w:val="single" w:sz="4" w:space="0" w:color="000000"/>
            </w:tcBorders>
            <w:shd w:val="clear" w:color="auto" w:fill="D6D7D5"/>
            <w:vAlign w:val="center"/>
          </w:tcPr>
          <w:p w14:paraId="5DAF6086" w14:textId="77777777" w:rsidR="00725977" w:rsidRPr="00D4309F" w:rsidRDefault="00725977" w:rsidP="007A5DDD">
            <w:pPr>
              <w:pStyle w:val="TableParagraph"/>
              <w:ind w:left="195"/>
              <w:rPr>
                <w:b/>
                <w:sz w:val="18"/>
              </w:rPr>
            </w:pPr>
            <w:r w:rsidRPr="00D4309F">
              <w:rPr>
                <w:b/>
                <w:color w:val="70004A"/>
                <w:spacing w:val="-2"/>
                <w:sz w:val="18"/>
              </w:rPr>
              <w:t>Category</w:t>
            </w:r>
          </w:p>
        </w:tc>
        <w:tc>
          <w:tcPr>
            <w:tcW w:w="0" w:type="auto"/>
            <w:tcBorders>
              <w:bottom w:val="single" w:sz="4" w:space="0" w:color="000000"/>
            </w:tcBorders>
            <w:shd w:val="clear" w:color="auto" w:fill="D6D7D5"/>
            <w:vAlign w:val="center"/>
          </w:tcPr>
          <w:p w14:paraId="03032A39" w14:textId="77777777" w:rsidR="00725977" w:rsidRPr="00D4309F" w:rsidRDefault="00725977" w:rsidP="007A5DDD">
            <w:pPr>
              <w:pStyle w:val="TableParagraph"/>
              <w:ind w:left="194"/>
              <w:rPr>
                <w:b/>
                <w:sz w:val="18"/>
              </w:rPr>
            </w:pPr>
            <w:r w:rsidRPr="00D4309F">
              <w:rPr>
                <w:b/>
                <w:color w:val="70004A"/>
                <w:spacing w:val="-2"/>
                <w:sz w:val="18"/>
              </w:rPr>
              <w:t>Receptor</w:t>
            </w:r>
          </w:p>
        </w:tc>
        <w:tc>
          <w:tcPr>
            <w:tcW w:w="0" w:type="auto"/>
            <w:tcBorders>
              <w:bottom w:val="single" w:sz="4" w:space="0" w:color="000000"/>
            </w:tcBorders>
            <w:shd w:val="clear" w:color="auto" w:fill="D6D7D5"/>
            <w:vAlign w:val="center"/>
          </w:tcPr>
          <w:p w14:paraId="23B6AEA7" w14:textId="77777777" w:rsidR="00725977" w:rsidRPr="00D4309F" w:rsidRDefault="00725977" w:rsidP="007A5DDD">
            <w:pPr>
              <w:pStyle w:val="TableParagraph"/>
              <w:ind w:left="251"/>
              <w:rPr>
                <w:b/>
                <w:sz w:val="18"/>
              </w:rPr>
            </w:pPr>
            <w:r w:rsidRPr="00D4309F">
              <w:rPr>
                <w:b/>
                <w:color w:val="70004A"/>
                <w:sz w:val="18"/>
              </w:rPr>
              <w:t>Impact</w:t>
            </w:r>
            <w:r w:rsidRPr="00D4309F">
              <w:rPr>
                <w:b/>
                <w:color w:val="70004A"/>
                <w:spacing w:val="-3"/>
                <w:sz w:val="18"/>
              </w:rPr>
              <w:t xml:space="preserve"> </w:t>
            </w:r>
            <w:r w:rsidRPr="00D4309F">
              <w:rPr>
                <w:b/>
                <w:color w:val="70004A"/>
                <w:spacing w:val="-2"/>
                <w:sz w:val="18"/>
              </w:rPr>
              <w:t>pathway</w:t>
            </w:r>
          </w:p>
        </w:tc>
        <w:tc>
          <w:tcPr>
            <w:tcW w:w="0" w:type="auto"/>
            <w:tcBorders>
              <w:bottom w:val="single" w:sz="4" w:space="0" w:color="000000"/>
            </w:tcBorders>
            <w:shd w:val="clear" w:color="auto" w:fill="D6D7D5"/>
            <w:vAlign w:val="center"/>
          </w:tcPr>
          <w:p w14:paraId="325711DD" w14:textId="77777777" w:rsidR="00725977" w:rsidRPr="00D4309F" w:rsidRDefault="00725977" w:rsidP="007A5DDD">
            <w:pPr>
              <w:pStyle w:val="TableParagraph"/>
              <w:spacing w:before="143"/>
              <w:ind w:left="166" w:right="163"/>
              <w:rPr>
                <w:b/>
                <w:sz w:val="18"/>
              </w:rPr>
            </w:pPr>
            <w:r w:rsidRPr="00D4309F">
              <w:rPr>
                <w:b/>
                <w:color w:val="70004A"/>
                <w:spacing w:val="-2"/>
                <w:sz w:val="18"/>
              </w:rPr>
              <w:t>Constraint level</w:t>
            </w:r>
          </w:p>
        </w:tc>
        <w:tc>
          <w:tcPr>
            <w:tcW w:w="0" w:type="auto"/>
            <w:tcBorders>
              <w:bottom w:val="single" w:sz="4" w:space="0" w:color="000000"/>
            </w:tcBorders>
            <w:shd w:val="clear" w:color="auto" w:fill="D6D7D5"/>
            <w:vAlign w:val="center"/>
          </w:tcPr>
          <w:p w14:paraId="47C38DB9" w14:textId="77777777" w:rsidR="00725977" w:rsidRPr="00D4309F" w:rsidRDefault="00725977" w:rsidP="007A5DDD">
            <w:pPr>
              <w:pStyle w:val="TableParagraph"/>
              <w:ind w:left="166"/>
              <w:rPr>
                <w:b/>
                <w:sz w:val="18"/>
              </w:rPr>
            </w:pPr>
            <w:r w:rsidRPr="00D4309F">
              <w:rPr>
                <w:b/>
                <w:color w:val="70004A"/>
                <w:spacing w:val="-2"/>
                <w:sz w:val="18"/>
              </w:rPr>
              <w:t>Justification</w:t>
            </w:r>
          </w:p>
        </w:tc>
        <w:tc>
          <w:tcPr>
            <w:tcW w:w="1908" w:type="dxa"/>
            <w:tcBorders>
              <w:bottom w:val="single" w:sz="4" w:space="0" w:color="000000"/>
            </w:tcBorders>
            <w:shd w:val="clear" w:color="auto" w:fill="D6D7D5"/>
            <w:vAlign w:val="center"/>
          </w:tcPr>
          <w:p w14:paraId="3420CF92" w14:textId="77777777" w:rsidR="00725977" w:rsidRPr="00D4309F" w:rsidRDefault="00725977" w:rsidP="007A5DDD">
            <w:pPr>
              <w:pStyle w:val="TableParagraph"/>
              <w:spacing w:before="143"/>
              <w:ind w:left="222" w:right="139"/>
              <w:rPr>
                <w:b/>
                <w:sz w:val="18"/>
              </w:rPr>
            </w:pPr>
            <w:r w:rsidRPr="00D4309F">
              <w:rPr>
                <w:b/>
                <w:color w:val="70004A"/>
                <w:sz w:val="18"/>
              </w:rPr>
              <w:t>Further</w:t>
            </w:r>
            <w:r w:rsidRPr="00D4309F">
              <w:rPr>
                <w:b/>
                <w:color w:val="70004A"/>
                <w:spacing w:val="-13"/>
                <w:sz w:val="18"/>
              </w:rPr>
              <w:t xml:space="preserve"> </w:t>
            </w:r>
            <w:r w:rsidRPr="00D4309F">
              <w:rPr>
                <w:b/>
                <w:color w:val="70004A"/>
                <w:sz w:val="18"/>
              </w:rPr>
              <w:t xml:space="preserve">assessment </w:t>
            </w:r>
            <w:r w:rsidRPr="00D4309F">
              <w:rPr>
                <w:b/>
                <w:color w:val="70004A"/>
                <w:spacing w:val="-2"/>
                <w:sz w:val="18"/>
              </w:rPr>
              <w:t>recommendations</w:t>
            </w:r>
          </w:p>
        </w:tc>
        <w:tc>
          <w:tcPr>
            <w:tcW w:w="2665" w:type="dxa"/>
            <w:tcBorders>
              <w:bottom w:val="single" w:sz="4" w:space="0" w:color="000000"/>
            </w:tcBorders>
            <w:shd w:val="clear" w:color="auto" w:fill="D6D7D5"/>
            <w:vAlign w:val="center"/>
          </w:tcPr>
          <w:p w14:paraId="69C7D3F3" w14:textId="77777777" w:rsidR="00725977" w:rsidRPr="00D4309F" w:rsidRDefault="00725977" w:rsidP="007A5DDD">
            <w:pPr>
              <w:pStyle w:val="TableParagraph"/>
              <w:spacing w:before="40"/>
              <w:ind w:left="207" w:right="401"/>
              <w:rPr>
                <w:b/>
                <w:sz w:val="18"/>
              </w:rPr>
            </w:pPr>
            <w:r w:rsidRPr="00D4309F">
              <w:rPr>
                <w:b/>
                <w:color w:val="70004A"/>
                <w:sz w:val="18"/>
              </w:rPr>
              <w:t>Potential</w:t>
            </w:r>
            <w:r w:rsidRPr="00D4309F">
              <w:rPr>
                <w:b/>
                <w:color w:val="70004A"/>
                <w:spacing w:val="-13"/>
                <w:sz w:val="18"/>
              </w:rPr>
              <w:t xml:space="preserve"> </w:t>
            </w:r>
            <w:r w:rsidRPr="00D4309F">
              <w:rPr>
                <w:b/>
                <w:color w:val="70004A"/>
                <w:sz w:val="18"/>
              </w:rPr>
              <w:t xml:space="preserve">monitoring and management </w:t>
            </w:r>
            <w:r w:rsidRPr="00D4309F">
              <w:rPr>
                <w:b/>
                <w:color w:val="70004A"/>
                <w:spacing w:val="-2"/>
                <w:sz w:val="18"/>
              </w:rPr>
              <w:t>requirements</w:t>
            </w:r>
          </w:p>
        </w:tc>
      </w:tr>
      <w:tr w:rsidR="00A21A9D" w:rsidRPr="00D4309F" w14:paraId="55792DF2" w14:textId="77777777" w:rsidTr="002A3DB2">
        <w:trPr>
          <w:cantSplit/>
          <w:trHeight w:val="20"/>
        </w:trPr>
        <w:tc>
          <w:tcPr>
            <w:tcW w:w="0" w:type="auto"/>
            <w:tcBorders>
              <w:top w:val="single" w:sz="4" w:space="0" w:color="000000"/>
              <w:bottom w:val="single" w:sz="4" w:space="0" w:color="000000"/>
            </w:tcBorders>
            <w:vAlign w:val="center"/>
          </w:tcPr>
          <w:p w14:paraId="79795DC6" w14:textId="77777777" w:rsidR="00725977" w:rsidRPr="00D4309F" w:rsidRDefault="00725977" w:rsidP="007A5DDD">
            <w:pPr>
              <w:pStyle w:val="Table-Text"/>
            </w:pPr>
            <w:r w:rsidRPr="00D4309F">
              <w:t>Marine environmental quality</w:t>
            </w:r>
          </w:p>
        </w:tc>
        <w:tc>
          <w:tcPr>
            <w:tcW w:w="0" w:type="auto"/>
            <w:tcBorders>
              <w:top w:val="single" w:sz="4" w:space="0" w:color="000000"/>
              <w:bottom w:val="single" w:sz="4" w:space="0" w:color="000000"/>
            </w:tcBorders>
            <w:vAlign w:val="center"/>
          </w:tcPr>
          <w:p w14:paraId="068BE109" w14:textId="77777777" w:rsidR="00725977" w:rsidRPr="00D4309F" w:rsidRDefault="00725977" w:rsidP="007A5DDD">
            <w:pPr>
              <w:pStyle w:val="Table-Text"/>
            </w:pPr>
            <w:r w:rsidRPr="00D4309F">
              <w:t>Water quality</w:t>
            </w:r>
          </w:p>
        </w:tc>
        <w:tc>
          <w:tcPr>
            <w:tcW w:w="0" w:type="auto"/>
            <w:tcBorders>
              <w:top w:val="single" w:sz="4" w:space="0" w:color="000000"/>
              <w:bottom w:val="single" w:sz="4" w:space="0" w:color="000000"/>
            </w:tcBorders>
            <w:vAlign w:val="center"/>
          </w:tcPr>
          <w:p w14:paraId="6DDBEAA8" w14:textId="77777777" w:rsidR="00725977" w:rsidRPr="00D4309F" w:rsidRDefault="00725977" w:rsidP="007A5DDD">
            <w:pPr>
              <w:pStyle w:val="Table-Bullet"/>
            </w:pPr>
            <w:r w:rsidRPr="00D4309F">
              <w:t>Generation</w:t>
            </w:r>
            <w:r w:rsidRPr="00D4309F">
              <w:rPr>
                <w:spacing w:val="-13"/>
              </w:rPr>
              <w:t xml:space="preserve"> </w:t>
            </w:r>
            <w:r w:rsidRPr="00D4309F">
              <w:t>of</w:t>
            </w:r>
            <w:r w:rsidRPr="00D4309F">
              <w:rPr>
                <w:spacing w:val="-12"/>
              </w:rPr>
              <w:t xml:space="preserve"> </w:t>
            </w:r>
            <w:r w:rsidRPr="00D4309F">
              <w:t>turbidity</w:t>
            </w:r>
            <w:r w:rsidRPr="00D4309F">
              <w:rPr>
                <w:spacing w:val="-13"/>
              </w:rPr>
              <w:t xml:space="preserve"> </w:t>
            </w:r>
            <w:r w:rsidRPr="00D4309F">
              <w:t>during construction</w:t>
            </w:r>
            <w:r w:rsidRPr="00D4309F">
              <w:rPr>
                <w:spacing w:val="-4"/>
              </w:rPr>
              <w:t xml:space="preserve"> </w:t>
            </w:r>
            <w:r w:rsidRPr="00D4309F">
              <w:t>and</w:t>
            </w:r>
            <w:r w:rsidRPr="00D4309F">
              <w:rPr>
                <w:spacing w:val="-4"/>
              </w:rPr>
              <w:t xml:space="preserve"> </w:t>
            </w:r>
            <w:r w:rsidRPr="00D4309F">
              <w:t>rock</w:t>
            </w:r>
            <w:r w:rsidRPr="00D4309F">
              <w:rPr>
                <w:spacing w:val="-3"/>
              </w:rPr>
              <w:t xml:space="preserve"> </w:t>
            </w:r>
            <w:r w:rsidRPr="00D4309F">
              <w:t>cutting</w:t>
            </w:r>
          </w:p>
        </w:tc>
        <w:tc>
          <w:tcPr>
            <w:tcW w:w="0" w:type="auto"/>
            <w:tcBorders>
              <w:top w:val="single" w:sz="4" w:space="0" w:color="000000"/>
              <w:bottom w:val="single" w:sz="4" w:space="0" w:color="000000"/>
            </w:tcBorders>
            <w:shd w:val="clear" w:color="auto" w:fill="FFC000"/>
            <w:vAlign w:val="center"/>
          </w:tcPr>
          <w:p w14:paraId="401DF5BA" w14:textId="77777777" w:rsidR="00725977" w:rsidRPr="007A5DDD" w:rsidRDefault="00725977" w:rsidP="007A5DDD">
            <w:pPr>
              <w:pStyle w:val="Table-Text"/>
              <w:rPr>
                <w:b/>
                <w:bCs/>
              </w:rPr>
            </w:pPr>
            <w:r w:rsidRPr="007A5DDD">
              <w:rPr>
                <w:b/>
                <w:bCs/>
              </w:rPr>
              <w:t xml:space="preserve">High (for </w:t>
            </w:r>
            <w:r w:rsidRPr="007A5DDD">
              <w:rPr>
                <w:b/>
                <w:bCs/>
                <w:spacing w:val="-2"/>
              </w:rPr>
              <w:t xml:space="preserve">breakwater </w:t>
            </w:r>
            <w:r w:rsidRPr="007A5DDD">
              <w:rPr>
                <w:b/>
                <w:bCs/>
              </w:rPr>
              <w:t>extension</w:t>
            </w:r>
            <w:r w:rsidRPr="007A5DDD">
              <w:rPr>
                <w:b/>
                <w:bCs/>
                <w:spacing w:val="-13"/>
              </w:rPr>
              <w:t xml:space="preserve"> </w:t>
            </w:r>
            <w:r w:rsidRPr="007A5DDD">
              <w:rPr>
                <w:b/>
                <w:bCs/>
              </w:rPr>
              <w:t>and rock cutting)</w:t>
            </w:r>
          </w:p>
        </w:tc>
        <w:tc>
          <w:tcPr>
            <w:tcW w:w="0" w:type="auto"/>
            <w:tcBorders>
              <w:top w:val="single" w:sz="4" w:space="0" w:color="000000"/>
              <w:bottom w:val="single" w:sz="4" w:space="0" w:color="000000"/>
            </w:tcBorders>
            <w:vAlign w:val="center"/>
          </w:tcPr>
          <w:p w14:paraId="5868C8CB" w14:textId="77777777" w:rsidR="00725977" w:rsidRPr="00D4309F" w:rsidRDefault="00725977" w:rsidP="007A5DDD">
            <w:pPr>
              <w:pStyle w:val="Table-Bullet"/>
            </w:pPr>
            <w:r w:rsidRPr="00D4309F">
              <w:t>An assessment of the predicted plume extent will inform</w:t>
            </w:r>
            <w:r w:rsidRPr="00D4309F">
              <w:rPr>
                <w:spacing w:val="-10"/>
              </w:rPr>
              <w:t xml:space="preserve"> </w:t>
            </w:r>
            <w:r w:rsidRPr="00D4309F">
              <w:t>the</w:t>
            </w:r>
            <w:r w:rsidRPr="00D4309F">
              <w:rPr>
                <w:spacing w:val="-11"/>
              </w:rPr>
              <w:t xml:space="preserve"> </w:t>
            </w:r>
            <w:r w:rsidRPr="00D4309F">
              <w:t>extent</w:t>
            </w:r>
            <w:r w:rsidRPr="00D4309F">
              <w:rPr>
                <w:spacing w:val="-10"/>
              </w:rPr>
              <w:t xml:space="preserve"> </w:t>
            </w:r>
            <w:r w:rsidRPr="00D4309F">
              <w:t>of</w:t>
            </w:r>
            <w:r w:rsidRPr="00D4309F">
              <w:rPr>
                <w:spacing w:val="-10"/>
              </w:rPr>
              <w:t xml:space="preserve"> </w:t>
            </w:r>
            <w:r w:rsidRPr="00D4309F">
              <w:t>turbidity related</w:t>
            </w:r>
            <w:r w:rsidRPr="00D4309F">
              <w:rPr>
                <w:spacing w:val="-5"/>
              </w:rPr>
              <w:t xml:space="preserve"> </w:t>
            </w:r>
            <w:r w:rsidRPr="00D4309F">
              <w:t>impacts</w:t>
            </w:r>
            <w:r w:rsidRPr="00D4309F">
              <w:rPr>
                <w:spacing w:val="-3"/>
              </w:rPr>
              <w:t xml:space="preserve"> </w:t>
            </w:r>
            <w:r w:rsidRPr="00D4309F">
              <w:t>however</w:t>
            </w:r>
            <w:r w:rsidRPr="00D4309F">
              <w:rPr>
                <w:spacing w:val="-4"/>
              </w:rPr>
              <w:t xml:space="preserve"> </w:t>
            </w:r>
            <w:r w:rsidRPr="00D4309F">
              <w:t xml:space="preserve">as this is a dynamic, open ocean environment, any plume will likely dissipate </w:t>
            </w:r>
            <w:r w:rsidRPr="00D4309F">
              <w:rPr>
                <w:spacing w:val="-2"/>
              </w:rPr>
              <w:t>quickly</w:t>
            </w:r>
          </w:p>
          <w:p w14:paraId="46EC06FC" w14:textId="77777777" w:rsidR="00725977" w:rsidRPr="00D4309F" w:rsidRDefault="00725977" w:rsidP="007A5DDD">
            <w:pPr>
              <w:pStyle w:val="Table-Bullet"/>
            </w:pPr>
            <w:r w:rsidRPr="00D4309F">
              <w:t>Turbidity</w:t>
            </w:r>
            <w:r w:rsidRPr="00D4309F">
              <w:rPr>
                <w:spacing w:val="-2"/>
              </w:rPr>
              <w:t xml:space="preserve"> </w:t>
            </w:r>
            <w:r w:rsidRPr="00D4309F">
              <w:t>is</w:t>
            </w:r>
            <w:r w:rsidRPr="00D4309F">
              <w:rPr>
                <w:spacing w:val="-2"/>
              </w:rPr>
              <w:t xml:space="preserve"> </w:t>
            </w:r>
            <w:r w:rsidRPr="00D4309F">
              <w:t>likely</w:t>
            </w:r>
            <w:r w:rsidRPr="00D4309F">
              <w:rPr>
                <w:spacing w:val="-2"/>
              </w:rPr>
              <w:t xml:space="preserve"> </w:t>
            </w:r>
            <w:r w:rsidRPr="00D4309F">
              <w:t>to</w:t>
            </w:r>
            <w:r w:rsidRPr="00D4309F">
              <w:rPr>
                <w:spacing w:val="-3"/>
              </w:rPr>
              <w:t xml:space="preserve"> </w:t>
            </w:r>
            <w:r w:rsidRPr="00D4309F">
              <w:t>be</w:t>
            </w:r>
            <w:r w:rsidRPr="00D4309F">
              <w:rPr>
                <w:spacing w:val="-3"/>
              </w:rPr>
              <w:t xml:space="preserve"> </w:t>
            </w:r>
            <w:r w:rsidRPr="00D4309F">
              <w:t>more extensive and persistent during</w:t>
            </w:r>
            <w:r w:rsidRPr="00D4309F">
              <w:rPr>
                <w:spacing w:val="-15"/>
              </w:rPr>
              <w:t xml:space="preserve"> </w:t>
            </w:r>
            <w:r w:rsidRPr="00D4309F">
              <w:t>breakwater</w:t>
            </w:r>
            <w:r w:rsidRPr="00D4309F">
              <w:rPr>
                <w:spacing w:val="-12"/>
              </w:rPr>
              <w:t xml:space="preserve"> </w:t>
            </w:r>
            <w:r w:rsidRPr="00D4309F">
              <w:t>extension and rock cutting works</w:t>
            </w:r>
          </w:p>
        </w:tc>
        <w:tc>
          <w:tcPr>
            <w:tcW w:w="1908" w:type="dxa"/>
            <w:tcBorders>
              <w:top w:val="single" w:sz="4" w:space="0" w:color="000000"/>
              <w:bottom w:val="single" w:sz="4" w:space="0" w:color="000000"/>
            </w:tcBorders>
            <w:vAlign w:val="center"/>
          </w:tcPr>
          <w:p w14:paraId="2B95FA26" w14:textId="5F69CCC5" w:rsidR="00725977" w:rsidRPr="00D4309F" w:rsidRDefault="00725977" w:rsidP="007A5DDD">
            <w:pPr>
              <w:pStyle w:val="Table-Bullet"/>
            </w:pPr>
            <w:r w:rsidRPr="00D4309F">
              <w:rPr>
                <w:spacing w:val="-2"/>
              </w:rPr>
              <w:t>Turbidity modelling</w:t>
            </w:r>
          </w:p>
        </w:tc>
        <w:tc>
          <w:tcPr>
            <w:tcW w:w="2665" w:type="dxa"/>
            <w:tcBorders>
              <w:top w:val="single" w:sz="4" w:space="0" w:color="000000"/>
              <w:bottom w:val="single" w:sz="4" w:space="0" w:color="000000"/>
            </w:tcBorders>
            <w:vAlign w:val="center"/>
          </w:tcPr>
          <w:p w14:paraId="1510BC99" w14:textId="77777777" w:rsidR="00725977" w:rsidRPr="00D4309F" w:rsidRDefault="00725977" w:rsidP="007A5DDD">
            <w:pPr>
              <w:pStyle w:val="Table-Bullet"/>
            </w:pPr>
            <w:r w:rsidRPr="00D4309F">
              <w:t>Turbidity</w:t>
            </w:r>
            <w:r w:rsidRPr="00D4309F">
              <w:rPr>
                <w:spacing w:val="-13"/>
              </w:rPr>
              <w:t xml:space="preserve"> </w:t>
            </w:r>
            <w:r w:rsidRPr="00D4309F">
              <w:t>monitoring during works</w:t>
            </w:r>
          </w:p>
          <w:p w14:paraId="3E200795" w14:textId="77777777" w:rsidR="00725977" w:rsidRPr="00D4309F" w:rsidRDefault="00725977" w:rsidP="007A5DDD">
            <w:pPr>
              <w:pStyle w:val="Table-Bullet"/>
            </w:pPr>
            <w:r w:rsidRPr="00D4309F">
              <w:t>Standard turbidity mitigation</w:t>
            </w:r>
            <w:r w:rsidRPr="00D4309F">
              <w:rPr>
                <w:spacing w:val="-13"/>
              </w:rPr>
              <w:t xml:space="preserve"> </w:t>
            </w:r>
            <w:r w:rsidRPr="00D4309F">
              <w:t>procedures</w:t>
            </w:r>
          </w:p>
          <w:p w14:paraId="6DCFBC56" w14:textId="77777777" w:rsidR="00725977" w:rsidRPr="00D4309F" w:rsidRDefault="00725977" w:rsidP="007A5DDD">
            <w:pPr>
              <w:pStyle w:val="Table-Bullet"/>
            </w:pPr>
            <w:r w:rsidRPr="00D4309F">
              <w:t>e.g.</w:t>
            </w:r>
            <w:r w:rsidRPr="00D4309F">
              <w:rPr>
                <w:spacing w:val="-15"/>
              </w:rPr>
              <w:t xml:space="preserve"> </w:t>
            </w:r>
            <w:r w:rsidRPr="00D4309F">
              <w:t>silt</w:t>
            </w:r>
            <w:r w:rsidRPr="00D4309F">
              <w:rPr>
                <w:spacing w:val="-12"/>
              </w:rPr>
              <w:t xml:space="preserve"> </w:t>
            </w:r>
            <w:r w:rsidRPr="00D4309F">
              <w:t>curtains, staging</w:t>
            </w:r>
            <w:r w:rsidRPr="00D4309F">
              <w:rPr>
                <w:spacing w:val="-3"/>
              </w:rPr>
              <w:t xml:space="preserve"> </w:t>
            </w:r>
            <w:r w:rsidRPr="00D4309F">
              <w:t>of</w:t>
            </w:r>
            <w:r w:rsidRPr="00D4309F">
              <w:rPr>
                <w:spacing w:val="-2"/>
              </w:rPr>
              <w:t xml:space="preserve"> works</w:t>
            </w:r>
          </w:p>
        </w:tc>
      </w:tr>
      <w:tr w:rsidR="00A21A9D" w:rsidRPr="00D4309F" w14:paraId="6EB3A24E" w14:textId="77777777" w:rsidTr="002A3DB2">
        <w:trPr>
          <w:cantSplit/>
          <w:trHeight w:val="20"/>
        </w:trPr>
        <w:tc>
          <w:tcPr>
            <w:tcW w:w="0" w:type="auto"/>
            <w:tcBorders>
              <w:top w:val="single" w:sz="4" w:space="0" w:color="000000"/>
              <w:bottom w:val="single" w:sz="4" w:space="0" w:color="000000"/>
            </w:tcBorders>
            <w:vAlign w:val="center"/>
          </w:tcPr>
          <w:p w14:paraId="0041CFEF" w14:textId="0A1BC490" w:rsidR="00A21A9D" w:rsidRPr="00D4309F" w:rsidRDefault="00A21A9D" w:rsidP="007A5DDD">
            <w:pPr>
              <w:pStyle w:val="Table-Text"/>
            </w:pPr>
            <w:r w:rsidRPr="00D4309F">
              <w:lastRenderedPageBreak/>
              <w:t>Marine environmental quality</w:t>
            </w:r>
          </w:p>
        </w:tc>
        <w:tc>
          <w:tcPr>
            <w:tcW w:w="0" w:type="auto"/>
            <w:tcBorders>
              <w:top w:val="single" w:sz="4" w:space="0" w:color="000000"/>
              <w:bottom w:val="single" w:sz="4" w:space="0" w:color="000000"/>
            </w:tcBorders>
            <w:vAlign w:val="center"/>
          </w:tcPr>
          <w:p w14:paraId="77D2C5E8" w14:textId="6650878D" w:rsidR="00A21A9D" w:rsidRPr="00D4309F" w:rsidRDefault="00A21A9D" w:rsidP="007A5DDD">
            <w:pPr>
              <w:pStyle w:val="Table-Text"/>
            </w:pPr>
            <w:r w:rsidRPr="00D4309F">
              <w:t>Water quality</w:t>
            </w:r>
          </w:p>
        </w:tc>
        <w:tc>
          <w:tcPr>
            <w:tcW w:w="0" w:type="auto"/>
            <w:tcBorders>
              <w:top w:val="single" w:sz="4" w:space="0" w:color="000000"/>
              <w:bottom w:val="single" w:sz="4" w:space="0" w:color="000000"/>
            </w:tcBorders>
            <w:vAlign w:val="center"/>
          </w:tcPr>
          <w:p w14:paraId="6BFF5D6D" w14:textId="3A6D11C0" w:rsidR="00A21A9D" w:rsidRPr="00D4309F" w:rsidRDefault="00A21A9D" w:rsidP="007A5DDD">
            <w:pPr>
              <w:pStyle w:val="Table-Bullet"/>
            </w:pPr>
            <w:r w:rsidRPr="00D4309F">
              <w:t xml:space="preserve">Release of </w:t>
            </w:r>
            <w:r w:rsidRPr="00D4309F">
              <w:rPr>
                <w:spacing w:val="-2"/>
              </w:rPr>
              <w:t>contaminants/hypoxia</w:t>
            </w:r>
          </w:p>
        </w:tc>
        <w:tc>
          <w:tcPr>
            <w:tcW w:w="0" w:type="auto"/>
            <w:tcBorders>
              <w:top w:val="single" w:sz="4" w:space="0" w:color="000000"/>
              <w:bottom w:val="single" w:sz="4" w:space="0" w:color="000000"/>
            </w:tcBorders>
            <w:shd w:val="clear" w:color="auto" w:fill="92D050"/>
            <w:vAlign w:val="center"/>
          </w:tcPr>
          <w:p w14:paraId="3EB00879" w14:textId="054ED150" w:rsidR="00A21A9D" w:rsidRPr="007A5DDD" w:rsidRDefault="00A21A9D" w:rsidP="007A5DDD">
            <w:pPr>
              <w:pStyle w:val="Table-Text"/>
              <w:rPr>
                <w:b/>
                <w:bCs/>
              </w:rPr>
            </w:pPr>
            <w:r w:rsidRPr="007A5DDD">
              <w:rPr>
                <w:b/>
                <w:bCs/>
                <w:spacing w:val="-5"/>
              </w:rPr>
              <w:t>Low</w:t>
            </w:r>
          </w:p>
        </w:tc>
        <w:tc>
          <w:tcPr>
            <w:tcW w:w="0" w:type="auto"/>
            <w:tcBorders>
              <w:top w:val="single" w:sz="4" w:space="0" w:color="000000"/>
              <w:bottom w:val="single" w:sz="4" w:space="0" w:color="000000"/>
            </w:tcBorders>
            <w:vAlign w:val="center"/>
          </w:tcPr>
          <w:p w14:paraId="3BC0A661" w14:textId="77777777" w:rsidR="00A21A9D" w:rsidRPr="00D4309F" w:rsidRDefault="00A21A9D" w:rsidP="007A5DDD">
            <w:pPr>
              <w:pStyle w:val="Table-Bullet"/>
            </w:pPr>
            <w:r w:rsidRPr="00D4309F">
              <w:t>Bypass sediments likely comprise</w:t>
            </w:r>
            <w:r w:rsidRPr="00D4309F">
              <w:rPr>
                <w:spacing w:val="-13"/>
              </w:rPr>
              <w:t xml:space="preserve"> </w:t>
            </w:r>
            <w:r w:rsidRPr="00D4309F">
              <w:t>clean</w:t>
            </w:r>
            <w:r w:rsidRPr="00D4309F">
              <w:rPr>
                <w:spacing w:val="-12"/>
              </w:rPr>
              <w:t xml:space="preserve"> </w:t>
            </w:r>
            <w:r w:rsidRPr="00D4309F">
              <w:t>marine</w:t>
            </w:r>
            <w:r w:rsidRPr="00D4309F">
              <w:rPr>
                <w:spacing w:val="-13"/>
              </w:rPr>
              <w:t xml:space="preserve"> </w:t>
            </w:r>
            <w:r w:rsidRPr="00D4309F">
              <w:t>sand free of contaminants with low organic matter content</w:t>
            </w:r>
          </w:p>
          <w:p w14:paraId="68BBB98B" w14:textId="77777777" w:rsidR="00A21A9D" w:rsidRPr="00D4309F" w:rsidRDefault="00A21A9D" w:rsidP="007A5DDD">
            <w:pPr>
              <w:pStyle w:val="Table-Bullet"/>
            </w:pPr>
            <w:r w:rsidRPr="00D4309F">
              <w:t>Breakwater</w:t>
            </w:r>
            <w:r w:rsidRPr="00D4309F">
              <w:rPr>
                <w:spacing w:val="-8"/>
              </w:rPr>
              <w:t xml:space="preserve"> </w:t>
            </w:r>
            <w:r w:rsidRPr="00D4309F">
              <w:t>construction materials</w:t>
            </w:r>
            <w:r w:rsidRPr="00D4309F">
              <w:rPr>
                <w:spacing w:val="-13"/>
              </w:rPr>
              <w:t xml:space="preserve"> </w:t>
            </w:r>
            <w:r w:rsidRPr="00D4309F">
              <w:t>assumed</w:t>
            </w:r>
            <w:r w:rsidRPr="00D4309F">
              <w:rPr>
                <w:spacing w:val="-12"/>
              </w:rPr>
              <w:t xml:space="preserve"> </w:t>
            </w:r>
            <w:r w:rsidRPr="00D4309F">
              <w:t>to</w:t>
            </w:r>
            <w:r w:rsidRPr="00D4309F">
              <w:rPr>
                <w:spacing w:val="-13"/>
              </w:rPr>
              <w:t xml:space="preserve"> </w:t>
            </w:r>
            <w:r w:rsidRPr="00D4309F">
              <w:t>be free of contamination</w:t>
            </w:r>
          </w:p>
          <w:p w14:paraId="0241D6C3" w14:textId="04C9EF54" w:rsidR="00A21A9D" w:rsidRPr="00D4309F" w:rsidRDefault="00A21A9D" w:rsidP="007A5DDD">
            <w:pPr>
              <w:pStyle w:val="Table-Bullet"/>
            </w:pPr>
            <w:r w:rsidRPr="00D4309F">
              <w:t>Rock</w:t>
            </w:r>
            <w:r w:rsidRPr="00D4309F">
              <w:rPr>
                <w:spacing w:val="-9"/>
              </w:rPr>
              <w:t xml:space="preserve"> </w:t>
            </w:r>
            <w:r w:rsidRPr="00D4309F">
              <w:t>is</w:t>
            </w:r>
            <w:r w:rsidRPr="00D4309F">
              <w:rPr>
                <w:spacing w:val="-9"/>
              </w:rPr>
              <w:t xml:space="preserve"> </w:t>
            </w:r>
            <w:r w:rsidRPr="00D4309F">
              <w:t>likely</w:t>
            </w:r>
            <w:r w:rsidRPr="00D4309F">
              <w:rPr>
                <w:spacing w:val="-9"/>
              </w:rPr>
              <w:t xml:space="preserve"> </w:t>
            </w:r>
            <w:r w:rsidRPr="00D4309F">
              <w:t>to</w:t>
            </w:r>
            <w:r w:rsidRPr="00D4309F">
              <w:rPr>
                <w:spacing w:val="-10"/>
              </w:rPr>
              <w:t xml:space="preserve"> </w:t>
            </w:r>
            <w:r w:rsidRPr="00D4309F">
              <w:t xml:space="preserve">be </w:t>
            </w:r>
            <w:r w:rsidRPr="00D4309F">
              <w:rPr>
                <w:spacing w:val="-2"/>
              </w:rPr>
              <w:t>uncontaminated</w:t>
            </w:r>
          </w:p>
        </w:tc>
        <w:tc>
          <w:tcPr>
            <w:tcW w:w="1908" w:type="dxa"/>
            <w:tcBorders>
              <w:top w:val="single" w:sz="4" w:space="0" w:color="000000"/>
              <w:bottom w:val="single" w:sz="4" w:space="0" w:color="000000"/>
            </w:tcBorders>
            <w:vAlign w:val="center"/>
          </w:tcPr>
          <w:p w14:paraId="32D8B149" w14:textId="51EF1739" w:rsidR="00A21A9D" w:rsidRPr="00D4309F" w:rsidRDefault="00A21A9D" w:rsidP="007A5DDD">
            <w:pPr>
              <w:pStyle w:val="Table-Bullet"/>
              <w:rPr>
                <w:noProof/>
              </w:rPr>
            </w:pPr>
            <w:r w:rsidRPr="00D4309F">
              <w:t>Assumption</w:t>
            </w:r>
            <w:r w:rsidRPr="00D4309F">
              <w:rPr>
                <w:spacing w:val="-13"/>
              </w:rPr>
              <w:t xml:space="preserve"> </w:t>
            </w:r>
            <w:r w:rsidRPr="00D4309F">
              <w:t>that suitable data exists to inform this risk</w:t>
            </w:r>
          </w:p>
        </w:tc>
        <w:tc>
          <w:tcPr>
            <w:tcW w:w="2665" w:type="dxa"/>
            <w:tcBorders>
              <w:top w:val="single" w:sz="4" w:space="0" w:color="000000"/>
              <w:bottom w:val="single" w:sz="4" w:space="0" w:color="000000"/>
            </w:tcBorders>
            <w:vAlign w:val="center"/>
          </w:tcPr>
          <w:p w14:paraId="3E160B13" w14:textId="5C5AB7E7" w:rsidR="00A21A9D" w:rsidRPr="00D4309F" w:rsidRDefault="00A21A9D" w:rsidP="007A5DDD">
            <w:pPr>
              <w:pStyle w:val="Table-Bullet"/>
            </w:pPr>
            <w:r w:rsidRPr="00D4309F">
              <w:rPr>
                <w:color w:val="211E1F"/>
                <w:spacing w:val="-4"/>
              </w:rPr>
              <w:t>None</w:t>
            </w:r>
          </w:p>
        </w:tc>
      </w:tr>
      <w:tr w:rsidR="00A21A9D" w:rsidRPr="00D4309F" w14:paraId="18422B4C" w14:textId="77777777" w:rsidTr="002A3DB2">
        <w:trPr>
          <w:cantSplit/>
          <w:trHeight w:val="20"/>
        </w:trPr>
        <w:tc>
          <w:tcPr>
            <w:tcW w:w="0" w:type="auto"/>
            <w:tcBorders>
              <w:top w:val="single" w:sz="4" w:space="0" w:color="000000"/>
              <w:bottom w:val="single" w:sz="4" w:space="0" w:color="000000"/>
            </w:tcBorders>
            <w:vAlign w:val="center"/>
          </w:tcPr>
          <w:p w14:paraId="171E818B" w14:textId="1F4DFCBA" w:rsidR="00A21A9D" w:rsidRPr="00D4309F" w:rsidRDefault="00A21A9D" w:rsidP="007A5DDD">
            <w:pPr>
              <w:pStyle w:val="Table-Text"/>
            </w:pPr>
            <w:r w:rsidRPr="00D4309F">
              <w:t>Marine environmental quality</w:t>
            </w:r>
          </w:p>
        </w:tc>
        <w:tc>
          <w:tcPr>
            <w:tcW w:w="0" w:type="auto"/>
            <w:tcBorders>
              <w:top w:val="single" w:sz="4" w:space="0" w:color="000000"/>
              <w:bottom w:val="single" w:sz="4" w:space="0" w:color="000000"/>
            </w:tcBorders>
            <w:vAlign w:val="center"/>
          </w:tcPr>
          <w:p w14:paraId="085C7011" w14:textId="0DE51CF4" w:rsidR="00A21A9D" w:rsidRPr="00D4309F" w:rsidRDefault="00A21A9D" w:rsidP="007A5DDD">
            <w:pPr>
              <w:pStyle w:val="Table-Text"/>
            </w:pPr>
            <w:r w:rsidRPr="00D4309F">
              <w:t>Water quality</w:t>
            </w:r>
          </w:p>
        </w:tc>
        <w:tc>
          <w:tcPr>
            <w:tcW w:w="0" w:type="auto"/>
            <w:tcBorders>
              <w:top w:val="single" w:sz="4" w:space="0" w:color="000000"/>
              <w:bottom w:val="single" w:sz="4" w:space="0" w:color="000000"/>
            </w:tcBorders>
            <w:vAlign w:val="center"/>
          </w:tcPr>
          <w:p w14:paraId="5D43E2FD" w14:textId="299464A7" w:rsidR="00A21A9D" w:rsidRPr="00D4309F" w:rsidRDefault="00A21A9D" w:rsidP="007A5DDD">
            <w:pPr>
              <w:pStyle w:val="Table-Bullet"/>
            </w:pPr>
            <w:r w:rsidRPr="00D4309F">
              <w:t>Hydrocarbon</w:t>
            </w:r>
            <w:r w:rsidRPr="00D4309F">
              <w:rPr>
                <w:spacing w:val="-5"/>
              </w:rPr>
              <w:t xml:space="preserve"> </w:t>
            </w:r>
            <w:r w:rsidRPr="00D4309F">
              <w:rPr>
                <w:spacing w:val="-2"/>
              </w:rPr>
              <w:t>spills/waste</w:t>
            </w:r>
          </w:p>
        </w:tc>
        <w:tc>
          <w:tcPr>
            <w:tcW w:w="0" w:type="auto"/>
            <w:tcBorders>
              <w:top w:val="single" w:sz="4" w:space="0" w:color="000000"/>
              <w:bottom w:val="single" w:sz="4" w:space="0" w:color="000000"/>
            </w:tcBorders>
            <w:shd w:val="clear" w:color="auto" w:fill="92D050"/>
            <w:vAlign w:val="center"/>
          </w:tcPr>
          <w:p w14:paraId="1067E133" w14:textId="3CE6345C" w:rsidR="00A21A9D" w:rsidRPr="007A5DDD" w:rsidRDefault="00A21A9D" w:rsidP="007A5DDD">
            <w:pPr>
              <w:pStyle w:val="Table-Text"/>
              <w:rPr>
                <w:b/>
                <w:bCs/>
              </w:rPr>
            </w:pPr>
            <w:r w:rsidRPr="007A5DDD">
              <w:rPr>
                <w:b/>
                <w:bCs/>
                <w:spacing w:val="-5"/>
              </w:rPr>
              <w:t>Low</w:t>
            </w:r>
          </w:p>
        </w:tc>
        <w:tc>
          <w:tcPr>
            <w:tcW w:w="0" w:type="auto"/>
            <w:tcBorders>
              <w:top w:val="single" w:sz="4" w:space="0" w:color="000000"/>
              <w:bottom w:val="single" w:sz="4" w:space="0" w:color="000000"/>
            </w:tcBorders>
            <w:vAlign w:val="center"/>
          </w:tcPr>
          <w:p w14:paraId="7C371A78" w14:textId="66737128" w:rsidR="00A21A9D" w:rsidRPr="00D4309F" w:rsidRDefault="00A21A9D" w:rsidP="007A5DDD">
            <w:pPr>
              <w:pStyle w:val="Table-Bullet"/>
            </w:pPr>
            <w:r w:rsidRPr="00D4309F">
              <w:t>Compliance with standard procedures</w:t>
            </w:r>
            <w:r w:rsidRPr="00D4309F">
              <w:rPr>
                <w:spacing w:val="-13"/>
              </w:rPr>
              <w:t xml:space="preserve"> </w:t>
            </w:r>
            <w:r w:rsidRPr="00D4309F">
              <w:t>will</w:t>
            </w:r>
            <w:r w:rsidRPr="00D4309F">
              <w:rPr>
                <w:spacing w:val="-12"/>
              </w:rPr>
              <w:t xml:space="preserve"> </w:t>
            </w:r>
            <w:r w:rsidRPr="00D4309F">
              <w:t>minimise</w:t>
            </w:r>
            <w:r w:rsidRPr="00D4309F">
              <w:rPr>
                <w:spacing w:val="-13"/>
              </w:rPr>
              <w:t xml:space="preserve"> </w:t>
            </w:r>
            <w:r w:rsidRPr="00D4309F">
              <w:t xml:space="preserve">this </w:t>
            </w:r>
            <w:r w:rsidRPr="00D4309F">
              <w:rPr>
                <w:spacing w:val="-4"/>
              </w:rPr>
              <w:t>risk</w:t>
            </w:r>
          </w:p>
        </w:tc>
        <w:tc>
          <w:tcPr>
            <w:tcW w:w="1908" w:type="dxa"/>
            <w:tcBorders>
              <w:top w:val="single" w:sz="4" w:space="0" w:color="000000"/>
              <w:bottom w:val="single" w:sz="4" w:space="0" w:color="000000"/>
            </w:tcBorders>
            <w:vAlign w:val="center"/>
          </w:tcPr>
          <w:p w14:paraId="68FF6F98" w14:textId="75C8ED29" w:rsidR="00A21A9D" w:rsidRPr="00D4309F" w:rsidRDefault="00A21A9D" w:rsidP="007A5DDD">
            <w:pPr>
              <w:pStyle w:val="Table-Bullet"/>
              <w:rPr>
                <w:noProof/>
              </w:rPr>
            </w:pPr>
            <w:r w:rsidRPr="00D4309F">
              <w:rPr>
                <w:color w:val="211E1F"/>
                <w:spacing w:val="-4"/>
              </w:rPr>
              <w:t>None</w:t>
            </w:r>
          </w:p>
        </w:tc>
        <w:tc>
          <w:tcPr>
            <w:tcW w:w="2665" w:type="dxa"/>
            <w:tcBorders>
              <w:top w:val="single" w:sz="4" w:space="0" w:color="000000"/>
              <w:bottom w:val="single" w:sz="4" w:space="0" w:color="000000"/>
            </w:tcBorders>
            <w:vAlign w:val="center"/>
          </w:tcPr>
          <w:p w14:paraId="2A68F9C1" w14:textId="383F31BC" w:rsidR="00A21A9D" w:rsidRPr="00D4309F" w:rsidRDefault="00A21A9D" w:rsidP="007A5DDD">
            <w:pPr>
              <w:pStyle w:val="Table-Bullet"/>
            </w:pPr>
            <w:r w:rsidRPr="00D4309F">
              <w:t>Standard</w:t>
            </w:r>
            <w:r w:rsidRPr="00D4309F">
              <w:rPr>
                <w:spacing w:val="-13"/>
              </w:rPr>
              <w:t xml:space="preserve"> </w:t>
            </w:r>
            <w:r w:rsidRPr="00D4309F">
              <w:t>oil</w:t>
            </w:r>
            <w:r w:rsidRPr="00D4309F">
              <w:rPr>
                <w:spacing w:val="-12"/>
              </w:rPr>
              <w:t xml:space="preserve"> </w:t>
            </w:r>
            <w:r w:rsidRPr="00D4309F">
              <w:t>spill</w:t>
            </w:r>
            <w:r w:rsidRPr="00D4309F">
              <w:rPr>
                <w:spacing w:val="-13"/>
              </w:rPr>
              <w:t xml:space="preserve"> </w:t>
            </w:r>
            <w:r w:rsidRPr="00D4309F">
              <w:t>and waste procedures</w:t>
            </w:r>
          </w:p>
        </w:tc>
      </w:tr>
      <w:tr w:rsidR="00A21A9D" w:rsidRPr="00D4309F" w14:paraId="2ECB9348" w14:textId="77777777" w:rsidTr="002A3DB2">
        <w:trPr>
          <w:cantSplit/>
          <w:trHeight w:val="20"/>
        </w:trPr>
        <w:tc>
          <w:tcPr>
            <w:tcW w:w="0" w:type="auto"/>
            <w:tcBorders>
              <w:top w:val="single" w:sz="4" w:space="0" w:color="000000"/>
              <w:bottom w:val="single" w:sz="4" w:space="0" w:color="000000"/>
            </w:tcBorders>
            <w:vAlign w:val="center"/>
          </w:tcPr>
          <w:p w14:paraId="3F0CF380" w14:textId="6B63CC3D" w:rsidR="00A21A9D" w:rsidRPr="00D4309F" w:rsidRDefault="00A21A9D" w:rsidP="007A5DDD">
            <w:pPr>
              <w:pStyle w:val="Table-Text"/>
            </w:pPr>
            <w:r w:rsidRPr="00D4309F">
              <w:t>Marine environmental quality</w:t>
            </w:r>
          </w:p>
        </w:tc>
        <w:tc>
          <w:tcPr>
            <w:tcW w:w="0" w:type="auto"/>
            <w:tcBorders>
              <w:top w:val="single" w:sz="4" w:space="0" w:color="000000"/>
              <w:bottom w:val="single" w:sz="4" w:space="0" w:color="000000"/>
            </w:tcBorders>
            <w:vAlign w:val="center"/>
          </w:tcPr>
          <w:p w14:paraId="6EE6515C" w14:textId="6E9F4348" w:rsidR="00A21A9D" w:rsidRPr="00D4309F" w:rsidRDefault="00A21A9D" w:rsidP="007A5DDD">
            <w:pPr>
              <w:pStyle w:val="Table-Text"/>
            </w:pPr>
            <w:r w:rsidRPr="00D4309F">
              <w:t>Water quality</w:t>
            </w:r>
          </w:p>
        </w:tc>
        <w:tc>
          <w:tcPr>
            <w:tcW w:w="0" w:type="auto"/>
            <w:tcBorders>
              <w:top w:val="single" w:sz="4" w:space="0" w:color="000000"/>
              <w:bottom w:val="single" w:sz="4" w:space="0" w:color="000000"/>
            </w:tcBorders>
            <w:vAlign w:val="center"/>
          </w:tcPr>
          <w:p w14:paraId="14CC2ACA" w14:textId="6EE51C90" w:rsidR="00A21A9D" w:rsidRPr="00D4309F" w:rsidRDefault="00A21A9D" w:rsidP="007A5DDD">
            <w:pPr>
              <w:pStyle w:val="Table-Bullet"/>
            </w:pPr>
            <w:r w:rsidRPr="00D4309F">
              <w:t>Introduced</w:t>
            </w:r>
            <w:r w:rsidRPr="00D4309F">
              <w:rPr>
                <w:spacing w:val="-4"/>
              </w:rPr>
              <w:t xml:space="preserve"> </w:t>
            </w:r>
            <w:r w:rsidRPr="00D4309F">
              <w:t>marine</w:t>
            </w:r>
            <w:r w:rsidRPr="00D4309F">
              <w:rPr>
                <w:spacing w:val="-4"/>
              </w:rPr>
              <w:t xml:space="preserve"> </w:t>
            </w:r>
            <w:r w:rsidRPr="00D4309F">
              <w:rPr>
                <w:spacing w:val="-2"/>
              </w:rPr>
              <w:t>species</w:t>
            </w:r>
          </w:p>
        </w:tc>
        <w:tc>
          <w:tcPr>
            <w:tcW w:w="0" w:type="auto"/>
            <w:tcBorders>
              <w:top w:val="single" w:sz="4" w:space="0" w:color="000000"/>
              <w:bottom w:val="single" w:sz="4" w:space="0" w:color="000000"/>
            </w:tcBorders>
            <w:shd w:val="clear" w:color="auto" w:fill="92D050"/>
            <w:vAlign w:val="center"/>
          </w:tcPr>
          <w:p w14:paraId="77923E4D" w14:textId="6685A072" w:rsidR="00A21A9D" w:rsidRPr="007A5DDD" w:rsidRDefault="00A21A9D" w:rsidP="007A5DDD">
            <w:pPr>
              <w:pStyle w:val="Table-Text"/>
              <w:rPr>
                <w:b/>
                <w:bCs/>
              </w:rPr>
            </w:pPr>
            <w:r w:rsidRPr="007A5DDD">
              <w:rPr>
                <w:b/>
                <w:bCs/>
                <w:spacing w:val="-5"/>
              </w:rPr>
              <w:t>Low</w:t>
            </w:r>
          </w:p>
        </w:tc>
        <w:tc>
          <w:tcPr>
            <w:tcW w:w="0" w:type="auto"/>
            <w:tcBorders>
              <w:top w:val="single" w:sz="4" w:space="0" w:color="000000"/>
              <w:bottom w:val="single" w:sz="4" w:space="0" w:color="000000"/>
            </w:tcBorders>
            <w:vAlign w:val="center"/>
          </w:tcPr>
          <w:p w14:paraId="406D15A5" w14:textId="2F69110D" w:rsidR="00A21A9D" w:rsidRPr="00D4309F" w:rsidRDefault="00A21A9D" w:rsidP="007A5DDD">
            <w:pPr>
              <w:pStyle w:val="Table-Bullet"/>
            </w:pPr>
            <w:r w:rsidRPr="00D4309F">
              <w:t>Compliance with standard procedures</w:t>
            </w:r>
            <w:r w:rsidRPr="00D4309F">
              <w:rPr>
                <w:spacing w:val="-13"/>
              </w:rPr>
              <w:t xml:space="preserve"> </w:t>
            </w:r>
            <w:r w:rsidRPr="00D4309F">
              <w:t>will</w:t>
            </w:r>
            <w:r w:rsidRPr="00D4309F">
              <w:rPr>
                <w:spacing w:val="-12"/>
              </w:rPr>
              <w:t xml:space="preserve"> </w:t>
            </w:r>
            <w:r w:rsidRPr="00D4309F">
              <w:t>minimise</w:t>
            </w:r>
            <w:r w:rsidRPr="00D4309F">
              <w:rPr>
                <w:spacing w:val="-13"/>
              </w:rPr>
              <w:t xml:space="preserve"> </w:t>
            </w:r>
            <w:r w:rsidRPr="00D4309F">
              <w:t xml:space="preserve">this </w:t>
            </w:r>
            <w:r w:rsidRPr="00D4309F">
              <w:rPr>
                <w:spacing w:val="-4"/>
              </w:rPr>
              <w:t>risk</w:t>
            </w:r>
          </w:p>
        </w:tc>
        <w:tc>
          <w:tcPr>
            <w:tcW w:w="1908" w:type="dxa"/>
            <w:tcBorders>
              <w:top w:val="single" w:sz="4" w:space="0" w:color="000000"/>
              <w:bottom w:val="single" w:sz="4" w:space="0" w:color="000000"/>
            </w:tcBorders>
            <w:vAlign w:val="center"/>
          </w:tcPr>
          <w:p w14:paraId="33E43694" w14:textId="6CBFFF2E" w:rsidR="00A21A9D" w:rsidRPr="00D4309F" w:rsidRDefault="00A21A9D" w:rsidP="007A5DDD">
            <w:pPr>
              <w:pStyle w:val="Table-Bullet"/>
              <w:rPr>
                <w:noProof/>
              </w:rPr>
            </w:pPr>
            <w:r w:rsidRPr="00D4309F">
              <w:rPr>
                <w:color w:val="211E1F"/>
                <w:spacing w:val="-4"/>
              </w:rPr>
              <w:t>None</w:t>
            </w:r>
          </w:p>
        </w:tc>
        <w:tc>
          <w:tcPr>
            <w:tcW w:w="2665" w:type="dxa"/>
            <w:tcBorders>
              <w:top w:val="single" w:sz="4" w:space="0" w:color="000000"/>
              <w:bottom w:val="single" w:sz="4" w:space="0" w:color="000000"/>
            </w:tcBorders>
            <w:vAlign w:val="center"/>
          </w:tcPr>
          <w:p w14:paraId="550EAB39" w14:textId="1CAD714A" w:rsidR="00A21A9D" w:rsidRPr="00D4309F" w:rsidRDefault="00A21A9D" w:rsidP="007A5DDD">
            <w:pPr>
              <w:pStyle w:val="Table-Bullet"/>
            </w:pPr>
            <w:r w:rsidRPr="00D4309F">
              <w:t xml:space="preserve">Compliance with standard state and </w:t>
            </w:r>
            <w:r w:rsidRPr="00D4309F">
              <w:rPr>
                <w:spacing w:val="-2"/>
              </w:rPr>
              <w:t xml:space="preserve">commonwealth </w:t>
            </w:r>
            <w:r w:rsidRPr="00D4309F">
              <w:t>procedures</w:t>
            </w:r>
            <w:r w:rsidRPr="00D4309F">
              <w:rPr>
                <w:spacing w:val="-13"/>
              </w:rPr>
              <w:t xml:space="preserve"> </w:t>
            </w:r>
            <w:r w:rsidRPr="00D4309F">
              <w:t xml:space="preserve">regarding </w:t>
            </w:r>
            <w:r w:rsidRPr="00D4309F">
              <w:rPr>
                <w:spacing w:val="-4"/>
              </w:rPr>
              <w:t>IMS</w:t>
            </w:r>
          </w:p>
        </w:tc>
      </w:tr>
      <w:tr w:rsidR="00A21A9D" w:rsidRPr="00D4309F" w14:paraId="67CFAAB2" w14:textId="77777777" w:rsidTr="002A3DB2">
        <w:trPr>
          <w:cantSplit/>
          <w:trHeight w:val="20"/>
        </w:trPr>
        <w:tc>
          <w:tcPr>
            <w:tcW w:w="0" w:type="auto"/>
            <w:tcBorders>
              <w:top w:val="single" w:sz="4" w:space="0" w:color="000000"/>
              <w:bottom w:val="single" w:sz="4" w:space="0" w:color="000000"/>
            </w:tcBorders>
            <w:vAlign w:val="center"/>
          </w:tcPr>
          <w:p w14:paraId="4F6DD5BD" w14:textId="223E264A" w:rsidR="00A21A9D" w:rsidRPr="00D4309F" w:rsidRDefault="00A21A9D" w:rsidP="007A5DDD">
            <w:pPr>
              <w:pStyle w:val="Table-Text"/>
            </w:pPr>
            <w:r w:rsidRPr="00D4309F">
              <w:lastRenderedPageBreak/>
              <w:t>Marine</w:t>
            </w:r>
            <w:r w:rsidRPr="00D4309F">
              <w:rPr>
                <w:spacing w:val="-4"/>
              </w:rPr>
              <w:t xml:space="preserve"> </w:t>
            </w:r>
            <w:r w:rsidRPr="00D4309F">
              <w:t>fauna</w:t>
            </w:r>
          </w:p>
        </w:tc>
        <w:tc>
          <w:tcPr>
            <w:tcW w:w="0" w:type="auto"/>
            <w:tcBorders>
              <w:top w:val="single" w:sz="4" w:space="0" w:color="000000"/>
              <w:bottom w:val="single" w:sz="4" w:space="0" w:color="000000"/>
            </w:tcBorders>
            <w:vAlign w:val="center"/>
          </w:tcPr>
          <w:p w14:paraId="43AD9897" w14:textId="454FB727" w:rsidR="00A21A9D" w:rsidRPr="00D4309F" w:rsidRDefault="00A21A9D" w:rsidP="007A5DDD">
            <w:pPr>
              <w:pStyle w:val="Table-Text"/>
            </w:pPr>
            <w:r w:rsidRPr="00D4309F">
              <w:t>Turtles</w:t>
            </w:r>
          </w:p>
        </w:tc>
        <w:tc>
          <w:tcPr>
            <w:tcW w:w="0" w:type="auto"/>
            <w:tcBorders>
              <w:top w:val="single" w:sz="4" w:space="0" w:color="000000"/>
              <w:bottom w:val="single" w:sz="4" w:space="0" w:color="000000"/>
            </w:tcBorders>
            <w:vAlign w:val="center"/>
          </w:tcPr>
          <w:p w14:paraId="1E323DF1" w14:textId="77777777" w:rsidR="00A21A9D" w:rsidRPr="00D4309F" w:rsidRDefault="00A21A9D" w:rsidP="007A5DDD">
            <w:pPr>
              <w:pStyle w:val="Table-Bullet"/>
            </w:pPr>
            <w:r>
              <w:t>B</w:t>
            </w:r>
            <w:r w:rsidRPr="00D4309F">
              <w:t>ehavioural</w:t>
            </w:r>
            <w:r w:rsidRPr="00D4309F">
              <w:rPr>
                <w:spacing w:val="-15"/>
              </w:rPr>
              <w:t xml:space="preserve"> </w:t>
            </w:r>
            <w:r w:rsidRPr="00D4309F">
              <w:t>response</w:t>
            </w:r>
            <w:r w:rsidRPr="00D4309F">
              <w:rPr>
                <w:spacing w:val="-12"/>
              </w:rPr>
              <w:t xml:space="preserve"> </w:t>
            </w:r>
            <w:r w:rsidRPr="00D4309F">
              <w:t>and interruption of nesting behaviour due to light</w:t>
            </w:r>
          </w:p>
          <w:p w14:paraId="087F1A2D" w14:textId="77777777" w:rsidR="00A21A9D" w:rsidRPr="00D4309F" w:rsidRDefault="00A21A9D" w:rsidP="007A5DDD">
            <w:pPr>
              <w:pStyle w:val="Table-Bullet"/>
            </w:pPr>
            <w:r w:rsidRPr="00D4309F">
              <w:t>Mortality/injury</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 xml:space="preserve">vessel collision, entanglement, </w:t>
            </w:r>
            <w:r w:rsidRPr="00D4309F">
              <w:rPr>
                <w:spacing w:val="-2"/>
              </w:rPr>
              <w:t>entrainment</w:t>
            </w:r>
          </w:p>
          <w:p w14:paraId="0F1BD8BD" w14:textId="77777777" w:rsidR="00A21A9D" w:rsidRPr="00D4309F" w:rsidRDefault="00A21A9D" w:rsidP="007A5DDD">
            <w:pPr>
              <w:pStyle w:val="Table-Bullet"/>
            </w:pPr>
            <w:r w:rsidRPr="00D4309F">
              <w:t>Mortality/injury</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onshore plant and vehicle movement during beach profiling</w:t>
            </w:r>
          </w:p>
          <w:p w14:paraId="3A567A77" w14:textId="77777777" w:rsidR="00A21A9D" w:rsidRPr="00D4309F" w:rsidRDefault="00A21A9D" w:rsidP="007A5DDD">
            <w:pPr>
              <w:pStyle w:val="Table-Bullet"/>
            </w:pPr>
            <w:r w:rsidRPr="00D4309F">
              <w:t>Disturbance</w:t>
            </w:r>
            <w:r w:rsidRPr="00D4309F">
              <w:rPr>
                <w:spacing w:val="-4"/>
              </w:rPr>
              <w:t xml:space="preserve"> </w:t>
            </w:r>
            <w:r w:rsidRPr="00D4309F">
              <w:t>of</w:t>
            </w:r>
            <w:r w:rsidRPr="00D4309F">
              <w:rPr>
                <w:spacing w:val="-2"/>
              </w:rPr>
              <w:t xml:space="preserve"> </w:t>
            </w:r>
            <w:r w:rsidRPr="00D4309F">
              <w:t>habitat</w:t>
            </w:r>
            <w:r w:rsidRPr="00D4309F">
              <w:rPr>
                <w:spacing w:val="-3"/>
              </w:rPr>
              <w:t xml:space="preserve"> </w:t>
            </w:r>
            <w:r w:rsidRPr="00D4309F">
              <w:t>during sediment</w:t>
            </w:r>
            <w:r w:rsidRPr="00D4309F">
              <w:rPr>
                <w:spacing w:val="-13"/>
              </w:rPr>
              <w:t xml:space="preserve"> </w:t>
            </w:r>
            <w:r w:rsidRPr="00D4309F">
              <w:t>disposal</w:t>
            </w:r>
            <w:r w:rsidRPr="00D4309F">
              <w:rPr>
                <w:spacing w:val="-12"/>
              </w:rPr>
              <w:t xml:space="preserve"> </w:t>
            </w:r>
            <w:r w:rsidRPr="00D4309F">
              <w:t>and</w:t>
            </w:r>
            <w:r w:rsidRPr="00D4309F">
              <w:rPr>
                <w:spacing w:val="-13"/>
              </w:rPr>
              <w:t xml:space="preserve"> </w:t>
            </w:r>
            <w:r w:rsidRPr="00D4309F">
              <w:t xml:space="preserve">beach </w:t>
            </w:r>
            <w:r w:rsidRPr="00D4309F">
              <w:rPr>
                <w:spacing w:val="-2"/>
              </w:rPr>
              <w:t>reprofiling</w:t>
            </w:r>
          </w:p>
          <w:p w14:paraId="75C3A607" w14:textId="22A4FCBA" w:rsidR="00A21A9D" w:rsidRPr="00D4309F" w:rsidRDefault="00A21A9D" w:rsidP="007A5DDD">
            <w:pPr>
              <w:pStyle w:val="Table-Bullet"/>
            </w:pPr>
            <w:r w:rsidRPr="00D4309F">
              <w:t>Change of beach profile at Mooloolaba Main Beach due to</w:t>
            </w:r>
            <w:r w:rsidRPr="00D4309F">
              <w:rPr>
                <w:spacing w:val="-10"/>
              </w:rPr>
              <w:t xml:space="preserve"> </w:t>
            </w:r>
            <w:r w:rsidRPr="00D4309F">
              <w:t>sediment</w:t>
            </w:r>
            <w:r w:rsidRPr="00D4309F">
              <w:rPr>
                <w:spacing w:val="-10"/>
              </w:rPr>
              <w:t xml:space="preserve"> </w:t>
            </w:r>
            <w:r w:rsidRPr="00D4309F">
              <w:t>disposal</w:t>
            </w:r>
            <w:r w:rsidRPr="00D4309F">
              <w:rPr>
                <w:spacing w:val="-10"/>
              </w:rPr>
              <w:t xml:space="preserve"> </w:t>
            </w:r>
            <w:r w:rsidRPr="00D4309F">
              <w:t>direct</w:t>
            </w:r>
            <w:r w:rsidRPr="00D4309F">
              <w:rPr>
                <w:spacing w:val="-10"/>
              </w:rPr>
              <w:t xml:space="preserve"> </w:t>
            </w:r>
            <w:r w:rsidRPr="00D4309F">
              <w:t>to beach impacting nesting</w:t>
            </w:r>
          </w:p>
        </w:tc>
        <w:tc>
          <w:tcPr>
            <w:tcW w:w="0" w:type="auto"/>
            <w:tcBorders>
              <w:top w:val="single" w:sz="4" w:space="0" w:color="000000"/>
              <w:bottom w:val="single" w:sz="4" w:space="0" w:color="000000"/>
            </w:tcBorders>
            <w:shd w:val="clear" w:color="auto" w:fill="FFFF00"/>
            <w:vAlign w:val="center"/>
          </w:tcPr>
          <w:p w14:paraId="6DC55E31" w14:textId="2E8028B7" w:rsidR="00A21A9D" w:rsidRPr="007A5DDD" w:rsidRDefault="00A21A9D" w:rsidP="007A5DDD">
            <w:pPr>
              <w:pStyle w:val="Table-Text"/>
              <w:rPr>
                <w:b/>
                <w:bCs/>
                <w:spacing w:val="-5"/>
              </w:rPr>
            </w:pPr>
            <w:r w:rsidRPr="007A5DDD">
              <w:rPr>
                <w:b/>
                <w:bCs/>
                <w:spacing w:val="-2"/>
              </w:rPr>
              <w:t>Moderate</w:t>
            </w:r>
          </w:p>
        </w:tc>
        <w:tc>
          <w:tcPr>
            <w:tcW w:w="0" w:type="auto"/>
            <w:tcBorders>
              <w:top w:val="single" w:sz="4" w:space="0" w:color="000000"/>
              <w:bottom w:val="single" w:sz="4" w:space="0" w:color="000000"/>
            </w:tcBorders>
            <w:vAlign w:val="center"/>
          </w:tcPr>
          <w:p w14:paraId="47BB5D2F" w14:textId="05A6B05A" w:rsidR="00A21A9D" w:rsidRPr="00D4309F" w:rsidRDefault="00A21A9D" w:rsidP="007A5DDD">
            <w:pPr>
              <w:pStyle w:val="Table-Bullet"/>
            </w:pPr>
            <w:r w:rsidRPr="00D4309F">
              <w:t>Several turtle species listed as</w:t>
            </w:r>
            <w:r w:rsidRPr="00D4309F">
              <w:rPr>
                <w:spacing w:val="-13"/>
              </w:rPr>
              <w:t xml:space="preserve"> </w:t>
            </w:r>
            <w:r w:rsidRPr="00D4309F">
              <w:t>endangered</w:t>
            </w:r>
            <w:r w:rsidRPr="00D4309F">
              <w:rPr>
                <w:spacing w:val="-12"/>
              </w:rPr>
              <w:t xml:space="preserve"> </w:t>
            </w:r>
            <w:r w:rsidRPr="00D4309F">
              <w:t>or</w:t>
            </w:r>
            <w:r w:rsidRPr="00D4309F">
              <w:rPr>
                <w:spacing w:val="-13"/>
              </w:rPr>
              <w:t xml:space="preserve"> </w:t>
            </w:r>
            <w:r w:rsidRPr="00D4309F">
              <w:t>vulnerable under the EPBC were identified in the project area with Green (Vulnerable) and Loggerhead (Endangered) turtles known to nest on Buddina and Mooloolaba beaches. Therefore, potential impacts need</w:t>
            </w:r>
            <w:r w:rsidRPr="00D4309F">
              <w:rPr>
                <w:spacing w:val="-1"/>
              </w:rPr>
              <w:t xml:space="preserve"> </w:t>
            </w:r>
            <w:r w:rsidRPr="00D4309F">
              <w:t>to</w:t>
            </w:r>
            <w:r w:rsidRPr="00D4309F">
              <w:rPr>
                <w:spacing w:val="-1"/>
              </w:rPr>
              <w:t xml:space="preserve"> </w:t>
            </w:r>
            <w:r w:rsidRPr="00D4309F">
              <w:t>be managed accordingly.</w:t>
            </w:r>
          </w:p>
        </w:tc>
        <w:tc>
          <w:tcPr>
            <w:tcW w:w="1908" w:type="dxa"/>
            <w:tcBorders>
              <w:top w:val="single" w:sz="4" w:space="0" w:color="000000"/>
              <w:bottom w:val="single" w:sz="4" w:space="0" w:color="000000"/>
            </w:tcBorders>
            <w:vAlign w:val="center"/>
          </w:tcPr>
          <w:p w14:paraId="66C82530" w14:textId="77777777" w:rsidR="00A21A9D" w:rsidRPr="00D4309F" w:rsidRDefault="00A21A9D" w:rsidP="007A5DDD">
            <w:pPr>
              <w:pStyle w:val="Table-Bullet"/>
            </w:pPr>
            <w:r w:rsidRPr="00D4309F">
              <w:t xml:space="preserve">Assessment of </w:t>
            </w:r>
            <w:r w:rsidRPr="00D4309F">
              <w:rPr>
                <w:spacing w:val="-2"/>
              </w:rPr>
              <w:t>shoreline</w:t>
            </w:r>
            <w:r w:rsidRPr="00D4309F">
              <w:rPr>
                <w:spacing w:val="40"/>
              </w:rPr>
              <w:t xml:space="preserve"> </w:t>
            </w:r>
            <w:r w:rsidRPr="00D4309F">
              <w:t>response</w:t>
            </w:r>
            <w:r w:rsidRPr="00D4309F">
              <w:rPr>
                <w:spacing w:val="-15"/>
              </w:rPr>
              <w:t xml:space="preserve"> </w:t>
            </w:r>
            <w:r w:rsidRPr="00D4309F">
              <w:t>to</w:t>
            </w:r>
            <w:r w:rsidRPr="00D4309F">
              <w:rPr>
                <w:spacing w:val="-12"/>
              </w:rPr>
              <w:t xml:space="preserve"> </w:t>
            </w:r>
            <w:r w:rsidRPr="00D4309F">
              <w:t>works</w:t>
            </w:r>
          </w:p>
          <w:p w14:paraId="79F2B6C0" w14:textId="2747A0FE" w:rsidR="00A21A9D" w:rsidRPr="00D4309F" w:rsidRDefault="00A21A9D" w:rsidP="007A5DDD">
            <w:pPr>
              <w:pStyle w:val="Table-Bullet"/>
              <w:rPr>
                <w:color w:val="211E1F"/>
                <w:spacing w:val="-4"/>
              </w:rPr>
            </w:pPr>
            <w:r w:rsidRPr="00D4309F">
              <w:t>Light</w:t>
            </w:r>
            <w:r w:rsidRPr="00D4309F">
              <w:rPr>
                <w:spacing w:val="-13"/>
              </w:rPr>
              <w:t xml:space="preserve"> </w:t>
            </w:r>
            <w:r w:rsidRPr="00D4309F">
              <w:t xml:space="preserve">assessment if night works are </w:t>
            </w:r>
            <w:r w:rsidRPr="00D4309F">
              <w:rPr>
                <w:spacing w:val="-2"/>
              </w:rPr>
              <w:t>proposed</w:t>
            </w:r>
          </w:p>
        </w:tc>
        <w:tc>
          <w:tcPr>
            <w:tcW w:w="2665" w:type="dxa"/>
            <w:tcBorders>
              <w:top w:val="single" w:sz="4" w:space="0" w:color="000000"/>
              <w:bottom w:val="single" w:sz="4" w:space="0" w:color="000000"/>
            </w:tcBorders>
            <w:vAlign w:val="center"/>
          </w:tcPr>
          <w:p w14:paraId="01F80219" w14:textId="77777777" w:rsidR="00A21A9D" w:rsidRPr="00D4309F" w:rsidRDefault="00A21A9D" w:rsidP="007A5DDD">
            <w:pPr>
              <w:pStyle w:val="Table-Bullet"/>
            </w:pPr>
            <w:r w:rsidRPr="00D4309F">
              <w:t>Timing</w:t>
            </w:r>
            <w:r w:rsidRPr="00D4309F">
              <w:rPr>
                <w:spacing w:val="-15"/>
              </w:rPr>
              <w:t xml:space="preserve"> </w:t>
            </w:r>
            <w:r w:rsidRPr="00D4309F">
              <w:t>of</w:t>
            </w:r>
            <w:r w:rsidRPr="00D4309F">
              <w:rPr>
                <w:spacing w:val="-12"/>
              </w:rPr>
              <w:t xml:space="preserve"> </w:t>
            </w:r>
            <w:r w:rsidRPr="00D4309F">
              <w:t>works outside</w:t>
            </w:r>
            <w:r w:rsidRPr="00D4309F">
              <w:rPr>
                <w:spacing w:val="-5"/>
              </w:rPr>
              <w:t xml:space="preserve"> </w:t>
            </w:r>
            <w:r w:rsidRPr="00D4309F">
              <w:t>of</w:t>
            </w:r>
            <w:r w:rsidRPr="00D4309F">
              <w:rPr>
                <w:spacing w:val="-4"/>
              </w:rPr>
              <w:t xml:space="preserve"> </w:t>
            </w:r>
            <w:r w:rsidRPr="00D4309F">
              <w:t>turtle nesting periods</w:t>
            </w:r>
          </w:p>
          <w:p w14:paraId="22753A0C" w14:textId="77777777" w:rsidR="00A21A9D" w:rsidRPr="00D4309F" w:rsidRDefault="00A21A9D" w:rsidP="007A5DDD">
            <w:pPr>
              <w:pStyle w:val="Table-Bullet"/>
            </w:pPr>
            <w:r w:rsidRPr="00D4309F">
              <w:t>Limitation</w:t>
            </w:r>
            <w:r w:rsidRPr="00D4309F">
              <w:rPr>
                <w:spacing w:val="-13"/>
              </w:rPr>
              <w:t xml:space="preserve"> </w:t>
            </w:r>
            <w:r w:rsidRPr="00D4309F">
              <w:t>of</w:t>
            </w:r>
            <w:r w:rsidRPr="00D4309F">
              <w:rPr>
                <w:spacing w:val="-12"/>
              </w:rPr>
              <w:t xml:space="preserve"> </w:t>
            </w:r>
            <w:r w:rsidRPr="00D4309F">
              <w:t>works</w:t>
            </w:r>
            <w:r w:rsidRPr="00D4309F">
              <w:rPr>
                <w:spacing w:val="-12"/>
              </w:rPr>
              <w:t xml:space="preserve"> </w:t>
            </w:r>
            <w:r w:rsidRPr="00D4309F">
              <w:t xml:space="preserve">to daylight hours or if necessary, standard light mitigation </w:t>
            </w:r>
            <w:r w:rsidRPr="00D4309F">
              <w:rPr>
                <w:spacing w:val="-2"/>
              </w:rPr>
              <w:t>procedures</w:t>
            </w:r>
          </w:p>
          <w:p w14:paraId="0640A459" w14:textId="77777777" w:rsidR="00A21A9D" w:rsidRPr="00D4309F" w:rsidRDefault="00A21A9D" w:rsidP="007A5DDD">
            <w:pPr>
              <w:pStyle w:val="Table-Bullet"/>
            </w:pPr>
            <w:r w:rsidRPr="00D4309F">
              <w:t>Design to minimise disturbance of turtle habitat</w:t>
            </w:r>
            <w:r w:rsidRPr="00D4309F">
              <w:rPr>
                <w:spacing w:val="-15"/>
              </w:rPr>
              <w:t xml:space="preserve"> </w:t>
            </w:r>
            <w:r w:rsidRPr="00D4309F">
              <w:t>and</w:t>
            </w:r>
            <w:r w:rsidRPr="00D4309F">
              <w:rPr>
                <w:spacing w:val="-12"/>
              </w:rPr>
              <w:t xml:space="preserve"> </w:t>
            </w:r>
            <w:r w:rsidRPr="00D4309F">
              <w:t>maintain the beach profile</w:t>
            </w:r>
          </w:p>
          <w:p w14:paraId="78EDA778" w14:textId="77777777" w:rsidR="00A21A9D" w:rsidRPr="00D4309F" w:rsidRDefault="00A21A9D" w:rsidP="007A5DDD">
            <w:pPr>
              <w:pStyle w:val="Table-Bullet"/>
            </w:pPr>
            <w:r w:rsidRPr="00D4309F">
              <w:t>Standard marine fauna mitigation practices</w:t>
            </w:r>
            <w:r w:rsidRPr="00D4309F">
              <w:rPr>
                <w:spacing w:val="-15"/>
              </w:rPr>
              <w:t xml:space="preserve"> </w:t>
            </w:r>
            <w:r w:rsidRPr="00D4309F">
              <w:t>e.g.</w:t>
            </w:r>
            <w:r w:rsidRPr="00D4309F">
              <w:rPr>
                <w:spacing w:val="-12"/>
              </w:rPr>
              <w:t xml:space="preserve"> </w:t>
            </w:r>
            <w:r w:rsidRPr="00D4309F">
              <w:t>marine fauna</w:t>
            </w:r>
            <w:r w:rsidRPr="00D4309F">
              <w:rPr>
                <w:spacing w:val="-6"/>
              </w:rPr>
              <w:t xml:space="preserve"> </w:t>
            </w:r>
            <w:r w:rsidRPr="00D4309F">
              <w:t>observers</w:t>
            </w:r>
            <w:r w:rsidRPr="00D4309F">
              <w:rPr>
                <w:spacing w:val="-5"/>
              </w:rPr>
              <w:t xml:space="preserve"> </w:t>
            </w:r>
            <w:r w:rsidRPr="00D4309F">
              <w:t>and exclusion zones</w:t>
            </w:r>
          </w:p>
          <w:p w14:paraId="503EAF30" w14:textId="77777777" w:rsidR="00A21A9D" w:rsidRPr="00D4309F" w:rsidRDefault="00A21A9D" w:rsidP="007A5DDD">
            <w:pPr>
              <w:pStyle w:val="Table-Bullet"/>
            </w:pPr>
            <w:r w:rsidRPr="00D4309F">
              <w:t>Turtle guards on bypassing</w:t>
            </w:r>
            <w:r w:rsidRPr="00D4309F">
              <w:rPr>
                <w:spacing w:val="-13"/>
              </w:rPr>
              <w:t xml:space="preserve"> </w:t>
            </w:r>
            <w:r w:rsidRPr="00D4309F">
              <w:t>equipment</w:t>
            </w:r>
          </w:p>
          <w:p w14:paraId="0FD3A360" w14:textId="77777777" w:rsidR="00A21A9D" w:rsidRPr="00D4309F" w:rsidRDefault="00A21A9D" w:rsidP="007A5DDD">
            <w:pPr>
              <w:pStyle w:val="Table-Bullet"/>
            </w:pPr>
            <w:r w:rsidRPr="00D4309F">
              <w:rPr>
                <w:spacing w:val="-2"/>
              </w:rPr>
              <w:t xml:space="preserve">Appropriate </w:t>
            </w:r>
            <w:r w:rsidRPr="00D4309F">
              <w:t>management for onshore works e.g. onshore</w:t>
            </w:r>
            <w:r w:rsidRPr="00D4309F">
              <w:rPr>
                <w:spacing w:val="-15"/>
              </w:rPr>
              <w:t xml:space="preserve"> </w:t>
            </w:r>
            <w:r w:rsidRPr="00D4309F">
              <w:t>vehicles</w:t>
            </w:r>
            <w:r w:rsidRPr="00D4309F">
              <w:rPr>
                <w:spacing w:val="-12"/>
              </w:rPr>
              <w:t xml:space="preserve"> </w:t>
            </w:r>
            <w:r w:rsidRPr="00D4309F">
              <w:t>and plant to operate in designated tracks and areas</w:t>
            </w:r>
          </w:p>
          <w:p w14:paraId="6F59EC6B" w14:textId="452F52AC" w:rsidR="00A21A9D" w:rsidRPr="00D4309F" w:rsidRDefault="00A21A9D" w:rsidP="007A5DDD">
            <w:pPr>
              <w:pStyle w:val="Table-Bullet"/>
            </w:pPr>
            <w:r w:rsidRPr="00D4309F">
              <w:t>Beach</w:t>
            </w:r>
            <w:r w:rsidRPr="00D4309F">
              <w:rPr>
                <w:spacing w:val="-13"/>
              </w:rPr>
              <w:t xml:space="preserve"> </w:t>
            </w:r>
            <w:r w:rsidRPr="00D4309F">
              <w:t xml:space="preserve">profile </w:t>
            </w:r>
            <w:r w:rsidRPr="00D4309F">
              <w:rPr>
                <w:spacing w:val="-2"/>
              </w:rPr>
              <w:t>monitoring</w:t>
            </w:r>
          </w:p>
        </w:tc>
      </w:tr>
      <w:tr w:rsidR="00A21A9D" w:rsidRPr="00D4309F" w14:paraId="276E7066" w14:textId="77777777" w:rsidTr="002A3DB2">
        <w:trPr>
          <w:cantSplit/>
          <w:trHeight w:val="20"/>
        </w:trPr>
        <w:tc>
          <w:tcPr>
            <w:tcW w:w="0" w:type="auto"/>
            <w:tcBorders>
              <w:top w:val="single" w:sz="4" w:space="0" w:color="000000"/>
              <w:bottom w:val="single" w:sz="4" w:space="0" w:color="000000"/>
            </w:tcBorders>
            <w:vAlign w:val="center"/>
          </w:tcPr>
          <w:p w14:paraId="21EC7177" w14:textId="3DDC8A47" w:rsidR="00A21A9D" w:rsidRPr="00D4309F" w:rsidRDefault="00A21A9D" w:rsidP="007A5DDD">
            <w:pPr>
              <w:pStyle w:val="Table-Text"/>
            </w:pPr>
            <w:r w:rsidRPr="00D4309F">
              <w:t>Marine</w:t>
            </w:r>
            <w:r w:rsidRPr="00D4309F">
              <w:rPr>
                <w:spacing w:val="-4"/>
              </w:rPr>
              <w:t xml:space="preserve"> </w:t>
            </w:r>
            <w:r w:rsidRPr="00D4309F">
              <w:t>fauna</w:t>
            </w:r>
          </w:p>
        </w:tc>
        <w:tc>
          <w:tcPr>
            <w:tcW w:w="0" w:type="auto"/>
            <w:tcBorders>
              <w:top w:val="single" w:sz="4" w:space="0" w:color="000000"/>
              <w:bottom w:val="single" w:sz="4" w:space="0" w:color="000000"/>
            </w:tcBorders>
            <w:vAlign w:val="center"/>
          </w:tcPr>
          <w:p w14:paraId="06C99569" w14:textId="50B1A03B" w:rsidR="00A21A9D" w:rsidRPr="00D4309F" w:rsidRDefault="00A21A9D" w:rsidP="007A5DDD">
            <w:pPr>
              <w:pStyle w:val="Table-Text"/>
            </w:pPr>
            <w:r w:rsidRPr="00D4309F">
              <w:t>Marine mammals</w:t>
            </w:r>
          </w:p>
        </w:tc>
        <w:tc>
          <w:tcPr>
            <w:tcW w:w="0" w:type="auto"/>
            <w:tcBorders>
              <w:top w:val="single" w:sz="4" w:space="0" w:color="000000"/>
              <w:bottom w:val="single" w:sz="4" w:space="0" w:color="000000"/>
            </w:tcBorders>
            <w:vAlign w:val="center"/>
          </w:tcPr>
          <w:p w14:paraId="495CDA7D" w14:textId="77777777" w:rsidR="00A21A9D" w:rsidRPr="00D4309F" w:rsidRDefault="00A21A9D" w:rsidP="007A5DDD">
            <w:pPr>
              <w:pStyle w:val="Table-Bullet"/>
            </w:pPr>
            <w:r w:rsidRPr="00D4309F">
              <w:rPr>
                <w:spacing w:val="-2"/>
              </w:rPr>
              <w:t xml:space="preserve">Mortality/injury/behavioural </w:t>
            </w:r>
            <w:r w:rsidRPr="00D4309F">
              <w:t>response due to noise of construction,</w:t>
            </w:r>
            <w:r w:rsidRPr="00D4309F">
              <w:rPr>
                <w:spacing w:val="-13"/>
              </w:rPr>
              <w:t xml:space="preserve"> </w:t>
            </w:r>
            <w:r w:rsidRPr="00D4309F">
              <w:t>rock</w:t>
            </w:r>
            <w:r w:rsidRPr="00D4309F">
              <w:rPr>
                <w:spacing w:val="-12"/>
              </w:rPr>
              <w:t xml:space="preserve"> </w:t>
            </w:r>
            <w:r w:rsidRPr="00D4309F">
              <w:t>cutting</w:t>
            </w:r>
            <w:r w:rsidRPr="00D4309F">
              <w:rPr>
                <w:spacing w:val="-13"/>
              </w:rPr>
              <w:t xml:space="preserve"> </w:t>
            </w:r>
            <w:r w:rsidRPr="00D4309F">
              <w:t xml:space="preserve">and </w:t>
            </w:r>
            <w:r w:rsidRPr="00D4309F">
              <w:rPr>
                <w:spacing w:val="-2"/>
              </w:rPr>
              <w:t>bypassing</w:t>
            </w:r>
          </w:p>
          <w:p w14:paraId="7E7592F1" w14:textId="0A36CC33" w:rsidR="00A21A9D" w:rsidRPr="00D4309F" w:rsidRDefault="00A21A9D" w:rsidP="007A5DDD">
            <w:pPr>
              <w:pStyle w:val="Table-Bullet"/>
            </w:pPr>
            <w:r w:rsidRPr="00D4309F">
              <w:t>Vessel collision, entanglement,</w:t>
            </w:r>
            <w:r w:rsidRPr="00D4309F">
              <w:rPr>
                <w:spacing w:val="-13"/>
              </w:rPr>
              <w:t xml:space="preserve"> </w:t>
            </w:r>
            <w:r w:rsidRPr="00D4309F">
              <w:t>entrainment</w:t>
            </w:r>
          </w:p>
        </w:tc>
        <w:tc>
          <w:tcPr>
            <w:tcW w:w="0" w:type="auto"/>
            <w:tcBorders>
              <w:top w:val="single" w:sz="4" w:space="0" w:color="000000"/>
              <w:bottom w:val="single" w:sz="4" w:space="0" w:color="000000"/>
            </w:tcBorders>
            <w:shd w:val="clear" w:color="auto" w:fill="FFC000"/>
            <w:vAlign w:val="center"/>
          </w:tcPr>
          <w:p w14:paraId="7F93116C" w14:textId="73446B62" w:rsidR="00A21A9D" w:rsidRPr="007A5DDD" w:rsidRDefault="00A21A9D" w:rsidP="007A5DDD">
            <w:pPr>
              <w:pStyle w:val="Table-Text"/>
              <w:rPr>
                <w:b/>
                <w:bCs/>
                <w:spacing w:val="-5"/>
              </w:rPr>
            </w:pPr>
            <w:r w:rsidRPr="007A5DDD">
              <w:rPr>
                <w:b/>
                <w:bCs/>
              </w:rPr>
              <w:t xml:space="preserve">High (for </w:t>
            </w:r>
            <w:r w:rsidRPr="007A5DDD">
              <w:rPr>
                <w:b/>
                <w:bCs/>
                <w:spacing w:val="-2"/>
              </w:rPr>
              <w:t xml:space="preserve">breakwater </w:t>
            </w:r>
            <w:r w:rsidRPr="007A5DDD">
              <w:rPr>
                <w:b/>
                <w:bCs/>
              </w:rPr>
              <w:t>extension</w:t>
            </w:r>
            <w:r w:rsidRPr="007A5DDD">
              <w:rPr>
                <w:b/>
                <w:bCs/>
                <w:spacing w:val="-13"/>
              </w:rPr>
              <w:t xml:space="preserve"> </w:t>
            </w:r>
            <w:r w:rsidRPr="007A5DDD">
              <w:rPr>
                <w:b/>
                <w:bCs/>
              </w:rPr>
              <w:t>and rock cutting)</w:t>
            </w:r>
          </w:p>
        </w:tc>
        <w:tc>
          <w:tcPr>
            <w:tcW w:w="0" w:type="auto"/>
            <w:tcBorders>
              <w:top w:val="single" w:sz="4" w:space="0" w:color="000000"/>
              <w:bottom w:val="single" w:sz="4" w:space="0" w:color="000000"/>
            </w:tcBorders>
            <w:vAlign w:val="center"/>
          </w:tcPr>
          <w:p w14:paraId="22D88AE9" w14:textId="77777777" w:rsidR="00A21A9D" w:rsidRPr="00D4309F" w:rsidRDefault="00A21A9D" w:rsidP="007A5DDD">
            <w:pPr>
              <w:pStyle w:val="Table-Bullet"/>
            </w:pPr>
            <w:r w:rsidRPr="00D4309F">
              <w:t>Humpback whales may use the area for resting with calves</w:t>
            </w:r>
            <w:r w:rsidRPr="00D4309F">
              <w:rPr>
                <w:spacing w:val="-13"/>
              </w:rPr>
              <w:t xml:space="preserve"> </w:t>
            </w:r>
            <w:r w:rsidRPr="00D4309F">
              <w:t>during</w:t>
            </w:r>
            <w:r w:rsidRPr="00D4309F">
              <w:rPr>
                <w:spacing w:val="-12"/>
              </w:rPr>
              <w:t xml:space="preserve"> </w:t>
            </w:r>
            <w:r w:rsidRPr="00D4309F">
              <w:t>their</w:t>
            </w:r>
            <w:r w:rsidRPr="00D4309F">
              <w:rPr>
                <w:spacing w:val="-13"/>
              </w:rPr>
              <w:t xml:space="preserve"> </w:t>
            </w:r>
            <w:r w:rsidRPr="00D4309F">
              <w:t xml:space="preserve">migration </w:t>
            </w:r>
            <w:r w:rsidRPr="00D4309F">
              <w:rPr>
                <w:spacing w:val="-2"/>
              </w:rPr>
              <w:t>period</w:t>
            </w:r>
          </w:p>
          <w:p w14:paraId="48104F66" w14:textId="6855CD4E" w:rsidR="00A21A9D" w:rsidRPr="00D4309F" w:rsidRDefault="00A21A9D" w:rsidP="007A5DDD">
            <w:pPr>
              <w:pStyle w:val="Table-Bullet"/>
            </w:pPr>
            <w:r w:rsidRPr="00D4309F">
              <w:t>Species</w:t>
            </w:r>
            <w:r w:rsidRPr="00D4309F">
              <w:rPr>
                <w:spacing w:val="-3"/>
              </w:rPr>
              <w:t xml:space="preserve"> </w:t>
            </w:r>
            <w:r w:rsidRPr="00D4309F">
              <w:t>of</w:t>
            </w:r>
            <w:r w:rsidRPr="00D4309F">
              <w:rPr>
                <w:spacing w:val="-3"/>
              </w:rPr>
              <w:t xml:space="preserve"> </w:t>
            </w:r>
            <w:r w:rsidRPr="00D4309F">
              <w:t>dolphins</w:t>
            </w:r>
            <w:r w:rsidRPr="00D4309F">
              <w:rPr>
                <w:spacing w:val="-3"/>
              </w:rPr>
              <w:t xml:space="preserve"> </w:t>
            </w:r>
            <w:r w:rsidRPr="00D4309F">
              <w:t>listed</w:t>
            </w:r>
            <w:r w:rsidRPr="00D4309F">
              <w:rPr>
                <w:spacing w:val="-2"/>
              </w:rPr>
              <w:t xml:space="preserve"> </w:t>
            </w:r>
            <w:r w:rsidRPr="00D4309F">
              <w:t>as vulnerable</w:t>
            </w:r>
            <w:r w:rsidRPr="00D4309F">
              <w:rPr>
                <w:spacing w:val="-6"/>
              </w:rPr>
              <w:t xml:space="preserve"> </w:t>
            </w:r>
            <w:r w:rsidRPr="00D4309F">
              <w:t>may</w:t>
            </w:r>
            <w:r w:rsidRPr="00D4309F">
              <w:rPr>
                <w:spacing w:val="-4"/>
              </w:rPr>
              <w:t xml:space="preserve"> </w:t>
            </w:r>
            <w:r w:rsidRPr="00D4309F">
              <w:t>also</w:t>
            </w:r>
            <w:r w:rsidRPr="00D4309F">
              <w:rPr>
                <w:spacing w:val="-6"/>
              </w:rPr>
              <w:t xml:space="preserve"> </w:t>
            </w:r>
            <w:r w:rsidRPr="00D4309F">
              <w:t>occur</w:t>
            </w:r>
            <w:r w:rsidRPr="00D4309F">
              <w:rPr>
                <w:spacing w:val="-5"/>
              </w:rPr>
              <w:t xml:space="preserve"> </w:t>
            </w:r>
            <w:r w:rsidRPr="00D4309F">
              <w:t>in the</w:t>
            </w:r>
            <w:r w:rsidRPr="00D4309F">
              <w:rPr>
                <w:spacing w:val="-1"/>
              </w:rPr>
              <w:t xml:space="preserve"> </w:t>
            </w:r>
            <w:r w:rsidRPr="00D4309F">
              <w:t>area and</w:t>
            </w:r>
            <w:r w:rsidRPr="00D4309F">
              <w:rPr>
                <w:spacing w:val="-1"/>
              </w:rPr>
              <w:t xml:space="preserve"> </w:t>
            </w:r>
            <w:r w:rsidRPr="00D4309F">
              <w:t>while they tend to move away from noise sources</w:t>
            </w:r>
            <w:r w:rsidRPr="00D4309F">
              <w:rPr>
                <w:spacing w:val="-8"/>
              </w:rPr>
              <w:t xml:space="preserve"> </w:t>
            </w:r>
            <w:r w:rsidRPr="00D4309F">
              <w:t>and</w:t>
            </w:r>
            <w:r w:rsidRPr="00D4309F">
              <w:rPr>
                <w:spacing w:val="-9"/>
              </w:rPr>
              <w:t xml:space="preserve"> </w:t>
            </w:r>
            <w:r w:rsidRPr="00D4309F">
              <w:t>are</w:t>
            </w:r>
            <w:r w:rsidRPr="00D4309F">
              <w:rPr>
                <w:spacing w:val="-9"/>
              </w:rPr>
              <w:t xml:space="preserve"> </w:t>
            </w:r>
            <w:r w:rsidRPr="00D4309F">
              <w:t>at</w:t>
            </w:r>
            <w:r w:rsidRPr="00D4309F">
              <w:rPr>
                <w:spacing w:val="-8"/>
              </w:rPr>
              <w:t xml:space="preserve"> </w:t>
            </w:r>
            <w:r w:rsidRPr="00D4309F">
              <w:t>lower</w:t>
            </w:r>
            <w:r w:rsidRPr="00D4309F">
              <w:rPr>
                <w:spacing w:val="-8"/>
              </w:rPr>
              <w:t xml:space="preserve"> </w:t>
            </w:r>
            <w:r w:rsidRPr="00D4309F">
              <w:t xml:space="preserve">risk of injury, the greater level of noise generated from rock cutting requires further </w:t>
            </w:r>
            <w:r w:rsidRPr="00D4309F">
              <w:rPr>
                <w:spacing w:val="-2"/>
              </w:rPr>
              <w:t>assessment</w:t>
            </w:r>
          </w:p>
        </w:tc>
        <w:tc>
          <w:tcPr>
            <w:tcW w:w="1908" w:type="dxa"/>
            <w:tcBorders>
              <w:top w:val="single" w:sz="4" w:space="0" w:color="000000"/>
              <w:bottom w:val="single" w:sz="4" w:space="0" w:color="000000"/>
            </w:tcBorders>
            <w:vAlign w:val="center"/>
          </w:tcPr>
          <w:p w14:paraId="34C2DCF0" w14:textId="3EB2202C" w:rsidR="00A21A9D" w:rsidRPr="00D4309F" w:rsidRDefault="00A21A9D" w:rsidP="007A5DDD">
            <w:pPr>
              <w:pStyle w:val="Table-Bullet"/>
              <w:rPr>
                <w:color w:val="211E1F"/>
                <w:spacing w:val="-4"/>
              </w:rPr>
            </w:pPr>
            <w:r w:rsidRPr="00D4309F">
              <w:t>Underwater</w:t>
            </w:r>
            <w:r w:rsidRPr="00D4309F">
              <w:rPr>
                <w:spacing w:val="-13"/>
              </w:rPr>
              <w:t xml:space="preserve"> </w:t>
            </w:r>
            <w:r w:rsidRPr="00D4309F">
              <w:t xml:space="preserve">noise </w:t>
            </w:r>
            <w:r w:rsidRPr="00D4309F">
              <w:rPr>
                <w:spacing w:val="-2"/>
              </w:rPr>
              <w:t>assessment including modelling</w:t>
            </w:r>
          </w:p>
        </w:tc>
        <w:tc>
          <w:tcPr>
            <w:tcW w:w="2665" w:type="dxa"/>
            <w:tcBorders>
              <w:top w:val="single" w:sz="4" w:space="0" w:color="000000"/>
              <w:bottom w:val="single" w:sz="4" w:space="0" w:color="000000"/>
            </w:tcBorders>
            <w:vAlign w:val="center"/>
          </w:tcPr>
          <w:p w14:paraId="528914F8" w14:textId="77777777" w:rsidR="00A21A9D" w:rsidRPr="00D4309F" w:rsidRDefault="00A21A9D" w:rsidP="007A5DDD">
            <w:pPr>
              <w:pStyle w:val="Table-Bullet"/>
            </w:pPr>
            <w:r w:rsidRPr="00D4309F">
              <w:t>Timing of works outside of whale migration</w:t>
            </w:r>
            <w:r w:rsidRPr="00D4309F">
              <w:rPr>
                <w:spacing w:val="-13"/>
              </w:rPr>
              <w:t xml:space="preserve"> </w:t>
            </w:r>
            <w:r w:rsidRPr="00D4309F">
              <w:t>periods</w:t>
            </w:r>
          </w:p>
          <w:p w14:paraId="32A2B7B5" w14:textId="6FF657E4" w:rsidR="00A21A9D" w:rsidRPr="00D4309F" w:rsidRDefault="00A21A9D" w:rsidP="007A5DDD">
            <w:pPr>
              <w:pStyle w:val="Table-Bullet"/>
            </w:pPr>
            <w:r w:rsidRPr="00D4309F">
              <w:t>Standard marine fauna mitigation practices</w:t>
            </w:r>
            <w:r w:rsidRPr="00D4309F">
              <w:rPr>
                <w:spacing w:val="-15"/>
              </w:rPr>
              <w:t xml:space="preserve"> </w:t>
            </w:r>
            <w:r w:rsidRPr="00D4309F">
              <w:t>e.g.</w:t>
            </w:r>
            <w:r w:rsidRPr="00D4309F">
              <w:rPr>
                <w:spacing w:val="-12"/>
              </w:rPr>
              <w:t xml:space="preserve"> </w:t>
            </w:r>
            <w:r w:rsidRPr="00D4309F">
              <w:t>marine fauna</w:t>
            </w:r>
            <w:r w:rsidRPr="00D4309F">
              <w:rPr>
                <w:spacing w:val="-6"/>
              </w:rPr>
              <w:t xml:space="preserve"> </w:t>
            </w:r>
            <w:r w:rsidRPr="00D4309F">
              <w:t>observers</w:t>
            </w:r>
            <w:r w:rsidRPr="00D4309F">
              <w:rPr>
                <w:spacing w:val="-5"/>
              </w:rPr>
              <w:t xml:space="preserve"> </w:t>
            </w:r>
            <w:r w:rsidRPr="00D4309F">
              <w:t>and exclusion zone</w:t>
            </w:r>
          </w:p>
        </w:tc>
      </w:tr>
      <w:tr w:rsidR="00A21A9D" w:rsidRPr="00D4309F" w14:paraId="2E8227A6" w14:textId="77777777" w:rsidTr="002A3DB2">
        <w:trPr>
          <w:cantSplit/>
          <w:trHeight w:val="20"/>
        </w:trPr>
        <w:tc>
          <w:tcPr>
            <w:tcW w:w="0" w:type="auto"/>
            <w:tcBorders>
              <w:top w:val="single" w:sz="4" w:space="0" w:color="000000"/>
              <w:bottom w:val="single" w:sz="4" w:space="0" w:color="000000"/>
            </w:tcBorders>
            <w:vAlign w:val="center"/>
          </w:tcPr>
          <w:p w14:paraId="65F7C6FD" w14:textId="5896B1F3" w:rsidR="00A21A9D" w:rsidRPr="00D4309F" w:rsidRDefault="00A21A9D" w:rsidP="007A5DDD">
            <w:pPr>
              <w:pStyle w:val="Table-Text"/>
            </w:pPr>
            <w:r w:rsidRPr="00D4309F">
              <w:lastRenderedPageBreak/>
              <w:t>Marine</w:t>
            </w:r>
            <w:r w:rsidRPr="00D4309F">
              <w:rPr>
                <w:spacing w:val="-4"/>
              </w:rPr>
              <w:t xml:space="preserve"> </w:t>
            </w:r>
            <w:r w:rsidRPr="00D4309F">
              <w:t>fauna</w:t>
            </w:r>
          </w:p>
        </w:tc>
        <w:tc>
          <w:tcPr>
            <w:tcW w:w="0" w:type="auto"/>
            <w:tcBorders>
              <w:top w:val="single" w:sz="4" w:space="0" w:color="000000"/>
              <w:bottom w:val="single" w:sz="4" w:space="0" w:color="000000"/>
            </w:tcBorders>
            <w:vAlign w:val="center"/>
          </w:tcPr>
          <w:p w14:paraId="6D99D291" w14:textId="28359550" w:rsidR="00A21A9D" w:rsidRPr="00D4309F" w:rsidRDefault="00A21A9D" w:rsidP="007A5DDD">
            <w:pPr>
              <w:pStyle w:val="Table-Text"/>
            </w:pPr>
            <w:r w:rsidRPr="00D4309F">
              <w:t>Roosting Seabirds</w:t>
            </w:r>
          </w:p>
        </w:tc>
        <w:tc>
          <w:tcPr>
            <w:tcW w:w="0" w:type="auto"/>
            <w:tcBorders>
              <w:top w:val="single" w:sz="4" w:space="0" w:color="000000"/>
              <w:bottom w:val="single" w:sz="4" w:space="0" w:color="000000"/>
            </w:tcBorders>
            <w:vAlign w:val="center"/>
          </w:tcPr>
          <w:p w14:paraId="2AADF654" w14:textId="77777777" w:rsidR="00A21A9D" w:rsidRPr="00D4309F" w:rsidRDefault="00A21A9D" w:rsidP="007A5DDD">
            <w:pPr>
              <w:pStyle w:val="Table-Bullet"/>
            </w:pPr>
            <w:r w:rsidRPr="00D4309F">
              <w:rPr>
                <w:spacing w:val="-2"/>
              </w:rPr>
              <w:t xml:space="preserve">Mortality/injury/behavioural </w:t>
            </w:r>
            <w:r w:rsidRPr="00D4309F">
              <w:t>response</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construction, rock cutting and bypassing</w:t>
            </w:r>
          </w:p>
          <w:p w14:paraId="6ECFCD4E" w14:textId="77777777" w:rsidR="00A21A9D" w:rsidRPr="00D4309F" w:rsidRDefault="00A21A9D" w:rsidP="007A5DDD">
            <w:pPr>
              <w:pStyle w:val="Table-Bullet"/>
            </w:pPr>
            <w:r w:rsidRPr="00D4309F">
              <w:t>Behavioural</w:t>
            </w:r>
            <w:r w:rsidRPr="00D4309F">
              <w:rPr>
                <w:spacing w:val="-15"/>
              </w:rPr>
              <w:t xml:space="preserve"> </w:t>
            </w:r>
            <w:r w:rsidRPr="00D4309F">
              <w:t>response</w:t>
            </w:r>
            <w:r w:rsidRPr="00D4309F">
              <w:rPr>
                <w:spacing w:val="-12"/>
              </w:rPr>
              <w:t xml:space="preserve"> </w:t>
            </w:r>
            <w:r w:rsidRPr="00D4309F">
              <w:t>and interruption of nesting behaviour due to light</w:t>
            </w:r>
          </w:p>
          <w:p w14:paraId="35040C8B" w14:textId="77777777" w:rsidR="00A21A9D" w:rsidRPr="00D4309F" w:rsidRDefault="00A21A9D" w:rsidP="007A5DDD">
            <w:pPr>
              <w:pStyle w:val="Table-Bullet"/>
            </w:pPr>
            <w:r w:rsidRPr="00D4309F">
              <w:rPr>
                <w:spacing w:val="-2"/>
              </w:rPr>
              <w:t xml:space="preserve">Mortality/injury/behavioural </w:t>
            </w:r>
            <w:r w:rsidRPr="00D4309F">
              <w:t>response due to physical presence onshore</w:t>
            </w:r>
          </w:p>
          <w:p w14:paraId="7761F6DA" w14:textId="77777777" w:rsidR="00A21A9D" w:rsidRPr="00D4309F" w:rsidRDefault="00A21A9D" w:rsidP="007A5DDD">
            <w:pPr>
              <w:pStyle w:val="Table-Bullet"/>
            </w:pPr>
            <w:r w:rsidRPr="00D4309F">
              <w:t>Disturbance/degradation</w:t>
            </w:r>
            <w:r w:rsidRPr="00D4309F">
              <w:rPr>
                <w:spacing w:val="-13"/>
              </w:rPr>
              <w:t xml:space="preserve"> </w:t>
            </w:r>
            <w:r w:rsidRPr="00D4309F">
              <w:t xml:space="preserve">of habitat during pump </w:t>
            </w:r>
            <w:r w:rsidRPr="00D4309F">
              <w:rPr>
                <w:spacing w:val="-2"/>
              </w:rPr>
              <w:t>installation</w:t>
            </w:r>
          </w:p>
          <w:p w14:paraId="412FEBC7" w14:textId="0447F88B" w:rsidR="00A21A9D" w:rsidRPr="00D4309F" w:rsidRDefault="00A21A9D" w:rsidP="007A5DDD">
            <w:pPr>
              <w:pStyle w:val="Table-Bullet"/>
            </w:pPr>
            <w:r w:rsidRPr="00D4309F">
              <w:t>Mortality/injury</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onshore plant and vehicle movement during beach reprofiling</w:t>
            </w:r>
          </w:p>
        </w:tc>
        <w:tc>
          <w:tcPr>
            <w:tcW w:w="0" w:type="auto"/>
            <w:tcBorders>
              <w:top w:val="single" w:sz="4" w:space="0" w:color="000000"/>
              <w:bottom w:val="single" w:sz="4" w:space="0" w:color="000000"/>
            </w:tcBorders>
            <w:shd w:val="clear" w:color="auto" w:fill="FFFF00"/>
            <w:vAlign w:val="center"/>
          </w:tcPr>
          <w:p w14:paraId="667508BB" w14:textId="58169CF9" w:rsidR="00A21A9D" w:rsidRPr="007A5DDD" w:rsidRDefault="00A21A9D" w:rsidP="007A5DDD">
            <w:pPr>
              <w:pStyle w:val="Table-Text"/>
              <w:rPr>
                <w:b/>
                <w:bCs/>
                <w:spacing w:val="-5"/>
              </w:rPr>
            </w:pPr>
            <w:r w:rsidRPr="007A5DDD">
              <w:rPr>
                <w:b/>
                <w:bCs/>
                <w:spacing w:val="-2"/>
              </w:rPr>
              <w:t>Moderate</w:t>
            </w:r>
          </w:p>
        </w:tc>
        <w:tc>
          <w:tcPr>
            <w:tcW w:w="0" w:type="auto"/>
            <w:tcBorders>
              <w:top w:val="single" w:sz="4" w:space="0" w:color="000000"/>
              <w:bottom w:val="single" w:sz="4" w:space="0" w:color="000000"/>
            </w:tcBorders>
            <w:vAlign w:val="center"/>
          </w:tcPr>
          <w:p w14:paraId="32DCED2A" w14:textId="7690EA4D" w:rsidR="00A21A9D" w:rsidRPr="00D4309F" w:rsidRDefault="00A21A9D" w:rsidP="007A5DDD">
            <w:pPr>
              <w:pStyle w:val="Table-Bullet"/>
            </w:pPr>
            <w:r w:rsidRPr="00D4309F">
              <w:t>Several</w:t>
            </w:r>
            <w:r w:rsidRPr="00D4309F">
              <w:rPr>
                <w:spacing w:val="-13"/>
              </w:rPr>
              <w:t xml:space="preserve"> </w:t>
            </w:r>
            <w:r w:rsidRPr="00D4309F">
              <w:t>species</w:t>
            </w:r>
            <w:r w:rsidRPr="00D4309F">
              <w:rPr>
                <w:spacing w:val="-12"/>
              </w:rPr>
              <w:t xml:space="preserve"> </w:t>
            </w:r>
            <w:r w:rsidRPr="00D4309F">
              <w:t>of</w:t>
            </w:r>
            <w:r w:rsidRPr="00D4309F">
              <w:rPr>
                <w:spacing w:val="-13"/>
              </w:rPr>
              <w:t xml:space="preserve"> </w:t>
            </w:r>
            <w:r w:rsidRPr="00D4309F">
              <w:t>migratory seabird aggregate and may nest at Point Cartwright and could be impacted</w:t>
            </w:r>
          </w:p>
        </w:tc>
        <w:tc>
          <w:tcPr>
            <w:tcW w:w="1908" w:type="dxa"/>
            <w:tcBorders>
              <w:top w:val="single" w:sz="4" w:space="0" w:color="000000"/>
              <w:bottom w:val="single" w:sz="4" w:space="0" w:color="000000"/>
            </w:tcBorders>
            <w:vAlign w:val="center"/>
          </w:tcPr>
          <w:p w14:paraId="307970C1" w14:textId="77777777" w:rsidR="00A21A9D" w:rsidRPr="00D4309F" w:rsidRDefault="00A21A9D" w:rsidP="007A5DDD">
            <w:pPr>
              <w:pStyle w:val="Table-Bullet"/>
            </w:pPr>
            <w:r w:rsidRPr="00D4309F">
              <w:t>Noise</w:t>
            </w:r>
            <w:r w:rsidRPr="00D4309F">
              <w:rPr>
                <w:spacing w:val="-2"/>
              </w:rPr>
              <w:t xml:space="preserve"> assessment</w:t>
            </w:r>
          </w:p>
          <w:p w14:paraId="60832811" w14:textId="3DE75B6E" w:rsidR="00A21A9D" w:rsidRPr="00D4309F" w:rsidRDefault="00A21A9D" w:rsidP="007A5DDD">
            <w:pPr>
              <w:pStyle w:val="Table-Bullet"/>
              <w:rPr>
                <w:color w:val="211E1F"/>
                <w:spacing w:val="-4"/>
              </w:rPr>
            </w:pPr>
            <w:r w:rsidRPr="00D4309F">
              <w:t>Light</w:t>
            </w:r>
            <w:r w:rsidRPr="00D4309F">
              <w:rPr>
                <w:spacing w:val="-13"/>
              </w:rPr>
              <w:t xml:space="preserve"> </w:t>
            </w:r>
            <w:r w:rsidRPr="00D4309F">
              <w:t xml:space="preserve">assessment if night works are </w:t>
            </w:r>
            <w:r w:rsidRPr="00D4309F">
              <w:rPr>
                <w:spacing w:val="-2"/>
              </w:rPr>
              <w:t>proposed</w:t>
            </w:r>
          </w:p>
        </w:tc>
        <w:tc>
          <w:tcPr>
            <w:tcW w:w="2665" w:type="dxa"/>
            <w:tcBorders>
              <w:top w:val="single" w:sz="4" w:space="0" w:color="000000"/>
              <w:bottom w:val="single" w:sz="4" w:space="0" w:color="000000"/>
            </w:tcBorders>
            <w:vAlign w:val="center"/>
          </w:tcPr>
          <w:p w14:paraId="6FAB5117" w14:textId="77777777" w:rsidR="00A21A9D" w:rsidRPr="00D4309F" w:rsidRDefault="00A21A9D" w:rsidP="007A5DDD">
            <w:pPr>
              <w:pStyle w:val="Table-Bullet"/>
            </w:pPr>
            <w:r w:rsidRPr="00D4309F">
              <w:t>Timing of works outside of peak aggregation</w:t>
            </w:r>
            <w:r w:rsidRPr="00D4309F">
              <w:rPr>
                <w:spacing w:val="-13"/>
              </w:rPr>
              <w:t xml:space="preserve"> </w:t>
            </w:r>
            <w:r w:rsidRPr="00D4309F">
              <w:t>season (summer) for migratory terms</w:t>
            </w:r>
          </w:p>
          <w:p w14:paraId="22A4FCC7" w14:textId="1A52E029" w:rsidR="00A21A9D" w:rsidRPr="00D4309F" w:rsidRDefault="00A21A9D" w:rsidP="007A5DDD">
            <w:pPr>
              <w:pStyle w:val="Table-Bullet"/>
            </w:pPr>
            <w:r w:rsidRPr="00D4309F">
              <w:rPr>
                <w:spacing w:val="-2"/>
              </w:rPr>
              <w:t xml:space="preserve">Appropriate </w:t>
            </w:r>
            <w:r w:rsidRPr="00D4309F">
              <w:t>management for onshore works e.g. onshore</w:t>
            </w:r>
            <w:r w:rsidRPr="00D4309F">
              <w:rPr>
                <w:spacing w:val="-15"/>
              </w:rPr>
              <w:t xml:space="preserve"> </w:t>
            </w:r>
            <w:r w:rsidRPr="00D4309F">
              <w:t>vehicles</w:t>
            </w:r>
            <w:r w:rsidRPr="00D4309F">
              <w:rPr>
                <w:spacing w:val="-12"/>
              </w:rPr>
              <w:t xml:space="preserve"> </w:t>
            </w:r>
            <w:r w:rsidRPr="00D4309F">
              <w:t xml:space="preserve">and plant to operate in designated tracks and areas, design to avoid key habitat </w:t>
            </w:r>
            <w:r w:rsidRPr="00D4309F">
              <w:rPr>
                <w:spacing w:val="-2"/>
              </w:rPr>
              <w:t>areas.</w:t>
            </w:r>
          </w:p>
        </w:tc>
      </w:tr>
      <w:tr w:rsidR="00A21A9D" w:rsidRPr="00D4309F" w14:paraId="7BD37318" w14:textId="77777777" w:rsidTr="002A3DB2">
        <w:trPr>
          <w:cantSplit/>
          <w:trHeight w:val="20"/>
        </w:trPr>
        <w:tc>
          <w:tcPr>
            <w:tcW w:w="0" w:type="auto"/>
            <w:tcBorders>
              <w:top w:val="single" w:sz="4" w:space="0" w:color="000000"/>
              <w:bottom w:val="single" w:sz="4" w:space="0" w:color="000000"/>
            </w:tcBorders>
            <w:vAlign w:val="center"/>
          </w:tcPr>
          <w:p w14:paraId="5E81C48A" w14:textId="41B00D8E" w:rsidR="00A21A9D" w:rsidRPr="00D4309F" w:rsidRDefault="00A21A9D" w:rsidP="007A5DDD">
            <w:pPr>
              <w:pStyle w:val="Table-Text"/>
            </w:pPr>
            <w:r w:rsidRPr="00D4309F">
              <w:t>Marine</w:t>
            </w:r>
            <w:r w:rsidRPr="00D4309F">
              <w:rPr>
                <w:spacing w:val="-4"/>
              </w:rPr>
              <w:t xml:space="preserve"> </w:t>
            </w:r>
            <w:r w:rsidRPr="00D4309F">
              <w:t>fauna</w:t>
            </w:r>
          </w:p>
        </w:tc>
        <w:tc>
          <w:tcPr>
            <w:tcW w:w="0" w:type="auto"/>
            <w:tcBorders>
              <w:top w:val="single" w:sz="4" w:space="0" w:color="000000"/>
              <w:bottom w:val="single" w:sz="4" w:space="0" w:color="000000"/>
            </w:tcBorders>
            <w:vAlign w:val="center"/>
          </w:tcPr>
          <w:p w14:paraId="335DBBC0" w14:textId="1A04D196" w:rsidR="00A21A9D" w:rsidRPr="00D4309F" w:rsidRDefault="00A21A9D" w:rsidP="007A5DDD">
            <w:pPr>
              <w:pStyle w:val="Table-Text"/>
            </w:pPr>
            <w:r w:rsidRPr="00D4309F">
              <w:t>Foraging Seabirds</w:t>
            </w:r>
          </w:p>
        </w:tc>
        <w:tc>
          <w:tcPr>
            <w:tcW w:w="0" w:type="auto"/>
            <w:tcBorders>
              <w:top w:val="single" w:sz="4" w:space="0" w:color="000000"/>
              <w:bottom w:val="single" w:sz="4" w:space="0" w:color="000000"/>
            </w:tcBorders>
            <w:vAlign w:val="center"/>
          </w:tcPr>
          <w:p w14:paraId="2DF87185" w14:textId="45E92888" w:rsidR="00A21A9D" w:rsidRPr="00D4309F" w:rsidRDefault="00A21A9D" w:rsidP="007A5DDD">
            <w:pPr>
              <w:pStyle w:val="Table-Bullet"/>
            </w:pPr>
            <w:r w:rsidRPr="00D4309F">
              <w:t>Generation of turbidity impacting</w:t>
            </w:r>
            <w:r w:rsidRPr="00D4309F">
              <w:rPr>
                <w:spacing w:val="-15"/>
              </w:rPr>
              <w:t xml:space="preserve"> </w:t>
            </w:r>
            <w:r w:rsidRPr="00D4309F">
              <w:t>foraging</w:t>
            </w:r>
            <w:r w:rsidRPr="00D4309F">
              <w:rPr>
                <w:spacing w:val="-12"/>
              </w:rPr>
              <w:t xml:space="preserve"> </w:t>
            </w:r>
            <w:r w:rsidRPr="00D4309F">
              <w:t>activities</w:t>
            </w:r>
          </w:p>
        </w:tc>
        <w:tc>
          <w:tcPr>
            <w:tcW w:w="0" w:type="auto"/>
            <w:tcBorders>
              <w:top w:val="single" w:sz="4" w:space="0" w:color="000000"/>
              <w:bottom w:val="single" w:sz="4" w:space="0" w:color="000000"/>
            </w:tcBorders>
            <w:shd w:val="clear" w:color="auto" w:fill="FFFF00"/>
            <w:vAlign w:val="center"/>
          </w:tcPr>
          <w:p w14:paraId="2F27BAB5" w14:textId="1CC4B65C" w:rsidR="00A21A9D" w:rsidRPr="007A5DDD" w:rsidRDefault="00A21A9D" w:rsidP="007A5DDD">
            <w:pPr>
              <w:pStyle w:val="Table-Text"/>
              <w:rPr>
                <w:b/>
                <w:bCs/>
                <w:spacing w:val="-5"/>
              </w:rPr>
            </w:pPr>
            <w:r w:rsidRPr="007A5DDD">
              <w:rPr>
                <w:b/>
                <w:bCs/>
                <w:spacing w:val="-2"/>
              </w:rPr>
              <w:t>Moderate</w:t>
            </w:r>
          </w:p>
        </w:tc>
        <w:tc>
          <w:tcPr>
            <w:tcW w:w="0" w:type="auto"/>
            <w:tcBorders>
              <w:top w:val="single" w:sz="4" w:space="0" w:color="000000"/>
              <w:bottom w:val="single" w:sz="4" w:space="0" w:color="000000"/>
            </w:tcBorders>
            <w:vAlign w:val="center"/>
          </w:tcPr>
          <w:p w14:paraId="4194AFCE" w14:textId="77777777" w:rsidR="00A21A9D" w:rsidRPr="00D4309F" w:rsidRDefault="00A21A9D" w:rsidP="007A5DDD">
            <w:pPr>
              <w:pStyle w:val="Table-Bullet"/>
            </w:pPr>
            <w:r w:rsidRPr="00D4309F">
              <w:t>Turbidity will impede the ability of aerial feeding birds to see prey underwater, which will impact the Little Terns aggregating in Point Cartwright reserve. Larger seabirds</w:t>
            </w:r>
            <w:r w:rsidRPr="00D4309F">
              <w:rPr>
                <w:spacing w:val="-10"/>
              </w:rPr>
              <w:t xml:space="preserve"> </w:t>
            </w:r>
            <w:r w:rsidRPr="00D4309F">
              <w:t>will</w:t>
            </w:r>
            <w:r w:rsidRPr="00D4309F">
              <w:rPr>
                <w:spacing w:val="-10"/>
              </w:rPr>
              <w:t xml:space="preserve"> </w:t>
            </w:r>
            <w:r w:rsidRPr="00D4309F">
              <w:t>travel</w:t>
            </w:r>
            <w:r w:rsidRPr="00D4309F">
              <w:rPr>
                <w:spacing w:val="-10"/>
              </w:rPr>
              <w:t xml:space="preserve"> </w:t>
            </w:r>
            <w:r w:rsidRPr="00D4309F">
              <w:t>outside</w:t>
            </w:r>
            <w:r w:rsidRPr="00D4309F">
              <w:rPr>
                <w:spacing w:val="-11"/>
              </w:rPr>
              <w:t xml:space="preserve"> </w:t>
            </w:r>
            <w:r w:rsidRPr="00D4309F">
              <w:t>of the turbid zone to forage.</w:t>
            </w:r>
          </w:p>
          <w:p w14:paraId="00293726" w14:textId="77777777" w:rsidR="00A21A9D" w:rsidRPr="00D4309F" w:rsidRDefault="00A21A9D" w:rsidP="007A5DDD">
            <w:pPr>
              <w:pStyle w:val="Table-Bullet"/>
            </w:pPr>
            <w:r w:rsidRPr="00D4309F">
              <w:t>An assessment of the predicted plume extent will inform</w:t>
            </w:r>
            <w:r w:rsidRPr="00D4309F">
              <w:rPr>
                <w:spacing w:val="-10"/>
              </w:rPr>
              <w:t xml:space="preserve"> </w:t>
            </w:r>
            <w:r w:rsidRPr="00D4309F">
              <w:t>the</w:t>
            </w:r>
            <w:r w:rsidRPr="00D4309F">
              <w:rPr>
                <w:spacing w:val="-11"/>
              </w:rPr>
              <w:t xml:space="preserve"> </w:t>
            </w:r>
            <w:r w:rsidRPr="00D4309F">
              <w:t>extent</w:t>
            </w:r>
            <w:r w:rsidRPr="00D4309F">
              <w:rPr>
                <w:spacing w:val="-10"/>
              </w:rPr>
              <w:t xml:space="preserve"> </w:t>
            </w:r>
            <w:r w:rsidRPr="00D4309F">
              <w:t>of</w:t>
            </w:r>
            <w:r w:rsidRPr="00D4309F">
              <w:rPr>
                <w:spacing w:val="-10"/>
              </w:rPr>
              <w:t xml:space="preserve"> </w:t>
            </w:r>
            <w:r w:rsidRPr="00D4309F">
              <w:t>turbidity related</w:t>
            </w:r>
            <w:r w:rsidRPr="00D4309F">
              <w:rPr>
                <w:spacing w:val="-4"/>
              </w:rPr>
              <w:t xml:space="preserve"> </w:t>
            </w:r>
            <w:r w:rsidRPr="00D4309F">
              <w:t>impacts</w:t>
            </w:r>
            <w:r w:rsidRPr="00D4309F">
              <w:rPr>
                <w:spacing w:val="-2"/>
              </w:rPr>
              <w:t xml:space="preserve"> </w:t>
            </w:r>
            <w:r w:rsidRPr="00D4309F">
              <w:t>however</w:t>
            </w:r>
            <w:r w:rsidRPr="00D4309F">
              <w:rPr>
                <w:spacing w:val="-3"/>
              </w:rPr>
              <w:t xml:space="preserve"> </w:t>
            </w:r>
            <w:r w:rsidRPr="00D4309F">
              <w:t xml:space="preserve">as this is a dynamic, open ocean environment, any plume will likely dissipate </w:t>
            </w:r>
            <w:r w:rsidRPr="00D4309F">
              <w:rPr>
                <w:spacing w:val="-2"/>
              </w:rPr>
              <w:t>quickly</w:t>
            </w:r>
          </w:p>
          <w:p w14:paraId="22327EDB" w14:textId="483560F4" w:rsidR="00A21A9D" w:rsidRPr="00D4309F" w:rsidRDefault="00A21A9D" w:rsidP="007A5DDD">
            <w:pPr>
              <w:pStyle w:val="Table-Bullet"/>
            </w:pPr>
            <w:r w:rsidRPr="00D4309F">
              <w:t>Turbidity</w:t>
            </w:r>
            <w:r w:rsidRPr="00D4309F">
              <w:rPr>
                <w:spacing w:val="-2"/>
              </w:rPr>
              <w:t xml:space="preserve"> </w:t>
            </w:r>
            <w:r w:rsidRPr="00D4309F">
              <w:t>is</w:t>
            </w:r>
            <w:r w:rsidRPr="00D4309F">
              <w:rPr>
                <w:spacing w:val="-2"/>
              </w:rPr>
              <w:t xml:space="preserve"> </w:t>
            </w:r>
            <w:r w:rsidRPr="00D4309F">
              <w:t>likely</w:t>
            </w:r>
            <w:r w:rsidRPr="00D4309F">
              <w:rPr>
                <w:spacing w:val="-2"/>
              </w:rPr>
              <w:t xml:space="preserve"> </w:t>
            </w:r>
            <w:r w:rsidRPr="00D4309F">
              <w:t>to</w:t>
            </w:r>
            <w:r w:rsidRPr="00D4309F">
              <w:rPr>
                <w:spacing w:val="-3"/>
              </w:rPr>
              <w:t xml:space="preserve"> </w:t>
            </w:r>
            <w:r w:rsidRPr="00D4309F">
              <w:t>be</w:t>
            </w:r>
            <w:r w:rsidRPr="00D4309F">
              <w:rPr>
                <w:spacing w:val="-3"/>
              </w:rPr>
              <w:t xml:space="preserve"> </w:t>
            </w:r>
            <w:r w:rsidRPr="00D4309F">
              <w:t>more extensive and persistent during</w:t>
            </w:r>
            <w:r w:rsidRPr="00D4309F">
              <w:rPr>
                <w:spacing w:val="-15"/>
              </w:rPr>
              <w:t xml:space="preserve"> </w:t>
            </w:r>
            <w:r w:rsidRPr="00D4309F">
              <w:t>breakwater</w:t>
            </w:r>
            <w:r w:rsidRPr="00D4309F">
              <w:rPr>
                <w:spacing w:val="-12"/>
              </w:rPr>
              <w:t xml:space="preserve"> </w:t>
            </w:r>
            <w:r w:rsidRPr="00D4309F">
              <w:t>extension and rock cutting</w:t>
            </w:r>
          </w:p>
        </w:tc>
        <w:tc>
          <w:tcPr>
            <w:tcW w:w="1908" w:type="dxa"/>
            <w:tcBorders>
              <w:top w:val="single" w:sz="4" w:space="0" w:color="000000"/>
              <w:bottom w:val="single" w:sz="4" w:space="0" w:color="000000"/>
            </w:tcBorders>
            <w:vAlign w:val="center"/>
          </w:tcPr>
          <w:p w14:paraId="06396DE1" w14:textId="42D55AAA" w:rsidR="00A21A9D" w:rsidRPr="00D4309F" w:rsidRDefault="00A21A9D" w:rsidP="007A5DDD">
            <w:pPr>
              <w:pStyle w:val="Table-Bullet"/>
              <w:rPr>
                <w:color w:val="211E1F"/>
                <w:spacing w:val="-4"/>
              </w:rPr>
            </w:pPr>
            <w:r w:rsidRPr="00D4309F">
              <w:rPr>
                <w:spacing w:val="-2"/>
              </w:rPr>
              <w:t>Turbidity modelling</w:t>
            </w:r>
          </w:p>
        </w:tc>
        <w:tc>
          <w:tcPr>
            <w:tcW w:w="2665" w:type="dxa"/>
            <w:tcBorders>
              <w:top w:val="single" w:sz="4" w:space="0" w:color="000000"/>
              <w:bottom w:val="single" w:sz="4" w:space="0" w:color="000000"/>
            </w:tcBorders>
            <w:vAlign w:val="center"/>
          </w:tcPr>
          <w:p w14:paraId="0E0414D0" w14:textId="77777777" w:rsidR="00A21A9D" w:rsidRPr="00D4309F" w:rsidRDefault="00A21A9D" w:rsidP="007A5DDD">
            <w:pPr>
              <w:pStyle w:val="Table-Bullet"/>
            </w:pPr>
            <w:r w:rsidRPr="00D4309F">
              <w:t>Timing of works outside of peak aggregation</w:t>
            </w:r>
            <w:r w:rsidRPr="00D4309F">
              <w:rPr>
                <w:spacing w:val="-13"/>
              </w:rPr>
              <w:t xml:space="preserve"> </w:t>
            </w:r>
            <w:r w:rsidRPr="00D4309F">
              <w:t>season (summer) for migratory terms</w:t>
            </w:r>
          </w:p>
          <w:p w14:paraId="4D9F1600" w14:textId="77777777" w:rsidR="00A21A9D" w:rsidRPr="00D4309F" w:rsidRDefault="00A21A9D" w:rsidP="007A5DDD">
            <w:pPr>
              <w:pStyle w:val="Table-Bullet"/>
            </w:pPr>
            <w:r w:rsidRPr="00D4309F">
              <w:t>Turbidity</w:t>
            </w:r>
            <w:r w:rsidRPr="00D4309F">
              <w:rPr>
                <w:spacing w:val="-13"/>
              </w:rPr>
              <w:t xml:space="preserve"> </w:t>
            </w:r>
            <w:r w:rsidRPr="00D4309F">
              <w:t>monitoring during works</w:t>
            </w:r>
          </w:p>
          <w:p w14:paraId="6B1BDECE" w14:textId="77777777" w:rsidR="00A21A9D" w:rsidRPr="00D4309F" w:rsidRDefault="00A21A9D" w:rsidP="007A5DDD">
            <w:pPr>
              <w:pStyle w:val="Table-Bullet"/>
            </w:pPr>
            <w:r w:rsidRPr="00D4309F">
              <w:t>Standard turbidity mitigation</w:t>
            </w:r>
            <w:r w:rsidRPr="00D4309F">
              <w:rPr>
                <w:spacing w:val="-13"/>
              </w:rPr>
              <w:t xml:space="preserve"> </w:t>
            </w:r>
            <w:r w:rsidRPr="00D4309F">
              <w:t>procedures</w:t>
            </w:r>
          </w:p>
          <w:p w14:paraId="64390DCE" w14:textId="273F78C0" w:rsidR="00A21A9D" w:rsidRPr="00D4309F" w:rsidRDefault="00A21A9D" w:rsidP="007A5DDD">
            <w:pPr>
              <w:pStyle w:val="Table-Bullet"/>
            </w:pPr>
            <w:r w:rsidRPr="00D4309F">
              <w:t>e.g.</w:t>
            </w:r>
            <w:r w:rsidRPr="00D4309F">
              <w:rPr>
                <w:spacing w:val="-15"/>
              </w:rPr>
              <w:t xml:space="preserve"> </w:t>
            </w:r>
            <w:r w:rsidRPr="00D4309F">
              <w:t>silt</w:t>
            </w:r>
            <w:r w:rsidRPr="00D4309F">
              <w:rPr>
                <w:spacing w:val="-12"/>
              </w:rPr>
              <w:t xml:space="preserve"> </w:t>
            </w:r>
            <w:r w:rsidRPr="00D4309F">
              <w:t>curtains, staging</w:t>
            </w:r>
            <w:r w:rsidRPr="00D4309F">
              <w:rPr>
                <w:spacing w:val="-3"/>
              </w:rPr>
              <w:t xml:space="preserve"> </w:t>
            </w:r>
            <w:r w:rsidRPr="00D4309F">
              <w:t>of</w:t>
            </w:r>
            <w:r w:rsidRPr="00D4309F">
              <w:rPr>
                <w:spacing w:val="-2"/>
              </w:rPr>
              <w:t xml:space="preserve"> works</w:t>
            </w:r>
          </w:p>
        </w:tc>
      </w:tr>
      <w:tr w:rsidR="00A21A9D" w:rsidRPr="00D4309F" w14:paraId="596D42F1" w14:textId="77777777" w:rsidTr="002A3DB2">
        <w:trPr>
          <w:cantSplit/>
          <w:trHeight w:val="20"/>
        </w:trPr>
        <w:tc>
          <w:tcPr>
            <w:tcW w:w="0" w:type="auto"/>
            <w:tcBorders>
              <w:top w:val="single" w:sz="4" w:space="0" w:color="000000"/>
              <w:bottom w:val="single" w:sz="4" w:space="0" w:color="000000"/>
            </w:tcBorders>
            <w:vAlign w:val="center"/>
          </w:tcPr>
          <w:p w14:paraId="2A7463FC" w14:textId="5F89256F" w:rsidR="00A21A9D" w:rsidRPr="00D4309F" w:rsidRDefault="00A21A9D" w:rsidP="007A5DDD">
            <w:pPr>
              <w:pStyle w:val="Table-Text"/>
            </w:pPr>
            <w:r w:rsidRPr="00D4309F">
              <w:lastRenderedPageBreak/>
              <w:t>Marine</w:t>
            </w:r>
            <w:r w:rsidRPr="00D4309F">
              <w:rPr>
                <w:spacing w:val="-4"/>
              </w:rPr>
              <w:t xml:space="preserve"> </w:t>
            </w:r>
            <w:r w:rsidRPr="00D4309F">
              <w:t>fauna</w:t>
            </w:r>
          </w:p>
        </w:tc>
        <w:tc>
          <w:tcPr>
            <w:tcW w:w="0" w:type="auto"/>
            <w:tcBorders>
              <w:top w:val="single" w:sz="4" w:space="0" w:color="000000"/>
              <w:bottom w:val="single" w:sz="4" w:space="0" w:color="000000"/>
            </w:tcBorders>
            <w:vAlign w:val="center"/>
          </w:tcPr>
          <w:p w14:paraId="4E2C7BA9" w14:textId="2B6DFFE6" w:rsidR="00A21A9D" w:rsidRPr="00D4309F" w:rsidRDefault="00A21A9D" w:rsidP="007A5DDD">
            <w:pPr>
              <w:pStyle w:val="Table-Text"/>
            </w:pPr>
            <w:r w:rsidRPr="00D4309F">
              <w:rPr>
                <w:spacing w:val="-4"/>
              </w:rPr>
              <w:t xml:space="preserve">Site </w:t>
            </w:r>
            <w:r w:rsidRPr="00D4309F">
              <w:t>attached species</w:t>
            </w:r>
          </w:p>
        </w:tc>
        <w:tc>
          <w:tcPr>
            <w:tcW w:w="0" w:type="auto"/>
            <w:tcBorders>
              <w:top w:val="single" w:sz="4" w:space="0" w:color="000000"/>
              <w:bottom w:val="single" w:sz="4" w:space="0" w:color="000000"/>
            </w:tcBorders>
            <w:vAlign w:val="center"/>
          </w:tcPr>
          <w:p w14:paraId="35FED599" w14:textId="77777777" w:rsidR="00A21A9D" w:rsidRPr="00D4309F" w:rsidRDefault="00A21A9D" w:rsidP="007A5DDD">
            <w:pPr>
              <w:pStyle w:val="Table-Bullet"/>
            </w:pPr>
            <w:r w:rsidRPr="00D4309F">
              <w:t>Direct mortality/injury due to construction,</w:t>
            </w:r>
            <w:r w:rsidRPr="00D4309F">
              <w:rPr>
                <w:spacing w:val="-13"/>
              </w:rPr>
              <w:t xml:space="preserve"> </w:t>
            </w:r>
            <w:r w:rsidRPr="00D4309F">
              <w:t>rock</w:t>
            </w:r>
            <w:r w:rsidRPr="00D4309F">
              <w:rPr>
                <w:spacing w:val="-12"/>
              </w:rPr>
              <w:t xml:space="preserve"> </w:t>
            </w:r>
            <w:r w:rsidRPr="00D4309F">
              <w:t>cutting</w:t>
            </w:r>
            <w:r w:rsidRPr="00D4309F">
              <w:rPr>
                <w:spacing w:val="-13"/>
              </w:rPr>
              <w:t xml:space="preserve"> </w:t>
            </w:r>
            <w:r w:rsidRPr="00D4309F">
              <w:t xml:space="preserve">and </w:t>
            </w:r>
            <w:r w:rsidRPr="00D4309F">
              <w:rPr>
                <w:spacing w:val="-2"/>
              </w:rPr>
              <w:t>bypassing</w:t>
            </w:r>
          </w:p>
          <w:p w14:paraId="1B90D651" w14:textId="0C552D85" w:rsidR="00A21A9D" w:rsidRPr="00D4309F" w:rsidRDefault="00A21A9D" w:rsidP="007A5DDD">
            <w:pPr>
              <w:pStyle w:val="Table-Bullet"/>
            </w:pPr>
            <w:r w:rsidRPr="00D4309F">
              <w:rPr>
                <w:spacing w:val="-2"/>
              </w:rPr>
              <w:t xml:space="preserve">Mortality/injury/behavioural </w:t>
            </w:r>
            <w:r w:rsidRPr="00D4309F">
              <w:t>response due to physical effects of turbidity</w:t>
            </w:r>
          </w:p>
        </w:tc>
        <w:tc>
          <w:tcPr>
            <w:tcW w:w="0" w:type="auto"/>
            <w:tcBorders>
              <w:top w:val="single" w:sz="4" w:space="0" w:color="000000"/>
              <w:bottom w:val="single" w:sz="4" w:space="0" w:color="000000"/>
            </w:tcBorders>
            <w:shd w:val="clear" w:color="auto" w:fill="FFC000"/>
            <w:vAlign w:val="center"/>
          </w:tcPr>
          <w:p w14:paraId="1E7AA5B0" w14:textId="3AC0001D" w:rsidR="00A21A9D" w:rsidRPr="007A5DDD" w:rsidRDefault="00A21A9D" w:rsidP="007A5DDD">
            <w:pPr>
              <w:pStyle w:val="Table-Text"/>
              <w:rPr>
                <w:b/>
                <w:bCs/>
                <w:spacing w:val="-5"/>
              </w:rPr>
            </w:pPr>
            <w:r w:rsidRPr="007A5DDD">
              <w:rPr>
                <w:b/>
                <w:bCs/>
              </w:rPr>
              <w:t xml:space="preserve">High (for </w:t>
            </w:r>
            <w:r w:rsidRPr="007A5DDD">
              <w:rPr>
                <w:b/>
                <w:bCs/>
                <w:spacing w:val="-2"/>
              </w:rPr>
              <w:t xml:space="preserve">breakwater </w:t>
            </w:r>
            <w:r w:rsidRPr="007A5DDD">
              <w:rPr>
                <w:b/>
                <w:bCs/>
              </w:rPr>
              <w:t>extension</w:t>
            </w:r>
            <w:r w:rsidRPr="007A5DDD">
              <w:rPr>
                <w:b/>
                <w:bCs/>
                <w:spacing w:val="-13"/>
              </w:rPr>
              <w:t xml:space="preserve"> </w:t>
            </w:r>
            <w:r w:rsidRPr="007A5DDD">
              <w:rPr>
                <w:b/>
                <w:bCs/>
              </w:rPr>
              <w:t>and rock cutting)</w:t>
            </w:r>
          </w:p>
        </w:tc>
        <w:tc>
          <w:tcPr>
            <w:tcW w:w="0" w:type="auto"/>
            <w:tcBorders>
              <w:top w:val="single" w:sz="4" w:space="0" w:color="000000"/>
              <w:bottom w:val="single" w:sz="4" w:space="0" w:color="000000"/>
            </w:tcBorders>
            <w:vAlign w:val="center"/>
          </w:tcPr>
          <w:p w14:paraId="72D1263C" w14:textId="77777777" w:rsidR="00A21A9D" w:rsidRPr="00D4309F" w:rsidRDefault="00A21A9D" w:rsidP="007A5DDD">
            <w:pPr>
              <w:pStyle w:val="Table-Bullet"/>
            </w:pPr>
            <w:r w:rsidRPr="00D4309F">
              <w:t>These</w:t>
            </w:r>
            <w:r w:rsidRPr="00D4309F">
              <w:rPr>
                <w:spacing w:val="-13"/>
              </w:rPr>
              <w:t xml:space="preserve"> </w:t>
            </w:r>
            <w:r w:rsidRPr="00D4309F">
              <w:t>species</w:t>
            </w:r>
            <w:r w:rsidRPr="00D4309F">
              <w:rPr>
                <w:spacing w:val="-12"/>
              </w:rPr>
              <w:t xml:space="preserve"> </w:t>
            </w:r>
            <w:r w:rsidRPr="00D4309F">
              <w:t>are</w:t>
            </w:r>
            <w:r w:rsidRPr="00D4309F">
              <w:rPr>
                <w:spacing w:val="-13"/>
              </w:rPr>
              <w:t xml:space="preserve"> </w:t>
            </w:r>
            <w:r w:rsidRPr="00D4309F">
              <w:t xml:space="preserve">broadly distributed along the </w:t>
            </w:r>
            <w:r w:rsidRPr="00D4309F">
              <w:rPr>
                <w:spacing w:val="-2"/>
              </w:rPr>
              <w:t>coastline</w:t>
            </w:r>
          </w:p>
          <w:p w14:paraId="5CB4B37F" w14:textId="77777777" w:rsidR="00A21A9D" w:rsidRPr="00D4309F" w:rsidRDefault="00A21A9D" w:rsidP="007A5DDD">
            <w:pPr>
              <w:pStyle w:val="Table-Bullet"/>
            </w:pPr>
            <w:r w:rsidRPr="00D4309F">
              <w:t>The dredging and construction footprint area has a relatively small footprint but further assessment is required to determine the impact to habitat for species of high conservation</w:t>
            </w:r>
            <w:r w:rsidRPr="00D4309F">
              <w:rPr>
                <w:spacing w:val="-13"/>
              </w:rPr>
              <w:t xml:space="preserve"> </w:t>
            </w:r>
            <w:r w:rsidRPr="00D4309F">
              <w:t>value</w:t>
            </w:r>
            <w:r w:rsidRPr="00D4309F">
              <w:rPr>
                <w:spacing w:val="-12"/>
              </w:rPr>
              <w:t xml:space="preserve"> </w:t>
            </w:r>
            <w:r w:rsidRPr="00D4309F">
              <w:t>e.g.</w:t>
            </w:r>
            <w:r w:rsidRPr="00D4309F">
              <w:rPr>
                <w:spacing w:val="-13"/>
              </w:rPr>
              <w:t xml:space="preserve"> </w:t>
            </w:r>
            <w:r w:rsidRPr="00D4309F">
              <w:t>the endangered White’s Seahorse and sand yabby</w:t>
            </w:r>
          </w:p>
          <w:p w14:paraId="1B56F7F7" w14:textId="77777777" w:rsidR="00A21A9D" w:rsidRPr="00D4309F" w:rsidRDefault="00A21A9D" w:rsidP="007A5DDD">
            <w:pPr>
              <w:pStyle w:val="Table-Bullet"/>
            </w:pPr>
            <w:r w:rsidRPr="00D4309F">
              <w:t>Dredging</w:t>
            </w:r>
            <w:r w:rsidRPr="00D4309F">
              <w:rPr>
                <w:spacing w:val="-8"/>
              </w:rPr>
              <w:t xml:space="preserve"> </w:t>
            </w:r>
            <w:r w:rsidRPr="00D4309F">
              <w:t>is</w:t>
            </w:r>
            <w:r w:rsidRPr="00D4309F">
              <w:rPr>
                <w:spacing w:val="-7"/>
              </w:rPr>
              <w:t xml:space="preserve"> </w:t>
            </w:r>
            <w:r w:rsidRPr="00D4309F">
              <w:t>in</w:t>
            </w:r>
            <w:r w:rsidRPr="00D4309F">
              <w:rPr>
                <w:spacing w:val="-6"/>
              </w:rPr>
              <w:t xml:space="preserve"> </w:t>
            </w:r>
            <w:r w:rsidRPr="00D4309F">
              <w:t>a</w:t>
            </w:r>
            <w:r w:rsidRPr="00D4309F">
              <w:rPr>
                <w:spacing w:val="-8"/>
              </w:rPr>
              <w:t xml:space="preserve"> </w:t>
            </w:r>
            <w:r w:rsidRPr="00D4309F">
              <w:t>dynamic, open</w:t>
            </w:r>
            <w:r w:rsidRPr="00D4309F">
              <w:rPr>
                <w:spacing w:val="-15"/>
              </w:rPr>
              <w:t xml:space="preserve"> </w:t>
            </w:r>
            <w:r w:rsidRPr="00D4309F">
              <w:t>ocean</w:t>
            </w:r>
            <w:r w:rsidRPr="00D4309F">
              <w:rPr>
                <w:spacing w:val="-12"/>
              </w:rPr>
              <w:t xml:space="preserve"> </w:t>
            </w:r>
            <w:r w:rsidRPr="00D4309F">
              <w:t>environment, any plume will likely dissipate quickly</w:t>
            </w:r>
          </w:p>
          <w:p w14:paraId="6233169E" w14:textId="727376A0" w:rsidR="00A21A9D" w:rsidRPr="00D4309F" w:rsidRDefault="00A21A9D" w:rsidP="007A5DDD">
            <w:pPr>
              <w:pStyle w:val="Table-Bullet"/>
            </w:pPr>
            <w:r w:rsidRPr="00D4309F">
              <w:t>Turbidity</w:t>
            </w:r>
            <w:r w:rsidRPr="00D4309F">
              <w:rPr>
                <w:spacing w:val="-2"/>
              </w:rPr>
              <w:t xml:space="preserve"> </w:t>
            </w:r>
            <w:r w:rsidRPr="00D4309F">
              <w:t>is</w:t>
            </w:r>
            <w:r w:rsidRPr="00D4309F">
              <w:rPr>
                <w:spacing w:val="-2"/>
              </w:rPr>
              <w:t xml:space="preserve"> </w:t>
            </w:r>
            <w:r w:rsidRPr="00D4309F">
              <w:t>likely</w:t>
            </w:r>
            <w:r w:rsidRPr="00D4309F">
              <w:rPr>
                <w:spacing w:val="-2"/>
              </w:rPr>
              <w:t xml:space="preserve"> </w:t>
            </w:r>
            <w:r w:rsidRPr="00D4309F">
              <w:t>to</w:t>
            </w:r>
            <w:r w:rsidRPr="00D4309F">
              <w:rPr>
                <w:spacing w:val="-3"/>
              </w:rPr>
              <w:t xml:space="preserve"> </w:t>
            </w:r>
            <w:r w:rsidRPr="00D4309F">
              <w:t>be</w:t>
            </w:r>
            <w:r w:rsidRPr="00D4309F">
              <w:rPr>
                <w:spacing w:val="-3"/>
              </w:rPr>
              <w:t xml:space="preserve"> </w:t>
            </w:r>
            <w:r w:rsidRPr="00D4309F">
              <w:t>more extensive and persistent during</w:t>
            </w:r>
            <w:r w:rsidRPr="00D4309F">
              <w:rPr>
                <w:spacing w:val="-15"/>
              </w:rPr>
              <w:t xml:space="preserve"> </w:t>
            </w:r>
            <w:r w:rsidRPr="00D4309F">
              <w:t>breakwater</w:t>
            </w:r>
            <w:r w:rsidRPr="00D4309F">
              <w:rPr>
                <w:spacing w:val="-12"/>
              </w:rPr>
              <w:t xml:space="preserve"> </w:t>
            </w:r>
            <w:r w:rsidRPr="00D4309F">
              <w:t>extension and rock cutting</w:t>
            </w:r>
          </w:p>
        </w:tc>
        <w:tc>
          <w:tcPr>
            <w:tcW w:w="1908" w:type="dxa"/>
            <w:tcBorders>
              <w:top w:val="single" w:sz="4" w:space="0" w:color="000000"/>
              <w:bottom w:val="single" w:sz="4" w:space="0" w:color="000000"/>
            </w:tcBorders>
            <w:vAlign w:val="center"/>
          </w:tcPr>
          <w:p w14:paraId="5CF7A8C1" w14:textId="529AC54B" w:rsidR="00A21A9D" w:rsidRPr="00D4309F" w:rsidRDefault="00A21A9D" w:rsidP="007A5DDD">
            <w:pPr>
              <w:pStyle w:val="Table-Bullet"/>
              <w:rPr>
                <w:color w:val="211E1F"/>
                <w:spacing w:val="-4"/>
              </w:rPr>
            </w:pPr>
            <w:r w:rsidRPr="00D4309F">
              <w:t>Fauna</w:t>
            </w:r>
            <w:r w:rsidRPr="00D4309F">
              <w:rPr>
                <w:spacing w:val="-15"/>
              </w:rPr>
              <w:t xml:space="preserve"> </w:t>
            </w:r>
            <w:r w:rsidRPr="00D4309F">
              <w:t>/</w:t>
            </w:r>
            <w:r w:rsidRPr="00D4309F">
              <w:rPr>
                <w:spacing w:val="-12"/>
              </w:rPr>
              <w:t xml:space="preserve"> </w:t>
            </w:r>
            <w:r w:rsidRPr="00D4309F">
              <w:t xml:space="preserve">benthic </w:t>
            </w:r>
            <w:r w:rsidRPr="00D4309F">
              <w:rPr>
                <w:spacing w:val="-2"/>
              </w:rPr>
              <w:t>habitat assessment</w:t>
            </w:r>
          </w:p>
        </w:tc>
        <w:tc>
          <w:tcPr>
            <w:tcW w:w="2665" w:type="dxa"/>
            <w:tcBorders>
              <w:top w:val="single" w:sz="4" w:space="0" w:color="000000"/>
              <w:bottom w:val="single" w:sz="4" w:space="0" w:color="000000"/>
            </w:tcBorders>
            <w:vAlign w:val="center"/>
          </w:tcPr>
          <w:p w14:paraId="2411C989" w14:textId="168FC11D" w:rsidR="00A21A9D" w:rsidRPr="00D4309F" w:rsidRDefault="00A21A9D" w:rsidP="007A5DDD">
            <w:pPr>
              <w:pStyle w:val="Table-Bullet"/>
            </w:pPr>
            <w:r w:rsidRPr="00D4309F">
              <w:t>Construction and dredging designed to avoid protected marine</w:t>
            </w:r>
            <w:r w:rsidRPr="00D4309F">
              <w:rPr>
                <w:spacing w:val="-15"/>
              </w:rPr>
              <w:t xml:space="preserve"> </w:t>
            </w:r>
            <w:r w:rsidRPr="00D4309F">
              <w:t>fauna</w:t>
            </w:r>
            <w:r w:rsidRPr="00D4309F">
              <w:rPr>
                <w:spacing w:val="-12"/>
              </w:rPr>
              <w:t xml:space="preserve"> </w:t>
            </w:r>
            <w:r w:rsidRPr="00D4309F">
              <w:t>habitats</w:t>
            </w:r>
          </w:p>
        </w:tc>
      </w:tr>
      <w:tr w:rsidR="00A21A9D" w:rsidRPr="00D4309F" w14:paraId="28CF5E4B" w14:textId="77777777" w:rsidTr="002A3DB2">
        <w:trPr>
          <w:cantSplit/>
          <w:trHeight w:val="20"/>
        </w:trPr>
        <w:tc>
          <w:tcPr>
            <w:tcW w:w="0" w:type="auto"/>
            <w:tcBorders>
              <w:top w:val="single" w:sz="4" w:space="0" w:color="000000"/>
              <w:bottom w:val="single" w:sz="4" w:space="0" w:color="000000"/>
            </w:tcBorders>
            <w:vAlign w:val="center"/>
          </w:tcPr>
          <w:p w14:paraId="3DECA4C5" w14:textId="23F03A79" w:rsidR="00A21A9D" w:rsidRPr="00D4309F" w:rsidRDefault="00A21A9D" w:rsidP="007A5DDD">
            <w:pPr>
              <w:pStyle w:val="Table-Text"/>
            </w:pPr>
            <w:r w:rsidRPr="00D4309F">
              <w:t>Marine</w:t>
            </w:r>
            <w:r w:rsidRPr="00D4309F">
              <w:rPr>
                <w:spacing w:val="-4"/>
              </w:rPr>
              <w:t xml:space="preserve"> </w:t>
            </w:r>
            <w:r w:rsidRPr="00D4309F">
              <w:t>fauna</w:t>
            </w:r>
          </w:p>
        </w:tc>
        <w:tc>
          <w:tcPr>
            <w:tcW w:w="0" w:type="auto"/>
            <w:tcBorders>
              <w:top w:val="single" w:sz="4" w:space="0" w:color="000000"/>
              <w:bottom w:val="single" w:sz="4" w:space="0" w:color="000000"/>
            </w:tcBorders>
            <w:vAlign w:val="center"/>
          </w:tcPr>
          <w:p w14:paraId="3A79DC8E" w14:textId="51FFEBA1" w:rsidR="00A21A9D" w:rsidRPr="00D4309F" w:rsidRDefault="00A21A9D" w:rsidP="007A5DDD">
            <w:pPr>
              <w:pStyle w:val="Table-Text"/>
            </w:pPr>
            <w:r w:rsidRPr="00D4309F">
              <w:rPr>
                <w:spacing w:val="-4"/>
              </w:rPr>
              <w:t xml:space="preserve">Site </w:t>
            </w:r>
            <w:r w:rsidRPr="00D4309F">
              <w:t>attached species</w:t>
            </w:r>
          </w:p>
        </w:tc>
        <w:tc>
          <w:tcPr>
            <w:tcW w:w="0" w:type="auto"/>
            <w:tcBorders>
              <w:top w:val="single" w:sz="4" w:space="0" w:color="000000"/>
              <w:bottom w:val="single" w:sz="4" w:space="0" w:color="000000"/>
            </w:tcBorders>
            <w:vAlign w:val="center"/>
          </w:tcPr>
          <w:p w14:paraId="700EF5E5" w14:textId="61FF57C1" w:rsidR="00A21A9D" w:rsidRPr="00D4309F" w:rsidRDefault="00A21A9D" w:rsidP="007A5DDD">
            <w:pPr>
              <w:pStyle w:val="Table-Bullet"/>
            </w:pPr>
            <w:r w:rsidRPr="00D4309F">
              <w:rPr>
                <w:spacing w:val="-2"/>
              </w:rPr>
              <w:t xml:space="preserve">Mortality/injury/behavioural </w:t>
            </w:r>
            <w:r w:rsidRPr="00D4309F">
              <w:t>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toxic</w:t>
            </w:r>
            <w:r w:rsidRPr="00D4309F">
              <w:rPr>
                <w:spacing w:val="-10"/>
              </w:rPr>
              <w:t xml:space="preserve"> </w:t>
            </w:r>
            <w:r w:rsidRPr="00D4309F">
              <w:t xml:space="preserve">effects due to release of </w:t>
            </w:r>
            <w:r w:rsidRPr="00D4309F">
              <w:rPr>
                <w:spacing w:val="-2"/>
              </w:rPr>
              <w:t>contaminants/hypoxia</w:t>
            </w:r>
          </w:p>
        </w:tc>
        <w:tc>
          <w:tcPr>
            <w:tcW w:w="0" w:type="auto"/>
            <w:tcBorders>
              <w:top w:val="single" w:sz="4" w:space="0" w:color="000000"/>
              <w:bottom w:val="single" w:sz="4" w:space="0" w:color="000000"/>
            </w:tcBorders>
            <w:shd w:val="clear" w:color="auto" w:fill="92D050"/>
            <w:vAlign w:val="center"/>
          </w:tcPr>
          <w:p w14:paraId="08FC48E2" w14:textId="1BD65FE8" w:rsidR="00A21A9D" w:rsidRPr="007A5DDD" w:rsidRDefault="00A21A9D" w:rsidP="007A5DDD">
            <w:pPr>
              <w:pStyle w:val="Table-Text"/>
              <w:rPr>
                <w:b/>
                <w:bCs/>
                <w:spacing w:val="-5"/>
              </w:rPr>
            </w:pPr>
            <w:r w:rsidRPr="007A5DDD">
              <w:rPr>
                <w:b/>
                <w:bCs/>
                <w:spacing w:val="-5"/>
              </w:rPr>
              <w:t>Low</w:t>
            </w:r>
          </w:p>
        </w:tc>
        <w:tc>
          <w:tcPr>
            <w:tcW w:w="0" w:type="auto"/>
            <w:tcBorders>
              <w:top w:val="single" w:sz="4" w:space="0" w:color="000000"/>
              <w:bottom w:val="single" w:sz="4" w:space="0" w:color="000000"/>
            </w:tcBorders>
            <w:vAlign w:val="center"/>
          </w:tcPr>
          <w:p w14:paraId="0A2A0420" w14:textId="77777777" w:rsidR="00A21A9D" w:rsidRPr="00D4309F" w:rsidRDefault="00A21A9D" w:rsidP="007A5DDD">
            <w:pPr>
              <w:pStyle w:val="Table-Bullet"/>
            </w:pPr>
            <w:r w:rsidRPr="00D4309F">
              <w:t>Bypass sediments likely comprise</w:t>
            </w:r>
            <w:r w:rsidRPr="00D4309F">
              <w:rPr>
                <w:spacing w:val="-13"/>
              </w:rPr>
              <w:t xml:space="preserve"> </w:t>
            </w:r>
            <w:r w:rsidRPr="00D4309F">
              <w:t>clean</w:t>
            </w:r>
            <w:r w:rsidRPr="00D4309F">
              <w:rPr>
                <w:spacing w:val="-12"/>
              </w:rPr>
              <w:t xml:space="preserve"> </w:t>
            </w:r>
            <w:r w:rsidRPr="00D4309F">
              <w:t>marine</w:t>
            </w:r>
            <w:r w:rsidRPr="00D4309F">
              <w:rPr>
                <w:spacing w:val="-13"/>
              </w:rPr>
              <w:t xml:space="preserve"> </w:t>
            </w:r>
            <w:r w:rsidRPr="00D4309F">
              <w:t>sand free of contaminants with low organic matter content</w:t>
            </w:r>
          </w:p>
          <w:p w14:paraId="5184AEC9" w14:textId="08ED05FD" w:rsidR="00A21A9D" w:rsidRPr="00D4309F" w:rsidRDefault="00A21A9D" w:rsidP="007A5DDD">
            <w:pPr>
              <w:pStyle w:val="Table-Bullet"/>
            </w:pPr>
            <w:r w:rsidRPr="00D4309F">
              <w:t>Breakwater construction materials</w:t>
            </w:r>
            <w:r w:rsidRPr="00D4309F">
              <w:rPr>
                <w:spacing w:val="-13"/>
              </w:rPr>
              <w:t xml:space="preserve"> </w:t>
            </w:r>
            <w:r w:rsidRPr="00D4309F">
              <w:t>and</w:t>
            </w:r>
            <w:r w:rsidRPr="00D4309F">
              <w:rPr>
                <w:spacing w:val="-12"/>
              </w:rPr>
              <w:t xml:space="preserve"> </w:t>
            </w:r>
            <w:r w:rsidRPr="00D4309F">
              <w:t>rock</w:t>
            </w:r>
            <w:r w:rsidRPr="00D4309F">
              <w:rPr>
                <w:spacing w:val="-13"/>
              </w:rPr>
              <w:t xml:space="preserve"> </w:t>
            </w:r>
            <w:r w:rsidRPr="00D4309F">
              <w:t>assumed to be free of contamination</w:t>
            </w:r>
          </w:p>
        </w:tc>
        <w:tc>
          <w:tcPr>
            <w:tcW w:w="1908" w:type="dxa"/>
            <w:tcBorders>
              <w:top w:val="single" w:sz="4" w:space="0" w:color="000000"/>
              <w:bottom w:val="single" w:sz="4" w:space="0" w:color="000000"/>
            </w:tcBorders>
            <w:vAlign w:val="center"/>
          </w:tcPr>
          <w:p w14:paraId="6A32470F" w14:textId="080B5D88" w:rsidR="00A21A9D" w:rsidRPr="00D4309F" w:rsidRDefault="00A21A9D" w:rsidP="007A5DDD">
            <w:pPr>
              <w:pStyle w:val="Table-Bullet"/>
              <w:rPr>
                <w:color w:val="211E1F"/>
                <w:spacing w:val="-4"/>
              </w:rPr>
            </w:pPr>
            <w:r w:rsidRPr="00D4309F">
              <w:t>Assumption</w:t>
            </w:r>
            <w:r w:rsidRPr="00D4309F">
              <w:rPr>
                <w:spacing w:val="-13"/>
              </w:rPr>
              <w:t xml:space="preserve"> </w:t>
            </w:r>
            <w:r w:rsidRPr="00D4309F">
              <w:t>that suitable data exists to inform this risk</w:t>
            </w:r>
          </w:p>
        </w:tc>
        <w:tc>
          <w:tcPr>
            <w:tcW w:w="2665" w:type="dxa"/>
            <w:tcBorders>
              <w:top w:val="single" w:sz="4" w:space="0" w:color="000000"/>
              <w:bottom w:val="single" w:sz="4" w:space="0" w:color="000000"/>
            </w:tcBorders>
            <w:vAlign w:val="center"/>
          </w:tcPr>
          <w:p w14:paraId="25DCF5D3" w14:textId="370FDABC" w:rsidR="00A21A9D" w:rsidRPr="00D4309F" w:rsidRDefault="00A21A9D" w:rsidP="007A5DDD">
            <w:pPr>
              <w:pStyle w:val="Table-Bullet"/>
            </w:pPr>
            <w:r w:rsidRPr="00D4309F">
              <w:rPr>
                <w:color w:val="211E1F"/>
                <w:spacing w:val="-4"/>
              </w:rPr>
              <w:t>None</w:t>
            </w:r>
          </w:p>
        </w:tc>
      </w:tr>
      <w:tr w:rsidR="00A21A9D" w:rsidRPr="00D4309F" w14:paraId="4626905E" w14:textId="77777777" w:rsidTr="002A3DB2">
        <w:trPr>
          <w:cantSplit/>
          <w:trHeight w:val="20"/>
        </w:trPr>
        <w:tc>
          <w:tcPr>
            <w:tcW w:w="0" w:type="auto"/>
            <w:tcBorders>
              <w:top w:val="single" w:sz="4" w:space="0" w:color="000000"/>
              <w:bottom w:val="single" w:sz="4" w:space="0" w:color="000000"/>
            </w:tcBorders>
            <w:vAlign w:val="center"/>
          </w:tcPr>
          <w:p w14:paraId="1A2263CC" w14:textId="76473E34" w:rsidR="00A21A9D" w:rsidRPr="00D4309F" w:rsidRDefault="00A21A9D" w:rsidP="007A5DDD">
            <w:pPr>
              <w:pStyle w:val="Table-Text"/>
            </w:pPr>
            <w:r w:rsidRPr="00D4309F">
              <w:t>Marine</w:t>
            </w:r>
            <w:r w:rsidRPr="00D4309F">
              <w:rPr>
                <w:spacing w:val="-4"/>
              </w:rPr>
              <w:t xml:space="preserve"> </w:t>
            </w:r>
            <w:r w:rsidRPr="00D4309F">
              <w:t>fauna</w:t>
            </w:r>
          </w:p>
        </w:tc>
        <w:tc>
          <w:tcPr>
            <w:tcW w:w="0" w:type="auto"/>
            <w:tcBorders>
              <w:top w:val="single" w:sz="4" w:space="0" w:color="000000"/>
              <w:bottom w:val="single" w:sz="4" w:space="0" w:color="000000"/>
            </w:tcBorders>
            <w:vAlign w:val="center"/>
          </w:tcPr>
          <w:p w14:paraId="345B5A68" w14:textId="262A3DEA" w:rsidR="00A21A9D" w:rsidRPr="00D4309F" w:rsidRDefault="00A21A9D" w:rsidP="007A5DDD">
            <w:pPr>
              <w:pStyle w:val="Table-Text"/>
            </w:pPr>
            <w:r w:rsidRPr="00D4309F">
              <w:t>Mobile species</w:t>
            </w:r>
          </w:p>
        </w:tc>
        <w:tc>
          <w:tcPr>
            <w:tcW w:w="0" w:type="auto"/>
            <w:tcBorders>
              <w:top w:val="single" w:sz="4" w:space="0" w:color="000000"/>
              <w:bottom w:val="single" w:sz="4" w:space="0" w:color="000000"/>
            </w:tcBorders>
            <w:vAlign w:val="center"/>
          </w:tcPr>
          <w:p w14:paraId="3D95F893" w14:textId="77777777" w:rsidR="00A21A9D" w:rsidRPr="00D4309F" w:rsidRDefault="00A21A9D" w:rsidP="007A5DDD">
            <w:pPr>
              <w:pStyle w:val="Table-Bullet"/>
            </w:pPr>
            <w:r w:rsidRPr="00D4309F">
              <w:t>Vessel</w:t>
            </w:r>
            <w:r w:rsidRPr="00D4309F">
              <w:rPr>
                <w:spacing w:val="-5"/>
              </w:rPr>
              <w:t xml:space="preserve"> </w:t>
            </w:r>
            <w:r w:rsidRPr="00D4309F">
              <w:rPr>
                <w:spacing w:val="-2"/>
              </w:rPr>
              <w:t>collision</w:t>
            </w:r>
          </w:p>
          <w:p w14:paraId="3D6DEC94" w14:textId="77777777" w:rsidR="00A21A9D" w:rsidRPr="00D4309F" w:rsidRDefault="00A21A9D" w:rsidP="007A5DDD">
            <w:pPr>
              <w:pStyle w:val="Table-Bullet"/>
            </w:pPr>
            <w:r w:rsidRPr="00D4309F">
              <w:t>Direct mortality/injury due to construction,</w:t>
            </w:r>
            <w:r w:rsidRPr="00D4309F">
              <w:rPr>
                <w:spacing w:val="-13"/>
              </w:rPr>
              <w:t xml:space="preserve"> </w:t>
            </w:r>
            <w:r w:rsidRPr="00D4309F">
              <w:t>rock</w:t>
            </w:r>
            <w:r w:rsidRPr="00D4309F">
              <w:rPr>
                <w:spacing w:val="-12"/>
              </w:rPr>
              <w:t xml:space="preserve"> </w:t>
            </w:r>
            <w:r w:rsidRPr="00D4309F">
              <w:t>cutting</w:t>
            </w:r>
            <w:r w:rsidRPr="00D4309F">
              <w:rPr>
                <w:spacing w:val="-13"/>
              </w:rPr>
              <w:t xml:space="preserve"> </w:t>
            </w:r>
            <w:r w:rsidRPr="00D4309F">
              <w:t xml:space="preserve">and </w:t>
            </w:r>
            <w:r w:rsidRPr="00D4309F">
              <w:rPr>
                <w:spacing w:val="-2"/>
              </w:rPr>
              <w:t>bypassing</w:t>
            </w:r>
          </w:p>
          <w:p w14:paraId="2FA824B2" w14:textId="3D19C70D" w:rsidR="00A21A9D" w:rsidRPr="00D4309F" w:rsidRDefault="00A21A9D" w:rsidP="007A5DDD">
            <w:pPr>
              <w:pStyle w:val="Table-Bullet"/>
            </w:pPr>
            <w:r w:rsidRPr="00D4309F">
              <w:rPr>
                <w:spacing w:val="-2"/>
              </w:rPr>
              <w:t xml:space="preserve">Mortality/injury/behavioural </w:t>
            </w:r>
            <w:r w:rsidRPr="00D4309F">
              <w:t>response due to physical effects of turbidity</w:t>
            </w:r>
          </w:p>
        </w:tc>
        <w:tc>
          <w:tcPr>
            <w:tcW w:w="0" w:type="auto"/>
            <w:tcBorders>
              <w:top w:val="single" w:sz="4" w:space="0" w:color="000000"/>
              <w:bottom w:val="single" w:sz="4" w:space="0" w:color="000000"/>
            </w:tcBorders>
            <w:shd w:val="clear" w:color="auto" w:fill="92D050"/>
            <w:vAlign w:val="center"/>
          </w:tcPr>
          <w:p w14:paraId="60947D21" w14:textId="20F61D09" w:rsidR="00A21A9D" w:rsidRPr="007A5DDD" w:rsidRDefault="00A21A9D" w:rsidP="007A5DDD">
            <w:pPr>
              <w:pStyle w:val="Table-Text"/>
              <w:rPr>
                <w:b/>
                <w:bCs/>
                <w:spacing w:val="-5"/>
              </w:rPr>
            </w:pPr>
            <w:r w:rsidRPr="007A5DDD">
              <w:rPr>
                <w:b/>
                <w:bCs/>
                <w:spacing w:val="-5"/>
              </w:rPr>
              <w:t>Low</w:t>
            </w:r>
          </w:p>
        </w:tc>
        <w:tc>
          <w:tcPr>
            <w:tcW w:w="0" w:type="auto"/>
            <w:tcBorders>
              <w:top w:val="single" w:sz="4" w:space="0" w:color="000000"/>
              <w:bottom w:val="single" w:sz="4" w:space="0" w:color="000000"/>
            </w:tcBorders>
            <w:vAlign w:val="center"/>
          </w:tcPr>
          <w:p w14:paraId="3B914B3B" w14:textId="1CC4978C" w:rsidR="00A21A9D" w:rsidRPr="00D4309F" w:rsidRDefault="00A21A9D" w:rsidP="007A5DDD">
            <w:pPr>
              <w:pStyle w:val="Table-Bullet"/>
            </w:pPr>
            <w:r w:rsidRPr="00D4309F">
              <w:t>Mobile</w:t>
            </w:r>
            <w:r w:rsidRPr="00D4309F">
              <w:rPr>
                <w:spacing w:val="-13"/>
              </w:rPr>
              <w:t xml:space="preserve"> </w:t>
            </w:r>
            <w:r w:rsidRPr="00D4309F">
              <w:t>species</w:t>
            </w:r>
            <w:r w:rsidRPr="00D4309F">
              <w:rPr>
                <w:spacing w:val="-12"/>
              </w:rPr>
              <w:t xml:space="preserve"> </w:t>
            </w:r>
            <w:r w:rsidRPr="00D4309F">
              <w:t>including</w:t>
            </w:r>
            <w:r w:rsidRPr="00D4309F">
              <w:rPr>
                <w:spacing w:val="-13"/>
              </w:rPr>
              <w:t xml:space="preserve"> </w:t>
            </w:r>
            <w:r w:rsidRPr="00D4309F">
              <w:t xml:space="preserve">the critically endangered Grey Nurse Shark and conservation dependant scalloped hammerhead will actively avoid areas of </w:t>
            </w:r>
            <w:r w:rsidRPr="00D4309F">
              <w:rPr>
                <w:spacing w:val="-2"/>
              </w:rPr>
              <w:t>activity</w:t>
            </w:r>
          </w:p>
        </w:tc>
        <w:tc>
          <w:tcPr>
            <w:tcW w:w="1908" w:type="dxa"/>
            <w:tcBorders>
              <w:top w:val="single" w:sz="4" w:space="0" w:color="000000"/>
              <w:bottom w:val="single" w:sz="4" w:space="0" w:color="000000"/>
            </w:tcBorders>
            <w:vAlign w:val="center"/>
          </w:tcPr>
          <w:p w14:paraId="4FFFF405" w14:textId="3CF68EF5" w:rsidR="00A21A9D" w:rsidRPr="00D4309F" w:rsidRDefault="00A21A9D" w:rsidP="007A5DDD">
            <w:pPr>
              <w:pStyle w:val="Table-Bullet"/>
              <w:rPr>
                <w:color w:val="211E1F"/>
                <w:spacing w:val="-4"/>
              </w:rPr>
            </w:pPr>
            <w:r w:rsidRPr="00D4309F">
              <w:rPr>
                <w:color w:val="211E1F"/>
                <w:spacing w:val="-4"/>
              </w:rPr>
              <w:t>None</w:t>
            </w:r>
          </w:p>
        </w:tc>
        <w:tc>
          <w:tcPr>
            <w:tcW w:w="2665" w:type="dxa"/>
            <w:tcBorders>
              <w:top w:val="single" w:sz="4" w:space="0" w:color="000000"/>
              <w:bottom w:val="single" w:sz="4" w:space="0" w:color="000000"/>
            </w:tcBorders>
            <w:vAlign w:val="center"/>
          </w:tcPr>
          <w:p w14:paraId="294138A3" w14:textId="59D71037" w:rsidR="00A21A9D" w:rsidRPr="00D4309F" w:rsidRDefault="00A21A9D" w:rsidP="007A5DDD">
            <w:pPr>
              <w:pStyle w:val="Table-Bullet"/>
            </w:pPr>
            <w:r w:rsidRPr="00D4309F">
              <w:rPr>
                <w:color w:val="211E1F"/>
                <w:spacing w:val="-4"/>
              </w:rPr>
              <w:t>None</w:t>
            </w:r>
          </w:p>
        </w:tc>
      </w:tr>
      <w:tr w:rsidR="00A21A9D" w:rsidRPr="00D4309F" w14:paraId="68185F54" w14:textId="77777777" w:rsidTr="002A3DB2">
        <w:trPr>
          <w:cantSplit/>
          <w:trHeight w:val="20"/>
        </w:trPr>
        <w:tc>
          <w:tcPr>
            <w:tcW w:w="0" w:type="auto"/>
            <w:tcBorders>
              <w:top w:val="single" w:sz="4" w:space="0" w:color="000000"/>
              <w:bottom w:val="single" w:sz="4" w:space="0" w:color="000000"/>
            </w:tcBorders>
            <w:vAlign w:val="center"/>
          </w:tcPr>
          <w:p w14:paraId="7946ABDA" w14:textId="721E2B14" w:rsidR="00A21A9D" w:rsidRPr="00D4309F" w:rsidRDefault="00A21A9D" w:rsidP="007A5DDD">
            <w:pPr>
              <w:pStyle w:val="Table-Text"/>
            </w:pPr>
            <w:r w:rsidRPr="00D4309F">
              <w:lastRenderedPageBreak/>
              <w:t>Marine</w:t>
            </w:r>
            <w:r w:rsidRPr="00D4309F">
              <w:rPr>
                <w:spacing w:val="-4"/>
              </w:rPr>
              <w:t xml:space="preserve"> </w:t>
            </w:r>
            <w:r w:rsidRPr="00D4309F">
              <w:t>fauna</w:t>
            </w:r>
          </w:p>
        </w:tc>
        <w:tc>
          <w:tcPr>
            <w:tcW w:w="0" w:type="auto"/>
            <w:tcBorders>
              <w:top w:val="single" w:sz="4" w:space="0" w:color="000000"/>
              <w:bottom w:val="single" w:sz="4" w:space="0" w:color="000000"/>
            </w:tcBorders>
            <w:vAlign w:val="center"/>
          </w:tcPr>
          <w:p w14:paraId="273BC155" w14:textId="0A678CA3" w:rsidR="00A21A9D" w:rsidRPr="00D4309F" w:rsidRDefault="00A21A9D" w:rsidP="007A5DDD">
            <w:pPr>
              <w:pStyle w:val="Table-Text"/>
            </w:pPr>
            <w:r w:rsidRPr="00D4309F">
              <w:t>Mobile species</w:t>
            </w:r>
          </w:p>
        </w:tc>
        <w:tc>
          <w:tcPr>
            <w:tcW w:w="0" w:type="auto"/>
            <w:tcBorders>
              <w:top w:val="single" w:sz="4" w:space="0" w:color="000000"/>
              <w:bottom w:val="single" w:sz="4" w:space="0" w:color="000000"/>
            </w:tcBorders>
            <w:vAlign w:val="center"/>
          </w:tcPr>
          <w:p w14:paraId="3A74AC87" w14:textId="418B121F" w:rsidR="00A21A9D" w:rsidRPr="00D4309F" w:rsidRDefault="00A21A9D" w:rsidP="007A5DDD">
            <w:pPr>
              <w:pStyle w:val="Table-Bullet"/>
            </w:pPr>
            <w:r w:rsidRPr="00D4309F">
              <w:rPr>
                <w:spacing w:val="-2"/>
              </w:rPr>
              <w:t xml:space="preserve">Mortality/injury/behavioural </w:t>
            </w:r>
            <w:r w:rsidRPr="00D4309F">
              <w:t>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toxic</w:t>
            </w:r>
            <w:r w:rsidRPr="00D4309F">
              <w:rPr>
                <w:spacing w:val="-10"/>
              </w:rPr>
              <w:t xml:space="preserve"> </w:t>
            </w:r>
            <w:r w:rsidRPr="00D4309F">
              <w:t xml:space="preserve">effects due to release of </w:t>
            </w:r>
            <w:r w:rsidRPr="00D4309F">
              <w:rPr>
                <w:spacing w:val="-2"/>
              </w:rPr>
              <w:t>contaminants/hypoxia</w:t>
            </w:r>
          </w:p>
        </w:tc>
        <w:tc>
          <w:tcPr>
            <w:tcW w:w="0" w:type="auto"/>
            <w:tcBorders>
              <w:top w:val="single" w:sz="4" w:space="0" w:color="000000"/>
              <w:bottom w:val="single" w:sz="4" w:space="0" w:color="000000"/>
            </w:tcBorders>
            <w:shd w:val="clear" w:color="auto" w:fill="92D050"/>
            <w:vAlign w:val="center"/>
          </w:tcPr>
          <w:p w14:paraId="290B77EF" w14:textId="0F42FEFD" w:rsidR="00A21A9D" w:rsidRPr="007A5DDD" w:rsidRDefault="00A21A9D" w:rsidP="007A5DDD">
            <w:pPr>
              <w:pStyle w:val="Table-Text"/>
              <w:rPr>
                <w:b/>
                <w:bCs/>
                <w:spacing w:val="-5"/>
              </w:rPr>
            </w:pPr>
            <w:r w:rsidRPr="007A5DDD">
              <w:rPr>
                <w:b/>
                <w:bCs/>
                <w:spacing w:val="-5"/>
              </w:rPr>
              <w:t>Low</w:t>
            </w:r>
          </w:p>
        </w:tc>
        <w:tc>
          <w:tcPr>
            <w:tcW w:w="0" w:type="auto"/>
            <w:tcBorders>
              <w:top w:val="single" w:sz="4" w:space="0" w:color="000000"/>
              <w:bottom w:val="single" w:sz="4" w:space="0" w:color="000000"/>
            </w:tcBorders>
            <w:vAlign w:val="center"/>
          </w:tcPr>
          <w:p w14:paraId="183CED94" w14:textId="77777777" w:rsidR="00A21A9D" w:rsidRPr="00D4309F" w:rsidRDefault="00A21A9D" w:rsidP="007A5DDD">
            <w:pPr>
              <w:pStyle w:val="Table-Bullet"/>
            </w:pPr>
            <w:r w:rsidRPr="00D4309F">
              <w:t>Bypass sediments likely comprise</w:t>
            </w:r>
            <w:r w:rsidRPr="00D4309F">
              <w:rPr>
                <w:spacing w:val="-13"/>
              </w:rPr>
              <w:t xml:space="preserve"> </w:t>
            </w:r>
            <w:r w:rsidRPr="00D4309F">
              <w:t>clean</w:t>
            </w:r>
            <w:r w:rsidRPr="00D4309F">
              <w:rPr>
                <w:spacing w:val="-12"/>
              </w:rPr>
              <w:t xml:space="preserve"> </w:t>
            </w:r>
            <w:r w:rsidRPr="00D4309F">
              <w:t>marine</w:t>
            </w:r>
            <w:r w:rsidRPr="00D4309F">
              <w:rPr>
                <w:spacing w:val="-13"/>
              </w:rPr>
              <w:t xml:space="preserve"> </w:t>
            </w:r>
            <w:r w:rsidRPr="00D4309F">
              <w:t>sand free of contaminants with low organic matter content</w:t>
            </w:r>
          </w:p>
          <w:p w14:paraId="3804CAD7" w14:textId="74730D0C" w:rsidR="00A21A9D" w:rsidRPr="00D4309F" w:rsidRDefault="00A21A9D" w:rsidP="007A5DDD">
            <w:pPr>
              <w:pStyle w:val="Table-Bullet"/>
            </w:pPr>
            <w:r w:rsidRPr="00D4309F">
              <w:t>Breakwater construction materials</w:t>
            </w:r>
            <w:r w:rsidRPr="00D4309F">
              <w:rPr>
                <w:spacing w:val="-13"/>
              </w:rPr>
              <w:t xml:space="preserve"> </w:t>
            </w:r>
            <w:r w:rsidRPr="00D4309F">
              <w:t>and</w:t>
            </w:r>
            <w:r w:rsidRPr="00D4309F">
              <w:rPr>
                <w:spacing w:val="-12"/>
              </w:rPr>
              <w:t xml:space="preserve"> </w:t>
            </w:r>
            <w:r w:rsidRPr="00D4309F">
              <w:t>rock</w:t>
            </w:r>
            <w:r w:rsidRPr="00D4309F">
              <w:rPr>
                <w:spacing w:val="-13"/>
              </w:rPr>
              <w:t xml:space="preserve"> </w:t>
            </w:r>
            <w:r w:rsidRPr="00D4309F">
              <w:t>assumed to be free of contamination</w:t>
            </w:r>
          </w:p>
        </w:tc>
        <w:tc>
          <w:tcPr>
            <w:tcW w:w="1908" w:type="dxa"/>
            <w:tcBorders>
              <w:top w:val="single" w:sz="4" w:space="0" w:color="000000"/>
              <w:bottom w:val="single" w:sz="4" w:space="0" w:color="000000"/>
            </w:tcBorders>
            <w:vAlign w:val="center"/>
          </w:tcPr>
          <w:p w14:paraId="2AE66ABB" w14:textId="7CC86DBB" w:rsidR="00A21A9D" w:rsidRPr="00D4309F" w:rsidRDefault="00A21A9D" w:rsidP="007A5DDD">
            <w:pPr>
              <w:pStyle w:val="Table-Bullet"/>
              <w:rPr>
                <w:color w:val="211E1F"/>
                <w:spacing w:val="-4"/>
              </w:rPr>
            </w:pPr>
            <w:r w:rsidRPr="00D4309F">
              <w:t>Assumption</w:t>
            </w:r>
            <w:r w:rsidRPr="00D4309F">
              <w:rPr>
                <w:spacing w:val="-13"/>
              </w:rPr>
              <w:t xml:space="preserve"> </w:t>
            </w:r>
            <w:r w:rsidRPr="00D4309F">
              <w:t>that suitable data exists to inform this risk</w:t>
            </w:r>
          </w:p>
        </w:tc>
        <w:tc>
          <w:tcPr>
            <w:tcW w:w="2665" w:type="dxa"/>
            <w:tcBorders>
              <w:top w:val="single" w:sz="4" w:space="0" w:color="000000"/>
              <w:bottom w:val="single" w:sz="4" w:space="0" w:color="000000"/>
            </w:tcBorders>
            <w:vAlign w:val="center"/>
          </w:tcPr>
          <w:p w14:paraId="64994C7E" w14:textId="3026A030" w:rsidR="00A21A9D" w:rsidRPr="00D4309F" w:rsidRDefault="00A21A9D" w:rsidP="007A5DDD">
            <w:pPr>
              <w:pStyle w:val="Table-Bullet"/>
            </w:pPr>
            <w:r w:rsidRPr="00D4309F">
              <w:rPr>
                <w:color w:val="211E1F"/>
                <w:spacing w:val="-4"/>
              </w:rPr>
              <w:t>None</w:t>
            </w:r>
          </w:p>
        </w:tc>
      </w:tr>
      <w:tr w:rsidR="00A21A9D" w:rsidRPr="00D4309F" w14:paraId="0609F28A" w14:textId="77777777" w:rsidTr="002A3DB2">
        <w:trPr>
          <w:cantSplit/>
          <w:trHeight w:val="20"/>
        </w:trPr>
        <w:tc>
          <w:tcPr>
            <w:tcW w:w="0" w:type="auto"/>
            <w:tcBorders>
              <w:top w:val="single" w:sz="4" w:space="0" w:color="000000"/>
              <w:bottom w:val="single" w:sz="4" w:space="0" w:color="000000"/>
            </w:tcBorders>
            <w:vAlign w:val="center"/>
          </w:tcPr>
          <w:p w14:paraId="353BCB57" w14:textId="54DC11A6" w:rsidR="00A21A9D" w:rsidRPr="00D4309F" w:rsidRDefault="00A21A9D" w:rsidP="007A5DDD">
            <w:pPr>
              <w:pStyle w:val="Table-Text"/>
            </w:pPr>
            <w:r w:rsidRPr="00D4309F">
              <w:t>Benthic habitats</w:t>
            </w:r>
          </w:p>
        </w:tc>
        <w:tc>
          <w:tcPr>
            <w:tcW w:w="0" w:type="auto"/>
            <w:tcBorders>
              <w:top w:val="single" w:sz="4" w:space="0" w:color="000000"/>
              <w:bottom w:val="single" w:sz="4" w:space="0" w:color="000000"/>
            </w:tcBorders>
            <w:vAlign w:val="center"/>
          </w:tcPr>
          <w:p w14:paraId="51F4994D" w14:textId="199E00B2" w:rsidR="00A21A9D" w:rsidRPr="00D4309F" w:rsidRDefault="00A21A9D" w:rsidP="007A5DDD">
            <w:pPr>
              <w:pStyle w:val="Table-Text"/>
            </w:pPr>
            <w:r w:rsidRPr="00D4309F">
              <w:t>Rocky</w:t>
            </w:r>
            <w:r w:rsidRPr="00D4309F">
              <w:rPr>
                <w:spacing w:val="-13"/>
              </w:rPr>
              <w:t xml:space="preserve"> </w:t>
            </w:r>
            <w:r w:rsidRPr="00D4309F">
              <w:t>reef habitat, seagrass and</w:t>
            </w:r>
            <w:r w:rsidRPr="00D4309F">
              <w:rPr>
                <w:spacing w:val="-9"/>
              </w:rPr>
              <w:t xml:space="preserve"> </w:t>
            </w:r>
            <w:r w:rsidRPr="00D4309F">
              <w:t>corals</w:t>
            </w:r>
          </w:p>
        </w:tc>
        <w:tc>
          <w:tcPr>
            <w:tcW w:w="0" w:type="auto"/>
            <w:tcBorders>
              <w:top w:val="single" w:sz="4" w:space="0" w:color="000000"/>
              <w:bottom w:val="single" w:sz="4" w:space="0" w:color="000000"/>
            </w:tcBorders>
            <w:vAlign w:val="center"/>
          </w:tcPr>
          <w:p w14:paraId="5D8D7C03" w14:textId="77777777" w:rsidR="00A21A9D" w:rsidRPr="00D4309F" w:rsidRDefault="00A21A9D" w:rsidP="007A5DDD">
            <w:pPr>
              <w:pStyle w:val="Table-Bullet"/>
            </w:pPr>
            <w:r w:rsidRPr="00D4309F">
              <w:t>Direct removal due to construction,</w:t>
            </w:r>
            <w:r w:rsidRPr="00D4309F">
              <w:rPr>
                <w:spacing w:val="-13"/>
              </w:rPr>
              <w:t xml:space="preserve"> </w:t>
            </w:r>
            <w:r w:rsidRPr="00D4309F">
              <w:t>rock</w:t>
            </w:r>
            <w:r w:rsidRPr="00D4309F">
              <w:rPr>
                <w:spacing w:val="-12"/>
              </w:rPr>
              <w:t xml:space="preserve"> </w:t>
            </w:r>
            <w:r w:rsidRPr="00D4309F">
              <w:t>cutting</w:t>
            </w:r>
            <w:r w:rsidRPr="00D4309F">
              <w:rPr>
                <w:spacing w:val="-13"/>
              </w:rPr>
              <w:t xml:space="preserve"> </w:t>
            </w:r>
            <w:r w:rsidRPr="00D4309F">
              <w:t xml:space="preserve">and </w:t>
            </w:r>
            <w:r w:rsidRPr="00D4309F">
              <w:rPr>
                <w:spacing w:val="-2"/>
              </w:rPr>
              <w:t>bypassing</w:t>
            </w:r>
          </w:p>
          <w:p w14:paraId="17DB66A5" w14:textId="77777777" w:rsidR="00A21A9D" w:rsidRPr="00D4309F" w:rsidRDefault="00A21A9D" w:rsidP="007A5DDD">
            <w:pPr>
              <w:pStyle w:val="Table-Bullet"/>
            </w:pPr>
            <w:r w:rsidRPr="00D4309F">
              <w:t>Generation</w:t>
            </w:r>
            <w:r w:rsidRPr="00D4309F">
              <w:rPr>
                <w:spacing w:val="-4"/>
              </w:rPr>
              <w:t xml:space="preserve"> </w:t>
            </w:r>
            <w:r w:rsidRPr="00D4309F">
              <w:t>of</w:t>
            </w:r>
            <w:r w:rsidRPr="00D4309F">
              <w:rPr>
                <w:spacing w:val="-3"/>
              </w:rPr>
              <w:t xml:space="preserve"> </w:t>
            </w:r>
            <w:r w:rsidRPr="00D4309F">
              <w:rPr>
                <w:spacing w:val="-2"/>
              </w:rPr>
              <w:t>turbidity</w:t>
            </w:r>
          </w:p>
          <w:p w14:paraId="2FAA10DD" w14:textId="56FD7C77" w:rsidR="00A21A9D" w:rsidRPr="00D4309F" w:rsidRDefault="00A21A9D" w:rsidP="007A5DDD">
            <w:pPr>
              <w:pStyle w:val="Table-Bullet"/>
            </w:pPr>
            <w:r w:rsidRPr="00D4309F">
              <w:rPr>
                <w:spacing w:val="-2"/>
              </w:rPr>
              <w:t>Smothering</w:t>
            </w:r>
          </w:p>
        </w:tc>
        <w:tc>
          <w:tcPr>
            <w:tcW w:w="0" w:type="auto"/>
            <w:tcBorders>
              <w:top w:val="single" w:sz="4" w:space="0" w:color="000000"/>
              <w:bottom w:val="single" w:sz="4" w:space="0" w:color="000000"/>
            </w:tcBorders>
            <w:shd w:val="clear" w:color="auto" w:fill="FFC000"/>
            <w:vAlign w:val="center"/>
          </w:tcPr>
          <w:p w14:paraId="2A55CBB9" w14:textId="559CC7BB" w:rsidR="00A21A9D" w:rsidRPr="007A5DDD" w:rsidRDefault="00A21A9D" w:rsidP="007A5DDD">
            <w:pPr>
              <w:pStyle w:val="Table-Text"/>
              <w:rPr>
                <w:b/>
                <w:bCs/>
                <w:spacing w:val="-5"/>
              </w:rPr>
            </w:pPr>
            <w:r w:rsidRPr="007A5DDD">
              <w:rPr>
                <w:b/>
                <w:bCs/>
              </w:rPr>
              <w:t xml:space="preserve">High (for </w:t>
            </w:r>
            <w:r w:rsidRPr="007A5DDD">
              <w:rPr>
                <w:b/>
                <w:bCs/>
                <w:spacing w:val="-2"/>
              </w:rPr>
              <w:t xml:space="preserve">breakwater </w:t>
            </w:r>
            <w:r w:rsidRPr="007A5DDD">
              <w:rPr>
                <w:b/>
                <w:bCs/>
              </w:rPr>
              <w:t>extension</w:t>
            </w:r>
            <w:r w:rsidRPr="007A5DDD">
              <w:rPr>
                <w:b/>
                <w:bCs/>
                <w:spacing w:val="-13"/>
              </w:rPr>
              <w:t xml:space="preserve"> </w:t>
            </w:r>
            <w:r w:rsidRPr="007A5DDD">
              <w:rPr>
                <w:b/>
                <w:bCs/>
              </w:rPr>
              <w:t>and rock cutting)</w:t>
            </w:r>
          </w:p>
        </w:tc>
        <w:tc>
          <w:tcPr>
            <w:tcW w:w="0" w:type="auto"/>
            <w:tcBorders>
              <w:top w:val="single" w:sz="4" w:space="0" w:color="000000"/>
              <w:bottom w:val="single" w:sz="4" w:space="0" w:color="000000"/>
            </w:tcBorders>
            <w:vAlign w:val="center"/>
          </w:tcPr>
          <w:p w14:paraId="7AA73D5A" w14:textId="77777777" w:rsidR="00A21A9D" w:rsidRPr="00D4309F" w:rsidRDefault="00A21A9D" w:rsidP="007A5DDD">
            <w:pPr>
              <w:pStyle w:val="Table-Bullet"/>
            </w:pPr>
            <w:r w:rsidRPr="00D4309F">
              <w:t>The bypass area likely comprises</w:t>
            </w:r>
            <w:r w:rsidRPr="00D4309F">
              <w:rPr>
                <w:spacing w:val="-13"/>
              </w:rPr>
              <w:t xml:space="preserve"> </w:t>
            </w:r>
            <w:r w:rsidRPr="00D4309F">
              <w:t>bare</w:t>
            </w:r>
            <w:r w:rsidRPr="00D4309F">
              <w:rPr>
                <w:spacing w:val="-12"/>
              </w:rPr>
              <w:t xml:space="preserve"> </w:t>
            </w:r>
            <w:r w:rsidRPr="00D4309F">
              <w:t>sand,</w:t>
            </w:r>
            <w:r w:rsidRPr="00D4309F">
              <w:rPr>
                <w:spacing w:val="-13"/>
              </w:rPr>
              <w:t xml:space="preserve"> </w:t>
            </w:r>
            <w:r w:rsidRPr="00D4309F">
              <w:t xml:space="preserve">further assessment is required for the breakwater extension </w:t>
            </w:r>
            <w:r w:rsidRPr="00D4309F">
              <w:rPr>
                <w:spacing w:val="-2"/>
              </w:rPr>
              <w:t>footprint</w:t>
            </w:r>
          </w:p>
          <w:p w14:paraId="7CE99F86" w14:textId="77777777" w:rsidR="00A21A9D" w:rsidRPr="00D4309F" w:rsidRDefault="00A21A9D" w:rsidP="007A5DDD">
            <w:pPr>
              <w:pStyle w:val="Table-Bullet"/>
            </w:pPr>
            <w:r w:rsidRPr="00D4309F">
              <w:t>Further assessment is required to determine if the potential</w:t>
            </w:r>
            <w:r w:rsidRPr="00D4309F">
              <w:rPr>
                <w:spacing w:val="-15"/>
              </w:rPr>
              <w:t xml:space="preserve"> </w:t>
            </w:r>
            <w:r w:rsidRPr="00D4309F">
              <w:t>turbidity</w:t>
            </w:r>
            <w:r w:rsidRPr="00D4309F">
              <w:rPr>
                <w:spacing w:val="-12"/>
              </w:rPr>
              <w:t xml:space="preserve"> </w:t>
            </w:r>
            <w:r w:rsidRPr="00D4309F">
              <w:t xml:space="preserve">generated will impact sensitive marine </w:t>
            </w:r>
            <w:r w:rsidRPr="00D4309F">
              <w:rPr>
                <w:spacing w:val="-2"/>
              </w:rPr>
              <w:t>habitats</w:t>
            </w:r>
          </w:p>
          <w:p w14:paraId="2999E55F" w14:textId="77777777" w:rsidR="00A21A9D" w:rsidRPr="00D4309F" w:rsidRDefault="00A21A9D" w:rsidP="007A5DDD">
            <w:pPr>
              <w:pStyle w:val="Table-Bullet"/>
            </w:pPr>
            <w:r w:rsidRPr="00D4309F">
              <w:t>Dredging</w:t>
            </w:r>
            <w:r w:rsidRPr="00D4309F">
              <w:rPr>
                <w:spacing w:val="-13"/>
              </w:rPr>
              <w:t xml:space="preserve"> </w:t>
            </w:r>
            <w:r w:rsidRPr="00D4309F">
              <w:t>and</w:t>
            </w:r>
            <w:r w:rsidRPr="00D4309F">
              <w:rPr>
                <w:spacing w:val="-12"/>
              </w:rPr>
              <w:t xml:space="preserve"> </w:t>
            </w:r>
            <w:r w:rsidRPr="00D4309F">
              <w:t>construction</w:t>
            </w:r>
            <w:r w:rsidRPr="00D4309F">
              <w:rPr>
                <w:spacing w:val="-13"/>
              </w:rPr>
              <w:t xml:space="preserve"> </w:t>
            </w:r>
            <w:r w:rsidRPr="00D4309F">
              <w:t>is in a dynamic, open ocean environment, any plume will likely dissipate quickly</w:t>
            </w:r>
          </w:p>
          <w:p w14:paraId="38753F17" w14:textId="10013393" w:rsidR="00A21A9D" w:rsidRPr="00D4309F" w:rsidRDefault="00A21A9D" w:rsidP="007A5DDD">
            <w:pPr>
              <w:pStyle w:val="Table-Bullet"/>
            </w:pPr>
            <w:r w:rsidRPr="00D4309F">
              <w:t>Turbidity</w:t>
            </w:r>
            <w:r w:rsidRPr="00D4309F">
              <w:rPr>
                <w:spacing w:val="-2"/>
              </w:rPr>
              <w:t xml:space="preserve"> </w:t>
            </w:r>
            <w:r w:rsidRPr="00D4309F">
              <w:t>is</w:t>
            </w:r>
            <w:r w:rsidRPr="00D4309F">
              <w:rPr>
                <w:spacing w:val="-2"/>
              </w:rPr>
              <w:t xml:space="preserve"> </w:t>
            </w:r>
            <w:r w:rsidRPr="00D4309F">
              <w:t>likely</w:t>
            </w:r>
            <w:r w:rsidRPr="00D4309F">
              <w:rPr>
                <w:spacing w:val="-2"/>
              </w:rPr>
              <w:t xml:space="preserve"> </w:t>
            </w:r>
            <w:r w:rsidRPr="00D4309F">
              <w:t>to</w:t>
            </w:r>
            <w:r w:rsidRPr="00D4309F">
              <w:rPr>
                <w:spacing w:val="-3"/>
              </w:rPr>
              <w:t xml:space="preserve"> </w:t>
            </w:r>
            <w:r w:rsidRPr="00D4309F">
              <w:t>be</w:t>
            </w:r>
            <w:r w:rsidRPr="00D4309F">
              <w:rPr>
                <w:spacing w:val="-3"/>
              </w:rPr>
              <w:t xml:space="preserve"> </w:t>
            </w:r>
            <w:r w:rsidRPr="00D4309F">
              <w:t>more extensive and persistent during</w:t>
            </w:r>
            <w:r w:rsidRPr="00D4309F">
              <w:rPr>
                <w:spacing w:val="-15"/>
              </w:rPr>
              <w:t xml:space="preserve"> </w:t>
            </w:r>
            <w:r w:rsidRPr="00D4309F">
              <w:t>breakwater</w:t>
            </w:r>
            <w:r w:rsidRPr="00D4309F">
              <w:rPr>
                <w:spacing w:val="-12"/>
              </w:rPr>
              <w:t xml:space="preserve"> </w:t>
            </w:r>
            <w:r w:rsidRPr="00D4309F">
              <w:t>extension and rock cutting</w:t>
            </w:r>
          </w:p>
        </w:tc>
        <w:tc>
          <w:tcPr>
            <w:tcW w:w="1908" w:type="dxa"/>
            <w:tcBorders>
              <w:top w:val="single" w:sz="4" w:space="0" w:color="000000"/>
              <w:bottom w:val="single" w:sz="4" w:space="0" w:color="000000"/>
            </w:tcBorders>
            <w:vAlign w:val="center"/>
          </w:tcPr>
          <w:p w14:paraId="19243B83" w14:textId="77777777" w:rsidR="00A21A9D" w:rsidRPr="00D4309F" w:rsidRDefault="00A21A9D" w:rsidP="007A5DDD">
            <w:pPr>
              <w:pStyle w:val="Table-Bullet"/>
            </w:pPr>
            <w:r w:rsidRPr="00D4309F">
              <w:t>Benthic habitat assessment</w:t>
            </w:r>
            <w:r w:rsidRPr="00D4309F">
              <w:rPr>
                <w:spacing w:val="-15"/>
              </w:rPr>
              <w:t xml:space="preserve"> </w:t>
            </w:r>
            <w:r w:rsidRPr="00D4309F">
              <w:t>in</w:t>
            </w:r>
            <w:r w:rsidRPr="00D4309F">
              <w:rPr>
                <w:spacing w:val="-12"/>
              </w:rPr>
              <w:t xml:space="preserve"> </w:t>
            </w:r>
            <w:r w:rsidRPr="00D4309F">
              <w:t xml:space="preserve">and </w:t>
            </w:r>
            <w:r w:rsidRPr="00D4309F">
              <w:rPr>
                <w:spacing w:val="-2"/>
              </w:rPr>
              <w:t xml:space="preserve">surrounding </w:t>
            </w:r>
            <w:r w:rsidRPr="00D4309F">
              <w:t>disturbance area</w:t>
            </w:r>
          </w:p>
          <w:p w14:paraId="050228C1" w14:textId="1E0BD168" w:rsidR="00A21A9D" w:rsidRPr="00D4309F" w:rsidRDefault="00A21A9D" w:rsidP="007A5DDD">
            <w:pPr>
              <w:pStyle w:val="Table-Bullet"/>
              <w:rPr>
                <w:color w:val="211E1F"/>
                <w:spacing w:val="-4"/>
              </w:rPr>
            </w:pPr>
            <w:r w:rsidRPr="00D4309F">
              <w:rPr>
                <w:spacing w:val="-2"/>
              </w:rPr>
              <w:t>Turbidity modelling</w:t>
            </w:r>
          </w:p>
        </w:tc>
        <w:tc>
          <w:tcPr>
            <w:tcW w:w="2665" w:type="dxa"/>
            <w:tcBorders>
              <w:top w:val="single" w:sz="4" w:space="0" w:color="000000"/>
              <w:bottom w:val="single" w:sz="4" w:space="0" w:color="000000"/>
            </w:tcBorders>
            <w:vAlign w:val="center"/>
          </w:tcPr>
          <w:p w14:paraId="466D3AD4" w14:textId="77777777" w:rsidR="00A21A9D" w:rsidRPr="00D4309F" w:rsidRDefault="00A21A9D" w:rsidP="007A5DDD">
            <w:pPr>
              <w:pStyle w:val="Table-Bullet"/>
            </w:pPr>
            <w:r w:rsidRPr="00D4309F">
              <w:t>Turbidity</w:t>
            </w:r>
            <w:r w:rsidRPr="00D4309F">
              <w:rPr>
                <w:spacing w:val="-13"/>
              </w:rPr>
              <w:t xml:space="preserve"> </w:t>
            </w:r>
            <w:r w:rsidRPr="00D4309F">
              <w:t>monitoring during works</w:t>
            </w:r>
          </w:p>
          <w:p w14:paraId="6776ABC2" w14:textId="77777777" w:rsidR="00A21A9D" w:rsidRPr="00D4309F" w:rsidRDefault="00A21A9D" w:rsidP="007A5DDD">
            <w:pPr>
              <w:pStyle w:val="Table-Bullet"/>
            </w:pPr>
            <w:r w:rsidRPr="00D4309F">
              <w:t>Standard turbidity mitigation</w:t>
            </w:r>
            <w:r w:rsidRPr="00D4309F">
              <w:rPr>
                <w:spacing w:val="-13"/>
              </w:rPr>
              <w:t xml:space="preserve"> </w:t>
            </w:r>
            <w:r w:rsidRPr="00D4309F">
              <w:t>procedures</w:t>
            </w:r>
          </w:p>
          <w:p w14:paraId="4EA81C06" w14:textId="77777777" w:rsidR="00A21A9D" w:rsidRPr="00D4309F" w:rsidRDefault="00A21A9D" w:rsidP="007A5DDD">
            <w:pPr>
              <w:pStyle w:val="Table-Bullet"/>
            </w:pPr>
            <w:r w:rsidRPr="00D4309F">
              <w:t>e.g.</w:t>
            </w:r>
            <w:r w:rsidRPr="00D4309F">
              <w:rPr>
                <w:spacing w:val="-15"/>
              </w:rPr>
              <w:t xml:space="preserve"> </w:t>
            </w:r>
            <w:r w:rsidRPr="00D4309F">
              <w:t>silt</w:t>
            </w:r>
            <w:r w:rsidRPr="00D4309F">
              <w:rPr>
                <w:spacing w:val="-12"/>
              </w:rPr>
              <w:t xml:space="preserve"> </w:t>
            </w:r>
            <w:r w:rsidRPr="00D4309F">
              <w:t>curtains, staging</w:t>
            </w:r>
            <w:r w:rsidRPr="00D4309F">
              <w:rPr>
                <w:spacing w:val="-3"/>
              </w:rPr>
              <w:t xml:space="preserve"> </w:t>
            </w:r>
            <w:r w:rsidRPr="00D4309F">
              <w:t>of</w:t>
            </w:r>
            <w:r w:rsidRPr="00D4309F">
              <w:rPr>
                <w:spacing w:val="-2"/>
              </w:rPr>
              <w:t xml:space="preserve"> works</w:t>
            </w:r>
          </w:p>
          <w:p w14:paraId="3EE22DF5" w14:textId="2247F743" w:rsidR="00A21A9D" w:rsidRPr="00D4309F" w:rsidRDefault="00A21A9D" w:rsidP="007A5DDD">
            <w:pPr>
              <w:pStyle w:val="Table-Bullet"/>
            </w:pPr>
            <w:r w:rsidRPr="00D4309F">
              <w:t>Benthic</w:t>
            </w:r>
            <w:r w:rsidRPr="00D4309F">
              <w:rPr>
                <w:spacing w:val="-13"/>
              </w:rPr>
              <w:t xml:space="preserve"> </w:t>
            </w:r>
            <w:r w:rsidRPr="00D4309F">
              <w:t xml:space="preserve">habitat </w:t>
            </w:r>
            <w:r w:rsidRPr="00D4309F">
              <w:rPr>
                <w:spacing w:val="-2"/>
              </w:rPr>
              <w:t>monitoring</w:t>
            </w:r>
          </w:p>
        </w:tc>
      </w:tr>
      <w:tr w:rsidR="00A21A9D" w:rsidRPr="00D4309F" w14:paraId="6387AD00" w14:textId="77777777" w:rsidTr="002A3DB2">
        <w:trPr>
          <w:cantSplit/>
          <w:trHeight w:val="20"/>
        </w:trPr>
        <w:tc>
          <w:tcPr>
            <w:tcW w:w="0" w:type="auto"/>
            <w:tcBorders>
              <w:top w:val="single" w:sz="4" w:space="0" w:color="000000"/>
              <w:bottom w:val="single" w:sz="4" w:space="0" w:color="000000"/>
            </w:tcBorders>
            <w:vAlign w:val="center"/>
          </w:tcPr>
          <w:p w14:paraId="38DF0093" w14:textId="3DE57A17" w:rsidR="00A21A9D" w:rsidRPr="00D4309F" w:rsidRDefault="00A21A9D" w:rsidP="007A5DDD">
            <w:pPr>
              <w:pStyle w:val="Table-Text"/>
            </w:pPr>
            <w:r w:rsidRPr="00D4309F">
              <w:t>Benthic habitats</w:t>
            </w:r>
          </w:p>
        </w:tc>
        <w:tc>
          <w:tcPr>
            <w:tcW w:w="0" w:type="auto"/>
            <w:tcBorders>
              <w:top w:val="single" w:sz="4" w:space="0" w:color="000000"/>
              <w:bottom w:val="single" w:sz="4" w:space="0" w:color="000000"/>
            </w:tcBorders>
            <w:vAlign w:val="center"/>
          </w:tcPr>
          <w:p w14:paraId="5E25DC25" w14:textId="27899967" w:rsidR="00A21A9D" w:rsidRPr="00D4309F" w:rsidRDefault="00A21A9D" w:rsidP="007A5DDD">
            <w:pPr>
              <w:pStyle w:val="Table-Text"/>
            </w:pPr>
            <w:r w:rsidRPr="00D4309F">
              <w:t>Rocky</w:t>
            </w:r>
            <w:r w:rsidRPr="00D4309F">
              <w:rPr>
                <w:spacing w:val="-13"/>
              </w:rPr>
              <w:t xml:space="preserve"> </w:t>
            </w:r>
            <w:r w:rsidRPr="00D4309F">
              <w:t>reef habitat, seagrass and</w:t>
            </w:r>
            <w:r w:rsidRPr="00D4309F">
              <w:rPr>
                <w:spacing w:val="-9"/>
              </w:rPr>
              <w:t xml:space="preserve"> </w:t>
            </w:r>
            <w:r w:rsidRPr="00D4309F">
              <w:t>corals</w:t>
            </w:r>
          </w:p>
        </w:tc>
        <w:tc>
          <w:tcPr>
            <w:tcW w:w="0" w:type="auto"/>
            <w:tcBorders>
              <w:top w:val="single" w:sz="4" w:space="0" w:color="000000"/>
              <w:bottom w:val="single" w:sz="4" w:space="0" w:color="000000"/>
            </w:tcBorders>
            <w:vAlign w:val="center"/>
          </w:tcPr>
          <w:p w14:paraId="6D7B61FD" w14:textId="64CEBE1C" w:rsidR="00A21A9D" w:rsidRPr="00D4309F" w:rsidRDefault="00A21A9D" w:rsidP="007A5DDD">
            <w:pPr>
              <w:pStyle w:val="Table-Bullet"/>
            </w:pPr>
            <w:r w:rsidRPr="00D4309F">
              <w:t xml:space="preserve">Release of </w:t>
            </w:r>
            <w:r w:rsidRPr="00D4309F">
              <w:rPr>
                <w:spacing w:val="-2"/>
              </w:rPr>
              <w:t>contaminants/hypoxia</w:t>
            </w:r>
          </w:p>
        </w:tc>
        <w:tc>
          <w:tcPr>
            <w:tcW w:w="0" w:type="auto"/>
            <w:tcBorders>
              <w:top w:val="single" w:sz="4" w:space="0" w:color="000000"/>
              <w:bottom w:val="single" w:sz="4" w:space="0" w:color="000000"/>
            </w:tcBorders>
            <w:shd w:val="clear" w:color="auto" w:fill="92D050"/>
            <w:vAlign w:val="center"/>
          </w:tcPr>
          <w:p w14:paraId="316B0BFD" w14:textId="6A603320" w:rsidR="00A21A9D" w:rsidRPr="007A5DDD" w:rsidRDefault="00A21A9D" w:rsidP="007A5DDD">
            <w:pPr>
              <w:pStyle w:val="Table-Text"/>
              <w:rPr>
                <w:b/>
                <w:bCs/>
                <w:spacing w:val="-5"/>
                <w:sz w:val="16"/>
                <w:szCs w:val="18"/>
              </w:rPr>
            </w:pPr>
            <w:r w:rsidRPr="007A5DDD">
              <w:rPr>
                <w:b/>
                <w:bCs/>
                <w:spacing w:val="-5"/>
              </w:rPr>
              <w:t>Low</w:t>
            </w:r>
          </w:p>
        </w:tc>
        <w:tc>
          <w:tcPr>
            <w:tcW w:w="0" w:type="auto"/>
            <w:tcBorders>
              <w:top w:val="single" w:sz="4" w:space="0" w:color="000000"/>
              <w:bottom w:val="single" w:sz="4" w:space="0" w:color="000000"/>
            </w:tcBorders>
            <w:vAlign w:val="center"/>
          </w:tcPr>
          <w:p w14:paraId="0796559A" w14:textId="77777777" w:rsidR="00A21A9D" w:rsidRPr="00D4309F" w:rsidRDefault="00A21A9D" w:rsidP="007A5DDD">
            <w:pPr>
              <w:pStyle w:val="Table-Bullet"/>
            </w:pPr>
            <w:r w:rsidRPr="00D4309F">
              <w:t>Bypass sediments likely comprise</w:t>
            </w:r>
            <w:r w:rsidRPr="00D4309F">
              <w:rPr>
                <w:spacing w:val="-13"/>
              </w:rPr>
              <w:t xml:space="preserve"> </w:t>
            </w:r>
            <w:r w:rsidRPr="00D4309F">
              <w:t>clean</w:t>
            </w:r>
            <w:r w:rsidRPr="00D4309F">
              <w:rPr>
                <w:spacing w:val="-12"/>
              </w:rPr>
              <w:t xml:space="preserve"> </w:t>
            </w:r>
            <w:r w:rsidRPr="00D4309F">
              <w:t>marine</w:t>
            </w:r>
            <w:r w:rsidRPr="00D4309F">
              <w:rPr>
                <w:spacing w:val="-13"/>
              </w:rPr>
              <w:t xml:space="preserve"> </w:t>
            </w:r>
            <w:r w:rsidRPr="00D4309F">
              <w:t>sand free of contaminants with low organic matter content</w:t>
            </w:r>
          </w:p>
          <w:p w14:paraId="72B7C418" w14:textId="2D5EBBE7" w:rsidR="00A21A9D" w:rsidRPr="00D4309F" w:rsidRDefault="00A21A9D" w:rsidP="007A5DDD">
            <w:pPr>
              <w:pStyle w:val="Table-Bullet"/>
            </w:pPr>
            <w:r w:rsidRPr="00D4309F">
              <w:t>Breakwater</w:t>
            </w:r>
            <w:r w:rsidRPr="00D4309F">
              <w:rPr>
                <w:spacing w:val="-8"/>
              </w:rPr>
              <w:t xml:space="preserve"> </w:t>
            </w:r>
            <w:r w:rsidRPr="00D4309F">
              <w:t>construction materials</w:t>
            </w:r>
            <w:r w:rsidRPr="00D4309F">
              <w:rPr>
                <w:spacing w:val="-13"/>
              </w:rPr>
              <w:t xml:space="preserve"> </w:t>
            </w:r>
            <w:r w:rsidRPr="00D4309F">
              <w:t>assumed</w:t>
            </w:r>
            <w:r w:rsidRPr="00D4309F">
              <w:rPr>
                <w:spacing w:val="-12"/>
              </w:rPr>
              <w:t xml:space="preserve"> </w:t>
            </w:r>
            <w:r w:rsidRPr="00D4309F">
              <w:t>to</w:t>
            </w:r>
            <w:r w:rsidRPr="00D4309F">
              <w:rPr>
                <w:spacing w:val="-13"/>
              </w:rPr>
              <w:t xml:space="preserve"> </w:t>
            </w:r>
            <w:r w:rsidRPr="00D4309F">
              <w:t>be free of contamination</w:t>
            </w:r>
          </w:p>
        </w:tc>
        <w:tc>
          <w:tcPr>
            <w:tcW w:w="1908" w:type="dxa"/>
            <w:tcBorders>
              <w:top w:val="single" w:sz="4" w:space="0" w:color="000000"/>
              <w:bottom w:val="single" w:sz="4" w:space="0" w:color="000000"/>
            </w:tcBorders>
            <w:vAlign w:val="center"/>
          </w:tcPr>
          <w:p w14:paraId="0EEACF19" w14:textId="265B6749" w:rsidR="00A21A9D" w:rsidRPr="00D4309F" w:rsidRDefault="00A21A9D" w:rsidP="007A5DDD">
            <w:pPr>
              <w:pStyle w:val="Table-Bullet"/>
              <w:rPr>
                <w:color w:val="211E1F"/>
                <w:spacing w:val="-4"/>
              </w:rPr>
            </w:pPr>
            <w:r w:rsidRPr="00D4309F">
              <w:t>Assumption</w:t>
            </w:r>
            <w:r w:rsidRPr="00D4309F">
              <w:rPr>
                <w:spacing w:val="-13"/>
              </w:rPr>
              <w:t xml:space="preserve"> </w:t>
            </w:r>
            <w:r w:rsidRPr="00D4309F">
              <w:t>that suitable data exists to inform this risk</w:t>
            </w:r>
          </w:p>
        </w:tc>
        <w:tc>
          <w:tcPr>
            <w:tcW w:w="2665" w:type="dxa"/>
            <w:tcBorders>
              <w:top w:val="single" w:sz="4" w:space="0" w:color="000000"/>
              <w:bottom w:val="single" w:sz="4" w:space="0" w:color="000000"/>
            </w:tcBorders>
            <w:vAlign w:val="center"/>
          </w:tcPr>
          <w:p w14:paraId="6117A7A7" w14:textId="1B96113F" w:rsidR="00A21A9D" w:rsidRPr="00D4309F" w:rsidRDefault="00A21A9D" w:rsidP="007A5DDD">
            <w:pPr>
              <w:pStyle w:val="Table-Bullet"/>
            </w:pPr>
            <w:r w:rsidRPr="00D4309F">
              <w:rPr>
                <w:color w:val="211E1F"/>
                <w:spacing w:val="-4"/>
              </w:rPr>
              <w:t>None</w:t>
            </w:r>
          </w:p>
        </w:tc>
      </w:tr>
      <w:tr w:rsidR="007A5DDD" w:rsidRPr="00D4309F" w14:paraId="408CB7DD" w14:textId="77777777" w:rsidTr="002A3DB2">
        <w:trPr>
          <w:cantSplit/>
          <w:trHeight w:val="20"/>
        </w:trPr>
        <w:tc>
          <w:tcPr>
            <w:tcW w:w="0" w:type="auto"/>
            <w:tcBorders>
              <w:top w:val="single" w:sz="4" w:space="0" w:color="000000"/>
              <w:bottom w:val="single" w:sz="4" w:space="0" w:color="000000"/>
            </w:tcBorders>
            <w:vAlign w:val="center"/>
          </w:tcPr>
          <w:p w14:paraId="6AD76D3E" w14:textId="0F4556C5" w:rsidR="007A5DDD" w:rsidRPr="00D4309F" w:rsidRDefault="007A5DDD" w:rsidP="007A5DDD">
            <w:pPr>
              <w:pStyle w:val="Table-Text"/>
              <w:rPr>
                <w:spacing w:val="-2"/>
              </w:rPr>
            </w:pPr>
            <w:r w:rsidRPr="00D4309F">
              <w:lastRenderedPageBreak/>
              <w:t>Terrestrial</w:t>
            </w:r>
            <w:r w:rsidRPr="00D4309F">
              <w:rPr>
                <w:spacing w:val="-15"/>
              </w:rPr>
              <w:t xml:space="preserve"> </w:t>
            </w:r>
            <w:r w:rsidRPr="00D4309F">
              <w:t>fauna</w:t>
            </w:r>
            <w:r w:rsidRPr="00D4309F">
              <w:rPr>
                <w:spacing w:val="-12"/>
              </w:rPr>
              <w:t xml:space="preserve"> </w:t>
            </w:r>
            <w:r w:rsidRPr="00D4309F">
              <w:t>including shorebirds and raptors</w:t>
            </w:r>
          </w:p>
        </w:tc>
        <w:tc>
          <w:tcPr>
            <w:tcW w:w="0" w:type="auto"/>
            <w:tcBorders>
              <w:top w:val="single" w:sz="4" w:space="0" w:color="000000"/>
              <w:bottom w:val="single" w:sz="4" w:space="0" w:color="000000"/>
            </w:tcBorders>
            <w:vAlign w:val="center"/>
          </w:tcPr>
          <w:p w14:paraId="6586E586" w14:textId="4D6BB7EF" w:rsidR="007A5DDD" w:rsidRPr="00D4309F" w:rsidRDefault="007A5DDD" w:rsidP="007A5DDD">
            <w:pPr>
              <w:pStyle w:val="Table-Text"/>
              <w:rPr>
                <w:spacing w:val="-2"/>
              </w:rPr>
            </w:pPr>
          </w:p>
        </w:tc>
        <w:tc>
          <w:tcPr>
            <w:tcW w:w="0" w:type="auto"/>
            <w:tcBorders>
              <w:top w:val="single" w:sz="4" w:space="0" w:color="000000"/>
              <w:bottom w:val="single" w:sz="4" w:space="0" w:color="000000"/>
            </w:tcBorders>
            <w:vAlign w:val="center"/>
          </w:tcPr>
          <w:p w14:paraId="3D6FB83D" w14:textId="77777777" w:rsidR="007A5DDD" w:rsidRPr="00D4309F" w:rsidRDefault="007A5DDD" w:rsidP="007A5DDD">
            <w:pPr>
              <w:pStyle w:val="Table-Bullet"/>
            </w:pPr>
            <w:r w:rsidRPr="00D4309F">
              <w:rPr>
                <w:spacing w:val="-2"/>
              </w:rPr>
              <w:t xml:space="preserve">Mortality/injury/behavioural </w:t>
            </w:r>
            <w:r w:rsidRPr="00D4309F">
              <w:t>response due to noise from breakwater extension, rock cutting</w:t>
            </w:r>
            <w:r w:rsidRPr="00D4309F">
              <w:rPr>
                <w:spacing w:val="-11"/>
              </w:rPr>
              <w:t xml:space="preserve"> </w:t>
            </w:r>
            <w:r w:rsidRPr="00D4309F">
              <w:t>and</w:t>
            </w:r>
            <w:r w:rsidRPr="00D4309F">
              <w:rPr>
                <w:spacing w:val="-11"/>
              </w:rPr>
              <w:t xml:space="preserve"> </w:t>
            </w:r>
            <w:r w:rsidRPr="00D4309F">
              <w:t>the</w:t>
            </w:r>
            <w:r w:rsidRPr="00D4309F">
              <w:rPr>
                <w:spacing w:val="-9"/>
              </w:rPr>
              <w:t xml:space="preserve"> </w:t>
            </w:r>
            <w:r w:rsidRPr="00D4309F">
              <w:t>bypass</w:t>
            </w:r>
            <w:r w:rsidRPr="00D4309F">
              <w:rPr>
                <w:spacing w:val="-10"/>
              </w:rPr>
              <w:t xml:space="preserve"> </w:t>
            </w:r>
            <w:r w:rsidRPr="00D4309F">
              <w:t>pump</w:t>
            </w:r>
          </w:p>
          <w:p w14:paraId="01FBBF4D" w14:textId="77777777" w:rsidR="007A5DDD" w:rsidRPr="00D4309F" w:rsidRDefault="007A5DDD" w:rsidP="007A5DDD">
            <w:pPr>
              <w:pStyle w:val="Table-Bullet"/>
            </w:pPr>
            <w:r w:rsidRPr="00D4309F">
              <w:rPr>
                <w:spacing w:val="-2"/>
              </w:rPr>
              <w:t xml:space="preserve">Mortality/injury/behavioural </w:t>
            </w:r>
            <w:r w:rsidRPr="00D4309F">
              <w:t>response due to dust from breakwater</w:t>
            </w:r>
            <w:r w:rsidRPr="00D4309F">
              <w:rPr>
                <w:spacing w:val="-15"/>
              </w:rPr>
              <w:t xml:space="preserve"> </w:t>
            </w:r>
            <w:r w:rsidRPr="00D4309F">
              <w:t>construction</w:t>
            </w:r>
            <w:r w:rsidRPr="00D4309F">
              <w:rPr>
                <w:spacing w:val="-12"/>
              </w:rPr>
              <w:t xml:space="preserve"> </w:t>
            </w:r>
            <w:r w:rsidRPr="00D4309F">
              <w:t>and beach disposal</w:t>
            </w:r>
          </w:p>
          <w:p w14:paraId="31E696DC" w14:textId="77777777" w:rsidR="007A5DDD" w:rsidRPr="00D4309F" w:rsidRDefault="007A5DDD" w:rsidP="007A5DDD">
            <w:pPr>
              <w:pStyle w:val="Table-Bullet"/>
            </w:pPr>
            <w:r w:rsidRPr="00D4309F">
              <w:t>Behavioural</w:t>
            </w:r>
            <w:r w:rsidRPr="00D4309F">
              <w:rPr>
                <w:spacing w:val="-13"/>
              </w:rPr>
              <w:t xml:space="preserve"> </w:t>
            </w:r>
            <w:r w:rsidRPr="00D4309F">
              <w:t>response</w:t>
            </w:r>
            <w:r w:rsidRPr="00D4309F">
              <w:rPr>
                <w:spacing w:val="-12"/>
              </w:rPr>
              <w:t xml:space="preserve"> </w:t>
            </w:r>
            <w:r w:rsidRPr="00D4309F">
              <w:t>due</w:t>
            </w:r>
            <w:r w:rsidRPr="00D4309F">
              <w:rPr>
                <w:spacing w:val="-13"/>
              </w:rPr>
              <w:t xml:space="preserve"> </w:t>
            </w:r>
            <w:r w:rsidRPr="00D4309F">
              <w:t xml:space="preserve">to </w:t>
            </w:r>
            <w:r w:rsidRPr="00D4309F">
              <w:rPr>
                <w:spacing w:val="-2"/>
              </w:rPr>
              <w:t>light</w:t>
            </w:r>
          </w:p>
          <w:p w14:paraId="76363E01" w14:textId="77777777" w:rsidR="007A5DDD" w:rsidRPr="00D4309F" w:rsidRDefault="007A5DDD" w:rsidP="007A5DDD">
            <w:pPr>
              <w:pStyle w:val="Table-Bullet"/>
            </w:pPr>
            <w:r w:rsidRPr="00D4309F">
              <w:rPr>
                <w:spacing w:val="-2"/>
              </w:rPr>
              <w:t xml:space="preserve">Mortality/injury/behavioural </w:t>
            </w:r>
            <w:r w:rsidRPr="00D4309F">
              <w:t xml:space="preserve">response due physical </w:t>
            </w:r>
            <w:r w:rsidRPr="00D4309F">
              <w:rPr>
                <w:spacing w:val="-2"/>
              </w:rPr>
              <w:t>presence</w:t>
            </w:r>
          </w:p>
          <w:p w14:paraId="19F5932B" w14:textId="77777777" w:rsidR="007A5DDD" w:rsidRPr="00D4309F" w:rsidRDefault="007A5DDD" w:rsidP="007A5DDD">
            <w:pPr>
              <w:pStyle w:val="Table-Bullet"/>
            </w:pPr>
            <w:r w:rsidRPr="00D4309F">
              <w:t>Mortality/injury</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onshore plant and vehicle movement</w:t>
            </w:r>
          </w:p>
          <w:p w14:paraId="03202538" w14:textId="7D1B9430" w:rsidR="007A5DDD" w:rsidRPr="00D4309F" w:rsidRDefault="007A5DDD" w:rsidP="007A5DDD">
            <w:pPr>
              <w:pStyle w:val="Table-Bullet"/>
            </w:pPr>
            <w:r w:rsidRPr="00D4309F">
              <w:t>Disturbance/degradation</w:t>
            </w:r>
            <w:r w:rsidRPr="00D4309F">
              <w:rPr>
                <w:spacing w:val="-13"/>
              </w:rPr>
              <w:t xml:space="preserve"> </w:t>
            </w:r>
            <w:r w:rsidRPr="00D4309F">
              <w:t xml:space="preserve">of habitat during pump </w:t>
            </w:r>
            <w:r w:rsidRPr="00D4309F">
              <w:rPr>
                <w:spacing w:val="-2"/>
              </w:rPr>
              <w:t>installation</w:t>
            </w:r>
          </w:p>
        </w:tc>
        <w:tc>
          <w:tcPr>
            <w:tcW w:w="0" w:type="auto"/>
            <w:tcBorders>
              <w:top w:val="single" w:sz="4" w:space="0" w:color="000000"/>
              <w:bottom w:val="single" w:sz="4" w:space="0" w:color="000000"/>
            </w:tcBorders>
            <w:shd w:val="clear" w:color="auto" w:fill="FFC000"/>
            <w:vAlign w:val="center"/>
          </w:tcPr>
          <w:p w14:paraId="0340792A" w14:textId="2610DECA" w:rsidR="007A5DDD" w:rsidRPr="007A5DDD" w:rsidRDefault="007A5DDD" w:rsidP="007A5DDD">
            <w:pPr>
              <w:pStyle w:val="Table-Text"/>
              <w:rPr>
                <w:b/>
                <w:bCs/>
                <w:spacing w:val="-5"/>
              </w:rPr>
            </w:pPr>
            <w:r w:rsidRPr="007A5DDD">
              <w:rPr>
                <w:b/>
                <w:bCs/>
              </w:rPr>
              <w:t xml:space="preserve">High (for </w:t>
            </w:r>
            <w:r w:rsidRPr="007A5DDD">
              <w:rPr>
                <w:b/>
                <w:bCs/>
                <w:spacing w:val="-2"/>
              </w:rPr>
              <w:t xml:space="preserve">breakwater construction </w:t>
            </w:r>
            <w:r w:rsidRPr="007A5DDD">
              <w:rPr>
                <w:b/>
                <w:bCs/>
              </w:rPr>
              <w:t xml:space="preserve">and rock </w:t>
            </w:r>
            <w:r w:rsidRPr="007A5DDD">
              <w:rPr>
                <w:b/>
                <w:bCs/>
                <w:spacing w:val="-2"/>
              </w:rPr>
              <w:t>cutting)</w:t>
            </w:r>
          </w:p>
        </w:tc>
        <w:tc>
          <w:tcPr>
            <w:tcW w:w="0" w:type="auto"/>
            <w:tcBorders>
              <w:top w:val="single" w:sz="4" w:space="0" w:color="000000"/>
              <w:bottom w:val="single" w:sz="4" w:space="0" w:color="000000"/>
            </w:tcBorders>
            <w:vAlign w:val="center"/>
          </w:tcPr>
          <w:p w14:paraId="703FADD7" w14:textId="77777777" w:rsidR="007A5DDD" w:rsidRPr="00D4309F" w:rsidRDefault="007A5DDD" w:rsidP="007A5DDD">
            <w:pPr>
              <w:pStyle w:val="Table-Bullet"/>
            </w:pPr>
            <w:r w:rsidRPr="00D4309F">
              <w:t>Several species listed as vulnerable</w:t>
            </w:r>
            <w:r w:rsidRPr="00D4309F">
              <w:rPr>
                <w:spacing w:val="-15"/>
              </w:rPr>
              <w:t xml:space="preserve"> </w:t>
            </w:r>
            <w:r w:rsidRPr="00D4309F">
              <w:t>or</w:t>
            </w:r>
            <w:r w:rsidRPr="00D4309F">
              <w:rPr>
                <w:spacing w:val="-12"/>
              </w:rPr>
              <w:t xml:space="preserve"> </w:t>
            </w:r>
            <w:r w:rsidRPr="00D4309F">
              <w:t xml:space="preserve">endangered may occur in the project </w:t>
            </w:r>
            <w:r w:rsidRPr="00D4309F">
              <w:rPr>
                <w:spacing w:val="-4"/>
              </w:rPr>
              <w:t>area</w:t>
            </w:r>
          </w:p>
          <w:p w14:paraId="5B74ECFE" w14:textId="55FD15BA" w:rsidR="007A5DDD" w:rsidRPr="00D4309F" w:rsidRDefault="007A5DDD" w:rsidP="007A5DDD">
            <w:pPr>
              <w:pStyle w:val="Table-Bullet"/>
            </w:pPr>
            <w:r w:rsidRPr="00D4309F">
              <w:t>Several species of shorebirds are listed as occurring</w:t>
            </w:r>
            <w:r w:rsidRPr="00D4309F">
              <w:rPr>
                <w:spacing w:val="-13"/>
              </w:rPr>
              <w:t xml:space="preserve"> </w:t>
            </w:r>
            <w:r w:rsidRPr="00D4309F">
              <w:t>at</w:t>
            </w:r>
            <w:r w:rsidRPr="00D4309F">
              <w:rPr>
                <w:spacing w:val="-12"/>
              </w:rPr>
              <w:t xml:space="preserve"> </w:t>
            </w:r>
            <w:r w:rsidRPr="00D4309F">
              <w:t>Point</w:t>
            </w:r>
            <w:r w:rsidRPr="00D4309F">
              <w:rPr>
                <w:spacing w:val="-13"/>
              </w:rPr>
              <w:t xml:space="preserve"> </w:t>
            </w:r>
            <w:r w:rsidRPr="00D4309F">
              <w:t>Cartwright and could be impacted; however, it is more likely they would occur at the lower Maroochy River</w:t>
            </w:r>
          </w:p>
        </w:tc>
        <w:tc>
          <w:tcPr>
            <w:tcW w:w="1908" w:type="dxa"/>
            <w:tcBorders>
              <w:top w:val="single" w:sz="4" w:space="0" w:color="000000"/>
              <w:bottom w:val="single" w:sz="4" w:space="0" w:color="000000"/>
            </w:tcBorders>
            <w:vAlign w:val="center"/>
          </w:tcPr>
          <w:p w14:paraId="69376DE3" w14:textId="77777777" w:rsidR="007A5DDD" w:rsidRPr="00D4309F" w:rsidRDefault="007A5DDD" w:rsidP="007A5DDD">
            <w:pPr>
              <w:pStyle w:val="Table-Bullet"/>
            </w:pPr>
            <w:r w:rsidRPr="00D4309F">
              <w:t>Noise</w:t>
            </w:r>
            <w:r w:rsidRPr="00D4309F">
              <w:rPr>
                <w:spacing w:val="-2"/>
              </w:rPr>
              <w:t xml:space="preserve"> assessment</w:t>
            </w:r>
          </w:p>
          <w:p w14:paraId="2FB4A79C" w14:textId="0E7F9E32" w:rsidR="007A5DDD" w:rsidRPr="00D4309F" w:rsidRDefault="007A5DDD" w:rsidP="007A5DDD">
            <w:pPr>
              <w:pStyle w:val="Table-Bullet"/>
              <w:rPr>
                <w:color w:val="211E1F"/>
                <w:spacing w:val="-4"/>
              </w:rPr>
            </w:pPr>
            <w:r w:rsidRPr="00D4309F">
              <w:t>Terrestrial</w:t>
            </w:r>
            <w:r w:rsidRPr="00D4309F">
              <w:rPr>
                <w:spacing w:val="-13"/>
              </w:rPr>
              <w:t xml:space="preserve"> </w:t>
            </w:r>
            <w:r w:rsidRPr="00D4309F">
              <w:t xml:space="preserve">fauna </w:t>
            </w:r>
            <w:r w:rsidRPr="00D4309F">
              <w:rPr>
                <w:spacing w:val="-2"/>
              </w:rPr>
              <w:t>assessment</w:t>
            </w:r>
          </w:p>
        </w:tc>
        <w:tc>
          <w:tcPr>
            <w:tcW w:w="2665" w:type="dxa"/>
            <w:tcBorders>
              <w:top w:val="single" w:sz="4" w:space="0" w:color="000000"/>
              <w:bottom w:val="single" w:sz="4" w:space="0" w:color="000000"/>
            </w:tcBorders>
            <w:vAlign w:val="center"/>
          </w:tcPr>
          <w:p w14:paraId="50E499E3" w14:textId="77777777" w:rsidR="007A5DDD" w:rsidRPr="00D4309F" w:rsidRDefault="007A5DDD" w:rsidP="007A5DDD">
            <w:pPr>
              <w:pStyle w:val="Table-Bullet"/>
            </w:pPr>
            <w:r w:rsidRPr="00D4309F">
              <w:t>Timing of works outside of peak aggregation</w:t>
            </w:r>
            <w:r w:rsidRPr="00D4309F">
              <w:rPr>
                <w:spacing w:val="-13"/>
              </w:rPr>
              <w:t xml:space="preserve"> </w:t>
            </w:r>
            <w:r w:rsidRPr="00D4309F">
              <w:t xml:space="preserve">periods for migratory </w:t>
            </w:r>
            <w:r w:rsidRPr="00D4309F">
              <w:rPr>
                <w:spacing w:val="-2"/>
              </w:rPr>
              <w:t>shorebirds</w:t>
            </w:r>
          </w:p>
          <w:p w14:paraId="6CF07C5E" w14:textId="77777777" w:rsidR="007A5DDD" w:rsidRPr="00D4309F" w:rsidRDefault="007A5DDD" w:rsidP="007A5DDD">
            <w:pPr>
              <w:pStyle w:val="Table-Bullet"/>
            </w:pPr>
            <w:r w:rsidRPr="00D4309F">
              <w:t>Standard</w:t>
            </w:r>
            <w:r w:rsidRPr="00D4309F">
              <w:rPr>
                <w:spacing w:val="-13"/>
              </w:rPr>
              <w:t xml:space="preserve"> </w:t>
            </w:r>
            <w:r w:rsidRPr="00D4309F">
              <w:t xml:space="preserve">noise </w:t>
            </w:r>
            <w:r w:rsidRPr="00D4309F">
              <w:rPr>
                <w:spacing w:val="-2"/>
              </w:rPr>
              <w:t>management procedures</w:t>
            </w:r>
          </w:p>
          <w:p w14:paraId="60E0195C" w14:textId="77777777" w:rsidR="007A5DDD" w:rsidRPr="00D4309F" w:rsidRDefault="007A5DDD" w:rsidP="007A5DDD">
            <w:pPr>
              <w:pStyle w:val="Table-Bullet"/>
            </w:pPr>
            <w:r w:rsidRPr="00D4309F">
              <w:t>Limitation</w:t>
            </w:r>
            <w:r w:rsidRPr="00D4309F">
              <w:rPr>
                <w:spacing w:val="-13"/>
              </w:rPr>
              <w:t xml:space="preserve"> </w:t>
            </w:r>
            <w:r w:rsidRPr="00D4309F">
              <w:t>of</w:t>
            </w:r>
            <w:r w:rsidRPr="00D4309F">
              <w:rPr>
                <w:spacing w:val="-12"/>
              </w:rPr>
              <w:t xml:space="preserve"> </w:t>
            </w:r>
            <w:r w:rsidRPr="00D4309F">
              <w:t>works</w:t>
            </w:r>
            <w:r w:rsidRPr="00D4309F">
              <w:rPr>
                <w:spacing w:val="-12"/>
              </w:rPr>
              <w:t xml:space="preserve"> </w:t>
            </w:r>
            <w:r w:rsidRPr="00D4309F">
              <w:t xml:space="preserve">to daylight hours or if necessary, standard light mitigation </w:t>
            </w:r>
            <w:r w:rsidRPr="00D4309F">
              <w:rPr>
                <w:spacing w:val="-2"/>
              </w:rPr>
              <w:t>procedures</w:t>
            </w:r>
          </w:p>
          <w:p w14:paraId="1039B7F7" w14:textId="77777777" w:rsidR="007A5DDD" w:rsidRPr="00D4309F" w:rsidRDefault="007A5DDD" w:rsidP="007A5DDD">
            <w:pPr>
              <w:pStyle w:val="Table-Bullet"/>
            </w:pPr>
            <w:r w:rsidRPr="00D4309F">
              <w:t>Standard fauna mitigation practices including</w:t>
            </w:r>
            <w:r w:rsidRPr="00D4309F">
              <w:rPr>
                <w:spacing w:val="-13"/>
              </w:rPr>
              <w:t xml:space="preserve"> </w:t>
            </w:r>
            <w:r w:rsidRPr="00D4309F">
              <w:t>monitoring for conservation significant fauna, appropriate fencing of work area</w:t>
            </w:r>
          </w:p>
          <w:p w14:paraId="11533488" w14:textId="77777777" w:rsidR="007A5DDD" w:rsidRPr="00D4309F" w:rsidRDefault="007A5DDD" w:rsidP="007A5DDD">
            <w:pPr>
              <w:pStyle w:val="Table-Bullet"/>
            </w:pPr>
            <w:r w:rsidRPr="00D4309F">
              <w:t>Dust</w:t>
            </w:r>
            <w:r w:rsidRPr="00D4309F">
              <w:rPr>
                <w:spacing w:val="-13"/>
              </w:rPr>
              <w:t xml:space="preserve"> </w:t>
            </w:r>
            <w:r w:rsidRPr="00D4309F">
              <w:t xml:space="preserve">management </w:t>
            </w:r>
            <w:r w:rsidRPr="00D4309F">
              <w:rPr>
                <w:spacing w:val="-2"/>
              </w:rPr>
              <w:t>procedures</w:t>
            </w:r>
          </w:p>
          <w:p w14:paraId="408EC79D" w14:textId="401308EB" w:rsidR="007A5DDD" w:rsidRPr="00D4309F" w:rsidRDefault="007A5DDD" w:rsidP="007A5DDD">
            <w:pPr>
              <w:pStyle w:val="Table-Bullet"/>
            </w:pPr>
            <w:r w:rsidRPr="00D4309F">
              <w:t>Waste</w:t>
            </w:r>
            <w:r w:rsidRPr="00D4309F">
              <w:rPr>
                <w:spacing w:val="-13"/>
              </w:rPr>
              <w:t xml:space="preserve"> </w:t>
            </w:r>
            <w:r w:rsidRPr="00D4309F">
              <w:t xml:space="preserve">management </w:t>
            </w:r>
            <w:r w:rsidRPr="00D4309F">
              <w:rPr>
                <w:spacing w:val="-2"/>
              </w:rPr>
              <w:t>procedures</w:t>
            </w:r>
          </w:p>
        </w:tc>
      </w:tr>
      <w:tr w:rsidR="00A21A9D" w:rsidRPr="00D4309F" w14:paraId="71C618C5" w14:textId="77777777" w:rsidTr="002A3DB2">
        <w:trPr>
          <w:cantSplit/>
          <w:trHeight w:val="20"/>
        </w:trPr>
        <w:tc>
          <w:tcPr>
            <w:tcW w:w="0" w:type="auto"/>
            <w:tcBorders>
              <w:top w:val="single" w:sz="4" w:space="0" w:color="000000"/>
              <w:bottom w:val="single" w:sz="4" w:space="0" w:color="000000"/>
            </w:tcBorders>
            <w:vAlign w:val="center"/>
          </w:tcPr>
          <w:p w14:paraId="092428C1" w14:textId="3FECBE08" w:rsidR="00A21A9D" w:rsidRPr="00D4309F" w:rsidRDefault="00A21A9D" w:rsidP="007A5DDD">
            <w:pPr>
              <w:pStyle w:val="Table-Text"/>
              <w:rPr>
                <w:spacing w:val="-2"/>
              </w:rPr>
            </w:pPr>
            <w:r w:rsidRPr="00D4309F">
              <w:lastRenderedPageBreak/>
              <w:t>Terrestrial</w:t>
            </w:r>
            <w:r w:rsidRPr="00D4309F">
              <w:rPr>
                <w:spacing w:val="-4"/>
              </w:rPr>
              <w:t xml:space="preserve"> </w:t>
            </w:r>
            <w:r w:rsidRPr="00D4309F">
              <w:rPr>
                <w:spacing w:val="-2"/>
              </w:rPr>
              <w:t>flora</w:t>
            </w:r>
          </w:p>
        </w:tc>
        <w:tc>
          <w:tcPr>
            <w:tcW w:w="0" w:type="auto"/>
            <w:tcBorders>
              <w:top w:val="single" w:sz="4" w:space="0" w:color="000000"/>
              <w:bottom w:val="single" w:sz="4" w:space="0" w:color="000000"/>
            </w:tcBorders>
            <w:vAlign w:val="center"/>
          </w:tcPr>
          <w:p w14:paraId="4B3C28F0" w14:textId="77777777" w:rsidR="00A21A9D" w:rsidRPr="00D4309F" w:rsidRDefault="00A21A9D" w:rsidP="007A5DDD">
            <w:pPr>
              <w:pStyle w:val="Table-Text"/>
              <w:rPr>
                <w:spacing w:val="-2"/>
              </w:rPr>
            </w:pPr>
          </w:p>
        </w:tc>
        <w:tc>
          <w:tcPr>
            <w:tcW w:w="0" w:type="auto"/>
            <w:tcBorders>
              <w:top w:val="single" w:sz="4" w:space="0" w:color="000000"/>
              <w:bottom w:val="single" w:sz="4" w:space="0" w:color="000000"/>
            </w:tcBorders>
            <w:vAlign w:val="center"/>
          </w:tcPr>
          <w:p w14:paraId="7842FC6A" w14:textId="77777777" w:rsidR="00A21A9D" w:rsidRPr="00D4309F" w:rsidRDefault="00A21A9D" w:rsidP="00BA4F14">
            <w:pPr>
              <w:pStyle w:val="Table-Bullet"/>
            </w:pPr>
            <w:r w:rsidRPr="00D4309F">
              <w:t>Direct</w:t>
            </w:r>
            <w:r w:rsidRPr="00D4309F">
              <w:rPr>
                <w:spacing w:val="-3"/>
              </w:rPr>
              <w:t xml:space="preserve"> </w:t>
            </w:r>
            <w:r w:rsidRPr="00D4309F">
              <w:t>clearing</w:t>
            </w:r>
            <w:r w:rsidRPr="00D4309F">
              <w:rPr>
                <w:spacing w:val="-3"/>
              </w:rPr>
              <w:t xml:space="preserve"> </w:t>
            </w:r>
            <w:r w:rsidRPr="00D4309F">
              <w:t>of</w:t>
            </w:r>
            <w:r w:rsidRPr="00D4309F">
              <w:rPr>
                <w:spacing w:val="-2"/>
              </w:rPr>
              <w:t xml:space="preserve"> vegetation</w:t>
            </w:r>
          </w:p>
          <w:p w14:paraId="3CDA6199" w14:textId="77777777" w:rsidR="00A21A9D" w:rsidRPr="00D4309F" w:rsidRDefault="00A21A9D" w:rsidP="00BA4F14">
            <w:pPr>
              <w:pStyle w:val="Table-Bullet"/>
            </w:pPr>
            <w:r w:rsidRPr="00D4309F">
              <w:t>Smothering</w:t>
            </w:r>
            <w:r w:rsidRPr="00D4309F">
              <w:rPr>
                <w:spacing w:val="-13"/>
              </w:rPr>
              <w:t xml:space="preserve"> </w:t>
            </w:r>
            <w:r w:rsidRPr="00D4309F">
              <w:t>of</w:t>
            </w:r>
            <w:r w:rsidRPr="00D4309F">
              <w:rPr>
                <w:spacing w:val="-12"/>
              </w:rPr>
              <w:t xml:space="preserve"> </w:t>
            </w:r>
            <w:r w:rsidRPr="00D4309F">
              <w:t>vegetation</w:t>
            </w:r>
            <w:r w:rsidRPr="00D4309F">
              <w:rPr>
                <w:spacing w:val="-13"/>
              </w:rPr>
              <w:t xml:space="preserve"> </w:t>
            </w:r>
            <w:r w:rsidRPr="00D4309F">
              <w:t>due to dust generated by breakwater construction</w:t>
            </w:r>
          </w:p>
          <w:p w14:paraId="5DFB5B33" w14:textId="20DF046C" w:rsidR="00A21A9D" w:rsidRPr="00D4309F" w:rsidRDefault="00A21A9D" w:rsidP="00BA4F14">
            <w:pPr>
              <w:pStyle w:val="Table-Bullet"/>
            </w:pPr>
            <w:r w:rsidRPr="00D4309F">
              <w:t>Disturbance</w:t>
            </w:r>
            <w:r w:rsidRPr="00D4309F">
              <w:rPr>
                <w:spacing w:val="-13"/>
              </w:rPr>
              <w:t xml:space="preserve"> </w:t>
            </w:r>
            <w:r w:rsidRPr="00D4309F">
              <w:t>or</w:t>
            </w:r>
            <w:r w:rsidRPr="00D4309F">
              <w:rPr>
                <w:spacing w:val="-12"/>
              </w:rPr>
              <w:t xml:space="preserve"> </w:t>
            </w:r>
            <w:r w:rsidRPr="00D4309F">
              <w:t>degradation</w:t>
            </w:r>
            <w:r w:rsidRPr="00D4309F">
              <w:rPr>
                <w:spacing w:val="-13"/>
              </w:rPr>
              <w:t xml:space="preserve"> </w:t>
            </w:r>
            <w:r w:rsidRPr="00D4309F">
              <w:t>of dune vegetation behind Mooloolaba Main Beach during reprofiling</w:t>
            </w:r>
          </w:p>
        </w:tc>
        <w:tc>
          <w:tcPr>
            <w:tcW w:w="0" w:type="auto"/>
            <w:tcBorders>
              <w:top w:val="single" w:sz="4" w:space="0" w:color="000000"/>
              <w:bottom w:val="single" w:sz="4" w:space="0" w:color="000000"/>
            </w:tcBorders>
            <w:shd w:val="clear" w:color="auto" w:fill="FFC000"/>
            <w:vAlign w:val="center"/>
          </w:tcPr>
          <w:p w14:paraId="0EE68F78" w14:textId="26B974E8" w:rsidR="00A21A9D" w:rsidRPr="007A5DDD" w:rsidRDefault="00A21A9D" w:rsidP="007A5DDD">
            <w:pPr>
              <w:pStyle w:val="Table-Text"/>
              <w:rPr>
                <w:b/>
                <w:bCs/>
                <w:spacing w:val="-5"/>
              </w:rPr>
            </w:pPr>
            <w:r w:rsidRPr="007A5DDD">
              <w:rPr>
                <w:b/>
                <w:bCs/>
              </w:rPr>
              <w:t xml:space="preserve">High (for </w:t>
            </w:r>
            <w:r w:rsidRPr="007A5DDD">
              <w:rPr>
                <w:b/>
                <w:bCs/>
                <w:spacing w:val="-4"/>
              </w:rPr>
              <w:t xml:space="preserve">pump </w:t>
            </w:r>
            <w:r w:rsidRPr="007A5DDD">
              <w:rPr>
                <w:b/>
                <w:bCs/>
                <w:spacing w:val="-2"/>
              </w:rPr>
              <w:t>installation)</w:t>
            </w:r>
          </w:p>
        </w:tc>
        <w:tc>
          <w:tcPr>
            <w:tcW w:w="0" w:type="auto"/>
            <w:tcBorders>
              <w:top w:val="single" w:sz="4" w:space="0" w:color="000000"/>
              <w:bottom w:val="single" w:sz="4" w:space="0" w:color="auto"/>
            </w:tcBorders>
            <w:vAlign w:val="center"/>
          </w:tcPr>
          <w:p w14:paraId="3E1A9D33" w14:textId="33C6C1AC" w:rsidR="00A21A9D" w:rsidRPr="00D4309F" w:rsidRDefault="00A21A9D" w:rsidP="007A5DDD">
            <w:pPr>
              <w:pStyle w:val="Table-Bullet"/>
            </w:pPr>
            <w:r w:rsidRPr="00D4309F">
              <w:t>Several</w:t>
            </w:r>
            <w:r w:rsidRPr="00D4309F">
              <w:rPr>
                <w:spacing w:val="-13"/>
              </w:rPr>
              <w:t xml:space="preserve"> </w:t>
            </w:r>
            <w:r w:rsidRPr="00D4309F">
              <w:t>MSES</w:t>
            </w:r>
            <w:r w:rsidRPr="00D4309F">
              <w:rPr>
                <w:spacing w:val="-12"/>
              </w:rPr>
              <w:t xml:space="preserve"> </w:t>
            </w:r>
            <w:r w:rsidRPr="00D4309F">
              <w:t>and</w:t>
            </w:r>
            <w:r w:rsidRPr="00D4309F">
              <w:rPr>
                <w:spacing w:val="-13"/>
              </w:rPr>
              <w:t xml:space="preserve"> </w:t>
            </w:r>
            <w:r w:rsidRPr="00D4309F">
              <w:t>TECs occur in the project area</w:t>
            </w:r>
          </w:p>
        </w:tc>
        <w:tc>
          <w:tcPr>
            <w:tcW w:w="1908" w:type="dxa"/>
            <w:tcBorders>
              <w:top w:val="single" w:sz="4" w:space="0" w:color="000000"/>
              <w:bottom w:val="single" w:sz="4" w:space="0" w:color="auto"/>
            </w:tcBorders>
            <w:vAlign w:val="center"/>
          </w:tcPr>
          <w:p w14:paraId="1E0D869F" w14:textId="6B00B1B5" w:rsidR="00A21A9D" w:rsidRPr="00D4309F" w:rsidRDefault="00A21A9D" w:rsidP="007A5DDD">
            <w:pPr>
              <w:pStyle w:val="Table-Bullet"/>
              <w:rPr>
                <w:color w:val="211E1F"/>
                <w:spacing w:val="-4"/>
              </w:rPr>
            </w:pPr>
            <w:r w:rsidRPr="00D4309F">
              <w:t>Terrestrial</w:t>
            </w:r>
            <w:r w:rsidRPr="00D4309F">
              <w:rPr>
                <w:spacing w:val="-13"/>
              </w:rPr>
              <w:t xml:space="preserve"> </w:t>
            </w:r>
            <w:r w:rsidRPr="00D4309F">
              <w:t xml:space="preserve">flora </w:t>
            </w:r>
            <w:r w:rsidRPr="00D4309F">
              <w:rPr>
                <w:spacing w:val="-2"/>
              </w:rPr>
              <w:t>assessment</w:t>
            </w:r>
          </w:p>
        </w:tc>
        <w:tc>
          <w:tcPr>
            <w:tcW w:w="2665" w:type="dxa"/>
            <w:tcBorders>
              <w:top w:val="single" w:sz="4" w:space="0" w:color="000000"/>
              <w:bottom w:val="single" w:sz="4" w:space="0" w:color="auto"/>
            </w:tcBorders>
            <w:vAlign w:val="center"/>
          </w:tcPr>
          <w:p w14:paraId="14AE5EDF" w14:textId="77777777" w:rsidR="00A21A9D" w:rsidRPr="00D4309F" w:rsidRDefault="00A21A9D" w:rsidP="007A5DDD">
            <w:pPr>
              <w:pStyle w:val="Table-Bullet"/>
            </w:pPr>
            <w:r w:rsidRPr="00D4309F">
              <w:t>Design to minimise clearing</w:t>
            </w:r>
            <w:r w:rsidRPr="00D4309F">
              <w:rPr>
                <w:spacing w:val="-15"/>
              </w:rPr>
              <w:t xml:space="preserve"> </w:t>
            </w:r>
            <w:r w:rsidRPr="00D4309F">
              <w:t>required</w:t>
            </w:r>
            <w:r w:rsidRPr="00D4309F">
              <w:rPr>
                <w:spacing w:val="-12"/>
              </w:rPr>
              <w:t xml:space="preserve"> </w:t>
            </w:r>
            <w:r w:rsidRPr="00D4309F">
              <w:t xml:space="preserve">and avoid key habitat </w:t>
            </w:r>
            <w:r w:rsidRPr="00D4309F">
              <w:rPr>
                <w:spacing w:val="-2"/>
              </w:rPr>
              <w:t>areas</w:t>
            </w:r>
          </w:p>
          <w:p w14:paraId="007A5D11" w14:textId="77777777" w:rsidR="00A21A9D" w:rsidRPr="00D4309F" w:rsidRDefault="00A21A9D" w:rsidP="007A5DDD">
            <w:pPr>
              <w:pStyle w:val="Table-Bullet"/>
            </w:pPr>
            <w:r w:rsidRPr="00D4309F">
              <w:rPr>
                <w:spacing w:val="-2"/>
              </w:rPr>
              <w:t xml:space="preserve">Appropriate </w:t>
            </w:r>
            <w:r w:rsidRPr="00D4309F">
              <w:t>management for onshore works e.g. onshore</w:t>
            </w:r>
            <w:r w:rsidRPr="00D4309F">
              <w:rPr>
                <w:spacing w:val="-15"/>
              </w:rPr>
              <w:t xml:space="preserve"> </w:t>
            </w:r>
            <w:r w:rsidRPr="00D4309F">
              <w:t>vehicles</w:t>
            </w:r>
            <w:r w:rsidRPr="00D4309F">
              <w:rPr>
                <w:spacing w:val="-12"/>
              </w:rPr>
              <w:t xml:space="preserve"> </w:t>
            </w:r>
            <w:r w:rsidRPr="00D4309F">
              <w:t>and plant to operate in designated tracks and areas</w:t>
            </w:r>
          </w:p>
          <w:p w14:paraId="715116A9" w14:textId="77777777" w:rsidR="00A21A9D" w:rsidRPr="00D4309F" w:rsidRDefault="00A21A9D" w:rsidP="007A5DDD">
            <w:pPr>
              <w:pStyle w:val="Table-Bullet"/>
            </w:pPr>
            <w:r w:rsidRPr="00D4309F">
              <w:t>Dust</w:t>
            </w:r>
            <w:r w:rsidRPr="00D4309F">
              <w:rPr>
                <w:spacing w:val="-13"/>
              </w:rPr>
              <w:t xml:space="preserve"> </w:t>
            </w:r>
            <w:r w:rsidRPr="00D4309F">
              <w:t xml:space="preserve">management </w:t>
            </w:r>
            <w:r w:rsidRPr="00D4309F">
              <w:rPr>
                <w:spacing w:val="-2"/>
              </w:rPr>
              <w:t>procedures</w:t>
            </w:r>
          </w:p>
          <w:p w14:paraId="4EDF4828" w14:textId="77777777" w:rsidR="00A21A9D" w:rsidRPr="00D4309F" w:rsidRDefault="00A21A9D" w:rsidP="007A5DDD">
            <w:pPr>
              <w:pStyle w:val="Table-Bullet"/>
            </w:pPr>
            <w:r w:rsidRPr="00D4309F">
              <w:t>Weed</w:t>
            </w:r>
            <w:r w:rsidRPr="00D4309F">
              <w:rPr>
                <w:spacing w:val="-13"/>
              </w:rPr>
              <w:t xml:space="preserve"> </w:t>
            </w:r>
            <w:r w:rsidRPr="00D4309F">
              <w:t xml:space="preserve">control </w:t>
            </w:r>
            <w:r w:rsidRPr="00D4309F">
              <w:rPr>
                <w:spacing w:val="-2"/>
              </w:rPr>
              <w:t>management procedures</w:t>
            </w:r>
          </w:p>
          <w:p w14:paraId="66E00829" w14:textId="77777777" w:rsidR="00A21A9D" w:rsidRPr="00D4309F" w:rsidRDefault="00A21A9D" w:rsidP="007A5DDD">
            <w:pPr>
              <w:pStyle w:val="Table-Bullet"/>
            </w:pPr>
            <w:r w:rsidRPr="00D4309F">
              <w:t>Waste</w:t>
            </w:r>
            <w:r w:rsidRPr="00D4309F">
              <w:rPr>
                <w:spacing w:val="-13"/>
              </w:rPr>
              <w:t xml:space="preserve"> </w:t>
            </w:r>
            <w:r w:rsidRPr="00D4309F">
              <w:t xml:space="preserve">management </w:t>
            </w:r>
            <w:r w:rsidRPr="00D4309F">
              <w:rPr>
                <w:spacing w:val="-2"/>
              </w:rPr>
              <w:t>procedures</w:t>
            </w:r>
          </w:p>
          <w:p w14:paraId="3BA600BC" w14:textId="77777777" w:rsidR="00A21A9D" w:rsidRPr="00D4309F" w:rsidRDefault="00A21A9D" w:rsidP="007A5DDD">
            <w:pPr>
              <w:pStyle w:val="Table-Bullet"/>
            </w:pPr>
            <w:r w:rsidRPr="00D4309F">
              <w:t>Monitor</w:t>
            </w:r>
            <w:r w:rsidRPr="00D4309F">
              <w:rPr>
                <w:spacing w:val="-13"/>
              </w:rPr>
              <w:t xml:space="preserve"> </w:t>
            </w:r>
            <w:r w:rsidRPr="00D4309F">
              <w:t>conservation significant flora</w:t>
            </w:r>
          </w:p>
          <w:p w14:paraId="6A76FF17" w14:textId="77777777" w:rsidR="00A21A9D" w:rsidRPr="00D4309F" w:rsidRDefault="00A21A9D" w:rsidP="007A5DDD">
            <w:pPr>
              <w:pStyle w:val="Table-Bullet"/>
            </w:pPr>
            <w:r w:rsidRPr="00D4309F">
              <w:t>Post</w:t>
            </w:r>
            <w:r w:rsidRPr="00D4309F">
              <w:rPr>
                <w:spacing w:val="-13"/>
              </w:rPr>
              <w:t xml:space="preserve"> </w:t>
            </w:r>
            <w:r w:rsidRPr="00D4309F">
              <w:t xml:space="preserve">construction </w:t>
            </w:r>
            <w:r w:rsidRPr="00D4309F">
              <w:rPr>
                <w:spacing w:val="-2"/>
              </w:rPr>
              <w:t>survey</w:t>
            </w:r>
          </w:p>
          <w:p w14:paraId="07F2341E" w14:textId="72250A8A" w:rsidR="00A21A9D" w:rsidRPr="00D4309F" w:rsidRDefault="00A21A9D" w:rsidP="007A5DDD">
            <w:pPr>
              <w:pStyle w:val="Table-Bullet"/>
            </w:pPr>
            <w:r w:rsidRPr="00D4309F">
              <w:t>Topsoil stockpiling and</w:t>
            </w:r>
            <w:r w:rsidRPr="00D4309F">
              <w:rPr>
                <w:spacing w:val="-15"/>
              </w:rPr>
              <w:t xml:space="preserve"> </w:t>
            </w:r>
            <w:r w:rsidRPr="00D4309F">
              <w:t>revegetation</w:t>
            </w:r>
            <w:r w:rsidRPr="00D4309F">
              <w:rPr>
                <w:spacing w:val="-12"/>
              </w:rPr>
              <w:t xml:space="preserve"> </w:t>
            </w:r>
            <w:r w:rsidRPr="00D4309F">
              <w:t>of cleared</w:t>
            </w:r>
            <w:r w:rsidRPr="00D4309F">
              <w:rPr>
                <w:spacing w:val="-15"/>
              </w:rPr>
              <w:t xml:space="preserve"> </w:t>
            </w:r>
            <w:r w:rsidRPr="00D4309F">
              <w:t>areas</w:t>
            </w:r>
            <w:r w:rsidRPr="00D4309F">
              <w:rPr>
                <w:spacing w:val="-12"/>
              </w:rPr>
              <w:t xml:space="preserve"> </w:t>
            </w:r>
            <w:r w:rsidRPr="00D4309F">
              <w:t>post-</w:t>
            </w:r>
            <w:r w:rsidRPr="00D4309F">
              <w:rPr>
                <w:spacing w:val="-2"/>
              </w:rPr>
              <w:t>construction</w:t>
            </w:r>
          </w:p>
        </w:tc>
      </w:tr>
    </w:tbl>
    <w:p w14:paraId="25077FAC" w14:textId="37B5DBF7" w:rsidR="00725977" w:rsidRPr="00D4309F" w:rsidRDefault="00725977" w:rsidP="003E0830">
      <w:pPr>
        <w:pStyle w:val="Table-Note"/>
      </w:pPr>
      <w:r w:rsidRPr="00D4309F">
        <w:t>Assumptions:</w:t>
      </w:r>
    </w:p>
    <w:p w14:paraId="2BB9AECB" w14:textId="77777777" w:rsidR="00725977" w:rsidRPr="00D4309F" w:rsidRDefault="00725977" w:rsidP="00D27F26">
      <w:pPr>
        <w:pStyle w:val="Table-Note"/>
        <w:numPr>
          <w:ilvl w:val="0"/>
          <w:numId w:val="491"/>
        </w:numPr>
      </w:pPr>
      <w:r w:rsidRPr="00D4309F">
        <w:t>Bypass</w:t>
      </w:r>
      <w:r w:rsidRPr="00D4309F">
        <w:rPr>
          <w:spacing w:val="-3"/>
        </w:rPr>
        <w:t xml:space="preserve"> </w:t>
      </w:r>
      <w:r w:rsidRPr="00D4309F">
        <w:t>area is an</w:t>
      </w:r>
      <w:r w:rsidRPr="00D4309F">
        <w:rPr>
          <w:spacing w:val="-4"/>
        </w:rPr>
        <w:t xml:space="preserve"> </w:t>
      </w:r>
      <w:r w:rsidRPr="00D4309F">
        <w:t>area of bare</w:t>
      </w:r>
      <w:r w:rsidRPr="00D4309F">
        <w:rPr>
          <w:spacing w:val="-3"/>
        </w:rPr>
        <w:t xml:space="preserve"> </w:t>
      </w:r>
      <w:r w:rsidRPr="00D4309F">
        <w:rPr>
          <w:spacing w:val="-4"/>
        </w:rPr>
        <w:t>sand</w:t>
      </w:r>
    </w:p>
    <w:p w14:paraId="2272DA01" w14:textId="77777777" w:rsidR="00725977" w:rsidRPr="00D4309F" w:rsidRDefault="00725977" w:rsidP="00D27F26">
      <w:pPr>
        <w:pStyle w:val="Table-Note"/>
        <w:numPr>
          <w:ilvl w:val="0"/>
          <w:numId w:val="491"/>
        </w:numPr>
      </w:pPr>
      <w:r w:rsidRPr="00D4309F">
        <w:t>There</w:t>
      </w:r>
      <w:r w:rsidRPr="00D4309F">
        <w:rPr>
          <w:spacing w:val="-7"/>
        </w:rPr>
        <w:t xml:space="preserve"> </w:t>
      </w:r>
      <w:r w:rsidRPr="00D4309F">
        <w:t>is</w:t>
      </w:r>
      <w:r w:rsidRPr="00D4309F">
        <w:rPr>
          <w:spacing w:val="-3"/>
        </w:rPr>
        <w:t xml:space="preserve"> </w:t>
      </w:r>
      <w:r w:rsidRPr="00D4309F">
        <w:t>sediment</w:t>
      </w:r>
      <w:r w:rsidRPr="00D4309F">
        <w:rPr>
          <w:spacing w:val="-3"/>
        </w:rPr>
        <w:t xml:space="preserve"> </w:t>
      </w:r>
      <w:r w:rsidRPr="00D4309F">
        <w:t>contamination</w:t>
      </w:r>
      <w:r w:rsidRPr="00D4309F">
        <w:rPr>
          <w:spacing w:val="-5"/>
        </w:rPr>
        <w:t xml:space="preserve"> </w:t>
      </w:r>
      <w:r w:rsidRPr="00D4309F">
        <w:t>data</w:t>
      </w:r>
      <w:r w:rsidRPr="00D4309F">
        <w:rPr>
          <w:spacing w:val="-4"/>
        </w:rPr>
        <w:t xml:space="preserve"> </w:t>
      </w:r>
      <w:r w:rsidRPr="00D4309F">
        <w:t>to</w:t>
      </w:r>
      <w:r w:rsidRPr="00D4309F">
        <w:rPr>
          <w:spacing w:val="-3"/>
        </w:rPr>
        <w:t xml:space="preserve"> </w:t>
      </w:r>
      <w:r w:rsidRPr="00D4309F">
        <w:t>inform</w:t>
      </w:r>
      <w:r w:rsidRPr="00D4309F">
        <w:rPr>
          <w:spacing w:val="-4"/>
        </w:rPr>
        <w:t xml:space="preserve"> </w:t>
      </w:r>
      <w:r w:rsidRPr="00D4309F">
        <w:t>the</w:t>
      </w:r>
      <w:r w:rsidRPr="00D4309F">
        <w:rPr>
          <w:spacing w:val="-4"/>
        </w:rPr>
        <w:t xml:space="preserve"> </w:t>
      </w:r>
      <w:r w:rsidRPr="00D4309F">
        <w:t>risk</w:t>
      </w:r>
      <w:r w:rsidRPr="00D4309F">
        <w:rPr>
          <w:spacing w:val="-3"/>
        </w:rPr>
        <w:t xml:space="preserve"> </w:t>
      </w:r>
      <w:r w:rsidRPr="00D4309F">
        <w:t>of</w:t>
      </w:r>
      <w:r w:rsidRPr="00D4309F">
        <w:rPr>
          <w:spacing w:val="-5"/>
        </w:rPr>
        <w:t xml:space="preserve"> </w:t>
      </w:r>
      <w:r w:rsidRPr="00D4309F">
        <w:t>on</w:t>
      </w:r>
      <w:r w:rsidRPr="00D4309F">
        <w:rPr>
          <w:spacing w:val="-4"/>
        </w:rPr>
        <w:t xml:space="preserve"> </w:t>
      </w:r>
      <w:r w:rsidRPr="00D4309F">
        <w:t>release</w:t>
      </w:r>
      <w:r w:rsidRPr="00D4309F">
        <w:rPr>
          <w:spacing w:val="-4"/>
        </w:rPr>
        <w:t xml:space="preserve"> </w:t>
      </w:r>
      <w:r w:rsidRPr="00D4309F">
        <w:t>of</w:t>
      </w:r>
      <w:r w:rsidRPr="00D4309F">
        <w:rPr>
          <w:spacing w:val="-5"/>
        </w:rPr>
        <w:t xml:space="preserve"> </w:t>
      </w:r>
      <w:r w:rsidRPr="00D4309F">
        <w:t>contaminants</w:t>
      </w:r>
      <w:r w:rsidRPr="00D4309F">
        <w:rPr>
          <w:spacing w:val="-4"/>
        </w:rPr>
        <w:t xml:space="preserve"> </w:t>
      </w:r>
      <w:r w:rsidRPr="00D4309F">
        <w:t>via</w:t>
      </w:r>
      <w:r w:rsidRPr="00D4309F">
        <w:rPr>
          <w:spacing w:val="-4"/>
        </w:rPr>
        <w:t xml:space="preserve"> </w:t>
      </w:r>
      <w:r w:rsidRPr="00D4309F">
        <w:t>dredging</w:t>
      </w:r>
      <w:r w:rsidRPr="00D4309F">
        <w:rPr>
          <w:spacing w:val="-3"/>
        </w:rPr>
        <w:t xml:space="preserve"> </w:t>
      </w:r>
      <w:r w:rsidRPr="00D4309F">
        <w:t>and</w:t>
      </w:r>
      <w:r w:rsidRPr="00D4309F">
        <w:rPr>
          <w:spacing w:val="-4"/>
        </w:rPr>
        <w:t xml:space="preserve"> </w:t>
      </w:r>
      <w:r w:rsidRPr="00D4309F">
        <w:t>disposal</w:t>
      </w:r>
    </w:p>
    <w:p w14:paraId="1BBD207B" w14:textId="5DB813DC" w:rsidR="00725977" w:rsidRPr="00D4309F" w:rsidRDefault="00725977" w:rsidP="00D27F26">
      <w:pPr>
        <w:pStyle w:val="Table-Note"/>
        <w:numPr>
          <w:ilvl w:val="0"/>
          <w:numId w:val="491"/>
        </w:numPr>
      </w:pPr>
      <w:r w:rsidRPr="004F39FF">
        <w:t>All</w:t>
      </w:r>
      <w:r w:rsidRPr="004F39FF">
        <w:rPr>
          <w:spacing w:val="-5"/>
        </w:rPr>
        <w:t xml:space="preserve"> </w:t>
      </w:r>
      <w:r w:rsidRPr="004F39FF">
        <w:t>materials</w:t>
      </w:r>
      <w:r w:rsidRPr="004F39FF">
        <w:rPr>
          <w:spacing w:val="-3"/>
        </w:rPr>
        <w:t xml:space="preserve"> </w:t>
      </w:r>
      <w:r w:rsidRPr="004F39FF">
        <w:t>used</w:t>
      </w:r>
      <w:r w:rsidRPr="004F39FF">
        <w:rPr>
          <w:spacing w:val="-4"/>
        </w:rPr>
        <w:t xml:space="preserve"> </w:t>
      </w:r>
      <w:r w:rsidRPr="004F39FF">
        <w:t>for</w:t>
      </w:r>
      <w:r w:rsidRPr="004F39FF">
        <w:rPr>
          <w:spacing w:val="-4"/>
        </w:rPr>
        <w:t xml:space="preserve"> </w:t>
      </w:r>
      <w:r w:rsidRPr="004F39FF">
        <w:t>breakwater</w:t>
      </w:r>
      <w:r w:rsidRPr="004F39FF">
        <w:rPr>
          <w:spacing w:val="-4"/>
        </w:rPr>
        <w:t xml:space="preserve"> </w:t>
      </w:r>
      <w:r w:rsidRPr="004F39FF">
        <w:t>extension</w:t>
      </w:r>
      <w:r w:rsidRPr="004F39FF">
        <w:rPr>
          <w:spacing w:val="-4"/>
        </w:rPr>
        <w:t xml:space="preserve"> </w:t>
      </w:r>
      <w:r w:rsidRPr="004F39FF">
        <w:t>are</w:t>
      </w:r>
      <w:r w:rsidRPr="004F39FF">
        <w:rPr>
          <w:spacing w:val="-5"/>
        </w:rPr>
        <w:t xml:space="preserve"> </w:t>
      </w:r>
      <w:r w:rsidRPr="004F39FF">
        <w:t>free</w:t>
      </w:r>
      <w:r w:rsidRPr="004F39FF">
        <w:rPr>
          <w:spacing w:val="-4"/>
        </w:rPr>
        <w:t xml:space="preserve"> </w:t>
      </w:r>
      <w:r w:rsidRPr="004F39FF">
        <w:t>of</w:t>
      </w:r>
      <w:r w:rsidRPr="004F39FF">
        <w:rPr>
          <w:spacing w:val="-3"/>
        </w:rPr>
        <w:t xml:space="preserve"> </w:t>
      </w:r>
      <w:r w:rsidRPr="004F39FF">
        <w:t>contaminants</w:t>
      </w:r>
    </w:p>
    <w:p w14:paraId="4193E108" w14:textId="77777777" w:rsidR="00725977" w:rsidRPr="00D4309F" w:rsidRDefault="00725977" w:rsidP="00D27F26">
      <w:pPr>
        <w:pStyle w:val="Table-Note"/>
        <w:numPr>
          <w:ilvl w:val="0"/>
          <w:numId w:val="491"/>
        </w:numPr>
      </w:pPr>
      <w:r w:rsidRPr="00D4309F">
        <w:t>Excavated</w:t>
      </w:r>
      <w:r w:rsidRPr="00D4309F">
        <w:rPr>
          <w:spacing w:val="-5"/>
        </w:rPr>
        <w:t xml:space="preserve"> </w:t>
      </w:r>
      <w:r w:rsidRPr="00D4309F">
        <w:t>rock</w:t>
      </w:r>
      <w:r w:rsidRPr="00D4309F">
        <w:rPr>
          <w:spacing w:val="-5"/>
        </w:rPr>
        <w:t xml:space="preserve"> </w:t>
      </w:r>
      <w:r w:rsidRPr="00D4309F">
        <w:t>will</w:t>
      </w:r>
      <w:r w:rsidRPr="00D4309F">
        <w:rPr>
          <w:spacing w:val="-5"/>
        </w:rPr>
        <w:t xml:space="preserve"> </w:t>
      </w:r>
      <w:r w:rsidRPr="00D4309F">
        <w:t>be</w:t>
      </w:r>
      <w:r w:rsidRPr="00D4309F">
        <w:rPr>
          <w:spacing w:val="-4"/>
        </w:rPr>
        <w:t xml:space="preserve"> </w:t>
      </w:r>
      <w:r w:rsidRPr="00D4309F">
        <w:t>disposed</w:t>
      </w:r>
      <w:r w:rsidRPr="00D4309F">
        <w:rPr>
          <w:spacing w:val="-5"/>
        </w:rPr>
        <w:t xml:space="preserve"> </w:t>
      </w:r>
      <w:r w:rsidRPr="00D4309F">
        <w:t>of offsite</w:t>
      </w:r>
      <w:r w:rsidRPr="00D4309F">
        <w:rPr>
          <w:spacing w:val="-4"/>
        </w:rPr>
        <w:t xml:space="preserve"> </w:t>
      </w:r>
      <w:r w:rsidRPr="00D4309F">
        <w:t>if</w:t>
      </w:r>
      <w:r w:rsidRPr="00D4309F">
        <w:rPr>
          <w:spacing w:val="-3"/>
        </w:rPr>
        <w:t xml:space="preserve"> </w:t>
      </w:r>
      <w:r w:rsidRPr="00D4309F">
        <w:t>not</w:t>
      </w:r>
      <w:r w:rsidRPr="00D4309F">
        <w:rPr>
          <w:spacing w:val="-4"/>
        </w:rPr>
        <w:t xml:space="preserve"> </w:t>
      </w:r>
      <w:r w:rsidRPr="00D4309F">
        <w:t>appropriate</w:t>
      </w:r>
      <w:r w:rsidRPr="00D4309F">
        <w:rPr>
          <w:spacing w:val="-3"/>
        </w:rPr>
        <w:t xml:space="preserve"> </w:t>
      </w:r>
      <w:r w:rsidRPr="00D4309F">
        <w:t>for</w:t>
      </w:r>
      <w:r w:rsidRPr="00D4309F">
        <w:rPr>
          <w:spacing w:val="-4"/>
        </w:rPr>
        <w:t xml:space="preserve"> </w:t>
      </w:r>
      <w:r w:rsidRPr="00D4309F">
        <w:t>offshore</w:t>
      </w:r>
      <w:r w:rsidRPr="00D4309F">
        <w:rPr>
          <w:spacing w:val="-3"/>
        </w:rPr>
        <w:t xml:space="preserve"> </w:t>
      </w:r>
      <w:r w:rsidRPr="00D4309F">
        <w:t>disposal</w:t>
      </w:r>
    </w:p>
    <w:p w14:paraId="612CBB48" w14:textId="77777777" w:rsidR="00725977" w:rsidRPr="00D4309F" w:rsidRDefault="00725977" w:rsidP="00725977">
      <w:pPr>
        <w:pStyle w:val="ListParagraph"/>
        <w:rPr>
          <w:sz w:val="14"/>
        </w:rPr>
        <w:sectPr w:rsidR="00725977" w:rsidRPr="00D4309F" w:rsidSect="00405D4F">
          <w:headerReference w:type="default" r:id="rId127"/>
          <w:footerReference w:type="default" r:id="rId128"/>
          <w:pgSz w:w="16840" w:h="11910" w:orient="landscape"/>
          <w:pgMar w:top="1418" w:right="1134" w:bottom="1418" w:left="1134" w:header="916" w:footer="976" w:gutter="0"/>
          <w:cols w:space="720"/>
        </w:sectPr>
      </w:pPr>
    </w:p>
    <w:p w14:paraId="0C19AF06" w14:textId="77777777" w:rsidR="00725977" w:rsidRPr="00D4309F" w:rsidRDefault="00725977" w:rsidP="00725977">
      <w:pPr>
        <w:pStyle w:val="BodyText"/>
      </w:pPr>
      <w:r w:rsidRPr="00D4309F">
        <w:lastRenderedPageBreak/>
        <w:t>Similar</w:t>
      </w:r>
      <w:r w:rsidRPr="00D4309F">
        <w:rPr>
          <w:spacing w:val="-2"/>
        </w:rPr>
        <w:t xml:space="preserve"> </w:t>
      </w:r>
      <w:r w:rsidRPr="00D4309F">
        <w:t>to</w:t>
      </w:r>
      <w:r w:rsidRPr="00D4309F">
        <w:rPr>
          <w:spacing w:val="-3"/>
        </w:rPr>
        <w:t xml:space="preserve"> </w:t>
      </w:r>
      <w:r w:rsidRPr="00D4309F">
        <w:t>Option</w:t>
      </w:r>
      <w:r w:rsidRPr="00D4309F">
        <w:rPr>
          <w:spacing w:val="-3"/>
        </w:rPr>
        <w:t xml:space="preserve"> </w:t>
      </w:r>
      <w:r w:rsidRPr="00D4309F">
        <w:t>3A,</w:t>
      </w:r>
      <w:r w:rsidRPr="00D4309F">
        <w:rPr>
          <w:spacing w:val="-3"/>
        </w:rPr>
        <w:t xml:space="preserve"> </w:t>
      </w:r>
      <w:r w:rsidRPr="00D4309F">
        <w:t>the</w:t>
      </w:r>
      <w:r w:rsidRPr="00D4309F">
        <w:rPr>
          <w:spacing w:val="-3"/>
        </w:rPr>
        <w:t xml:space="preserve"> </w:t>
      </w:r>
      <w:r w:rsidRPr="00D4309F">
        <w:t>breakwater</w:t>
      </w:r>
      <w:r w:rsidRPr="00D4309F">
        <w:rPr>
          <w:spacing w:val="-2"/>
        </w:rPr>
        <w:t xml:space="preserve"> </w:t>
      </w:r>
      <w:r w:rsidRPr="00D4309F">
        <w:t>extension</w:t>
      </w:r>
      <w:r w:rsidRPr="00D4309F">
        <w:rPr>
          <w:spacing w:val="-3"/>
        </w:rPr>
        <w:t xml:space="preserve"> </w:t>
      </w:r>
      <w:r w:rsidRPr="00D4309F">
        <w:t>and</w:t>
      </w:r>
      <w:r w:rsidRPr="00D4309F">
        <w:rPr>
          <w:spacing w:val="-3"/>
        </w:rPr>
        <w:t xml:space="preserve"> </w:t>
      </w:r>
      <w:r w:rsidRPr="00D4309F">
        <w:t>rock</w:t>
      </w:r>
      <w:r w:rsidRPr="00D4309F">
        <w:rPr>
          <w:spacing w:val="-3"/>
        </w:rPr>
        <w:t xml:space="preserve"> </w:t>
      </w:r>
      <w:r w:rsidRPr="00D4309F">
        <w:t>cutting</w:t>
      </w:r>
      <w:r w:rsidRPr="00D4309F">
        <w:rPr>
          <w:spacing w:val="-3"/>
        </w:rPr>
        <w:t xml:space="preserve"> </w:t>
      </w:r>
      <w:r w:rsidRPr="00D4309F">
        <w:t>will</w:t>
      </w:r>
      <w:r w:rsidRPr="00D4309F">
        <w:rPr>
          <w:spacing w:val="-4"/>
        </w:rPr>
        <w:t xml:space="preserve"> </w:t>
      </w:r>
      <w:r w:rsidRPr="00D4309F">
        <w:t>potentially</w:t>
      </w:r>
      <w:r w:rsidRPr="00D4309F">
        <w:rPr>
          <w:spacing w:val="-2"/>
        </w:rPr>
        <w:t xml:space="preserve"> </w:t>
      </w:r>
      <w:r w:rsidRPr="00D4309F">
        <w:t>result</w:t>
      </w:r>
      <w:r w:rsidRPr="00D4309F">
        <w:rPr>
          <w:spacing w:val="-3"/>
        </w:rPr>
        <w:t xml:space="preserve"> </w:t>
      </w:r>
      <w:r w:rsidRPr="00D4309F">
        <w:t>in</w:t>
      </w:r>
      <w:r w:rsidRPr="00D4309F">
        <w:rPr>
          <w:spacing w:val="-3"/>
        </w:rPr>
        <w:t xml:space="preserve"> </w:t>
      </w:r>
      <w:r w:rsidRPr="00D4309F">
        <w:t>a</w:t>
      </w:r>
      <w:r w:rsidRPr="00D4309F">
        <w:rPr>
          <w:spacing w:val="-3"/>
        </w:rPr>
        <w:t xml:space="preserve"> </w:t>
      </w:r>
      <w:r w:rsidRPr="00D4309F">
        <w:t>more</w:t>
      </w:r>
      <w:r w:rsidRPr="00D4309F">
        <w:rPr>
          <w:spacing w:val="-4"/>
        </w:rPr>
        <w:t xml:space="preserve"> </w:t>
      </w:r>
      <w:r w:rsidRPr="00D4309F">
        <w:t>extensive</w:t>
      </w:r>
      <w:r w:rsidRPr="00D4309F">
        <w:rPr>
          <w:spacing w:val="-3"/>
        </w:rPr>
        <w:t xml:space="preserve"> </w:t>
      </w:r>
      <w:r w:rsidRPr="00D4309F">
        <w:t>and persistent</w:t>
      </w:r>
      <w:r w:rsidRPr="00D4309F">
        <w:rPr>
          <w:spacing w:val="-2"/>
        </w:rPr>
        <w:t xml:space="preserve"> </w:t>
      </w:r>
      <w:r w:rsidRPr="00D4309F">
        <w:t>turbid</w:t>
      </w:r>
      <w:r w:rsidRPr="00D4309F">
        <w:rPr>
          <w:spacing w:val="-2"/>
        </w:rPr>
        <w:t xml:space="preserve"> </w:t>
      </w:r>
      <w:r w:rsidRPr="00D4309F">
        <w:t>plume</w:t>
      </w:r>
      <w:r w:rsidRPr="00D4309F">
        <w:rPr>
          <w:spacing w:val="-2"/>
        </w:rPr>
        <w:t xml:space="preserve"> </w:t>
      </w:r>
      <w:r w:rsidRPr="00D4309F">
        <w:t>and</w:t>
      </w:r>
      <w:r w:rsidRPr="00D4309F">
        <w:rPr>
          <w:spacing w:val="-2"/>
        </w:rPr>
        <w:t xml:space="preserve"> </w:t>
      </w:r>
      <w:r w:rsidRPr="00D4309F">
        <w:t>greater</w:t>
      </w:r>
      <w:r w:rsidRPr="00D4309F">
        <w:rPr>
          <w:spacing w:val="-1"/>
        </w:rPr>
        <w:t xml:space="preserve"> </w:t>
      </w:r>
      <w:r w:rsidRPr="00D4309F">
        <w:t>underwater</w:t>
      </w:r>
      <w:r w:rsidRPr="00D4309F">
        <w:rPr>
          <w:spacing w:val="-1"/>
        </w:rPr>
        <w:t xml:space="preserve"> </w:t>
      </w:r>
      <w:r w:rsidRPr="00D4309F">
        <w:t>noise</w:t>
      </w:r>
      <w:r w:rsidRPr="00D4309F">
        <w:rPr>
          <w:spacing w:val="-3"/>
        </w:rPr>
        <w:t xml:space="preserve"> </w:t>
      </w:r>
      <w:r w:rsidRPr="00D4309F">
        <w:t>impacts,</w:t>
      </w:r>
      <w:r w:rsidRPr="00D4309F">
        <w:rPr>
          <w:spacing w:val="-2"/>
        </w:rPr>
        <w:t xml:space="preserve"> </w:t>
      </w:r>
      <w:r w:rsidRPr="00D4309F">
        <w:t>benthic</w:t>
      </w:r>
      <w:r w:rsidRPr="00D4309F">
        <w:rPr>
          <w:spacing w:val="-1"/>
        </w:rPr>
        <w:t xml:space="preserve"> </w:t>
      </w:r>
      <w:r w:rsidRPr="00D4309F">
        <w:t>and</w:t>
      </w:r>
      <w:r w:rsidRPr="00D4309F">
        <w:rPr>
          <w:spacing w:val="-2"/>
        </w:rPr>
        <w:t xml:space="preserve"> </w:t>
      </w:r>
      <w:r w:rsidRPr="00D4309F">
        <w:t>terrestrial</w:t>
      </w:r>
      <w:r w:rsidRPr="00D4309F">
        <w:rPr>
          <w:spacing w:val="-2"/>
        </w:rPr>
        <w:t xml:space="preserve"> </w:t>
      </w:r>
      <w:r w:rsidRPr="00D4309F">
        <w:t>habitat</w:t>
      </w:r>
      <w:r w:rsidRPr="00D4309F">
        <w:rPr>
          <w:spacing w:val="-2"/>
        </w:rPr>
        <w:t xml:space="preserve"> </w:t>
      </w:r>
      <w:r w:rsidRPr="00D4309F">
        <w:t>impacts</w:t>
      </w:r>
      <w:r w:rsidRPr="00D4309F">
        <w:rPr>
          <w:spacing w:val="-1"/>
        </w:rPr>
        <w:t xml:space="preserve"> </w:t>
      </w:r>
      <w:r w:rsidRPr="00D4309F">
        <w:t>that</w:t>
      </w:r>
      <w:r w:rsidRPr="00D4309F">
        <w:rPr>
          <w:spacing w:val="-2"/>
        </w:rPr>
        <w:t xml:space="preserve"> </w:t>
      </w:r>
      <w:r w:rsidRPr="00D4309F">
        <w:t>will require further assessment and monitoring/management during works. Overall, the capital works could potentially result in significant impacts to marine mammals and terrestrial fauna of high conservation value.</w:t>
      </w:r>
    </w:p>
    <w:p w14:paraId="798EED32" w14:textId="4811F8D6" w:rsidR="00725977" w:rsidRPr="00D4309F" w:rsidRDefault="00725977" w:rsidP="00725977">
      <w:pPr>
        <w:pStyle w:val="BodyText"/>
      </w:pPr>
      <w:r w:rsidRPr="00D4309F">
        <w:t>Once</w:t>
      </w:r>
      <w:r w:rsidRPr="00D4309F">
        <w:rPr>
          <w:spacing w:val="-3"/>
        </w:rPr>
        <w:t xml:space="preserve"> </w:t>
      </w:r>
      <w:r w:rsidRPr="00D4309F">
        <w:t>established,</w:t>
      </w:r>
      <w:r w:rsidRPr="00D4309F">
        <w:rPr>
          <w:spacing w:val="-3"/>
        </w:rPr>
        <w:t xml:space="preserve"> </w:t>
      </w:r>
      <w:r w:rsidRPr="00D4309F">
        <w:t>the</w:t>
      </w:r>
      <w:r w:rsidRPr="00D4309F">
        <w:rPr>
          <w:spacing w:val="-3"/>
        </w:rPr>
        <w:t xml:space="preserve"> </w:t>
      </w:r>
      <w:r w:rsidRPr="00D4309F">
        <w:t>ongoing</w:t>
      </w:r>
      <w:r w:rsidRPr="00D4309F">
        <w:rPr>
          <w:spacing w:val="-3"/>
        </w:rPr>
        <w:t xml:space="preserve"> </w:t>
      </w:r>
      <w:r w:rsidRPr="00D4309F">
        <w:t>environmental</w:t>
      </w:r>
      <w:r w:rsidRPr="00D4309F">
        <w:rPr>
          <w:spacing w:val="-3"/>
        </w:rPr>
        <w:t xml:space="preserve"> </w:t>
      </w:r>
      <w:r w:rsidRPr="00D4309F">
        <w:t>impact</w:t>
      </w:r>
      <w:r w:rsidRPr="00D4309F">
        <w:rPr>
          <w:spacing w:val="-3"/>
        </w:rPr>
        <w:t xml:space="preserve"> </w:t>
      </w:r>
      <w:r w:rsidRPr="00D4309F">
        <w:t>would</w:t>
      </w:r>
      <w:r w:rsidRPr="00D4309F">
        <w:rPr>
          <w:spacing w:val="-3"/>
        </w:rPr>
        <w:t xml:space="preserve"> </w:t>
      </w:r>
      <w:r w:rsidRPr="00D4309F">
        <w:t>be</w:t>
      </w:r>
      <w:r w:rsidRPr="00D4309F">
        <w:rPr>
          <w:spacing w:val="-4"/>
        </w:rPr>
        <w:t xml:space="preserve"> </w:t>
      </w:r>
      <w:r w:rsidRPr="00D4309F">
        <w:t>less</w:t>
      </w:r>
      <w:r w:rsidRPr="00D4309F">
        <w:rPr>
          <w:spacing w:val="-3"/>
        </w:rPr>
        <w:t xml:space="preserve"> </w:t>
      </w:r>
      <w:r w:rsidRPr="00D4309F">
        <w:t>with</w:t>
      </w:r>
      <w:r w:rsidRPr="00D4309F">
        <w:rPr>
          <w:spacing w:val="-3"/>
        </w:rPr>
        <w:t xml:space="preserve"> </w:t>
      </w:r>
      <w:r w:rsidRPr="00D4309F">
        <w:t>potential</w:t>
      </w:r>
      <w:r w:rsidRPr="00D4309F">
        <w:rPr>
          <w:spacing w:val="-4"/>
        </w:rPr>
        <w:t xml:space="preserve"> </w:t>
      </w:r>
      <w:r w:rsidRPr="00D4309F">
        <w:t>impacts</w:t>
      </w:r>
      <w:r w:rsidRPr="00D4309F">
        <w:rPr>
          <w:spacing w:val="-2"/>
        </w:rPr>
        <w:t xml:space="preserve"> </w:t>
      </w:r>
      <w:r w:rsidRPr="00D4309F">
        <w:t>to</w:t>
      </w:r>
      <w:r w:rsidRPr="00D4309F">
        <w:rPr>
          <w:spacing w:val="-3"/>
        </w:rPr>
        <w:t xml:space="preserve"> </w:t>
      </w:r>
      <w:r w:rsidRPr="00D4309F">
        <w:t>benthic</w:t>
      </w:r>
      <w:r w:rsidRPr="00D4309F">
        <w:rPr>
          <w:spacing w:val="-2"/>
        </w:rPr>
        <w:t xml:space="preserve"> </w:t>
      </w:r>
      <w:r w:rsidRPr="00D4309F">
        <w:t>habitats, marine fauna and beach habitat that can be managed during works.</w:t>
      </w:r>
      <w:r w:rsidRPr="00D4309F">
        <w:rPr>
          <w:spacing w:val="-1"/>
        </w:rPr>
        <w:t xml:space="preserve"> </w:t>
      </w:r>
      <w:r w:rsidRPr="00D4309F">
        <w:t xml:space="preserve">The beneficial reuse of dredged sand at Mooloolaba Beach would support natural coastal nourishment and maintain sediment balance along the </w:t>
      </w:r>
      <w:r w:rsidRPr="00D4309F">
        <w:rPr>
          <w:spacing w:val="-2"/>
        </w:rPr>
        <w:t>shoreline.</w:t>
      </w:r>
    </w:p>
    <w:p w14:paraId="7B2E7E69" w14:textId="77777777" w:rsidR="00725977" w:rsidRPr="00D4309F" w:rsidRDefault="00725977" w:rsidP="008228CB">
      <w:pPr>
        <w:pStyle w:val="Heading3"/>
      </w:pPr>
      <w:bookmarkStart w:id="431" w:name="_Toc216699462"/>
      <w:r w:rsidRPr="00D4309F">
        <w:t>Social</w:t>
      </w:r>
      <w:r w:rsidRPr="00D4309F">
        <w:rPr>
          <w:spacing w:val="-3"/>
        </w:rPr>
        <w:t xml:space="preserve"> </w:t>
      </w:r>
      <w:r w:rsidRPr="00D4309F">
        <w:rPr>
          <w:spacing w:val="-2"/>
        </w:rPr>
        <w:t>impacts</w:t>
      </w:r>
      <w:bookmarkEnd w:id="431"/>
    </w:p>
    <w:p w14:paraId="41B48E09" w14:textId="77777777" w:rsidR="00725977" w:rsidRPr="00D4309F" w:rsidRDefault="00725977" w:rsidP="00725977">
      <w:pPr>
        <w:pStyle w:val="BodyText"/>
      </w:pPr>
      <w:r w:rsidRPr="00D4309F">
        <w:t>Option 3B is expected to generate social value with three positive impacts ranked as high in the SIE assessment, including: safer channel access through reduced shoaling, improved economic outcomes through</w:t>
      </w:r>
      <w:r w:rsidRPr="00D4309F">
        <w:rPr>
          <w:spacing w:val="-3"/>
        </w:rPr>
        <w:t xml:space="preserve"> </w:t>
      </w:r>
      <w:r w:rsidRPr="00D4309F">
        <w:t>more</w:t>
      </w:r>
      <w:r w:rsidRPr="00D4309F">
        <w:rPr>
          <w:spacing w:val="-4"/>
        </w:rPr>
        <w:t xml:space="preserve"> </w:t>
      </w:r>
      <w:r w:rsidRPr="00D4309F">
        <w:t>reliable</w:t>
      </w:r>
      <w:r w:rsidRPr="00D4309F">
        <w:rPr>
          <w:spacing w:val="-4"/>
        </w:rPr>
        <w:t xml:space="preserve"> </w:t>
      </w:r>
      <w:r w:rsidRPr="00D4309F">
        <w:t>channel</w:t>
      </w:r>
      <w:r w:rsidRPr="00D4309F">
        <w:rPr>
          <w:spacing w:val="-3"/>
        </w:rPr>
        <w:t xml:space="preserve"> </w:t>
      </w:r>
      <w:r w:rsidRPr="00D4309F">
        <w:t>access</w:t>
      </w:r>
      <w:r w:rsidRPr="00D4309F">
        <w:rPr>
          <w:spacing w:val="-2"/>
        </w:rPr>
        <w:t xml:space="preserve"> </w:t>
      </w:r>
      <w:r w:rsidRPr="00D4309F">
        <w:t>and</w:t>
      </w:r>
      <w:r w:rsidRPr="00D4309F">
        <w:rPr>
          <w:spacing w:val="-3"/>
        </w:rPr>
        <w:t xml:space="preserve"> </w:t>
      </w:r>
      <w:r w:rsidRPr="00D4309F">
        <w:t>increased</w:t>
      </w:r>
      <w:r w:rsidRPr="00D4309F">
        <w:rPr>
          <w:spacing w:val="-3"/>
        </w:rPr>
        <w:t xml:space="preserve"> </w:t>
      </w:r>
      <w:r w:rsidRPr="00D4309F">
        <w:t>frequency</w:t>
      </w:r>
      <w:r w:rsidRPr="00D4309F">
        <w:rPr>
          <w:spacing w:val="-2"/>
        </w:rPr>
        <w:t xml:space="preserve"> </w:t>
      </w:r>
      <w:r w:rsidRPr="00D4309F">
        <w:t>of</w:t>
      </w:r>
      <w:r w:rsidRPr="00D4309F">
        <w:rPr>
          <w:spacing w:val="-3"/>
        </w:rPr>
        <w:t xml:space="preserve"> </w:t>
      </w:r>
      <w:r w:rsidRPr="00D4309F">
        <w:t>sand</w:t>
      </w:r>
      <w:r w:rsidRPr="00D4309F">
        <w:rPr>
          <w:spacing w:val="-3"/>
        </w:rPr>
        <w:t xml:space="preserve"> </w:t>
      </w:r>
      <w:r w:rsidRPr="00D4309F">
        <w:t>placement</w:t>
      </w:r>
      <w:r w:rsidRPr="00D4309F">
        <w:rPr>
          <w:spacing w:val="-3"/>
        </w:rPr>
        <w:t xml:space="preserve"> </w:t>
      </w:r>
      <w:r w:rsidRPr="00D4309F">
        <w:t>for</w:t>
      </w:r>
      <w:r w:rsidRPr="00D4309F">
        <w:rPr>
          <w:spacing w:val="-2"/>
        </w:rPr>
        <w:t xml:space="preserve"> </w:t>
      </w:r>
      <w:r w:rsidRPr="00D4309F">
        <w:t>beach</w:t>
      </w:r>
      <w:r w:rsidRPr="00D4309F">
        <w:rPr>
          <w:spacing w:val="-3"/>
        </w:rPr>
        <w:t xml:space="preserve"> </w:t>
      </w:r>
      <w:r w:rsidRPr="00D4309F">
        <w:t>nourishment.</w:t>
      </w:r>
    </w:p>
    <w:p w14:paraId="611D0091" w14:textId="27FF8DD7" w:rsidR="00725977" w:rsidRPr="00D4309F" w:rsidRDefault="00725977" w:rsidP="00725977">
      <w:pPr>
        <w:pStyle w:val="BodyText"/>
      </w:pPr>
      <w:r w:rsidRPr="00D4309F">
        <w:t>When compared to the baseline, there were 12 negative social impacts identified, however, after mitigation measures were considered, there were four which may be of high concern to the community and stakeholders, including: potential negative environmental impacts, potential visual impacts, potential noise from</w:t>
      </w:r>
      <w:r w:rsidRPr="00D4309F">
        <w:rPr>
          <w:spacing w:val="-1"/>
        </w:rPr>
        <w:t xml:space="preserve"> </w:t>
      </w:r>
      <w:r w:rsidRPr="00D4309F">
        <w:t>pump</w:t>
      </w:r>
      <w:r w:rsidRPr="00D4309F">
        <w:rPr>
          <w:spacing w:val="-1"/>
        </w:rPr>
        <w:t xml:space="preserve"> </w:t>
      </w:r>
      <w:r w:rsidRPr="00D4309F">
        <w:t>operations</w:t>
      </w:r>
      <w:r w:rsidRPr="00D4309F">
        <w:rPr>
          <w:spacing w:val="-1"/>
        </w:rPr>
        <w:t xml:space="preserve"> </w:t>
      </w:r>
      <w:r w:rsidRPr="00D4309F">
        <w:t>and</w:t>
      </w:r>
      <w:r w:rsidRPr="00D4309F">
        <w:rPr>
          <w:spacing w:val="-2"/>
        </w:rPr>
        <w:t xml:space="preserve"> </w:t>
      </w:r>
      <w:r w:rsidRPr="00D4309F">
        <w:t>construction</w:t>
      </w:r>
      <w:r w:rsidRPr="00D4309F">
        <w:rPr>
          <w:spacing w:val="-2"/>
        </w:rPr>
        <w:t xml:space="preserve"> </w:t>
      </w:r>
      <w:r w:rsidRPr="00D4309F">
        <w:t>impacts.</w:t>
      </w:r>
      <w:r w:rsidRPr="00D4309F">
        <w:rPr>
          <w:spacing w:val="-1"/>
        </w:rPr>
        <w:t xml:space="preserve"> </w:t>
      </w:r>
      <w:r w:rsidRPr="00D4309F">
        <w:t>Further mitigations must</w:t>
      </w:r>
      <w:r w:rsidRPr="00D4309F">
        <w:rPr>
          <w:spacing w:val="-1"/>
        </w:rPr>
        <w:t xml:space="preserve"> </w:t>
      </w:r>
      <w:r w:rsidRPr="00D4309F">
        <w:t>be</w:t>
      </w:r>
      <w:r w:rsidRPr="00D4309F">
        <w:rPr>
          <w:spacing w:val="-1"/>
        </w:rPr>
        <w:t xml:space="preserve"> </w:t>
      </w:r>
      <w:r w:rsidRPr="00D4309F">
        <w:t>undertaken</w:t>
      </w:r>
      <w:r w:rsidRPr="00D4309F">
        <w:rPr>
          <w:spacing w:val="-1"/>
        </w:rPr>
        <w:t xml:space="preserve"> </w:t>
      </w:r>
      <w:r w:rsidRPr="00D4309F">
        <w:t>to</w:t>
      </w:r>
      <w:r w:rsidRPr="00D4309F">
        <w:rPr>
          <w:spacing w:val="-1"/>
        </w:rPr>
        <w:t xml:space="preserve"> </w:t>
      </w:r>
      <w:r w:rsidRPr="00D4309F">
        <w:t>reduce</w:t>
      </w:r>
      <w:r w:rsidRPr="00D4309F">
        <w:rPr>
          <w:spacing w:val="-1"/>
        </w:rPr>
        <w:t xml:space="preserve"> </w:t>
      </w:r>
      <w:r w:rsidRPr="00D4309F">
        <w:t>potential negative</w:t>
      </w:r>
      <w:r w:rsidRPr="00D4309F">
        <w:rPr>
          <w:spacing w:val="-4"/>
        </w:rPr>
        <w:t xml:space="preserve"> </w:t>
      </w:r>
      <w:r w:rsidRPr="00D4309F">
        <w:t>social</w:t>
      </w:r>
      <w:r w:rsidRPr="00D4309F">
        <w:rPr>
          <w:spacing w:val="-4"/>
        </w:rPr>
        <w:t xml:space="preserve"> </w:t>
      </w:r>
      <w:r w:rsidRPr="00D4309F">
        <w:t>impacts</w:t>
      </w:r>
      <w:r w:rsidRPr="00D4309F">
        <w:rPr>
          <w:spacing w:val="-3"/>
        </w:rPr>
        <w:t xml:space="preserve"> </w:t>
      </w:r>
      <w:r w:rsidRPr="00D4309F">
        <w:t>including</w:t>
      </w:r>
      <w:r w:rsidRPr="00D4309F">
        <w:rPr>
          <w:spacing w:val="-4"/>
        </w:rPr>
        <w:t xml:space="preserve"> </w:t>
      </w:r>
      <w:r w:rsidRPr="00D4309F">
        <w:t>environmental</w:t>
      </w:r>
      <w:r w:rsidRPr="00D4309F">
        <w:rPr>
          <w:spacing w:val="-4"/>
        </w:rPr>
        <w:t xml:space="preserve"> </w:t>
      </w:r>
      <w:r w:rsidRPr="00D4309F">
        <w:t>assessments,</w:t>
      </w:r>
      <w:r w:rsidRPr="00D4309F">
        <w:rPr>
          <w:spacing w:val="-4"/>
        </w:rPr>
        <w:t xml:space="preserve"> </w:t>
      </w:r>
      <w:r w:rsidRPr="00D4309F">
        <w:t>visual</w:t>
      </w:r>
      <w:r w:rsidRPr="00D4309F">
        <w:rPr>
          <w:spacing w:val="-4"/>
        </w:rPr>
        <w:t xml:space="preserve"> </w:t>
      </w:r>
      <w:r w:rsidRPr="00D4309F">
        <w:t>impact</w:t>
      </w:r>
      <w:r w:rsidRPr="00D4309F">
        <w:rPr>
          <w:spacing w:val="-4"/>
        </w:rPr>
        <w:t xml:space="preserve"> </w:t>
      </w:r>
      <w:r w:rsidRPr="00D4309F">
        <w:t>assessments,</w:t>
      </w:r>
      <w:r w:rsidRPr="00D4309F">
        <w:rPr>
          <w:spacing w:val="-4"/>
        </w:rPr>
        <w:t xml:space="preserve"> </w:t>
      </w:r>
      <w:r w:rsidRPr="00D4309F">
        <w:t>environment</w:t>
      </w:r>
      <w:r w:rsidRPr="00D4309F">
        <w:rPr>
          <w:spacing w:val="-4"/>
        </w:rPr>
        <w:t xml:space="preserve"> </w:t>
      </w:r>
      <w:r w:rsidRPr="00D4309F">
        <w:t>and construction management plans, noise monitoring, silt curtains and broader community and stakeholder engagement and communications.</w:t>
      </w:r>
    </w:p>
    <w:p w14:paraId="30AB98DD" w14:textId="77777777" w:rsidR="00725977" w:rsidRPr="00D4309F" w:rsidRDefault="00725977" w:rsidP="008228CB">
      <w:pPr>
        <w:pStyle w:val="Heading3"/>
      </w:pPr>
      <w:bookmarkStart w:id="432" w:name="_Toc216699463"/>
      <w:r w:rsidRPr="00D4309F">
        <w:t>Economic</w:t>
      </w:r>
      <w:r w:rsidRPr="00D4309F">
        <w:rPr>
          <w:spacing w:val="-4"/>
        </w:rPr>
        <w:t xml:space="preserve"> </w:t>
      </w:r>
      <w:r w:rsidRPr="00D4309F">
        <w:rPr>
          <w:spacing w:val="-2"/>
        </w:rPr>
        <w:t>impacts</w:t>
      </w:r>
      <w:bookmarkEnd w:id="432"/>
    </w:p>
    <w:p w14:paraId="42141620" w14:textId="77777777" w:rsidR="00725977" w:rsidRPr="00D4309F" w:rsidRDefault="00725977" w:rsidP="00725977">
      <w:pPr>
        <w:pStyle w:val="BodyText"/>
      </w:pPr>
      <w:r w:rsidRPr="00D4309F">
        <w:t>Option</w:t>
      </w:r>
      <w:r w:rsidRPr="00D4309F">
        <w:rPr>
          <w:spacing w:val="-2"/>
        </w:rPr>
        <w:t xml:space="preserve"> </w:t>
      </w:r>
      <w:r w:rsidRPr="00D4309F">
        <w:t>3B</w:t>
      </w:r>
      <w:r w:rsidRPr="00D4309F">
        <w:rPr>
          <w:spacing w:val="-2"/>
        </w:rPr>
        <w:t xml:space="preserve"> </w:t>
      </w:r>
      <w:r w:rsidRPr="00D4309F">
        <w:t>is</w:t>
      </w:r>
      <w:r w:rsidRPr="00D4309F">
        <w:rPr>
          <w:spacing w:val="-2"/>
        </w:rPr>
        <w:t xml:space="preserve"> </w:t>
      </w:r>
      <w:r w:rsidRPr="00D4309F">
        <w:t>expected</w:t>
      </w:r>
      <w:r w:rsidRPr="00D4309F">
        <w:rPr>
          <w:spacing w:val="-2"/>
        </w:rPr>
        <w:t xml:space="preserve"> </w:t>
      </w:r>
      <w:r w:rsidRPr="00D4309F">
        <w:t>to</w:t>
      </w:r>
      <w:r w:rsidRPr="00D4309F">
        <w:rPr>
          <w:spacing w:val="-2"/>
        </w:rPr>
        <w:t xml:space="preserve"> </w:t>
      </w:r>
      <w:r w:rsidRPr="00D4309F">
        <w:t>have</w:t>
      </w:r>
      <w:r w:rsidRPr="00D4309F">
        <w:rPr>
          <w:spacing w:val="-2"/>
        </w:rPr>
        <w:t xml:space="preserve"> </w:t>
      </w:r>
      <w:r w:rsidRPr="00D4309F">
        <w:t>a</w:t>
      </w:r>
      <w:r w:rsidRPr="00D4309F">
        <w:rPr>
          <w:spacing w:val="-2"/>
        </w:rPr>
        <w:t xml:space="preserve"> </w:t>
      </w:r>
      <w:r w:rsidRPr="00D4309F">
        <w:t>low</w:t>
      </w:r>
      <w:r w:rsidRPr="00D4309F">
        <w:rPr>
          <w:spacing w:val="-1"/>
        </w:rPr>
        <w:t xml:space="preserve"> </w:t>
      </w:r>
      <w:r w:rsidRPr="00D4309F">
        <w:t>to</w:t>
      </w:r>
      <w:r w:rsidRPr="00D4309F">
        <w:rPr>
          <w:spacing w:val="-2"/>
        </w:rPr>
        <w:t xml:space="preserve"> </w:t>
      </w:r>
      <w:r w:rsidRPr="00D4309F">
        <w:t>moderate</w:t>
      </w:r>
      <w:r w:rsidRPr="00D4309F">
        <w:rPr>
          <w:spacing w:val="-2"/>
        </w:rPr>
        <w:t xml:space="preserve"> </w:t>
      </w:r>
      <w:r w:rsidRPr="00D4309F">
        <w:t>economic</w:t>
      </w:r>
      <w:r w:rsidRPr="00D4309F">
        <w:rPr>
          <w:spacing w:val="-1"/>
        </w:rPr>
        <w:t xml:space="preserve"> </w:t>
      </w:r>
      <w:r w:rsidRPr="00D4309F">
        <w:t>impact</w:t>
      </w:r>
      <w:r w:rsidRPr="00D4309F">
        <w:rPr>
          <w:spacing w:val="-2"/>
        </w:rPr>
        <w:t xml:space="preserve"> </w:t>
      </w:r>
      <w:r w:rsidRPr="00D4309F">
        <w:t>compared</w:t>
      </w:r>
      <w:r w:rsidRPr="00D4309F">
        <w:rPr>
          <w:spacing w:val="-2"/>
        </w:rPr>
        <w:t xml:space="preserve"> </w:t>
      </w:r>
      <w:r w:rsidRPr="00D4309F">
        <w:t>with</w:t>
      </w:r>
      <w:r w:rsidRPr="00D4309F">
        <w:rPr>
          <w:spacing w:val="-2"/>
        </w:rPr>
        <w:t xml:space="preserve"> </w:t>
      </w:r>
      <w:r w:rsidRPr="00D4309F">
        <w:t>the</w:t>
      </w:r>
      <w:r w:rsidRPr="00D4309F">
        <w:rPr>
          <w:spacing w:val="-2"/>
        </w:rPr>
        <w:t xml:space="preserve"> </w:t>
      </w:r>
      <w:r w:rsidRPr="00D4309F">
        <w:t>current</w:t>
      </w:r>
      <w:r w:rsidRPr="00D4309F">
        <w:rPr>
          <w:spacing w:val="-4"/>
        </w:rPr>
        <w:t xml:space="preserve"> </w:t>
      </w:r>
      <w:r w:rsidRPr="00D4309F">
        <w:t>approach.</w:t>
      </w:r>
      <w:r w:rsidRPr="00D4309F">
        <w:rPr>
          <w:spacing w:val="-2"/>
        </w:rPr>
        <w:t xml:space="preserve"> </w:t>
      </w:r>
      <w:r w:rsidRPr="00D4309F">
        <w:t>The project will significantly reduce shoaling at the harbour entrance, improving channel access and long-term reliability for both commercial and recreational users. This will minimise delays, reduce reliance on emergency maintenance dredging, and provide greater confidence for businesses and the boating community. This option does not require maintenance dredging as the pump acts as a semi-continuous bypass mechanism.</w:t>
      </w:r>
    </w:p>
    <w:p w14:paraId="17A19A2D" w14:textId="77777777" w:rsidR="00725977" w:rsidRPr="00D4309F" w:rsidRDefault="00725977" w:rsidP="00725977">
      <w:pPr>
        <w:pStyle w:val="BodyText"/>
      </w:pPr>
      <w:r w:rsidRPr="00D4309F">
        <w:t>Lengthening</w:t>
      </w:r>
      <w:r w:rsidRPr="00D4309F">
        <w:rPr>
          <w:spacing w:val="-3"/>
        </w:rPr>
        <w:t xml:space="preserve"> </w:t>
      </w:r>
      <w:r w:rsidRPr="00D4309F">
        <w:t>the</w:t>
      </w:r>
      <w:r w:rsidRPr="00D4309F">
        <w:rPr>
          <w:spacing w:val="-3"/>
        </w:rPr>
        <w:t xml:space="preserve"> </w:t>
      </w:r>
      <w:r w:rsidRPr="00D4309F">
        <w:t>breakwater</w:t>
      </w:r>
      <w:r w:rsidRPr="00D4309F">
        <w:rPr>
          <w:spacing w:val="-2"/>
        </w:rPr>
        <w:t xml:space="preserve"> </w:t>
      </w:r>
      <w:r w:rsidRPr="00D4309F">
        <w:t>will</w:t>
      </w:r>
      <w:r w:rsidRPr="00D4309F">
        <w:rPr>
          <w:spacing w:val="-3"/>
        </w:rPr>
        <w:t xml:space="preserve"> </w:t>
      </w:r>
      <w:r w:rsidRPr="00D4309F">
        <w:t>create</w:t>
      </w:r>
      <w:r w:rsidRPr="00D4309F">
        <w:rPr>
          <w:spacing w:val="-3"/>
        </w:rPr>
        <w:t xml:space="preserve"> </w:t>
      </w:r>
      <w:r w:rsidRPr="00D4309F">
        <w:t>additional</w:t>
      </w:r>
      <w:r w:rsidRPr="00D4309F">
        <w:rPr>
          <w:spacing w:val="-4"/>
        </w:rPr>
        <w:t xml:space="preserve"> </w:t>
      </w:r>
      <w:r w:rsidRPr="00D4309F">
        <w:t>space</w:t>
      </w:r>
      <w:r w:rsidRPr="00D4309F">
        <w:rPr>
          <w:spacing w:val="-3"/>
        </w:rPr>
        <w:t xml:space="preserve"> </w:t>
      </w:r>
      <w:r w:rsidRPr="00D4309F">
        <w:t>for</w:t>
      </w:r>
      <w:r w:rsidRPr="00D4309F">
        <w:rPr>
          <w:spacing w:val="-2"/>
        </w:rPr>
        <w:t xml:space="preserve"> </w:t>
      </w:r>
      <w:r w:rsidRPr="00D4309F">
        <w:t>recreational</w:t>
      </w:r>
      <w:r w:rsidRPr="00D4309F">
        <w:rPr>
          <w:spacing w:val="-3"/>
        </w:rPr>
        <w:t xml:space="preserve"> </w:t>
      </w:r>
      <w:r w:rsidRPr="00D4309F">
        <w:t>fishing,</w:t>
      </w:r>
      <w:r w:rsidRPr="00D4309F">
        <w:rPr>
          <w:spacing w:val="-3"/>
        </w:rPr>
        <w:t xml:space="preserve"> </w:t>
      </w:r>
      <w:r w:rsidRPr="00D4309F">
        <w:t>enhancing</w:t>
      </w:r>
      <w:r w:rsidRPr="00D4309F">
        <w:rPr>
          <w:spacing w:val="-3"/>
        </w:rPr>
        <w:t xml:space="preserve"> </w:t>
      </w:r>
      <w:r w:rsidRPr="00D4309F">
        <w:t>opportunities</w:t>
      </w:r>
      <w:r w:rsidRPr="00D4309F">
        <w:rPr>
          <w:spacing w:val="-2"/>
        </w:rPr>
        <w:t xml:space="preserve"> </w:t>
      </w:r>
      <w:r w:rsidRPr="00D4309F">
        <w:t>for anglers in the long term.</w:t>
      </w:r>
    </w:p>
    <w:p w14:paraId="2DA46DF1" w14:textId="77777777" w:rsidR="00725977" w:rsidRPr="00D4309F" w:rsidRDefault="00725977" w:rsidP="00725977">
      <w:pPr>
        <w:pStyle w:val="BodyText"/>
      </w:pPr>
      <w:r w:rsidRPr="00D4309F">
        <w:t>During construction, temporary changes to channel access may occur, affecting recreational boaters and commercial operators who use the harbour entrance. Onshore rock fishing at the breakwater and Point Cartwright will be impacted due to reduced fishing locations and safety requirements during works. These disruptions could lead to fewer visitors during the construction period, with some choosing alternative destinations on the Sunshine Coast or other coastal areas. This may result in short-term reductions in local spending,</w:t>
      </w:r>
      <w:r w:rsidRPr="00D4309F">
        <w:rPr>
          <w:spacing w:val="-3"/>
        </w:rPr>
        <w:t xml:space="preserve"> </w:t>
      </w:r>
      <w:r w:rsidRPr="00D4309F">
        <w:t>affecting</w:t>
      </w:r>
      <w:r w:rsidRPr="00D4309F">
        <w:rPr>
          <w:spacing w:val="-3"/>
        </w:rPr>
        <w:t xml:space="preserve"> </w:t>
      </w:r>
      <w:r w:rsidRPr="00D4309F">
        <w:t>nearby</w:t>
      </w:r>
      <w:r w:rsidRPr="00D4309F">
        <w:rPr>
          <w:spacing w:val="-3"/>
        </w:rPr>
        <w:t xml:space="preserve"> </w:t>
      </w:r>
      <w:r w:rsidRPr="00D4309F">
        <w:t>businesses;</w:t>
      </w:r>
      <w:r w:rsidRPr="00D4309F">
        <w:rPr>
          <w:spacing w:val="-3"/>
        </w:rPr>
        <w:t xml:space="preserve"> </w:t>
      </w:r>
      <w:r w:rsidRPr="00D4309F">
        <w:t>however,</w:t>
      </w:r>
      <w:r w:rsidRPr="00D4309F">
        <w:rPr>
          <w:spacing w:val="-3"/>
        </w:rPr>
        <w:t xml:space="preserve"> </w:t>
      </w:r>
      <w:r w:rsidRPr="00D4309F">
        <w:t>these</w:t>
      </w:r>
      <w:r w:rsidRPr="00D4309F">
        <w:rPr>
          <w:spacing w:val="-3"/>
        </w:rPr>
        <w:t xml:space="preserve"> </w:t>
      </w:r>
      <w:r w:rsidRPr="00D4309F">
        <w:t>impacts</w:t>
      </w:r>
      <w:r w:rsidRPr="00D4309F">
        <w:rPr>
          <w:spacing w:val="-2"/>
        </w:rPr>
        <w:t xml:space="preserve"> </w:t>
      </w:r>
      <w:r w:rsidRPr="00D4309F">
        <w:t>are</w:t>
      </w:r>
      <w:r w:rsidRPr="00D4309F">
        <w:rPr>
          <w:spacing w:val="-3"/>
        </w:rPr>
        <w:t xml:space="preserve"> </w:t>
      </w:r>
      <w:r w:rsidRPr="00D4309F">
        <w:t>expected</w:t>
      </w:r>
      <w:r w:rsidRPr="00D4309F">
        <w:rPr>
          <w:spacing w:val="-3"/>
        </w:rPr>
        <w:t xml:space="preserve"> </w:t>
      </w:r>
      <w:r w:rsidRPr="00D4309F">
        <w:t>to</w:t>
      </w:r>
      <w:r w:rsidRPr="00D4309F">
        <w:rPr>
          <w:spacing w:val="-3"/>
        </w:rPr>
        <w:t xml:space="preserve"> </w:t>
      </w:r>
      <w:r w:rsidRPr="00D4309F">
        <w:t>be</w:t>
      </w:r>
      <w:r w:rsidRPr="00D4309F">
        <w:rPr>
          <w:spacing w:val="-3"/>
        </w:rPr>
        <w:t xml:space="preserve"> </w:t>
      </w:r>
      <w:r w:rsidRPr="00D4309F">
        <w:t>temporary</w:t>
      </w:r>
      <w:r w:rsidRPr="00D4309F">
        <w:rPr>
          <w:spacing w:val="-2"/>
        </w:rPr>
        <w:t xml:space="preserve"> </w:t>
      </w:r>
      <w:r w:rsidRPr="00D4309F">
        <w:t>and</w:t>
      </w:r>
      <w:r w:rsidRPr="00D4309F">
        <w:rPr>
          <w:spacing w:val="-3"/>
        </w:rPr>
        <w:t xml:space="preserve"> </w:t>
      </w:r>
      <w:r w:rsidRPr="00D4309F">
        <w:t>managed to minimise disruption.</w:t>
      </w:r>
    </w:p>
    <w:p w14:paraId="4A288BC8" w14:textId="1F9917D3" w:rsidR="00725977" w:rsidRPr="00D4309F" w:rsidRDefault="00725977" w:rsidP="00725977">
      <w:pPr>
        <w:pStyle w:val="BodyText"/>
      </w:pPr>
      <w:r w:rsidRPr="00D4309F">
        <w:t>In the longer term, Option 3B may result in changes to tidal patterns that influence wave conditions at Mooloolaba Beach. These changes could lead to a decline in surf quality, particularly to the north of the harbour, where wave energy may be reduced. A reduction in surf conditions could affect the area’s reputation as a popular surfing destination, potentially decreasing visitation over time. This decline in visitor numbers may have flow-on effects for local businesses that rely on tourism and recreational activity, including accommodation providers, cafes, and surf-related enterprises. While these impacts are uncertain and</w:t>
      </w:r>
      <w:r w:rsidRPr="00D4309F">
        <w:rPr>
          <w:spacing w:val="-3"/>
        </w:rPr>
        <w:t xml:space="preserve"> </w:t>
      </w:r>
      <w:r w:rsidRPr="00D4309F">
        <w:t>dependent</w:t>
      </w:r>
      <w:r w:rsidRPr="00D4309F">
        <w:rPr>
          <w:spacing w:val="-3"/>
        </w:rPr>
        <w:t xml:space="preserve"> </w:t>
      </w:r>
      <w:r w:rsidRPr="00D4309F">
        <w:t>on</w:t>
      </w:r>
      <w:r w:rsidRPr="00D4309F">
        <w:rPr>
          <w:spacing w:val="-3"/>
        </w:rPr>
        <w:t xml:space="preserve"> </w:t>
      </w:r>
      <w:r w:rsidRPr="00D4309F">
        <w:t>the</w:t>
      </w:r>
      <w:r w:rsidRPr="00D4309F">
        <w:rPr>
          <w:spacing w:val="-3"/>
        </w:rPr>
        <w:t xml:space="preserve"> </w:t>
      </w:r>
      <w:r w:rsidRPr="00D4309F">
        <w:t>extent</w:t>
      </w:r>
      <w:r w:rsidRPr="00D4309F">
        <w:rPr>
          <w:spacing w:val="-3"/>
        </w:rPr>
        <w:t xml:space="preserve"> </w:t>
      </w:r>
      <w:r w:rsidRPr="00D4309F">
        <w:t>of</w:t>
      </w:r>
      <w:r w:rsidRPr="00D4309F">
        <w:rPr>
          <w:spacing w:val="-3"/>
        </w:rPr>
        <w:t xml:space="preserve"> </w:t>
      </w:r>
      <w:r w:rsidRPr="00D4309F">
        <w:t>tidal</w:t>
      </w:r>
      <w:r w:rsidRPr="00D4309F">
        <w:rPr>
          <w:spacing w:val="-3"/>
        </w:rPr>
        <w:t xml:space="preserve"> </w:t>
      </w:r>
      <w:r w:rsidRPr="00D4309F">
        <w:t>changes,</w:t>
      </w:r>
      <w:r w:rsidRPr="00D4309F">
        <w:rPr>
          <w:spacing w:val="-3"/>
        </w:rPr>
        <w:t xml:space="preserve"> </w:t>
      </w:r>
      <w:r w:rsidRPr="00D4309F">
        <w:t>they</w:t>
      </w:r>
      <w:r w:rsidRPr="00D4309F">
        <w:rPr>
          <w:spacing w:val="-2"/>
        </w:rPr>
        <w:t xml:space="preserve"> </w:t>
      </w:r>
      <w:r w:rsidRPr="00D4309F">
        <w:t>represent</w:t>
      </w:r>
      <w:r w:rsidRPr="00D4309F">
        <w:rPr>
          <w:spacing w:val="-3"/>
        </w:rPr>
        <w:t xml:space="preserve"> </w:t>
      </w:r>
      <w:r w:rsidRPr="00D4309F">
        <w:t>a</w:t>
      </w:r>
      <w:r w:rsidRPr="00D4309F">
        <w:rPr>
          <w:spacing w:val="-3"/>
        </w:rPr>
        <w:t xml:space="preserve"> </w:t>
      </w:r>
      <w:r w:rsidRPr="00D4309F">
        <w:t>potential</w:t>
      </w:r>
      <w:r w:rsidRPr="00D4309F">
        <w:rPr>
          <w:spacing w:val="-3"/>
        </w:rPr>
        <w:t xml:space="preserve"> </w:t>
      </w:r>
      <w:r w:rsidRPr="00D4309F">
        <w:t>long-term</w:t>
      </w:r>
      <w:r w:rsidRPr="00D4309F">
        <w:rPr>
          <w:spacing w:val="-3"/>
        </w:rPr>
        <w:t xml:space="preserve"> </w:t>
      </w:r>
      <w:r w:rsidRPr="00D4309F">
        <w:t>consideration</w:t>
      </w:r>
      <w:r w:rsidRPr="00D4309F">
        <w:rPr>
          <w:spacing w:val="-3"/>
        </w:rPr>
        <w:t xml:space="preserve"> </w:t>
      </w:r>
      <w:r w:rsidRPr="00D4309F">
        <w:t>for</w:t>
      </w:r>
      <w:r w:rsidRPr="00D4309F">
        <w:rPr>
          <w:spacing w:val="-2"/>
        </w:rPr>
        <w:t xml:space="preserve"> </w:t>
      </w:r>
      <w:r w:rsidRPr="00D4309F">
        <w:t>the</w:t>
      </w:r>
      <w:r w:rsidRPr="00D4309F">
        <w:rPr>
          <w:spacing w:val="-3"/>
        </w:rPr>
        <w:t xml:space="preserve"> </w:t>
      </w:r>
      <w:r w:rsidRPr="00D4309F">
        <w:t>local economy and community.</w:t>
      </w:r>
    </w:p>
    <w:p w14:paraId="10875219" w14:textId="77777777" w:rsidR="00725977" w:rsidRPr="00D4309F" w:rsidRDefault="00725977" w:rsidP="008228CB">
      <w:pPr>
        <w:pStyle w:val="Heading3"/>
      </w:pPr>
      <w:bookmarkStart w:id="433" w:name="_Toc216699464"/>
      <w:r w:rsidRPr="00D4309F">
        <w:t>Future</w:t>
      </w:r>
      <w:r w:rsidRPr="00D4309F">
        <w:rPr>
          <w:spacing w:val="-3"/>
        </w:rPr>
        <w:t xml:space="preserve"> </w:t>
      </w:r>
      <w:r w:rsidRPr="00D4309F">
        <w:t>adaptation</w:t>
      </w:r>
      <w:bookmarkEnd w:id="433"/>
    </w:p>
    <w:p w14:paraId="326545C6" w14:textId="77777777" w:rsidR="00725977" w:rsidRPr="00D4309F" w:rsidRDefault="00725977" w:rsidP="00725977">
      <w:pPr>
        <w:pStyle w:val="BodyText"/>
      </w:pPr>
      <w:r w:rsidRPr="00D4309F">
        <w:t>Option</w:t>
      </w:r>
      <w:r w:rsidRPr="00D4309F">
        <w:rPr>
          <w:spacing w:val="-3"/>
        </w:rPr>
        <w:t xml:space="preserve"> </w:t>
      </w:r>
      <w:r w:rsidRPr="00D4309F">
        <w:t>3B</w:t>
      </w:r>
      <w:r w:rsidRPr="00D4309F">
        <w:rPr>
          <w:spacing w:val="-3"/>
        </w:rPr>
        <w:t xml:space="preserve"> </w:t>
      </w:r>
      <w:r w:rsidRPr="00D4309F">
        <w:t>provides</w:t>
      </w:r>
      <w:r w:rsidRPr="00D4309F">
        <w:rPr>
          <w:spacing w:val="-2"/>
        </w:rPr>
        <w:t xml:space="preserve"> </w:t>
      </w:r>
      <w:r w:rsidRPr="00D4309F">
        <w:t>a</w:t>
      </w:r>
      <w:r w:rsidRPr="00D4309F">
        <w:rPr>
          <w:spacing w:val="-4"/>
        </w:rPr>
        <w:t xml:space="preserve"> </w:t>
      </w:r>
      <w:r w:rsidRPr="00D4309F">
        <w:t>semi-automated</w:t>
      </w:r>
      <w:r w:rsidRPr="00D4309F">
        <w:rPr>
          <w:spacing w:val="-3"/>
        </w:rPr>
        <w:t xml:space="preserve"> </w:t>
      </w:r>
      <w:r w:rsidRPr="00D4309F">
        <w:t>sediment</w:t>
      </w:r>
      <w:r w:rsidRPr="00D4309F">
        <w:rPr>
          <w:spacing w:val="-3"/>
        </w:rPr>
        <w:t xml:space="preserve"> </w:t>
      </w:r>
      <w:r w:rsidRPr="00D4309F">
        <w:t>bypass</w:t>
      </w:r>
      <w:r w:rsidRPr="00D4309F">
        <w:rPr>
          <w:spacing w:val="-3"/>
        </w:rPr>
        <w:t xml:space="preserve"> </w:t>
      </w:r>
      <w:r w:rsidRPr="00D4309F">
        <w:t>solution</w:t>
      </w:r>
      <w:r w:rsidRPr="00D4309F">
        <w:rPr>
          <w:spacing w:val="-3"/>
        </w:rPr>
        <w:t xml:space="preserve"> </w:t>
      </w:r>
      <w:r w:rsidRPr="00D4309F">
        <w:t>with</w:t>
      </w:r>
      <w:r w:rsidRPr="00D4309F">
        <w:rPr>
          <w:spacing w:val="-3"/>
        </w:rPr>
        <w:t xml:space="preserve"> </w:t>
      </w:r>
      <w:r w:rsidRPr="00D4309F">
        <w:t>limited</w:t>
      </w:r>
      <w:r w:rsidRPr="00D4309F">
        <w:rPr>
          <w:spacing w:val="-3"/>
        </w:rPr>
        <w:t xml:space="preserve"> </w:t>
      </w:r>
      <w:r w:rsidRPr="00D4309F">
        <w:t>operational</w:t>
      </w:r>
      <w:r w:rsidRPr="00D4309F">
        <w:rPr>
          <w:spacing w:val="-3"/>
        </w:rPr>
        <w:t xml:space="preserve"> </w:t>
      </w:r>
      <w:r w:rsidRPr="00D4309F">
        <w:t>input</w:t>
      </w:r>
      <w:r w:rsidRPr="00D4309F">
        <w:rPr>
          <w:spacing w:val="-3"/>
        </w:rPr>
        <w:t xml:space="preserve"> </w:t>
      </w:r>
      <w:r w:rsidRPr="00D4309F">
        <w:t>once</w:t>
      </w:r>
      <w:r w:rsidRPr="00D4309F">
        <w:rPr>
          <w:spacing w:val="-3"/>
        </w:rPr>
        <w:t xml:space="preserve"> </w:t>
      </w:r>
      <w:r w:rsidRPr="00D4309F">
        <w:t>installed; however, its long-term adaptability is more constrained than mobile-based systems. The fixed Sand Shifter infrastructure offers consistent performance if infill volumes and trap behaviour remain within expected parameters, but its flexibility in adjusting to evolving coastal dynamics is reduced compared to dredging-based solutions.</w:t>
      </w:r>
    </w:p>
    <w:p w14:paraId="1A8C8CB5" w14:textId="77777777" w:rsidR="00725977" w:rsidRPr="00D4309F" w:rsidRDefault="00725977" w:rsidP="00725977">
      <w:pPr>
        <w:pStyle w:val="BodyText"/>
      </w:pPr>
      <w:r w:rsidRPr="00D4309F">
        <w:lastRenderedPageBreak/>
        <w:t>Sediment transport at the Mooloolah River entrance is episodic and influenced by storm-driven events and seasonal variability. If longshore transport volumes increase over time - due to climate change or other catchment</w:t>
      </w:r>
      <w:r w:rsidRPr="00D4309F">
        <w:rPr>
          <w:spacing w:val="-5"/>
        </w:rPr>
        <w:t xml:space="preserve"> </w:t>
      </w:r>
      <w:r w:rsidRPr="00D4309F">
        <w:t>changes</w:t>
      </w:r>
      <w:r w:rsidRPr="00D4309F">
        <w:rPr>
          <w:spacing w:val="-3"/>
        </w:rPr>
        <w:t xml:space="preserve"> </w:t>
      </w:r>
      <w:r w:rsidRPr="00D4309F">
        <w:t>-</w:t>
      </w:r>
      <w:r w:rsidRPr="00D4309F">
        <w:rPr>
          <w:spacing w:val="-3"/>
        </w:rPr>
        <w:t xml:space="preserve"> </w:t>
      </w:r>
      <w:r w:rsidRPr="00D4309F">
        <w:t>the</w:t>
      </w:r>
      <w:r w:rsidRPr="00D4309F">
        <w:rPr>
          <w:spacing w:val="-3"/>
        </w:rPr>
        <w:t xml:space="preserve"> </w:t>
      </w:r>
      <w:r w:rsidRPr="00D4309F">
        <w:t>fixed</w:t>
      </w:r>
      <w:r w:rsidRPr="00D4309F">
        <w:rPr>
          <w:spacing w:val="-3"/>
        </w:rPr>
        <w:t xml:space="preserve"> </w:t>
      </w:r>
      <w:r w:rsidRPr="00D4309F">
        <w:t>intake</w:t>
      </w:r>
      <w:r w:rsidRPr="00D4309F">
        <w:rPr>
          <w:spacing w:val="-3"/>
        </w:rPr>
        <w:t xml:space="preserve"> </w:t>
      </w:r>
      <w:r w:rsidRPr="00D4309F">
        <w:t>location</w:t>
      </w:r>
      <w:r w:rsidRPr="00D4309F">
        <w:rPr>
          <w:spacing w:val="-3"/>
        </w:rPr>
        <w:t xml:space="preserve"> </w:t>
      </w:r>
      <w:r w:rsidRPr="00D4309F">
        <w:t>and</w:t>
      </w:r>
      <w:r w:rsidRPr="00D4309F">
        <w:rPr>
          <w:spacing w:val="-3"/>
        </w:rPr>
        <w:t xml:space="preserve"> </w:t>
      </w:r>
      <w:r w:rsidRPr="00D4309F">
        <w:t>pumping</w:t>
      </w:r>
      <w:r w:rsidRPr="00D4309F">
        <w:rPr>
          <w:spacing w:val="-3"/>
        </w:rPr>
        <w:t xml:space="preserve"> </w:t>
      </w:r>
      <w:r w:rsidRPr="00D4309F">
        <w:t>capacity</w:t>
      </w:r>
      <w:r w:rsidRPr="00D4309F">
        <w:rPr>
          <w:spacing w:val="-2"/>
        </w:rPr>
        <w:t xml:space="preserve"> </w:t>
      </w:r>
      <w:r w:rsidRPr="00D4309F">
        <w:t>may</w:t>
      </w:r>
      <w:r w:rsidRPr="00D4309F">
        <w:rPr>
          <w:spacing w:val="-2"/>
        </w:rPr>
        <w:t xml:space="preserve"> </w:t>
      </w:r>
      <w:r w:rsidRPr="00D4309F">
        <w:t>prove</w:t>
      </w:r>
      <w:r w:rsidRPr="00D4309F">
        <w:rPr>
          <w:spacing w:val="-4"/>
        </w:rPr>
        <w:t xml:space="preserve"> </w:t>
      </w:r>
      <w:r w:rsidRPr="00D4309F">
        <w:t>insufficient</w:t>
      </w:r>
      <w:r w:rsidRPr="00D4309F">
        <w:rPr>
          <w:spacing w:val="-3"/>
        </w:rPr>
        <w:t xml:space="preserve"> </w:t>
      </w:r>
      <w:r w:rsidRPr="00D4309F">
        <w:t>to</w:t>
      </w:r>
      <w:r w:rsidRPr="00D4309F">
        <w:rPr>
          <w:spacing w:val="-3"/>
        </w:rPr>
        <w:t xml:space="preserve"> </w:t>
      </w:r>
      <w:r w:rsidRPr="00D4309F">
        <w:t>manage</w:t>
      </w:r>
      <w:r w:rsidRPr="00D4309F">
        <w:rPr>
          <w:spacing w:val="-3"/>
        </w:rPr>
        <w:t xml:space="preserve"> </w:t>
      </w:r>
      <w:r w:rsidRPr="00D4309F">
        <w:t>sand accumulation</w:t>
      </w:r>
      <w:r w:rsidRPr="00D4309F">
        <w:rPr>
          <w:spacing w:val="-1"/>
        </w:rPr>
        <w:t xml:space="preserve"> </w:t>
      </w:r>
      <w:r w:rsidRPr="00D4309F">
        <w:t>effectively. Unlike dredging, which can target specific shoals or hotspots as they develop, the Sand Shifter operates in a fixed zone and may not fully intercept mobile shoals forming further offshore or along shifting alignment pathways.</w:t>
      </w:r>
    </w:p>
    <w:p w14:paraId="1CFEAB56" w14:textId="77777777" w:rsidR="00725977" w:rsidRPr="00D4309F" w:rsidRDefault="00725977" w:rsidP="00725977">
      <w:pPr>
        <w:pStyle w:val="BodyText"/>
      </w:pPr>
      <w:r w:rsidRPr="00D4309F">
        <w:t>System</w:t>
      </w:r>
      <w:r w:rsidRPr="00D4309F">
        <w:rPr>
          <w:spacing w:val="-3"/>
        </w:rPr>
        <w:t xml:space="preserve"> </w:t>
      </w:r>
      <w:r w:rsidRPr="00D4309F">
        <w:t>performance</w:t>
      </w:r>
      <w:r w:rsidRPr="00D4309F">
        <w:rPr>
          <w:spacing w:val="-4"/>
        </w:rPr>
        <w:t xml:space="preserve"> </w:t>
      </w:r>
      <w:r w:rsidRPr="00D4309F">
        <w:t>could</w:t>
      </w:r>
      <w:r w:rsidRPr="00D4309F">
        <w:rPr>
          <w:spacing w:val="-4"/>
        </w:rPr>
        <w:t xml:space="preserve"> </w:t>
      </w:r>
      <w:r w:rsidRPr="00D4309F">
        <w:t>potentially</w:t>
      </w:r>
      <w:r w:rsidRPr="00D4309F">
        <w:rPr>
          <w:spacing w:val="-2"/>
        </w:rPr>
        <w:t xml:space="preserve"> </w:t>
      </w:r>
      <w:r w:rsidRPr="00D4309F">
        <w:t>be</w:t>
      </w:r>
      <w:r w:rsidRPr="00D4309F">
        <w:rPr>
          <w:spacing w:val="-3"/>
        </w:rPr>
        <w:t xml:space="preserve"> </w:t>
      </w:r>
      <w:r w:rsidRPr="00D4309F">
        <w:t>enhanced</w:t>
      </w:r>
      <w:r w:rsidRPr="00D4309F">
        <w:rPr>
          <w:spacing w:val="-3"/>
        </w:rPr>
        <w:t xml:space="preserve"> </w:t>
      </w:r>
      <w:r w:rsidRPr="00D4309F">
        <w:t>by</w:t>
      </w:r>
      <w:r w:rsidRPr="00D4309F">
        <w:rPr>
          <w:spacing w:val="-2"/>
        </w:rPr>
        <w:t xml:space="preserve"> </w:t>
      </w:r>
      <w:r w:rsidRPr="00D4309F">
        <w:t>adding</w:t>
      </w:r>
      <w:r w:rsidRPr="00D4309F">
        <w:rPr>
          <w:spacing w:val="-3"/>
        </w:rPr>
        <w:t xml:space="preserve"> </w:t>
      </w:r>
      <w:r w:rsidRPr="00D4309F">
        <w:t>a</w:t>
      </w:r>
      <w:r w:rsidRPr="00D4309F">
        <w:rPr>
          <w:spacing w:val="-3"/>
        </w:rPr>
        <w:t xml:space="preserve"> </w:t>
      </w:r>
      <w:r w:rsidRPr="00D4309F">
        <w:t>second</w:t>
      </w:r>
      <w:r w:rsidRPr="00D4309F">
        <w:rPr>
          <w:spacing w:val="-3"/>
        </w:rPr>
        <w:t xml:space="preserve"> </w:t>
      </w:r>
      <w:r w:rsidRPr="00D4309F">
        <w:t>intake</w:t>
      </w:r>
      <w:r w:rsidRPr="00D4309F">
        <w:rPr>
          <w:spacing w:val="-3"/>
        </w:rPr>
        <w:t xml:space="preserve"> </w:t>
      </w:r>
      <w:r w:rsidRPr="00D4309F">
        <w:t>or</w:t>
      </w:r>
      <w:r w:rsidRPr="00D4309F">
        <w:rPr>
          <w:spacing w:val="-2"/>
        </w:rPr>
        <w:t xml:space="preserve"> </w:t>
      </w:r>
      <w:r w:rsidRPr="00D4309F">
        <w:t>upgrading</w:t>
      </w:r>
      <w:r w:rsidRPr="00D4309F">
        <w:rPr>
          <w:spacing w:val="-3"/>
        </w:rPr>
        <w:t xml:space="preserve"> </w:t>
      </w:r>
      <w:r w:rsidRPr="00D4309F">
        <w:t>pump</w:t>
      </w:r>
      <w:r w:rsidRPr="00D4309F">
        <w:rPr>
          <w:spacing w:val="-3"/>
        </w:rPr>
        <w:t xml:space="preserve"> </w:t>
      </w:r>
      <w:r w:rsidRPr="00D4309F">
        <w:t>capacity, but these upgrades would involve additional engineering work and capital costs. Major relocations or geometric adjustments would be technically challenging once infrastructure is embedded.</w:t>
      </w:r>
    </w:p>
    <w:p w14:paraId="70FFC2D4" w14:textId="77777777" w:rsidR="00725977" w:rsidRPr="00D4309F" w:rsidRDefault="00725977" w:rsidP="00725977">
      <w:pPr>
        <w:pStyle w:val="BodyText"/>
      </w:pPr>
      <w:r w:rsidRPr="00D4309F">
        <w:t>A</w:t>
      </w:r>
      <w:r w:rsidRPr="00D4309F">
        <w:rPr>
          <w:spacing w:val="-3"/>
        </w:rPr>
        <w:t xml:space="preserve"> </w:t>
      </w:r>
      <w:r w:rsidRPr="00D4309F">
        <w:t>Sand</w:t>
      </w:r>
      <w:r w:rsidRPr="00D4309F">
        <w:rPr>
          <w:spacing w:val="-3"/>
        </w:rPr>
        <w:t xml:space="preserve"> </w:t>
      </w:r>
      <w:r w:rsidRPr="00D4309F">
        <w:t>Shifter</w:t>
      </w:r>
      <w:r w:rsidRPr="00D4309F">
        <w:rPr>
          <w:spacing w:val="-2"/>
        </w:rPr>
        <w:t xml:space="preserve"> </w:t>
      </w:r>
      <w:r w:rsidRPr="00D4309F">
        <w:t>could</w:t>
      </w:r>
      <w:r w:rsidRPr="00D4309F">
        <w:rPr>
          <w:spacing w:val="-3"/>
        </w:rPr>
        <w:t xml:space="preserve"> </w:t>
      </w:r>
      <w:r w:rsidRPr="00D4309F">
        <w:t>be</w:t>
      </w:r>
      <w:r w:rsidRPr="00D4309F">
        <w:rPr>
          <w:spacing w:val="-3"/>
        </w:rPr>
        <w:t xml:space="preserve"> </w:t>
      </w:r>
      <w:r w:rsidRPr="00D4309F">
        <w:t>integrated</w:t>
      </w:r>
      <w:r w:rsidRPr="00D4309F">
        <w:rPr>
          <w:spacing w:val="-3"/>
        </w:rPr>
        <w:t xml:space="preserve"> </w:t>
      </w:r>
      <w:r w:rsidRPr="00D4309F">
        <w:t>into</w:t>
      </w:r>
      <w:r w:rsidRPr="00D4309F">
        <w:rPr>
          <w:spacing w:val="-3"/>
        </w:rPr>
        <w:t xml:space="preserve"> </w:t>
      </w:r>
      <w:r w:rsidRPr="00D4309F">
        <w:t>a</w:t>
      </w:r>
      <w:r w:rsidRPr="00D4309F">
        <w:rPr>
          <w:spacing w:val="-4"/>
        </w:rPr>
        <w:t xml:space="preserve"> </w:t>
      </w:r>
      <w:r w:rsidRPr="00D4309F">
        <w:t>broader</w:t>
      </w:r>
      <w:r w:rsidRPr="00D4309F">
        <w:rPr>
          <w:spacing w:val="-4"/>
        </w:rPr>
        <w:t xml:space="preserve"> </w:t>
      </w:r>
      <w:r w:rsidRPr="00D4309F">
        <w:t>sediment</w:t>
      </w:r>
      <w:r w:rsidRPr="00D4309F">
        <w:rPr>
          <w:spacing w:val="-3"/>
        </w:rPr>
        <w:t xml:space="preserve"> </w:t>
      </w:r>
      <w:r w:rsidRPr="00D4309F">
        <w:t>management</w:t>
      </w:r>
      <w:r w:rsidRPr="00D4309F">
        <w:rPr>
          <w:spacing w:val="-3"/>
        </w:rPr>
        <w:t xml:space="preserve"> </w:t>
      </w:r>
      <w:r w:rsidRPr="00D4309F">
        <w:t>system</w:t>
      </w:r>
      <w:r w:rsidRPr="00D4309F">
        <w:rPr>
          <w:spacing w:val="-6"/>
        </w:rPr>
        <w:t xml:space="preserve"> </w:t>
      </w:r>
      <w:r w:rsidRPr="00D4309F">
        <w:t>–</w:t>
      </w:r>
      <w:r w:rsidRPr="00D4309F">
        <w:rPr>
          <w:spacing w:val="-3"/>
        </w:rPr>
        <w:t xml:space="preserve"> </w:t>
      </w:r>
      <w:r w:rsidRPr="00D4309F">
        <w:t>supplemented</w:t>
      </w:r>
      <w:r w:rsidRPr="00D4309F">
        <w:rPr>
          <w:spacing w:val="-3"/>
        </w:rPr>
        <w:t xml:space="preserve"> </w:t>
      </w:r>
      <w:r w:rsidRPr="00D4309F">
        <w:t>by</w:t>
      </w:r>
      <w:r w:rsidRPr="00D4309F">
        <w:rPr>
          <w:spacing w:val="-2"/>
        </w:rPr>
        <w:t xml:space="preserve"> </w:t>
      </w:r>
      <w:r w:rsidRPr="00D4309F">
        <w:t>periodic dredging during extreme events, or by crane-operated jet pumping if shoals form outside its influence zone.</w:t>
      </w:r>
    </w:p>
    <w:p w14:paraId="662D7548" w14:textId="4985B154" w:rsidR="00725977" w:rsidRPr="00D4309F" w:rsidRDefault="00725977" w:rsidP="00725977">
      <w:pPr>
        <w:pStyle w:val="BodyText"/>
      </w:pPr>
      <w:r w:rsidRPr="00D4309F">
        <w:t>While the Sand Shifter offers reduced operational effort and potentially more consistent bypassing (if designed and constructed with enough embedment into rock), its ability to scale, adapt, or respond to unanticipated</w:t>
      </w:r>
      <w:r w:rsidRPr="00D4309F">
        <w:rPr>
          <w:spacing w:val="-4"/>
        </w:rPr>
        <w:t xml:space="preserve"> </w:t>
      </w:r>
      <w:r w:rsidRPr="00D4309F">
        <w:t>sediment</w:t>
      </w:r>
      <w:r w:rsidRPr="00D4309F">
        <w:rPr>
          <w:spacing w:val="-3"/>
        </w:rPr>
        <w:t xml:space="preserve"> </w:t>
      </w:r>
      <w:r w:rsidRPr="00D4309F">
        <w:t>patterns</w:t>
      </w:r>
      <w:r w:rsidRPr="00D4309F">
        <w:rPr>
          <w:spacing w:val="-2"/>
        </w:rPr>
        <w:t xml:space="preserve"> </w:t>
      </w:r>
      <w:r w:rsidRPr="00D4309F">
        <w:t>is</w:t>
      </w:r>
      <w:r w:rsidRPr="00D4309F">
        <w:rPr>
          <w:spacing w:val="-2"/>
        </w:rPr>
        <w:t xml:space="preserve"> </w:t>
      </w:r>
      <w:r w:rsidRPr="00D4309F">
        <w:t>limited.</w:t>
      </w:r>
      <w:r w:rsidRPr="00D4309F">
        <w:rPr>
          <w:spacing w:val="-3"/>
        </w:rPr>
        <w:t xml:space="preserve"> </w:t>
      </w:r>
      <w:r w:rsidRPr="00D4309F">
        <w:t>Its</w:t>
      </w:r>
      <w:r w:rsidRPr="00D4309F">
        <w:rPr>
          <w:spacing w:val="-2"/>
        </w:rPr>
        <w:t xml:space="preserve"> </w:t>
      </w:r>
      <w:r w:rsidRPr="00D4309F">
        <w:t>future</w:t>
      </w:r>
      <w:r w:rsidRPr="00D4309F">
        <w:rPr>
          <w:spacing w:val="-3"/>
        </w:rPr>
        <w:t xml:space="preserve"> </w:t>
      </w:r>
      <w:r w:rsidRPr="00D4309F">
        <w:t>success</w:t>
      </w:r>
      <w:r w:rsidRPr="00D4309F">
        <w:rPr>
          <w:spacing w:val="-2"/>
        </w:rPr>
        <w:t xml:space="preserve"> </w:t>
      </w:r>
      <w:r w:rsidRPr="00D4309F">
        <w:t>is</w:t>
      </w:r>
      <w:r w:rsidRPr="00D4309F">
        <w:rPr>
          <w:spacing w:val="-2"/>
        </w:rPr>
        <w:t xml:space="preserve"> </w:t>
      </w:r>
      <w:r w:rsidRPr="00D4309F">
        <w:t>therefore</w:t>
      </w:r>
      <w:r w:rsidRPr="00D4309F">
        <w:rPr>
          <w:spacing w:val="-3"/>
        </w:rPr>
        <w:t xml:space="preserve"> </w:t>
      </w:r>
      <w:r w:rsidRPr="00D4309F">
        <w:t>highly</w:t>
      </w:r>
      <w:r w:rsidRPr="00D4309F">
        <w:rPr>
          <w:spacing w:val="-2"/>
        </w:rPr>
        <w:t xml:space="preserve"> </w:t>
      </w:r>
      <w:r w:rsidRPr="00D4309F">
        <w:t>dependent</w:t>
      </w:r>
      <w:r w:rsidRPr="00D4309F">
        <w:rPr>
          <w:spacing w:val="-3"/>
        </w:rPr>
        <w:t xml:space="preserve"> </w:t>
      </w:r>
      <w:r w:rsidRPr="00D4309F">
        <w:t>on</w:t>
      </w:r>
      <w:r w:rsidRPr="00D4309F">
        <w:rPr>
          <w:spacing w:val="-4"/>
        </w:rPr>
        <w:t xml:space="preserve"> </w:t>
      </w:r>
      <w:r w:rsidRPr="00D4309F">
        <w:t>accurate prediction of sediment volumes and trap behaviour.</w:t>
      </w:r>
    </w:p>
    <w:p w14:paraId="78F93B8C" w14:textId="77777777" w:rsidR="00725977" w:rsidRPr="00D4309F" w:rsidRDefault="00725977" w:rsidP="008228CB">
      <w:pPr>
        <w:pStyle w:val="Heading3"/>
      </w:pPr>
      <w:bookmarkStart w:id="434" w:name="_Toc216699465"/>
      <w:r w:rsidRPr="00D4309F">
        <w:t>Safety</w:t>
      </w:r>
      <w:r w:rsidRPr="00D4309F">
        <w:rPr>
          <w:spacing w:val="-5"/>
        </w:rPr>
        <w:t xml:space="preserve"> </w:t>
      </w:r>
      <w:r w:rsidRPr="00D4309F">
        <w:t>of</w:t>
      </w:r>
      <w:r w:rsidRPr="00D4309F">
        <w:rPr>
          <w:spacing w:val="-3"/>
        </w:rPr>
        <w:t xml:space="preserve"> </w:t>
      </w:r>
      <w:r w:rsidRPr="00D4309F">
        <w:t>Option</w:t>
      </w:r>
      <w:r w:rsidRPr="00D4309F">
        <w:rPr>
          <w:spacing w:val="-2"/>
        </w:rPr>
        <w:t xml:space="preserve"> </w:t>
      </w:r>
      <w:r w:rsidRPr="00D4309F">
        <w:rPr>
          <w:spacing w:val="-5"/>
        </w:rPr>
        <w:t>3B</w:t>
      </w:r>
      <w:bookmarkEnd w:id="434"/>
    </w:p>
    <w:p w14:paraId="7FCE5D40" w14:textId="34D7A5F8" w:rsidR="00725977" w:rsidRPr="00D4309F" w:rsidRDefault="00725977" w:rsidP="00725977">
      <w:pPr>
        <w:pStyle w:val="BodyText"/>
      </w:pPr>
      <w:r w:rsidRPr="00D4309F">
        <w:t>Option 3B provides a greater safety improvement than Option 3A due to the semi-automated nature of the sand shifter system. Because sand can be intermittently pumped across the entrance without needing dredge</w:t>
      </w:r>
      <w:r w:rsidRPr="00D4309F">
        <w:rPr>
          <w:spacing w:val="-2"/>
        </w:rPr>
        <w:t xml:space="preserve"> </w:t>
      </w:r>
      <w:r w:rsidRPr="00D4309F">
        <w:t>mobilisation,</w:t>
      </w:r>
      <w:r w:rsidRPr="00D4309F">
        <w:rPr>
          <w:spacing w:val="-2"/>
        </w:rPr>
        <w:t xml:space="preserve"> </w:t>
      </w:r>
      <w:r w:rsidRPr="00D4309F">
        <w:t>the</w:t>
      </w:r>
      <w:r w:rsidRPr="00D4309F">
        <w:rPr>
          <w:spacing w:val="-2"/>
        </w:rPr>
        <w:t xml:space="preserve"> </w:t>
      </w:r>
      <w:r w:rsidRPr="00D4309F">
        <w:t>entrance</w:t>
      </w:r>
      <w:r w:rsidRPr="00D4309F">
        <w:rPr>
          <w:spacing w:val="-2"/>
        </w:rPr>
        <w:t xml:space="preserve"> </w:t>
      </w:r>
      <w:r w:rsidRPr="00D4309F">
        <w:t>channel</w:t>
      </w:r>
      <w:r w:rsidRPr="00D4309F">
        <w:rPr>
          <w:spacing w:val="-2"/>
        </w:rPr>
        <w:t xml:space="preserve"> </w:t>
      </w:r>
      <w:r w:rsidRPr="00D4309F">
        <w:t>remains</w:t>
      </w:r>
      <w:r w:rsidRPr="00D4309F">
        <w:rPr>
          <w:spacing w:val="-2"/>
        </w:rPr>
        <w:t xml:space="preserve"> </w:t>
      </w:r>
      <w:r w:rsidRPr="00D4309F">
        <w:t>clearer</w:t>
      </w:r>
      <w:r w:rsidRPr="00D4309F">
        <w:rPr>
          <w:spacing w:val="-1"/>
        </w:rPr>
        <w:t xml:space="preserve"> </w:t>
      </w:r>
      <w:r w:rsidRPr="00D4309F">
        <w:t>for</w:t>
      </w:r>
      <w:r w:rsidRPr="00D4309F">
        <w:rPr>
          <w:spacing w:val="-1"/>
        </w:rPr>
        <w:t xml:space="preserve"> </w:t>
      </w:r>
      <w:r w:rsidRPr="00D4309F">
        <w:t>longer,</w:t>
      </w:r>
      <w:r w:rsidRPr="00D4309F">
        <w:rPr>
          <w:spacing w:val="-2"/>
        </w:rPr>
        <w:t xml:space="preserve"> </w:t>
      </w:r>
      <w:r w:rsidRPr="00D4309F">
        <w:t>improving</w:t>
      </w:r>
      <w:r w:rsidRPr="00D4309F">
        <w:rPr>
          <w:spacing w:val="-3"/>
        </w:rPr>
        <w:t xml:space="preserve"> </w:t>
      </w:r>
      <w:r w:rsidRPr="00D4309F">
        <w:t>reliability</w:t>
      </w:r>
      <w:r w:rsidRPr="00D4309F">
        <w:rPr>
          <w:spacing w:val="-1"/>
        </w:rPr>
        <w:t xml:space="preserve"> </w:t>
      </w:r>
      <w:r w:rsidRPr="00D4309F">
        <w:t>of</w:t>
      </w:r>
      <w:r w:rsidRPr="00D4309F">
        <w:rPr>
          <w:spacing w:val="-2"/>
        </w:rPr>
        <w:t xml:space="preserve"> </w:t>
      </w:r>
      <w:r w:rsidRPr="00D4309F">
        <w:t>all-tide</w:t>
      </w:r>
      <w:r w:rsidRPr="00D4309F">
        <w:rPr>
          <w:spacing w:val="-2"/>
        </w:rPr>
        <w:t xml:space="preserve"> </w:t>
      </w:r>
      <w:r w:rsidRPr="00D4309F">
        <w:t>access. The</w:t>
      </w:r>
      <w:r w:rsidRPr="00D4309F">
        <w:rPr>
          <w:spacing w:val="-3"/>
        </w:rPr>
        <w:t xml:space="preserve"> </w:t>
      </w:r>
      <w:r w:rsidRPr="00D4309F">
        <w:t>system</w:t>
      </w:r>
      <w:r w:rsidRPr="00D4309F">
        <w:rPr>
          <w:spacing w:val="-3"/>
        </w:rPr>
        <w:t xml:space="preserve"> </w:t>
      </w:r>
      <w:r w:rsidRPr="00D4309F">
        <w:t>reduces</w:t>
      </w:r>
      <w:r w:rsidRPr="00D4309F">
        <w:rPr>
          <w:spacing w:val="-2"/>
        </w:rPr>
        <w:t xml:space="preserve"> </w:t>
      </w:r>
      <w:r w:rsidRPr="00D4309F">
        <w:t>the</w:t>
      </w:r>
      <w:r w:rsidRPr="00D4309F">
        <w:rPr>
          <w:spacing w:val="-3"/>
        </w:rPr>
        <w:t xml:space="preserve"> </w:t>
      </w:r>
      <w:r w:rsidRPr="00D4309F">
        <w:t>occurrence</w:t>
      </w:r>
      <w:r w:rsidRPr="00D4309F">
        <w:rPr>
          <w:spacing w:val="-3"/>
        </w:rPr>
        <w:t xml:space="preserve"> </w:t>
      </w:r>
      <w:r w:rsidRPr="00D4309F">
        <w:t>of</w:t>
      </w:r>
      <w:r w:rsidRPr="00D4309F">
        <w:rPr>
          <w:spacing w:val="-5"/>
        </w:rPr>
        <w:t xml:space="preserve"> </w:t>
      </w:r>
      <w:r w:rsidRPr="00D4309F">
        <w:t>unexpected</w:t>
      </w:r>
      <w:r w:rsidRPr="00D4309F">
        <w:rPr>
          <w:spacing w:val="-4"/>
        </w:rPr>
        <w:t xml:space="preserve"> </w:t>
      </w:r>
      <w:r w:rsidRPr="00D4309F">
        <w:t>shoaling,</w:t>
      </w:r>
      <w:r w:rsidRPr="00D4309F">
        <w:rPr>
          <w:spacing w:val="-3"/>
        </w:rPr>
        <w:t xml:space="preserve"> </w:t>
      </w:r>
      <w:r w:rsidRPr="00D4309F">
        <w:t>thereby</w:t>
      </w:r>
      <w:r w:rsidRPr="00D4309F">
        <w:rPr>
          <w:spacing w:val="-2"/>
        </w:rPr>
        <w:t xml:space="preserve"> </w:t>
      </w:r>
      <w:r w:rsidRPr="00D4309F">
        <w:t>improving</w:t>
      </w:r>
      <w:r w:rsidRPr="00D4309F">
        <w:rPr>
          <w:spacing w:val="-4"/>
        </w:rPr>
        <w:t xml:space="preserve"> </w:t>
      </w:r>
      <w:r w:rsidRPr="00D4309F">
        <w:t>the</w:t>
      </w:r>
      <w:r w:rsidRPr="00D4309F">
        <w:rPr>
          <w:spacing w:val="-4"/>
        </w:rPr>
        <w:t xml:space="preserve"> </w:t>
      </w:r>
      <w:r w:rsidRPr="00D4309F">
        <w:t>clarity</w:t>
      </w:r>
      <w:r w:rsidRPr="00D4309F">
        <w:rPr>
          <w:spacing w:val="-2"/>
        </w:rPr>
        <w:t xml:space="preserve"> </w:t>
      </w:r>
      <w:r w:rsidRPr="00D4309F">
        <w:t>of</w:t>
      </w:r>
      <w:r w:rsidRPr="00D4309F">
        <w:rPr>
          <w:spacing w:val="-3"/>
        </w:rPr>
        <w:t xml:space="preserve"> </w:t>
      </w:r>
      <w:r w:rsidRPr="00D4309F">
        <w:t>navigation</w:t>
      </w:r>
      <w:r w:rsidRPr="00D4309F">
        <w:rPr>
          <w:spacing w:val="-3"/>
        </w:rPr>
        <w:t xml:space="preserve"> </w:t>
      </w:r>
      <w:r w:rsidRPr="00D4309F">
        <w:t>and maintaining more predictable depth profiles.</w:t>
      </w:r>
    </w:p>
    <w:p w14:paraId="6261BFFD" w14:textId="4FC36C55" w:rsidR="00725977" w:rsidRPr="00D4309F" w:rsidRDefault="00725977" w:rsidP="00725977">
      <w:pPr>
        <w:pStyle w:val="BodyText"/>
      </w:pPr>
      <w:r w:rsidRPr="00D4309F">
        <w:t>For mariner safety, the sand shifter offers lower operational risk because it removes the need for large dredging plant near the entrance. With pumping equipment buried or contained within a narrow footprint along the breakwater, the system minimises conflicts with recreational boaters, surfers, and swimmers. Storm</w:t>
      </w:r>
      <w:r w:rsidRPr="00D4309F">
        <w:rPr>
          <w:spacing w:val="-3"/>
        </w:rPr>
        <w:t xml:space="preserve"> </w:t>
      </w:r>
      <w:r w:rsidRPr="00D4309F">
        <w:t>exposure</w:t>
      </w:r>
      <w:r w:rsidRPr="00D4309F">
        <w:rPr>
          <w:spacing w:val="-3"/>
        </w:rPr>
        <w:t xml:space="preserve"> </w:t>
      </w:r>
      <w:r w:rsidRPr="00D4309F">
        <w:t>remains</w:t>
      </w:r>
      <w:r w:rsidRPr="00D4309F">
        <w:rPr>
          <w:spacing w:val="-2"/>
        </w:rPr>
        <w:t xml:space="preserve"> </w:t>
      </w:r>
      <w:r w:rsidRPr="00D4309F">
        <w:t>a</w:t>
      </w:r>
      <w:r w:rsidRPr="00D4309F">
        <w:rPr>
          <w:spacing w:val="-4"/>
        </w:rPr>
        <w:t xml:space="preserve"> </w:t>
      </w:r>
      <w:r w:rsidRPr="00D4309F">
        <w:t>consideration,</w:t>
      </w:r>
      <w:r w:rsidRPr="00D4309F">
        <w:rPr>
          <w:spacing w:val="-3"/>
        </w:rPr>
        <w:t xml:space="preserve"> </w:t>
      </w:r>
      <w:r w:rsidRPr="00D4309F">
        <w:t>but</w:t>
      </w:r>
      <w:r w:rsidRPr="00D4309F">
        <w:rPr>
          <w:spacing w:val="-3"/>
        </w:rPr>
        <w:t xml:space="preserve"> </w:t>
      </w:r>
      <w:r w:rsidRPr="00D4309F">
        <w:t>overall,</w:t>
      </w:r>
      <w:r w:rsidRPr="00D4309F">
        <w:rPr>
          <w:spacing w:val="-3"/>
        </w:rPr>
        <w:t xml:space="preserve"> </w:t>
      </w:r>
      <w:r w:rsidRPr="00D4309F">
        <w:t>Option</w:t>
      </w:r>
      <w:r w:rsidRPr="00D4309F">
        <w:rPr>
          <w:spacing w:val="-3"/>
        </w:rPr>
        <w:t xml:space="preserve"> </w:t>
      </w:r>
      <w:r w:rsidRPr="00D4309F">
        <w:t>3B</w:t>
      </w:r>
      <w:r w:rsidRPr="00D4309F">
        <w:rPr>
          <w:spacing w:val="-3"/>
        </w:rPr>
        <w:t xml:space="preserve"> </w:t>
      </w:r>
      <w:r w:rsidRPr="00D4309F">
        <w:t>presents</w:t>
      </w:r>
      <w:r w:rsidRPr="00D4309F">
        <w:rPr>
          <w:spacing w:val="-2"/>
        </w:rPr>
        <w:t xml:space="preserve"> </w:t>
      </w:r>
      <w:r w:rsidRPr="00D4309F">
        <w:t>a</w:t>
      </w:r>
      <w:r w:rsidRPr="00D4309F">
        <w:rPr>
          <w:spacing w:val="-4"/>
        </w:rPr>
        <w:t xml:space="preserve"> </w:t>
      </w:r>
      <w:r w:rsidRPr="00D4309F">
        <w:t>safer</w:t>
      </w:r>
      <w:r w:rsidRPr="00D4309F">
        <w:rPr>
          <w:spacing w:val="-2"/>
        </w:rPr>
        <w:t xml:space="preserve"> </w:t>
      </w:r>
      <w:r w:rsidRPr="00D4309F">
        <w:t>and</w:t>
      </w:r>
      <w:r w:rsidRPr="00D4309F">
        <w:rPr>
          <w:spacing w:val="-3"/>
        </w:rPr>
        <w:t xml:space="preserve"> </w:t>
      </w:r>
      <w:r w:rsidRPr="00D4309F">
        <w:t>more</w:t>
      </w:r>
      <w:r w:rsidRPr="00D4309F">
        <w:rPr>
          <w:spacing w:val="-3"/>
        </w:rPr>
        <w:t xml:space="preserve"> </w:t>
      </w:r>
      <w:r w:rsidRPr="00D4309F">
        <w:t>stable</w:t>
      </w:r>
      <w:r w:rsidRPr="00D4309F">
        <w:rPr>
          <w:spacing w:val="-3"/>
        </w:rPr>
        <w:t xml:space="preserve"> </w:t>
      </w:r>
      <w:r w:rsidRPr="00D4309F">
        <w:t>sediment-management approach than dredging-only options.</w:t>
      </w:r>
    </w:p>
    <w:p w14:paraId="5B0F33DC" w14:textId="77777777" w:rsidR="00725977" w:rsidRPr="00D4309F" w:rsidRDefault="00725977" w:rsidP="008228CB">
      <w:pPr>
        <w:pStyle w:val="Heading3"/>
      </w:pPr>
      <w:bookmarkStart w:id="435" w:name="_Toc216699466"/>
      <w:r w:rsidRPr="00D4309F">
        <w:t>Cost</w:t>
      </w:r>
      <w:bookmarkEnd w:id="435"/>
    </w:p>
    <w:p w14:paraId="71456ECA" w14:textId="77777777" w:rsidR="00725977" w:rsidRPr="00D4309F" w:rsidRDefault="00725977" w:rsidP="00E6351A">
      <w:pPr>
        <w:pStyle w:val="Heading5-nonumber"/>
      </w:pPr>
      <w:r w:rsidRPr="00D4309F">
        <w:t>Capital</w:t>
      </w:r>
      <w:r w:rsidRPr="00D4309F">
        <w:rPr>
          <w:spacing w:val="-3"/>
        </w:rPr>
        <w:t xml:space="preserve"> </w:t>
      </w:r>
      <w:r w:rsidRPr="00D4309F">
        <w:t>Works</w:t>
      </w:r>
      <w:r w:rsidRPr="00D4309F">
        <w:rPr>
          <w:spacing w:val="-3"/>
        </w:rPr>
        <w:t xml:space="preserve"> </w:t>
      </w:r>
      <w:r w:rsidRPr="00D4309F">
        <w:rPr>
          <w:spacing w:val="-2"/>
        </w:rPr>
        <w:t>Costs</w:t>
      </w:r>
    </w:p>
    <w:p w14:paraId="0FB81C7E" w14:textId="77777777" w:rsidR="00725977" w:rsidRPr="00D4309F" w:rsidRDefault="00725977" w:rsidP="00725977">
      <w:pPr>
        <w:pStyle w:val="BodyText"/>
      </w:pPr>
      <w:r w:rsidRPr="00D4309F">
        <w:t>Capital costs for Option 3B are expected to be significantly higher than Option 3A due to the installation of the</w:t>
      </w:r>
      <w:r w:rsidRPr="00D4309F">
        <w:rPr>
          <w:spacing w:val="-3"/>
        </w:rPr>
        <w:t xml:space="preserve"> </w:t>
      </w:r>
      <w:r w:rsidRPr="00D4309F">
        <w:t>Sand</w:t>
      </w:r>
      <w:r w:rsidRPr="00D4309F">
        <w:rPr>
          <w:spacing w:val="-3"/>
        </w:rPr>
        <w:t xml:space="preserve"> </w:t>
      </w:r>
      <w:r w:rsidRPr="00D4309F">
        <w:t>Shifter</w:t>
      </w:r>
      <w:r w:rsidRPr="00D4309F">
        <w:rPr>
          <w:spacing w:val="-2"/>
        </w:rPr>
        <w:t xml:space="preserve"> </w:t>
      </w:r>
      <w:r w:rsidRPr="00D4309F">
        <w:t>semi-permanent</w:t>
      </w:r>
      <w:r w:rsidRPr="00D4309F">
        <w:rPr>
          <w:spacing w:val="-3"/>
        </w:rPr>
        <w:t xml:space="preserve"> </w:t>
      </w:r>
      <w:r w:rsidRPr="00D4309F">
        <w:t>bypassing</w:t>
      </w:r>
      <w:r w:rsidRPr="00D4309F">
        <w:rPr>
          <w:spacing w:val="-3"/>
        </w:rPr>
        <w:t xml:space="preserve"> </w:t>
      </w:r>
      <w:r w:rsidRPr="00D4309F">
        <w:t>system.</w:t>
      </w:r>
      <w:r w:rsidRPr="00D4309F">
        <w:rPr>
          <w:spacing w:val="-5"/>
        </w:rPr>
        <w:t xml:space="preserve"> </w:t>
      </w:r>
      <w:r w:rsidRPr="00D4309F">
        <w:t>While</w:t>
      </w:r>
      <w:r w:rsidRPr="00D4309F">
        <w:rPr>
          <w:spacing w:val="-3"/>
        </w:rPr>
        <w:t xml:space="preserve"> </w:t>
      </w:r>
      <w:r w:rsidRPr="00D4309F">
        <w:t>Option</w:t>
      </w:r>
      <w:r w:rsidRPr="00D4309F">
        <w:rPr>
          <w:spacing w:val="-4"/>
        </w:rPr>
        <w:t xml:space="preserve"> </w:t>
      </w:r>
      <w:r w:rsidRPr="00D4309F">
        <w:t>3A</w:t>
      </w:r>
      <w:r w:rsidRPr="00D4309F">
        <w:rPr>
          <w:spacing w:val="-3"/>
        </w:rPr>
        <w:t xml:space="preserve"> </w:t>
      </w:r>
      <w:r w:rsidRPr="00D4309F">
        <w:t>requires</w:t>
      </w:r>
      <w:r w:rsidRPr="00D4309F">
        <w:rPr>
          <w:spacing w:val="-3"/>
        </w:rPr>
        <w:t xml:space="preserve"> </w:t>
      </w:r>
      <w:r w:rsidRPr="00D4309F">
        <w:t>only</w:t>
      </w:r>
      <w:r w:rsidRPr="00D4309F">
        <w:rPr>
          <w:spacing w:val="-2"/>
        </w:rPr>
        <w:t xml:space="preserve"> </w:t>
      </w:r>
      <w:r w:rsidRPr="00D4309F">
        <w:t>the</w:t>
      </w:r>
      <w:r w:rsidRPr="00D4309F">
        <w:rPr>
          <w:spacing w:val="-3"/>
        </w:rPr>
        <w:t xml:space="preserve"> </w:t>
      </w:r>
      <w:r w:rsidRPr="00D4309F">
        <w:t>breakwater</w:t>
      </w:r>
      <w:r w:rsidRPr="00D4309F">
        <w:rPr>
          <w:spacing w:val="-2"/>
        </w:rPr>
        <w:t xml:space="preserve"> </w:t>
      </w:r>
      <w:r w:rsidRPr="00D4309F">
        <w:t xml:space="preserve">extension plus periodic mobilisation of a CSD, Option 3B introduces additional fixed infrastructure, including buried intake pumps, a seabed trench and pipeline network, electrical supply, telemetry, and a shore-based pump </w:t>
      </w:r>
      <w:r w:rsidRPr="00D4309F">
        <w:rPr>
          <w:spacing w:val="-2"/>
        </w:rPr>
        <w:t>station.</w:t>
      </w:r>
    </w:p>
    <w:p w14:paraId="2529D0D6" w14:textId="77777777" w:rsidR="00725977" w:rsidRPr="00D4309F" w:rsidRDefault="00725977" w:rsidP="00725977">
      <w:pPr>
        <w:pStyle w:val="BodyText"/>
      </w:pPr>
      <w:r w:rsidRPr="00D4309F">
        <w:t>The presence of shallow rock beneath the trap area presents a major constructability challenge. Trenching through</w:t>
      </w:r>
      <w:r w:rsidRPr="00D4309F">
        <w:rPr>
          <w:spacing w:val="-2"/>
        </w:rPr>
        <w:t xml:space="preserve"> </w:t>
      </w:r>
      <w:r w:rsidRPr="00D4309F">
        <w:t>indurated</w:t>
      </w:r>
      <w:r w:rsidRPr="00D4309F">
        <w:rPr>
          <w:spacing w:val="-2"/>
        </w:rPr>
        <w:t xml:space="preserve"> </w:t>
      </w:r>
      <w:r w:rsidRPr="00D4309F">
        <w:t>rock</w:t>
      </w:r>
      <w:r w:rsidRPr="00D4309F">
        <w:rPr>
          <w:spacing w:val="-1"/>
        </w:rPr>
        <w:t xml:space="preserve"> </w:t>
      </w:r>
      <w:r w:rsidRPr="00D4309F">
        <w:t>to</w:t>
      </w:r>
      <w:r w:rsidRPr="00D4309F">
        <w:rPr>
          <w:spacing w:val="-2"/>
        </w:rPr>
        <w:t xml:space="preserve"> </w:t>
      </w:r>
      <w:r w:rsidRPr="00D4309F">
        <w:t>install</w:t>
      </w:r>
      <w:r w:rsidRPr="00D4309F">
        <w:rPr>
          <w:spacing w:val="-2"/>
        </w:rPr>
        <w:t xml:space="preserve"> </w:t>
      </w:r>
      <w:r w:rsidRPr="00D4309F">
        <w:t>the</w:t>
      </w:r>
      <w:r w:rsidRPr="00D4309F">
        <w:rPr>
          <w:spacing w:val="-2"/>
        </w:rPr>
        <w:t xml:space="preserve"> </w:t>
      </w:r>
      <w:r w:rsidRPr="00D4309F">
        <w:t>buried</w:t>
      </w:r>
      <w:r w:rsidRPr="00D4309F">
        <w:rPr>
          <w:spacing w:val="-2"/>
        </w:rPr>
        <w:t xml:space="preserve"> </w:t>
      </w:r>
      <w:r w:rsidRPr="00D4309F">
        <w:t>intake</w:t>
      </w:r>
      <w:r w:rsidRPr="00D4309F">
        <w:rPr>
          <w:spacing w:val="-2"/>
        </w:rPr>
        <w:t xml:space="preserve"> </w:t>
      </w:r>
      <w:r w:rsidRPr="00D4309F">
        <w:t>and</w:t>
      </w:r>
      <w:r w:rsidRPr="00D4309F">
        <w:rPr>
          <w:spacing w:val="-3"/>
        </w:rPr>
        <w:t xml:space="preserve"> </w:t>
      </w:r>
      <w:r w:rsidRPr="00D4309F">
        <w:t>pipeline</w:t>
      </w:r>
      <w:r w:rsidRPr="00D4309F">
        <w:rPr>
          <w:spacing w:val="-3"/>
        </w:rPr>
        <w:t xml:space="preserve"> </w:t>
      </w:r>
      <w:r w:rsidRPr="00D4309F">
        <w:t>will</w:t>
      </w:r>
      <w:r w:rsidRPr="00D4309F">
        <w:rPr>
          <w:spacing w:val="-2"/>
        </w:rPr>
        <w:t xml:space="preserve"> </w:t>
      </w:r>
      <w:r w:rsidRPr="00D4309F">
        <w:t>increase</w:t>
      </w:r>
      <w:r w:rsidRPr="00D4309F">
        <w:rPr>
          <w:spacing w:val="-2"/>
        </w:rPr>
        <w:t xml:space="preserve"> </w:t>
      </w:r>
      <w:r w:rsidRPr="00D4309F">
        <w:t>cost,</w:t>
      </w:r>
      <w:r w:rsidRPr="00D4309F">
        <w:rPr>
          <w:spacing w:val="-4"/>
        </w:rPr>
        <w:t xml:space="preserve"> </w:t>
      </w:r>
      <w:r w:rsidRPr="00D4309F">
        <w:t>duration,</w:t>
      </w:r>
      <w:r w:rsidRPr="00D4309F">
        <w:rPr>
          <w:spacing w:val="-2"/>
        </w:rPr>
        <w:t xml:space="preserve"> </w:t>
      </w:r>
      <w:r w:rsidRPr="00D4309F">
        <w:t>and</w:t>
      </w:r>
      <w:r w:rsidRPr="00D4309F">
        <w:rPr>
          <w:spacing w:val="-3"/>
        </w:rPr>
        <w:t xml:space="preserve"> </w:t>
      </w:r>
      <w:r w:rsidRPr="00D4309F">
        <w:t>risk</w:t>
      </w:r>
      <w:r w:rsidRPr="00D4309F">
        <w:rPr>
          <w:spacing w:val="-1"/>
        </w:rPr>
        <w:t xml:space="preserve"> </w:t>
      </w:r>
      <w:r w:rsidRPr="00D4309F">
        <w:t>relative</w:t>
      </w:r>
      <w:r w:rsidRPr="00D4309F">
        <w:rPr>
          <w:spacing w:val="-2"/>
        </w:rPr>
        <w:t xml:space="preserve"> </w:t>
      </w:r>
      <w:r w:rsidRPr="00D4309F">
        <w:t>to a mobile dredging solution. These additional requirements place Option 3B at the upper end of capital expenditure for the breakwater-based options.</w:t>
      </w:r>
    </w:p>
    <w:p w14:paraId="5F3F9161" w14:textId="66C67322" w:rsidR="00725977" w:rsidRPr="00D4309F" w:rsidRDefault="00725977" w:rsidP="00725977">
      <w:pPr>
        <w:pStyle w:val="BodyText"/>
      </w:pPr>
      <w:r w:rsidRPr="00D4309F">
        <w:t>Capital works remain anchored by the estimate for the breakwater extension (KBR, 2021), with the Sand Shifter</w:t>
      </w:r>
      <w:r w:rsidRPr="00D4309F">
        <w:rPr>
          <w:spacing w:val="-2"/>
        </w:rPr>
        <w:t xml:space="preserve"> </w:t>
      </w:r>
      <w:r w:rsidRPr="00D4309F">
        <w:t>system</w:t>
      </w:r>
      <w:r w:rsidRPr="00D4309F">
        <w:rPr>
          <w:spacing w:val="-3"/>
        </w:rPr>
        <w:t xml:space="preserve"> </w:t>
      </w:r>
      <w:r w:rsidRPr="00D4309F">
        <w:t>representing</w:t>
      </w:r>
      <w:r w:rsidRPr="00D4309F">
        <w:rPr>
          <w:spacing w:val="-3"/>
        </w:rPr>
        <w:t xml:space="preserve"> </w:t>
      </w:r>
      <w:r w:rsidRPr="00D4309F">
        <w:t>a</w:t>
      </w:r>
      <w:r w:rsidRPr="00D4309F">
        <w:rPr>
          <w:spacing w:val="-3"/>
        </w:rPr>
        <w:t xml:space="preserve"> </w:t>
      </w:r>
      <w:r w:rsidRPr="00D4309F">
        <w:t>substantial</w:t>
      </w:r>
      <w:r w:rsidRPr="00D4309F">
        <w:rPr>
          <w:spacing w:val="-3"/>
        </w:rPr>
        <w:t xml:space="preserve"> </w:t>
      </w:r>
      <w:r w:rsidRPr="00D4309F">
        <w:t>additional</w:t>
      </w:r>
      <w:r w:rsidRPr="00D4309F">
        <w:rPr>
          <w:spacing w:val="-4"/>
        </w:rPr>
        <w:t xml:space="preserve"> </w:t>
      </w:r>
      <w:r w:rsidRPr="00D4309F">
        <w:t>cost</w:t>
      </w:r>
      <w:r w:rsidRPr="00D4309F">
        <w:rPr>
          <w:spacing w:val="-3"/>
        </w:rPr>
        <w:t xml:space="preserve"> </w:t>
      </w:r>
      <w:r w:rsidRPr="00D4309F">
        <w:t>overlay—likely</w:t>
      </w:r>
      <w:r w:rsidRPr="00D4309F">
        <w:rPr>
          <w:spacing w:val="-2"/>
        </w:rPr>
        <w:t xml:space="preserve"> </w:t>
      </w:r>
      <w:r w:rsidRPr="00D4309F">
        <w:t>several</w:t>
      </w:r>
      <w:r w:rsidRPr="00D4309F">
        <w:rPr>
          <w:spacing w:val="-4"/>
        </w:rPr>
        <w:t xml:space="preserve"> </w:t>
      </w:r>
      <w:r w:rsidRPr="00D4309F">
        <w:t>million</w:t>
      </w:r>
      <w:r w:rsidRPr="00D4309F">
        <w:rPr>
          <w:spacing w:val="-3"/>
        </w:rPr>
        <w:t xml:space="preserve"> </w:t>
      </w:r>
      <w:r w:rsidRPr="00D4309F">
        <w:t>dollars</w:t>
      </w:r>
      <w:r w:rsidRPr="00D4309F">
        <w:rPr>
          <w:spacing w:val="-3"/>
        </w:rPr>
        <w:t xml:space="preserve"> </w:t>
      </w:r>
      <w:r w:rsidRPr="00D4309F">
        <w:t>depending</w:t>
      </w:r>
      <w:r w:rsidRPr="00D4309F">
        <w:rPr>
          <w:spacing w:val="-3"/>
        </w:rPr>
        <w:t xml:space="preserve"> </w:t>
      </w:r>
      <w:r w:rsidRPr="00D4309F">
        <w:t>on excavation needs, pump station configuration, power connection distance, and seabed trenching feasibility.</w:t>
      </w:r>
    </w:p>
    <w:p w14:paraId="24B92C07" w14:textId="77777777" w:rsidR="00725977" w:rsidRPr="00D4309F" w:rsidRDefault="00725977" w:rsidP="00E6351A">
      <w:pPr>
        <w:pStyle w:val="Heading5-nonumber"/>
      </w:pPr>
      <w:r w:rsidRPr="00D4309F">
        <w:t>Operational</w:t>
      </w:r>
      <w:r w:rsidRPr="00D4309F">
        <w:rPr>
          <w:spacing w:val="-6"/>
        </w:rPr>
        <w:t xml:space="preserve"> </w:t>
      </w:r>
      <w:r w:rsidRPr="00D4309F">
        <w:rPr>
          <w:spacing w:val="-2"/>
        </w:rPr>
        <w:t>Costs</w:t>
      </w:r>
    </w:p>
    <w:p w14:paraId="6EDAD0B2" w14:textId="77777777" w:rsidR="00725977" w:rsidRPr="00D4309F" w:rsidRDefault="00725977" w:rsidP="00725977">
      <w:pPr>
        <w:pStyle w:val="BodyText"/>
      </w:pPr>
      <w:r w:rsidRPr="00D4309F">
        <w:t>Operational costs for Option 3B differ fundamentally from Option 3A. Instead of periodic dredging</w:t>
      </w:r>
      <w:r w:rsidRPr="00D4309F">
        <w:rPr>
          <w:spacing w:val="40"/>
        </w:rPr>
        <w:t xml:space="preserve"> </w:t>
      </w:r>
      <w:r w:rsidRPr="00D4309F">
        <w:t>campaigns,</w:t>
      </w:r>
      <w:r w:rsidRPr="00D4309F">
        <w:rPr>
          <w:spacing w:val="-4"/>
        </w:rPr>
        <w:t xml:space="preserve"> </w:t>
      </w:r>
      <w:r w:rsidRPr="00D4309F">
        <w:t>Option</w:t>
      </w:r>
      <w:r w:rsidRPr="00D4309F">
        <w:rPr>
          <w:spacing w:val="-4"/>
        </w:rPr>
        <w:t xml:space="preserve"> </w:t>
      </w:r>
      <w:r w:rsidRPr="00D4309F">
        <w:t>3B</w:t>
      </w:r>
      <w:r w:rsidRPr="00D4309F">
        <w:rPr>
          <w:spacing w:val="-4"/>
        </w:rPr>
        <w:t xml:space="preserve"> </w:t>
      </w:r>
      <w:r w:rsidRPr="00D4309F">
        <w:t>incurs</w:t>
      </w:r>
      <w:r w:rsidRPr="00D4309F">
        <w:rPr>
          <w:spacing w:val="-4"/>
        </w:rPr>
        <w:t xml:space="preserve"> </w:t>
      </w:r>
      <w:r w:rsidRPr="00D4309F">
        <w:t>continuous</w:t>
      </w:r>
      <w:r w:rsidRPr="00D4309F">
        <w:rPr>
          <w:spacing w:val="-3"/>
        </w:rPr>
        <w:t xml:space="preserve"> </w:t>
      </w:r>
      <w:r w:rsidRPr="00D4309F">
        <w:t>or</w:t>
      </w:r>
      <w:r w:rsidRPr="00D4309F">
        <w:rPr>
          <w:spacing w:val="-3"/>
        </w:rPr>
        <w:t xml:space="preserve"> </w:t>
      </w:r>
      <w:r w:rsidRPr="00D4309F">
        <w:t>near-continuous</w:t>
      </w:r>
      <w:r w:rsidRPr="00D4309F">
        <w:rPr>
          <w:spacing w:val="-3"/>
        </w:rPr>
        <w:t xml:space="preserve"> </w:t>
      </w:r>
      <w:r w:rsidRPr="00D4309F">
        <w:t>operating</w:t>
      </w:r>
      <w:r w:rsidRPr="00D4309F">
        <w:rPr>
          <w:spacing w:val="-4"/>
        </w:rPr>
        <w:t xml:space="preserve"> </w:t>
      </w:r>
      <w:r w:rsidRPr="00D4309F">
        <w:t>costs</w:t>
      </w:r>
      <w:r w:rsidRPr="00D4309F">
        <w:rPr>
          <w:spacing w:val="-3"/>
        </w:rPr>
        <w:t xml:space="preserve"> </w:t>
      </w:r>
      <w:r w:rsidRPr="00D4309F">
        <w:t>associated</w:t>
      </w:r>
      <w:r w:rsidRPr="00D4309F">
        <w:rPr>
          <w:spacing w:val="-4"/>
        </w:rPr>
        <w:t xml:space="preserve"> </w:t>
      </w:r>
      <w:r w:rsidRPr="00D4309F">
        <w:t>with</w:t>
      </w:r>
      <w:r w:rsidRPr="00D4309F">
        <w:rPr>
          <w:spacing w:val="-4"/>
        </w:rPr>
        <w:t xml:space="preserve"> </w:t>
      </w:r>
      <w:r w:rsidRPr="00D4309F">
        <w:t>pump</w:t>
      </w:r>
      <w:r w:rsidRPr="00D4309F">
        <w:rPr>
          <w:spacing w:val="-4"/>
        </w:rPr>
        <w:t xml:space="preserve"> </w:t>
      </w:r>
      <w:r w:rsidRPr="00D4309F">
        <w:t>operation, energy consumption, mechanical wear, and routine inspections.</w:t>
      </w:r>
    </w:p>
    <w:p w14:paraId="5B8539CB" w14:textId="77777777" w:rsidR="00725977" w:rsidRPr="00D4309F" w:rsidRDefault="00725977" w:rsidP="00725977">
      <w:pPr>
        <w:pStyle w:val="BodyText"/>
      </w:pPr>
      <w:r w:rsidRPr="00D4309F">
        <w:t>Key</w:t>
      </w:r>
      <w:r w:rsidRPr="00D4309F">
        <w:rPr>
          <w:spacing w:val="-5"/>
        </w:rPr>
        <w:t xml:space="preserve"> </w:t>
      </w:r>
      <w:r w:rsidRPr="00D4309F">
        <w:t>considerations</w:t>
      </w:r>
      <w:r w:rsidRPr="00D4309F">
        <w:rPr>
          <w:spacing w:val="-5"/>
        </w:rPr>
        <w:t xml:space="preserve"> </w:t>
      </w:r>
      <w:r w:rsidRPr="00D4309F">
        <w:rPr>
          <w:spacing w:val="-2"/>
        </w:rPr>
        <w:t>include:</w:t>
      </w:r>
    </w:p>
    <w:p w14:paraId="210707C6" w14:textId="77777777" w:rsidR="00725977" w:rsidRPr="00D4309F" w:rsidRDefault="00725977" w:rsidP="00D27F26">
      <w:pPr>
        <w:pStyle w:val="ListParagraph"/>
        <w:widowControl w:val="0"/>
        <w:numPr>
          <w:ilvl w:val="0"/>
          <w:numId w:val="217"/>
        </w:numPr>
        <w:tabs>
          <w:tab w:val="left" w:pos="501"/>
        </w:tabs>
        <w:autoSpaceDE w:val="0"/>
        <w:autoSpaceDN w:val="0"/>
        <w:spacing w:before="119" w:after="0" w:line="240" w:lineRule="auto"/>
        <w:ind w:right="269"/>
        <w:contextualSpacing w:val="0"/>
      </w:pPr>
      <w:r w:rsidRPr="00D4309F">
        <w:rPr>
          <w:color w:val="211E1F"/>
        </w:rPr>
        <w:t>Continuous</w:t>
      </w:r>
      <w:r w:rsidRPr="00D4309F">
        <w:rPr>
          <w:color w:val="211E1F"/>
          <w:spacing w:val="-3"/>
        </w:rPr>
        <w:t xml:space="preserve"> </w:t>
      </w:r>
      <w:r w:rsidRPr="00D4309F">
        <w:rPr>
          <w:color w:val="211E1F"/>
        </w:rPr>
        <w:t>pump</w:t>
      </w:r>
      <w:r w:rsidRPr="00D4309F">
        <w:rPr>
          <w:color w:val="211E1F"/>
          <w:spacing w:val="-4"/>
        </w:rPr>
        <w:t xml:space="preserve"> </w:t>
      </w:r>
      <w:r w:rsidRPr="00D4309F">
        <w:rPr>
          <w:color w:val="211E1F"/>
        </w:rPr>
        <w:t>operation</w:t>
      </w:r>
      <w:r w:rsidRPr="00D4309F">
        <w:rPr>
          <w:color w:val="211E1F"/>
          <w:spacing w:val="-4"/>
        </w:rPr>
        <w:t xml:space="preserve"> </w:t>
      </w:r>
      <w:r w:rsidRPr="00D4309F">
        <w:rPr>
          <w:color w:val="211E1F"/>
        </w:rPr>
        <w:t>during</w:t>
      </w:r>
      <w:r w:rsidRPr="00D4309F">
        <w:rPr>
          <w:color w:val="211E1F"/>
          <w:spacing w:val="-4"/>
        </w:rPr>
        <w:t xml:space="preserve"> </w:t>
      </w:r>
      <w:r w:rsidRPr="00D4309F">
        <w:rPr>
          <w:color w:val="211E1F"/>
        </w:rPr>
        <w:t>transport-active</w:t>
      </w:r>
      <w:r w:rsidRPr="00D4309F">
        <w:rPr>
          <w:color w:val="211E1F"/>
          <w:spacing w:val="-4"/>
        </w:rPr>
        <w:t xml:space="preserve"> </w:t>
      </w:r>
      <w:r w:rsidRPr="00D4309F">
        <w:rPr>
          <w:color w:val="211E1F"/>
        </w:rPr>
        <w:t>periods</w:t>
      </w:r>
      <w:r w:rsidRPr="00D4309F">
        <w:rPr>
          <w:color w:val="211E1F"/>
          <w:spacing w:val="-3"/>
        </w:rPr>
        <w:t xml:space="preserve"> </w:t>
      </w:r>
      <w:r w:rsidRPr="00D4309F">
        <w:rPr>
          <w:color w:val="211E1F"/>
        </w:rPr>
        <w:t>leads</w:t>
      </w:r>
      <w:r w:rsidRPr="00D4309F">
        <w:rPr>
          <w:color w:val="211E1F"/>
          <w:spacing w:val="-3"/>
        </w:rPr>
        <w:t xml:space="preserve"> </w:t>
      </w:r>
      <w:r w:rsidRPr="00D4309F">
        <w:rPr>
          <w:color w:val="211E1F"/>
        </w:rPr>
        <w:t>to</w:t>
      </w:r>
      <w:r w:rsidRPr="00D4309F">
        <w:rPr>
          <w:color w:val="211E1F"/>
          <w:spacing w:val="-5"/>
        </w:rPr>
        <w:t xml:space="preserve"> </w:t>
      </w:r>
      <w:r w:rsidRPr="00D4309F">
        <w:rPr>
          <w:color w:val="211E1F"/>
        </w:rPr>
        <w:t>steady</w:t>
      </w:r>
      <w:r w:rsidRPr="00D4309F">
        <w:rPr>
          <w:color w:val="211E1F"/>
          <w:spacing w:val="-3"/>
        </w:rPr>
        <w:t xml:space="preserve"> </w:t>
      </w:r>
      <w:r w:rsidRPr="00D4309F">
        <w:rPr>
          <w:color w:val="211E1F"/>
        </w:rPr>
        <w:t>annual</w:t>
      </w:r>
      <w:r w:rsidRPr="00D4309F">
        <w:rPr>
          <w:color w:val="211E1F"/>
          <w:spacing w:val="-4"/>
        </w:rPr>
        <w:t xml:space="preserve"> </w:t>
      </w:r>
      <w:r w:rsidRPr="00D4309F">
        <w:rPr>
          <w:color w:val="211E1F"/>
        </w:rPr>
        <w:t>running</w:t>
      </w:r>
      <w:r w:rsidRPr="00D4309F">
        <w:rPr>
          <w:color w:val="211E1F"/>
          <w:spacing w:val="-4"/>
        </w:rPr>
        <w:t xml:space="preserve"> </w:t>
      </w:r>
      <w:r w:rsidRPr="00D4309F">
        <w:rPr>
          <w:color w:val="211E1F"/>
        </w:rPr>
        <w:t>costs,</w:t>
      </w:r>
      <w:r w:rsidRPr="00D4309F">
        <w:rPr>
          <w:color w:val="211E1F"/>
          <w:spacing w:val="-4"/>
        </w:rPr>
        <w:t xml:space="preserve"> </w:t>
      </w:r>
      <w:r w:rsidRPr="00D4309F">
        <w:rPr>
          <w:color w:val="211E1F"/>
        </w:rPr>
        <w:t>rather than episodic expenditure.</w:t>
      </w:r>
    </w:p>
    <w:p w14:paraId="1FA2D768" w14:textId="77777777" w:rsidR="00725977" w:rsidRPr="00D4309F" w:rsidRDefault="00725977" w:rsidP="00D27F26">
      <w:pPr>
        <w:pStyle w:val="ListParagraph"/>
        <w:widowControl w:val="0"/>
        <w:numPr>
          <w:ilvl w:val="0"/>
          <w:numId w:val="217"/>
        </w:numPr>
        <w:tabs>
          <w:tab w:val="left" w:pos="501"/>
        </w:tabs>
        <w:autoSpaceDE w:val="0"/>
        <w:autoSpaceDN w:val="0"/>
        <w:spacing w:before="90" w:after="0" w:line="240" w:lineRule="auto"/>
        <w:ind w:right="1013"/>
        <w:contextualSpacing w:val="0"/>
      </w:pPr>
      <w:r w:rsidRPr="00D4309F">
        <w:rPr>
          <w:color w:val="211E1F"/>
        </w:rPr>
        <w:t>Pumps,</w:t>
      </w:r>
      <w:r w:rsidRPr="00D4309F">
        <w:rPr>
          <w:color w:val="211E1F"/>
          <w:spacing w:val="-3"/>
        </w:rPr>
        <w:t xml:space="preserve"> </w:t>
      </w:r>
      <w:r w:rsidRPr="00D4309F">
        <w:rPr>
          <w:color w:val="211E1F"/>
        </w:rPr>
        <w:t>eductors,</w:t>
      </w:r>
      <w:r w:rsidRPr="00D4309F">
        <w:rPr>
          <w:color w:val="211E1F"/>
          <w:spacing w:val="-5"/>
        </w:rPr>
        <w:t xml:space="preserve"> </w:t>
      </w:r>
      <w:r w:rsidRPr="00D4309F">
        <w:rPr>
          <w:color w:val="211E1F"/>
        </w:rPr>
        <w:t>valves,</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electrical</w:t>
      </w:r>
      <w:r w:rsidRPr="00D4309F">
        <w:rPr>
          <w:color w:val="211E1F"/>
          <w:spacing w:val="-3"/>
        </w:rPr>
        <w:t xml:space="preserve"> </w:t>
      </w:r>
      <w:r w:rsidRPr="00D4309F">
        <w:rPr>
          <w:color w:val="211E1F"/>
        </w:rPr>
        <w:t>systems</w:t>
      </w:r>
      <w:r w:rsidRPr="00D4309F">
        <w:rPr>
          <w:color w:val="211E1F"/>
          <w:spacing w:val="-2"/>
        </w:rPr>
        <w:t xml:space="preserve"> </w:t>
      </w:r>
      <w:r w:rsidRPr="00D4309F">
        <w:rPr>
          <w:color w:val="211E1F"/>
        </w:rPr>
        <w:t>require</w:t>
      </w:r>
      <w:r w:rsidRPr="00D4309F">
        <w:rPr>
          <w:color w:val="211E1F"/>
          <w:spacing w:val="-3"/>
        </w:rPr>
        <w:t xml:space="preserve"> </w:t>
      </w:r>
      <w:r w:rsidRPr="00D4309F">
        <w:rPr>
          <w:color w:val="211E1F"/>
        </w:rPr>
        <w:t>regular</w:t>
      </w:r>
      <w:r w:rsidRPr="00D4309F">
        <w:rPr>
          <w:color w:val="211E1F"/>
          <w:spacing w:val="-4"/>
        </w:rPr>
        <w:t xml:space="preserve"> </w:t>
      </w:r>
      <w:r w:rsidRPr="00D4309F">
        <w:rPr>
          <w:color w:val="211E1F"/>
        </w:rPr>
        <w:t>servicing,</w:t>
      </w:r>
      <w:r w:rsidRPr="00D4309F">
        <w:rPr>
          <w:color w:val="211E1F"/>
          <w:spacing w:val="-3"/>
        </w:rPr>
        <w:t xml:space="preserve"> </w:t>
      </w:r>
      <w:r w:rsidRPr="00D4309F">
        <w:rPr>
          <w:color w:val="211E1F"/>
        </w:rPr>
        <w:t>particularly</w:t>
      </w:r>
      <w:r w:rsidRPr="00D4309F">
        <w:rPr>
          <w:color w:val="211E1F"/>
          <w:spacing w:val="-2"/>
        </w:rPr>
        <w:t xml:space="preserve"> </w:t>
      </w:r>
      <w:r w:rsidRPr="00D4309F">
        <w:rPr>
          <w:color w:val="211E1F"/>
        </w:rPr>
        <w:t>given</w:t>
      </w:r>
      <w:r w:rsidRPr="00D4309F">
        <w:rPr>
          <w:color w:val="211E1F"/>
          <w:spacing w:val="-3"/>
        </w:rPr>
        <w:t xml:space="preserve"> </w:t>
      </w:r>
      <w:r w:rsidRPr="00D4309F">
        <w:rPr>
          <w:color w:val="211E1F"/>
        </w:rPr>
        <w:lastRenderedPageBreak/>
        <w:t>the energetic marine environment and abrasive nature of sediment-laden flows.</w:t>
      </w:r>
    </w:p>
    <w:p w14:paraId="452E7437" w14:textId="77777777" w:rsidR="00725977" w:rsidRPr="00D4309F" w:rsidRDefault="00725977" w:rsidP="00D27F26">
      <w:pPr>
        <w:pStyle w:val="ListParagraph"/>
        <w:widowControl w:val="0"/>
        <w:numPr>
          <w:ilvl w:val="0"/>
          <w:numId w:val="217"/>
        </w:numPr>
        <w:tabs>
          <w:tab w:val="left" w:pos="501"/>
        </w:tabs>
        <w:autoSpaceDE w:val="0"/>
        <w:autoSpaceDN w:val="0"/>
        <w:spacing w:before="118" w:after="0" w:line="240" w:lineRule="auto"/>
        <w:ind w:right="867"/>
        <w:contextualSpacing w:val="0"/>
      </w:pPr>
      <w:r w:rsidRPr="00D4309F">
        <w:rPr>
          <w:color w:val="211E1F"/>
        </w:rPr>
        <w:t>Diver</w:t>
      </w:r>
      <w:r w:rsidRPr="00D4309F">
        <w:rPr>
          <w:color w:val="211E1F"/>
          <w:spacing w:val="-2"/>
        </w:rPr>
        <w:t xml:space="preserve"> </w:t>
      </w:r>
      <w:r w:rsidRPr="00D4309F">
        <w:rPr>
          <w:color w:val="211E1F"/>
        </w:rPr>
        <w:t>inspections</w:t>
      </w:r>
      <w:r w:rsidRPr="00D4309F">
        <w:rPr>
          <w:color w:val="211E1F"/>
          <w:spacing w:val="-2"/>
        </w:rPr>
        <w:t xml:space="preserve"> </w:t>
      </w:r>
      <w:r w:rsidRPr="00D4309F">
        <w:rPr>
          <w:color w:val="211E1F"/>
        </w:rPr>
        <w:t>and</w:t>
      </w:r>
      <w:r w:rsidRPr="00D4309F">
        <w:rPr>
          <w:color w:val="211E1F"/>
          <w:spacing w:val="-3"/>
        </w:rPr>
        <w:t xml:space="preserve"> </w:t>
      </w:r>
      <w:r w:rsidRPr="00D4309F">
        <w:rPr>
          <w:color w:val="211E1F"/>
        </w:rPr>
        <w:t>maintenance</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buried</w:t>
      </w:r>
      <w:r w:rsidRPr="00D4309F">
        <w:rPr>
          <w:color w:val="211E1F"/>
          <w:spacing w:val="-3"/>
        </w:rPr>
        <w:t xml:space="preserve"> </w:t>
      </w:r>
      <w:r w:rsidRPr="00D4309F">
        <w:rPr>
          <w:color w:val="211E1F"/>
        </w:rPr>
        <w:t>intake</w:t>
      </w:r>
      <w:r w:rsidRPr="00D4309F">
        <w:rPr>
          <w:color w:val="211E1F"/>
          <w:spacing w:val="-3"/>
        </w:rPr>
        <w:t xml:space="preserve"> </w:t>
      </w:r>
      <w:r w:rsidRPr="00D4309F">
        <w:rPr>
          <w:color w:val="211E1F"/>
        </w:rPr>
        <w:t>system</w:t>
      </w:r>
      <w:r w:rsidRPr="00D4309F">
        <w:rPr>
          <w:color w:val="211E1F"/>
          <w:spacing w:val="-4"/>
        </w:rPr>
        <w:t xml:space="preserve"> </w:t>
      </w:r>
      <w:r w:rsidRPr="00D4309F">
        <w:rPr>
          <w:color w:val="211E1F"/>
        </w:rPr>
        <w:t>will</w:t>
      </w:r>
      <w:r w:rsidRPr="00D4309F">
        <w:rPr>
          <w:color w:val="211E1F"/>
          <w:spacing w:val="-3"/>
        </w:rPr>
        <w:t xml:space="preserve"> </w:t>
      </w:r>
      <w:r w:rsidRPr="00D4309F">
        <w:rPr>
          <w:color w:val="211E1F"/>
        </w:rPr>
        <w:t>be</w:t>
      </w:r>
      <w:r w:rsidRPr="00D4309F">
        <w:rPr>
          <w:color w:val="211E1F"/>
          <w:spacing w:val="-3"/>
        </w:rPr>
        <w:t xml:space="preserve"> </w:t>
      </w:r>
      <w:r w:rsidRPr="00D4309F">
        <w:rPr>
          <w:color w:val="211E1F"/>
        </w:rPr>
        <w:t>required</w:t>
      </w:r>
      <w:r w:rsidRPr="00D4309F">
        <w:rPr>
          <w:color w:val="211E1F"/>
          <w:spacing w:val="-3"/>
        </w:rPr>
        <w:t xml:space="preserve"> </w:t>
      </w:r>
      <w:r w:rsidRPr="00D4309F">
        <w:rPr>
          <w:color w:val="211E1F"/>
        </w:rPr>
        <w:t>to</w:t>
      </w:r>
      <w:r w:rsidRPr="00D4309F">
        <w:rPr>
          <w:color w:val="211E1F"/>
          <w:spacing w:val="-3"/>
        </w:rPr>
        <w:t xml:space="preserve"> </w:t>
      </w:r>
      <w:r w:rsidRPr="00D4309F">
        <w:rPr>
          <w:color w:val="211E1F"/>
        </w:rPr>
        <w:t>ensure</w:t>
      </w:r>
      <w:r w:rsidRPr="00D4309F">
        <w:rPr>
          <w:color w:val="211E1F"/>
          <w:spacing w:val="-4"/>
        </w:rPr>
        <w:t xml:space="preserve"> </w:t>
      </w:r>
      <w:r w:rsidRPr="00D4309F">
        <w:rPr>
          <w:color w:val="211E1F"/>
        </w:rPr>
        <w:t>reliable sediment entrainment.</w:t>
      </w:r>
    </w:p>
    <w:p w14:paraId="222D4E1B" w14:textId="77777777" w:rsidR="00725977" w:rsidRPr="00D4309F" w:rsidRDefault="00725977" w:rsidP="00D27F26">
      <w:pPr>
        <w:pStyle w:val="ListParagraph"/>
        <w:widowControl w:val="0"/>
        <w:numPr>
          <w:ilvl w:val="0"/>
          <w:numId w:val="217"/>
        </w:numPr>
        <w:tabs>
          <w:tab w:val="left" w:pos="501"/>
        </w:tabs>
        <w:autoSpaceDE w:val="0"/>
        <w:autoSpaceDN w:val="0"/>
        <w:spacing w:before="119" w:after="0" w:line="240" w:lineRule="auto"/>
        <w:ind w:right="269"/>
        <w:contextualSpacing w:val="0"/>
      </w:pPr>
      <w:r w:rsidRPr="00D4309F">
        <w:rPr>
          <w:color w:val="211E1F"/>
        </w:rPr>
        <w:t>Although</w:t>
      </w:r>
      <w:r w:rsidRPr="00D4309F">
        <w:rPr>
          <w:color w:val="211E1F"/>
          <w:spacing w:val="-3"/>
        </w:rPr>
        <w:t xml:space="preserve"> </w:t>
      </w:r>
      <w:r w:rsidRPr="00D4309F">
        <w:rPr>
          <w:color w:val="211E1F"/>
        </w:rPr>
        <w:t>mobilisation</w:t>
      </w:r>
      <w:r w:rsidRPr="00D4309F">
        <w:rPr>
          <w:color w:val="211E1F"/>
          <w:spacing w:val="-3"/>
        </w:rPr>
        <w:t xml:space="preserve"> </w:t>
      </w:r>
      <w:r w:rsidRPr="00D4309F">
        <w:rPr>
          <w:color w:val="211E1F"/>
        </w:rPr>
        <w:t>costs</w:t>
      </w:r>
      <w:r w:rsidRPr="00D4309F">
        <w:rPr>
          <w:color w:val="211E1F"/>
          <w:spacing w:val="-2"/>
        </w:rPr>
        <w:t xml:space="preserve"> </w:t>
      </w:r>
      <w:r w:rsidRPr="00D4309F">
        <w:rPr>
          <w:color w:val="211E1F"/>
        </w:rPr>
        <w:t>are</w:t>
      </w:r>
      <w:r w:rsidRPr="00D4309F">
        <w:rPr>
          <w:color w:val="211E1F"/>
          <w:spacing w:val="-3"/>
        </w:rPr>
        <w:t xml:space="preserve"> </w:t>
      </w:r>
      <w:r w:rsidRPr="00D4309F">
        <w:rPr>
          <w:color w:val="211E1F"/>
        </w:rPr>
        <w:t>avoided,</w:t>
      </w:r>
      <w:r w:rsidRPr="00D4309F">
        <w:rPr>
          <w:color w:val="211E1F"/>
          <w:spacing w:val="-3"/>
        </w:rPr>
        <w:t xml:space="preserve"> </w:t>
      </w:r>
      <w:r w:rsidRPr="00D4309F">
        <w:rPr>
          <w:color w:val="211E1F"/>
        </w:rPr>
        <w:t>overall</w:t>
      </w:r>
      <w:r w:rsidRPr="00D4309F">
        <w:rPr>
          <w:color w:val="211E1F"/>
          <w:spacing w:val="-3"/>
        </w:rPr>
        <w:t xml:space="preserve"> </w:t>
      </w:r>
      <w:r w:rsidRPr="00D4309F">
        <w:rPr>
          <w:color w:val="211E1F"/>
        </w:rPr>
        <w:t>annual</w:t>
      </w:r>
      <w:r w:rsidRPr="00D4309F">
        <w:rPr>
          <w:color w:val="211E1F"/>
          <w:spacing w:val="-3"/>
        </w:rPr>
        <w:t xml:space="preserve"> </w:t>
      </w:r>
      <w:r w:rsidRPr="00D4309F">
        <w:rPr>
          <w:color w:val="211E1F"/>
        </w:rPr>
        <w:t>OPEX</w:t>
      </w:r>
      <w:r w:rsidRPr="00D4309F">
        <w:rPr>
          <w:color w:val="211E1F"/>
          <w:spacing w:val="-3"/>
        </w:rPr>
        <w:t xml:space="preserve"> </w:t>
      </w:r>
      <w:r w:rsidRPr="00D4309F">
        <w:rPr>
          <w:color w:val="211E1F"/>
        </w:rPr>
        <w:t>may</w:t>
      </w:r>
      <w:r w:rsidRPr="00D4309F">
        <w:rPr>
          <w:color w:val="211E1F"/>
          <w:spacing w:val="-3"/>
        </w:rPr>
        <w:t xml:space="preserve"> </w:t>
      </w:r>
      <w:r w:rsidRPr="00D4309F">
        <w:rPr>
          <w:color w:val="211E1F"/>
        </w:rPr>
        <w:t>be</w:t>
      </w:r>
      <w:r w:rsidRPr="00D4309F">
        <w:rPr>
          <w:color w:val="211E1F"/>
          <w:spacing w:val="-3"/>
        </w:rPr>
        <w:t xml:space="preserve"> </w:t>
      </w:r>
      <w:r w:rsidRPr="00D4309F">
        <w:rPr>
          <w:color w:val="211E1F"/>
        </w:rPr>
        <w:t>comparable</w:t>
      </w:r>
      <w:r w:rsidRPr="00D4309F">
        <w:rPr>
          <w:color w:val="211E1F"/>
          <w:spacing w:val="-3"/>
        </w:rPr>
        <w:t xml:space="preserve"> </w:t>
      </w:r>
      <w:r w:rsidRPr="00D4309F">
        <w:rPr>
          <w:color w:val="211E1F"/>
        </w:rPr>
        <w:t>to</w:t>
      </w:r>
      <w:r w:rsidRPr="00D4309F">
        <w:rPr>
          <w:color w:val="211E1F"/>
          <w:spacing w:val="-3"/>
        </w:rPr>
        <w:t xml:space="preserve"> </w:t>
      </w:r>
      <w:r w:rsidRPr="00D4309F">
        <w:rPr>
          <w:color w:val="211E1F"/>
        </w:rPr>
        <w:t>or</w:t>
      </w:r>
      <w:r w:rsidRPr="00D4309F">
        <w:rPr>
          <w:color w:val="211E1F"/>
          <w:spacing w:val="-2"/>
        </w:rPr>
        <w:t xml:space="preserve"> </w:t>
      </w:r>
      <w:r w:rsidRPr="00D4309F">
        <w:rPr>
          <w:color w:val="211E1F"/>
        </w:rPr>
        <w:t>higher</w:t>
      </w:r>
      <w:r w:rsidRPr="00D4309F">
        <w:rPr>
          <w:color w:val="211E1F"/>
          <w:spacing w:val="-4"/>
        </w:rPr>
        <w:t xml:space="preserve"> </w:t>
      </w:r>
      <w:r w:rsidRPr="00D4309F">
        <w:rPr>
          <w:color w:val="211E1F"/>
        </w:rPr>
        <w:t>than</w:t>
      </w:r>
      <w:r w:rsidRPr="00D4309F">
        <w:rPr>
          <w:color w:val="211E1F"/>
          <w:spacing w:val="-3"/>
        </w:rPr>
        <w:t xml:space="preserve"> </w:t>
      </w:r>
      <w:r w:rsidRPr="00D4309F">
        <w:rPr>
          <w:color w:val="211E1F"/>
        </w:rPr>
        <w:t>the average annualised cost of 3A’s biennial dredging regime, particularly when accounting for power use, pump maintenance, and periodic component replacement.</w:t>
      </w:r>
    </w:p>
    <w:p w14:paraId="674D7C14" w14:textId="317F44A4" w:rsidR="00725977" w:rsidRPr="00D4309F" w:rsidRDefault="00725977" w:rsidP="00725977">
      <w:pPr>
        <w:pStyle w:val="BodyText"/>
      </w:pPr>
      <w:r w:rsidRPr="00D4309F">
        <w:t>The Sand Shifter offers potential long-term efficiency benefits if continuous sediment supply is confirmed; however, performance is highly dependent on trap geometry, sediment availability, and the ability of the intake</w:t>
      </w:r>
      <w:r w:rsidRPr="00D4309F">
        <w:rPr>
          <w:spacing w:val="-3"/>
        </w:rPr>
        <w:t xml:space="preserve"> </w:t>
      </w:r>
      <w:r w:rsidRPr="00D4309F">
        <w:t>to</w:t>
      </w:r>
      <w:r w:rsidRPr="00D4309F">
        <w:rPr>
          <w:spacing w:val="-3"/>
        </w:rPr>
        <w:t xml:space="preserve"> </w:t>
      </w:r>
      <w:r w:rsidRPr="00D4309F">
        <w:t>reliably</w:t>
      </w:r>
      <w:r w:rsidRPr="00D4309F">
        <w:rPr>
          <w:spacing w:val="-2"/>
        </w:rPr>
        <w:t xml:space="preserve"> </w:t>
      </w:r>
      <w:r w:rsidRPr="00D4309F">
        <w:t>capture</w:t>
      </w:r>
      <w:r w:rsidRPr="00D4309F">
        <w:rPr>
          <w:spacing w:val="-3"/>
        </w:rPr>
        <w:t xml:space="preserve"> </w:t>
      </w:r>
      <w:r w:rsidRPr="00D4309F">
        <w:t>sand</w:t>
      </w:r>
      <w:r w:rsidRPr="00D4309F">
        <w:rPr>
          <w:spacing w:val="-3"/>
        </w:rPr>
        <w:t xml:space="preserve"> </w:t>
      </w:r>
      <w:r w:rsidRPr="00D4309F">
        <w:t>within</w:t>
      </w:r>
      <w:r w:rsidRPr="00D4309F">
        <w:rPr>
          <w:spacing w:val="-3"/>
        </w:rPr>
        <w:t xml:space="preserve"> </w:t>
      </w:r>
      <w:r w:rsidRPr="00D4309F">
        <w:t>a</w:t>
      </w:r>
      <w:r w:rsidRPr="00D4309F">
        <w:rPr>
          <w:spacing w:val="-3"/>
        </w:rPr>
        <w:t xml:space="preserve"> </w:t>
      </w:r>
      <w:r w:rsidRPr="00D4309F">
        <w:t>partially</w:t>
      </w:r>
      <w:r w:rsidRPr="00D4309F">
        <w:rPr>
          <w:spacing w:val="-2"/>
        </w:rPr>
        <w:t xml:space="preserve"> </w:t>
      </w:r>
      <w:r w:rsidRPr="00D4309F">
        <w:t>rock-bound</w:t>
      </w:r>
      <w:r w:rsidRPr="00D4309F">
        <w:rPr>
          <w:spacing w:val="-3"/>
        </w:rPr>
        <w:t xml:space="preserve"> </w:t>
      </w:r>
      <w:r w:rsidRPr="00D4309F">
        <w:t>environment.</w:t>
      </w:r>
      <w:r w:rsidRPr="00D4309F">
        <w:rPr>
          <w:spacing w:val="-3"/>
        </w:rPr>
        <w:t xml:space="preserve"> </w:t>
      </w:r>
      <w:r w:rsidRPr="00D4309F">
        <w:t>Operational</w:t>
      </w:r>
      <w:r w:rsidRPr="00D4309F">
        <w:rPr>
          <w:spacing w:val="-3"/>
        </w:rPr>
        <w:t xml:space="preserve"> </w:t>
      </w:r>
      <w:r w:rsidRPr="00D4309F">
        <w:t>costs</w:t>
      </w:r>
      <w:r w:rsidRPr="00D4309F">
        <w:rPr>
          <w:spacing w:val="-2"/>
        </w:rPr>
        <w:t xml:space="preserve"> </w:t>
      </w:r>
      <w:r w:rsidRPr="00D4309F">
        <w:t>must</w:t>
      </w:r>
      <w:r w:rsidRPr="00D4309F">
        <w:rPr>
          <w:spacing w:val="-3"/>
        </w:rPr>
        <w:t xml:space="preserve"> </w:t>
      </w:r>
      <w:r w:rsidRPr="00D4309F">
        <w:t>therefore</w:t>
      </w:r>
      <w:r w:rsidRPr="00D4309F">
        <w:rPr>
          <w:spacing w:val="-4"/>
        </w:rPr>
        <w:t xml:space="preserve"> </w:t>
      </w:r>
      <w:r w:rsidRPr="00D4309F">
        <w:t>be balanced against uncertainties in system effectiveness and the risk of requiring supplementary dredging following large storm-driven deposition events.</w:t>
      </w:r>
    </w:p>
    <w:p w14:paraId="229DE82E" w14:textId="77777777" w:rsidR="00725977" w:rsidRPr="00D4309F" w:rsidRDefault="00725977" w:rsidP="008228CB">
      <w:pPr>
        <w:pStyle w:val="Heading2"/>
      </w:pPr>
      <w:bookmarkStart w:id="436" w:name="_bookmark159"/>
      <w:bookmarkStart w:id="437" w:name="_Toc216699467"/>
      <w:bookmarkEnd w:id="436"/>
      <w:r w:rsidRPr="00D4309F">
        <w:t>Option</w:t>
      </w:r>
      <w:r w:rsidRPr="00D4309F">
        <w:rPr>
          <w:spacing w:val="-5"/>
        </w:rPr>
        <w:t xml:space="preserve"> </w:t>
      </w:r>
      <w:r w:rsidRPr="00D4309F">
        <w:t>3C</w:t>
      </w:r>
      <w:r w:rsidRPr="00D4309F">
        <w:rPr>
          <w:spacing w:val="-5"/>
        </w:rPr>
        <w:t xml:space="preserve"> </w:t>
      </w:r>
      <w:r w:rsidRPr="00D4309F">
        <w:t>–</w:t>
      </w:r>
      <w:r w:rsidRPr="00D4309F">
        <w:rPr>
          <w:spacing w:val="-4"/>
        </w:rPr>
        <w:t xml:space="preserve"> </w:t>
      </w:r>
      <w:r w:rsidRPr="00D4309F">
        <w:t>Breakwater</w:t>
      </w:r>
      <w:r w:rsidRPr="00D4309F">
        <w:rPr>
          <w:spacing w:val="-5"/>
        </w:rPr>
        <w:t xml:space="preserve"> </w:t>
      </w:r>
      <w:r w:rsidRPr="00D4309F">
        <w:t>extension</w:t>
      </w:r>
      <w:r w:rsidRPr="00D4309F">
        <w:rPr>
          <w:spacing w:val="-5"/>
        </w:rPr>
        <w:t xml:space="preserve"> </w:t>
      </w:r>
      <w:r w:rsidRPr="00D4309F">
        <w:t>with</w:t>
      </w:r>
      <w:r w:rsidRPr="00D4309F">
        <w:rPr>
          <w:spacing w:val="-5"/>
        </w:rPr>
        <w:t xml:space="preserve"> </w:t>
      </w:r>
      <w:r w:rsidRPr="00D4309F">
        <w:t>crane-operated</w:t>
      </w:r>
      <w:r w:rsidRPr="00D4309F">
        <w:rPr>
          <w:spacing w:val="-5"/>
        </w:rPr>
        <w:t xml:space="preserve"> </w:t>
      </w:r>
      <w:r w:rsidRPr="00D4309F">
        <w:t>mobile</w:t>
      </w:r>
      <w:r w:rsidRPr="00D4309F">
        <w:rPr>
          <w:spacing w:val="-4"/>
        </w:rPr>
        <w:t xml:space="preserve"> </w:t>
      </w:r>
      <w:r w:rsidRPr="00D4309F">
        <w:t>jet pump system</w:t>
      </w:r>
      <w:bookmarkEnd w:id="437"/>
    </w:p>
    <w:p w14:paraId="1EE0E92E" w14:textId="77777777" w:rsidR="00725977" w:rsidRPr="00D4309F" w:rsidRDefault="00725977" w:rsidP="008228CB">
      <w:pPr>
        <w:pStyle w:val="Heading3"/>
      </w:pPr>
      <w:bookmarkStart w:id="438" w:name="_Toc216699468"/>
      <w:r w:rsidRPr="00D4309F">
        <w:t>Option</w:t>
      </w:r>
      <w:r w:rsidRPr="00D4309F">
        <w:rPr>
          <w:spacing w:val="-5"/>
        </w:rPr>
        <w:t xml:space="preserve"> </w:t>
      </w:r>
      <w:r w:rsidRPr="00D4309F">
        <w:t>description</w:t>
      </w:r>
      <w:bookmarkEnd w:id="438"/>
    </w:p>
    <w:p w14:paraId="355E5397" w14:textId="77777777" w:rsidR="00725977" w:rsidRPr="00D4309F" w:rsidRDefault="00725977" w:rsidP="00725977">
      <w:pPr>
        <w:pStyle w:val="BodyText"/>
      </w:pPr>
      <w:r w:rsidRPr="00D4309F">
        <w:t>Option 3C involves the same 60 m extension of the existing eastern breakwater in 3A and 3B; however, the sediment</w:t>
      </w:r>
      <w:r w:rsidRPr="00D4309F">
        <w:rPr>
          <w:spacing w:val="-3"/>
        </w:rPr>
        <w:t xml:space="preserve"> </w:t>
      </w:r>
      <w:r w:rsidRPr="00D4309F">
        <w:t>transport</w:t>
      </w:r>
      <w:r w:rsidRPr="00D4309F">
        <w:rPr>
          <w:spacing w:val="-3"/>
        </w:rPr>
        <w:t xml:space="preserve"> </w:t>
      </w:r>
      <w:r w:rsidRPr="00D4309F">
        <w:t>system</w:t>
      </w:r>
      <w:r w:rsidRPr="00D4309F">
        <w:rPr>
          <w:spacing w:val="-4"/>
        </w:rPr>
        <w:t xml:space="preserve"> </w:t>
      </w:r>
      <w:r w:rsidRPr="00D4309F">
        <w:t>involves</w:t>
      </w:r>
      <w:r w:rsidRPr="00D4309F">
        <w:rPr>
          <w:spacing w:val="-2"/>
        </w:rPr>
        <w:t xml:space="preserve"> </w:t>
      </w:r>
      <w:r w:rsidRPr="00D4309F">
        <w:t>the</w:t>
      </w:r>
      <w:r w:rsidRPr="00D4309F">
        <w:rPr>
          <w:spacing w:val="-3"/>
        </w:rPr>
        <w:t xml:space="preserve"> </w:t>
      </w:r>
      <w:r w:rsidRPr="00D4309F">
        <w:t>use</w:t>
      </w:r>
      <w:r w:rsidRPr="00D4309F">
        <w:rPr>
          <w:spacing w:val="-3"/>
        </w:rPr>
        <w:t xml:space="preserve"> </w:t>
      </w:r>
      <w:r w:rsidRPr="00D4309F">
        <w:t>of</w:t>
      </w:r>
      <w:r w:rsidRPr="00D4309F">
        <w:rPr>
          <w:spacing w:val="-3"/>
        </w:rPr>
        <w:t xml:space="preserve"> </w:t>
      </w:r>
      <w:r w:rsidRPr="00D4309F">
        <w:t>a</w:t>
      </w:r>
      <w:r w:rsidRPr="00D4309F">
        <w:rPr>
          <w:spacing w:val="-3"/>
        </w:rPr>
        <w:t xml:space="preserve"> </w:t>
      </w:r>
      <w:r w:rsidRPr="00D4309F">
        <w:t>mobile</w:t>
      </w:r>
      <w:r w:rsidRPr="00D4309F">
        <w:rPr>
          <w:spacing w:val="-3"/>
        </w:rPr>
        <w:t xml:space="preserve"> </w:t>
      </w:r>
      <w:r w:rsidRPr="00D4309F">
        <w:t>jet</w:t>
      </w:r>
      <w:r w:rsidRPr="00D4309F">
        <w:rPr>
          <w:spacing w:val="-3"/>
        </w:rPr>
        <w:t xml:space="preserve"> </w:t>
      </w:r>
      <w:r w:rsidRPr="00D4309F">
        <w:t>pump</w:t>
      </w:r>
      <w:r w:rsidRPr="00D4309F">
        <w:rPr>
          <w:spacing w:val="-3"/>
        </w:rPr>
        <w:t xml:space="preserve"> </w:t>
      </w:r>
      <w:r w:rsidRPr="00D4309F">
        <w:t>system</w:t>
      </w:r>
      <w:r w:rsidRPr="00D4309F">
        <w:rPr>
          <w:spacing w:val="-3"/>
        </w:rPr>
        <w:t xml:space="preserve"> </w:t>
      </w:r>
      <w:r w:rsidRPr="00D4309F">
        <w:t>deployed</w:t>
      </w:r>
      <w:r w:rsidRPr="00D4309F">
        <w:rPr>
          <w:spacing w:val="-3"/>
        </w:rPr>
        <w:t xml:space="preserve"> </w:t>
      </w:r>
      <w:r w:rsidRPr="00D4309F">
        <w:t>via</w:t>
      </w:r>
      <w:r w:rsidRPr="00D4309F">
        <w:rPr>
          <w:spacing w:val="-3"/>
        </w:rPr>
        <w:t xml:space="preserve"> </w:t>
      </w:r>
      <w:r w:rsidRPr="00D4309F">
        <w:t>crane</w:t>
      </w:r>
      <w:r w:rsidRPr="00D4309F">
        <w:rPr>
          <w:spacing w:val="-3"/>
        </w:rPr>
        <w:t xml:space="preserve"> </w:t>
      </w:r>
      <w:r w:rsidRPr="00D4309F">
        <w:t>to</w:t>
      </w:r>
      <w:r w:rsidRPr="00D4309F">
        <w:rPr>
          <w:spacing w:val="-3"/>
        </w:rPr>
        <w:t xml:space="preserve"> </w:t>
      </w:r>
      <w:r w:rsidRPr="00D4309F">
        <w:t>mechanically bypass sand from the entrance shoal to the downdrift beach system. In this approach, a crawler crane (typically 50t or 90t) is positioned on the crest of the eastern breakwater or a nearby platform and lowers a submersible jet pump into the designated sand trap area (Area A).</w:t>
      </w:r>
    </w:p>
    <w:p w14:paraId="7EB9A570" w14:textId="77777777" w:rsidR="00725977" w:rsidRPr="00D4309F" w:rsidRDefault="00725977" w:rsidP="00725977">
      <w:pPr>
        <w:pStyle w:val="BodyText"/>
      </w:pPr>
      <w:r w:rsidRPr="00D4309F">
        <w:t>Once</w:t>
      </w:r>
      <w:r w:rsidRPr="00D4309F">
        <w:rPr>
          <w:spacing w:val="-3"/>
        </w:rPr>
        <w:t xml:space="preserve"> </w:t>
      </w:r>
      <w:r w:rsidRPr="00D4309F">
        <w:t>deployed,</w:t>
      </w:r>
      <w:r w:rsidRPr="00D4309F">
        <w:rPr>
          <w:spacing w:val="-3"/>
        </w:rPr>
        <w:t xml:space="preserve"> </w:t>
      </w:r>
      <w:r w:rsidRPr="00D4309F">
        <w:t>the</w:t>
      </w:r>
      <w:r w:rsidRPr="00D4309F">
        <w:rPr>
          <w:spacing w:val="-3"/>
        </w:rPr>
        <w:t xml:space="preserve"> </w:t>
      </w:r>
      <w:r w:rsidRPr="00D4309F">
        <w:t>eductor</w:t>
      </w:r>
      <w:r w:rsidRPr="00D4309F">
        <w:rPr>
          <w:spacing w:val="-2"/>
        </w:rPr>
        <w:t xml:space="preserve"> </w:t>
      </w:r>
      <w:r w:rsidRPr="00D4309F">
        <w:t>uses</w:t>
      </w:r>
      <w:r w:rsidRPr="00D4309F">
        <w:rPr>
          <w:spacing w:val="-2"/>
        </w:rPr>
        <w:t xml:space="preserve"> </w:t>
      </w:r>
      <w:r w:rsidRPr="00D4309F">
        <w:t>high-pressure</w:t>
      </w:r>
      <w:r w:rsidRPr="00D4309F">
        <w:rPr>
          <w:spacing w:val="-3"/>
        </w:rPr>
        <w:t xml:space="preserve"> </w:t>
      </w:r>
      <w:r w:rsidRPr="00D4309F">
        <w:t>water</w:t>
      </w:r>
      <w:r w:rsidRPr="00D4309F">
        <w:rPr>
          <w:spacing w:val="-2"/>
        </w:rPr>
        <w:t xml:space="preserve"> </w:t>
      </w:r>
      <w:r w:rsidRPr="00D4309F">
        <w:t>jets</w:t>
      </w:r>
      <w:r w:rsidRPr="00D4309F">
        <w:rPr>
          <w:spacing w:val="-2"/>
        </w:rPr>
        <w:t xml:space="preserve"> </w:t>
      </w:r>
      <w:r w:rsidRPr="00D4309F">
        <w:t>to</w:t>
      </w:r>
      <w:r w:rsidRPr="00D4309F">
        <w:rPr>
          <w:spacing w:val="-3"/>
        </w:rPr>
        <w:t xml:space="preserve"> </w:t>
      </w:r>
      <w:r w:rsidRPr="00D4309F">
        <w:t>fluidise</w:t>
      </w:r>
      <w:r w:rsidRPr="00D4309F">
        <w:rPr>
          <w:spacing w:val="-3"/>
        </w:rPr>
        <w:t xml:space="preserve"> </w:t>
      </w:r>
      <w:r w:rsidRPr="00D4309F">
        <w:t>sand,</w:t>
      </w:r>
      <w:r w:rsidRPr="00D4309F">
        <w:rPr>
          <w:spacing w:val="-3"/>
        </w:rPr>
        <w:t xml:space="preserve"> </w:t>
      </w:r>
      <w:r w:rsidRPr="00D4309F">
        <w:t>which</w:t>
      </w:r>
      <w:r w:rsidRPr="00D4309F">
        <w:rPr>
          <w:spacing w:val="-3"/>
        </w:rPr>
        <w:t xml:space="preserve"> </w:t>
      </w:r>
      <w:r w:rsidRPr="00D4309F">
        <w:t>is</w:t>
      </w:r>
      <w:r w:rsidRPr="00D4309F">
        <w:rPr>
          <w:spacing w:val="-2"/>
        </w:rPr>
        <w:t xml:space="preserve"> </w:t>
      </w:r>
      <w:r w:rsidRPr="00D4309F">
        <w:t>then</w:t>
      </w:r>
      <w:r w:rsidRPr="00D4309F">
        <w:rPr>
          <w:spacing w:val="-3"/>
        </w:rPr>
        <w:t xml:space="preserve"> </w:t>
      </w:r>
      <w:r w:rsidRPr="00D4309F">
        <w:t>pumped</w:t>
      </w:r>
      <w:r w:rsidRPr="00D4309F">
        <w:rPr>
          <w:spacing w:val="-3"/>
        </w:rPr>
        <w:t xml:space="preserve"> </w:t>
      </w:r>
      <w:r w:rsidRPr="00D4309F">
        <w:t>as</w:t>
      </w:r>
      <w:r w:rsidRPr="00D4309F">
        <w:rPr>
          <w:spacing w:val="-2"/>
        </w:rPr>
        <w:t xml:space="preserve"> </w:t>
      </w:r>
      <w:r w:rsidRPr="00D4309F">
        <w:t>a</w:t>
      </w:r>
      <w:r w:rsidRPr="00D4309F">
        <w:rPr>
          <w:spacing w:val="-3"/>
        </w:rPr>
        <w:t xml:space="preserve"> </w:t>
      </w:r>
      <w:r w:rsidRPr="00D4309F">
        <w:t>slurry via pipeline to the downdrift Mooloolaba Beach. The system mimics the core function of traditional dredging (as in Option 3A) but replaces the dredge vessel with a land-based crane for increased flexibility and reduced mobilisation complexity.</w:t>
      </w:r>
    </w:p>
    <w:p w14:paraId="330CB4DF" w14:textId="77777777" w:rsidR="00725977" w:rsidRPr="00D4309F" w:rsidRDefault="00725977" w:rsidP="00725977">
      <w:pPr>
        <w:pStyle w:val="BodyText"/>
      </w:pPr>
      <w:r w:rsidRPr="00D4309F">
        <w:t>Unlike</w:t>
      </w:r>
      <w:r w:rsidRPr="00D4309F">
        <w:rPr>
          <w:spacing w:val="-3"/>
        </w:rPr>
        <w:t xml:space="preserve"> </w:t>
      </w:r>
      <w:r w:rsidRPr="00D4309F">
        <w:t>the</w:t>
      </w:r>
      <w:r w:rsidRPr="00D4309F">
        <w:rPr>
          <w:spacing w:val="-3"/>
        </w:rPr>
        <w:t xml:space="preserve"> </w:t>
      </w:r>
      <w:r w:rsidRPr="00D4309F">
        <w:t>continuous</w:t>
      </w:r>
      <w:r w:rsidRPr="00D4309F">
        <w:rPr>
          <w:spacing w:val="-2"/>
        </w:rPr>
        <w:t xml:space="preserve"> </w:t>
      </w:r>
      <w:r w:rsidRPr="00D4309F">
        <w:t>or</w:t>
      </w:r>
      <w:r w:rsidRPr="00D4309F">
        <w:rPr>
          <w:spacing w:val="-4"/>
        </w:rPr>
        <w:t xml:space="preserve"> </w:t>
      </w:r>
      <w:r w:rsidRPr="00D4309F">
        <w:t>semi-automated</w:t>
      </w:r>
      <w:r w:rsidRPr="00D4309F">
        <w:rPr>
          <w:spacing w:val="-3"/>
        </w:rPr>
        <w:t xml:space="preserve"> </w:t>
      </w:r>
      <w:r w:rsidRPr="00D4309F">
        <w:t>operation</w:t>
      </w:r>
      <w:r w:rsidRPr="00D4309F">
        <w:rPr>
          <w:spacing w:val="-3"/>
        </w:rPr>
        <w:t xml:space="preserve"> </w:t>
      </w:r>
      <w:r w:rsidRPr="00D4309F">
        <w:t>of</w:t>
      </w:r>
      <w:r w:rsidRPr="00D4309F">
        <w:rPr>
          <w:spacing w:val="-5"/>
        </w:rPr>
        <w:t xml:space="preserve"> </w:t>
      </w:r>
      <w:r w:rsidRPr="00D4309F">
        <w:t>a</w:t>
      </w:r>
      <w:r w:rsidRPr="00D4309F">
        <w:rPr>
          <w:spacing w:val="-3"/>
        </w:rPr>
        <w:t xml:space="preserve"> </w:t>
      </w:r>
      <w:r w:rsidRPr="00D4309F">
        <w:t>fixed</w:t>
      </w:r>
      <w:r w:rsidRPr="00D4309F">
        <w:rPr>
          <w:spacing w:val="-3"/>
        </w:rPr>
        <w:t xml:space="preserve"> </w:t>
      </w:r>
      <w:r w:rsidRPr="00D4309F">
        <w:t>Sand</w:t>
      </w:r>
      <w:r w:rsidRPr="00D4309F">
        <w:rPr>
          <w:spacing w:val="-4"/>
        </w:rPr>
        <w:t xml:space="preserve"> </w:t>
      </w:r>
      <w:r w:rsidRPr="00D4309F">
        <w:t>Shifter</w:t>
      </w:r>
      <w:r w:rsidRPr="00D4309F">
        <w:rPr>
          <w:spacing w:val="-2"/>
        </w:rPr>
        <w:t xml:space="preserve"> </w:t>
      </w:r>
      <w:r w:rsidRPr="00D4309F">
        <w:t>system</w:t>
      </w:r>
      <w:r w:rsidRPr="00D4309F">
        <w:rPr>
          <w:spacing w:val="-3"/>
        </w:rPr>
        <w:t xml:space="preserve"> </w:t>
      </w:r>
      <w:r w:rsidRPr="00D4309F">
        <w:t>(Option</w:t>
      </w:r>
      <w:r w:rsidRPr="00D4309F">
        <w:rPr>
          <w:spacing w:val="-3"/>
        </w:rPr>
        <w:t xml:space="preserve"> </w:t>
      </w:r>
      <w:r w:rsidRPr="00D4309F">
        <w:t>3B),</w:t>
      </w:r>
      <w:r w:rsidRPr="00D4309F">
        <w:rPr>
          <w:spacing w:val="-3"/>
        </w:rPr>
        <w:t xml:space="preserve"> </w:t>
      </w:r>
      <w:r w:rsidRPr="00D4309F">
        <w:t>this</w:t>
      </w:r>
      <w:r w:rsidRPr="00D4309F">
        <w:rPr>
          <w:spacing w:val="-2"/>
        </w:rPr>
        <w:t xml:space="preserve"> </w:t>
      </w:r>
      <w:r w:rsidRPr="00D4309F">
        <w:t>option</w:t>
      </w:r>
      <w:r w:rsidRPr="00D4309F">
        <w:rPr>
          <w:spacing w:val="-3"/>
        </w:rPr>
        <w:t xml:space="preserve"> </w:t>
      </w:r>
      <w:r w:rsidRPr="00D4309F">
        <w:t>is operated intermittently. The crane and pump are mobilised on demand (anticipated every two years), when monitoring shows that the entrance trap has reached a trigger sand volume requiring bypassing.</w:t>
      </w:r>
    </w:p>
    <w:p w14:paraId="09839A2B" w14:textId="77777777" w:rsidR="00725977" w:rsidRPr="00D4309F" w:rsidRDefault="00725977" w:rsidP="00725977">
      <w:pPr>
        <w:pStyle w:val="BodyText"/>
      </w:pPr>
      <w:r w:rsidRPr="00D4309F">
        <w:t>The</w:t>
      </w:r>
      <w:r w:rsidRPr="00D4309F">
        <w:rPr>
          <w:spacing w:val="-3"/>
        </w:rPr>
        <w:t xml:space="preserve"> </w:t>
      </w:r>
      <w:r w:rsidRPr="00D4309F">
        <w:t>system</w:t>
      </w:r>
      <w:r w:rsidRPr="00D4309F">
        <w:rPr>
          <w:spacing w:val="-3"/>
        </w:rPr>
        <w:t xml:space="preserve"> </w:t>
      </w:r>
      <w:r w:rsidRPr="00D4309F">
        <w:t>has</w:t>
      </w:r>
      <w:r w:rsidRPr="00D4309F">
        <w:rPr>
          <w:spacing w:val="-2"/>
        </w:rPr>
        <w:t xml:space="preserve"> </w:t>
      </w:r>
      <w:r w:rsidRPr="00D4309F">
        <w:t>international</w:t>
      </w:r>
      <w:r w:rsidRPr="00D4309F">
        <w:rPr>
          <w:spacing w:val="-3"/>
        </w:rPr>
        <w:t xml:space="preserve"> </w:t>
      </w:r>
      <w:r w:rsidRPr="00D4309F">
        <w:t>precedent:</w:t>
      </w:r>
      <w:r w:rsidRPr="00D4309F">
        <w:rPr>
          <w:spacing w:val="-3"/>
        </w:rPr>
        <w:t xml:space="preserve"> </w:t>
      </w:r>
      <w:r w:rsidRPr="00D4309F">
        <w:t>a</w:t>
      </w:r>
      <w:r w:rsidRPr="00D4309F">
        <w:rPr>
          <w:spacing w:val="-3"/>
        </w:rPr>
        <w:t xml:space="preserve"> </w:t>
      </w:r>
      <w:r w:rsidRPr="00D4309F">
        <w:t>similar</w:t>
      </w:r>
      <w:r w:rsidRPr="00D4309F">
        <w:rPr>
          <w:spacing w:val="-2"/>
        </w:rPr>
        <w:t xml:space="preserve"> </w:t>
      </w:r>
      <w:r w:rsidRPr="00D4309F">
        <w:t>crane-operated</w:t>
      </w:r>
      <w:r w:rsidRPr="00D4309F">
        <w:rPr>
          <w:spacing w:val="-3"/>
        </w:rPr>
        <w:t xml:space="preserve"> </w:t>
      </w:r>
      <w:r w:rsidRPr="00D4309F">
        <w:t>eductor</w:t>
      </w:r>
      <w:r w:rsidRPr="00D4309F">
        <w:rPr>
          <w:spacing w:val="-2"/>
        </w:rPr>
        <w:t xml:space="preserve"> </w:t>
      </w:r>
      <w:r w:rsidRPr="00D4309F">
        <w:t>has</w:t>
      </w:r>
      <w:r w:rsidRPr="00D4309F">
        <w:rPr>
          <w:spacing w:val="-2"/>
        </w:rPr>
        <w:t xml:space="preserve"> </w:t>
      </w:r>
      <w:r w:rsidRPr="00D4309F">
        <w:t>been</w:t>
      </w:r>
      <w:r w:rsidRPr="00D4309F">
        <w:rPr>
          <w:spacing w:val="-3"/>
        </w:rPr>
        <w:t xml:space="preserve"> </w:t>
      </w:r>
      <w:r w:rsidRPr="00D4309F">
        <w:t>in</w:t>
      </w:r>
      <w:r w:rsidRPr="00D4309F">
        <w:rPr>
          <w:spacing w:val="-3"/>
        </w:rPr>
        <w:t xml:space="preserve"> </w:t>
      </w:r>
      <w:r w:rsidRPr="00D4309F">
        <w:t>use</w:t>
      </w:r>
      <w:r w:rsidRPr="00D4309F">
        <w:rPr>
          <w:spacing w:val="-3"/>
        </w:rPr>
        <w:t xml:space="preserve"> </w:t>
      </w:r>
      <w:r w:rsidRPr="00D4309F">
        <w:t>at</w:t>
      </w:r>
      <w:r w:rsidRPr="00D4309F">
        <w:rPr>
          <w:spacing w:val="-3"/>
        </w:rPr>
        <w:t xml:space="preserve"> </w:t>
      </w:r>
      <w:r w:rsidRPr="00D4309F">
        <w:t>Indian</w:t>
      </w:r>
      <w:r w:rsidRPr="00D4309F">
        <w:rPr>
          <w:spacing w:val="-4"/>
        </w:rPr>
        <w:t xml:space="preserve"> </w:t>
      </w:r>
      <w:r w:rsidRPr="00D4309F">
        <w:t>River Inlet (Delaware, USA) since 1990 and has demonstrated effective shoal management with minimal infrastructure. A comparable trial at Lakes Entrance, Victoria further supports the concept’s feasibility in Australian coastal settings.</w:t>
      </w:r>
    </w:p>
    <w:p w14:paraId="5099FF78" w14:textId="53E7A1C5" w:rsidR="00725977" w:rsidRPr="00D4309F" w:rsidRDefault="00725977" w:rsidP="00725977">
      <w:pPr>
        <w:pStyle w:val="BodyText"/>
      </w:pPr>
      <w:r w:rsidRPr="00D4309F">
        <w:t>Option</w:t>
      </w:r>
      <w:r w:rsidRPr="00D4309F">
        <w:rPr>
          <w:spacing w:val="-2"/>
        </w:rPr>
        <w:t xml:space="preserve"> </w:t>
      </w:r>
      <w:r w:rsidRPr="00D4309F">
        <w:t>3C</w:t>
      </w:r>
      <w:r w:rsidRPr="00D4309F">
        <w:rPr>
          <w:spacing w:val="-1"/>
        </w:rPr>
        <w:t xml:space="preserve"> </w:t>
      </w:r>
      <w:r w:rsidRPr="00D4309F">
        <w:t>provides</w:t>
      </w:r>
      <w:r w:rsidRPr="00D4309F">
        <w:rPr>
          <w:spacing w:val="-1"/>
        </w:rPr>
        <w:t xml:space="preserve"> </w:t>
      </w:r>
      <w:r w:rsidRPr="00D4309F">
        <w:t>a</w:t>
      </w:r>
      <w:r w:rsidRPr="00D4309F">
        <w:rPr>
          <w:spacing w:val="-2"/>
        </w:rPr>
        <w:t xml:space="preserve"> </w:t>
      </w:r>
      <w:r w:rsidRPr="00D4309F">
        <w:t>targeted,</w:t>
      </w:r>
      <w:r w:rsidRPr="00D4309F">
        <w:rPr>
          <w:spacing w:val="-2"/>
        </w:rPr>
        <w:t xml:space="preserve"> </w:t>
      </w:r>
      <w:r w:rsidRPr="00D4309F">
        <w:t>flexible</w:t>
      </w:r>
      <w:r w:rsidRPr="00D4309F">
        <w:rPr>
          <w:spacing w:val="-3"/>
        </w:rPr>
        <w:t xml:space="preserve"> </w:t>
      </w:r>
      <w:r w:rsidRPr="00D4309F">
        <w:t>bypass</w:t>
      </w:r>
      <w:r w:rsidRPr="00D4309F">
        <w:rPr>
          <w:spacing w:val="-1"/>
        </w:rPr>
        <w:t xml:space="preserve"> </w:t>
      </w:r>
      <w:r w:rsidRPr="00D4309F">
        <w:t>solution</w:t>
      </w:r>
      <w:r w:rsidRPr="00D4309F">
        <w:rPr>
          <w:spacing w:val="-2"/>
        </w:rPr>
        <w:t xml:space="preserve"> </w:t>
      </w:r>
      <w:r w:rsidRPr="00D4309F">
        <w:t>that</w:t>
      </w:r>
      <w:r w:rsidRPr="00D4309F">
        <w:rPr>
          <w:spacing w:val="-2"/>
        </w:rPr>
        <w:t xml:space="preserve"> </w:t>
      </w:r>
      <w:r w:rsidRPr="00D4309F">
        <w:t>avoids</w:t>
      </w:r>
      <w:r w:rsidRPr="00D4309F">
        <w:rPr>
          <w:spacing w:val="-1"/>
        </w:rPr>
        <w:t xml:space="preserve"> </w:t>
      </w:r>
      <w:r w:rsidRPr="00D4309F">
        <w:t>the</w:t>
      </w:r>
      <w:r w:rsidRPr="00D4309F">
        <w:rPr>
          <w:spacing w:val="-2"/>
        </w:rPr>
        <w:t xml:space="preserve"> </w:t>
      </w:r>
      <w:r w:rsidRPr="00D4309F">
        <w:t>need</w:t>
      </w:r>
      <w:r w:rsidRPr="00D4309F">
        <w:rPr>
          <w:spacing w:val="-2"/>
        </w:rPr>
        <w:t xml:space="preserve"> </w:t>
      </w:r>
      <w:r w:rsidRPr="00D4309F">
        <w:t>for</w:t>
      </w:r>
      <w:r w:rsidRPr="00D4309F">
        <w:rPr>
          <w:spacing w:val="-3"/>
        </w:rPr>
        <w:t xml:space="preserve"> </w:t>
      </w:r>
      <w:r w:rsidRPr="00D4309F">
        <w:t>a</w:t>
      </w:r>
      <w:r w:rsidRPr="00D4309F">
        <w:rPr>
          <w:spacing w:val="-2"/>
        </w:rPr>
        <w:t xml:space="preserve"> </w:t>
      </w:r>
      <w:r w:rsidRPr="00D4309F">
        <w:t>full</w:t>
      </w:r>
      <w:r w:rsidRPr="00D4309F">
        <w:rPr>
          <w:spacing w:val="-2"/>
        </w:rPr>
        <w:t xml:space="preserve"> </w:t>
      </w:r>
      <w:r w:rsidRPr="00D4309F">
        <w:t>dredge</w:t>
      </w:r>
      <w:r w:rsidRPr="00D4309F">
        <w:rPr>
          <w:spacing w:val="-3"/>
        </w:rPr>
        <w:t xml:space="preserve"> </w:t>
      </w:r>
      <w:r w:rsidRPr="00D4309F">
        <w:t>mobilisation while</w:t>
      </w:r>
      <w:r w:rsidRPr="00D4309F">
        <w:rPr>
          <w:spacing w:val="-7"/>
        </w:rPr>
        <w:t xml:space="preserve"> </w:t>
      </w:r>
      <w:r w:rsidRPr="00D4309F">
        <w:t>allowing</w:t>
      </w:r>
      <w:r w:rsidRPr="00D4309F">
        <w:rPr>
          <w:spacing w:val="-4"/>
        </w:rPr>
        <w:t xml:space="preserve"> </w:t>
      </w:r>
      <w:r w:rsidRPr="00D4309F">
        <w:t>sediment</w:t>
      </w:r>
      <w:r w:rsidRPr="00D4309F">
        <w:rPr>
          <w:spacing w:val="-4"/>
        </w:rPr>
        <w:t xml:space="preserve"> </w:t>
      </w:r>
      <w:r w:rsidRPr="00D4309F">
        <w:t>to</w:t>
      </w:r>
      <w:r w:rsidRPr="00D4309F">
        <w:rPr>
          <w:spacing w:val="-4"/>
        </w:rPr>
        <w:t xml:space="preserve"> </w:t>
      </w:r>
      <w:r w:rsidRPr="00D4309F">
        <w:t>be</w:t>
      </w:r>
      <w:r w:rsidRPr="00D4309F">
        <w:rPr>
          <w:spacing w:val="-4"/>
        </w:rPr>
        <w:t xml:space="preserve"> </w:t>
      </w:r>
      <w:r w:rsidRPr="00D4309F">
        <w:t>relocated</w:t>
      </w:r>
      <w:r w:rsidRPr="00D4309F">
        <w:rPr>
          <w:spacing w:val="-5"/>
        </w:rPr>
        <w:t xml:space="preserve"> </w:t>
      </w:r>
      <w:r w:rsidRPr="00D4309F">
        <w:t>efficiently</w:t>
      </w:r>
      <w:r w:rsidRPr="00D4309F">
        <w:rPr>
          <w:spacing w:val="-4"/>
        </w:rPr>
        <w:t xml:space="preserve"> </w:t>
      </w:r>
      <w:r w:rsidRPr="00D4309F">
        <w:t>to</w:t>
      </w:r>
      <w:r w:rsidRPr="00D4309F">
        <w:rPr>
          <w:spacing w:val="-5"/>
        </w:rPr>
        <w:t xml:space="preserve"> </w:t>
      </w:r>
      <w:r w:rsidRPr="00D4309F">
        <w:t>maintain</w:t>
      </w:r>
      <w:r w:rsidRPr="00D4309F">
        <w:rPr>
          <w:spacing w:val="-4"/>
        </w:rPr>
        <w:t xml:space="preserve"> </w:t>
      </w:r>
      <w:r w:rsidRPr="00D4309F">
        <w:t>entrance</w:t>
      </w:r>
      <w:r w:rsidRPr="00D4309F">
        <w:rPr>
          <w:spacing w:val="-4"/>
        </w:rPr>
        <w:t xml:space="preserve"> </w:t>
      </w:r>
      <w:r w:rsidRPr="00D4309F">
        <w:t>depth</w:t>
      </w:r>
      <w:r w:rsidRPr="00D4309F">
        <w:rPr>
          <w:spacing w:val="-4"/>
        </w:rPr>
        <w:t xml:space="preserve"> </w:t>
      </w:r>
      <w:r w:rsidRPr="00D4309F">
        <w:t>and</w:t>
      </w:r>
      <w:r w:rsidRPr="00D4309F">
        <w:rPr>
          <w:spacing w:val="-4"/>
        </w:rPr>
        <w:t xml:space="preserve"> </w:t>
      </w:r>
      <w:r w:rsidRPr="00D4309F">
        <w:t>downdrift</w:t>
      </w:r>
      <w:r w:rsidRPr="00D4309F">
        <w:rPr>
          <w:spacing w:val="-4"/>
        </w:rPr>
        <w:t xml:space="preserve"> </w:t>
      </w:r>
      <w:r w:rsidRPr="00D4309F">
        <w:rPr>
          <w:spacing w:val="-2"/>
        </w:rPr>
        <w:t>nourishment.</w:t>
      </w:r>
    </w:p>
    <w:p w14:paraId="3EEA701E" w14:textId="77777777" w:rsidR="00725977" w:rsidRPr="00D4309F" w:rsidRDefault="00725977" w:rsidP="008228CB">
      <w:pPr>
        <w:pStyle w:val="Heading3"/>
      </w:pPr>
      <w:bookmarkStart w:id="439" w:name="_Toc216699469"/>
      <w:r w:rsidRPr="00D4309F">
        <w:t>Design</w:t>
      </w:r>
      <w:r w:rsidRPr="00D4309F">
        <w:rPr>
          <w:spacing w:val="-3"/>
        </w:rPr>
        <w:t xml:space="preserve"> </w:t>
      </w:r>
      <w:r w:rsidRPr="00D4309F">
        <w:t>and</w:t>
      </w:r>
      <w:r w:rsidRPr="00D4309F">
        <w:rPr>
          <w:spacing w:val="-3"/>
        </w:rPr>
        <w:t xml:space="preserve"> </w:t>
      </w:r>
      <w:r w:rsidRPr="00D4309F">
        <w:rPr>
          <w:spacing w:val="-2"/>
        </w:rPr>
        <w:t>approvals</w:t>
      </w:r>
      <w:bookmarkEnd w:id="439"/>
    </w:p>
    <w:p w14:paraId="42DBFA5A" w14:textId="2FE604A2" w:rsidR="00725977" w:rsidRPr="00D4309F" w:rsidRDefault="00725977" w:rsidP="00725977">
      <w:pPr>
        <w:pStyle w:val="BodyText"/>
      </w:pPr>
      <w:r w:rsidRPr="00D4309F">
        <w:t>The structural</w:t>
      </w:r>
      <w:r w:rsidRPr="00D4309F">
        <w:rPr>
          <w:spacing w:val="-1"/>
        </w:rPr>
        <w:t xml:space="preserve"> </w:t>
      </w:r>
      <w:r w:rsidRPr="00D4309F">
        <w:t>component of Option 3C; the 60 m breakwater extension, is the</w:t>
      </w:r>
      <w:r w:rsidRPr="00D4309F">
        <w:rPr>
          <w:spacing w:val="-1"/>
        </w:rPr>
        <w:t xml:space="preserve"> </w:t>
      </w:r>
      <w:r w:rsidRPr="00D4309F">
        <w:t>same as described in Options 3A</w:t>
      </w:r>
      <w:r w:rsidRPr="00D4309F">
        <w:rPr>
          <w:spacing w:val="-3"/>
        </w:rPr>
        <w:t xml:space="preserve"> </w:t>
      </w:r>
      <w:r w:rsidRPr="00D4309F">
        <w:t>and</w:t>
      </w:r>
      <w:r w:rsidRPr="00D4309F">
        <w:rPr>
          <w:spacing w:val="-3"/>
        </w:rPr>
        <w:t xml:space="preserve"> </w:t>
      </w:r>
      <w:r w:rsidRPr="00D4309F">
        <w:t>3B</w:t>
      </w:r>
      <w:r w:rsidRPr="00D4309F">
        <w:rPr>
          <w:spacing w:val="-3"/>
        </w:rPr>
        <w:t xml:space="preserve"> </w:t>
      </w:r>
      <w:r w:rsidRPr="00D4309F">
        <w:t>(refer</w:t>
      </w:r>
      <w:r w:rsidRPr="00D4309F">
        <w:rPr>
          <w:spacing w:val="-2"/>
        </w:rPr>
        <w:t xml:space="preserve"> </w:t>
      </w:r>
      <w:r w:rsidRPr="00D4309F">
        <w:t>Section</w:t>
      </w:r>
      <w:r w:rsidRPr="00D4309F">
        <w:rPr>
          <w:spacing w:val="-3"/>
        </w:rPr>
        <w:t xml:space="preserve"> </w:t>
      </w:r>
      <w:hyperlink w:anchor="_bookmark153" w:history="1">
        <w:r w:rsidR="007A2D1B">
          <w:fldChar w:fldCharType="begin"/>
        </w:r>
        <w:r w:rsidR="007A2D1B">
          <w:instrText xml:space="preserve"> REF _Ref216022445 \r \h </w:instrText>
        </w:r>
        <w:r w:rsidR="007A2D1B">
          <w:fldChar w:fldCharType="separate"/>
        </w:r>
        <w:r w:rsidR="007A2D1B">
          <w:t>15.4</w:t>
        </w:r>
        <w:r w:rsidR="007A2D1B">
          <w:fldChar w:fldCharType="end"/>
        </w:r>
      </w:hyperlink>
      <w:r w:rsidRPr="00D4309F">
        <w:t>),</w:t>
      </w:r>
      <w:r w:rsidRPr="00D4309F">
        <w:rPr>
          <w:spacing w:val="-3"/>
        </w:rPr>
        <w:t xml:space="preserve"> </w:t>
      </w:r>
      <w:r w:rsidRPr="00D4309F">
        <w:t>with</w:t>
      </w:r>
      <w:r w:rsidRPr="00D4309F">
        <w:rPr>
          <w:spacing w:val="-3"/>
        </w:rPr>
        <w:t xml:space="preserve"> </w:t>
      </w:r>
      <w:r w:rsidRPr="00D4309F">
        <w:t>design</w:t>
      </w:r>
      <w:r w:rsidRPr="00D4309F">
        <w:rPr>
          <w:spacing w:val="-3"/>
        </w:rPr>
        <w:t xml:space="preserve"> </w:t>
      </w:r>
      <w:r w:rsidRPr="00D4309F">
        <w:t>already</w:t>
      </w:r>
      <w:r w:rsidRPr="00D4309F">
        <w:rPr>
          <w:spacing w:val="-3"/>
        </w:rPr>
        <w:t xml:space="preserve"> </w:t>
      </w:r>
      <w:r w:rsidRPr="00D4309F">
        <w:t>completed</w:t>
      </w:r>
      <w:r w:rsidRPr="00D4309F">
        <w:rPr>
          <w:spacing w:val="-3"/>
        </w:rPr>
        <w:t xml:space="preserve"> </w:t>
      </w:r>
      <w:r w:rsidRPr="00D4309F">
        <w:t>for</w:t>
      </w:r>
      <w:r w:rsidRPr="00D4309F">
        <w:rPr>
          <w:spacing w:val="-4"/>
        </w:rPr>
        <w:t xml:space="preserve"> </w:t>
      </w:r>
      <w:r w:rsidRPr="00D4309F">
        <w:t>a</w:t>
      </w:r>
      <w:r w:rsidRPr="00D4309F">
        <w:rPr>
          <w:spacing w:val="-3"/>
        </w:rPr>
        <w:t xml:space="preserve"> </w:t>
      </w:r>
      <w:r w:rsidRPr="00D4309F">
        <w:t>conventional</w:t>
      </w:r>
      <w:r w:rsidRPr="00D4309F">
        <w:rPr>
          <w:spacing w:val="-3"/>
        </w:rPr>
        <w:t xml:space="preserve"> </w:t>
      </w:r>
      <w:r w:rsidRPr="00D4309F">
        <w:t>rock</w:t>
      </w:r>
      <w:r w:rsidRPr="00D4309F">
        <w:rPr>
          <w:spacing w:val="-3"/>
        </w:rPr>
        <w:t xml:space="preserve"> </w:t>
      </w:r>
      <w:r w:rsidRPr="00D4309F">
        <w:t>structure</w:t>
      </w:r>
      <w:r w:rsidRPr="00D4309F">
        <w:rPr>
          <w:spacing w:val="-3"/>
        </w:rPr>
        <w:t xml:space="preserve"> </w:t>
      </w:r>
      <w:r w:rsidRPr="00D4309F">
        <w:t>incorporating a reinforced concrete crest pathway for maintenance and crane access.</w:t>
      </w:r>
    </w:p>
    <w:p w14:paraId="0C20252B" w14:textId="77777777" w:rsidR="00725977" w:rsidRPr="00D4309F" w:rsidRDefault="00725977" w:rsidP="00725977">
      <w:pPr>
        <w:pStyle w:val="BodyText"/>
      </w:pPr>
      <w:r w:rsidRPr="00D4309F">
        <w:t>The jet pump system is considered an operational attachment rather than a fixed facility. While detailed design</w:t>
      </w:r>
      <w:r w:rsidRPr="00D4309F">
        <w:rPr>
          <w:spacing w:val="-2"/>
        </w:rPr>
        <w:t xml:space="preserve"> </w:t>
      </w:r>
      <w:r w:rsidRPr="00D4309F">
        <w:t>of</w:t>
      </w:r>
      <w:r w:rsidRPr="00D4309F">
        <w:rPr>
          <w:spacing w:val="-2"/>
        </w:rPr>
        <w:t xml:space="preserve"> </w:t>
      </w:r>
      <w:r w:rsidRPr="00D4309F">
        <w:t>the</w:t>
      </w:r>
      <w:r w:rsidRPr="00D4309F">
        <w:rPr>
          <w:spacing w:val="-2"/>
        </w:rPr>
        <w:t xml:space="preserve"> </w:t>
      </w:r>
      <w:r w:rsidRPr="00D4309F">
        <w:t>jet</w:t>
      </w:r>
      <w:r w:rsidRPr="00D4309F">
        <w:rPr>
          <w:spacing w:val="-2"/>
        </w:rPr>
        <w:t xml:space="preserve"> </w:t>
      </w:r>
      <w:r w:rsidRPr="00D4309F">
        <w:t>pump</w:t>
      </w:r>
      <w:r w:rsidRPr="00D4309F">
        <w:rPr>
          <w:spacing w:val="-2"/>
        </w:rPr>
        <w:t xml:space="preserve"> </w:t>
      </w:r>
      <w:r w:rsidRPr="00D4309F">
        <w:t>unit</w:t>
      </w:r>
      <w:r w:rsidRPr="00D4309F">
        <w:rPr>
          <w:spacing w:val="-2"/>
        </w:rPr>
        <w:t xml:space="preserve"> </w:t>
      </w:r>
      <w:r w:rsidRPr="00D4309F">
        <w:t>and</w:t>
      </w:r>
      <w:r w:rsidRPr="00D4309F">
        <w:rPr>
          <w:spacing w:val="-2"/>
        </w:rPr>
        <w:t xml:space="preserve"> </w:t>
      </w:r>
      <w:r w:rsidRPr="00D4309F">
        <w:t>crane</w:t>
      </w:r>
      <w:r w:rsidRPr="00D4309F">
        <w:rPr>
          <w:spacing w:val="-2"/>
        </w:rPr>
        <w:t xml:space="preserve"> </w:t>
      </w:r>
      <w:r w:rsidRPr="00D4309F">
        <w:t>interface</w:t>
      </w:r>
      <w:r w:rsidRPr="00D4309F">
        <w:rPr>
          <w:spacing w:val="-2"/>
        </w:rPr>
        <w:t xml:space="preserve"> </w:t>
      </w:r>
      <w:r w:rsidRPr="00D4309F">
        <w:t>would</w:t>
      </w:r>
      <w:r w:rsidRPr="00D4309F">
        <w:rPr>
          <w:spacing w:val="-3"/>
        </w:rPr>
        <w:t xml:space="preserve"> </w:t>
      </w:r>
      <w:r w:rsidRPr="00D4309F">
        <w:t>be</w:t>
      </w:r>
      <w:r w:rsidRPr="00D4309F">
        <w:rPr>
          <w:spacing w:val="-2"/>
        </w:rPr>
        <w:t xml:space="preserve"> </w:t>
      </w:r>
      <w:r w:rsidRPr="00D4309F">
        <w:t>required,</w:t>
      </w:r>
      <w:r w:rsidRPr="00D4309F">
        <w:rPr>
          <w:spacing w:val="-2"/>
        </w:rPr>
        <w:t xml:space="preserve"> </w:t>
      </w:r>
      <w:r w:rsidRPr="00D4309F">
        <w:t>the</w:t>
      </w:r>
      <w:r w:rsidRPr="00D4309F">
        <w:rPr>
          <w:spacing w:val="-2"/>
        </w:rPr>
        <w:t xml:space="preserve"> </w:t>
      </w:r>
      <w:r w:rsidRPr="00D4309F">
        <w:t>system</w:t>
      </w:r>
      <w:r w:rsidRPr="00D4309F">
        <w:rPr>
          <w:spacing w:val="-2"/>
        </w:rPr>
        <w:t xml:space="preserve"> </w:t>
      </w:r>
      <w:r w:rsidRPr="00D4309F">
        <w:t>largely</w:t>
      </w:r>
      <w:r w:rsidRPr="00D4309F">
        <w:rPr>
          <w:spacing w:val="-2"/>
        </w:rPr>
        <w:t xml:space="preserve"> </w:t>
      </w:r>
      <w:r w:rsidRPr="00D4309F">
        <w:t>consists</w:t>
      </w:r>
      <w:r w:rsidRPr="00D4309F">
        <w:rPr>
          <w:spacing w:val="-2"/>
        </w:rPr>
        <w:t xml:space="preserve"> </w:t>
      </w:r>
      <w:r w:rsidRPr="00D4309F">
        <w:t>of</w:t>
      </w:r>
      <w:r w:rsidRPr="00D4309F">
        <w:rPr>
          <w:spacing w:val="-2"/>
        </w:rPr>
        <w:t xml:space="preserve"> </w:t>
      </w:r>
      <w:r w:rsidRPr="00D4309F">
        <w:t>off-the-shelf or proven components. Equipment selection (e.g. pump size, crane rating) would be based on local bathymetry, sediment characteristics, and target bypassing volumes.</w:t>
      </w:r>
    </w:p>
    <w:p w14:paraId="483E8743" w14:textId="77777777" w:rsidR="00725977" w:rsidRPr="00D4309F" w:rsidRDefault="00725977" w:rsidP="00725977">
      <w:pPr>
        <w:pStyle w:val="BodyText"/>
      </w:pPr>
      <w:r w:rsidRPr="00D4309F">
        <w:t>This sub-option avoids many of the fixed infrastructure challenges of Option 3B (e.g. seabed trenching or pump station installation), simplifying approvals. However, the crane pad or platform may need structural design</w:t>
      </w:r>
      <w:r w:rsidRPr="00D4309F">
        <w:rPr>
          <w:spacing w:val="-3"/>
        </w:rPr>
        <w:t xml:space="preserve"> </w:t>
      </w:r>
      <w:r w:rsidRPr="00D4309F">
        <w:t>and</w:t>
      </w:r>
      <w:r w:rsidRPr="00D4309F">
        <w:rPr>
          <w:spacing w:val="-3"/>
        </w:rPr>
        <w:t xml:space="preserve"> </w:t>
      </w:r>
      <w:r w:rsidRPr="00D4309F">
        <w:t>certification</w:t>
      </w:r>
      <w:r w:rsidRPr="00D4309F">
        <w:rPr>
          <w:spacing w:val="-3"/>
        </w:rPr>
        <w:t xml:space="preserve"> </w:t>
      </w:r>
      <w:r w:rsidRPr="00D4309F">
        <w:t>depending</w:t>
      </w:r>
      <w:r w:rsidRPr="00D4309F">
        <w:rPr>
          <w:spacing w:val="-3"/>
        </w:rPr>
        <w:t xml:space="preserve"> </w:t>
      </w:r>
      <w:r w:rsidRPr="00D4309F">
        <w:t>on</w:t>
      </w:r>
      <w:r w:rsidRPr="00D4309F">
        <w:rPr>
          <w:spacing w:val="-3"/>
        </w:rPr>
        <w:t xml:space="preserve"> </w:t>
      </w:r>
      <w:r w:rsidRPr="00D4309F">
        <w:t>location</w:t>
      </w:r>
      <w:r w:rsidRPr="00D4309F">
        <w:rPr>
          <w:spacing w:val="-3"/>
        </w:rPr>
        <w:t xml:space="preserve"> </w:t>
      </w:r>
      <w:r w:rsidRPr="00D4309F">
        <w:t>and</w:t>
      </w:r>
      <w:r w:rsidRPr="00D4309F">
        <w:rPr>
          <w:spacing w:val="-3"/>
        </w:rPr>
        <w:t xml:space="preserve"> </w:t>
      </w:r>
      <w:r w:rsidRPr="00D4309F">
        <w:t>loading.</w:t>
      </w:r>
      <w:r w:rsidRPr="00D4309F">
        <w:rPr>
          <w:spacing w:val="-3"/>
        </w:rPr>
        <w:t xml:space="preserve"> </w:t>
      </w:r>
      <w:r w:rsidRPr="00D4309F">
        <w:t>Temporary</w:t>
      </w:r>
      <w:r w:rsidRPr="00D4309F">
        <w:rPr>
          <w:spacing w:val="-2"/>
        </w:rPr>
        <w:t xml:space="preserve"> </w:t>
      </w:r>
      <w:r w:rsidRPr="00D4309F">
        <w:t>pipelines</w:t>
      </w:r>
      <w:r w:rsidRPr="00D4309F">
        <w:rPr>
          <w:spacing w:val="-3"/>
        </w:rPr>
        <w:t xml:space="preserve"> </w:t>
      </w:r>
      <w:r w:rsidRPr="00D4309F">
        <w:t>for</w:t>
      </w:r>
      <w:r w:rsidRPr="00D4309F">
        <w:rPr>
          <w:spacing w:val="-2"/>
        </w:rPr>
        <w:t xml:space="preserve"> </w:t>
      </w:r>
      <w:r w:rsidRPr="00D4309F">
        <w:t>sand</w:t>
      </w:r>
      <w:r w:rsidRPr="00D4309F">
        <w:rPr>
          <w:spacing w:val="-3"/>
        </w:rPr>
        <w:t xml:space="preserve"> </w:t>
      </w:r>
      <w:r w:rsidRPr="00D4309F">
        <w:t>placement</w:t>
      </w:r>
      <w:r w:rsidRPr="00D4309F">
        <w:rPr>
          <w:spacing w:val="-3"/>
        </w:rPr>
        <w:t xml:space="preserve"> </w:t>
      </w:r>
      <w:r w:rsidRPr="00D4309F">
        <w:t>would be laid during each campaign and removed after completion.</w:t>
      </w:r>
    </w:p>
    <w:p w14:paraId="510A5532" w14:textId="20E791FD" w:rsidR="00725977" w:rsidRPr="00D4309F" w:rsidRDefault="00725977" w:rsidP="00725977">
      <w:pPr>
        <w:pStyle w:val="BodyText"/>
      </w:pPr>
      <w:r w:rsidRPr="00D4309F">
        <w:t>As</w:t>
      </w:r>
      <w:r w:rsidRPr="00D4309F">
        <w:rPr>
          <w:spacing w:val="-6"/>
        </w:rPr>
        <w:t xml:space="preserve"> </w:t>
      </w:r>
      <w:r w:rsidRPr="00D4309F">
        <w:t>with</w:t>
      </w:r>
      <w:r w:rsidRPr="00D4309F">
        <w:rPr>
          <w:spacing w:val="-4"/>
        </w:rPr>
        <w:t xml:space="preserve"> </w:t>
      </w:r>
      <w:r w:rsidRPr="00D4309F">
        <w:t>other</w:t>
      </w:r>
      <w:r w:rsidRPr="00D4309F">
        <w:rPr>
          <w:spacing w:val="-3"/>
        </w:rPr>
        <w:t xml:space="preserve"> </w:t>
      </w:r>
      <w:r w:rsidRPr="00D4309F">
        <w:t>options,</w:t>
      </w:r>
      <w:r w:rsidRPr="00D4309F">
        <w:rPr>
          <w:spacing w:val="-4"/>
        </w:rPr>
        <w:t xml:space="preserve"> </w:t>
      </w:r>
      <w:r w:rsidRPr="00D4309F">
        <w:t>the</w:t>
      </w:r>
      <w:r w:rsidRPr="00D4309F">
        <w:rPr>
          <w:spacing w:val="-4"/>
        </w:rPr>
        <w:t xml:space="preserve"> </w:t>
      </w:r>
      <w:r w:rsidRPr="00D4309F">
        <w:t>works</w:t>
      </w:r>
      <w:r w:rsidRPr="00D4309F">
        <w:rPr>
          <w:spacing w:val="-3"/>
        </w:rPr>
        <w:t xml:space="preserve"> </w:t>
      </w:r>
      <w:r w:rsidRPr="00D4309F">
        <w:t>would</w:t>
      </w:r>
      <w:r w:rsidRPr="00D4309F">
        <w:rPr>
          <w:spacing w:val="-5"/>
        </w:rPr>
        <w:t xml:space="preserve"> </w:t>
      </w:r>
      <w:r w:rsidRPr="00D4309F">
        <w:t>constitute</w:t>
      </w:r>
      <w:r w:rsidRPr="00D4309F">
        <w:rPr>
          <w:spacing w:val="-4"/>
        </w:rPr>
        <w:t xml:space="preserve"> </w:t>
      </w:r>
      <w:r w:rsidRPr="00D4309F">
        <w:t>Prescribed</w:t>
      </w:r>
      <w:r w:rsidRPr="00D4309F">
        <w:rPr>
          <w:spacing w:val="-4"/>
        </w:rPr>
        <w:t xml:space="preserve"> </w:t>
      </w:r>
      <w:r w:rsidRPr="00D4309F">
        <w:t>Tidal</w:t>
      </w:r>
      <w:r w:rsidRPr="00D4309F">
        <w:rPr>
          <w:spacing w:val="-5"/>
        </w:rPr>
        <w:t xml:space="preserve"> </w:t>
      </w:r>
      <w:r w:rsidRPr="00D4309F">
        <w:t>Works</w:t>
      </w:r>
      <w:r w:rsidRPr="00D4309F">
        <w:rPr>
          <w:spacing w:val="-3"/>
        </w:rPr>
        <w:t xml:space="preserve"> </w:t>
      </w:r>
      <w:r w:rsidRPr="00D4309F">
        <w:t>and</w:t>
      </w:r>
      <w:r w:rsidRPr="00D4309F">
        <w:rPr>
          <w:spacing w:val="-4"/>
        </w:rPr>
        <w:t xml:space="preserve"> </w:t>
      </w:r>
      <w:r w:rsidRPr="00D4309F">
        <w:t>trigger</w:t>
      </w:r>
      <w:r w:rsidRPr="00D4309F">
        <w:rPr>
          <w:spacing w:val="-3"/>
        </w:rPr>
        <w:t xml:space="preserve"> </w:t>
      </w:r>
      <w:r w:rsidRPr="00D4309F">
        <w:t>approvals</w:t>
      </w:r>
      <w:r w:rsidRPr="00D4309F">
        <w:rPr>
          <w:spacing w:val="-3"/>
        </w:rPr>
        <w:t xml:space="preserve"> </w:t>
      </w:r>
      <w:r w:rsidRPr="00D4309F">
        <w:t>under</w:t>
      </w:r>
      <w:r w:rsidRPr="00D4309F">
        <w:rPr>
          <w:spacing w:val="-3"/>
        </w:rPr>
        <w:t xml:space="preserve"> </w:t>
      </w:r>
      <w:r w:rsidRPr="00D4309F">
        <w:rPr>
          <w:spacing w:val="-5"/>
        </w:rPr>
        <w:t>the</w:t>
      </w:r>
      <w:r w:rsidR="00F65E4C">
        <w:rPr>
          <w:spacing w:val="-5"/>
        </w:rPr>
        <w:t xml:space="preserve"> </w:t>
      </w:r>
      <w:r w:rsidRPr="00D4309F">
        <w:rPr>
          <w:i/>
          <w:color w:val="211E1F"/>
        </w:rPr>
        <w:t>Planning</w:t>
      </w:r>
      <w:r w:rsidRPr="00D4309F">
        <w:rPr>
          <w:i/>
          <w:color w:val="211E1F"/>
          <w:spacing w:val="-6"/>
        </w:rPr>
        <w:t xml:space="preserve"> </w:t>
      </w:r>
      <w:r w:rsidRPr="00D4309F">
        <w:rPr>
          <w:i/>
          <w:color w:val="211E1F"/>
        </w:rPr>
        <w:t>Act</w:t>
      </w:r>
      <w:r w:rsidRPr="00D4309F">
        <w:rPr>
          <w:i/>
          <w:color w:val="211E1F"/>
          <w:spacing w:val="-3"/>
        </w:rPr>
        <w:t xml:space="preserve"> </w:t>
      </w:r>
      <w:r w:rsidRPr="00D4309F">
        <w:rPr>
          <w:i/>
          <w:color w:val="211E1F"/>
        </w:rPr>
        <w:t>2016</w:t>
      </w:r>
      <w:r w:rsidRPr="00D4309F">
        <w:rPr>
          <w:i/>
          <w:color w:val="211E1F"/>
          <w:spacing w:val="-4"/>
        </w:rPr>
        <w:t xml:space="preserve"> </w:t>
      </w:r>
      <w:r w:rsidRPr="00D4309F">
        <w:rPr>
          <w:color w:val="211E1F"/>
        </w:rPr>
        <w:t>and</w:t>
      </w:r>
      <w:r w:rsidRPr="00D4309F">
        <w:rPr>
          <w:color w:val="211E1F"/>
          <w:spacing w:val="-3"/>
        </w:rPr>
        <w:t xml:space="preserve"> </w:t>
      </w:r>
      <w:r w:rsidRPr="00D4309F">
        <w:rPr>
          <w:i/>
          <w:color w:val="211E1F"/>
        </w:rPr>
        <w:t>Coastal</w:t>
      </w:r>
      <w:r w:rsidRPr="00D4309F">
        <w:rPr>
          <w:i/>
          <w:color w:val="211E1F"/>
          <w:spacing w:val="-3"/>
        </w:rPr>
        <w:t xml:space="preserve"> </w:t>
      </w:r>
      <w:r w:rsidRPr="00D4309F">
        <w:rPr>
          <w:i/>
          <w:color w:val="211E1F"/>
        </w:rPr>
        <w:t>Protection</w:t>
      </w:r>
      <w:r w:rsidRPr="00D4309F">
        <w:rPr>
          <w:i/>
          <w:color w:val="211E1F"/>
          <w:spacing w:val="-4"/>
        </w:rPr>
        <w:t xml:space="preserve"> </w:t>
      </w:r>
      <w:r w:rsidRPr="00D4309F">
        <w:rPr>
          <w:i/>
          <w:color w:val="211E1F"/>
        </w:rPr>
        <w:t>and</w:t>
      </w:r>
      <w:r w:rsidRPr="00D4309F">
        <w:rPr>
          <w:i/>
          <w:color w:val="211E1F"/>
          <w:spacing w:val="-3"/>
        </w:rPr>
        <w:t xml:space="preserve"> </w:t>
      </w:r>
      <w:r w:rsidRPr="00D4309F">
        <w:rPr>
          <w:i/>
          <w:color w:val="211E1F"/>
        </w:rPr>
        <w:t>Management</w:t>
      </w:r>
      <w:r w:rsidRPr="00D4309F">
        <w:rPr>
          <w:i/>
          <w:color w:val="211E1F"/>
          <w:spacing w:val="-3"/>
        </w:rPr>
        <w:t xml:space="preserve"> </w:t>
      </w:r>
      <w:r w:rsidRPr="00D4309F">
        <w:rPr>
          <w:i/>
          <w:color w:val="211E1F"/>
        </w:rPr>
        <w:t>Act</w:t>
      </w:r>
      <w:r w:rsidRPr="00D4309F">
        <w:rPr>
          <w:i/>
          <w:color w:val="211E1F"/>
          <w:spacing w:val="-4"/>
        </w:rPr>
        <w:t xml:space="preserve"> </w:t>
      </w:r>
      <w:r w:rsidRPr="00D4309F">
        <w:rPr>
          <w:i/>
          <w:color w:val="211E1F"/>
        </w:rPr>
        <w:t>1995</w:t>
      </w:r>
      <w:r w:rsidRPr="00D4309F">
        <w:rPr>
          <w:color w:val="211E1F"/>
        </w:rPr>
        <w:t>.</w:t>
      </w:r>
      <w:r w:rsidRPr="00D4309F">
        <w:rPr>
          <w:color w:val="211E1F"/>
          <w:spacing w:val="-3"/>
        </w:rPr>
        <w:t xml:space="preserve"> </w:t>
      </w:r>
      <w:r w:rsidRPr="00D4309F">
        <w:rPr>
          <w:color w:val="211E1F"/>
        </w:rPr>
        <w:t>Owner’s</w:t>
      </w:r>
      <w:r w:rsidRPr="00D4309F">
        <w:rPr>
          <w:color w:val="211E1F"/>
          <w:spacing w:val="-4"/>
        </w:rPr>
        <w:t xml:space="preserve"> </w:t>
      </w:r>
      <w:r w:rsidRPr="00D4309F">
        <w:rPr>
          <w:color w:val="211E1F"/>
        </w:rPr>
        <w:t>consent</w:t>
      </w:r>
      <w:r w:rsidRPr="00D4309F">
        <w:rPr>
          <w:color w:val="211E1F"/>
          <w:spacing w:val="-3"/>
        </w:rPr>
        <w:t xml:space="preserve"> </w:t>
      </w:r>
      <w:r w:rsidRPr="00D4309F">
        <w:rPr>
          <w:color w:val="211E1F"/>
        </w:rPr>
        <w:t>for</w:t>
      </w:r>
      <w:r w:rsidRPr="00D4309F">
        <w:rPr>
          <w:color w:val="211E1F"/>
          <w:spacing w:val="-2"/>
        </w:rPr>
        <w:t xml:space="preserve"> </w:t>
      </w:r>
      <w:r w:rsidRPr="00D4309F">
        <w:rPr>
          <w:color w:val="211E1F"/>
        </w:rPr>
        <w:t>use</w:t>
      </w:r>
      <w:r w:rsidRPr="00D4309F">
        <w:rPr>
          <w:color w:val="211E1F"/>
          <w:spacing w:val="-4"/>
        </w:rPr>
        <w:t xml:space="preserve"> </w:t>
      </w:r>
      <w:r w:rsidRPr="00D4309F">
        <w:rPr>
          <w:color w:val="211E1F"/>
        </w:rPr>
        <w:t>of</w:t>
      </w:r>
      <w:r w:rsidRPr="00D4309F">
        <w:rPr>
          <w:color w:val="211E1F"/>
          <w:spacing w:val="-3"/>
        </w:rPr>
        <w:t xml:space="preserve"> </w:t>
      </w:r>
      <w:r w:rsidRPr="00D4309F">
        <w:rPr>
          <w:color w:val="211E1F"/>
        </w:rPr>
        <w:t>State</w:t>
      </w:r>
      <w:r w:rsidRPr="00D4309F">
        <w:rPr>
          <w:color w:val="211E1F"/>
          <w:spacing w:val="-3"/>
        </w:rPr>
        <w:t xml:space="preserve"> </w:t>
      </w:r>
      <w:r w:rsidRPr="00D4309F">
        <w:rPr>
          <w:color w:val="211E1F"/>
          <w:spacing w:val="-4"/>
        </w:rPr>
        <w:t>land</w:t>
      </w:r>
      <w:r w:rsidR="00F65E4C">
        <w:rPr>
          <w:color w:val="211E1F"/>
          <w:spacing w:val="-4"/>
        </w:rPr>
        <w:t xml:space="preserve"> </w:t>
      </w:r>
      <w:r w:rsidRPr="00D4309F">
        <w:t>and</w:t>
      </w:r>
      <w:r w:rsidRPr="00D4309F">
        <w:rPr>
          <w:spacing w:val="-3"/>
        </w:rPr>
        <w:t xml:space="preserve"> </w:t>
      </w:r>
      <w:r w:rsidRPr="00D4309F">
        <w:t>seabed</w:t>
      </w:r>
      <w:r w:rsidRPr="00D4309F">
        <w:rPr>
          <w:spacing w:val="-4"/>
        </w:rPr>
        <w:t xml:space="preserve"> </w:t>
      </w:r>
      <w:r w:rsidRPr="00D4309F">
        <w:t>would</w:t>
      </w:r>
      <w:r w:rsidRPr="00D4309F">
        <w:rPr>
          <w:spacing w:val="-3"/>
        </w:rPr>
        <w:t xml:space="preserve"> </w:t>
      </w:r>
      <w:r w:rsidRPr="00D4309F">
        <w:t>be</w:t>
      </w:r>
      <w:r w:rsidRPr="00D4309F">
        <w:rPr>
          <w:spacing w:val="-3"/>
        </w:rPr>
        <w:t xml:space="preserve"> </w:t>
      </w:r>
      <w:r w:rsidRPr="00D4309F">
        <w:t>required.</w:t>
      </w:r>
      <w:r w:rsidRPr="00D4309F">
        <w:rPr>
          <w:spacing w:val="-3"/>
        </w:rPr>
        <w:t xml:space="preserve"> </w:t>
      </w:r>
      <w:r w:rsidRPr="00D4309F">
        <w:t>A</w:t>
      </w:r>
      <w:r w:rsidRPr="00D4309F">
        <w:rPr>
          <w:spacing w:val="-3"/>
        </w:rPr>
        <w:t xml:space="preserve"> </w:t>
      </w:r>
      <w:r w:rsidRPr="00D4309F">
        <w:t>Dredge</w:t>
      </w:r>
      <w:r w:rsidRPr="00D4309F">
        <w:rPr>
          <w:spacing w:val="-3"/>
        </w:rPr>
        <w:t xml:space="preserve"> </w:t>
      </w:r>
      <w:r w:rsidRPr="00D4309F">
        <w:t>Management</w:t>
      </w:r>
      <w:r w:rsidRPr="00D4309F">
        <w:rPr>
          <w:spacing w:val="-3"/>
        </w:rPr>
        <w:t xml:space="preserve"> </w:t>
      </w:r>
      <w:r w:rsidRPr="00D4309F">
        <w:t>Plan</w:t>
      </w:r>
      <w:r w:rsidRPr="00D4309F">
        <w:rPr>
          <w:spacing w:val="-3"/>
        </w:rPr>
        <w:t xml:space="preserve"> </w:t>
      </w:r>
      <w:r w:rsidRPr="00D4309F">
        <w:t>would</w:t>
      </w:r>
      <w:r w:rsidRPr="00D4309F">
        <w:rPr>
          <w:spacing w:val="-3"/>
        </w:rPr>
        <w:t xml:space="preserve"> </w:t>
      </w:r>
      <w:r w:rsidRPr="00D4309F">
        <w:t>likely</w:t>
      </w:r>
      <w:r w:rsidRPr="00D4309F">
        <w:rPr>
          <w:spacing w:val="-2"/>
        </w:rPr>
        <w:t xml:space="preserve"> </w:t>
      </w:r>
      <w:r w:rsidRPr="00D4309F">
        <w:t>be</w:t>
      </w:r>
      <w:r w:rsidRPr="00D4309F">
        <w:rPr>
          <w:spacing w:val="-3"/>
        </w:rPr>
        <w:t xml:space="preserve"> </w:t>
      </w:r>
      <w:r w:rsidRPr="00D4309F">
        <w:t>needed</w:t>
      </w:r>
      <w:r w:rsidRPr="00D4309F">
        <w:rPr>
          <w:spacing w:val="-3"/>
        </w:rPr>
        <w:t xml:space="preserve"> </w:t>
      </w:r>
      <w:r w:rsidRPr="00D4309F">
        <w:t>to</w:t>
      </w:r>
      <w:r w:rsidRPr="00D4309F">
        <w:rPr>
          <w:spacing w:val="-3"/>
        </w:rPr>
        <w:t xml:space="preserve"> </w:t>
      </w:r>
      <w:r w:rsidRPr="00D4309F">
        <w:t>address</w:t>
      </w:r>
      <w:r w:rsidRPr="00D4309F">
        <w:rPr>
          <w:spacing w:val="-2"/>
        </w:rPr>
        <w:t xml:space="preserve"> </w:t>
      </w:r>
      <w:r w:rsidRPr="00D4309F">
        <w:t>water</w:t>
      </w:r>
      <w:r w:rsidRPr="00D4309F">
        <w:rPr>
          <w:spacing w:val="-2"/>
        </w:rPr>
        <w:t xml:space="preserve"> </w:t>
      </w:r>
      <w:r w:rsidRPr="00D4309F">
        <w:t>quality, environmental safeguards, and operational protocols.</w:t>
      </w:r>
    </w:p>
    <w:p w14:paraId="256415C2" w14:textId="11DBCAC1" w:rsidR="00725977" w:rsidRPr="00D4309F" w:rsidRDefault="00725977" w:rsidP="00725977">
      <w:pPr>
        <w:pStyle w:val="BodyText"/>
      </w:pPr>
      <w:r w:rsidRPr="00D4309F">
        <w:lastRenderedPageBreak/>
        <w:t>Due to the reduced seabed disturbance compared to a buried pipeline, this option may face fewer constructability</w:t>
      </w:r>
      <w:r w:rsidRPr="00D4309F">
        <w:rPr>
          <w:spacing w:val="-3"/>
        </w:rPr>
        <w:t xml:space="preserve"> </w:t>
      </w:r>
      <w:r w:rsidRPr="00D4309F">
        <w:t>and</w:t>
      </w:r>
      <w:r w:rsidRPr="00D4309F">
        <w:rPr>
          <w:spacing w:val="-4"/>
        </w:rPr>
        <w:t xml:space="preserve"> </w:t>
      </w:r>
      <w:r w:rsidRPr="00D4309F">
        <w:t>environmental</w:t>
      </w:r>
      <w:r w:rsidRPr="00D4309F">
        <w:rPr>
          <w:spacing w:val="-4"/>
        </w:rPr>
        <w:t xml:space="preserve"> </w:t>
      </w:r>
      <w:r w:rsidRPr="00D4309F">
        <w:t>approval</w:t>
      </w:r>
      <w:r w:rsidRPr="00D4309F">
        <w:rPr>
          <w:spacing w:val="-4"/>
        </w:rPr>
        <w:t xml:space="preserve"> </w:t>
      </w:r>
      <w:r w:rsidRPr="00D4309F">
        <w:t>hurdles,</w:t>
      </w:r>
      <w:r w:rsidRPr="00D4309F">
        <w:rPr>
          <w:spacing w:val="-4"/>
        </w:rPr>
        <w:t xml:space="preserve"> </w:t>
      </w:r>
      <w:r w:rsidRPr="00D4309F">
        <w:t>though</w:t>
      </w:r>
      <w:r w:rsidRPr="00D4309F">
        <w:rPr>
          <w:spacing w:val="-4"/>
        </w:rPr>
        <w:t xml:space="preserve"> </w:t>
      </w:r>
      <w:r w:rsidRPr="00D4309F">
        <w:t>pre-lodgement</w:t>
      </w:r>
      <w:r w:rsidRPr="00D4309F">
        <w:rPr>
          <w:spacing w:val="-4"/>
        </w:rPr>
        <w:t xml:space="preserve"> </w:t>
      </w:r>
      <w:r w:rsidRPr="00D4309F">
        <w:t>consultation</w:t>
      </w:r>
      <w:r w:rsidRPr="00D4309F">
        <w:rPr>
          <w:spacing w:val="-5"/>
        </w:rPr>
        <w:t xml:space="preserve"> </w:t>
      </w:r>
      <w:r w:rsidRPr="00D4309F">
        <w:t>with</w:t>
      </w:r>
      <w:r w:rsidRPr="00D4309F">
        <w:rPr>
          <w:spacing w:val="-4"/>
        </w:rPr>
        <w:t xml:space="preserve"> </w:t>
      </w:r>
      <w:r w:rsidRPr="00D4309F">
        <w:t>agencies</w:t>
      </w:r>
      <w:r w:rsidRPr="00D4309F">
        <w:rPr>
          <w:spacing w:val="-3"/>
        </w:rPr>
        <w:t xml:space="preserve"> </w:t>
      </w:r>
      <w:r w:rsidRPr="00D4309F">
        <w:t>is</w:t>
      </w:r>
      <w:r w:rsidRPr="00D4309F">
        <w:rPr>
          <w:spacing w:val="-4"/>
        </w:rPr>
        <w:t xml:space="preserve"> </w:t>
      </w:r>
      <w:r w:rsidRPr="00D4309F">
        <w:t xml:space="preserve">still </w:t>
      </w:r>
      <w:r w:rsidRPr="00D4309F">
        <w:rPr>
          <w:spacing w:val="-2"/>
        </w:rPr>
        <w:t>recommended.</w:t>
      </w:r>
    </w:p>
    <w:p w14:paraId="0BA37FFB" w14:textId="77777777" w:rsidR="00725977" w:rsidRPr="00D4309F" w:rsidRDefault="00725977" w:rsidP="008228CB">
      <w:pPr>
        <w:pStyle w:val="Heading3"/>
      </w:pPr>
      <w:bookmarkStart w:id="440" w:name="_Toc216699470"/>
      <w:r w:rsidRPr="00D4309F">
        <w:t>Capital</w:t>
      </w:r>
      <w:r w:rsidRPr="00D4309F">
        <w:rPr>
          <w:spacing w:val="-4"/>
        </w:rPr>
        <w:t xml:space="preserve"> </w:t>
      </w:r>
      <w:r w:rsidRPr="00D4309F">
        <w:rPr>
          <w:spacing w:val="-2"/>
        </w:rPr>
        <w:t>works</w:t>
      </w:r>
      <w:bookmarkEnd w:id="440"/>
    </w:p>
    <w:p w14:paraId="1A71851F" w14:textId="77777777" w:rsidR="00725977" w:rsidRPr="00D4309F" w:rsidRDefault="00725977" w:rsidP="00725977">
      <w:pPr>
        <w:pStyle w:val="BodyText"/>
      </w:pPr>
      <w:r w:rsidRPr="00D4309F">
        <w:t>The</w:t>
      </w:r>
      <w:r w:rsidRPr="00D4309F">
        <w:rPr>
          <w:spacing w:val="-2"/>
        </w:rPr>
        <w:t xml:space="preserve"> </w:t>
      </w:r>
      <w:r w:rsidRPr="00D4309F">
        <w:t>crane-operated</w:t>
      </w:r>
      <w:r w:rsidRPr="00D4309F">
        <w:rPr>
          <w:spacing w:val="-2"/>
        </w:rPr>
        <w:t xml:space="preserve"> </w:t>
      </w:r>
      <w:r w:rsidRPr="00D4309F">
        <w:t>jet</w:t>
      </w:r>
      <w:r w:rsidRPr="00D4309F">
        <w:rPr>
          <w:spacing w:val="-2"/>
        </w:rPr>
        <w:t xml:space="preserve"> </w:t>
      </w:r>
      <w:r w:rsidRPr="00D4309F">
        <w:t>pump</w:t>
      </w:r>
      <w:r w:rsidRPr="00D4309F">
        <w:rPr>
          <w:spacing w:val="-2"/>
        </w:rPr>
        <w:t xml:space="preserve"> </w:t>
      </w:r>
      <w:r w:rsidRPr="00D4309F">
        <w:t>system</w:t>
      </w:r>
      <w:r w:rsidRPr="00D4309F">
        <w:rPr>
          <w:spacing w:val="-2"/>
        </w:rPr>
        <w:t xml:space="preserve"> </w:t>
      </w:r>
      <w:r w:rsidRPr="00D4309F">
        <w:t>is</w:t>
      </w:r>
      <w:r w:rsidRPr="00D4309F">
        <w:rPr>
          <w:spacing w:val="-2"/>
        </w:rPr>
        <w:t xml:space="preserve"> </w:t>
      </w:r>
      <w:r w:rsidRPr="00D4309F">
        <w:t>largely</w:t>
      </w:r>
      <w:r w:rsidRPr="00D4309F">
        <w:rPr>
          <w:spacing w:val="-2"/>
        </w:rPr>
        <w:t xml:space="preserve"> </w:t>
      </w:r>
      <w:r w:rsidRPr="00D4309F">
        <w:t>modular,</w:t>
      </w:r>
      <w:r w:rsidRPr="00D4309F">
        <w:rPr>
          <w:spacing w:val="-2"/>
        </w:rPr>
        <w:t xml:space="preserve"> </w:t>
      </w:r>
      <w:r w:rsidRPr="00D4309F">
        <w:t>so</w:t>
      </w:r>
      <w:r w:rsidRPr="00D4309F">
        <w:rPr>
          <w:spacing w:val="-3"/>
        </w:rPr>
        <w:t xml:space="preserve"> </w:t>
      </w:r>
      <w:r w:rsidRPr="00D4309F">
        <w:t>capital</w:t>
      </w:r>
      <w:r w:rsidRPr="00D4309F">
        <w:rPr>
          <w:spacing w:val="-3"/>
        </w:rPr>
        <w:t xml:space="preserve"> </w:t>
      </w:r>
      <w:r w:rsidRPr="00D4309F">
        <w:t>works</w:t>
      </w:r>
      <w:r w:rsidRPr="00D4309F">
        <w:rPr>
          <w:spacing w:val="-2"/>
        </w:rPr>
        <w:t xml:space="preserve"> </w:t>
      </w:r>
      <w:r w:rsidRPr="00D4309F">
        <w:t>are</w:t>
      </w:r>
      <w:r w:rsidRPr="00D4309F">
        <w:rPr>
          <w:spacing w:val="-2"/>
        </w:rPr>
        <w:t xml:space="preserve"> </w:t>
      </w:r>
      <w:r w:rsidRPr="00D4309F">
        <w:t>modest.</w:t>
      </w:r>
      <w:r w:rsidRPr="00D4309F">
        <w:rPr>
          <w:spacing w:val="-2"/>
        </w:rPr>
        <w:t xml:space="preserve"> </w:t>
      </w:r>
      <w:r w:rsidRPr="00D4309F">
        <w:t>If</w:t>
      </w:r>
      <w:r w:rsidRPr="00D4309F">
        <w:rPr>
          <w:spacing w:val="-2"/>
        </w:rPr>
        <w:t xml:space="preserve"> </w:t>
      </w:r>
      <w:r w:rsidRPr="00D4309F">
        <w:t>using</w:t>
      </w:r>
      <w:r w:rsidRPr="00D4309F">
        <w:rPr>
          <w:spacing w:val="-3"/>
        </w:rPr>
        <w:t xml:space="preserve"> </w:t>
      </w:r>
      <w:r w:rsidRPr="00D4309F">
        <w:t>an</w:t>
      </w:r>
      <w:r w:rsidRPr="00D4309F">
        <w:rPr>
          <w:spacing w:val="-2"/>
        </w:rPr>
        <w:t xml:space="preserve"> </w:t>
      </w:r>
      <w:r w:rsidRPr="00D4309F">
        <w:t>existing crane, there is little permanent infrastructure to build. If a larger crane (such as 90 tonne) is preferred to extend reach, the tip of the eastern breakwater would need to be widened to create a stable crane pad.</w:t>
      </w:r>
    </w:p>
    <w:p w14:paraId="100CADF0" w14:textId="77777777" w:rsidR="00725977" w:rsidRPr="00D4309F" w:rsidRDefault="00725977" w:rsidP="00725977">
      <w:pPr>
        <w:pStyle w:val="BodyText"/>
      </w:pPr>
      <w:r w:rsidRPr="00D4309F">
        <w:t>Preliminary</w:t>
      </w:r>
      <w:r w:rsidRPr="00D4309F">
        <w:rPr>
          <w:spacing w:val="-2"/>
        </w:rPr>
        <w:t xml:space="preserve"> </w:t>
      </w:r>
      <w:r w:rsidRPr="00D4309F">
        <w:t>feasibility</w:t>
      </w:r>
      <w:r w:rsidRPr="00D4309F">
        <w:rPr>
          <w:spacing w:val="-2"/>
        </w:rPr>
        <w:t xml:space="preserve"> </w:t>
      </w:r>
      <w:r w:rsidRPr="00D4309F">
        <w:t>and</w:t>
      </w:r>
      <w:r w:rsidRPr="00D4309F">
        <w:rPr>
          <w:spacing w:val="-4"/>
        </w:rPr>
        <w:t xml:space="preserve"> </w:t>
      </w:r>
      <w:r w:rsidRPr="00D4309F">
        <w:t>crest</w:t>
      </w:r>
      <w:r w:rsidRPr="00D4309F">
        <w:rPr>
          <w:spacing w:val="-5"/>
        </w:rPr>
        <w:t xml:space="preserve"> </w:t>
      </w:r>
      <w:r w:rsidRPr="00D4309F">
        <w:t>width</w:t>
      </w:r>
      <w:r w:rsidRPr="00D4309F">
        <w:rPr>
          <w:spacing w:val="-3"/>
        </w:rPr>
        <w:t xml:space="preserve"> </w:t>
      </w:r>
      <w:r w:rsidRPr="00D4309F">
        <w:t>requirements</w:t>
      </w:r>
      <w:r w:rsidRPr="00D4309F">
        <w:rPr>
          <w:spacing w:val="-2"/>
        </w:rPr>
        <w:t xml:space="preserve"> </w:t>
      </w:r>
      <w:r w:rsidRPr="00D4309F">
        <w:t>for</w:t>
      </w:r>
      <w:r w:rsidRPr="00D4309F">
        <w:rPr>
          <w:spacing w:val="-4"/>
        </w:rPr>
        <w:t xml:space="preserve"> </w:t>
      </w:r>
      <w:r w:rsidRPr="00D4309F">
        <w:t>crane-based</w:t>
      </w:r>
      <w:r w:rsidRPr="00D4309F">
        <w:rPr>
          <w:spacing w:val="-3"/>
        </w:rPr>
        <w:t xml:space="preserve"> </w:t>
      </w:r>
      <w:r w:rsidRPr="00D4309F">
        <w:t>jet</w:t>
      </w:r>
      <w:r w:rsidRPr="00D4309F">
        <w:rPr>
          <w:spacing w:val="-3"/>
        </w:rPr>
        <w:t xml:space="preserve"> </w:t>
      </w:r>
      <w:r w:rsidRPr="00D4309F">
        <w:t>pump</w:t>
      </w:r>
      <w:r w:rsidRPr="00D4309F">
        <w:rPr>
          <w:spacing w:val="-3"/>
        </w:rPr>
        <w:t xml:space="preserve"> </w:t>
      </w:r>
      <w:r w:rsidRPr="00D4309F">
        <w:t>deployment</w:t>
      </w:r>
      <w:r w:rsidRPr="00D4309F">
        <w:rPr>
          <w:spacing w:val="-3"/>
        </w:rPr>
        <w:t xml:space="preserve"> </w:t>
      </w:r>
      <w:r w:rsidRPr="00D4309F">
        <w:t>were</w:t>
      </w:r>
      <w:r w:rsidRPr="00D4309F">
        <w:rPr>
          <w:spacing w:val="-4"/>
        </w:rPr>
        <w:t xml:space="preserve"> </w:t>
      </w:r>
      <w:r w:rsidRPr="00D4309F">
        <w:t>assessed</w:t>
      </w:r>
      <w:r w:rsidRPr="00D4309F">
        <w:rPr>
          <w:spacing w:val="-3"/>
        </w:rPr>
        <w:t xml:space="preserve"> </w:t>
      </w:r>
      <w:r w:rsidRPr="00D4309F">
        <w:t>in the BMT WBM 2014. It is likely that the existing ~4</w:t>
      </w:r>
      <w:r w:rsidRPr="00D4309F">
        <w:rPr>
          <w:spacing w:val="-12"/>
        </w:rPr>
        <w:t xml:space="preserve"> </w:t>
      </w:r>
      <w:r w:rsidRPr="00D4309F">
        <w:t>m crest width is sufficient for a 50t crawler crane, while accommodating</w:t>
      </w:r>
      <w:r w:rsidRPr="00D4309F">
        <w:rPr>
          <w:spacing w:val="-1"/>
        </w:rPr>
        <w:t xml:space="preserve"> </w:t>
      </w:r>
      <w:r w:rsidRPr="00D4309F">
        <w:t>a</w:t>
      </w:r>
      <w:r w:rsidRPr="00D4309F">
        <w:rPr>
          <w:spacing w:val="-1"/>
        </w:rPr>
        <w:t xml:space="preserve"> </w:t>
      </w:r>
      <w:r w:rsidRPr="00D4309F">
        <w:t>90t</w:t>
      </w:r>
      <w:r w:rsidRPr="00D4309F">
        <w:rPr>
          <w:spacing w:val="-1"/>
        </w:rPr>
        <w:t xml:space="preserve"> </w:t>
      </w:r>
      <w:r w:rsidRPr="00D4309F">
        <w:t>crane</w:t>
      </w:r>
      <w:r w:rsidRPr="00D4309F">
        <w:rPr>
          <w:spacing w:val="-1"/>
        </w:rPr>
        <w:t xml:space="preserve"> </w:t>
      </w:r>
      <w:r w:rsidRPr="00D4309F">
        <w:t>would</w:t>
      </w:r>
      <w:r w:rsidRPr="00D4309F">
        <w:rPr>
          <w:spacing w:val="-1"/>
        </w:rPr>
        <w:t xml:space="preserve"> </w:t>
      </w:r>
      <w:r w:rsidRPr="00D4309F">
        <w:t>require</w:t>
      </w:r>
      <w:r w:rsidRPr="00D4309F">
        <w:rPr>
          <w:spacing w:val="-2"/>
        </w:rPr>
        <w:t xml:space="preserve"> </w:t>
      </w:r>
      <w:r w:rsidRPr="00D4309F">
        <w:t>widening</w:t>
      </w:r>
      <w:r w:rsidRPr="00D4309F">
        <w:rPr>
          <w:spacing w:val="-1"/>
        </w:rPr>
        <w:t xml:space="preserve"> </w:t>
      </w:r>
      <w:r w:rsidRPr="00D4309F">
        <w:t>the</w:t>
      </w:r>
      <w:r w:rsidRPr="00D4309F">
        <w:rPr>
          <w:spacing w:val="-1"/>
        </w:rPr>
        <w:t xml:space="preserve"> </w:t>
      </w:r>
      <w:r w:rsidRPr="00D4309F">
        <w:t>breakwater by to</w:t>
      </w:r>
      <w:r w:rsidRPr="00D4309F">
        <w:rPr>
          <w:spacing w:val="-1"/>
        </w:rPr>
        <w:t xml:space="preserve"> </w:t>
      </w:r>
      <w:r w:rsidRPr="00D4309F">
        <w:t>7</w:t>
      </w:r>
      <w:r w:rsidRPr="00D4309F">
        <w:rPr>
          <w:spacing w:val="-1"/>
        </w:rPr>
        <w:t xml:space="preserve"> </w:t>
      </w:r>
      <w:r w:rsidRPr="00D4309F">
        <w:t>m</w:t>
      </w:r>
      <w:r w:rsidRPr="00D4309F">
        <w:rPr>
          <w:spacing w:val="-1"/>
        </w:rPr>
        <w:t xml:space="preserve"> </w:t>
      </w:r>
      <w:r w:rsidRPr="00D4309F">
        <w:t>for the</w:t>
      </w:r>
      <w:r w:rsidRPr="00D4309F">
        <w:rPr>
          <w:spacing w:val="-1"/>
        </w:rPr>
        <w:t xml:space="preserve"> </w:t>
      </w:r>
      <w:r w:rsidRPr="00D4309F">
        <w:t>last</w:t>
      </w:r>
      <w:r w:rsidRPr="00D4309F">
        <w:rPr>
          <w:spacing w:val="-1"/>
        </w:rPr>
        <w:t xml:space="preserve"> </w:t>
      </w:r>
      <w:r w:rsidRPr="00D4309F">
        <w:t>10</w:t>
      </w:r>
      <w:r w:rsidRPr="00D4309F">
        <w:rPr>
          <w:spacing w:val="-2"/>
        </w:rPr>
        <w:t xml:space="preserve"> </w:t>
      </w:r>
      <w:r w:rsidRPr="00D4309F">
        <w:t>m</w:t>
      </w:r>
      <w:r w:rsidRPr="00D4309F">
        <w:rPr>
          <w:spacing w:val="-1"/>
        </w:rPr>
        <w:t xml:space="preserve"> </w:t>
      </w:r>
      <w:r w:rsidRPr="00D4309F">
        <w:t>of</w:t>
      </w:r>
      <w:r w:rsidRPr="00D4309F">
        <w:rPr>
          <w:spacing w:val="-1"/>
        </w:rPr>
        <w:t xml:space="preserve"> </w:t>
      </w:r>
      <w:r w:rsidRPr="00D4309F">
        <w:t>extension (~2,575 m³ of rock)</w:t>
      </w:r>
    </w:p>
    <w:p w14:paraId="51798217" w14:textId="77777777" w:rsidR="00725977" w:rsidRPr="00D4309F" w:rsidRDefault="00725977" w:rsidP="00725977">
      <w:pPr>
        <w:pStyle w:val="BodyText"/>
      </w:pPr>
      <w:r w:rsidRPr="00D4309F">
        <w:t>For a smaller crane (50 t), the existing breakwater (~4 m crest width) was deemed sufficient with no modification.</w:t>
      </w:r>
      <w:r w:rsidRPr="00D4309F">
        <w:rPr>
          <w:spacing w:val="-3"/>
        </w:rPr>
        <w:t xml:space="preserve"> </w:t>
      </w:r>
      <w:r w:rsidRPr="00D4309F">
        <w:t>Other</w:t>
      </w:r>
      <w:r w:rsidRPr="00D4309F">
        <w:rPr>
          <w:spacing w:val="-4"/>
        </w:rPr>
        <w:t xml:space="preserve"> </w:t>
      </w:r>
      <w:r w:rsidRPr="00D4309F">
        <w:t>capital</w:t>
      </w:r>
      <w:r w:rsidRPr="00D4309F">
        <w:rPr>
          <w:spacing w:val="-4"/>
        </w:rPr>
        <w:t xml:space="preserve"> </w:t>
      </w:r>
      <w:r w:rsidRPr="00D4309F">
        <w:t>elements</w:t>
      </w:r>
      <w:r w:rsidRPr="00D4309F">
        <w:rPr>
          <w:spacing w:val="-2"/>
        </w:rPr>
        <w:t xml:space="preserve"> </w:t>
      </w:r>
      <w:r w:rsidRPr="00D4309F">
        <w:t>include</w:t>
      </w:r>
      <w:r w:rsidRPr="00D4309F">
        <w:rPr>
          <w:spacing w:val="-3"/>
        </w:rPr>
        <w:t xml:space="preserve"> </w:t>
      </w:r>
      <w:r w:rsidRPr="00D4309F">
        <w:t>the</w:t>
      </w:r>
      <w:r w:rsidRPr="00D4309F">
        <w:rPr>
          <w:spacing w:val="-3"/>
        </w:rPr>
        <w:t xml:space="preserve"> </w:t>
      </w:r>
      <w:r w:rsidRPr="00D4309F">
        <w:t>jet</w:t>
      </w:r>
      <w:r w:rsidRPr="00D4309F">
        <w:rPr>
          <w:spacing w:val="-3"/>
        </w:rPr>
        <w:t xml:space="preserve"> </w:t>
      </w:r>
      <w:r w:rsidRPr="00D4309F">
        <w:t>pump</w:t>
      </w:r>
      <w:r w:rsidRPr="00D4309F">
        <w:rPr>
          <w:spacing w:val="-3"/>
        </w:rPr>
        <w:t xml:space="preserve"> </w:t>
      </w:r>
      <w:r w:rsidRPr="00D4309F">
        <w:t>equipment</w:t>
      </w:r>
      <w:r w:rsidRPr="00D4309F">
        <w:rPr>
          <w:spacing w:val="-3"/>
        </w:rPr>
        <w:t xml:space="preserve"> </w:t>
      </w:r>
      <w:r w:rsidRPr="00D4309F">
        <w:t>itself</w:t>
      </w:r>
      <w:r w:rsidRPr="00D4309F">
        <w:rPr>
          <w:spacing w:val="-3"/>
        </w:rPr>
        <w:t xml:space="preserve"> </w:t>
      </w:r>
      <w:r w:rsidRPr="00D4309F">
        <w:t>(hoses,</w:t>
      </w:r>
      <w:r w:rsidRPr="00D4309F">
        <w:rPr>
          <w:spacing w:val="-3"/>
        </w:rPr>
        <w:t xml:space="preserve"> </w:t>
      </w:r>
      <w:r w:rsidRPr="00D4309F">
        <w:t>power</w:t>
      </w:r>
      <w:r w:rsidRPr="00D4309F">
        <w:rPr>
          <w:spacing w:val="-2"/>
        </w:rPr>
        <w:t xml:space="preserve"> </w:t>
      </w:r>
      <w:r w:rsidRPr="00D4309F">
        <w:t>unit,</w:t>
      </w:r>
      <w:r w:rsidRPr="00D4309F">
        <w:rPr>
          <w:spacing w:val="-3"/>
        </w:rPr>
        <w:t xml:space="preserve"> </w:t>
      </w:r>
      <w:r w:rsidRPr="00D4309F">
        <w:t>booster</w:t>
      </w:r>
      <w:r w:rsidRPr="00D4309F">
        <w:rPr>
          <w:spacing w:val="-2"/>
        </w:rPr>
        <w:t xml:space="preserve"> </w:t>
      </w:r>
      <w:r w:rsidRPr="00D4309F">
        <w:t>pump) – however, these are mobile assets usually rented or owned by the contractor, not fixed installations.</w:t>
      </w:r>
    </w:p>
    <w:p w14:paraId="0680BFA6" w14:textId="42BBE377" w:rsidR="00725977" w:rsidRPr="00D4309F" w:rsidRDefault="00725977" w:rsidP="00725977">
      <w:pPr>
        <w:pStyle w:val="BodyText"/>
      </w:pPr>
      <w:r w:rsidRPr="00D4309F">
        <w:t>Option</w:t>
      </w:r>
      <w:r w:rsidRPr="00D4309F">
        <w:rPr>
          <w:spacing w:val="-2"/>
        </w:rPr>
        <w:t xml:space="preserve"> </w:t>
      </w:r>
      <w:r w:rsidRPr="00D4309F">
        <w:t>3C’s</w:t>
      </w:r>
      <w:r w:rsidRPr="00D4309F">
        <w:rPr>
          <w:spacing w:val="-2"/>
        </w:rPr>
        <w:t xml:space="preserve"> </w:t>
      </w:r>
      <w:r w:rsidRPr="00D4309F">
        <w:t>capital</w:t>
      </w:r>
      <w:r w:rsidRPr="00D4309F">
        <w:rPr>
          <w:spacing w:val="-2"/>
        </w:rPr>
        <w:t xml:space="preserve"> </w:t>
      </w:r>
      <w:r w:rsidRPr="00D4309F">
        <w:t>works</w:t>
      </w:r>
      <w:r w:rsidRPr="00D4309F">
        <w:rPr>
          <w:spacing w:val="-2"/>
        </w:rPr>
        <w:t xml:space="preserve"> </w:t>
      </w:r>
      <w:r w:rsidRPr="00D4309F">
        <w:t>mostly</w:t>
      </w:r>
      <w:r w:rsidRPr="00D4309F">
        <w:rPr>
          <w:spacing w:val="-1"/>
        </w:rPr>
        <w:t xml:space="preserve"> </w:t>
      </w:r>
      <w:r w:rsidRPr="00D4309F">
        <w:t>involve</w:t>
      </w:r>
      <w:r w:rsidRPr="00D4309F">
        <w:rPr>
          <w:spacing w:val="-2"/>
        </w:rPr>
        <w:t xml:space="preserve"> </w:t>
      </w:r>
      <w:r w:rsidRPr="00D4309F">
        <w:t>planning</w:t>
      </w:r>
      <w:r w:rsidRPr="00D4309F">
        <w:rPr>
          <w:spacing w:val="-2"/>
        </w:rPr>
        <w:t xml:space="preserve"> </w:t>
      </w:r>
      <w:r w:rsidRPr="00D4309F">
        <w:t>for</w:t>
      </w:r>
      <w:r w:rsidRPr="00D4309F">
        <w:rPr>
          <w:spacing w:val="-3"/>
        </w:rPr>
        <w:t xml:space="preserve"> </w:t>
      </w:r>
      <w:r w:rsidRPr="00D4309F">
        <w:t>crane</w:t>
      </w:r>
      <w:r w:rsidRPr="00D4309F">
        <w:rPr>
          <w:spacing w:val="-2"/>
        </w:rPr>
        <w:t xml:space="preserve"> </w:t>
      </w:r>
      <w:r w:rsidRPr="00D4309F">
        <w:t>access:</w:t>
      </w:r>
      <w:r w:rsidRPr="00D4309F">
        <w:rPr>
          <w:spacing w:val="-2"/>
        </w:rPr>
        <w:t xml:space="preserve"> </w:t>
      </w:r>
      <w:r w:rsidRPr="00D4309F">
        <w:t>ensuring</w:t>
      </w:r>
      <w:r w:rsidRPr="00D4309F">
        <w:rPr>
          <w:spacing w:val="-2"/>
        </w:rPr>
        <w:t xml:space="preserve"> </w:t>
      </w:r>
      <w:r w:rsidRPr="00D4309F">
        <w:t>the</w:t>
      </w:r>
      <w:r w:rsidRPr="00D4309F">
        <w:rPr>
          <w:spacing w:val="-2"/>
        </w:rPr>
        <w:t xml:space="preserve"> </w:t>
      </w:r>
      <w:r w:rsidRPr="00D4309F">
        <w:t>breakwater</w:t>
      </w:r>
      <w:r w:rsidRPr="00D4309F">
        <w:rPr>
          <w:spacing w:val="-1"/>
        </w:rPr>
        <w:t xml:space="preserve"> </w:t>
      </w:r>
      <w:r w:rsidRPr="00D4309F">
        <w:t>can</w:t>
      </w:r>
      <w:r w:rsidRPr="00D4309F">
        <w:rPr>
          <w:spacing w:val="-3"/>
        </w:rPr>
        <w:t xml:space="preserve"> </w:t>
      </w:r>
      <w:r w:rsidRPr="00D4309F">
        <w:t>support</w:t>
      </w:r>
      <w:r w:rsidRPr="00D4309F">
        <w:rPr>
          <w:spacing w:val="-2"/>
        </w:rPr>
        <w:t xml:space="preserve"> </w:t>
      </w:r>
      <w:r w:rsidRPr="00D4309F">
        <w:t>the crane (which</w:t>
      </w:r>
      <w:r w:rsidRPr="00D4309F">
        <w:rPr>
          <w:spacing w:val="-1"/>
        </w:rPr>
        <w:t xml:space="preserve"> </w:t>
      </w:r>
      <w:r w:rsidRPr="00D4309F">
        <w:t>may involve reinforcing</w:t>
      </w:r>
      <w:r w:rsidRPr="00D4309F">
        <w:rPr>
          <w:spacing w:val="-1"/>
        </w:rPr>
        <w:t xml:space="preserve"> </w:t>
      </w:r>
      <w:r w:rsidRPr="00D4309F">
        <w:t>certain sections)</w:t>
      </w:r>
      <w:r w:rsidRPr="00D4309F">
        <w:rPr>
          <w:spacing w:val="-1"/>
        </w:rPr>
        <w:t xml:space="preserve"> </w:t>
      </w:r>
      <w:r w:rsidRPr="00D4309F">
        <w:t>and possibly constructing</w:t>
      </w:r>
      <w:r w:rsidRPr="00D4309F">
        <w:rPr>
          <w:spacing w:val="-1"/>
        </w:rPr>
        <w:t xml:space="preserve"> </w:t>
      </w:r>
      <w:r w:rsidRPr="00D4309F">
        <w:t>convenient access points or laydown areas for the crane and pumps. Compared to Option 3B, the upfront construction is minimal; the main</w:t>
      </w:r>
      <w:r w:rsidRPr="00D4309F">
        <w:rPr>
          <w:spacing w:val="-3"/>
        </w:rPr>
        <w:t xml:space="preserve"> </w:t>
      </w:r>
      <w:r w:rsidRPr="00D4309F">
        <w:t>costs</w:t>
      </w:r>
      <w:r w:rsidRPr="00D4309F">
        <w:rPr>
          <w:spacing w:val="-2"/>
        </w:rPr>
        <w:t xml:space="preserve"> </w:t>
      </w:r>
      <w:r w:rsidRPr="00D4309F">
        <w:t>are</w:t>
      </w:r>
      <w:r w:rsidRPr="00D4309F">
        <w:rPr>
          <w:spacing w:val="-3"/>
        </w:rPr>
        <w:t xml:space="preserve"> </w:t>
      </w:r>
      <w:r w:rsidRPr="00D4309F">
        <w:t>in</w:t>
      </w:r>
      <w:r w:rsidRPr="00D4309F">
        <w:rPr>
          <w:spacing w:val="-3"/>
        </w:rPr>
        <w:t xml:space="preserve"> </w:t>
      </w:r>
      <w:r w:rsidRPr="00D4309F">
        <w:t>procurement</w:t>
      </w:r>
      <w:r w:rsidRPr="00D4309F">
        <w:rPr>
          <w:spacing w:val="-3"/>
        </w:rPr>
        <w:t xml:space="preserve"> </w:t>
      </w:r>
      <w:r w:rsidRPr="00D4309F">
        <w:t>of</w:t>
      </w:r>
      <w:r w:rsidRPr="00D4309F">
        <w:rPr>
          <w:spacing w:val="-3"/>
        </w:rPr>
        <w:t xml:space="preserve"> </w:t>
      </w:r>
      <w:r w:rsidRPr="00D4309F">
        <w:t>equipment</w:t>
      </w:r>
      <w:r w:rsidRPr="00D4309F">
        <w:rPr>
          <w:spacing w:val="-3"/>
        </w:rPr>
        <w:t xml:space="preserve"> </w:t>
      </w:r>
      <w:r w:rsidRPr="00D4309F">
        <w:t>when</w:t>
      </w:r>
      <w:r w:rsidRPr="00D4309F">
        <w:rPr>
          <w:spacing w:val="-3"/>
        </w:rPr>
        <w:t xml:space="preserve"> </w:t>
      </w:r>
      <w:r w:rsidRPr="00D4309F">
        <w:t>needed,</w:t>
      </w:r>
      <w:r w:rsidRPr="00D4309F">
        <w:rPr>
          <w:spacing w:val="-3"/>
        </w:rPr>
        <w:t xml:space="preserve"> </w:t>
      </w:r>
      <w:r w:rsidRPr="00D4309F">
        <w:t>which</w:t>
      </w:r>
      <w:r w:rsidRPr="00D4309F">
        <w:rPr>
          <w:spacing w:val="-3"/>
        </w:rPr>
        <w:t xml:space="preserve"> </w:t>
      </w:r>
      <w:r w:rsidRPr="00D4309F">
        <w:t>is</w:t>
      </w:r>
      <w:r w:rsidRPr="00D4309F">
        <w:rPr>
          <w:spacing w:val="-2"/>
        </w:rPr>
        <w:t xml:space="preserve"> </w:t>
      </w:r>
      <w:r w:rsidRPr="00D4309F">
        <w:t>accounted</w:t>
      </w:r>
      <w:r w:rsidRPr="00D4309F">
        <w:rPr>
          <w:spacing w:val="-3"/>
        </w:rPr>
        <w:t xml:space="preserve"> </w:t>
      </w:r>
      <w:r w:rsidRPr="00D4309F">
        <w:t>for</w:t>
      </w:r>
      <w:r w:rsidRPr="00D4309F">
        <w:rPr>
          <w:spacing w:val="-4"/>
        </w:rPr>
        <w:t xml:space="preserve"> </w:t>
      </w:r>
      <w:r w:rsidRPr="00D4309F">
        <w:t>in</w:t>
      </w:r>
      <w:r w:rsidRPr="00D4309F">
        <w:rPr>
          <w:spacing w:val="-3"/>
        </w:rPr>
        <w:t xml:space="preserve"> </w:t>
      </w:r>
      <w:r w:rsidRPr="00D4309F">
        <w:t>operational</w:t>
      </w:r>
      <w:r w:rsidRPr="00D4309F">
        <w:rPr>
          <w:spacing w:val="-3"/>
        </w:rPr>
        <w:t xml:space="preserve"> </w:t>
      </w:r>
      <w:r w:rsidRPr="00D4309F">
        <w:t>costs</w:t>
      </w:r>
      <w:r w:rsidRPr="00D4309F">
        <w:rPr>
          <w:spacing w:val="-2"/>
        </w:rPr>
        <w:t xml:space="preserve"> </w:t>
      </w:r>
      <w:r w:rsidRPr="00D4309F">
        <w:t>rather than capital.</w:t>
      </w:r>
    </w:p>
    <w:p w14:paraId="144509AA" w14:textId="77777777" w:rsidR="00725977" w:rsidRPr="00D4309F" w:rsidRDefault="00725977" w:rsidP="008228CB">
      <w:pPr>
        <w:pStyle w:val="Heading3"/>
      </w:pPr>
      <w:bookmarkStart w:id="441" w:name="_Toc216699471"/>
      <w:r w:rsidRPr="00D4309F">
        <w:t>Operational</w:t>
      </w:r>
      <w:r w:rsidRPr="00D4309F">
        <w:rPr>
          <w:spacing w:val="-7"/>
        </w:rPr>
        <w:t xml:space="preserve"> </w:t>
      </w:r>
      <w:r w:rsidRPr="00D4309F">
        <w:rPr>
          <w:spacing w:val="-2"/>
        </w:rPr>
        <w:t>works</w:t>
      </w:r>
      <w:bookmarkEnd w:id="441"/>
    </w:p>
    <w:p w14:paraId="379087BD" w14:textId="77777777" w:rsidR="00725977" w:rsidRPr="00D4309F" w:rsidRDefault="00725977" w:rsidP="00725977">
      <w:pPr>
        <w:pStyle w:val="BodyText"/>
      </w:pPr>
      <w:r w:rsidRPr="00D4309F">
        <w:t>The operation of Option 3C occurs in</w:t>
      </w:r>
      <w:r w:rsidRPr="00D4309F">
        <w:rPr>
          <w:spacing w:val="-2"/>
        </w:rPr>
        <w:t xml:space="preserve"> </w:t>
      </w:r>
      <w:r w:rsidRPr="00D4309F">
        <w:t>campaigns. Based on the high-level bypass strategy, the idea is to run a sand bypass campaign approximately every two years. Each campaign</w:t>
      </w:r>
      <w:r w:rsidRPr="00D4309F">
        <w:rPr>
          <w:spacing w:val="-1"/>
        </w:rPr>
        <w:t xml:space="preserve"> </w:t>
      </w:r>
      <w:r w:rsidRPr="00D4309F">
        <w:t>would involve mobilising</w:t>
      </w:r>
      <w:r w:rsidRPr="00D4309F">
        <w:rPr>
          <w:spacing w:val="-1"/>
        </w:rPr>
        <w:t xml:space="preserve"> </w:t>
      </w:r>
      <w:r w:rsidRPr="00D4309F">
        <w:t>a crawler crane to the site via the breakwater access, along with the jet pump assembly, hoses, booster pump, and fuel/power</w:t>
      </w:r>
      <w:r w:rsidRPr="00D4309F">
        <w:rPr>
          <w:spacing w:val="-1"/>
        </w:rPr>
        <w:t xml:space="preserve"> </w:t>
      </w:r>
      <w:r w:rsidRPr="00D4309F">
        <w:t>units.</w:t>
      </w:r>
      <w:r w:rsidRPr="00D4309F">
        <w:rPr>
          <w:spacing w:val="-2"/>
        </w:rPr>
        <w:t xml:space="preserve"> </w:t>
      </w:r>
      <w:r w:rsidRPr="00D4309F">
        <w:t>A</w:t>
      </w:r>
      <w:r w:rsidRPr="00D4309F">
        <w:rPr>
          <w:spacing w:val="-2"/>
        </w:rPr>
        <w:t xml:space="preserve"> </w:t>
      </w:r>
      <w:r w:rsidRPr="00D4309F">
        <w:t>50t</w:t>
      </w:r>
      <w:r w:rsidRPr="00D4309F">
        <w:rPr>
          <w:spacing w:val="-2"/>
        </w:rPr>
        <w:t xml:space="preserve"> </w:t>
      </w:r>
      <w:r w:rsidRPr="00D4309F">
        <w:t>crane</w:t>
      </w:r>
      <w:r w:rsidRPr="00D4309F">
        <w:rPr>
          <w:spacing w:val="-2"/>
        </w:rPr>
        <w:t xml:space="preserve"> </w:t>
      </w:r>
      <w:r w:rsidRPr="00D4309F">
        <w:t>can</w:t>
      </w:r>
      <w:r w:rsidRPr="00D4309F">
        <w:rPr>
          <w:spacing w:val="-2"/>
        </w:rPr>
        <w:t xml:space="preserve"> </w:t>
      </w:r>
      <w:r w:rsidRPr="00D4309F">
        <w:t>be</w:t>
      </w:r>
      <w:r w:rsidRPr="00D4309F">
        <w:rPr>
          <w:spacing w:val="-2"/>
        </w:rPr>
        <w:t xml:space="preserve"> </w:t>
      </w:r>
      <w:r w:rsidRPr="00D4309F">
        <w:t>driven</w:t>
      </w:r>
      <w:r w:rsidRPr="00D4309F">
        <w:rPr>
          <w:spacing w:val="-2"/>
        </w:rPr>
        <w:t xml:space="preserve"> </w:t>
      </w:r>
      <w:r w:rsidRPr="00D4309F">
        <w:t>out</w:t>
      </w:r>
      <w:r w:rsidRPr="00D4309F">
        <w:rPr>
          <w:spacing w:val="-2"/>
        </w:rPr>
        <w:t xml:space="preserve"> </w:t>
      </w:r>
      <w:r w:rsidRPr="00D4309F">
        <w:t>along</w:t>
      </w:r>
      <w:r w:rsidRPr="00D4309F">
        <w:rPr>
          <w:spacing w:val="-2"/>
        </w:rPr>
        <w:t xml:space="preserve"> </w:t>
      </w:r>
      <w:r w:rsidRPr="00D4309F">
        <w:t>the</w:t>
      </w:r>
      <w:r w:rsidRPr="00D4309F">
        <w:rPr>
          <w:spacing w:val="-2"/>
        </w:rPr>
        <w:t xml:space="preserve"> </w:t>
      </w:r>
      <w:r w:rsidRPr="00D4309F">
        <w:t>breakwater</w:t>
      </w:r>
      <w:r w:rsidRPr="00D4309F">
        <w:rPr>
          <w:spacing w:val="-1"/>
        </w:rPr>
        <w:t xml:space="preserve"> </w:t>
      </w:r>
      <w:r w:rsidRPr="00D4309F">
        <w:t>and</w:t>
      </w:r>
      <w:r w:rsidRPr="00D4309F">
        <w:rPr>
          <w:spacing w:val="-2"/>
        </w:rPr>
        <w:t xml:space="preserve"> </w:t>
      </w:r>
      <w:r w:rsidRPr="00D4309F">
        <w:t>set</w:t>
      </w:r>
      <w:r w:rsidRPr="00D4309F">
        <w:rPr>
          <w:spacing w:val="-2"/>
        </w:rPr>
        <w:t xml:space="preserve"> </w:t>
      </w:r>
      <w:r w:rsidRPr="00D4309F">
        <w:t>up</w:t>
      </w:r>
      <w:r w:rsidRPr="00D4309F">
        <w:rPr>
          <w:spacing w:val="-2"/>
        </w:rPr>
        <w:t xml:space="preserve"> </w:t>
      </w:r>
      <w:r w:rsidRPr="00D4309F">
        <w:t>at</w:t>
      </w:r>
      <w:r w:rsidRPr="00D4309F">
        <w:rPr>
          <w:spacing w:val="-2"/>
        </w:rPr>
        <w:t xml:space="preserve"> </w:t>
      </w:r>
      <w:r w:rsidRPr="00D4309F">
        <w:t>the</w:t>
      </w:r>
      <w:r w:rsidRPr="00D4309F">
        <w:rPr>
          <w:spacing w:val="-2"/>
        </w:rPr>
        <w:t xml:space="preserve"> </w:t>
      </w:r>
      <w:r w:rsidRPr="00D4309F">
        <w:t>end;</w:t>
      </w:r>
      <w:r w:rsidRPr="00D4309F">
        <w:rPr>
          <w:spacing w:val="-2"/>
        </w:rPr>
        <w:t xml:space="preserve"> </w:t>
      </w:r>
      <w:r w:rsidRPr="00D4309F">
        <w:t>the</w:t>
      </w:r>
      <w:r w:rsidRPr="00D4309F">
        <w:rPr>
          <w:spacing w:val="-2"/>
        </w:rPr>
        <w:t xml:space="preserve"> </w:t>
      </w:r>
      <w:r w:rsidRPr="00D4309F">
        <w:t>pump</w:t>
      </w:r>
      <w:r w:rsidRPr="00D4309F">
        <w:rPr>
          <w:spacing w:val="-2"/>
        </w:rPr>
        <w:t xml:space="preserve"> </w:t>
      </w:r>
      <w:r w:rsidRPr="00D4309F">
        <w:t>is</w:t>
      </w:r>
      <w:r w:rsidRPr="00D4309F">
        <w:rPr>
          <w:spacing w:val="-1"/>
        </w:rPr>
        <w:t xml:space="preserve"> </w:t>
      </w:r>
      <w:r w:rsidRPr="00D4309F">
        <w:t>then lowered into the water on the channel side where the sand shoal is sitting. A campaign is likely to last a few weeks where the pump would extract ~30,000 m</w:t>
      </w:r>
      <w:r w:rsidRPr="00D4309F">
        <w:rPr>
          <w:vertAlign w:val="superscript"/>
        </w:rPr>
        <w:t>3</w:t>
      </w:r>
      <w:r w:rsidRPr="00D4309F">
        <w:t xml:space="preserve"> of sand, sending it through the pipeline to the discharge. During pumping, operators must monitor slurry flow to avoid clogging and reposition the pump as needed to cover the target area.</w:t>
      </w:r>
    </w:p>
    <w:p w14:paraId="3EB4345A" w14:textId="77777777" w:rsidR="00725977" w:rsidRPr="00D4309F" w:rsidRDefault="00725977" w:rsidP="00725977">
      <w:pPr>
        <w:pStyle w:val="BodyText"/>
      </w:pPr>
      <w:r w:rsidRPr="00D4309F">
        <w:t>After</w:t>
      </w:r>
      <w:r w:rsidRPr="00D4309F">
        <w:rPr>
          <w:spacing w:val="-2"/>
        </w:rPr>
        <w:t xml:space="preserve"> </w:t>
      </w:r>
      <w:r w:rsidRPr="00D4309F">
        <w:t>the</w:t>
      </w:r>
      <w:r w:rsidRPr="00D4309F">
        <w:rPr>
          <w:spacing w:val="-3"/>
        </w:rPr>
        <w:t xml:space="preserve"> </w:t>
      </w:r>
      <w:r w:rsidRPr="00D4309F">
        <w:t>campaign,</w:t>
      </w:r>
      <w:r w:rsidRPr="00D4309F">
        <w:rPr>
          <w:spacing w:val="-3"/>
        </w:rPr>
        <w:t xml:space="preserve"> </w:t>
      </w:r>
      <w:r w:rsidRPr="00D4309F">
        <w:t>all</w:t>
      </w:r>
      <w:r w:rsidRPr="00D4309F">
        <w:rPr>
          <w:spacing w:val="-3"/>
        </w:rPr>
        <w:t xml:space="preserve"> </w:t>
      </w:r>
      <w:r w:rsidRPr="00D4309F">
        <w:t>equipment</w:t>
      </w:r>
      <w:r w:rsidRPr="00D4309F">
        <w:rPr>
          <w:spacing w:val="-3"/>
        </w:rPr>
        <w:t xml:space="preserve"> </w:t>
      </w:r>
      <w:r w:rsidRPr="00D4309F">
        <w:t>is</w:t>
      </w:r>
      <w:r w:rsidRPr="00D4309F">
        <w:rPr>
          <w:spacing w:val="-2"/>
        </w:rPr>
        <w:t xml:space="preserve"> </w:t>
      </w:r>
      <w:r w:rsidRPr="00D4309F">
        <w:t>demobilised</w:t>
      </w:r>
      <w:r w:rsidRPr="00D4309F">
        <w:rPr>
          <w:spacing w:val="-3"/>
        </w:rPr>
        <w:t xml:space="preserve"> </w:t>
      </w:r>
      <w:r w:rsidRPr="00D4309F">
        <w:t>and</w:t>
      </w:r>
      <w:r w:rsidRPr="00D4309F">
        <w:rPr>
          <w:spacing w:val="-3"/>
        </w:rPr>
        <w:t xml:space="preserve"> </w:t>
      </w:r>
      <w:r w:rsidRPr="00D4309F">
        <w:t>the</w:t>
      </w:r>
      <w:r w:rsidRPr="00D4309F">
        <w:rPr>
          <w:spacing w:val="-3"/>
        </w:rPr>
        <w:t xml:space="preserve"> </w:t>
      </w:r>
      <w:r w:rsidRPr="00D4309F">
        <w:t>site</w:t>
      </w:r>
      <w:r w:rsidRPr="00D4309F">
        <w:rPr>
          <w:spacing w:val="-3"/>
        </w:rPr>
        <w:t xml:space="preserve"> </w:t>
      </w:r>
      <w:r w:rsidRPr="00D4309F">
        <w:t>returns</w:t>
      </w:r>
      <w:r w:rsidRPr="00D4309F">
        <w:rPr>
          <w:spacing w:val="-2"/>
        </w:rPr>
        <w:t xml:space="preserve"> </w:t>
      </w:r>
      <w:r w:rsidRPr="00D4309F">
        <w:t>to</w:t>
      </w:r>
      <w:r w:rsidRPr="00D4309F">
        <w:rPr>
          <w:spacing w:val="-3"/>
        </w:rPr>
        <w:t xml:space="preserve"> </w:t>
      </w:r>
      <w:r w:rsidRPr="00D4309F">
        <w:t>normal</w:t>
      </w:r>
      <w:r w:rsidRPr="00D4309F">
        <w:rPr>
          <w:spacing w:val="-4"/>
        </w:rPr>
        <w:t xml:space="preserve"> </w:t>
      </w:r>
      <w:r w:rsidRPr="00D4309F">
        <w:t>use.</w:t>
      </w:r>
      <w:r w:rsidRPr="00D4309F">
        <w:rPr>
          <w:spacing w:val="-3"/>
        </w:rPr>
        <w:t xml:space="preserve"> </w:t>
      </w:r>
      <w:r w:rsidRPr="00D4309F">
        <w:t>This</w:t>
      </w:r>
      <w:r w:rsidRPr="00D4309F">
        <w:rPr>
          <w:spacing w:val="-2"/>
        </w:rPr>
        <w:t xml:space="preserve"> </w:t>
      </w:r>
      <w:r w:rsidRPr="00D4309F">
        <w:t>cycle</w:t>
      </w:r>
      <w:r w:rsidRPr="00D4309F">
        <w:rPr>
          <w:spacing w:val="-3"/>
        </w:rPr>
        <w:t xml:space="preserve"> </w:t>
      </w:r>
      <w:r w:rsidRPr="00D4309F">
        <w:t>repeats</w:t>
      </w:r>
      <w:r w:rsidRPr="00D4309F">
        <w:rPr>
          <w:spacing w:val="-2"/>
        </w:rPr>
        <w:t xml:space="preserve"> </w:t>
      </w:r>
      <w:r w:rsidRPr="00D4309F">
        <w:t>when monitoring shows the shoal volume nearing a threshold. Because operations are intermittent, coordination with weather is crucial – calm sea states are needed for crane stability (especially if working at the breakwater’s end). The flexibility of this method is evident: if shoaling is slower than expected, the next campaign can be delayed; in larger shoaling events, extra campaign can be scheduled.</w:t>
      </w:r>
    </w:p>
    <w:p w14:paraId="2249409B" w14:textId="77777777" w:rsidR="00725977" w:rsidRPr="00D4309F" w:rsidRDefault="00725977" w:rsidP="00725977">
      <w:pPr>
        <w:pStyle w:val="BodyText"/>
        <w:sectPr w:rsidR="00725977" w:rsidRPr="00D4309F" w:rsidSect="00405D4F">
          <w:headerReference w:type="default" r:id="rId129"/>
          <w:footerReference w:type="default" r:id="rId130"/>
          <w:pgSz w:w="11910" w:h="16840"/>
          <w:pgMar w:top="1418" w:right="1134" w:bottom="1418" w:left="1134" w:header="916" w:footer="980" w:gutter="0"/>
          <w:cols w:space="720"/>
        </w:sectPr>
      </w:pPr>
      <w:r w:rsidRPr="00D4309F">
        <w:t>The crawler-based jet pump system is nevertheless weather-window dependent. Safe crane operation on the breakwater crest requires low wave conditions and controlled overtopping, and wave climate remains the primary constraint on productivity. While Option 3C scores higher than Options 3A and 3B in the MCA for operational works - reflecting its modularity, lower mobilisation complexity, and ability to operate from alternative locations - its overall efficiency is still governed by the same metocean limitations that influence CSD performance.</w:t>
      </w:r>
    </w:p>
    <w:p w14:paraId="6D66C8D9" w14:textId="77777777" w:rsidR="00725977" w:rsidRPr="00D4309F" w:rsidRDefault="00725977" w:rsidP="008228CB">
      <w:pPr>
        <w:pStyle w:val="Heading3"/>
      </w:pPr>
      <w:bookmarkStart w:id="442" w:name="_Toc216699472"/>
      <w:r w:rsidRPr="00D4309F">
        <w:lastRenderedPageBreak/>
        <w:t>Environmental</w:t>
      </w:r>
      <w:r w:rsidRPr="00D4309F">
        <w:rPr>
          <w:spacing w:val="-9"/>
        </w:rPr>
        <w:t xml:space="preserve"> </w:t>
      </w:r>
      <w:r w:rsidRPr="00D4309F">
        <w:rPr>
          <w:spacing w:val="-2"/>
        </w:rPr>
        <w:t>constraints</w:t>
      </w:r>
      <w:bookmarkEnd w:id="442"/>
    </w:p>
    <w:p w14:paraId="1B341C2E" w14:textId="63446430" w:rsidR="00725977" w:rsidRPr="00D4309F" w:rsidRDefault="00725977" w:rsidP="00725977">
      <w:pPr>
        <w:pStyle w:val="BodyText"/>
      </w:pPr>
      <w:r w:rsidRPr="00D4309F">
        <w:t>A</w:t>
      </w:r>
      <w:r w:rsidRPr="00D4309F">
        <w:rPr>
          <w:spacing w:val="-2"/>
        </w:rPr>
        <w:t xml:space="preserve"> </w:t>
      </w:r>
      <w:r w:rsidRPr="00D4309F">
        <w:t>preliminary</w:t>
      </w:r>
      <w:r w:rsidRPr="00D4309F">
        <w:rPr>
          <w:spacing w:val="-1"/>
        </w:rPr>
        <w:t xml:space="preserve"> </w:t>
      </w:r>
      <w:r w:rsidRPr="00D4309F">
        <w:t>assessment</w:t>
      </w:r>
      <w:r w:rsidRPr="00D4309F">
        <w:rPr>
          <w:spacing w:val="-2"/>
        </w:rPr>
        <w:t xml:space="preserve"> </w:t>
      </w:r>
      <w:r w:rsidRPr="00D4309F">
        <w:t>of</w:t>
      </w:r>
      <w:r w:rsidRPr="00D4309F">
        <w:rPr>
          <w:spacing w:val="-2"/>
        </w:rPr>
        <w:t xml:space="preserve"> </w:t>
      </w:r>
      <w:r w:rsidRPr="00D4309F">
        <w:t>environmental</w:t>
      </w:r>
      <w:r w:rsidRPr="00D4309F">
        <w:rPr>
          <w:spacing w:val="-2"/>
        </w:rPr>
        <w:t xml:space="preserve"> </w:t>
      </w:r>
      <w:r w:rsidRPr="00D4309F">
        <w:t>constraints</w:t>
      </w:r>
      <w:r w:rsidRPr="00D4309F">
        <w:rPr>
          <w:spacing w:val="-1"/>
        </w:rPr>
        <w:t xml:space="preserve"> </w:t>
      </w:r>
      <w:r w:rsidRPr="00D4309F">
        <w:t>for</w:t>
      </w:r>
      <w:r w:rsidRPr="00D4309F">
        <w:rPr>
          <w:spacing w:val="-2"/>
        </w:rPr>
        <w:t xml:space="preserve"> </w:t>
      </w:r>
      <w:r w:rsidRPr="00D4309F">
        <w:t>breakwater</w:t>
      </w:r>
      <w:r w:rsidRPr="00D4309F">
        <w:rPr>
          <w:spacing w:val="-2"/>
        </w:rPr>
        <w:t xml:space="preserve"> </w:t>
      </w:r>
      <w:r w:rsidRPr="00D4309F">
        <w:t>extension</w:t>
      </w:r>
      <w:r w:rsidRPr="00D4309F">
        <w:rPr>
          <w:spacing w:val="-2"/>
        </w:rPr>
        <w:t xml:space="preserve"> </w:t>
      </w:r>
      <w:r w:rsidRPr="00D4309F">
        <w:t>with</w:t>
      </w:r>
      <w:r w:rsidRPr="00D4309F">
        <w:rPr>
          <w:spacing w:val="-2"/>
        </w:rPr>
        <w:t xml:space="preserve"> </w:t>
      </w:r>
      <w:r w:rsidRPr="00D4309F">
        <w:t>crane-operated</w:t>
      </w:r>
      <w:r w:rsidRPr="00D4309F">
        <w:rPr>
          <w:spacing w:val="-2"/>
        </w:rPr>
        <w:t xml:space="preserve"> </w:t>
      </w:r>
      <w:r w:rsidRPr="00D4309F">
        <w:t>mobile</w:t>
      </w:r>
      <w:r w:rsidRPr="00D4309F">
        <w:rPr>
          <w:spacing w:val="-2"/>
        </w:rPr>
        <w:t xml:space="preserve"> </w:t>
      </w:r>
      <w:r w:rsidRPr="00D4309F">
        <w:t>jet</w:t>
      </w:r>
      <w:r w:rsidRPr="00D4309F">
        <w:rPr>
          <w:spacing w:val="-3"/>
        </w:rPr>
        <w:t xml:space="preserve"> </w:t>
      </w:r>
      <w:r w:rsidRPr="00D4309F">
        <w:t>(Option</w:t>
      </w:r>
      <w:r w:rsidRPr="00D4309F">
        <w:rPr>
          <w:spacing w:val="-2"/>
        </w:rPr>
        <w:t xml:space="preserve"> </w:t>
      </w:r>
      <w:r w:rsidRPr="00D4309F">
        <w:t>3B),</w:t>
      </w:r>
      <w:r w:rsidRPr="00D4309F">
        <w:rPr>
          <w:spacing w:val="-2"/>
        </w:rPr>
        <w:t xml:space="preserve"> </w:t>
      </w:r>
      <w:r w:rsidRPr="00D4309F">
        <w:t>based</w:t>
      </w:r>
      <w:r w:rsidRPr="00D4309F">
        <w:rPr>
          <w:spacing w:val="-3"/>
        </w:rPr>
        <w:t xml:space="preserve"> </w:t>
      </w:r>
      <w:r w:rsidRPr="00D4309F">
        <w:t>on</w:t>
      </w:r>
      <w:r w:rsidRPr="00D4309F">
        <w:rPr>
          <w:spacing w:val="-2"/>
        </w:rPr>
        <w:t xml:space="preserve"> </w:t>
      </w:r>
      <w:r w:rsidRPr="00D4309F">
        <w:t>the</w:t>
      </w:r>
      <w:r w:rsidRPr="00D4309F">
        <w:rPr>
          <w:spacing w:val="-2"/>
        </w:rPr>
        <w:t xml:space="preserve"> </w:t>
      </w:r>
      <w:r w:rsidRPr="00D4309F">
        <w:t>constraints</w:t>
      </w:r>
      <w:r w:rsidRPr="00D4309F">
        <w:rPr>
          <w:spacing w:val="-1"/>
        </w:rPr>
        <w:t xml:space="preserve"> </w:t>
      </w:r>
      <w:r w:rsidRPr="00D4309F">
        <w:t xml:space="preserve">analysis criteria in </w:t>
      </w:r>
      <w:hyperlink w:anchor="_bookmark160" w:history="1">
        <w:r w:rsidR="00D4229D">
          <w:fldChar w:fldCharType="begin" w:fldLock="1"/>
        </w:r>
        <w:r w:rsidR="00D4229D">
          <w:instrText xml:space="preserve"> REF _Ref215980055 \h </w:instrText>
        </w:r>
        <w:r w:rsidR="00D4229D">
          <w:fldChar w:fldCharType="separate"/>
        </w:r>
        <w:r w:rsidR="00D4229D">
          <w:t xml:space="preserve">Table </w:t>
        </w:r>
        <w:r w:rsidR="00D4229D">
          <w:rPr>
            <w:noProof/>
          </w:rPr>
          <w:t>15</w:t>
        </w:r>
        <w:r w:rsidR="00D4229D">
          <w:noBreakHyphen/>
        </w:r>
        <w:r w:rsidR="00D4229D">
          <w:rPr>
            <w:noProof/>
          </w:rPr>
          <w:t>5</w:t>
        </w:r>
        <w:r w:rsidR="00D4229D">
          <w:fldChar w:fldCharType="end"/>
        </w:r>
        <w:r w:rsidRPr="00D4309F">
          <w:t>,</w:t>
        </w:r>
      </w:hyperlink>
      <w:r w:rsidRPr="00D4309F">
        <w:t xml:space="preserve"> detailed in </w:t>
      </w:r>
      <w:hyperlink w:anchor="_bookmark161" w:history="1">
        <w:r w:rsidR="00D4229D">
          <w:fldChar w:fldCharType="begin" w:fldLock="1"/>
        </w:r>
        <w:r w:rsidR="00D4229D">
          <w:instrText xml:space="preserve"> REF _Ref215980065 \h </w:instrText>
        </w:r>
        <w:r w:rsidR="00D4229D">
          <w:fldChar w:fldCharType="separate"/>
        </w:r>
        <w:r w:rsidR="00D4229D">
          <w:t xml:space="preserve">Table </w:t>
        </w:r>
        <w:r w:rsidR="00D4229D">
          <w:rPr>
            <w:noProof/>
          </w:rPr>
          <w:t>15</w:t>
        </w:r>
        <w:r w:rsidR="00D4229D">
          <w:noBreakHyphen/>
        </w:r>
        <w:r w:rsidR="00D4229D">
          <w:rPr>
            <w:noProof/>
          </w:rPr>
          <w:t>6</w:t>
        </w:r>
        <w:r w:rsidR="00D4229D">
          <w:fldChar w:fldCharType="end"/>
        </w:r>
        <w:r w:rsidRPr="00D4309F">
          <w:t>.</w:t>
        </w:r>
      </w:hyperlink>
    </w:p>
    <w:p w14:paraId="11E53C49" w14:textId="320826BB" w:rsidR="00725977" w:rsidRPr="00D4309F" w:rsidRDefault="00D4229D" w:rsidP="007774EC">
      <w:pPr>
        <w:pStyle w:val="Table-Caption"/>
      </w:pPr>
      <w:bookmarkStart w:id="443" w:name="_bookmark160"/>
      <w:bookmarkStart w:id="444" w:name="_Ref215980055"/>
      <w:bookmarkStart w:id="445" w:name="_Toc216699573"/>
      <w:bookmarkEnd w:id="443"/>
      <w:r>
        <w:t xml:space="preserve">Table </w:t>
      </w:r>
      <w:r w:rsidR="00151534">
        <w:fldChar w:fldCharType="begin" w:fldLock="1"/>
      </w:r>
      <w:r w:rsidR="00151534">
        <w:instrText xml:space="preserve"> STYLEREF 1 \s </w:instrText>
      </w:r>
      <w:r w:rsidR="00151534">
        <w:fldChar w:fldCharType="separate"/>
      </w:r>
      <w:r w:rsidR="00151534">
        <w:rPr>
          <w:noProof/>
        </w:rPr>
        <w:t>15</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5</w:t>
      </w:r>
      <w:r w:rsidR="00151534">
        <w:fldChar w:fldCharType="end"/>
      </w:r>
      <w:bookmarkEnd w:id="444"/>
      <w:r>
        <w:t>:</w:t>
      </w:r>
      <w:r>
        <w:tab/>
      </w:r>
      <w:r w:rsidRPr="00D4309F">
        <w:rPr>
          <w:color w:val="211E1F"/>
        </w:rPr>
        <w:t>Constraints</w:t>
      </w:r>
      <w:r w:rsidRPr="00D4309F">
        <w:rPr>
          <w:color w:val="211E1F"/>
          <w:spacing w:val="-3"/>
        </w:rPr>
        <w:t xml:space="preserve"> </w:t>
      </w:r>
      <w:r w:rsidRPr="00D4309F">
        <w:rPr>
          <w:color w:val="211E1F"/>
        </w:rPr>
        <w:t>analysis</w:t>
      </w:r>
      <w:r w:rsidRPr="00D4309F">
        <w:rPr>
          <w:color w:val="211E1F"/>
          <w:spacing w:val="-2"/>
        </w:rPr>
        <w:t xml:space="preserve"> criteria</w:t>
      </w:r>
      <w:bookmarkEnd w:id="445"/>
    </w:p>
    <w:tbl>
      <w:tblPr>
        <w:tblW w:w="5000" w:type="pct"/>
        <w:tblCellMar>
          <w:left w:w="0" w:type="dxa"/>
          <w:right w:w="0" w:type="dxa"/>
        </w:tblCellMar>
        <w:tblLook w:val="01E0" w:firstRow="1" w:lastRow="1" w:firstColumn="1" w:lastColumn="1" w:noHBand="0" w:noVBand="0"/>
      </w:tblPr>
      <w:tblGrid>
        <w:gridCol w:w="1711"/>
        <w:gridCol w:w="12861"/>
      </w:tblGrid>
      <w:tr w:rsidR="00725977" w:rsidRPr="00D4309F" w14:paraId="2E3B2320" w14:textId="77777777" w:rsidTr="00A66C91">
        <w:trPr>
          <w:trHeight w:val="286"/>
        </w:trPr>
        <w:tc>
          <w:tcPr>
            <w:tcW w:w="587" w:type="pct"/>
            <w:tcBorders>
              <w:bottom w:val="single" w:sz="4" w:space="0" w:color="000000"/>
            </w:tcBorders>
            <w:shd w:val="clear" w:color="auto" w:fill="D6D7D5"/>
          </w:tcPr>
          <w:p w14:paraId="22467AF0" w14:textId="77777777" w:rsidR="00725977" w:rsidRPr="00D4309F" w:rsidRDefault="00725977">
            <w:pPr>
              <w:pStyle w:val="TableParagraph"/>
              <w:spacing w:before="40"/>
              <w:ind w:left="165"/>
              <w:rPr>
                <w:b/>
                <w:sz w:val="18"/>
              </w:rPr>
            </w:pPr>
            <w:r w:rsidRPr="00D4309F">
              <w:rPr>
                <w:b/>
                <w:color w:val="70004A"/>
                <w:sz w:val="18"/>
              </w:rPr>
              <w:t>Constraint</w:t>
            </w:r>
            <w:r w:rsidRPr="00D4309F">
              <w:rPr>
                <w:b/>
                <w:color w:val="70004A"/>
                <w:spacing w:val="-4"/>
                <w:sz w:val="18"/>
              </w:rPr>
              <w:t xml:space="preserve"> </w:t>
            </w:r>
            <w:r w:rsidRPr="00D4309F">
              <w:rPr>
                <w:b/>
                <w:color w:val="70004A"/>
                <w:spacing w:val="-2"/>
                <w:sz w:val="18"/>
              </w:rPr>
              <w:t>level</w:t>
            </w:r>
          </w:p>
        </w:tc>
        <w:tc>
          <w:tcPr>
            <w:tcW w:w="4413" w:type="pct"/>
            <w:tcBorders>
              <w:bottom w:val="single" w:sz="4" w:space="0" w:color="000000"/>
            </w:tcBorders>
            <w:shd w:val="clear" w:color="auto" w:fill="D6D7D5"/>
          </w:tcPr>
          <w:p w14:paraId="04E7086E" w14:textId="77777777" w:rsidR="00725977" w:rsidRPr="00D4309F" w:rsidRDefault="00725977">
            <w:pPr>
              <w:pStyle w:val="TableParagraph"/>
              <w:spacing w:before="40"/>
              <w:ind w:left="163"/>
              <w:rPr>
                <w:b/>
                <w:sz w:val="18"/>
              </w:rPr>
            </w:pPr>
            <w:r w:rsidRPr="00D4309F">
              <w:rPr>
                <w:b/>
                <w:color w:val="70004A"/>
                <w:spacing w:val="-2"/>
                <w:sz w:val="18"/>
              </w:rPr>
              <w:t>Description</w:t>
            </w:r>
          </w:p>
        </w:tc>
      </w:tr>
      <w:tr w:rsidR="00725977" w:rsidRPr="00D4309F" w14:paraId="7B75106A" w14:textId="77777777" w:rsidTr="00A66C91">
        <w:trPr>
          <w:trHeight w:val="287"/>
        </w:trPr>
        <w:tc>
          <w:tcPr>
            <w:tcW w:w="587" w:type="pct"/>
            <w:tcBorders>
              <w:top w:val="single" w:sz="4" w:space="0" w:color="000000"/>
              <w:bottom w:val="single" w:sz="4" w:space="0" w:color="000000"/>
            </w:tcBorders>
            <w:shd w:val="clear" w:color="auto" w:fill="BDB7B3"/>
          </w:tcPr>
          <w:p w14:paraId="2DBF6130" w14:textId="77777777" w:rsidR="00725977" w:rsidRPr="00D4309F" w:rsidRDefault="00725977">
            <w:pPr>
              <w:pStyle w:val="TableParagraph"/>
              <w:spacing w:before="41"/>
              <w:ind w:left="165"/>
              <w:rPr>
                <w:b/>
                <w:sz w:val="18"/>
              </w:rPr>
            </w:pPr>
            <w:r w:rsidRPr="00D4309F">
              <w:rPr>
                <w:b/>
                <w:color w:val="211E1F"/>
                <w:sz w:val="18"/>
              </w:rPr>
              <w:t>No</w:t>
            </w:r>
            <w:r w:rsidRPr="00D4309F">
              <w:rPr>
                <w:b/>
                <w:color w:val="211E1F"/>
                <w:spacing w:val="-3"/>
                <w:sz w:val="18"/>
              </w:rPr>
              <w:t xml:space="preserve"> </w:t>
            </w:r>
            <w:r w:rsidRPr="00D4309F">
              <w:rPr>
                <w:b/>
                <w:color w:val="211E1F"/>
                <w:spacing w:val="-2"/>
                <w:sz w:val="18"/>
              </w:rPr>
              <w:t>impact</w:t>
            </w:r>
          </w:p>
        </w:tc>
        <w:tc>
          <w:tcPr>
            <w:tcW w:w="4413" w:type="pct"/>
            <w:tcBorders>
              <w:top w:val="single" w:sz="4" w:space="0" w:color="000000"/>
              <w:bottom w:val="single" w:sz="4" w:space="0" w:color="000000"/>
            </w:tcBorders>
          </w:tcPr>
          <w:p w14:paraId="22002AC2" w14:textId="77777777" w:rsidR="00725977" w:rsidRPr="00D4309F" w:rsidRDefault="00725977">
            <w:pPr>
              <w:pStyle w:val="TableParagraph"/>
              <w:spacing w:before="41"/>
              <w:ind w:left="163"/>
              <w:rPr>
                <w:sz w:val="18"/>
              </w:rPr>
            </w:pPr>
            <w:r w:rsidRPr="00D4309F">
              <w:rPr>
                <w:color w:val="211E1F"/>
                <w:sz w:val="18"/>
              </w:rPr>
              <w:t>There</w:t>
            </w:r>
            <w:r w:rsidRPr="00D4309F">
              <w:rPr>
                <w:color w:val="211E1F"/>
                <w:spacing w:val="-6"/>
                <w:sz w:val="18"/>
              </w:rPr>
              <w:t xml:space="preserve"> </w:t>
            </w:r>
            <w:r w:rsidRPr="00D4309F">
              <w:rPr>
                <w:color w:val="211E1F"/>
                <w:sz w:val="18"/>
              </w:rPr>
              <w:t>is</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impact</w:t>
            </w:r>
            <w:r w:rsidRPr="00D4309F">
              <w:rPr>
                <w:color w:val="211E1F"/>
                <w:spacing w:val="-2"/>
                <w:sz w:val="18"/>
              </w:rPr>
              <w:t xml:space="preserve"> </w:t>
            </w:r>
            <w:r w:rsidRPr="00D4309F">
              <w:rPr>
                <w:color w:val="211E1F"/>
                <w:sz w:val="18"/>
              </w:rPr>
              <w:t>pathway</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1"/>
                <w:sz w:val="18"/>
              </w:rPr>
              <w:t xml:space="preserve"> </w:t>
            </w:r>
            <w:r w:rsidRPr="00D4309F">
              <w:rPr>
                <w:color w:val="211E1F"/>
                <w:sz w:val="18"/>
              </w:rPr>
              <w:t>receptor.</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required.</w:t>
            </w:r>
          </w:p>
        </w:tc>
      </w:tr>
      <w:tr w:rsidR="00725977" w:rsidRPr="00D4309F" w14:paraId="207B4A27" w14:textId="77777777" w:rsidTr="00A66C91">
        <w:trPr>
          <w:trHeight w:val="286"/>
        </w:trPr>
        <w:tc>
          <w:tcPr>
            <w:tcW w:w="587" w:type="pct"/>
            <w:tcBorders>
              <w:top w:val="single" w:sz="4" w:space="0" w:color="000000"/>
              <w:bottom w:val="single" w:sz="4" w:space="0" w:color="000000"/>
            </w:tcBorders>
            <w:shd w:val="clear" w:color="auto" w:fill="92D050"/>
          </w:tcPr>
          <w:p w14:paraId="5503BEB3" w14:textId="77777777" w:rsidR="00725977" w:rsidRPr="00D4309F" w:rsidRDefault="00725977">
            <w:pPr>
              <w:pStyle w:val="TableParagraph"/>
              <w:spacing w:before="39"/>
              <w:ind w:left="165"/>
              <w:rPr>
                <w:b/>
                <w:sz w:val="18"/>
              </w:rPr>
            </w:pPr>
            <w:r w:rsidRPr="00D4309F">
              <w:rPr>
                <w:b/>
                <w:color w:val="211E1F"/>
                <w:spacing w:val="-5"/>
                <w:sz w:val="18"/>
              </w:rPr>
              <w:t>Low</w:t>
            </w:r>
          </w:p>
        </w:tc>
        <w:tc>
          <w:tcPr>
            <w:tcW w:w="4413" w:type="pct"/>
            <w:tcBorders>
              <w:top w:val="single" w:sz="4" w:space="0" w:color="000000"/>
              <w:bottom w:val="single" w:sz="4" w:space="0" w:color="000000"/>
            </w:tcBorders>
          </w:tcPr>
          <w:p w14:paraId="0BB7AD2D" w14:textId="77777777" w:rsidR="00725977" w:rsidRPr="00D4309F" w:rsidRDefault="00725977">
            <w:pPr>
              <w:pStyle w:val="TableParagraph"/>
              <w:spacing w:before="39"/>
              <w:ind w:left="163"/>
              <w:rPr>
                <w:sz w:val="18"/>
              </w:rPr>
            </w:pPr>
            <w:r w:rsidRPr="00D4309F">
              <w:rPr>
                <w:color w:val="211E1F"/>
                <w:sz w:val="18"/>
              </w:rPr>
              <w:t>There</w:t>
            </w:r>
            <w:r w:rsidRPr="00D4309F">
              <w:rPr>
                <w:color w:val="211E1F"/>
                <w:spacing w:val="-6"/>
                <w:sz w:val="18"/>
              </w:rPr>
              <w:t xml:space="preserve"> </w:t>
            </w:r>
            <w:r w:rsidRPr="00D4309F">
              <w:rPr>
                <w:color w:val="211E1F"/>
                <w:sz w:val="18"/>
              </w:rPr>
              <w:t>is</w:t>
            </w:r>
            <w:r w:rsidRPr="00D4309F">
              <w:rPr>
                <w:color w:val="211E1F"/>
                <w:spacing w:val="-2"/>
                <w:sz w:val="18"/>
              </w:rPr>
              <w:t xml:space="preserve"> </w:t>
            </w:r>
            <w:r w:rsidRPr="00D4309F">
              <w:rPr>
                <w:color w:val="211E1F"/>
                <w:sz w:val="18"/>
              </w:rPr>
              <w:t>low</w:t>
            </w:r>
            <w:r w:rsidRPr="00D4309F">
              <w:rPr>
                <w:color w:val="211E1F"/>
                <w:spacing w:val="-2"/>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3"/>
                <w:sz w:val="18"/>
              </w:rPr>
              <w:t xml:space="preserve"> </w:t>
            </w:r>
            <w:r w:rsidRPr="00D4309F">
              <w:rPr>
                <w:color w:val="211E1F"/>
                <w:sz w:val="18"/>
              </w:rPr>
              <w:t>No</w:t>
            </w:r>
            <w:r w:rsidRPr="00D4309F">
              <w:rPr>
                <w:color w:val="211E1F"/>
                <w:spacing w:val="-3"/>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required.</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or</w:t>
            </w:r>
            <w:r w:rsidRPr="00D4309F">
              <w:rPr>
                <w:color w:val="211E1F"/>
                <w:spacing w:val="-2"/>
                <w:sz w:val="18"/>
              </w:rPr>
              <w:t xml:space="preserve"> </w:t>
            </w:r>
            <w:r w:rsidRPr="00D4309F">
              <w:rPr>
                <w:color w:val="211E1F"/>
                <w:sz w:val="18"/>
              </w:rPr>
              <w:t>standard</w:t>
            </w:r>
            <w:r w:rsidRPr="00D4309F">
              <w:rPr>
                <w:color w:val="211E1F"/>
                <w:spacing w:val="-3"/>
                <w:sz w:val="18"/>
              </w:rPr>
              <w:t xml:space="preserve"> </w:t>
            </w:r>
            <w:r w:rsidRPr="00D4309F">
              <w:rPr>
                <w:color w:val="211E1F"/>
                <w:sz w:val="18"/>
              </w:rPr>
              <w:t>management</w:t>
            </w:r>
            <w:r w:rsidRPr="00D4309F">
              <w:rPr>
                <w:color w:val="211E1F"/>
                <w:spacing w:val="-2"/>
                <w:sz w:val="18"/>
              </w:rPr>
              <w:t xml:space="preserve"> likely.</w:t>
            </w:r>
          </w:p>
        </w:tc>
      </w:tr>
      <w:tr w:rsidR="00725977" w:rsidRPr="00D4309F" w14:paraId="3D44B7E6" w14:textId="77777777" w:rsidTr="00A66C91">
        <w:trPr>
          <w:trHeight w:val="493"/>
        </w:trPr>
        <w:tc>
          <w:tcPr>
            <w:tcW w:w="587" w:type="pct"/>
            <w:tcBorders>
              <w:top w:val="single" w:sz="4" w:space="0" w:color="000000"/>
              <w:bottom w:val="single" w:sz="4" w:space="0" w:color="000000"/>
            </w:tcBorders>
            <w:shd w:val="clear" w:color="auto" w:fill="FFFF00"/>
          </w:tcPr>
          <w:p w14:paraId="34D8737D" w14:textId="77777777" w:rsidR="00725977" w:rsidRPr="00D4309F" w:rsidRDefault="00725977">
            <w:pPr>
              <w:pStyle w:val="TableParagraph"/>
              <w:spacing w:before="144"/>
              <w:ind w:left="165"/>
              <w:rPr>
                <w:b/>
                <w:sz w:val="18"/>
              </w:rPr>
            </w:pPr>
            <w:r w:rsidRPr="00D4309F">
              <w:rPr>
                <w:b/>
                <w:color w:val="211E1F"/>
                <w:spacing w:val="-2"/>
                <w:sz w:val="18"/>
              </w:rPr>
              <w:t>Moderate</w:t>
            </w:r>
          </w:p>
        </w:tc>
        <w:tc>
          <w:tcPr>
            <w:tcW w:w="4413" w:type="pct"/>
            <w:tcBorders>
              <w:top w:val="single" w:sz="4" w:space="0" w:color="000000"/>
              <w:bottom w:val="single" w:sz="4" w:space="0" w:color="000000"/>
            </w:tcBorders>
          </w:tcPr>
          <w:p w14:paraId="6ED35A86" w14:textId="77777777" w:rsidR="00725977" w:rsidRPr="00D4309F" w:rsidRDefault="00725977">
            <w:pPr>
              <w:pStyle w:val="TableParagraph"/>
              <w:spacing w:before="41"/>
              <w:ind w:left="163"/>
              <w:rPr>
                <w:sz w:val="18"/>
              </w:rPr>
            </w:pPr>
            <w:r w:rsidRPr="00D4309F">
              <w:rPr>
                <w:color w:val="211E1F"/>
                <w:sz w:val="18"/>
              </w:rPr>
              <w:t>There</w:t>
            </w:r>
            <w:r w:rsidRPr="00D4309F">
              <w:rPr>
                <w:color w:val="211E1F"/>
                <w:spacing w:val="-3"/>
                <w:sz w:val="18"/>
              </w:rPr>
              <w:t xml:space="preserve"> </w:t>
            </w:r>
            <w:r w:rsidRPr="00D4309F">
              <w:rPr>
                <w:color w:val="211E1F"/>
                <w:sz w:val="18"/>
              </w:rPr>
              <w:t>is</w:t>
            </w:r>
            <w:r w:rsidRPr="00D4309F">
              <w:rPr>
                <w:color w:val="211E1F"/>
                <w:spacing w:val="-2"/>
                <w:sz w:val="18"/>
              </w:rPr>
              <w:t xml:space="preserve"> </w:t>
            </w:r>
            <w:r w:rsidRPr="00D4309F">
              <w:rPr>
                <w:color w:val="211E1F"/>
                <w:sz w:val="18"/>
              </w:rPr>
              <w:t>a</w:t>
            </w:r>
            <w:r w:rsidRPr="00D4309F">
              <w:rPr>
                <w:color w:val="211E1F"/>
                <w:spacing w:val="-3"/>
                <w:sz w:val="18"/>
              </w:rPr>
              <w:t xml:space="preserve"> </w:t>
            </w:r>
            <w:r w:rsidRPr="00D4309F">
              <w:rPr>
                <w:color w:val="211E1F"/>
                <w:sz w:val="18"/>
              </w:rPr>
              <w:t>moderate</w:t>
            </w:r>
            <w:r w:rsidRPr="00D4309F">
              <w:rPr>
                <w:color w:val="211E1F"/>
                <w:spacing w:val="-3"/>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2"/>
                <w:sz w:val="18"/>
              </w:rPr>
              <w:t xml:space="preserve"> </w:t>
            </w:r>
            <w:r w:rsidRPr="00D4309F">
              <w:rPr>
                <w:color w:val="211E1F"/>
                <w:sz w:val="18"/>
              </w:rPr>
              <w:t>which</w:t>
            </w:r>
            <w:r w:rsidRPr="00D4309F">
              <w:rPr>
                <w:color w:val="211E1F"/>
                <w:spacing w:val="-3"/>
                <w:sz w:val="18"/>
              </w:rPr>
              <w:t xml:space="preserve"> </w:t>
            </w:r>
            <w:r w:rsidRPr="00D4309F">
              <w:rPr>
                <w:color w:val="211E1F"/>
                <w:sz w:val="18"/>
              </w:rPr>
              <w:t>will</w:t>
            </w:r>
            <w:r w:rsidRPr="00D4309F">
              <w:rPr>
                <w:color w:val="211E1F"/>
                <w:spacing w:val="-1"/>
                <w:sz w:val="18"/>
              </w:rPr>
              <w:t xml:space="preserve"> </w:t>
            </w:r>
            <w:r w:rsidRPr="00D4309F">
              <w:rPr>
                <w:color w:val="211E1F"/>
                <w:sz w:val="18"/>
              </w:rPr>
              <w:t>require</w:t>
            </w:r>
            <w:r w:rsidRPr="00D4309F">
              <w:rPr>
                <w:color w:val="211E1F"/>
                <w:spacing w:val="-3"/>
                <w:sz w:val="18"/>
              </w:rPr>
              <w:t xml:space="preserve"> </w:t>
            </w:r>
            <w:r w:rsidRPr="00D4309F">
              <w:rPr>
                <w:color w:val="211E1F"/>
                <w:sz w:val="18"/>
              </w:rPr>
              <w:t>further</w:t>
            </w:r>
            <w:r w:rsidRPr="00D4309F">
              <w:rPr>
                <w:color w:val="211E1F"/>
                <w:spacing w:val="-1"/>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to</w:t>
            </w:r>
            <w:r w:rsidRPr="00D4309F">
              <w:rPr>
                <w:color w:val="211E1F"/>
                <w:spacing w:val="-1"/>
                <w:sz w:val="18"/>
              </w:rPr>
              <w:t xml:space="preserve"> </w:t>
            </w:r>
            <w:r w:rsidRPr="00D4309F">
              <w:rPr>
                <w:color w:val="211E1F"/>
                <w:sz w:val="18"/>
              </w:rPr>
              <w:t>determine</w:t>
            </w:r>
            <w:r w:rsidRPr="00D4309F">
              <w:rPr>
                <w:color w:val="211E1F"/>
                <w:spacing w:val="-3"/>
                <w:sz w:val="18"/>
              </w:rPr>
              <w:t xml:space="preserve"> </w:t>
            </w:r>
            <w:r w:rsidRPr="00D4309F">
              <w:rPr>
                <w:color w:val="211E1F"/>
                <w:sz w:val="18"/>
              </w:rPr>
              <w:t>the</w:t>
            </w:r>
            <w:r w:rsidRPr="00D4309F">
              <w:rPr>
                <w:color w:val="211E1F"/>
                <w:spacing w:val="-1"/>
                <w:sz w:val="18"/>
              </w:rPr>
              <w:t xml:space="preserve"> </w:t>
            </w:r>
            <w:r w:rsidRPr="00D4309F">
              <w:rPr>
                <w:color w:val="211E1F"/>
                <w:sz w:val="18"/>
              </w:rPr>
              <w:t>significance</w:t>
            </w:r>
            <w:r w:rsidRPr="00D4309F">
              <w:rPr>
                <w:color w:val="211E1F"/>
                <w:spacing w:val="-3"/>
                <w:sz w:val="18"/>
              </w:rPr>
              <w:t xml:space="preserve"> </w:t>
            </w:r>
            <w:r w:rsidRPr="00D4309F">
              <w:rPr>
                <w:color w:val="211E1F"/>
                <w:sz w:val="18"/>
              </w:rPr>
              <w:t>of</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Likely</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be manageable or engineered to minimise potential impacts on the receiving environment.</w:t>
            </w:r>
          </w:p>
        </w:tc>
      </w:tr>
      <w:tr w:rsidR="00725977" w:rsidRPr="00D4309F" w14:paraId="22D36F5B" w14:textId="77777777" w:rsidTr="00A66C91">
        <w:trPr>
          <w:trHeight w:val="494"/>
        </w:trPr>
        <w:tc>
          <w:tcPr>
            <w:tcW w:w="587" w:type="pct"/>
            <w:tcBorders>
              <w:top w:val="single" w:sz="4" w:space="0" w:color="000000"/>
            </w:tcBorders>
            <w:shd w:val="clear" w:color="auto" w:fill="FFC000"/>
          </w:tcPr>
          <w:p w14:paraId="104FB7B7" w14:textId="77777777" w:rsidR="00725977" w:rsidRPr="00D4309F" w:rsidRDefault="00725977">
            <w:pPr>
              <w:pStyle w:val="TableParagraph"/>
              <w:spacing w:before="144"/>
              <w:ind w:left="165"/>
              <w:rPr>
                <w:b/>
                <w:sz w:val="18"/>
              </w:rPr>
            </w:pPr>
            <w:r w:rsidRPr="00D4309F">
              <w:rPr>
                <w:b/>
                <w:color w:val="211E1F"/>
                <w:spacing w:val="-4"/>
                <w:sz w:val="18"/>
              </w:rPr>
              <w:t>High</w:t>
            </w:r>
          </w:p>
        </w:tc>
        <w:tc>
          <w:tcPr>
            <w:tcW w:w="4413" w:type="pct"/>
            <w:tcBorders>
              <w:top w:val="single" w:sz="4" w:space="0" w:color="000000"/>
            </w:tcBorders>
          </w:tcPr>
          <w:p w14:paraId="5D47B40E" w14:textId="77777777" w:rsidR="00725977" w:rsidRPr="00D4309F" w:rsidRDefault="00725977">
            <w:pPr>
              <w:pStyle w:val="TableParagraph"/>
              <w:spacing w:before="41"/>
              <w:ind w:left="163"/>
              <w:rPr>
                <w:sz w:val="18"/>
              </w:rPr>
            </w:pPr>
            <w:r w:rsidRPr="00D4309F">
              <w:rPr>
                <w:color w:val="211E1F"/>
                <w:sz w:val="18"/>
              </w:rPr>
              <w:t>There</w:t>
            </w:r>
            <w:r w:rsidRPr="00D4309F">
              <w:rPr>
                <w:color w:val="211E1F"/>
                <w:spacing w:val="-3"/>
                <w:sz w:val="18"/>
              </w:rPr>
              <w:t xml:space="preserve"> </w:t>
            </w:r>
            <w:r w:rsidRPr="00D4309F">
              <w:rPr>
                <w:color w:val="211E1F"/>
                <w:sz w:val="18"/>
              </w:rPr>
              <w:t>is</w:t>
            </w:r>
            <w:r w:rsidRPr="00D4309F">
              <w:rPr>
                <w:color w:val="211E1F"/>
                <w:spacing w:val="-2"/>
                <w:sz w:val="18"/>
              </w:rPr>
              <w:t xml:space="preserve"> </w:t>
            </w:r>
            <w:r w:rsidRPr="00D4309F">
              <w:rPr>
                <w:color w:val="211E1F"/>
                <w:sz w:val="18"/>
              </w:rPr>
              <w:t>a</w:t>
            </w:r>
            <w:r w:rsidRPr="00D4309F">
              <w:rPr>
                <w:color w:val="211E1F"/>
                <w:spacing w:val="-3"/>
                <w:sz w:val="18"/>
              </w:rPr>
              <w:t xml:space="preserve"> </w:t>
            </w:r>
            <w:r w:rsidRPr="00D4309F">
              <w:rPr>
                <w:color w:val="211E1F"/>
                <w:sz w:val="18"/>
              </w:rPr>
              <w:t>high</w:t>
            </w:r>
            <w:r w:rsidRPr="00D4309F">
              <w:rPr>
                <w:color w:val="211E1F"/>
                <w:spacing w:val="-1"/>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2"/>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required</w:t>
            </w:r>
            <w:r w:rsidRPr="00D4309F">
              <w:rPr>
                <w:color w:val="211E1F"/>
                <w:spacing w:val="-3"/>
                <w:sz w:val="18"/>
              </w:rPr>
              <w:t xml:space="preserve"> </w:t>
            </w:r>
            <w:r w:rsidRPr="00D4309F">
              <w:rPr>
                <w:color w:val="211E1F"/>
                <w:sz w:val="18"/>
              </w:rPr>
              <w:t>to</w:t>
            </w:r>
            <w:r w:rsidRPr="00D4309F">
              <w:rPr>
                <w:color w:val="211E1F"/>
                <w:spacing w:val="-3"/>
                <w:sz w:val="18"/>
              </w:rPr>
              <w:t xml:space="preserve"> </w:t>
            </w:r>
            <w:r w:rsidRPr="00D4309F">
              <w:rPr>
                <w:color w:val="211E1F"/>
                <w:sz w:val="18"/>
              </w:rPr>
              <w:t>determine</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significance</w:t>
            </w:r>
            <w:r w:rsidRPr="00D4309F">
              <w:rPr>
                <w:color w:val="211E1F"/>
                <w:spacing w:val="-1"/>
                <w:sz w:val="18"/>
              </w:rPr>
              <w:t xml:space="preserve"> </w:t>
            </w:r>
            <w:r w:rsidRPr="00D4309F">
              <w:rPr>
                <w:color w:val="211E1F"/>
                <w:sz w:val="18"/>
              </w:rPr>
              <w:t>of</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and</w:t>
            </w:r>
            <w:r w:rsidRPr="00D4309F">
              <w:rPr>
                <w:color w:val="211E1F"/>
                <w:spacing w:val="-3"/>
                <w:sz w:val="18"/>
              </w:rPr>
              <w:t xml:space="preserve"> </w:t>
            </w:r>
            <w:r w:rsidRPr="00D4309F">
              <w:rPr>
                <w:color w:val="211E1F"/>
                <w:sz w:val="18"/>
              </w:rPr>
              <w:t>mitigation</w:t>
            </w:r>
            <w:r w:rsidRPr="00D4309F">
              <w:rPr>
                <w:color w:val="211E1F"/>
                <w:spacing w:val="-1"/>
                <w:sz w:val="18"/>
              </w:rPr>
              <w:t xml:space="preserve"> </w:t>
            </w:r>
            <w:r w:rsidRPr="00D4309F">
              <w:rPr>
                <w:color w:val="211E1F"/>
                <w:sz w:val="18"/>
              </w:rPr>
              <w:t>strategy. Consideration for regulatory approvals.</w:t>
            </w:r>
          </w:p>
        </w:tc>
      </w:tr>
    </w:tbl>
    <w:p w14:paraId="2463A99C" w14:textId="49500526" w:rsidR="00725977" w:rsidRPr="00D4309F" w:rsidRDefault="00725977" w:rsidP="00D4229D">
      <w:pPr>
        <w:pStyle w:val="BodyText"/>
      </w:pPr>
      <w:bookmarkStart w:id="446" w:name="_bookmark161"/>
      <w:bookmarkEnd w:id="446"/>
    </w:p>
    <w:p w14:paraId="1E6E9E50" w14:textId="3F46C19E" w:rsidR="00725977" w:rsidRPr="00D4309F" w:rsidRDefault="00D4229D" w:rsidP="007774EC">
      <w:pPr>
        <w:pStyle w:val="Table-Caption"/>
      </w:pPr>
      <w:bookmarkStart w:id="447" w:name="_Ref215980065"/>
      <w:bookmarkStart w:id="448" w:name="_Toc216699574"/>
      <w:r>
        <w:t xml:space="preserve">Table </w:t>
      </w:r>
      <w:r w:rsidR="00151534">
        <w:fldChar w:fldCharType="begin" w:fldLock="1"/>
      </w:r>
      <w:r w:rsidR="00151534">
        <w:instrText xml:space="preserve"> STYLEREF 1 \s </w:instrText>
      </w:r>
      <w:r w:rsidR="00151534">
        <w:fldChar w:fldCharType="separate"/>
      </w:r>
      <w:r w:rsidR="00151534">
        <w:rPr>
          <w:noProof/>
        </w:rPr>
        <w:t>15</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6</w:t>
      </w:r>
      <w:r w:rsidR="00151534">
        <w:fldChar w:fldCharType="end"/>
      </w:r>
      <w:bookmarkEnd w:id="447"/>
      <w:r>
        <w:t>:</w:t>
      </w:r>
      <w:r>
        <w:tab/>
      </w:r>
      <w:r w:rsidRPr="00D4309F">
        <w:t>Environmental</w:t>
      </w:r>
      <w:r w:rsidRPr="00D4309F">
        <w:rPr>
          <w:spacing w:val="-3"/>
        </w:rPr>
        <w:t xml:space="preserve"> </w:t>
      </w:r>
      <w:r w:rsidRPr="00D4309F">
        <w:t>constraints</w:t>
      </w:r>
      <w:r w:rsidRPr="00D4309F">
        <w:rPr>
          <w:spacing w:val="-3"/>
        </w:rPr>
        <w:t xml:space="preserve"> </w:t>
      </w:r>
      <w:r w:rsidRPr="00D4309F">
        <w:t>for</w:t>
      </w:r>
      <w:r w:rsidRPr="00D4309F">
        <w:rPr>
          <w:spacing w:val="-4"/>
        </w:rPr>
        <w:t xml:space="preserve"> </w:t>
      </w:r>
      <w:r w:rsidRPr="00D4309F">
        <w:t>breakwater</w:t>
      </w:r>
      <w:r w:rsidRPr="00D4309F">
        <w:rPr>
          <w:spacing w:val="-1"/>
        </w:rPr>
        <w:t xml:space="preserve"> </w:t>
      </w:r>
      <w:r w:rsidRPr="00D4309F">
        <w:t>extension</w:t>
      </w:r>
      <w:r w:rsidRPr="00D4309F">
        <w:rPr>
          <w:spacing w:val="-3"/>
        </w:rPr>
        <w:t xml:space="preserve"> </w:t>
      </w:r>
      <w:r w:rsidRPr="00D4309F">
        <w:t>with</w:t>
      </w:r>
      <w:r w:rsidRPr="00D4309F">
        <w:rPr>
          <w:spacing w:val="-2"/>
        </w:rPr>
        <w:t xml:space="preserve"> </w:t>
      </w:r>
      <w:r w:rsidRPr="00D4309F">
        <w:t>crane-operated</w:t>
      </w:r>
      <w:r w:rsidRPr="00D4309F">
        <w:rPr>
          <w:spacing w:val="-3"/>
        </w:rPr>
        <w:t xml:space="preserve"> </w:t>
      </w:r>
      <w:r w:rsidRPr="00D4309F">
        <w:t>mobile</w:t>
      </w:r>
      <w:r w:rsidRPr="00D4309F">
        <w:rPr>
          <w:spacing w:val="-4"/>
        </w:rPr>
        <w:t xml:space="preserve"> </w:t>
      </w:r>
      <w:r w:rsidRPr="00D4309F">
        <w:t>jet</w:t>
      </w:r>
      <w:r w:rsidRPr="00D4309F">
        <w:rPr>
          <w:spacing w:val="-4"/>
        </w:rPr>
        <w:t xml:space="preserve"> </w:t>
      </w:r>
      <w:r w:rsidRPr="00D4309F">
        <w:t>(Option</w:t>
      </w:r>
      <w:r w:rsidRPr="00D4309F">
        <w:rPr>
          <w:spacing w:val="-2"/>
        </w:rPr>
        <w:t xml:space="preserve"> </w:t>
      </w:r>
      <w:r w:rsidRPr="00D4309F">
        <w:rPr>
          <w:spacing w:val="-5"/>
        </w:rPr>
        <w:t>3C)</w:t>
      </w:r>
      <w:bookmarkEnd w:id="448"/>
    </w:p>
    <w:tbl>
      <w:tblPr>
        <w:tblW w:w="0" w:type="auto"/>
        <w:tblLayout w:type="fixed"/>
        <w:tblCellMar>
          <w:left w:w="0" w:type="dxa"/>
          <w:right w:w="0" w:type="dxa"/>
        </w:tblCellMar>
        <w:tblLook w:val="01E0" w:firstRow="1" w:lastRow="1" w:firstColumn="1" w:lastColumn="1" w:noHBand="0" w:noVBand="0"/>
      </w:tblPr>
      <w:tblGrid>
        <w:gridCol w:w="1300"/>
        <w:gridCol w:w="2084"/>
        <w:gridCol w:w="2853"/>
        <w:gridCol w:w="1418"/>
        <w:gridCol w:w="2268"/>
        <w:gridCol w:w="1984"/>
        <w:gridCol w:w="2665"/>
      </w:tblGrid>
      <w:tr w:rsidR="006B67C4" w:rsidRPr="00D4309F" w14:paraId="3D9EF84A" w14:textId="77777777" w:rsidTr="007B3B30">
        <w:trPr>
          <w:cantSplit/>
          <w:trHeight w:val="20"/>
          <w:tblHeader/>
        </w:trPr>
        <w:tc>
          <w:tcPr>
            <w:tcW w:w="1300" w:type="dxa"/>
            <w:tcBorders>
              <w:bottom w:val="single" w:sz="4" w:space="0" w:color="000000"/>
            </w:tcBorders>
            <w:shd w:val="clear" w:color="auto" w:fill="D6D7D5"/>
            <w:vAlign w:val="center"/>
          </w:tcPr>
          <w:p w14:paraId="13C9E37B" w14:textId="77777777" w:rsidR="00725977" w:rsidRPr="00D4309F" w:rsidRDefault="00725977" w:rsidP="007B3B30">
            <w:pPr>
              <w:pStyle w:val="TableParagraph"/>
              <w:ind w:left="195"/>
              <w:rPr>
                <w:b/>
                <w:sz w:val="18"/>
              </w:rPr>
            </w:pPr>
            <w:r w:rsidRPr="00D4309F">
              <w:rPr>
                <w:b/>
                <w:color w:val="70004A"/>
                <w:spacing w:val="-2"/>
                <w:sz w:val="18"/>
              </w:rPr>
              <w:t>Category</w:t>
            </w:r>
          </w:p>
        </w:tc>
        <w:tc>
          <w:tcPr>
            <w:tcW w:w="2084" w:type="dxa"/>
            <w:tcBorders>
              <w:bottom w:val="single" w:sz="4" w:space="0" w:color="000000"/>
            </w:tcBorders>
            <w:shd w:val="clear" w:color="auto" w:fill="D6D7D5"/>
            <w:vAlign w:val="center"/>
          </w:tcPr>
          <w:p w14:paraId="0AA4C7BF" w14:textId="77777777" w:rsidR="00725977" w:rsidRPr="00D4309F" w:rsidRDefault="00725977" w:rsidP="007B3B30">
            <w:pPr>
              <w:pStyle w:val="TableParagraph"/>
              <w:ind w:left="196"/>
              <w:rPr>
                <w:b/>
                <w:sz w:val="18"/>
              </w:rPr>
            </w:pPr>
            <w:r w:rsidRPr="00D4309F">
              <w:rPr>
                <w:b/>
                <w:color w:val="70004A"/>
                <w:spacing w:val="-2"/>
                <w:sz w:val="18"/>
              </w:rPr>
              <w:t>Receptor</w:t>
            </w:r>
          </w:p>
        </w:tc>
        <w:tc>
          <w:tcPr>
            <w:tcW w:w="2853" w:type="dxa"/>
            <w:tcBorders>
              <w:bottom w:val="single" w:sz="4" w:space="0" w:color="000000"/>
            </w:tcBorders>
            <w:shd w:val="clear" w:color="auto" w:fill="D6D7D5"/>
            <w:vAlign w:val="center"/>
          </w:tcPr>
          <w:p w14:paraId="17FE0992" w14:textId="77777777" w:rsidR="00725977" w:rsidRPr="00D4309F" w:rsidRDefault="00725977" w:rsidP="007B3B30">
            <w:pPr>
              <w:pStyle w:val="TableParagraph"/>
              <w:ind w:left="256"/>
              <w:rPr>
                <w:b/>
                <w:sz w:val="18"/>
              </w:rPr>
            </w:pPr>
            <w:r w:rsidRPr="00D4309F">
              <w:rPr>
                <w:b/>
                <w:color w:val="70004A"/>
                <w:sz w:val="18"/>
              </w:rPr>
              <w:t>Impact</w:t>
            </w:r>
            <w:r w:rsidRPr="00D4309F">
              <w:rPr>
                <w:b/>
                <w:color w:val="70004A"/>
                <w:spacing w:val="-3"/>
                <w:sz w:val="18"/>
              </w:rPr>
              <w:t xml:space="preserve"> </w:t>
            </w:r>
            <w:r w:rsidRPr="00D4309F">
              <w:rPr>
                <w:b/>
                <w:color w:val="70004A"/>
                <w:spacing w:val="-2"/>
                <w:sz w:val="18"/>
              </w:rPr>
              <w:t>pathway</w:t>
            </w:r>
          </w:p>
        </w:tc>
        <w:tc>
          <w:tcPr>
            <w:tcW w:w="1418" w:type="dxa"/>
            <w:tcBorders>
              <w:bottom w:val="single" w:sz="4" w:space="0" w:color="000000"/>
            </w:tcBorders>
            <w:shd w:val="clear" w:color="auto" w:fill="D6D7D5"/>
            <w:vAlign w:val="center"/>
          </w:tcPr>
          <w:p w14:paraId="07C1E176" w14:textId="77777777" w:rsidR="00725977" w:rsidRPr="00D4309F" w:rsidRDefault="00725977" w:rsidP="007B3B30">
            <w:pPr>
              <w:pStyle w:val="TableParagraph"/>
              <w:spacing w:before="143"/>
              <w:ind w:left="166" w:right="157"/>
              <w:rPr>
                <w:b/>
                <w:sz w:val="18"/>
              </w:rPr>
            </w:pPr>
            <w:r w:rsidRPr="00D4309F">
              <w:rPr>
                <w:b/>
                <w:color w:val="70004A"/>
                <w:spacing w:val="-2"/>
                <w:sz w:val="18"/>
              </w:rPr>
              <w:t>Constraint level</w:t>
            </w:r>
          </w:p>
        </w:tc>
        <w:tc>
          <w:tcPr>
            <w:tcW w:w="2268" w:type="dxa"/>
            <w:tcBorders>
              <w:bottom w:val="single" w:sz="4" w:space="0" w:color="000000"/>
            </w:tcBorders>
            <w:shd w:val="clear" w:color="auto" w:fill="D6D7D5"/>
            <w:vAlign w:val="center"/>
          </w:tcPr>
          <w:p w14:paraId="1142A1EE" w14:textId="77777777" w:rsidR="00725977" w:rsidRPr="00D4309F" w:rsidRDefault="00725977" w:rsidP="007B3B30">
            <w:pPr>
              <w:pStyle w:val="TableParagraph"/>
              <w:ind w:left="166"/>
              <w:rPr>
                <w:b/>
                <w:sz w:val="18"/>
              </w:rPr>
            </w:pPr>
            <w:r w:rsidRPr="00D4309F">
              <w:rPr>
                <w:b/>
                <w:color w:val="70004A"/>
                <w:spacing w:val="-2"/>
                <w:sz w:val="18"/>
              </w:rPr>
              <w:t>Justification</w:t>
            </w:r>
          </w:p>
        </w:tc>
        <w:tc>
          <w:tcPr>
            <w:tcW w:w="1984" w:type="dxa"/>
            <w:tcBorders>
              <w:bottom w:val="single" w:sz="4" w:space="0" w:color="000000"/>
            </w:tcBorders>
            <w:shd w:val="clear" w:color="auto" w:fill="D6D7D5"/>
            <w:vAlign w:val="center"/>
          </w:tcPr>
          <w:p w14:paraId="444AD0AC" w14:textId="77777777" w:rsidR="00725977" w:rsidRPr="00D4309F" w:rsidRDefault="00725977" w:rsidP="007B3B30">
            <w:pPr>
              <w:pStyle w:val="TableParagraph"/>
              <w:spacing w:before="143"/>
              <w:ind w:left="199" w:right="157"/>
              <w:rPr>
                <w:b/>
                <w:sz w:val="18"/>
              </w:rPr>
            </w:pPr>
            <w:r w:rsidRPr="00D4309F">
              <w:rPr>
                <w:b/>
                <w:color w:val="70004A"/>
                <w:sz w:val="18"/>
              </w:rPr>
              <w:t>Further</w:t>
            </w:r>
            <w:r w:rsidRPr="00D4309F">
              <w:rPr>
                <w:b/>
                <w:color w:val="70004A"/>
                <w:spacing w:val="-13"/>
                <w:sz w:val="18"/>
              </w:rPr>
              <w:t xml:space="preserve"> </w:t>
            </w:r>
            <w:r w:rsidRPr="00D4309F">
              <w:rPr>
                <w:b/>
                <w:color w:val="70004A"/>
                <w:sz w:val="18"/>
              </w:rPr>
              <w:t xml:space="preserve">assessment </w:t>
            </w:r>
            <w:r w:rsidRPr="00D4309F">
              <w:rPr>
                <w:b/>
                <w:color w:val="70004A"/>
                <w:spacing w:val="-2"/>
                <w:sz w:val="18"/>
              </w:rPr>
              <w:t>recommendations</w:t>
            </w:r>
          </w:p>
        </w:tc>
        <w:tc>
          <w:tcPr>
            <w:tcW w:w="2665" w:type="dxa"/>
            <w:tcBorders>
              <w:bottom w:val="single" w:sz="4" w:space="0" w:color="000000"/>
            </w:tcBorders>
            <w:shd w:val="clear" w:color="auto" w:fill="D6D7D5"/>
            <w:vAlign w:val="center"/>
          </w:tcPr>
          <w:p w14:paraId="05342C95" w14:textId="77777777" w:rsidR="00725977" w:rsidRPr="00D4309F" w:rsidRDefault="00725977" w:rsidP="007B3B30">
            <w:pPr>
              <w:pStyle w:val="TableParagraph"/>
              <w:spacing w:before="40"/>
              <w:ind w:left="202" w:right="437"/>
              <w:rPr>
                <w:b/>
                <w:sz w:val="18"/>
              </w:rPr>
            </w:pPr>
            <w:r w:rsidRPr="00D4309F">
              <w:rPr>
                <w:b/>
                <w:color w:val="70004A"/>
                <w:sz w:val="18"/>
              </w:rPr>
              <w:t>Potential</w:t>
            </w:r>
            <w:r w:rsidRPr="00D4309F">
              <w:rPr>
                <w:b/>
                <w:color w:val="70004A"/>
                <w:spacing w:val="-13"/>
                <w:sz w:val="18"/>
              </w:rPr>
              <w:t xml:space="preserve"> </w:t>
            </w:r>
            <w:r w:rsidRPr="00D4309F">
              <w:rPr>
                <w:b/>
                <w:color w:val="70004A"/>
                <w:sz w:val="18"/>
              </w:rPr>
              <w:t xml:space="preserve">monitoring and management </w:t>
            </w:r>
            <w:r w:rsidRPr="00D4309F">
              <w:rPr>
                <w:b/>
                <w:color w:val="70004A"/>
                <w:spacing w:val="-2"/>
                <w:sz w:val="18"/>
              </w:rPr>
              <w:t>requirements</w:t>
            </w:r>
          </w:p>
        </w:tc>
      </w:tr>
      <w:tr w:rsidR="006B67C4" w:rsidRPr="00D4309F" w14:paraId="792F3C22" w14:textId="77777777" w:rsidTr="007B3B30">
        <w:trPr>
          <w:cantSplit/>
          <w:trHeight w:val="20"/>
        </w:trPr>
        <w:tc>
          <w:tcPr>
            <w:tcW w:w="1300" w:type="dxa"/>
            <w:tcBorders>
              <w:top w:val="single" w:sz="4" w:space="0" w:color="000000"/>
              <w:bottom w:val="single" w:sz="4" w:space="0" w:color="000000"/>
            </w:tcBorders>
            <w:vAlign w:val="center"/>
          </w:tcPr>
          <w:p w14:paraId="4A40A8A1" w14:textId="355A6593" w:rsidR="001967A9" w:rsidRPr="001967A9" w:rsidRDefault="00725977" w:rsidP="00884FE4">
            <w:pPr>
              <w:pStyle w:val="Table-Text"/>
            </w:pPr>
            <w:r w:rsidRPr="00D4309F">
              <w:t>Marine environmental quality</w:t>
            </w:r>
          </w:p>
        </w:tc>
        <w:tc>
          <w:tcPr>
            <w:tcW w:w="2084" w:type="dxa"/>
            <w:tcBorders>
              <w:top w:val="single" w:sz="4" w:space="0" w:color="000000"/>
              <w:bottom w:val="single" w:sz="4" w:space="0" w:color="000000"/>
            </w:tcBorders>
            <w:vAlign w:val="center"/>
          </w:tcPr>
          <w:p w14:paraId="6506667C" w14:textId="2EB5D330" w:rsidR="00884FE4" w:rsidRPr="00884FE4" w:rsidRDefault="00725977" w:rsidP="00884FE4">
            <w:pPr>
              <w:pStyle w:val="Table-Text"/>
            </w:pPr>
            <w:r w:rsidRPr="00D4309F">
              <w:t>Water quality</w:t>
            </w:r>
          </w:p>
        </w:tc>
        <w:tc>
          <w:tcPr>
            <w:tcW w:w="2853" w:type="dxa"/>
            <w:tcBorders>
              <w:top w:val="single" w:sz="4" w:space="0" w:color="000000"/>
              <w:bottom w:val="single" w:sz="4" w:space="0" w:color="000000"/>
            </w:tcBorders>
            <w:vAlign w:val="center"/>
          </w:tcPr>
          <w:p w14:paraId="0C3F9509" w14:textId="46453071" w:rsidR="00E67028" w:rsidRPr="00E67028" w:rsidRDefault="00725977" w:rsidP="00A14306">
            <w:pPr>
              <w:pStyle w:val="Table-Bullet"/>
            </w:pPr>
            <w:r w:rsidRPr="00D4309F">
              <w:t>Generation</w:t>
            </w:r>
            <w:r w:rsidRPr="00A14306">
              <w:rPr>
                <w:spacing w:val="-13"/>
              </w:rPr>
              <w:t xml:space="preserve"> </w:t>
            </w:r>
            <w:r w:rsidRPr="00D4309F">
              <w:t>of</w:t>
            </w:r>
            <w:r w:rsidRPr="00A14306">
              <w:rPr>
                <w:spacing w:val="-12"/>
              </w:rPr>
              <w:t xml:space="preserve"> </w:t>
            </w:r>
            <w:r w:rsidRPr="00D4309F">
              <w:t>turbidity</w:t>
            </w:r>
            <w:r w:rsidRPr="00A14306">
              <w:rPr>
                <w:spacing w:val="-13"/>
              </w:rPr>
              <w:t xml:space="preserve"> </w:t>
            </w:r>
            <w:r w:rsidRPr="00D4309F">
              <w:t>during construction and bypassing</w:t>
            </w:r>
          </w:p>
        </w:tc>
        <w:tc>
          <w:tcPr>
            <w:tcW w:w="1418" w:type="dxa"/>
            <w:tcBorders>
              <w:top w:val="single" w:sz="4" w:space="0" w:color="000000"/>
              <w:bottom w:val="single" w:sz="4" w:space="0" w:color="000000"/>
            </w:tcBorders>
            <w:shd w:val="clear" w:color="auto" w:fill="FFFF00"/>
            <w:vAlign w:val="center"/>
          </w:tcPr>
          <w:p w14:paraId="2B96E361" w14:textId="77777777" w:rsidR="00725977" w:rsidRPr="007B3B30" w:rsidRDefault="00725977" w:rsidP="007B3B30">
            <w:pPr>
              <w:pStyle w:val="Table-Text"/>
              <w:rPr>
                <w:b/>
                <w:bCs/>
              </w:rPr>
            </w:pPr>
            <w:r w:rsidRPr="007B3B30">
              <w:rPr>
                <w:b/>
                <w:bCs/>
              </w:rPr>
              <w:t>Moderate</w:t>
            </w:r>
          </w:p>
        </w:tc>
        <w:tc>
          <w:tcPr>
            <w:tcW w:w="2268" w:type="dxa"/>
            <w:tcBorders>
              <w:top w:val="single" w:sz="4" w:space="0" w:color="000000"/>
              <w:bottom w:val="single" w:sz="4" w:space="0" w:color="000000"/>
            </w:tcBorders>
            <w:vAlign w:val="center"/>
          </w:tcPr>
          <w:p w14:paraId="569DBBE1" w14:textId="77777777" w:rsidR="00725977" w:rsidRPr="00D4309F" w:rsidRDefault="00725977" w:rsidP="007B3B30">
            <w:pPr>
              <w:pStyle w:val="Table-Bullet"/>
            </w:pPr>
            <w:r w:rsidRPr="00D4309F">
              <w:t>An assessment of the predicted plume extent will inform</w:t>
            </w:r>
            <w:r w:rsidRPr="00D4309F">
              <w:rPr>
                <w:spacing w:val="-10"/>
              </w:rPr>
              <w:t xml:space="preserve"> </w:t>
            </w:r>
            <w:r w:rsidRPr="00D4309F">
              <w:t>the</w:t>
            </w:r>
            <w:r w:rsidRPr="00D4309F">
              <w:rPr>
                <w:spacing w:val="-11"/>
              </w:rPr>
              <w:t xml:space="preserve"> </w:t>
            </w:r>
            <w:r w:rsidRPr="00D4309F">
              <w:t>extent</w:t>
            </w:r>
            <w:r w:rsidRPr="00D4309F">
              <w:rPr>
                <w:spacing w:val="-10"/>
              </w:rPr>
              <w:t xml:space="preserve"> </w:t>
            </w:r>
            <w:r w:rsidRPr="00D4309F">
              <w:t>of</w:t>
            </w:r>
            <w:r w:rsidRPr="00D4309F">
              <w:rPr>
                <w:spacing w:val="-10"/>
              </w:rPr>
              <w:t xml:space="preserve"> </w:t>
            </w:r>
            <w:r w:rsidRPr="00D4309F">
              <w:t>turbidity related</w:t>
            </w:r>
            <w:r w:rsidRPr="00D4309F">
              <w:rPr>
                <w:spacing w:val="-5"/>
              </w:rPr>
              <w:t xml:space="preserve"> </w:t>
            </w:r>
            <w:r w:rsidRPr="00D4309F">
              <w:t>impacts</w:t>
            </w:r>
            <w:r w:rsidRPr="00D4309F">
              <w:rPr>
                <w:spacing w:val="-3"/>
              </w:rPr>
              <w:t xml:space="preserve"> </w:t>
            </w:r>
            <w:r w:rsidRPr="00D4309F">
              <w:t>however</w:t>
            </w:r>
            <w:r w:rsidRPr="00D4309F">
              <w:rPr>
                <w:spacing w:val="-4"/>
              </w:rPr>
              <w:t xml:space="preserve"> </w:t>
            </w:r>
            <w:r w:rsidRPr="00D4309F">
              <w:t xml:space="preserve">as this is a dynamic, open ocean environment, any plume will likely dissipate </w:t>
            </w:r>
            <w:r w:rsidRPr="00D4309F">
              <w:rPr>
                <w:spacing w:val="-2"/>
              </w:rPr>
              <w:t>quickly</w:t>
            </w:r>
          </w:p>
          <w:p w14:paraId="7C3D970D" w14:textId="77777777" w:rsidR="00725977" w:rsidRPr="00D4309F" w:rsidRDefault="00725977" w:rsidP="007B3B30">
            <w:pPr>
              <w:pStyle w:val="Table-Bullet"/>
            </w:pPr>
            <w:r w:rsidRPr="00D4309F">
              <w:t>Turbidity</w:t>
            </w:r>
            <w:r w:rsidRPr="00D4309F">
              <w:rPr>
                <w:spacing w:val="-8"/>
              </w:rPr>
              <w:t xml:space="preserve"> </w:t>
            </w:r>
            <w:r w:rsidRPr="00D4309F">
              <w:t>is</w:t>
            </w:r>
            <w:r w:rsidRPr="00D4309F">
              <w:rPr>
                <w:spacing w:val="-8"/>
              </w:rPr>
              <w:t xml:space="preserve"> </w:t>
            </w:r>
            <w:r w:rsidRPr="00D4309F">
              <w:t>likely</w:t>
            </w:r>
            <w:r w:rsidRPr="00D4309F">
              <w:rPr>
                <w:spacing w:val="-8"/>
              </w:rPr>
              <w:t xml:space="preserve"> </w:t>
            </w:r>
            <w:r w:rsidRPr="00D4309F">
              <w:t>to</w:t>
            </w:r>
            <w:r w:rsidRPr="00D4309F">
              <w:rPr>
                <w:spacing w:val="-9"/>
              </w:rPr>
              <w:t xml:space="preserve"> </w:t>
            </w:r>
            <w:r w:rsidRPr="00D4309F">
              <w:t>be</w:t>
            </w:r>
            <w:r w:rsidRPr="00D4309F">
              <w:rPr>
                <w:spacing w:val="-9"/>
              </w:rPr>
              <w:t xml:space="preserve"> </w:t>
            </w:r>
            <w:r w:rsidRPr="00D4309F">
              <w:t>more extensive during</w:t>
            </w:r>
            <w:r w:rsidRPr="00D4309F">
              <w:rPr>
                <w:spacing w:val="40"/>
              </w:rPr>
              <w:t xml:space="preserve"> </w:t>
            </w:r>
            <w:r w:rsidRPr="00D4309F">
              <w:t>breakwater extension</w:t>
            </w:r>
          </w:p>
        </w:tc>
        <w:tc>
          <w:tcPr>
            <w:tcW w:w="1984" w:type="dxa"/>
            <w:tcBorders>
              <w:top w:val="single" w:sz="4" w:space="0" w:color="000000"/>
              <w:bottom w:val="single" w:sz="4" w:space="0" w:color="000000"/>
            </w:tcBorders>
            <w:vAlign w:val="center"/>
          </w:tcPr>
          <w:p w14:paraId="4CC3B3C6" w14:textId="77777777" w:rsidR="00725977" w:rsidRPr="00D4309F" w:rsidRDefault="00725977" w:rsidP="007B3B30">
            <w:pPr>
              <w:pStyle w:val="Table-Bullet"/>
            </w:pPr>
            <w:r w:rsidRPr="00D4309F">
              <w:t>Turbidity</w:t>
            </w:r>
            <w:r w:rsidRPr="00D4309F">
              <w:rPr>
                <w:spacing w:val="-5"/>
              </w:rPr>
              <w:t xml:space="preserve"> </w:t>
            </w:r>
            <w:r w:rsidRPr="00D4309F">
              <w:rPr>
                <w:spacing w:val="-2"/>
              </w:rPr>
              <w:t>modelling</w:t>
            </w:r>
          </w:p>
        </w:tc>
        <w:tc>
          <w:tcPr>
            <w:tcW w:w="2665" w:type="dxa"/>
            <w:tcBorders>
              <w:top w:val="single" w:sz="4" w:space="0" w:color="000000"/>
              <w:bottom w:val="single" w:sz="4" w:space="0" w:color="000000"/>
            </w:tcBorders>
            <w:vAlign w:val="center"/>
          </w:tcPr>
          <w:p w14:paraId="618CF569" w14:textId="77777777" w:rsidR="00725977" w:rsidRPr="00D4309F" w:rsidRDefault="00725977" w:rsidP="007B3B30">
            <w:pPr>
              <w:pStyle w:val="Table-Bullet"/>
            </w:pPr>
            <w:r w:rsidRPr="00D4309F">
              <w:t>Turbidity</w:t>
            </w:r>
            <w:r w:rsidRPr="00D4309F">
              <w:rPr>
                <w:spacing w:val="-13"/>
              </w:rPr>
              <w:t xml:space="preserve"> </w:t>
            </w:r>
            <w:r w:rsidRPr="00D4309F">
              <w:t>monitoring during works</w:t>
            </w:r>
          </w:p>
          <w:p w14:paraId="77AF9CFA" w14:textId="77777777" w:rsidR="00725977" w:rsidRPr="00D4309F" w:rsidRDefault="00725977" w:rsidP="007B3B30">
            <w:pPr>
              <w:pStyle w:val="Table-Bullet"/>
            </w:pPr>
            <w:r w:rsidRPr="00D4309F">
              <w:t>Standard turbidity mitigation</w:t>
            </w:r>
            <w:r w:rsidRPr="00D4309F">
              <w:rPr>
                <w:spacing w:val="-13"/>
              </w:rPr>
              <w:t xml:space="preserve"> </w:t>
            </w:r>
            <w:r w:rsidRPr="00D4309F">
              <w:t>procedures</w:t>
            </w:r>
          </w:p>
          <w:p w14:paraId="272608E0" w14:textId="77777777" w:rsidR="00725977" w:rsidRPr="00D4309F" w:rsidRDefault="00725977" w:rsidP="007B3B30">
            <w:pPr>
              <w:pStyle w:val="Table-Bullet"/>
            </w:pPr>
            <w:r w:rsidRPr="00D4309F">
              <w:t>e.g.</w:t>
            </w:r>
            <w:r w:rsidRPr="00D4309F">
              <w:rPr>
                <w:spacing w:val="-15"/>
              </w:rPr>
              <w:t xml:space="preserve"> </w:t>
            </w:r>
            <w:r w:rsidRPr="00D4309F">
              <w:t>silt</w:t>
            </w:r>
            <w:r w:rsidRPr="00D4309F">
              <w:rPr>
                <w:spacing w:val="-12"/>
              </w:rPr>
              <w:t xml:space="preserve"> </w:t>
            </w:r>
            <w:r w:rsidRPr="00D4309F">
              <w:t>curtains, staging</w:t>
            </w:r>
            <w:r w:rsidRPr="00D4309F">
              <w:rPr>
                <w:spacing w:val="-3"/>
              </w:rPr>
              <w:t xml:space="preserve"> </w:t>
            </w:r>
            <w:r w:rsidRPr="00D4309F">
              <w:t>of</w:t>
            </w:r>
            <w:r w:rsidRPr="00D4309F">
              <w:rPr>
                <w:spacing w:val="-2"/>
              </w:rPr>
              <w:t xml:space="preserve"> works</w:t>
            </w:r>
          </w:p>
        </w:tc>
      </w:tr>
      <w:tr w:rsidR="006B67C4" w:rsidRPr="00D4309F" w14:paraId="42236026" w14:textId="77777777" w:rsidTr="007B3B30">
        <w:trPr>
          <w:cantSplit/>
          <w:trHeight w:val="20"/>
        </w:trPr>
        <w:tc>
          <w:tcPr>
            <w:tcW w:w="1300" w:type="dxa"/>
            <w:tcBorders>
              <w:top w:val="single" w:sz="4" w:space="0" w:color="000000"/>
              <w:bottom w:val="single" w:sz="4" w:space="0" w:color="000000"/>
            </w:tcBorders>
            <w:vAlign w:val="center"/>
          </w:tcPr>
          <w:p w14:paraId="5FA714F6" w14:textId="77777777" w:rsidR="00725977" w:rsidRPr="00D4309F" w:rsidRDefault="00725977" w:rsidP="007B3B30">
            <w:pPr>
              <w:pStyle w:val="Table-Text"/>
            </w:pPr>
            <w:r w:rsidRPr="00D4309F">
              <w:lastRenderedPageBreak/>
              <w:t>Marine environmental quality</w:t>
            </w:r>
          </w:p>
        </w:tc>
        <w:tc>
          <w:tcPr>
            <w:tcW w:w="2084" w:type="dxa"/>
            <w:tcBorders>
              <w:top w:val="single" w:sz="4" w:space="0" w:color="000000"/>
              <w:bottom w:val="single" w:sz="4" w:space="0" w:color="000000"/>
            </w:tcBorders>
            <w:vAlign w:val="center"/>
          </w:tcPr>
          <w:p w14:paraId="11F0736B" w14:textId="77777777" w:rsidR="00725977" w:rsidRPr="00D4309F" w:rsidRDefault="00725977" w:rsidP="007B3B30">
            <w:pPr>
              <w:pStyle w:val="Table-Text"/>
            </w:pPr>
            <w:r w:rsidRPr="00D4309F">
              <w:t>Water quality</w:t>
            </w:r>
          </w:p>
        </w:tc>
        <w:tc>
          <w:tcPr>
            <w:tcW w:w="2853" w:type="dxa"/>
            <w:tcBorders>
              <w:top w:val="single" w:sz="4" w:space="0" w:color="000000"/>
              <w:bottom w:val="single" w:sz="4" w:space="0" w:color="000000"/>
            </w:tcBorders>
            <w:vAlign w:val="center"/>
          </w:tcPr>
          <w:p w14:paraId="6B46E2EF" w14:textId="77777777" w:rsidR="00725977" w:rsidRPr="00D4309F" w:rsidRDefault="00725977" w:rsidP="007B3B30">
            <w:pPr>
              <w:pStyle w:val="Table-Bullet"/>
            </w:pPr>
            <w:r w:rsidRPr="00D4309F">
              <w:t xml:space="preserve">Release of </w:t>
            </w:r>
            <w:r w:rsidRPr="00D4309F">
              <w:rPr>
                <w:spacing w:val="-2"/>
              </w:rPr>
              <w:t>contaminants/hypoxia</w:t>
            </w:r>
          </w:p>
        </w:tc>
        <w:tc>
          <w:tcPr>
            <w:tcW w:w="1418" w:type="dxa"/>
            <w:tcBorders>
              <w:top w:val="single" w:sz="4" w:space="0" w:color="000000"/>
              <w:bottom w:val="single" w:sz="4" w:space="0" w:color="000000"/>
            </w:tcBorders>
            <w:shd w:val="clear" w:color="auto" w:fill="92D050"/>
            <w:vAlign w:val="center"/>
          </w:tcPr>
          <w:p w14:paraId="0DDA7710" w14:textId="77777777" w:rsidR="00725977" w:rsidRPr="007B3B30" w:rsidRDefault="00725977" w:rsidP="007B3B30">
            <w:pPr>
              <w:pStyle w:val="Table-Text"/>
              <w:rPr>
                <w:b/>
                <w:bCs/>
              </w:rPr>
            </w:pPr>
            <w:r w:rsidRPr="007B3B30">
              <w:rPr>
                <w:b/>
                <w:bCs/>
                <w:spacing w:val="-5"/>
              </w:rPr>
              <w:t>Low</w:t>
            </w:r>
          </w:p>
        </w:tc>
        <w:tc>
          <w:tcPr>
            <w:tcW w:w="2268" w:type="dxa"/>
            <w:tcBorders>
              <w:top w:val="single" w:sz="4" w:space="0" w:color="000000"/>
              <w:bottom w:val="single" w:sz="4" w:space="0" w:color="000000"/>
            </w:tcBorders>
            <w:vAlign w:val="center"/>
          </w:tcPr>
          <w:p w14:paraId="1116690C" w14:textId="77777777" w:rsidR="00725977" w:rsidRPr="00D4309F" w:rsidRDefault="00725977" w:rsidP="007B3B30">
            <w:pPr>
              <w:pStyle w:val="Table-Bullet"/>
            </w:pPr>
            <w:r w:rsidRPr="00D4309F">
              <w:t>Dredge sediments likely comprise clean marine sand</w:t>
            </w:r>
            <w:r w:rsidRPr="00D4309F">
              <w:rPr>
                <w:spacing w:val="-13"/>
              </w:rPr>
              <w:t xml:space="preserve"> </w:t>
            </w:r>
            <w:r w:rsidRPr="00D4309F">
              <w:t>free</w:t>
            </w:r>
            <w:r w:rsidRPr="00D4309F">
              <w:rPr>
                <w:spacing w:val="-12"/>
              </w:rPr>
              <w:t xml:space="preserve"> </w:t>
            </w:r>
            <w:r w:rsidRPr="00D4309F">
              <w:t>of</w:t>
            </w:r>
            <w:r w:rsidRPr="00D4309F">
              <w:rPr>
                <w:spacing w:val="-13"/>
              </w:rPr>
              <w:t xml:space="preserve"> </w:t>
            </w:r>
            <w:r w:rsidRPr="00D4309F">
              <w:t xml:space="preserve">contaminants with low organic matter </w:t>
            </w:r>
            <w:r w:rsidRPr="00D4309F">
              <w:rPr>
                <w:spacing w:val="-2"/>
              </w:rPr>
              <w:t>content</w:t>
            </w:r>
          </w:p>
          <w:p w14:paraId="23C8A8BC" w14:textId="77777777" w:rsidR="00725977" w:rsidRPr="00D4309F" w:rsidRDefault="00725977" w:rsidP="007B3B30">
            <w:pPr>
              <w:pStyle w:val="Table-Bullet"/>
            </w:pPr>
            <w:r w:rsidRPr="00D4309F">
              <w:t>Breakwater</w:t>
            </w:r>
            <w:r w:rsidRPr="00D4309F">
              <w:rPr>
                <w:spacing w:val="-8"/>
              </w:rPr>
              <w:t xml:space="preserve"> </w:t>
            </w:r>
            <w:r w:rsidRPr="00D4309F">
              <w:t>construction materials</w:t>
            </w:r>
            <w:r w:rsidRPr="00D4309F">
              <w:rPr>
                <w:spacing w:val="-13"/>
              </w:rPr>
              <w:t xml:space="preserve"> </w:t>
            </w:r>
            <w:r w:rsidRPr="00D4309F">
              <w:t>assumed</w:t>
            </w:r>
            <w:r w:rsidRPr="00D4309F">
              <w:rPr>
                <w:spacing w:val="-12"/>
              </w:rPr>
              <w:t xml:space="preserve"> </w:t>
            </w:r>
            <w:r w:rsidRPr="00D4309F">
              <w:t>to</w:t>
            </w:r>
            <w:r w:rsidRPr="00D4309F">
              <w:rPr>
                <w:spacing w:val="-13"/>
              </w:rPr>
              <w:t xml:space="preserve"> </w:t>
            </w:r>
            <w:r w:rsidRPr="00D4309F">
              <w:t>be free of contamination</w:t>
            </w:r>
          </w:p>
        </w:tc>
        <w:tc>
          <w:tcPr>
            <w:tcW w:w="1984" w:type="dxa"/>
            <w:tcBorders>
              <w:top w:val="single" w:sz="4" w:space="0" w:color="000000"/>
              <w:bottom w:val="single" w:sz="4" w:space="0" w:color="000000"/>
            </w:tcBorders>
            <w:vAlign w:val="center"/>
          </w:tcPr>
          <w:p w14:paraId="59C1EE53" w14:textId="77777777" w:rsidR="00725977" w:rsidRPr="00D4309F" w:rsidRDefault="00725977" w:rsidP="007B3B30">
            <w:pPr>
              <w:pStyle w:val="Table-Bullet"/>
            </w:pPr>
            <w:r w:rsidRPr="00D4309F">
              <w:t>Assumption</w:t>
            </w:r>
            <w:r w:rsidRPr="00D4309F">
              <w:rPr>
                <w:spacing w:val="-13"/>
              </w:rPr>
              <w:t xml:space="preserve"> </w:t>
            </w:r>
            <w:r w:rsidRPr="00D4309F">
              <w:t>that suitable data exists to inform this risk</w:t>
            </w:r>
          </w:p>
        </w:tc>
        <w:tc>
          <w:tcPr>
            <w:tcW w:w="2665" w:type="dxa"/>
            <w:tcBorders>
              <w:top w:val="single" w:sz="4" w:space="0" w:color="000000"/>
              <w:bottom w:val="single" w:sz="4" w:space="0" w:color="000000"/>
            </w:tcBorders>
            <w:vAlign w:val="center"/>
          </w:tcPr>
          <w:p w14:paraId="24789CC8" w14:textId="77777777" w:rsidR="00725977" w:rsidRPr="00D4309F" w:rsidRDefault="00725977" w:rsidP="007B3B30">
            <w:pPr>
              <w:pStyle w:val="Table-Bullet"/>
            </w:pPr>
            <w:r w:rsidRPr="00D4309F">
              <w:rPr>
                <w:color w:val="211E1F"/>
                <w:spacing w:val="-4"/>
              </w:rPr>
              <w:t>None</w:t>
            </w:r>
          </w:p>
        </w:tc>
      </w:tr>
      <w:tr w:rsidR="006B67C4" w:rsidRPr="00D4309F" w14:paraId="326C6984" w14:textId="77777777" w:rsidTr="007B3B30">
        <w:trPr>
          <w:cantSplit/>
          <w:trHeight w:val="20"/>
        </w:trPr>
        <w:tc>
          <w:tcPr>
            <w:tcW w:w="1300" w:type="dxa"/>
            <w:tcBorders>
              <w:top w:val="single" w:sz="4" w:space="0" w:color="000000"/>
              <w:bottom w:val="single" w:sz="4" w:space="0" w:color="000000"/>
            </w:tcBorders>
            <w:vAlign w:val="center"/>
          </w:tcPr>
          <w:p w14:paraId="503E9C9C" w14:textId="6C97B443" w:rsidR="006B67C4" w:rsidRPr="00D4309F" w:rsidRDefault="006B67C4" w:rsidP="007B3B30">
            <w:pPr>
              <w:pStyle w:val="Table-Text"/>
            </w:pPr>
            <w:r w:rsidRPr="00D4309F">
              <w:t>Marine environmental quality</w:t>
            </w:r>
          </w:p>
        </w:tc>
        <w:tc>
          <w:tcPr>
            <w:tcW w:w="2084" w:type="dxa"/>
            <w:tcBorders>
              <w:top w:val="single" w:sz="4" w:space="0" w:color="000000"/>
              <w:bottom w:val="single" w:sz="4" w:space="0" w:color="000000"/>
            </w:tcBorders>
            <w:vAlign w:val="center"/>
          </w:tcPr>
          <w:p w14:paraId="0D0AF533" w14:textId="12EB6315" w:rsidR="006B67C4" w:rsidRPr="00D4309F" w:rsidRDefault="006B67C4" w:rsidP="007B3B30">
            <w:pPr>
              <w:pStyle w:val="Table-Text"/>
            </w:pPr>
            <w:r w:rsidRPr="00D4309F">
              <w:t>Water quality</w:t>
            </w:r>
          </w:p>
        </w:tc>
        <w:tc>
          <w:tcPr>
            <w:tcW w:w="2853" w:type="dxa"/>
            <w:tcBorders>
              <w:top w:val="single" w:sz="4" w:space="0" w:color="000000"/>
              <w:bottom w:val="single" w:sz="4" w:space="0" w:color="000000"/>
            </w:tcBorders>
            <w:vAlign w:val="center"/>
          </w:tcPr>
          <w:p w14:paraId="786D67E9" w14:textId="6B44D01A" w:rsidR="006B67C4" w:rsidRPr="00D4309F" w:rsidRDefault="006B67C4" w:rsidP="007B3B30">
            <w:pPr>
              <w:pStyle w:val="Table-Bullet"/>
            </w:pPr>
            <w:r w:rsidRPr="00D4309F">
              <w:t>Hydrocarbon</w:t>
            </w:r>
            <w:r w:rsidRPr="00D4309F">
              <w:rPr>
                <w:spacing w:val="-5"/>
              </w:rPr>
              <w:t xml:space="preserve"> </w:t>
            </w:r>
            <w:r w:rsidRPr="00D4309F">
              <w:rPr>
                <w:spacing w:val="-2"/>
              </w:rPr>
              <w:t>spills/waste</w:t>
            </w:r>
          </w:p>
        </w:tc>
        <w:tc>
          <w:tcPr>
            <w:tcW w:w="1418" w:type="dxa"/>
            <w:tcBorders>
              <w:top w:val="single" w:sz="4" w:space="0" w:color="000000"/>
              <w:bottom w:val="single" w:sz="4" w:space="0" w:color="000000"/>
            </w:tcBorders>
            <w:shd w:val="clear" w:color="auto" w:fill="92D050"/>
            <w:vAlign w:val="center"/>
          </w:tcPr>
          <w:p w14:paraId="1838534D" w14:textId="49F06D7B" w:rsidR="006B67C4" w:rsidRPr="007B3B30" w:rsidRDefault="006B67C4" w:rsidP="007B3B30">
            <w:pPr>
              <w:pStyle w:val="Table-Text"/>
              <w:rPr>
                <w:b/>
                <w:bCs/>
                <w:spacing w:val="-5"/>
              </w:rPr>
            </w:pPr>
            <w:r w:rsidRPr="007B3B30">
              <w:rPr>
                <w:b/>
                <w:bCs/>
                <w:spacing w:val="-5"/>
              </w:rPr>
              <w:t>Low</w:t>
            </w:r>
          </w:p>
        </w:tc>
        <w:tc>
          <w:tcPr>
            <w:tcW w:w="2268" w:type="dxa"/>
            <w:tcBorders>
              <w:top w:val="single" w:sz="4" w:space="0" w:color="000000"/>
              <w:bottom w:val="single" w:sz="4" w:space="0" w:color="000000"/>
            </w:tcBorders>
            <w:vAlign w:val="center"/>
          </w:tcPr>
          <w:p w14:paraId="43E07BFA" w14:textId="27A4E13A" w:rsidR="006B67C4" w:rsidRPr="00D4309F" w:rsidRDefault="006B67C4" w:rsidP="007B3B30">
            <w:pPr>
              <w:pStyle w:val="Table-Bullet"/>
            </w:pPr>
            <w:r w:rsidRPr="00D4309F">
              <w:t>Compliance</w:t>
            </w:r>
            <w:r w:rsidRPr="00D4309F">
              <w:rPr>
                <w:spacing w:val="-15"/>
              </w:rPr>
              <w:t xml:space="preserve"> </w:t>
            </w:r>
            <w:r w:rsidRPr="00D4309F">
              <w:t>with</w:t>
            </w:r>
            <w:r w:rsidRPr="00D4309F">
              <w:rPr>
                <w:spacing w:val="-12"/>
              </w:rPr>
              <w:t xml:space="preserve"> </w:t>
            </w:r>
            <w:r w:rsidRPr="00D4309F">
              <w:t>standard procedures will minimise this risk</w:t>
            </w:r>
          </w:p>
        </w:tc>
        <w:tc>
          <w:tcPr>
            <w:tcW w:w="1984" w:type="dxa"/>
            <w:tcBorders>
              <w:top w:val="single" w:sz="4" w:space="0" w:color="000000"/>
              <w:bottom w:val="single" w:sz="4" w:space="0" w:color="000000"/>
            </w:tcBorders>
            <w:vAlign w:val="center"/>
          </w:tcPr>
          <w:p w14:paraId="1600F8D8" w14:textId="7B6123DE" w:rsidR="006B67C4" w:rsidRPr="00D4309F" w:rsidRDefault="006B67C4" w:rsidP="007B3B30">
            <w:pPr>
              <w:pStyle w:val="Table-Bullet"/>
            </w:pPr>
            <w:r w:rsidRPr="00D4309F">
              <w:rPr>
                <w:color w:val="211E1F"/>
                <w:spacing w:val="-4"/>
              </w:rPr>
              <w:t>None</w:t>
            </w:r>
          </w:p>
        </w:tc>
        <w:tc>
          <w:tcPr>
            <w:tcW w:w="2665" w:type="dxa"/>
            <w:tcBorders>
              <w:top w:val="single" w:sz="4" w:space="0" w:color="000000"/>
              <w:bottom w:val="single" w:sz="4" w:space="0" w:color="000000"/>
            </w:tcBorders>
            <w:vAlign w:val="center"/>
          </w:tcPr>
          <w:p w14:paraId="3E5733D6" w14:textId="58A9E585" w:rsidR="006B67C4" w:rsidRPr="00D4309F" w:rsidRDefault="006B67C4" w:rsidP="007B3B30">
            <w:pPr>
              <w:pStyle w:val="Table-Bullet"/>
              <w:rPr>
                <w:color w:val="211E1F"/>
                <w:spacing w:val="-4"/>
              </w:rPr>
            </w:pPr>
            <w:r w:rsidRPr="00D4309F">
              <w:t>Standard</w:t>
            </w:r>
            <w:r w:rsidRPr="00D4309F">
              <w:rPr>
                <w:spacing w:val="-13"/>
              </w:rPr>
              <w:t xml:space="preserve"> </w:t>
            </w:r>
            <w:r w:rsidRPr="00D4309F">
              <w:t>oil</w:t>
            </w:r>
            <w:r w:rsidRPr="00D4309F">
              <w:rPr>
                <w:spacing w:val="-12"/>
              </w:rPr>
              <w:t xml:space="preserve"> </w:t>
            </w:r>
            <w:r w:rsidRPr="00D4309F">
              <w:t>spill</w:t>
            </w:r>
            <w:r w:rsidRPr="00D4309F">
              <w:rPr>
                <w:spacing w:val="-13"/>
              </w:rPr>
              <w:t xml:space="preserve"> </w:t>
            </w:r>
            <w:r w:rsidRPr="00D4309F">
              <w:t>and waste procedures</w:t>
            </w:r>
          </w:p>
        </w:tc>
      </w:tr>
      <w:tr w:rsidR="006B67C4" w:rsidRPr="00D4309F" w14:paraId="23964CB5" w14:textId="77777777" w:rsidTr="007B3B30">
        <w:trPr>
          <w:cantSplit/>
          <w:trHeight w:val="20"/>
        </w:trPr>
        <w:tc>
          <w:tcPr>
            <w:tcW w:w="1300" w:type="dxa"/>
            <w:tcBorders>
              <w:top w:val="single" w:sz="4" w:space="0" w:color="000000"/>
              <w:bottom w:val="single" w:sz="4" w:space="0" w:color="000000"/>
            </w:tcBorders>
            <w:vAlign w:val="center"/>
          </w:tcPr>
          <w:p w14:paraId="01D0EE99" w14:textId="08D7127C" w:rsidR="006B67C4" w:rsidRPr="00D4309F" w:rsidRDefault="006B67C4" w:rsidP="007B3B30">
            <w:pPr>
              <w:pStyle w:val="Table-Text"/>
            </w:pPr>
            <w:r w:rsidRPr="00D4309F">
              <w:t>Marine environmental quality</w:t>
            </w:r>
          </w:p>
        </w:tc>
        <w:tc>
          <w:tcPr>
            <w:tcW w:w="2084" w:type="dxa"/>
            <w:tcBorders>
              <w:top w:val="single" w:sz="4" w:space="0" w:color="000000"/>
              <w:bottom w:val="single" w:sz="4" w:space="0" w:color="000000"/>
            </w:tcBorders>
            <w:vAlign w:val="center"/>
          </w:tcPr>
          <w:p w14:paraId="475E19E8" w14:textId="3DECD97E" w:rsidR="006B67C4" w:rsidRPr="00D4309F" w:rsidRDefault="006B67C4" w:rsidP="007B3B30">
            <w:pPr>
              <w:pStyle w:val="Table-Text"/>
            </w:pPr>
            <w:r w:rsidRPr="00D4309F">
              <w:t>Water quality</w:t>
            </w:r>
          </w:p>
        </w:tc>
        <w:tc>
          <w:tcPr>
            <w:tcW w:w="2853" w:type="dxa"/>
            <w:tcBorders>
              <w:top w:val="single" w:sz="4" w:space="0" w:color="000000"/>
              <w:bottom w:val="single" w:sz="4" w:space="0" w:color="000000"/>
            </w:tcBorders>
            <w:vAlign w:val="center"/>
          </w:tcPr>
          <w:p w14:paraId="0014A737" w14:textId="42608453" w:rsidR="006B67C4" w:rsidRPr="00D4309F" w:rsidRDefault="006B67C4" w:rsidP="007B3B30">
            <w:pPr>
              <w:pStyle w:val="Table-Bullet"/>
            </w:pPr>
            <w:r w:rsidRPr="00D4309F">
              <w:t>Introduced</w:t>
            </w:r>
            <w:r w:rsidRPr="00D4309F">
              <w:rPr>
                <w:spacing w:val="-4"/>
              </w:rPr>
              <w:t xml:space="preserve"> </w:t>
            </w:r>
            <w:r w:rsidRPr="00D4309F">
              <w:t>marine</w:t>
            </w:r>
            <w:r w:rsidRPr="00D4309F">
              <w:rPr>
                <w:spacing w:val="-4"/>
              </w:rPr>
              <w:t xml:space="preserve"> </w:t>
            </w:r>
            <w:r w:rsidRPr="00D4309F">
              <w:rPr>
                <w:spacing w:val="-2"/>
              </w:rPr>
              <w:t>species</w:t>
            </w:r>
          </w:p>
        </w:tc>
        <w:tc>
          <w:tcPr>
            <w:tcW w:w="1418" w:type="dxa"/>
            <w:tcBorders>
              <w:top w:val="single" w:sz="4" w:space="0" w:color="000000"/>
              <w:bottom w:val="single" w:sz="4" w:space="0" w:color="000000"/>
            </w:tcBorders>
            <w:shd w:val="clear" w:color="auto" w:fill="92D050"/>
            <w:vAlign w:val="center"/>
          </w:tcPr>
          <w:p w14:paraId="335F8980" w14:textId="0BC13DEC" w:rsidR="006B67C4" w:rsidRPr="007B3B30" w:rsidRDefault="006B67C4" w:rsidP="007B3B30">
            <w:pPr>
              <w:pStyle w:val="Table-Text"/>
              <w:rPr>
                <w:b/>
                <w:bCs/>
                <w:spacing w:val="-5"/>
              </w:rPr>
            </w:pPr>
            <w:r w:rsidRPr="007B3B30">
              <w:rPr>
                <w:b/>
                <w:bCs/>
                <w:spacing w:val="-5"/>
              </w:rPr>
              <w:t>Low</w:t>
            </w:r>
          </w:p>
        </w:tc>
        <w:tc>
          <w:tcPr>
            <w:tcW w:w="2268" w:type="dxa"/>
            <w:tcBorders>
              <w:top w:val="single" w:sz="4" w:space="0" w:color="000000"/>
              <w:bottom w:val="single" w:sz="4" w:space="0" w:color="000000"/>
            </w:tcBorders>
            <w:vAlign w:val="center"/>
          </w:tcPr>
          <w:p w14:paraId="732AC6E5" w14:textId="0F712B14" w:rsidR="006B67C4" w:rsidRPr="00D4309F" w:rsidRDefault="006B67C4" w:rsidP="007B3B30">
            <w:pPr>
              <w:pStyle w:val="Table-Bullet"/>
            </w:pPr>
            <w:r w:rsidRPr="00D4309F">
              <w:t>Compliance</w:t>
            </w:r>
            <w:r w:rsidRPr="00D4309F">
              <w:rPr>
                <w:spacing w:val="-15"/>
              </w:rPr>
              <w:t xml:space="preserve"> </w:t>
            </w:r>
            <w:r w:rsidRPr="00D4309F">
              <w:t>with</w:t>
            </w:r>
            <w:r w:rsidRPr="00D4309F">
              <w:rPr>
                <w:spacing w:val="-12"/>
              </w:rPr>
              <w:t xml:space="preserve"> </w:t>
            </w:r>
            <w:r w:rsidRPr="00D4309F">
              <w:t>standard procedures will minimise this risk</w:t>
            </w:r>
          </w:p>
        </w:tc>
        <w:tc>
          <w:tcPr>
            <w:tcW w:w="1984" w:type="dxa"/>
            <w:tcBorders>
              <w:top w:val="single" w:sz="4" w:space="0" w:color="000000"/>
              <w:bottom w:val="single" w:sz="4" w:space="0" w:color="000000"/>
            </w:tcBorders>
            <w:vAlign w:val="center"/>
          </w:tcPr>
          <w:p w14:paraId="4B1D2D09" w14:textId="038E556B" w:rsidR="006B67C4" w:rsidRPr="00D4309F" w:rsidRDefault="006B67C4" w:rsidP="007B3B30">
            <w:pPr>
              <w:pStyle w:val="Table-Bullet"/>
            </w:pPr>
            <w:r w:rsidRPr="00D4309F">
              <w:rPr>
                <w:color w:val="211E1F"/>
                <w:spacing w:val="-4"/>
              </w:rPr>
              <w:t>None</w:t>
            </w:r>
          </w:p>
        </w:tc>
        <w:tc>
          <w:tcPr>
            <w:tcW w:w="2665" w:type="dxa"/>
            <w:tcBorders>
              <w:top w:val="single" w:sz="4" w:space="0" w:color="000000"/>
              <w:bottom w:val="single" w:sz="4" w:space="0" w:color="000000"/>
            </w:tcBorders>
            <w:vAlign w:val="center"/>
          </w:tcPr>
          <w:p w14:paraId="39559733" w14:textId="066F915D" w:rsidR="006B67C4" w:rsidRPr="00D4309F" w:rsidRDefault="006B67C4" w:rsidP="007B3B30">
            <w:pPr>
              <w:pStyle w:val="Table-Bullet"/>
              <w:rPr>
                <w:color w:val="211E1F"/>
                <w:spacing w:val="-4"/>
              </w:rPr>
            </w:pPr>
            <w:r w:rsidRPr="00D4309F">
              <w:t xml:space="preserve">Compliance with standard state and </w:t>
            </w:r>
            <w:r w:rsidRPr="00D4309F">
              <w:rPr>
                <w:spacing w:val="-2"/>
              </w:rPr>
              <w:t xml:space="preserve">commonwealth </w:t>
            </w:r>
            <w:r w:rsidRPr="00D4309F">
              <w:t>procedures</w:t>
            </w:r>
            <w:r w:rsidRPr="00D4309F">
              <w:rPr>
                <w:spacing w:val="-13"/>
              </w:rPr>
              <w:t xml:space="preserve"> </w:t>
            </w:r>
            <w:r w:rsidRPr="00D4309F">
              <w:t xml:space="preserve">regarding </w:t>
            </w:r>
            <w:r w:rsidRPr="00D4309F">
              <w:rPr>
                <w:spacing w:val="-4"/>
              </w:rPr>
              <w:t>IMS</w:t>
            </w:r>
          </w:p>
        </w:tc>
      </w:tr>
      <w:tr w:rsidR="006B67C4" w:rsidRPr="00D4309F" w14:paraId="76EDD277" w14:textId="77777777" w:rsidTr="007B7D3D">
        <w:trPr>
          <w:cantSplit/>
          <w:trHeight w:val="20"/>
        </w:trPr>
        <w:tc>
          <w:tcPr>
            <w:tcW w:w="1300" w:type="dxa"/>
            <w:tcBorders>
              <w:top w:val="single" w:sz="4" w:space="0" w:color="000000"/>
              <w:bottom w:val="single" w:sz="4" w:space="0" w:color="000000"/>
            </w:tcBorders>
            <w:vAlign w:val="center"/>
          </w:tcPr>
          <w:p w14:paraId="6C883FDB" w14:textId="7E323F1B" w:rsidR="006B67C4" w:rsidRPr="00D4309F" w:rsidRDefault="006B67C4" w:rsidP="007B3B30">
            <w:pPr>
              <w:pStyle w:val="Table-Text"/>
            </w:pPr>
            <w:r w:rsidRPr="00D4309F">
              <w:lastRenderedPageBreak/>
              <w:t>Marine</w:t>
            </w:r>
            <w:r w:rsidRPr="00D4309F">
              <w:rPr>
                <w:spacing w:val="-4"/>
              </w:rPr>
              <w:t xml:space="preserve"> </w:t>
            </w:r>
            <w:r w:rsidRPr="00D4309F">
              <w:t>fauna</w:t>
            </w:r>
          </w:p>
        </w:tc>
        <w:tc>
          <w:tcPr>
            <w:tcW w:w="2084" w:type="dxa"/>
            <w:tcBorders>
              <w:top w:val="single" w:sz="4" w:space="0" w:color="000000"/>
              <w:bottom w:val="single" w:sz="4" w:space="0" w:color="000000"/>
            </w:tcBorders>
            <w:vAlign w:val="center"/>
          </w:tcPr>
          <w:p w14:paraId="4206AE8B" w14:textId="68ABF77A" w:rsidR="006B67C4" w:rsidRPr="00D4309F" w:rsidRDefault="006B67C4" w:rsidP="007B3B30">
            <w:pPr>
              <w:pStyle w:val="Table-Text"/>
            </w:pPr>
            <w:r w:rsidRPr="00D4309F">
              <w:t>Turtles</w:t>
            </w:r>
          </w:p>
        </w:tc>
        <w:tc>
          <w:tcPr>
            <w:tcW w:w="2853" w:type="dxa"/>
            <w:tcBorders>
              <w:top w:val="single" w:sz="4" w:space="0" w:color="000000"/>
              <w:bottom w:val="single" w:sz="4" w:space="0" w:color="000000"/>
            </w:tcBorders>
            <w:vAlign w:val="center"/>
          </w:tcPr>
          <w:p w14:paraId="2841E926" w14:textId="77777777" w:rsidR="006B67C4" w:rsidRPr="00D4309F" w:rsidRDefault="006B67C4" w:rsidP="007B3B30">
            <w:pPr>
              <w:pStyle w:val="Table-Bullet"/>
            </w:pPr>
            <w:r w:rsidRPr="00D4309F">
              <w:t>Behavioural</w:t>
            </w:r>
            <w:r w:rsidRPr="00D4309F">
              <w:rPr>
                <w:spacing w:val="-15"/>
              </w:rPr>
              <w:t xml:space="preserve"> </w:t>
            </w:r>
            <w:r w:rsidRPr="00D4309F">
              <w:t>response</w:t>
            </w:r>
            <w:r w:rsidRPr="00D4309F">
              <w:rPr>
                <w:spacing w:val="-12"/>
              </w:rPr>
              <w:t xml:space="preserve"> </w:t>
            </w:r>
            <w:r w:rsidRPr="00D4309F">
              <w:t>and interruption of nesting behaviour due to light</w:t>
            </w:r>
          </w:p>
          <w:p w14:paraId="039A2AE1" w14:textId="77777777" w:rsidR="006B67C4" w:rsidRPr="00D4309F" w:rsidRDefault="006B67C4" w:rsidP="007B3B30">
            <w:pPr>
              <w:pStyle w:val="Table-Bullet"/>
            </w:pPr>
            <w:r w:rsidRPr="00D4309F">
              <w:t>Mortality/injury</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 xml:space="preserve">vessel collision, entanglement, </w:t>
            </w:r>
            <w:r w:rsidRPr="00D4309F">
              <w:rPr>
                <w:spacing w:val="-2"/>
              </w:rPr>
              <w:t>entrainment</w:t>
            </w:r>
          </w:p>
          <w:p w14:paraId="4C6BA592" w14:textId="77777777" w:rsidR="006B67C4" w:rsidRPr="00D4309F" w:rsidRDefault="006B67C4" w:rsidP="007B3B30">
            <w:pPr>
              <w:pStyle w:val="Table-Bullet"/>
            </w:pPr>
            <w:r w:rsidRPr="00D4309F">
              <w:t>Mortality/injury</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onshore plant and vehicle movement during beach profiling</w:t>
            </w:r>
          </w:p>
          <w:p w14:paraId="58BBB5D8" w14:textId="77777777" w:rsidR="006B67C4" w:rsidRPr="00D4309F" w:rsidRDefault="006B67C4" w:rsidP="007B3B30">
            <w:pPr>
              <w:pStyle w:val="Table-Bullet"/>
            </w:pPr>
            <w:r w:rsidRPr="00D4309F">
              <w:t>Disturbance</w:t>
            </w:r>
            <w:r w:rsidRPr="00D4309F">
              <w:rPr>
                <w:spacing w:val="-4"/>
              </w:rPr>
              <w:t xml:space="preserve"> </w:t>
            </w:r>
            <w:r w:rsidRPr="00D4309F">
              <w:t>of</w:t>
            </w:r>
            <w:r w:rsidRPr="00D4309F">
              <w:rPr>
                <w:spacing w:val="-2"/>
              </w:rPr>
              <w:t xml:space="preserve"> </w:t>
            </w:r>
            <w:r w:rsidRPr="00D4309F">
              <w:t>habitat</w:t>
            </w:r>
            <w:r w:rsidRPr="00D4309F">
              <w:rPr>
                <w:spacing w:val="-3"/>
              </w:rPr>
              <w:t xml:space="preserve"> </w:t>
            </w:r>
            <w:r w:rsidRPr="00D4309F">
              <w:t>during sediment</w:t>
            </w:r>
            <w:r w:rsidRPr="00D4309F">
              <w:rPr>
                <w:spacing w:val="-13"/>
              </w:rPr>
              <w:t xml:space="preserve"> </w:t>
            </w:r>
            <w:r w:rsidRPr="00D4309F">
              <w:t>disposal</w:t>
            </w:r>
            <w:r w:rsidRPr="00D4309F">
              <w:rPr>
                <w:spacing w:val="-12"/>
              </w:rPr>
              <w:t xml:space="preserve"> </w:t>
            </w:r>
            <w:r w:rsidRPr="00D4309F">
              <w:t>and</w:t>
            </w:r>
            <w:r w:rsidRPr="00D4309F">
              <w:rPr>
                <w:spacing w:val="-13"/>
              </w:rPr>
              <w:t xml:space="preserve"> </w:t>
            </w:r>
            <w:r w:rsidRPr="00D4309F">
              <w:t xml:space="preserve">beach </w:t>
            </w:r>
            <w:r w:rsidRPr="00D4309F">
              <w:rPr>
                <w:spacing w:val="-2"/>
              </w:rPr>
              <w:t>reprofiling</w:t>
            </w:r>
          </w:p>
          <w:p w14:paraId="1562D940" w14:textId="343BF736" w:rsidR="006B67C4" w:rsidRPr="00D4309F" w:rsidRDefault="006B67C4" w:rsidP="007B3B30">
            <w:pPr>
              <w:pStyle w:val="Table-Bullet"/>
            </w:pPr>
            <w:r w:rsidRPr="00D4309F">
              <w:t>Change of beach profile at Mooloolaba</w:t>
            </w:r>
            <w:r w:rsidRPr="00D4309F">
              <w:rPr>
                <w:spacing w:val="-10"/>
              </w:rPr>
              <w:t xml:space="preserve"> </w:t>
            </w:r>
            <w:r w:rsidRPr="00D4309F">
              <w:t>Main</w:t>
            </w:r>
            <w:r w:rsidRPr="00D4309F">
              <w:rPr>
                <w:spacing w:val="-10"/>
              </w:rPr>
              <w:t xml:space="preserve"> </w:t>
            </w:r>
            <w:r w:rsidRPr="00D4309F">
              <w:t>Beach</w:t>
            </w:r>
            <w:r w:rsidRPr="00D4309F">
              <w:rPr>
                <w:spacing w:val="-10"/>
              </w:rPr>
              <w:t xml:space="preserve"> </w:t>
            </w:r>
            <w:r w:rsidRPr="00D4309F">
              <w:t>due</w:t>
            </w:r>
            <w:r w:rsidRPr="00D4309F">
              <w:rPr>
                <w:spacing w:val="-9"/>
              </w:rPr>
              <w:t xml:space="preserve"> </w:t>
            </w:r>
            <w:r w:rsidRPr="00D4309F">
              <w:t>to sediment disposal direct to beach impacting nesting</w:t>
            </w:r>
          </w:p>
        </w:tc>
        <w:tc>
          <w:tcPr>
            <w:tcW w:w="1418" w:type="dxa"/>
            <w:tcBorders>
              <w:top w:val="single" w:sz="4" w:space="0" w:color="000000"/>
              <w:bottom w:val="single" w:sz="4" w:space="0" w:color="000000"/>
            </w:tcBorders>
            <w:shd w:val="clear" w:color="auto" w:fill="FFFF00"/>
            <w:vAlign w:val="center"/>
          </w:tcPr>
          <w:p w14:paraId="0C351C0F" w14:textId="7B87A0FD" w:rsidR="006B67C4" w:rsidRPr="007B3B30" w:rsidRDefault="006B67C4" w:rsidP="007B3B30">
            <w:pPr>
              <w:pStyle w:val="Table-Text"/>
              <w:rPr>
                <w:b/>
                <w:bCs/>
                <w:spacing w:val="-5"/>
              </w:rPr>
            </w:pPr>
            <w:r w:rsidRPr="007B3B30">
              <w:rPr>
                <w:b/>
                <w:bCs/>
              </w:rPr>
              <w:t>Moderate</w:t>
            </w:r>
          </w:p>
        </w:tc>
        <w:tc>
          <w:tcPr>
            <w:tcW w:w="2268" w:type="dxa"/>
            <w:tcBorders>
              <w:top w:val="single" w:sz="4" w:space="0" w:color="000000"/>
              <w:bottom w:val="single" w:sz="4" w:space="0" w:color="000000"/>
            </w:tcBorders>
            <w:vAlign w:val="center"/>
          </w:tcPr>
          <w:p w14:paraId="6C821A94" w14:textId="1D3809F7" w:rsidR="006B67C4" w:rsidRPr="00D4309F" w:rsidRDefault="006B67C4" w:rsidP="007B3B30">
            <w:pPr>
              <w:pStyle w:val="Table-Bullet"/>
            </w:pPr>
            <w:r w:rsidRPr="00D4309F">
              <w:t>Several</w:t>
            </w:r>
            <w:r w:rsidRPr="00D4309F">
              <w:rPr>
                <w:spacing w:val="-13"/>
              </w:rPr>
              <w:t xml:space="preserve"> </w:t>
            </w:r>
            <w:r w:rsidRPr="00D4309F">
              <w:t>turtle</w:t>
            </w:r>
            <w:r w:rsidRPr="00D4309F">
              <w:rPr>
                <w:spacing w:val="-12"/>
              </w:rPr>
              <w:t xml:space="preserve"> </w:t>
            </w:r>
            <w:r w:rsidRPr="00D4309F">
              <w:t>species</w:t>
            </w:r>
            <w:r w:rsidRPr="00D4309F">
              <w:rPr>
                <w:spacing w:val="-13"/>
              </w:rPr>
              <w:t xml:space="preserve"> </w:t>
            </w:r>
            <w:r w:rsidRPr="00D4309F">
              <w:t>listed as endangered or vulnerable</w:t>
            </w:r>
            <w:r w:rsidRPr="00D4309F">
              <w:rPr>
                <w:spacing w:val="-11"/>
              </w:rPr>
              <w:t xml:space="preserve"> </w:t>
            </w:r>
            <w:r w:rsidRPr="00D4309F">
              <w:t>under</w:t>
            </w:r>
            <w:r w:rsidRPr="00D4309F">
              <w:rPr>
                <w:spacing w:val="-10"/>
              </w:rPr>
              <w:t xml:space="preserve"> </w:t>
            </w:r>
            <w:r w:rsidRPr="00D4309F">
              <w:t>the</w:t>
            </w:r>
            <w:r w:rsidRPr="00D4309F">
              <w:rPr>
                <w:spacing w:val="-11"/>
              </w:rPr>
              <w:t xml:space="preserve"> </w:t>
            </w:r>
            <w:r w:rsidRPr="00D4309F">
              <w:t>EPBC were identified in the project area with Green (Vulnerable) and Loggerhead (Endangered) turtles known to nest on Buddina and Mooloolaba beaches. Therefore, potential impacts need to be managed accordingly.</w:t>
            </w:r>
          </w:p>
        </w:tc>
        <w:tc>
          <w:tcPr>
            <w:tcW w:w="1984" w:type="dxa"/>
            <w:tcBorders>
              <w:top w:val="single" w:sz="4" w:space="0" w:color="000000"/>
              <w:bottom w:val="single" w:sz="4" w:space="0" w:color="000000"/>
            </w:tcBorders>
            <w:vAlign w:val="center"/>
          </w:tcPr>
          <w:p w14:paraId="09E30C8B" w14:textId="77777777" w:rsidR="006B67C4" w:rsidRPr="00D4309F" w:rsidRDefault="006B67C4" w:rsidP="007B3B30">
            <w:pPr>
              <w:pStyle w:val="Table-Bullet"/>
            </w:pPr>
            <w:r w:rsidRPr="00D4309F">
              <w:t>Assessment of shoreline</w:t>
            </w:r>
            <w:r w:rsidRPr="00D4309F">
              <w:rPr>
                <w:spacing w:val="-13"/>
              </w:rPr>
              <w:t xml:space="preserve"> </w:t>
            </w:r>
            <w:r w:rsidRPr="00D4309F">
              <w:t>response to works</w:t>
            </w:r>
          </w:p>
          <w:p w14:paraId="56428345" w14:textId="6664F2BB" w:rsidR="006B67C4" w:rsidRPr="00D4309F" w:rsidRDefault="006B67C4" w:rsidP="007B3B30">
            <w:pPr>
              <w:pStyle w:val="Table-Bullet"/>
            </w:pPr>
            <w:r w:rsidRPr="00D4309F">
              <w:t>Light</w:t>
            </w:r>
            <w:r w:rsidRPr="00D4309F">
              <w:rPr>
                <w:spacing w:val="-13"/>
              </w:rPr>
              <w:t xml:space="preserve"> </w:t>
            </w:r>
            <w:r w:rsidRPr="00D4309F">
              <w:t xml:space="preserve">assessment if night works are </w:t>
            </w:r>
            <w:r w:rsidRPr="00D4309F">
              <w:rPr>
                <w:spacing w:val="-2"/>
              </w:rPr>
              <w:t>proposed</w:t>
            </w:r>
          </w:p>
        </w:tc>
        <w:tc>
          <w:tcPr>
            <w:tcW w:w="2665" w:type="dxa"/>
            <w:tcBorders>
              <w:top w:val="single" w:sz="4" w:space="0" w:color="000000"/>
              <w:bottom w:val="single" w:sz="4" w:space="0" w:color="000000"/>
            </w:tcBorders>
            <w:vAlign w:val="center"/>
          </w:tcPr>
          <w:p w14:paraId="49C0DFA7" w14:textId="77777777" w:rsidR="006B67C4" w:rsidRPr="00D4309F" w:rsidRDefault="006B67C4" w:rsidP="007B3B30">
            <w:pPr>
              <w:pStyle w:val="Table-Bullet"/>
            </w:pPr>
            <w:r w:rsidRPr="00D4309F">
              <w:t>Timing</w:t>
            </w:r>
            <w:r w:rsidRPr="00D4309F">
              <w:rPr>
                <w:spacing w:val="-15"/>
              </w:rPr>
              <w:t xml:space="preserve"> </w:t>
            </w:r>
            <w:r w:rsidRPr="00D4309F">
              <w:t>of</w:t>
            </w:r>
            <w:r w:rsidRPr="00D4309F">
              <w:rPr>
                <w:spacing w:val="-12"/>
              </w:rPr>
              <w:t xml:space="preserve"> </w:t>
            </w:r>
            <w:r w:rsidRPr="00D4309F">
              <w:t>works outside</w:t>
            </w:r>
            <w:r w:rsidRPr="00D4309F">
              <w:rPr>
                <w:spacing w:val="-5"/>
              </w:rPr>
              <w:t xml:space="preserve"> </w:t>
            </w:r>
            <w:r w:rsidRPr="00D4309F">
              <w:t>of</w:t>
            </w:r>
            <w:r w:rsidRPr="00D4309F">
              <w:rPr>
                <w:spacing w:val="-4"/>
              </w:rPr>
              <w:t xml:space="preserve"> </w:t>
            </w:r>
            <w:r w:rsidRPr="00D4309F">
              <w:t>turtle nesting periods</w:t>
            </w:r>
          </w:p>
          <w:p w14:paraId="0750DCD8" w14:textId="77777777" w:rsidR="006B67C4" w:rsidRPr="00D4309F" w:rsidRDefault="006B67C4" w:rsidP="007B3B30">
            <w:pPr>
              <w:pStyle w:val="Table-Bullet"/>
            </w:pPr>
            <w:r w:rsidRPr="00D4309F">
              <w:t>Limitation</w:t>
            </w:r>
            <w:r w:rsidRPr="00D4309F">
              <w:rPr>
                <w:spacing w:val="-13"/>
              </w:rPr>
              <w:t xml:space="preserve"> </w:t>
            </w:r>
            <w:r w:rsidRPr="00D4309F">
              <w:t>of</w:t>
            </w:r>
            <w:r w:rsidRPr="00D4309F">
              <w:rPr>
                <w:spacing w:val="-12"/>
              </w:rPr>
              <w:t xml:space="preserve"> </w:t>
            </w:r>
            <w:r w:rsidRPr="00D4309F">
              <w:t>works</w:t>
            </w:r>
            <w:r w:rsidRPr="00D4309F">
              <w:rPr>
                <w:spacing w:val="-12"/>
              </w:rPr>
              <w:t xml:space="preserve"> </w:t>
            </w:r>
            <w:r w:rsidRPr="00D4309F">
              <w:t xml:space="preserve">to daylight hours or if necessary, standard light mitigation </w:t>
            </w:r>
            <w:r w:rsidRPr="00D4309F">
              <w:rPr>
                <w:spacing w:val="-2"/>
              </w:rPr>
              <w:t>procedures</w:t>
            </w:r>
          </w:p>
          <w:p w14:paraId="4434EF69" w14:textId="77777777" w:rsidR="006B67C4" w:rsidRPr="00D4309F" w:rsidRDefault="006B67C4" w:rsidP="007B3B30">
            <w:pPr>
              <w:pStyle w:val="Table-Bullet"/>
            </w:pPr>
            <w:r w:rsidRPr="00D4309F">
              <w:t>Design to minimise disturbance of turtle habitat</w:t>
            </w:r>
            <w:r w:rsidRPr="00D4309F">
              <w:rPr>
                <w:spacing w:val="-15"/>
              </w:rPr>
              <w:t xml:space="preserve"> </w:t>
            </w:r>
            <w:r w:rsidRPr="00D4309F">
              <w:t>and</w:t>
            </w:r>
            <w:r w:rsidRPr="00D4309F">
              <w:rPr>
                <w:spacing w:val="-12"/>
              </w:rPr>
              <w:t xml:space="preserve"> </w:t>
            </w:r>
            <w:r w:rsidRPr="00D4309F">
              <w:t>maintain the beach profile</w:t>
            </w:r>
          </w:p>
          <w:p w14:paraId="3DD157AD" w14:textId="77777777" w:rsidR="006B67C4" w:rsidRPr="00D4309F" w:rsidRDefault="006B67C4" w:rsidP="007B3B30">
            <w:pPr>
              <w:pStyle w:val="Table-Bullet"/>
            </w:pPr>
            <w:r w:rsidRPr="00D4309F">
              <w:t>Standard marine fauna mitigation practices</w:t>
            </w:r>
            <w:r w:rsidRPr="00D4309F">
              <w:rPr>
                <w:spacing w:val="-15"/>
              </w:rPr>
              <w:t xml:space="preserve"> </w:t>
            </w:r>
            <w:r w:rsidRPr="00D4309F">
              <w:t>e.g.</w:t>
            </w:r>
            <w:r w:rsidRPr="00D4309F">
              <w:rPr>
                <w:spacing w:val="-12"/>
              </w:rPr>
              <w:t xml:space="preserve"> </w:t>
            </w:r>
            <w:r w:rsidRPr="00D4309F">
              <w:t>marine fauna</w:t>
            </w:r>
            <w:r w:rsidRPr="00D4309F">
              <w:rPr>
                <w:spacing w:val="-6"/>
              </w:rPr>
              <w:t xml:space="preserve"> </w:t>
            </w:r>
            <w:r w:rsidRPr="00D4309F">
              <w:t>observers</w:t>
            </w:r>
            <w:r w:rsidRPr="00D4309F">
              <w:rPr>
                <w:spacing w:val="-5"/>
              </w:rPr>
              <w:t xml:space="preserve"> </w:t>
            </w:r>
            <w:r w:rsidRPr="00D4309F">
              <w:t>and exclusion zones</w:t>
            </w:r>
          </w:p>
          <w:p w14:paraId="231D5B18" w14:textId="77777777" w:rsidR="006B67C4" w:rsidRPr="00D4309F" w:rsidRDefault="006B67C4" w:rsidP="007B3B30">
            <w:pPr>
              <w:pStyle w:val="Table-Bullet"/>
            </w:pPr>
            <w:r w:rsidRPr="00D4309F">
              <w:t>Turtle guards on bypassing</w:t>
            </w:r>
            <w:r w:rsidRPr="00D4309F">
              <w:rPr>
                <w:spacing w:val="-13"/>
              </w:rPr>
              <w:t xml:space="preserve"> </w:t>
            </w:r>
            <w:r w:rsidRPr="00D4309F">
              <w:t>equipment</w:t>
            </w:r>
          </w:p>
          <w:p w14:paraId="383C79FE" w14:textId="77777777" w:rsidR="006B67C4" w:rsidRPr="00D4309F" w:rsidRDefault="006B67C4" w:rsidP="007B3B30">
            <w:pPr>
              <w:pStyle w:val="Table-Bullet"/>
            </w:pPr>
            <w:r w:rsidRPr="00D4309F">
              <w:rPr>
                <w:spacing w:val="-2"/>
              </w:rPr>
              <w:t xml:space="preserve">Appropriate </w:t>
            </w:r>
            <w:r w:rsidRPr="00D4309F">
              <w:t>management for onshore works e.g. onshore vehicles and plant to operate in designated</w:t>
            </w:r>
            <w:r w:rsidRPr="00D4309F">
              <w:rPr>
                <w:spacing w:val="-15"/>
              </w:rPr>
              <w:t xml:space="preserve"> </w:t>
            </w:r>
            <w:r w:rsidRPr="00D4309F">
              <w:t>tracks</w:t>
            </w:r>
            <w:r w:rsidRPr="00D4309F">
              <w:rPr>
                <w:spacing w:val="-12"/>
              </w:rPr>
              <w:t xml:space="preserve"> </w:t>
            </w:r>
            <w:r w:rsidRPr="00D4309F">
              <w:t xml:space="preserve">and </w:t>
            </w:r>
            <w:r w:rsidRPr="00D4309F">
              <w:rPr>
                <w:spacing w:val="-2"/>
              </w:rPr>
              <w:t>areas</w:t>
            </w:r>
          </w:p>
          <w:p w14:paraId="50B2D04C" w14:textId="0320C9B0" w:rsidR="006B67C4" w:rsidRPr="00D4309F" w:rsidRDefault="006B67C4" w:rsidP="007B3B30">
            <w:pPr>
              <w:pStyle w:val="Table-Bullet"/>
              <w:rPr>
                <w:color w:val="211E1F"/>
                <w:spacing w:val="-4"/>
              </w:rPr>
            </w:pPr>
            <w:r w:rsidRPr="00D4309F">
              <w:t>Beach</w:t>
            </w:r>
            <w:r w:rsidRPr="00D4309F">
              <w:rPr>
                <w:spacing w:val="-13"/>
              </w:rPr>
              <w:t xml:space="preserve"> </w:t>
            </w:r>
            <w:r w:rsidRPr="00D4309F">
              <w:t xml:space="preserve">profile </w:t>
            </w:r>
            <w:r w:rsidRPr="00D4309F">
              <w:rPr>
                <w:spacing w:val="-2"/>
              </w:rPr>
              <w:t>monitoring</w:t>
            </w:r>
          </w:p>
        </w:tc>
      </w:tr>
      <w:tr w:rsidR="006B67C4" w:rsidRPr="00D4309F" w14:paraId="656B2111" w14:textId="77777777" w:rsidTr="007B7D3D">
        <w:trPr>
          <w:cantSplit/>
          <w:trHeight w:val="20"/>
        </w:trPr>
        <w:tc>
          <w:tcPr>
            <w:tcW w:w="1300" w:type="dxa"/>
            <w:tcBorders>
              <w:top w:val="single" w:sz="4" w:space="0" w:color="000000"/>
              <w:bottom w:val="single" w:sz="4" w:space="0" w:color="000000"/>
            </w:tcBorders>
            <w:vAlign w:val="center"/>
          </w:tcPr>
          <w:p w14:paraId="1451E65C" w14:textId="2B11BACE" w:rsidR="006B67C4" w:rsidRPr="00D4309F" w:rsidRDefault="006B67C4" w:rsidP="007B3B30">
            <w:pPr>
              <w:pStyle w:val="Table-Text"/>
            </w:pPr>
            <w:r w:rsidRPr="00D4309F">
              <w:lastRenderedPageBreak/>
              <w:t>Marine</w:t>
            </w:r>
            <w:r w:rsidRPr="00D4309F">
              <w:rPr>
                <w:spacing w:val="-4"/>
              </w:rPr>
              <w:t xml:space="preserve"> </w:t>
            </w:r>
            <w:r w:rsidRPr="00D4309F">
              <w:t>fauna</w:t>
            </w:r>
          </w:p>
        </w:tc>
        <w:tc>
          <w:tcPr>
            <w:tcW w:w="2084" w:type="dxa"/>
            <w:tcBorders>
              <w:top w:val="single" w:sz="4" w:space="0" w:color="000000"/>
              <w:bottom w:val="single" w:sz="4" w:space="0" w:color="000000"/>
            </w:tcBorders>
            <w:vAlign w:val="center"/>
          </w:tcPr>
          <w:p w14:paraId="24FF1E9B" w14:textId="62383013" w:rsidR="006B67C4" w:rsidRPr="00D4309F" w:rsidRDefault="006B67C4" w:rsidP="007B3B30">
            <w:pPr>
              <w:pStyle w:val="Table-Text"/>
            </w:pPr>
            <w:r w:rsidRPr="00D4309F">
              <w:t>Marine mammals</w:t>
            </w:r>
          </w:p>
        </w:tc>
        <w:tc>
          <w:tcPr>
            <w:tcW w:w="2853" w:type="dxa"/>
            <w:tcBorders>
              <w:top w:val="single" w:sz="4" w:space="0" w:color="000000"/>
              <w:bottom w:val="single" w:sz="4" w:space="0" w:color="000000"/>
            </w:tcBorders>
            <w:vAlign w:val="center"/>
          </w:tcPr>
          <w:p w14:paraId="20992E6F" w14:textId="77777777" w:rsidR="006B67C4" w:rsidRPr="00D4309F" w:rsidRDefault="006B67C4" w:rsidP="007B3B30">
            <w:pPr>
              <w:pStyle w:val="Table-Bullet"/>
            </w:pPr>
            <w:r w:rsidRPr="00D4309F">
              <w:rPr>
                <w:spacing w:val="-2"/>
              </w:rPr>
              <w:t xml:space="preserve">Mortality/injury/behavioural </w:t>
            </w:r>
            <w:r w:rsidRPr="00D4309F">
              <w:t>response due to noise of construction</w:t>
            </w:r>
            <w:r w:rsidRPr="00D4309F">
              <w:rPr>
                <w:spacing w:val="-15"/>
              </w:rPr>
              <w:t xml:space="preserve"> </w:t>
            </w:r>
            <w:r w:rsidRPr="00D4309F">
              <w:t>and</w:t>
            </w:r>
            <w:r w:rsidRPr="00D4309F">
              <w:rPr>
                <w:spacing w:val="-12"/>
              </w:rPr>
              <w:t xml:space="preserve"> </w:t>
            </w:r>
            <w:r w:rsidRPr="00D4309F">
              <w:t>bypassing</w:t>
            </w:r>
          </w:p>
          <w:p w14:paraId="6A45E936" w14:textId="2F971086" w:rsidR="006B67C4" w:rsidRPr="00D4309F" w:rsidRDefault="006B67C4" w:rsidP="007B3B30">
            <w:pPr>
              <w:pStyle w:val="Table-Bullet"/>
            </w:pPr>
            <w:r w:rsidRPr="00D4309F">
              <w:t>Vessel</w:t>
            </w:r>
            <w:r w:rsidRPr="00D4309F">
              <w:rPr>
                <w:spacing w:val="-15"/>
              </w:rPr>
              <w:t xml:space="preserve"> </w:t>
            </w:r>
            <w:r w:rsidRPr="00D4309F">
              <w:t>collision,</w:t>
            </w:r>
            <w:r w:rsidRPr="00D4309F">
              <w:rPr>
                <w:spacing w:val="-12"/>
              </w:rPr>
              <w:t xml:space="preserve"> </w:t>
            </w:r>
            <w:r w:rsidRPr="00D4309F">
              <w:t xml:space="preserve">entanglement, </w:t>
            </w:r>
            <w:r w:rsidRPr="00D4309F">
              <w:rPr>
                <w:spacing w:val="-2"/>
              </w:rPr>
              <w:t>entrainment</w:t>
            </w:r>
          </w:p>
        </w:tc>
        <w:tc>
          <w:tcPr>
            <w:tcW w:w="1418" w:type="dxa"/>
            <w:tcBorders>
              <w:top w:val="single" w:sz="4" w:space="0" w:color="000000"/>
              <w:bottom w:val="single" w:sz="4" w:space="0" w:color="000000"/>
            </w:tcBorders>
            <w:shd w:val="clear" w:color="auto" w:fill="FFFF00"/>
            <w:vAlign w:val="center"/>
          </w:tcPr>
          <w:p w14:paraId="1710B2B5" w14:textId="5161A0FF" w:rsidR="006B67C4" w:rsidRPr="007B3B30" w:rsidRDefault="006B67C4" w:rsidP="007B3B30">
            <w:pPr>
              <w:pStyle w:val="Table-Text"/>
              <w:rPr>
                <w:b/>
                <w:bCs/>
                <w:spacing w:val="-5"/>
              </w:rPr>
            </w:pPr>
            <w:r w:rsidRPr="007B3B30">
              <w:rPr>
                <w:b/>
                <w:bCs/>
              </w:rPr>
              <w:t>Moderate</w:t>
            </w:r>
          </w:p>
        </w:tc>
        <w:tc>
          <w:tcPr>
            <w:tcW w:w="2268" w:type="dxa"/>
            <w:tcBorders>
              <w:top w:val="single" w:sz="4" w:space="0" w:color="000000"/>
              <w:bottom w:val="single" w:sz="4" w:space="0" w:color="000000"/>
            </w:tcBorders>
            <w:vAlign w:val="center"/>
          </w:tcPr>
          <w:p w14:paraId="296A38F2" w14:textId="77777777" w:rsidR="006B67C4" w:rsidRPr="00D4309F" w:rsidRDefault="006B67C4" w:rsidP="007B3B30">
            <w:pPr>
              <w:pStyle w:val="Table-Bullet"/>
            </w:pPr>
            <w:r w:rsidRPr="00D4309F">
              <w:t>Humpback</w:t>
            </w:r>
            <w:r w:rsidRPr="00D4309F">
              <w:rPr>
                <w:spacing w:val="-13"/>
              </w:rPr>
              <w:t xml:space="preserve"> </w:t>
            </w:r>
            <w:r w:rsidRPr="00D4309F">
              <w:t>whales</w:t>
            </w:r>
            <w:r w:rsidRPr="00D4309F">
              <w:rPr>
                <w:spacing w:val="-12"/>
              </w:rPr>
              <w:t xml:space="preserve"> </w:t>
            </w:r>
            <w:r w:rsidRPr="00D4309F">
              <w:t>may</w:t>
            </w:r>
            <w:r w:rsidRPr="00D4309F">
              <w:rPr>
                <w:spacing w:val="-13"/>
              </w:rPr>
              <w:t xml:space="preserve"> </w:t>
            </w:r>
            <w:r w:rsidRPr="00D4309F">
              <w:t>use the area for resting with calves during their migration period</w:t>
            </w:r>
          </w:p>
          <w:p w14:paraId="6B175B60" w14:textId="77777777" w:rsidR="006B67C4" w:rsidRPr="00D4309F" w:rsidRDefault="006B67C4" w:rsidP="007B3B30">
            <w:pPr>
              <w:pStyle w:val="Table-Bullet"/>
            </w:pPr>
            <w:r w:rsidRPr="00D4309F">
              <w:t>While species of dolphins listed as vulnerable may also</w:t>
            </w:r>
            <w:r w:rsidRPr="00D4309F">
              <w:rPr>
                <w:spacing w:val="-9"/>
              </w:rPr>
              <w:t xml:space="preserve"> </w:t>
            </w:r>
            <w:r w:rsidRPr="00D4309F">
              <w:t>occur</w:t>
            </w:r>
            <w:r w:rsidRPr="00D4309F">
              <w:rPr>
                <w:spacing w:val="-8"/>
              </w:rPr>
              <w:t xml:space="preserve"> </w:t>
            </w:r>
            <w:r w:rsidRPr="00D4309F">
              <w:t>in</w:t>
            </w:r>
            <w:r w:rsidRPr="00D4309F">
              <w:rPr>
                <w:spacing w:val="-9"/>
              </w:rPr>
              <w:t xml:space="preserve"> </w:t>
            </w:r>
            <w:r w:rsidRPr="00D4309F">
              <w:t>the</w:t>
            </w:r>
            <w:r w:rsidRPr="00D4309F">
              <w:rPr>
                <w:spacing w:val="-9"/>
              </w:rPr>
              <w:t xml:space="preserve"> </w:t>
            </w:r>
            <w:r w:rsidRPr="00D4309F">
              <w:t>area,</w:t>
            </w:r>
            <w:r w:rsidRPr="00D4309F">
              <w:rPr>
                <w:spacing w:val="-8"/>
              </w:rPr>
              <w:t xml:space="preserve"> </w:t>
            </w:r>
            <w:r w:rsidRPr="00D4309F">
              <w:t>they tend to move away from noise sources and are at lower risk of injury</w:t>
            </w:r>
          </w:p>
          <w:p w14:paraId="76A4876B" w14:textId="7A196C4E" w:rsidR="006B67C4" w:rsidRPr="00D4309F" w:rsidRDefault="006B67C4" w:rsidP="007B3B30">
            <w:pPr>
              <w:pStyle w:val="Table-Bullet"/>
            </w:pPr>
            <w:r w:rsidRPr="00D4309F">
              <w:t>While species of dolphin have breeding BIA in area, there is a lower risk to breeding because of the wide</w:t>
            </w:r>
            <w:r w:rsidRPr="00D4309F">
              <w:rPr>
                <w:spacing w:val="-9"/>
              </w:rPr>
              <w:t xml:space="preserve"> </w:t>
            </w:r>
            <w:r w:rsidRPr="00D4309F">
              <w:t>distribution</w:t>
            </w:r>
            <w:r w:rsidRPr="00D4309F">
              <w:rPr>
                <w:spacing w:val="-10"/>
              </w:rPr>
              <w:t xml:space="preserve"> </w:t>
            </w:r>
            <w:r w:rsidRPr="00D4309F">
              <w:t>of</w:t>
            </w:r>
            <w:r w:rsidRPr="00D4309F">
              <w:rPr>
                <w:spacing w:val="-10"/>
              </w:rPr>
              <w:t xml:space="preserve"> </w:t>
            </w:r>
            <w:r w:rsidRPr="00D4309F">
              <w:t>the</w:t>
            </w:r>
            <w:r w:rsidRPr="00D4309F">
              <w:rPr>
                <w:spacing w:val="-10"/>
              </w:rPr>
              <w:t xml:space="preserve"> </w:t>
            </w:r>
            <w:r w:rsidRPr="00D4309F">
              <w:t>BIAs</w:t>
            </w:r>
          </w:p>
        </w:tc>
        <w:tc>
          <w:tcPr>
            <w:tcW w:w="1984" w:type="dxa"/>
            <w:tcBorders>
              <w:top w:val="single" w:sz="4" w:space="0" w:color="000000"/>
              <w:bottom w:val="single" w:sz="4" w:space="0" w:color="000000"/>
            </w:tcBorders>
            <w:vAlign w:val="center"/>
          </w:tcPr>
          <w:p w14:paraId="20EC0085" w14:textId="3C5CE50C" w:rsidR="006B67C4" w:rsidRPr="00D4309F" w:rsidRDefault="006B67C4" w:rsidP="007B3B30">
            <w:pPr>
              <w:pStyle w:val="Table-Bullet"/>
            </w:pPr>
            <w:r w:rsidRPr="00D4309F">
              <w:t>Underwater</w:t>
            </w:r>
            <w:r w:rsidRPr="00D4309F">
              <w:rPr>
                <w:spacing w:val="-13"/>
              </w:rPr>
              <w:t xml:space="preserve"> </w:t>
            </w:r>
            <w:r w:rsidRPr="00D4309F">
              <w:t xml:space="preserve">noise </w:t>
            </w:r>
            <w:r w:rsidRPr="00D4309F">
              <w:rPr>
                <w:spacing w:val="-2"/>
              </w:rPr>
              <w:t>assessment including modelling</w:t>
            </w:r>
          </w:p>
        </w:tc>
        <w:tc>
          <w:tcPr>
            <w:tcW w:w="2665" w:type="dxa"/>
            <w:tcBorders>
              <w:top w:val="single" w:sz="4" w:space="0" w:color="000000"/>
              <w:bottom w:val="single" w:sz="4" w:space="0" w:color="000000"/>
            </w:tcBorders>
            <w:vAlign w:val="center"/>
          </w:tcPr>
          <w:p w14:paraId="52CBC8D0" w14:textId="77777777" w:rsidR="006B67C4" w:rsidRPr="00D4309F" w:rsidRDefault="006B67C4" w:rsidP="007B3B30">
            <w:pPr>
              <w:pStyle w:val="Table-Bullet"/>
            </w:pPr>
            <w:r w:rsidRPr="00D4309F">
              <w:t>Timing of works outside of whale migration</w:t>
            </w:r>
            <w:r w:rsidRPr="00D4309F">
              <w:rPr>
                <w:spacing w:val="-13"/>
              </w:rPr>
              <w:t xml:space="preserve"> </w:t>
            </w:r>
            <w:r w:rsidRPr="00D4309F">
              <w:t>periods</w:t>
            </w:r>
          </w:p>
          <w:p w14:paraId="18DCB07B" w14:textId="6EE3AA07" w:rsidR="006B67C4" w:rsidRPr="00D4309F" w:rsidRDefault="006B67C4" w:rsidP="007B3B30">
            <w:pPr>
              <w:pStyle w:val="Table-Bullet"/>
              <w:rPr>
                <w:color w:val="211E1F"/>
                <w:spacing w:val="-4"/>
              </w:rPr>
            </w:pPr>
            <w:r w:rsidRPr="00D4309F">
              <w:t>Standard marine fauna mitigation practices</w:t>
            </w:r>
            <w:r w:rsidRPr="00D4309F">
              <w:rPr>
                <w:spacing w:val="-15"/>
              </w:rPr>
              <w:t xml:space="preserve"> </w:t>
            </w:r>
            <w:r w:rsidRPr="00D4309F">
              <w:t>e.g.</w:t>
            </w:r>
            <w:r w:rsidRPr="00D4309F">
              <w:rPr>
                <w:spacing w:val="-12"/>
              </w:rPr>
              <w:t xml:space="preserve"> </w:t>
            </w:r>
            <w:r w:rsidRPr="00D4309F">
              <w:t>marine fauna</w:t>
            </w:r>
            <w:r w:rsidRPr="00D4309F">
              <w:rPr>
                <w:spacing w:val="-6"/>
              </w:rPr>
              <w:t xml:space="preserve"> </w:t>
            </w:r>
            <w:r w:rsidRPr="00D4309F">
              <w:t>observers</w:t>
            </w:r>
            <w:r w:rsidRPr="00D4309F">
              <w:rPr>
                <w:spacing w:val="-5"/>
              </w:rPr>
              <w:t xml:space="preserve"> </w:t>
            </w:r>
            <w:r w:rsidRPr="00D4309F">
              <w:t>and exclusion zone</w:t>
            </w:r>
          </w:p>
        </w:tc>
      </w:tr>
      <w:tr w:rsidR="006B67C4" w:rsidRPr="00D4309F" w14:paraId="646EE31C" w14:textId="77777777" w:rsidTr="007B7D3D">
        <w:trPr>
          <w:cantSplit/>
          <w:trHeight w:val="20"/>
        </w:trPr>
        <w:tc>
          <w:tcPr>
            <w:tcW w:w="1300" w:type="dxa"/>
            <w:tcBorders>
              <w:top w:val="single" w:sz="4" w:space="0" w:color="000000"/>
              <w:bottom w:val="single" w:sz="4" w:space="0" w:color="000000"/>
            </w:tcBorders>
            <w:vAlign w:val="center"/>
          </w:tcPr>
          <w:p w14:paraId="4BC9CA20" w14:textId="2EFEBFE9" w:rsidR="006B67C4" w:rsidRPr="00D4309F" w:rsidRDefault="006B67C4" w:rsidP="007B3B30">
            <w:pPr>
              <w:pStyle w:val="Table-Text"/>
            </w:pPr>
            <w:r w:rsidRPr="00D4309F">
              <w:t>Marine</w:t>
            </w:r>
            <w:r w:rsidRPr="00D4309F">
              <w:rPr>
                <w:spacing w:val="-4"/>
              </w:rPr>
              <w:t xml:space="preserve"> </w:t>
            </w:r>
            <w:r w:rsidRPr="00D4309F">
              <w:t>fauna</w:t>
            </w:r>
          </w:p>
        </w:tc>
        <w:tc>
          <w:tcPr>
            <w:tcW w:w="2084" w:type="dxa"/>
            <w:tcBorders>
              <w:top w:val="single" w:sz="4" w:space="0" w:color="000000"/>
              <w:bottom w:val="single" w:sz="4" w:space="0" w:color="000000"/>
            </w:tcBorders>
            <w:vAlign w:val="center"/>
          </w:tcPr>
          <w:p w14:paraId="175BFFD3" w14:textId="7E1520BD" w:rsidR="006B67C4" w:rsidRPr="00D4309F" w:rsidRDefault="006B67C4" w:rsidP="007B3B30">
            <w:pPr>
              <w:pStyle w:val="Table-Text"/>
            </w:pPr>
            <w:r w:rsidRPr="00D4309F">
              <w:t>Roosting Seabirds</w:t>
            </w:r>
          </w:p>
        </w:tc>
        <w:tc>
          <w:tcPr>
            <w:tcW w:w="2853" w:type="dxa"/>
            <w:tcBorders>
              <w:top w:val="single" w:sz="4" w:space="0" w:color="000000"/>
              <w:bottom w:val="single" w:sz="4" w:space="0" w:color="000000"/>
            </w:tcBorders>
            <w:vAlign w:val="center"/>
          </w:tcPr>
          <w:p w14:paraId="0B95DD5D" w14:textId="77777777" w:rsidR="006B67C4" w:rsidRPr="00D4309F" w:rsidRDefault="006B67C4" w:rsidP="007B3B30">
            <w:pPr>
              <w:pStyle w:val="Table-Bullet"/>
            </w:pPr>
            <w:r w:rsidRPr="00D4309F">
              <w:rPr>
                <w:spacing w:val="-2"/>
              </w:rPr>
              <w:t xml:space="preserve">Mortality/injury/behavioural </w:t>
            </w:r>
            <w:r w:rsidRPr="00D4309F">
              <w:t>response due to noise of construction</w:t>
            </w:r>
            <w:r w:rsidRPr="00D4309F">
              <w:rPr>
                <w:spacing w:val="-15"/>
              </w:rPr>
              <w:t xml:space="preserve"> </w:t>
            </w:r>
            <w:r w:rsidRPr="00D4309F">
              <w:t>and</w:t>
            </w:r>
            <w:r w:rsidRPr="00D4309F">
              <w:rPr>
                <w:spacing w:val="-12"/>
              </w:rPr>
              <w:t xml:space="preserve"> </w:t>
            </w:r>
            <w:r w:rsidRPr="00D4309F">
              <w:t>bypassing</w:t>
            </w:r>
          </w:p>
          <w:p w14:paraId="0F59DF14" w14:textId="77777777" w:rsidR="006B67C4" w:rsidRPr="00D4309F" w:rsidRDefault="006B67C4" w:rsidP="007B3B30">
            <w:pPr>
              <w:pStyle w:val="Table-Bullet"/>
            </w:pPr>
            <w:r w:rsidRPr="00D4309F">
              <w:t>Behavioural</w:t>
            </w:r>
            <w:r w:rsidRPr="00D4309F">
              <w:rPr>
                <w:spacing w:val="-15"/>
              </w:rPr>
              <w:t xml:space="preserve"> </w:t>
            </w:r>
            <w:r w:rsidRPr="00D4309F">
              <w:t>response</w:t>
            </w:r>
            <w:r w:rsidRPr="00D4309F">
              <w:rPr>
                <w:spacing w:val="-12"/>
              </w:rPr>
              <w:t xml:space="preserve"> </w:t>
            </w:r>
            <w:r w:rsidRPr="00D4309F">
              <w:t>and interruption of nesting behaviour due to light</w:t>
            </w:r>
          </w:p>
          <w:p w14:paraId="05CFAEC7" w14:textId="77777777" w:rsidR="006B67C4" w:rsidRPr="00D4309F" w:rsidRDefault="006B67C4" w:rsidP="007B3B30">
            <w:pPr>
              <w:pStyle w:val="Table-Bullet"/>
            </w:pPr>
            <w:r w:rsidRPr="00D4309F">
              <w:rPr>
                <w:spacing w:val="-2"/>
              </w:rPr>
              <w:t xml:space="preserve">Mortality/injury/behavioural </w:t>
            </w:r>
            <w:r w:rsidRPr="00D4309F">
              <w:t>response due to physical presence onshore</w:t>
            </w:r>
          </w:p>
          <w:p w14:paraId="0B70B7BA" w14:textId="77777777" w:rsidR="006B67C4" w:rsidRPr="00D4309F" w:rsidRDefault="006B67C4" w:rsidP="007B3B30">
            <w:pPr>
              <w:pStyle w:val="Table-Bullet"/>
            </w:pPr>
            <w:r w:rsidRPr="00D4309F">
              <w:t>Disturbance/degradation of habitat due to laydown area and</w:t>
            </w:r>
            <w:r w:rsidRPr="00D4309F">
              <w:rPr>
                <w:spacing w:val="-13"/>
              </w:rPr>
              <w:t xml:space="preserve"> </w:t>
            </w:r>
            <w:r w:rsidRPr="00D4309F">
              <w:t>booster</w:t>
            </w:r>
            <w:r w:rsidRPr="00D4309F">
              <w:rPr>
                <w:spacing w:val="-12"/>
              </w:rPr>
              <w:t xml:space="preserve"> </w:t>
            </w:r>
            <w:r w:rsidRPr="00D4309F">
              <w:t>pump</w:t>
            </w:r>
            <w:r w:rsidRPr="00D4309F">
              <w:rPr>
                <w:spacing w:val="-13"/>
              </w:rPr>
              <w:t xml:space="preserve"> </w:t>
            </w:r>
            <w:r w:rsidRPr="00D4309F">
              <w:t>installation</w:t>
            </w:r>
          </w:p>
          <w:p w14:paraId="3F71FF18" w14:textId="7E450D38" w:rsidR="006B67C4" w:rsidRPr="00D4309F" w:rsidRDefault="006B67C4" w:rsidP="007B3B30">
            <w:pPr>
              <w:pStyle w:val="Table-Bullet"/>
            </w:pPr>
            <w:r w:rsidRPr="00D4309F">
              <w:t>Mortality/injury or due to onshore plant and vehicle movement</w:t>
            </w:r>
            <w:r w:rsidRPr="00D4309F">
              <w:rPr>
                <w:spacing w:val="-13"/>
              </w:rPr>
              <w:t xml:space="preserve"> </w:t>
            </w:r>
            <w:r w:rsidRPr="00D4309F">
              <w:t>if</w:t>
            </w:r>
            <w:r w:rsidRPr="00D4309F">
              <w:rPr>
                <w:spacing w:val="-12"/>
              </w:rPr>
              <w:t xml:space="preserve"> </w:t>
            </w:r>
            <w:r w:rsidRPr="00D4309F">
              <w:t>beach</w:t>
            </w:r>
            <w:r w:rsidRPr="00D4309F">
              <w:rPr>
                <w:spacing w:val="-13"/>
              </w:rPr>
              <w:t xml:space="preserve"> </w:t>
            </w:r>
            <w:r w:rsidRPr="00D4309F">
              <w:t xml:space="preserve">reprofiling </w:t>
            </w:r>
            <w:r w:rsidRPr="00D4309F">
              <w:rPr>
                <w:spacing w:val="-2"/>
              </w:rPr>
              <w:t>required</w:t>
            </w:r>
          </w:p>
        </w:tc>
        <w:tc>
          <w:tcPr>
            <w:tcW w:w="1418" w:type="dxa"/>
            <w:tcBorders>
              <w:top w:val="single" w:sz="4" w:space="0" w:color="000000"/>
              <w:bottom w:val="single" w:sz="4" w:space="0" w:color="000000"/>
            </w:tcBorders>
            <w:shd w:val="clear" w:color="auto" w:fill="FFFF00"/>
            <w:vAlign w:val="center"/>
          </w:tcPr>
          <w:p w14:paraId="13541376" w14:textId="3A191574" w:rsidR="006B67C4" w:rsidRPr="007B3B30" w:rsidRDefault="006B67C4" w:rsidP="007B3B30">
            <w:pPr>
              <w:pStyle w:val="Table-Text"/>
              <w:rPr>
                <w:b/>
                <w:bCs/>
                <w:spacing w:val="-5"/>
              </w:rPr>
            </w:pPr>
            <w:r w:rsidRPr="007B3B30">
              <w:rPr>
                <w:b/>
                <w:bCs/>
              </w:rPr>
              <w:t>Moderate</w:t>
            </w:r>
          </w:p>
        </w:tc>
        <w:tc>
          <w:tcPr>
            <w:tcW w:w="2268" w:type="dxa"/>
            <w:tcBorders>
              <w:top w:val="single" w:sz="4" w:space="0" w:color="000000"/>
              <w:bottom w:val="single" w:sz="4" w:space="0" w:color="000000"/>
            </w:tcBorders>
            <w:vAlign w:val="center"/>
          </w:tcPr>
          <w:p w14:paraId="1B7B643F" w14:textId="6F58E392" w:rsidR="006B67C4" w:rsidRPr="00D4309F" w:rsidRDefault="006B67C4" w:rsidP="007B3B30">
            <w:pPr>
              <w:pStyle w:val="Table-Bullet"/>
            </w:pPr>
            <w:r w:rsidRPr="00D4309F">
              <w:t>Several species of migratory seabird aggregate</w:t>
            </w:r>
            <w:r w:rsidRPr="00D4309F">
              <w:rPr>
                <w:spacing w:val="-11"/>
              </w:rPr>
              <w:t xml:space="preserve"> </w:t>
            </w:r>
            <w:r w:rsidRPr="00D4309F">
              <w:t>and</w:t>
            </w:r>
            <w:r w:rsidRPr="00D4309F">
              <w:rPr>
                <w:spacing w:val="-9"/>
              </w:rPr>
              <w:t xml:space="preserve"> </w:t>
            </w:r>
            <w:r w:rsidRPr="00D4309F">
              <w:t>may</w:t>
            </w:r>
            <w:r w:rsidRPr="00D4309F">
              <w:rPr>
                <w:spacing w:val="-10"/>
              </w:rPr>
              <w:t xml:space="preserve"> </w:t>
            </w:r>
            <w:r w:rsidRPr="00D4309F">
              <w:t>nest</w:t>
            </w:r>
            <w:r w:rsidRPr="00D4309F">
              <w:rPr>
                <w:spacing w:val="-10"/>
              </w:rPr>
              <w:t xml:space="preserve"> </w:t>
            </w:r>
            <w:r w:rsidRPr="00D4309F">
              <w:t>at Point</w:t>
            </w:r>
            <w:r w:rsidRPr="00D4309F">
              <w:rPr>
                <w:spacing w:val="-3"/>
              </w:rPr>
              <w:t xml:space="preserve"> </w:t>
            </w:r>
            <w:r w:rsidRPr="00D4309F">
              <w:t>Cartwright</w:t>
            </w:r>
            <w:r w:rsidRPr="00D4309F">
              <w:rPr>
                <w:spacing w:val="-3"/>
              </w:rPr>
              <w:t xml:space="preserve"> </w:t>
            </w:r>
            <w:r w:rsidRPr="00D4309F">
              <w:t>and</w:t>
            </w:r>
            <w:r w:rsidRPr="00D4309F">
              <w:rPr>
                <w:spacing w:val="-4"/>
              </w:rPr>
              <w:t xml:space="preserve"> </w:t>
            </w:r>
            <w:r w:rsidRPr="00D4309F">
              <w:t>could be impacted</w:t>
            </w:r>
          </w:p>
        </w:tc>
        <w:tc>
          <w:tcPr>
            <w:tcW w:w="1984" w:type="dxa"/>
            <w:tcBorders>
              <w:top w:val="single" w:sz="4" w:space="0" w:color="000000"/>
              <w:bottom w:val="single" w:sz="4" w:space="0" w:color="000000"/>
            </w:tcBorders>
            <w:vAlign w:val="center"/>
          </w:tcPr>
          <w:p w14:paraId="401F4F7A" w14:textId="77777777" w:rsidR="006B67C4" w:rsidRPr="00D4309F" w:rsidRDefault="006B67C4" w:rsidP="007B3B30">
            <w:pPr>
              <w:pStyle w:val="Table-Bullet"/>
            </w:pPr>
            <w:r w:rsidRPr="00D4309F">
              <w:t>Noise</w:t>
            </w:r>
            <w:r w:rsidRPr="00D4309F">
              <w:rPr>
                <w:spacing w:val="-2"/>
              </w:rPr>
              <w:t xml:space="preserve"> assessment</w:t>
            </w:r>
          </w:p>
          <w:p w14:paraId="67C17836" w14:textId="0C38C37B" w:rsidR="006B67C4" w:rsidRPr="00D4309F" w:rsidRDefault="006B67C4" w:rsidP="007B3B30">
            <w:pPr>
              <w:pStyle w:val="Table-Bullet"/>
            </w:pPr>
            <w:r w:rsidRPr="00D4309F">
              <w:t>Light</w:t>
            </w:r>
            <w:r w:rsidRPr="00D4309F">
              <w:rPr>
                <w:spacing w:val="-13"/>
              </w:rPr>
              <w:t xml:space="preserve"> </w:t>
            </w:r>
            <w:r w:rsidRPr="00D4309F">
              <w:t xml:space="preserve">assessment if night works are </w:t>
            </w:r>
            <w:r w:rsidRPr="00D4309F">
              <w:rPr>
                <w:spacing w:val="-2"/>
              </w:rPr>
              <w:t>proposed</w:t>
            </w:r>
          </w:p>
        </w:tc>
        <w:tc>
          <w:tcPr>
            <w:tcW w:w="2665" w:type="dxa"/>
            <w:tcBorders>
              <w:top w:val="single" w:sz="4" w:space="0" w:color="000000"/>
              <w:bottom w:val="single" w:sz="4" w:space="0" w:color="000000"/>
            </w:tcBorders>
            <w:vAlign w:val="center"/>
          </w:tcPr>
          <w:p w14:paraId="78AFF616" w14:textId="77777777" w:rsidR="006B67C4" w:rsidRPr="00D4309F" w:rsidRDefault="006B67C4" w:rsidP="007B3B30">
            <w:pPr>
              <w:pStyle w:val="Table-Bullet"/>
            </w:pPr>
            <w:r w:rsidRPr="00D4309F">
              <w:t>Timing of works outside of peak aggregation</w:t>
            </w:r>
            <w:r w:rsidRPr="00D4309F">
              <w:rPr>
                <w:spacing w:val="-13"/>
              </w:rPr>
              <w:t xml:space="preserve"> </w:t>
            </w:r>
            <w:r w:rsidRPr="00D4309F">
              <w:t>season (summer) for migratory terns</w:t>
            </w:r>
          </w:p>
          <w:p w14:paraId="042D99B8" w14:textId="118090DF" w:rsidR="006B67C4" w:rsidRPr="00D4309F" w:rsidRDefault="006B67C4" w:rsidP="007B3B30">
            <w:pPr>
              <w:pStyle w:val="Table-Bullet"/>
              <w:rPr>
                <w:color w:val="211E1F"/>
                <w:spacing w:val="-4"/>
              </w:rPr>
            </w:pPr>
            <w:r w:rsidRPr="00D4309F">
              <w:rPr>
                <w:spacing w:val="-2"/>
              </w:rPr>
              <w:t xml:space="preserve">Appropriate </w:t>
            </w:r>
            <w:r w:rsidRPr="00D4309F">
              <w:t>management for onshore works e.g. onshore vehicles and plant to operate in designated</w:t>
            </w:r>
            <w:r w:rsidRPr="00D4309F">
              <w:rPr>
                <w:spacing w:val="-15"/>
              </w:rPr>
              <w:t xml:space="preserve"> </w:t>
            </w:r>
            <w:r w:rsidRPr="00D4309F">
              <w:t>tracks</w:t>
            </w:r>
            <w:r w:rsidRPr="00D4309F">
              <w:rPr>
                <w:spacing w:val="-12"/>
              </w:rPr>
              <w:t xml:space="preserve"> </w:t>
            </w:r>
            <w:r w:rsidRPr="00D4309F">
              <w:t>and areas,</w:t>
            </w:r>
            <w:r w:rsidRPr="00D4309F">
              <w:rPr>
                <w:spacing w:val="-13"/>
              </w:rPr>
              <w:t xml:space="preserve"> </w:t>
            </w:r>
            <w:r w:rsidRPr="00D4309F">
              <w:t>design</w:t>
            </w:r>
            <w:r w:rsidRPr="00D4309F">
              <w:rPr>
                <w:spacing w:val="-12"/>
              </w:rPr>
              <w:t xml:space="preserve"> </w:t>
            </w:r>
            <w:r w:rsidRPr="00D4309F">
              <w:t>to</w:t>
            </w:r>
            <w:r w:rsidRPr="00D4309F">
              <w:rPr>
                <w:spacing w:val="-13"/>
              </w:rPr>
              <w:t xml:space="preserve"> </w:t>
            </w:r>
            <w:r w:rsidRPr="00D4309F">
              <w:t>avoid key habitat areas.</w:t>
            </w:r>
          </w:p>
        </w:tc>
      </w:tr>
      <w:tr w:rsidR="006B67C4" w:rsidRPr="00D4309F" w14:paraId="6063DC0C" w14:textId="77777777" w:rsidTr="007B7D3D">
        <w:trPr>
          <w:cantSplit/>
          <w:trHeight w:val="20"/>
        </w:trPr>
        <w:tc>
          <w:tcPr>
            <w:tcW w:w="1300" w:type="dxa"/>
            <w:tcBorders>
              <w:top w:val="single" w:sz="4" w:space="0" w:color="000000"/>
              <w:bottom w:val="single" w:sz="4" w:space="0" w:color="000000"/>
            </w:tcBorders>
            <w:vAlign w:val="center"/>
          </w:tcPr>
          <w:p w14:paraId="340F3DF8" w14:textId="4C0B5EDD" w:rsidR="006B67C4" w:rsidRPr="00D4309F" w:rsidRDefault="006B67C4" w:rsidP="007B3B30">
            <w:pPr>
              <w:pStyle w:val="Table-Text"/>
            </w:pPr>
            <w:r w:rsidRPr="00D4309F">
              <w:lastRenderedPageBreak/>
              <w:t>Marine</w:t>
            </w:r>
            <w:r w:rsidRPr="00D4309F">
              <w:rPr>
                <w:spacing w:val="-4"/>
              </w:rPr>
              <w:t xml:space="preserve"> </w:t>
            </w:r>
            <w:r w:rsidRPr="00D4309F">
              <w:t>fauna</w:t>
            </w:r>
          </w:p>
        </w:tc>
        <w:tc>
          <w:tcPr>
            <w:tcW w:w="2084" w:type="dxa"/>
            <w:tcBorders>
              <w:top w:val="single" w:sz="4" w:space="0" w:color="000000"/>
              <w:bottom w:val="single" w:sz="4" w:space="0" w:color="000000"/>
            </w:tcBorders>
            <w:vAlign w:val="center"/>
          </w:tcPr>
          <w:p w14:paraId="47C92D28" w14:textId="6B432936" w:rsidR="006B67C4" w:rsidRPr="00D4309F" w:rsidRDefault="006B67C4" w:rsidP="007B3B30">
            <w:pPr>
              <w:pStyle w:val="Table-Text"/>
            </w:pPr>
            <w:r w:rsidRPr="00D4309F">
              <w:t>Foraging Seabirds</w:t>
            </w:r>
          </w:p>
        </w:tc>
        <w:tc>
          <w:tcPr>
            <w:tcW w:w="2853" w:type="dxa"/>
            <w:tcBorders>
              <w:top w:val="single" w:sz="4" w:space="0" w:color="000000"/>
              <w:bottom w:val="single" w:sz="4" w:space="0" w:color="000000"/>
            </w:tcBorders>
            <w:vAlign w:val="center"/>
          </w:tcPr>
          <w:p w14:paraId="0BD63E1D" w14:textId="0A90F029" w:rsidR="006B67C4" w:rsidRPr="00D4309F" w:rsidRDefault="006B67C4" w:rsidP="007B3B30">
            <w:pPr>
              <w:pStyle w:val="Table-Bullet"/>
            </w:pPr>
            <w:r w:rsidRPr="00D4309F">
              <w:t>Generation of turbidity impacting</w:t>
            </w:r>
            <w:r w:rsidRPr="00D4309F">
              <w:rPr>
                <w:spacing w:val="-15"/>
              </w:rPr>
              <w:t xml:space="preserve"> </w:t>
            </w:r>
            <w:r w:rsidRPr="00D4309F">
              <w:t>foraging</w:t>
            </w:r>
            <w:r w:rsidRPr="00D4309F">
              <w:rPr>
                <w:spacing w:val="-12"/>
              </w:rPr>
              <w:t xml:space="preserve"> </w:t>
            </w:r>
            <w:r w:rsidRPr="00D4309F">
              <w:t>activities</w:t>
            </w:r>
          </w:p>
        </w:tc>
        <w:tc>
          <w:tcPr>
            <w:tcW w:w="1418" w:type="dxa"/>
            <w:tcBorders>
              <w:top w:val="single" w:sz="4" w:space="0" w:color="000000"/>
              <w:bottom w:val="single" w:sz="4" w:space="0" w:color="000000"/>
            </w:tcBorders>
            <w:shd w:val="clear" w:color="auto" w:fill="FFFF00"/>
            <w:vAlign w:val="center"/>
          </w:tcPr>
          <w:p w14:paraId="35198533" w14:textId="755A0BF7" w:rsidR="006B67C4" w:rsidRPr="007B3B30" w:rsidRDefault="006B67C4" w:rsidP="007B3B30">
            <w:pPr>
              <w:pStyle w:val="Table-Text"/>
              <w:rPr>
                <w:b/>
                <w:bCs/>
                <w:spacing w:val="-5"/>
              </w:rPr>
            </w:pPr>
            <w:r w:rsidRPr="007B3B30">
              <w:rPr>
                <w:b/>
                <w:bCs/>
              </w:rPr>
              <w:t>Moderate</w:t>
            </w:r>
          </w:p>
        </w:tc>
        <w:tc>
          <w:tcPr>
            <w:tcW w:w="2268" w:type="dxa"/>
            <w:tcBorders>
              <w:top w:val="single" w:sz="4" w:space="0" w:color="000000"/>
              <w:bottom w:val="single" w:sz="4" w:space="0" w:color="000000"/>
            </w:tcBorders>
            <w:vAlign w:val="center"/>
          </w:tcPr>
          <w:p w14:paraId="1A89EFFB" w14:textId="77777777" w:rsidR="006B67C4" w:rsidRPr="00D4309F" w:rsidRDefault="006B67C4" w:rsidP="007B3B30">
            <w:pPr>
              <w:pStyle w:val="Table-Bullet"/>
            </w:pPr>
            <w:r w:rsidRPr="00D4309F">
              <w:t>Turbidity will impede the ability</w:t>
            </w:r>
            <w:r w:rsidRPr="00D4309F">
              <w:rPr>
                <w:spacing w:val="-10"/>
              </w:rPr>
              <w:t xml:space="preserve"> </w:t>
            </w:r>
            <w:r w:rsidRPr="00D4309F">
              <w:t>of</w:t>
            </w:r>
            <w:r w:rsidRPr="00D4309F">
              <w:rPr>
                <w:spacing w:val="-10"/>
              </w:rPr>
              <w:t xml:space="preserve"> </w:t>
            </w:r>
            <w:r w:rsidRPr="00D4309F">
              <w:t>aerial</w:t>
            </w:r>
            <w:r w:rsidRPr="00D4309F">
              <w:rPr>
                <w:spacing w:val="-10"/>
              </w:rPr>
              <w:t xml:space="preserve"> </w:t>
            </w:r>
            <w:r w:rsidRPr="00D4309F">
              <w:t>feeding</w:t>
            </w:r>
            <w:r w:rsidRPr="00D4309F">
              <w:rPr>
                <w:spacing w:val="-11"/>
              </w:rPr>
              <w:t xml:space="preserve"> </w:t>
            </w:r>
            <w:r w:rsidRPr="00D4309F">
              <w:t>birds to see prey underwater, which will impact the Little Terns aggregating in Point Cartwright reserve. Larger seabirds will travel outside of</w:t>
            </w:r>
            <w:r w:rsidRPr="00D4309F">
              <w:rPr>
                <w:spacing w:val="-2"/>
              </w:rPr>
              <w:t xml:space="preserve"> </w:t>
            </w:r>
            <w:r w:rsidRPr="00D4309F">
              <w:t>the</w:t>
            </w:r>
            <w:r w:rsidRPr="00D4309F">
              <w:rPr>
                <w:spacing w:val="-3"/>
              </w:rPr>
              <w:t xml:space="preserve"> </w:t>
            </w:r>
            <w:r w:rsidRPr="00D4309F">
              <w:t>turbid</w:t>
            </w:r>
            <w:r w:rsidRPr="00D4309F">
              <w:rPr>
                <w:spacing w:val="-3"/>
              </w:rPr>
              <w:t xml:space="preserve"> </w:t>
            </w:r>
            <w:r w:rsidRPr="00D4309F">
              <w:t>zone</w:t>
            </w:r>
            <w:r w:rsidRPr="00D4309F">
              <w:rPr>
                <w:spacing w:val="-3"/>
              </w:rPr>
              <w:t xml:space="preserve"> </w:t>
            </w:r>
            <w:r w:rsidRPr="00D4309F">
              <w:t>to</w:t>
            </w:r>
            <w:r w:rsidRPr="00D4309F">
              <w:rPr>
                <w:spacing w:val="-3"/>
              </w:rPr>
              <w:t xml:space="preserve"> </w:t>
            </w:r>
            <w:r w:rsidRPr="00D4309F">
              <w:t>forage.</w:t>
            </w:r>
          </w:p>
          <w:p w14:paraId="38C81D5E" w14:textId="77777777" w:rsidR="006B67C4" w:rsidRPr="00D4309F" w:rsidRDefault="006B67C4" w:rsidP="007B3B30">
            <w:pPr>
              <w:pStyle w:val="Table-Bullet"/>
            </w:pPr>
            <w:r w:rsidRPr="00D4309F">
              <w:t>An assessment of the predicted plume extent will inform</w:t>
            </w:r>
            <w:r w:rsidRPr="00D4309F">
              <w:rPr>
                <w:spacing w:val="-10"/>
              </w:rPr>
              <w:t xml:space="preserve"> </w:t>
            </w:r>
            <w:r w:rsidRPr="00D4309F">
              <w:t>the</w:t>
            </w:r>
            <w:r w:rsidRPr="00D4309F">
              <w:rPr>
                <w:spacing w:val="-11"/>
              </w:rPr>
              <w:t xml:space="preserve"> </w:t>
            </w:r>
            <w:r w:rsidRPr="00D4309F">
              <w:t>extent</w:t>
            </w:r>
            <w:r w:rsidRPr="00D4309F">
              <w:rPr>
                <w:spacing w:val="-10"/>
              </w:rPr>
              <w:t xml:space="preserve"> </w:t>
            </w:r>
            <w:r w:rsidRPr="00D4309F">
              <w:t>of</w:t>
            </w:r>
            <w:r w:rsidRPr="00D4309F">
              <w:rPr>
                <w:spacing w:val="-10"/>
              </w:rPr>
              <w:t xml:space="preserve"> </w:t>
            </w:r>
            <w:r w:rsidRPr="00D4309F">
              <w:t>turbidity related</w:t>
            </w:r>
            <w:r w:rsidRPr="00D4309F">
              <w:rPr>
                <w:spacing w:val="-5"/>
              </w:rPr>
              <w:t xml:space="preserve"> </w:t>
            </w:r>
            <w:r w:rsidRPr="00D4309F">
              <w:t>impacts</w:t>
            </w:r>
            <w:r w:rsidRPr="00D4309F">
              <w:rPr>
                <w:spacing w:val="-3"/>
              </w:rPr>
              <w:t xml:space="preserve"> </w:t>
            </w:r>
            <w:r w:rsidRPr="00D4309F">
              <w:t>however</w:t>
            </w:r>
            <w:r w:rsidRPr="00D4309F">
              <w:rPr>
                <w:spacing w:val="-4"/>
              </w:rPr>
              <w:t xml:space="preserve"> </w:t>
            </w:r>
            <w:r w:rsidRPr="00D4309F">
              <w:t xml:space="preserve">as this is a dynamic, open ocean environment, any plume will likely dissipate </w:t>
            </w:r>
            <w:r w:rsidRPr="00D4309F">
              <w:rPr>
                <w:spacing w:val="-2"/>
              </w:rPr>
              <w:t>quickly</w:t>
            </w:r>
          </w:p>
          <w:p w14:paraId="2F17C4E1" w14:textId="701B66ED" w:rsidR="006B67C4" w:rsidRPr="00D4309F" w:rsidRDefault="006B67C4" w:rsidP="007B3B30">
            <w:pPr>
              <w:pStyle w:val="Table-Bullet"/>
            </w:pPr>
            <w:r w:rsidRPr="00D4309F">
              <w:t>Turbidity</w:t>
            </w:r>
            <w:r w:rsidRPr="00D4309F">
              <w:rPr>
                <w:spacing w:val="-8"/>
              </w:rPr>
              <w:t xml:space="preserve"> </w:t>
            </w:r>
            <w:r w:rsidRPr="00D4309F">
              <w:t>is</w:t>
            </w:r>
            <w:r w:rsidRPr="00D4309F">
              <w:rPr>
                <w:spacing w:val="-8"/>
              </w:rPr>
              <w:t xml:space="preserve"> </w:t>
            </w:r>
            <w:r w:rsidRPr="00D4309F">
              <w:t>likely</w:t>
            </w:r>
            <w:r w:rsidRPr="00D4309F">
              <w:rPr>
                <w:spacing w:val="-8"/>
              </w:rPr>
              <w:t xml:space="preserve"> </w:t>
            </w:r>
            <w:r w:rsidRPr="00D4309F">
              <w:t>to</w:t>
            </w:r>
            <w:r w:rsidRPr="00D4309F">
              <w:rPr>
                <w:spacing w:val="-9"/>
              </w:rPr>
              <w:t xml:space="preserve"> </w:t>
            </w:r>
            <w:r w:rsidRPr="00D4309F">
              <w:t>be</w:t>
            </w:r>
            <w:r w:rsidRPr="00D4309F">
              <w:rPr>
                <w:spacing w:val="-9"/>
              </w:rPr>
              <w:t xml:space="preserve"> </w:t>
            </w:r>
            <w:r w:rsidRPr="00D4309F">
              <w:t>more extensive during</w:t>
            </w:r>
            <w:r w:rsidRPr="00D4309F">
              <w:rPr>
                <w:spacing w:val="40"/>
              </w:rPr>
              <w:t xml:space="preserve"> </w:t>
            </w:r>
            <w:r w:rsidRPr="00D4309F">
              <w:t>breakwater extension</w:t>
            </w:r>
          </w:p>
        </w:tc>
        <w:tc>
          <w:tcPr>
            <w:tcW w:w="1984" w:type="dxa"/>
            <w:tcBorders>
              <w:top w:val="single" w:sz="4" w:space="0" w:color="000000"/>
              <w:bottom w:val="single" w:sz="4" w:space="0" w:color="000000"/>
            </w:tcBorders>
            <w:vAlign w:val="center"/>
          </w:tcPr>
          <w:p w14:paraId="3DE8ACED" w14:textId="664892BF" w:rsidR="006B67C4" w:rsidRPr="00D4309F" w:rsidRDefault="006B67C4" w:rsidP="007B3B30">
            <w:pPr>
              <w:pStyle w:val="Table-Bullet"/>
            </w:pPr>
            <w:r w:rsidRPr="00D4309F">
              <w:t>Turbidity</w:t>
            </w:r>
            <w:r w:rsidRPr="00D4309F">
              <w:rPr>
                <w:spacing w:val="-5"/>
              </w:rPr>
              <w:t xml:space="preserve"> </w:t>
            </w:r>
            <w:r w:rsidRPr="00D4309F">
              <w:rPr>
                <w:spacing w:val="-2"/>
              </w:rPr>
              <w:t>modelling</w:t>
            </w:r>
          </w:p>
        </w:tc>
        <w:tc>
          <w:tcPr>
            <w:tcW w:w="2665" w:type="dxa"/>
            <w:tcBorders>
              <w:top w:val="single" w:sz="4" w:space="0" w:color="000000"/>
              <w:bottom w:val="single" w:sz="4" w:space="0" w:color="000000"/>
            </w:tcBorders>
            <w:vAlign w:val="center"/>
          </w:tcPr>
          <w:p w14:paraId="0932A4F2" w14:textId="77777777" w:rsidR="006B67C4" w:rsidRPr="00D4309F" w:rsidRDefault="006B67C4" w:rsidP="007B3B30">
            <w:pPr>
              <w:pStyle w:val="Table-Bullet"/>
            </w:pPr>
            <w:r w:rsidRPr="00D4309F">
              <w:t>Timing of works outside of peak aggregation</w:t>
            </w:r>
            <w:r w:rsidRPr="00D4309F">
              <w:rPr>
                <w:spacing w:val="-13"/>
              </w:rPr>
              <w:t xml:space="preserve"> </w:t>
            </w:r>
            <w:r w:rsidRPr="00D4309F">
              <w:t>season (summer) for migratory terns</w:t>
            </w:r>
          </w:p>
          <w:p w14:paraId="76EE9F8B" w14:textId="77777777" w:rsidR="006B67C4" w:rsidRPr="00D4309F" w:rsidRDefault="006B67C4" w:rsidP="007B3B30">
            <w:pPr>
              <w:pStyle w:val="Table-Bullet"/>
            </w:pPr>
            <w:r w:rsidRPr="00D4309F">
              <w:t>Turbidity</w:t>
            </w:r>
            <w:r w:rsidRPr="00D4309F">
              <w:rPr>
                <w:spacing w:val="-13"/>
              </w:rPr>
              <w:t xml:space="preserve"> </w:t>
            </w:r>
            <w:r w:rsidRPr="00D4309F">
              <w:t>monitoring during works</w:t>
            </w:r>
          </w:p>
          <w:p w14:paraId="3B6B8A36" w14:textId="77777777" w:rsidR="006B67C4" w:rsidRPr="00D4309F" w:rsidRDefault="006B67C4" w:rsidP="007B3B30">
            <w:pPr>
              <w:pStyle w:val="Table-Bullet"/>
            </w:pPr>
            <w:r w:rsidRPr="00D4309F">
              <w:t>Standard turbidity mitigation</w:t>
            </w:r>
            <w:r w:rsidRPr="00D4309F">
              <w:rPr>
                <w:spacing w:val="-13"/>
              </w:rPr>
              <w:t xml:space="preserve"> </w:t>
            </w:r>
            <w:r w:rsidRPr="00D4309F">
              <w:t>procedures</w:t>
            </w:r>
          </w:p>
          <w:p w14:paraId="223EDAFD" w14:textId="27A2170E" w:rsidR="006B67C4" w:rsidRPr="00D4309F" w:rsidRDefault="006B67C4" w:rsidP="007B3B30">
            <w:pPr>
              <w:pStyle w:val="Table-Bullet"/>
              <w:rPr>
                <w:color w:val="211E1F"/>
                <w:spacing w:val="-4"/>
              </w:rPr>
            </w:pPr>
            <w:r w:rsidRPr="00D4309F">
              <w:t>e.g.</w:t>
            </w:r>
            <w:r w:rsidRPr="00D4309F">
              <w:rPr>
                <w:spacing w:val="-15"/>
              </w:rPr>
              <w:t xml:space="preserve"> </w:t>
            </w:r>
            <w:r w:rsidRPr="00D4309F">
              <w:t>silt</w:t>
            </w:r>
            <w:r w:rsidRPr="00D4309F">
              <w:rPr>
                <w:spacing w:val="-12"/>
              </w:rPr>
              <w:t xml:space="preserve"> </w:t>
            </w:r>
            <w:r w:rsidRPr="00D4309F">
              <w:t>curtains, staging</w:t>
            </w:r>
            <w:r w:rsidRPr="00D4309F">
              <w:rPr>
                <w:spacing w:val="-3"/>
              </w:rPr>
              <w:t xml:space="preserve"> </w:t>
            </w:r>
            <w:r w:rsidRPr="00D4309F">
              <w:t>of</w:t>
            </w:r>
            <w:r w:rsidRPr="00D4309F">
              <w:rPr>
                <w:spacing w:val="-2"/>
              </w:rPr>
              <w:t xml:space="preserve"> works</w:t>
            </w:r>
          </w:p>
        </w:tc>
      </w:tr>
      <w:tr w:rsidR="006B67C4" w:rsidRPr="00D4309F" w14:paraId="78C35F10" w14:textId="77777777" w:rsidTr="007B7D3D">
        <w:trPr>
          <w:cantSplit/>
          <w:trHeight w:val="20"/>
        </w:trPr>
        <w:tc>
          <w:tcPr>
            <w:tcW w:w="1300" w:type="dxa"/>
            <w:tcBorders>
              <w:top w:val="single" w:sz="4" w:space="0" w:color="000000"/>
              <w:bottom w:val="single" w:sz="4" w:space="0" w:color="000000"/>
            </w:tcBorders>
            <w:vAlign w:val="center"/>
          </w:tcPr>
          <w:p w14:paraId="06EF93BE" w14:textId="07387961" w:rsidR="006B67C4" w:rsidRPr="00D4309F" w:rsidRDefault="006B67C4" w:rsidP="007B3B30">
            <w:pPr>
              <w:pStyle w:val="Table-Text"/>
            </w:pPr>
            <w:r w:rsidRPr="00D4309F">
              <w:lastRenderedPageBreak/>
              <w:t>Marine</w:t>
            </w:r>
            <w:r w:rsidRPr="00D4309F">
              <w:rPr>
                <w:spacing w:val="-4"/>
              </w:rPr>
              <w:t xml:space="preserve"> </w:t>
            </w:r>
            <w:r w:rsidRPr="00D4309F">
              <w:t>fauna</w:t>
            </w:r>
          </w:p>
        </w:tc>
        <w:tc>
          <w:tcPr>
            <w:tcW w:w="2084" w:type="dxa"/>
            <w:tcBorders>
              <w:top w:val="single" w:sz="4" w:space="0" w:color="000000"/>
              <w:bottom w:val="single" w:sz="4" w:space="0" w:color="000000"/>
            </w:tcBorders>
            <w:vAlign w:val="center"/>
          </w:tcPr>
          <w:p w14:paraId="30038B69" w14:textId="1C953A7C" w:rsidR="006B67C4" w:rsidRPr="00D4309F" w:rsidRDefault="006B67C4" w:rsidP="007B3B30">
            <w:pPr>
              <w:pStyle w:val="Table-Text"/>
            </w:pPr>
            <w:r w:rsidRPr="00D4309F">
              <w:rPr>
                <w:spacing w:val="-4"/>
              </w:rPr>
              <w:t xml:space="preserve">Site </w:t>
            </w:r>
            <w:r w:rsidRPr="00D4309F">
              <w:t>attached species</w:t>
            </w:r>
          </w:p>
        </w:tc>
        <w:tc>
          <w:tcPr>
            <w:tcW w:w="2853" w:type="dxa"/>
            <w:tcBorders>
              <w:top w:val="single" w:sz="4" w:space="0" w:color="000000"/>
              <w:bottom w:val="single" w:sz="4" w:space="0" w:color="000000"/>
            </w:tcBorders>
            <w:vAlign w:val="center"/>
          </w:tcPr>
          <w:p w14:paraId="23F15C06" w14:textId="77777777" w:rsidR="006B67C4" w:rsidRPr="00D4309F" w:rsidRDefault="006B67C4" w:rsidP="007B3B30">
            <w:pPr>
              <w:pStyle w:val="Table-Bullet"/>
            </w:pPr>
            <w:r w:rsidRPr="00D4309F">
              <w:t>Direct</w:t>
            </w:r>
            <w:r w:rsidRPr="00D4309F">
              <w:rPr>
                <w:spacing w:val="-13"/>
              </w:rPr>
              <w:t xml:space="preserve"> </w:t>
            </w:r>
            <w:r w:rsidRPr="00D4309F">
              <w:t>mortality/injury</w:t>
            </w:r>
            <w:r w:rsidRPr="00D4309F">
              <w:rPr>
                <w:spacing w:val="-12"/>
              </w:rPr>
              <w:t xml:space="preserve"> </w:t>
            </w:r>
            <w:r w:rsidRPr="00D4309F">
              <w:t>due</w:t>
            </w:r>
            <w:r w:rsidRPr="00D4309F">
              <w:rPr>
                <w:spacing w:val="-13"/>
              </w:rPr>
              <w:t xml:space="preserve"> </w:t>
            </w:r>
            <w:r w:rsidRPr="00D4309F">
              <w:t>to construction and bypassing</w:t>
            </w:r>
          </w:p>
          <w:p w14:paraId="1307F524" w14:textId="7D6415C3" w:rsidR="006B67C4" w:rsidRPr="00D4309F" w:rsidRDefault="006B67C4" w:rsidP="007B3B30">
            <w:pPr>
              <w:pStyle w:val="Table-Bullet"/>
            </w:pPr>
            <w:r w:rsidRPr="00D4309F">
              <w:rPr>
                <w:spacing w:val="-2"/>
              </w:rPr>
              <w:t xml:space="preserve">Mortality/injury/behavioural </w:t>
            </w:r>
            <w:r w:rsidRPr="00D4309F">
              <w:t>response due to physical effects of turbidity</w:t>
            </w:r>
          </w:p>
        </w:tc>
        <w:tc>
          <w:tcPr>
            <w:tcW w:w="1418" w:type="dxa"/>
            <w:tcBorders>
              <w:top w:val="single" w:sz="4" w:space="0" w:color="000000"/>
              <w:bottom w:val="single" w:sz="4" w:space="0" w:color="000000"/>
            </w:tcBorders>
            <w:shd w:val="clear" w:color="auto" w:fill="FFC000"/>
            <w:vAlign w:val="center"/>
          </w:tcPr>
          <w:p w14:paraId="3354302F" w14:textId="03A3D3E7" w:rsidR="006B67C4" w:rsidRPr="007B3B30" w:rsidRDefault="006B67C4" w:rsidP="007B3B30">
            <w:pPr>
              <w:pStyle w:val="Table-Text"/>
              <w:rPr>
                <w:b/>
                <w:bCs/>
                <w:spacing w:val="-5"/>
              </w:rPr>
            </w:pPr>
            <w:r w:rsidRPr="007B3B30">
              <w:rPr>
                <w:b/>
                <w:bCs/>
              </w:rPr>
              <w:t>High (for breakwater extension)</w:t>
            </w:r>
          </w:p>
        </w:tc>
        <w:tc>
          <w:tcPr>
            <w:tcW w:w="2268" w:type="dxa"/>
            <w:tcBorders>
              <w:top w:val="single" w:sz="4" w:space="0" w:color="000000"/>
              <w:bottom w:val="single" w:sz="4" w:space="0" w:color="000000"/>
            </w:tcBorders>
            <w:vAlign w:val="center"/>
          </w:tcPr>
          <w:p w14:paraId="3F04F459" w14:textId="77777777" w:rsidR="006B67C4" w:rsidRPr="00D4309F" w:rsidRDefault="006B67C4" w:rsidP="007B3B30">
            <w:pPr>
              <w:pStyle w:val="Table-Bullet"/>
            </w:pPr>
            <w:r w:rsidRPr="00D4309F">
              <w:t>These</w:t>
            </w:r>
            <w:r w:rsidRPr="00D4309F">
              <w:rPr>
                <w:spacing w:val="-13"/>
              </w:rPr>
              <w:t xml:space="preserve"> </w:t>
            </w:r>
            <w:r w:rsidRPr="00D4309F">
              <w:t>species</w:t>
            </w:r>
            <w:r w:rsidRPr="00D4309F">
              <w:rPr>
                <w:spacing w:val="-12"/>
              </w:rPr>
              <w:t xml:space="preserve"> </w:t>
            </w:r>
            <w:r w:rsidRPr="00D4309F">
              <w:t>are</w:t>
            </w:r>
            <w:r w:rsidRPr="00D4309F">
              <w:rPr>
                <w:spacing w:val="-13"/>
              </w:rPr>
              <w:t xml:space="preserve"> </w:t>
            </w:r>
            <w:r w:rsidRPr="00D4309F">
              <w:t xml:space="preserve">broadly distributed along the </w:t>
            </w:r>
            <w:r w:rsidRPr="00D4309F">
              <w:rPr>
                <w:spacing w:val="-2"/>
              </w:rPr>
              <w:t>coastline</w:t>
            </w:r>
          </w:p>
          <w:p w14:paraId="3C1ED359" w14:textId="77777777" w:rsidR="006B67C4" w:rsidRPr="00D4309F" w:rsidRDefault="006B67C4" w:rsidP="007B3B30">
            <w:pPr>
              <w:pStyle w:val="Table-Bullet"/>
            </w:pPr>
            <w:r w:rsidRPr="00D4309F">
              <w:t>The dredging and construction footprint area has a relatively small footprint but further assessment is required to determine the impact to habitat for species of high conservation</w:t>
            </w:r>
            <w:r w:rsidRPr="00D4309F">
              <w:rPr>
                <w:spacing w:val="-13"/>
              </w:rPr>
              <w:t xml:space="preserve"> </w:t>
            </w:r>
            <w:r w:rsidRPr="00D4309F">
              <w:t>value</w:t>
            </w:r>
            <w:r w:rsidRPr="00D4309F">
              <w:rPr>
                <w:spacing w:val="-12"/>
              </w:rPr>
              <w:t xml:space="preserve"> </w:t>
            </w:r>
            <w:r w:rsidRPr="00D4309F">
              <w:t>e.g.</w:t>
            </w:r>
            <w:r w:rsidRPr="00D4309F">
              <w:rPr>
                <w:spacing w:val="-13"/>
              </w:rPr>
              <w:t xml:space="preserve"> </w:t>
            </w:r>
            <w:r w:rsidRPr="00D4309F">
              <w:t>the endangered White’s Seahorse and sand yabby</w:t>
            </w:r>
          </w:p>
          <w:p w14:paraId="059ECF15" w14:textId="77777777" w:rsidR="006B67C4" w:rsidRPr="00D4309F" w:rsidRDefault="006B67C4" w:rsidP="007B3B30">
            <w:pPr>
              <w:pStyle w:val="Table-Bullet"/>
            </w:pPr>
            <w:r w:rsidRPr="00D4309F">
              <w:t>Dredging</w:t>
            </w:r>
            <w:r w:rsidRPr="00D4309F">
              <w:rPr>
                <w:spacing w:val="-8"/>
              </w:rPr>
              <w:t xml:space="preserve"> </w:t>
            </w:r>
            <w:r w:rsidRPr="00D4309F">
              <w:t>is</w:t>
            </w:r>
            <w:r w:rsidRPr="00D4309F">
              <w:rPr>
                <w:spacing w:val="-7"/>
              </w:rPr>
              <w:t xml:space="preserve"> </w:t>
            </w:r>
            <w:r w:rsidRPr="00D4309F">
              <w:t>in</w:t>
            </w:r>
            <w:r w:rsidRPr="00D4309F">
              <w:rPr>
                <w:spacing w:val="-6"/>
              </w:rPr>
              <w:t xml:space="preserve"> </w:t>
            </w:r>
            <w:r w:rsidRPr="00D4309F">
              <w:t>a</w:t>
            </w:r>
            <w:r w:rsidRPr="00D4309F">
              <w:rPr>
                <w:spacing w:val="-8"/>
              </w:rPr>
              <w:t xml:space="preserve"> </w:t>
            </w:r>
            <w:r w:rsidRPr="00D4309F">
              <w:t>dynamic, open</w:t>
            </w:r>
            <w:r w:rsidRPr="00D4309F">
              <w:rPr>
                <w:spacing w:val="-15"/>
              </w:rPr>
              <w:t xml:space="preserve"> </w:t>
            </w:r>
            <w:r w:rsidRPr="00D4309F">
              <w:t>ocean</w:t>
            </w:r>
            <w:r w:rsidRPr="00D4309F">
              <w:rPr>
                <w:spacing w:val="-12"/>
              </w:rPr>
              <w:t xml:space="preserve"> </w:t>
            </w:r>
            <w:r w:rsidRPr="00D4309F">
              <w:t>environment, any plume will likely dissipate quickly</w:t>
            </w:r>
          </w:p>
          <w:p w14:paraId="3FC94734" w14:textId="387B12A0" w:rsidR="006B67C4" w:rsidRPr="00D4309F" w:rsidRDefault="006B67C4" w:rsidP="007B3B30">
            <w:pPr>
              <w:pStyle w:val="Table-Bullet"/>
            </w:pPr>
            <w:r w:rsidRPr="00D4309F">
              <w:t>Turbidity</w:t>
            </w:r>
            <w:r w:rsidRPr="00D4309F">
              <w:rPr>
                <w:spacing w:val="-8"/>
              </w:rPr>
              <w:t xml:space="preserve"> </w:t>
            </w:r>
            <w:r w:rsidRPr="00D4309F">
              <w:t>is</w:t>
            </w:r>
            <w:r w:rsidRPr="00D4309F">
              <w:rPr>
                <w:spacing w:val="-8"/>
              </w:rPr>
              <w:t xml:space="preserve"> </w:t>
            </w:r>
            <w:r w:rsidRPr="00D4309F">
              <w:t>likely</w:t>
            </w:r>
            <w:r w:rsidRPr="00D4309F">
              <w:rPr>
                <w:spacing w:val="-8"/>
              </w:rPr>
              <w:t xml:space="preserve"> </w:t>
            </w:r>
            <w:r w:rsidRPr="00D4309F">
              <w:t>to</w:t>
            </w:r>
            <w:r w:rsidRPr="00D4309F">
              <w:rPr>
                <w:spacing w:val="-9"/>
              </w:rPr>
              <w:t xml:space="preserve"> </w:t>
            </w:r>
            <w:r w:rsidRPr="00D4309F">
              <w:t>be</w:t>
            </w:r>
            <w:r w:rsidRPr="00D4309F">
              <w:rPr>
                <w:spacing w:val="-9"/>
              </w:rPr>
              <w:t xml:space="preserve"> </w:t>
            </w:r>
            <w:r w:rsidRPr="00D4309F">
              <w:t>more extensive and persistent during breakwater</w:t>
            </w:r>
            <w:r w:rsidRPr="00D4309F">
              <w:rPr>
                <w:spacing w:val="40"/>
              </w:rPr>
              <w:t xml:space="preserve"> </w:t>
            </w:r>
            <w:r w:rsidRPr="00D4309F">
              <w:rPr>
                <w:spacing w:val="-2"/>
              </w:rPr>
              <w:t>extension</w:t>
            </w:r>
          </w:p>
        </w:tc>
        <w:tc>
          <w:tcPr>
            <w:tcW w:w="1984" w:type="dxa"/>
            <w:tcBorders>
              <w:top w:val="single" w:sz="4" w:space="0" w:color="000000"/>
              <w:bottom w:val="single" w:sz="4" w:space="0" w:color="000000"/>
            </w:tcBorders>
            <w:vAlign w:val="center"/>
          </w:tcPr>
          <w:p w14:paraId="27BD5E59" w14:textId="64864E3A" w:rsidR="006B67C4" w:rsidRPr="00D4309F" w:rsidRDefault="006B67C4" w:rsidP="007B3B30">
            <w:pPr>
              <w:pStyle w:val="Table-Bullet"/>
            </w:pPr>
            <w:r w:rsidRPr="00D4309F">
              <w:t>Fauna</w:t>
            </w:r>
            <w:r w:rsidRPr="00D4309F">
              <w:rPr>
                <w:spacing w:val="-15"/>
              </w:rPr>
              <w:t xml:space="preserve"> </w:t>
            </w:r>
            <w:r w:rsidRPr="00D4309F">
              <w:t>/</w:t>
            </w:r>
            <w:r w:rsidRPr="00D4309F">
              <w:rPr>
                <w:spacing w:val="-12"/>
              </w:rPr>
              <w:t xml:space="preserve"> </w:t>
            </w:r>
            <w:r w:rsidRPr="00D4309F">
              <w:t xml:space="preserve">benthic </w:t>
            </w:r>
            <w:r w:rsidRPr="00D4309F">
              <w:rPr>
                <w:spacing w:val="-2"/>
              </w:rPr>
              <w:t>habitat assessment</w:t>
            </w:r>
          </w:p>
        </w:tc>
        <w:tc>
          <w:tcPr>
            <w:tcW w:w="2665" w:type="dxa"/>
            <w:tcBorders>
              <w:top w:val="single" w:sz="4" w:space="0" w:color="000000"/>
              <w:bottom w:val="single" w:sz="4" w:space="0" w:color="000000"/>
            </w:tcBorders>
            <w:vAlign w:val="center"/>
          </w:tcPr>
          <w:p w14:paraId="26D9489C" w14:textId="0F73F990" w:rsidR="006B67C4" w:rsidRPr="00D4309F" w:rsidRDefault="006B67C4" w:rsidP="007B3B30">
            <w:pPr>
              <w:pStyle w:val="Table-Bullet"/>
              <w:rPr>
                <w:color w:val="211E1F"/>
                <w:spacing w:val="-4"/>
              </w:rPr>
            </w:pPr>
            <w:r w:rsidRPr="00D4309F">
              <w:t>Construction and dredging designed to avoid protected marine</w:t>
            </w:r>
            <w:r w:rsidRPr="00D4309F">
              <w:rPr>
                <w:spacing w:val="-15"/>
              </w:rPr>
              <w:t xml:space="preserve"> </w:t>
            </w:r>
            <w:r w:rsidRPr="00D4309F">
              <w:t>fauna</w:t>
            </w:r>
            <w:r w:rsidRPr="00D4309F">
              <w:rPr>
                <w:spacing w:val="-12"/>
              </w:rPr>
              <w:t xml:space="preserve"> </w:t>
            </w:r>
            <w:r w:rsidRPr="00D4309F">
              <w:t>habitats</w:t>
            </w:r>
          </w:p>
        </w:tc>
      </w:tr>
      <w:tr w:rsidR="006B67C4" w:rsidRPr="00D4309F" w14:paraId="7BF02DDA" w14:textId="77777777" w:rsidTr="007B3B30">
        <w:trPr>
          <w:cantSplit/>
          <w:trHeight w:val="20"/>
        </w:trPr>
        <w:tc>
          <w:tcPr>
            <w:tcW w:w="1300" w:type="dxa"/>
            <w:tcBorders>
              <w:top w:val="single" w:sz="4" w:space="0" w:color="000000"/>
              <w:bottom w:val="single" w:sz="4" w:space="0" w:color="000000"/>
            </w:tcBorders>
            <w:vAlign w:val="center"/>
          </w:tcPr>
          <w:p w14:paraId="2E90A2E9" w14:textId="6F39D1C4" w:rsidR="006B67C4" w:rsidRPr="00D4309F" w:rsidRDefault="006B67C4" w:rsidP="007B3B30">
            <w:pPr>
              <w:pStyle w:val="Table-Text"/>
            </w:pPr>
            <w:r w:rsidRPr="00D4309F">
              <w:t>Marine</w:t>
            </w:r>
            <w:r w:rsidRPr="00D4309F">
              <w:rPr>
                <w:spacing w:val="-4"/>
              </w:rPr>
              <w:t xml:space="preserve"> </w:t>
            </w:r>
            <w:r w:rsidRPr="00D4309F">
              <w:t>fauna</w:t>
            </w:r>
          </w:p>
        </w:tc>
        <w:tc>
          <w:tcPr>
            <w:tcW w:w="2084" w:type="dxa"/>
            <w:tcBorders>
              <w:top w:val="single" w:sz="4" w:space="0" w:color="000000"/>
              <w:bottom w:val="single" w:sz="4" w:space="0" w:color="000000"/>
            </w:tcBorders>
            <w:vAlign w:val="center"/>
          </w:tcPr>
          <w:p w14:paraId="7DC68920" w14:textId="18313ED9" w:rsidR="006B67C4" w:rsidRPr="00D4309F" w:rsidRDefault="006B67C4" w:rsidP="007B3B30">
            <w:pPr>
              <w:pStyle w:val="Table-Text"/>
            </w:pPr>
            <w:r w:rsidRPr="00D4309F">
              <w:rPr>
                <w:spacing w:val="-4"/>
              </w:rPr>
              <w:t xml:space="preserve">Site </w:t>
            </w:r>
            <w:r w:rsidRPr="00D4309F">
              <w:t>attached species</w:t>
            </w:r>
          </w:p>
        </w:tc>
        <w:tc>
          <w:tcPr>
            <w:tcW w:w="2853" w:type="dxa"/>
            <w:tcBorders>
              <w:top w:val="single" w:sz="4" w:space="0" w:color="000000"/>
              <w:bottom w:val="single" w:sz="4" w:space="0" w:color="000000"/>
            </w:tcBorders>
            <w:vAlign w:val="center"/>
          </w:tcPr>
          <w:p w14:paraId="44879194" w14:textId="3444BB03" w:rsidR="006B67C4" w:rsidRPr="00D4309F" w:rsidRDefault="006B67C4" w:rsidP="007B3B30">
            <w:pPr>
              <w:pStyle w:val="Table-Bullet"/>
            </w:pPr>
            <w:r w:rsidRPr="00D4309F">
              <w:rPr>
                <w:spacing w:val="-2"/>
              </w:rPr>
              <w:t xml:space="preserve">Mortality/injury/behavioural </w:t>
            </w:r>
            <w:r w:rsidRPr="00D4309F">
              <w:t>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toxic</w:t>
            </w:r>
            <w:r w:rsidRPr="00D4309F">
              <w:rPr>
                <w:spacing w:val="-10"/>
              </w:rPr>
              <w:t xml:space="preserve"> </w:t>
            </w:r>
            <w:r w:rsidRPr="00D4309F">
              <w:t xml:space="preserve">effects due to release of </w:t>
            </w:r>
            <w:r w:rsidRPr="00D4309F">
              <w:rPr>
                <w:spacing w:val="-2"/>
              </w:rPr>
              <w:t>contaminants/hypoxia</w:t>
            </w:r>
          </w:p>
        </w:tc>
        <w:tc>
          <w:tcPr>
            <w:tcW w:w="1418" w:type="dxa"/>
            <w:tcBorders>
              <w:top w:val="single" w:sz="4" w:space="0" w:color="000000"/>
              <w:bottom w:val="single" w:sz="4" w:space="0" w:color="000000"/>
            </w:tcBorders>
            <w:shd w:val="clear" w:color="auto" w:fill="92D050"/>
            <w:vAlign w:val="center"/>
          </w:tcPr>
          <w:p w14:paraId="1FE8A579" w14:textId="4BC73410" w:rsidR="006B67C4" w:rsidRPr="007B3B30" w:rsidRDefault="006B67C4" w:rsidP="007B3B30">
            <w:pPr>
              <w:pStyle w:val="Table-Text"/>
              <w:rPr>
                <w:b/>
                <w:bCs/>
                <w:spacing w:val="-5"/>
              </w:rPr>
            </w:pPr>
            <w:r w:rsidRPr="007B3B30">
              <w:rPr>
                <w:b/>
                <w:bCs/>
                <w:spacing w:val="-5"/>
              </w:rPr>
              <w:t>Low</w:t>
            </w:r>
          </w:p>
        </w:tc>
        <w:tc>
          <w:tcPr>
            <w:tcW w:w="2268" w:type="dxa"/>
            <w:tcBorders>
              <w:top w:val="single" w:sz="4" w:space="0" w:color="000000"/>
              <w:bottom w:val="single" w:sz="4" w:space="0" w:color="000000"/>
            </w:tcBorders>
            <w:vAlign w:val="center"/>
          </w:tcPr>
          <w:p w14:paraId="342518B7" w14:textId="77777777" w:rsidR="006B67C4" w:rsidRPr="00D4309F" w:rsidRDefault="006B67C4" w:rsidP="007B3B30">
            <w:pPr>
              <w:pStyle w:val="Table-Bullet"/>
            </w:pPr>
            <w:r w:rsidRPr="00D4309F">
              <w:t>Bypass sediments likely comprise clean marine sand</w:t>
            </w:r>
            <w:r w:rsidRPr="00D4309F">
              <w:rPr>
                <w:spacing w:val="-13"/>
              </w:rPr>
              <w:t xml:space="preserve"> </w:t>
            </w:r>
            <w:r w:rsidRPr="00D4309F">
              <w:t>free</w:t>
            </w:r>
            <w:r w:rsidRPr="00D4309F">
              <w:rPr>
                <w:spacing w:val="-12"/>
              </w:rPr>
              <w:t xml:space="preserve"> </w:t>
            </w:r>
            <w:r w:rsidRPr="00D4309F">
              <w:t>of</w:t>
            </w:r>
            <w:r w:rsidRPr="00D4309F">
              <w:rPr>
                <w:spacing w:val="-13"/>
              </w:rPr>
              <w:t xml:space="preserve"> </w:t>
            </w:r>
            <w:r w:rsidRPr="00D4309F">
              <w:t xml:space="preserve">contaminants with low organic matter </w:t>
            </w:r>
            <w:r w:rsidRPr="00D4309F">
              <w:rPr>
                <w:spacing w:val="-2"/>
              </w:rPr>
              <w:t>content</w:t>
            </w:r>
          </w:p>
          <w:p w14:paraId="3B20CA1B" w14:textId="0E31E23A" w:rsidR="006B67C4" w:rsidRPr="00D4309F" w:rsidRDefault="006B67C4" w:rsidP="007B3B30">
            <w:pPr>
              <w:pStyle w:val="Table-Bullet"/>
            </w:pPr>
            <w:r w:rsidRPr="00D4309F">
              <w:t>Breakwater</w:t>
            </w:r>
            <w:r w:rsidRPr="00D4309F">
              <w:rPr>
                <w:spacing w:val="-13"/>
              </w:rPr>
              <w:t xml:space="preserve"> </w:t>
            </w:r>
            <w:r w:rsidRPr="00D4309F">
              <w:t xml:space="preserve">construction materials and rock assumed to be free of </w:t>
            </w:r>
            <w:r w:rsidRPr="00D4309F">
              <w:rPr>
                <w:spacing w:val="-2"/>
              </w:rPr>
              <w:t>contamination</w:t>
            </w:r>
          </w:p>
        </w:tc>
        <w:tc>
          <w:tcPr>
            <w:tcW w:w="1984" w:type="dxa"/>
            <w:tcBorders>
              <w:top w:val="single" w:sz="4" w:space="0" w:color="000000"/>
              <w:bottom w:val="single" w:sz="4" w:space="0" w:color="000000"/>
            </w:tcBorders>
            <w:vAlign w:val="center"/>
          </w:tcPr>
          <w:p w14:paraId="73F63BA8" w14:textId="2AC071F6" w:rsidR="006B67C4" w:rsidRPr="00D4309F" w:rsidRDefault="006B67C4" w:rsidP="007B3B30">
            <w:pPr>
              <w:pStyle w:val="Table-Bullet"/>
            </w:pPr>
            <w:r w:rsidRPr="00D4309F">
              <w:t>Assumption</w:t>
            </w:r>
            <w:r w:rsidRPr="00D4309F">
              <w:rPr>
                <w:spacing w:val="-13"/>
              </w:rPr>
              <w:t xml:space="preserve"> </w:t>
            </w:r>
            <w:r w:rsidRPr="00D4309F">
              <w:t>that suitable data exists to inform this risk</w:t>
            </w:r>
          </w:p>
        </w:tc>
        <w:tc>
          <w:tcPr>
            <w:tcW w:w="2665" w:type="dxa"/>
            <w:tcBorders>
              <w:top w:val="single" w:sz="4" w:space="0" w:color="000000"/>
              <w:bottom w:val="single" w:sz="4" w:space="0" w:color="000000"/>
            </w:tcBorders>
            <w:vAlign w:val="center"/>
          </w:tcPr>
          <w:p w14:paraId="485B91AB" w14:textId="33E0A842" w:rsidR="006B67C4" w:rsidRPr="00D4309F" w:rsidRDefault="006B67C4" w:rsidP="007B3B30">
            <w:pPr>
              <w:pStyle w:val="Table-Bullet"/>
              <w:rPr>
                <w:color w:val="211E1F"/>
                <w:spacing w:val="-4"/>
              </w:rPr>
            </w:pPr>
            <w:r w:rsidRPr="00D4309F">
              <w:rPr>
                <w:color w:val="211E1F"/>
                <w:spacing w:val="-4"/>
              </w:rPr>
              <w:t>None</w:t>
            </w:r>
          </w:p>
        </w:tc>
      </w:tr>
      <w:tr w:rsidR="006B67C4" w:rsidRPr="00D4309F" w14:paraId="41934D96" w14:textId="77777777" w:rsidTr="007B3B30">
        <w:trPr>
          <w:cantSplit/>
          <w:trHeight w:val="20"/>
        </w:trPr>
        <w:tc>
          <w:tcPr>
            <w:tcW w:w="1300" w:type="dxa"/>
            <w:tcBorders>
              <w:top w:val="single" w:sz="4" w:space="0" w:color="000000"/>
              <w:bottom w:val="single" w:sz="4" w:space="0" w:color="000000"/>
            </w:tcBorders>
            <w:vAlign w:val="center"/>
          </w:tcPr>
          <w:p w14:paraId="1B497975" w14:textId="4CA3C72A" w:rsidR="006B67C4" w:rsidRPr="00D4309F" w:rsidRDefault="006B67C4" w:rsidP="007B3B30">
            <w:pPr>
              <w:pStyle w:val="Table-Text"/>
            </w:pPr>
            <w:r w:rsidRPr="00D4309F">
              <w:lastRenderedPageBreak/>
              <w:t>Marine</w:t>
            </w:r>
            <w:r w:rsidRPr="00D4309F">
              <w:rPr>
                <w:spacing w:val="-4"/>
              </w:rPr>
              <w:t xml:space="preserve"> </w:t>
            </w:r>
            <w:r w:rsidRPr="00D4309F">
              <w:t>fauna</w:t>
            </w:r>
          </w:p>
        </w:tc>
        <w:tc>
          <w:tcPr>
            <w:tcW w:w="2084" w:type="dxa"/>
            <w:tcBorders>
              <w:top w:val="single" w:sz="4" w:space="0" w:color="000000"/>
              <w:bottom w:val="single" w:sz="4" w:space="0" w:color="000000"/>
            </w:tcBorders>
            <w:vAlign w:val="center"/>
          </w:tcPr>
          <w:p w14:paraId="6CC53014" w14:textId="421C7245" w:rsidR="006B67C4" w:rsidRPr="00D4309F" w:rsidRDefault="006B67C4" w:rsidP="007B3B30">
            <w:pPr>
              <w:pStyle w:val="Table-Text"/>
            </w:pPr>
            <w:r w:rsidRPr="00D4309F">
              <w:t>Mobile species</w:t>
            </w:r>
          </w:p>
        </w:tc>
        <w:tc>
          <w:tcPr>
            <w:tcW w:w="2853" w:type="dxa"/>
            <w:tcBorders>
              <w:top w:val="single" w:sz="4" w:space="0" w:color="000000"/>
              <w:bottom w:val="single" w:sz="4" w:space="0" w:color="000000"/>
            </w:tcBorders>
            <w:vAlign w:val="center"/>
          </w:tcPr>
          <w:p w14:paraId="58589D01" w14:textId="77777777" w:rsidR="006B67C4" w:rsidRPr="00D4309F" w:rsidRDefault="006B67C4" w:rsidP="007B3B30">
            <w:pPr>
              <w:pStyle w:val="Table-Bullet"/>
            </w:pPr>
            <w:r w:rsidRPr="00D4309F">
              <w:t>Vessel</w:t>
            </w:r>
            <w:r w:rsidRPr="00D4309F">
              <w:rPr>
                <w:spacing w:val="-5"/>
              </w:rPr>
              <w:t xml:space="preserve"> </w:t>
            </w:r>
            <w:r w:rsidRPr="00D4309F">
              <w:rPr>
                <w:spacing w:val="-2"/>
              </w:rPr>
              <w:t>collision</w:t>
            </w:r>
          </w:p>
          <w:p w14:paraId="5A8C0455" w14:textId="77777777" w:rsidR="006B67C4" w:rsidRPr="00D4309F" w:rsidRDefault="006B67C4" w:rsidP="007B3B30">
            <w:pPr>
              <w:pStyle w:val="Table-Bullet"/>
            </w:pPr>
            <w:r w:rsidRPr="00D4309F">
              <w:t>Direct</w:t>
            </w:r>
            <w:r w:rsidRPr="00D4309F">
              <w:rPr>
                <w:spacing w:val="-13"/>
              </w:rPr>
              <w:t xml:space="preserve"> </w:t>
            </w:r>
            <w:r w:rsidRPr="00D4309F">
              <w:t>mortality/injury</w:t>
            </w:r>
            <w:r w:rsidRPr="00D4309F">
              <w:rPr>
                <w:spacing w:val="-12"/>
              </w:rPr>
              <w:t xml:space="preserve"> </w:t>
            </w:r>
            <w:r w:rsidRPr="00D4309F">
              <w:t>due</w:t>
            </w:r>
            <w:r w:rsidRPr="00D4309F">
              <w:rPr>
                <w:spacing w:val="-13"/>
              </w:rPr>
              <w:t xml:space="preserve"> </w:t>
            </w:r>
            <w:r w:rsidRPr="00D4309F">
              <w:t>to dredging and construction</w:t>
            </w:r>
          </w:p>
          <w:p w14:paraId="63D26068" w14:textId="488F09F8" w:rsidR="006B67C4" w:rsidRPr="00D4309F" w:rsidRDefault="006B67C4" w:rsidP="007B3B30">
            <w:pPr>
              <w:pStyle w:val="Table-Bullet"/>
            </w:pPr>
            <w:r w:rsidRPr="00D4309F">
              <w:rPr>
                <w:spacing w:val="-2"/>
              </w:rPr>
              <w:t xml:space="preserve">Mortality/injury/behavioural </w:t>
            </w:r>
            <w:r w:rsidRPr="00D4309F">
              <w:t>response due to physical effects of turbidity</w:t>
            </w:r>
          </w:p>
        </w:tc>
        <w:tc>
          <w:tcPr>
            <w:tcW w:w="1418" w:type="dxa"/>
            <w:tcBorders>
              <w:top w:val="single" w:sz="4" w:space="0" w:color="000000"/>
              <w:bottom w:val="single" w:sz="4" w:space="0" w:color="000000"/>
            </w:tcBorders>
            <w:shd w:val="clear" w:color="auto" w:fill="92D050"/>
            <w:vAlign w:val="center"/>
          </w:tcPr>
          <w:p w14:paraId="18C95A6A" w14:textId="327E47CF" w:rsidR="006B67C4" w:rsidRPr="007B3B30" w:rsidRDefault="006B67C4" w:rsidP="007B3B30">
            <w:pPr>
              <w:pStyle w:val="Table-Text"/>
              <w:rPr>
                <w:b/>
                <w:bCs/>
                <w:spacing w:val="-5"/>
              </w:rPr>
            </w:pPr>
            <w:r w:rsidRPr="007B3B30">
              <w:rPr>
                <w:b/>
                <w:bCs/>
                <w:spacing w:val="-5"/>
              </w:rPr>
              <w:t>Low</w:t>
            </w:r>
          </w:p>
        </w:tc>
        <w:tc>
          <w:tcPr>
            <w:tcW w:w="2268" w:type="dxa"/>
            <w:tcBorders>
              <w:top w:val="single" w:sz="4" w:space="0" w:color="000000"/>
              <w:bottom w:val="single" w:sz="4" w:space="0" w:color="000000"/>
            </w:tcBorders>
            <w:vAlign w:val="center"/>
          </w:tcPr>
          <w:p w14:paraId="7F9E45CF" w14:textId="3195AC70" w:rsidR="006B67C4" w:rsidRPr="00D4309F" w:rsidRDefault="006B67C4" w:rsidP="007B3B30">
            <w:pPr>
              <w:pStyle w:val="Table-Bullet"/>
            </w:pPr>
            <w:r w:rsidRPr="00D4309F">
              <w:t>Mobile species including the critically endangered Grey Nurse Shark and conservation dependant scalloped</w:t>
            </w:r>
            <w:r w:rsidRPr="00D4309F">
              <w:rPr>
                <w:spacing w:val="-15"/>
              </w:rPr>
              <w:t xml:space="preserve"> </w:t>
            </w:r>
            <w:r w:rsidRPr="00D4309F">
              <w:t>hammerhead</w:t>
            </w:r>
            <w:r w:rsidRPr="00D4309F">
              <w:rPr>
                <w:spacing w:val="-12"/>
              </w:rPr>
              <w:t xml:space="preserve"> </w:t>
            </w:r>
            <w:r w:rsidRPr="00D4309F">
              <w:t xml:space="preserve">will actively avoid areas of </w:t>
            </w:r>
            <w:r w:rsidRPr="00D4309F">
              <w:rPr>
                <w:spacing w:val="-2"/>
              </w:rPr>
              <w:t>activity</w:t>
            </w:r>
          </w:p>
        </w:tc>
        <w:tc>
          <w:tcPr>
            <w:tcW w:w="1984" w:type="dxa"/>
            <w:tcBorders>
              <w:top w:val="single" w:sz="4" w:space="0" w:color="000000"/>
              <w:bottom w:val="single" w:sz="4" w:space="0" w:color="000000"/>
            </w:tcBorders>
            <w:vAlign w:val="center"/>
          </w:tcPr>
          <w:p w14:paraId="75E903F7" w14:textId="56050F2A" w:rsidR="006B67C4" w:rsidRPr="00D4309F" w:rsidRDefault="006B67C4" w:rsidP="007B3B30">
            <w:pPr>
              <w:pStyle w:val="Table-Bullet"/>
            </w:pPr>
            <w:r w:rsidRPr="00D4309F">
              <w:rPr>
                <w:color w:val="211E1F"/>
                <w:spacing w:val="-4"/>
              </w:rPr>
              <w:t>None</w:t>
            </w:r>
          </w:p>
        </w:tc>
        <w:tc>
          <w:tcPr>
            <w:tcW w:w="2665" w:type="dxa"/>
            <w:tcBorders>
              <w:top w:val="single" w:sz="4" w:space="0" w:color="000000"/>
              <w:bottom w:val="single" w:sz="4" w:space="0" w:color="000000"/>
            </w:tcBorders>
            <w:vAlign w:val="center"/>
          </w:tcPr>
          <w:p w14:paraId="074A1EFC" w14:textId="1B23AD3B" w:rsidR="006B67C4" w:rsidRPr="00D4309F" w:rsidRDefault="006B67C4" w:rsidP="007B3B30">
            <w:pPr>
              <w:pStyle w:val="Table-Bullet"/>
              <w:rPr>
                <w:color w:val="211E1F"/>
                <w:spacing w:val="-4"/>
              </w:rPr>
            </w:pPr>
            <w:r w:rsidRPr="00D4309F">
              <w:rPr>
                <w:color w:val="211E1F"/>
                <w:spacing w:val="-4"/>
              </w:rPr>
              <w:t>None</w:t>
            </w:r>
          </w:p>
        </w:tc>
      </w:tr>
      <w:tr w:rsidR="006B67C4" w:rsidRPr="00D4309F" w14:paraId="3B1A1AD1" w14:textId="77777777" w:rsidTr="007B3B30">
        <w:trPr>
          <w:cantSplit/>
          <w:trHeight w:val="20"/>
        </w:trPr>
        <w:tc>
          <w:tcPr>
            <w:tcW w:w="1300" w:type="dxa"/>
            <w:tcBorders>
              <w:top w:val="single" w:sz="4" w:space="0" w:color="000000"/>
              <w:bottom w:val="single" w:sz="4" w:space="0" w:color="000000"/>
            </w:tcBorders>
            <w:vAlign w:val="center"/>
          </w:tcPr>
          <w:p w14:paraId="788A6AD8" w14:textId="11C558C7" w:rsidR="006B67C4" w:rsidRPr="00D4309F" w:rsidRDefault="006B67C4" w:rsidP="007B3B30">
            <w:pPr>
              <w:pStyle w:val="Table-Text"/>
            </w:pPr>
            <w:r w:rsidRPr="00D4309F">
              <w:t>Marine</w:t>
            </w:r>
            <w:r w:rsidRPr="00D4309F">
              <w:rPr>
                <w:spacing w:val="-4"/>
              </w:rPr>
              <w:t xml:space="preserve"> </w:t>
            </w:r>
            <w:r w:rsidRPr="00D4309F">
              <w:t>fauna</w:t>
            </w:r>
          </w:p>
        </w:tc>
        <w:tc>
          <w:tcPr>
            <w:tcW w:w="2084" w:type="dxa"/>
            <w:tcBorders>
              <w:top w:val="single" w:sz="4" w:space="0" w:color="000000"/>
              <w:bottom w:val="single" w:sz="4" w:space="0" w:color="000000"/>
            </w:tcBorders>
            <w:vAlign w:val="center"/>
          </w:tcPr>
          <w:p w14:paraId="7131C6AB" w14:textId="5AEB72FA" w:rsidR="006B67C4" w:rsidRPr="00D4309F" w:rsidRDefault="006B67C4" w:rsidP="007B3B30">
            <w:pPr>
              <w:pStyle w:val="Table-Text"/>
            </w:pPr>
            <w:r w:rsidRPr="00D4309F">
              <w:t>Mobile species</w:t>
            </w:r>
          </w:p>
        </w:tc>
        <w:tc>
          <w:tcPr>
            <w:tcW w:w="2853" w:type="dxa"/>
            <w:tcBorders>
              <w:top w:val="single" w:sz="4" w:space="0" w:color="000000"/>
              <w:bottom w:val="single" w:sz="4" w:space="0" w:color="000000"/>
            </w:tcBorders>
            <w:vAlign w:val="center"/>
          </w:tcPr>
          <w:p w14:paraId="1D9F8509" w14:textId="15A6D2DD" w:rsidR="006B67C4" w:rsidRPr="00D4309F" w:rsidRDefault="006B67C4" w:rsidP="007B3B30">
            <w:pPr>
              <w:pStyle w:val="Table-Bullet"/>
            </w:pPr>
            <w:r w:rsidRPr="00D4309F">
              <w:rPr>
                <w:spacing w:val="-2"/>
              </w:rPr>
              <w:t xml:space="preserve">Mortality/injury/behavioural </w:t>
            </w:r>
            <w:r w:rsidRPr="00D4309F">
              <w:t>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toxic</w:t>
            </w:r>
            <w:r w:rsidRPr="00D4309F">
              <w:rPr>
                <w:spacing w:val="-10"/>
              </w:rPr>
              <w:t xml:space="preserve"> </w:t>
            </w:r>
            <w:r w:rsidRPr="00D4309F">
              <w:t xml:space="preserve">effects due to release of </w:t>
            </w:r>
            <w:r w:rsidRPr="00D4309F">
              <w:rPr>
                <w:spacing w:val="-2"/>
              </w:rPr>
              <w:t>contaminants/hypoxia</w:t>
            </w:r>
          </w:p>
        </w:tc>
        <w:tc>
          <w:tcPr>
            <w:tcW w:w="1418" w:type="dxa"/>
            <w:tcBorders>
              <w:top w:val="single" w:sz="4" w:space="0" w:color="000000"/>
              <w:bottom w:val="single" w:sz="4" w:space="0" w:color="000000"/>
            </w:tcBorders>
            <w:shd w:val="clear" w:color="auto" w:fill="92D050"/>
            <w:vAlign w:val="center"/>
          </w:tcPr>
          <w:p w14:paraId="0BBF67F0" w14:textId="3BF42D4B" w:rsidR="006B67C4" w:rsidRPr="007B3B30" w:rsidRDefault="006B67C4" w:rsidP="007B3B30">
            <w:pPr>
              <w:pStyle w:val="Table-Text"/>
              <w:rPr>
                <w:b/>
                <w:bCs/>
                <w:spacing w:val="-5"/>
              </w:rPr>
            </w:pPr>
            <w:r w:rsidRPr="007B3B30">
              <w:rPr>
                <w:b/>
                <w:bCs/>
                <w:spacing w:val="-5"/>
              </w:rPr>
              <w:t>Low</w:t>
            </w:r>
          </w:p>
        </w:tc>
        <w:tc>
          <w:tcPr>
            <w:tcW w:w="2268" w:type="dxa"/>
            <w:tcBorders>
              <w:top w:val="single" w:sz="4" w:space="0" w:color="000000"/>
              <w:bottom w:val="single" w:sz="4" w:space="0" w:color="000000"/>
            </w:tcBorders>
            <w:vAlign w:val="center"/>
          </w:tcPr>
          <w:p w14:paraId="217A7B40" w14:textId="77777777" w:rsidR="006B67C4" w:rsidRPr="00D4309F" w:rsidRDefault="006B67C4" w:rsidP="007B3B30">
            <w:pPr>
              <w:pStyle w:val="Table-Bullet"/>
            </w:pPr>
            <w:r w:rsidRPr="00D4309F">
              <w:t>Dredge sediments likely comprise clean marine sand</w:t>
            </w:r>
            <w:r w:rsidRPr="00D4309F">
              <w:rPr>
                <w:spacing w:val="-13"/>
              </w:rPr>
              <w:t xml:space="preserve"> </w:t>
            </w:r>
            <w:r w:rsidRPr="00D4309F">
              <w:t>free</w:t>
            </w:r>
            <w:r w:rsidRPr="00D4309F">
              <w:rPr>
                <w:spacing w:val="-12"/>
              </w:rPr>
              <w:t xml:space="preserve"> </w:t>
            </w:r>
            <w:r w:rsidRPr="00D4309F">
              <w:t>of</w:t>
            </w:r>
            <w:r w:rsidRPr="00D4309F">
              <w:rPr>
                <w:spacing w:val="-13"/>
              </w:rPr>
              <w:t xml:space="preserve"> </w:t>
            </w:r>
            <w:r w:rsidRPr="00D4309F">
              <w:t xml:space="preserve">contaminants with low organic matter </w:t>
            </w:r>
            <w:r w:rsidRPr="00D4309F">
              <w:rPr>
                <w:spacing w:val="-2"/>
              </w:rPr>
              <w:t>content</w:t>
            </w:r>
          </w:p>
          <w:p w14:paraId="49032878" w14:textId="72D71A64" w:rsidR="006B67C4" w:rsidRPr="00D4309F" w:rsidRDefault="006B67C4" w:rsidP="007B3B30">
            <w:pPr>
              <w:pStyle w:val="Table-Bullet"/>
            </w:pPr>
            <w:r w:rsidRPr="00D4309F">
              <w:t>Breakwater</w:t>
            </w:r>
            <w:r w:rsidRPr="00D4309F">
              <w:rPr>
                <w:spacing w:val="-13"/>
              </w:rPr>
              <w:t xml:space="preserve"> </w:t>
            </w:r>
            <w:r w:rsidRPr="00D4309F">
              <w:t xml:space="preserve">construction materials and rock assumed to be free of </w:t>
            </w:r>
            <w:r w:rsidRPr="00D4309F">
              <w:rPr>
                <w:spacing w:val="-2"/>
              </w:rPr>
              <w:t>contamination</w:t>
            </w:r>
          </w:p>
        </w:tc>
        <w:tc>
          <w:tcPr>
            <w:tcW w:w="1984" w:type="dxa"/>
            <w:tcBorders>
              <w:top w:val="single" w:sz="4" w:space="0" w:color="000000"/>
              <w:bottom w:val="single" w:sz="4" w:space="0" w:color="000000"/>
            </w:tcBorders>
            <w:vAlign w:val="center"/>
          </w:tcPr>
          <w:p w14:paraId="19346BF9" w14:textId="411C6DDB" w:rsidR="006B67C4" w:rsidRPr="00D4309F" w:rsidRDefault="006B67C4" w:rsidP="007B3B30">
            <w:pPr>
              <w:pStyle w:val="Table-Bullet"/>
            </w:pPr>
            <w:r w:rsidRPr="00D4309F">
              <w:t>Assumption</w:t>
            </w:r>
            <w:r w:rsidRPr="00D4309F">
              <w:rPr>
                <w:spacing w:val="-13"/>
              </w:rPr>
              <w:t xml:space="preserve"> </w:t>
            </w:r>
            <w:r w:rsidRPr="00D4309F">
              <w:t>that suitable data exists to inform this risk</w:t>
            </w:r>
          </w:p>
        </w:tc>
        <w:tc>
          <w:tcPr>
            <w:tcW w:w="2665" w:type="dxa"/>
            <w:tcBorders>
              <w:top w:val="single" w:sz="4" w:space="0" w:color="000000"/>
              <w:bottom w:val="single" w:sz="4" w:space="0" w:color="000000"/>
            </w:tcBorders>
            <w:vAlign w:val="center"/>
          </w:tcPr>
          <w:p w14:paraId="0B1EE3E9" w14:textId="7AAF4A63" w:rsidR="006B67C4" w:rsidRPr="00D4309F" w:rsidRDefault="006B67C4" w:rsidP="007B3B30">
            <w:pPr>
              <w:pStyle w:val="Table-Bullet"/>
              <w:rPr>
                <w:color w:val="211E1F"/>
                <w:spacing w:val="-4"/>
              </w:rPr>
            </w:pPr>
            <w:r w:rsidRPr="00D4309F">
              <w:rPr>
                <w:color w:val="211E1F"/>
                <w:spacing w:val="-4"/>
              </w:rPr>
              <w:t>None</w:t>
            </w:r>
          </w:p>
        </w:tc>
      </w:tr>
      <w:tr w:rsidR="006B67C4" w:rsidRPr="00D4309F" w14:paraId="25443131" w14:textId="77777777" w:rsidTr="007B7D3D">
        <w:trPr>
          <w:cantSplit/>
          <w:trHeight w:val="20"/>
        </w:trPr>
        <w:tc>
          <w:tcPr>
            <w:tcW w:w="1300" w:type="dxa"/>
            <w:tcBorders>
              <w:top w:val="single" w:sz="4" w:space="0" w:color="000000"/>
              <w:bottom w:val="single" w:sz="4" w:space="0" w:color="000000"/>
            </w:tcBorders>
            <w:vAlign w:val="center"/>
          </w:tcPr>
          <w:p w14:paraId="5F24BDFD" w14:textId="31C5C462" w:rsidR="006B67C4" w:rsidRPr="00D4309F" w:rsidRDefault="006B67C4" w:rsidP="007B3B30">
            <w:pPr>
              <w:pStyle w:val="Table-Text"/>
            </w:pPr>
            <w:r w:rsidRPr="00D4309F">
              <w:lastRenderedPageBreak/>
              <w:t>Benthic habitats</w:t>
            </w:r>
          </w:p>
        </w:tc>
        <w:tc>
          <w:tcPr>
            <w:tcW w:w="2084" w:type="dxa"/>
            <w:tcBorders>
              <w:top w:val="single" w:sz="4" w:space="0" w:color="000000"/>
              <w:bottom w:val="single" w:sz="4" w:space="0" w:color="000000"/>
            </w:tcBorders>
            <w:vAlign w:val="center"/>
          </w:tcPr>
          <w:p w14:paraId="1F9971B2" w14:textId="0B0BA65E" w:rsidR="006B67C4" w:rsidRPr="00D4309F" w:rsidRDefault="006B67C4" w:rsidP="007B3B30">
            <w:pPr>
              <w:pStyle w:val="Table-Text"/>
            </w:pPr>
            <w:r w:rsidRPr="00D4309F">
              <w:t>Rocky</w:t>
            </w:r>
            <w:r w:rsidRPr="00D4309F">
              <w:rPr>
                <w:spacing w:val="-13"/>
              </w:rPr>
              <w:t xml:space="preserve"> </w:t>
            </w:r>
            <w:r w:rsidRPr="00D4309F">
              <w:t>reef habitat, seagrass and</w:t>
            </w:r>
            <w:r w:rsidRPr="00D4309F">
              <w:rPr>
                <w:spacing w:val="-10"/>
              </w:rPr>
              <w:t xml:space="preserve"> </w:t>
            </w:r>
            <w:r w:rsidRPr="00D4309F">
              <w:t>corals</w:t>
            </w:r>
          </w:p>
        </w:tc>
        <w:tc>
          <w:tcPr>
            <w:tcW w:w="2853" w:type="dxa"/>
            <w:tcBorders>
              <w:top w:val="single" w:sz="4" w:space="0" w:color="000000"/>
              <w:bottom w:val="single" w:sz="4" w:space="0" w:color="000000"/>
            </w:tcBorders>
            <w:vAlign w:val="center"/>
          </w:tcPr>
          <w:p w14:paraId="58FA118E" w14:textId="77777777" w:rsidR="006B67C4" w:rsidRPr="00D4309F" w:rsidRDefault="006B67C4" w:rsidP="007B3B30">
            <w:pPr>
              <w:pStyle w:val="Table-Bullet"/>
            </w:pPr>
            <w:r w:rsidRPr="00D4309F">
              <w:t>Direct removal due to construction</w:t>
            </w:r>
            <w:r w:rsidRPr="00D4309F">
              <w:rPr>
                <w:spacing w:val="-4"/>
              </w:rPr>
              <w:t xml:space="preserve"> </w:t>
            </w:r>
            <w:r w:rsidRPr="00D4309F">
              <w:t>and</w:t>
            </w:r>
            <w:r w:rsidRPr="00D4309F">
              <w:rPr>
                <w:spacing w:val="-4"/>
              </w:rPr>
              <w:t xml:space="preserve"> </w:t>
            </w:r>
            <w:r w:rsidRPr="00D4309F">
              <w:rPr>
                <w:spacing w:val="-2"/>
              </w:rPr>
              <w:t>bypassing</w:t>
            </w:r>
          </w:p>
          <w:p w14:paraId="0C805147" w14:textId="77777777" w:rsidR="006B67C4" w:rsidRPr="00D4309F" w:rsidRDefault="006B67C4" w:rsidP="007B3B30">
            <w:pPr>
              <w:pStyle w:val="Table-Bullet"/>
            </w:pPr>
            <w:r w:rsidRPr="00D4309F">
              <w:t>Generation</w:t>
            </w:r>
            <w:r w:rsidRPr="00D4309F">
              <w:rPr>
                <w:spacing w:val="-4"/>
              </w:rPr>
              <w:t xml:space="preserve"> </w:t>
            </w:r>
            <w:r w:rsidRPr="00D4309F">
              <w:t>of</w:t>
            </w:r>
            <w:r w:rsidRPr="00D4309F">
              <w:rPr>
                <w:spacing w:val="-3"/>
              </w:rPr>
              <w:t xml:space="preserve"> </w:t>
            </w:r>
            <w:r w:rsidRPr="00D4309F">
              <w:rPr>
                <w:spacing w:val="-2"/>
              </w:rPr>
              <w:t>turbidity</w:t>
            </w:r>
          </w:p>
          <w:p w14:paraId="5CAB8AE3" w14:textId="31BAB85B" w:rsidR="006B67C4" w:rsidRPr="00D4309F" w:rsidRDefault="006B67C4" w:rsidP="007B3B30">
            <w:pPr>
              <w:pStyle w:val="Table-Bullet"/>
            </w:pPr>
            <w:r w:rsidRPr="00D4309F">
              <w:rPr>
                <w:spacing w:val="-2"/>
              </w:rPr>
              <w:t>Smothering</w:t>
            </w:r>
          </w:p>
        </w:tc>
        <w:tc>
          <w:tcPr>
            <w:tcW w:w="1418" w:type="dxa"/>
            <w:tcBorders>
              <w:top w:val="single" w:sz="4" w:space="0" w:color="000000"/>
              <w:bottom w:val="single" w:sz="4" w:space="0" w:color="000000"/>
            </w:tcBorders>
            <w:shd w:val="clear" w:color="auto" w:fill="FFC000"/>
            <w:vAlign w:val="center"/>
          </w:tcPr>
          <w:p w14:paraId="3BFBFC68" w14:textId="633F514D" w:rsidR="006B67C4" w:rsidRPr="007B3B30" w:rsidRDefault="006B67C4" w:rsidP="007B3B30">
            <w:pPr>
              <w:pStyle w:val="Table-Text"/>
              <w:rPr>
                <w:b/>
                <w:bCs/>
                <w:spacing w:val="-5"/>
              </w:rPr>
            </w:pPr>
            <w:r w:rsidRPr="007B3B30">
              <w:rPr>
                <w:b/>
                <w:bCs/>
              </w:rPr>
              <w:t>High (for breakwater construction)</w:t>
            </w:r>
          </w:p>
        </w:tc>
        <w:tc>
          <w:tcPr>
            <w:tcW w:w="2268" w:type="dxa"/>
            <w:tcBorders>
              <w:top w:val="single" w:sz="4" w:space="0" w:color="000000"/>
              <w:bottom w:val="single" w:sz="4" w:space="0" w:color="000000"/>
            </w:tcBorders>
            <w:vAlign w:val="center"/>
          </w:tcPr>
          <w:p w14:paraId="0F1ED370" w14:textId="77777777" w:rsidR="006B67C4" w:rsidRPr="00D4309F" w:rsidRDefault="006B67C4" w:rsidP="007B3B30">
            <w:pPr>
              <w:pStyle w:val="Table-Bullet"/>
            </w:pPr>
            <w:r w:rsidRPr="00D4309F">
              <w:t>The dredge area likely comprises bare sand, further assessment is required</w:t>
            </w:r>
            <w:r w:rsidRPr="00D4309F">
              <w:rPr>
                <w:spacing w:val="-13"/>
              </w:rPr>
              <w:t xml:space="preserve"> </w:t>
            </w:r>
            <w:r w:rsidRPr="00D4309F">
              <w:t>for</w:t>
            </w:r>
            <w:r w:rsidRPr="00D4309F">
              <w:rPr>
                <w:spacing w:val="-12"/>
              </w:rPr>
              <w:t xml:space="preserve"> </w:t>
            </w:r>
            <w:r w:rsidRPr="00D4309F">
              <w:t>the</w:t>
            </w:r>
            <w:r w:rsidRPr="00D4309F">
              <w:rPr>
                <w:spacing w:val="-13"/>
              </w:rPr>
              <w:t xml:space="preserve"> </w:t>
            </w:r>
            <w:r w:rsidRPr="00D4309F">
              <w:t>breakwater extension footprint</w:t>
            </w:r>
          </w:p>
          <w:p w14:paraId="2CA228B6" w14:textId="77777777" w:rsidR="006B67C4" w:rsidRPr="00D4309F" w:rsidRDefault="006B67C4" w:rsidP="007B3B30">
            <w:pPr>
              <w:pStyle w:val="Table-Bullet"/>
            </w:pPr>
            <w:r w:rsidRPr="00D4309F">
              <w:t>Further assessment is required to determine if the potential</w:t>
            </w:r>
            <w:r w:rsidRPr="00D4309F">
              <w:rPr>
                <w:spacing w:val="-15"/>
              </w:rPr>
              <w:t xml:space="preserve"> </w:t>
            </w:r>
            <w:r w:rsidRPr="00D4309F">
              <w:t>turbidity</w:t>
            </w:r>
            <w:r w:rsidRPr="00D4309F">
              <w:rPr>
                <w:spacing w:val="-12"/>
              </w:rPr>
              <w:t xml:space="preserve"> </w:t>
            </w:r>
            <w:r w:rsidRPr="00D4309F">
              <w:t xml:space="preserve">generated will impact sensitive marine </w:t>
            </w:r>
            <w:r w:rsidRPr="00D4309F">
              <w:rPr>
                <w:spacing w:val="-2"/>
              </w:rPr>
              <w:t>habitats</w:t>
            </w:r>
          </w:p>
          <w:p w14:paraId="64008A5C" w14:textId="77777777" w:rsidR="006B67C4" w:rsidRPr="00D4309F" w:rsidRDefault="006B67C4" w:rsidP="007B3B30">
            <w:pPr>
              <w:pStyle w:val="Table-Bullet"/>
            </w:pPr>
            <w:r w:rsidRPr="00D4309F">
              <w:t>Dredging and construction is</w:t>
            </w:r>
            <w:r w:rsidRPr="00D4309F">
              <w:rPr>
                <w:spacing w:val="-8"/>
              </w:rPr>
              <w:t xml:space="preserve"> </w:t>
            </w:r>
            <w:r w:rsidRPr="00D4309F">
              <w:t>in</w:t>
            </w:r>
            <w:r w:rsidRPr="00D4309F">
              <w:rPr>
                <w:spacing w:val="-9"/>
              </w:rPr>
              <w:t xml:space="preserve"> </w:t>
            </w:r>
            <w:r w:rsidRPr="00D4309F">
              <w:t>a</w:t>
            </w:r>
            <w:r w:rsidRPr="00D4309F">
              <w:rPr>
                <w:spacing w:val="-9"/>
              </w:rPr>
              <w:t xml:space="preserve"> </w:t>
            </w:r>
            <w:r w:rsidRPr="00D4309F">
              <w:t>dynamic,</w:t>
            </w:r>
            <w:r w:rsidRPr="00D4309F">
              <w:rPr>
                <w:spacing w:val="-8"/>
              </w:rPr>
              <w:t xml:space="preserve"> </w:t>
            </w:r>
            <w:r w:rsidRPr="00D4309F">
              <w:t>open</w:t>
            </w:r>
            <w:r w:rsidRPr="00D4309F">
              <w:rPr>
                <w:spacing w:val="-9"/>
              </w:rPr>
              <w:t xml:space="preserve"> </w:t>
            </w:r>
            <w:r w:rsidRPr="00D4309F">
              <w:t>ocean environment,</w:t>
            </w:r>
            <w:r w:rsidRPr="00D4309F">
              <w:rPr>
                <w:spacing w:val="-10"/>
              </w:rPr>
              <w:t xml:space="preserve"> </w:t>
            </w:r>
            <w:r w:rsidRPr="00D4309F">
              <w:t>any</w:t>
            </w:r>
            <w:r w:rsidRPr="00D4309F">
              <w:rPr>
                <w:spacing w:val="-10"/>
              </w:rPr>
              <w:t xml:space="preserve"> </w:t>
            </w:r>
            <w:r w:rsidRPr="00D4309F">
              <w:t>plume</w:t>
            </w:r>
            <w:r w:rsidRPr="00D4309F">
              <w:rPr>
                <w:spacing w:val="-11"/>
              </w:rPr>
              <w:t xml:space="preserve"> </w:t>
            </w:r>
            <w:r w:rsidRPr="00D4309F">
              <w:t>will likely dissipate quickly</w:t>
            </w:r>
          </w:p>
          <w:p w14:paraId="4D0F08BB" w14:textId="03C8C6C3" w:rsidR="006B67C4" w:rsidRPr="00D4309F" w:rsidRDefault="006B67C4" w:rsidP="007B3B30">
            <w:pPr>
              <w:pStyle w:val="Table-Bullet"/>
            </w:pPr>
            <w:r w:rsidRPr="00D4309F">
              <w:t>Turbidity</w:t>
            </w:r>
            <w:r w:rsidRPr="00D4309F">
              <w:rPr>
                <w:spacing w:val="-8"/>
              </w:rPr>
              <w:t xml:space="preserve"> </w:t>
            </w:r>
            <w:r w:rsidRPr="00D4309F">
              <w:t>is</w:t>
            </w:r>
            <w:r w:rsidRPr="00D4309F">
              <w:rPr>
                <w:spacing w:val="-8"/>
              </w:rPr>
              <w:t xml:space="preserve"> </w:t>
            </w:r>
            <w:r w:rsidRPr="00D4309F">
              <w:t>likely</w:t>
            </w:r>
            <w:r w:rsidRPr="00D4309F">
              <w:rPr>
                <w:spacing w:val="-8"/>
              </w:rPr>
              <w:t xml:space="preserve"> </w:t>
            </w:r>
            <w:r w:rsidRPr="00D4309F">
              <w:t>to</w:t>
            </w:r>
            <w:r w:rsidRPr="00D4309F">
              <w:rPr>
                <w:spacing w:val="-9"/>
              </w:rPr>
              <w:t xml:space="preserve"> </w:t>
            </w:r>
            <w:r w:rsidRPr="00D4309F">
              <w:t>be</w:t>
            </w:r>
            <w:r w:rsidRPr="00D4309F">
              <w:rPr>
                <w:spacing w:val="-9"/>
              </w:rPr>
              <w:t xml:space="preserve"> </w:t>
            </w:r>
            <w:r w:rsidRPr="00D4309F">
              <w:t>more extensive during</w:t>
            </w:r>
            <w:r w:rsidRPr="00D4309F">
              <w:rPr>
                <w:spacing w:val="40"/>
              </w:rPr>
              <w:t xml:space="preserve"> </w:t>
            </w:r>
            <w:r w:rsidRPr="00D4309F">
              <w:t>breakwater extension</w:t>
            </w:r>
          </w:p>
        </w:tc>
        <w:tc>
          <w:tcPr>
            <w:tcW w:w="1984" w:type="dxa"/>
            <w:tcBorders>
              <w:top w:val="single" w:sz="4" w:space="0" w:color="000000"/>
              <w:bottom w:val="single" w:sz="4" w:space="0" w:color="000000"/>
            </w:tcBorders>
            <w:vAlign w:val="center"/>
          </w:tcPr>
          <w:p w14:paraId="487DEA6D" w14:textId="77777777" w:rsidR="006B67C4" w:rsidRPr="00D4309F" w:rsidRDefault="006B67C4" w:rsidP="007B3B30">
            <w:pPr>
              <w:pStyle w:val="Table-Bullet"/>
            </w:pPr>
            <w:r w:rsidRPr="00D4309F">
              <w:t>Benthic habitat assessment</w:t>
            </w:r>
            <w:r w:rsidRPr="00D4309F">
              <w:rPr>
                <w:spacing w:val="-15"/>
              </w:rPr>
              <w:t xml:space="preserve"> </w:t>
            </w:r>
            <w:r w:rsidRPr="00D4309F">
              <w:t>in</w:t>
            </w:r>
            <w:r w:rsidRPr="00D4309F">
              <w:rPr>
                <w:spacing w:val="-12"/>
              </w:rPr>
              <w:t xml:space="preserve"> </w:t>
            </w:r>
            <w:r w:rsidRPr="00D4309F">
              <w:t xml:space="preserve">and </w:t>
            </w:r>
            <w:r w:rsidRPr="00D4309F">
              <w:rPr>
                <w:spacing w:val="-2"/>
              </w:rPr>
              <w:t xml:space="preserve">surrounding </w:t>
            </w:r>
            <w:r w:rsidRPr="00D4309F">
              <w:t>disturbance area</w:t>
            </w:r>
          </w:p>
          <w:p w14:paraId="54CEDDCD" w14:textId="21972B4B" w:rsidR="006B67C4" w:rsidRPr="00D4309F" w:rsidRDefault="006B67C4" w:rsidP="007B3B30">
            <w:pPr>
              <w:pStyle w:val="Table-Bullet"/>
            </w:pPr>
            <w:r w:rsidRPr="00D4309F">
              <w:t>Turbidity</w:t>
            </w:r>
            <w:r w:rsidRPr="00D4309F">
              <w:rPr>
                <w:spacing w:val="-5"/>
              </w:rPr>
              <w:t xml:space="preserve"> </w:t>
            </w:r>
            <w:r w:rsidRPr="00D4309F">
              <w:rPr>
                <w:spacing w:val="-2"/>
              </w:rPr>
              <w:t>modelling</w:t>
            </w:r>
          </w:p>
        </w:tc>
        <w:tc>
          <w:tcPr>
            <w:tcW w:w="2665" w:type="dxa"/>
            <w:tcBorders>
              <w:top w:val="single" w:sz="4" w:space="0" w:color="000000"/>
              <w:bottom w:val="single" w:sz="4" w:space="0" w:color="000000"/>
            </w:tcBorders>
            <w:vAlign w:val="center"/>
          </w:tcPr>
          <w:p w14:paraId="3F64B1F7" w14:textId="77777777" w:rsidR="006B67C4" w:rsidRPr="00D4309F" w:rsidRDefault="006B67C4" w:rsidP="007B3B30">
            <w:pPr>
              <w:pStyle w:val="Table-Bullet"/>
            </w:pPr>
            <w:r w:rsidRPr="00D4309F">
              <w:t>Turbidity</w:t>
            </w:r>
            <w:r w:rsidRPr="00D4309F">
              <w:rPr>
                <w:spacing w:val="-13"/>
              </w:rPr>
              <w:t xml:space="preserve"> </w:t>
            </w:r>
            <w:r w:rsidRPr="00D4309F">
              <w:t>monitoring during works</w:t>
            </w:r>
          </w:p>
          <w:p w14:paraId="150C22C8" w14:textId="77777777" w:rsidR="006B67C4" w:rsidRPr="00D4309F" w:rsidRDefault="006B67C4" w:rsidP="007B3B30">
            <w:pPr>
              <w:pStyle w:val="Table-Bullet"/>
            </w:pPr>
            <w:r w:rsidRPr="00D4309F">
              <w:t>Standard turbidity mitigation</w:t>
            </w:r>
            <w:r w:rsidRPr="00D4309F">
              <w:rPr>
                <w:spacing w:val="-13"/>
              </w:rPr>
              <w:t xml:space="preserve"> </w:t>
            </w:r>
            <w:r w:rsidRPr="00D4309F">
              <w:t>procedures</w:t>
            </w:r>
          </w:p>
          <w:p w14:paraId="0D9F022A" w14:textId="77777777" w:rsidR="006B67C4" w:rsidRPr="00D4309F" w:rsidRDefault="006B67C4" w:rsidP="007B3B30">
            <w:pPr>
              <w:pStyle w:val="Table-Bullet"/>
            </w:pPr>
            <w:r w:rsidRPr="00D4309F">
              <w:t>e.g.</w:t>
            </w:r>
            <w:r w:rsidRPr="00D4309F">
              <w:rPr>
                <w:spacing w:val="-15"/>
              </w:rPr>
              <w:t xml:space="preserve"> </w:t>
            </w:r>
            <w:r w:rsidRPr="00D4309F">
              <w:t>silt</w:t>
            </w:r>
            <w:r w:rsidRPr="00D4309F">
              <w:rPr>
                <w:spacing w:val="-12"/>
              </w:rPr>
              <w:t xml:space="preserve"> </w:t>
            </w:r>
            <w:r w:rsidRPr="00D4309F">
              <w:t>curtains, staging</w:t>
            </w:r>
            <w:r w:rsidRPr="00D4309F">
              <w:rPr>
                <w:spacing w:val="-3"/>
              </w:rPr>
              <w:t xml:space="preserve"> </w:t>
            </w:r>
            <w:r w:rsidRPr="00D4309F">
              <w:t>of</w:t>
            </w:r>
            <w:r w:rsidRPr="00D4309F">
              <w:rPr>
                <w:spacing w:val="-2"/>
              </w:rPr>
              <w:t xml:space="preserve"> works</w:t>
            </w:r>
          </w:p>
          <w:p w14:paraId="1F1FE295" w14:textId="2822BEE1" w:rsidR="006B67C4" w:rsidRPr="00D4309F" w:rsidRDefault="006B67C4" w:rsidP="007B3B30">
            <w:pPr>
              <w:pStyle w:val="Table-Bullet"/>
              <w:rPr>
                <w:color w:val="211E1F"/>
                <w:spacing w:val="-4"/>
              </w:rPr>
            </w:pPr>
            <w:r w:rsidRPr="00D4309F">
              <w:t>Benthic</w:t>
            </w:r>
            <w:r w:rsidRPr="00D4309F">
              <w:rPr>
                <w:spacing w:val="-13"/>
              </w:rPr>
              <w:t xml:space="preserve"> </w:t>
            </w:r>
            <w:r w:rsidRPr="00D4309F">
              <w:t xml:space="preserve">habitat </w:t>
            </w:r>
            <w:r w:rsidRPr="00D4309F">
              <w:rPr>
                <w:spacing w:val="-2"/>
              </w:rPr>
              <w:t>monitoring</w:t>
            </w:r>
          </w:p>
        </w:tc>
      </w:tr>
      <w:tr w:rsidR="006B67C4" w:rsidRPr="00D4309F" w14:paraId="52861097" w14:textId="77777777" w:rsidTr="007B3B30">
        <w:trPr>
          <w:cantSplit/>
          <w:trHeight w:val="20"/>
        </w:trPr>
        <w:tc>
          <w:tcPr>
            <w:tcW w:w="1300" w:type="dxa"/>
            <w:tcBorders>
              <w:top w:val="single" w:sz="4" w:space="0" w:color="000000"/>
              <w:bottom w:val="single" w:sz="4" w:space="0" w:color="000000"/>
            </w:tcBorders>
            <w:vAlign w:val="center"/>
          </w:tcPr>
          <w:p w14:paraId="560D44F7" w14:textId="58018B5D" w:rsidR="006B67C4" w:rsidRPr="00D4309F" w:rsidRDefault="006B67C4" w:rsidP="007B3B30">
            <w:pPr>
              <w:pStyle w:val="Table-Text"/>
            </w:pPr>
            <w:r w:rsidRPr="00D4309F">
              <w:t>Benthic habitats</w:t>
            </w:r>
          </w:p>
        </w:tc>
        <w:tc>
          <w:tcPr>
            <w:tcW w:w="2084" w:type="dxa"/>
            <w:tcBorders>
              <w:top w:val="single" w:sz="4" w:space="0" w:color="000000"/>
              <w:bottom w:val="single" w:sz="4" w:space="0" w:color="000000"/>
            </w:tcBorders>
            <w:vAlign w:val="center"/>
          </w:tcPr>
          <w:p w14:paraId="561BA978" w14:textId="4E4C4F84" w:rsidR="006B67C4" w:rsidRPr="00D4309F" w:rsidRDefault="006B67C4" w:rsidP="007B3B30">
            <w:pPr>
              <w:pStyle w:val="Table-Text"/>
            </w:pPr>
            <w:r w:rsidRPr="00D4309F">
              <w:t>Rocky</w:t>
            </w:r>
            <w:r w:rsidRPr="00D4309F">
              <w:rPr>
                <w:spacing w:val="-13"/>
              </w:rPr>
              <w:t xml:space="preserve"> </w:t>
            </w:r>
            <w:r w:rsidRPr="00D4309F">
              <w:t>reef habitat, seagrass and</w:t>
            </w:r>
            <w:r w:rsidRPr="00D4309F">
              <w:rPr>
                <w:spacing w:val="-10"/>
              </w:rPr>
              <w:t xml:space="preserve"> </w:t>
            </w:r>
            <w:r w:rsidRPr="00D4309F">
              <w:t>corals</w:t>
            </w:r>
          </w:p>
        </w:tc>
        <w:tc>
          <w:tcPr>
            <w:tcW w:w="2853" w:type="dxa"/>
            <w:tcBorders>
              <w:top w:val="single" w:sz="4" w:space="0" w:color="000000"/>
              <w:bottom w:val="single" w:sz="4" w:space="0" w:color="000000"/>
            </w:tcBorders>
            <w:vAlign w:val="center"/>
          </w:tcPr>
          <w:p w14:paraId="7E415674" w14:textId="609367E6" w:rsidR="006B67C4" w:rsidRPr="00D4309F" w:rsidRDefault="006B67C4" w:rsidP="007B3B30">
            <w:pPr>
              <w:pStyle w:val="Table-Bullet"/>
            </w:pPr>
            <w:r w:rsidRPr="00D4309F">
              <w:t xml:space="preserve">Release of </w:t>
            </w:r>
            <w:r w:rsidRPr="00D4309F">
              <w:rPr>
                <w:spacing w:val="-2"/>
              </w:rPr>
              <w:t>contaminants/hypoxia</w:t>
            </w:r>
          </w:p>
        </w:tc>
        <w:tc>
          <w:tcPr>
            <w:tcW w:w="1418" w:type="dxa"/>
            <w:tcBorders>
              <w:top w:val="single" w:sz="4" w:space="0" w:color="000000"/>
              <w:bottom w:val="single" w:sz="4" w:space="0" w:color="000000"/>
            </w:tcBorders>
            <w:shd w:val="clear" w:color="auto" w:fill="92D050"/>
            <w:vAlign w:val="center"/>
          </w:tcPr>
          <w:p w14:paraId="2B9E95A1" w14:textId="1205C071" w:rsidR="006B67C4" w:rsidRPr="007B3B30" w:rsidRDefault="006B67C4" w:rsidP="007B3B30">
            <w:pPr>
              <w:pStyle w:val="Table-Text"/>
              <w:rPr>
                <w:b/>
                <w:bCs/>
                <w:spacing w:val="-5"/>
              </w:rPr>
            </w:pPr>
            <w:r w:rsidRPr="007B3B30">
              <w:rPr>
                <w:b/>
                <w:bCs/>
                <w:spacing w:val="-5"/>
              </w:rPr>
              <w:t>Low</w:t>
            </w:r>
          </w:p>
        </w:tc>
        <w:tc>
          <w:tcPr>
            <w:tcW w:w="2268" w:type="dxa"/>
            <w:tcBorders>
              <w:top w:val="single" w:sz="4" w:space="0" w:color="000000"/>
              <w:bottom w:val="single" w:sz="4" w:space="0" w:color="000000"/>
            </w:tcBorders>
            <w:vAlign w:val="center"/>
          </w:tcPr>
          <w:p w14:paraId="01B47962" w14:textId="77777777" w:rsidR="006B67C4" w:rsidRPr="00D4309F" w:rsidRDefault="006B67C4" w:rsidP="007B3B30">
            <w:pPr>
              <w:pStyle w:val="Table-Bullet"/>
            </w:pPr>
            <w:r w:rsidRPr="00D4309F">
              <w:t>Bypass sediments likely comprise clean marine sand</w:t>
            </w:r>
            <w:r w:rsidRPr="00D4309F">
              <w:rPr>
                <w:spacing w:val="-13"/>
              </w:rPr>
              <w:t xml:space="preserve"> </w:t>
            </w:r>
            <w:r w:rsidRPr="00D4309F">
              <w:t>free</w:t>
            </w:r>
            <w:r w:rsidRPr="00D4309F">
              <w:rPr>
                <w:spacing w:val="-12"/>
              </w:rPr>
              <w:t xml:space="preserve"> </w:t>
            </w:r>
            <w:r w:rsidRPr="00D4309F">
              <w:t>of</w:t>
            </w:r>
            <w:r w:rsidRPr="00D4309F">
              <w:rPr>
                <w:spacing w:val="-13"/>
              </w:rPr>
              <w:t xml:space="preserve"> </w:t>
            </w:r>
            <w:r w:rsidRPr="00D4309F">
              <w:t xml:space="preserve">contaminants with low organic matter </w:t>
            </w:r>
            <w:r w:rsidRPr="00D4309F">
              <w:rPr>
                <w:spacing w:val="-2"/>
              </w:rPr>
              <w:t>content</w:t>
            </w:r>
          </w:p>
          <w:p w14:paraId="7DDF1421" w14:textId="03A15F46" w:rsidR="006B67C4" w:rsidRPr="00D4309F" w:rsidRDefault="006B67C4" w:rsidP="007B3B30">
            <w:pPr>
              <w:pStyle w:val="Table-Bullet"/>
            </w:pPr>
            <w:r w:rsidRPr="00D4309F">
              <w:t>Breakwater</w:t>
            </w:r>
            <w:r w:rsidRPr="00D4309F">
              <w:rPr>
                <w:spacing w:val="-8"/>
              </w:rPr>
              <w:t xml:space="preserve"> </w:t>
            </w:r>
            <w:r w:rsidRPr="00D4309F">
              <w:t>construction materials</w:t>
            </w:r>
            <w:r w:rsidRPr="00D4309F">
              <w:rPr>
                <w:spacing w:val="-13"/>
              </w:rPr>
              <w:t xml:space="preserve"> </w:t>
            </w:r>
            <w:r w:rsidRPr="00D4309F">
              <w:t>assumed</w:t>
            </w:r>
            <w:r w:rsidRPr="00D4309F">
              <w:rPr>
                <w:spacing w:val="-12"/>
              </w:rPr>
              <w:t xml:space="preserve"> </w:t>
            </w:r>
            <w:r w:rsidRPr="00D4309F">
              <w:t>to</w:t>
            </w:r>
            <w:r w:rsidRPr="00D4309F">
              <w:rPr>
                <w:spacing w:val="-13"/>
              </w:rPr>
              <w:t xml:space="preserve"> </w:t>
            </w:r>
            <w:r w:rsidRPr="00D4309F">
              <w:t>be free of contamination</w:t>
            </w:r>
          </w:p>
        </w:tc>
        <w:tc>
          <w:tcPr>
            <w:tcW w:w="1984" w:type="dxa"/>
            <w:tcBorders>
              <w:top w:val="single" w:sz="4" w:space="0" w:color="000000"/>
              <w:bottom w:val="single" w:sz="4" w:space="0" w:color="000000"/>
            </w:tcBorders>
            <w:vAlign w:val="center"/>
          </w:tcPr>
          <w:p w14:paraId="7214439A" w14:textId="60D0BC86" w:rsidR="006B67C4" w:rsidRPr="00D4309F" w:rsidRDefault="006B67C4" w:rsidP="007B3B30">
            <w:pPr>
              <w:pStyle w:val="Table-Bullet"/>
            </w:pPr>
            <w:r w:rsidRPr="00D4309F">
              <w:t>Assumption</w:t>
            </w:r>
            <w:r w:rsidRPr="00D4309F">
              <w:rPr>
                <w:spacing w:val="-13"/>
              </w:rPr>
              <w:t xml:space="preserve"> </w:t>
            </w:r>
            <w:r w:rsidRPr="00D4309F">
              <w:t>that suitable data exists to inform this risk</w:t>
            </w:r>
          </w:p>
        </w:tc>
        <w:tc>
          <w:tcPr>
            <w:tcW w:w="2665" w:type="dxa"/>
            <w:tcBorders>
              <w:top w:val="single" w:sz="4" w:space="0" w:color="000000"/>
              <w:bottom w:val="single" w:sz="4" w:space="0" w:color="000000"/>
            </w:tcBorders>
            <w:vAlign w:val="center"/>
          </w:tcPr>
          <w:p w14:paraId="0E72507A" w14:textId="42DD4513" w:rsidR="006B67C4" w:rsidRPr="00D4309F" w:rsidRDefault="006B67C4" w:rsidP="007B3B30">
            <w:pPr>
              <w:pStyle w:val="Table-Bullet"/>
              <w:rPr>
                <w:color w:val="211E1F"/>
                <w:spacing w:val="-4"/>
              </w:rPr>
            </w:pPr>
            <w:r w:rsidRPr="00D4309F">
              <w:rPr>
                <w:color w:val="211E1F"/>
                <w:spacing w:val="-4"/>
              </w:rPr>
              <w:t>None</w:t>
            </w:r>
          </w:p>
        </w:tc>
      </w:tr>
      <w:tr w:rsidR="006B67C4" w:rsidRPr="00D4309F" w14:paraId="6A299B70" w14:textId="77777777" w:rsidTr="007B7D3D">
        <w:trPr>
          <w:cantSplit/>
          <w:trHeight w:val="20"/>
        </w:trPr>
        <w:tc>
          <w:tcPr>
            <w:tcW w:w="1300" w:type="dxa"/>
            <w:tcBorders>
              <w:top w:val="single" w:sz="4" w:space="0" w:color="000000"/>
              <w:bottom w:val="single" w:sz="4" w:space="0" w:color="000000"/>
            </w:tcBorders>
            <w:vAlign w:val="center"/>
          </w:tcPr>
          <w:p w14:paraId="6CD81E78" w14:textId="22803EDF" w:rsidR="006B67C4" w:rsidRPr="00D4309F" w:rsidRDefault="006B67C4" w:rsidP="007B3B30">
            <w:pPr>
              <w:pStyle w:val="Table-Text"/>
            </w:pPr>
            <w:r w:rsidRPr="00D4309F">
              <w:lastRenderedPageBreak/>
              <w:t>Terrestrial</w:t>
            </w:r>
            <w:r w:rsidRPr="00D4309F">
              <w:rPr>
                <w:spacing w:val="-15"/>
              </w:rPr>
              <w:t xml:space="preserve"> </w:t>
            </w:r>
            <w:r w:rsidRPr="00D4309F">
              <w:t>fauna</w:t>
            </w:r>
            <w:r w:rsidRPr="00D4309F">
              <w:rPr>
                <w:spacing w:val="-12"/>
              </w:rPr>
              <w:t xml:space="preserve"> </w:t>
            </w:r>
            <w:r w:rsidRPr="00D4309F">
              <w:t>including shorebirds and raptors</w:t>
            </w:r>
          </w:p>
        </w:tc>
        <w:tc>
          <w:tcPr>
            <w:tcW w:w="2084" w:type="dxa"/>
            <w:tcBorders>
              <w:top w:val="single" w:sz="4" w:space="0" w:color="000000"/>
              <w:bottom w:val="single" w:sz="4" w:space="0" w:color="000000"/>
            </w:tcBorders>
            <w:vAlign w:val="center"/>
          </w:tcPr>
          <w:p w14:paraId="3A15D3B6" w14:textId="2DC3ABCC" w:rsidR="006B67C4" w:rsidRPr="00D4309F" w:rsidRDefault="006B67C4" w:rsidP="007B3B30">
            <w:pPr>
              <w:pStyle w:val="Table-Text"/>
            </w:pPr>
          </w:p>
        </w:tc>
        <w:tc>
          <w:tcPr>
            <w:tcW w:w="2853" w:type="dxa"/>
            <w:tcBorders>
              <w:top w:val="single" w:sz="4" w:space="0" w:color="000000"/>
              <w:bottom w:val="single" w:sz="4" w:space="0" w:color="000000"/>
            </w:tcBorders>
            <w:vAlign w:val="center"/>
          </w:tcPr>
          <w:p w14:paraId="526FFBB4" w14:textId="77777777" w:rsidR="006B67C4" w:rsidRPr="00D4309F" w:rsidRDefault="006B67C4" w:rsidP="007B3B30">
            <w:pPr>
              <w:pStyle w:val="Table-Bullet"/>
            </w:pPr>
            <w:r w:rsidRPr="00D4309F">
              <w:rPr>
                <w:spacing w:val="-2"/>
              </w:rPr>
              <w:t xml:space="preserve">Mortality/injury/behavioural </w:t>
            </w:r>
            <w:r w:rsidRPr="00D4309F">
              <w:t>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noise</w:t>
            </w:r>
            <w:r w:rsidRPr="00D4309F">
              <w:rPr>
                <w:spacing w:val="-9"/>
              </w:rPr>
              <w:t xml:space="preserve"> </w:t>
            </w:r>
            <w:r w:rsidRPr="00D4309F">
              <w:t xml:space="preserve">from breakwater extension and </w:t>
            </w:r>
            <w:r w:rsidRPr="00D4309F">
              <w:rPr>
                <w:spacing w:val="-2"/>
              </w:rPr>
              <w:t>bypassing</w:t>
            </w:r>
          </w:p>
          <w:p w14:paraId="2D1815F0" w14:textId="77777777" w:rsidR="006B67C4" w:rsidRPr="00D4309F" w:rsidRDefault="006B67C4" w:rsidP="007B3B30">
            <w:pPr>
              <w:pStyle w:val="Table-Bullet"/>
            </w:pPr>
            <w:r w:rsidRPr="00D4309F">
              <w:rPr>
                <w:spacing w:val="-2"/>
              </w:rPr>
              <w:t xml:space="preserve">Mortality/injury/behavioural </w:t>
            </w:r>
            <w:r w:rsidRPr="00D4309F">
              <w:t>response due to dust from breakwater</w:t>
            </w:r>
            <w:r w:rsidRPr="00D4309F">
              <w:rPr>
                <w:spacing w:val="-15"/>
              </w:rPr>
              <w:t xml:space="preserve"> </w:t>
            </w:r>
            <w:r w:rsidRPr="00D4309F">
              <w:t>construction</w:t>
            </w:r>
            <w:r w:rsidRPr="00D4309F">
              <w:rPr>
                <w:spacing w:val="-12"/>
              </w:rPr>
              <w:t xml:space="preserve"> </w:t>
            </w:r>
            <w:r w:rsidRPr="00D4309F">
              <w:t>and beach disposal</w:t>
            </w:r>
          </w:p>
          <w:p w14:paraId="100E6119" w14:textId="77777777" w:rsidR="006B67C4" w:rsidRPr="00D4309F" w:rsidRDefault="006B67C4" w:rsidP="007B3B30">
            <w:pPr>
              <w:pStyle w:val="Table-Bullet"/>
            </w:pPr>
            <w:r w:rsidRPr="00D4309F">
              <w:t>Behavioural</w:t>
            </w:r>
            <w:r w:rsidRPr="00D4309F">
              <w:rPr>
                <w:spacing w:val="-13"/>
              </w:rPr>
              <w:t xml:space="preserve"> </w:t>
            </w:r>
            <w:r w:rsidRPr="00D4309F">
              <w:t>response</w:t>
            </w:r>
            <w:r w:rsidRPr="00D4309F">
              <w:rPr>
                <w:spacing w:val="-12"/>
              </w:rPr>
              <w:t xml:space="preserve"> </w:t>
            </w:r>
            <w:r w:rsidRPr="00D4309F">
              <w:t>due</w:t>
            </w:r>
            <w:r w:rsidRPr="00D4309F">
              <w:rPr>
                <w:spacing w:val="-13"/>
              </w:rPr>
              <w:t xml:space="preserve"> </w:t>
            </w:r>
            <w:r w:rsidRPr="00D4309F">
              <w:t xml:space="preserve">to </w:t>
            </w:r>
            <w:r w:rsidRPr="00D4309F">
              <w:rPr>
                <w:spacing w:val="-2"/>
              </w:rPr>
              <w:t>light</w:t>
            </w:r>
          </w:p>
          <w:p w14:paraId="12AFA572" w14:textId="77777777" w:rsidR="006B67C4" w:rsidRPr="00D4309F" w:rsidRDefault="006B67C4" w:rsidP="007B3B30">
            <w:pPr>
              <w:pStyle w:val="Table-Bullet"/>
            </w:pPr>
            <w:r w:rsidRPr="00D4309F">
              <w:rPr>
                <w:spacing w:val="-2"/>
              </w:rPr>
              <w:t xml:space="preserve">Mortality/injury/behavioural </w:t>
            </w:r>
            <w:r w:rsidRPr="00D4309F">
              <w:t xml:space="preserve">response due physical </w:t>
            </w:r>
            <w:r w:rsidRPr="00D4309F">
              <w:rPr>
                <w:spacing w:val="-2"/>
              </w:rPr>
              <w:t>presence</w:t>
            </w:r>
          </w:p>
          <w:p w14:paraId="776AC414" w14:textId="77777777" w:rsidR="006B67C4" w:rsidRPr="00D4309F" w:rsidRDefault="006B67C4" w:rsidP="007B3B30">
            <w:pPr>
              <w:pStyle w:val="Table-Bullet"/>
            </w:pPr>
            <w:r w:rsidRPr="00D4309F">
              <w:t>Mortality/injury</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onshore plant and vehicle movement</w:t>
            </w:r>
          </w:p>
          <w:p w14:paraId="7267B92B" w14:textId="55F11FE9" w:rsidR="006B67C4" w:rsidRPr="00D4309F" w:rsidRDefault="006B67C4" w:rsidP="007B3B30">
            <w:pPr>
              <w:pStyle w:val="Table-Bullet"/>
            </w:pPr>
            <w:r w:rsidRPr="00D4309F">
              <w:t>Disturbance/degradation of habitat during laydown area and</w:t>
            </w:r>
            <w:r w:rsidRPr="00D4309F">
              <w:rPr>
                <w:spacing w:val="-13"/>
              </w:rPr>
              <w:t xml:space="preserve"> </w:t>
            </w:r>
            <w:r w:rsidRPr="00D4309F">
              <w:t>booster</w:t>
            </w:r>
            <w:r w:rsidRPr="00D4309F">
              <w:rPr>
                <w:spacing w:val="-12"/>
              </w:rPr>
              <w:t xml:space="preserve"> </w:t>
            </w:r>
            <w:r w:rsidRPr="00D4309F">
              <w:t>pump</w:t>
            </w:r>
            <w:r w:rsidRPr="00D4309F">
              <w:rPr>
                <w:spacing w:val="-13"/>
              </w:rPr>
              <w:t xml:space="preserve"> </w:t>
            </w:r>
            <w:r w:rsidRPr="00D4309F">
              <w:t>installation</w:t>
            </w:r>
          </w:p>
        </w:tc>
        <w:tc>
          <w:tcPr>
            <w:tcW w:w="1418" w:type="dxa"/>
            <w:tcBorders>
              <w:top w:val="single" w:sz="4" w:space="0" w:color="000000"/>
              <w:bottom w:val="single" w:sz="4" w:space="0" w:color="000000"/>
            </w:tcBorders>
            <w:shd w:val="clear" w:color="auto" w:fill="FFC000"/>
            <w:vAlign w:val="center"/>
          </w:tcPr>
          <w:p w14:paraId="10378E7A" w14:textId="1E62162C" w:rsidR="006B67C4" w:rsidRPr="007B3B30" w:rsidRDefault="006B67C4" w:rsidP="007B3B30">
            <w:pPr>
              <w:pStyle w:val="Table-Text"/>
              <w:rPr>
                <w:b/>
                <w:bCs/>
                <w:spacing w:val="-5"/>
              </w:rPr>
            </w:pPr>
            <w:r w:rsidRPr="007B3B30">
              <w:rPr>
                <w:b/>
                <w:bCs/>
              </w:rPr>
              <w:t>High (for breakwater construction</w:t>
            </w:r>
          </w:p>
        </w:tc>
        <w:tc>
          <w:tcPr>
            <w:tcW w:w="2268" w:type="dxa"/>
            <w:tcBorders>
              <w:top w:val="single" w:sz="4" w:space="0" w:color="000000"/>
              <w:bottom w:val="single" w:sz="4" w:space="0" w:color="000000"/>
            </w:tcBorders>
            <w:vAlign w:val="center"/>
          </w:tcPr>
          <w:p w14:paraId="33F9585F" w14:textId="77777777" w:rsidR="006B67C4" w:rsidRPr="00D4309F" w:rsidRDefault="006B67C4" w:rsidP="007B3B30">
            <w:pPr>
              <w:pStyle w:val="Table-Bullet"/>
            </w:pPr>
            <w:r w:rsidRPr="00D4309F">
              <w:t>Several species listed as vulnerable</w:t>
            </w:r>
            <w:r w:rsidRPr="00D4309F">
              <w:rPr>
                <w:spacing w:val="-15"/>
              </w:rPr>
              <w:t xml:space="preserve"> </w:t>
            </w:r>
            <w:r w:rsidRPr="00D4309F">
              <w:t>or</w:t>
            </w:r>
            <w:r w:rsidRPr="00D4309F">
              <w:rPr>
                <w:spacing w:val="-12"/>
              </w:rPr>
              <w:t xml:space="preserve"> </w:t>
            </w:r>
            <w:r w:rsidRPr="00D4309F">
              <w:t xml:space="preserve">endangered may occur in the project </w:t>
            </w:r>
            <w:r w:rsidRPr="00D4309F">
              <w:rPr>
                <w:spacing w:val="-4"/>
              </w:rPr>
              <w:t>area</w:t>
            </w:r>
          </w:p>
          <w:p w14:paraId="3E618881" w14:textId="7FC00BCD" w:rsidR="006B67C4" w:rsidRPr="00D4309F" w:rsidRDefault="006B67C4" w:rsidP="007B3B30">
            <w:pPr>
              <w:pStyle w:val="Table-Bullet"/>
            </w:pPr>
            <w:r w:rsidRPr="00D4309F">
              <w:t>Several species of shorebirds are</w:t>
            </w:r>
            <w:r w:rsidRPr="00D4309F">
              <w:rPr>
                <w:spacing w:val="-1"/>
              </w:rPr>
              <w:t xml:space="preserve"> </w:t>
            </w:r>
            <w:r w:rsidRPr="00D4309F">
              <w:t>listed</w:t>
            </w:r>
            <w:r w:rsidRPr="00D4309F">
              <w:rPr>
                <w:spacing w:val="-1"/>
              </w:rPr>
              <w:t xml:space="preserve"> </w:t>
            </w:r>
            <w:r w:rsidRPr="00D4309F">
              <w:t>as occurring at Point Cartwright</w:t>
            </w:r>
            <w:r w:rsidRPr="00D4309F">
              <w:rPr>
                <w:spacing w:val="-13"/>
              </w:rPr>
              <w:t xml:space="preserve"> </w:t>
            </w:r>
            <w:r w:rsidRPr="00D4309F">
              <w:t>and</w:t>
            </w:r>
            <w:r w:rsidRPr="00D4309F">
              <w:rPr>
                <w:spacing w:val="-12"/>
              </w:rPr>
              <w:t xml:space="preserve"> </w:t>
            </w:r>
            <w:r w:rsidRPr="00D4309F">
              <w:t>could</w:t>
            </w:r>
            <w:r w:rsidRPr="00D4309F">
              <w:rPr>
                <w:spacing w:val="-13"/>
              </w:rPr>
              <w:t xml:space="preserve"> </w:t>
            </w:r>
            <w:r w:rsidRPr="00D4309F">
              <w:t>be impacted;</w:t>
            </w:r>
            <w:r w:rsidRPr="00D4309F">
              <w:rPr>
                <w:spacing w:val="-7"/>
              </w:rPr>
              <w:t xml:space="preserve"> </w:t>
            </w:r>
            <w:r w:rsidRPr="00D4309F">
              <w:t>however,</w:t>
            </w:r>
            <w:r w:rsidRPr="00D4309F">
              <w:rPr>
                <w:spacing w:val="-7"/>
              </w:rPr>
              <w:t xml:space="preserve"> </w:t>
            </w:r>
            <w:r w:rsidRPr="00D4309F">
              <w:t>it</w:t>
            </w:r>
            <w:r w:rsidRPr="00D4309F">
              <w:rPr>
                <w:spacing w:val="-7"/>
              </w:rPr>
              <w:t xml:space="preserve"> </w:t>
            </w:r>
            <w:r w:rsidRPr="00D4309F">
              <w:t>is more likely they would occur at the lower Maroochy River</w:t>
            </w:r>
          </w:p>
        </w:tc>
        <w:tc>
          <w:tcPr>
            <w:tcW w:w="1984" w:type="dxa"/>
            <w:tcBorders>
              <w:top w:val="single" w:sz="4" w:space="0" w:color="000000"/>
              <w:bottom w:val="single" w:sz="4" w:space="0" w:color="000000"/>
            </w:tcBorders>
            <w:vAlign w:val="center"/>
          </w:tcPr>
          <w:p w14:paraId="0591A8C5" w14:textId="77777777" w:rsidR="006B67C4" w:rsidRPr="00D4309F" w:rsidRDefault="006B67C4" w:rsidP="007B3B30">
            <w:pPr>
              <w:pStyle w:val="Table-Bullet"/>
            </w:pPr>
            <w:r w:rsidRPr="00D4309F">
              <w:t>Noise</w:t>
            </w:r>
            <w:r w:rsidRPr="00D4309F">
              <w:rPr>
                <w:spacing w:val="-2"/>
              </w:rPr>
              <w:t xml:space="preserve"> assessment</w:t>
            </w:r>
          </w:p>
          <w:p w14:paraId="3EBEA0D1" w14:textId="40043341" w:rsidR="006B67C4" w:rsidRPr="00D4309F" w:rsidRDefault="006B67C4" w:rsidP="007B3B30">
            <w:pPr>
              <w:pStyle w:val="Table-Bullet"/>
            </w:pPr>
            <w:r w:rsidRPr="00D4309F">
              <w:t>Terrestrial</w:t>
            </w:r>
            <w:r w:rsidRPr="00D4309F">
              <w:rPr>
                <w:spacing w:val="-13"/>
              </w:rPr>
              <w:t xml:space="preserve"> </w:t>
            </w:r>
            <w:r w:rsidRPr="00D4309F">
              <w:t xml:space="preserve">fauna </w:t>
            </w:r>
            <w:r w:rsidRPr="00D4309F">
              <w:rPr>
                <w:spacing w:val="-2"/>
              </w:rPr>
              <w:t>assessment</w:t>
            </w:r>
          </w:p>
        </w:tc>
        <w:tc>
          <w:tcPr>
            <w:tcW w:w="2665" w:type="dxa"/>
            <w:tcBorders>
              <w:top w:val="single" w:sz="4" w:space="0" w:color="000000"/>
              <w:bottom w:val="single" w:sz="4" w:space="0" w:color="000000"/>
            </w:tcBorders>
            <w:vAlign w:val="center"/>
          </w:tcPr>
          <w:p w14:paraId="7C2F2C76" w14:textId="77777777" w:rsidR="006B67C4" w:rsidRPr="00D4309F" w:rsidRDefault="006B67C4" w:rsidP="007B3B30">
            <w:pPr>
              <w:pStyle w:val="Table-Bullet"/>
            </w:pPr>
            <w:r w:rsidRPr="00D4309F">
              <w:t>Timing of works outside of peak aggregation</w:t>
            </w:r>
            <w:r w:rsidRPr="00D4309F">
              <w:rPr>
                <w:spacing w:val="-13"/>
              </w:rPr>
              <w:t xml:space="preserve"> </w:t>
            </w:r>
            <w:r w:rsidRPr="00D4309F">
              <w:t xml:space="preserve">periods for migratory </w:t>
            </w:r>
            <w:r w:rsidRPr="00D4309F">
              <w:rPr>
                <w:spacing w:val="-2"/>
              </w:rPr>
              <w:t>shorebirds</w:t>
            </w:r>
          </w:p>
          <w:p w14:paraId="38C9A1A1" w14:textId="77777777" w:rsidR="006B67C4" w:rsidRPr="00D4309F" w:rsidRDefault="006B67C4" w:rsidP="007B3B30">
            <w:pPr>
              <w:pStyle w:val="Table-Bullet"/>
            </w:pPr>
            <w:r w:rsidRPr="00D4309F">
              <w:t>Standard</w:t>
            </w:r>
            <w:r w:rsidRPr="00D4309F">
              <w:rPr>
                <w:spacing w:val="-13"/>
              </w:rPr>
              <w:t xml:space="preserve"> </w:t>
            </w:r>
            <w:r w:rsidRPr="00D4309F">
              <w:t xml:space="preserve">noise </w:t>
            </w:r>
            <w:r w:rsidRPr="00D4309F">
              <w:rPr>
                <w:spacing w:val="-2"/>
              </w:rPr>
              <w:t>management procedures</w:t>
            </w:r>
          </w:p>
          <w:p w14:paraId="2A4A7395" w14:textId="77777777" w:rsidR="006B67C4" w:rsidRPr="00D4309F" w:rsidRDefault="006B67C4" w:rsidP="007B3B30">
            <w:pPr>
              <w:pStyle w:val="Table-Bullet"/>
            </w:pPr>
            <w:r w:rsidRPr="00D4309F">
              <w:t>Limitation</w:t>
            </w:r>
            <w:r w:rsidRPr="00D4309F">
              <w:rPr>
                <w:spacing w:val="-13"/>
              </w:rPr>
              <w:t xml:space="preserve"> </w:t>
            </w:r>
            <w:r w:rsidRPr="00D4309F">
              <w:t>of</w:t>
            </w:r>
            <w:r w:rsidRPr="00D4309F">
              <w:rPr>
                <w:spacing w:val="-12"/>
              </w:rPr>
              <w:t xml:space="preserve"> </w:t>
            </w:r>
            <w:r w:rsidRPr="00D4309F">
              <w:t>works</w:t>
            </w:r>
            <w:r w:rsidRPr="00D4309F">
              <w:rPr>
                <w:spacing w:val="-12"/>
              </w:rPr>
              <w:t xml:space="preserve"> </w:t>
            </w:r>
            <w:r w:rsidRPr="00D4309F">
              <w:t xml:space="preserve">to daylight hours or if necessary, standard light mitigation </w:t>
            </w:r>
            <w:r w:rsidRPr="00D4309F">
              <w:rPr>
                <w:spacing w:val="-2"/>
              </w:rPr>
              <w:t>procedures</w:t>
            </w:r>
          </w:p>
          <w:p w14:paraId="0540E9A8" w14:textId="77777777" w:rsidR="006B67C4" w:rsidRPr="00D4309F" w:rsidRDefault="006B67C4" w:rsidP="007B3B30">
            <w:pPr>
              <w:pStyle w:val="Table-Bullet"/>
            </w:pPr>
            <w:r w:rsidRPr="00D4309F">
              <w:t>Standard fauna mitigation practices including monitoring for conservation significant fauna, appropriate</w:t>
            </w:r>
            <w:r w:rsidRPr="00D4309F">
              <w:rPr>
                <w:spacing w:val="-15"/>
              </w:rPr>
              <w:t xml:space="preserve"> </w:t>
            </w:r>
            <w:r w:rsidRPr="00D4309F">
              <w:t>fencing</w:t>
            </w:r>
            <w:r w:rsidRPr="00D4309F">
              <w:rPr>
                <w:spacing w:val="-12"/>
              </w:rPr>
              <w:t xml:space="preserve"> </w:t>
            </w:r>
            <w:r w:rsidRPr="00D4309F">
              <w:t>of work area</w:t>
            </w:r>
          </w:p>
          <w:p w14:paraId="2650934C" w14:textId="77777777" w:rsidR="006B67C4" w:rsidRPr="00D4309F" w:rsidRDefault="006B67C4" w:rsidP="007B3B30">
            <w:pPr>
              <w:pStyle w:val="Table-Bullet"/>
            </w:pPr>
            <w:r w:rsidRPr="00D4309F">
              <w:t>Dust</w:t>
            </w:r>
            <w:r w:rsidRPr="00D4309F">
              <w:rPr>
                <w:spacing w:val="-13"/>
              </w:rPr>
              <w:t xml:space="preserve"> </w:t>
            </w:r>
            <w:r w:rsidRPr="00D4309F">
              <w:t xml:space="preserve">management </w:t>
            </w:r>
            <w:r w:rsidRPr="00D4309F">
              <w:rPr>
                <w:spacing w:val="-2"/>
              </w:rPr>
              <w:t>procedures</w:t>
            </w:r>
          </w:p>
          <w:p w14:paraId="322C579B" w14:textId="7C2F8619" w:rsidR="006B67C4" w:rsidRPr="00D4309F" w:rsidRDefault="006B67C4" w:rsidP="007B3B30">
            <w:pPr>
              <w:pStyle w:val="Table-Bullet"/>
              <w:rPr>
                <w:color w:val="211E1F"/>
                <w:spacing w:val="-4"/>
              </w:rPr>
            </w:pPr>
            <w:r w:rsidRPr="00D4309F">
              <w:t>Waste</w:t>
            </w:r>
            <w:r w:rsidRPr="00D4309F">
              <w:rPr>
                <w:spacing w:val="-13"/>
              </w:rPr>
              <w:t xml:space="preserve"> </w:t>
            </w:r>
            <w:r w:rsidRPr="00D4309F">
              <w:t xml:space="preserve">management </w:t>
            </w:r>
            <w:r w:rsidRPr="00D4309F">
              <w:rPr>
                <w:spacing w:val="-2"/>
              </w:rPr>
              <w:t>procedures</w:t>
            </w:r>
          </w:p>
        </w:tc>
      </w:tr>
      <w:tr w:rsidR="006B67C4" w:rsidRPr="00D4309F" w14:paraId="4CD3C8A6" w14:textId="77777777" w:rsidTr="007B7D3D">
        <w:trPr>
          <w:cantSplit/>
          <w:trHeight w:val="20"/>
        </w:trPr>
        <w:tc>
          <w:tcPr>
            <w:tcW w:w="1300" w:type="dxa"/>
            <w:tcBorders>
              <w:top w:val="single" w:sz="4" w:space="0" w:color="000000"/>
              <w:bottom w:val="single" w:sz="4" w:space="0" w:color="000000"/>
            </w:tcBorders>
            <w:vAlign w:val="center"/>
          </w:tcPr>
          <w:p w14:paraId="54CFE67E" w14:textId="74BFFD3F" w:rsidR="006B67C4" w:rsidRPr="00D4309F" w:rsidRDefault="006B67C4" w:rsidP="007B3B30">
            <w:pPr>
              <w:pStyle w:val="Table-Text"/>
            </w:pPr>
            <w:r w:rsidRPr="00D4309F">
              <w:t>Terrestrial</w:t>
            </w:r>
            <w:r w:rsidRPr="00D4309F">
              <w:rPr>
                <w:spacing w:val="-4"/>
              </w:rPr>
              <w:t xml:space="preserve"> </w:t>
            </w:r>
            <w:r w:rsidRPr="00D4309F">
              <w:t>flora</w:t>
            </w:r>
          </w:p>
        </w:tc>
        <w:tc>
          <w:tcPr>
            <w:tcW w:w="2084" w:type="dxa"/>
            <w:tcBorders>
              <w:top w:val="single" w:sz="4" w:space="0" w:color="000000"/>
              <w:bottom w:val="single" w:sz="4" w:space="0" w:color="000000"/>
            </w:tcBorders>
            <w:vAlign w:val="center"/>
          </w:tcPr>
          <w:p w14:paraId="46CA5933" w14:textId="77777777" w:rsidR="006B67C4" w:rsidRPr="00D4309F" w:rsidRDefault="006B67C4" w:rsidP="007B3B30">
            <w:pPr>
              <w:pStyle w:val="Table-Text"/>
            </w:pPr>
          </w:p>
        </w:tc>
        <w:tc>
          <w:tcPr>
            <w:tcW w:w="2853" w:type="dxa"/>
            <w:tcBorders>
              <w:top w:val="single" w:sz="4" w:space="0" w:color="000000"/>
              <w:bottom w:val="single" w:sz="4" w:space="0" w:color="000000"/>
            </w:tcBorders>
            <w:vAlign w:val="center"/>
          </w:tcPr>
          <w:p w14:paraId="046349D5" w14:textId="77777777" w:rsidR="006B67C4" w:rsidRPr="00D4309F" w:rsidRDefault="006B67C4" w:rsidP="007B3B30">
            <w:pPr>
              <w:pStyle w:val="Table-Bullet"/>
            </w:pPr>
            <w:r w:rsidRPr="00D4309F">
              <w:t>Smothering</w:t>
            </w:r>
            <w:r w:rsidRPr="00D4309F">
              <w:rPr>
                <w:spacing w:val="-13"/>
              </w:rPr>
              <w:t xml:space="preserve"> </w:t>
            </w:r>
            <w:r w:rsidRPr="00D4309F">
              <w:t>of</w:t>
            </w:r>
            <w:r w:rsidRPr="00D4309F">
              <w:rPr>
                <w:spacing w:val="-12"/>
              </w:rPr>
              <w:t xml:space="preserve"> </w:t>
            </w:r>
            <w:r w:rsidRPr="00D4309F">
              <w:t>vegetation</w:t>
            </w:r>
            <w:r w:rsidRPr="00D4309F">
              <w:rPr>
                <w:spacing w:val="-13"/>
              </w:rPr>
              <w:t xml:space="preserve"> </w:t>
            </w:r>
            <w:r w:rsidRPr="00D4309F">
              <w:t>due to dust generated by breakwater construction</w:t>
            </w:r>
          </w:p>
          <w:p w14:paraId="7014323D" w14:textId="77777777" w:rsidR="006B67C4" w:rsidRPr="00D4309F" w:rsidRDefault="006B67C4" w:rsidP="007B3B30">
            <w:pPr>
              <w:pStyle w:val="Table-Bullet"/>
            </w:pPr>
            <w:r w:rsidRPr="00D4309F">
              <w:t>Disturbance/degradation of habitat during laydown area and</w:t>
            </w:r>
            <w:r w:rsidRPr="00D4309F">
              <w:rPr>
                <w:spacing w:val="-13"/>
              </w:rPr>
              <w:t xml:space="preserve"> </w:t>
            </w:r>
            <w:r w:rsidRPr="00D4309F">
              <w:t>booster</w:t>
            </w:r>
            <w:r w:rsidRPr="00D4309F">
              <w:rPr>
                <w:spacing w:val="-12"/>
              </w:rPr>
              <w:t xml:space="preserve"> </w:t>
            </w:r>
            <w:r w:rsidRPr="00D4309F">
              <w:t>pump</w:t>
            </w:r>
            <w:r w:rsidRPr="00D4309F">
              <w:rPr>
                <w:spacing w:val="-13"/>
              </w:rPr>
              <w:t xml:space="preserve"> </w:t>
            </w:r>
            <w:r w:rsidRPr="00D4309F">
              <w:t>installation</w:t>
            </w:r>
          </w:p>
          <w:p w14:paraId="5BCCC2CE" w14:textId="51D84166" w:rsidR="006B67C4" w:rsidRPr="00D4309F" w:rsidRDefault="006B67C4" w:rsidP="007B3B30">
            <w:pPr>
              <w:pStyle w:val="Table-Bullet"/>
            </w:pPr>
            <w:r w:rsidRPr="00D4309F">
              <w:t>Disturbance or degradation of dune vegetation behind Mooloolaba</w:t>
            </w:r>
            <w:r w:rsidRPr="00D4309F">
              <w:rPr>
                <w:spacing w:val="-13"/>
              </w:rPr>
              <w:t xml:space="preserve"> </w:t>
            </w:r>
            <w:r w:rsidRPr="00D4309F">
              <w:t>Main</w:t>
            </w:r>
            <w:r w:rsidRPr="00D4309F">
              <w:rPr>
                <w:spacing w:val="-12"/>
              </w:rPr>
              <w:t xml:space="preserve"> </w:t>
            </w:r>
            <w:r w:rsidRPr="00D4309F">
              <w:t>Beach</w:t>
            </w:r>
            <w:r w:rsidRPr="00D4309F">
              <w:rPr>
                <w:spacing w:val="-13"/>
              </w:rPr>
              <w:t xml:space="preserve"> </w:t>
            </w:r>
            <w:r w:rsidRPr="00D4309F">
              <w:t xml:space="preserve">during </w:t>
            </w:r>
            <w:r w:rsidRPr="00D4309F">
              <w:rPr>
                <w:spacing w:val="-2"/>
              </w:rPr>
              <w:t>reprofiling</w:t>
            </w:r>
          </w:p>
        </w:tc>
        <w:tc>
          <w:tcPr>
            <w:tcW w:w="1418" w:type="dxa"/>
            <w:tcBorders>
              <w:top w:val="single" w:sz="4" w:space="0" w:color="000000"/>
              <w:bottom w:val="single" w:sz="4" w:space="0" w:color="000000"/>
            </w:tcBorders>
            <w:shd w:val="clear" w:color="auto" w:fill="FFFF00"/>
            <w:vAlign w:val="center"/>
          </w:tcPr>
          <w:p w14:paraId="595A4B66" w14:textId="7051CDFA" w:rsidR="006B67C4" w:rsidRPr="007B3B30" w:rsidRDefault="006B67C4" w:rsidP="007B3B30">
            <w:pPr>
              <w:pStyle w:val="Table-Text"/>
              <w:rPr>
                <w:b/>
                <w:bCs/>
                <w:spacing w:val="-5"/>
              </w:rPr>
            </w:pPr>
            <w:r w:rsidRPr="007B3B30">
              <w:rPr>
                <w:b/>
                <w:bCs/>
              </w:rPr>
              <w:t>Moderate</w:t>
            </w:r>
          </w:p>
        </w:tc>
        <w:tc>
          <w:tcPr>
            <w:tcW w:w="2268" w:type="dxa"/>
            <w:tcBorders>
              <w:top w:val="single" w:sz="4" w:space="0" w:color="000000"/>
              <w:bottom w:val="single" w:sz="4" w:space="0" w:color="000000"/>
            </w:tcBorders>
            <w:vAlign w:val="center"/>
          </w:tcPr>
          <w:p w14:paraId="780B7DD7" w14:textId="0D57ED8E" w:rsidR="006B67C4" w:rsidRPr="00D4309F" w:rsidRDefault="006B67C4" w:rsidP="007B3B30">
            <w:pPr>
              <w:pStyle w:val="Table-Bullet"/>
            </w:pPr>
            <w:r w:rsidRPr="00D4309F">
              <w:t>Several</w:t>
            </w:r>
            <w:r w:rsidRPr="00D4309F">
              <w:rPr>
                <w:spacing w:val="-13"/>
              </w:rPr>
              <w:t xml:space="preserve"> </w:t>
            </w:r>
            <w:r w:rsidRPr="00D4309F">
              <w:t>MSES</w:t>
            </w:r>
            <w:r w:rsidRPr="00D4309F">
              <w:rPr>
                <w:spacing w:val="-12"/>
              </w:rPr>
              <w:t xml:space="preserve"> </w:t>
            </w:r>
            <w:r w:rsidRPr="00D4309F">
              <w:t>and</w:t>
            </w:r>
            <w:r w:rsidRPr="00D4309F">
              <w:rPr>
                <w:spacing w:val="-13"/>
              </w:rPr>
              <w:t xml:space="preserve"> </w:t>
            </w:r>
            <w:r w:rsidRPr="00D4309F">
              <w:t>TECs occur in the project area</w:t>
            </w:r>
          </w:p>
        </w:tc>
        <w:tc>
          <w:tcPr>
            <w:tcW w:w="1984" w:type="dxa"/>
            <w:tcBorders>
              <w:top w:val="single" w:sz="4" w:space="0" w:color="000000"/>
              <w:bottom w:val="single" w:sz="4" w:space="0" w:color="000000"/>
            </w:tcBorders>
            <w:vAlign w:val="center"/>
          </w:tcPr>
          <w:p w14:paraId="6BE78F9F" w14:textId="01410C46" w:rsidR="006B67C4" w:rsidRPr="00D4309F" w:rsidRDefault="006B67C4" w:rsidP="007B3B30">
            <w:pPr>
              <w:pStyle w:val="Table-Bullet"/>
            </w:pPr>
            <w:r w:rsidRPr="00D4309F">
              <w:rPr>
                <w:color w:val="211E1F"/>
                <w:spacing w:val="-4"/>
              </w:rPr>
              <w:t>None</w:t>
            </w:r>
          </w:p>
        </w:tc>
        <w:tc>
          <w:tcPr>
            <w:tcW w:w="2665" w:type="dxa"/>
            <w:tcBorders>
              <w:top w:val="single" w:sz="4" w:space="0" w:color="000000"/>
              <w:bottom w:val="single" w:sz="4" w:space="0" w:color="000000"/>
            </w:tcBorders>
            <w:vAlign w:val="center"/>
          </w:tcPr>
          <w:p w14:paraId="378088EF" w14:textId="77777777" w:rsidR="006B67C4" w:rsidRPr="00D4309F" w:rsidRDefault="006B67C4" w:rsidP="007B3B30">
            <w:pPr>
              <w:pStyle w:val="Table-Bullet"/>
            </w:pPr>
            <w:r w:rsidRPr="00D4309F">
              <w:t>No</w:t>
            </w:r>
            <w:r w:rsidRPr="00D4309F">
              <w:rPr>
                <w:spacing w:val="-13"/>
              </w:rPr>
              <w:t xml:space="preserve"> </w:t>
            </w:r>
            <w:r w:rsidRPr="00D4309F">
              <w:t xml:space="preserve">vegetation </w:t>
            </w:r>
            <w:r w:rsidRPr="00D4309F">
              <w:rPr>
                <w:spacing w:val="-2"/>
              </w:rPr>
              <w:t>clearing</w:t>
            </w:r>
          </w:p>
          <w:p w14:paraId="591218CF" w14:textId="77777777" w:rsidR="006B67C4" w:rsidRPr="00D4309F" w:rsidRDefault="006B67C4" w:rsidP="007B3B30">
            <w:pPr>
              <w:pStyle w:val="Table-Bullet"/>
            </w:pPr>
            <w:r w:rsidRPr="00D4309F">
              <w:rPr>
                <w:spacing w:val="-2"/>
              </w:rPr>
              <w:t xml:space="preserve">Appropriate </w:t>
            </w:r>
            <w:r w:rsidRPr="00D4309F">
              <w:t>management for onshore works e.g. onshore vehicles and plant to operate in designated</w:t>
            </w:r>
            <w:r w:rsidRPr="00D4309F">
              <w:rPr>
                <w:spacing w:val="-15"/>
              </w:rPr>
              <w:t xml:space="preserve"> </w:t>
            </w:r>
            <w:r w:rsidRPr="00D4309F">
              <w:t>tracks</w:t>
            </w:r>
            <w:r w:rsidRPr="00D4309F">
              <w:rPr>
                <w:spacing w:val="-12"/>
              </w:rPr>
              <w:t xml:space="preserve"> </w:t>
            </w:r>
            <w:r w:rsidRPr="00D4309F">
              <w:t xml:space="preserve">and </w:t>
            </w:r>
            <w:r w:rsidRPr="00D4309F">
              <w:rPr>
                <w:spacing w:val="-2"/>
              </w:rPr>
              <w:t>areas</w:t>
            </w:r>
          </w:p>
          <w:p w14:paraId="264E964A" w14:textId="77777777" w:rsidR="006B67C4" w:rsidRPr="00D4309F" w:rsidRDefault="006B67C4" w:rsidP="007B3B30">
            <w:pPr>
              <w:pStyle w:val="Table-Bullet"/>
            </w:pPr>
            <w:r w:rsidRPr="00D4309F">
              <w:t>Dust</w:t>
            </w:r>
            <w:r w:rsidRPr="00D4309F">
              <w:rPr>
                <w:spacing w:val="-13"/>
              </w:rPr>
              <w:t xml:space="preserve"> </w:t>
            </w:r>
            <w:r w:rsidRPr="00D4309F">
              <w:t xml:space="preserve">management </w:t>
            </w:r>
            <w:r w:rsidRPr="00D4309F">
              <w:rPr>
                <w:spacing w:val="-2"/>
              </w:rPr>
              <w:t>procedures</w:t>
            </w:r>
          </w:p>
          <w:p w14:paraId="2FE86D99" w14:textId="77777777" w:rsidR="006B67C4" w:rsidRPr="00D4309F" w:rsidRDefault="006B67C4" w:rsidP="007B3B30">
            <w:pPr>
              <w:pStyle w:val="Table-Bullet"/>
            </w:pPr>
            <w:r w:rsidRPr="00D4309F">
              <w:t>Weed</w:t>
            </w:r>
            <w:r w:rsidRPr="00D4309F">
              <w:rPr>
                <w:spacing w:val="-13"/>
              </w:rPr>
              <w:t xml:space="preserve"> </w:t>
            </w:r>
            <w:r w:rsidRPr="00D4309F">
              <w:t xml:space="preserve">control </w:t>
            </w:r>
            <w:r w:rsidRPr="00D4309F">
              <w:rPr>
                <w:spacing w:val="-2"/>
              </w:rPr>
              <w:t>management procedures</w:t>
            </w:r>
          </w:p>
          <w:p w14:paraId="2D7DC3F8" w14:textId="02C162D3" w:rsidR="006B67C4" w:rsidRPr="00D4309F" w:rsidRDefault="006B67C4" w:rsidP="007B3B30">
            <w:pPr>
              <w:pStyle w:val="Table-Bullet"/>
              <w:rPr>
                <w:color w:val="211E1F"/>
                <w:spacing w:val="-4"/>
              </w:rPr>
            </w:pPr>
            <w:r w:rsidRPr="00D4309F">
              <w:t>Waste</w:t>
            </w:r>
            <w:r w:rsidRPr="00D4309F">
              <w:rPr>
                <w:spacing w:val="-13"/>
              </w:rPr>
              <w:t xml:space="preserve"> </w:t>
            </w:r>
            <w:r w:rsidRPr="00D4309F">
              <w:t xml:space="preserve">management </w:t>
            </w:r>
            <w:r w:rsidRPr="00D4309F">
              <w:rPr>
                <w:spacing w:val="-2"/>
              </w:rPr>
              <w:t>procedures</w:t>
            </w:r>
          </w:p>
        </w:tc>
      </w:tr>
    </w:tbl>
    <w:p w14:paraId="60A98648" w14:textId="77777777" w:rsidR="00725977" w:rsidRPr="00D4309F" w:rsidRDefault="00725977" w:rsidP="003E0830">
      <w:pPr>
        <w:pStyle w:val="Table-Note"/>
      </w:pPr>
      <w:r w:rsidRPr="00D4309F">
        <w:t>Assumptions:</w:t>
      </w:r>
    </w:p>
    <w:p w14:paraId="00A3C008" w14:textId="77777777" w:rsidR="00725977" w:rsidRPr="00D4309F" w:rsidRDefault="00725977" w:rsidP="00D27F26">
      <w:pPr>
        <w:pStyle w:val="Table-Note"/>
        <w:numPr>
          <w:ilvl w:val="0"/>
          <w:numId w:val="490"/>
        </w:numPr>
      </w:pPr>
      <w:r w:rsidRPr="00D4309F">
        <w:t>Bypass</w:t>
      </w:r>
      <w:r w:rsidRPr="00D4309F">
        <w:rPr>
          <w:spacing w:val="-3"/>
        </w:rPr>
        <w:t xml:space="preserve"> </w:t>
      </w:r>
      <w:r w:rsidRPr="00D4309F">
        <w:t>area is an</w:t>
      </w:r>
      <w:r w:rsidRPr="00D4309F">
        <w:rPr>
          <w:spacing w:val="-4"/>
        </w:rPr>
        <w:t xml:space="preserve"> </w:t>
      </w:r>
      <w:r w:rsidRPr="00D4309F">
        <w:t>area of bare</w:t>
      </w:r>
      <w:r w:rsidRPr="00D4309F">
        <w:rPr>
          <w:spacing w:val="-3"/>
        </w:rPr>
        <w:t xml:space="preserve"> </w:t>
      </w:r>
      <w:r w:rsidRPr="00D4309F">
        <w:rPr>
          <w:spacing w:val="-4"/>
        </w:rPr>
        <w:t>sand</w:t>
      </w:r>
    </w:p>
    <w:p w14:paraId="23112120" w14:textId="77777777" w:rsidR="00725977" w:rsidRPr="00D4309F" w:rsidRDefault="00725977" w:rsidP="00D27F26">
      <w:pPr>
        <w:pStyle w:val="Table-Note"/>
        <w:numPr>
          <w:ilvl w:val="0"/>
          <w:numId w:val="490"/>
        </w:numPr>
      </w:pPr>
      <w:r w:rsidRPr="00D4309F">
        <w:t>There</w:t>
      </w:r>
      <w:r w:rsidRPr="00D4309F">
        <w:rPr>
          <w:spacing w:val="-7"/>
        </w:rPr>
        <w:t xml:space="preserve"> </w:t>
      </w:r>
      <w:r w:rsidRPr="00D4309F">
        <w:t>is</w:t>
      </w:r>
      <w:r w:rsidRPr="00D4309F">
        <w:rPr>
          <w:spacing w:val="-3"/>
        </w:rPr>
        <w:t xml:space="preserve"> </w:t>
      </w:r>
      <w:r w:rsidRPr="00D4309F">
        <w:t>sediment</w:t>
      </w:r>
      <w:r w:rsidRPr="00D4309F">
        <w:rPr>
          <w:spacing w:val="-3"/>
        </w:rPr>
        <w:t xml:space="preserve"> </w:t>
      </w:r>
      <w:r w:rsidRPr="00D4309F">
        <w:t>contamination</w:t>
      </w:r>
      <w:r w:rsidRPr="00D4309F">
        <w:rPr>
          <w:spacing w:val="-5"/>
        </w:rPr>
        <w:t xml:space="preserve"> </w:t>
      </w:r>
      <w:r w:rsidRPr="00D4309F">
        <w:t>data</w:t>
      </w:r>
      <w:r w:rsidRPr="00D4309F">
        <w:rPr>
          <w:spacing w:val="-4"/>
        </w:rPr>
        <w:t xml:space="preserve"> </w:t>
      </w:r>
      <w:r w:rsidRPr="00D4309F">
        <w:t>to</w:t>
      </w:r>
      <w:r w:rsidRPr="00D4309F">
        <w:rPr>
          <w:spacing w:val="-3"/>
        </w:rPr>
        <w:t xml:space="preserve"> </w:t>
      </w:r>
      <w:r w:rsidRPr="00D4309F">
        <w:t>inform</w:t>
      </w:r>
      <w:r w:rsidRPr="00D4309F">
        <w:rPr>
          <w:spacing w:val="-4"/>
        </w:rPr>
        <w:t xml:space="preserve"> </w:t>
      </w:r>
      <w:r w:rsidRPr="00D4309F">
        <w:t>the</w:t>
      </w:r>
      <w:r w:rsidRPr="00D4309F">
        <w:rPr>
          <w:spacing w:val="-4"/>
        </w:rPr>
        <w:t xml:space="preserve"> </w:t>
      </w:r>
      <w:r w:rsidRPr="00D4309F">
        <w:t>risk</w:t>
      </w:r>
      <w:r w:rsidRPr="00D4309F">
        <w:rPr>
          <w:spacing w:val="-3"/>
        </w:rPr>
        <w:t xml:space="preserve"> </w:t>
      </w:r>
      <w:r w:rsidRPr="00D4309F">
        <w:t>of</w:t>
      </w:r>
      <w:r w:rsidRPr="00D4309F">
        <w:rPr>
          <w:spacing w:val="-5"/>
        </w:rPr>
        <w:t xml:space="preserve"> </w:t>
      </w:r>
      <w:r w:rsidRPr="00D4309F">
        <w:t>on</w:t>
      </w:r>
      <w:r w:rsidRPr="00D4309F">
        <w:rPr>
          <w:spacing w:val="-4"/>
        </w:rPr>
        <w:t xml:space="preserve"> </w:t>
      </w:r>
      <w:r w:rsidRPr="00D4309F">
        <w:t>release</w:t>
      </w:r>
      <w:r w:rsidRPr="00D4309F">
        <w:rPr>
          <w:spacing w:val="-4"/>
        </w:rPr>
        <w:t xml:space="preserve"> </w:t>
      </w:r>
      <w:r w:rsidRPr="00D4309F">
        <w:t>of</w:t>
      </w:r>
      <w:r w:rsidRPr="00D4309F">
        <w:rPr>
          <w:spacing w:val="-5"/>
        </w:rPr>
        <w:t xml:space="preserve"> </w:t>
      </w:r>
      <w:r w:rsidRPr="00D4309F">
        <w:t>contaminants</w:t>
      </w:r>
      <w:r w:rsidRPr="00D4309F">
        <w:rPr>
          <w:spacing w:val="-4"/>
        </w:rPr>
        <w:t xml:space="preserve"> </w:t>
      </w:r>
      <w:r w:rsidRPr="00D4309F">
        <w:t>via</w:t>
      </w:r>
      <w:r w:rsidRPr="00D4309F">
        <w:rPr>
          <w:spacing w:val="-4"/>
        </w:rPr>
        <w:t xml:space="preserve"> </w:t>
      </w:r>
      <w:r w:rsidRPr="00D4309F">
        <w:t>dredging</w:t>
      </w:r>
      <w:r w:rsidRPr="00D4309F">
        <w:rPr>
          <w:spacing w:val="-3"/>
        </w:rPr>
        <w:t xml:space="preserve"> </w:t>
      </w:r>
      <w:r w:rsidRPr="00D4309F">
        <w:t>and</w:t>
      </w:r>
      <w:r w:rsidRPr="00D4309F">
        <w:rPr>
          <w:spacing w:val="-4"/>
        </w:rPr>
        <w:t xml:space="preserve"> </w:t>
      </w:r>
      <w:r w:rsidRPr="00D4309F">
        <w:t>disposal</w:t>
      </w:r>
    </w:p>
    <w:p w14:paraId="56BB0BAE" w14:textId="77777777" w:rsidR="00725977" w:rsidRPr="00D4309F" w:rsidRDefault="00725977" w:rsidP="00D27F26">
      <w:pPr>
        <w:pStyle w:val="Table-Note"/>
        <w:numPr>
          <w:ilvl w:val="0"/>
          <w:numId w:val="490"/>
        </w:numPr>
      </w:pPr>
      <w:r w:rsidRPr="00D4309F">
        <w:lastRenderedPageBreak/>
        <w:t>No</w:t>
      </w:r>
      <w:r w:rsidRPr="00D4309F">
        <w:rPr>
          <w:spacing w:val="-5"/>
        </w:rPr>
        <w:t xml:space="preserve"> </w:t>
      </w:r>
      <w:r w:rsidRPr="00D4309F">
        <w:t>vegetation</w:t>
      </w:r>
      <w:r w:rsidRPr="00D4309F">
        <w:rPr>
          <w:spacing w:val="-5"/>
        </w:rPr>
        <w:t xml:space="preserve"> </w:t>
      </w:r>
      <w:r w:rsidRPr="00D4309F">
        <w:t>clearing</w:t>
      </w:r>
      <w:r w:rsidRPr="00D4309F">
        <w:rPr>
          <w:spacing w:val="-4"/>
        </w:rPr>
        <w:t xml:space="preserve"> </w:t>
      </w:r>
      <w:r w:rsidRPr="00D4309F">
        <w:t>is required</w:t>
      </w:r>
      <w:r w:rsidRPr="00D4309F">
        <w:rPr>
          <w:spacing w:val="-5"/>
        </w:rPr>
        <w:t xml:space="preserve"> </w:t>
      </w:r>
      <w:r w:rsidRPr="00D4309F">
        <w:t>for</w:t>
      </w:r>
      <w:r w:rsidRPr="00D4309F">
        <w:rPr>
          <w:spacing w:val="-5"/>
        </w:rPr>
        <w:t xml:space="preserve"> </w:t>
      </w:r>
      <w:r w:rsidRPr="00D4309F">
        <w:t>this</w:t>
      </w:r>
      <w:r w:rsidRPr="00D4309F">
        <w:rPr>
          <w:spacing w:val="-3"/>
        </w:rPr>
        <w:t xml:space="preserve"> </w:t>
      </w:r>
      <w:r w:rsidRPr="00D4309F">
        <w:t>option</w:t>
      </w:r>
    </w:p>
    <w:p w14:paraId="26248BD5" w14:textId="77777777" w:rsidR="00725977" w:rsidRPr="00D4309F" w:rsidRDefault="00725977" w:rsidP="00D27F26">
      <w:pPr>
        <w:pStyle w:val="Table-Note"/>
        <w:numPr>
          <w:ilvl w:val="0"/>
          <w:numId w:val="490"/>
        </w:numPr>
      </w:pPr>
      <w:r w:rsidRPr="00D4309F">
        <w:t>All</w:t>
      </w:r>
      <w:r w:rsidRPr="00D4309F">
        <w:rPr>
          <w:spacing w:val="-5"/>
        </w:rPr>
        <w:t xml:space="preserve"> </w:t>
      </w:r>
      <w:r w:rsidRPr="00D4309F">
        <w:t>materials</w:t>
      </w:r>
      <w:r w:rsidRPr="00D4309F">
        <w:rPr>
          <w:spacing w:val="-3"/>
        </w:rPr>
        <w:t xml:space="preserve"> </w:t>
      </w:r>
      <w:r w:rsidRPr="00D4309F">
        <w:t>used</w:t>
      </w:r>
      <w:r w:rsidRPr="00D4309F">
        <w:rPr>
          <w:spacing w:val="-4"/>
        </w:rPr>
        <w:t xml:space="preserve"> </w:t>
      </w:r>
      <w:r w:rsidRPr="00D4309F">
        <w:t>for</w:t>
      </w:r>
      <w:r w:rsidRPr="00D4309F">
        <w:rPr>
          <w:spacing w:val="-4"/>
        </w:rPr>
        <w:t xml:space="preserve"> </w:t>
      </w:r>
      <w:r w:rsidRPr="00D4309F">
        <w:t>breakwater</w:t>
      </w:r>
      <w:r w:rsidRPr="00D4309F">
        <w:rPr>
          <w:spacing w:val="-4"/>
        </w:rPr>
        <w:t xml:space="preserve"> </w:t>
      </w:r>
      <w:r w:rsidRPr="00D4309F">
        <w:t>extension</w:t>
      </w:r>
      <w:r w:rsidRPr="00D4309F">
        <w:rPr>
          <w:spacing w:val="-4"/>
        </w:rPr>
        <w:t xml:space="preserve"> </w:t>
      </w:r>
      <w:r w:rsidRPr="00D4309F">
        <w:t>are</w:t>
      </w:r>
      <w:r w:rsidRPr="00D4309F">
        <w:rPr>
          <w:spacing w:val="-5"/>
        </w:rPr>
        <w:t xml:space="preserve"> </w:t>
      </w:r>
      <w:r w:rsidRPr="00D4309F">
        <w:t>free</w:t>
      </w:r>
      <w:r w:rsidRPr="00D4309F">
        <w:rPr>
          <w:spacing w:val="-4"/>
        </w:rPr>
        <w:t xml:space="preserve"> </w:t>
      </w:r>
      <w:r w:rsidRPr="00D4309F">
        <w:t>of</w:t>
      </w:r>
      <w:r w:rsidRPr="00D4309F">
        <w:rPr>
          <w:spacing w:val="-3"/>
        </w:rPr>
        <w:t xml:space="preserve"> </w:t>
      </w:r>
      <w:r w:rsidRPr="00D4309F">
        <w:t>contaminants</w:t>
      </w:r>
    </w:p>
    <w:p w14:paraId="7417EBEC" w14:textId="77777777" w:rsidR="008228CB" w:rsidRDefault="008228CB" w:rsidP="00A66867">
      <w:pPr>
        <w:pStyle w:val="BodyText"/>
        <w:pageBreakBefore/>
        <w:sectPr w:rsidR="008228CB" w:rsidSect="00ED7008">
          <w:headerReference w:type="default" r:id="rId131"/>
          <w:footerReference w:type="default" r:id="rId132"/>
          <w:type w:val="nextColumn"/>
          <w:pgSz w:w="16840" w:h="11910" w:orient="landscape"/>
          <w:pgMar w:top="1418" w:right="1134" w:bottom="1418" w:left="1134" w:header="1012" w:footer="1060" w:gutter="0"/>
          <w:cols w:space="720"/>
        </w:sectPr>
      </w:pPr>
    </w:p>
    <w:p w14:paraId="13BF03FC" w14:textId="77777777" w:rsidR="00725977" w:rsidRPr="00D4309F" w:rsidRDefault="00725977" w:rsidP="00725977">
      <w:pPr>
        <w:pStyle w:val="BodyText"/>
      </w:pPr>
      <w:r w:rsidRPr="00D4309F">
        <w:lastRenderedPageBreak/>
        <w:t>Similar to Option 3A, the breakwater extension and installation of laydown area and booster pumps will potentially result in a more extensive turbid plume and greater underwater noise impacts, benthic and terrestrial</w:t>
      </w:r>
      <w:r w:rsidRPr="00D4309F">
        <w:rPr>
          <w:spacing w:val="-1"/>
        </w:rPr>
        <w:t xml:space="preserve"> </w:t>
      </w:r>
      <w:r w:rsidRPr="00D4309F">
        <w:t>habitat</w:t>
      </w:r>
      <w:r w:rsidRPr="00D4309F">
        <w:rPr>
          <w:spacing w:val="-1"/>
        </w:rPr>
        <w:t xml:space="preserve"> </w:t>
      </w:r>
      <w:r w:rsidRPr="00D4309F">
        <w:t>impacts that</w:t>
      </w:r>
      <w:r w:rsidRPr="00D4309F">
        <w:rPr>
          <w:spacing w:val="-1"/>
        </w:rPr>
        <w:t xml:space="preserve"> </w:t>
      </w:r>
      <w:r w:rsidRPr="00D4309F">
        <w:t>will</w:t>
      </w:r>
      <w:r w:rsidRPr="00D4309F">
        <w:rPr>
          <w:spacing w:val="-1"/>
        </w:rPr>
        <w:t xml:space="preserve"> </w:t>
      </w:r>
      <w:r w:rsidRPr="00D4309F">
        <w:t>require</w:t>
      </w:r>
      <w:r w:rsidRPr="00D4309F">
        <w:rPr>
          <w:spacing w:val="-1"/>
        </w:rPr>
        <w:t xml:space="preserve"> </w:t>
      </w:r>
      <w:r w:rsidRPr="00D4309F">
        <w:t>further assessment</w:t>
      </w:r>
      <w:r w:rsidRPr="00D4309F">
        <w:rPr>
          <w:spacing w:val="-1"/>
        </w:rPr>
        <w:t xml:space="preserve"> </w:t>
      </w:r>
      <w:r w:rsidRPr="00D4309F">
        <w:t>and</w:t>
      </w:r>
      <w:r w:rsidRPr="00D4309F">
        <w:rPr>
          <w:spacing w:val="-2"/>
        </w:rPr>
        <w:t xml:space="preserve"> </w:t>
      </w:r>
      <w:r w:rsidRPr="00D4309F">
        <w:t>monitoring/management</w:t>
      </w:r>
      <w:r w:rsidRPr="00D4309F">
        <w:rPr>
          <w:spacing w:val="-1"/>
        </w:rPr>
        <w:t xml:space="preserve"> </w:t>
      </w:r>
      <w:r w:rsidRPr="00D4309F">
        <w:t>during</w:t>
      </w:r>
      <w:r w:rsidRPr="00D4309F">
        <w:rPr>
          <w:spacing w:val="-2"/>
        </w:rPr>
        <w:t xml:space="preserve"> </w:t>
      </w:r>
      <w:r w:rsidRPr="00D4309F">
        <w:t>works. Overall,</w:t>
      </w:r>
      <w:r w:rsidRPr="00D4309F">
        <w:rPr>
          <w:spacing w:val="-4"/>
        </w:rPr>
        <w:t xml:space="preserve"> </w:t>
      </w:r>
      <w:r w:rsidRPr="00D4309F">
        <w:t>the</w:t>
      </w:r>
      <w:r w:rsidRPr="00D4309F">
        <w:rPr>
          <w:spacing w:val="-3"/>
        </w:rPr>
        <w:t xml:space="preserve"> </w:t>
      </w:r>
      <w:r w:rsidRPr="00D4309F">
        <w:t>capital</w:t>
      </w:r>
      <w:r w:rsidRPr="00D4309F">
        <w:rPr>
          <w:spacing w:val="-3"/>
        </w:rPr>
        <w:t xml:space="preserve"> </w:t>
      </w:r>
      <w:r w:rsidRPr="00D4309F">
        <w:t>works</w:t>
      </w:r>
      <w:r w:rsidRPr="00D4309F">
        <w:rPr>
          <w:spacing w:val="-2"/>
        </w:rPr>
        <w:t xml:space="preserve"> </w:t>
      </w:r>
      <w:r w:rsidRPr="00D4309F">
        <w:t>could</w:t>
      </w:r>
      <w:r w:rsidRPr="00D4309F">
        <w:rPr>
          <w:spacing w:val="-3"/>
        </w:rPr>
        <w:t xml:space="preserve"> </w:t>
      </w:r>
      <w:r w:rsidRPr="00D4309F">
        <w:t>potentially</w:t>
      </w:r>
      <w:r w:rsidRPr="00D4309F">
        <w:rPr>
          <w:spacing w:val="-2"/>
        </w:rPr>
        <w:t xml:space="preserve"> </w:t>
      </w:r>
      <w:r w:rsidRPr="00D4309F">
        <w:t>result</w:t>
      </w:r>
      <w:r w:rsidRPr="00D4309F">
        <w:rPr>
          <w:spacing w:val="-3"/>
        </w:rPr>
        <w:t xml:space="preserve"> </w:t>
      </w:r>
      <w:r w:rsidRPr="00D4309F">
        <w:t>in</w:t>
      </w:r>
      <w:r w:rsidRPr="00D4309F">
        <w:rPr>
          <w:spacing w:val="-3"/>
        </w:rPr>
        <w:t xml:space="preserve"> </w:t>
      </w:r>
      <w:r w:rsidRPr="00D4309F">
        <w:t>significant</w:t>
      </w:r>
      <w:r w:rsidRPr="00D4309F">
        <w:rPr>
          <w:spacing w:val="-3"/>
        </w:rPr>
        <w:t xml:space="preserve"> </w:t>
      </w:r>
      <w:r w:rsidRPr="00D4309F">
        <w:t>impacts</w:t>
      </w:r>
      <w:r w:rsidRPr="00D4309F">
        <w:rPr>
          <w:spacing w:val="-2"/>
        </w:rPr>
        <w:t xml:space="preserve"> </w:t>
      </w:r>
      <w:r w:rsidRPr="00D4309F">
        <w:t>to</w:t>
      </w:r>
      <w:r w:rsidRPr="00D4309F">
        <w:rPr>
          <w:spacing w:val="-3"/>
        </w:rPr>
        <w:t xml:space="preserve"> </w:t>
      </w:r>
      <w:r w:rsidRPr="00D4309F">
        <w:t>marine</w:t>
      </w:r>
      <w:r w:rsidRPr="00D4309F">
        <w:rPr>
          <w:spacing w:val="-4"/>
        </w:rPr>
        <w:t xml:space="preserve"> </w:t>
      </w:r>
      <w:r w:rsidRPr="00D4309F">
        <w:t>mammals</w:t>
      </w:r>
      <w:r w:rsidRPr="00D4309F">
        <w:rPr>
          <w:spacing w:val="-2"/>
        </w:rPr>
        <w:t xml:space="preserve"> </w:t>
      </w:r>
      <w:r w:rsidRPr="00D4309F">
        <w:t>and</w:t>
      </w:r>
      <w:r w:rsidRPr="00D4309F">
        <w:rPr>
          <w:spacing w:val="-3"/>
        </w:rPr>
        <w:t xml:space="preserve"> </w:t>
      </w:r>
      <w:r w:rsidRPr="00D4309F">
        <w:t>terrestrial fauna of high conservation value.</w:t>
      </w:r>
    </w:p>
    <w:p w14:paraId="3F4A1E08" w14:textId="5D0A3AAC" w:rsidR="003E5755" w:rsidRPr="001E18C2" w:rsidRDefault="00725977" w:rsidP="00725977">
      <w:pPr>
        <w:pStyle w:val="BodyText"/>
        <w:rPr>
          <w:spacing w:val="-2"/>
        </w:rPr>
      </w:pPr>
      <w:r w:rsidRPr="00D4309F">
        <w:t>Once</w:t>
      </w:r>
      <w:r w:rsidRPr="00D4309F">
        <w:rPr>
          <w:spacing w:val="-3"/>
        </w:rPr>
        <w:t xml:space="preserve"> </w:t>
      </w:r>
      <w:r w:rsidRPr="00D4309F">
        <w:t>established,</w:t>
      </w:r>
      <w:r w:rsidRPr="00D4309F">
        <w:rPr>
          <w:spacing w:val="-3"/>
        </w:rPr>
        <w:t xml:space="preserve"> </w:t>
      </w:r>
      <w:r w:rsidRPr="00D4309F">
        <w:t>the</w:t>
      </w:r>
      <w:r w:rsidRPr="00D4309F">
        <w:rPr>
          <w:spacing w:val="-3"/>
        </w:rPr>
        <w:t xml:space="preserve"> </w:t>
      </w:r>
      <w:r w:rsidRPr="00D4309F">
        <w:t>ongoing</w:t>
      </w:r>
      <w:r w:rsidRPr="00D4309F">
        <w:rPr>
          <w:spacing w:val="-3"/>
        </w:rPr>
        <w:t xml:space="preserve"> </w:t>
      </w:r>
      <w:r w:rsidRPr="00D4309F">
        <w:t>environmental</w:t>
      </w:r>
      <w:r w:rsidRPr="00D4309F">
        <w:rPr>
          <w:spacing w:val="-3"/>
        </w:rPr>
        <w:t xml:space="preserve"> </w:t>
      </w:r>
      <w:r w:rsidRPr="00D4309F">
        <w:t>impact</w:t>
      </w:r>
      <w:r w:rsidRPr="00D4309F">
        <w:rPr>
          <w:spacing w:val="-3"/>
        </w:rPr>
        <w:t xml:space="preserve"> </w:t>
      </w:r>
      <w:r w:rsidRPr="00D4309F">
        <w:t>would</w:t>
      </w:r>
      <w:r w:rsidRPr="00D4309F">
        <w:rPr>
          <w:spacing w:val="-3"/>
        </w:rPr>
        <w:t xml:space="preserve"> </w:t>
      </w:r>
      <w:r w:rsidRPr="00D4309F">
        <w:t>be</w:t>
      </w:r>
      <w:r w:rsidRPr="00D4309F">
        <w:rPr>
          <w:spacing w:val="-3"/>
        </w:rPr>
        <w:t xml:space="preserve"> </w:t>
      </w:r>
      <w:r w:rsidRPr="00D4309F">
        <w:t>less</w:t>
      </w:r>
      <w:r w:rsidRPr="00D4309F">
        <w:rPr>
          <w:spacing w:val="-3"/>
        </w:rPr>
        <w:t xml:space="preserve"> </w:t>
      </w:r>
      <w:r w:rsidRPr="00D4309F">
        <w:t>with</w:t>
      </w:r>
      <w:r w:rsidRPr="00D4309F">
        <w:rPr>
          <w:spacing w:val="-3"/>
        </w:rPr>
        <w:t xml:space="preserve"> </w:t>
      </w:r>
      <w:r w:rsidRPr="00D4309F">
        <w:t>potential</w:t>
      </w:r>
      <w:r w:rsidRPr="00D4309F">
        <w:rPr>
          <w:spacing w:val="-4"/>
        </w:rPr>
        <w:t xml:space="preserve"> </w:t>
      </w:r>
      <w:r w:rsidRPr="00D4309F">
        <w:t>impacts</w:t>
      </w:r>
      <w:r w:rsidRPr="00D4309F">
        <w:rPr>
          <w:spacing w:val="-2"/>
        </w:rPr>
        <w:t xml:space="preserve"> </w:t>
      </w:r>
      <w:r w:rsidRPr="00D4309F">
        <w:t>to</w:t>
      </w:r>
      <w:r w:rsidRPr="00D4309F">
        <w:rPr>
          <w:spacing w:val="-3"/>
        </w:rPr>
        <w:t xml:space="preserve"> </w:t>
      </w:r>
      <w:r w:rsidRPr="00D4309F">
        <w:t>benthic</w:t>
      </w:r>
      <w:r w:rsidRPr="00D4309F">
        <w:rPr>
          <w:spacing w:val="-2"/>
        </w:rPr>
        <w:t xml:space="preserve"> </w:t>
      </w:r>
      <w:r w:rsidRPr="00D4309F">
        <w:t>habitats, marine fauna and beach habitat that can be managed during works.</w:t>
      </w:r>
      <w:r w:rsidRPr="00D4309F">
        <w:rPr>
          <w:spacing w:val="-1"/>
        </w:rPr>
        <w:t xml:space="preserve"> </w:t>
      </w:r>
      <w:r w:rsidRPr="00D4309F">
        <w:t xml:space="preserve">The beneficial reuse of dredged sand at Mooloolaba Beach would support natural coastal nourishment and maintain sediment balance along the </w:t>
      </w:r>
      <w:r w:rsidRPr="00D4309F">
        <w:rPr>
          <w:spacing w:val="-2"/>
        </w:rPr>
        <w:t>shoreline.</w:t>
      </w:r>
    </w:p>
    <w:p w14:paraId="3E9BFE13" w14:textId="77777777" w:rsidR="00725977" w:rsidRPr="00D4309F" w:rsidRDefault="00725977" w:rsidP="002B2A66">
      <w:pPr>
        <w:pStyle w:val="Heading3"/>
      </w:pPr>
      <w:bookmarkStart w:id="449" w:name="_Toc216699473"/>
      <w:r w:rsidRPr="00D4309F">
        <w:t>Social</w:t>
      </w:r>
      <w:r w:rsidRPr="00D4309F">
        <w:rPr>
          <w:spacing w:val="-3"/>
        </w:rPr>
        <w:t xml:space="preserve"> </w:t>
      </w:r>
      <w:r w:rsidRPr="00D4309F">
        <w:rPr>
          <w:spacing w:val="-2"/>
        </w:rPr>
        <w:t>impacts</w:t>
      </w:r>
      <w:bookmarkEnd w:id="449"/>
    </w:p>
    <w:p w14:paraId="016EF440" w14:textId="77777777" w:rsidR="00725977" w:rsidRPr="00D4309F" w:rsidRDefault="00725977" w:rsidP="00725977">
      <w:pPr>
        <w:pStyle w:val="BodyText"/>
      </w:pPr>
      <w:r w:rsidRPr="00D4309F">
        <w:t>Option 3C is expected to generate social value with two positive impacts ranked as high in the SIE assessment,</w:t>
      </w:r>
      <w:r w:rsidRPr="00D4309F">
        <w:rPr>
          <w:spacing w:val="-3"/>
        </w:rPr>
        <w:t xml:space="preserve"> </w:t>
      </w:r>
      <w:r w:rsidRPr="00D4309F">
        <w:t>including:</w:t>
      </w:r>
      <w:r w:rsidRPr="00D4309F">
        <w:rPr>
          <w:spacing w:val="-4"/>
        </w:rPr>
        <w:t xml:space="preserve"> </w:t>
      </w:r>
      <w:r w:rsidRPr="00D4309F">
        <w:t>safer</w:t>
      </w:r>
      <w:r w:rsidRPr="00D4309F">
        <w:rPr>
          <w:spacing w:val="-3"/>
        </w:rPr>
        <w:t xml:space="preserve"> </w:t>
      </w:r>
      <w:r w:rsidRPr="00D4309F">
        <w:t>channel</w:t>
      </w:r>
      <w:r w:rsidRPr="00D4309F">
        <w:rPr>
          <w:spacing w:val="-3"/>
        </w:rPr>
        <w:t xml:space="preserve"> </w:t>
      </w:r>
      <w:r w:rsidRPr="00D4309F">
        <w:t>access</w:t>
      </w:r>
      <w:r w:rsidRPr="00D4309F">
        <w:rPr>
          <w:spacing w:val="-3"/>
        </w:rPr>
        <w:t xml:space="preserve"> </w:t>
      </w:r>
      <w:r w:rsidRPr="00D4309F">
        <w:t>through</w:t>
      </w:r>
      <w:r w:rsidRPr="00D4309F">
        <w:rPr>
          <w:spacing w:val="-3"/>
        </w:rPr>
        <w:t xml:space="preserve"> </w:t>
      </w:r>
      <w:r w:rsidRPr="00D4309F">
        <w:t>reduced</w:t>
      </w:r>
      <w:r w:rsidRPr="00D4309F">
        <w:rPr>
          <w:spacing w:val="-4"/>
        </w:rPr>
        <w:t xml:space="preserve"> </w:t>
      </w:r>
      <w:r w:rsidRPr="00D4309F">
        <w:t>shoaling</w:t>
      </w:r>
      <w:r w:rsidRPr="00D4309F">
        <w:rPr>
          <w:spacing w:val="-4"/>
        </w:rPr>
        <w:t xml:space="preserve"> </w:t>
      </w:r>
      <w:r w:rsidRPr="00D4309F">
        <w:t>and</w:t>
      </w:r>
      <w:r w:rsidRPr="00D4309F">
        <w:rPr>
          <w:spacing w:val="-3"/>
        </w:rPr>
        <w:t xml:space="preserve"> </w:t>
      </w:r>
      <w:r w:rsidRPr="00D4309F">
        <w:t>improved</w:t>
      </w:r>
      <w:r w:rsidRPr="00D4309F">
        <w:rPr>
          <w:spacing w:val="-4"/>
        </w:rPr>
        <w:t xml:space="preserve"> </w:t>
      </w:r>
      <w:r w:rsidRPr="00D4309F">
        <w:t>economic</w:t>
      </w:r>
      <w:r w:rsidRPr="00D4309F">
        <w:rPr>
          <w:spacing w:val="-3"/>
        </w:rPr>
        <w:t xml:space="preserve"> </w:t>
      </w:r>
      <w:r w:rsidRPr="00D4309F">
        <w:t>outcomes through more reliable channel access.</w:t>
      </w:r>
    </w:p>
    <w:p w14:paraId="56DB4E9D" w14:textId="30FB5917" w:rsidR="00725977" w:rsidRPr="00D4309F" w:rsidRDefault="00725977" w:rsidP="00725977">
      <w:pPr>
        <w:pStyle w:val="BodyText"/>
      </w:pPr>
      <w:r w:rsidRPr="00D4309F">
        <w:t>When compared to the baseline, there were 10 negative social impacts identified, however, after mitigation measures were considered, there were four which may be of high concern to the community and stakeholders, including: potential negative environmental impacts, potential visual impacts, potential noise from</w:t>
      </w:r>
      <w:r w:rsidRPr="00D4309F">
        <w:rPr>
          <w:spacing w:val="-1"/>
        </w:rPr>
        <w:t xml:space="preserve"> </w:t>
      </w:r>
      <w:r w:rsidRPr="00D4309F">
        <w:t>pump</w:t>
      </w:r>
      <w:r w:rsidRPr="00D4309F">
        <w:rPr>
          <w:spacing w:val="-1"/>
        </w:rPr>
        <w:t xml:space="preserve"> </w:t>
      </w:r>
      <w:r w:rsidRPr="00D4309F">
        <w:t>operations and</w:t>
      </w:r>
      <w:r w:rsidRPr="00D4309F">
        <w:rPr>
          <w:spacing w:val="-2"/>
        </w:rPr>
        <w:t xml:space="preserve"> </w:t>
      </w:r>
      <w:r w:rsidRPr="00D4309F">
        <w:t>construction</w:t>
      </w:r>
      <w:r w:rsidRPr="00D4309F">
        <w:rPr>
          <w:spacing w:val="-2"/>
        </w:rPr>
        <w:t xml:space="preserve"> </w:t>
      </w:r>
      <w:r w:rsidRPr="00D4309F">
        <w:t>impacts.</w:t>
      </w:r>
      <w:r w:rsidRPr="00D4309F">
        <w:rPr>
          <w:spacing w:val="-1"/>
        </w:rPr>
        <w:t xml:space="preserve"> </w:t>
      </w:r>
      <w:r w:rsidRPr="00D4309F">
        <w:t>Further mitigations must</w:t>
      </w:r>
      <w:r w:rsidRPr="00D4309F">
        <w:rPr>
          <w:spacing w:val="-1"/>
        </w:rPr>
        <w:t xml:space="preserve"> </w:t>
      </w:r>
      <w:r w:rsidRPr="00D4309F">
        <w:t>be</w:t>
      </w:r>
      <w:r w:rsidRPr="00D4309F">
        <w:rPr>
          <w:spacing w:val="-1"/>
        </w:rPr>
        <w:t xml:space="preserve"> </w:t>
      </w:r>
      <w:r w:rsidRPr="00D4309F">
        <w:t>undertaken</w:t>
      </w:r>
      <w:r w:rsidRPr="00D4309F">
        <w:rPr>
          <w:spacing w:val="-1"/>
        </w:rPr>
        <w:t xml:space="preserve"> </w:t>
      </w:r>
      <w:r w:rsidRPr="00D4309F">
        <w:t>to</w:t>
      </w:r>
      <w:r w:rsidRPr="00D4309F">
        <w:rPr>
          <w:spacing w:val="-1"/>
        </w:rPr>
        <w:t xml:space="preserve"> </w:t>
      </w:r>
      <w:r w:rsidRPr="00D4309F">
        <w:t>reduce</w:t>
      </w:r>
      <w:r w:rsidRPr="00D4309F">
        <w:rPr>
          <w:spacing w:val="-1"/>
        </w:rPr>
        <w:t xml:space="preserve"> </w:t>
      </w:r>
      <w:r w:rsidRPr="00D4309F">
        <w:t>potential negative</w:t>
      </w:r>
      <w:r w:rsidRPr="00D4309F">
        <w:rPr>
          <w:spacing w:val="-4"/>
        </w:rPr>
        <w:t xml:space="preserve"> </w:t>
      </w:r>
      <w:r w:rsidRPr="00D4309F">
        <w:t>social</w:t>
      </w:r>
      <w:r w:rsidRPr="00D4309F">
        <w:rPr>
          <w:spacing w:val="-4"/>
        </w:rPr>
        <w:t xml:space="preserve"> </w:t>
      </w:r>
      <w:r w:rsidRPr="00D4309F">
        <w:t>impacts</w:t>
      </w:r>
      <w:r w:rsidRPr="00D4309F">
        <w:rPr>
          <w:spacing w:val="-3"/>
        </w:rPr>
        <w:t xml:space="preserve"> </w:t>
      </w:r>
      <w:r w:rsidRPr="00D4309F">
        <w:t>including</w:t>
      </w:r>
      <w:r w:rsidRPr="00D4309F">
        <w:rPr>
          <w:spacing w:val="-4"/>
        </w:rPr>
        <w:t xml:space="preserve"> </w:t>
      </w:r>
      <w:r w:rsidRPr="00D4309F">
        <w:t>environmental</w:t>
      </w:r>
      <w:r w:rsidRPr="00D4309F">
        <w:rPr>
          <w:spacing w:val="-4"/>
        </w:rPr>
        <w:t xml:space="preserve"> </w:t>
      </w:r>
      <w:r w:rsidRPr="00D4309F">
        <w:t>assessments,</w:t>
      </w:r>
      <w:r w:rsidRPr="00D4309F">
        <w:rPr>
          <w:spacing w:val="-4"/>
        </w:rPr>
        <w:t xml:space="preserve"> </w:t>
      </w:r>
      <w:r w:rsidRPr="00D4309F">
        <w:t>visual</w:t>
      </w:r>
      <w:r w:rsidRPr="00D4309F">
        <w:rPr>
          <w:spacing w:val="-4"/>
        </w:rPr>
        <w:t xml:space="preserve"> </w:t>
      </w:r>
      <w:r w:rsidRPr="00D4309F">
        <w:t>impact</w:t>
      </w:r>
      <w:r w:rsidRPr="00D4309F">
        <w:rPr>
          <w:spacing w:val="-4"/>
        </w:rPr>
        <w:t xml:space="preserve"> </w:t>
      </w:r>
      <w:r w:rsidRPr="00D4309F">
        <w:t>assessments,</w:t>
      </w:r>
      <w:r w:rsidRPr="00D4309F">
        <w:rPr>
          <w:spacing w:val="-4"/>
        </w:rPr>
        <w:t xml:space="preserve"> </w:t>
      </w:r>
      <w:r w:rsidRPr="00D4309F">
        <w:t>environment</w:t>
      </w:r>
      <w:r w:rsidRPr="00D4309F">
        <w:rPr>
          <w:spacing w:val="-4"/>
        </w:rPr>
        <w:t xml:space="preserve"> </w:t>
      </w:r>
      <w:r w:rsidRPr="00D4309F">
        <w:t>and construction management plans, noise monitoring, silt curtains and broader community and stakeholder engagement and communications.</w:t>
      </w:r>
    </w:p>
    <w:p w14:paraId="3663C6A6" w14:textId="77777777" w:rsidR="00725977" w:rsidRPr="00D4309F" w:rsidRDefault="00725977" w:rsidP="002B2A66">
      <w:pPr>
        <w:pStyle w:val="Heading3"/>
      </w:pPr>
      <w:bookmarkStart w:id="450" w:name="_Toc216699474"/>
      <w:r w:rsidRPr="00D4309F">
        <w:t>Economic</w:t>
      </w:r>
      <w:r w:rsidRPr="00D4309F">
        <w:rPr>
          <w:spacing w:val="-4"/>
        </w:rPr>
        <w:t xml:space="preserve"> </w:t>
      </w:r>
      <w:r w:rsidRPr="00D4309F">
        <w:rPr>
          <w:spacing w:val="-2"/>
        </w:rPr>
        <w:t>impacts</w:t>
      </w:r>
      <w:bookmarkEnd w:id="450"/>
    </w:p>
    <w:p w14:paraId="2CC895CA" w14:textId="77777777" w:rsidR="00725977" w:rsidRPr="00D4309F" w:rsidRDefault="00725977" w:rsidP="00725977">
      <w:pPr>
        <w:pStyle w:val="BodyText"/>
      </w:pPr>
      <w:r w:rsidRPr="00D4309F">
        <w:t>Option</w:t>
      </w:r>
      <w:r w:rsidRPr="00D4309F">
        <w:rPr>
          <w:spacing w:val="-2"/>
        </w:rPr>
        <w:t xml:space="preserve"> </w:t>
      </w:r>
      <w:r w:rsidRPr="00D4309F">
        <w:t>3C</w:t>
      </w:r>
      <w:r w:rsidRPr="00D4309F">
        <w:rPr>
          <w:spacing w:val="-1"/>
        </w:rPr>
        <w:t xml:space="preserve"> </w:t>
      </w:r>
      <w:r w:rsidRPr="00D4309F">
        <w:t>is</w:t>
      </w:r>
      <w:r w:rsidRPr="00D4309F">
        <w:rPr>
          <w:spacing w:val="-2"/>
        </w:rPr>
        <w:t xml:space="preserve"> </w:t>
      </w:r>
      <w:r w:rsidRPr="00D4309F">
        <w:t>expected</w:t>
      </w:r>
      <w:r w:rsidRPr="00D4309F">
        <w:rPr>
          <w:spacing w:val="-2"/>
        </w:rPr>
        <w:t xml:space="preserve"> </w:t>
      </w:r>
      <w:r w:rsidRPr="00D4309F">
        <w:t>to</w:t>
      </w:r>
      <w:r w:rsidRPr="00D4309F">
        <w:rPr>
          <w:spacing w:val="-2"/>
        </w:rPr>
        <w:t xml:space="preserve"> </w:t>
      </w:r>
      <w:r w:rsidRPr="00D4309F">
        <w:t>have</w:t>
      </w:r>
      <w:r w:rsidRPr="00D4309F">
        <w:rPr>
          <w:spacing w:val="-2"/>
        </w:rPr>
        <w:t xml:space="preserve"> </w:t>
      </w:r>
      <w:r w:rsidRPr="00D4309F">
        <w:t>a</w:t>
      </w:r>
      <w:r w:rsidRPr="00D4309F">
        <w:rPr>
          <w:spacing w:val="-2"/>
        </w:rPr>
        <w:t xml:space="preserve"> </w:t>
      </w:r>
      <w:r w:rsidRPr="00D4309F">
        <w:t>low</w:t>
      </w:r>
      <w:r w:rsidRPr="00D4309F">
        <w:rPr>
          <w:spacing w:val="-1"/>
        </w:rPr>
        <w:t xml:space="preserve"> </w:t>
      </w:r>
      <w:r w:rsidRPr="00D4309F">
        <w:t>to</w:t>
      </w:r>
      <w:r w:rsidRPr="00D4309F">
        <w:rPr>
          <w:spacing w:val="-2"/>
        </w:rPr>
        <w:t xml:space="preserve"> </w:t>
      </w:r>
      <w:r w:rsidRPr="00D4309F">
        <w:t>moderate</w:t>
      </w:r>
      <w:r w:rsidRPr="00D4309F">
        <w:rPr>
          <w:spacing w:val="-2"/>
        </w:rPr>
        <w:t xml:space="preserve"> </w:t>
      </w:r>
      <w:r w:rsidRPr="00D4309F">
        <w:t>economic</w:t>
      </w:r>
      <w:r w:rsidRPr="00D4309F">
        <w:rPr>
          <w:spacing w:val="-1"/>
        </w:rPr>
        <w:t xml:space="preserve"> </w:t>
      </w:r>
      <w:r w:rsidRPr="00D4309F">
        <w:t>impact</w:t>
      </w:r>
      <w:r w:rsidRPr="00D4309F">
        <w:rPr>
          <w:spacing w:val="-2"/>
        </w:rPr>
        <w:t xml:space="preserve"> </w:t>
      </w:r>
      <w:r w:rsidRPr="00D4309F">
        <w:t>compared</w:t>
      </w:r>
      <w:r w:rsidRPr="00D4309F">
        <w:rPr>
          <w:spacing w:val="-2"/>
        </w:rPr>
        <w:t xml:space="preserve"> </w:t>
      </w:r>
      <w:r w:rsidRPr="00D4309F">
        <w:t>with</w:t>
      </w:r>
      <w:r w:rsidRPr="00D4309F">
        <w:rPr>
          <w:spacing w:val="-2"/>
        </w:rPr>
        <w:t xml:space="preserve"> </w:t>
      </w:r>
      <w:r w:rsidRPr="00D4309F">
        <w:t>the</w:t>
      </w:r>
      <w:r w:rsidRPr="00D4309F">
        <w:rPr>
          <w:spacing w:val="-2"/>
        </w:rPr>
        <w:t xml:space="preserve"> </w:t>
      </w:r>
      <w:r w:rsidRPr="00D4309F">
        <w:t>current</w:t>
      </w:r>
      <w:r w:rsidRPr="00D4309F">
        <w:rPr>
          <w:spacing w:val="-4"/>
        </w:rPr>
        <w:t xml:space="preserve"> </w:t>
      </w:r>
      <w:r w:rsidRPr="00D4309F">
        <w:t>approach.</w:t>
      </w:r>
      <w:r w:rsidRPr="00D4309F">
        <w:rPr>
          <w:spacing w:val="-2"/>
        </w:rPr>
        <w:t xml:space="preserve"> </w:t>
      </w:r>
      <w:r w:rsidRPr="00D4309F">
        <w:t xml:space="preserve">The project will significantly reduce shoaling at the harbour entrance, improving channel access and long-term reliability for both commercial and recreational users. This will minimise delays, reduce reliance on emergency maintenance dredging, and provide greater confidence for businesses and the boating </w:t>
      </w:r>
      <w:r w:rsidRPr="00D4309F">
        <w:rPr>
          <w:spacing w:val="-2"/>
        </w:rPr>
        <w:t>community.</w:t>
      </w:r>
    </w:p>
    <w:p w14:paraId="262724CD" w14:textId="77777777" w:rsidR="00725977" w:rsidRPr="00D4309F" w:rsidRDefault="00725977" w:rsidP="00725977">
      <w:pPr>
        <w:pStyle w:val="BodyText"/>
      </w:pPr>
      <w:r w:rsidRPr="00D4309F">
        <w:t>Unlike</w:t>
      </w:r>
      <w:r w:rsidRPr="00D4309F">
        <w:rPr>
          <w:spacing w:val="-2"/>
        </w:rPr>
        <w:t xml:space="preserve"> </w:t>
      </w:r>
      <w:r w:rsidRPr="00D4309F">
        <w:t>the</w:t>
      </w:r>
      <w:r w:rsidRPr="00D4309F">
        <w:rPr>
          <w:spacing w:val="-2"/>
        </w:rPr>
        <w:t xml:space="preserve"> </w:t>
      </w:r>
      <w:r w:rsidRPr="00D4309F">
        <w:t>current</w:t>
      </w:r>
      <w:r w:rsidRPr="00D4309F">
        <w:rPr>
          <w:spacing w:val="-2"/>
        </w:rPr>
        <w:t xml:space="preserve"> </w:t>
      </w:r>
      <w:r w:rsidRPr="00D4309F">
        <w:t>baseline,</w:t>
      </w:r>
      <w:r w:rsidRPr="00D4309F">
        <w:rPr>
          <w:spacing w:val="-2"/>
        </w:rPr>
        <w:t xml:space="preserve"> </w:t>
      </w:r>
      <w:r w:rsidRPr="00D4309F">
        <w:t>this</w:t>
      </w:r>
      <w:r w:rsidRPr="00D4309F">
        <w:rPr>
          <w:spacing w:val="-1"/>
        </w:rPr>
        <w:t xml:space="preserve"> </w:t>
      </w:r>
      <w:r w:rsidRPr="00D4309F">
        <w:t>option</w:t>
      </w:r>
      <w:r w:rsidRPr="00D4309F">
        <w:rPr>
          <w:spacing w:val="-2"/>
        </w:rPr>
        <w:t xml:space="preserve"> </w:t>
      </w:r>
      <w:r w:rsidRPr="00D4309F">
        <w:t>does</w:t>
      </w:r>
      <w:r w:rsidRPr="00D4309F">
        <w:rPr>
          <w:spacing w:val="-1"/>
        </w:rPr>
        <w:t xml:space="preserve"> </w:t>
      </w:r>
      <w:r w:rsidRPr="00D4309F">
        <w:t>not</w:t>
      </w:r>
      <w:r w:rsidRPr="00D4309F">
        <w:rPr>
          <w:spacing w:val="-2"/>
        </w:rPr>
        <w:t xml:space="preserve"> </w:t>
      </w:r>
      <w:r w:rsidRPr="00D4309F">
        <w:t>depend</w:t>
      </w:r>
      <w:r w:rsidRPr="00D4309F">
        <w:rPr>
          <w:spacing w:val="-2"/>
        </w:rPr>
        <w:t xml:space="preserve"> </w:t>
      </w:r>
      <w:r w:rsidRPr="00D4309F">
        <w:t>on</w:t>
      </w:r>
      <w:r w:rsidRPr="00D4309F">
        <w:rPr>
          <w:spacing w:val="-2"/>
        </w:rPr>
        <w:t xml:space="preserve"> </w:t>
      </w:r>
      <w:r w:rsidRPr="00D4309F">
        <w:t>regular</w:t>
      </w:r>
      <w:r w:rsidRPr="00D4309F">
        <w:rPr>
          <w:spacing w:val="-3"/>
        </w:rPr>
        <w:t xml:space="preserve"> </w:t>
      </w:r>
      <w:r w:rsidRPr="00D4309F">
        <w:t>dredging</w:t>
      </w:r>
      <w:r w:rsidRPr="00D4309F">
        <w:rPr>
          <w:spacing w:val="-2"/>
        </w:rPr>
        <w:t xml:space="preserve"> </w:t>
      </w:r>
      <w:r w:rsidRPr="00D4309F">
        <w:t>to</w:t>
      </w:r>
      <w:r w:rsidRPr="00D4309F">
        <w:rPr>
          <w:spacing w:val="-2"/>
        </w:rPr>
        <w:t xml:space="preserve"> </w:t>
      </w:r>
      <w:r w:rsidRPr="00D4309F">
        <w:t>remove</w:t>
      </w:r>
      <w:r w:rsidRPr="00D4309F">
        <w:rPr>
          <w:spacing w:val="-2"/>
        </w:rPr>
        <w:t xml:space="preserve"> </w:t>
      </w:r>
      <w:r w:rsidRPr="00D4309F">
        <w:t>sand,</w:t>
      </w:r>
      <w:r w:rsidRPr="00D4309F">
        <w:rPr>
          <w:spacing w:val="-2"/>
        </w:rPr>
        <w:t xml:space="preserve"> </w:t>
      </w:r>
      <w:r w:rsidRPr="00D4309F">
        <w:t>offering</w:t>
      </w:r>
      <w:r w:rsidRPr="00D4309F">
        <w:rPr>
          <w:spacing w:val="-2"/>
        </w:rPr>
        <w:t xml:space="preserve"> </w:t>
      </w:r>
      <w:r w:rsidRPr="00D4309F">
        <w:t>a</w:t>
      </w:r>
      <w:r w:rsidRPr="00D4309F">
        <w:rPr>
          <w:spacing w:val="-2"/>
        </w:rPr>
        <w:t xml:space="preserve"> </w:t>
      </w:r>
      <w:r w:rsidRPr="00D4309F">
        <w:t>more sustainable solution. Option 3C provides a targeted, flexible bypass solution that avoids the need for a full dredge mobilisation while allowing sediment to be relocated efficiently to maintain entrance depth and downdrift nourishment.</w:t>
      </w:r>
    </w:p>
    <w:p w14:paraId="46BB8BB6" w14:textId="77777777" w:rsidR="00725977" w:rsidRPr="00D4309F" w:rsidRDefault="00725977" w:rsidP="00725977">
      <w:pPr>
        <w:pStyle w:val="BodyText"/>
      </w:pPr>
      <w:r w:rsidRPr="00D4309F">
        <w:t>Lengthening</w:t>
      </w:r>
      <w:r w:rsidRPr="00D4309F">
        <w:rPr>
          <w:spacing w:val="-3"/>
        </w:rPr>
        <w:t xml:space="preserve"> </w:t>
      </w:r>
      <w:r w:rsidRPr="00D4309F">
        <w:t>the</w:t>
      </w:r>
      <w:r w:rsidRPr="00D4309F">
        <w:rPr>
          <w:spacing w:val="-3"/>
        </w:rPr>
        <w:t xml:space="preserve"> </w:t>
      </w:r>
      <w:r w:rsidRPr="00D4309F">
        <w:t>breakwater</w:t>
      </w:r>
      <w:r w:rsidRPr="00D4309F">
        <w:rPr>
          <w:spacing w:val="-2"/>
        </w:rPr>
        <w:t xml:space="preserve"> </w:t>
      </w:r>
      <w:r w:rsidRPr="00D4309F">
        <w:t>will</w:t>
      </w:r>
      <w:r w:rsidRPr="00D4309F">
        <w:rPr>
          <w:spacing w:val="-3"/>
        </w:rPr>
        <w:t xml:space="preserve"> </w:t>
      </w:r>
      <w:r w:rsidRPr="00D4309F">
        <w:t>create</w:t>
      </w:r>
      <w:r w:rsidRPr="00D4309F">
        <w:rPr>
          <w:spacing w:val="-3"/>
        </w:rPr>
        <w:t xml:space="preserve"> </w:t>
      </w:r>
      <w:r w:rsidRPr="00D4309F">
        <w:t>additional</w:t>
      </w:r>
      <w:r w:rsidRPr="00D4309F">
        <w:rPr>
          <w:spacing w:val="-4"/>
        </w:rPr>
        <w:t xml:space="preserve"> </w:t>
      </w:r>
      <w:r w:rsidRPr="00D4309F">
        <w:t>space</w:t>
      </w:r>
      <w:r w:rsidRPr="00D4309F">
        <w:rPr>
          <w:spacing w:val="-3"/>
        </w:rPr>
        <w:t xml:space="preserve"> </w:t>
      </w:r>
      <w:r w:rsidRPr="00D4309F">
        <w:t>for</w:t>
      </w:r>
      <w:r w:rsidRPr="00D4309F">
        <w:rPr>
          <w:spacing w:val="-2"/>
        </w:rPr>
        <w:t xml:space="preserve"> </w:t>
      </w:r>
      <w:r w:rsidRPr="00D4309F">
        <w:t>recreational</w:t>
      </w:r>
      <w:r w:rsidRPr="00D4309F">
        <w:rPr>
          <w:spacing w:val="-3"/>
        </w:rPr>
        <w:t xml:space="preserve"> </w:t>
      </w:r>
      <w:r w:rsidRPr="00D4309F">
        <w:t>fishing,</w:t>
      </w:r>
      <w:r w:rsidRPr="00D4309F">
        <w:rPr>
          <w:spacing w:val="-3"/>
        </w:rPr>
        <w:t xml:space="preserve"> </w:t>
      </w:r>
      <w:r w:rsidRPr="00D4309F">
        <w:t>enhancing</w:t>
      </w:r>
      <w:r w:rsidRPr="00D4309F">
        <w:rPr>
          <w:spacing w:val="-3"/>
        </w:rPr>
        <w:t xml:space="preserve"> </w:t>
      </w:r>
      <w:r w:rsidRPr="00D4309F">
        <w:t>opportunities</w:t>
      </w:r>
      <w:r w:rsidRPr="00D4309F">
        <w:rPr>
          <w:spacing w:val="-2"/>
        </w:rPr>
        <w:t xml:space="preserve"> </w:t>
      </w:r>
      <w:r w:rsidRPr="00D4309F">
        <w:t>for anglers in the long term.</w:t>
      </w:r>
    </w:p>
    <w:p w14:paraId="23EBAAA6" w14:textId="77777777" w:rsidR="00725977" w:rsidRPr="00D4309F" w:rsidRDefault="00725977" w:rsidP="00725977">
      <w:pPr>
        <w:pStyle w:val="BodyText"/>
      </w:pPr>
      <w:r w:rsidRPr="00D4309F">
        <w:t>During construction, temporary changes to channel access may occur, affecting recreational boaters and commercial operators who use the harbour entrance. Onshore rock fishing at the breakwater and Point Cartwright will be impacted due to reduced fishing locations and safety requirements during works. These disruptions could lead to fewer visitors during the construction period, with some choosing alternative destinations on the Sunshine Coast or other coastal areas. This may result in short-term reductions in local spending,</w:t>
      </w:r>
      <w:r w:rsidRPr="00D4309F">
        <w:rPr>
          <w:spacing w:val="-3"/>
        </w:rPr>
        <w:t xml:space="preserve"> </w:t>
      </w:r>
      <w:r w:rsidRPr="00D4309F">
        <w:t>affecting</w:t>
      </w:r>
      <w:r w:rsidRPr="00D4309F">
        <w:rPr>
          <w:spacing w:val="-3"/>
        </w:rPr>
        <w:t xml:space="preserve"> </w:t>
      </w:r>
      <w:r w:rsidRPr="00D4309F">
        <w:t>nearby</w:t>
      </w:r>
      <w:r w:rsidRPr="00D4309F">
        <w:rPr>
          <w:spacing w:val="-3"/>
        </w:rPr>
        <w:t xml:space="preserve"> </w:t>
      </w:r>
      <w:r w:rsidRPr="00D4309F">
        <w:t>businesses;</w:t>
      </w:r>
      <w:r w:rsidRPr="00D4309F">
        <w:rPr>
          <w:spacing w:val="-3"/>
        </w:rPr>
        <w:t xml:space="preserve"> </w:t>
      </w:r>
      <w:r w:rsidRPr="00D4309F">
        <w:t>however,</w:t>
      </w:r>
      <w:r w:rsidRPr="00D4309F">
        <w:rPr>
          <w:spacing w:val="-3"/>
        </w:rPr>
        <w:t xml:space="preserve"> </w:t>
      </w:r>
      <w:r w:rsidRPr="00D4309F">
        <w:t>these</w:t>
      </w:r>
      <w:r w:rsidRPr="00D4309F">
        <w:rPr>
          <w:spacing w:val="-3"/>
        </w:rPr>
        <w:t xml:space="preserve"> </w:t>
      </w:r>
      <w:r w:rsidRPr="00D4309F">
        <w:t>impacts</w:t>
      </w:r>
      <w:r w:rsidRPr="00D4309F">
        <w:rPr>
          <w:spacing w:val="-2"/>
        </w:rPr>
        <w:t xml:space="preserve"> </w:t>
      </w:r>
      <w:r w:rsidRPr="00D4309F">
        <w:t>are</w:t>
      </w:r>
      <w:r w:rsidRPr="00D4309F">
        <w:rPr>
          <w:spacing w:val="-3"/>
        </w:rPr>
        <w:t xml:space="preserve"> </w:t>
      </w:r>
      <w:r w:rsidRPr="00D4309F">
        <w:t>expected</w:t>
      </w:r>
      <w:r w:rsidRPr="00D4309F">
        <w:rPr>
          <w:spacing w:val="-3"/>
        </w:rPr>
        <w:t xml:space="preserve"> </w:t>
      </w:r>
      <w:r w:rsidRPr="00D4309F">
        <w:t>to</w:t>
      </w:r>
      <w:r w:rsidRPr="00D4309F">
        <w:rPr>
          <w:spacing w:val="-3"/>
        </w:rPr>
        <w:t xml:space="preserve"> </w:t>
      </w:r>
      <w:r w:rsidRPr="00D4309F">
        <w:t>be</w:t>
      </w:r>
      <w:r w:rsidRPr="00D4309F">
        <w:rPr>
          <w:spacing w:val="-3"/>
        </w:rPr>
        <w:t xml:space="preserve"> </w:t>
      </w:r>
      <w:r w:rsidRPr="00D4309F">
        <w:t>temporary</w:t>
      </w:r>
      <w:r w:rsidRPr="00D4309F">
        <w:rPr>
          <w:spacing w:val="-2"/>
        </w:rPr>
        <w:t xml:space="preserve"> </w:t>
      </w:r>
      <w:r w:rsidRPr="00D4309F">
        <w:t>and</w:t>
      </w:r>
      <w:r w:rsidRPr="00D4309F">
        <w:rPr>
          <w:spacing w:val="-3"/>
        </w:rPr>
        <w:t xml:space="preserve"> </w:t>
      </w:r>
      <w:r w:rsidRPr="00D4309F">
        <w:t>managed to minimise disruption.</w:t>
      </w:r>
    </w:p>
    <w:p w14:paraId="26665E82" w14:textId="75DEDEA6" w:rsidR="00D0668F" w:rsidRDefault="00725977" w:rsidP="00725977">
      <w:pPr>
        <w:pStyle w:val="BodyText"/>
      </w:pPr>
      <w:r w:rsidRPr="00D4309F">
        <w:t>In the longer term, Option 3C may result in changes to tidal patterns that influence wave conditions at Mooloolaba Beach. These changes could lead to a decline in surf quality, particularly to the north of the harbour, where wave energy may be reduced. A reduction in surf conditions could affect the area’s reputation as a popular surfing destination, potentially decreasing visitation over time. This decline in visitor numbers may have flow-on effects for local businesses that rely on tourism and recreational activity, including accommodation providers, cafes, and surf-related enterprises. While these impacts are uncertain and</w:t>
      </w:r>
      <w:r w:rsidRPr="00D4309F">
        <w:rPr>
          <w:spacing w:val="-3"/>
        </w:rPr>
        <w:t xml:space="preserve"> </w:t>
      </w:r>
      <w:r w:rsidRPr="00D4309F">
        <w:t>dependent</w:t>
      </w:r>
      <w:r w:rsidRPr="00D4309F">
        <w:rPr>
          <w:spacing w:val="-3"/>
        </w:rPr>
        <w:t xml:space="preserve"> </w:t>
      </w:r>
      <w:r w:rsidRPr="00D4309F">
        <w:t>on</w:t>
      </w:r>
      <w:r w:rsidRPr="00D4309F">
        <w:rPr>
          <w:spacing w:val="-3"/>
        </w:rPr>
        <w:t xml:space="preserve"> </w:t>
      </w:r>
      <w:r w:rsidRPr="00D4309F">
        <w:t>the</w:t>
      </w:r>
      <w:r w:rsidRPr="00D4309F">
        <w:rPr>
          <w:spacing w:val="-3"/>
        </w:rPr>
        <w:t xml:space="preserve"> </w:t>
      </w:r>
      <w:r w:rsidRPr="00D4309F">
        <w:t>extent</w:t>
      </w:r>
      <w:r w:rsidRPr="00D4309F">
        <w:rPr>
          <w:spacing w:val="-3"/>
        </w:rPr>
        <w:t xml:space="preserve"> </w:t>
      </w:r>
      <w:r w:rsidRPr="00D4309F">
        <w:t>of</w:t>
      </w:r>
      <w:r w:rsidRPr="00D4309F">
        <w:rPr>
          <w:spacing w:val="-3"/>
        </w:rPr>
        <w:t xml:space="preserve"> </w:t>
      </w:r>
      <w:r w:rsidRPr="00D4309F">
        <w:t>tidal</w:t>
      </w:r>
      <w:r w:rsidRPr="00D4309F">
        <w:rPr>
          <w:spacing w:val="-3"/>
        </w:rPr>
        <w:t xml:space="preserve"> </w:t>
      </w:r>
      <w:r w:rsidRPr="00D4309F">
        <w:t>changes,</w:t>
      </w:r>
      <w:r w:rsidRPr="00D4309F">
        <w:rPr>
          <w:spacing w:val="-3"/>
        </w:rPr>
        <w:t xml:space="preserve"> </w:t>
      </w:r>
      <w:r w:rsidRPr="00D4309F">
        <w:t>they</w:t>
      </w:r>
      <w:r w:rsidRPr="00D4309F">
        <w:rPr>
          <w:spacing w:val="-2"/>
        </w:rPr>
        <w:t xml:space="preserve"> </w:t>
      </w:r>
      <w:r w:rsidRPr="00D4309F">
        <w:t>represent</w:t>
      </w:r>
      <w:r w:rsidRPr="00D4309F">
        <w:rPr>
          <w:spacing w:val="-3"/>
        </w:rPr>
        <w:t xml:space="preserve"> </w:t>
      </w:r>
      <w:r w:rsidRPr="00D4309F">
        <w:t>a</w:t>
      </w:r>
      <w:r w:rsidRPr="00D4309F">
        <w:rPr>
          <w:spacing w:val="-3"/>
        </w:rPr>
        <w:t xml:space="preserve"> </w:t>
      </w:r>
      <w:r w:rsidRPr="00D4309F">
        <w:t>potential</w:t>
      </w:r>
      <w:r w:rsidRPr="00D4309F">
        <w:rPr>
          <w:spacing w:val="-3"/>
        </w:rPr>
        <w:t xml:space="preserve"> </w:t>
      </w:r>
      <w:r w:rsidRPr="00D4309F">
        <w:t>long-term</w:t>
      </w:r>
      <w:r w:rsidRPr="00D4309F">
        <w:rPr>
          <w:spacing w:val="-3"/>
        </w:rPr>
        <w:t xml:space="preserve"> </w:t>
      </w:r>
      <w:r w:rsidRPr="00D4309F">
        <w:t>consideration</w:t>
      </w:r>
      <w:r w:rsidRPr="00D4309F">
        <w:rPr>
          <w:spacing w:val="-3"/>
        </w:rPr>
        <w:t xml:space="preserve"> </w:t>
      </w:r>
      <w:r w:rsidRPr="00D4309F">
        <w:t>for</w:t>
      </w:r>
      <w:r w:rsidRPr="00D4309F">
        <w:rPr>
          <w:spacing w:val="-2"/>
        </w:rPr>
        <w:t xml:space="preserve"> </w:t>
      </w:r>
      <w:r w:rsidRPr="00D4309F">
        <w:t>the</w:t>
      </w:r>
      <w:r w:rsidRPr="00D4309F">
        <w:rPr>
          <w:spacing w:val="-3"/>
        </w:rPr>
        <w:t xml:space="preserve"> </w:t>
      </w:r>
      <w:r w:rsidRPr="00D4309F">
        <w:t>local economy and community.</w:t>
      </w:r>
    </w:p>
    <w:p w14:paraId="20669E05" w14:textId="77777777" w:rsidR="00725977" w:rsidRPr="00D4309F" w:rsidRDefault="00725977" w:rsidP="002B2A66">
      <w:pPr>
        <w:pStyle w:val="Heading3"/>
      </w:pPr>
      <w:bookmarkStart w:id="451" w:name="_Toc216699475"/>
      <w:r w:rsidRPr="00D4309F">
        <w:t>Future</w:t>
      </w:r>
      <w:r w:rsidRPr="00D4309F">
        <w:rPr>
          <w:spacing w:val="-3"/>
        </w:rPr>
        <w:t xml:space="preserve"> </w:t>
      </w:r>
      <w:r w:rsidRPr="00D4309F">
        <w:t>adaptation</w:t>
      </w:r>
      <w:bookmarkEnd w:id="451"/>
    </w:p>
    <w:p w14:paraId="1BC8E549" w14:textId="77777777" w:rsidR="00725977" w:rsidRPr="00D4309F" w:rsidRDefault="00725977" w:rsidP="00725977">
      <w:pPr>
        <w:pStyle w:val="BodyText"/>
      </w:pPr>
      <w:r w:rsidRPr="00D4309F">
        <w:t>Option 3C provides a highly adaptable sediment management approach that combines the function of the breakwater extension</w:t>
      </w:r>
      <w:r w:rsidRPr="00D4309F">
        <w:rPr>
          <w:spacing w:val="-1"/>
        </w:rPr>
        <w:t xml:space="preserve"> </w:t>
      </w:r>
      <w:r w:rsidRPr="00D4309F">
        <w:t xml:space="preserve">with the mobility and modularity of a crane-operated jet pump system. The breakwater </w:t>
      </w:r>
      <w:r w:rsidRPr="00D4309F">
        <w:lastRenderedPageBreak/>
        <w:t>itself is a long-lived structural asset (50+ year design life), engineered to accommodate sea-level rise and increasing</w:t>
      </w:r>
      <w:r w:rsidRPr="00D4309F">
        <w:rPr>
          <w:spacing w:val="-3"/>
        </w:rPr>
        <w:t xml:space="preserve"> </w:t>
      </w:r>
      <w:r w:rsidRPr="00D4309F">
        <w:t>storm</w:t>
      </w:r>
      <w:r w:rsidRPr="00D4309F">
        <w:rPr>
          <w:spacing w:val="-2"/>
        </w:rPr>
        <w:t xml:space="preserve"> </w:t>
      </w:r>
      <w:r w:rsidRPr="00D4309F">
        <w:t>intensity.</w:t>
      </w:r>
      <w:r w:rsidRPr="00D4309F">
        <w:rPr>
          <w:spacing w:val="-4"/>
        </w:rPr>
        <w:t xml:space="preserve"> </w:t>
      </w:r>
      <w:r w:rsidRPr="00D4309F">
        <w:t>As</w:t>
      </w:r>
      <w:r w:rsidRPr="00D4309F">
        <w:rPr>
          <w:spacing w:val="-1"/>
        </w:rPr>
        <w:t xml:space="preserve"> </w:t>
      </w:r>
      <w:r w:rsidRPr="00D4309F">
        <w:t>with</w:t>
      </w:r>
      <w:r w:rsidRPr="00D4309F">
        <w:rPr>
          <w:spacing w:val="-2"/>
        </w:rPr>
        <w:t xml:space="preserve"> </w:t>
      </w:r>
      <w:r w:rsidRPr="00D4309F">
        <w:t>Options</w:t>
      </w:r>
      <w:r w:rsidRPr="00D4309F">
        <w:rPr>
          <w:spacing w:val="-1"/>
        </w:rPr>
        <w:t xml:space="preserve"> </w:t>
      </w:r>
      <w:r w:rsidRPr="00D4309F">
        <w:t>3A</w:t>
      </w:r>
      <w:r w:rsidRPr="00D4309F">
        <w:rPr>
          <w:spacing w:val="-2"/>
        </w:rPr>
        <w:t xml:space="preserve"> </w:t>
      </w:r>
      <w:r w:rsidRPr="00D4309F">
        <w:t>and</w:t>
      </w:r>
      <w:r w:rsidRPr="00D4309F">
        <w:rPr>
          <w:spacing w:val="-2"/>
        </w:rPr>
        <w:t xml:space="preserve"> </w:t>
      </w:r>
      <w:r w:rsidRPr="00D4309F">
        <w:t>3B,</w:t>
      </w:r>
      <w:r w:rsidRPr="00D4309F">
        <w:rPr>
          <w:spacing w:val="-2"/>
        </w:rPr>
        <w:t xml:space="preserve"> </w:t>
      </w:r>
      <w:r w:rsidRPr="00D4309F">
        <w:t>it</w:t>
      </w:r>
      <w:r w:rsidRPr="00D4309F">
        <w:rPr>
          <w:spacing w:val="-2"/>
        </w:rPr>
        <w:t xml:space="preserve"> </w:t>
      </w:r>
      <w:r w:rsidRPr="00D4309F">
        <w:t>can</w:t>
      </w:r>
      <w:r w:rsidRPr="00D4309F">
        <w:rPr>
          <w:spacing w:val="-2"/>
        </w:rPr>
        <w:t xml:space="preserve"> </w:t>
      </w:r>
      <w:r w:rsidRPr="00D4309F">
        <w:t>be</w:t>
      </w:r>
      <w:r w:rsidRPr="00D4309F">
        <w:rPr>
          <w:spacing w:val="-2"/>
        </w:rPr>
        <w:t xml:space="preserve"> </w:t>
      </w:r>
      <w:r w:rsidRPr="00D4309F">
        <w:t>further</w:t>
      </w:r>
      <w:r w:rsidRPr="00D4309F">
        <w:rPr>
          <w:spacing w:val="-1"/>
        </w:rPr>
        <w:t xml:space="preserve"> </w:t>
      </w:r>
      <w:r w:rsidRPr="00D4309F">
        <w:t>modified</w:t>
      </w:r>
      <w:r w:rsidRPr="00D4309F">
        <w:rPr>
          <w:spacing w:val="-3"/>
        </w:rPr>
        <w:t xml:space="preserve"> </w:t>
      </w:r>
      <w:r w:rsidRPr="00D4309F">
        <w:t>or</w:t>
      </w:r>
      <w:r w:rsidRPr="00D4309F">
        <w:rPr>
          <w:spacing w:val="-1"/>
        </w:rPr>
        <w:t xml:space="preserve"> </w:t>
      </w:r>
      <w:r w:rsidRPr="00D4309F">
        <w:t>extended</w:t>
      </w:r>
      <w:r w:rsidRPr="00D4309F">
        <w:rPr>
          <w:spacing w:val="-2"/>
        </w:rPr>
        <w:t xml:space="preserve"> </w:t>
      </w:r>
      <w:r w:rsidRPr="00D4309F">
        <w:t>in</w:t>
      </w:r>
      <w:r w:rsidRPr="00D4309F">
        <w:rPr>
          <w:spacing w:val="-2"/>
        </w:rPr>
        <w:t xml:space="preserve"> </w:t>
      </w:r>
      <w:r w:rsidRPr="00D4309F">
        <w:t>the</w:t>
      </w:r>
      <w:r w:rsidRPr="00D4309F">
        <w:rPr>
          <w:spacing w:val="-2"/>
        </w:rPr>
        <w:t xml:space="preserve"> </w:t>
      </w:r>
      <w:r w:rsidRPr="00D4309F">
        <w:t>long</w:t>
      </w:r>
      <w:r w:rsidRPr="00D4309F">
        <w:rPr>
          <w:spacing w:val="-2"/>
        </w:rPr>
        <w:t xml:space="preserve"> </w:t>
      </w:r>
      <w:r w:rsidRPr="00D4309F">
        <w:t>term if required.</w:t>
      </w:r>
    </w:p>
    <w:p w14:paraId="0510CF3B" w14:textId="77777777" w:rsidR="00725977" w:rsidRPr="00D4309F" w:rsidRDefault="00725977" w:rsidP="00725977">
      <w:pPr>
        <w:pStyle w:val="BodyText"/>
      </w:pPr>
      <w:r w:rsidRPr="00D4309F">
        <w:t>The jet pump system introduces greater flexibility than fixed installations. Its mobility allows responsive, targeted sand bypassing based on actual shoaling conditions, sediment availability, or operational constraints.</w:t>
      </w:r>
      <w:r w:rsidRPr="00D4309F">
        <w:rPr>
          <w:spacing w:val="-3"/>
        </w:rPr>
        <w:t xml:space="preserve"> </w:t>
      </w:r>
      <w:r w:rsidRPr="00D4309F">
        <w:t>Because</w:t>
      </w:r>
      <w:r w:rsidRPr="00D4309F">
        <w:rPr>
          <w:spacing w:val="-3"/>
        </w:rPr>
        <w:t xml:space="preserve"> </w:t>
      </w:r>
      <w:r w:rsidRPr="00D4309F">
        <w:t>no</w:t>
      </w:r>
      <w:r w:rsidRPr="00D4309F">
        <w:rPr>
          <w:spacing w:val="-3"/>
        </w:rPr>
        <w:t xml:space="preserve"> </w:t>
      </w:r>
      <w:r w:rsidRPr="00D4309F">
        <w:t>components</w:t>
      </w:r>
      <w:r w:rsidRPr="00D4309F">
        <w:rPr>
          <w:spacing w:val="-2"/>
        </w:rPr>
        <w:t xml:space="preserve"> </w:t>
      </w:r>
      <w:r w:rsidRPr="00D4309F">
        <w:t>are</w:t>
      </w:r>
      <w:r w:rsidRPr="00D4309F">
        <w:rPr>
          <w:spacing w:val="-4"/>
        </w:rPr>
        <w:t xml:space="preserve"> </w:t>
      </w:r>
      <w:r w:rsidRPr="00D4309F">
        <w:t>permanently</w:t>
      </w:r>
      <w:r w:rsidRPr="00D4309F">
        <w:rPr>
          <w:spacing w:val="-2"/>
        </w:rPr>
        <w:t xml:space="preserve"> </w:t>
      </w:r>
      <w:r w:rsidRPr="00D4309F">
        <w:t>installed</w:t>
      </w:r>
      <w:r w:rsidRPr="00D4309F">
        <w:rPr>
          <w:spacing w:val="-3"/>
        </w:rPr>
        <w:t xml:space="preserve"> </w:t>
      </w:r>
      <w:r w:rsidRPr="00D4309F">
        <w:t>on</w:t>
      </w:r>
      <w:r w:rsidRPr="00D4309F">
        <w:rPr>
          <w:spacing w:val="-3"/>
        </w:rPr>
        <w:t xml:space="preserve"> </w:t>
      </w:r>
      <w:r w:rsidRPr="00D4309F">
        <w:t>the</w:t>
      </w:r>
      <w:r w:rsidRPr="00D4309F">
        <w:rPr>
          <w:spacing w:val="-3"/>
        </w:rPr>
        <w:t xml:space="preserve"> </w:t>
      </w:r>
      <w:r w:rsidRPr="00D4309F">
        <w:t>seabed,</w:t>
      </w:r>
      <w:r w:rsidRPr="00D4309F">
        <w:rPr>
          <w:spacing w:val="-3"/>
        </w:rPr>
        <w:t xml:space="preserve"> </w:t>
      </w:r>
      <w:r w:rsidRPr="00D4309F">
        <w:t>the</w:t>
      </w:r>
      <w:r w:rsidRPr="00D4309F">
        <w:rPr>
          <w:spacing w:val="-3"/>
        </w:rPr>
        <w:t xml:space="preserve"> </w:t>
      </w:r>
      <w:r w:rsidRPr="00D4309F">
        <w:t>system</w:t>
      </w:r>
      <w:r w:rsidRPr="00D4309F">
        <w:rPr>
          <w:spacing w:val="-4"/>
        </w:rPr>
        <w:t xml:space="preserve"> </w:t>
      </w:r>
      <w:r w:rsidRPr="00D4309F">
        <w:t>can</w:t>
      </w:r>
      <w:r w:rsidRPr="00D4309F">
        <w:rPr>
          <w:spacing w:val="-4"/>
        </w:rPr>
        <w:t xml:space="preserve"> </w:t>
      </w:r>
      <w:r w:rsidRPr="00D4309F">
        <w:t>be</w:t>
      </w:r>
      <w:r w:rsidRPr="00D4309F">
        <w:rPr>
          <w:spacing w:val="-3"/>
        </w:rPr>
        <w:t xml:space="preserve"> </w:t>
      </w:r>
      <w:r w:rsidRPr="00D4309F">
        <w:t>easily upgraded or replaced as equipment technologies evolve or site needs change.</w:t>
      </w:r>
    </w:p>
    <w:p w14:paraId="70EAB644" w14:textId="77777777" w:rsidR="00725977" w:rsidRPr="00D4309F" w:rsidRDefault="00725977" w:rsidP="00725977">
      <w:pPr>
        <w:pStyle w:val="BodyText"/>
      </w:pPr>
      <w:r w:rsidRPr="00D4309F">
        <w:t>If</w:t>
      </w:r>
      <w:r w:rsidRPr="00D4309F">
        <w:rPr>
          <w:spacing w:val="-3"/>
        </w:rPr>
        <w:t xml:space="preserve"> </w:t>
      </w:r>
      <w:r w:rsidRPr="00D4309F">
        <w:t>sediment</w:t>
      </w:r>
      <w:r w:rsidRPr="00D4309F">
        <w:rPr>
          <w:spacing w:val="-3"/>
        </w:rPr>
        <w:t xml:space="preserve"> </w:t>
      </w:r>
      <w:r w:rsidRPr="00D4309F">
        <w:t>accumulation</w:t>
      </w:r>
      <w:r w:rsidRPr="00D4309F">
        <w:rPr>
          <w:spacing w:val="-3"/>
        </w:rPr>
        <w:t xml:space="preserve"> </w:t>
      </w:r>
      <w:r w:rsidRPr="00D4309F">
        <w:t>patterns</w:t>
      </w:r>
      <w:r w:rsidRPr="00D4309F">
        <w:rPr>
          <w:spacing w:val="-2"/>
        </w:rPr>
        <w:t xml:space="preserve"> </w:t>
      </w:r>
      <w:r w:rsidRPr="00D4309F">
        <w:t>shift</w:t>
      </w:r>
      <w:r w:rsidRPr="00D4309F">
        <w:rPr>
          <w:spacing w:val="-5"/>
        </w:rPr>
        <w:t xml:space="preserve"> </w:t>
      </w:r>
      <w:r w:rsidRPr="00D4309F">
        <w:t>beyond</w:t>
      </w:r>
      <w:r w:rsidRPr="00D4309F">
        <w:rPr>
          <w:spacing w:val="-3"/>
        </w:rPr>
        <w:t xml:space="preserve"> </w:t>
      </w:r>
      <w:r w:rsidRPr="00D4309F">
        <w:t>the</w:t>
      </w:r>
      <w:r w:rsidRPr="00D4309F">
        <w:rPr>
          <w:spacing w:val="-3"/>
        </w:rPr>
        <w:t xml:space="preserve"> </w:t>
      </w:r>
      <w:r w:rsidRPr="00D4309F">
        <w:t>reach</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breakwater</w:t>
      </w:r>
      <w:r w:rsidRPr="00D4309F">
        <w:rPr>
          <w:spacing w:val="-2"/>
        </w:rPr>
        <w:t xml:space="preserve"> </w:t>
      </w:r>
      <w:r w:rsidRPr="00D4309F">
        <w:t>or</w:t>
      </w:r>
      <w:r w:rsidRPr="00D4309F">
        <w:rPr>
          <w:spacing w:val="-2"/>
        </w:rPr>
        <w:t xml:space="preserve"> </w:t>
      </w:r>
      <w:r w:rsidRPr="00D4309F">
        <w:t>crane</w:t>
      </w:r>
      <w:r w:rsidRPr="00D4309F">
        <w:rPr>
          <w:spacing w:val="-3"/>
        </w:rPr>
        <w:t xml:space="preserve"> </w:t>
      </w:r>
      <w:r w:rsidRPr="00D4309F">
        <w:t>access</w:t>
      </w:r>
      <w:r w:rsidRPr="00D4309F">
        <w:rPr>
          <w:spacing w:val="-2"/>
        </w:rPr>
        <w:t xml:space="preserve"> </w:t>
      </w:r>
      <w:r w:rsidRPr="00D4309F">
        <w:t>area,</w:t>
      </w:r>
      <w:r w:rsidRPr="00D4309F">
        <w:rPr>
          <w:spacing w:val="-3"/>
        </w:rPr>
        <w:t xml:space="preserve"> </w:t>
      </w:r>
      <w:r w:rsidRPr="00D4309F">
        <w:t>the</w:t>
      </w:r>
      <w:r w:rsidRPr="00D4309F">
        <w:rPr>
          <w:spacing w:val="-3"/>
        </w:rPr>
        <w:t xml:space="preserve"> </w:t>
      </w:r>
      <w:r w:rsidRPr="00D4309F">
        <w:t>system could be adapted. The crane can operate from different locations on the breakwater, or from the beach, enabling access to various parts of the shoal trap.</w:t>
      </w:r>
    </w:p>
    <w:p w14:paraId="775F3281" w14:textId="77777777" w:rsidR="00725977" w:rsidRPr="00D4309F" w:rsidRDefault="00725977" w:rsidP="00725977">
      <w:pPr>
        <w:pStyle w:val="BodyText"/>
      </w:pPr>
      <w:r w:rsidRPr="00D4309F">
        <w:t>Higher</w:t>
      </w:r>
      <w:r w:rsidRPr="00D4309F">
        <w:rPr>
          <w:spacing w:val="-2"/>
        </w:rPr>
        <w:t xml:space="preserve"> </w:t>
      </w:r>
      <w:r w:rsidRPr="00D4309F">
        <w:t>capacity</w:t>
      </w:r>
      <w:r w:rsidRPr="00D4309F">
        <w:rPr>
          <w:spacing w:val="-2"/>
        </w:rPr>
        <w:t xml:space="preserve"> </w:t>
      </w:r>
      <w:r w:rsidRPr="00D4309F">
        <w:t>jet</w:t>
      </w:r>
      <w:r w:rsidRPr="00D4309F">
        <w:rPr>
          <w:spacing w:val="-3"/>
        </w:rPr>
        <w:t xml:space="preserve"> </w:t>
      </w:r>
      <w:r w:rsidRPr="00D4309F">
        <w:t>pumps</w:t>
      </w:r>
      <w:r w:rsidRPr="00D4309F">
        <w:rPr>
          <w:spacing w:val="-2"/>
        </w:rPr>
        <w:t xml:space="preserve"> </w:t>
      </w:r>
      <w:r w:rsidRPr="00D4309F">
        <w:t>or</w:t>
      </w:r>
      <w:r w:rsidRPr="00D4309F">
        <w:rPr>
          <w:spacing w:val="-2"/>
        </w:rPr>
        <w:t xml:space="preserve"> </w:t>
      </w:r>
      <w:r w:rsidRPr="00D4309F">
        <w:t>booster</w:t>
      </w:r>
      <w:r w:rsidRPr="00D4309F">
        <w:rPr>
          <w:spacing w:val="-2"/>
        </w:rPr>
        <w:t xml:space="preserve"> </w:t>
      </w:r>
      <w:r w:rsidRPr="00D4309F">
        <w:t>systems</w:t>
      </w:r>
      <w:r w:rsidRPr="00D4309F">
        <w:rPr>
          <w:spacing w:val="-2"/>
        </w:rPr>
        <w:t xml:space="preserve"> </w:t>
      </w:r>
      <w:r w:rsidRPr="00D4309F">
        <w:t>could</w:t>
      </w:r>
      <w:r w:rsidRPr="00D4309F">
        <w:rPr>
          <w:spacing w:val="-3"/>
        </w:rPr>
        <w:t xml:space="preserve"> </w:t>
      </w:r>
      <w:r w:rsidRPr="00D4309F">
        <w:t>be</w:t>
      </w:r>
      <w:r w:rsidRPr="00D4309F">
        <w:rPr>
          <w:spacing w:val="-3"/>
        </w:rPr>
        <w:t xml:space="preserve"> </w:t>
      </w:r>
      <w:r w:rsidRPr="00D4309F">
        <w:t>introduced</w:t>
      </w:r>
      <w:r w:rsidRPr="00D4309F">
        <w:rPr>
          <w:spacing w:val="-4"/>
        </w:rPr>
        <w:t xml:space="preserve"> </w:t>
      </w:r>
      <w:r w:rsidRPr="00D4309F">
        <w:t>to</w:t>
      </w:r>
      <w:r w:rsidRPr="00D4309F">
        <w:rPr>
          <w:spacing w:val="-3"/>
        </w:rPr>
        <w:t xml:space="preserve"> </w:t>
      </w:r>
      <w:r w:rsidRPr="00D4309F">
        <w:t>increase</w:t>
      </w:r>
      <w:r w:rsidRPr="00D4309F">
        <w:rPr>
          <w:spacing w:val="-3"/>
        </w:rPr>
        <w:t xml:space="preserve"> </w:t>
      </w:r>
      <w:r w:rsidRPr="00D4309F">
        <w:t>pumping</w:t>
      </w:r>
      <w:r w:rsidRPr="00D4309F">
        <w:rPr>
          <w:spacing w:val="-3"/>
        </w:rPr>
        <w:t xml:space="preserve"> </w:t>
      </w:r>
      <w:r w:rsidRPr="00D4309F">
        <w:t>efficiency</w:t>
      </w:r>
      <w:r w:rsidRPr="00D4309F">
        <w:rPr>
          <w:spacing w:val="-2"/>
        </w:rPr>
        <w:t xml:space="preserve"> </w:t>
      </w:r>
      <w:r w:rsidRPr="00D4309F">
        <w:t>or</w:t>
      </w:r>
      <w:r w:rsidRPr="00D4309F">
        <w:rPr>
          <w:spacing w:val="-4"/>
        </w:rPr>
        <w:t xml:space="preserve"> </w:t>
      </w:r>
      <w:r w:rsidRPr="00D4309F">
        <w:t>reach more distant discharge areas.</w:t>
      </w:r>
    </w:p>
    <w:p w14:paraId="1A217CF8" w14:textId="77777777" w:rsidR="00725977" w:rsidRPr="00D4309F" w:rsidRDefault="00725977" w:rsidP="00725977">
      <w:pPr>
        <w:pStyle w:val="BodyText"/>
      </w:pPr>
      <w:r w:rsidRPr="00D4309F">
        <w:t>Option</w:t>
      </w:r>
      <w:r w:rsidRPr="00D4309F">
        <w:rPr>
          <w:spacing w:val="-2"/>
        </w:rPr>
        <w:t xml:space="preserve"> </w:t>
      </w:r>
      <w:r w:rsidRPr="00D4309F">
        <w:t>3C</w:t>
      </w:r>
      <w:r w:rsidRPr="00D4309F">
        <w:rPr>
          <w:spacing w:val="-1"/>
        </w:rPr>
        <w:t xml:space="preserve"> </w:t>
      </w:r>
      <w:r w:rsidRPr="00D4309F">
        <w:t>can</w:t>
      </w:r>
      <w:r w:rsidRPr="00D4309F">
        <w:rPr>
          <w:spacing w:val="-2"/>
        </w:rPr>
        <w:t xml:space="preserve"> </w:t>
      </w:r>
      <w:r w:rsidRPr="00D4309F">
        <w:t>function</w:t>
      </w:r>
      <w:r w:rsidRPr="00D4309F">
        <w:rPr>
          <w:spacing w:val="-2"/>
        </w:rPr>
        <w:t xml:space="preserve"> </w:t>
      </w:r>
      <w:r w:rsidRPr="00D4309F">
        <w:t>in</w:t>
      </w:r>
      <w:r w:rsidRPr="00D4309F">
        <w:rPr>
          <w:spacing w:val="-3"/>
        </w:rPr>
        <w:t xml:space="preserve"> </w:t>
      </w:r>
      <w:r w:rsidRPr="00D4309F">
        <w:t>parallel</w:t>
      </w:r>
      <w:r w:rsidRPr="00D4309F">
        <w:rPr>
          <w:spacing w:val="-2"/>
        </w:rPr>
        <w:t xml:space="preserve"> </w:t>
      </w:r>
      <w:r w:rsidRPr="00D4309F">
        <w:t>with</w:t>
      </w:r>
      <w:r w:rsidRPr="00D4309F">
        <w:rPr>
          <w:spacing w:val="-2"/>
        </w:rPr>
        <w:t xml:space="preserve"> </w:t>
      </w:r>
      <w:r w:rsidRPr="00D4309F">
        <w:t>other</w:t>
      </w:r>
      <w:r w:rsidRPr="00D4309F">
        <w:rPr>
          <w:spacing w:val="-1"/>
        </w:rPr>
        <w:t xml:space="preserve"> </w:t>
      </w:r>
      <w:r w:rsidRPr="00D4309F">
        <w:t>systems.</w:t>
      </w:r>
      <w:r w:rsidRPr="00D4309F">
        <w:rPr>
          <w:spacing w:val="-4"/>
        </w:rPr>
        <w:t xml:space="preserve"> </w:t>
      </w:r>
      <w:r w:rsidRPr="00D4309F">
        <w:t>A</w:t>
      </w:r>
      <w:r w:rsidRPr="00D4309F">
        <w:rPr>
          <w:spacing w:val="-2"/>
        </w:rPr>
        <w:t xml:space="preserve"> </w:t>
      </w:r>
      <w:r w:rsidRPr="00D4309F">
        <w:t>Sand</w:t>
      </w:r>
      <w:r w:rsidRPr="00D4309F">
        <w:rPr>
          <w:spacing w:val="-2"/>
        </w:rPr>
        <w:t xml:space="preserve"> </w:t>
      </w:r>
      <w:r w:rsidRPr="00D4309F">
        <w:t>Shifter</w:t>
      </w:r>
      <w:r w:rsidRPr="00D4309F">
        <w:rPr>
          <w:spacing w:val="-1"/>
        </w:rPr>
        <w:t xml:space="preserve"> </w:t>
      </w:r>
      <w:r w:rsidRPr="00D4309F">
        <w:t>or</w:t>
      </w:r>
      <w:r w:rsidRPr="00D4309F">
        <w:rPr>
          <w:spacing w:val="-1"/>
        </w:rPr>
        <w:t xml:space="preserve"> </w:t>
      </w:r>
      <w:r w:rsidRPr="00D4309F">
        <w:t>other</w:t>
      </w:r>
      <w:r w:rsidRPr="00D4309F">
        <w:rPr>
          <w:spacing w:val="-1"/>
        </w:rPr>
        <w:t xml:space="preserve"> </w:t>
      </w:r>
      <w:r w:rsidRPr="00D4309F">
        <w:t>fixed</w:t>
      </w:r>
      <w:r w:rsidRPr="00D4309F">
        <w:rPr>
          <w:spacing w:val="-2"/>
        </w:rPr>
        <w:t xml:space="preserve"> </w:t>
      </w:r>
      <w:r w:rsidRPr="00D4309F">
        <w:t>bypass</w:t>
      </w:r>
      <w:r w:rsidRPr="00D4309F">
        <w:rPr>
          <w:spacing w:val="-2"/>
        </w:rPr>
        <w:t xml:space="preserve"> </w:t>
      </w:r>
      <w:r w:rsidRPr="00D4309F">
        <w:t>solution</w:t>
      </w:r>
      <w:r w:rsidRPr="00D4309F">
        <w:rPr>
          <w:spacing w:val="-2"/>
        </w:rPr>
        <w:t xml:space="preserve"> </w:t>
      </w:r>
      <w:r w:rsidRPr="00D4309F">
        <w:t>could</w:t>
      </w:r>
      <w:r w:rsidRPr="00D4309F">
        <w:rPr>
          <w:spacing w:val="-2"/>
        </w:rPr>
        <w:t xml:space="preserve"> </w:t>
      </w:r>
      <w:r w:rsidRPr="00D4309F">
        <w:t>be installed in the future, while retaining the crane-operated jet pump as a contingency or supplementary tool during peak events or maintenance downtime.</w:t>
      </w:r>
    </w:p>
    <w:p w14:paraId="11C4048C" w14:textId="77777777" w:rsidR="00725977" w:rsidRPr="00D4309F" w:rsidRDefault="00725977" w:rsidP="00725977">
      <w:pPr>
        <w:pStyle w:val="BodyText"/>
      </w:pPr>
      <w:r w:rsidRPr="00D4309F">
        <w:t>The system’s scalability and low fixed footprint also make it suitable</w:t>
      </w:r>
      <w:r w:rsidRPr="00D4309F">
        <w:rPr>
          <w:spacing w:val="-1"/>
        </w:rPr>
        <w:t xml:space="preserve"> </w:t>
      </w:r>
      <w:r w:rsidRPr="00D4309F">
        <w:t>for future reconfiguration. If sediment transport</w:t>
      </w:r>
      <w:r w:rsidRPr="00D4309F">
        <w:rPr>
          <w:spacing w:val="-3"/>
        </w:rPr>
        <w:t xml:space="preserve"> </w:t>
      </w:r>
      <w:r w:rsidRPr="00D4309F">
        <w:t>volumes</w:t>
      </w:r>
      <w:r w:rsidRPr="00D4309F">
        <w:rPr>
          <w:spacing w:val="-2"/>
        </w:rPr>
        <w:t xml:space="preserve"> </w:t>
      </w:r>
      <w:r w:rsidRPr="00D4309F">
        <w:t>increase</w:t>
      </w:r>
      <w:r w:rsidRPr="00D4309F">
        <w:rPr>
          <w:spacing w:val="-4"/>
        </w:rPr>
        <w:t xml:space="preserve"> </w:t>
      </w:r>
      <w:r w:rsidRPr="00D4309F">
        <w:t>or</w:t>
      </w:r>
      <w:r w:rsidRPr="00D4309F">
        <w:rPr>
          <w:spacing w:val="-2"/>
        </w:rPr>
        <w:t xml:space="preserve"> </w:t>
      </w:r>
      <w:r w:rsidRPr="00D4309F">
        <w:t>nourishment</w:t>
      </w:r>
      <w:r w:rsidRPr="00D4309F">
        <w:rPr>
          <w:spacing w:val="-3"/>
        </w:rPr>
        <w:t xml:space="preserve"> </w:t>
      </w:r>
      <w:r w:rsidRPr="00D4309F">
        <w:t>priorities</w:t>
      </w:r>
      <w:r w:rsidRPr="00D4309F">
        <w:rPr>
          <w:spacing w:val="-2"/>
        </w:rPr>
        <w:t xml:space="preserve"> </w:t>
      </w:r>
      <w:r w:rsidRPr="00D4309F">
        <w:t>shift,</w:t>
      </w:r>
      <w:r w:rsidRPr="00D4309F">
        <w:rPr>
          <w:spacing w:val="-3"/>
        </w:rPr>
        <w:t xml:space="preserve"> </w:t>
      </w:r>
      <w:r w:rsidRPr="00D4309F">
        <w:t>the</w:t>
      </w:r>
      <w:r w:rsidRPr="00D4309F">
        <w:rPr>
          <w:spacing w:val="-3"/>
        </w:rPr>
        <w:t xml:space="preserve"> </w:t>
      </w:r>
      <w:r w:rsidRPr="00D4309F">
        <w:t>discharge</w:t>
      </w:r>
      <w:r w:rsidRPr="00D4309F">
        <w:rPr>
          <w:spacing w:val="-3"/>
        </w:rPr>
        <w:t xml:space="preserve"> </w:t>
      </w:r>
      <w:r w:rsidRPr="00D4309F">
        <w:t>line</w:t>
      </w:r>
      <w:r w:rsidRPr="00D4309F">
        <w:rPr>
          <w:spacing w:val="-3"/>
        </w:rPr>
        <w:t xml:space="preserve"> </w:t>
      </w:r>
      <w:r w:rsidRPr="00D4309F">
        <w:t>can</w:t>
      </w:r>
      <w:r w:rsidRPr="00D4309F">
        <w:rPr>
          <w:spacing w:val="-3"/>
        </w:rPr>
        <w:t xml:space="preserve"> </w:t>
      </w:r>
      <w:r w:rsidRPr="00D4309F">
        <w:t>be</w:t>
      </w:r>
      <w:r w:rsidRPr="00D4309F">
        <w:rPr>
          <w:spacing w:val="-3"/>
        </w:rPr>
        <w:t xml:space="preserve"> </w:t>
      </w:r>
      <w:r w:rsidRPr="00D4309F">
        <w:t>adapted</w:t>
      </w:r>
      <w:r w:rsidRPr="00D4309F">
        <w:rPr>
          <w:spacing w:val="-3"/>
        </w:rPr>
        <w:t xml:space="preserve"> </w:t>
      </w:r>
      <w:r w:rsidRPr="00D4309F">
        <w:t>by</w:t>
      </w:r>
      <w:r w:rsidRPr="00D4309F">
        <w:rPr>
          <w:spacing w:val="-2"/>
        </w:rPr>
        <w:t xml:space="preserve"> </w:t>
      </w:r>
      <w:r w:rsidRPr="00D4309F">
        <w:t>extending the pipeline or coordinating with a hopper barge to place sand at alternative sites.</w:t>
      </w:r>
    </w:p>
    <w:p w14:paraId="1D0AA326" w14:textId="4880C64D" w:rsidR="00725977" w:rsidRPr="00D4309F" w:rsidRDefault="00725977" w:rsidP="00725977">
      <w:pPr>
        <w:pStyle w:val="BodyText"/>
      </w:pPr>
      <w:r w:rsidRPr="00D4309F">
        <w:t>Option</w:t>
      </w:r>
      <w:r w:rsidRPr="00D4309F">
        <w:rPr>
          <w:spacing w:val="-3"/>
        </w:rPr>
        <w:t xml:space="preserve"> </w:t>
      </w:r>
      <w:r w:rsidRPr="00D4309F">
        <w:t>3C’s</w:t>
      </w:r>
      <w:r w:rsidRPr="00D4309F">
        <w:rPr>
          <w:spacing w:val="-2"/>
        </w:rPr>
        <w:t xml:space="preserve"> </w:t>
      </w:r>
      <w:r w:rsidRPr="00D4309F">
        <w:t>has</w:t>
      </w:r>
      <w:r w:rsidRPr="00D4309F">
        <w:rPr>
          <w:spacing w:val="-2"/>
        </w:rPr>
        <w:t xml:space="preserve"> </w:t>
      </w:r>
      <w:r w:rsidRPr="00D4309F">
        <w:t>excellent</w:t>
      </w:r>
      <w:r w:rsidRPr="00D4309F">
        <w:rPr>
          <w:spacing w:val="-3"/>
        </w:rPr>
        <w:t xml:space="preserve"> </w:t>
      </w:r>
      <w:r w:rsidRPr="00D4309F">
        <w:t>operational</w:t>
      </w:r>
      <w:r w:rsidRPr="00D4309F">
        <w:rPr>
          <w:spacing w:val="-3"/>
        </w:rPr>
        <w:t xml:space="preserve"> </w:t>
      </w:r>
      <w:r w:rsidRPr="00D4309F">
        <w:t>agility.</w:t>
      </w:r>
      <w:r w:rsidRPr="00D4309F">
        <w:rPr>
          <w:spacing w:val="-3"/>
        </w:rPr>
        <w:t xml:space="preserve"> </w:t>
      </w:r>
      <w:r w:rsidRPr="00D4309F">
        <w:t>It</w:t>
      </w:r>
      <w:r w:rsidRPr="00D4309F">
        <w:rPr>
          <w:spacing w:val="-3"/>
        </w:rPr>
        <w:t xml:space="preserve"> </w:t>
      </w:r>
      <w:r w:rsidRPr="00D4309F">
        <w:t>has</w:t>
      </w:r>
      <w:r w:rsidRPr="00D4309F">
        <w:rPr>
          <w:spacing w:val="-2"/>
        </w:rPr>
        <w:t xml:space="preserve"> </w:t>
      </w:r>
      <w:r w:rsidRPr="00D4309F">
        <w:t>a</w:t>
      </w:r>
      <w:r w:rsidRPr="00D4309F">
        <w:rPr>
          <w:spacing w:val="-3"/>
        </w:rPr>
        <w:t xml:space="preserve"> </w:t>
      </w:r>
      <w:r w:rsidRPr="00D4309F">
        <w:t>low</w:t>
      </w:r>
      <w:r w:rsidRPr="00D4309F">
        <w:rPr>
          <w:spacing w:val="-2"/>
        </w:rPr>
        <w:t xml:space="preserve"> </w:t>
      </w:r>
      <w:r w:rsidRPr="00D4309F">
        <w:t>infrastructure</w:t>
      </w:r>
      <w:r w:rsidRPr="00D4309F">
        <w:rPr>
          <w:spacing w:val="-3"/>
        </w:rPr>
        <w:t xml:space="preserve"> </w:t>
      </w:r>
      <w:r w:rsidRPr="00D4309F">
        <w:t>commitment,</w:t>
      </w:r>
      <w:r w:rsidRPr="00D4309F">
        <w:rPr>
          <w:spacing w:val="-3"/>
        </w:rPr>
        <w:t xml:space="preserve"> </w:t>
      </w:r>
      <w:r w:rsidRPr="00D4309F">
        <w:t>responsiveness</w:t>
      </w:r>
      <w:r w:rsidRPr="00D4309F">
        <w:rPr>
          <w:spacing w:val="-2"/>
        </w:rPr>
        <w:t xml:space="preserve"> </w:t>
      </w:r>
      <w:r w:rsidRPr="00D4309F">
        <w:t>to conditions, and compatibility with evolving strategies.</w:t>
      </w:r>
    </w:p>
    <w:p w14:paraId="3C21A473" w14:textId="77777777" w:rsidR="00725977" w:rsidRPr="00D4309F" w:rsidRDefault="00725977" w:rsidP="002B2A66">
      <w:pPr>
        <w:pStyle w:val="Heading3"/>
      </w:pPr>
      <w:bookmarkStart w:id="452" w:name="_Toc216699476"/>
      <w:r w:rsidRPr="00D4309F">
        <w:t>Safety</w:t>
      </w:r>
      <w:r w:rsidRPr="00D4309F">
        <w:rPr>
          <w:spacing w:val="-5"/>
        </w:rPr>
        <w:t xml:space="preserve"> </w:t>
      </w:r>
      <w:r w:rsidRPr="00D4309F">
        <w:t>of</w:t>
      </w:r>
      <w:r w:rsidRPr="00D4309F">
        <w:rPr>
          <w:spacing w:val="-3"/>
        </w:rPr>
        <w:t xml:space="preserve"> </w:t>
      </w:r>
      <w:r w:rsidRPr="00D4309F">
        <w:t>Option</w:t>
      </w:r>
      <w:r w:rsidRPr="00D4309F">
        <w:rPr>
          <w:spacing w:val="-2"/>
        </w:rPr>
        <w:t xml:space="preserve"> </w:t>
      </w:r>
      <w:r w:rsidRPr="00D4309F">
        <w:rPr>
          <w:spacing w:val="-5"/>
        </w:rPr>
        <w:t>3C</w:t>
      </w:r>
      <w:bookmarkEnd w:id="452"/>
    </w:p>
    <w:p w14:paraId="71AE99BB" w14:textId="77777777" w:rsidR="00725977" w:rsidRPr="00D4309F" w:rsidRDefault="00725977" w:rsidP="00725977">
      <w:pPr>
        <w:pStyle w:val="BodyText"/>
      </w:pPr>
      <w:r w:rsidRPr="00D4309F">
        <w:t>Option 3C offers variable safety performance, with both strengths and notable risks. The ability to rapidly remove</w:t>
      </w:r>
      <w:r w:rsidRPr="00D4309F">
        <w:rPr>
          <w:spacing w:val="-4"/>
        </w:rPr>
        <w:t xml:space="preserve"> </w:t>
      </w:r>
      <w:r w:rsidRPr="00D4309F">
        <w:t>sand</w:t>
      </w:r>
      <w:r w:rsidRPr="00D4309F">
        <w:rPr>
          <w:spacing w:val="-3"/>
        </w:rPr>
        <w:t xml:space="preserve"> </w:t>
      </w:r>
      <w:r w:rsidRPr="00D4309F">
        <w:t>from</w:t>
      </w:r>
      <w:r w:rsidRPr="00D4309F">
        <w:rPr>
          <w:spacing w:val="-3"/>
        </w:rPr>
        <w:t xml:space="preserve"> </w:t>
      </w:r>
      <w:r w:rsidRPr="00D4309F">
        <w:t>the</w:t>
      </w:r>
      <w:r w:rsidRPr="00D4309F">
        <w:rPr>
          <w:spacing w:val="-3"/>
        </w:rPr>
        <w:t xml:space="preserve"> </w:t>
      </w:r>
      <w:r w:rsidRPr="00D4309F">
        <w:t>shoal</w:t>
      </w:r>
      <w:r w:rsidRPr="00D4309F">
        <w:rPr>
          <w:spacing w:val="-3"/>
        </w:rPr>
        <w:t xml:space="preserve"> </w:t>
      </w:r>
      <w:r w:rsidRPr="00D4309F">
        <w:t>improves</w:t>
      </w:r>
      <w:r w:rsidRPr="00D4309F">
        <w:rPr>
          <w:spacing w:val="-2"/>
        </w:rPr>
        <w:t xml:space="preserve"> </w:t>
      </w:r>
      <w:r w:rsidRPr="00D4309F">
        <w:t>reliability</w:t>
      </w:r>
      <w:r w:rsidRPr="00D4309F">
        <w:rPr>
          <w:spacing w:val="-2"/>
        </w:rPr>
        <w:t xml:space="preserve"> </w:t>
      </w:r>
      <w:r w:rsidRPr="00D4309F">
        <w:t>of</w:t>
      </w:r>
      <w:r w:rsidRPr="00D4309F">
        <w:rPr>
          <w:spacing w:val="-3"/>
        </w:rPr>
        <w:t xml:space="preserve"> </w:t>
      </w:r>
      <w:r w:rsidRPr="00D4309F">
        <w:t>all-tide</w:t>
      </w:r>
      <w:r w:rsidRPr="00D4309F">
        <w:rPr>
          <w:spacing w:val="-3"/>
        </w:rPr>
        <w:t xml:space="preserve"> </w:t>
      </w:r>
      <w:r w:rsidRPr="00D4309F">
        <w:t>access,</w:t>
      </w:r>
      <w:r w:rsidRPr="00D4309F">
        <w:rPr>
          <w:spacing w:val="-3"/>
        </w:rPr>
        <w:t xml:space="preserve"> </w:t>
      </w:r>
      <w:r w:rsidRPr="00D4309F">
        <w:t>especially</w:t>
      </w:r>
      <w:r w:rsidRPr="00D4309F">
        <w:rPr>
          <w:spacing w:val="-2"/>
        </w:rPr>
        <w:t xml:space="preserve"> </w:t>
      </w:r>
      <w:r w:rsidRPr="00D4309F">
        <w:t>after</w:t>
      </w:r>
      <w:r w:rsidRPr="00D4309F">
        <w:rPr>
          <w:spacing w:val="-4"/>
        </w:rPr>
        <w:t xml:space="preserve"> </w:t>
      </w:r>
      <w:r w:rsidRPr="00D4309F">
        <w:t>storm</w:t>
      </w:r>
      <w:r w:rsidRPr="00D4309F">
        <w:rPr>
          <w:spacing w:val="-3"/>
        </w:rPr>
        <w:t xml:space="preserve"> </w:t>
      </w:r>
      <w:r w:rsidRPr="00D4309F">
        <w:t>events,</w:t>
      </w:r>
      <w:r w:rsidRPr="00D4309F">
        <w:rPr>
          <w:spacing w:val="-5"/>
        </w:rPr>
        <w:t xml:space="preserve"> </w:t>
      </w:r>
      <w:r w:rsidRPr="00D4309F">
        <w:t>and</w:t>
      </w:r>
      <w:r w:rsidRPr="00D4309F">
        <w:rPr>
          <w:spacing w:val="-3"/>
        </w:rPr>
        <w:t xml:space="preserve"> </w:t>
      </w:r>
      <w:r w:rsidRPr="00D4309F">
        <w:t>supports clearer navigation when the crane system is deployed. However, because pumping occurs only</w:t>
      </w:r>
      <w:r w:rsidRPr="00D4309F">
        <w:rPr>
          <w:spacing w:val="40"/>
        </w:rPr>
        <w:t xml:space="preserve"> </w:t>
      </w:r>
      <w:r w:rsidRPr="00D4309F">
        <w:t>intermittently, depth stability between operations is less predictable than under Option 3B.</w:t>
      </w:r>
    </w:p>
    <w:p w14:paraId="524C7F7D" w14:textId="77777777" w:rsidR="00725977" w:rsidRPr="00D4309F" w:rsidRDefault="00725977" w:rsidP="00725977">
      <w:pPr>
        <w:pStyle w:val="BodyText"/>
      </w:pPr>
    </w:p>
    <w:p w14:paraId="7D275070" w14:textId="6554E5F5" w:rsidR="00725977" w:rsidRPr="00D4309F" w:rsidRDefault="00725977" w:rsidP="00725977">
      <w:pPr>
        <w:pStyle w:val="BodyText"/>
      </w:pPr>
      <w:r w:rsidRPr="00D4309F">
        <w:t>Mariner safety is significantly influenced by crane operations on the breakwater crest. Working adjacent to breaking waves introduces operational hazards for crane operators, support crew, and nearby water users, and requires strict safety controls and favourable environmental conditions. Equipment mobilisation may temporarily affect breakwater access and increase on-site risk exposure. While Option 3C reduces marine-traffic</w:t>
      </w:r>
      <w:r w:rsidRPr="00D4309F">
        <w:rPr>
          <w:spacing w:val="-3"/>
        </w:rPr>
        <w:t xml:space="preserve"> </w:t>
      </w:r>
      <w:r w:rsidRPr="00D4309F">
        <w:t>hazards</w:t>
      </w:r>
      <w:r w:rsidRPr="00D4309F">
        <w:rPr>
          <w:spacing w:val="-3"/>
        </w:rPr>
        <w:t xml:space="preserve"> </w:t>
      </w:r>
      <w:r w:rsidRPr="00D4309F">
        <w:t>by</w:t>
      </w:r>
      <w:r w:rsidRPr="00D4309F">
        <w:rPr>
          <w:spacing w:val="-3"/>
        </w:rPr>
        <w:t xml:space="preserve"> </w:t>
      </w:r>
      <w:r w:rsidRPr="00D4309F">
        <w:t>avoiding</w:t>
      </w:r>
      <w:r w:rsidRPr="00D4309F">
        <w:rPr>
          <w:spacing w:val="-4"/>
        </w:rPr>
        <w:t xml:space="preserve"> </w:t>
      </w:r>
      <w:r w:rsidRPr="00D4309F">
        <w:t>dredge</w:t>
      </w:r>
      <w:r w:rsidRPr="00D4309F">
        <w:rPr>
          <w:spacing w:val="-4"/>
        </w:rPr>
        <w:t xml:space="preserve"> </w:t>
      </w:r>
      <w:r w:rsidRPr="00D4309F">
        <w:t>mobilisation,</w:t>
      </w:r>
      <w:r w:rsidRPr="00D4309F">
        <w:rPr>
          <w:spacing w:val="-4"/>
        </w:rPr>
        <w:t xml:space="preserve"> </w:t>
      </w:r>
      <w:r w:rsidRPr="00D4309F">
        <w:t>it</w:t>
      </w:r>
      <w:r w:rsidRPr="00D4309F">
        <w:rPr>
          <w:spacing w:val="-4"/>
        </w:rPr>
        <w:t xml:space="preserve"> </w:t>
      </w:r>
      <w:r w:rsidRPr="00D4309F">
        <w:t>introduces</w:t>
      </w:r>
      <w:r w:rsidRPr="00D4309F">
        <w:rPr>
          <w:spacing w:val="-4"/>
        </w:rPr>
        <w:t xml:space="preserve"> </w:t>
      </w:r>
      <w:r w:rsidRPr="00D4309F">
        <w:t>substantial</w:t>
      </w:r>
      <w:r w:rsidRPr="00D4309F">
        <w:rPr>
          <w:spacing w:val="-4"/>
        </w:rPr>
        <w:t xml:space="preserve"> </w:t>
      </w:r>
      <w:r w:rsidRPr="00D4309F">
        <w:t>land-based</w:t>
      </w:r>
      <w:r w:rsidRPr="00D4309F">
        <w:rPr>
          <w:spacing w:val="-4"/>
        </w:rPr>
        <w:t xml:space="preserve"> </w:t>
      </w:r>
      <w:r w:rsidRPr="00D4309F">
        <w:t>operational</w:t>
      </w:r>
      <w:r w:rsidRPr="00D4309F">
        <w:rPr>
          <w:spacing w:val="-4"/>
        </w:rPr>
        <w:t xml:space="preserve"> </w:t>
      </w:r>
      <w:r w:rsidRPr="00D4309F">
        <w:t>risks,</w:t>
      </w:r>
      <w:r w:rsidRPr="00D4309F">
        <w:rPr>
          <w:spacing w:val="-4"/>
        </w:rPr>
        <w:t xml:space="preserve"> </w:t>
      </w:r>
      <w:r w:rsidRPr="00D4309F">
        <w:t>making its overall safety rating dependent on operational management and site conditions.</w:t>
      </w:r>
    </w:p>
    <w:p w14:paraId="6845D43E" w14:textId="77777777" w:rsidR="00725977" w:rsidRPr="00D4309F" w:rsidRDefault="00725977" w:rsidP="002B2A66">
      <w:pPr>
        <w:pStyle w:val="Heading3"/>
      </w:pPr>
      <w:bookmarkStart w:id="453" w:name="_Toc216699477"/>
      <w:r w:rsidRPr="00D4309F">
        <w:t>Cost</w:t>
      </w:r>
      <w:bookmarkEnd w:id="453"/>
    </w:p>
    <w:p w14:paraId="59EC3C98" w14:textId="77777777" w:rsidR="00725977" w:rsidRPr="00D4309F" w:rsidRDefault="00725977" w:rsidP="00E6351A">
      <w:pPr>
        <w:pStyle w:val="Heading5-nonumber"/>
      </w:pPr>
      <w:r w:rsidRPr="00D4309F">
        <w:t>Capital</w:t>
      </w:r>
      <w:r w:rsidRPr="00D4309F">
        <w:rPr>
          <w:spacing w:val="-3"/>
        </w:rPr>
        <w:t xml:space="preserve"> </w:t>
      </w:r>
      <w:r w:rsidRPr="00D4309F">
        <w:t>Works</w:t>
      </w:r>
      <w:r w:rsidRPr="00D4309F">
        <w:rPr>
          <w:spacing w:val="-3"/>
        </w:rPr>
        <w:t xml:space="preserve"> </w:t>
      </w:r>
      <w:r w:rsidRPr="00D4309F">
        <w:rPr>
          <w:spacing w:val="-2"/>
        </w:rPr>
        <w:t>Costs</w:t>
      </w:r>
    </w:p>
    <w:p w14:paraId="56DD668A" w14:textId="77777777" w:rsidR="00725977" w:rsidRPr="00D4309F" w:rsidRDefault="00725977" w:rsidP="00725977">
      <w:pPr>
        <w:pStyle w:val="BodyText"/>
      </w:pPr>
      <w:r w:rsidRPr="00D4309F">
        <w:t>Capital</w:t>
      </w:r>
      <w:r w:rsidRPr="00D4309F">
        <w:rPr>
          <w:spacing w:val="-3"/>
        </w:rPr>
        <w:t xml:space="preserve"> </w:t>
      </w:r>
      <w:r w:rsidRPr="00D4309F">
        <w:t>costs</w:t>
      </w:r>
      <w:r w:rsidRPr="00D4309F">
        <w:rPr>
          <w:spacing w:val="-2"/>
        </w:rPr>
        <w:t xml:space="preserve"> </w:t>
      </w:r>
      <w:r w:rsidRPr="00D4309F">
        <w:t>for</w:t>
      </w:r>
      <w:r w:rsidRPr="00D4309F">
        <w:rPr>
          <w:spacing w:val="-1"/>
        </w:rPr>
        <w:t xml:space="preserve"> </w:t>
      </w:r>
      <w:r w:rsidRPr="00D4309F">
        <w:t>Option</w:t>
      </w:r>
      <w:r w:rsidRPr="00D4309F">
        <w:rPr>
          <w:spacing w:val="-2"/>
        </w:rPr>
        <w:t xml:space="preserve"> </w:t>
      </w:r>
      <w:r w:rsidRPr="00D4309F">
        <w:t>3C</w:t>
      </w:r>
      <w:r w:rsidRPr="00D4309F">
        <w:rPr>
          <w:spacing w:val="-3"/>
        </w:rPr>
        <w:t xml:space="preserve"> </w:t>
      </w:r>
      <w:r w:rsidRPr="00D4309F">
        <w:t>are</w:t>
      </w:r>
      <w:r w:rsidRPr="00D4309F">
        <w:rPr>
          <w:spacing w:val="-2"/>
        </w:rPr>
        <w:t xml:space="preserve"> </w:t>
      </w:r>
      <w:r w:rsidRPr="00D4309F">
        <w:t>relatively</w:t>
      </w:r>
      <w:r w:rsidRPr="00D4309F">
        <w:rPr>
          <w:spacing w:val="-2"/>
        </w:rPr>
        <w:t xml:space="preserve"> </w:t>
      </w:r>
      <w:r w:rsidRPr="00D4309F">
        <w:t>modest</w:t>
      </w:r>
      <w:r w:rsidRPr="00D4309F">
        <w:rPr>
          <w:spacing w:val="-4"/>
        </w:rPr>
        <w:t xml:space="preserve"> </w:t>
      </w:r>
      <w:r w:rsidRPr="00D4309F">
        <w:t>compared</w:t>
      </w:r>
      <w:r w:rsidRPr="00D4309F">
        <w:rPr>
          <w:spacing w:val="-2"/>
        </w:rPr>
        <w:t xml:space="preserve"> </w:t>
      </w:r>
      <w:r w:rsidRPr="00D4309F">
        <w:t>to</w:t>
      </w:r>
      <w:r w:rsidRPr="00D4309F">
        <w:rPr>
          <w:spacing w:val="-2"/>
        </w:rPr>
        <w:t xml:space="preserve"> </w:t>
      </w:r>
      <w:r w:rsidRPr="00D4309F">
        <w:t>Options</w:t>
      </w:r>
      <w:r w:rsidRPr="00D4309F">
        <w:rPr>
          <w:spacing w:val="-1"/>
        </w:rPr>
        <w:t xml:space="preserve"> </w:t>
      </w:r>
      <w:r w:rsidRPr="00D4309F">
        <w:t>3A</w:t>
      </w:r>
      <w:r w:rsidRPr="00D4309F">
        <w:rPr>
          <w:spacing w:val="-2"/>
        </w:rPr>
        <w:t xml:space="preserve"> </w:t>
      </w:r>
      <w:r w:rsidRPr="00D4309F">
        <w:t>and</w:t>
      </w:r>
      <w:r w:rsidRPr="00D4309F">
        <w:rPr>
          <w:spacing w:val="-2"/>
        </w:rPr>
        <w:t xml:space="preserve"> </w:t>
      </w:r>
      <w:r w:rsidRPr="00D4309F">
        <w:t>3B,</w:t>
      </w:r>
      <w:r w:rsidRPr="00D4309F">
        <w:rPr>
          <w:spacing w:val="-2"/>
        </w:rPr>
        <w:t xml:space="preserve"> </w:t>
      </w:r>
      <w:r w:rsidRPr="00D4309F">
        <w:t>as</w:t>
      </w:r>
      <w:r w:rsidRPr="00D4309F">
        <w:rPr>
          <w:spacing w:val="-1"/>
        </w:rPr>
        <w:t xml:space="preserve"> </w:t>
      </w:r>
      <w:r w:rsidRPr="00D4309F">
        <w:t>the</w:t>
      </w:r>
      <w:r w:rsidRPr="00D4309F">
        <w:rPr>
          <w:spacing w:val="-2"/>
        </w:rPr>
        <w:t xml:space="preserve"> </w:t>
      </w:r>
      <w:r w:rsidRPr="00D4309F">
        <w:t>only</w:t>
      </w:r>
      <w:r w:rsidRPr="00D4309F">
        <w:rPr>
          <w:spacing w:val="-2"/>
        </w:rPr>
        <w:t xml:space="preserve"> </w:t>
      </w:r>
      <w:r w:rsidRPr="00D4309F">
        <w:t>permanent structural element is the 60 m eastern breakwater extension.</w:t>
      </w:r>
    </w:p>
    <w:p w14:paraId="06B39560" w14:textId="77777777" w:rsidR="00725977" w:rsidRPr="00D4309F" w:rsidRDefault="00725977" w:rsidP="00725977">
      <w:pPr>
        <w:pStyle w:val="BodyText"/>
      </w:pPr>
      <w:r w:rsidRPr="00D4309F">
        <w:t>The jet-pump system itself is mobile equipment, not fixed infrastructure, and therefore does not add substantial</w:t>
      </w:r>
      <w:r w:rsidRPr="00D4309F">
        <w:rPr>
          <w:spacing w:val="-4"/>
        </w:rPr>
        <w:t xml:space="preserve"> </w:t>
      </w:r>
      <w:r w:rsidRPr="00D4309F">
        <w:t>capital</w:t>
      </w:r>
      <w:r w:rsidRPr="00D4309F">
        <w:rPr>
          <w:spacing w:val="-3"/>
        </w:rPr>
        <w:t xml:space="preserve"> </w:t>
      </w:r>
      <w:r w:rsidRPr="00D4309F">
        <w:t>expenditure.</w:t>
      </w:r>
      <w:r w:rsidRPr="00D4309F">
        <w:rPr>
          <w:spacing w:val="-3"/>
        </w:rPr>
        <w:t xml:space="preserve"> </w:t>
      </w:r>
      <w:r w:rsidRPr="00D4309F">
        <w:t>Minor</w:t>
      </w:r>
      <w:r w:rsidRPr="00D4309F">
        <w:rPr>
          <w:spacing w:val="-2"/>
        </w:rPr>
        <w:t xml:space="preserve"> </w:t>
      </w:r>
      <w:r w:rsidRPr="00D4309F">
        <w:t>modifications</w:t>
      </w:r>
      <w:r w:rsidRPr="00D4309F">
        <w:rPr>
          <w:spacing w:val="-2"/>
        </w:rPr>
        <w:t xml:space="preserve"> </w:t>
      </w:r>
      <w:r w:rsidRPr="00D4309F">
        <w:t>to</w:t>
      </w:r>
      <w:r w:rsidRPr="00D4309F">
        <w:rPr>
          <w:spacing w:val="-4"/>
        </w:rPr>
        <w:t xml:space="preserve"> </w:t>
      </w:r>
      <w:r w:rsidRPr="00D4309F">
        <w:t>the</w:t>
      </w:r>
      <w:r w:rsidRPr="00D4309F">
        <w:rPr>
          <w:spacing w:val="-3"/>
        </w:rPr>
        <w:t xml:space="preserve"> </w:t>
      </w:r>
      <w:r w:rsidRPr="00D4309F">
        <w:t>breakwater</w:t>
      </w:r>
      <w:r w:rsidRPr="00D4309F">
        <w:rPr>
          <w:spacing w:val="-2"/>
        </w:rPr>
        <w:t xml:space="preserve"> </w:t>
      </w:r>
      <w:r w:rsidRPr="00D4309F">
        <w:t>crest</w:t>
      </w:r>
      <w:r w:rsidRPr="00D4309F">
        <w:rPr>
          <w:spacing w:val="-3"/>
        </w:rPr>
        <w:t xml:space="preserve"> </w:t>
      </w:r>
      <w:r w:rsidRPr="00D4309F">
        <w:t>may</w:t>
      </w:r>
      <w:r w:rsidRPr="00D4309F">
        <w:rPr>
          <w:spacing w:val="-3"/>
        </w:rPr>
        <w:t xml:space="preserve"> </w:t>
      </w:r>
      <w:r w:rsidRPr="00D4309F">
        <w:t>be</w:t>
      </w:r>
      <w:r w:rsidRPr="00D4309F">
        <w:rPr>
          <w:spacing w:val="-3"/>
        </w:rPr>
        <w:t xml:space="preserve"> </w:t>
      </w:r>
      <w:r w:rsidRPr="00D4309F">
        <w:t>required</w:t>
      </w:r>
      <w:r w:rsidRPr="00D4309F">
        <w:rPr>
          <w:spacing w:val="-3"/>
        </w:rPr>
        <w:t xml:space="preserve"> </w:t>
      </w:r>
      <w:r w:rsidRPr="00D4309F">
        <w:t>depending</w:t>
      </w:r>
      <w:r w:rsidRPr="00D4309F">
        <w:rPr>
          <w:spacing w:val="-3"/>
        </w:rPr>
        <w:t xml:space="preserve"> </w:t>
      </w:r>
      <w:r w:rsidRPr="00D4309F">
        <w:t>on crane size:</w:t>
      </w:r>
    </w:p>
    <w:p w14:paraId="3276442A" w14:textId="77777777" w:rsidR="00725977" w:rsidRPr="00D4309F" w:rsidRDefault="00725977" w:rsidP="00D27F26">
      <w:pPr>
        <w:pStyle w:val="ListParagraph"/>
        <w:widowControl w:val="0"/>
        <w:numPr>
          <w:ilvl w:val="0"/>
          <w:numId w:val="160"/>
        </w:numPr>
        <w:tabs>
          <w:tab w:val="left" w:pos="501"/>
        </w:tabs>
        <w:autoSpaceDE w:val="0"/>
        <w:autoSpaceDN w:val="0"/>
        <w:spacing w:after="0" w:line="240" w:lineRule="auto"/>
        <w:contextualSpacing w:val="0"/>
      </w:pPr>
      <w:r w:rsidRPr="00D4309F">
        <w:rPr>
          <w:color w:val="211E1F"/>
        </w:rPr>
        <w:t>A</w:t>
      </w:r>
      <w:r w:rsidRPr="00D4309F">
        <w:rPr>
          <w:color w:val="211E1F"/>
          <w:spacing w:val="-5"/>
        </w:rPr>
        <w:t xml:space="preserve"> </w:t>
      </w:r>
      <w:r w:rsidRPr="00D4309F">
        <w:rPr>
          <w:color w:val="211E1F"/>
        </w:rPr>
        <w:t>50</w:t>
      </w:r>
      <w:r w:rsidRPr="00D4309F">
        <w:rPr>
          <w:color w:val="211E1F"/>
          <w:spacing w:val="-3"/>
        </w:rPr>
        <w:t xml:space="preserve"> </w:t>
      </w:r>
      <w:r w:rsidRPr="00D4309F">
        <w:rPr>
          <w:color w:val="211E1F"/>
        </w:rPr>
        <w:t>t</w:t>
      </w:r>
      <w:r w:rsidRPr="00D4309F">
        <w:rPr>
          <w:color w:val="211E1F"/>
          <w:spacing w:val="-3"/>
        </w:rPr>
        <w:t xml:space="preserve"> </w:t>
      </w:r>
      <w:r w:rsidRPr="00D4309F">
        <w:rPr>
          <w:color w:val="211E1F"/>
        </w:rPr>
        <w:t>crawler</w:t>
      </w:r>
      <w:r w:rsidRPr="00D4309F">
        <w:rPr>
          <w:color w:val="211E1F"/>
          <w:spacing w:val="-4"/>
        </w:rPr>
        <w:t xml:space="preserve"> </w:t>
      </w:r>
      <w:r w:rsidRPr="00D4309F">
        <w:rPr>
          <w:color w:val="211E1F"/>
        </w:rPr>
        <w:t>crane</w:t>
      </w:r>
      <w:r w:rsidRPr="00D4309F">
        <w:rPr>
          <w:color w:val="211E1F"/>
          <w:spacing w:val="-3"/>
        </w:rPr>
        <w:t xml:space="preserve"> </w:t>
      </w:r>
      <w:r w:rsidRPr="00D4309F">
        <w:rPr>
          <w:color w:val="211E1F"/>
        </w:rPr>
        <w:t>can</w:t>
      </w:r>
      <w:r w:rsidRPr="00D4309F">
        <w:rPr>
          <w:color w:val="211E1F"/>
          <w:spacing w:val="-3"/>
        </w:rPr>
        <w:t xml:space="preserve"> </w:t>
      </w:r>
      <w:r w:rsidRPr="00D4309F">
        <w:rPr>
          <w:color w:val="211E1F"/>
        </w:rPr>
        <w:t>typically</w:t>
      </w:r>
      <w:r w:rsidRPr="00D4309F">
        <w:rPr>
          <w:color w:val="211E1F"/>
          <w:spacing w:val="-3"/>
        </w:rPr>
        <w:t xml:space="preserve"> </w:t>
      </w:r>
      <w:r w:rsidRPr="00D4309F">
        <w:rPr>
          <w:color w:val="211E1F"/>
        </w:rPr>
        <w:t>operate</w:t>
      </w:r>
      <w:r w:rsidRPr="00D4309F">
        <w:rPr>
          <w:color w:val="211E1F"/>
          <w:spacing w:val="-3"/>
        </w:rPr>
        <w:t xml:space="preserve"> </w:t>
      </w:r>
      <w:r w:rsidRPr="00D4309F">
        <w:rPr>
          <w:color w:val="211E1F"/>
        </w:rPr>
        <w:t>on</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existing</w:t>
      </w:r>
      <w:r w:rsidRPr="00D4309F">
        <w:rPr>
          <w:color w:val="211E1F"/>
          <w:spacing w:val="-3"/>
        </w:rPr>
        <w:t xml:space="preserve"> </w:t>
      </w:r>
      <w:r w:rsidRPr="00D4309F">
        <w:rPr>
          <w:color w:val="211E1F"/>
        </w:rPr>
        <w:t>~4</w:t>
      </w:r>
      <w:r w:rsidRPr="00D4309F">
        <w:rPr>
          <w:color w:val="211E1F"/>
          <w:spacing w:val="-3"/>
        </w:rPr>
        <w:t xml:space="preserve"> </w:t>
      </w:r>
      <w:r w:rsidRPr="00D4309F">
        <w:rPr>
          <w:color w:val="211E1F"/>
        </w:rPr>
        <w:t>m</w:t>
      </w:r>
      <w:r w:rsidRPr="00D4309F">
        <w:rPr>
          <w:color w:val="211E1F"/>
          <w:spacing w:val="-3"/>
        </w:rPr>
        <w:t xml:space="preserve"> </w:t>
      </w:r>
      <w:r w:rsidRPr="00D4309F">
        <w:rPr>
          <w:color w:val="211E1F"/>
        </w:rPr>
        <w:t>crest</w:t>
      </w:r>
      <w:r w:rsidRPr="00D4309F">
        <w:rPr>
          <w:color w:val="211E1F"/>
          <w:spacing w:val="-3"/>
        </w:rPr>
        <w:t xml:space="preserve"> </w:t>
      </w:r>
      <w:r w:rsidRPr="00D4309F">
        <w:rPr>
          <w:color w:val="211E1F"/>
        </w:rPr>
        <w:t>width</w:t>
      </w:r>
      <w:r w:rsidRPr="00D4309F">
        <w:rPr>
          <w:color w:val="211E1F"/>
          <w:spacing w:val="-3"/>
        </w:rPr>
        <w:t xml:space="preserve"> </w:t>
      </w:r>
      <w:r w:rsidRPr="00D4309F">
        <w:rPr>
          <w:color w:val="211E1F"/>
        </w:rPr>
        <w:t>with</w:t>
      </w:r>
      <w:r w:rsidRPr="00D4309F">
        <w:rPr>
          <w:color w:val="211E1F"/>
          <w:spacing w:val="-3"/>
        </w:rPr>
        <w:t xml:space="preserve"> </w:t>
      </w:r>
      <w:r w:rsidRPr="00D4309F">
        <w:rPr>
          <w:color w:val="211E1F"/>
        </w:rPr>
        <w:t>minimal</w:t>
      </w:r>
      <w:r w:rsidRPr="00D4309F">
        <w:rPr>
          <w:color w:val="211E1F"/>
          <w:spacing w:val="-3"/>
        </w:rPr>
        <w:t xml:space="preserve"> </w:t>
      </w:r>
      <w:r w:rsidRPr="00D4309F">
        <w:rPr>
          <w:color w:val="211E1F"/>
          <w:spacing w:val="-2"/>
        </w:rPr>
        <w:t>upgrades.</w:t>
      </w:r>
    </w:p>
    <w:p w14:paraId="7E21D340" w14:textId="034EDC1B" w:rsidR="00725977" w:rsidRPr="00D4309F" w:rsidRDefault="00725977" w:rsidP="003C2F8F">
      <w:pPr>
        <w:pStyle w:val="ListParagraph"/>
        <w:keepNext/>
        <w:keepLines/>
        <w:widowControl w:val="0"/>
        <w:numPr>
          <w:ilvl w:val="0"/>
          <w:numId w:val="160"/>
        </w:numPr>
        <w:tabs>
          <w:tab w:val="left" w:pos="501"/>
        </w:tabs>
        <w:autoSpaceDE w:val="0"/>
        <w:autoSpaceDN w:val="0"/>
        <w:spacing w:before="118" w:after="0" w:line="240" w:lineRule="auto"/>
        <w:ind w:right="785"/>
        <w:contextualSpacing w:val="0"/>
      </w:pPr>
      <w:r w:rsidRPr="00D4309F">
        <w:rPr>
          <w:color w:val="211E1F"/>
        </w:rPr>
        <w:t>A</w:t>
      </w:r>
      <w:r w:rsidRPr="00D4309F">
        <w:rPr>
          <w:color w:val="211E1F"/>
          <w:spacing w:val="-2"/>
        </w:rPr>
        <w:t xml:space="preserve"> </w:t>
      </w:r>
      <w:r w:rsidRPr="00D4309F">
        <w:rPr>
          <w:color w:val="211E1F"/>
        </w:rPr>
        <w:t>90</w:t>
      </w:r>
      <w:r w:rsidRPr="00D4309F">
        <w:rPr>
          <w:color w:val="211E1F"/>
          <w:spacing w:val="-2"/>
        </w:rPr>
        <w:t xml:space="preserve"> </w:t>
      </w:r>
      <w:r w:rsidRPr="00D4309F">
        <w:rPr>
          <w:color w:val="211E1F"/>
        </w:rPr>
        <w:t>t</w:t>
      </w:r>
      <w:r w:rsidRPr="00D4309F">
        <w:rPr>
          <w:color w:val="211E1F"/>
          <w:spacing w:val="-2"/>
        </w:rPr>
        <w:t xml:space="preserve"> </w:t>
      </w:r>
      <w:r w:rsidRPr="00D4309F">
        <w:rPr>
          <w:color w:val="211E1F"/>
        </w:rPr>
        <w:t>crane</w:t>
      </w:r>
      <w:r w:rsidRPr="00D4309F">
        <w:rPr>
          <w:color w:val="211E1F"/>
          <w:spacing w:val="-3"/>
        </w:rPr>
        <w:t xml:space="preserve"> </w:t>
      </w:r>
      <w:r w:rsidRPr="00D4309F">
        <w:rPr>
          <w:color w:val="211E1F"/>
        </w:rPr>
        <w:t>may</w:t>
      </w:r>
      <w:r w:rsidRPr="00D4309F">
        <w:rPr>
          <w:color w:val="211E1F"/>
          <w:spacing w:val="-1"/>
        </w:rPr>
        <w:t xml:space="preserve"> </w:t>
      </w:r>
      <w:r w:rsidRPr="00D4309F">
        <w:rPr>
          <w:color w:val="211E1F"/>
        </w:rPr>
        <w:t>require</w:t>
      </w:r>
      <w:r w:rsidRPr="00D4309F">
        <w:rPr>
          <w:color w:val="211E1F"/>
          <w:spacing w:val="-3"/>
        </w:rPr>
        <w:t xml:space="preserve"> </w:t>
      </w:r>
      <w:r w:rsidRPr="00D4309F">
        <w:rPr>
          <w:color w:val="211E1F"/>
        </w:rPr>
        <w:t>widening</w:t>
      </w:r>
      <w:r w:rsidRPr="00D4309F">
        <w:rPr>
          <w:color w:val="211E1F"/>
          <w:spacing w:val="-2"/>
        </w:rPr>
        <w:t xml:space="preserve"> </w:t>
      </w:r>
      <w:r w:rsidRPr="00D4309F">
        <w:rPr>
          <w:color w:val="211E1F"/>
        </w:rPr>
        <w:t>the</w:t>
      </w:r>
      <w:r w:rsidRPr="00D4309F">
        <w:rPr>
          <w:color w:val="211E1F"/>
          <w:spacing w:val="-3"/>
        </w:rPr>
        <w:t xml:space="preserve"> </w:t>
      </w:r>
      <w:r w:rsidRPr="00D4309F">
        <w:rPr>
          <w:color w:val="211E1F"/>
        </w:rPr>
        <w:t>final</w:t>
      </w:r>
      <w:r w:rsidRPr="00D4309F">
        <w:rPr>
          <w:color w:val="211E1F"/>
          <w:spacing w:val="-2"/>
        </w:rPr>
        <w:t xml:space="preserve"> </w:t>
      </w:r>
      <w:r w:rsidRPr="00D4309F">
        <w:rPr>
          <w:color w:val="211E1F"/>
        </w:rPr>
        <w:t>10</w:t>
      </w:r>
      <w:r w:rsidRPr="00D4309F">
        <w:rPr>
          <w:color w:val="211E1F"/>
          <w:spacing w:val="-2"/>
        </w:rPr>
        <w:t xml:space="preserve"> </w:t>
      </w:r>
      <w:r w:rsidRPr="00D4309F">
        <w:rPr>
          <w:color w:val="211E1F"/>
        </w:rPr>
        <w:t>m</w:t>
      </w:r>
      <w:r w:rsidRPr="00D4309F">
        <w:rPr>
          <w:color w:val="211E1F"/>
          <w:spacing w:val="-2"/>
        </w:rPr>
        <w:t xml:space="preserve"> </w:t>
      </w:r>
      <w:r w:rsidRPr="00D4309F">
        <w:rPr>
          <w:color w:val="211E1F"/>
        </w:rPr>
        <w:t>of</w:t>
      </w:r>
      <w:r w:rsidRPr="00D4309F">
        <w:rPr>
          <w:color w:val="211E1F"/>
          <w:spacing w:val="-2"/>
        </w:rPr>
        <w:t xml:space="preserve"> </w:t>
      </w:r>
      <w:r w:rsidRPr="00D4309F">
        <w:rPr>
          <w:color w:val="211E1F"/>
        </w:rPr>
        <w:t>the</w:t>
      </w:r>
      <w:r w:rsidRPr="00D4309F">
        <w:rPr>
          <w:color w:val="211E1F"/>
          <w:spacing w:val="-2"/>
        </w:rPr>
        <w:t xml:space="preserve"> </w:t>
      </w:r>
      <w:r w:rsidRPr="00D4309F">
        <w:rPr>
          <w:color w:val="211E1F"/>
        </w:rPr>
        <w:t>breakwater</w:t>
      </w:r>
      <w:r w:rsidRPr="00D4309F">
        <w:rPr>
          <w:color w:val="211E1F"/>
          <w:spacing w:val="-1"/>
        </w:rPr>
        <w:t xml:space="preserve"> </w:t>
      </w:r>
      <w:r w:rsidRPr="00D4309F">
        <w:rPr>
          <w:color w:val="211E1F"/>
        </w:rPr>
        <w:t>to</w:t>
      </w:r>
      <w:r w:rsidRPr="00D4309F">
        <w:rPr>
          <w:color w:val="211E1F"/>
          <w:spacing w:val="-2"/>
        </w:rPr>
        <w:t xml:space="preserve"> </w:t>
      </w:r>
      <w:r w:rsidRPr="00D4309F">
        <w:rPr>
          <w:color w:val="211E1F"/>
        </w:rPr>
        <w:t>~7</w:t>
      </w:r>
      <w:r w:rsidRPr="00D4309F">
        <w:rPr>
          <w:color w:val="211E1F"/>
          <w:spacing w:val="-2"/>
        </w:rPr>
        <w:t xml:space="preserve"> </w:t>
      </w:r>
      <w:r w:rsidRPr="00D4309F">
        <w:rPr>
          <w:color w:val="211E1F"/>
        </w:rPr>
        <w:t>m,</w:t>
      </w:r>
      <w:r w:rsidRPr="00D4309F">
        <w:rPr>
          <w:color w:val="211E1F"/>
          <w:spacing w:val="-2"/>
        </w:rPr>
        <w:t xml:space="preserve"> </w:t>
      </w:r>
      <w:r w:rsidRPr="00D4309F">
        <w:rPr>
          <w:color w:val="211E1F"/>
        </w:rPr>
        <w:t>adding</w:t>
      </w:r>
      <w:r w:rsidRPr="00D4309F">
        <w:rPr>
          <w:color w:val="211E1F"/>
          <w:spacing w:val="-2"/>
        </w:rPr>
        <w:t xml:space="preserve"> </w:t>
      </w:r>
      <w:r w:rsidR="003C2F8F">
        <w:rPr>
          <w:color w:val="211E1F"/>
          <w:spacing w:val="-2"/>
        </w:rPr>
        <w:t>a</w:t>
      </w:r>
      <w:r w:rsidRPr="00D4309F">
        <w:rPr>
          <w:color w:val="211E1F"/>
        </w:rPr>
        <w:t>pproximately 2,575 m</w:t>
      </w:r>
      <w:r w:rsidRPr="00D4309F">
        <w:rPr>
          <w:color w:val="211E1F"/>
          <w:vertAlign w:val="superscript"/>
        </w:rPr>
        <w:t>3</w:t>
      </w:r>
      <w:r w:rsidRPr="00D4309F">
        <w:rPr>
          <w:color w:val="211E1F"/>
        </w:rPr>
        <w:t xml:space="preserve"> of rock.</w:t>
      </w:r>
    </w:p>
    <w:p w14:paraId="368BBB9A" w14:textId="667C5525" w:rsidR="00D0668F" w:rsidRPr="00D4309F" w:rsidRDefault="00725977" w:rsidP="00725977">
      <w:pPr>
        <w:pStyle w:val="BodyText"/>
      </w:pPr>
      <w:r w:rsidRPr="00D4309F">
        <w:t>Such</w:t>
      </w:r>
      <w:r w:rsidRPr="00D4309F">
        <w:rPr>
          <w:spacing w:val="-3"/>
        </w:rPr>
        <w:t xml:space="preserve"> </w:t>
      </w:r>
      <w:r w:rsidRPr="00D4309F">
        <w:t>reinforcement</w:t>
      </w:r>
      <w:r w:rsidRPr="00D4309F">
        <w:rPr>
          <w:spacing w:val="-3"/>
        </w:rPr>
        <w:t xml:space="preserve"> </w:t>
      </w:r>
      <w:r w:rsidRPr="00D4309F">
        <w:t>remains</w:t>
      </w:r>
      <w:r w:rsidRPr="00D4309F">
        <w:rPr>
          <w:spacing w:val="-2"/>
        </w:rPr>
        <w:t xml:space="preserve"> </w:t>
      </w:r>
      <w:r w:rsidRPr="00D4309F">
        <w:t>small</w:t>
      </w:r>
      <w:r w:rsidRPr="00D4309F">
        <w:rPr>
          <w:spacing w:val="-3"/>
        </w:rPr>
        <w:t xml:space="preserve"> </w:t>
      </w:r>
      <w:r w:rsidRPr="00D4309F">
        <w:t>compared</w:t>
      </w:r>
      <w:r w:rsidRPr="00D4309F">
        <w:rPr>
          <w:spacing w:val="-3"/>
        </w:rPr>
        <w:t xml:space="preserve"> </w:t>
      </w:r>
      <w:r w:rsidRPr="00D4309F">
        <w:t>to</w:t>
      </w:r>
      <w:r w:rsidRPr="00D4309F">
        <w:rPr>
          <w:spacing w:val="-3"/>
        </w:rPr>
        <w:t xml:space="preserve"> </w:t>
      </w:r>
      <w:r w:rsidRPr="00D4309F">
        <w:t>the</w:t>
      </w:r>
      <w:r w:rsidRPr="00D4309F">
        <w:rPr>
          <w:spacing w:val="-3"/>
        </w:rPr>
        <w:t xml:space="preserve"> </w:t>
      </w:r>
      <w:r w:rsidRPr="00D4309F">
        <w:t>breakwater</w:t>
      </w:r>
      <w:r w:rsidRPr="00D4309F">
        <w:rPr>
          <w:spacing w:val="-2"/>
        </w:rPr>
        <w:t xml:space="preserve"> </w:t>
      </w:r>
      <w:r w:rsidRPr="00D4309F">
        <w:t>extension</w:t>
      </w:r>
      <w:r w:rsidRPr="00D4309F">
        <w:rPr>
          <w:spacing w:val="-3"/>
        </w:rPr>
        <w:t xml:space="preserve"> </w:t>
      </w:r>
      <w:r w:rsidRPr="00D4309F">
        <w:t>cost,</w:t>
      </w:r>
      <w:r w:rsidRPr="00D4309F">
        <w:rPr>
          <w:spacing w:val="-3"/>
        </w:rPr>
        <w:t xml:space="preserve"> </w:t>
      </w:r>
      <w:r w:rsidRPr="00D4309F">
        <w:t>keeping</w:t>
      </w:r>
      <w:r w:rsidRPr="00D4309F">
        <w:rPr>
          <w:spacing w:val="-3"/>
        </w:rPr>
        <w:t xml:space="preserve"> </w:t>
      </w:r>
      <w:r w:rsidRPr="00D4309F">
        <w:t>Option</w:t>
      </w:r>
      <w:r w:rsidRPr="00D4309F">
        <w:rPr>
          <w:spacing w:val="-3"/>
        </w:rPr>
        <w:t xml:space="preserve"> </w:t>
      </w:r>
      <w:r w:rsidRPr="00D4309F">
        <w:t>3C</w:t>
      </w:r>
      <w:r w:rsidRPr="00D4309F">
        <w:rPr>
          <w:spacing w:val="-2"/>
        </w:rPr>
        <w:t xml:space="preserve"> </w:t>
      </w:r>
      <w:r w:rsidRPr="00D4309F">
        <w:t>at</w:t>
      </w:r>
      <w:r w:rsidRPr="00D4309F">
        <w:rPr>
          <w:spacing w:val="-3"/>
        </w:rPr>
        <w:t xml:space="preserve"> </w:t>
      </w:r>
      <w:r w:rsidRPr="00D4309F">
        <w:t>the lower end of capital expenditure among the breakwater options.</w:t>
      </w:r>
    </w:p>
    <w:p w14:paraId="58CC9159" w14:textId="77777777" w:rsidR="00725977" w:rsidRPr="00D4309F" w:rsidRDefault="00725977" w:rsidP="00E6351A">
      <w:pPr>
        <w:pStyle w:val="Heading5-nonumber"/>
      </w:pPr>
      <w:r w:rsidRPr="00D4309F">
        <w:lastRenderedPageBreak/>
        <w:t>Operational</w:t>
      </w:r>
      <w:r w:rsidRPr="00D4309F">
        <w:rPr>
          <w:spacing w:val="-6"/>
        </w:rPr>
        <w:t xml:space="preserve"> </w:t>
      </w:r>
      <w:r w:rsidRPr="00D4309F">
        <w:rPr>
          <w:spacing w:val="-2"/>
        </w:rPr>
        <w:t>Costs</w:t>
      </w:r>
    </w:p>
    <w:p w14:paraId="3AF0DC33" w14:textId="77777777" w:rsidR="00725977" w:rsidRPr="00D4309F" w:rsidRDefault="00725977" w:rsidP="00725977">
      <w:pPr>
        <w:pStyle w:val="BodyText"/>
      </w:pPr>
      <w:r w:rsidRPr="00D4309F">
        <w:t>Operational costs arise from intermittent bypass campaigns, similar in frequency to Option 3A but using a crane-deployed</w:t>
      </w:r>
      <w:r w:rsidRPr="00D4309F">
        <w:rPr>
          <w:spacing w:val="-3"/>
        </w:rPr>
        <w:t xml:space="preserve"> </w:t>
      </w:r>
      <w:r w:rsidRPr="00D4309F">
        <w:t>jet</w:t>
      </w:r>
      <w:r w:rsidRPr="00D4309F">
        <w:rPr>
          <w:spacing w:val="-3"/>
        </w:rPr>
        <w:t xml:space="preserve"> </w:t>
      </w:r>
      <w:r w:rsidRPr="00D4309F">
        <w:t>pump</w:t>
      </w:r>
      <w:r w:rsidRPr="00D4309F">
        <w:rPr>
          <w:spacing w:val="-3"/>
        </w:rPr>
        <w:t xml:space="preserve"> </w:t>
      </w:r>
      <w:r w:rsidRPr="00D4309F">
        <w:t>rather</w:t>
      </w:r>
      <w:r w:rsidRPr="00D4309F">
        <w:rPr>
          <w:spacing w:val="-2"/>
        </w:rPr>
        <w:t xml:space="preserve"> </w:t>
      </w:r>
      <w:r w:rsidRPr="00D4309F">
        <w:t>than</w:t>
      </w:r>
      <w:r w:rsidRPr="00D4309F">
        <w:rPr>
          <w:spacing w:val="-3"/>
        </w:rPr>
        <w:t xml:space="preserve"> </w:t>
      </w:r>
      <w:r w:rsidRPr="00D4309F">
        <w:t>a</w:t>
      </w:r>
      <w:r w:rsidRPr="00D4309F">
        <w:rPr>
          <w:spacing w:val="-4"/>
        </w:rPr>
        <w:t xml:space="preserve"> </w:t>
      </w:r>
      <w:r w:rsidRPr="00D4309F">
        <w:t>cutter</w:t>
      </w:r>
      <w:r w:rsidRPr="00D4309F">
        <w:rPr>
          <w:spacing w:val="-2"/>
        </w:rPr>
        <w:t xml:space="preserve"> </w:t>
      </w:r>
      <w:r w:rsidRPr="00D4309F">
        <w:t>suction</w:t>
      </w:r>
      <w:r w:rsidRPr="00D4309F">
        <w:rPr>
          <w:spacing w:val="-4"/>
        </w:rPr>
        <w:t xml:space="preserve"> </w:t>
      </w:r>
      <w:r w:rsidRPr="00D4309F">
        <w:t>dredger</w:t>
      </w:r>
      <w:r w:rsidRPr="00D4309F">
        <w:rPr>
          <w:spacing w:val="-2"/>
        </w:rPr>
        <w:t xml:space="preserve"> </w:t>
      </w:r>
      <w:r w:rsidRPr="00D4309F">
        <w:t>(CSD).</w:t>
      </w:r>
      <w:r w:rsidRPr="00D4309F">
        <w:rPr>
          <w:spacing w:val="-3"/>
        </w:rPr>
        <w:t xml:space="preserve"> </w:t>
      </w:r>
      <w:r w:rsidRPr="00D4309F">
        <w:t>Campaigns</w:t>
      </w:r>
      <w:r w:rsidRPr="00D4309F">
        <w:rPr>
          <w:spacing w:val="-2"/>
        </w:rPr>
        <w:t xml:space="preserve"> </w:t>
      </w:r>
      <w:r w:rsidRPr="00D4309F">
        <w:t>are</w:t>
      </w:r>
      <w:r w:rsidRPr="00D4309F">
        <w:rPr>
          <w:spacing w:val="-3"/>
        </w:rPr>
        <w:t xml:space="preserve"> </w:t>
      </w:r>
      <w:r w:rsidRPr="00D4309F">
        <w:t>expected</w:t>
      </w:r>
      <w:r w:rsidRPr="00D4309F">
        <w:rPr>
          <w:spacing w:val="-3"/>
        </w:rPr>
        <w:t xml:space="preserve"> </w:t>
      </w:r>
      <w:r w:rsidRPr="00D4309F">
        <w:t>approximately every two years, targeting up to ~30,000 m³ per operation.</w:t>
      </w:r>
    </w:p>
    <w:p w14:paraId="453C5456" w14:textId="77777777" w:rsidR="00725977" w:rsidRPr="00D4309F" w:rsidRDefault="00725977" w:rsidP="00725977">
      <w:pPr>
        <w:pStyle w:val="BodyText"/>
      </w:pPr>
      <w:r w:rsidRPr="00D4309F">
        <w:t>Costs</w:t>
      </w:r>
      <w:r w:rsidRPr="00D4309F">
        <w:rPr>
          <w:spacing w:val="-4"/>
        </w:rPr>
        <w:t xml:space="preserve"> </w:t>
      </w:r>
      <w:r w:rsidRPr="00D4309F">
        <w:t>include:</w:t>
      </w:r>
    </w:p>
    <w:p w14:paraId="367C4FD8" w14:textId="77777777" w:rsidR="00725977" w:rsidRPr="00D4309F" w:rsidRDefault="00725977" w:rsidP="00D27F26">
      <w:pPr>
        <w:pStyle w:val="ListParagraph"/>
        <w:widowControl w:val="0"/>
        <w:numPr>
          <w:ilvl w:val="0"/>
          <w:numId w:val="159"/>
        </w:numPr>
        <w:tabs>
          <w:tab w:val="left" w:pos="861"/>
        </w:tabs>
        <w:autoSpaceDE w:val="0"/>
        <w:autoSpaceDN w:val="0"/>
        <w:spacing w:before="119" w:after="0" w:line="240" w:lineRule="auto"/>
        <w:contextualSpacing w:val="0"/>
      </w:pPr>
      <w:r w:rsidRPr="00D4309F">
        <w:rPr>
          <w:color w:val="211E1F"/>
        </w:rPr>
        <w:t>mobilisation</w:t>
      </w:r>
      <w:r w:rsidRPr="00D4309F">
        <w:rPr>
          <w:color w:val="211E1F"/>
          <w:spacing w:val="-4"/>
        </w:rPr>
        <w:t xml:space="preserve"> </w:t>
      </w:r>
      <w:r w:rsidRPr="00D4309F">
        <w:rPr>
          <w:color w:val="211E1F"/>
        </w:rPr>
        <w:t>of</w:t>
      </w:r>
      <w:r w:rsidRPr="00D4309F">
        <w:rPr>
          <w:color w:val="211E1F"/>
          <w:spacing w:val="-3"/>
        </w:rPr>
        <w:t xml:space="preserve"> </w:t>
      </w:r>
      <w:r w:rsidRPr="00D4309F">
        <w:rPr>
          <w:color w:val="211E1F"/>
        </w:rPr>
        <w:t>the</w:t>
      </w:r>
      <w:r w:rsidRPr="00D4309F">
        <w:rPr>
          <w:color w:val="211E1F"/>
          <w:spacing w:val="-4"/>
        </w:rPr>
        <w:t xml:space="preserve"> </w:t>
      </w:r>
      <w:r w:rsidRPr="00D4309F">
        <w:rPr>
          <w:color w:val="211E1F"/>
        </w:rPr>
        <w:t>crane</w:t>
      </w:r>
      <w:r w:rsidRPr="00D4309F">
        <w:rPr>
          <w:color w:val="211E1F"/>
          <w:spacing w:val="-3"/>
        </w:rPr>
        <w:t xml:space="preserve"> </w:t>
      </w:r>
      <w:r w:rsidRPr="00D4309F">
        <w:rPr>
          <w:color w:val="211E1F"/>
        </w:rPr>
        <w:t>and</w:t>
      </w:r>
      <w:r w:rsidRPr="00D4309F">
        <w:rPr>
          <w:color w:val="211E1F"/>
          <w:spacing w:val="-4"/>
        </w:rPr>
        <w:t xml:space="preserve"> </w:t>
      </w:r>
      <w:r w:rsidRPr="00D4309F">
        <w:rPr>
          <w:color w:val="211E1F"/>
        </w:rPr>
        <w:t>jet</w:t>
      </w:r>
      <w:r w:rsidRPr="00D4309F">
        <w:rPr>
          <w:color w:val="211E1F"/>
          <w:spacing w:val="-3"/>
        </w:rPr>
        <w:t xml:space="preserve"> </w:t>
      </w:r>
      <w:r w:rsidRPr="00D4309F">
        <w:rPr>
          <w:color w:val="211E1F"/>
          <w:spacing w:val="-4"/>
        </w:rPr>
        <w:t>pump</w:t>
      </w:r>
    </w:p>
    <w:p w14:paraId="5A0FDAD3" w14:textId="77777777" w:rsidR="00725977" w:rsidRPr="00D4309F" w:rsidRDefault="00725977" w:rsidP="00D27F26">
      <w:pPr>
        <w:pStyle w:val="ListParagraph"/>
        <w:widowControl w:val="0"/>
        <w:numPr>
          <w:ilvl w:val="0"/>
          <w:numId w:val="159"/>
        </w:numPr>
        <w:tabs>
          <w:tab w:val="left" w:pos="861"/>
        </w:tabs>
        <w:autoSpaceDE w:val="0"/>
        <w:autoSpaceDN w:val="0"/>
        <w:spacing w:before="118" w:after="0" w:line="240" w:lineRule="auto"/>
        <w:contextualSpacing w:val="0"/>
      </w:pPr>
      <w:r w:rsidRPr="00D4309F">
        <w:rPr>
          <w:color w:val="211E1F"/>
        </w:rPr>
        <w:t>fuel/power</w:t>
      </w:r>
      <w:r w:rsidRPr="00D4309F">
        <w:rPr>
          <w:color w:val="211E1F"/>
          <w:spacing w:val="-3"/>
        </w:rPr>
        <w:t xml:space="preserve"> </w:t>
      </w:r>
      <w:r w:rsidRPr="00D4309F">
        <w:rPr>
          <w:color w:val="211E1F"/>
        </w:rPr>
        <w:t>for</w:t>
      </w:r>
      <w:r w:rsidRPr="00D4309F">
        <w:rPr>
          <w:color w:val="211E1F"/>
          <w:spacing w:val="-4"/>
        </w:rPr>
        <w:t xml:space="preserve"> </w:t>
      </w:r>
      <w:r w:rsidRPr="00D4309F">
        <w:rPr>
          <w:color w:val="211E1F"/>
          <w:spacing w:val="-2"/>
        </w:rPr>
        <w:t>pumping</w:t>
      </w:r>
    </w:p>
    <w:p w14:paraId="2D4AA3D3" w14:textId="77777777" w:rsidR="00725977" w:rsidRPr="00D4309F" w:rsidRDefault="00725977" w:rsidP="00D27F26">
      <w:pPr>
        <w:pStyle w:val="ListParagraph"/>
        <w:widowControl w:val="0"/>
        <w:numPr>
          <w:ilvl w:val="0"/>
          <w:numId w:val="159"/>
        </w:numPr>
        <w:tabs>
          <w:tab w:val="left" w:pos="861"/>
        </w:tabs>
        <w:autoSpaceDE w:val="0"/>
        <w:autoSpaceDN w:val="0"/>
        <w:spacing w:before="119" w:after="0" w:line="240" w:lineRule="auto"/>
        <w:contextualSpacing w:val="0"/>
      </w:pPr>
      <w:r w:rsidRPr="00D4309F">
        <w:rPr>
          <w:color w:val="211E1F"/>
        </w:rPr>
        <w:t>hire</w:t>
      </w:r>
      <w:r w:rsidRPr="00D4309F">
        <w:rPr>
          <w:color w:val="211E1F"/>
          <w:spacing w:val="-3"/>
        </w:rPr>
        <w:t xml:space="preserve"> </w:t>
      </w:r>
      <w:r w:rsidRPr="00D4309F">
        <w:rPr>
          <w:color w:val="211E1F"/>
        </w:rPr>
        <w:t>or</w:t>
      </w:r>
      <w:r w:rsidRPr="00D4309F">
        <w:rPr>
          <w:color w:val="211E1F"/>
          <w:spacing w:val="-3"/>
        </w:rPr>
        <w:t xml:space="preserve"> </w:t>
      </w:r>
      <w:r w:rsidRPr="00D4309F">
        <w:rPr>
          <w:color w:val="211E1F"/>
        </w:rPr>
        <w:t>operation</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booster</w:t>
      </w:r>
      <w:r w:rsidRPr="00D4309F">
        <w:rPr>
          <w:color w:val="211E1F"/>
          <w:spacing w:val="-3"/>
        </w:rPr>
        <w:t xml:space="preserve"> </w:t>
      </w:r>
      <w:r w:rsidRPr="00D4309F">
        <w:rPr>
          <w:color w:val="211E1F"/>
        </w:rPr>
        <w:t>pumps,</w:t>
      </w:r>
      <w:r w:rsidRPr="00D4309F">
        <w:rPr>
          <w:color w:val="211E1F"/>
          <w:spacing w:val="-3"/>
        </w:rPr>
        <w:t xml:space="preserve"> </w:t>
      </w:r>
      <w:r w:rsidRPr="00D4309F">
        <w:rPr>
          <w:color w:val="211E1F"/>
        </w:rPr>
        <w:t>hoses,</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spacing w:val="-2"/>
        </w:rPr>
        <w:t>pipeline</w:t>
      </w:r>
    </w:p>
    <w:p w14:paraId="237BA0F5" w14:textId="77777777" w:rsidR="00725977" w:rsidRPr="00D4309F" w:rsidRDefault="00725977" w:rsidP="00D27F26">
      <w:pPr>
        <w:pStyle w:val="ListParagraph"/>
        <w:widowControl w:val="0"/>
        <w:numPr>
          <w:ilvl w:val="0"/>
          <w:numId w:val="159"/>
        </w:numPr>
        <w:tabs>
          <w:tab w:val="left" w:pos="861"/>
        </w:tabs>
        <w:autoSpaceDE w:val="0"/>
        <w:autoSpaceDN w:val="0"/>
        <w:spacing w:before="118" w:after="0" w:line="240" w:lineRule="auto"/>
        <w:contextualSpacing w:val="0"/>
      </w:pPr>
      <w:r w:rsidRPr="00D4309F">
        <w:rPr>
          <w:color w:val="211E1F"/>
        </w:rPr>
        <w:t>labour,</w:t>
      </w:r>
      <w:r w:rsidRPr="00D4309F">
        <w:rPr>
          <w:color w:val="211E1F"/>
          <w:spacing w:val="-5"/>
        </w:rPr>
        <w:t xml:space="preserve"> </w:t>
      </w:r>
      <w:r w:rsidRPr="00D4309F">
        <w:rPr>
          <w:color w:val="211E1F"/>
        </w:rPr>
        <w:t>monitoring,</w:t>
      </w:r>
      <w:r w:rsidRPr="00D4309F">
        <w:rPr>
          <w:color w:val="211E1F"/>
          <w:spacing w:val="-4"/>
        </w:rPr>
        <w:t xml:space="preserve"> </w:t>
      </w:r>
      <w:r w:rsidRPr="00D4309F">
        <w:rPr>
          <w:color w:val="211E1F"/>
        </w:rPr>
        <w:t>and</w:t>
      </w:r>
      <w:r w:rsidRPr="00D4309F">
        <w:rPr>
          <w:color w:val="211E1F"/>
          <w:spacing w:val="-4"/>
        </w:rPr>
        <w:t xml:space="preserve"> </w:t>
      </w:r>
      <w:r w:rsidRPr="00D4309F">
        <w:rPr>
          <w:color w:val="211E1F"/>
          <w:spacing w:val="-2"/>
        </w:rPr>
        <w:t>demobilisation</w:t>
      </w:r>
    </w:p>
    <w:p w14:paraId="58DA9F89" w14:textId="77777777" w:rsidR="00725977" w:rsidRPr="00D4309F" w:rsidRDefault="00725977" w:rsidP="00725977">
      <w:pPr>
        <w:pStyle w:val="BodyText"/>
      </w:pPr>
      <w:r w:rsidRPr="00D4309F">
        <w:t>While</w:t>
      </w:r>
      <w:r w:rsidRPr="00D4309F">
        <w:rPr>
          <w:spacing w:val="-3"/>
        </w:rPr>
        <w:t xml:space="preserve"> </w:t>
      </w:r>
      <w:r w:rsidRPr="00D4309F">
        <w:t>mobilisation</w:t>
      </w:r>
      <w:r w:rsidRPr="00D4309F">
        <w:rPr>
          <w:spacing w:val="-3"/>
        </w:rPr>
        <w:t xml:space="preserve"> </w:t>
      </w:r>
      <w:r w:rsidRPr="00D4309F">
        <w:t>costs</w:t>
      </w:r>
      <w:r w:rsidRPr="00D4309F">
        <w:rPr>
          <w:spacing w:val="-2"/>
        </w:rPr>
        <w:t xml:space="preserve"> </w:t>
      </w:r>
      <w:r w:rsidRPr="00D4309F">
        <w:t>are</w:t>
      </w:r>
      <w:r w:rsidRPr="00D4309F">
        <w:rPr>
          <w:spacing w:val="-3"/>
        </w:rPr>
        <w:t xml:space="preserve"> </w:t>
      </w:r>
      <w:r w:rsidRPr="00D4309F">
        <w:t>lower</w:t>
      </w:r>
      <w:r w:rsidRPr="00D4309F">
        <w:rPr>
          <w:spacing w:val="-2"/>
        </w:rPr>
        <w:t xml:space="preserve"> </w:t>
      </w:r>
      <w:r w:rsidRPr="00D4309F">
        <w:t>than</w:t>
      </w:r>
      <w:r w:rsidRPr="00D4309F">
        <w:rPr>
          <w:spacing w:val="-4"/>
        </w:rPr>
        <w:t xml:space="preserve"> </w:t>
      </w:r>
      <w:r w:rsidRPr="00D4309F">
        <w:t>a</w:t>
      </w:r>
      <w:r w:rsidRPr="00D4309F">
        <w:rPr>
          <w:spacing w:val="-3"/>
        </w:rPr>
        <w:t xml:space="preserve"> </w:t>
      </w:r>
      <w:r w:rsidRPr="00D4309F">
        <w:t>full</w:t>
      </w:r>
      <w:r w:rsidRPr="00D4309F">
        <w:rPr>
          <w:spacing w:val="-3"/>
        </w:rPr>
        <w:t xml:space="preserve"> </w:t>
      </w:r>
      <w:r w:rsidRPr="00D4309F">
        <w:t>dredge</w:t>
      </w:r>
      <w:r w:rsidRPr="00D4309F">
        <w:rPr>
          <w:spacing w:val="-3"/>
        </w:rPr>
        <w:t xml:space="preserve"> </w:t>
      </w:r>
      <w:r w:rsidRPr="00D4309F">
        <w:t>campaign,</w:t>
      </w:r>
      <w:r w:rsidRPr="00D4309F">
        <w:rPr>
          <w:spacing w:val="-3"/>
        </w:rPr>
        <w:t xml:space="preserve"> </w:t>
      </w:r>
      <w:r w:rsidRPr="00D4309F">
        <w:t>jet-pump</w:t>
      </w:r>
      <w:r w:rsidRPr="00D4309F">
        <w:rPr>
          <w:spacing w:val="-3"/>
        </w:rPr>
        <w:t xml:space="preserve"> </w:t>
      </w:r>
      <w:r w:rsidRPr="00D4309F">
        <w:t>productivity</w:t>
      </w:r>
      <w:r w:rsidRPr="00D4309F">
        <w:rPr>
          <w:spacing w:val="-3"/>
        </w:rPr>
        <w:t xml:space="preserve"> </w:t>
      </w:r>
      <w:r w:rsidRPr="00D4309F">
        <w:t>can</w:t>
      </w:r>
      <w:r w:rsidRPr="00D4309F">
        <w:rPr>
          <w:spacing w:val="-3"/>
        </w:rPr>
        <w:t xml:space="preserve"> </w:t>
      </w:r>
      <w:r w:rsidRPr="00D4309F">
        <w:t>be</w:t>
      </w:r>
      <w:r w:rsidRPr="00D4309F">
        <w:rPr>
          <w:spacing w:val="-3"/>
        </w:rPr>
        <w:t xml:space="preserve"> </w:t>
      </w:r>
      <w:r w:rsidRPr="00D4309F">
        <w:t>sensitive</w:t>
      </w:r>
      <w:r w:rsidRPr="00D4309F">
        <w:rPr>
          <w:spacing w:val="-3"/>
        </w:rPr>
        <w:t xml:space="preserve"> </w:t>
      </w:r>
      <w:r w:rsidRPr="00D4309F">
        <w:t>to</w:t>
      </w:r>
      <w:r w:rsidRPr="00D4309F">
        <w:rPr>
          <w:spacing w:val="-3"/>
        </w:rPr>
        <w:t xml:space="preserve"> </w:t>
      </w:r>
      <w:r w:rsidRPr="00D4309F">
        <w:t>sea state and pump positioning. Unit rates are generally comparable to or slightly lower than CSD-based dredging, depending on weather conditions and shoal characteristics. The system remains flexible and scalable, and additional campaigns can be initiated in response to larger storm-driven shoaling pulses.</w:t>
      </w:r>
    </w:p>
    <w:p w14:paraId="35B751BA" w14:textId="132E89CF" w:rsidR="00725977" w:rsidRPr="00D4309F" w:rsidRDefault="00725977" w:rsidP="00725977">
      <w:pPr>
        <w:pStyle w:val="BodyText"/>
      </w:pPr>
      <w:r w:rsidRPr="00D4309F">
        <w:t>Option 3C offers a lower-capital, moderate-operational-cost bypassing approach with operational expenditure</w:t>
      </w:r>
      <w:r w:rsidRPr="00D4309F">
        <w:rPr>
          <w:spacing w:val="-4"/>
        </w:rPr>
        <w:t xml:space="preserve"> </w:t>
      </w:r>
      <w:r w:rsidRPr="00D4309F">
        <w:t>governed</w:t>
      </w:r>
      <w:r w:rsidRPr="00D4309F">
        <w:rPr>
          <w:spacing w:val="-4"/>
        </w:rPr>
        <w:t xml:space="preserve"> </w:t>
      </w:r>
      <w:r w:rsidRPr="00D4309F">
        <w:t>by</w:t>
      </w:r>
      <w:r w:rsidRPr="00D4309F">
        <w:rPr>
          <w:spacing w:val="-4"/>
        </w:rPr>
        <w:t xml:space="preserve"> </w:t>
      </w:r>
      <w:r w:rsidRPr="00D4309F">
        <w:t>campaign</w:t>
      </w:r>
      <w:r w:rsidRPr="00D4309F">
        <w:rPr>
          <w:spacing w:val="-4"/>
        </w:rPr>
        <w:t xml:space="preserve"> </w:t>
      </w:r>
      <w:r w:rsidRPr="00D4309F">
        <w:t>frequency</w:t>
      </w:r>
      <w:r w:rsidRPr="00D4309F">
        <w:rPr>
          <w:spacing w:val="-3"/>
        </w:rPr>
        <w:t xml:space="preserve"> </w:t>
      </w:r>
      <w:r w:rsidRPr="00D4309F">
        <w:t>and</w:t>
      </w:r>
      <w:r w:rsidRPr="00D4309F">
        <w:rPr>
          <w:spacing w:val="-4"/>
        </w:rPr>
        <w:t xml:space="preserve"> </w:t>
      </w:r>
      <w:r w:rsidRPr="00D4309F">
        <w:t>productivity</w:t>
      </w:r>
      <w:r w:rsidRPr="00D4309F">
        <w:rPr>
          <w:spacing w:val="-3"/>
        </w:rPr>
        <w:t xml:space="preserve"> </w:t>
      </w:r>
      <w:r w:rsidRPr="00D4309F">
        <w:t>rather</w:t>
      </w:r>
      <w:r w:rsidRPr="00D4309F">
        <w:rPr>
          <w:spacing w:val="-3"/>
        </w:rPr>
        <w:t xml:space="preserve"> </w:t>
      </w:r>
      <w:r w:rsidRPr="00D4309F">
        <w:t>than</w:t>
      </w:r>
      <w:r w:rsidRPr="00D4309F">
        <w:rPr>
          <w:spacing w:val="-5"/>
        </w:rPr>
        <w:t xml:space="preserve"> </w:t>
      </w:r>
      <w:r w:rsidRPr="00D4309F">
        <w:t>continuous</w:t>
      </w:r>
      <w:r w:rsidRPr="00D4309F">
        <w:rPr>
          <w:spacing w:val="-3"/>
        </w:rPr>
        <w:t xml:space="preserve"> </w:t>
      </w:r>
      <w:r w:rsidRPr="00D4309F">
        <w:t>machinery</w:t>
      </w:r>
      <w:r w:rsidRPr="00D4309F">
        <w:rPr>
          <w:spacing w:val="-3"/>
        </w:rPr>
        <w:t xml:space="preserve"> </w:t>
      </w:r>
      <w:r w:rsidRPr="00D4309F">
        <w:t xml:space="preserve">running </w:t>
      </w:r>
      <w:r w:rsidRPr="00D4309F">
        <w:rPr>
          <w:spacing w:val="-2"/>
        </w:rPr>
        <w:t>costs.</w:t>
      </w:r>
    </w:p>
    <w:p w14:paraId="54C710FB" w14:textId="77777777" w:rsidR="00725977" w:rsidRPr="00D4309F" w:rsidRDefault="00725977" w:rsidP="002B2A66">
      <w:pPr>
        <w:pStyle w:val="Heading2"/>
      </w:pPr>
      <w:bookmarkStart w:id="454" w:name="_bookmark162"/>
      <w:bookmarkStart w:id="455" w:name="_Toc216699478"/>
      <w:bookmarkEnd w:id="454"/>
      <w:r w:rsidRPr="00D4309F">
        <w:t>Option</w:t>
      </w:r>
      <w:r w:rsidRPr="00D4309F">
        <w:rPr>
          <w:spacing w:val="-13"/>
        </w:rPr>
        <w:t xml:space="preserve"> </w:t>
      </w:r>
      <w:r w:rsidRPr="00D4309F">
        <w:t>3</w:t>
      </w:r>
      <w:r w:rsidRPr="00D4309F">
        <w:rPr>
          <w:spacing w:val="-11"/>
        </w:rPr>
        <w:t xml:space="preserve"> </w:t>
      </w:r>
      <w:r w:rsidRPr="00D4309F">
        <w:t>sub-options</w:t>
      </w:r>
      <w:r w:rsidRPr="00D4309F">
        <w:rPr>
          <w:spacing w:val="-11"/>
        </w:rPr>
        <w:t xml:space="preserve"> </w:t>
      </w:r>
      <w:r w:rsidRPr="00D4309F">
        <w:rPr>
          <w:spacing w:val="-2"/>
        </w:rPr>
        <w:t>compared</w:t>
      </w:r>
      <w:bookmarkEnd w:id="455"/>
    </w:p>
    <w:p w14:paraId="7039ED95" w14:textId="2F163BFB" w:rsidR="00725977" w:rsidRPr="00D4309F" w:rsidRDefault="00D4229D" w:rsidP="007774EC">
      <w:pPr>
        <w:pStyle w:val="Table-Caption"/>
      </w:pPr>
      <w:bookmarkStart w:id="456" w:name="_bookmark163"/>
      <w:bookmarkStart w:id="457" w:name="_Toc216699575"/>
      <w:bookmarkEnd w:id="456"/>
      <w:r>
        <w:t xml:space="preserve">Table </w:t>
      </w:r>
      <w:r w:rsidR="00151534">
        <w:fldChar w:fldCharType="begin" w:fldLock="1"/>
      </w:r>
      <w:r w:rsidR="00151534">
        <w:instrText xml:space="preserve"> STYLEREF 1 \s </w:instrText>
      </w:r>
      <w:r w:rsidR="00151534">
        <w:fldChar w:fldCharType="separate"/>
      </w:r>
      <w:r w:rsidR="00151534">
        <w:rPr>
          <w:noProof/>
        </w:rPr>
        <w:t>15</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7</w:t>
      </w:r>
      <w:r w:rsidR="00151534">
        <w:fldChar w:fldCharType="end"/>
      </w:r>
      <w:r>
        <w:t>:</w:t>
      </w:r>
      <w:r>
        <w:tab/>
      </w:r>
      <w:r w:rsidRPr="00D4309F">
        <w:rPr>
          <w:color w:val="211E1F"/>
        </w:rPr>
        <w:t>Comparison of</w:t>
      </w:r>
      <w:r w:rsidRPr="00D4309F">
        <w:rPr>
          <w:color w:val="211E1F"/>
          <w:spacing w:val="-2"/>
        </w:rPr>
        <w:t xml:space="preserve"> </w:t>
      </w:r>
      <w:r w:rsidRPr="00D4309F">
        <w:rPr>
          <w:color w:val="211E1F"/>
        </w:rPr>
        <w:t>Option</w:t>
      </w:r>
      <w:r w:rsidRPr="00D4309F">
        <w:rPr>
          <w:color w:val="211E1F"/>
          <w:spacing w:val="-2"/>
        </w:rPr>
        <w:t xml:space="preserve"> </w:t>
      </w:r>
      <w:r w:rsidRPr="00D4309F">
        <w:rPr>
          <w:color w:val="211E1F"/>
        </w:rPr>
        <w:t>3</w:t>
      </w:r>
      <w:r w:rsidRPr="00D4309F">
        <w:rPr>
          <w:color w:val="211E1F"/>
          <w:spacing w:val="-2"/>
        </w:rPr>
        <w:t xml:space="preserve"> variations</w:t>
      </w:r>
      <w:bookmarkEnd w:id="457"/>
    </w:p>
    <w:tbl>
      <w:tblPr>
        <w:tblW w:w="5000" w:type="pct"/>
        <w:tblCellMar>
          <w:left w:w="0" w:type="dxa"/>
          <w:right w:w="0" w:type="dxa"/>
        </w:tblCellMar>
        <w:tblLook w:val="01E0" w:firstRow="1" w:lastRow="1" w:firstColumn="1" w:lastColumn="1" w:noHBand="0" w:noVBand="0"/>
      </w:tblPr>
      <w:tblGrid>
        <w:gridCol w:w="1400"/>
        <w:gridCol w:w="2568"/>
        <w:gridCol w:w="3111"/>
        <w:gridCol w:w="2563"/>
      </w:tblGrid>
      <w:tr w:rsidR="00725977" w:rsidRPr="00D4309F" w14:paraId="62FAD868" w14:textId="77777777" w:rsidTr="007B3B30">
        <w:trPr>
          <w:cantSplit/>
          <w:trHeight w:val="20"/>
          <w:tblHeader/>
        </w:trPr>
        <w:tc>
          <w:tcPr>
            <w:tcW w:w="699" w:type="pct"/>
            <w:tcBorders>
              <w:bottom w:val="single" w:sz="18" w:space="0" w:color="70004A"/>
            </w:tcBorders>
            <w:shd w:val="clear" w:color="auto" w:fill="D6D7D5"/>
          </w:tcPr>
          <w:p w14:paraId="795C69BB" w14:textId="77777777" w:rsidR="00725977" w:rsidRPr="00D4309F" w:rsidRDefault="00725977">
            <w:pPr>
              <w:pStyle w:val="TableParagraph"/>
              <w:spacing w:before="143"/>
              <w:rPr>
                <w:b/>
                <w:sz w:val="18"/>
              </w:rPr>
            </w:pPr>
          </w:p>
          <w:p w14:paraId="69512DD5" w14:textId="77777777" w:rsidR="00725977" w:rsidRPr="00D4309F" w:rsidRDefault="00725977">
            <w:pPr>
              <w:pStyle w:val="TableParagraph"/>
              <w:ind w:left="72"/>
              <w:rPr>
                <w:b/>
                <w:sz w:val="18"/>
              </w:rPr>
            </w:pPr>
            <w:r w:rsidRPr="00D4309F">
              <w:rPr>
                <w:b/>
                <w:color w:val="70004A"/>
                <w:spacing w:val="-2"/>
                <w:sz w:val="18"/>
              </w:rPr>
              <w:t>Criteria</w:t>
            </w:r>
          </w:p>
        </w:tc>
        <w:tc>
          <w:tcPr>
            <w:tcW w:w="1341" w:type="pct"/>
            <w:tcBorders>
              <w:bottom w:val="single" w:sz="18" w:space="0" w:color="70004A"/>
            </w:tcBorders>
            <w:shd w:val="clear" w:color="auto" w:fill="D6D7D5"/>
          </w:tcPr>
          <w:p w14:paraId="6A582ACE" w14:textId="77777777" w:rsidR="00725977" w:rsidRPr="00D4309F" w:rsidRDefault="00725977">
            <w:pPr>
              <w:pStyle w:val="TableParagraph"/>
              <w:spacing w:before="143"/>
              <w:ind w:left="127" w:right="88"/>
              <w:rPr>
                <w:b/>
                <w:sz w:val="18"/>
              </w:rPr>
            </w:pPr>
            <w:r w:rsidRPr="00D4309F">
              <w:rPr>
                <w:b/>
                <w:color w:val="70004A"/>
                <w:sz w:val="18"/>
              </w:rPr>
              <w:t>Option 3A – Breakwater extensions</w:t>
            </w:r>
            <w:r w:rsidRPr="00D4309F">
              <w:rPr>
                <w:b/>
                <w:color w:val="70004A"/>
                <w:spacing w:val="-15"/>
                <w:sz w:val="18"/>
              </w:rPr>
              <w:t xml:space="preserve"> </w:t>
            </w:r>
            <w:r w:rsidRPr="00D4309F">
              <w:rPr>
                <w:b/>
                <w:color w:val="70004A"/>
                <w:sz w:val="18"/>
              </w:rPr>
              <w:t>with</w:t>
            </w:r>
            <w:r w:rsidRPr="00D4309F">
              <w:rPr>
                <w:b/>
                <w:color w:val="70004A"/>
                <w:spacing w:val="-12"/>
                <w:sz w:val="18"/>
              </w:rPr>
              <w:t xml:space="preserve"> </w:t>
            </w:r>
            <w:r w:rsidRPr="00D4309F">
              <w:rPr>
                <w:b/>
                <w:color w:val="70004A"/>
                <w:sz w:val="18"/>
              </w:rPr>
              <w:t>dredging and placement</w:t>
            </w:r>
          </w:p>
        </w:tc>
        <w:tc>
          <w:tcPr>
            <w:tcW w:w="1622" w:type="pct"/>
            <w:tcBorders>
              <w:bottom w:val="single" w:sz="18" w:space="0" w:color="70004A"/>
            </w:tcBorders>
            <w:shd w:val="clear" w:color="auto" w:fill="D6D7D5"/>
          </w:tcPr>
          <w:p w14:paraId="536F064A" w14:textId="77777777" w:rsidR="00725977" w:rsidRPr="00D4309F" w:rsidRDefault="00725977">
            <w:pPr>
              <w:pStyle w:val="TableParagraph"/>
              <w:spacing w:before="39"/>
              <w:rPr>
                <w:b/>
                <w:sz w:val="18"/>
              </w:rPr>
            </w:pPr>
          </w:p>
          <w:p w14:paraId="65511C79" w14:textId="77777777" w:rsidR="00725977" w:rsidRPr="00D4309F" w:rsidRDefault="00725977">
            <w:pPr>
              <w:pStyle w:val="TableParagraph"/>
              <w:ind w:left="61"/>
              <w:rPr>
                <w:b/>
                <w:sz w:val="18"/>
              </w:rPr>
            </w:pPr>
            <w:r w:rsidRPr="00D4309F">
              <w:rPr>
                <w:b/>
                <w:color w:val="70004A"/>
                <w:sz w:val="18"/>
              </w:rPr>
              <w:t>Option</w:t>
            </w:r>
            <w:r w:rsidRPr="00D4309F">
              <w:rPr>
                <w:b/>
                <w:color w:val="70004A"/>
                <w:spacing w:val="-10"/>
                <w:sz w:val="18"/>
              </w:rPr>
              <w:t xml:space="preserve"> </w:t>
            </w:r>
            <w:r w:rsidRPr="00D4309F">
              <w:rPr>
                <w:b/>
                <w:color w:val="70004A"/>
                <w:sz w:val="18"/>
              </w:rPr>
              <w:t>3B</w:t>
            </w:r>
            <w:r w:rsidRPr="00D4309F">
              <w:rPr>
                <w:b/>
                <w:color w:val="70004A"/>
                <w:spacing w:val="-10"/>
                <w:sz w:val="18"/>
              </w:rPr>
              <w:t xml:space="preserve"> </w:t>
            </w:r>
            <w:r w:rsidRPr="00D4309F">
              <w:rPr>
                <w:b/>
                <w:color w:val="70004A"/>
                <w:sz w:val="18"/>
              </w:rPr>
              <w:t>–</w:t>
            </w:r>
            <w:r w:rsidRPr="00D4309F">
              <w:rPr>
                <w:b/>
                <w:color w:val="70004A"/>
                <w:spacing w:val="-10"/>
                <w:sz w:val="18"/>
              </w:rPr>
              <w:t xml:space="preserve"> </w:t>
            </w:r>
            <w:r w:rsidRPr="00D4309F">
              <w:rPr>
                <w:b/>
                <w:color w:val="70004A"/>
                <w:sz w:val="18"/>
              </w:rPr>
              <w:t>Breakwater</w:t>
            </w:r>
            <w:r w:rsidRPr="00D4309F">
              <w:rPr>
                <w:b/>
                <w:color w:val="70004A"/>
                <w:spacing w:val="-9"/>
                <w:sz w:val="18"/>
              </w:rPr>
              <w:t xml:space="preserve"> </w:t>
            </w:r>
            <w:r w:rsidRPr="00D4309F">
              <w:rPr>
                <w:b/>
                <w:color w:val="70004A"/>
                <w:sz w:val="18"/>
              </w:rPr>
              <w:t>extension with sand shifter bypass system</w:t>
            </w:r>
          </w:p>
        </w:tc>
        <w:tc>
          <w:tcPr>
            <w:tcW w:w="1338" w:type="pct"/>
            <w:tcBorders>
              <w:bottom w:val="single" w:sz="18" w:space="0" w:color="70004A"/>
            </w:tcBorders>
            <w:shd w:val="clear" w:color="auto" w:fill="D6D7D5"/>
          </w:tcPr>
          <w:p w14:paraId="73BE34C1" w14:textId="6D7CCE3D" w:rsidR="00725977" w:rsidRPr="00D4309F" w:rsidRDefault="00725977">
            <w:pPr>
              <w:pStyle w:val="TableParagraph"/>
              <w:spacing w:before="40"/>
              <w:ind w:left="64" w:right="63"/>
              <w:rPr>
                <w:b/>
                <w:sz w:val="18"/>
              </w:rPr>
            </w:pPr>
            <w:r w:rsidRPr="00D4309F">
              <w:rPr>
                <w:b/>
                <w:color w:val="70004A"/>
                <w:sz w:val="18"/>
              </w:rPr>
              <w:t xml:space="preserve">Option 3C </w:t>
            </w:r>
            <w:r w:rsidR="004C50C1">
              <w:rPr>
                <w:b/>
                <w:color w:val="70004A"/>
                <w:sz w:val="18"/>
              </w:rPr>
              <w:t>–</w:t>
            </w:r>
            <w:r w:rsidRPr="00D4309F">
              <w:rPr>
                <w:b/>
                <w:color w:val="70004A"/>
                <w:sz w:val="18"/>
              </w:rPr>
              <w:t xml:space="preserve"> Bre</w:t>
            </w:r>
            <w:r w:rsidR="004C50C1">
              <w:rPr>
                <w:b/>
                <w:color w:val="70004A"/>
                <w:sz w:val="18"/>
              </w:rPr>
              <w:t>a</w:t>
            </w:r>
            <w:r w:rsidRPr="00D4309F">
              <w:rPr>
                <w:b/>
                <w:color w:val="70004A"/>
                <w:sz w:val="18"/>
              </w:rPr>
              <w:t>kwater Extension with Crane-Operated</w:t>
            </w:r>
            <w:r w:rsidRPr="00D4309F">
              <w:rPr>
                <w:b/>
                <w:color w:val="70004A"/>
                <w:spacing w:val="-13"/>
                <w:sz w:val="18"/>
              </w:rPr>
              <w:t xml:space="preserve"> </w:t>
            </w:r>
            <w:r w:rsidRPr="00D4309F">
              <w:rPr>
                <w:b/>
                <w:color w:val="70004A"/>
                <w:sz w:val="18"/>
              </w:rPr>
              <w:t>Mobile</w:t>
            </w:r>
            <w:r w:rsidRPr="00D4309F">
              <w:rPr>
                <w:b/>
                <w:color w:val="70004A"/>
                <w:spacing w:val="-12"/>
                <w:sz w:val="18"/>
              </w:rPr>
              <w:t xml:space="preserve"> </w:t>
            </w:r>
            <w:r w:rsidRPr="00D4309F">
              <w:rPr>
                <w:b/>
                <w:color w:val="70004A"/>
                <w:sz w:val="18"/>
              </w:rPr>
              <w:t>Jet</w:t>
            </w:r>
            <w:r w:rsidRPr="00D4309F">
              <w:rPr>
                <w:b/>
                <w:color w:val="70004A"/>
                <w:spacing w:val="-13"/>
                <w:sz w:val="18"/>
              </w:rPr>
              <w:t xml:space="preserve"> </w:t>
            </w:r>
            <w:r w:rsidRPr="00D4309F">
              <w:rPr>
                <w:b/>
                <w:color w:val="70004A"/>
                <w:sz w:val="18"/>
              </w:rPr>
              <w:t xml:space="preserve">Pump </w:t>
            </w:r>
            <w:r w:rsidRPr="00D4309F">
              <w:rPr>
                <w:b/>
                <w:color w:val="70004A"/>
                <w:spacing w:val="-2"/>
                <w:sz w:val="18"/>
              </w:rPr>
              <w:t>System</w:t>
            </w:r>
          </w:p>
        </w:tc>
      </w:tr>
      <w:tr w:rsidR="00725977" w:rsidRPr="00D4309F" w14:paraId="2600D6C6" w14:textId="77777777" w:rsidTr="007B3B30">
        <w:trPr>
          <w:cantSplit/>
          <w:trHeight w:val="20"/>
        </w:trPr>
        <w:tc>
          <w:tcPr>
            <w:tcW w:w="699" w:type="pct"/>
            <w:tcBorders>
              <w:top w:val="single" w:sz="18" w:space="0" w:color="70004A"/>
              <w:bottom w:val="single" w:sz="4" w:space="0" w:color="5F6269"/>
            </w:tcBorders>
          </w:tcPr>
          <w:p w14:paraId="4C4CF734" w14:textId="77777777" w:rsidR="00725977" w:rsidRPr="007B3B30" w:rsidRDefault="00725977">
            <w:pPr>
              <w:pStyle w:val="TableParagraph"/>
              <w:rPr>
                <w:b/>
                <w:bCs/>
                <w:sz w:val="18"/>
              </w:rPr>
            </w:pPr>
          </w:p>
          <w:p w14:paraId="3FB47589" w14:textId="77777777" w:rsidR="00725977" w:rsidRPr="007B3B30" w:rsidRDefault="00725977">
            <w:pPr>
              <w:pStyle w:val="TableParagraph"/>
              <w:spacing w:before="40"/>
              <w:rPr>
                <w:b/>
                <w:bCs/>
                <w:sz w:val="18"/>
              </w:rPr>
            </w:pPr>
          </w:p>
          <w:p w14:paraId="090DD4FA" w14:textId="77777777" w:rsidR="00725977" w:rsidRPr="007B3B30" w:rsidRDefault="00725977">
            <w:pPr>
              <w:pStyle w:val="TableParagraph"/>
              <w:spacing w:before="1"/>
              <w:ind w:left="72"/>
              <w:rPr>
                <w:b/>
                <w:bCs/>
                <w:sz w:val="18"/>
              </w:rPr>
            </w:pPr>
            <w:r w:rsidRPr="007B3B30">
              <w:rPr>
                <w:b/>
                <w:bCs/>
                <w:color w:val="211E1F"/>
                <w:spacing w:val="-2"/>
                <w:sz w:val="18"/>
              </w:rPr>
              <w:t>Description</w:t>
            </w:r>
          </w:p>
        </w:tc>
        <w:tc>
          <w:tcPr>
            <w:tcW w:w="1341" w:type="pct"/>
            <w:tcBorders>
              <w:top w:val="single" w:sz="18" w:space="0" w:color="70004A"/>
              <w:bottom w:val="single" w:sz="4" w:space="0" w:color="5F6269"/>
            </w:tcBorders>
          </w:tcPr>
          <w:p w14:paraId="72B023E1" w14:textId="77777777" w:rsidR="00725977" w:rsidRPr="00D4309F" w:rsidRDefault="00725977">
            <w:pPr>
              <w:pStyle w:val="TableParagraph"/>
              <w:spacing w:before="41"/>
              <w:ind w:left="127" w:right="88"/>
              <w:rPr>
                <w:sz w:val="18"/>
              </w:rPr>
            </w:pPr>
            <w:r w:rsidRPr="00D4309F">
              <w:rPr>
                <w:color w:val="211E1F"/>
                <w:sz w:val="18"/>
              </w:rPr>
              <w:t>Extend the eastern breakwater by 60m to form a controlled</w:t>
            </w:r>
            <w:r w:rsidRPr="00D4309F">
              <w:rPr>
                <w:color w:val="211E1F"/>
                <w:spacing w:val="-13"/>
                <w:sz w:val="18"/>
              </w:rPr>
              <w:t xml:space="preserve"> </w:t>
            </w:r>
            <w:r w:rsidRPr="00D4309F">
              <w:rPr>
                <w:color w:val="211E1F"/>
                <w:sz w:val="18"/>
              </w:rPr>
              <w:t>sand</w:t>
            </w:r>
            <w:r w:rsidRPr="00D4309F">
              <w:rPr>
                <w:color w:val="211E1F"/>
                <w:spacing w:val="-12"/>
                <w:sz w:val="18"/>
              </w:rPr>
              <w:t xml:space="preserve"> </w:t>
            </w:r>
            <w:r w:rsidRPr="00D4309F">
              <w:rPr>
                <w:color w:val="211E1F"/>
                <w:sz w:val="18"/>
              </w:rPr>
              <w:t>trap;</w:t>
            </w:r>
            <w:r w:rsidRPr="00D4309F">
              <w:rPr>
                <w:color w:val="211E1F"/>
                <w:spacing w:val="-13"/>
                <w:sz w:val="18"/>
              </w:rPr>
              <w:t xml:space="preserve"> </w:t>
            </w:r>
            <w:r w:rsidRPr="00D4309F">
              <w:rPr>
                <w:color w:val="211E1F"/>
                <w:sz w:val="18"/>
              </w:rPr>
              <w:t>maintain through periodic dredging using a CSD.</w:t>
            </w:r>
          </w:p>
        </w:tc>
        <w:tc>
          <w:tcPr>
            <w:tcW w:w="1622" w:type="pct"/>
            <w:tcBorders>
              <w:top w:val="single" w:sz="18" w:space="0" w:color="70004A"/>
              <w:bottom w:val="single" w:sz="4" w:space="0" w:color="5F6269"/>
            </w:tcBorders>
          </w:tcPr>
          <w:p w14:paraId="6A5D5D41" w14:textId="77777777" w:rsidR="00725977" w:rsidRPr="00D4309F" w:rsidRDefault="00725977">
            <w:pPr>
              <w:pStyle w:val="TableParagraph"/>
              <w:spacing w:before="41"/>
              <w:ind w:left="61" w:right="97"/>
              <w:rPr>
                <w:sz w:val="18"/>
              </w:rPr>
            </w:pPr>
            <w:r w:rsidRPr="00D4309F">
              <w:rPr>
                <w:color w:val="211E1F"/>
                <w:sz w:val="18"/>
              </w:rPr>
              <w:t>Extend the eastern breakwater by 60m</w:t>
            </w:r>
            <w:r w:rsidRPr="00D4309F">
              <w:rPr>
                <w:color w:val="211E1F"/>
                <w:spacing w:val="-7"/>
                <w:sz w:val="18"/>
              </w:rPr>
              <w:t xml:space="preserve"> </w:t>
            </w:r>
            <w:r w:rsidRPr="00D4309F">
              <w:rPr>
                <w:color w:val="211E1F"/>
                <w:sz w:val="18"/>
              </w:rPr>
              <w:t>to</w:t>
            </w:r>
            <w:r w:rsidRPr="00D4309F">
              <w:rPr>
                <w:color w:val="211E1F"/>
                <w:spacing w:val="-8"/>
                <w:sz w:val="18"/>
              </w:rPr>
              <w:t xml:space="preserve"> </w:t>
            </w:r>
            <w:r w:rsidRPr="00D4309F">
              <w:rPr>
                <w:color w:val="211E1F"/>
                <w:sz w:val="18"/>
              </w:rPr>
              <w:t>form</w:t>
            </w:r>
            <w:r w:rsidRPr="00D4309F">
              <w:rPr>
                <w:color w:val="211E1F"/>
                <w:spacing w:val="-7"/>
                <w:sz w:val="18"/>
              </w:rPr>
              <w:t xml:space="preserve"> </w:t>
            </w:r>
            <w:r w:rsidRPr="00D4309F">
              <w:rPr>
                <w:color w:val="211E1F"/>
                <w:sz w:val="18"/>
              </w:rPr>
              <w:t>a</w:t>
            </w:r>
            <w:r w:rsidRPr="00D4309F">
              <w:rPr>
                <w:color w:val="211E1F"/>
                <w:spacing w:val="-8"/>
                <w:sz w:val="18"/>
              </w:rPr>
              <w:t xml:space="preserve"> </w:t>
            </w:r>
            <w:r w:rsidRPr="00D4309F">
              <w:rPr>
                <w:color w:val="211E1F"/>
                <w:sz w:val="18"/>
              </w:rPr>
              <w:t>controlled</w:t>
            </w:r>
            <w:r w:rsidRPr="00D4309F">
              <w:rPr>
                <w:color w:val="211E1F"/>
                <w:spacing w:val="-8"/>
                <w:sz w:val="18"/>
              </w:rPr>
              <w:t xml:space="preserve"> </w:t>
            </w:r>
            <w:r w:rsidRPr="00D4309F">
              <w:rPr>
                <w:color w:val="211E1F"/>
                <w:sz w:val="18"/>
              </w:rPr>
              <w:t>sand</w:t>
            </w:r>
            <w:r w:rsidRPr="00D4309F">
              <w:rPr>
                <w:color w:val="211E1F"/>
                <w:spacing w:val="-6"/>
                <w:sz w:val="18"/>
              </w:rPr>
              <w:t xml:space="preserve"> </w:t>
            </w:r>
            <w:r w:rsidRPr="00D4309F">
              <w:rPr>
                <w:color w:val="211E1F"/>
                <w:sz w:val="18"/>
              </w:rPr>
              <w:t>trap; install fixed Sand Shifter to semi-continuously pump sand across entrance to Mooloolaba Beach.</w:t>
            </w:r>
          </w:p>
        </w:tc>
        <w:tc>
          <w:tcPr>
            <w:tcW w:w="1338" w:type="pct"/>
            <w:tcBorders>
              <w:top w:val="single" w:sz="18" w:space="0" w:color="70004A"/>
              <w:bottom w:val="single" w:sz="4" w:space="0" w:color="5F6269"/>
            </w:tcBorders>
          </w:tcPr>
          <w:p w14:paraId="1ACF83D2" w14:textId="77777777" w:rsidR="00725977" w:rsidRPr="00D4309F" w:rsidRDefault="00725977">
            <w:pPr>
              <w:pStyle w:val="TableParagraph"/>
              <w:spacing w:before="41"/>
              <w:ind w:left="64" w:right="63"/>
              <w:rPr>
                <w:sz w:val="18"/>
              </w:rPr>
            </w:pPr>
            <w:r w:rsidRPr="00D4309F">
              <w:rPr>
                <w:color w:val="211E1F"/>
                <w:sz w:val="18"/>
              </w:rPr>
              <w:t>Extend</w:t>
            </w:r>
            <w:r w:rsidRPr="00D4309F">
              <w:rPr>
                <w:color w:val="211E1F"/>
                <w:spacing w:val="-13"/>
                <w:sz w:val="18"/>
              </w:rPr>
              <w:t xml:space="preserve"> </w:t>
            </w:r>
            <w:r w:rsidRPr="00D4309F">
              <w:rPr>
                <w:color w:val="211E1F"/>
                <w:sz w:val="18"/>
              </w:rPr>
              <w:t>the</w:t>
            </w:r>
            <w:r w:rsidRPr="00D4309F">
              <w:rPr>
                <w:color w:val="211E1F"/>
                <w:spacing w:val="-12"/>
                <w:sz w:val="18"/>
              </w:rPr>
              <w:t xml:space="preserve"> </w:t>
            </w:r>
            <w:r w:rsidRPr="00D4309F">
              <w:rPr>
                <w:color w:val="211E1F"/>
                <w:sz w:val="18"/>
              </w:rPr>
              <w:t>eastern</w:t>
            </w:r>
            <w:r w:rsidRPr="00D4309F">
              <w:rPr>
                <w:color w:val="211E1F"/>
                <w:spacing w:val="-13"/>
                <w:sz w:val="18"/>
              </w:rPr>
              <w:t xml:space="preserve"> </w:t>
            </w:r>
            <w:r w:rsidRPr="00D4309F">
              <w:rPr>
                <w:color w:val="211E1F"/>
                <w:sz w:val="18"/>
              </w:rPr>
              <w:t>breakwater by 60m to form a controlled sand</w:t>
            </w:r>
            <w:r w:rsidRPr="00D4309F">
              <w:rPr>
                <w:color w:val="211E1F"/>
                <w:spacing w:val="-2"/>
                <w:sz w:val="18"/>
              </w:rPr>
              <w:t xml:space="preserve"> </w:t>
            </w:r>
            <w:r w:rsidRPr="00D4309F">
              <w:rPr>
                <w:color w:val="211E1F"/>
                <w:sz w:val="18"/>
              </w:rPr>
              <w:t>trap;</w:t>
            </w:r>
            <w:r w:rsidRPr="00D4309F">
              <w:rPr>
                <w:color w:val="211E1F"/>
                <w:spacing w:val="-1"/>
                <w:sz w:val="18"/>
              </w:rPr>
              <w:t xml:space="preserve"> </w:t>
            </w:r>
            <w:r w:rsidRPr="00D4309F">
              <w:rPr>
                <w:color w:val="211E1F"/>
                <w:sz w:val="18"/>
              </w:rPr>
              <w:t>use</w:t>
            </w:r>
            <w:r w:rsidRPr="00D4309F">
              <w:rPr>
                <w:color w:val="211E1F"/>
                <w:spacing w:val="-2"/>
                <w:sz w:val="18"/>
              </w:rPr>
              <w:t xml:space="preserve"> </w:t>
            </w:r>
            <w:r w:rsidRPr="00D4309F">
              <w:rPr>
                <w:color w:val="211E1F"/>
                <w:sz w:val="18"/>
              </w:rPr>
              <w:t>mobile</w:t>
            </w:r>
            <w:r w:rsidRPr="00D4309F">
              <w:rPr>
                <w:color w:val="211E1F"/>
                <w:spacing w:val="-2"/>
                <w:sz w:val="18"/>
              </w:rPr>
              <w:t xml:space="preserve"> </w:t>
            </w:r>
            <w:r w:rsidRPr="00D4309F">
              <w:rPr>
                <w:color w:val="211E1F"/>
                <w:sz w:val="18"/>
              </w:rPr>
              <w:t>crane</w:t>
            </w:r>
            <w:r w:rsidRPr="00D4309F">
              <w:rPr>
                <w:color w:val="211E1F"/>
                <w:spacing w:val="-2"/>
                <w:sz w:val="18"/>
              </w:rPr>
              <w:t xml:space="preserve"> </w:t>
            </w:r>
            <w:r w:rsidRPr="00D4309F">
              <w:rPr>
                <w:color w:val="211E1F"/>
                <w:sz w:val="18"/>
              </w:rPr>
              <w:t>to deploy</w:t>
            </w:r>
            <w:r w:rsidRPr="00D4309F">
              <w:rPr>
                <w:color w:val="211E1F"/>
                <w:spacing w:val="-2"/>
                <w:sz w:val="18"/>
              </w:rPr>
              <w:t xml:space="preserve"> </w:t>
            </w:r>
            <w:r w:rsidRPr="00D4309F">
              <w:rPr>
                <w:color w:val="211E1F"/>
                <w:sz w:val="18"/>
              </w:rPr>
              <w:t>jet</w:t>
            </w:r>
            <w:r w:rsidRPr="00D4309F">
              <w:rPr>
                <w:color w:val="211E1F"/>
                <w:spacing w:val="-2"/>
                <w:sz w:val="18"/>
              </w:rPr>
              <w:t xml:space="preserve"> </w:t>
            </w:r>
            <w:r w:rsidRPr="00D4309F">
              <w:rPr>
                <w:color w:val="211E1F"/>
                <w:sz w:val="18"/>
              </w:rPr>
              <w:t>pump</w:t>
            </w:r>
            <w:r w:rsidRPr="00D4309F">
              <w:rPr>
                <w:color w:val="211E1F"/>
                <w:spacing w:val="-3"/>
                <w:sz w:val="18"/>
              </w:rPr>
              <w:t xml:space="preserve"> </w:t>
            </w:r>
            <w:r w:rsidRPr="00D4309F">
              <w:rPr>
                <w:color w:val="211E1F"/>
                <w:sz w:val="18"/>
              </w:rPr>
              <w:t>periodically</w:t>
            </w:r>
            <w:r w:rsidRPr="00D4309F">
              <w:rPr>
                <w:color w:val="211E1F"/>
                <w:spacing w:val="-2"/>
                <w:sz w:val="18"/>
              </w:rPr>
              <w:t xml:space="preserve"> </w:t>
            </w:r>
            <w:r w:rsidRPr="00D4309F">
              <w:rPr>
                <w:color w:val="211E1F"/>
                <w:sz w:val="18"/>
              </w:rPr>
              <w:t>to transfer sand to downdrift side</w:t>
            </w:r>
          </w:p>
        </w:tc>
      </w:tr>
      <w:tr w:rsidR="00725977" w:rsidRPr="00D4309F" w14:paraId="4228B79A" w14:textId="77777777" w:rsidTr="007B3B30">
        <w:trPr>
          <w:cantSplit/>
          <w:trHeight w:val="20"/>
        </w:trPr>
        <w:tc>
          <w:tcPr>
            <w:tcW w:w="699" w:type="pct"/>
            <w:tcBorders>
              <w:top w:val="single" w:sz="4" w:space="0" w:color="5F6269"/>
              <w:bottom w:val="single" w:sz="4" w:space="0" w:color="5F6269"/>
            </w:tcBorders>
          </w:tcPr>
          <w:p w14:paraId="093C2859" w14:textId="77777777" w:rsidR="00725977" w:rsidRPr="007B3B30" w:rsidRDefault="00725977">
            <w:pPr>
              <w:pStyle w:val="TableParagraph"/>
              <w:rPr>
                <w:b/>
                <w:bCs/>
                <w:sz w:val="18"/>
              </w:rPr>
            </w:pPr>
          </w:p>
          <w:p w14:paraId="63E49D92" w14:textId="77777777" w:rsidR="00725977" w:rsidRPr="007B3B30" w:rsidRDefault="00725977">
            <w:pPr>
              <w:pStyle w:val="TableParagraph"/>
              <w:spacing w:before="39"/>
              <w:rPr>
                <w:b/>
                <w:bCs/>
                <w:sz w:val="18"/>
              </w:rPr>
            </w:pPr>
          </w:p>
          <w:p w14:paraId="547DCF91" w14:textId="77777777" w:rsidR="00725977" w:rsidRPr="007B3B30" w:rsidRDefault="00725977">
            <w:pPr>
              <w:pStyle w:val="TableParagraph"/>
              <w:ind w:left="72"/>
              <w:rPr>
                <w:b/>
                <w:bCs/>
                <w:sz w:val="18"/>
              </w:rPr>
            </w:pPr>
            <w:r w:rsidRPr="007B3B30">
              <w:rPr>
                <w:b/>
                <w:bCs/>
                <w:color w:val="211E1F"/>
                <w:sz w:val="18"/>
              </w:rPr>
              <w:t>Capital</w:t>
            </w:r>
            <w:r w:rsidRPr="007B3B30">
              <w:rPr>
                <w:b/>
                <w:bCs/>
                <w:color w:val="211E1F"/>
                <w:spacing w:val="-4"/>
                <w:sz w:val="18"/>
              </w:rPr>
              <w:t xml:space="preserve"> </w:t>
            </w:r>
            <w:r w:rsidRPr="007B3B30">
              <w:rPr>
                <w:b/>
                <w:bCs/>
                <w:color w:val="211E1F"/>
                <w:spacing w:val="-2"/>
                <w:sz w:val="18"/>
              </w:rPr>
              <w:t>works</w:t>
            </w:r>
          </w:p>
        </w:tc>
        <w:tc>
          <w:tcPr>
            <w:tcW w:w="1341" w:type="pct"/>
            <w:tcBorders>
              <w:top w:val="single" w:sz="4" w:space="0" w:color="5F6269"/>
              <w:bottom w:val="single" w:sz="4" w:space="0" w:color="5F6269"/>
            </w:tcBorders>
          </w:tcPr>
          <w:p w14:paraId="7990CC3B" w14:textId="77777777" w:rsidR="00725977" w:rsidRPr="00D4309F" w:rsidRDefault="00725977">
            <w:pPr>
              <w:pStyle w:val="TableParagraph"/>
              <w:spacing w:before="40"/>
              <w:rPr>
                <w:b/>
                <w:sz w:val="18"/>
              </w:rPr>
            </w:pPr>
          </w:p>
          <w:p w14:paraId="42F7FC7A" w14:textId="77777777" w:rsidR="00725977" w:rsidRPr="00D4309F" w:rsidRDefault="00725977">
            <w:pPr>
              <w:pStyle w:val="TableParagraph"/>
              <w:ind w:left="127" w:right="88"/>
              <w:rPr>
                <w:sz w:val="18"/>
              </w:rPr>
            </w:pPr>
            <w:r w:rsidRPr="00D4309F">
              <w:rPr>
                <w:color w:val="211E1F"/>
                <w:sz w:val="18"/>
              </w:rPr>
              <w:t>Moderate: breakwater extension</w:t>
            </w:r>
            <w:r w:rsidRPr="00D4309F">
              <w:rPr>
                <w:color w:val="211E1F"/>
                <w:spacing w:val="-13"/>
                <w:sz w:val="18"/>
              </w:rPr>
              <w:t xml:space="preserve"> </w:t>
            </w:r>
            <w:r w:rsidRPr="00D4309F">
              <w:rPr>
                <w:color w:val="211E1F"/>
                <w:sz w:val="18"/>
              </w:rPr>
              <w:t>(~30,000</w:t>
            </w:r>
            <w:r w:rsidRPr="00D4309F">
              <w:rPr>
                <w:color w:val="211E1F"/>
                <w:spacing w:val="-12"/>
                <w:sz w:val="18"/>
              </w:rPr>
              <w:t xml:space="preserve"> </w:t>
            </w:r>
            <w:r w:rsidRPr="00D4309F">
              <w:rPr>
                <w:color w:val="211E1F"/>
                <w:sz w:val="18"/>
              </w:rPr>
              <w:t>tonnes</w:t>
            </w:r>
            <w:r w:rsidRPr="00D4309F">
              <w:rPr>
                <w:color w:val="211E1F"/>
                <w:spacing w:val="-13"/>
                <w:sz w:val="18"/>
              </w:rPr>
              <w:t xml:space="preserve"> </w:t>
            </w:r>
            <w:r w:rsidRPr="00D4309F">
              <w:rPr>
                <w:color w:val="211E1F"/>
                <w:sz w:val="18"/>
              </w:rPr>
              <w:t xml:space="preserve">of </w:t>
            </w:r>
            <w:r w:rsidRPr="00D4309F">
              <w:rPr>
                <w:color w:val="211E1F"/>
                <w:spacing w:val="-2"/>
                <w:sz w:val="18"/>
              </w:rPr>
              <w:t>rock);</w:t>
            </w:r>
          </w:p>
        </w:tc>
        <w:tc>
          <w:tcPr>
            <w:tcW w:w="1622" w:type="pct"/>
            <w:tcBorders>
              <w:top w:val="single" w:sz="4" w:space="0" w:color="5F6269"/>
              <w:bottom w:val="single" w:sz="4" w:space="0" w:color="5F6269"/>
            </w:tcBorders>
          </w:tcPr>
          <w:p w14:paraId="3E9DB6B4" w14:textId="77777777" w:rsidR="00725977" w:rsidRPr="00D4309F" w:rsidRDefault="00725977">
            <w:pPr>
              <w:pStyle w:val="TableParagraph"/>
              <w:spacing w:before="39"/>
              <w:ind w:left="61" w:right="97"/>
              <w:rPr>
                <w:sz w:val="18"/>
              </w:rPr>
            </w:pPr>
            <w:r w:rsidRPr="00D4309F">
              <w:rPr>
                <w:color w:val="211E1F"/>
                <w:sz w:val="18"/>
              </w:rPr>
              <w:t>Major – breakwater extension (~30,000 tonnes of rock); seabed excavation</w:t>
            </w:r>
            <w:r w:rsidRPr="00D4309F">
              <w:rPr>
                <w:color w:val="211E1F"/>
                <w:spacing w:val="-13"/>
                <w:sz w:val="18"/>
              </w:rPr>
              <w:t xml:space="preserve"> </w:t>
            </w:r>
            <w:r w:rsidRPr="00D4309F">
              <w:rPr>
                <w:color w:val="211E1F"/>
                <w:sz w:val="18"/>
              </w:rPr>
              <w:t>(including</w:t>
            </w:r>
            <w:r w:rsidRPr="00D4309F">
              <w:rPr>
                <w:color w:val="211E1F"/>
                <w:spacing w:val="-12"/>
                <w:sz w:val="18"/>
              </w:rPr>
              <w:t xml:space="preserve"> </w:t>
            </w:r>
            <w:r w:rsidRPr="00D4309F">
              <w:rPr>
                <w:color w:val="211E1F"/>
                <w:sz w:val="18"/>
              </w:rPr>
              <w:t>rock),</w:t>
            </w:r>
            <w:r w:rsidRPr="00D4309F">
              <w:rPr>
                <w:color w:val="211E1F"/>
                <w:spacing w:val="-13"/>
                <w:sz w:val="18"/>
              </w:rPr>
              <w:t xml:space="preserve"> </w:t>
            </w:r>
            <w:r w:rsidRPr="00D4309F">
              <w:rPr>
                <w:color w:val="211E1F"/>
                <w:sz w:val="18"/>
              </w:rPr>
              <w:t xml:space="preserve">buried pumps, shore-based station and </w:t>
            </w:r>
            <w:r w:rsidRPr="00D4309F">
              <w:rPr>
                <w:color w:val="211E1F"/>
                <w:spacing w:val="-2"/>
                <w:sz w:val="18"/>
              </w:rPr>
              <w:t>pipeline.</w:t>
            </w:r>
          </w:p>
        </w:tc>
        <w:tc>
          <w:tcPr>
            <w:tcW w:w="1338" w:type="pct"/>
            <w:tcBorders>
              <w:top w:val="single" w:sz="4" w:space="0" w:color="5F6269"/>
              <w:bottom w:val="single" w:sz="4" w:space="0" w:color="5F6269"/>
            </w:tcBorders>
          </w:tcPr>
          <w:p w14:paraId="4376DDD3" w14:textId="77777777" w:rsidR="00725977" w:rsidRPr="00D4309F" w:rsidRDefault="00725977">
            <w:pPr>
              <w:pStyle w:val="TableParagraph"/>
              <w:spacing w:before="143"/>
              <w:ind w:left="64" w:right="63"/>
              <w:rPr>
                <w:sz w:val="18"/>
              </w:rPr>
            </w:pPr>
            <w:r w:rsidRPr="00D4309F">
              <w:rPr>
                <w:color w:val="211E1F"/>
                <w:sz w:val="18"/>
              </w:rPr>
              <w:t>Moderate – breakwater extension</w:t>
            </w:r>
            <w:r w:rsidRPr="00D4309F">
              <w:rPr>
                <w:color w:val="211E1F"/>
                <w:spacing w:val="-13"/>
                <w:sz w:val="18"/>
              </w:rPr>
              <w:t xml:space="preserve"> </w:t>
            </w:r>
            <w:r w:rsidRPr="00D4309F">
              <w:rPr>
                <w:color w:val="211E1F"/>
                <w:sz w:val="18"/>
              </w:rPr>
              <w:t>plus</w:t>
            </w:r>
            <w:r w:rsidRPr="00D4309F">
              <w:rPr>
                <w:color w:val="211E1F"/>
                <w:spacing w:val="-12"/>
                <w:sz w:val="18"/>
              </w:rPr>
              <w:t xml:space="preserve"> </w:t>
            </w:r>
            <w:r w:rsidRPr="00D4309F">
              <w:rPr>
                <w:color w:val="211E1F"/>
                <w:sz w:val="18"/>
              </w:rPr>
              <w:t>optional</w:t>
            </w:r>
            <w:r w:rsidRPr="00D4309F">
              <w:rPr>
                <w:color w:val="211E1F"/>
                <w:spacing w:val="-13"/>
                <w:sz w:val="18"/>
              </w:rPr>
              <w:t xml:space="preserve"> </w:t>
            </w:r>
            <w:r w:rsidRPr="00D4309F">
              <w:rPr>
                <w:color w:val="211E1F"/>
                <w:sz w:val="18"/>
              </w:rPr>
              <w:t xml:space="preserve">crane pad (2,575 m³ of rock for 90t </w:t>
            </w:r>
            <w:r w:rsidRPr="00D4309F">
              <w:rPr>
                <w:color w:val="211E1F"/>
                <w:spacing w:val="-2"/>
                <w:sz w:val="18"/>
              </w:rPr>
              <w:t>crane);</w:t>
            </w:r>
          </w:p>
        </w:tc>
      </w:tr>
      <w:tr w:rsidR="00725977" w:rsidRPr="00D4309F" w14:paraId="36C7392A" w14:textId="77777777" w:rsidTr="007B3B30">
        <w:trPr>
          <w:cantSplit/>
          <w:trHeight w:val="20"/>
        </w:trPr>
        <w:tc>
          <w:tcPr>
            <w:tcW w:w="699" w:type="pct"/>
            <w:tcBorders>
              <w:top w:val="single" w:sz="4" w:space="0" w:color="5F6269"/>
              <w:bottom w:val="single" w:sz="4" w:space="0" w:color="5F6269"/>
            </w:tcBorders>
          </w:tcPr>
          <w:p w14:paraId="2F186185" w14:textId="77777777" w:rsidR="00725977" w:rsidRPr="007B3B30" w:rsidRDefault="00725977">
            <w:pPr>
              <w:pStyle w:val="TableParagraph"/>
              <w:spacing w:before="143"/>
              <w:rPr>
                <w:b/>
                <w:bCs/>
                <w:sz w:val="18"/>
              </w:rPr>
            </w:pPr>
          </w:p>
          <w:p w14:paraId="5561E53C" w14:textId="77777777" w:rsidR="00725977" w:rsidRPr="007B3B30" w:rsidRDefault="00725977">
            <w:pPr>
              <w:pStyle w:val="TableParagraph"/>
              <w:ind w:left="72"/>
              <w:rPr>
                <w:b/>
                <w:bCs/>
                <w:sz w:val="18"/>
              </w:rPr>
            </w:pPr>
            <w:r w:rsidRPr="007B3B30">
              <w:rPr>
                <w:b/>
                <w:bCs/>
                <w:color w:val="211E1F"/>
                <w:spacing w:val="-2"/>
                <w:sz w:val="18"/>
              </w:rPr>
              <w:t>Operational works</w:t>
            </w:r>
          </w:p>
        </w:tc>
        <w:tc>
          <w:tcPr>
            <w:tcW w:w="1341" w:type="pct"/>
            <w:tcBorders>
              <w:top w:val="single" w:sz="4" w:space="0" w:color="5F6269"/>
              <w:bottom w:val="single" w:sz="4" w:space="0" w:color="5F6269"/>
            </w:tcBorders>
          </w:tcPr>
          <w:p w14:paraId="27A4184C" w14:textId="77777777" w:rsidR="00725977" w:rsidRPr="00D4309F" w:rsidRDefault="00725977">
            <w:pPr>
              <w:pStyle w:val="TableParagraph"/>
              <w:spacing w:before="144"/>
              <w:ind w:left="127" w:right="127"/>
              <w:rPr>
                <w:sz w:val="18"/>
              </w:rPr>
            </w:pPr>
            <w:r w:rsidRPr="00D4309F">
              <w:rPr>
                <w:color w:val="211E1F"/>
                <w:sz w:val="18"/>
              </w:rPr>
              <w:t>Dredging every ~2 years; transfer</w:t>
            </w:r>
            <w:r w:rsidRPr="00D4309F">
              <w:rPr>
                <w:color w:val="211E1F"/>
                <w:spacing w:val="-13"/>
                <w:sz w:val="18"/>
              </w:rPr>
              <w:t xml:space="preserve"> </w:t>
            </w:r>
            <w:r w:rsidRPr="00D4309F">
              <w:rPr>
                <w:color w:val="211E1F"/>
                <w:sz w:val="18"/>
              </w:rPr>
              <w:t>~30,000m³</w:t>
            </w:r>
            <w:r w:rsidRPr="00D4309F">
              <w:rPr>
                <w:color w:val="211E1F"/>
                <w:spacing w:val="-12"/>
                <w:sz w:val="18"/>
              </w:rPr>
              <w:t xml:space="preserve"> </w:t>
            </w:r>
            <w:r w:rsidRPr="00D4309F">
              <w:rPr>
                <w:color w:val="211E1F"/>
                <w:sz w:val="18"/>
              </w:rPr>
              <w:t>of</w:t>
            </w:r>
            <w:r w:rsidRPr="00D4309F">
              <w:rPr>
                <w:color w:val="211E1F"/>
                <w:spacing w:val="-13"/>
                <w:sz w:val="18"/>
              </w:rPr>
              <w:t xml:space="preserve"> </w:t>
            </w:r>
            <w:r w:rsidRPr="00D4309F">
              <w:rPr>
                <w:color w:val="211E1F"/>
                <w:sz w:val="18"/>
              </w:rPr>
              <w:t xml:space="preserve">sand via pipeline to Mooloolaba </w:t>
            </w:r>
            <w:r w:rsidRPr="00D4309F">
              <w:rPr>
                <w:color w:val="211E1F"/>
                <w:spacing w:val="-2"/>
                <w:sz w:val="18"/>
              </w:rPr>
              <w:t>Beach.</w:t>
            </w:r>
          </w:p>
        </w:tc>
        <w:tc>
          <w:tcPr>
            <w:tcW w:w="1622" w:type="pct"/>
            <w:tcBorders>
              <w:top w:val="single" w:sz="4" w:space="0" w:color="5F6269"/>
              <w:bottom w:val="single" w:sz="4" w:space="0" w:color="5F6269"/>
            </w:tcBorders>
          </w:tcPr>
          <w:p w14:paraId="5D44EBDB" w14:textId="77777777" w:rsidR="00725977" w:rsidRPr="00D4309F" w:rsidRDefault="00725977">
            <w:pPr>
              <w:pStyle w:val="TableParagraph"/>
              <w:spacing w:before="144"/>
              <w:ind w:left="61"/>
              <w:rPr>
                <w:sz w:val="18"/>
              </w:rPr>
            </w:pPr>
            <w:r w:rsidRPr="00D4309F">
              <w:rPr>
                <w:color w:val="211E1F"/>
                <w:sz w:val="18"/>
              </w:rPr>
              <w:t>Semi-continuous</w:t>
            </w:r>
            <w:r w:rsidRPr="00D4309F">
              <w:rPr>
                <w:color w:val="211E1F"/>
                <w:spacing w:val="-10"/>
                <w:sz w:val="18"/>
              </w:rPr>
              <w:t xml:space="preserve"> </w:t>
            </w:r>
            <w:r w:rsidRPr="00D4309F">
              <w:rPr>
                <w:color w:val="211E1F"/>
                <w:sz w:val="18"/>
              </w:rPr>
              <w:t>pumping</w:t>
            </w:r>
            <w:r w:rsidRPr="00D4309F">
              <w:rPr>
                <w:color w:val="211E1F"/>
                <w:spacing w:val="-9"/>
                <w:sz w:val="18"/>
              </w:rPr>
              <w:t xml:space="preserve"> </w:t>
            </w:r>
            <w:r w:rsidRPr="00D4309F">
              <w:rPr>
                <w:color w:val="211E1F"/>
                <w:sz w:val="18"/>
              </w:rPr>
              <w:t>of</w:t>
            </w:r>
            <w:r w:rsidRPr="00D4309F">
              <w:rPr>
                <w:color w:val="211E1F"/>
                <w:spacing w:val="-10"/>
                <w:sz w:val="18"/>
              </w:rPr>
              <w:t xml:space="preserve"> </w:t>
            </w:r>
            <w:r w:rsidRPr="00D4309F">
              <w:rPr>
                <w:color w:val="211E1F"/>
                <w:sz w:val="18"/>
              </w:rPr>
              <w:t>sand</w:t>
            </w:r>
            <w:r w:rsidRPr="00D4309F">
              <w:rPr>
                <w:color w:val="211E1F"/>
                <w:spacing w:val="-11"/>
                <w:sz w:val="18"/>
              </w:rPr>
              <w:t xml:space="preserve"> </w:t>
            </w:r>
            <w:r w:rsidRPr="00D4309F">
              <w:rPr>
                <w:color w:val="211E1F"/>
                <w:sz w:val="18"/>
              </w:rPr>
              <w:t>via fixed intake and pipeline system; automated</w:t>
            </w:r>
            <w:r w:rsidRPr="00D4309F">
              <w:rPr>
                <w:color w:val="211E1F"/>
                <w:spacing w:val="-2"/>
                <w:sz w:val="18"/>
              </w:rPr>
              <w:t xml:space="preserve"> </w:t>
            </w:r>
            <w:r w:rsidRPr="00D4309F">
              <w:rPr>
                <w:color w:val="211E1F"/>
                <w:sz w:val="18"/>
              </w:rPr>
              <w:t>or</w:t>
            </w:r>
            <w:r w:rsidRPr="00D4309F">
              <w:rPr>
                <w:color w:val="211E1F"/>
                <w:spacing w:val="-1"/>
                <w:sz w:val="18"/>
              </w:rPr>
              <w:t xml:space="preserve"> </w:t>
            </w:r>
            <w:r w:rsidRPr="00D4309F">
              <w:rPr>
                <w:color w:val="211E1F"/>
                <w:sz w:val="18"/>
              </w:rPr>
              <w:t>scheduled</w:t>
            </w:r>
            <w:r w:rsidRPr="00D4309F">
              <w:rPr>
                <w:color w:val="211E1F"/>
                <w:spacing w:val="-2"/>
                <w:sz w:val="18"/>
              </w:rPr>
              <w:t xml:space="preserve"> </w:t>
            </w:r>
            <w:r w:rsidRPr="00D4309F">
              <w:rPr>
                <w:color w:val="211E1F"/>
                <w:sz w:val="18"/>
              </w:rPr>
              <w:t>to</w:t>
            </w:r>
            <w:r w:rsidRPr="00D4309F">
              <w:rPr>
                <w:color w:val="211E1F"/>
                <w:spacing w:val="-2"/>
                <w:sz w:val="18"/>
              </w:rPr>
              <w:t xml:space="preserve"> </w:t>
            </w:r>
            <w:r w:rsidRPr="00D4309F">
              <w:rPr>
                <w:color w:val="211E1F"/>
                <w:sz w:val="18"/>
              </w:rPr>
              <w:t>avoid</w:t>
            </w:r>
            <w:r w:rsidRPr="00D4309F">
              <w:rPr>
                <w:color w:val="211E1F"/>
                <w:spacing w:val="-2"/>
                <w:sz w:val="18"/>
              </w:rPr>
              <w:t xml:space="preserve"> </w:t>
            </w:r>
            <w:r w:rsidRPr="00D4309F">
              <w:rPr>
                <w:color w:val="211E1F"/>
                <w:sz w:val="18"/>
              </w:rPr>
              <w:t xml:space="preserve">trap </w:t>
            </w:r>
            <w:r w:rsidRPr="00D4309F">
              <w:rPr>
                <w:color w:val="211E1F"/>
                <w:spacing w:val="-2"/>
                <w:sz w:val="18"/>
              </w:rPr>
              <w:t>overfill.</w:t>
            </w:r>
          </w:p>
        </w:tc>
        <w:tc>
          <w:tcPr>
            <w:tcW w:w="1338" w:type="pct"/>
            <w:tcBorders>
              <w:top w:val="single" w:sz="4" w:space="0" w:color="5F6269"/>
              <w:bottom w:val="single" w:sz="4" w:space="0" w:color="5F6269"/>
            </w:tcBorders>
          </w:tcPr>
          <w:p w14:paraId="38191F01" w14:textId="77777777" w:rsidR="00725977" w:rsidRPr="00D4309F" w:rsidRDefault="00725977">
            <w:pPr>
              <w:pStyle w:val="TableParagraph"/>
              <w:spacing w:before="41"/>
              <w:ind w:left="64" w:right="63"/>
              <w:rPr>
                <w:sz w:val="18"/>
              </w:rPr>
            </w:pPr>
            <w:r w:rsidRPr="00D4309F">
              <w:rPr>
                <w:color w:val="211E1F"/>
                <w:sz w:val="18"/>
              </w:rPr>
              <w:t>Intermittent campaigns (~2 yearly);</w:t>
            </w:r>
            <w:r w:rsidRPr="00D4309F">
              <w:rPr>
                <w:color w:val="211E1F"/>
                <w:spacing w:val="-10"/>
                <w:sz w:val="18"/>
              </w:rPr>
              <w:t xml:space="preserve"> </w:t>
            </w:r>
            <w:r w:rsidRPr="00D4309F">
              <w:rPr>
                <w:color w:val="211E1F"/>
                <w:sz w:val="18"/>
              </w:rPr>
              <w:t>crane</w:t>
            </w:r>
            <w:r w:rsidRPr="00D4309F">
              <w:rPr>
                <w:color w:val="211E1F"/>
                <w:spacing w:val="-11"/>
                <w:sz w:val="18"/>
              </w:rPr>
              <w:t xml:space="preserve"> </w:t>
            </w:r>
            <w:r w:rsidRPr="00D4309F">
              <w:rPr>
                <w:color w:val="211E1F"/>
                <w:sz w:val="18"/>
              </w:rPr>
              <w:t>lowers</w:t>
            </w:r>
            <w:r w:rsidRPr="00D4309F">
              <w:rPr>
                <w:color w:val="211E1F"/>
                <w:spacing w:val="-10"/>
                <w:sz w:val="18"/>
              </w:rPr>
              <w:t xml:space="preserve"> </w:t>
            </w:r>
            <w:r w:rsidRPr="00D4309F">
              <w:rPr>
                <w:color w:val="211E1F"/>
                <w:sz w:val="18"/>
              </w:rPr>
              <w:t>jet</w:t>
            </w:r>
            <w:r w:rsidRPr="00D4309F">
              <w:rPr>
                <w:color w:val="211E1F"/>
                <w:spacing w:val="-10"/>
                <w:sz w:val="18"/>
              </w:rPr>
              <w:t xml:space="preserve"> </w:t>
            </w:r>
            <w:r w:rsidRPr="00D4309F">
              <w:rPr>
                <w:color w:val="211E1F"/>
                <w:sz w:val="18"/>
              </w:rPr>
              <w:t xml:space="preserve">pump into shoal, pumps ~30,000m³ to beach via temporary </w:t>
            </w:r>
            <w:r w:rsidRPr="00D4309F">
              <w:rPr>
                <w:color w:val="211E1F"/>
                <w:spacing w:val="-2"/>
                <w:sz w:val="18"/>
              </w:rPr>
              <w:t>pipeline.</w:t>
            </w:r>
          </w:p>
        </w:tc>
      </w:tr>
      <w:tr w:rsidR="00725977" w:rsidRPr="00D4309F" w14:paraId="79D138F9" w14:textId="77777777" w:rsidTr="007B3B30">
        <w:trPr>
          <w:cantSplit/>
          <w:trHeight w:val="20"/>
        </w:trPr>
        <w:tc>
          <w:tcPr>
            <w:tcW w:w="699" w:type="pct"/>
            <w:tcBorders>
              <w:top w:val="single" w:sz="4" w:space="0" w:color="5F6269"/>
              <w:bottom w:val="single" w:sz="4" w:space="0" w:color="5F6269"/>
            </w:tcBorders>
          </w:tcPr>
          <w:p w14:paraId="13E8C4E5" w14:textId="77777777" w:rsidR="00725977" w:rsidRPr="007B3B30" w:rsidRDefault="00725977">
            <w:pPr>
              <w:pStyle w:val="TableParagraph"/>
              <w:rPr>
                <w:b/>
                <w:bCs/>
                <w:sz w:val="18"/>
              </w:rPr>
            </w:pPr>
          </w:p>
          <w:p w14:paraId="63D6475A" w14:textId="77777777" w:rsidR="00725977" w:rsidRPr="007B3B30" w:rsidRDefault="00725977">
            <w:pPr>
              <w:pStyle w:val="TableParagraph"/>
              <w:spacing w:before="39"/>
              <w:rPr>
                <w:b/>
                <w:bCs/>
                <w:sz w:val="18"/>
              </w:rPr>
            </w:pPr>
          </w:p>
          <w:p w14:paraId="2E7C3072" w14:textId="77777777" w:rsidR="00725977" w:rsidRPr="007B3B30" w:rsidRDefault="00725977">
            <w:pPr>
              <w:pStyle w:val="TableParagraph"/>
              <w:ind w:left="72" w:right="455"/>
              <w:rPr>
                <w:b/>
                <w:bCs/>
                <w:sz w:val="18"/>
              </w:rPr>
            </w:pPr>
            <w:r w:rsidRPr="007B3B30">
              <w:rPr>
                <w:b/>
                <w:bCs/>
                <w:color w:val="211E1F"/>
                <w:spacing w:val="-2"/>
                <w:sz w:val="18"/>
              </w:rPr>
              <w:t>Physical processes</w:t>
            </w:r>
          </w:p>
        </w:tc>
        <w:tc>
          <w:tcPr>
            <w:tcW w:w="1341" w:type="pct"/>
            <w:tcBorders>
              <w:top w:val="single" w:sz="4" w:space="0" w:color="5F6269"/>
              <w:bottom w:val="single" w:sz="4" w:space="0" w:color="5F6269"/>
            </w:tcBorders>
          </w:tcPr>
          <w:p w14:paraId="6D5B5CB4" w14:textId="77777777" w:rsidR="00725977" w:rsidRPr="00D4309F" w:rsidRDefault="00725977">
            <w:pPr>
              <w:pStyle w:val="TableParagraph"/>
              <w:spacing w:before="39"/>
              <w:ind w:left="127" w:right="88"/>
              <w:rPr>
                <w:sz w:val="18"/>
              </w:rPr>
            </w:pPr>
            <w:r w:rsidRPr="00D4309F">
              <w:rPr>
                <w:color w:val="211E1F"/>
                <w:sz w:val="18"/>
              </w:rPr>
              <w:t>Functions</w:t>
            </w:r>
            <w:r w:rsidRPr="00D4309F">
              <w:rPr>
                <w:color w:val="211E1F"/>
                <w:spacing w:val="-11"/>
                <w:sz w:val="18"/>
              </w:rPr>
              <w:t xml:space="preserve"> </w:t>
            </w:r>
            <w:r w:rsidRPr="00D4309F">
              <w:rPr>
                <w:color w:val="211E1F"/>
                <w:sz w:val="18"/>
              </w:rPr>
              <w:t>as</w:t>
            </w:r>
            <w:r w:rsidRPr="00D4309F">
              <w:rPr>
                <w:color w:val="211E1F"/>
                <w:spacing w:val="-11"/>
                <w:sz w:val="18"/>
              </w:rPr>
              <w:t xml:space="preserve"> </w:t>
            </w:r>
            <w:r w:rsidRPr="00D4309F">
              <w:rPr>
                <w:color w:val="211E1F"/>
                <w:sz w:val="18"/>
              </w:rPr>
              <w:t>a</w:t>
            </w:r>
            <w:r w:rsidRPr="00D4309F">
              <w:rPr>
                <w:color w:val="211E1F"/>
                <w:spacing w:val="-10"/>
                <w:sz w:val="18"/>
              </w:rPr>
              <w:t xml:space="preserve"> </w:t>
            </w:r>
            <w:r w:rsidRPr="00D4309F">
              <w:rPr>
                <w:color w:val="211E1F"/>
                <w:sz w:val="18"/>
              </w:rPr>
              <w:t>sediment</w:t>
            </w:r>
            <w:r w:rsidRPr="00D4309F">
              <w:rPr>
                <w:color w:val="211E1F"/>
                <w:spacing w:val="-11"/>
                <w:sz w:val="18"/>
              </w:rPr>
              <w:t xml:space="preserve"> </w:t>
            </w:r>
            <w:r w:rsidRPr="00D4309F">
              <w:rPr>
                <w:color w:val="211E1F"/>
                <w:sz w:val="18"/>
              </w:rPr>
              <w:t>sink; intercepts natural sediment transport; maintains entrance depth</w:t>
            </w:r>
            <w:r w:rsidRPr="00D4309F">
              <w:rPr>
                <w:color w:val="211E1F"/>
                <w:spacing w:val="-7"/>
                <w:sz w:val="18"/>
              </w:rPr>
              <w:t xml:space="preserve"> </w:t>
            </w:r>
            <w:r w:rsidRPr="00D4309F">
              <w:rPr>
                <w:color w:val="211E1F"/>
                <w:sz w:val="18"/>
              </w:rPr>
              <w:t>and</w:t>
            </w:r>
            <w:r w:rsidRPr="00D4309F">
              <w:rPr>
                <w:color w:val="211E1F"/>
                <w:spacing w:val="-7"/>
                <w:sz w:val="18"/>
              </w:rPr>
              <w:t xml:space="preserve"> </w:t>
            </w:r>
            <w:r w:rsidRPr="00D4309F">
              <w:rPr>
                <w:color w:val="211E1F"/>
                <w:sz w:val="18"/>
              </w:rPr>
              <w:t>reduces</w:t>
            </w:r>
            <w:r w:rsidRPr="00D4309F">
              <w:rPr>
                <w:color w:val="211E1F"/>
                <w:spacing w:val="-7"/>
                <w:sz w:val="18"/>
              </w:rPr>
              <w:t xml:space="preserve"> </w:t>
            </w:r>
            <w:r w:rsidRPr="00D4309F">
              <w:rPr>
                <w:color w:val="211E1F"/>
                <w:sz w:val="18"/>
              </w:rPr>
              <w:t xml:space="preserve">bypassing frequency with ongoing </w:t>
            </w:r>
            <w:r w:rsidRPr="00D4309F">
              <w:rPr>
                <w:color w:val="211E1F"/>
                <w:spacing w:val="-2"/>
                <w:sz w:val="18"/>
              </w:rPr>
              <w:t>dredging.</w:t>
            </w:r>
          </w:p>
        </w:tc>
        <w:tc>
          <w:tcPr>
            <w:tcW w:w="1622" w:type="pct"/>
            <w:tcBorders>
              <w:top w:val="single" w:sz="4" w:space="0" w:color="5F6269"/>
              <w:bottom w:val="single" w:sz="4" w:space="0" w:color="5F6269"/>
            </w:tcBorders>
          </w:tcPr>
          <w:p w14:paraId="650056AE" w14:textId="77777777" w:rsidR="00725977" w:rsidRPr="00D4309F" w:rsidRDefault="00725977">
            <w:pPr>
              <w:pStyle w:val="TableParagraph"/>
              <w:spacing w:before="143"/>
              <w:ind w:left="61" w:right="97"/>
              <w:rPr>
                <w:sz w:val="18"/>
              </w:rPr>
            </w:pPr>
            <w:r w:rsidRPr="00D4309F">
              <w:rPr>
                <w:color w:val="211E1F"/>
                <w:sz w:val="18"/>
              </w:rPr>
              <w:t>Functions as a sediment sink; intercepts</w:t>
            </w:r>
            <w:r w:rsidRPr="00D4309F">
              <w:rPr>
                <w:color w:val="211E1F"/>
                <w:spacing w:val="-13"/>
                <w:sz w:val="18"/>
              </w:rPr>
              <w:t xml:space="preserve"> </w:t>
            </w:r>
            <w:r w:rsidRPr="00D4309F">
              <w:rPr>
                <w:color w:val="211E1F"/>
                <w:sz w:val="18"/>
              </w:rPr>
              <w:t>natural</w:t>
            </w:r>
            <w:r w:rsidRPr="00D4309F">
              <w:rPr>
                <w:color w:val="211E1F"/>
                <w:spacing w:val="-12"/>
                <w:sz w:val="18"/>
              </w:rPr>
              <w:t xml:space="preserve"> </w:t>
            </w:r>
            <w:r w:rsidRPr="00D4309F">
              <w:rPr>
                <w:color w:val="211E1F"/>
                <w:sz w:val="18"/>
              </w:rPr>
              <w:t>sediment</w:t>
            </w:r>
            <w:r w:rsidRPr="00D4309F">
              <w:rPr>
                <w:color w:val="211E1F"/>
                <w:spacing w:val="-13"/>
                <w:sz w:val="18"/>
              </w:rPr>
              <w:t xml:space="preserve"> </w:t>
            </w:r>
            <w:r w:rsidRPr="00D4309F">
              <w:rPr>
                <w:color w:val="211E1F"/>
                <w:sz w:val="18"/>
              </w:rPr>
              <w:t>transport; maintains entrance depth and reduces bypassing frequency with ongoing dredging</w:t>
            </w:r>
          </w:p>
        </w:tc>
        <w:tc>
          <w:tcPr>
            <w:tcW w:w="1338" w:type="pct"/>
            <w:tcBorders>
              <w:top w:val="single" w:sz="4" w:space="0" w:color="5F6269"/>
              <w:bottom w:val="single" w:sz="4" w:space="0" w:color="5F6269"/>
            </w:tcBorders>
          </w:tcPr>
          <w:p w14:paraId="590A43A0" w14:textId="77777777" w:rsidR="00725977" w:rsidRPr="00D4309F" w:rsidRDefault="00725977">
            <w:pPr>
              <w:pStyle w:val="TableParagraph"/>
              <w:spacing w:before="39"/>
              <w:ind w:left="64" w:right="63"/>
              <w:rPr>
                <w:sz w:val="18"/>
              </w:rPr>
            </w:pPr>
            <w:r w:rsidRPr="00D4309F">
              <w:rPr>
                <w:color w:val="211E1F"/>
                <w:sz w:val="18"/>
              </w:rPr>
              <w:t>Functions</w:t>
            </w:r>
            <w:r w:rsidRPr="00D4309F">
              <w:rPr>
                <w:color w:val="211E1F"/>
                <w:spacing w:val="-11"/>
                <w:sz w:val="18"/>
              </w:rPr>
              <w:t xml:space="preserve"> </w:t>
            </w:r>
            <w:r w:rsidRPr="00D4309F">
              <w:rPr>
                <w:color w:val="211E1F"/>
                <w:sz w:val="18"/>
              </w:rPr>
              <w:t>as</w:t>
            </w:r>
            <w:r w:rsidRPr="00D4309F">
              <w:rPr>
                <w:color w:val="211E1F"/>
                <w:spacing w:val="-11"/>
                <w:sz w:val="18"/>
              </w:rPr>
              <w:t xml:space="preserve"> </w:t>
            </w:r>
            <w:r w:rsidRPr="00D4309F">
              <w:rPr>
                <w:color w:val="211E1F"/>
                <w:sz w:val="18"/>
              </w:rPr>
              <w:t>a</w:t>
            </w:r>
            <w:r w:rsidRPr="00D4309F">
              <w:rPr>
                <w:color w:val="211E1F"/>
                <w:spacing w:val="-10"/>
                <w:sz w:val="18"/>
              </w:rPr>
              <w:t xml:space="preserve"> </w:t>
            </w:r>
            <w:r w:rsidRPr="00D4309F">
              <w:rPr>
                <w:color w:val="211E1F"/>
                <w:sz w:val="18"/>
              </w:rPr>
              <w:t>sediment</w:t>
            </w:r>
            <w:r w:rsidRPr="00D4309F">
              <w:rPr>
                <w:color w:val="211E1F"/>
                <w:spacing w:val="-11"/>
                <w:sz w:val="18"/>
              </w:rPr>
              <w:t xml:space="preserve"> </w:t>
            </w:r>
            <w:r w:rsidRPr="00D4309F">
              <w:rPr>
                <w:color w:val="211E1F"/>
                <w:sz w:val="18"/>
              </w:rPr>
              <w:t>sink; intercepts natural sediment transport; maintains entrance depth</w:t>
            </w:r>
            <w:r w:rsidRPr="00D4309F">
              <w:rPr>
                <w:color w:val="211E1F"/>
                <w:spacing w:val="-7"/>
                <w:sz w:val="18"/>
              </w:rPr>
              <w:t xml:space="preserve"> </w:t>
            </w:r>
            <w:r w:rsidRPr="00D4309F">
              <w:rPr>
                <w:color w:val="211E1F"/>
                <w:sz w:val="18"/>
              </w:rPr>
              <w:t>and</w:t>
            </w:r>
            <w:r w:rsidRPr="00D4309F">
              <w:rPr>
                <w:color w:val="211E1F"/>
                <w:spacing w:val="-7"/>
                <w:sz w:val="18"/>
              </w:rPr>
              <w:t xml:space="preserve"> </w:t>
            </w:r>
            <w:r w:rsidRPr="00D4309F">
              <w:rPr>
                <w:color w:val="211E1F"/>
                <w:sz w:val="18"/>
              </w:rPr>
              <w:t>reduces</w:t>
            </w:r>
            <w:r w:rsidRPr="00D4309F">
              <w:rPr>
                <w:color w:val="211E1F"/>
                <w:spacing w:val="-7"/>
                <w:sz w:val="18"/>
              </w:rPr>
              <w:t xml:space="preserve"> </w:t>
            </w:r>
            <w:r w:rsidRPr="00D4309F">
              <w:rPr>
                <w:color w:val="211E1F"/>
                <w:sz w:val="18"/>
              </w:rPr>
              <w:t xml:space="preserve">bypassing frequency with ongoing </w:t>
            </w:r>
            <w:r w:rsidRPr="00D4309F">
              <w:rPr>
                <w:color w:val="211E1F"/>
                <w:spacing w:val="-2"/>
                <w:sz w:val="18"/>
              </w:rPr>
              <w:t>dredging</w:t>
            </w:r>
          </w:p>
        </w:tc>
      </w:tr>
      <w:tr w:rsidR="00725977" w:rsidRPr="00D4309F" w14:paraId="7D2401CE" w14:textId="77777777" w:rsidTr="007B3B30">
        <w:trPr>
          <w:cantSplit/>
          <w:trHeight w:val="20"/>
        </w:trPr>
        <w:tc>
          <w:tcPr>
            <w:tcW w:w="699" w:type="pct"/>
            <w:tcBorders>
              <w:top w:val="single" w:sz="4" w:space="0" w:color="5F6269"/>
              <w:bottom w:val="single" w:sz="4" w:space="0" w:color="5F6269"/>
            </w:tcBorders>
          </w:tcPr>
          <w:p w14:paraId="6A839F37" w14:textId="77777777" w:rsidR="00725977" w:rsidRPr="007B3B30" w:rsidRDefault="00725977">
            <w:pPr>
              <w:pStyle w:val="TableParagraph"/>
              <w:rPr>
                <w:b/>
                <w:bCs/>
                <w:sz w:val="18"/>
              </w:rPr>
            </w:pPr>
          </w:p>
          <w:p w14:paraId="567FFD6F" w14:textId="77777777" w:rsidR="00725977" w:rsidRPr="007B3B30" w:rsidRDefault="00725977">
            <w:pPr>
              <w:pStyle w:val="TableParagraph"/>
              <w:rPr>
                <w:b/>
                <w:bCs/>
                <w:sz w:val="18"/>
              </w:rPr>
            </w:pPr>
          </w:p>
          <w:p w14:paraId="072A8037" w14:textId="77777777" w:rsidR="00725977" w:rsidRPr="007B3B30" w:rsidRDefault="00725977">
            <w:pPr>
              <w:pStyle w:val="TableParagraph"/>
              <w:rPr>
                <w:b/>
                <w:bCs/>
                <w:sz w:val="18"/>
              </w:rPr>
            </w:pPr>
          </w:p>
          <w:p w14:paraId="04857F3F" w14:textId="77777777" w:rsidR="00725977" w:rsidRPr="007B3B30" w:rsidRDefault="00725977">
            <w:pPr>
              <w:pStyle w:val="TableParagraph"/>
              <w:spacing w:before="60"/>
              <w:rPr>
                <w:b/>
                <w:bCs/>
                <w:sz w:val="18"/>
              </w:rPr>
            </w:pPr>
          </w:p>
          <w:p w14:paraId="106F4F62" w14:textId="77777777" w:rsidR="00725977" w:rsidRPr="007B3B30" w:rsidRDefault="00725977">
            <w:pPr>
              <w:pStyle w:val="TableParagraph"/>
              <w:ind w:left="72"/>
              <w:rPr>
                <w:b/>
                <w:bCs/>
                <w:sz w:val="18"/>
              </w:rPr>
            </w:pPr>
            <w:r w:rsidRPr="007B3B30">
              <w:rPr>
                <w:b/>
                <w:bCs/>
                <w:color w:val="211E1F"/>
                <w:spacing w:val="-2"/>
                <w:sz w:val="18"/>
              </w:rPr>
              <w:t>Environmental impacts</w:t>
            </w:r>
          </w:p>
        </w:tc>
        <w:tc>
          <w:tcPr>
            <w:tcW w:w="1341" w:type="pct"/>
            <w:tcBorders>
              <w:top w:val="single" w:sz="4" w:space="0" w:color="5F6269"/>
              <w:bottom w:val="single" w:sz="4" w:space="0" w:color="5F6269"/>
            </w:tcBorders>
          </w:tcPr>
          <w:p w14:paraId="19451E9F" w14:textId="77777777" w:rsidR="00725977" w:rsidRPr="00D4309F" w:rsidRDefault="00725977">
            <w:pPr>
              <w:pStyle w:val="TableParagraph"/>
              <w:spacing w:before="39"/>
              <w:ind w:left="127" w:right="62"/>
              <w:rPr>
                <w:sz w:val="18"/>
              </w:rPr>
            </w:pPr>
            <w:r w:rsidRPr="00D4309F">
              <w:rPr>
                <w:color w:val="211E1F"/>
                <w:sz w:val="18"/>
              </w:rPr>
              <w:t>The breakwater extension works could potentially result in significant impacts to marine</w:t>
            </w:r>
            <w:r w:rsidRPr="00D4309F">
              <w:rPr>
                <w:color w:val="211E1F"/>
                <w:spacing w:val="-10"/>
                <w:sz w:val="18"/>
              </w:rPr>
              <w:t xml:space="preserve"> </w:t>
            </w:r>
            <w:r w:rsidRPr="00D4309F">
              <w:rPr>
                <w:color w:val="211E1F"/>
                <w:sz w:val="18"/>
              </w:rPr>
              <w:t>and</w:t>
            </w:r>
            <w:r w:rsidRPr="00D4309F">
              <w:rPr>
                <w:color w:val="211E1F"/>
                <w:spacing w:val="-11"/>
                <w:sz w:val="18"/>
              </w:rPr>
              <w:t xml:space="preserve"> </w:t>
            </w:r>
            <w:r w:rsidRPr="00D4309F">
              <w:rPr>
                <w:color w:val="211E1F"/>
                <w:sz w:val="18"/>
              </w:rPr>
              <w:t>terrestrial</w:t>
            </w:r>
            <w:r w:rsidRPr="00D4309F">
              <w:rPr>
                <w:color w:val="211E1F"/>
                <w:spacing w:val="-10"/>
                <w:sz w:val="18"/>
              </w:rPr>
              <w:t xml:space="preserve"> </w:t>
            </w:r>
            <w:r w:rsidRPr="00D4309F">
              <w:rPr>
                <w:color w:val="211E1F"/>
                <w:sz w:val="18"/>
              </w:rPr>
              <w:t>fauna</w:t>
            </w:r>
            <w:r w:rsidRPr="00D4309F">
              <w:rPr>
                <w:color w:val="211E1F"/>
                <w:spacing w:val="-11"/>
                <w:sz w:val="18"/>
              </w:rPr>
              <w:t xml:space="preserve"> </w:t>
            </w:r>
            <w:r w:rsidRPr="00D4309F">
              <w:rPr>
                <w:color w:val="211E1F"/>
                <w:sz w:val="18"/>
              </w:rPr>
              <w:t>of high conservation value.</w:t>
            </w:r>
          </w:p>
          <w:p w14:paraId="0BB48033" w14:textId="77777777" w:rsidR="00725977" w:rsidRPr="00D4309F" w:rsidRDefault="00725977">
            <w:pPr>
              <w:pStyle w:val="TableParagraph"/>
              <w:spacing w:before="40"/>
              <w:ind w:left="127" w:right="88"/>
              <w:rPr>
                <w:sz w:val="18"/>
              </w:rPr>
            </w:pPr>
            <w:r w:rsidRPr="00D4309F">
              <w:rPr>
                <w:color w:val="211E1F"/>
                <w:sz w:val="18"/>
              </w:rPr>
              <w:t>Ongoing environmental impacts to benthic habitats, marine fauna and beach habitat</w:t>
            </w:r>
            <w:r w:rsidRPr="00D4309F">
              <w:rPr>
                <w:color w:val="211E1F"/>
                <w:spacing w:val="-10"/>
                <w:sz w:val="18"/>
              </w:rPr>
              <w:t xml:space="preserve"> </w:t>
            </w:r>
            <w:r w:rsidRPr="00D4309F">
              <w:rPr>
                <w:color w:val="211E1F"/>
                <w:sz w:val="18"/>
              </w:rPr>
              <w:t>that</w:t>
            </w:r>
            <w:r w:rsidRPr="00D4309F">
              <w:rPr>
                <w:color w:val="211E1F"/>
                <w:spacing w:val="-10"/>
                <w:sz w:val="18"/>
              </w:rPr>
              <w:t xml:space="preserve"> </w:t>
            </w:r>
            <w:r w:rsidRPr="00D4309F">
              <w:rPr>
                <w:color w:val="211E1F"/>
                <w:sz w:val="18"/>
              </w:rPr>
              <w:t>can</w:t>
            </w:r>
            <w:r w:rsidRPr="00D4309F">
              <w:rPr>
                <w:color w:val="211E1F"/>
                <w:spacing w:val="-11"/>
                <w:sz w:val="18"/>
              </w:rPr>
              <w:t xml:space="preserve"> </w:t>
            </w:r>
            <w:r w:rsidRPr="00D4309F">
              <w:rPr>
                <w:color w:val="211E1F"/>
                <w:sz w:val="18"/>
              </w:rPr>
              <w:t>be</w:t>
            </w:r>
            <w:r w:rsidRPr="00D4309F">
              <w:rPr>
                <w:color w:val="211E1F"/>
                <w:spacing w:val="-11"/>
                <w:sz w:val="18"/>
              </w:rPr>
              <w:t xml:space="preserve"> </w:t>
            </w:r>
            <w:r w:rsidRPr="00D4309F">
              <w:rPr>
                <w:color w:val="211E1F"/>
                <w:sz w:val="18"/>
              </w:rPr>
              <w:t>managed during works.</w:t>
            </w:r>
          </w:p>
        </w:tc>
        <w:tc>
          <w:tcPr>
            <w:tcW w:w="1622" w:type="pct"/>
            <w:tcBorders>
              <w:top w:val="single" w:sz="4" w:space="0" w:color="5F6269"/>
              <w:bottom w:val="single" w:sz="4" w:space="0" w:color="5F6269"/>
            </w:tcBorders>
          </w:tcPr>
          <w:p w14:paraId="26A6CE1D" w14:textId="77777777" w:rsidR="00725977" w:rsidRPr="00D4309F" w:rsidRDefault="00725977">
            <w:pPr>
              <w:pStyle w:val="TableParagraph"/>
              <w:spacing w:before="143"/>
              <w:ind w:left="61" w:right="97"/>
              <w:rPr>
                <w:sz w:val="18"/>
              </w:rPr>
            </w:pPr>
            <w:r w:rsidRPr="00D4309F">
              <w:rPr>
                <w:color w:val="211E1F"/>
                <w:sz w:val="18"/>
              </w:rPr>
              <w:t>The breakwater extension and rock cutting works would be greater than 3A and 3C and potentially result in significant impacts to marine and terrestrial</w:t>
            </w:r>
            <w:r w:rsidRPr="00D4309F">
              <w:rPr>
                <w:color w:val="211E1F"/>
                <w:spacing w:val="-10"/>
                <w:sz w:val="18"/>
              </w:rPr>
              <w:t xml:space="preserve"> </w:t>
            </w:r>
            <w:r w:rsidRPr="00D4309F">
              <w:rPr>
                <w:color w:val="211E1F"/>
                <w:sz w:val="18"/>
              </w:rPr>
              <w:t>fauna</w:t>
            </w:r>
            <w:r w:rsidRPr="00D4309F">
              <w:rPr>
                <w:color w:val="211E1F"/>
                <w:spacing w:val="-11"/>
                <w:sz w:val="18"/>
              </w:rPr>
              <w:t xml:space="preserve"> </w:t>
            </w:r>
            <w:r w:rsidRPr="00D4309F">
              <w:rPr>
                <w:color w:val="211E1F"/>
                <w:sz w:val="18"/>
              </w:rPr>
              <w:t>of</w:t>
            </w:r>
            <w:r w:rsidRPr="00D4309F">
              <w:rPr>
                <w:color w:val="211E1F"/>
                <w:spacing w:val="-10"/>
                <w:sz w:val="18"/>
              </w:rPr>
              <w:t xml:space="preserve"> </w:t>
            </w:r>
            <w:r w:rsidRPr="00D4309F">
              <w:rPr>
                <w:color w:val="211E1F"/>
                <w:sz w:val="18"/>
              </w:rPr>
              <w:t>high</w:t>
            </w:r>
            <w:r w:rsidRPr="00D4309F">
              <w:rPr>
                <w:color w:val="211E1F"/>
                <w:spacing w:val="-11"/>
                <w:sz w:val="18"/>
              </w:rPr>
              <w:t xml:space="preserve"> </w:t>
            </w:r>
            <w:r w:rsidRPr="00D4309F">
              <w:rPr>
                <w:color w:val="211E1F"/>
                <w:sz w:val="18"/>
              </w:rPr>
              <w:t xml:space="preserve">conservation </w:t>
            </w:r>
            <w:r w:rsidRPr="00D4309F">
              <w:rPr>
                <w:color w:val="211E1F"/>
                <w:spacing w:val="-2"/>
                <w:sz w:val="18"/>
              </w:rPr>
              <w:t>value.</w:t>
            </w:r>
          </w:p>
          <w:p w14:paraId="683E011B" w14:textId="77777777" w:rsidR="00725977" w:rsidRPr="00D4309F" w:rsidRDefault="00725977">
            <w:pPr>
              <w:pStyle w:val="TableParagraph"/>
              <w:spacing w:before="39"/>
              <w:ind w:left="61" w:right="97"/>
              <w:rPr>
                <w:sz w:val="18"/>
              </w:rPr>
            </w:pPr>
            <w:r w:rsidRPr="00D4309F">
              <w:rPr>
                <w:color w:val="211E1F"/>
                <w:sz w:val="18"/>
              </w:rPr>
              <w:t>Ongoing</w:t>
            </w:r>
            <w:r w:rsidRPr="00D4309F">
              <w:rPr>
                <w:color w:val="211E1F"/>
                <w:spacing w:val="-13"/>
                <w:sz w:val="18"/>
              </w:rPr>
              <w:t xml:space="preserve"> </w:t>
            </w:r>
            <w:r w:rsidRPr="00D4309F">
              <w:rPr>
                <w:color w:val="211E1F"/>
                <w:sz w:val="18"/>
              </w:rPr>
              <w:t>environmental</w:t>
            </w:r>
            <w:r w:rsidRPr="00D4309F">
              <w:rPr>
                <w:color w:val="211E1F"/>
                <w:spacing w:val="-12"/>
                <w:sz w:val="18"/>
              </w:rPr>
              <w:t xml:space="preserve"> </w:t>
            </w:r>
            <w:r w:rsidRPr="00D4309F">
              <w:rPr>
                <w:color w:val="211E1F"/>
                <w:sz w:val="18"/>
              </w:rPr>
              <w:t>impacts</w:t>
            </w:r>
            <w:r w:rsidRPr="00D4309F">
              <w:rPr>
                <w:color w:val="211E1F"/>
                <w:spacing w:val="-13"/>
                <w:sz w:val="18"/>
              </w:rPr>
              <w:t xml:space="preserve"> </w:t>
            </w:r>
            <w:r w:rsidRPr="00D4309F">
              <w:rPr>
                <w:color w:val="211E1F"/>
                <w:sz w:val="18"/>
              </w:rPr>
              <w:t>will be reduced and can be managed during works.</w:t>
            </w:r>
          </w:p>
        </w:tc>
        <w:tc>
          <w:tcPr>
            <w:tcW w:w="1338" w:type="pct"/>
            <w:tcBorders>
              <w:top w:val="single" w:sz="4" w:space="0" w:color="5F6269"/>
              <w:bottom w:val="single" w:sz="4" w:space="0" w:color="5F6269"/>
            </w:tcBorders>
          </w:tcPr>
          <w:p w14:paraId="2DBD4918" w14:textId="77777777" w:rsidR="00725977" w:rsidRPr="00D4309F" w:rsidRDefault="00725977">
            <w:pPr>
              <w:pStyle w:val="TableParagraph"/>
              <w:spacing w:before="143"/>
              <w:ind w:left="64" w:right="119"/>
              <w:rPr>
                <w:sz w:val="18"/>
              </w:rPr>
            </w:pPr>
            <w:r w:rsidRPr="00D4309F">
              <w:rPr>
                <w:color w:val="211E1F"/>
                <w:sz w:val="18"/>
              </w:rPr>
              <w:t>The breakwater extension works could potentially result in significant impacts to marine</w:t>
            </w:r>
            <w:r w:rsidRPr="00D4309F">
              <w:rPr>
                <w:color w:val="211E1F"/>
                <w:spacing w:val="-10"/>
                <w:sz w:val="18"/>
              </w:rPr>
              <w:t xml:space="preserve"> </w:t>
            </w:r>
            <w:r w:rsidRPr="00D4309F">
              <w:rPr>
                <w:color w:val="211E1F"/>
                <w:sz w:val="18"/>
              </w:rPr>
              <w:t>and</w:t>
            </w:r>
            <w:r w:rsidRPr="00D4309F">
              <w:rPr>
                <w:color w:val="211E1F"/>
                <w:spacing w:val="-11"/>
                <w:sz w:val="18"/>
              </w:rPr>
              <w:t xml:space="preserve"> </w:t>
            </w:r>
            <w:r w:rsidRPr="00D4309F">
              <w:rPr>
                <w:color w:val="211E1F"/>
                <w:sz w:val="18"/>
              </w:rPr>
              <w:t>terrestrial</w:t>
            </w:r>
            <w:r w:rsidRPr="00D4309F">
              <w:rPr>
                <w:color w:val="211E1F"/>
                <w:spacing w:val="-10"/>
                <w:sz w:val="18"/>
              </w:rPr>
              <w:t xml:space="preserve"> </w:t>
            </w:r>
            <w:r w:rsidRPr="00D4309F">
              <w:rPr>
                <w:color w:val="211E1F"/>
                <w:sz w:val="18"/>
              </w:rPr>
              <w:t>fauna</w:t>
            </w:r>
            <w:r w:rsidRPr="00D4309F">
              <w:rPr>
                <w:color w:val="211E1F"/>
                <w:spacing w:val="-11"/>
                <w:sz w:val="18"/>
              </w:rPr>
              <w:t xml:space="preserve"> </w:t>
            </w:r>
            <w:r w:rsidRPr="00D4309F">
              <w:rPr>
                <w:color w:val="211E1F"/>
                <w:sz w:val="18"/>
              </w:rPr>
              <w:t>of high conservation value.</w:t>
            </w:r>
          </w:p>
          <w:p w14:paraId="51A9E0DB" w14:textId="77777777" w:rsidR="00725977" w:rsidRPr="00D4309F" w:rsidRDefault="00725977">
            <w:pPr>
              <w:pStyle w:val="TableParagraph"/>
              <w:spacing w:before="39"/>
              <w:ind w:left="64" w:right="166"/>
              <w:rPr>
                <w:sz w:val="18"/>
              </w:rPr>
            </w:pPr>
            <w:r w:rsidRPr="00D4309F">
              <w:rPr>
                <w:color w:val="211E1F"/>
                <w:sz w:val="18"/>
              </w:rPr>
              <w:t>Ongoing environmental impacts</w:t>
            </w:r>
            <w:r w:rsidRPr="00D4309F">
              <w:rPr>
                <w:color w:val="211E1F"/>
                <w:spacing w:val="-13"/>
                <w:sz w:val="18"/>
              </w:rPr>
              <w:t xml:space="preserve"> </w:t>
            </w:r>
            <w:r w:rsidRPr="00D4309F">
              <w:rPr>
                <w:color w:val="211E1F"/>
                <w:sz w:val="18"/>
              </w:rPr>
              <w:t>to</w:t>
            </w:r>
            <w:r w:rsidRPr="00D4309F">
              <w:rPr>
                <w:color w:val="211E1F"/>
                <w:spacing w:val="-12"/>
                <w:sz w:val="18"/>
              </w:rPr>
              <w:t xml:space="preserve"> </w:t>
            </w:r>
            <w:r w:rsidRPr="00D4309F">
              <w:rPr>
                <w:color w:val="211E1F"/>
                <w:sz w:val="18"/>
              </w:rPr>
              <w:t>terrestrial</w:t>
            </w:r>
            <w:r w:rsidRPr="00D4309F">
              <w:rPr>
                <w:color w:val="211E1F"/>
                <w:spacing w:val="-13"/>
                <w:sz w:val="18"/>
              </w:rPr>
              <w:t xml:space="preserve"> </w:t>
            </w:r>
            <w:r w:rsidRPr="00D4309F">
              <w:rPr>
                <w:color w:val="211E1F"/>
                <w:sz w:val="18"/>
              </w:rPr>
              <w:t xml:space="preserve">fauna can be managed during </w:t>
            </w:r>
            <w:r w:rsidRPr="00D4309F">
              <w:rPr>
                <w:color w:val="211E1F"/>
                <w:spacing w:val="-2"/>
                <w:sz w:val="18"/>
              </w:rPr>
              <w:t>works.</w:t>
            </w:r>
          </w:p>
        </w:tc>
      </w:tr>
      <w:tr w:rsidR="007B3B30" w:rsidRPr="00D4309F" w14:paraId="32C34EA6" w14:textId="77777777" w:rsidTr="007B3B30">
        <w:trPr>
          <w:cantSplit/>
          <w:trHeight w:val="20"/>
        </w:trPr>
        <w:tc>
          <w:tcPr>
            <w:tcW w:w="699" w:type="pct"/>
            <w:tcBorders>
              <w:top w:val="single" w:sz="4" w:space="0" w:color="5F6269"/>
              <w:bottom w:val="single" w:sz="4" w:space="0" w:color="5F6269"/>
            </w:tcBorders>
          </w:tcPr>
          <w:p w14:paraId="559FEACB" w14:textId="77777777" w:rsidR="007B3B30" w:rsidRPr="007B3B30" w:rsidRDefault="007B3B30" w:rsidP="007B3B30">
            <w:pPr>
              <w:pStyle w:val="TableParagraph"/>
              <w:spacing w:before="109"/>
              <w:rPr>
                <w:b/>
                <w:bCs/>
                <w:sz w:val="18"/>
              </w:rPr>
            </w:pPr>
          </w:p>
          <w:p w14:paraId="232E36C2" w14:textId="72FF4509" w:rsidR="007B3B30" w:rsidRPr="007B3B30" w:rsidRDefault="007B3B30" w:rsidP="007B3B30">
            <w:pPr>
              <w:pStyle w:val="TableParagraph"/>
              <w:rPr>
                <w:b/>
                <w:bCs/>
                <w:sz w:val="18"/>
              </w:rPr>
            </w:pPr>
            <w:r w:rsidRPr="007B3B30">
              <w:rPr>
                <w:b/>
                <w:bCs/>
                <w:color w:val="211E1F"/>
                <w:sz w:val="18"/>
              </w:rPr>
              <w:t>Social</w:t>
            </w:r>
            <w:r w:rsidRPr="007B3B30">
              <w:rPr>
                <w:b/>
                <w:bCs/>
                <w:color w:val="211E1F"/>
                <w:spacing w:val="-5"/>
                <w:sz w:val="18"/>
              </w:rPr>
              <w:t xml:space="preserve"> </w:t>
            </w:r>
            <w:r w:rsidRPr="007B3B30">
              <w:rPr>
                <w:b/>
                <w:bCs/>
                <w:color w:val="211E1F"/>
                <w:spacing w:val="-2"/>
                <w:sz w:val="18"/>
              </w:rPr>
              <w:t>impacts</w:t>
            </w:r>
          </w:p>
        </w:tc>
        <w:tc>
          <w:tcPr>
            <w:tcW w:w="1341" w:type="pct"/>
            <w:tcBorders>
              <w:top w:val="single" w:sz="4" w:space="0" w:color="5F6269"/>
              <w:bottom w:val="single" w:sz="4" w:space="0" w:color="5F6269"/>
            </w:tcBorders>
          </w:tcPr>
          <w:p w14:paraId="3EF78140" w14:textId="46085B90" w:rsidR="007B3B30" w:rsidRPr="00D4309F" w:rsidRDefault="007B3B30" w:rsidP="007B3B30">
            <w:pPr>
              <w:pStyle w:val="TableParagraph"/>
              <w:spacing w:before="39"/>
              <w:ind w:left="127" w:right="62"/>
              <w:rPr>
                <w:color w:val="211E1F"/>
                <w:sz w:val="18"/>
              </w:rPr>
            </w:pPr>
            <w:r w:rsidRPr="00D4309F">
              <w:rPr>
                <w:color w:val="211E1F"/>
                <w:sz w:val="18"/>
              </w:rPr>
              <w:t>High</w:t>
            </w:r>
            <w:r w:rsidRPr="00D4309F">
              <w:rPr>
                <w:color w:val="211E1F"/>
                <w:spacing w:val="-13"/>
                <w:sz w:val="18"/>
              </w:rPr>
              <w:t xml:space="preserve"> </w:t>
            </w:r>
            <w:r w:rsidRPr="00D4309F">
              <w:rPr>
                <w:color w:val="211E1F"/>
                <w:sz w:val="18"/>
              </w:rPr>
              <w:t>visual</w:t>
            </w:r>
            <w:r w:rsidRPr="00D4309F">
              <w:rPr>
                <w:color w:val="211E1F"/>
                <w:spacing w:val="-12"/>
                <w:sz w:val="18"/>
              </w:rPr>
              <w:t xml:space="preserve"> </w:t>
            </w:r>
            <w:r w:rsidRPr="00D4309F">
              <w:rPr>
                <w:color w:val="211E1F"/>
                <w:sz w:val="18"/>
              </w:rPr>
              <w:t>and</w:t>
            </w:r>
            <w:r w:rsidRPr="00D4309F">
              <w:rPr>
                <w:color w:val="211E1F"/>
                <w:spacing w:val="-13"/>
                <w:sz w:val="18"/>
              </w:rPr>
              <w:t xml:space="preserve"> </w:t>
            </w:r>
            <w:r w:rsidRPr="00D4309F">
              <w:rPr>
                <w:color w:val="211E1F"/>
                <w:sz w:val="18"/>
              </w:rPr>
              <w:t>construction impacts with consideration needed for environment</w:t>
            </w:r>
          </w:p>
        </w:tc>
        <w:tc>
          <w:tcPr>
            <w:tcW w:w="1622" w:type="pct"/>
            <w:tcBorders>
              <w:top w:val="single" w:sz="4" w:space="0" w:color="5F6269"/>
              <w:bottom w:val="single" w:sz="4" w:space="0" w:color="5F6269"/>
            </w:tcBorders>
          </w:tcPr>
          <w:p w14:paraId="382646BF" w14:textId="49AD6F5D" w:rsidR="007B3B30" w:rsidRPr="00D4309F" w:rsidRDefault="007B3B30" w:rsidP="007B3B30">
            <w:pPr>
              <w:pStyle w:val="TableParagraph"/>
              <w:spacing w:before="143"/>
              <w:ind w:left="61" w:right="97"/>
              <w:rPr>
                <w:color w:val="211E1F"/>
                <w:sz w:val="18"/>
              </w:rPr>
            </w:pPr>
            <w:r w:rsidRPr="00D4309F">
              <w:rPr>
                <w:color w:val="211E1F"/>
                <w:sz w:val="18"/>
              </w:rPr>
              <w:t>High</w:t>
            </w:r>
            <w:r w:rsidRPr="00D4309F">
              <w:rPr>
                <w:color w:val="211E1F"/>
                <w:spacing w:val="-10"/>
                <w:sz w:val="18"/>
              </w:rPr>
              <w:t xml:space="preserve"> </w:t>
            </w:r>
            <w:r w:rsidRPr="00D4309F">
              <w:rPr>
                <w:color w:val="211E1F"/>
                <w:sz w:val="18"/>
              </w:rPr>
              <w:t>visual</w:t>
            </w:r>
            <w:r w:rsidRPr="00D4309F">
              <w:rPr>
                <w:color w:val="211E1F"/>
                <w:spacing w:val="-10"/>
                <w:sz w:val="18"/>
              </w:rPr>
              <w:t xml:space="preserve"> </w:t>
            </w:r>
            <w:r w:rsidRPr="00D4309F">
              <w:rPr>
                <w:color w:val="211E1F"/>
                <w:sz w:val="18"/>
              </w:rPr>
              <w:t>and</w:t>
            </w:r>
            <w:r w:rsidRPr="00D4309F">
              <w:rPr>
                <w:color w:val="211E1F"/>
                <w:spacing w:val="-10"/>
                <w:sz w:val="18"/>
              </w:rPr>
              <w:t xml:space="preserve"> </w:t>
            </w:r>
            <w:r w:rsidRPr="00D4309F">
              <w:rPr>
                <w:color w:val="211E1F"/>
                <w:sz w:val="18"/>
              </w:rPr>
              <w:t>construction</w:t>
            </w:r>
            <w:r w:rsidRPr="00D4309F">
              <w:rPr>
                <w:color w:val="211E1F"/>
                <w:spacing w:val="-10"/>
                <w:sz w:val="18"/>
              </w:rPr>
              <w:t xml:space="preserve"> </w:t>
            </w:r>
            <w:r w:rsidRPr="00D4309F">
              <w:rPr>
                <w:color w:val="211E1F"/>
                <w:sz w:val="18"/>
              </w:rPr>
              <w:t>impacts with consideration needed for environment and pump operations</w:t>
            </w:r>
          </w:p>
        </w:tc>
        <w:tc>
          <w:tcPr>
            <w:tcW w:w="1338" w:type="pct"/>
            <w:tcBorders>
              <w:top w:val="single" w:sz="4" w:space="0" w:color="5F6269"/>
              <w:bottom w:val="single" w:sz="4" w:space="0" w:color="5F6269"/>
            </w:tcBorders>
          </w:tcPr>
          <w:p w14:paraId="2F74E6B4" w14:textId="1D962AA3" w:rsidR="007B3B30" w:rsidRPr="00D4309F" w:rsidRDefault="007B3B30" w:rsidP="007B3B30">
            <w:pPr>
              <w:pStyle w:val="TableParagraph"/>
              <w:spacing w:before="143"/>
              <w:ind w:left="64" w:right="119"/>
              <w:rPr>
                <w:color w:val="211E1F"/>
                <w:sz w:val="18"/>
              </w:rPr>
            </w:pPr>
            <w:r w:rsidRPr="00D4309F">
              <w:rPr>
                <w:color w:val="211E1F"/>
                <w:sz w:val="18"/>
              </w:rPr>
              <w:t>High</w:t>
            </w:r>
            <w:r w:rsidRPr="00D4309F">
              <w:rPr>
                <w:color w:val="211E1F"/>
                <w:spacing w:val="-13"/>
                <w:sz w:val="18"/>
              </w:rPr>
              <w:t xml:space="preserve"> </w:t>
            </w:r>
            <w:r w:rsidRPr="00D4309F">
              <w:rPr>
                <w:color w:val="211E1F"/>
                <w:sz w:val="18"/>
              </w:rPr>
              <w:t>visual</w:t>
            </w:r>
            <w:r w:rsidRPr="00D4309F">
              <w:rPr>
                <w:color w:val="211E1F"/>
                <w:spacing w:val="-12"/>
                <w:sz w:val="18"/>
              </w:rPr>
              <w:t xml:space="preserve"> </w:t>
            </w:r>
            <w:r w:rsidRPr="00D4309F">
              <w:rPr>
                <w:color w:val="211E1F"/>
                <w:sz w:val="18"/>
              </w:rPr>
              <w:t>and</w:t>
            </w:r>
            <w:r w:rsidRPr="00D4309F">
              <w:rPr>
                <w:color w:val="211E1F"/>
                <w:spacing w:val="-13"/>
                <w:sz w:val="18"/>
              </w:rPr>
              <w:t xml:space="preserve"> </w:t>
            </w:r>
            <w:r w:rsidRPr="00D4309F">
              <w:rPr>
                <w:color w:val="211E1F"/>
                <w:sz w:val="18"/>
              </w:rPr>
              <w:t>construction impacts with consideration needed</w:t>
            </w:r>
            <w:r w:rsidRPr="00D4309F">
              <w:rPr>
                <w:color w:val="211E1F"/>
                <w:spacing w:val="-13"/>
                <w:sz w:val="18"/>
              </w:rPr>
              <w:t xml:space="preserve"> </w:t>
            </w:r>
            <w:r w:rsidRPr="00D4309F">
              <w:rPr>
                <w:color w:val="211E1F"/>
                <w:sz w:val="18"/>
              </w:rPr>
              <w:t>for</w:t>
            </w:r>
            <w:r w:rsidRPr="00D4309F">
              <w:rPr>
                <w:color w:val="211E1F"/>
                <w:spacing w:val="-12"/>
                <w:sz w:val="18"/>
              </w:rPr>
              <w:t xml:space="preserve"> </w:t>
            </w:r>
            <w:r w:rsidRPr="00D4309F">
              <w:rPr>
                <w:color w:val="211E1F"/>
                <w:sz w:val="18"/>
              </w:rPr>
              <w:t>environment</w:t>
            </w:r>
            <w:r w:rsidRPr="00D4309F">
              <w:rPr>
                <w:color w:val="211E1F"/>
                <w:spacing w:val="-13"/>
                <w:sz w:val="18"/>
              </w:rPr>
              <w:t xml:space="preserve"> </w:t>
            </w:r>
            <w:r w:rsidRPr="00D4309F">
              <w:rPr>
                <w:color w:val="211E1F"/>
                <w:sz w:val="18"/>
              </w:rPr>
              <w:t>and pump operations</w:t>
            </w:r>
          </w:p>
        </w:tc>
      </w:tr>
      <w:tr w:rsidR="007B3B30" w:rsidRPr="00D4309F" w14:paraId="791AC094" w14:textId="77777777" w:rsidTr="007B3B30">
        <w:trPr>
          <w:cantSplit/>
          <w:trHeight w:val="20"/>
        </w:trPr>
        <w:tc>
          <w:tcPr>
            <w:tcW w:w="699" w:type="pct"/>
            <w:tcBorders>
              <w:top w:val="single" w:sz="4" w:space="0" w:color="5F6269"/>
              <w:bottom w:val="single" w:sz="4" w:space="0" w:color="5F6269"/>
            </w:tcBorders>
            <w:vAlign w:val="center"/>
          </w:tcPr>
          <w:p w14:paraId="45AD7BD4" w14:textId="24EE7F9D" w:rsidR="007B3B30" w:rsidRPr="007B3B30" w:rsidRDefault="007B3B30" w:rsidP="007B3B30">
            <w:pPr>
              <w:pStyle w:val="TableParagraph"/>
              <w:rPr>
                <w:b/>
                <w:bCs/>
                <w:sz w:val="18"/>
              </w:rPr>
            </w:pPr>
            <w:r w:rsidRPr="007B3B30">
              <w:rPr>
                <w:b/>
                <w:bCs/>
                <w:color w:val="211E1F"/>
                <w:sz w:val="18"/>
              </w:rPr>
              <w:t>Cost</w:t>
            </w:r>
            <w:r w:rsidRPr="007B3B30">
              <w:rPr>
                <w:b/>
                <w:bCs/>
                <w:color w:val="211E1F"/>
                <w:spacing w:val="-4"/>
                <w:sz w:val="18"/>
              </w:rPr>
              <w:t xml:space="preserve"> </w:t>
            </w:r>
            <w:r w:rsidRPr="007B3B30">
              <w:rPr>
                <w:b/>
                <w:bCs/>
                <w:color w:val="211E1F"/>
                <w:spacing w:val="-2"/>
                <w:sz w:val="18"/>
              </w:rPr>
              <w:t>profile</w:t>
            </w:r>
          </w:p>
        </w:tc>
        <w:tc>
          <w:tcPr>
            <w:tcW w:w="1341" w:type="pct"/>
            <w:tcBorders>
              <w:top w:val="single" w:sz="4" w:space="0" w:color="5F6269"/>
              <w:bottom w:val="single" w:sz="4" w:space="0" w:color="5F6269"/>
            </w:tcBorders>
          </w:tcPr>
          <w:p w14:paraId="2B7450B4" w14:textId="77777777" w:rsidR="007B3B30" w:rsidRPr="00D4309F" w:rsidRDefault="007B3B30" w:rsidP="007B3B30">
            <w:pPr>
              <w:pStyle w:val="TableParagraph"/>
              <w:spacing w:before="39"/>
              <w:ind w:left="127" w:right="62"/>
              <w:rPr>
                <w:color w:val="211E1F"/>
                <w:sz w:val="18"/>
              </w:rPr>
            </w:pPr>
          </w:p>
        </w:tc>
        <w:tc>
          <w:tcPr>
            <w:tcW w:w="1622" w:type="pct"/>
            <w:tcBorders>
              <w:top w:val="single" w:sz="4" w:space="0" w:color="5F6269"/>
              <w:bottom w:val="single" w:sz="4" w:space="0" w:color="5F6269"/>
            </w:tcBorders>
          </w:tcPr>
          <w:p w14:paraId="2848D751" w14:textId="77777777" w:rsidR="007B3B30" w:rsidRPr="00D4309F" w:rsidRDefault="007B3B30" w:rsidP="007B3B30">
            <w:pPr>
              <w:pStyle w:val="TableParagraph"/>
              <w:spacing w:before="143"/>
              <w:ind w:left="61" w:right="97"/>
              <w:rPr>
                <w:color w:val="211E1F"/>
                <w:sz w:val="18"/>
              </w:rPr>
            </w:pPr>
          </w:p>
        </w:tc>
        <w:tc>
          <w:tcPr>
            <w:tcW w:w="1338" w:type="pct"/>
            <w:tcBorders>
              <w:top w:val="single" w:sz="4" w:space="0" w:color="5F6269"/>
              <w:bottom w:val="single" w:sz="4" w:space="0" w:color="5F6269"/>
            </w:tcBorders>
          </w:tcPr>
          <w:p w14:paraId="0D7914AC" w14:textId="77777777" w:rsidR="007B3B30" w:rsidRPr="00D4309F" w:rsidRDefault="007B3B30" w:rsidP="007B3B30">
            <w:pPr>
              <w:pStyle w:val="TableParagraph"/>
              <w:spacing w:before="143"/>
              <w:ind w:left="64" w:right="119"/>
              <w:rPr>
                <w:color w:val="211E1F"/>
                <w:sz w:val="18"/>
              </w:rPr>
            </w:pPr>
          </w:p>
        </w:tc>
      </w:tr>
      <w:tr w:rsidR="007B3B30" w:rsidRPr="00D4309F" w14:paraId="4B25C76E" w14:textId="77777777" w:rsidTr="007B3B30">
        <w:trPr>
          <w:cantSplit/>
          <w:trHeight w:val="20"/>
        </w:trPr>
        <w:tc>
          <w:tcPr>
            <w:tcW w:w="699" w:type="pct"/>
            <w:tcBorders>
              <w:top w:val="single" w:sz="4" w:space="0" w:color="5F6269"/>
              <w:bottom w:val="single" w:sz="4" w:space="0" w:color="5F6269"/>
            </w:tcBorders>
          </w:tcPr>
          <w:p w14:paraId="6CA2800D" w14:textId="77777777" w:rsidR="007B3B30" w:rsidRPr="007B3B30" w:rsidRDefault="007B3B30" w:rsidP="007B3B30">
            <w:pPr>
              <w:pStyle w:val="TableParagraph"/>
              <w:rPr>
                <w:b/>
                <w:bCs/>
                <w:sz w:val="18"/>
              </w:rPr>
            </w:pPr>
          </w:p>
          <w:p w14:paraId="311760A5" w14:textId="77777777" w:rsidR="007B3B30" w:rsidRPr="007B3B30" w:rsidRDefault="007B3B30" w:rsidP="007B3B30">
            <w:pPr>
              <w:pStyle w:val="TableParagraph"/>
              <w:rPr>
                <w:b/>
                <w:bCs/>
                <w:sz w:val="18"/>
              </w:rPr>
            </w:pPr>
          </w:p>
          <w:p w14:paraId="68E35F66" w14:textId="77777777" w:rsidR="007B3B30" w:rsidRPr="007B3B30" w:rsidRDefault="007B3B30" w:rsidP="007B3B30">
            <w:pPr>
              <w:pStyle w:val="TableParagraph"/>
              <w:spacing w:before="143"/>
              <w:rPr>
                <w:b/>
                <w:bCs/>
                <w:sz w:val="18"/>
              </w:rPr>
            </w:pPr>
          </w:p>
          <w:p w14:paraId="1B19EFAD" w14:textId="75CFB480" w:rsidR="007B3B30" w:rsidRPr="007B3B30" w:rsidRDefault="007B3B30" w:rsidP="007B3B30">
            <w:pPr>
              <w:pStyle w:val="TableParagraph"/>
              <w:rPr>
                <w:b/>
                <w:bCs/>
                <w:sz w:val="18"/>
              </w:rPr>
            </w:pPr>
            <w:r w:rsidRPr="007B3B30">
              <w:rPr>
                <w:b/>
                <w:bCs/>
                <w:color w:val="211E1F"/>
                <w:spacing w:val="-2"/>
                <w:sz w:val="18"/>
              </w:rPr>
              <w:t>Technical feasibility</w:t>
            </w:r>
          </w:p>
        </w:tc>
        <w:tc>
          <w:tcPr>
            <w:tcW w:w="1341" w:type="pct"/>
            <w:tcBorders>
              <w:top w:val="single" w:sz="4" w:space="0" w:color="5F6269"/>
              <w:bottom w:val="single" w:sz="4" w:space="0" w:color="5F6269"/>
            </w:tcBorders>
          </w:tcPr>
          <w:p w14:paraId="3C4C9AA5" w14:textId="77777777" w:rsidR="007B3B30" w:rsidRPr="00D4309F" w:rsidRDefault="007B3B30" w:rsidP="007B3B30">
            <w:pPr>
              <w:pStyle w:val="TableParagraph"/>
              <w:rPr>
                <w:b/>
                <w:sz w:val="18"/>
              </w:rPr>
            </w:pPr>
          </w:p>
          <w:p w14:paraId="61D5876D" w14:textId="77777777" w:rsidR="007B3B30" w:rsidRPr="00D4309F" w:rsidRDefault="007B3B30" w:rsidP="007B3B30">
            <w:pPr>
              <w:pStyle w:val="TableParagraph"/>
              <w:rPr>
                <w:b/>
                <w:sz w:val="18"/>
              </w:rPr>
            </w:pPr>
          </w:p>
          <w:p w14:paraId="57B9587B" w14:textId="77777777" w:rsidR="007B3B30" w:rsidRPr="00D4309F" w:rsidRDefault="007B3B30" w:rsidP="007B3B30">
            <w:pPr>
              <w:pStyle w:val="TableParagraph"/>
              <w:spacing w:before="39"/>
              <w:rPr>
                <w:b/>
                <w:sz w:val="18"/>
              </w:rPr>
            </w:pPr>
          </w:p>
          <w:p w14:paraId="4D0C920B" w14:textId="7C84587F" w:rsidR="007B3B30" w:rsidRPr="00D4309F" w:rsidRDefault="007B3B30" w:rsidP="007B3B30">
            <w:pPr>
              <w:pStyle w:val="TableParagraph"/>
              <w:spacing w:before="39"/>
              <w:ind w:left="127" w:right="62"/>
              <w:rPr>
                <w:color w:val="211E1F"/>
                <w:sz w:val="18"/>
              </w:rPr>
            </w:pPr>
            <w:r w:rsidRPr="00D4309F">
              <w:rPr>
                <w:color w:val="211E1F"/>
                <w:sz w:val="18"/>
              </w:rPr>
              <w:t>Excellent</w:t>
            </w:r>
            <w:r w:rsidRPr="00D4309F">
              <w:rPr>
                <w:color w:val="211E1F"/>
                <w:spacing w:val="-13"/>
                <w:sz w:val="18"/>
              </w:rPr>
              <w:t xml:space="preserve"> </w:t>
            </w:r>
            <w:r w:rsidRPr="00D4309F">
              <w:rPr>
                <w:color w:val="211E1F"/>
                <w:sz w:val="18"/>
              </w:rPr>
              <w:t>–</w:t>
            </w:r>
            <w:r w:rsidRPr="00D4309F">
              <w:rPr>
                <w:color w:val="211E1F"/>
                <w:spacing w:val="-12"/>
                <w:sz w:val="18"/>
              </w:rPr>
              <w:t xml:space="preserve"> </w:t>
            </w:r>
            <w:r w:rsidRPr="00D4309F">
              <w:rPr>
                <w:color w:val="211E1F"/>
                <w:sz w:val="18"/>
              </w:rPr>
              <w:t>proven</w:t>
            </w:r>
            <w:r w:rsidRPr="00D4309F">
              <w:rPr>
                <w:color w:val="211E1F"/>
                <w:spacing w:val="-13"/>
                <w:sz w:val="18"/>
              </w:rPr>
              <w:t xml:space="preserve"> </w:t>
            </w:r>
            <w:r w:rsidRPr="00D4309F">
              <w:rPr>
                <w:color w:val="211E1F"/>
                <w:sz w:val="18"/>
              </w:rPr>
              <w:t xml:space="preserve">coastal structure and dredging </w:t>
            </w:r>
            <w:r w:rsidRPr="00D4309F">
              <w:rPr>
                <w:color w:val="211E1F"/>
                <w:spacing w:val="-2"/>
                <w:sz w:val="18"/>
              </w:rPr>
              <w:t>methodology.</w:t>
            </w:r>
          </w:p>
        </w:tc>
        <w:tc>
          <w:tcPr>
            <w:tcW w:w="1622" w:type="pct"/>
            <w:tcBorders>
              <w:top w:val="single" w:sz="4" w:space="0" w:color="5F6269"/>
              <w:bottom w:val="single" w:sz="4" w:space="0" w:color="5F6269"/>
            </w:tcBorders>
          </w:tcPr>
          <w:p w14:paraId="764B93CC" w14:textId="7C43FCF7" w:rsidR="007B3B30" w:rsidRPr="00D4309F" w:rsidRDefault="007B3B30" w:rsidP="007B3B30">
            <w:pPr>
              <w:pStyle w:val="TableParagraph"/>
              <w:spacing w:before="143"/>
              <w:ind w:left="61" w:right="97"/>
              <w:rPr>
                <w:color w:val="211E1F"/>
                <w:sz w:val="18"/>
              </w:rPr>
            </w:pPr>
            <w:r w:rsidRPr="00D4309F">
              <w:rPr>
                <w:color w:val="211E1F"/>
                <w:sz w:val="18"/>
              </w:rPr>
              <w:t>Poor – Early 2012 trial demonstrated poor performance due to inability to form an effective trap in the rock seabed. Although some constraints may be mitigated through deeper excavation and the presence of a breakwater-formed</w:t>
            </w:r>
            <w:r w:rsidRPr="00D4309F">
              <w:rPr>
                <w:color w:val="211E1F"/>
                <w:spacing w:val="-15"/>
                <w:sz w:val="18"/>
              </w:rPr>
              <w:t xml:space="preserve"> </w:t>
            </w:r>
            <w:r w:rsidRPr="00D4309F">
              <w:rPr>
                <w:color w:val="211E1F"/>
                <w:sz w:val="18"/>
              </w:rPr>
              <w:t>compartment,</w:t>
            </w:r>
            <w:r w:rsidRPr="00D4309F">
              <w:rPr>
                <w:color w:val="211E1F"/>
                <w:spacing w:val="-12"/>
                <w:sz w:val="18"/>
              </w:rPr>
              <w:t xml:space="preserve"> </w:t>
            </w:r>
            <w:r w:rsidRPr="00D4309F">
              <w:rPr>
                <w:color w:val="211E1F"/>
                <w:sz w:val="18"/>
              </w:rPr>
              <w:t>site conditions remain challenging and effectiveness uncertain.</w:t>
            </w:r>
          </w:p>
        </w:tc>
        <w:tc>
          <w:tcPr>
            <w:tcW w:w="1338" w:type="pct"/>
            <w:tcBorders>
              <w:top w:val="single" w:sz="4" w:space="0" w:color="5F6269"/>
              <w:bottom w:val="single" w:sz="4" w:space="0" w:color="5F6269"/>
            </w:tcBorders>
          </w:tcPr>
          <w:p w14:paraId="574C813F" w14:textId="77777777" w:rsidR="007B3B30" w:rsidRPr="00D4309F" w:rsidRDefault="007B3B30" w:rsidP="007B3B30">
            <w:pPr>
              <w:pStyle w:val="TableParagraph"/>
              <w:rPr>
                <w:b/>
                <w:sz w:val="18"/>
              </w:rPr>
            </w:pPr>
          </w:p>
          <w:p w14:paraId="2D072EEC" w14:textId="77777777" w:rsidR="007B3B30" w:rsidRPr="00D4309F" w:rsidRDefault="007B3B30" w:rsidP="007B3B30">
            <w:pPr>
              <w:pStyle w:val="TableParagraph"/>
              <w:rPr>
                <w:b/>
                <w:sz w:val="18"/>
              </w:rPr>
            </w:pPr>
          </w:p>
          <w:p w14:paraId="079FCFD5" w14:textId="77777777" w:rsidR="007B3B30" w:rsidRPr="00D4309F" w:rsidRDefault="007B3B30" w:rsidP="007B3B30">
            <w:pPr>
              <w:pStyle w:val="TableParagraph"/>
              <w:spacing w:before="39"/>
              <w:rPr>
                <w:b/>
                <w:sz w:val="18"/>
              </w:rPr>
            </w:pPr>
          </w:p>
          <w:p w14:paraId="4C71F737" w14:textId="18F4C56B" w:rsidR="007B3B30" w:rsidRPr="00D4309F" w:rsidRDefault="007B3B30" w:rsidP="007B3B30">
            <w:pPr>
              <w:pStyle w:val="TableParagraph"/>
              <w:spacing w:before="143"/>
              <w:ind w:left="64" w:right="119"/>
              <w:rPr>
                <w:color w:val="211E1F"/>
                <w:sz w:val="18"/>
              </w:rPr>
            </w:pPr>
            <w:r w:rsidRPr="00D4309F">
              <w:rPr>
                <w:color w:val="211E1F"/>
                <w:sz w:val="18"/>
              </w:rPr>
              <w:t>Very Good – proven pump tech,</w:t>
            </w:r>
            <w:r w:rsidRPr="00D4309F">
              <w:rPr>
                <w:color w:val="211E1F"/>
                <w:spacing w:val="-13"/>
                <w:sz w:val="18"/>
              </w:rPr>
              <w:t xml:space="preserve"> </w:t>
            </w:r>
            <w:r w:rsidRPr="00D4309F">
              <w:rPr>
                <w:color w:val="211E1F"/>
                <w:sz w:val="18"/>
              </w:rPr>
              <w:t>adaptable</w:t>
            </w:r>
            <w:r w:rsidRPr="00D4309F">
              <w:rPr>
                <w:color w:val="211E1F"/>
                <w:spacing w:val="-12"/>
                <w:sz w:val="18"/>
              </w:rPr>
              <w:t xml:space="preserve"> </w:t>
            </w:r>
            <w:r w:rsidRPr="00D4309F">
              <w:rPr>
                <w:color w:val="211E1F"/>
                <w:sz w:val="18"/>
              </w:rPr>
              <w:t>crane</w:t>
            </w:r>
            <w:r w:rsidRPr="00D4309F">
              <w:rPr>
                <w:color w:val="211E1F"/>
                <w:spacing w:val="-13"/>
                <w:sz w:val="18"/>
              </w:rPr>
              <w:t xml:space="preserve"> </w:t>
            </w:r>
            <w:r w:rsidRPr="00D4309F">
              <w:rPr>
                <w:color w:val="211E1F"/>
                <w:sz w:val="18"/>
              </w:rPr>
              <w:t>access; less fixed risk.</w:t>
            </w:r>
          </w:p>
        </w:tc>
      </w:tr>
      <w:tr w:rsidR="007B3B30" w:rsidRPr="00D4309F" w14:paraId="7203B3E2" w14:textId="77777777" w:rsidTr="007B3B30">
        <w:trPr>
          <w:cantSplit/>
          <w:trHeight w:val="20"/>
        </w:trPr>
        <w:tc>
          <w:tcPr>
            <w:tcW w:w="699" w:type="pct"/>
            <w:tcBorders>
              <w:top w:val="single" w:sz="4" w:space="0" w:color="5F6269"/>
              <w:bottom w:val="single" w:sz="4" w:space="0" w:color="5F6269"/>
            </w:tcBorders>
          </w:tcPr>
          <w:p w14:paraId="014665B4" w14:textId="77777777" w:rsidR="007B3B30" w:rsidRPr="007B3B30" w:rsidRDefault="007B3B30" w:rsidP="007B3B30">
            <w:pPr>
              <w:pStyle w:val="TableParagraph"/>
              <w:spacing w:before="143"/>
              <w:rPr>
                <w:b/>
                <w:bCs/>
                <w:sz w:val="18"/>
              </w:rPr>
            </w:pPr>
          </w:p>
          <w:p w14:paraId="56369FA4" w14:textId="04B856FA" w:rsidR="007B3B30" w:rsidRPr="007B3B30" w:rsidRDefault="007B3B30" w:rsidP="007B3B30">
            <w:pPr>
              <w:pStyle w:val="TableParagraph"/>
              <w:rPr>
                <w:b/>
                <w:bCs/>
                <w:sz w:val="18"/>
              </w:rPr>
            </w:pPr>
            <w:r w:rsidRPr="007B3B30">
              <w:rPr>
                <w:b/>
                <w:bCs/>
                <w:color w:val="211E1F"/>
                <w:spacing w:val="-2"/>
                <w:sz w:val="18"/>
              </w:rPr>
              <w:t>Advantages</w:t>
            </w:r>
          </w:p>
        </w:tc>
        <w:tc>
          <w:tcPr>
            <w:tcW w:w="1341" w:type="pct"/>
            <w:tcBorders>
              <w:top w:val="single" w:sz="4" w:space="0" w:color="5F6269"/>
              <w:bottom w:val="single" w:sz="4" w:space="0" w:color="5F6269"/>
            </w:tcBorders>
          </w:tcPr>
          <w:p w14:paraId="089735AA" w14:textId="2EED6B39" w:rsidR="007B3B30" w:rsidRPr="00D4309F" w:rsidRDefault="007B3B30" w:rsidP="007B3B30">
            <w:pPr>
              <w:pStyle w:val="TableParagraph"/>
              <w:spacing w:before="39"/>
              <w:ind w:left="127" w:right="62"/>
              <w:rPr>
                <w:color w:val="211E1F"/>
                <w:sz w:val="18"/>
              </w:rPr>
            </w:pPr>
            <w:r w:rsidRPr="00D4309F">
              <w:rPr>
                <w:color w:val="211E1F"/>
                <w:sz w:val="18"/>
              </w:rPr>
              <w:t>Durable structure, flexible dredging</w:t>
            </w:r>
            <w:r w:rsidRPr="00D4309F">
              <w:rPr>
                <w:color w:val="211E1F"/>
                <w:spacing w:val="-15"/>
                <w:sz w:val="18"/>
              </w:rPr>
              <w:t xml:space="preserve"> </w:t>
            </w:r>
            <w:r w:rsidRPr="00D4309F">
              <w:rPr>
                <w:color w:val="211E1F"/>
                <w:sz w:val="18"/>
              </w:rPr>
              <w:t>strategy,</w:t>
            </w:r>
            <w:r w:rsidRPr="00D4309F">
              <w:rPr>
                <w:color w:val="211E1F"/>
                <w:spacing w:val="-12"/>
                <w:sz w:val="18"/>
              </w:rPr>
              <w:t xml:space="preserve"> </w:t>
            </w:r>
            <w:r w:rsidRPr="00D4309F">
              <w:rPr>
                <w:color w:val="211E1F"/>
                <w:sz w:val="18"/>
              </w:rPr>
              <w:t>scalable and responsive.</w:t>
            </w:r>
          </w:p>
        </w:tc>
        <w:tc>
          <w:tcPr>
            <w:tcW w:w="1622" w:type="pct"/>
            <w:tcBorders>
              <w:top w:val="single" w:sz="4" w:space="0" w:color="5F6269"/>
              <w:bottom w:val="single" w:sz="4" w:space="0" w:color="5F6269"/>
            </w:tcBorders>
          </w:tcPr>
          <w:p w14:paraId="2BF2817E" w14:textId="653723BB" w:rsidR="007B3B30" w:rsidRPr="00D4309F" w:rsidRDefault="007B3B30" w:rsidP="007B3B30">
            <w:pPr>
              <w:pStyle w:val="TableParagraph"/>
              <w:spacing w:before="143"/>
              <w:ind w:left="61" w:right="97"/>
              <w:rPr>
                <w:color w:val="211E1F"/>
                <w:sz w:val="18"/>
              </w:rPr>
            </w:pPr>
            <w:r w:rsidRPr="00D4309F">
              <w:rPr>
                <w:color w:val="211E1F"/>
                <w:sz w:val="18"/>
              </w:rPr>
              <w:t>Durable structure, Low daily input; semi-automated;</w:t>
            </w:r>
            <w:r w:rsidRPr="00D4309F">
              <w:rPr>
                <w:color w:val="211E1F"/>
                <w:spacing w:val="-15"/>
                <w:sz w:val="18"/>
              </w:rPr>
              <w:t xml:space="preserve"> </w:t>
            </w:r>
            <w:r w:rsidRPr="00D4309F">
              <w:rPr>
                <w:color w:val="211E1F"/>
                <w:sz w:val="18"/>
              </w:rPr>
              <w:t>minimal</w:t>
            </w:r>
            <w:r w:rsidRPr="00D4309F">
              <w:rPr>
                <w:color w:val="211E1F"/>
                <w:spacing w:val="-12"/>
                <w:sz w:val="18"/>
              </w:rPr>
              <w:t xml:space="preserve"> </w:t>
            </w:r>
            <w:r w:rsidRPr="00D4309F">
              <w:rPr>
                <w:color w:val="211E1F"/>
                <w:sz w:val="18"/>
              </w:rPr>
              <w:t xml:space="preserve">disruption </w:t>
            </w:r>
            <w:r w:rsidRPr="00D4309F">
              <w:rPr>
                <w:color w:val="211E1F"/>
                <w:spacing w:val="-2"/>
                <w:sz w:val="18"/>
              </w:rPr>
              <w:t>post-build</w:t>
            </w:r>
          </w:p>
        </w:tc>
        <w:tc>
          <w:tcPr>
            <w:tcW w:w="1338" w:type="pct"/>
            <w:tcBorders>
              <w:top w:val="single" w:sz="4" w:space="0" w:color="5F6269"/>
              <w:bottom w:val="single" w:sz="4" w:space="0" w:color="5F6269"/>
            </w:tcBorders>
          </w:tcPr>
          <w:p w14:paraId="115E843C" w14:textId="0F62BC6D" w:rsidR="007B3B30" w:rsidRPr="00D4309F" w:rsidRDefault="007B3B30" w:rsidP="007B3B30">
            <w:pPr>
              <w:pStyle w:val="TableParagraph"/>
              <w:spacing w:before="143"/>
              <w:ind w:left="64" w:right="119"/>
              <w:rPr>
                <w:color w:val="211E1F"/>
                <w:sz w:val="18"/>
              </w:rPr>
            </w:pPr>
            <w:r w:rsidRPr="00D4309F">
              <w:rPr>
                <w:color w:val="211E1F"/>
                <w:sz w:val="18"/>
              </w:rPr>
              <w:t>Durable</w:t>
            </w:r>
            <w:r w:rsidRPr="00D4309F">
              <w:rPr>
                <w:color w:val="211E1F"/>
                <w:spacing w:val="-15"/>
                <w:sz w:val="18"/>
              </w:rPr>
              <w:t xml:space="preserve"> </w:t>
            </w:r>
            <w:r w:rsidRPr="00D4309F">
              <w:rPr>
                <w:color w:val="211E1F"/>
                <w:sz w:val="18"/>
              </w:rPr>
              <w:t>structure,</w:t>
            </w:r>
            <w:r w:rsidRPr="00D4309F">
              <w:rPr>
                <w:color w:val="211E1F"/>
                <w:spacing w:val="-12"/>
                <w:sz w:val="18"/>
              </w:rPr>
              <w:t xml:space="preserve"> </w:t>
            </w:r>
            <w:r w:rsidRPr="00D4309F">
              <w:rPr>
                <w:color w:val="211E1F"/>
                <w:sz w:val="18"/>
              </w:rPr>
              <w:t>Flexible deployment, quick mobilisation, adaptable targeting of infill zones.</w:t>
            </w:r>
          </w:p>
        </w:tc>
      </w:tr>
      <w:tr w:rsidR="007B3B30" w:rsidRPr="00D4309F" w14:paraId="0F696D31" w14:textId="77777777" w:rsidTr="007B3B30">
        <w:trPr>
          <w:cantSplit/>
          <w:trHeight w:val="20"/>
        </w:trPr>
        <w:tc>
          <w:tcPr>
            <w:tcW w:w="699" w:type="pct"/>
            <w:tcBorders>
              <w:top w:val="single" w:sz="4" w:space="0" w:color="5F6269"/>
              <w:bottom w:val="single" w:sz="4" w:space="0" w:color="5F6269"/>
            </w:tcBorders>
          </w:tcPr>
          <w:p w14:paraId="59E36A94" w14:textId="77777777" w:rsidR="007B3B30" w:rsidRPr="007B3B30" w:rsidRDefault="007B3B30" w:rsidP="007B3B30">
            <w:pPr>
              <w:pStyle w:val="TableParagraph"/>
              <w:spacing w:before="143"/>
              <w:rPr>
                <w:b/>
                <w:bCs/>
                <w:sz w:val="18"/>
              </w:rPr>
            </w:pPr>
          </w:p>
          <w:p w14:paraId="1653F4E2" w14:textId="047C8676" w:rsidR="007B3B30" w:rsidRPr="007B3B30" w:rsidRDefault="007B3B30" w:rsidP="007B3B30">
            <w:pPr>
              <w:pStyle w:val="TableParagraph"/>
              <w:rPr>
                <w:b/>
                <w:bCs/>
                <w:sz w:val="18"/>
              </w:rPr>
            </w:pPr>
            <w:r w:rsidRPr="007B3B30">
              <w:rPr>
                <w:b/>
                <w:bCs/>
                <w:color w:val="211E1F"/>
                <w:spacing w:val="-2"/>
                <w:sz w:val="18"/>
              </w:rPr>
              <w:t>Disadvantages</w:t>
            </w:r>
          </w:p>
        </w:tc>
        <w:tc>
          <w:tcPr>
            <w:tcW w:w="1341" w:type="pct"/>
            <w:tcBorders>
              <w:top w:val="single" w:sz="4" w:space="0" w:color="5F6269"/>
              <w:bottom w:val="single" w:sz="4" w:space="0" w:color="5F6269"/>
            </w:tcBorders>
          </w:tcPr>
          <w:p w14:paraId="2DE63D99" w14:textId="383F166A" w:rsidR="007B3B30" w:rsidRPr="00D4309F" w:rsidRDefault="007B3B30" w:rsidP="007B3B30">
            <w:pPr>
              <w:pStyle w:val="TableParagraph"/>
              <w:spacing w:before="39"/>
              <w:ind w:left="127" w:right="62"/>
              <w:rPr>
                <w:color w:val="211E1F"/>
                <w:sz w:val="18"/>
              </w:rPr>
            </w:pPr>
            <w:r w:rsidRPr="00D4309F">
              <w:rPr>
                <w:color w:val="211E1F"/>
                <w:sz w:val="18"/>
              </w:rPr>
              <w:t>Requires</w:t>
            </w:r>
            <w:r w:rsidRPr="00D4309F">
              <w:rPr>
                <w:color w:val="211E1F"/>
                <w:spacing w:val="-15"/>
                <w:sz w:val="18"/>
              </w:rPr>
              <w:t xml:space="preserve"> </w:t>
            </w:r>
            <w:r w:rsidRPr="00D4309F">
              <w:rPr>
                <w:color w:val="211E1F"/>
                <w:sz w:val="18"/>
              </w:rPr>
              <w:t>weather</w:t>
            </w:r>
            <w:r w:rsidRPr="00D4309F">
              <w:rPr>
                <w:color w:val="211E1F"/>
                <w:spacing w:val="-12"/>
                <w:sz w:val="18"/>
              </w:rPr>
              <w:t xml:space="preserve"> </w:t>
            </w:r>
            <w:r w:rsidRPr="00D4309F">
              <w:rPr>
                <w:color w:val="211E1F"/>
                <w:sz w:val="18"/>
              </w:rPr>
              <w:t xml:space="preserve">windows; dependent on dredge availability; maintenance </w:t>
            </w:r>
            <w:r w:rsidRPr="00D4309F">
              <w:rPr>
                <w:color w:val="211E1F"/>
                <w:spacing w:val="-2"/>
                <w:sz w:val="18"/>
              </w:rPr>
              <w:t>cycles.</w:t>
            </w:r>
          </w:p>
        </w:tc>
        <w:tc>
          <w:tcPr>
            <w:tcW w:w="1622" w:type="pct"/>
            <w:tcBorders>
              <w:top w:val="single" w:sz="4" w:space="0" w:color="5F6269"/>
              <w:bottom w:val="single" w:sz="4" w:space="0" w:color="5F6269"/>
            </w:tcBorders>
          </w:tcPr>
          <w:p w14:paraId="74D5D299" w14:textId="674BA72A" w:rsidR="007B3B30" w:rsidRPr="00D4309F" w:rsidRDefault="007B3B30" w:rsidP="007B3B30">
            <w:pPr>
              <w:pStyle w:val="TableParagraph"/>
              <w:spacing w:before="143"/>
              <w:ind w:left="61" w:right="97"/>
              <w:rPr>
                <w:color w:val="211E1F"/>
                <w:sz w:val="18"/>
              </w:rPr>
            </w:pPr>
            <w:r w:rsidRPr="00D4309F">
              <w:rPr>
                <w:color w:val="211E1F"/>
                <w:sz w:val="18"/>
              </w:rPr>
              <w:t>Requires</w:t>
            </w:r>
            <w:r w:rsidRPr="00D4309F">
              <w:rPr>
                <w:color w:val="211E1F"/>
                <w:spacing w:val="-13"/>
                <w:sz w:val="18"/>
              </w:rPr>
              <w:t xml:space="preserve"> </w:t>
            </w:r>
            <w:r w:rsidRPr="00D4309F">
              <w:rPr>
                <w:color w:val="211E1F"/>
                <w:sz w:val="18"/>
              </w:rPr>
              <w:t>seabed</w:t>
            </w:r>
            <w:r w:rsidRPr="00D4309F">
              <w:rPr>
                <w:color w:val="211E1F"/>
                <w:spacing w:val="-12"/>
                <w:sz w:val="18"/>
              </w:rPr>
              <w:t xml:space="preserve"> </w:t>
            </w:r>
            <w:r w:rsidRPr="00D4309F">
              <w:rPr>
                <w:color w:val="211E1F"/>
                <w:sz w:val="18"/>
              </w:rPr>
              <w:t>trenching;</w:t>
            </w:r>
            <w:r w:rsidRPr="00D4309F">
              <w:rPr>
                <w:color w:val="211E1F"/>
                <w:spacing w:val="-13"/>
                <w:sz w:val="18"/>
              </w:rPr>
              <w:t xml:space="preserve"> </w:t>
            </w:r>
            <w:r w:rsidRPr="00D4309F">
              <w:rPr>
                <w:color w:val="211E1F"/>
                <w:sz w:val="18"/>
              </w:rPr>
              <w:t xml:space="preserve">fixed intake limits flexibility; costly to </w:t>
            </w:r>
            <w:r w:rsidRPr="00D4309F">
              <w:rPr>
                <w:color w:val="211E1F"/>
                <w:spacing w:val="-2"/>
                <w:sz w:val="18"/>
              </w:rPr>
              <w:t>upgrade.</w:t>
            </w:r>
          </w:p>
        </w:tc>
        <w:tc>
          <w:tcPr>
            <w:tcW w:w="1338" w:type="pct"/>
            <w:tcBorders>
              <w:top w:val="single" w:sz="4" w:space="0" w:color="5F6269"/>
              <w:bottom w:val="single" w:sz="4" w:space="0" w:color="5F6269"/>
            </w:tcBorders>
          </w:tcPr>
          <w:p w14:paraId="49FD2461" w14:textId="5C58DB1C" w:rsidR="007B3B30" w:rsidRPr="00D4309F" w:rsidRDefault="007B3B30" w:rsidP="007B3B30">
            <w:pPr>
              <w:pStyle w:val="TableParagraph"/>
              <w:spacing w:before="143"/>
              <w:ind w:left="64" w:right="119"/>
              <w:rPr>
                <w:color w:val="211E1F"/>
                <w:sz w:val="18"/>
              </w:rPr>
            </w:pPr>
            <w:r w:rsidRPr="00D4309F">
              <w:rPr>
                <w:color w:val="211E1F"/>
                <w:sz w:val="18"/>
              </w:rPr>
              <w:t>Requires weather windows; limited to crane access zone; temporary</w:t>
            </w:r>
            <w:r w:rsidRPr="00D4309F">
              <w:rPr>
                <w:color w:val="211E1F"/>
                <w:spacing w:val="-13"/>
                <w:sz w:val="18"/>
              </w:rPr>
              <w:t xml:space="preserve"> </w:t>
            </w:r>
            <w:r w:rsidRPr="00D4309F">
              <w:rPr>
                <w:color w:val="211E1F"/>
                <w:sz w:val="18"/>
              </w:rPr>
              <w:t>set-up</w:t>
            </w:r>
            <w:r w:rsidRPr="00D4309F">
              <w:rPr>
                <w:color w:val="211E1F"/>
                <w:spacing w:val="-12"/>
                <w:sz w:val="18"/>
              </w:rPr>
              <w:t xml:space="preserve"> </w:t>
            </w:r>
            <w:r w:rsidRPr="00D4309F">
              <w:rPr>
                <w:color w:val="211E1F"/>
                <w:sz w:val="18"/>
              </w:rPr>
              <w:t>and</w:t>
            </w:r>
            <w:r w:rsidRPr="00D4309F">
              <w:rPr>
                <w:color w:val="211E1F"/>
                <w:spacing w:val="-13"/>
                <w:sz w:val="18"/>
              </w:rPr>
              <w:t xml:space="preserve"> </w:t>
            </w:r>
            <w:r w:rsidRPr="00D4309F">
              <w:rPr>
                <w:color w:val="211E1F"/>
                <w:sz w:val="18"/>
              </w:rPr>
              <w:t>removal each time.</w:t>
            </w:r>
          </w:p>
        </w:tc>
      </w:tr>
      <w:tr w:rsidR="007B3B30" w:rsidRPr="00D4309F" w14:paraId="36D7EAB0" w14:textId="77777777" w:rsidTr="007B3B30">
        <w:trPr>
          <w:cantSplit/>
          <w:trHeight w:val="20"/>
        </w:trPr>
        <w:tc>
          <w:tcPr>
            <w:tcW w:w="699" w:type="pct"/>
            <w:tcBorders>
              <w:top w:val="single" w:sz="4" w:space="0" w:color="5F6269"/>
              <w:bottom w:val="single" w:sz="4" w:space="0" w:color="5F6269"/>
            </w:tcBorders>
          </w:tcPr>
          <w:p w14:paraId="57DAADBE" w14:textId="77777777" w:rsidR="007B3B30" w:rsidRPr="007B3B30" w:rsidRDefault="007B3B30" w:rsidP="007B3B30">
            <w:pPr>
              <w:pStyle w:val="TableParagraph"/>
              <w:rPr>
                <w:b/>
                <w:bCs/>
                <w:sz w:val="18"/>
              </w:rPr>
            </w:pPr>
          </w:p>
          <w:p w14:paraId="7B48336D" w14:textId="77777777" w:rsidR="007B3B30" w:rsidRPr="007B3B30" w:rsidRDefault="007B3B30" w:rsidP="007B3B30">
            <w:pPr>
              <w:pStyle w:val="TableParagraph"/>
              <w:rPr>
                <w:b/>
                <w:bCs/>
                <w:sz w:val="18"/>
              </w:rPr>
            </w:pPr>
          </w:p>
          <w:p w14:paraId="1BE9E1E6" w14:textId="77777777" w:rsidR="007B3B30" w:rsidRPr="007B3B30" w:rsidRDefault="007B3B30" w:rsidP="007B3B30">
            <w:pPr>
              <w:pStyle w:val="TableParagraph"/>
              <w:spacing w:before="143"/>
              <w:rPr>
                <w:b/>
                <w:bCs/>
                <w:sz w:val="18"/>
              </w:rPr>
            </w:pPr>
          </w:p>
          <w:p w14:paraId="444F62DF" w14:textId="768BED6C" w:rsidR="007B3B30" w:rsidRPr="007B3B30" w:rsidRDefault="007B3B30" w:rsidP="007B3B30">
            <w:pPr>
              <w:pStyle w:val="TableParagraph"/>
              <w:rPr>
                <w:b/>
                <w:bCs/>
                <w:sz w:val="18"/>
              </w:rPr>
            </w:pPr>
            <w:r w:rsidRPr="007B3B30">
              <w:rPr>
                <w:b/>
                <w:bCs/>
                <w:color w:val="211E1F"/>
                <w:spacing w:val="-2"/>
                <w:sz w:val="18"/>
              </w:rPr>
              <w:t>Overall assessment</w:t>
            </w:r>
          </w:p>
        </w:tc>
        <w:tc>
          <w:tcPr>
            <w:tcW w:w="1341" w:type="pct"/>
            <w:tcBorders>
              <w:top w:val="single" w:sz="4" w:space="0" w:color="5F6269"/>
              <w:bottom w:val="single" w:sz="4" w:space="0" w:color="5F6269"/>
            </w:tcBorders>
          </w:tcPr>
          <w:p w14:paraId="3490D4D0" w14:textId="71204344" w:rsidR="007B3B30" w:rsidRPr="00D4309F" w:rsidRDefault="007B3B30" w:rsidP="007B3B30">
            <w:pPr>
              <w:pStyle w:val="TableParagraph"/>
              <w:spacing w:before="39"/>
              <w:ind w:left="127" w:right="62"/>
              <w:rPr>
                <w:color w:val="211E1F"/>
                <w:sz w:val="18"/>
              </w:rPr>
            </w:pPr>
            <w:r w:rsidRPr="00D4309F">
              <w:rPr>
                <w:color w:val="211E1F"/>
                <w:sz w:val="18"/>
              </w:rPr>
              <w:t>Highly effective at managing entrance shoaling with a robust breakwater structure and proven dredging approach.</w:t>
            </w:r>
            <w:r w:rsidRPr="00D4309F">
              <w:rPr>
                <w:color w:val="211E1F"/>
                <w:spacing w:val="-13"/>
                <w:sz w:val="18"/>
              </w:rPr>
              <w:t xml:space="preserve"> </w:t>
            </w:r>
            <w:r w:rsidRPr="00D4309F">
              <w:rPr>
                <w:color w:val="211E1F"/>
                <w:sz w:val="18"/>
              </w:rPr>
              <w:t>Offers</w:t>
            </w:r>
            <w:r w:rsidRPr="00D4309F">
              <w:rPr>
                <w:color w:val="211E1F"/>
                <w:spacing w:val="-12"/>
                <w:sz w:val="18"/>
              </w:rPr>
              <w:t xml:space="preserve"> </w:t>
            </w:r>
            <w:r w:rsidRPr="00D4309F">
              <w:rPr>
                <w:color w:val="211E1F"/>
                <w:sz w:val="18"/>
              </w:rPr>
              <w:t>strong</w:t>
            </w:r>
            <w:r w:rsidRPr="00D4309F">
              <w:rPr>
                <w:color w:val="211E1F"/>
                <w:spacing w:val="-13"/>
                <w:sz w:val="18"/>
              </w:rPr>
              <w:t xml:space="preserve"> </w:t>
            </w:r>
            <w:r w:rsidRPr="00D4309F">
              <w:rPr>
                <w:color w:val="211E1F"/>
                <w:sz w:val="18"/>
              </w:rPr>
              <w:t>long-term</w:t>
            </w:r>
            <w:r w:rsidRPr="00D4309F">
              <w:rPr>
                <w:color w:val="211E1F"/>
                <w:spacing w:val="-5"/>
                <w:sz w:val="18"/>
              </w:rPr>
              <w:t xml:space="preserve"> </w:t>
            </w:r>
            <w:r w:rsidRPr="00D4309F">
              <w:rPr>
                <w:color w:val="211E1F"/>
                <w:sz w:val="18"/>
              </w:rPr>
              <w:t>adaptability,</w:t>
            </w:r>
            <w:r w:rsidRPr="00D4309F">
              <w:rPr>
                <w:color w:val="211E1F"/>
                <w:spacing w:val="-5"/>
                <w:sz w:val="18"/>
              </w:rPr>
              <w:t xml:space="preserve"> </w:t>
            </w:r>
            <w:r w:rsidRPr="00D4309F">
              <w:rPr>
                <w:color w:val="211E1F"/>
                <w:sz w:val="18"/>
              </w:rPr>
              <w:t xml:space="preserve">operational flexibility, and is already aligned with existing </w:t>
            </w:r>
            <w:r w:rsidRPr="00D4309F">
              <w:rPr>
                <w:color w:val="211E1F"/>
                <w:spacing w:val="-2"/>
                <w:sz w:val="18"/>
              </w:rPr>
              <w:t>strategies.</w:t>
            </w:r>
          </w:p>
        </w:tc>
        <w:tc>
          <w:tcPr>
            <w:tcW w:w="1622" w:type="pct"/>
            <w:tcBorders>
              <w:top w:val="single" w:sz="4" w:space="0" w:color="5F6269"/>
              <w:bottom w:val="single" w:sz="4" w:space="0" w:color="5F6269"/>
            </w:tcBorders>
          </w:tcPr>
          <w:p w14:paraId="7DC16B6E" w14:textId="77777777" w:rsidR="007B3B30" w:rsidRPr="00D4309F" w:rsidRDefault="007B3B30" w:rsidP="007B3B30">
            <w:pPr>
              <w:pStyle w:val="TableParagraph"/>
              <w:spacing w:before="40"/>
              <w:rPr>
                <w:b/>
                <w:sz w:val="18"/>
              </w:rPr>
            </w:pPr>
          </w:p>
          <w:p w14:paraId="3340F433" w14:textId="0043522D" w:rsidR="007B3B30" w:rsidRPr="00D4309F" w:rsidRDefault="007B3B30" w:rsidP="007B3B30">
            <w:pPr>
              <w:pStyle w:val="TableParagraph"/>
              <w:spacing w:before="143"/>
              <w:ind w:left="61" w:right="97"/>
              <w:rPr>
                <w:color w:val="211E1F"/>
                <w:sz w:val="18"/>
              </w:rPr>
            </w:pPr>
            <w:r w:rsidRPr="00D4309F">
              <w:rPr>
                <w:color w:val="211E1F"/>
                <w:sz w:val="18"/>
              </w:rPr>
              <w:t>Significant</w:t>
            </w:r>
            <w:r w:rsidRPr="00D4309F">
              <w:rPr>
                <w:color w:val="211E1F"/>
                <w:spacing w:val="-13"/>
                <w:sz w:val="18"/>
              </w:rPr>
              <w:t xml:space="preserve"> </w:t>
            </w:r>
            <w:r w:rsidRPr="00D4309F">
              <w:rPr>
                <w:color w:val="211E1F"/>
                <w:sz w:val="18"/>
              </w:rPr>
              <w:t>constructability</w:t>
            </w:r>
            <w:r w:rsidRPr="00D4309F">
              <w:rPr>
                <w:color w:val="211E1F"/>
                <w:spacing w:val="-12"/>
                <w:sz w:val="18"/>
              </w:rPr>
              <w:t xml:space="preserve"> </w:t>
            </w:r>
            <w:r w:rsidRPr="00D4309F">
              <w:rPr>
                <w:color w:val="211E1F"/>
                <w:sz w:val="18"/>
              </w:rPr>
              <w:t>issues</w:t>
            </w:r>
            <w:r w:rsidRPr="00D4309F">
              <w:rPr>
                <w:color w:val="211E1F"/>
                <w:spacing w:val="-13"/>
                <w:sz w:val="18"/>
              </w:rPr>
              <w:t xml:space="preserve"> </w:t>
            </w:r>
            <w:r w:rsidRPr="00D4309F">
              <w:rPr>
                <w:color w:val="211E1F"/>
                <w:sz w:val="18"/>
              </w:rPr>
              <w:t>and poor past trial performance due to rock seabed. While effectiveness</w:t>
            </w:r>
            <w:r w:rsidRPr="00D4309F">
              <w:rPr>
                <w:color w:val="211E1F"/>
                <w:spacing w:val="40"/>
                <w:sz w:val="18"/>
              </w:rPr>
              <w:t xml:space="preserve"> </w:t>
            </w:r>
            <w:r w:rsidRPr="00D4309F">
              <w:rPr>
                <w:color w:val="211E1F"/>
                <w:sz w:val="18"/>
              </w:rPr>
              <w:t>may</w:t>
            </w:r>
            <w:r w:rsidRPr="00D4309F">
              <w:rPr>
                <w:color w:val="211E1F"/>
                <w:spacing w:val="-6"/>
                <w:sz w:val="18"/>
              </w:rPr>
              <w:t xml:space="preserve"> </w:t>
            </w:r>
            <w:r w:rsidRPr="00D4309F">
              <w:rPr>
                <w:color w:val="211E1F"/>
                <w:sz w:val="18"/>
              </w:rPr>
              <w:t>improve</w:t>
            </w:r>
            <w:r w:rsidRPr="00D4309F">
              <w:rPr>
                <w:color w:val="211E1F"/>
                <w:spacing w:val="-7"/>
                <w:sz w:val="18"/>
              </w:rPr>
              <w:t xml:space="preserve"> </w:t>
            </w:r>
            <w:r w:rsidRPr="00D4309F">
              <w:rPr>
                <w:color w:val="211E1F"/>
                <w:sz w:val="18"/>
              </w:rPr>
              <w:t>with</w:t>
            </w:r>
            <w:r w:rsidRPr="00D4309F">
              <w:rPr>
                <w:color w:val="211E1F"/>
                <w:spacing w:val="-7"/>
                <w:sz w:val="18"/>
              </w:rPr>
              <w:t xml:space="preserve"> </w:t>
            </w:r>
            <w:r w:rsidRPr="00D4309F">
              <w:rPr>
                <w:color w:val="211E1F"/>
                <w:sz w:val="18"/>
              </w:rPr>
              <w:t>breakwater-formed trap, performance remains uncertain and high capital cost not justified given better alternatives.</w:t>
            </w:r>
          </w:p>
        </w:tc>
        <w:tc>
          <w:tcPr>
            <w:tcW w:w="1338" w:type="pct"/>
            <w:tcBorders>
              <w:top w:val="single" w:sz="4" w:space="0" w:color="5F6269"/>
              <w:bottom w:val="single" w:sz="4" w:space="0" w:color="5F6269"/>
            </w:tcBorders>
          </w:tcPr>
          <w:p w14:paraId="31B43B86" w14:textId="77777777" w:rsidR="007B3B30" w:rsidRPr="00D4309F" w:rsidRDefault="007B3B30" w:rsidP="007B3B30">
            <w:pPr>
              <w:pStyle w:val="TableParagraph"/>
              <w:spacing w:before="40"/>
              <w:rPr>
                <w:b/>
                <w:sz w:val="18"/>
              </w:rPr>
            </w:pPr>
          </w:p>
          <w:p w14:paraId="6A5C5FD7" w14:textId="77777777" w:rsidR="007B3B30" w:rsidRPr="00D4309F" w:rsidRDefault="007B3B30" w:rsidP="007B3B30">
            <w:pPr>
              <w:pStyle w:val="TableParagraph"/>
              <w:ind w:left="70" w:right="62"/>
              <w:rPr>
                <w:sz w:val="18"/>
              </w:rPr>
            </w:pPr>
            <w:r w:rsidRPr="00D4309F">
              <w:rPr>
                <w:color w:val="211E1F"/>
                <w:sz w:val="18"/>
              </w:rPr>
              <w:t>Similar</w:t>
            </w:r>
            <w:r w:rsidRPr="00D4309F">
              <w:rPr>
                <w:color w:val="211E1F"/>
                <w:spacing w:val="-10"/>
                <w:sz w:val="18"/>
              </w:rPr>
              <w:t xml:space="preserve"> </w:t>
            </w:r>
            <w:r w:rsidRPr="00D4309F">
              <w:rPr>
                <w:color w:val="211E1F"/>
                <w:sz w:val="18"/>
              </w:rPr>
              <w:t>to</w:t>
            </w:r>
            <w:r w:rsidRPr="00D4309F">
              <w:rPr>
                <w:color w:val="211E1F"/>
                <w:spacing w:val="-11"/>
                <w:sz w:val="18"/>
              </w:rPr>
              <w:t xml:space="preserve"> </w:t>
            </w:r>
            <w:r w:rsidRPr="00D4309F">
              <w:rPr>
                <w:color w:val="211E1F"/>
                <w:sz w:val="18"/>
              </w:rPr>
              <w:t>3A;</w:t>
            </w:r>
            <w:r w:rsidRPr="00D4309F">
              <w:rPr>
                <w:color w:val="211E1F"/>
                <w:spacing w:val="-10"/>
                <w:sz w:val="18"/>
              </w:rPr>
              <w:t xml:space="preserve"> </w:t>
            </w:r>
            <w:r w:rsidRPr="00D4309F">
              <w:rPr>
                <w:color w:val="211E1F"/>
                <w:sz w:val="18"/>
              </w:rPr>
              <w:t>potentially</w:t>
            </w:r>
            <w:r w:rsidRPr="00D4309F">
              <w:rPr>
                <w:color w:val="211E1F"/>
                <w:spacing w:val="-10"/>
                <w:sz w:val="18"/>
              </w:rPr>
              <w:t xml:space="preserve"> </w:t>
            </w:r>
            <w:r w:rsidRPr="00D4309F">
              <w:rPr>
                <w:color w:val="211E1F"/>
                <w:sz w:val="18"/>
              </w:rPr>
              <w:t>better operational performance.</w:t>
            </w:r>
          </w:p>
          <w:p w14:paraId="5DE50AB0" w14:textId="74D5B35D" w:rsidR="007B3B30" w:rsidRPr="00D4309F" w:rsidRDefault="007B3B30" w:rsidP="007B3B30">
            <w:pPr>
              <w:pStyle w:val="TableParagraph"/>
              <w:spacing w:before="143"/>
              <w:ind w:left="64" w:right="119"/>
              <w:rPr>
                <w:color w:val="211E1F"/>
                <w:sz w:val="18"/>
              </w:rPr>
            </w:pPr>
            <w:r w:rsidRPr="00D4309F">
              <w:rPr>
                <w:color w:val="211E1F"/>
                <w:sz w:val="18"/>
              </w:rPr>
              <w:t>Balances effective sediment bypassing with operational responsiveness.</w:t>
            </w:r>
            <w:r w:rsidRPr="00D4309F">
              <w:rPr>
                <w:color w:val="211E1F"/>
                <w:spacing w:val="-13"/>
                <w:sz w:val="18"/>
              </w:rPr>
              <w:t xml:space="preserve"> </w:t>
            </w:r>
            <w:r w:rsidRPr="00D4309F">
              <w:rPr>
                <w:color w:val="211E1F"/>
                <w:sz w:val="18"/>
              </w:rPr>
              <w:t>Suitable</w:t>
            </w:r>
            <w:r w:rsidRPr="00D4309F">
              <w:rPr>
                <w:color w:val="211E1F"/>
                <w:spacing w:val="-12"/>
                <w:sz w:val="18"/>
              </w:rPr>
              <w:t xml:space="preserve"> </w:t>
            </w:r>
            <w:r w:rsidRPr="00D4309F">
              <w:rPr>
                <w:color w:val="211E1F"/>
                <w:sz w:val="18"/>
              </w:rPr>
              <w:t>as</w:t>
            </w:r>
            <w:r w:rsidRPr="00D4309F">
              <w:rPr>
                <w:color w:val="211E1F"/>
                <w:spacing w:val="-13"/>
                <w:sz w:val="18"/>
              </w:rPr>
              <w:t xml:space="preserve"> </w:t>
            </w:r>
            <w:r w:rsidRPr="00D4309F">
              <w:rPr>
                <w:color w:val="211E1F"/>
                <w:sz w:val="18"/>
              </w:rPr>
              <w:t>a stand-alone</w:t>
            </w:r>
            <w:r w:rsidRPr="00D4309F">
              <w:rPr>
                <w:color w:val="211E1F"/>
                <w:spacing w:val="-15"/>
                <w:sz w:val="18"/>
              </w:rPr>
              <w:t xml:space="preserve"> </w:t>
            </w:r>
            <w:r w:rsidRPr="00D4309F">
              <w:rPr>
                <w:color w:val="211E1F"/>
                <w:sz w:val="18"/>
              </w:rPr>
              <w:t>or</w:t>
            </w:r>
            <w:r w:rsidRPr="00D4309F">
              <w:rPr>
                <w:color w:val="211E1F"/>
                <w:spacing w:val="-12"/>
                <w:sz w:val="18"/>
              </w:rPr>
              <w:t xml:space="preserve"> </w:t>
            </w:r>
            <w:r w:rsidRPr="00D4309F">
              <w:rPr>
                <w:color w:val="211E1F"/>
                <w:sz w:val="18"/>
              </w:rPr>
              <w:t>supplementary method to Sub-Option 3A.</w:t>
            </w:r>
          </w:p>
        </w:tc>
      </w:tr>
    </w:tbl>
    <w:p w14:paraId="4C352302" w14:textId="16C11CAB" w:rsidR="00725977" w:rsidRPr="00D4309F" w:rsidRDefault="00725977" w:rsidP="00D4229D">
      <w:pPr>
        <w:tabs>
          <w:tab w:val="left" w:pos="1326"/>
        </w:tabs>
        <w:rPr>
          <w:b/>
          <w:sz w:val="18"/>
        </w:rPr>
      </w:pPr>
      <w:bookmarkStart w:id="458" w:name="_bookmark164"/>
      <w:bookmarkEnd w:id="458"/>
    </w:p>
    <w:p w14:paraId="2D8CE609" w14:textId="34D1B7DE" w:rsidR="00725977" w:rsidRPr="00D4309F" w:rsidRDefault="00D4229D" w:rsidP="00336BB7">
      <w:pPr>
        <w:pStyle w:val="Table-Caption"/>
      </w:pPr>
      <w:bookmarkStart w:id="459" w:name="_Toc216699576"/>
      <w:r>
        <w:t xml:space="preserve">Table </w:t>
      </w:r>
      <w:r w:rsidR="00151534">
        <w:fldChar w:fldCharType="begin" w:fldLock="1"/>
      </w:r>
      <w:r w:rsidR="00151534">
        <w:instrText xml:space="preserve"> STYLEREF 1 \s </w:instrText>
      </w:r>
      <w:r w:rsidR="00151534">
        <w:fldChar w:fldCharType="separate"/>
      </w:r>
      <w:r w:rsidR="00151534">
        <w:rPr>
          <w:noProof/>
        </w:rPr>
        <w:t>15</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8</w:t>
      </w:r>
      <w:r w:rsidR="00151534">
        <w:fldChar w:fldCharType="end"/>
      </w:r>
      <w:r>
        <w:t>:</w:t>
      </w:r>
      <w:r>
        <w:tab/>
      </w:r>
      <w:r w:rsidRPr="00D4309F">
        <w:rPr>
          <w:color w:val="211E1F"/>
        </w:rPr>
        <w:t>Comparison</w:t>
      </w:r>
      <w:r w:rsidRPr="00D4309F">
        <w:rPr>
          <w:color w:val="211E1F"/>
          <w:spacing w:val="-5"/>
        </w:rPr>
        <w:t xml:space="preserve"> </w:t>
      </w:r>
      <w:r w:rsidRPr="00D4309F">
        <w:rPr>
          <w:color w:val="211E1F"/>
        </w:rPr>
        <w:t>of</w:t>
      </w:r>
      <w:r w:rsidRPr="00D4309F">
        <w:rPr>
          <w:color w:val="211E1F"/>
          <w:spacing w:val="-1"/>
        </w:rPr>
        <w:t xml:space="preserve"> </w:t>
      </w:r>
      <w:r w:rsidRPr="00D4309F">
        <w:rPr>
          <w:color w:val="211E1F"/>
        </w:rPr>
        <w:t>CAPEX</w:t>
      </w:r>
      <w:r w:rsidRPr="00D4309F">
        <w:rPr>
          <w:color w:val="211E1F"/>
          <w:spacing w:val="-1"/>
        </w:rPr>
        <w:t xml:space="preserve"> </w:t>
      </w:r>
      <w:r w:rsidRPr="00D4309F">
        <w:rPr>
          <w:color w:val="211E1F"/>
        </w:rPr>
        <w:t>vs</w:t>
      </w:r>
      <w:r w:rsidRPr="00D4309F">
        <w:rPr>
          <w:color w:val="211E1F"/>
          <w:spacing w:val="-3"/>
        </w:rPr>
        <w:t xml:space="preserve"> </w:t>
      </w:r>
      <w:r w:rsidRPr="00D4309F">
        <w:rPr>
          <w:color w:val="211E1F"/>
        </w:rPr>
        <w:t>OPEX</w:t>
      </w:r>
      <w:r w:rsidRPr="00D4309F">
        <w:rPr>
          <w:color w:val="211E1F"/>
          <w:spacing w:val="-1"/>
        </w:rPr>
        <w:t xml:space="preserve"> </w:t>
      </w:r>
      <w:r w:rsidRPr="00D4309F">
        <w:rPr>
          <w:color w:val="211E1F"/>
        </w:rPr>
        <w:t>for</w:t>
      </w:r>
      <w:r w:rsidRPr="00D4309F">
        <w:rPr>
          <w:color w:val="211E1F"/>
          <w:spacing w:val="-2"/>
        </w:rPr>
        <w:t xml:space="preserve"> </w:t>
      </w:r>
      <w:r w:rsidRPr="00D4309F">
        <w:rPr>
          <w:color w:val="211E1F"/>
        </w:rPr>
        <w:t>Option</w:t>
      </w:r>
      <w:r w:rsidRPr="00D4309F">
        <w:rPr>
          <w:color w:val="211E1F"/>
          <w:spacing w:val="-1"/>
        </w:rPr>
        <w:t xml:space="preserve"> </w:t>
      </w:r>
      <w:r w:rsidRPr="00D4309F">
        <w:rPr>
          <w:color w:val="211E1F"/>
        </w:rPr>
        <w:t>3</w:t>
      </w:r>
      <w:r w:rsidRPr="00D4309F">
        <w:rPr>
          <w:color w:val="211E1F"/>
          <w:spacing w:val="-3"/>
        </w:rPr>
        <w:t xml:space="preserve"> </w:t>
      </w:r>
      <w:r w:rsidRPr="00D4309F">
        <w:rPr>
          <w:color w:val="211E1F"/>
          <w:spacing w:val="-2"/>
        </w:rPr>
        <w:t>variations</w:t>
      </w:r>
      <w:bookmarkEnd w:id="459"/>
    </w:p>
    <w:tbl>
      <w:tblPr>
        <w:tblW w:w="5000" w:type="pct"/>
        <w:tblCellMar>
          <w:left w:w="0" w:type="dxa"/>
          <w:right w:w="0" w:type="dxa"/>
        </w:tblCellMar>
        <w:tblLook w:val="01E0" w:firstRow="1" w:lastRow="1" w:firstColumn="1" w:lastColumn="1" w:noHBand="0" w:noVBand="0"/>
      </w:tblPr>
      <w:tblGrid>
        <w:gridCol w:w="906"/>
        <w:gridCol w:w="1387"/>
        <w:gridCol w:w="53"/>
        <w:gridCol w:w="1394"/>
        <w:gridCol w:w="13"/>
        <w:gridCol w:w="1507"/>
        <w:gridCol w:w="1469"/>
        <w:gridCol w:w="42"/>
        <w:gridCol w:w="1440"/>
        <w:gridCol w:w="1431"/>
      </w:tblGrid>
      <w:tr w:rsidR="00725977" w:rsidRPr="00D4309F" w14:paraId="324C4D7C" w14:textId="77777777" w:rsidTr="00336BB7">
        <w:trPr>
          <w:trHeight w:val="303"/>
          <w:tblHeader/>
        </w:trPr>
        <w:tc>
          <w:tcPr>
            <w:tcW w:w="480" w:type="pct"/>
            <w:shd w:val="clear" w:color="auto" w:fill="D6D7D5"/>
          </w:tcPr>
          <w:p w14:paraId="1161A6BD" w14:textId="77777777" w:rsidR="00725977" w:rsidRPr="00D4309F" w:rsidRDefault="00725977" w:rsidP="00336BB7">
            <w:pPr>
              <w:pStyle w:val="TableParagraph"/>
              <w:keepNext/>
              <w:rPr>
                <w:rFonts w:ascii="Times New Roman"/>
                <w:sz w:val="18"/>
              </w:rPr>
            </w:pPr>
          </w:p>
        </w:tc>
        <w:tc>
          <w:tcPr>
            <w:tcW w:w="754" w:type="pct"/>
            <w:gridSpan w:val="2"/>
            <w:shd w:val="clear" w:color="auto" w:fill="D6D7D5"/>
          </w:tcPr>
          <w:p w14:paraId="6A464E5D" w14:textId="77777777" w:rsidR="00725977" w:rsidRPr="00D4309F" w:rsidRDefault="00725977" w:rsidP="00336BB7">
            <w:pPr>
              <w:pStyle w:val="TableParagraph"/>
              <w:keepNext/>
              <w:spacing w:before="47"/>
              <w:ind w:left="135"/>
              <w:rPr>
                <w:b/>
                <w:sz w:val="18"/>
              </w:rPr>
            </w:pPr>
            <w:r w:rsidRPr="00D4309F">
              <w:rPr>
                <w:b/>
                <w:color w:val="70004A"/>
                <w:sz w:val="18"/>
              </w:rPr>
              <w:t>Capital</w:t>
            </w:r>
            <w:r w:rsidRPr="00D4309F">
              <w:rPr>
                <w:b/>
                <w:color w:val="70004A"/>
                <w:spacing w:val="-5"/>
                <w:sz w:val="18"/>
              </w:rPr>
              <w:t xml:space="preserve"> </w:t>
            </w:r>
            <w:r w:rsidRPr="00D4309F">
              <w:rPr>
                <w:b/>
                <w:color w:val="70004A"/>
                <w:spacing w:val="-2"/>
                <w:sz w:val="18"/>
              </w:rPr>
              <w:t>works</w:t>
            </w:r>
          </w:p>
        </w:tc>
        <w:tc>
          <w:tcPr>
            <w:tcW w:w="731" w:type="pct"/>
            <w:shd w:val="clear" w:color="auto" w:fill="D6D7D5"/>
          </w:tcPr>
          <w:p w14:paraId="26393E59" w14:textId="77777777" w:rsidR="00725977" w:rsidRPr="00D4309F" w:rsidRDefault="00725977" w:rsidP="00336BB7">
            <w:pPr>
              <w:pStyle w:val="TableParagraph"/>
              <w:keepNext/>
              <w:rPr>
                <w:rFonts w:ascii="Times New Roman"/>
                <w:sz w:val="18"/>
              </w:rPr>
            </w:pPr>
          </w:p>
        </w:tc>
        <w:tc>
          <w:tcPr>
            <w:tcW w:w="800" w:type="pct"/>
            <w:gridSpan w:val="2"/>
            <w:shd w:val="clear" w:color="auto" w:fill="D6D7D5"/>
          </w:tcPr>
          <w:p w14:paraId="7D1999C5" w14:textId="77777777" w:rsidR="00725977" w:rsidRPr="00D4309F" w:rsidRDefault="00725977" w:rsidP="00336BB7">
            <w:pPr>
              <w:pStyle w:val="TableParagraph"/>
              <w:keepNext/>
              <w:rPr>
                <w:rFonts w:ascii="Times New Roman"/>
                <w:sz w:val="18"/>
              </w:rPr>
            </w:pPr>
          </w:p>
        </w:tc>
        <w:tc>
          <w:tcPr>
            <w:tcW w:w="1471" w:type="pct"/>
            <w:gridSpan w:val="3"/>
            <w:shd w:val="clear" w:color="auto" w:fill="D6D7D5"/>
          </w:tcPr>
          <w:p w14:paraId="5A2D18AB" w14:textId="77777777" w:rsidR="00725977" w:rsidRPr="00D4309F" w:rsidRDefault="00725977" w:rsidP="00336BB7">
            <w:pPr>
              <w:pStyle w:val="TableParagraph"/>
              <w:keepNext/>
              <w:spacing w:before="47"/>
              <w:ind w:left="115"/>
              <w:rPr>
                <w:b/>
                <w:sz w:val="18"/>
              </w:rPr>
            </w:pPr>
            <w:r w:rsidRPr="00D4309F">
              <w:rPr>
                <w:b/>
                <w:color w:val="70004A"/>
                <w:sz w:val="18"/>
              </w:rPr>
              <w:t>Operational</w:t>
            </w:r>
            <w:r w:rsidRPr="00D4309F">
              <w:rPr>
                <w:b/>
                <w:color w:val="70004A"/>
                <w:spacing w:val="-4"/>
                <w:sz w:val="18"/>
              </w:rPr>
              <w:t xml:space="preserve"> </w:t>
            </w:r>
            <w:r w:rsidRPr="00D4309F">
              <w:rPr>
                <w:b/>
                <w:color w:val="70004A"/>
                <w:spacing w:val="-2"/>
                <w:sz w:val="18"/>
              </w:rPr>
              <w:t>works</w:t>
            </w:r>
          </w:p>
        </w:tc>
        <w:tc>
          <w:tcPr>
            <w:tcW w:w="764" w:type="pct"/>
            <w:shd w:val="clear" w:color="auto" w:fill="D6D7D5"/>
          </w:tcPr>
          <w:p w14:paraId="0F184CF0" w14:textId="77777777" w:rsidR="00725977" w:rsidRPr="00D4309F" w:rsidRDefault="00725977" w:rsidP="00336BB7">
            <w:pPr>
              <w:pStyle w:val="TableParagraph"/>
              <w:keepNext/>
              <w:rPr>
                <w:rFonts w:ascii="Times New Roman"/>
                <w:sz w:val="18"/>
              </w:rPr>
            </w:pPr>
          </w:p>
        </w:tc>
      </w:tr>
      <w:tr w:rsidR="00725977" w:rsidRPr="00D4309F" w14:paraId="3BC25504" w14:textId="77777777" w:rsidTr="00336BB7">
        <w:trPr>
          <w:trHeight w:val="296"/>
        </w:trPr>
        <w:tc>
          <w:tcPr>
            <w:tcW w:w="480" w:type="pct"/>
            <w:tcBorders>
              <w:bottom w:val="single" w:sz="18" w:space="0" w:color="70004A"/>
            </w:tcBorders>
            <w:shd w:val="clear" w:color="auto" w:fill="D6D7D5"/>
          </w:tcPr>
          <w:p w14:paraId="34454DA9" w14:textId="77777777" w:rsidR="00725977" w:rsidRPr="00D4309F" w:rsidRDefault="00725977" w:rsidP="00336BB7">
            <w:pPr>
              <w:pStyle w:val="TableParagraph"/>
              <w:keepNext/>
              <w:spacing w:before="43"/>
              <w:ind w:left="72"/>
              <w:rPr>
                <w:b/>
                <w:sz w:val="18"/>
              </w:rPr>
            </w:pPr>
            <w:r w:rsidRPr="00D4309F">
              <w:rPr>
                <w:b/>
                <w:color w:val="70004A"/>
                <w:spacing w:val="-2"/>
                <w:sz w:val="18"/>
              </w:rPr>
              <w:t>Category</w:t>
            </w:r>
          </w:p>
        </w:tc>
        <w:tc>
          <w:tcPr>
            <w:tcW w:w="754" w:type="pct"/>
            <w:gridSpan w:val="2"/>
            <w:tcBorders>
              <w:bottom w:val="single" w:sz="18" w:space="0" w:color="70004A"/>
            </w:tcBorders>
            <w:shd w:val="clear" w:color="auto" w:fill="D6D7D5"/>
          </w:tcPr>
          <w:p w14:paraId="61C12E66" w14:textId="77777777" w:rsidR="00725977" w:rsidRPr="00D4309F" w:rsidRDefault="00725977" w:rsidP="00336BB7">
            <w:pPr>
              <w:pStyle w:val="TableParagraph"/>
              <w:keepNext/>
              <w:spacing w:before="43"/>
              <w:ind w:left="135"/>
              <w:rPr>
                <w:b/>
                <w:sz w:val="18"/>
              </w:rPr>
            </w:pPr>
            <w:r w:rsidRPr="00D4309F">
              <w:rPr>
                <w:b/>
                <w:color w:val="70004A"/>
                <w:sz w:val="18"/>
              </w:rPr>
              <w:t xml:space="preserve">Option </w:t>
            </w:r>
            <w:r w:rsidRPr="00D4309F">
              <w:rPr>
                <w:b/>
                <w:color w:val="70004A"/>
                <w:spacing w:val="-5"/>
                <w:sz w:val="18"/>
              </w:rPr>
              <w:t>3A</w:t>
            </w:r>
          </w:p>
        </w:tc>
        <w:tc>
          <w:tcPr>
            <w:tcW w:w="731" w:type="pct"/>
            <w:tcBorders>
              <w:bottom w:val="single" w:sz="18" w:space="0" w:color="70004A"/>
            </w:tcBorders>
            <w:shd w:val="clear" w:color="auto" w:fill="D6D7D5"/>
          </w:tcPr>
          <w:p w14:paraId="4B1DEF5F" w14:textId="77777777" w:rsidR="00725977" w:rsidRPr="00D4309F" w:rsidRDefault="00725977" w:rsidP="00336BB7">
            <w:pPr>
              <w:pStyle w:val="TableParagraph"/>
              <w:keepNext/>
              <w:spacing w:before="43"/>
              <w:ind w:left="94"/>
              <w:rPr>
                <w:b/>
                <w:sz w:val="18"/>
              </w:rPr>
            </w:pPr>
            <w:r w:rsidRPr="00D4309F">
              <w:rPr>
                <w:b/>
                <w:color w:val="70004A"/>
                <w:sz w:val="18"/>
              </w:rPr>
              <w:t xml:space="preserve">Option </w:t>
            </w:r>
            <w:r w:rsidRPr="00D4309F">
              <w:rPr>
                <w:b/>
                <w:color w:val="70004A"/>
                <w:spacing w:val="-5"/>
                <w:sz w:val="18"/>
              </w:rPr>
              <w:t>3B</w:t>
            </w:r>
          </w:p>
        </w:tc>
        <w:tc>
          <w:tcPr>
            <w:tcW w:w="800" w:type="pct"/>
            <w:gridSpan w:val="2"/>
            <w:tcBorders>
              <w:bottom w:val="single" w:sz="18" w:space="0" w:color="70004A"/>
            </w:tcBorders>
            <w:shd w:val="clear" w:color="auto" w:fill="D6D7D5"/>
          </w:tcPr>
          <w:p w14:paraId="5674F410" w14:textId="77777777" w:rsidR="00725977" w:rsidRPr="00D4309F" w:rsidRDefault="00725977" w:rsidP="00336BB7">
            <w:pPr>
              <w:pStyle w:val="TableParagraph"/>
              <w:keepNext/>
              <w:spacing w:before="43"/>
              <w:ind w:left="100"/>
              <w:rPr>
                <w:b/>
                <w:sz w:val="18"/>
              </w:rPr>
            </w:pPr>
            <w:r w:rsidRPr="00D4309F">
              <w:rPr>
                <w:b/>
                <w:color w:val="70004A"/>
                <w:sz w:val="18"/>
              </w:rPr>
              <w:t xml:space="preserve">Option </w:t>
            </w:r>
            <w:r w:rsidRPr="00D4309F">
              <w:rPr>
                <w:b/>
                <w:color w:val="70004A"/>
                <w:spacing w:val="-5"/>
                <w:sz w:val="18"/>
              </w:rPr>
              <w:t>3C</w:t>
            </w:r>
          </w:p>
        </w:tc>
        <w:tc>
          <w:tcPr>
            <w:tcW w:w="724" w:type="pct"/>
            <w:tcBorders>
              <w:bottom w:val="single" w:sz="18" w:space="0" w:color="70004A"/>
            </w:tcBorders>
            <w:shd w:val="clear" w:color="auto" w:fill="D6D7D5"/>
          </w:tcPr>
          <w:p w14:paraId="5FC400DF" w14:textId="77777777" w:rsidR="00725977" w:rsidRPr="00D4309F" w:rsidRDefault="00725977" w:rsidP="00336BB7">
            <w:pPr>
              <w:pStyle w:val="TableParagraph"/>
              <w:keepNext/>
              <w:spacing w:before="43"/>
              <w:ind w:left="115"/>
              <w:rPr>
                <w:b/>
                <w:sz w:val="18"/>
              </w:rPr>
            </w:pPr>
            <w:r w:rsidRPr="00D4309F">
              <w:rPr>
                <w:b/>
                <w:color w:val="70004A"/>
                <w:sz w:val="18"/>
              </w:rPr>
              <w:t xml:space="preserve">Option </w:t>
            </w:r>
            <w:r w:rsidRPr="00D4309F">
              <w:rPr>
                <w:b/>
                <w:color w:val="70004A"/>
                <w:spacing w:val="-5"/>
                <w:sz w:val="18"/>
              </w:rPr>
              <w:t>3A</w:t>
            </w:r>
          </w:p>
        </w:tc>
        <w:tc>
          <w:tcPr>
            <w:tcW w:w="747" w:type="pct"/>
            <w:gridSpan w:val="2"/>
            <w:tcBorders>
              <w:bottom w:val="single" w:sz="18" w:space="0" w:color="70004A"/>
            </w:tcBorders>
            <w:shd w:val="clear" w:color="auto" w:fill="D6D7D5"/>
          </w:tcPr>
          <w:p w14:paraId="7D625CE6" w14:textId="77777777" w:rsidR="00725977" w:rsidRPr="00D4309F" w:rsidRDefault="00725977" w:rsidP="00336BB7">
            <w:pPr>
              <w:pStyle w:val="TableParagraph"/>
              <w:keepNext/>
              <w:spacing w:before="43"/>
              <w:ind w:left="135"/>
              <w:rPr>
                <w:b/>
                <w:sz w:val="18"/>
              </w:rPr>
            </w:pPr>
            <w:r w:rsidRPr="00D4309F">
              <w:rPr>
                <w:b/>
                <w:color w:val="70004A"/>
                <w:sz w:val="18"/>
              </w:rPr>
              <w:t xml:space="preserve">Option </w:t>
            </w:r>
            <w:r w:rsidRPr="00D4309F">
              <w:rPr>
                <w:b/>
                <w:color w:val="70004A"/>
                <w:spacing w:val="-5"/>
                <w:sz w:val="18"/>
              </w:rPr>
              <w:t>3B</w:t>
            </w:r>
          </w:p>
        </w:tc>
        <w:tc>
          <w:tcPr>
            <w:tcW w:w="764" w:type="pct"/>
            <w:tcBorders>
              <w:bottom w:val="single" w:sz="18" w:space="0" w:color="70004A"/>
            </w:tcBorders>
            <w:shd w:val="clear" w:color="auto" w:fill="D6D7D5"/>
          </w:tcPr>
          <w:p w14:paraId="4192E75B" w14:textId="77777777" w:rsidR="00725977" w:rsidRPr="00D4309F" w:rsidRDefault="00725977" w:rsidP="00336BB7">
            <w:pPr>
              <w:pStyle w:val="TableParagraph"/>
              <w:keepNext/>
              <w:spacing w:before="43"/>
              <w:ind w:left="110"/>
              <w:rPr>
                <w:b/>
                <w:sz w:val="18"/>
              </w:rPr>
            </w:pPr>
            <w:r w:rsidRPr="00D4309F">
              <w:rPr>
                <w:b/>
                <w:color w:val="70004A"/>
                <w:sz w:val="18"/>
              </w:rPr>
              <w:t xml:space="preserve">Option </w:t>
            </w:r>
            <w:r w:rsidRPr="00D4309F">
              <w:rPr>
                <w:b/>
                <w:color w:val="70004A"/>
                <w:spacing w:val="-5"/>
                <w:sz w:val="18"/>
              </w:rPr>
              <w:t>3C</w:t>
            </w:r>
          </w:p>
        </w:tc>
      </w:tr>
      <w:tr w:rsidR="00725977" w:rsidRPr="00D4309F" w14:paraId="6C039C9F" w14:textId="77777777" w:rsidTr="00336BB7">
        <w:trPr>
          <w:trHeight w:val="3405"/>
        </w:trPr>
        <w:tc>
          <w:tcPr>
            <w:tcW w:w="480" w:type="pct"/>
            <w:tcBorders>
              <w:top w:val="single" w:sz="18" w:space="0" w:color="70004A"/>
              <w:bottom w:val="single" w:sz="4" w:space="0" w:color="5F6269"/>
            </w:tcBorders>
          </w:tcPr>
          <w:p w14:paraId="294454D1" w14:textId="77777777" w:rsidR="00725977" w:rsidRPr="00D4309F" w:rsidRDefault="00725977">
            <w:pPr>
              <w:pStyle w:val="TableParagraph"/>
              <w:spacing w:before="41"/>
              <w:ind w:left="72"/>
              <w:rPr>
                <w:sz w:val="18"/>
              </w:rPr>
            </w:pPr>
            <w:r w:rsidRPr="00D4309F">
              <w:rPr>
                <w:color w:val="211E1F"/>
                <w:spacing w:val="-2"/>
                <w:sz w:val="18"/>
              </w:rPr>
              <w:t>General</w:t>
            </w:r>
          </w:p>
        </w:tc>
        <w:tc>
          <w:tcPr>
            <w:tcW w:w="754" w:type="pct"/>
            <w:gridSpan w:val="2"/>
            <w:tcBorders>
              <w:top w:val="single" w:sz="18" w:space="0" w:color="70004A"/>
              <w:bottom w:val="single" w:sz="4" w:space="0" w:color="5F6269"/>
            </w:tcBorders>
          </w:tcPr>
          <w:p w14:paraId="3D76B203" w14:textId="77777777" w:rsidR="00725977" w:rsidRPr="00D4309F" w:rsidRDefault="00725977" w:rsidP="00D27F26">
            <w:pPr>
              <w:pStyle w:val="TableParagraph"/>
              <w:numPr>
                <w:ilvl w:val="0"/>
                <w:numId w:val="158"/>
              </w:numPr>
              <w:tabs>
                <w:tab w:val="left" w:pos="360"/>
              </w:tabs>
              <w:spacing w:before="40"/>
              <w:ind w:right="34"/>
              <w:rPr>
                <w:sz w:val="18"/>
              </w:rPr>
            </w:pPr>
            <w:r w:rsidRPr="00D4309F">
              <w:rPr>
                <w:spacing w:val="-2"/>
                <w:sz w:val="18"/>
              </w:rPr>
              <w:t xml:space="preserve">Breakwater extension </w:t>
            </w:r>
            <w:r w:rsidRPr="00D4309F">
              <w:rPr>
                <w:sz w:val="18"/>
              </w:rPr>
              <w:t>only;</w:t>
            </w:r>
            <w:r w:rsidRPr="00D4309F">
              <w:rPr>
                <w:spacing w:val="-15"/>
                <w:sz w:val="18"/>
              </w:rPr>
              <w:t xml:space="preserve"> </w:t>
            </w:r>
            <w:r w:rsidRPr="00D4309F">
              <w:rPr>
                <w:sz w:val="18"/>
              </w:rPr>
              <w:t>no</w:t>
            </w:r>
            <w:r w:rsidRPr="00D4309F">
              <w:rPr>
                <w:spacing w:val="-12"/>
                <w:sz w:val="18"/>
              </w:rPr>
              <w:t xml:space="preserve"> </w:t>
            </w:r>
            <w:r w:rsidRPr="00D4309F">
              <w:rPr>
                <w:sz w:val="18"/>
              </w:rPr>
              <w:t>fixed bypass</w:t>
            </w:r>
            <w:r w:rsidRPr="00D4309F">
              <w:rPr>
                <w:spacing w:val="-5"/>
                <w:sz w:val="18"/>
              </w:rPr>
              <w:t xml:space="preserve"> </w:t>
            </w:r>
            <w:r w:rsidRPr="00D4309F">
              <w:rPr>
                <w:spacing w:val="-2"/>
                <w:sz w:val="18"/>
              </w:rPr>
              <w:t>plant.</w:t>
            </w:r>
          </w:p>
        </w:tc>
        <w:tc>
          <w:tcPr>
            <w:tcW w:w="731" w:type="pct"/>
            <w:tcBorders>
              <w:top w:val="single" w:sz="18" w:space="0" w:color="70004A"/>
              <w:bottom w:val="single" w:sz="4" w:space="0" w:color="5F6269"/>
            </w:tcBorders>
          </w:tcPr>
          <w:p w14:paraId="0D980000" w14:textId="77777777" w:rsidR="00725977" w:rsidRPr="00D4309F" w:rsidRDefault="00725977" w:rsidP="00D27F26">
            <w:pPr>
              <w:pStyle w:val="TableParagraph"/>
              <w:numPr>
                <w:ilvl w:val="0"/>
                <w:numId w:val="157"/>
              </w:numPr>
              <w:tabs>
                <w:tab w:val="left" w:pos="320"/>
              </w:tabs>
              <w:spacing w:before="40"/>
              <w:ind w:right="40"/>
              <w:rPr>
                <w:sz w:val="18"/>
              </w:rPr>
            </w:pPr>
            <w:r w:rsidRPr="00D4309F">
              <w:rPr>
                <w:spacing w:val="-2"/>
                <w:sz w:val="18"/>
              </w:rPr>
              <w:t xml:space="preserve">Breakwater extension </w:t>
            </w:r>
            <w:r w:rsidRPr="00D4309F">
              <w:rPr>
                <w:spacing w:val="-4"/>
                <w:sz w:val="18"/>
              </w:rPr>
              <w:t xml:space="preserve">plus </w:t>
            </w:r>
            <w:r w:rsidRPr="00D4309F">
              <w:rPr>
                <w:spacing w:val="-2"/>
                <w:sz w:val="18"/>
              </w:rPr>
              <w:t>significant permanent pumping infrastructure</w:t>
            </w:r>
          </w:p>
          <w:p w14:paraId="1B44AA7D" w14:textId="77777777" w:rsidR="00725977" w:rsidRPr="00D4309F" w:rsidRDefault="00725977">
            <w:pPr>
              <w:pStyle w:val="TableParagraph"/>
              <w:spacing w:line="206" w:lineRule="exact"/>
              <w:ind w:left="320"/>
              <w:rPr>
                <w:sz w:val="18"/>
              </w:rPr>
            </w:pPr>
            <w:r w:rsidRPr="00D4309F">
              <w:rPr>
                <w:spacing w:val="-10"/>
                <w:sz w:val="18"/>
              </w:rPr>
              <w:t>.</w:t>
            </w:r>
          </w:p>
        </w:tc>
        <w:tc>
          <w:tcPr>
            <w:tcW w:w="800" w:type="pct"/>
            <w:gridSpan w:val="2"/>
            <w:tcBorders>
              <w:top w:val="single" w:sz="18" w:space="0" w:color="70004A"/>
              <w:bottom w:val="single" w:sz="4" w:space="0" w:color="5F6269"/>
            </w:tcBorders>
          </w:tcPr>
          <w:p w14:paraId="344D3083" w14:textId="77777777" w:rsidR="00725977" w:rsidRPr="00D4309F" w:rsidRDefault="00725977" w:rsidP="00D27F26">
            <w:pPr>
              <w:pStyle w:val="TableParagraph"/>
              <w:numPr>
                <w:ilvl w:val="0"/>
                <w:numId w:val="156"/>
              </w:numPr>
              <w:tabs>
                <w:tab w:val="left" w:pos="326"/>
              </w:tabs>
              <w:spacing w:before="40"/>
              <w:ind w:right="56"/>
              <w:rPr>
                <w:sz w:val="18"/>
              </w:rPr>
            </w:pPr>
            <w:r w:rsidRPr="00D4309F">
              <w:rPr>
                <w:spacing w:val="-2"/>
                <w:sz w:val="18"/>
              </w:rPr>
              <w:t xml:space="preserve">Breakwater </w:t>
            </w:r>
            <w:r w:rsidRPr="00D4309F">
              <w:rPr>
                <w:sz w:val="18"/>
              </w:rPr>
              <w:t>extension</w:t>
            </w:r>
            <w:r w:rsidRPr="00D4309F">
              <w:rPr>
                <w:spacing w:val="-13"/>
                <w:sz w:val="18"/>
              </w:rPr>
              <w:t xml:space="preserve"> </w:t>
            </w:r>
            <w:r w:rsidRPr="00D4309F">
              <w:rPr>
                <w:sz w:val="18"/>
              </w:rPr>
              <w:t>plus minor crest widening (if needed</w:t>
            </w:r>
            <w:r w:rsidRPr="00D4309F">
              <w:rPr>
                <w:spacing w:val="-15"/>
                <w:sz w:val="18"/>
              </w:rPr>
              <w:t xml:space="preserve"> </w:t>
            </w:r>
            <w:r w:rsidRPr="00D4309F">
              <w:rPr>
                <w:sz w:val="18"/>
              </w:rPr>
              <w:t>for</w:t>
            </w:r>
            <w:r w:rsidRPr="00D4309F">
              <w:rPr>
                <w:spacing w:val="-12"/>
                <w:sz w:val="18"/>
              </w:rPr>
              <w:t xml:space="preserve"> </w:t>
            </w:r>
            <w:r w:rsidRPr="00D4309F">
              <w:rPr>
                <w:sz w:val="18"/>
              </w:rPr>
              <w:t xml:space="preserve">90t </w:t>
            </w:r>
            <w:r w:rsidRPr="00D4309F">
              <w:rPr>
                <w:spacing w:val="-2"/>
                <w:sz w:val="18"/>
              </w:rPr>
              <w:t>crane).</w:t>
            </w:r>
          </w:p>
        </w:tc>
        <w:tc>
          <w:tcPr>
            <w:tcW w:w="724" w:type="pct"/>
            <w:tcBorders>
              <w:top w:val="single" w:sz="18" w:space="0" w:color="70004A"/>
              <w:bottom w:val="single" w:sz="4" w:space="0" w:color="5F6269"/>
            </w:tcBorders>
          </w:tcPr>
          <w:p w14:paraId="104AE6C9" w14:textId="77777777" w:rsidR="00725977" w:rsidRPr="00D4309F" w:rsidRDefault="00725977" w:rsidP="00D27F26">
            <w:pPr>
              <w:pStyle w:val="TableParagraph"/>
              <w:numPr>
                <w:ilvl w:val="0"/>
                <w:numId w:val="155"/>
              </w:numPr>
              <w:tabs>
                <w:tab w:val="left" w:pos="341"/>
              </w:tabs>
              <w:spacing w:before="40"/>
              <w:ind w:right="105"/>
              <w:rPr>
                <w:sz w:val="18"/>
              </w:rPr>
            </w:pPr>
            <w:r w:rsidRPr="00D4309F">
              <w:rPr>
                <w:spacing w:val="-2"/>
                <w:sz w:val="18"/>
              </w:rPr>
              <w:t xml:space="preserve">Periodic dredging campaigns (~2-year </w:t>
            </w:r>
            <w:r w:rsidRPr="00D4309F">
              <w:rPr>
                <w:sz w:val="18"/>
              </w:rPr>
              <w:t>cycle)</w:t>
            </w:r>
            <w:r w:rsidRPr="00D4309F">
              <w:rPr>
                <w:spacing w:val="-13"/>
                <w:sz w:val="18"/>
              </w:rPr>
              <w:t xml:space="preserve"> </w:t>
            </w:r>
            <w:r w:rsidRPr="00D4309F">
              <w:rPr>
                <w:sz w:val="18"/>
              </w:rPr>
              <w:t xml:space="preserve">using CSD to </w:t>
            </w:r>
            <w:r w:rsidRPr="00D4309F">
              <w:rPr>
                <w:spacing w:val="-2"/>
                <w:sz w:val="18"/>
              </w:rPr>
              <w:t>remove</w:t>
            </w:r>
          </w:p>
          <w:p w14:paraId="248474A7" w14:textId="77777777" w:rsidR="00725977" w:rsidRPr="00D4309F" w:rsidRDefault="00725977">
            <w:pPr>
              <w:pStyle w:val="TableParagraph"/>
              <w:ind w:left="341"/>
              <w:rPr>
                <w:sz w:val="18"/>
              </w:rPr>
            </w:pPr>
            <w:r w:rsidRPr="00D4309F">
              <w:rPr>
                <w:sz w:val="18"/>
              </w:rPr>
              <w:t>~30,000</w:t>
            </w:r>
            <w:r w:rsidRPr="00D4309F">
              <w:rPr>
                <w:spacing w:val="-13"/>
                <w:sz w:val="18"/>
              </w:rPr>
              <w:t xml:space="preserve"> </w:t>
            </w:r>
            <w:r w:rsidRPr="00D4309F">
              <w:rPr>
                <w:sz w:val="18"/>
              </w:rPr>
              <w:t xml:space="preserve">m³ per event; clean sand pumped to </w:t>
            </w:r>
            <w:r w:rsidRPr="00D4309F">
              <w:rPr>
                <w:spacing w:val="-2"/>
                <w:sz w:val="18"/>
              </w:rPr>
              <w:t xml:space="preserve">Mooloolaba </w:t>
            </w:r>
            <w:r w:rsidRPr="00D4309F">
              <w:rPr>
                <w:sz w:val="18"/>
              </w:rPr>
              <w:t xml:space="preserve">Beach via </w:t>
            </w:r>
            <w:r w:rsidRPr="00D4309F">
              <w:rPr>
                <w:spacing w:val="-2"/>
                <w:sz w:val="18"/>
              </w:rPr>
              <w:t>pipeline.</w:t>
            </w:r>
          </w:p>
        </w:tc>
        <w:tc>
          <w:tcPr>
            <w:tcW w:w="747" w:type="pct"/>
            <w:gridSpan w:val="2"/>
            <w:tcBorders>
              <w:top w:val="single" w:sz="18" w:space="0" w:color="70004A"/>
              <w:bottom w:val="single" w:sz="4" w:space="0" w:color="5F6269"/>
            </w:tcBorders>
          </w:tcPr>
          <w:p w14:paraId="087BF706" w14:textId="77777777" w:rsidR="00725977" w:rsidRPr="00D4309F" w:rsidRDefault="00725977" w:rsidP="00D27F26">
            <w:pPr>
              <w:pStyle w:val="TableParagraph"/>
              <w:numPr>
                <w:ilvl w:val="0"/>
                <w:numId w:val="154"/>
              </w:numPr>
              <w:tabs>
                <w:tab w:val="left" w:pos="360"/>
              </w:tabs>
              <w:spacing w:before="40"/>
              <w:ind w:right="50"/>
              <w:rPr>
                <w:sz w:val="18"/>
              </w:rPr>
            </w:pPr>
            <w:r w:rsidRPr="00D4309F">
              <w:rPr>
                <w:spacing w:val="-2"/>
                <w:sz w:val="18"/>
              </w:rPr>
              <w:t xml:space="preserve">Semi-continuous bypass system running during transport-active periods; </w:t>
            </w:r>
            <w:r w:rsidRPr="00D4309F">
              <w:rPr>
                <w:sz w:val="18"/>
              </w:rPr>
              <w:t>intake</w:t>
            </w:r>
            <w:r w:rsidRPr="00D4309F">
              <w:rPr>
                <w:spacing w:val="-13"/>
                <w:sz w:val="18"/>
              </w:rPr>
              <w:t xml:space="preserve"> </w:t>
            </w:r>
            <w:r w:rsidRPr="00D4309F">
              <w:rPr>
                <w:sz w:val="18"/>
              </w:rPr>
              <w:t>buried in seabed draws sand into</w:t>
            </w:r>
            <w:r w:rsidRPr="00D4309F">
              <w:rPr>
                <w:spacing w:val="-13"/>
                <w:sz w:val="18"/>
              </w:rPr>
              <w:t xml:space="preserve"> </w:t>
            </w:r>
            <w:r w:rsidRPr="00D4309F">
              <w:rPr>
                <w:sz w:val="18"/>
              </w:rPr>
              <w:t xml:space="preserve">pumping system for transfer to </w:t>
            </w:r>
            <w:r w:rsidRPr="00D4309F">
              <w:rPr>
                <w:spacing w:val="-2"/>
                <w:sz w:val="18"/>
              </w:rPr>
              <w:t>beach.</w:t>
            </w:r>
          </w:p>
        </w:tc>
        <w:tc>
          <w:tcPr>
            <w:tcW w:w="764" w:type="pct"/>
            <w:tcBorders>
              <w:top w:val="single" w:sz="18" w:space="0" w:color="70004A"/>
              <w:bottom w:val="single" w:sz="4" w:space="0" w:color="5F6269"/>
            </w:tcBorders>
          </w:tcPr>
          <w:p w14:paraId="16C0582E" w14:textId="77777777" w:rsidR="00725977" w:rsidRPr="00D4309F" w:rsidRDefault="00725977" w:rsidP="00D27F26">
            <w:pPr>
              <w:pStyle w:val="TableParagraph"/>
              <w:numPr>
                <w:ilvl w:val="0"/>
                <w:numId w:val="153"/>
              </w:numPr>
              <w:tabs>
                <w:tab w:val="left" w:pos="335"/>
              </w:tabs>
              <w:spacing w:before="40"/>
              <w:ind w:right="70"/>
              <w:rPr>
                <w:sz w:val="18"/>
              </w:rPr>
            </w:pPr>
            <w:r w:rsidRPr="00D4309F">
              <w:rPr>
                <w:spacing w:val="-2"/>
                <w:sz w:val="18"/>
              </w:rPr>
              <w:t xml:space="preserve">Intermittent jet-pump campaigns (~2-year </w:t>
            </w:r>
            <w:r w:rsidRPr="00D4309F">
              <w:rPr>
                <w:sz w:val="18"/>
              </w:rPr>
              <w:t>cycle).</w:t>
            </w:r>
            <w:r w:rsidRPr="00D4309F">
              <w:rPr>
                <w:spacing w:val="-13"/>
                <w:sz w:val="18"/>
              </w:rPr>
              <w:t xml:space="preserve"> </w:t>
            </w:r>
            <w:r w:rsidRPr="00D4309F">
              <w:rPr>
                <w:sz w:val="18"/>
              </w:rPr>
              <w:t xml:space="preserve">Crane lowers pump into trap; </w:t>
            </w:r>
            <w:r w:rsidRPr="00D4309F">
              <w:rPr>
                <w:spacing w:val="-4"/>
                <w:sz w:val="18"/>
              </w:rPr>
              <w:t>sand</w:t>
            </w:r>
            <w:r w:rsidRPr="00D4309F">
              <w:rPr>
                <w:spacing w:val="80"/>
                <w:sz w:val="18"/>
              </w:rPr>
              <w:t xml:space="preserve"> </w:t>
            </w:r>
            <w:r w:rsidRPr="00D4309F">
              <w:rPr>
                <w:spacing w:val="-2"/>
                <w:sz w:val="18"/>
              </w:rPr>
              <w:t xml:space="preserve">pumped through temporary </w:t>
            </w:r>
            <w:r w:rsidRPr="00D4309F">
              <w:rPr>
                <w:sz w:val="18"/>
              </w:rPr>
              <w:t xml:space="preserve">pipeline to </w:t>
            </w:r>
            <w:r w:rsidRPr="00D4309F">
              <w:rPr>
                <w:spacing w:val="-2"/>
                <w:sz w:val="18"/>
              </w:rPr>
              <w:t>downdrift beach.</w:t>
            </w:r>
          </w:p>
        </w:tc>
      </w:tr>
      <w:tr w:rsidR="00725977" w:rsidRPr="00D4309F" w14:paraId="2C28F874" w14:textId="77777777" w:rsidTr="00336BB7">
        <w:trPr>
          <w:trHeight w:val="1389"/>
        </w:trPr>
        <w:tc>
          <w:tcPr>
            <w:tcW w:w="480" w:type="pct"/>
            <w:tcBorders>
              <w:top w:val="single" w:sz="4" w:space="0" w:color="5F6269"/>
              <w:bottom w:val="single" w:sz="4" w:space="0" w:color="5F6269"/>
            </w:tcBorders>
          </w:tcPr>
          <w:p w14:paraId="619C7DA4" w14:textId="32930AEE" w:rsidR="00725977" w:rsidRPr="00D4309F" w:rsidRDefault="00725977">
            <w:pPr>
              <w:pStyle w:val="TableParagraph"/>
              <w:spacing w:before="39"/>
              <w:ind w:left="72"/>
              <w:rPr>
                <w:sz w:val="18"/>
              </w:rPr>
            </w:pPr>
            <w:r w:rsidRPr="00D4309F">
              <w:rPr>
                <w:color w:val="211E1F"/>
                <w:spacing w:val="-4"/>
                <w:sz w:val="18"/>
              </w:rPr>
              <w:lastRenderedPageBreak/>
              <w:t>Pros</w:t>
            </w:r>
          </w:p>
        </w:tc>
        <w:tc>
          <w:tcPr>
            <w:tcW w:w="754" w:type="pct"/>
            <w:gridSpan w:val="2"/>
            <w:tcBorders>
              <w:top w:val="single" w:sz="4" w:space="0" w:color="5F6269"/>
              <w:bottom w:val="single" w:sz="4" w:space="0" w:color="5F6269"/>
            </w:tcBorders>
          </w:tcPr>
          <w:p w14:paraId="7126A34F" w14:textId="77777777" w:rsidR="00725977" w:rsidRPr="00C633C7" w:rsidRDefault="00725977" w:rsidP="00C633C7">
            <w:pPr>
              <w:pStyle w:val="TableParagraph"/>
              <w:numPr>
                <w:ilvl w:val="0"/>
                <w:numId w:val="152"/>
              </w:numPr>
              <w:tabs>
                <w:tab w:val="left" w:pos="360"/>
              </w:tabs>
              <w:spacing w:before="39"/>
              <w:ind w:right="86"/>
              <w:rPr>
                <w:sz w:val="18"/>
              </w:rPr>
            </w:pPr>
            <w:r w:rsidRPr="00D4309F">
              <w:rPr>
                <w:spacing w:val="-2"/>
                <w:sz w:val="18"/>
              </w:rPr>
              <w:t>Proven, conventional approach.</w:t>
            </w:r>
          </w:p>
          <w:p w14:paraId="7253FA61" w14:textId="77777777" w:rsidR="00C633C7" w:rsidRPr="00D4309F" w:rsidRDefault="00C633C7" w:rsidP="00C633C7">
            <w:pPr>
              <w:pStyle w:val="TableParagraph"/>
              <w:numPr>
                <w:ilvl w:val="0"/>
                <w:numId w:val="152"/>
              </w:numPr>
              <w:tabs>
                <w:tab w:val="left" w:pos="360"/>
              </w:tabs>
              <w:spacing w:line="174" w:lineRule="exact"/>
              <w:rPr>
                <w:sz w:val="18"/>
              </w:rPr>
            </w:pPr>
            <w:r w:rsidRPr="00D4309F">
              <w:rPr>
                <w:spacing w:val="-4"/>
                <w:sz w:val="18"/>
              </w:rPr>
              <w:t>Lower</w:t>
            </w:r>
          </w:p>
          <w:p w14:paraId="1AB95A65" w14:textId="77777777" w:rsidR="00C633C7" w:rsidRPr="00D4309F" w:rsidRDefault="00C633C7" w:rsidP="00C633C7">
            <w:pPr>
              <w:pStyle w:val="TableParagraph"/>
              <w:ind w:left="360" w:right="330"/>
              <w:rPr>
                <w:sz w:val="18"/>
              </w:rPr>
            </w:pPr>
            <w:r w:rsidRPr="00D4309F">
              <w:rPr>
                <w:spacing w:val="-2"/>
                <w:sz w:val="18"/>
              </w:rPr>
              <w:t>technical risk.</w:t>
            </w:r>
          </w:p>
          <w:p w14:paraId="4B8CDC69" w14:textId="53CD919B" w:rsidR="00C633C7" w:rsidRPr="00D4309F" w:rsidRDefault="00C633C7" w:rsidP="00C633C7">
            <w:pPr>
              <w:pStyle w:val="TableParagraph"/>
              <w:numPr>
                <w:ilvl w:val="0"/>
                <w:numId w:val="152"/>
              </w:numPr>
              <w:tabs>
                <w:tab w:val="left" w:pos="360"/>
              </w:tabs>
              <w:spacing w:before="39"/>
              <w:ind w:right="86"/>
              <w:rPr>
                <w:sz w:val="18"/>
              </w:rPr>
            </w:pPr>
            <w:r w:rsidRPr="00D4309F">
              <w:rPr>
                <w:sz w:val="18"/>
              </w:rPr>
              <w:t>Capital</w:t>
            </w:r>
            <w:r w:rsidRPr="00D4309F">
              <w:rPr>
                <w:spacing w:val="-13"/>
                <w:sz w:val="18"/>
              </w:rPr>
              <w:t xml:space="preserve"> </w:t>
            </w:r>
            <w:r w:rsidRPr="00D4309F">
              <w:rPr>
                <w:sz w:val="18"/>
              </w:rPr>
              <w:t xml:space="preserve">cost </w:t>
            </w:r>
            <w:r w:rsidRPr="00D4309F">
              <w:rPr>
                <w:spacing w:val="-2"/>
                <w:sz w:val="18"/>
              </w:rPr>
              <w:t>known</w:t>
            </w:r>
          </w:p>
        </w:tc>
        <w:tc>
          <w:tcPr>
            <w:tcW w:w="731" w:type="pct"/>
            <w:tcBorders>
              <w:top w:val="single" w:sz="4" w:space="0" w:color="5F6269"/>
              <w:bottom w:val="single" w:sz="4" w:space="0" w:color="5F6269"/>
            </w:tcBorders>
          </w:tcPr>
          <w:p w14:paraId="034142D7" w14:textId="77777777" w:rsidR="00725977" w:rsidRPr="00C633C7" w:rsidRDefault="00725977" w:rsidP="00C633C7">
            <w:pPr>
              <w:pStyle w:val="TableParagraph"/>
              <w:numPr>
                <w:ilvl w:val="0"/>
                <w:numId w:val="151"/>
              </w:numPr>
              <w:tabs>
                <w:tab w:val="left" w:pos="320"/>
              </w:tabs>
              <w:spacing w:before="39"/>
              <w:ind w:right="91"/>
              <w:rPr>
                <w:sz w:val="18"/>
              </w:rPr>
            </w:pPr>
            <w:r w:rsidRPr="00D4309F">
              <w:rPr>
                <w:spacing w:val="-2"/>
                <w:sz w:val="18"/>
              </w:rPr>
              <w:t xml:space="preserve">Reduces </w:t>
            </w:r>
            <w:r w:rsidRPr="00D4309F">
              <w:rPr>
                <w:sz w:val="18"/>
              </w:rPr>
              <w:t xml:space="preserve">reliance on </w:t>
            </w:r>
            <w:r w:rsidRPr="00D4309F">
              <w:rPr>
                <w:spacing w:val="-2"/>
                <w:sz w:val="18"/>
              </w:rPr>
              <w:t>dredge mobilisation.</w:t>
            </w:r>
          </w:p>
          <w:p w14:paraId="75F08E32" w14:textId="20D3F764" w:rsidR="00C633C7" w:rsidRPr="00D4309F" w:rsidRDefault="00C633C7" w:rsidP="00C633C7">
            <w:pPr>
              <w:pStyle w:val="TableParagraph"/>
              <w:numPr>
                <w:ilvl w:val="0"/>
                <w:numId w:val="151"/>
              </w:numPr>
              <w:tabs>
                <w:tab w:val="left" w:pos="374"/>
              </w:tabs>
              <w:spacing w:line="174" w:lineRule="exact"/>
              <w:rPr>
                <w:sz w:val="18"/>
              </w:rPr>
            </w:pPr>
            <w:r w:rsidRPr="00D4309F">
              <w:rPr>
                <w:spacing w:val="-2"/>
                <w:sz w:val="18"/>
              </w:rPr>
              <w:t xml:space="preserve">Semi-continuous bypass replicates </w:t>
            </w:r>
            <w:r w:rsidRPr="00D4309F">
              <w:rPr>
                <w:sz w:val="18"/>
              </w:rPr>
              <w:t>natural</w:t>
            </w:r>
            <w:r w:rsidRPr="00D4309F">
              <w:rPr>
                <w:spacing w:val="-13"/>
                <w:sz w:val="18"/>
              </w:rPr>
              <w:t xml:space="preserve"> </w:t>
            </w:r>
            <w:r w:rsidRPr="00D4309F">
              <w:rPr>
                <w:sz w:val="18"/>
              </w:rPr>
              <w:t>drift.</w:t>
            </w:r>
          </w:p>
        </w:tc>
        <w:tc>
          <w:tcPr>
            <w:tcW w:w="800" w:type="pct"/>
            <w:gridSpan w:val="2"/>
            <w:tcBorders>
              <w:top w:val="single" w:sz="4" w:space="0" w:color="5F6269"/>
              <w:bottom w:val="single" w:sz="4" w:space="0" w:color="5F6269"/>
            </w:tcBorders>
          </w:tcPr>
          <w:p w14:paraId="288BFD24" w14:textId="77777777" w:rsidR="00725977" w:rsidRPr="00D4309F" w:rsidRDefault="00725977" w:rsidP="00D27F26">
            <w:pPr>
              <w:pStyle w:val="TableParagraph"/>
              <w:numPr>
                <w:ilvl w:val="0"/>
                <w:numId w:val="150"/>
              </w:numPr>
              <w:tabs>
                <w:tab w:val="left" w:pos="326"/>
              </w:tabs>
              <w:spacing w:before="39"/>
              <w:ind w:right="77"/>
              <w:rPr>
                <w:sz w:val="18"/>
              </w:rPr>
            </w:pPr>
            <w:r w:rsidRPr="00D4309F">
              <w:rPr>
                <w:sz w:val="18"/>
              </w:rPr>
              <w:t>Lowest</w:t>
            </w:r>
            <w:r w:rsidRPr="00D4309F">
              <w:rPr>
                <w:spacing w:val="-13"/>
                <w:sz w:val="18"/>
              </w:rPr>
              <w:t xml:space="preserve"> </w:t>
            </w:r>
            <w:r w:rsidRPr="00D4309F">
              <w:rPr>
                <w:sz w:val="18"/>
              </w:rPr>
              <w:t>capital overhead of the three.</w:t>
            </w:r>
          </w:p>
          <w:p w14:paraId="77B3C93E" w14:textId="7935B8C7" w:rsidR="00C633C7" w:rsidRPr="00C633C7" w:rsidRDefault="00725977">
            <w:pPr>
              <w:pStyle w:val="TableParagraph"/>
              <w:numPr>
                <w:ilvl w:val="0"/>
                <w:numId w:val="150"/>
              </w:numPr>
              <w:tabs>
                <w:tab w:val="left" w:pos="326"/>
              </w:tabs>
              <w:spacing w:before="39" w:line="161" w:lineRule="exact"/>
              <w:ind w:left="314" w:right="156"/>
              <w:rPr>
                <w:sz w:val="18"/>
              </w:rPr>
            </w:pPr>
            <w:r w:rsidRPr="00C633C7">
              <w:rPr>
                <w:spacing w:val="-2"/>
                <w:sz w:val="18"/>
              </w:rPr>
              <w:t xml:space="preserve">Flexible, </w:t>
            </w:r>
            <w:r w:rsidRPr="00C633C7">
              <w:rPr>
                <w:sz w:val="18"/>
              </w:rPr>
              <w:t>scalable,</w:t>
            </w:r>
            <w:r w:rsidRPr="00C633C7">
              <w:rPr>
                <w:spacing w:val="-5"/>
                <w:sz w:val="18"/>
              </w:rPr>
              <w:t xml:space="preserve"> and</w:t>
            </w:r>
            <w:r w:rsidR="00C633C7" w:rsidRPr="00C633C7">
              <w:rPr>
                <w:spacing w:val="-5"/>
                <w:sz w:val="18"/>
              </w:rPr>
              <w:t xml:space="preserve"> </w:t>
            </w:r>
            <w:r w:rsidR="00C633C7" w:rsidRPr="00C633C7">
              <w:rPr>
                <w:sz w:val="18"/>
              </w:rPr>
              <w:t>deployable</w:t>
            </w:r>
            <w:r w:rsidR="00C633C7" w:rsidRPr="00C633C7">
              <w:rPr>
                <w:spacing w:val="-6"/>
                <w:sz w:val="18"/>
              </w:rPr>
              <w:t xml:space="preserve"> </w:t>
            </w:r>
            <w:r w:rsidR="00C633C7" w:rsidRPr="00C633C7">
              <w:rPr>
                <w:spacing w:val="-5"/>
                <w:sz w:val="18"/>
              </w:rPr>
              <w:t>on</w:t>
            </w:r>
            <w:r w:rsidR="00C633C7">
              <w:rPr>
                <w:spacing w:val="-5"/>
                <w:sz w:val="18"/>
              </w:rPr>
              <w:t xml:space="preserve"> </w:t>
            </w:r>
            <w:r w:rsidR="00C633C7" w:rsidRPr="00C633C7">
              <w:rPr>
                <w:spacing w:val="-2"/>
                <w:sz w:val="18"/>
              </w:rPr>
              <w:t>demand.</w:t>
            </w:r>
          </w:p>
          <w:p w14:paraId="1D7B13FD" w14:textId="473C54D2" w:rsidR="00C633C7" w:rsidRPr="00D4309F" w:rsidRDefault="00C633C7" w:rsidP="00C633C7">
            <w:pPr>
              <w:pStyle w:val="TableParagraph"/>
              <w:numPr>
                <w:ilvl w:val="0"/>
                <w:numId w:val="150"/>
              </w:numPr>
              <w:tabs>
                <w:tab w:val="left" w:pos="326"/>
              </w:tabs>
              <w:spacing w:before="39"/>
              <w:ind w:right="156"/>
              <w:rPr>
                <w:sz w:val="18"/>
              </w:rPr>
            </w:pPr>
            <w:r w:rsidRPr="00D4309F">
              <w:rPr>
                <w:sz w:val="18"/>
              </w:rPr>
              <w:t>No</w:t>
            </w:r>
            <w:r w:rsidRPr="00D4309F">
              <w:rPr>
                <w:spacing w:val="-13"/>
                <w:sz w:val="18"/>
              </w:rPr>
              <w:t xml:space="preserve"> </w:t>
            </w:r>
            <w:r w:rsidRPr="00D4309F">
              <w:rPr>
                <w:sz w:val="18"/>
              </w:rPr>
              <w:t xml:space="preserve">permanent </w:t>
            </w:r>
            <w:r w:rsidRPr="00D4309F">
              <w:rPr>
                <w:spacing w:val="-2"/>
                <w:sz w:val="18"/>
              </w:rPr>
              <w:t>seabed disturbance.</w:t>
            </w:r>
          </w:p>
        </w:tc>
        <w:tc>
          <w:tcPr>
            <w:tcW w:w="724" w:type="pct"/>
            <w:tcBorders>
              <w:top w:val="single" w:sz="4" w:space="0" w:color="5F6269"/>
              <w:bottom w:val="single" w:sz="4" w:space="0" w:color="5F6269"/>
            </w:tcBorders>
          </w:tcPr>
          <w:p w14:paraId="18FFE433" w14:textId="77777777" w:rsidR="00725977" w:rsidRPr="00C633C7" w:rsidRDefault="00725977" w:rsidP="00C633C7">
            <w:pPr>
              <w:pStyle w:val="TableParagraph"/>
              <w:numPr>
                <w:ilvl w:val="0"/>
                <w:numId w:val="149"/>
              </w:numPr>
              <w:tabs>
                <w:tab w:val="left" w:pos="341"/>
              </w:tabs>
              <w:spacing w:before="39"/>
              <w:ind w:right="75"/>
              <w:rPr>
                <w:sz w:val="18"/>
              </w:rPr>
            </w:pPr>
            <w:r w:rsidRPr="00D4309F">
              <w:rPr>
                <w:sz w:val="18"/>
              </w:rPr>
              <w:t>High</w:t>
            </w:r>
            <w:r w:rsidRPr="00D4309F">
              <w:rPr>
                <w:spacing w:val="-13"/>
                <w:sz w:val="18"/>
              </w:rPr>
              <w:t xml:space="preserve"> </w:t>
            </w:r>
            <w:r w:rsidRPr="00D4309F">
              <w:rPr>
                <w:sz w:val="18"/>
              </w:rPr>
              <w:t xml:space="preserve">dredge </w:t>
            </w:r>
            <w:r w:rsidRPr="00D4309F">
              <w:rPr>
                <w:spacing w:val="-2"/>
                <w:sz w:val="18"/>
              </w:rPr>
              <w:t>productivity.</w:t>
            </w:r>
          </w:p>
          <w:p w14:paraId="2BE23333" w14:textId="77777777" w:rsidR="00C633C7" w:rsidRPr="00D4309F" w:rsidRDefault="00C633C7" w:rsidP="00C633C7">
            <w:pPr>
              <w:pStyle w:val="TableParagraph"/>
              <w:numPr>
                <w:ilvl w:val="0"/>
                <w:numId w:val="149"/>
              </w:numPr>
              <w:tabs>
                <w:tab w:val="left" w:pos="344"/>
              </w:tabs>
              <w:spacing w:line="174" w:lineRule="exact"/>
              <w:rPr>
                <w:sz w:val="18"/>
              </w:rPr>
            </w:pPr>
            <w:r w:rsidRPr="00D4309F">
              <w:rPr>
                <w:spacing w:val="-2"/>
                <w:sz w:val="18"/>
              </w:rPr>
              <w:t>Predictable</w:t>
            </w:r>
          </w:p>
          <w:p w14:paraId="1FD2E79F" w14:textId="77777777" w:rsidR="00C633C7" w:rsidRPr="00D4309F" w:rsidRDefault="00C633C7" w:rsidP="00C633C7">
            <w:pPr>
              <w:pStyle w:val="TableParagraph"/>
              <w:ind w:left="344" w:right="309"/>
              <w:rPr>
                <w:sz w:val="18"/>
              </w:rPr>
            </w:pPr>
            <w:r w:rsidRPr="00D4309F">
              <w:rPr>
                <w:spacing w:val="-2"/>
                <w:sz w:val="18"/>
              </w:rPr>
              <w:t>campaign structure.</w:t>
            </w:r>
          </w:p>
          <w:p w14:paraId="790C8C29" w14:textId="77777777" w:rsidR="00C633C7" w:rsidRPr="00D4309F" w:rsidRDefault="00C633C7" w:rsidP="00C633C7">
            <w:pPr>
              <w:pStyle w:val="TableParagraph"/>
              <w:numPr>
                <w:ilvl w:val="0"/>
                <w:numId w:val="149"/>
              </w:numPr>
              <w:tabs>
                <w:tab w:val="left" w:pos="344"/>
              </w:tabs>
              <w:spacing w:before="39"/>
              <w:ind w:right="191"/>
              <w:rPr>
                <w:sz w:val="18"/>
              </w:rPr>
            </w:pPr>
            <w:r w:rsidRPr="00D4309F">
              <w:rPr>
                <w:spacing w:val="-2"/>
                <w:sz w:val="18"/>
              </w:rPr>
              <w:t xml:space="preserve">Equipment </w:t>
            </w:r>
            <w:r w:rsidRPr="00D4309F">
              <w:rPr>
                <w:spacing w:val="-4"/>
                <w:sz w:val="18"/>
              </w:rPr>
              <w:t xml:space="preserve">well </w:t>
            </w:r>
            <w:r w:rsidRPr="00D4309F">
              <w:rPr>
                <w:spacing w:val="-2"/>
                <w:sz w:val="18"/>
              </w:rPr>
              <w:t xml:space="preserve">understood </w:t>
            </w:r>
            <w:r w:rsidRPr="00D4309F">
              <w:rPr>
                <w:sz w:val="18"/>
              </w:rPr>
              <w:t>and</w:t>
            </w:r>
            <w:r w:rsidRPr="00D4309F">
              <w:rPr>
                <w:spacing w:val="-13"/>
                <w:sz w:val="18"/>
              </w:rPr>
              <w:t xml:space="preserve"> </w:t>
            </w:r>
            <w:r w:rsidRPr="00D4309F">
              <w:rPr>
                <w:sz w:val="18"/>
              </w:rPr>
              <w:t xml:space="preserve">readily </w:t>
            </w:r>
            <w:r w:rsidRPr="00D4309F">
              <w:rPr>
                <w:spacing w:val="-2"/>
                <w:sz w:val="18"/>
              </w:rPr>
              <w:t>available.</w:t>
            </w:r>
          </w:p>
          <w:p w14:paraId="15BA9672" w14:textId="7169F315" w:rsidR="00C633C7" w:rsidRPr="00D4309F" w:rsidRDefault="00C633C7" w:rsidP="00C633C7">
            <w:pPr>
              <w:pStyle w:val="TableParagraph"/>
              <w:numPr>
                <w:ilvl w:val="0"/>
                <w:numId w:val="149"/>
              </w:numPr>
              <w:tabs>
                <w:tab w:val="left" w:pos="341"/>
              </w:tabs>
              <w:spacing w:before="39"/>
              <w:ind w:right="75"/>
              <w:rPr>
                <w:sz w:val="18"/>
              </w:rPr>
            </w:pPr>
            <w:r w:rsidRPr="00D4309F">
              <w:rPr>
                <w:sz w:val="18"/>
              </w:rPr>
              <w:t xml:space="preserve">Suitable for </w:t>
            </w:r>
            <w:r w:rsidRPr="00D4309F">
              <w:rPr>
                <w:spacing w:val="-2"/>
                <w:sz w:val="18"/>
              </w:rPr>
              <w:t>large volumes including storm-driven pulses.</w:t>
            </w:r>
          </w:p>
        </w:tc>
        <w:tc>
          <w:tcPr>
            <w:tcW w:w="747" w:type="pct"/>
            <w:gridSpan w:val="2"/>
            <w:tcBorders>
              <w:top w:val="single" w:sz="4" w:space="0" w:color="5F6269"/>
              <w:bottom w:val="single" w:sz="4" w:space="0" w:color="5F6269"/>
            </w:tcBorders>
          </w:tcPr>
          <w:p w14:paraId="322A5C78" w14:textId="77777777" w:rsidR="00725977" w:rsidRPr="00336BB7" w:rsidRDefault="00725977" w:rsidP="00D27F26">
            <w:pPr>
              <w:pStyle w:val="TableParagraph"/>
              <w:numPr>
                <w:ilvl w:val="0"/>
                <w:numId w:val="148"/>
              </w:numPr>
              <w:tabs>
                <w:tab w:val="left" w:pos="360"/>
              </w:tabs>
              <w:spacing w:before="39"/>
              <w:ind w:right="81"/>
              <w:rPr>
                <w:sz w:val="18"/>
              </w:rPr>
            </w:pPr>
            <w:r w:rsidRPr="00D4309F">
              <w:rPr>
                <w:spacing w:val="-2"/>
                <w:sz w:val="18"/>
              </w:rPr>
              <w:t>Avoids dredge mobilisation.</w:t>
            </w:r>
          </w:p>
          <w:p w14:paraId="7ED1002B" w14:textId="77777777" w:rsidR="00336BB7" w:rsidRPr="00D4309F" w:rsidRDefault="00725977" w:rsidP="00336BB7">
            <w:pPr>
              <w:pStyle w:val="TableParagraph"/>
              <w:numPr>
                <w:ilvl w:val="0"/>
                <w:numId w:val="142"/>
              </w:numPr>
              <w:tabs>
                <w:tab w:val="left" w:pos="323"/>
              </w:tabs>
              <w:spacing w:before="40"/>
              <w:ind w:right="113"/>
              <w:rPr>
                <w:sz w:val="18"/>
              </w:rPr>
            </w:pPr>
            <w:r w:rsidRPr="00336BB7">
              <w:rPr>
                <w:sz w:val="18"/>
              </w:rPr>
              <w:t>Provides</w:t>
            </w:r>
            <w:r w:rsidRPr="00D4309F">
              <w:rPr>
                <w:spacing w:val="-2"/>
                <w:sz w:val="18"/>
              </w:rPr>
              <w:t xml:space="preserve"> continuous</w:t>
            </w:r>
            <w:r w:rsidR="00336BB7">
              <w:rPr>
                <w:spacing w:val="-2"/>
                <w:sz w:val="18"/>
              </w:rPr>
              <w:t xml:space="preserve"> </w:t>
            </w:r>
            <w:r w:rsidR="00336BB7" w:rsidRPr="00D4309F">
              <w:rPr>
                <w:sz w:val="18"/>
              </w:rPr>
              <w:t>bypass</w:t>
            </w:r>
            <w:r w:rsidR="00336BB7" w:rsidRPr="00D4309F">
              <w:rPr>
                <w:spacing w:val="-3"/>
                <w:sz w:val="18"/>
              </w:rPr>
              <w:t xml:space="preserve"> </w:t>
            </w:r>
            <w:r w:rsidR="00336BB7" w:rsidRPr="00D4309F">
              <w:rPr>
                <w:spacing w:val="-4"/>
                <w:sz w:val="18"/>
              </w:rPr>
              <w:t>when</w:t>
            </w:r>
          </w:p>
          <w:p w14:paraId="33006E9A" w14:textId="77777777" w:rsidR="00336BB7" w:rsidRPr="00D4309F" w:rsidRDefault="00336BB7" w:rsidP="00336BB7">
            <w:pPr>
              <w:pStyle w:val="TableParagraph"/>
              <w:ind w:left="323"/>
              <w:rPr>
                <w:sz w:val="18"/>
              </w:rPr>
            </w:pPr>
            <w:r w:rsidRPr="00D4309F">
              <w:rPr>
                <w:sz w:val="18"/>
              </w:rPr>
              <w:t xml:space="preserve">sand is </w:t>
            </w:r>
            <w:r w:rsidRPr="00D4309F">
              <w:rPr>
                <w:spacing w:val="-2"/>
                <w:sz w:val="18"/>
              </w:rPr>
              <w:t>available.</w:t>
            </w:r>
          </w:p>
          <w:p w14:paraId="329FE2E3" w14:textId="77777777" w:rsidR="00336BB7" w:rsidRPr="00D4309F" w:rsidRDefault="00336BB7" w:rsidP="00336BB7">
            <w:pPr>
              <w:pStyle w:val="TableParagraph"/>
              <w:numPr>
                <w:ilvl w:val="0"/>
                <w:numId w:val="142"/>
              </w:numPr>
              <w:tabs>
                <w:tab w:val="left" w:pos="323"/>
              </w:tabs>
              <w:spacing w:before="40"/>
              <w:ind w:right="113"/>
              <w:rPr>
                <w:sz w:val="18"/>
              </w:rPr>
            </w:pPr>
            <w:r w:rsidRPr="00D4309F">
              <w:rPr>
                <w:sz w:val="18"/>
              </w:rPr>
              <w:t>Helps keep trap</w:t>
            </w:r>
            <w:r w:rsidRPr="00D4309F">
              <w:rPr>
                <w:spacing w:val="-9"/>
                <w:sz w:val="18"/>
              </w:rPr>
              <w:t xml:space="preserve"> </w:t>
            </w:r>
            <w:r w:rsidRPr="00D4309F">
              <w:rPr>
                <w:sz w:val="18"/>
              </w:rPr>
              <w:t>shallow and</w:t>
            </w:r>
            <w:r w:rsidRPr="00D4309F">
              <w:rPr>
                <w:spacing w:val="-13"/>
                <w:sz w:val="18"/>
              </w:rPr>
              <w:t xml:space="preserve"> </w:t>
            </w:r>
            <w:r w:rsidRPr="00D4309F">
              <w:rPr>
                <w:sz w:val="18"/>
              </w:rPr>
              <w:t xml:space="preserve">reduces </w:t>
            </w:r>
            <w:r w:rsidRPr="00D4309F">
              <w:rPr>
                <w:spacing w:val="-2"/>
                <w:sz w:val="18"/>
              </w:rPr>
              <w:t>buildup between events.</w:t>
            </w:r>
          </w:p>
          <w:p w14:paraId="1E2A4542" w14:textId="3ACFE93E" w:rsidR="00725977" w:rsidRPr="00D4309F" w:rsidRDefault="00336BB7" w:rsidP="00336BB7">
            <w:pPr>
              <w:pStyle w:val="TableParagraph"/>
              <w:numPr>
                <w:ilvl w:val="0"/>
                <w:numId w:val="148"/>
              </w:numPr>
              <w:tabs>
                <w:tab w:val="left" w:pos="360"/>
              </w:tabs>
              <w:spacing w:before="39"/>
              <w:ind w:right="211"/>
              <w:rPr>
                <w:sz w:val="18"/>
              </w:rPr>
            </w:pPr>
            <w:r w:rsidRPr="00D4309F">
              <w:rPr>
                <w:sz w:val="18"/>
              </w:rPr>
              <w:t>Lower</w:t>
            </w:r>
            <w:r w:rsidRPr="00D4309F">
              <w:rPr>
                <w:spacing w:val="-13"/>
                <w:sz w:val="18"/>
              </w:rPr>
              <w:t xml:space="preserve"> </w:t>
            </w:r>
            <w:r w:rsidRPr="00D4309F">
              <w:rPr>
                <w:sz w:val="18"/>
              </w:rPr>
              <w:t xml:space="preserve">visual </w:t>
            </w:r>
            <w:r w:rsidRPr="00D4309F">
              <w:rPr>
                <w:spacing w:val="-2"/>
                <w:sz w:val="18"/>
              </w:rPr>
              <w:t>disturbance during operation.</w:t>
            </w:r>
          </w:p>
        </w:tc>
        <w:tc>
          <w:tcPr>
            <w:tcW w:w="764" w:type="pct"/>
            <w:tcBorders>
              <w:top w:val="single" w:sz="4" w:space="0" w:color="5F6269"/>
              <w:bottom w:val="single" w:sz="4" w:space="0" w:color="5F6269"/>
            </w:tcBorders>
          </w:tcPr>
          <w:p w14:paraId="44078B4A" w14:textId="77777777" w:rsidR="00725977" w:rsidRPr="00336BB7" w:rsidRDefault="00725977" w:rsidP="00336BB7">
            <w:pPr>
              <w:pStyle w:val="TableParagraph"/>
              <w:numPr>
                <w:ilvl w:val="0"/>
                <w:numId w:val="147"/>
              </w:numPr>
              <w:tabs>
                <w:tab w:val="left" w:pos="335"/>
              </w:tabs>
              <w:spacing w:before="39"/>
              <w:ind w:right="91"/>
              <w:rPr>
                <w:sz w:val="18"/>
              </w:rPr>
            </w:pPr>
            <w:r w:rsidRPr="00D4309F">
              <w:rPr>
                <w:sz w:val="18"/>
              </w:rPr>
              <w:t xml:space="preserve">Flexible and </w:t>
            </w:r>
            <w:r w:rsidRPr="00D4309F">
              <w:rPr>
                <w:spacing w:val="-2"/>
                <w:sz w:val="18"/>
              </w:rPr>
              <w:t>scalable—</w:t>
            </w:r>
            <w:r w:rsidRPr="00D4309F">
              <w:rPr>
                <w:sz w:val="18"/>
              </w:rPr>
              <w:t>mobilise</w:t>
            </w:r>
            <w:r w:rsidRPr="00D4309F">
              <w:rPr>
                <w:spacing w:val="-13"/>
                <w:sz w:val="18"/>
              </w:rPr>
              <w:t xml:space="preserve"> </w:t>
            </w:r>
            <w:r w:rsidRPr="00D4309F">
              <w:rPr>
                <w:sz w:val="18"/>
              </w:rPr>
              <w:t xml:space="preserve">only </w:t>
            </w:r>
            <w:r w:rsidRPr="00D4309F">
              <w:rPr>
                <w:spacing w:val="-4"/>
                <w:sz w:val="18"/>
              </w:rPr>
              <w:t xml:space="preserve">when </w:t>
            </w:r>
            <w:r w:rsidRPr="00D4309F">
              <w:rPr>
                <w:spacing w:val="-2"/>
                <w:sz w:val="18"/>
              </w:rPr>
              <w:t>needed.</w:t>
            </w:r>
          </w:p>
          <w:p w14:paraId="70776A2D" w14:textId="77777777" w:rsidR="00336BB7" w:rsidRPr="00D4309F" w:rsidRDefault="00336BB7" w:rsidP="00336BB7">
            <w:pPr>
              <w:pStyle w:val="TableParagraph"/>
              <w:numPr>
                <w:ilvl w:val="0"/>
                <w:numId w:val="147"/>
              </w:numPr>
              <w:tabs>
                <w:tab w:val="left" w:pos="313"/>
              </w:tabs>
              <w:spacing w:line="174" w:lineRule="exact"/>
              <w:rPr>
                <w:sz w:val="18"/>
              </w:rPr>
            </w:pPr>
            <w:r w:rsidRPr="00D4309F">
              <w:rPr>
                <w:spacing w:val="-4"/>
                <w:sz w:val="18"/>
              </w:rPr>
              <w:t>Lower</w:t>
            </w:r>
          </w:p>
          <w:p w14:paraId="30312773" w14:textId="77777777" w:rsidR="00336BB7" w:rsidRPr="00D4309F" w:rsidRDefault="00336BB7" w:rsidP="00336BB7">
            <w:pPr>
              <w:pStyle w:val="TableParagraph"/>
              <w:ind w:left="313"/>
              <w:rPr>
                <w:sz w:val="18"/>
              </w:rPr>
            </w:pPr>
            <w:r w:rsidRPr="00D4309F">
              <w:rPr>
                <w:spacing w:val="-2"/>
                <w:sz w:val="18"/>
              </w:rPr>
              <w:t xml:space="preserve">mobilisation </w:t>
            </w:r>
            <w:r w:rsidRPr="00D4309F">
              <w:rPr>
                <w:sz w:val="18"/>
              </w:rPr>
              <w:t xml:space="preserve">cost than </w:t>
            </w:r>
            <w:r w:rsidRPr="00D4309F">
              <w:rPr>
                <w:spacing w:val="-2"/>
                <w:sz w:val="18"/>
              </w:rPr>
              <w:t>dredging.</w:t>
            </w:r>
          </w:p>
          <w:p w14:paraId="68C33E37" w14:textId="77777777" w:rsidR="00336BB7" w:rsidRPr="00D4309F" w:rsidRDefault="00336BB7" w:rsidP="00336BB7">
            <w:pPr>
              <w:pStyle w:val="TableParagraph"/>
              <w:numPr>
                <w:ilvl w:val="0"/>
                <w:numId w:val="147"/>
              </w:numPr>
              <w:tabs>
                <w:tab w:val="left" w:pos="313"/>
              </w:tabs>
              <w:spacing w:before="40"/>
              <w:ind w:right="265"/>
              <w:rPr>
                <w:sz w:val="18"/>
              </w:rPr>
            </w:pPr>
            <w:r w:rsidRPr="00D4309F">
              <w:rPr>
                <w:sz w:val="18"/>
              </w:rPr>
              <w:t>Can</w:t>
            </w:r>
            <w:r w:rsidRPr="00D4309F">
              <w:rPr>
                <w:spacing w:val="-13"/>
                <w:sz w:val="18"/>
              </w:rPr>
              <w:t xml:space="preserve"> </w:t>
            </w:r>
            <w:r w:rsidRPr="00D4309F">
              <w:rPr>
                <w:sz w:val="18"/>
              </w:rPr>
              <w:t xml:space="preserve">match timing to </w:t>
            </w:r>
            <w:r w:rsidRPr="00D4309F">
              <w:rPr>
                <w:spacing w:val="-2"/>
                <w:sz w:val="18"/>
              </w:rPr>
              <w:t>shoaling events.</w:t>
            </w:r>
          </w:p>
          <w:p w14:paraId="56AFAA66" w14:textId="2536C336" w:rsidR="00336BB7" w:rsidRPr="00D4309F" w:rsidRDefault="00336BB7" w:rsidP="00336BB7">
            <w:pPr>
              <w:pStyle w:val="TableParagraph"/>
              <w:numPr>
                <w:ilvl w:val="0"/>
                <w:numId w:val="147"/>
              </w:numPr>
              <w:tabs>
                <w:tab w:val="left" w:pos="335"/>
              </w:tabs>
              <w:spacing w:before="39"/>
              <w:ind w:right="91"/>
              <w:rPr>
                <w:sz w:val="18"/>
              </w:rPr>
            </w:pPr>
            <w:r w:rsidRPr="00D4309F">
              <w:rPr>
                <w:spacing w:val="-6"/>
                <w:sz w:val="18"/>
              </w:rPr>
              <w:t xml:space="preserve">No </w:t>
            </w:r>
            <w:r w:rsidRPr="00D4309F">
              <w:rPr>
                <w:spacing w:val="-2"/>
                <w:sz w:val="18"/>
              </w:rPr>
              <w:t xml:space="preserve">permanent mechanical </w:t>
            </w:r>
            <w:r w:rsidRPr="00D4309F">
              <w:rPr>
                <w:sz w:val="18"/>
              </w:rPr>
              <w:t xml:space="preserve">systems to </w:t>
            </w:r>
            <w:r w:rsidRPr="00D4309F">
              <w:rPr>
                <w:spacing w:val="-2"/>
                <w:sz w:val="18"/>
              </w:rPr>
              <w:t>maintain.</w:t>
            </w:r>
          </w:p>
        </w:tc>
      </w:tr>
      <w:tr w:rsidR="00725977" w:rsidRPr="00D4309F" w14:paraId="6A069632" w14:textId="77777777" w:rsidTr="00336BB7">
        <w:trPr>
          <w:trHeight w:val="5217"/>
        </w:trPr>
        <w:tc>
          <w:tcPr>
            <w:tcW w:w="477" w:type="pct"/>
            <w:tcBorders>
              <w:top w:val="single" w:sz="4" w:space="0" w:color="5F6269"/>
              <w:bottom w:val="single" w:sz="18" w:space="0" w:color="5F6269"/>
            </w:tcBorders>
          </w:tcPr>
          <w:p w14:paraId="2D05FC1A" w14:textId="77777777" w:rsidR="00725977" w:rsidRPr="00D4309F" w:rsidRDefault="00725977">
            <w:pPr>
              <w:pStyle w:val="TableParagraph"/>
              <w:spacing w:before="39"/>
              <w:ind w:left="65"/>
              <w:rPr>
                <w:sz w:val="18"/>
              </w:rPr>
            </w:pPr>
            <w:r w:rsidRPr="00D4309F">
              <w:rPr>
                <w:color w:val="211E1F"/>
                <w:spacing w:val="-4"/>
                <w:sz w:val="18"/>
              </w:rPr>
              <w:t>Cons</w:t>
            </w:r>
          </w:p>
        </w:tc>
        <w:tc>
          <w:tcPr>
            <w:tcW w:w="726" w:type="pct"/>
            <w:tcBorders>
              <w:top w:val="single" w:sz="4" w:space="0" w:color="5F6269"/>
              <w:bottom w:val="single" w:sz="18" w:space="0" w:color="5F6269"/>
            </w:tcBorders>
          </w:tcPr>
          <w:p w14:paraId="59A534A8" w14:textId="77777777" w:rsidR="00725977" w:rsidRPr="00D4309F" w:rsidRDefault="00725977" w:rsidP="00D27F26">
            <w:pPr>
              <w:pStyle w:val="TableParagraph"/>
              <w:numPr>
                <w:ilvl w:val="0"/>
                <w:numId w:val="140"/>
              </w:numPr>
              <w:tabs>
                <w:tab w:val="left" w:pos="360"/>
              </w:tabs>
              <w:spacing w:before="39"/>
              <w:ind w:right="301"/>
              <w:rPr>
                <w:sz w:val="18"/>
              </w:rPr>
            </w:pPr>
            <w:r w:rsidRPr="00D4309F">
              <w:rPr>
                <w:spacing w:val="-2"/>
                <w:sz w:val="18"/>
              </w:rPr>
              <w:t>Requires dredge weather windows.</w:t>
            </w:r>
          </w:p>
          <w:p w14:paraId="31E1E840" w14:textId="77777777" w:rsidR="00725977" w:rsidRPr="00D4309F" w:rsidRDefault="00725977" w:rsidP="00D27F26">
            <w:pPr>
              <w:pStyle w:val="TableParagraph"/>
              <w:numPr>
                <w:ilvl w:val="0"/>
                <w:numId w:val="140"/>
              </w:numPr>
              <w:tabs>
                <w:tab w:val="left" w:pos="360"/>
              </w:tabs>
              <w:spacing w:before="40"/>
              <w:ind w:right="91"/>
              <w:rPr>
                <w:sz w:val="18"/>
              </w:rPr>
            </w:pPr>
            <w:r w:rsidRPr="00D4309F">
              <w:rPr>
                <w:spacing w:val="-2"/>
                <w:sz w:val="18"/>
              </w:rPr>
              <w:t>Ongoing mobilisation costs.</w:t>
            </w:r>
          </w:p>
          <w:p w14:paraId="4297A336" w14:textId="77777777" w:rsidR="00725977" w:rsidRPr="00D4309F" w:rsidRDefault="00725977" w:rsidP="00D27F26">
            <w:pPr>
              <w:pStyle w:val="TableParagraph"/>
              <w:numPr>
                <w:ilvl w:val="0"/>
                <w:numId w:val="140"/>
              </w:numPr>
              <w:tabs>
                <w:tab w:val="left" w:pos="360"/>
              </w:tabs>
              <w:spacing w:before="37"/>
              <w:ind w:right="139"/>
              <w:rPr>
                <w:sz w:val="18"/>
              </w:rPr>
            </w:pPr>
            <w:r w:rsidRPr="00D4309F">
              <w:rPr>
                <w:sz w:val="18"/>
              </w:rPr>
              <w:t>Unit rates sensitive</w:t>
            </w:r>
            <w:r w:rsidRPr="00D4309F">
              <w:rPr>
                <w:spacing w:val="-13"/>
                <w:sz w:val="18"/>
              </w:rPr>
              <w:t xml:space="preserve"> </w:t>
            </w:r>
            <w:r w:rsidRPr="00D4309F">
              <w:rPr>
                <w:sz w:val="18"/>
              </w:rPr>
              <w:t xml:space="preserve">to </w:t>
            </w:r>
            <w:r w:rsidRPr="00D4309F">
              <w:rPr>
                <w:spacing w:val="-2"/>
                <w:sz w:val="18"/>
              </w:rPr>
              <w:t>weather delays.</w:t>
            </w:r>
          </w:p>
        </w:tc>
        <w:tc>
          <w:tcPr>
            <w:tcW w:w="766" w:type="pct"/>
            <w:gridSpan w:val="3"/>
            <w:tcBorders>
              <w:top w:val="single" w:sz="4" w:space="0" w:color="5F6269"/>
              <w:bottom w:val="single" w:sz="18" w:space="0" w:color="5F6269"/>
            </w:tcBorders>
          </w:tcPr>
          <w:p w14:paraId="4E5D1ECA" w14:textId="77777777" w:rsidR="00725977" w:rsidRPr="00D4309F" w:rsidRDefault="00725977" w:rsidP="00D27F26">
            <w:pPr>
              <w:pStyle w:val="TableParagraph"/>
              <w:numPr>
                <w:ilvl w:val="0"/>
                <w:numId w:val="139"/>
              </w:numPr>
              <w:tabs>
                <w:tab w:val="left" w:pos="374"/>
              </w:tabs>
              <w:spacing w:before="39"/>
              <w:ind w:right="31"/>
              <w:rPr>
                <w:sz w:val="18"/>
              </w:rPr>
            </w:pPr>
            <w:r w:rsidRPr="00D4309F">
              <w:rPr>
                <w:sz w:val="18"/>
              </w:rPr>
              <w:t>Very high capital</w:t>
            </w:r>
            <w:r w:rsidRPr="00D4309F">
              <w:rPr>
                <w:spacing w:val="-15"/>
                <w:sz w:val="18"/>
              </w:rPr>
              <w:t xml:space="preserve"> </w:t>
            </w:r>
            <w:r w:rsidRPr="00D4309F">
              <w:rPr>
                <w:sz w:val="18"/>
              </w:rPr>
              <w:t>due</w:t>
            </w:r>
            <w:r w:rsidRPr="00D4309F">
              <w:rPr>
                <w:spacing w:val="-12"/>
                <w:sz w:val="18"/>
              </w:rPr>
              <w:t xml:space="preserve"> </w:t>
            </w:r>
            <w:r w:rsidRPr="00D4309F">
              <w:rPr>
                <w:sz w:val="18"/>
              </w:rPr>
              <w:t xml:space="preserve">to </w:t>
            </w:r>
            <w:r w:rsidRPr="00D4309F">
              <w:rPr>
                <w:spacing w:val="-2"/>
                <w:sz w:val="18"/>
              </w:rPr>
              <w:t>seabed trenching</w:t>
            </w:r>
            <w:r w:rsidRPr="00D4309F">
              <w:rPr>
                <w:spacing w:val="80"/>
                <w:sz w:val="18"/>
              </w:rPr>
              <w:t xml:space="preserve"> </w:t>
            </w:r>
            <w:r w:rsidRPr="00D4309F">
              <w:rPr>
                <w:sz w:val="18"/>
              </w:rPr>
              <w:t xml:space="preserve">and buried </w:t>
            </w:r>
            <w:r w:rsidRPr="00D4309F">
              <w:rPr>
                <w:spacing w:val="-2"/>
                <w:sz w:val="18"/>
              </w:rPr>
              <w:t>pumps.</w:t>
            </w:r>
          </w:p>
          <w:p w14:paraId="657312DB" w14:textId="77777777" w:rsidR="00725977" w:rsidRPr="00D4309F" w:rsidRDefault="00725977" w:rsidP="00D27F26">
            <w:pPr>
              <w:pStyle w:val="TableParagraph"/>
              <w:numPr>
                <w:ilvl w:val="0"/>
                <w:numId w:val="139"/>
              </w:numPr>
              <w:tabs>
                <w:tab w:val="left" w:pos="374"/>
              </w:tabs>
              <w:spacing w:before="40"/>
              <w:ind w:right="143"/>
              <w:rPr>
                <w:sz w:val="18"/>
              </w:rPr>
            </w:pPr>
            <w:r w:rsidRPr="00D4309F">
              <w:rPr>
                <w:spacing w:val="-2"/>
                <w:sz w:val="18"/>
              </w:rPr>
              <w:t xml:space="preserve">Installation complicated </w:t>
            </w:r>
            <w:r w:rsidRPr="00D4309F">
              <w:rPr>
                <w:sz w:val="18"/>
              </w:rPr>
              <w:t xml:space="preserve">by shallow </w:t>
            </w:r>
            <w:r w:rsidRPr="00D4309F">
              <w:rPr>
                <w:spacing w:val="-2"/>
                <w:sz w:val="18"/>
              </w:rPr>
              <w:t>rock.</w:t>
            </w:r>
          </w:p>
          <w:p w14:paraId="0AA755D8" w14:textId="77777777" w:rsidR="00725977" w:rsidRPr="00D4309F" w:rsidRDefault="00725977" w:rsidP="00D27F26">
            <w:pPr>
              <w:pStyle w:val="TableParagraph"/>
              <w:numPr>
                <w:ilvl w:val="0"/>
                <w:numId w:val="139"/>
              </w:numPr>
              <w:tabs>
                <w:tab w:val="left" w:pos="374"/>
              </w:tabs>
              <w:spacing w:before="38"/>
              <w:ind w:right="393"/>
              <w:rPr>
                <w:sz w:val="18"/>
              </w:rPr>
            </w:pPr>
            <w:r w:rsidRPr="00D4309F">
              <w:rPr>
                <w:spacing w:val="-2"/>
                <w:sz w:val="18"/>
              </w:rPr>
              <w:t>Higher technical risk.</w:t>
            </w:r>
          </w:p>
        </w:tc>
        <w:tc>
          <w:tcPr>
            <w:tcW w:w="793" w:type="pct"/>
            <w:tcBorders>
              <w:top w:val="single" w:sz="4" w:space="0" w:color="5F6269"/>
              <w:bottom w:val="single" w:sz="18" w:space="0" w:color="5F6269"/>
            </w:tcBorders>
          </w:tcPr>
          <w:p w14:paraId="509503BA" w14:textId="77777777" w:rsidR="00725977" w:rsidRPr="00D4309F" w:rsidRDefault="00725977" w:rsidP="00D27F26">
            <w:pPr>
              <w:pStyle w:val="TableParagraph"/>
              <w:numPr>
                <w:ilvl w:val="0"/>
                <w:numId w:val="138"/>
              </w:numPr>
              <w:tabs>
                <w:tab w:val="left" w:pos="314"/>
              </w:tabs>
              <w:spacing w:before="39"/>
              <w:ind w:right="62"/>
              <w:rPr>
                <w:sz w:val="18"/>
              </w:rPr>
            </w:pPr>
            <w:r w:rsidRPr="00D4309F">
              <w:rPr>
                <w:sz w:val="18"/>
              </w:rPr>
              <w:t>May require crest</w:t>
            </w:r>
            <w:r w:rsidRPr="00D4309F">
              <w:rPr>
                <w:spacing w:val="-13"/>
                <w:sz w:val="18"/>
              </w:rPr>
              <w:t xml:space="preserve"> </w:t>
            </w:r>
            <w:r w:rsidRPr="00D4309F">
              <w:rPr>
                <w:sz w:val="18"/>
              </w:rPr>
              <w:t xml:space="preserve">widening (~2,575 m³ of </w:t>
            </w:r>
            <w:r w:rsidRPr="00D4309F">
              <w:rPr>
                <w:spacing w:val="-2"/>
                <w:sz w:val="18"/>
              </w:rPr>
              <w:t>rock).</w:t>
            </w:r>
          </w:p>
          <w:p w14:paraId="7FBCE29D" w14:textId="77777777" w:rsidR="00725977" w:rsidRPr="00D4309F" w:rsidRDefault="00725977" w:rsidP="00D27F26">
            <w:pPr>
              <w:pStyle w:val="TableParagraph"/>
              <w:numPr>
                <w:ilvl w:val="0"/>
                <w:numId w:val="138"/>
              </w:numPr>
              <w:tabs>
                <w:tab w:val="left" w:pos="314"/>
              </w:tabs>
              <w:spacing w:before="40"/>
              <w:ind w:right="354"/>
              <w:rPr>
                <w:sz w:val="18"/>
              </w:rPr>
            </w:pPr>
            <w:r w:rsidRPr="00D4309F">
              <w:rPr>
                <w:spacing w:val="-2"/>
                <w:sz w:val="18"/>
              </w:rPr>
              <w:t xml:space="preserve">Crane operations </w:t>
            </w:r>
            <w:r w:rsidRPr="00D4309F">
              <w:rPr>
                <w:sz w:val="18"/>
              </w:rPr>
              <w:t xml:space="preserve">limited by </w:t>
            </w:r>
            <w:r w:rsidRPr="00D4309F">
              <w:rPr>
                <w:spacing w:val="-4"/>
                <w:sz w:val="18"/>
              </w:rPr>
              <w:t xml:space="preserve">wave </w:t>
            </w:r>
            <w:r w:rsidRPr="00D4309F">
              <w:rPr>
                <w:spacing w:val="-2"/>
                <w:sz w:val="18"/>
              </w:rPr>
              <w:t>conditions.</w:t>
            </w:r>
          </w:p>
          <w:p w14:paraId="0C4E9E65" w14:textId="77777777" w:rsidR="00725977" w:rsidRPr="00D4309F" w:rsidRDefault="00725977" w:rsidP="00D27F26">
            <w:pPr>
              <w:pStyle w:val="TableParagraph"/>
              <w:numPr>
                <w:ilvl w:val="0"/>
                <w:numId w:val="138"/>
              </w:numPr>
              <w:tabs>
                <w:tab w:val="left" w:pos="314"/>
              </w:tabs>
              <w:spacing w:before="37"/>
              <w:ind w:right="303"/>
              <w:rPr>
                <w:sz w:val="18"/>
              </w:rPr>
            </w:pPr>
            <w:r w:rsidRPr="00D4309F">
              <w:rPr>
                <w:spacing w:val="-4"/>
                <w:sz w:val="18"/>
              </w:rPr>
              <w:t xml:space="preserve">Lower </w:t>
            </w:r>
            <w:r w:rsidRPr="00D4309F">
              <w:rPr>
                <w:spacing w:val="-2"/>
                <w:sz w:val="18"/>
              </w:rPr>
              <w:t xml:space="preserve">productivity </w:t>
            </w:r>
            <w:r w:rsidRPr="00D4309F">
              <w:rPr>
                <w:sz w:val="18"/>
              </w:rPr>
              <w:t>than CSD.</w:t>
            </w:r>
          </w:p>
        </w:tc>
        <w:tc>
          <w:tcPr>
            <w:tcW w:w="745" w:type="pct"/>
            <w:gridSpan w:val="2"/>
            <w:tcBorders>
              <w:top w:val="single" w:sz="4" w:space="0" w:color="5F6269"/>
              <w:bottom w:val="single" w:sz="18" w:space="0" w:color="5F6269"/>
            </w:tcBorders>
          </w:tcPr>
          <w:p w14:paraId="3F1F37D2" w14:textId="77777777" w:rsidR="00725977" w:rsidRPr="00D4309F" w:rsidRDefault="00725977" w:rsidP="00D27F26">
            <w:pPr>
              <w:pStyle w:val="TableParagraph"/>
              <w:numPr>
                <w:ilvl w:val="0"/>
                <w:numId w:val="137"/>
              </w:numPr>
              <w:tabs>
                <w:tab w:val="left" w:pos="344"/>
              </w:tabs>
              <w:spacing w:before="39"/>
              <w:ind w:right="143"/>
              <w:rPr>
                <w:sz w:val="18"/>
              </w:rPr>
            </w:pPr>
            <w:r w:rsidRPr="00D4309F">
              <w:rPr>
                <w:spacing w:val="-2"/>
                <w:sz w:val="18"/>
              </w:rPr>
              <w:t xml:space="preserve">Requires weather </w:t>
            </w:r>
            <w:r w:rsidRPr="00D4309F">
              <w:rPr>
                <w:sz w:val="18"/>
              </w:rPr>
              <w:t>windows</w:t>
            </w:r>
            <w:r w:rsidRPr="00D4309F">
              <w:rPr>
                <w:spacing w:val="-13"/>
                <w:sz w:val="18"/>
              </w:rPr>
              <w:t xml:space="preserve"> </w:t>
            </w:r>
            <w:r w:rsidRPr="00D4309F">
              <w:rPr>
                <w:sz w:val="18"/>
              </w:rPr>
              <w:t xml:space="preserve">for </w:t>
            </w:r>
            <w:r w:rsidRPr="00D4309F">
              <w:rPr>
                <w:spacing w:val="-2"/>
                <w:sz w:val="18"/>
              </w:rPr>
              <w:t>dredge stability.</w:t>
            </w:r>
          </w:p>
          <w:p w14:paraId="2BAD56CC" w14:textId="74098820" w:rsidR="00725977" w:rsidRPr="00D4309F" w:rsidRDefault="00725977" w:rsidP="00D27F26">
            <w:pPr>
              <w:pStyle w:val="TableParagraph"/>
              <w:numPr>
                <w:ilvl w:val="0"/>
                <w:numId w:val="137"/>
              </w:numPr>
              <w:tabs>
                <w:tab w:val="left" w:pos="344"/>
              </w:tabs>
              <w:spacing w:before="39"/>
              <w:ind w:right="42"/>
              <w:rPr>
                <w:sz w:val="18"/>
              </w:rPr>
            </w:pPr>
            <w:r w:rsidRPr="00D4309F">
              <w:rPr>
                <w:spacing w:val="-2"/>
                <w:sz w:val="18"/>
              </w:rPr>
              <w:t>Mobilisation/ demobilisatio</w:t>
            </w:r>
            <w:r w:rsidRPr="00D4309F">
              <w:rPr>
                <w:sz w:val="18"/>
              </w:rPr>
              <w:t xml:space="preserve">n cost each </w:t>
            </w:r>
            <w:r w:rsidRPr="00D4309F">
              <w:rPr>
                <w:spacing w:val="-2"/>
                <w:sz w:val="18"/>
              </w:rPr>
              <w:t>campaign.</w:t>
            </w:r>
          </w:p>
          <w:p w14:paraId="33E78BFA" w14:textId="77777777" w:rsidR="00725977" w:rsidRPr="00D4309F" w:rsidRDefault="00725977" w:rsidP="00D27F26">
            <w:pPr>
              <w:pStyle w:val="TableParagraph"/>
              <w:numPr>
                <w:ilvl w:val="0"/>
                <w:numId w:val="137"/>
              </w:numPr>
              <w:tabs>
                <w:tab w:val="left" w:pos="344"/>
              </w:tabs>
              <w:spacing w:before="38"/>
              <w:ind w:right="273"/>
              <w:rPr>
                <w:sz w:val="18"/>
              </w:rPr>
            </w:pPr>
            <w:r w:rsidRPr="00D4309F">
              <w:rPr>
                <w:spacing w:val="-2"/>
                <w:sz w:val="18"/>
              </w:rPr>
              <w:t xml:space="preserve">Reactive </w:t>
            </w:r>
            <w:r w:rsidRPr="00D4309F">
              <w:rPr>
                <w:sz w:val="18"/>
              </w:rPr>
              <w:t>shoal</w:t>
            </w:r>
            <w:r w:rsidRPr="00D4309F">
              <w:rPr>
                <w:spacing w:val="-13"/>
                <w:sz w:val="18"/>
              </w:rPr>
              <w:t xml:space="preserve"> </w:t>
            </w:r>
            <w:r w:rsidRPr="00D4309F">
              <w:rPr>
                <w:sz w:val="18"/>
              </w:rPr>
              <w:t xml:space="preserve">may get large </w:t>
            </w:r>
            <w:r w:rsidRPr="00D4309F">
              <w:rPr>
                <w:spacing w:val="-2"/>
                <w:sz w:val="18"/>
              </w:rPr>
              <w:t>before campaign occurs.</w:t>
            </w:r>
          </w:p>
          <w:p w14:paraId="54F1D4AE" w14:textId="77777777" w:rsidR="00725977" w:rsidRPr="00D4309F" w:rsidRDefault="00725977" w:rsidP="00D27F26">
            <w:pPr>
              <w:pStyle w:val="TableParagraph"/>
              <w:numPr>
                <w:ilvl w:val="0"/>
                <w:numId w:val="137"/>
              </w:numPr>
              <w:tabs>
                <w:tab w:val="left" w:pos="344"/>
              </w:tabs>
              <w:spacing w:before="40"/>
              <w:ind w:right="212"/>
              <w:rPr>
                <w:sz w:val="18"/>
              </w:rPr>
            </w:pPr>
            <w:r w:rsidRPr="00D4309F">
              <w:rPr>
                <w:spacing w:val="-2"/>
                <w:sz w:val="18"/>
              </w:rPr>
              <w:t xml:space="preserve">Dependent </w:t>
            </w:r>
            <w:r w:rsidRPr="00D4309F">
              <w:rPr>
                <w:sz w:val="18"/>
              </w:rPr>
              <w:t xml:space="preserve">on dredge </w:t>
            </w:r>
            <w:r w:rsidRPr="00D4309F">
              <w:rPr>
                <w:spacing w:val="-2"/>
                <w:sz w:val="18"/>
              </w:rPr>
              <w:t>availability.</w:t>
            </w:r>
          </w:p>
        </w:tc>
        <w:tc>
          <w:tcPr>
            <w:tcW w:w="739" w:type="pct"/>
            <w:tcBorders>
              <w:top w:val="single" w:sz="4" w:space="0" w:color="5F6269"/>
              <w:bottom w:val="single" w:sz="18" w:space="0" w:color="5F6269"/>
            </w:tcBorders>
          </w:tcPr>
          <w:p w14:paraId="5C78EF66" w14:textId="77777777" w:rsidR="00725977" w:rsidRPr="00D4309F" w:rsidRDefault="00725977" w:rsidP="00D27F26">
            <w:pPr>
              <w:pStyle w:val="TableParagraph"/>
              <w:numPr>
                <w:ilvl w:val="0"/>
                <w:numId w:val="136"/>
              </w:numPr>
              <w:tabs>
                <w:tab w:val="left" w:pos="323"/>
              </w:tabs>
              <w:spacing w:before="39"/>
              <w:ind w:right="34"/>
              <w:rPr>
                <w:sz w:val="18"/>
              </w:rPr>
            </w:pPr>
            <w:r w:rsidRPr="00D4309F">
              <w:rPr>
                <w:spacing w:val="-4"/>
                <w:sz w:val="18"/>
              </w:rPr>
              <w:t xml:space="preserve">High </w:t>
            </w:r>
            <w:r w:rsidRPr="00D4309F">
              <w:rPr>
                <w:spacing w:val="-2"/>
                <w:sz w:val="18"/>
              </w:rPr>
              <w:t>operating</w:t>
            </w:r>
            <w:r w:rsidRPr="00D4309F">
              <w:rPr>
                <w:sz w:val="18"/>
              </w:rPr>
              <w:t xml:space="preserve"> cost from </w:t>
            </w:r>
            <w:r w:rsidRPr="00D4309F">
              <w:rPr>
                <w:spacing w:val="-2"/>
                <w:sz w:val="18"/>
              </w:rPr>
              <w:t xml:space="preserve">continuous </w:t>
            </w:r>
            <w:r w:rsidRPr="00D4309F">
              <w:rPr>
                <w:sz w:val="18"/>
              </w:rPr>
              <w:t>pump</w:t>
            </w:r>
            <w:r w:rsidRPr="00D4309F">
              <w:rPr>
                <w:spacing w:val="-13"/>
                <w:sz w:val="18"/>
              </w:rPr>
              <w:t xml:space="preserve"> </w:t>
            </w:r>
            <w:r w:rsidRPr="00D4309F">
              <w:rPr>
                <w:sz w:val="18"/>
              </w:rPr>
              <w:t xml:space="preserve">energy </w:t>
            </w:r>
            <w:r w:rsidRPr="00D4309F">
              <w:rPr>
                <w:spacing w:val="-2"/>
                <w:sz w:val="18"/>
              </w:rPr>
              <w:t>consumption.</w:t>
            </w:r>
          </w:p>
          <w:p w14:paraId="2685143E" w14:textId="77777777" w:rsidR="00725977" w:rsidRPr="00D4309F" w:rsidRDefault="00725977" w:rsidP="00D27F26">
            <w:pPr>
              <w:pStyle w:val="TableParagraph"/>
              <w:numPr>
                <w:ilvl w:val="0"/>
                <w:numId w:val="136"/>
              </w:numPr>
              <w:tabs>
                <w:tab w:val="left" w:pos="323"/>
              </w:tabs>
              <w:spacing w:before="40"/>
              <w:ind w:right="72"/>
              <w:rPr>
                <w:sz w:val="18"/>
              </w:rPr>
            </w:pPr>
            <w:r w:rsidRPr="00D4309F">
              <w:rPr>
                <w:spacing w:val="-2"/>
                <w:sz w:val="18"/>
              </w:rPr>
              <w:t>Performance uncertain</w:t>
            </w:r>
            <w:r w:rsidRPr="00D4309F">
              <w:rPr>
                <w:spacing w:val="40"/>
                <w:sz w:val="18"/>
              </w:rPr>
              <w:t xml:space="preserve"> </w:t>
            </w:r>
            <w:r w:rsidRPr="00D4309F">
              <w:rPr>
                <w:sz w:val="18"/>
              </w:rPr>
              <w:t xml:space="preserve">due to shallow rock and intake </w:t>
            </w:r>
            <w:r w:rsidRPr="00D4309F">
              <w:rPr>
                <w:spacing w:val="-2"/>
                <w:sz w:val="18"/>
              </w:rPr>
              <w:t>burial challenges.</w:t>
            </w:r>
          </w:p>
          <w:p w14:paraId="5A664F7C" w14:textId="77777777" w:rsidR="00725977" w:rsidRPr="00D4309F" w:rsidRDefault="00725977" w:rsidP="00D27F26">
            <w:pPr>
              <w:pStyle w:val="TableParagraph"/>
              <w:numPr>
                <w:ilvl w:val="0"/>
                <w:numId w:val="136"/>
              </w:numPr>
              <w:tabs>
                <w:tab w:val="left" w:pos="323"/>
              </w:tabs>
              <w:spacing w:before="37"/>
              <w:ind w:right="102"/>
              <w:rPr>
                <w:sz w:val="18"/>
              </w:rPr>
            </w:pPr>
            <w:r w:rsidRPr="00D4309F">
              <w:rPr>
                <w:sz w:val="18"/>
              </w:rPr>
              <w:t>Intake</w:t>
            </w:r>
            <w:r w:rsidRPr="00D4309F">
              <w:rPr>
                <w:spacing w:val="-13"/>
                <w:sz w:val="18"/>
              </w:rPr>
              <w:t xml:space="preserve"> </w:t>
            </w:r>
            <w:r w:rsidRPr="00D4309F">
              <w:rPr>
                <w:sz w:val="18"/>
              </w:rPr>
              <w:t xml:space="preserve">prone to clogging; </w:t>
            </w:r>
            <w:r w:rsidRPr="00D4309F">
              <w:rPr>
                <w:spacing w:val="-2"/>
                <w:sz w:val="18"/>
              </w:rPr>
              <w:t>diver inspections required.</w:t>
            </w:r>
          </w:p>
          <w:p w14:paraId="22043465" w14:textId="77777777" w:rsidR="00725977" w:rsidRPr="00D4309F" w:rsidRDefault="00725977" w:rsidP="00D27F26">
            <w:pPr>
              <w:pStyle w:val="TableParagraph"/>
              <w:numPr>
                <w:ilvl w:val="0"/>
                <w:numId w:val="136"/>
              </w:numPr>
              <w:tabs>
                <w:tab w:val="left" w:pos="323"/>
              </w:tabs>
              <w:spacing w:before="39"/>
              <w:ind w:right="33"/>
              <w:rPr>
                <w:sz w:val="18"/>
              </w:rPr>
            </w:pPr>
            <w:r w:rsidRPr="00D4309F">
              <w:rPr>
                <w:sz w:val="18"/>
              </w:rPr>
              <w:t>May still</w:t>
            </w:r>
            <w:r w:rsidRPr="00D4309F">
              <w:rPr>
                <w:spacing w:val="40"/>
                <w:sz w:val="18"/>
              </w:rPr>
              <w:t xml:space="preserve"> </w:t>
            </w:r>
            <w:r w:rsidRPr="00D4309F">
              <w:rPr>
                <w:spacing w:val="-4"/>
                <w:sz w:val="18"/>
              </w:rPr>
              <w:t xml:space="preserve">need </w:t>
            </w:r>
            <w:r w:rsidRPr="00D4309F">
              <w:rPr>
                <w:spacing w:val="-2"/>
                <w:sz w:val="18"/>
              </w:rPr>
              <w:t>supplemental dredging</w:t>
            </w:r>
            <w:r w:rsidRPr="00D4309F">
              <w:rPr>
                <w:spacing w:val="40"/>
                <w:sz w:val="18"/>
              </w:rPr>
              <w:t xml:space="preserve"> </w:t>
            </w:r>
            <w:r w:rsidRPr="00D4309F">
              <w:rPr>
                <w:sz w:val="18"/>
              </w:rPr>
              <w:t>after major storm</w:t>
            </w:r>
            <w:r w:rsidRPr="00D4309F">
              <w:rPr>
                <w:spacing w:val="-13"/>
                <w:sz w:val="18"/>
              </w:rPr>
              <w:t xml:space="preserve"> </w:t>
            </w:r>
            <w:r w:rsidRPr="00D4309F">
              <w:rPr>
                <w:sz w:val="18"/>
              </w:rPr>
              <w:t>pulses.</w:t>
            </w:r>
          </w:p>
        </w:tc>
        <w:tc>
          <w:tcPr>
            <w:tcW w:w="751" w:type="pct"/>
            <w:tcBorders>
              <w:top w:val="single" w:sz="4" w:space="0" w:color="5F6269"/>
              <w:bottom w:val="single" w:sz="18" w:space="0" w:color="5F6269"/>
            </w:tcBorders>
          </w:tcPr>
          <w:p w14:paraId="165AD332" w14:textId="77777777" w:rsidR="00725977" w:rsidRPr="00D4309F" w:rsidRDefault="00725977" w:rsidP="00D27F26">
            <w:pPr>
              <w:pStyle w:val="TableParagraph"/>
              <w:numPr>
                <w:ilvl w:val="0"/>
                <w:numId w:val="135"/>
              </w:numPr>
              <w:tabs>
                <w:tab w:val="left" w:pos="313"/>
              </w:tabs>
              <w:spacing w:before="39"/>
              <w:ind w:right="185"/>
              <w:rPr>
                <w:sz w:val="18"/>
              </w:rPr>
            </w:pPr>
            <w:r w:rsidRPr="00D4309F">
              <w:rPr>
                <w:spacing w:val="-2"/>
                <w:sz w:val="18"/>
              </w:rPr>
              <w:t xml:space="preserve">Requires calm-weather </w:t>
            </w:r>
            <w:r w:rsidRPr="00D4309F">
              <w:rPr>
                <w:sz w:val="18"/>
              </w:rPr>
              <w:t>windows</w:t>
            </w:r>
            <w:r w:rsidRPr="00D4309F">
              <w:rPr>
                <w:spacing w:val="-13"/>
                <w:sz w:val="18"/>
              </w:rPr>
              <w:t xml:space="preserve"> </w:t>
            </w:r>
            <w:r w:rsidRPr="00D4309F">
              <w:rPr>
                <w:sz w:val="18"/>
              </w:rPr>
              <w:t xml:space="preserve">for </w:t>
            </w:r>
            <w:r w:rsidRPr="00D4309F">
              <w:rPr>
                <w:spacing w:val="-2"/>
                <w:sz w:val="18"/>
              </w:rPr>
              <w:t>crane stability.</w:t>
            </w:r>
          </w:p>
          <w:p w14:paraId="3564EA19" w14:textId="77777777" w:rsidR="00725977" w:rsidRPr="00D4309F" w:rsidRDefault="00725977" w:rsidP="00D27F26">
            <w:pPr>
              <w:pStyle w:val="TableParagraph"/>
              <w:numPr>
                <w:ilvl w:val="0"/>
                <w:numId w:val="135"/>
              </w:numPr>
              <w:tabs>
                <w:tab w:val="left" w:pos="313"/>
              </w:tabs>
              <w:spacing w:before="40"/>
              <w:ind w:right="95"/>
              <w:rPr>
                <w:sz w:val="18"/>
              </w:rPr>
            </w:pPr>
            <w:r w:rsidRPr="00D4309F">
              <w:rPr>
                <w:spacing w:val="-4"/>
                <w:sz w:val="18"/>
              </w:rPr>
              <w:t xml:space="preserve">Lower </w:t>
            </w:r>
            <w:r w:rsidRPr="00D4309F">
              <w:rPr>
                <w:spacing w:val="-2"/>
                <w:sz w:val="18"/>
              </w:rPr>
              <w:t xml:space="preserve">productivity </w:t>
            </w:r>
            <w:r w:rsidRPr="00D4309F">
              <w:rPr>
                <w:sz w:val="18"/>
              </w:rPr>
              <w:t>than CSD—</w:t>
            </w:r>
            <w:r w:rsidRPr="00D4309F">
              <w:rPr>
                <w:spacing w:val="-2"/>
                <w:sz w:val="18"/>
              </w:rPr>
              <w:t xml:space="preserve">campaign </w:t>
            </w:r>
            <w:r w:rsidRPr="00D4309F">
              <w:rPr>
                <w:sz w:val="18"/>
              </w:rPr>
              <w:t>duration</w:t>
            </w:r>
            <w:r w:rsidRPr="00D4309F">
              <w:rPr>
                <w:spacing w:val="-13"/>
                <w:sz w:val="18"/>
              </w:rPr>
              <w:t xml:space="preserve"> </w:t>
            </w:r>
            <w:r w:rsidRPr="00D4309F">
              <w:rPr>
                <w:sz w:val="18"/>
              </w:rPr>
              <w:t>may be longer.</w:t>
            </w:r>
          </w:p>
          <w:p w14:paraId="7B759F1D" w14:textId="77777777" w:rsidR="00725977" w:rsidRPr="00D4309F" w:rsidRDefault="00725977" w:rsidP="00D27F26">
            <w:pPr>
              <w:pStyle w:val="TableParagraph"/>
              <w:numPr>
                <w:ilvl w:val="0"/>
                <w:numId w:val="135"/>
              </w:numPr>
              <w:tabs>
                <w:tab w:val="left" w:pos="313"/>
              </w:tabs>
              <w:spacing w:before="38"/>
              <w:ind w:right="205"/>
              <w:rPr>
                <w:sz w:val="18"/>
              </w:rPr>
            </w:pPr>
            <w:r w:rsidRPr="00D4309F">
              <w:rPr>
                <w:spacing w:val="-2"/>
                <w:sz w:val="18"/>
              </w:rPr>
              <w:t>Temporary pipeline setup/pack-</w:t>
            </w:r>
            <w:r w:rsidRPr="00D4309F">
              <w:rPr>
                <w:sz w:val="18"/>
              </w:rPr>
              <w:t xml:space="preserve">down each </w:t>
            </w:r>
            <w:r w:rsidRPr="00D4309F">
              <w:rPr>
                <w:spacing w:val="-2"/>
                <w:sz w:val="18"/>
              </w:rPr>
              <w:t>time.</w:t>
            </w:r>
          </w:p>
          <w:p w14:paraId="6A661A29" w14:textId="77777777" w:rsidR="00725977" w:rsidRPr="00D4309F" w:rsidRDefault="00725977" w:rsidP="00D27F26">
            <w:pPr>
              <w:pStyle w:val="TableParagraph"/>
              <w:numPr>
                <w:ilvl w:val="0"/>
                <w:numId w:val="135"/>
              </w:numPr>
              <w:tabs>
                <w:tab w:val="left" w:pos="313"/>
              </w:tabs>
              <w:spacing w:before="39"/>
              <w:ind w:right="255"/>
              <w:rPr>
                <w:sz w:val="18"/>
              </w:rPr>
            </w:pPr>
            <w:r w:rsidRPr="00D4309F">
              <w:rPr>
                <w:spacing w:val="-2"/>
                <w:sz w:val="18"/>
              </w:rPr>
              <w:t xml:space="preserve">Dependent </w:t>
            </w:r>
            <w:r w:rsidRPr="00D4309F">
              <w:rPr>
                <w:sz w:val="18"/>
              </w:rPr>
              <w:t xml:space="preserve">on crane </w:t>
            </w:r>
            <w:r w:rsidRPr="00D4309F">
              <w:rPr>
                <w:spacing w:val="-2"/>
                <w:sz w:val="18"/>
              </w:rPr>
              <w:t xml:space="preserve">availability </w:t>
            </w:r>
            <w:r w:rsidRPr="00D4309F">
              <w:rPr>
                <w:sz w:val="18"/>
              </w:rPr>
              <w:t xml:space="preserve">and site </w:t>
            </w:r>
            <w:r w:rsidRPr="00D4309F">
              <w:rPr>
                <w:spacing w:val="-2"/>
                <w:sz w:val="18"/>
              </w:rPr>
              <w:t>access.</w:t>
            </w:r>
          </w:p>
        </w:tc>
      </w:tr>
    </w:tbl>
    <w:p w14:paraId="19BCED4F" w14:textId="77777777" w:rsidR="00725977" w:rsidRPr="00D4309F" w:rsidRDefault="00725977" w:rsidP="00725977">
      <w:pPr>
        <w:pStyle w:val="TableParagraph"/>
        <w:rPr>
          <w:sz w:val="18"/>
        </w:rPr>
        <w:sectPr w:rsidR="00725977" w:rsidRPr="00D4309F" w:rsidSect="00405D4F">
          <w:headerReference w:type="default" r:id="rId133"/>
          <w:footerReference w:type="default" r:id="rId134"/>
          <w:pgSz w:w="11910" w:h="16840"/>
          <w:pgMar w:top="1418" w:right="1134" w:bottom="1418" w:left="1134" w:header="0" w:footer="980" w:gutter="0"/>
          <w:cols w:space="720"/>
        </w:sectPr>
      </w:pPr>
    </w:p>
    <w:p w14:paraId="7FE8ADD0" w14:textId="47638288" w:rsidR="00725977" w:rsidRPr="00D4309F" w:rsidRDefault="00725977" w:rsidP="002B2A66">
      <w:pPr>
        <w:pStyle w:val="Heading2"/>
      </w:pPr>
      <w:bookmarkStart w:id="460" w:name="_bookmark165"/>
      <w:bookmarkStart w:id="461" w:name="_Toc216699479"/>
      <w:bookmarkEnd w:id="460"/>
      <w:r w:rsidRPr="00D4309F">
        <w:lastRenderedPageBreak/>
        <w:t>Multi-criteria</w:t>
      </w:r>
      <w:r w:rsidRPr="00D4309F">
        <w:rPr>
          <w:spacing w:val="-10"/>
        </w:rPr>
        <w:t xml:space="preserve"> </w:t>
      </w:r>
      <w:r w:rsidRPr="00D4309F">
        <w:t>analysis</w:t>
      </w:r>
      <w:r w:rsidRPr="00D4309F">
        <w:rPr>
          <w:spacing w:val="-9"/>
        </w:rPr>
        <w:t xml:space="preserve"> </w:t>
      </w:r>
      <w:r w:rsidRPr="00D4309F">
        <w:t>for</w:t>
      </w:r>
      <w:r w:rsidRPr="00D4309F">
        <w:rPr>
          <w:spacing w:val="-10"/>
        </w:rPr>
        <w:t xml:space="preserve"> </w:t>
      </w:r>
      <w:r w:rsidRPr="00D4309F">
        <w:t>Options</w:t>
      </w:r>
      <w:r w:rsidRPr="00D4309F">
        <w:rPr>
          <w:spacing w:val="-9"/>
        </w:rPr>
        <w:t xml:space="preserve"> </w:t>
      </w:r>
      <w:r w:rsidRPr="00D4309F">
        <w:t>3A,</w:t>
      </w:r>
      <w:r w:rsidRPr="00D4309F">
        <w:rPr>
          <w:spacing w:val="-9"/>
        </w:rPr>
        <w:t xml:space="preserve"> </w:t>
      </w:r>
      <w:r w:rsidRPr="00D4309F">
        <w:t>3B</w:t>
      </w:r>
      <w:r w:rsidRPr="00D4309F">
        <w:rPr>
          <w:spacing w:val="-10"/>
        </w:rPr>
        <w:t xml:space="preserve"> </w:t>
      </w:r>
      <w:r w:rsidRPr="00D4309F">
        <w:t>&amp;</w:t>
      </w:r>
      <w:r w:rsidRPr="00D4309F">
        <w:rPr>
          <w:spacing w:val="-9"/>
        </w:rPr>
        <w:t xml:space="preserve"> </w:t>
      </w:r>
      <w:r w:rsidRPr="00D4309F">
        <w:rPr>
          <w:spacing w:val="-5"/>
        </w:rPr>
        <w:t>3C</w:t>
      </w:r>
      <w:bookmarkEnd w:id="461"/>
    </w:p>
    <w:p w14:paraId="1C60F4A8" w14:textId="77777777" w:rsidR="00725977" w:rsidRDefault="00725977" w:rsidP="00725977">
      <w:pPr>
        <w:pStyle w:val="BodyText"/>
        <w:rPr>
          <w:spacing w:val="-2"/>
        </w:rPr>
      </w:pPr>
      <w:r w:rsidRPr="00D4309F">
        <w:t>The</w:t>
      </w:r>
      <w:r w:rsidRPr="00D4309F">
        <w:rPr>
          <w:spacing w:val="-4"/>
        </w:rPr>
        <w:t xml:space="preserve"> </w:t>
      </w:r>
      <w:r w:rsidRPr="00D4309F">
        <w:t>MCA</w:t>
      </w:r>
      <w:r w:rsidRPr="00D4309F">
        <w:rPr>
          <w:spacing w:val="-4"/>
        </w:rPr>
        <w:t xml:space="preserve"> </w:t>
      </w:r>
      <w:r w:rsidRPr="00D4309F">
        <w:t>scoring</w:t>
      </w:r>
      <w:r w:rsidRPr="00D4309F">
        <w:rPr>
          <w:spacing w:val="-3"/>
        </w:rPr>
        <w:t xml:space="preserve"> </w:t>
      </w:r>
      <w:r w:rsidRPr="00D4309F">
        <w:t>legend</w:t>
      </w:r>
      <w:r w:rsidRPr="00D4309F">
        <w:rPr>
          <w:spacing w:val="-3"/>
        </w:rPr>
        <w:t xml:space="preserve"> </w:t>
      </w:r>
      <w:r w:rsidRPr="00D4309F">
        <w:rPr>
          <w:spacing w:val="-2"/>
        </w:rPr>
        <w:t>follows:</w:t>
      </w:r>
    </w:p>
    <w:tbl>
      <w:tblPr>
        <w:tblStyle w:val="Table1"/>
        <w:tblW w:w="5000" w:type="pct"/>
        <w:tblLook w:val="0620" w:firstRow="1" w:lastRow="0" w:firstColumn="0" w:lastColumn="0" w:noHBand="1" w:noVBand="1"/>
      </w:tblPr>
      <w:tblGrid>
        <w:gridCol w:w="3856"/>
        <w:gridCol w:w="10716"/>
      </w:tblGrid>
      <w:tr w:rsidR="002A7828" w:rsidRPr="0078153E" w14:paraId="02D8586A" w14:textId="77777777">
        <w:trPr>
          <w:cnfStyle w:val="100000000000" w:firstRow="1" w:lastRow="0" w:firstColumn="0" w:lastColumn="0" w:oddVBand="0" w:evenVBand="0" w:oddHBand="0" w:evenHBand="0" w:firstRowFirstColumn="0" w:firstRowLastColumn="0" w:lastRowFirstColumn="0" w:lastRowLastColumn="0"/>
          <w:tblHeader/>
        </w:trPr>
        <w:tc>
          <w:tcPr>
            <w:tcW w:w="1323" w:type="pct"/>
            <w:hideMark/>
          </w:tcPr>
          <w:p w14:paraId="09BB0D38" w14:textId="77777777" w:rsidR="002A7828" w:rsidRPr="0078153E" w:rsidRDefault="002A7828">
            <w:pPr>
              <w:pStyle w:val="Table-Heading"/>
            </w:pPr>
            <w:r>
              <w:t>Score</w:t>
            </w:r>
          </w:p>
        </w:tc>
        <w:tc>
          <w:tcPr>
            <w:tcW w:w="3677" w:type="pct"/>
          </w:tcPr>
          <w:p w14:paraId="67F6D1B7" w14:textId="77777777" w:rsidR="002A7828" w:rsidRPr="0078153E" w:rsidRDefault="002A7828">
            <w:pPr>
              <w:pStyle w:val="Table-Heading"/>
            </w:pPr>
            <w:r>
              <w:t>Description of scores</w:t>
            </w:r>
          </w:p>
        </w:tc>
      </w:tr>
      <w:tr w:rsidR="002A7828" w14:paraId="51A37793" w14:textId="77777777">
        <w:tc>
          <w:tcPr>
            <w:tcW w:w="1323" w:type="pct"/>
            <w:tcBorders>
              <w:top w:val="single" w:sz="4" w:space="0" w:color="5F6369" w:themeColor="text2"/>
              <w:left w:val="nil"/>
              <w:bottom w:val="single" w:sz="4" w:space="0" w:color="5F6369" w:themeColor="text2"/>
              <w:right w:val="nil"/>
            </w:tcBorders>
          </w:tcPr>
          <w:p w14:paraId="40C48272" w14:textId="77777777" w:rsidR="002A7828" w:rsidRPr="007B7606" w:rsidRDefault="002A7828">
            <w:pPr>
              <w:pStyle w:val="Table-Text"/>
            </w:pPr>
            <w:r>
              <w:t>1</w:t>
            </w:r>
          </w:p>
        </w:tc>
        <w:tc>
          <w:tcPr>
            <w:tcW w:w="3677" w:type="pct"/>
            <w:tcBorders>
              <w:top w:val="single" w:sz="4" w:space="0" w:color="5F6369" w:themeColor="text2"/>
              <w:left w:val="nil"/>
              <w:bottom w:val="single" w:sz="4" w:space="0" w:color="5F6369" w:themeColor="text2"/>
              <w:right w:val="nil"/>
            </w:tcBorders>
          </w:tcPr>
          <w:p w14:paraId="4DCD2223" w14:textId="77777777" w:rsidR="002A7828" w:rsidRPr="007B7606" w:rsidRDefault="002A7828">
            <w:pPr>
              <w:pStyle w:val="Table-Text"/>
            </w:pPr>
            <w:r w:rsidRPr="00D4309F">
              <w:rPr>
                <w:color w:val="211E1F"/>
              </w:rPr>
              <w:t>Worst</w:t>
            </w:r>
            <w:r w:rsidRPr="00D4309F">
              <w:rPr>
                <w:color w:val="211E1F"/>
                <w:spacing w:val="-6"/>
              </w:rPr>
              <w:t xml:space="preserve"> </w:t>
            </w:r>
            <w:r w:rsidRPr="00D4309F">
              <w:rPr>
                <w:color w:val="211E1F"/>
              </w:rPr>
              <w:t>performance</w:t>
            </w:r>
            <w:r w:rsidRPr="00D4309F">
              <w:rPr>
                <w:color w:val="211E1F"/>
                <w:spacing w:val="-4"/>
              </w:rPr>
              <w:t xml:space="preserve"> </w:t>
            </w:r>
            <w:r w:rsidRPr="00D4309F">
              <w:rPr>
                <w:color w:val="211E1F"/>
              </w:rPr>
              <w:t>or</w:t>
            </w:r>
            <w:r w:rsidRPr="00D4309F">
              <w:rPr>
                <w:color w:val="211E1F"/>
                <w:spacing w:val="-3"/>
              </w:rPr>
              <w:t xml:space="preserve"> </w:t>
            </w:r>
            <w:r w:rsidRPr="00D4309F">
              <w:rPr>
                <w:color w:val="211E1F"/>
              </w:rPr>
              <w:t>Significant</w:t>
            </w:r>
            <w:r w:rsidRPr="00D4309F">
              <w:rPr>
                <w:color w:val="211E1F"/>
                <w:spacing w:val="-3"/>
              </w:rPr>
              <w:t xml:space="preserve"> </w:t>
            </w:r>
            <w:r w:rsidRPr="00D4309F">
              <w:rPr>
                <w:color w:val="211E1F"/>
                <w:spacing w:val="-2"/>
              </w:rPr>
              <w:t>impacts</w:t>
            </w:r>
          </w:p>
        </w:tc>
      </w:tr>
      <w:tr w:rsidR="002A7828" w14:paraId="0FE065F6" w14:textId="77777777">
        <w:tc>
          <w:tcPr>
            <w:tcW w:w="1323" w:type="pct"/>
            <w:tcBorders>
              <w:top w:val="single" w:sz="4" w:space="0" w:color="5F6369" w:themeColor="text2"/>
              <w:left w:val="nil"/>
              <w:bottom w:val="single" w:sz="4" w:space="0" w:color="5F6369" w:themeColor="text2"/>
              <w:right w:val="nil"/>
            </w:tcBorders>
          </w:tcPr>
          <w:p w14:paraId="072F1A99" w14:textId="77777777" w:rsidR="002A7828" w:rsidRDefault="002A7828">
            <w:pPr>
              <w:pStyle w:val="Table-Text"/>
              <w:rPr>
                <w:lang w:val="en-GB"/>
              </w:rPr>
            </w:pPr>
            <w:r>
              <w:rPr>
                <w:lang w:val="en-GB"/>
              </w:rPr>
              <w:t>2</w:t>
            </w:r>
          </w:p>
        </w:tc>
        <w:tc>
          <w:tcPr>
            <w:tcW w:w="3677" w:type="pct"/>
            <w:tcBorders>
              <w:top w:val="single" w:sz="4" w:space="0" w:color="5F6369" w:themeColor="text2"/>
              <w:left w:val="nil"/>
              <w:bottom w:val="single" w:sz="4" w:space="0" w:color="5F6369" w:themeColor="text2"/>
              <w:right w:val="nil"/>
            </w:tcBorders>
          </w:tcPr>
          <w:p w14:paraId="351C0B0B" w14:textId="77777777" w:rsidR="002A7828" w:rsidRPr="002A5F65" w:rsidRDefault="002A7828">
            <w:pPr>
              <w:pStyle w:val="Table-Text"/>
            </w:pPr>
            <w:r w:rsidRPr="00D4309F">
              <w:rPr>
                <w:color w:val="211E1F"/>
              </w:rPr>
              <w:t>Poor</w:t>
            </w:r>
            <w:r w:rsidRPr="00D4309F">
              <w:rPr>
                <w:color w:val="211E1F"/>
                <w:spacing w:val="-5"/>
              </w:rPr>
              <w:t xml:space="preserve"> </w:t>
            </w:r>
            <w:r w:rsidRPr="00D4309F">
              <w:rPr>
                <w:color w:val="211E1F"/>
              </w:rPr>
              <w:t>performance</w:t>
            </w:r>
            <w:r w:rsidRPr="00D4309F">
              <w:rPr>
                <w:color w:val="211E1F"/>
                <w:spacing w:val="-2"/>
              </w:rPr>
              <w:t xml:space="preserve"> </w:t>
            </w:r>
            <w:r w:rsidRPr="00D4309F">
              <w:rPr>
                <w:color w:val="211E1F"/>
              </w:rPr>
              <w:t>or</w:t>
            </w:r>
            <w:r w:rsidRPr="00D4309F">
              <w:rPr>
                <w:color w:val="211E1F"/>
                <w:spacing w:val="-2"/>
              </w:rPr>
              <w:t xml:space="preserve"> </w:t>
            </w:r>
            <w:r w:rsidRPr="00D4309F">
              <w:rPr>
                <w:color w:val="211E1F"/>
              </w:rPr>
              <w:t>Major</w:t>
            </w:r>
            <w:r w:rsidRPr="00D4309F">
              <w:rPr>
                <w:color w:val="211E1F"/>
                <w:spacing w:val="-2"/>
              </w:rPr>
              <w:t xml:space="preserve"> impacts</w:t>
            </w:r>
          </w:p>
        </w:tc>
      </w:tr>
      <w:tr w:rsidR="002A7828" w14:paraId="5410E276" w14:textId="77777777">
        <w:tc>
          <w:tcPr>
            <w:tcW w:w="1323" w:type="pct"/>
            <w:tcBorders>
              <w:top w:val="single" w:sz="4" w:space="0" w:color="5F6369" w:themeColor="text2"/>
              <w:left w:val="nil"/>
              <w:bottom w:val="single" w:sz="4" w:space="0" w:color="5F6369" w:themeColor="text2"/>
              <w:right w:val="nil"/>
            </w:tcBorders>
          </w:tcPr>
          <w:p w14:paraId="2EB4545A" w14:textId="77777777" w:rsidR="002A7828" w:rsidRDefault="002A7828">
            <w:pPr>
              <w:pStyle w:val="Table-Text"/>
              <w:rPr>
                <w:lang w:val="en-GB"/>
              </w:rPr>
            </w:pPr>
            <w:r>
              <w:rPr>
                <w:lang w:val="en-GB"/>
              </w:rPr>
              <w:t>3</w:t>
            </w:r>
          </w:p>
        </w:tc>
        <w:tc>
          <w:tcPr>
            <w:tcW w:w="3677" w:type="pct"/>
            <w:tcBorders>
              <w:top w:val="single" w:sz="4" w:space="0" w:color="5F6369" w:themeColor="text2"/>
              <w:left w:val="nil"/>
              <w:bottom w:val="single" w:sz="4" w:space="0" w:color="5F6369" w:themeColor="text2"/>
              <w:right w:val="nil"/>
            </w:tcBorders>
          </w:tcPr>
          <w:p w14:paraId="5714CD32" w14:textId="77777777" w:rsidR="002A7828" w:rsidRDefault="002A7828">
            <w:pPr>
              <w:pStyle w:val="Table-Text"/>
              <w:rPr>
                <w:lang w:val="en-GB"/>
              </w:rPr>
            </w:pPr>
            <w:r w:rsidRPr="00D4309F">
              <w:rPr>
                <w:color w:val="211E1F"/>
              </w:rPr>
              <w:t>Average</w:t>
            </w:r>
            <w:r w:rsidRPr="00D4309F">
              <w:rPr>
                <w:color w:val="211E1F"/>
                <w:spacing w:val="-6"/>
              </w:rPr>
              <w:t xml:space="preserve"> </w:t>
            </w:r>
            <w:r w:rsidRPr="00D4309F">
              <w:rPr>
                <w:color w:val="211E1F"/>
              </w:rPr>
              <w:t>performance</w:t>
            </w:r>
            <w:r w:rsidRPr="00D4309F">
              <w:rPr>
                <w:color w:val="211E1F"/>
                <w:spacing w:val="-3"/>
              </w:rPr>
              <w:t xml:space="preserve"> </w:t>
            </w:r>
            <w:r w:rsidRPr="00D4309F">
              <w:rPr>
                <w:color w:val="211E1F"/>
              </w:rPr>
              <w:t>or</w:t>
            </w:r>
            <w:r w:rsidRPr="00D4309F">
              <w:rPr>
                <w:color w:val="211E1F"/>
                <w:spacing w:val="-4"/>
              </w:rPr>
              <w:t xml:space="preserve"> </w:t>
            </w:r>
            <w:r w:rsidRPr="00D4309F">
              <w:rPr>
                <w:color w:val="211E1F"/>
              </w:rPr>
              <w:t>Moderate</w:t>
            </w:r>
            <w:r w:rsidRPr="00D4309F">
              <w:rPr>
                <w:color w:val="211E1F"/>
                <w:spacing w:val="-3"/>
              </w:rPr>
              <w:t xml:space="preserve"> </w:t>
            </w:r>
            <w:r w:rsidRPr="00D4309F">
              <w:rPr>
                <w:color w:val="211E1F"/>
                <w:spacing w:val="-2"/>
              </w:rPr>
              <w:t>impacts</w:t>
            </w:r>
            <w:r w:rsidRPr="00D4309F">
              <w:rPr>
                <w:color w:val="211E1F"/>
              </w:rPr>
              <w:t xml:space="preserve"> Average</w:t>
            </w:r>
            <w:r w:rsidRPr="00D4309F">
              <w:rPr>
                <w:color w:val="211E1F"/>
                <w:spacing w:val="-6"/>
              </w:rPr>
              <w:t xml:space="preserve"> </w:t>
            </w:r>
            <w:r w:rsidRPr="00D4309F">
              <w:rPr>
                <w:color w:val="211E1F"/>
              </w:rPr>
              <w:t>performance</w:t>
            </w:r>
            <w:r w:rsidRPr="00D4309F">
              <w:rPr>
                <w:color w:val="211E1F"/>
                <w:spacing w:val="-3"/>
              </w:rPr>
              <w:t xml:space="preserve"> </w:t>
            </w:r>
            <w:r w:rsidRPr="00D4309F">
              <w:rPr>
                <w:color w:val="211E1F"/>
              </w:rPr>
              <w:t>or</w:t>
            </w:r>
            <w:r w:rsidRPr="00D4309F">
              <w:rPr>
                <w:color w:val="211E1F"/>
                <w:spacing w:val="-4"/>
              </w:rPr>
              <w:t xml:space="preserve"> </w:t>
            </w:r>
            <w:r w:rsidRPr="00D4309F">
              <w:rPr>
                <w:color w:val="211E1F"/>
              </w:rPr>
              <w:t>Moderate</w:t>
            </w:r>
            <w:r w:rsidRPr="00D4309F">
              <w:rPr>
                <w:color w:val="211E1F"/>
                <w:spacing w:val="-3"/>
              </w:rPr>
              <w:t xml:space="preserve"> </w:t>
            </w:r>
            <w:r w:rsidRPr="00D4309F">
              <w:rPr>
                <w:color w:val="211E1F"/>
                <w:spacing w:val="-2"/>
              </w:rPr>
              <w:t>impacts</w:t>
            </w:r>
          </w:p>
        </w:tc>
      </w:tr>
      <w:tr w:rsidR="002A7828" w14:paraId="6E1217DD" w14:textId="77777777">
        <w:tc>
          <w:tcPr>
            <w:tcW w:w="1323" w:type="pct"/>
            <w:tcBorders>
              <w:top w:val="single" w:sz="4" w:space="0" w:color="5F6369" w:themeColor="text2"/>
              <w:left w:val="nil"/>
              <w:bottom w:val="single" w:sz="4" w:space="0" w:color="5F6369" w:themeColor="text2"/>
              <w:right w:val="nil"/>
            </w:tcBorders>
          </w:tcPr>
          <w:p w14:paraId="26CCA6E7" w14:textId="77777777" w:rsidR="002A7828" w:rsidRDefault="002A7828">
            <w:pPr>
              <w:pStyle w:val="Table-Text"/>
              <w:rPr>
                <w:lang w:val="en-GB"/>
              </w:rPr>
            </w:pPr>
            <w:r>
              <w:rPr>
                <w:lang w:val="en-GB"/>
              </w:rPr>
              <w:t>4</w:t>
            </w:r>
          </w:p>
        </w:tc>
        <w:tc>
          <w:tcPr>
            <w:tcW w:w="3677" w:type="pct"/>
            <w:tcBorders>
              <w:top w:val="single" w:sz="4" w:space="0" w:color="5F6369" w:themeColor="text2"/>
              <w:left w:val="nil"/>
              <w:bottom w:val="single" w:sz="4" w:space="0" w:color="5F6369" w:themeColor="text2"/>
              <w:right w:val="nil"/>
            </w:tcBorders>
          </w:tcPr>
          <w:p w14:paraId="142BC430" w14:textId="77777777" w:rsidR="002A7828" w:rsidRDefault="002A7828">
            <w:pPr>
              <w:pStyle w:val="Table-Text"/>
              <w:rPr>
                <w:lang w:val="en-GB"/>
              </w:rPr>
            </w:pPr>
            <w:r w:rsidRPr="00D4309F">
              <w:rPr>
                <w:color w:val="211E1F"/>
              </w:rPr>
              <w:t>Good</w:t>
            </w:r>
            <w:r w:rsidRPr="00D4309F">
              <w:rPr>
                <w:color w:val="211E1F"/>
                <w:spacing w:val="-5"/>
              </w:rPr>
              <w:t xml:space="preserve"> </w:t>
            </w:r>
            <w:r w:rsidRPr="00D4309F">
              <w:rPr>
                <w:color w:val="211E1F"/>
              </w:rPr>
              <w:t>performance</w:t>
            </w:r>
            <w:r w:rsidRPr="00D4309F">
              <w:rPr>
                <w:color w:val="211E1F"/>
                <w:spacing w:val="-2"/>
              </w:rPr>
              <w:t xml:space="preserve"> </w:t>
            </w:r>
            <w:r w:rsidRPr="00D4309F">
              <w:rPr>
                <w:color w:val="211E1F"/>
              </w:rPr>
              <w:t>or</w:t>
            </w:r>
            <w:r w:rsidRPr="00D4309F">
              <w:rPr>
                <w:color w:val="211E1F"/>
                <w:spacing w:val="-2"/>
              </w:rPr>
              <w:t xml:space="preserve"> </w:t>
            </w:r>
            <w:r w:rsidRPr="00D4309F">
              <w:rPr>
                <w:color w:val="211E1F"/>
              </w:rPr>
              <w:t>Minor</w:t>
            </w:r>
            <w:r w:rsidRPr="00D4309F">
              <w:rPr>
                <w:color w:val="211E1F"/>
                <w:spacing w:val="-2"/>
              </w:rPr>
              <w:t xml:space="preserve"> impacts</w:t>
            </w:r>
          </w:p>
        </w:tc>
      </w:tr>
      <w:tr w:rsidR="002A7828" w14:paraId="72B02554" w14:textId="77777777">
        <w:tc>
          <w:tcPr>
            <w:tcW w:w="1323" w:type="pct"/>
            <w:tcBorders>
              <w:top w:val="single" w:sz="4" w:space="0" w:color="5F6369" w:themeColor="text2"/>
              <w:left w:val="nil"/>
              <w:bottom w:val="single" w:sz="18" w:space="0" w:color="5F6369" w:themeColor="text2"/>
              <w:right w:val="nil"/>
            </w:tcBorders>
          </w:tcPr>
          <w:p w14:paraId="472A5C7D" w14:textId="77777777" w:rsidR="002A7828" w:rsidRDefault="002A7828">
            <w:pPr>
              <w:pStyle w:val="Table-Text"/>
              <w:rPr>
                <w:lang w:val="en-GB"/>
              </w:rPr>
            </w:pPr>
            <w:r>
              <w:rPr>
                <w:lang w:val="en-GB"/>
              </w:rPr>
              <w:t>5</w:t>
            </w:r>
          </w:p>
        </w:tc>
        <w:tc>
          <w:tcPr>
            <w:tcW w:w="3677" w:type="pct"/>
            <w:tcBorders>
              <w:top w:val="single" w:sz="4" w:space="0" w:color="5F6369" w:themeColor="text2"/>
              <w:left w:val="nil"/>
              <w:bottom w:val="single" w:sz="18" w:space="0" w:color="5F6369" w:themeColor="text2"/>
              <w:right w:val="nil"/>
            </w:tcBorders>
          </w:tcPr>
          <w:p w14:paraId="3F2B1422" w14:textId="77777777" w:rsidR="002A7828" w:rsidRDefault="002A7828">
            <w:pPr>
              <w:pStyle w:val="Table-Text"/>
              <w:rPr>
                <w:lang w:val="en-GB"/>
              </w:rPr>
            </w:pPr>
            <w:r w:rsidRPr="00D4309F">
              <w:rPr>
                <w:color w:val="211E1F"/>
              </w:rPr>
              <w:t>Excellent</w:t>
            </w:r>
            <w:r w:rsidRPr="00D4309F">
              <w:rPr>
                <w:color w:val="211E1F"/>
                <w:spacing w:val="-6"/>
              </w:rPr>
              <w:t xml:space="preserve"> </w:t>
            </w:r>
            <w:r w:rsidRPr="00D4309F">
              <w:rPr>
                <w:color w:val="211E1F"/>
              </w:rPr>
              <w:t>performance</w:t>
            </w:r>
            <w:r w:rsidRPr="00D4309F">
              <w:rPr>
                <w:color w:val="211E1F"/>
                <w:spacing w:val="-4"/>
              </w:rPr>
              <w:t xml:space="preserve"> </w:t>
            </w:r>
            <w:r w:rsidRPr="00D4309F">
              <w:rPr>
                <w:color w:val="211E1F"/>
              </w:rPr>
              <w:t>or</w:t>
            </w:r>
            <w:r w:rsidRPr="00D4309F">
              <w:rPr>
                <w:color w:val="211E1F"/>
                <w:spacing w:val="-4"/>
              </w:rPr>
              <w:t xml:space="preserve"> </w:t>
            </w:r>
            <w:r w:rsidRPr="00D4309F">
              <w:rPr>
                <w:color w:val="211E1F"/>
              </w:rPr>
              <w:t>Insignificant</w:t>
            </w:r>
            <w:r w:rsidRPr="00D4309F">
              <w:rPr>
                <w:color w:val="211E1F"/>
                <w:spacing w:val="-4"/>
              </w:rPr>
              <w:t xml:space="preserve"> </w:t>
            </w:r>
            <w:r w:rsidRPr="00D4309F">
              <w:rPr>
                <w:color w:val="211E1F"/>
                <w:spacing w:val="-2"/>
              </w:rPr>
              <w:t>impacts</w:t>
            </w:r>
          </w:p>
        </w:tc>
      </w:tr>
    </w:tbl>
    <w:p w14:paraId="46F9387E" w14:textId="3CFB91CA" w:rsidR="00725977" w:rsidRPr="00D4309F" w:rsidRDefault="00725977" w:rsidP="00D4229D">
      <w:pPr>
        <w:pStyle w:val="BodyText"/>
      </w:pPr>
      <w:bookmarkStart w:id="462" w:name="_bookmark166"/>
      <w:bookmarkEnd w:id="462"/>
    </w:p>
    <w:p w14:paraId="61F90DD7" w14:textId="078848DC" w:rsidR="00725977" w:rsidRDefault="00D4229D" w:rsidP="007774EC">
      <w:pPr>
        <w:pStyle w:val="Table-Caption"/>
        <w:rPr>
          <w:color w:val="211E1F"/>
          <w:spacing w:val="-2"/>
        </w:rPr>
      </w:pPr>
      <w:bookmarkStart w:id="463" w:name="_Toc216699577"/>
      <w:r>
        <w:t xml:space="preserve">Table </w:t>
      </w:r>
      <w:r w:rsidR="00151534">
        <w:fldChar w:fldCharType="begin" w:fldLock="1"/>
      </w:r>
      <w:r w:rsidR="00151534">
        <w:instrText xml:space="preserve"> STYLEREF 1 \s </w:instrText>
      </w:r>
      <w:r w:rsidR="00151534">
        <w:fldChar w:fldCharType="separate"/>
      </w:r>
      <w:r w:rsidR="00151534">
        <w:rPr>
          <w:noProof/>
        </w:rPr>
        <w:t>15</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9</w:t>
      </w:r>
      <w:r w:rsidR="00151534">
        <w:fldChar w:fldCharType="end"/>
      </w:r>
      <w:r>
        <w:t>:</w:t>
      </w:r>
      <w:r>
        <w:tab/>
      </w:r>
      <w:r w:rsidRPr="00D4309F">
        <w:rPr>
          <w:color w:val="211E1F"/>
        </w:rPr>
        <w:t>Option</w:t>
      </w:r>
      <w:r w:rsidRPr="00D4309F">
        <w:rPr>
          <w:color w:val="211E1F"/>
          <w:spacing w:val="-1"/>
        </w:rPr>
        <w:t xml:space="preserve"> </w:t>
      </w:r>
      <w:r w:rsidRPr="00D4309F">
        <w:rPr>
          <w:color w:val="211E1F"/>
        </w:rPr>
        <w:t>3A</w:t>
      </w:r>
      <w:r w:rsidRPr="00D4309F">
        <w:rPr>
          <w:color w:val="211E1F"/>
          <w:spacing w:val="-1"/>
        </w:rPr>
        <w:t xml:space="preserve"> </w:t>
      </w:r>
      <w:r w:rsidRPr="00D4309F">
        <w:rPr>
          <w:color w:val="211E1F"/>
        </w:rPr>
        <w:t>MCA</w:t>
      </w:r>
      <w:r w:rsidRPr="00D4309F">
        <w:rPr>
          <w:color w:val="211E1F"/>
          <w:spacing w:val="-1"/>
        </w:rPr>
        <w:t xml:space="preserve"> </w:t>
      </w:r>
      <w:r w:rsidRPr="00D4309F">
        <w:rPr>
          <w:color w:val="211E1F"/>
          <w:spacing w:val="-2"/>
        </w:rPr>
        <w:t>scoring</w:t>
      </w:r>
      <w:bookmarkEnd w:id="463"/>
    </w:p>
    <w:tbl>
      <w:tblPr>
        <w:tblStyle w:val="Table1"/>
        <w:tblW w:w="5000" w:type="pct"/>
        <w:tblLook w:val="04A0" w:firstRow="1" w:lastRow="0" w:firstColumn="1" w:lastColumn="0" w:noHBand="0" w:noVBand="1"/>
      </w:tblPr>
      <w:tblGrid>
        <w:gridCol w:w="2920"/>
        <w:gridCol w:w="9988"/>
        <w:gridCol w:w="1664"/>
      </w:tblGrid>
      <w:tr w:rsidR="0019624B" w:rsidRPr="00D4309F" w14:paraId="2E10986F" w14:textId="77777777">
        <w:trPr>
          <w:cnfStyle w:val="100000000000" w:firstRow="1" w:lastRow="0" w:firstColumn="0" w:lastColumn="0" w:oddVBand="0" w:evenVBand="0" w:oddHBand="0" w:evenHBand="0" w:firstRowFirstColumn="0" w:firstRowLastColumn="0" w:lastRowFirstColumn="0" w:lastRowLastColumn="0"/>
          <w:trHeight w:val="286"/>
          <w:tblHeader/>
        </w:trPr>
        <w:tc>
          <w:tcPr>
            <w:tcW w:w="1002" w:type="pct"/>
          </w:tcPr>
          <w:p w14:paraId="2EDF9504" w14:textId="77777777" w:rsidR="0019624B" w:rsidRPr="00D4309F" w:rsidRDefault="0019624B">
            <w:pPr>
              <w:pStyle w:val="TableParagraph"/>
              <w:spacing w:before="40"/>
              <w:ind w:left="165"/>
              <w:rPr>
                <w:b/>
                <w:sz w:val="18"/>
              </w:rPr>
            </w:pPr>
            <w:r w:rsidRPr="00D4309F">
              <w:rPr>
                <w:b/>
                <w:color w:val="70004A"/>
                <w:sz w:val="18"/>
              </w:rPr>
              <w:t>MCA</w:t>
            </w:r>
            <w:r w:rsidRPr="00D4309F">
              <w:rPr>
                <w:b/>
                <w:color w:val="70004A"/>
                <w:spacing w:val="-3"/>
                <w:sz w:val="18"/>
              </w:rPr>
              <w:t xml:space="preserve"> </w:t>
            </w:r>
            <w:r w:rsidRPr="00D4309F">
              <w:rPr>
                <w:b/>
                <w:color w:val="70004A"/>
                <w:spacing w:val="-2"/>
                <w:sz w:val="18"/>
              </w:rPr>
              <w:t>Category</w:t>
            </w:r>
          </w:p>
        </w:tc>
        <w:tc>
          <w:tcPr>
            <w:tcW w:w="3427" w:type="pct"/>
          </w:tcPr>
          <w:p w14:paraId="52649484" w14:textId="77777777" w:rsidR="0019624B" w:rsidRPr="00D4309F" w:rsidRDefault="0019624B">
            <w:pPr>
              <w:pStyle w:val="TableParagraph"/>
              <w:spacing w:before="40"/>
              <w:ind w:left="165"/>
              <w:rPr>
                <w:b/>
                <w:sz w:val="18"/>
              </w:rPr>
            </w:pPr>
            <w:r w:rsidRPr="00D4309F">
              <w:rPr>
                <w:b/>
                <w:color w:val="70004A"/>
                <w:sz w:val="18"/>
              </w:rPr>
              <w:t>MCA</w:t>
            </w:r>
            <w:r w:rsidRPr="00D4309F">
              <w:rPr>
                <w:b/>
                <w:color w:val="70004A"/>
                <w:spacing w:val="-1"/>
                <w:sz w:val="18"/>
              </w:rPr>
              <w:t xml:space="preserve"> </w:t>
            </w:r>
            <w:r w:rsidRPr="00D4309F">
              <w:rPr>
                <w:b/>
                <w:color w:val="70004A"/>
                <w:spacing w:val="-2"/>
                <w:sz w:val="18"/>
              </w:rPr>
              <w:t>criteria</w:t>
            </w:r>
          </w:p>
        </w:tc>
        <w:tc>
          <w:tcPr>
            <w:tcW w:w="571" w:type="pct"/>
          </w:tcPr>
          <w:p w14:paraId="77A27287" w14:textId="77777777" w:rsidR="0019624B" w:rsidRPr="00D4309F" w:rsidRDefault="0019624B">
            <w:pPr>
              <w:pStyle w:val="TableParagraph"/>
              <w:spacing w:before="40"/>
              <w:ind w:left="485"/>
              <w:rPr>
                <w:b/>
                <w:sz w:val="18"/>
              </w:rPr>
            </w:pPr>
            <w:r w:rsidRPr="00D4309F">
              <w:rPr>
                <w:b/>
                <w:color w:val="70004A"/>
                <w:spacing w:val="-2"/>
                <w:sz w:val="18"/>
              </w:rPr>
              <w:t>Score</w:t>
            </w:r>
          </w:p>
        </w:tc>
      </w:tr>
      <w:tr w:rsidR="0019624B" w:rsidRPr="00D4309F" w14:paraId="3057B409" w14:textId="77777777">
        <w:trPr>
          <w:trHeight w:val="494"/>
        </w:trPr>
        <w:tc>
          <w:tcPr>
            <w:tcW w:w="1002" w:type="pct"/>
            <w:vMerge w:val="restart"/>
          </w:tcPr>
          <w:p w14:paraId="4DB4A9AC" w14:textId="77777777" w:rsidR="0019624B" w:rsidRPr="00D4309F" w:rsidRDefault="0019624B" w:rsidP="0019624B">
            <w:pPr>
              <w:pStyle w:val="TableParagraph"/>
              <w:spacing w:before="39"/>
              <w:ind w:left="165"/>
              <w:rPr>
                <w:b/>
                <w:sz w:val="18"/>
              </w:rPr>
            </w:pPr>
            <w:r w:rsidRPr="00D4309F">
              <w:rPr>
                <w:b/>
                <w:color w:val="211E1F"/>
                <w:sz w:val="18"/>
              </w:rPr>
              <w:t>Coastal</w:t>
            </w:r>
            <w:r w:rsidRPr="00D4309F">
              <w:rPr>
                <w:b/>
                <w:color w:val="211E1F"/>
                <w:spacing w:val="-4"/>
                <w:sz w:val="18"/>
              </w:rPr>
              <w:t xml:space="preserve"> </w:t>
            </w:r>
            <w:r w:rsidRPr="00D4309F">
              <w:rPr>
                <w:b/>
                <w:color w:val="211E1F"/>
                <w:spacing w:val="-2"/>
                <w:sz w:val="18"/>
              </w:rPr>
              <w:t>engineering</w:t>
            </w:r>
          </w:p>
        </w:tc>
        <w:tc>
          <w:tcPr>
            <w:tcW w:w="3427" w:type="pct"/>
          </w:tcPr>
          <w:p w14:paraId="26DE130A" w14:textId="77777777" w:rsidR="0019624B" w:rsidRPr="00D4309F" w:rsidRDefault="0019624B" w:rsidP="0019624B">
            <w:pPr>
              <w:pStyle w:val="TableParagraph"/>
              <w:spacing w:before="39"/>
              <w:ind w:left="166"/>
              <w:rPr>
                <w:sz w:val="18"/>
              </w:rPr>
            </w:pPr>
            <w:r w:rsidRPr="00D4309F">
              <w:rPr>
                <w:color w:val="211E1F"/>
                <w:sz w:val="18"/>
              </w:rPr>
              <w:t>Effectiveness:</w:t>
            </w:r>
            <w:r w:rsidRPr="00D4309F">
              <w:rPr>
                <w:color w:val="211E1F"/>
                <w:spacing w:val="-2"/>
                <w:sz w:val="18"/>
              </w:rPr>
              <w:t xml:space="preserve"> </w:t>
            </w:r>
            <w:r w:rsidRPr="00D4309F">
              <w:rPr>
                <w:color w:val="211E1F"/>
                <w:sz w:val="18"/>
              </w:rPr>
              <w:t>Likely</w:t>
            </w:r>
            <w:r w:rsidRPr="00D4309F">
              <w:rPr>
                <w:color w:val="211E1F"/>
                <w:spacing w:val="-1"/>
                <w:sz w:val="18"/>
              </w:rPr>
              <w:t xml:space="preserve"> </w:t>
            </w:r>
            <w:r w:rsidRPr="00D4309F">
              <w:rPr>
                <w:color w:val="211E1F"/>
                <w:sz w:val="18"/>
              </w:rPr>
              <w:t>ability</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shift</w:t>
            </w:r>
            <w:r w:rsidRPr="00D4309F">
              <w:rPr>
                <w:color w:val="211E1F"/>
                <w:spacing w:val="-2"/>
                <w:sz w:val="18"/>
              </w:rPr>
              <w:t xml:space="preserve"> </w:t>
            </w:r>
            <w:r w:rsidRPr="00D4309F">
              <w:rPr>
                <w:color w:val="211E1F"/>
                <w:sz w:val="18"/>
              </w:rPr>
              <w:t>enough</w:t>
            </w:r>
            <w:r w:rsidRPr="00D4309F">
              <w:rPr>
                <w:color w:val="211E1F"/>
                <w:spacing w:val="-3"/>
                <w:sz w:val="18"/>
              </w:rPr>
              <w:t xml:space="preserve"> </w:t>
            </w:r>
            <w:r w:rsidRPr="00D4309F">
              <w:rPr>
                <w:color w:val="211E1F"/>
                <w:sz w:val="18"/>
              </w:rPr>
              <w:t>sand</w:t>
            </w:r>
            <w:r w:rsidRPr="00D4309F">
              <w:rPr>
                <w:color w:val="211E1F"/>
                <w:spacing w:val="-3"/>
                <w:sz w:val="18"/>
              </w:rPr>
              <w:t xml:space="preserve"> </w:t>
            </w:r>
            <w:r w:rsidRPr="00D4309F">
              <w:rPr>
                <w:color w:val="211E1F"/>
                <w:sz w:val="18"/>
              </w:rPr>
              <w:t>past</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entrance</w:t>
            </w:r>
            <w:r w:rsidRPr="00D4309F">
              <w:rPr>
                <w:color w:val="211E1F"/>
                <w:spacing w:val="-3"/>
                <w:sz w:val="18"/>
              </w:rPr>
              <w:t xml:space="preserve"> </w:t>
            </w:r>
            <w:r w:rsidRPr="00D4309F">
              <w:rPr>
                <w:color w:val="211E1F"/>
                <w:sz w:val="18"/>
              </w:rPr>
              <w:t>(bypassing</w:t>
            </w:r>
            <w:r w:rsidRPr="00D4309F">
              <w:rPr>
                <w:color w:val="211E1F"/>
                <w:spacing w:val="-3"/>
                <w:sz w:val="18"/>
              </w:rPr>
              <w:t xml:space="preserve"> </w:t>
            </w:r>
            <w:r w:rsidRPr="00D4309F">
              <w:rPr>
                <w:color w:val="211E1F"/>
                <w:sz w:val="18"/>
              </w:rPr>
              <w:t>efficiency,</w:t>
            </w:r>
            <w:r w:rsidRPr="00D4309F">
              <w:rPr>
                <w:color w:val="211E1F"/>
                <w:spacing w:val="-2"/>
                <w:sz w:val="18"/>
              </w:rPr>
              <w:t xml:space="preserve"> </w:t>
            </w:r>
            <w:r w:rsidRPr="00D4309F">
              <w:rPr>
                <w:color w:val="211E1F"/>
                <w:sz w:val="18"/>
              </w:rPr>
              <w:t>trap</w:t>
            </w:r>
            <w:r w:rsidRPr="00D4309F">
              <w:rPr>
                <w:color w:val="211E1F"/>
                <w:spacing w:val="-3"/>
                <w:sz w:val="18"/>
              </w:rPr>
              <w:t xml:space="preserve"> </w:t>
            </w:r>
            <w:r w:rsidRPr="00D4309F">
              <w:rPr>
                <w:color w:val="211E1F"/>
                <w:sz w:val="18"/>
              </w:rPr>
              <w:t>capture</w:t>
            </w:r>
            <w:r w:rsidRPr="00D4309F">
              <w:rPr>
                <w:color w:val="211E1F"/>
                <w:spacing w:val="-3"/>
                <w:sz w:val="18"/>
              </w:rPr>
              <w:t xml:space="preserve"> </w:t>
            </w:r>
            <w:r w:rsidRPr="00D4309F">
              <w:rPr>
                <w:color w:val="211E1F"/>
                <w:sz w:val="18"/>
              </w:rPr>
              <w:t>rate,</w:t>
            </w:r>
            <w:r w:rsidRPr="00D4309F">
              <w:rPr>
                <w:color w:val="211E1F"/>
                <w:spacing w:val="-2"/>
                <w:sz w:val="18"/>
              </w:rPr>
              <w:t xml:space="preserve"> </w:t>
            </w:r>
            <w:r w:rsidRPr="00D4309F">
              <w:rPr>
                <w:color w:val="211E1F"/>
                <w:sz w:val="18"/>
              </w:rPr>
              <w:t>reduction</w:t>
            </w:r>
            <w:r w:rsidRPr="00D4309F">
              <w:rPr>
                <w:color w:val="211E1F"/>
                <w:spacing w:val="-3"/>
                <w:sz w:val="18"/>
              </w:rPr>
              <w:t xml:space="preserve"> </w:t>
            </w:r>
            <w:r w:rsidRPr="00D4309F">
              <w:rPr>
                <w:color w:val="211E1F"/>
                <w:sz w:val="18"/>
              </w:rPr>
              <w:t>in</w:t>
            </w:r>
            <w:r w:rsidRPr="00D4309F">
              <w:rPr>
                <w:color w:val="211E1F"/>
                <w:spacing w:val="-3"/>
                <w:sz w:val="18"/>
              </w:rPr>
              <w:t xml:space="preserve"> </w:t>
            </w:r>
            <w:r w:rsidRPr="00D4309F">
              <w:rPr>
                <w:color w:val="211E1F"/>
                <w:sz w:val="18"/>
              </w:rPr>
              <w:t>shoal frequency/magnitude, entrance depth reliability).</w:t>
            </w:r>
          </w:p>
        </w:tc>
        <w:tc>
          <w:tcPr>
            <w:tcW w:w="571" w:type="pct"/>
          </w:tcPr>
          <w:p w14:paraId="308D1B29" w14:textId="0D52DAE6" w:rsidR="0019624B" w:rsidRPr="00D4309F" w:rsidRDefault="0019624B" w:rsidP="0019624B">
            <w:pPr>
              <w:pStyle w:val="TableParagraph"/>
              <w:spacing w:before="39"/>
              <w:ind w:left="485"/>
              <w:rPr>
                <w:sz w:val="18"/>
              </w:rPr>
            </w:pPr>
            <w:r w:rsidRPr="00D4309F">
              <w:rPr>
                <w:color w:val="211E1F"/>
                <w:spacing w:val="-10"/>
                <w:sz w:val="18"/>
              </w:rPr>
              <w:t>5</w:t>
            </w:r>
          </w:p>
        </w:tc>
      </w:tr>
      <w:tr w:rsidR="0019624B" w:rsidRPr="00D4309F" w14:paraId="3FC9599E" w14:textId="77777777">
        <w:trPr>
          <w:trHeight w:val="286"/>
        </w:trPr>
        <w:tc>
          <w:tcPr>
            <w:tcW w:w="1002" w:type="pct"/>
            <w:vMerge/>
          </w:tcPr>
          <w:p w14:paraId="2FA28354" w14:textId="77777777" w:rsidR="0019624B" w:rsidRPr="00D4309F" w:rsidRDefault="0019624B" w:rsidP="0019624B">
            <w:pPr>
              <w:pStyle w:val="TableParagraph"/>
              <w:rPr>
                <w:rFonts w:ascii="Times New Roman"/>
                <w:sz w:val="18"/>
              </w:rPr>
            </w:pPr>
          </w:p>
        </w:tc>
        <w:tc>
          <w:tcPr>
            <w:tcW w:w="3427" w:type="pct"/>
          </w:tcPr>
          <w:p w14:paraId="089500FD" w14:textId="77777777" w:rsidR="0019624B" w:rsidRPr="00D4309F" w:rsidRDefault="0019624B" w:rsidP="0019624B">
            <w:pPr>
              <w:pStyle w:val="TableParagraph"/>
              <w:spacing w:before="39"/>
              <w:ind w:left="165"/>
              <w:rPr>
                <w:sz w:val="18"/>
              </w:rPr>
            </w:pPr>
            <w:r w:rsidRPr="00D4309F">
              <w:rPr>
                <w:color w:val="211E1F"/>
                <w:sz w:val="18"/>
              </w:rPr>
              <w:t>Impacts</w:t>
            </w:r>
            <w:r w:rsidRPr="00D4309F">
              <w:rPr>
                <w:color w:val="211E1F"/>
                <w:spacing w:val="-5"/>
                <w:sz w:val="18"/>
              </w:rPr>
              <w:t xml:space="preserve"> </w:t>
            </w:r>
            <w:r w:rsidRPr="00D4309F">
              <w:rPr>
                <w:color w:val="211E1F"/>
                <w:sz w:val="18"/>
              </w:rPr>
              <w:t>on</w:t>
            </w:r>
            <w:r w:rsidRPr="00D4309F">
              <w:rPr>
                <w:color w:val="211E1F"/>
                <w:spacing w:val="-2"/>
                <w:sz w:val="18"/>
              </w:rPr>
              <w:t xml:space="preserve"> </w:t>
            </w:r>
            <w:r w:rsidRPr="00D4309F">
              <w:rPr>
                <w:color w:val="211E1F"/>
                <w:sz w:val="18"/>
              </w:rPr>
              <w:t>coastal</w:t>
            </w:r>
            <w:r w:rsidRPr="00D4309F">
              <w:rPr>
                <w:color w:val="211E1F"/>
                <w:spacing w:val="-2"/>
                <w:sz w:val="18"/>
              </w:rPr>
              <w:t xml:space="preserve"> </w:t>
            </w:r>
            <w:r w:rsidRPr="00D4309F">
              <w:rPr>
                <w:color w:val="211E1F"/>
                <w:sz w:val="18"/>
              </w:rPr>
              <w:t>processes:</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level</w:t>
            </w:r>
            <w:r w:rsidRPr="00D4309F">
              <w:rPr>
                <w:color w:val="211E1F"/>
                <w:spacing w:val="-2"/>
                <w:sz w:val="18"/>
              </w:rPr>
              <w:t xml:space="preserve"> </w:t>
            </w:r>
            <w:r w:rsidRPr="00D4309F">
              <w:rPr>
                <w:color w:val="211E1F"/>
                <w:sz w:val="18"/>
              </w:rPr>
              <w:t>in</w:t>
            </w:r>
            <w:r w:rsidRPr="00D4309F">
              <w:rPr>
                <w:color w:val="211E1F"/>
                <w:spacing w:val="-3"/>
                <w:sz w:val="18"/>
              </w:rPr>
              <w:t xml:space="preserve"> </w:t>
            </w:r>
            <w:r w:rsidRPr="00D4309F">
              <w:rPr>
                <w:color w:val="211E1F"/>
                <w:sz w:val="18"/>
              </w:rPr>
              <w:t>which</w:t>
            </w:r>
            <w:r w:rsidRPr="00D4309F">
              <w:rPr>
                <w:color w:val="211E1F"/>
                <w:spacing w:val="-3"/>
                <w:sz w:val="18"/>
              </w:rPr>
              <w:t xml:space="preserve"> </w:t>
            </w:r>
            <w:r w:rsidRPr="00D4309F">
              <w:rPr>
                <w:color w:val="211E1F"/>
                <w:sz w:val="18"/>
              </w:rPr>
              <w:t>it</w:t>
            </w:r>
            <w:r w:rsidRPr="00D4309F">
              <w:rPr>
                <w:color w:val="211E1F"/>
                <w:spacing w:val="-2"/>
                <w:sz w:val="18"/>
              </w:rPr>
              <w:t xml:space="preserve"> </w:t>
            </w:r>
            <w:r w:rsidRPr="00D4309F">
              <w:rPr>
                <w:color w:val="211E1F"/>
                <w:sz w:val="18"/>
              </w:rPr>
              <w:t>changes</w:t>
            </w:r>
            <w:r w:rsidRPr="00D4309F">
              <w:rPr>
                <w:color w:val="211E1F"/>
                <w:spacing w:val="-1"/>
                <w:sz w:val="18"/>
              </w:rPr>
              <w:t xml:space="preserve"> </w:t>
            </w:r>
            <w:r w:rsidRPr="00D4309F">
              <w:rPr>
                <w:color w:val="211E1F"/>
                <w:sz w:val="18"/>
              </w:rPr>
              <w:t>or</w:t>
            </w:r>
            <w:r w:rsidRPr="00D4309F">
              <w:rPr>
                <w:color w:val="211E1F"/>
                <w:spacing w:val="-2"/>
                <w:sz w:val="18"/>
              </w:rPr>
              <w:t xml:space="preserve"> </w:t>
            </w:r>
            <w:r w:rsidRPr="00D4309F">
              <w:rPr>
                <w:color w:val="211E1F"/>
                <w:sz w:val="18"/>
              </w:rPr>
              <w:t>has</w:t>
            </w:r>
            <w:r w:rsidRPr="00D4309F">
              <w:rPr>
                <w:color w:val="211E1F"/>
                <w:spacing w:val="-3"/>
                <w:sz w:val="18"/>
              </w:rPr>
              <w:t xml:space="preserve"> </w:t>
            </w:r>
            <w:r w:rsidRPr="00D4309F">
              <w:rPr>
                <w:color w:val="211E1F"/>
                <w:sz w:val="18"/>
              </w:rPr>
              <w:t>negative</w:t>
            </w:r>
            <w:r w:rsidRPr="00D4309F">
              <w:rPr>
                <w:color w:val="211E1F"/>
                <w:spacing w:val="-2"/>
                <w:sz w:val="18"/>
              </w:rPr>
              <w:t xml:space="preserve"> </w:t>
            </w:r>
            <w:r w:rsidRPr="00D4309F">
              <w:rPr>
                <w:color w:val="211E1F"/>
                <w:sz w:val="18"/>
              </w:rPr>
              <w:t>impacts</w:t>
            </w:r>
            <w:r w:rsidRPr="00D4309F">
              <w:rPr>
                <w:color w:val="211E1F"/>
                <w:spacing w:val="-2"/>
                <w:sz w:val="18"/>
              </w:rPr>
              <w:t xml:space="preserve"> </w:t>
            </w:r>
            <w:r w:rsidRPr="00D4309F">
              <w:rPr>
                <w:color w:val="211E1F"/>
                <w:sz w:val="18"/>
              </w:rPr>
              <w:t>on</w:t>
            </w:r>
            <w:r w:rsidRPr="00D4309F">
              <w:rPr>
                <w:color w:val="211E1F"/>
                <w:spacing w:val="-3"/>
                <w:sz w:val="18"/>
              </w:rPr>
              <w:t xml:space="preserve"> </w:t>
            </w:r>
            <w:r w:rsidRPr="00D4309F">
              <w:rPr>
                <w:color w:val="211E1F"/>
                <w:sz w:val="18"/>
              </w:rPr>
              <w:t>existing</w:t>
            </w:r>
            <w:r w:rsidRPr="00D4309F">
              <w:rPr>
                <w:color w:val="211E1F"/>
                <w:spacing w:val="-3"/>
                <w:sz w:val="18"/>
              </w:rPr>
              <w:t xml:space="preserve"> </w:t>
            </w:r>
            <w:r w:rsidRPr="00D4309F">
              <w:rPr>
                <w:color w:val="211E1F"/>
                <w:sz w:val="18"/>
              </w:rPr>
              <w:t>coastal</w:t>
            </w:r>
            <w:r w:rsidRPr="00D4309F">
              <w:rPr>
                <w:color w:val="211E1F"/>
                <w:spacing w:val="-1"/>
                <w:sz w:val="18"/>
              </w:rPr>
              <w:t xml:space="preserve"> </w:t>
            </w:r>
            <w:r w:rsidRPr="00D4309F">
              <w:rPr>
                <w:color w:val="211E1F"/>
                <w:spacing w:val="-2"/>
                <w:sz w:val="18"/>
              </w:rPr>
              <w:t>processes</w:t>
            </w:r>
          </w:p>
        </w:tc>
        <w:tc>
          <w:tcPr>
            <w:tcW w:w="571" w:type="pct"/>
          </w:tcPr>
          <w:p w14:paraId="5753AAB9" w14:textId="439761CF" w:rsidR="0019624B" w:rsidRPr="00D4309F" w:rsidRDefault="0019624B" w:rsidP="0019624B">
            <w:pPr>
              <w:pStyle w:val="TableParagraph"/>
              <w:spacing w:before="39"/>
              <w:ind w:left="485"/>
              <w:rPr>
                <w:sz w:val="18"/>
              </w:rPr>
            </w:pPr>
            <w:r w:rsidRPr="00D4309F">
              <w:rPr>
                <w:color w:val="211E1F"/>
                <w:spacing w:val="-10"/>
                <w:sz w:val="18"/>
              </w:rPr>
              <w:t>4</w:t>
            </w:r>
          </w:p>
        </w:tc>
      </w:tr>
      <w:tr w:rsidR="0019624B" w:rsidRPr="00D4309F" w14:paraId="10BDE302" w14:textId="77777777">
        <w:trPr>
          <w:trHeight w:val="287"/>
        </w:trPr>
        <w:tc>
          <w:tcPr>
            <w:tcW w:w="1002" w:type="pct"/>
            <w:vMerge/>
          </w:tcPr>
          <w:p w14:paraId="2A7FD725" w14:textId="77777777" w:rsidR="0019624B" w:rsidRPr="00D4309F" w:rsidRDefault="0019624B" w:rsidP="0019624B">
            <w:pPr>
              <w:pStyle w:val="TableParagraph"/>
              <w:rPr>
                <w:rFonts w:ascii="Times New Roman"/>
                <w:sz w:val="18"/>
              </w:rPr>
            </w:pPr>
          </w:p>
        </w:tc>
        <w:tc>
          <w:tcPr>
            <w:tcW w:w="3427" w:type="pct"/>
          </w:tcPr>
          <w:p w14:paraId="056D6AA1" w14:textId="77777777" w:rsidR="0019624B" w:rsidRPr="00D4309F" w:rsidRDefault="0019624B" w:rsidP="0019624B">
            <w:pPr>
              <w:pStyle w:val="TableParagraph"/>
              <w:spacing w:before="41"/>
              <w:ind w:left="165"/>
              <w:rPr>
                <w:sz w:val="18"/>
              </w:rPr>
            </w:pPr>
            <w:r w:rsidRPr="00D4309F">
              <w:rPr>
                <w:color w:val="211E1F"/>
                <w:sz w:val="18"/>
              </w:rPr>
              <w:t>Design</w:t>
            </w:r>
            <w:r w:rsidRPr="00D4309F">
              <w:rPr>
                <w:color w:val="211E1F"/>
                <w:spacing w:val="-5"/>
                <w:sz w:val="18"/>
              </w:rPr>
              <w:t xml:space="preserve"> </w:t>
            </w:r>
            <w:r w:rsidRPr="00D4309F">
              <w:rPr>
                <w:color w:val="211E1F"/>
                <w:sz w:val="18"/>
              </w:rPr>
              <w:t>and</w:t>
            </w:r>
            <w:r w:rsidRPr="00D4309F">
              <w:rPr>
                <w:color w:val="211E1F"/>
                <w:spacing w:val="-3"/>
                <w:sz w:val="18"/>
              </w:rPr>
              <w:t xml:space="preserve"> </w:t>
            </w:r>
            <w:r w:rsidRPr="00D4309F">
              <w:rPr>
                <w:color w:val="211E1F"/>
                <w:sz w:val="18"/>
              </w:rPr>
              <w:t>approvals:</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far</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option</w:t>
            </w:r>
            <w:r w:rsidRPr="00D4309F">
              <w:rPr>
                <w:color w:val="211E1F"/>
                <w:spacing w:val="-1"/>
                <w:sz w:val="18"/>
              </w:rPr>
              <w:t xml:space="preserve"> </w:t>
            </w:r>
            <w:r w:rsidRPr="00D4309F">
              <w:rPr>
                <w:color w:val="211E1F"/>
                <w:sz w:val="18"/>
              </w:rPr>
              <w:t>progressed</w:t>
            </w:r>
            <w:r w:rsidRPr="00D4309F">
              <w:rPr>
                <w:color w:val="211E1F"/>
                <w:spacing w:val="-3"/>
                <w:sz w:val="18"/>
              </w:rPr>
              <w:t xml:space="preserve"> </w:t>
            </w:r>
            <w:r w:rsidRPr="00D4309F">
              <w:rPr>
                <w:color w:val="211E1F"/>
                <w:sz w:val="18"/>
              </w:rPr>
              <w:t>with</w:t>
            </w:r>
            <w:r w:rsidRPr="00D4309F">
              <w:rPr>
                <w:color w:val="211E1F"/>
                <w:spacing w:val="-3"/>
                <w:sz w:val="18"/>
              </w:rPr>
              <w:t xml:space="preserve"> </w:t>
            </w:r>
            <w:r w:rsidRPr="00D4309F">
              <w:rPr>
                <w:color w:val="211E1F"/>
                <w:sz w:val="18"/>
              </w:rPr>
              <w:t>design</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approvals</w:t>
            </w:r>
            <w:r w:rsidRPr="00D4309F">
              <w:rPr>
                <w:color w:val="211E1F"/>
                <w:spacing w:val="-2"/>
                <w:sz w:val="18"/>
              </w:rPr>
              <w:t xml:space="preserve"> </w:t>
            </w:r>
            <w:r w:rsidRPr="00D4309F">
              <w:rPr>
                <w:color w:val="211E1F"/>
                <w:sz w:val="18"/>
              </w:rPr>
              <w:t>and</w:t>
            </w:r>
            <w:r w:rsidRPr="00D4309F">
              <w:rPr>
                <w:color w:val="211E1F"/>
                <w:spacing w:val="-3"/>
                <w:sz w:val="18"/>
              </w:rPr>
              <w:t xml:space="preserve"> </w:t>
            </w:r>
            <w:r w:rsidRPr="00D4309F">
              <w:rPr>
                <w:color w:val="211E1F"/>
                <w:sz w:val="18"/>
              </w:rPr>
              <w:t>how</w:t>
            </w:r>
            <w:r w:rsidRPr="00D4309F">
              <w:rPr>
                <w:color w:val="211E1F"/>
                <w:spacing w:val="-2"/>
                <w:sz w:val="18"/>
              </w:rPr>
              <w:t xml:space="preserve"> </w:t>
            </w:r>
            <w:r w:rsidRPr="00D4309F">
              <w:rPr>
                <w:color w:val="211E1F"/>
                <w:sz w:val="18"/>
              </w:rPr>
              <w:t>much</w:t>
            </w:r>
            <w:r w:rsidRPr="00D4309F">
              <w:rPr>
                <w:color w:val="211E1F"/>
                <w:spacing w:val="-3"/>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2"/>
                <w:sz w:val="18"/>
              </w:rPr>
              <w:t xml:space="preserve"> required</w:t>
            </w:r>
          </w:p>
        </w:tc>
        <w:tc>
          <w:tcPr>
            <w:tcW w:w="571" w:type="pct"/>
          </w:tcPr>
          <w:p w14:paraId="51A06134" w14:textId="31C9CF36" w:rsidR="0019624B" w:rsidRPr="00D4309F" w:rsidRDefault="0019624B" w:rsidP="0019624B">
            <w:pPr>
              <w:pStyle w:val="TableParagraph"/>
              <w:spacing w:before="41"/>
              <w:ind w:left="484"/>
              <w:rPr>
                <w:sz w:val="18"/>
              </w:rPr>
            </w:pPr>
            <w:r w:rsidRPr="00D4309F">
              <w:rPr>
                <w:color w:val="211E1F"/>
                <w:spacing w:val="-10"/>
                <w:sz w:val="18"/>
              </w:rPr>
              <w:t>5</w:t>
            </w:r>
          </w:p>
        </w:tc>
      </w:tr>
      <w:tr w:rsidR="0019624B" w:rsidRPr="00D4309F" w14:paraId="3EBA22A4" w14:textId="77777777">
        <w:trPr>
          <w:trHeight w:val="286"/>
        </w:trPr>
        <w:tc>
          <w:tcPr>
            <w:tcW w:w="1002" w:type="pct"/>
            <w:vMerge/>
          </w:tcPr>
          <w:p w14:paraId="5FBA7268" w14:textId="77777777" w:rsidR="0019624B" w:rsidRPr="00D4309F" w:rsidRDefault="0019624B" w:rsidP="0019624B">
            <w:pPr>
              <w:pStyle w:val="TableParagraph"/>
              <w:rPr>
                <w:rFonts w:ascii="Times New Roman"/>
                <w:sz w:val="18"/>
              </w:rPr>
            </w:pPr>
          </w:p>
        </w:tc>
        <w:tc>
          <w:tcPr>
            <w:tcW w:w="3427" w:type="pct"/>
          </w:tcPr>
          <w:p w14:paraId="0EC3DFD8" w14:textId="77777777" w:rsidR="0019624B" w:rsidRPr="00D4309F" w:rsidRDefault="0019624B" w:rsidP="0019624B">
            <w:pPr>
              <w:pStyle w:val="TableParagraph"/>
              <w:spacing w:before="39"/>
              <w:ind w:left="165"/>
              <w:rPr>
                <w:sz w:val="18"/>
              </w:rPr>
            </w:pPr>
            <w:r w:rsidRPr="00D4309F">
              <w:rPr>
                <w:color w:val="211E1F"/>
                <w:sz w:val="18"/>
              </w:rPr>
              <w:t>Capital</w:t>
            </w:r>
            <w:r w:rsidRPr="00D4309F">
              <w:rPr>
                <w:color w:val="211E1F"/>
                <w:spacing w:val="-5"/>
                <w:sz w:val="18"/>
              </w:rPr>
              <w:t xml:space="preserve"> </w:t>
            </w:r>
            <w:r w:rsidRPr="00D4309F">
              <w:rPr>
                <w:color w:val="211E1F"/>
                <w:sz w:val="18"/>
              </w:rPr>
              <w:t>works:</w:t>
            </w:r>
            <w:r w:rsidRPr="00D4309F">
              <w:rPr>
                <w:color w:val="211E1F"/>
                <w:spacing w:val="-1"/>
                <w:sz w:val="18"/>
              </w:rPr>
              <w:t xml:space="preserve"> </w:t>
            </w:r>
            <w:r w:rsidRPr="00D4309F">
              <w:rPr>
                <w:color w:val="211E1F"/>
                <w:sz w:val="18"/>
              </w:rPr>
              <w:t>how</w:t>
            </w:r>
            <w:r w:rsidRPr="00D4309F">
              <w:rPr>
                <w:color w:val="211E1F"/>
                <w:spacing w:val="-2"/>
                <w:sz w:val="18"/>
              </w:rPr>
              <w:t xml:space="preserve"> </w:t>
            </w:r>
            <w:r w:rsidRPr="00D4309F">
              <w:rPr>
                <w:color w:val="211E1F"/>
                <w:sz w:val="18"/>
              </w:rPr>
              <w:t>significant</w:t>
            </w:r>
            <w:r w:rsidRPr="00D4309F">
              <w:rPr>
                <w:color w:val="211E1F"/>
                <w:spacing w:val="-1"/>
                <w:sz w:val="18"/>
              </w:rPr>
              <w:t xml:space="preserve"> </w:t>
            </w:r>
            <w:r w:rsidRPr="00D4309F">
              <w:rPr>
                <w:color w:val="211E1F"/>
                <w:sz w:val="18"/>
              </w:rPr>
              <w:t>the</w:t>
            </w:r>
            <w:r w:rsidRPr="00D4309F">
              <w:rPr>
                <w:color w:val="211E1F"/>
                <w:spacing w:val="-4"/>
                <w:sz w:val="18"/>
              </w:rPr>
              <w:t xml:space="preserve"> </w:t>
            </w:r>
            <w:r w:rsidRPr="00D4309F">
              <w:rPr>
                <w:color w:val="211E1F"/>
                <w:sz w:val="18"/>
              </w:rPr>
              <w:t>capital</w:t>
            </w:r>
            <w:r w:rsidRPr="00D4309F">
              <w:rPr>
                <w:color w:val="211E1F"/>
                <w:spacing w:val="-2"/>
                <w:sz w:val="18"/>
              </w:rPr>
              <w:t xml:space="preserve"> </w:t>
            </w:r>
            <w:r w:rsidRPr="00D4309F">
              <w:rPr>
                <w:color w:val="211E1F"/>
                <w:sz w:val="18"/>
              </w:rPr>
              <w:t>works</w:t>
            </w:r>
            <w:r w:rsidRPr="00D4309F">
              <w:rPr>
                <w:color w:val="211E1F"/>
                <w:spacing w:val="-2"/>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and</w:t>
            </w:r>
            <w:r w:rsidRPr="00D4309F">
              <w:rPr>
                <w:color w:val="211E1F"/>
                <w:spacing w:val="-4"/>
                <w:sz w:val="18"/>
              </w:rPr>
              <w:t xml:space="preserve"> </w:t>
            </w:r>
            <w:r w:rsidRPr="00D4309F">
              <w:rPr>
                <w:color w:val="211E1F"/>
                <w:sz w:val="18"/>
              </w:rPr>
              <w:t>their</w:t>
            </w:r>
            <w:r w:rsidRPr="00D4309F">
              <w:rPr>
                <w:color w:val="211E1F"/>
                <w:spacing w:val="-2"/>
                <w:sz w:val="18"/>
              </w:rPr>
              <w:t xml:space="preserve"> </w:t>
            </w:r>
            <w:r w:rsidRPr="00D4309F">
              <w:rPr>
                <w:color w:val="211E1F"/>
                <w:sz w:val="18"/>
              </w:rPr>
              <w:t>impacts</w:t>
            </w:r>
            <w:r w:rsidRPr="00D4309F">
              <w:rPr>
                <w:color w:val="211E1F"/>
                <w:spacing w:val="-2"/>
                <w:sz w:val="18"/>
              </w:rPr>
              <w:t xml:space="preserve"> </w:t>
            </w:r>
            <w:r w:rsidRPr="00D4309F">
              <w:rPr>
                <w:color w:val="211E1F"/>
                <w:sz w:val="18"/>
              </w:rPr>
              <w:t>during</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pacing w:val="-2"/>
                <w:sz w:val="18"/>
              </w:rPr>
              <w:t>process</w:t>
            </w:r>
          </w:p>
        </w:tc>
        <w:tc>
          <w:tcPr>
            <w:tcW w:w="571" w:type="pct"/>
          </w:tcPr>
          <w:p w14:paraId="0B6F0FB4" w14:textId="0FA1BDE6" w:rsidR="0019624B" w:rsidRPr="00D4309F" w:rsidRDefault="0019624B" w:rsidP="0019624B">
            <w:pPr>
              <w:pStyle w:val="TableParagraph"/>
              <w:spacing w:before="39"/>
              <w:ind w:left="484"/>
              <w:rPr>
                <w:sz w:val="18"/>
              </w:rPr>
            </w:pPr>
            <w:r w:rsidRPr="00D4309F">
              <w:rPr>
                <w:color w:val="211E1F"/>
                <w:spacing w:val="-10"/>
                <w:sz w:val="18"/>
              </w:rPr>
              <w:t>3</w:t>
            </w:r>
          </w:p>
        </w:tc>
      </w:tr>
      <w:tr w:rsidR="0019624B" w:rsidRPr="00D4309F" w14:paraId="6919C597" w14:textId="77777777">
        <w:trPr>
          <w:trHeight w:val="287"/>
        </w:trPr>
        <w:tc>
          <w:tcPr>
            <w:tcW w:w="1002" w:type="pct"/>
            <w:vMerge/>
          </w:tcPr>
          <w:p w14:paraId="05CFB48A" w14:textId="77777777" w:rsidR="0019624B" w:rsidRPr="00D4309F" w:rsidRDefault="0019624B" w:rsidP="0019624B">
            <w:pPr>
              <w:pStyle w:val="TableParagraph"/>
              <w:rPr>
                <w:rFonts w:ascii="Times New Roman"/>
                <w:sz w:val="18"/>
              </w:rPr>
            </w:pPr>
          </w:p>
        </w:tc>
        <w:tc>
          <w:tcPr>
            <w:tcW w:w="3427" w:type="pct"/>
          </w:tcPr>
          <w:p w14:paraId="0C4DC623" w14:textId="77777777" w:rsidR="0019624B" w:rsidRPr="00D4309F" w:rsidRDefault="0019624B" w:rsidP="0019624B">
            <w:pPr>
              <w:pStyle w:val="TableParagraph"/>
              <w:spacing w:before="41"/>
              <w:ind w:left="165"/>
              <w:rPr>
                <w:sz w:val="18"/>
              </w:rPr>
            </w:pPr>
            <w:r w:rsidRPr="00D4309F">
              <w:rPr>
                <w:color w:val="211E1F"/>
                <w:sz w:val="18"/>
              </w:rPr>
              <w:t>Operational</w:t>
            </w:r>
            <w:r w:rsidRPr="00D4309F">
              <w:rPr>
                <w:color w:val="211E1F"/>
                <w:spacing w:val="-5"/>
                <w:sz w:val="18"/>
              </w:rPr>
              <w:t xml:space="preserve"> </w:t>
            </w:r>
            <w:r w:rsidRPr="00D4309F">
              <w:rPr>
                <w:color w:val="211E1F"/>
                <w:sz w:val="18"/>
              </w:rPr>
              <w:t>works:</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significant</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operational</w:t>
            </w:r>
            <w:r w:rsidRPr="00D4309F">
              <w:rPr>
                <w:color w:val="211E1F"/>
                <w:spacing w:val="-2"/>
                <w:sz w:val="18"/>
              </w:rPr>
              <w:t xml:space="preserve"> </w:t>
            </w:r>
            <w:r w:rsidRPr="00D4309F">
              <w:rPr>
                <w:color w:val="211E1F"/>
                <w:sz w:val="18"/>
              </w:rPr>
              <w:t>works</w:t>
            </w:r>
            <w:r w:rsidRPr="00D4309F">
              <w:rPr>
                <w:color w:val="211E1F"/>
                <w:spacing w:val="-3"/>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their</w:t>
            </w:r>
            <w:r w:rsidRPr="00D4309F">
              <w:rPr>
                <w:color w:val="211E1F"/>
                <w:spacing w:val="-3"/>
                <w:sz w:val="18"/>
              </w:rPr>
              <w:t xml:space="preserve"> </w:t>
            </w:r>
            <w:r w:rsidRPr="00D4309F">
              <w:rPr>
                <w:color w:val="211E1F"/>
                <w:sz w:val="18"/>
              </w:rPr>
              <w:t>impacts</w:t>
            </w:r>
            <w:r w:rsidRPr="00D4309F">
              <w:rPr>
                <w:color w:val="211E1F"/>
                <w:spacing w:val="-2"/>
                <w:sz w:val="18"/>
              </w:rPr>
              <w:t xml:space="preserve"> </w:t>
            </w:r>
            <w:r w:rsidRPr="00D4309F">
              <w:rPr>
                <w:color w:val="211E1F"/>
                <w:sz w:val="18"/>
              </w:rPr>
              <w:t>during</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pacing w:val="-2"/>
                <w:sz w:val="18"/>
              </w:rPr>
              <w:t>process</w:t>
            </w:r>
          </w:p>
        </w:tc>
        <w:tc>
          <w:tcPr>
            <w:tcW w:w="571" w:type="pct"/>
          </w:tcPr>
          <w:p w14:paraId="1EB6E271" w14:textId="30B3BF11" w:rsidR="0019624B" w:rsidRPr="00D4309F" w:rsidRDefault="0019624B" w:rsidP="0019624B">
            <w:pPr>
              <w:pStyle w:val="TableParagraph"/>
              <w:spacing w:before="41"/>
              <w:ind w:left="485"/>
              <w:rPr>
                <w:sz w:val="18"/>
              </w:rPr>
            </w:pPr>
            <w:r w:rsidRPr="00D4309F">
              <w:rPr>
                <w:color w:val="211E1F"/>
                <w:spacing w:val="-10"/>
                <w:sz w:val="18"/>
              </w:rPr>
              <w:t>3</w:t>
            </w:r>
          </w:p>
        </w:tc>
      </w:tr>
      <w:tr w:rsidR="0019624B" w:rsidRPr="00D4309F" w14:paraId="6797558F" w14:textId="77777777">
        <w:trPr>
          <w:trHeight w:val="286"/>
        </w:trPr>
        <w:tc>
          <w:tcPr>
            <w:tcW w:w="1002" w:type="pct"/>
            <w:vMerge/>
          </w:tcPr>
          <w:p w14:paraId="1CBE2912" w14:textId="77777777" w:rsidR="0019624B" w:rsidRPr="00D4309F" w:rsidRDefault="0019624B" w:rsidP="0019624B">
            <w:pPr>
              <w:pStyle w:val="TableParagraph"/>
              <w:rPr>
                <w:rFonts w:ascii="Times New Roman"/>
                <w:sz w:val="18"/>
              </w:rPr>
            </w:pPr>
          </w:p>
        </w:tc>
        <w:tc>
          <w:tcPr>
            <w:tcW w:w="3427" w:type="pct"/>
          </w:tcPr>
          <w:p w14:paraId="463A4AA4" w14:textId="77777777" w:rsidR="0019624B" w:rsidRPr="00D4309F" w:rsidRDefault="0019624B" w:rsidP="0019624B">
            <w:pPr>
              <w:pStyle w:val="TableParagraph"/>
              <w:spacing w:before="39"/>
              <w:ind w:left="165"/>
              <w:rPr>
                <w:sz w:val="18"/>
              </w:rPr>
            </w:pPr>
            <w:r w:rsidRPr="00D4309F">
              <w:rPr>
                <w:color w:val="211E1F"/>
                <w:sz w:val="18"/>
              </w:rPr>
              <w:t>Future</w:t>
            </w:r>
            <w:r w:rsidRPr="00D4309F">
              <w:rPr>
                <w:color w:val="211E1F"/>
                <w:spacing w:val="-6"/>
                <w:sz w:val="18"/>
              </w:rPr>
              <w:t xml:space="preserve"> </w:t>
            </w:r>
            <w:r w:rsidRPr="00D4309F">
              <w:rPr>
                <w:color w:val="211E1F"/>
                <w:sz w:val="18"/>
              </w:rPr>
              <w:t>adaption:</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well</w:t>
            </w:r>
            <w:r w:rsidRPr="00D4309F">
              <w:rPr>
                <w:color w:val="211E1F"/>
                <w:spacing w:val="-2"/>
                <w:sz w:val="18"/>
              </w:rPr>
              <w:t xml:space="preserve"> </w:t>
            </w:r>
            <w:r w:rsidRPr="00D4309F">
              <w:rPr>
                <w:color w:val="211E1F"/>
                <w:sz w:val="18"/>
              </w:rPr>
              <w:t>the</w:t>
            </w:r>
            <w:r w:rsidRPr="00D4309F">
              <w:rPr>
                <w:color w:val="211E1F"/>
                <w:spacing w:val="-1"/>
                <w:sz w:val="18"/>
              </w:rPr>
              <w:t xml:space="preserve"> </w:t>
            </w:r>
            <w:r w:rsidRPr="00D4309F">
              <w:rPr>
                <w:color w:val="211E1F"/>
                <w:sz w:val="18"/>
              </w:rPr>
              <w:t>option</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adapted</w:t>
            </w:r>
            <w:r w:rsidRPr="00D4309F">
              <w:rPr>
                <w:color w:val="211E1F"/>
                <w:spacing w:val="-3"/>
                <w:sz w:val="18"/>
              </w:rPr>
              <w:t xml:space="preserve"> </w:t>
            </w:r>
            <w:r w:rsidRPr="00D4309F">
              <w:rPr>
                <w:color w:val="211E1F"/>
                <w:sz w:val="18"/>
              </w:rPr>
              <w:t>to</w:t>
            </w:r>
            <w:r w:rsidRPr="00D4309F">
              <w:rPr>
                <w:color w:val="211E1F"/>
                <w:spacing w:val="-3"/>
                <w:sz w:val="18"/>
              </w:rPr>
              <w:t xml:space="preserve"> </w:t>
            </w:r>
            <w:r w:rsidRPr="00D4309F">
              <w:rPr>
                <w:color w:val="211E1F"/>
                <w:sz w:val="18"/>
              </w:rPr>
              <w:t>future</w:t>
            </w:r>
            <w:r w:rsidRPr="00D4309F">
              <w:rPr>
                <w:color w:val="211E1F"/>
                <w:spacing w:val="-3"/>
                <w:sz w:val="18"/>
              </w:rPr>
              <w:t xml:space="preserve"> </w:t>
            </w:r>
            <w:r w:rsidRPr="00D4309F">
              <w:rPr>
                <w:color w:val="211E1F"/>
                <w:spacing w:val="-2"/>
                <w:sz w:val="18"/>
              </w:rPr>
              <w:t>conditions</w:t>
            </w:r>
          </w:p>
        </w:tc>
        <w:tc>
          <w:tcPr>
            <w:tcW w:w="571" w:type="pct"/>
          </w:tcPr>
          <w:p w14:paraId="454E4AC6" w14:textId="281630D9" w:rsidR="0019624B" w:rsidRPr="00D4309F" w:rsidRDefault="0019624B" w:rsidP="0019624B">
            <w:pPr>
              <w:pStyle w:val="TableParagraph"/>
              <w:spacing w:before="39"/>
              <w:ind w:left="485"/>
              <w:rPr>
                <w:sz w:val="18"/>
              </w:rPr>
            </w:pPr>
            <w:r w:rsidRPr="00D4309F">
              <w:rPr>
                <w:color w:val="211E1F"/>
                <w:spacing w:val="-10"/>
                <w:sz w:val="18"/>
              </w:rPr>
              <w:t>5</w:t>
            </w:r>
          </w:p>
        </w:tc>
      </w:tr>
      <w:tr w:rsidR="0019624B" w:rsidRPr="00D4309F" w14:paraId="2623DADE" w14:textId="77777777">
        <w:trPr>
          <w:trHeight w:val="287"/>
        </w:trPr>
        <w:tc>
          <w:tcPr>
            <w:tcW w:w="1002" w:type="pct"/>
            <w:vMerge/>
          </w:tcPr>
          <w:p w14:paraId="33BA41AA" w14:textId="77777777" w:rsidR="0019624B" w:rsidRPr="00D4309F" w:rsidRDefault="0019624B" w:rsidP="0019624B">
            <w:pPr>
              <w:pStyle w:val="TableParagraph"/>
              <w:rPr>
                <w:rFonts w:ascii="Times New Roman"/>
                <w:sz w:val="18"/>
              </w:rPr>
            </w:pPr>
          </w:p>
        </w:tc>
        <w:tc>
          <w:tcPr>
            <w:tcW w:w="3427" w:type="pct"/>
          </w:tcPr>
          <w:p w14:paraId="0B75F41F" w14:textId="77777777" w:rsidR="0019624B" w:rsidRPr="00D4309F" w:rsidRDefault="0019624B" w:rsidP="0019624B">
            <w:pPr>
              <w:pStyle w:val="TableParagraph"/>
              <w:rPr>
                <w:rFonts w:ascii="Times New Roman"/>
                <w:sz w:val="18"/>
              </w:rPr>
            </w:pPr>
          </w:p>
        </w:tc>
        <w:tc>
          <w:tcPr>
            <w:tcW w:w="571" w:type="pct"/>
          </w:tcPr>
          <w:p w14:paraId="4723092D" w14:textId="77777777" w:rsidR="0019624B" w:rsidRPr="00D4309F" w:rsidRDefault="0019624B" w:rsidP="0019624B">
            <w:pPr>
              <w:pStyle w:val="TableParagraph"/>
              <w:rPr>
                <w:rFonts w:ascii="Times New Roman"/>
                <w:sz w:val="18"/>
              </w:rPr>
            </w:pPr>
          </w:p>
        </w:tc>
      </w:tr>
      <w:tr w:rsidR="0019624B" w:rsidRPr="00D4309F" w14:paraId="22201E73" w14:textId="77777777">
        <w:trPr>
          <w:trHeight w:val="286"/>
        </w:trPr>
        <w:tc>
          <w:tcPr>
            <w:tcW w:w="1002" w:type="pct"/>
            <w:vMerge/>
          </w:tcPr>
          <w:p w14:paraId="4890301E" w14:textId="77777777" w:rsidR="0019624B" w:rsidRPr="00D4309F" w:rsidRDefault="0019624B" w:rsidP="0019624B">
            <w:pPr>
              <w:pStyle w:val="TableParagraph"/>
              <w:rPr>
                <w:rFonts w:ascii="Times New Roman"/>
                <w:sz w:val="18"/>
              </w:rPr>
            </w:pPr>
          </w:p>
        </w:tc>
        <w:tc>
          <w:tcPr>
            <w:tcW w:w="3427" w:type="pct"/>
          </w:tcPr>
          <w:p w14:paraId="5E92D4F3" w14:textId="77777777" w:rsidR="0019624B" w:rsidRPr="00D4309F" w:rsidRDefault="0019624B" w:rsidP="0019624B">
            <w:pPr>
              <w:pStyle w:val="TableParagraph"/>
              <w:spacing w:before="39"/>
              <w:ind w:left="165"/>
              <w:rPr>
                <w:b/>
                <w:sz w:val="18"/>
              </w:rPr>
            </w:pPr>
            <w:r w:rsidRPr="00D4309F">
              <w:rPr>
                <w:b/>
                <w:color w:val="211E1F"/>
                <w:sz w:val="18"/>
              </w:rPr>
              <w:t>Sub-</w:t>
            </w:r>
            <w:r w:rsidRPr="00D4309F">
              <w:rPr>
                <w:b/>
                <w:color w:val="211E1F"/>
                <w:spacing w:val="-2"/>
                <w:sz w:val="18"/>
              </w:rPr>
              <w:t>total</w:t>
            </w:r>
          </w:p>
        </w:tc>
        <w:tc>
          <w:tcPr>
            <w:tcW w:w="571" w:type="pct"/>
          </w:tcPr>
          <w:p w14:paraId="42005741" w14:textId="5CA8E53F" w:rsidR="0019624B" w:rsidRPr="00D4309F" w:rsidRDefault="0019624B" w:rsidP="0019624B">
            <w:pPr>
              <w:pStyle w:val="TableParagraph"/>
              <w:spacing w:before="39"/>
              <w:ind w:left="485"/>
              <w:rPr>
                <w:b/>
                <w:sz w:val="18"/>
              </w:rPr>
            </w:pPr>
            <w:r w:rsidRPr="00D4309F">
              <w:rPr>
                <w:b/>
                <w:color w:val="211E1F"/>
                <w:spacing w:val="-5"/>
                <w:sz w:val="18"/>
              </w:rPr>
              <w:t>25</w:t>
            </w:r>
          </w:p>
        </w:tc>
      </w:tr>
      <w:tr w:rsidR="0019624B" w:rsidRPr="00D4309F" w14:paraId="6FA98BE0" w14:textId="77777777">
        <w:trPr>
          <w:trHeight w:val="287"/>
        </w:trPr>
        <w:tc>
          <w:tcPr>
            <w:tcW w:w="1002" w:type="pct"/>
            <w:vMerge w:val="restart"/>
          </w:tcPr>
          <w:p w14:paraId="453CE058" w14:textId="77777777" w:rsidR="0019624B" w:rsidRPr="00D4309F" w:rsidRDefault="0019624B" w:rsidP="0019624B">
            <w:pPr>
              <w:pStyle w:val="TableParagraph"/>
              <w:spacing w:before="41"/>
              <w:ind w:left="165"/>
              <w:rPr>
                <w:b/>
                <w:sz w:val="18"/>
              </w:rPr>
            </w:pPr>
            <w:r w:rsidRPr="00D4309F">
              <w:rPr>
                <w:b/>
                <w:color w:val="211E1F"/>
                <w:spacing w:val="-2"/>
                <w:sz w:val="18"/>
              </w:rPr>
              <w:t>Safety</w:t>
            </w:r>
          </w:p>
        </w:tc>
        <w:tc>
          <w:tcPr>
            <w:tcW w:w="3427" w:type="pct"/>
          </w:tcPr>
          <w:p w14:paraId="4B775D25" w14:textId="77777777" w:rsidR="0019624B" w:rsidRPr="00D4309F" w:rsidRDefault="0019624B" w:rsidP="0019624B">
            <w:pPr>
              <w:pStyle w:val="TableParagraph"/>
              <w:spacing w:before="41"/>
              <w:ind w:left="166"/>
              <w:rPr>
                <w:sz w:val="18"/>
              </w:rPr>
            </w:pPr>
            <w:r w:rsidRPr="00D4309F">
              <w:rPr>
                <w:color w:val="211E1F"/>
                <w:sz w:val="18"/>
              </w:rPr>
              <w:t>Reliability</w:t>
            </w:r>
            <w:r w:rsidRPr="00D4309F">
              <w:rPr>
                <w:color w:val="211E1F"/>
                <w:spacing w:val="-5"/>
                <w:sz w:val="18"/>
              </w:rPr>
              <w:t xml:space="preserve"> </w:t>
            </w:r>
            <w:r w:rsidRPr="00D4309F">
              <w:rPr>
                <w:color w:val="211E1F"/>
                <w:sz w:val="18"/>
              </w:rPr>
              <w:t>of</w:t>
            </w:r>
            <w:r w:rsidRPr="00D4309F">
              <w:rPr>
                <w:color w:val="211E1F"/>
                <w:spacing w:val="-4"/>
                <w:sz w:val="18"/>
              </w:rPr>
              <w:t xml:space="preserve"> </w:t>
            </w:r>
            <w:r w:rsidRPr="00D4309F">
              <w:rPr>
                <w:color w:val="211E1F"/>
                <w:sz w:val="18"/>
              </w:rPr>
              <w:t>all-tide</w:t>
            </w:r>
            <w:r w:rsidRPr="00D4309F">
              <w:rPr>
                <w:color w:val="211E1F"/>
                <w:spacing w:val="-4"/>
                <w:sz w:val="18"/>
              </w:rPr>
              <w:t xml:space="preserve"> </w:t>
            </w:r>
            <w:r w:rsidRPr="00D4309F">
              <w:rPr>
                <w:color w:val="211E1F"/>
                <w:spacing w:val="-2"/>
                <w:sz w:val="18"/>
              </w:rPr>
              <w:t>access</w:t>
            </w:r>
          </w:p>
        </w:tc>
        <w:tc>
          <w:tcPr>
            <w:tcW w:w="571" w:type="pct"/>
          </w:tcPr>
          <w:p w14:paraId="3D3D31BA" w14:textId="123A2E96" w:rsidR="0019624B" w:rsidRPr="00D4309F" w:rsidRDefault="0019624B" w:rsidP="0019624B">
            <w:pPr>
              <w:pStyle w:val="TableParagraph"/>
              <w:spacing w:before="41"/>
              <w:ind w:left="485"/>
              <w:rPr>
                <w:sz w:val="18"/>
              </w:rPr>
            </w:pPr>
            <w:r w:rsidRPr="00D4309F">
              <w:rPr>
                <w:color w:val="211E1F"/>
                <w:spacing w:val="-10"/>
                <w:sz w:val="18"/>
              </w:rPr>
              <w:t>5</w:t>
            </w:r>
          </w:p>
        </w:tc>
      </w:tr>
      <w:tr w:rsidR="0019624B" w:rsidRPr="00D4309F" w14:paraId="2A931D66" w14:textId="77777777">
        <w:trPr>
          <w:trHeight w:val="286"/>
        </w:trPr>
        <w:tc>
          <w:tcPr>
            <w:tcW w:w="1002" w:type="pct"/>
            <w:vMerge/>
          </w:tcPr>
          <w:p w14:paraId="56681260" w14:textId="77777777" w:rsidR="0019624B" w:rsidRPr="00D4309F" w:rsidRDefault="0019624B" w:rsidP="0019624B">
            <w:pPr>
              <w:pStyle w:val="TableParagraph"/>
              <w:rPr>
                <w:rFonts w:ascii="Times New Roman"/>
                <w:sz w:val="18"/>
              </w:rPr>
            </w:pPr>
          </w:p>
        </w:tc>
        <w:tc>
          <w:tcPr>
            <w:tcW w:w="3427" w:type="pct"/>
          </w:tcPr>
          <w:p w14:paraId="7195CC68" w14:textId="77777777" w:rsidR="0019624B" w:rsidRPr="00D4309F" w:rsidRDefault="0019624B" w:rsidP="0019624B">
            <w:pPr>
              <w:pStyle w:val="TableParagraph"/>
              <w:spacing w:before="39"/>
              <w:ind w:left="165"/>
              <w:rPr>
                <w:sz w:val="18"/>
              </w:rPr>
            </w:pPr>
            <w:r w:rsidRPr="00D4309F">
              <w:rPr>
                <w:color w:val="211E1F"/>
                <w:sz w:val="18"/>
              </w:rPr>
              <w:t>Clarity</w:t>
            </w:r>
            <w:r w:rsidRPr="00D4309F">
              <w:rPr>
                <w:color w:val="211E1F"/>
                <w:spacing w:val="-3"/>
                <w:sz w:val="18"/>
              </w:rPr>
              <w:t xml:space="preserve"> </w:t>
            </w:r>
            <w:r w:rsidRPr="00D4309F">
              <w:rPr>
                <w:color w:val="211E1F"/>
                <w:sz w:val="18"/>
              </w:rPr>
              <w:t>of</w:t>
            </w:r>
            <w:r w:rsidRPr="00D4309F">
              <w:rPr>
                <w:color w:val="211E1F"/>
                <w:spacing w:val="-2"/>
                <w:sz w:val="18"/>
              </w:rPr>
              <w:t xml:space="preserve"> navigation</w:t>
            </w:r>
          </w:p>
        </w:tc>
        <w:tc>
          <w:tcPr>
            <w:tcW w:w="571" w:type="pct"/>
          </w:tcPr>
          <w:p w14:paraId="1ACFA253" w14:textId="43CA4418" w:rsidR="0019624B" w:rsidRPr="00D4309F" w:rsidRDefault="0019624B" w:rsidP="0019624B">
            <w:pPr>
              <w:pStyle w:val="TableParagraph"/>
              <w:spacing w:before="39"/>
              <w:ind w:left="485"/>
              <w:rPr>
                <w:sz w:val="18"/>
              </w:rPr>
            </w:pPr>
            <w:r w:rsidRPr="00D4309F">
              <w:rPr>
                <w:color w:val="211E1F"/>
                <w:spacing w:val="-10"/>
                <w:sz w:val="18"/>
              </w:rPr>
              <w:t>5</w:t>
            </w:r>
          </w:p>
        </w:tc>
      </w:tr>
      <w:tr w:rsidR="0019624B" w:rsidRPr="00D4309F" w14:paraId="1D65DA99" w14:textId="77777777">
        <w:trPr>
          <w:trHeight w:val="287"/>
        </w:trPr>
        <w:tc>
          <w:tcPr>
            <w:tcW w:w="1002" w:type="pct"/>
            <w:vMerge/>
          </w:tcPr>
          <w:p w14:paraId="68DBA453" w14:textId="77777777" w:rsidR="0019624B" w:rsidRPr="00D4309F" w:rsidRDefault="0019624B" w:rsidP="0019624B">
            <w:pPr>
              <w:pStyle w:val="TableParagraph"/>
              <w:rPr>
                <w:rFonts w:ascii="Times New Roman"/>
                <w:sz w:val="18"/>
              </w:rPr>
            </w:pPr>
          </w:p>
        </w:tc>
        <w:tc>
          <w:tcPr>
            <w:tcW w:w="3427" w:type="pct"/>
          </w:tcPr>
          <w:p w14:paraId="4D3BEEED" w14:textId="77777777" w:rsidR="0019624B" w:rsidRPr="00D4309F" w:rsidRDefault="0019624B" w:rsidP="0019624B">
            <w:pPr>
              <w:pStyle w:val="TableParagraph"/>
              <w:spacing w:before="41"/>
              <w:ind w:left="165"/>
              <w:rPr>
                <w:sz w:val="18"/>
              </w:rPr>
            </w:pPr>
            <w:r w:rsidRPr="00D4309F">
              <w:rPr>
                <w:color w:val="211E1F"/>
                <w:sz w:val="18"/>
              </w:rPr>
              <w:t>Mariner</w:t>
            </w:r>
            <w:r w:rsidRPr="00D4309F">
              <w:rPr>
                <w:color w:val="211E1F"/>
                <w:spacing w:val="-6"/>
                <w:sz w:val="18"/>
              </w:rPr>
              <w:t xml:space="preserve"> </w:t>
            </w:r>
            <w:r w:rsidRPr="00D4309F">
              <w:rPr>
                <w:color w:val="211E1F"/>
                <w:spacing w:val="-2"/>
                <w:sz w:val="18"/>
              </w:rPr>
              <w:t>safety</w:t>
            </w:r>
          </w:p>
        </w:tc>
        <w:tc>
          <w:tcPr>
            <w:tcW w:w="571" w:type="pct"/>
          </w:tcPr>
          <w:p w14:paraId="0F49CDB9" w14:textId="2D3E7446" w:rsidR="0019624B" w:rsidRPr="00D4309F" w:rsidRDefault="0019624B" w:rsidP="0019624B">
            <w:pPr>
              <w:pStyle w:val="TableParagraph"/>
              <w:spacing w:before="41"/>
              <w:ind w:left="485"/>
              <w:rPr>
                <w:sz w:val="18"/>
              </w:rPr>
            </w:pPr>
            <w:r w:rsidRPr="00D4309F">
              <w:rPr>
                <w:color w:val="211E1F"/>
                <w:spacing w:val="-10"/>
                <w:sz w:val="18"/>
              </w:rPr>
              <w:t>4</w:t>
            </w:r>
          </w:p>
        </w:tc>
      </w:tr>
      <w:tr w:rsidR="0019624B" w:rsidRPr="00D4309F" w14:paraId="4051B8F5" w14:textId="77777777">
        <w:trPr>
          <w:trHeight w:val="286"/>
        </w:trPr>
        <w:tc>
          <w:tcPr>
            <w:tcW w:w="1002" w:type="pct"/>
            <w:vMerge/>
          </w:tcPr>
          <w:p w14:paraId="677FCF62" w14:textId="77777777" w:rsidR="0019624B" w:rsidRPr="00D4309F" w:rsidRDefault="0019624B" w:rsidP="0019624B">
            <w:pPr>
              <w:pStyle w:val="TableParagraph"/>
              <w:rPr>
                <w:rFonts w:ascii="Times New Roman"/>
                <w:sz w:val="18"/>
              </w:rPr>
            </w:pPr>
          </w:p>
        </w:tc>
        <w:tc>
          <w:tcPr>
            <w:tcW w:w="3427" w:type="pct"/>
          </w:tcPr>
          <w:p w14:paraId="2D43DE76" w14:textId="77777777" w:rsidR="0019624B" w:rsidRPr="00D4309F" w:rsidRDefault="0019624B" w:rsidP="0019624B">
            <w:pPr>
              <w:pStyle w:val="TableParagraph"/>
              <w:spacing w:before="39"/>
              <w:ind w:left="165"/>
              <w:rPr>
                <w:color w:val="211E1F"/>
                <w:spacing w:val="-2"/>
                <w:sz w:val="18"/>
              </w:rPr>
            </w:pPr>
          </w:p>
        </w:tc>
        <w:tc>
          <w:tcPr>
            <w:tcW w:w="571" w:type="pct"/>
          </w:tcPr>
          <w:p w14:paraId="1FBA1203" w14:textId="77777777" w:rsidR="0019624B" w:rsidRPr="00D4309F" w:rsidRDefault="0019624B" w:rsidP="0019624B">
            <w:pPr>
              <w:pStyle w:val="TableParagraph"/>
              <w:spacing w:before="39"/>
              <w:ind w:left="484"/>
              <w:rPr>
                <w:color w:val="211E1F"/>
                <w:spacing w:val="-10"/>
                <w:sz w:val="18"/>
              </w:rPr>
            </w:pPr>
          </w:p>
        </w:tc>
      </w:tr>
      <w:tr w:rsidR="0019624B" w:rsidRPr="00D4309F" w14:paraId="5A0E0567" w14:textId="77777777">
        <w:trPr>
          <w:trHeight w:val="286"/>
        </w:trPr>
        <w:tc>
          <w:tcPr>
            <w:tcW w:w="1002" w:type="pct"/>
            <w:vMerge/>
          </w:tcPr>
          <w:p w14:paraId="1A316DDE" w14:textId="77777777" w:rsidR="0019624B" w:rsidRPr="00D4309F" w:rsidRDefault="0019624B" w:rsidP="0019624B">
            <w:pPr>
              <w:pStyle w:val="TableParagraph"/>
              <w:rPr>
                <w:rFonts w:ascii="Times New Roman"/>
                <w:sz w:val="18"/>
              </w:rPr>
            </w:pPr>
          </w:p>
        </w:tc>
        <w:tc>
          <w:tcPr>
            <w:tcW w:w="3427" w:type="pct"/>
          </w:tcPr>
          <w:p w14:paraId="75508F79" w14:textId="77777777" w:rsidR="0019624B" w:rsidRPr="00230A0A" w:rsidRDefault="0019624B" w:rsidP="0019624B">
            <w:pPr>
              <w:pStyle w:val="TableParagraph"/>
              <w:spacing w:before="39"/>
              <w:ind w:left="165"/>
              <w:rPr>
                <w:b/>
                <w:bCs/>
                <w:sz w:val="18"/>
              </w:rPr>
            </w:pPr>
            <w:r w:rsidRPr="00230A0A">
              <w:rPr>
                <w:b/>
                <w:bCs/>
                <w:color w:val="211E1F"/>
                <w:spacing w:val="-2"/>
                <w:sz w:val="18"/>
              </w:rPr>
              <w:t>Sub-total</w:t>
            </w:r>
          </w:p>
        </w:tc>
        <w:tc>
          <w:tcPr>
            <w:tcW w:w="571" w:type="pct"/>
          </w:tcPr>
          <w:p w14:paraId="2E9D0D25" w14:textId="16C71C23" w:rsidR="0019624B" w:rsidRPr="00230A0A" w:rsidRDefault="0019624B" w:rsidP="0019624B">
            <w:pPr>
              <w:pStyle w:val="TableParagraph"/>
              <w:spacing w:before="39"/>
              <w:ind w:left="484"/>
              <w:rPr>
                <w:b/>
                <w:bCs/>
                <w:sz w:val="18"/>
              </w:rPr>
            </w:pPr>
            <w:r w:rsidRPr="00D4309F">
              <w:rPr>
                <w:b/>
                <w:color w:val="211E1F"/>
                <w:spacing w:val="-5"/>
                <w:sz w:val="18"/>
              </w:rPr>
              <w:t>14</w:t>
            </w:r>
          </w:p>
        </w:tc>
      </w:tr>
      <w:tr w:rsidR="0019624B" w:rsidRPr="00D4309F" w14:paraId="6872B0F8" w14:textId="77777777">
        <w:trPr>
          <w:trHeight w:val="287"/>
        </w:trPr>
        <w:tc>
          <w:tcPr>
            <w:tcW w:w="1002" w:type="pct"/>
            <w:vMerge w:val="restart"/>
          </w:tcPr>
          <w:p w14:paraId="66F22CC3" w14:textId="77777777" w:rsidR="0019624B" w:rsidRPr="00D4309F" w:rsidRDefault="0019624B" w:rsidP="0019624B">
            <w:pPr>
              <w:pStyle w:val="TableParagraph"/>
              <w:spacing w:before="41"/>
              <w:ind w:left="165"/>
              <w:rPr>
                <w:b/>
                <w:sz w:val="18"/>
              </w:rPr>
            </w:pPr>
            <w:r w:rsidRPr="00D4309F">
              <w:rPr>
                <w:b/>
                <w:color w:val="211E1F"/>
                <w:sz w:val="18"/>
              </w:rPr>
              <w:t>Social</w:t>
            </w:r>
            <w:r w:rsidRPr="00D4309F">
              <w:rPr>
                <w:b/>
                <w:color w:val="211E1F"/>
                <w:spacing w:val="-2"/>
                <w:sz w:val="18"/>
              </w:rPr>
              <w:t xml:space="preserve"> </w:t>
            </w:r>
            <w:r w:rsidRPr="00D4309F">
              <w:rPr>
                <w:b/>
                <w:color w:val="211E1F"/>
                <w:sz w:val="18"/>
              </w:rPr>
              <w:t>and</w:t>
            </w:r>
            <w:r w:rsidRPr="00D4309F">
              <w:rPr>
                <w:b/>
                <w:color w:val="211E1F"/>
                <w:spacing w:val="-2"/>
                <w:sz w:val="18"/>
              </w:rPr>
              <w:t xml:space="preserve"> economic</w:t>
            </w:r>
          </w:p>
        </w:tc>
        <w:tc>
          <w:tcPr>
            <w:tcW w:w="3427" w:type="pct"/>
          </w:tcPr>
          <w:p w14:paraId="73AC27B4" w14:textId="77777777" w:rsidR="0019624B" w:rsidRPr="00D4309F" w:rsidRDefault="0019624B" w:rsidP="0019624B">
            <w:pPr>
              <w:pStyle w:val="TableParagraph"/>
              <w:spacing w:before="41"/>
              <w:ind w:left="166"/>
              <w:rPr>
                <w:sz w:val="18"/>
              </w:rPr>
            </w:pPr>
            <w:r w:rsidRPr="00D4309F">
              <w:rPr>
                <w:color w:val="211E1F"/>
                <w:sz w:val="18"/>
              </w:rPr>
              <w:t>Consistency</w:t>
            </w:r>
            <w:r w:rsidRPr="00D4309F">
              <w:rPr>
                <w:color w:val="211E1F"/>
                <w:spacing w:val="-5"/>
                <w:sz w:val="18"/>
              </w:rPr>
              <w:t xml:space="preserve"> </w:t>
            </w:r>
            <w:r w:rsidRPr="00D4309F">
              <w:rPr>
                <w:color w:val="211E1F"/>
                <w:sz w:val="18"/>
              </w:rPr>
              <w:t>with</w:t>
            </w:r>
            <w:r w:rsidRPr="00D4309F">
              <w:rPr>
                <w:color w:val="211E1F"/>
                <w:spacing w:val="-3"/>
                <w:sz w:val="18"/>
              </w:rPr>
              <w:t xml:space="preserve"> </w:t>
            </w:r>
            <w:r w:rsidRPr="00D4309F">
              <w:rPr>
                <w:color w:val="211E1F"/>
                <w:sz w:val="18"/>
              </w:rPr>
              <w:t>SRG</w:t>
            </w:r>
            <w:r w:rsidRPr="00D4309F">
              <w:rPr>
                <w:color w:val="211E1F"/>
                <w:spacing w:val="-3"/>
                <w:sz w:val="18"/>
              </w:rPr>
              <w:t xml:space="preserve"> </w:t>
            </w:r>
            <w:r w:rsidRPr="00D4309F">
              <w:rPr>
                <w:color w:val="211E1F"/>
                <w:sz w:val="18"/>
              </w:rPr>
              <w:t>preference</w:t>
            </w:r>
            <w:r w:rsidRPr="00D4309F">
              <w:rPr>
                <w:color w:val="211E1F"/>
                <w:spacing w:val="-3"/>
                <w:sz w:val="18"/>
              </w:rPr>
              <w:t xml:space="preserve"> </w:t>
            </w:r>
            <w:r w:rsidRPr="00D4309F">
              <w:rPr>
                <w:color w:val="211E1F"/>
                <w:sz w:val="18"/>
              </w:rPr>
              <w:t>for</w:t>
            </w:r>
            <w:r w:rsidRPr="00D4309F">
              <w:rPr>
                <w:color w:val="211E1F"/>
                <w:spacing w:val="-3"/>
                <w:sz w:val="18"/>
              </w:rPr>
              <w:t xml:space="preserve"> </w:t>
            </w:r>
            <w:r w:rsidRPr="00D4309F">
              <w:rPr>
                <w:color w:val="211E1F"/>
                <w:sz w:val="18"/>
              </w:rPr>
              <w:t>lower</w:t>
            </w:r>
            <w:r w:rsidRPr="00D4309F">
              <w:rPr>
                <w:color w:val="211E1F"/>
                <w:spacing w:val="-2"/>
                <w:sz w:val="18"/>
              </w:rPr>
              <w:t xml:space="preserve"> </w:t>
            </w:r>
            <w:r w:rsidRPr="00D4309F">
              <w:rPr>
                <w:color w:val="211E1F"/>
                <w:sz w:val="18"/>
              </w:rPr>
              <w:t>impact,</w:t>
            </w:r>
            <w:r w:rsidRPr="00D4309F">
              <w:rPr>
                <w:color w:val="211E1F"/>
                <w:spacing w:val="-3"/>
                <w:sz w:val="18"/>
              </w:rPr>
              <w:t xml:space="preserve"> </w:t>
            </w:r>
            <w:r w:rsidRPr="00D4309F">
              <w:rPr>
                <w:color w:val="211E1F"/>
                <w:sz w:val="18"/>
              </w:rPr>
              <w:t>“softer”</w:t>
            </w:r>
            <w:r w:rsidRPr="00D4309F">
              <w:rPr>
                <w:color w:val="211E1F"/>
                <w:spacing w:val="-3"/>
                <w:sz w:val="18"/>
              </w:rPr>
              <w:t xml:space="preserve"> </w:t>
            </w:r>
            <w:r w:rsidRPr="00D4309F">
              <w:rPr>
                <w:color w:val="211E1F"/>
                <w:sz w:val="18"/>
              </w:rPr>
              <w:t>measures</w:t>
            </w:r>
            <w:r w:rsidRPr="00D4309F">
              <w:rPr>
                <w:color w:val="211E1F"/>
                <w:spacing w:val="-2"/>
                <w:sz w:val="18"/>
              </w:rPr>
              <w:t xml:space="preserve"> </w:t>
            </w:r>
            <w:r w:rsidRPr="00D4309F">
              <w:rPr>
                <w:color w:val="211E1F"/>
                <w:sz w:val="18"/>
              </w:rPr>
              <w:t>where</w:t>
            </w:r>
            <w:r w:rsidRPr="00D4309F">
              <w:rPr>
                <w:color w:val="211E1F"/>
                <w:spacing w:val="-3"/>
                <w:sz w:val="18"/>
              </w:rPr>
              <w:t xml:space="preserve"> </w:t>
            </w:r>
            <w:r w:rsidRPr="00D4309F">
              <w:rPr>
                <w:color w:val="211E1F"/>
                <w:spacing w:val="-2"/>
                <w:sz w:val="18"/>
              </w:rPr>
              <w:t>practicable.</w:t>
            </w:r>
          </w:p>
        </w:tc>
        <w:tc>
          <w:tcPr>
            <w:tcW w:w="571" w:type="pct"/>
          </w:tcPr>
          <w:p w14:paraId="2E7C0FB0" w14:textId="6434E50D" w:rsidR="0019624B" w:rsidRPr="00D4309F" w:rsidRDefault="0019624B" w:rsidP="0019624B">
            <w:pPr>
              <w:pStyle w:val="TableParagraph"/>
              <w:spacing w:before="41"/>
              <w:ind w:left="485"/>
              <w:rPr>
                <w:sz w:val="18"/>
              </w:rPr>
            </w:pPr>
            <w:r w:rsidRPr="00D4309F">
              <w:rPr>
                <w:color w:val="211E1F"/>
                <w:spacing w:val="-10"/>
                <w:sz w:val="18"/>
              </w:rPr>
              <w:t>1</w:t>
            </w:r>
          </w:p>
        </w:tc>
      </w:tr>
      <w:tr w:rsidR="0019624B" w:rsidRPr="00D4309F" w14:paraId="21068AD4" w14:textId="77777777">
        <w:trPr>
          <w:trHeight w:val="286"/>
        </w:trPr>
        <w:tc>
          <w:tcPr>
            <w:tcW w:w="1002" w:type="pct"/>
            <w:vMerge/>
          </w:tcPr>
          <w:p w14:paraId="12FC18BA" w14:textId="77777777" w:rsidR="0019624B" w:rsidRPr="00D4309F" w:rsidRDefault="0019624B" w:rsidP="0019624B">
            <w:pPr>
              <w:pStyle w:val="TableParagraph"/>
              <w:rPr>
                <w:rFonts w:ascii="Times New Roman"/>
                <w:sz w:val="18"/>
              </w:rPr>
            </w:pPr>
          </w:p>
        </w:tc>
        <w:tc>
          <w:tcPr>
            <w:tcW w:w="3427" w:type="pct"/>
          </w:tcPr>
          <w:p w14:paraId="6C4D49FF" w14:textId="77777777" w:rsidR="0019624B" w:rsidRPr="00D4309F" w:rsidRDefault="0019624B" w:rsidP="0019624B">
            <w:pPr>
              <w:pStyle w:val="TableParagraph"/>
              <w:spacing w:before="39"/>
              <w:ind w:left="165"/>
              <w:rPr>
                <w:sz w:val="18"/>
              </w:rPr>
            </w:pPr>
            <w:r w:rsidRPr="00D4309F">
              <w:rPr>
                <w:color w:val="211E1F"/>
                <w:sz w:val="18"/>
              </w:rPr>
              <w:t>Traditional</w:t>
            </w:r>
            <w:r w:rsidRPr="00D4309F">
              <w:rPr>
                <w:color w:val="211E1F"/>
                <w:spacing w:val="-3"/>
                <w:sz w:val="18"/>
              </w:rPr>
              <w:t xml:space="preserve"> </w:t>
            </w:r>
            <w:r w:rsidRPr="00D4309F">
              <w:rPr>
                <w:color w:val="211E1F"/>
                <w:sz w:val="18"/>
              </w:rPr>
              <w:t>Owners</w:t>
            </w:r>
            <w:r w:rsidRPr="00D4309F">
              <w:rPr>
                <w:color w:val="211E1F"/>
                <w:spacing w:val="-3"/>
                <w:sz w:val="18"/>
              </w:rPr>
              <w:t xml:space="preserve"> </w:t>
            </w:r>
            <w:r w:rsidRPr="00D4309F">
              <w:rPr>
                <w:color w:val="211E1F"/>
                <w:sz w:val="18"/>
              </w:rPr>
              <w:t>do</w:t>
            </w:r>
            <w:r w:rsidRPr="00D4309F">
              <w:rPr>
                <w:color w:val="211E1F"/>
                <w:spacing w:val="-3"/>
                <w:sz w:val="18"/>
              </w:rPr>
              <w:t xml:space="preserve"> </w:t>
            </w:r>
            <w:r w:rsidRPr="00D4309F">
              <w:rPr>
                <w:color w:val="211E1F"/>
                <w:sz w:val="18"/>
              </w:rPr>
              <w:t>not</w:t>
            </w:r>
            <w:r w:rsidRPr="00D4309F">
              <w:rPr>
                <w:color w:val="211E1F"/>
                <w:spacing w:val="-3"/>
                <w:sz w:val="18"/>
              </w:rPr>
              <w:t xml:space="preserve"> </w:t>
            </w:r>
            <w:r w:rsidRPr="00D4309F">
              <w:rPr>
                <w:color w:val="211E1F"/>
                <w:sz w:val="18"/>
              </w:rPr>
              <w:t>experience</w:t>
            </w:r>
            <w:r w:rsidRPr="00D4309F">
              <w:rPr>
                <w:color w:val="211E1F"/>
                <w:spacing w:val="-3"/>
                <w:sz w:val="18"/>
              </w:rPr>
              <w:t xml:space="preserve"> </w:t>
            </w:r>
            <w:r w:rsidRPr="00D4309F">
              <w:rPr>
                <w:color w:val="211E1F"/>
                <w:sz w:val="18"/>
              </w:rPr>
              <w:t>disturbance</w:t>
            </w:r>
            <w:r w:rsidRPr="00D4309F">
              <w:rPr>
                <w:color w:val="211E1F"/>
                <w:spacing w:val="-3"/>
                <w:sz w:val="18"/>
              </w:rPr>
              <w:t xml:space="preserve"> </w:t>
            </w:r>
            <w:r w:rsidRPr="00D4309F">
              <w:rPr>
                <w:color w:val="211E1F"/>
                <w:sz w:val="18"/>
              </w:rPr>
              <w:t>to</w:t>
            </w:r>
            <w:r w:rsidRPr="00D4309F">
              <w:rPr>
                <w:color w:val="211E1F"/>
                <w:spacing w:val="-4"/>
                <w:sz w:val="18"/>
              </w:rPr>
              <w:t xml:space="preserve"> </w:t>
            </w:r>
            <w:r w:rsidRPr="00D4309F">
              <w:rPr>
                <w:color w:val="211E1F"/>
                <w:sz w:val="18"/>
              </w:rPr>
              <w:t>cultural</w:t>
            </w:r>
            <w:r w:rsidRPr="00D4309F">
              <w:rPr>
                <w:color w:val="211E1F"/>
                <w:spacing w:val="-2"/>
                <w:sz w:val="18"/>
              </w:rPr>
              <w:t xml:space="preserve"> values</w:t>
            </w:r>
          </w:p>
        </w:tc>
        <w:tc>
          <w:tcPr>
            <w:tcW w:w="571" w:type="pct"/>
          </w:tcPr>
          <w:p w14:paraId="6C1C9ED7" w14:textId="3BBE9CCE" w:rsidR="0019624B" w:rsidRPr="00D4309F" w:rsidRDefault="0019624B" w:rsidP="0019624B">
            <w:pPr>
              <w:pStyle w:val="TableParagraph"/>
              <w:spacing w:before="39"/>
              <w:ind w:left="485"/>
              <w:rPr>
                <w:sz w:val="18"/>
              </w:rPr>
            </w:pPr>
            <w:r w:rsidRPr="00D4309F">
              <w:rPr>
                <w:color w:val="211E1F"/>
                <w:spacing w:val="-10"/>
                <w:sz w:val="18"/>
              </w:rPr>
              <w:t>3</w:t>
            </w:r>
          </w:p>
        </w:tc>
      </w:tr>
      <w:tr w:rsidR="0019624B" w:rsidRPr="00D4309F" w14:paraId="61BEEA75" w14:textId="77777777">
        <w:trPr>
          <w:trHeight w:val="287"/>
        </w:trPr>
        <w:tc>
          <w:tcPr>
            <w:tcW w:w="1002" w:type="pct"/>
            <w:vMerge/>
          </w:tcPr>
          <w:p w14:paraId="1308B013" w14:textId="77777777" w:rsidR="0019624B" w:rsidRPr="00D4309F" w:rsidRDefault="0019624B" w:rsidP="0019624B">
            <w:pPr>
              <w:pStyle w:val="TableParagraph"/>
              <w:rPr>
                <w:rFonts w:ascii="Times New Roman"/>
                <w:sz w:val="18"/>
              </w:rPr>
            </w:pPr>
          </w:p>
        </w:tc>
        <w:tc>
          <w:tcPr>
            <w:tcW w:w="3427" w:type="pct"/>
          </w:tcPr>
          <w:p w14:paraId="4F578033" w14:textId="77777777" w:rsidR="0019624B" w:rsidRPr="00D4309F" w:rsidRDefault="0019624B" w:rsidP="0019624B">
            <w:pPr>
              <w:pStyle w:val="TableParagraph"/>
              <w:spacing w:before="41"/>
              <w:ind w:left="165"/>
              <w:rPr>
                <w:sz w:val="18"/>
              </w:rPr>
            </w:pPr>
            <w:r w:rsidRPr="00D4309F">
              <w:rPr>
                <w:color w:val="211E1F"/>
                <w:sz w:val="18"/>
              </w:rPr>
              <w:t>Visual</w:t>
            </w:r>
            <w:r w:rsidRPr="00D4309F">
              <w:rPr>
                <w:color w:val="211E1F"/>
                <w:spacing w:val="-5"/>
                <w:sz w:val="18"/>
              </w:rPr>
              <w:t xml:space="preserve"> </w:t>
            </w:r>
            <w:r w:rsidRPr="00D4309F">
              <w:rPr>
                <w:color w:val="211E1F"/>
                <w:spacing w:val="-2"/>
                <w:sz w:val="18"/>
              </w:rPr>
              <w:t>amenity</w:t>
            </w:r>
          </w:p>
        </w:tc>
        <w:tc>
          <w:tcPr>
            <w:tcW w:w="571" w:type="pct"/>
          </w:tcPr>
          <w:p w14:paraId="6ADE0050" w14:textId="7EF33E15" w:rsidR="0019624B" w:rsidRPr="00D4309F" w:rsidRDefault="0019624B" w:rsidP="0019624B">
            <w:pPr>
              <w:pStyle w:val="TableParagraph"/>
              <w:spacing w:before="41"/>
              <w:ind w:left="485"/>
              <w:rPr>
                <w:sz w:val="18"/>
              </w:rPr>
            </w:pPr>
            <w:r w:rsidRPr="00D4309F">
              <w:rPr>
                <w:color w:val="211E1F"/>
                <w:spacing w:val="-10"/>
                <w:sz w:val="18"/>
              </w:rPr>
              <w:t>2</w:t>
            </w:r>
          </w:p>
        </w:tc>
      </w:tr>
      <w:tr w:rsidR="0019624B" w:rsidRPr="00D4309F" w14:paraId="6FFA0556" w14:textId="77777777">
        <w:trPr>
          <w:trHeight w:val="286"/>
        </w:trPr>
        <w:tc>
          <w:tcPr>
            <w:tcW w:w="1002" w:type="pct"/>
            <w:vMerge/>
          </w:tcPr>
          <w:p w14:paraId="74356BD5" w14:textId="77777777" w:rsidR="0019624B" w:rsidRPr="00D4309F" w:rsidRDefault="0019624B" w:rsidP="0019624B">
            <w:pPr>
              <w:pStyle w:val="TableParagraph"/>
              <w:rPr>
                <w:rFonts w:ascii="Times New Roman"/>
                <w:sz w:val="18"/>
              </w:rPr>
            </w:pPr>
          </w:p>
        </w:tc>
        <w:tc>
          <w:tcPr>
            <w:tcW w:w="3427" w:type="pct"/>
          </w:tcPr>
          <w:p w14:paraId="4076C8B5" w14:textId="77777777" w:rsidR="0019624B" w:rsidRPr="00D4309F" w:rsidRDefault="0019624B" w:rsidP="0019624B">
            <w:pPr>
              <w:pStyle w:val="TableParagraph"/>
              <w:spacing w:before="39"/>
              <w:ind w:left="165"/>
              <w:rPr>
                <w:sz w:val="18"/>
              </w:rPr>
            </w:pPr>
            <w:r w:rsidRPr="00D4309F">
              <w:rPr>
                <w:color w:val="211E1F"/>
                <w:sz w:val="18"/>
              </w:rPr>
              <w:t>Community</w:t>
            </w:r>
            <w:r w:rsidRPr="00D4309F">
              <w:rPr>
                <w:color w:val="211E1F"/>
                <w:spacing w:val="-3"/>
                <w:sz w:val="18"/>
              </w:rPr>
              <w:t xml:space="preserve"> </w:t>
            </w:r>
            <w:r w:rsidRPr="00D4309F">
              <w:rPr>
                <w:color w:val="211E1F"/>
                <w:sz w:val="18"/>
              </w:rPr>
              <w:t>amenity</w:t>
            </w:r>
            <w:r w:rsidRPr="00D4309F">
              <w:rPr>
                <w:color w:val="211E1F"/>
                <w:spacing w:val="-2"/>
                <w:sz w:val="18"/>
              </w:rPr>
              <w:t xml:space="preserve"> </w:t>
            </w:r>
            <w:r w:rsidRPr="00D4309F">
              <w:rPr>
                <w:color w:val="211E1F"/>
                <w:sz w:val="18"/>
              </w:rPr>
              <w:t>(inc.</w:t>
            </w:r>
            <w:r w:rsidRPr="00D4309F">
              <w:rPr>
                <w:color w:val="211E1F"/>
                <w:spacing w:val="-2"/>
                <w:sz w:val="18"/>
              </w:rPr>
              <w:t xml:space="preserve"> </w:t>
            </w:r>
            <w:r w:rsidRPr="00D4309F">
              <w:rPr>
                <w:color w:val="211E1F"/>
                <w:sz w:val="18"/>
              </w:rPr>
              <w:t>noise</w:t>
            </w:r>
            <w:r w:rsidRPr="00D4309F">
              <w:rPr>
                <w:color w:val="211E1F"/>
                <w:spacing w:val="-3"/>
                <w:sz w:val="18"/>
              </w:rPr>
              <w:t xml:space="preserve"> </w:t>
            </w:r>
            <w:r w:rsidRPr="00D4309F">
              <w:rPr>
                <w:color w:val="211E1F"/>
                <w:sz w:val="18"/>
              </w:rPr>
              <w:t>from</w:t>
            </w:r>
            <w:r w:rsidRPr="00D4309F">
              <w:rPr>
                <w:color w:val="211E1F"/>
                <w:spacing w:val="-2"/>
                <w:sz w:val="18"/>
              </w:rPr>
              <w:t xml:space="preserve"> pumps)</w:t>
            </w:r>
          </w:p>
        </w:tc>
        <w:tc>
          <w:tcPr>
            <w:tcW w:w="571" w:type="pct"/>
          </w:tcPr>
          <w:p w14:paraId="27FEAB2F" w14:textId="5960DB17" w:rsidR="0019624B" w:rsidRPr="00D4309F" w:rsidRDefault="0019624B" w:rsidP="0019624B">
            <w:pPr>
              <w:pStyle w:val="TableParagraph"/>
              <w:spacing w:before="39"/>
              <w:ind w:left="484"/>
              <w:rPr>
                <w:sz w:val="18"/>
              </w:rPr>
            </w:pPr>
            <w:r w:rsidRPr="00D4309F">
              <w:rPr>
                <w:color w:val="211E1F"/>
                <w:spacing w:val="-10"/>
                <w:sz w:val="18"/>
              </w:rPr>
              <w:t>3</w:t>
            </w:r>
          </w:p>
        </w:tc>
      </w:tr>
      <w:tr w:rsidR="0019624B" w:rsidRPr="00D4309F" w14:paraId="717B0CA3" w14:textId="77777777">
        <w:trPr>
          <w:trHeight w:val="247"/>
        </w:trPr>
        <w:tc>
          <w:tcPr>
            <w:tcW w:w="1002" w:type="pct"/>
            <w:vMerge/>
          </w:tcPr>
          <w:p w14:paraId="65AB9738" w14:textId="77777777" w:rsidR="0019624B" w:rsidRPr="00D4309F" w:rsidRDefault="0019624B" w:rsidP="0019624B">
            <w:pPr>
              <w:pStyle w:val="TableParagraph"/>
              <w:rPr>
                <w:rFonts w:ascii="Times New Roman"/>
                <w:sz w:val="18"/>
              </w:rPr>
            </w:pPr>
          </w:p>
        </w:tc>
        <w:tc>
          <w:tcPr>
            <w:tcW w:w="3427" w:type="pct"/>
          </w:tcPr>
          <w:p w14:paraId="02D53D9A" w14:textId="77777777" w:rsidR="0019624B" w:rsidRPr="00D4309F" w:rsidRDefault="0019624B" w:rsidP="0019624B">
            <w:pPr>
              <w:pStyle w:val="TableParagraph"/>
              <w:spacing w:before="41" w:line="187" w:lineRule="exact"/>
              <w:ind w:left="165"/>
              <w:rPr>
                <w:sz w:val="18"/>
              </w:rPr>
            </w:pPr>
            <w:r w:rsidRPr="00D4309F">
              <w:rPr>
                <w:color w:val="211E1F"/>
                <w:sz w:val="18"/>
              </w:rPr>
              <w:t>Beach</w:t>
            </w:r>
            <w:r w:rsidRPr="00D4309F">
              <w:rPr>
                <w:color w:val="211E1F"/>
                <w:spacing w:val="-5"/>
                <w:sz w:val="18"/>
              </w:rPr>
              <w:t xml:space="preserve"> </w:t>
            </w:r>
            <w:r w:rsidRPr="00D4309F">
              <w:rPr>
                <w:color w:val="211E1F"/>
                <w:sz w:val="18"/>
              </w:rPr>
              <w:t>users</w:t>
            </w:r>
            <w:r w:rsidRPr="00D4309F">
              <w:rPr>
                <w:color w:val="211E1F"/>
                <w:spacing w:val="-2"/>
                <w:sz w:val="18"/>
              </w:rPr>
              <w:t xml:space="preserve"> experience</w:t>
            </w:r>
          </w:p>
        </w:tc>
        <w:tc>
          <w:tcPr>
            <w:tcW w:w="571" w:type="pct"/>
          </w:tcPr>
          <w:p w14:paraId="49A8F2E5" w14:textId="70CBEA45" w:rsidR="0019624B" w:rsidRPr="00D4309F" w:rsidRDefault="0019624B" w:rsidP="0019624B">
            <w:pPr>
              <w:pStyle w:val="TableParagraph"/>
              <w:spacing w:before="41" w:line="187" w:lineRule="exact"/>
              <w:ind w:left="485"/>
              <w:rPr>
                <w:sz w:val="18"/>
              </w:rPr>
            </w:pPr>
            <w:r w:rsidRPr="00D4309F">
              <w:rPr>
                <w:color w:val="211E1F"/>
                <w:spacing w:val="-10"/>
                <w:sz w:val="18"/>
              </w:rPr>
              <w:t>3</w:t>
            </w:r>
          </w:p>
        </w:tc>
      </w:tr>
      <w:tr w:rsidR="0019624B" w:rsidRPr="00D4309F" w14:paraId="2CB3110B" w14:textId="77777777">
        <w:trPr>
          <w:trHeight w:val="247"/>
        </w:trPr>
        <w:tc>
          <w:tcPr>
            <w:tcW w:w="1002" w:type="pct"/>
            <w:vMerge/>
          </w:tcPr>
          <w:p w14:paraId="18A0CB11" w14:textId="77777777" w:rsidR="0019624B" w:rsidRPr="00D4309F" w:rsidRDefault="0019624B" w:rsidP="0019624B">
            <w:pPr>
              <w:pStyle w:val="TableParagraph"/>
              <w:rPr>
                <w:rFonts w:ascii="Times New Roman"/>
                <w:sz w:val="18"/>
              </w:rPr>
            </w:pPr>
          </w:p>
        </w:tc>
        <w:tc>
          <w:tcPr>
            <w:tcW w:w="3427" w:type="pct"/>
          </w:tcPr>
          <w:p w14:paraId="6B9B1CC5"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Safe</w:t>
            </w:r>
            <w:r w:rsidRPr="00D4309F">
              <w:rPr>
                <w:color w:val="211E1F"/>
                <w:spacing w:val="-4"/>
                <w:sz w:val="18"/>
              </w:rPr>
              <w:t xml:space="preserve"> </w:t>
            </w:r>
            <w:r w:rsidRPr="00D4309F">
              <w:rPr>
                <w:color w:val="211E1F"/>
                <w:sz w:val="18"/>
              </w:rPr>
              <w:t>access</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business</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recreational</w:t>
            </w:r>
            <w:r w:rsidRPr="00D4309F">
              <w:rPr>
                <w:color w:val="211E1F"/>
                <w:spacing w:val="-2"/>
                <w:sz w:val="18"/>
              </w:rPr>
              <w:t xml:space="preserve"> </w:t>
            </w:r>
            <w:r w:rsidRPr="00D4309F">
              <w:rPr>
                <w:color w:val="211E1F"/>
                <w:spacing w:val="-4"/>
                <w:sz w:val="18"/>
              </w:rPr>
              <w:t>users</w:t>
            </w:r>
          </w:p>
        </w:tc>
        <w:tc>
          <w:tcPr>
            <w:tcW w:w="571" w:type="pct"/>
          </w:tcPr>
          <w:p w14:paraId="38ABAA5A" w14:textId="1AD443C4" w:rsidR="0019624B" w:rsidRPr="00D4309F" w:rsidRDefault="0019624B" w:rsidP="0019624B">
            <w:pPr>
              <w:pStyle w:val="TableParagraph"/>
              <w:spacing w:before="41" w:line="187" w:lineRule="exact"/>
              <w:ind w:left="485"/>
              <w:rPr>
                <w:color w:val="211E1F"/>
                <w:spacing w:val="-10"/>
                <w:sz w:val="18"/>
              </w:rPr>
            </w:pPr>
            <w:r w:rsidRPr="00D4309F">
              <w:rPr>
                <w:color w:val="211E1F"/>
                <w:spacing w:val="-10"/>
                <w:sz w:val="18"/>
              </w:rPr>
              <w:t>4</w:t>
            </w:r>
          </w:p>
        </w:tc>
      </w:tr>
      <w:tr w:rsidR="0019624B" w:rsidRPr="00D4309F" w14:paraId="44393484" w14:textId="77777777">
        <w:trPr>
          <w:trHeight w:val="247"/>
        </w:trPr>
        <w:tc>
          <w:tcPr>
            <w:tcW w:w="1002" w:type="pct"/>
            <w:vMerge/>
          </w:tcPr>
          <w:p w14:paraId="6CA19E5F" w14:textId="77777777" w:rsidR="0019624B" w:rsidRPr="00D4309F" w:rsidRDefault="0019624B" w:rsidP="0019624B">
            <w:pPr>
              <w:pStyle w:val="TableParagraph"/>
              <w:rPr>
                <w:rFonts w:ascii="Times New Roman"/>
                <w:sz w:val="18"/>
              </w:rPr>
            </w:pPr>
          </w:p>
        </w:tc>
        <w:tc>
          <w:tcPr>
            <w:tcW w:w="3427" w:type="pct"/>
          </w:tcPr>
          <w:p w14:paraId="0F459861"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Reliable</w:t>
            </w:r>
            <w:r w:rsidRPr="00D4309F">
              <w:rPr>
                <w:color w:val="211E1F"/>
                <w:spacing w:val="-4"/>
                <w:sz w:val="18"/>
              </w:rPr>
              <w:t xml:space="preserve"> </w:t>
            </w:r>
            <w:r w:rsidRPr="00D4309F">
              <w:rPr>
                <w:color w:val="211E1F"/>
                <w:sz w:val="18"/>
              </w:rPr>
              <w:t>access</w:t>
            </w:r>
            <w:r w:rsidRPr="00D4309F">
              <w:rPr>
                <w:color w:val="211E1F"/>
                <w:spacing w:val="-3"/>
                <w:sz w:val="18"/>
              </w:rPr>
              <w:t xml:space="preserve"> </w:t>
            </w:r>
            <w:r w:rsidRPr="00D4309F">
              <w:rPr>
                <w:color w:val="211E1F"/>
                <w:sz w:val="18"/>
              </w:rPr>
              <w:t>for</w:t>
            </w:r>
            <w:r w:rsidRPr="00D4309F">
              <w:rPr>
                <w:color w:val="211E1F"/>
                <w:spacing w:val="-3"/>
                <w:sz w:val="18"/>
              </w:rPr>
              <w:t xml:space="preserve"> </w:t>
            </w:r>
            <w:r w:rsidRPr="00D4309F">
              <w:rPr>
                <w:color w:val="211E1F"/>
                <w:sz w:val="18"/>
              </w:rPr>
              <w:t>business</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recreational</w:t>
            </w:r>
            <w:r w:rsidRPr="00D4309F">
              <w:rPr>
                <w:color w:val="211E1F"/>
                <w:spacing w:val="-3"/>
                <w:sz w:val="18"/>
              </w:rPr>
              <w:t xml:space="preserve"> </w:t>
            </w:r>
            <w:r w:rsidRPr="00D4309F">
              <w:rPr>
                <w:color w:val="211E1F"/>
                <w:spacing w:val="-4"/>
                <w:sz w:val="18"/>
              </w:rPr>
              <w:t>users</w:t>
            </w:r>
          </w:p>
        </w:tc>
        <w:tc>
          <w:tcPr>
            <w:tcW w:w="571" w:type="pct"/>
          </w:tcPr>
          <w:p w14:paraId="7BF36A12" w14:textId="3D27E5CA" w:rsidR="0019624B" w:rsidRPr="00D4309F" w:rsidRDefault="0019624B" w:rsidP="0019624B">
            <w:pPr>
              <w:pStyle w:val="TableParagraph"/>
              <w:spacing w:before="41" w:line="187" w:lineRule="exact"/>
              <w:ind w:left="485"/>
              <w:rPr>
                <w:color w:val="211E1F"/>
                <w:spacing w:val="-10"/>
                <w:sz w:val="18"/>
              </w:rPr>
            </w:pPr>
            <w:r w:rsidRPr="00D4309F">
              <w:rPr>
                <w:color w:val="211E1F"/>
                <w:spacing w:val="-10"/>
                <w:sz w:val="18"/>
              </w:rPr>
              <w:t>5</w:t>
            </w:r>
          </w:p>
        </w:tc>
      </w:tr>
      <w:tr w:rsidR="0019624B" w:rsidRPr="00D4309F" w14:paraId="0A1E49B6" w14:textId="77777777">
        <w:trPr>
          <w:trHeight w:val="247"/>
        </w:trPr>
        <w:tc>
          <w:tcPr>
            <w:tcW w:w="1002" w:type="pct"/>
            <w:vMerge/>
          </w:tcPr>
          <w:p w14:paraId="61A08F15" w14:textId="77777777" w:rsidR="0019624B" w:rsidRPr="00D4309F" w:rsidRDefault="0019624B" w:rsidP="0019624B">
            <w:pPr>
              <w:pStyle w:val="TableParagraph"/>
              <w:rPr>
                <w:rFonts w:ascii="Times New Roman"/>
                <w:sz w:val="18"/>
              </w:rPr>
            </w:pPr>
          </w:p>
        </w:tc>
        <w:tc>
          <w:tcPr>
            <w:tcW w:w="3427" w:type="pct"/>
          </w:tcPr>
          <w:p w14:paraId="679DFE61"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Broader</w:t>
            </w:r>
            <w:r w:rsidRPr="00D4309F">
              <w:rPr>
                <w:color w:val="211E1F"/>
                <w:spacing w:val="-6"/>
                <w:sz w:val="18"/>
              </w:rPr>
              <w:t xml:space="preserve"> </w:t>
            </w:r>
            <w:r w:rsidRPr="00D4309F">
              <w:rPr>
                <w:color w:val="211E1F"/>
                <w:sz w:val="18"/>
              </w:rPr>
              <w:t>economic</w:t>
            </w:r>
            <w:r w:rsidRPr="00D4309F">
              <w:rPr>
                <w:color w:val="211E1F"/>
                <w:spacing w:val="-4"/>
                <w:sz w:val="18"/>
              </w:rPr>
              <w:t xml:space="preserve"> </w:t>
            </w:r>
            <w:r w:rsidRPr="00D4309F">
              <w:rPr>
                <w:color w:val="211E1F"/>
                <w:sz w:val="18"/>
              </w:rPr>
              <w:t>considerations</w:t>
            </w:r>
            <w:r w:rsidRPr="00D4309F">
              <w:rPr>
                <w:color w:val="211E1F"/>
                <w:spacing w:val="-3"/>
                <w:sz w:val="18"/>
              </w:rPr>
              <w:t xml:space="preserve"> </w:t>
            </w:r>
            <w:r w:rsidRPr="00D4309F">
              <w:rPr>
                <w:color w:val="211E1F"/>
                <w:sz w:val="18"/>
              </w:rPr>
              <w:t>during</w:t>
            </w:r>
            <w:r w:rsidRPr="00D4309F">
              <w:rPr>
                <w:color w:val="211E1F"/>
                <w:spacing w:val="-5"/>
                <w:sz w:val="18"/>
              </w:rPr>
              <w:t xml:space="preserve"> </w:t>
            </w:r>
            <w:r w:rsidRPr="00D4309F">
              <w:rPr>
                <w:color w:val="211E1F"/>
                <w:sz w:val="18"/>
              </w:rPr>
              <w:t>construction</w:t>
            </w:r>
            <w:r w:rsidRPr="00D4309F">
              <w:rPr>
                <w:color w:val="211E1F"/>
                <w:spacing w:val="-4"/>
                <w:sz w:val="18"/>
              </w:rPr>
              <w:t xml:space="preserve"> </w:t>
            </w:r>
            <w:r w:rsidRPr="00D4309F">
              <w:rPr>
                <w:color w:val="211E1F"/>
                <w:sz w:val="18"/>
              </w:rPr>
              <w:t>and</w:t>
            </w:r>
            <w:r w:rsidRPr="00D4309F">
              <w:rPr>
                <w:color w:val="211E1F"/>
                <w:spacing w:val="-4"/>
                <w:sz w:val="18"/>
              </w:rPr>
              <w:t xml:space="preserve"> </w:t>
            </w:r>
            <w:r w:rsidRPr="00D4309F">
              <w:rPr>
                <w:color w:val="211E1F"/>
                <w:spacing w:val="-2"/>
                <w:sz w:val="18"/>
              </w:rPr>
              <w:t>operation</w:t>
            </w:r>
          </w:p>
        </w:tc>
        <w:tc>
          <w:tcPr>
            <w:tcW w:w="571" w:type="pct"/>
          </w:tcPr>
          <w:p w14:paraId="3334C2B4" w14:textId="34AEE184" w:rsidR="0019624B" w:rsidRPr="00D4309F" w:rsidRDefault="0019624B" w:rsidP="0019624B">
            <w:pPr>
              <w:pStyle w:val="TableParagraph"/>
              <w:spacing w:before="41" w:line="187" w:lineRule="exact"/>
              <w:ind w:left="485"/>
              <w:rPr>
                <w:color w:val="211E1F"/>
                <w:spacing w:val="-10"/>
                <w:sz w:val="18"/>
              </w:rPr>
            </w:pPr>
            <w:r w:rsidRPr="00D4309F">
              <w:rPr>
                <w:color w:val="211E1F"/>
                <w:spacing w:val="-10"/>
                <w:sz w:val="18"/>
              </w:rPr>
              <w:t>4</w:t>
            </w:r>
          </w:p>
        </w:tc>
      </w:tr>
      <w:tr w:rsidR="0019624B" w:rsidRPr="00D4309F" w14:paraId="297C8E86" w14:textId="77777777">
        <w:trPr>
          <w:trHeight w:val="247"/>
        </w:trPr>
        <w:tc>
          <w:tcPr>
            <w:tcW w:w="1002" w:type="pct"/>
            <w:vMerge/>
          </w:tcPr>
          <w:p w14:paraId="46FE882F" w14:textId="77777777" w:rsidR="0019624B" w:rsidRPr="00D4309F" w:rsidRDefault="0019624B" w:rsidP="0019624B">
            <w:pPr>
              <w:pStyle w:val="TableParagraph"/>
              <w:rPr>
                <w:rFonts w:ascii="Times New Roman"/>
                <w:sz w:val="18"/>
              </w:rPr>
            </w:pPr>
          </w:p>
        </w:tc>
        <w:tc>
          <w:tcPr>
            <w:tcW w:w="3427" w:type="pct"/>
          </w:tcPr>
          <w:p w14:paraId="2DBB4E57"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Environmental</w:t>
            </w:r>
            <w:r w:rsidRPr="00D4309F">
              <w:rPr>
                <w:color w:val="211E1F"/>
                <w:spacing w:val="-5"/>
                <w:sz w:val="18"/>
              </w:rPr>
              <w:t xml:space="preserve"> </w:t>
            </w:r>
            <w:r w:rsidRPr="00D4309F">
              <w:rPr>
                <w:color w:val="211E1F"/>
                <w:sz w:val="18"/>
              </w:rPr>
              <w:t>impact</w:t>
            </w:r>
            <w:r w:rsidRPr="00D4309F">
              <w:rPr>
                <w:color w:val="211E1F"/>
                <w:spacing w:val="-4"/>
                <w:sz w:val="18"/>
              </w:rPr>
              <w:t xml:space="preserve"> </w:t>
            </w:r>
            <w:r w:rsidRPr="00D4309F">
              <w:rPr>
                <w:color w:val="211E1F"/>
                <w:spacing w:val="-2"/>
                <w:sz w:val="18"/>
              </w:rPr>
              <w:t>perceptions</w:t>
            </w:r>
          </w:p>
        </w:tc>
        <w:tc>
          <w:tcPr>
            <w:tcW w:w="571" w:type="pct"/>
          </w:tcPr>
          <w:p w14:paraId="05B91C3A" w14:textId="2623A5BF" w:rsidR="0019624B" w:rsidRPr="00D4309F" w:rsidRDefault="0019624B" w:rsidP="0019624B">
            <w:pPr>
              <w:pStyle w:val="TableParagraph"/>
              <w:spacing w:before="41" w:line="187" w:lineRule="exact"/>
              <w:ind w:left="485"/>
              <w:rPr>
                <w:color w:val="211E1F"/>
                <w:spacing w:val="-10"/>
                <w:sz w:val="18"/>
              </w:rPr>
            </w:pPr>
            <w:r w:rsidRPr="00D4309F">
              <w:rPr>
                <w:color w:val="211E1F"/>
                <w:spacing w:val="-10"/>
                <w:sz w:val="18"/>
              </w:rPr>
              <w:t>2</w:t>
            </w:r>
          </w:p>
        </w:tc>
      </w:tr>
      <w:tr w:rsidR="0019624B" w:rsidRPr="00D4309F" w14:paraId="61B7EE08" w14:textId="77777777">
        <w:trPr>
          <w:trHeight w:val="247"/>
        </w:trPr>
        <w:tc>
          <w:tcPr>
            <w:tcW w:w="1002" w:type="pct"/>
            <w:vMerge/>
          </w:tcPr>
          <w:p w14:paraId="2A748006" w14:textId="77777777" w:rsidR="0019624B" w:rsidRPr="00D4309F" w:rsidRDefault="0019624B" w:rsidP="0019624B">
            <w:pPr>
              <w:pStyle w:val="TableParagraph"/>
              <w:rPr>
                <w:rFonts w:ascii="Times New Roman"/>
                <w:sz w:val="18"/>
              </w:rPr>
            </w:pPr>
          </w:p>
        </w:tc>
        <w:tc>
          <w:tcPr>
            <w:tcW w:w="3427" w:type="pct"/>
          </w:tcPr>
          <w:p w14:paraId="52603BBF" w14:textId="77777777" w:rsidR="0019624B" w:rsidRPr="00D4309F" w:rsidRDefault="0019624B" w:rsidP="0019624B">
            <w:pPr>
              <w:pStyle w:val="TableParagraph"/>
              <w:spacing w:before="41" w:line="187" w:lineRule="exact"/>
              <w:ind w:left="165"/>
              <w:rPr>
                <w:color w:val="211E1F"/>
                <w:sz w:val="18"/>
              </w:rPr>
            </w:pPr>
          </w:p>
        </w:tc>
        <w:tc>
          <w:tcPr>
            <w:tcW w:w="571" w:type="pct"/>
          </w:tcPr>
          <w:p w14:paraId="50E0F8DC" w14:textId="77777777" w:rsidR="0019624B" w:rsidRPr="00D4309F" w:rsidRDefault="0019624B" w:rsidP="0019624B">
            <w:pPr>
              <w:pStyle w:val="TableParagraph"/>
              <w:spacing w:before="41" w:line="187" w:lineRule="exact"/>
              <w:ind w:left="485"/>
              <w:rPr>
                <w:color w:val="211E1F"/>
                <w:spacing w:val="-10"/>
                <w:sz w:val="18"/>
              </w:rPr>
            </w:pPr>
          </w:p>
        </w:tc>
      </w:tr>
      <w:tr w:rsidR="0019624B" w:rsidRPr="00D4309F" w14:paraId="42378FEE" w14:textId="77777777">
        <w:trPr>
          <w:trHeight w:val="247"/>
        </w:trPr>
        <w:tc>
          <w:tcPr>
            <w:tcW w:w="1002" w:type="pct"/>
            <w:vMerge/>
          </w:tcPr>
          <w:p w14:paraId="68338823" w14:textId="77777777" w:rsidR="0019624B" w:rsidRPr="00D4309F" w:rsidRDefault="0019624B" w:rsidP="0019624B">
            <w:pPr>
              <w:pStyle w:val="TableParagraph"/>
              <w:rPr>
                <w:rFonts w:ascii="Times New Roman"/>
                <w:sz w:val="18"/>
              </w:rPr>
            </w:pPr>
          </w:p>
        </w:tc>
        <w:tc>
          <w:tcPr>
            <w:tcW w:w="3427" w:type="pct"/>
          </w:tcPr>
          <w:p w14:paraId="1BFAA1C0" w14:textId="77777777" w:rsidR="0019624B" w:rsidRPr="00D4309F" w:rsidRDefault="0019624B" w:rsidP="0019624B">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791BFFF7" w14:textId="7E7709E9" w:rsidR="0019624B" w:rsidRPr="00D4309F" w:rsidRDefault="0019624B" w:rsidP="0019624B">
            <w:pPr>
              <w:pStyle w:val="TableParagraph"/>
              <w:spacing w:before="41" w:line="187" w:lineRule="exact"/>
              <w:ind w:left="485"/>
              <w:rPr>
                <w:color w:val="211E1F"/>
                <w:spacing w:val="-10"/>
                <w:sz w:val="18"/>
              </w:rPr>
            </w:pPr>
            <w:r w:rsidRPr="00D4309F">
              <w:rPr>
                <w:b/>
                <w:color w:val="211E1F"/>
                <w:spacing w:val="-5"/>
                <w:sz w:val="18"/>
              </w:rPr>
              <w:t>27</w:t>
            </w:r>
          </w:p>
        </w:tc>
      </w:tr>
      <w:tr w:rsidR="0019624B" w:rsidRPr="00D4309F" w14:paraId="5E6B7A89" w14:textId="77777777">
        <w:trPr>
          <w:trHeight w:val="247"/>
        </w:trPr>
        <w:tc>
          <w:tcPr>
            <w:tcW w:w="1002" w:type="pct"/>
            <w:vMerge w:val="restart"/>
          </w:tcPr>
          <w:p w14:paraId="68997832" w14:textId="77777777" w:rsidR="0019624B" w:rsidRPr="00D4309F" w:rsidRDefault="0019624B" w:rsidP="0019624B">
            <w:pPr>
              <w:pStyle w:val="TableParagraph"/>
              <w:rPr>
                <w:rFonts w:ascii="Times New Roman"/>
                <w:sz w:val="18"/>
              </w:rPr>
            </w:pPr>
            <w:r w:rsidRPr="00D4309F">
              <w:rPr>
                <w:b/>
                <w:color w:val="211E1F"/>
                <w:spacing w:val="-2"/>
                <w:sz w:val="18"/>
              </w:rPr>
              <w:t>Environmental</w:t>
            </w:r>
          </w:p>
        </w:tc>
        <w:tc>
          <w:tcPr>
            <w:tcW w:w="3427" w:type="pct"/>
          </w:tcPr>
          <w:p w14:paraId="62A51517"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Marine</w:t>
            </w:r>
            <w:r w:rsidRPr="00D4309F">
              <w:rPr>
                <w:color w:val="211E1F"/>
                <w:spacing w:val="-4"/>
                <w:sz w:val="18"/>
              </w:rPr>
              <w:t xml:space="preserve"> </w:t>
            </w:r>
            <w:r w:rsidRPr="00D4309F">
              <w:rPr>
                <w:color w:val="211E1F"/>
                <w:sz w:val="18"/>
              </w:rPr>
              <w:t>water</w:t>
            </w:r>
            <w:r w:rsidRPr="00D4309F">
              <w:rPr>
                <w:color w:val="211E1F"/>
                <w:spacing w:val="-3"/>
                <w:sz w:val="18"/>
              </w:rPr>
              <w:t xml:space="preserve"> </w:t>
            </w:r>
            <w:r w:rsidRPr="00D4309F">
              <w:rPr>
                <w:color w:val="211E1F"/>
                <w:sz w:val="18"/>
              </w:rPr>
              <w:t>quality</w:t>
            </w:r>
            <w:r w:rsidRPr="00D4309F">
              <w:rPr>
                <w:color w:val="211E1F"/>
                <w:spacing w:val="-3"/>
                <w:sz w:val="18"/>
              </w:rPr>
              <w:t xml:space="preserve"> </w:t>
            </w:r>
            <w:r w:rsidRPr="00D4309F">
              <w:rPr>
                <w:color w:val="211E1F"/>
                <w:spacing w:val="-2"/>
                <w:sz w:val="18"/>
              </w:rPr>
              <w:t>impacts</w:t>
            </w:r>
          </w:p>
        </w:tc>
        <w:tc>
          <w:tcPr>
            <w:tcW w:w="571" w:type="pct"/>
          </w:tcPr>
          <w:p w14:paraId="72270804" w14:textId="7E1016B2" w:rsidR="0019624B" w:rsidRPr="00D4309F" w:rsidRDefault="0019624B" w:rsidP="0019624B">
            <w:pPr>
              <w:pStyle w:val="TableParagraph"/>
              <w:spacing w:before="41" w:line="187" w:lineRule="exact"/>
              <w:ind w:left="485"/>
              <w:rPr>
                <w:color w:val="211E1F"/>
                <w:spacing w:val="-10"/>
                <w:sz w:val="18"/>
              </w:rPr>
            </w:pPr>
            <w:r w:rsidRPr="00D4309F">
              <w:rPr>
                <w:color w:val="211E1F"/>
                <w:spacing w:val="-10"/>
                <w:sz w:val="18"/>
              </w:rPr>
              <w:t>3</w:t>
            </w:r>
          </w:p>
        </w:tc>
      </w:tr>
      <w:tr w:rsidR="0019624B" w:rsidRPr="00D4309F" w14:paraId="4A93D4E0" w14:textId="77777777">
        <w:trPr>
          <w:trHeight w:val="247"/>
        </w:trPr>
        <w:tc>
          <w:tcPr>
            <w:tcW w:w="1002" w:type="pct"/>
            <w:vMerge/>
          </w:tcPr>
          <w:p w14:paraId="5C48C7FD" w14:textId="77777777" w:rsidR="0019624B" w:rsidRPr="00D4309F" w:rsidRDefault="0019624B" w:rsidP="0019624B">
            <w:pPr>
              <w:pStyle w:val="TableParagraph"/>
              <w:rPr>
                <w:rFonts w:ascii="Times New Roman"/>
                <w:sz w:val="18"/>
              </w:rPr>
            </w:pPr>
          </w:p>
        </w:tc>
        <w:tc>
          <w:tcPr>
            <w:tcW w:w="3427" w:type="pct"/>
          </w:tcPr>
          <w:p w14:paraId="6F2D162A"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Marine</w:t>
            </w:r>
            <w:r w:rsidRPr="00D4309F">
              <w:rPr>
                <w:color w:val="211E1F"/>
                <w:spacing w:val="-2"/>
                <w:sz w:val="18"/>
              </w:rPr>
              <w:t xml:space="preserve"> </w:t>
            </w:r>
            <w:r w:rsidRPr="00D4309F">
              <w:rPr>
                <w:color w:val="211E1F"/>
                <w:sz w:val="18"/>
              </w:rPr>
              <w:t>habitats</w:t>
            </w:r>
            <w:r w:rsidRPr="00D4309F">
              <w:rPr>
                <w:color w:val="211E1F"/>
                <w:spacing w:val="-3"/>
                <w:sz w:val="18"/>
              </w:rPr>
              <w:t xml:space="preserve"> </w:t>
            </w:r>
            <w:r w:rsidRPr="00D4309F">
              <w:rPr>
                <w:color w:val="211E1F"/>
                <w:sz w:val="18"/>
              </w:rPr>
              <w:t>&amp;</w:t>
            </w:r>
            <w:r w:rsidRPr="00D4309F">
              <w:rPr>
                <w:color w:val="211E1F"/>
                <w:spacing w:val="-3"/>
                <w:sz w:val="18"/>
              </w:rPr>
              <w:t xml:space="preserve"> </w:t>
            </w:r>
            <w:r w:rsidRPr="00D4309F">
              <w:rPr>
                <w:color w:val="211E1F"/>
                <w:sz w:val="18"/>
              </w:rPr>
              <w:t>protected</w:t>
            </w:r>
            <w:r w:rsidRPr="00D4309F">
              <w:rPr>
                <w:color w:val="211E1F"/>
                <w:spacing w:val="-4"/>
                <w:sz w:val="18"/>
              </w:rPr>
              <w:t xml:space="preserve"> </w:t>
            </w:r>
            <w:r w:rsidRPr="00D4309F">
              <w:rPr>
                <w:color w:val="211E1F"/>
                <w:sz w:val="18"/>
              </w:rPr>
              <w:t>species</w:t>
            </w:r>
            <w:r w:rsidRPr="00D4309F">
              <w:rPr>
                <w:color w:val="211E1F"/>
                <w:spacing w:val="-2"/>
                <w:sz w:val="18"/>
              </w:rPr>
              <w:t xml:space="preserve"> impacts</w:t>
            </w:r>
          </w:p>
        </w:tc>
        <w:tc>
          <w:tcPr>
            <w:tcW w:w="571" w:type="pct"/>
          </w:tcPr>
          <w:p w14:paraId="2FB8409F" w14:textId="1E0ADA56" w:rsidR="0019624B" w:rsidRPr="00D4309F" w:rsidRDefault="0019624B" w:rsidP="0019624B">
            <w:pPr>
              <w:pStyle w:val="TableParagraph"/>
              <w:spacing w:before="41" w:line="187" w:lineRule="exact"/>
              <w:ind w:left="485"/>
              <w:rPr>
                <w:color w:val="211E1F"/>
                <w:spacing w:val="-10"/>
                <w:sz w:val="18"/>
              </w:rPr>
            </w:pPr>
            <w:r w:rsidRPr="00D4309F">
              <w:rPr>
                <w:color w:val="211E1F"/>
                <w:spacing w:val="-10"/>
                <w:sz w:val="18"/>
              </w:rPr>
              <w:t>2</w:t>
            </w:r>
          </w:p>
        </w:tc>
      </w:tr>
      <w:tr w:rsidR="0019624B" w:rsidRPr="00D4309F" w14:paraId="6C9C9FA7" w14:textId="77777777">
        <w:trPr>
          <w:trHeight w:val="247"/>
        </w:trPr>
        <w:tc>
          <w:tcPr>
            <w:tcW w:w="1002" w:type="pct"/>
            <w:vMerge/>
          </w:tcPr>
          <w:p w14:paraId="245A694C" w14:textId="77777777" w:rsidR="0019624B" w:rsidRPr="00D4309F" w:rsidRDefault="0019624B" w:rsidP="0019624B">
            <w:pPr>
              <w:pStyle w:val="TableParagraph"/>
              <w:rPr>
                <w:rFonts w:ascii="Times New Roman"/>
                <w:sz w:val="18"/>
              </w:rPr>
            </w:pPr>
          </w:p>
        </w:tc>
        <w:tc>
          <w:tcPr>
            <w:tcW w:w="3427" w:type="pct"/>
          </w:tcPr>
          <w:p w14:paraId="3B864CDF"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Terrestrial</w:t>
            </w:r>
            <w:r w:rsidRPr="00D4309F">
              <w:rPr>
                <w:color w:val="211E1F"/>
                <w:spacing w:val="-3"/>
                <w:sz w:val="18"/>
              </w:rPr>
              <w:t xml:space="preserve"> </w:t>
            </w:r>
            <w:r w:rsidRPr="00D4309F">
              <w:rPr>
                <w:color w:val="211E1F"/>
                <w:sz w:val="18"/>
              </w:rPr>
              <w:t>habitats</w:t>
            </w:r>
            <w:r w:rsidRPr="00D4309F">
              <w:rPr>
                <w:color w:val="211E1F"/>
                <w:spacing w:val="-3"/>
                <w:sz w:val="18"/>
              </w:rPr>
              <w:t xml:space="preserve"> </w:t>
            </w:r>
            <w:r w:rsidRPr="00D4309F">
              <w:rPr>
                <w:color w:val="211E1F"/>
                <w:sz w:val="18"/>
              </w:rPr>
              <w:t>&amp;</w:t>
            </w:r>
            <w:r w:rsidRPr="00D4309F">
              <w:rPr>
                <w:color w:val="211E1F"/>
                <w:spacing w:val="-3"/>
                <w:sz w:val="18"/>
              </w:rPr>
              <w:t xml:space="preserve"> </w:t>
            </w:r>
            <w:r w:rsidRPr="00D4309F">
              <w:rPr>
                <w:color w:val="211E1F"/>
                <w:sz w:val="18"/>
              </w:rPr>
              <w:t>protected</w:t>
            </w:r>
            <w:r w:rsidRPr="00D4309F">
              <w:rPr>
                <w:color w:val="211E1F"/>
                <w:spacing w:val="-4"/>
                <w:sz w:val="18"/>
              </w:rPr>
              <w:t xml:space="preserve"> </w:t>
            </w:r>
            <w:r w:rsidRPr="00D4309F">
              <w:rPr>
                <w:color w:val="211E1F"/>
                <w:sz w:val="18"/>
              </w:rPr>
              <w:t>species</w:t>
            </w:r>
            <w:r w:rsidRPr="00D4309F">
              <w:rPr>
                <w:color w:val="211E1F"/>
                <w:spacing w:val="-2"/>
                <w:sz w:val="18"/>
              </w:rPr>
              <w:t xml:space="preserve"> impacts</w:t>
            </w:r>
          </w:p>
        </w:tc>
        <w:tc>
          <w:tcPr>
            <w:tcW w:w="571" w:type="pct"/>
          </w:tcPr>
          <w:p w14:paraId="2A3FCCB2" w14:textId="00909C9D" w:rsidR="0019624B" w:rsidRPr="00D4309F" w:rsidRDefault="0019624B" w:rsidP="0019624B">
            <w:pPr>
              <w:pStyle w:val="TableParagraph"/>
              <w:spacing w:before="41" w:line="187" w:lineRule="exact"/>
              <w:ind w:left="485"/>
              <w:rPr>
                <w:color w:val="211E1F"/>
                <w:spacing w:val="-10"/>
                <w:sz w:val="18"/>
              </w:rPr>
            </w:pPr>
            <w:r w:rsidRPr="00D4309F">
              <w:rPr>
                <w:color w:val="211E1F"/>
                <w:spacing w:val="-10"/>
                <w:sz w:val="18"/>
              </w:rPr>
              <w:t>2</w:t>
            </w:r>
          </w:p>
        </w:tc>
      </w:tr>
      <w:tr w:rsidR="0019624B" w:rsidRPr="00D4309F" w14:paraId="7E56E8FD" w14:textId="77777777">
        <w:trPr>
          <w:trHeight w:val="247"/>
        </w:trPr>
        <w:tc>
          <w:tcPr>
            <w:tcW w:w="1002" w:type="pct"/>
            <w:vMerge/>
          </w:tcPr>
          <w:p w14:paraId="4FA5C573" w14:textId="77777777" w:rsidR="0019624B" w:rsidRPr="00D4309F" w:rsidRDefault="0019624B" w:rsidP="0019624B">
            <w:pPr>
              <w:pStyle w:val="TableParagraph"/>
              <w:rPr>
                <w:rFonts w:ascii="Times New Roman"/>
                <w:sz w:val="18"/>
              </w:rPr>
            </w:pPr>
          </w:p>
        </w:tc>
        <w:tc>
          <w:tcPr>
            <w:tcW w:w="3427" w:type="pct"/>
          </w:tcPr>
          <w:p w14:paraId="2594A951" w14:textId="77777777" w:rsidR="0019624B" w:rsidRPr="00D4309F" w:rsidRDefault="0019624B" w:rsidP="0019624B">
            <w:pPr>
              <w:pStyle w:val="TableParagraph"/>
              <w:spacing w:before="41" w:line="187" w:lineRule="exact"/>
              <w:ind w:left="165"/>
              <w:rPr>
                <w:color w:val="211E1F"/>
                <w:sz w:val="18"/>
              </w:rPr>
            </w:pPr>
          </w:p>
        </w:tc>
        <w:tc>
          <w:tcPr>
            <w:tcW w:w="571" w:type="pct"/>
          </w:tcPr>
          <w:p w14:paraId="5330486A" w14:textId="77777777" w:rsidR="0019624B" w:rsidRPr="00D4309F" w:rsidRDefault="0019624B" w:rsidP="0019624B">
            <w:pPr>
              <w:pStyle w:val="TableParagraph"/>
              <w:spacing w:before="41" w:line="187" w:lineRule="exact"/>
              <w:ind w:left="485"/>
              <w:rPr>
                <w:color w:val="211E1F"/>
                <w:spacing w:val="-10"/>
                <w:sz w:val="18"/>
              </w:rPr>
            </w:pPr>
          </w:p>
        </w:tc>
      </w:tr>
      <w:tr w:rsidR="0019624B" w:rsidRPr="00D4309F" w14:paraId="65B8B362" w14:textId="77777777">
        <w:trPr>
          <w:trHeight w:val="247"/>
        </w:trPr>
        <w:tc>
          <w:tcPr>
            <w:tcW w:w="1002" w:type="pct"/>
            <w:vMerge/>
          </w:tcPr>
          <w:p w14:paraId="673533FC" w14:textId="77777777" w:rsidR="0019624B" w:rsidRPr="00D4309F" w:rsidRDefault="0019624B" w:rsidP="0019624B">
            <w:pPr>
              <w:pStyle w:val="TableParagraph"/>
              <w:rPr>
                <w:rFonts w:ascii="Times New Roman"/>
                <w:sz w:val="18"/>
              </w:rPr>
            </w:pPr>
          </w:p>
        </w:tc>
        <w:tc>
          <w:tcPr>
            <w:tcW w:w="3427" w:type="pct"/>
          </w:tcPr>
          <w:p w14:paraId="7F1830F8" w14:textId="77777777" w:rsidR="0019624B" w:rsidRPr="00D4309F" w:rsidRDefault="0019624B" w:rsidP="0019624B">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5E1BA5E9" w14:textId="6F517022" w:rsidR="0019624B" w:rsidRPr="00D4309F" w:rsidRDefault="0019624B" w:rsidP="0019624B">
            <w:pPr>
              <w:pStyle w:val="TableParagraph"/>
              <w:spacing w:before="41" w:line="187" w:lineRule="exact"/>
              <w:ind w:left="485"/>
              <w:rPr>
                <w:color w:val="211E1F"/>
                <w:spacing w:val="-10"/>
                <w:sz w:val="18"/>
              </w:rPr>
            </w:pPr>
            <w:r w:rsidRPr="00D4309F">
              <w:rPr>
                <w:b/>
                <w:color w:val="211E1F"/>
                <w:spacing w:val="-10"/>
                <w:sz w:val="18"/>
              </w:rPr>
              <w:t>7</w:t>
            </w:r>
          </w:p>
        </w:tc>
      </w:tr>
      <w:tr w:rsidR="0019624B" w:rsidRPr="00D4309F" w14:paraId="5110AE78" w14:textId="77777777">
        <w:trPr>
          <w:trHeight w:val="247"/>
        </w:trPr>
        <w:tc>
          <w:tcPr>
            <w:tcW w:w="1002" w:type="pct"/>
            <w:vMerge w:val="restart"/>
          </w:tcPr>
          <w:p w14:paraId="79C6AB56" w14:textId="77777777" w:rsidR="0019624B" w:rsidRPr="00D4309F" w:rsidRDefault="0019624B" w:rsidP="0019624B">
            <w:pPr>
              <w:pStyle w:val="TableParagraph"/>
              <w:rPr>
                <w:rFonts w:ascii="Times New Roman"/>
                <w:sz w:val="18"/>
              </w:rPr>
            </w:pPr>
            <w:r w:rsidRPr="00D4309F">
              <w:rPr>
                <w:b/>
                <w:color w:val="211E1F"/>
                <w:spacing w:val="-2"/>
                <w:sz w:val="18"/>
              </w:rPr>
              <w:t>Financial</w:t>
            </w:r>
          </w:p>
        </w:tc>
        <w:tc>
          <w:tcPr>
            <w:tcW w:w="3427" w:type="pct"/>
          </w:tcPr>
          <w:p w14:paraId="55A8024B"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Capital</w:t>
            </w:r>
            <w:r w:rsidRPr="00D4309F">
              <w:rPr>
                <w:color w:val="211E1F"/>
                <w:spacing w:val="-6"/>
                <w:sz w:val="18"/>
              </w:rPr>
              <w:t xml:space="preserve"> </w:t>
            </w:r>
            <w:r w:rsidRPr="00D4309F">
              <w:rPr>
                <w:color w:val="211E1F"/>
                <w:spacing w:val="-2"/>
                <w:sz w:val="18"/>
              </w:rPr>
              <w:t>(CAPEX),</w:t>
            </w:r>
          </w:p>
        </w:tc>
        <w:tc>
          <w:tcPr>
            <w:tcW w:w="571" w:type="pct"/>
          </w:tcPr>
          <w:p w14:paraId="296CE16C" w14:textId="34D4D921" w:rsidR="0019624B" w:rsidRPr="00D4309F" w:rsidRDefault="0019624B" w:rsidP="0019624B">
            <w:pPr>
              <w:pStyle w:val="TableParagraph"/>
              <w:spacing w:before="41" w:line="187" w:lineRule="exact"/>
              <w:ind w:left="485"/>
              <w:rPr>
                <w:color w:val="211E1F"/>
                <w:spacing w:val="-10"/>
                <w:sz w:val="18"/>
              </w:rPr>
            </w:pPr>
            <w:r w:rsidRPr="00D4309F">
              <w:rPr>
                <w:color w:val="211E1F"/>
                <w:spacing w:val="-10"/>
                <w:sz w:val="18"/>
              </w:rPr>
              <w:t>2</w:t>
            </w:r>
          </w:p>
        </w:tc>
      </w:tr>
      <w:tr w:rsidR="0019624B" w:rsidRPr="00D4309F" w14:paraId="7AAEA7F9" w14:textId="77777777">
        <w:trPr>
          <w:trHeight w:val="247"/>
        </w:trPr>
        <w:tc>
          <w:tcPr>
            <w:tcW w:w="1002" w:type="pct"/>
            <w:vMerge/>
          </w:tcPr>
          <w:p w14:paraId="08022151" w14:textId="77777777" w:rsidR="0019624B" w:rsidRPr="00D4309F" w:rsidRDefault="0019624B" w:rsidP="0019624B">
            <w:pPr>
              <w:pStyle w:val="TableParagraph"/>
              <w:rPr>
                <w:rFonts w:ascii="Times New Roman"/>
                <w:sz w:val="18"/>
              </w:rPr>
            </w:pPr>
          </w:p>
        </w:tc>
        <w:tc>
          <w:tcPr>
            <w:tcW w:w="3427" w:type="pct"/>
          </w:tcPr>
          <w:p w14:paraId="54C4CD3B"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Operations</w:t>
            </w:r>
            <w:r w:rsidRPr="00D4309F">
              <w:rPr>
                <w:color w:val="211E1F"/>
                <w:spacing w:val="-6"/>
                <w:sz w:val="18"/>
              </w:rPr>
              <w:t xml:space="preserve"> </w:t>
            </w:r>
            <w:r w:rsidRPr="00D4309F">
              <w:rPr>
                <w:color w:val="211E1F"/>
                <w:sz w:val="18"/>
              </w:rPr>
              <w:t>and</w:t>
            </w:r>
            <w:r w:rsidRPr="00D4309F">
              <w:rPr>
                <w:color w:val="211E1F"/>
                <w:spacing w:val="-5"/>
                <w:sz w:val="18"/>
              </w:rPr>
              <w:t xml:space="preserve"> </w:t>
            </w:r>
            <w:r w:rsidRPr="00D4309F">
              <w:rPr>
                <w:color w:val="211E1F"/>
                <w:sz w:val="18"/>
              </w:rPr>
              <w:t>maintenance</w:t>
            </w:r>
            <w:r w:rsidRPr="00D4309F">
              <w:rPr>
                <w:color w:val="211E1F"/>
                <w:spacing w:val="-3"/>
                <w:sz w:val="18"/>
              </w:rPr>
              <w:t xml:space="preserve"> </w:t>
            </w:r>
            <w:r w:rsidRPr="00D4309F">
              <w:rPr>
                <w:color w:val="211E1F"/>
                <w:sz w:val="18"/>
              </w:rPr>
              <w:t>(OPEX),</w:t>
            </w:r>
            <w:r w:rsidRPr="00D4309F">
              <w:rPr>
                <w:color w:val="211E1F"/>
                <w:spacing w:val="-4"/>
                <w:sz w:val="18"/>
              </w:rPr>
              <w:t xml:space="preserve"> </w:t>
            </w:r>
            <w:r w:rsidRPr="00D4309F">
              <w:rPr>
                <w:color w:val="211E1F"/>
                <w:sz w:val="18"/>
              </w:rPr>
              <w:t>contingency,</w:t>
            </w:r>
            <w:r w:rsidRPr="00D4309F">
              <w:rPr>
                <w:color w:val="211E1F"/>
                <w:spacing w:val="-4"/>
                <w:sz w:val="18"/>
              </w:rPr>
              <w:t xml:space="preserve"> </w:t>
            </w:r>
            <w:r w:rsidRPr="00D4309F">
              <w:rPr>
                <w:color w:val="211E1F"/>
                <w:spacing w:val="-2"/>
                <w:sz w:val="18"/>
              </w:rPr>
              <w:t>monitoring.</w:t>
            </w:r>
          </w:p>
        </w:tc>
        <w:tc>
          <w:tcPr>
            <w:tcW w:w="571" w:type="pct"/>
          </w:tcPr>
          <w:p w14:paraId="1D02421A" w14:textId="1AB9DAF5" w:rsidR="0019624B" w:rsidRPr="00D4309F" w:rsidRDefault="0019624B" w:rsidP="0019624B">
            <w:pPr>
              <w:pStyle w:val="TableParagraph"/>
              <w:spacing w:before="41" w:line="187" w:lineRule="exact"/>
              <w:ind w:left="485"/>
              <w:rPr>
                <w:color w:val="211E1F"/>
                <w:spacing w:val="-10"/>
                <w:sz w:val="18"/>
              </w:rPr>
            </w:pPr>
            <w:r w:rsidRPr="00D4309F">
              <w:rPr>
                <w:sz w:val="18"/>
              </w:rPr>
              <w:t>3</w:t>
            </w:r>
          </w:p>
        </w:tc>
      </w:tr>
      <w:tr w:rsidR="0019624B" w:rsidRPr="00D4309F" w14:paraId="2E4A05F3" w14:textId="77777777">
        <w:trPr>
          <w:trHeight w:val="247"/>
        </w:trPr>
        <w:tc>
          <w:tcPr>
            <w:tcW w:w="1002" w:type="pct"/>
            <w:vMerge/>
          </w:tcPr>
          <w:p w14:paraId="196EF511" w14:textId="77777777" w:rsidR="0019624B" w:rsidRPr="00D4309F" w:rsidRDefault="0019624B" w:rsidP="0019624B">
            <w:pPr>
              <w:pStyle w:val="TableParagraph"/>
              <w:rPr>
                <w:rFonts w:ascii="Times New Roman"/>
                <w:sz w:val="18"/>
              </w:rPr>
            </w:pPr>
          </w:p>
        </w:tc>
        <w:tc>
          <w:tcPr>
            <w:tcW w:w="3427" w:type="pct"/>
          </w:tcPr>
          <w:p w14:paraId="50BC5F85" w14:textId="77777777" w:rsidR="0019624B" w:rsidRPr="00D4309F" w:rsidRDefault="0019624B" w:rsidP="0019624B">
            <w:pPr>
              <w:pStyle w:val="TableParagraph"/>
              <w:spacing w:before="41" w:line="187" w:lineRule="exact"/>
              <w:ind w:left="165"/>
              <w:rPr>
                <w:color w:val="211E1F"/>
                <w:sz w:val="18"/>
              </w:rPr>
            </w:pPr>
          </w:p>
        </w:tc>
        <w:tc>
          <w:tcPr>
            <w:tcW w:w="571" w:type="pct"/>
          </w:tcPr>
          <w:p w14:paraId="65A9630E" w14:textId="77777777" w:rsidR="0019624B" w:rsidRPr="00D4309F" w:rsidRDefault="0019624B" w:rsidP="0019624B">
            <w:pPr>
              <w:pStyle w:val="TableParagraph"/>
              <w:spacing w:before="41" w:line="187" w:lineRule="exact"/>
              <w:ind w:left="485"/>
              <w:rPr>
                <w:color w:val="211E1F"/>
                <w:spacing w:val="-10"/>
                <w:sz w:val="18"/>
              </w:rPr>
            </w:pPr>
          </w:p>
        </w:tc>
      </w:tr>
      <w:tr w:rsidR="0019624B" w:rsidRPr="00D4309F" w14:paraId="42E54831" w14:textId="77777777">
        <w:trPr>
          <w:trHeight w:val="247"/>
        </w:trPr>
        <w:tc>
          <w:tcPr>
            <w:tcW w:w="1002" w:type="pct"/>
            <w:vMerge/>
          </w:tcPr>
          <w:p w14:paraId="68D30A66" w14:textId="77777777" w:rsidR="0019624B" w:rsidRPr="00D4309F" w:rsidRDefault="0019624B" w:rsidP="0019624B">
            <w:pPr>
              <w:pStyle w:val="TableParagraph"/>
              <w:rPr>
                <w:b/>
                <w:color w:val="211E1F"/>
                <w:spacing w:val="-2"/>
                <w:sz w:val="18"/>
              </w:rPr>
            </w:pPr>
          </w:p>
        </w:tc>
        <w:tc>
          <w:tcPr>
            <w:tcW w:w="3427" w:type="pct"/>
          </w:tcPr>
          <w:p w14:paraId="0342E411" w14:textId="77777777" w:rsidR="0019624B" w:rsidRPr="00D4309F" w:rsidRDefault="0019624B" w:rsidP="0019624B">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38342111" w14:textId="2CBDA90D" w:rsidR="0019624B" w:rsidRPr="00D4309F" w:rsidRDefault="0019624B" w:rsidP="0019624B">
            <w:pPr>
              <w:pStyle w:val="TableParagraph"/>
              <w:spacing w:before="41" w:line="187" w:lineRule="exact"/>
              <w:ind w:left="485"/>
              <w:rPr>
                <w:color w:val="211E1F"/>
                <w:spacing w:val="-10"/>
                <w:sz w:val="18"/>
              </w:rPr>
            </w:pPr>
            <w:r w:rsidRPr="00D4309F">
              <w:rPr>
                <w:b/>
                <w:color w:val="211E1F"/>
                <w:spacing w:val="-10"/>
                <w:sz w:val="18"/>
              </w:rPr>
              <w:t>5</w:t>
            </w:r>
          </w:p>
        </w:tc>
      </w:tr>
      <w:tr w:rsidR="0019624B" w:rsidRPr="00D4309F" w14:paraId="7A8D80ED" w14:textId="77777777" w:rsidTr="00213A04">
        <w:trPr>
          <w:trHeight w:val="247"/>
        </w:trPr>
        <w:tc>
          <w:tcPr>
            <w:tcW w:w="1002" w:type="pct"/>
            <w:shd w:val="clear" w:color="auto" w:fill="D9D9D9" w:themeFill="background1" w:themeFillShade="D9"/>
          </w:tcPr>
          <w:p w14:paraId="710F676D" w14:textId="77777777" w:rsidR="0019624B" w:rsidRPr="00D4309F" w:rsidRDefault="0019624B" w:rsidP="0019624B">
            <w:pPr>
              <w:pStyle w:val="TableParagraph"/>
              <w:rPr>
                <w:b/>
                <w:color w:val="211E1F"/>
                <w:spacing w:val="-2"/>
                <w:sz w:val="18"/>
              </w:rPr>
            </w:pPr>
            <w:r w:rsidRPr="00D4309F">
              <w:rPr>
                <w:b/>
                <w:color w:val="70004A"/>
                <w:sz w:val="18"/>
              </w:rPr>
              <w:t>Total</w:t>
            </w:r>
            <w:r w:rsidRPr="00D4309F">
              <w:rPr>
                <w:b/>
                <w:color w:val="70004A"/>
                <w:spacing w:val="-3"/>
                <w:sz w:val="18"/>
              </w:rPr>
              <w:t xml:space="preserve"> </w:t>
            </w:r>
            <w:r w:rsidRPr="00D4309F">
              <w:rPr>
                <w:b/>
                <w:color w:val="70004A"/>
                <w:spacing w:val="-2"/>
                <w:sz w:val="18"/>
              </w:rPr>
              <w:t>Score</w:t>
            </w:r>
          </w:p>
        </w:tc>
        <w:tc>
          <w:tcPr>
            <w:tcW w:w="3427" w:type="pct"/>
            <w:shd w:val="clear" w:color="auto" w:fill="D9D9D9" w:themeFill="background1" w:themeFillShade="D9"/>
          </w:tcPr>
          <w:p w14:paraId="76FFA273" w14:textId="77777777" w:rsidR="0019624B" w:rsidRPr="00D4309F" w:rsidRDefault="0019624B" w:rsidP="0019624B">
            <w:pPr>
              <w:pStyle w:val="TableParagraph"/>
              <w:spacing w:before="41" w:line="187" w:lineRule="exact"/>
              <w:ind w:left="165"/>
              <w:rPr>
                <w:color w:val="211E1F"/>
                <w:sz w:val="18"/>
              </w:rPr>
            </w:pPr>
          </w:p>
        </w:tc>
        <w:tc>
          <w:tcPr>
            <w:tcW w:w="571" w:type="pct"/>
            <w:shd w:val="clear" w:color="auto" w:fill="D9D9D9" w:themeFill="background1" w:themeFillShade="D9"/>
          </w:tcPr>
          <w:p w14:paraId="48081EAC" w14:textId="5D87E95B" w:rsidR="0019624B" w:rsidRPr="00D4309F" w:rsidRDefault="0019624B" w:rsidP="0019624B">
            <w:pPr>
              <w:pStyle w:val="TableParagraph"/>
              <w:spacing w:before="41" w:line="187" w:lineRule="exact"/>
              <w:ind w:left="485"/>
              <w:rPr>
                <w:color w:val="211E1F"/>
                <w:spacing w:val="-10"/>
                <w:sz w:val="18"/>
              </w:rPr>
            </w:pPr>
            <w:r w:rsidRPr="00D4309F">
              <w:rPr>
                <w:b/>
                <w:color w:val="70004A"/>
                <w:spacing w:val="-5"/>
                <w:sz w:val="18"/>
              </w:rPr>
              <w:t>78</w:t>
            </w:r>
          </w:p>
        </w:tc>
      </w:tr>
    </w:tbl>
    <w:p w14:paraId="7EA273E9" w14:textId="77777777" w:rsidR="00725977" w:rsidRPr="00D4309F" w:rsidRDefault="00725977" w:rsidP="00725977">
      <w:pPr>
        <w:pStyle w:val="BodyText"/>
      </w:pPr>
    </w:p>
    <w:p w14:paraId="50F05616" w14:textId="33F1D4D9" w:rsidR="00725977" w:rsidRDefault="00D4229D" w:rsidP="007774EC">
      <w:pPr>
        <w:pStyle w:val="Table-Caption"/>
        <w:rPr>
          <w:color w:val="211E1F"/>
          <w:spacing w:val="-2"/>
        </w:rPr>
      </w:pPr>
      <w:bookmarkStart w:id="464" w:name="_bookmark167"/>
      <w:bookmarkStart w:id="465" w:name="_Toc216699578"/>
      <w:bookmarkEnd w:id="464"/>
      <w:r>
        <w:t xml:space="preserve">Table </w:t>
      </w:r>
      <w:r w:rsidR="00151534">
        <w:fldChar w:fldCharType="begin" w:fldLock="1"/>
      </w:r>
      <w:r w:rsidR="00151534">
        <w:instrText xml:space="preserve"> STYLEREF 1 \s </w:instrText>
      </w:r>
      <w:r w:rsidR="00151534">
        <w:fldChar w:fldCharType="separate"/>
      </w:r>
      <w:r w:rsidR="00151534">
        <w:rPr>
          <w:noProof/>
        </w:rPr>
        <w:t>15</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10</w:t>
      </w:r>
      <w:r w:rsidR="00151534">
        <w:fldChar w:fldCharType="end"/>
      </w:r>
      <w:r>
        <w:t>:</w:t>
      </w:r>
      <w:r>
        <w:tab/>
      </w:r>
      <w:r w:rsidRPr="00D4309F">
        <w:rPr>
          <w:color w:val="211E1F"/>
        </w:rPr>
        <w:t>Option</w:t>
      </w:r>
      <w:r w:rsidRPr="00D4309F">
        <w:rPr>
          <w:color w:val="211E1F"/>
          <w:spacing w:val="-2"/>
        </w:rPr>
        <w:t xml:space="preserve"> </w:t>
      </w:r>
      <w:r w:rsidRPr="00D4309F">
        <w:rPr>
          <w:color w:val="211E1F"/>
        </w:rPr>
        <w:t>3B</w:t>
      </w:r>
      <w:r w:rsidRPr="00D4309F">
        <w:rPr>
          <w:color w:val="211E1F"/>
          <w:spacing w:val="-1"/>
        </w:rPr>
        <w:t xml:space="preserve"> </w:t>
      </w:r>
      <w:r w:rsidRPr="00D4309F">
        <w:rPr>
          <w:color w:val="211E1F"/>
        </w:rPr>
        <w:t>MCA</w:t>
      </w:r>
      <w:r w:rsidRPr="00D4309F">
        <w:rPr>
          <w:color w:val="211E1F"/>
          <w:spacing w:val="-1"/>
        </w:rPr>
        <w:t xml:space="preserve"> </w:t>
      </w:r>
      <w:r w:rsidRPr="00D4309F">
        <w:rPr>
          <w:color w:val="211E1F"/>
          <w:spacing w:val="-2"/>
        </w:rPr>
        <w:t>scoring</w:t>
      </w:r>
      <w:bookmarkEnd w:id="465"/>
    </w:p>
    <w:tbl>
      <w:tblPr>
        <w:tblStyle w:val="Table1"/>
        <w:tblW w:w="5000" w:type="pct"/>
        <w:tblLook w:val="04A0" w:firstRow="1" w:lastRow="0" w:firstColumn="1" w:lastColumn="0" w:noHBand="0" w:noVBand="1"/>
      </w:tblPr>
      <w:tblGrid>
        <w:gridCol w:w="2920"/>
        <w:gridCol w:w="9988"/>
        <w:gridCol w:w="1664"/>
      </w:tblGrid>
      <w:tr w:rsidR="0019624B" w:rsidRPr="00D4309F" w14:paraId="3E86C3A4" w14:textId="77777777">
        <w:trPr>
          <w:cnfStyle w:val="100000000000" w:firstRow="1" w:lastRow="0" w:firstColumn="0" w:lastColumn="0" w:oddVBand="0" w:evenVBand="0" w:oddHBand="0" w:evenHBand="0" w:firstRowFirstColumn="0" w:firstRowLastColumn="0" w:lastRowFirstColumn="0" w:lastRowLastColumn="0"/>
          <w:trHeight w:val="286"/>
          <w:tblHeader/>
        </w:trPr>
        <w:tc>
          <w:tcPr>
            <w:tcW w:w="1002" w:type="pct"/>
          </w:tcPr>
          <w:p w14:paraId="119C25E8" w14:textId="77777777" w:rsidR="0019624B" w:rsidRPr="00D4309F" w:rsidRDefault="0019624B">
            <w:pPr>
              <w:pStyle w:val="TableParagraph"/>
              <w:spacing w:before="40"/>
              <w:ind w:left="165"/>
              <w:rPr>
                <w:b/>
                <w:sz w:val="18"/>
              </w:rPr>
            </w:pPr>
            <w:r w:rsidRPr="00D4309F">
              <w:rPr>
                <w:b/>
                <w:color w:val="70004A"/>
                <w:sz w:val="18"/>
              </w:rPr>
              <w:t>MCA</w:t>
            </w:r>
            <w:r w:rsidRPr="00D4309F">
              <w:rPr>
                <w:b/>
                <w:color w:val="70004A"/>
                <w:spacing w:val="-3"/>
                <w:sz w:val="18"/>
              </w:rPr>
              <w:t xml:space="preserve"> </w:t>
            </w:r>
            <w:r w:rsidRPr="00D4309F">
              <w:rPr>
                <w:b/>
                <w:color w:val="70004A"/>
                <w:spacing w:val="-2"/>
                <w:sz w:val="18"/>
              </w:rPr>
              <w:t>Category</w:t>
            </w:r>
          </w:p>
        </w:tc>
        <w:tc>
          <w:tcPr>
            <w:tcW w:w="3427" w:type="pct"/>
          </w:tcPr>
          <w:p w14:paraId="2E66FBA4" w14:textId="77777777" w:rsidR="0019624B" w:rsidRPr="00D4309F" w:rsidRDefault="0019624B">
            <w:pPr>
              <w:pStyle w:val="TableParagraph"/>
              <w:spacing w:before="40"/>
              <w:ind w:left="165"/>
              <w:rPr>
                <w:b/>
                <w:sz w:val="18"/>
              </w:rPr>
            </w:pPr>
            <w:r w:rsidRPr="00D4309F">
              <w:rPr>
                <w:b/>
                <w:color w:val="70004A"/>
                <w:sz w:val="18"/>
              </w:rPr>
              <w:t>MCA</w:t>
            </w:r>
            <w:r w:rsidRPr="00D4309F">
              <w:rPr>
                <w:b/>
                <w:color w:val="70004A"/>
                <w:spacing w:val="-1"/>
                <w:sz w:val="18"/>
              </w:rPr>
              <w:t xml:space="preserve"> </w:t>
            </w:r>
            <w:r w:rsidRPr="00D4309F">
              <w:rPr>
                <w:b/>
                <w:color w:val="70004A"/>
                <w:spacing w:val="-2"/>
                <w:sz w:val="18"/>
              </w:rPr>
              <w:t>criteria</w:t>
            </w:r>
          </w:p>
        </w:tc>
        <w:tc>
          <w:tcPr>
            <w:tcW w:w="571" w:type="pct"/>
          </w:tcPr>
          <w:p w14:paraId="3FD08B8F" w14:textId="77777777" w:rsidR="0019624B" w:rsidRPr="00D4309F" w:rsidRDefault="0019624B">
            <w:pPr>
              <w:pStyle w:val="TableParagraph"/>
              <w:spacing w:before="40"/>
              <w:ind w:left="485"/>
              <w:rPr>
                <w:b/>
                <w:sz w:val="18"/>
              </w:rPr>
            </w:pPr>
            <w:r w:rsidRPr="00D4309F">
              <w:rPr>
                <w:b/>
                <w:color w:val="70004A"/>
                <w:spacing w:val="-2"/>
                <w:sz w:val="18"/>
              </w:rPr>
              <w:t>Score</w:t>
            </w:r>
          </w:p>
        </w:tc>
      </w:tr>
      <w:tr w:rsidR="0019624B" w:rsidRPr="00D4309F" w14:paraId="7E348A1C" w14:textId="77777777">
        <w:trPr>
          <w:trHeight w:val="494"/>
        </w:trPr>
        <w:tc>
          <w:tcPr>
            <w:tcW w:w="1002" w:type="pct"/>
            <w:vMerge w:val="restart"/>
          </w:tcPr>
          <w:p w14:paraId="530C4A7C" w14:textId="77777777" w:rsidR="0019624B" w:rsidRPr="00D4309F" w:rsidRDefault="0019624B" w:rsidP="0019624B">
            <w:pPr>
              <w:pStyle w:val="TableParagraph"/>
              <w:spacing w:before="39"/>
              <w:ind w:left="165"/>
              <w:rPr>
                <w:b/>
                <w:sz w:val="18"/>
              </w:rPr>
            </w:pPr>
            <w:r w:rsidRPr="00D4309F">
              <w:rPr>
                <w:b/>
                <w:color w:val="211E1F"/>
                <w:sz w:val="18"/>
              </w:rPr>
              <w:t>Coastal</w:t>
            </w:r>
            <w:r w:rsidRPr="00D4309F">
              <w:rPr>
                <w:b/>
                <w:color w:val="211E1F"/>
                <w:spacing w:val="-4"/>
                <w:sz w:val="18"/>
              </w:rPr>
              <w:t xml:space="preserve"> </w:t>
            </w:r>
            <w:r w:rsidRPr="00D4309F">
              <w:rPr>
                <w:b/>
                <w:color w:val="211E1F"/>
                <w:spacing w:val="-2"/>
                <w:sz w:val="18"/>
              </w:rPr>
              <w:t>engineering</w:t>
            </w:r>
          </w:p>
        </w:tc>
        <w:tc>
          <w:tcPr>
            <w:tcW w:w="3427" w:type="pct"/>
          </w:tcPr>
          <w:p w14:paraId="19926412" w14:textId="77777777" w:rsidR="0019624B" w:rsidRPr="00D4309F" w:rsidRDefault="0019624B" w:rsidP="0019624B">
            <w:pPr>
              <w:pStyle w:val="TableParagraph"/>
              <w:spacing w:before="39"/>
              <w:ind w:left="166"/>
              <w:rPr>
                <w:sz w:val="18"/>
              </w:rPr>
            </w:pPr>
            <w:r w:rsidRPr="00D4309F">
              <w:rPr>
                <w:color w:val="211E1F"/>
                <w:sz w:val="18"/>
              </w:rPr>
              <w:t>Effectiveness:</w:t>
            </w:r>
            <w:r w:rsidRPr="00D4309F">
              <w:rPr>
                <w:color w:val="211E1F"/>
                <w:spacing w:val="-2"/>
                <w:sz w:val="18"/>
              </w:rPr>
              <w:t xml:space="preserve"> </w:t>
            </w:r>
            <w:r w:rsidRPr="00D4309F">
              <w:rPr>
                <w:color w:val="211E1F"/>
                <w:sz w:val="18"/>
              </w:rPr>
              <w:t>Likely</w:t>
            </w:r>
            <w:r w:rsidRPr="00D4309F">
              <w:rPr>
                <w:color w:val="211E1F"/>
                <w:spacing w:val="-1"/>
                <w:sz w:val="18"/>
              </w:rPr>
              <w:t xml:space="preserve"> </w:t>
            </w:r>
            <w:r w:rsidRPr="00D4309F">
              <w:rPr>
                <w:color w:val="211E1F"/>
                <w:sz w:val="18"/>
              </w:rPr>
              <w:t>ability</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shift</w:t>
            </w:r>
            <w:r w:rsidRPr="00D4309F">
              <w:rPr>
                <w:color w:val="211E1F"/>
                <w:spacing w:val="-2"/>
                <w:sz w:val="18"/>
              </w:rPr>
              <w:t xml:space="preserve"> </w:t>
            </w:r>
            <w:r w:rsidRPr="00D4309F">
              <w:rPr>
                <w:color w:val="211E1F"/>
                <w:sz w:val="18"/>
              </w:rPr>
              <w:t>enough</w:t>
            </w:r>
            <w:r w:rsidRPr="00D4309F">
              <w:rPr>
                <w:color w:val="211E1F"/>
                <w:spacing w:val="-3"/>
                <w:sz w:val="18"/>
              </w:rPr>
              <w:t xml:space="preserve"> </w:t>
            </w:r>
            <w:r w:rsidRPr="00D4309F">
              <w:rPr>
                <w:color w:val="211E1F"/>
                <w:sz w:val="18"/>
              </w:rPr>
              <w:t>sand</w:t>
            </w:r>
            <w:r w:rsidRPr="00D4309F">
              <w:rPr>
                <w:color w:val="211E1F"/>
                <w:spacing w:val="-3"/>
                <w:sz w:val="18"/>
              </w:rPr>
              <w:t xml:space="preserve"> </w:t>
            </w:r>
            <w:r w:rsidRPr="00D4309F">
              <w:rPr>
                <w:color w:val="211E1F"/>
                <w:sz w:val="18"/>
              </w:rPr>
              <w:t>past</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entrance</w:t>
            </w:r>
            <w:r w:rsidRPr="00D4309F">
              <w:rPr>
                <w:color w:val="211E1F"/>
                <w:spacing w:val="-3"/>
                <w:sz w:val="18"/>
              </w:rPr>
              <w:t xml:space="preserve"> </w:t>
            </w:r>
            <w:r w:rsidRPr="00D4309F">
              <w:rPr>
                <w:color w:val="211E1F"/>
                <w:sz w:val="18"/>
              </w:rPr>
              <w:t>(bypassing</w:t>
            </w:r>
            <w:r w:rsidRPr="00D4309F">
              <w:rPr>
                <w:color w:val="211E1F"/>
                <w:spacing w:val="-3"/>
                <w:sz w:val="18"/>
              </w:rPr>
              <w:t xml:space="preserve"> </w:t>
            </w:r>
            <w:r w:rsidRPr="00D4309F">
              <w:rPr>
                <w:color w:val="211E1F"/>
                <w:sz w:val="18"/>
              </w:rPr>
              <w:t>efficiency,</w:t>
            </w:r>
            <w:r w:rsidRPr="00D4309F">
              <w:rPr>
                <w:color w:val="211E1F"/>
                <w:spacing w:val="-2"/>
                <w:sz w:val="18"/>
              </w:rPr>
              <w:t xml:space="preserve"> </w:t>
            </w:r>
            <w:r w:rsidRPr="00D4309F">
              <w:rPr>
                <w:color w:val="211E1F"/>
                <w:sz w:val="18"/>
              </w:rPr>
              <w:t>trap</w:t>
            </w:r>
            <w:r w:rsidRPr="00D4309F">
              <w:rPr>
                <w:color w:val="211E1F"/>
                <w:spacing w:val="-3"/>
                <w:sz w:val="18"/>
              </w:rPr>
              <w:t xml:space="preserve"> </w:t>
            </w:r>
            <w:r w:rsidRPr="00D4309F">
              <w:rPr>
                <w:color w:val="211E1F"/>
                <w:sz w:val="18"/>
              </w:rPr>
              <w:t>capture</w:t>
            </w:r>
            <w:r w:rsidRPr="00D4309F">
              <w:rPr>
                <w:color w:val="211E1F"/>
                <w:spacing w:val="-3"/>
                <w:sz w:val="18"/>
              </w:rPr>
              <w:t xml:space="preserve"> </w:t>
            </w:r>
            <w:r w:rsidRPr="00D4309F">
              <w:rPr>
                <w:color w:val="211E1F"/>
                <w:sz w:val="18"/>
              </w:rPr>
              <w:t>rate,</w:t>
            </w:r>
            <w:r w:rsidRPr="00D4309F">
              <w:rPr>
                <w:color w:val="211E1F"/>
                <w:spacing w:val="-2"/>
                <w:sz w:val="18"/>
              </w:rPr>
              <w:t xml:space="preserve"> </w:t>
            </w:r>
            <w:r w:rsidRPr="00D4309F">
              <w:rPr>
                <w:color w:val="211E1F"/>
                <w:sz w:val="18"/>
              </w:rPr>
              <w:t>reduction</w:t>
            </w:r>
            <w:r w:rsidRPr="00D4309F">
              <w:rPr>
                <w:color w:val="211E1F"/>
                <w:spacing w:val="-3"/>
                <w:sz w:val="18"/>
              </w:rPr>
              <w:t xml:space="preserve"> </w:t>
            </w:r>
            <w:r w:rsidRPr="00D4309F">
              <w:rPr>
                <w:color w:val="211E1F"/>
                <w:sz w:val="18"/>
              </w:rPr>
              <w:t>in</w:t>
            </w:r>
            <w:r w:rsidRPr="00D4309F">
              <w:rPr>
                <w:color w:val="211E1F"/>
                <w:spacing w:val="-3"/>
                <w:sz w:val="18"/>
              </w:rPr>
              <w:t xml:space="preserve"> </w:t>
            </w:r>
            <w:r w:rsidRPr="00D4309F">
              <w:rPr>
                <w:color w:val="211E1F"/>
                <w:sz w:val="18"/>
              </w:rPr>
              <w:t>shoal frequency/magnitude, entrance depth reliability).</w:t>
            </w:r>
          </w:p>
        </w:tc>
        <w:tc>
          <w:tcPr>
            <w:tcW w:w="571" w:type="pct"/>
          </w:tcPr>
          <w:p w14:paraId="2015C508" w14:textId="09357FFF" w:rsidR="0019624B" w:rsidRPr="00D4309F" w:rsidRDefault="0019624B" w:rsidP="0019624B">
            <w:pPr>
              <w:pStyle w:val="TableParagraph"/>
              <w:spacing w:before="39"/>
              <w:ind w:left="485"/>
              <w:rPr>
                <w:sz w:val="18"/>
              </w:rPr>
            </w:pPr>
            <w:r w:rsidRPr="00D4309F">
              <w:rPr>
                <w:color w:val="211E1F"/>
                <w:spacing w:val="-10"/>
                <w:sz w:val="18"/>
              </w:rPr>
              <w:t>2</w:t>
            </w:r>
          </w:p>
        </w:tc>
      </w:tr>
      <w:tr w:rsidR="0019624B" w:rsidRPr="00D4309F" w14:paraId="0B8485F5" w14:textId="77777777">
        <w:trPr>
          <w:trHeight w:val="286"/>
        </w:trPr>
        <w:tc>
          <w:tcPr>
            <w:tcW w:w="1002" w:type="pct"/>
            <w:vMerge/>
          </w:tcPr>
          <w:p w14:paraId="40A35BF1" w14:textId="77777777" w:rsidR="0019624B" w:rsidRPr="00D4309F" w:rsidRDefault="0019624B" w:rsidP="0019624B">
            <w:pPr>
              <w:pStyle w:val="TableParagraph"/>
              <w:rPr>
                <w:rFonts w:ascii="Times New Roman"/>
                <w:sz w:val="18"/>
              </w:rPr>
            </w:pPr>
          </w:p>
        </w:tc>
        <w:tc>
          <w:tcPr>
            <w:tcW w:w="3427" w:type="pct"/>
          </w:tcPr>
          <w:p w14:paraId="560B0B7C" w14:textId="77777777" w:rsidR="0019624B" w:rsidRPr="00D4309F" w:rsidRDefault="0019624B" w:rsidP="0019624B">
            <w:pPr>
              <w:pStyle w:val="TableParagraph"/>
              <w:spacing w:before="39"/>
              <w:ind w:left="165"/>
              <w:rPr>
                <w:sz w:val="18"/>
              </w:rPr>
            </w:pPr>
            <w:r w:rsidRPr="00D4309F">
              <w:rPr>
                <w:color w:val="211E1F"/>
                <w:sz w:val="18"/>
              </w:rPr>
              <w:t>Impacts</w:t>
            </w:r>
            <w:r w:rsidRPr="00D4309F">
              <w:rPr>
                <w:color w:val="211E1F"/>
                <w:spacing w:val="-5"/>
                <w:sz w:val="18"/>
              </w:rPr>
              <w:t xml:space="preserve"> </w:t>
            </w:r>
            <w:r w:rsidRPr="00D4309F">
              <w:rPr>
                <w:color w:val="211E1F"/>
                <w:sz w:val="18"/>
              </w:rPr>
              <w:t>on</w:t>
            </w:r>
            <w:r w:rsidRPr="00D4309F">
              <w:rPr>
                <w:color w:val="211E1F"/>
                <w:spacing w:val="-2"/>
                <w:sz w:val="18"/>
              </w:rPr>
              <w:t xml:space="preserve"> </w:t>
            </w:r>
            <w:r w:rsidRPr="00D4309F">
              <w:rPr>
                <w:color w:val="211E1F"/>
                <w:sz w:val="18"/>
              </w:rPr>
              <w:t>coastal</w:t>
            </w:r>
            <w:r w:rsidRPr="00D4309F">
              <w:rPr>
                <w:color w:val="211E1F"/>
                <w:spacing w:val="-2"/>
                <w:sz w:val="18"/>
              </w:rPr>
              <w:t xml:space="preserve"> </w:t>
            </w:r>
            <w:r w:rsidRPr="00D4309F">
              <w:rPr>
                <w:color w:val="211E1F"/>
                <w:sz w:val="18"/>
              </w:rPr>
              <w:t>processes:</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level</w:t>
            </w:r>
            <w:r w:rsidRPr="00D4309F">
              <w:rPr>
                <w:color w:val="211E1F"/>
                <w:spacing w:val="-2"/>
                <w:sz w:val="18"/>
              </w:rPr>
              <w:t xml:space="preserve"> </w:t>
            </w:r>
            <w:r w:rsidRPr="00D4309F">
              <w:rPr>
                <w:color w:val="211E1F"/>
                <w:sz w:val="18"/>
              </w:rPr>
              <w:t>in</w:t>
            </w:r>
            <w:r w:rsidRPr="00D4309F">
              <w:rPr>
                <w:color w:val="211E1F"/>
                <w:spacing w:val="-3"/>
                <w:sz w:val="18"/>
              </w:rPr>
              <w:t xml:space="preserve"> </w:t>
            </w:r>
            <w:r w:rsidRPr="00D4309F">
              <w:rPr>
                <w:color w:val="211E1F"/>
                <w:sz w:val="18"/>
              </w:rPr>
              <w:t>which</w:t>
            </w:r>
            <w:r w:rsidRPr="00D4309F">
              <w:rPr>
                <w:color w:val="211E1F"/>
                <w:spacing w:val="-3"/>
                <w:sz w:val="18"/>
              </w:rPr>
              <w:t xml:space="preserve"> </w:t>
            </w:r>
            <w:r w:rsidRPr="00D4309F">
              <w:rPr>
                <w:color w:val="211E1F"/>
                <w:sz w:val="18"/>
              </w:rPr>
              <w:t>it</w:t>
            </w:r>
            <w:r w:rsidRPr="00D4309F">
              <w:rPr>
                <w:color w:val="211E1F"/>
                <w:spacing w:val="-2"/>
                <w:sz w:val="18"/>
              </w:rPr>
              <w:t xml:space="preserve"> </w:t>
            </w:r>
            <w:r w:rsidRPr="00D4309F">
              <w:rPr>
                <w:color w:val="211E1F"/>
                <w:sz w:val="18"/>
              </w:rPr>
              <w:t>changes</w:t>
            </w:r>
            <w:r w:rsidRPr="00D4309F">
              <w:rPr>
                <w:color w:val="211E1F"/>
                <w:spacing w:val="-1"/>
                <w:sz w:val="18"/>
              </w:rPr>
              <w:t xml:space="preserve"> </w:t>
            </w:r>
            <w:r w:rsidRPr="00D4309F">
              <w:rPr>
                <w:color w:val="211E1F"/>
                <w:sz w:val="18"/>
              </w:rPr>
              <w:t>or</w:t>
            </w:r>
            <w:r w:rsidRPr="00D4309F">
              <w:rPr>
                <w:color w:val="211E1F"/>
                <w:spacing w:val="-2"/>
                <w:sz w:val="18"/>
              </w:rPr>
              <w:t xml:space="preserve"> </w:t>
            </w:r>
            <w:r w:rsidRPr="00D4309F">
              <w:rPr>
                <w:color w:val="211E1F"/>
                <w:sz w:val="18"/>
              </w:rPr>
              <w:t>has</w:t>
            </w:r>
            <w:r w:rsidRPr="00D4309F">
              <w:rPr>
                <w:color w:val="211E1F"/>
                <w:spacing w:val="-3"/>
                <w:sz w:val="18"/>
              </w:rPr>
              <w:t xml:space="preserve"> </w:t>
            </w:r>
            <w:r w:rsidRPr="00D4309F">
              <w:rPr>
                <w:color w:val="211E1F"/>
                <w:sz w:val="18"/>
              </w:rPr>
              <w:t>negative</w:t>
            </w:r>
            <w:r w:rsidRPr="00D4309F">
              <w:rPr>
                <w:color w:val="211E1F"/>
                <w:spacing w:val="-2"/>
                <w:sz w:val="18"/>
              </w:rPr>
              <w:t xml:space="preserve"> </w:t>
            </w:r>
            <w:r w:rsidRPr="00D4309F">
              <w:rPr>
                <w:color w:val="211E1F"/>
                <w:sz w:val="18"/>
              </w:rPr>
              <w:t>impacts</w:t>
            </w:r>
            <w:r w:rsidRPr="00D4309F">
              <w:rPr>
                <w:color w:val="211E1F"/>
                <w:spacing w:val="-2"/>
                <w:sz w:val="18"/>
              </w:rPr>
              <w:t xml:space="preserve"> </w:t>
            </w:r>
            <w:r w:rsidRPr="00D4309F">
              <w:rPr>
                <w:color w:val="211E1F"/>
                <w:sz w:val="18"/>
              </w:rPr>
              <w:t>on</w:t>
            </w:r>
            <w:r w:rsidRPr="00D4309F">
              <w:rPr>
                <w:color w:val="211E1F"/>
                <w:spacing w:val="-3"/>
                <w:sz w:val="18"/>
              </w:rPr>
              <w:t xml:space="preserve"> </w:t>
            </w:r>
            <w:r w:rsidRPr="00D4309F">
              <w:rPr>
                <w:color w:val="211E1F"/>
                <w:sz w:val="18"/>
              </w:rPr>
              <w:t>existing</w:t>
            </w:r>
            <w:r w:rsidRPr="00D4309F">
              <w:rPr>
                <w:color w:val="211E1F"/>
                <w:spacing w:val="-3"/>
                <w:sz w:val="18"/>
              </w:rPr>
              <w:t xml:space="preserve"> </w:t>
            </w:r>
            <w:r w:rsidRPr="00D4309F">
              <w:rPr>
                <w:color w:val="211E1F"/>
                <w:sz w:val="18"/>
              </w:rPr>
              <w:t>coastal</w:t>
            </w:r>
            <w:r w:rsidRPr="00D4309F">
              <w:rPr>
                <w:color w:val="211E1F"/>
                <w:spacing w:val="-1"/>
                <w:sz w:val="18"/>
              </w:rPr>
              <w:t xml:space="preserve"> </w:t>
            </w:r>
            <w:r w:rsidRPr="00D4309F">
              <w:rPr>
                <w:color w:val="211E1F"/>
                <w:spacing w:val="-2"/>
                <w:sz w:val="18"/>
              </w:rPr>
              <w:t>processes</w:t>
            </w:r>
          </w:p>
        </w:tc>
        <w:tc>
          <w:tcPr>
            <w:tcW w:w="571" w:type="pct"/>
          </w:tcPr>
          <w:p w14:paraId="00C47336" w14:textId="05048F3D" w:rsidR="0019624B" w:rsidRPr="00D4309F" w:rsidRDefault="0019624B" w:rsidP="0019624B">
            <w:pPr>
              <w:pStyle w:val="TableParagraph"/>
              <w:spacing w:before="39"/>
              <w:ind w:left="485"/>
              <w:rPr>
                <w:sz w:val="18"/>
              </w:rPr>
            </w:pPr>
            <w:r w:rsidRPr="00D4309F">
              <w:rPr>
                <w:color w:val="211E1F"/>
                <w:spacing w:val="-10"/>
                <w:sz w:val="18"/>
              </w:rPr>
              <w:t>5</w:t>
            </w:r>
          </w:p>
        </w:tc>
      </w:tr>
      <w:tr w:rsidR="0019624B" w:rsidRPr="00D4309F" w14:paraId="5ACBC09C" w14:textId="77777777">
        <w:trPr>
          <w:trHeight w:val="287"/>
        </w:trPr>
        <w:tc>
          <w:tcPr>
            <w:tcW w:w="1002" w:type="pct"/>
            <w:vMerge/>
          </w:tcPr>
          <w:p w14:paraId="7613C957" w14:textId="77777777" w:rsidR="0019624B" w:rsidRPr="00D4309F" w:rsidRDefault="0019624B" w:rsidP="0019624B">
            <w:pPr>
              <w:pStyle w:val="TableParagraph"/>
              <w:rPr>
                <w:rFonts w:ascii="Times New Roman"/>
                <w:sz w:val="18"/>
              </w:rPr>
            </w:pPr>
          </w:p>
        </w:tc>
        <w:tc>
          <w:tcPr>
            <w:tcW w:w="3427" w:type="pct"/>
          </w:tcPr>
          <w:p w14:paraId="702002EE" w14:textId="77777777" w:rsidR="0019624B" w:rsidRPr="00D4309F" w:rsidRDefault="0019624B" w:rsidP="0019624B">
            <w:pPr>
              <w:pStyle w:val="TableParagraph"/>
              <w:spacing w:before="41"/>
              <w:ind w:left="165"/>
              <w:rPr>
                <w:sz w:val="18"/>
              </w:rPr>
            </w:pPr>
            <w:r w:rsidRPr="00D4309F">
              <w:rPr>
                <w:color w:val="211E1F"/>
                <w:sz w:val="18"/>
              </w:rPr>
              <w:t>Design</w:t>
            </w:r>
            <w:r w:rsidRPr="00D4309F">
              <w:rPr>
                <w:color w:val="211E1F"/>
                <w:spacing w:val="-5"/>
                <w:sz w:val="18"/>
              </w:rPr>
              <w:t xml:space="preserve"> </w:t>
            </w:r>
            <w:r w:rsidRPr="00D4309F">
              <w:rPr>
                <w:color w:val="211E1F"/>
                <w:sz w:val="18"/>
              </w:rPr>
              <w:t>and</w:t>
            </w:r>
            <w:r w:rsidRPr="00D4309F">
              <w:rPr>
                <w:color w:val="211E1F"/>
                <w:spacing w:val="-3"/>
                <w:sz w:val="18"/>
              </w:rPr>
              <w:t xml:space="preserve"> </w:t>
            </w:r>
            <w:r w:rsidRPr="00D4309F">
              <w:rPr>
                <w:color w:val="211E1F"/>
                <w:sz w:val="18"/>
              </w:rPr>
              <w:t>approvals:</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far</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option</w:t>
            </w:r>
            <w:r w:rsidRPr="00D4309F">
              <w:rPr>
                <w:color w:val="211E1F"/>
                <w:spacing w:val="-1"/>
                <w:sz w:val="18"/>
              </w:rPr>
              <w:t xml:space="preserve"> </w:t>
            </w:r>
            <w:r w:rsidRPr="00D4309F">
              <w:rPr>
                <w:color w:val="211E1F"/>
                <w:sz w:val="18"/>
              </w:rPr>
              <w:t>progressed</w:t>
            </w:r>
            <w:r w:rsidRPr="00D4309F">
              <w:rPr>
                <w:color w:val="211E1F"/>
                <w:spacing w:val="-3"/>
                <w:sz w:val="18"/>
              </w:rPr>
              <w:t xml:space="preserve"> </w:t>
            </w:r>
            <w:r w:rsidRPr="00D4309F">
              <w:rPr>
                <w:color w:val="211E1F"/>
                <w:sz w:val="18"/>
              </w:rPr>
              <w:t>with</w:t>
            </w:r>
            <w:r w:rsidRPr="00D4309F">
              <w:rPr>
                <w:color w:val="211E1F"/>
                <w:spacing w:val="-3"/>
                <w:sz w:val="18"/>
              </w:rPr>
              <w:t xml:space="preserve"> </w:t>
            </w:r>
            <w:r w:rsidRPr="00D4309F">
              <w:rPr>
                <w:color w:val="211E1F"/>
                <w:sz w:val="18"/>
              </w:rPr>
              <w:t>design</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approvals</w:t>
            </w:r>
            <w:r w:rsidRPr="00D4309F">
              <w:rPr>
                <w:color w:val="211E1F"/>
                <w:spacing w:val="-2"/>
                <w:sz w:val="18"/>
              </w:rPr>
              <w:t xml:space="preserve"> </w:t>
            </w:r>
            <w:r w:rsidRPr="00D4309F">
              <w:rPr>
                <w:color w:val="211E1F"/>
                <w:sz w:val="18"/>
              </w:rPr>
              <w:t>and</w:t>
            </w:r>
            <w:r w:rsidRPr="00D4309F">
              <w:rPr>
                <w:color w:val="211E1F"/>
                <w:spacing w:val="-3"/>
                <w:sz w:val="18"/>
              </w:rPr>
              <w:t xml:space="preserve"> </w:t>
            </w:r>
            <w:r w:rsidRPr="00D4309F">
              <w:rPr>
                <w:color w:val="211E1F"/>
                <w:sz w:val="18"/>
              </w:rPr>
              <w:t>how</w:t>
            </w:r>
            <w:r w:rsidRPr="00D4309F">
              <w:rPr>
                <w:color w:val="211E1F"/>
                <w:spacing w:val="-2"/>
                <w:sz w:val="18"/>
              </w:rPr>
              <w:t xml:space="preserve"> </w:t>
            </w:r>
            <w:r w:rsidRPr="00D4309F">
              <w:rPr>
                <w:color w:val="211E1F"/>
                <w:sz w:val="18"/>
              </w:rPr>
              <w:t>much</w:t>
            </w:r>
            <w:r w:rsidRPr="00D4309F">
              <w:rPr>
                <w:color w:val="211E1F"/>
                <w:spacing w:val="-3"/>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2"/>
                <w:sz w:val="18"/>
              </w:rPr>
              <w:t xml:space="preserve"> required</w:t>
            </w:r>
          </w:p>
        </w:tc>
        <w:tc>
          <w:tcPr>
            <w:tcW w:w="571" w:type="pct"/>
          </w:tcPr>
          <w:p w14:paraId="171D517C" w14:textId="2F060250" w:rsidR="0019624B" w:rsidRPr="00D4309F" w:rsidRDefault="0019624B" w:rsidP="0019624B">
            <w:pPr>
              <w:pStyle w:val="TableParagraph"/>
              <w:spacing w:before="41"/>
              <w:ind w:left="484"/>
              <w:rPr>
                <w:sz w:val="18"/>
              </w:rPr>
            </w:pPr>
            <w:r w:rsidRPr="00D4309F">
              <w:rPr>
                <w:color w:val="211E1F"/>
                <w:spacing w:val="-10"/>
                <w:sz w:val="18"/>
              </w:rPr>
              <w:t>2</w:t>
            </w:r>
          </w:p>
        </w:tc>
      </w:tr>
      <w:tr w:rsidR="0019624B" w:rsidRPr="00D4309F" w14:paraId="0F68EDB6" w14:textId="77777777">
        <w:trPr>
          <w:trHeight w:val="286"/>
        </w:trPr>
        <w:tc>
          <w:tcPr>
            <w:tcW w:w="1002" w:type="pct"/>
            <w:vMerge/>
          </w:tcPr>
          <w:p w14:paraId="55A91436" w14:textId="77777777" w:rsidR="0019624B" w:rsidRPr="00D4309F" w:rsidRDefault="0019624B" w:rsidP="0019624B">
            <w:pPr>
              <w:pStyle w:val="TableParagraph"/>
              <w:rPr>
                <w:rFonts w:ascii="Times New Roman"/>
                <w:sz w:val="18"/>
              </w:rPr>
            </w:pPr>
          </w:p>
        </w:tc>
        <w:tc>
          <w:tcPr>
            <w:tcW w:w="3427" w:type="pct"/>
          </w:tcPr>
          <w:p w14:paraId="527938E7" w14:textId="77777777" w:rsidR="0019624B" w:rsidRPr="00D4309F" w:rsidRDefault="0019624B" w:rsidP="0019624B">
            <w:pPr>
              <w:pStyle w:val="TableParagraph"/>
              <w:spacing w:before="39"/>
              <w:ind w:left="165"/>
              <w:rPr>
                <w:sz w:val="18"/>
              </w:rPr>
            </w:pPr>
            <w:r w:rsidRPr="00D4309F">
              <w:rPr>
                <w:color w:val="211E1F"/>
                <w:sz w:val="18"/>
              </w:rPr>
              <w:t>Capital</w:t>
            </w:r>
            <w:r w:rsidRPr="00D4309F">
              <w:rPr>
                <w:color w:val="211E1F"/>
                <w:spacing w:val="-5"/>
                <w:sz w:val="18"/>
              </w:rPr>
              <w:t xml:space="preserve"> </w:t>
            </w:r>
            <w:r w:rsidRPr="00D4309F">
              <w:rPr>
                <w:color w:val="211E1F"/>
                <w:sz w:val="18"/>
              </w:rPr>
              <w:t>works:</w:t>
            </w:r>
            <w:r w:rsidRPr="00D4309F">
              <w:rPr>
                <w:color w:val="211E1F"/>
                <w:spacing w:val="-1"/>
                <w:sz w:val="18"/>
              </w:rPr>
              <w:t xml:space="preserve"> </w:t>
            </w:r>
            <w:r w:rsidRPr="00D4309F">
              <w:rPr>
                <w:color w:val="211E1F"/>
                <w:sz w:val="18"/>
              </w:rPr>
              <w:t>how</w:t>
            </w:r>
            <w:r w:rsidRPr="00D4309F">
              <w:rPr>
                <w:color w:val="211E1F"/>
                <w:spacing w:val="-2"/>
                <w:sz w:val="18"/>
              </w:rPr>
              <w:t xml:space="preserve"> </w:t>
            </w:r>
            <w:r w:rsidRPr="00D4309F">
              <w:rPr>
                <w:color w:val="211E1F"/>
                <w:sz w:val="18"/>
              </w:rPr>
              <w:t>significant</w:t>
            </w:r>
            <w:r w:rsidRPr="00D4309F">
              <w:rPr>
                <w:color w:val="211E1F"/>
                <w:spacing w:val="-1"/>
                <w:sz w:val="18"/>
              </w:rPr>
              <w:t xml:space="preserve"> </w:t>
            </w:r>
            <w:r w:rsidRPr="00D4309F">
              <w:rPr>
                <w:color w:val="211E1F"/>
                <w:sz w:val="18"/>
              </w:rPr>
              <w:t>the</w:t>
            </w:r>
            <w:r w:rsidRPr="00D4309F">
              <w:rPr>
                <w:color w:val="211E1F"/>
                <w:spacing w:val="-4"/>
                <w:sz w:val="18"/>
              </w:rPr>
              <w:t xml:space="preserve"> </w:t>
            </w:r>
            <w:r w:rsidRPr="00D4309F">
              <w:rPr>
                <w:color w:val="211E1F"/>
                <w:sz w:val="18"/>
              </w:rPr>
              <w:t>capital</w:t>
            </w:r>
            <w:r w:rsidRPr="00D4309F">
              <w:rPr>
                <w:color w:val="211E1F"/>
                <w:spacing w:val="-2"/>
                <w:sz w:val="18"/>
              </w:rPr>
              <w:t xml:space="preserve"> </w:t>
            </w:r>
            <w:r w:rsidRPr="00D4309F">
              <w:rPr>
                <w:color w:val="211E1F"/>
                <w:sz w:val="18"/>
              </w:rPr>
              <w:t>works</w:t>
            </w:r>
            <w:r w:rsidRPr="00D4309F">
              <w:rPr>
                <w:color w:val="211E1F"/>
                <w:spacing w:val="-2"/>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and</w:t>
            </w:r>
            <w:r w:rsidRPr="00D4309F">
              <w:rPr>
                <w:color w:val="211E1F"/>
                <w:spacing w:val="-4"/>
                <w:sz w:val="18"/>
              </w:rPr>
              <w:t xml:space="preserve"> </w:t>
            </w:r>
            <w:r w:rsidRPr="00D4309F">
              <w:rPr>
                <w:color w:val="211E1F"/>
                <w:sz w:val="18"/>
              </w:rPr>
              <w:t>their</w:t>
            </w:r>
            <w:r w:rsidRPr="00D4309F">
              <w:rPr>
                <w:color w:val="211E1F"/>
                <w:spacing w:val="-2"/>
                <w:sz w:val="18"/>
              </w:rPr>
              <w:t xml:space="preserve"> </w:t>
            </w:r>
            <w:r w:rsidRPr="00D4309F">
              <w:rPr>
                <w:color w:val="211E1F"/>
                <w:sz w:val="18"/>
              </w:rPr>
              <w:t>impacts</w:t>
            </w:r>
            <w:r w:rsidRPr="00D4309F">
              <w:rPr>
                <w:color w:val="211E1F"/>
                <w:spacing w:val="-2"/>
                <w:sz w:val="18"/>
              </w:rPr>
              <w:t xml:space="preserve"> </w:t>
            </w:r>
            <w:r w:rsidRPr="00D4309F">
              <w:rPr>
                <w:color w:val="211E1F"/>
                <w:sz w:val="18"/>
              </w:rPr>
              <w:t>during</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pacing w:val="-2"/>
                <w:sz w:val="18"/>
              </w:rPr>
              <w:t>process</w:t>
            </w:r>
          </w:p>
        </w:tc>
        <w:tc>
          <w:tcPr>
            <w:tcW w:w="571" w:type="pct"/>
          </w:tcPr>
          <w:p w14:paraId="0F88D53B" w14:textId="7765168D" w:rsidR="0019624B" w:rsidRPr="00D4309F" w:rsidRDefault="0019624B" w:rsidP="0019624B">
            <w:pPr>
              <w:pStyle w:val="TableParagraph"/>
              <w:spacing w:before="39"/>
              <w:ind w:left="484"/>
              <w:rPr>
                <w:sz w:val="18"/>
              </w:rPr>
            </w:pPr>
            <w:r w:rsidRPr="00D4309F">
              <w:rPr>
                <w:color w:val="211E1F"/>
                <w:spacing w:val="-10"/>
                <w:sz w:val="18"/>
              </w:rPr>
              <w:t>1</w:t>
            </w:r>
          </w:p>
        </w:tc>
      </w:tr>
      <w:tr w:rsidR="0019624B" w:rsidRPr="00D4309F" w14:paraId="549BD7C7" w14:textId="77777777">
        <w:trPr>
          <w:trHeight w:val="287"/>
        </w:trPr>
        <w:tc>
          <w:tcPr>
            <w:tcW w:w="1002" w:type="pct"/>
            <w:vMerge/>
          </w:tcPr>
          <w:p w14:paraId="47741836" w14:textId="77777777" w:rsidR="0019624B" w:rsidRPr="00D4309F" w:rsidRDefault="0019624B" w:rsidP="0019624B">
            <w:pPr>
              <w:pStyle w:val="TableParagraph"/>
              <w:rPr>
                <w:rFonts w:ascii="Times New Roman"/>
                <w:sz w:val="18"/>
              </w:rPr>
            </w:pPr>
          </w:p>
        </w:tc>
        <w:tc>
          <w:tcPr>
            <w:tcW w:w="3427" w:type="pct"/>
          </w:tcPr>
          <w:p w14:paraId="4BD1B931" w14:textId="77777777" w:rsidR="0019624B" w:rsidRPr="00D4309F" w:rsidRDefault="0019624B" w:rsidP="0019624B">
            <w:pPr>
              <w:pStyle w:val="TableParagraph"/>
              <w:spacing w:before="41"/>
              <w:ind w:left="165"/>
              <w:rPr>
                <w:sz w:val="18"/>
              </w:rPr>
            </w:pPr>
            <w:r w:rsidRPr="00D4309F">
              <w:rPr>
                <w:color w:val="211E1F"/>
                <w:sz w:val="18"/>
              </w:rPr>
              <w:t>Operational</w:t>
            </w:r>
            <w:r w:rsidRPr="00D4309F">
              <w:rPr>
                <w:color w:val="211E1F"/>
                <w:spacing w:val="-5"/>
                <w:sz w:val="18"/>
              </w:rPr>
              <w:t xml:space="preserve"> </w:t>
            </w:r>
            <w:r w:rsidRPr="00D4309F">
              <w:rPr>
                <w:color w:val="211E1F"/>
                <w:sz w:val="18"/>
              </w:rPr>
              <w:t>works:</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significant</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operational</w:t>
            </w:r>
            <w:r w:rsidRPr="00D4309F">
              <w:rPr>
                <w:color w:val="211E1F"/>
                <w:spacing w:val="-2"/>
                <w:sz w:val="18"/>
              </w:rPr>
              <w:t xml:space="preserve"> </w:t>
            </w:r>
            <w:r w:rsidRPr="00D4309F">
              <w:rPr>
                <w:color w:val="211E1F"/>
                <w:sz w:val="18"/>
              </w:rPr>
              <w:t>works</w:t>
            </w:r>
            <w:r w:rsidRPr="00D4309F">
              <w:rPr>
                <w:color w:val="211E1F"/>
                <w:spacing w:val="-3"/>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their</w:t>
            </w:r>
            <w:r w:rsidRPr="00D4309F">
              <w:rPr>
                <w:color w:val="211E1F"/>
                <w:spacing w:val="-3"/>
                <w:sz w:val="18"/>
              </w:rPr>
              <w:t xml:space="preserve"> </w:t>
            </w:r>
            <w:r w:rsidRPr="00D4309F">
              <w:rPr>
                <w:color w:val="211E1F"/>
                <w:sz w:val="18"/>
              </w:rPr>
              <w:t>impacts</w:t>
            </w:r>
            <w:r w:rsidRPr="00D4309F">
              <w:rPr>
                <w:color w:val="211E1F"/>
                <w:spacing w:val="-2"/>
                <w:sz w:val="18"/>
              </w:rPr>
              <w:t xml:space="preserve"> </w:t>
            </w:r>
            <w:r w:rsidRPr="00D4309F">
              <w:rPr>
                <w:color w:val="211E1F"/>
                <w:sz w:val="18"/>
              </w:rPr>
              <w:t>during</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pacing w:val="-2"/>
                <w:sz w:val="18"/>
              </w:rPr>
              <w:t>process</w:t>
            </w:r>
          </w:p>
        </w:tc>
        <w:tc>
          <w:tcPr>
            <w:tcW w:w="571" w:type="pct"/>
          </w:tcPr>
          <w:p w14:paraId="47BA6404" w14:textId="4EF761F0" w:rsidR="0019624B" w:rsidRPr="00D4309F" w:rsidRDefault="0019624B" w:rsidP="0019624B">
            <w:pPr>
              <w:pStyle w:val="TableParagraph"/>
              <w:spacing w:before="41"/>
              <w:ind w:left="485"/>
              <w:rPr>
                <w:sz w:val="18"/>
              </w:rPr>
            </w:pPr>
            <w:r w:rsidRPr="00D4309F">
              <w:rPr>
                <w:color w:val="211E1F"/>
                <w:spacing w:val="-10"/>
                <w:sz w:val="18"/>
              </w:rPr>
              <w:t>3</w:t>
            </w:r>
          </w:p>
        </w:tc>
      </w:tr>
      <w:tr w:rsidR="0019624B" w:rsidRPr="00D4309F" w14:paraId="29CD24FB" w14:textId="77777777">
        <w:trPr>
          <w:trHeight w:val="286"/>
        </w:trPr>
        <w:tc>
          <w:tcPr>
            <w:tcW w:w="1002" w:type="pct"/>
            <w:vMerge/>
          </w:tcPr>
          <w:p w14:paraId="79B1BD77" w14:textId="77777777" w:rsidR="0019624B" w:rsidRPr="00D4309F" w:rsidRDefault="0019624B" w:rsidP="0019624B">
            <w:pPr>
              <w:pStyle w:val="TableParagraph"/>
              <w:rPr>
                <w:rFonts w:ascii="Times New Roman"/>
                <w:sz w:val="18"/>
              </w:rPr>
            </w:pPr>
          </w:p>
        </w:tc>
        <w:tc>
          <w:tcPr>
            <w:tcW w:w="3427" w:type="pct"/>
          </w:tcPr>
          <w:p w14:paraId="32BE65B5" w14:textId="77777777" w:rsidR="0019624B" w:rsidRPr="00D4309F" w:rsidRDefault="0019624B" w:rsidP="0019624B">
            <w:pPr>
              <w:pStyle w:val="TableParagraph"/>
              <w:spacing w:before="39"/>
              <w:ind w:left="165"/>
              <w:rPr>
                <w:sz w:val="18"/>
              </w:rPr>
            </w:pPr>
            <w:r w:rsidRPr="00D4309F">
              <w:rPr>
                <w:color w:val="211E1F"/>
                <w:sz w:val="18"/>
              </w:rPr>
              <w:t>Future</w:t>
            </w:r>
            <w:r w:rsidRPr="00D4309F">
              <w:rPr>
                <w:color w:val="211E1F"/>
                <w:spacing w:val="-6"/>
                <w:sz w:val="18"/>
              </w:rPr>
              <w:t xml:space="preserve"> </w:t>
            </w:r>
            <w:r w:rsidRPr="00D4309F">
              <w:rPr>
                <w:color w:val="211E1F"/>
                <w:sz w:val="18"/>
              </w:rPr>
              <w:t>adaption:</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well</w:t>
            </w:r>
            <w:r w:rsidRPr="00D4309F">
              <w:rPr>
                <w:color w:val="211E1F"/>
                <w:spacing w:val="-2"/>
                <w:sz w:val="18"/>
              </w:rPr>
              <w:t xml:space="preserve"> </w:t>
            </w:r>
            <w:r w:rsidRPr="00D4309F">
              <w:rPr>
                <w:color w:val="211E1F"/>
                <w:sz w:val="18"/>
              </w:rPr>
              <w:t>the</w:t>
            </w:r>
            <w:r w:rsidRPr="00D4309F">
              <w:rPr>
                <w:color w:val="211E1F"/>
                <w:spacing w:val="-1"/>
                <w:sz w:val="18"/>
              </w:rPr>
              <w:t xml:space="preserve"> </w:t>
            </w:r>
            <w:r w:rsidRPr="00D4309F">
              <w:rPr>
                <w:color w:val="211E1F"/>
                <w:sz w:val="18"/>
              </w:rPr>
              <w:t>option</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adapted</w:t>
            </w:r>
            <w:r w:rsidRPr="00D4309F">
              <w:rPr>
                <w:color w:val="211E1F"/>
                <w:spacing w:val="-3"/>
                <w:sz w:val="18"/>
              </w:rPr>
              <w:t xml:space="preserve"> </w:t>
            </w:r>
            <w:r w:rsidRPr="00D4309F">
              <w:rPr>
                <w:color w:val="211E1F"/>
                <w:sz w:val="18"/>
              </w:rPr>
              <w:t>to</w:t>
            </w:r>
            <w:r w:rsidRPr="00D4309F">
              <w:rPr>
                <w:color w:val="211E1F"/>
                <w:spacing w:val="-3"/>
                <w:sz w:val="18"/>
              </w:rPr>
              <w:t xml:space="preserve"> </w:t>
            </w:r>
            <w:r w:rsidRPr="00D4309F">
              <w:rPr>
                <w:color w:val="211E1F"/>
                <w:sz w:val="18"/>
              </w:rPr>
              <w:t>future</w:t>
            </w:r>
            <w:r w:rsidRPr="00D4309F">
              <w:rPr>
                <w:color w:val="211E1F"/>
                <w:spacing w:val="-3"/>
                <w:sz w:val="18"/>
              </w:rPr>
              <w:t xml:space="preserve"> </w:t>
            </w:r>
            <w:r w:rsidRPr="00D4309F">
              <w:rPr>
                <w:color w:val="211E1F"/>
                <w:spacing w:val="-2"/>
                <w:sz w:val="18"/>
              </w:rPr>
              <w:t>conditions</w:t>
            </w:r>
          </w:p>
        </w:tc>
        <w:tc>
          <w:tcPr>
            <w:tcW w:w="571" w:type="pct"/>
          </w:tcPr>
          <w:p w14:paraId="4D50A4BF" w14:textId="3AA28B7E" w:rsidR="0019624B" w:rsidRPr="00D4309F" w:rsidRDefault="0019624B" w:rsidP="0019624B">
            <w:pPr>
              <w:pStyle w:val="TableParagraph"/>
              <w:spacing w:before="39"/>
              <w:ind w:left="485"/>
              <w:rPr>
                <w:sz w:val="18"/>
              </w:rPr>
            </w:pPr>
            <w:r w:rsidRPr="00D4309F">
              <w:rPr>
                <w:color w:val="211E1F"/>
                <w:spacing w:val="-10"/>
                <w:sz w:val="18"/>
              </w:rPr>
              <w:t>3</w:t>
            </w:r>
          </w:p>
        </w:tc>
      </w:tr>
      <w:tr w:rsidR="0019624B" w:rsidRPr="00D4309F" w14:paraId="2A792106" w14:textId="77777777">
        <w:trPr>
          <w:trHeight w:val="287"/>
        </w:trPr>
        <w:tc>
          <w:tcPr>
            <w:tcW w:w="1002" w:type="pct"/>
            <w:vMerge/>
          </w:tcPr>
          <w:p w14:paraId="3E1072BF" w14:textId="77777777" w:rsidR="0019624B" w:rsidRPr="00D4309F" w:rsidRDefault="0019624B" w:rsidP="0019624B">
            <w:pPr>
              <w:pStyle w:val="TableParagraph"/>
              <w:rPr>
                <w:rFonts w:ascii="Times New Roman"/>
                <w:sz w:val="18"/>
              </w:rPr>
            </w:pPr>
          </w:p>
        </w:tc>
        <w:tc>
          <w:tcPr>
            <w:tcW w:w="3427" w:type="pct"/>
          </w:tcPr>
          <w:p w14:paraId="180EE0C2" w14:textId="77777777" w:rsidR="0019624B" w:rsidRPr="00D4309F" w:rsidRDefault="0019624B" w:rsidP="0019624B">
            <w:pPr>
              <w:pStyle w:val="TableParagraph"/>
              <w:rPr>
                <w:rFonts w:ascii="Times New Roman"/>
                <w:sz w:val="18"/>
              </w:rPr>
            </w:pPr>
          </w:p>
        </w:tc>
        <w:tc>
          <w:tcPr>
            <w:tcW w:w="571" w:type="pct"/>
          </w:tcPr>
          <w:p w14:paraId="0DD11E03" w14:textId="77777777" w:rsidR="0019624B" w:rsidRPr="00D4309F" w:rsidRDefault="0019624B" w:rsidP="0019624B">
            <w:pPr>
              <w:pStyle w:val="TableParagraph"/>
              <w:rPr>
                <w:rFonts w:ascii="Times New Roman"/>
                <w:sz w:val="18"/>
              </w:rPr>
            </w:pPr>
          </w:p>
        </w:tc>
      </w:tr>
      <w:tr w:rsidR="0019624B" w:rsidRPr="00D4309F" w14:paraId="055B93D1" w14:textId="77777777">
        <w:trPr>
          <w:trHeight w:val="286"/>
        </w:trPr>
        <w:tc>
          <w:tcPr>
            <w:tcW w:w="1002" w:type="pct"/>
            <w:vMerge/>
          </w:tcPr>
          <w:p w14:paraId="03F4A50C" w14:textId="77777777" w:rsidR="0019624B" w:rsidRPr="00D4309F" w:rsidRDefault="0019624B" w:rsidP="0019624B">
            <w:pPr>
              <w:pStyle w:val="TableParagraph"/>
              <w:rPr>
                <w:rFonts w:ascii="Times New Roman"/>
                <w:sz w:val="18"/>
              </w:rPr>
            </w:pPr>
          </w:p>
        </w:tc>
        <w:tc>
          <w:tcPr>
            <w:tcW w:w="3427" w:type="pct"/>
          </w:tcPr>
          <w:p w14:paraId="5B6C63DF" w14:textId="77777777" w:rsidR="0019624B" w:rsidRPr="00D4309F" w:rsidRDefault="0019624B" w:rsidP="0019624B">
            <w:pPr>
              <w:pStyle w:val="TableParagraph"/>
              <w:spacing w:before="39"/>
              <w:ind w:left="165"/>
              <w:rPr>
                <w:b/>
                <w:sz w:val="18"/>
              </w:rPr>
            </w:pPr>
            <w:r w:rsidRPr="00D4309F">
              <w:rPr>
                <w:b/>
                <w:color w:val="211E1F"/>
                <w:sz w:val="18"/>
              </w:rPr>
              <w:t>Sub-</w:t>
            </w:r>
            <w:r w:rsidRPr="00D4309F">
              <w:rPr>
                <w:b/>
                <w:color w:val="211E1F"/>
                <w:spacing w:val="-2"/>
                <w:sz w:val="18"/>
              </w:rPr>
              <w:t>total</w:t>
            </w:r>
          </w:p>
        </w:tc>
        <w:tc>
          <w:tcPr>
            <w:tcW w:w="571" w:type="pct"/>
          </w:tcPr>
          <w:p w14:paraId="684049C9" w14:textId="6C88953D" w:rsidR="0019624B" w:rsidRPr="00D4309F" w:rsidRDefault="0019624B" w:rsidP="0019624B">
            <w:pPr>
              <w:pStyle w:val="TableParagraph"/>
              <w:spacing w:before="39"/>
              <w:ind w:left="485"/>
              <w:rPr>
                <w:b/>
                <w:sz w:val="18"/>
              </w:rPr>
            </w:pPr>
            <w:r w:rsidRPr="00D4309F">
              <w:rPr>
                <w:b/>
                <w:color w:val="211E1F"/>
                <w:spacing w:val="-5"/>
                <w:sz w:val="18"/>
              </w:rPr>
              <w:t>16</w:t>
            </w:r>
          </w:p>
        </w:tc>
      </w:tr>
      <w:tr w:rsidR="0019624B" w:rsidRPr="00D4309F" w14:paraId="2F40126D" w14:textId="77777777">
        <w:trPr>
          <w:trHeight w:val="287"/>
        </w:trPr>
        <w:tc>
          <w:tcPr>
            <w:tcW w:w="1002" w:type="pct"/>
            <w:vMerge w:val="restart"/>
          </w:tcPr>
          <w:p w14:paraId="25426CB4" w14:textId="77777777" w:rsidR="0019624B" w:rsidRPr="00D4309F" w:rsidRDefault="0019624B" w:rsidP="0019624B">
            <w:pPr>
              <w:pStyle w:val="TableParagraph"/>
              <w:spacing w:before="41"/>
              <w:ind w:left="165"/>
              <w:rPr>
                <w:b/>
                <w:sz w:val="18"/>
              </w:rPr>
            </w:pPr>
            <w:r w:rsidRPr="00D4309F">
              <w:rPr>
                <w:b/>
                <w:color w:val="211E1F"/>
                <w:spacing w:val="-2"/>
                <w:sz w:val="18"/>
              </w:rPr>
              <w:lastRenderedPageBreak/>
              <w:t>Safety</w:t>
            </w:r>
          </w:p>
        </w:tc>
        <w:tc>
          <w:tcPr>
            <w:tcW w:w="3427" w:type="pct"/>
          </w:tcPr>
          <w:p w14:paraId="0050FC94" w14:textId="77777777" w:rsidR="0019624B" w:rsidRPr="00D4309F" w:rsidRDefault="0019624B" w:rsidP="0019624B">
            <w:pPr>
              <w:pStyle w:val="TableParagraph"/>
              <w:spacing w:before="41"/>
              <w:ind w:left="166"/>
              <w:rPr>
                <w:sz w:val="18"/>
              </w:rPr>
            </w:pPr>
            <w:r w:rsidRPr="00D4309F">
              <w:rPr>
                <w:color w:val="211E1F"/>
                <w:sz w:val="18"/>
              </w:rPr>
              <w:t>Reliability</w:t>
            </w:r>
            <w:r w:rsidRPr="00D4309F">
              <w:rPr>
                <w:color w:val="211E1F"/>
                <w:spacing w:val="-5"/>
                <w:sz w:val="18"/>
              </w:rPr>
              <w:t xml:space="preserve"> </w:t>
            </w:r>
            <w:r w:rsidRPr="00D4309F">
              <w:rPr>
                <w:color w:val="211E1F"/>
                <w:sz w:val="18"/>
              </w:rPr>
              <w:t>of</w:t>
            </w:r>
            <w:r w:rsidRPr="00D4309F">
              <w:rPr>
                <w:color w:val="211E1F"/>
                <w:spacing w:val="-4"/>
                <w:sz w:val="18"/>
              </w:rPr>
              <w:t xml:space="preserve"> </w:t>
            </w:r>
            <w:r w:rsidRPr="00D4309F">
              <w:rPr>
                <w:color w:val="211E1F"/>
                <w:sz w:val="18"/>
              </w:rPr>
              <w:t>all-tide</w:t>
            </w:r>
            <w:r w:rsidRPr="00D4309F">
              <w:rPr>
                <w:color w:val="211E1F"/>
                <w:spacing w:val="-4"/>
                <w:sz w:val="18"/>
              </w:rPr>
              <w:t xml:space="preserve"> </w:t>
            </w:r>
            <w:r w:rsidRPr="00D4309F">
              <w:rPr>
                <w:color w:val="211E1F"/>
                <w:spacing w:val="-2"/>
                <w:sz w:val="18"/>
              </w:rPr>
              <w:t>access</w:t>
            </w:r>
          </w:p>
        </w:tc>
        <w:tc>
          <w:tcPr>
            <w:tcW w:w="571" w:type="pct"/>
          </w:tcPr>
          <w:p w14:paraId="3DF65C4F" w14:textId="6EE20A66" w:rsidR="0019624B" w:rsidRPr="00D4309F" w:rsidRDefault="0019624B" w:rsidP="0019624B">
            <w:pPr>
              <w:pStyle w:val="TableParagraph"/>
              <w:spacing w:before="41"/>
              <w:ind w:left="485"/>
              <w:rPr>
                <w:sz w:val="18"/>
              </w:rPr>
            </w:pPr>
            <w:r w:rsidRPr="00D4309F">
              <w:rPr>
                <w:color w:val="211E1F"/>
                <w:spacing w:val="-10"/>
                <w:sz w:val="18"/>
              </w:rPr>
              <w:t>5</w:t>
            </w:r>
          </w:p>
        </w:tc>
      </w:tr>
      <w:tr w:rsidR="0019624B" w:rsidRPr="00D4309F" w14:paraId="3FD1B57B" w14:textId="77777777">
        <w:trPr>
          <w:trHeight w:val="286"/>
        </w:trPr>
        <w:tc>
          <w:tcPr>
            <w:tcW w:w="1002" w:type="pct"/>
            <w:vMerge/>
          </w:tcPr>
          <w:p w14:paraId="480FABA6" w14:textId="77777777" w:rsidR="0019624B" w:rsidRPr="00D4309F" w:rsidRDefault="0019624B" w:rsidP="0019624B">
            <w:pPr>
              <w:pStyle w:val="TableParagraph"/>
              <w:rPr>
                <w:rFonts w:ascii="Times New Roman"/>
                <w:sz w:val="18"/>
              </w:rPr>
            </w:pPr>
          </w:p>
        </w:tc>
        <w:tc>
          <w:tcPr>
            <w:tcW w:w="3427" w:type="pct"/>
          </w:tcPr>
          <w:p w14:paraId="1C38E728" w14:textId="77777777" w:rsidR="0019624B" w:rsidRPr="00D4309F" w:rsidRDefault="0019624B" w:rsidP="0019624B">
            <w:pPr>
              <w:pStyle w:val="TableParagraph"/>
              <w:spacing w:before="39"/>
              <w:ind w:left="165"/>
              <w:rPr>
                <w:sz w:val="18"/>
              </w:rPr>
            </w:pPr>
            <w:r w:rsidRPr="00D4309F">
              <w:rPr>
                <w:color w:val="211E1F"/>
                <w:sz w:val="18"/>
              </w:rPr>
              <w:t>Clarity</w:t>
            </w:r>
            <w:r w:rsidRPr="00D4309F">
              <w:rPr>
                <w:color w:val="211E1F"/>
                <w:spacing w:val="-3"/>
                <w:sz w:val="18"/>
              </w:rPr>
              <w:t xml:space="preserve"> </w:t>
            </w:r>
            <w:r w:rsidRPr="00D4309F">
              <w:rPr>
                <w:color w:val="211E1F"/>
                <w:sz w:val="18"/>
              </w:rPr>
              <w:t>of</w:t>
            </w:r>
            <w:r w:rsidRPr="00D4309F">
              <w:rPr>
                <w:color w:val="211E1F"/>
                <w:spacing w:val="-2"/>
                <w:sz w:val="18"/>
              </w:rPr>
              <w:t xml:space="preserve"> navigation</w:t>
            </w:r>
          </w:p>
        </w:tc>
        <w:tc>
          <w:tcPr>
            <w:tcW w:w="571" w:type="pct"/>
          </w:tcPr>
          <w:p w14:paraId="4E08B9EE" w14:textId="0B9F50DE" w:rsidR="0019624B" w:rsidRPr="00D4309F" w:rsidRDefault="0019624B" w:rsidP="0019624B">
            <w:pPr>
              <w:pStyle w:val="TableParagraph"/>
              <w:spacing w:before="39"/>
              <w:ind w:left="485"/>
              <w:rPr>
                <w:sz w:val="18"/>
              </w:rPr>
            </w:pPr>
            <w:r w:rsidRPr="00D4309F">
              <w:rPr>
                <w:color w:val="211E1F"/>
                <w:spacing w:val="-10"/>
                <w:sz w:val="18"/>
              </w:rPr>
              <w:t>5</w:t>
            </w:r>
          </w:p>
        </w:tc>
      </w:tr>
      <w:tr w:rsidR="0019624B" w:rsidRPr="00D4309F" w14:paraId="5235697C" w14:textId="77777777">
        <w:trPr>
          <w:trHeight w:val="287"/>
        </w:trPr>
        <w:tc>
          <w:tcPr>
            <w:tcW w:w="1002" w:type="pct"/>
            <w:vMerge/>
          </w:tcPr>
          <w:p w14:paraId="6B2BF73D" w14:textId="77777777" w:rsidR="0019624B" w:rsidRPr="00D4309F" w:rsidRDefault="0019624B" w:rsidP="0019624B">
            <w:pPr>
              <w:pStyle w:val="TableParagraph"/>
              <w:rPr>
                <w:rFonts w:ascii="Times New Roman"/>
                <w:sz w:val="18"/>
              </w:rPr>
            </w:pPr>
          </w:p>
        </w:tc>
        <w:tc>
          <w:tcPr>
            <w:tcW w:w="3427" w:type="pct"/>
          </w:tcPr>
          <w:p w14:paraId="10B8CAE9" w14:textId="77777777" w:rsidR="0019624B" w:rsidRPr="00D4309F" w:rsidRDefault="0019624B" w:rsidP="0019624B">
            <w:pPr>
              <w:pStyle w:val="TableParagraph"/>
              <w:spacing w:before="41"/>
              <w:ind w:left="165"/>
              <w:rPr>
                <w:sz w:val="18"/>
              </w:rPr>
            </w:pPr>
            <w:r w:rsidRPr="00D4309F">
              <w:rPr>
                <w:color w:val="211E1F"/>
                <w:sz w:val="18"/>
              </w:rPr>
              <w:t>Mariner</w:t>
            </w:r>
            <w:r w:rsidRPr="00D4309F">
              <w:rPr>
                <w:color w:val="211E1F"/>
                <w:spacing w:val="-6"/>
                <w:sz w:val="18"/>
              </w:rPr>
              <w:t xml:space="preserve"> </w:t>
            </w:r>
            <w:r w:rsidRPr="00D4309F">
              <w:rPr>
                <w:color w:val="211E1F"/>
                <w:spacing w:val="-2"/>
                <w:sz w:val="18"/>
              </w:rPr>
              <w:t>safety</w:t>
            </w:r>
          </w:p>
        </w:tc>
        <w:tc>
          <w:tcPr>
            <w:tcW w:w="571" w:type="pct"/>
          </w:tcPr>
          <w:p w14:paraId="1C4D07EA" w14:textId="39CC1B8B" w:rsidR="0019624B" w:rsidRPr="00D4309F" w:rsidRDefault="0019624B" w:rsidP="0019624B">
            <w:pPr>
              <w:pStyle w:val="TableParagraph"/>
              <w:spacing w:before="41"/>
              <w:ind w:left="485"/>
              <w:rPr>
                <w:sz w:val="18"/>
              </w:rPr>
            </w:pPr>
            <w:r w:rsidRPr="00D4309F">
              <w:rPr>
                <w:color w:val="211E1F"/>
                <w:spacing w:val="-10"/>
                <w:sz w:val="18"/>
              </w:rPr>
              <w:t>4</w:t>
            </w:r>
          </w:p>
        </w:tc>
      </w:tr>
      <w:tr w:rsidR="0019624B" w:rsidRPr="00D4309F" w14:paraId="7A59040C" w14:textId="77777777">
        <w:trPr>
          <w:trHeight w:val="286"/>
        </w:trPr>
        <w:tc>
          <w:tcPr>
            <w:tcW w:w="1002" w:type="pct"/>
            <w:vMerge/>
          </w:tcPr>
          <w:p w14:paraId="661C8CD7" w14:textId="77777777" w:rsidR="0019624B" w:rsidRPr="00D4309F" w:rsidRDefault="0019624B">
            <w:pPr>
              <w:pStyle w:val="TableParagraph"/>
              <w:rPr>
                <w:rFonts w:ascii="Times New Roman"/>
                <w:sz w:val="18"/>
              </w:rPr>
            </w:pPr>
          </w:p>
        </w:tc>
        <w:tc>
          <w:tcPr>
            <w:tcW w:w="3427" w:type="pct"/>
          </w:tcPr>
          <w:p w14:paraId="7054094A" w14:textId="77777777" w:rsidR="0019624B" w:rsidRPr="00D4309F" w:rsidRDefault="0019624B">
            <w:pPr>
              <w:pStyle w:val="TableParagraph"/>
              <w:spacing w:before="39"/>
              <w:ind w:left="165"/>
              <w:rPr>
                <w:color w:val="211E1F"/>
                <w:spacing w:val="-2"/>
                <w:sz w:val="18"/>
              </w:rPr>
            </w:pPr>
          </w:p>
        </w:tc>
        <w:tc>
          <w:tcPr>
            <w:tcW w:w="571" w:type="pct"/>
          </w:tcPr>
          <w:p w14:paraId="62F55F61" w14:textId="77777777" w:rsidR="0019624B" w:rsidRPr="00D4309F" w:rsidRDefault="0019624B">
            <w:pPr>
              <w:pStyle w:val="TableParagraph"/>
              <w:spacing w:before="39"/>
              <w:ind w:left="484"/>
              <w:rPr>
                <w:color w:val="211E1F"/>
                <w:spacing w:val="-10"/>
                <w:sz w:val="18"/>
              </w:rPr>
            </w:pPr>
          </w:p>
        </w:tc>
      </w:tr>
      <w:tr w:rsidR="0019624B" w:rsidRPr="00D4309F" w14:paraId="2BD78868" w14:textId="77777777">
        <w:trPr>
          <w:trHeight w:val="286"/>
        </w:trPr>
        <w:tc>
          <w:tcPr>
            <w:tcW w:w="1002" w:type="pct"/>
            <w:vMerge/>
          </w:tcPr>
          <w:p w14:paraId="43FD2B35" w14:textId="77777777" w:rsidR="0019624B" w:rsidRPr="00D4309F" w:rsidRDefault="0019624B" w:rsidP="0019624B">
            <w:pPr>
              <w:pStyle w:val="TableParagraph"/>
              <w:rPr>
                <w:rFonts w:ascii="Times New Roman"/>
                <w:sz w:val="18"/>
              </w:rPr>
            </w:pPr>
          </w:p>
        </w:tc>
        <w:tc>
          <w:tcPr>
            <w:tcW w:w="3427" w:type="pct"/>
          </w:tcPr>
          <w:p w14:paraId="626F6AFE" w14:textId="77777777" w:rsidR="0019624B" w:rsidRPr="00230A0A" w:rsidRDefault="0019624B" w:rsidP="0019624B">
            <w:pPr>
              <w:pStyle w:val="TableParagraph"/>
              <w:spacing w:before="39"/>
              <w:ind w:left="165"/>
              <w:rPr>
                <w:b/>
                <w:bCs/>
                <w:sz w:val="18"/>
              </w:rPr>
            </w:pPr>
            <w:r w:rsidRPr="00230A0A">
              <w:rPr>
                <w:b/>
                <w:bCs/>
                <w:color w:val="211E1F"/>
                <w:spacing w:val="-2"/>
                <w:sz w:val="18"/>
              </w:rPr>
              <w:t>Sub-total</w:t>
            </w:r>
          </w:p>
        </w:tc>
        <w:tc>
          <w:tcPr>
            <w:tcW w:w="571" w:type="pct"/>
          </w:tcPr>
          <w:p w14:paraId="67686AD6" w14:textId="6F1011EB" w:rsidR="0019624B" w:rsidRPr="00230A0A" w:rsidRDefault="0019624B" w:rsidP="0019624B">
            <w:pPr>
              <w:pStyle w:val="TableParagraph"/>
              <w:spacing w:before="39"/>
              <w:ind w:left="484"/>
              <w:rPr>
                <w:b/>
                <w:bCs/>
                <w:sz w:val="18"/>
              </w:rPr>
            </w:pPr>
            <w:r w:rsidRPr="00D4309F">
              <w:rPr>
                <w:b/>
                <w:color w:val="211E1F"/>
                <w:spacing w:val="-5"/>
                <w:sz w:val="18"/>
              </w:rPr>
              <w:t>14</w:t>
            </w:r>
          </w:p>
        </w:tc>
      </w:tr>
      <w:tr w:rsidR="0019624B" w:rsidRPr="00D4309F" w14:paraId="5258E671" w14:textId="77777777">
        <w:trPr>
          <w:trHeight w:val="287"/>
        </w:trPr>
        <w:tc>
          <w:tcPr>
            <w:tcW w:w="1002" w:type="pct"/>
            <w:vMerge w:val="restart"/>
          </w:tcPr>
          <w:p w14:paraId="0698D082" w14:textId="77777777" w:rsidR="0019624B" w:rsidRPr="00D4309F" w:rsidRDefault="0019624B" w:rsidP="0019624B">
            <w:pPr>
              <w:pStyle w:val="TableParagraph"/>
              <w:spacing w:before="41"/>
              <w:ind w:left="165"/>
              <w:rPr>
                <w:b/>
                <w:sz w:val="18"/>
              </w:rPr>
            </w:pPr>
            <w:r w:rsidRPr="00D4309F">
              <w:rPr>
                <w:b/>
                <w:color w:val="211E1F"/>
                <w:sz w:val="18"/>
              </w:rPr>
              <w:t>Social</w:t>
            </w:r>
            <w:r w:rsidRPr="00D4309F">
              <w:rPr>
                <w:b/>
                <w:color w:val="211E1F"/>
                <w:spacing w:val="-2"/>
                <w:sz w:val="18"/>
              </w:rPr>
              <w:t xml:space="preserve"> </w:t>
            </w:r>
            <w:r w:rsidRPr="00D4309F">
              <w:rPr>
                <w:b/>
                <w:color w:val="211E1F"/>
                <w:sz w:val="18"/>
              </w:rPr>
              <w:t>and</w:t>
            </w:r>
            <w:r w:rsidRPr="00D4309F">
              <w:rPr>
                <w:b/>
                <w:color w:val="211E1F"/>
                <w:spacing w:val="-2"/>
                <w:sz w:val="18"/>
              </w:rPr>
              <w:t xml:space="preserve"> economic</w:t>
            </w:r>
          </w:p>
        </w:tc>
        <w:tc>
          <w:tcPr>
            <w:tcW w:w="3427" w:type="pct"/>
          </w:tcPr>
          <w:p w14:paraId="2F83ACB9" w14:textId="77777777" w:rsidR="0019624B" w:rsidRPr="00D4309F" w:rsidRDefault="0019624B" w:rsidP="0019624B">
            <w:pPr>
              <w:pStyle w:val="TableParagraph"/>
              <w:spacing w:before="41"/>
              <w:ind w:left="166"/>
              <w:rPr>
                <w:sz w:val="18"/>
              </w:rPr>
            </w:pPr>
            <w:r w:rsidRPr="00D4309F">
              <w:rPr>
                <w:color w:val="211E1F"/>
                <w:sz w:val="18"/>
              </w:rPr>
              <w:t>Consistency</w:t>
            </w:r>
            <w:r w:rsidRPr="00D4309F">
              <w:rPr>
                <w:color w:val="211E1F"/>
                <w:spacing w:val="-5"/>
                <w:sz w:val="18"/>
              </w:rPr>
              <w:t xml:space="preserve"> </w:t>
            </w:r>
            <w:r w:rsidRPr="00D4309F">
              <w:rPr>
                <w:color w:val="211E1F"/>
                <w:sz w:val="18"/>
              </w:rPr>
              <w:t>with</w:t>
            </w:r>
            <w:r w:rsidRPr="00D4309F">
              <w:rPr>
                <w:color w:val="211E1F"/>
                <w:spacing w:val="-3"/>
                <w:sz w:val="18"/>
              </w:rPr>
              <w:t xml:space="preserve"> </w:t>
            </w:r>
            <w:r w:rsidRPr="00D4309F">
              <w:rPr>
                <w:color w:val="211E1F"/>
                <w:sz w:val="18"/>
              </w:rPr>
              <w:t>SRG</w:t>
            </w:r>
            <w:r w:rsidRPr="00D4309F">
              <w:rPr>
                <w:color w:val="211E1F"/>
                <w:spacing w:val="-3"/>
                <w:sz w:val="18"/>
              </w:rPr>
              <w:t xml:space="preserve"> </w:t>
            </w:r>
            <w:r w:rsidRPr="00D4309F">
              <w:rPr>
                <w:color w:val="211E1F"/>
                <w:sz w:val="18"/>
              </w:rPr>
              <w:t>preference</w:t>
            </w:r>
            <w:r w:rsidRPr="00D4309F">
              <w:rPr>
                <w:color w:val="211E1F"/>
                <w:spacing w:val="-3"/>
                <w:sz w:val="18"/>
              </w:rPr>
              <w:t xml:space="preserve"> </w:t>
            </w:r>
            <w:r w:rsidRPr="00D4309F">
              <w:rPr>
                <w:color w:val="211E1F"/>
                <w:sz w:val="18"/>
              </w:rPr>
              <w:t>for</w:t>
            </w:r>
            <w:r w:rsidRPr="00D4309F">
              <w:rPr>
                <w:color w:val="211E1F"/>
                <w:spacing w:val="-3"/>
                <w:sz w:val="18"/>
              </w:rPr>
              <w:t xml:space="preserve"> </w:t>
            </w:r>
            <w:r w:rsidRPr="00D4309F">
              <w:rPr>
                <w:color w:val="211E1F"/>
                <w:sz w:val="18"/>
              </w:rPr>
              <w:t>lower</w:t>
            </w:r>
            <w:r w:rsidRPr="00D4309F">
              <w:rPr>
                <w:color w:val="211E1F"/>
                <w:spacing w:val="-2"/>
                <w:sz w:val="18"/>
              </w:rPr>
              <w:t xml:space="preserve"> </w:t>
            </w:r>
            <w:r w:rsidRPr="00D4309F">
              <w:rPr>
                <w:color w:val="211E1F"/>
                <w:sz w:val="18"/>
              </w:rPr>
              <w:t>impact,</w:t>
            </w:r>
            <w:r w:rsidRPr="00D4309F">
              <w:rPr>
                <w:color w:val="211E1F"/>
                <w:spacing w:val="-3"/>
                <w:sz w:val="18"/>
              </w:rPr>
              <w:t xml:space="preserve"> </w:t>
            </w:r>
            <w:r w:rsidRPr="00D4309F">
              <w:rPr>
                <w:color w:val="211E1F"/>
                <w:sz w:val="18"/>
              </w:rPr>
              <w:t>“softer”</w:t>
            </w:r>
            <w:r w:rsidRPr="00D4309F">
              <w:rPr>
                <w:color w:val="211E1F"/>
                <w:spacing w:val="-3"/>
                <w:sz w:val="18"/>
              </w:rPr>
              <w:t xml:space="preserve"> </w:t>
            </w:r>
            <w:r w:rsidRPr="00D4309F">
              <w:rPr>
                <w:color w:val="211E1F"/>
                <w:sz w:val="18"/>
              </w:rPr>
              <w:t>measures</w:t>
            </w:r>
            <w:r w:rsidRPr="00D4309F">
              <w:rPr>
                <w:color w:val="211E1F"/>
                <w:spacing w:val="-2"/>
                <w:sz w:val="18"/>
              </w:rPr>
              <w:t xml:space="preserve"> </w:t>
            </w:r>
            <w:r w:rsidRPr="00D4309F">
              <w:rPr>
                <w:color w:val="211E1F"/>
                <w:sz w:val="18"/>
              </w:rPr>
              <w:t>where</w:t>
            </w:r>
            <w:r w:rsidRPr="00D4309F">
              <w:rPr>
                <w:color w:val="211E1F"/>
                <w:spacing w:val="-3"/>
                <w:sz w:val="18"/>
              </w:rPr>
              <w:t xml:space="preserve"> </w:t>
            </w:r>
            <w:r w:rsidRPr="00D4309F">
              <w:rPr>
                <w:color w:val="211E1F"/>
                <w:spacing w:val="-2"/>
                <w:sz w:val="18"/>
              </w:rPr>
              <w:t>practicable.</w:t>
            </w:r>
          </w:p>
        </w:tc>
        <w:tc>
          <w:tcPr>
            <w:tcW w:w="571" w:type="pct"/>
          </w:tcPr>
          <w:p w14:paraId="6985F019" w14:textId="61C1DB52" w:rsidR="0019624B" w:rsidRPr="00D4309F" w:rsidRDefault="0019624B" w:rsidP="0019624B">
            <w:pPr>
              <w:pStyle w:val="TableParagraph"/>
              <w:spacing w:before="41"/>
              <w:ind w:left="485"/>
              <w:rPr>
                <w:sz w:val="18"/>
              </w:rPr>
            </w:pPr>
            <w:r w:rsidRPr="00D4309F">
              <w:rPr>
                <w:color w:val="211E1F"/>
                <w:spacing w:val="-10"/>
                <w:sz w:val="18"/>
              </w:rPr>
              <w:t>1</w:t>
            </w:r>
          </w:p>
        </w:tc>
      </w:tr>
      <w:tr w:rsidR="0019624B" w:rsidRPr="00D4309F" w14:paraId="7AB2C2C0" w14:textId="77777777">
        <w:trPr>
          <w:trHeight w:val="286"/>
        </w:trPr>
        <w:tc>
          <w:tcPr>
            <w:tcW w:w="1002" w:type="pct"/>
            <w:vMerge/>
          </w:tcPr>
          <w:p w14:paraId="378D6474" w14:textId="77777777" w:rsidR="0019624B" w:rsidRPr="00D4309F" w:rsidRDefault="0019624B" w:rsidP="0019624B">
            <w:pPr>
              <w:pStyle w:val="TableParagraph"/>
              <w:rPr>
                <w:rFonts w:ascii="Times New Roman"/>
                <w:sz w:val="18"/>
              </w:rPr>
            </w:pPr>
          </w:p>
        </w:tc>
        <w:tc>
          <w:tcPr>
            <w:tcW w:w="3427" w:type="pct"/>
          </w:tcPr>
          <w:p w14:paraId="46538318" w14:textId="77777777" w:rsidR="0019624B" w:rsidRPr="00D4309F" w:rsidRDefault="0019624B" w:rsidP="0019624B">
            <w:pPr>
              <w:pStyle w:val="TableParagraph"/>
              <w:spacing w:before="39"/>
              <w:ind w:left="165"/>
              <w:rPr>
                <w:sz w:val="18"/>
              </w:rPr>
            </w:pPr>
            <w:r w:rsidRPr="00D4309F">
              <w:rPr>
                <w:color w:val="211E1F"/>
                <w:sz w:val="18"/>
              </w:rPr>
              <w:t>Traditional</w:t>
            </w:r>
            <w:r w:rsidRPr="00D4309F">
              <w:rPr>
                <w:color w:val="211E1F"/>
                <w:spacing w:val="-3"/>
                <w:sz w:val="18"/>
              </w:rPr>
              <w:t xml:space="preserve"> </w:t>
            </w:r>
            <w:r w:rsidRPr="00D4309F">
              <w:rPr>
                <w:color w:val="211E1F"/>
                <w:sz w:val="18"/>
              </w:rPr>
              <w:t>Owners</w:t>
            </w:r>
            <w:r w:rsidRPr="00D4309F">
              <w:rPr>
                <w:color w:val="211E1F"/>
                <w:spacing w:val="-3"/>
                <w:sz w:val="18"/>
              </w:rPr>
              <w:t xml:space="preserve"> </w:t>
            </w:r>
            <w:r w:rsidRPr="00D4309F">
              <w:rPr>
                <w:color w:val="211E1F"/>
                <w:sz w:val="18"/>
              </w:rPr>
              <w:t>do</w:t>
            </w:r>
            <w:r w:rsidRPr="00D4309F">
              <w:rPr>
                <w:color w:val="211E1F"/>
                <w:spacing w:val="-3"/>
                <w:sz w:val="18"/>
              </w:rPr>
              <w:t xml:space="preserve"> </w:t>
            </w:r>
            <w:r w:rsidRPr="00D4309F">
              <w:rPr>
                <w:color w:val="211E1F"/>
                <w:sz w:val="18"/>
              </w:rPr>
              <w:t>not</w:t>
            </w:r>
            <w:r w:rsidRPr="00D4309F">
              <w:rPr>
                <w:color w:val="211E1F"/>
                <w:spacing w:val="-3"/>
                <w:sz w:val="18"/>
              </w:rPr>
              <w:t xml:space="preserve"> </w:t>
            </w:r>
            <w:r w:rsidRPr="00D4309F">
              <w:rPr>
                <w:color w:val="211E1F"/>
                <w:sz w:val="18"/>
              </w:rPr>
              <w:t>experience</w:t>
            </w:r>
            <w:r w:rsidRPr="00D4309F">
              <w:rPr>
                <w:color w:val="211E1F"/>
                <w:spacing w:val="-3"/>
                <w:sz w:val="18"/>
              </w:rPr>
              <w:t xml:space="preserve"> </w:t>
            </w:r>
            <w:r w:rsidRPr="00D4309F">
              <w:rPr>
                <w:color w:val="211E1F"/>
                <w:sz w:val="18"/>
              </w:rPr>
              <w:t>disturbance</w:t>
            </w:r>
            <w:r w:rsidRPr="00D4309F">
              <w:rPr>
                <w:color w:val="211E1F"/>
                <w:spacing w:val="-3"/>
                <w:sz w:val="18"/>
              </w:rPr>
              <w:t xml:space="preserve"> </w:t>
            </w:r>
            <w:r w:rsidRPr="00D4309F">
              <w:rPr>
                <w:color w:val="211E1F"/>
                <w:sz w:val="18"/>
              </w:rPr>
              <w:t>to</w:t>
            </w:r>
            <w:r w:rsidRPr="00D4309F">
              <w:rPr>
                <w:color w:val="211E1F"/>
                <w:spacing w:val="-4"/>
                <w:sz w:val="18"/>
              </w:rPr>
              <w:t xml:space="preserve"> </w:t>
            </w:r>
            <w:r w:rsidRPr="00D4309F">
              <w:rPr>
                <w:color w:val="211E1F"/>
                <w:sz w:val="18"/>
              </w:rPr>
              <w:t>cultural</w:t>
            </w:r>
            <w:r w:rsidRPr="00D4309F">
              <w:rPr>
                <w:color w:val="211E1F"/>
                <w:spacing w:val="-2"/>
                <w:sz w:val="18"/>
              </w:rPr>
              <w:t xml:space="preserve"> values</w:t>
            </w:r>
          </w:p>
        </w:tc>
        <w:tc>
          <w:tcPr>
            <w:tcW w:w="571" w:type="pct"/>
          </w:tcPr>
          <w:p w14:paraId="0CD8F81A" w14:textId="73B5B826" w:rsidR="0019624B" w:rsidRPr="00D4309F" w:rsidRDefault="0019624B" w:rsidP="0019624B">
            <w:pPr>
              <w:pStyle w:val="TableParagraph"/>
              <w:spacing w:before="39"/>
              <w:ind w:left="485"/>
              <w:rPr>
                <w:sz w:val="18"/>
              </w:rPr>
            </w:pPr>
            <w:r w:rsidRPr="00D4309F">
              <w:rPr>
                <w:color w:val="211E1F"/>
                <w:spacing w:val="-10"/>
                <w:sz w:val="18"/>
              </w:rPr>
              <w:t>3</w:t>
            </w:r>
          </w:p>
        </w:tc>
      </w:tr>
      <w:tr w:rsidR="0019624B" w:rsidRPr="00D4309F" w14:paraId="0E6DED32" w14:textId="77777777">
        <w:trPr>
          <w:trHeight w:val="287"/>
        </w:trPr>
        <w:tc>
          <w:tcPr>
            <w:tcW w:w="1002" w:type="pct"/>
            <w:vMerge/>
          </w:tcPr>
          <w:p w14:paraId="36E640A1" w14:textId="77777777" w:rsidR="0019624B" w:rsidRPr="00D4309F" w:rsidRDefault="0019624B" w:rsidP="0019624B">
            <w:pPr>
              <w:pStyle w:val="TableParagraph"/>
              <w:rPr>
                <w:rFonts w:ascii="Times New Roman"/>
                <w:sz w:val="18"/>
              </w:rPr>
            </w:pPr>
          </w:p>
        </w:tc>
        <w:tc>
          <w:tcPr>
            <w:tcW w:w="3427" w:type="pct"/>
          </w:tcPr>
          <w:p w14:paraId="3A4A2426" w14:textId="77777777" w:rsidR="0019624B" w:rsidRPr="00D4309F" w:rsidRDefault="0019624B" w:rsidP="0019624B">
            <w:pPr>
              <w:pStyle w:val="TableParagraph"/>
              <w:spacing w:before="41"/>
              <w:ind w:left="165"/>
              <w:rPr>
                <w:sz w:val="18"/>
              </w:rPr>
            </w:pPr>
            <w:r w:rsidRPr="00D4309F">
              <w:rPr>
                <w:color w:val="211E1F"/>
                <w:sz w:val="18"/>
              </w:rPr>
              <w:t>Visual</w:t>
            </w:r>
            <w:r w:rsidRPr="00D4309F">
              <w:rPr>
                <w:color w:val="211E1F"/>
                <w:spacing w:val="-5"/>
                <w:sz w:val="18"/>
              </w:rPr>
              <w:t xml:space="preserve"> </w:t>
            </w:r>
            <w:r w:rsidRPr="00D4309F">
              <w:rPr>
                <w:color w:val="211E1F"/>
                <w:spacing w:val="-2"/>
                <w:sz w:val="18"/>
              </w:rPr>
              <w:t>amenity</w:t>
            </w:r>
          </w:p>
        </w:tc>
        <w:tc>
          <w:tcPr>
            <w:tcW w:w="571" w:type="pct"/>
          </w:tcPr>
          <w:p w14:paraId="4959A078" w14:textId="7FD23707" w:rsidR="0019624B" w:rsidRPr="00D4309F" w:rsidRDefault="0019624B" w:rsidP="0019624B">
            <w:pPr>
              <w:pStyle w:val="TableParagraph"/>
              <w:spacing w:before="41"/>
              <w:ind w:left="485"/>
              <w:rPr>
                <w:sz w:val="18"/>
              </w:rPr>
            </w:pPr>
            <w:r w:rsidRPr="00D4309F">
              <w:rPr>
                <w:color w:val="211E1F"/>
                <w:spacing w:val="-10"/>
                <w:sz w:val="18"/>
              </w:rPr>
              <w:t>1</w:t>
            </w:r>
          </w:p>
        </w:tc>
      </w:tr>
      <w:tr w:rsidR="0019624B" w:rsidRPr="00D4309F" w14:paraId="1A1CCCBB" w14:textId="77777777">
        <w:trPr>
          <w:trHeight w:val="286"/>
        </w:trPr>
        <w:tc>
          <w:tcPr>
            <w:tcW w:w="1002" w:type="pct"/>
            <w:vMerge/>
          </w:tcPr>
          <w:p w14:paraId="2A314339" w14:textId="77777777" w:rsidR="0019624B" w:rsidRPr="00D4309F" w:rsidRDefault="0019624B" w:rsidP="0019624B">
            <w:pPr>
              <w:pStyle w:val="TableParagraph"/>
              <w:rPr>
                <w:rFonts w:ascii="Times New Roman"/>
                <w:sz w:val="18"/>
              </w:rPr>
            </w:pPr>
          </w:p>
        </w:tc>
        <w:tc>
          <w:tcPr>
            <w:tcW w:w="3427" w:type="pct"/>
          </w:tcPr>
          <w:p w14:paraId="3EECB40E" w14:textId="77777777" w:rsidR="0019624B" w:rsidRPr="00D4309F" w:rsidRDefault="0019624B" w:rsidP="0019624B">
            <w:pPr>
              <w:pStyle w:val="TableParagraph"/>
              <w:spacing w:before="39"/>
              <w:ind w:left="165"/>
              <w:rPr>
                <w:sz w:val="18"/>
              </w:rPr>
            </w:pPr>
            <w:r w:rsidRPr="00D4309F">
              <w:rPr>
                <w:color w:val="211E1F"/>
                <w:sz w:val="18"/>
              </w:rPr>
              <w:t>Community</w:t>
            </w:r>
            <w:r w:rsidRPr="00D4309F">
              <w:rPr>
                <w:color w:val="211E1F"/>
                <w:spacing w:val="-3"/>
                <w:sz w:val="18"/>
              </w:rPr>
              <w:t xml:space="preserve"> </w:t>
            </w:r>
            <w:r w:rsidRPr="00D4309F">
              <w:rPr>
                <w:color w:val="211E1F"/>
                <w:sz w:val="18"/>
              </w:rPr>
              <w:t>amenity</w:t>
            </w:r>
            <w:r w:rsidRPr="00D4309F">
              <w:rPr>
                <w:color w:val="211E1F"/>
                <w:spacing w:val="-2"/>
                <w:sz w:val="18"/>
              </w:rPr>
              <w:t xml:space="preserve"> </w:t>
            </w:r>
            <w:r w:rsidRPr="00D4309F">
              <w:rPr>
                <w:color w:val="211E1F"/>
                <w:sz w:val="18"/>
              </w:rPr>
              <w:t>(inc.</w:t>
            </w:r>
            <w:r w:rsidRPr="00D4309F">
              <w:rPr>
                <w:color w:val="211E1F"/>
                <w:spacing w:val="-2"/>
                <w:sz w:val="18"/>
              </w:rPr>
              <w:t xml:space="preserve"> </w:t>
            </w:r>
            <w:r w:rsidRPr="00D4309F">
              <w:rPr>
                <w:color w:val="211E1F"/>
                <w:sz w:val="18"/>
              </w:rPr>
              <w:t>noise</w:t>
            </w:r>
            <w:r w:rsidRPr="00D4309F">
              <w:rPr>
                <w:color w:val="211E1F"/>
                <w:spacing w:val="-3"/>
                <w:sz w:val="18"/>
              </w:rPr>
              <w:t xml:space="preserve"> </w:t>
            </w:r>
            <w:r w:rsidRPr="00D4309F">
              <w:rPr>
                <w:color w:val="211E1F"/>
                <w:sz w:val="18"/>
              </w:rPr>
              <w:t>from</w:t>
            </w:r>
            <w:r w:rsidRPr="00D4309F">
              <w:rPr>
                <w:color w:val="211E1F"/>
                <w:spacing w:val="-2"/>
                <w:sz w:val="18"/>
              </w:rPr>
              <w:t xml:space="preserve"> pumps)</w:t>
            </w:r>
          </w:p>
        </w:tc>
        <w:tc>
          <w:tcPr>
            <w:tcW w:w="571" w:type="pct"/>
          </w:tcPr>
          <w:p w14:paraId="19C44877" w14:textId="1B7AAA4F" w:rsidR="0019624B" w:rsidRPr="00D4309F" w:rsidRDefault="0019624B" w:rsidP="0019624B">
            <w:pPr>
              <w:pStyle w:val="TableParagraph"/>
              <w:spacing w:before="39"/>
              <w:ind w:left="484"/>
              <w:rPr>
                <w:sz w:val="18"/>
              </w:rPr>
            </w:pPr>
            <w:r w:rsidRPr="00D4309F">
              <w:rPr>
                <w:color w:val="211E1F"/>
                <w:spacing w:val="-10"/>
                <w:sz w:val="18"/>
              </w:rPr>
              <w:t>2</w:t>
            </w:r>
          </w:p>
        </w:tc>
      </w:tr>
      <w:tr w:rsidR="0019624B" w:rsidRPr="00D4309F" w14:paraId="14F409A0" w14:textId="77777777">
        <w:trPr>
          <w:trHeight w:val="247"/>
        </w:trPr>
        <w:tc>
          <w:tcPr>
            <w:tcW w:w="1002" w:type="pct"/>
            <w:vMerge/>
          </w:tcPr>
          <w:p w14:paraId="5DE6F10E" w14:textId="77777777" w:rsidR="0019624B" w:rsidRPr="00D4309F" w:rsidRDefault="0019624B" w:rsidP="0019624B">
            <w:pPr>
              <w:pStyle w:val="TableParagraph"/>
              <w:rPr>
                <w:rFonts w:ascii="Times New Roman"/>
                <w:sz w:val="18"/>
              </w:rPr>
            </w:pPr>
          </w:p>
        </w:tc>
        <w:tc>
          <w:tcPr>
            <w:tcW w:w="3427" w:type="pct"/>
          </w:tcPr>
          <w:p w14:paraId="7FBA9F17" w14:textId="77777777" w:rsidR="0019624B" w:rsidRPr="00D4309F" w:rsidRDefault="0019624B" w:rsidP="0019624B">
            <w:pPr>
              <w:pStyle w:val="TableParagraph"/>
              <w:spacing w:before="41" w:line="187" w:lineRule="exact"/>
              <w:ind w:left="165"/>
              <w:rPr>
                <w:sz w:val="18"/>
              </w:rPr>
            </w:pPr>
            <w:r w:rsidRPr="00D4309F">
              <w:rPr>
                <w:color w:val="211E1F"/>
                <w:sz w:val="18"/>
              </w:rPr>
              <w:t>Beach</w:t>
            </w:r>
            <w:r w:rsidRPr="00D4309F">
              <w:rPr>
                <w:color w:val="211E1F"/>
                <w:spacing w:val="-5"/>
                <w:sz w:val="18"/>
              </w:rPr>
              <w:t xml:space="preserve"> </w:t>
            </w:r>
            <w:r w:rsidRPr="00D4309F">
              <w:rPr>
                <w:color w:val="211E1F"/>
                <w:sz w:val="18"/>
              </w:rPr>
              <w:t>users</w:t>
            </w:r>
            <w:r w:rsidRPr="00D4309F">
              <w:rPr>
                <w:color w:val="211E1F"/>
                <w:spacing w:val="-2"/>
                <w:sz w:val="18"/>
              </w:rPr>
              <w:t xml:space="preserve"> experience</w:t>
            </w:r>
          </w:p>
        </w:tc>
        <w:tc>
          <w:tcPr>
            <w:tcW w:w="571" w:type="pct"/>
          </w:tcPr>
          <w:p w14:paraId="357642F9" w14:textId="10A44803" w:rsidR="0019624B" w:rsidRPr="00D4309F" w:rsidRDefault="0019624B" w:rsidP="0019624B">
            <w:pPr>
              <w:pStyle w:val="TableParagraph"/>
              <w:spacing w:before="41" w:line="187" w:lineRule="exact"/>
              <w:ind w:left="485"/>
              <w:rPr>
                <w:sz w:val="18"/>
              </w:rPr>
            </w:pPr>
            <w:r w:rsidRPr="00D4309F">
              <w:rPr>
                <w:color w:val="211E1F"/>
                <w:spacing w:val="-10"/>
                <w:sz w:val="18"/>
              </w:rPr>
              <w:t>3</w:t>
            </w:r>
          </w:p>
        </w:tc>
      </w:tr>
      <w:tr w:rsidR="0019624B" w:rsidRPr="00D4309F" w14:paraId="0E17E542" w14:textId="77777777">
        <w:trPr>
          <w:trHeight w:val="247"/>
        </w:trPr>
        <w:tc>
          <w:tcPr>
            <w:tcW w:w="1002" w:type="pct"/>
            <w:vMerge/>
          </w:tcPr>
          <w:p w14:paraId="7121F752" w14:textId="77777777" w:rsidR="0019624B" w:rsidRPr="00D4309F" w:rsidRDefault="0019624B" w:rsidP="0019624B">
            <w:pPr>
              <w:pStyle w:val="TableParagraph"/>
              <w:rPr>
                <w:rFonts w:ascii="Times New Roman"/>
                <w:sz w:val="18"/>
              </w:rPr>
            </w:pPr>
          </w:p>
        </w:tc>
        <w:tc>
          <w:tcPr>
            <w:tcW w:w="3427" w:type="pct"/>
          </w:tcPr>
          <w:p w14:paraId="3F19E778"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Safe</w:t>
            </w:r>
            <w:r w:rsidRPr="00D4309F">
              <w:rPr>
                <w:color w:val="211E1F"/>
                <w:spacing w:val="-4"/>
                <w:sz w:val="18"/>
              </w:rPr>
              <w:t xml:space="preserve"> </w:t>
            </w:r>
            <w:r w:rsidRPr="00D4309F">
              <w:rPr>
                <w:color w:val="211E1F"/>
                <w:sz w:val="18"/>
              </w:rPr>
              <w:t>access</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business</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recreational</w:t>
            </w:r>
            <w:r w:rsidRPr="00D4309F">
              <w:rPr>
                <w:color w:val="211E1F"/>
                <w:spacing w:val="-2"/>
                <w:sz w:val="18"/>
              </w:rPr>
              <w:t xml:space="preserve"> </w:t>
            </w:r>
            <w:r w:rsidRPr="00D4309F">
              <w:rPr>
                <w:color w:val="211E1F"/>
                <w:spacing w:val="-4"/>
                <w:sz w:val="18"/>
              </w:rPr>
              <w:t>users</w:t>
            </w:r>
          </w:p>
        </w:tc>
        <w:tc>
          <w:tcPr>
            <w:tcW w:w="571" w:type="pct"/>
          </w:tcPr>
          <w:p w14:paraId="5FD1C8F9" w14:textId="787A96C3" w:rsidR="0019624B" w:rsidRPr="00D4309F" w:rsidRDefault="0019624B" w:rsidP="0019624B">
            <w:pPr>
              <w:pStyle w:val="TableParagraph"/>
              <w:spacing w:before="41" w:line="187" w:lineRule="exact"/>
              <w:ind w:left="485"/>
              <w:rPr>
                <w:color w:val="211E1F"/>
                <w:spacing w:val="-10"/>
                <w:sz w:val="18"/>
              </w:rPr>
            </w:pPr>
            <w:r w:rsidRPr="00D4309F">
              <w:rPr>
                <w:color w:val="211E1F"/>
                <w:spacing w:val="-10"/>
                <w:sz w:val="18"/>
              </w:rPr>
              <w:t>4</w:t>
            </w:r>
          </w:p>
        </w:tc>
      </w:tr>
      <w:tr w:rsidR="0019624B" w:rsidRPr="00D4309F" w14:paraId="53D86B1A" w14:textId="77777777">
        <w:trPr>
          <w:trHeight w:val="247"/>
        </w:trPr>
        <w:tc>
          <w:tcPr>
            <w:tcW w:w="1002" w:type="pct"/>
            <w:vMerge/>
          </w:tcPr>
          <w:p w14:paraId="45C2BE90" w14:textId="77777777" w:rsidR="0019624B" w:rsidRPr="00D4309F" w:rsidRDefault="0019624B" w:rsidP="0019624B">
            <w:pPr>
              <w:pStyle w:val="TableParagraph"/>
              <w:rPr>
                <w:rFonts w:ascii="Times New Roman"/>
                <w:sz w:val="18"/>
              </w:rPr>
            </w:pPr>
          </w:p>
        </w:tc>
        <w:tc>
          <w:tcPr>
            <w:tcW w:w="3427" w:type="pct"/>
          </w:tcPr>
          <w:p w14:paraId="5B156CE2"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Reliable</w:t>
            </w:r>
            <w:r w:rsidRPr="00D4309F">
              <w:rPr>
                <w:color w:val="211E1F"/>
                <w:spacing w:val="-4"/>
                <w:sz w:val="18"/>
              </w:rPr>
              <w:t xml:space="preserve"> </w:t>
            </w:r>
            <w:r w:rsidRPr="00D4309F">
              <w:rPr>
                <w:color w:val="211E1F"/>
                <w:sz w:val="18"/>
              </w:rPr>
              <w:t>access</w:t>
            </w:r>
            <w:r w:rsidRPr="00D4309F">
              <w:rPr>
                <w:color w:val="211E1F"/>
                <w:spacing w:val="-3"/>
                <w:sz w:val="18"/>
              </w:rPr>
              <w:t xml:space="preserve"> </w:t>
            </w:r>
            <w:r w:rsidRPr="00D4309F">
              <w:rPr>
                <w:color w:val="211E1F"/>
                <w:sz w:val="18"/>
              </w:rPr>
              <w:t>for</w:t>
            </w:r>
            <w:r w:rsidRPr="00D4309F">
              <w:rPr>
                <w:color w:val="211E1F"/>
                <w:spacing w:val="-3"/>
                <w:sz w:val="18"/>
              </w:rPr>
              <w:t xml:space="preserve"> </w:t>
            </w:r>
            <w:r w:rsidRPr="00D4309F">
              <w:rPr>
                <w:color w:val="211E1F"/>
                <w:sz w:val="18"/>
              </w:rPr>
              <w:t>business</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recreational</w:t>
            </w:r>
            <w:r w:rsidRPr="00D4309F">
              <w:rPr>
                <w:color w:val="211E1F"/>
                <w:spacing w:val="-3"/>
                <w:sz w:val="18"/>
              </w:rPr>
              <w:t xml:space="preserve"> </w:t>
            </w:r>
            <w:r w:rsidRPr="00D4309F">
              <w:rPr>
                <w:color w:val="211E1F"/>
                <w:spacing w:val="-4"/>
                <w:sz w:val="18"/>
              </w:rPr>
              <w:t>users</w:t>
            </w:r>
          </w:p>
        </w:tc>
        <w:tc>
          <w:tcPr>
            <w:tcW w:w="571" w:type="pct"/>
          </w:tcPr>
          <w:p w14:paraId="5FFEFA62" w14:textId="3F9FA0EA" w:rsidR="0019624B" w:rsidRPr="00D4309F" w:rsidRDefault="0019624B" w:rsidP="0019624B">
            <w:pPr>
              <w:pStyle w:val="TableParagraph"/>
              <w:spacing w:before="41" w:line="187" w:lineRule="exact"/>
              <w:ind w:left="485"/>
              <w:rPr>
                <w:color w:val="211E1F"/>
                <w:spacing w:val="-10"/>
                <w:sz w:val="18"/>
              </w:rPr>
            </w:pPr>
            <w:r w:rsidRPr="00D4309F">
              <w:rPr>
                <w:color w:val="211E1F"/>
                <w:spacing w:val="-10"/>
                <w:sz w:val="18"/>
              </w:rPr>
              <w:t>5</w:t>
            </w:r>
          </w:p>
        </w:tc>
      </w:tr>
      <w:tr w:rsidR="0019624B" w:rsidRPr="00D4309F" w14:paraId="48B14112" w14:textId="77777777">
        <w:trPr>
          <w:trHeight w:val="247"/>
        </w:trPr>
        <w:tc>
          <w:tcPr>
            <w:tcW w:w="1002" w:type="pct"/>
            <w:vMerge/>
          </w:tcPr>
          <w:p w14:paraId="309194B2" w14:textId="77777777" w:rsidR="0019624B" w:rsidRPr="00D4309F" w:rsidRDefault="0019624B" w:rsidP="0019624B">
            <w:pPr>
              <w:pStyle w:val="TableParagraph"/>
              <w:rPr>
                <w:rFonts w:ascii="Times New Roman"/>
                <w:sz w:val="18"/>
              </w:rPr>
            </w:pPr>
          </w:p>
        </w:tc>
        <w:tc>
          <w:tcPr>
            <w:tcW w:w="3427" w:type="pct"/>
          </w:tcPr>
          <w:p w14:paraId="5C0238BE"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Broader</w:t>
            </w:r>
            <w:r w:rsidRPr="00D4309F">
              <w:rPr>
                <w:color w:val="211E1F"/>
                <w:spacing w:val="-6"/>
                <w:sz w:val="18"/>
              </w:rPr>
              <w:t xml:space="preserve"> </w:t>
            </w:r>
            <w:r w:rsidRPr="00D4309F">
              <w:rPr>
                <w:color w:val="211E1F"/>
                <w:sz w:val="18"/>
              </w:rPr>
              <w:t>economic</w:t>
            </w:r>
            <w:r w:rsidRPr="00D4309F">
              <w:rPr>
                <w:color w:val="211E1F"/>
                <w:spacing w:val="-4"/>
                <w:sz w:val="18"/>
              </w:rPr>
              <w:t xml:space="preserve"> </w:t>
            </w:r>
            <w:r w:rsidRPr="00D4309F">
              <w:rPr>
                <w:color w:val="211E1F"/>
                <w:sz w:val="18"/>
              </w:rPr>
              <w:t>considerations</w:t>
            </w:r>
            <w:r w:rsidRPr="00D4309F">
              <w:rPr>
                <w:color w:val="211E1F"/>
                <w:spacing w:val="-3"/>
                <w:sz w:val="18"/>
              </w:rPr>
              <w:t xml:space="preserve"> </w:t>
            </w:r>
            <w:r w:rsidRPr="00D4309F">
              <w:rPr>
                <w:color w:val="211E1F"/>
                <w:sz w:val="18"/>
              </w:rPr>
              <w:t>during</w:t>
            </w:r>
            <w:r w:rsidRPr="00D4309F">
              <w:rPr>
                <w:color w:val="211E1F"/>
                <w:spacing w:val="-5"/>
                <w:sz w:val="18"/>
              </w:rPr>
              <w:t xml:space="preserve"> </w:t>
            </w:r>
            <w:r w:rsidRPr="00D4309F">
              <w:rPr>
                <w:color w:val="211E1F"/>
                <w:sz w:val="18"/>
              </w:rPr>
              <w:t>construction</w:t>
            </w:r>
            <w:r w:rsidRPr="00D4309F">
              <w:rPr>
                <w:color w:val="211E1F"/>
                <w:spacing w:val="-4"/>
                <w:sz w:val="18"/>
              </w:rPr>
              <w:t xml:space="preserve"> </w:t>
            </w:r>
            <w:r w:rsidRPr="00D4309F">
              <w:rPr>
                <w:color w:val="211E1F"/>
                <w:sz w:val="18"/>
              </w:rPr>
              <w:t>and</w:t>
            </w:r>
            <w:r w:rsidRPr="00D4309F">
              <w:rPr>
                <w:color w:val="211E1F"/>
                <w:spacing w:val="-4"/>
                <w:sz w:val="18"/>
              </w:rPr>
              <w:t xml:space="preserve"> </w:t>
            </w:r>
            <w:r w:rsidRPr="00D4309F">
              <w:rPr>
                <w:color w:val="211E1F"/>
                <w:spacing w:val="-2"/>
                <w:sz w:val="18"/>
              </w:rPr>
              <w:t>operation</w:t>
            </w:r>
          </w:p>
        </w:tc>
        <w:tc>
          <w:tcPr>
            <w:tcW w:w="571" w:type="pct"/>
          </w:tcPr>
          <w:p w14:paraId="5C47C72F" w14:textId="461F147F" w:rsidR="0019624B" w:rsidRPr="00D4309F" w:rsidRDefault="0019624B" w:rsidP="0019624B">
            <w:pPr>
              <w:pStyle w:val="TableParagraph"/>
              <w:spacing w:before="41" w:line="187" w:lineRule="exact"/>
              <w:ind w:left="485"/>
              <w:rPr>
                <w:color w:val="211E1F"/>
                <w:spacing w:val="-10"/>
                <w:sz w:val="18"/>
              </w:rPr>
            </w:pPr>
            <w:r w:rsidRPr="00D4309F">
              <w:rPr>
                <w:color w:val="211E1F"/>
                <w:spacing w:val="-10"/>
                <w:sz w:val="18"/>
              </w:rPr>
              <w:t>4</w:t>
            </w:r>
          </w:p>
        </w:tc>
      </w:tr>
      <w:tr w:rsidR="0019624B" w:rsidRPr="00D4309F" w14:paraId="13643A3D" w14:textId="77777777">
        <w:trPr>
          <w:trHeight w:val="247"/>
        </w:trPr>
        <w:tc>
          <w:tcPr>
            <w:tcW w:w="1002" w:type="pct"/>
            <w:vMerge/>
          </w:tcPr>
          <w:p w14:paraId="531A3810" w14:textId="77777777" w:rsidR="0019624B" w:rsidRPr="00D4309F" w:rsidRDefault="0019624B" w:rsidP="0019624B">
            <w:pPr>
              <w:pStyle w:val="TableParagraph"/>
              <w:rPr>
                <w:rFonts w:ascii="Times New Roman"/>
                <w:sz w:val="18"/>
              </w:rPr>
            </w:pPr>
          </w:p>
        </w:tc>
        <w:tc>
          <w:tcPr>
            <w:tcW w:w="3427" w:type="pct"/>
          </w:tcPr>
          <w:p w14:paraId="2FE5A690"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Environmental</w:t>
            </w:r>
            <w:r w:rsidRPr="00D4309F">
              <w:rPr>
                <w:color w:val="211E1F"/>
                <w:spacing w:val="-5"/>
                <w:sz w:val="18"/>
              </w:rPr>
              <w:t xml:space="preserve"> </w:t>
            </w:r>
            <w:r w:rsidRPr="00D4309F">
              <w:rPr>
                <w:color w:val="211E1F"/>
                <w:sz w:val="18"/>
              </w:rPr>
              <w:t>impact</w:t>
            </w:r>
            <w:r w:rsidRPr="00D4309F">
              <w:rPr>
                <w:color w:val="211E1F"/>
                <w:spacing w:val="-4"/>
                <w:sz w:val="18"/>
              </w:rPr>
              <w:t xml:space="preserve"> </w:t>
            </w:r>
            <w:r w:rsidRPr="00D4309F">
              <w:rPr>
                <w:color w:val="211E1F"/>
                <w:spacing w:val="-2"/>
                <w:sz w:val="18"/>
              </w:rPr>
              <w:t>perceptions</w:t>
            </w:r>
          </w:p>
        </w:tc>
        <w:tc>
          <w:tcPr>
            <w:tcW w:w="571" w:type="pct"/>
          </w:tcPr>
          <w:p w14:paraId="1833B99B" w14:textId="1B60B020" w:rsidR="0019624B" w:rsidRPr="00D4309F" w:rsidRDefault="0019624B" w:rsidP="0019624B">
            <w:pPr>
              <w:pStyle w:val="TableParagraph"/>
              <w:spacing w:before="41" w:line="187" w:lineRule="exact"/>
              <w:ind w:left="485"/>
              <w:rPr>
                <w:color w:val="211E1F"/>
                <w:spacing w:val="-10"/>
                <w:sz w:val="18"/>
              </w:rPr>
            </w:pPr>
            <w:r w:rsidRPr="00D4309F">
              <w:rPr>
                <w:color w:val="211E1F"/>
                <w:spacing w:val="-10"/>
                <w:sz w:val="18"/>
              </w:rPr>
              <w:t>1</w:t>
            </w:r>
          </w:p>
        </w:tc>
      </w:tr>
      <w:tr w:rsidR="0019624B" w:rsidRPr="00D4309F" w14:paraId="6F5AE64A" w14:textId="77777777">
        <w:trPr>
          <w:trHeight w:val="247"/>
        </w:trPr>
        <w:tc>
          <w:tcPr>
            <w:tcW w:w="1002" w:type="pct"/>
            <w:vMerge/>
          </w:tcPr>
          <w:p w14:paraId="071B0237" w14:textId="77777777" w:rsidR="0019624B" w:rsidRPr="00D4309F" w:rsidRDefault="0019624B" w:rsidP="0019624B">
            <w:pPr>
              <w:pStyle w:val="TableParagraph"/>
              <w:rPr>
                <w:rFonts w:ascii="Times New Roman"/>
                <w:sz w:val="18"/>
              </w:rPr>
            </w:pPr>
          </w:p>
        </w:tc>
        <w:tc>
          <w:tcPr>
            <w:tcW w:w="3427" w:type="pct"/>
          </w:tcPr>
          <w:p w14:paraId="3230B978" w14:textId="77777777" w:rsidR="0019624B" w:rsidRPr="00D4309F" w:rsidRDefault="0019624B" w:rsidP="0019624B">
            <w:pPr>
              <w:pStyle w:val="TableParagraph"/>
              <w:spacing w:before="41" w:line="187" w:lineRule="exact"/>
              <w:ind w:left="165"/>
              <w:rPr>
                <w:color w:val="211E1F"/>
                <w:sz w:val="18"/>
              </w:rPr>
            </w:pPr>
          </w:p>
        </w:tc>
        <w:tc>
          <w:tcPr>
            <w:tcW w:w="571" w:type="pct"/>
          </w:tcPr>
          <w:p w14:paraId="124800FF" w14:textId="77777777" w:rsidR="0019624B" w:rsidRPr="00D4309F" w:rsidRDefault="0019624B" w:rsidP="0019624B">
            <w:pPr>
              <w:pStyle w:val="TableParagraph"/>
              <w:spacing w:before="41" w:line="187" w:lineRule="exact"/>
              <w:ind w:left="485"/>
              <w:rPr>
                <w:color w:val="211E1F"/>
                <w:spacing w:val="-10"/>
                <w:sz w:val="18"/>
              </w:rPr>
            </w:pPr>
          </w:p>
        </w:tc>
      </w:tr>
      <w:tr w:rsidR="0019624B" w:rsidRPr="00D4309F" w14:paraId="441A9D72" w14:textId="77777777">
        <w:trPr>
          <w:trHeight w:val="247"/>
        </w:trPr>
        <w:tc>
          <w:tcPr>
            <w:tcW w:w="1002" w:type="pct"/>
            <w:vMerge/>
          </w:tcPr>
          <w:p w14:paraId="0D4192CE" w14:textId="77777777" w:rsidR="0019624B" w:rsidRPr="00D4309F" w:rsidRDefault="0019624B" w:rsidP="0019624B">
            <w:pPr>
              <w:pStyle w:val="TableParagraph"/>
              <w:rPr>
                <w:rFonts w:ascii="Times New Roman"/>
                <w:sz w:val="18"/>
              </w:rPr>
            </w:pPr>
          </w:p>
        </w:tc>
        <w:tc>
          <w:tcPr>
            <w:tcW w:w="3427" w:type="pct"/>
          </w:tcPr>
          <w:p w14:paraId="27A9AE4C" w14:textId="77777777" w:rsidR="0019624B" w:rsidRPr="00D4309F" w:rsidRDefault="0019624B" w:rsidP="0019624B">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33905BB2" w14:textId="3EA67600" w:rsidR="0019624B" w:rsidRPr="00D4309F" w:rsidRDefault="0019624B" w:rsidP="0019624B">
            <w:pPr>
              <w:pStyle w:val="TableParagraph"/>
              <w:spacing w:before="41" w:line="187" w:lineRule="exact"/>
              <w:ind w:left="485"/>
              <w:rPr>
                <w:color w:val="211E1F"/>
                <w:spacing w:val="-10"/>
                <w:sz w:val="18"/>
              </w:rPr>
            </w:pPr>
            <w:r w:rsidRPr="00D4309F">
              <w:rPr>
                <w:b/>
                <w:color w:val="211E1F"/>
                <w:spacing w:val="-5"/>
                <w:sz w:val="18"/>
              </w:rPr>
              <w:t>24</w:t>
            </w:r>
          </w:p>
        </w:tc>
      </w:tr>
      <w:tr w:rsidR="0019624B" w:rsidRPr="00D4309F" w14:paraId="33687121" w14:textId="77777777">
        <w:trPr>
          <w:trHeight w:val="247"/>
        </w:trPr>
        <w:tc>
          <w:tcPr>
            <w:tcW w:w="1002" w:type="pct"/>
            <w:vMerge w:val="restart"/>
          </w:tcPr>
          <w:p w14:paraId="4C16F9D3" w14:textId="77777777" w:rsidR="0019624B" w:rsidRPr="00D4309F" w:rsidRDefault="0019624B" w:rsidP="0019624B">
            <w:pPr>
              <w:pStyle w:val="TableParagraph"/>
              <w:rPr>
                <w:rFonts w:ascii="Times New Roman"/>
                <w:sz w:val="18"/>
              </w:rPr>
            </w:pPr>
            <w:r w:rsidRPr="00D4309F">
              <w:rPr>
                <w:b/>
                <w:color w:val="211E1F"/>
                <w:spacing w:val="-2"/>
                <w:sz w:val="18"/>
              </w:rPr>
              <w:t>Environmental</w:t>
            </w:r>
          </w:p>
        </w:tc>
        <w:tc>
          <w:tcPr>
            <w:tcW w:w="3427" w:type="pct"/>
          </w:tcPr>
          <w:p w14:paraId="287B0492"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Marine</w:t>
            </w:r>
            <w:r w:rsidRPr="00D4309F">
              <w:rPr>
                <w:color w:val="211E1F"/>
                <w:spacing w:val="-4"/>
                <w:sz w:val="18"/>
              </w:rPr>
              <w:t xml:space="preserve"> </w:t>
            </w:r>
            <w:r w:rsidRPr="00D4309F">
              <w:rPr>
                <w:color w:val="211E1F"/>
                <w:sz w:val="18"/>
              </w:rPr>
              <w:t>water</w:t>
            </w:r>
            <w:r w:rsidRPr="00D4309F">
              <w:rPr>
                <w:color w:val="211E1F"/>
                <w:spacing w:val="-3"/>
                <w:sz w:val="18"/>
              </w:rPr>
              <w:t xml:space="preserve"> </w:t>
            </w:r>
            <w:r w:rsidRPr="00D4309F">
              <w:rPr>
                <w:color w:val="211E1F"/>
                <w:sz w:val="18"/>
              </w:rPr>
              <w:t>quality</w:t>
            </w:r>
            <w:r w:rsidRPr="00D4309F">
              <w:rPr>
                <w:color w:val="211E1F"/>
                <w:spacing w:val="-3"/>
                <w:sz w:val="18"/>
              </w:rPr>
              <w:t xml:space="preserve"> </w:t>
            </w:r>
            <w:r w:rsidRPr="00D4309F">
              <w:rPr>
                <w:color w:val="211E1F"/>
                <w:spacing w:val="-2"/>
                <w:sz w:val="18"/>
              </w:rPr>
              <w:t>impacts</w:t>
            </w:r>
          </w:p>
        </w:tc>
        <w:tc>
          <w:tcPr>
            <w:tcW w:w="571" w:type="pct"/>
          </w:tcPr>
          <w:p w14:paraId="126B249E" w14:textId="7520F8D2" w:rsidR="0019624B" w:rsidRPr="00D4309F" w:rsidRDefault="0019624B" w:rsidP="0019624B">
            <w:pPr>
              <w:pStyle w:val="TableParagraph"/>
              <w:spacing w:before="41" w:line="187" w:lineRule="exact"/>
              <w:ind w:left="485"/>
              <w:rPr>
                <w:color w:val="211E1F"/>
                <w:spacing w:val="-10"/>
                <w:sz w:val="18"/>
              </w:rPr>
            </w:pPr>
            <w:r w:rsidRPr="00D4309F">
              <w:rPr>
                <w:color w:val="211E1F"/>
                <w:spacing w:val="-10"/>
                <w:sz w:val="18"/>
              </w:rPr>
              <w:t>2</w:t>
            </w:r>
          </w:p>
        </w:tc>
      </w:tr>
      <w:tr w:rsidR="0019624B" w:rsidRPr="00D4309F" w14:paraId="6037C91F" w14:textId="77777777">
        <w:trPr>
          <w:trHeight w:val="247"/>
        </w:trPr>
        <w:tc>
          <w:tcPr>
            <w:tcW w:w="1002" w:type="pct"/>
            <w:vMerge/>
          </w:tcPr>
          <w:p w14:paraId="48C8CD83" w14:textId="77777777" w:rsidR="0019624B" w:rsidRPr="00D4309F" w:rsidRDefault="0019624B" w:rsidP="0019624B">
            <w:pPr>
              <w:pStyle w:val="TableParagraph"/>
              <w:rPr>
                <w:rFonts w:ascii="Times New Roman"/>
                <w:sz w:val="18"/>
              </w:rPr>
            </w:pPr>
          </w:p>
        </w:tc>
        <w:tc>
          <w:tcPr>
            <w:tcW w:w="3427" w:type="pct"/>
          </w:tcPr>
          <w:p w14:paraId="5A810237"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Marine</w:t>
            </w:r>
            <w:r w:rsidRPr="00D4309F">
              <w:rPr>
                <w:color w:val="211E1F"/>
                <w:spacing w:val="-2"/>
                <w:sz w:val="18"/>
              </w:rPr>
              <w:t xml:space="preserve"> </w:t>
            </w:r>
            <w:r w:rsidRPr="00D4309F">
              <w:rPr>
                <w:color w:val="211E1F"/>
                <w:sz w:val="18"/>
              </w:rPr>
              <w:t>habitats</w:t>
            </w:r>
            <w:r w:rsidRPr="00D4309F">
              <w:rPr>
                <w:color w:val="211E1F"/>
                <w:spacing w:val="-3"/>
                <w:sz w:val="18"/>
              </w:rPr>
              <w:t xml:space="preserve"> </w:t>
            </w:r>
            <w:r w:rsidRPr="00D4309F">
              <w:rPr>
                <w:color w:val="211E1F"/>
                <w:sz w:val="18"/>
              </w:rPr>
              <w:t>&amp;</w:t>
            </w:r>
            <w:r w:rsidRPr="00D4309F">
              <w:rPr>
                <w:color w:val="211E1F"/>
                <w:spacing w:val="-3"/>
                <w:sz w:val="18"/>
              </w:rPr>
              <w:t xml:space="preserve"> </w:t>
            </w:r>
            <w:r w:rsidRPr="00D4309F">
              <w:rPr>
                <w:color w:val="211E1F"/>
                <w:sz w:val="18"/>
              </w:rPr>
              <w:t>protected</w:t>
            </w:r>
            <w:r w:rsidRPr="00D4309F">
              <w:rPr>
                <w:color w:val="211E1F"/>
                <w:spacing w:val="-4"/>
                <w:sz w:val="18"/>
              </w:rPr>
              <w:t xml:space="preserve"> </w:t>
            </w:r>
            <w:r w:rsidRPr="00D4309F">
              <w:rPr>
                <w:color w:val="211E1F"/>
                <w:sz w:val="18"/>
              </w:rPr>
              <w:t>species</w:t>
            </w:r>
            <w:r w:rsidRPr="00D4309F">
              <w:rPr>
                <w:color w:val="211E1F"/>
                <w:spacing w:val="-2"/>
                <w:sz w:val="18"/>
              </w:rPr>
              <w:t xml:space="preserve"> impacts</w:t>
            </w:r>
          </w:p>
        </w:tc>
        <w:tc>
          <w:tcPr>
            <w:tcW w:w="571" w:type="pct"/>
          </w:tcPr>
          <w:p w14:paraId="223ED9D7" w14:textId="67FE3B85" w:rsidR="0019624B" w:rsidRPr="00D4309F" w:rsidRDefault="0019624B" w:rsidP="0019624B">
            <w:pPr>
              <w:pStyle w:val="TableParagraph"/>
              <w:spacing w:before="41" w:line="187" w:lineRule="exact"/>
              <w:ind w:left="485"/>
              <w:rPr>
                <w:color w:val="211E1F"/>
                <w:spacing w:val="-10"/>
                <w:sz w:val="18"/>
              </w:rPr>
            </w:pPr>
            <w:r w:rsidRPr="00D4309F">
              <w:rPr>
                <w:color w:val="211E1F"/>
                <w:spacing w:val="-10"/>
                <w:sz w:val="18"/>
              </w:rPr>
              <w:t>1</w:t>
            </w:r>
          </w:p>
        </w:tc>
      </w:tr>
      <w:tr w:rsidR="0019624B" w:rsidRPr="00D4309F" w14:paraId="65146368" w14:textId="77777777">
        <w:trPr>
          <w:trHeight w:val="247"/>
        </w:trPr>
        <w:tc>
          <w:tcPr>
            <w:tcW w:w="1002" w:type="pct"/>
            <w:vMerge/>
          </w:tcPr>
          <w:p w14:paraId="572B970E" w14:textId="77777777" w:rsidR="0019624B" w:rsidRPr="00D4309F" w:rsidRDefault="0019624B" w:rsidP="0019624B">
            <w:pPr>
              <w:pStyle w:val="TableParagraph"/>
              <w:rPr>
                <w:rFonts w:ascii="Times New Roman"/>
                <w:sz w:val="18"/>
              </w:rPr>
            </w:pPr>
          </w:p>
        </w:tc>
        <w:tc>
          <w:tcPr>
            <w:tcW w:w="3427" w:type="pct"/>
          </w:tcPr>
          <w:p w14:paraId="3E4EEA66"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Terrestrial</w:t>
            </w:r>
            <w:r w:rsidRPr="00D4309F">
              <w:rPr>
                <w:color w:val="211E1F"/>
                <w:spacing w:val="-3"/>
                <w:sz w:val="18"/>
              </w:rPr>
              <w:t xml:space="preserve"> </w:t>
            </w:r>
            <w:r w:rsidRPr="00D4309F">
              <w:rPr>
                <w:color w:val="211E1F"/>
                <w:sz w:val="18"/>
              </w:rPr>
              <w:t>habitats</w:t>
            </w:r>
            <w:r w:rsidRPr="00D4309F">
              <w:rPr>
                <w:color w:val="211E1F"/>
                <w:spacing w:val="-3"/>
                <w:sz w:val="18"/>
              </w:rPr>
              <w:t xml:space="preserve"> </w:t>
            </w:r>
            <w:r w:rsidRPr="00D4309F">
              <w:rPr>
                <w:color w:val="211E1F"/>
                <w:sz w:val="18"/>
              </w:rPr>
              <w:t>&amp;</w:t>
            </w:r>
            <w:r w:rsidRPr="00D4309F">
              <w:rPr>
                <w:color w:val="211E1F"/>
                <w:spacing w:val="-3"/>
                <w:sz w:val="18"/>
              </w:rPr>
              <w:t xml:space="preserve"> </w:t>
            </w:r>
            <w:r w:rsidRPr="00D4309F">
              <w:rPr>
                <w:color w:val="211E1F"/>
                <w:sz w:val="18"/>
              </w:rPr>
              <w:t>protected</w:t>
            </w:r>
            <w:r w:rsidRPr="00D4309F">
              <w:rPr>
                <w:color w:val="211E1F"/>
                <w:spacing w:val="-4"/>
                <w:sz w:val="18"/>
              </w:rPr>
              <w:t xml:space="preserve"> </w:t>
            </w:r>
            <w:r w:rsidRPr="00D4309F">
              <w:rPr>
                <w:color w:val="211E1F"/>
                <w:sz w:val="18"/>
              </w:rPr>
              <w:t>species</w:t>
            </w:r>
            <w:r w:rsidRPr="00D4309F">
              <w:rPr>
                <w:color w:val="211E1F"/>
                <w:spacing w:val="-2"/>
                <w:sz w:val="18"/>
              </w:rPr>
              <w:t xml:space="preserve"> impacts</w:t>
            </w:r>
          </w:p>
        </w:tc>
        <w:tc>
          <w:tcPr>
            <w:tcW w:w="571" w:type="pct"/>
          </w:tcPr>
          <w:p w14:paraId="74831D9F" w14:textId="32215C55" w:rsidR="0019624B" w:rsidRPr="00D4309F" w:rsidRDefault="0019624B" w:rsidP="0019624B">
            <w:pPr>
              <w:pStyle w:val="TableParagraph"/>
              <w:spacing w:before="41" w:line="187" w:lineRule="exact"/>
              <w:ind w:left="485"/>
              <w:rPr>
                <w:color w:val="211E1F"/>
                <w:spacing w:val="-10"/>
                <w:sz w:val="18"/>
              </w:rPr>
            </w:pPr>
            <w:r w:rsidRPr="00D4309F">
              <w:rPr>
                <w:color w:val="211E1F"/>
                <w:spacing w:val="-10"/>
                <w:sz w:val="18"/>
              </w:rPr>
              <w:t>1</w:t>
            </w:r>
          </w:p>
        </w:tc>
      </w:tr>
      <w:tr w:rsidR="0019624B" w:rsidRPr="00D4309F" w14:paraId="57103F5C" w14:textId="77777777">
        <w:trPr>
          <w:trHeight w:val="247"/>
        </w:trPr>
        <w:tc>
          <w:tcPr>
            <w:tcW w:w="1002" w:type="pct"/>
            <w:vMerge/>
          </w:tcPr>
          <w:p w14:paraId="5A36765B" w14:textId="77777777" w:rsidR="0019624B" w:rsidRPr="00D4309F" w:rsidRDefault="0019624B" w:rsidP="0019624B">
            <w:pPr>
              <w:pStyle w:val="TableParagraph"/>
              <w:rPr>
                <w:rFonts w:ascii="Times New Roman"/>
                <w:sz w:val="18"/>
              </w:rPr>
            </w:pPr>
          </w:p>
        </w:tc>
        <w:tc>
          <w:tcPr>
            <w:tcW w:w="3427" w:type="pct"/>
          </w:tcPr>
          <w:p w14:paraId="76675846" w14:textId="77777777" w:rsidR="0019624B" w:rsidRPr="00D4309F" w:rsidRDefault="0019624B" w:rsidP="0019624B">
            <w:pPr>
              <w:pStyle w:val="TableParagraph"/>
              <w:spacing w:before="41" w:line="187" w:lineRule="exact"/>
              <w:ind w:left="165"/>
              <w:rPr>
                <w:color w:val="211E1F"/>
                <w:sz w:val="18"/>
              </w:rPr>
            </w:pPr>
          </w:p>
        </w:tc>
        <w:tc>
          <w:tcPr>
            <w:tcW w:w="571" w:type="pct"/>
          </w:tcPr>
          <w:p w14:paraId="75B25FC0" w14:textId="77777777" w:rsidR="0019624B" w:rsidRPr="00D4309F" w:rsidRDefault="0019624B" w:rsidP="0019624B">
            <w:pPr>
              <w:pStyle w:val="TableParagraph"/>
              <w:spacing w:before="41" w:line="187" w:lineRule="exact"/>
              <w:ind w:left="485"/>
              <w:rPr>
                <w:color w:val="211E1F"/>
                <w:spacing w:val="-10"/>
                <w:sz w:val="18"/>
              </w:rPr>
            </w:pPr>
          </w:p>
        </w:tc>
      </w:tr>
      <w:tr w:rsidR="0019624B" w:rsidRPr="00D4309F" w14:paraId="6D5AAADF" w14:textId="77777777">
        <w:trPr>
          <w:trHeight w:val="247"/>
        </w:trPr>
        <w:tc>
          <w:tcPr>
            <w:tcW w:w="1002" w:type="pct"/>
            <w:vMerge/>
          </w:tcPr>
          <w:p w14:paraId="255B9AF1" w14:textId="77777777" w:rsidR="0019624B" w:rsidRPr="00D4309F" w:rsidRDefault="0019624B" w:rsidP="0019624B">
            <w:pPr>
              <w:pStyle w:val="TableParagraph"/>
              <w:rPr>
                <w:rFonts w:ascii="Times New Roman"/>
                <w:sz w:val="18"/>
              </w:rPr>
            </w:pPr>
          </w:p>
        </w:tc>
        <w:tc>
          <w:tcPr>
            <w:tcW w:w="3427" w:type="pct"/>
          </w:tcPr>
          <w:p w14:paraId="4653E651" w14:textId="77777777" w:rsidR="0019624B" w:rsidRPr="00D4309F" w:rsidRDefault="0019624B" w:rsidP="0019624B">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1BB7984E" w14:textId="5EBB96B3" w:rsidR="0019624B" w:rsidRPr="00D4309F" w:rsidRDefault="0019624B" w:rsidP="0019624B">
            <w:pPr>
              <w:pStyle w:val="TableParagraph"/>
              <w:spacing w:before="41" w:line="187" w:lineRule="exact"/>
              <w:ind w:left="485"/>
              <w:rPr>
                <w:color w:val="211E1F"/>
                <w:spacing w:val="-10"/>
                <w:sz w:val="18"/>
              </w:rPr>
            </w:pPr>
            <w:r w:rsidRPr="00D4309F">
              <w:rPr>
                <w:b/>
                <w:color w:val="211E1F"/>
                <w:spacing w:val="-10"/>
                <w:sz w:val="18"/>
              </w:rPr>
              <w:t>4</w:t>
            </w:r>
          </w:p>
        </w:tc>
      </w:tr>
      <w:tr w:rsidR="0019624B" w:rsidRPr="00D4309F" w14:paraId="608DB6B8" w14:textId="77777777">
        <w:trPr>
          <w:trHeight w:val="247"/>
        </w:trPr>
        <w:tc>
          <w:tcPr>
            <w:tcW w:w="1002" w:type="pct"/>
            <w:vMerge w:val="restart"/>
          </w:tcPr>
          <w:p w14:paraId="4A5A123D" w14:textId="77777777" w:rsidR="0019624B" w:rsidRPr="00D4309F" w:rsidRDefault="0019624B" w:rsidP="0019624B">
            <w:pPr>
              <w:pStyle w:val="TableParagraph"/>
              <w:rPr>
                <w:rFonts w:ascii="Times New Roman"/>
                <w:sz w:val="18"/>
              </w:rPr>
            </w:pPr>
            <w:r w:rsidRPr="00D4309F">
              <w:rPr>
                <w:b/>
                <w:color w:val="211E1F"/>
                <w:spacing w:val="-2"/>
                <w:sz w:val="18"/>
              </w:rPr>
              <w:t>Financial</w:t>
            </w:r>
          </w:p>
        </w:tc>
        <w:tc>
          <w:tcPr>
            <w:tcW w:w="3427" w:type="pct"/>
          </w:tcPr>
          <w:p w14:paraId="7C7A9748"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Capital</w:t>
            </w:r>
            <w:r w:rsidRPr="00D4309F">
              <w:rPr>
                <w:color w:val="211E1F"/>
                <w:spacing w:val="-6"/>
                <w:sz w:val="18"/>
              </w:rPr>
              <w:t xml:space="preserve"> </w:t>
            </w:r>
            <w:r w:rsidRPr="00D4309F">
              <w:rPr>
                <w:color w:val="211E1F"/>
                <w:spacing w:val="-2"/>
                <w:sz w:val="18"/>
              </w:rPr>
              <w:t>(CAPEX),</w:t>
            </w:r>
          </w:p>
        </w:tc>
        <w:tc>
          <w:tcPr>
            <w:tcW w:w="571" w:type="pct"/>
          </w:tcPr>
          <w:p w14:paraId="060A9F4B" w14:textId="25967347" w:rsidR="0019624B" w:rsidRPr="00D4309F" w:rsidRDefault="0019624B" w:rsidP="0019624B">
            <w:pPr>
              <w:pStyle w:val="TableParagraph"/>
              <w:spacing w:before="41" w:line="187" w:lineRule="exact"/>
              <w:ind w:left="485"/>
              <w:rPr>
                <w:color w:val="211E1F"/>
                <w:spacing w:val="-10"/>
                <w:sz w:val="18"/>
              </w:rPr>
            </w:pPr>
            <w:r w:rsidRPr="00D4309F">
              <w:rPr>
                <w:color w:val="211E1F"/>
                <w:spacing w:val="-10"/>
                <w:sz w:val="18"/>
              </w:rPr>
              <w:t>2</w:t>
            </w:r>
          </w:p>
        </w:tc>
      </w:tr>
      <w:tr w:rsidR="0019624B" w:rsidRPr="00D4309F" w14:paraId="2C151E7F" w14:textId="77777777">
        <w:trPr>
          <w:trHeight w:val="247"/>
        </w:trPr>
        <w:tc>
          <w:tcPr>
            <w:tcW w:w="1002" w:type="pct"/>
            <w:vMerge/>
          </w:tcPr>
          <w:p w14:paraId="37A78CB5" w14:textId="77777777" w:rsidR="0019624B" w:rsidRPr="00D4309F" w:rsidRDefault="0019624B" w:rsidP="0019624B">
            <w:pPr>
              <w:pStyle w:val="TableParagraph"/>
              <w:rPr>
                <w:rFonts w:ascii="Times New Roman"/>
                <w:sz w:val="18"/>
              </w:rPr>
            </w:pPr>
          </w:p>
        </w:tc>
        <w:tc>
          <w:tcPr>
            <w:tcW w:w="3427" w:type="pct"/>
          </w:tcPr>
          <w:p w14:paraId="31CDC9C1"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Operations</w:t>
            </w:r>
            <w:r w:rsidRPr="00D4309F">
              <w:rPr>
                <w:color w:val="211E1F"/>
                <w:spacing w:val="-6"/>
                <w:sz w:val="18"/>
              </w:rPr>
              <w:t xml:space="preserve"> </w:t>
            </w:r>
            <w:r w:rsidRPr="00D4309F">
              <w:rPr>
                <w:color w:val="211E1F"/>
                <w:sz w:val="18"/>
              </w:rPr>
              <w:t>and</w:t>
            </w:r>
            <w:r w:rsidRPr="00D4309F">
              <w:rPr>
                <w:color w:val="211E1F"/>
                <w:spacing w:val="-5"/>
                <w:sz w:val="18"/>
              </w:rPr>
              <w:t xml:space="preserve"> </w:t>
            </w:r>
            <w:r w:rsidRPr="00D4309F">
              <w:rPr>
                <w:color w:val="211E1F"/>
                <w:sz w:val="18"/>
              </w:rPr>
              <w:t>maintenance</w:t>
            </w:r>
            <w:r w:rsidRPr="00D4309F">
              <w:rPr>
                <w:color w:val="211E1F"/>
                <w:spacing w:val="-3"/>
                <w:sz w:val="18"/>
              </w:rPr>
              <w:t xml:space="preserve"> </w:t>
            </w:r>
            <w:r w:rsidRPr="00D4309F">
              <w:rPr>
                <w:color w:val="211E1F"/>
                <w:sz w:val="18"/>
              </w:rPr>
              <w:t>(OPEX),</w:t>
            </w:r>
            <w:r w:rsidRPr="00D4309F">
              <w:rPr>
                <w:color w:val="211E1F"/>
                <w:spacing w:val="-4"/>
                <w:sz w:val="18"/>
              </w:rPr>
              <w:t xml:space="preserve"> </w:t>
            </w:r>
            <w:r w:rsidRPr="00D4309F">
              <w:rPr>
                <w:color w:val="211E1F"/>
                <w:sz w:val="18"/>
              </w:rPr>
              <w:t>contingency,</w:t>
            </w:r>
            <w:r w:rsidRPr="00D4309F">
              <w:rPr>
                <w:color w:val="211E1F"/>
                <w:spacing w:val="-4"/>
                <w:sz w:val="18"/>
              </w:rPr>
              <w:t xml:space="preserve"> </w:t>
            </w:r>
            <w:r w:rsidRPr="00D4309F">
              <w:rPr>
                <w:color w:val="211E1F"/>
                <w:spacing w:val="-2"/>
                <w:sz w:val="18"/>
              </w:rPr>
              <w:t>monitoring.</w:t>
            </w:r>
          </w:p>
        </w:tc>
        <w:tc>
          <w:tcPr>
            <w:tcW w:w="571" w:type="pct"/>
          </w:tcPr>
          <w:p w14:paraId="3EC1CE53" w14:textId="511AB9D8" w:rsidR="0019624B" w:rsidRPr="00D4309F" w:rsidRDefault="0019624B" w:rsidP="0019624B">
            <w:pPr>
              <w:pStyle w:val="TableParagraph"/>
              <w:spacing w:before="41" w:line="187" w:lineRule="exact"/>
              <w:ind w:left="485"/>
              <w:rPr>
                <w:color w:val="211E1F"/>
                <w:spacing w:val="-10"/>
                <w:sz w:val="18"/>
              </w:rPr>
            </w:pPr>
            <w:r w:rsidRPr="00D4309F">
              <w:rPr>
                <w:color w:val="211E1F"/>
                <w:spacing w:val="-10"/>
                <w:sz w:val="18"/>
              </w:rPr>
              <w:t>4</w:t>
            </w:r>
          </w:p>
        </w:tc>
      </w:tr>
      <w:tr w:rsidR="0019624B" w:rsidRPr="00D4309F" w14:paraId="67A1CBAF" w14:textId="77777777">
        <w:trPr>
          <w:trHeight w:val="247"/>
        </w:trPr>
        <w:tc>
          <w:tcPr>
            <w:tcW w:w="1002" w:type="pct"/>
            <w:vMerge/>
          </w:tcPr>
          <w:p w14:paraId="413FA788" w14:textId="77777777" w:rsidR="0019624B" w:rsidRPr="00D4309F" w:rsidRDefault="0019624B" w:rsidP="0019624B">
            <w:pPr>
              <w:pStyle w:val="TableParagraph"/>
              <w:rPr>
                <w:rFonts w:ascii="Times New Roman"/>
                <w:sz w:val="18"/>
              </w:rPr>
            </w:pPr>
          </w:p>
        </w:tc>
        <w:tc>
          <w:tcPr>
            <w:tcW w:w="3427" w:type="pct"/>
          </w:tcPr>
          <w:p w14:paraId="420AEB7E" w14:textId="77777777" w:rsidR="0019624B" w:rsidRPr="00D4309F" w:rsidRDefault="0019624B" w:rsidP="0019624B">
            <w:pPr>
              <w:pStyle w:val="TableParagraph"/>
              <w:spacing w:before="41" w:line="187" w:lineRule="exact"/>
              <w:ind w:left="165"/>
              <w:rPr>
                <w:color w:val="211E1F"/>
                <w:sz w:val="18"/>
              </w:rPr>
            </w:pPr>
          </w:p>
        </w:tc>
        <w:tc>
          <w:tcPr>
            <w:tcW w:w="571" w:type="pct"/>
          </w:tcPr>
          <w:p w14:paraId="37F90782" w14:textId="77777777" w:rsidR="0019624B" w:rsidRPr="00D4309F" w:rsidRDefault="0019624B" w:rsidP="0019624B">
            <w:pPr>
              <w:pStyle w:val="TableParagraph"/>
              <w:spacing w:before="41" w:line="187" w:lineRule="exact"/>
              <w:ind w:left="485"/>
              <w:rPr>
                <w:color w:val="211E1F"/>
                <w:spacing w:val="-10"/>
                <w:sz w:val="18"/>
              </w:rPr>
            </w:pPr>
          </w:p>
        </w:tc>
      </w:tr>
      <w:tr w:rsidR="0019624B" w:rsidRPr="00D4309F" w14:paraId="745E3F35" w14:textId="77777777">
        <w:trPr>
          <w:trHeight w:val="247"/>
        </w:trPr>
        <w:tc>
          <w:tcPr>
            <w:tcW w:w="1002" w:type="pct"/>
            <w:vMerge/>
          </w:tcPr>
          <w:p w14:paraId="450FE106" w14:textId="77777777" w:rsidR="0019624B" w:rsidRPr="00D4309F" w:rsidRDefault="0019624B" w:rsidP="0019624B">
            <w:pPr>
              <w:pStyle w:val="TableParagraph"/>
              <w:rPr>
                <w:b/>
                <w:color w:val="211E1F"/>
                <w:spacing w:val="-2"/>
                <w:sz w:val="18"/>
              </w:rPr>
            </w:pPr>
          </w:p>
        </w:tc>
        <w:tc>
          <w:tcPr>
            <w:tcW w:w="3427" w:type="pct"/>
          </w:tcPr>
          <w:p w14:paraId="0D3884F7" w14:textId="77777777" w:rsidR="0019624B" w:rsidRPr="00D4309F" w:rsidRDefault="0019624B" w:rsidP="0019624B">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4C51ACC7" w14:textId="20B3DDE2" w:rsidR="0019624B" w:rsidRPr="00D4309F" w:rsidRDefault="0019624B" w:rsidP="0019624B">
            <w:pPr>
              <w:pStyle w:val="TableParagraph"/>
              <w:spacing w:before="41" w:line="187" w:lineRule="exact"/>
              <w:ind w:left="485"/>
              <w:rPr>
                <w:color w:val="211E1F"/>
                <w:spacing w:val="-10"/>
                <w:sz w:val="18"/>
              </w:rPr>
            </w:pPr>
            <w:r w:rsidRPr="00D4309F">
              <w:rPr>
                <w:b/>
                <w:color w:val="211E1F"/>
                <w:spacing w:val="-10"/>
                <w:sz w:val="18"/>
              </w:rPr>
              <w:t>6</w:t>
            </w:r>
          </w:p>
        </w:tc>
      </w:tr>
      <w:tr w:rsidR="0019624B" w:rsidRPr="00D4309F" w14:paraId="1EA8B20A" w14:textId="77777777" w:rsidTr="00213A04">
        <w:trPr>
          <w:trHeight w:val="247"/>
        </w:trPr>
        <w:tc>
          <w:tcPr>
            <w:tcW w:w="1002" w:type="pct"/>
            <w:shd w:val="clear" w:color="auto" w:fill="D9D9D9" w:themeFill="background1" w:themeFillShade="D9"/>
          </w:tcPr>
          <w:p w14:paraId="5EABCA31" w14:textId="77777777" w:rsidR="0019624B" w:rsidRPr="00D4309F" w:rsidRDefault="0019624B" w:rsidP="0019624B">
            <w:pPr>
              <w:pStyle w:val="TableParagraph"/>
              <w:rPr>
                <w:b/>
                <w:color w:val="211E1F"/>
                <w:spacing w:val="-2"/>
                <w:sz w:val="18"/>
              </w:rPr>
            </w:pPr>
            <w:r w:rsidRPr="00D4309F">
              <w:rPr>
                <w:b/>
                <w:color w:val="70004A"/>
                <w:sz w:val="18"/>
              </w:rPr>
              <w:t>Total</w:t>
            </w:r>
            <w:r w:rsidRPr="00D4309F">
              <w:rPr>
                <w:b/>
                <w:color w:val="70004A"/>
                <w:spacing w:val="-3"/>
                <w:sz w:val="18"/>
              </w:rPr>
              <w:t xml:space="preserve"> </w:t>
            </w:r>
            <w:r w:rsidRPr="00D4309F">
              <w:rPr>
                <w:b/>
                <w:color w:val="70004A"/>
                <w:spacing w:val="-2"/>
                <w:sz w:val="18"/>
              </w:rPr>
              <w:t>Score</w:t>
            </w:r>
          </w:p>
        </w:tc>
        <w:tc>
          <w:tcPr>
            <w:tcW w:w="3427" w:type="pct"/>
            <w:shd w:val="clear" w:color="auto" w:fill="D9D9D9" w:themeFill="background1" w:themeFillShade="D9"/>
          </w:tcPr>
          <w:p w14:paraId="7F78900A" w14:textId="77777777" w:rsidR="0019624B" w:rsidRPr="00D4309F" w:rsidRDefault="0019624B" w:rsidP="0019624B">
            <w:pPr>
              <w:pStyle w:val="TableParagraph"/>
              <w:spacing w:before="41" w:line="187" w:lineRule="exact"/>
              <w:ind w:left="165"/>
              <w:rPr>
                <w:color w:val="211E1F"/>
                <w:sz w:val="18"/>
              </w:rPr>
            </w:pPr>
          </w:p>
        </w:tc>
        <w:tc>
          <w:tcPr>
            <w:tcW w:w="571" w:type="pct"/>
            <w:shd w:val="clear" w:color="auto" w:fill="D9D9D9" w:themeFill="background1" w:themeFillShade="D9"/>
          </w:tcPr>
          <w:p w14:paraId="4F3AD275" w14:textId="3F768B9E" w:rsidR="0019624B" w:rsidRPr="00D4309F" w:rsidRDefault="0019624B" w:rsidP="0019624B">
            <w:pPr>
              <w:pStyle w:val="TableParagraph"/>
              <w:spacing w:before="41" w:line="187" w:lineRule="exact"/>
              <w:ind w:left="485"/>
              <w:rPr>
                <w:color w:val="211E1F"/>
                <w:spacing w:val="-10"/>
                <w:sz w:val="18"/>
              </w:rPr>
            </w:pPr>
            <w:r w:rsidRPr="00D4309F">
              <w:rPr>
                <w:b/>
                <w:color w:val="70004A"/>
                <w:spacing w:val="-5"/>
                <w:sz w:val="18"/>
              </w:rPr>
              <w:t>64</w:t>
            </w:r>
          </w:p>
        </w:tc>
      </w:tr>
    </w:tbl>
    <w:p w14:paraId="0B064897" w14:textId="162A5D24" w:rsidR="00725977" w:rsidRPr="00D4309F" w:rsidRDefault="00725977" w:rsidP="00D4229D">
      <w:pPr>
        <w:pStyle w:val="BodyText"/>
      </w:pPr>
      <w:bookmarkStart w:id="466" w:name="_bookmark168"/>
      <w:bookmarkEnd w:id="466"/>
    </w:p>
    <w:p w14:paraId="383D388B" w14:textId="77777777" w:rsidR="0019624B" w:rsidRDefault="0019624B" w:rsidP="007774EC">
      <w:pPr>
        <w:pStyle w:val="Table-Caption"/>
        <w:sectPr w:rsidR="0019624B" w:rsidSect="00405D4F">
          <w:headerReference w:type="default" r:id="rId135"/>
          <w:footerReference w:type="default" r:id="rId136"/>
          <w:pgSz w:w="16840" w:h="11910" w:orient="landscape"/>
          <w:pgMar w:top="1418" w:right="1134" w:bottom="1418" w:left="1134" w:header="0" w:footer="0" w:gutter="0"/>
          <w:cols w:space="720"/>
        </w:sectPr>
      </w:pPr>
    </w:p>
    <w:p w14:paraId="0B1B7464" w14:textId="49ED470B" w:rsidR="00725977" w:rsidRDefault="00D4229D" w:rsidP="007774EC">
      <w:pPr>
        <w:pStyle w:val="Table-Caption"/>
        <w:rPr>
          <w:color w:val="211E1F"/>
          <w:spacing w:val="-2"/>
        </w:rPr>
      </w:pPr>
      <w:bookmarkStart w:id="467" w:name="_Toc216699579"/>
      <w:r>
        <w:lastRenderedPageBreak/>
        <w:t xml:space="preserve">Table </w:t>
      </w:r>
      <w:r w:rsidR="00151534">
        <w:fldChar w:fldCharType="begin" w:fldLock="1"/>
      </w:r>
      <w:r w:rsidR="00151534">
        <w:instrText xml:space="preserve"> STYLEREF 1 \s </w:instrText>
      </w:r>
      <w:r w:rsidR="00151534">
        <w:fldChar w:fldCharType="separate"/>
      </w:r>
      <w:r w:rsidR="00151534">
        <w:rPr>
          <w:noProof/>
        </w:rPr>
        <w:t>15</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11</w:t>
      </w:r>
      <w:r w:rsidR="00151534">
        <w:fldChar w:fldCharType="end"/>
      </w:r>
      <w:r>
        <w:t>:</w:t>
      </w:r>
      <w:r>
        <w:tab/>
      </w:r>
      <w:r w:rsidRPr="00D4309F">
        <w:rPr>
          <w:color w:val="211E1F"/>
        </w:rPr>
        <w:t>Option</w:t>
      </w:r>
      <w:r w:rsidRPr="00D4309F">
        <w:rPr>
          <w:color w:val="211E1F"/>
          <w:spacing w:val="-2"/>
        </w:rPr>
        <w:t xml:space="preserve"> </w:t>
      </w:r>
      <w:r w:rsidRPr="00D4309F">
        <w:rPr>
          <w:color w:val="211E1F"/>
        </w:rPr>
        <w:t>3C</w:t>
      </w:r>
      <w:r w:rsidRPr="00D4309F">
        <w:rPr>
          <w:color w:val="211E1F"/>
          <w:spacing w:val="-1"/>
        </w:rPr>
        <w:t xml:space="preserve"> </w:t>
      </w:r>
      <w:r w:rsidRPr="00D4309F">
        <w:rPr>
          <w:color w:val="211E1F"/>
        </w:rPr>
        <w:t>MCA</w:t>
      </w:r>
      <w:r w:rsidRPr="00D4309F">
        <w:rPr>
          <w:color w:val="211E1F"/>
          <w:spacing w:val="-1"/>
        </w:rPr>
        <w:t xml:space="preserve"> </w:t>
      </w:r>
      <w:r w:rsidRPr="00D4309F">
        <w:rPr>
          <w:color w:val="211E1F"/>
          <w:spacing w:val="-2"/>
        </w:rPr>
        <w:t>scoring</w:t>
      </w:r>
      <w:bookmarkEnd w:id="467"/>
    </w:p>
    <w:tbl>
      <w:tblPr>
        <w:tblStyle w:val="Table1"/>
        <w:tblW w:w="5000" w:type="pct"/>
        <w:tblLook w:val="04A0" w:firstRow="1" w:lastRow="0" w:firstColumn="1" w:lastColumn="0" w:noHBand="0" w:noVBand="1"/>
      </w:tblPr>
      <w:tblGrid>
        <w:gridCol w:w="2920"/>
        <w:gridCol w:w="9988"/>
        <w:gridCol w:w="1664"/>
      </w:tblGrid>
      <w:tr w:rsidR="0019624B" w:rsidRPr="00D4309F" w14:paraId="089959EB" w14:textId="77777777">
        <w:trPr>
          <w:cnfStyle w:val="100000000000" w:firstRow="1" w:lastRow="0" w:firstColumn="0" w:lastColumn="0" w:oddVBand="0" w:evenVBand="0" w:oddHBand="0" w:evenHBand="0" w:firstRowFirstColumn="0" w:firstRowLastColumn="0" w:lastRowFirstColumn="0" w:lastRowLastColumn="0"/>
          <w:trHeight w:val="286"/>
          <w:tblHeader/>
        </w:trPr>
        <w:tc>
          <w:tcPr>
            <w:tcW w:w="1002" w:type="pct"/>
          </w:tcPr>
          <w:p w14:paraId="11D2099A" w14:textId="77777777" w:rsidR="0019624B" w:rsidRPr="00D4309F" w:rsidRDefault="0019624B">
            <w:pPr>
              <w:pStyle w:val="TableParagraph"/>
              <w:spacing w:before="40"/>
              <w:ind w:left="165"/>
              <w:rPr>
                <w:b/>
                <w:sz w:val="18"/>
              </w:rPr>
            </w:pPr>
            <w:r w:rsidRPr="00D4309F">
              <w:rPr>
                <w:b/>
                <w:color w:val="70004A"/>
                <w:sz w:val="18"/>
              </w:rPr>
              <w:t>MCA</w:t>
            </w:r>
            <w:r w:rsidRPr="00D4309F">
              <w:rPr>
                <w:b/>
                <w:color w:val="70004A"/>
                <w:spacing w:val="-3"/>
                <w:sz w:val="18"/>
              </w:rPr>
              <w:t xml:space="preserve"> </w:t>
            </w:r>
            <w:r w:rsidRPr="00D4309F">
              <w:rPr>
                <w:b/>
                <w:color w:val="70004A"/>
                <w:spacing w:val="-2"/>
                <w:sz w:val="18"/>
              </w:rPr>
              <w:t>Category</w:t>
            </w:r>
          </w:p>
        </w:tc>
        <w:tc>
          <w:tcPr>
            <w:tcW w:w="3427" w:type="pct"/>
          </w:tcPr>
          <w:p w14:paraId="41C71B55" w14:textId="77777777" w:rsidR="0019624B" w:rsidRPr="00D4309F" w:rsidRDefault="0019624B">
            <w:pPr>
              <w:pStyle w:val="TableParagraph"/>
              <w:spacing w:before="40"/>
              <w:ind w:left="165"/>
              <w:rPr>
                <w:b/>
                <w:sz w:val="18"/>
              </w:rPr>
            </w:pPr>
            <w:r w:rsidRPr="00D4309F">
              <w:rPr>
                <w:b/>
                <w:color w:val="70004A"/>
                <w:sz w:val="18"/>
              </w:rPr>
              <w:t>MCA</w:t>
            </w:r>
            <w:r w:rsidRPr="00D4309F">
              <w:rPr>
                <w:b/>
                <w:color w:val="70004A"/>
                <w:spacing w:val="-1"/>
                <w:sz w:val="18"/>
              </w:rPr>
              <w:t xml:space="preserve"> </w:t>
            </w:r>
            <w:r w:rsidRPr="00D4309F">
              <w:rPr>
                <w:b/>
                <w:color w:val="70004A"/>
                <w:spacing w:val="-2"/>
                <w:sz w:val="18"/>
              </w:rPr>
              <w:t>criteria</w:t>
            </w:r>
          </w:p>
        </w:tc>
        <w:tc>
          <w:tcPr>
            <w:tcW w:w="571" w:type="pct"/>
          </w:tcPr>
          <w:p w14:paraId="0E70632C" w14:textId="77777777" w:rsidR="0019624B" w:rsidRPr="00D4309F" w:rsidRDefault="0019624B">
            <w:pPr>
              <w:pStyle w:val="TableParagraph"/>
              <w:spacing w:before="40"/>
              <w:ind w:left="485"/>
              <w:rPr>
                <w:b/>
                <w:sz w:val="18"/>
              </w:rPr>
            </w:pPr>
            <w:r w:rsidRPr="00D4309F">
              <w:rPr>
                <w:b/>
                <w:color w:val="70004A"/>
                <w:spacing w:val="-2"/>
                <w:sz w:val="18"/>
              </w:rPr>
              <w:t>Score</w:t>
            </w:r>
          </w:p>
        </w:tc>
      </w:tr>
      <w:tr w:rsidR="0019624B" w:rsidRPr="00D4309F" w14:paraId="039E1D5A" w14:textId="77777777">
        <w:trPr>
          <w:trHeight w:val="494"/>
        </w:trPr>
        <w:tc>
          <w:tcPr>
            <w:tcW w:w="1002" w:type="pct"/>
            <w:vMerge w:val="restart"/>
          </w:tcPr>
          <w:p w14:paraId="7E1B320E" w14:textId="77777777" w:rsidR="0019624B" w:rsidRPr="00D4309F" w:rsidRDefault="0019624B" w:rsidP="0019624B">
            <w:pPr>
              <w:pStyle w:val="TableParagraph"/>
              <w:spacing w:before="39"/>
              <w:ind w:left="165"/>
              <w:rPr>
                <w:b/>
                <w:sz w:val="18"/>
              </w:rPr>
            </w:pPr>
            <w:r w:rsidRPr="00D4309F">
              <w:rPr>
                <w:b/>
                <w:color w:val="211E1F"/>
                <w:sz w:val="18"/>
              </w:rPr>
              <w:t>Coastal</w:t>
            </w:r>
            <w:r w:rsidRPr="00D4309F">
              <w:rPr>
                <w:b/>
                <w:color w:val="211E1F"/>
                <w:spacing w:val="-4"/>
                <w:sz w:val="18"/>
              </w:rPr>
              <w:t xml:space="preserve"> </w:t>
            </w:r>
            <w:r w:rsidRPr="00D4309F">
              <w:rPr>
                <w:b/>
                <w:color w:val="211E1F"/>
                <w:spacing w:val="-2"/>
                <w:sz w:val="18"/>
              </w:rPr>
              <w:t>engineering</w:t>
            </w:r>
          </w:p>
        </w:tc>
        <w:tc>
          <w:tcPr>
            <w:tcW w:w="3427" w:type="pct"/>
          </w:tcPr>
          <w:p w14:paraId="745C514C" w14:textId="77777777" w:rsidR="0019624B" w:rsidRPr="00D4309F" w:rsidRDefault="0019624B" w:rsidP="0019624B">
            <w:pPr>
              <w:pStyle w:val="TableParagraph"/>
              <w:spacing w:before="39"/>
              <w:ind w:left="166"/>
              <w:rPr>
                <w:sz w:val="18"/>
              </w:rPr>
            </w:pPr>
            <w:r w:rsidRPr="00D4309F">
              <w:rPr>
                <w:color w:val="211E1F"/>
                <w:sz w:val="18"/>
              </w:rPr>
              <w:t>Effectiveness:</w:t>
            </w:r>
            <w:r w:rsidRPr="00D4309F">
              <w:rPr>
                <w:color w:val="211E1F"/>
                <w:spacing w:val="-2"/>
                <w:sz w:val="18"/>
              </w:rPr>
              <w:t xml:space="preserve"> </w:t>
            </w:r>
            <w:r w:rsidRPr="00D4309F">
              <w:rPr>
                <w:color w:val="211E1F"/>
                <w:sz w:val="18"/>
              </w:rPr>
              <w:t>Likely</w:t>
            </w:r>
            <w:r w:rsidRPr="00D4309F">
              <w:rPr>
                <w:color w:val="211E1F"/>
                <w:spacing w:val="-1"/>
                <w:sz w:val="18"/>
              </w:rPr>
              <w:t xml:space="preserve"> </w:t>
            </w:r>
            <w:r w:rsidRPr="00D4309F">
              <w:rPr>
                <w:color w:val="211E1F"/>
                <w:sz w:val="18"/>
              </w:rPr>
              <w:t>ability</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shift</w:t>
            </w:r>
            <w:r w:rsidRPr="00D4309F">
              <w:rPr>
                <w:color w:val="211E1F"/>
                <w:spacing w:val="-2"/>
                <w:sz w:val="18"/>
              </w:rPr>
              <w:t xml:space="preserve"> </w:t>
            </w:r>
            <w:r w:rsidRPr="00D4309F">
              <w:rPr>
                <w:color w:val="211E1F"/>
                <w:sz w:val="18"/>
              </w:rPr>
              <w:t>enough</w:t>
            </w:r>
            <w:r w:rsidRPr="00D4309F">
              <w:rPr>
                <w:color w:val="211E1F"/>
                <w:spacing w:val="-3"/>
                <w:sz w:val="18"/>
              </w:rPr>
              <w:t xml:space="preserve"> </w:t>
            </w:r>
            <w:r w:rsidRPr="00D4309F">
              <w:rPr>
                <w:color w:val="211E1F"/>
                <w:sz w:val="18"/>
              </w:rPr>
              <w:t>sand</w:t>
            </w:r>
            <w:r w:rsidRPr="00D4309F">
              <w:rPr>
                <w:color w:val="211E1F"/>
                <w:spacing w:val="-3"/>
                <w:sz w:val="18"/>
              </w:rPr>
              <w:t xml:space="preserve"> </w:t>
            </w:r>
            <w:r w:rsidRPr="00D4309F">
              <w:rPr>
                <w:color w:val="211E1F"/>
                <w:sz w:val="18"/>
              </w:rPr>
              <w:t>past</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entrance</w:t>
            </w:r>
            <w:r w:rsidRPr="00D4309F">
              <w:rPr>
                <w:color w:val="211E1F"/>
                <w:spacing w:val="-3"/>
                <w:sz w:val="18"/>
              </w:rPr>
              <w:t xml:space="preserve"> </w:t>
            </w:r>
            <w:r w:rsidRPr="00D4309F">
              <w:rPr>
                <w:color w:val="211E1F"/>
                <w:sz w:val="18"/>
              </w:rPr>
              <w:t>(bypassing</w:t>
            </w:r>
            <w:r w:rsidRPr="00D4309F">
              <w:rPr>
                <w:color w:val="211E1F"/>
                <w:spacing w:val="-3"/>
                <w:sz w:val="18"/>
              </w:rPr>
              <w:t xml:space="preserve"> </w:t>
            </w:r>
            <w:r w:rsidRPr="00D4309F">
              <w:rPr>
                <w:color w:val="211E1F"/>
                <w:sz w:val="18"/>
              </w:rPr>
              <w:t>efficiency,</w:t>
            </w:r>
            <w:r w:rsidRPr="00D4309F">
              <w:rPr>
                <w:color w:val="211E1F"/>
                <w:spacing w:val="-2"/>
                <w:sz w:val="18"/>
              </w:rPr>
              <w:t xml:space="preserve"> </w:t>
            </w:r>
            <w:r w:rsidRPr="00D4309F">
              <w:rPr>
                <w:color w:val="211E1F"/>
                <w:sz w:val="18"/>
              </w:rPr>
              <w:t>trap</w:t>
            </w:r>
            <w:r w:rsidRPr="00D4309F">
              <w:rPr>
                <w:color w:val="211E1F"/>
                <w:spacing w:val="-3"/>
                <w:sz w:val="18"/>
              </w:rPr>
              <w:t xml:space="preserve"> </w:t>
            </w:r>
            <w:r w:rsidRPr="00D4309F">
              <w:rPr>
                <w:color w:val="211E1F"/>
                <w:sz w:val="18"/>
              </w:rPr>
              <w:t>capture</w:t>
            </w:r>
            <w:r w:rsidRPr="00D4309F">
              <w:rPr>
                <w:color w:val="211E1F"/>
                <w:spacing w:val="-3"/>
                <w:sz w:val="18"/>
              </w:rPr>
              <w:t xml:space="preserve"> </w:t>
            </w:r>
            <w:r w:rsidRPr="00D4309F">
              <w:rPr>
                <w:color w:val="211E1F"/>
                <w:sz w:val="18"/>
              </w:rPr>
              <w:t>rate,</w:t>
            </w:r>
            <w:r w:rsidRPr="00D4309F">
              <w:rPr>
                <w:color w:val="211E1F"/>
                <w:spacing w:val="-2"/>
                <w:sz w:val="18"/>
              </w:rPr>
              <w:t xml:space="preserve"> </w:t>
            </w:r>
            <w:r w:rsidRPr="00D4309F">
              <w:rPr>
                <w:color w:val="211E1F"/>
                <w:sz w:val="18"/>
              </w:rPr>
              <w:t>reduction</w:t>
            </w:r>
            <w:r w:rsidRPr="00D4309F">
              <w:rPr>
                <w:color w:val="211E1F"/>
                <w:spacing w:val="-3"/>
                <w:sz w:val="18"/>
              </w:rPr>
              <w:t xml:space="preserve"> </w:t>
            </w:r>
            <w:r w:rsidRPr="00D4309F">
              <w:rPr>
                <w:color w:val="211E1F"/>
                <w:sz w:val="18"/>
              </w:rPr>
              <w:t>in</w:t>
            </w:r>
            <w:r w:rsidRPr="00D4309F">
              <w:rPr>
                <w:color w:val="211E1F"/>
                <w:spacing w:val="-3"/>
                <w:sz w:val="18"/>
              </w:rPr>
              <w:t xml:space="preserve"> </w:t>
            </w:r>
            <w:r w:rsidRPr="00D4309F">
              <w:rPr>
                <w:color w:val="211E1F"/>
                <w:sz w:val="18"/>
              </w:rPr>
              <w:t>shoal frequency/magnitude, entrance depth reliability).</w:t>
            </w:r>
          </w:p>
        </w:tc>
        <w:tc>
          <w:tcPr>
            <w:tcW w:w="571" w:type="pct"/>
          </w:tcPr>
          <w:p w14:paraId="14A7C786" w14:textId="2281FDAC" w:rsidR="0019624B" w:rsidRPr="0019624B" w:rsidRDefault="0019624B" w:rsidP="0019624B">
            <w:pPr>
              <w:pStyle w:val="TableParagraph"/>
              <w:spacing w:before="39"/>
              <w:ind w:left="485"/>
              <w:rPr>
                <w:bCs/>
                <w:sz w:val="18"/>
              </w:rPr>
            </w:pPr>
            <w:r w:rsidRPr="0019624B">
              <w:rPr>
                <w:bCs/>
                <w:color w:val="211E1F"/>
                <w:spacing w:val="-10"/>
                <w:sz w:val="18"/>
              </w:rPr>
              <w:t>5</w:t>
            </w:r>
          </w:p>
        </w:tc>
      </w:tr>
      <w:tr w:rsidR="0019624B" w:rsidRPr="00D4309F" w14:paraId="6C897489" w14:textId="77777777">
        <w:trPr>
          <w:trHeight w:val="286"/>
        </w:trPr>
        <w:tc>
          <w:tcPr>
            <w:tcW w:w="1002" w:type="pct"/>
            <w:vMerge/>
          </w:tcPr>
          <w:p w14:paraId="63D8A59D" w14:textId="77777777" w:rsidR="0019624B" w:rsidRPr="00D4309F" w:rsidRDefault="0019624B" w:rsidP="0019624B">
            <w:pPr>
              <w:pStyle w:val="TableParagraph"/>
              <w:rPr>
                <w:rFonts w:ascii="Times New Roman"/>
                <w:sz w:val="18"/>
              </w:rPr>
            </w:pPr>
          </w:p>
        </w:tc>
        <w:tc>
          <w:tcPr>
            <w:tcW w:w="3427" w:type="pct"/>
          </w:tcPr>
          <w:p w14:paraId="0956606A" w14:textId="77777777" w:rsidR="0019624B" w:rsidRPr="00D4309F" w:rsidRDefault="0019624B" w:rsidP="0019624B">
            <w:pPr>
              <w:pStyle w:val="TableParagraph"/>
              <w:spacing w:before="39"/>
              <w:ind w:left="165"/>
              <w:rPr>
                <w:sz w:val="18"/>
              </w:rPr>
            </w:pPr>
            <w:r w:rsidRPr="00D4309F">
              <w:rPr>
                <w:color w:val="211E1F"/>
                <w:sz w:val="18"/>
              </w:rPr>
              <w:t>Impacts</w:t>
            </w:r>
            <w:r w:rsidRPr="00D4309F">
              <w:rPr>
                <w:color w:val="211E1F"/>
                <w:spacing w:val="-5"/>
                <w:sz w:val="18"/>
              </w:rPr>
              <w:t xml:space="preserve"> </w:t>
            </w:r>
            <w:r w:rsidRPr="00D4309F">
              <w:rPr>
                <w:color w:val="211E1F"/>
                <w:sz w:val="18"/>
              </w:rPr>
              <w:t>on</w:t>
            </w:r>
            <w:r w:rsidRPr="00D4309F">
              <w:rPr>
                <w:color w:val="211E1F"/>
                <w:spacing w:val="-2"/>
                <w:sz w:val="18"/>
              </w:rPr>
              <w:t xml:space="preserve"> </w:t>
            </w:r>
            <w:r w:rsidRPr="00D4309F">
              <w:rPr>
                <w:color w:val="211E1F"/>
                <w:sz w:val="18"/>
              </w:rPr>
              <w:t>coastal</w:t>
            </w:r>
            <w:r w:rsidRPr="00D4309F">
              <w:rPr>
                <w:color w:val="211E1F"/>
                <w:spacing w:val="-2"/>
                <w:sz w:val="18"/>
              </w:rPr>
              <w:t xml:space="preserve"> </w:t>
            </w:r>
            <w:r w:rsidRPr="00D4309F">
              <w:rPr>
                <w:color w:val="211E1F"/>
                <w:sz w:val="18"/>
              </w:rPr>
              <w:t>processes:</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level</w:t>
            </w:r>
            <w:r w:rsidRPr="00D4309F">
              <w:rPr>
                <w:color w:val="211E1F"/>
                <w:spacing w:val="-2"/>
                <w:sz w:val="18"/>
              </w:rPr>
              <w:t xml:space="preserve"> </w:t>
            </w:r>
            <w:r w:rsidRPr="00D4309F">
              <w:rPr>
                <w:color w:val="211E1F"/>
                <w:sz w:val="18"/>
              </w:rPr>
              <w:t>in</w:t>
            </w:r>
            <w:r w:rsidRPr="00D4309F">
              <w:rPr>
                <w:color w:val="211E1F"/>
                <w:spacing w:val="-3"/>
                <w:sz w:val="18"/>
              </w:rPr>
              <w:t xml:space="preserve"> </w:t>
            </w:r>
            <w:r w:rsidRPr="00D4309F">
              <w:rPr>
                <w:color w:val="211E1F"/>
                <w:sz w:val="18"/>
              </w:rPr>
              <w:t>which</w:t>
            </w:r>
            <w:r w:rsidRPr="00D4309F">
              <w:rPr>
                <w:color w:val="211E1F"/>
                <w:spacing w:val="-3"/>
                <w:sz w:val="18"/>
              </w:rPr>
              <w:t xml:space="preserve"> </w:t>
            </w:r>
            <w:r w:rsidRPr="00D4309F">
              <w:rPr>
                <w:color w:val="211E1F"/>
                <w:sz w:val="18"/>
              </w:rPr>
              <w:t>it</w:t>
            </w:r>
            <w:r w:rsidRPr="00D4309F">
              <w:rPr>
                <w:color w:val="211E1F"/>
                <w:spacing w:val="-2"/>
                <w:sz w:val="18"/>
              </w:rPr>
              <w:t xml:space="preserve"> </w:t>
            </w:r>
            <w:r w:rsidRPr="00D4309F">
              <w:rPr>
                <w:color w:val="211E1F"/>
                <w:sz w:val="18"/>
              </w:rPr>
              <w:t>changes</w:t>
            </w:r>
            <w:r w:rsidRPr="00D4309F">
              <w:rPr>
                <w:color w:val="211E1F"/>
                <w:spacing w:val="-1"/>
                <w:sz w:val="18"/>
              </w:rPr>
              <w:t xml:space="preserve"> </w:t>
            </w:r>
            <w:r w:rsidRPr="00D4309F">
              <w:rPr>
                <w:color w:val="211E1F"/>
                <w:sz w:val="18"/>
              </w:rPr>
              <w:t>or</w:t>
            </w:r>
            <w:r w:rsidRPr="00D4309F">
              <w:rPr>
                <w:color w:val="211E1F"/>
                <w:spacing w:val="-2"/>
                <w:sz w:val="18"/>
              </w:rPr>
              <w:t xml:space="preserve"> </w:t>
            </w:r>
            <w:r w:rsidRPr="00D4309F">
              <w:rPr>
                <w:color w:val="211E1F"/>
                <w:sz w:val="18"/>
              </w:rPr>
              <w:t>has</w:t>
            </w:r>
            <w:r w:rsidRPr="00D4309F">
              <w:rPr>
                <w:color w:val="211E1F"/>
                <w:spacing w:val="-3"/>
                <w:sz w:val="18"/>
              </w:rPr>
              <w:t xml:space="preserve"> </w:t>
            </w:r>
            <w:r w:rsidRPr="00D4309F">
              <w:rPr>
                <w:color w:val="211E1F"/>
                <w:sz w:val="18"/>
              </w:rPr>
              <w:t>negative</w:t>
            </w:r>
            <w:r w:rsidRPr="00D4309F">
              <w:rPr>
                <w:color w:val="211E1F"/>
                <w:spacing w:val="-2"/>
                <w:sz w:val="18"/>
              </w:rPr>
              <w:t xml:space="preserve"> </w:t>
            </w:r>
            <w:r w:rsidRPr="00D4309F">
              <w:rPr>
                <w:color w:val="211E1F"/>
                <w:sz w:val="18"/>
              </w:rPr>
              <w:t>impacts</w:t>
            </w:r>
            <w:r w:rsidRPr="00D4309F">
              <w:rPr>
                <w:color w:val="211E1F"/>
                <w:spacing w:val="-2"/>
                <w:sz w:val="18"/>
              </w:rPr>
              <w:t xml:space="preserve"> </w:t>
            </w:r>
            <w:r w:rsidRPr="00D4309F">
              <w:rPr>
                <w:color w:val="211E1F"/>
                <w:sz w:val="18"/>
              </w:rPr>
              <w:t>on</w:t>
            </w:r>
            <w:r w:rsidRPr="00D4309F">
              <w:rPr>
                <w:color w:val="211E1F"/>
                <w:spacing w:val="-3"/>
                <w:sz w:val="18"/>
              </w:rPr>
              <w:t xml:space="preserve"> </w:t>
            </w:r>
            <w:r w:rsidRPr="00D4309F">
              <w:rPr>
                <w:color w:val="211E1F"/>
                <w:sz w:val="18"/>
              </w:rPr>
              <w:t>existing</w:t>
            </w:r>
            <w:r w:rsidRPr="00D4309F">
              <w:rPr>
                <w:color w:val="211E1F"/>
                <w:spacing w:val="-3"/>
                <w:sz w:val="18"/>
              </w:rPr>
              <w:t xml:space="preserve"> </w:t>
            </w:r>
            <w:r w:rsidRPr="00D4309F">
              <w:rPr>
                <w:color w:val="211E1F"/>
                <w:sz w:val="18"/>
              </w:rPr>
              <w:t>coastal</w:t>
            </w:r>
            <w:r w:rsidRPr="00D4309F">
              <w:rPr>
                <w:color w:val="211E1F"/>
                <w:spacing w:val="-1"/>
                <w:sz w:val="18"/>
              </w:rPr>
              <w:t xml:space="preserve"> </w:t>
            </w:r>
            <w:r w:rsidRPr="00D4309F">
              <w:rPr>
                <w:color w:val="211E1F"/>
                <w:spacing w:val="-2"/>
                <w:sz w:val="18"/>
              </w:rPr>
              <w:t>processes</w:t>
            </w:r>
          </w:p>
        </w:tc>
        <w:tc>
          <w:tcPr>
            <w:tcW w:w="571" w:type="pct"/>
          </w:tcPr>
          <w:p w14:paraId="51BD76F5" w14:textId="02561965" w:rsidR="0019624B" w:rsidRPr="0019624B" w:rsidRDefault="0019624B" w:rsidP="0019624B">
            <w:pPr>
              <w:pStyle w:val="TableParagraph"/>
              <w:spacing w:before="39"/>
              <w:ind w:left="485"/>
              <w:rPr>
                <w:bCs/>
                <w:sz w:val="18"/>
              </w:rPr>
            </w:pPr>
            <w:r w:rsidRPr="0019624B">
              <w:rPr>
                <w:bCs/>
                <w:sz w:val="18"/>
              </w:rPr>
              <w:t>4</w:t>
            </w:r>
          </w:p>
        </w:tc>
      </w:tr>
      <w:tr w:rsidR="0019624B" w:rsidRPr="00D4309F" w14:paraId="637058BC" w14:textId="77777777">
        <w:trPr>
          <w:trHeight w:val="287"/>
        </w:trPr>
        <w:tc>
          <w:tcPr>
            <w:tcW w:w="1002" w:type="pct"/>
            <w:vMerge/>
          </w:tcPr>
          <w:p w14:paraId="70489C4F" w14:textId="77777777" w:rsidR="0019624B" w:rsidRPr="00D4309F" w:rsidRDefault="0019624B" w:rsidP="0019624B">
            <w:pPr>
              <w:pStyle w:val="TableParagraph"/>
              <w:rPr>
                <w:rFonts w:ascii="Times New Roman"/>
                <w:sz w:val="18"/>
              </w:rPr>
            </w:pPr>
          </w:p>
        </w:tc>
        <w:tc>
          <w:tcPr>
            <w:tcW w:w="3427" w:type="pct"/>
          </w:tcPr>
          <w:p w14:paraId="2CA17C4F" w14:textId="77777777" w:rsidR="0019624B" w:rsidRPr="00D4309F" w:rsidRDefault="0019624B" w:rsidP="0019624B">
            <w:pPr>
              <w:pStyle w:val="TableParagraph"/>
              <w:spacing w:before="41"/>
              <w:ind w:left="165"/>
              <w:rPr>
                <w:sz w:val="18"/>
              </w:rPr>
            </w:pPr>
            <w:r w:rsidRPr="00D4309F">
              <w:rPr>
                <w:color w:val="211E1F"/>
                <w:sz w:val="18"/>
              </w:rPr>
              <w:t>Design</w:t>
            </w:r>
            <w:r w:rsidRPr="00D4309F">
              <w:rPr>
                <w:color w:val="211E1F"/>
                <w:spacing w:val="-5"/>
                <w:sz w:val="18"/>
              </w:rPr>
              <w:t xml:space="preserve"> </w:t>
            </w:r>
            <w:r w:rsidRPr="00D4309F">
              <w:rPr>
                <w:color w:val="211E1F"/>
                <w:sz w:val="18"/>
              </w:rPr>
              <w:t>and</w:t>
            </w:r>
            <w:r w:rsidRPr="00D4309F">
              <w:rPr>
                <w:color w:val="211E1F"/>
                <w:spacing w:val="-3"/>
                <w:sz w:val="18"/>
              </w:rPr>
              <w:t xml:space="preserve"> </w:t>
            </w:r>
            <w:r w:rsidRPr="00D4309F">
              <w:rPr>
                <w:color w:val="211E1F"/>
                <w:sz w:val="18"/>
              </w:rPr>
              <w:t>approvals:</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far</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option</w:t>
            </w:r>
            <w:r w:rsidRPr="00D4309F">
              <w:rPr>
                <w:color w:val="211E1F"/>
                <w:spacing w:val="-1"/>
                <w:sz w:val="18"/>
              </w:rPr>
              <w:t xml:space="preserve"> </w:t>
            </w:r>
            <w:r w:rsidRPr="00D4309F">
              <w:rPr>
                <w:color w:val="211E1F"/>
                <w:sz w:val="18"/>
              </w:rPr>
              <w:t>progressed</w:t>
            </w:r>
            <w:r w:rsidRPr="00D4309F">
              <w:rPr>
                <w:color w:val="211E1F"/>
                <w:spacing w:val="-3"/>
                <w:sz w:val="18"/>
              </w:rPr>
              <w:t xml:space="preserve"> </w:t>
            </w:r>
            <w:r w:rsidRPr="00D4309F">
              <w:rPr>
                <w:color w:val="211E1F"/>
                <w:sz w:val="18"/>
              </w:rPr>
              <w:t>with</w:t>
            </w:r>
            <w:r w:rsidRPr="00D4309F">
              <w:rPr>
                <w:color w:val="211E1F"/>
                <w:spacing w:val="-3"/>
                <w:sz w:val="18"/>
              </w:rPr>
              <w:t xml:space="preserve"> </w:t>
            </w:r>
            <w:r w:rsidRPr="00D4309F">
              <w:rPr>
                <w:color w:val="211E1F"/>
                <w:sz w:val="18"/>
              </w:rPr>
              <w:t>design</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approvals</w:t>
            </w:r>
            <w:r w:rsidRPr="00D4309F">
              <w:rPr>
                <w:color w:val="211E1F"/>
                <w:spacing w:val="-2"/>
                <w:sz w:val="18"/>
              </w:rPr>
              <w:t xml:space="preserve"> </w:t>
            </w:r>
            <w:r w:rsidRPr="00D4309F">
              <w:rPr>
                <w:color w:val="211E1F"/>
                <w:sz w:val="18"/>
              </w:rPr>
              <w:t>and</w:t>
            </w:r>
            <w:r w:rsidRPr="00D4309F">
              <w:rPr>
                <w:color w:val="211E1F"/>
                <w:spacing w:val="-3"/>
                <w:sz w:val="18"/>
              </w:rPr>
              <w:t xml:space="preserve"> </w:t>
            </w:r>
            <w:r w:rsidRPr="00D4309F">
              <w:rPr>
                <w:color w:val="211E1F"/>
                <w:sz w:val="18"/>
              </w:rPr>
              <w:t>how</w:t>
            </w:r>
            <w:r w:rsidRPr="00D4309F">
              <w:rPr>
                <w:color w:val="211E1F"/>
                <w:spacing w:val="-2"/>
                <w:sz w:val="18"/>
              </w:rPr>
              <w:t xml:space="preserve"> </w:t>
            </w:r>
            <w:r w:rsidRPr="00D4309F">
              <w:rPr>
                <w:color w:val="211E1F"/>
                <w:sz w:val="18"/>
              </w:rPr>
              <w:t>much</w:t>
            </w:r>
            <w:r w:rsidRPr="00D4309F">
              <w:rPr>
                <w:color w:val="211E1F"/>
                <w:spacing w:val="-3"/>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2"/>
                <w:sz w:val="18"/>
              </w:rPr>
              <w:t xml:space="preserve"> required</w:t>
            </w:r>
          </w:p>
        </w:tc>
        <w:tc>
          <w:tcPr>
            <w:tcW w:w="571" w:type="pct"/>
          </w:tcPr>
          <w:p w14:paraId="4A2AB50C" w14:textId="22F722D1" w:rsidR="0019624B" w:rsidRPr="0019624B" w:rsidRDefault="0019624B" w:rsidP="0019624B">
            <w:pPr>
              <w:pStyle w:val="TableParagraph"/>
              <w:spacing w:before="41"/>
              <w:ind w:left="484"/>
              <w:rPr>
                <w:bCs/>
                <w:sz w:val="18"/>
              </w:rPr>
            </w:pPr>
            <w:r w:rsidRPr="0019624B">
              <w:rPr>
                <w:bCs/>
                <w:color w:val="211E1F"/>
                <w:spacing w:val="-10"/>
                <w:sz w:val="18"/>
              </w:rPr>
              <w:t>3</w:t>
            </w:r>
          </w:p>
        </w:tc>
      </w:tr>
      <w:tr w:rsidR="0019624B" w:rsidRPr="00D4309F" w14:paraId="513BB61E" w14:textId="77777777">
        <w:trPr>
          <w:trHeight w:val="286"/>
        </w:trPr>
        <w:tc>
          <w:tcPr>
            <w:tcW w:w="1002" w:type="pct"/>
            <w:vMerge/>
          </w:tcPr>
          <w:p w14:paraId="68091A28" w14:textId="77777777" w:rsidR="0019624B" w:rsidRPr="00D4309F" w:rsidRDefault="0019624B" w:rsidP="0019624B">
            <w:pPr>
              <w:pStyle w:val="TableParagraph"/>
              <w:rPr>
                <w:rFonts w:ascii="Times New Roman"/>
                <w:sz w:val="18"/>
              </w:rPr>
            </w:pPr>
          </w:p>
        </w:tc>
        <w:tc>
          <w:tcPr>
            <w:tcW w:w="3427" w:type="pct"/>
          </w:tcPr>
          <w:p w14:paraId="403D6605" w14:textId="77777777" w:rsidR="0019624B" w:rsidRPr="00D4309F" w:rsidRDefault="0019624B" w:rsidP="0019624B">
            <w:pPr>
              <w:pStyle w:val="TableParagraph"/>
              <w:spacing w:before="39"/>
              <w:ind w:left="165"/>
              <w:rPr>
                <w:sz w:val="18"/>
              </w:rPr>
            </w:pPr>
            <w:r w:rsidRPr="00D4309F">
              <w:rPr>
                <w:color w:val="211E1F"/>
                <w:sz w:val="18"/>
              </w:rPr>
              <w:t>Capital</w:t>
            </w:r>
            <w:r w:rsidRPr="00D4309F">
              <w:rPr>
                <w:color w:val="211E1F"/>
                <w:spacing w:val="-5"/>
                <w:sz w:val="18"/>
              </w:rPr>
              <w:t xml:space="preserve"> </w:t>
            </w:r>
            <w:r w:rsidRPr="00D4309F">
              <w:rPr>
                <w:color w:val="211E1F"/>
                <w:sz w:val="18"/>
              </w:rPr>
              <w:t>works:</w:t>
            </w:r>
            <w:r w:rsidRPr="00D4309F">
              <w:rPr>
                <w:color w:val="211E1F"/>
                <w:spacing w:val="-1"/>
                <w:sz w:val="18"/>
              </w:rPr>
              <w:t xml:space="preserve"> </w:t>
            </w:r>
            <w:r w:rsidRPr="00D4309F">
              <w:rPr>
                <w:color w:val="211E1F"/>
                <w:sz w:val="18"/>
              </w:rPr>
              <w:t>how</w:t>
            </w:r>
            <w:r w:rsidRPr="00D4309F">
              <w:rPr>
                <w:color w:val="211E1F"/>
                <w:spacing w:val="-2"/>
                <w:sz w:val="18"/>
              </w:rPr>
              <w:t xml:space="preserve"> </w:t>
            </w:r>
            <w:r w:rsidRPr="00D4309F">
              <w:rPr>
                <w:color w:val="211E1F"/>
                <w:sz w:val="18"/>
              </w:rPr>
              <w:t>significant</w:t>
            </w:r>
            <w:r w:rsidRPr="00D4309F">
              <w:rPr>
                <w:color w:val="211E1F"/>
                <w:spacing w:val="-1"/>
                <w:sz w:val="18"/>
              </w:rPr>
              <w:t xml:space="preserve"> </w:t>
            </w:r>
            <w:r w:rsidRPr="00D4309F">
              <w:rPr>
                <w:color w:val="211E1F"/>
                <w:sz w:val="18"/>
              </w:rPr>
              <w:t>the</w:t>
            </w:r>
            <w:r w:rsidRPr="00D4309F">
              <w:rPr>
                <w:color w:val="211E1F"/>
                <w:spacing w:val="-4"/>
                <w:sz w:val="18"/>
              </w:rPr>
              <w:t xml:space="preserve"> </w:t>
            </w:r>
            <w:r w:rsidRPr="00D4309F">
              <w:rPr>
                <w:color w:val="211E1F"/>
                <w:sz w:val="18"/>
              </w:rPr>
              <w:t>capital</w:t>
            </w:r>
            <w:r w:rsidRPr="00D4309F">
              <w:rPr>
                <w:color w:val="211E1F"/>
                <w:spacing w:val="-2"/>
                <w:sz w:val="18"/>
              </w:rPr>
              <w:t xml:space="preserve"> </w:t>
            </w:r>
            <w:r w:rsidRPr="00D4309F">
              <w:rPr>
                <w:color w:val="211E1F"/>
                <w:sz w:val="18"/>
              </w:rPr>
              <w:t>works</w:t>
            </w:r>
            <w:r w:rsidRPr="00D4309F">
              <w:rPr>
                <w:color w:val="211E1F"/>
                <w:spacing w:val="-2"/>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and</w:t>
            </w:r>
            <w:r w:rsidRPr="00D4309F">
              <w:rPr>
                <w:color w:val="211E1F"/>
                <w:spacing w:val="-4"/>
                <w:sz w:val="18"/>
              </w:rPr>
              <w:t xml:space="preserve"> </w:t>
            </w:r>
            <w:r w:rsidRPr="00D4309F">
              <w:rPr>
                <w:color w:val="211E1F"/>
                <w:sz w:val="18"/>
              </w:rPr>
              <w:t>their</w:t>
            </w:r>
            <w:r w:rsidRPr="00D4309F">
              <w:rPr>
                <w:color w:val="211E1F"/>
                <w:spacing w:val="-2"/>
                <w:sz w:val="18"/>
              </w:rPr>
              <w:t xml:space="preserve"> </w:t>
            </w:r>
            <w:r w:rsidRPr="00D4309F">
              <w:rPr>
                <w:color w:val="211E1F"/>
                <w:sz w:val="18"/>
              </w:rPr>
              <w:t>impacts</w:t>
            </w:r>
            <w:r w:rsidRPr="00D4309F">
              <w:rPr>
                <w:color w:val="211E1F"/>
                <w:spacing w:val="-2"/>
                <w:sz w:val="18"/>
              </w:rPr>
              <w:t xml:space="preserve"> </w:t>
            </w:r>
            <w:r w:rsidRPr="00D4309F">
              <w:rPr>
                <w:color w:val="211E1F"/>
                <w:sz w:val="18"/>
              </w:rPr>
              <w:t>during</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pacing w:val="-2"/>
                <w:sz w:val="18"/>
              </w:rPr>
              <w:t>process</w:t>
            </w:r>
          </w:p>
        </w:tc>
        <w:tc>
          <w:tcPr>
            <w:tcW w:w="571" w:type="pct"/>
          </w:tcPr>
          <w:p w14:paraId="0E7FA077" w14:textId="4915A2ED" w:rsidR="0019624B" w:rsidRPr="0019624B" w:rsidRDefault="0019624B" w:rsidP="0019624B">
            <w:pPr>
              <w:pStyle w:val="TableParagraph"/>
              <w:spacing w:before="39"/>
              <w:ind w:left="484"/>
              <w:rPr>
                <w:bCs/>
                <w:sz w:val="18"/>
              </w:rPr>
            </w:pPr>
            <w:r w:rsidRPr="0019624B">
              <w:rPr>
                <w:bCs/>
                <w:color w:val="211E1F"/>
                <w:spacing w:val="-10"/>
                <w:sz w:val="18"/>
              </w:rPr>
              <w:t>3</w:t>
            </w:r>
          </w:p>
        </w:tc>
      </w:tr>
      <w:tr w:rsidR="0019624B" w:rsidRPr="00D4309F" w14:paraId="7E807484" w14:textId="77777777">
        <w:trPr>
          <w:trHeight w:val="287"/>
        </w:trPr>
        <w:tc>
          <w:tcPr>
            <w:tcW w:w="1002" w:type="pct"/>
            <w:vMerge/>
          </w:tcPr>
          <w:p w14:paraId="7AC68246" w14:textId="77777777" w:rsidR="0019624B" w:rsidRPr="00D4309F" w:rsidRDefault="0019624B" w:rsidP="0019624B">
            <w:pPr>
              <w:pStyle w:val="TableParagraph"/>
              <w:rPr>
                <w:rFonts w:ascii="Times New Roman"/>
                <w:sz w:val="18"/>
              </w:rPr>
            </w:pPr>
          </w:p>
        </w:tc>
        <w:tc>
          <w:tcPr>
            <w:tcW w:w="3427" w:type="pct"/>
          </w:tcPr>
          <w:p w14:paraId="2C80AE6B" w14:textId="77777777" w:rsidR="0019624B" w:rsidRPr="00D4309F" w:rsidRDefault="0019624B" w:rsidP="0019624B">
            <w:pPr>
              <w:pStyle w:val="TableParagraph"/>
              <w:spacing w:before="41"/>
              <w:ind w:left="165"/>
              <w:rPr>
                <w:sz w:val="18"/>
              </w:rPr>
            </w:pPr>
            <w:r w:rsidRPr="00D4309F">
              <w:rPr>
                <w:color w:val="211E1F"/>
                <w:sz w:val="18"/>
              </w:rPr>
              <w:t>Operational</w:t>
            </w:r>
            <w:r w:rsidRPr="00D4309F">
              <w:rPr>
                <w:color w:val="211E1F"/>
                <w:spacing w:val="-5"/>
                <w:sz w:val="18"/>
              </w:rPr>
              <w:t xml:space="preserve"> </w:t>
            </w:r>
            <w:r w:rsidRPr="00D4309F">
              <w:rPr>
                <w:color w:val="211E1F"/>
                <w:sz w:val="18"/>
              </w:rPr>
              <w:t>works:</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significant</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operational</w:t>
            </w:r>
            <w:r w:rsidRPr="00D4309F">
              <w:rPr>
                <w:color w:val="211E1F"/>
                <w:spacing w:val="-2"/>
                <w:sz w:val="18"/>
              </w:rPr>
              <w:t xml:space="preserve"> </w:t>
            </w:r>
            <w:r w:rsidRPr="00D4309F">
              <w:rPr>
                <w:color w:val="211E1F"/>
                <w:sz w:val="18"/>
              </w:rPr>
              <w:t>works</w:t>
            </w:r>
            <w:r w:rsidRPr="00D4309F">
              <w:rPr>
                <w:color w:val="211E1F"/>
                <w:spacing w:val="-3"/>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their</w:t>
            </w:r>
            <w:r w:rsidRPr="00D4309F">
              <w:rPr>
                <w:color w:val="211E1F"/>
                <w:spacing w:val="-3"/>
                <w:sz w:val="18"/>
              </w:rPr>
              <w:t xml:space="preserve"> </w:t>
            </w:r>
            <w:r w:rsidRPr="00D4309F">
              <w:rPr>
                <w:color w:val="211E1F"/>
                <w:sz w:val="18"/>
              </w:rPr>
              <w:t>impacts</w:t>
            </w:r>
            <w:r w:rsidRPr="00D4309F">
              <w:rPr>
                <w:color w:val="211E1F"/>
                <w:spacing w:val="-2"/>
                <w:sz w:val="18"/>
              </w:rPr>
              <w:t xml:space="preserve"> </w:t>
            </w:r>
            <w:r w:rsidRPr="00D4309F">
              <w:rPr>
                <w:color w:val="211E1F"/>
                <w:sz w:val="18"/>
              </w:rPr>
              <w:t>during</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pacing w:val="-2"/>
                <w:sz w:val="18"/>
              </w:rPr>
              <w:t>process</w:t>
            </w:r>
          </w:p>
        </w:tc>
        <w:tc>
          <w:tcPr>
            <w:tcW w:w="571" w:type="pct"/>
          </w:tcPr>
          <w:p w14:paraId="5FB0036E" w14:textId="6249424E" w:rsidR="0019624B" w:rsidRPr="0019624B" w:rsidRDefault="0019624B" w:rsidP="0019624B">
            <w:pPr>
              <w:pStyle w:val="TableParagraph"/>
              <w:spacing w:before="41"/>
              <w:ind w:left="485"/>
              <w:rPr>
                <w:bCs/>
                <w:sz w:val="18"/>
              </w:rPr>
            </w:pPr>
            <w:r w:rsidRPr="0019624B">
              <w:rPr>
                <w:bCs/>
                <w:color w:val="211E1F"/>
                <w:spacing w:val="-10"/>
                <w:sz w:val="18"/>
              </w:rPr>
              <w:t>4</w:t>
            </w:r>
          </w:p>
        </w:tc>
      </w:tr>
      <w:tr w:rsidR="0019624B" w:rsidRPr="00D4309F" w14:paraId="6410ADF5" w14:textId="77777777">
        <w:trPr>
          <w:trHeight w:val="286"/>
        </w:trPr>
        <w:tc>
          <w:tcPr>
            <w:tcW w:w="1002" w:type="pct"/>
            <w:vMerge/>
          </w:tcPr>
          <w:p w14:paraId="2102D8D3" w14:textId="77777777" w:rsidR="0019624B" w:rsidRPr="00D4309F" w:rsidRDefault="0019624B" w:rsidP="0019624B">
            <w:pPr>
              <w:pStyle w:val="TableParagraph"/>
              <w:rPr>
                <w:rFonts w:ascii="Times New Roman"/>
                <w:sz w:val="18"/>
              </w:rPr>
            </w:pPr>
          </w:p>
        </w:tc>
        <w:tc>
          <w:tcPr>
            <w:tcW w:w="3427" w:type="pct"/>
          </w:tcPr>
          <w:p w14:paraId="0544EDA6" w14:textId="77777777" w:rsidR="0019624B" w:rsidRPr="00D4309F" w:rsidRDefault="0019624B" w:rsidP="0019624B">
            <w:pPr>
              <w:pStyle w:val="TableParagraph"/>
              <w:spacing w:before="39"/>
              <w:ind w:left="165"/>
              <w:rPr>
                <w:sz w:val="18"/>
              </w:rPr>
            </w:pPr>
            <w:r w:rsidRPr="00D4309F">
              <w:rPr>
                <w:color w:val="211E1F"/>
                <w:sz w:val="18"/>
              </w:rPr>
              <w:t>Future</w:t>
            </w:r>
            <w:r w:rsidRPr="00D4309F">
              <w:rPr>
                <w:color w:val="211E1F"/>
                <w:spacing w:val="-6"/>
                <w:sz w:val="18"/>
              </w:rPr>
              <w:t xml:space="preserve"> </w:t>
            </w:r>
            <w:r w:rsidRPr="00D4309F">
              <w:rPr>
                <w:color w:val="211E1F"/>
                <w:sz w:val="18"/>
              </w:rPr>
              <w:t>adaption:</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well</w:t>
            </w:r>
            <w:r w:rsidRPr="00D4309F">
              <w:rPr>
                <w:color w:val="211E1F"/>
                <w:spacing w:val="-2"/>
                <w:sz w:val="18"/>
              </w:rPr>
              <w:t xml:space="preserve"> </w:t>
            </w:r>
            <w:r w:rsidRPr="00D4309F">
              <w:rPr>
                <w:color w:val="211E1F"/>
                <w:sz w:val="18"/>
              </w:rPr>
              <w:t>the</w:t>
            </w:r>
            <w:r w:rsidRPr="00D4309F">
              <w:rPr>
                <w:color w:val="211E1F"/>
                <w:spacing w:val="-1"/>
                <w:sz w:val="18"/>
              </w:rPr>
              <w:t xml:space="preserve"> </w:t>
            </w:r>
            <w:r w:rsidRPr="00D4309F">
              <w:rPr>
                <w:color w:val="211E1F"/>
                <w:sz w:val="18"/>
              </w:rPr>
              <w:t>option</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adapted</w:t>
            </w:r>
            <w:r w:rsidRPr="00D4309F">
              <w:rPr>
                <w:color w:val="211E1F"/>
                <w:spacing w:val="-3"/>
                <w:sz w:val="18"/>
              </w:rPr>
              <w:t xml:space="preserve"> </w:t>
            </w:r>
            <w:r w:rsidRPr="00D4309F">
              <w:rPr>
                <w:color w:val="211E1F"/>
                <w:sz w:val="18"/>
              </w:rPr>
              <w:t>to</w:t>
            </w:r>
            <w:r w:rsidRPr="00D4309F">
              <w:rPr>
                <w:color w:val="211E1F"/>
                <w:spacing w:val="-3"/>
                <w:sz w:val="18"/>
              </w:rPr>
              <w:t xml:space="preserve"> </w:t>
            </w:r>
            <w:r w:rsidRPr="00D4309F">
              <w:rPr>
                <w:color w:val="211E1F"/>
                <w:sz w:val="18"/>
              </w:rPr>
              <w:t>future</w:t>
            </w:r>
            <w:r w:rsidRPr="00D4309F">
              <w:rPr>
                <w:color w:val="211E1F"/>
                <w:spacing w:val="-3"/>
                <w:sz w:val="18"/>
              </w:rPr>
              <w:t xml:space="preserve"> </w:t>
            </w:r>
            <w:r w:rsidRPr="00D4309F">
              <w:rPr>
                <w:color w:val="211E1F"/>
                <w:spacing w:val="-2"/>
                <w:sz w:val="18"/>
              </w:rPr>
              <w:t>conditions</w:t>
            </w:r>
          </w:p>
        </w:tc>
        <w:tc>
          <w:tcPr>
            <w:tcW w:w="571" w:type="pct"/>
          </w:tcPr>
          <w:p w14:paraId="405DA85C" w14:textId="1ABD95B9" w:rsidR="0019624B" w:rsidRPr="0019624B" w:rsidRDefault="0019624B" w:rsidP="0019624B">
            <w:pPr>
              <w:pStyle w:val="TableParagraph"/>
              <w:spacing w:before="39"/>
              <w:ind w:left="485"/>
              <w:rPr>
                <w:bCs/>
                <w:sz w:val="18"/>
              </w:rPr>
            </w:pPr>
            <w:r w:rsidRPr="0019624B">
              <w:rPr>
                <w:bCs/>
                <w:color w:val="211E1F"/>
                <w:spacing w:val="-10"/>
                <w:sz w:val="18"/>
              </w:rPr>
              <w:t>4</w:t>
            </w:r>
          </w:p>
        </w:tc>
      </w:tr>
      <w:tr w:rsidR="0019624B" w:rsidRPr="00D4309F" w14:paraId="47593E8D" w14:textId="77777777">
        <w:trPr>
          <w:trHeight w:val="287"/>
        </w:trPr>
        <w:tc>
          <w:tcPr>
            <w:tcW w:w="1002" w:type="pct"/>
            <w:vMerge/>
          </w:tcPr>
          <w:p w14:paraId="6EEE765A" w14:textId="77777777" w:rsidR="0019624B" w:rsidRPr="00D4309F" w:rsidRDefault="0019624B">
            <w:pPr>
              <w:pStyle w:val="TableParagraph"/>
              <w:rPr>
                <w:rFonts w:ascii="Times New Roman"/>
                <w:sz w:val="18"/>
              </w:rPr>
            </w:pPr>
          </w:p>
        </w:tc>
        <w:tc>
          <w:tcPr>
            <w:tcW w:w="3427" w:type="pct"/>
          </w:tcPr>
          <w:p w14:paraId="4D3F5F8B" w14:textId="77777777" w:rsidR="0019624B" w:rsidRPr="00D4309F" w:rsidRDefault="0019624B">
            <w:pPr>
              <w:pStyle w:val="TableParagraph"/>
              <w:rPr>
                <w:rFonts w:ascii="Times New Roman"/>
                <w:sz w:val="18"/>
              </w:rPr>
            </w:pPr>
          </w:p>
        </w:tc>
        <w:tc>
          <w:tcPr>
            <w:tcW w:w="571" w:type="pct"/>
          </w:tcPr>
          <w:p w14:paraId="13413349" w14:textId="77777777" w:rsidR="0019624B" w:rsidRPr="00D4309F" w:rsidRDefault="0019624B">
            <w:pPr>
              <w:pStyle w:val="TableParagraph"/>
              <w:rPr>
                <w:rFonts w:ascii="Times New Roman"/>
                <w:sz w:val="18"/>
              </w:rPr>
            </w:pPr>
          </w:p>
        </w:tc>
      </w:tr>
      <w:tr w:rsidR="0019624B" w:rsidRPr="00D4309F" w14:paraId="49C89530" w14:textId="77777777">
        <w:trPr>
          <w:trHeight w:val="286"/>
        </w:trPr>
        <w:tc>
          <w:tcPr>
            <w:tcW w:w="1002" w:type="pct"/>
            <w:vMerge/>
          </w:tcPr>
          <w:p w14:paraId="45C1888E" w14:textId="77777777" w:rsidR="0019624B" w:rsidRPr="00D4309F" w:rsidRDefault="0019624B" w:rsidP="0019624B">
            <w:pPr>
              <w:pStyle w:val="TableParagraph"/>
              <w:rPr>
                <w:rFonts w:ascii="Times New Roman"/>
                <w:sz w:val="18"/>
              </w:rPr>
            </w:pPr>
          </w:p>
        </w:tc>
        <w:tc>
          <w:tcPr>
            <w:tcW w:w="3427" w:type="pct"/>
          </w:tcPr>
          <w:p w14:paraId="2CA0878E" w14:textId="77777777" w:rsidR="0019624B" w:rsidRPr="00D4309F" w:rsidRDefault="0019624B" w:rsidP="0019624B">
            <w:pPr>
              <w:pStyle w:val="TableParagraph"/>
              <w:spacing w:before="39"/>
              <w:ind w:left="165"/>
              <w:rPr>
                <w:b/>
                <w:sz w:val="18"/>
              </w:rPr>
            </w:pPr>
            <w:r w:rsidRPr="00D4309F">
              <w:rPr>
                <w:b/>
                <w:color w:val="211E1F"/>
                <w:sz w:val="18"/>
              </w:rPr>
              <w:t>Sub-</w:t>
            </w:r>
            <w:r w:rsidRPr="00D4309F">
              <w:rPr>
                <w:b/>
                <w:color w:val="211E1F"/>
                <w:spacing w:val="-2"/>
                <w:sz w:val="18"/>
              </w:rPr>
              <w:t>total</w:t>
            </w:r>
          </w:p>
        </w:tc>
        <w:tc>
          <w:tcPr>
            <w:tcW w:w="571" w:type="pct"/>
          </w:tcPr>
          <w:p w14:paraId="257D0F81" w14:textId="2B8C2C06" w:rsidR="0019624B" w:rsidRPr="00D4309F" w:rsidRDefault="0019624B" w:rsidP="0019624B">
            <w:pPr>
              <w:pStyle w:val="TableParagraph"/>
              <w:spacing w:before="39"/>
              <w:ind w:left="485"/>
              <w:rPr>
                <w:b/>
                <w:sz w:val="18"/>
              </w:rPr>
            </w:pPr>
            <w:r w:rsidRPr="00D4309F">
              <w:rPr>
                <w:b/>
                <w:color w:val="211E1F"/>
                <w:spacing w:val="-5"/>
                <w:sz w:val="18"/>
              </w:rPr>
              <w:t>23</w:t>
            </w:r>
          </w:p>
        </w:tc>
      </w:tr>
      <w:tr w:rsidR="0019624B" w:rsidRPr="00D4309F" w14:paraId="33C34008" w14:textId="77777777">
        <w:trPr>
          <w:trHeight w:val="287"/>
        </w:trPr>
        <w:tc>
          <w:tcPr>
            <w:tcW w:w="1002" w:type="pct"/>
            <w:vMerge w:val="restart"/>
          </w:tcPr>
          <w:p w14:paraId="2F103DA9" w14:textId="77777777" w:rsidR="0019624B" w:rsidRPr="00D4309F" w:rsidRDefault="0019624B" w:rsidP="0019624B">
            <w:pPr>
              <w:pStyle w:val="TableParagraph"/>
              <w:spacing w:before="41"/>
              <w:ind w:left="165"/>
              <w:rPr>
                <w:b/>
                <w:sz w:val="18"/>
              </w:rPr>
            </w:pPr>
            <w:r w:rsidRPr="00D4309F">
              <w:rPr>
                <w:b/>
                <w:color w:val="211E1F"/>
                <w:spacing w:val="-2"/>
                <w:sz w:val="18"/>
              </w:rPr>
              <w:t>Safety</w:t>
            </w:r>
          </w:p>
        </w:tc>
        <w:tc>
          <w:tcPr>
            <w:tcW w:w="3427" w:type="pct"/>
          </w:tcPr>
          <w:p w14:paraId="1D1A5377" w14:textId="77777777" w:rsidR="0019624B" w:rsidRPr="00D4309F" w:rsidRDefault="0019624B" w:rsidP="0019624B">
            <w:pPr>
              <w:pStyle w:val="TableParagraph"/>
              <w:spacing w:before="41"/>
              <w:ind w:left="166"/>
              <w:rPr>
                <w:sz w:val="18"/>
              </w:rPr>
            </w:pPr>
            <w:r w:rsidRPr="00D4309F">
              <w:rPr>
                <w:color w:val="211E1F"/>
                <w:sz w:val="18"/>
              </w:rPr>
              <w:t>Reliability</w:t>
            </w:r>
            <w:r w:rsidRPr="00D4309F">
              <w:rPr>
                <w:color w:val="211E1F"/>
                <w:spacing w:val="-5"/>
                <w:sz w:val="18"/>
              </w:rPr>
              <w:t xml:space="preserve"> </w:t>
            </w:r>
            <w:r w:rsidRPr="00D4309F">
              <w:rPr>
                <w:color w:val="211E1F"/>
                <w:sz w:val="18"/>
              </w:rPr>
              <w:t>of</w:t>
            </w:r>
            <w:r w:rsidRPr="00D4309F">
              <w:rPr>
                <w:color w:val="211E1F"/>
                <w:spacing w:val="-4"/>
                <w:sz w:val="18"/>
              </w:rPr>
              <w:t xml:space="preserve"> </w:t>
            </w:r>
            <w:r w:rsidRPr="00D4309F">
              <w:rPr>
                <w:color w:val="211E1F"/>
                <w:sz w:val="18"/>
              </w:rPr>
              <w:t>all-tide</w:t>
            </w:r>
            <w:r w:rsidRPr="00D4309F">
              <w:rPr>
                <w:color w:val="211E1F"/>
                <w:spacing w:val="-4"/>
                <w:sz w:val="18"/>
              </w:rPr>
              <w:t xml:space="preserve"> </w:t>
            </w:r>
            <w:r w:rsidRPr="00D4309F">
              <w:rPr>
                <w:color w:val="211E1F"/>
                <w:spacing w:val="-2"/>
                <w:sz w:val="18"/>
              </w:rPr>
              <w:t>access</w:t>
            </w:r>
          </w:p>
        </w:tc>
        <w:tc>
          <w:tcPr>
            <w:tcW w:w="571" w:type="pct"/>
          </w:tcPr>
          <w:p w14:paraId="1600B242" w14:textId="774E2911" w:rsidR="0019624B" w:rsidRPr="0019624B" w:rsidRDefault="0019624B" w:rsidP="0019624B">
            <w:pPr>
              <w:pStyle w:val="TableParagraph"/>
              <w:spacing w:before="41"/>
              <w:ind w:left="485"/>
              <w:rPr>
                <w:bCs/>
                <w:sz w:val="18"/>
              </w:rPr>
            </w:pPr>
            <w:r w:rsidRPr="0019624B">
              <w:rPr>
                <w:bCs/>
                <w:color w:val="211E1F"/>
                <w:spacing w:val="-10"/>
                <w:sz w:val="18"/>
              </w:rPr>
              <w:t>5</w:t>
            </w:r>
          </w:p>
        </w:tc>
      </w:tr>
      <w:tr w:rsidR="0019624B" w:rsidRPr="00D4309F" w14:paraId="3CA26E64" w14:textId="77777777">
        <w:trPr>
          <w:trHeight w:val="286"/>
        </w:trPr>
        <w:tc>
          <w:tcPr>
            <w:tcW w:w="1002" w:type="pct"/>
            <w:vMerge/>
          </w:tcPr>
          <w:p w14:paraId="647C3345" w14:textId="77777777" w:rsidR="0019624B" w:rsidRPr="00D4309F" w:rsidRDefault="0019624B" w:rsidP="0019624B">
            <w:pPr>
              <w:pStyle w:val="TableParagraph"/>
              <w:rPr>
                <w:rFonts w:ascii="Times New Roman"/>
                <w:sz w:val="18"/>
              </w:rPr>
            </w:pPr>
          </w:p>
        </w:tc>
        <w:tc>
          <w:tcPr>
            <w:tcW w:w="3427" w:type="pct"/>
          </w:tcPr>
          <w:p w14:paraId="0BC7B908" w14:textId="77777777" w:rsidR="0019624B" w:rsidRPr="00D4309F" w:rsidRDefault="0019624B" w:rsidP="0019624B">
            <w:pPr>
              <w:pStyle w:val="TableParagraph"/>
              <w:spacing w:before="39"/>
              <w:ind w:left="165"/>
              <w:rPr>
                <w:sz w:val="18"/>
              </w:rPr>
            </w:pPr>
            <w:r w:rsidRPr="00D4309F">
              <w:rPr>
                <w:color w:val="211E1F"/>
                <w:sz w:val="18"/>
              </w:rPr>
              <w:t>Clarity</w:t>
            </w:r>
            <w:r w:rsidRPr="00D4309F">
              <w:rPr>
                <w:color w:val="211E1F"/>
                <w:spacing w:val="-3"/>
                <w:sz w:val="18"/>
              </w:rPr>
              <w:t xml:space="preserve"> </w:t>
            </w:r>
            <w:r w:rsidRPr="00D4309F">
              <w:rPr>
                <w:color w:val="211E1F"/>
                <w:sz w:val="18"/>
              </w:rPr>
              <w:t>of</w:t>
            </w:r>
            <w:r w:rsidRPr="00D4309F">
              <w:rPr>
                <w:color w:val="211E1F"/>
                <w:spacing w:val="-2"/>
                <w:sz w:val="18"/>
              </w:rPr>
              <w:t xml:space="preserve"> navigation</w:t>
            </w:r>
          </w:p>
        </w:tc>
        <w:tc>
          <w:tcPr>
            <w:tcW w:w="571" w:type="pct"/>
          </w:tcPr>
          <w:p w14:paraId="08122F04" w14:textId="37433B5E" w:rsidR="0019624B" w:rsidRPr="0019624B" w:rsidRDefault="0019624B" w:rsidP="0019624B">
            <w:pPr>
              <w:pStyle w:val="TableParagraph"/>
              <w:spacing w:before="39"/>
              <w:ind w:left="485"/>
              <w:rPr>
                <w:bCs/>
                <w:sz w:val="18"/>
              </w:rPr>
            </w:pPr>
            <w:r w:rsidRPr="0019624B">
              <w:rPr>
                <w:bCs/>
                <w:color w:val="211E1F"/>
                <w:spacing w:val="-10"/>
                <w:sz w:val="18"/>
              </w:rPr>
              <w:t>5</w:t>
            </w:r>
          </w:p>
        </w:tc>
      </w:tr>
      <w:tr w:rsidR="0019624B" w:rsidRPr="00D4309F" w14:paraId="397FC038" w14:textId="77777777">
        <w:trPr>
          <w:trHeight w:val="287"/>
        </w:trPr>
        <w:tc>
          <w:tcPr>
            <w:tcW w:w="1002" w:type="pct"/>
            <w:vMerge/>
          </w:tcPr>
          <w:p w14:paraId="3E71C62C" w14:textId="77777777" w:rsidR="0019624B" w:rsidRPr="00D4309F" w:rsidRDefault="0019624B" w:rsidP="0019624B">
            <w:pPr>
              <w:pStyle w:val="TableParagraph"/>
              <w:rPr>
                <w:rFonts w:ascii="Times New Roman"/>
                <w:sz w:val="18"/>
              </w:rPr>
            </w:pPr>
          </w:p>
        </w:tc>
        <w:tc>
          <w:tcPr>
            <w:tcW w:w="3427" w:type="pct"/>
          </w:tcPr>
          <w:p w14:paraId="2DCC69A4" w14:textId="77777777" w:rsidR="0019624B" w:rsidRPr="00D4309F" w:rsidRDefault="0019624B" w:rsidP="0019624B">
            <w:pPr>
              <w:pStyle w:val="TableParagraph"/>
              <w:spacing w:before="41"/>
              <w:ind w:left="165"/>
              <w:rPr>
                <w:sz w:val="18"/>
              </w:rPr>
            </w:pPr>
            <w:r w:rsidRPr="00D4309F">
              <w:rPr>
                <w:color w:val="211E1F"/>
                <w:sz w:val="18"/>
              </w:rPr>
              <w:t>Mariner</w:t>
            </w:r>
            <w:r w:rsidRPr="00D4309F">
              <w:rPr>
                <w:color w:val="211E1F"/>
                <w:spacing w:val="-6"/>
                <w:sz w:val="18"/>
              </w:rPr>
              <w:t xml:space="preserve"> </w:t>
            </w:r>
            <w:r w:rsidRPr="00D4309F">
              <w:rPr>
                <w:color w:val="211E1F"/>
                <w:spacing w:val="-2"/>
                <w:sz w:val="18"/>
              </w:rPr>
              <w:t>safety</w:t>
            </w:r>
          </w:p>
        </w:tc>
        <w:tc>
          <w:tcPr>
            <w:tcW w:w="571" w:type="pct"/>
          </w:tcPr>
          <w:p w14:paraId="15FD8263" w14:textId="7C529E29" w:rsidR="0019624B" w:rsidRPr="0019624B" w:rsidRDefault="0019624B" w:rsidP="0019624B">
            <w:pPr>
              <w:pStyle w:val="TableParagraph"/>
              <w:spacing w:before="41"/>
              <w:ind w:left="485"/>
              <w:rPr>
                <w:bCs/>
                <w:sz w:val="18"/>
              </w:rPr>
            </w:pPr>
            <w:r w:rsidRPr="0019624B">
              <w:rPr>
                <w:bCs/>
                <w:color w:val="211E1F"/>
                <w:spacing w:val="-10"/>
                <w:sz w:val="18"/>
              </w:rPr>
              <w:t>4</w:t>
            </w:r>
          </w:p>
        </w:tc>
      </w:tr>
      <w:tr w:rsidR="0019624B" w:rsidRPr="00D4309F" w14:paraId="1AE6E7D4" w14:textId="77777777">
        <w:trPr>
          <w:trHeight w:val="286"/>
        </w:trPr>
        <w:tc>
          <w:tcPr>
            <w:tcW w:w="1002" w:type="pct"/>
            <w:vMerge/>
          </w:tcPr>
          <w:p w14:paraId="74FDFD48" w14:textId="77777777" w:rsidR="0019624B" w:rsidRPr="00D4309F" w:rsidRDefault="0019624B" w:rsidP="0019624B">
            <w:pPr>
              <w:pStyle w:val="TableParagraph"/>
              <w:rPr>
                <w:rFonts w:ascii="Times New Roman"/>
                <w:sz w:val="18"/>
              </w:rPr>
            </w:pPr>
          </w:p>
        </w:tc>
        <w:tc>
          <w:tcPr>
            <w:tcW w:w="3427" w:type="pct"/>
          </w:tcPr>
          <w:p w14:paraId="4EEAA44C" w14:textId="77777777" w:rsidR="0019624B" w:rsidRPr="00D4309F" w:rsidRDefault="0019624B" w:rsidP="0019624B">
            <w:pPr>
              <w:pStyle w:val="TableParagraph"/>
              <w:spacing w:before="39"/>
              <w:ind w:left="165"/>
              <w:rPr>
                <w:color w:val="211E1F"/>
                <w:spacing w:val="-2"/>
                <w:sz w:val="18"/>
              </w:rPr>
            </w:pPr>
          </w:p>
        </w:tc>
        <w:tc>
          <w:tcPr>
            <w:tcW w:w="571" w:type="pct"/>
          </w:tcPr>
          <w:p w14:paraId="1AADDC3E" w14:textId="77777777" w:rsidR="0019624B" w:rsidRPr="00D4309F" w:rsidRDefault="0019624B" w:rsidP="0019624B">
            <w:pPr>
              <w:pStyle w:val="TableParagraph"/>
              <w:spacing w:before="39"/>
              <w:ind w:left="484"/>
              <w:rPr>
                <w:color w:val="211E1F"/>
                <w:spacing w:val="-10"/>
                <w:sz w:val="18"/>
              </w:rPr>
            </w:pPr>
          </w:p>
        </w:tc>
      </w:tr>
      <w:tr w:rsidR="0019624B" w:rsidRPr="00D4309F" w14:paraId="7EC6F2FE" w14:textId="77777777">
        <w:trPr>
          <w:trHeight w:val="286"/>
        </w:trPr>
        <w:tc>
          <w:tcPr>
            <w:tcW w:w="1002" w:type="pct"/>
            <w:vMerge/>
          </w:tcPr>
          <w:p w14:paraId="2758776D" w14:textId="77777777" w:rsidR="0019624B" w:rsidRPr="00D4309F" w:rsidRDefault="0019624B" w:rsidP="0019624B">
            <w:pPr>
              <w:pStyle w:val="TableParagraph"/>
              <w:rPr>
                <w:rFonts w:ascii="Times New Roman"/>
                <w:sz w:val="18"/>
              </w:rPr>
            </w:pPr>
          </w:p>
        </w:tc>
        <w:tc>
          <w:tcPr>
            <w:tcW w:w="3427" w:type="pct"/>
          </w:tcPr>
          <w:p w14:paraId="07EA480C" w14:textId="77777777" w:rsidR="0019624B" w:rsidRPr="00230A0A" w:rsidRDefault="0019624B" w:rsidP="0019624B">
            <w:pPr>
              <w:pStyle w:val="TableParagraph"/>
              <w:spacing w:before="39"/>
              <w:ind w:left="165"/>
              <w:rPr>
                <w:b/>
                <w:bCs/>
                <w:sz w:val="18"/>
              </w:rPr>
            </w:pPr>
            <w:r w:rsidRPr="00230A0A">
              <w:rPr>
                <w:b/>
                <w:bCs/>
                <w:color w:val="211E1F"/>
                <w:spacing w:val="-2"/>
                <w:sz w:val="18"/>
              </w:rPr>
              <w:t>Sub-total</w:t>
            </w:r>
          </w:p>
        </w:tc>
        <w:tc>
          <w:tcPr>
            <w:tcW w:w="571" w:type="pct"/>
          </w:tcPr>
          <w:p w14:paraId="41DAB7B8" w14:textId="447781BB" w:rsidR="0019624B" w:rsidRPr="00230A0A" w:rsidRDefault="0019624B" w:rsidP="0019624B">
            <w:pPr>
              <w:pStyle w:val="TableParagraph"/>
              <w:spacing w:before="39"/>
              <w:ind w:left="484"/>
              <w:rPr>
                <w:b/>
                <w:bCs/>
                <w:sz w:val="18"/>
              </w:rPr>
            </w:pPr>
            <w:r w:rsidRPr="00D4309F">
              <w:rPr>
                <w:b/>
                <w:color w:val="211E1F"/>
                <w:spacing w:val="-5"/>
                <w:sz w:val="18"/>
              </w:rPr>
              <w:t>14</w:t>
            </w:r>
          </w:p>
        </w:tc>
      </w:tr>
      <w:tr w:rsidR="0019624B" w:rsidRPr="00D4309F" w14:paraId="3474502E" w14:textId="77777777">
        <w:trPr>
          <w:trHeight w:val="287"/>
        </w:trPr>
        <w:tc>
          <w:tcPr>
            <w:tcW w:w="1002" w:type="pct"/>
            <w:vMerge w:val="restart"/>
          </w:tcPr>
          <w:p w14:paraId="316502B8" w14:textId="77777777" w:rsidR="0019624B" w:rsidRPr="00D4309F" w:rsidRDefault="0019624B" w:rsidP="0019624B">
            <w:pPr>
              <w:pStyle w:val="TableParagraph"/>
              <w:spacing w:before="41"/>
              <w:ind w:left="165"/>
              <w:rPr>
                <w:b/>
                <w:sz w:val="18"/>
              </w:rPr>
            </w:pPr>
            <w:r w:rsidRPr="00D4309F">
              <w:rPr>
                <w:b/>
                <w:color w:val="211E1F"/>
                <w:sz w:val="18"/>
              </w:rPr>
              <w:t>Social</w:t>
            </w:r>
            <w:r w:rsidRPr="00D4309F">
              <w:rPr>
                <w:b/>
                <w:color w:val="211E1F"/>
                <w:spacing w:val="-2"/>
                <w:sz w:val="18"/>
              </w:rPr>
              <w:t xml:space="preserve"> </w:t>
            </w:r>
            <w:r w:rsidRPr="00D4309F">
              <w:rPr>
                <w:b/>
                <w:color w:val="211E1F"/>
                <w:sz w:val="18"/>
              </w:rPr>
              <w:t>and</w:t>
            </w:r>
            <w:r w:rsidRPr="00D4309F">
              <w:rPr>
                <w:b/>
                <w:color w:val="211E1F"/>
                <w:spacing w:val="-2"/>
                <w:sz w:val="18"/>
              </w:rPr>
              <w:t xml:space="preserve"> economic</w:t>
            </w:r>
          </w:p>
        </w:tc>
        <w:tc>
          <w:tcPr>
            <w:tcW w:w="3427" w:type="pct"/>
          </w:tcPr>
          <w:p w14:paraId="0B261DD8" w14:textId="77777777" w:rsidR="0019624B" w:rsidRPr="00D4309F" w:rsidRDefault="0019624B" w:rsidP="0019624B">
            <w:pPr>
              <w:pStyle w:val="TableParagraph"/>
              <w:spacing w:before="41"/>
              <w:ind w:left="166"/>
              <w:rPr>
                <w:sz w:val="18"/>
              </w:rPr>
            </w:pPr>
            <w:r w:rsidRPr="00D4309F">
              <w:rPr>
                <w:color w:val="211E1F"/>
                <w:sz w:val="18"/>
              </w:rPr>
              <w:t>Consistency</w:t>
            </w:r>
            <w:r w:rsidRPr="00D4309F">
              <w:rPr>
                <w:color w:val="211E1F"/>
                <w:spacing w:val="-5"/>
                <w:sz w:val="18"/>
              </w:rPr>
              <w:t xml:space="preserve"> </w:t>
            </w:r>
            <w:r w:rsidRPr="00D4309F">
              <w:rPr>
                <w:color w:val="211E1F"/>
                <w:sz w:val="18"/>
              </w:rPr>
              <w:t>with</w:t>
            </w:r>
            <w:r w:rsidRPr="00D4309F">
              <w:rPr>
                <w:color w:val="211E1F"/>
                <w:spacing w:val="-3"/>
                <w:sz w:val="18"/>
              </w:rPr>
              <w:t xml:space="preserve"> </w:t>
            </w:r>
            <w:r w:rsidRPr="00D4309F">
              <w:rPr>
                <w:color w:val="211E1F"/>
                <w:sz w:val="18"/>
              </w:rPr>
              <w:t>SRG</w:t>
            </w:r>
            <w:r w:rsidRPr="00D4309F">
              <w:rPr>
                <w:color w:val="211E1F"/>
                <w:spacing w:val="-3"/>
                <w:sz w:val="18"/>
              </w:rPr>
              <w:t xml:space="preserve"> </w:t>
            </w:r>
            <w:r w:rsidRPr="00D4309F">
              <w:rPr>
                <w:color w:val="211E1F"/>
                <w:sz w:val="18"/>
              </w:rPr>
              <w:t>preference</w:t>
            </w:r>
            <w:r w:rsidRPr="00D4309F">
              <w:rPr>
                <w:color w:val="211E1F"/>
                <w:spacing w:val="-3"/>
                <w:sz w:val="18"/>
              </w:rPr>
              <w:t xml:space="preserve"> </w:t>
            </w:r>
            <w:r w:rsidRPr="00D4309F">
              <w:rPr>
                <w:color w:val="211E1F"/>
                <w:sz w:val="18"/>
              </w:rPr>
              <w:t>for</w:t>
            </w:r>
            <w:r w:rsidRPr="00D4309F">
              <w:rPr>
                <w:color w:val="211E1F"/>
                <w:spacing w:val="-3"/>
                <w:sz w:val="18"/>
              </w:rPr>
              <w:t xml:space="preserve"> </w:t>
            </w:r>
            <w:r w:rsidRPr="00D4309F">
              <w:rPr>
                <w:color w:val="211E1F"/>
                <w:sz w:val="18"/>
              </w:rPr>
              <w:t>lower</w:t>
            </w:r>
            <w:r w:rsidRPr="00D4309F">
              <w:rPr>
                <w:color w:val="211E1F"/>
                <w:spacing w:val="-2"/>
                <w:sz w:val="18"/>
              </w:rPr>
              <w:t xml:space="preserve"> </w:t>
            </w:r>
            <w:r w:rsidRPr="00D4309F">
              <w:rPr>
                <w:color w:val="211E1F"/>
                <w:sz w:val="18"/>
              </w:rPr>
              <w:t>impact,</w:t>
            </w:r>
            <w:r w:rsidRPr="00D4309F">
              <w:rPr>
                <w:color w:val="211E1F"/>
                <w:spacing w:val="-3"/>
                <w:sz w:val="18"/>
              </w:rPr>
              <w:t xml:space="preserve"> </w:t>
            </w:r>
            <w:r w:rsidRPr="00D4309F">
              <w:rPr>
                <w:color w:val="211E1F"/>
                <w:sz w:val="18"/>
              </w:rPr>
              <w:t>“softer”</w:t>
            </w:r>
            <w:r w:rsidRPr="00D4309F">
              <w:rPr>
                <w:color w:val="211E1F"/>
                <w:spacing w:val="-3"/>
                <w:sz w:val="18"/>
              </w:rPr>
              <w:t xml:space="preserve"> </w:t>
            </w:r>
            <w:r w:rsidRPr="00D4309F">
              <w:rPr>
                <w:color w:val="211E1F"/>
                <w:sz w:val="18"/>
              </w:rPr>
              <w:t>measures</w:t>
            </w:r>
            <w:r w:rsidRPr="00D4309F">
              <w:rPr>
                <w:color w:val="211E1F"/>
                <w:spacing w:val="-2"/>
                <w:sz w:val="18"/>
              </w:rPr>
              <w:t xml:space="preserve"> </w:t>
            </w:r>
            <w:r w:rsidRPr="00D4309F">
              <w:rPr>
                <w:color w:val="211E1F"/>
                <w:sz w:val="18"/>
              </w:rPr>
              <w:t>where</w:t>
            </w:r>
            <w:r w:rsidRPr="00D4309F">
              <w:rPr>
                <w:color w:val="211E1F"/>
                <w:spacing w:val="-3"/>
                <w:sz w:val="18"/>
              </w:rPr>
              <w:t xml:space="preserve"> </w:t>
            </w:r>
            <w:r w:rsidRPr="00D4309F">
              <w:rPr>
                <w:color w:val="211E1F"/>
                <w:spacing w:val="-2"/>
                <w:sz w:val="18"/>
              </w:rPr>
              <w:t>practicable.</w:t>
            </w:r>
          </w:p>
        </w:tc>
        <w:tc>
          <w:tcPr>
            <w:tcW w:w="571" w:type="pct"/>
          </w:tcPr>
          <w:p w14:paraId="5053A881" w14:textId="44B8EEE7" w:rsidR="0019624B" w:rsidRPr="0019624B" w:rsidRDefault="0019624B" w:rsidP="0019624B">
            <w:pPr>
              <w:pStyle w:val="TableParagraph"/>
              <w:spacing w:before="41"/>
              <w:ind w:left="485"/>
              <w:rPr>
                <w:bCs/>
                <w:sz w:val="18"/>
              </w:rPr>
            </w:pPr>
            <w:r w:rsidRPr="0019624B">
              <w:rPr>
                <w:bCs/>
                <w:color w:val="211E1F"/>
                <w:spacing w:val="-10"/>
                <w:sz w:val="18"/>
              </w:rPr>
              <w:t>1</w:t>
            </w:r>
          </w:p>
        </w:tc>
      </w:tr>
      <w:tr w:rsidR="0019624B" w:rsidRPr="00D4309F" w14:paraId="13584CFC" w14:textId="77777777">
        <w:trPr>
          <w:trHeight w:val="286"/>
        </w:trPr>
        <w:tc>
          <w:tcPr>
            <w:tcW w:w="1002" w:type="pct"/>
            <w:vMerge/>
          </w:tcPr>
          <w:p w14:paraId="6D34BD17" w14:textId="77777777" w:rsidR="0019624B" w:rsidRPr="00D4309F" w:rsidRDefault="0019624B" w:rsidP="0019624B">
            <w:pPr>
              <w:pStyle w:val="TableParagraph"/>
              <w:rPr>
                <w:rFonts w:ascii="Times New Roman"/>
                <w:sz w:val="18"/>
              </w:rPr>
            </w:pPr>
          </w:p>
        </w:tc>
        <w:tc>
          <w:tcPr>
            <w:tcW w:w="3427" w:type="pct"/>
          </w:tcPr>
          <w:p w14:paraId="1B470708" w14:textId="77777777" w:rsidR="0019624B" w:rsidRPr="00D4309F" w:rsidRDefault="0019624B" w:rsidP="0019624B">
            <w:pPr>
              <w:pStyle w:val="TableParagraph"/>
              <w:spacing w:before="39"/>
              <w:ind w:left="165"/>
              <w:rPr>
                <w:sz w:val="18"/>
              </w:rPr>
            </w:pPr>
            <w:r w:rsidRPr="00D4309F">
              <w:rPr>
                <w:color w:val="211E1F"/>
                <w:sz w:val="18"/>
              </w:rPr>
              <w:t>Traditional</w:t>
            </w:r>
            <w:r w:rsidRPr="00D4309F">
              <w:rPr>
                <w:color w:val="211E1F"/>
                <w:spacing w:val="-3"/>
                <w:sz w:val="18"/>
              </w:rPr>
              <w:t xml:space="preserve"> </w:t>
            </w:r>
            <w:r w:rsidRPr="00D4309F">
              <w:rPr>
                <w:color w:val="211E1F"/>
                <w:sz w:val="18"/>
              </w:rPr>
              <w:t>Owners</w:t>
            </w:r>
            <w:r w:rsidRPr="00D4309F">
              <w:rPr>
                <w:color w:val="211E1F"/>
                <w:spacing w:val="-3"/>
                <w:sz w:val="18"/>
              </w:rPr>
              <w:t xml:space="preserve"> </w:t>
            </w:r>
            <w:r w:rsidRPr="00D4309F">
              <w:rPr>
                <w:color w:val="211E1F"/>
                <w:sz w:val="18"/>
              </w:rPr>
              <w:t>do</w:t>
            </w:r>
            <w:r w:rsidRPr="00D4309F">
              <w:rPr>
                <w:color w:val="211E1F"/>
                <w:spacing w:val="-3"/>
                <w:sz w:val="18"/>
              </w:rPr>
              <w:t xml:space="preserve"> </w:t>
            </w:r>
            <w:r w:rsidRPr="00D4309F">
              <w:rPr>
                <w:color w:val="211E1F"/>
                <w:sz w:val="18"/>
              </w:rPr>
              <w:t>not</w:t>
            </w:r>
            <w:r w:rsidRPr="00D4309F">
              <w:rPr>
                <w:color w:val="211E1F"/>
                <w:spacing w:val="-3"/>
                <w:sz w:val="18"/>
              </w:rPr>
              <w:t xml:space="preserve"> </w:t>
            </w:r>
            <w:r w:rsidRPr="00D4309F">
              <w:rPr>
                <w:color w:val="211E1F"/>
                <w:sz w:val="18"/>
              </w:rPr>
              <w:t>experience</w:t>
            </w:r>
            <w:r w:rsidRPr="00D4309F">
              <w:rPr>
                <w:color w:val="211E1F"/>
                <w:spacing w:val="-3"/>
                <w:sz w:val="18"/>
              </w:rPr>
              <w:t xml:space="preserve"> </w:t>
            </w:r>
            <w:r w:rsidRPr="00D4309F">
              <w:rPr>
                <w:color w:val="211E1F"/>
                <w:sz w:val="18"/>
              </w:rPr>
              <w:t>disturbance</w:t>
            </w:r>
            <w:r w:rsidRPr="00D4309F">
              <w:rPr>
                <w:color w:val="211E1F"/>
                <w:spacing w:val="-3"/>
                <w:sz w:val="18"/>
              </w:rPr>
              <w:t xml:space="preserve"> </w:t>
            </w:r>
            <w:r w:rsidRPr="00D4309F">
              <w:rPr>
                <w:color w:val="211E1F"/>
                <w:sz w:val="18"/>
              </w:rPr>
              <w:t>to</w:t>
            </w:r>
            <w:r w:rsidRPr="00D4309F">
              <w:rPr>
                <w:color w:val="211E1F"/>
                <w:spacing w:val="-4"/>
                <w:sz w:val="18"/>
              </w:rPr>
              <w:t xml:space="preserve"> </w:t>
            </w:r>
            <w:r w:rsidRPr="00D4309F">
              <w:rPr>
                <w:color w:val="211E1F"/>
                <w:sz w:val="18"/>
              </w:rPr>
              <w:t>cultural</w:t>
            </w:r>
            <w:r w:rsidRPr="00D4309F">
              <w:rPr>
                <w:color w:val="211E1F"/>
                <w:spacing w:val="-2"/>
                <w:sz w:val="18"/>
              </w:rPr>
              <w:t xml:space="preserve"> values</w:t>
            </w:r>
          </w:p>
        </w:tc>
        <w:tc>
          <w:tcPr>
            <w:tcW w:w="571" w:type="pct"/>
          </w:tcPr>
          <w:p w14:paraId="0EE57222" w14:textId="183CC328" w:rsidR="0019624B" w:rsidRPr="0019624B" w:rsidRDefault="0019624B" w:rsidP="0019624B">
            <w:pPr>
              <w:pStyle w:val="TableParagraph"/>
              <w:spacing w:before="39"/>
              <w:ind w:left="485"/>
              <w:rPr>
                <w:bCs/>
                <w:sz w:val="18"/>
              </w:rPr>
            </w:pPr>
            <w:r w:rsidRPr="0019624B">
              <w:rPr>
                <w:bCs/>
                <w:color w:val="211E1F"/>
                <w:spacing w:val="-10"/>
                <w:sz w:val="18"/>
              </w:rPr>
              <w:t>3</w:t>
            </w:r>
          </w:p>
        </w:tc>
      </w:tr>
      <w:tr w:rsidR="0019624B" w:rsidRPr="00D4309F" w14:paraId="6DA481CB" w14:textId="77777777">
        <w:trPr>
          <w:trHeight w:val="287"/>
        </w:trPr>
        <w:tc>
          <w:tcPr>
            <w:tcW w:w="1002" w:type="pct"/>
            <w:vMerge/>
          </w:tcPr>
          <w:p w14:paraId="3D8E0FBA" w14:textId="77777777" w:rsidR="0019624B" w:rsidRPr="00D4309F" w:rsidRDefault="0019624B" w:rsidP="0019624B">
            <w:pPr>
              <w:pStyle w:val="TableParagraph"/>
              <w:rPr>
                <w:rFonts w:ascii="Times New Roman"/>
                <w:sz w:val="18"/>
              </w:rPr>
            </w:pPr>
          </w:p>
        </w:tc>
        <w:tc>
          <w:tcPr>
            <w:tcW w:w="3427" w:type="pct"/>
          </w:tcPr>
          <w:p w14:paraId="0DFE248C" w14:textId="77777777" w:rsidR="0019624B" w:rsidRPr="00D4309F" w:rsidRDefault="0019624B" w:rsidP="0019624B">
            <w:pPr>
              <w:pStyle w:val="TableParagraph"/>
              <w:spacing w:before="41"/>
              <w:ind w:left="165"/>
              <w:rPr>
                <w:sz w:val="18"/>
              </w:rPr>
            </w:pPr>
            <w:r w:rsidRPr="00D4309F">
              <w:rPr>
                <w:color w:val="211E1F"/>
                <w:sz w:val="18"/>
              </w:rPr>
              <w:t>Visual</w:t>
            </w:r>
            <w:r w:rsidRPr="00D4309F">
              <w:rPr>
                <w:color w:val="211E1F"/>
                <w:spacing w:val="-5"/>
                <w:sz w:val="18"/>
              </w:rPr>
              <w:t xml:space="preserve"> </w:t>
            </w:r>
            <w:r w:rsidRPr="00D4309F">
              <w:rPr>
                <w:color w:val="211E1F"/>
                <w:spacing w:val="-2"/>
                <w:sz w:val="18"/>
              </w:rPr>
              <w:t>amenity</w:t>
            </w:r>
          </w:p>
        </w:tc>
        <w:tc>
          <w:tcPr>
            <w:tcW w:w="571" w:type="pct"/>
          </w:tcPr>
          <w:p w14:paraId="69CCB765" w14:textId="1A376926" w:rsidR="0019624B" w:rsidRPr="0019624B" w:rsidRDefault="0019624B" w:rsidP="0019624B">
            <w:pPr>
              <w:pStyle w:val="TableParagraph"/>
              <w:spacing w:before="41"/>
              <w:ind w:left="485"/>
              <w:rPr>
                <w:bCs/>
                <w:sz w:val="18"/>
              </w:rPr>
            </w:pPr>
            <w:r w:rsidRPr="0019624B">
              <w:rPr>
                <w:bCs/>
                <w:color w:val="211E1F"/>
                <w:spacing w:val="-10"/>
                <w:sz w:val="18"/>
              </w:rPr>
              <w:t>1</w:t>
            </w:r>
          </w:p>
        </w:tc>
      </w:tr>
      <w:tr w:rsidR="0019624B" w:rsidRPr="00D4309F" w14:paraId="3F0B482C" w14:textId="77777777">
        <w:trPr>
          <w:trHeight w:val="286"/>
        </w:trPr>
        <w:tc>
          <w:tcPr>
            <w:tcW w:w="1002" w:type="pct"/>
            <w:vMerge/>
          </w:tcPr>
          <w:p w14:paraId="5B143C5C" w14:textId="77777777" w:rsidR="0019624B" w:rsidRPr="00D4309F" w:rsidRDefault="0019624B" w:rsidP="0019624B">
            <w:pPr>
              <w:pStyle w:val="TableParagraph"/>
              <w:rPr>
                <w:rFonts w:ascii="Times New Roman"/>
                <w:sz w:val="18"/>
              </w:rPr>
            </w:pPr>
          </w:p>
        </w:tc>
        <w:tc>
          <w:tcPr>
            <w:tcW w:w="3427" w:type="pct"/>
          </w:tcPr>
          <w:p w14:paraId="325C79C1" w14:textId="77777777" w:rsidR="0019624B" w:rsidRPr="00D4309F" w:rsidRDefault="0019624B" w:rsidP="0019624B">
            <w:pPr>
              <w:pStyle w:val="TableParagraph"/>
              <w:spacing w:before="39"/>
              <w:ind w:left="165"/>
              <w:rPr>
                <w:sz w:val="18"/>
              </w:rPr>
            </w:pPr>
            <w:r w:rsidRPr="00D4309F">
              <w:rPr>
                <w:color w:val="211E1F"/>
                <w:sz w:val="18"/>
              </w:rPr>
              <w:t>Community</w:t>
            </w:r>
            <w:r w:rsidRPr="00D4309F">
              <w:rPr>
                <w:color w:val="211E1F"/>
                <w:spacing w:val="-3"/>
                <w:sz w:val="18"/>
              </w:rPr>
              <w:t xml:space="preserve"> </w:t>
            </w:r>
            <w:r w:rsidRPr="00D4309F">
              <w:rPr>
                <w:color w:val="211E1F"/>
                <w:sz w:val="18"/>
              </w:rPr>
              <w:t>amenity</w:t>
            </w:r>
            <w:r w:rsidRPr="00D4309F">
              <w:rPr>
                <w:color w:val="211E1F"/>
                <w:spacing w:val="-2"/>
                <w:sz w:val="18"/>
              </w:rPr>
              <w:t xml:space="preserve"> </w:t>
            </w:r>
            <w:r w:rsidRPr="00D4309F">
              <w:rPr>
                <w:color w:val="211E1F"/>
                <w:sz w:val="18"/>
              </w:rPr>
              <w:t>(inc.</w:t>
            </w:r>
            <w:r w:rsidRPr="00D4309F">
              <w:rPr>
                <w:color w:val="211E1F"/>
                <w:spacing w:val="-2"/>
                <w:sz w:val="18"/>
              </w:rPr>
              <w:t xml:space="preserve"> </w:t>
            </w:r>
            <w:r w:rsidRPr="00D4309F">
              <w:rPr>
                <w:color w:val="211E1F"/>
                <w:sz w:val="18"/>
              </w:rPr>
              <w:t>noise</w:t>
            </w:r>
            <w:r w:rsidRPr="00D4309F">
              <w:rPr>
                <w:color w:val="211E1F"/>
                <w:spacing w:val="-3"/>
                <w:sz w:val="18"/>
              </w:rPr>
              <w:t xml:space="preserve"> </w:t>
            </w:r>
            <w:r w:rsidRPr="00D4309F">
              <w:rPr>
                <w:color w:val="211E1F"/>
                <w:sz w:val="18"/>
              </w:rPr>
              <w:t>from</w:t>
            </w:r>
            <w:r w:rsidRPr="00D4309F">
              <w:rPr>
                <w:color w:val="211E1F"/>
                <w:spacing w:val="-2"/>
                <w:sz w:val="18"/>
              </w:rPr>
              <w:t xml:space="preserve"> pumps)</w:t>
            </w:r>
          </w:p>
        </w:tc>
        <w:tc>
          <w:tcPr>
            <w:tcW w:w="571" w:type="pct"/>
          </w:tcPr>
          <w:p w14:paraId="20B79CE9" w14:textId="01D8F1AD" w:rsidR="0019624B" w:rsidRPr="0019624B" w:rsidRDefault="0019624B" w:rsidP="0019624B">
            <w:pPr>
              <w:pStyle w:val="TableParagraph"/>
              <w:spacing w:before="39"/>
              <w:ind w:left="484"/>
              <w:rPr>
                <w:bCs/>
                <w:sz w:val="18"/>
              </w:rPr>
            </w:pPr>
            <w:r w:rsidRPr="0019624B">
              <w:rPr>
                <w:bCs/>
                <w:color w:val="211E1F"/>
                <w:spacing w:val="-10"/>
                <w:sz w:val="18"/>
              </w:rPr>
              <w:t>3</w:t>
            </w:r>
          </w:p>
        </w:tc>
      </w:tr>
      <w:tr w:rsidR="0019624B" w:rsidRPr="00D4309F" w14:paraId="32686B6A" w14:textId="77777777">
        <w:trPr>
          <w:trHeight w:val="247"/>
        </w:trPr>
        <w:tc>
          <w:tcPr>
            <w:tcW w:w="1002" w:type="pct"/>
            <w:vMerge/>
          </w:tcPr>
          <w:p w14:paraId="2EDC9C4C" w14:textId="77777777" w:rsidR="0019624B" w:rsidRPr="00D4309F" w:rsidRDefault="0019624B" w:rsidP="0019624B">
            <w:pPr>
              <w:pStyle w:val="TableParagraph"/>
              <w:rPr>
                <w:rFonts w:ascii="Times New Roman"/>
                <w:sz w:val="18"/>
              </w:rPr>
            </w:pPr>
          </w:p>
        </w:tc>
        <w:tc>
          <w:tcPr>
            <w:tcW w:w="3427" w:type="pct"/>
          </w:tcPr>
          <w:p w14:paraId="6064E10E" w14:textId="77777777" w:rsidR="0019624B" w:rsidRPr="00D4309F" w:rsidRDefault="0019624B" w:rsidP="0019624B">
            <w:pPr>
              <w:pStyle w:val="TableParagraph"/>
              <w:spacing w:before="41" w:line="187" w:lineRule="exact"/>
              <w:ind w:left="165"/>
              <w:rPr>
                <w:sz w:val="18"/>
              </w:rPr>
            </w:pPr>
            <w:r w:rsidRPr="00D4309F">
              <w:rPr>
                <w:color w:val="211E1F"/>
                <w:sz w:val="18"/>
              </w:rPr>
              <w:t>Beach</w:t>
            </w:r>
            <w:r w:rsidRPr="00D4309F">
              <w:rPr>
                <w:color w:val="211E1F"/>
                <w:spacing w:val="-5"/>
                <w:sz w:val="18"/>
              </w:rPr>
              <w:t xml:space="preserve"> </w:t>
            </w:r>
            <w:r w:rsidRPr="00D4309F">
              <w:rPr>
                <w:color w:val="211E1F"/>
                <w:sz w:val="18"/>
              </w:rPr>
              <w:t>users</w:t>
            </w:r>
            <w:r w:rsidRPr="00D4309F">
              <w:rPr>
                <w:color w:val="211E1F"/>
                <w:spacing w:val="-2"/>
                <w:sz w:val="18"/>
              </w:rPr>
              <w:t xml:space="preserve"> experience</w:t>
            </w:r>
          </w:p>
        </w:tc>
        <w:tc>
          <w:tcPr>
            <w:tcW w:w="571" w:type="pct"/>
          </w:tcPr>
          <w:p w14:paraId="191AC0F0" w14:textId="1F82A212" w:rsidR="0019624B" w:rsidRPr="0019624B" w:rsidRDefault="0019624B" w:rsidP="0019624B">
            <w:pPr>
              <w:pStyle w:val="TableParagraph"/>
              <w:spacing w:before="41" w:line="187" w:lineRule="exact"/>
              <w:ind w:left="485"/>
              <w:rPr>
                <w:bCs/>
                <w:sz w:val="18"/>
              </w:rPr>
            </w:pPr>
            <w:r w:rsidRPr="0019624B">
              <w:rPr>
                <w:bCs/>
                <w:color w:val="211E1F"/>
                <w:spacing w:val="-10"/>
                <w:sz w:val="18"/>
              </w:rPr>
              <w:t>3</w:t>
            </w:r>
          </w:p>
        </w:tc>
      </w:tr>
      <w:tr w:rsidR="0019624B" w:rsidRPr="00D4309F" w14:paraId="2709130D" w14:textId="77777777">
        <w:trPr>
          <w:trHeight w:val="247"/>
        </w:trPr>
        <w:tc>
          <w:tcPr>
            <w:tcW w:w="1002" w:type="pct"/>
            <w:vMerge/>
          </w:tcPr>
          <w:p w14:paraId="6AED8C22" w14:textId="77777777" w:rsidR="0019624B" w:rsidRPr="00D4309F" w:rsidRDefault="0019624B" w:rsidP="0019624B">
            <w:pPr>
              <w:pStyle w:val="TableParagraph"/>
              <w:rPr>
                <w:rFonts w:ascii="Times New Roman"/>
                <w:sz w:val="18"/>
              </w:rPr>
            </w:pPr>
          </w:p>
        </w:tc>
        <w:tc>
          <w:tcPr>
            <w:tcW w:w="3427" w:type="pct"/>
          </w:tcPr>
          <w:p w14:paraId="3625F142"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Safe</w:t>
            </w:r>
            <w:r w:rsidRPr="00D4309F">
              <w:rPr>
                <w:color w:val="211E1F"/>
                <w:spacing w:val="-4"/>
                <w:sz w:val="18"/>
              </w:rPr>
              <w:t xml:space="preserve"> </w:t>
            </w:r>
            <w:r w:rsidRPr="00D4309F">
              <w:rPr>
                <w:color w:val="211E1F"/>
                <w:sz w:val="18"/>
              </w:rPr>
              <w:t>access</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business</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recreational</w:t>
            </w:r>
            <w:r w:rsidRPr="00D4309F">
              <w:rPr>
                <w:color w:val="211E1F"/>
                <w:spacing w:val="-2"/>
                <w:sz w:val="18"/>
              </w:rPr>
              <w:t xml:space="preserve"> </w:t>
            </w:r>
            <w:r w:rsidRPr="00D4309F">
              <w:rPr>
                <w:color w:val="211E1F"/>
                <w:spacing w:val="-4"/>
                <w:sz w:val="18"/>
              </w:rPr>
              <w:t>users</w:t>
            </w:r>
          </w:p>
        </w:tc>
        <w:tc>
          <w:tcPr>
            <w:tcW w:w="571" w:type="pct"/>
          </w:tcPr>
          <w:p w14:paraId="68A54305" w14:textId="496FC309" w:rsidR="0019624B" w:rsidRPr="0019624B" w:rsidRDefault="0019624B" w:rsidP="0019624B">
            <w:pPr>
              <w:pStyle w:val="TableParagraph"/>
              <w:spacing w:before="41" w:line="187" w:lineRule="exact"/>
              <w:ind w:left="485"/>
              <w:rPr>
                <w:bCs/>
                <w:color w:val="211E1F"/>
                <w:spacing w:val="-10"/>
                <w:sz w:val="18"/>
              </w:rPr>
            </w:pPr>
            <w:r w:rsidRPr="0019624B">
              <w:rPr>
                <w:bCs/>
                <w:color w:val="211E1F"/>
                <w:spacing w:val="-10"/>
                <w:sz w:val="18"/>
              </w:rPr>
              <w:t>4</w:t>
            </w:r>
          </w:p>
        </w:tc>
      </w:tr>
      <w:tr w:rsidR="0019624B" w:rsidRPr="00D4309F" w14:paraId="22D6863A" w14:textId="77777777">
        <w:trPr>
          <w:trHeight w:val="247"/>
        </w:trPr>
        <w:tc>
          <w:tcPr>
            <w:tcW w:w="1002" w:type="pct"/>
            <w:vMerge/>
          </w:tcPr>
          <w:p w14:paraId="222C9358" w14:textId="77777777" w:rsidR="0019624B" w:rsidRPr="00D4309F" w:rsidRDefault="0019624B" w:rsidP="0019624B">
            <w:pPr>
              <w:pStyle w:val="TableParagraph"/>
              <w:rPr>
                <w:rFonts w:ascii="Times New Roman"/>
                <w:sz w:val="18"/>
              </w:rPr>
            </w:pPr>
          </w:p>
        </w:tc>
        <w:tc>
          <w:tcPr>
            <w:tcW w:w="3427" w:type="pct"/>
          </w:tcPr>
          <w:p w14:paraId="231D6499"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Reliable</w:t>
            </w:r>
            <w:r w:rsidRPr="00D4309F">
              <w:rPr>
                <w:color w:val="211E1F"/>
                <w:spacing w:val="-4"/>
                <w:sz w:val="18"/>
              </w:rPr>
              <w:t xml:space="preserve"> </w:t>
            </w:r>
            <w:r w:rsidRPr="00D4309F">
              <w:rPr>
                <w:color w:val="211E1F"/>
                <w:sz w:val="18"/>
              </w:rPr>
              <w:t>access</w:t>
            </w:r>
            <w:r w:rsidRPr="00D4309F">
              <w:rPr>
                <w:color w:val="211E1F"/>
                <w:spacing w:val="-3"/>
                <w:sz w:val="18"/>
              </w:rPr>
              <w:t xml:space="preserve"> </w:t>
            </w:r>
            <w:r w:rsidRPr="00D4309F">
              <w:rPr>
                <w:color w:val="211E1F"/>
                <w:sz w:val="18"/>
              </w:rPr>
              <w:t>for</w:t>
            </w:r>
            <w:r w:rsidRPr="00D4309F">
              <w:rPr>
                <w:color w:val="211E1F"/>
                <w:spacing w:val="-3"/>
                <w:sz w:val="18"/>
              </w:rPr>
              <w:t xml:space="preserve"> </w:t>
            </w:r>
            <w:r w:rsidRPr="00D4309F">
              <w:rPr>
                <w:color w:val="211E1F"/>
                <w:sz w:val="18"/>
              </w:rPr>
              <w:t>business</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recreational</w:t>
            </w:r>
            <w:r w:rsidRPr="00D4309F">
              <w:rPr>
                <w:color w:val="211E1F"/>
                <w:spacing w:val="-3"/>
                <w:sz w:val="18"/>
              </w:rPr>
              <w:t xml:space="preserve"> </w:t>
            </w:r>
            <w:r w:rsidRPr="00D4309F">
              <w:rPr>
                <w:color w:val="211E1F"/>
                <w:spacing w:val="-4"/>
                <w:sz w:val="18"/>
              </w:rPr>
              <w:t>users</w:t>
            </w:r>
          </w:p>
        </w:tc>
        <w:tc>
          <w:tcPr>
            <w:tcW w:w="571" w:type="pct"/>
          </w:tcPr>
          <w:p w14:paraId="39A8FBF4" w14:textId="31B6BA89" w:rsidR="0019624B" w:rsidRPr="0019624B" w:rsidRDefault="0019624B" w:rsidP="0019624B">
            <w:pPr>
              <w:pStyle w:val="TableParagraph"/>
              <w:spacing w:before="41" w:line="187" w:lineRule="exact"/>
              <w:ind w:left="485"/>
              <w:rPr>
                <w:bCs/>
                <w:color w:val="211E1F"/>
                <w:spacing w:val="-10"/>
                <w:sz w:val="18"/>
              </w:rPr>
            </w:pPr>
            <w:r w:rsidRPr="0019624B">
              <w:rPr>
                <w:bCs/>
                <w:color w:val="211E1F"/>
                <w:spacing w:val="-10"/>
                <w:sz w:val="18"/>
              </w:rPr>
              <w:t>5</w:t>
            </w:r>
          </w:p>
        </w:tc>
      </w:tr>
      <w:tr w:rsidR="0019624B" w:rsidRPr="00D4309F" w14:paraId="36AFE349" w14:textId="77777777">
        <w:trPr>
          <w:trHeight w:val="247"/>
        </w:trPr>
        <w:tc>
          <w:tcPr>
            <w:tcW w:w="1002" w:type="pct"/>
            <w:vMerge/>
          </w:tcPr>
          <w:p w14:paraId="1AE81698" w14:textId="77777777" w:rsidR="0019624B" w:rsidRPr="00D4309F" w:rsidRDefault="0019624B" w:rsidP="0019624B">
            <w:pPr>
              <w:pStyle w:val="TableParagraph"/>
              <w:rPr>
                <w:rFonts w:ascii="Times New Roman"/>
                <w:sz w:val="18"/>
              </w:rPr>
            </w:pPr>
          </w:p>
        </w:tc>
        <w:tc>
          <w:tcPr>
            <w:tcW w:w="3427" w:type="pct"/>
          </w:tcPr>
          <w:p w14:paraId="54B78F8C"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Broader</w:t>
            </w:r>
            <w:r w:rsidRPr="00D4309F">
              <w:rPr>
                <w:color w:val="211E1F"/>
                <w:spacing w:val="-6"/>
                <w:sz w:val="18"/>
              </w:rPr>
              <w:t xml:space="preserve"> </w:t>
            </w:r>
            <w:r w:rsidRPr="00D4309F">
              <w:rPr>
                <w:color w:val="211E1F"/>
                <w:sz w:val="18"/>
              </w:rPr>
              <w:t>economic</w:t>
            </w:r>
            <w:r w:rsidRPr="00D4309F">
              <w:rPr>
                <w:color w:val="211E1F"/>
                <w:spacing w:val="-4"/>
                <w:sz w:val="18"/>
              </w:rPr>
              <w:t xml:space="preserve"> </w:t>
            </w:r>
            <w:r w:rsidRPr="00D4309F">
              <w:rPr>
                <w:color w:val="211E1F"/>
                <w:sz w:val="18"/>
              </w:rPr>
              <w:t>considerations</w:t>
            </w:r>
            <w:r w:rsidRPr="00D4309F">
              <w:rPr>
                <w:color w:val="211E1F"/>
                <w:spacing w:val="-3"/>
                <w:sz w:val="18"/>
              </w:rPr>
              <w:t xml:space="preserve"> </w:t>
            </w:r>
            <w:r w:rsidRPr="00D4309F">
              <w:rPr>
                <w:color w:val="211E1F"/>
                <w:sz w:val="18"/>
              </w:rPr>
              <w:t>during</w:t>
            </w:r>
            <w:r w:rsidRPr="00D4309F">
              <w:rPr>
                <w:color w:val="211E1F"/>
                <w:spacing w:val="-5"/>
                <w:sz w:val="18"/>
              </w:rPr>
              <w:t xml:space="preserve"> </w:t>
            </w:r>
            <w:r w:rsidRPr="00D4309F">
              <w:rPr>
                <w:color w:val="211E1F"/>
                <w:sz w:val="18"/>
              </w:rPr>
              <w:t>construction</w:t>
            </w:r>
            <w:r w:rsidRPr="00D4309F">
              <w:rPr>
                <w:color w:val="211E1F"/>
                <w:spacing w:val="-4"/>
                <w:sz w:val="18"/>
              </w:rPr>
              <w:t xml:space="preserve"> </w:t>
            </w:r>
            <w:r w:rsidRPr="00D4309F">
              <w:rPr>
                <w:color w:val="211E1F"/>
                <w:sz w:val="18"/>
              </w:rPr>
              <w:t>and</w:t>
            </w:r>
            <w:r w:rsidRPr="00D4309F">
              <w:rPr>
                <w:color w:val="211E1F"/>
                <w:spacing w:val="-4"/>
                <w:sz w:val="18"/>
              </w:rPr>
              <w:t xml:space="preserve"> </w:t>
            </w:r>
            <w:r w:rsidRPr="00D4309F">
              <w:rPr>
                <w:color w:val="211E1F"/>
                <w:spacing w:val="-2"/>
                <w:sz w:val="18"/>
              </w:rPr>
              <w:t>operation</w:t>
            </w:r>
          </w:p>
        </w:tc>
        <w:tc>
          <w:tcPr>
            <w:tcW w:w="571" w:type="pct"/>
          </w:tcPr>
          <w:p w14:paraId="210ACEE5" w14:textId="21772DB5" w:rsidR="0019624B" w:rsidRPr="0019624B" w:rsidRDefault="0019624B" w:rsidP="0019624B">
            <w:pPr>
              <w:pStyle w:val="TableParagraph"/>
              <w:spacing w:before="41" w:line="187" w:lineRule="exact"/>
              <w:ind w:left="485"/>
              <w:rPr>
                <w:bCs/>
                <w:color w:val="211E1F"/>
                <w:spacing w:val="-10"/>
                <w:sz w:val="18"/>
              </w:rPr>
            </w:pPr>
            <w:r w:rsidRPr="0019624B">
              <w:rPr>
                <w:bCs/>
                <w:color w:val="211E1F"/>
                <w:spacing w:val="-10"/>
                <w:sz w:val="18"/>
              </w:rPr>
              <w:t>5</w:t>
            </w:r>
          </w:p>
        </w:tc>
      </w:tr>
      <w:tr w:rsidR="0019624B" w:rsidRPr="00D4309F" w14:paraId="340160BD" w14:textId="77777777">
        <w:trPr>
          <w:trHeight w:val="247"/>
        </w:trPr>
        <w:tc>
          <w:tcPr>
            <w:tcW w:w="1002" w:type="pct"/>
            <w:vMerge/>
          </w:tcPr>
          <w:p w14:paraId="14AF34EC" w14:textId="77777777" w:rsidR="0019624B" w:rsidRPr="00D4309F" w:rsidRDefault="0019624B" w:rsidP="0019624B">
            <w:pPr>
              <w:pStyle w:val="TableParagraph"/>
              <w:rPr>
                <w:rFonts w:ascii="Times New Roman"/>
                <w:sz w:val="18"/>
              </w:rPr>
            </w:pPr>
          </w:p>
        </w:tc>
        <w:tc>
          <w:tcPr>
            <w:tcW w:w="3427" w:type="pct"/>
          </w:tcPr>
          <w:p w14:paraId="208E0D90"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Environmental</w:t>
            </w:r>
            <w:r w:rsidRPr="00D4309F">
              <w:rPr>
                <w:color w:val="211E1F"/>
                <w:spacing w:val="-5"/>
                <w:sz w:val="18"/>
              </w:rPr>
              <w:t xml:space="preserve"> </w:t>
            </w:r>
            <w:r w:rsidRPr="00D4309F">
              <w:rPr>
                <w:color w:val="211E1F"/>
                <w:sz w:val="18"/>
              </w:rPr>
              <w:t>impact</w:t>
            </w:r>
            <w:r w:rsidRPr="00D4309F">
              <w:rPr>
                <w:color w:val="211E1F"/>
                <w:spacing w:val="-4"/>
                <w:sz w:val="18"/>
              </w:rPr>
              <w:t xml:space="preserve"> </w:t>
            </w:r>
            <w:r w:rsidRPr="00D4309F">
              <w:rPr>
                <w:color w:val="211E1F"/>
                <w:spacing w:val="-2"/>
                <w:sz w:val="18"/>
              </w:rPr>
              <w:t>perceptions</w:t>
            </w:r>
          </w:p>
        </w:tc>
        <w:tc>
          <w:tcPr>
            <w:tcW w:w="571" w:type="pct"/>
          </w:tcPr>
          <w:p w14:paraId="04AB2043" w14:textId="39820FE6" w:rsidR="0019624B" w:rsidRPr="0019624B" w:rsidRDefault="0019624B" w:rsidP="0019624B">
            <w:pPr>
              <w:pStyle w:val="TableParagraph"/>
              <w:spacing w:before="41" w:line="187" w:lineRule="exact"/>
              <w:ind w:left="485"/>
              <w:rPr>
                <w:bCs/>
                <w:color w:val="211E1F"/>
                <w:spacing w:val="-10"/>
                <w:sz w:val="18"/>
              </w:rPr>
            </w:pPr>
            <w:r w:rsidRPr="0019624B">
              <w:rPr>
                <w:bCs/>
                <w:color w:val="211E1F"/>
                <w:spacing w:val="-10"/>
                <w:sz w:val="18"/>
              </w:rPr>
              <w:t>1</w:t>
            </w:r>
          </w:p>
        </w:tc>
      </w:tr>
      <w:tr w:rsidR="0019624B" w:rsidRPr="00D4309F" w14:paraId="5F51CCB7" w14:textId="77777777">
        <w:trPr>
          <w:trHeight w:val="247"/>
        </w:trPr>
        <w:tc>
          <w:tcPr>
            <w:tcW w:w="1002" w:type="pct"/>
            <w:vMerge/>
          </w:tcPr>
          <w:p w14:paraId="33E9078E" w14:textId="77777777" w:rsidR="0019624B" w:rsidRPr="00D4309F" w:rsidRDefault="0019624B" w:rsidP="0019624B">
            <w:pPr>
              <w:pStyle w:val="TableParagraph"/>
              <w:rPr>
                <w:rFonts w:ascii="Times New Roman"/>
                <w:sz w:val="18"/>
              </w:rPr>
            </w:pPr>
          </w:p>
        </w:tc>
        <w:tc>
          <w:tcPr>
            <w:tcW w:w="3427" w:type="pct"/>
          </w:tcPr>
          <w:p w14:paraId="0DD3A4B6" w14:textId="77777777" w:rsidR="0019624B" w:rsidRPr="00D4309F" w:rsidRDefault="0019624B" w:rsidP="0019624B">
            <w:pPr>
              <w:pStyle w:val="TableParagraph"/>
              <w:spacing w:before="41" w:line="187" w:lineRule="exact"/>
              <w:ind w:left="165"/>
              <w:rPr>
                <w:color w:val="211E1F"/>
                <w:sz w:val="18"/>
              </w:rPr>
            </w:pPr>
          </w:p>
        </w:tc>
        <w:tc>
          <w:tcPr>
            <w:tcW w:w="571" w:type="pct"/>
          </w:tcPr>
          <w:p w14:paraId="0B629098" w14:textId="77777777" w:rsidR="0019624B" w:rsidRPr="00D4309F" w:rsidRDefault="0019624B" w:rsidP="0019624B">
            <w:pPr>
              <w:pStyle w:val="TableParagraph"/>
              <w:spacing w:before="41" w:line="187" w:lineRule="exact"/>
              <w:ind w:left="485"/>
              <w:rPr>
                <w:color w:val="211E1F"/>
                <w:spacing w:val="-10"/>
                <w:sz w:val="18"/>
              </w:rPr>
            </w:pPr>
          </w:p>
        </w:tc>
      </w:tr>
      <w:tr w:rsidR="0019624B" w:rsidRPr="00D4309F" w14:paraId="6CDF1EFB" w14:textId="77777777">
        <w:trPr>
          <w:trHeight w:val="247"/>
        </w:trPr>
        <w:tc>
          <w:tcPr>
            <w:tcW w:w="1002" w:type="pct"/>
            <w:vMerge/>
          </w:tcPr>
          <w:p w14:paraId="60277CD8" w14:textId="77777777" w:rsidR="0019624B" w:rsidRPr="00D4309F" w:rsidRDefault="0019624B" w:rsidP="0019624B">
            <w:pPr>
              <w:pStyle w:val="TableParagraph"/>
              <w:rPr>
                <w:rFonts w:ascii="Times New Roman"/>
                <w:sz w:val="18"/>
              </w:rPr>
            </w:pPr>
          </w:p>
        </w:tc>
        <w:tc>
          <w:tcPr>
            <w:tcW w:w="3427" w:type="pct"/>
          </w:tcPr>
          <w:p w14:paraId="65ED47AD" w14:textId="77777777" w:rsidR="0019624B" w:rsidRPr="00D4309F" w:rsidRDefault="0019624B" w:rsidP="0019624B">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5AE3B68D" w14:textId="5AEB51BF" w:rsidR="0019624B" w:rsidRPr="00D4309F" w:rsidRDefault="0019624B" w:rsidP="0019624B">
            <w:pPr>
              <w:pStyle w:val="TableParagraph"/>
              <w:spacing w:before="41" w:line="187" w:lineRule="exact"/>
              <w:ind w:left="485"/>
              <w:rPr>
                <w:color w:val="211E1F"/>
                <w:spacing w:val="-10"/>
                <w:sz w:val="18"/>
              </w:rPr>
            </w:pPr>
            <w:r w:rsidRPr="00D4309F">
              <w:rPr>
                <w:b/>
                <w:color w:val="211E1F"/>
                <w:spacing w:val="-5"/>
                <w:sz w:val="18"/>
              </w:rPr>
              <w:t>26</w:t>
            </w:r>
          </w:p>
        </w:tc>
      </w:tr>
      <w:tr w:rsidR="0019624B" w:rsidRPr="00D4309F" w14:paraId="697614CD" w14:textId="77777777">
        <w:trPr>
          <w:trHeight w:val="247"/>
        </w:trPr>
        <w:tc>
          <w:tcPr>
            <w:tcW w:w="1002" w:type="pct"/>
            <w:vMerge w:val="restart"/>
          </w:tcPr>
          <w:p w14:paraId="46B46244" w14:textId="77777777" w:rsidR="0019624B" w:rsidRPr="00D4309F" w:rsidRDefault="0019624B" w:rsidP="0019624B">
            <w:pPr>
              <w:pStyle w:val="TableParagraph"/>
              <w:rPr>
                <w:rFonts w:ascii="Times New Roman"/>
                <w:sz w:val="18"/>
              </w:rPr>
            </w:pPr>
            <w:r w:rsidRPr="00D4309F">
              <w:rPr>
                <w:b/>
                <w:color w:val="211E1F"/>
                <w:spacing w:val="-2"/>
                <w:sz w:val="18"/>
              </w:rPr>
              <w:t>Environmental</w:t>
            </w:r>
          </w:p>
        </w:tc>
        <w:tc>
          <w:tcPr>
            <w:tcW w:w="3427" w:type="pct"/>
          </w:tcPr>
          <w:p w14:paraId="112AB7E0"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Marine</w:t>
            </w:r>
            <w:r w:rsidRPr="00D4309F">
              <w:rPr>
                <w:color w:val="211E1F"/>
                <w:spacing w:val="-4"/>
                <w:sz w:val="18"/>
              </w:rPr>
              <w:t xml:space="preserve"> </w:t>
            </w:r>
            <w:r w:rsidRPr="00D4309F">
              <w:rPr>
                <w:color w:val="211E1F"/>
                <w:sz w:val="18"/>
              </w:rPr>
              <w:t>water</w:t>
            </w:r>
            <w:r w:rsidRPr="00D4309F">
              <w:rPr>
                <w:color w:val="211E1F"/>
                <w:spacing w:val="-3"/>
                <w:sz w:val="18"/>
              </w:rPr>
              <w:t xml:space="preserve"> </w:t>
            </w:r>
            <w:r w:rsidRPr="00D4309F">
              <w:rPr>
                <w:color w:val="211E1F"/>
                <w:sz w:val="18"/>
              </w:rPr>
              <w:t>quality</w:t>
            </w:r>
            <w:r w:rsidRPr="00D4309F">
              <w:rPr>
                <w:color w:val="211E1F"/>
                <w:spacing w:val="-3"/>
                <w:sz w:val="18"/>
              </w:rPr>
              <w:t xml:space="preserve"> </w:t>
            </w:r>
            <w:r w:rsidRPr="00D4309F">
              <w:rPr>
                <w:color w:val="211E1F"/>
                <w:spacing w:val="-2"/>
                <w:sz w:val="18"/>
              </w:rPr>
              <w:t>impacts</w:t>
            </w:r>
          </w:p>
        </w:tc>
        <w:tc>
          <w:tcPr>
            <w:tcW w:w="571" w:type="pct"/>
          </w:tcPr>
          <w:p w14:paraId="2EDCD8CE" w14:textId="2FC2B8B0" w:rsidR="0019624B" w:rsidRPr="0019624B" w:rsidRDefault="0019624B" w:rsidP="0019624B">
            <w:pPr>
              <w:pStyle w:val="TableParagraph"/>
              <w:spacing w:before="41" w:line="187" w:lineRule="exact"/>
              <w:ind w:left="485"/>
              <w:rPr>
                <w:bCs/>
                <w:color w:val="211E1F"/>
                <w:spacing w:val="-10"/>
                <w:sz w:val="18"/>
              </w:rPr>
            </w:pPr>
            <w:r w:rsidRPr="0019624B">
              <w:rPr>
                <w:bCs/>
                <w:color w:val="211E1F"/>
                <w:spacing w:val="-10"/>
                <w:sz w:val="18"/>
              </w:rPr>
              <w:t>3</w:t>
            </w:r>
          </w:p>
        </w:tc>
      </w:tr>
      <w:tr w:rsidR="0019624B" w:rsidRPr="00D4309F" w14:paraId="49D1918A" w14:textId="77777777">
        <w:trPr>
          <w:trHeight w:val="247"/>
        </w:trPr>
        <w:tc>
          <w:tcPr>
            <w:tcW w:w="1002" w:type="pct"/>
            <w:vMerge/>
          </w:tcPr>
          <w:p w14:paraId="7208DEA0" w14:textId="77777777" w:rsidR="0019624B" w:rsidRPr="00D4309F" w:rsidRDefault="0019624B" w:rsidP="0019624B">
            <w:pPr>
              <w:pStyle w:val="TableParagraph"/>
              <w:rPr>
                <w:rFonts w:ascii="Times New Roman"/>
                <w:sz w:val="18"/>
              </w:rPr>
            </w:pPr>
          </w:p>
        </w:tc>
        <w:tc>
          <w:tcPr>
            <w:tcW w:w="3427" w:type="pct"/>
          </w:tcPr>
          <w:p w14:paraId="59519E61"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Marine</w:t>
            </w:r>
            <w:r w:rsidRPr="00D4309F">
              <w:rPr>
                <w:color w:val="211E1F"/>
                <w:spacing w:val="-2"/>
                <w:sz w:val="18"/>
              </w:rPr>
              <w:t xml:space="preserve"> </w:t>
            </w:r>
            <w:r w:rsidRPr="00D4309F">
              <w:rPr>
                <w:color w:val="211E1F"/>
                <w:sz w:val="18"/>
              </w:rPr>
              <w:t>habitats</w:t>
            </w:r>
            <w:r w:rsidRPr="00D4309F">
              <w:rPr>
                <w:color w:val="211E1F"/>
                <w:spacing w:val="-3"/>
                <w:sz w:val="18"/>
              </w:rPr>
              <w:t xml:space="preserve"> </w:t>
            </w:r>
            <w:r w:rsidRPr="00D4309F">
              <w:rPr>
                <w:color w:val="211E1F"/>
                <w:sz w:val="18"/>
              </w:rPr>
              <w:t>&amp;</w:t>
            </w:r>
            <w:r w:rsidRPr="00D4309F">
              <w:rPr>
                <w:color w:val="211E1F"/>
                <w:spacing w:val="-3"/>
                <w:sz w:val="18"/>
              </w:rPr>
              <w:t xml:space="preserve"> </w:t>
            </w:r>
            <w:r w:rsidRPr="00D4309F">
              <w:rPr>
                <w:color w:val="211E1F"/>
                <w:sz w:val="18"/>
              </w:rPr>
              <w:t>protected</w:t>
            </w:r>
            <w:r w:rsidRPr="00D4309F">
              <w:rPr>
                <w:color w:val="211E1F"/>
                <w:spacing w:val="-4"/>
                <w:sz w:val="18"/>
              </w:rPr>
              <w:t xml:space="preserve"> </w:t>
            </w:r>
            <w:r w:rsidRPr="00D4309F">
              <w:rPr>
                <w:color w:val="211E1F"/>
                <w:sz w:val="18"/>
              </w:rPr>
              <w:t>species</w:t>
            </w:r>
            <w:r w:rsidRPr="00D4309F">
              <w:rPr>
                <w:color w:val="211E1F"/>
                <w:spacing w:val="-2"/>
                <w:sz w:val="18"/>
              </w:rPr>
              <w:t xml:space="preserve"> impacts</w:t>
            </w:r>
          </w:p>
        </w:tc>
        <w:tc>
          <w:tcPr>
            <w:tcW w:w="571" w:type="pct"/>
          </w:tcPr>
          <w:p w14:paraId="2B35CBA0" w14:textId="54A65072" w:rsidR="0019624B" w:rsidRPr="0019624B" w:rsidRDefault="0019624B" w:rsidP="0019624B">
            <w:pPr>
              <w:pStyle w:val="TableParagraph"/>
              <w:spacing w:before="41" w:line="187" w:lineRule="exact"/>
              <w:ind w:left="485"/>
              <w:rPr>
                <w:bCs/>
                <w:color w:val="211E1F"/>
                <w:spacing w:val="-10"/>
                <w:sz w:val="18"/>
              </w:rPr>
            </w:pPr>
            <w:r w:rsidRPr="0019624B">
              <w:rPr>
                <w:bCs/>
                <w:color w:val="211E1F"/>
                <w:spacing w:val="-10"/>
                <w:sz w:val="18"/>
              </w:rPr>
              <w:t>2</w:t>
            </w:r>
          </w:p>
        </w:tc>
      </w:tr>
      <w:tr w:rsidR="0019624B" w:rsidRPr="00D4309F" w14:paraId="3AFEAF57" w14:textId="77777777">
        <w:trPr>
          <w:trHeight w:val="247"/>
        </w:trPr>
        <w:tc>
          <w:tcPr>
            <w:tcW w:w="1002" w:type="pct"/>
            <w:vMerge/>
          </w:tcPr>
          <w:p w14:paraId="07C941DD" w14:textId="77777777" w:rsidR="0019624B" w:rsidRPr="00D4309F" w:rsidRDefault="0019624B" w:rsidP="0019624B">
            <w:pPr>
              <w:pStyle w:val="TableParagraph"/>
              <w:rPr>
                <w:rFonts w:ascii="Times New Roman"/>
                <w:sz w:val="18"/>
              </w:rPr>
            </w:pPr>
          </w:p>
        </w:tc>
        <w:tc>
          <w:tcPr>
            <w:tcW w:w="3427" w:type="pct"/>
          </w:tcPr>
          <w:p w14:paraId="4EF06FE2"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Terrestrial</w:t>
            </w:r>
            <w:r w:rsidRPr="00D4309F">
              <w:rPr>
                <w:color w:val="211E1F"/>
                <w:spacing w:val="-3"/>
                <w:sz w:val="18"/>
              </w:rPr>
              <w:t xml:space="preserve"> </w:t>
            </w:r>
            <w:r w:rsidRPr="00D4309F">
              <w:rPr>
                <w:color w:val="211E1F"/>
                <w:sz w:val="18"/>
              </w:rPr>
              <w:t>habitats</w:t>
            </w:r>
            <w:r w:rsidRPr="00D4309F">
              <w:rPr>
                <w:color w:val="211E1F"/>
                <w:spacing w:val="-3"/>
                <w:sz w:val="18"/>
              </w:rPr>
              <w:t xml:space="preserve"> </w:t>
            </w:r>
            <w:r w:rsidRPr="00D4309F">
              <w:rPr>
                <w:color w:val="211E1F"/>
                <w:sz w:val="18"/>
              </w:rPr>
              <w:t>&amp;</w:t>
            </w:r>
            <w:r w:rsidRPr="00D4309F">
              <w:rPr>
                <w:color w:val="211E1F"/>
                <w:spacing w:val="-3"/>
                <w:sz w:val="18"/>
              </w:rPr>
              <w:t xml:space="preserve"> </w:t>
            </w:r>
            <w:r w:rsidRPr="00D4309F">
              <w:rPr>
                <w:color w:val="211E1F"/>
                <w:sz w:val="18"/>
              </w:rPr>
              <w:t>protected</w:t>
            </w:r>
            <w:r w:rsidRPr="00D4309F">
              <w:rPr>
                <w:color w:val="211E1F"/>
                <w:spacing w:val="-4"/>
                <w:sz w:val="18"/>
              </w:rPr>
              <w:t xml:space="preserve"> </w:t>
            </w:r>
            <w:r w:rsidRPr="00D4309F">
              <w:rPr>
                <w:color w:val="211E1F"/>
                <w:sz w:val="18"/>
              </w:rPr>
              <w:t>species</w:t>
            </w:r>
            <w:r w:rsidRPr="00D4309F">
              <w:rPr>
                <w:color w:val="211E1F"/>
                <w:spacing w:val="-2"/>
                <w:sz w:val="18"/>
              </w:rPr>
              <w:t xml:space="preserve"> impacts</w:t>
            </w:r>
          </w:p>
        </w:tc>
        <w:tc>
          <w:tcPr>
            <w:tcW w:w="571" w:type="pct"/>
          </w:tcPr>
          <w:p w14:paraId="79011E92" w14:textId="594B4D4C" w:rsidR="0019624B" w:rsidRPr="0019624B" w:rsidRDefault="0019624B" w:rsidP="0019624B">
            <w:pPr>
              <w:pStyle w:val="TableParagraph"/>
              <w:spacing w:before="41" w:line="187" w:lineRule="exact"/>
              <w:ind w:left="485"/>
              <w:rPr>
                <w:bCs/>
                <w:color w:val="211E1F"/>
                <w:spacing w:val="-10"/>
                <w:sz w:val="18"/>
              </w:rPr>
            </w:pPr>
            <w:r w:rsidRPr="0019624B">
              <w:rPr>
                <w:bCs/>
                <w:color w:val="211E1F"/>
                <w:spacing w:val="-10"/>
                <w:sz w:val="18"/>
              </w:rPr>
              <w:t>2</w:t>
            </w:r>
          </w:p>
        </w:tc>
      </w:tr>
      <w:tr w:rsidR="0019624B" w:rsidRPr="00D4309F" w14:paraId="60D28B9B" w14:textId="77777777">
        <w:trPr>
          <w:trHeight w:val="247"/>
        </w:trPr>
        <w:tc>
          <w:tcPr>
            <w:tcW w:w="1002" w:type="pct"/>
            <w:vMerge/>
          </w:tcPr>
          <w:p w14:paraId="57997073" w14:textId="77777777" w:rsidR="0019624B" w:rsidRPr="00D4309F" w:rsidRDefault="0019624B" w:rsidP="0019624B">
            <w:pPr>
              <w:pStyle w:val="TableParagraph"/>
              <w:rPr>
                <w:rFonts w:ascii="Times New Roman"/>
                <w:sz w:val="18"/>
              </w:rPr>
            </w:pPr>
          </w:p>
        </w:tc>
        <w:tc>
          <w:tcPr>
            <w:tcW w:w="3427" w:type="pct"/>
          </w:tcPr>
          <w:p w14:paraId="347BCF6F" w14:textId="77777777" w:rsidR="0019624B" w:rsidRPr="00D4309F" w:rsidRDefault="0019624B" w:rsidP="0019624B">
            <w:pPr>
              <w:pStyle w:val="TableParagraph"/>
              <w:spacing w:before="41" w:line="187" w:lineRule="exact"/>
              <w:ind w:left="165"/>
              <w:rPr>
                <w:color w:val="211E1F"/>
                <w:sz w:val="18"/>
              </w:rPr>
            </w:pPr>
          </w:p>
        </w:tc>
        <w:tc>
          <w:tcPr>
            <w:tcW w:w="571" w:type="pct"/>
          </w:tcPr>
          <w:p w14:paraId="0CD19F22" w14:textId="77777777" w:rsidR="0019624B" w:rsidRPr="00D4309F" w:rsidRDefault="0019624B" w:rsidP="0019624B">
            <w:pPr>
              <w:pStyle w:val="TableParagraph"/>
              <w:spacing w:before="41" w:line="187" w:lineRule="exact"/>
              <w:ind w:left="485"/>
              <w:rPr>
                <w:color w:val="211E1F"/>
                <w:spacing w:val="-10"/>
                <w:sz w:val="18"/>
              </w:rPr>
            </w:pPr>
          </w:p>
        </w:tc>
      </w:tr>
      <w:tr w:rsidR="0019624B" w:rsidRPr="00D4309F" w14:paraId="6B2E08FB" w14:textId="77777777">
        <w:trPr>
          <w:trHeight w:val="247"/>
        </w:trPr>
        <w:tc>
          <w:tcPr>
            <w:tcW w:w="1002" w:type="pct"/>
            <w:vMerge/>
          </w:tcPr>
          <w:p w14:paraId="08429241" w14:textId="77777777" w:rsidR="0019624B" w:rsidRPr="00D4309F" w:rsidRDefault="0019624B" w:rsidP="0019624B">
            <w:pPr>
              <w:pStyle w:val="TableParagraph"/>
              <w:rPr>
                <w:rFonts w:ascii="Times New Roman"/>
                <w:sz w:val="18"/>
              </w:rPr>
            </w:pPr>
          </w:p>
        </w:tc>
        <w:tc>
          <w:tcPr>
            <w:tcW w:w="3427" w:type="pct"/>
          </w:tcPr>
          <w:p w14:paraId="7CF16C06" w14:textId="77777777" w:rsidR="0019624B" w:rsidRPr="00D4309F" w:rsidRDefault="0019624B" w:rsidP="0019624B">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54CA2D05" w14:textId="347999DD" w:rsidR="0019624B" w:rsidRPr="00D4309F" w:rsidRDefault="0019624B" w:rsidP="0019624B">
            <w:pPr>
              <w:pStyle w:val="TableParagraph"/>
              <w:spacing w:before="41" w:line="187" w:lineRule="exact"/>
              <w:ind w:left="485"/>
              <w:rPr>
                <w:color w:val="211E1F"/>
                <w:spacing w:val="-10"/>
                <w:sz w:val="18"/>
              </w:rPr>
            </w:pPr>
            <w:r w:rsidRPr="00D4309F">
              <w:rPr>
                <w:b/>
                <w:color w:val="211E1F"/>
                <w:spacing w:val="-10"/>
                <w:sz w:val="18"/>
              </w:rPr>
              <w:t>7</w:t>
            </w:r>
          </w:p>
        </w:tc>
      </w:tr>
      <w:tr w:rsidR="0019624B" w:rsidRPr="00D4309F" w14:paraId="3DB3B5D1" w14:textId="77777777">
        <w:trPr>
          <w:trHeight w:val="247"/>
        </w:trPr>
        <w:tc>
          <w:tcPr>
            <w:tcW w:w="1002" w:type="pct"/>
            <w:vMerge w:val="restart"/>
          </w:tcPr>
          <w:p w14:paraId="601B822A" w14:textId="77777777" w:rsidR="0019624B" w:rsidRPr="00D4309F" w:rsidRDefault="0019624B" w:rsidP="0019624B">
            <w:pPr>
              <w:pStyle w:val="TableParagraph"/>
              <w:rPr>
                <w:rFonts w:ascii="Times New Roman"/>
                <w:sz w:val="18"/>
              </w:rPr>
            </w:pPr>
            <w:r w:rsidRPr="00D4309F">
              <w:rPr>
                <w:b/>
                <w:color w:val="211E1F"/>
                <w:spacing w:val="-2"/>
                <w:sz w:val="18"/>
              </w:rPr>
              <w:lastRenderedPageBreak/>
              <w:t>Financial</w:t>
            </w:r>
          </w:p>
        </w:tc>
        <w:tc>
          <w:tcPr>
            <w:tcW w:w="3427" w:type="pct"/>
          </w:tcPr>
          <w:p w14:paraId="1A5D5E33"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Capital</w:t>
            </w:r>
            <w:r w:rsidRPr="00D4309F">
              <w:rPr>
                <w:color w:val="211E1F"/>
                <w:spacing w:val="-6"/>
                <w:sz w:val="18"/>
              </w:rPr>
              <w:t xml:space="preserve"> </w:t>
            </w:r>
            <w:r w:rsidRPr="00D4309F">
              <w:rPr>
                <w:color w:val="211E1F"/>
                <w:spacing w:val="-2"/>
                <w:sz w:val="18"/>
              </w:rPr>
              <w:t>(CAPEX),</w:t>
            </w:r>
          </w:p>
        </w:tc>
        <w:tc>
          <w:tcPr>
            <w:tcW w:w="571" w:type="pct"/>
          </w:tcPr>
          <w:p w14:paraId="0AF3954F" w14:textId="6A70BF6C" w:rsidR="0019624B" w:rsidRPr="0019624B" w:rsidRDefault="0019624B" w:rsidP="0019624B">
            <w:pPr>
              <w:pStyle w:val="TableParagraph"/>
              <w:spacing w:before="41" w:line="187" w:lineRule="exact"/>
              <w:ind w:left="485"/>
              <w:rPr>
                <w:bCs/>
                <w:color w:val="211E1F"/>
                <w:spacing w:val="-10"/>
                <w:sz w:val="18"/>
              </w:rPr>
            </w:pPr>
            <w:r w:rsidRPr="0019624B">
              <w:rPr>
                <w:bCs/>
                <w:color w:val="211E1F"/>
                <w:spacing w:val="-10"/>
                <w:sz w:val="18"/>
              </w:rPr>
              <w:t>1</w:t>
            </w:r>
          </w:p>
        </w:tc>
      </w:tr>
      <w:tr w:rsidR="0019624B" w:rsidRPr="00D4309F" w14:paraId="2B399FD6" w14:textId="77777777">
        <w:trPr>
          <w:trHeight w:val="247"/>
        </w:trPr>
        <w:tc>
          <w:tcPr>
            <w:tcW w:w="1002" w:type="pct"/>
            <w:vMerge/>
          </w:tcPr>
          <w:p w14:paraId="3252DCA8" w14:textId="77777777" w:rsidR="0019624B" w:rsidRPr="00D4309F" w:rsidRDefault="0019624B" w:rsidP="0019624B">
            <w:pPr>
              <w:pStyle w:val="TableParagraph"/>
              <w:rPr>
                <w:rFonts w:ascii="Times New Roman"/>
                <w:sz w:val="18"/>
              </w:rPr>
            </w:pPr>
          </w:p>
        </w:tc>
        <w:tc>
          <w:tcPr>
            <w:tcW w:w="3427" w:type="pct"/>
          </w:tcPr>
          <w:p w14:paraId="2FE7E8AE" w14:textId="77777777" w:rsidR="0019624B" w:rsidRPr="00D4309F" w:rsidRDefault="0019624B" w:rsidP="0019624B">
            <w:pPr>
              <w:pStyle w:val="TableParagraph"/>
              <w:spacing w:before="41" w:line="187" w:lineRule="exact"/>
              <w:ind w:left="165"/>
              <w:rPr>
                <w:color w:val="211E1F"/>
                <w:sz w:val="18"/>
              </w:rPr>
            </w:pPr>
            <w:r w:rsidRPr="00D4309F">
              <w:rPr>
                <w:color w:val="211E1F"/>
                <w:sz w:val="18"/>
              </w:rPr>
              <w:t>Operations</w:t>
            </w:r>
            <w:r w:rsidRPr="00D4309F">
              <w:rPr>
                <w:color w:val="211E1F"/>
                <w:spacing w:val="-6"/>
                <w:sz w:val="18"/>
              </w:rPr>
              <w:t xml:space="preserve"> </w:t>
            </w:r>
            <w:r w:rsidRPr="00D4309F">
              <w:rPr>
                <w:color w:val="211E1F"/>
                <w:sz w:val="18"/>
              </w:rPr>
              <w:t>and</w:t>
            </w:r>
            <w:r w:rsidRPr="00D4309F">
              <w:rPr>
                <w:color w:val="211E1F"/>
                <w:spacing w:val="-5"/>
                <w:sz w:val="18"/>
              </w:rPr>
              <w:t xml:space="preserve"> </w:t>
            </w:r>
            <w:r w:rsidRPr="00D4309F">
              <w:rPr>
                <w:color w:val="211E1F"/>
                <w:sz w:val="18"/>
              </w:rPr>
              <w:t>maintenance</w:t>
            </w:r>
            <w:r w:rsidRPr="00D4309F">
              <w:rPr>
                <w:color w:val="211E1F"/>
                <w:spacing w:val="-3"/>
                <w:sz w:val="18"/>
              </w:rPr>
              <w:t xml:space="preserve"> </w:t>
            </w:r>
            <w:r w:rsidRPr="00D4309F">
              <w:rPr>
                <w:color w:val="211E1F"/>
                <w:sz w:val="18"/>
              </w:rPr>
              <w:t>(OPEX),</w:t>
            </w:r>
            <w:r w:rsidRPr="00D4309F">
              <w:rPr>
                <w:color w:val="211E1F"/>
                <w:spacing w:val="-4"/>
                <w:sz w:val="18"/>
              </w:rPr>
              <w:t xml:space="preserve"> </w:t>
            </w:r>
            <w:r w:rsidRPr="00D4309F">
              <w:rPr>
                <w:color w:val="211E1F"/>
                <w:sz w:val="18"/>
              </w:rPr>
              <w:t>contingency,</w:t>
            </w:r>
            <w:r w:rsidRPr="00D4309F">
              <w:rPr>
                <w:color w:val="211E1F"/>
                <w:spacing w:val="-4"/>
                <w:sz w:val="18"/>
              </w:rPr>
              <w:t xml:space="preserve"> </w:t>
            </w:r>
            <w:r w:rsidRPr="00D4309F">
              <w:rPr>
                <w:color w:val="211E1F"/>
                <w:spacing w:val="-2"/>
                <w:sz w:val="18"/>
              </w:rPr>
              <w:t>monitoring.</w:t>
            </w:r>
          </w:p>
        </w:tc>
        <w:tc>
          <w:tcPr>
            <w:tcW w:w="571" w:type="pct"/>
          </w:tcPr>
          <w:p w14:paraId="6ED63845" w14:textId="15555CC0" w:rsidR="0019624B" w:rsidRPr="0019624B" w:rsidRDefault="0019624B" w:rsidP="0019624B">
            <w:pPr>
              <w:pStyle w:val="TableParagraph"/>
              <w:spacing w:before="41" w:line="187" w:lineRule="exact"/>
              <w:ind w:left="485"/>
              <w:rPr>
                <w:bCs/>
                <w:color w:val="211E1F"/>
                <w:spacing w:val="-10"/>
                <w:sz w:val="18"/>
              </w:rPr>
            </w:pPr>
            <w:r w:rsidRPr="0019624B">
              <w:rPr>
                <w:bCs/>
                <w:color w:val="211E1F"/>
                <w:spacing w:val="-10"/>
                <w:sz w:val="18"/>
              </w:rPr>
              <w:t>3</w:t>
            </w:r>
          </w:p>
        </w:tc>
      </w:tr>
      <w:tr w:rsidR="0019624B" w:rsidRPr="00D4309F" w14:paraId="50F02B38" w14:textId="77777777">
        <w:trPr>
          <w:trHeight w:val="247"/>
        </w:trPr>
        <w:tc>
          <w:tcPr>
            <w:tcW w:w="1002" w:type="pct"/>
            <w:vMerge/>
          </w:tcPr>
          <w:p w14:paraId="5CB59674" w14:textId="77777777" w:rsidR="0019624B" w:rsidRPr="00D4309F" w:rsidRDefault="0019624B" w:rsidP="0019624B">
            <w:pPr>
              <w:pStyle w:val="TableParagraph"/>
              <w:rPr>
                <w:rFonts w:ascii="Times New Roman"/>
                <w:sz w:val="18"/>
              </w:rPr>
            </w:pPr>
          </w:p>
        </w:tc>
        <w:tc>
          <w:tcPr>
            <w:tcW w:w="3427" w:type="pct"/>
          </w:tcPr>
          <w:p w14:paraId="3D59C572" w14:textId="77777777" w:rsidR="0019624B" w:rsidRPr="00D4309F" w:rsidRDefault="0019624B" w:rsidP="0019624B">
            <w:pPr>
              <w:pStyle w:val="TableParagraph"/>
              <w:spacing w:before="41" w:line="187" w:lineRule="exact"/>
              <w:ind w:left="165"/>
              <w:rPr>
                <w:color w:val="211E1F"/>
                <w:sz w:val="18"/>
              </w:rPr>
            </w:pPr>
          </w:p>
        </w:tc>
        <w:tc>
          <w:tcPr>
            <w:tcW w:w="571" w:type="pct"/>
          </w:tcPr>
          <w:p w14:paraId="37F87012" w14:textId="77777777" w:rsidR="0019624B" w:rsidRPr="00D4309F" w:rsidRDefault="0019624B" w:rsidP="0019624B">
            <w:pPr>
              <w:pStyle w:val="TableParagraph"/>
              <w:spacing w:before="41" w:line="187" w:lineRule="exact"/>
              <w:ind w:left="485"/>
              <w:rPr>
                <w:color w:val="211E1F"/>
                <w:spacing w:val="-10"/>
                <w:sz w:val="18"/>
              </w:rPr>
            </w:pPr>
          </w:p>
        </w:tc>
      </w:tr>
      <w:tr w:rsidR="0019624B" w:rsidRPr="00D4309F" w14:paraId="437FF964" w14:textId="77777777">
        <w:trPr>
          <w:trHeight w:val="247"/>
        </w:trPr>
        <w:tc>
          <w:tcPr>
            <w:tcW w:w="1002" w:type="pct"/>
            <w:vMerge/>
          </w:tcPr>
          <w:p w14:paraId="28B6E487" w14:textId="77777777" w:rsidR="0019624B" w:rsidRPr="00D4309F" w:rsidRDefault="0019624B" w:rsidP="0019624B">
            <w:pPr>
              <w:pStyle w:val="TableParagraph"/>
              <w:rPr>
                <w:b/>
                <w:color w:val="211E1F"/>
                <w:spacing w:val="-2"/>
                <w:sz w:val="18"/>
              </w:rPr>
            </w:pPr>
          </w:p>
        </w:tc>
        <w:tc>
          <w:tcPr>
            <w:tcW w:w="3427" w:type="pct"/>
          </w:tcPr>
          <w:p w14:paraId="0B69D913" w14:textId="77777777" w:rsidR="0019624B" w:rsidRPr="00D4309F" w:rsidRDefault="0019624B" w:rsidP="0019624B">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76B9730F" w14:textId="090B1663" w:rsidR="0019624B" w:rsidRPr="00D4309F" w:rsidRDefault="0019624B" w:rsidP="0019624B">
            <w:pPr>
              <w:pStyle w:val="TableParagraph"/>
              <w:spacing w:before="41" w:line="187" w:lineRule="exact"/>
              <w:ind w:left="485"/>
              <w:rPr>
                <w:color w:val="211E1F"/>
                <w:spacing w:val="-10"/>
                <w:sz w:val="18"/>
              </w:rPr>
            </w:pPr>
            <w:r w:rsidRPr="00D4309F">
              <w:rPr>
                <w:b/>
                <w:color w:val="211E1F"/>
                <w:spacing w:val="-10"/>
                <w:sz w:val="18"/>
              </w:rPr>
              <w:t>4</w:t>
            </w:r>
          </w:p>
        </w:tc>
      </w:tr>
      <w:tr w:rsidR="0019624B" w:rsidRPr="00D4309F" w14:paraId="004AA623" w14:textId="77777777" w:rsidTr="00213A04">
        <w:trPr>
          <w:trHeight w:val="247"/>
        </w:trPr>
        <w:tc>
          <w:tcPr>
            <w:tcW w:w="1002" w:type="pct"/>
            <w:shd w:val="clear" w:color="auto" w:fill="D9D9D9" w:themeFill="background1" w:themeFillShade="D9"/>
          </w:tcPr>
          <w:p w14:paraId="1F8F3D62" w14:textId="77777777" w:rsidR="0019624B" w:rsidRPr="00D4309F" w:rsidRDefault="0019624B" w:rsidP="0019624B">
            <w:pPr>
              <w:pStyle w:val="TableParagraph"/>
              <w:rPr>
                <w:b/>
                <w:color w:val="211E1F"/>
                <w:spacing w:val="-2"/>
                <w:sz w:val="18"/>
              </w:rPr>
            </w:pPr>
            <w:r w:rsidRPr="00D4309F">
              <w:rPr>
                <w:b/>
                <w:color w:val="70004A"/>
                <w:sz w:val="18"/>
              </w:rPr>
              <w:t>Total</w:t>
            </w:r>
            <w:r w:rsidRPr="00D4309F">
              <w:rPr>
                <w:b/>
                <w:color w:val="70004A"/>
                <w:spacing w:val="-3"/>
                <w:sz w:val="18"/>
              </w:rPr>
              <w:t xml:space="preserve"> </w:t>
            </w:r>
            <w:r w:rsidRPr="00D4309F">
              <w:rPr>
                <w:b/>
                <w:color w:val="70004A"/>
                <w:spacing w:val="-2"/>
                <w:sz w:val="18"/>
              </w:rPr>
              <w:t>Score</w:t>
            </w:r>
          </w:p>
        </w:tc>
        <w:tc>
          <w:tcPr>
            <w:tcW w:w="3427" w:type="pct"/>
            <w:shd w:val="clear" w:color="auto" w:fill="D9D9D9" w:themeFill="background1" w:themeFillShade="D9"/>
          </w:tcPr>
          <w:p w14:paraId="55329A17" w14:textId="77777777" w:rsidR="0019624B" w:rsidRPr="00D4309F" w:rsidRDefault="0019624B" w:rsidP="0019624B">
            <w:pPr>
              <w:pStyle w:val="TableParagraph"/>
              <w:spacing w:before="41" w:line="187" w:lineRule="exact"/>
              <w:ind w:left="165"/>
              <w:rPr>
                <w:color w:val="211E1F"/>
                <w:sz w:val="18"/>
              </w:rPr>
            </w:pPr>
          </w:p>
        </w:tc>
        <w:tc>
          <w:tcPr>
            <w:tcW w:w="571" w:type="pct"/>
            <w:shd w:val="clear" w:color="auto" w:fill="D9D9D9" w:themeFill="background1" w:themeFillShade="D9"/>
          </w:tcPr>
          <w:p w14:paraId="114E34C2" w14:textId="3FD0CFEB" w:rsidR="0019624B" w:rsidRPr="00D4309F" w:rsidRDefault="0019624B" w:rsidP="0019624B">
            <w:pPr>
              <w:pStyle w:val="TableParagraph"/>
              <w:spacing w:before="41" w:line="187" w:lineRule="exact"/>
              <w:ind w:left="485"/>
              <w:rPr>
                <w:color w:val="211E1F"/>
                <w:spacing w:val="-10"/>
                <w:sz w:val="18"/>
              </w:rPr>
            </w:pPr>
            <w:r w:rsidRPr="00D4309F">
              <w:rPr>
                <w:b/>
                <w:color w:val="70004A"/>
                <w:spacing w:val="-5"/>
                <w:sz w:val="18"/>
              </w:rPr>
              <w:t>74</w:t>
            </w:r>
          </w:p>
        </w:tc>
      </w:tr>
    </w:tbl>
    <w:p w14:paraId="3CAE2BCA" w14:textId="77777777" w:rsidR="00725977" w:rsidRPr="00D4309F" w:rsidRDefault="00725977" w:rsidP="00725977">
      <w:pPr>
        <w:pStyle w:val="TableParagraph"/>
        <w:rPr>
          <w:b/>
          <w:sz w:val="18"/>
        </w:rPr>
        <w:sectPr w:rsidR="00725977" w:rsidRPr="00D4309F" w:rsidSect="00405D4F">
          <w:pgSz w:w="16840" w:h="11910" w:orient="landscape"/>
          <w:pgMar w:top="1418" w:right="1134" w:bottom="1418" w:left="1134" w:header="0" w:footer="0" w:gutter="0"/>
          <w:cols w:space="720"/>
        </w:sectPr>
      </w:pPr>
    </w:p>
    <w:p w14:paraId="00D2A679" w14:textId="77777777" w:rsidR="00725977" w:rsidRPr="00D4309F" w:rsidRDefault="00725977" w:rsidP="00045159">
      <w:pPr>
        <w:pStyle w:val="Heading1"/>
      </w:pPr>
      <w:bookmarkStart w:id="468" w:name="_bookmark169"/>
      <w:bookmarkStart w:id="469" w:name="_Toc216699480"/>
      <w:bookmarkEnd w:id="468"/>
      <w:r w:rsidRPr="00D4309F">
        <w:lastRenderedPageBreak/>
        <w:t>OPTION 4 – PERMANENT AUTOMATED SAND BYPASSING</w:t>
      </w:r>
      <w:r w:rsidRPr="00D4309F">
        <w:rPr>
          <w:spacing w:val="-6"/>
        </w:rPr>
        <w:t xml:space="preserve"> </w:t>
      </w:r>
      <w:r w:rsidRPr="00D4309F">
        <w:t>SYSTEM</w:t>
      </w:r>
      <w:r w:rsidRPr="00D4309F">
        <w:rPr>
          <w:spacing w:val="-7"/>
        </w:rPr>
        <w:t xml:space="preserve"> </w:t>
      </w:r>
      <w:r w:rsidRPr="00D4309F">
        <w:t>AT</w:t>
      </w:r>
      <w:r w:rsidRPr="00D4309F">
        <w:rPr>
          <w:spacing w:val="-6"/>
        </w:rPr>
        <w:t xml:space="preserve"> </w:t>
      </w:r>
      <w:r w:rsidRPr="00D4309F">
        <w:t>HEADLAND</w:t>
      </w:r>
      <w:r w:rsidRPr="00D4309F">
        <w:rPr>
          <w:spacing w:val="-7"/>
        </w:rPr>
        <w:t xml:space="preserve"> </w:t>
      </w:r>
      <w:r w:rsidRPr="00D4309F">
        <w:t>SAND</w:t>
      </w:r>
      <w:r w:rsidRPr="00D4309F">
        <w:rPr>
          <w:spacing w:val="-7"/>
        </w:rPr>
        <w:t xml:space="preserve"> </w:t>
      </w:r>
      <w:r w:rsidRPr="00D4309F">
        <w:t>TRAP</w:t>
      </w:r>
      <w:bookmarkEnd w:id="469"/>
    </w:p>
    <w:p w14:paraId="2C492B60" w14:textId="77777777" w:rsidR="00725977" w:rsidRPr="00D4309F" w:rsidRDefault="00725977" w:rsidP="00045159">
      <w:pPr>
        <w:pStyle w:val="Heading2"/>
      </w:pPr>
      <w:bookmarkStart w:id="470" w:name="_bookmark170"/>
      <w:bookmarkStart w:id="471" w:name="_Toc216699481"/>
      <w:bookmarkEnd w:id="470"/>
      <w:r w:rsidRPr="00D4309F">
        <w:t>Option</w:t>
      </w:r>
      <w:r w:rsidRPr="00D4309F">
        <w:rPr>
          <w:spacing w:val="-13"/>
        </w:rPr>
        <w:t xml:space="preserve"> </w:t>
      </w:r>
      <w:r w:rsidRPr="00D4309F">
        <w:t>description</w:t>
      </w:r>
      <w:bookmarkEnd w:id="471"/>
    </w:p>
    <w:p w14:paraId="0E11DD4B" w14:textId="77777777" w:rsidR="00725977" w:rsidRPr="00D4309F" w:rsidRDefault="00725977" w:rsidP="00725977">
      <w:pPr>
        <w:pStyle w:val="BodyText"/>
      </w:pPr>
      <w:r w:rsidRPr="00D4309F">
        <w:t>Option 4 proposes the installation of a permanent, fully automated sand-bypassing system at Point Cartwright headland located adjacent to the northern breakwater of the Mooloolah River entrance. The concept</w:t>
      </w:r>
      <w:r w:rsidRPr="00D4309F">
        <w:rPr>
          <w:spacing w:val="-2"/>
        </w:rPr>
        <w:t xml:space="preserve"> </w:t>
      </w:r>
      <w:r w:rsidRPr="00D4309F">
        <w:t>involves</w:t>
      </w:r>
      <w:r w:rsidRPr="00D4309F">
        <w:rPr>
          <w:spacing w:val="-1"/>
        </w:rPr>
        <w:t xml:space="preserve"> </w:t>
      </w:r>
      <w:r w:rsidRPr="00D4309F">
        <w:t>excavating</w:t>
      </w:r>
      <w:r w:rsidRPr="00D4309F">
        <w:rPr>
          <w:spacing w:val="-2"/>
        </w:rPr>
        <w:t xml:space="preserve"> </w:t>
      </w:r>
      <w:r w:rsidRPr="00D4309F">
        <w:t>sections</w:t>
      </w:r>
      <w:r w:rsidRPr="00D4309F">
        <w:rPr>
          <w:spacing w:val="-1"/>
        </w:rPr>
        <w:t xml:space="preserve"> </w:t>
      </w:r>
      <w:r w:rsidRPr="00D4309F">
        <w:t>of</w:t>
      </w:r>
      <w:r w:rsidRPr="00D4309F">
        <w:rPr>
          <w:spacing w:val="-2"/>
        </w:rPr>
        <w:t xml:space="preserve"> </w:t>
      </w:r>
      <w:r w:rsidRPr="00D4309F">
        <w:t>the</w:t>
      </w:r>
      <w:r w:rsidRPr="00D4309F">
        <w:rPr>
          <w:spacing w:val="-2"/>
        </w:rPr>
        <w:t xml:space="preserve"> </w:t>
      </w:r>
      <w:r w:rsidRPr="00D4309F">
        <w:t>existing</w:t>
      </w:r>
      <w:r w:rsidRPr="00D4309F">
        <w:rPr>
          <w:spacing w:val="-2"/>
        </w:rPr>
        <w:t xml:space="preserve"> </w:t>
      </w:r>
      <w:r w:rsidRPr="00D4309F">
        <w:t>rock</w:t>
      </w:r>
      <w:r w:rsidRPr="00D4309F">
        <w:rPr>
          <w:spacing w:val="-1"/>
        </w:rPr>
        <w:t xml:space="preserve"> </w:t>
      </w:r>
      <w:r w:rsidRPr="00D4309F">
        <w:t>shelf</w:t>
      </w:r>
      <w:r w:rsidRPr="00D4309F">
        <w:rPr>
          <w:spacing w:val="-2"/>
        </w:rPr>
        <w:t xml:space="preserve"> </w:t>
      </w:r>
      <w:r w:rsidRPr="00D4309F">
        <w:t>on</w:t>
      </w:r>
      <w:r w:rsidRPr="00D4309F">
        <w:rPr>
          <w:spacing w:val="-2"/>
        </w:rPr>
        <w:t xml:space="preserve"> </w:t>
      </w:r>
      <w:r w:rsidRPr="00D4309F">
        <w:t>the</w:t>
      </w:r>
      <w:r w:rsidRPr="00D4309F">
        <w:rPr>
          <w:spacing w:val="-2"/>
        </w:rPr>
        <w:t xml:space="preserve"> </w:t>
      </w:r>
      <w:r w:rsidRPr="00D4309F">
        <w:t>seaward</w:t>
      </w:r>
      <w:r w:rsidRPr="00D4309F">
        <w:rPr>
          <w:spacing w:val="-3"/>
        </w:rPr>
        <w:t xml:space="preserve"> </w:t>
      </w:r>
      <w:r w:rsidRPr="00D4309F">
        <w:t>side</w:t>
      </w:r>
      <w:r w:rsidRPr="00D4309F">
        <w:rPr>
          <w:spacing w:val="-2"/>
        </w:rPr>
        <w:t xml:space="preserve"> </w:t>
      </w:r>
      <w:r w:rsidRPr="00D4309F">
        <w:t>of</w:t>
      </w:r>
      <w:r w:rsidRPr="00D4309F">
        <w:rPr>
          <w:spacing w:val="-2"/>
        </w:rPr>
        <w:t xml:space="preserve"> </w:t>
      </w:r>
      <w:r w:rsidRPr="00D4309F">
        <w:t>the</w:t>
      </w:r>
      <w:r w:rsidRPr="00D4309F">
        <w:rPr>
          <w:spacing w:val="-2"/>
        </w:rPr>
        <w:t xml:space="preserve"> </w:t>
      </w:r>
      <w:r w:rsidRPr="00D4309F">
        <w:t>headland</w:t>
      </w:r>
      <w:r w:rsidRPr="00D4309F">
        <w:rPr>
          <w:spacing w:val="-2"/>
        </w:rPr>
        <w:t xml:space="preserve"> </w:t>
      </w:r>
      <w:r w:rsidRPr="00D4309F">
        <w:t>to</w:t>
      </w:r>
      <w:r w:rsidRPr="00D4309F">
        <w:rPr>
          <w:spacing w:val="-2"/>
        </w:rPr>
        <w:t xml:space="preserve"> </w:t>
      </w:r>
      <w:r w:rsidRPr="00D4309F">
        <w:t>form</w:t>
      </w:r>
      <w:r w:rsidRPr="00D4309F">
        <w:rPr>
          <w:spacing w:val="-3"/>
        </w:rPr>
        <w:t xml:space="preserve"> </w:t>
      </w:r>
      <w:r w:rsidRPr="00D4309F">
        <w:t>a purpose-built sand trap (Area A) that captures sand transported northward along Buddina Beach before it enters the entrance channel. Sand accumulated within this trap would then be automatically pumped via a permanent pipeline system beneath the river entrance to designated discharge outlets along Mooloolaba Main Beach (Area B).</w:t>
      </w:r>
    </w:p>
    <w:p w14:paraId="6DD4A418" w14:textId="77777777" w:rsidR="00D0668F" w:rsidRPr="00D4309F" w:rsidRDefault="00725977" w:rsidP="00D0668F">
      <w:pPr>
        <w:pStyle w:val="BodyText"/>
      </w:pPr>
      <w:r w:rsidRPr="00D4309F">
        <w:t>This system would provide a continuous and self-regulating sediment transfer mechanism, effectively replicating the natural littoral drift that currently delivers sand into the entrance and causes shoaling. By mechanically</w:t>
      </w:r>
      <w:r w:rsidRPr="00D4309F">
        <w:rPr>
          <w:spacing w:val="-1"/>
        </w:rPr>
        <w:t xml:space="preserve"> </w:t>
      </w:r>
      <w:r w:rsidRPr="00D4309F">
        <w:t>diverting</w:t>
      </w:r>
      <w:r w:rsidRPr="00D4309F">
        <w:rPr>
          <w:spacing w:val="-2"/>
        </w:rPr>
        <w:t xml:space="preserve"> </w:t>
      </w:r>
      <w:r w:rsidRPr="00D4309F">
        <w:t>the</w:t>
      </w:r>
      <w:r w:rsidRPr="00D4309F">
        <w:rPr>
          <w:spacing w:val="-3"/>
        </w:rPr>
        <w:t xml:space="preserve"> </w:t>
      </w:r>
      <w:r w:rsidRPr="00D4309F">
        <w:t>sand</w:t>
      </w:r>
      <w:r w:rsidRPr="00D4309F">
        <w:rPr>
          <w:spacing w:val="-2"/>
        </w:rPr>
        <w:t xml:space="preserve"> </w:t>
      </w:r>
      <w:r w:rsidRPr="00D4309F">
        <w:t>around</w:t>
      </w:r>
      <w:r w:rsidRPr="00D4309F">
        <w:rPr>
          <w:spacing w:val="-2"/>
        </w:rPr>
        <w:t xml:space="preserve"> </w:t>
      </w:r>
      <w:r w:rsidRPr="00D4309F">
        <w:t>the</w:t>
      </w:r>
      <w:r w:rsidRPr="00D4309F">
        <w:rPr>
          <w:spacing w:val="-2"/>
        </w:rPr>
        <w:t xml:space="preserve"> </w:t>
      </w:r>
      <w:r w:rsidRPr="00D4309F">
        <w:t>entrance</w:t>
      </w:r>
      <w:r w:rsidRPr="00D4309F">
        <w:rPr>
          <w:spacing w:val="-2"/>
        </w:rPr>
        <w:t xml:space="preserve"> </w:t>
      </w:r>
      <w:r w:rsidRPr="00D4309F">
        <w:t>in</w:t>
      </w:r>
      <w:r w:rsidRPr="00D4309F">
        <w:rPr>
          <w:spacing w:val="-2"/>
        </w:rPr>
        <w:t xml:space="preserve"> </w:t>
      </w:r>
      <w:r w:rsidRPr="00D4309F">
        <w:t>real</w:t>
      </w:r>
      <w:r w:rsidRPr="00D4309F">
        <w:rPr>
          <w:spacing w:val="-2"/>
        </w:rPr>
        <w:t xml:space="preserve"> </w:t>
      </w:r>
      <w:r w:rsidRPr="00D4309F">
        <w:t>time,</w:t>
      </w:r>
      <w:r w:rsidRPr="00D4309F">
        <w:rPr>
          <w:spacing w:val="-2"/>
        </w:rPr>
        <w:t xml:space="preserve"> </w:t>
      </w:r>
      <w:r w:rsidRPr="00D4309F">
        <w:t>the</w:t>
      </w:r>
      <w:r w:rsidRPr="00D4309F">
        <w:rPr>
          <w:spacing w:val="-2"/>
        </w:rPr>
        <w:t xml:space="preserve"> </w:t>
      </w:r>
      <w:r w:rsidRPr="00D4309F">
        <w:t>bypass</w:t>
      </w:r>
      <w:r w:rsidRPr="00D4309F">
        <w:rPr>
          <w:spacing w:val="-1"/>
        </w:rPr>
        <w:t xml:space="preserve"> </w:t>
      </w:r>
      <w:r w:rsidRPr="00D4309F">
        <w:t>system</w:t>
      </w:r>
      <w:r w:rsidRPr="00D4309F">
        <w:rPr>
          <w:spacing w:val="-2"/>
        </w:rPr>
        <w:t xml:space="preserve"> </w:t>
      </w:r>
      <w:r w:rsidRPr="00D4309F">
        <w:t>would</w:t>
      </w:r>
      <w:r w:rsidRPr="00D4309F">
        <w:rPr>
          <w:spacing w:val="-2"/>
        </w:rPr>
        <w:t xml:space="preserve"> </w:t>
      </w:r>
      <w:r w:rsidRPr="00D4309F">
        <w:t>disrupt</w:t>
      </w:r>
      <w:r w:rsidRPr="00D4309F">
        <w:rPr>
          <w:spacing w:val="-2"/>
        </w:rPr>
        <w:t xml:space="preserve"> </w:t>
      </w:r>
      <w:r w:rsidRPr="00D4309F">
        <w:t>the</w:t>
      </w:r>
      <w:r w:rsidRPr="00D4309F">
        <w:rPr>
          <w:spacing w:val="-2"/>
        </w:rPr>
        <w:t xml:space="preserve"> </w:t>
      </w:r>
      <w:r w:rsidRPr="00D4309F">
        <w:t>sand supply to the shoal, maintaining navigable depths and significantly reducing the frequency and volume of maintenance dredging. The design incorporates a shore-based pump station located near the northern breakwater, connected to a fixed jetty over the sand-trap zone for maintenance access and intake operations, and a submerged discharge pipeline terminating at multiple outlets along Mooloolaba Beach.</w:t>
      </w:r>
      <w:r w:rsidR="00D0668F">
        <w:t xml:space="preserve"> </w:t>
      </w:r>
      <w:r w:rsidR="00D0668F" w:rsidRPr="00D4309F">
        <w:t>This</w:t>
      </w:r>
      <w:r w:rsidR="00D0668F" w:rsidRPr="00D4309F">
        <w:rPr>
          <w:spacing w:val="-3"/>
        </w:rPr>
        <w:t xml:space="preserve"> </w:t>
      </w:r>
      <w:r w:rsidR="00D0668F" w:rsidRPr="00D4309F">
        <w:t>configuration</w:t>
      </w:r>
      <w:r w:rsidR="00D0668F" w:rsidRPr="00D4309F">
        <w:rPr>
          <w:spacing w:val="-3"/>
        </w:rPr>
        <w:t xml:space="preserve"> </w:t>
      </w:r>
      <w:r w:rsidR="00D0668F" w:rsidRPr="00D4309F">
        <w:t>offers</w:t>
      </w:r>
      <w:r w:rsidR="00D0668F" w:rsidRPr="00D4309F">
        <w:rPr>
          <w:spacing w:val="-2"/>
        </w:rPr>
        <w:t xml:space="preserve"> </w:t>
      </w:r>
      <w:r w:rsidR="00D0668F" w:rsidRPr="00D4309F">
        <w:t>a</w:t>
      </w:r>
      <w:r w:rsidR="00D0668F" w:rsidRPr="00D4309F">
        <w:rPr>
          <w:spacing w:val="-4"/>
        </w:rPr>
        <w:t xml:space="preserve"> </w:t>
      </w:r>
      <w:r w:rsidR="00D0668F" w:rsidRPr="00D4309F">
        <w:t>long-term,</w:t>
      </w:r>
      <w:r w:rsidR="00D0668F" w:rsidRPr="00D4309F">
        <w:rPr>
          <w:spacing w:val="-3"/>
        </w:rPr>
        <w:t xml:space="preserve"> </w:t>
      </w:r>
      <w:r w:rsidR="00D0668F" w:rsidRPr="00D4309F">
        <w:t>high-reliability</w:t>
      </w:r>
      <w:r w:rsidR="00D0668F" w:rsidRPr="00D4309F">
        <w:rPr>
          <w:spacing w:val="-3"/>
        </w:rPr>
        <w:t xml:space="preserve"> </w:t>
      </w:r>
      <w:r w:rsidR="00D0668F" w:rsidRPr="00D4309F">
        <w:t>solution</w:t>
      </w:r>
      <w:r w:rsidR="00D0668F" w:rsidRPr="00D4309F">
        <w:rPr>
          <w:spacing w:val="-3"/>
        </w:rPr>
        <w:t xml:space="preserve"> </w:t>
      </w:r>
      <w:r w:rsidR="00D0668F" w:rsidRPr="00D4309F">
        <w:t>that</w:t>
      </w:r>
      <w:r w:rsidR="00D0668F" w:rsidRPr="00D4309F">
        <w:rPr>
          <w:spacing w:val="-3"/>
        </w:rPr>
        <w:t xml:space="preserve"> </w:t>
      </w:r>
      <w:r w:rsidR="00D0668F" w:rsidRPr="00D4309F">
        <w:t>provides</w:t>
      </w:r>
      <w:r w:rsidR="00D0668F" w:rsidRPr="00D4309F">
        <w:rPr>
          <w:spacing w:val="-2"/>
        </w:rPr>
        <w:t xml:space="preserve"> </w:t>
      </w:r>
      <w:r w:rsidR="00D0668F" w:rsidRPr="00D4309F">
        <w:t>continuous</w:t>
      </w:r>
      <w:r w:rsidR="00D0668F" w:rsidRPr="00D4309F">
        <w:rPr>
          <w:spacing w:val="-3"/>
        </w:rPr>
        <w:t xml:space="preserve"> </w:t>
      </w:r>
      <w:r w:rsidR="00D0668F" w:rsidRPr="00D4309F">
        <w:t>sand</w:t>
      </w:r>
      <w:r w:rsidR="00D0668F" w:rsidRPr="00D4309F">
        <w:rPr>
          <w:spacing w:val="-3"/>
        </w:rPr>
        <w:t xml:space="preserve"> </w:t>
      </w:r>
      <w:r w:rsidR="00D0668F" w:rsidRPr="00D4309F">
        <w:t>management</w:t>
      </w:r>
      <w:r w:rsidR="00D0668F" w:rsidRPr="00D4309F">
        <w:rPr>
          <w:spacing w:val="-3"/>
        </w:rPr>
        <w:t xml:space="preserve"> </w:t>
      </w:r>
      <w:r w:rsidR="00D0668F" w:rsidRPr="00D4309F">
        <w:t>and improved navigational safety, while maintaining sediment balance within the broader coastal system.</w:t>
      </w:r>
    </w:p>
    <w:p w14:paraId="5E6335F0" w14:textId="11A82821" w:rsidR="00725977" w:rsidRPr="00D4309F" w:rsidRDefault="00725977" w:rsidP="00725977">
      <w:pPr>
        <w:pStyle w:val="BodyText"/>
      </w:pPr>
    </w:p>
    <w:p w14:paraId="4615EFE2" w14:textId="411068BF" w:rsidR="00230278" w:rsidRPr="00D4309F" w:rsidRDefault="00725977" w:rsidP="001C329B">
      <w:pPr>
        <w:pStyle w:val="BodyText"/>
        <w:jc w:val="center"/>
      </w:pPr>
      <w:r w:rsidRPr="00D4309F">
        <w:rPr>
          <w:noProof/>
        </w:rPr>
        <w:drawing>
          <wp:inline distT="0" distB="0" distL="0" distR="0" wp14:anchorId="16CF2E3D" wp14:editId="7E48CF9D">
            <wp:extent cx="6120128" cy="4195160"/>
            <wp:effectExtent l="0" t="0" r="0" b="0"/>
            <wp:docPr id="322" name="Image 322" descr="Arial image of Point Cartwright and the Mooloolaba Boat Harbour Entrance. Map overlay shows where sand is trapped and pumped when required, near the boat hrabour entrance. It also shows a pump station an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descr="Arial image of Point Cartwright and the Mooloolaba Boat Harbour Entrance. Map overlay shows where sand is trapped and pumped when required, near the boat hrabour entrance. It also shows a pump station and "/>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120128" cy="4195160"/>
                    </a:xfrm>
                    <a:prstGeom prst="rect">
                      <a:avLst/>
                    </a:prstGeom>
                  </pic:spPr>
                </pic:pic>
              </a:graphicData>
            </a:graphic>
          </wp:inline>
        </w:drawing>
      </w:r>
    </w:p>
    <w:p w14:paraId="64B4182F" w14:textId="7AD29B01" w:rsidR="00725977" w:rsidRPr="00D4309F" w:rsidRDefault="00B538D4" w:rsidP="001C329B">
      <w:pPr>
        <w:pStyle w:val="Caption"/>
      </w:pPr>
      <w:bookmarkStart w:id="472" w:name="_bookmark171"/>
      <w:bookmarkStart w:id="473" w:name="_Toc216699630"/>
      <w:bookmarkEnd w:id="472"/>
      <w:r>
        <w:t xml:space="preserve">Figure </w:t>
      </w:r>
      <w:r>
        <w:fldChar w:fldCharType="begin" w:fldLock="1"/>
      </w:r>
      <w:r>
        <w:instrText xml:space="preserve"> STYLEREF 1 \s </w:instrText>
      </w:r>
      <w:r>
        <w:fldChar w:fldCharType="separate"/>
      </w:r>
      <w:r>
        <w:rPr>
          <w:noProof/>
        </w:rPr>
        <w:t>16</w:t>
      </w:r>
      <w:r>
        <w:fldChar w:fldCharType="end"/>
      </w:r>
      <w:r>
        <w:noBreakHyphen/>
      </w:r>
      <w:r>
        <w:fldChar w:fldCharType="begin"/>
      </w:r>
      <w:r>
        <w:instrText xml:space="preserve"> SEQ Figure \* ARABIC \s 1 </w:instrText>
      </w:r>
      <w:r>
        <w:fldChar w:fldCharType="separate"/>
      </w:r>
      <w:r w:rsidR="006D0876">
        <w:rPr>
          <w:noProof/>
        </w:rPr>
        <w:t>1</w:t>
      </w:r>
      <w:r>
        <w:fldChar w:fldCharType="end"/>
      </w:r>
      <w:r>
        <w:t>:</w:t>
      </w:r>
      <w:r>
        <w:tab/>
      </w:r>
      <w:r w:rsidRPr="00D4309F">
        <w:rPr>
          <w:color w:val="211E1F"/>
        </w:rPr>
        <w:t>Option</w:t>
      </w:r>
      <w:r w:rsidRPr="00D4309F">
        <w:rPr>
          <w:color w:val="211E1F"/>
          <w:spacing w:val="-2"/>
        </w:rPr>
        <w:t xml:space="preserve"> </w:t>
      </w:r>
      <w:r w:rsidRPr="00D4309F">
        <w:rPr>
          <w:color w:val="211E1F"/>
        </w:rPr>
        <w:t>4</w:t>
      </w:r>
      <w:r w:rsidRPr="00D4309F">
        <w:rPr>
          <w:color w:val="211E1F"/>
          <w:spacing w:val="-2"/>
        </w:rPr>
        <w:t xml:space="preserve"> </w:t>
      </w:r>
      <w:r w:rsidRPr="00D4309F">
        <w:rPr>
          <w:color w:val="211E1F"/>
        </w:rPr>
        <w:t>–</w:t>
      </w:r>
      <w:r w:rsidRPr="00D4309F">
        <w:rPr>
          <w:color w:val="211E1F"/>
          <w:spacing w:val="-3"/>
        </w:rPr>
        <w:t xml:space="preserve"> </w:t>
      </w:r>
      <w:r w:rsidRPr="00D4309F">
        <w:rPr>
          <w:color w:val="211E1F"/>
        </w:rPr>
        <w:t>Permanent</w:t>
      </w:r>
      <w:r w:rsidRPr="00D4309F">
        <w:rPr>
          <w:color w:val="211E1F"/>
          <w:spacing w:val="-2"/>
        </w:rPr>
        <w:t xml:space="preserve"> </w:t>
      </w:r>
      <w:r w:rsidRPr="00D4309F">
        <w:rPr>
          <w:color w:val="211E1F"/>
        </w:rPr>
        <w:t>Automated</w:t>
      </w:r>
      <w:r w:rsidRPr="00D4309F">
        <w:rPr>
          <w:color w:val="211E1F"/>
          <w:spacing w:val="-2"/>
        </w:rPr>
        <w:t xml:space="preserve"> </w:t>
      </w:r>
      <w:r w:rsidRPr="00D4309F">
        <w:rPr>
          <w:color w:val="211E1F"/>
        </w:rPr>
        <w:t>Sand</w:t>
      </w:r>
      <w:r w:rsidRPr="00D4309F">
        <w:rPr>
          <w:color w:val="211E1F"/>
          <w:spacing w:val="-2"/>
        </w:rPr>
        <w:t xml:space="preserve"> </w:t>
      </w:r>
      <w:r w:rsidRPr="00D4309F">
        <w:rPr>
          <w:color w:val="211E1F"/>
        </w:rPr>
        <w:t>Bypassing</w:t>
      </w:r>
      <w:r w:rsidRPr="00D4309F">
        <w:rPr>
          <w:color w:val="211E1F"/>
          <w:spacing w:val="-2"/>
        </w:rPr>
        <w:t xml:space="preserve"> </w:t>
      </w:r>
      <w:r w:rsidRPr="00D4309F">
        <w:rPr>
          <w:color w:val="211E1F"/>
        </w:rPr>
        <w:t>System</w:t>
      </w:r>
      <w:r w:rsidRPr="00D4309F">
        <w:rPr>
          <w:color w:val="211E1F"/>
          <w:spacing w:val="-3"/>
        </w:rPr>
        <w:t xml:space="preserve"> </w:t>
      </w:r>
      <w:r w:rsidRPr="00D4309F">
        <w:rPr>
          <w:color w:val="211E1F"/>
        </w:rPr>
        <w:t>at</w:t>
      </w:r>
      <w:r w:rsidRPr="00D4309F">
        <w:rPr>
          <w:color w:val="211E1F"/>
          <w:spacing w:val="-2"/>
        </w:rPr>
        <w:t xml:space="preserve"> </w:t>
      </w:r>
      <w:r w:rsidRPr="00D4309F">
        <w:rPr>
          <w:color w:val="211E1F"/>
        </w:rPr>
        <w:t>Headland</w:t>
      </w:r>
      <w:r w:rsidRPr="00D4309F">
        <w:rPr>
          <w:color w:val="211E1F"/>
          <w:spacing w:val="-2"/>
        </w:rPr>
        <w:t xml:space="preserve"> </w:t>
      </w:r>
      <w:r w:rsidRPr="00D4309F">
        <w:rPr>
          <w:color w:val="211E1F"/>
        </w:rPr>
        <w:t>Sand</w:t>
      </w:r>
      <w:r w:rsidRPr="00D4309F">
        <w:rPr>
          <w:color w:val="211E1F"/>
          <w:spacing w:val="-3"/>
        </w:rPr>
        <w:t xml:space="preserve"> </w:t>
      </w:r>
      <w:r w:rsidRPr="00D4309F">
        <w:rPr>
          <w:color w:val="211E1F"/>
        </w:rPr>
        <w:t>Trap</w:t>
      </w:r>
      <w:r w:rsidRPr="00D4309F">
        <w:rPr>
          <w:color w:val="211E1F"/>
          <w:spacing w:val="-3"/>
        </w:rPr>
        <w:t xml:space="preserve"> </w:t>
      </w:r>
      <w:r w:rsidRPr="00D4309F">
        <w:rPr>
          <w:color w:val="211E1F"/>
        </w:rPr>
        <w:t>Conceptual</w:t>
      </w:r>
      <w:r w:rsidRPr="00D4309F">
        <w:rPr>
          <w:color w:val="211E1F"/>
          <w:spacing w:val="-2"/>
        </w:rPr>
        <w:t xml:space="preserve"> </w:t>
      </w:r>
      <w:r w:rsidRPr="00D4309F">
        <w:rPr>
          <w:color w:val="211E1F"/>
        </w:rPr>
        <w:t>Plan View (ICM, 2025)</w:t>
      </w:r>
      <w:bookmarkEnd w:id="473"/>
    </w:p>
    <w:p w14:paraId="6C10B1F7" w14:textId="77777777" w:rsidR="00725977" w:rsidRPr="00D4309F" w:rsidRDefault="00725977" w:rsidP="00045159">
      <w:pPr>
        <w:pStyle w:val="Heading2"/>
      </w:pPr>
      <w:bookmarkStart w:id="474" w:name="_bookmark172"/>
      <w:bookmarkStart w:id="475" w:name="_Toc216699482"/>
      <w:bookmarkEnd w:id="474"/>
      <w:r w:rsidRPr="00D4309F">
        <w:lastRenderedPageBreak/>
        <w:t>Effectiveness</w:t>
      </w:r>
      <w:r w:rsidRPr="00D4309F">
        <w:rPr>
          <w:spacing w:val="-13"/>
        </w:rPr>
        <w:t xml:space="preserve"> </w:t>
      </w:r>
      <w:r w:rsidRPr="00D4309F">
        <w:t>of</w:t>
      </w:r>
      <w:r w:rsidRPr="00D4309F">
        <w:rPr>
          <w:spacing w:val="-12"/>
        </w:rPr>
        <w:t xml:space="preserve"> </w:t>
      </w:r>
      <w:r w:rsidRPr="00D4309F">
        <w:rPr>
          <w:spacing w:val="-2"/>
        </w:rPr>
        <w:t>option</w:t>
      </w:r>
      <w:bookmarkEnd w:id="475"/>
    </w:p>
    <w:p w14:paraId="58BC0504" w14:textId="69F34C91" w:rsidR="00725977" w:rsidRPr="00D4309F" w:rsidRDefault="00725977" w:rsidP="00725977">
      <w:pPr>
        <w:pStyle w:val="BodyText"/>
      </w:pPr>
      <w:r w:rsidRPr="00D4309F">
        <w:t>The effectiveness of Option 4 is fundamentally governed by its interaction with the longshore sediment transport</w:t>
      </w:r>
      <w:r w:rsidRPr="00D4309F">
        <w:rPr>
          <w:spacing w:val="-3"/>
        </w:rPr>
        <w:t xml:space="preserve"> </w:t>
      </w:r>
      <w:r w:rsidRPr="00D4309F">
        <w:t>system,</w:t>
      </w:r>
      <w:r w:rsidRPr="00D4309F">
        <w:rPr>
          <w:spacing w:val="-3"/>
        </w:rPr>
        <w:t xml:space="preserve"> </w:t>
      </w:r>
      <w:r w:rsidRPr="00D4309F">
        <w:t>which</w:t>
      </w:r>
      <w:r w:rsidRPr="00D4309F">
        <w:rPr>
          <w:spacing w:val="-3"/>
        </w:rPr>
        <w:t xml:space="preserve"> </w:t>
      </w:r>
      <w:r w:rsidRPr="00D4309F">
        <w:t>is</w:t>
      </w:r>
      <w:r w:rsidRPr="00D4309F">
        <w:rPr>
          <w:spacing w:val="-2"/>
        </w:rPr>
        <w:t xml:space="preserve"> </w:t>
      </w:r>
      <w:r w:rsidRPr="00D4309F">
        <w:t>the</w:t>
      </w:r>
      <w:r w:rsidRPr="00D4309F">
        <w:rPr>
          <w:spacing w:val="-3"/>
        </w:rPr>
        <w:t xml:space="preserve"> </w:t>
      </w:r>
      <w:r w:rsidRPr="00D4309F">
        <w:t>primary</w:t>
      </w:r>
      <w:r w:rsidRPr="00D4309F">
        <w:rPr>
          <w:spacing w:val="-2"/>
        </w:rPr>
        <w:t xml:space="preserve"> </w:t>
      </w:r>
      <w:r w:rsidRPr="00D4309F">
        <w:t>driver</w:t>
      </w:r>
      <w:r w:rsidRPr="00D4309F">
        <w:rPr>
          <w:spacing w:val="-2"/>
        </w:rPr>
        <w:t xml:space="preserve"> </w:t>
      </w:r>
      <w:r w:rsidRPr="00D4309F">
        <w:t>of</w:t>
      </w:r>
      <w:r w:rsidRPr="00D4309F">
        <w:rPr>
          <w:spacing w:val="-4"/>
        </w:rPr>
        <w:t xml:space="preserve"> </w:t>
      </w:r>
      <w:r w:rsidRPr="00D4309F">
        <w:t>shoaling</w:t>
      </w:r>
      <w:r w:rsidRPr="00D4309F">
        <w:rPr>
          <w:spacing w:val="-3"/>
        </w:rPr>
        <w:t xml:space="preserve"> </w:t>
      </w:r>
      <w:r w:rsidRPr="00D4309F">
        <w:t>at</w:t>
      </w:r>
      <w:r w:rsidRPr="00D4309F">
        <w:rPr>
          <w:spacing w:val="-3"/>
        </w:rPr>
        <w:t xml:space="preserve"> </w:t>
      </w:r>
      <w:r w:rsidRPr="00D4309F">
        <w:t>the</w:t>
      </w:r>
      <w:r w:rsidRPr="00D4309F">
        <w:rPr>
          <w:spacing w:val="-3"/>
        </w:rPr>
        <w:t xml:space="preserve"> </w:t>
      </w:r>
      <w:r w:rsidRPr="00D4309F">
        <w:t>Mooloolaba</w:t>
      </w:r>
      <w:r w:rsidRPr="00D4309F">
        <w:rPr>
          <w:spacing w:val="-3"/>
        </w:rPr>
        <w:t xml:space="preserve"> </w:t>
      </w:r>
      <w:r w:rsidRPr="00D4309F">
        <w:t>River</w:t>
      </w:r>
      <w:r w:rsidRPr="00D4309F">
        <w:rPr>
          <w:spacing w:val="-3"/>
        </w:rPr>
        <w:t xml:space="preserve"> </w:t>
      </w:r>
      <w:r w:rsidRPr="00D4309F">
        <w:t>entrance.</w:t>
      </w:r>
      <w:r w:rsidRPr="00D4309F">
        <w:rPr>
          <w:spacing w:val="-3"/>
        </w:rPr>
        <w:t xml:space="preserve"> </w:t>
      </w:r>
      <w:r w:rsidRPr="00D4309F">
        <w:t>As</w:t>
      </w:r>
      <w:r w:rsidRPr="00D4309F">
        <w:rPr>
          <w:spacing w:val="-3"/>
        </w:rPr>
        <w:t xml:space="preserve"> </w:t>
      </w:r>
      <w:r w:rsidRPr="00D4309F">
        <w:t>established</w:t>
      </w:r>
      <w:r w:rsidRPr="00D4309F">
        <w:rPr>
          <w:spacing w:val="-3"/>
        </w:rPr>
        <w:t xml:space="preserve"> </w:t>
      </w:r>
      <w:r w:rsidRPr="00D4309F">
        <w:t>in</w:t>
      </w:r>
      <w:r w:rsidR="009F2DB8">
        <w:t xml:space="preserve"> </w:t>
      </w:r>
      <w:r w:rsidRPr="00D4309F">
        <w:t>BMT (2024), the Mooloolaba–Buddina coastal cell experiences a net northward transport of approximately 75,000</w:t>
      </w:r>
      <w:r w:rsidRPr="00D4309F">
        <w:rPr>
          <w:spacing w:val="-3"/>
        </w:rPr>
        <w:t xml:space="preserve"> </w:t>
      </w:r>
      <w:r w:rsidRPr="00D4309F">
        <w:t>m</w:t>
      </w:r>
      <w:r w:rsidRPr="00D4309F">
        <w:rPr>
          <w:vertAlign w:val="superscript"/>
        </w:rPr>
        <w:t>3</w:t>
      </w:r>
      <w:r w:rsidRPr="00D4309F">
        <w:t>/year,</w:t>
      </w:r>
      <w:r w:rsidRPr="00D4309F">
        <w:rPr>
          <w:spacing w:val="-3"/>
        </w:rPr>
        <w:t xml:space="preserve"> </w:t>
      </w:r>
      <w:r w:rsidRPr="00D4309F">
        <w:t>with</w:t>
      </w:r>
      <w:r w:rsidRPr="00D4309F">
        <w:rPr>
          <w:spacing w:val="-3"/>
        </w:rPr>
        <w:t xml:space="preserve"> </w:t>
      </w:r>
      <w:r w:rsidRPr="00D4309F">
        <w:t>gross</w:t>
      </w:r>
      <w:r w:rsidRPr="00D4309F">
        <w:rPr>
          <w:spacing w:val="-3"/>
        </w:rPr>
        <w:t xml:space="preserve"> </w:t>
      </w:r>
      <w:r w:rsidRPr="00D4309F">
        <w:t>transport</w:t>
      </w:r>
      <w:r w:rsidRPr="00D4309F">
        <w:rPr>
          <w:spacing w:val="-3"/>
        </w:rPr>
        <w:t xml:space="preserve"> </w:t>
      </w:r>
      <w:r w:rsidRPr="00D4309F">
        <w:t>exceeding</w:t>
      </w:r>
      <w:r w:rsidRPr="00D4309F">
        <w:rPr>
          <w:spacing w:val="-3"/>
        </w:rPr>
        <w:t xml:space="preserve"> </w:t>
      </w:r>
      <w:r w:rsidRPr="00D4309F">
        <w:t>485,000</w:t>
      </w:r>
      <w:r w:rsidRPr="00D4309F">
        <w:rPr>
          <w:spacing w:val="-3"/>
        </w:rPr>
        <w:t xml:space="preserve"> </w:t>
      </w:r>
      <w:r w:rsidRPr="00D4309F">
        <w:t>m</w:t>
      </w:r>
      <w:r w:rsidRPr="00D4309F">
        <w:rPr>
          <w:vertAlign w:val="superscript"/>
        </w:rPr>
        <w:t>3</w:t>
      </w:r>
      <w:r w:rsidRPr="00D4309F">
        <w:t>/year.</w:t>
      </w:r>
      <w:r w:rsidRPr="00D4309F">
        <w:rPr>
          <w:spacing w:val="-3"/>
        </w:rPr>
        <w:t xml:space="preserve"> </w:t>
      </w:r>
      <w:r w:rsidRPr="00D4309F">
        <w:t>This</w:t>
      </w:r>
      <w:r w:rsidRPr="00D4309F">
        <w:rPr>
          <w:spacing w:val="-2"/>
        </w:rPr>
        <w:t xml:space="preserve"> </w:t>
      </w:r>
      <w:r w:rsidRPr="00D4309F">
        <w:t>mobile</w:t>
      </w:r>
      <w:r w:rsidRPr="00D4309F">
        <w:rPr>
          <w:spacing w:val="-3"/>
        </w:rPr>
        <w:t xml:space="preserve"> </w:t>
      </w:r>
      <w:r w:rsidRPr="00D4309F">
        <w:t>sediment</w:t>
      </w:r>
      <w:r w:rsidRPr="00D4309F">
        <w:rPr>
          <w:spacing w:val="-3"/>
        </w:rPr>
        <w:t xml:space="preserve"> </w:t>
      </w:r>
      <w:r w:rsidRPr="00D4309F">
        <w:t>flux</w:t>
      </w:r>
      <w:r w:rsidRPr="00D4309F">
        <w:rPr>
          <w:spacing w:val="-2"/>
        </w:rPr>
        <w:t xml:space="preserve"> </w:t>
      </w:r>
      <w:r w:rsidRPr="00D4309F">
        <w:t>is</w:t>
      </w:r>
      <w:r w:rsidRPr="00D4309F">
        <w:rPr>
          <w:spacing w:val="-3"/>
        </w:rPr>
        <w:t xml:space="preserve"> </w:t>
      </w:r>
      <w:r w:rsidRPr="00D4309F">
        <w:t>the</w:t>
      </w:r>
      <w:r w:rsidRPr="00D4309F">
        <w:rPr>
          <w:spacing w:val="-3"/>
        </w:rPr>
        <w:t xml:space="preserve"> </w:t>
      </w:r>
      <w:r w:rsidRPr="00D4309F">
        <w:t>source</w:t>
      </w:r>
      <w:r w:rsidRPr="00D4309F">
        <w:rPr>
          <w:spacing w:val="-3"/>
        </w:rPr>
        <w:t xml:space="preserve"> </w:t>
      </w:r>
      <w:r w:rsidRPr="00D4309F">
        <w:t>of sand accumulation within the entrance channel.</w:t>
      </w:r>
    </w:p>
    <w:p w14:paraId="40196051" w14:textId="77777777" w:rsidR="00725977" w:rsidRPr="00D4309F" w:rsidRDefault="00725977" w:rsidP="00725977">
      <w:pPr>
        <w:pStyle w:val="BodyText"/>
      </w:pPr>
      <w:r w:rsidRPr="00D4309F">
        <w:t>Option</w:t>
      </w:r>
      <w:r w:rsidRPr="00D4309F">
        <w:rPr>
          <w:spacing w:val="-2"/>
        </w:rPr>
        <w:t xml:space="preserve"> </w:t>
      </w:r>
      <w:r w:rsidRPr="00D4309F">
        <w:t>4</w:t>
      </w:r>
      <w:r w:rsidRPr="00D4309F">
        <w:rPr>
          <w:spacing w:val="-2"/>
        </w:rPr>
        <w:t xml:space="preserve"> </w:t>
      </w:r>
      <w:r w:rsidRPr="00D4309F">
        <w:t>proposes</w:t>
      </w:r>
      <w:r w:rsidRPr="00D4309F">
        <w:rPr>
          <w:spacing w:val="-1"/>
        </w:rPr>
        <w:t xml:space="preserve"> </w:t>
      </w:r>
      <w:r w:rsidRPr="00D4309F">
        <w:t>to</w:t>
      </w:r>
      <w:r w:rsidRPr="00D4309F">
        <w:rPr>
          <w:spacing w:val="-2"/>
        </w:rPr>
        <w:t xml:space="preserve"> </w:t>
      </w:r>
      <w:r w:rsidRPr="00D4309F">
        <w:t>intercept</w:t>
      </w:r>
      <w:r w:rsidRPr="00D4309F">
        <w:rPr>
          <w:spacing w:val="-2"/>
        </w:rPr>
        <w:t xml:space="preserve"> </w:t>
      </w:r>
      <w:r w:rsidRPr="00D4309F">
        <w:t>this</w:t>
      </w:r>
      <w:r w:rsidRPr="00D4309F">
        <w:rPr>
          <w:spacing w:val="-1"/>
        </w:rPr>
        <w:t xml:space="preserve"> </w:t>
      </w:r>
      <w:r w:rsidRPr="00D4309F">
        <w:t>sand</w:t>
      </w:r>
      <w:r w:rsidRPr="00D4309F">
        <w:rPr>
          <w:spacing w:val="-3"/>
        </w:rPr>
        <w:t xml:space="preserve"> </w:t>
      </w:r>
      <w:r w:rsidRPr="00D4309F">
        <w:t>at</w:t>
      </w:r>
      <w:r w:rsidRPr="00D4309F">
        <w:rPr>
          <w:spacing w:val="-2"/>
        </w:rPr>
        <w:t xml:space="preserve"> </w:t>
      </w:r>
      <w:r w:rsidRPr="00D4309F">
        <w:t>the</w:t>
      </w:r>
      <w:r w:rsidRPr="00D4309F">
        <w:rPr>
          <w:spacing w:val="-2"/>
        </w:rPr>
        <w:t xml:space="preserve"> </w:t>
      </w:r>
      <w:r w:rsidRPr="00D4309F">
        <w:t>headland</w:t>
      </w:r>
      <w:r w:rsidRPr="00D4309F">
        <w:rPr>
          <w:spacing w:val="-2"/>
        </w:rPr>
        <w:t xml:space="preserve"> </w:t>
      </w:r>
      <w:r w:rsidRPr="00D4309F">
        <w:t>using</w:t>
      </w:r>
      <w:r w:rsidRPr="00D4309F">
        <w:rPr>
          <w:spacing w:val="-2"/>
        </w:rPr>
        <w:t xml:space="preserve"> </w:t>
      </w:r>
      <w:r w:rsidRPr="00D4309F">
        <w:t>an</w:t>
      </w:r>
      <w:r w:rsidRPr="00D4309F">
        <w:rPr>
          <w:spacing w:val="-2"/>
        </w:rPr>
        <w:t xml:space="preserve"> </w:t>
      </w:r>
      <w:r w:rsidRPr="00D4309F">
        <w:t>excavated</w:t>
      </w:r>
      <w:r w:rsidRPr="00D4309F">
        <w:rPr>
          <w:spacing w:val="-2"/>
        </w:rPr>
        <w:t xml:space="preserve"> </w:t>
      </w:r>
      <w:r w:rsidRPr="00D4309F">
        <w:t>rock</w:t>
      </w:r>
      <w:r w:rsidRPr="00D4309F">
        <w:rPr>
          <w:spacing w:val="-1"/>
        </w:rPr>
        <w:t xml:space="preserve"> </w:t>
      </w:r>
      <w:r w:rsidRPr="00D4309F">
        <w:t>sand</w:t>
      </w:r>
      <w:r w:rsidRPr="00D4309F">
        <w:rPr>
          <w:spacing w:val="-2"/>
        </w:rPr>
        <w:t xml:space="preserve"> </w:t>
      </w:r>
      <w:r w:rsidRPr="00D4309F">
        <w:t>trap</w:t>
      </w:r>
      <w:r w:rsidRPr="00D4309F">
        <w:rPr>
          <w:spacing w:val="-2"/>
        </w:rPr>
        <w:t xml:space="preserve"> </w:t>
      </w:r>
      <w:r w:rsidRPr="00D4309F">
        <w:t>in</w:t>
      </w:r>
      <w:r w:rsidRPr="00D4309F">
        <w:rPr>
          <w:spacing w:val="-3"/>
        </w:rPr>
        <w:t xml:space="preserve"> </w:t>
      </w:r>
      <w:r w:rsidRPr="00D4309F">
        <w:t>combination with a jetty-mounted dredge and pump system. The engineered trap increases retention within the shallow compartment</w:t>
      </w:r>
      <w:r w:rsidRPr="00D4309F">
        <w:rPr>
          <w:spacing w:val="-1"/>
        </w:rPr>
        <w:t xml:space="preserve"> </w:t>
      </w:r>
      <w:r w:rsidRPr="00D4309F">
        <w:t>and</w:t>
      </w:r>
      <w:r w:rsidRPr="00D4309F">
        <w:rPr>
          <w:spacing w:val="-2"/>
        </w:rPr>
        <w:t xml:space="preserve"> </w:t>
      </w:r>
      <w:r w:rsidRPr="00D4309F">
        <w:t>improves</w:t>
      </w:r>
      <w:r w:rsidRPr="00D4309F">
        <w:rPr>
          <w:spacing w:val="-1"/>
        </w:rPr>
        <w:t xml:space="preserve"> </w:t>
      </w:r>
      <w:r w:rsidRPr="00D4309F">
        <w:t>the</w:t>
      </w:r>
      <w:r w:rsidRPr="00D4309F">
        <w:rPr>
          <w:spacing w:val="-2"/>
        </w:rPr>
        <w:t xml:space="preserve"> </w:t>
      </w:r>
      <w:r w:rsidRPr="00D4309F">
        <w:t>likelihood</w:t>
      </w:r>
      <w:r w:rsidRPr="00D4309F">
        <w:rPr>
          <w:spacing w:val="-2"/>
        </w:rPr>
        <w:t xml:space="preserve"> </w:t>
      </w:r>
      <w:r w:rsidRPr="00D4309F">
        <w:t>of</w:t>
      </w:r>
      <w:r w:rsidRPr="00D4309F">
        <w:rPr>
          <w:spacing w:val="-2"/>
        </w:rPr>
        <w:t xml:space="preserve"> </w:t>
      </w:r>
      <w:r w:rsidRPr="00D4309F">
        <w:t>sand</w:t>
      </w:r>
      <w:r w:rsidRPr="00D4309F">
        <w:rPr>
          <w:spacing w:val="-1"/>
        </w:rPr>
        <w:t xml:space="preserve"> </w:t>
      </w:r>
      <w:r w:rsidRPr="00D4309F">
        <w:t>being</w:t>
      </w:r>
      <w:r w:rsidRPr="00D4309F">
        <w:rPr>
          <w:spacing w:val="-2"/>
        </w:rPr>
        <w:t xml:space="preserve"> </w:t>
      </w:r>
      <w:r w:rsidRPr="00D4309F">
        <w:t>available</w:t>
      </w:r>
      <w:r w:rsidRPr="00D4309F">
        <w:rPr>
          <w:spacing w:val="-1"/>
        </w:rPr>
        <w:t xml:space="preserve"> </w:t>
      </w:r>
      <w:r w:rsidRPr="00D4309F">
        <w:t>at</w:t>
      </w:r>
      <w:r w:rsidRPr="00D4309F">
        <w:rPr>
          <w:spacing w:val="-4"/>
        </w:rPr>
        <w:t xml:space="preserve"> </w:t>
      </w:r>
      <w:r w:rsidRPr="00D4309F">
        <w:t>the</w:t>
      </w:r>
      <w:r w:rsidRPr="00D4309F">
        <w:rPr>
          <w:spacing w:val="-1"/>
        </w:rPr>
        <w:t xml:space="preserve"> </w:t>
      </w:r>
      <w:r w:rsidRPr="00D4309F">
        <w:t>dredge</w:t>
      </w:r>
      <w:r w:rsidRPr="00D4309F">
        <w:rPr>
          <w:spacing w:val="-2"/>
        </w:rPr>
        <w:t xml:space="preserve"> </w:t>
      </w:r>
      <w:r w:rsidRPr="00D4309F">
        <w:t>head</w:t>
      </w:r>
      <w:r w:rsidRPr="00D4309F">
        <w:rPr>
          <w:spacing w:val="-1"/>
        </w:rPr>
        <w:t xml:space="preserve"> </w:t>
      </w:r>
      <w:r w:rsidRPr="00D4309F">
        <w:t>relative</w:t>
      </w:r>
      <w:r w:rsidRPr="00D4309F">
        <w:rPr>
          <w:spacing w:val="-2"/>
        </w:rPr>
        <w:t xml:space="preserve"> </w:t>
      </w:r>
      <w:r w:rsidRPr="00D4309F">
        <w:t>to</w:t>
      </w:r>
      <w:r w:rsidRPr="00D4309F">
        <w:rPr>
          <w:spacing w:val="-1"/>
        </w:rPr>
        <w:t xml:space="preserve"> </w:t>
      </w:r>
      <w:r w:rsidRPr="00D4309F">
        <w:t>the</w:t>
      </w:r>
      <w:r w:rsidRPr="00D4309F">
        <w:rPr>
          <w:spacing w:val="-2"/>
        </w:rPr>
        <w:t xml:space="preserve"> </w:t>
      </w:r>
      <w:r w:rsidRPr="00D4309F">
        <w:t>natural bedrock platform. In principle, intercepting sediment at the natural bypassing point provides a more direct mechanism for reducing entrance shoaling than campaign dredging.</w:t>
      </w:r>
    </w:p>
    <w:p w14:paraId="2890D28D" w14:textId="77777777" w:rsidR="00725977" w:rsidRPr="00D4309F" w:rsidRDefault="00725977" w:rsidP="00725977">
      <w:pPr>
        <w:pStyle w:val="BodyText"/>
      </w:pPr>
      <w:r w:rsidRPr="00D4309F">
        <w:t>However, local wave climate and sediment mobilisation patterns limit system reliability. The Buddina headland is a moderate-energy environment, meaning trap infill depends on episodic wave events rather than continuous transport. During low-energy periods, sand supply to the dredge head is reduced and the system</w:t>
      </w:r>
      <w:r w:rsidRPr="00D4309F">
        <w:rPr>
          <w:spacing w:val="-3"/>
        </w:rPr>
        <w:t xml:space="preserve"> </w:t>
      </w:r>
      <w:r w:rsidRPr="00D4309F">
        <w:t>may</w:t>
      </w:r>
      <w:r w:rsidRPr="00D4309F">
        <w:rPr>
          <w:spacing w:val="-3"/>
        </w:rPr>
        <w:t xml:space="preserve"> </w:t>
      </w:r>
      <w:r w:rsidRPr="00D4309F">
        <w:t>operate</w:t>
      </w:r>
      <w:r w:rsidRPr="00D4309F">
        <w:rPr>
          <w:spacing w:val="-3"/>
        </w:rPr>
        <w:t xml:space="preserve"> </w:t>
      </w:r>
      <w:r w:rsidRPr="00D4309F">
        <w:t>inefficiently</w:t>
      </w:r>
      <w:r w:rsidRPr="00D4309F">
        <w:rPr>
          <w:spacing w:val="-2"/>
        </w:rPr>
        <w:t xml:space="preserve"> </w:t>
      </w:r>
      <w:r w:rsidRPr="00D4309F">
        <w:t>or</w:t>
      </w:r>
      <w:r w:rsidRPr="00D4309F">
        <w:rPr>
          <w:spacing w:val="-2"/>
        </w:rPr>
        <w:t xml:space="preserve"> </w:t>
      </w:r>
      <w:r w:rsidRPr="00D4309F">
        <w:t>remain</w:t>
      </w:r>
      <w:r w:rsidRPr="00D4309F">
        <w:rPr>
          <w:spacing w:val="-3"/>
        </w:rPr>
        <w:t xml:space="preserve"> </w:t>
      </w:r>
      <w:r w:rsidRPr="00D4309F">
        <w:t>idle.</w:t>
      </w:r>
      <w:r w:rsidRPr="00D4309F">
        <w:rPr>
          <w:spacing w:val="-3"/>
        </w:rPr>
        <w:t xml:space="preserve"> </w:t>
      </w:r>
      <w:r w:rsidRPr="00D4309F">
        <w:t>Conversely,</w:t>
      </w:r>
      <w:r w:rsidRPr="00D4309F">
        <w:rPr>
          <w:spacing w:val="-3"/>
        </w:rPr>
        <w:t xml:space="preserve"> </w:t>
      </w:r>
      <w:r w:rsidRPr="00D4309F">
        <w:t>during</w:t>
      </w:r>
      <w:r w:rsidRPr="00D4309F">
        <w:rPr>
          <w:spacing w:val="-4"/>
        </w:rPr>
        <w:t xml:space="preserve"> </w:t>
      </w:r>
      <w:r w:rsidRPr="00D4309F">
        <w:t>storm-driven</w:t>
      </w:r>
      <w:r w:rsidRPr="00D4309F">
        <w:rPr>
          <w:spacing w:val="-3"/>
        </w:rPr>
        <w:t xml:space="preserve"> </w:t>
      </w:r>
      <w:r w:rsidRPr="00D4309F">
        <w:t>conditions,</w:t>
      </w:r>
      <w:r w:rsidRPr="00D4309F">
        <w:rPr>
          <w:spacing w:val="-3"/>
        </w:rPr>
        <w:t xml:space="preserve"> </w:t>
      </w:r>
      <w:r w:rsidRPr="00D4309F">
        <w:t>which</w:t>
      </w:r>
      <w:r w:rsidRPr="00D4309F">
        <w:rPr>
          <w:spacing w:val="-3"/>
        </w:rPr>
        <w:t xml:space="preserve"> </w:t>
      </w:r>
      <w:r w:rsidRPr="00D4309F">
        <w:t>deliver</w:t>
      </w:r>
      <w:r w:rsidRPr="00D4309F">
        <w:rPr>
          <w:spacing w:val="-2"/>
        </w:rPr>
        <w:t xml:space="preserve"> </w:t>
      </w:r>
      <w:r w:rsidRPr="00D4309F">
        <w:t>a significant</w:t>
      </w:r>
      <w:r w:rsidRPr="00D4309F">
        <w:rPr>
          <w:spacing w:val="-2"/>
        </w:rPr>
        <w:t xml:space="preserve"> </w:t>
      </w:r>
      <w:r w:rsidRPr="00D4309F">
        <w:t>proportion</w:t>
      </w:r>
      <w:r w:rsidRPr="00D4309F">
        <w:rPr>
          <w:spacing w:val="-2"/>
        </w:rPr>
        <w:t xml:space="preserve"> </w:t>
      </w:r>
      <w:r w:rsidRPr="00D4309F">
        <w:t>of</w:t>
      </w:r>
      <w:r w:rsidRPr="00D4309F">
        <w:rPr>
          <w:spacing w:val="-2"/>
        </w:rPr>
        <w:t xml:space="preserve"> </w:t>
      </w:r>
      <w:r w:rsidRPr="00D4309F">
        <w:t>shoaling</w:t>
      </w:r>
      <w:r w:rsidRPr="00D4309F">
        <w:rPr>
          <w:spacing w:val="-2"/>
        </w:rPr>
        <w:t xml:space="preserve"> </w:t>
      </w:r>
      <w:r w:rsidRPr="00D4309F">
        <w:t>material,</w:t>
      </w:r>
      <w:r w:rsidRPr="00D4309F">
        <w:rPr>
          <w:spacing w:val="-2"/>
        </w:rPr>
        <w:t xml:space="preserve"> </w:t>
      </w:r>
      <w:r w:rsidRPr="00D4309F">
        <w:t>sand</w:t>
      </w:r>
      <w:r w:rsidRPr="00D4309F">
        <w:rPr>
          <w:spacing w:val="-2"/>
        </w:rPr>
        <w:t xml:space="preserve"> </w:t>
      </w:r>
      <w:r w:rsidRPr="00D4309F">
        <w:t>is</w:t>
      </w:r>
      <w:r w:rsidRPr="00D4309F">
        <w:rPr>
          <w:spacing w:val="-1"/>
        </w:rPr>
        <w:t xml:space="preserve"> </w:t>
      </w:r>
      <w:r w:rsidRPr="00D4309F">
        <w:t>mobilised</w:t>
      </w:r>
      <w:r w:rsidRPr="00D4309F">
        <w:rPr>
          <w:spacing w:val="-2"/>
        </w:rPr>
        <w:t xml:space="preserve"> </w:t>
      </w:r>
      <w:r w:rsidRPr="00D4309F">
        <w:t>across</w:t>
      </w:r>
      <w:r w:rsidRPr="00D4309F">
        <w:rPr>
          <w:spacing w:val="-1"/>
        </w:rPr>
        <w:t xml:space="preserve"> </w:t>
      </w:r>
      <w:r w:rsidRPr="00D4309F">
        <w:t>the</w:t>
      </w:r>
      <w:r w:rsidRPr="00D4309F">
        <w:rPr>
          <w:spacing w:val="-2"/>
        </w:rPr>
        <w:t xml:space="preserve"> </w:t>
      </w:r>
      <w:r w:rsidRPr="00D4309F">
        <w:t>full</w:t>
      </w:r>
      <w:r w:rsidRPr="00D4309F">
        <w:rPr>
          <w:spacing w:val="-2"/>
        </w:rPr>
        <w:t xml:space="preserve"> </w:t>
      </w:r>
      <w:r w:rsidRPr="00D4309F">
        <w:t>profile,</w:t>
      </w:r>
      <w:r w:rsidRPr="00D4309F">
        <w:rPr>
          <w:spacing w:val="-2"/>
        </w:rPr>
        <w:t xml:space="preserve"> </w:t>
      </w:r>
      <w:r w:rsidRPr="00D4309F">
        <w:t>including</w:t>
      </w:r>
      <w:r w:rsidRPr="00D4309F">
        <w:rPr>
          <w:spacing w:val="-2"/>
        </w:rPr>
        <w:t xml:space="preserve"> </w:t>
      </w:r>
      <w:r w:rsidRPr="00D4309F">
        <w:t>seaward</w:t>
      </w:r>
      <w:r w:rsidRPr="00D4309F">
        <w:rPr>
          <w:spacing w:val="-2"/>
        </w:rPr>
        <w:t xml:space="preserve"> </w:t>
      </w:r>
      <w:r w:rsidRPr="00D4309F">
        <w:t>of</w:t>
      </w:r>
      <w:r w:rsidRPr="00D4309F">
        <w:rPr>
          <w:spacing w:val="-2"/>
        </w:rPr>
        <w:t xml:space="preserve"> </w:t>
      </w:r>
      <w:r w:rsidRPr="00D4309F">
        <w:t>the trap, enabling natural bypassing to occur beyond the jetty’s capture zone.</w:t>
      </w:r>
    </w:p>
    <w:p w14:paraId="56EA3DDE" w14:textId="77777777" w:rsidR="00725977" w:rsidRPr="00D4309F" w:rsidRDefault="00725977" w:rsidP="00725977">
      <w:pPr>
        <w:pStyle w:val="BodyText"/>
      </w:pPr>
      <w:r w:rsidRPr="00D4309F">
        <w:t>Because</w:t>
      </w:r>
      <w:r w:rsidRPr="00D4309F">
        <w:rPr>
          <w:spacing w:val="-2"/>
        </w:rPr>
        <w:t xml:space="preserve"> </w:t>
      </w:r>
      <w:r w:rsidRPr="00D4309F">
        <w:t>the</w:t>
      </w:r>
      <w:r w:rsidRPr="00D4309F">
        <w:rPr>
          <w:spacing w:val="-3"/>
        </w:rPr>
        <w:t xml:space="preserve"> </w:t>
      </w:r>
      <w:r w:rsidRPr="00D4309F">
        <w:t>excavated</w:t>
      </w:r>
      <w:r w:rsidRPr="00D4309F">
        <w:rPr>
          <w:spacing w:val="-2"/>
        </w:rPr>
        <w:t xml:space="preserve"> </w:t>
      </w:r>
      <w:r w:rsidRPr="00D4309F">
        <w:t>trap</w:t>
      </w:r>
      <w:r w:rsidRPr="00D4309F">
        <w:rPr>
          <w:spacing w:val="-2"/>
        </w:rPr>
        <w:t xml:space="preserve"> </w:t>
      </w:r>
      <w:r w:rsidRPr="00D4309F">
        <w:t>does</w:t>
      </w:r>
      <w:r w:rsidRPr="00D4309F">
        <w:rPr>
          <w:spacing w:val="-1"/>
        </w:rPr>
        <w:t xml:space="preserve"> </w:t>
      </w:r>
      <w:r w:rsidRPr="00D4309F">
        <w:t>not</w:t>
      </w:r>
      <w:r w:rsidRPr="00D4309F">
        <w:rPr>
          <w:spacing w:val="-2"/>
        </w:rPr>
        <w:t xml:space="preserve"> </w:t>
      </w:r>
      <w:r w:rsidRPr="00D4309F">
        <w:t>extend</w:t>
      </w:r>
      <w:r w:rsidRPr="00D4309F">
        <w:rPr>
          <w:spacing w:val="-2"/>
        </w:rPr>
        <w:t xml:space="preserve"> </w:t>
      </w:r>
      <w:r w:rsidRPr="00D4309F">
        <w:t>to</w:t>
      </w:r>
      <w:r w:rsidRPr="00D4309F">
        <w:rPr>
          <w:spacing w:val="-2"/>
        </w:rPr>
        <w:t xml:space="preserve"> </w:t>
      </w:r>
      <w:r w:rsidRPr="00D4309F">
        <w:t>the</w:t>
      </w:r>
      <w:r w:rsidRPr="00D4309F">
        <w:rPr>
          <w:spacing w:val="-2"/>
        </w:rPr>
        <w:t xml:space="preserve"> </w:t>
      </w:r>
      <w:r w:rsidRPr="00D4309F">
        <w:t>depth</w:t>
      </w:r>
      <w:r w:rsidRPr="00D4309F">
        <w:rPr>
          <w:spacing w:val="-2"/>
        </w:rPr>
        <w:t xml:space="preserve"> </w:t>
      </w:r>
      <w:r w:rsidRPr="00D4309F">
        <w:t>of</w:t>
      </w:r>
      <w:r w:rsidRPr="00D4309F">
        <w:rPr>
          <w:spacing w:val="-2"/>
        </w:rPr>
        <w:t xml:space="preserve"> </w:t>
      </w:r>
      <w:r w:rsidRPr="00D4309F">
        <w:t>closure,</w:t>
      </w:r>
      <w:r w:rsidRPr="00D4309F">
        <w:rPr>
          <w:spacing w:val="-2"/>
        </w:rPr>
        <w:t xml:space="preserve"> </w:t>
      </w:r>
      <w:r w:rsidRPr="00D4309F">
        <w:t>a</w:t>
      </w:r>
      <w:r w:rsidRPr="00D4309F">
        <w:rPr>
          <w:spacing w:val="-2"/>
        </w:rPr>
        <w:t xml:space="preserve"> </w:t>
      </w:r>
      <w:r w:rsidRPr="00D4309F">
        <w:t>portion</w:t>
      </w:r>
      <w:r w:rsidRPr="00D4309F">
        <w:rPr>
          <w:spacing w:val="-2"/>
        </w:rPr>
        <w:t xml:space="preserve"> </w:t>
      </w:r>
      <w:r w:rsidRPr="00D4309F">
        <w:t>of</w:t>
      </w:r>
      <w:r w:rsidRPr="00D4309F">
        <w:rPr>
          <w:spacing w:val="-2"/>
        </w:rPr>
        <w:t xml:space="preserve"> </w:t>
      </w:r>
      <w:r w:rsidRPr="00D4309F">
        <w:t>the</w:t>
      </w:r>
      <w:r w:rsidRPr="00D4309F">
        <w:rPr>
          <w:spacing w:val="-2"/>
        </w:rPr>
        <w:t xml:space="preserve"> </w:t>
      </w:r>
      <w:r w:rsidRPr="00D4309F">
        <w:t>longshore</w:t>
      </w:r>
      <w:r w:rsidRPr="00D4309F">
        <w:rPr>
          <w:spacing w:val="-3"/>
        </w:rPr>
        <w:t xml:space="preserve"> </w:t>
      </w:r>
      <w:r w:rsidRPr="00D4309F">
        <w:t>transport</w:t>
      </w:r>
      <w:r w:rsidRPr="00D4309F">
        <w:rPr>
          <w:spacing w:val="-2"/>
        </w:rPr>
        <w:t xml:space="preserve"> </w:t>
      </w:r>
      <w:r w:rsidRPr="00D4309F">
        <w:t>will always bypass offshore and remain exposed to cross-shore processes. Without structural confinement, this bypassing sand retains a direct pathway into the entrance channel. The absence of long training walls - commonly used in successful bypassing systems such as the Gold Coast Seaway - further reduces control over sediment delivery into the trap and diminishes overall system efficiency.</w:t>
      </w:r>
    </w:p>
    <w:p w14:paraId="735454E6" w14:textId="77777777" w:rsidR="00725977" w:rsidRPr="00D4309F" w:rsidRDefault="00725977" w:rsidP="00725977">
      <w:pPr>
        <w:pStyle w:val="BodyText"/>
      </w:pPr>
      <w:r w:rsidRPr="00D4309F">
        <w:t>These constraints are similar to those identified for the Sand Slurry Bypass option (2B), which also relied on a</w:t>
      </w:r>
      <w:r w:rsidRPr="00D4309F">
        <w:rPr>
          <w:spacing w:val="-3"/>
        </w:rPr>
        <w:t xml:space="preserve"> </w:t>
      </w:r>
      <w:r w:rsidRPr="00D4309F">
        <w:t>rock-excavated</w:t>
      </w:r>
      <w:r w:rsidRPr="00D4309F">
        <w:rPr>
          <w:spacing w:val="-3"/>
        </w:rPr>
        <w:t xml:space="preserve"> </w:t>
      </w:r>
      <w:r w:rsidRPr="00D4309F">
        <w:t>trap</w:t>
      </w:r>
      <w:r w:rsidRPr="00D4309F">
        <w:rPr>
          <w:spacing w:val="-3"/>
        </w:rPr>
        <w:t xml:space="preserve"> </w:t>
      </w:r>
      <w:r w:rsidRPr="00D4309F">
        <w:t>but</w:t>
      </w:r>
      <w:r w:rsidRPr="00D4309F">
        <w:rPr>
          <w:spacing w:val="-5"/>
        </w:rPr>
        <w:t xml:space="preserve"> </w:t>
      </w:r>
      <w:r w:rsidRPr="00D4309F">
        <w:t>was</w:t>
      </w:r>
      <w:r w:rsidRPr="00D4309F">
        <w:rPr>
          <w:spacing w:val="-2"/>
        </w:rPr>
        <w:t xml:space="preserve"> </w:t>
      </w:r>
      <w:r w:rsidRPr="00D4309F">
        <w:t>shown</w:t>
      </w:r>
      <w:r w:rsidRPr="00D4309F">
        <w:rPr>
          <w:spacing w:val="-3"/>
        </w:rPr>
        <w:t xml:space="preserve"> </w:t>
      </w:r>
      <w:r w:rsidRPr="00D4309F">
        <w:t>to</w:t>
      </w:r>
      <w:r w:rsidRPr="00D4309F">
        <w:rPr>
          <w:spacing w:val="-3"/>
        </w:rPr>
        <w:t xml:space="preserve"> </w:t>
      </w:r>
      <w:r w:rsidRPr="00D4309F">
        <w:t>have</w:t>
      </w:r>
      <w:r w:rsidRPr="00D4309F">
        <w:rPr>
          <w:spacing w:val="-3"/>
        </w:rPr>
        <w:t xml:space="preserve"> </w:t>
      </w:r>
      <w:r w:rsidRPr="00D4309F">
        <w:t>limited</w:t>
      </w:r>
      <w:r w:rsidRPr="00D4309F">
        <w:rPr>
          <w:spacing w:val="-4"/>
        </w:rPr>
        <w:t xml:space="preserve"> </w:t>
      </w:r>
      <w:r w:rsidRPr="00D4309F">
        <w:t>effectiveness</w:t>
      </w:r>
      <w:r w:rsidRPr="00D4309F">
        <w:rPr>
          <w:spacing w:val="-3"/>
        </w:rPr>
        <w:t xml:space="preserve"> </w:t>
      </w:r>
      <w:r w:rsidRPr="00D4309F">
        <w:t>due</w:t>
      </w:r>
      <w:r w:rsidRPr="00D4309F">
        <w:rPr>
          <w:spacing w:val="-3"/>
        </w:rPr>
        <w:t xml:space="preserve"> </w:t>
      </w:r>
      <w:r w:rsidRPr="00D4309F">
        <w:t>to</w:t>
      </w:r>
      <w:r w:rsidRPr="00D4309F">
        <w:rPr>
          <w:spacing w:val="-3"/>
        </w:rPr>
        <w:t xml:space="preserve"> </w:t>
      </w:r>
      <w:r w:rsidRPr="00D4309F">
        <w:t>excavation</w:t>
      </w:r>
      <w:r w:rsidRPr="00D4309F">
        <w:rPr>
          <w:spacing w:val="-3"/>
        </w:rPr>
        <w:t xml:space="preserve"> </w:t>
      </w:r>
      <w:r w:rsidRPr="00D4309F">
        <w:t>complexity</w:t>
      </w:r>
      <w:r w:rsidRPr="00D4309F">
        <w:rPr>
          <w:spacing w:val="-2"/>
        </w:rPr>
        <w:t xml:space="preserve"> </w:t>
      </w:r>
      <w:r w:rsidRPr="00D4309F">
        <w:t>and</w:t>
      </w:r>
      <w:r w:rsidRPr="00D4309F">
        <w:rPr>
          <w:spacing w:val="-3"/>
        </w:rPr>
        <w:t xml:space="preserve"> </w:t>
      </w:r>
      <w:r w:rsidRPr="00D4309F">
        <w:t>inability to</w:t>
      </w:r>
      <w:r w:rsidRPr="00D4309F">
        <w:rPr>
          <w:spacing w:val="-1"/>
        </w:rPr>
        <w:t xml:space="preserve"> </w:t>
      </w:r>
      <w:r w:rsidRPr="00D4309F">
        <w:t>capture</w:t>
      </w:r>
      <w:r w:rsidRPr="00D4309F">
        <w:rPr>
          <w:spacing w:val="-1"/>
        </w:rPr>
        <w:t xml:space="preserve"> </w:t>
      </w:r>
      <w:r w:rsidRPr="00D4309F">
        <w:t>the</w:t>
      </w:r>
      <w:r w:rsidRPr="00D4309F">
        <w:rPr>
          <w:spacing w:val="-2"/>
        </w:rPr>
        <w:t xml:space="preserve"> </w:t>
      </w:r>
      <w:r w:rsidRPr="00D4309F">
        <w:t>full</w:t>
      </w:r>
      <w:r w:rsidRPr="00D4309F">
        <w:rPr>
          <w:spacing w:val="-1"/>
        </w:rPr>
        <w:t xml:space="preserve"> </w:t>
      </w:r>
      <w:r w:rsidRPr="00D4309F">
        <w:t>transport</w:t>
      </w:r>
      <w:r w:rsidRPr="00D4309F">
        <w:rPr>
          <w:spacing w:val="-1"/>
        </w:rPr>
        <w:t xml:space="preserve"> </w:t>
      </w:r>
      <w:r w:rsidRPr="00D4309F">
        <w:t>stream.</w:t>
      </w:r>
      <w:r w:rsidRPr="00D4309F">
        <w:rPr>
          <w:spacing w:val="-1"/>
        </w:rPr>
        <w:t xml:space="preserve"> </w:t>
      </w:r>
      <w:r w:rsidRPr="00D4309F">
        <w:t>While</w:t>
      </w:r>
      <w:r w:rsidRPr="00D4309F">
        <w:rPr>
          <w:spacing w:val="-2"/>
        </w:rPr>
        <w:t xml:space="preserve"> </w:t>
      </w:r>
      <w:r w:rsidRPr="00D4309F">
        <w:t>system</w:t>
      </w:r>
      <w:r w:rsidRPr="00D4309F">
        <w:rPr>
          <w:spacing w:val="-1"/>
        </w:rPr>
        <w:t xml:space="preserve"> </w:t>
      </w:r>
      <w:r w:rsidRPr="00D4309F">
        <w:t>performance</w:t>
      </w:r>
      <w:r w:rsidRPr="00D4309F">
        <w:rPr>
          <w:spacing w:val="-2"/>
        </w:rPr>
        <w:t xml:space="preserve"> </w:t>
      </w:r>
      <w:r w:rsidRPr="00D4309F">
        <w:t>could</w:t>
      </w:r>
      <w:r w:rsidRPr="00D4309F">
        <w:rPr>
          <w:spacing w:val="-2"/>
        </w:rPr>
        <w:t xml:space="preserve"> </w:t>
      </w:r>
      <w:r w:rsidRPr="00D4309F">
        <w:t>improve</w:t>
      </w:r>
      <w:r w:rsidRPr="00D4309F">
        <w:rPr>
          <w:spacing w:val="-1"/>
        </w:rPr>
        <w:t xml:space="preserve"> </w:t>
      </w:r>
      <w:r w:rsidRPr="00D4309F">
        <w:t>with</w:t>
      </w:r>
      <w:r w:rsidRPr="00D4309F">
        <w:rPr>
          <w:spacing w:val="-2"/>
        </w:rPr>
        <w:t xml:space="preserve"> </w:t>
      </w:r>
      <w:r w:rsidRPr="00D4309F">
        <w:t>a</w:t>
      </w:r>
      <w:r w:rsidRPr="00D4309F">
        <w:rPr>
          <w:spacing w:val="-1"/>
        </w:rPr>
        <w:t xml:space="preserve"> </w:t>
      </w:r>
      <w:r w:rsidRPr="00D4309F">
        <w:t>breakwater</w:t>
      </w:r>
      <w:r w:rsidRPr="00D4309F">
        <w:rPr>
          <w:spacing w:val="-2"/>
        </w:rPr>
        <w:t xml:space="preserve"> </w:t>
      </w:r>
      <w:r w:rsidRPr="00D4309F">
        <w:t>extension</w:t>
      </w:r>
      <w:r w:rsidRPr="00D4309F">
        <w:rPr>
          <w:spacing w:val="-1"/>
        </w:rPr>
        <w:t xml:space="preserve"> </w:t>
      </w:r>
      <w:r w:rsidRPr="00D4309F">
        <w:t>to increase containment and direct more sand into the trap, this would significantly increase capital cost, environmental impact, and design complexity.</w:t>
      </w:r>
    </w:p>
    <w:p w14:paraId="0549E0F0" w14:textId="77777777" w:rsidR="00725977" w:rsidRPr="00D4309F" w:rsidRDefault="00725977" w:rsidP="00725977">
      <w:pPr>
        <w:pStyle w:val="BodyText"/>
      </w:pPr>
      <w:r w:rsidRPr="00D4309F">
        <w:t>Overall, the bypassing jetty system would remain inherently limited without some form of containment backstop,</w:t>
      </w:r>
      <w:r w:rsidRPr="00D4309F">
        <w:rPr>
          <w:spacing w:val="-3"/>
        </w:rPr>
        <w:t xml:space="preserve"> </w:t>
      </w:r>
      <w:r w:rsidRPr="00D4309F">
        <w:t>as</w:t>
      </w:r>
      <w:r w:rsidRPr="00D4309F">
        <w:rPr>
          <w:spacing w:val="-2"/>
        </w:rPr>
        <w:t xml:space="preserve"> </w:t>
      </w:r>
      <w:r w:rsidRPr="00D4309F">
        <w:t>its</w:t>
      </w:r>
      <w:r w:rsidRPr="00D4309F">
        <w:rPr>
          <w:spacing w:val="-2"/>
        </w:rPr>
        <w:t xml:space="preserve"> </w:t>
      </w:r>
      <w:r w:rsidRPr="00D4309F">
        <w:t>efficiency</w:t>
      </w:r>
      <w:r w:rsidRPr="00D4309F">
        <w:rPr>
          <w:spacing w:val="-3"/>
        </w:rPr>
        <w:t xml:space="preserve"> </w:t>
      </w:r>
      <w:r w:rsidRPr="00D4309F">
        <w:t>shortfalls</w:t>
      </w:r>
      <w:r w:rsidRPr="00D4309F">
        <w:rPr>
          <w:spacing w:val="-3"/>
        </w:rPr>
        <w:t xml:space="preserve"> </w:t>
      </w:r>
      <w:r w:rsidRPr="00D4309F">
        <w:t>would</w:t>
      </w:r>
      <w:r w:rsidRPr="00D4309F">
        <w:rPr>
          <w:spacing w:val="-3"/>
        </w:rPr>
        <w:t xml:space="preserve"> </w:t>
      </w:r>
      <w:r w:rsidRPr="00D4309F">
        <w:t>allow</w:t>
      </w:r>
      <w:r w:rsidRPr="00D4309F">
        <w:rPr>
          <w:spacing w:val="-2"/>
        </w:rPr>
        <w:t xml:space="preserve"> </w:t>
      </w:r>
      <w:r w:rsidRPr="00D4309F">
        <w:t>un-intercepted</w:t>
      </w:r>
      <w:r w:rsidRPr="00D4309F">
        <w:rPr>
          <w:spacing w:val="-4"/>
        </w:rPr>
        <w:t xml:space="preserve"> </w:t>
      </w:r>
      <w:r w:rsidRPr="00D4309F">
        <w:t>sand</w:t>
      </w:r>
      <w:r w:rsidRPr="00D4309F">
        <w:rPr>
          <w:spacing w:val="-3"/>
        </w:rPr>
        <w:t xml:space="preserve"> </w:t>
      </w:r>
      <w:r w:rsidRPr="00D4309F">
        <w:t>to</w:t>
      </w:r>
      <w:r w:rsidRPr="00D4309F">
        <w:rPr>
          <w:spacing w:val="-3"/>
        </w:rPr>
        <w:t xml:space="preserve"> </w:t>
      </w:r>
      <w:r w:rsidRPr="00D4309F">
        <w:t>eventually</w:t>
      </w:r>
      <w:r w:rsidRPr="00D4309F">
        <w:rPr>
          <w:spacing w:val="-2"/>
        </w:rPr>
        <w:t xml:space="preserve"> </w:t>
      </w:r>
      <w:r w:rsidRPr="00D4309F">
        <w:t>shoal</w:t>
      </w:r>
      <w:r w:rsidRPr="00D4309F">
        <w:rPr>
          <w:spacing w:val="-3"/>
        </w:rPr>
        <w:t xml:space="preserve"> </w:t>
      </w:r>
      <w:r w:rsidRPr="00D4309F">
        <w:t>the</w:t>
      </w:r>
      <w:r w:rsidRPr="00D4309F">
        <w:rPr>
          <w:spacing w:val="-3"/>
        </w:rPr>
        <w:t xml:space="preserve"> </w:t>
      </w:r>
      <w:r w:rsidRPr="00D4309F">
        <w:t>channel.</w:t>
      </w:r>
      <w:r w:rsidRPr="00D4309F">
        <w:rPr>
          <w:spacing w:val="-3"/>
        </w:rPr>
        <w:t xml:space="preserve"> </w:t>
      </w:r>
      <w:r w:rsidRPr="00D4309F">
        <w:t>Given the expected shallow-compartment bypassing volume of approximately 10,000 m</w:t>
      </w:r>
      <w:r w:rsidRPr="00D4309F">
        <w:rPr>
          <w:vertAlign w:val="superscript"/>
        </w:rPr>
        <w:t>3</w:t>
      </w:r>
      <w:r w:rsidRPr="00D4309F">
        <w:t>/year (compared with</w:t>
      </w:r>
    </w:p>
    <w:p w14:paraId="7E470185" w14:textId="77777777" w:rsidR="00725977" w:rsidRPr="00D4309F" w:rsidRDefault="00725977" w:rsidP="00725977">
      <w:pPr>
        <w:pStyle w:val="BodyText"/>
      </w:pPr>
      <w:r w:rsidRPr="00D4309F">
        <w:t>~75,000</w:t>
      </w:r>
      <w:r w:rsidRPr="00D4309F">
        <w:rPr>
          <w:spacing w:val="-1"/>
        </w:rPr>
        <w:t xml:space="preserve"> </w:t>
      </w:r>
      <w:r w:rsidRPr="00D4309F">
        <w:t>m</w:t>
      </w:r>
      <w:r w:rsidRPr="00D4309F">
        <w:rPr>
          <w:vertAlign w:val="superscript"/>
        </w:rPr>
        <w:t>3</w:t>
      </w:r>
      <w:r w:rsidRPr="00D4309F">
        <w:t>/year across the</w:t>
      </w:r>
      <w:r w:rsidRPr="00D4309F">
        <w:rPr>
          <w:spacing w:val="-1"/>
        </w:rPr>
        <w:t xml:space="preserve"> </w:t>
      </w:r>
      <w:r w:rsidRPr="00D4309F">
        <w:t>full</w:t>
      </w:r>
      <w:r w:rsidRPr="00D4309F">
        <w:rPr>
          <w:spacing w:val="-1"/>
        </w:rPr>
        <w:t xml:space="preserve"> </w:t>
      </w:r>
      <w:r w:rsidRPr="00D4309F">
        <w:t>active</w:t>
      </w:r>
      <w:r w:rsidRPr="00D4309F">
        <w:rPr>
          <w:spacing w:val="-1"/>
        </w:rPr>
        <w:t xml:space="preserve"> </w:t>
      </w:r>
      <w:r w:rsidRPr="00D4309F">
        <w:t>profile),</w:t>
      </w:r>
      <w:r w:rsidRPr="00D4309F">
        <w:rPr>
          <w:spacing w:val="-1"/>
        </w:rPr>
        <w:t xml:space="preserve"> </w:t>
      </w:r>
      <w:r w:rsidRPr="00D4309F">
        <w:t>a</w:t>
      </w:r>
      <w:r w:rsidRPr="00D4309F">
        <w:rPr>
          <w:spacing w:val="-1"/>
        </w:rPr>
        <w:t xml:space="preserve"> </w:t>
      </w:r>
      <w:r w:rsidRPr="00D4309F">
        <w:t>crawler crane</w:t>
      </w:r>
      <w:r w:rsidRPr="00D4309F">
        <w:rPr>
          <w:spacing w:val="-1"/>
        </w:rPr>
        <w:t xml:space="preserve"> </w:t>
      </w:r>
      <w:r w:rsidRPr="00D4309F">
        <w:t>system</w:t>
      </w:r>
      <w:r w:rsidRPr="00D4309F">
        <w:rPr>
          <w:spacing w:val="-1"/>
        </w:rPr>
        <w:t xml:space="preserve"> </w:t>
      </w:r>
      <w:r w:rsidRPr="00D4309F">
        <w:t>is likely to</w:t>
      </w:r>
      <w:r w:rsidRPr="00D4309F">
        <w:rPr>
          <w:spacing w:val="-2"/>
        </w:rPr>
        <w:t xml:space="preserve"> </w:t>
      </w:r>
      <w:r w:rsidRPr="00D4309F">
        <w:t>have</w:t>
      </w:r>
      <w:r w:rsidRPr="00D4309F">
        <w:rPr>
          <w:spacing w:val="-1"/>
        </w:rPr>
        <w:t xml:space="preserve"> </w:t>
      </w:r>
      <w:r w:rsidRPr="00D4309F">
        <w:t>adequate</w:t>
      </w:r>
      <w:r w:rsidRPr="00D4309F">
        <w:rPr>
          <w:spacing w:val="-1"/>
        </w:rPr>
        <w:t xml:space="preserve"> </w:t>
      </w:r>
      <w:r w:rsidRPr="00D4309F">
        <w:t>capacity to manage the site’s actual bypassing demand. Jetty-style continuous pumping</w:t>
      </w:r>
      <w:r w:rsidRPr="00D4309F">
        <w:rPr>
          <w:spacing w:val="-1"/>
        </w:rPr>
        <w:t xml:space="preserve"> </w:t>
      </w:r>
      <w:r w:rsidRPr="00D4309F">
        <w:t>systems are typically suited to far</w:t>
      </w:r>
      <w:r w:rsidRPr="00D4309F">
        <w:rPr>
          <w:spacing w:val="-1"/>
        </w:rPr>
        <w:t xml:space="preserve"> </w:t>
      </w:r>
      <w:r w:rsidRPr="00D4309F">
        <w:t>more</w:t>
      </w:r>
      <w:r w:rsidRPr="00D4309F">
        <w:rPr>
          <w:spacing w:val="-2"/>
        </w:rPr>
        <w:t xml:space="preserve"> </w:t>
      </w:r>
      <w:r w:rsidRPr="00D4309F">
        <w:t>active</w:t>
      </w:r>
      <w:r w:rsidRPr="00D4309F">
        <w:rPr>
          <w:spacing w:val="-2"/>
        </w:rPr>
        <w:t xml:space="preserve"> </w:t>
      </w:r>
      <w:r w:rsidRPr="00D4309F">
        <w:t>sediment</w:t>
      </w:r>
      <w:r w:rsidRPr="00D4309F">
        <w:rPr>
          <w:spacing w:val="-2"/>
        </w:rPr>
        <w:t xml:space="preserve"> </w:t>
      </w:r>
      <w:r w:rsidRPr="00D4309F">
        <w:t>environments</w:t>
      </w:r>
      <w:r w:rsidRPr="00D4309F">
        <w:rPr>
          <w:spacing w:val="-3"/>
        </w:rPr>
        <w:t xml:space="preserve"> </w:t>
      </w:r>
      <w:r w:rsidRPr="00D4309F">
        <w:t>–</w:t>
      </w:r>
      <w:r w:rsidRPr="00D4309F">
        <w:rPr>
          <w:spacing w:val="-2"/>
        </w:rPr>
        <w:t xml:space="preserve"> </w:t>
      </w:r>
      <w:r w:rsidRPr="00D4309F">
        <w:t>such</w:t>
      </w:r>
      <w:r w:rsidRPr="00D4309F">
        <w:rPr>
          <w:spacing w:val="-2"/>
        </w:rPr>
        <w:t xml:space="preserve"> </w:t>
      </w:r>
      <w:r w:rsidRPr="00D4309F">
        <w:t>as</w:t>
      </w:r>
      <w:r w:rsidRPr="00D4309F">
        <w:rPr>
          <w:spacing w:val="-1"/>
        </w:rPr>
        <w:t xml:space="preserve"> </w:t>
      </w:r>
      <w:r w:rsidRPr="00D4309F">
        <w:t>the</w:t>
      </w:r>
      <w:r w:rsidRPr="00D4309F">
        <w:rPr>
          <w:spacing w:val="-3"/>
        </w:rPr>
        <w:t xml:space="preserve"> </w:t>
      </w:r>
      <w:r w:rsidRPr="00D4309F">
        <w:t>Tweed</w:t>
      </w:r>
      <w:r w:rsidRPr="00D4309F">
        <w:rPr>
          <w:spacing w:val="-3"/>
        </w:rPr>
        <w:t xml:space="preserve"> </w:t>
      </w:r>
      <w:r w:rsidRPr="00D4309F">
        <w:t>River</w:t>
      </w:r>
      <w:r w:rsidRPr="00D4309F">
        <w:rPr>
          <w:spacing w:val="-3"/>
        </w:rPr>
        <w:t xml:space="preserve"> </w:t>
      </w:r>
      <w:r w:rsidRPr="00D4309F">
        <w:t>and</w:t>
      </w:r>
      <w:r w:rsidRPr="00D4309F">
        <w:rPr>
          <w:spacing w:val="-2"/>
        </w:rPr>
        <w:t xml:space="preserve"> </w:t>
      </w:r>
      <w:r w:rsidRPr="00D4309F">
        <w:t>Gold</w:t>
      </w:r>
      <w:r w:rsidRPr="00D4309F">
        <w:rPr>
          <w:spacing w:val="-3"/>
        </w:rPr>
        <w:t xml:space="preserve"> </w:t>
      </w:r>
      <w:r w:rsidRPr="00D4309F">
        <w:t>Coast</w:t>
      </w:r>
      <w:r w:rsidRPr="00D4309F">
        <w:rPr>
          <w:spacing w:val="-2"/>
        </w:rPr>
        <w:t xml:space="preserve"> </w:t>
      </w:r>
      <w:r w:rsidRPr="00D4309F">
        <w:t>Seaway</w:t>
      </w:r>
      <w:r w:rsidRPr="00D4309F">
        <w:rPr>
          <w:spacing w:val="-2"/>
        </w:rPr>
        <w:t xml:space="preserve"> </w:t>
      </w:r>
      <w:r w:rsidRPr="00D4309F">
        <w:t>–</w:t>
      </w:r>
      <w:r w:rsidRPr="00D4309F">
        <w:rPr>
          <w:spacing w:val="-3"/>
        </w:rPr>
        <w:t xml:space="preserve"> </w:t>
      </w:r>
      <w:r w:rsidRPr="00D4309F">
        <w:t>where</w:t>
      </w:r>
      <w:r w:rsidRPr="00D4309F">
        <w:rPr>
          <w:spacing w:val="-2"/>
        </w:rPr>
        <w:t xml:space="preserve"> </w:t>
      </w:r>
      <w:r w:rsidRPr="00D4309F">
        <w:t>annual transport exceeds 500,000</w:t>
      </w:r>
      <w:r w:rsidRPr="00D4309F">
        <w:rPr>
          <w:spacing w:val="-1"/>
        </w:rPr>
        <w:t xml:space="preserve"> </w:t>
      </w:r>
      <w:r w:rsidRPr="00D4309F">
        <w:t>m³/year. If future monitoring demonstrates that a crawler</w:t>
      </w:r>
      <w:r w:rsidRPr="00D4309F">
        <w:rPr>
          <w:spacing w:val="-1"/>
        </w:rPr>
        <w:t xml:space="preserve"> </w:t>
      </w:r>
      <w:r w:rsidRPr="00D4309F">
        <w:t>crane</w:t>
      </w:r>
      <w:r w:rsidRPr="00D4309F">
        <w:rPr>
          <w:spacing w:val="-1"/>
        </w:rPr>
        <w:t xml:space="preserve"> </w:t>
      </w:r>
      <w:r w:rsidRPr="00D4309F">
        <w:t>combined</w:t>
      </w:r>
      <w:r w:rsidRPr="00D4309F">
        <w:rPr>
          <w:spacing w:val="-1"/>
        </w:rPr>
        <w:t xml:space="preserve"> </w:t>
      </w:r>
      <w:r w:rsidRPr="00D4309F">
        <w:t>with a breakwater cannot maintain the required bypass capacity, a jetty system could be implemented as a later-stage augmentation; however, its installation is not justified as an initial solution.</w:t>
      </w:r>
    </w:p>
    <w:p w14:paraId="27C2F7B1" w14:textId="77777777" w:rsidR="00725977" w:rsidRPr="00D4309F" w:rsidRDefault="00725977" w:rsidP="00725977">
      <w:pPr>
        <w:pStyle w:val="BodyText"/>
      </w:pPr>
    </w:p>
    <w:p w14:paraId="7DA5082E" w14:textId="77777777" w:rsidR="00725977" w:rsidRPr="00D4309F" w:rsidRDefault="00725977" w:rsidP="00B538D4">
      <w:pPr>
        <w:ind w:left="142"/>
        <w:jc w:val="center"/>
      </w:pPr>
      <w:r w:rsidRPr="00D4309F">
        <w:rPr>
          <w:noProof/>
        </w:rPr>
        <w:lastRenderedPageBreak/>
        <w:drawing>
          <wp:inline distT="0" distB="0" distL="0" distR="0" wp14:anchorId="6034F129" wp14:editId="38263E1F">
            <wp:extent cx="6090524" cy="4238244"/>
            <wp:effectExtent l="0" t="0" r="0" b="0"/>
            <wp:docPr id="323" name="Image 323" descr="Arial image of Point Cartwright and the Mooloolaba Boat Harbour Entrance. map overlay shows a fixed jetty over sand trap just passed the eastern breakwater of the boat harbour entrance. it shows a pump station next to the entrance at Point Cartwright, with a permanent pipeline that takes sand to an outlet at Mooloolaba beac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descr="Arial image of Point Cartwright and the Mooloolaba Boat Harbour Entrance. map overlay shows a fixed jetty over sand trap just passed the eastern breakwater of the boat harbour entrance. it shows a pump station next to the entrance at Point Cartwright, with a permanent pipeline that takes sand to an outlet at Mooloolaba beach"/>
                    <pic:cNvPicPr/>
                  </pic:nvPicPr>
                  <pic:blipFill>
                    <a:blip r:embed="rId138" cstate="print"/>
                    <a:stretch>
                      <a:fillRect/>
                    </a:stretch>
                  </pic:blipFill>
                  <pic:spPr>
                    <a:xfrm>
                      <a:off x="0" y="0"/>
                      <a:ext cx="6090524" cy="4238244"/>
                    </a:xfrm>
                    <a:prstGeom prst="rect">
                      <a:avLst/>
                    </a:prstGeom>
                  </pic:spPr>
                </pic:pic>
              </a:graphicData>
            </a:graphic>
          </wp:inline>
        </w:drawing>
      </w:r>
    </w:p>
    <w:p w14:paraId="59C5C9E0" w14:textId="1E2CF383" w:rsidR="00725977" w:rsidRPr="00D4309F" w:rsidRDefault="00B538D4" w:rsidP="001C329B">
      <w:pPr>
        <w:pStyle w:val="Caption"/>
        <w:tabs>
          <w:tab w:val="clear" w:pos="1134"/>
        </w:tabs>
        <w:ind w:left="1134" w:hanging="1134"/>
      </w:pPr>
      <w:bookmarkStart w:id="476" w:name="_bookmark173"/>
      <w:bookmarkStart w:id="477" w:name="_Toc216699631"/>
      <w:bookmarkEnd w:id="476"/>
      <w:r>
        <w:t xml:space="preserve">Figure </w:t>
      </w:r>
      <w:r>
        <w:fldChar w:fldCharType="begin" w:fldLock="1"/>
      </w:r>
      <w:r>
        <w:instrText xml:space="preserve"> STYLEREF 1 \s </w:instrText>
      </w:r>
      <w:r>
        <w:fldChar w:fldCharType="separate"/>
      </w:r>
      <w:r>
        <w:rPr>
          <w:noProof/>
        </w:rPr>
        <w:t>16</w:t>
      </w:r>
      <w:r>
        <w:fldChar w:fldCharType="end"/>
      </w:r>
      <w:r>
        <w:noBreakHyphen/>
      </w:r>
      <w:r>
        <w:fldChar w:fldCharType="begin"/>
      </w:r>
      <w:r>
        <w:instrText xml:space="preserve"> SEQ Figure \* ARABIC \s 1 </w:instrText>
      </w:r>
      <w:r>
        <w:fldChar w:fldCharType="separate"/>
      </w:r>
      <w:r w:rsidR="006D0876">
        <w:rPr>
          <w:noProof/>
        </w:rPr>
        <w:t>2</w:t>
      </w:r>
      <w:r>
        <w:fldChar w:fldCharType="end"/>
      </w:r>
      <w:r>
        <w:t>:</w:t>
      </w:r>
      <w:r w:rsidR="001C329B">
        <w:t xml:space="preserve"> </w:t>
      </w:r>
      <w:r w:rsidRPr="00D4309F">
        <w:rPr>
          <w:color w:val="211E1F"/>
        </w:rPr>
        <w:t>Option</w:t>
      </w:r>
      <w:r w:rsidRPr="00D4309F">
        <w:rPr>
          <w:color w:val="211E1F"/>
          <w:spacing w:val="-2"/>
        </w:rPr>
        <w:t xml:space="preserve"> </w:t>
      </w:r>
      <w:r w:rsidRPr="00D4309F">
        <w:rPr>
          <w:color w:val="211E1F"/>
        </w:rPr>
        <w:t>4</w:t>
      </w:r>
      <w:r w:rsidRPr="00D4309F">
        <w:rPr>
          <w:color w:val="211E1F"/>
          <w:spacing w:val="-3"/>
        </w:rPr>
        <w:t xml:space="preserve"> </w:t>
      </w:r>
      <w:r w:rsidRPr="00D4309F">
        <w:rPr>
          <w:color w:val="211E1F"/>
        </w:rPr>
        <w:t>–</w:t>
      </w:r>
      <w:r w:rsidRPr="00D4309F">
        <w:rPr>
          <w:color w:val="211E1F"/>
          <w:spacing w:val="-2"/>
        </w:rPr>
        <w:t xml:space="preserve"> </w:t>
      </w:r>
      <w:r w:rsidRPr="00D4309F">
        <w:rPr>
          <w:color w:val="211E1F"/>
        </w:rPr>
        <w:t>Permanent</w:t>
      </w:r>
      <w:r w:rsidRPr="00D4309F">
        <w:rPr>
          <w:color w:val="211E1F"/>
          <w:spacing w:val="-2"/>
        </w:rPr>
        <w:t xml:space="preserve"> </w:t>
      </w:r>
      <w:r w:rsidRPr="00D4309F">
        <w:rPr>
          <w:color w:val="211E1F"/>
        </w:rPr>
        <w:t>Automated</w:t>
      </w:r>
      <w:r w:rsidRPr="00D4309F">
        <w:rPr>
          <w:color w:val="211E1F"/>
          <w:spacing w:val="-2"/>
        </w:rPr>
        <w:t xml:space="preserve"> </w:t>
      </w:r>
      <w:r w:rsidRPr="00D4309F">
        <w:rPr>
          <w:color w:val="211E1F"/>
        </w:rPr>
        <w:t>Sand</w:t>
      </w:r>
      <w:r w:rsidRPr="00D4309F">
        <w:rPr>
          <w:color w:val="211E1F"/>
          <w:spacing w:val="-2"/>
        </w:rPr>
        <w:t xml:space="preserve"> </w:t>
      </w:r>
      <w:r w:rsidRPr="00D4309F">
        <w:rPr>
          <w:color w:val="211E1F"/>
        </w:rPr>
        <w:t>Bypassing</w:t>
      </w:r>
      <w:r w:rsidRPr="00D4309F">
        <w:rPr>
          <w:color w:val="211E1F"/>
          <w:spacing w:val="-2"/>
        </w:rPr>
        <w:t xml:space="preserve"> </w:t>
      </w:r>
      <w:r w:rsidRPr="00D4309F">
        <w:rPr>
          <w:color w:val="211E1F"/>
        </w:rPr>
        <w:t>System</w:t>
      </w:r>
      <w:r w:rsidRPr="00D4309F">
        <w:rPr>
          <w:color w:val="211E1F"/>
          <w:spacing w:val="-3"/>
        </w:rPr>
        <w:t xml:space="preserve"> </w:t>
      </w:r>
      <w:r w:rsidRPr="00D4309F">
        <w:rPr>
          <w:color w:val="211E1F"/>
        </w:rPr>
        <w:t>at</w:t>
      </w:r>
      <w:r w:rsidRPr="00D4309F">
        <w:rPr>
          <w:color w:val="211E1F"/>
          <w:spacing w:val="-2"/>
        </w:rPr>
        <w:t xml:space="preserve"> </w:t>
      </w:r>
      <w:r w:rsidRPr="00D4309F">
        <w:rPr>
          <w:color w:val="211E1F"/>
        </w:rPr>
        <w:t>Headland</w:t>
      </w:r>
      <w:r w:rsidRPr="00D4309F">
        <w:rPr>
          <w:color w:val="211E1F"/>
          <w:spacing w:val="-2"/>
        </w:rPr>
        <w:t xml:space="preserve"> </w:t>
      </w:r>
      <w:r w:rsidRPr="00D4309F">
        <w:rPr>
          <w:color w:val="211E1F"/>
        </w:rPr>
        <w:t>Sand</w:t>
      </w:r>
      <w:r w:rsidRPr="00D4309F">
        <w:rPr>
          <w:color w:val="211E1F"/>
          <w:spacing w:val="-3"/>
        </w:rPr>
        <w:t xml:space="preserve"> </w:t>
      </w:r>
      <w:r w:rsidRPr="00D4309F">
        <w:rPr>
          <w:color w:val="211E1F"/>
        </w:rPr>
        <w:t>Trap</w:t>
      </w:r>
      <w:r w:rsidRPr="00D4309F">
        <w:rPr>
          <w:color w:val="211E1F"/>
          <w:spacing w:val="-3"/>
        </w:rPr>
        <w:t xml:space="preserve"> </w:t>
      </w:r>
      <w:r w:rsidRPr="00D4309F">
        <w:rPr>
          <w:color w:val="211E1F"/>
        </w:rPr>
        <w:t>Conceptual</w:t>
      </w:r>
      <w:r w:rsidR="000D6CDC">
        <w:rPr>
          <w:color w:val="211E1F"/>
          <w:spacing w:val="-2"/>
        </w:rPr>
        <w:t xml:space="preserve"> </w:t>
      </w:r>
      <w:r w:rsidRPr="00D4309F">
        <w:rPr>
          <w:color w:val="211E1F"/>
        </w:rPr>
        <w:t>Plan</w:t>
      </w:r>
      <w:r w:rsidR="00E967B1">
        <w:rPr>
          <w:color w:val="211E1F"/>
        </w:rPr>
        <w:t xml:space="preserve"> </w:t>
      </w:r>
      <w:r w:rsidRPr="00D4309F">
        <w:rPr>
          <w:color w:val="211E1F"/>
        </w:rPr>
        <w:t>View (ICM, 2025)</w:t>
      </w:r>
      <w:bookmarkEnd w:id="477"/>
    </w:p>
    <w:p w14:paraId="13DE7FE1" w14:textId="77777777" w:rsidR="00725977" w:rsidRPr="00D4309F" w:rsidRDefault="00725977" w:rsidP="00045159">
      <w:pPr>
        <w:pStyle w:val="Heading2"/>
      </w:pPr>
      <w:bookmarkStart w:id="478" w:name="_bookmark174"/>
      <w:bookmarkStart w:id="479" w:name="_Toc216699483"/>
      <w:bookmarkEnd w:id="478"/>
      <w:r w:rsidRPr="00D4309F">
        <w:t>Coastal</w:t>
      </w:r>
      <w:r w:rsidRPr="00D4309F">
        <w:rPr>
          <w:spacing w:val="-14"/>
        </w:rPr>
        <w:t xml:space="preserve"> </w:t>
      </w:r>
      <w:r w:rsidRPr="00D4309F">
        <w:t>processes</w:t>
      </w:r>
      <w:r w:rsidRPr="00D4309F">
        <w:rPr>
          <w:spacing w:val="-14"/>
        </w:rPr>
        <w:t xml:space="preserve"> </w:t>
      </w:r>
      <w:r w:rsidRPr="00D4309F">
        <w:rPr>
          <w:spacing w:val="-2"/>
        </w:rPr>
        <w:t>impacts</w:t>
      </w:r>
      <w:bookmarkEnd w:id="479"/>
    </w:p>
    <w:p w14:paraId="59DC849F" w14:textId="77777777" w:rsidR="00725977" w:rsidRPr="00D4309F" w:rsidRDefault="00725977" w:rsidP="00725977">
      <w:pPr>
        <w:pStyle w:val="BodyText"/>
      </w:pPr>
      <w:r w:rsidRPr="00D4309F">
        <w:t>Option 4 would alter local coastal processes primarily within the shallow headland zone south of Point Cartwright. Excavation of a sand trap into the rock platform would increase sediment retention in this compartment,</w:t>
      </w:r>
      <w:r w:rsidRPr="00D4309F">
        <w:rPr>
          <w:spacing w:val="-3"/>
        </w:rPr>
        <w:t xml:space="preserve"> </w:t>
      </w:r>
      <w:r w:rsidRPr="00D4309F">
        <w:t>but</w:t>
      </w:r>
      <w:r w:rsidRPr="00D4309F">
        <w:rPr>
          <w:spacing w:val="-3"/>
        </w:rPr>
        <w:t xml:space="preserve"> </w:t>
      </w:r>
      <w:r w:rsidRPr="00D4309F">
        <w:t>trap</w:t>
      </w:r>
      <w:r w:rsidRPr="00D4309F">
        <w:rPr>
          <w:spacing w:val="-3"/>
        </w:rPr>
        <w:t xml:space="preserve"> </w:t>
      </w:r>
      <w:r w:rsidRPr="00D4309F">
        <w:t>infilling</w:t>
      </w:r>
      <w:r w:rsidRPr="00D4309F">
        <w:rPr>
          <w:spacing w:val="-3"/>
        </w:rPr>
        <w:t xml:space="preserve"> </w:t>
      </w:r>
      <w:r w:rsidRPr="00D4309F">
        <w:t>would</w:t>
      </w:r>
      <w:r w:rsidRPr="00D4309F">
        <w:rPr>
          <w:spacing w:val="-3"/>
        </w:rPr>
        <w:t xml:space="preserve"> </w:t>
      </w:r>
      <w:r w:rsidRPr="00D4309F">
        <w:t>remain</w:t>
      </w:r>
      <w:r w:rsidRPr="00D4309F">
        <w:rPr>
          <w:spacing w:val="-3"/>
        </w:rPr>
        <w:t xml:space="preserve"> </w:t>
      </w:r>
      <w:r w:rsidRPr="00D4309F">
        <w:t>strongly</w:t>
      </w:r>
      <w:r w:rsidRPr="00D4309F">
        <w:rPr>
          <w:spacing w:val="-2"/>
        </w:rPr>
        <w:t xml:space="preserve"> </w:t>
      </w:r>
      <w:r w:rsidRPr="00D4309F">
        <w:t>dependent</w:t>
      </w:r>
      <w:r w:rsidRPr="00D4309F">
        <w:rPr>
          <w:spacing w:val="-3"/>
        </w:rPr>
        <w:t xml:space="preserve"> </w:t>
      </w:r>
      <w:r w:rsidRPr="00D4309F">
        <w:t>on</w:t>
      </w:r>
      <w:r w:rsidRPr="00D4309F">
        <w:rPr>
          <w:spacing w:val="-4"/>
        </w:rPr>
        <w:t xml:space="preserve"> </w:t>
      </w:r>
      <w:r w:rsidRPr="00D4309F">
        <w:t>episodic</w:t>
      </w:r>
      <w:r w:rsidRPr="00D4309F">
        <w:rPr>
          <w:spacing w:val="-2"/>
        </w:rPr>
        <w:t xml:space="preserve"> </w:t>
      </w:r>
      <w:r w:rsidRPr="00D4309F">
        <w:t>wave</w:t>
      </w:r>
      <w:r w:rsidRPr="00D4309F">
        <w:rPr>
          <w:spacing w:val="-3"/>
        </w:rPr>
        <w:t xml:space="preserve"> </w:t>
      </w:r>
      <w:r w:rsidRPr="00D4309F">
        <w:t>events.</w:t>
      </w:r>
      <w:r w:rsidRPr="00D4309F">
        <w:rPr>
          <w:spacing w:val="-3"/>
        </w:rPr>
        <w:t xml:space="preserve"> </w:t>
      </w:r>
      <w:r w:rsidRPr="00D4309F">
        <w:t>Because</w:t>
      </w:r>
      <w:r w:rsidRPr="00D4309F">
        <w:rPr>
          <w:spacing w:val="-3"/>
        </w:rPr>
        <w:t xml:space="preserve"> </w:t>
      </w:r>
      <w:r w:rsidRPr="00D4309F">
        <w:t>the</w:t>
      </w:r>
      <w:r w:rsidRPr="00D4309F">
        <w:rPr>
          <w:spacing w:val="-3"/>
        </w:rPr>
        <w:t xml:space="preserve"> </w:t>
      </w:r>
      <w:r w:rsidRPr="00D4309F">
        <w:t>trap does not extend to the depth of closure, a substantial portion of longshore transport would continue to bypass seaward of the system, maintaining a natural pathway for sediment to enter the entrance channel.</w:t>
      </w:r>
    </w:p>
    <w:p w14:paraId="7BD8B634" w14:textId="77777777" w:rsidR="00725977" w:rsidRPr="00D4309F" w:rsidRDefault="00725977" w:rsidP="00725977">
      <w:pPr>
        <w:pStyle w:val="BodyText"/>
      </w:pPr>
      <w:r w:rsidRPr="00D4309F">
        <w:t>Interception</w:t>
      </w:r>
      <w:r w:rsidRPr="00D4309F">
        <w:rPr>
          <w:spacing w:val="-2"/>
        </w:rPr>
        <w:t xml:space="preserve"> </w:t>
      </w:r>
      <w:r w:rsidRPr="00D4309F">
        <w:t>of</w:t>
      </w:r>
      <w:r w:rsidRPr="00D4309F">
        <w:rPr>
          <w:spacing w:val="-2"/>
        </w:rPr>
        <w:t xml:space="preserve"> </w:t>
      </w:r>
      <w:r w:rsidRPr="00D4309F">
        <w:t>sand</w:t>
      </w:r>
      <w:r w:rsidRPr="00D4309F">
        <w:rPr>
          <w:spacing w:val="-2"/>
        </w:rPr>
        <w:t xml:space="preserve"> </w:t>
      </w:r>
      <w:r w:rsidRPr="00D4309F">
        <w:t>in</w:t>
      </w:r>
      <w:r w:rsidRPr="00D4309F">
        <w:rPr>
          <w:spacing w:val="-2"/>
        </w:rPr>
        <w:t xml:space="preserve"> </w:t>
      </w:r>
      <w:r w:rsidRPr="00D4309F">
        <w:t>the</w:t>
      </w:r>
      <w:r w:rsidRPr="00D4309F">
        <w:rPr>
          <w:spacing w:val="-3"/>
        </w:rPr>
        <w:t xml:space="preserve"> </w:t>
      </w:r>
      <w:r w:rsidRPr="00D4309F">
        <w:t>shallow</w:t>
      </w:r>
      <w:r w:rsidRPr="00D4309F">
        <w:rPr>
          <w:spacing w:val="-3"/>
        </w:rPr>
        <w:t xml:space="preserve"> </w:t>
      </w:r>
      <w:r w:rsidRPr="00D4309F">
        <w:t>zone</w:t>
      </w:r>
      <w:r w:rsidRPr="00D4309F">
        <w:rPr>
          <w:spacing w:val="-3"/>
        </w:rPr>
        <w:t xml:space="preserve"> </w:t>
      </w:r>
      <w:r w:rsidRPr="00D4309F">
        <w:t>may</w:t>
      </w:r>
      <w:r w:rsidRPr="00D4309F">
        <w:rPr>
          <w:spacing w:val="-2"/>
        </w:rPr>
        <w:t xml:space="preserve"> </w:t>
      </w:r>
      <w:r w:rsidRPr="00D4309F">
        <w:t>slightly</w:t>
      </w:r>
      <w:r w:rsidRPr="00D4309F">
        <w:rPr>
          <w:spacing w:val="-2"/>
        </w:rPr>
        <w:t xml:space="preserve"> </w:t>
      </w:r>
      <w:r w:rsidRPr="00D4309F">
        <w:t>reduce</w:t>
      </w:r>
      <w:r w:rsidRPr="00D4309F">
        <w:rPr>
          <w:spacing w:val="-2"/>
        </w:rPr>
        <w:t xml:space="preserve"> </w:t>
      </w:r>
      <w:r w:rsidRPr="00D4309F">
        <w:t>the</w:t>
      </w:r>
      <w:r w:rsidRPr="00D4309F">
        <w:rPr>
          <w:spacing w:val="-2"/>
        </w:rPr>
        <w:t xml:space="preserve"> </w:t>
      </w:r>
      <w:r w:rsidRPr="00D4309F">
        <w:t>volume</w:t>
      </w:r>
      <w:r w:rsidRPr="00D4309F">
        <w:rPr>
          <w:spacing w:val="-2"/>
        </w:rPr>
        <w:t xml:space="preserve"> </w:t>
      </w:r>
      <w:r w:rsidRPr="00D4309F">
        <w:t>of</w:t>
      </w:r>
      <w:r w:rsidRPr="00D4309F">
        <w:rPr>
          <w:spacing w:val="-2"/>
        </w:rPr>
        <w:t xml:space="preserve"> </w:t>
      </w:r>
      <w:r w:rsidRPr="00D4309F">
        <w:t>material</w:t>
      </w:r>
      <w:r w:rsidRPr="00D4309F">
        <w:rPr>
          <w:spacing w:val="-2"/>
        </w:rPr>
        <w:t xml:space="preserve"> </w:t>
      </w:r>
      <w:r w:rsidRPr="00D4309F">
        <w:t>available</w:t>
      </w:r>
      <w:r w:rsidRPr="00D4309F">
        <w:rPr>
          <w:spacing w:val="-2"/>
        </w:rPr>
        <w:t xml:space="preserve"> </w:t>
      </w:r>
      <w:r w:rsidRPr="00D4309F">
        <w:t>for</w:t>
      </w:r>
      <w:r w:rsidRPr="00D4309F">
        <w:rPr>
          <w:spacing w:val="-1"/>
        </w:rPr>
        <w:t xml:space="preserve"> </w:t>
      </w:r>
      <w:r w:rsidRPr="00D4309F">
        <w:t>nearshore and upper-beach recovery along southern Buddina Beach. Any such effects are expected to be localised and minor relative to the gross transport system.</w:t>
      </w:r>
    </w:p>
    <w:p w14:paraId="0BC3E0CC" w14:textId="2A070CE5" w:rsidR="00725977" w:rsidRPr="00D4309F" w:rsidRDefault="00725977" w:rsidP="00725977">
      <w:pPr>
        <w:pStyle w:val="BodyText"/>
      </w:pPr>
      <w:r w:rsidRPr="00D4309F">
        <w:t>Cross-shore dynamics during storm events would continue to shift sand offshore beyond the trap footprint, reducing trap infill during and immediately after major events. Mooloolaba Beach would receive bypassed sand</w:t>
      </w:r>
      <w:r w:rsidRPr="00D4309F">
        <w:rPr>
          <w:spacing w:val="-3"/>
        </w:rPr>
        <w:t xml:space="preserve"> </w:t>
      </w:r>
      <w:r w:rsidRPr="00D4309F">
        <w:t>via</w:t>
      </w:r>
      <w:r w:rsidRPr="00D4309F">
        <w:rPr>
          <w:spacing w:val="-4"/>
        </w:rPr>
        <w:t xml:space="preserve"> </w:t>
      </w:r>
      <w:r w:rsidRPr="00D4309F">
        <w:t>controlled</w:t>
      </w:r>
      <w:r w:rsidRPr="00D4309F">
        <w:rPr>
          <w:spacing w:val="-3"/>
        </w:rPr>
        <w:t xml:space="preserve"> </w:t>
      </w:r>
      <w:r w:rsidRPr="00D4309F">
        <w:t>discharge,</w:t>
      </w:r>
      <w:r w:rsidRPr="00D4309F">
        <w:rPr>
          <w:spacing w:val="-3"/>
        </w:rPr>
        <w:t xml:space="preserve"> </w:t>
      </w:r>
      <w:r w:rsidRPr="00D4309F">
        <w:t>supporting</w:t>
      </w:r>
      <w:r w:rsidRPr="00D4309F">
        <w:rPr>
          <w:spacing w:val="-3"/>
        </w:rPr>
        <w:t xml:space="preserve"> </w:t>
      </w:r>
      <w:r w:rsidRPr="00D4309F">
        <w:t>regional</w:t>
      </w:r>
      <w:r w:rsidRPr="00D4309F">
        <w:rPr>
          <w:spacing w:val="-3"/>
        </w:rPr>
        <w:t xml:space="preserve"> </w:t>
      </w:r>
      <w:r w:rsidRPr="00D4309F">
        <w:t>sediment</w:t>
      </w:r>
      <w:r w:rsidRPr="00D4309F">
        <w:rPr>
          <w:spacing w:val="-3"/>
        </w:rPr>
        <w:t xml:space="preserve"> </w:t>
      </w:r>
      <w:r w:rsidRPr="00D4309F">
        <w:t>continuity,</w:t>
      </w:r>
      <w:r w:rsidRPr="00D4309F">
        <w:rPr>
          <w:spacing w:val="-3"/>
        </w:rPr>
        <w:t xml:space="preserve"> </w:t>
      </w:r>
      <w:r w:rsidRPr="00D4309F">
        <w:t>although</w:t>
      </w:r>
      <w:r w:rsidRPr="00D4309F">
        <w:rPr>
          <w:spacing w:val="-4"/>
        </w:rPr>
        <w:t xml:space="preserve"> </w:t>
      </w:r>
      <w:r w:rsidRPr="00D4309F">
        <w:t>nourishment</w:t>
      </w:r>
      <w:r w:rsidRPr="00D4309F">
        <w:rPr>
          <w:spacing w:val="-3"/>
        </w:rPr>
        <w:t xml:space="preserve"> </w:t>
      </w:r>
      <w:r w:rsidRPr="00D4309F">
        <w:t>rates</w:t>
      </w:r>
      <w:r w:rsidRPr="00D4309F">
        <w:rPr>
          <w:spacing w:val="-3"/>
        </w:rPr>
        <w:t xml:space="preserve"> </w:t>
      </w:r>
      <w:r w:rsidRPr="00D4309F">
        <w:t>would</w:t>
      </w:r>
      <w:r w:rsidRPr="00D4309F">
        <w:rPr>
          <w:spacing w:val="-3"/>
        </w:rPr>
        <w:t xml:space="preserve"> </w:t>
      </w:r>
      <w:r w:rsidRPr="00D4309F">
        <w:t>still reflect the variable infill behaviour of the trap.</w:t>
      </w:r>
    </w:p>
    <w:p w14:paraId="7493BB3D" w14:textId="77777777" w:rsidR="00725977" w:rsidRPr="00D4309F" w:rsidRDefault="00725977" w:rsidP="00045159">
      <w:pPr>
        <w:pStyle w:val="Heading2"/>
      </w:pPr>
      <w:bookmarkStart w:id="480" w:name="_bookmark175"/>
      <w:bookmarkStart w:id="481" w:name="_Toc216699484"/>
      <w:bookmarkEnd w:id="480"/>
      <w:r w:rsidRPr="00D4309F">
        <w:t>Design</w:t>
      </w:r>
      <w:r w:rsidRPr="00D4309F">
        <w:rPr>
          <w:spacing w:val="-10"/>
        </w:rPr>
        <w:t xml:space="preserve"> </w:t>
      </w:r>
      <w:r w:rsidRPr="00D4309F">
        <w:t>and</w:t>
      </w:r>
      <w:r w:rsidRPr="00D4309F">
        <w:rPr>
          <w:spacing w:val="-10"/>
        </w:rPr>
        <w:t xml:space="preserve"> </w:t>
      </w:r>
      <w:r w:rsidRPr="00D4309F">
        <w:rPr>
          <w:spacing w:val="-2"/>
        </w:rPr>
        <w:t>approvals</w:t>
      </w:r>
      <w:bookmarkEnd w:id="481"/>
    </w:p>
    <w:p w14:paraId="6282F7C9" w14:textId="77777777" w:rsidR="00725977" w:rsidRPr="00D4309F" w:rsidRDefault="00725977" w:rsidP="00725977">
      <w:pPr>
        <w:pStyle w:val="BodyText"/>
      </w:pPr>
      <w:r w:rsidRPr="00D4309F">
        <w:t>Option 4 remains at an early feasibility stage, with no detailed engineering design completed for the jetty-based bypassing</w:t>
      </w:r>
      <w:r w:rsidRPr="00D4309F">
        <w:rPr>
          <w:spacing w:val="-1"/>
        </w:rPr>
        <w:t xml:space="preserve"> </w:t>
      </w:r>
      <w:r w:rsidRPr="00D4309F">
        <w:t>system or the excavated sand trap.</w:t>
      </w:r>
      <w:r w:rsidRPr="00D4309F">
        <w:rPr>
          <w:spacing w:val="-2"/>
        </w:rPr>
        <w:t xml:space="preserve"> </w:t>
      </w:r>
      <w:r w:rsidRPr="00D4309F">
        <w:t>Previous 2012 geotechnical investigations provide only a</w:t>
      </w:r>
      <w:r w:rsidRPr="00D4309F">
        <w:rPr>
          <w:spacing w:val="-3"/>
        </w:rPr>
        <w:t xml:space="preserve"> </w:t>
      </w:r>
      <w:r w:rsidRPr="00D4309F">
        <w:t>preliminary</w:t>
      </w:r>
      <w:r w:rsidRPr="00D4309F">
        <w:rPr>
          <w:spacing w:val="-3"/>
        </w:rPr>
        <w:t xml:space="preserve"> </w:t>
      </w:r>
      <w:r w:rsidRPr="00D4309F">
        <w:t>indication</w:t>
      </w:r>
      <w:r w:rsidRPr="00D4309F">
        <w:rPr>
          <w:spacing w:val="-3"/>
        </w:rPr>
        <w:t xml:space="preserve"> </w:t>
      </w:r>
      <w:r w:rsidRPr="00D4309F">
        <w:t>of</w:t>
      </w:r>
      <w:r w:rsidRPr="00D4309F">
        <w:rPr>
          <w:spacing w:val="-3"/>
        </w:rPr>
        <w:t xml:space="preserve"> </w:t>
      </w:r>
      <w:r w:rsidRPr="00D4309F">
        <w:t>bedrock</w:t>
      </w:r>
      <w:r w:rsidRPr="00D4309F">
        <w:rPr>
          <w:spacing w:val="-2"/>
        </w:rPr>
        <w:t xml:space="preserve"> </w:t>
      </w:r>
      <w:r w:rsidRPr="00D4309F">
        <w:t>depth;</w:t>
      </w:r>
      <w:r w:rsidRPr="00D4309F">
        <w:rPr>
          <w:spacing w:val="-4"/>
        </w:rPr>
        <w:t xml:space="preserve"> </w:t>
      </w:r>
      <w:r w:rsidRPr="00D4309F">
        <w:t>however,</w:t>
      </w:r>
      <w:r w:rsidRPr="00D4309F">
        <w:rPr>
          <w:spacing w:val="-3"/>
        </w:rPr>
        <w:t xml:space="preserve"> </w:t>
      </w:r>
      <w:r w:rsidRPr="00D4309F">
        <w:t>key</w:t>
      </w:r>
      <w:r w:rsidRPr="00D4309F">
        <w:rPr>
          <w:spacing w:val="-2"/>
        </w:rPr>
        <w:t xml:space="preserve"> </w:t>
      </w:r>
      <w:r w:rsidRPr="00D4309F">
        <w:t>parameters</w:t>
      </w:r>
      <w:r w:rsidRPr="00D4309F">
        <w:rPr>
          <w:spacing w:val="-2"/>
        </w:rPr>
        <w:t xml:space="preserve"> </w:t>
      </w:r>
      <w:r w:rsidRPr="00D4309F">
        <w:t>such</w:t>
      </w:r>
      <w:r w:rsidRPr="00D4309F">
        <w:rPr>
          <w:spacing w:val="-3"/>
        </w:rPr>
        <w:t xml:space="preserve"> </w:t>
      </w:r>
      <w:r w:rsidRPr="00D4309F">
        <w:t>as</w:t>
      </w:r>
      <w:r w:rsidRPr="00D4309F">
        <w:rPr>
          <w:spacing w:val="-2"/>
        </w:rPr>
        <w:t xml:space="preserve"> </w:t>
      </w:r>
      <w:r w:rsidRPr="00D4309F">
        <w:t>rock</w:t>
      </w:r>
      <w:r w:rsidRPr="00D4309F">
        <w:rPr>
          <w:spacing w:val="-2"/>
        </w:rPr>
        <w:t xml:space="preserve"> </w:t>
      </w:r>
      <w:r w:rsidRPr="00D4309F">
        <w:t>composition,</w:t>
      </w:r>
      <w:r w:rsidRPr="00D4309F">
        <w:rPr>
          <w:spacing w:val="-3"/>
        </w:rPr>
        <w:t xml:space="preserve"> </w:t>
      </w:r>
      <w:r w:rsidRPr="00D4309F">
        <w:t>strength,</w:t>
      </w:r>
      <w:r w:rsidRPr="00D4309F">
        <w:rPr>
          <w:spacing w:val="-4"/>
        </w:rPr>
        <w:t xml:space="preserve"> </w:t>
      </w:r>
      <w:r w:rsidRPr="00D4309F">
        <w:t>ease of excavation, and local variability are not yet defined. These uncertainties mean that constructability, excavation methods, system performance, and cost reliability cannot be confirmed at this stage.</w:t>
      </w:r>
    </w:p>
    <w:p w14:paraId="2C1763B1" w14:textId="39DE9135" w:rsidR="00725977" w:rsidRPr="00D4309F" w:rsidRDefault="00725977" w:rsidP="00725977">
      <w:pPr>
        <w:pStyle w:val="BodyText"/>
      </w:pPr>
      <w:r w:rsidRPr="00D4309F">
        <w:t>Progression of this option would require a coordinated package of coastal process modelling, geotechnical investigation,</w:t>
      </w:r>
      <w:r w:rsidRPr="00D4309F">
        <w:rPr>
          <w:spacing w:val="-3"/>
        </w:rPr>
        <w:t xml:space="preserve"> </w:t>
      </w:r>
      <w:r w:rsidRPr="00D4309F">
        <w:t>and</w:t>
      </w:r>
      <w:r w:rsidRPr="00D4309F">
        <w:rPr>
          <w:spacing w:val="-3"/>
        </w:rPr>
        <w:t xml:space="preserve"> </w:t>
      </w:r>
      <w:r w:rsidRPr="00D4309F">
        <w:t>preliminary</w:t>
      </w:r>
      <w:r w:rsidRPr="00D4309F">
        <w:rPr>
          <w:spacing w:val="-3"/>
        </w:rPr>
        <w:t xml:space="preserve"> </w:t>
      </w:r>
      <w:r w:rsidRPr="00D4309F">
        <w:t>structural/mechanical</w:t>
      </w:r>
      <w:r w:rsidRPr="00D4309F">
        <w:rPr>
          <w:spacing w:val="-3"/>
        </w:rPr>
        <w:t xml:space="preserve"> </w:t>
      </w:r>
      <w:r w:rsidRPr="00D4309F">
        <w:t>design</w:t>
      </w:r>
      <w:r w:rsidRPr="00D4309F">
        <w:rPr>
          <w:spacing w:val="-3"/>
        </w:rPr>
        <w:t xml:space="preserve"> </w:t>
      </w:r>
      <w:r w:rsidRPr="00D4309F">
        <w:t>to</w:t>
      </w:r>
      <w:r w:rsidRPr="00D4309F">
        <w:rPr>
          <w:spacing w:val="-3"/>
        </w:rPr>
        <w:t xml:space="preserve"> </w:t>
      </w:r>
      <w:r w:rsidRPr="00D4309F">
        <w:t>test</w:t>
      </w:r>
      <w:r w:rsidRPr="00D4309F">
        <w:rPr>
          <w:spacing w:val="-3"/>
        </w:rPr>
        <w:t xml:space="preserve"> </w:t>
      </w:r>
      <w:r w:rsidRPr="00D4309F">
        <w:t>whether</w:t>
      </w:r>
      <w:r w:rsidRPr="00D4309F">
        <w:rPr>
          <w:spacing w:val="-2"/>
        </w:rPr>
        <w:t xml:space="preserve"> </w:t>
      </w:r>
      <w:r w:rsidRPr="00D4309F">
        <w:t>the</w:t>
      </w:r>
      <w:r w:rsidRPr="00D4309F">
        <w:rPr>
          <w:spacing w:val="-3"/>
        </w:rPr>
        <w:t xml:space="preserve"> </w:t>
      </w:r>
      <w:r w:rsidRPr="00D4309F">
        <w:t>concept</w:t>
      </w:r>
      <w:r w:rsidRPr="00D4309F">
        <w:rPr>
          <w:spacing w:val="-3"/>
        </w:rPr>
        <w:t xml:space="preserve"> </w:t>
      </w:r>
      <w:r w:rsidRPr="00D4309F">
        <w:t>is</w:t>
      </w:r>
      <w:r w:rsidRPr="00D4309F">
        <w:rPr>
          <w:spacing w:val="-2"/>
        </w:rPr>
        <w:t xml:space="preserve"> </w:t>
      </w:r>
      <w:r w:rsidRPr="00D4309F">
        <w:t>technically</w:t>
      </w:r>
      <w:r w:rsidRPr="00D4309F">
        <w:rPr>
          <w:spacing w:val="-3"/>
        </w:rPr>
        <w:t xml:space="preserve"> </w:t>
      </w:r>
      <w:r w:rsidRPr="00D4309F">
        <w:t>viable. This includes validating how the excavated trap and jetty would interact with local waves, currents, and</w:t>
      </w:r>
      <w:r w:rsidR="009F2DB8">
        <w:t xml:space="preserve"> </w:t>
      </w:r>
      <w:r w:rsidRPr="00D4309F">
        <w:lastRenderedPageBreak/>
        <w:t>sediment</w:t>
      </w:r>
      <w:r w:rsidRPr="00D4309F">
        <w:rPr>
          <w:spacing w:val="-4"/>
        </w:rPr>
        <w:t xml:space="preserve"> </w:t>
      </w:r>
      <w:r w:rsidRPr="00D4309F">
        <w:t>pathways,</w:t>
      </w:r>
      <w:r w:rsidRPr="00D4309F">
        <w:rPr>
          <w:spacing w:val="-4"/>
        </w:rPr>
        <w:t xml:space="preserve"> </w:t>
      </w:r>
      <w:r w:rsidRPr="00D4309F">
        <w:t>assessing</w:t>
      </w:r>
      <w:r w:rsidRPr="00D4309F">
        <w:rPr>
          <w:spacing w:val="-4"/>
        </w:rPr>
        <w:t xml:space="preserve"> </w:t>
      </w:r>
      <w:r w:rsidRPr="00D4309F">
        <w:t>excavation</w:t>
      </w:r>
      <w:r w:rsidRPr="00D4309F">
        <w:rPr>
          <w:spacing w:val="-4"/>
        </w:rPr>
        <w:t xml:space="preserve"> </w:t>
      </w:r>
      <w:r w:rsidRPr="00D4309F">
        <w:t>feasibility</w:t>
      </w:r>
      <w:r w:rsidRPr="00D4309F">
        <w:rPr>
          <w:spacing w:val="-3"/>
        </w:rPr>
        <w:t xml:space="preserve"> </w:t>
      </w:r>
      <w:r w:rsidRPr="00D4309F">
        <w:t>in</w:t>
      </w:r>
      <w:r w:rsidRPr="00D4309F">
        <w:rPr>
          <w:spacing w:val="-4"/>
        </w:rPr>
        <w:t xml:space="preserve"> </w:t>
      </w:r>
      <w:r w:rsidRPr="00D4309F">
        <w:t>shallow</w:t>
      </w:r>
      <w:r w:rsidRPr="00D4309F">
        <w:rPr>
          <w:spacing w:val="-3"/>
        </w:rPr>
        <w:t xml:space="preserve"> </w:t>
      </w:r>
      <w:r w:rsidRPr="00D4309F">
        <w:t>rock,</w:t>
      </w:r>
      <w:r w:rsidRPr="00D4309F">
        <w:rPr>
          <w:spacing w:val="-4"/>
        </w:rPr>
        <w:t xml:space="preserve"> </w:t>
      </w:r>
      <w:r w:rsidRPr="00D4309F">
        <w:t>and</w:t>
      </w:r>
      <w:r w:rsidRPr="00D4309F">
        <w:rPr>
          <w:spacing w:val="-4"/>
        </w:rPr>
        <w:t xml:space="preserve"> </w:t>
      </w:r>
      <w:r w:rsidRPr="00D4309F">
        <w:t>defining</w:t>
      </w:r>
      <w:r w:rsidRPr="00D4309F">
        <w:rPr>
          <w:spacing w:val="-4"/>
        </w:rPr>
        <w:t xml:space="preserve"> </w:t>
      </w:r>
      <w:r w:rsidRPr="00D4309F">
        <w:t>the</w:t>
      </w:r>
      <w:r w:rsidRPr="00D4309F">
        <w:rPr>
          <w:spacing w:val="-4"/>
        </w:rPr>
        <w:t xml:space="preserve"> </w:t>
      </w:r>
      <w:r w:rsidRPr="00D4309F">
        <w:t>operational requirements of the pumping system.</w:t>
      </w:r>
    </w:p>
    <w:p w14:paraId="0CC3D7E8" w14:textId="39748C75" w:rsidR="00725977" w:rsidRPr="00D4309F" w:rsidRDefault="00725977" w:rsidP="00725977">
      <w:pPr>
        <w:pStyle w:val="BodyText"/>
      </w:pPr>
      <w:r w:rsidRPr="00D4309F">
        <w:t>In</w:t>
      </w:r>
      <w:r w:rsidRPr="00D4309F">
        <w:rPr>
          <w:spacing w:val="-3"/>
        </w:rPr>
        <w:t xml:space="preserve"> </w:t>
      </w:r>
      <w:r w:rsidRPr="00D4309F">
        <w:t>parallel,</w:t>
      </w:r>
      <w:r w:rsidRPr="00D4309F">
        <w:rPr>
          <w:spacing w:val="-3"/>
        </w:rPr>
        <w:t xml:space="preserve"> </w:t>
      </w:r>
      <w:r w:rsidRPr="00D4309F">
        <w:t>the</w:t>
      </w:r>
      <w:r w:rsidRPr="00D4309F">
        <w:rPr>
          <w:spacing w:val="-3"/>
        </w:rPr>
        <w:t xml:space="preserve"> </w:t>
      </w:r>
      <w:r w:rsidRPr="00D4309F">
        <w:t>project</w:t>
      </w:r>
      <w:r w:rsidRPr="00D4309F">
        <w:rPr>
          <w:spacing w:val="-3"/>
        </w:rPr>
        <w:t xml:space="preserve"> </w:t>
      </w:r>
      <w:r w:rsidRPr="00D4309F">
        <w:t>would</w:t>
      </w:r>
      <w:r w:rsidRPr="00D4309F">
        <w:rPr>
          <w:spacing w:val="-3"/>
        </w:rPr>
        <w:t xml:space="preserve"> </w:t>
      </w:r>
      <w:r w:rsidRPr="00D4309F">
        <w:t>require</w:t>
      </w:r>
      <w:r w:rsidRPr="00D4309F">
        <w:rPr>
          <w:spacing w:val="-3"/>
        </w:rPr>
        <w:t xml:space="preserve"> </w:t>
      </w:r>
      <w:r w:rsidRPr="00D4309F">
        <w:t>early</w:t>
      </w:r>
      <w:r w:rsidRPr="00D4309F">
        <w:rPr>
          <w:spacing w:val="-2"/>
        </w:rPr>
        <w:t xml:space="preserve"> </w:t>
      </w:r>
      <w:r w:rsidRPr="00D4309F">
        <w:t>environmental</w:t>
      </w:r>
      <w:r w:rsidRPr="00D4309F">
        <w:rPr>
          <w:spacing w:val="-3"/>
        </w:rPr>
        <w:t xml:space="preserve"> </w:t>
      </w:r>
      <w:r w:rsidRPr="00D4309F">
        <w:t>and</w:t>
      </w:r>
      <w:r w:rsidRPr="00D4309F">
        <w:rPr>
          <w:spacing w:val="-3"/>
        </w:rPr>
        <w:t xml:space="preserve"> </w:t>
      </w:r>
      <w:r w:rsidRPr="00D4309F">
        <w:t>regulatory</w:t>
      </w:r>
      <w:r w:rsidRPr="00D4309F">
        <w:rPr>
          <w:spacing w:val="-2"/>
        </w:rPr>
        <w:t xml:space="preserve"> </w:t>
      </w:r>
      <w:r w:rsidRPr="00D4309F">
        <w:t>engagement,</w:t>
      </w:r>
      <w:r w:rsidRPr="00D4309F">
        <w:rPr>
          <w:spacing w:val="-3"/>
        </w:rPr>
        <w:t xml:space="preserve"> </w:t>
      </w:r>
      <w:r w:rsidRPr="00D4309F">
        <w:t>as</w:t>
      </w:r>
      <w:r w:rsidRPr="00D4309F">
        <w:rPr>
          <w:spacing w:val="-2"/>
        </w:rPr>
        <w:t xml:space="preserve"> </w:t>
      </w:r>
      <w:r w:rsidRPr="00D4309F">
        <w:t>the</w:t>
      </w:r>
      <w:r w:rsidRPr="00D4309F">
        <w:rPr>
          <w:spacing w:val="-3"/>
        </w:rPr>
        <w:t xml:space="preserve"> </w:t>
      </w:r>
      <w:r w:rsidRPr="00D4309F">
        <w:t>works</w:t>
      </w:r>
      <w:r w:rsidRPr="00D4309F">
        <w:rPr>
          <w:spacing w:val="-2"/>
        </w:rPr>
        <w:t xml:space="preserve"> </w:t>
      </w:r>
      <w:r w:rsidRPr="00D4309F">
        <w:t>involve seabed excavation, new coastal infrastructure, and ongoing sediment discharge. The scale and nature of disturbance mean that detailed environmental assessment and multiple statutory approvals would be expected as part of any progression toward detailed design.</w:t>
      </w:r>
    </w:p>
    <w:p w14:paraId="503E8665" w14:textId="77777777" w:rsidR="00725977" w:rsidRPr="00D4309F" w:rsidRDefault="00725977" w:rsidP="00AF12C0">
      <w:pPr>
        <w:pStyle w:val="Heading2"/>
      </w:pPr>
      <w:bookmarkStart w:id="482" w:name="_bookmark176"/>
      <w:bookmarkStart w:id="483" w:name="_Toc216699485"/>
      <w:bookmarkEnd w:id="482"/>
      <w:r w:rsidRPr="00D4309F">
        <w:t>Capital</w:t>
      </w:r>
      <w:r w:rsidRPr="00D4309F">
        <w:rPr>
          <w:spacing w:val="-12"/>
        </w:rPr>
        <w:t xml:space="preserve"> </w:t>
      </w:r>
      <w:r w:rsidRPr="00D4309F">
        <w:rPr>
          <w:spacing w:val="-2"/>
        </w:rPr>
        <w:t>works</w:t>
      </w:r>
      <w:bookmarkEnd w:id="483"/>
    </w:p>
    <w:p w14:paraId="09B6A37E" w14:textId="77777777" w:rsidR="00725977" w:rsidRPr="00D4309F" w:rsidRDefault="00725977" w:rsidP="00725977">
      <w:pPr>
        <w:pStyle w:val="BodyText"/>
      </w:pPr>
      <w:r w:rsidRPr="00D4309F">
        <w:t>Implementation</w:t>
      </w:r>
      <w:r w:rsidRPr="00D4309F">
        <w:rPr>
          <w:spacing w:val="-2"/>
        </w:rPr>
        <w:t xml:space="preserve"> </w:t>
      </w:r>
      <w:r w:rsidRPr="00D4309F">
        <w:t>of</w:t>
      </w:r>
      <w:r w:rsidRPr="00D4309F">
        <w:rPr>
          <w:spacing w:val="-2"/>
        </w:rPr>
        <w:t xml:space="preserve"> </w:t>
      </w:r>
      <w:r w:rsidRPr="00D4309F">
        <w:t>Option</w:t>
      </w:r>
      <w:r w:rsidRPr="00D4309F">
        <w:rPr>
          <w:spacing w:val="-3"/>
        </w:rPr>
        <w:t xml:space="preserve"> </w:t>
      </w:r>
      <w:r w:rsidRPr="00D4309F">
        <w:t>4</w:t>
      </w:r>
      <w:r w:rsidRPr="00D4309F">
        <w:rPr>
          <w:spacing w:val="-2"/>
        </w:rPr>
        <w:t xml:space="preserve"> </w:t>
      </w:r>
      <w:r w:rsidRPr="00D4309F">
        <w:t>would</w:t>
      </w:r>
      <w:r w:rsidRPr="00D4309F">
        <w:rPr>
          <w:spacing w:val="-2"/>
        </w:rPr>
        <w:t xml:space="preserve"> </w:t>
      </w:r>
      <w:r w:rsidRPr="00D4309F">
        <w:t>require</w:t>
      </w:r>
      <w:r w:rsidRPr="00D4309F">
        <w:rPr>
          <w:spacing w:val="-2"/>
        </w:rPr>
        <w:t xml:space="preserve"> </w:t>
      </w:r>
      <w:r w:rsidRPr="00D4309F">
        <w:t>a</w:t>
      </w:r>
      <w:r w:rsidRPr="00D4309F">
        <w:rPr>
          <w:spacing w:val="-2"/>
        </w:rPr>
        <w:t xml:space="preserve"> </w:t>
      </w:r>
      <w:r w:rsidRPr="00D4309F">
        <w:t>substantial</w:t>
      </w:r>
      <w:r w:rsidRPr="00D4309F">
        <w:rPr>
          <w:spacing w:val="-2"/>
        </w:rPr>
        <w:t xml:space="preserve"> </w:t>
      </w:r>
      <w:r w:rsidRPr="00D4309F">
        <w:t>capital</w:t>
      </w:r>
      <w:r w:rsidRPr="00D4309F">
        <w:rPr>
          <w:spacing w:val="-3"/>
        </w:rPr>
        <w:t xml:space="preserve"> </w:t>
      </w:r>
      <w:r w:rsidRPr="00D4309F">
        <w:t>works,</w:t>
      </w:r>
      <w:r w:rsidRPr="00D4309F">
        <w:rPr>
          <w:spacing w:val="-2"/>
        </w:rPr>
        <w:t xml:space="preserve"> </w:t>
      </w:r>
      <w:r w:rsidRPr="00D4309F">
        <w:t>reflecting</w:t>
      </w:r>
      <w:r w:rsidRPr="00D4309F">
        <w:rPr>
          <w:spacing w:val="-3"/>
        </w:rPr>
        <w:t xml:space="preserve"> </w:t>
      </w:r>
      <w:r w:rsidRPr="00D4309F">
        <w:t>the</w:t>
      </w:r>
      <w:r w:rsidRPr="00D4309F">
        <w:rPr>
          <w:spacing w:val="-2"/>
        </w:rPr>
        <w:t xml:space="preserve"> </w:t>
      </w:r>
      <w:r w:rsidRPr="00D4309F">
        <w:t>scale</w:t>
      </w:r>
      <w:r w:rsidRPr="00D4309F">
        <w:rPr>
          <w:spacing w:val="-2"/>
        </w:rPr>
        <w:t xml:space="preserve"> </w:t>
      </w:r>
      <w:r w:rsidRPr="00D4309F">
        <w:t>and</w:t>
      </w:r>
      <w:r w:rsidRPr="00D4309F">
        <w:rPr>
          <w:spacing w:val="-3"/>
        </w:rPr>
        <w:t xml:space="preserve"> </w:t>
      </w:r>
      <w:r w:rsidRPr="00D4309F">
        <w:t>permanence</w:t>
      </w:r>
      <w:r w:rsidRPr="00D4309F">
        <w:rPr>
          <w:spacing w:val="-3"/>
        </w:rPr>
        <w:t xml:space="preserve"> </w:t>
      </w:r>
      <w:r w:rsidRPr="00D4309F">
        <w:t>of the proposed infrastructure. This option involves forming a purpose-built sand trap directly adjacent to the northern breakwater by excavating the existing nearshore rock shelf, combined with constructing a fixed pump station, jetty, and permanent pipeline network to transfer sand from the trap (Area A) to Mooloolaba Beach (Area B).</w:t>
      </w:r>
    </w:p>
    <w:p w14:paraId="3EAAC13C" w14:textId="77777777" w:rsidR="00725977" w:rsidRPr="00D4309F" w:rsidRDefault="00725977" w:rsidP="00D27F26">
      <w:pPr>
        <w:pStyle w:val="ListParagraph"/>
        <w:widowControl w:val="0"/>
        <w:numPr>
          <w:ilvl w:val="0"/>
          <w:numId w:val="134"/>
        </w:numPr>
        <w:tabs>
          <w:tab w:val="left" w:pos="501"/>
        </w:tabs>
        <w:autoSpaceDE w:val="0"/>
        <w:autoSpaceDN w:val="0"/>
        <w:spacing w:after="0" w:line="240" w:lineRule="auto"/>
        <w:contextualSpacing w:val="0"/>
      </w:pPr>
      <w:r w:rsidRPr="00D4309F">
        <w:rPr>
          <w:color w:val="211E1F"/>
        </w:rPr>
        <w:t>Excavation</w:t>
      </w:r>
      <w:r w:rsidRPr="00D4309F">
        <w:rPr>
          <w:color w:val="211E1F"/>
          <w:spacing w:val="-4"/>
        </w:rPr>
        <w:t xml:space="preserve"> </w:t>
      </w:r>
      <w:r w:rsidRPr="00D4309F">
        <w:rPr>
          <w:color w:val="211E1F"/>
        </w:rPr>
        <w:t>of</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headland</w:t>
      </w:r>
      <w:r w:rsidRPr="00D4309F">
        <w:rPr>
          <w:color w:val="211E1F"/>
          <w:spacing w:val="-4"/>
        </w:rPr>
        <w:t xml:space="preserve"> </w:t>
      </w:r>
      <w:r w:rsidRPr="00D4309F">
        <w:rPr>
          <w:color w:val="211E1F"/>
        </w:rPr>
        <w:t>sand</w:t>
      </w:r>
      <w:r w:rsidRPr="00D4309F">
        <w:rPr>
          <w:color w:val="211E1F"/>
          <w:spacing w:val="-3"/>
        </w:rPr>
        <w:t xml:space="preserve"> </w:t>
      </w:r>
      <w:r w:rsidRPr="00D4309F">
        <w:rPr>
          <w:color w:val="211E1F"/>
          <w:spacing w:val="-4"/>
        </w:rPr>
        <w:t>trap</w:t>
      </w:r>
    </w:p>
    <w:p w14:paraId="37C3F7EF" w14:textId="77777777" w:rsidR="00725977" w:rsidRPr="00D4309F" w:rsidRDefault="00725977" w:rsidP="00D27F26">
      <w:pPr>
        <w:pStyle w:val="ListParagraph"/>
        <w:widowControl w:val="0"/>
        <w:numPr>
          <w:ilvl w:val="1"/>
          <w:numId w:val="134"/>
        </w:numPr>
        <w:tabs>
          <w:tab w:val="left" w:pos="861"/>
        </w:tabs>
        <w:autoSpaceDE w:val="0"/>
        <w:autoSpaceDN w:val="0"/>
        <w:spacing w:before="119" w:after="0" w:line="240" w:lineRule="auto"/>
        <w:ind w:right="131"/>
        <w:contextualSpacing w:val="0"/>
      </w:pPr>
      <w:r w:rsidRPr="00D4309F">
        <w:rPr>
          <w:color w:val="211E1F"/>
        </w:rPr>
        <w:t>Creation</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a</w:t>
      </w:r>
      <w:r w:rsidRPr="00D4309F">
        <w:rPr>
          <w:color w:val="211E1F"/>
          <w:spacing w:val="-3"/>
        </w:rPr>
        <w:t xml:space="preserve"> </w:t>
      </w:r>
      <w:r w:rsidRPr="00D4309F">
        <w:rPr>
          <w:color w:val="211E1F"/>
        </w:rPr>
        <w:t>functioning</w:t>
      </w:r>
      <w:r w:rsidRPr="00D4309F">
        <w:rPr>
          <w:color w:val="211E1F"/>
          <w:spacing w:val="-3"/>
        </w:rPr>
        <w:t xml:space="preserve"> </w:t>
      </w:r>
      <w:r w:rsidRPr="00D4309F">
        <w:rPr>
          <w:color w:val="211E1F"/>
        </w:rPr>
        <w:t>sand</w:t>
      </w:r>
      <w:r w:rsidRPr="00D4309F">
        <w:rPr>
          <w:color w:val="211E1F"/>
          <w:spacing w:val="-3"/>
        </w:rPr>
        <w:t xml:space="preserve"> </w:t>
      </w:r>
      <w:r w:rsidRPr="00D4309F">
        <w:rPr>
          <w:color w:val="211E1F"/>
        </w:rPr>
        <w:t>trap</w:t>
      </w:r>
      <w:r w:rsidRPr="00D4309F">
        <w:rPr>
          <w:color w:val="211E1F"/>
          <w:spacing w:val="-3"/>
        </w:rPr>
        <w:t xml:space="preserve"> </w:t>
      </w:r>
      <w:r w:rsidRPr="00D4309F">
        <w:rPr>
          <w:color w:val="211E1F"/>
        </w:rPr>
        <w:t>by</w:t>
      </w:r>
      <w:r w:rsidRPr="00D4309F">
        <w:rPr>
          <w:color w:val="211E1F"/>
          <w:spacing w:val="-2"/>
        </w:rPr>
        <w:t xml:space="preserve"> </w:t>
      </w:r>
      <w:r w:rsidRPr="00D4309F">
        <w:rPr>
          <w:color w:val="211E1F"/>
        </w:rPr>
        <w:t>mechanically</w:t>
      </w:r>
      <w:r w:rsidRPr="00D4309F">
        <w:rPr>
          <w:color w:val="211E1F"/>
          <w:spacing w:val="-2"/>
        </w:rPr>
        <w:t xml:space="preserve"> </w:t>
      </w:r>
      <w:r w:rsidRPr="00D4309F">
        <w:rPr>
          <w:color w:val="211E1F"/>
        </w:rPr>
        <w:t>excavating</w:t>
      </w:r>
      <w:r w:rsidRPr="00D4309F">
        <w:rPr>
          <w:color w:val="211E1F"/>
          <w:spacing w:val="-3"/>
        </w:rPr>
        <w:t xml:space="preserve"> </w:t>
      </w:r>
      <w:r w:rsidRPr="00D4309F">
        <w:rPr>
          <w:color w:val="211E1F"/>
        </w:rPr>
        <w:t>the</w:t>
      </w:r>
      <w:r w:rsidRPr="00D4309F">
        <w:rPr>
          <w:color w:val="211E1F"/>
          <w:spacing w:val="-4"/>
        </w:rPr>
        <w:t xml:space="preserve"> </w:t>
      </w:r>
      <w:r w:rsidRPr="00D4309F">
        <w:rPr>
          <w:color w:val="211E1F"/>
        </w:rPr>
        <w:t>shallow</w:t>
      </w:r>
      <w:r w:rsidRPr="00D4309F">
        <w:rPr>
          <w:color w:val="211E1F"/>
          <w:spacing w:val="-2"/>
        </w:rPr>
        <w:t xml:space="preserve"> </w:t>
      </w:r>
      <w:r w:rsidRPr="00D4309F">
        <w:rPr>
          <w:color w:val="211E1F"/>
        </w:rPr>
        <w:t>rock</w:t>
      </w:r>
      <w:r w:rsidRPr="00D4309F">
        <w:rPr>
          <w:color w:val="211E1F"/>
          <w:spacing w:val="-2"/>
        </w:rPr>
        <w:t xml:space="preserve"> </w:t>
      </w:r>
      <w:r w:rsidRPr="00D4309F">
        <w:rPr>
          <w:color w:val="211E1F"/>
        </w:rPr>
        <w:t>platform</w:t>
      </w:r>
      <w:r w:rsidRPr="00D4309F">
        <w:rPr>
          <w:color w:val="211E1F"/>
          <w:spacing w:val="-3"/>
        </w:rPr>
        <w:t xml:space="preserve"> </w:t>
      </w:r>
      <w:r w:rsidRPr="00D4309F">
        <w:rPr>
          <w:color w:val="211E1F"/>
        </w:rPr>
        <w:t>to</w:t>
      </w:r>
      <w:r w:rsidRPr="00D4309F">
        <w:rPr>
          <w:color w:val="211E1F"/>
          <w:spacing w:val="-3"/>
        </w:rPr>
        <w:t xml:space="preserve"> </w:t>
      </w:r>
      <w:r w:rsidRPr="00D4309F">
        <w:rPr>
          <w:color w:val="211E1F"/>
        </w:rPr>
        <w:t>achieve sufficient depth and holding capacity.</w:t>
      </w:r>
    </w:p>
    <w:p w14:paraId="740B5D32" w14:textId="77777777" w:rsidR="00725977" w:rsidRPr="00D4309F" w:rsidRDefault="00725977" w:rsidP="00D27F26">
      <w:pPr>
        <w:pStyle w:val="ListParagraph"/>
        <w:widowControl w:val="0"/>
        <w:numPr>
          <w:ilvl w:val="1"/>
          <w:numId w:val="134"/>
        </w:numPr>
        <w:tabs>
          <w:tab w:val="left" w:pos="861"/>
        </w:tabs>
        <w:autoSpaceDE w:val="0"/>
        <w:autoSpaceDN w:val="0"/>
        <w:spacing w:after="0" w:line="240" w:lineRule="auto"/>
        <w:contextualSpacing w:val="0"/>
      </w:pPr>
      <w:r w:rsidRPr="00D4309F">
        <w:rPr>
          <w:color w:val="211E1F"/>
        </w:rPr>
        <w:t>Management</w:t>
      </w:r>
      <w:r w:rsidRPr="00D4309F">
        <w:rPr>
          <w:color w:val="211E1F"/>
          <w:spacing w:val="-6"/>
        </w:rPr>
        <w:t xml:space="preserve"> </w:t>
      </w:r>
      <w:r w:rsidRPr="00D4309F">
        <w:rPr>
          <w:color w:val="211E1F"/>
        </w:rPr>
        <w:t>of</w:t>
      </w:r>
      <w:r w:rsidRPr="00D4309F">
        <w:rPr>
          <w:color w:val="211E1F"/>
          <w:spacing w:val="-4"/>
        </w:rPr>
        <w:t xml:space="preserve"> </w:t>
      </w:r>
      <w:r w:rsidRPr="00D4309F">
        <w:rPr>
          <w:color w:val="211E1F"/>
        </w:rPr>
        <w:t>excavated</w:t>
      </w:r>
      <w:r w:rsidRPr="00D4309F">
        <w:rPr>
          <w:color w:val="211E1F"/>
          <w:spacing w:val="-5"/>
        </w:rPr>
        <w:t xml:space="preserve"> </w:t>
      </w:r>
      <w:r w:rsidRPr="00D4309F">
        <w:rPr>
          <w:color w:val="211E1F"/>
        </w:rPr>
        <w:t>rock,</w:t>
      </w:r>
      <w:r w:rsidRPr="00D4309F">
        <w:rPr>
          <w:color w:val="211E1F"/>
          <w:spacing w:val="-3"/>
        </w:rPr>
        <w:t xml:space="preserve"> </w:t>
      </w:r>
      <w:r w:rsidRPr="00D4309F">
        <w:rPr>
          <w:color w:val="211E1F"/>
        </w:rPr>
        <w:t>with</w:t>
      </w:r>
      <w:r w:rsidRPr="00D4309F">
        <w:rPr>
          <w:color w:val="211E1F"/>
          <w:spacing w:val="-4"/>
        </w:rPr>
        <w:t xml:space="preserve"> </w:t>
      </w:r>
      <w:r w:rsidRPr="00D4309F">
        <w:rPr>
          <w:color w:val="211E1F"/>
        </w:rPr>
        <w:t>disposal</w:t>
      </w:r>
      <w:r w:rsidRPr="00D4309F">
        <w:rPr>
          <w:color w:val="211E1F"/>
          <w:spacing w:val="-4"/>
        </w:rPr>
        <w:t xml:space="preserve"> </w:t>
      </w:r>
      <w:r w:rsidRPr="00D4309F">
        <w:rPr>
          <w:color w:val="211E1F"/>
        </w:rPr>
        <w:t>or</w:t>
      </w:r>
      <w:r w:rsidRPr="00D4309F">
        <w:rPr>
          <w:color w:val="211E1F"/>
          <w:spacing w:val="-3"/>
        </w:rPr>
        <w:t xml:space="preserve"> </w:t>
      </w:r>
      <w:r w:rsidRPr="00D4309F">
        <w:rPr>
          <w:color w:val="211E1F"/>
        </w:rPr>
        <w:t>potential</w:t>
      </w:r>
      <w:r w:rsidRPr="00D4309F">
        <w:rPr>
          <w:color w:val="211E1F"/>
          <w:spacing w:val="-4"/>
        </w:rPr>
        <w:t xml:space="preserve"> </w:t>
      </w:r>
      <w:r w:rsidRPr="00D4309F">
        <w:rPr>
          <w:color w:val="211E1F"/>
        </w:rPr>
        <w:t>reuse</w:t>
      </w:r>
      <w:r w:rsidRPr="00D4309F">
        <w:rPr>
          <w:color w:val="211E1F"/>
          <w:spacing w:val="-3"/>
        </w:rPr>
        <w:t xml:space="preserve"> </w:t>
      </w:r>
      <w:r w:rsidRPr="00D4309F">
        <w:rPr>
          <w:color w:val="211E1F"/>
        </w:rPr>
        <w:t>subject</w:t>
      </w:r>
      <w:r w:rsidRPr="00D4309F">
        <w:rPr>
          <w:color w:val="211E1F"/>
          <w:spacing w:val="-4"/>
        </w:rPr>
        <w:t xml:space="preserve"> </w:t>
      </w:r>
      <w:r w:rsidRPr="00D4309F">
        <w:rPr>
          <w:color w:val="211E1F"/>
        </w:rPr>
        <w:t>to</w:t>
      </w:r>
      <w:r w:rsidRPr="00D4309F">
        <w:rPr>
          <w:color w:val="211E1F"/>
          <w:spacing w:val="-4"/>
        </w:rPr>
        <w:t xml:space="preserve"> </w:t>
      </w:r>
      <w:r w:rsidRPr="00D4309F">
        <w:rPr>
          <w:color w:val="211E1F"/>
        </w:rPr>
        <w:t>geotechnical</w:t>
      </w:r>
      <w:r w:rsidRPr="00D4309F">
        <w:rPr>
          <w:color w:val="211E1F"/>
          <w:spacing w:val="-4"/>
        </w:rPr>
        <w:t xml:space="preserve"> </w:t>
      </w:r>
      <w:r w:rsidRPr="00D4309F">
        <w:rPr>
          <w:color w:val="211E1F"/>
          <w:spacing w:val="-2"/>
        </w:rPr>
        <w:t>suitability.</w:t>
      </w:r>
    </w:p>
    <w:p w14:paraId="73032B0A" w14:textId="77777777" w:rsidR="00725977" w:rsidRPr="00D4309F" w:rsidRDefault="00725977" w:rsidP="00D27F26">
      <w:pPr>
        <w:pStyle w:val="ListParagraph"/>
        <w:widowControl w:val="0"/>
        <w:numPr>
          <w:ilvl w:val="1"/>
          <w:numId w:val="134"/>
        </w:numPr>
        <w:tabs>
          <w:tab w:val="left" w:pos="861"/>
        </w:tabs>
        <w:autoSpaceDE w:val="0"/>
        <w:autoSpaceDN w:val="0"/>
        <w:spacing w:after="0" w:line="240" w:lineRule="auto"/>
        <w:ind w:right="658"/>
        <w:contextualSpacing w:val="0"/>
      </w:pPr>
      <w:r w:rsidRPr="00D4309F">
        <w:rPr>
          <w:color w:val="211E1F"/>
        </w:rPr>
        <w:t>Stabilisation</w:t>
      </w:r>
      <w:r w:rsidRPr="00D4309F">
        <w:rPr>
          <w:color w:val="211E1F"/>
          <w:spacing w:val="-4"/>
        </w:rPr>
        <w:t xml:space="preserve"> </w:t>
      </w:r>
      <w:r w:rsidRPr="00D4309F">
        <w:rPr>
          <w:color w:val="211E1F"/>
        </w:rPr>
        <w:t>of</w:t>
      </w:r>
      <w:r w:rsidRPr="00D4309F">
        <w:rPr>
          <w:color w:val="211E1F"/>
          <w:spacing w:val="-3"/>
        </w:rPr>
        <w:t xml:space="preserve"> </w:t>
      </w:r>
      <w:r w:rsidRPr="00D4309F">
        <w:rPr>
          <w:color w:val="211E1F"/>
        </w:rPr>
        <w:t>excavated</w:t>
      </w:r>
      <w:r w:rsidRPr="00D4309F">
        <w:rPr>
          <w:color w:val="211E1F"/>
          <w:spacing w:val="-4"/>
        </w:rPr>
        <w:t xml:space="preserve"> </w:t>
      </w:r>
      <w:r w:rsidRPr="00D4309F">
        <w:rPr>
          <w:color w:val="211E1F"/>
        </w:rPr>
        <w:t>slopes</w:t>
      </w:r>
      <w:r w:rsidRPr="00D4309F">
        <w:rPr>
          <w:color w:val="211E1F"/>
          <w:spacing w:val="-2"/>
        </w:rPr>
        <w:t xml:space="preserve"> </w:t>
      </w:r>
      <w:r w:rsidRPr="00D4309F">
        <w:rPr>
          <w:color w:val="211E1F"/>
        </w:rPr>
        <w:t>and</w:t>
      </w:r>
      <w:r w:rsidRPr="00D4309F">
        <w:rPr>
          <w:color w:val="211E1F"/>
          <w:spacing w:val="-3"/>
        </w:rPr>
        <w:t xml:space="preserve"> </w:t>
      </w:r>
      <w:r w:rsidRPr="00D4309F">
        <w:rPr>
          <w:color w:val="211E1F"/>
        </w:rPr>
        <w:t>treatment</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exposed</w:t>
      </w:r>
      <w:r w:rsidRPr="00D4309F">
        <w:rPr>
          <w:color w:val="211E1F"/>
          <w:spacing w:val="-3"/>
        </w:rPr>
        <w:t xml:space="preserve"> </w:t>
      </w:r>
      <w:r w:rsidRPr="00D4309F">
        <w:rPr>
          <w:color w:val="211E1F"/>
        </w:rPr>
        <w:t>rock</w:t>
      </w:r>
      <w:r w:rsidRPr="00D4309F">
        <w:rPr>
          <w:color w:val="211E1F"/>
          <w:spacing w:val="-2"/>
        </w:rPr>
        <w:t xml:space="preserve"> </w:t>
      </w:r>
      <w:r w:rsidRPr="00D4309F">
        <w:rPr>
          <w:color w:val="211E1F"/>
        </w:rPr>
        <w:t>surfaces</w:t>
      </w:r>
      <w:r w:rsidRPr="00D4309F">
        <w:rPr>
          <w:color w:val="211E1F"/>
          <w:spacing w:val="-2"/>
        </w:rPr>
        <w:t xml:space="preserve"> </w:t>
      </w:r>
      <w:r w:rsidRPr="00D4309F">
        <w:rPr>
          <w:color w:val="211E1F"/>
        </w:rPr>
        <w:t>to</w:t>
      </w:r>
      <w:r w:rsidRPr="00D4309F">
        <w:rPr>
          <w:color w:val="211E1F"/>
          <w:spacing w:val="-3"/>
        </w:rPr>
        <w:t xml:space="preserve"> </w:t>
      </w:r>
      <w:r w:rsidRPr="00D4309F">
        <w:rPr>
          <w:color w:val="211E1F"/>
        </w:rPr>
        <w:t>ensure</w:t>
      </w:r>
      <w:r w:rsidRPr="00D4309F">
        <w:rPr>
          <w:color w:val="211E1F"/>
          <w:spacing w:val="-3"/>
        </w:rPr>
        <w:t xml:space="preserve"> </w:t>
      </w:r>
      <w:r w:rsidRPr="00D4309F">
        <w:rPr>
          <w:color w:val="211E1F"/>
        </w:rPr>
        <w:t>long-term structural integrity and minimise scour.</w:t>
      </w:r>
    </w:p>
    <w:p w14:paraId="5B9723C7" w14:textId="77777777" w:rsidR="00725977" w:rsidRPr="00D4309F" w:rsidRDefault="00725977" w:rsidP="00D27F26">
      <w:pPr>
        <w:pStyle w:val="ListParagraph"/>
        <w:widowControl w:val="0"/>
        <w:numPr>
          <w:ilvl w:val="0"/>
          <w:numId w:val="134"/>
        </w:numPr>
        <w:tabs>
          <w:tab w:val="left" w:pos="501"/>
        </w:tabs>
        <w:autoSpaceDE w:val="0"/>
        <w:autoSpaceDN w:val="0"/>
        <w:spacing w:before="119" w:after="0" w:line="240" w:lineRule="auto"/>
        <w:contextualSpacing w:val="0"/>
      </w:pPr>
      <w:r w:rsidRPr="00D4309F">
        <w:rPr>
          <w:color w:val="211E1F"/>
        </w:rPr>
        <w:t>Pump</w:t>
      </w:r>
      <w:r w:rsidRPr="00D4309F">
        <w:rPr>
          <w:color w:val="211E1F"/>
          <w:spacing w:val="-4"/>
        </w:rPr>
        <w:t xml:space="preserve"> </w:t>
      </w:r>
      <w:r w:rsidRPr="00D4309F">
        <w:rPr>
          <w:color w:val="211E1F"/>
        </w:rPr>
        <w:t>Station</w:t>
      </w:r>
      <w:r w:rsidRPr="00D4309F">
        <w:rPr>
          <w:color w:val="211E1F"/>
          <w:spacing w:val="-4"/>
        </w:rPr>
        <w:t xml:space="preserve"> </w:t>
      </w:r>
      <w:r w:rsidRPr="00D4309F">
        <w:rPr>
          <w:color w:val="211E1F"/>
          <w:spacing w:val="-2"/>
        </w:rPr>
        <w:t>Construction</w:t>
      </w:r>
    </w:p>
    <w:p w14:paraId="504480F4" w14:textId="77777777" w:rsidR="00725977" w:rsidRPr="00D4309F" w:rsidRDefault="00725977" w:rsidP="00D27F26">
      <w:pPr>
        <w:pStyle w:val="ListParagraph"/>
        <w:widowControl w:val="0"/>
        <w:numPr>
          <w:ilvl w:val="1"/>
          <w:numId w:val="134"/>
        </w:numPr>
        <w:tabs>
          <w:tab w:val="left" w:pos="861"/>
        </w:tabs>
        <w:autoSpaceDE w:val="0"/>
        <w:autoSpaceDN w:val="0"/>
        <w:spacing w:before="119" w:after="0" w:line="240" w:lineRule="auto"/>
        <w:ind w:right="623"/>
        <w:contextualSpacing w:val="0"/>
      </w:pPr>
      <w:r w:rsidRPr="00D4309F">
        <w:rPr>
          <w:color w:val="211E1F"/>
        </w:rPr>
        <w:t>Development</w:t>
      </w:r>
      <w:r w:rsidRPr="00D4309F">
        <w:rPr>
          <w:color w:val="211E1F"/>
          <w:spacing w:val="-5"/>
        </w:rPr>
        <w:t xml:space="preserve"> </w:t>
      </w:r>
      <w:r w:rsidRPr="00D4309F">
        <w:rPr>
          <w:color w:val="211E1F"/>
        </w:rPr>
        <w:t>of</w:t>
      </w:r>
      <w:r w:rsidRPr="00D4309F">
        <w:rPr>
          <w:color w:val="211E1F"/>
          <w:spacing w:val="-4"/>
        </w:rPr>
        <w:t xml:space="preserve"> </w:t>
      </w:r>
      <w:r w:rsidRPr="00D4309F">
        <w:rPr>
          <w:color w:val="211E1F"/>
        </w:rPr>
        <w:t>a</w:t>
      </w:r>
      <w:r w:rsidRPr="00D4309F">
        <w:rPr>
          <w:color w:val="211E1F"/>
          <w:spacing w:val="-4"/>
        </w:rPr>
        <w:t xml:space="preserve"> </w:t>
      </w:r>
      <w:r w:rsidRPr="00D4309F">
        <w:rPr>
          <w:color w:val="211E1F"/>
        </w:rPr>
        <w:t>permanent</w:t>
      </w:r>
      <w:r w:rsidRPr="00D4309F">
        <w:rPr>
          <w:color w:val="211E1F"/>
          <w:spacing w:val="-4"/>
        </w:rPr>
        <w:t xml:space="preserve"> </w:t>
      </w:r>
      <w:r w:rsidRPr="00D4309F">
        <w:rPr>
          <w:color w:val="211E1F"/>
        </w:rPr>
        <w:t>shore-based</w:t>
      </w:r>
      <w:r w:rsidRPr="00D4309F">
        <w:rPr>
          <w:color w:val="211E1F"/>
          <w:spacing w:val="-4"/>
        </w:rPr>
        <w:t xml:space="preserve"> </w:t>
      </w:r>
      <w:r w:rsidRPr="00D4309F">
        <w:rPr>
          <w:color w:val="211E1F"/>
        </w:rPr>
        <w:t>pumping</w:t>
      </w:r>
      <w:r w:rsidRPr="00D4309F">
        <w:rPr>
          <w:color w:val="211E1F"/>
          <w:spacing w:val="-4"/>
        </w:rPr>
        <w:t xml:space="preserve"> </w:t>
      </w:r>
      <w:r w:rsidRPr="00D4309F">
        <w:rPr>
          <w:color w:val="211E1F"/>
        </w:rPr>
        <w:t>facility</w:t>
      </w:r>
      <w:r w:rsidRPr="00D4309F">
        <w:rPr>
          <w:color w:val="211E1F"/>
          <w:spacing w:val="-3"/>
        </w:rPr>
        <w:t xml:space="preserve"> </w:t>
      </w:r>
      <w:r w:rsidRPr="00D4309F">
        <w:rPr>
          <w:color w:val="211E1F"/>
        </w:rPr>
        <w:t>incorporating</w:t>
      </w:r>
      <w:r w:rsidRPr="00D4309F">
        <w:rPr>
          <w:color w:val="211E1F"/>
          <w:spacing w:val="-4"/>
        </w:rPr>
        <w:t xml:space="preserve"> </w:t>
      </w:r>
      <w:r w:rsidRPr="00D4309F">
        <w:rPr>
          <w:color w:val="211E1F"/>
        </w:rPr>
        <w:t>intake</w:t>
      </w:r>
      <w:r w:rsidRPr="00D4309F">
        <w:rPr>
          <w:color w:val="211E1F"/>
          <w:spacing w:val="-5"/>
        </w:rPr>
        <w:t xml:space="preserve"> </w:t>
      </w:r>
      <w:r w:rsidRPr="00D4309F">
        <w:rPr>
          <w:color w:val="211E1F"/>
        </w:rPr>
        <w:t>screening,</w:t>
      </w:r>
      <w:r w:rsidRPr="00D4309F">
        <w:rPr>
          <w:color w:val="211E1F"/>
          <w:spacing w:val="-4"/>
        </w:rPr>
        <w:t xml:space="preserve"> </w:t>
      </w:r>
      <w:r w:rsidRPr="00D4309F">
        <w:rPr>
          <w:color w:val="211E1F"/>
        </w:rPr>
        <w:t>grit management, automated controls, electrical systems, and monitoring instrumentation.</w:t>
      </w:r>
    </w:p>
    <w:p w14:paraId="6F13ED8D" w14:textId="77777777" w:rsidR="00725977" w:rsidRPr="00D4309F" w:rsidRDefault="00725977" w:rsidP="00D27F26">
      <w:pPr>
        <w:pStyle w:val="ListParagraph"/>
        <w:widowControl w:val="0"/>
        <w:numPr>
          <w:ilvl w:val="1"/>
          <w:numId w:val="134"/>
        </w:numPr>
        <w:tabs>
          <w:tab w:val="left" w:pos="860"/>
        </w:tabs>
        <w:autoSpaceDE w:val="0"/>
        <w:autoSpaceDN w:val="0"/>
        <w:spacing w:after="0" w:line="240" w:lineRule="auto"/>
        <w:ind w:left="860" w:right="269"/>
        <w:contextualSpacing w:val="0"/>
      </w:pPr>
      <w:r w:rsidRPr="00D4309F">
        <w:rPr>
          <w:color w:val="211E1F"/>
        </w:rPr>
        <w:t>Inclusion</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pump</w:t>
      </w:r>
      <w:r w:rsidRPr="00D4309F">
        <w:rPr>
          <w:color w:val="211E1F"/>
          <w:spacing w:val="-3"/>
        </w:rPr>
        <w:t xml:space="preserve"> </w:t>
      </w:r>
      <w:r w:rsidRPr="00D4309F">
        <w:rPr>
          <w:color w:val="211E1F"/>
        </w:rPr>
        <w:t>redundancy</w:t>
      </w:r>
      <w:r w:rsidRPr="00D4309F">
        <w:rPr>
          <w:color w:val="211E1F"/>
          <w:spacing w:val="-2"/>
        </w:rPr>
        <w:t xml:space="preserve"> </w:t>
      </w:r>
      <w:r w:rsidRPr="00D4309F">
        <w:rPr>
          <w:color w:val="211E1F"/>
        </w:rPr>
        <w:t>to</w:t>
      </w:r>
      <w:r w:rsidRPr="00D4309F">
        <w:rPr>
          <w:color w:val="211E1F"/>
          <w:spacing w:val="-3"/>
        </w:rPr>
        <w:t xml:space="preserve"> </w:t>
      </w:r>
      <w:r w:rsidRPr="00D4309F">
        <w:rPr>
          <w:color w:val="211E1F"/>
        </w:rPr>
        <w:t>maintain</w:t>
      </w:r>
      <w:r w:rsidRPr="00D4309F">
        <w:rPr>
          <w:color w:val="211E1F"/>
          <w:spacing w:val="-3"/>
        </w:rPr>
        <w:t xml:space="preserve"> </w:t>
      </w:r>
      <w:r w:rsidRPr="00D4309F">
        <w:rPr>
          <w:color w:val="211E1F"/>
        </w:rPr>
        <w:t>system</w:t>
      </w:r>
      <w:r w:rsidRPr="00D4309F">
        <w:rPr>
          <w:color w:val="211E1F"/>
          <w:spacing w:val="-3"/>
        </w:rPr>
        <w:t xml:space="preserve"> </w:t>
      </w:r>
      <w:r w:rsidRPr="00D4309F">
        <w:rPr>
          <w:color w:val="211E1F"/>
        </w:rPr>
        <w:t>operability</w:t>
      </w:r>
      <w:r w:rsidRPr="00D4309F">
        <w:rPr>
          <w:color w:val="211E1F"/>
          <w:spacing w:val="-2"/>
        </w:rPr>
        <w:t xml:space="preserve"> </w:t>
      </w:r>
      <w:r w:rsidRPr="00D4309F">
        <w:rPr>
          <w:color w:val="211E1F"/>
        </w:rPr>
        <w:t>under</w:t>
      </w:r>
      <w:r w:rsidRPr="00D4309F">
        <w:rPr>
          <w:color w:val="211E1F"/>
          <w:spacing w:val="-2"/>
        </w:rPr>
        <w:t xml:space="preserve"> </w:t>
      </w:r>
      <w:r w:rsidRPr="00D4309F">
        <w:rPr>
          <w:color w:val="211E1F"/>
        </w:rPr>
        <w:t>variable</w:t>
      </w:r>
      <w:r w:rsidRPr="00D4309F">
        <w:rPr>
          <w:color w:val="211E1F"/>
          <w:spacing w:val="-3"/>
        </w:rPr>
        <w:t xml:space="preserve"> </w:t>
      </w:r>
      <w:r w:rsidRPr="00D4309F">
        <w:rPr>
          <w:color w:val="211E1F"/>
        </w:rPr>
        <w:t>sand</w:t>
      </w:r>
      <w:r w:rsidRPr="00D4309F">
        <w:rPr>
          <w:color w:val="211E1F"/>
          <w:spacing w:val="-3"/>
        </w:rPr>
        <w:t xml:space="preserve"> </w:t>
      </w:r>
      <w:r w:rsidRPr="00D4309F">
        <w:rPr>
          <w:color w:val="211E1F"/>
        </w:rPr>
        <w:t>loads</w:t>
      </w:r>
      <w:r w:rsidRPr="00D4309F">
        <w:rPr>
          <w:color w:val="211E1F"/>
          <w:spacing w:val="-2"/>
        </w:rPr>
        <w:t xml:space="preserve"> </w:t>
      </w:r>
      <w:r w:rsidRPr="00D4309F">
        <w:rPr>
          <w:color w:val="211E1F"/>
        </w:rPr>
        <w:t>and</w:t>
      </w:r>
      <w:r w:rsidRPr="00D4309F">
        <w:rPr>
          <w:color w:val="211E1F"/>
          <w:spacing w:val="-4"/>
        </w:rPr>
        <w:t xml:space="preserve"> </w:t>
      </w:r>
      <w:r w:rsidRPr="00D4309F">
        <w:rPr>
          <w:color w:val="211E1F"/>
        </w:rPr>
        <w:t xml:space="preserve">storm </w:t>
      </w:r>
      <w:r w:rsidRPr="00D4309F">
        <w:rPr>
          <w:color w:val="211E1F"/>
          <w:spacing w:val="-2"/>
        </w:rPr>
        <w:t>conditions.</w:t>
      </w:r>
    </w:p>
    <w:p w14:paraId="6A8D1D0D" w14:textId="77777777" w:rsidR="00725977" w:rsidRPr="00D4309F" w:rsidRDefault="00725977" w:rsidP="00D27F26">
      <w:pPr>
        <w:pStyle w:val="ListParagraph"/>
        <w:widowControl w:val="0"/>
        <w:numPr>
          <w:ilvl w:val="1"/>
          <w:numId w:val="134"/>
        </w:numPr>
        <w:tabs>
          <w:tab w:val="left" w:pos="860"/>
        </w:tabs>
        <w:autoSpaceDE w:val="0"/>
        <w:autoSpaceDN w:val="0"/>
        <w:spacing w:before="121" w:after="0" w:line="240" w:lineRule="auto"/>
        <w:ind w:left="860"/>
        <w:contextualSpacing w:val="0"/>
      </w:pPr>
      <w:r w:rsidRPr="00D4309F">
        <w:rPr>
          <w:color w:val="211E1F"/>
        </w:rPr>
        <w:t>Design</w:t>
      </w:r>
      <w:r w:rsidRPr="00D4309F">
        <w:rPr>
          <w:color w:val="211E1F"/>
          <w:spacing w:val="-8"/>
        </w:rPr>
        <w:t xml:space="preserve"> </w:t>
      </w:r>
      <w:r w:rsidRPr="00D4309F">
        <w:rPr>
          <w:color w:val="211E1F"/>
        </w:rPr>
        <w:t>considerations</w:t>
      </w:r>
      <w:r w:rsidRPr="00D4309F">
        <w:rPr>
          <w:color w:val="211E1F"/>
          <w:spacing w:val="-4"/>
        </w:rPr>
        <w:t xml:space="preserve"> </w:t>
      </w:r>
      <w:r w:rsidRPr="00D4309F">
        <w:rPr>
          <w:color w:val="211E1F"/>
        </w:rPr>
        <w:t>for</w:t>
      </w:r>
      <w:r w:rsidRPr="00D4309F">
        <w:rPr>
          <w:color w:val="211E1F"/>
          <w:spacing w:val="-3"/>
        </w:rPr>
        <w:t xml:space="preserve"> </w:t>
      </w:r>
      <w:r w:rsidRPr="00D4309F">
        <w:rPr>
          <w:color w:val="211E1F"/>
        </w:rPr>
        <w:t>noise,</w:t>
      </w:r>
      <w:r w:rsidRPr="00D4309F">
        <w:rPr>
          <w:color w:val="211E1F"/>
          <w:spacing w:val="-5"/>
        </w:rPr>
        <w:t xml:space="preserve"> </w:t>
      </w:r>
      <w:r w:rsidRPr="00D4309F">
        <w:rPr>
          <w:color w:val="211E1F"/>
        </w:rPr>
        <w:t>ventilation,</w:t>
      </w:r>
      <w:r w:rsidRPr="00D4309F">
        <w:rPr>
          <w:color w:val="211E1F"/>
          <w:spacing w:val="-4"/>
        </w:rPr>
        <w:t xml:space="preserve"> </w:t>
      </w:r>
      <w:r w:rsidRPr="00D4309F">
        <w:rPr>
          <w:color w:val="211E1F"/>
        </w:rPr>
        <w:t>and</w:t>
      </w:r>
      <w:r w:rsidRPr="00D4309F">
        <w:rPr>
          <w:color w:val="211E1F"/>
          <w:spacing w:val="-5"/>
        </w:rPr>
        <w:t xml:space="preserve"> </w:t>
      </w:r>
      <w:r w:rsidRPr="00D4309F">
        <w:rPr>
          <w:color w:val="211E1F"/>
        </w:rPr>
        <w:t>visual</w:t>
      </w:r>
      <w:r w:rsidRPr="00D4309F">
        <w:rPr>
          <w:color w:val="211E1F"/>
          <w:spacing w:val="-4"/>
        </w:rPr>
        <w:t xml:space="preserve"> </w:t>
      </w:r>
      <w:r w:rsidRPr="00D4309F">
        <w:rPr>
          <w:color w:val="211E1F"/>
        </w:rPr>
        <w:t>integration</w:t>
      </w:r>
      <w:r w:rsidRPr="00D4309F">
        <w:rPr>
          <w:color w:val="211E1F"/>
          <w:spacing w:val="-5"/>
        </w:rPr>
        <w:t xml:space="preserve"> </w:t>
      </w:r>
      <w:r w:rsidRPr="00D4309F">
        <w:rPr>
          <w:color w:val="211E1F"/>
        </w:rPr>
        <w:t>within</w:t>
      </w:r>
      <w:r w:rsidRPr="00D4309F">
        <w:rPr>
          <w:color w:val="211E1F"/>
          <w:spacing w:val="-4"/>
        </w:rPr>
        <w:t xml:space="preserve"> </w:t>
      </w:r>
      <w:r w:rsidRPr="00D4309F">
        <w:rPr>
          <w:color w:val="211E1F"/>
        </w:rPr>
        <w:t>a</w:t>
      </w:r>
      <w:r w:rsidRPr="00D4309F">
        <w:rPr>
          <w:color w:val="211E1F"/>
          <w:spacing w:val="-5"/>
        </w:rPr>
        <w:t xml:space="preserve"> </w:t>
      </w:r>
      <w:r w:rsidRPr="00D4309F">
        <w:rPr>
          <w:color w:val="211E1F"/>
        </w:rPr>
        <w:t>coastal</w:t>
      </w:r>
      <w:r w:rsidRPr="00D4309F">
        <w:rPr>
          <w:color w:val="211E1F"/>
          <w:spacing w:val="-4"/>
        </w:rPr>
        <w:t xml:space="preserve"> </w:t>
      </w:r>
      <w:r w:rsidRPr="00D4309F">
        <w:rPr>
          <w:color w:val="211E1F"/>
          <w:spacing w:val="-2"/>
        </w:rPr>
        <w:t>setting.</w:t>
      </w:r>
    </w:p>
    <w:p w14:paraId="42A06C0A" w14:textId="77777777" w:rsidR="00725977" w:rsidRPr="00D4309F" w:rsidRDefault="00725977" w:rsidP="00D27F26">
      <w:pPr>
        <w:pStyle w:val="ListParagraph"/>
        <w:widowControl w:val="0"/>
        <w:numPr>
          <w:ilvl w:val="0"/>
          <w:numId w:val="134"/>
        </w:numPr>
        <w:tabs>
          <w:tab w:val="left" w:pos="500"/>
        </w:tabs>
        <w:autoSpaceDE w:val="0"/>
        <w:autoSpaceDN w:val="0"/>
        <w:spacing w:after="0" w:line="240" w:lineRule="auto"/>
        <w:ind w:left="500"/>
        <w:contextualSpacing w:val="0"/>
      </w:pPr>
      <w:r w:rsidRPr="00D4309F">
        <w:rPr>
          <w:color w:val="211E1F"/>
        </w:rPr>
        <w:t>Jetty</w:t>
      </w:r>
      <w:r w:rsidRPr="00D4309F">
        <w:rPr>
          <w:color w:val="211E1F"/>
          <w:spacing w:val="-3"/>
        </w:rPr>
        <w:t xml:space="preserve"> </w:t>
      </w:r>
      <w:r w:rsidRPr="00D4309F">
        <w:rPr>
          <w:color w:val="211E1F"/>
        </w:rPr>
        <w:t>or</w:t>
      </w:r>
      <w:r w:rsidRPr="00D4309F">
        <w:rPr>
          <w:color w:val="211E1F"/>
          <w:spacing w:val="-3"/>
        </w:rPr>
        <w:t xml:space="preserve"> </w:t>
      </w:r>
      <w:r w:rsidRPr="00D4309F">
        <w:rPr>
          <w:color w:val="211E1F"/>
        </w:rPr>
        <w:t>Access</w:t>
      </w:r>
      <w:r w:rsidRPr="00D4309F">
        <w:rPr>
          <w:color w:val="211E1F"/>
          <w:spacing w:val="-2"/>
        </w:rPr>
        <w:t xml:space="preserve"> Structure</w:t>
      </w:r>
    </w:p>
    <w:p w14:paraId="1F5DA030" w14:textId="77777777" w:rsidR="00725977" w:rsidRPr="00D4309F" w:rsidRDefault="00725977" w:rsidP="00D27F26">
      <w:pPr>
        <w:pStyle w:val="ListParagraph"/>
        <w:widowControl w:val="0"/>
        <w:numPr>
          <w:ilvl w:val="1"/>
          <w:numId w:val="134"/>
        </w:numPr>
        <w:tabs>
          <w:tab w:val="left" w:pos="860"/>
        </w:tabs>
        <w:autoSpaceDE w:val="0"/>
        <w:autoSpaceDN w:val="0"/>
        <w:spacing w:before="118" w:after="0" w:line="240" w:lineRule="auto"/>
        <w:ind w:left="860" w:right="89"/>
        <w:contextualSpacing w:val="0"/>
      </w:pPr>
      <w:r w:rsidRPr="00D4309F">
        <w:rPr>
          <w:color w:val="211E1F"/>
        </w:rPr>
        <w:t>Construction</w:t>
      </w:r>
      <w:r w:rsidRPr="00D4309F">
        <w:rPr>
          <w:color w:val="211E1F"/>
          <w:spacing w:val="-4"/>
        </w:rPr>
        <w:t xml:space="preserve"> </w:t>
      </w:r>
      <w:r w:rsidRPr="00D4309F">
        <w:rPr>
          <w:color w:val="211E1F"/>
        </w:rPr>
        <w:t>of</w:t>
      </w:r>
      <w:r w:rsidRPr="00D4309F">
        <w:rPr>
          <w:color w:val="211E1F"/>
          <w:spacing w:val="-3"/>
        </w:rPr>
        <w:t xml:space="preserve"> </w:t>
      </w:r>
      <w:r w:rsidRPr="00D4309F">
        <w:rPr>
          <w:color w:val="211E1F"/>
        </w:rPr>
        <w:t>a</w:t>
      </w:r>
      <w:r w:rsidRPr="00D4309F">
        <w:rPr>
          <w:color w:val="211E1F"/>
          <w:spacing w:val="-3"/>
        </w:rPr>
        <w:t xml:space="preserve"> </w:t>
      </w:r>
      <w:r w:rsidRPr="00D4309F">
        <w:rPr>
          <w:color w:val="211E1F"/>
        </w:rPr>
        <w:t>fixed</w:t>
      </w:r>
      <w:r w:rsidRPr="00D4309F">
        <w:rPr>
          <w:color w:val="211E1F"/>
          <w:spacing w:val="-3"/>
        </w:rPr>
        <w:t xml:space="preserve"> </w:t>
      </w:r>
      <w:r w:rsidRPr="00D4309F">
        <w:rPr>
          <w:color w:val="211E1F"/>
        </w:rPr>
        <w:t>jetty</w:t>
      </w:r>
      <w:r w:rsidRPr="00D4309F">
        <w:rPr>
          <w:color w:val="211E1F"/>
          <w:spacing w:val="-2"/>
        </w:rPr>
        <w:t xml:space="preserve"> </w:t>
      </w:r>
      <w:r w:rsidRPr="00D4309F">
        <w:rPr>
          <w:color w:val="211E1F"/>
        </w:rPr>
        <w:t>or</w:t>
      </w:r>
      <w:r w:rsidRPr="00D4309F">
        <w:rPr>
          <w:color w:val="211E1F"/>
          <w:spacing w:val="-2"/>
        </w:rPr>
        <w:t xml:space="preserve"> </w:t>
      </w:r>
      <w:r w:rsidRPr="00D4309F">
        <w:rPr>
          <w:color w:val="211E1F"/>
        </w:rPr>
        <w:t>access</w:t>
      </w:r>
      <w:r w:rsidRPr="00D4309F">
        <w:rPr>
          <w:color w:val="211E1F"/>
          <w:spacing w:val="-2"/>
        </w:rPr>
        <w:t xml:space="preserve"> </w:t>
      </w:r>
      <w:r w:rsidRPr="00D4309F">
        <w:rPr>
          <w:color w:val="211E1F"/>
        </w:rPr>
        <w:t>bridge</w:t>
      </w:r>
      <w:r w:rsidRPr="00D4309F">
        <w:rPr>
          <w:color w:val="211E1F"/>
          <w:spacing w:val="-3"/>
        </w:rPr>
        <w:t xml:space="preserve"> </w:t>
      </w:r>
      <w:r w:rsidRPr="00D4309F">
        <w:rPr>
          <w:color w:val="211E1F"/>
        </w:rPr>
        <w:t>over</w:t>
      </w:r>
      <w:r w:rsidRPr="00D4309F">
        <w:rPr>
          <w:color w:val="211E1F"/>
          <w:spacing w:val="-2"/>
        </w:rPr>
        <w:t xml:space="preserve"> </w:t>
      </w:r>
      <w:r w:rsidRPr="00D4309F">
        <w:rPr>
          <w:color w:val="211E1F"/>
        </w:rPr>
        <w:t>the</w:t>
      </w:r>
      <w:r w:rsidRPr="00D4309F">
        <w:rPr>
          <w:color w:val="211E1F"/>
          <w:spacing w:val="-4"/>
        </w:rPr>
        <w:t xml:space="preserve"> </w:t>
      </w:r>
      <w:r w:rsidRPr="00D4309F">
        <w:rPr>
          <w:color w:val="211E1F"/>
        </w:rPr>
        <w:t>trap</w:t>
      </w:r>
      <w:r w:rsidRPr="00D4309F">
        <w:rPr>
          <w:color w:val="211E1F"/>
          <w:spacing w:val="-3"/>
        </w:rPr>
        <w:t xml:space="preserve"> </w:t>
      </w:r>
      <w:r w:rsidRPr="00D4309F">
        <w:rPr>
          <w:color w:val="211E1F"/>
        </w:rPr>
        <w:t>to</w:t>
      </w:r>
      <w:r w:rsidRPr="00D4309F">
        <w:rPr>
          <w:color w:val="211E1F"/>
          <w:spacing w:val="-3"/>
        </w:rPr>
        <w:t xml:space="preserve"> </w:t>
      </w:r>
      <w:r w:rsidRPr="00D4309F">
        <w:rPr>
          <w:color w:val="211E1F"/>
        </w:rPr>
        <w:t>support</w:t>
      </w:r>
      <w:r w:rsidRPr="00D4309F">
        <w:rPr>
          <w:color w:val="211E1F"/>
          <w:spacing w:val="-3"/>
        </w:rPr>
        <w:t xml:space="preserve"> </w:t>
      </w:r>
      <w:r w:rsidRPr="00D4309F">
        <w:rPr>
          <w:color w:val="211E1F"/>
        </w:rPr>
        <w:t>intake</w:t>
      </w:r>
      <w:r w:rsidRPr="00D4309F">
        <w:rPr>
          <w:color w:val="211E1F"/>
          <w:spacing w:val="-3"/>
        </w:rPr>
        <w:t xml:space="preserve"> </w:t>
      </w:r>
      <w:r w:rsidRPr="00D4309F">
        <w:rPr>
          <w:color w:val="211E1F"/>
        </w:rPr>
        <w:t>pipelines</w:t>
      </w:r>
      <w:r w:rsidRPr="00D4309F">
        <w:rPr>
          <w:color w:val="211E1F"/>
          <w:spacing w:val="-2"/>
        </w:rPr>
        <w:t xml:space="preserve"> </w:t>
      </w:r>
      <w:r w:rsidRPr="00D4309F">
        <w:rPr>
          <w:color w:val="211E1F"/>
        </w:rPr>
        <w:t>and</w:t>
      </w:r>
      <w:r w:rsidRPr="00D4309F">
        <w:rPr>
          <w:color w:val="211E1F"/>
          <w:spacing w:val="-3"/>
        </w:rPr>
        <w:t xml:space="preserve"> </w:t>
      </w:r>
      <w:r w:rsidRPr="00D4309F">
        <w:rPr>
          <w:color w:val="211E1F"/>
        </w:rPr>
        <w:t>allow</w:t>
      </w:r>
      <w:r w:rsidRPr="00D4309F">
        <w:rPr>
          <w:color w:val="211E1F"/>
          <w:spacing w:val="-2"/>
        </w:rPr>
        <w:t xml:space="preserve"> </w:t>
      </w:r>
      <w:r w:rsidRPr="00D4309F">
        <w:rPr>
          <w:color w:val="211E1F"/>
        </w:rPr>
        <w:t>safe access for inspection and maintenance.</w:t>
      </w:r>
    </w:p>
    <w:p w14:paraId="65D72222" w14:textId="77777777" w:rsidR="00725977" w:rsidRPr="00D4309F" w:rsidRDefault="00725977" w:rsidP="00D27F26">
      <w:pPr>
        <w:pStyle w:val="ListParagraph"/>
        <w:widowControl w:val="0"/>
        <w:numPr>
          <w:ilvl w:val="1"/>
          <w:numId w:val="134"/>
        </w:numPr>
        <w:tabs>
          <w:tab w:val="left" w:pos="860"/>
        </w:tabs>
        <w:autoSpaceDE w:val="0"/>
        <w:autoSpaceDN w:val="0"/>
        <w:spacing w:before="121" w:after="0" w:line="240" w:lineRule="auto"/>
        <w:ind w:left="860"/>
        <w:contextualSpacing w:val="0"/>
      </w:pPr>
      <w:r w:rsidRPr="00D4309F">
        <w:rPr>
          <w:color w:val="211E1F"/>
        </w:rPr>
        <w:t>Structural</w:t>
      </w:r>
      <w:r w:rsidRPr="00D4309F">
        <w:rPr>
          <w:color w:val="211E1F"/>
          <w:spacing w:val="-7"/>
        </w:rPr>
        <w:t xml:space="preserve"> </w:t>
      </w:r>
      <w:r w:rsidRPr="00D4309F">
        <w:rPr>
          <w:color w:val="211E1F"/>
        </w:rPr>
        <w:t>design</w:t>
      </w:r>
      <w:r w:rsidRPr="00D4309F">
        <w:rPr>
          <w:color w:val="211E1F"/>
          <w:spacing w:val="-5"/>
        </w:rPr>
        <w:t xml:space="preserve"> </w:t>
      </w:r>
      <w:r w:rsidRPr="00D4309F">
        <w:rPr>
          <w:color w:val="211E1F"/>
        </w:rPr>
        <w:t>to</w:t>
      </w:r>
      <w:r w:rsidRPr="00D4309F">
        <w:rPr>
          <w:color w:val="211E1F"/>
          <w:spacing w:val="-4"/>
        </w:rPr>
        <w:t xml:space="preserve"> </w:t>
      </w:r>
      <w:r w:rsidRPr="00D4309F">
        <w:rPr>
          <w:color w:val="211E1F"/>
        </w:rPr>
        <w:t>withstand</w:t>
      </w:r>
      <w:r w:rsidRPr="00D4309F">
        <w:rPr>
          <w:color w:val="211E1F"/>
          <w:spacing w:val="-5"/>
        </w:rPr>
        <w:t xml:space="preserve"> </w:t>
      </w:r>
      <w:r w:rsidRPr="00D4309F">
        <w:rPr>
          <w:color w:val="211E1F"/>
        </w:rPr>
        <w:t>wave</w:t>
      </w:r>
      <w:r w:rsidRPr="00D4309F">
        <w:rPr>
          <w:color w:val="211E1F"/>
          <w:spacing w:val="-5"/>
        </w:rPr>
        <w:t xml:space="preserve"> </w:t>
      </w:r>
      <w:r w:rsidRPr="00D4309F">
        <w:rPr>
          <w:color w:val="211E1F"/>
        </w:rPr>
        <w:t>loading,</w:t>
      </w:r>
      <w:r w:rsidRPr="00D4309F">
        <w:rPr>
          <w:color w:val="211E1F"/>
          <w:spacing w:val="-4"/>
        </w:rPr>
        <w:t xml:space="preserve"> </w:t>
      </w:r>
      <w:r w:rsidRPr="00D4309F">
        <w:rPr>
          <w:color w:val="211E1F"/>
        </w:rPr>
        <w:t>storm</w:t>
      </w:r>
      <w:r w:rsidRPr="00D4309F">
        <w:rPr>
          <w:color w:val="211E1F"/>
          <w:spacing w:val="-5"/>
        </w:rPr>
        <w:t xml:space="preserve"> </w:t>
      </w:r>
      <w:r w:rsidRPr="00D4309F">
        <w:rPr>
          <w:color w:val="211E1F"/>
        </w:rPr>
        <w:t>conditions,</w:t>
      </w:r>
      <w:r w:rsidRPr="00D4309F">
        <w:rPr>
          <w:color w:val="211E1F"/>
          <w:spacing w:val="-5"/>
        </w:rPr>
        <w:t xml:space="preserve"> </w:t>
      </w:r>
      <w:r w:rsidRPr="00D4309F">
        <w:rPr>
          <w:color w:val="211E1F"/>
        </w:rPr>
        <w:t>and</w:t>
      </w:r>
      <w:r w:rsidRPr="00D4309F">
        <w:rPr>
          <w:color w:val="211E1F"/>
          <w:spacing w:val="-4"/>
        </w:rPr>
        <w:t xml:space="preserve"> </w:t>
      </w:r>
      <w:r w:rsidRPr="00D4309F">
        <w:rPr>
          <w:color w:val="211E1F"/>
        </w:rPr>
        <w:t>long-term</w:t>
      </w:r>
      <w:r w:rsidRPr="00D4309F">
        <w:rPr>
          <w:color w:val="211E1F"/>
          <w:spacing w:val="-6"/>
        </w:rPr>
        <w:t xml:space="preserve"> </w:t>
      </w:r>
      <w:r w:rsidRPr="00D4309F">
        <w:rPr>
          <w:color w:val="211E1F"/>
        </w:rPr>
        <w:t>marine</w:t>
      </w:r>
      <w:r w:rsidRPr="00D4309F">
        <w:rPr>
          <w:color w:val="211E1F"/>
          <w:spacing w:val="-4"/>
        </w:rPr>
        <w:t xml:space="preserve"> </w:t>
      </w:r>
      <w:r w:rsidRPr="00D4309F">
        <w:rPr>
          <w:color w:val="211E1F"/>
          <w:spacing w:val="-2"/>
        </w:rPr>
        <w:t>corrosion.</w:t>
      </w:r>
    </w:p>
    <w:p w14:paraId="0945643F" w14:textId="77777777" w:rsidR="00725977" w:rsidRPr="00D4309F" w:rsidRDefault="00725977" w:rsidP="00D27F26">
      <w:pPr>
        <w:pStyle w:val="ListParagraph"/>
        <w:widowControl w:val="0"/>
        <w:numPr>
          <w:ilvl w:val="0"/>
          <w:numId w:val="134"/>
        </w:numPr>
        <w:tabs>
          <w:tab w:val="left" w:pos="500"/>
        </w:tabs>
        <w:autoSpaceDE w:val="0"/>
        <w:autoSpaceDN w:val="0"/>
        <w:spacing w:before="119" w:after="0" w:line="240" w:lineRule="auto"/>
        <w:ind w:left="500"/>
        <w:contextualSpacing w:val="0"/>
      </w:pPr>
      <w:r w:rsidRPr="00D4309F">
        <w:rPr>
          <w:color w:val="211E1F"/>
        </w:rPr>
        <w:t>Pipeline</w:t>
      </w:r>
      <w:r w:rsidRPr="00D4309F">
        <w:rPr>
          <w:color w:val="211E1F"/>
          <w:spacing w:val="-7"/>
        </w:rPr>
        <w:t xml:space="preserve"> </w:t>
      </w:r>
      <w:r w:rsidRPr="00D4309F">
        <w:rPr>
          <w:color w:val="211E1F"/>
          <w:spacing w:val="-2"/>
        </w:rPr>
        <w:t>Network</w:t>
      </w:r>
    </w:p>
    <w:p w14:paraId="46237BF5" w14:textId="77777777" w:rsidR="00725977" w:rsidRPr="00D4309F" w:rsidRDefault="00725977" w:rsidP="00D27F26">
      <w:pPr>
        <w:pStyle w:val="ListParagraph"/>
        <w:widowControl w:val="0"/>
        <w:numPr>
          <w:ilvl w:val="1"/>
          <w:numId w:val="134"/>
        </w:numPr>
        <w:tabs>
          <w:tab w:val="left" w:pos="860"/>
        </w:tabs>
        <w:autoSpaceDE w:val="0"/>
        <w:autoSpaceDN w:val="0"/>
        <w:spacing w:before="118" w:after="0" w:line="240" w:lineRule="auto"/>
        <w:ind w:left="860" w:right="68"/>
        <w:contextualSpacing w:val="0"/>
      </w:pPr>
      <w:r w:rsidRPr="00D4309F">
        <w:rPr>
          <w:color w:val="211E1F"/>
        </w:rPr>
        <w:t>Installation</w:t>
      </w:r>
      <w:r w:rsidRPr="00D4309F">
        <w:rPr>
          <w:color w:val="211E1F"/>
          <w:spacing w:val="-2"/>
        </w:rPr>
        <w:t xml:space="preserve"> </w:t>
      </w:r>
      <w:r w:rsidRPr="00D4309F">
        <w:rPr>
          <w:color w:val="211E1F"/>
        </w:rPr>
        <w:t>of</w:t>
      </w:r>
      <w:r w:rsidRPr="00D4309F">
        <w:rPr>
          <w:color w:val="211E1F"/>
          <w:spacing w:val="-4"/>
        </w:rPr>
        <w:t xml:space="preserve"> </w:t>
      </w:r>
      <w:r w:rsidRPr="00D4309F">
        <w:rPr>
          <w:color w:val="211E1F"/>
        </w:rPr>
        <w:t>a</w:t>
      </w:r>
      <w:r w:rsidRPr="00D4309F">
        <w:rPr>
          <w:color w:val="211E1F"/>
          <w:spacing w:val="-2"/>
        </w:rPr>
        <w:t xml:space="preserve"> </w:t>
      </w:r>
      <w:r w:rsidRPr="00D4309F">
        <w:rPr>
          <w:color w:val="211E1F"/>
        </w:rPr>
        <w:t>permanent</w:t>
      </w:r>
      <w:r w:rsidRPr="00D4309F">
        <w:rPr>
          <w:color w:val="211E1F"/>
          <w:spacing w:val="-4"/>
        </w:rPr>
        <w:t xml:space="preserve"> </w:t>
      </w:r>
      <w:r w:rsidRPr="00D4309F">
        <w:rPr>
          <w:color w:val="211E1F"/>
        </w:rPr>
        <w:t>buried</w:t>
      </w:r>
      <w:r w:rsidRPr="00D4309F">
        <w:rPr>
          <w:color w:val="211E1F"/>
          <w:spacing w:val="-2"/>
        </w:rPr>
        <w:t xml:space="preserve"> </w:t>
      </w:r>
      <w:r w:rsidRPr="00D4309F">
        <w:rPr>
          <w:color w:val="211E1F"/>
        </w:rPr>
        <w:t>pipeline</w:t>
      </w:r>
      <w:r w:rsidRPr="00D4309F">
        <w:rPr>
          <w:color w:val="211E1F"/>
          <w:spacing w:val="-2"/>
        </w:rPr>
        <w:t xml:space="preserve"> </w:t>
      </w:r>
      <w:r w:rsidRPr="00D4309F">
        <w:rPr>
          <w:color w:val="211E1F"/>
        </w:rPr>
        <w:t>beneath</w:t>
      </w:r>
      <w:r w:rsidRPr="00D4309F">
        <w:rPr>
          <w:color w:val="211E1F"/>
          <w:spacing w:val="-2"/>
        </w:rPr>
        <w:t xml:space="preserve"> </w:t>
      </w:r>
      <w:r w:rsidRPr="00D4309F">
        <w:rPr>
          <w:color w:val="211E1F"/>
        </w:rPr>
        <w:t>the</w:t>
      </w:r>
      <w:r w:rsidRPr="00D4309F">
        <w:rPr>
          <w:color w:val="211E1F"/>
          <w:spacing w:val="-2"/>
        </w:rPr>
        <w:t xml:space="preserve"> </w:t>
      </w:r>
      <w:r w:rsidRPr="00D4309F">
        <w:rPr>
          <w:color w:val="211E1F"/>
        </w:rPr>
        <w:t>entrance</w:t>
      </w:r>
      <w:r w:rsidRPr="00D4309F">
        <w:rPr>
          <w:color w:val="211E1F"/>
          <w:spacing w:val="-2"/>
        </w:rPr>
        <w:t xml:space="preserve"> </w:t>
      </w:r>
      <w:r w:rsidRPr="00D4309F">
        <w:rPr>
          <w:color w:val="211E1F"/>
        </w:rPr>
        <w:t>to</w:t>
      </w:r>
      <w:r w:rsidRPr="00D4309F">
        <w:rPr>
          <w:color w:val="211E1F"/>
          <w:spacing w:val="-3"/>
        </w:rPr>
        <w:t xml:space="preserve"> </w:t>
      </w:r>
      <w:r w:rsidRPr="00D4309F">
        <w:rPr>
          <w:color w:val="211E1F"/>
        </w:rPr>
        <w:t>transfer</w:t>
      </w:r>
      <w:r w:rsidRPr="00D4309F">
        <w:rPr>
          <w:color w:val="211E1F"/>
          <w:spacing w:val="-1"/>
        </w:rPr>
        <w:t xml:space="preserve"> </w:t>
      </w:r>
      <w:r w:rsidRPr="00D4309F">
        <w:rPr>
          <w:color w:val="211E1F"/>
        </w:rPr>
        <w:t>sand</w:t>
      </w:r>
      <w:r w:rsidRPr="00D4309F">
        <w:rPr>
          <w:color w:val="211E1F"/>
          <w:spacing w:val="-3"/>
        </w:rPr>
        <w:t xml:space="preserve"> </w:t>
      </w:r>
      <w:r w:rsidRPr="00D4309F">
        <w:rPr>
          <w:color w:val="211E1F"/>
        </w:rPr>
        <w:t>from</w:t>
      </w:r>
      <w:r w:rsidRPr="00D4309F">
        <w:rPr>
          <w:color w:val="211E1F"/>
          <w:spacing w:val="-2"/>
        </w:rPr>
        <w:t xml:space="preserve"> </w:t>
      </w:r>
      <w:r w:rsidRPr="00D4309F">
        <w:rPr>
          <w:color w:val="211E1F"/>
        </w:rPr>
        <w:t>the</w:t>
      </w:r>
      <w:r w:rsidRPr="00D4309F">
        <w:rPr>
          <w:color w:val="211E1F"/>
          <w:spacing w:val="-2"/>
        </w:rPr>
        <w:t xml:space="preserve"> </w:t>
      </w:r>
      <w:r w:rsidRPr="00D4309F">
        <w:rPr>
          <w:color w:val="211E1F"/>
        </w:rPr>
        <w:t>trap</w:t>
      </w:r>
      <w:r w:rsidRPr="00D4309F">
        <w:rPr>
          <w:color w:val="211E1F"/>
          <w:spacing w:val="-3"/>
        </w:rPr>
        <w:t xml:space="preserve"> </w:t>
      </w:r>
      <w:r w:rsidRPr="00D4309F">
        <w:rPr>
          <w:color w:val="211E1F"/>
        </w:rPr>
        <w:t>to</w:t>
      </w:r>
      <w:r w:rsidRPr="00D4309F">
        <w:rPr>
          <w:color w:val="211E1F"/>
          <w:spacing w:val="-2"/>
        </w:rPr>
        <w:t xml:space="preserve"> </w:t>
      </w:r>
      <w:r w:rsidRPr="00D4309F">
        <w:rPr>
          <w:color w:val="211E1F"/>
        </w:rPr>
        <w:t xml:space="preserve">the </w:t>
      </w:r>
      <w:r w:rsidRPr="00D4309F">
        <w:rPr>
          <w:color w:val="211E1F"/>
          <w:spacing w:val="-2"/>
        </w:rPr>
        <w:t>beach.</w:t>
      </w:r>
    </w:p>
    <w:p w14:paraId="5A575340" w14:textId="77777777" w:rsidR="00725977" w:rsidRPr="00D4309F" w:rsidRDefault="00725977" w:rsidP="00D27F26">
      <w:pPr>
        <w:pStyle w:val="ListParagraph"/>
        <w:widowControl w:val="0"/>
        <w:numPr>
          <w:ilvl w:val="1"/>
          <w:numId w:val="134"/>
        </w:numPr>
        <w:tabs>
          <w:tab w:val="left" w:pos="860"/>
        </w:tabs>
        <w:autoSpaceDE w:val="0"/>
        <w:autoSpaceDN w:val="0"/>
        <w:spacing w:after="0" w:line="240" w:lineRule="auto"/>
        <w:ind w:left="860" w:right="623"/>
        <w:contextualSpacing w:val="0"/>
      </w:pPr>
      <w:r w:rsidRPr="00D4309F">
        <w:rPr>
          <w:color w:val="211E1F"/>
        </w:rPr>
        <w:t>Provision</w:t>
      </w:r>
      <w:r w:rsidRPr="00D4309F">
        <w:rPr>
          <w:color w:val="211E1F"/>
          <w:spacing w:val="-4"/>
        </w:rPr>
        <w:t xml:space="preserve"> </w:t>
      </w:r>
      <w:r w:rsidRPr="00D4309F">
        <w:rPr>
          <w:color w:val="211E1F"/>
        </w:rPr>
        <w:t>of</w:t>
      </w:r>
      <w:r w:rsidRPr="00D4309F">
        <w:rPr>
          <w:color w:val="211E1F"/>
          <w:spacing w:val="-4"/>
        </w:rPr>
        <w:t xml:space="preserve"> </w:t>
      </w:r>
      <w:r w:rsidRPr="00D4309F">
        <w:rPr>
          <w:color w:val="211E1F"/>
        </w:rPr>
        <w:t>beach-side</w:t>
      </w:r>
      <w:r w:rsidRPr="00D4309F">
        <w:rPr>
          <w:color w:val="211E1F"/>
          <w:spacing w:val="-4"/>
        </w:rPr>
        <w:t xml:space="preserve"> </w:t>
      </w:r>
      <w:r w:rsidRPr="00D4309F">
        <w:rPr>
          <w:color w:val="211E1F"/>
        </w:rPr>
        <w:t>discharge</w:t>
      </w:r>
      <w:r w:rsidRPr="00D4309F">
        <w:rPr>
          <w:color w:val="211E1F"/>
          <w:spacing w:val="-4"/>
        </w:rPr>
        <w:t xml:space="preserve"> </w:t>
      </w:r>
      <w:r w:rsidRPr="00D4309F">
        <w:rPr>
          <w:color w:val="211E1F"/>
        </w:rPr>
        <w:t>infrastructure</w:t>
      </w:r>
      <w:r w:rsidRPr="00D4309F">
        <w:rPr>
          <w:color w:val="211E1F"/>
          <w:spacing w:val="-4"/>
        </w:rPr>
        <w:t xml:space="preserve"> </w:t>
      </w:r>
      <w:r w:rsidRPr="00D4309F">
        <w:rPr>
          <w:color w:val="211E1F"/>
        </w:rPr>
        <w:t>(e.g.,</w:t>
      </w:r>
      <w:r w:rsidRPr="00D4309F">
        <w:rPr>
          <w:color w:val="211E1F"/>
          <w:spacing w:val="-4"/>
        </w:rPr>
        <w:t xml:space="preserve"> </w:t>
      </w:r>
      <w:r w:rsidRPr="00D4309F">
        <w:rPr>
          <w:color w:val="211E1F"/>
        </w:rPr>
        <w:t>outlets</w:t>
      </w:r>
      <w:r w:rsidRPr="00D4309F">
        <w:rPr>
          <w:color w:val="211E1F"/>
          <w:spacing w:val="-3"/>
        </w:rPr>
        <w:t xml:space="preserve"> </w:t>
      </w:r>
      <w:r w:rsidRPr="00D4309F">
        <w:rPr>
          <w:color w:val="211E1F"/>
        </w:rPr>
        <w:t>or</w:t>
      </w:r>
      <w:r w:rsidRPr="00D4309F">
        <w:rPr>
          <w:color w:val="211E1F"/>
          <w:spacing w:val="-3"/>
        </w:rPr>
        <w:t xml:space="preserve"> </w:t>
      </w:r>
      <w:r w:rsidRPr="00D4309F">
        <w:rPr>
          <w:color w:val="211E1F"/>
        </w:rPr>
        <w:t>diffusers)</w:t>
      </w:r>
      <w:r w:rsidRPr="00D4309F">
        <w:rPr>
          <w:color w:val="211E1F"/>
          <w:spacing w:val="-3"/>
        </w:rPr>
        <w:t xml:space="preserve"> </w:t>
      </w:r>
      <w:r w:rsidRPr="00D4309F">
        <w:rPr>
          <w:color w:val="211E1F"/>
        </w:rPr>
        <w:t>to</w:t>
      </w:r>
      <w:r w:rsidRPr="00D4309F">
        <w:rPr>
          <w:color w:val="211E1F"/>
          <w:spacing w:val="-4"/>
        </w:rPr>
        <w:t xml:space="preserve"> </w:t>
      </w:r>
      <w:r w:rsidRPr="00D4309F">
        <w:rPr>
          <w:color w:val="211E1F"/>
        </w:rPr>
        <w:t>enable</w:t>
      </w:r>
      <w:r w:rsidRPr="00D4309F">
        <w:rPr>
          <w:color w:val="211E1F"/>
          <w:spacing w:val="-4"/>
        </w:rPr>
        <w:t xml:space="preserve"> </w:t>
      </w:r>
      <w:r w:rsidRPr="00D4309F">
        <w:rPr>
          <w:color w:val="211E1F"/>
        </w:rPr>
        <w:t>controlled nourishment along Mooloolaba Beach.</w:t>
      </w:r>
    </w:p>
    <w:p w14:paraId="632191A5" w14:textId="77777777" w:rsidR="00725977" w:rsidRPr="00D4309F" w:rsidRDefault="00725977" w:rsidP="00D27F26">
      <w:pPr>
        <w:pStyle w:val="ListParagraph"/>
        <w:widowControl w:val="0"/>
        <w:numPr>
          <w:ilvl w:val="0"/>
          <w:numId w:val="134"/>
        </w:numPr>
        <w:tabs>
          <w:tab w:val="left" w:pos="500"/>
        </w:tabs>
        <w:autoSpaceDE w:val="0"/>
        <w:autoSpaceDN w:val="0"/>
        <w:spacing w:before="121" w:after="0" w:line="240" w:lineRule="auto"/>
        <w:ind w:left="500"/>
        <w:contextualSpacing w:val="0"/>
      </w:pPr>
      <w:r w:rsidRPr="00D4309F">
        <w:rPr>
          <w:color w:val="211E1F"/>
        </w:rPr>
        <w:t>Electrical</w:t>
      </w:r>
      <w:r w:rsidRPr="00D4309F">
        <w:rPr>
          <w:color w:val="211E1F"/>
          <w:spacing w:val="-4"/>
        </w:rPr>
        <w:t xml:space="preserve"> </w:t>
      </w:r>
      <w:r w:rsidRPr="00D4309F">
        <w:rPr>
          <w:color w:val="211E1F"/>
        </w:rPr>
        <w:t>and</w:t>
      </w:r>
      <w:r w:rsidRPr="00D4309F">
        <w:rPr>
          <w:color w:val="211E1F"/>
          <w:spacing w:val="-5"/>
        </w:rPr>
        <w:t xml:space="preserve"> </w:t>
      </w:r>
      <w:r w:rsidRPr="00D4309F">
        <w:rPr>
          <w:color w:val="211E1F"/>
        </w:rPr>
        <w:t>Control</w:t>
      </w:r>
      <w:r w:rsidRPr="00D4309F">
        <w:rPr>
          <w:color w:val="211E1F"/>
          <w:spacing w:val="-3"/>
        </w:rPr>
        <w:t xml:space="preserve"> </w:t>
      </w:r>
      <w:r w:rsidRPr="00D4309F">
        <w:rPr>
          <w:color w:val="211E1F"/>
          <w:spacing w:val="-2"/>
        </w:rPr>
        <w:t>Systems</w:t>
      </w:r>
    </w:p>
    <w:p w14:paraId="19DD4727" w14:textId="77777777" w:rsidR="00725977" w:rsidRPr="00D4309F" w:rsidRDefault="00725977" w:rsidP="00D27F26">
      <w:pPr>
        <w:pStyle w:val="ListParagraph"/>
        <w:widowControl w:val="0"/>
        <w:numPr>
          <w:ilvl w:val="1"/>
          <w:numId w:val="134"/>
        </w:numPr>
        <w:tabs>
          <w:tab w:val="left" w:pos="860"/>
        </w:tabs>
        <w:autoSpaceDE w:val="0"/>
        <w:autoSpaceDN w:val="0"/>
        <w:spacing w:before="118" w:after="0" w:line="240" w:lineRule="auto"/>
        <w:ind w:left="860"/>
        <w:contextualSpacing w:val="0"/>
      </w:pPr>
      <w:r w:rsidRPr="00D4309F">
        <w:rPr>
          <w:color w:val="211E1F"/>
        </w:rPr>
        <w:t>High-capacity</w:t>
      </w:r>
      <w:r w:rsidRPr="00D4309F">
        <w:rPr>
          <w:color w:val="211E1F"/>
          <w:spacing w:val="-7"/>
        </w:rPr>
        <w:t xml:space="preserve"> </w:t>
      </w:r>
      <w:r w:rsidRPr="00D4309F">
        <w:rPr>
          <w:color w:val="211E1F"/>
        </w:rPr>
        <w:t>electrical</w:t>
      </w:r>
      <w:r w:rsidRPr="00D4309F">
        <w:rPr>
          <w:color w:val="211E1F"/>
          <w:spacing w:val="-5"/>
        </w:rPr>
        <w:t xml:space="preserve"> </w:t>
      </w:r>
      <w:r w:rsidRPr="00D4309F">
        <w:rPr>
          <w:color w:val="211E1F"/>
        </w:rPr>
        <w:t>supply,</w:t>
      </w:r>
      <w:r w:rsidRPr="00D4309F">
        <w:rPr>
          <w:color w:val="211E1F"/>
          <w:spacing w:val="-5"/>
        </w:rPr>
        <w:t xml:space="preserve"> </w:t>
      </w:r>
      <w:r w:rsidRPr="00D4309F">
        <w:rPr>
          <w:color w:val="211E1F"/>
        </w:rPr>
        <w:t>switchgear,</w:t>
      </w:r>
      <w:r w:rsidRPr="00D4309F">
        <w:rPr>
          <w:color w:val="211E1F"/>
          <w:spacing w:val="-5"/>
        </w:rPr>
        <w:t xml:space="preserve"> </w:t>
      </w:r>
      <w:r w:rsidRPr="00D4309F">
        <w:rPr>
          <w:color w:val="211E1F"/>
        </w:rPr>
        <w:t>and</w:t>
      </w:r>
      <w:r w:rsidRPr="00D4309F">
        <w:rPr>
          <w:color w:val="211E1F"/>
          <w:spacing w:val="-5"/>
        </w:rPr>
        <w:t xml:space="preserve"> </w:t>
      </w:r>
      <w:r w:rsidRPr="00D4309F">
        <w:rPr>
          <w:color w:val="211E1F"/>
        </w:rPr>
        <w:t>backup</w:t>
      </w:r>
      <w:r w:rsidRPr="00D4309F">
        <w:rPr>
          <w:color w:val="211E1F"/>
          <w:spacing w:val="-5"/>
        </w:rPr>
        <w:t xml:space="preserve"> </w:t>
      </w:r>
      <w:r w:rsidRPr="00D4309F">
        <w:rPr>
          <w:color w:val="211E1F"/>
        </w:rPr>
        <w:t>systems</w:t>
      </w:r>
      <w:r w:rsidRPr="00D4309F">
        <w:rPr>
          <w:color w:val="211E1F"/>
          <w:spacing w:val="-4"/>
        </w:rPr>
        <w:t xml:space="preserve"> </w:t>
      </w:r>
      <w:r w:rsidRPr="00D4309F">
        <w:rPr>
          <w:color w:val="211E1F"/>
        </w:rPr>
        <w:t>to</w:t>
      </w:r>
      <w:r w:rsidRPr="00D4309F">
        <w:rPr>
          <w:color w:val="211E1F"/>
          <w:spacing w:val="-5"/>
        </w:rPr>
        <w:t xml:space="preserve"> </w:t>
      </w:r>
      <w:r w:rsidRPr="00D4309F">
        <w:rPr>
          <w:color w:val="211E1F"/>
        </w:rPr>
        <w:t>support</w:t>
      </w:r>
      <w:r w:rsidRPr="00D4309F">
        <w:rPr>
          <w:color w:val="211E1F"/>
          <w:spacing w:val="-5"/>
        </w:rPr>
        <w:t xml:space="preserve"> </w:t>
      </w:r>
      <w:r w:rsidRPr="00D4309F">
        <w:rPr>
          <w:color w:val="211E1F"/>
        </w:rPr>
        <w:t>continuous</w:t>
      </w:r>
      <w:r w:rsidRPr="00D4309F">
        <w:rPr>
          <w:color w:val="211E1F"/>
          <w:spacing w:val="-4"/>
        </w:rPr>
        <w:t xml:space="preserve"> </w:t>
      </w:r>
      <w:r w:rsidRPr="00D4309F">
        <w:rPr>
          <w:color w:val="211E1F"/>
          <w:spacing w:val="-2"/>
        </w:rPr>
        <w:t>operations.</w:t>
      </w:r>
    </w:p>
    <w:p w14:paraId="58FF5F56" w14:textId="77777777" w:rsidR="00725977" w:rsidRPr="00D4309F" w:rsidRDefault="00725977" w:rsidP="00D27F26">
      <w:pPr>
        <w:pStyle w:val="ListParagraph"/>
        <w:widowControl w:val="0"/>
        <w:numPr>
          <w:ilvl w:val="1"/>
          <w:numId w:val="134"/>
        </w:numPr>
        <w:tabs>
          <w:tab w:val="left" w:pos="859"/>
        </w:tabs>
        <w:autoSpaceDE w:val="0"/>
        <w:autoSpaceDN w:val="0"/>
        <w:spacing w:after="0" w:line="240" w:lineRule="auto"/>
        <w:ind w:left="859" w:right="524"/>
        <w:contextualSpacing w:val="0"/>
      </w:pPr>
      <w:r w:rsidRPr="00D4309F">
        <w:rPr>
          <w:color w:val="211E1F"/>
        </w:rPr>
        <w:t>Integration</w:t>
      </w:r>
      <w:r w:rsidRPr="00D4309F">
        <w:rPr>
          <w:color w:val="211E1F"/>
          <w:spacing w:val="-3"/>
        </w:rPr>
        <w:t xml:space="preserve"> </w:t>
      </w:r>
      <w:r w:rsidRPr="00D4309F">
        <w:rPr>
          <w:color w:val="211E1F"/>
        </w:rPr>
        <w:t>of</w:t>
      </w:r>
      <w:r w:rsidRPr="00D4309F">
        <w:rPr>
          <w:color w:val="211E1F"/>
          <w:spacing w:val="-5"/>
        </w:rPr>
        <w:t xml:space="preserve"> </w:t>
      </w:r>
      <w:r w:rsidRPr="00D4309F">
        <w:rPr>
          <w:color w:val="211E1F"/>
        </w:rPr>
        <w:t>telemetry,</w:t>
      </w:r>
      <w:r w:rsidRPr="00D4309F">
        <w:rPr>
          <w:color w:val="211E1F"/>
          <w:spacing w:val="-3"/>
        </w:rPr>
        <w:t xml:space="preserve"> </w:t>
      </w:r>
      <w:r w:rsidRPr="00D4309F">
        <w:rPr>
          <w:color w:val="211E1F"/>
        </w:rPr>
        <w:t>SCADA,</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real-time</w:t>
      </w:r>
      <w:r w:rsidRPr="00D4309F">
        <w:rPr>
          <w:color w:val="211E1F"/>
          <w:spacing w:val="-3"/>
        </w:rPr>
        <w:t xml:space="preserve"> </w:t>
      </w:r>
      <w:r w:rsidRPr="00D4309F">
        <w:rPr>
          <w:color w:val="211E1F"/>
        </w:rPr>
        <w:t>monitoring</w:t>
      </w:r>
      <w:r w:rsidRPr="00D4309F">
        <w:rPr>
          <w:color w:val="211E1F"/>
          <w:spacing w:val="-3"/>
        </w:rPr>
        <w:t xml:space="preserve"> </w:t>
      </w:r>
      <w:r w:rsidRPr="00D4309F">
        <w:rPr>
          <w:color w:val="211E1F"/>
        </w:rPr>
        <w:t>for</w:t>
      </w:r>
      <w:r w:rsidRPr="00D4309F">
        <w:rPr>
          <w:color w:val="211E1F"/>
          <w:spacing w:val="-2"/>
        </w:rPr>
        <w:t xml:space="preserve"> </w:t>
      </w:r>
      <w:r w:rsidRPr="00D4309F">
        <w:rPr>
          <w:color w:val="211E1F"/>
        </w:rPr>
        <w:t>flows,</w:t>
      </w:r>
      <w:r w:rsidRPr="00D4309F">
        <w:rPr>
          <w:color w:val="211E1F"/>
          <w:spacing w:val="-3"/>
        </w:rPr>
        <w:t xml:space="preserve"> </w:t>
      </w:r>
      <w:r w:rsidRPr="00D4309F">
        <w:rPr>
          <w:color w:val="211E1F"/>
        </w:rPr>
        <w:t>pressures,</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 xml:space="preserve">operational </w:t>
      </w:r>
      <w:r w:rsidRPr="00D4309F">
        <w:rPr>
          <w:color w:val="211E1F"/>
          <w:spacing w:val="-2"/>
        </w:rPr>
        <w:t>performance.</w:t>
      </w:r>
    </w:p>
    <w:p w14:paraId="57F93A9C" w14:textId="77777777" w:rsidR="00725977" w:rsidRPr="00D4309F" w:rsidRDefault="00725977" w:rsidP="00D27F26">
      <w:pPr>
        <w:pStyle w:val="ListParagraph"/>
        <w:widowControl w:val="0"/>
        <w:numPr>
          <w:ilvl w:val="0"/>
          <w:numId w:val="134"/>
        </w:numPr>
        <w:tabs>
          <w:tab w:val="left" w:pos="499"/>
        </w:tabs>
        <w:autoSpaceDE w:val="0"/>
        <w:autoSpaceDN w:val="0"/>
        <w:spacing w:after="0" w:line="240" w:lineRule="auto"/>
        <w:ind w:left="499"/>
        <w:contextualSpacing w:val="0"/>
      </w:pPr>
      <w:r w:rsidRPr="00D4309F">
        <w:rPr>
          <w:color w:val="211E1F"/>
        </w:rPr>
        <w:t>Construction</w:t>
      </w:r>
      <w:r w:rsidRPr="00D4309F">
        <w:rPr>
          <w:color w:val="211E1F"/>
          <w:spacing w:val="-6"/>
        </w:rPr>
        <w:t xml:space="preserve"> </w:t>
      </w:r>
      <w:r w:rsidRPr="00D4309F">
        <w:rPr>
          <w:color w:val="211E1F"/>
        </w:rPr>
        <w:t>Access</w:t>
      </w:r>
      <w:r w:rsidRPr="00D4309F">
        <w:rPr>
          <w:color w:val="211E1F"/>
          <w:spacing w:val="-4"/>
        </w:rPr>
        <w:t xml:space="preserve"> </w:t>
      </w:r>
      <w:r w:rsidRPr="00D4309F">
        <w:rPr>
          <w:color w:val="211E1F"/>
        </w:rPr>
        <w:t>and</w:t>
      </w:r>
      <w:r w:rsidRPr="00D4309F">
        <w:rPr>
          <w:color w:val="211E1F"/>
          <w:spacing w:val="-5"/>
        </w:rPr>
        <w:t xml:space="preserve"> </w:t>
      </w:r>
      <w:r w:rsidRPr="00D4309F">
        <w:rPr>
          <w:color w:val="211E1F"/>
        </w:rPr>
        <w:t>Site</w:t>
      </w:r>
      <w:r w:rsidRPr="00D4309F">
        <w:rPr>
          <w:color w:val="211E1F"/>
          <w:spacing w:val="-4"/>
        </w:rPr>
        <w:t xml:space="preserve"> </w:t>
      </w:r>
      <w:r w:rsidRPr="00D4309F">
        <w:rPr>
          <w:color w:val="211E1F"/>
          <w:spacing w:val="-2"/>
        </w:rPr>
        <w:t>Establishment</w:t>
      </w:r>
    </w:p>
    <w:p w14:paraId="0F4A60BF" w14:textId="77777777" w:rsidR="00725977" w:rsidRPr="00D4309F" w:rsidRDefault="00725977" w:rsidP="00D27F26">
      <w:pPr>
        <w:pStyle w:val="ListParagraph"/>
        <w:widowControl w:val="0"/>
        <w:numPr>
          <w:ilvl w:val="1"/>
          <w:numId w:val="134"/>
        </w:numPr>
        <w:tabs>
          <w:tab w:val="left" w:pos="859"/>
        </w:tabs>
        <w:autoSpaceDE w:val="0"/>
        <w:autoSpaceDN w:val="0"/>
        <w:spacing w:before="118" w:after="0" w:line="240" w:lineRule="auto"/>
        <w:ind w:left="859" w:right="235"/>
        <w:contextualSpacing w:val="0"/>
      </w:pPr>
      <w:r w:rsidRPr="00D4309F">
        <w:rPr>
          <w:color w:val="211E1F"/>
        </w:rPr>
        <w:t>Establishment</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temporary</w:t>
      </w:r>
      <w:r w:rsidRPr="00D4309F">
        <w:rPr>
          <w:color w:val="211E1F"/>
          <w:spacing w:val="-2"/>
        </w:rPr>
        <w:t xml:space="preserve"> </w:t>
      </w:r>
      <w:r w:rsidRPr="00D4309F">
        <w:rPr>
          <w:color w:val="211E1F"/>
        </w:rPr>
        <w:t>compounds,</w:t>
      </w:r>
      <w:r w:rsidRPr="00D4309F">
        <w:rPr>
          <w:color w:val="211E1F"/>
          <w:spacing w:val="-3"/>
        </w:rPr>
        <w:t xml:space="preserve"> </w:t>
      </w:r>
      <w:r w:rsidRPr="00D4309F">
        <w:rPr>
          <w:color w:val="211E1F"/>
        </w:rPr>
        <w:t>access</w:t>
      </w:r>
      <w:r w:rsidRPr="00D4309F">
        <w:rPr>
          <w:color w:val="211E1F"/>
          <w:spacing w:val="-2"/>
        </w:rPr>
        <w:t xml:space="preserve"> </w:t>
      </w:r>
      <w:r w:rsidRPr="00D4309F">
        <w:rPr>
          <w:color w:val="211E1F"/>
        </w:rPr>
        <w:t>routes,</w:t>
      </w:r>
      <w:r w:rsidRPr="00D4309F">
        <w:rPr>
          <w:color w:val="211E1F"/>
          <w:spacing w:val="-3"/>
        </w:rPr>
        <w:t xml:space="preserve"> </w:t>
      </w:r>
      <w:r w:rsidRPr="00D4309F">
        <w:rPr>
          <w:color w:val="211E1F"/>
        </w:rPr>
        <w:t>crane</w:t>
      </w:r>
      <w:r w:rsidRPr="00D4309F">
        <w:rPr>
          <w:color w:val="211E1F"/>
          <w:spacing w:val="-3"/>
        </w:rPr>
        <w:t xml:space="preserve"> </w:t>
      </w:r>
      <w:r w:rsidRPr="00D4309F">
        <w:rPr>
          <w:color w:val="211E1F"/>
        </w:rPr>
        <w:t>pads,</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marine</w:t>
      </w:r>
      <w:r w:rsidRPr="00D4309F">
        <w:rPr>
          <w:color w:val="211E1F"/>
          <w:spacing w:val="-4"/>
        </w:rPr>
        <w:t xml:space="preserve"> </w:t>
      </w:r>
      <w:r w:rsidRPr="00D4309F">
        <w:rPr>
          <w:color w:val="211E1F"/>
        </w:rPr>
        <w:t>plant</w:t>
      </w:r>
      <w:r w:rsidRPr="00D4309F">
        <w:rPr>
          <w:color w:val="211E1F"/>
          <w:spacing w:val="-3"/>
        </w:rPr>
        <w:t xml:space="preserve"> </w:t>
      </w:r>
      <w:r w:rsidRPr="00D4309F">
        <w:rPr>
          <w:color w:val="211E1F"/>
        </w:rPr>
        <w:t>mobilisation areas necessary for installation of the jetty and pump infrastructure.</w:t>
      </w:r>
    </w:p>
    <w:p w14:paraId="66CAAAAA" w14:textId="77777777" w:rsidR="00725977" w:rsidRDefault="00725977" w:rsidP="00725977">
      <w:pPr>
        <w:pStyle w:val="BodyText"/>
      </w:pPr>
      <w:r w:rsidRPr="00D4309F">
        <w:t>Option 4 represents a large and intensive capital works investment, comparable to other automated sand bypassing systems implemented in high-energy coastal environments. While it provides a permanent and continuous bypassing mechanism, its overall performance and long-term value would depend on the efficiency</w:t>
      </w:r>
      <w:r w:rsidRPr="00D4309F">
        <w:rPr>
          <w:spacing w:val="-1"/>
        </w:rPr>
        <w:t xml:space="preserve"> </w:t>
      </w:r>
      <w:r w:rsidRPr="00D4309F">
        <w:t>of</w:t>
      </w:r>
      <w:r w:rsidRPr="00D4309F">
        <w:rPr>
          <w:spacing w:val="-2"/>
        </w:rPr>
        <w:t xml:space="preserve"> </w:t>
      </w:r>
      <w:r w:rsidRPr="00D4309F">
        <w:t>the</w:t>
      </w:r>
      <w:r w:rsidRPr="00D4309F">
        <w:rPr>
          <w:spacing w:val="-2"/>
        </w:rPr>
        <w:t xml:space="preserve"> </w:t>
      </w:r>
      <w:r w:rsidRPr="00D4309F">
        <w:t>sand</w:t>
      </w:r>
      <w:r w:rsidRPr="00D4309F">
        <w:rPr>
          <w:spacing w:val="-2"/>
        </w:rPr>
        <w:t xml:space="preserve"> </w:t>
      </w:r>
      <w:r w:rsidRPr="00D4309F">
        <w:t>trap,</w:t>
      </w:r>
      <w:r w:rsidRPr="00D4309F">
        <w:rPr>
          <w:spacing w:val="-4"/>
        </w:rPr>
        <w:t xml:space="preserve"> </w:t>
      </w:r>
      <w:r w:rsidRPr="00D4309F">
        <w:t>the</w:t>
      </w:r>
      <w:r w:rsidRPr="00D4309F">
        <w:rPr>
          <w:spacing w:val="-2"/>
        </w:rPr>
        <w:t xml:space="preserve"> </w:t>
      </w:r>
      <w:r w:rsidRPr="00D4309F">
        <w:t>local</w:t>
      </w:r>
      <w:r w:rsidRPr="00D4309F">
        <w:rPr>
          <w:spacing w:val="-3"/>
        </w:rPr>
        <w:t xml:space="preserve"> </w:t>
      </w:r>
      <w:r w:rsidRPr="00D4309F">
        <w:t>wave</w:t>
      </w:r>
      <w:r w:rsidRPr="00D4309F">
        <w:rPr>
          <w:spacing w:val="-2"/>
        </w:rPr>
        <w:t xml:space="preserve"> </w:t>
      </w:r>
      <w:r w:rsidRPr="00D4309F">
        <w:t>climate,</w:t>
      </w:r>
      <w:r w:rsidRPr="00D4309F">
        <w:rPr>
          <w:spacing w:val="-2"/>
        </w:rPr>
        <w:t xml:space="preserve"> </w:t>
      </w:r>
      <w:r w:rsidRPr="00D4309F">
        <w:t>and</w:t>
      </w:r>
      <w:r w:rsidRPr="00D4309F">
        <w:rPr>
          <w:spacing w:val="-2"/>
        </w:rPr>
        <w:t xml:space="preserve"> </w:t>
      </w:r>
      <w:r w:rsidRPr="00D4309F">
        <w:t>the</w:t>
      </w:r>
      <w:r w:rsidRPr="00D4309F">
        <w:rPr>
          <w:spacing w:val="-2"/>
        </w:rPr>
        <w:t xml:space="preserve"> </w:t>
      </w:r>
      <w:r w:rsidRPr="00D4309F">
        <w:t>system’s</w:t>
      </w:r>
      <w:r w:rsidRPr="00D4309F">
        <w:rPr>
          <w:spacing w:val="-1"/>
        </w:rPr>
        <w:t xml:space="preserve"> </w:t>
      </w:r>
      <w:r w:rsidRPr="00D4309F">
        <w:t>ability</w:t>
      </w:r>
      <w:r w:rsidRPr="00D4309F">
        <w:rPr>
          <w:spacing w:val="-1"/>
        </w:rPr>
        <w:t xml:space="preserve"> </w:t>
      </w:r>
      <w:r w:rsidRPr="00D4309F">
        <w:t>to</w:t>
      </w:r>
      <w:r w:rsidRPr="00D4309F">
        <w:rPr>
          <w:spacing w:val="-2"/>
        </w:rPr>
        <w:t xml:space="preserve"> </w:t>
      </w:r>
      <w:r w:rsidRPr="00D4309F">
        <w:t>reliably</w:t>
      </w:r>
      <w:r w:rsidRPr="00D4309F">
        <w:rPr>
          <w:spacing w:val="-1"/>
        </w:rPr>
        <w:t xml:space="preserve"> </w:t>
      </w:r>
      <w:r w:rsidRPr="00D4309F">
        <w:t>intercept</w:t>
      </w:r>
      <w:r w:rsidRPr="00D4309F">
        <w:rPr>
          <w:spacing w:val="-4"/>
        </w:rPr>
        <w:t xml:space="preserve"> </w:t>
      </w:r>
      <w:r w:rsidRPr="00D4309F">
        <w:t>sand</w:t>
      </w:r>
      <w:r w:rsidRPr="00D4309F">
        <w:rPr>
          <w:spacing w:val="-2"/>
        </w:rPr>
        <w:t xml:space="preserve"> </w:t>
      </w:r>
      <w:r w:rsidRPr="00D4309F">
        <w:t>before</w:t>
      </w:r>
      <w:r w:rsidRPr="00D4309F">
        <w:rPr>
          <w:spacing w:val="-2"/>
        </w:rPr>
        <w:t xml:space="preserve"> </w:t>
      </w:r>
      <w:r w:rsidRPr="00D4309F">
        <w:t>it contributes to shoaling.</w:t>
      </w:r>
    </w:p>
    <w:p w14:paraId="3EDB86B3" w14:textId="77777777" w:rsidR="000665A1" w:rsidRDefault="000665A1" w:rsidP="00725977">
      <w:pPr>
        <w:pStyle w:val="BodyText"/>
      </w:pPr>
    </w:p>
    <w:p w14:paraId="5CDCA8E7" w14:textId="77777777" w:rsidR="00725977" w:rsidRPr="00D4309F" w:rsidRDefault="00725977" w:rsidP="00AF12C0">
      <w:pPr>
        <w:pStyle w:val="Heading2"/>
      </w:pPr>
      <w:bookmarkStart w:id="484" w:name="_bookmark177"/>
      <w:bookmarkStart w:id="485" w:name="_Toc216699486"/>
      <w:bookmarkEnd w:id="484"/>
      <w:r w:rsidRPr="00D4309F">
        <w:lastRenderedPageBreak/>
        <w:t>Operational</w:t>
      </w:r>
      <w:r w:rsidRPr="00D4309F">
        <w:rPr>
          <w:spacing w:val="2"/>
        </w:rPr>
        <w:t xml:space="preserve"> </w:t>
      </w:r>
      <w:r w:rsidRPr="00D4309F">
        <w:rPr>
          <w:spacing w:val="-4"/>
        </w:rPr>
        <w:t>works</w:t>
      </w:r>
      <w:bookmarkEnd w:id="485"/>
    </w:p>
    <w:p w14:paraId="1848A047" w14:textId="77777777" w:rsidR="00725977" w:rsidRPr="00D4309F" w:rsidRDefault="00725977" w:rsidP="00725977">
      <w:pPr>
        <w:pStyle w:val="BodyText"/>
      </w:pPr>
      <w:r w:rsidRPr="00D4309F">
        <w:t>Operation of Option 4 would involve the periodic or semi-continuous transfer of sand from the excavated headland trap (Area A) to Mooloolaba Beach (Area B) via fixed pumping infrastructure. Unlike dredging-based options, the system operates in response to actual trap infill, with pumping occurring only when sufficient</w:t>
      </w:r>
      <w:r w:rsidRPr="00D4309F">
        <w:rPr>
          <w:spacing w:val="-3"/>
        </w:rPr>
        <w:t xml:space="preserve"> </w:t>
      </w:r>
      <w:r w:rsidRPr="00D4309F">
        <w:t>sand</w:t>
      </w:r>
      <w:r w:rsidRPr="00D4309F">
        <w:rPr>
          <w:spacing w:val="-3"/>
        </w:rPr>
        <w:t xml:space="preserve"> </w:t>
      </w:r>
      <w:r w:rsidRPr="00D4309F">
        <w:t>is</w:t>
      </w:r>
      <w:r w:rsidRPr="00D4309F">
        <w:rPr>
          <w:spacing w:val="-2"/>
        </w:rPr>
        <w:t xml:space="preserve"> </w:t>
      </w:r>
      <w:r w:rsidRPr="00D4309F">
        <w:t>available.</w:t>
      </w:r>
      <w:r w:rsidRPr="00D4309F">
        <w:rPr>
          <w:spacing w:val="-5"/>
        </w:rPr>
        <w:t xml:space="preserve"> </w:t>
      </w:r>
      <w:r w:rsidRPr="00D4309F">
        <w:t>The</w:t>
      </w:r>
      <w:r w:rsidRPr="00D4309F">
        <w:rPr>
          <w:spacing w:val="-3"/>
        </w:rPr>
        <w:t xml:space="preserve"> </w:t>
      </w:r>
      <w:r w:rsidRPr="00D4309F">
        <w:t>effectiveness</w:t>
      </w:r>
      <w:r w:rsidRPr="00D4309F">
        <w:rPr>
          <w:spacing w:val="-2"/>
        </w:rPr>
        <w:t xml:space="preserve"> </w:t>
      </w:r>
      <w:r w:rsidRPr="00D4309F">
        <w:t>of</w:t>
      </w:r>
      <w:r w:rsidRPr="00D4309F">
        <w:rPr>
          <w:spacing w:val="-3"/>
        </w:rPr>
        <w:t xml:space="preserve"> </w:t>
      </w:r>
      <w:r w:rsidRPr="00D4309F">
        <w:t>operations</w:t>
      </w:r>
      <w:r w:rsidRPr="00D4309F">
        <w:rPr>
          <w:spacing w:val="-2"/>
        </w:rPr>
        <w:t xml:space="preserve"> </w:t>
      </w:r>
      <w:r w:rsidRPr="00D4309F">
        <w:t>therefore</w:t>
      </w:r>
      <w:r w:rsidRPr="00D4309F">
        <w:rPr>
          <w:spacing w:val="-3"/>
        </w:rPr>
        <w:t xml:space="preserve"> </w:t>
      </w:r>
      <w:r w:rsidRPr="00D4309F">
        <w:t>remains</w:t>
      </w:r>
      <w:r w:rsidRPr="00D4309F">
        <w:rPr>
          <w:spacing w:val="-3"/>
        </w:rPr>
        <w:t xml:space="preserve"> </w:t>
      </w:r>
      <w:r w:rsidRPr="00D4309F">
        <w:t>closely</w:t>
      </w:r>
      <w:r w:rsidRPr="00D4309F">
        <w:rPr>
          <w:spacing w:val="-2"/>
        </w:rPr>
        <w:t xml:space="preserve"> </w:t>
      </w:r>
      <w:r w:rsidRPr="00D4309F">
        <w:t>tied</w:t>
      </w:r>
      <w:r w:rsidRPr="00D4309F">
        <w:rPr>
          <w:spacing w:val="-3"/>
        </w:rPr>
        <w:t xml:space="preserve"> </w:t>
      </w:r>
      <w:r w:rsidRPr="00D4309F">
        <w:t>to</w:t>
      </w:r>
      <w:r w:rsidRPr="00D4309F">
        <w:rPr>
          <w:spacing w:val="-3"/>
        </w:rPr>
        <w:t xml:space="preserve"> </w:t>
      </w:r>
      <w:r w:rsidRPr="00D4309F">
        <w:t>how</w:t>
      </w:r>
      <w:r w:rsidRPr="00D4309F">
        <w:rPr>
          <w:spacing w:val="-2"/>
        </w:rPr>
        <w:t xml:space="preserve"> </w:t>
      </w:r>
      <w:r w:rsidRPr="00D4309F">
        <w:t>reliably</w:t>
      </w:r>
      <w:r w:rsidRPr="00D4309F">
        <w:rPr>
          <w:spacing w:val="-2"/>
        </w:rPr>
        <w:t xml:space="preserve"> </w:t>
      </w:r>
      <w:r w:rsidRPr="00D4309F">
        <w:t>the trap receives sand under local wave and sediment-transport conditions.</w:t>
      </w:r>
    </w:p>
    <w:p w14:paraId="35398F06" w14:textId="77777777" w:rsidR="00725977" w:rsidRPr="00D4309F" w:rsidRDefault="00725977" w:rsidP="00D27F26">
      <w:pPr>
        <w:pStyle w:val="ListParagraph"/>
        <w:widowControl w:val="0"/>
        <w:numPr>
          <w:ilvl w:val="0"/>
          <w:numId w:val="133"/>
        </w:numPr>
        <w:tabs>
          <w:tab w:val="left" w:pos="501"/>
        </w:tabs>
        <w:autoSpaceDE w:val="0"/>
        <w:autoSpaceDN w:val="0"/>
        <w:spacing w:after="0" w:line="240" w:lineRule="auto"/>
        <w:contextualSpacing w:val="0"/>
      </w:pPr>
      <w:r w:rsidRPr="00D4309F">
        <w:rPr>
          <w:color w:val="211E1F"/>
        </w:rPr>
        <w:t>Sand</w:t>
      </w:r>
      <w:r w:rsidRPr="00D4309F">
        <w:rPr>
          <w:color w:val="211E1F"/>
          <w:spacing w:val="-4"/>
        </w:rPr>
        <w:t xml:space="preserve"> </w:t>
      </w:r>
      <w:r w:rsidRPr="00D4309F">
        <w:rPr>
          <w:color w:val="211E1F"/>
        </w:rPr>
        <w:t>Collection</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Trap</w:t>
      </w:r>
      <w:r w:rsidRPr="00D4309F">
        <w:rPr>
          <w:color w:val="211E1F"/>
          <w:spacing w:val="-4"/>
        </w:rPr>
        <w:t xml:space="preserve"> </w:t>
      </w:r>
      <w:r w:rsidRPr="00D4309F">
        <w:rPr>
          <w:color w:val="211E1F"/>
          <w:spacing w:val="-2"/>
        </w:rPr>
        <w:t>Behaviour</w:t>
      </w:r>
    </w:p>
    <w:p w14:paraId="7C309ABD" w14:textId="77777777" w:rsidR="00725977" w:rsidRPr="00D4309F" w:rsidRDefault="00725977" w:rsidP="00D27F26">
      <w:pPr>
        <w:pStyle w:val="ListParagraph"/>
        <w:widowControl w:val="0"/>
        <w:numPr>
          <w:ilvl w:val="1"/>
          <w:numId w:val="133"/>
        </w:numPr>
        <w:tabs>
          <w:tab w:val="left" w:pos="861"/>
        </w:tabs>
        <w:autoSpaceDE w:val="0"/>
        <w:autoSpaceDN w:val="0"/>
        <w:spacing w:before="119" w:after="0" w:line="240" w:lineRule="auto"/>
        <w:ind w:right="689"/>
        <w:contextualSpacing w:val="0"/>
      </w:pPr>
      <w:r w:rsidRPr="00D4309F">
        <w:rPr>
          <w:color w:val="211E1F"/>
        </w:rPr>
        <w:t>Sand</w:t>
      </w:r>
      <w:r w:rsidRPr="00D4309F">
        <w:rPr>
          <w:color w:val="211E1F"/>
          <w:spacing w:val="-3"/>
        </w:rPr>
        <w:t xml:space="preserve"> </w:t>
      </w:r>
      <w:r w:rsidRPr="00D4309F">
        <w:rPr>
          <w:color w:val="211E1F"/>
        </w:rPr>
        <w:t>would</w:t>
      </w:r>
      <w:r w:rsidRPr="00D4309F">
        <w:rPr>
          <w:color w:val="211E1F"/>
          <w:spacing w:val="-3"/>
        </w:rPr>
        <w:t xml:space="preserve"> </w:t>
      </w:r>
      <w:r w:rsidRPr="00D4309F">
        <w:rPr>
          <w:color w:val="211E1F"/>
        </w:rPr>
        <w:t>accumulate</w:t>
      </w:r>
      <w:r w:rsidRPr="00D4309F">
        <w:rPr>
          <w:color w:val="211E1F"/>
          <w:spacing w:val="-4"/>
        </w:rPr>
        <w:t xml:space="preserve"> </w:t>
      </w:r>
      <w:r w:rsidRPr="00D4309F">
        <w:rPr>
          <w:color w:val="211E1F"/>
        </w:rPr>
        <w:t>within</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excavated</w:t>
      </w:r>
      <w:r w:rsidRPr="00D4309F">
        <w:rPr>
          <w:color w:val="211E1F"/>
          <w:spacing w:val="-3"/>
        </w:rPr>
        <w:t xml:space="preserve"> </w:t>
      </w:r>
      <w:r w:rsidRPr="00D4309F">
        <w:rPr>
          <w:color w:val="211E1F"/>
        </w:rPr>
        <w:t>trap</w:t>
      </w:r>
      <w:r w:rsidRPr="00D4309F">
        <w:rPr>
          <w:color w:val="211E1F"/>
          <w:spacing w:val="-3"/>
        </w:rPr>
        <w:t xml:space="preserve"> </w:t>
      </w:r>
      <w:r w:rsidRPr="00D4309F">
        <w:rPr>
          <w:color w:val="211E1F"/>
        </w:rPr>
        <w:t>during</w:t>
      </w:r>
      <w:r w:rsidRPr="00D4309F">
        <w:rPr>
          <w:color w:val="211E1F"/>
          <w:spacing w:val="-3"/>
        </w:rPr>
        <w:t xml:space="preserve"> </w:t>
      </w:r>
      <w:r w:rsidRPr="00D4309F">
        <w:rPr>
          <w:color w:val="211E1F"/>
        </w:rPr>
        <w:t>moderate–high</w:t>
      </w:r>
      <w:r w:rsidRPr="00D4309F">
        <w:rPr>
          <w:color w:val="211E1F"/>
          <w:spacing w:val="-3"/>
        </w:rPr>
        <w:t xml:space="preserve"> </w:t>
      </w:r>
      <w:r w:rsidRPr="00D4309F">
        <w:rPr>
          <w:color w:val="211E1F"/>
        </w:rPr>
        <w:t>energy</w:t>
      </w:r>
      <w:r w:rsidRPr="00D4309F">
        <w:rPr>
          <w:color w:val="211E1F"/>
          <w:spacing w:val="-3"/>
        </w:rPr>
        <w:t xml:space="preserve"> </w:t>
      </w:r>
      <w:r w:rsidRPr="00D4309F">
        <w:rPr>
          <w:color w:val="211E1F"/>
        </w:rPr>
        <w:t>wave</w:t>
      </w:r>
      <w:r w:rsidRPr="00D4309F">
        <w:rPr>
          <w:color w:val="211E1F"/>
          <w:spacing w:val="-3"/>
        </w:rPr>
        <w:t xml:space="preserve"> </w:t>
      </w:r>
      <w:r w:rsidRPr="00D4309F">
        <w:rPr>
          <w:color w:val="211E1F"/>
        </w:rPr>
        <w:t>events capable of mobilising sediment across the nearshore rock platform.</w:t>
      </w:r>
    </w:p>
    <w:p w14:paraId="6FAD4263" w14:textId="77777777" w:rsidR="00725977" w:rsidRPr="00D4309F" w:rsidRDefault="00725977" w:rsidP="00D27F26">
      <w:pPr>
        <w:pStyle w:val="ListParagraph"/>
        <w:widowControl w:val="0"/>
        <w:numPr>
          <w:ilvl w:val="1"/>
          <w:numId w:val="133"/>
        </w:numPr>
        <w:tabs>
          <w:tab w:val="left" w:pos="861"/>
        </w:tabs>
        <w:autoSpaceDE w:val="0"/>
        <w:autoSpaceDN w:val="0"/>
        <w:spacing w:before="119" w:after="0" w:line="240" w:lineRule="auto"/>
        <w:ind w:right="389"/>
        <w:contextualSpacing w:val="0"/>
      </w:pPr>
      <w:r w:rsidRPr="00D4309F">
        <w:rPr>
          <w:color w:val="211E1F"/>
        </w:rPr>
        <w:t>As</w:t>
      </w:r>
      <w:r w:rsidRPr="00D4309F">
        <w:rPr>
          <w:color w:val="211E1F"/>
          <w:spacing w:val="-2"/>
        </w:rPr>
        <w:t xml:space="preserve"> </w:t>
      </w:r>
      <w:r w:rsidRPr="00D4309F">
        <w:rPr>
          <w:color w:val="211E1F"/>
        </w:rPr>
        <w:t>the</w:t>
      </w:r>
      <w:r w:rsidRPr="00D4309F">
        <w:rPr>
          <w:color w:val="211E1F"/>
          <w:spacing w:val="-3"/>
        </w:rPr>
        <w:t xml:space="preserve"> </w:t>
      </w:r>
      <w:r w:rsidRPr="00D4309F">
        <w:rPr>
          <w:color w:val="211E1F"/>
        </w:rPr>
        <w:t>trap</w:t>
      </w:r>
      <w:r w:rsidRPr="00D4309F">
        <w:rPr>
          <w:color w:val="211E1F"/>
          <w:spacing w:val="-3"/>
        </w:rPr>
        <w:t xml:space="preserve"> </w:t>
      </w:r>
      <w:r w:rsidRPr="00D4309F">
        <w:rPr>
          <w:color w:val="211E1F"/>
        </w:rPr>
        <w:t>occupies</w:t>
      </w:r>
      <w:r w:rsidRPr="00D4309F">
        <w:rPr>
          <w:color w:val="211E1F"/>
          <w:spacing w:val="-2"/>
        </w:rPr>
        <w:t xml:space="preserve"> </w:t>
      </w:r>
      <w:r w:rsidRPr="00D4309F">
        <w:rPr>
          <w:color w:val="211E1F"/>
        </w:rPr>
        <w:t>only</w:t>
      </w:r>
      <w:r w:rsidRPr="00D4309F">
        <w:rPr>
          <w:color w:val="211E1F"/>
          <w:spacing w:val="-2"/>
        </w:rPr>
        <w:t xml:space="preserve"> </w:t>
      </w:r>
      <w:r w:rsidRPr="00D4309F">
        <w:rPr>
          <w:color w:val="211E1F"/>
        </w:rPr>
        <w:t>the</w:t>
      </w:r>
      <w:r w:rsidRPr="00D4309F">
        <w:rPr>
          <w:color w:val="211E1F"/>
          <w:spacing w:val="-3"/>
        </w:rPr>
        <w:t xml:space="preserve"> </w:t>
      </w:r>
      <w:r w:rsidRPr="00D4309F">
        <w:rPr>
          <w:color w:val="211E1F"/>
        </w:rPr>
        <w:t>shallow</w:t>
      </w:r>
      <w:r w:rsidRPr="00D4309F">
        <w:rPr>
          <w:color w:val="211E1F"/>
          <w:spacing w:val="-2"/>
        </w:rPr>
        <w:t xml:space="preserve"> </w:t>
      </w:r>
      <w:r w:rsidRPr="00D4309F">
        <w:rPr>
          <w:color w:val="211E1F"/>
        </w:rPr>
        <w:t>portion</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active</w:t>
      </w:r>
      <w:r w:rsidRPr="00D4309F">
        <w:rPr>
          <w:color w:val="211E1F"/>
          <w:spacing w:val="-3"/>
        </w:rPr>
        <w:t xml:space="preserve"> </w:t>
      </w:r>
      <w:r w:rsidRPr="00D4309F">
        <w:rPr>
          <w:color w:val="211E1F"/>
        </w:rPr>
        <w:t>profile,</w:t>
      </w:r>
      <w:r w:rsidRPr="00D4309F">
        <w:rPr>
          <w:color w:val="211E1F"/>
          <w:spacing w:val="-3"/>
        </w:rPr>
        <w:t xml:space="preserve"> </w:t>
      </w:r>
      <w:r w:rsidRPr="00D4309F">
        <w:rPr>
          <w:color w:val="211E1F"/>
        </w:rPr>
        <w:t>infilling</w:t>
      </w:r>
      <w:r w:rsidRPr="00D4309F">
        <w:rPr>
          <w:color w:val="211E1F"/>
          <w:spacing w:val="-3"/>
        </w:rPr>
        <w:t xml:space="preserve"> </w:t>
      </w:r>
      <w:r w:rsidRPr="00D4309F">
        <w:rPr>
          <w:color w:val="211E1F"/>
        </w:rPr>
        <w:t>would</w:t>
      </w:r>
      <w:r w:rsidRPr="00D4309F">
        <w:rPr>
          <w:color w:val="211E1F"/>
          <w:spacing w:val="-3"/>
        </w:rPr>
        <w:t xml:space="preserve"> </w:t>
      </w:r>
      <w:r w:rsidRPr="00D4309F">
        <w:rPr>
          <w:color w:val="211E1F"/>
        </w:rPr>
        <w:t>be</w:t>
      </w:r>
      <w:r w:rsidRPr="00D4309F">
        <w:rPr>
          <w:color w:val="211E1F"/>
          <w:spacing w:val="-3"/>
        </w:rPr>
        <w:t xml:space="preserve"> </w:t>
      </w:r>
      <w:r w:rsidRPr="00D4309F">
        <w:rPr>
          <w:color w:val="211E1F"/>
        </w:rPr>
        <w:t>episodic,</w:t>
      </w:r>
      <w:r w:rsidRPr="00D4309F">
        <w:rPr>
          <w:color w:val="211E1F"/>
          <w:spacing w:val="-3"/>
        </w:rPr>
        <w:t xml:space="preserve"> </w:t>
      </w:r>
      <w:r w:rsidRPr="00D4309F">
        <w:rPr>
          <w:color w:val="211E1F"/>
        </w:rPr>
        <w:t>with reduced capture during low-energy periods and continued bypassing seaward of the trap.</w:t>
      </w:r>
    </w:p>
    <w:p w14:paraId="64D8C85F" w14:textId="77777777" w:rsidR="00725977" w:rsidRPr="00D4309F" w:rsidRDefault="00725977" w:rsidP="00D27F26">
      <w:pPr>
        <w:pStyle w:val="ListParagraph"/>
        <w:widowControl w:val="0"/>
        <w:numPr>
          <w:ilvl w:val="1"/>
          <w:numId w:val="133"/>
        </w:numPr>
        <w:tabs>
          <w:tab w:val="left" w:pos="861"/>
        </w:tabs>
        <w:autoSpaceDE w:val="0"/>
        <w:autoSpaceDN w:val="0"/>
        <w:spacing w:before="121" w:after="0" w:line="240" w:lineRule="auto"/>
        <w:ind w:right="110"/>
        <w:contextualSpacing w:val="0"/>
      </w:pPr>
      <w:r w:rsidRPr="00D4309F">
        <w:rPr>
          <w:color w:val="211E1F"/>
        </w:rPr>
        <w:t>Intake screens and suction lines within the compartment would remove sand as it becomes available,</w:t>
      </w:r>
      <w:r w:rsidRPr="00D4309F">
        <w:rPr>
          <w:color w:val="211E1F"/>
          <w:spacing w:val="-3"/>
        </w:rPr>
        <w:t xml:space="preserve"> </w:t>
      </w:r>
      <w:r w:rsidRPr="00D4309F">
        <w:rPr>
          <w:color w:val="211E1F"/>
        </w:rPr>
        <w:t>helping</w:t>
      </w:r>
      <w:r w:rsidRPr="00D4309F">
        <w:rPr>
          <w:color w:val="211E1F"/>
          <w:spacing w:val="-3"/>
        </w:rPr>
        <w:t xml:space="preserve"> </w:t>
      </w:r>
      <w:r w:rsidRPr="00D4309F">
        <w:rPr>
          <w:color w:val="211E1F"/>
        </w:rPr>
        <w:t>maintain</w:t>
      </w:r>
      <w:r w:rsidRPr="00D4309F">
        <w:rPr>
          <w:color w:val="211E1F"/>
          <w:spacing w:val="-4"/>
        </w:rPr>
        <w:t xml:space="preserve"> </w:t>
      </w:r>
      <w:r w:rsidRPr="00D4309F">
        <w:rPr>
          <w:color w:val="211E1F"/>
        </w:rPr>
        <w:t>storage</w:t>
      </w:r>
      <w:r w:rsidRPr="00D4309F">
        <w:rPr>
          <w:color w:val="211E1F"/>
          <w:spacing w:val="-3"/>
        </w:rPr>
        <w:t xml:space="preserve"> </w:t>
      </w:r>
      <w:r w:rsidRPr="00D4309F">
        <w:rPr>
          <w:color w:val="211E1F"/>
        </w:rPr>
        <w:t>capacity</w:t>
      </w:r>
      <w:r w:rsidRPr="00D4309F">
        <w:rPr>
          <w:color w:val="211E1F"/>
          <w:spacing w:val="-2"/>
        </w:rPr>
        <w:t xml:space="preserve"> </w:t>
      </w:r>
      <w:r w:rsidRPr="00D4309F">
        <w:rPr>
          <w:color w:val="211E1F"/>
        </w:rPr>
        <w:t>and</w:t>
      </w:r>
      <w:r w:rsidRPr="00D4309F">
        <w:rPr>
          <w:color w:val="211E1F"/>
          <w:spacing w:val="-3"/>
        </w:rPr>
        <w:t xml:space="preserve"> </w:t>
      </w:r>
      <w:r w:rsidRPr="00D4309F">
        <w:rPr>
          <w:color w:val="211E1F"/>
        </w:rPr>
        <w:t>reducing</w:t>
      </w:r>
      <w:r w:rsidRPr="00D4309F">
        <w:rPr>
          <w:color w:val="211E1F"/>
          <w:spacing w:val="-3"/>
        </w:rPr>
        <w:t xml:space="preserve"> </w:t>
      </w:r>
      <w:r w:rsidRPr="00D4309F">
        <w:rPr>
          <w:color w:val="211E1F"/>
        </w:rPr>
        <w:t>overflow</w:t>
      </w:r>
      <w:r w:rsidRPr="00D4309F">
        <w:rPr>
          <w:color w:val="211E1F"/>
          <w:spacing w:val="-4"/>
        </w:rPr>
        <w:t xml:space="preserve"> </w:t>
      </w:r>
      <w:r w:rsidRPr="00D4309F">
        <w:rPr>
          <w:color w:val="211E1F"/>
        </w:rPr>
        <w:t>into</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natural</w:t>
      </w:r>
      <w:r w:rsidRPr="00D4309F">
        <w:rPr>
          <w:color w:val="211E1F"/>
          <w:spacing w:val="-3"/>
        </w:rPr>
        <w:t xml:space="preserve"> </w:t>
      </w:r>
      <w:r w:rsidRPr="00D4309F">
        <w:rPr>
          <w:color w:val="211E1F"/>
        </w:rPr>
        <w:t>bypass</w:t>
      </w:r>
      <w:r w:rsidRPr="00D4309F">
        <w:rPr>
          <w:color w:val="211E1F"/>
          <w:spacing w:val="-2"/>
        </w:rPr>
        <w:t xml:space="preserve"> </w:t>
      </w:r>
      <w:r w:rsidRPr="00D4309F">
        <w:rPr>
          <w:color w:val="211E1F"/>
        </w:rPr>
        <w:t>pathway.</w:t>
      </w:r>
    </w:p>
    <w:p w14:paraId="6B8BE0D1" w14:textId="77777777" w:rsidR="00725977" w:rsidRPr="00D4309F" w:rsidRDefault="00725977" w:rsidP="00D27F26">
      <w:pPr>
        <w:pStyle w:val="ListParagraph"/>
        <w:widowControl w:val="0"/>
        <w:numPr>
          <w:ilvl w:val="0"/>
          <w:numId w:val="133"/>
        </w:numPr>
        <w:tabs>
          <w:tab w:val="left" w:pos="501"/>
        </w:tabs>
        <w:autoSpaceDE w:val="0"/>
        <w:autoSpaceDN w:val="0"/>
        <w:spacing w:after="0" w:line="240" w:lineRule="auto"/>
        <w:contextualSpacing w:val="0"/>
      </w:pPr>
      <w:r w:rsidRPr="00D4309F">
        <w:rPr>
          <w:color w:val="211E1F"/>
        </w:rPr>
        <w:t>Pumping</w:t>
      </w:r>
      <w:r w:rsidRPr="00D4309F">
        <w:rPr>
          <w:color w:val="211E1F"/>
          <w:spacing w:val="-5"/>
        </w:rPr>
        <w:t xml:space="preserve"> </w:t>
      </w:r>
      <w:r w:rsidRPr="00D4309F">
        <w:rPr>
          <w:color w:val="211E1F"/>
        </w:rPr>
        <w:t>System</w:t>
      </w:r>
      <w:r w:rsidRPr="00D4309F">
        <w:rPr>
          <w:color w:val="211E1F"/>
          <w:spacing w:val="-4"/>
        </w:rPr>
        <w:t xml:space="preserve"> </w:t>
      </w:r>
      <w:r w:rsidRPr="00D4309F">
        <w:rPr>
          <w:color w:val="211E1F"/>
          <w:spacing w:val="-2"/>
        </w:rPr>
        <w:t>Operation</w:t>
      </w:r>
    </w:p>
    <w:p w14:paraId="703C98E0" w14:textId="77777777" w:rsidR="00725977" w:rsidRPr="00D4309F" w:rsidRDefault="00725977" w:rsidP="00D27F26">
      <w:pPr>
        <w:pStyle w:val="ListParagraph"/>
        <w:widowControl w:val="0"/>
        <w:numPr>
          <w:ilvl w:val="1"/>
          <w:numId w:val="133"/>
        </w:numPr>
        <w:tabs>
          <w:tab w:val="left" w:pos="861"/>
        </w:tabs>
        <w:autoSpaceDE w:val="0"/>
        <w:autoSpaceDN w:val="0"/>
        <w:spacing w:before="119" w:after="0" w:line="240" w:lineRule="auto"/>
        <w:ind w:right="313"/>
        <w:contextualSpacing w:val="0"/>
      </w:pPr>
      <w:r w:rsidRPr="00D4309F">
        <w:rPr>
          <w:color w:val="211E1F"/>
        </w:rPr>
        <w:t>Pumping</w:t>
      </w:r>
      <w:r w:rsidRPr="00D4309F">
        <w:rPr>
          <w:color w:val="211E1F"/>
          <w:spacing w:val="-4"/>
        </w:rPr>
        <w:t xml:space="preserve"> </w:t>
      </w:r>
      <w:r w:rsidRPr="00D4309F">
        <w:rPr>
          <w:color w:val="211E1F"/>
        </w:rPr>
        <w:t>would</w:t>
      </w:r>
      <w:r w:rsidRPr="00D4309F">
        <w:rPr>
          <w:color w:val="211E1F"/>
          <w:spacing w:val="-3"/>
        </w:rPr>
        <w:t xml:space="preserve"> </w:t>
      </w:r>
      <w:r w:rsidRPr="00D4309F">
        <w:rPr>
          <w:color w:val="211E1F"/>
        </w:rPr>
        <w:t>occur</w:t>
      </w:r>
      <w:r w:rsidRPr="00D4309F">
        <w:rPr>
          <w:color w:val="211E1F"/>
          <w:spacing w:val="-2"/>
        </w:rPr>
        <w:t xml:space="preserve"> </w:t>
      </w:r>
      <w:r w:rsidRPr="00D4309F">
        <w:rPr>
          <w:color w:val="211E1F"/>
        </w:rPr>
        <w:t>intermittently</w:t>
      </w:r>
      <w:r w:rsidRPr="00D4309F">
        <w:rPr>
          <w:color w:val="211E1F"/>
          <w:spacing w:val="-2"/>
        </w:rPr>
        <w:t xml:space="preserve"> </w:t>
      </w:r>
      <w:r w:rsidRPr="00D4309F">
        <w:rPr>
          <w:color w:val="211E1F"/>
        </w:rPr>
        <w:t>or</w:t>
      </w:r>
      <w:r w:rsidRPr="00D4309F">
        <w:rPr>
          <w:color w:val="211E1F"/>
          <w:spacing w:val="-2"/>
        </w:rPr>
        <w:t xml:space="preserve"> </w:t>
      </w:r>
      <w:r w:rsidRPr="00D4309F">
        <w:rPr>
          <w:color w:val="211E1F"/>
        </w:rPr>
        <w:t>in</w:t>
      </w:r>
      <w:r w:rsidRPr="00D4309F">
        <w:rPr>
          <w:color w:val="211E1F"/>
          <w:spacing w:val="-4"/>
        </w:rPr>
        <w:t xml:space="preserve"> </w:t>
      </w:r>
      <w:r w:rsidRPr="00D4309F">
        <w:rPr>
          <w:color w:val="211E1F"/>
        </w:rPr>
        <w:t>short</w:t>
      </w:r>
      <w:r w:rsidRPr="00D4309F">
        <w:rPr>
          <w:color w:val="211E1F"/>
          <w:spacing w:val="-5"/>
        </w:rPr>
        <w:t xml:space="preserve"> </w:t>
      </w:r>
      <w:r w:rsidRPr="00D4309F">
        <w:rPr>
          <w:color w:val="211E1F"/>
        </w:rPr>
        <w:t>cycles,</w:t>
      </w:r>
      <w:r w:rsidRPr="00D4309F">
        <w:rPr>
          <w:color w:val="211E1F"/>
          <w:spacing w:val="-3"/>
        </w:rPr>
        <w:t xml:space="preserve"> </w:t>
      </w:r>
      <w:r w:rsidRPr="00D4309F">
        <w:rPr>
          <w:color w:val="211E1F"/>
        </w:rPr>
        <w:t>depending</w:t>
      </w:r>
      <w:r w:rsidRPr="00D4309F">
        <w:rPr>
          <w:color w:val="211E1F"/>
          <w:spacing w:val="-3"/>
        </w:rPr>
        <w:t xml:space="preserve"> </w:t>
      </w:r>
      <w:r w:rsidRPr="00D4309F">
        <w:rPr>
          <w:color w:val="211E1F"/>
        </w:rPr>
        <w:t>on</w:t>
      </w:r>
      <w:r w:rsidRPr="00D4309F">
        <w:rPr>
          <w:color w:val="211E1F"/>
          <w:spacing w:val="-4"/>
        </w:rPr>
        <w:t xml:space="preserve"> </w:t>
      </w:r>
      <w:r w:rsidRPr="00D4309F">
        <w:rPr>
          <w:color w:val="211E1F"/>
        </w:rPr>
        <w:t>trap</w:t>
      </w:r>
      <w:r w:rsidRPr="00D4309F">
        <w:rPr>
          <w:color w:val="211E1F"/>
          <w:spacing w:val="-3"/>
        </w:rPr>
        <w:t xml:space="preserve"> </w:t>
      </w:r>
      <w:r w:rsidRPr="00D4309F">
        <w:rPr>
          <w:color w:val="211E1F"/>
        </w:rPr>
        <w:t>infill</w:t>
      </w:r>
      <w:r w:rsidRPr="00D4309F">
        <w:rPr>
          <w:color w:val="211E1F"/>
          <w:spacing w:val="-3"/>
        </w:rPr>
        <w:t xml:space="preserve"> </w:t>
      </w:r>
      <w:r w:rsidRPr="00D4309F">
        <w:rPr>
          <w:color w:val="211E1F"/>
        </w:rPr>
        <w:t>rates,</w:t>
      </w:r>
      <w:r w:rsidRPr="00D4309F">
        <w:rPr>
          <w:color w:val="211E1F"/>
          <w:spacing w:val="-3"/>
        </w:rPr>
        <w:t xml:space="preserve"> </w:t>
      </w:r>
      <w:r w:rsidRPr="00D4309F">
        <w:rPr>
          <w:color w:val="211E1F"/>
        </w:rPr>
        <w:t>wave</w:t>
      </w:r>
      <w:r w:rsidRPr="00D4309F">
        <w:rPr>
          <w:color w:val="211E1F"/>
          <w:spacing w:val="-3"/>
        </w:rPr>
        <w:t xml:space="preserve"> </w:t>
      </w:r>
      <w:r w:rsidRPr="00D4309F">
        <w:rPr>
          <w:color w:val="211E1F"/>
        </w:rPr>
        <w:t>climate, and operational constraints.</w:t>
      </w:r>
    </w:p>
    <w:p w14:paraId="5FC1B964" w14:textId="77777777" w:rsidR="00725977" w:rsidRPr="00D4309F" w:rsidRDefault="00725977" w:rsidP="00D27F26">
      <w:pPr>
        <w:pStyle w:val="ListParagraph"/>
        <w:widowControl w:val="0"/>
        <w:numPr>
          <w:ilvl w:val="1"/>
          <w:numId w:val="133"/>
        </w:numPr>
        <w:tabs>
          <w:tab w:val="left" w:pos="861"/>
        </w:tabs>
        <w:autoSpaceDE w:val="0"/>
        <w:autoSpaceDN w:val="0"/>
        <w:spacing w:after="0" w:line="240" w:lineRule="auto"/>
        <w:ind w:right="209"/>
        <w:contextualSpacing w:val="0"/>
      </w:pPr>
      <w:r w:rsidRPr="00D4309F">
        <w:rPr>
          <w:color w:val="211E1F"/>
        </w:rPr>
        <w:t>Sand</w:t>
      </w:r>
      <w:r w:rsidRPr="00D4309F">
        <w:rPr>
          <w:color w:val="211E1F"/>
          <w:spacing w:val="-3"/>
        </w:rPr>
        <w:t xml:space="preserve"> </w:t>
      </w:r>
      <w:r w:rsidRPr="00D4309F">
        <w:rPr>
          <w:color w:val="211E1F"/>
        </w:rPr>
        <w:t>slurry</w:t>
      </w:r>
      <w:r w:rsidRPr="00D4309F">
        <w:rPr>
          <w:color w:val="211E1F"/>
          <w:spacing w:val="-2"/>
        </w:rPr>
        <w:t xml:space="preserve"> </w:t>
      </w:r>
      <w:r w:rsidRPr="00D4309F">
        <w:rPr>
          <w:color w:val="211E1F"/>
        </w:rPr>
        <w:t>would</w:t>
      </w:r>
      <w:r w:rsidRPr="00D4309F">
        <w:rPr>
          <w:color w:val="211E1F"/>
          <w:spacing w:val="-3"/>
        </w:rPr>
        <w:t xml:space="preserve"> </w:t>
      </w:r>
      <w:r w:rsidRPr="00D4309F">
        <w:rPr>
          <w:color w:val="211E1F"/>
        </w:rPr>
        <w:t>be</w:t>
      </w:r>
      <w:r w:rsidRPr="00D4309F">
        <w:rPr>
          <w:color w:val="211E1F"/>
          <w:spacing w:val="-3"/>
        </w:rPr>
        <w:t xml:space="preserve"> </w:t>
      </w:r>
      <w:r w:rsidRPr="00D4309F">
        <w:rPr>
          <w:color w:val="211E1F"/>
        </w:rPr>
        <w:t>pumped</w:t>
      </w:r>
      <w:r w:rsidRPr="00D4309F">
        <w:rPr>
          <w:color w:val="211E1F"/>
          <w:spacing w:val="-3"/>
        </w:rPr>
        <w:t xml:space="preserve"> </w:t>
      </w:r>
      <w:r w:rsidRPr="00D4309F">
        <w:rPr>
          <w:color w:val="211E1F"/>
        </w:rPr>
        <w:t>through</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permanent</w:t>
      </w:r>
      <w:r w:rsidRPr="00D4309F">
        <w:rPr>
          <w:color w:val="211E1F"/>
          <w:spacing w:val="-3"/>
        </w:rPr>
        <w:t xml:space="preserve"> </w:t>
      </w:r>
      <w:r w:rsidRPr="00D4309F">
        <w:rPr>
          <w:color w:val="211E1F"/>
        </w:rPr>
        <w:t>submerged</w:t>
      </w:r>
      <w:r w:rsidRPr="00D4309F">
        <w:rPr>
          <w:color w:val="211E1F"/>
          <w:spacing w:val="-3"/>
        </w:rPr>
        <w:t xml:space="preserve"> </w:t>
      </w:r>
      <w:r w:rsidRPr="00D4309F">
        <w:rPr>
          <w:color w:val="211E1F"/>
        </w:rPr>
        <w:t>pipeline</w:t>
      </w:r>
      <w:r w:rsidRPr="00D4309F">
        <w:rPr>
          <w:color w:val="211E1F"/>
          <w:spacing w:val="-3"/>
        </w:rPr>
        <w:t xml:space="preserve"> </w:t>
      </w:r>
      <w:r w:rsidRPr="00D4309F">
        <w:rPr>
          <w:color w:val="211E1F"/>
        </w:rPr>
        <w:t>to</w:t>
      </w:r>
      <w:r w:rsidRPr="00D4309F">
        <w:rPr>
          <w:color w:val="211E1F"/>
          <w:spacing w:val="-3"/>
        </w:rPr>
        <w:t xml:space="preserve"> </w:t>
      </w:r>
      <w:r w:rsidRPr="00D4309F">
        <w:rPr>
          <w:color w:val="211E1F"/>
        </w:rPr>
        <w:t>designated</w:t>
      </w:r>
      <w:r w:rsidRPr="00D4309F">
        <w:rPr>
          <w:color w:val="211E1F"/>
          <w:spacing w:val="-3"/>
        </w:rPr>
        <w:t xml:space="preserve"> </w:t>
      </w:r>
      <w:r w:rsidRPr="00D4309F">
        <w:rPr>
          <w:color w:val="211E1F"/>
        </w:rPr>
        <w:t>discharge points along Mooloolaba Beach.</w:t>
      </w:r>
    </w:p>
    <w:p w14:paraId="25F22073" w14:textId="77777777" w:rsidR="00725977" w:rsidRPr="00D4309F" w:rsidRDefault="00725977" w:rsidP="00D27F26">
      <w:pPr>
        <w:pStyle w:val="ListParagraph"/>
        <w:widowControl w:val="0"/>
        <w:numPr>
          <w:ilvl w:val="0"/>
          <w:numId w:val="133"/>
        </w:numPr>
        <w:tabs>
          <w:tab w:val="left" w:pos="501"/>
        </w:tabs>
        <w:autoSpaceDE w:val="0"/>
        <w:autoSpaceDN w:val="0"/>
        <w:spacing w:after="0" w:line="240" w:lineRule="auto"/>
        <w:contextualSpacing w:val="0"/>
      </w:pPr>
      <w:r w:rsidRPr="00D4309F">
        <w:rPr>
          <w:color w:val="211E1F"/>
        </w:rPr>
        <w:t>Sand</w:t>
      </w:r>
      <w:r w:rsidRPr="00D4309F">
        <w:rPr>
          <w:color w:val="211E1F"/>
          <w:spacing w:val="-4"/>
        </w:rPr>
        <w:t xml:space="preserve"> </w:t>
      </w:r>
      <w:r w:rsidRPr="00D4309F">
        <w:rPr>
          <w:color w:val="211E1F"/>
        </w:rPr>
        <w:t>Placement</w:t>
      </w:r>
      <w:r w:rsidRPr="00D4309F">
        <w:rPr>
          <w:color w:val="211E1F"/>
          <w:spacing w:val="-4"/>
        </w:rPr>
        <w:t xml:space="preserve"> </w:t>
      </w:r>
      <w:r w:rsidRPr="00D4309F">
        <w:rPr>
          <w:color w:val="211E1F"/>
        </w:rPr>
        <w:t>on</w:t>
      </w:r>
      <w:r w:rsidRPr="00D4309F">
        <w:rPr>
          <w:color w:val="211E1F"/>
          <w:spacing w:val="-4"/>
        </w:rPr>
        <w:t xml:space="preserve"> </w:t>
      </w:r>
      <w:r w:rsidRPr="00D4309F">
        <w:rPr>
          <w:color w:val="211E1F"/>
        </w:rPr>
        <w:t>Mooloolaba</w:t>
      </w:r>
      <w:r w:rsidRPr="00D4309F">
        <w:rPr>
          <w:color w:val="211E1F"/>
          <w:spacing w:val="-3"/>
        </w:rPr>
        <w:t xml:space="preserve"> </w:t>
      </w:r>
      <w:r w:rsidRPr="00D4309F">
        <w:rPr>
          <w:color w:val="211E1F"/>
          <w:spacing w:val="-4"/>
        </w:rPr>
        <w:t>Beach</w:t>
      </w:r>
    </w:p>
    <w:p w14:paraId="54D39D90" w14:textId="77777777" w:rsidR="00725977" w:rsidRPr="00D4309F" w:rsidRDefault="00725977" w:rsidP="00D27F26">
      <w:pPr>
        <w:pStyle w:val="ListParagraph"/>
        <w:widowControl w:val="0"/>
        <w:numPr>
          <w:ilvl w:val="1"/>
          <w:numId w:val="133"/>
        </w:numPr>
        <w:tabs>
          <w:tab w:val="left" w:pos="860"/>
        </w:tabs>
        <w:autoSpaceDE w:val="0"/>
        <w:autoSpaceDN w:val="0"/>
        <w:spacing w:before="119" w:after="0" w:line="240" w:lineRule="auto"/>
        <w:ind w:left="860" w:hanging="359"/>
        <w:contextualSpacing w:val="0"/>
      </w:pPr>
      <w:r w:rsidRPr="00D4309F">
        <w:rPr>
          <w:color w:val="211E1F"/>
        </w:rPr>
        <w:t>Discharged</w:t>
      </w:r>
      <w:r w:rsidRPr="00D4309F">
        <w:rPr>
          <w:color w:val="211E1F"/>
          <w:spacing w:val="-6"/>
        </w:rPr>
        <w:t xml:space="preserve"> </w:t>
      </w:r>
      <w:r w:rsidRPr="00D4309F">
        <w:rPr>
          <w:color w:val="211E1F"/>
        </w:rPr>
        <w:t>sand</w:t>
      </w:r>
      <w:r w:rsidRPr="00D4309F">
        <w:rPr>
          <w:color w:val="211E1F"/>
          <w:spacing w:val="-4"/>
        </w:rPr>
        <w:t xml:space="preserve"> </w:t>
      </w:r>
      <w:r w:rsidRPr="00D4309F">
        <w:rPr>
          <w:color w:val="211E1F"/>
        </w:rPr>
        <w:t>would</w:t>
      </w:r>
      <w:r w:rsidRPr="00D4309F">
        <w:rPr>
          <w:color w:val="211E1F"/>
          <w:spacing w:val="-3"/>
        </w:rPr>
        <w:t xml:space="preserve"> </w:t>
      </w:r>
      <w:r w:rsidRPr="00D4309F">
        <w:rPr>
          <w:color w:val="211E1F"/>
        </w:rPr>
        <w:t>be</w:t>
      </w:r>
      <w:r w:rsidRPr="00D4309F">
        <w:rPr>
          <w:color w:val="211E1F"/>
          <w:spacing w:val="-5"/>
        </w:rPr>
        <w:t xml:space="preserve"> </w:t>
      </w:r>
      <w:r w:rsidRPr="00D4309F">
        <w:rPr>
          <w:color w:val="211E1F"/>
        </w:rPr>
        <w:t>placed</w:t>
      </w:r>
      <w:r w:rsidRPr="00D4309F">
        <w:rPr>
          <w:color w:val="211E1F"/>
          <w:spacing w:val="-3"/>
        </w:rPr>
        <w:t xml:space="preserve"> </w:t>
      </w:r>
      <w:r w:rsidRPr="00D4309F">
        <w:rPr>
          <w:color w:val="211E1F"/>
        </w:rPr>
        <w:t>on</w:t>
      </w:r>
      <w:r w:rsidRPr="00D4309F">
        <w:rPr>
          <w:color w:val="211E1F"/>
          <w:spacing w:val="-4"/>
        </w:rPr>
        <w:t xml:space="preserve"> </w:t>
      </w:r>
      <w:r w:rsidRPr="00D4309F">
        <w:rPr>
          <w:color w:val="211E1F"/>
        </w:rPr>
        <w:t>the</w:t>
      </w:r>
      <w:r w:rsidRPr="00D4309F">
        <w:rPr>
          <w:color w:val="211E1F"/>
          <w:spacing w:val="-4"/>
        </w:rPr>
        <w:t xml:space="preserve"> </w:t>
      </w:r>
      <w:r w:rsidRPr="00D4309F">
        <w:rPr>
          <w:color w:val="211E1F"/>
        </w:rPr>
        <w:t>dry</w:t>
      </w:r>
      <w:r w:rsidRPr="00D4309F">
        <w:rPr>
          <w:color w:val="211E1F"/>
          <w:spacing w:val="-2"/>
        </w:rPr>
        <w:t xml:space="preserve"> </w:t>
      </w:r>
      <w:r w:rsidRPr="00D4309F">
        <w:rPr>
          <w:color w:val="211E1F"/>
        </w:rPr>
        <w:t>beach,</w:t>
      </w:r>
      <w:r w:rsidRPr="00D4309F">
        <w:rPr>
          <w:color w:val="211E1F"/>
          <w:spacing w:val="-4"/>
        </w:rPr>
        <w:t xml:space="preserve"> </w:t>
      </w:r>
      <w:r w:rsidRPr="00D4309F">
        <w:rPr>
          <w:color w:val="211E1F"/>
        </w:rPr>
        <w:t>providing</w:t>
      </w:r>
      <w:r w:rsidRPr="00D4309F">
        <w:rPr>
          <w:color w:val="211E1F"/>
          <w:spacing w:val="-3"/>
        </w:rPr>
        <w:t xml:space="preserve"> </w:t>
      </w:r>
      <w:r w:rsidRPr="00D4309F">
        <w:rPr>
          <w:color w:val="211E1F"/>
        </w:rPr>
        <w:t>direct</w:t>
      </w:r>
      <w:r w:rsidRPr="00D4309F">
        <w:rPr>
          <w:color w:val="211E1F"/>
          <w:spacing w:val="-4"/>
        </w:rPr>
        <w:t xml:space="preserve"> </w:t>
      </w:r>
      <w:r w:rsidRPr="00D4309F">
        <w:rPr>
          <w:color w:val="211E1F"/>
        </w:rPr>
        <w:t>ongoing</w:t>
      </w:r>
      <w:r w:rsidRPr="00D4309F">
        <w:rPr>
          <w:color w:val="211E1F"/>
          <w:spacing w:val="-3"/>
        </w:rPr>
        <w:t xml:space="preserve"> </w:t>
      </w:r>
      <w:r w:rsidRPr="00D4309F">
        <w:rPr>
          <w:color w:val="211E1F"/>
          <w:spacing w:val="-2"/>
        </w:rPr>
        <w:t>nourishment.</w:t>
      </w:r>
    </w:p>
    <w:p w14:paraId="55508995" w14:textId="77777777" w:rsidR="00725977" w:rsidRPr="00D4309F" w:rsidRDefault="00725977" w:rsidP="00D27F26">
      <w:pPr>
        <w:pStyle w:val="ListParagraph"/>
        <w:widowControl w:val="0"/>
        <w:numPr>
          <w:ilvl w:val="1"/>
          <w:numId w:val="133"/>
        </w:numPr>
        <w:tabs>
          <w:tab w:val="left" w:pos="860"/>
        </w:tabs>
        <w:autoSpaceDE w:val="0"/>
        <w:autoSpaceDN w:val="0"/>
        <w:spacing w:before="119" w:after="0" w:line="240" w:lineRule="auto"/>
        <w:ind w:left="860"/>
        <w:contextualSpacing w:val="0"/>
      </w:pPr>
      <w:r w:rsidRPr="00D4309F">
        <w:rPr>
          <w:color w:val="211E1F"/>
        </w:rPr>
        <w:t>Multiple</w:t>
      </w:r>
      <w:r w:rsidRPr="00D4309F">
        <w:rPr>
          <w:color w:val="211E1F"/>
          <w:spacing w:val="-7"/>
        </w:rPr>
        <w:t xml:space="preserve"> </w:t>
      </w:r>
      <w:r w:rsidRPr="00D4309F">
        <w:rPr>
          <w:color w:val="211E1F"/>
        </w:rPr>
        <w:t>outlet</w:t>
      </w:r>
      <w:r w:rsidRPr="00D4309F">
        <w:rPr>
          <w:color w:val="211E1F"/>
          <w:spacing w:val="-5"/>
        </w:rPr>
        <w:t xml:space="preserve"> </w:t>
      </w:r>
      <w:r w:rsidRPr="00D4309F">
        <w:rPr>
          <w:color w:val="211E1F"/>
        </w:rPr>
        <w:t>points</w:t>
      </w:r>
      <w:r w:rsidRPr="00D4309F">
        <w:rPr>
          <w:color w:val="211E1F"/>
          <w:spacing w:val="-3"/>
        </w:rPr>
        <w:t xml:space="preserve"> </w:t>
      </w:r>
      <w:r w:rsidRPr="00D4309F">
        <w:rPr>
          <w:color w:val="211E1F"/>
        </w:rPr>
        <w:t>would</w:t>
      </w:r>
      <w:r w:rsidRPr="00D4309F">
        <w:rPr>
          <w:color w:val="211E1F"/>
          <w:spacing w:val="-6"/>
        </w:rPr>
        <w:t xml:space="preserve"> </w:t>
      </w:r>
      <w:r w:rsidRPr="00D4309F">
        <w:rPr>
          <w:color w:val="211E1F"/>
        </w:rPr>
        <w:t>allow</w:t>
      </w:r>
      <w:r w:rsidRPr="00D4309F">
        <w:rPr>
          <w:color w:val="211E1F"/>
          <w:spacing w:val="-3"/>
        </w:rPr>
        <w:t xml:space="preserve"> </w:t>
      </w:r>
      <w:r w:rsidRPr="00D4309F">
        <w:rPr>
          <w:color w:val="211E1F"/>
        </w:rPr>
        <w:t>targeted</w:t>
      </w:r>
      <w:r w:rsidRPr="00D4309F">
        <w:rPr>
          <w:color w:val="211E1F"/>
          <w:spacing w:val="-5"/>
        </w:rPr>
        <w:t xml:space="preserve"> </w:t>
      </w:r>
      <w:r w:rsidRPr="00D4309F">
        <w:rPr>
          <w:color w:val="211E1F"/>
        </w:rPr>
        <w:t>placement</w:t>
      </w:r>
      <w:r w:rsidRPr="00D4309F">
        <w:rPr>
          <w:color w:val="211E1F"/>
          <w:spacing w:val="-5"/>
        </w:rPr>
        <w:t xml:space="preserve"> </w:t>
      </w:r>
      <w:r w:rsidRPr="00D4309F">
        <w:rPr>
          <w:color w:val="211E1F"/>
        </w:rPr>
        <w:t>in</w:t>
      </w:r>
      <w:r w:rsidRPr="00D4309F">
        <w:rPr>
          <w:color w:val="211E1F"/>
          <w:spacing w:val="-4"/>
        </w:rPr>
        <w:t xml:space="preserve"> </w:t>
      </w:r>
      <w:r w:rsidRPr="00D4309F">
        <w:rPr>
          <w:color w:val="211E1F"/>
        </w:rPr>
        <w:t>priority</w:t>
      </w:r>
      <w:r w:rsidRPr="00D4309F">
        <w:rPr>
          <w:color w:val="211E1F"/>
          <w:spacing w:val="-4"/>
        </w:rPr>
        <w:t xml:space="preserve"> </w:t>
      </w:r>
      <w:r w:rsidRPr="00D4309F">
        <w:rPr>
          <w:color w:val="211E1F"/>
        </w:rPr>
        <w:t>shoreline</w:t>
      </w:r>
      <w:r w:rsidRPr="00D4309F">
        <w:rPr>
          <w:color w:val="211E1F"/>
          <w:spacing w:val="-4"/>
        </w:rPr>
        <w:t xml:space="preserve"> </w:t>
      </w:r>
      <w:r w:rsidRPr="00D4309F">
        <w:rPr>
          <w:color w:val="211E1F"/>
          <w:spacing w:val="-2"/>
        </w:rPr>
        <w:t>sections.</w:t>
      </w:r>
    </w:p>
    <w:p w14:paraId="0DBB0507" w14:textId="77777777" w:rsidR="00725977" w:rsidRPr="00D4309F" w:rsidRDefault="00725977" w:rsidP="00D27F26">
      <w:pPr>
        <w:pStyle w:val="ListParagraph"/>
        <w:widowControl w:val="0"/>
        <w:numPr>
          <w:ilvl w:val="1"/>
          <w:numId w:val="133"/>
        </w:numPr>
        <w:tabs>
          <w:tab w:val="left" w:pos="860"/>
        </w:tabs>
        <w:autoSpaceDE w:val="0"/>
        <w:autoSpaceDN w:val="0"/>
        <w:spacing w:before="121" w:after="0" w:line="240" w:lineRule="auto"/>
        <w:ind w:left="860"/>
        <w:contextualSpacing w:val="0"/>
      </w:pPr>
      <w:r w:rsidRPr="00D4309F">
        <w:rPr>
          <w:color w:val="211E1F"/>
        </w:rPr>
        <w:t>This</w:t>
      </w:r>
      <w:r w:rsidRPr="00D4309F">
        <w:rPr>
          <w:color w:val="211E1F"/>
          <w:spacing w:val="-6"/>
        </w:rPr>
        <w:t xml:space="preserve"> </w:t>
      </w:r>
      <w:r w:rsidRPr="00D4309F">
        <w:rPr>
          <w:color w:val="211E1F"/>
        </w:rPr>
        <w:t>maintains</w:t>
      </w:r>
      <w:r w:rsidRPr="00D4309F">
        <w:rPr>
          <w:color w:val="211E1F"/>
          <w:spacing w:val="-4"/>
        </w:rPr>
        <w:t xml:space="preserve"> </w:t>
      </w:r>
      <w:r w:rsidRPr="00D4309F">
        <w:rPr>
          <w:color w:val="211E1F"/>
        </w:rPr>
        <w:t>regional</w:t>
      </w:r>
      <w:r w:rsidRPr="00D4309F">
        <w:rPr>
          <w:color w:val="211E1F"/>
          <w:spacing w:val="-5"/>
        </w:rPr>
        <w:t xml:space="preserve"> </w:t>
      </w:r>
      <w:r w:rsidRPr="00D4309F">
        <w:rPr>
          <w:color w:val="211E1F"/>
        </w:rPr>
        <w:t>sediment</w:t>
      </w:r>
      <w:r w:rsidRPr="00D4309F">
        <w:rPr>
          <w:color w:val="211E1F"/>
          <w:spacing w:val="-5"/>
        </w:rPr>
        <w:t xml:space="preserve"> </w:t>
      </w:r>
      <w:r w:rsidRPr="00D4309F">
        <w:rPr>
          <w:color w:val="211E1F"/>
        </w:rPr>
        <w:t>continuity</w:t>
      </w:r>
      <w:r w:rsidRPr="00D4309F">
        <w:rPr>
          <w:color w:val="211E1F"/>
          <w:spacing w:val="-3"/>
        </w:rPr>
        <w:t xml:space="preserve"> </w:t>
      </w:r>
      <w:r w:rsidRPr="00D4309F">
        <w:rPr>
          <w:color w:val="211E1F"/>
        </w:rPr>
        <w:t>by</w:t>
      </w:r>
      <w:r w:rsidRPr="00D4309F">
        <w:rPr>
          <w:color w:val="211E1F"/>
          <w:spacing w:val="-5"/>
        </w:rPr>
        <w:t xml:space="preserve"> </w:t>
      </w:r>
      <w:r w:rsidRPr="00D4309F">
        <w:rPr>
          <w:color w:val="211E1F"/>
        </w:rPr>
        <w:t>returning</w:t>
      </w:r>
      <w:r w:rsidRPr="00D4309F">
        <w:rPr>
          <w:color w:val="211E1F"/>
          <w:spacing w:val="-5"/>
        </w:rPr>
        <w:t xml:space="preserve"> </w:t>
      </w:r>
      <w:r w:rsidRPr="00D4309F">
        <w:rPr>
          <w:color w:val="211E1F"/>
        </w:rPr>
        <w:t>intercepted</w:t>
      </w:r>
      <w:r w:rsidRPr="00D4309F">
        <w:rPr>
          <w:color w:val="211E1F"/>
          <w:spacing w:val="-4"/>
        </w:rPr>
        <w:t xml:space="preserve"> </w:t>
      </w:r>
      <w:r w:rsidRPr="00D4309F">
        <w:rPr>
          <w:color w:val="211E1F"/>
        </w:rPr>
        <w:t>material</w:t>
      </w:r>
      <w:r w:rsidRPr="00D4309F">
        <w:rPr>
          <w:color w:val="211E1F"/>
          <w:spacing w:val="-5"/>
        </w:rPr>
        <w:t xml:space="preserve"> </w:t>
      </w:r>
      <w:r w:rsidRPr="00D4309F">
        <w:rPr>
          <w:color w:val="211E1F"/>
        </w:rPr>
        <w:t>to</w:t>
      </w:r>
      <w:r w:rsidRPr="00D4309F">
        <w:rPr>
          <w:color w:val="211E1F"/>
          <w:spacing w:val="-4"/>
        </w:rPr>
        <w:t xml:space="preserve"> </w:t>
      </w:r>
      <w:r w:rsidRPr="00D4309F">
        <w:rPr>
          <w:color w:val="211E1F"/>
        </w:rPr>
        <w:t>the</w:t>
      </w:r>
      <w:r w:rsidRPr="00D4309F">
        <w:rPr>
          <w:color w:val="211E1F"/>
          <w:spacing w:val="-5"/>
        </w:rPr>
        <w:t xml:space="preserve"> </w:t>
      </w:r>
      <w:r w:rsidRPr="00D4309F">
        <w:rPr>
          <w:color w:val="211E1F"/>
        </w:rPr>
        <w:t>downdrift</w:t>
      </w:r>
      <w:r w:rsidRPr="00D4309F">
        <w:rPr>
          <w:color w:val="211E1F"/>
          <w:spacing w:val="-4"/>
        </w:rPr>
        <w:t xml:space="preserve"> </w:t>
      </w:r>
      <w:r w:rsidRPr="00D4309F">
        <w:rPr>
          <w:color w:val="211E1F"/>
          <w:spacing w:val="-2"/>
        </w:rPr>
        <w:t>system.</w:t>
      </w:r>
    </w:p>
    <w:p w14:paraId="5ABCA699" w14:textId="77777777" w:rsidR="00725977" w:rsidRPr="00D4309F" w:rsidRDefault="00725977" w:rsidP="00D27F26">
      <w:pPr>
        <w:pStyle w:val="ListParagraph"/>
        <w:widowControl w:val="0"/>
        <w:numPr>
          <w:ilvl w:val="0"/>
          <w:numId w:val="133"/>
        </w:numPr>
        <w:tabs>
          <w:tab w:val="left" w:pos="500"/>
        </w:tabs>
        <w:autoSpaceDE w:val="0"/>
        <w:autoSpaceDN w:val="0"/>
        <w:spacing w:before="119" w:after="0" w:line="240" w:lineRule="auto"/>
        <w:ind w:left="500"/>
        <w:contextualSpacing w:val="0"/>
      </w:pPr>
      <w:r w:rsidRPr="00D4309F">
        <w:rPr>
          <w:color w:val="211E1F"/>
        </w:rPr>
        <w:t>Maintenance</w:t>
      </w:r>
      <w:r w:rsidRPr="00D4309F">
        <w:rPr>
          <w:color w:val="211E1F"/>
          <w:spacing w:val="-7"/>
        </w:rPr>
        <w:t xml:space="preserve"> </w:t>
      </w:r>
      <w:r w:rsidRPr="00D4309F">
        <w:rPr>
          <w:color w:val="211E1F"/>
          <w:spacing w:val="-2"/>
        </w:rPr>
        <w:t>Requirements</w:t>
      </w:r>
    </w:p>
    <w:p w14:paraId="1250193F" w14:textId="77777777" w:rsidR="00725977" w:rsidRPr="00D4309F" w:rsidRDefault="00725977" w:rsidP="00D27F26">
      <w:pPr>
        <w:pStyle w:val="ListParagraph"/>
        <w:widowControl w:val="0"/>
        <w:numPr>
          <w:ilvl w:val="1"/>
          <w:numId w:val="133"/>
        </w:numPr>
        <w:tabs>
          <w:tab w:val="left" w:pos="860"/>
        </w:tabs>
        <w:autoSpaceDE w:val="0"/>
        <w:autoSpaceDN w:val="0"/>
        <w:spacing w:before="119" w:after="0" w:line="240" w:lineRule="auto"/>
        <w:ind w:left="860" w:right="124"/>
        <w:contextualSpacing w:val="0"/>
      </w:pPr>
      <w:r w:rsidRPr="00D4309F">
        <w:rPr>
          <w:color w:val="211E1F"/>
        </w:rPr>
        <w:t>Routine</w:t>
      </w:r>
      <w:r w:rsidRPr="00D4309F">
        <w:rPr>
          <w:color w:val="211E1F"/>
          <w:spacing w:val="-3"/>
        </w:rPr>
        <w:t xml:space="preserve"> </w:t>
      </w:r>
      <w:r w:rsidRPr="00D4309F">
        <w:rPr>
          <w:color w:val="211E1F"/>
        </w:rPr>
        <w:t>servicing</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pumps,</w:t>
      </w:r>
      <w:r w:rsidRPr="00D4309F">
        <w:rPr>
          <w:color w:val="211E1F"/>
          <w:spacing w:val="-3"/>
        </w:rPr>
        <w:t xml:space="preserve"> </w:t>
      </w:r>
      <w:r w:rsidRPr="00D4309F">
        <w:rPr>
          <w:color w:val="211E1F"/>
        </w:rPr>
        <w:t>intake</w:t>
      </w:r>
      <w:r w:rsidRPr="00D4309F">
        <w:rPr>
          <w:color w:val="211E1F"/>
          <w:spacing w:val="-4"/>
        </w:rPr>
        <w:t xml:space="preserve"> </w:t>
      </w:r>
      <w:r w:rsidRPr="00D4309F">
        <w:rPr>
          <w:color w:val="211E1F"/>
        </w:rPr>
        <w:t>screens,</w:t>
      </w:r>
      <w:r w:rsidRPr="00D4309F">
        <w:rPr>
          <w:color w:val="211E1F"/>
          <w:spacing w:val="-3"/>
        </w:rPr>
        <w:t xml:space="preserve"> </w:t>
      </w:r>
      <w:r w:rsidRPr="00D4309F">
        <w:rPr>
          <w:color w:val="211E1F"/>
        </w:rPr>
        <w:t>valves,</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electrical</w:t>
      </w:r>
      <w:r w:rsidRPr="00D4309F">
        <w:rPr>
          <w:color w:val="211E1F"/>
          <w:spacing w:val="-3"/>
        </w:rPr>
        <w:t xml:space="preserve"> </w:t>
      </w:r>
      <w:r w:rsidRPr="00D4309F">
        <w:rPr>
          <w:color w:val="211E1F"/>
        </w:rPr>
        <w:t>components</w:t>
      </w:r>
      <w:r w:rsidRPr="00D4309F">
        <w:rPr>
          <w:color w:val="211E1F"/>
          <w:spacing w:val="-3"/>
        </w:rPr>
        <w:t xml:space="preserve"> </w:t>
      </w:r>
      <w:r w:rsidRPr="00D4309F">
        <w:rPr>
          <w:color w:val="211E1F"/>
        </w:rPr>
        <w:t>would</w:t>
      </w:r>
      <w:r w:rsidRPr="00D4309F">
        <w:rPr>
          <w:color w:val="211E1F"/>
          <w:spacing w:val="-3"/>
        </w:rPr>
        <w:t xml:space="preserve"> </w:t>
      </w:r>
      <w:r w:rsidRPr="00D4309F">
        <w:rPr>
          <w:color w:val="211E1F"/>
        </w:rPr>
        <w:t>be</w:t>
      </w:r>
      <w:r w:rsidRPr="00D4309F">
        <w:rPr>
          <w:color w:val="211E1F"/>
          <w:spacing w:val="-3"/>
        </w:rPr>
        <w:t xml:space="preserve"> </w:t>
      </w:r>
      <w:r w:rsidRPr="00D4309F">
        <w:rPr>
          <w:color w:val="211E1F"/>
        </w:rPr>
        <w:t>required</w:t>
      </w:r>
      <w:r w:rsidRPr="00D4309F">
        <w:rPr>
          <w:color w:val="211E1F"/>
          <w:spacing w:val="-3"/>
        </w:rPr>
        <w:t xml:space="preserve"> </w:t>
      </w:r>
      <w:r w:rsidRPr="00D4309F">
        <w:rPr>
          <w:color w:val="211E1F"/>
        </w:rPr>
        <w:t>to ensure reliability.</w:t>
      </w:r>
    </w:p>
    <w:p w14:paraId="25E53B50" w14:textId="77777777" w:rsidR="00725977" w:rsidRPr="00D4309F" w:rsidRDefault="00725977" w:rsidP="00D27F26">
      <w:pPr>
        <w:pStyle w:val="ListParagraph"/>
        <w:widowControl w:val="0"/>
        <w:numPr>
          <w:ilvl w:val="1"/>
          <w:numId w:val="133"/>
        </w:numPr>
        <w:tabs>
          <w:tab w:val="left" w:pos="860"/>
        </w:tabs>
        <w:autoSpaceDE w:val="0"/>
        <w:autoSpaceDN w:val="0"/>
        <w:spacing w:before="119" w:after="0" w:line="240" w:lineRule="auto"/>
        <w:ind w:left="860" w:right="199"/>
        <w:contextualSpacing w:val="0"/>
      </w:pPr>
      <w:r w:rsidRPr="00D4309F">
        <w:rPr>
          <w:color w:val="211E1F"/>
        </w:rPr>
        <w:t>The</w:t>
      </w:r>
      <w:r w:rsidRPr="00D4309F">
        <w:rPr>
          <w:color w:val="211E1F"/>
          <w:spacing w:val="-3"/>
        </w:rPr>
        <w:t xml:space="preserve"> </w:t>
      </w:r>
      <w:r w:rsidRPr="00D4309F">
        <w:rPr>
          <w:color w:val="211E1F"/>
        </w:rPr>
        <w:t>submerged</w:t>
      </w:r>
      <w:r w:rsidRPr="00D4309F">
        <w:rPr>
          <w:color w:val="211E1F"/>
          <w:spacing w:val="-3"/>
        </w:rPr>
        <w:t xml:space="preserve"> </w:t>
      </w:r>
      <w:r w:rsidRPr="00D4309F">
        <w:rPr>
          <w:color w:val="211E1F"/>
        </w:rPr>
        <w:t>pipeline</w:t>
      </w:r>
      <w:r w:rsidRPr="00D4309F">
        <w:rPr>
          <w:color w:val="211E1F"/>
          <w:spacing w:val="-3"/>
        </w:rPr>
        <w:t xml:space="preserve"> </w:t>
      </w:r>
      <w:r w:rsidRPr="00D4309F">
        <w:rPr>
          <w:color w:val="211E1F"/>
        </w:rPr>
        <w:t>would</w:t>
      </w:r>
      <w:r w:rsidRPr="00D4309F">
        <w:rPr>
          <w:color w:val="211E1F"/>
          <w:spacing w:val="-3"/>
        </w:rPr>
        <w:t xml:space="preserve"> </w:t>
      </w:r>
      <w:r w:rsidRPr="00D4309F">
        <w:rPr>
          <w:color w:val="211E1F"/>
        </w:rPr>
        <w:t>require</w:t>
      </w:r>
      <w:r w:rsidRPr="00D4309F">
        <w:rPr>
          <w:color w:val="211E1F"/>
          <w:spacing w:val="-3"/>
        </w:rPr>
        <w:t xml:space="preserve"> </w:t>
      </w:r>
      <w:r w:rsidRPr="00D4309F">
        <w:rPr>
          <w:color w:val="211E1F"/>
        </w:rPr>
        <w:t>periodic</w:t>
      </w:r>
      <w:r w:rsidRPr="00D4309F">
        <w:rPr>
          <w:color w:val="211E1F"/>
          <w:spacing w:val="-2"/>
        </w:rPr>
        <w:t xml:space="preserve"> </w:t>
      </w:r>
      <w:r w:rsidRPr="00D4309F">
        <w:rPr>
          <w:color w:val="211E1F"/>
        </w:rPr>
        <w:t>inspection</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potential</w:t>
      </w:r>
      <w:r w:rsidRPr="00D4309F">
        <w:rPr>
          <w:color w:val="211E1F"/>
          <w:spacing w:val="-3"/>
        </w:rPr>
        <w:t xml:space="preserve"> </w:t>
      </w:r>
      <w:r w:rsidRPr="00D4309F">
        <w:rPr>
          <w:color w:val="211E1F"/>
        </w:rPr>
        <w:t>flushing</w:t>
      </w:r>
      <w:r w:rsidRPr="00D4309F">
        <w:rPr>
          <w:color w:val="211E1F"/>
          <w:spacing w:val="-3"/>
        </w:rPr>
        <w:t xml:space="preserve"> </w:t>
      </w:r>
      <w:r w:rsidRPr="00D4309F">
        <w:rPr>
          <w:color w:val="211E1F"/>
        </w:rPr>
        <w:t>to</w:t>
      </w:r>
      <w:r w:rsidRPr="00D4309F">
        <w:rPr>
          <w:color w:val="211E1F"/>
          <w:spacing w:val="-3"/>
        </w:rPr>
        <w:t xml:space="preserve"> </w:t>
      </w:r>
      <w:r w:rsidRPr="00D4309F">
        <w:rPr>
          <w:color w:val="211E1F"/>
        </w:rPr>
        <w:t>prevent</w:t>
      </w:r>
      <w:r w:rsidRPr="00D4309F">
        <w:rPr>
          <w:color w:val="211E1F"/>
          <w:spacing w:val="-3"/>
        </w:rPr>
        <w:t xml:space="preserve"> </w:t>
      </w:r>
      <w:r w:rsidRPr="00D4309F">
        <w:rPr>
          <w:color w:val="211E1F"/>
        </w:rPr>
        <w:t xml:space="preserve">internal </w:t>
      </w:r>
      <w:r w:rsidRPr="00D4309F">
        <w:rPr>
          <w:color w:val="211E1F"/>
          <w:spacing w:val="-2"/>
        </w:rPr>
        <w:t>build-up.</w:t>
      </w:r>
    </w:p>
    <w:p w14:paraId="66213318" w14:textId="77777777" w:rsidR="00725977" w:rsidRPr="00D4309F" w:rsidRDefault="00725977" w:rsidP="00D27F26">
      <w:pPr>
        <w:pStyle w:val="ListParagraph"/>
        <w:widowControl w:val="0"/>
        <w:numPr>
          <w:ilvl w:val="1"/>
          <w:numId w:val="133"/>
        </w:numPr>
        <w:tabs>
          <w:tab w:val="left" w:pos="860"/>
        </w:tabs>
        <w:autoSpaceDE w:val="0"/>
        <w:autoSpaceDN w:val="0"/>
        <w:spacing w:before="121" w:after="0" w:line="240" w:lineRule="auto"/>
        <w:ind w:left="860" w:right="259"/>
        <w:contextualSpacing w:val="0"/>
      </w:pPr>
      <w:r w:rsidRPr="00D4309F">
        <w:rPr>
          <w:color w:val="211E1F"/>
        </w:rPr>
        <w:t>Jetty</w:t>
      </w:r>
      <w:r w:rsidRPr="00D4309F">
        <w:rPr>
          <w:color w:val="211E1F"/>
          <w:spacing w:val="-3"/>
        </w:rPr>
        <w:t xml:space="preserve"> </w:t>
      </w:r>
      <w:r w:rsidRPr="00D4309F">
        <w:rPr>
          <w:color w:val="211E1F"/>
        </w:rPr>
        <w:t>structures,</w:t>
      </w:r>
      <w:r w:rsidRPr="00D4309F">
        <w:rPr>
          <w:color w:val="211E1F"/>
          <w:spacing w:val="-4"/>
        </w:rPr>
        <w:t xml:space="preserve"> </w:t>
      </w:r>
      <w:r w:rsidRPr="00D4309F">
        <w:rPr>
          <w:color w:val="211E1F"/>
        </w:rPr>
        <w:t>supports,</w:t>
      </w:r>
      <w:r w:rsidRPr="00D4309F">
        <w:rPr>
          <w:color w:val="211E1F"/>
          <w:spacing w:val="-6"/>
        </w:rPr>
        <w:t xml:space="preserve"> </w:t>
      </w:r>
      <w:r w:rsidRPr="00D4309F">
        <w:rPr>
          <w:color w:val="211E1F"/>
        </w:rPr>
        <w:t>and</w:t>
      </w:r>
      <w:r w:rsidRPr="00D4309F">
        <w:rPr>
          <w:color w:val="211E1F"/>
          <w:spacing w:val="-4"/>
        </w:rPr>
        <w:t xml:space="preserve"> </w:t>
      </w:r>
      <w:r w:rsidRPr="00D4309F">
        <w:rPr>
          <w:color w:val="211E1F"/>
        </w:rPr>
        <w:t>mechanical</w:t>
      </w:r>
      <w:r w:rsidRPr="00D4309F">
        <w:rPr>
          <w:color w:val="211E1F"/>
          <w:spacing w:val="-4"/>
        </w:rPr>
        <w:t xml:space="preserve"> </w:t>
      </w:r>
      <w:r w:rsidRPr="00D4309F">
        <w:rPr>
          <w:color w:val="211E1F"/>
        </w:rPr>
        <w:t>components</w:t>
      </w:r>
      <w:r w:rsidRPr="00D4309F">
        <w:rPr>
          <w:color w:val="211E1F"/>
          <w:spacing w:val="-3"/>
        </w:rPr>
        <w:t xml:space="preserve"> </w:t>
      </w:r>
      <w:r w:rsidRPr="00D4309F">
        <w:rPr>
          <w:color w:val="211E1F"/>
        </w:rPr>
        <w:t>would</w:t>
      </w:r>
      <w:r w:rsidRPr="00D4309F">
        <w:rPr>
          <w:color w:val="211E1F"/>
          <w:spacing w:val="-4"/>
        </w:rPr>
        <w:t xml:space="preserve"> </w:t>
      </w:r>
      <w:r w:rsidRPr="00D4309F">
        <w:rPr>
          <w:color w:val="211E1F"/>
        </w:rPr>
        <w:t>require</w:t>
      </w:r>
      <w:r w:rsidRPr="00D4309F">
        <w:rPr>
          <w:color w:val="211E1F"/>
          <w:spacing w:val="-4"/>
        </w:rPr>
        <w:t xml:space="preserve"> </w:t>
      </w:r>
      <w:r w:rsidRPr="00D4309F">
        <w:rPr>
          <w:color w:val="211E1F"/>
        </w:rPr>
        <w:t>regular</w:t>
      </w:r>
      <w:r w:rsidRPr="00D4309F">
        <w:rPr>
          <w:color w:val="211E1F"/>
          <w:spacing w:val="-3"/>
        </w:rPr>
        <w:t xml:space="preserve"> </w:t>
      </w:r>
      <w:r w:rsidRPr="00D4309F">
        <w:rPr>
          <w:color w:val="211E1F"/>
        </w:rPr>
        <w:t>structural</w:t>
      </w:r>
      <w:r w:rsidRPr="00D4309F">
        <w:rPr>
          <w:color w:val="211E1F"/>
          <w:spacing w:val="-4"/>
        </w:rPr>
        <w:t xml:space="preserve"> </w:t>
      </w:r>
      <w:r w:rsidRPr="00D4309F">
        <w:rPr>
          <w:color w:val="211E1F"/>
        </w:rPr>
        <w:t>inspection for corrosion and storm exposure.</w:t>
      </w:r>
    </w:p>
    <w:p w14:paraId="22B2010D" w14:textId="77777777" w:rsidR="00725977" w:rsidRPr="00D4309F" w:rsidRDefault="00725977" w:rsidP="00D27F26">
      <w:pPr>
        <w:pStyle w:val="ListParagraph"/>
        <w:widowControl w:val="0"/>
        <w:numPr>
          <w:ilvl w:val="0"/>
          <w:numId w:val="133"/>
        </w:numPr>
        <w:tabs>
          <w:tab w:val="left" w:pos="500"/>
        </w:tabs>
        <w:autoSpaceDE w:val="0"/>
        <w:autoSpaceDN w:val="0"/>
        <w:spacing w:before="119" w:after="0" w:line="240" w:lineRule="auto"/>
        <w:ind w:left="500"/>
        <w:contextualSpacing w:val="0"/>
      </w:pPr>
      <w:r w:rsidRPr="00D4309F">
        <w:rPr>
          <w:color w:val="211E1F"/>
        </w:rPr>
        <w:t>Operational</w:t>
      </w:r>
      <w:r w:rsidRPr="00D4309F">
        <w:rPr>
          <w:color w:val="211E1F"/>
          <w:spacing w:val="-5"/>
        </w:rPr>
        <w:t xml:space="preserve"> </w:t>
      </w:r>
      <w:r w:rsidRPr="00D4309F">
        <w:rPr>
          <w:color w:val="211E1F"/>
          <w:spacing w:val="-2"/>
        </w:rPr>
        <w:t>Management</w:t>
      </w:r>
    </w:p>
    <w:p w14:paraId="21DF27B1" w14:textId="77777777" w:rsidR="00725977" w:rsidRPr="00D4309F" w:rsidRDefault="00725977" w:rsidP="00D27F26">
      <w:pPr>
        <w:pStyle w:val="ListParagraph"/>
        <w:widowControl w:val="0"/>
        <w:numPr>
          <w:ilvl w:val="1"/>
          <w:numId w:val="133"/>
        </w:numPr>
        <w:tabs>
          <w:tab w:val="left" w:pos="860"/>
        </w:tabs>
        <w:autoSpaceDE w:val="0"/>
        <w:autoSpaceDN w:val="0"/>
        <w:spacing w:before="119" w:after="0" w:line="240" w:lineRule="auto"/>
        <w:ind w:left="860" w:right="89"/>
        <w:contextualSpacing w:val="0"/>
      </w:pPr>
      <w:r w:rsidRPr="00D4309F">
        <w:rPr>
          <w:color w:val="211E1F"/>
        </w:rPr>
        <w:t>Operational</w:t>
      </w:r>
      <w:r w:rsidRPr="00D4309F">
        <w:rPr>
          <w:color w:val="211E1F"/>
          <w:spacing w:val="-3"/>
        </w:rPr>
        <w:t xml:space="preserve"> </w:t>
      </w:r>
      <w:r w:rsidRPr="00D4309F">
        <w:rPr>
          <w:color w:val="211E1F"/>
        </w:rPr>
        <w:t>frequency</w:t>
      </w:r>
      <w:r w:rsidRPr="00D4309F">
        <w:rPr>
          <w:color w:val="211E1F"/>
          <w:spacing w:val="-2"/>
        </w:rPr>
        <w:t xml:space="preserve"> </w:t>
      </w:r>
      <w:r w:rsidRPr="00D4309F">
        <w:rPr>
          <w:color w:val="211E1F"/>
        </w:rPr>
        <w:t>would</w:t>
      </w:r>
      <w:r w:rsidRPr="00D4309F">
        <w:rPr>
          <w:color w:val="211E1F"/>
          <w:spacing w:val="-3"/>
        </w:rPr>
        <w:t xml:space="preserve"> </w:t>
      </w:r>
      <w:r w:rsidRPr="00D4309F">
        <w:rPr>
          <w:color w:val="211E1F"/>
        </w:rPr>
        <w:t>vary</w:t>
      </w:r>
      <w:r w:rsidRPr="00D4309F">
        <w:rPr>
          <w:color w:val="211E1F"/>
          <w:spacing w:val="-3"/>
        </w:rPr>
        <w:t xml:space="preserve"> </w:t>
      </w:r>
      <w:r w:rsidRPr="00D4309F">
        <w:rPr>
          <w:color w:val="211E1F"/>
        </w:rPr>
        <w:t>with</w:t>
      </w:r>
      <w:r w:rsidRPr="00D4309F">
        <w:rPr>
          <w:color w:val="211E1F"/>
          <w:spacing w:val="-3"/>
        </w:rPr>
        <w:t xml:space="preserve"> </w:t>
      </w:r>
      <w:r w:rsidRPr="00D4309F">
        <w:rPr>
          <w:color w:val="211E1F"/>
        </w:rPr>
        <w:t>seasonal</w:t>
      </w:r>
      <w:r w:rsidRPr="00D4309F">
        <w:rPr>
          <w:color w:val="211E1F"/>
          <w:spacing w:val="-3"/>
        </w:rPr>
        <w:t xml:space="preserve"> </w:t>
      </w:r>
      <w:r w:rsidRPr="00D4309F">
        <w:rPr>
          <w:color w:val="211E1F"/>
        </w:rPr>
        <w:t>wave</w:t>
      </w:r>
      <w:r w:rsidRPr="00D4309F">
        <w:rPr>
          <w:color w:val="211E1F"/>
          <w:spacing w:val="-3"/>
        </w:rPr>
        <w:t xml:space="preserve"> </w:t>
      </w:r>
      <w:r w:rsidRPr="00D4309F">
        <w:rPr>
          <w:color w:val="211E1F"/>
        </w:rPr>
        <w:t>energy,</w:t>
      </w:r>
      <w:r w:rsidRPr="00D4309F">
        <w:rPr>
          <w:color w:val="211E1F"/>
          <w:spacing w:val="-3"/>
        </w:rPr>
        <w:t xml:space="preserve"> </w:t>
      </w:r>
      <w:r w:rsidRPr="00D4309F">
        <w:rPr>
          <w:color w:val="211E1F"/>
        </w:rPr>
        <w:t>increasing</w:t>
      </w:r>
      <w:r w:rsidRPr="00D4309F">
        <w:rPr>
          <w:color w:val="211E1F"/>
          <w:spacing w:val="-3"/>
        </w:rPr>
        <w:t xml:space="preserve"> </w:t>
      </w:r>
      <w:r w:rsidRPr="00D4309F">
        <w:rPr>
          <w:color w:val="211E1F"/>
        </w:rPr>
        <w:t>after</w:t>
      </w:r>
      <w:r w:rsidRPr="00D4309F">
        <w:rPr>
          <w:color w:val="211E1F"/>
          <w:spacing w:val="-2"/>
        </w:rPr>
        <w:t xml:space="preserve"> </w:t>
      </w:r>
      <w:r w:rsidRPr="00D4309F">
        <w:rPr>
          <w:color w:val="211E1F"/>
        </w:rPr>
        <w:t>energetic</w:t>
      </w:r>
      <w:r w:rsidRPr="00D4309F">
        <w:rPr>
          <w:color w:val="211E1F"/>
          <w:spacing w:val="-2"/>
        </w:rPr>
        <w:t xml:space="preserve"> </w:t>
      </w:r>
      <w:r w:rsidRPr="00D4309F">
        <w:rPr>
          <w:color w:val="211E1F"/>
        </w:rPr>
        <w:t>events</w:t>
      </w:r>
      <w:r w:rsidRPr="00D4309F">
        <w:rPr>
          <w:color w:val="211E1F"/>
          <w:spacing w:val="-2"/>
        </w:rPr>
        <w:t xml:space="preserve"> </w:t>
      </w:r>
      <w:r w:rsidRPr="00D4309F">
        <w:rPr>
          <w:color w:val="211E1F"/>
        </w:rPr>
        <w:t>and decreasing during extended low-energy periods when trap infill is limited.</w:t>
      </w:r>
    </w:p>
    <w:p w14:paraId="09026E39" w14:textId="77777777" w:rsidR="00725977" w:rsidRPr="00D4309F" w:rsidRDefault="00725977" w:rsidP="00725977">
      <w:pPr>
        <w:pStyle w:val="ListParagraph"/>
        <w:sectPr w:rsidR="00725977" w:rsidRPr="00D4309F" w:rsidSect="00405D4F">
          <w:headerReference w:type="default" r:id="rId139"/>
          <w:footerReference w:type="default" r:id="rId140"/>
          <w:pgSz w:w="11910" w:h="16840"/>
          <w:pgMar w:top="1418" w:right="1134" w:bottom="1418" w:left="1134" w:header="916" w:footer="980" w:gutter="0"/>
          <w:cols w:space="720"/>
        </w:sectPr>
      </w:pPr>
    </w:p>
    <w:p w14:paraId="3D4B27AC" w14:textId="08489CAA" w:rsidR="00725977" w:rsidRPr="00D4309F" w:rsidRDefault="00725977" w:rsidP="00725977">
      <w:pPr>
        <w:spacing w:line="20" w:lineRule="exact"/>
        <w:ind w:left="124"/>
        <w:rPr>
          <w:sz w:val="2"/>
        </w:rPr>
      </w:pPr>
    </w:p>
    <w:p w14:paraId="073DB659" w14:textId="77777777" w:rsidR="00725977" w:rsidRPr="00D4309F" w:rsidRDefault="00725977" w:rsidP="00AF12C0">
      <w:pPr>
        <w:pStyle w:val="Heading2"/>
      </w:pPr>
      <w:bookmarkStart w:id="486" w:name="_bookmark178"/>
      <w:bookmarkStart w:id="487" w:name="_Toc216699487"/>
      <w:bookmarkEnd w:id="486"/>
      <w:r w:rsidRPr="00D4309F">
        <w:t>Environmental</w:t>
      </w:r>
      <w:r w:rsidRPr="00D4309F">
        <w:rPr>
          <w:spacing w:val="2"/>
        </w:rPr>
        <w:t xml:space="preserve"> </w:t>
      </w:r>
      <w:r w:rsidRPr="00D4309F">
        <w:t>constraints</w:t>
      </w:r>
      <w:bookmarkEnd w:id="487"/>
    </w:p>
    <w:p w14:paraId="65892509" w14:textId="5E17BBD8" w:rsidR="00725977" w:rsidRPr="00D4309F" w:rsidRDefault="00725977" w:rsidP="00725977">
      <w:pPr>
        <w:pStyle w:val="BodyText"/>
      </w:pPr>
      <w:r w:rsidRPr="00D4309F">
        <w:t>A</w:t>
      </w:r>
      <w:r w:rsidRPr="00D4309F">
        <w:rPr>
          <w:spacing w:val="-2"/>
        </w:rPr>
        <w:t xml:space="preserve"> </w:t>
      </w:r>
      <w:r w:rsidRPr="00D4309F">
        <w:t>preliminary</w:t>
      </w:r>
      <w:r w:rsidRPr="00D4309F">
        <w:rPr>
          <w:spacing w:val="-1"/>
        </w:rPr>
        <w:t xml:space="preserve"> </w:t>
      </w:r>
      <w:r w:rsidRPr="00D4309F">
        <w:t>assessment</w:t>
      </w:r>
      <w:r w:rsidRPr="00D4309F">
        <w:rPr>
          <w:spacing w:val="-2"/>
        </w:rPr>
        <w:t xml:space="preserve"> </w:t>
      </w:r>
      <w:r w:rsidRPr="00D4309F">
        <w:t>of</w:t>
      </w:r>
      <w:r w:rsidRPr="00D4309F">
        <w:rPr>
          <w:spacing w:val="-2"/>
        </w:rPr>
        <w:t xml:space="preserve"> </w:t>
      </w:r>
      <w:r w:rsidRPr="00D4309F">
        <w:t>environmental</w:t>
      </w:r>
      <w:r w:rsidRPr="00D4309F">
        <w:rPr>
          <w:spacing w:val="-2"/>
        </w:rPr>
        <w:t xml:space="preserve"> </w:t>
      </w:r>
      <w:r w:rsidRPr="00D4309F">
        <w:t>constraints</w:t>
      </w:r>
      <w:r w:rsidRPr="00D4309F">
        <w:rPr>
          <w:spacing w:val="-1"/>
        </w:rPr>
        <w:t xml:space="preserve"> </w:t>
      </w:r>
      <w:r w:rsidRPr="00D4309F">
        <w:t>for</w:t>
      </w:r>
      <w:r w:rsidRPr="00D4309F">
        <w:rPr>
          <w:spacing w:val="-2"/>
        </w:rPr>
        <w:t xml:space="preserve"> </w:t>
      </w:r>
      <w:r w:rsidRPr="00D4309F">
        <w:t>the</w:t>
      </w:r>
      <w:r w:rsidRPr="00D4309F">
        <w:rPr>
          <w:spacing w:val="-2"/>
        </w:rPr>
        <w:t xml:space="preserve"> </w:t>
      </w:r>
      <w:r w:rsidRPr="00D4309F">
        <w:t>permanent</w:t>
      </w:r>
      <w:r w:rsidRPr="00D4309F">
        <w:rPr>
          <w:spacing w:val="-3"/>
        </w:rPr>
        <w:t xml:space="preserve"> </w:t>
      </w:r>
      <w:r w:rsidRPr="00D4309F">
        <w:t>automated</w:t>
      </w:r>
      <w:r w:rsidRPr="00D4309F">
        <w:rPr>
          <w:spacing w:val="-2"/>
        </w:rPr>
        <w:t xml:space="preserve"> </w:t>
      </w:r>
      <w:r w:rsidRPr="00D4309F">
        <w:t>sand</w:t>
      </w:r>
      <w:r w:rsidRPr="00D4309F">
        <w:rPr>
          <w:spacing w:val="-2"/>
        </w:rPr>
        <w:t xml:space="preserve"> </w:t>
      </w:r>
      <w:r w:rsidRPr="00D4309F">
        <w:t>bypassing</w:t>
      </w:r>
      <w:r w:rsidRPr="00D4309F">
        <w:rPr>
          <w:spacing w:val="-3"/>
        </w:rPr>
        <w:t xml:space="preserve"> </w:t>
      </w:r>
      <w:r w:rsidRPr="00D4309F">
        <w:t>system</w:t>
      </w:r>
      <w:r w:rsidRPr="00D4309F">
        <w:rPr>
          <w:spacing w:val="-2"/>
        </w:rPr>
        <w:t xml:space="preserve"> </w:t>
      </w:r>
      <w:r w:rsidRPr="00D4309F">
        <w:t>at</w:t>
      </w:r>
      <w:r w:rsidRPr="00D4309F">
        <w:rPr>
          <w:spacing w:val="-2"/>
        </w:rPr>
        <w:t xml:space="preserve"> </w:t>
      </w:r>
      <w:r w:rsidRPr="00D4309F">
        <w:t>headland</w:t>
      </w:r>
      <w:r w:rsidRPr="00D4309F">
        <w:rPr>
          <w:spacing w:val="-2"/>
        </w:rPr>
        <w:t xml:space="preserve"> </w:t>
      </w:r>
      <w:r w:rsidRPr="00D4309F">
        <w:t>sand</w:t>
      </w:r>
      <w:r w:rsidRPr="00D4309F">
        <w:rPr>
          <w:spacing w:val="-2"/>
        </w:rPr>
        <w:t xml:space="preserve"> </w:t>
      </w:r>
      <w:r w:rsidRPr="00D4309F">
        <w:t>trap</w:t>
      </w:r>
      <w:r w:rsidRPr="00D4309F">
        <w:rPr>
          <w:spacing w:val="-3"/>
        </w:rPr>
        <w:t xml:space="preserve"> </w:t>
      </w:r>
      <w:r w:rsidRPr="00D4309F">
        <w:t>(Option</w:t>
      </w:r>
      <w:r w:rsidRPr="00D4309F">
        <w:rPr>
          <w:spacing w:val="-2"/>
        </w:rPr>
        <w:t xml:space="preserve"> </w:t>
      </w:r>
      <w:r w:rsidRPr="00D4309F">
        <w:t>4),</w:t>
      </w:r>
      <w:r w:rsidRPr="00D4309F">
        <w:rPr>
          <w:spacing w:val="-2"/>
        </w:rPr>
        <w:t xml:space="preserve"> </w:t>
      </w:r>
      <w:r w:rsidRPr="00D4309F">
        <w:t>based</w:t>
      </w:r>
      <w:r w:rsidRPr="00D4309F">
        <w:rPr>
          <w:spacing w:val="-2"/>
        </w:rPr>
        <w:t xml:space="preserve"> </w:t>
      </w:r>
      <w:r w:rsidRPr="00D4309F">
        <w:t>on</w:t>
      </w:r>
      <w:r w:rsidRPr="00D4309F">
        <w:rPr>
          <w:spacing w:val="-2"/>
        </w:rPr>
        <w:t xml:space="preserve"> </w:t>
      </w:r>
      <w:r w:rsidRPr="00D4309F">
        <w:t>the</w:t>
      </w:r>
      <w:r w:rsidRPr="00D4309F">
        <w:rPr>
          <w:spacing w:val="-2"/>
        </w:rPr>
        <w:t xml:space="preserve"> </w:t>
      </w:r>
      <w:r w:rsidRPr="00D4309F">
        <w:t xml:space="preserve">constraints analysis criteria in </w:t>
      </w:r>
      <w:hyperlink w:anchor="_bookmark179" w:history="1">
        <w:r w:rsidR="00D4229D">
          <w:fldChar w:fldCharType="begin" w:fldLock="1"/>
        </w:r>
        <w:r w:rsidR="00D4229D">
          <w:instrText xml:space="preserve"> REF _Ref215980339 \h </w:instrText>
        </w:r>
        <w:r w:rsidR="00D4229D">
          <w:fldChar w:fldCharType="separate"/>
        </w:r>
        <w:r w:rsidR="00D4229D">
          <w:t xml:space="preserve">Table </w:t>
        </w:r>
        <w:r w:rsidR="00D4229D">
          <w:rPr>
            <w:noProof/>
          </w:rPr>
          <w:t>16</w:t>
        </w:r>
        <w:r w:rsidR="00D4229D">
          <w:noBreakHyphen/>
        </w:r>
        <w:r w:rsidR="00D4229D">
          <w:rPr>
            <w:noProof/>
          </w:rPr>
          <w:t>1</w:t>
        </w:r>
        <w:r w:rsidR="00D4229D">
          <w:fldChar w:fldCharType="end"/>
        </w:r>
        <w:r w:rsidRPr="00D4309F">
          <w:t>,</w:t>
        </w:r>
      </w:hyperlink>
      <w:r w:rsidRPr="00D4309F">
        <w:t xml:space="preserve"> detailed in </w:t>
      </w:r>
      <w:hyperlink w:anchor="_bookmark180" w:history="1">
        <w:r w:rsidR="00D4229D">
          <w:fldChar w:fldCharType="begin" w:fldLock="1"/>
        </w:r>
        <w:r w:rsidR="00D4229D">
          <w:instrText xml:space="preserve"> REF _Ref215980351 \h </w:instrText>
        </w:r>
        <w:r w:rsidR="00D4229D">
          <w:fldChar w:fldCharType="separate"/>
        </w:r>
        <w:r w:rsidR="00D4229D">
          <w:t xml:space="preserve">Table </w:t>
        </w:r>
        <w:r w:rsidR="00D4229D">
          <w:rPr>
            <w:noProof/>
          </w:rPr>
          <w:t>16</w:t>
        </w:r>
        <w:r w:rsidR="00D4229D">
          <w:noBreakHyphen/>
        </w:r>
        <w:r w:rsidR="00D4229D">
          <w:rPr>
            <w:noProof/>
          </w:rPr>
          <w:t>2</w:t>
        </w:r>
        <w:r w:rsidR="00D4229D">
          <w:fldChar w:fldCharType="end"/>
        </w:r>
        <w:r w:rsidRPr="00D4309F">
          <w:t>.</w:t>
        </w:r>
      </w:hyperlink>
    </w:p>
    <w:p w14:paraId="1F2C5373" w14:textId="7FBD97D9" w:rsidR="00725977" w:rsidRPr="00D4309F" w:rsidRDefault="00D4229D" w:rsidP="007774EC">
      <w:pPr>
        <w:pStyle w:val="Table-Caption"/>
      </w:pPr>
      <w:bookmarkStart w:id="488" w:name="_bookmark179"/>
      <w:bookmarkStart w:id="489" w:name="_Ref215980339"/>
      <w:bookmarkStart w:id="490" w:name="_Toc216699580"/>
      <w:bookmarkEnd w:id="488"/>
      <w:r>
        <w:t xml:space="preserve">Table </w:t>
      </w:r>
      <w:r w:rsidR="00151534">
        <w:fldChar w:fldCharType="begin" w:fldLock="1"/>
      </w:r>
      <w:r w:rsidR="00151534">
        <w:instrText xml:space="preserve"> STYLEREF 1 \s </w:instrText>
      </w:r>
      <w:r w:rsidR="00151534">
        <w:fldChar w:fldCharType="separate"/>
      </w:r>
      <w:r w:rsidR="00151534">
        <w:rPr>
          <w:noProof/>
        </w:rPr>
        <w:t>16</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1</w:t>
      </w:r>
      <w:r w:rsidR="00151534">
        <w:fldChar w:fldCharType="end"/>
      </w:r>
      <w:bookmarkEnd w:id="489"/>
      <w:r>
        <w:t>:</w:t>
      </w:r>
      <w:r>
        <w:tab/>
      </w:r>
      <w:r w:rsidRPr="00D4309F">
        <w:rPr>
          <w:color w:val="211E1F"/>
        </w:rPr>
        <w:t>Constraints</w:t>
      </w:r>
      <w:r w:rsidRPr="00D4309F">
        <w:rPr>
          <w:color w:val="211E1F"/>
          <w:spacing w:val="-3"/>
        </w:rPr>
        <w:t xml:space="preserve"> </w:t>
      </w:r>
      <w:r w:rsidRPr="00D4309F">
        <w:rPr>
          <w:color w:val="211E1F"/>
        </w:rPr>
        <w:t>analysis</w:t>
      </w:r>
      <w:r w:rsidRPr="00D4309F">
        <w:rPr>
          <w:color w:val="211E1F"/>
          <w:spacing w:val="-2"/>
        </w:rPr>
        <w:t xml:space="preserve"> criteria</w:t>
      </w:r>
      <w:bookmarkEnd w:id="490"/>
    </w:p>
    <w:tbl>
      <w:tblPr>
        <w:tblW w:w="5000" w:type="pct"/>
        <w:tblCellMar>
          <w:left w:w="0" w:type="dxa"/>
          <w:right w:w="0" w:type="dxa"/>
        </w:tblCellMar>
        <w:tblLook w:val="01E0" w:firstRow="1" w:lastRow="1" w:firstColumn="1" w:lastColumn="1" w:noHBand="0" w:noVBand="0"/>
      </w:tblPr>
      <w:tblGrid>
        <w:gridCol w:w="2014"/>
        <w:gridCol w:w="12558"/>
      </w:tblGrid>
      <w:tr w:rsidR="00725977" w:rsidRPr="00D4309F" w14:paraId="3D7C281B" w14:textId="77777777" w:rsidTr="007774EC">
        <w:trPr>
          <w:trHeight w:val="287"/>
        </w:trPr>
        <w:tc>
          <w:tcPr>
            <w:tcW w:w="691" w:type="pct"/>
            <w:tcBorders>
              <w:bottom w:val="single" w:sz="4" w:space="0" w:color="000000"/>
            </w:tcBorders>
            <w:shd w:val="clear" w:color="auto" w:fill="D6D7D5"/>
          </w:tcPr>
          <w:p w14:paraId="028A2325" w14:textId="77777777" w:rsidR="00725977" w:rsidRPr="00D4309F" w:rsidRDefault="00725977">
            <w:pPr>
              <w:pStyle w:val="TableParagraph"/>
              <w:spacing w:before="40"/>
              <w:ind w:left="165"/>
              <w:rPr>
                <w:b/>
                <w:sz w:val="18"/>
              </w:rPr>
            </w:pPr>
            <w:r w:rsidRPr="00D4309F">
              <w:rPr>
                <w:b/>
                <w:color w:val="70004A"/>
                <w:sz w:val="18"/>
              </w:rPr>
              <w:t>Constraint</w:t>
            </w:r>
            <w:r w:rsidRPr="00D4309F">
              <w:rPr>
                <w:b/>
                <w:color w:val="70004A"/>
                <w:spacing w:val="-4"/>
                <w:sz w:val="18"/>
              </w:rPr>
              <w:t xml:space="preserve"> </w:t>
            </w:r>
            <w:r w:rsidRPr="00D4309F">
              <w:rPr>
                <w:b/>
                <w:color w:val="70004A"/>
                <w:spacing w:val="-2"/>
                <w:sz w:val="18"/>
              </w:rPr>
              <w:t>level</w:t>
            </w:r>
          </w:p>
        </w:tc>
        <w:tc>
          <w:tcPr>
            <w:tcW w:w="4309" w:type="pct"/>
            <w:tcBorders>
              <w:bottom w:val="single" w:sz="4" w:space="0" w:color="000000"/>
            </w:tcBorders>
            <w:shd w:val="clear" w:color="auto" w:fill="D6D7D5"/>
          </w:tcPr>
          <w:p w14:paraId="0872F70B" w14:textId="77777777" w:rsidR="00725977" w:rsidRPr="00D4309F" w:rsidRDefault="00725977">
            <w:pPr>
              <w:pStyle w:val="TableParagraph"/>
              <w:spacing w:before="40"/>
              <w:ind w:left="163"/>
              <w:rPr>
                <w:b/>
                <w:sz w:val="18"/>
              </w:rPr>
            </w:pPr>
            <w:r w:rsidRPr="00D4309F">
              <w:rPr>
                <w:b/>
                <w:color w:val="70004A"/>
                <w:spacing w:val="-2"/>
                <w:sz w:val="18"/>
              </w:rPr>
              <w:t>Description</w:t>
            </w:r>
          </w:p>
        </w:tc>
      </w:tr>
      <w:tr w:rsidR="00725977" w:rsidRPr="00D4309F" w14:paraId="16145A56" w14:textId="77777777" w:rsidTr="007774EC">
        <w:trPr>
          <w:trHeight w:val="286"/>
        </w:trPr>
        <w:tc>
          <w:tcPr>
            <w:tcW w:w="691" w:type="pct"/>
            <w:tcBorders>
              <w:top w:val="single" w:sz="4" w:space="0" w:color="000000"/>
              <w:bottom w:val="single" w:sz="4" w:space="0" w:color="000000"/>
            </w:tcBorders>
            <w:shd w:val="clear" w:color="auto" w:fill="BDB7B3"/>
          </w:tcPr>
          <w:p w14:paraId="5F1B6CBD" w14:textId="77777777" w:rsidR="00725977" w:rsidRPr="00D4309F" w:rsidRDefault="00725977">
            <w:pPr>
              <w:pStyle w:val="TableParagraph"/>
              <w:spacing w:before="39"/>
              <w:ind w:left="165"/>
              <w:rPr>
                <w:b/>
                <w:sz w:val="18"/>
              </w:rPr>
            </w:pPr>
            <w:r w:rsidRPr="00D4309F">
              <w:rPr>
                <w:b/>
                <w:color w:val="211E1F"/>
                <w:sz w:val="18"/>
              </w:rPr>
              <w:t>No</w:t>
            </w:r>
            <w:r w:rsidRPr="00D4309F">
              <w:rPr>
                <w:b/>
                <w:color w:val="211E1F"/>
                <w:spacing w:val="-3"/>
                <w:sz w:val="18"/>
              </w:rPr>
              <w:t xml:space="preserve"> </w:t>
            </w:r>
            <w:r w:rsidRPr="00D4309F">
              <w:rPr>
                <w:b/>
                <w:color w:val="211E1F"/>
                <w:spacing w:val="-2"/>
                <w:sz w:val="18"/>
              </w:rPr>
              <w:t>impact</w:t>
            </w:r>
          </w:p>
        </w:tc>
        <w:tc>
          <w:tcPr>
            <w:tcW w:w="4309" w:type="pct"/>
            <w:tcBorders>
              <w:top w:val="single" w:sz="4" w:space="0" w:color="000000"/>
              <w:bottom w:val="single" w:sz="4" w:space="0" w:color="000000"/>
            </w:tcBorders>
          </w:tcPr>
          <w:p w14:paraId="3A277084" w14:textId="77777777" w:rsidR="00725977" w:rsidRPr="00D4309F" w:rsidRDefault="00725977">
            <w:pPr>
              <w:pStyle w:val="TableParagraph"/>
              <w:spacing w:before="39"/>
              <w:ind w:left="163"/>
              <w:rPr>
                <w:sz w:val="18"/>
              </w:rPr>
            </w:pPr>
            <w:r w:rsidRPr="00D4309F">
              <w:rPr>
                <w:color w:val="211E1F"/>
                <w:sz w:val="18"/>
              </w:rPr>
              <w:t>There</w:t>
            </w:r>
            <w:r w:rsidRPr="00D4309F">
              <w:rPr>
                <w:color w:val="211E1F"/>
                <w:spacing w:val="-6"/>
                <w:sz w:val="18"/>
              </w:rPr>
              <w:t xml:space="preserve"> </w:t>
            </w:r>
            <w:r w:rsidRPr="00D4309F">
              <w:rPr>
                <w:color w:val="211E1F"/>
                <w:sz w:val="18"/>
              </w:rPr>
              <w:t>is</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impact</w:t>
            </w:r>
            <w:r w:rsidRPr="00D4309F">
              <w:rPr>
                <w:color w:val="211E1F"/>
                <w:spacing w:val="-2"/>
                <w:sz w:val="18"/>
              </w:rPr>
              <w:t xml:space="preserve"> </w:t>
            </w:r>
            <w:r w:rsidRPr="00D4309F">
              <w:rPr>
                <w:color w:val="211E1F"/>
                <w:sz w:val="18"/>
              </w:rPr>
              <w:t>pathway</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1"/>
                <w:sz w:val="18"/>
              </w:rPr>
              <w:t xml:space="preserve"> </w:t>
            </w:r>
            <w:r w:rsidRPr="00D4309F">
              <w:rPr>
                <w:color w:val="211E1F"/>
                <w:sz w:val="18"/>
              </w:rPr>
              <w:t>receptor.</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required.</w:t>
            </w:r>
          </w:p>
        </w:tc>
      </w:tr>
      <w:tr w:rsidR="00725977" w:rsidRPr="00D4309F" w14:paraId="0AC623AF" w14:textId="77777777" w:rsidTr="007774EC">
        <w:trPr>
          <w:trHeight w:val="287"/>
        </w:trPr>
        <w:tc>
          <w:tcPr>
            <w:tcW w:w="691" w:type="pct"/>
            <w:tcBorders>
              <w:top w:val="single" w:sz="4" w:space="0" w:color="000000"/>
              <w:bottom w:val="single" w:sz="4" w:space="0" w:color="000000"/>
            </w:tcBorders>
            <w:shd w:val="clear" w:color="auto" w:fill="92D050"/>
          </w:tcPr>
          <w:p w14:paraId="25DA5BAD" w14:textId="77777777" w:rsidR="00725977" w:rsidRPr="00D4309F" w:rsidRDefault="00725977">
            <w:pPr>
              <w:pStyle w:val="TableParagraph"/>
              <w:spacing w:before="39"/>
              <w:ind w:left="165"/>
              <w:rPr>
                <w:b/>
                <w:sz w:val="18"/>
              </w:rPr>
            </w:pPr>
            <w:r w:rsidRPr="00D4309F">
              <w:rPr>
                <w:b/>
                <w:color w:val="211E1F"/>
                <w:spacing w:val="-5"/>
                <w:sz w:val="18"/>
              </w:rPr>
              <w:t>Low</w:t>
            </w:r>
          </w:p>
        </w:tc>
        <w:tc>
          <w:tcPr>
            <w:tcW w:w="4309" w:type="pct"/>
            <w:tcBorders>
              <w:top w:val="single" w:sz="4" w:space="0" w:color="000000"/>
              <w:bottom w:val="single" w:sz="4" w:space="0" w:color="000000"/>
            </w:tcBorders>
          </w:tcPr>
          <w:p w14:paraId="44FBCBCC" w14:textId="77777777" w:rsidR="00725977" w:rsidRPr="00D4309F" w:rsidRDefault="00725977">
            <w:pPr>
              <w:pStyle w:val="TableParagraph"/>
              <w:spacing w:before="39"/>
              <w:ind w:left="163"/>
              <w:rPr>
                <w:sz w:val="18"/>
              </w:rPr>
            </w:pPr>
            <w:r w:rsidRPr="00D4309F">
              <w:rPr>
                <w:color w:val="211E1F"/>
                <w:sz w:val="18"/>
              </w:rPr>
              <w:t>There</w:t>
            </w:r>
            <w:r w:rsidRPr="00D4309F">
              <w:rPr>
                <w:color w:val="211E1F"/>
                <w:spacing w:val="-6"/>
                <w:sz w:val="18"/>
              </w:rPr>
              <w:t xml:space="preserve"> </w:t>
            </w:r>
            <w:r w:rsidRPr="00D4309F">
              <w:rPr>
                <w:color w:val="211E1F"/>
                <w:sz w:val="18"/>
              </w:rPr>
              <w:t>is</w:t>
            </w:r>
            <w:r w:rsidRPr="00D4309F">
              <w:rPr>
                <w:color w:val="211E1F"/>
                <w:spacing w:val="-2"/>
                <w:sz w:val="18"/>
              </w:rPr>
              <w:t xml:space="preserve"> </w:t>
            </w:r>
            <w:r w:rsidRPr="00D4309F">
              <w:rPr>
                <w:color w:val="211E1F"/>
                <w:sz w:val="18"/>
              </w:rPr>
              <w:t>low</w:t>
            </w:r>
            <w:r w:rsidRPr="00D4309F">
              <w:rPr>
                <w:color w:val="211E1F"/>
                <w:spacing w:val="-2"/>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3"/>
                <w:sz w:val="18"/>
              </w:rPr>
              <w:t xml:space="preserve"> </w:t>
            </w:r>
            <w:r w:rsidRPr="00D4309F">
              <w:rPr>
                <w:color w:val="211E1F"/>
                <w:sz w:val="18"/>
              </w:rPr>
              <w:t>No</w:t>
            </w:r>
            <w:r w:rsidRPr="00D4309F">
              <w:rPr>
                <w:color w:val="211E1F"/>
                <w:spacing w:val="-3"/>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required.</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or</w:t>
            </w:r>
            <w:r w:rsidRPr="00D4309F">
              <w:rPr>
                <w:color w:val="211E1F"/>
                <w:spacing w:val="-2"/>
                <w:sz w:val="18"/>
              </w:rPr>
              <w:t xml:space="preserve"> </w:t>
            </w:r>
            <w:r w:rsidRPr="00D4309F">
              <w:rPr>
                <w:color w:val="211E1F"/>
                <w:sz w:val="18"/>
              </w:rPr>
              <w:t>standard</w:t>
            </w:r>
            <w:r w:rsidRPr="00D4309F">
              <w:rPr>
                <w:color w:val="211E1F"/>
                <w:spacing w:val="-3"/>
                <w:sz w:val="18"/>
              </w:rPr>
              <w:t xml:space="preserve"> </w:t>
            </w:r>
            <w:r w:rsidRPr="00D4309F">
              <w:rPr>
                <w:color w:val="211E1F"/>
                <w:sz w:val="18"/>
              </w:rPr>
              <w:t>management</w:t>
            </w:r>
            <w:r w:rsidRPr="00D4309F">
              <w:rPr>
                <w:color w:val="211E1F"/>
                <w:spacing w:val="-2"/>
                <w:sz w:val="18"/>
              </w:rPr>
              <w:t xml:space="preserve"> likely.</w:t>
            </w:r>
          </w:p>
        </w:tc>
      </w:tr>
      <w:tr w:rsidR="00725977" w:rsidRPr="00D4309F" w14:paraId="67F886AD" w14:textId="77777777" w:rsidTr="007774EC">
        <w:trPr>
          <w:trHeight w:val="493"/>
        </w:trPr>
        <w:tc>
          <w:tcPr>
            <w:tcW w:w="691" w:type="pct"/>
            <w:tcBorders>
              <w:top w:val="single" w:sz="4" w:space="0" w:color="000000"/>
              <w:bottom w:val="single" w:sz="4" w:space="0" w:color="000000"/>
            </w:tcBorders>
            <w:shd w:val="clear" w:color="auto" w:fill="FFFF00"/>
          </w:tcPr>
          <w:p w14:paraId="6E53AA7E" w14:textId="77777777" w:rsidR="00725977" w:rsidRPr="00D4309F" w:rsidRDefault="00725977">
            <w:pPr>
              <w:pStyle w:val="TableParagraph"/>
              <w:spacing w:before="143"/>
              <w:ind w:left="165"/>
              <w:rPr>
                <w:b/>
                <w:sz w:val="18"/>
              </w:rPr>
            </w:pPr>
            <w:r w:rsidRPr="00D4309F">
              <w:rPr>
                <w:b/>
                <w:color w:val="211E1F"/>
                <w:spacing w:val="-2"/>
                <w:sz w:val="18"/>
              </w:rPr>
              <w:t>Moderate</w:t>
            </w:r>
          </w:p>
        </w:tc>
        <w:tc>
          <w:tcPr>
            <w:tcW w:w="4309" w:type="pct"/>
            <w:tcBorders>
              <w:top w:val="single" w:sz="4" w:space="0" w:color="000000"/>
              <w:bottom w:val="single" w:sz="4" w:space="0" w:color="000000"/>
            </w:tcBorders>
          </w:tcPr>
          <w:p w14:paraId="1AC08D46" w14:textId="77777777" w:rsidR="00725977" w:rsidRPr="00D4309F" w:rsidRDefault="00725977">
            <w:pPr>
              <w:pStyle w:val="TableParagraph"/>
              <w:spacing w:before="39"/>
              <w:ind w:left="163"/>
              <w:rPr>
                <w:sz w:val="18"/>
              </w:rPr>
            </w:pPr>
            <w:r w:rsidRPr="00D4309F">
              <w:rPr>
                <w:color w:val="211E1F"/>
                <w:sz w:val="18"/>
              </w:rPr>
              <w:t>There</w:t>
            </w:r>
            <w:r w:rsidRPr="00D4309F">
              <w:rPr>
                <w:color w:val="211E1F"/>
                <w:spacing w:val="-3"/>
                <w:sz w:val="18"/>
              </w:rPr>
              <w:t xml:space="preserve"> </w:t>
            </w:r>
            <w:r w:rsidRPr="00D4309F">
              <w:rPr>
                <w:color w:val="211E1F"/>
                <w:sz w:val="18"/>
              </w:rPr>
              <w:t>is</w:t>
            </w:r>
            <w:r w:rsidRPr="00D4309F">
              <w:rPr>
                <w:color w:val="211E1F"/>
                <w:spacing w:val="-2"/>
                <w:sz w:val="18"/>
              </w:rPr>
              <w:t xml:space="preserve"> </w:t>
            </w:r>
            <w:r w:rsidRPr="00D4309F">
              <w:rPr>
                <w:color w:val="211E1F"/>
                <w:sz w:val="18"/>
              </w:rPr>
              <w:t>a</w:t>
            </w:r>
            <w:r w:rsidRPr="00D4309F">
              <w:rPr>
                <w:color w:val="211E1F"/>
                <w:spacing w:val="-3"/>
                <w:sz w:val="18"/>
              </w:rPr>
              <w:t xml:space="preserve"> </w:t>
            </w:r>
            <w:r w:rsidRPr="00D4309F">
              <w:rPr>
                <w:color w:val="211E1F"/>
                <w:sz w:val="18"/>
              </w:rPr>
              <w:t>moderate</w:t>
            </w:r>
            <w:r w:rsidRPr="00D4309F">
              <w:rPr>
                <w:color w:val="211E1F"/>
                <w:spacing w:val="-3"/>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2"/>
                <w:sz w:val="18"/>
              </w:rPr>
              <w:t xml:space="preserve"> </w:t>
            </w:r>
            <w:r w:rsidRPr="00D4309F">
              <w:rPr>
                <w:color w:val="211E1F"/>
                <w:sz w:val="18"/>
              </w:rPr>
              <w:t>which</w:t>
            </w:r>
            <w:r w:rsidRPr="00D4309F">
              <w:rPr>
                <w:color w:val="211E1F"/>
                <w:spacing w:val="-3"/>
                <w:sz w:val="18"/>
              </w:rPr>
              <w:t xml:space="preserve"> </w:t>
            </w:r>
            <w:r w:rsidRPr="00D4309F">
              <w:rPr>
                <w:color w:val="211E1F"/>
                <w:sz w:val="18"/>
              </w:rPr>
              <w:t>will</w:t>
            </w:r>
            <w:r w:rsidRPr="00D4309F">
              <w:rPr>
                <w:color w:val="211E1F"/>
                <w:spacing w:val="-1"/>
                <w:sz w:val="18"/>
              </w:rPr>
              <w:t xml:space="preserve"> </w:t>
            </w:r>
            <w:r w:rsidRPr="00D4309F">
              <w:rPr>
                <w:color w:val="211E1F"/>
                <w:sz w:val="18"/>
              </w:rPr>
              <w:t>require</w:t>
            </w:r>
            <w:r w:rsidRPr="00D4309F">
              <w:rPr>
                <w:color w:val="211E1F"/>
                <w:spacing w:val="-3"/>
                <w:sz w:val="18"/>
              </w:rPr>
              <w:t xml:space="preserve"> </w:t>
            </w:r>
            <w:r w:rsidRPr="00D4309F">
              <w:rPr>
                <w:color w:val="211E1F"/>
                <w:sz w:val="18"/>
              </w:rPr>
              <w:t>further</w:t>
            </w:r>
            <w:r w:rsidRPr="00D4309F">
              <w:rPr>
                <w:color w:val="211E1F"/>
                <w:spacing w:val="-1"/>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to</w:t>
            </w:r>
            <w:r w:rsidRPr="00D4309F">
              <w:rPr>
                <w:color w:val="211E1F"/>
                <w:spacing w:val="-1"/>
                <w:sz w:val="18"/>
              </w:rPr>
              <w:t xml:space="preserve"> </w:t>
            </w:r>
            <w:r w:rsidRPr="00D4309F">
              <w:rPr>
                <w:color w:val="211E1F"/>
                <w:sz w:val="18"/>
              </w:rPr>
              <w:t>determine</w:t>
            </w:r>
            <w:r w:rsidRPr="00D4309F">
              <w:rPr>
                <w:color w:val="211E1F"/>
                <w:spacing w:val="-3"/>
                <w:sz w:val="18"/>
              </w:rPr>
              <w:t xml:space="preserve"> </w:t>
            </w:r>
            <w:r w:rsidRPr="00D4309F">
              <w:rPr>
                <w:color w:val="211E1F"/>
                <w:sz w:val="18"/>
              </w:rPr>
              <w:t>the</w:t>
            </w:r>
            <w:r w:rsidRPr="00D4309F">
              <w:rPr>
                <w:color w:val="211E1F"/>
                <w:spacing w:val="-1"/>
                <w:sz w:val="18"/>
              </w:rPr>
              <w:t xml:space="preserve"> </w:t>
            </w:r>
            <w:r w:rsidRPr="00D4309F">
              <w:rPr>
                <w:color w:val="211E1F"/>
                <w:sz w:val="18"/>
              </w:rPr>
              <w:t>significance</w:t>
            </w:r>
            <w:r w:rsidRPr="00D4309F">
              <w:rPr>
                <w:color w:val="211E1F"/>
                <w:spacing w:val="-3"/>
                <w:sz w:val="18"/>
              </w:rPr>
              <w:t xml:space="preserve"> </w:t>
            </w:r>
            <w:r w:rsidRPr="00D4309F">
              <w:rPr>
                <w:color w:val="211E1F"/>
                <w:sz w:val="18"/>
              </w:rPr>
              <w:t>of</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Likely</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be manageable or engineered to minimise potential impacts on the receiving environment.</w:t>
            </w:r>
          </w:p>
        </w:tc>
      </w:tr>
      <w:tr w:rsidR="00725977" w:rsidRPr="00D4309F" w14:paraId="0D74DAFF" w14:textId="77777777" w:rsidTr="007774EC">
        <w:trPr>
          <w:trHeight w:val="492"/>
        </w:trPr>
        <w:tc>
          <w:tcPr>
            <w:tcW w:w="691" w:type="pct"/>
            <w:tcBorders>
              <w:top w:val="single" w:sz="4" w:space="0" w:color="000000"/>
            </w:tcBorders>
            <w:shd w:val="clear" w:color="auto" w:fill="FFC000"/>
          </w:tcPr>
          <w:p w14:paraId="4453894B" w14:textId="77777777" w:rsidR="00725977" w:rsidRPr="00D4309F" w:rsidRDefault="00725977">
            <w:pPr>
              <w:pStyle w:val="TableParagraph"/>
              <w:spacing w:before="143"/>
              <w:ind w:left="165"/>
              <w:rPr>
                <w:b/>
                <w:sz w:val="18"/>
              </w:rPr>
            </w:pPr>
            <w:r w:rsidRPr="00D4309F">
              <w:rPr>
                <w:b/>
                <w:color w:val="211E1F"/>
                <w:spacing w:val="-4"/>
                <w:sz w:val="18"/>
              </w:rPr>
              <w:t>High</w:t>
            </w:r>
          </w:p>
        </w:tc>
        <w:tc>
          <w:tcPr>
            <w:tcW w:w="4309" w:type="pct"/>
            <w:tcBorders>
              <w:top w:val="single" w:sz="4" w:space="0" w:color="000000"/>
            </w:tcBorders>
          </w:tcPr>
          <w:p w14:paraId="53C6D20B" w14:textId="77777777" w:rsidR="00725977" w:rsidRPr="00D4309F" w:rsidRDefault="00725977">
            <w:pPr>
              <w:pStyle w:val="TableParagraph"/>
              <w:spacing w:before="39"/>
              <w:ind w:left="163"/>
              <w:rPr>
                <w:sz w:val="18"/>
              </w:rPr>
            </w:pPr>
            <w:r w:rsidRPr="00D4309F">
              <w:rPr>
                <w:color w:val="211E1F"/>
                <w:sz w:val="18"/>
              </w:rPr>
              <w:t>There</w:t>
            </w:r>
            <w:r w:rsidRPr="00D4309F">
              <w:rPr>
                <w:color w:val="211E1F"/>
                <w:spacing w:val="-3"/>
                <w:sz w:val="18"/>
              </w:rPr>
              <w:t xml:space="preserve"> </w:t>
            </w:r>
            <w:r w:rsidRPr="00D4309F">
              <w:rPr>
                <w:color w:val="211E1F"/>
                <w:sz w:val="18"/>
              </w:rPr>
              <w:t>is</w:t>
            </w:r>
            <w:r w:rsidRPr="00D4309F">
              <w:rPr>
                <w:color w:val="211E1F"/>
                <w:spacing w:val="-2"/>
                <w:sz w:val="18"/>
              </w:rPr>
              <w:t xml:space="preserve"> </w:t>
            </w:r>
            <w:r w:rsidRPr="00D4309F">
              <w:rPr>
                <w:color w:val="211E1F"/>
                <w:sz w:val="18"/>
              </w:rPr>
              <w:t>a</w:t>
            </w:r>
            <w:r w:rsidRPr="00D4309F">
              <w:rPr>
                <w:color w:val="211E1F"/>
                <w:spacing w:val="-3"/>
                <w:sz w:val="18"/>
              </w:rPr>
              <w:t xml:space="preserve"> </w:t>
            </w:r>
            <w:r w:rsidRPr="00D4309F">
              <w:rPr>
                <w:color w:val="211E1F"/>
                <w:sz w:val="18"/>
              </w:rPr>
              <w:t>high</w:t>
            </w:r>
            <w:r w:rsidRPr="00D4309F">
              <w:rPr>
                <w:color w:val="211E1F"/>
                <w:spacing w:val="-1"/>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2"/>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required</w:t>
            </w:r>
            <w:r w:rsidRPr="00D4309F">
              <w:rPr>
                <w:color w:val="211E1F"/>
                <w:spacing w:val="-3"/>
                <w:sz w:val="18"/>
              </w:rPr>
              <w:t xml:space="preserve"> </w:t>
            </w:r>
            <w:r w:rsidRPr="00D4309F">
              <w:rPr>
                <w:color w:val="211E1F"/>
                <w:sz w:val="18"/>
              </w:rPr>
              <w:t>to</w:t>
            </w:r>
            <w:r w:rsidRPr="00D4309F">
              <w:rPr>
                <w:color w:val="211E1F"/>
                <w:spacing w:val="-3"/>
                <w:sz w:val="18"/>
              </w:rPr>
              <w:t xml:space="preserve"> </w:t>
            </w:r>
            <w:r w:rsidRPr="00D4309F">
              <w:rPr>
                <w:color w:val="211E1F"/>
                <w:sz w:val="18"/>
              </w:rPr>
              <w:t>determine</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significance</w:t>
            </w:r>
            <w:r w:rsidRPr="00D4309F">
              <w:rPr>
                <w:color w:val="211E1F"/>
                <w:spacing w:val="-1"/>
                <w:sz w:val="18"/>
              </w:rPr>
              <w:t xml:space="preserve"> </w:t>
            </w:r>
            <w:r w:rsidRPr="00D4309F">
              <w:rPr>
                <w:color w:val="211E1F"/>
                <w:sz w:val="18"/>
              </w:rPr>
              <w:t>of</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and</w:t>
            </w:r>
            <w:r w:rsidRPr="00D4309F">
              <w:rPr>
                <w:color w:val="211E1F"/>
                <w:spacing w:val="-3"/>
                <w:sz w:val="18"/>
              </w:rPr>
              <w:t xml:space="preserve"> </w:t>
            </w:r>
            <w:r w:rsidRPr="00D4309F">
              <w:rPr>
                <w:color w:val="211E1F"/>
                <w:sz w:val="18"/>
              </w:rPr>
              <w:t>mitigation</w:t>
            </w:r>
            <w:r w:rsidRPr="00D4309F">
              <w:rPr>
                <w:color w:val="211E1F"/>
                <w:spacing w:val="-1"/>
                <w:sz w:val="18"/>
              </w:rPr>
              <w:t xml:space="preserve"> </w:t>
            </w:r>
            <w:r w:rsidRPr="00D4309F">
              <w:rPr>
                <w:color w:val="211E1F"/>
                <w:sz w:val="18"/>
              </w:rPr>
              <w:t>strategy. Consideration for regulatory approvals.</w:t>
            </w:r>
          </w:p>
        </w:tc>
      </w:tr>
    </w:tbl>
    <w:p w14:paraId="57022ACC" w14:textId="43D1DE1A" w:rsidR="00725977" w:rsidRPr="00D4309F" w:rsidRDefault="00725977" w:rsidP="00D4229D">
      <w:pPr>
        <w:pStyle w:val="BodyText"/>
      </w:pPr>
    </w:p>
    <w:p w14:paraId="0930BCDD" w14:textId="6E10C4C7" w:rsidR="00725977" w:rsidRPr="00D4309F" w:rsidRDefault="00D4229D" w:rsidP="007774EC">
      <w:pPr>
        <w:pStyle w:val="Table-Caption"/>
      </w:pPr>
      <w:bookmarkStart w:id="491" w:name="_Ref215980351"/>
      <w:bookmarkStart w:id="492" w:name="_Toc216699581"/>
      <w:r>
        <w:t xml:space="preserve">Table </w:t>
      </w:r>
      <w:r w:rsidR="00151534">
        <w:fldChar w:fldCharType="begin" w:fldLock="1"/>
      </w:r>
      <w:r w:rsidR="00151534">
        <w:instrText xml:space="preserve"> STYLEREF 1 \s </w:instrText>
      </w:r>
      <w:r w:rsidR="00151534">
        <w:fldChar w:fldCharType="separate"/>
      </w:r>
      <w:r w:rsidR="00151534">
        <w:rPr>
          <w:noProof/>
        </w:rPr>
        <w:t>16</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2</w:t>
      </w:r>
      <w:r w:rsidR="00151534">
        <w:fldChar w:fldCharType="end"/>
      </w:r>
      <w:bookmarkEnd w:id="491"/>
      <w:r>
        <w:t>:</w:t>
      </w:r>
      <w:r>
        <w:tab/>
      </w:r>
      <w:r w:rsidRPr="00D4309F">
        <w:t>Environmental</w:t>
      </w:r>
      <w:r w:rsidRPr="00D4309F">
        <w:rPr>
          <w:spacing w:val="-1"/>
        </w:rPr>
        <w:t xml:space="preserve"> </w:t>
      </w:r>
      <w:r w:rsidRPr="00D4309F">
        <w:t>constraints</w:t>
      </w:r>
      <w:r w:rsidRPr="00D4309F">
        <w:rPr>
          <w:spacing w:val="-4"/>
        </w:rPr>
        <w:t xml:space="preserve"> </w:t>
      </w:r>
      <w:r w:rsidRPr="00D4309F">
        <w:t>for</w:t>
      </w:r>
      <w:r w:rsidRPr="00D4309F">
        <w:rPr>
          <w:spacing w:val="-3"/>
        </w:rPr>
        <w:t xml:space="preserve"> </w:t>
      </w:r>
      <w:r w:rsidRPr="00D4309F">
        <w:t>permanent</w:t>
      </w:r>
      <w:r w:rsidRPr="00D4309F">
        <w:rPr>
          <w:spacing w:val="-2"/>
        </w:rPr>
        <w:t xml:space="preserve"> </w:t>
      </w:r>
      <w:r w:rsidRPr="00D4309F">
        <w:t>automated</w:t>
      </w:r>
      <w:r w:rsidRPr="00D4309F">
        <w:rPr>
          <w:spacing w:val="-3"/>
        </w:rPr>
        <w:t xml:space="preserve"> </w:t>
      </w:r>
      <w:r w:rsidRPr="00D4309F">
        <w:t>sand</w:t>
      </w:r>
      <w:r w:rsidRPr="00D4309F">
        <w:rPr>
          <w:spacing w:val="-2"/>
        </w:rPr>
        <w:t xml:space="preserve"> </w:t>
      </w:r>
      <w:r w:rsidRPr="00D4309F">
        <w:t>bypassing</w:t>
      </w:r>
      <w:r w:rsidRPr="00D4309F">
        <w:rPr>
          <w:spacing w:val="-4"/>
        </w:rPr>
        <w:t xml:space="preserve"> </w:t>
      </w:r>
      <w:r w:rsidRPr="00D4309F">
        <w:t>system</w:t>
      </w:r>
      <w:r w:rsidRPr="00D4309F">
        <w:rPr>
          <w:spacing w:val="-4"/>
        </w:rPr>
        <w:t xml:space="preserve"> </w:t>
      </w:r>
      <w:r w:rsidRPr="00D4309F">
        <w:t>at</w:t>
      </w:r>
      <w:r w:rsidRPr="00D4309F">
        <w:rPr>
          <w:spacing w:val="-2"/>
        </w:rPr>
        <w:t xml:space="preserve"> </w:t>
      </w:r>
      <w:r w:rsidRPr="00D4309F">
        <w:t>headland</w:t>
      </w:r>
      <w:r w:rsidRPr="00D4309F">
        <w:rPr>
          <w:spacing w:val="-2"/>
        </w:rPr>
        <w:t xml:space="preserve"> </w:t>
      </w:r>
      <w:r w:rsidRPr="00D4309F">
        <w:t>sand</w:t>
      </w:r>
      <w:r w:rsidRPr="00D4309F">
        <w:rPr>
          <w:spacing w:val="-4"/>
        </w:rPr>
        <w:t xml:space="preserve"> </w:t>
      </w:r>
      <w:r w:rsidRPr="00D4309F">
        <w:t>trap</w:t>
      </w:r>
      <w:r w:rsidRPr="00D4309F">
        <w:rPr>
          <w:spacing w:val="-2"/>
        </w:rPr>
        <w:t xml:space="preserve"> </w:t>
      </w:r>
      <w:r w:rsidRPr="00D4309F">
        <w:t>(Option</w:t>
      </w:r>
      <w:r w:rsidRPr="00D4309F">
        <w:rPr>
          <w:spacing w:val="-2"/>
        </w:rPr>
        <w:t xml:space="preserve"> </w:t>
      </w:r>
      <w:r w:rsidRPr="00D4309F">
        <w:rPr>
          <w:spacing w:val="-5"/>
        </w:rPr>
        <w:t>4)</w:t>
      </w:r>
      <w:bookmarkEnd w:id="492"/>
    </w:p>
    <w:tbl>
      <w:tblPr>
        <w:tblW w:w="5000" w:type="pct"/>
        <w:tblCellMar>
          <w:left w:w="0" w:type="dxa"/>
          <w:right w:w="0" w:type="dxa"/>
        </w:tblCellMar>
        <w:tblLook w:val="01E0" w:firstRow="1" w:lastRow="1" w:firstColumn="1" w:lastColumn="1" w:noHBand="0" w:noVBand="0"/>
      </w:tblPr>
      <w:tblGrid>
        <w:gridCol w:w="1355"/>
        <w:gridCol w:w="1428"/>
        <w:gridCol w:w="3127"/>
        <w:gridCol w:w="1510"/>
        <w:gridCol w:w="2850"/>
        <w:gridCol w:w="1982"/>
        <w:gridCol w:w="2320"/>
      </w:tblGrid>
      <w:tr w:rsidR="007B7D3D" w:rsidRPr="00D4309F" w14:paraId="0A331CC0" w14:textId="77777777" w:rsidTr="004C00ED">
        <w:trPr>
          <w:cantSplit/>
          <w:trHeight w:val="20"/>
          <w:tblHeader/>
        </w:trPr>
        <w:tc>
          <w:tcPr>
            <w:tcW w:w="465" w:type="pct"/>
            <w:tcBorders>
              <w:bottom w:val="single" w:sz="4" w:space="0" w:color="000000"/>
            </w:tcBorders>
            <w:shd w:val="clear" w:color="auto" w:fill="D6D7D5"/>
            <w:vAlign w:val="center"/>
          </w:tcPr>
          <w:p w14:paraId="3D82D7E9" w14:textId="77777777" w:rsidR="00725977" w:rsidRPr="00D4309F" w:rsidRDefault="00725977" w:rsidP="004C00ED">
            <w:pPr>
              <w:pStyle w:val="TableParagraph"/>
              <w:ind w:left="195"/>
              <w:rPr>
                <w:b/>
                <w:sz w:val="18"/>
              </w:rPr>
            </w:pPr>
            <w:r w:rsidRPr="00D4309F">
              <w:rPr>
                <w:b/>
                <w:color w:val="70004A"/>
                <w:spacing w:val="-2"/>
                <w:sz w:val="18"/>
              </w:rPr>
              <w:t>Category</w:t>
            </w:r>
          </w:p>
        </w:tc>
        <w:tc>
          <w:tcPr>
            <w:tcW w:w="490" w:type="pct"/>
            <w:tcBorders>
              <w:bottom w:val="single" w:sz="4" w:space="0" w:color="000000"/>
            </w:tcBorders>
            <w:shd w:val="clear" w:color="auto" w:fill="D6D7D5"/>
            <w:vAlign w:val="center"/>
          </w:tcPr>
          <w:p w14:paraId="5DF68183" w14:textId="77777777" w:rsidR="00725977" w:rsidRPr="00D4309F" w:rsidRDefault="00725977" w:rsidP="004C00ED">
            <w:pPr>
              <w:pStyle w:val="TableParagraph"/>
              <w:ind w:left="200"/>
              <w:rPr>
                <w:b/>
                <w:sz w:val="18"/>
              </w:rPr>
            </w:pPr>
            <w:r w:rsidRPr="00D4309F">
              <w:rPr>
                <w:b/>
                <w:color w:val="70004A"/>
                <w:spacing w:val="-2"/>
                <w:sz w:val="18"/>
              </w:rPr>
              <w:t>Receptor</w:t>
            </w:r>
          </w:p>
        </w:tc>
        <w:tc>
          <w:tcPr>
            <w:tcW w:w="1073" w:type="pct"/>
            <w:tcBorders>
              <w:bottom w:val="single" w:sz="4" w:space="0" w:color="000000"/>
            </w:tcBorders>
            <w:shd w:val="clear" w:color="auto" w:fill="D6D7D5"/>
            <w:vAlign w:val="center"/>
          </w:tcPr>
          <w:p w14:paraId="4F49D3B6" w14:textId="77777777" w:rsidR="00725977" w:rsidRPr="00D4309F" w:rsidRDefault="00725977" w:rsidP="004C00ED">
            <w:pPr>
              <w:pStyle w:val="TableParagraph"/>
              <w:ind w:left="264"/>
              <w:rPr>
                <w:b/>
                <w:sz w:val="18"/>
              </w:rPr>
            </w:pPr>
            <w:r w:rsidRPr="00D4309F">
              <w:rPr>
                <w:b/>
                <w:color w:val="70004A"/>
                <w:sz w:val="18"/>
              </w:rPr>
              <w:t>Impact</w:t>
            </w:r>
            <w:r w:rsidRPr="00D4309F">
              <w:rPr>
                <w:b/>
                <w:color w:val="70004A"/>
                <w:spacing w:val="-3"/>
                <w:sz w:val="18"/>
              </w:rPr>
              <w:t xml:space="preserve"> </w:t>
            </w:r>
            <w:r w:rsidRPr="00D4309F">
              <w:rPr>
                <w:b/>
                <w:color w:val="70004A"/>
                <w:spacing w:val="-2"/>
                <w:sz w:val="18"/>
              </w:rPr>
              <w:t>pathway</w:t>
            </w:r>
          </w:p>
        </w:tc>
        <w:tc>
          <w:tcPr>
            <w:tcW w:w="518" w:type="pct"/>
            <w:tcBorders>
              <w:bottom w:val="single" w:sz="4" w:space="0" w:color="000000"/>
            </w:tcBorders>
            <w:shd w:val="clear" w:color="auto" w:fill="D6D7D5"/>
            <w:vAlign w:val="center"/>
          </w:tcPr>
          <w:p w14:paraId="5E4BDB09" w14:textId="77777777" w:rsidR="00725977" w:rsidRPr="007B7D3D" w:rsidRDefault="00725977" w:rsidP="004C00ED">
            <w:pPr>
              <w:pStyle w:val="TableParagraph"/>
              <w:spacing w:before="144"/>
              <w:ind w:left="165" w:right="219"/>
              <w:rPr>
                <w:b/>
                <w:sz w:val="20"/>
                <w:szCs w:val="24"/>
              </w:rPr>
            </w:pPr>
            <w:r w:rsidRPr="007B7D3D">
              <w:rPr>
                <w:b/>
                <w:color w:val="70004A"/>
                <w:spacing w:val="-2"/>
                <w:sz w:val="20"/>
                <w:szCs w:val="24"/>
              </w:rPr>
              <w:t>Constraint level</w:t>
            </w:r>
          </w:p>
        </w:tc>
        <w:tc>
          <w:tcPr>
            <w:tcW w:w="978" w:type="pct"/>
            <w:tcBorders>
              <w:bottom w:val="single" w:sz="4" w:space="0" w:color="000000"/>
            </w:tcBorders>
            <w:shd w:val="clear" w:color="auto" w:fill="D6D7D5"/>
            <w:vAlign w:val="center"/>
          </w:tcPr>
          <w:p w14:paraId="7CB87EEE" w14:textId="77777777" w:rsidR="00725977" w:rsidRPr="00D4309F" w:rsidRDefault="00725977" w:rsidP="004C00ED">
            <w:pPr>
              <w:pStyle w:val="TableParagraph"/>
              <w:ind w:left="164"/>
              <w:rPr>
                <w:b/>
                <w:sz w:val="18"/>
              </w:rPr>
            </w:pPr>
            <w:r w:rsidRPr="00D4309F">
              <w:rPr>
                <w:b/>
                <w:color w:val="70004A"/>
                <w:spacing w:val="-2"/>
                <w:sz w:val="18"/>
              </w:rPr>
              <w:t>Justification</w:t>
            </w:r>
          </w:p>
        </w:tc>
        <w:tc>
          <w:tcPr>
            <w:tcW w:w="680" w:type="pct"/>
            <w:tcBorders>
              <w:bottom w:val="single" w:sz="4" w:space="0" w:color="000000"/>
            </w:tcBorders>
            <w:shd w:val="clear" w:color="auto" w:fill="D6D7D5"/>
            <w:vAlign w:val="center"/>
          </w:tcPr>
          <w:p w14:paraId="4CEA7CBA" w14:textId="77777777" w:rsidR="00725977" w:rsidRPr="00D4309F" w:rsidRDefault="00725977" w:rsidP="004C00ED">
            <w:pPr>
              <w:pStyle w:val="TableParagraph"/>
              <w:spacing w:before="144"/>
              <w:ind w:left="235" w:right="225"/>
              <w:rPr>
                <w:b/>
                <w:sz w:val="18"/>
              </w:rPr>
            </w:pPr>
            <w:r w:rsidRPr="00D4309F">
              <w:rPr>
                <w:b/>
                <w:color w:val="70004A"/>
                <w:sz w:val="18"/>
              </w:rPr>
              <w:t>Further</w:t>
            </w:r>
            <w:r w:rsidRPr="00D4309F">
              <w:rPr>
                <w:b/>
                <w:color w:val="70004A"/>
                <w:spacing w:val="-13"/>
                <w:sz w:val="18"/>
              </w:rPr>
              <w:t xml:space="preserve"> </w:t>
            </w:r>
            <w:r w:rsidRPr="00D4309F">
              <w:rPr>
                <w:b/>
                <w:color w:val="70004A"/>
                <w:sz w:val="18"/>
              </w:rPr>
              <w:t xml:space="preserve">assessment </w:t>
            </w:r>
            <w:r w:rsidRPr="00D4309F">
              <w:rPr>
                <w:b/>
                <w:color w:val="70004A"/>
                <w:spacing w:val="-2"/>
                <w:sz w:val="18"/>
              </w:rPr>
              <w:t>recommendations</w:t>
            </w:r>
          </w:p>
        </w:tc>
        <w:tc>
          <w:tcPr>
            <w:tcW w:w="796" w:type="pct"/>
            <w:tcBorders>
              <w:bottom w:val="single" w:sz="4" w:space="0" w:color="000000"/>
            </w:tcBorders>
            <w:shd w:val="clear" w:color="auto" w:fill="D6D7D5"/>
            <w:vAlign w:val="center"/>
          </w:tcPr>
          <w:p w14:paraId="5ABFC69B" w14:textId="77777777" w:rsidR="00725977" w:rsidRPr="00D4309F" w:rsidRDefault="00725977" w:rsidP="004C00ED">
            <w:pPr>
              <w:pStyle w:val="TableParagraph"/>
              <w:spacing w:before="40"/>
              <w:ind w:left="238" w:right="249"/>
              <w:rPr>
                <w:b/>
                <w:sz w:val="18"/>
              </w:rPr>
            </w:pPr>
            <w:r w:rsidRPr="00D4309F">
              <w:rPr>
                <w:b/>
                <w:color w:val="70004A"/>
                <w:sz w:val="18"/>
              </w:rPr>
              <w:t>Potential</w:t>
            </w:r>
            <w:r w:rsidRPr="00D4309F">
              <w:rPr>
                <w:b/>
                <w:color w:val="70004A"/>
                <w:spacing w:val="-15"/>
                <w:sz w:val="18"/>
              </w:rPr>
              <w:t xml:space="preserve"> </w:t>
            </w:r>
            <w:r w:rsidRPr="00D4309F">
              <w:rPr>
                <w:b/>
                <w:color w:val="70004A"/>
                <w:sz w:val="18"/>
              </w:rPr>
              <w:t>monitoring</w:t>
            </w:r>
            <w:r w:rsidRPr="00D4309F">
              <w:rPr>
                <w:b/>
                <w:color w:val="70004A"/>
                <w:spacing w:val="-12"/>
                <w:sz w:val="18"/>
              </w:rPr>
              <w:t xml:space="preserve"> </w:t>
            </w:r>
            <w:r w:rsidRPr="00D4309F">
              <w:rPr>
                <w:b/>
                <w:color w:val="70004A"/>
                <w:sz w:val="18"/>
              </w:rPr>
              <w:t xml:space="preserve">and </w:t>
            </w:r>
            <w:r w:rsidRPr="00D4309F">
              <w:rPr>
                <w:b/>
                <w:color w:val="70004A"/>
                <w:spacing w:val="-2"/>
                <w:sz w:val="18"/>
              </w:rPr>
              <w:t>management requirements</w:t>
            </w:r>
          </w:p>
        </w:tc>
      </w:tr>
      <w:tr w:rsidR="007B7D3D" w:rsidRPr="00D4309F" w14:paraId="452409D9" w14:textId="77777777" w:rsidTr="004C00ED">
        <w:trPr>
          <w:cantSplit/>
          <w:trHeight w:val="20"/>
        </w:trPr>
        <w:tc>
          <w:tcPr>
            <w:tcW w:w="465" w:type="pct"/>
            <w:tcBorders>
              <w:top w:val="single" w:sz="4" w:space="0" w:color="000000"/>
              <w:bottom w:val="single" w:sz="4" w:space="0" w:color="000000"/>
            </w:tcBorders>
            <w:vAlign w:val="center"/>
          </w:tcPr>
          <w:p w14:paraId="12A101B8" w14:textId="14D3DB34" w:rsidR="00E67028" w:rsidRPr="00E67028" w:rsidRDefault="00725977" w:rsidP="00E67028">
            <w:pPr>
              <w:pStyle w:val="Table-Text"/>
            </w:pPr>
            <w:r w:rsidRPr="00D4309F">
              <w:t>Marine environmental quality</w:t>
            </w:r>
          </w:p>
        </w:tc>
        <w:tc>
          <w:tcPr>
            <w:tcW w:w="490" w:type="pct"/>
            <w:tcBorders>
              <w:top w:val="single" w:sz="4" w:space="0" w:color="000000"/>
              <w:bottom w:val="single" w:sz="4" w:space="0" w:color="000000"/>
            </w:tcBorders>
            <w:vAlign w:val="center"/>
          </w:tcPr>
          <w:p w14:paraId="4ABFAC40" w14:textId="77777777" w:rsidR="00725977" w:rsidRPr="00D4309F" w:rsidRDefault="00725977" w:rsidP="004C00ED">
            <w:pPr>
              <w:pStyle w:val="Table-Text"/>
            </w:pPr>
            <w:r w:rsidRPr="00D4309F">
              <w:t>Water quality</w:t>
            </w:r>
          </w:p>
        </w:tc>
        <w:tc>
          <w:tcPr>
            <w:tcW w:w="1073" w:type="pct"/>
            <w:tcBorders>
              <w:top w:val="single" w:sz="4" w:space="0" w:color="000000"/>
              <w:bottom w:val="single" w:sz="4" w:space="0" w:color="000000"/>
            </w:tcBorders>
            <w:vAlign w:val="center"/>
          </w:tcPr>
          <w:p w14:paraId="217EF718" w14:textId="77777777" w:rsidR="00725977" w:rsidRPr="00D4309F" w:rsidRDefault="00725977" w:rsidP="004C00ED">
            <w:pPr>
              <w:pStyle w:val="Table-Bullet"/>
            </w:pPr>
            <w:r w:rsidRPr="00D4309F">
              <w:t>Generation</w:t>
            </w:r>
            <w:r w:rsidRPr="00D4309F">
              <w:rPr>
                <w:spacing w:val="-13"/>
              </w:rPr>
              <w:t xml:space="preserve"> </w:t>
            </w:r>
            <w:r w:rsidRPr="00D4309F">
              <w:t>of</w:t>
            </w:r>
            <w:r w:rsidRPr="00D4309F">
              <w:rPr>
                <w:spacing w:val="-12"/>
              </w:rPr>
              <w:t xml:space="preserve"> </w:t>
            </w:r>
            <w:r w:rsidRPr="00D4309F">
              <w:t>turbidity</w:t>
            </w:r>
            <w:r w:rsidRPr="00D4309F">
              <w:rPr>
                <w:spacing w:val="-13"/>
              </w:rPr>
              <w:t xml:space="preserve"> </w:t>
            </w:r>
            <w:r w:rsidRPr="00D4309F">
              <w:t>during construction and bypassing</w:t>
            </w:r>
          </w:p>
        </w:tc>
        <w:tc>
          <w:tcPr>
            <w:tcW w:w="518" w:type="pct"/>
            <w:tcBorders>
              <w:top w:val="single" w:sz="4" w:space="0" w:color="000000"/>
              <w:bottom w:val="single" w:sz="4" w:space="0" w:color="000000"/>
            </w:tcBorders>
            <w:shd w:val="clear" w:color="auto" w:fill="FFC000"/>
            <w:vAlign w:val="center"/>
          </w:tcPr>
          <w:p w14:paraId="374ADF55" w14:textId="77777777" w:rsidR="00725977" w:rsidRPr="007B7D3D" w:rsidRDefault="00725977" w:rsidP="004C00ED">
            <w:pPr>
              <w:pStyle w:val="Table-Text"/>
              <w:rPr>
                <w:b/>
                <w:bCs/>
              </w:rPr>
            </w:pPr>
            <w:r w:rsidRPr="007B7D3D">
              <w:rPr>
                <w:b/>
                <w:bCs/>
              </w:rPr>
              <w:t>High</w:t>
            </w:r>
            <w:r w:rsidRPr="007B7D3D">
              <w:rPr>
                <w:b/>
                <w:bCs/>
                <w:spacing w:val="-15"/>
              </w:rPr>
              <w:t xml:space="preserve"> </w:t>
            </w:r>
            <w:r w:rsidRPr="007B7D3D">
              <w:rPr>
                <w:b/>
                <w:bCs/>
              </w:rPr>
              <w:t>(for</w:t>
            </w:r>
            <w:r w:rsidRPr="007B7D3D">
              <w:rPr>
                <w:b/>
                <w:bCs/>
                <w:spacing w:val="-12"/>
              </w:rPr>
              <w:t xml:space="preserve"> </w:t>
            </w:r>
            <w:r w:rsidRPr="007B7D3D">
              <w:rPr>
                <w:b/>
                <w:bCs/>
              </w:rPr>
              <w:t xml:space="preserve">rock </w:t>
            </w:r>
            <w:r w:rsidRPr="007B7D3D">
              <w:rPr>
                <w:b/>
                <w:bCs/>
                <w:spacing w:val="-2"/>
              </w:rPr>
              <w:t>excavation)</w:t>
            </w:r>
          </w:p>
        </w:tc>
        <w:tc>
          <w:tcPr>
            <w:tcW w:w="978" w:type="pct"/>
            <w:tcBorders>
              <w:top w:val="single" w:sz="4" w:space="0" w:color="000000"/>
              <w:bottom w:val="single" w:sz="4" w:space="0" w:color="000000"/>
            </w:tcBorders>
            <w:vAlign w:val="center"/>
          </w:tcPr>
          <w:p w14:paraId="4E669EAA" w14:textId="77777777" w:rsidR="00725977" w:rsidRPr="00D4309F" w:rsidRDefault="00725977" w:rsidP="004C00ED">
            <w:pPr>
              <w:pStyle w:val="Table-Bullet"/>
            </w:pPr>
            <w:r w:rsidRPr="00D4309F">
              <w:t>An</w:t>
            </w:r>
            <w:r w:rsidRPr="00D4309F">
              <w:rPr>
                <w:spacing w:val="-11"/>
              </w:rPr>
              <w:t xml:space="preserve"> </w:t>
            </w:r>
            <w:r w:rsidRPr="00D4309F">
              <w:t>assessment</w:t>
            </w:r>
            <w:r w:rsidRPr="00D4309F">
              <w:rPr>
                <w:spacing w:val="-10"/>
              </w:rPr>
              <w:t xml:space="preserve"> </w:t>
            </w:r>
            <w:r w:rsidRPr="00D4309F">
              <w:t>of</w:t>
            </w:r>
            <w:r w:rsidRPr="00D4309F">
              <w:rPr>
                <w:spacing w:val="-10"/>
              </w:rPr>
              <w:t xml:space="preserve"> </w:t>
            </w:r>
            <w:r w:rsidRPr="00D4309F">
              <w:t>the</w:t>
            </w:r>
            <w:r w:rsidRPr="00D4309F">
              <w:rPr>
                <w:spacing w:val="-11"/>
              </w:rPr>
              <w:t xml:space="preserve"> </w:t>
            </w:r>
            <w:r w:rsidRPr="00D4309F">
              <w:t>predicted plume extent will inform the extent of turbidity related impacts however as this is a dynamic, open ocean environment, any plume will likely dissipate quickly</w:t>
            </w:r>
          </w:p>
          <w:p w14:paraId="51E1B0FB" w14:textId="77777777" w:rsidR="00725977" w:rsidRPr="00D4309F" w:rsidRDefault="00725977" w:rsidP="004C00ED">
            <w:pPr>
              <w:pStyle w:val="Table-Bullet"/>
            </w:pPr>
            <w:r w:rsidRPr="00D4309F">
              <w:t>Turbidity is likely to be more extensive</w:t>
            </w:r>
            <w:r w:rsidRPr="00D4309F">
              <w:rPr>
                <w:spacing w:val="-13"/>
              </w:rPr>
              <w:t xml:space="preserve"> </w:t>
            </w:r>
            <w:r w:rsidRPr="00D4309F">
              <w:t>and</w:t>
            </w:r>
            <w:r w:rsidRPr="00D4309F">
              <w:rPr>
                <w:spacing w:val="-12"/>
              </w:rPr>
              <w:t xml:space="preserve"> </w:t>
            </w:r>
            <w:r w:rsidRPr="00D4309F">
              <w:t>persistent</w:t>
            </w:r>
            <w:r w:rsidRPr="00D4309F">
              <w:rPr>
                <w:spacing w:val="-13"/>
              </w:rPr>
              <w:t xml:space="preserve"> </w:t>
            </w:r>
            <w:r w:rsidRPr="00D4309F">
              <w:t>during rock cutting works</w:t>
            </w:r>
          </w:p>
        </w:tc>
        <w:tc>
          <w:tcPr>
            <w:tcW w:w="680" w:type="pct"/>
            <w:tcBorders>
              <w:top w:val="single" w:sz="4" w:space="0" w:color="000000"/>
              <w:bottom w:val="single" w:sz="4" w:space="0" w:color="000000"/>
            </w:tcBorders>
            <w:vAlign w:val="center"/>
          </w:tcPr>
          <w:p w14:paraId="68AF1568" w14:textId="77777777" w:rsidR="00725977" w:rsidRPr="00D4309F" w:rsidRDefault="00725977" w:rsidP="004C00ED">
            <w:pPr>
              <w:pStyle w:val="Table-Bullet"/>
            </w:pPr>
            <w:r w:rsidRPr="00D4309F">
              <w:t>Turbidity</w:t>
            </w:r>
            <w:r w:rsidRPr="00D4309F">
              <w:rPr>
                <w:spacing w:val="-5"/>
              </w:rPr>
              <w:t xml:space="preserve"> </w:t>
            </w:r>
            <w:r w:rsidRPr="00D4309F">
              <w:rPr>
                <w:spacing w:val="-2"/>
              </w:rPr>
              <w:t>modelling</w:t>
            </w:r>
          </w:p>
        </w:tc>
        <w:tc>
          <w:tcPr>
            <w:tcW w:w="796" w:type="pct"/>
            <w:tcBorders>
              <w:top w:val="single" w:sz="4" w:space="0" w:color="000000"/>
              <w:bottom w:val="single" w:sz="4" w:space="0" w:color="000000"/>
            </w:tcBorders>
            <w:vAlign w:val="center"/>
          </w:tcPr>
          <w:p w14:paraId="2B2BA9F6" w14:textId="77777777" w:rsidR="00725977" w:rsidRPr="00D4309F" w:rsidRDefault="00725977" w:rsidP="004C00ED">
            <w:pPr>
              <w:pStyle w:val="Table-Bullet"/>
            </w:pPr>
            <w:r w:rsidRPr="00D4309F">
              <w:t>Turbidity</w:t>
            </w:r>
            <w:r w:rsidRPr="00D4309F">
              <w:rPr>
                <w:spacing w:val="-13"/>
              </w:rPr>
              <w:t xml:space="preserve"> </w:t>
            </w:r>
            <w:r w:rsidRPr="00D4309F">
              <w:t>monitoring during works</w:t>
            </w:r>
          </w:p>
        </w:tc>
      </w:tr>
      <w:tr w:rsidR="007B7D3D" w:rsidRPr="00D4309F" w14:paraId="0849048C" w14:textId="77777777" w:rsidTr="004C00ED">
        <w:trPr>
          <w:cantSplit/>
          <w:trHeight w:val="20"/>
        </w:trPr>
        <w:tc>
          <w:tcPr>
            <w:tcW w:w="465" w:type="pct"/>
            <w:tcBorders>
              <w:top w:val="single" w:sz="4" w:space="0" w:color="000000"/>
              <w:bottom w:val="single" w:sz="4" w:space="0" w:color="000000"/>
            </w:tcBorders>
            <w:vAlign w:val="center"/>
          </w:tcPr>
          <w:p w14:paraId="53297C46" w14:textId="7AEFCDA3" w:rsidR="00E67028" w:rsidRPr="00E67028" w:rsidRDefault="00725977" w:rsidP="00E67028">
            <w:pPr>
              <w:pStyle w:val="Table-Text"/>
            </w:pPr>
            <w:r w:rsidRPr="00D4309F">
              <w:t>Marine environmental quality</w:t>
            </w:r>
          </w:p>
        </w:tc>
        <w:tc>
          <w:tcPr>
            <w:tcW w:w="490" w:type="pct"/>
            <w:tcBorders>
              <w:top w:val="single" w:sz="4" w:space="0" w:color="000000"/>
              <w:bottom w:val="single" w:sz="4" w:space="0" w:color="000000"/>
            </w:tcBorders>
            <w:vAlign w:val="center"/>
          </w:tcPr>
          <w:p w14:paraId="3BA8F625" w14:textId="77777777" w:rsidR="00725977" w:rsidRPr="00D4309F" w:rsidRDefault="00725977" w:rsidP="004C00ED">
            <w:pPr>
              <w:pStyle w:val="Table-Text"/>
            </w:pPr>
            <w:r w:rsidRPr="00D4309F">
              <w:t>Water quality</w:t>
            </w:r>
          </w:p>
        </w:tc>
        <w:tc>
          <w:tcPr>
            <w:tcW w:w="1073" w:type="pct"/>
            <w:tcBorders>
              <w:top w:val="single" w:sz="4" w:space="0" w:color="000000"/>
              <w:bottom w:val="single" w:sz="4" w:space="0" w:color="000000"/>
            </w:tcBorders>
            <w:vAlign w:val="center"/>
          </w:tcPr>
          <w:p w14:paraId="50AAEDB1" w14:textId="77777777" w:rsidR="00725977" w:rsidRPr="00D4309F" w:rsidRDefault="00725977" w:rsidP="004C00ED">
            <w:pPr>
              <w:pStyle w:val="Table-Bullet"/>
            </w:pPr>
            <w:r w:rsidRPr="00D4309F">
              <w:t xml:space="preserve">Release of </w:t>
            </w:r>
            <w:r w:rsidRPr="00D4309F">
              <w:rPr>
                <w:spacing w:val="-2"/>
              </w:rPr>
              <w:t>contaminants/hypoxia</w:t>
            </w:r>
          </w:p>
        </w:tc>
        <w:tc>
          <w:tcPr>
            <w:tcW w:w="518" w:type="pct"/>
            <w:tcBorders>
              <w:top w:val="single" w:sz="4" w:space="0" w:color="000000"/>
              <w:bottom w:val="single" w:sz="4" w:space="0" w:color="000000"/>
            </w:tcBorders>
            <w:shd w:val="clear" w:color="auto" w:fill="92D050"/>
            <w:vAlign w:val="center"/>
          </w:tcPr>
          <w:p w14:paraId="3AFEF397" w14:textId="77777777" w:rsidR="00725977" w:rsidRPr="007B7D3D" w:rsidRDefault="00725977" w:rsidP="004C00ED">
            <w:pPr>
              <w:pStyle w:val="Table-Text"/>
              <w:rPr>
                <w:b/>
                <w:bCs/>
              </w:rPr>
            </w:pPr>
            <w:r w:rsidRPr="007B7D3D">
              <w:rPr>
                <w:b/>
                <w:bCs/>
                <w:spacing w:val="-5"/>
              </w:rPr>
              <w:t>Low</w:t>
            </w:r>
          </w:p>
        </w:tc>
        <w:tc>
          <w:tcPr>
            <w:tcW w:w="978" w:type="pct"/>
            <w:tcBorders>
              <w:top w:val="single" w:sz="4" w:space="0" w:color="000000"/>
              <w:bottom w:val="single" w:sz="4" w:space="0" w:color="000000"/>
            </w:tcBorders>
            <w:vAlign w:val="center"/>
          </w:tcPr>
          <w:p w14:paraId="61D3B960" w14:textId="77777777" w:rsidR="00725977" w:rsidRPr="00D4309F" w:rsidRDefault="00725977" w:rsidP="004C00ED">
            <w:pPr>
              <w:pStyle w:val="Table-Bullet"/>
            </w:pPr>
            <w:r w:rsidRPr="00D4309F">
              <w:t>Bypass sediments likely comprise clean marine sand free</w:t>
            </w:r>
            <w:r w:rsidRPr="00D4309F">
              <w:rPr>
                <w:spacing w:val="-10"/>
              </w:rPr>
              <w:t xml:space="preserve"> </w:t>
            </w:r>
            <w:r w:rsidRPr="00D4309F">
              <w:t>of</w:t>
            </w:r>
            <w:r w:rsidRPr="00D4309F">
              <w:rPr>
                <w:spacing w:val="-10"/>
              </w:rPr>
              <w:t xml:space="preserve"> </w:t>
            </w:r>
            <w:r w:rsidRPr="00D4309F">
              <w:t>contaminants</w:t>
            </w:r>
            <w:r w:rsidRPr="00D4309F">
              <w:rPr>
                <w:spacing w:val="-10"/>
              </w:rPr>
              <w:t xml:space="preserve"> </w:t>
            </w:r>
            <w:r w:rsidRPr="00D4309F">
              <w:t>with</w:t>
            </w:r>
            <w:r w:rsidRPr="00D4309F">
              <w:rPr>
                <w:spacing w:val="-10"/>
              </w:rPr>
              <w:t xml:space="preserve"> </w:t>
            </w:r>
            <w:r w:rsidRPr="00D4309F">
              <w:t>low organic matter content</w:t>
            </w:r>
          </w:p>
          <w:p w14:paraId="127B89B2" w14:textId="77777777" w:rsidR="00725977" w:rsidRPr="00D4309F" w:rsidRDefault="00725977" w:rsidP="004C00ED">
            <w:pPr>
              <w:pStyle w:val="Table-Bullet"/>
            </w:pPr>
            <w:r w:rsidRPr="00D4309F">
              <w:t>Rock</w:t>
            </w:r>
            <w:r w:rsidRPr="00D4309F">
              <w:rPr>
                <w:spacing w:val="-10"/>
              </w:rPr>
              <w:t xml:space="preserve"> </w:t>
            </w:r>
            <w:r w:rsidRPr="00D4309F">
              <w:t>is</w:t>
            </w:r>
            <w:r w:rsidRPr="00D4309F">
              <w:rPr>
                <w:spacing w:val="-10"/>
              </w:rPr>
              <w:t xml:space="preserve"> </w:t>
            </w:r>
            <w:r w:rsidRPr="00D4309F">
              <w:t>likely</w:t>
            </w:r>
            <w:r w:rsidRPr="00D4309F">
              <w:rPr>
                <w:spacing w:val="-10"/>
              </w:rPr>
              <w:t xml:space="preserve"> </w:t>
            </w:r>
            <w:r w:rsidRPr="00D4309F">
              <w:t>to</w:t>
            </w:r>
            <w:r w:rsidRPr="00D4309F">
              <w:rPr>
                <w:spacing w:val="-11"/>
              </w:rPr>
              <w:t xml:space="preserve"> </w:t>
            </w:r>
            <w:r w:rsidRPr="00D4309F">
              <w:t xml:space="preserve">be </w:t>
            </w:r>
            <w:r w:rsidRPr="00D4309F">
              <w:rPr>
                <w:spacing w:val="-2"/>
              </w:rPr>
              <w:t>uncontaminated</w:t>
            </w:r>
          </w:p>
        </w:tc>
        <w:tc>
          <w:tcPr>
            <w:tcW w:w="680" w:type="pct"/>
            <w:tcBorders>
              <w:top w:val="single" w:sz="4" w:space="0" w:color="000000"/>
              <w:bottom w:val="single" w:sz="4" w:space="0" w:color="000000"/>
            </w:tcBorders>
            <w:vAlign w:val="center"/>
          </w:tcPr>
          <w:p w14:paraId="3E424D92" w14:textId="77777777" w:rsidR="00725977" w:rsidRPr="00D4309F" w:rsidRDefault="00725977" w:rsidP="004C00ED">
            <w:pPr>
              <w:pStyle w:val="Table-Bullet"/>
            </w:pPr>
            <w:r w:rsidRPr="00D4309F">
              <w:t>Assumption that suitable</w:t>
            </w:r>
            <w:r w:rsidRPr="00D4309F">
              <w:rPr>
                <w:spacing w:val="-15"/>
              </w:rPr>
              <w:t xml:space="preserve"> </w:t>
            </w:r>
            <w:r w:rsidRPr="00D4309F">
              <w:t>data</w:t>
            </w:r>
            <w:r w:rsidRPr="00D4309F">
              <w:rPr>
                <w:spacing w:val="-12"/>
              </w:rPr>
              <w:t xml:space="preserve"> </w:t>
            </w:r>
            <w:r w:rsidRPr="00D4309F">
              <w:t>exists to inform this risk</w:t>
            </w:r>
          </w:p>
        </w:tc>
        <w:tc>
          <w:tcPr>
            <w:tcW w:w="796" w:type="pct"/>
            <w:tcBorders>
              <w:top w:val="single" w:sz="4" w:space="0" w:color="000000"/>
              <w:bottom w:val="single" w:sz="4" w:space="0" w:color="000000"/>
            </w:tcBorders>
            <w:vAlign w:val="center"/>
          </w:tcPr>
          <w:p w14:paraId="625C417B" w14:textId="77777777" w:rsidR="00725977" w:rsidRPr="00D4309F" w:rsidRDefault="00725977" w:rsidP="004C00ED">
            <w:pPr>
              <w:pStyle w:val="Table-Bullet"/>
            </w:pPr>
            <w:r w:rsidRPr="00D4309F">
              <w:rPr>
                <w:spacing w:val="-4"/>
              </w:rPr>
              <w:t>None</w:t>
            </w:r>
          </w:p>
        </w:tc>
      </w:tr>
      <w:tr w:rsidR="007B7D3D" w:rsidRPr="00D4309F" w14:paraId="16F4BBC6" w14:textId="77777777" w:rsidTr="004C00ED">
        <w:trPr>
          <w:cantSplit/>
          <w:trHeight w:val="20"/>
        </w:trPr>
        <w:tc>
          <w:tcPr>
            <w:tcW w:w="465" w:type="pct"/>
            <w:tcBorders>
              <w:top w:val="single" w:sz="4" w:space="0" w:color="000000"/>
              <w:bottom w:val="single" w:sz="4" w:space="0" w:color="000000"/>
            </w:tcBorders>
            <w:vAlign w:val="center"/>
          </w:tcPr>
          <w:p w14:paraId="744021CF" w14:textId="77777777" w:rsidR="00725977" w:rsidRPr="00D4309F" w:rsidRDefault="00725977" w:rsidP="004C00ED">
            <w:pPr>
              <w:pStyle w:val="Table-Text"/>
            </w:pPr>
            <w:r w:rsidRPr="00D4309F">
              <w:lastRenderedPageBreak/>
              <w:t>Marine environmental quality</w:t>
            </w:r>
          </w:p>
        </w:tc>
        <w:tc>
          <w:tcPr>
            <w:tcW w:w="490" w:type="pct"/>
            <w:tcBorders>
              <w:top w:val="single" w:sz="4" w:space="0" w:color="000000"/>
              <w:bottom w:val="single" w:sz="4" w:space="0" w:color="000000"/>
            </w:tcBorders>
            <w:vAlign w:val="center"/>
          </w:tcPr>
          <w:p w14:paraId="5B5DEFD1" w14:textId="77777777" w:rsidR="00725977" w:rsidRPr="00D4309F" w:rsidRDefault="00725977" w:rsidP="004C00ED">
            <w:pPr>
              <w:pStyle w:val="Table-Text"/>
            </w:pPr>
            <w:r w:rsidRPr="00D4309F">
              <w:t>Water quality</w:t>
            </w:r>
          </w:p>
        </w:tc>
        <w:tc>
          <w:tcPr>
            <w:tcW w:w="1073" w:type="pct"/>
            <w:tcBorders>
              <w:top w:val="single" w:sz="4" w:space="0" w:color="000000"/>
              <w:bottom w:val="single" w:sz="4" w:space="0" w:color="000000"/>
            </w:tcBorders>
            <w:vAlign w:val="center"/>
          </w:tcPr>
          <w:p w14:paraId="740FC5BA" w14:textId="20C19BE4" w:rsidR="00725977" w:rsidRPr="00D4309F" w:rsidRDefault="004C00ED" w:rsidP="004C00ED">
            <w:pPr>
              <w:pStyle w:val="Table-Bullet"/>
            </w:pPr>
            <w:r>
              <w:t>Hy</w:t>
            </w:r>
            <w:r w:rsidRPr="00D4309F">
              <w:t>drocarbon</w:t>
            </w:r>
            <w:r w:rsidR="00725977" w:rsidRPr="00D4309F">
              <w:rPr>
                <w:spacing w:val="-5"/>
              </w:rPr>
              <w:t xml:space="preserve"> </w:t>
            </w:r>
            <w:r w:rsidR="00725977" w:rsidRPr="00D4309F">
              <w:rPr>
                <w:spacing w:val="-2"/>
              </w:rPr>
              <w:t>spills/waste</w:t>
            </w:r>
          </w:p>
        </w:tc>
        <w:tc>
          <w:tcPr>
            <w:tcW w:w="518" w:type="pct"/>
            <w:tcBorders>
              <w:top w:val="single" w:sz="4" w:space="0" w:color="000000"/>
              <w:bottom w:val="single" w:sz="4" w:space="0" w:color="000000"/>
            </w:tcBorders>
            <w:shd w:val="clear" w:color="auto" w:fill="92D050"/>
            <w:vAlign w:val="center"/>
          </w:tcPr>
          <w:p w14:paraId="4AE7628E" w14:textId="77777777" w:rsidR="00725977" w:rsidRPr="007B7D3D" w:rsidRDefault="00725977" w:rsidP="004C00ED">
            <w:pPr>
              <w:pStyle w:val="Table-Text"/>
              <w:rPr>
                <w:b/>
                <w:bCs/>
              </w:rPr>
            </w:pPr>
            <w:r w:rsidRPr="007B7D3D">
              <w:rPr>
                <w:b/>
                <w:bCs/>
                <w:spacing w:val="-5"/>
              </w:rPr>
              <w:t>Low</w:t>
            </w:r>
          </w:p>
        </w:tc>
        <w:tc>
          <w:tcPr>
            <w:tcW w:w="978" w:type="pct"/>
            <w:tcBorders>
              <w:top w:val="single" w:sz="4" w:space="0" w:color="000000"/>
              <w:bottom w:val="single" w:sz="4" w:space="0" w:color="000000"/>
            </w:tcBorders>
            <w:vAlign w:val="center"/>
          </w:tcPr>
          <w:p w14:paraId="29BCB8CE" w14:textId="77777777" w:rsidR="00725977" w:rsidRPr="00D4309F" w:rsidRDefault="00725977" w:rsidP="004C00ED">
            <w:pPr>
              <w:pStyle w:val="Table-Bullet"/>
            </w:pPr>
            <w:r w:rsidRPr="00D4309F">
              <w:t>Compliance with standard procedures</w:t>
            </w:r>
            <w:r w:rsidRPr="00D4309F">
              <w:rPr>
                <w:spacing w:val="-13"/>
              </w:rPr>
              <w:t xml:space="preserve"> </w:t>
            </w:r>
            <w:r w:rsidRPr="00D4309F">
              <w:t>will</w:t>
            </w:r>
            <w:r w:rsidRPr="00D4309F">
              <w:rPr>
                <w:spacing w:val="-12"/>
              </w:rPr>
              <w:t xml:space="preserve"> </w:t>
            </w:r>
            <w:r w:rsidRPr="00D4309F">
              <w:t>minimise</w:t>
            </w:r>
            <w:r w:rsidRPr="00D4309F">
              <w:rPr>
                <w:spacing w:val="-13"/>
              </w:rPr>
              <w:t xml:space="preserve"> </w:t>
            </w:r>
            <w:r w:rsidRPr="00D4309F">
              <w:t xml:space="preserve">this </w:t>
            </w:r>
            <w:r w:rsidRPr="00D4309F">
              <w:rPr>
                <w:spacing w:val="-4"/>
              </w:rPr>
              <w:t>risk</w:t>
            </w:r>
          </w:p>
        </w:tc>
        <w:tc>
          <w:tcPr>
            <w:tcW w:w="680" w:type="pct"/>
            <w:tcBorders>
              <w:top w:val="single" w:sz="4" w:space="0" w:color="000000"/>
              <w:bottom w:val="single" w:sz="4" w:space="0" w:color="000000"/>
            </w:tcBorders>
            <w:vAlign w:val="center"/>
          </w:tcPr>
          <w:p w14:paraId="5515B448" w14:textId="77777777" w:rsidR="00725977" w:rsidRPr="00D4309F" w:rsidRDefault="00725977" w:rsidP="004C00ED">
            <w:pPr>
              <w:pStyle w:val="Table-Bullet"/>
            </w:pPr>
            <w:r w:rsidRPr="00D4309F">
              <w:rPr>
                <w:spacing w:val="-4"/>
              </w:rPr>
              <w:t>None</w:t>
            </w:r>
          </w:p>
        </w:tc>
        <w:tc>
          <w:tcPr>
            <w:tcW w:w="796" w:type="pct"/>
            <w:tcBorders>
              <w:top w:val="single" w:sz="4" w:space="0" w:color="000000"/>
              <w:bottom w:val="single" w:sz="4" w:space="0" w:color="000000"/>
            </w:tcBorders>
            <w:vAlign w:val="center"/>
          </w:tcPr>
          <w:p w14:paraId="3CB215A2" w14:textId="77777777" w:rsidR="00725977" w:rsidRPr="00D4309F" w:rsidRDefault="00725977" w:rsidP="004C00ED">
            <w:pPr>
              <w:pStyle w:val="Table-Bullet"/>
            </w:pPr>
            <w:r w:rsidRPr="00D4309F">
              <w:t>Standard</w:t>
            </w:r>
            <w:r w:rsidRPr="00D4309F">
              <w:rPr>
                <w:spacing w:val="-13"/>
              </w:rPr>
              <w:t xml:space="preserve"> </w:t>
            </w:r>
            <w:r w:rsidRPr="00D4309F">
              <w:t>oil</w:t>
            </w:r>
            <w:r w:rsidRPr="00D4309F">
              <w:rPr>
                <w:spacing w:val="-12"/>
              </w:rPr>
              <w:t xml:space="preserve"> </w:t>
            </w:r>
            <w:r w:rsidRPr="00D4309F">
              <w:t>spill</w:t>
            </w:r>
            <w:r w:rsidRPr="00D4309F">
              <w:rPr>
                <w:spacing w:val="-13"/>
              </w:rPr>
              <w:t xml:space="preserve"> </w:t>
            </w:r>
            <w:r w:rsidRPr="00D4309F">
              <w:t>and waste procedures</w:t>
            </w:r>
          </w:p>
        </w:tc>
      </w:tr>
      <w:tr w:rsidR="007B7D3D" w:rsidRPr="00D4309F" w14:paraId="3C3BA831" w14:textId="77777777" w:rsidTr="004C00ED">
        <w:trPr>
          <w:cantSplit/>
          <w:trHeight w:val="20"/>
        </w:trPr>
        <w:tc>
          <w:tcPr>
            <w:tcW w:w="465" w:type="pct"/>
            <w:tcBorders>
              <w:top w:val="single" w:sz="4" w:space="0" w:color="000000"/>
              <w:bottom w:val="single" w:sz="4" w:space="0" w:color="000000"/>
            </w:tcBorders>
            <w:vAlign w:val="center"/>
          </w:tcPr>
          <w:p w14:paraId="7B7181E4" w14:textId="4D0B44AE" w:rsidR="007B7D3D" w:rsidRPr="00D4309F" w:rsidRDefault="007B7D3D" w:rsidP="004C00ED">
            <w:pPr>
              <w:pStyle w:val="Table-Text"/>
            </w:pPr>
            <w:r w:rsidRPr="00D4309F">
              <w:t>Marine environmental quality</w:t>
            </w:r>
          </w:p>
        </w:tc>
        <w:tc>
          <w:tcPr>
            <w:tcW w:w="490" w:type="pct"/>
            <w:tcBorders>
              <w:top w:val="single" w:sz="4" w:space="0" w:color="000000"/>
              <w:bottom w:val="single" w:sz="4" w:space="0" w:color="000000"/>
            </w:tcBorders>
            <w:vAlign w:val="center"/>
          </w:tcPr>
          <w:p w14:paraId="4C90F2E6" w14:textId="4456B2F5" w:rsidR="007B7D3D" w:rsidRPr="00D4309F" w:rsidRDefault="007B7D3D" w:rsidP="004C00ED">
            <w:pPr>
              <w:pStyle w:val="Table-Text"/>
            </w:pPr>
            <w:r w:rsidRPr="00D4309F">
              <w:t>Water quality</w:t>
            </w:r>
          </w:p>
        </w:tc>
        <w:tc>
          <w:tcPr>
            <w:tcW w:w="1073" w:type="pct"/>
            <w:tcBorders>
              <w:top w:val="single" w:sz="4" w:space="0" w:color="000000"/>
              <w:bottom w:val="single" w:sz="4" w:space="0" w:color="000000"/>
            </w:tcBorders>
            <w:vAlign w:val="center"/>
          </w:tcPr>
          <w:p w14:paraId="6FC3511F" w14:textId="4D1C427C" w:rsidR="007B7D3D" w:rsidRPr="00D4309F" w:rsidRDefault="007B7D3D" w:rsidP="004C00ED">
            <w:pPr>
              <w:pStyle w:val="Table-Bullet"/>
            </w:pPr>
            <w:r w:rsidRPr="00D4309F">
              <w:t>Introduced</w:t>
            </w:r>
            <w:r w:rsidRPr="00D4309F">
              <w:rPr>
                <w:spacing w:val="-4"/>
              </w:rPr>
              <w:t xml:space="preserve"> </w:t>
            </w:r>
            <w:r w:rsidRPr="00D4309F">
              <w:t>marine</w:t>
            </w:r>
            <w:r w:rsidRPr="00D4309F">
              <w:rPr>
                <w:spacing w:val="-4"/>
              </w:rPr>
              <w:t xml:space="preserve"> </w:t>
            </w:r>
            <w:r w:rsidRPr="00D4309F">
              <w:rPr>
                <w:spacing w:val="-2"/>
              </w:rPr>
              <w:t>species</w:t>
            </w:r>
          </w:p>
        </w:tc>
        <w:tc>
          <w:tcPr>
            <w:tcW w:w="518" w:type="pct"/>
            <w:tcBorders>
              <w:top w:val="single" w:sz="4" w:space="0" w:color="000000"/>
              <w:bottom w:val="single" w:sz="4" w:space="0" w:color="000000"/>
            </w:tcBorders>
            <w:shd w:val="clear" w:color="auto" w:fill="92D050"/>
            <w:vAlign w:val="center"/>
          </w:tcPr>
          <w:p w14:paraId="330BFDDC" w14:textId="502F74F3" w:rsidR="007B7D3D" w:rsidRPr="007B7D3D" w:rsidRDefault="007B7D3D" w:rsidP="004C00ED">
            <w:pPr>
              <w:pStyle w:val="Table-Text"/>
              <w:rPr>
                <w:b/>
                <w:bCs/>
                <w:spacing w:val="-5"/>
              </w:rPr>
            </w:pPr>
            <w:r w:rsidRPr="007B7D3D">
              <w:rPr>
                <w:b/>
                <w:bCs/>
                <w:spacing w:val="-5"/>
              </w:rPr>
              <w:t>Low</w:t>
            </w:r>
          </w:p>
        </w:tc>
        <w:tc>
          <w:tcPr>
            <w:tcW w:w="978" w:type="pct"/>
            <w:tcBorders>
              <w:top w:val="single" w:sz="4" w:space="0" w:color="000000"/>
              <w:bottom w:val="single" w:sz="4" w:space="0" w:color="000000"/>
            </w:tcBorders>
            <w:vAlign w:val="center"/>
          </w:tcPr>
          <w:p w14:paraId="6E16B477" w14:textId="47A66951" w:rsidR="007B7D3D" w:rsidRPr="00D4309F" w:rsidRDefault="007B7D3D" w:rsidP="004C00ED">
            <w:pPr>
              <w:pStyle w:val="Table-Bullet"/>
            </w:pPr>
            <w:r w:rsidRPr="00D4309F">
              <w:t>Compliance with standard procedures</w:t>
            </w:r>
            <w:r w:rsidRPr="00D4309F">
              <w:rPr>
                <w:spacing w:val="-13"/>
              </w:rPr>
              <w:t xml:space="preserve"> </w:t>
            </w:r>
            <w:r w:rsidRPr="00D4309F">
              <w:t>will</w:t>
            </w:r>
            <w:r w:rsidRPr="00D4309F">
              <w:rPr>
                <w:spacing w:val="-12"/>
              </w:rPr>
              <w:t xml:space="preserve"> </w:t>
            </w:r>
            <w:r w:rsidRPr="00D4309F">
              <w:t>minimise</w:t>
            </w:r>
            <w:r w:rsidRPr="00D4309F">
              <w:rPr>
                <w:spacing w:val="-13"/>
              </w:rPr>
              <w:t xml:space="preserve"> </w:t>
            </w:r>
            <w:r w:rsidRPr="00D4309F">
              <w:t xml:space="preserve">this </w:t>
            </w:r>
            <w:r w:rsidRPr="00D4309F">
              <w:rPr>
                <w:spacing w:val="-4"/>
              </w:rPr>
              <w:t>risk</w:t>
            </w:r>
          </w:p>
        </w:tc>
        <w:tc>
          <w:tcPr>
            <w:tcW w:w="680" w:type="pct"/>
            <w:tcBorders>
              <w:top w:val="single" w:sz="4" w:space="0" w:color="000000"/>
              <w:bottom w:val="single" w:sz="4" w:space="0" w:color="000000"/>
            </w:tcBorders>
            <w:vAlign w:val="center"/>
          </w:tcPr>
          <w:p w14:paraId="7816275F" w14:textId="56231680" w:rsidR="007B7D3D" w:rsidRPr="00D4309F" w:rsidRDefault="007B7D3D" w:rsidP="004C00ED">
            <w:pPr>
              <w:pStyle w:val="Table-Bullet"/>
              <w:rPr>
                <w:spacing w:val="-4"/>
              </w:rPr>
            </w:pPr>
            <w:r w:rsidRPr="00D4309F">
              <w:rPr>
                <w:spacing w:val="-4"/>
              </w:rPr>
              <w:t>None</w:t>
            </w:r>
          </w:p>
        </w:tc>
        <w:tc>
          <w:tcPr>
            <w:tcW w:w="796" w:type="pct"/>
            <w:tcBorders>
              <w:top w:val="single" w:sz="4" w:space="0" w:color="000000"/>
              <w:bottom w:val="single" w:sz="4" w:space="0" w:color="000000"/>
            </w:tcBorders>
            <w:vAlign w:val="center"/>
          </w:tcPr>
          <w:p w14:paraId="04F16851" w14:textId="1B2310AF" w:rsidR="007B7D3D" w:rsidRPr="00D4309F" w:rsidRDefault="007B7D3D" w:rsidP="004C00ED">
            <w:pPr>
              <w:pStyle w:val="Table-Bullet"/>
            </w:pPr>
            <w:r w:rsidRPr="00D4309F">
              <w:t xml:space="preserve">Compliance with standard state and </w:t>
            </w:r>
            <w:r w:rsidRPr="00D4309F">
              <w:rPr>
                <w:spacing w:val="-2"/>
              </w:rPr>
              <w:t xml:space="preserve">commonwealth </w:t>
            </w:r>
            <w:r w:rsidRPr="00D4309F">
              <w:t>procedures</w:t>
            </w:r>
            <w:r w:rsidRPr="00D4309F">
              <w:rPr>
                <w:spacing w:val="-13"/>
              </w:rPr>
              <w:t xml:space="preserve"> </w:t>
            </w:r>
            <w:r w:rsidRPr="00D4309F">
              <w:t xml:space="preserve">regarding </w:t>
            </w:r>
            <w:r w:rsidRPr="00D4309F">
              <w:rPr>
                <w:spacing w:val="-4"/>
              </w:rPr>
              <w:t>IMS</w:t>
            </w:r>
          </w:p>
        </w:tc>
      </w:tr>
      <w:tr w:rsidR="007B7D3D" w:rsidRPr="00D4309F" w14:paraId="2D44A891" w14:textId="77777777" w:rsidTr="004C00ED">
        <w:trPr>
          <w:cantSplit/>
          <w:trHeight w:val="20"/>
        </w:trPr>
        <w:tc>
          <w:tcPr>
            <w:tcW w:w="465" w:type="pct"/>
            <w:tcBorders>
              <w:top w:val="single" w:sz="4" w:space="0" w:color="000000"/>
              <w:bottom w:val="single" w:sz="4" w:space="0" w:color="000000"/>
            </w:tcBorders>
            <w:vAlign w:val="center"/>
          </w:tcPr>
          <w:p w14:paraId="137DA4BB" w14:textId="2B43B76F" w:rsidR="007B7D3D" w:rsidRPr="00D4309F" w:rsidRDefault="007B7D3D" w:rsidP="004C00ED">
            <w:pPr>
              <w:pStyle w:val="Table-Text"/>
            </w:pPr>
            <w:r w:rsidRPr="00D4309F">
              <w:t>Marine</w:t>
            </w:r>
            <w:r w:rsidRPr="00D4309F">
              <w:rPr>
                <w:spacing w:val="-4"/>
              </w:rPr>
              <w:t xml:space="preserve"> </w:t>
            </w:r>
            <w:r w:rsidRPr="00D4309F">
              <w:t>fauna</w:t>
            </w:r>
          </w:p>
        </w:tc>
        <w:tc>
          <w:tcPr>
            <w:tcW w:w="490" w:type="pct"/>
            <w:tcBorders>
              <w:top w:val="single" w:sz="4" w:space="0" w:color="000000"/>
              <w:bottom w:val="single" w:sz="4" w:space="0" w:color="000000"/>
            </w:tcBorders>
            <w:vAlign w:val="center"/>
          </w:tcPr>
          <w:p w14:paraId="56254611" w14:textId="5FE0D718" w:rsidR="007B7D3D" w:rsidRPr="00D4309F" w:rsidRDefault="007B7D3D" w:rsidP="004C00ED">
            <w:pPr>
              <w:pStyle w:val="Table-Text"/>
            </w:pPr>
            <w:r w:rsidRPr="00D4309F">
              <w:t>Turtles</w:t>
            </w:r>
          </w:p>
        </w:tc>
        <w:tc>
          <w:tcPr>
            <w:tcW w:w="1073" w:type="pct"/>
            <w:tcBorders>
              <w:top w:val="single" w:sz="4" w:space="0" w:color="000000"/>
              <w:bottom w:val="single" w:sz="4" w:space="0" w:color="000000"/>
            </w:tcBorders>
            <w:vAlign w:val="center"/>
          </w:tcPr>
          <w:p w14:paraId="4FA88F48" w14:textId="77777777" w:rsidR="007B7D3D" w:rsidRPr="00D4309F" w:rsidRDefault="007B7D3D" w:rsidP="004C00ED">
            <w:pPr>
              <w:pStyle w:val="Table-Bullet"/>
            </w:pPr>
            <w:r w:rsidRPr="00D4309F">
              <w:t>Behavioural</w:t>
            </w:r>
            <w:r w:rsidRPr="00D4309F">
              <w:rPr>
                <w:spacing w:val="-15"/>
              </w:rPr>
              <w:t xml:space="preserve"> </w:t>
            </w:r>
            <w:r w:rsidRPr="00D4309F">
              <w:t>response</w:t>
            </w:r>
            <w:r w:rsidRPr="00D4309F">
              <w:rPr>
                <w:spacing w:val="-12"/>
              </w:rPr>
              <w:t xml:space="preserve"> </w:t>
            </w:r>
            <w:r w:rsidRPr="00D4309F">
              <w:t>and interruption of nesting behaviour due to light</w:t>
            </w:r>
          </w:p>
          <w:p w14:paraId="108D95A6" w14:textId="77777777" w:rsidR="007B7D3D" w:rsidRPr="00D4309F" w:rsidRDefault="007B7D3D" w:rsidP="004C00ED">
            <w:pPr>
              <w:pStyle w:val="Table-Bullet"/>
            </w:pPr>
            <w:r w:rsidRPr="00D4309F">
              <w:t>Mortality/injury</w:t>
            </w:r>
            <w:r w:rsidRPr="00D4309F">
              <w:rPr>
                <w:spacing w:val="-9"/>
              </w:rPr>
              <w:t xml:space="preserve"> </w:t>
            </w:r>
            <w:r w:rsidRPr="00D4309F">
              <w:t>due</w:t>
            </w:r>
            <w:r w:rsidRPr="00D4309F">
              <w:rPr>
                <w:spacing w:val="-11"/>
              </w:rPr>
              <w:t xml:space="preserve"> </w:t>
            </w:r>
            <w:r w:rsidRPr="00D4309F">
              <w:t>to</w:t>
            </w:r>
            <w:r w:rsidRPr="00D4309F">
              <w:rPr>
                <w:spacing w:val="-11"/>
              </w:rPr>
              <w:t xml:space="preserve"> </w:t>
            </w:r>
            <w:r w:rsidRPr="00D4309F">
              <w:t>plant</w:t>
            </w:r>
            <w:r w:rsidRPr="00D4309F">
              <w:rPr>
                <w:spacing w:val="-10"/>
              </w:rPr>
              <w:t xml:space="preserve"> </w:t>
            </w:r>
            <w:r w:rsidRPr="00D4309F">
              <w:t>and vehicle movement during construction and maintenance</w:t>
            </w:r>
          </w:p>
          <w:p w14:paraId="22B2C8A3" w14:textId="77777777" w:rsidR="007B7D3D" w:rsidRPr="00D4309F" w:rsidRDefault="007B7D3D" w:rsidP="004C00ED">
            <w:pPr>
              <w:pStyle w:val="Table-Bullet"/>
            </w:pPr>
            <w:r w:rsidRPr="00D4309F">
              <w:t>Mortality/injury due to entrainment</w:t>
            </w:r>
            <w:r w:rsidRPr="00D4309F">
              <w:rPr>
                <w:spacing w:val="-15"/>
              </w:rPr>
              <w:t xml:space="preserve"> </w:t>
            </w:r>
            <w:r w:rsidRPr="00D4309F">
              <w:t>in</w:t>
            </w:r>
            <w:r w:rsidRPr="00D4309F">
              <w:rPr>
                <w:spacing w:val="-12"/>
              </w:rPr>
              <w:t xml:space="preserve"> </w:t>
            </w:r>
            <w:r w:rsidRPr="00D4309F">
              <w:t xml:space="preserve">bypassing </w:t>
            </w:r>
            <w:r w:rsidRPr="00D4309F">
              <w:rPr>
                <w:spacing w:val="-2"/>
              </w:rPr>
              <w:t>equipment</w:t>
            </w:r>
          </w:p>
          <w:p w14:paraId="6EFDD37D" w14:textId="3FC7EC0F" w:rsidR="007B7D3D" w:rsidRPr="00D4309F" w:rsidRDefault="007B7D3D" w:rsidP="004C00ED">
            <w:pPr>
              <w:pStyle w:val="Table-Bullet"/>
            </w:pPr>
            <w:r w:rsidRPr="00D4309F">
              <w:t>Disturbance</w:t>
            </w:r>
            <w:r w:rsidRPr="00D4309F">
              <w:rPr>
                <w:spacing w:val="-4"/>
              </w:rPr>
              <w:t xml:space="preserve"> </w:t>
            </w:r>
            <w:r w:rsidRPr="00D4309F">
              <w:t>of</w:t>
            </w:r>
            <w:r w:rsidRPr="00D4309F">
              <w:rPr>
                <w:spacing w:val="-2"/>
              </w:rPr>
              <w:t xml:space="preserve"> </w:t>
            </w:r>
            <w:r w:rsidRPr="00D4309F">
              <w:t>habitat</w:t>
            </w:r>
            <w:r w:rsidRPr="00D4309F">
              <w:rPr>
                <w:spacing w:val="-3"/>
              </w:rPr>
              <w:t xml:space="preserve"> </w:t>
            </w:r>
            <w:r w:rsidRPr="00D4309F">
              <w:t>during sediment</w:t>
            </w:r>
            <w:r w:rsidRPr="00D4309F">
              <w:rPr>
                <w:spacing w:val="-13"/>
              </w:rPr>
              <w:t xml:space="preserve"> </w:t>
            </w:r>
            <w:r w:rsidRPr="00D4309F">
              <w:t>disposal</w:t>
            </w:r>
            <w:r w:rsidRPr="00D4309F">
              <w:rPr>
                <w:spacing w:val="-12"/>
              </w:rPr>
              <w:t xml:space="preserve"> </w:t>
            </w:r>
            <w:r w:rsidRPr="00D4309F">
              <w:t>and</w:t>
            </w:r>
            <w:r w:rsidRPr="00D4309F">
              <w:rPr>
                <w:spacing w:val="-13"/>
              </w:rPr>
              <w:t xml:space="preserve"> </w:t>
            </w:r>
            <w:r w:rsidRPr="00D4309F">
              <w:t xml:space="preserve">beach </w:t>
            </w:r>
            <w:r w:rsidRPr="00D4309F">
              <w:rPr>
                <w:spacing w:val="-2"/>
              </w:rPr>
              <w:t>reprofiling</w:t>
            </w:r>
          </w:p>
        </w:tc>
        <w:tc>
          <w:tcPr>
            <w:tcW w:w="518" w:type="pct"/>
            <w:tcBorders>
              <w:top w:val="single" w:sz="4" w:space="0" w:color="000000"/>
              <w:bottom w:val="single" w:sz="4" w:space="0" w:color="000000"/>
            </w:tcBorders>
            <w:shd w:val="clear" w:color="auto" w:fill="FFFF00"/>
            <w:vAlign w:val="center"/>
          </w:tcPr>
          <w:p w14:paraId="1AA75008" w14:textId="73B7C2EE" w:rsidR="007B7D3D" w:rsidRPr="007B7D3D" w:rsidRDefault="007B7D3D" w:rsidP="004C00ED">
            <w:pPr>
              <w:pStyle w:val="Table-Text"/>
              <w:rPr>
                <w:b/>
                <w:bCs/>
                <w:spacing w:val="-5"/>
              </w:rPr>
            </w:pPr>
            <w:r w:rsidRPr="007B7D3D">
              <w:rPr>
                <w:b/>
                <w:bCs/>
                <w:spacing w:val="-2"/>
              </w:rPr>
              <w:t>Moderate</w:t>
            </w:r>
          </w:p>
        </w:tc>
        <w:tc>
          <w:tcPr>
            <w:tcW w:w="978" w:type="pct"/>
            <w:tcBorders>
              <w:top w:val="single" w:sz="4" w:space="0" w:color="000000"/>
              <w:bottom w:val="single" w:sz="4" w:space="0" w:color="000000"/>
            </w:tcBorders>
            <w:vAlign w:val="center"/>
          </w:tcPr>
          <w:p w14:paraId="1FB612DB" w14:textId="6BBE093D" w:rsidR="007B7D3D" w:rsidRPr="00D4309F" w:rsidRDefault="007B7D3D" w:rsidP="004C00ED">
            <w:pPr>
              <w:pStyle w:val="Table-Bullet"/>
            </w:pPr>
            <w:r w:rsidRPr="00D4309F">
              <w:t>Several turtle species listed as endangered</w:t>
            </w:r>
            <w:r w:rsidRPr="00D4309F">
              <w:rPr>
                <w:spacing w:val="-4"/>
              </w:rPr>
              <w:t xml:space="preserve"> </w:t>
            </w:r>
            <w:r w:rsidRPr="00D4309F">
              <w:t>or</w:t>
            </w:r>
            <w:r w:rsidRPr="00D4309F">
              <w:rPr>
                <w:spacing w:val="-3"/>
              </w:rPr>
              <w:t xml:space="preserve"> </w:t>
            </w:r>
            <w:r w:rsidRPr="00D4309F">
              <w:t>vulnerable</w:t>
            </w:r>
            <w:r w:rsidRPr="00D4309F">
              <w:rPr>
                <w:spacing w:val="-4"/>
              </w:rPr>
              <w:t xml:space="preserve"> </w:t>
            </w:r>
            <w:r w:rsidRPr="00D4309F">
              <w:t>under the EPBC were identified in the project area with Green (Vulnerable) and Loggerhead (Endangered) turtles known to nest on Buddina and</w:t>
            </w:r>
            <w:r w:rsidRPr="00D4309F">
              <w:rPr>
                <w:spacing w:val="40"/>
              </w:rPr>
              <w:t xml:space="preserve"> </w:t>
            </w:r>
            <w:r w:rsidRPr="00D4309F">
              <w:t>Mooloolaba</w:t>
            </w:r>
            <w:r w:rsidRPr="00D4309F">
              <w:rPr>
                <w:spacing w:val="-15"/>
              </w:rPr>
              <w:t xml:space="preserve"> </w:t>
            </w:r>
            <w:r w:rsidRPr="00D4309F">
              <w:t>beaches.</w:t>
            </w:r>
            <w:r w:rsidRPr="00D4309F">
              <w:rPr>
                <w:spacing w:val="-12"/>
              </w:rPr>
              <w:t xml:space="preserve"> </w:t>
            </w:r>
            <w:r w:rsidRPr="00D4309F">
              <w:t>Therefore, potential impacts need to be managed accordingly.</w:t>
            </w:r>
          </w:p>
        </w:tc>
        <w:tc>
          <w:tcPr>
            <w:tcW w:w="680" w:type="pct"/>
            <w:tcBorders>
              <w:top w:val="single" w:sz="4" w:space="0" w:color="000000"/>
              <w:bottom w:val="single" w:sz="4" w:space="0" w:color="000000"/>
            </w:tcBorders>
            <w:vAlign w:val="center"/>
          </w:tcPr>
          <w:p w14:paraId="74754ED6" w14:textId="77777777" w:rsidR="007B7D3D" w:rsidRPr="00D4309F" w:rsidRDefault="007B7D3D" w:rsidP="004C00ED">
            <w:pPr>
              <w:pStyle w:val="Table-Bullet"/>
            </w:pPr>
            <w:r w:rsidRPr="00D4309F">
              <w:t>Assessment of shoreline</w:t>
            </w:r>
            <w:r w:rsidRPr="00D4309F">
              <w:rPr>
                <w:spacing w:val="-13"/>
              </w:rPr>
              <w:t xml:space="preserve"> </w:t>
            </w:r>
            <w:r w:rsidRPr="00D4309F">
              <w:t>response to works</w:t>
            </w:r>
          </w:p>
          <w:p w14:paraId="26FE2E22" w14:textId="535E5450" w:rsidR="007B7D3D" w:rsidRPr="00D4309F" w:rsidRDefault="007B7D3D" w:rsidP="004C00ED">
            <w:pPr>
              <w:pStyle w:val="Table-Bullet"/>
              <w:rPr>
                <w:spacing w:val="-4"/>
              </w:rPr>
            </w:pPr>
            <w:r w:rsidRPr="00D4309F">
              <w:t>Light</w:t>
            </w:r>
            <w:r w:rsidRPr="00D4309F">
              <w:rPr>
                <w:spacing w:val="-15"/>
              </w:rPr>
              <w:t xml:space="preserve"> </w:t>
            </w:r>
            <w:r w:rsidRPr="00D4309F">
              <w:t>assessment</w:t>
            </w:r>
            <w:r w:rsidRPr="00D4309F">
              <w:rPr>
                <w:spacing w:val="-12"/>
              </w:rPr>
              <w:t xml:space="preserve"> </w:t>
            </w:r>
            <w:r w:rsidRPr="00D4309F">
              <w:t xml:space="preserve">if night works are </w:t>
            </w:r>
            <w:r w:rsidRPr="00D4309F">
              <w:rPr>
                <w:spacing w:val="-2"/>
              </w:rPr>
              <w:t>proposed</w:t>
            </w:r>
          </w:p>
        </w:tc>
        <w:tc>
          <w:tcPr>
            <w:tcW w:w="796" w:type="pct"/>
            <w:tcBorders>
              <w:top w:val="single" w:sz="4" w:space="0" w:color="000000"/>
              <w:bottom w:val="single" w:sz="4" w:space="0" w:color="000000"/>
            </w:tcBorders>
            <w:vAlign w:val="center"/>
          </w:tcPr>
          <w:p w14:paraId="64D5628B" w14:textId="77777777" w:rsidR="007B7D3D" w:rsidRPr="00D4309F" w:rsidRDefault="007B7D3D" w:rsidP="004C00ED">
            <w:pPr>
              <w:pStyle w:val="Table-Bullet"/>
            </w:pPr>
            <w:r w:rsidRPr="00D4309F">
              <w:t>Timing</w:t>
            </w:r>
            <w:r w:rsidRPr="00D4309F">
              <w:rPr>
                <w:spacing w:val="-13"/>
              </w:rPr>
              <w:t xml:space="preserve"> </w:t>
            </w:r>
            <w:r w:rsidRPr="00D4309F">
              <w:t>of</w:t>
            </w:r>
            <w:r w:rsidRPr="00D4309F">
              <w:rPr>
                <w:spacing w:val="-12"/>
              </w:rPr>
              <w:t xml:space="preserve"> </w:t>
            </w:r>
            <w:r w:rsidRPr="00D4309F">
              <w:t>works</w:t>
            </w:r>
            <w:r w:rsidRPr="00D4309F">
              <w:rPr>
                <w:spacing w:val="-13"/>
              </w:rPr>
              <w:t xml:space="preserve"> </w:t>
            </w:r>
            <w:r w:rsidRPr="00D4309F">
              <w:t>outside of</w:t>
            </w:r>
            <w:r w:rsidRPr="00D4309F">
              <w:rPr>
                <w:spacing w:val="-6"/>
              </w:rPr>
              <w:t xml:space="preserve"> </w:t>
            </w:r>
            <w:r w:rsidRPr="00D4309F">
              <w:t>turtle</w:t>
            </w:r>
            <w:r w:rsidRPr="00D4309F">
              <w:rPr>
                <w:spacing w:val="-7"/>
              </w:rPr>
              <w:t xml:space="preserve"> </w:t>
            </w:r>
            <w:r w:rsidRPr="00D4309F">
              <w:t>nesting</w:t>
            </w:r>
            <w:r w:rsidRPr="00D4309F">
              <w:rPr>
                <w:spacing w:val="-7"/>
              </w:rPr>
              <w:t xml:space="preserve"> </w:t>
            </w:r>
            <w:r w:rsidRPr="00D4309F">
              <w:t>periods</w:t>
            </w:r>
          </w:p>
          <w:p w14:paraId="69325465" w14:textId="77777777" w:rsidR="007B7D3D" w:rsidRPr="00D4309F" w:rsidRDefault="007B7D3D" w:rsidP="004C00ED">
            <w:pPr>
              <w:pStyle w:val="Table-Bullet"/>
            </w:pPr>
            <w:r w:rsidRPr="00D4309F">
              <w:t>Limitation of works to daylight hours or if necessary,</w:t>
            </w:r>
            <w:r w:rsidRPr="00D4309F">
              <w:rPr>
                <w:spacing w:val="-15"/>
              </w:rPr>
              <w:t xml:space="preserve"> </w:t>
            </w:r>
            <w:r w:rsidRPr="00D4309F">
              <w:t>standard</w:t>
            </w:r>
            <w:r w:rsidRPr="00D4309F">
              <w:rPr>
                <w:spacing w:val="-12"/>
              </w:rPr>
              <w:t xml:space="preserve"> </w:t>
            </w:r>
            <w:r w:rsidRPr="00D4309F">
              <w:t>light mitigation procedures</w:t>
            </w:r>
          </w:p>
          <w:p w14:paraId="4ADCA818" w14:textId="77777777" w:rsidR="007B7D3D" w:rsidRPr="00D4309F" w:rsidRDefault="007B7D3D" w:rsidP="004C00ED">
            <w:pPr>
              <w:pStyle w:val="Table-Bullet"/>
            </w:pPr>
            <w:r w:rsidRPr="00D4309F">
              <w:t>Design to minimise disturbance of turtle habitat</w:t>
            </w:r>
            <w:r w:rsidRPr="00D4309F">
              <w:rPr>
                <w:spacing w:val="-13"/>
              </w:rPr>
              <w:t xml:space="preserve"> </w:t>
            </w:r>
            <w:r w:rsidRPr="00D4309F">
              <w:t>and</w:t>
            </w:r>
            <w:r w:rsidRPr="00D4309F">
              <w:rPr>
                <w:spacing w:val="-12"/>
              </w:rPr>
              <w:t xml:space="preserve"> </w:t>
            </w:r>
            <w:r w:rsidRPr="00D4309F">
              <w:t>to</w:t>
            </w:r>
            <w:r w:rsidRPr="00D4309F">
              <w:rPr>
                <w:spacing w:val="-13"/>
              </w:rPr>
              <w:t xml:space="preserve"> </w:t>
            </w:r>
            <w:r w:rsidRPr="00D4309F">
              <w:t>maintain the beach profile</w:t>
            </w:r>
          </w:p>
          <w:p w14:paraId="0E296ECC" w14:textId="77777777" w:rsidR="007B7D3D" w:rsidRPr="00D4309F" w:rsidRDefault="007B7D3D" w:rsidP="004C00ED">
            <w:pPr>
              <w:pStyle w:val="Table-Bullet"/>
            </w:pPr>
            <w:r w:rsidRPr="00D4309F">
              <w:t>Standard marine fauna mitigation</w:t>
            </w:r>
            <w:r w:rsidRPr="00D4309F">
              <w:rPr>
                <w:spacing w:val="-15"/>
              </w:rPr>
              <w:t xml:space="preserve"> </w:t>
            </w:r>
            <w:r w:rsidRPr="00D4309F">
              <w:t>practices</w:t>
            </w:r>
            <w:r w:rsidRPr="00D4309F">
              <w:rPr>
                <w:spacing w:val="-12"/>
              </w:rPr>
              <w:t xml:space="preserve"> </w:t>
            </w:r>
            <w:r w:rsidRPr="00D4309F">
              <w:t>e.g. marine</w:t>
            </w:r>
            <w:r w:rsidRPr="00D4309F">
              <w:rPr>
                <w:spacing w:val="-15"/>
              </w:rPr>
              <w:t xml:space="preserve"> </w:t>
            </w:r>
            <w:r w:rsidRPr="00D4309F">
              <w:t>fauna</w:t>
            </w:r>
            <w:r w:rsidRPr="00D4309F">
              <w:rPr>
                <w:spacing w:val="-12"/>
              </w:rPr>
              <w:t xml:space="preserve"> </w:t>
            </w:r>
            <w:r w:rsidRPr="00D4309F">
              <w:t>observers and exclusion zones</w:t>
            </w:r>
          </w:p>
          <w:p w14:paraId="668C45EC" w14:textId="77777777" w:rsidR="007B7D3D" w:rsidRPr="00D4309F" w:rsidRDefault="007B7D3D" w:rsidP="004C00ED">
            <w:pPr>
              <w:pStyle w:val="Table-Bullet"/>
            </w:pPr>
            <w:r w:rsidRPr="00D4309F">
              <w:t>Turtle guards on bypassing</w:t>
            </w:r>
            <w:r w:rsidRPr="00D4309F">
              <w:rPr>
                <w:spacing w:val="-13"/>
              </w:rPr>
              <w:t xml:space="preserve"> </w:t>
            </w:r>
            <w:r w:rsidRPr="00D4309F">
              <w:t>equipment</w:t>
            </w:r>
          </w:p>
          <w:p w14:paraId="2E636952" w14:textId="77777777" w:rsidR="007B7D3D" w:rsidRPr="00D4309F" w:rsidRDefault="007B7D3D" w:rsidP="004C00ED">
            <w:pPr>
              <w:pStyle w:val="Table-Bullet"/>
            </w:pPr>
            <w:r w:rsidRPr="00D4309F">
              <w:rPr>
                <w:spacing w:val="-2"/>
              </w:rPr>
              <w:t>Appropriate</w:t>
            </w:r>
            <w:r w:rsidRPr="00D4309F">
              <w:rPr>
                <w:spacing w:val="80"/>
              </w:rPr>
              <w:t xml:space="preserve"> </w:t>
            </w:r>
            <w:r w:rsidRPr="00D4309F">
              <w:t>management</w:t>
            </w:r>
            <w:r w:rsidRPr="00D4309F">
              <w:rPr>
                <w:spacing w:val="-15"/>
              </w:rPr>
              <w:t xml:space="preserve"> </w:t>
            </w:r>
            <w:r w:rsidRPr="00D4309F">
              <w:t>for</w:t>
            </w:r>
            <w:r w:rsidRPr="00D4309F">
              <w:rPr>
                <w:spacing w:val="-12"/>
              </w:rPr>
              <w:t xml:space="preserve"> </w:t>
            </w:r>
            <w:r w:rsidRPr="00D4309F">
              <w:t>onshore works e.g. onshore vehicles and plant to operate in designated tracks and areas</w:t>
            </w:r>
          </w:p>
          <w:p w14:paraId="003C8846" w14:textId="36CC288F" w:rsidR="007B7D3D" w:rsidRPr="00D4309F" w:rsidRDefault="007B7D3D" w:rsidP="004C00ED">
            <w:pPr>
              <w:pStyle w:val="Table-Bullet"/>
            </w:pPr>
            <w:r w:rsidRPr="00D4309F">
              <w:t>Beach</w:t>
            </w:r>
            <w:r w:rsidRPr="00D4309F">
              <w:rPr>
                <w:spacing w:val="-4"/>
              </w:rPr>
              <w:t xml:space="preserve"> </w:t>
            </w:r>
            <w:r w:rsidRPr="00D4309F">
              <w:t>profile</w:t>
            </w:r>
            <w:r w:rsidRPr="00D4309F">
              <w:rPr>
                <w:spacing w:val="-3"/>
              </w:rPr>
              <w:t xml:space="preserve"> </w:t>
            </w:r>
            <w:r w:rsidRPr="00D4309F">
              <w:rPr>
                <w:spacing w:val="-2"/>
              </w:rPr>
              <w:t>monitoring</w:t>
            </w:r>
          </w:p>
        </w:tc>
      </w:tr>
      <w:tr w:rsidR="007B7D3D" w:rsidRPr="00D4309F" w14:paraId="6AAF5D5F" w14:textId="77777777" w:rsidTr="004C00ED">
        <w:trPr>
          <w:cantSplit/>
          <w:trHeight w:val="20"/>
        </w:trPr>
        <w:tc>
          <w:tcPr>
            <w:tcW w:w="465" w:type="pct"/>
            <w:tcBorders>
              <w:top w:val="single" w:sz="4" w:space="0" w:color="000000"/>
              <w:bottom w:val="single" w:sz="4" w:space="0" w:color="000000"/>
            </w:tcBorders>
            <w:vAlign w:val="center"/>
          </w:tcPr>
          <w:p w14:paraId="3B4267BC" w14:textId="3CDF514F" w:rsidR="007B7D3D" w:rsidRPr="00D4309F" w:rsidRDefault="007B7D3D" w:rsidP="004C00ED">
            <w:pPr>
              <w:pStyle w:val="Table-Text"/>
            </w:pPr>
            <w:r w:rsidRPr="00D4309F">
              <w:lastRenderedPageBreak/>
              <w:t>Marine</w:t>
            </w:r>
            <w:r w:rsidRPr="00D4309F">
              <w:rPr>
                <w:spacing w:val="-4"/>
              </w:rPr>
              <w:t xml:space="preserve"> </w:t>
            </w:r>
            <w:r w:rsidRPr="00D4309F">
              <w:t>fauna</w:t>
            </w:r>
          </w:p>
        </w:tc>
        <w:tc>
          <w:tcPr>
            <w:tcW w:w="490" w:type="pct"/>
            <w:tcBorders>
              <w:top w:val="single" w:sz="4" w:space="0" w:color="000000"/>
              <w:bottom w:val="single" w:sz="4" w:space="0" w:color="000000"/>
            </w:tcBorders>
            <w:vAlign w:val="center"/>
          </w:tcPr>
          <w:p w14:paraId="7D925E8D" w14:textId="5E3F0988" w:rsidR="007B7D3D" w:rsidRPr="00D4309F" w:rsidRDefault="007B7D3D" w:rsidP="004C00ED">
            <w:pPr>
              <w:pStyle w:val="Table-Text"/>
            </w:pPr>
            <w:r w:rsidRPr="00D4309F">
              <w:t>Marine mammals</w:t>
            </w:r>
          </w:p>
        </w:tc>
        <w:tc>
          <w:tcPr>
            <w:tcW w:w="1073" w:type="pct"/>
            <w:tcBorders>
              <w:top w:val="single" w:sz="4" w:space="0" w:color="000000"/>
              <w:bottom w:val="single" w:sz="4" w:space="0" w:color="000000"/>
            </w:tcBorders>
            <w:vAlign w:val="center"/>
          </w:tcPr>
          <w:p w14:paraId="73423D75" w14:textId="335D8B56" w:rsidR="007B7D3D" w:rsidRPr="00D4309F" w:rsidRDefault="007B7D3D" w:rsidP="004C00ED">
            <w:pPr>
              <w:pStyle w:val="Table-Bullet"/>
            </w:pPr>
            <w:r w:rsidRPr="00D4309F">
              <w:rPr>
                <w:spacing w:val="-2"/>
              </w:rPr>
              <w:t xml:space="preserve">Mortality/injury/behavioural </w:t>
            </w:r>
            <w:r w:rsidRPr="00D4309F">
              <w:t>response due to noise construction</w:t>
            </w:r>
            <w:r w:rsidRPr="00D4309F">
              <w:rPr>
                <w:spacing w:val="-15"/>
              </w:rPr>
              <w:t xml:space="preserve"> </w:t>
            </w:r>
            <w:r w:rsidRPr="00D4309F">
              <w:t>and</w:t>
            </w:r>
            <w:r w:rsidRPr="00D4309F">
              <w:rPr>
                <w:spacing w:val="-12"/>
              </w:rPr>
              <w:t xml:space="preserve"> </w:t>
            </w:r>
            <w:r w:rsidRPr="00D4309F">
              <w:t>bypassing</w:t>
            </w:r>
          </w:p>
        </w:tc>
        <w:tc>
          <w:tcPr>
            <w:tcW w:w="518" w:type="pct"/>
            <w:tcBorders>
              <w:top w:val="single" w:sz="4" w:space="0" w:color="000000"/>
              <w:bottom w:val="single" w:sz="4" w:space="0" w:color="000000"/>
            </w:tcBorders>
            <w:shd w:val="clear" w:color="auto" w:fill="FFC000"/>
            <w:vAlign w:val="center"/>
          </w:tcPr>
          <w:p w14:paraId="4F3CA39E" w14:textId="144E6687" w:rsidR="007B7D3D" w:rsidRPr="007B7D3D" w:rsidRDefault="007B7D3D" w:rsidP="004C00ED">
            <w:pPr>
              <w:pStyle w:val="Table-Text"/>
              <w:rPr>
                <w:b/>
                <w:bCs/>
                <w:spacing w:val="-5"/>
              </w:rPr>
            </w:pPr>
            <w:r w:rsidRPr="007B7D3D">
              <w:rPr>
                <w:b/>
                <w:bCs/>
              </w:rPr>
              <w:t xml:space="preserve">High (for </w:t>
            </w:r>
            <w:r w:rsidRPr="007B7D3D">
              <w:rPr>
                <w:b/>
                <w:bCs/>
                <w:spacing w:val="-2"/>
              </w:rPr>
              <w:t xml:space="preserve">construction </w:t>
            </w:r>
            <w:r w:rsidRPr="007B7D3D">
              <w:rPr>
                <w:b/>
                <w:bCs/>
              </w:rPr>
              <w:t xml:space="preserve">and rock </w:t>
            </w:r>
            <w:r w:rsidRPr="007B7D3D">
              <w:rPr>
                <w:b/>
                <w:bCs/>
                <w:spacing w:val="-2"/>
              </w:rPr>
              <w:t>excavation)</w:t>
            </w:r>
          </w:p>
        </w:tc>
        <w:tc>
          <w:tcPr>
            <w:tcW w:w="978" w:type="pct"/>
            <w:tcBorders>
              <w:top w:val="single" w:sz="4" w:space="0" w:color="000000"/>
              <w:bottom w:val="single" w:sz="4" w:space="0" w:color="000000"/>
            </w:tcBorders>
            <w:vAlign w:val="center"/>
          </w:tcPr>
          <w:p w14:paraId="5CA2F928" w14:textId="77777777" w:rsidR="007B7D3D" w:rsidRPr="00D4309F" w:rsidRDefault="007B7D3D" w:rsidP="004C00ED">
            <w:pPr>
              <w:pStyle w:val="Table-Bullet"/>
            </w:pPr>
            <w:r w:rsidRPr="00D4309F">
              <w:t>Humpback</w:t>
            </w:r>
            <w:r w:rsidRPr="00D4309F">
              <w:rPr>
                <w:spacing w:val="-10"/>
              </w:rPr>
              <w:t xml:space="preserve"> </w:t>
            </w:r>
            <w:r w:rsidRPr="00D4309F">
              <w:t>whales</w:t>
            </w:r>
            <w:r w:rsidRPr="00D4309F">
              <w:rPr>
                <w:spacing w:val="-10"/>
              </w:rPr>
              <w:t xml:space="preserve"> </w:t>
            </w:r>
            <w:r w:rsidRPr="00D4309F">
              <w:t>may</w:t>
            </w:r>
            <w:r w:rsidRPr="00D4309F">
              <w:rPr>
                <w:spacing w:val="-10"/>
              </w:rPr>
              <w:t xml:space="preserve"> </w:t>
            </w:r>
            <w:r w:rsidRPr="00D4309F">
              <w:t>use</w:t>
            </w:r>
            <w:r w:rsidRPr="00D4309F">
              <w:rPr>
                <w:spacing w:val="-11"/>
              </w:rPr>
              <w:t xml:space="preserve"> </w:t>
            </w:r>
            <w:r w:rsidRPr="00D4309F">
              <w:t>the area for resting with calves during their migration period</w:t>
            </w:r>
          </w:p>
          <w:p w14:paraId="733D52D6" w14:textId="77777777" w:rsidR="007B7D3D" w:rsidRPr="00D4309F" w:rsidRDefault="007B7D3D" w:rsidP="004C00ED">
            <w:pPr>
              <w:pStyle w:val="Table-Bullet"/>
            </w:pPr>
            <w:r w:rsidRPr="00D4309F">
              <w:t>Species of dolphins listed as vulnerable</w:t>
            </w:r>
            <w:r w:rsidRPr="00D4309F">
              <w:rPr>
                <w:spacing w:val="-9"/>
              </w:rPr>
              <w:t xml:space="preserve"> </w:t>
            </w:r>
            <w:r w:rsidRPr="00D4309F">
              <w:t>may</w:t>
            </w:r>
            <w:r w:rsidRPr="00D4309F">
              <w:rPr>
                <w:spacing w:val="-7"/>
              </w:rPr>
              <w:t xml:space="preserve"> </w:t>
            </w:r>
            <w:r w:rsidRPr="00D4309F">
              <w:t>also</w:t>
            </w:r>
            <w:r w:rsidRPr="00D4309F">
              <w:rPr>
                <w:spacing w:val="-9"/>
              </w:rPr>
              <w:t xml:space="preserve"> </w:t>
            </w:r>
            <w:r w:rsidRPr="00D4309F">
              <w:t>occur</w:t>
            </w:r>
            <w:r w:rsidRPr="00D4309F">
              <w:rPr>
                <w:spacing w:val="-8"/>
              </w:rPr>
              <w:t xml:space="preserve"> </w:t>
            </w:r>
            <w:r w:rsidRPr="00D4309F">
              <w:t>in</w:t>
            </w:r>
            <w:r w:rsidRPr="00D4309F">
              <w:rPr>
                <w:spacing w:val="-9"/>
              </w:rPr>
              <w:t xml:space="preserve"> </w:t>
            </w:r>
            <w:r w:rsidRPr="00D4309F">
              <w:t>the area and while they tend to move away from noise sources and are at lower risk of injury, the greater level of noise generated from rock cutting requires further assessment</w:t>
            </w:r>
          </w:p>
          <w:p w14:paraId="645DD6D0" w14:textId="129FDDBF" w:rsidR="007B7D3D" w:rsidRPr="00D4309F" w:rsidRDefault="007B7D3D" w:rsidP="004C00ED">
            <w:pPr>
              <w:pStyle w:val="Table-Bullet"/>
            </w:pPr>
            <w:r w:rsidRPr="00D4309F">
              <w:t>Piling</w:t>
            </w:r>
            <w:r w:rsidRPr="00D4309F">
              <w:rPr>
                <w:spacing w:val="-3"/>
              </w:rPr>
              <w:t xml:space="preserve"> </w:t>
            </w:r>
            <w:r w:rsidRPr="00D4309F">
              <w:t>for</w:t>
            </w:r>
            <w:r w:rsidRPr="00D4309F">
              <w:rPr>
                <w:spacing w:val="-2"/>
              </w:rPr>
              <w:t xml:space="preserve"> </w:t>
            </w:r>
            <w:r w:rsidRPr="00D4309F">
              <w:t>jetty</w:t>
            </w:r>
            <w:r w:rsidRPr="00D4309F">
              <w:rPr>
                <w:spacing w:val="-2"/>
              </w:rPr>
              <w:t xml:space="preserve"> </w:t>
            </w:r>
            <w:r w:rsidRPr="00D4309F">
              <w:t>construction</w:t>
            </w:r>
            <w:r w:rsidRPr="00D4309F">
              <w:rPr>
                <w:spacing w:val="-2"/>
              </w:rPr>
              <w:t xml:space="preserve"> </w:t>
            </w:r>
            <w:r w:rsidRPr="00D4309F">
              <w:t>will potentially cause significant impacts,</w:t>
            </w:r>
            <w:r w:rsidRPr="00D4309F">
              <w:rPr>
                <w:spacing w:val="-13"/>
              </w:rPr>
              <w:t xml:space="preserve"> </w:t>
            </w:r>
            <w:r w:rsidRPr="00D4309F">
              <w:t>further</w:t>
            </w:r>
            <w:r w:rsidRPr="00D4309F">
              <w:rPr>
                <w:spacing w:val="-12"/>
              </w:rPr>
              <w:t xml:space="preserve"> </w:t>
            </w:r>
            <w:r w:rsidRPr="00D4309F">
              <w:t>assessment</w:t>
            </w:r>
            <w:r w:rsidRPr="00D4309F">
              <w:rPr>
                <w:spacing w:val="-13"/>
              </w:rPr>
              <w:t xml:space="preserve"> </w:t>
            </w:r>
            <w:r w:rsidRPr="00D4309F">
              <w:t xml:space="preserve">is </w:t>
            </w:r>
            <w:r w:rsidRPr="00D4309F">
              <w:rPr>
                <w:spacing w:val="-2"/>
              </w:rPr>
              <w:t>required</w:t>
            </w:r>
          </w:p>
        </w:tc>
        <w:tc>
          <w:tcPr>
            <w:tcW w:w="680" w:type="pct"/>
            <w:tcBorders>
              <w:top w:val="single" w:sz="4" w:space="0" w:color="000000"/>
              <w:bottom w:val="single" w:sz="4" w:space="0" w:color="000000"/>
            </w:tcBorders>
            <w:vAlign w:val="center"/>
          </w:tcPr>
          <w:p w14:paraId="7F06D169" w14:textId="1A0AA18F" w:rsidR="007B7D3D" w:rsidRPr="00D4309F" w:rsidRDefault="007B7D3D" w:rsidP="004C00ED">
            <w:pPr>
              <w:pStyle w:val="Table-Bullet"/>
              <w:rPr>
                <w:spacing w:val="-4"/>
              </w:rPr>
            </w:pPr>
            <w:r w:rsidRPr="00D4309F">
              <w:t xml:space="preserve">Underwater noise </w:t>
            </w:r>
            <w:r w:rsidRPr="00D4309F">
              <w:rPr>
                <w:spacing w:val="-2"/>
              </w:rPr>
              <w:t xml:space="preserve">assessment </w:t>
            </w:r>
            <w:r w:rsidRPr="00D4309F">
              <w:t>including</w:t>
            </w:r>
            <w:r w:rsidRPr="00D4309F">
              <w:rPr>
                <w:spacing w:val="-13"/>
              </w:rPr>
              <w:t xml:space="preserve"> </w:t>
            </w:r>
            <w:r w:rsidRPr="00D4309F">
              <w:t>modelling</w:t>
            </w:r>
          </w:p>
        </w:tc>
        <w:tc>
          <w:tcPr>
            <w:tcW w:w="796" w:type="pct"/>
            <w:tcBorders>
              <w:top w:val="single" w:sz="4" w:space="0" w:color="000000"/>
              <w:bottom w:val="single" w:sz="4" w:space="0" w:color="000000"/>
            </w:tcBorders>
            <w:vAlign w:val="center"/>
          </w:tcPr>
          <w:p w14:paraId="24E4B521" w14:textId="77777777" w:rsidR="007B7D3D" w:rsidRPr="00D4309F" w:rsidRDefault="007B7D3D" w:rsidP="004C00ED">
            <w:pPr>
              <w:pStyle w:val="Table-Bullet"/>
            </w:pPr>
            <w:r w:rsidRPr="00D4309F">
              <w:t>Timing</w:t>
            </w:r>
            <w:r w:rsidRPr="00D4309F">
              <w:rPr>
                <w:spacing w:val="-13"/>
              </w:rPr>
              <w:t xml:space="preserve"> </w:t>
            </w:r>
            <w:r w:rsidRPr="00D4309F">
              <w:t>of</w:t>
            </w:r>
            <w:r w:rsidRPr="00D4309F">
              <w:rPr>
                <w:spacing w:val="-12"/>
              </w:rPr>
              <w:t xml:space="preserve"> </w:t>
            </w:r>
            <w:r w:rsidRPr="00D4309F">
              <w:t>works</w:t>
            </w:r>
            <w:r w:rsidRPr="00D4309F">
              <w:rPr>
                <w:spacing w:val="-13"/>
              </w:rPr>
              <w:t xml:space="preserve"> </w:t>
            </w:r>
            <w:r w:rsidRPr="00D4309F">
              <w:t xml:space="preserve">outside of whale migration </w:t>
            </w:r>
            <w:r w:rsidRPr="00D4309F">
              <w:rPr>
                <w:spacing w:val="-2"/>
              </w:rPr>
              <w:t>periods</w:t>
            </w:r>
          </w:p>
          <w:p w14:paraId="439C9FE8" w14:textId="75058615" w:rsidR="007B7D3D" w:rsidRPr="00D4309F" w:rsidRDefault="007B7D3D" w:rsidP="004C00ED">
            <w:pPr>
              <w:pStyle w:val="Table-Bullet"/>
            </w:pPr>
            <w:r w:rsidRPr="00D4309F">
              <w:t>Standard marine fauna mitigation</w:t>
            </w:r>
            <w:r w:rsidRPr="00D4309F">
              <w:rPr>
                <w:spacing w:val="-15"/>
              </w:rPr>
              <w:t xml:space="preserve"> </w:t>
            </w:r>
            <w:r w:rsidRPr="00D4309F">
              <w:t>practices</w:t>
            </w:r>
            <w:r w:rsidRPr="00D4309F">
              <w:rPr>
                <w:spacing w:val="-12"/>
              </w:rPr>
              <w:t xml:space="preserve"> </w:t>
            </w:r>
            <w:r w:rsidRPr="00D4309F">
              <w:t>e.g. marine</w:t>
            </w:r>
            <w:r w:rsidRPr="00D4309F">
              <w:rPr>
                <w:spacing w:val="-15"/>
              </w:rPr>
              <w:t xml:space="preserve"> </w:t>
            </w:r>
            <w:r w:rsidRPr="00D4309F">
              <w:t>fauna</w:t>
            </w:r>
            <w:r w:rsidRPr="00D4309F">
              <w:rPr>
                <w:spacing w:val="-12"/>
              </w:rPr>
              <w:t xml:space="preserve"> </w:t>
            </w:r>
            <w:r w:rsidRPr="00D4309F">
              <w:t>observers and exclusion zone</w:t>
            </w:r>
          </w:p>
        </w:tc>
      </w:tr>
      <w:tr w:rsidR="007B7D3D" w:rsidRPr="00D4309F" w14:paraId="6C139E99" w14:textId="77777777" w:rsidTr="004C00ED">
        <w:trPr>
          <w:cantSplit/>
          <w:trHeight w:val="20"/>
        </w:trPr>
        <w:tc>
          <w:tcPr>
            <w:tcW w:w="465" w:type="pct"/>
            <w:tcBorders>
              <w:top w:val="single" w:sz="4" w:space="0" w:color="000000"/>
              <w:bottom w:val="single" w:sz="4" w:space="0" w:color="000000"/>
            </w:tcBorders>
            <w:vAlign w:val="center"/>
          </w:tcPr>
          <w:p w14:paraId="42EB1F07" w14:textId="6FF5BE53" w:rsidR="007B7D3D" w:rsidRPr="00D4309F" w:rsidRDefault="007B7D3D" w:rsidP="004C00ED">
            <w:pPr>
              <w:pStyle w:val="Table-Text"/>
            </w:pPr>
            <w:r w:rsidRPr="00D4309F">
              <w:t>Marine</w:t>
            </w:r>
            <w:r w:rsidRPr="00D4309F">
              <w:rPr>
                <w:spacing w:val="-4"/>
              </w:rPr>
              <w:t xml:space="preserve"> </w:t>
            </w:r>
            <w:r w:rsidRPr="00D4309F">
              <w:t>fauna</w:t>
            </w:r>
          </w:p>
        </w:tc>
        <w:tc>
          <w:tcPr>
            <w:tcW w:w="490" w:type="pct"/>
            <w:tcBorders>
              <w:top w:val="single" w:sz="4" w:space="0" w:color="000000"/>
              <w:bottom w:val="single" w:sz="4" w:space="0" w:color="000000"/>
            </w:tcBorders>
            <w:vAlign w:val="center"/>
          </w:tcPr>
          <w:p w14:paraId="5112390B" w14:textId="4193692B" w:rsidR="007B7D3D" w:rsidRPr="00D4309F" w:rsidRDefault="007B7D3D" w:rsidP="004C00ED">
            <w:pPr>
              <w:pStyle w:val="Table-Text"/>
            </w:pPr>
            <w:r w:rsidRPr="00D4309F">
              <w:t>Roosting Seabirds</w:t>
            </w:r>
          </w:p>
        </w:tc>
        <w:tc>
          <w:tcPr>
            <w:tcW w:w="1073" w:type="pct"/>
            <w:tcBorders>
              <w:top w:val="single" w:sz="4" w:space="0" w:color="000000"/>
              <w:bottom w:val="single" w:sz="4" w:space="0" w:color="000000"/>
            </w:tcBorders>
            <w:vAlign w:val="center"/>
          </w:tcPr>
          <w:p w14:paraId="4F366991" w14:textId="77777777" w:rsidR="007B7D3D" w:rsidRPr="00D4309F" w:rsidRDefault="007B7D3D" w:rsidP="004C00ED">
            <w:pPr>
              <w:pStyle w:val="Table-Bullet"/>
            </w:pPr>
            <w:r w:rsidRPr="00D4309F">
              <w:rPr>
                <w:spacing w:val="-2"/>
              </w:rPr>
              <w:t xml:space="preserve">Mortality/injury/behavioural </w:t>
            </w:r>
            <w:r w:rsidRPr="00D4309F">
              <w:t>response due to noise of construction</w:t>
            </w:r>
            <w:r w:rsidRPr="00D4309F">
              <w:rPr>
                <w:spacing w:val="-15"/>
              </w:rPr>
              <w:t xml:space="preserve"> </w:t>
            </w:r>
            <w:r w:rsidRPr="00D4309F">
              <w:t>and</w:t>
            </w:r>
            <w:r w:rsidRPr="00D4309F">
              <w:rPr>
                <w:spacing w:val="-12"/>
              </w:rPr>
              <w:t xml:space="preserve"> </w:t>
            </w:r>
            <w:r w:rsidRPr="00D4309F">
              <w:t>bypassing</w:t>
            </w:r>
          </w:p>
          <w:p w14:paraId="757CBC6F" w14:textId="77777777" w:rsidR="007B7D3D" w:rsidRPr="00D4309F" w:rsidRDefault="007B7D3D" w:rsidP="004C00ED">
            <w:pPr>
              <w:pStyle w:val="Table-Bullet"/>
            </w:pPr>
            <w:r w:rsidRPr="00D4309F">
              <w:t>Behavioural</w:t>
            </w:r>
            <w:r w:rsidRPr="00D4309F">
              <w:rPr>
                <w:spacing w:val="-15"/>
              </w:rPr>
              <w:t xml:space="preserve"> </w:t>
            </w:r>
            <w:r w:rsidRPr="00D4309F">
              <w:t>response</w:t>
            </w:r>
            <w:r w:rsidRPr="00D4309F">
              <w:rPr>
                <w:spacing w:val="-12"/>
              </w:rPr>
              <w:t xml:space="preserve"> </w:t>
            </w:r>
            <w:r w:rsidRPr="00D4309F">
              <w:t>and interruption of nesting behaviour due to light</w:t>
            </w:r>
          </w:p>
          <w:p w14:paraId="4D55E995" w14:textId="77777777" w:rsidR="007B7D3D" w:rsidRPr="00D4309F" w:rsidRDefault="007B7D3D" w:rsidP="004C00ED">
            <w:pPr>
              <w:pStyle w:val="Table-Bullet"/>
            </w:pPr>
            <w:r w:rsidRPr="00D4309F">
              <w:rPr>
                <w:spacing w:val="-2"/>
              </w:rPr>
              <w:t xml:space="preserve">Mortality/injury/behavioural </w:t>
            </w:r>
            <w:r w:rsidRPr="00D4309F">
              <w:t xml:space="preserve">response due physical </w:t>
            </w:r>
            <w:r w:rsidRPr="00D4309F">
              <w:rPr>
                <w:spacing w:val="-2"/>
              </w:rPr>
              <w:t>presence</w:t>
            </w:r>
          </w:p>
          <w:p w14:paraId="73EECB53" w14:textId="77777777" w:rsidR="007B7D3D" w:rsidRPr="00D4309F" w:rsidRDefault="007B7D3D" w:rsidP="004C00ED">
            <w:pPr>
              <w:pStyle w:val="Table-Bullet"/>
            </w:pPr>
            <w:r w:rsidRPr="00D4309F">
              <w:t>Mortality/injury</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onshore plant and vehicle movement</w:t>
            </w:r>
          </w:p>
          <w:p w14:paraId="43232B3F" w14:textId="2AFB12F5" w:rsidR="007B7D3D" w:rsidRPr="00D4309F" w:rsidRDefault="007B7D3D" w:rsidP="004C00ED">
            <w:pPr>
              <w:pStyle w:val="Table-Bullet"/>
            </w:pPr>
            <w:r w:rsidRPr="00D4309F">
              <w:t>Loss of habitat due to onshore construction</w:t>
            </w:r>
            <w:r w:rsidRPr="00D4309F">
              <w:rPr>
                <w:spacing w:val="-13"/>
              </w:rPr>
              <w:t xml:space="preserve"> </w:t>
            </w:r>
            <w:r w:rsidRPr="00D4309F">
              <w:t>of</w:t>
            </w:r>
            <w:r w:rsidRPr="00D4309F">
              <w:rPr>
                <w:spacing w:val="-12"/>
              </w:rPr>
              <w:t xml:space="preserve"> </w:t>
            </w:r>
            <w:r w:rsidRPr="00D4309F">
              <w:t>pumping</w:t>
            </w:r>
            <w:r w:rsidRPr="00D4309F">
              <w:rPr>
                <w:spacing w:val="-12"/>
              </w:rPr>
              <w:t xml:space="preserve"> </w:t>
            </w:r>
            <w:r w:rsidRPr="00D4309F">
              <w:t>station</w:t>
            </w:r>
          </w:p>
        </w:tc>
        <w:tc>
          <w:tcPr>
            <w:tcW w:w="518" w:type="pct"/>
            <w:tcBorders>
              <w:top w:val="single" w:sz="4" w:space="0" w:color="000000"/>
              <w:bottom w:val="single" w:sz="4" w:space="0" w:color="000000"/>
            </w:tcBorders>
            <w:shd w:val="clear" w:color="auto" w:fill="FFFF00"/>
            <w:vAlign w:val="center"/>
          </w:tcPr>
          <w:p w14:paraId="373ED7F8" w14:textId="7D1318BE" w:rsidR="007B7D3D" w:rsidRPr="007B7D3D" w:rsidRDefault="007B7D3D" w:rsidP="004C00ED">
            <w:pPr>
              <w:pStyle w:val="Table-Text"/>
              <w:rPr>
                <w:b/>
                <w:bCs/>
                <w:spacing w:val="-5"/>
              </w:rPr>
            </w:pPr>
            <w:r w:rsidRPr="007B7D3D">
              <w:rPr>
                <w:b/>
                <w:bCs/>
                <w:spacing w:val="-2"/>
              </w:rPr>
              <w:t>Moderate</w:t>
            </w:r>
          </w:p>
        </w:tc>
        <w:tc>
          <w:tcPr>
            <w:tcW w:w="978" w:type="pct"/>
            <w:tcBorders>
              <w:top w:val="single" w:sz="4" w:space="0" w:color="000000"/>
              <w:bottom w:val="single" w:sz="4" w:space="0" w:color="000000"/>
            </w:tcBorders>
            <w:vAlign w:val="center"/>
          </w:tcPr>
          <w:p w14:paraId="60A925C3" w14:textId="77777777" w:rsidR="007B7D3D" w:rsidRPr="00D4309F" w:rsidRDefault="007B7D3D" w:rsidP="004C00ED">
            <w:pPr>
              <w:pStyle w:val="Table-Bullet"/>
            </w:pPr>
            <w:r w:rsidRPr="00D4309F">
              <w:t>Several</w:t>
            </w:r>
            <w:r w:rsidRPr="00D4309F">
              <w:rPr>
                <w:spacing w:val="-10"/>
              </w:rPr>
              <w:t xml:space="preserve"> </w:t>
            </w:r>
            <w:r w:rsidRPr="00D4309F">
              <w:t>species</w:t>
            </w:r>
            <w:r w:rsidRPr="00D4309F">
              <w:rPr>
                <w:spacing w:val="-10"/>
              </w:rPr>
              <w:t xml:space="preserve"> </w:t>
            </w:r>
            <w:r w:rsidRPr="00D4309F">
              <w:t>of</w:t>
            </w:r>
            <w:r w:rsidRPr="00D4309F">
              <w:rPr>
                <w:spacing w:val="-10"/>
              </w:rPr>
              <w:t xml:space="preserve"> </w:t>
            </w:r>
            <w:r w:rsidRPr="00D4309F">
              <w:t>migratory seabirds</w:t>
            </w:r>
            <w:r w:rsidRPr="00D4309F">
              <w:rPr>
                <w:spacing w:val="-13"/>
              </w:rPr>
              <w:t xml:space="preserve"> </w:t>
            </w:r>
            <w:r w:rsidRPr="00D4309F">
              <w:t>aggregate</w:t>
            </w:r>
            <w:r w:rsidRPr="00D4309F">
              <w:rPr>
                <w:spacing w:val="-12"/>
              </w:rPr>
              <w:t xml:space="preserve"> </w:t>
            </w:r>
            <w:r w:rsidRPr="00D4309F">
              <w:t>and</w:t>
            </w:r>
            <w:r w:rsidRPr="00D4309F">
              <w:rPr>
                <w:spacing w:val="-13"/>
              </w:rPr>
              <w:t xml:space="preserve"> </w:t>
            </w:r>
            <w:r w:rsidRPr="00D4309F">
              <w:t>may nest at Point Cartwright and could be impacted</w:t>
            </w:r>
          </w:p>
          <w:p w14:paraId="541A83AE" w14:textId="77777777" w:rsidR="007B7D3D" w:rsidRPr="00D4309F" w:rsidRDefault="007B7D3D" w:rsidP="004C00ED">
            <w:pPr>
              <w:pStyle w:val="Table-Bullet"/>
            </w:pPr>
            <w:r w:rsidRPr="00D4309F">
              <w:t>Potential</w:t>
            </w:r>
            <w:r w:rsidRPr="00D4309F">
              <w:rPr>
                <w:spacing w:val="-13"/>
              </w:rPr>
              <w:t xml:space="preserve"> </w:t>
            </w:r>
            <w:r w:rsidRPr="00D4309F">
              <w:t>for</w:t>
            </w:r>
            <w:r w:rsidRPr="00D4309F">
              <w:rPr>
                <w:spacing w:val="-12"/>
              </w:rPr>
              <w:t xml:space="preserve"> </w:t>
            </w:r>
            <w:r w:rsidRPr="00D4309F">
              <w:t>loss/degradation</w:t>
            </w:r>
            <w:r w:rsidRPr="00D4309F">
              <w:rPr>
                <w:spacing w:val="-13"/>
              </w:rPr>
              <w:t xml:space="preserve"> </w:t>
            </w:r>
            <w:r w:rsidRPr="00D4309F">
              <w:t>of habitat needs to be assessed</w:t>
            </w:r>
          </w:p>
          <w:p w14:paraId="00F014E6" w14:textId="183A7BE3" w:rsidR="007B7D3D" w:rsidRPr="00D4309F" w:rsidRDefault="007B7D3D" w:rsidP="004C00ED">
            <w:pPr>
              <w:pStyle w:val="Table-Bullet"/>
            </w:pPr>
            <w:r w:rsidRPr="00D4309F">
              <w:t>Piling</w:t>
            </w:r>
            <w:r w:rsidRPr="00D4309F">
              <w:rPr>
                <w:spacing w:val="-10"/>
              </w:rPr>
              <w:t xml:space="preserve"> </w:t>
            </w:r>
            <w:r w:rsidRPr="00D4309F">
              <w:t>for</w:t>
            </w:r>
            <w:r w:rsidRPr="00D4309F">
              <w:rPr>
                <w:spacing w:val="-10"/>
              </w:rPr>
              <w:t xml:space="preserve"> </w:t>
            </w:r>
            <w:r w:rsidRPr="00D4309F">
              <w:t>jetty</w:t>
            </w:r>
            <w:r w:rsidRPr="00D4309F">
              <w:rPr>
                <w:spacing w:val="-10"/>
              </w:rPr>
              <w:t xml:space="preserve"> </w:t>
            </w:r>
            <w:r w:rsidRPr="00D4309F">
              <w:t>construction</w:t>
            </w:r>
            <w:r w:rsidRPr="00D4309F">
              <w:rPr>
                <w:spacing w:val="-10"/>
              </w:rPr>
              <w:t xml:space="preserve"> </w:t>
            </w:r>
            <w:r w:rsidRPr="00D4309F">
              <w:t>will potentially cause significant impacts, however this can be managed</w:t>
            </w:r>
            <w:r w:rsidRPr="00D4309F">
              <w:rPr>
                <w:spacing w:val="-9"/>
              </w:rPr>
              <w:t xml:space="preserve"> </w:t>
            </w:r>
            <w:r w:rsidRPr="00D4309F">
              <w:t>by</w:t>
            </w:r>
            <w:r w:rsidRPr="00D4309F">
              <w:rPr>
                <w:spacing w:val="-10"/>
              </w:rPr>
              <w:t xml:space="preserve"> </w:t>
            </w:r>
            <w:r w:rsidRPr="00D4309F">
              <w:t>timing/</w:t>
            </w:r>
            <w:r w:rsidRPr="00D4309F">
              <w:rPr>
                <w:spacing w:val="-10"/>
              </w:rPr>
              <w:t xml:space="preserve"> </w:t>
            </w:r>
            <w:r w:rsidRPr="00D4309F">
              <w:t>staging</w:t>
            </w:r>
            <w:r w:rsidRPr="00D4309F">
              <w:rPr>
                <w:spacing w:val="-11"/>
              </w:rPr>
              <w:t xml:space="preserve"> </w:t>
            </w:r>
            <w:r w:rsidRPr="00D4309F">
              <w:t xml:space="preserve">of </w:t>
            </w:r>
            <w:r w:rsidRPr="00D4309F">
              <w:rPr>
                <w:spacing w:val="-2"/>
              </w:rPr>
              <w:t>works</w:t>
            </w:r>
          </w:p>
        </w:tc>
        <w:tc>
          <w:tcPr>
            <w:tcW w:w="680" w:type="pct"/>
            <w:tcBorders>
              <w:top w:val="single" w:sz="4" w:space="0" w:color="000000"/>
              <w:bottom w:val="single" w:sz="4" w:space="0" w:color="000000"/>
            </w:tcBorders>
            <w:vAlign w:val="center"/>
          </w:tcPr>
          <w:p w14:paraId="16AF667E" w14:textId="77777777" w:rsidR="007B7D3D" w:rsidRPr="00D4309F" w:rsidRDefault="007B7D3D" w:rsidP="004C00ED">
            <w:pPr>
              <w:pStyle w:val="Table-Bullet"/>
            </w:pPr>
            <w:r w:rsidRPr="00D4309F">
              <w:t>Noise</w:t>
            </w:r>
            <w:r w:rsidRPr="00D4309F">
              <w:rPr>
                <w:spacing w:val="-2"/>
              </w:rPr>
              <w:t xml:space="preserve"> assessment</w:t>
            </w:r>
          </w:p>
          <w:p w14:paraId="61FBBDFF" w14:textId="77777777" w:rsidR="007B7D3D" w:rsidRPr="00D4309F" w:rsidRDefault="007B7D3D" w:rsidP="004C00ED">
            <w:pPr>
              <w:pStyle w:val="Table-Bullet"/>
            </w:pPr>
            <w:r w:rsidRPr="00D4309F">
              <w:t>Light</w:t>
            </w:r>
            <w:r w:rsidRPr="00D4309F">
              <w:rPr>
                <w:spacing w:val="-15"/>
              </w:rPr>
              <w:t xml:space="preserve"> </w:t>
            </w:r>
            <w:r w:rsidRPr="00D4309F">
              <w:t>assessment</w:t>
            </w:r>
            <w:r w:rsidRPr="00D4309F">
              <w:rPr>
                <w:spacing w:val="-12"/>
              </w:rPr>
              <w:t xml:space="preserve"> </w:t>
            </w:r>
            <w:r w:rsidRPr="00D4309F">
              <w:t xml:space="preserve">if night works are </w:t>
            </w:r>
            <w:r w:rsidRPr="00D4309F">
              <w:rPr>
                <w:spacing w:val="-2"/>
              </w:rPr>
              <w:t>proposed</w:t>
            </w:r>
          </w:p>
          <w:p w14:paraId="155E59D4" w14:textId="11B4D1C1" w:rsidR="007B7D3D" w:rsidRPr="00D4309F" w:rsidRDefault="007B7D3D" w:rsidP="004C00ED">
            <w:pPr>
              <w:pStyle w:val="Table-Bullet"/>
              <w:rPr>
                <w:spacing w:val="-4"/>
              </w:rPr>
            </w:pPr>
            <w:r w:rsidRPr="00D4309F">
              <w:t>Assessment</w:t>
            </w:r>
            <w:r w:rsidRPr="00D4309F">
              <w:rPr>
                <w:spacing w:val="-15"/>
              </w:rPr>
              <w:t xml:space="preserve"> </w:t>
            </w:r>
            <w:r w:rsidRPr="00D4309F">
              <w:t>of</w:t>
            </w:r>
            <w:r w:rsidRPr="00D4309F">
              <w:rPr>
                <w:spacing w:val="-12"/>
              </w:rPr>
              <w:t xml:space="preserve"> </w:t>
            </w:r>
            <w:r w:rsidRPr="00D4309F">
              <w:t>bird habitat with reference to proposed clearing and works areas</w:t>
            </w:r>
          </w:p>
        </w:tc>
        <w:tc>
          <w:tcPr>
            <w:tcW w:w="796" w:type="pct"/>
            <w:tcBorders>
              <w:top w:val="single" w:sz="4" w:space="0" w:color="000000"/>
              <w:bottom w:val="single" w:sz="4" w:space="0" w:color="000000"/>
            </w:tcBorders>
            <w:vAlign w:val="center"/>
          </w:tcPr>
          <w:p w14:paraId="60DFA517" w14:textId="77777777" w:rsidR="007B7D3D" w:rsidRPr="00D4309F" w:rsidRDefault="007B7D3D" w:rsidP="004C00ED">
            <w:pPr>
              <w:pStyle w:val="Table-Bullet"/>
            </w:pPr>
            <w:r w:rsidRPr="00D4309F">
              <w:t>Timing</w:t>
            </w:r>
            <w:r w:rsidRPr="00D4309F">
              <w:rPr>
                <w:spacing w:val="-13"/>
              </w:rPr>
              <w:t xml:space="preserve"> </w:t>
            </w:r>
            <w:r w:rsidRPr="00D4309F">
              <w:t>of</w:t>
            </w:r>
            <w:r w:rsidRPr="00D4309F">
              <w:rPr>
                <w:spacing w:val="-12"/>
              </w:rPr>
              <w:t xml:space="preserve"> </w:t>
            </w:r>
            <w:r w:rsidRPr="00D4309F">
              <w:t>works</w:t>
            </w:r>
            <w:r w:rsidRPr="00D4309F">
              <w:rPr>
                <w:spacing w:val="-13"/>
              </w:rPr>
              <w:t xml:space="preserve"> </w:t>
            </w:r>
            <w:r w:rsidRPr="00D4309F">
              <w:t>outside of peak aggregation season (summer) for migratory terns</w:t>
            </w:r>
          </w:p>
          <w:p w14:paraId="7ECD443C" w14:textId="77777777" w:rsidR="007B7D3D" w:rsidRPr="00D4309F" w:rsidRDefault="007B7D3D" w:rsidP="004C00ED">
            <w:pPr>
              <w:pStyle w:val="Table-Bullet"/>
            </w:pPr>
            <w:r w:rsidRPr="00D4309F">
              <w:t>Design to minimise clearing required and avoid</w:t>
            </w:r>
            <w:r w:rsidRPr="00D4309F">
              <w:rPr>
                <w:spacing w:val="-13"/>
              </w:rPr>
              <w:t xml:space="preserve"> </w:t>
            </w:r>
            <w:r w:rsidRPr="00D4309F">
              <w:t>key</w:t>
            </w:r>
            <w:r w:rsidRPr="00D4309F">
              <w:rPr>
                <w:spacing w:val="-12"/>
              </w:rPr>
              <w:t xml:space="preserve"> </w:t>
            </w:r>
            <w:r w:rsidRPr="00D4309F">
              <w:t>habitat</w:t>
            </w:r>
            <w:r w:rsidRPr="00D4309F">
              <w:rPr>
                <w:spacing w:val="-13"/>
              </w:rPr>
              <w:t xml:space="preserve"> </w:t>
            </w:r>
            <w:r w:rsidRPr="00D4309F">
              <w:t>areas</w:t>
            </w:r>
          </w:p>
          <w:p w14:paraId="5FA8DC2D" w14:textId="23BFACAE" w:rsidR="007B7D3D" w:rsidRPr="00D4309F" w:rsidRDefault="007B7D3D" w:rsidP="004C00ED">
            <w:pPr>
              <w:pStyle w:val="Table-Bullet"/>
            </w:pPr>
            <w:r w:rsidRPr="00D4309F">
              <w:rPr>
                <w:spacing w:val="-2"/>
              </w:rPr>
              <w:t>Appropriate</w:t>
            </w:r>
            <w:r w:rsidRPr="00D4309F">
              <w:rPr>
                <w:spacing w:val="80"/>
              </w:rPr>
              <w:t xml:space="preserve"> </w:t>
            </w:r>
            <w:r w:rsidRPr="00D4309F">
              <w:t>management</w:t>
            </w:r>
            <w:r w:rsidRPr="00D4309F">
              <w:rPr>
                <w:spacing w:val="-15"/>
              </w:rPr>
              <w:t xml:space="preserve"> </w:t>
            </w:r>
            <w:r w:rsidRPr="00D4309F">
              <w:t>for</w:t>
            </w:r>
            <w:r w:rsidRPr="00D4309F">
              <w:rPr>
                <w:spacing w:val="-12"/>
              </w:rPr>
              <w:t xml:space="preserve"> </w:t>
            </w:r>
            <w:r w:rsidRPr="00D4309F">
              <w:t xml:space="preserve">onshore works e.g. onshore vehicles and plant to operate in designated tracks and areas, design to avoid key habitat </w:t>
            </w:r>
            <w:r w:rsidRPr="00D4309F">
              <w:rPr>
                <w:spacing w:val="-2"/>
              </w:rPr>
              <w:t>areas.</w:t>
            </w:r>
          </w:p>
        </w:tc>
      </w:tr>
      <w:tr w:rsidR="007B7D3D" w:rsidRPr="00D4309F" w14:paraId="32B37B50" w14:textId="77777777" w:rsidTr="004C00ED">
        <w:trPr>
          <w:cantSplit/>
          <w:trHeight w:val="20"/>
        </w:trPr>
        <w:tc>
          <w:tcPr>
            <w:tcW w:w="465" w:type="pct"/>
            <w:tcBorders>
              <w:top w:val="single" w:sz="4" w:space="0" w:color="000000"/>
              <w:bottom w:val="single" w:sz="4" w:space="0" w:color="000000"/>
            </w:tcBorders>
            <w:vAlign w:val="center"/>
          </w:tcPr>
          <w:p w14:paraId="48264B0E" w14:textId="76FF5211" w:rsidR="007B7D3D" w:rsidRPr="00D4309F" w:rsidRDefault="007B7D3D" w:rsidP="004C00ED">
            <w:pPr>
              <w:pStyle w:val="Table-Text"/>
            </w:pPr>
            <w:r w:rsidRPr="00D4309F">
              <w:lastRenderedPageBreak/>
              <w:t>Marine</w:t>
            </w:r>
            <w:r w:rsidRPr="00D4309F">
              <w:rPr>
                <w:spacing w:val="-4"/>
              </w:rPr>
              <w:t xml:space="preserve"> </w:t>
            </w:r>
            <w:r w:rsidRPr="00D4309F">
              <w:t>fauna</w:t>
            </w:r>
          </w:p>
        </w:tc>
        <w:tc>
          <w:tcPr>
            <w:tcW w:w="490" w:type="pct"/>
            <w:tcBorders>
              <w:top w:val="single" w:sz="4" w:space="0" w:color="000000"/>
              <w:bottom w:val="single" w:sz="4" w:space="0" w:color="000000"/>
            </w:tcBorders>
            <w:vAlign w:val="center"/>
          </w:tcPr>
          <w:p w14:paraId="001A34C7" w14:textId="3BFC3D47" w:rsidR="007B7D3D" w:rsidRPr="00D4309F" w:rsidRDefault="007B7D3D" w:rsidP="004C00ED">
            <w:pPr>
              <w:pStyle w:val="Table-Text"/>
            </w:pPr>
            <w:r w:rsidRPr="00D4309F">
              <w:t>Foraging Seabirds</w:t>
            </w:r>
          </w:p>
        </w:tc>
        <w:tc>
          <w:tcPr>
            <w:tcW w:w="1073" w:type="pct"/>
            <w:tcBorders>
              <w:top w:val="single" w:sz="4" w:space="0" w:color="000000"/>
              <w:bottom w:val="single" w:sz="4" w:space="0" w:color="000000"/>
            </w:tcBorders>
            <w:vAlign w:val="center"/>
          </w:tcPr>
          <w:p w14:paraId="08675DDC" w14:textId="56C7A43C" w:rsidR="007B7D3D" w:rsidRPr="00D4309F" w:rsidRDefault="007B7D3D" w:rsidP="004C00ED">
            <w:pPr>
              <w:pStyle w:val="Table-Bullet"/>
            </w:pPr>
            <w:r w:rsidRPr="00D4309F">
              <w:t>Generation of turbidity impacting</w:t>
            </w:r>
            <w:r w:rsidRPr="00D4309F">
              <w:rPr>
                <w:spacing w:val="-15"/>
              </w:rPr>
              <w:t xml:space="preserve"> </w:t>
            </w:r>
            <w:r w:rsidRPr="00D4309F">
              <w:t>foraging</w:t>
            </w:r>
            <w:r w:rsidRPr="00D4309F">
              <w:rPr>
                <w:spacing w:val="-12"/>
              </w:rPr>
              <w:t xml:space="preserve"> </w:t>
            </w:r>
            <w:r w:rsidRPr="00D4309F">
              <w:t>activities</w:t>
            </w:r>
          </w:p>
        </w:tc>
        <w:tc>
          <w:tcPr>
            <w:tcW w:w="518" w:type="pct"/>
            <w:tcBorders>
              <w:top w:val="single" w:sz="4" w:space="0" w:color="000000"/>
              <w:bottom w:val="single" w:sz="4" w:space="0" w:color="000000"/>
            </w:tcBorders>
            <w:shd w:val="clear" w:color="auto" w:fill="FFFF00"/>
            <w:vAlign w:val="center"/>
          </w:tcPr>
          <w:p w14:paraId="008870CF" w14:textId="43F46AA9" w:rsidR="007B7D3D" w:rsidRPr="007B7D3D" w:rsidRDefault="007B7D3D" w:rsidP="004C00ED">
            <w:pPr>
              <w:pStyle w:val="Table-Text"/>
              <w:rPr>
                <w:b/>
                <w:bCs/>
                <w:spacing w:val="-5"/>
              </w:rPr>
            </w:pPr>
            <w:r w:rsidRPr="007B7D3D">
              <w:rPr>
                <w:b/>
                <w:bCs/>
                <w:spacing w:val="-2"/>
              </w:rPr>
              <w:t>Moderate</w:t>
            </w:r>
          </w:p>
        </w:tc>
        <w:tc>
          <w:tcPr>
            <w:tcW w:w="978" w:type="pct"/>
            <w:tcBorders>
              <w:top w:val="single" w:sz="4" w:space="0" w:color="000000"/>
              <w:bottom w:val="single" w:sz="4" w:space="0" w:color="000000"/>
            </w:tcBorders>
            <w:vAlign w:val="center"/>
          </w:tcPr>
          <w:p w14:paraId="12ACBF92" w14:textId="77777777" w:rsidR="007B7D3D" w:rsidRPr="00D4309F" w:rsidRDefault="007B7D3D" w:rsidP="004C00ED">
            <w:pPr>
              <w:pStyle w:val="Table-Bullet"/>
            </w:pPr>
            <w:r w:rsidRPr="00D4309F">
              <w:t>Turbidity will impede the ability of aerial feeding birds to see prey underwater, which will impact the Little Terns aggregating in Point Cartwright reserve. Larger seabirds will travel</w:t>
            </w:r>
            <w:r w:rsidRPr="00D4309F">
              <w:rPr>
                <w:spacing w:val="-8"/>
              </w:rPr>
              <w:t xml:space="preserve"> </w:t>
            </w:r>
            <w:r w:rsidRPr="00D4309F">
              <w:t>outside</w:t>
            </w:r>
            <w:r w:rsidRPr="00D4309F">
              <w:rPr>
                <w:spacing w:val="-8"/>
              </w:rPr>
              <w:t xml:space="preserve"> </w:t>
            </w:r>
            <w:r w:rsidRPr="00D4309F">
              <w:t>of</w:t>
            </w:r>
            <w:r w:rsidRPr="00D4309F">
              <w:rPr>
                <w:spacing w:val="-8"/>
              </w:rPr>
              <w:t xml:space="preserve"> </w:t>
            </w:r>
            <w:r w:rsidRPr="00D4309F">
              <w:t>the</w:t>
            </w:r>
            <w:r w:rsidRPr="00D4309F">
              <w:rPr>
                <w:spacing w:val="-8"/>
              </w:rPr>
              <w:t xml:space="preserve"> </w:t>
            </w:r>
            <w:r w:rsidRPr="00D4309F">
              <w:t>turbid</w:t>
            </w:r>
            <w:r w:rsidRPr="00D4309F">
              <w:rPr>
                <w:spacing w:val="-8"/>
              </w:rPr>
              <w:t xml:space="preserve"> </w:t>
            </w:r>
            <w:r w:rsidRPr="00D4309F">
              <w:t>zone to forage.</w:t>
            </w:r>
          </w:p>
          <w:p w14:paraId="0D5C5350" w14:textId="083E0648" w:rsidR="007B7D3D" w:rsidRPr="00D4309F" w:rsidRDefault="007B7D3D" w:rsidP="004C00ED">
            <w:pPr>
              <w:pStyle w:val="Table-Bullet"/>
            </w:pPr>
            <w:r w:rsidRPr="00D4309F">
              <w:t>An</w:t>
            </w:r>
            <w:r w:rsidRPr="00D4309F">
              <w:rPr>
                <w:spacing w:val="-11"/>
              </w:rPr>
              <w:t xml:space="preserve"> </w:t>
            </w:r>
            <w:r w:rsidRPr="00D4309F">
              <w:t>assessment</w:t>
            </w:r>
            <w:r w:rsidRPr="00D4309F">
              <w:rPr>
                <w:spacing w:val="-10"/>
              </w:rPr>
              <w:t xml:space="preserve"> </w:t>
            </w:r>
            <w:r w:rsidRPr="00D4309F">
              <w:t>of</w:t>
            </w:r>
            <w:r w:rsidRPr="00D4309F">
              <w:rPr>
                <w:spacing w:val="-10"/>
              </w:rPr>
              <w:t xml:space="preserve"> </w:t>
            </w:r>
            <w:r w:rsidRPr="00D4309F">
              <w:t>the</w:t>
            </w:r>
            <w:r w:rsidRPr="00D4309F">
              <w:rPr>
                <w:spacing w:val="-11"/>
              </w:rPr>
              <w:t xml:space="preserve"> </w:t>
            </w:r>
            <w:r w:rsidRPr="00D4309F">
              <w:t>predicted plume extent will inform the extent of turbidity related impacts however as this is a dynamic, open ocean environment, any plume will likely dissipate quickly</w:t>
            </w:r>
          </w:p>
        </w:tc>
        <w:tc>
          <w:tcPr>
            <w:tcW w:w="680" w:type="pct"/>
            <w:tcBorders>
              <w:top w:val="single" w:sz="4" w:space="0" w:color="000000"/>
              <w:bottom w:val="single" w:sz="4" w:space="0" w:color="000000"/>
            </w:tcBorders>
            <w:vAlign w:val="center"/>
          </w:tcPr>
          <w:p w14:paraId="29F4EF65" w14:textId="4E839B26" w:rsidR="007B7D3D" w:rsidRPr="00D4309F" w:rsidRDefault="007B7D3D" w:rsidP="004C00ED">
            <w:pPr>
              <w:pStyle w:val="Table-Bullet"/>
              <w:rPr>
                <w:spacing w:val="-4"/>
              </w:rPr>
            </w:pPr>
            <w:r w:rsidRPr="00D4309F">
              <w:t>Turbidity</w:t>
            </w:r>
            <w:r w:rsidRPr="00D4309F">
              <w:rPr>
                <w:spacing w:val="-5"/>
              </w:rPr>
              <w:t xml:space="preserve"> </w:t>
            </w:r>
            <w:r w:rsidRPr="00D4309F">
              <w:rPr>
                <w:spacing w:val="-2"/>
              </w:rPr>
              <w:t>modelling</w:t>
            </w:r>
          </w:p>
        </w:tc>
        <w:tc>
          <w:tcPr>
            <w:tcW w:w="796" w:type="pct"/>
            <w:tcBorders>
              <w:top w:val="single" w:sz="4" w:space="0" w:color="000000"/>
              <w:bottom w:val="single" w:sz="4" w:space="0" w:color="000000"/>
            </w:tcBorders>
            <w:vAlign w:val="center"/>
          </w:tcPr>
          <w:p w14:paraId="3490D120" w14:textId="29E3D3FA" w:rsidR="007B7D3D" w:rsidRPr="00D4309F" w:rsidRDefault="007B7D3D" w:rsidP="004C00ED">
            <w:pPr>
              <w:pStyle w:val="Table-Bullet"/>
            </w:pPr>
            <w:r w:rsidRPr="00D4309F">
              <w:t>Timing</w:t>
            </w:r>
            <w:r w:rsidRPr="00D4309F">
              <w:rPr>
                <w:spacing w:val="-13"/>
              </w:rPr>
              <w:t xml:space="preserve"> </w:t>
            </w:r>
            <w:r w:rsidRPr="00D4309F">
              <w:t>of</w:t>
            </w:r>
            <w:r w:rsidRPr="00D4309F">
              <w:rPr>
                <w:spacing w:val="-12"/>
              </w:rPr>
              <w:t xml:space="preserve"> </w:t>
            </w:r>
            <w:r w:rsidRPr="00D4309F">
              <w:t>works</w:t>
            </w:r>
            <w:r w:rsidRPr="00D4309F">
              <w:rPr>
                <w:spacing w:val="-13"/>
              </w:rPr>
              <w:t xml:space="preserve"> </w:t>
            </w:r>
            <w:r w:rsidRPr="00D4309F">
              <w:t>outside of peak aggregation season (summer) for migratory terns</w:t>
            </w:r>
          </w:p>
        </w:tc>
      </w:tr>
      <w:tr w:rsidR="007B7D3D" w:rsidRPr="00D4309F" w14:paraId="2C46DB14" w14:textId="77777777" w:rsidTr="004C00ED">
        <w:trPr>
          <w:cantSplit/>
          <w:trHeight w:val="20"/>
        </w:trPr>
        <w:tc>
          <w:tcPr>
            <w:tcW w:w="465" w:type="pct"/>
            <w:tcBorders>
              <w:top w:val="single" w:sz="4" w:space="0" w:color="000000"/>
              <w:bottom w:val="single" w:sz="4" w:space="0" w:color="000000"/>
            </w:tcBorders>
            <w:vAlign w:val="center"/>
          </w:tcPr>
          <w:p w14:paraId="35AAF408" w14:textId="2447E920" w:rsidR="007B7D3D" w:rsidRPr="00D4309F" w:rsidRDefault="007B7D3D" w:rsidP="004C00ED">
            <w:pPr>
              <w:pStyle w:val="Table-Text"/>
            </w:pPr>
            <w:r w:rsidRPr="00D4309F">
              <w:t>Marine</w:t>
            </w:r>
            <w:r w:rsidRPr="00D4309F">
              <w:rPr>
                <w:spacing w:val="-4"/>
              </w:rPr>
              <w:t xml:space="preserve"> </w:t>
            </w:r>
            <w:r w:rsidRPr="00D4309F">
              <w:t>fauna</w:t>
            </w:r>
          </w:p>
        </w:tc>
        <w:tc>
          <w:tcPr>
            <w:tcW w:w="490" w:type="pct"/>
            <w:tcBorders>
              <w:top w:val="single" w:sz="4" w:space="0" w:color="000000"/>
              <w:bottom w:val="single" w:sz="4" w:space="0" w:color="000000"/>
            </w:tcBorders>
            <w:vAlign w:val="center"/>
          </w:tcPr>
          <w:p w14:paraId="7A60B0E4" w14:textId="75C73927" w:rsidR="007B7D3D" w:rsidRPr="00D4309F" w:rsidRDefault="007B7D3D" w:rsidP="004C00ED">
            <w:pPr>
              <w:pStyle w:val="Table-Text"/>
            </w:pPr>
            <w:r w:rsidRPr="00D4309F">
              <w:rPr>
                <w:spacing w:val="-4"/>
              </w:rPr>
              <w:t xml:space="preserve">Site </w:t>
            </w:r>
            <w:r w:rsidRPr="00D4309F">
              <w:t>attached species</w:t>
            </w:r>
          </w:p>
        </w:tc>
        <w:tc>
          <w:tcPr>
            <w:tcW w:w="1073" w:type="pct"/>
            <w:tcBorders>
              <w:top w:val="single" w:sz="4" w:space="0" w:color="000000"/>
              <w:bottom w:val="single" w:sz="4" w:space="0" w:color="000000"/>
            </w:tcBorders>
            <w:vAlign w:val="center"/>
          </w:tcPr>
          <w:p w14:paraId="76E886C6" w14:textId="77777777" w:rsidR="007B7D3D" w:rsidRPr="00D4309F" w:rsidRDefault="007B7D3D" w:rsidP="004C00ED">
            <w:pPr>
              <w:pStyle w:val="Table-Bullet"/>
            </w:pPr>
            <w:r w:rsidRPr="00D4309F">
              <w:t>Direct</w:t>
            </w:r>
            <w:r w:rsidRPr="00D4309F">
              <w:rPr>
                <w:spacing w:val="-13"/>
              </w:rPr>
              <w:t xml:space="preserve"> </w:t>
            </w:r>
            <w:r w:rsidRPr="00D4309F">
              <w:t>mortality/injury</w:t>
            </w:r>
            <w:r w:rsidRPr="00D4309F">
              <w:rPr>
                <w:spacing w:val="-12"/>
              </w:rPr>
              <w:t xml:space="preserve"> </w:t>
            </w:r>
            <w:r w:rsidRPr="00D4309F">
              <w:t>due</w:t>
            </w:r>
            <w:r w:rsidRPr="00D4309F">
              <w:rPr>
                <w:spacing w:val="-13"/>
              </w:rPr>
              <w:t xml:space="preserve"> </w:t>
            </w:r>
            <w:r w:rsidRPr="00D4309F">
              <w:t>to construction and bypassing</w:t>
            </w:r>
          </w:p>
          <w:p w14:paraId="6A6F20CC" w14:textId="518752A3" w:rsidR="007B7D3D" w:rsidRPr="00D4309F" w:rsidRDefault="007B7D3D" w:rsidP="004C00ED">
            <w:pPr>
              <w:pStyle w:val="Table-Bullet"/>
            </w:pPr>
            <w:r w:rsidRPr="00D4309F">
              <w:rPr>
                <w:spacing w:val="-2"/>
              </w:rPr>
              <w:t xml:space="preserve">Mortality/injury/behavioural </w:t>
            </w:r>
            <w:r w:rsidRPr="00D4309F">
              <w:t>response due to physical effects of turbidity</w:t>
            </w:r>
          </w:p>
        </w:tc>
        <w:tc>
          <w:tcPr>
            <w:tcW w:w="518" w:type="pct"/>
            <w:tcBorders>
              <w:top w:val="single" w:sz="4" w:space="0" w:color="000000"/>
              <w:bottom w:val="single" w:sz="4" w:space="0" w:color="000000"/>
            </w:tcBorders>
            <w:shd w:val="clear" w:color="auto" w:fill="FFC000"/>
            <w:vAlign w:val="center"/>
          </w:tcPr>
          <w:p w14:paraId="444A299F" w14:textId="4F7A2908" w:rsidR="007B7D3D" w:rsidRPr="007B7D3D" w:rsidRDefault="007B7D3D" w:rsidP="004C00ED">
            <w:pPr>
              <w:pStyle w:val="Table-Text"/>
              <w:rPr>
                <w:b/>
                <w:bCs/>
                <w:spacing w:val="-5"/>
              </w:rPr>
            </w:pPr>
            <w:r w:rsidRPr="007B7D3D">
              <w:rPr>
                <w:b/>
                <w:bCs/>
              </w:rPr>
              <w:t xml:space="preserve">High (for </w:t>
            </w:r>
            <w:r w:rsidRPr="007B7D3D">
              <w:rPr>
                <w:b/>
                <w:bCs/>
                <w:spacing w:val="-2"/>
              </w:rPr>
              <w:t>construction)</w:t>
            </w:r>
          </w:p>
        </w:tc>
        <w:tc>
          <w:tcPr>
            <w:tcW w:w="978" w:type="pct"/>
            <w:tcBorders>
              <w:top w:val="single" w:sz="4" w:space="0" w:color="000000"/>
              <w:bottom w:val="single" w:sz="4" w:space="0" w:color="000000"/>
            </w:tcBorders>
            <w:vAlign w:val="center"/>
          </w:tcPr>
          <w:p w14:paraId="1C84EE60" w14:textId="77777777" w:rsidR="007B7D3D" w:rsidRPr="00D4309F" w:rsidRDefault="007B7D3D" w:rsidP="004C00ED">
            <w:pPr>
              <w:pStyle w:val="Table-Bullet"/>
            </w:pPr>
            <w:r w:rsidRPr="00D4309F">
              <w:t>These species are broadly distributed</w:t>
            </w:r>
            <w:r w:rsidRPr="00D4309F">
              <w:rPr>
                <w:spacing w:val="-13"/>
              </w:rPr>
              <w:t xml:space="preserve"> </w:t>
            </w:r>
            <w:r w:rsidRPr="00D4309F">
              <w:t>along</w:t>
            </w:r>
            <w:r w:rsidRPr="00D4309F">
              <w:rPr>
                <w:spacing w:val="-12"/>
              </w:rPr>
              <w:t xml:space="preserve"> </w:t>
            </w:r>
            <w:r w:rsidRPr="00D4309F">
              <w:t>the</w:t>
            </w:r>
            <w:r w:rsidRPr="00D4309F">
              <w:rPr>
                <w:spacing w:val="-13"/>
              </w:rPr>
              <w:t xml:space="preserve"> </w:t>
            </w:r>
            <w:r w:rsidRPr="00D4309F">
              <w:t>coastline</w:t>
            </w:r>
          </w:p>
          <w:p w14:paraId="32B9A3E1" w14:textId="77777777" w:rsidR="007B7D3D" w:rsidRPr="00D4309F" w:rsidRDefault="007B7D3D" w:rsidP="004C00ED">
            <w:pPr>
              <w:pStyle w:val="Table-Bullet"/>
            </w:pPr>
            <w:r w:rsidRPr="00D4309F">
              <w:t>The bypassing area has a relatively small footprint and in an area of bare sand but further assessment of the construction footprint</w:t>
            </w:r>
            <w:r w:rsidRPr="00D4309F">
              <w:rPr>
                <w:spacing w:val="-10"/>
              </w:rPr>
              <w:t xml:space="preserve"> </w:t>
            </w:r>
            <w:r w:rsidRPr="00D4309F">
              <w:t>is</w:t>
            </w:r>
            <w:r w:rsidRPr="00D4309F">
              <w:rPr>
                <w:spacing w:val="-10"/>
              </w:rPr>
              <w:t xml:space="preserve"> </w:t>
            </w:r>
            <w:r w:rsidRPr="00D4309F">
              <w:t>required</w:t>
            </w:r>
            <w:r w:rsidRPr="00D4309F">
              <w:rPr>
                <w:spacing w:val="-11"/>
              </w:rPr>
              <w:t xml:space="preserve"> </w:t>
            </w:r>
            <w:r w:rsidRPr="00D4309F">
              <w:t>to</w:t>
            </w:r>
            <w:r w:rsidRPr="00D4309F">
              <w:rPr>
                <w:spacing w:val="-11"/>
              </w:rPr>
              <w:t xml:space="preserve"> </w:t>
            </w:r>
            <w:r w:rsidRPr="00D4309F">
              <w:t>determine the impact to habitat for species of high conservation value e.g. the endangered White’s Seahorse and sand yabby</w:t>
            </w:r>
          </w:p>
          <w:p w14:paraId="16D0C1C3" w14:textId="77777777" w:rsidR="007B7D3D" w:rsidRPr="00D4309F" w:rsidRDefault="007B7D3D" w:rsidP="004C00ED">
            <w:pPr>
              <w:pStyle w:val="Table-Bullet"/>
            </w:pPr>
            <w:r w:rsidRPr="00D4309F">
              <w:t>Construction</w:t>
            </w:r>
            <w:r w:rsidRPr="00D4309F">
              <w:rPr>
                <w:spacing w:val="-4"/>
              </w:rPr>
              <w:t xml:space="preserve"> </w:t>
            </w:r>
            <w:r w:rsidRPr="00D4309F">
              <w:t>may</w:t>
            </w:r>
            <w:r w:rsidRPr="00D4309F">
              <w:rPr>
                <w:spacing w:val="-2"/>
              </w:rPr>
              <w:t xml:space="preserve"> impact</w:t>
            </w:r>
          </w:p>
          <w:p w14:paraId="6C2B87BC" w14:textId="61A61334" w:rsidR="007B7D3D" w:rsidRPr="00D4309F" w:rsidRDefault="007B7D3D" w:rsidP="004C00ED">
            <w:pPr>
              <w:pStyle w:val="Table-Bullet"/>
            </w:pPr>
            <w:r w:rsidRPr="00D4309F">
              <w:t>Bypassing</w:t>
            </w:r>
            <w:r w:rsidRPr="00D4309F">
              <w:rPr>
                <w:spacing w:val="-9"/>
              </w:rPr>
              <w:t xml:space="preserve"> </w:t>
            </w:r>
            <w:r w:rsidRPr="00D4309F">
              <w:t>is</w:t>
            </w:r>
            <w:r w:rsidRPr="00D4309F">
              <w:rPr>
                <w:spacing w:val="-8"/>
              </w:rPr>
              <w:t xml:space="preserve"> </w:t>
            </w:r>
            <w:r w:rsidRPr="00D4309F">
              <w:t>in</w:t>
            </w:r>
            <w:r w:rsidRPr="00D4309F">
              <w:rPr>
                <w:spacing w:val="-7"/>
              </w:rPr>
              <w:t xml:space="preserve"> </w:t>
            </w:r>
            <w:r w:rsidRPr="00D4309F">
              <w:t>a</w:t>
            </w:r>
            <w:r w:rsidRPr="00D4309F">
              <w:rPr>
                <w:spacing w:val="-9"/>
              </w:rPr>
              <w:t xml:space="preserve"> </w:t>
            </w:r>
            <w:r w:rsidRPr="00D4309F">
              <w:t>dynamic,</w:t>
            </w:r>
            <w:r w:rsidRPr="00D4309F">
              <w:rPr>
                <w:spacing w:val="-8"/>
              </w:rPr>
              <w:t xml:space="preserve"> </w:t>
            </w:r>
            <w:r w:rsidRPr="00D4309F">
              <w:t>open ocean environment, any plume will likely dissipate quickly.</w:t>
            </w:r>
          </w:p>
        </w:tc>
        <w:tc>
          <w:tcPr>
            <w:tcW w:w="680" w:type="pct"/>
            <w:tcBorders>
              <w:top w:val="single" w:sz="4" w:space="0" w:color="000000"/>
              <w:bottom w:val="single" w:sz="4" w:space="0" w:color="000000"/>
            </w:tcBorders>
            <w:vAlign w:val="center"/>
          </w:tcPr>
          <w:p w14:paraId="5D03225E" w14:textId="3B3BA907" w:rsidR="007B7D3D" w:rsidRPr="00D4309F" w:rsidRDefault="007B7D3D" w:rsidP="004C00ED">
            <w:pPr>
              <w:pStyle w:val="Table-Bullet"/>
              <w:rPr>
                <w:spacing w:val="-4"/>
              </w:rPr>
            </w:pPr>
            <w:r w:rsidRPr="00D4309F">
              <w:t>Fauna / benthic habitat</w:t>
            </w:r>
            <w:r w:rsidRPr="00D4309F">
              <w:rPr>
                <w:spacing w:val="-13"/>
              </w:rPr>
              <w:t xml:space="preserve"> </w:t>
            </w:r>
            <w:r w:rsidRPr="00D4309F">
              <w:t>assessment</w:t>
            </w:r>
          </w:p>
        </w:tc>
        <w:tc>
          <w:tcPr>
            <w:tcW w:w="796" w:type="pct"/>
            <w:tcBorders>
              <w:top w:val="single" w:sz="4" w:space="0" w:color="000000"/>
              <w:bottom w:val="single" w:sz="4" w:space="0" w:color="000000"/>
            </w:tcBorders>
            <w:vAlign w:val="center"/>
          </w:tcPr>
          <w:p w14:paraId="5C4A5FB7" w14:textId="7AD04409" w:rsidR="007B7D3D" w:rsidRPr="00D4309F" w:rsidRDefault="007B7D3D" w:rsidP="004C00ED">
            <w:pPr>
              <w:pStyle w:val="Table-Bullet"/>
            </w:pPr>
            <w:r w:rsidRPr="00D4309F">
              <w:t>Construction and dredging designed to avoid</w:t>
            </w:r>
            <w:r w:rsidRPr="00D4309F">
              <w:rPr>
                <w:spacing w:val="-15"/>
              </w:rPr>
              <w:t xml:space="preserve"> </w:t>
            </w:r>
            <w:r w:rsidRPr="00D4309F">
              <w:t>protected</w:t>
            </w:r>
            <w:r w:rsidRPr="00D4309F">
              <w:rPr>
                <w:spacing w:val="-12"/>
              </w:rPr>
              <w:t xml:space="preserve"> </w:t>
            </w:r>
            <w:r w:rsidRPr="00D4309F">
              <w:t>marine fauna habitats</w:t>
            </w:r>
          </w:p>
        </w:tc>
      </w:tr>
      <w:tr w:rsidR="007B7D3D" w:rsidRPr="00D4309F" w14:paraId="789CE6D8" w14:textId="77777777" w:rsidTr="004C00ED">
        <w:trPr>
          <w:cantSplit/>
          <w:trHeight w:val="20"/>
        </w:trPr>
        <w:tc>
          <w:tcPr>
            <w:tcW w:w="465" w:type="pct"/>
            <w:tcBorders>
              <w:top w:val="single" w:sz="4" w:space="0" w:color="000000"/>
              <w:bottom w:val="single" w:sz="4" w:space="0" w:color="000000"/>
            </w:tcBorders>
            <w:vAlign w:val="center"/>
          </w:tcPr>
          <w:p w14:paraId="79EF4F14" w14:textId="22CF0CF3" w:rsidR="007B7D3D" w:rsidRPr="00D4309F" w:rsidRDefault="007B7D3D" w:rsidP="004C00ED">
            <w:pPr>
              <w:pStyle w:val="Table-Text"/>
            </w:pPr>
            <w:r w:rsidRPr="00D4309F">
              <w:lastRenderedPageBreak/>
              <w:t>Marine</w:t>
            </w:r>
            <w:r w:rsidRPr="00D4309F">
              <w:rPr>
                <w:spacing w:val="-4"/>
              </w:rPr>
              <w:t xml:space="preserve"> </w:t>
            </w:r>
            <w:r w:rsidRPr="00D4309F">
              <w:t>fauna</w:t>
            </w:r>
          </w:p>
        </w:tc>
        <w:tc>
          <w:tcPr>
            <w:tcW w:w="490" w:type="pct"/>
            <w:tcBorders>
              <w:top w:val="single" w:sz="4" w:space="0" w:color="000000"/>
              <w:bottom w:val="single" w:sz="4" w:space="0" w:color="000000"/>
            </w:tcBorders>
            <w:vAlign w:val="center"/>
          </w:tcPr>
          <w:p w14:paraId="6CB99E62" w14:textId="7C308D88" w:rsidR="007B7D3D" w:rsidRPr="00D4309F" w:rsidRDefault="007B7D3D" w:rsidP="004C00ED">
            <w:pPr>
              <w:pStyle w:val="Table-Text"/>
            </w:pPr>
            <w:r w:rsidRPr="00D4309F">
              <w:rPr>
                <w:spacing w:val="-4"/>
              </w:rPr>
              <w:t xml:space="preserve">Site </w:t>
            </w:r>
            <w:r w:rsidRPr="00D4309F">
              <w:t>attached species</w:t>
            </w:r>
          </w:p>
        </w:tc>
        <w:tc>
          <w:tcPr>
            <w:tcW w:w="1073" w:type="pct"/>
            <w:tcBorders>
              <w:top w:val="single" w:sz="4" w:space="0" w:color="000000"/>
              <w:bottom w:val="single" w:sz="4" w:space="0" w:color="000000"/>
            </w:tcBorders>
            <w:vAlign w:val="center"/>
          </w:tcPr>
          <w:p w14:paraId="27FE1A00" w14:textId="6DB290A4" w:rsidR="007B7D3D" w:rsidRPr="00D4309F" w:rsidRDefault="007B7D3D" w:rsidP="004C00ED">
            <w:pPr>
              <w:pStyle w:val="Table-Bullet"/>
            </w:pPr>
            <w:r w:rsidRPr="00D4309F">
              <w:rPr>
                <w:spacing w:val="-2"/>
              </w:rPr>
              <w:t xml:space="preserve">Mortality/injury/behavioural </w:t>
            </w:r>
            <w:r w:rsidRPr="00D4309F">
              <w:t>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toxic</w:t>
            </w:r>
            <w:r w:rsidRPr="00D4309F">
              <w:rPr>
                <w:spacing w:val="-10"/>
              </w:rPr>
              <w:t xml:space="preserve"> </w:t>
            </w:r>
            <w:r w:rsidRPr="00D4309F">
              <w:t xml:space="preserve">effects due to release of </w:t>
            </w:r>
            <w:r w:rsidRPr="00D4309F">
              <w:rPr>
                <w:spacing w:val="-2"/>
              </w:rPr>
              <w:t>contaminants/hypoxia</w:t>
            </w:r>
          </w:p>
        </w:tc>
        <w:tc>
          <w:tcPr>
            <w:tcW w:w="518" w:type="pct"/>
            <w:tcBorders>
              <w:top w:val="single" w:sz="4" w:space="0" w:color="000000"/>
              <w:bottom w:val="single" w:sz="4" w:space="0" w:color="000000"/>
            </w:tcBorders>
            <w:shd w:val="clear" w:color="auto" w:fill="92D050"/>
            <w:vAlign w:val="center"/>
          </w:tcPr>
          <w:p w14:paraId="5A384A57" w14:textId="7663D5B1" w:rsidR="007B7D3D" w:rsidRPr="007B7D3D" w:rsidRDefault="007B7D3D" w:rsidP="004C00ED">
            <w:pPr>
              <w:pStyle w:val="Table-Text"/>
              <w:rPr>
                <w:b/>
                <w:bCs/>
                <w:spacing w:val="-5"/>
              </w:rPr>
            </w:pPr>
            <w:r w:rsidRPr="007B7D3D">
              <w:rPr>
                <w:b/>
                <w:bCs/>
                <w:spacing w:val="-5"/>
              </w:rPr>
              <w:t>Low</w:t>
            </w:r>
          </w:p>
        </w:tc>
        <w:tc>
          <w:tcPr>
            <w:tcW w:w="978" w:type="pct"/>
            <w:tcBorders>
              <w:top w:val="single" w:sz="4" w:space="0" w:color="000000"/>
              <w:bottom w:val="single" w:sz="4" w:space="0" w:color="000000"/>
            </w:tcBorders>
            <w:vAlign w:val="center"/>
          </w:tcPr>
          <w:p w14:paraId="6F09D9B7" w14:textId="77777777" w:rsidR="007B7D3D" w:rsidRPr="00D4309F" w:rsidRDefault="007B7D3D" w:rsidP="004C00ED">
            <w:pPr>
              <w:pStyle w:val="Table-Bullet"/>
            </w:pPr>
            <w:r w:rsidRPr="00D4309F">
              <w:t>Dredge sediments likely comprise clean marine sand free</w:t>
            </w:r>
            <w:r w:rsidRPr="00D4309F">
              <w:rPr>
                <w:spacing w:val="-10"/>
              </w:rPr>
              <w:t xml:space="preserve"> </w:t>
            </w:r>
            <w:r w:rsidRPr="00D4309F">
              <w:t>of</w:t>
            </w:r>
            <w:r w:rsidRPr="00D4309F">
              <w:rPr>
                <w:spacing w:val="-10"/>
              </w:rPr>
              <w:t xml:space="preserve"> </w:t>
            </w:r>
            <w:r w:rsidRPr="00D4309F">
              <w:t>contaminants</w:t>
            </w:r>
            <w:r w:rsidRPr="00D4309F">
              <w:rPr>
                <w:spacing w:val="-10"/>
              </w:rPr>
              <w:t xml:space="preserve"> </w:t>
            </w:r>
            <w:r w:rsidRPr="00D4309F">
              <w:t>with</w:t>
            </w:r>
            <w:r w:rsidRPr="00D4309F">
              <w:rPr>
                <w:spacing w:val="-10"/>
              </w:rPr>
              <w:t xml:space="preserve"> </w:t>
            </w:r>
            <w:r w:rsidRPr="00D4309F">
              <w:t>low organic matter content</w:t>
            </w:r>
          </w:p>
          <w:p w14:paraId="3C88CB5D" w14:textId="67F22967" w:rsidR="007B7D3D" w:rsidRPr="00D4309F" w:rsidRDefault="007B7D3D" w:rsidP="004C00ED">
            <w:pPr>
              <w:pStyle w:val="Table-Bullet"/>
            </w:pPr>
            <w:r w:rsidRPr="00D4309F">
              <w:t>Rock</w:t>
            </w:r>
            <w:r w:rsidRPr="00D4309F">
              <w:rPr>
                <w:spacing w:val="-10"/>
              </w:rPr>
              <w:t xml:space="preserve"> </w:t>
            </w:r>
            <w:r w:rsidRPr="00D4309F">
              <w:t>is</w:t>
            </w:r>
            <w:r w:rsidRPr="00D4309F">
              <w:rPr>
                <w:spacing w:val="-10"/>
              </w:rPr>
              <w:t xml:space="preserve"> </w:t>
            </w:r>
            <w:r w:rsidRPr="00D4309F">
              <w:t>likely</w:t>
            </w:r>
            <w:r w:rsidRPr="00D4309F">
              <w:rPr>
                <w:spacing w:val="-10"/>
              </w:rPr>
              <w:t xml:space="preserve"> </w:t>
            </w:r>
            <w:r w:rsidRPr="00D4309F">
              <w:t>to</w:t>
            </w:r>
            <w:r w:rsidRPr="00D4309F">
              <w:rPr>
                <w:spacing w:val="-11"/>
              </w:rPr>
              <w:t xml:space="preserve"> </w:t>
            </w:r>
            <w:r w:rsidRPr="00D4309F">
              <w:t xml:space="preserve">be </w:t>
            </w:r>
            <w:r w:rsidRPr="00D4309F">
              <w:rPr>
                <w:spacing w:val="-2"/>
              </w:rPr>
              <w:t>uncontaminated</w:t>
            </w:r>
          </w:p>
        </w:tc>
        <w:tc>
          <w:tcPr>
            <w:tcW w:w="680" w:type="pct"/>
            <w:tcBorders>
              <w:top w:val="single" w:sz="4" w:space="0" w:color="000000"/>
              <w:bottom w:val="single" w:sz="4" w:space="0" w:color="000000"/>
            </w:tcBorders>
            <w:vAlign w:val="center"/>
          </w:tcPr>
          <w:p w14:paraId="66EE8DDE" w14:textId="502B5239" w:rsidR="007B7D3D" w:rsidRPr="00D4309F" w:rsidRDefault="007B7D3D" w:rsidP="004C00ED">
            <w:pPr>
              <w:pStyle w:val="Table-Bullet"/>
              <w:rPr>
                <w:spacing w:val="-4"/>
              </w:rPr>
            </w:pPr>
            <w:r w:rsidRPr="00D4309F">
              <w:t>Assumption that suitable</w:t>
            </w:r>
            <w:r w:rsidRPr="00D4309F">
              <w:rPr>
                <w:spacing w:val="-15"/>
              </w:rPr>
              <w:t xml:space="preserve"> </w:t>
            </w:r>
            <w:r w:rsidRPr="00D4309F">
              <w:t>data</w:t>
            </w:r>
            <w:r w:rsidRPr="00D4309F">
              <w:rPr>
                <w:spacing w:val="-12"/>
              </w:rPr>
              <w:t xml:space="preserve"> </w:t>
            </w:r>
            <w:r w:rsidRPr="00D4309F">
              <w:t>exists to inform this risk</w:t>
            </w:r>
          </w:p>
        </w:tc>
        <w:tc>
          <w:tcPr>
            <w:tcW w:w="796" w:type="pct"/>
            <w:tcBorders>
              <w:top w:val="single" w:sz="4" w:space="0" w:color="000000"/>
              <w:bottom w:val="single" w:sz="4" w:space="0" w:color="000000"/>
            </w:tcBorders>
            <w:vAlign w:val="center"/>
          </w:tcPr>
          <w:p w14:paraId="68C56ABE" w14:textId="28FE2D93" w:rsidR="007B7D3D" w:rsidRPr="00D4309F" w:rsidRDefault="007B7D3D" w:rsidP="004C00ED">
            <w:pPr>
              <w:pStyle w:val="Table-Bullet"/>
            </w:pPr>
            <w:r w:rsidRPr="00D4309F">
              <w:rPr>
                <w:spacing w:val="-4"/>
              </w:rPr>
              <w:t>None</w:t>
            </w:r>
          </w:p>
        </w:tc>
      </w:tr>
      <w:tr w:rsidR="007B7D3D" w:rsidRPr="00D4309F" w14:paraId="56E17A06" w14:textId="77777777" w:rsidTr="004C00ED">
        <w:trPr>
          <w:cantSplit/>
          <w:trHeight w:val="20"/>
        </w:trPr>
        <w:tc>
          <w:tcPr>
            <w:tcW w:w="465" w:type="pct"/>
            <w:tcBorders>
              <w:top w:val="single" w:sz="4" w:space="0" w:color="000000"/>
              <w:bottom w:val="single" w:sz="4" w:space="0" w:color="000000"/>
            </w:tcBorders>
            <w:vAlign w:val="center"/>
          </w:tcPr>
          <w:p w14:paraId="2D5D0B34" w14:textId="0EAB1FBC" w:rsidR="007B7D3D" w:rsidRPr="00D4309F" w:rsidRDefault="007B7D3D" w:rsidP="004C00ED">
            <w:pPr>
              <w:pStyle w:val="Table-Text"/>
            </w:pPr>
            <w:r w:rsidRPr="00D4309F">
              <w:t>Marine</w:t>
            </w:r>
            <w:r w:rsidRPr="00D4309F">
              <w:rPr>
                <w:spacing w:val="-4"/>
              </w:rPr>
              <w:t xml:space="preserve"> </w:t>
            </w:r>
            <w:r w:rsidRPr="00D4309F">
              <w:t>fauna</w:t>
            </w:r>
          </w:p>
        </w:tc>
        <w:tc>
          <w:tcPr>
            <w:tcW w:w="490" w:type="pct"/>
            <w:tcBorders>
              <w:top w:val="single" w:sz="4" w:space="0" w:color="000000"/>
              <w:bottom w:val="single" w:sz="4" w:space="0" w:color="000000"/>
            </w:tcBorders>
            <w:vAlign w:val="center"/>
          </w:tcPr>
          <w:p w14:paraId="65838887" w14:textId="55ED2133" w:rsidR="007B7D3D" w:rsidRPr="00D4309F" w:rsidRDefault="007B7D3D" w:rsidP="004C00ED">
            <w:pPr>
              <w:pStyle w:val="Table-Text"/>
            </w:pPr>
            <w:r w:rsidRPr="00D4309F">
              <w:t>Mobile species</w:t>
            </w:r>
          </w:p>
        </w:tc>
        <w:tc>
          <w:tcPr>
            <w:tcW w:w="1073" w:type="pct"/>
            <w:tcBorders>
              <w:top w:val="single" w:sz="4" w:space="0" w:color="000000"/>
              <w:bottom w:val="single" w:sz="4" w:space="0" w:color="000000"/>
            </w:tcBorders>
            <w:vAlign w:val="center"/>
          </w:tcPr>
          <w:p w14:paraId="051F7A52" w14:textId="77777777" w:rsidR="007B7D3D" w:rsidRPr="00D4309F" w:rsidRDefault="007B7D3D" w:rsidP="004C00ED">
            <w:pPr>
              <w:pStyle w:val="Table-Bullet"/>
            </w:pPr>
            <w:r w:rsidRPr="00D4309F">
              <w:t>Direct</w:t>
            </w:r>
            <w:r w:rsidRPr="00D4309F">
              <w:rPr>
                <w:spacing w:val="-13"/>
              </w:rPr>
              <w:t xml:space="preserve"> </w:t>
            </w:r>
            <w:r w:rsidRPr="00D4309F">
              <w:t>mortality/injury</w:t>
            </w:r>
            <w:r w:rsidRPr="00D4309F">
              <w:rPr>
                <w:spacing w:val="-12"/>
              </w:rPr>
              <w:t xml:space="preserve"> </w:t>
            </w:r>
            <w:r w:rsidRPr="00D4309F">
              <w:t>due</w:t>
            </w:r>
            <w:r w:rsidRPr="00D4309F">
              <w:rPr>
                <w:spacing w:val="-13"/>
              </w:rPr>
              <w:t xml:space="preserve"> </w:t>
            </w:r>
            <w:r w:rsidRPr="00D4309F">
              <w:t xml:space="preserve">to </w:t>
            </w:r>
            <w:r w:rsidRPr="00D4309F">
              <w:rPr>
                <w:spacing w:val="-2"/>
              </w:rPr>
              <w:t>bypassing</w:t>
            </w:r>
          </w:p>
          <w:p w14:paraId="02199D8E" w14:textId="23A458A2" w:rsidR="007B7D3D" w:rsidRPr="00D4309F" w:rsidRDefault="007B7D3D" w:rsidP="004C00ED">
            <w:pPr>
              <w:pStyle w:val="Table-Bullet"/>
            </w:pPr>
            <w:r w:rsidRPr="00D4309F">
              <w:rPr>
                <w:spacing w:val="-2"/>
              </w:rPr>
              <w:t xml:space="preserve">Mortality/injury/behavioural </w:t>
            </w:r>
            <w:r w:rsidRPr="00D4309F">
              <w:t>response due to physical effects of turbidity</w:t>
            </w:r>
          </w:p>
        </w:tc>
        <w:tc>
          <w:tcPr>
            <w:tcW w:w="518" w:type="pct"/>
            <w:tcBorders>
              <w:top w:val="single" w:sz="4" w:space="0" w:color="000000"/>
              <w:bottom w:val="single" w:sz="4" w:space="0" w:color="000000"/>
            </w:tcBorders>
            <w:shd w:val="clear" w:color="auto" w:fill="92D050"/>
            <w:vAlign w:val="center"/>
          </w:tcPr>
          <w:p w14:paraId="2BBE0364" w14:textId="72E90535" w:rsidR="007B7D3D" w:rsidRPr="007B7D3D" w:rsidRDefault="007B7D3D" w:rsidP="004C00ED">
            <w:pPr>
              <w:pStyle w:val="Table-Text"/>
              <w:rPr>
                <w:b/>
                <w:bCs/>
                <w:spacing w:val="-5"/>
              </w:rPr>
            </w:pPr>
            <w:r w:rsidRPr="007B7D3D">
              <w:rPr>
                <w:b/>
                <w:bCs/>
                <w:spacing w:val="-5"/>
              </w:rPr>
              <w:t>Low</w:t>
            </w:r>
          </w:p>
        </w:tc>
        <w:tc>
          <w:tcPr>
            <w:tcW w:w="978" w:type="pct"/>
            <w:tcBorders>
              <w:top w:val="single" w:sz="4" w:space="0" w:color="000000"/>
              <w:bottom w:val="single" w:sz="4" w:space="0" w:color="000000"/>
            </w:tcBorders>
            <w:vAlign w:val="center"/>
          </w:tcPr>
          <w:p w14:paraId="3394CCA7" w14:textId="7079B198" w:rsidR="007B7D3D" w:rsidRPr="00D4309F" w:rsidRDefault="007B7D3D" w:rsidP="004C00ED">
            <w:pPr>
              <w:pStyle w:val="Table-Bullet"/>
            </w:pPr>
            <w:r w:rsidRPr="00D4309F">
              <w:t>Mobile species including the critically endangered Grey Nurse Shark and conservation dependant scalloped hammerhead</w:t>
            </w:r>
            <w:r w:rsidRPr="00D4309F">
              <w:rPr>
                <w:spacing w:val="-13"/>
              </w:rPr>
              <w:t xml:space="preserve"> </w:t>
            </w:r>
            <w:r w:rsidRPr="00D4309F">
              <w:t>will</w:t>
            </w:r>
            <w:r w:rsidRPr="00D4309F">
              <w:rPr>
                <w:spacing w:val="-12"/>
              </w:rPr>
              <w:t xml:space="preserve"> </w:t>
            </w:r>
            <w:r w:rsidRPr="00D4309F">
              <w:t>actively</w:t>
            </w:r>
            <w:r w:rsidRPr="00D4309F">
              <w:rPr>
                <w:spacing w:val="-13"/>
              </w:rPr>
              <w:t xml:space="preserve"> </w:t>
            </w:r>
            <w:r w:rsidRPr="00D4309F">
              <w:t>avoid areas of activity</w:t>
            </w:r>
          </w:p>
        </w:tc>
        <w:tc>
          <w:tcPr>
            <w:tcW w:w="680" w:type="pct"/>
            <w:tcBorders>
              <w:top w:val="single" w:sz="4" w:space="0" w:color="000000"/>
              <w:bottom w:val="single" w:sz="4" w:space="0" w:color="000000"/>
            </w:tcBorders>
            <w:vAlign w:val="center"/>
          </w:tcPr>
          <w:p w14:paraId="6E7BEB6C" w14:textId="079F116D" w:rsidR="007B7D3D" w:rsidRPr="00D4309F" w:rsidRDefault="007B7D3D" w:rsidP="004C00ED">
            <w:pPr>
              <w:pStyle w:val="Table-Bullet"/>
              <w:rPr>
                <w:spacing w:val="-4"/>
              </w:rPr>
            </w:pPr>
            <w:r w:rsidRPr="00D4309F">
              <w:rPr>
                <w:spacing w:val="-4"/>
              </w:rPr>
              <w:t>None</w:t>
            </w:r>
          </w:p>
        </w:tc>
        <w:tc>
          <w:tcPr>
            <w:tcW w:w="796" w:type="pct"/>
            <w:tcBorders>
              <w:top w:val="single" w:sz="4" w:space="0" w:color="000000"/>
              <w:bottom w:val="single" w:sz="4" w:space="0" w:color="000000"/>
            </w:tcBorders>
            <w:vAlign w:val="center"/>
          </w:tcPr>
          <w:p w14:paraId="23037663" w14:textId="7C6C4A27" w:rsidR="007B7D3D" w:rsidRPr="00D4309F" w:rsidRDefault="007B7D3D" w:rsidP="004C00ED">
            <w:pPr>
              <w:pStyle w:val="Table-Bullet"/>
            </w:pPr>
            <w:r w:rsidRPr="00D4309F">
              <w:rPr>
                <w:spacing w:val="-4"/>
              </w:rPr>
              <w:t>None</w:t>
            </w:r>
          </w:p>
        </w:tc>
      </w:tr>
      <w:tr w:rsidR="007B7D3D" w:rsidRPr="00D4309F" w14:paraId="2BD9ED17" w14:textId="77777777" w:rsidTr="004C00ED">
        <w:trPr>
          <w:cantSplit/>
          <w:trHeight w:val="20"/>
        </w:trPr>
        <w:tc>
          <w:tcPr>
            <w:tcW w:w="465" w:type="pct"/>
            <w:tcBorders>
              <w:top w:val="single" w:sz="4" w:space="0" w:color="000000"/>
              <w:bottom w:val="single" w:sz="4" w:space="0" w:color="000000"/>
            </w:tcBorders>
            <w:vAlign w:val="center"/>
          </w:tcPr>
          <w:p w14:paraId="005EA83A" w14:textId="6165A5EA" w:rsidR="007B7D3D" w:rsidRPr="00D4309F" w:rsidRDefault="007B7D3D" w:rsidP="004C00ED">
            <w:pPr>
              <w:pStyle w:val="Table-Text"/>
            </w:pPr>
            <w:r w:rsidRPr="00D4309F">
              <w:t>Marine</w:t>
            </w:r>
            <w:r w:rsidRPr="00D4309F">
              <w:rPr>
                <w:spacing w:val="-4"/>
              </w:rPr>
              <w:t xml:space="preserve"> </w:t>
            </w:r>
            <w:r w:rsidRPr="00D4309F">
              <w:t>fauna</w:t>
            </w:r>
          </w:p>
        </w:tc>
        <w:tc>
          <w:tcPr>
            <w:tcW w:w="490" w:type="pct"/>
            <w:tcBorders>
              <w:top w:val="single" w:sz="4" w:space="0" w:color="000000"/>
              <w:bottom w:val="single" w:sz="4" w:space="0" w:color="000000"/>
            </w:tcBorders>
            <w:vAlign w:val="center"/>
          </w:tcPr>
          <w:p w14:paraId="4A686EA5" w14:textId="139AE3A4" w:rsidR="007B7D3D" w:rsidRPr="00D4309F" w:rsidRDefault="007B7D3D" w:rsidP="004C00ED">
            <w:pPr>
              <w:pStyle w:val="Table-Text"/>
            </w:pPr>
            <w:r w:rsidRPr="00D4309F">
              <w:t>Mobile species</w:t>
            </w:r>
          </w:p>
        </w:tc>
        <w:tc>
          <w:tcPr>
            <w:tcW w:w="1073" w:type="pct"/>
            <w:tcBorders>
              <w:top w:val="single" w:sz="4" w:space="0" w:color="000000"/>
              <w:bottom w:val="single" w:sz="4" w:space="0" w:color="000000"/>
            </w:tcBorders>
            <w:vAlign w:val="center"/>
          </w:tcPr>
          <w:p w14:paraId="236984EA" w14:textId="381BD80E" w:rsidR="007B7D3D" w:rsidRPr="00D4309F" w:rsidRDefault="007B7D3D" w:rsidP="004C00ED">
            <w:pPr>
              <w:pStyle w:val="Table-Bullet"/>
            </w:pPr>
            <w:r w:rsidRPr="00D4309F">
              <w:rPr>
                <w:spacing w:val="-2"/>
              </w:rPr>
              <w:t xml:space="preserve">Mortality/injury/behavioural </w:t>
            </w:r>
            <w:r w:rsidRPr="00D4309F">
              <w:t>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toxic</w:t>
            </w:r>
            <w:r w:rsidRPr="00D4309F">
              <w:rPr>
                <w:spacing w:val="-10"/>
              </w:rPr>
              <w:t xml:space="preserve"> </w:t>
            </w:r>
            <w:r w:rsidRPr="00D4309F">
              <w:t xml:space="preserve">effects due to release of </w:t>
            </w:r>
            <w:r w:rsidRPr="00D4309F">
              <w:rPr>
                <w:spacing w:val="-2"/>
              </w:rPr>
              <w:t>contaminants/hypoxia</w:t>
            </w:r>
          </w:p>
        </w:tc>
        <w:tc>
          <w:tcPr>
            <w:tcW w:w="518" w:type="pct"/>
            <w:tcBorders>
              <w:top w:val="single" w:sz="4" w:space="0" w:color="000000"/>
              <w:bottom w:val="single" w:sz="4" w:space="0" w:color="000000"/>
            </w:tcBorders>
            <w:shd w:val="clear" w:color="auto" w:fill="92D050"/>
            <w:vAlign w:val="center"/>
          </w:tcPr>
          <w:p w14:paraId="221CC61F" w14:textId="1F3C63E2" w:rsidR="007B7D3D" w:rsidRPr="007B7D3D" w:rsidRDefault="007B7D3D" w:rsidP="004C00ED">
            <w:pPr>
              <w:pStyle w:val="Table-Text"/>
              <w:rPr>
                <w:b/>
                <w:bCs/>
                <w:spacing w:val="-5"/>
              </w:rPr>
            </w:pPr>
            <w:r w:rsidRPr="007B7D3D">
              <w:rPr>
                <w:b/>
                <w:bCs/>
                <w:spacing w:val="-5"/>
              </w:rPr>
              <w:t>Low</w:t>
            </w:r>
          </w:p>
        </w:tc>
        <w:tc>
          <w:tcPr>
            <w:tcW w:w="978" w:type="pct"/>
            <w:tcBorders>
              <w:top w:val="single" w:sz="4" w:space="0" w:color="000000"/>
              <w:bottom w:val="single" w:sz="4" w:space="0" w:color="000000"/>
            </w:tcBorders>
            <w:vAlign w:val="center"/>
          </w:tcPr>
          <w:p w14:paraId="44E9672E" w14:textId="6AD0A3ED" w:rsidR="007B7D3D" w:rsidRPr="00D4309F" w:rsidRDefault="007B7D3D" w:rsidP="004C00ED">
            <w:pPr>
              <w:pStyle w:val="Table-Bullet"/>
            </w:pPr>
            <w:r w:rsidRPr="00D4309F">
              <w:t>Bypass sediments likely comprise clean marine sand free</w:t>
            </w:r>
            <w:r w:rsidRPr="00D4309F">
              <w:rPr>
                <w:spacing w:val="-10"/>
              </w:rPr>
              <w:t xml:space="preserve"> </w:t>
            </w:r>
            <w:r w:rsidRPr="00D4309F">
              <w:t>of</w:t>
            </w:r>
            <w:r w:rsidRPr="00D4309F">
              <w:rPr>
                <w:spacing w:val="-10"/>
              </w:rPr>
              <w:t xml:space="preserve"> </w:t>
            </w:r>
            <w:r w:rsidRPr="00D4309F">
              <w:t>contaminants</w:t>
            </w:r>
            <w:r w:rsidRPr="00D4309F">
              <w:rPr>
                <w:spacing w:val="-10"/>
              </w:rPr>
              <w:t xml:space="preserve"> </w:t>
            </w:r>
            <w:r w:rsidRPr="00D4309F">
              <w:t>with</w:t>
            </w:r>
            <w:r w:rsidRPr="00D4309F">
              <w:rPr>
                <w:spacing w:val="-10"/>
              </w:rPr>
              <w:t xml:space="preserve"> </w:t>
            </w:r>
            <w:r w:rsidRPr="00D4309F">
              <w:t>low organic matter content</w:t>
            </w:r>
          </w:p>
        </w:tc>
        <w:tc>
          <w:tcPr>
            <w:tcW w:w="680" w:type="pct"/>
            <w:tcBorders>
              <w:top w:val="single" w:sz="4" w:space="0" w:color="000000"/>
              <w:bottom w:val="single" w:sz="4" w:space="0" w:color="000000"/>
            </w:tcBorders>
            <w:vAlign w:val="center"/>
          </w:tcPr>
          <w:p w14:paraId="49283A55" w14:textId="612D983B" w:rsidR="007B7D3D" w:rsidRPr="00D4309F" w:rsidRDefault="007B7D3D" w:rsidP="004C00ED">
            <w:pPr>
              <w:pStyle w:val="Table-Bullet"/>
              <w:rPr>
                <w:spacing w:val="-4"/>
              </w:rPr>
            </w:pPr>
            <w:r w:rsidRPr="00D4309F">
              <w:t>Assumption that suitable</w:t>
            </w:r>
            <w:r w:rsidRPr="00D4309F">
              <w:rPr>
                <w:spacing w:val="-15"/>
              </w:rPr>
              <w:t xml:space="preserve"> </w:t>
            </w:r>
            <w:r w:rsidRPr="00D4309F">
              <w:t>data</w:t>
            </w:r>
            <w:r w:rsidRPr="00D4309F">
              <w:rPr>
                <w:spacing w:val="-12"/>
              </w:rPr>
              <w:t xml:space="preserve"> </w:t>
            </w:r>
            <w:r w:rsidRPr="00D4309F">
              <w:t>exists to inform this risk</w:t>
            </w:r>
          </w:p>
        </w:tc>
        <w:tc>
          <w:tcPr>
            <w:tcW w:w="796" w:type="pct"/>
            <w:tcBorders>
              <w:top w:val="single" w:sz="4" w:space="0" w:color="000000"/>
              <w:bottom w:val="single" w:sz="4" w:space="0" w:color="000000"/>
            </w:tcBorders>
            <w:vAlign w:val="center"/>
          </w:tcPr>
          <w:p w14:paraId="2752BAED" w14:textId="2D36073F" w:rsidR="007B7D3D" w:rsidRPr="00D4309F" w:rsidRDefault="007B7D3D" w:rsidP="004C00ED">
            <w:pPr>
              <w:pStyle w:val="Table-Bullet"/>
            </w:pPr>
            <w:r w:rsidRPr="00D4309F">
              <w:rPr>
                <w:spacing w:val="-4"/>
              </w:rPr>
              <w:t>None</w:t>
            </w:r>
          </w:p>
        </w:tc>
      </w:tr>
      <w:tr w:rsidR="007B7D3D" w:rsidRPr="00D4309F" w14:paraId="0AE94F6C" w14:textId="77777777" w:rsidTr="004C00ED">
        <w:trPr>
          <w:cantSplit/>
          <w:trHeight w:val="20"/>
        </w:trPr>
        <w:tc>
          <w:tcPr>
            <w:tcW w:w="465" w:type="pct"/>
            <w:tcBorders>
              <w:top w:val="single" w:sz="4" w:space="0" w:color="000000"/>
              <w:bottom w:val="single" w:sz="4" w:space="0" w:color="000000"/>
            </w:tcBorders>
            <w:vAlign w:val="center"/>
          </w:tcPr>
          <w:p w14:paraId="41FACC23" w14:textId="0CC0C060" w:rsidR="007B7D3D" w:rsidRPr="00D4309F" w:rsidRDefault="007B7D3D" w:rsidP="004C00ED">
            <w:pPr>
              <w:pStyle w:val="Table-Text"/>
            </w:pPr>
            <w:r w:rsidRPr="00D4309F">
              <w:t>Benthic habitats</w:t>
            </w:r>
          </w:p>
        </w:tc>
        <w:tc>
          <w:tcPr>
            <w:tcW w:w="490" w:type="pct"/>
            <w:tcBorders>
              <w:top w:val="single" w:sz="4" w:space="0" w:color="000000"/>
              <w:bottom w:val="single" w:sz="4" w:space="0" w:color="000000"/>
            </w:tcBorders>
            <w:vAlign w:val="center"/>
          </w:tcPr>
          <w:p w14:paraId="4D7627AA" w14:textId="59A0D719" w:rsidR="007B7D3D" w:rsidRPr="00D4309F" w:rsidRDefault="007B7D3D" w:rsidP="004C00ED">
            <w:pPr>
              <w:pStyle w:val="Table-Text"/>
            </w:pPr>
            <w:r w:rsidRPr="00D4309F">
              <w:t>Rocky</w:t>
            </w:r>
            <w:r w:rsidRPr="00D4309F">
              <w:rPr>
                <w:spacing w:val="-13"/>
              </w:rPr>
              <w:t xml:space="preserve"> </w:t>
            </w:r>
            <w:r w:rsidRPr="00D4309F">
              <w:t>reef habitat, seagrass and</w:t>
            </w:r>
            <w:r w:rsidRPr="00D4309F">
              <w:rPr>
                <w:spacing w:val="-9"/>
              </w:rPr>
              <w:t xml:space="preserve"> </w:t>
            </w:r>
            <w:r w:rsidRPr="00D4309F">
              <w:t>corals</w:t>
            </w:r>
          </w:p>
        </w:tc>
        <w:tc>
          <w:tcPr>
            <w:tcW w:w="1073" w:type="pct"/>
            <w:tcBorders>
              <w:top w:val="single" w:sz="4" w:space="0" w:color="000000"/>
              <w:bottom w:val="single" w:sz="4" w:space="0" w:color="000000"/>
            </w:tcBorders>
            <w:vAlign w:val="center"/>
          </w:tcPr>
          <w:p w14:paraId="0A68CB14" w14:textId="77777777" w:rsidR="007B7D3D" w:rsidRPr="00D4309F" w:rsidRDefault="007B7D3D" w:rsidP="004C00ED">
            <w:pPr>
              <w:pStyle w:val="Table-Bullet"/>
            </w:pPr>
            <w:r>
              <w:t>D</w:t>
            </w:r>
            <w:r w:rsidRPr="00D4309F">
              <w:t>irect</w:t>
            </w:r>
            <w:r w:rsidRPr="00D4309F">
              <w:rPr>
                <w:spacing w:val="-13"/>
              </w:rPr>
              <w:t xml:space="preserve"> </w:t>
            </w:r>
            <w:r w:rsidRPr="00D4309F">
              <w:t>removal</w:t>
            </w:r>
            <w:r w:rsidRPr="00D4309F">
              <w:rPr>
                <w:spacing w:val="-12"/>
              </w:rPr>
              <w:t xml:space="preserve"> </w:t>
            </w:r>
            <w:r w:rsidRPr="00D4309F">
              <w:t>due</w:t>
            </w:r>
            <w:r w:rsidRPr="00D4309F">
              <w:rPr>
                <w:spacing w:val="-13"/>
              </w:rPr>
              <w:t xml:space="preserve"> </w:t>
            </w:r>
            <w:r w:rsidRPr="00D4309F">
              <w:t xml:space="preserve">to </w:t>
            </w:r>
            <w:r w:rsidRPr="00D4309F">
              <w:rPr>
                <w:spacing w:val="-2"/>
              </w:rPr>
              <w:t>bypassing</w:t>
            </w:r>
          </w:p>
          <w:p w14:paraId="71436E71" w14:textId="77777777" w:rsidR="007B7D3D" w:rsidRPr="00D4309F" w:rsidRDefault="007B7D3D" w:rsidP="004C00ED">
            <w:pPr>
              <w:pStyle w:val="Table-Bullet"/>
            </w:pPr>
            <w:r w:rsidRPr="00D4309F">
              <w:t>Generation</w:t>
            </w:r>
            <w:r w:rsidRPr="00D4309F">
              <w:rPr>
                <w:spacing w:val="-4"/>
              </w:rPr>
              <w:t xml:space="preserve"> </w:t>
            </w:r>
            <w:r w:rsidRPr="00D4309F">
              <w:t>of</w:t>
            </w:r>
            <w:r w:rsidRPr="00D4309F">
              <w:rPr>
                <w:spacing w:val="-3"/>
              </w:rPr>
              <w:t xml:space="preserve"> </w:t>
            </w:r>
            <w:r w:rsidRPr="00D4309F">
              <w:rPr>
                <w:spacing w:val="-2"/>
              </w:rPr>
              <w:t>turbidity</w:t>
            </w:r>
          </w:p>
          <w:p w14:paraId="48DC9380" w14:textId="42F0DD63" w:rsidR="007B7D3D" w:rsidRPr="00D4309F" w:rsidRDefault="007B7D3D" w:rsidP="004C00ED">
            <w:pPr>
              <w:pStyle w:val="Table-Bullet"/>
            </w:pPr>
            <w:r w:rsidRPr="00D4309F">
              <w:rPr>
                <w:spacing w:val="-2"/>
              </w:rPr>
              <w:t>Smothering</w:t>
            </w:r>
          </w:p>
        </w:tc>
        <w:tc>
          <w:tcPr>
            <w:tcW w:w="518" w:type="pct"/>
            <w:tcBorders>
              <w:top w:val="single" w:sz="4" w:space="0" w:color="000000"/>
              <w:bottom w:val="single" w:sz="4" w:space="0" w:color="000000"/>
            </w:tcBorders>
            <w:shd w:val="clear" w:color="auto" w:fill="FFFF00"/>
            <w:vAlign w:val="center"/>
          </w:tcPr>
          <w:p w14:paraId="5113812C" w14:textId="2D69EE04" w:rsidR="007B7D3D" w:rsidRPr="007B7D3D" w:rsidRDefault="007B7D3D" w:rsidP="004C00ED">
            <w:pPr>
              <w:pStyle w:val="Table-Text"/>
              <w:rPr>
                <w:b/>
                <w:bCs/>
                <w:spacing w:val="-5"/>
              </w:rPr>
            </w:pPr>
            <w:r w:rsidRPr="007B7D3D">
              <w:rPr>
                <w:b/>
                <w:bCs/>
                <w:spacing w:val="-2"/>
              </w:rPr>
              <w:t>Moderate</w:t>
            </w:r>
          </w:p>
        </w:tc>
        <w:tc>
          <w:tcPr>
            <w:tcW w:w="978" w:type="pct"/>
            <w:tcBorders>
              <w:top w:val="single" w:sz="4" w:space="0" w:color="000000"/>
              <w:bottom w:val="single" w:sz="4" w:space="0" w:color="000000"/>
            </w:tcBorders>
            <w:vAlign w:val="center"/>
          </w:tcPr>
          <w:p w14:paraId="53DCDB21" w14:textId="77777777" w:rsidR="007B7D3D" w:rsidRPr="00D4309F" w:rsidRDefault="007B7D3D" w:rsidP="004C00ED">
            <w:pPr>
              <w:pStyle w:val="Table-Bullet"/>
            </w:pPr>
            <w:r w:rsidRPr="00D4309F">
              <w:t>The</w:t>
            </w:r>
            <w:r w:rsidRPr="00D4309F">
              <w:rPr>
                <w:spacing w:val="-13"/>
              </w:rPr>
              <w:t xml:space="preserve"> </w:t>
            </w:r>
            <w:r w:rsidRPr="00D4309F">
              <w:t>bypass</w:t>
            </w:r>
            <w:r w:rsidRPr="00D4309F">
              <w:rPr>
                <w:spacing w:val="-12"/>
              </w:rPr>
              <w:t xml:space="preserve"> </w:t>
            </w:r>
            <w:r w:rsidRPr="00D4309F">
              <w:t>area</w:t>
            </w:r>
            <w:r w:rsidRPr="00D4309F">
              <w:rPr>
                <w:spacing w:val="-13"/>
              </w:rPr>
              <w:t xml:space="preserve"> </w:t>
            </w:r>
            <w:r w:rsidRPr="00D4309F">
              <w:t>comprises bare sand</w:t>
            </w:r>
          </w:p>
          <w:p w14:paraId="5ACF6C5C" w14:textId="77777777" w:rsidR="007B7D3D" w:rsidRPr="00D4309F" w:rsidRDefault="007B7D3D" w:rsidP="004C00ED">
            <w:pPr>
              <w:pStyle w:val="Table-Bullet"/>
            </w:pPr>
            <w:r w:rsidRPr="00D4309F">
              <w:t>Further</w:t>
            </w:r>
            <w:r w:rsidRPr="00D4309F">
              <w:rPr>
                <w:spacing w:val="-13"/>
              </w:rPr>
              <w:t xml:space="preserve"> </w:t>
            </w:r>
            <w:r w:rsidRPr="00D4309F">
              <w:t>assessment</w:t>
            </w:r>
            <w:r w:rsidRPr="00D4309F">
              <w:rPr>
                <w:spacing w:val="-12"/>
              </w:rPr>
              <w:t xml:space="preserve"> </w:t>
            </w:r>
            <w:r w:rsidRPr="00D4309F">
              <w:t>is</w:t>
            </w:r>
            <w:r w:rsidRPr="00D4309F">
              <w:rPr>
                <w:spacing w:val="-13"/>
              </w:rPr>
              <w:t xml:space="preserve"> </w:t>
            </w:r>
            <w:r w:rsidRPr="00D4309F">
              <w:t>required to determine if the potential turbidity generated will impact sensitive marine habitats.</w:t>
            </w:r>
          </w:p>
          <w:p w14:paraId="744F4F7F" w14:textId="627CEA6C" w:rsidR="007B7D3D" w:rsidRPr="00D4309F" w:rsidRDefault="007B7D3D" w:rsidP="004C00ED">
            <w:pPr>
              <w:pStyle w:val="Table-Bullet"/>
            </w:pPr>
            <w:r w:rsidRPr="00D4309F">
              <w:t>Bypassing</w:t>
            </w:r>
            <w:r w:rsidRPr="00D4309F">
              <w:rPr>
                <w:spacing w:val="-8"/>
              </w:rPr>
              <w:t xml:space="preserve"> </w:t>
            </w:r>
            <w:r w:rsidRPr="00D4309F">
              <w:t>is</w:t>
            </w:r>
            <w:r w:rsidRPr="00D4309F">
              <w:rPr>
                <w:spacing w:val="-8"/>
              </w:rPr>
              <w:t xml:space="preserve"> </w:t>
            </w:r>
            <w:r w:rsidRPr="00D4309F">
              <w:t>in</w:t>
            </w:r>
            <w:r w:rsidRPr="00D4309F">
              <w:rPr>
                <w:spacing w:val="-8"/>
              </w:rPr>
              <w:t xml:space="preserve"> </w:t>
            </w:r>
            <w:r w:rsidRPr="00D4309F">
              <w:t>a</w:t>
            </w:r>
            <w:r w:rsidRPr="00D4309F">
              <w:rPr>
                <w:spacing w:val="-9"/>
              </w:rPr>
              <w:t xml:space="preserve"> </w:t>
            </w:r>
            <w:r w:rsidRPr="00D4309F">
              <w:t>dynamic,</w:t>
            </w:r>
            <w:r w:rsidRPr="00D4309F">
              <w:rPr>
                <w:spacing w:val="-8"/>
              </w:rPr>
              <w:t xml:space="preserve"> </w:t>
            </w:r>
            <w:r w:rsidRPr="00D4309F">
              <w:t>open ocean environment, any plume will likely dissipate quickly.</w:t>
            </w:r>
          </w:p>
        </w:tc>
        <w:tc>
          <w:tcPr>
            <w:tcW w:w="680" w:type="pct"/>
            <w:tcBorders>
              <w:top w:val="single" w:sz="4" w:space="0" w:color="000000"/>
              <w:bottom w:val="single" w:sz="4" w:space="0" w:color="000000"/>
            </w:tcBorders>
            <w:vAlign w:val="center"/>
          </w:tcPr>
          <w:p w14:paraId="6D3A2BBD" w14:textId="77777777" w:rsidR="007B7D3D" w:rsidRPr="00D4309F" w:rsidRDefault="007B7D3D" w:rsidP="004C00ED">
            <w:pPr>
              <w:pStyle w:val="Table-Bullet"/>
            </w:pPr>
            <w:r w:rsidRPr="00D4309F">
              <w:t>Benthic habitat assessment</w:t>
            </w:r>
            <w:r w:rsidRPr="00D4309F">
              <w:rPr>
                <w:spacing w:val="-15"/>
              </w:rPr>
              <w:t xml:space="preserve"> </w:t>
            </w:r>
            <w:r w:rsidRPr="00D4309F">
              <w:t>in</w:t>
            </w:r>
            <w:r w:rsidRPr="00D4309F">
              <w:rPr>
                <w:spacing w:val="-12"/>
              </w:rPr>
              <w:t xml:space="preserve"> </w:t>
            </w:r>
            <w:r w:rsidRPr="00D4309F">
              <w:t xml:space="preserve">and </w:t>
            </w:r>
            <w:r w:rsidRPr="00D4309F">
              <w:rPr>
                <w:spacing w:val="-2"/>
              </w:rPr>
              <w:t xml:space="preserve">surrounding </w:t>
            </w:r>
            <w:r w:rsidRPr="00D4309F">
              <w:t>bypassing area</w:t>
            </w:r>
          </w:p>
          <w:p w14:paraId="21A9A52A" w14:textId="6BACF130" w:rsidR="007B7D3D" w:rsidRPr="00D4309F" w:rsidRDefault="007B7D3D" w:rsidP="004C00ED">
            <w:pPr>
              <w:pStyle w:val="Table-Bullet"/>
              <w:rPr>
                <w:spacing w:val="-4"/>
              </w:rPr>
            </w:pPr>
            <w:r w:rsidRPr="00D4309F">
              <w:t>Turbidity</w:t>
            </w:r>
            <w:r w:rsidRPr="00D4309F">
              <w:rPr>
                <w:spacing w:val="-5"/>
              </w:rPr>
              <w:t xml:space="preserve"> </w:t>
            </w:r>
            <w:r w:rsidRPr="00D4309F">
              <w:rPr>
                <w:spacing w:val="-2"/>
              </w:rPr>
              <w:t>modelling</w:t>
            </w:r>
          </w:p>
        </w:tc>
        <w:tc>
          <w:tcPr>
            <w:tcW w:w="796" w:type="pct"/>
            <w:tcBorders>
              <w:top w:val="single" w:sz="4" w:space="0" w:color="000000"/>
              <w:bottom w:val="single" w:sz="4" w:space="0" w:color="000000"/>
            </w:tcBorders>
            <w:vAlign w:val="center"/>
          </w:tcPr>
          <w:p w14:paraId="0431F0A3" w14:textId="64AD9E45" w:rsidR="007B7D3D" w:rsidRPr="00D4309F" w:rsidRDefault="007B7D3D" w:rsidP="004C00ED">
            <w:pPr>
              <w:pStyle w:val="Table-Bullet"/>
            </w:pPr>
            <w:r w:rsidRPr="00D4309F">
              <w:t>Turbidity</w:t>
            </w:r>
            <w:r w:rsidRPr="00D4309F">
              <w:rPr>
                <w:spacing w:val="-13"/>
              </w:rPr>
              <w:t xml:space="preserve"> </w:t>
            </w:r>
            <w:r w:rsidRPr="00D4309F">
              <w:t>monitoring during works</w:t>
            </w:r>
          </w:p>
        </w:tc>
      </w:tr>
      <w:tr w:rsidR="007B7D3D" w:rsidRPr="00D4309F" w14:paraId="4E39011E" w14:textId="77777777" w:rsidTr="004C00ED">
        <w:trPr>
          <w:cantSplit/>
          <w:trHeight w:val="20"/>
        </w:trPr>
        <w:tc>
          <w:tcPr>
            <w:tcW w:w="465" w:type="pct"/>
            <w:tcBorders>
              <w:top w:val="single" w:sz="4" w:space="0" w:color="000000"/>
              <w:bottom w:val="single" w:sz="4" w:space="0" w:color="000000"/>
            </w:tcBorders>
            <w:vAlign w:val="center"/>
          </w:tcPr>
          <w:p w14:paraId="68674453" w14:textId="739DA331" w:rsidR="007B7D3D" w:rsidRPr="00D4309F" w:rsidRDefault="007B7D3D" w:rsidP="004C00ED">
            <w:pPr>
              <w:pStyle w:val="Table-Text"/>
            </w:pPr>
            <w:r w:rsidRPr="00D4309F">
              <w:t>Benthic habitats</w:t>
            </w:r>
          </w:p>
        </w:tc>
        <w:tc>
          <w:tcPr>
            <w:tcW w:w="490" w:type="pct"/>
            <w:tcBorders>
              <w:top w:val="single" w:sz="4" w:space="0" w:color="000000"/>
              <w:bottom w:val="single" w:sz="4" w:space="0" w:color="000000"/>
            </w:tcBorders>
            <w:vAlign w:val="center"/>
          </w:tcPr>
          <w:p w14:paraId="5CB52268" w14:textId="018A7EBF" w:rsidR="007B7D3D" w:rsidRPr="00D4309F" w:rsidRDefault="007B7D3D" w:rsidP="004C00ED">
            <w:pPr>
              <w:pStyle w:val="Table-Text"/>
            </w:pPr>
            <w:r w:rsidRPr="00D4309F">
              <w:t>Rocky</w:t>
            </w:r>
            <w:r w:rsidRPr="00D4309F">
              <w:rPr>
                <w:spacing w:val="-13"/>
              </w:rPr>
              <w:t xml:space="preserve"> </w:t>
            </w:r>
            <w:r w:rsidRPr="00D4309F">
              <w:t>reef habitat, seagrass and</w:t>
            </w:r>
            <w:r w:rsidRPr="00D4309F">
              <w:rPr>
                <w:spacing w:val="-9"/>
              </w:rPr>
              <w:t xml:space="preserve"> </w:t>
            </w:r>
            <w:r w:rsidRPr="00D4309F">
              <w:t>corals</w:t>
            </w:r>
          </w:p>
        </w:tc>
        <w:tc>
          <w:tcPr>
            <w:tcW w:w="1073" w:type="pct"/>
            <w:tcBorders>
              <w:top w:val="single" w:sz="4" w:space="0" w:color="000000"/>
              <w:bottom w:val="single" w:sz="4" w:space="0" w:color="000000"/>
            </w:tcBorders>
            <w:vAlign w:val="center"/>
          </w:tcPr>
          <w:p w14:paraId="2BF5CC18" w14:textId="392D2740" w:rsidR="007B7D3D" w:rsidRPr="00D4309F" w:rsidRDefault="007B7D3D" w:rsidP="004C00ED">
            <w:pPr>
              <w:pStyle w:val="Table-Bullet"/>
            </w:pPr>
            <w:r w:rsidRPr="00D4309F">
              <w:t xml:space="preserve">Release of </w:t>
            </w:r>
            <w:r w:rsidRPr="00D4309F">
              <w:rPr>
                <w:spacing w:val="-2"/>
              </w:rPr>
              <w:t>contaminants/hypoxia</w:t>
            </w:r>
          </w:p>
        </w:tc>
        <w:tc>
          <w:tcPr>
            <w:tcW w:w="518" w:type="pct"/>
            <w:tcBorders>
              <w:top w:val="single" w:sz="4" w:space="0" w:color="000000"/>
              <w:bottom w:val="single" w:sz="4" w:space="0" w:color="000000"/>
            </w:tcBorders>
            <w:shd w:val="clear" w:color="auto" w:fill="92D050"/>
            <w:vAlign w:val="center"/>
          </w:tcPr>
          <w:p w14:paraId="0FA3862B" w14:textId="14478F21" w:rsidR="007B7D3D" w:rsidRPr="007B7D3D" w:rsidRDefault="007B7D3D" w:rsidP="004C00ED">
            <w:pPr>
              <w:pStyle w:val="Table-Text"/>
              <w:rPr>
                <w:b/>
                <w:bCs/>
                <w:spacing w:val="-5"/>
              </w:rPr>
            </w:pPr>
            <w:r w:rsidRPr="007B7D3D">
              <w:rPr>
                <w:b/>
                <w:bCs/>
                <w:spacing w:val="-5"/>
              </w:rPr>
              <w:t>Low</w:t>
            </w:r>
          </w:p>
        </w:tc>
        <w:tc>
          <w:tcPr>
            <w:tcW w:w="978" w:type="pct"/>
            <w:tcBorders>
              <w:top w:val="single" w:sz="4" w:space="0" w:color="000000"/>
              <w:bottom w:val="single" w:sz="4" w:space="0" w:color="000000"/>
            </w:tcBorders>
            <w:vAlign w:val="center"/>
          </w:tcPr>
          <w:p w14:paraId="184AB1DE" w14:textId="77777777" w:rsidR="007B7D3D" w:rsidRPr="00D4309F" w:rsidRDefault="007B7D3D" w:rsidP="004C00ED">
            <w:pPr>
              <w:pStyle w:val="Table-Bullet"/>
            </w:pPr>
            <w:r w:rsidRPr="00D4309F">
              <w:t>Dredge sediments likely comprise clean marine sand free</w:t>
            </w:r>
            <w:r w:rsidRPr="00D4309F">
              <w:rPr>
                <w:spacing w:val="-10"/>
              </w:rPr>
              <w:t xml:space="preserve"> </w:t>
            </w:r>
            <w:r w:rsidRPr="00D4309F">
              <w:t>of</w:t>
            </w:r>
            <w:r w:rsidRPr="00D4309F">
              <w:rPr>
                <w:spacing w:val="-10"/>
              </w:rPr>
              <w:t xml:space="preserve"> </w:t>
            </w:r>
            <w:r w:rsidRPr="00D4309F">
              <w:t>contaminants</w:t>
            </w:r>
            <w:r w:rsidRPr="00D4309F">
              <w:rPr>
                <w:spacing w:val="-10"/>
              </w:rPr>
              <w:t xml:space="preserve"> </w:t>
            </w:r>
            <w:r w:rsidRPr="00D4309F">
              <w:t>with</w:t>
            </w:r>
            <w:r w:rsidRPr="00D4309F">
              <w:rPr>
                <w:spacing w:val="-10"/>
              </w:rPr>
              <w:t xml:space="preserve"> </w:t>
            </w:r>
            <w:r w:rsidRPr="00D4309F">
              <w:t>low organic matter content</w:t>
            </w:r>
          </w:p>
          <w:p w14:paraId="0F5EE41C" w14:textId="04965311" w:rsidR="007B7D3D" w:rsidRPr="00D4309F" w:rsidRDefault="007B7D3D" w:rsidP="004C00ED">
            <w:pPr>
              <w:pStyle w:val="Table-Bullet"/>
            </w:pPr>
            <w:r w:rsidRPr="00D4309F">
              <w:t>Rock</w:t>
            </w:r>
            <w:r w:rsidRPr="00D4309F">
              <w:rPr>
                <w:spacing w:val="-10"/>
              </w:rPr>
              <w:t xml:space="preserve"> </w:t>
            </w:r>
            <w:r w:rsidRPr="00D4309F">
              <w:t>is</w:t>
            </w:r>
            <w:r w:rsidRPr="00D4309F">
              <w:rPr>
                <w:spacing w:val="-10"/>
              </w:rPr>
              <w:t xml:space="preserve"> </w:t>
            </w:r>
            <w:r w:rsidRPr="00D4309F">
              <w:t>likely</w:t>
            </w:r>
            <w:r w:rsidRPr="00D4309F">
              <w:rPr>
                <w:spacing w:val="-10"/>
              </w:rPr>
              <w:t xml:space="preserve"> </w:t>
            </w:r>
            <w:r w:rsidRPr="00D4309F">
              <w:t>to</w:t>
            </w:r>
            <w:r w:rsidRPr="00D4309F">
              <w:rPr>
                <w:spacing w:val="-11"/>
              </w:rPr>
              <w:t xml:space="preserve"> </w:t>
            </w:r>
            <w:r w:rsidRPr="00D4309F">
              <w:t xml:space="preserve">be </w:t>
            </w:r>
            <w:r w:rsidRPr="00D4309F">
              <w:rPr>
                <w:spacing w:val="-2"/>
              </w:rPr>
              <w:t>uncontaminated</w:t>
            </w:r>
          </w:p>
        </w:tc>
        <w:tc>
          <w:tcPr>
            <w:tcW w:w="680" w:type="pct"/>
            <w:tcBorders>
              <w:top w:val="single" w:sz="4" w:space="0" w:color="000000"/>
              <w:bottom w:val="single" w:sz="4" w:space="0" w:color="000000"/>
            </w:tcBorders>
            <w:vAlign w:val="center"/>
          </w:tcPr>
          <w:p w14:paraId="4661BA66" w14:textId="15FD563F" w:rsidR="007B7D3D" w:rsidRPr="00D4309F" w:rsidRDefault="007B7D3D" w:rsidP="004C00ED">
            <w:pPr>
              <w:pStyle w:val="Table-Bullet"/>
              <w:rPr>
                <w:spacing w:val="-4"/>
              </w:rPr>
            </w:pPr>
            <w:r w:rsidRPr="00D4309F">
              <w:t>Assumption that suitable</w:t>
            </w:r>
            <w:r w:rsidRPr="00D4309F">
              <w:rPr>
                <w:spacing w:val="-15"/>
              </w:rPr>
              <w:t xml:space="preserve"> </w:t>
            </w:r>
            <w:r w:rsidRPr="00D4309F">
              <w:t>data</w:t>
            </w:r>
            <w:r w:rsidRPr="00D4309F">
              <w:rPr>
                <w:spacing w:val="-12"/>
              </w:rPr>
              <w:t xml:space="preserve"> </w:t>
            </w:r>
            <w:r w:rsidRPr="00D4309F">
              <w:t>exists to inform this risk</w:t>
            </w:r>
          </w:p>
        </w:tc>
        <w:tc>
          <w:tcPr>
            <w:tcW w:w="796" w:type="pct"/>
            <w:tcBorders>
              <w:top w:val="single" w:sz="4" w:space="0" w:color="000000"/>
              <w:bottom w:val="single" w:sz="4" w:space="0" w:color="000000"/>
            </w:tcBorders>
            <w:vAlign w:val="center"/>
          </w:tcPr>
          <w:p w14:paraId="2E38A5AF" w14:textId="32E262AA" w:rsidR="007B7D3D" w:rsidRPr="00D4309F" w:rsidRDefault="007B7D3D" w:rsidP="004C00ED">
            <w:pPr>
              <w:pStyle w:val="Table-Bullet"/>
            </w:pPr>
            <w:r w:rsidRPr="00D4309F">
              <w:rPr>
                <w:color w:val="211E1F"/>
                <w:spacing w:val="-4"/>
              </w:rPr>
              <w:t>None</w:t>
            </w:r>
          </w:p>
        </w:tc>
      </w:tr>
      <w:tr w:rsidR="007B7D3D" w:rsidRPr="00D4309F" w14:paraId="2063C93F" w14:textId="77777777" w:rsidTr="004C00ED">
        <w:trPr>
          <w:cantSplit/>
          <w:trHeight w:val="20"/>
        </w:trPr>
        <w:tc>
          <w:tcPr>
            <w:tcW w:w="465" w:type="pct"/>
            <w:tcBorders>
              <w:top w:val="single" w:sz="4" w:space="0" w:color="000000"/>
              <w:bottom w:val="single" w:sz="4" w:space="0" w:color="000000"/>
            </w:tcBorders>
            <w:vAlign w:val="center"/>
          </w:tcPr>
          <w:p w14:paraId="212F28C8" w14:textId="50B851C6" w:rsidR="007B7D3D" w:rsidRPr="00D4309F" w:rsidRDefault="007B7D3D" w:rsidP="004C00ED">
            <w:pPr>
              <w:pStyle w:val="Table-Text"/>
            </w:pPr>
            <w:r w:rsidRPr="00D4309F">
              <w:lastRenderedPageBreak/>
              <w:t>Terrestrial</w:t>
            </w:r>
            <w:r w:rsidRPr="00D4309F">
              <w:rPr>
                <w:spacing w:val="-15"/>
              </w:rPr>
              <w:t xml:space="preserve"> </w:t>
            </w:r>
            <w:r w:rsidRPr="00D4309F">
              <w:t>fauna</w:t>
            </w:r>
            <w:r w:rsidRPr="00D4309F">
              <w:rPr>
                <w:spacing w:val="-12"/>
              </w:rPr>
              <w:t xml:space="preserve"> </w:t>
            </w:r>
            <w:r w:rsidRPr="00D4309F">
              <w:t>including shorebirds and raptors</w:t>
            </w:r>
          </w:p>
        </w:tc>
        <w:tc>
          <w:tcPr>
            <w:tcW w:w="490" w:type="pct"/>
            <w:tcBorders>
              <w:top w:val="single" w:sz="4" w:space="0" w:color="000000"/>
              <w:bottom w:val="single" w:sz="4" w:space="0" w:color="000000"/>
            </w:tcBorders>
            <w:vAlign w:val="center"/>
          </w:tcPr>
          <w:p w14:paraId="293C57E0" w14:textId="5E586495" w:rsidR="007B7D3D" w:rsidRPr="00D4309F" w:rsidRDefault="007B7D3D" w:rsidP="004C00ED">
            <w:pPr>
              <w:pStyle w:val="Table-Text"/>
            </w:pPr>
          </w:p>
        </w:tc>
        <w:tc>
          <w:tcPr>
            <w:tcW w:w="1073" w:type="pct"/>
            <w:tcBorders>
              <w:top w:val="single" w:sz="4" w:space="0" w:color="000000"/>
              <w:bottom w:val="single" w:sz="4" w:space="0" w:color="000000"/>
            </w:tcBorders>
            <w:vAlign w:val="center"/>
          </w:tcPr>
          <w:p w14:paraId="1CCB441E" w14:textId="77777777" w:rsidR="007B7D3D" w:rsidRPr="00D4309F" w:rsidRDefault="007B7D3D" w:rsidP="004C00ED">
            <w:pPr>
              <w:pStyle w:val="Table-Bullet"/>
            </w:pPr>
            <w:r w:rsidRPr="00D4309F">
              <w:rPr>
                <w:spacing w:val="-2"/>
              </w:rPr>
              <w:t xml:space="preserve">Mortality/injury/behavioural </w:t>
            </w:r>
            <w:r w:rsidRPr="00D4309F">
              <w:t>response</w:t>
            </w:r>
            <w:r w:rsidRPr="00D4309F">
              <w:rPr>
                <w:spacing w:val="-11"/>
              </w:rPr>
              <w:t xml:space="preserve"> </w:t>
            </w:r>
            <w:r w:rsidRPr="00D4309F">
              <w:t>due</w:t>
            </w:r>
            <w:r w:rsidRPr="00D4309F">
              <w:rPr>
                <w:spacing w:val="-11"/>
              </w:rPr>
              <w:t xml:space="preserve"> </w:t>
            </w:r>
            <w:r w:rsidRPr="00D4309F">
              <w:t>to</w:t>
            </w:r>
            <w:r w:rsidRPr="00D4309F">
              <w:rPr>
                <w:spacing w:val="-11"/>
              </w:rPr>
              <w:t xml:space="preserve"> </w:t>
            </w:r>
            <w:r w:rsidRPr="00D4309F">
              <w:t>noise</w:t>
            </w:r>
            <w:r w:rsidRPr="00D4309F">
              <w:rPr>
                <w:spacing w:val="-10"/>
              </w:rPr>
              <w:t xml:space="preserve"> </w:t>
            </w:r>
            <w:r w:rsidRPr="00D4309F">
              <w:t>during construction and bypassing</w:t>
            </w:r>
          </w:p>
          <w:p w14:paraId="3D00FA0B" w14:textId="77777777" w:rsidR="007B7D3D" w:rsidRPr="00D4309F" w:rsidRDefault="007B7D3D" w:rsidP="004C00ED">
            <w:pPr>
              <w:pStyle w:val="Table-Bullet"/>
            </w:pPr>
            <w:r w:rsidRPr="00D4309F">
              <w:rPr>
                <w:spacing w:val="-2"/>
              </w:rPr>
              <w:t xml:space="preserve">Mortality/injury/behavioural </w:t>
            </w:r>
            <w:r w:rsidRPr="00D4309F">
              <w:t>response due to dust at Mooloolaba Main Beach</w:t>
            </w:r>
          </w:p>
          <w:p w14:paraId="69855099" w14:textId="77777777" w:rsidR="007B7D3D" w:rsidRPr="00D4309F" w:rsidRDefault="007B7D3D" w:rsidP="004C00ED">
            <w:pPr>
              <w:pStyle w:val="Table-Bullet"/>
            </w:pPr>
            <w:r w:rsidRPr="00D4309F">
              <w:t>Behavioural</w:t>
            </w:r>
            <w:r w:rsidRPr="00D4309F">
              <w:rPr>
                <w:spacing w:val="-12"/>
              </w:rPr>
              <w:t xml:space="preserve"> </w:t>
            </w:r>
            <w:r w:rsidRPr="00D4309F">
              <w:t>response</w:t>
            </w:r>
            <w:r w:rsidRPr="00D4309F">
              <w:rPr>
                <w:spacing w:val="-13"/>
              </w:rPr>
              <w:t xml:space="preserve"> </w:t>
            </w:r>
            <w:r w:rsidRPr="00D4309F">
              <w:t>due</w:t>
            </w:r>
            <w:r w:rsidRPr="00D4309F">
              <w:rPr>
                <w:spacing w:val="-12"/>
              </w:rPr>
              <w:t xml:space="preserve"> </w:t>
            </w:r>
            <w:r w:rsidRPr="00D4309F">
              <w:t xml:space="preserve">to light during construction and </w:t>
            </w:r>
            <w:r w:rsidRPr="00D4309F">
              <w:rPr>
                <w:spacing w:val="-2"/>
              </w:rPr>
              <w:t>maintenance</w:t>
            </w:r>
          </w:p>
          <w:p w14:paraId="3A71E296" w14:textId="77777777" w:rsidR="007B7D3D" w:rsidRPr="00D4309F" w:rsidRDefault="007B7D3D" w:rsidP="004C00ED">
            <w:pPr>
              <w:pStyle w:val="Table-Bullet"/>
            </w:pPr>
            <w:r w:rsidRPr="00D4309F">
              <w:rPr>
                <w:spacing w:val="-2"/>
              </w:rPr>
              <w:t xml:space="preserve">Mortality/injury/behavioural </w:t>
            </w:r>
            <w:r w:rsidRPr="00D4309F">
              <w:t xml:space="preserve">response due physical presence of bypassing </w:t>
            </w:r>
            <w:r w:rsidRPr="00D4309F">
              <w:rPr>
                <w:spacing w:val="-2"/>
              </w:rPr>
              <w:t>equipment</w:t>
            </w:r>
          </w:p>
          <w:p w14:paraId="3E0E68A3" w14:textId="77777777" w:rsidR="007B7D3D" w:rsidRPr="00D4309F" w:rsidRDefault="007B7D3D" w:rsidP="004C00ED">
            <w:pPr>
              <w:pStyle w:val="Table-Bullet"/>
            </w:pPr>
            <w:r w:rsidRPr="00D4309F">
              <w:t>Mortality/injury</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onshore plant and vehicle movement</w:t>
            </w:r>
          </w:p>
          <w:p w14:paraId="0B03F057" w14:textId="49D10E61" w:rsidR="007B7D3D" w:rsidRPr="00D4309F" w:rsidRDefault="007B7D3D" w:rsidP="004C00ED">
            <w:pPr>
              <w:pStyle w:val="Table-Bullet"/>
            </w:pPr>
            <w:r w:rsidRPr="00D4309F">
              <w:t>Loss of habitat due to onshore construction</w:t>
            </w:r>
            <w:r w:rsidRPr="00D4309F">
              <w:rPr>
                <w:spacing w:val="-13"/>
              </w:rPr>
              <w:t xml:space="preserve"> </w:t>
            </w:r>
            <w:r w:rsidRPr="00D4309F">
              <w:t>of</w:t>
            </w:r>
            <w:r w:rsidRPr="00D4309F">
              <w:rPr>
                <w:spacing w:val="-12"/>
              </w:rPr>
              <w:t xml:space="preserve"> </w:t>
            </w:r>
            <w:r w:rsidRPr="00D4309F">
              <w:t>pumping</w:t>
            </w:r>
            <w:r w:rsidRPr="00D4309F">
              <w:rPr>
                <w:spacing w:val="-13"/>
              </w:rPr>
              <w:t xml:space="preserve"> </w:t>
            </w:r>
            <w:r w:rsidRPr="00D4309F">
              <w:t>station</w:t>
            </w:r>
          </w:p>
        </w:tc>
        <w:tc>
          <w:tcPr>
            <w:tcW w:w="518" w:type="pct"/>
            <w:tcBorders>
              <w:top w:val="single" w:sz="4" w:space="0" w:color="000000"/>
              <w:bottom w:val="single" w:sz="4" w:space="0" w:color="000000"/>
            </w:tcBorders>
            <w:shd w:val="clear" w:color="auto" w:fill="FFC000"/>
            <w:vAlign w:val="center"/>
          </w:tcPr>
          <w:p w14:paraId="3127E36B" w14:textId="74217EEB" w:rsidR="007B7D3D" w:rsidRPr="007B7D3D" w:rsidRDefault="007B7D3D" w:rsidP="004C00ED">
            <w:pPr>
              <w:pStyle w:val="Table-Text"/>
              <w:rPr>
                <w:b/>
                <w:bCs/>
                <w:spacing w:val="-5"/>
              </w:rPr>
            </w:pPr>
            <w:r w:rsidRPr="007B7D3D">
              <w:rPr>
                <w:b/>
                <w:bCs/>
              </w:rPr>
              <w:t xml:space="preserve">High (for </w:t>
            </w:r>
            <w:r w:rsidRPr="007B7D3D">
              <w:rPr>
                <w:b/>
                <w:bCs/>
                <w:spacing w:val="-2"/>
              </w:rPr>
              <w:t>construction)</w:t>
            </w:r>
          </w:p>
        </w:tc>
        <w:tc>
          <w:tcPr>
            <w:tcW w:w="978" w:type="pct"/>
            <w:tcBorders>
              <w:top w:val="single" w:sz="4" w:space="0" w:color="000000"/>
              <w:bottom w:val="single" w:sz="4" w:space="0" w:color="000000"/>
            </w:tcBorders>
            <w:vAlign w:val="center"/>
          </w:tcPr>
          <w:p w14:paraId="440EFBDA" w14:textId="77777777" w:rsidR="007B7D3D" w:rsidRPr="00D4309F" w:rsidRDefault="007B7D3D" w:rsidP="004C00ED">
            <w:pPr>
              <w:pStyle w:val="Table-Bullet"/>
            </w:pPr>
            <w:r w:rsidRPr="00D4309F">
              <w:t>Several species listed as vulnerable</w:t>
            </w:r>
            <w:r w:rsidRPr="00D4309F">
              <w:rPr>
                <w:spacing w:val="-13"/>
              </w:rPr>
              <w:t xml:space="preserve"> </w:t>
            </w:r>
            <w:r w:rsidRPr="00D4309F">
              <w:t>or</w:t>
            </w:r>
            <w:r w:rsidRPr="00D4309F">
              <w:rPr>
                <w:spacing w:val="-12"/>
              </w:rPr>
              <w:t xml:space="preserve"> </w:t>
            </w:r>
            <w:r w:rsidRPr="00D4309F">
              <w:t>endangered</w:t>
            </w:r>
            <w:r w:rsidRPr="00D4309F">
              <w:rPr>
                <w:spacing w:val="-13"/>
              </w:rPr>
              <w:t xml:space="preserve"> </w:t>
            </w:r>
            <w:r w:rsidRPr="00D4309F">
              <w:t>may occur in the project area</w:t>
            </w:r>
          </w:p>
          <w:p w14:paraId="624C40FB" w14:textId="0DE0A50D" w:rsidR="007B7D3D" w:rsidRPr="00D4309F" w:rsidRDefault="007B7D3D" w:rsidP="004C00ED">
            <w:pPr>
              <w:pStyle w:val="Table-Bullet"/>
            </w:pPr>
            <w:r w:rsidRPr="00D4309F">
              <w:t>Timing</w:t>
            </w:r>
            <w:r w:rsidRPr="00D4309F">
              <w:rPr>
                <w:spacing w:val="-9"/>
              </w:rPr>
              <w:t xml:space="preserve"> </w:t>
            </w:r>
            <w:r w:rsidRPr="00D4309F">
              <w:t>of</w:t>
            </w:r>
            <w:r w:rsidRPr="00D4309F">
              <w:rPr>
                <w:spacing w:val="-8"/>
              </w:rPr>
              <w:t xml:space="preserve"> </w:t>
            </w:r>
            <w:r w:rsidRPr="00D4309F">
              <w:t>works</w:t>
            </w:r>
            <w:r w:rsidRPr="00D4309F">
              <w:rPr>
                <w:spacing w:val="-8"/>
              </w:rPr>
              <w:t xml:space="preserve"> </w:t>
            </w:r>
            <w:r w:rsidRPr="00D4309F">
              <w:t>outside</w:t>
            </w:r>
            <w:r w:rsidRPr="00D4309F">
              <w:rPr>
                <w:spacing w:val="-9"/>
              </w:rPr>
              <w:t xml:space="preserve"> </w:t>
            </w:r>
            <w:r w:rsidRPr="00D4309F">
              <w:t>of</w:t>
            </w:r>
            <w:r w:rsidRPr="00D4309F">
              <w:rPr>
                <w:spacing w:val="-8"/>
              </w:rPr>
              <w:t xml:space="preserve"> </w:t>
            </w:r>
            <w:r w:rsidRPr="00D4309F">
              <w:t>peak aggregation periods for migratory shorebirds</w:t>
            </w:r>
          </w:p>
        </w:tc>
        <w:tc>
          <w:tcPr>
            <w:tcW w:w="680" w:type="pct"/>
            <w:tcBorders>
              <w:top w:val="single" w:sz="4" w:space="0" w:color="000000"/>
              <w:bottom w:val="single" w:sz="4" w:space="0" w:color="000000"/>
            </w:tcBorders>
            <w:vAlign w:val="center"/>
          </w:tcPr>
          <w:p w14:paraId="2265D778" w14:textId="7E28A8CE" w:rsidR="007B7D3D" w:rsidRPr="00D4309F" w:rsidRDefault="007B7D3D" w:rsidP="004C00ED">
            <w:pPr>
              <w:pStyle w:val="Table-Bullet"/>
              <w:rPr>
                <w:spacing w:val="-4"/>
              </w:rPr>
            </w:pPr>
            <w:r w:rsidRPr="00D4309F">
              <w:t>A</w:t>
            </w:r>
            <w:r w:rsidRPr="00D4309F">
              <w:rPr>
                <w:spacing w:val="-15"/>
              </w:rPr>
              <w:t xml:space="preserve"> </w:t>
            </w:r>
            <w:r w:rsidRPr="00D4309F">
              <w:t>terrestrial</w:t>
            </w:r>
            <w:r w:rsidRPr="00D4309F">
              <w:rPr>
                <w:spacing w:val="-12"/>
              </w:rPr>
              <w:t xml:space="preserve"> </w:t>
            </w:r>
            <w:r w:rsidRPr="00D4309F">
              <w:t xml:space="preserve">fauna </w:t>
            </w:r>
            <w:r w:rsidRPr="00D4309F">
              <w:rPr>
                <w:spacing w:val="-2"/>
              </w:rPr>
              <w:t>assessment</w:t>
            </w:r>
          </w:p>
        </w:tc>
        <w:tc>
          <w:tcPr>
            <w:tcW w:w="796" w:type="pct"/>
            <w:tcBorders>
              <w:top w:val="single" w:sz="4" w:space="0" w:color="000000"/>
              <w:bottom w:val="single" w:sz="4" w:space="0" w:color="000000"/>
            </w:tcBorders>
            <w:vAlign w:val="center"/>
          </w:tcPr>
          <w:p w14:paraId="78E0D2CE" w14:textId="77777777" w:rsidR="007B7D3D" w:rsidRPr="00D4309F" w:rsidRDefault="007B7D3D" w:rsidP="004C00ED">
            <w:pPr>
              <w:pStyle w:val="Table-Bullet"/>
            </w:pPr>
            <w:r w:rsidRPr="00D4309F">
              <w:t>Timing</w:t>
            </w:r>
            <w:r w:rsidRPr="00D4309F">
              <w:rPr>
                <w:spacing w:val="-13"/>
              </w:rPr>
              <w:t xml:space="preserve"> </w:t>
            </w:r>
            <w:r w:rsidRPr="00D4309F">
              <w:t>of</w:t>
            </w:r>
            <w:r w:rsidRPr="00D4309F">
              <w:rPr>
                <w:spacing w:val="-12"/>
              </w:rPr>
              <w:t xml:space="preserve"> </w:t>
            </w:r>
            <w:r w:rsidRPr="00D4309F">
              <w:t>works</w:t>
            </w:r>
            <w:r w:rsidRPr="00D4309F">
              <w:rPr>
                <w:spacing w:val="-13"/>
              </w:rPr>
              <w:t xml:space="preserve"> </w:t>
            </w:r>
            <w:r w:rsidRPr="00D4309F">
              <w:t xml:space="preserve">outside of peak aggregation periods for migratory </w:t>
            </w:r>
            <w:r w:rsidRPr="00D4309F">
              <w:rPr>
                <w:spacing w:val="-2"/>
              </w:rPr>
              <w:t>shorebirds</w:t>
            </w:r>
          </w:p>
          <w:p w14:paraId="64041F4C" w14:textId="77777777" w:rsidR="007B7D3D" w:rsidRPr="00D4309F" w:rsidRDefault="007B7D3D" w:rsidP="004C00ED">
            <w:pPr>
              <w:pStyle w:val="Table-Bullet"/>
            </w:pPr>
            <w:r w:rsidRPr="00D4309F">
              <w:t>Limitation of works to daylight hours or if necessary,</w:t>
            </w:r>
            <w:r w:rsidRPr="00D4309F">
              <w:rPr>
                <w:spacing w:val="-15"/>
              </w:rPr>
              <w:t xml:space="preserve"> </w:t>
            </w:r>
            <w:r w:rsidRPr="00D4309F">
              <w:t>standard</w:t>
            </w:r>
            <w:r w:rsidRPr="00D4309F">
              <w:rPr>
                <w:spacing w:val="-12"/>
              </w:rPr>
              <w:t xml:space="preserve"> </w:t>
            </w:r>
            <w:r w:rsidRPr="00D4309F">
              <w:t>light mitigation procedures</w:t>
            </w:r>
          </w:p>
          <w:p w14:paraId="0D318732" w14:textId="77777777" w:rsidR="007B7D3D" w:rsidRPr="00D4309F" w:rsidRDefault="007B7D3D" w:rsidP="004C00ED">
            <w:pPr>
              <w:pStyle w:val="Table-Bullet"/>
            </w:pPr>
            <w:r w:rsidRPr="00D4309F">
              <w:t>Standard fauna mitigation practices including</w:t>
            </w:r>
            <w:r w:rsidRPr="00D4309F">
              <w:rPr>
                <w:spacing w:val="-15"/>
              </w:rPr>
              <w:t xml:space="preserve"> </w:t>
            </w:r>
            <w:r w:rsidRPr="00D4309F">
              <w:t>monitoring</w:t>
            </w:r>
            <w:r w:rsidRPr="00D4309F">
              <w:rPr>
                <w:spacing w:val="-12"/>
              </w:rPr>
              <w:t xml:space="preserve"> </w:t>
            </w:r>
            <w:r w:rsidRPr="00D4309F">
              <w:t>for conservation</w:t>
            </w:r>
            <w:r w:rsidRPr="00D4309F">
              <w:rPr>
                <w:spacing w:val="-13"/>
              </w:rPr>
              <w:t xml:space="preserve"> </w:t>
            </w:r>
            <w:r w:rsidRPr="00D4309F">
              <w:t>significant fauna, management of fauna entrapment in construction trenches, appropriate fencing of work area</w:t>
            </w:r>
          </w:p>
          <w:p w14:paraId="401C41CF" w14:textId="77777777" w:rsidR="007B7D3D" w:rsidRPr="00D4309F" w:rsidRDefault="007B7D3D" w:rsidP="004C00ED">
            <w:pPr>
              <w:pStyle w:val="Table-Bullet"/>
            </w:pPr>
            <w:r w:rsidRPr="00D4309F">
              <w:t>Fauna</w:t>
            </w:r>
            <w:r w:rsidRPr="00D4309F">
              <w:rPr>
                <w:spacing w:val="-13"/>
              </w:rPr>
              <w:t xml:space="preserve"> </w:t>
            </w:r>
            <w:r w:rsidRPr="00D4309F">
              <w:t xml:space="preserve">relocation </w:t>
            </w:r>
            <w:r w:rsidRPr="00D4309F">
              <w:rPr>
                <w:spacing w:val="-2"/>
              </w:rPr>
              <w:t>procedures</w:t>
            </w:r>
          </w:p>
          <w:p w14:paraId="17158854" w14:textId="77777777" w:rsidR="007B7D3D" w:rsidRPr="00D4309F" w:rsidRDefault="007B7D3D" w:rsidP="004C00ED">
            <w:pPr>
              <w:pStyle w:val="Table-Bullet"/>
            </w:pPr>
            <w:r w:rsidRPr="00D4309F">
              <w:t>Waste</w:t>
            </w:r>
            <w:r w:rsidRPr="00D4309F">
              <w:rPr>
                <w:spacing w:val="-13"/>
              </w:rPr>
              <w:t xml:space="preserve"> </w:t>
            </w:r>
            <w:r w:rsidRPr="00D4309F">
              <w:t xml:space="preserve">management </w:t>
            </w:r>
            <w:r w:rsidRPr="00D4309F">
              <w:rPr>
                <w:spacing w:val="-2"/>
              </w:rPr>
              <w:t>procedures</w:t>
            </w:r>
          </w:p>
          <w:p w14:paraId="3807DADB" w14:textId="301BC819" w:rsidR="007B7D3D" w:rsidRPr="00D4309F" w:rsidRDefault="007B7D3D" w:rsidP="004C00ED">
            <w:pPr>
              <w:pStyle w:val="Table-Bullet"/>
            </w:pPr>
            <w:r w:rsidRPr="00D4309F">
              <w:t>Revegetation</w:t>
            </w:r>
            <w:r w:rsidRPr="00D4309F">
              <w:rPr>
                <w:spacing w:val="-15"/>
              </w:rPr>
              <w:t xml:space="preserve"> </w:t>
            </w:r>
            <w:r w:rsidRPr="00D4309F">
              <w:t>of</w:t>
            </w:r>
            <w:r w:rsidRPr="00D4309F">
              <w:rPr>
                <w:spacing w:val="-12"/>
              </w:rPr>
              <w:t xml:space="preserve"> </w:t>
            </w:r>
            <w:r w:rsidRPr="00D4309F">
              <w:t>cleared areas</w:t>
            </w:r>
            <w:r w:rsidRPr="00D4309F">
              <w:rPr>
                <w:spacing w:val="-10"/>
              </w:rPr>
              <w:t xml:space="preserve"> </w:t>
            </w:r>
            <w:r w:rsidRPr="00D4309F">
              <w:t>post-construction</w:t>
            </w:r>
          </w:p>
        </w:tc>
      </w:tr>
      <w:tr w:rsidR="007B7D3D" w:rsidRPr="00D4309F" w14:paraId="02C39BE5" w14:textId="77777777" w:rsidTr="004C00ED">
        <w:trPr>
          <w:cantSplit/>
          <w:trHeight w:val="20"/>
        </w:trPr>
        <w:tc>
          <w:tcPr>
            <w:tcW w:w="465" w:type="pct"/>
            <w:tcBorders>
              <w:top w:val="single" w:sz="4" w:space="0" w:color="000000"/>
              <w:bottom w:val="single" w:sz="4" w:space="0" w:color="000000"/>
            </w:tcBorders>
            <w:vAlign w:val="center"/>
          </w:tcPr>
          <w:p w14:paraId="18C38053" w14:textId="47D73444" w:rsidR="007B7D3D" w:rsidRPr="00D4309F" w:rsidRDefault="007B7D3D" w:rsidP="004C00ED">
            <w:pPr>
              <w:pStyle w:val="Table-Text"/>
            </w:pPr>
            <w:r w:rsidRPr="00D4309F">
              <w:lastRenderedPageBreak/>
              <w:t>Terrestrial</w:t>
            </w:r>
            <w:r w:rsidRPr="00D4309F">
              <w:rPr>
                <w:spacing w:val="-4"/>
              </w:rPr>
              <w:t xml:space="preserve"> </w:t>
            </w:r>
            <w:r w:rsidRPr="00D4309F">
              <w:t>flora</w:t>
            </w:r>
          </w:p>
        </w:tc>
        <w:tc>
          <w:tcPr>
            <w:tcW w:w="490" w:type="pct"/>
            <w:tcBorders>
              <w:top w:val="single" w:sz="4" w:space="0" w:color="000000"/>
              <w:bottom w:val="single" w:sz="4" w:space="0" w:color="000000"/>
            </w:tcBorders>
            <w:vAlign w:val="center"/>
          </w:tcPr>
          <w:p w14:paraId="1F1EAAD3" w14:textId="77777777" w:rsidR="007B7D3D" w:rsidRPr="00D4309F" w:rsidRDefault="007B7D3D" w:rsidP="004C00ED">
            <w:pPr>
              <w:pStyle w:val="Table-Text"/>
            </w:pPr>
          </w:p>
        </w:tc>
        <w:tc>
          <w:tcPr>
            <w:tcW w:w="1073" w:type="pct"/>
            <w:tcBorders>
              <w:top w:val="single" w:sz="4" w:space="0" w:color="000000"/>
              <w:bottom w:val="single" w:sz="4" w:space="0" w:color="000000"/>
            </w:tcBorders>
            <w:vAlign w:val="center"/>
          </w:tcPr>
          <w:p w14:paraId="25FCDE5B" w14:textId="77777777" w:rsidR="007B7D3D" w:rsidRPr="00D4309F" w:rsidRDefault="007B7D3D" w:rsidP="004C00ED">
            <w:pPr>
              <w:pStyle w:val="Table-Bullet"/>
            </w:pPr>
            <w:r w:rsidRPr="00D4309F">
              <w:t>Direct</w:t>
            </w:r>
            <w:r w:rsidRPr="00D4309F">
              <w:rPr>
                <w:spacing w:val="-3"/>
              </w:rPr>
              <w:t xml:space="preserve"> </w:t>
            </w:r>
            <w:r w:rsidRPr="00D4309F">
              <w:t>clearing</w:t>
            </w:r>
            <w:r w:rsidRPr="00D4309F">
              <w:rPr>
                <w:spacing w:val="-3"/>
              </w:rPr>
              <w:t xml:space="preserve"> </w:t>
            </w:r>
            <w:r w:rsidRPr="00D4309F">
              <w:t>of</w:t>
            </w:r>
            <w:r w:rsidRPr="00D4309F">
              <w:rPr>
                <w:spacing w:val="-2"/>
              </w:rPr>
              <w:t xml:space="preserve"> vegetation</w:t>
            </w:r>
          </w:p>
          <w:p w14:paraId="768C1CBE" w14:textId="70EAFEA1" w:rsidR="007B7D3D" w:rsidRPr="00D4309F" w:rsidRDefault="007B7D3D" w:rsidP="004C00ED">
            <w:pPr>
              <w:pStyle w:val="Table-Bullet"/>
            </w:pPr>
            <w:r w:rsidRPr="00D4309F">
              <w:t>Smothering</w:t>
            </w:r>
            <w:r w:rsidRPr="00D4309F">
              <w:rPr>
                <w:spacing w:val="-13"/>
              </w:rPr>
              <w:t xml:space="preserve"> </w:t>
            </w:r>
            <w:r w:rsidRPr="00D4309F">
              <w:t>and</w:t>
            </w:r>
            <w:r w:rsidRPr="00D4309F">
              <w:rPr>
                <w:spacing w:val="-12"/>
              </w:rPr>
              <w:t xml:space="preserve"> </w:t>
            </w:r>
            <w:r w:rsidRPr="00D4309F">
              <w:t>degradation</w:t>
            </w:r>
            <w:r w:rsidRPr="00D4309F">
              <w:rPr>
                <w:spacing w:val="-13"/>
              </w:rPr>
              <w:t xml:space="preserve"> </w:t>
            </w:r>
            <w:r w:rsidRPr="00D4309F">
              <w:t>of habitat due to dust generation from bypassing at Mooloolaba Main Beach</w:t>
            </w:r>
          </w:p>
        </w:tc>
        <w:tc>
          <w:tcPr>
            <w:tcW w:w="518" w:type="pct"/>
            <w:tcBorders>
              <w:top w:val="single" w:sz="4" w:space="0" w:color="000000"/>
              <w:bottom w:val="single" w:sz="4" w:space="0" w:color="000000"/>
            </w:tcBorders>
            <w:shd w:val="clear" w:color="auto" w:fill="FFC000"/>
            <w:vAlign w:val="center"/>
          </w:tcPr>
          <w:p w14:paraId="783798C9" w14:textId="023761D3" w:rsidR="007B7D3D" w:rsidRPr="007B7D3D" w:rsidRDefault="007B7D3D" w:rsidP="004C00ED">
            <w:pPr>
              <w:pStyle w:val="Table-Text"/>
              <w:rPr>
                <w:b/>
                <w:bCs/>
                <w:spacing w:val="-5"/>
              </w:rPr>
            </w:pPr>
            <w:r w:rsidRPr="007B7D3D">
              <w:rPr>
                <w:b/>
                <w:bCs/>
              </w:rPr>
              <w:t xml:space="preserve">High (for </w:t>
            </w:r>
            <w:r w:rsidRPr="007B7D3D">
              <w:rPr>
                <w:b/>
                <w:bCs/>
                <w:spacing w:val="-2"/>
              </w:rPr>
              <w:t>construction)</w:t>
            </w:r>
          </w:p>
        </w:tc>
        <w:tc>
          <w:tcPr>
            <w:tcW w:w="978" w:type="pct"/>
            <w:tcBorders>
              <w:top w:val="single" w:sz="4" w:space="0" w:color="000000"/>
              <w:bottom w:val="single" w:sz="4" w:space="0" w:color="000000"/>
            </w:tcBorders>
            <w:vAlign w:val="center"/>
          </w:tcPr>
          <w:p w14:paraId="07ED494A" w14:textId="21B08E88" w:rsidR="007B7D3D" w:rsidRPr="00D4309F" w:rsidRDefault="007B7D3D" w:rsidP="004C00ED">
            <w:pPr>
              <w:pStyle w:val="Table-Bullet"/>
            </w:pPr>
            <w:r w:rsidRPr="00D4309F">
              <w:t>Several</w:t>
            </w:r>
            <w:r w:rsidRPr="00D4309F">
              <w:rPr>
                <w:spacing w:val="-10"/>
              </w:rPr>
              <w:t xml:space="preserve"> </w:t>
            </w:r>
            <w:r w:rsidRPr="00D4309F">
              <w:t>MSES</w:t>
            </w:r>
            <w:r w:rsidRPr="00D4309F">
              <w:rPr>
                <w:spacing w:val="-10"/>
              </w:rPr>
              <w:t xml:space="preserve"> </w:t>
            </w:r>
            <w:r w:rsidRPr="00D4309F">
              <w:t>and</w:t>
            </w:r>
            <w:r w:rsidRPr="00D4309F">
              <w:rPr>
                <w:spacing w:val="-10"/>
              </w:rPr>
              <w:t xml:space="preserve"> </w:t>
            </w:r>
            <w:r w:rsidRPr="00D4309F">
              <w:t>TECs</w:t>
            </w:r>
            <w:r w:rsidRPr="00D4309F">
              <w:rPr>
                <w:spacing w:val="-10"/>
              </w:rPr>
              <w:t xml:space="preserve"> </w:t>
            </w:r>
            <w:r w:rsidRPr="00D4309F">
              <w:t>occur in the project area</w:t>
            </w:r>
          </w:p>
        </w:tc>
        <w:tc>
          <w:tcPr>
            <w:tcW w:w="680" w:type="pct"/>
            <w:tcBorders>
              <w:top w:val="single" w:sz="4" w:space="0" w:color="000000"/>
              <w:bottom w:val="single" w:sz="4" w:space="0" w:color="000000"/>
            </w:tcBorders>
            <w:vAlign w:val="center"/>
          </w:tcPr>
          <w:p w14:paraId="0D58B7B3" w14:textId="77777777" w:rsidR="007B7D3D" w:rsidRPr="00D4309F" w:rsidRDefault="007B7D3D" w:rsidP="004C00ED">
            <w:pPr>
              <w:pStyle w:val="Table-Bullet"/>
            </w:pPr>
            <w:r w:rsidRPr="00D4309F">
              <w:t>Terrestrial</w:t>
            </w:r>
            <w:r w:rsidRPr="00D4309F">
              <w:rPr>
                <w:spacing w:val="-13"/>
              </w:rPr>
              <w:t xml:space="preserve"> </w:t>
            </w:r>
            <w:r w:rsidRPr="00D4309F">
              <w:t xml:space="preserve">flora </w:t>
            </w:r>
            <w:r w:rsidRPr="00D4309F">
              <w:rPr>
                <w:spacing w:val="-2"/>
              </w:rPr>
              <w:t>assessment</w:t>
            </w:r>
          </w:p>
          <w:p w14:paraId="35214F82" w14:textId="1F8C12AA" w:rsidR="007B7D3D" w:rsidRPr="00D4309F" w:rsidRDefault="007B7D3D" w:rsidP="004C00ED">
            <w:pPr>
              <w:pStyle w:val="Table-Bullet"/>
              <w:rPr>
                <w:spacing w:val="-4"/>
              </w:rPr>
            </w:pPr>
            <w:r w:rsidRPr="00D4309F">
              <w:rPr>
                <w:spacing w:val="-2"/>
              </w:rPr>
              <w:t xml:space="preserve">Extended </w:t>
            </w:r>
            <w:r w:rsidRPr="00D4309F">
              <w:t>vegetation</w:t>
            </w:r>
            <w:r w:rsidRPr="00D4309F">
              <w:rPr>
                <w:spacing w:val="-13"/>
              </w:rPr>
              <w:t xml:space="preserve"> </w:t>
            </w:r>
            <w:r w:rsidRPr="00D4309F">
              <w:t>mapping</w:t>
            </w:r>
          </w:p>
        </w:tc>
        <w:tc>
          <w:tcPr>
            <w:tcW w:w="796" w:type="pct"/>
            <w:tcBorders>
              <w:top w:val="single" w:sz="4" w:space="0" w:color="000000"/>
              <w:bottom w:val="single" w:sz="4" w:space="0" w:color="000000"/>
            </w:tcBorders>
            <w:vAlign w:val="center"/>
          </w:tcPr>
          <w:p w14:paraId="5BB4C5EB" w14:textId="77777777" w:rsidR="007B7D3D" w:rsidRPr="00D4309F" w:rsidRDefault="007B7D3D" w:rsidP="004C00ED">
            <w:pPr>
              <w:pStyle w:val="Table-Bullet"/>
            </w:pPr>
            <w:r w:rsidRPr="00D4309F">
              <w:t>Design to minimise clearing required and avoid</w:t>
            </w:r>
            <w:r w:rsidRPr="00D4309F">
              <w:rPr>
                <w:spacing w:val="-13"/>
              </w:rPr>
              <w:t xml:space="preserve"> </w:t>
            </w:r>
            <w:r w:rsidRPr="00D4309F">
              <w:t>key</w:t>
            </w:r>
            <w:r w:rsidRPr="00D4309F">
              <w:rPr>
                <w:spacing w:val="-12"/>
              </w:rPr>
              <w:t xml:space="preserve"> </w:t>
            </w:r>
            <w:r w:rsidRPr="00D4309F">
              <w:t>habitat</w:t>
            </w:r>
            <w:r w:rsidRPr="00D4309F">
              <w:rPr>
                <w:spacing w:val="-13"/>
              </w:rPr>
              <w:t xml:space="preserve"> </w:t>
            </w:r>
            <w:r w:rsidRPr="00D4309F">
              <w:t>areas</w:t>
            </w:r>
          </w:p>
          <w:p w14:paraId="4119B11F" w14:textId="77777777" w:rsidR="007B7D3D" w:rsidRPr="00D4309F" w:rsidRDefault="007B7D3D" w:rsidP="004C00ED">
            <w:pPr>
              <w:pStyle w:val="Table-Bullet"/>
            </w:pPr>
            <w:r w:rsidRPr="00D4309F">
              <w:rPr>
                <w:spacing w:val="-2"/>
              </w:rPr>
              <w:t>Appropriate</w:t>
            </w:r>
            <w:r w:rsidRPr="00D4309F">
              <w:rPr>
                <w:spacing w:val="80"/>
              </w:rPr>
              <w:t xml:space="preserve"> </w:t>
            </w:r>
            <w:r w:rsidRPr="00D4309F">
              <w:t>management</w:t>
            </w:r>
            <w:r w:rsidRPr="00D4309F">
              <w:rPr>
                <w:spacing w:val="-15"/>
              </w:rPr>
              <w:t xml:space="preserve"> </w:t>
            </w:r>
            <w:r w:rsidRPr="00D4309F">
              <w:t>for</w:t>
            </w:r>
            <w:r w:rsidRPr="00D4309F">
              <w:rPr>
                <w:spacing w:val="-12"/>
              </w:rPr>
              <w:t xml:space="preserve"> </w:t>
            </w:r>
            <w:r w:rsidRPr="00D4309F">
              <w:t>onshore works e.g. onshore vehicles and plant to operate in designated tracks and areas</w:t>
            </w:r>
          </w:p>
          <w:p w14:paraId="11ACC98E" w14:textId="77777777" w:rsidR="007B7D3D" w:rsidRPr="00D4309F" w:rsidRDefault="007B7D3D" w:rsidP="004C00ED">
            <w:pPr>
              <w:pStyle w:val="Table-Bullet"/>
            </w:pPr>
            <w:r w:rsidRPr="00D4309F">
              <w:t>Dust</w:t>
            </w:r>
            <w:r w:rsidRPr="00D4309F">
              <w:rPr>
                <w:spacing w:val="-13"/>
              </w:rPr>
              <w:t xml:space="preserve"> </w:t>
            </w:r>
            <w:r w:rsidRPr="00D4309F">
              <w:t xml:space="preserve">management </w:t>
            </w:r>
            <w:r w:rsidRPr="00D4309F">
              <w:rPr>
                <w:spacing w:val="-2"/>
              </w:rPr>
              <w:t>procedures</w:t>
            </w:r>
          </w:p>
          <w:p w14:paraId="2CBD1784" w14:textId="77777777" w:rsidR="007B7D3D" w:rsidRPr="00D4309F" w:rsidRDefault="007B7D3D" w:rsidP="004C00ED">
            <w:pPr>
              <w:pStyle w:val="Table-Bullet"/>
            </w:pPr>
            <w:r w:rsidRPr="00D4309F">
              <w:t>Weed control management</w:t>
            </w:r>
            <w:r w:rsidRPr="00D4309F">
              <w:rPr>
                <w:spacing w:val="-13"/>
              </w:rPr>
              <w:t xml:space="preserve"> </w:t>
            </w:r>
            <w:r w:rsidRPr="00D4309F">
              <w:t>procedures</w:t>
            </w:r>
          </w:p>
          <w:p w14:paraId="6D3BEF01" w14:textId="77777777" w:rsidR="007B7D3D" w:rsidRPr="00D4309F" w:rsidRDefault="007B7D3D" w:rsidP="004C00ED">
            <w:pPr>
              <w:pStyle w:val="Table-Bullet"/>
            </w:pPr>
            <w:r w:rsidRPr="00D4309F">
              <w:t>Waste</w:t>
            </w:r>
            <w:r w:rsidRPr="00D4309F">
              <w:rPr>
                <w:spacing w:val="-13"/>
              </w:rPr>
              <w:t xml:space="preserve"> </w:t>
            </w:r>
            <w:r w:rsidRPr="00D4309F">
              <w:t xml:space="preserve">management </w:t>
            </w:r>
            <w:r w:rsidRPr="00D4309F">
              <w:rPr>
                <w:spacing w:val="-2"/>
              </w:rPr>
              <w:t>procedures</w:t>
            </w:r>
          </w:p>
          <w:p w14:paraId="2F4CE137" w14:textId="77777777" w:rsidR="007B7D3D" w:rsidRPr="00D4309F" w:rsidRDefault="007B7D3D" w:rsidP="004C00ED">
            <w:pPr>
              <w:pStyle w:val="Table-Bullet"/>
            </w:pPr>
            <w:r w:rsidRPr="00D4309F">
              <w:t>Monitor</w:t>
            </w:r>
            <w:r w:rsidRPr="00D4309F">
              <w:rPr>
                <w:spacing w:val="-13"/>
              </w:rPr>
              <w:t xml:space="preserve"> </w:t>
            </w:r>
            <w:r w:rsidRPr="00D4309F">
              <w:t>conservation significant flora</w:t>
            </w:r>
          </w:p>
          <w:p w14:paraId="3368CB88" w14:textId="77777777" w:rsidR="007B7D3D" w:rsidRPr="00D4309F" w:rsidRDefault="007B7D3D" w:rsidP="004C00ED">
            <w:pPr>
              <w:pStyle w:val="Table-Bullet"/>
            </w:pPr>
            <w:r w:rsidRPr="00D4309F">
              <w:t>Post</w:t>
            </w:r>
            <w:r w:rsidRPr="00D4309F">
              <w:rPr>
                <w:spacing w:val="-5"/>
              </w:rPr>
              <w:t xml:space="preserve"> </w:t>
            </w:r>
            <w:r w:rsidRPr="00D4309F">
              <w:t>construction</w:t>
            </w:r>
            <w:r w:rsidRPr="00D4309F">
              <w:rPr>
                <w:spacing w:val="-4"/>
              </w:rPr>
              <w:t xml:space="preserve"> </w:t>
            </w:r>
            <w:r w:rsidRPr="00D4309F">
              <w:rPr>
                <w:spacing w:val="-2"/>
              </w:rPr>
              <w:t>survey</w:t>
            </w:r>
          </w:p>
          <w:p w14:paraId="59F40DD5" w14:textId="5654DDFF" w:rsidR="007B7D3D" w:rsidRPr="00D4309F" w:rsidRDefault="007B7D3D" w:rsidP="004C00ED">
            <w:pPr>
              <w:pStyle w:val="Table-Bullet"/>
            </w:pPr>
            <w:r w:rsidRPr="00D4309F">
              <w:t>Topsoil stockpiling and revegetation of cleared areas</w:t>
            </w:r>
            <w:r w:rsidRPr="00D4309F">
              <w:rPr>
                <w:spacing w:val="-4"/>
              </w:rPr>
              <w:t xml:space="preserve"> </w:t>
            </w:r>
            <w:r w:rsidRPr="00D4309F">
              <w:t>post-</w:t>
            </w:r>
            <w:r w:rsidRPr="00D4309F">
              <w:rPr>
                <w:spacing w:val="-2"/>
              </w:rPr>
              <w:t>construction</w:t>
            </w:r>
          </w:p>
        </w:tc>
      </w:tr>
    </w:tbl>
    <w:p w14:paraId="37C27462" w14:textId="225D0069" w:rsidR="00725977" w:rsidRPr="00D4309F" w:rsidRDefault="00725977" w:rsidP="003E0830">
      <w:pPr>
        <w:pStyle w:val="Table-Note"/>
      </w:pPr>
      <w:r w:rsidRPr="00D4309F">
        <w:t>Assumptions:</w:t>
      </w:r>
    </w:p>
    <w:p w14:paraId="6A41E233" w14:textId="5E1C39C4" w:rsidR="00725977" w:rsidRPr="00D4309F" w:rsidRDefault="00725977" w:rsidP="00D27F26">
      <w:pPr>
        <w:pStyle w:val="Table-Note"/>
        <w:numPr>
          <w:ilvl w:val="0"/>
          <w:numId w:val="489"/>
        </w:numPr>
      </w:pPr>
      <w:r w:rsidRPr="009B4C98">
        <w:t>Bypassing</w:t>
      </w:r>
      <w:r w:rsidRPr="009B4C98">
        <w:rPr>
          <w:spacing w:val="-3"/>
        </w:rPr>
        <w:t xml:space="preserve"> </w:t>
      </w:r>
      <w:r w:rsidRPr="009B4C98">
        <w:t>area</w:t>
      </w:r>
      <w:r w:rsidRPr="009B4C98">
        <w:rPr>
          <w:spacing w:val="-4"/>
        </w:rPr>
        <w:t xml:space="preserve"> </w:t>
      </w:r>
      <w:r w:rsidRPr="009B4C98">
        <w:t>is</w:t>
      </w:r>
      <w:r w:rsidRPr="009B4C98">
        <w:rPr>
          <w:spacing w:val="-3"/>
        </w:rPr>
        <w:t xml:space="preserve"> </w:t>
      </w:r>
      <w:r w:rsidRPr="009B4C98">
        <w:t>an area</w:t>
      </w:r>
      <w:r w:rsidRPr="009B4C98">
        <w:rPr>
          <w:spacing w:val="-4"/>
        </w:rPr>
        <w:t xml:space="preserve"> </w:t>
      </w:r>
      <w:r w:rsidRPr="009B4C98">
        <w:t>of bare</w:t>
      </w:r>
      <w:r w:rsidRPr="009B4C98">
        <w:rPr>
          <w:spacing w:val="-3"/>
        </w:rPr>
        <w:t xml:space="preserve"> </w:t>
      </w:r>
      <w:r w:rsidRPr="009B4C98">
        <w:rPr>
          <w:spacing w:val="-4"/>
        </w:rPr>
        <w:t>sand</w:t>
      </w:r>
    </w:p>
    <w:p w14:paraId="7C8FAFD1" w14:textId="77777777" w:rsidR="00725977" w:rsidRPr="00D4309F" w:rsidRDefault="00725977" w:rsidP="00D27F26">
      <w:pPr>
        <w:pStyle w:val="Table-Note"/>
        <w:numPr>
          <w:ilvl w:val="0"/>
          <w:numId w:val="489"/>
        </w:numPr>
      </w:pPr>
      <w:r w:rsidRPr="00D4309F">
        <w:t>There</w:t>
      </w:r>
      <w:r w:rsidRPr="00D4309F">
        <w:rPr>
          <w:spacing w:val="-7"/>
        </w:rPr>
        <w:t xml:space="preserve"> </w:t>
      </w:r>
      <w:r w:rsidRPr="00D4309F">
        <w:t>is</w:t>
      </w:r>
      <w:r w:rsidRPr="00D4309F">
        <w:rPr>
          <w:spacing w:val="-3"/>
        </w:rPr>
        <w:t xml:space="preserve"> </w:t>
      </w:r>
      <w:r w:rsidRPr="00D4309F">
        <w:t>sediment</w:t>
      </w:r>
      <w:r w:rsidRPr="00D4309F">
        <w:rPr>
          <w:spacing w:val="-3"/>
        </w:rPr>
        <w:t xml:space="preserve"> </w:t>
      </w:r>
      <w:r w:rsidRPr="00D4309F">
        <w:t>contamination</w:t>
      </w:r>
      <w:r w:rsidRPr="00D4309F">
        <w:rPr>
          <w:spacing w:val="-5"/>
        </w:rPr>
        <w:t xml:space="preserve"> </w:t>
      </w:r>
      <w:r w:rsidRPr="00D4309F">
        <w:t>data</w:t>
      </w:r>
      <w:r w:rsidRPr="00D4309F">
        <w:rPr>
          <w:spacing w:val="-4"/>
        </w:rPr>
        <w:t xml:space="preserve"> </w:t>
      </w:r>
      <w:r w:rsidRPr="00D4309F">
        <w:t>to</w:t>
      </w:r>
      <w:r w:rsidRPr="00D4309F">
        <w:rPr>
          <w:spacing w:val="-3"/>
        </w:rPr>
        <w:t xml:space="preserve"> </w:t>
      </w:r>
      <w:r w:rsidRPr="00D4309F">
        <w:t>inform</w:t>
      </w:r>
      <w:r w:rsidRPr="00D4309F">
        <w:rPr>
          <w:spacing w:val="-4"/>
        </w:rPr>
        <w:t xml:space="preserve"> </w:t>
      </w:r>
      <w:r w:rsidRPr="00D4309F">
        <w:t>the</w:t>
      </w:r>
      <w:r w:rsidRPr="00D4309F">
        <w:rPr>
          <w:spacing w:val="-4"/>
        </w:rPr>
        <w:t xml:space="preserve"> </w:t>
      </w:r>
      <w:r w:rsidRPr="00D4309F">
        <w:t>risk</w:t>
      </w:r>
      <w:r w:rsidRPr="00D4309F">
        <w:rPr>
          <w:spacing w:val="-3"/>
        </w:rPr>
        <w:t xml:space="preserve"> </w:t>
      </w:r>
      <w:r w:rsidRPr="00D4309F">
        <w:t>of</w:t>
      </w:r>
      <w:r w:rsidRPr="00D4309F">
        <w:rPr>
          <w:spacing w:val="-5"/>
        </w:rPr>
        <w:t xml:space="preserve"> </w:t>
      </w:r>
      <w:r w:rsidRPr="00D4309F">
        <w:t>on</w:t>
      </w:r>
      <w:r w:rsidRPr="00D4309F">
        <w:rPr>
          <w:spacing w:val="-4"/>
        </w:rPr>
        <w:t xml:space="preserve"> </w:t>
      </w:r>
      <w:r w:rsidRPr="00D4309F">
        <w:t>release</w:t>
      </w:r>
      <w:r w:rsidRPr="00D4309F">
        <w:rPr>
          <w:spacing w:val="-4"/>
        </w:rPr>
        <w:t xml:space="preserve"> </w:t>
      </w:r>
      <w:r w:rsidRPr="00D4309F">
        <w:t>of</w:t>
      </w:r>
      <w:r w:rsidRPr="00D4309F">
        <w:rPr>
          <w:spacing w:val="-5"/>
        </w:rPr>
        <w:t xml:space="preserve"> </w:t>
      </w:r>
      <w:r w:rsidRPr="00D4309F">
        <w:t>contaminants</w:t>
      </w:r>
      <w:r w:rsidRPr="00D4309F">
        <w:rPr>
          <w:spacing w:val="-4"/>
        </w:rPr>
        <w:t xml:space="preserve"> </w:t>
      </w:r>
      <w:r w:rsidRPr="00D4309F">
        <w:t>via</w:t>
      </w:r>
      <w:r w:rsidRPr="00D4309F">
        <w:rPr>
          <w:spacing w:val="-4"/>
        </w:rPr>
        <w:t xml:space="preserve"> </w:t>
      </w:r>
      <w:r w:rsidRPr="00D4309F">
        <w:t>dredging</w:t>
      </w:r>
      <w:r w:rsidRPr="00D4309F">
        <w:rPr>
          <w:spacing w:val="-3"/>
        </w:rPr>
        <w:t xml:space="preserve"> </w:t>
      </w:r>
      <w:r w:rsidRPr="00D4309F">
        <w:t>and</w:t>
      </w:r>
      <w:r w:rsidRPr="00D4309F">
        <w:rPr>
          <w:spacing w:val="-4"/>
        </w:rPr>
        <w:t xml:space="preserve"> </w:t>
      </w:r>
      <w:r w:rsidRPr="00D4309F">
        <w:t>disposal</w:t>
      </w:r>
    </w:p>
    <w:p w14:paraId="7E4A0C87" w14:textId="77777777" w:rsidR="00725977" w:rsidRPr="00D4309F" w:rsidRDefault="00725977" w:rsidP="00D27F26">
      <w:pPr>
        <w:pStyle w:val="Table-Note"/>
        <w:numPr>
          <w:ilvl w:val="0"/>
          <w:numId w:val="489"/>
        </w:numPr>
      </w:pPr>
      <w:r w:rsidRPr="00D4309F">
        <w:t>Excavated</w:t>
      </w:r>
      <w:r w:rsidRPr="00D4309F">
        <w:rPr>
          <w:spacing w:val="-5"/>
        </w:rPr>
        <w:t xml:space="preserve"> </w:t>
      </w:r>
      <w:r w:rsidRPr="00D4309F">
        <w:t>rock</w:t>
      </w:r>
      <w:r w:rsidRPr="00D4309F">
        <w:rPr>
          <w:spacing w:val="-5"/>
        </w:rPr>
        <w:t xml:space="preserve"> </w:t>
      </w:r>
      <w:r w:rsidRPr="00D4309F">
        <w:t>will</w:t>
      </w:r>
      <w:r w:rsidRPr="00D4309F">
        <w:rPr>
          <w:spacing w:val="-5"/>
        </w:rPr>
        <w:t xml:space="preserve"> </w:t>
      </w:r>
      <w:r w:rsidRPr="00D4309F">
        <w:t>be</w:t>
      </w:r>
      <w:r w:rsidRPr="00D4309F">
        <w:rPr>
          <w:spacing w:val="-4"/>
        </w:rPr>
        <w:t xml:space="preserve"> </w:t>
      </w:r>
      <w:r w:rsidRPr="00D4309F">
        <w:t>disposed</w:t>
      </w:r>
      <w:r w:rsidRPr="00D4309F">
        <w:rPr>
          <w:spacing w:val="-5"/>
        </w:rPr>
        <w:t xml:space="preserve"> </w:t>
      </w:r>
      <w:r w:rsidRPr="00D4309F">
        <w:t>of offsite</w:t>
      </w:r>
      <w:r w:rsidRPr="00D4309F">
        <w:rPr>
          <w:spacing w:val="-4"/>
        </w:rPr>
        <w:t xml:space="preserve"> </w:t>
      </w:r>
      <w:r w:rsidRPr="00D4309F">
        <w:t>if</w:t>
      </w:r>
      <w:r w:rsidRPr="00D4309F">
        <w:rPr>
          <w:spacing w:val="-3"/>
        </w:rPr>
        <w:t xml:space="preserve"> </w:t>
      </w:r>
      <w:r w:rsidRPr="00D4309F">
        <w:t>not</w:t>
      </w:r>
      <w:r w:rsidRPr="00D4309F">
        <w:rPr>
          <w:spacing w:val="-4"/>
        </w:rPr>
        <w:t xml:space="preserve"> </w:t>
      </w:r>
      <w:r w:rsidRPr="00D4309F">
        <w:t>appropriate</w:t>
      </w:r>
      <w:r w:rsidRPr="00D4309F">
        <w:rPr>
          <w:spacing w:val="-3"/>
        </w:rPr>
        <w:t xml:space="preserve"> </w:t>
      </w:r>
      <w:r w:rsidRPr="00D4309F">
        <w:t>for</w:t>
      </w:r>
      <w:r w:rsidRPr="00D4309F">
        <w:rPr>
          <w:spacing w:val="-4"/>
        </w:rPr>
        <w:t xml:space="preserve"> </w:t>
      </w:r>
      <w:r w:rsidRPr="00D4309F">
        <w:t>offshore</w:t>
      </w:r>
      <w:r w:rsidRPr="00D4309F">
        <w:rPr>
          <w:spacing w:val="-3"/>
        </w:rPr>
        <w:t xml:space="preserve"> </w:t>
      </w:r>
      <w:r w:rsidRPr="00D4309F">
        <w:t>disposal</w:t>
      </w:r>
    </w:p>
    <w:p w14:paraId="79CF94C5" w14:textId="77777777" w:rsidR="00725977" w:rsidRPr="00D4309F" w:rsidRDefault="00725977" w:rsidP="00725977">
      <w:pPr>
        <w:pStyle w:val="ListParagraph"/>
        <w:rPr>
          <w:sz w:val="14"/>
        </w:rPr>
        <w:sectPr w:rsidR="00725977" w:rsidRPr="00D4309F" w:rsidSect="00405D4F">
          <w:headerReference w:type="default" r:id="rId141"/>
          <w:footerReference w:type="default" r:id="rId142"/>
          <w:pgSz w:w="16840" w:h="11910" w:orient="landscape"/>
          <w:pgMar w:top="1418" w:right="1134" w:bottom="1418" w:left="1134" w:header="916" w:footer="976" w:gutter="0"/>
          <w:cols w:space="720"/>
        </w:sectPr>
      </w:pPr>
    </w:p>
    <w:p w14:paraId="2B8B41FA" w14:textId="77777777" w:rsidR="00725977" w:rsidRPr="00D4309F" w:rsidRDefault="00725977" w:rsidP="00725977">
      <w:pPr>
        <w:pStyle w:val="BodyText"/>
      </w:pPr>
      <w:r w:rsidRPr="00D4309F">
        <w:lastRenderedPageBreak/>
        <w:t>For Option 4, there are some key aspects that require further assessment regarding localised vegetation clearing/disturbance</w:t>
      </w:r>
      <w:r w:rsidRPr="00D4309F">
        <w:rPr>
          <w:spacing w:val="-3"/>
        </w:rPr>
        <w:t xml:space="preserve"> </w:t>
      </w:r>
      <w:r w:rsidRPr="00D4309F">
        <w:t>and</w:t>
      </w:r>
      <w:r w:rsidRPr="00D4309F">
        <w:rPr>
          <w:spacing w:val="-3"/>
        </w:rPr>
        <w:t xml:space="preserve"> </w:t>
      </w:r>
      <w:r w:rsidRPr="00D4309F">
        <w:t>impacts</w:t>
      </w:r>
      <w:r w:rsidRPr="00D4309F">
        <w:rPr>
          <w:spacing w:val="-2"/>
        </w:rPr>
        <w:t xml:space="preserve"> </w:t>
      </w:r>
      <w:r w:rsidRPr="00D4309F">
        <w:t>to</w:t>
      </w:r>
      <w:r w:rsidRPr="00D4309F">
        <w:rPr>
          <w:spacing w:val="-3"/>
        </w:rPr>
        <w:t xml:space="preserve"> </w:t>
      </w:r>
      <w:r w:rsidRPr="00D4309F">
        <w:t>marine</w:t>
      </w:r>
      <w:r w:rsidRPr="00D4309F">
        <w:rPr>
          <w:spacing w:val="-3"/>
        </w:rPr>
        <w:t xml:space="preserve"> </w:t>
      </w:r>
      <w:r w:rsidRPr="00D4309F">
        <w:t>and</w:t>
      </w:r>
      <w:r w:rsidRPr="00D4309F">
        <w:rPr>
          <w:spacing w:val="-3"/>
        </w:rPr>
        <w:t xml:space="preserve"> </w:t>
      </w:r>
      <w:r w:rsidRPr="00D4309F">
        <w:t>terrestrial</w:t>
      </w:r>
      <w:r w:rsidRPr="00D4309F">
        <w:rPr>
          <w:spacing w:val="-3"/>
        </w:rPr>
        <w:t xml:space="preserve"> </w:t>
      </w:r>
      <w:r w:rsidRPr="00D4309F">
        <w:t>fauna</w:t>
      </w:r>
      <w:r w:rsidRPr="00D4309F">
        <w:rPr>
          <w:spacing w:val="-3"/>
        </w:rPr>
        <w:t xml:space="preserve"> </w:t>
      </w:r>
      <w:r w:rsidRPr="00D4309F">
        <w:t>and</w:t>
      </w:r>
      <w:r w:rsidRPr="00D4309F">
        <w:rPr>
          <w:spacing w:val="-3"/>
        </w:rPr>
        <w:t xml:space="preserve"> </w:t>
      </w:r>
      <w:r w:rsidRPr="00D4309F">
        <w:t>flora.</w:t>
      </w:r>
      <w:r w:rsidRPr="00D4309F">
        <w:rPr>
          <w:spacing w:val="-4"/>
        </w:rPr>
        <w:t xml:space="preserve"> </w:t>
      </w:r>
      <w:r w:rsidRPr="00D4309F">
        <w:t>Specifically,</w:t>
      </w:r>
      <w:r w:rsidRPr="00D4309F">
        <w:rPr>
          <w:spacing w:val="-4"/>
        </w:rPr>
        <w:t xml:space="preserve"> </w:t>
      </w:r>
      <w:r w:rsidRPr="00D4309F">
        <w:t>there</w:t>
      </w:r>
      <w:r w:rsidRPr="00D4309F">
        <w:rPr>
          <w:spacing w:val="-4"/>
        </w:rPr>
        <w:t xml:space="preserve"> </w:t>
      </w:r>
      <w:r w:rsidRPr="00D4309F">
        <w:t>is</w:t>
      </w:r>
      <w:r w:rsidRPr="00D4309F">
        <w:rPr>
          <w:spacing w:val="-2"/>
        </w:rPr>
        <w:t xml:space="preserve"> </w:t>
      </w:r>
      <w:r w:rsidRPr="00D4309F">
        <w:t>the</w:t>
      </w:r>
      <w:r w:rsidRPr="00D4309F">
        <w:rPr>
          <w:spacing w:val="-3"/>
        </w:rPr>
        <w:t xml:space="preserve"> </w:t>
      </w:r>
      <w:r w:rsidRPr="00D4309F">
        <w:t>potential for significant impacts to conservation significant marine and terrestrial species depending on the disturbance footprint and construction methods.</w:t>
      </w:r>
    </w:p>
    <w:p w14:paraId="186EE9C4" w14:textId="77777777" w:rsidR="00725977" w:rsidRPr="00D4309F" w:rsidRDefault="00725977" w:rsidP="00725977">
      <w:pPr>
        <w:pStyle w:val="BodyText"/>
      </w:pPr>
      <w:r w:rsidRPr="00D4309F">
        <w:t>Impacts</w:t>
      </w:r>
      <w:r w:rsidRPr="00D4309F">
        <w:rPr>
          <w:spacing w:val="-2"/>
        </w:rPr>
        <w:t xml:space="preserve"> </w:t>
      </w:r>
      <w:r w:rsidRPr="00D4309F">
        <w:t>from</w:t>
      </w:r>
      <w:r w:rsidRPr="00D4309F">
        <w:rPr>
          <w:spacing w:val="-4"/>
        </w:rPr>
        <w:t xml:space="preserve"> </w:t>
      </w:r>
      <w:r w:rsidRPr="00D4309F">
        <w:t>bypassing</w:t>
      </w:r>
      <w:r w:rsidRPr="00D4309F">
        <w:rPr>
          <w:spacing w:val="-3"/>
        </w:rPr>
        <w:t xml:space="preserve"> </w:t>
      </w:r>
      <w:r w:rsidRPr="00D4309F">
        <w:t>operations</w:t>
      </w:r>
      <w:r w:rsidRPr="00D4309F">
        <w:rPr>
          <w:spacing w:val="-2"/>
        </w:rPr>
        <w:t xml:space="preserve"> </w:t>
      </w:r>
      <w:r w:rsidRPr="00D4309F">
        <w:t>would</w:t>
      </w:r>
      <w:r w:rsidRPr="00D4309F">
        <w:rPr>
          <w:spacing w:val="-3"/>
        </w:rPr>
        <w:t xml:space="preserve"> </w:t>
      </w:r>
      <w:r w:rsidRPr="00D4309F">
        <w:t>be</w:t>
      </w:r>
      <w:r w:rsidRPr="00D4309F">
        <w:rPr>
          <w:spacing w:val="-3"/>
        </w:rPr>
        <w:t xml:space="preserve"> </w:t>
      </w:r>
      <w:r w:rsidRPr="00D4309F">
        <w:t>reduced</w:t>
      </w:r>
      <w:r w:rsidRPr="00D4309F">
        <w:rPr>
          <w:spacing w:val="-4"/>
        </w:rPr>
        <w:t xml:space="preserve"> </w:t>
      </w:r>
      <w:r w:rsidRPr="00D4309F">
        <w:t>and</w:t>
      </w:r>
      <w:r w:rsidRPr="00D4309F">
        <w:rPr>
          <w:spacing w:val="-3"/>
        </w:rPr>
        <w:t xml:space="preserve"> </w:t>
      </w:r>
      <w:r w:rsidRPr="00D4309F">
        <w:t>manageable;</w:t>
      </w:r>
      <w:r w:rsidRPr="00D4309F">
        <w:rPr>
          <w:spacing w:val="-3"/>
        </w:rPr>
        <w:t xml:space="preserve"> </w:t>
      </w:r>
      <w:r w:rsidRPr="00D4309F">
        <w:t>however,</w:t>
      </w:r>
      <w:r w:rsidRPr="00D4309F">
        <w:rPr>
          <w:spacing w:val="-5"/>
        </w:rPr>
        <w:t xml:space="preserve"> </w:t>
      </w:r>
      <w:r w:rsidRPr="00D4309F">
        <w:t>ongoing</w:t>
      </w:r>
      <w:r w:rsidRPr="00D4309F">
        <w:rPr>
          <w:spacing w:val="-3"/>
        </w:rPr>
        <w:t xml:space="preserve"> </w:t>
      </w:r>
      <w:r w:rsidRPr="00D4309F">
        <w:t>noise</w:t>
      </w:r>
      <w:r w:rsidRPr="00D4309F">
        <w:rPr>
          <w:spacing w:val="-3"/>
        </w:rPr>
        <w:t xml:space="preserve"> </w:t>
      </w:r>
      <w:r w:rsidRPr="00D4309F">
        <w:t>from</w:t>
      </w:r>
      <w:r w:rsidRPr="00D4309F">
        <w:rPr>
          <w:spacing w:val="-3"/>
        </w:rPr>
        <w:t xml:space="preserve"> </w:t>
      </w:r>
      <w:r w:rsidRPr="00D4309F">
        <w:t>the bypass equipment will require further assessment and potential mitigation.</w:t>
      </w:r>
    </w:p>
    <w:p w14:paraId="222C6941" w14:textId="4B2DEBED" w:rsidR="00725977" w:rsidRPr="00D4309F" w:rsidRDefault="00725977" w:rsidP="00725977">
      <w:pPr>
        <w:pStyle w:val="BodyText"/>
      </w:pPr>
      <w:r w:rsidRPr="00D4309F">
        <w:t>It is likely that environmental monitoring and management during works, above the standard dredging management</w:t>
      </w:r>
      <w:r w:rsidRPr="00D4309F">
        <w:rPr>
          <w:spacing w:val="-3"/>
        </w:rPr>
        <w:t xml:space="preserve"> </w:t>
      </w:r>
      <w:r w:rsidRPr="00D4309F">
        <w:t>procedures,</w:t>
      </w:r>
      <w:r w:rsidRPr="00D4309F">
        <w:rPr>
          <w:spacing w:val="-5"/>
        </w:rPr>
        <w:t xml:space="preserve"> </w:t>
      </w:r>
      <w:r w:rsidRPr="00D4309F">
        <w:t>would</w:t>
      </w:r>
      <w:r w:rsidRPr="00D4309F">
        <w:rPr>
          <w:spacing w:val="-3"/>
        </w:rPr>
        <w:t xml:space="preserve"> </w:t>
      </w:r>
      <w:r w:rsidRPr="00D4309F">
        <w:t>be</w:t>
      </w:r>
      <w:r w:rsidRPr="00D4309F">
        <w:rPr>
          <w:spacing w:val="-3"/>
        </w:rPr>
        <w:t xml:space="preserve"> </w:t>
      </w:r>
      <w:r w:rsidRPr="00D4309F">
        <w:t>required</w:t>
      </w:r>
      <w:r w:rsidRPr="00D4309F">
        <w:rPr>
          <w:spacing w:val="-3"/>
        </w:rPr>
        <w:t xml:space="preserve"> </w:t>
      </w:r>
      <w:r w:rsidRPr="00D4309F">
        <w:t>to</w:t>
      </w:r>
      <w:r w:rsidRPr="00D4309F">
        <w:rPr>
          <w:spacing w:val="-3"/>
        </w:rPr>
        <w:t xml:space="preserve"> </w:t>
      </w:r>
      <w:r w:rsidRPr="00D4309F">
        <w:t>manage</w:t>
      </w:r>
      <w:r w:rsidRPr="00D4309F">
        <w:rPr>
          <w:spacing w:val="-3"/>
        </w:rPr>
        <w:t xml:space="preserve"> </w:t>
      </w:r>
      <w:r w:rsidRPr="00D4309F">
        <w:t>risks</w:t>
      </w:r>
      <w:r w:rsidRPr="00D4309F">
        <w:rPr>
          <w:spacing w:val="-2"/>
        </w:rPr>
        <w:t xml:space="preserve"> </w:t>
      </w:r>
      <w:r w:rsidRPr="00D4309F">
        <w:t>to</w:t>
      </w:r>
      <w:r w:rsidRPr="00D4309F">
        <w:rPr>
          <w:spacing w:val="-3"/>
        </w:rPr>
        <w:t xml:space="preserve"> </w:t>
      </w:r>
      <w:r w:rsidRPr="00D4309F">
        <w:t>terrestrial</w:t>
      </w:r>
      <w:r w:rsidRPr="00D4309F">
        <w:rPr>
          <w:spacing w:val="-3"/>
        </w:rPr>
        <w:t xml:space="preserve"> </w:t>
      </w:r>
      <w:r w:rsidRPr="00D4309F">
        <w:t>fauna</w:t>
      </w:r>
      <w:r w:rsidRPr="00D4309F">
        <w:rPr>
          <w:spacing w:val="-3"/>
        </w:rPr>
        <w:t xml:space="preserve"> </w:t>
      </w:r>
      <w:r w:rsidRPr="00D4309F">
        <w:t>and</w:t>
      </w:r>
      <w:r w:rsidRPr="00D4309F">
        <w:rPr>
          <w:spacing w:val="-3"/>
        </w:rPr>
        <w:t xml:space="preserve"> </w:t>
      </w:r>
      <w:r w:rsidRPr="00D4309F">
        <w:t>habitats</w:t>
      </w:r>
      <w:r w:rsidRPr="00D4309F">
        <w:rPr>
          <w:spacing w:val="-3"/>
        </w:rPr>
        <w:t xml:space="preserve"> </w:t>
      </w:r>
      <w:r w:rsidRPr="00D4309F">
        <w:t>and</w:t>
      </w:r>
      <w:r w:rsidRPr="00D4309F">
        <w:rPr>
          <w:spacing w:val="-3"/>
        </w:rPr>
        <w:t xml:space="preserve"> </w:t>
      </w:r>
      <w:r w:rsidRPr="00D4309F">
        <w:t>marine fauna and shoreline habitats. Additionally monitoring and management for turbidity related impacts and impacts to benthic habitats.</w:t>
      </w:r>
    </w:p>
    <w:p w14:paraId="1CCE9D6F" w14:textId="77777777" w:rsidR="00725977" w:rsidRPr="00D4309F" w:rsidRDefault="00725977" w:rsidP="00AF12C0">
      <w:pPr>
        <w:pStyle w:val="Heading2"/>
      </w:pPr>
      <w:bookmarkStart w:id="493" w:name="_bookmark181"/>
      <w:bookmarkStart w:id="494" w:name="_Toc216699488"/>
      <w:bookmarkEnd w:id="493"/>
      <w:r w:rsidRPr="00D4309F">
        <w:t>Social</w:t>
      </w:r>
      <w:r w:rsidRPr="00D4309F">
        <w:rPr>
          <w:spacing w:val="-11"/>
        </w:rPr>
        <w:t xml:space="preserve"> </w:t>
      </w:r>
      <w:r w:rsidRPr="00D4309F">
        <w:rPr>
          <w:spacing w:val="-2"/>
        </w:rPr>
        <w:t>impacts</w:t>
      </w:r>
      <w:bookmarkEnd w:id="494"/>
    </w:p>
    <w:p w14:paraId="3D7A755B" w14:textId="77777777" w:rsidR="00725977" w:rsidRPr="00D4309F" w:rsidRDefault="00725977" w:rsidP="00725977">
      <w:pPr>
        <w:pStyle w:val="BodyText"/>
      </w:pPr>
      <w:r w:rsidRPr="00D4309F">
        <w:t>Option 4 is expected to generate social value with three positive impacts ranked as high in the SIE assessment, including: safer channel access through reduced shoaling, improved economic outcomes through</w:t>
      </w:r>
      <w:r w:rsidRPr="00D4309F">
        <w:rPr>
          <w:spacing w:val="-3"/>
        </w:rPr>
        <w:t xml:space="preserve"> </w:t>
      </w:r>
      <w:r w:rsidRPr="00D4309F">
        <w:t>more</w:t>
      </w:r>
      <w:r w:rsidRPr="00D4309F">
        <w:rPr>
          <w:spacing w:val="-4"/>
        </w:rPr>
        <w:t xml:space="preserve"> </w:t>
      </w:r>
      <w:r w:rsidRPr="00D4309F">
        <w:t>reliable</w:t>
      </w:r>
      <w:r w:rsidRPr="00D4309F">
        <w:rPr>
          <w:spacing w:val="-4"/>
        </w:rPr>
        <w:t xml:space="preserve"> </w:t>
      </w:r>
      <w:r w:rsidRPr="00D4309F">
        <w:t>channel</w:t>
      </w:r>
      <w:r w:rsidRPr="00D4309F">
        <w:rPr>
          <w:spacing w:val="-3"/>
        </w:rPr>
        <w:t xml:space="preserve"> </w:t>
      </w:r>
      <w:r w:rsidRPr="00D4309F">
        <w:t>access</w:t>
      </w:r>
      <w:r w:rsidRPr="00D4309F">
        <w:rPr>
          <w:spacing w:val="-2"/>
        </w:rPr>
        <w:t xml:space="preserve"> </w:t>
      </w:r>
      <w:r w:rsidRPr="00D4309F">
        <w:t>and</w:t>
      </w:r>
      <w:r w:rsidRPr="00D4309F">
        <w:rPr>
          <w:spacing w:val="-3"/>
        </w:rPr>
        <w:t xml:space="preserve"> </w:t>
      </w:r>
      <w:r w:rsidRPr="00D4309F">
        <w:t>increased</w:t>
      </w:r>
      <w:r w:rsidRPr="00D4309F">
        <w:rPr>
          <w:spacing w:val="-3"/>
        </w:rPr>
        <w:t xml:space="preserve"> </w:t>
      </w:r>
      <w:r w:rsidRPr="00D4309F">
        <w:t>frequency</w:t>
      </w:r>
      <w:r w:rsidRPr="00D4309F">
        <w:rPr>
          <w:spacing w:val="-3"/>
        </w:rPr>
        <w:t xml:space="preserve"> </w:t>
      </w:r>
      <w:r w:rsidRPr="00D4309F">
        <w:t>of</w:t>
      </w:r>
      <w:r w:rsidRPr="00D4309F">
        <w:rPr>
          <w:spacing w:val="-3"/>
        </w:rPr>
        <w:t xml:space="preserve"> </w:t>
      </w:r>
      <w:r w:rsidRPr="00D4309F">
        <w:t>sand</w:t>
      </w:r>
      <w:r w:rsidRPr="00D4309F">
        <w:rPr>
          <w:spacing w:val="-3"/>
        </w:rPr>
        <w:t xml:space="preserve"> </w:t>
      </w:r>
      <w:r w:rsidRPr="00D4309F">
        <w:t>placement</w:t>
      </w:r>
      <w:r w:rsidRPr="00D4309F">
        <w:rPr>
          <w:spacing w:val="-3"/>
        </w:rPr>
        <w:t xml:space="preserve"> </w:t>
      </w:r>
      <w:r w:rsidRPr="00D4309F">
        <w:t>for</w:t>
      </w:r>
      <w:r w:rsidRPr="00D4309F">
        <w:rPr>
          <w:spacing w:val="-2"/>
        </w:rPr>
        <w:t xml:space="preserve"> </w:t>
      </w:r>
      <w:r w:rsidRPr="00D4309F">
        <w:t>beach</w:t>
      </w:r>
      <w:r w:rsidRPr="00D4309F">
        <w:rPr>
          <w:spacing w:val="-3"/>
        </w:rPr>
        <w:t xml:space="preserve"> </w:t>
      </w:r>
      <w:r w:rsidRPr="00D4309F">
        <w:t>nourishment.</w:t>
      </w:r>
    </w:p>
    <w:p w14:paraId="57A3D5EB" w14:textId="1B4F3CEB" w:rsidR="00725977" w:rsidRPr="00D4309F" w:rsidRDefault="00725977" w:rsidP="00725977">
      <w:pPr>
        <w:pStyle w:val="BodyText"/>
      </w:pPr>
      <w:r w:rsidRPr="00D4309F">
        <w:t>When</w:t>
      </w:r>
      <w:r w:rsidRPr="00D4309F">
        <w:rPr>
          <w:spacing w:val="-1"/>
        </w:rPr>
        <w:t xml:space="preserve"> </w:t>
      </w:r>
      <w:r w:rsidRPr="00D4309F">
        <w:t>compared</w:t>
      </w:r>
      <w:r w:rsidRPr="00D4309F">
        <w:rPr>
          <w:spacing w:val="-1"/>
        </w:rPr>
        <w:t xml:space="preserve"> </w:t>
      </w:r>
      <w:r w:rsidRPr="00D4309F">
        <w:t>to</w:t>
      </w:r>
      <w:r w:rsidRPr="00D4309F">
        <w:rPr>
          <w:spacing w:val="-1"/>
        </w:rPr>
        <w:t xml:space="preserve"> </w:t>
      </w:r>
      <w:r w:rsidRPr="00D4309F">
        <w:t>the</w:t>
      </w:r>
      <w:r w:rsidRPr="00D4309F">
        <w:rPr>
          <w:spacing w:val="-1"/>
        </w:rPr>
        <w:t xml:space="preserve"> </w:t>
      </w:r>
      <w:r w:rsidRPr="00D4309F">
        <w:t>baseline,</w:t>
      </w:r>
      <w:r w:rsidRPr="00D4309F">
        <w:rPr>
          <w:spacing w:val="-1"/>
        </w:rPr>
        <w:t xml:space="preserve"> </w:t>
      </w:r>
      <w:r w:rsidRPr="00D4309F">
        <w:t>there</w:t>
      </w:r>
      <w:r w:rsidRPr="00D4309F">
        <w:rPr>
          <w:spacing w:val="-2"/>
        </w:rPr>
        <w:t xml:space="preserve"> </w:t>
      </w:r>
      <w:r w:rsidRPr="00D4309F">
        <w:t>were</w:t>
      </w:r>
      <w:r w:rsidRPr="00D4309F">
        <w:rPr>
          <w:spacing w:val="-1"/>
        </w:rPr>
        <w:t xml:space="preserve"> </w:t>
      </w:r>
      <w:r w:rsidRPr="00D4309F">
        <w:t>10</w:t>
      </w:r>
      <w:r w:rsidRPr="00D4309F">
        <w:rPr>
          <w:spacing w:val="-2"/>
        </w:rPr>
        <w:t xml:space="preserve"> </w:t>
      </w:r>
      <w:r w:rsidRPr="00D4309F">
        <w:t>negative</w:t>
      </w:r>
      <w:r w:rsidRPr="00D4309F">
        <w:rPr>
          <w:spacing w:val="-1"/>
        </w:rPr>
        <w:t xml:space="preserve"> </w:t>
      </w:r>
      <w:r w:rsidRPr="00D4309F">
        <w:t>social</w:t>
      </w:r>
      <w:r w:rsidRPr="00D4309F">
        <w:rPr>
          <w:spacing w:val="-1"/>
        </w:rPr>
        <w:t xml:space="preserve"> </w:t>
      </w:r>
      <w:r w:rsidRPr="00D4309F">
        <w:t>impacts identified,</w:t>
      </w:r>
      <w:r w:rsidRPr="00D4309F">
        <w:rPr>
          <w:spacing w:val="-1"/>
        </w:rPr>
        <w:t xml:space="preserve"> </w:t>
      </w:r>
      <w:r w:rsidRPr="00D4309F">
        <w:t>however,</w:t>
      </w:r>
      <w:r w:rsidRPr="00D4309F">
        <w:rPr>
          <w:spacing w:val="-1"/>
        </w:rPr>
        <w:t xml:space="preserve"> </w:t>
      </w:r>
      <w:r w:rsidRPr="00D4309F">
        <w:t>after mitigation measures were considered, there were five which may be of high concern to the community and stakeholders, including: potential negative environmental impacts, potential visual impacts, perceived property</w:t>
      </w:r>
      <w:r w:rsidRPr="00D4309F">
        <w:rPr>
          <w:spacing w:val="-2"/>
        </w:rPr>
        <w:t xml:space="preserve"> </w:t>
      </w:r>
      <w:r w:rsidRPr="00D4309F">
        <w:t>value</w:t>
      </w:r>
      <w:r w:rsidRPr="00D4309F">
        <w:rPr>
          <w:spacing w:val="-3"/>
        </w:rPr>
        <w:t xml:space="preserve"> </w:t>
      </w:r>
      <w:r w:rsidRPr="00D4309F">
        <w:t>decrease</w:t>
      </w:r>
      <w:r w:rsidRPr="00D4309F">
        <w:rPr>
          <w:spacing w:val="-3"/>
        </w:rPr>
        <w:t xml:space="preserve"> </w:t>
      </w:r>
      <w:r w:rsidRPr="00D4309F">
        <w:t>from</w:t>
      </w:r>
      <w:r w:rsidRPr="00D4309F">
        <w:rPr>
          <w:spacing w:val="-3"/>
        </w:rPr>
        <w:t xml:space="preserve"> </w:t>
      </w:r>
      <w:r w:rsidRPr="00D4309F">
        <w:t>visual</w:t>
      </w:r>
      <w:r w:rsidRPr="00D4309F">
        <w:rPr>
          <w:spacing w:val="-3"/>
        </w:rPr>
        <w:t xml:space="preserve"> </w:t>
      </w:r>
      <w:r w:rsidRPr="00D4309F">
        <w:t>changes,</w:t>
      </w:r>
      <w:r w:rsidRPr="00D4309F">
        <w:rPr>
          <w:spacing w:val="-4"/>
        </w:rPr>
        <w:t xml:space="preserve"> </w:t>
      </w:r>
      <w:r w:rsidRPr="00D4309F">
        <w:t>construction</w:t>
      </w:r>
      <w:r w:rsidRPr="00D4309F">
        <w:rPr>
          <w:spacing w:val="-3"/>
        </w:rPr>
        <w:t xml:space="preserve"> </w:t>
      </w:r>
      <w:r w:rsidRPr="00D4309F">
        <w:t>impacts</w:t>
      </w:r>
      <w:r w:rsidRPr="00D4309F">
        <w:rPr>
          <w:spacing w:val="-4"/>
        </w:rPr>
        <w:t xml:space="preserve"> </w:t>
      </w:r>
      <w:r w:rsidRPr="00D4309F">
        <w:t>and</w:t>
      </w:r>
      <w:r w:rsidRPr="00D4309F">
        <w:rPr>
          <w:spacing w:val="-3"/>
        </w:rPr>
        <w:t xml:space="preserve"> </w:t>
      </w:r>
      <w:r w:rsidRPr="00D4309F">
        <w:t>the</w:t>
      </w:r>
      <w:r w:rsidRPr="00D4309F">
        <w:rPr>
          <w:spacing w:val="-3"/>
        </w:rPr>
        <w:t xml:space="preserve"> </w:t>
      </w:r>
      <w:r w:rsidRPr="00D4309F">
        <w:t>pump</w:t>
      </w:r>
      <w:r w:rsidRPr="00D4309F">
        <w:rPr>
          <w:spacing w:val="-4"/>
        </w:rPr>
        <w:t xml:space="preserve"> </w:t>
      </w:r>
      <w:r w:rsidRPr="00D4309F">
        <w:t>may</w:t>
      </w:r>
      <w:r w:rsidRPr="00D4309F">
        <w:rPr>
          <w:spacing w:val="-2"/>
        </w:rPr>
        <w:t xml:space="preserve"> </w:t>
      </w:r>
      <w:r w:rsidRPr="00D4309F">
        <w:t>be</w:t>
      </w:r>
      <w:r w:rsidRPr="00D4309F">
        <w:rPr>
          <w:spacing w:val="-3"/>
        </w:rPr>
        <w:t xml:space="preserve"> </w:t>
      </w:r>
      <w:r w:rsidRPr="00D4309F">
        <w:t>at</w:t>
      </w:r>
      <w:r w:rsidRPr="00D4309F">
        <w:rPr>
          <w:spacing w:val="-3"/>
        </w:rPr>
        <w:t xml:space="preserve"> </w:t>
      </w:r>
      <w:r w:rsidRPr="00D4309F">
        <w:t>risk</w:t>
      </w:r>
      <w:r w:rsidRPr="00D4309F">
        <w:rPr>
          <w:spacing w:val="-2"/>
        </w:rPr>
        <w:t xml:space="preserve"> </w:t>
      </w:r>
      <w:r w:rsidRPr="00D4309F">
        <w:t>of</w:t>
      </w:r>
      <w:r w:rsidRPr="00D4309F">
        <w:rPr>
          <w:spacing w:val="-3"/>
        </w:rPr>
        <w:t xml:space="preserve"> </w:t>
      </w:r>
      <w:r w:rsidRPr="00D4309F">
        <w:t>impacts from severe weather. Further mitigations must be undertaken to reduce potential negative social impacts including environmental assessments, visual impact assessments, environment and construction management plans and broader community and stakeholder engagement and communications.</w:t>
      </w:r>
    </w:p>
    <w:p w14:paraId="43528AA3" w14:textId="77777777" w:rsidR="00725977" w:rsidRPr="00D4309F" w:rsidRDefault="00725977" w:rsidP="00AF12C0">
      <w:pPr>
        <w:pStyle w:val="Heading2"/>
      </w:pPr>
      <w:bookmarkStart w:id="495" w:name="_bookmark182"/>
      <w:bookmarkStart w:id="496" w:name="_Toc216699489"/>
      <w:bookmarkEnd w:id="495"/>
      <w:r w:rsidRPr="00D4309F">
        <w:t>Economic</w:t>
      </w:r>
      <w:r w:rsidRPr="00D4309F">
        <w:rPr>
          <w:spacing w:val="-17"/>
        </w:rPr>
        <w:t xml:space="preserve"> </w:t>
      </w:r>
      <w:r w:rsidRPr="00D4309F">
        <w:rPr>
          <w:spacing w:val="-2"/>
        </w:rPr>
        <w:t>impacts</w:t>
      </w:r>
      <w:bookmarkEnd w:id="496"/>
    </w:p>
    <w:p w14:paraId="509D6921" w14:textId="77777777" w:rsidR="00725977" w:rsidRPr="00D4309F" w:rsidRDefault="00725977" w:rsidP="00725977">
      <w:pPr>
        <w:pStyle w:val="BodyText"/>
      </w:pPr>
      <w:r w:rsidRPr="00D4309F">
        <w:t>Option 4 is expected to have a low to moderate economic impact compared with the current approach. The project will reduce shoaling at the harbour entrance improving channel access and reliability for users in the long-term. This enhancement will allow both commercial and recreational vessels to navigate the channel without interruption, reducing delays and minimising reliance on emergency maintenance dredging. By ensuring</w:t>
      </w:r>
      <w:r w:rsidRPr="00D4309F">
        <w:rPr>
          <w:spacing w:val="-3"/>
        </w:rPr>
        <w:t xml:space="preserve"> </w:t>
      </w:r>
      <w:r w:rsidRPr="00D4309F">
        <w:t>consistent</w:t>
      </w:r>
      <w:r w:rsidRPr="00D4309F">
        <w:rPr>
          <w:spacing w:val="-3"/>
        </w:rPr>
        <w:t xml:space="preserve"> </w:t>
      </w:r>
      <w:r w:rsidRPr="00D4309F">
        <w:t>access,</w:t>
      </w:r>
      <w:r w:rsidRPr="00D4309F">
        <w:rPr>
          <w:spacing w:val="-3"/>
        </w:rPr>
        <w:t xml:space="preserve"> </w:t>
      </w:r>
      <w:r w:rsidRPr="00D4309F">
        <w:t>the</w:t>
      </w:r>
      <w:r w:rsidRPr="00D4309F">
        <w:rPr>
          <w:spacing w:val="-3"/>
        </w:rPr>
        <w:t xml:space="preserve"> </w:t>
      </w:r>
      <w:r w:rsidRPr="00D4309F">
        <w:t>project</w:t>
      </w:r>
      <w:r w:rsidRPr="00D4309F">
        <w:rPr>
          <w:spacing w:val="-5"/>
        </w:rPr>
        <w:t xml:space="preserve"> </w:t>
      </w:r>
      <w:r w:rsidRPr="00D4309F">
        <w:t>supports</w:t>
      </w:r>
      <w:r w:rsidRPr="00D4309F">
        <w:rPr>
          <w:spacing w:val="-2"/>
        </w:rPr>
        <w:t xml:space="preserve"> </w:t>
      </w:r>
      <w:r w:rsidRPr="00D4309F">
        <w:t>safer</w:t>
      </w:r>
      <w:r w:rsidRPr="00D4309F">
        <w:rPr>
          <w:spacing w:val="-2"/>
        </w:rPr>
        <w:t xml:space="preserve"> </w:t>
      </w:r>
      <w:r w:rsidRPr="00D4309F">
        <w:t>operations</w:t>
      </w:r>
      <w:r w:rsidRPr="00D4309F">
        <w:rPr>
          <w:spacing w:val="-2"/>
        </w:rPr>
        <w:t xml:space="preserve"> </w:t>
      </w:r>
      <w:r w:rsidRPr="00D4309F">
        <w:t>and</w:t>
      </w:r>
      <w:r w:rsidRPr="00D4309F">
        <w:rPr>
          <w:spacing w:val="-3"/>
        </w:rPr>
        <w:t xml:space="preserve"> </w:t>
      </w:r>
      <w:r w:rsidRPr="00D4309F">
        <w:t>greater</w:t>
      </w:r>
      <w:r w:rsidRPr="00D4309F">
        <w:rPr>
          <w:spacing w:val="-4"/>
        </w:rPr>
        <w:t xml:space="preserve"> </w:t>
      </w:r>
      <w:r w:rsidRPr="00D4309F">
        <w:t>confidence</w:t>
      </w:r>
      <w:r w:rsidRPr="00D4309F">
        <w:rPr>
          <w:spacing w:val="-3"/>
        </w:rPr>
        <w:t xml:space="preserve"> </w:t>
      </w:r>
      <w:r w:rsidRPr="00D4309F">
        <w:t>for</w:t>
      </w:r>
      <w:r w:rsidRPr="00D4309F">
        <w:rPr>
          <w:spacing w:val="-2"/>
        </w:rPr>
        <w:t xml:space="preserve"> </w:t>
      </w:r>
      <w:r w:rsidRPr="00D4309F">
        <w:t>businesses</w:t>
      </w:r>
      <w:r w:rsidRPr="00D4309F">
        <w:rPr>
          <w:spacing w:val="-2"/>
        </w:rPr>
        <w:t xml:space="preserve"> </w:t>
      </w:r>
      <w:r w:rsidRPr="00D4309F">
        <w:t>and the boating community. Unlike the current baseline, this option does not depend on regular dredging to remove sand, offering a more sustainable solution.</w:t>
      </w:r>
    </w:p>
    <w:p w14:paraId="6DB3C8C1" w14:textId="610780C1" w:rsidR="00725977" w:rsidRPr="00D4309F" w:rsidRDefault="00725977" w:rsidP="00725977">
      <w:pPr>
        <w:pStyle w:val="BodyText"/>
      </w:pPr>
      <w:r w:rsidRPr="00D4309F">
        <w:t>During construction, temporary changes to channel access may occur, affecting recreational boaters and commercial operators who use the harbour entrance. Onshore rock fishing at the breakwater and Point Cartwright will be impacted due to reduced fishing locations and safety requirements during works. These disruptions could lead to fewer visitors during the construction period, with some choosing alternative destinations on the Sunshine Coast or other coastal areas. This may result in short-term reductions in local spending,</w:t>
      </w:r>
      <w:r w:rsidRPr="00D4309F">
        <w:rPr>
          <w:spacing w:val="-3"/>
        </w:rPr>
        <w:t xml:space="preserve"> </w:t>
      </w:r>
      <w:r w:rsidRPr="00D4309F">
        <w:t>affecting</w:t>
      </w:r>
      <w:r w:rsidRPr="00D4309F">
        <w:rPr>
          <w:spacing w:val="-3"/>
        </w:rPr>
        <w:t xml:space="preserve"> </w:t>
      </w:r>
      <w:r w:rsidRPr="00D4309F">
        <w:t>nearby</w:t>
      </w:r>
      <w:r w:rsidRPr="00D4309F">
        <w:rPr>
          <w:spacing w:val="-3"/>
        </w:rPr>
        <w:t xml:space="preserve"> </w:t>
      </w:r>
      <w:r w:rsidRPr="00D4309F">
        <w:t>businesses;</w:t>
      </w:r>
      <w:r w:rsidRPr="00D4309F">
        <w:rPr>
          <w:spacing w:val="-3"/>
        </w:rPr>
        <w:t xml:space="preserve"> </w:t>
      </w:r>
      <w:r w:rsidRPr="00D4309F">
        <w:t>however,</w:t>
      </w:r>
      <w:r w:rsidRPr="00D4309F">
        <w:rPr>
          <w:spacing w:val="-3"/>
        </w:rPr>
        <w:t xml:space="preserve"> </w:t>
      </w:r>
      <w:r w:rsidRPr="00D4309F">
        <w:t>these</w:t>
      </w:r>
      <w:r w:rsidRPr="00D4309F">
        <w:rPr>
          <w:spacing w:val="-3"/>
        </w:rPr>
        <w:t xml:space="preserve"> </w:t>
      </w:r>
      <w:r w:rsidRPr="00D4309F">
        <w:t>impacts</w:t>
      </w:r>
      <w:r w:rsidRPr="00D4309F">
        <w:rPr>
          <w:spacing w:val="-2"/>
        </w:rPr>
        <w:t xml:space="preserve"> </w:t>
      </w:r>
      <w:r w:rsidRPr="00D4309F">
        <w:t>are</w:t>
      </w:r>
      <w:r w:rsidRPr="00D4309F">
        <w:rPr>
          <w:spacing w:val="-3"/>
        </w:rPr>
        <w:t xml:space="preserve"> </w:t>
      </w:r>
      <w:r w:rsidRPr="00D4309F">
        <w:t>expected</w:t>
      </w:r>
      <w:r w:rsidRPr="00D4309F">
        <w:rPr>
          <w:spacing w:val="-3"/>
        </w:rPr>
        <w:t xml:space="preserve"> </w:t>
      </w:r>
      <w:r w:rsidRPr="00D4309F">
        <w:t>to</w:t>
      </w:r>
      <w:r w:rsidRPr="00D4309F">
        <w:rPr>
          <w:spacing w:val="-3"/>
        </w:rPr>
        <w:t xml:space="preserve"> </w:t>
      </w:r>
      <w:r w:rsidRPr="00D4309F">
        <w:t>be</w:t>
      </w:r>
      <w:r w:rsidRPr="00D4309F">
        <w:rPr>
          <w:spacing w:val="-3"/>
        </w:rPr>
        <w:t xml:space="preserve"> </w:t>
      </w:r>
      <w:r w:rsidRPr="00D4309F">
        <w:t>temporary</w:t>
      </w:r>
      <w:r w:rsidRPr="00D4309F">
        <w:rPr>
          <w:spacing w:val="-2"/>
        </w:rPr>
        <w:t xml:space="preserve"> </w:t>
      </w:r>
      <w:r w:rsidRPr="00D4309F">
        <w:t>and</w:t>
      </w:r>
      <w:r w:rsidRPr="00D4309F">
        <w:rPr>
          <w:spacing w:val="-3"/>
        </w:rPr>
        <w:t xml:space="preserve"> </w:t>
      </w:r>
      <w:r w:rsidRPr="00D4309F">
        <w:t>managed to minimise disruption.</w:t>
      </w:r>
    </w:p>
    <w:p w14:paraId="25298914" w14:textId="77777777" w:rsidR="00725977" w:rsidRPr="00D4309F" w:rsidRDefault="00725977" w:rsidP="00AF12C0">
      <w:pPr>
        <w:pStyle w:val="Heading2"/>
      </w:pPr>
      <w:bookmarkStart w:id="497" w:name="_bookmark183"/>
      <w:bookmarkStart w:id="498" w:name="_Toc216699490"/>
      <w:bookmarkEnd w:id="497"/>
      <w:r w:rsidRPr="00D4309F">
        <w:t>Future</w:t>
      </w:r>
      <w:r w:rsidRPr="00D4309F">
        <w:rPr>
          <w:spacing w:val="-12"/>
        </w:rPr>
        <w:t xml:space="preserve"> </w:t>
      </w:r>
      <w:r w:rsidRPr="00D4309F">
        <w:t>adaption</w:t>
      </w:r>
      <w:bookmarkEnd w:id="498"/>
    </w:p>
    <w:p w14:paraId="457C8C92" w14:textId="77777777" w:rsidR="00725977" w:rsidRPr="00D4309F" w:rsidRDefault="00725977" w:rsidP="00725977">
      <w:pPr>
        <w:pStyle w:val="BodyText"/>
      </w:pPr>
      <w:r w:rsidRPr="00D4309F">
        <w:t>Option 4 offers limited flexibility for future adaptation due to its reliance on fixed, permanent infrastructure. The</w:t>
      </w:r>
      <w:r w:rsidRPr="00D4309F">
        <w:rPr>
          <w:spacing w:val="-3"/>
        </w:rPr>
        <w:t xml:space="preserve"> </w:t>
      </w:r>
      <w:r w:rsidRPr="00D4309F">
        <w:t>jetty,</w:t>
      </w:r>
      <w:r w:rsidRPr="00D4309F">
        <w:rPr>
          <w:spacing w:val="-3"/>
        </w:rPr>
        <w:t xml:space="preserve"> </w:t>
      </w:r>
      <w:r w:rsidRPr="00D4309F">
        <w:t>pump</w:t>
      </w:r>
      <w:r w:rsidRPr="00D4309F">
        <w:rPr>
          <w:spacing w:val="-3"/>
        </w:rPr>
        <w:t xml:space="preserve"> </w:t>
      </w:r>
      <w:r w:rsidRPr="00D4309F">
        <w:t>station,</w:t>
      </w:r>
      <w:r w:rsidRPr="00D4309F">
        <w:rPr>
          <w:spacing w:val="-3"/>
        </w:rPr>
        <w:t xml:space="preserve"> </w:t>
      </w:r>
      <w:r w:rsidRPr="00D4309F">
        <w:t>and</w:t>
      </w:r>
      <w:r w:rsidRPr="00D4309F">
        <w:rPr>
          <w:spacing w:val="-3"/>
        </w:rPr>
        <w:t xml:space="preserve"> </w:t>
      </w:r>
      <w:r w:rsidRPr="00D4309F">
        <w:t>buried</w:t>
      </w:r>
      <w:r w:rsidRPr="00D4309F">
        <w:rPr>
          <w:spacing w:val="-3"/>
        </w:rPr>
        <w:t xml:space="preserve"> </w:t>
      </w:r>
      <w:r w:rsidRPr="00D4309F">
        <w:t>pipeline</w:t>
      </w:r>
      <w:r w:rsidRPr="00D4309F">
        <w:rPr>
          <w:spacing w:val="-3"/>
        </w:rPr>
        <w:t xml:space="preserve"> </w:t>
      </w:r>
      <w:r w:rsidRPr="00D4309F">
        <w:t>are</w:t>
      </w:r>
      <w:r w:rsidRPr="00D4309F">
        <w:rPr>
          <w:spacing w:val="-3"/>
        </w:rPr>
        <w:t xml:space="preserve"> </w:t>
      </w:r>
      <w:r w:rsidRPr="00D4309F">
        <w:t>relatively</w:t>
      </w:r>
      <w:r w:rsidRPr="00D4309F">
        <w:rPr>
          <w:spacing w:val="-2"/>
        </w:rPr>
        <w:t xml:space="preserve"> </w:t>
      </w:r>
      <w:r w:rsidRPr="00D4309F">
        <w:t>inflexible</w:t>
      </w:r>
      <w:r w:rsidRPr="00D4309F">
        <w:rPr>
          <w:spacing w:val="-3"/>
        </w:rPr>
        <w:t xml:space="preserve"> </w:t>
      </w:r>
      <w:r w:rsidRPr="00D4309F">
        <w:t>once</w:t>
      </w:r>
      <w:r w:rsidRPr="00D4309F">
        <w:rPr>
          <w:spacing w:val="-3"/>
        </w:rPr>
        <w:t xml:space="preserve"> </w:t>
      </w:r>
      <w:r w:rsidRPr="00D4309F">
        <w:t>constructed,</w:t>
      </w:r>
      <w:r w:rsidRPr="00D4309F">
        <w:rPr>
          <w:spacing w:val="-3"/>
        </w:rPr>
        <w:t xml:space="preserve"> </w:t>
      </w:r>
      <w:r w:rsidRPr="00D4309F">
        <w:t>and</w:t>
      </w:r>
      <w:r w:rsidRPr="00D4309F">
        <w:rPr>
          <w:spacing w:val="-3"/>
        </w:rPr>
        <w:t xml:space="preserve"> </w:t>
      </w:r>
      <w:r w:rsidRPr="00D4309F">
        <w:t>their</w:t>
      </w:r>
      <w:r w:rsidRPr="00D4309F">
        <w:rPr>
          <w:spacing w:val="-2"/>
        </w:rPr>
        <w:t xml:space="preserve"> </w:t>
      </w:r>
      <w:r w:rsidRPr="00D4309F">
        <w:t>performance is strongly tied to the long-term behaviour of the excavated sand trap and the surrounding wave and sediment-transport environment. As such, the system cannot readily be relocated, expanded offshore, or adjusted to accommodate major changes in sediment</w:t>
      </w:r>
      <w:r w:rsidRPr="00D4309F">
        <w:rPr>
          <w:spacing w:val="-1"/>
        </w:rPr>
        <w:t xml:space="preserve"> </w:t>
      </w:r>
      <w:r w:rsidRPr="00D4309F">
        <w:t>pathways without significant additional capital works.</w:t>
      </w:r>
    </w:p>
    <w:p w14:paraId="5629A1BE" w14:textId="77777777" w:rsidR="00725977" w:rsidRPr="00D4309F" w:rsidRDefault="00725977" w:rsidP="00725977">
      <w:pPr>
        <w:pStyle w:val="BodyText"/>
      </w:pPr>
      <w:r w:rsidRPr="00D4309F">
        <w:t>The system could, however, be integrated with other coastal-management measures to improve performance over time. In particular, Option 4 is likely to be most effective when paired with a breakwater extension, which would provide the structural containment required to direct more sand into the trap and reduce</w:t>
      </w:r>
      <w:r w:rsidRPr="00D4309F">
        <w:rPr>
          <w:spacing w:val="-3"/>
        </w:rPr>
        <w:t xml:space="preserve"> </w:t>
      </w:r>
      <w:r w:rsidRPr="00D4309F">
        <w:t>the</w:t>
      </w:r>
      <w:r w:rsidRPr="00D4309F">
        <w:rPr>
          <w:spacing w:val="-3"/>
        </w:rPr>
        <w:t xml:space="preserve"> </w:t>
      </w:r>
      <w:r w:rsidRPr="00D4309F">
        <w:t>inefficiencies</w:t>
      </w:r>
      <w:r w:rsidRPr="00D4309F">
        <w:rPr>
          <w:spacing w:val="-2"/>
        </w:rPr>
        <w:t xml:space="preserve"> </w:t>
      </w:r>
      <w:r w:rsidRPr="00D4309F">
        <w:t>associated</w:t>
      </w:r>
      <w:r w:rsidRPr="00D4309F">
        <w:rPr>
          <w:spacing w:val="-3"/>
        </w:rPr>
        <w:t xml:space="preserve"> </w:t>
      </w:r>
      <w:r w:rsidRPr="00D4309F">
        <w:t>with</w:t>
      </w:r>
      <w:r w:rsidRPr="00D4309F">
        <w:rPr>
          <w:spacing w:val="-3"/>
        </w:rPr>
        <w:t xml:space="preserve"> </w:t>
      </w:r>
      <w:r w:rsidRPr="00D4309F">
        <w:t>seaward</w:t>
      </w:r>
      <w:r w:rsidRPr="00D4309F">
        <w:rPr>
          <w:spacing w:val="-3"/>
        </w:rPr>
        <w:t xml:space="preserve"> </w:t>
      </w:r>
      <w:r w:rsidRPr="00D4309F">
        <w:t>bypassing.</w:t>
      </w:r>
      <w:r w:rsidRPr="00D4309F">
        <w:rPr>
          <w:spacing w:val="-3"/>
        </w:rPr>
        <w:t xml:space="preserve"> </w:t>
      </w:r>
      <w:r w:rsidRPr="00D4309F">
        <w:t>If</w:t>
      </w:r>
      <w:r w:rsidRPr="00D4309F">
        <w:rPr>
          <w:spacing w:val="-3"/>
        </w:rPr>
        <w:t xml:space="preserve"> </w:t>
      </w:r>
      <w:r w:rsidRPr="00D4309F">
        <w:t>monitoring</w:t>
      </w:r>
      <w:r w:rsidRPr="00D4309F">
        <w:rPr>
          <w:spacing w:val="-3"/>
        </w:rPr>
        <w:t xml:space="preserve"> </w:t>
      </w:r>
      <w:r w:rsidRPr="00D4309F">
        <w:t>indicates</w:t>
      </w:r>
      <w:r w:rsidRPr="00D4309F">
        <w:rPr>
          <w:spacing w:val="-2"/>
        </w:rPr>
        <w:t xml:space="preserve"> </w:t>
      </w:r>
      <w:r w:rsidRPr="00D4309F">
        <w:t>that</w:t>
      </w:r>
      <w:r w:rsidRPr="00D4309F">
        <w:rPr>
          <w:spacing w:val="-3"/>
        </w:rPr>
        <w:t xml:space="preserve"> </w:t>
      </w:r>
      <w:r w:rsidRPr="00D4309F">
        <w:t>the</w:t>
      </w:r>
      <w:r w:rsidRPr="00D4309F">
        <w:rPr>
          <w:spacing w:val="-3"/>
        </w:rPr>
        <w:t xml:space="preserve"> </w:t>
      </w:r>
      <w:r w:rsidRPr="00D4309F">
        <w:t>excavated</w:t>
      </w:r>
      <w:r w:rsidRPr="00D4309F">
        <w:rPr>
          <w:spacing w:val="-3"/>
        </w:rPr>
        <w:t xml:space="preserve"> </w:t>
      </w:r>
      <w:r w:rsidRPr="00D4309F">
        <w:t>trap does not</w:t>
      </w:r>
      <w:r w:rsidRPr="00D4309F">
        <w:rPr>
          <w:spacing w:val="-1"/>
        </w:rPr>
        <w:t xml:space="preserve"> </w:t>
      </w:r>
      <w:r w:rsidRPr="00D4309F">
        <w:t>reliably intercept</w:t>
      </w:r>
      <w:r w:rsidRPr="00D4309F">
        <w:rPr>
          <w:spacing w:val="-1"/>
        </w:rPr>
        <w:t xml:space="preserve"> </w:t>
      </w:r>
      <w:r w:rsidRPr="00D4309F">
        <w:t>sufficient</w:t>
      </w:r>
      <w:r w:rsidRPr="00D4309F">
        <w:rPr>
          <w:spacing w:val="-1"/>
        </w:rPr>
        <w:t xml:space="preserve"> </w:t>
      </w:r>
      <w:r w:rsidRPr="00D4309F">
        <w:t>sand,</w:t>
      </w:r>
      <w:r w:rsidRPr="00D4309F">
        <w:rPr>
          <w:spacing w:val="-1"/>
        </w:rPr>
        <w:t xml:space="preserve"> </w:t>
      </w:r>
      <w:r w:rsidRPr="00D4309F">
        <w:t>a</w:t>
      </w:r>
      <w:r w:rsidRPr="00D4309F">
        <w:rPr>
          <w:spacing w:val="-1"/>
        </w:rPr>
        <w:t xml:space="preserve"> </w:t>
      </w:r>
      <w:r w:rsidRPr="00D4309F">
        <w:t>breakwater could</w:t>
      </w:r>
      <w:r w:rsidRPr="00D4309F">
        <w:rPr>
          <w:spacing w:val="-1"/>
        </w:rPr>
        <w:t xml:space="preserve"> </w:t>
      </w:r>
      <w:r w:rsidRPr="00D4309F">
        <w:t>be</w:t>
      </w:r>
      <w:r w:rsidRPr="00D4309F">
        <w:rPr>
          <w:spacing w:val="-1"/>
        </w:rPr>
        <w:t xml:space="preserve"> </w:t>
      </w:r>
      <w:r w:rsidRPr="00D4309F">
        <w:t>added</w:t>
      </w:r>
      <w:r w:rsidRPr="00D4309F">
        <w:rPr>
          <w:spacing w:val="-1"/>
        </w:rPr>
        <w:t xml:space="preserve"> </w:t>
      </w:r>
      <w:r w:rsidRPr="00D4309F">
        <w:t>at</w:t>
      </w:r>
      <w:r w:rsidRPr="00D4309F">
        <w:rPr>
          <w:spacing w:val="-1"/>
        </w:rPr>
        <w:t xml:space="preserve"> </w:t>
      </w:r>
      <w:r w:rsidRPr="00D4309F">
        <w:t>a</w:t>
      </w:r>
      <w:r w:rsidRPr="00D4309F">
        <w:rPr>
          <w:spacing w:val="-1"/>
        </w:rPr>
        <w:t xml:space="preserve"> </w:t>
      </w:r>
      <w:r w:rsidRPr="00D4309F">
        <w:t>later stage</w:t>
      </w:r>
      <w:r w:rsidRPr="00D4309F">
        <w:rPr>
          <w:spacing w:val="-1"/>
        </w:rPr>
        <w:t xml:space="preserve"> </w:t>
      </w:r>
      <w:r w:rsidRPr="00D4309F">
        <w:t>to</w:t>
      </w:r>
      <w:r w:rsidRPr="00D4309F">
        <w:rPr>
          <w:spacing w:val="-1"/>
        </w:rPr>
        <w:t xml:space="preserve"> </w:t>
      </w:r>
      <w:r w:rsidRPr="00D4309F">
        <w:t>enhance</w:t>
      </w:r>
      <w:r w:rsidRPr="00D4309F">
        <w:rPr>
          <w:spacing w:val="-1"/>
        </w:rPr>
        <w:t xml:space="preserve"> </w:t>
      </w:r>
      <w:r w:rsidRPr="00D4309F">
        <w:t xml:space="preserve">capture </w:t>
      </w:r>
      <w:r w:rsidRPr="00D4309F">
        <w:rPr>
          <w:spacing w:val="-2"/>
        </w:rPr>
        <w:t>efficiency.</w:t>
      </w:r>
    </w:p>
    <w:p w14:paraId="1DA11AAF" w14:textId="77777777" w:rsidR="00725977" w:rsidRPr="00D4309F" w:rsidRDefault="00725977" w:rsidP="00725977">
      <w:pPr>
        <w:pStyle w:val="BodyText"/>
      </w:pPr>
      <w:r w:rsidRPr="00D4309F">
        <w:lastRenderedPageBreak/>
        <w:t>Some</w:t>
      </w:r>
      <w:r w:rsidRPr="00D4309F">
        <w:rPr>
          <w:spacing w:val="-3"/>
        </w:rPr>
        <w:t xml:space="preserve"> </w:t>
      </w:r>
      <w:r w:rsidRPr="00D4309F">
        <w:t>operational</w:t>
      </w:r>
      <w:r w:rsidRPr="00D4309F">
        <w:rPr>
          <w:spacing w:val="-3"/>
        </w:rPr>
        <w:t xml:space="preserve"> </w:t>
      </w:r>
      <w:r w:rsidRPr="00D4309F">
        <w:t>parameters</w:t>
      </w:r>
      <w:r w:rsidRPr="00D4309F">
        <w:rPr>
          <w:spacing w:val="-4"/>
        </w:rPr>
        <w:t xml:space="preserve"> </w:t>
      </w:r>
      <w:r w:rsidRPr="00D4309F">
        <w:t>(such</w:t>
      </w:r>
      <w:r w:rsidRPr="00D4309F">
        <w:rPr>
          <w:spacing w:val="-3"/>
        </w:rPr>
        <w:t xml:space="preserve"> </w:t>
      </w:r>
      <w:r w:rsidRPr="00D4309F">
        <w:t>as</w:t>
      </w:r>
      <w:r w:rsidRPr="00D4309F">
        <w:rPr>
          <w:spacing w:val="-3"/>
        </w:rPr>
        <w:t xml:space="preserve"> </w:t>
      </w:r>
      <w:r w:rsidRPr="00D4309F">
        <w:t>pumping</w:t>
      </w:r>
      <w:r w:rsidRPr="00D4309F">
        <w:rPr>
          <w:spacing w:val="-3"/>
        </w:rPr>
        <w:t xml:space="preserve"> </w:t>
      </w:r>
      <w:r w:rsidRPr="00D4309F">
        <w:t>frequency,</w:t>
      </w:r>
      <w:r w:rsidRPr="00D4309F">
        <w:rPr>
          <w:spacing w:val="-3"/>
        </w:rPr>
        <w:t xml:space="preserve"> </w:t>
      </w:r>
      <w:r w:rsidRPr="00D4309F">
        <w:t>activation</w:t>
      </w:r>
      <w:r w:rsidRPr="00D4309F">
        <w:rPr>
          <w:spacing w:val="-3"/>
        </w:rPr>
        <w:t xml:space="preserve"> </w:t>
      </w:r>
      <w:r w:rsidRPr="00D4309F">
        <w:t>thresholds,</w:t>
      </w:r>
      <w:r w:rsidRPr="00D4309F">
        <w:rPr>
          <w:spacing w:val="-3"/>
        </w:rPr>
        <w:t xml:space="preserve"> </w:t>
      </w:r>
      <w:r w:rsidRPr="00D4309F">
        <w:t>and</w:t>
      </w:r>
      <w:r w:rsidRPr="00D4309F">
        <w:rPr>
          <w:spacing w:val="-3"/>
        </w:rPr>
        <w:t xml:space="preserve"> </w:t>
      </w:r>
      <w:r w:rsidRPr="00D4309F">
        <w:t>discharge</w:t>
      </w:r>
      <w:r w:rsidRPr="00D4309F">
        <w:rPr>
          <w:spacing w:val="-3"/>
        </w:rPr>
        <w:t xml:space="preserve"> </w:t>
      </w:r>
      <w:r w:rsidRPr="00D4309F">
        <w:t>distribution) could be adjusted over time as sediment behaviour or nourishment needs change. Additional beach outlets could also be installed if future shoreline conditions require more targeted placement</w:t>
      </w:r>
    </w:p>
    <w:p w14:paraId="48896365" w14:textId="77777777" w:rsidR="00725977" w:rsidRPr="00D4309F" w:rsidRDefault="00725977" w:rsidP="00725977">
      <w:pPr>
        <w:pStyle w:val="BodyText"/>
      </w:pPr>
      <w:r w:rsidRPr="00D4309F">
        <w:t>However, changes to the core system - such as enlarging the trap, relocating infrastructure, or modifying jetty</w:t>
      </w:r>
      <w:r w:rsidRPr="00D4309F">
        <w:rPr>
          <w:spacing w:val="-2"/>
        </w:rPr>
        <w:t xml:space="preserve"> </w:t>
      </w:r>
      <w:r w:rsidRPr="00D4309F">
        <w:t>alignment</w:t>
      </w:r>
      <w:r w:rsidRPr="00D4309F">
        <w:rPr>
          <w:spacing w:val="-4"/>
        </w:rPr>
        <w:t xml:space="preserve"> </w:t>
      </w:r>
      <w:r w:rsidRPr="00D4309F">
        <w:t>-</w:t>
      </w:r>
      <w:r w:rsidRPr="00D4309F">
        <w:rPr>
          <w:spacing w:val="-3"/>
        </w:rPr>
        <w:t xml:space="preserve"> </w:t>
      </w:r>
      <w:r w:rsidRPr="00D4309F">
        <w:t>would</w:t>
      </w:r>
      <w:r w:rsidRPr="00D4309F">
        <w:rPr>
          <w:spacing w:val="-4"/>
        </w:rPr>
        <w:t xml:space="preserve"> </w:t>
      </w:r>
      <w:r w:rsidRPr="00D4309F">
        <w:t>require</w:t>
      </w:r>
      <w:r w:rsidRPr="00D4309F">
        <w:rPr>
          <w:spacing w:val="-3"/>
        </w:rPr>
        <w:t xml:space="preserve"> </w:t>
      </w:r>
      <w:r w:rsidRPr="00D4309F">
        <w:t>substantial</w:t>
      </w:r>
      <w:r w:rsidRPr="00D4309F">
        <w:rPr>
          <w:spacing w:val="-3"/>
        </w:rPr>
        <w:t xml:space="preserve"> </w:t>
      </w:r>
      <w:r w:rsidRPr="00D4309F">
        <w:t>new</w:t>
      </w:r>
      <w:r w:rsidRPr="00D4309F">
        <w:rPr>
          <w:spacing w:val="-4"/>
        </w:rPr>
        <w:t xml:space="preserve"> </w:t>
      </w:r>
      <w:r w:rsidRPr="00D4309F">
        <w:t>construction</w:t>
      </w:r>
      <w:r w:rsidRPr="00D4309F">
        <w:rPr>
          <w:spacing w:val="-3"/>
        </w:rPr>
        <w:t xml:space="preserve"> </w:t>
      </w:r>
      <w:r w:rsidRPr="00D4309F">
        <w:t>and</w:t>
      </w:r>
      <w:r w:rsidRPr="00D4309F">
        <w:rPr>
          <w:spacing w:val="-3"/>
        </w:rPr>
        <w:t xml:space="preserve"> </w:t>
      </w:r>
      <w:r w:rsidRPr="00D4309F">
        <w:t>may</w:t>
      </w:r>
      <w:r w:rsidRPr="00D4309F">
        <w:rPr>
          <w:spacing w:val="-2"/>
        </w:rPr>
        <w:t xml:space="preserve"> </w:t>
      </w:r>
      <w:r w:rsidRPr="00D4309F">
        <w:t>be</w:t>
      </w:r>
      <w:r w:rsidRPr="00D4309F">
        <w:rPr>
          <w:spacing w:val="-4"/>
        </w:rPr>
        <w:t xml:space="preserve"> </w:t>
      </w:r>
      <w:r w:rsidRPr="00D4309F">
        <w:t>constrained</w:t>
      </w:r>
      <w:r w:rsidRPr="00D4309F">
        <w:rPr>
          <w:spacing w:val="-3"/>
        </w:rPr>
        <w:t xml:space="preserve"> </w:t>
      </w:r>
      <w:r w:rsidRPr="00D4309F">
        <w:t>by</w:t>
      </w:r>
      <w:r w:rsidRPr="00D4309F">
        <w:rPr>
          <w:spacing w:val="-2"/>
        </w:rPr>
        <w:t xml:space="preserve"> </w:t>
      </w:r>
      <w:r w:rsidRPr="00D4309F">
        <w:t>underlying</w:t>
      </w:r>
      <w:r w:rsidRPr="00D4309F">
        <w:rPr>
          <w:spacing w:val="-3"/>
        </w:rPr>
        <w:t xml:space="preserve"> </w:t>
      </w:r>
      <w:r w:rsidRPr="00D4309F">
        <w:t>rock</w:t>
      </w:r>
      <w:r w:rsidRPr="00D4309F">
        <w:rPr>
          <w:spacing w:val="-2"/>
        </w:rPr>
        <w:t xml:space="preserve"> </w:t>
      </w:r>
      <w:r w:rsidRPr="00D4309F">
        <w:t>and environmental approvals.</w:t>
      </w:r>
    </w:p>
    <w:p w14:paraId="5C83C4BD" w14:textId="016A0D95" w:rsidR="00725977" w:rsidRPr="00D4309F" w:rsidRDefault="00725977" w:rsidP="00725977">
      <w:pPr>
        <w:pStyle w:val="BodyText"/>
      </w:pPr>
      <w:r w:rsidRPr="00D4309F">
        <w:t>While</w:t>
      </w:r>
      <w:r w:rsidRPr="00D4309F">
        <w:rPr>
          <w:spacing w:val="-3"/>
        </w:rPr>
        <w:t xml:space="preserve"> </w:t>
      </w:r>
      <w:r w:rsidRPr="00D4309F">
        <w:t>Option</w:t>
      </w:r>
      <w:r w:rsidRPr="00D4309F">
        <w:rPr>
          <w:spacing w:val="-4"/>
        </w:rPr>
        <w:t xml:space="preserve"> </w:t>
      </w:r>
      <w:r w:rsidRPr="00D4309F">
        <w:t>4</w:t>
      </w:r>
      <w:r w:rsidRPr="00D4309F">
        <w:rPr>
          <w:spacing w:val="-3"/>
        </w:rPr>
        <w:t xml:space="preserve"> </w:t>
      </w:r>
      <w:r w:rsidRPr="00D4309F">
        <w:t>allows</w:t>
      </w:r>
      <w:r w:rsidRPr="00D4309F">
        <w:rPr>
          <w:spacing w:val="-2"/>
        </w:rPr>
        <w:t xml:space="preserve"> </w:t>
      </w:r>
      <w:r w:rsidRPr="00D4309F">
        <w:t>some</w:t>
      </w:r>
      <w:r w:rsidRPr="00D4309F">
        <w:rPr>
          <w:spacing w:val="-3"/>
        </w:rPr>
        <w:t xml:space="preserve"> </w:t>
      </w:r>
      <w:r w:rsidRPr="00D4309F">
        <w:t>operational</w:t>
      </w:r>
      <w:r w:rsidRPr="00D4309F">
        <w:rPr>
          <w:spacing w:val="-4"/>
        </w:rPr>
        <w:t xml:space="preserve"> </w:t>
      </w:r>
      <w:r w:rsidRPr="00D4309F">
        <w:t>refinement,</w:t>
      </w:r>
      <w:r w:rsidRPr="00D4309F">
        <w:rPr>
          <w:spacing w:val="-3"/>
        </w:rPr>
        <w:t xml:space="preserve"> </w:t>
      </w:r>
      <w:r w:rsidRPr="00D4309F">
        <w:t>its</w:t>
      </w:r>
      <w:r w:rsidRPr="00D4309F">
        <w:rPr>
          <w:spacing w:val="-2"/>
        </w:rPr>
        <w:t xml:space="preserve"> </w:t>
      </w:r>
      <w:r w:rsidRPr="00D4309F">
        <w:t>long-term</w:t>
      </w:r>
      <w:r w:rsidRPr="00D4309F">
        <w:rPr>
          <w:spacing w:val="-3"/>
        </w:rPr>
        <w:t xml:space="preserve"> </w:t>
      </w:r>
      <w:r w:rsidRPr="00D4309F">
        <w:t>adaptability</w:t>
      </w:r>
      <w:r w:rsidRPr="00D4309F">
        <w:rPr>
          <w:spacing w:val="-2"/>
        </w:rPr>
        <w:t xml:space="preserve"> </w:t>
      </w:r>
      <w:r w:rsidRPr="00D4309F">
        <w:t>is</w:t>
      </w:r>
      <w:r w:rsidRPr="00D4309F">
        <w:rPr>
          <w:spacing w:val="-3"/>
        </w:rPr>
        <w:t xml:space="preserve"> </w:t>
      </w:r>
      <w:r w:rsidRPr="00D4309F">
        <w:t>considered</w:t>
      </w:r>
      <w:r w:rsidRPr="00D4309F">
        <w:rPr>
          <w:spacing w:val="-3"/>
        </w:rPr>
        <w:t xml:space="preserve"> </w:t>
      </w:r>
      <w:r w:rsidRPr="00D4309F">
        <w:t>limited,</w:t>
      </w:r>
      <w:r w:rsidRPr="00D4309F">
        <w:rPr>
          <w:spacing w:val="-3"/>
        </w:rPr>
        <w:t xml:space="preserve"> </w:t>
      </w:r>
      <w:r w:rsidRPr="00D4309F">
        <w:t>and</w:t>
      </w:r>
      <w:r w:rsidRPr="00D4309F">
        <w:rPr>
          <w:spacing w:val="-3"/>
        </w:rPr>
        <w:t xml:space="preserve"> </w:t>
      </w:r>
      <w:r w:rsidRPr="00D4309F">
        <w:t>its effectiveness is most likely to be realised when combined with complementary structural works such as a breakwater extension.</w:t>
      </w:r>
    </w:p>
    <w:p w14:paraId="461F6A9D" w14:textId="77777777" w:rsidR="00725977" w:rsidRPr="00D4309F" w:rsidRDefault="00725977" w:rsidP="00AF12C0">
      <w:pPr>
        <w:pStyle w:val="Heading2"/>
      </w:pPr>
      <w:bookmarkStart w:id="499" w:name="_bookmark184"/>
      <w:bookmarkStart w:id="500" w:name="_Toc216699491"/>
      <w:bookmarkEnd w:id="499"/>
      <w:r w:rsidRPr="00D4309F">
        <w:t>Safety</w:t>
      </w:r>
      <w:r w:rsidRPr="00D4309F">
        <w:rPr>
          <w:spacing w:val="-9"/>
        </w:rPr>
        <w:t xml:space="preserve"> </w:t>
      </w:r>
      <w:r w:rsidRPr="00D4309F">
        <w:t>of</w:t>
      </w:r>
      <w:r w:rsidRPr="00D4309F">
        <w:rPr>
          <w:spacing w:val="-9"/>
        </w:rPr>
        <w:t xml:space="preserve"> </w:t>
      </w:r>
      <w:r w:rsidRPr="00D4309F">
        <w:t>Option</w:t>
      </w:r>
      <w:r w:rsidRPr="00D4309F">
        <w:rPr>
          <w:spacing w:val="-10"/>
        </w:rPr>
        <w:t xml:space="preserve"> 4</w:t>
      </w:r>
      <w:bookmarkEnd w:id="500"/>
    </w:p>
    <w:p w14:paraId="3E49EEB7" w14:textId="77777777" w:rsidR="00725977" w:rsidRPr="00D4309F" w:rsidRDefault="00725977" w:rsidP="00725977">
      <w:pPr>
        <w:pStyle w:val="BodyText"/>
      </w:pPr>
      <w:r w:rsidRPr="00D4309F">
        <w:t>Option 4 offers strong safety benefits by continuously intercepting sand before it enters the Mooloolaba entrance,</w:t>
      </w:r>
      <w:r w:rsidRPr="00D4309F">
        <w:rPr>
          <w:spacing w:val="-3"/>
        </w:rPr>
        <w:t xml:space="preserve"> </w:t>
      </w:r>
      <w:r w:rsidRPr="00D4309F">
        <w:t>resulting</w:t>
      </w:r>
      <w:r w:rsidRPr="00D4309F">
        <w:rPr>
          <w:spacing w:val="-3"/>
        </w:rPr>
        <w:t xml:space="preserve"> </w:t>
      </w:r>
      <w:r w:rsidRPr="00D4309F">
        <w:t>in</w:t>
      </w:r>
      <w:r w:rsidRPr="00D4309F">
        <w:rPr>
          <w:spacing w:val="-3"/>
        </w:rPr>
        <w:t xml:space="preserve"> </w:t>
      </w:r>
      <w:r w:rsidRPr="00D4309F">
        <w:t>more</w:t>
      </w:r>
      <w:r w:rsidRPr="00D4309F">
        <w:rPr>
          <w:spacing w:val="-4"/>
        </w:rPr>
        <w:t xml:space="preserve"> </w:t>
      </w:r>
      <w:r w:rsidRPr="00D4309F">
        <w:t>stable</w:t>
      </w:r>
      <w:r w:rsidRPr="00D4309F">
        <w:rPr>
          <w:spacing w:val="-3"/>
        </w:rPr>
        <w:t xml:space="preserve"> </w:t>
      </w:r>
      <w:r w:rsidRPr="00D4309F">
        <w:t>channel</w:t>
      </w:r>
      <w:r w:rsidRPr="00D4309F">
        <w:rPr>
          <w:spacing w:val="-3"/>
        </w:rPr>
        <w:t xml:space="preserve"> </w:t>
      </w:r>
      <w:r w:rsidRPr="00D4309F">
        <w:t>depths</w:t>
      </w:r>
      <w:r w:rsidRPr="00D4309F">
        <w:rPr>
          <w:spacing w:val="-2"/>
        </w:rPr>
        <w:t xml:space="preserve"> </w:t>
      </w:r>
      <w:r w:rsidRPr="00D4309F">
        <w:t>and</w:t>
      </w:r>
      <w:r w:rsidRPr="00D4309F">
        <w:rPr>
          <w:spacing w:val="-4"/>
        </w:rPr>
        <w:t xml:space="preserve"> </w:t>
      </w:r>
      <w:r w:rsidRPr="00D4309F">
        <w:t>improved</w:t>
      </w:r>
      <w:r w:rsidRPr="00D4309F">
        <w:rPr>
          <w:spacing w:val="-3"/>
        </w:rPr>
        <w:t xml:space="preserve"> </w:t>
      </w:r>
      <w:r w:rsidRPr="00D4309F">
        <w:t>reliability</w:t>
      </w:r>
      <w:r w:rsidRPr="00D4309F">
        <w:rPr>
          <w:spacing w:val="-2"/>
        </w:rPr>
        <w:t xml:space="preserve"> </w:t>
      </w:r>
      <w:r w:rsidRPr="00D4309F">
        <w:t>of</w:t>
      </w:r>
      <w:r w:rsidRPr="00D4309F">
        <w:rPr>
          <w:spacing w:val="-3"/>
        </w:rPr>
        <w:t xml:space="preserve"> </w:t>
      </w:r>
      <w:r w:rsidRPr="00D4309F">
        <w:t>all-tide</w:t>
      </w:r>
      <w:r w:rsidRPr="00D4309F">
        <w:rPr>
          <w:spacing w:val="-3"/>
        </w:rPr>
        <w:t xml:space="preserve"> </w:t>
      </w:r>
      <w:r w:rsidRPr="00D4309F">
        <w:t>access.</w:t>
      </w:r>
      <w:r w:rsidRPr="00D4309F">
        <w:rPr>
          <w:spacing w:val="-3"/>
        </w:rPr>
        <w:t xml:space="preserve"> </w:t>
      </w:r>
      <w:r w:rsidRPr="00D4309F">
        <w:t>The</w:t>
      </w:r>
      <w:r w:rsidRPr="00D4309F">
        <w:rPr>
          <w:spacing w:val="-3"/>
        </w:rPr>
        <w:t xml:space="preserve"> </w:t>
      </w:r>
      <w:r w:rsidRPr="00D4309F">
        <w:t>consistent bypassing</w:t>
      </w:r>
      <w:r w:rsidRPr="00D4309F">
        <w:rPr>
          <w:spacing w:val="-2"/>
        </w:rPr>
        <w:t xml:space="preserve"> </w:t>
      </w:r>
      <w:r w:rsidRPr="00D4309F">
        <w:t>of</w:t>
      </w:r>
      <w:r w:rsidRPr="00D4309F">
        <w:rPr>
          <w:spacing w:val="-2"/>
        </w:rPr>
        <w:t xml:space="preserve"> </w:t>
      </w:r>
      <w:r w:rsidRPr="00D4309F">
        <w:t>sand</w:t>
      </w:r>
      <w:r w:rsidRPr="00D4309F">
        <w:rPr>
          <w:spacing w:val="-2"/>
        </w:rPr>
        <w:t xml:space="preserve"> </w:t>
      </w:r>
      <w:r w:rsidRPr="00D4309F">
        <w:t>reduces</w:t>
      </w:r>
      <w:r w:rsidRPr="00D4309F">
        <w:rPr>
          <w:spacing w:val="-2"/>
        </w:rPr>
        <w:t xml:space="preserve"> </w:t>
      </w:r>
      <w:r w:rsidRPr="00D4309F">
        <w:t>the</w:t>
      </w:r>
      <w:r w:rsidRPr="00D4309F">
        <w:rPr>
          <w:spacing w:val="-2"/>
        </w:rPr>
        <w:t xml:space="preserve"> </w:t>
      </w:r>
      <w:r w:rsidRPr="00D4309F">
        <w:t>formation</w:t>
      </w:r>
      <w:r w:rsidRPr="00D4309F">
        <w:rPr>
          <w:spacing w:val="-3"/>
        </w:rPr>
        <w:t xml:space="preserve"> </w:t>
      </w:r>
      <w:r w:rsidRPr="00D4309F">
        <w:t>of</w:t>
      </w:r>
      <w:r w:rsidRPr="00D4309F">
        <w:rPr>
          <w:spacing w:val="-2"/>
        </w:rPr>
        <w:t xml:space="preserve"> </w:t>
      </w:r>
      <w:r w:rsidRPr="00D4309F">
        <w:t>shallow</w:t>
      </w:r>
      <w:r w:rsidRPr="00D4309F">
        <w:rPr>
          <w:spacing w:val="-1"/>
        </w:rPr>
        <w:t xml:space="preserve"> </w:t>
      </w:r>
      <w:r w:rsidRPr="00D4309F">
        <w:t>bars</w:t>
      </w:r>
      <w:r w:rsidRPr="00D4309F">
        <w:rPr>
          <w:spacing w:val="-1"/>
        </w:rPr>
        <w:t xml:space="preserve"> </w:t>
      </w:r>
      <w:r w:rsidRPr="00D4309F">
        <w:t>and</w:t>
      </w:r>
      <w:r w:rsidRPr="00D4309F">
        <w:rPr>
          <w:spacing w:val="-2"/>
        </w:rPr>
        <w:t xml:space="preserve"> </w:t>
      </w:r>
      <w:r w:rsidRPr="00D4309F">
        <w:t>minimises</w:t>
      </w:r>
      <w:r w:rsidRPr="00D4309F">
        <w:rPr>
          <w:spacing w:val="-1"/>
        </w:rPr>
        <w:t xml:space="preserve"> </w:t>
      </w:r>
      <w:r w:rsidRPr="00D4309F">
        <w:t>rapid</w:t>
      </w:r>
      <w:r w:rsidRPr="00D4309F">
        <w:rPr>
          <w:spacing w:val="-2"/>
        </w:rPr>
        <w:t xml:space="preserve"> </w:t>
      </w:r>
      <w:r w:rsidRPr="00D4309F">
        <w:t>depth</w:t>
      </w:r>
      <w:r w:rsidRPr="00D4309F">
        <w:rPr>
          <w:spacing w:val="-2"/>
        </w:rPr>
        <w:t xml:space="preserve"> </w:t>
      </w:r>
      <w:r w:rsidRPr="00D4309F">
        <w:t>changes,</w:t>
      </w:r>
      <w:r w:rsidRPr="00D4309F">
        <w:rPr>
          <w:spacing w:val="-2"/>
        </w:rPr>
        <w:t xml:space="preserve"> </w:t>
      </w:r>
      <w:r w:rsidRPr="00D4309F">
        <w:t>which</w:t>
      </w:r>
      <w:r w:rsidRPr="00D4309F">
        <w:rPr>
          <w:spacing w:val="-2"/>
        </w:rPr>
        <w:t xml:space="preserve"> </w:t>
      </w:r>
      <w:r w:rsidRPr="00D4309F">
        <w:t>in</w:t>
      </w:r>
      <w:r w:rsidRPr="00D4309F">
        <w:rPr>
          <w:spacing w:val="-2"/>
        </w:rPr>
        <w:t xml:space="preserve"> </w:t>
      </w:r>
      <w:r w:rsidRPr="00D4309F">
        <w:t>turn improves the clarity of navigation and reduces the need for frequent updates to aids to navigation.</w:t>
      </w:r>
    </w:p>
    <w:p w14:paraId="3557A89D" w14:textId="77777777" w:rsidR="00725977" w:rsidRPr="00D4309F" w:rsidRDefault="00725977" w:rsidP="00725977">
      <w:pPr>
        <w:pStyle w:val="BodyText"/>
      </w:pPr>
      <w:r w:rsidRPr="00D4309F">
        <w:t>Mariner safety is enhanced through fewer instances of wave breaking and steepening across the entrance bar, conditions that have historically contributed to hazardous vessel transits. Importantly, the system removes</w:t>
      </w:r>
      <w:r w:rsidRPr="00D4309F">
        <w:rPr>
          <w:spacing w:val="-2"/>
        </w:rPr>
        <w:t xml:space="preserve"> </w:t>
      </w:r>
      <w:r w:rsidRPr="00D4309F">
        <w:t>the</w:t>
      </w:r>
      <w:r w:rsidRPr="00D4309F">
        <w:rPr>
          <w:spacing w:val="-4"/>
        </w:rPr>
        <w:t xml:space="preserve"> </w:t>
      </w:r>
      <w:r w:rsidRPr="00D4309F">
        <w:t>need</w:t>
      </w:r>
      <w:r w:rsidRPr="00D4309F">
        <w:rPr>
          <w:spacing w:val="-3"/>
        </w:rPr>
        <w:t xml:space="preserve"> </w:t>
      </w:r>
      <w:r w:rsidRPr="00D4309F">
        <w:t>for</w:t>
      </w:r>
      <w:r w:rsidRPr="00D4309F">
        <w:rPr>
          <w:spacing w:val="-2"/>
        </w:rPr>
        <w:t xml:space="preserve"> </w:t>
      </w:r>
      <w:r w:rsidRPr="00D4309F">
        <w:t>large</w:t>
      </w:r>
      <w:r w:rsidRPr="00D4309F">
        <w:rPr>
          <w:spacing w:val="-3"/>
        </w:rPr>
        <w:t xml:space="preserve"> </w:t>
      </w:r>
      <w:r w:rsidRPr="00D4309F">
        <w:t>dredging</w:t>
      </w:r>
      <w:r w:rsidRPr="00D4309F">
        <w:rPr>
          <w:spacing w:val="-4"/>
        </w:rPr>
        <w:t xml:space="preserve"> </w:t>
      </w:r>
      <w:r w:rsidRPr="00D4309F">
        <w:t>vessels</w:t>
      </w:r>
      <w:r w:rsidRPr="00D4309F">
        <w:rPr>
          <w:spacing w:val="-2"/>
        </w:rPr>
        <w:t xml:space="preserve"> </w:t>
      </w:r>
      <w:r w:rsidRPr="00D4309F">
        <w:t>to</w:t>
      </w:r>
      <w:r w:rsidRPr="00D4309F">
        <w:rPr>
          <w:spacing w:val="-3"/>
        </w:rPr>
        <w:t xml:space="preserve"> </w:t>
      </w:r>
      <w:r w:rsidRPr="00D4309F">
        <w:t>operate</w:t>
      </w:r>
      <w:r w:rsidRPr="00D4309F">
        <w:rPr>
          <w:spacing w:val="-3"/>
        </w:rPr>
        <w:t xml:space="preserve"> </w:t>
      </w:r>
      <w:r w:rsidRPr="00D4309F">
        <w:t>near</w:t>
      </w:r>
      <w:r w:rsidRPr="00D4309F">
        <w:rPr>
          <w:spacing w:val="-2"/>
        </w:rPr>
        <w:t xml:space="preserve"> </w:t>
      </w:r>
      <w:r w:rsidRPr="00D4309F">
        <w:t>the</w:t>
      </w:r>
      <w:r w:rsidRPr="00D4309F">
        <w:rPr>
          <w:spacing w:val="-4"/>
        </w:rPr>
        <w:t xml:space="preserve"> </w:t>
      </w:r>
      <w:r w:rsidRPr="00D4309F">
        <w:t>entrance,</w:t>
      </w:r>
      <w:r w:rsidRPr="00D4309F">
        <w:rPr>
          <w:spacing w:val="-3"/>
        </w:rPr>
        <w:t xml:space="preserve"> </w:t>
      </w:r>
      <w:r w:rsidRPr="00D4309F">
        <w:t>eliminating</w:t>
      </w:r>
      <w:r w:rsidRPr="00D4309F">
        <w:rPr>
          <w:spacing w:val="-3"/>
        </w:rPr>
        <w:t xml:space="preserve"> </w:t>
      </w:r>
      <w:r w:rsidRPr="00D4309F">
        <w:t>associated</w:t>
      </w:r>
      <w:r w:rsidRPr="00D4309F">
        <w:rPr>
          <w:spacing w:val="-3"/>
        </w:rPr>
        <w:t xml:space="preserve"> </w:t>
      </w:r>
      <w:r w:rsidRPr="00D4309F">
        <w:t>risks</w:t>
      </w:r>
      <w:r w:rsidRPr="00D4309F">
        <w:rPr>
          <w:spacing w:val="-2"/>
        </w:rPr>
        <w:t xml:space="preserve"> </w:t>
      </w:r>
      <w:r w:rsidRPr="00D4309F">
        <w:t>such as bar crossing, restricted manoeuvring space, and vessel–recreational craft conflicts. Construction-phase risks exist but are temporary and manageable through standard controls.</w:t>
      </w:r>
    </w:p>
    <w:p w14:paraId="4E972A03" w14:textId="00681BFF" w:rsidR="00725977" w:rsidRPr="00D4309F" w:rsidRDefault="00725977" w:rsidP="00725977">
      <w:pPr>
        <w:pStyle w:val="BodyText"/>
      </w:pPr>
      <w:r w:rsidRPr="00D4309F">
        <w:t>Overall,</w:t>
      </w:r>
      <w:r w:rsidRPr="00D4309F">
        <w:rPr>
          <w:spacing w:val="-3"/>
        </w:rPr>
        <w:t xml:space="preserve"> </w:t>
      </w:r>
      <w:r w:rsidRPr="00D4309F">
        <w:t>Option</w:t>
      </w:r>
      <w:r w:rsidRPr="00D4309F">
        <w:rPr>
          <w:spacing w:val="-3"/>
        </w:rPr>
        <w:t xml:space="preserve"> </w:t>
      </w:r>
      <w:r w:rsidRPr="00D4309F">
        <w:t>4</w:t>
      </w:r>
      <w:r w:rsidRPr="00D4309F">
        <w:rPr>
          <w:spacing w:val="-3"/>
        </w:rPr>
        <w:t xml:space="preserve"> </w:t>
      </w:r>
      <w:r w:rsidRPr="00D4309F">
        <w:t>provides</w:t>
      </w:r>
      <w:r w:rsidRPr="00D4309F">
        <w:rPr>
          <w:spacing w:val="-3"/>
        </w:rPr>
        <w:t xml:space="preserve"> </w:t>
      </w:r>
      <w:r w:rsidRPr="00D4309F">
        <w:t>a</w:t>
      </w:r>
      <w:r w:rsidRPr="00D4309F">
        <w:rPr>
          <w:spacing w:val="-3"/>
        </w:rPr>
        <w:t xml:space="preserve"> </w:t>
      </w:r>
      <w:r w:rsidRPr="00D4309F">
        <w:t>high</w:t>
      </w:r>
      <w:r w:rsidRPr="00D4309F">
        <w:rPr>
          <w:spacing w:val="-3"/>
        </w:rPr>
        <w:t xml:space="preserve"> </w:t>
      </w:r>
      <w:r w:rsidRPr="00D4309F">
        <w:t>and</w:t>
      </w:r>
      <w:r w:rsidRPr="00D4309F">
        <w:rPr>
          <w:spacing w:val="-3"/>
        </w:rPr>
        <w:t xml:space="preserve"> </w:t>
      </w:r>
      <w:r w:rsidRPr="00D4309F">
        <w:t>consistent</w:t>
      </w:r>
      <w:r w:rsidRPr="00D4309F">
        <w:rPr>
          <w:spacing w:val="-3"/>
        </w:rPr>
        <w:t xml:space="preserve"> </w:t>
      </w:r>
      <w:r w:rsidRPr="00D4309F">
        <w:t>safety</w:t>
      </w:r>
      <w:r w:rsidRPr="00D4309F">
        <w:rPr>
          <w:spacing w:val="-2"/>
        </w:rPr>
        <w:t xml:space="preserve"> </w:t>
      </w:r>
      <w:r w:rsidRPr="00D4309F">
        <w:t>improvement,</w:t>
      </w:r>
      <w:r w:rsidRPr="00D4309F">
        <w:rPr>
          <w:spacing w:val="-3"/>
        </w:rPr>
        <w:t xml:space="preserve"> </w:t>
      </w:r>
      <w:r w:rsidRPr="00D4309F">
        <w:t>delivering</w:t>
      </w:r>
      <w:r w:rsidRPr="00D4309F">
        <w:rPr>
          <w:spacing w:val="-4"/>
        </w:rPr>
        <w:t xml:space="preserve"> </w:t>
      </w:r>
      <w:r w:rsidRPr="00D4309F">
        <w:t>the</w:t>
      </w:r>
      <w:r w:rsidRPr="00D4309F">
        <w:rPr>
          <w:spacing w:val="-3"/>
        </w:rPr>
        <w:t xml:space="preserve"> </w:t>
      </w:r>
      <w:r w:rsidRPr="00D4309F">
        <w:t>most</w:t>
      </w:r>
      <w:r w:rsidRPr="00D4309F">
        <w:rPr>
          <w:spacing w:val="-3"/>
        </w:rPr>
        <w:t xml:space="preserve"> </w:t>
      </w:r>
      <w:r w:rsidRPr="00D4309F">
        <w:t>reliable navigational conditions among the options considered.</w:t>
      </w:r>
    </w:p>
    <w:p w14:paraId="18339407" w14:textId="77777777" w:rsidR="00725977" w:rsidRPr="00D4309F" w:rsidRDefault="00725977" w:rsidP="00AF12C0">
      <w:pPr>
        <w:pStyle w:val="Heading2"/>
      </w:pPr>
      <w:bookmarkStart w:id="501" w:name="_bookmark185"/>
      <w:bookmarkStart w:id="502" w:name="_Toc216699492"/>
      <w:bookmarkEnd w:id="501"/>
      <w:r w:rsidRPr="00D4309F">
        <w:t>Cost</w:t>
      </w:r>
      <w:bookmarkEnd w:id="502"/>
    </w:p>
    <w:p w14:paraId="0DC28958" w14:textId="77777777" w:rsidR="00725977" w:rsidRPr="00D4309F" w:rsidRDefault="00725977" w:rsidP="00E6351A">
      <w:pPr>
        <w:pStyle w:val="Heading5-nonumber"/>
      </w:pPr>
      <w:r w:rsidRPr="00D4309F">
        <w:t>Capital</w:t>
      </w:r>
      <w:r w:rsidRPr="00D4309F">
        <w:rPr>
          <w:spacing w:val="-4"/>
        </w:rPr>
        <w:t xml:space="preserve"> </w:t>
      </w:r>
      <w:r w:rsidRPr="00D4309F">
        <w:t>Works</w:t>
      </w:r>
      <w:r w:rsidRPr="00D4309F">
        <w:rPr>
          <w:spacing w:val="-3"/>
        </w:rPr>
        <w:t xml:space="preserve"> </w:t>
      </w:r>
      <w:r w:rsidRPr="00D4309F">
        <w:rPr>
          <w:spacing w:val="-4"/>
        </w:rPr>
        <w:t>Cost</w:t>
      </w:r>
    </w:p>
    <w:p w14:paraId="7B1B9C4E" w14:textId="77777777" w:rsidR="00725977" w:rsidRPr="00D4309F" w:rsidRDefault="00725977" w:rsidP="00725977">
      <w:pPr>
        <w:pStyle w:val="BodyText"/>
      </w:pPr>
      <w:r w:rsidRPr="00D4309F">
        <w:t>Option</w:t>
      </w:r>
      <w:r w:rsidRPr="00D4309F">
        <w:rPr>
          <w:spacing w:val="-2"/>
        </w:rPr>
        <w:t xml:space="preserve"> </w:t>
      </w:r>
      <w:r w:rsidRPr="00D4309F">
        <w:t>4</w:t>
      </w:r>
      <w:r w:rsidRPr="00D4309F">
        <w:rPr>
          <w:spacing w:val="-2"/>
        </w:rPr>
        <w:t xml:space="preserve"> </w:t>
      </w:r>
      <w:r w:rsidRPr="00D4309F">
        <w:t>is</w:t>
      </w:r>
      <w:r w:rsidRPr="00D4309F">
        <w:rPr>
          <w:spacing w:val="-1"/>
        </w:rPr>
        <w:t xml:space="preserve"> </w:t>
      </w:r>
      <w:r w:rsidRPr="00D4309F">
        <w:t>expected</w:t>
      </w:r>
      <w:r w:rsidRPr="00D4309F">
        <w:rPr>
          <w:spacing w:val="-2"/>
        </w:rPr>
        <w:t xml:space="preserve"> </w:t>
      </w:r>
      <w:r w:rsidRPr="00D4309F">
        <w:t>to</w:t>
      </w:r>
      <w:r w:rsidRPr="00D4309F">
        <w:rPr>
          <w:spacing w:val="-2"/>
        </w:rPr>
        <w:t xml:space="preserve"> </w:t>
      </w:r>
      <w:r w:rsidRPr="00D4309F">
        <w:t>have</w:t>
      </w:r>
      <w:r w:rsidRPr="00D4309F">
        <w:rPr>
          <w:spacing w:val="-2"/>
        </w:rPr>
        <w:t xml:space="preserve"> </w:t>
      </w:r>
      <w:r w:rsidRPr="00D4309F">
        <w:t>the</w:t>
      </w:r>
      <w:r w:rsidRPr="00D4309F">
        <w:rPr>
          <w:spacing w:val="-2"/>
        </w:rPr>
        <w:t xml:space="preserve"> </w:t>
      </w:r>
      <w:r w:rsidRPr="00D4309F">
        <w:t>highest</w:t>
      </w:r>
      <w:r w:rsidRPr="00D4309F">
        <w:rPr>
          <w:spacing w:val="-2"/>
        </w:rPr>
        <w:t xml:space="preserve"> </w:t>
      </w:r>
      <w:r w:rsidRPr="00D4309F">
        <w:t>capital</w:t>
      </w:r>
      <w:r w:rsidRPr="00D4309F">
        <w:rPr>
          <w:spacing w:val="-3"/>
        </w:rPr>
        <w:t xml:space="preserve"> </w:t>
      </w:r>
      <w:r w:rsidRPr="00D4309F">
        <w:t>cost</w:t>
      </w:r>
      <w:r w:rsidRPr="00D4309F">
        <w:rPr>
          <w:spacing w:val="-2"/>
        </w:rPr>
        <w:t xml:space="preserve"> </w:t>
      </w:r>
      <w:r w:rsidRPr="00D4309F">
        <w:t>of</w:t>
      </w:r>
      <w:r w:rsidRPr="00D4309F">
        <w:rPr>
          <w:spacing w:val="-2"/>
        </w:rPr>
        <w:t xml:space="preserve"> </w:t>
      </w:r>
      <w:r w:rsidRPr="00D4309F">
        <w:t>all</w:t>
      </w:r>
      <w:r w:rsidRPr="00D4309F">
        <w:rPr>
          <w:spacing w:val="-2"/>
        </w:rPr>
        <w:t xml:space="preserve"> </w:t>
      </w:r>
      <w:r w:rsidRPr="00D4309F">
        <w:t>options,</w:t>
      </w:r>
      <w:r w:rsidRPr="00D4309F">
        <w:rPr>
          <w:spacing w:val="-2"/>
        </w:rPr>
        <w:t xml:space="preserve"> </w:t>
      </w:r>
      <w:r w:rsidRPr="00D4309F">
        <w:t>reflecting</w:t>
      </w:r>
      <w:r w:rsidRPr="00D4309F">
        <w:rPr>
          <w:spacing w:val="-2"/>
        </w:rPr>
        <w:t xml:space="preserve"> </w:t>
      </w:r>
      <w:r w:rsidRPr="00D4309F">
        <w:t>the</w:t>
      </w:r>
      <w:r w:rsidRPr="00D4309F">
        <w:rPr>
          <w:spacing w:val="-3"/>
        </w:rPr>
        <w:t xml:space="preserve"> </w:t>
      </w:r>
      <w:r w:rsidRPr="00D4309F">
        <w:t>scale</w:t>
      </w:r>
      <w:r w:rsidRPr="00D4309F">
        <w:rPr>
          <w:spacing w:val="-2"/>
        </w:rPr>
        <w:t xml:space="preserve"> </w:t>
      </w:r>
      <w:r w:rsidRPr="00D4309F">
        <w:t>and</w:t>
      </w:r>
      <w:r w:rsidRPr="00D4309F">
        <w:rPr>
          <w:spacing w:val="-2"/>
        </w:rPr>
        <w:t xml:space="preserve"> </w:t>
      </w:r>
      <w:r w:rsidRPr="00D4309F">
        <w:t>permanence</w:t>
      </w:r>
      <w:r w:rsidRPr="00D4309F">
        <w:rPr>
          <w:spacing w:val="-2"/>
        </w:rPr>
        <w:t xml:space="preserve"> </w:t>
      </w:r>
      <w:r w:rsidRPr="00D4309F">
        <w:t>of the infrastructure required. Major cost drivers include:</w:t>
      </w:r>
    </w:p>
    <w:p w14:paraId="6D484409" w14:textId="77777777" w:rsidR="00725977" w:rsidRPr="00D4309F" w:rsidRDefault="00725977" w:rsidP="00D27F26">
      <w:pPr>
        <w:pStyle w:val="ListParagraph"/>
        <w:widowControl w:val="0"/>
        <w:numPr>
          <w:ilvl w:val="0"/>
          <w:numId w:val="73"/>
        </w:numPr>
        <w:tabs>
          <w:tab w:val="left" w:pos="501"/>
        </w:tabs>
        <w:autoSpaceDE w:val="0"/>
        <w:autoSpaceDN w:val="0"/>
        <w:spacing w:before="121" w:after="0" w:line="240" w:lineRule="auto"/>
        <w:ind w:right="360"/>
        <w:contextualSpacing w:val="0"/>
      </w:pPr>
      <w:r w:rsidRPr="00D4309F">
        <w:rPr>
          <w:color w:val="211E1F"/>
        </w:rPr>
        <w:t>Rock</w:t>
      </w:r>
      <w:r w:rsidRPr="00D4309F">
        <w:rPr>
          <w:color w:val="211E1F"/>
          <w:spacing w:val="-2"/>
        </w:rPr>
        <w:t xml:space="preserve"> </w:t>
      </w:r>
      <w:r w:rsidRPr="00D4309F">
        <w:rPr>
          <w:color w:val="211E1F"/>
        </w:rPr>
        <w:t>excavation</w:t>
      </w:r>
      <w:r w:rsidRPr="00D4309F">
        <w:rPr>
          <w:color w:val="211E1F"/>
          <w:spacing w:val="-3"/>
        </w:rPr>
        <w:t xml:space="preserve"> </w:t>
      </w:r>
      <w:r w:rsidRPr="00D4309F">
        <w:rPr>
          <w:color w:val="211E1F"/>
        </w:rPr>
        <w:t>to</w:t>
      </w:r>
      <w:r w:rsidRPr="00D4309F">
        <w:rPr>
          <w:color w:val="211E1F"/>
          <w:spacing w:val="-3"/>
        </w:rPr>
        <w:t xml:space="preserve"> </w:t>
      </w:r>
      <w:r w:rsidRPr="00D4309F">
        <w:rPr>
          <w:color w:val="211E1F"/>
        </w:rPr>
        <w:t>form</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headland</w:t>
      </w:r>
      <w:r w:rsidRPr="00D4309F">
        <w:rPr>
          <w:color w:val="211E1F"/>
          <w:spacing w:val="-4"/>
        </w:rPr>
        <w:t xml:space="preserve"> </w:t>
      </w:r>
      <w:r w:rsidRPr="00D4309F">
        <w:rPr>
          <w:color w:val="211E1F"/>
        </w:rPr>
        <w:t>sand</w:t>
      </w:r>
      <w:r w:rsidRPr="00D4309F">
        <w:rPr>
          <w:color w:val="211E1F"/>
          <w:spacing w:val="-3"/>
        </w:rPr>
        <w:t xml:space="preserve"> </w:t>
      </w:r>
      <w:r w:rsidRPr="00D4309F">
        <w:rPr>
          <w:color w:val="211E1F"/>
        </w:rPr>
        <w:t>trap,</w:t>
      </w:r>
      <w:r w:rsidRPr="00D4309F">
        <w:rPr>
          <w:color w:val="211E1F"/>
          <w:spacing w:val="-3"/>
        </w:rPr>
        <w:t xml:space="preserve"> </w:t>
      </w:r>
      <w:r w:rsidRPr="00D4309F">
        <w:rPr>
          <w:color w:val="211E1F"/>
        </w:rPr>
        <w:t>which</w:t>
      </w:r>
      <w:r w:rsidRPr="00D4309F">
        <w:rPr>
          <w:color w:val="211E1F"/>
          <w:spacing w:val="-3"/>
        </w:rPr>
        <w:t xml:space="preserve"> </w:t>
      </w:r>
      <w:r w:rsidRPr="00D4309F">
        <w:rPr>
          <w:color w:val="211E1F"/>
        </w:rPr>
        <w:t>is</w:t>
      </w:r>
      <w:r w:rsidRPr="00D4309F">
        <w:rPr>
          <w:color w:val="211E1F"/>
          <w:spacing w:val="-2"/>
        </w:rPr>
        <w:t xml:space="preserve"> </w:t>
      </w:r>
      <w:r w:rsidRPr="00D4309F">
        <w:rPr>
          <w:color w:val="211E1F"/>
        </w:rPr>
        <w:t>technically</w:t>
      </w:r>
      <w:r w:rsidRPr="00D4309F">
        <w:rPr>
          <w:color w:val="211E1F"/>
          <w:spacing w:val="-2"/>
        </w:rPr>
        <w:t xml:space="preserve"> </w:t>
      </w:r>
      <w:r w:rsidRPr="00D4309F">
        <w:rPr>
          <w:color w:val="211E1F"/>
        </w:rPr>
        <w:t>challenging</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likely</w:t>
      </w:r>
      <w:r w:rsidRPr="00D4309F">
        <w:rPr>
          <w:color w:val="211E1F"/>
          <w:spacing w:val="-2"/>
        </w:rPr>
        <w:t xml:space="preserve"> </w:t>
      </w:r>
      <w:r w:rsidRPr="00D4309F">
        <w:rPr>
          <w:color w:val="211E1F"/>
        </w:rPr>
        <w:t>to</w:t>
      </w:r>
      <w:r w:rsidRPr="00D4309F">
        <w:rPr>
          <w:color w:val="211E1F"/>
          <w:spacing w:val="-4"/>
        </w:rPr>
        <w:t xml:space="preserve"> </w:t>
      </w:r>
      <w:r w:rsidRPr="00D4309F">
        <w:rPr>
          <w:color w:val="211E1F"/>
        </w:rPr>
        <w:t>require specialised marine plant.</w:t>
      </w:r>
    </w:p>
    <w:p w14:paraId="0866F619" w14:textId="77777777" w:rsidR="00725977" w:rsidRPr="00D4309F" w:rsidRDefault="00725977" w:rsidP="00D27F26">
      <w:pPr>
        <w:pStyle w:val="ListParagraph"/>
        <w:widowControl w:val="0"/>
        <w:numPr>
          <w:ilvl w:val="0"/>
          <w:numId w:val="73"/>
        </w:numPr>
        <w:tabs>
          <w:tab w:val="left" w:pos="501"/>
        </w:tabs>
        <w:autoSpaceDE w:val="0"/>
        <w:autoSpaceDN w:val="0"/>
        <w:spacing w:before="118" w:after="0" w:line="240" w:lineRule="auto"/>
        <w:ind w:right="46"/>
        <w:contextualSpacing w:val="0"/>
      </w:pPr>
      <w:r w:rsidRPr="00D4309F">
        <w:rPr>
          <w:color w:val="211E1F"/>
        </w:rPr>
        <w:t>Construction</w:t>
      </w:r>
      <w:r w:rsidRPr="00D4309F">
        <w:rPr>
          <w:color w:val="211E1F"/>
          <w:spacing w:val="-4"/>
        </w:rPr>
        <w:t xml:space="preserve"> </w:t>
      </w:r>
      <w:r w:rsidRPr="00D4309F">
        <w:rPr>
          <w:color w:val="211E1F"/>
        </w:rPr>
        <w:t>of</w:t>
      </w:r>
      <w:r w:rsidRPr="00D4309F">
        <w:rPr>
          <w:color w:val="211E1F"/>
          <w:spacing w:val="-3"/>
        </w:rPr>
        <w:t xml:space="preserve"> </w:t>
      </w:r>
      <w:r w:rsidRPr="00D4309F">
        <w:rPr>
          <w:color w:val="211E1F"/>
        </w:rPr>
        <w:t>a</w:t>
      </w:r>
      <w:r w:rsidRPr="00D4309F">
        <w:rPr>
          <w:color w:val="211E1F"/>
          <w:spacing w:val="-3"/>
        </w:rPr>
        <w:t xml:space="preserve"> </w:t>
      </w:r>
      <w:r w:rsidRPr="00D4309F">
        <w:rPr>
          <w:color w:val="211E1F"/>
        </w:rPr>
        <w:t>fixed</w:t>
      </w:r>
      <w:r w:rsidRPr="00D4309F">
        <w:rPr>
          <w:color w:val="211E1F"/>
          <w:spacing w:val="-3"/>
        </w:rPr>
        <w:t xml:space="preserve"> </w:t>
      </w:r>
      <w:r w:rsidRPr="00D4309F">
        <w:rPr>
          <w:color w:val="211E1F"/>
        </w:rPr>
        <w:t>jetty</w:t>
      </w:r>
      <w:r w:rsidRPr="00D4309F">
        <w:rPr>
          <w:color w:val="211E1F"/>
          <w:spacing w:val="-2"/>
        </w:rPr>
        <w:t xml:space="preserve"> </w:t>
      </w:r>
      <w:r w:rsidRPr="00D4309F">
        <w:rPr>
          <w:color w:val="211E1F"/>
        </w:rPr>
        <w:t>or</w:t>
      </w:r>
      <w:r w:rsidRPr="00D4309F">
        <w:rPr>
          <w:color w:val="211E1F"/>
          <w:spacing w:val="-2"/>
        </w:rPr>
        <w:t xml:space="preserve"> </w:t>
      </w:r>
      <w:r w:rsidRPr="00D4309F">
        <w:rPr>
          <w:color w:val="211E1F"/>
        </w:rPr>
        <w:t>access</w:t>
      </w:r>
      <w:r w:rsidRPr="00D4309F">
        <w:rPr>
          <w:color w:val="211E1F"/>
          <w:spacing w:val="-3"/>
        </w:rPr>
        <w:t xml:space="preserve"> </w:t>
      </w:r>
      <w:r w:rsidRPr="00D4309F">
        <w:rPr>
          <w:color w:val="211E1F"/>
        </w:rPr>
        <w:t>structure,</w:t>
      </w:r>
      <w:r w:rsidRPr="00D4309F">
        <w:rPr>
          <w:color w:val="211E1F"/>
          <w:spacing w:val="-3"/>
        </w:rPr>
        <w:t xml:space="preserve"> </w:t>
      </w:r>
      <w:r w:rsidRPr="00D4309F">
        <w:rPr>
          <w:color w:val="211E1F"/>
        </w:rPr>
        <w:t>designed</w:t>
      </w:r>
      <w:r w:rsidRPr="00D4309F">
        <w:rPr>
          <w:color w:val="211E1F"/>
          <w:spacing w:val="-3"/>
        </w:rPr>
        <w:t xml:space="preserve"> </w:t>
      </w:r>
      <w:r w:rsidRPr="00D4309F">
        <w:rPr>
          <w:color w:val="211E1F"/>
        </w:rPr>
        <w:t>for</w:t>
      </w:r>
      <w:r w:rsidRPr="00D4309F">
        <w:rPr>
          <w:color w:val="211E1F"/>
          <w:spacing w:val="-2"/>
        </w:rPr>
        <w:t xml:space="preserve"> </w:t>
      </w:r>
      <w:r w:rsidRPr="00D4309F">
        <w:rPr>
          <w:color w:val="211E1F"/>
        </w:rPr>
        <w:t>wave</w:t>
      </w:r>
      <w:r w:rsidRPr="00D4309F">
        <w:rPr>
          <w:color w:val="211E1F"/>
          <w:spacing w:val="-3"/>
        </w:rPr>
        <w:t xml:space="preserve"> </w:t>
      </w:r>
      <w:r w:rsidRPr="00D4309F">
        <w:rPr>
          <w:color w:val="211E1F"/>
        </w:rPr>
        <w:t>loading,</w:t>
      </w:r>
      <w:r w:rsidRPr="00D4309F">
        <w:rPr>
          <w:color w:val="211E1F"/>
          <w:spacing w:val="-3"/>
        </w:rPr>
        <w:t xml:space="preserve"> </w:t>
      </w:r>
      <w:r w:rsidRPr="00D4309F">
        <w:rPr>
          <w:color w:val="211E1F"/>
        </w:rPr>
        <w:t>inspection</w:t>
      </w:r>
      <w:r w:rsidRPr="00D4309F">
        <w:rPr>
          <w:color w:val="211E1F"/>
          <w:spacing w:val="-3"/>
        </w:rPr>
        <w:t xml:space="preserve"> </w:t>
      </w:r>
      <w:r w:rsidRPr="00D4309F">
        <w:rPr>
          <w:color w:val="211E1F"/>
        </w:rPr>
        <w:t>access,</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long-term durability.</w:t>
      </w:r>
    </w:p>
    <w:p w14:paraId="70FBD50D" w14:textId="77777777" w:rsidR="00725977" w:rsidRPr="00D4309F" w:rsidRDefault="00725977" w:rsidP="00D27F26">
      <w:pPr>
        <w:pStyle w:val="ListParagraph"/>
        <w:widowControl w:val="0"/>
        <w:numPr>
          <w:ilvl w:val="0"/>
          <w:numId w:val="73"/>
        </w:numPr>
        <w:tabs>
          <w:tab w:val="left" w:pos="501"/>
        </w:tabs>
        <w:autoSpaceDE w:val="0"/>
        <w:autoSpaceDN w:val="0"/>
        <w:spacing w:before="119" w:after="0" w:line="240" w:lineRule="auto"/>
        <w:ind w:hanging="359"/>
        <w:contextualSpacing w:val="0"/>
      </w:pPr>
      <w:r w:rsidRPr="00D4309F">
        <w:rPr>
          <w:color w:val="211E1F"/>
        </w:rPr>
        <w:t>A</w:t>
      </w:r>
      <w:r w:rsidRPr="00D4309F">
        <w:rPr>
          <w:color w:val="211E1F"/>
          <w:spacing w:val="-7"/>
        </w:rPr>
        <w:t xml:space="preserve"> </w:t>
      </w:r>
      <w:r w:rsidRPr="00D4309F">
        <w:rPr>
          <w:color w:val="211E1F"/>
        </w:rPr>
        <w:t>permanent</w:t>
      </w:r>
      <w:r w:rsidRPr="00D4309F">
        <w:rPr>
          <w:color w:val="211E1F"/>
          <w:spacing w:val="-4"/>
        </w:rPr>
        <w:t xml:space="preserve"> </w:t>
      </w:r>
      <w:r w:rsidRPr="00D4309F">
        <w:rPr>
          <w:color w:val="211E1F"/>
        </w:rPr>
        <w:t>pump</w:t>
      </w:r>
      <w:r w:rsidRPr="00D4309F">
        <w:rPr>
          <w:color w:val="211E1F"/>
          <w:spacing w:val="-4"/>
        </w:rPr>
        <w:t xml:space="preserve"> </w:t>
      </w:r>
      <w:r w:rsidRPr="00D4309F">
        <w:rPr>
          <w:color w:val="211E1F"/>
        </w:rPr>
        <w:t>station,</w:t>
      </w:r>
      <w:r w:rsidRPr="00D4309F">
        <w:rPr>
          <w:color w:val="211E1F"/>
          <w:spacing w:val="-5"/>
        </w:rPr>
        <w:t xml:space="preserve"> </w:t>
      </w:r>
      <w:r w:rsidRPr="00D4309F">
        <w:rPr>
          <w:color w:val="211E1F"/>
        </w:rPr>
        <w:t>mechanical</w:t>
      </w:r>
      <w:r w:rsidRPr="00D4309F">
        <w:rPr>
          <w:color w:val="211E1F"/>
          <w:spacing w:val="-4"/>
        </w:rPr>
        <w:t xml:space="preserve"> </w:t>
      </w:r>
      <w:r w:rsidRPr="00D4309F">
        <w:rPr>
          <w:color w:val="211E1F"/>
        </w:rPr>
        <w:t>systems,</w:t>
      </w:r>
      <w:r w:rsidRPr="00D4309F">
        <w:rPr>
          <w:color w:val="211E1F"/>
          <w:spacing w:val="-4"/>
        </w:rPr>
        <w:t xml:space="preserve"> </w:t>
      </w:r>
      <w:r w:rsidRPr="00D4309F">
        <w:rPr>
          <w:color w:val="211E1F"/>
        </w:rPr>
        <w:t>electrical</w:t>
      </w:r>
      <w:r w:rsidRPr="00D4309F">
        <w:rPr>
          <w:color w:val="211E1F"/>
          <w:spacing w:val="-6"/>
        </w:rPr>
        <w:t xml:space="preserve"> </w:t>
      </w:r>
      <w:r w:rsidRPr="00D4309F">
        <w:rPr>
          <w:color w:val="211E1F"/>
        </w:rPr>
        <w:t>supply,</w:t>
      </w:r>
      <w:r w:rsidRPr="00D4309F">
        <w:rPr>
          <w:color w:val="211E1F"/>
          <w:spacing w:val="-4"/>
        </w:rPr>
        <w:t xml:space="preserve"> </w:t>
      </w:r>
      <w:r w:rsidRPr="00D4309F">
        <w:rPr>
          <w:color w:val="211E1F"/>
        </w:rPr>
        <w:t>and</w:t>
      </w:r>
      <w:r w:rsidRPr="00D4309F">
        <w:rPr>
          <w:color w:val="211E1F"/>
          <w:spacing w:val="-4"/>
        </w:rPr>
        <w:t xml:space="preserve"> </w:t>
      </w:r>
      <w:r w:rsidRPr="00D4309F">
        <w:rPr>
          <w:color w:val="211E1F"/>
        </w:rPr>
        <w:t>control</w:t>
      </w:r>
      <w:r w:rsidRPr="00D4309F">
        <w:rPr>
          <w:color w:val="211E1F"/>
          <w:spacing w:val="-4"/>
        </w:rPr>
        <w:t xml:space="preserve"> </w:t>
      </w:r>
      <w:r w:rsidRPr="00D4309F">
        <w:rPr>
          <w:color w:val="211E1F"/>
          <w:spacing w:val="-2"/>
        </w:rPr>
        <w:t>infrastructure.</w:t>
      </w:r>
    </w:p>
    <w:p w14:paraId="082947DE" w14:textId="77777777" w:rsidR="00725977" w:rsidRPr="00D4309F" w:rsidRDefault="00725977" w:rsidP="00D27F26">
      <w:pPr>
        <w:pStyle w:val="ListParagraph"/>
        <w:widowControl w:val="0"/>
        <w:numPr>
          <w:ilvl w:val="0"/>
          <w:numId w:val="73"/>
        </w:numPr>
        <w:tabs>
          <w:tab w:val="left" w:pos="501"/>
        </w:tabs>
        <w:autoSpaceDE w:val="0"/>
        <w:autoSpaceDN w:val="0"/>
        <w:spacing w:before="118" w:after="0" w:line="240" w:lineRule="auto"/>
        <w:contextualSpacing w:val="0"/>
      </w:pPr>
      <w:r w:rsidRPr="00D4309F">
        <w:rPr>
          <w:color w:val="211E1F"/>
        </w:rPr>
        <w:t>Installation</w:t>
      </w:r>
      <w:r w:rsidRPr="00D4309F">
        <w:rPr>
          <w:color w:val="211E1F"/>
          <w:spacing w:val="-7"/>
        </w:rPr>
        <w:t xml:space="preserve"> </w:t>
      </w:r>
      <w:r w:rsidRPr="00D4309F">
        <w:rPr>
          <w:color w:val="211E1F"/>
        </w:rPr>
        <w:t>of</w:t>
      </w:r>
      <w:r w:rsidRPr="00D4309F">
        <w:rPr>
          <w:color w:val="211E1F"/>
          <w:spacing w:val="-6"/>
        </w:rPr>
        <w:t xml:space="preserve"> </w:t>
      </w:r>
      <w:r w:rsidRPr="00D4309F">
        <w:rPr>
          <w:color w:val="211E1F"/>
        </w:rPr>
        <w:t>a</w:t>
      </w:r>
      <w:r w:rsidRPr="00D4309F">
        <w:rPr>
          <w:color w:val="211E1F"/>
          <w:spacing w:val="-5"/>
        </w:rPr>
        <w:t xml:space="preserve"> </w:t>
      </w:r>
      <w:r w:rsidRPr="00D4309F">
        <w:rPr>
          <w:color w:val="211E1F"/>
        </w:rPr>
        <w:t>buried</w:t>
      </w:r>
      <w:r w:rsidRPr="00D4309F">
        <w:rPr>
          <w:color w:val="211E1F"/>
          <w:spacing w:val="-5"/>
        </w:rPr>
        <w:t xml:space="preserve"> </w:t>
      </w:r>
      <w:r w:rsidRPr="00D4309F">
        <w:rPr>
          <w:color w:val="211E1F"/>
        </w:rPr>
        <w:t>pipeline</w:t>
      </w:r>
      <w:r w:rsidRPr="00D4309F">
        <w:rPr>
          <w:color w:val="211E1F"/>
          <w:spacing w:val="-4"/>
        </w:rPr>
        <w:t xml:space="preserve"> </w:t>
      </w:r>
      <w:r w:rsidRPr="00D4309F">
        <w:rPr>
          <w:color w:val="211E1F"/>
        </w:rPr>
        <w:t>beneath</w:t>
      </w:r>
      <w:r w:rsidRPr="00D4309F">
        <w:rPr>
          <w:color w:val="211E1F"/>
          <w:spacing w:val="-5"/>
        </w:rPr>
        <w:t xml:space="preserve"> </w:t>
      </w:r>
      <w:r w:rsidRPr="00D4309F">
        <w:rPr>
          <w:color w:val="211E1F"/>
        </w:rPr>
        <w:t>the</w:t>
      </w:r>
      <w:r w:rsidRPr="00D4309F">
        <w:rPr>
          <w:color w:val="211E1F"/>
          <w:spacing w:val="-4"/>
        </w:rPr>
        <w:t xml:space="preserve"> </w:t>
      </w:r>
      <w:r w:rsidRPr="00D4309F">
        <w:rPr>
          <w:color w:val="211E1F"/>
        </w:rPr>
        <w:t>entrance,</w:t>
      </w:r>
      <w:r w:rsidRPr="00D4309F">
        <w:rPr>
          <w:color w:val="211E1F"/>
          <w:spacing w:val="-5"/>
        </w:rPr>
        <w:t xml:space="preserve"> </w:t>
      </w:r>
      <w:r w:rsidRPr="00D4309F">
        <w:rPr>
          <w:color w:val="211E1F"/>
        </w:rPr>
        <w:t>including</w:t>
      </w:r>
      <w:r w:rsidRPr="00D4309F">
        <w:rPr>
          <w:color w:val="211E1F"/>
          <w:spacing w:val="-4"/>
        </w:rPr>
        <w:t xml:space="preserve"> </w:t>
      </w:r>
      <w:r w:rsidRPr="00D4309F">
        <w:rPr>
          <w:color w:val="211E1F"/>
        </w:rPr>
        <w:t>beach-side</w:t>
      </w:r>
      <w:r w:rsidRPr="00D4309F">
        <w:rPr>
          <w:color w:val="211E1F"/>
          <w:spacing w:val="-5"/>
        </w:rPr>
        <w:t xml:space="preserve"> </w:t>
      </w:r>
      <w:r w:rsidRPr="00D4309F">
        <w:rPr>
          <w:color w:val="211E1F"/>
        </w:rPr>
        <w:t>discharge</w:t>
      </w:r>
      <w:r w:rsidRPr="00D4309F">
        <w:rPr>
          <w:color w:val="211E1F"/>
          <w:spacing w:val="-5"/>
        </w:rPr>
        <w:t xml:space="preserve"> </w:t>
      </w:r>
      <w:r w:rsidRPr="00D4309F">
        <w:rPr>
          <w:color w:val="211E1F"/>
          <w:spacing w:val="-2"/>
        </w:rPr>
        <w:t>structures.</w:t>
      </w:r>
    </w:p>
    <w:p w14:paraId="32B6B1BE" w14:textId="77777777" w:rsidR="00725977" w:rsidRPr="00D4309F" w:rsidRDefault="00725977" w:rsidP="00D27F26">
      <w:pPr>
        <w:pStyle w:val="ListParagraph"/>
        <w:widowControl w:val="0"/>
        <w:numPr>
          <w:ilvl w:val="0"/>
          <w:numId w:val="73"/>
        </w:numPr>
        <w:tabs>
          <w:tab w:val="left" w:pos="501"/>
        </w:tabs>
        <w:autoSpaceDE w:val="0"/>
        <w:autoSpaceDN w:val="0"/>
        <w:spacing w:before="119" w:after="0" w:line="240" w:lineRule="auto"/>
        <w:contextualSpacing w:val="0"/>
      </w:pPr>
      <w:r w:rsidRPr="00D4309F">
        <w:rPr>
          <w:color w:val="211E1F"/>
        </w:rPr>
        <w:t>Site</w:t>
      </w:r>
      <w:r w:rsidRPr="00D4309F">
        <w:rPr>
          <w:color w:val="211E1F"/>
          <w:spacing w:val="-7"/>
        </w:rPr>
        <w:t xml:space="preserve"> </w:t>
      </w:r>
      <w:r w:rsidRPr="00D4309F">
        <w:rPr>
          <w:color w:val="211E1F"/>
        </w:rPr>
        <w:t>establishment,</w:t>
      </w:r>
      <w:r w:rsidRPr="00D4309F">
        <w:rPr>
          <w:color w:val="211E1F"/>
          <w:spacing w:val="-5"/>
        </w:rPr>
        <w:t xml:space="preserve"> </w:t>
      </w:r>
      <w:r w:rsidRPr="00D4309F">
        <w:rPr>
          <w:color w:val="211E1F"/>
        </w:rPr>
        <w:t>temporary</w:t>
      </w:r>
      <w:r w:rsidRPr="00D4309F">
        <w:rPr>
          <w:color w:val="211E1F"/>
          <w:spacing w:val="-5"/>
        </w:rPr>
        <w:t xml:space="preserve"> </w:t>
      </w:r>
      <w:r w:rsidRPr="00D4309F">
        <w:rPr>
          <w:color w:val="211E1F"/>
        </w:rPr>
        <w:t>works,</w:t>
      </w:r>
      <w:r w:rsidRPr="00D4309F">
        <w:rPr>
          <w:color w:val="211E1F"/>
          <w:spacing w:val="-5"/>
        </w:rPr>
        <w:t xml:space="preserve"> </w:t>
      </w:r>
      <w:r w:rsidRPr="00D4309F">
        <w:rPr>
          <w:color w:val="211E1F"/>
        </w:rPr>
        <w:t>and</w:t>
      </w:r>
      <w:r w:rsidRPr="00D4309F">
        <w:rPr>
          <w:color w:val="211E1F"/>
          <w:spacing w:val="-5"/>
        </w:rPr>
        <w:t xml:space="preserve"> </w:t>
      </w:r>
      <w:r w:rsidRPr="00D4309F">
        <w:rPr>
          <w:color w:val="211E1F"/>
        </w:rPr>
        <w:t>marine</w:t>
      </w:r>
      <w:r w:rsidRPr="00D4309F">
        <w:rPr>
          <w:color w:val="211E1F"/>
          <w:spacing w:val="-4"/>
        </w:rPr>
        <w:t xml:space="preserve"> </w:t>
      </w:r>
      <w:r w:rsidRPr="00D4309F">
        <w:rPr>
          <w:color w:val="211E1F"/>
          <w:spacing w:val="-2"/>
        </w:rPr>
        <w:t>access.</w:t>
      </w:r>
    </w:p>
    <w:p w14:paraId="25CD924D" w14:textId="77777777" w:rsidR="00725977" w:rsidRPr="00D4309F" w:rsidRDefault="00725977" w:rsidP="00725977">
      <w:pPr>
        <w:pStyle w:val="BodyText"/>
      </w:pPr>
      <w:r w:rsidRPr="00D4309F">
        <w:t>Given the extent of excavation and the substantial structural and mechanical components involved, the capital</w:t>
      </w:r>
      <w:r w:rsidRPr="00D4309F">
        <w:rPr>
          <w:spacing w:val="-4"/>
        </w:rPr>
        <w:t xml:space="preserve"> </w:t>
      </w:r>
      <w:r w:rsidRPr="00D4309F">
        <w:t>cost</w:t>
      </w:r>
      <w:r w:rsidRPr="00D4309F">
        <w:rPr>
          <w:spacing w:val="-3"/>
        </w:rPr>
        <w:t xml:space="preserve"> </w:t>
      </w:r>
      <w:r w:rsidRPr="00D4309F">
        <w:t>is</w:t>
      </w:r>
      <w:r w:rsidRPr="00D4309F">
        <w:rPr>
          <w:spacing w:val="-3"/>
        </w:rPr>
        <w:t xml:space="preserve"> </w:t>
      </w:r>
      <w:r w:rsidRPr="00D4309F">
        <w:t>expected</w:t>
      </w:r>
      <w:r w:rsidRPr="00D4309F">
        <w:rPr>
          <w:spacing w:val="-3"/>
        </w:rPr>
        <w:t xml:space="preserve"> </w:t>
      </w:r>
      <w:r w:rsidRPr="00D4309F">
        <w:t>to</w:t>
      </w:r>
      <w:r w:rsidRPr="00D4309F">
        <w:rPr>
          <w:spacing w:val="-4"/>
        </w:rPr>
        <w:t xml:space="preserve"> </w:t>
      </w:r>
      <w:r w:rsidRPr="00D4309F">
        <w:t>be</w:t>
      </w:r>
      <w:r w:rsidRPr="00D4309F">
        <w:rPr>
          <w:spacing w:val="-3"/>
        </w:rPr>
        <w:t xml:space="preserve"> </w:t>
      </w:r>
      <w:r w:rsidRPr="00D4309F">
        <w:t>very</w:t>
      </w:r>
      <w:r w:rsidRPr="00D4309F">
        <w:rPr>
          <w:spacing w:val="-2"/>
        </w:rPr>
        <w:t xml:space="preserve"> </w:t>
      </w:r>
      <w:r w:rsidRPr="00D4309F">
        <w:t>high,</w:t>
      </w:r>
      <w:r w:rsidRPr="00D4309F">
        <w:rPr>
          <w:spacing w:val="-3"/>
        </w:rPr>
        <w:t xml:space="preserve"> </w:t>
      </w:r>
      <w:r w:rsidRPr="00D4309F">
        <w:t>comparable</w:t>
      </w:r>
      <w:r w:rsidRPr="00D4309F">
        <w:rPr>
          <w:spacing w:val="-3"/>
        </w:rPr>
        <w:t xml:space="preserve"> </w:t>
      </w:r>
      <w:r w:rsidRPr="00D4309F">
        <w:t>to</w:t>
      </w:r>
      <w:r w:rsidRPr="00D4309F">
        <w:rPr>
          <w:spacing w:val="-3"/>
        </w:rPr>
        <w:t xml:space="preserve"> </w:t>
      </w:r>
      <w:r w:rsidRPr="00D4309F">
        <w:t>large-scale</w:t>
      </w:r>
      <w:r w:rsidRPr="00D4309F">
        <w:rPr>
          <w:spacing w:val="-4"/>
        </w:rPr>
        <w:t xml:space="preserve"> </w:t>
      </w:r>
      <w:r w:rsidRPr="00D4309F">
        <w:t>automated</w:t>
      </w:r>
      <w:r w:rsidRPr="00D4309F">
        <w:rPr>
          <w:spacing w:val="-3"/>
        </w:rPr>
        <w:t xml:space="preserve"> </w:t>
      </w:r>
      <w:r w:rsidRPr="00D4309F">
        <w:t>bypass</w:t>
      </w:r>
      <w:r w:rsidRPr="00D4309F">
        <w:rPr>
          <w:spacing w:val="-2"/>
        </w:rPr>
        <w:t xml:space="preserve"> </w:t>
      </w:r>
      <w:r w:rsidRPr="00D4309F">
        <w:t>systems</w:t>
      </w:r>
      <w:r w:rsidRPr="00D4309F">
        <w:rPr>
          <w:spacing w:val="-3"/>
        </w:rPr>
        <w:t xml:space="preserve"> </w:t>
      </w:r>
      <w:r w:rsidRPr="00D4309F">
        <w:t>such</w:t>
      </w:r>
      <w:r w:rsidRPr="00D4309F">
        <w:rPr>
          <w:spacing w:val="-3"/>
        </w:rPr>
        <w:t xml:space="preserve"> </w:t>
      </w:r>
      <w:r w:rsidRPr="00D4309F">
        <w:t>as</w:t>
      </w:r>
      <w:r w:rsidRPr="00D4309F">
        <w:rPr>
          <w:spacing w:val="-2"/>
        </w:rPr>
        <w:t xml:space="preserve"> </w:t>
      </w:r>
      <w:r w:rsidRPr="00D4309F">
        <w:t>the Tweed River or Gold Coast Seaway.</w:t>
      </w:r>
    </w:p>
    <w:p w14:paraId="5A726A5D" w14:textId="77777777" w:rsidR="00725977" w:rsidRPr="00D4309F" w:rsidRDefault="00725977" w:rsidP="00725977">
      <w:pPr>
        <w:pStyle w:val="BodyText"/>
      </w:pPr>
      <w:r w:rsidRPr="00D4309F">
        <w:t>At</w:t>
      </w:r>
      <w:r w:rsidRPr="00D4309F">
        <w:rPr>
          <w:spacing w:val="-2"/>
        </w:rPr>
        <w:t xml:space="preserve"> </w:t>
      </w:r>
      <w:r w:rsidRPr="00D4309F">
        <w:t>this</w:t>
      </w:r>
      <w:r w:rsidRPr="00D4309F">
        <w:rPr>
          <w:spacing w:val="-1"/>
        </w:rPr>
        <w:t xml:space="preserve"> </w:t>
      </w:r>
      <w:r w:rsidRPr="00D4309F">
        <w:t>stage</w:t>
      </w:r>
      <w:r w:rsidRPr="00D4309F">
        <w:rPr>
          <w:spacing w:val="-3"/>
        </w:rPr>
        <w:t xml:space="preserve"> </w:t>
      </w:r>
      <w:r w:rsidRPr="00D4309F">
        <w:t>of</w:t>
      </w:r>
      <w:r w:rsidRPr="00D4309F">
        <w:rPr>
          <w:spacing w:val="-2"/>
        </w:rPr>
        <w:t xml:space="preserve"> </w:t>
      </w:r>
      <w:r w:rsidRPr="00D4309F">
        <w:t>concept</w:t>
      </w:r>
      <w:r w:rsidRPr="00D4309F">
        <w:rPr>
          <w:spacing w:val="-2"/>
        </w:rPr>
        <w:t xml:space="preserve"> </w:t>
      </w:r>
      <w:r w:rsidRPr="00D4309F">
        <w:t>development,</w:t>
      </w:r>
      <w:r w:rsidRPr="00D4309F">
        <w:rPr>
          <w:spacing w:val="-2"/>
        </w:rPr>
        <w:t xml:space="preserve"> </w:t>
      </w:r>
      <w:r w:rsidRPr="00D4309F">
        <w:t>costs</w:t>
      </w:r>
      <w:r w:rsidRPr="00D4309F">
        <w:rPr>
          <w:spacing w:val="-2"/>
        </w:rPr>
        <w:t xml:space="preserve"> </w:t>
      </w:r>
      <w:r w:rsidRPr="00D4309F">
        <w:t>carry</w:t>
      </w:r>
      <w:r w:rsidRPr="00D4309F">
        <w:rPr>
          <w:spacing w:val="-1"/>
        </w:rPr>
        <w:t xml:space="preserve"> </w:t>
      </w:r>
      <w:r w:rsidRPr="00D4309F">
        <w:t>a</w:t>
      </w:r>
      <w:r w:rsidRPr="00D4309F">
        <w:rPr>
          <w:spacing w:val="-2"/>
        </w:rPr>
        <w:t xml:space="preserve"> </w:t>
      </w:r>
      <w:r w:rsidRPr="00D4309F">
        <w:t>high</w:t>
      </w:r>
      <w:r w:rsidRPr="00D4309F">
        <w:rPr>
          <w:spacing w:val="-2"/>
        </w:rPr>
        <w:t xml:space="preserve"> </w:t>
      </w:r>
      <w:r w:rsidRPr="00D4309F">
        <w:t>level</w:t>
      </w:r>
      <w:r w:rsidRPr="00D4309F">
        <w:rPr>
          <w:spacing w:val="-2"/>
        </w:rPr>
        <w:t xml:space="preserve"> </w:t>
      </w:r>
      <w:r w:rsidRPr="00D4309F">
        <w:t>of</w:t>
      </w:r>
      <w:r w:rsidRPr="00D4309F">
        <w:rPr>
          <w:spacing w:val="-2"/>
        </w:rPr>
        <w:t xml:space="preserve"> </w:t>
      </w:r>
      <w:r w:rsidRPr="00D4309F">
        <w:t>uncertainty</w:t>
      </w:r>
      <w:r w:rsidRPr="00D4309F">
        <w:rPr>
          <w:spacing w:val="-1"/>
        </w:rPr>
        <w:t xml:space="preserve"> </w:t>
      </w:r>
      <w:r w:rsidRPr="00D4309F">
        <w:t>due</w:t>
      </w:r>
      <w:r w:rsidRPr="00D4309F">
        <w:rPr>
          <w:spacing w:val="-2"/>
        </w:rPr>
        <w:t xml:space="preserve"> </w:t>
      </w:r>
      <w:r w:rsidRPr="00D4309F">
        <w:t>to</w:t>
      </w:r>
      <w:r w:rsidRPr="00D4309F">
        <w:rPr>
          <w:spacing w:val="-2"/>
        </w:rPr>
        <w:t xml:space="preserve"> </w:t>
      </w:r>
      <w:r w:rsidRPr="00D4309F">
        <w:t>the</w:t>
      </w:r>
      <w:r w:rsidRPr="00D4309F">
        <w:rPr>
          <w:spacing w:val="-2"/>
        </w:rPr>
        <w:t xml:space="preserve"> </w:t>
      </w:r>
      <w:r w:rsidRPr="00D4309F">
        <w:t>lack</w:t>
      </w:r>
      <w:r w:rsidRPr="00D4309F">
        <w:rPr>
          <w:spacing w:val="-2"/>
        </w:rPr>
        <w:t xml:space="preserve"> </w:t>
      </w:r>
      <w:r w:rsidRPr="00D4309F">
        <w:t>of</w:t>
      </w:r>
      <w:r w:rsidRPr="00D4309F">
        <w:rPr>
          <w:spacing w:val="-2"/>
        </w:rPr>
        <w:t xml:space="preserve"> </w:t>
      </w:r>
      <w:r w:rsidRPr="00D4309F">
        <w:t>detailed geotechnical information and unresolved constructability constraints.</w:t>
      </w:r>
    </w:p>
    <w:p w14:paraId="02484E38" w14:textId="63002C6B" w:rsidR="00725977" w:rsidRPr="00D4309F" w:rsidRDefault="00725977" w:rsidP="00725977">
      <w:pPr>
        <w:pStyle w:val="BodyText"/>
      </w:pPr>
      <w:r w:rsidRPr="00D4309F">
        <w:t>A</w:t>
      </w:r>
      <w:r w:rsidRPr="00D4309F">
        <w:rPr>
          <w:spacing w:val="-7"/>
        </w:rPr>
        <w:t xml:space="preserve"> </w:t>
      </w:r>
      <w:r w:rsidRPr="00D4309F">
        <w:t>more</w:t>
      </w:r>
      <w:r w:rsidRPr="00D4309F">
        <w:rPr>
          <w:spacing w:val="-5"/>
        </w:rPr>
        <w:t xml:space="preserve"> </w:t>
      </w:r>
      <w:r w:rsidRPr="00D4309F">
        <w:t>reliable</w:t>
      </w:r>
      <w:r w:rsidRPr="00D4309F">
        <w:rPr>
          <w:spacing w:val="-5"/>
        </w:rPr>
        <w:t xml:space="preserve"> </w:t>
      </w:r>
      <w:r w:rsidRPr="00D4309F">
        <w:t>estimate</w:t>
      </w:r>
      <w:r w:rsidRPr="00D4309F">
        <w:rPr>
          <w:spacing w:val="-5"/>
        </w:rPr>
        <w:t xml:space="preserve"> </w:t>
      </w:r>
      <w:r w:rsidRPr="00D4309F">
        <w:t>would</w:t>
      </w:r>
      <w:r w:rsidRPr="00D4309F">
        <w:rPr>
          <w:spacing w:val="-5"/>
        </w:rPr>
        <w:t xml:space="preserve"> </w:t>
      </w:r>
      <w:r w:rsidRPr="00D4309F">
        <w:t>require</w:t>
      </w:r>
      <w:r w:rsidRPr="00D4309F">
        <w:rPr>
          <w:spacing w:val="-5"/>
        </w:rPr>
        <w:t xml:space="preserve"> </w:t>
      </w:r>
      <w:r w:rsidRPr="00D4309F">
        <w:t>targeted</w:t>
      </w:r>
      <w:r w:rsidRPr="00D4309F">
        <w:rPr>
          <w:spacing w:val="-5"/>
        </w:rPr>
        <w:t xml:space="preserve"> </w:t>
      </w:r>
      <w:r w:rsidRPr="00D4309F">
        <w:t>site</w:t>
      </w:r>
      <w:r w:rsidRPr="00D4309F">
        <w:rPr>
          <w:spacing w:val="-5"/>
        </w:rPr>
        <w:t xml:space="preserve"> </w:t>
      </w:r>
      <w:r w:rsidRPr="00D4309F">
        <w:t>investigations</w:t>
      </w:r>
      <w:r w:rsidRPr="00D4309F">
        <w:rPr>
          <w:spacing w:val="-5"/>
        </w:rPr>
        <w:t xml:space="preserve"> </w:t>
      </w:r>
      <w:r w:rsidRPr="00D4309F">
        <w:t>and</w:t>
      </w:r>
      <w:r w:rsidRPr="00D4309F">
        <w:rPr>
          <w:spacing w:val="-5"/>
        </w:rPr>
        <w:t xml:space="preserve"> </w:t>
      </w:r>
      <w:r w:rsidRPr="00D4309F">
        <w:t>preliminary</w:t>
      </w:r>
      <w:r w:rsidRPr="00D4309F">
        <w:rPr>
          <w:spacing w:val="-4"/>
        </w:rPr>
        <w:t xml:space="preserve"> </w:t>
      </w:r>
      <w:r w:rsidRPr="00D4309F">
        <w:t>engineering</w:t>
      </w:r>
      <w:r w:rsidRPr="00D4309F">
        <w:rPr>
          <w:spacing w:val="-5"/>
        </w:rPr>
        <w:t xml:space="preserve"> </w:t>
      </w:r>
      <w:r w:rsidRPr="00D4309F">
        <w:rPr>
          <w:spacing w:val="-2"/>
        </w:rPr>
        <w:t>design.</w:t>
      </w:r>
    </w:p>
    <w:p w14:paraId="2AED7769" w14:textId="77777777" w:rsidR="00725977" w:rsidRPr="00D4309F" w:rsidRDefault="00725977" w:rsidP="00E6351A">
      <w:pPr>
        <w:pStyle w:val="Heading5-nonumber"/>
      </w:pPr>
      <w:r w:rsidRPr="00D4309F">
        <w:t>Operational</w:t>
      </w:r>
      <w:r w:rsidRPr="00D4309F">
        <w:rPr>
          <w:spacing w:val="-9"/>
        </w:rPr>
        <w:t xml:space="preserve"> </w:t>
      </w:r>
      <w:r w:rsidRPr="00D4309F">
        <w:rPr>
          <w:spacing w:val="-4"/>
        </w:rPr>
        <w:t>Costs</w:t>
      </w:r>
    </w:p>
    <w:p w14:paraId="730AD268" w14:textId="77777777" w:rsidR="00725977" w:rsidRPr="00D4309F" w:rsidRDefault="00725977" w:rsidP="00725977">
      <w:pPr>
        <w:pStyle w:val="BodyText"/>
      </w:pPr>
      <w:r w:rsidRPr="00D4309F">
        <w:t>Operational</w:t>
      </w:r>
      <w:r w:rsidRPr="00D4309F">
        <w:rPr>
          <w:spacing w:val="-6"/>
        </w:rPr>
        <w:t xml:space="preserve"> </w:t>
      </w:r>
      <w:r w:rsidRPr="00D4309F">
        <w:t>costs</w:t>
      </w:r>
      <w:r w:rsidRPr="00D4309F">
        <w:rPr>
          <w:spacing w:val="-4"/>
        </w:rPr>
        <w:t xml:space="preserve"> </w:t>
      </w:r>
      <w:r w:rsidRPr="00D4309F">
        <w:t>would</w:t>
      </w:r>
      <w:r w:rsidRPr="00D4309F">
        <w:rPr>
          <w:spacing w:val="-5"/>
        </w:rPr>
        <w:t xml:space="preserve"> </w:t>
      </w:r>
      <w:r w:rsidRPr="00D4309F">
        <w:t>primarily</w:t>
      </w:r>
      <w:r w:rsidRPr="00D4309F">
        <w:rPr>
          <w:spacing w:val="-3"/>
        </w:rPr>
        <w:t xml:space="preserve"> </w:t>
      </w:r>
      <w:r w:rsidRPr="00D4309F">
        <w:t>consist</w:t>
      </w:r>
      <w:r w:rsidRPr="00D4309F">
        <w:rPr>
          <w:spacing w:val="-6"/>
        </w:rPr>
        <w:t xml:space="preserve"> </w:t>
      </w:r>
      <w:r w:rsidRPr="00D4309F">
        <w:rPr>
          <w:spacing w:val="-5"/>
        </w:rPr>
        <w:t>of:</w:t>
      </w:r>
    </w:p>
    <w:p w14:paraId="0136D9C5" w14:textId="77777777" w:rsidR="00725977" w:rsidRPr="00D4309F" w:rsidRDefault="00725977" w:rsidP="00D27F26">
      <w:pPr>
        <w:pStyle w:val="ListParagraph"/>
        <w:widowControl w:val="0"/>
        <w:numPr>
          <w:ilvl w:val="0"/>
          <w:numId w:val="73"/>
        </w:numPr>
        <w:tabs>
          <w:tab w:val="left" w:pos="501"/>
        </w:tabs>
        <w:autoSpaceDE w:val="0"/>
        <w:autoSpaceDN w:val="0"/>
        <w:spacing w:before="119" w:after="0" w:line="240" w:lineRule="auto"/>
        <w:ind w:hanging="359"/>
        <w:contextualSpacing w:val="0"/>
      </w:pPr>
      <w:r w:rsidRPr="00D4309F">
        <w:rPr>
          <w:color w:val="211E1F"/>
        </w:rPr>
        <w:t>Power</w:t>
      </w:r>
      <w:r w:rsidRPr="00D4309F">
        <w:rPr>
          <w:color w:val="211E1F"/>
          <w:spacing w:val="-6"/>
        </w:rPr>
        <w:t xml:space="preserve"> </w:t>
      </w:r>
      <w:r w:rsidRPr="00D4309F">
        <w:rPr>
          <w:color w:val="211E1F"/>
        </w:rPr>
        <w:t>demand</w:t>
      </w:r>
      <w:r w:rsidRPr="00D4309F">
        <w:rPr>
          <w:color w:val="211E1F"/>
          <w:spacing w:val="-5"/>
        </w:rPr>
        <w:t xml:space="preserve"> </w:t>
      </w:r>
      <w:r w:rsidRPr="00D4309F">
        <w:rPr>
          <w:color w:val="211E1F"/>
        </w:rPr>
        <w:t>for</w:t>
      </w:r>
      <w:r w:rsidRPr="00D4309F">
        <w:rPr>
          <w:color w:val="211E1F"/>
          <w:spacing w:val="-4"/>
        </w:rPr>
        <w:t xml:space="preserve"> </w:t>
      </w:r>
      <w:r w:rsidRPr="00D4309F">
        <w:rPr>
          <w:color w:val="211E1F"/>
        </w:rPr>
        <w:t>near-continuous</w:t>
      </w:r>
      <w:r w:rsidRPr="00D4309F">
        <w:rPr>
          <w:color w:val="211E1F"/>
          <w:spacing w:val="-4"/>
        </w:rPr>
        <w:t xml:space="preserve"> </w:t>
      </w:r>
      <w:r w:rsidRPr="00D4309F">
        <w:rPr>
          <w:color w:val="211E1F"/>
        </w:rPr>
        <w:t>pumping</w:t>
      </w:r>
      <w:r w:rsidRPr="00D4309F">
        <w:rPr>
          <w:color w:val="211E1F"/>
          <w:spacing w:val="-4"/>
        </w:rPr>
        <w:t xml:space="preserve"> </w:t>
      </w:r>
      <w:r w:rsidRPr="00D4309F">
        <w:rPr>
          <w:color w:val="211E1F"/>
        </w:rPr>
        <w:t>(depending</w:t>
      </w:r>
      <w:r w:rsidRPr="00D4309F">
        <w:rPr>
          <w:color w:val="211E1F"/>
          <w:spacing w:val="-5"/>
        </w:rPr>
        <w:t xml:space="preserve"> </w:t>
      </w:r>
      <w:r w:rsidRPr="00D4309F">
        <w:rPr>
          <w:color w:val="211E1F"/>
        </w:rPr>
        <w:t>on</w:t>
      </w:r>
      <w:r w:rsidRPr="00D4309F">
        <w:rPr>
          <w:color w:val="211E1F"/>
          <w:spacing w:val="-5"/>
        </w:rPr>
        <w:t xml:space="preserve"> </w:t>
      </w:r>
      <w:r w:rsidRPr="00D4309F">
        <w:rPr>
          <w:color w:val="211E1F"/>
        </w:rPr>
        <w:t>trap</w:t>
      </w:r>
      <w:r w:rsidRPr="00D4309F">
        <w:rPr>
          <w:color w:val="211E1F"/>
          <w:spacing w:val="-5"/>
        </w:rPr>
        <w:t xml:space="preserve"> </w:t>
      </w:r>
      <w:r w:rsidRPr="00D4309F">
        <w:rPr>
          <w:color w:val="211E1F"/>
        </w:rPr>
        <w:t>infill</w:t>
      </w:r>
      <w:r w:rsidRPr="00D4309F">
        <w:rPr>
          <w:color w:val="211E1F"/>
          <w:spacing w:val="-4"/>
        </w:rPr>
        <w:t xml:space="preserve"> </w:t>
      </w:r>
      <w:r w:rsidRPr="00D4309F">
        <w:rPr>
          <w:color w:val="211E1F"/>
          <w:spacing w:val="-2"/>
        </w:rPr>
        <w:t>behaviour).</w:t>
      </w:r>
    </w:p>
    <w:p w14:paraId="304D02F4" w14:textId="77777777" w:rsidR="00725977" w:rsidRPr="00D4309F" w:rsidRDefault="00725977" w:rsidP="00D27F26">
      <w:pPr>
        <w:pStyle w:val="ListParagraph"/>
        <w:widowControl w:val="0"/>
        <w:numPr>
          <w:ilvl w:val="0"/>
          <w:numId w:val="73"/>
        </w:numPr>
        <w:tabs>
          <w:tab w:val="left" w:pos="501"/>
        </w:tabs>
        <w:autoSpaceDE w:val="0"/>
        <w:autoSpaceDN w:val="0"/>
        <w:spacing w:before="118" w:after="0" w:line="240" w:lineRule="auto"/>
        <w:contextualSpacing w:val="0"/>
      </w:pPr>
      <w:r w:rsidRPr="00D4309F">
        <w:rPr>
          <w:color w:val="211E1F"/>
        </w:rPr>
        <w:t>Routine</w:t>
      </w:r>
      <w:r w:rsidRPr="00D4309F">
        <w:rPr>
          <w:color w:val="211E1F"/>
          <w:spacing w:val="-7"/>
        </w:rPr>
        <w:t xml:space="preserve"> </w:t>
      </w:r>
      <w:r w:rsidRPr="00D4309F">
        <w:rPr>
          <w:color w:val="211E1F"/>
        </w:rPr>
        <w:t>servicing</w:t>
      </w:r>
      <w:r w:rsidRPr="00D4309F">
        <w:rPr>
          <w:color w:val="211E1F"/>
          <w:spacing w:val="-4"/>
        </w:rPr>
        <w:t xml:space="preserve"> </w:t>
      </w:r>
      <w:r w:rsidRPr="00D4309F">
        <w:rPr>
          <w:color w:val="211E1F"/>
        </w:rPr>
        <w:t>and</w:t>
      </w:r>
      <w:r w:rsidRPr="00D4309F">
        <w:rPr>
          <w:color w:val="211E1F"/>
          <w:spacing w:val="-5"/>
        </w:rPr>
        <w:t xml:space="preserve"> </w:t>
      </w:r>
      <w:r w:rsidRPr="00D4309F">
        <w:rPr>
          <w:color w:val="211E1F"/>
        </w:rPr>
        <w:t>maintenance</w:t>
      </w:r>
      <w:r w:rsidRPr="00D4309F">
        <w:rPr>
          <w:color w:val="211E1F"/>
          <w:spacing w:val="-4"/>
        </w:rPr>
        <w:t xml:space="preserve"> </w:t>
      </w:r>
      <w:r w:rsidRPr="00D4309F">
        <w:rPr>
          <w:color w:val="211E1F"/>
        </w:rPr>
        <w:t>of</w:t>
      </w:r>
      <w:r w:rsidRPr="00D4309F">
        <w:rPr>
          <w:color w:val="211E1F"/>
          <w:spacing w:val="-5"/>
        </w:rPr>
        <w:t xml:space="preserve"> </w:t>
      </w:r>
      <w:r w:rsidRPr="00D4309F">
        <w:rPr>
          <w:color w:val="211E1F"/>
        </w:rPr>
        <w:t>pumps,</w:t>
      </w:r>
      <w:r w:rsidRPr="00D4309F">
        <w:rPr>
          <w:color w:val="211E1F"/>
          <w:spacing w:val="-4"/>
        </w:rPr>
        <w:t xml:space="preserve"> </w:t>
      </w:r>
      <w:r w:rsidRPr="00D4309F">
        <w:rPr>
          <w:color w:val="211E1F"/>
        </w:rPr>
        <w:t>intake</w:t>
      </w:r>
      <w:r w:rsidRPr="00D4309F">
        <w:rPr>
          <w:color w:val="211E1F"/>
          <w:spacing w:val="-6"/>
        </w:rPr>
        <w:t xml:space="preserve"> </w:t>
      </w:r>
      <w:r w:rsidRPr="00D4309F">
        <w:rPr>
          <w:color w:val="211E1F"/>
        </w:rPr>
        <w:t>screens,</w:t>
      </w:r>
      <w:r w:rsidRPr="00D4309F">
        <w:rPr>
          <w:color w:val="211E1F"/>
          <w:spacing w:val="-6"/>
        </w:rPr>
        <w:t xml:space="preserve"> </w:t>
      </w:r>
      <w:r w:rsidRPr="00D4309F">
        <w:rPr>
          <w:color w:val="211E1F"/>
        </w:rPr>
        <w:t>valves,</w:t>
      </w:r>
      <w:r w:rsidRPr="00D4309F">
        <w:rPr>
          <w:color w:val="211E1F"/>
          <w:spacing w:val="-5"/>
        </w:rPr>
        <w:t xml:space="preserve"> </w:t>
      </w:r>
      <w:r w:rsidRPr="00D4309F">
        <w:rPr>
          <w:color w:val="211E1F"/>
        </w:rPr>
        <w:t>and</w:t>
      </w:r>
      <w:r w:rsidRPr="00D4309F">
        <w:rPr>
          <w:color w:val="211E1F"/>
          <w:spacing w:val="-4"/>
        </w:rPr>
        <w:t xml:space="preserve"> </w:t>
      </w:r>
      <w:r w:rsidRPr="00D4309F">
        <w:rPr>
          <w:color w:val="211E1F"/>
        </w:rPr>
        <w:t>electrical/control</w:t>
      </w:r>
      <w:r w:rsidRPr="00D4309F">
        <w:rPr>
          <w:color w:val="211E1F"/>
          <w:spacing w:val="-5"/>
        </w:rPr>
        <w:t xml:space="preserve"> </w:t>
      </w:r>
      <w:r w:rsidRPr="00D4309F">
        <w:rPr>
          <w:color w:val="211E1F"/>
          <w:spacing w:val="-2"/>
        </w:rPr>
        <w:t>systems.</w:t>
      </w:r>
    </w:p>
    <w:p w14:paraId="16328632" w14:textId="77777777" w:rsidR="00725977" w:rsidRPr="00D4309F" w:rsidRDefault="00725977" w:rsidP="00D27F26">
      <w:pPr>
        <w:pStyle w:val="ListParagraph"/>
        <w:widowControl w:val="0"/>
        <w:numPr>
          <w:ilvl w:val="0"/>
          <w:numId w:val="73"/>
        </w:numPr>
        <w:tabs>
          <w:tab w:val="left" w:pos="501"/>
        </w:tabs>
        <w:autoSpaceDE w:val="0"/>
        <w:autoSpaceDN w:val="0"/>
        <w:spacing w:before="90" w:after="0" w:line="240" w:lineRule="auto"/>
        <w:ind w:right="246"/>
        <w:contextualSpacing w:val="0"/>
      </w:pPr>
      <w:r w:rsidRPr="00D4309F">
        <w:rPr>
          <w:color w:val="211E1F"/>
        </w:rPr>
        <w:t>Periodic</w:t>
      </w:r>
      <w:r w:rsidRPr="00D4309F">
        <w:rPr>
          <w:color w:val="211E1F"/>
          <w:spacing w:val="-2"/>
        </w:rPr>
        <w:t xml:space="preserve"> </w:t>
      </w:r>
      <w:r w:rsidRPr="00D4309F">
        <w:rPr>
          <w:color w:val="211E1F"/>
        </w:rPr>
        <w:t>inspection</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maintenance</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jetty</w:t>
      </w:r>
      <w:r w:rsidRPr="00D4309F">
        <w:rPr>
          <w:color w:val="211E1F"/>
          <w:spacing w:val="-2"/>
        </w:rPr>
        <w:t xml:space="preserve"> </w:t>
      </w:r>
      <w:r w:rsidRPr="00D4309F">
        <w:rPr>
          <w:color w:val="211E1F"/>
        </w:rPr>
        <w:t>and</w:t>
      </w:r>
      <w:r w:rsidRPr="00D4309F">
        <w:rPr>
          <w:color w:val="211E1F"/>
          <w:spacing w:val="-3"/>
        </w:rPr>
        <w:t xml:space="preserve"> </w:t>
      </w:r>
      <w:r w:rsidRPr="00D4309F">
        <w:rPr>
          <w:color w:val="211E1F"/>
        </w:rPr>
        <w:t>pipeline,</w:t>
      </w:r>
      <w:r w:rsidRPr="00D4309F">
        <w:rPr>
          <w:color w:val="211E1F"/>
          <w:spacing w:val="-3"/>
        </w:rPr>
        <w:t xml:space="preserve"> </w:t>
      </w:r>
      <w:r w:rsidRPr="00D4309F">
        <w:rPr>
          <w:color w:val="211E1F"/>
        </w:rPr>
        <w:t>including</w:t>
      </w:r>
      <w:r w:rsidRPr="00D4309F">
        <w:rPr>
          <w:color w:val="211E1F"/>
          <w:spacing w:val="-3"/>
        </w:rPr>
        <w:t xml:space="preserve"> </w:t>
      </w:r>
      <w:r w:rsidRPr="00D4309F">
        <w:rPr>
          <w:color w:val="211E1F"/>
        </w:rPr>
        <w:t>corrosion</w:t>
      </w:r>
      <w:r w:rsidRPr="00D4309F">
        <w:rPr>
          <w:color w:val="211E1F"/>
          <w:spacing w:val="-3"/>
        </w:rPr>
        <w:t xml:space="preserve"> </w:t>
      </w:r>
      <w:r w:rsidRPr="00D4309F">
        <w:rPr>
          <w:color w:val="211E1F"/>
        </w:rPr>
        <w:t>protection,</w:t>
      </w:r>
      <w:r w:rsidRPr="00D4309F">
        <w:rPr>
          <w:color w:val="211E1F"/>
          <w:spacing w:val="-3"/>
        </w:rPr>
        <w:t xml:space="preserve"> </w:t>
      </w:r>
      <w:r w:rsidRPr="00D4309F">
        <w:rPr>
          <w:color w:val="211E1F"/>
        </w:rPr>
        <w:t>structural checks, and line flushing.</w:t>
      </w:r>
    </w:p>
    <w:p w14:paraId="2B52F7F5" w14:textId="77777777" w:rsidR="00725977" w:rsidRPr="00D4309F" w:rsidRDefault="00725977" w:rsidP="00D27F26">
      <w:pPr>
        <w:pStyle w:val="ListParagraph"/>
        <w:widowControl w:val="0"/>
        <w:numPr>
          <w:ilvl w:val="0"/>
          <w:numId w:val="73"/>
        </w:numPr>
        <w:tabs>
          <w:tab w:val="left" w:pos="501"/>
        </w:tabs>
        <w:autoSpaceDE w:val="0"/>
        <w:autoSpaceDN w:val="0"/>
        <w:spacing w:before="118" w:after="0" w:line="240" w:lineRule="auto"/>
        <w:ind w:hanging="359"/>
        <w:contextualSpacing w:val="0"/>
      </w:pPr>
      <w:r w:rsidRPr="00D4309F">
        <w:rPr>
          <w:color w:val="211E1F"/>
        </w:rPr>
        <w:lastRenderedPageBreak/>
        <w:t>Monitoring</w:t>
      </w:r>
      <w:r w:rsidRPr="00D4309F">
        <w:rPr>
          <w:color w:val="211E1F"/>
          <w:spacing w:val="-7"/>
        </w:rPr>
        <w:t xml:space="preserve"> </w:t>
      </w:r>
      <w:r w:rsidRPr="00D4309F">
        <w:rPr>
          <w:color w:val="211E1F"/>
        </w:rPr>
        <w:t>of</w:t>
      </w:r>
      <w:r w:rsidRPr="00D4309F">
        <w:rPr>
          <w:color w:val="211E1F"/>
          <w:spacing w:val="-4"/>
        </w:rPr>
        <w:t xml:space="preserve"> </w:t>
      </w:r>
      <w:r w:rsidRPr="00D4309F">
        <w:rPr>
          <w:color w:val="211E1F"/>
        </w:rPr>
        <w:t>trap</w:t>
      </w:r>
      <w:r w:rsidRPr="00D4309F">
        <w:rPr>
          <w:color w:val="211E1F"/>
          <w:spacing w:val="-4"/>
        </w:rPr>
        <w:t xml:space="preserve"> </w:t>
      </w:r>
      <w:r w:rsidRPr="00D4309F">
        <w:rPr>
          <w:color w:val="211E1F"/>
        </w:rPr>
        <w:t>infill,</w:t>
      </w:r>
      <w:r w:rsidRPr="00D4309F">
        <w:rPr>
          <w:color w:val="211E1F"/>
          <w:spacing w:val="-4"/>
        </w:rPr>
        <w:t xml:space="preserve"> </w:t>
      </w:r>
      <w:r w:rsidRPr="00D4309F">
        <w:rPr>
          <w:color w:val="211E1F"/>
        </w:rPr>
        <w:t>intake</w:t>
      </w:r>
      <w:r w:rsidRPr="00D4309F">
        <w:rPr>
          <w:color w:val="211E1F"/>
          <w:spacing w:val="-5"/>
        </w:rPr>
        <w:t xml:space="preserve"> </w:t>
      </w:r>
      <w:r w:rsidRPr="00D4309F">
        <w:rPr>
          <w:color w:val="211E1F"/>
        </w:rPr>
        <w:t>performance,</w:t>
      </w:r>
      <w:r w:rsidRPr="00D4309F">
        <w:rPr>
          <w:color w:val="211E1F"/>
          <w:spacing w:val="-4"/>
        </w:rPr>
        <w:t xml:space="preserve"> </w:t>
      </w:r>
      <w:r w:rsidRPr="00D4309F">
        <w:rPr>
          <w:color w:val="211E1F"/>
        </w:rPr>
        <w:t>and</w:t>
      </w:r>
      <w:r w:rsidRPr="00D4309F">
        <w:rPr>
          <w:color w:val="211E1F"/>
          <w:spacing w:val="-4"/>
        </w:rPr>
        <w:t xml:space="preserve"> </w:t>
      </w:r>
      <w:r w:rsidRPr="00D4309F">
        <w:rPr>
          <w:color w:val="211E1F"/>
        </w:rPr>
        <w:t>beach</w:t>
      </w:r>
      <w:r w:rsidRPr="00D4309F">
        <w:rPr>
          <w:color w:val="211E1F"/>
          <w:spacing w:val="-4"/>
        </w:rPr>
        <w:t xml:space="preserve"> </w:t>
      </w:r>
      <w:r w:rsidRPr="00D4309F">
        <w:rPr>
          <w:color w:val="211E1F"/>
        </w:rPr>
        <w:t>discharge</w:t>
      </w:r>
      <w:r w:rsidRPr="00D4309F">
        <w:rPr>
          <w:color w:val="211E1F"/>
          <w:spacing w:val="-4"/>
        </w:rPr>
        <w:t xml:space="preserve"> </w:t>
      </w:r>
      <w:r w:rsidRPr="00D4309F">
        <w:rPr>
          <w:color w:val="211E1F"/>
          <w:spacing w:val="-2"/>
        </w:rPr>
        <w:t>areas.</w:t>
      </w:r>
    </w:p>
    <w:p w14:paraId="28FF2E49" w14:textId="77777777" w:rsidR="00725977" w:rsidRPr="00D4309F" w:rsidRDefault="00725977" w:rsidP="00725977">
      <w:pPr>
        <w:pStyle w:val="BodyText"/>
      </w:pPr>
      <w:r w:rsidRPr="00D4309F">
        <w:t>While</w:t>
      </w:r>
      <w:r w:rsidRPr="00D4309F">
        <w:rPr>
          <w:spacing w:val="-3"/>
        </w:rPr>
        <w:t xml:space="preserve"> </w:t>
      </w:r>
      <w:r w:rsidRPr="00D4309F">
        <w:t>Option</w:t>
      </w:r>
      <w:r w:rsidRPr="00D4309F">
        <w:rPr>
          <w:spacing w:val="-4"/>
        </w:rPr>
        <w:t xml:space="preserve"> </w:t>
      </w:r>
      <w:r w:rsidRPr="00D4309F">
        <w:t>4</w:t>
      </w:r>
      <w:r w:rsidRPr="00D4309F">
        <w:rPr>
          <w:spacing w:val="-3"/>
        </w:rPr>
        <w:t xml:space="preserve"> </w:t>
      </w:r>
      <w:r w:rsidRPr="00D4309F">
        <w:t>avoids</w:t>
      </w:r>
      <w:r w:rsidRPr="00D4309F">
        <w:rPr>
          <w:spacing w:val="-2"/>
        </w:rPr>
        <w:t xml:space="preserve"> </w:t>
      </w:r>
      <w:r w:rsidRPr="00D4309F">
        <w:t>dredge</w:t>
      </w:r>
      <w:r w:rsidRPr="00D4309F">
        <w:rPr>
          <w:spacing w:val="-3"/>
        </w:rPr>
        <w:t xml:space="preserve"> </w:t>
      </w:r>
      <w:r w:rsidRPr="00D4309F">
        <w:t>mobilisation</w:t>
      </w:r>
      <w:r w:rsidRPr="00D4309F">
        <w:rPr>
          <w:spacing w:val="-3"/>
        </w:rPr>
        <w:t xml:space="preserve"> </w:t>
      </w:r>
      <w:r w:rsidRPr="00D4309F">
        <w:t>costs,</w:t>
      </w:r>
      <w:r w:rsidRPr="00D4309F">
        <w:rPr>
          <w:spacing w:val="-3"/>
        </w:rPr>
        <w:t xml:space="preserve"> </w:t>
      </w:r>
      <w:r w:rsidRPr="00D4309F">
        <w:t>its</w:t>
      </w:r>
      <w:r w:rsidRPr="00D4309F">
        <w:rPr>
          <w:spacing w:val="-2"/>
        </w:rPr>
        <w:t xml:space="preserve"> </w:t>
      </w:r>
      <w:r w:rsidRPr="00D4309F">
        <w:t>mechanical</w:t>
      </w:r>
      <w:r w:rsidRPr="00D4309F">
        <w:rPr>
          <w:spacing w:val="-3"/>
        </w:rPr>
        <w:t xml:space="preserve"> </w:t>
      </w:r>
      <w:r w:rsidRPr="00D4309F">
        <w:t>and</w:t>
      </w:r>
      <w:r w:rsidRPr="00D4309F">
        <w:rPr>
          <w:spacing w:val="-3"/>
        </w:rPr>
        <w:t xml:space="preserve"> </w:t>
      </w:r>
      <w:r w:rsidRPr="00D4309F">
        <w:t>electrical</w:t>
      </w:r>
      <w:r w:rsidRPr="00D4309F">
        <w:rPr>
          <w:spacing w:val="-3"/>
        </w:rPr>
        <w:t xml:space="preserve"> </w:t>
      </w:r>
      <w:r w:rsidRPr="00D4309F">
        <w:t>operating</w:t>
      </w:r>
      <w:r w:rsidRPr="00D4309F">
        <w:rPr>
          <w:spacing w:val="-3"/>
        </w:rPr>
        <w:t xml:space="preserve"> </w:t>
      </w:r>
      <w:r w:rsidRPr="00D4309F">
        <w:t>costs</w:t>
      </w:r>
      <w:r w:rsidRPr="00D4309F">
        <w:rPr>
          <w:spacing w:val="-2"/>
        </w:rPr>
        <w:t xml:space="preserve"> </w:t>
      </w:r>
      <w:r w:rsidRPr="00D4309F">
        <w:t>are</w:t>
      </w:r>
      <w:r w:rsidRPr="00D4309F">
        <w:rPr>
          <w:spacing w:val="-3"/>
        </w:rPr>
        <w:t xml:space="preserve"> </w:t>
      </w:r>
      <w:r w:rsidRPr="00D4309F">
        <w:t>expected to be substantially higher than intermittent dredging-based approaches due to continuous energy consumption and a larger, more complex plant to maintain.</w:t>
      </w:r>
    </w:p>
    <w:p w14:paraId="609F7228" w14:textId="77777777" w:rsidR="00725977" w:rsidRPr="00D4309F" w:rsidRDefault="00725977" w:rsidP="00725977">
      <w:pPr>
        <w:pStyle w:val="BodyText"/>
      </w:pPr>
      <w:r w:rsidRPr="00D4309F">
        <w:t>Costs</w:t>
      </w:r>
      <w:r w:rsidRPr="00D4309F">
        <w:rPr>
          <w:spacing w:val="-2"/>
        </w:rPr>
        <w:t xml:space="preserve"> </w:t>
      </w:r>
      <w:r w:rsidRPr="00D4309F">
        <w:t>may</w:t>
      </w:r>
      <w:r w:rsidRPr="00D4309F">
        <w:rPr>
          <w:spacing w:val="-2"/>
        </w:rPr>
        <w:t xml:space="preserve"> </w:t>
      </w:r>
      <w:r w:rsidRPr="00D4309F">
        <w:t>vary</w:t>
      </w:r>
      <w:r w:rsidRPr="00D4309F">
        <w:rPr>
          <w:spacing w:val="-3"/>
        </w:rPr>
        <w:t xml:space="preserve"> </w:t>
      </w:r>
      <w:r w:rsidRPr="00D4309F">
        <w:t>considerably</w:t>
      </w:r>
      <w:r w:rsidRPr="00D4309F">
        <w:rPr>
          <w:spacing w:val="-2"/>
        </w:rPr>
        <w:t xml:space="preserve"> </w:t>
      </w:r>
      <w:r w:rsidRPr="00D4309F">
        <w:t>year-to-year</w:t>
      </w:r>
      <w:r w:rsidRPr="00D4309F">
        <w:rPr>
          <w:spacing w:val="-2"/>
        </w:rPr>
        <w:t xml:space="preserve"> </w:t>
      </w:r>
      <w:r w:rsidRPr="00D4309F">
        <w:t>depending</w:t>
      </w:r>
      <w:r w:rsidRPr="00D4309F">
        <w:rPr>
          <w:spacing w:val="-3"/>
        </w:rPr>
        <w:t xml:space="preserve"> </w:t>
      </w:r>
      <w:r w:rsidRPr="00D4309F">
        <w:t>on</w:t>
      </w:r>
      <w:r w:rsidRPr="00D4309F">
        <w:rPr>
          <w:spacing w:val="-3"/>
        </w:rPr>
        <w:t xml:space="preserve"> </w:t>
      </w:r>
      <w:r w:rsidRPr="00D4309F">
        <w:t>trap</w:t>
      </w:r>
      <w:r w:rsidRPr="00D4309F">
        <w:rPr>
          <w:spacing w:val="-3"/>
        </w:rPr>
        <w:t xml:space="preserve"> </w:t>
      </w:r>
      <w:r w:rsidRPr="00D4309F">
        <w:t>infill</w:t>
      </w:r>
      <w:r w:rsidRPr="00D4309F">
        <w:rPr>
          <w:spacing w:val="-3"/>
        </w:rPr>
        <w:t xml:space="preserve"> </w:t>
      </w:r>
      <w:r w:rsidRPr="00D4309F">
        <w:t>rates,</w:t>
      </w:r>
      <w:r w:rsidRPr="00D4309F">
        <w:rPr>
          <w:spacing w:val="-3"/>
        </w:rPr>
        <w:t xml:space="preserve"> </w:t>
      </w:r>
      <w:r w:rsidRPr="00D4309F">
        <w:t>which</w:t>
      </w:r>
      <w:r w:rsidRPr="00D4309F">
        <w:rPr>
          <w:spacing w:val="-3"/>
        </w:rPr>
        <w:t xml:space="preserve"> </w:t>
      </w:r>
      <w:r w:rsidRPr="00D4309F">
        <w:t>are</w:t>
      </w:r>
      <w:r w:rsidRPr="00D4309F">
        <w:rPr>
          <w:spacing w:val="-4"/>
        </w:rPr>
        <w:t xml:space="preserve"> </w:t>
      </w:r>
      <w:r w:rsidRPr="00D4309F">
        <w:t>strongly</w:t>
      </w:r>
      <w:r w:rsidRPr="00D4309F">
        <w:rPr>
          <w:spacing w:val="-2"/>
        </w:rPr>
        <w:t xml:space="preserve"> </w:t>
      </w:r>
      <w:r w:rsidRPr="00D4309F">
        <w:t>episodic</w:t>
      </w:r>
      <w:r w:rsidRPr="00D4309F">
        <w:rPr>
          <w:spacing w:val="-2"/>
        </w:rPr>
        <w:t xml:space="preserve"> </w:t>
      </w:r>
      <w:r w:rsidRPr="00D4309F">
        <w:t>and governed by storm-driven sediment pulses.</w:t>
      </w:r>
    </w:p>
    <w:p w14:paraId="6458DEDD" w14:textId="650BAD52" w:rsidR="00725977" w:rsidRPr="00D4309F" w:rsidRDefault="00725977" w:rsidP="00725977">
      <w:pPr>
        <w:pStyle w:val="BodyText"/>
      </w:pPr>
      <w:r w:rsidRPr="00D4309F">
        <w:t>This</w:t>
      </w:r>
      <w:r w:rsidRPr="00D4309F">
        <w:rPr>
          <w:spacing w:val="-2"/>
        </w:rPr>
        <w:t xml:space="preserve"> </w:t>
      </w:r>
      <w:r w:rsidRPr="00D4309F">
        <w:t>introduces</w:t>
      </w:r>
      <w:r w:rsidRPr="00D4309F">
        <w:rPr>
          <w:spacing w:val="-2"/>
        </w:rPr>
        <w:t xml:space="preserve"> </w:t>
      </w:r>
      <w:r w:rsidRPr="00D4309F">
        <w:t>operational</w:t>
      </w:r>
      <w:r w:rsidRPr="00D4309F">
        <w:rPr>
          <w:spacing w:val="-3"/>
        </w:rPr>
        <w:t xml:space="preserve"> </w:t>
      </w:r>
      <w:r w:rsidRPr="00D4309F">
        <w:t>uncertainty</w:t>
      </w:r>
      <w:r w:rsidRPr="00D4309F">
        <w:rPr>
          <w:spacing w:val="-3"/>
        </w:rPr>
        <w:t xml:space="preserve"> </w:t>
      </w:r>
      <w:r w:rsidRPr="00D4309F">
        <w:t>and</w:t>
      </w:r>
      <w:r w:rsidRPr="00D4309F">
        <w:rPr>
          <w:spacing w:val="-3"/>
        </w:rPr>
        <w:t xml:space="preserve"> </w:t>
      </w:r>
      <w:r w:rsidRPr="00D4309F">
        <w:t>the</w:t>
      </w:r>
      <w:r w:rsidRPr="00D4309F">
        <w:rPr>
          <w:spacing w:val="-3"/>
        </w:rPr>
        <w:t xml:space="preserve"> </w:t>
      </w:r>
      <w:r w:rsidRPr="00D4309F">
        <w:t>potential</w:t>
      </w:r>
      <w:r w:rsidRPr="00D4309F">
        <w:rPr>
          <w:spacing w:val="-3"/>
        </w:rPr>
        <w:t xml:space="preserve"> </w:t>
      </w:r>
      <w:r w:rsidRPr="00D4309F">
        <w:t>for</w:t>
      </w:r>
      <w:r w:rsidRPr="00D4309F">
        <w:rPr>
          <w:spacing w:val="-2"/>
        </w:rPr>
        <w:t xml:space="preserve"> </w:t>
      </w:r>
      <w:r w:rsidRPr="00D4309F">
        <w:t>periods</w:t>
      </w:r>
      <w:r w:rsidRPr="00D4309F">
        <w:rPr>
          <w:spacing w:val="-2"/>
        </w:rPr>
        <w:t xml:space="preserve"> </w:t>
      </w:r>
      <w:r w:rsidRPr="00D4309F">
        <w:t>where</w:t>
      </w:r>
      <w:r w:rsidRPr="00D4309F">
        <w:rPr>
          <w:spacing w:val="-3"/>
        </w:rPr>
        <w:t xml:space="preserve"> </w:t>
      </w:r>
      <w:r w:rsidRPr="00D4309F">
        <w:t>the</w:t>
      </w:r>
      <w:r w:rsidRPr="00D4309F">
        <w:rPr>
          <w:spacing w:val="-4"/>
        </w:rPr>
        <w:t xml:space="preserve"> </w:t>
      </w:r>
      <w:r w:rsidRPr="00D4309F">
        <w:t>system</w:t>
      </w:r>
      <w:r w:rsidRPr="00D4309F">
        <w:rPr>
          <w:spacing w:val="-3"/>
        </w:rPr>
        <w:t xml:space="preserve"> </w:t>
      </w:r>
      <w:r w:rsidRPr="00D4309F">
        <w:t>incurs</w:t>
      </w:r>
      <w:r w:rsidRPr="00D4309F">
        <w:rPr>
          <w:spacing w:val="-2"/>
        </w:rPr>
        <w:t xml:space="preserve"> </w:t>
      </w:r>
      <w:r w:rsidRPr="00D4309F">
        <w:t>fixed</w:t>
      </w:r>
      <w:r w:rsidRPr="00D4309F">
        <w:rPr>
          <w:spacing w:val="-3"/>
        </w:rPr>
        <w:t xml:space="preserve"> </w:t>
      </w:r>
      <w:r w:rsidRPr="00D4309F">
        <w:t>costs while pumping little sand.</w:t>
      </w:r>
    </w:p>
    <w:p w14:paraId="406AAEE9" w14:textId="77777777" w:rsidR="00725977" w:rsidRPr="00D4309F" w:rsidRDefault="00725977" w:rsidP="00AF12C0">
      <w:pPr>
        <w:pStyle w:val="Heading2"/>
      </w:pPr>
      <w:bookmarkStart w:id="503" w:name="_bookmark186"/>
      <w:bookmarkStart w:id="504" w:name="_Toc216699493"/>
      <w:bookmarkEnd w:id="503"/>
      <w:r w:rsidRPr="00D4309F">
        <w:t>Option</w:t>
      </w:r>
      <w:r w:rsidRPr="00D4309F">
        <w:rPr>
          <w:spacing w:val="-13"/>
        </w:rPr>
        <w:t xml:space="preserve"> </w:t>
      </w:r>
      <w:r w:rsidRPr="00D4309F">
        <w:rPr>
          <w:spacing w:val="-2"/>
        </w:rPr>
        <w:t>summary</w:t>
      </w:r>
      <w:bookmarkEnd w:id="504"/>
    </w:p>
    <w:p w14:paraId="57C4E654" w14:textId="77777777" w:rsidR="00725977" w:rsidRPr="00D4309F" w:rsidRDefault="00725977" w:rsidP="00725977">
      <w:pPr>
        <w:pStyle w:val="BodyText"/>
      </w:pPr>
      <w:r w:rsidRPr="00D4309F">
        <w:t>Option 4 involves constructing a fixed jetty-based sand bypassing system supported by an excavated headland sand trap, permanent pump station, and buried pipeline to Mooloolaba Beach. While this option provides a permanent mechanism for transferring sand from the southern headland compartment to the downdrift</w:t>
      </w:r>
      <w:r w:rsidRPr="00D4309F">
        <w:rPr>
          <w:spacing w:val="-3"/>
        </w:rPr>
        <w:t xml:space="preserve"> </w:t>
      </w:r>
      <w:r w:rsidRPr="00D4309F">
        <w:t>beach,</w:t>
      </w:r>
      <w:r w:rsidRPr="00D4309F">
        <w:rPr>
          <w:spacing w:val="-3"/>
        </w:rPr>
        <w:t xml:space="preserve"> </w:t>
      </w:r>
      <w:r w:rsidRPr="00D4309F">
        <w:t>its</w:t>
      </w:r>
      <w:r w:rsidRPr="00D4309F">
        <w:rPr>
          <w:spacing w:val="-2"/>
        </w:rPr>
        <w:t xml:space="preserve"> </w:t>
      </w:r>
      <w:r w:rsidRPr="00D4309F">
        <w:t>effectiveness</w:t>
      </w:r>
      <w:r w:rsidRPr="00D4309F">
        <w:rPr>
          <w:spacing w:val="-2"/>
        </w:rPr>
        <w:t xml:space="preserve"> </w:t>
      </w:r>
      <w:r w:rsidRPr="00D4309F">
        <w:t>is</w:t>
      </w:r>
      <w:r w:rsidRPr="00D4309F">
        <w:rPr>
          <w:spacing w:val="-2"/>
        </w:rPr>
        <w:t xml:space="preserve"> </w:t>
      </w:r>
      <w:r w:rsidRPr="00D4309F">
        <w:t>fundamentally</w:t>
      </w:r>
      <w:r w:rsidRPr="00D4309F">
        <w:rPr>
          <w:spacing w:val="-2"/>
        </w:rPr>
        <w:t xml:space="preserve"> </w:t>
      </w:r>
      <w:r w:rsidRPr="00D4309F">
        <w:t>constrained</w:t>
      </w:r>
      <w:r w:rsidRPr="00D4309F">
        <w:rPr>
          <w:spacing w:val="-3"/>
        </w:rPr>
        <w:t xml:space="preserve"> </w:t>
      </w:r>
      <w:r w:rsidRPr="00D4309F">
        <w:t>by</w:t>
      </w:r>
      <w:r w:rsidRPr="00D4309F">
        <w:rPr>
          <w:spacing w:val="-2"/>
        </w:rPr>
        <w:t xml:space="preserve"> </w:t>
      </w:r>
      <w:r w:rsidRPr="00D4309F">
        <w:t>the</w:t>
      </w:r>
      <w:r w:rsidRPr="00D4309F">
        <w:rPr>
          <w:spacing w:val="-3"/>
        </w:rPr>
        <w:t xml:space="preserve"> </w:t>
      </w:r>
      <w:r w:rsidRPr="00D4309F">
        <w:t>local</w:t>
      </w:r>
      <w:r w:rsidRPr="00D4309F">
        <w:rPr>
          <w:spacing w:val="-3"/>
        </w:rPr>
        <w:t xml:space="preserve"> </w:t>
      </w:r>
      <w:r w:rsidRPr="00D4309F">
        <w:t>wave</w:t>
      </w:r>
      <w:r w:rsidRPr="00D4309F">
        <w:rPr>
          <w:spacing w:val="-4"/>
        </w:rPr>
        <w:t xml:space="preserve"> </w:t>
      </w:r>
      <w:r w:rsidRPr="00D4309F">
        <w:t>climate,</w:t>
      </w:r>
      <w:r w:rsidRPr="00D4309F">
        <w:rPr>
          <w:spacing w:val="-3"/>
        </w:rPr>
        <w:t xml:space="preserve"> </w:t>
      </w:r>
      <w:r w:rsidRPr="00D4309F">
        <w:t>the</w:t>
      </w:r>
      <w:r w:rsidRPr="00D4309F">
        <w:rPr>
          <w:spacing w:val="-3"/>
        </w:rPr>
        <w:t xml:space="preserve"> </w:t>
      </w:r>
      <w:r w:rsidRPr="00D4309F">
        <w:t>shallow</w:t>
      </w:r>
      <w:r w:rsidRPr="00D4309F">
        <w:rPr>
          <w:spacing w:val="-2"/>
        </w:rPr>
        <w:t xml:space="preserve"> </w:t>
      </w:r>
      <w:r w:rsidRPr="00D4309F">
        <w:t>extent of the trap, and the absence of structural containment (e.g., a breakwater).</w:t>
      </w:r>
    </w:p>
    <w:p w14:paraId="37C4FB82" w14:textId="77777777" w:rsidR="00725977" w:rsidRPr="00D4309F" w:rsidRDefault="00725977" w:rsidP="00725977">
      <w:pPr>
        <w:pStyle w:val="BodyText"/>
      </w:pPr>
      <w:r w:rsidRPr="00D4309F">
        <w:t>The</w:t>
      </w:r>
      <w:r w:rsidRPr="00D4309F">
        <w:rPr>
          <w:spacing w:val="-3"/>
        </w:rPr>
        <w:t xml:space="preserve"> </w:t>
      </w:r>
      <w:r w:rsidRPr="00D4309F">
        <w:t>system</w:t>
      </w:r>
      <w:r w:rsidRPr="00D4309F">
        <w:rPr>
          <w:spacing w:val="-3"/>
        </w:rPr>
        <w:t xml:space="preserve"> </w:t>
      </w:r>
      <w:r w:rsidRPr="00D4309F">
        <w:t>can</w:t>
      </w:r>
      <w:r w:rsidRPr="00D4309F">
        <w:rPr>
          <w:spacing w:val="-3"/>
        </w:rPr>
        <w:t xml:space="preserve"> </w:t>
      </w:r>
      <w:r w:rsidRPr="00D4309F">
        <w:t>only</w:t>
      </w:r>
      <w:r w:rsidRPr="00D4309F">
        <w:rPr>
          <w:spacing w:val="-2"/>
        </w:rPr>
        <w:t xml:space="preserve"> </w:t>
      </w:r>
      <w:r w:rsidRPr="00D4309F">
        <w:t>intercept</w:t>
      </w:r>
      <w:r w:rsidRPr="00D4309F">
        <w:rPr>
          <w:spacing w:val="-3"/>
        </w:rPr>
        <w:t xml:space="preserve"> </w:t>
      </w:r>
      <w:r w:rsidRPr="00D4309F">
        <w:t>sand</w:t>
      </w:r>
      <w:r w:rsidRPr="00D4309F">
        <w:rPr>
          <w:spacing w:val="-3"/>
        </w:rPr>
        <w:t xml:space="preserve"> </w:t>
      </w:r>
      <w:r w:rsidRPr="00D4309F">
        <w:t>that</w:t>
      </w:r>
      <w:r w:rsidRPr="00D4309F">
        <w:rPr>
          <w:spacing w:val="-3"/>
        </w:rPr>
        <w:t xml:space="preserve"> </w:t>
      </w:r>
      <w:r w:rsidRPr="00D4309F">
        <w:t>enters</w:t>
      </w:r>
      <w:r w:rsidRPr="00D4309F">
        <w:rPr>
          <w:spacing w:val="-2"/>
        </w:rPr>
        <w:t xml:space="preserve"> </w:t>
      </w:r>
      <w:r w:rsidRPr="00D4309F">
        <w:t>the</w:t>
      </w:r>
      <w:r w:rsidRPr="00D4309F">
        <w:rPr>
          <w:spacing w:val="-3"/>
        </w:rPr>
        <w:t xml:space="preserve"> </w:t>
      </w:r>
      <w:r w:rsidRPr="00D4309F">
        <w:t>excavated</w:t>
      </w:r>
      <w:r w:rsidRPr="00D4309F">
        <w:rPr>
          <w:spacing w:val="-3"/>
        </w:rPr>
        <w:t xml:space="preserve"> </w:t>
      </w:r>
      <w:r w:rsidRPr="00D4309F">
        <w:t>trap;</w:t>
      </w:r>
      <w:r w:rsidRPr="00D4309F">
        <w:rPr>
          <w:spacing w:val="-3"/>
        </w:rPr>
        <w:t xml:space="preserve"> </w:t>
      </w:r>
      <w:r w:rsidRPr="00D4309F">
        <w:t>however,</w:t>
      </w:r>
      <w:r w:rsidRPr="00D4309F">
        <w:rPr>
          <w:spacing w:val="-3"/>
        </w:rPr>
        <w:t xml:space="preserve"> </w:t>
      </w:r>
      <w:r w:rsidRPr="00D4309F">
        <w:t>a</w:t>
      </w:r>
      <w:r w:rsidRPr="00D4309F">
        <w:rPr>
          <w:spacing w:val="-3"/>
        </w:rPr>
        <w:t xml:space="preserve"> </w:t>
      </w:r>
      <w:r w:rsidRPr="00D4309F">
        <w:t>portion</w:t>
      </w:r>
      <w:r w:rsidRPr="00D4309F">
        <w:rPr>
          <w:spacing w:val="-3"/>
        </w:rPr>
        <w:t xml:space="preserve"> </w:t>
      </w:r>
      <w:r w:rsidRPr="00D4309F">
        <w:t>of</w:t>
      </w:r>
      <w:r w:rsidRPr="00D4309F">
        <w:rPr>
          <w:spacing w:val="-3"/>
        </w:rPr>
        <w:t xml:space="preserve"> </w:t>
      </w:r>
      <w:r w:rsidRPr="00D4309F">
        <w:t>longshore</w:t>
      </w:r>
      <w:r w:rsidRPr="00D4309F">
        <w:rPr>
          <w:spacing w:val="-3"/>
        </w:rPr>
        <w:t xml:space="preserve"> </w:t>
      </w:r>
      <w:r w:rsidRPr="00D4309F">
        <w:t>transport will continue to bypass seaward of the trap and remain capable of contributing to entrance shoaling. As a result, Option</w:t>
      </w:r>
      <w:r w:rsidRPr="00D4309F">
        <w:rPr>
          <w:spacing w:val="-1"/>
        </w:rPr>
        <w:t xml:space="preserve"> </w:t>
      </w:r>
      <w:r w:rsidRPr="00D4309F">
        <w:t>4 offers partial, rather than complete, reduction in shoaling risk. Its performance is expected</w:t>
      </w:r>
      <w:r w:rsidRPr="00D4309F">
        <w:rPr>
          <w:spacing w:val="-1"/>
        </w:rPr>
        <w:t xml:space="preserve"> </w:t>
      </w:r>
      <w:r w:rsidRPr="00D4309F">
        <w:t>to improve if coupled with a breakwater extension, which would increase sand retention and reduce bypass leakage, but this would introduce substantial additional capital cost and environmental impacts.</w:t>
      </w:r>
    </w:p>
    <w:p w14:paraId="7DF63096" w14:textId="70C0D5ED" w:rsidR="00D4229D" w:rsidRDefault="00725977" w:rsidP="00725977">
      <w:pPr>
        <w:pStyle w:val="BodyText"/>
      </w:pPr>
      <w:r w:rsidRPr="00D4309F">
        <w:t>This option represents a major, high-capital coastal infrastructure investment that reduces dependence on mobile dredging but remains inherently limited by local sediment dynamics. While it provides long-term, predictable</w:t>
      </w:r>
      <w:r w:rsidRPr="00D4309F">
        <w:rPr>
          <w:spacing w:val="-4"/>
        </w:rPr>
        <w:t xml:space="preserve"> </w:t>
      </w:r>
      <w:r w:rsidRPr="00D4309F">
        <w:t>nourishment</w:t>
      </w:r>
      <w:r w:rsidRPr="00D4309F">
        <w:rPr>
          <w:spacing w:val="-4"/>
        </w:rPr>
        <w:t xml:space="preserve"> </w:t>
      </w:r>
      <w:r w:rsidRPr="00D4309F">
        <w:t>to</w:t>
      </w:r>
      <w:r w:rsidRPr="00D4309F">
        <w:rPr>
          <w:spacing w:val="-4"/>
        </w:rPr>
        <w:t xml:space="preserve"> </w:t>
      </w:r>
      <w:r w:rsidRPr="00D4309F">
        <w:t>Mooloolaba</w:t>
      </w:r>
      <w:r w:rsidRPr="00D4309F">
        <w:rPr>
          <w:spacing w:val="-5"/>
        </w:rPr>
        <w:t xml:space="preserve"> </w:t>
      </w:r>
      <w:r w:rsidRPr="00D4309F">
        <w:t>Beach,</w:t>
      </w:r>
      <w:r w:rsidRPr="00D4309F">
        <w:rPr>
          <w:spacing w:val="-4"/>
        </w:rPr>
        <w:t xml:space="preserve"> </w:t>
      </w:r>
      <w:r w:rsidRPr="00D4309F">
        <w:t>its</w:t>
      </w:r>
      <w:r w:rsidRPr="00D4309F">
        <w:rPr>
          <w:spacing w:val="-3"/>
        </w:rPr>
        <w:t xml:space="preserve"> </w:t>
      </w:r>
      <w:r w:rsidRPr="00D4309F">
        <w:t>operational</w:t>
      </w:r>
      <w:r w:rsidRPr="00D4309F">
        <w:rPr>
          <w:spacing w:val="-4"/>
        </w:rPr>
        <w:t xml:space="preserve"> </w:t>
      </w:r>
      <w:r w:rsidRPr="00D4309F">
        <w:t>efficiency</w:t>
      </w:r>
      <w:r w:rsidRPr="00D4309F">
        <w:rPr>
          <w:spacing w:val="-3"/>
        </w:rPr>
        <w:t xml:space="preserve"> </w:t>
      </w:r>
      <w:r w:rsidRPr="00D4309F">
        <w:t>and</w:t>
      </w:r>
      <w:r w:rsidRPr="00D4309F">
        <w:rPr>
          <w:spacing w:val="-4"/>
        </w:rPr>
        <w:t xml:space="preserve"> </w:t>
      </w:r>
      <w:r w:rsidRPr="00D4309F">
        <w:t>value-for-money</w:t>
      </w:r>
      <w:r w:rsidRPr="00D4309F">
        <w:rPr>
          <w:spacing w:val="-4"/>
        </w:rPr>
        <w:t xml:space="preserve"> </w:t>
      </w:r>
      <w:r w:rsidRPr="00D4309F">
        <w:t>depend</w:t>
      </w:r>
      <w:r w:rsidRPr="00D4309F">
        <w:rPr>
          <w:spacing w:val="-4"/>
        </w:rPr>
        <w:t xml:space="preserve"> </w:t>
      </w:r>
      <w:r w:rsidRPr="00D4309F">
        <w:t>heavily on how reliably the trap infills under varying coastal conditions (</w:t>
      </w:r>
      <w:hyperlink w:anchor="_bookmark187" w:history="1">
        <w:r w:rsidR="00D4229D">
          <w:fldChar w:fldCharType="begin" w:fldLock="1"/>
        </w:r>
        <w:r w:rsidR="00D4229D">
          <w:instrText xml:space="preserve"> REF _Ref215980441 \h </w:instrText>
        </w:r>
        <w:r w:rsidR="00D4229D">
          <w:fldChar w:fldCharType="separate"/>
        </w:r>
        <w:r w:rsidR="00D4229D">
          <w:t xml:space="preserve">Table </w:t>
        </w:r>
        <w:r w:rsidR="00D4229D">
          <w:rPr>
            <w:noProof/>
          </w:rPr>
          <w:t>16</w:t>
        </w:r>
        <w:r w:rsidR="00D4229D">
          <w:noBreakHyphen/>
        </w:r>
        <w:r w:rsidR="00D4229D">
          <w:rPr>
            <w:noProof/>
          </w:rPr>
          <w:t>3</w:t>
        </w:r>
        <w:r w:rsidR="00D4229D">
          <w:fldChar w:fldCharType="end"/>
        </w:r>
      </w:hyperlink>
      <w:r w:rsidRPr="00D4309F">
        <w:t>).</w:t>
      </w:r>
    </w:p>
    <w:p w14:paraId="7984928C" w14:textId="1A8F8919" w:rsidR="0069057E" w:rsidRDefault="00D4229D" w:rsidP="00865209">
      <w:pPr>
        <w:pStyle w:val="Table-Caption"/>
        <w:rPr>
          <w:color w:val="211E1F"/>
          <w:spacing w:val="-2"/>
        </w:rPr>
      </w:pPr>
      <w:bookmarkStart w:id="505" w:name="_Ref215980441"/>
      <w:bookmarkStart w:id="506" w:name="_Toc216699582"/>
      <w:r>
        <w:t xml:space="preserve">Table </w:t>
      </w:r>
      <w:r w:rsidR="00151534">
        <w:fldChar w:fldCharType="begin" w:fldLock="1"/>
      </w:r>
      <w:r w:rsidR="00151534">
        <w:instrText xml:space="preserve"> STYLEREF 1 \s </w:instrText>
      </w:r>
      <w:r w:rsidR="00151534">
        <w:fldChar w:fldCharType="separate"/>
      </w:r>
      <w:r w:rsidR="00151534">
        <w:rPr>
          <w:noProof/>
        </w:rPr>
        <w:t>16</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3</w:t>
      </w:r>
      <w:r w:rsidR="00151534">
        <w:fldChar w:fldCharType="end"/>
      </w:r>
      <w:bookmarkEnd w:id="505"/>
      <w:r>
        <w:t>:</w:t>
      </w:r>
      <w:r>
        <w:tab/>
      </w:r>
      <w:r w:rsidRPr="00D4309F">
        <w:rPr>
          <w:color w:val="211E1F"/>
        </w:rPr>
        <w:t>Overview</w:t>
      </w:r>
      <w:r w:rsidRPr="00D4309F">
        <w:rPr>
          <w:color w:val="211E1F"/>
          <w:spacing w:val="-1"/>
        </w:rPr>
        <w:t xml:space="preserve"> </w:t>
      </w:r>
      <w:r w:rsidRPr="00D4309F">
        <w:rPr>
          <w:color w:val="211E1F"/>
        </w:rPr>
        <w:t>of</w:t>
      </w:r>
      <w:r w:rsidRPr="00D4309F">
        <w:rPr>
          <w:color w:val="211E1F"/>
          <w:spacing w:val="-2"/>
        </w:rPr>
        <w:t xml:space="preserve"> </w:t>
      </w:r>
      <w:r w:rsidRPr="00D4309F">
        <w:rPr>
          <w:color w:val="211E1F"/>
        </w:rPr>
        <w:t>Option</w:t>
      </w:r>
      <w:r w:rsidRPr="00D4309F">
        <w:rPr>
          <w:color w:val="211E1F"/>
          <w:spacing w:val="-1"/>
        </w:rPr>
        <w:t xml:space="preserve"> </w:t>
      </w:r>
      <w:r w:rsidRPr="00D4309F">
        <w:rPr>
          <w:color w:val="211E1F"/>
        </w:rPr>
        <w:t>4</w:t>
      </w:r>
      <w:r w:rsidRPr="00D4309F">
        <w:rPr>
          <w:color w:val="211E1F"/>
          <w:spacing w:val="-2"/>
        </w:rPr>
        <w:t xml:space="preserve"> </w:t>
      </w:r>
      <w:r w:rsidRPr="00D4309F">
        <w:rPr>
          <w:color w:val="211E1F"/>
        </w:rPr>
        <w:t>–</w:t>
      </w:r>
      <w:r w:rsidRPr="00D4309F">
        <w:rPr>
          <w:color w:val="211E1F"/>
          <w:spacing w:val="-2"/>
        </w:rPr>
        <w:t xml:space="preserve"> </w:t>
      </w:r>
      <w:r w:rsidRPr="00D4309F">
        <w:rPr>
          <w:color w:val="211E1F"/>
        </w:rPr>
        <w:t>Advantages</w:t>
      </w:r>
      <w:r w:rsidRPr="00D4309F">
        <w:rPr>
          <w:color w:val="211E1F"/>
          <w:spacing w:val="-2"/>
        </w:rPr>
        <w:t xml:space="preserve"> </w:t>
      </w:r>
      <w:r w:rsidRPr="00D4309F">
        <w:rPr>
          <w:color w:val="211E1F"/>
        </w:rPr>
        <w:t>and</w:t>
      </w:r>
      <w:r w:rsidRPr="00D4309F">
        <w:rPr>
          <w:color w:val="211E1F"/>
          <w:spacing w:val="-1"/>
        </w:rPr>
        <w:t xml:space="preserve"> </w:t>
      </w:r>
      <w:r w:rsidRPr="00D4309F">
        <w:rPr>
          <w:color w:val="211E1F"/>
          <w:spacing w:val="-2"/>
        </w:rPr>
        <w:t>Disadvantages</w:t>
      </w:r>
      <w:bookmarkEnd w:id="506"/>
    </w:p>
    <w:tbl>
      <w:tblPr>
        <w:tblStyle w:val="Table1"/>
        <w:tblW w:w="0" w:type="auto"/>
        <w:tblLook w:val="04A0" w:firstRow="1" w:lastRow="0" w:firstColumn="1" w:lastColumn="0" w:noHBand="0" w:noVBand="1"/>
      </w:tblPr>
      <w:tblGrid>
        <w:gridCol w:w="4816"/>
        <w:gridCol w:w="4816"/>
      </w:tblGrid>
      <w:tr w:rsidR="0069057E" w14:paraId="12E59E6D" w14:textId="77777777">
        <w:trPr>
          <w:cnfStyle w:val="100000000000" w:firstRow="1" w:lastRow="0" w:firstColumn="0" w:lastColumn="0" w:oddVBand="0" w:evenVBand="0" w:oddHBand="0" w:evenHBand="0" w:firstRowFirstColumn="0" w:firstRowLastColumn="0" w:lastRowFirstColumn="0" w:lastRowLastColumn="0"/>
        </w:trPr>
        <w:tc>
          <w:tcPr>
            <w:tcW w:w="4816" w:type="dxa"/>
          </w:tcPr>
          <w:p w14:paraId="6DF6FE17" w14:textId="77777777" w:rsidR="0069057E" w:rsidRDefault="0069057E" w:rsidP="00865209">
            <w:pPr>
              <w:pStyle w:val="Table-Heading"/>
              <w:keepNext/>
            </w:pPr>
            <w:r>
              <w:t>Advantages</w:t>
            </w:r>
          </w:p>
        </w:tc>
        <w:tc>
          <w:tcPr>
            <w:tcW w:w="4816" w:type="dxa"/>
          </w:tcPr>
          <w:p w14:paraId="377EB4AA" w14:textId="77777777" w:rsidR="0069057E" w:rsidRDefault="0069057E" w:rsidP="00865209">
            <w:pPr>
              <w:pStyle w:val="Table-Heading"/>
              <w:keepNext/>
            </w:pPr>
            <w:r>
              <w:t>Disadvantages</w:t>
            </w:r>
          </w:p>
        </w:tc>
      </w:tr>
      <w:tr w:rsidR="0069057E" w14:paraId="2864DE76" w14:textId="77777777">
        <w:tc>
          <w:tcPr>
            <w:tcW w:w="4816" w:type="dxa"/>
          </w:tcPr>
          <w:p w14:paraId="113F3F4D" w14:textId="77777777" w:rsidR="0069057E" w:rsidRPr="00D4309F" w:rsidRDefault="0069057E" w:rsidP="00865209">
            <w:pPr>
              <w:pStyle w:val="Table-Bullet"/>
              <w:keepNext/>
            </w:pPr>
            <w:r w:rsidRPr="00D4309F">
              <w:t>Provides</w:t>
            </w:r>
            <w:r w:rsidRPr="00D4309F">
              <w:rPr>
                <w:spacing w:val="-10"/>
              </w:rPr>
              <w:t xml:space="preserve"> </w:t>
            </w:r>
            <w:r w:rsidRPr="00D4309F">
              <w:t>a</w:t>
            </w:r>
            <w:r w:rsidRPr="00D4309F">
              <w:rPr>
                <w:spacing w:val="-11"/>
              </w:rPr>
              <w:t xml:space="preserve"> </w:t>
            </w:r>
            <w:r w:rsidRPr="00D4309F">
              <w:t>permanent</w:t>
            </w:r>
            <w:r w:rsidRPr="00D4309F">
              <w:rPr>
                <w:spacing w:val="-10"/>
              </w:rPr>
              <w:t xml:space="preserve"> </w:t>
            </w:r>
            <w:r w:rsidRPr="00D4309F">
              <w:t>mechanism</w:t>
            </w:r>
            <w:r w:rsidRPr="00D4309F">
              <w:rPr>
                <w:spacing w:val="-10"/>
              </w:rPr>
              <w:t xml:space="preserve"> </w:t>
            </w:r>
            <w:r w:rsidRPr="00D4309F">
              <w:t>for transferring sand from the headland compartment to Mooloolaba Beach.</w:t>
            </w:r>
          </w:p>
          <w:p w14:paraId="426C229F" w14:textId="77777777" w:rsidR="0069057E" w:rsidRPr="00D4309F" w:rsidRDefault="0069057E" w:rsidP="00865209">
            <w:pPr>
              <w:pStyle w:val="Table-Bullet"/>
              <w:keepNext/>
            </w:pPr>
            <w:r w:rsidRPr="00D4309F">
              <w:t>Reduces reliance on periodic maintenance dredging</w:t>
            </w:r>
            <w:r w:rsidRPr="00D4309F">
              <w:rPr>
                <w:spacing w:val="-11"/>
              </w:rPr>
              <w:t xml:space="preserve"> </w:t>
            </w:r>
            <w:r w:rsidRPr="00D4309F">
              <w:t>compared</w:t>
            </w:r>
            <w:r w:rsidRPr="00D4309F">
              <w:rPr>
                <w:spacing w:val="-11"/>
              </w:rPr>
              <w:t xml:space="preserve"> </w:t>
            </w:r>
            <w:r w:rsidRPr="00D4309F">
              <w:t>with</w:t>
            </w:r>
            <w:r w:rsidRPr="00D4309F">
              <w:rPr>
                <w:spacing w:val="-11"/>
              </w:rPr>
              <w:t xml:space="preserve"> </w:t>
            </w:r>
            <w:r w:rsidRPr="00D4309F">
              <w:t>fully</w:t>
            </w:r>
            <w:r w:rsidRPr="00D4309F">
              <w:rPr>
                <w:spacing w:val="-9"/>
              </w:rPr>
              <w:t xml:space="preserve"> </w:t>
            </w:r>
            <w:r w:rsidRPr="00D4309F">
              <w:t xml:space="preserve">campaign-based </w:t>
            </w:r>
            <w:r w:rsidRPr="00D4309F">
              <w:rPr>
                <w:spacing w:val="-2"/>
              </w:rPr>
              <w:t>options.</w:t>
            </w:r>
          </w:p>
          <w:p w14:paraId="497909B3" w14:textId="77777777" w:rsidR="0069057E" w:rsidRPr="00D4309F" w:rsidRDefault="0069057E" w:rsidP="00865209">
            <w:pPr>
              <w:pStyle w:val="Table-Bullet"/>
              <w:keepNext/>
            </w:pPr>
            <w:r w:rsidRPr="00D4309F">
              <w:t>Supports consistent nourishment of Mooloolaba</w:t>
            </w:r>
            <w:r w:rsidRPr="00D4309F">
              <w:rPr>
                <w:spacing w:val="-10"/>
              </w:rPr>
              <w:t xml:space="preserve"> </w:t>
            </w:r>
            <w:r w:rsidRPr="00D4309F">
              <w:t>Beach</w:t>
            </w:r>
            <w:r w:rsidRPr="00D4309F">
              <w:rPr>
                <w:spacing w:val="-10"/>
              </w:rPr>
              <w:t xml:space="preserve"> </w:t>
            </w:r>
            <w:r w:rsidRPr="00D4309F">
              <w:t>and</w:t>
            </w:r>
            <w:r w:rsidRPr="00D4309F">
              <w:rPr>
                <w:spacing w:val="-10"/>
              </w:rPr>
              <w:t xml:space="preserve"> </w:t>
            </w:r>
            <w:r w:rsidRPr="00D4309F">
              <w:t>maintains</w:t>
            </w:r>
            <w:r w:rsidRPr="00D4309F">
              <w:rPr>
                <w:spacing w:val="-9"/>
              </w:rPr>
              <w:t xml:space="preserve"> </w:t>
            </w:r>
            <w:r w:rsidRPr="00D4309F">
              <w:t>regional sediment continuity.</w:t>
            </w:r>
          </w:p>
          <w:p w14:paraId="4375ECFF" w14:textId="77777777" w:rsidR="0069057E" w:rsidRPr="00D4309F" w:rsidRDefault="0069057E" w:rsidP="00865209">
            <w:pPr>
              <w:pStyle w:val="Table-Bullet"/>
              <w:keepNext/>
            </w:pPr>
            <w:r w:rsidRPr="00D4309F">
              <w:t>Automated</w:t>
            </w:r>
            <w:r w:rsidRPr="00D4309F">
              <w:rPr>
                <w:spacing w:val="-7"/>
              </w:rPr>
              <w:t xml:space="preserve"> </w:t>
            </w:r>
            <w:r w:rsidRPr="00D4309F">
              <w:t>pumping</w:t>
            </w:r>
            <w:r w:rsidRPr="00D4309F">
              <w:rPr>
                <w:spacing w:val="-9"/>
              </w:rPr>
              <w:t xml:space="preserve"> </w:t>
            </w:r>
            <w:r w:rsidRPr="00D4309F">
              <w:t>allows</w:t>
            </w:r>
            <w:r w:rsidRPr="00D4309F">
              <w:rPr>
                <w:spacing w:val="-8"/>
              </w:rPr>
              <w:t xml:space="preserve"> </w:t>
            </w:r>
            <w:r w:rsidRPr="00D4309F">
              <w:t>operation</w:t>
            </w:r>
            <w:r w:rsidRPr="00D4309F">
              <w:rPr>
                <w:spacing w:val="-9"/>
              </w:rPr>
              <w:t xml:space="preserve"> </w:t>
            </w:r>
            <w:r w:rsidRPr="00D4309F">
              <w:t>to</w:t>
            </w:r>
            <w:r w:rsidRPr="00D4309F">
              <w:rPr>
                <w:spacing w:val="-9"/>
              </w:rPr>
              <w:t xml:space="preserve"> </w:t>
            </w:r>
            <w:r w:rsidRPr="00D4309F">
              <w:t>occur during suitable wave conditions without mobilisation of mobile plant.</w:t>
            </w:r>
          </w:p>
          <w:p w14:paraId="1E11CBBB" w14:textId="77777777" w:rsidR="0069057E" w:rsidRPr="00D4309F" w:rsidRDefault="0069057E" w:rsidP="00865209">
            <w:pPr>
              <w:pStyle w:val="Table-Bullet"/>
              <w:keepNext/>
            </w:pPr>
            <w:r w:rsidRPr="00D4309F">
              <w:t>Fixed</w:t>
            </w:r>
            <w:r w:rsidRPr="00D4309F">
              <w:rPr>
                <w:spacing w:val="-7"/>
              </w:rPr>
              <w:t xml:space="preserve"> </w:t>
            </w:r>
            <w:r w:rsidRPr="00D4309F">
              <w:t>infrastructure</w:t>
            </w:r>
            <w:r w:rsidRPr="00D4309F">
              <w:rPr>
                <w:spacing w:val="-7"/>
              </w:rPr>
              <w:t xml:space="preserve"> </w:t>
            </w:r>
            <w:r w:rsidRPr="00D4309F">
              <w:t>may</w:t>
            </w:r>
            <w:r w:rsidRPr="00D4309F">
              <w:rPr>
                <w:spacing w:val="-6"/>
              </w:rPr>
              <w:t xml:space="preserve"> </w:t>
            </w:r>
            <w:r w:rsidRPr="00D4309F">
              <w:t>offer</w:t>
            </w:r>
            <w:r w:rsidRPr="00D4309F">
              <w:rPr>
                <w:spacing w:val="-6"/>
              </w:rPr>
              <w:t xml:space="preserve"> </w:t>
            </w:r>
            <w:r w:rsidRPr="00D4309F">
              <w:t>long</w:t>
            </w:r>
            <w:r w:rsidRPr="00D4309F">
              <w:rPr>
                <w:spacing w:val="-7"/>
              </w:rPr>
              <w:t xml:space="preserve"> </w:t>
            </w:r>
            <w:r w:rsidRPr="00D4309F">
              <w:t>service</w:t>
            </w:r>
            <w:r w:rsidRPr="00D4309F">
              <w:rPr>
                <w:spacing w:val="-7"/>
              </w:rPr>
              <w:t xml:space="preserve"> </w:t>
            </w:r>
            <w:r w:rsidRPr="00D4309F">
              <w:t>life with predictable maintenance cycles.</w:t>
            </w:r>
          </w:p>
          <w:p w14:paraId="2BA1848D" w14:textId="46772589" w:rsidR="0069057E" w:rsidRDefault="0069057E" w:rsidP="00865209">
            <w:pPr>
              <w:pStyle w:val="Table-Bullet"/>
              <w:keepNext/>
            </w:pPr>
            <w:r w:rsidRPr="00D4309F">
              <w:t>Potential</w:t>
            </w:r>
            <w:r w:rsidRPr="00D4309F">
              <w:rPr>
                <w:spacing w:val="-6"/>
              </w:rPr>
              <w:t xml:space="preserve"> </w:t>
            </w:r>
            <w:r w:rsidRPr="00D4309F">
              <w:t>to</w:t>
            </w:r>
            <w:r w:rsidRPr="00D4309F">
              <w:rPr>
                <w:spacing w:val="-7"/>
              </w:rPr>
              <w:t xml:space="preserve"> </w:t>
            </w:r>
            <w:r w:rsidRPr="00D4309F">
              <w:t>integrate</w:t>
            </w:r>
            <w:r w:rsidRPr="00D4309F">
              <w:rPr>
                <w:spacing w:val="-7"/>
              </w:rPr>
              <w:t xml:space="preserve"> </w:t>
            </w:r>
            <w:r w:rsidRPr="00D4309F">
              <w:t>with</w:t>
            </w:r>
            <w:r w:rsidRPr="00D4309F">
              <w:rPr>
                <w:spacing w:val="-7"/>
              </w:rPr>
              <w:t xml:space="preserve"> </w:t>
            </w:r>
            <w:r w:rsidRPr="00D4309F">
              <w:t>a</w:t>
            </w:r>
            <w:r w:rsidRPr="00D4309F">
              <w:rPr>
                <w:spacing w:val="-7"/>
              </w:rPr>
              <w:t xml:space="preserve"> </w:t>
            </w:r>
            <w:r w:rsidRPr="00D4309F">
              <w:t>future</w:t>
            </w:r>
            <w:r w:rsidRPr="00D4309F">
              <w:rPr>
                <w:spacing w:val="-7"/>
              </w:rPr>
              <w:t xml:space="preserve"> </w:t>
            </w:r>
            <w:r w:rsidRPr="00D4309F">
              <w:t xml:space="preserve">breakwater extension if greater sand-trap efficiency is </w:t>
            </w:r>
            <w:r w:rsidRPr="00D4309F">
              <w:rPr>
                <w:spacing w:val="-2"/>
              </w:rPr>
              <w:t>required.</w:t>
            </w:r>
          </w:p>
        </w:tc>
        <w:tc>
          <w:tcPr>
            <w:tcW w:w="4816" w:type="dxa"/>
          </w:tcPr>
          <w:p w14:paraId="52874C3E" w14:textId="77777777" w:rsidR="0069057E" w:rsidRPr="00D4309F" w:rsidRDefault="0069057E" w:rsidP="00865209">
            <w:pPr>
              <w:pStyle w:val="Table-Bullet"/>
              <w:keepNext/>
            </w:pPr>
            <w:r w:rsidRPr="00D4309F">
              <w:t>Very</w:t>
            </w:r>
            <w:r w:rsidRPr="00D4309F">
              <w:rPr>
                <w:spacing w:val="-2"/>
              </w:rPr>
              <w:t xml:space="preserve"> </w:t>
            </w:r>
            <w:r w:rsidRPr="00D4309F">
              <w:t>high</w:t>
            </w:r>
            <w:r w:rsidRPr="00D4309F">
              <w:rPr>
                <w:spacing w:val="-2"/>
              </w:rPr>
              <w:t xml:space="preserve"> </w:t>
            </w:r>
            <w:r w:rsidRPr="00D4309F">
              <w:t>capital</w:t>
            </w:r>
            <w:r w:rsidRPr="00D4309F">
              <w:rPr>
                <w:spacing w:val="-2"/>
              </w:rPr>
              <w:t xml:space="preserve"> </w:t>
            </w:r>
            <w:r w:rsidRPr="00D4309F">
              <w:t>cost due</w:t>
            </w:r>
            <w:r w:rsidRPr="00D4309F">
              <w:rPr>
                <w:spacing w:val="-3"/>
              </w:rPr>
              <w:t xml:space="preserve"> </w:t>
            </w:r>
            <w:r w:rsidRPr="00D4309F">
              <w:t>to</w:t>
            </w:r>
            <w:r w:rsidRPr="00D4309F">
              <w:rPr>
                <w:spacing w:val="-2"/>
              </w:rPr>
              <w:t xml:space="preserve"> </w:t>
            </w:r>
            <w:r w:rsidRPr="00D4309F">
              <w:t>rock</w:t>
            </w:r>
            <w:r w:rsidRPr="00D4309F">
              <w:rPr>
                <w:spacing w:val="-1"/>
              </w:rPr>
              <w:t xml:space="preserve"> </w:t>
            </w:r>
            <w:r w:rsidRPr="00D4309F">
              <w:rPr>
                <w:spacing w:val="-2"/>
              </w:rPr>
              <w:t>excavation</w:t>
            </w:r>
          </w:p>
          <w:p w14:paraId="2B84D100" w14:textId="77777777" w:rsidR="0069057E" w:rsidRPr="00D4309F" w:rsidRDefault="0069057E" w:rsidP="00865209">
            <w:pPr>
              <w:pStyle w:val="Table-Bullet"/>
              <w:keepNext/>
            </w:pPr>
            <w:r w:rsidRPr="00D4309F">
              <w:t>High</w:t>
            </w:r>
            <w:r w:rsidRPr="00D4309F">
              <w:rPr>
                <w:spacing w:val="-6"/>
              </w:rPr>
              <w:t xml:space="preserve"> </w:t>
            </w:r>
            <w:r w:rsidRPr="00D4309F">
              <w:t>capital</w:t>
            </w:r>
            <w:r w:rsidRPr="00D4309F">
              <w:rPr>
                <w:spacing w:val="-5"/>
              </w:rPr>
              <w:t xml:space="preserve"> </w:t>
            </w:r>
            <w:r w:rsidRPr="00D4309F">
              <w:t>cost</w:t>
            </w:r>
            <w:r w:rsidRPr="00D4309F">
              <w:rPr>
                <w:spacing w:val="-5"/>
              </w:rPr>
              <w:t xml:space="preserve"> </w:t>
            </w:r>
            <w:r w:rsidRPr="00D4309F">
              <w:t>due</w:t>
            </w:r>
            <w:r w:rsidRPr="00D4309F">
              <w:rPr>
                <w:spacing w:val="-6"/>
              </w:rPr>
              <w:t xml:space="preserve"> </w:t>
            </w:r>
            <w:r w:rsidRPr="00D4309F">
              <w:t>to</w:t>
            </w:r>
            <w:r w:rsidRPr="00D4309F">
              <w:rPr>
                <w:spacing w:val="-6"/>
              </w:rPr>
              <w:t xml:space="preserve"> </w:t>
            </w:r>
            <w:r w:rsidRPr="00D4309F">
              <w:t>rock</w:t>
            </w:r>
            <w:r w:rsidRPr="00D4309F">
              <w:rPr>
                <w:spacing w:val="-5"/>
              </w:rPr>
              <w:t xml:space="preserve"> </w:t>
            </w:r>
            <w:r w:rsidRPr="00D4309F">
              <w:t>excavation,</w:t>
            </w:r>
            <w:r w:rsidRPr="00D4309F">
              <w:rPr>
                <w:spacing w:val="-5"/>
              </w:rPr>
              <w:t xml:space="preserve"> </w:t>
            </w:r>
            <w:r w:rsidRPr="00D4309F">
              <w:t>jetty</w:t>
            </w:r>
            <w:r w:rsidRPr="00D4309F">
              <w:rPr>
                <w:spacing w:val="-5"/>
              </w:rPr>
              <w:t xml:space="preserve"> </w:t>
            </w:r>
            <w:r w:rsidRPr="00D4309F">
              <w:t>construction, pump station works, and pipeline installation.</w:t>
            </w:r>
          </w:p>
          <w:p w14:paraId="2152A4C0" w14:textId="77777777" w:rsidR="0069057E" w:rsidRPr="00D4309F" w:rsidRDefault="0069057E" w:rsidP="00865209">
            <w:pPr>
              <w:pStyle w:val="Table-Bullet"/>
              <w:keepNext/>
            </w:pPr>
            <w:r w:rsidRPr="00D4309F">
              <w:t>System</w:t>
            </w:r>
            <w:r w:rsidRPr="00D4309F">
              <w:rPr>
                <w:spacing w:val="-5"/>
              </w:rPr>
              <w:t xml:space="preserve"> </w:t>
            </w:r>
            <w:r w:rsidRPr="00D4309F">
              <w:t>performance</w:t>
            </w:r>
            <w:r w:rsidRPr="00D4309F">
              <w:rPr>
                <w:spacing w:val="-5"/>
              </w:rPr>
              <w:t xml:space="preserve"> </w:t>
            </w:r>
            <w:r w:rsidRPr="00D4309F">
              <w:t>is</w:t>
            </w:r>
            <w:r w:rsidRPr="00D4309F">
              <w:rPr>
                <w:spacing w:val="-5"/>
              </w:rPr>
              <w:t xml:space="preserve"> </w:t>
            </w:r>
            <w:r w:rsidRPr="00D4309F">
              <w:t>inherently</w:t>
            </w:r>
            <w:r w:rsidRPr="00D4309F">
              <w:rPr>
                <w:spacing w:val="-5"/>
              </w:rPr>
              <w:t xml:space="preserve"> </w:t>
            </w:r>
            <w:r w:rsidRPr="00D4309F">
              <w:t>limited</w:t>
            </w:r>
            <w:r w:rsidRPr="00D4309F">
              <w:rPr>
                <w:spacing w:val="-5"/>
              </w:rPr>
              <w:t xml:space="preserve"> </w:t>
            </w:r>
            <w:r w:rsidRPr="00D4309F">
              <w:t>by</w:t>
            </w:r>
            <w:r w:rsidRPr="00D4309F">
              <w:rPr>
                <w:spacing w:val="-4"/>
              </w:rPr>
              <w:t xml:space="preserve"> </w:t>
            </w:r>
            <w:r w:rsidRPr="00D4309F">
              <w:t>trap</w:t>
            </w:r>
            <w:r w:rsidRPr="00D4309F">
              <w:rPr>
                <w:spacing w:val="-5"/>
              </w:rPr>
              <w:t xml:space="preserve"> </w:t>
            </w:r>
            <w:r w:rsidRPr="00D4309F">
              <w:t>infill,</w:t>
            </w:r>
            <w:r w:rsidRPr="00D4309F">
              <w:rPr>
                <w:spacing w:val="-5"/>
              </w:rPr>
              <w:t xml:space="preserve"> </w:t>
            </w:r>
            <w:r w:rsidRPr="00D4309F">
              <w:t>which is episodic and wave-dependent, reducing ability to intercept the full longshore transport.</w:t>
            </w:r>
          </w:p>
          <w:p w14:paraId="7A87129E" w14:textId="77777777" w:rsidR="0069057E" w:rsidRPr="00D4309F" w:rsidRDefault="0069057E" w:rsidP="00865209">
            <w:pPr>
              <w:pStyle w:val="Table-Bullet"/>
              <w:keepNext/>
            </w:pPr>
            <w:r w:rsidRPr="00D4309F">
              <w:t>Sediment will continue to bypass the trap (both seaward and</w:t>
            </w:r>
            <w:r w:rsidRPr="00D4309F">
              <w:rPr>
                <w:spacing w:val="-5"/>
              </w:rPr>
              <w:t xml:space="preserve"> </w:t>
            </w:r>
            <w:r w:rsidRPr="00D4309F">
              <w:t>across</w:t>
            </w:r>
            <w:r w:rsidRPr="00D4309F">
              <w:rPr>
                <w:spacing w:val="-5"/>
              </w:rPr>
              <w:t xml:space="preserve"> </w:t>
            </w:r>
            <w:r w:rsidRPr="00D4309F">
              <w:t>through</w:t>
            </w:r>
            <w:r w:rsidRPr="00D4309F">
              <w:rPr>
                <w:spacing w:val="-5"/>
              </w:rPr>
              <w:t xml:space="preserve"> </w:t>
            </w:r>
            <w:r w:rsidRPr="00D4309F">
              <w:t>the</w:t>
            </w:r>
            <w:r w:rsidRPr="00D4309F">
              <w:rPr>
                <w:spacing w:val="-5"/>
              </w:rPr>
              <w:t xml:space="preserve"> </w:t>
            </w:r>
            <w:r w:rsidRPr="00D4309F">
              <w:t>jetty</w:t>
            </w:r>
            <w:r w:rsidRPr="00D4309F">
              <w:rPr>
                <w:spacing w:val="-5"/>
              </w:rPr>
              <w:t xml:space="preserve"> </w:t>
            </w:r>
            <w:r w:rsidRPr="00D4309F">
              <w:t>efficiency)</w:t>
            </w:r>
            <w:r w:rsidRPr="00D4309F">
              <w:rPr>
                <w:spacing w:val="-5"/>
              </w:rPr>
              <w:t xml:space="preserve"> </w:t>
            </w:r>
            <w:r w:rsidRPr="00D4309F">
              <w:t>allowing</w:t>
            </w:r>
            <w:r w:rsidRPr="00D4309F">
              <w:rPr>
                <w:spacing w:val="-5"/>
              </w:rPr>
              <w:t xml:space="preserve"> </w:t>
            </w:r>
            <w:r w:rsidRPr="00D4309F">
              <w:t>shoaling</w:t>
            </w:r>
            <w:r w:rsidRPr="00D4309F">
              <w:rPr>
                <w:spacing w:val="-5"/>
              </w:rPr>
              <w:t xml:space="preserve"> </w:t>
            </w:r>
            <w:r w:rsidRPr="00D4309F">
              <w:t xml:space="preserve">to </w:t>
            </w:r>
            <w:r w:rsidRPr="00D4309F">
              <w:rPr>
                <w:spacing w:val="-2"/>
              </w:rPr>
              <w:t>persist.</w:t>
            </w:r>
          </w:p>
          <w:p w14:paraId="2AE2326F" w14:textId="77777777" w:rsidR="0069057E" w:rsidRPr="00D4309F" w:rsidRDefault="0069057E" w:rsidP="00865209">
            <w:pPr>
              <w:pStyle w:val="Table-Bullet"/>
              <w:keepNext/>
            </w:pPr>
            <w:r w:rsidRPr="00D4309F">
              <w:t>Lack</w:t>
            </w:r>
            <w:r w:rsidRPr="00D4309F">
              <w:rPr>
                <w:spacing w:val="-5"/>
              </w:rPr>
              <w:t xml:space="preserve"> </w:t>
            </w:r>
            <w:r w:rsidRPr="00D4309F">
              <w:t>of</w:t>
            </w:r>
            <w:r w:rsidRPr="00D4309F">
              <w:rPr>
                <w:spacing w:val="-5"/>
              </w:rPr>
              <w:t xml:space="preserve"> </w:t>
            </w:r>
            <w:r w:rsidRPr="00D4309F">
              <w:t>structural</w:t>
            </w:r>
            <w:r w:rsidRPr="00D4309F">
              <w:rPr>
                <w:spacing w:val="-5"/>
              </w:rPr>
              <w:t xml:space="preserve"> </w:t>
            </w:r>
            <w:r w:rsidRPr="00D4309F">
              <w:t>containment</w:t>
            </w:r>
            <w:r w:rsidRPr="00D4309F">
              <w:rPr>
                <w:spacing w:val="-5"/>
              </w:rPr>
              <w:t xml:space="preserve"> </w:t>
            </w:r>
            <w:r w:rsidRPr="00D4309F">
              <w:t>(e.g.,</w:t>
            </w:r>
            <w:r w:rsidRPr="00D4309F">
              <w:rPr>
                <w:spacing w:val="-5"/>
              </w:rPr>
              <w:t xml:space="preserve"> </w:t>
            </w:r>
            <w:r w:rsidRPr="00D4309F">
              <w:t>long</w:t>
            </w:r>
            <w:r w:rsidRPr="00D4309F">
              <w:rPr>
                <w:spacing w:val="-6"/>
              </w:rPr>
              <w:t xml:space="preserve"> </w:t>
            </w:r>
            <w:r w:rsidRPr="00D4309F">
              <w:t>training</w:t>
            </w:r>
            <w:r w:rsidRPr="00D4309F">
              <w:rPr>
                <w:spacing w:val="-6"/>
              </w:rPr>
              <w:t xml:space="preserve"> </w:t>
            </w:r>
            <w:r w:rsidRPr="00D4309F">
              <w:t>wall)</w:t>
            </w:r>
            <w:r w:rsidRPr="00D4309F">
              <w:rPr>
                <w:spacing w:val="-5"/>
              </w:rPr>
              <w:t xml:space="preserve"> </w:t>
            </w:r>
            <w:r w:rsidRPr="00D4309F">
              <w:t>limits overall capture efficiency.</w:t>
            </w:r>
          </w:p>
          <w:p w14:paraId="42B589B1" w14:textId="77777777" w:rsidR="0069057E" w:rsidRPr="00D4309F" w:rsidRDefault="0069057E" w:rsidP="00865209">
            <w:pPr>
              <w:pStyle w:val="Table-Bullet"/>
              <w:keepNext/>
            </w:pPr>
            <w:r w:rsidRPr="00D4309F">
              <w:t>Rock</w:t>
            </w:r>
            <w:r w:rsidRPr="00D4309F">
              <w:rPr>
                <w:spacing w:val="-8"/>
              </w:rPr>
              <w:t xml:space="preserve"> </w:t>
            </w:r>
            <w:r w:rsidRPr="00D4309F">
              <w:t>excavation</w:t>
            </w:r>
            <w:r w:rsidRPr="00D4309F">
              <w:rPr>
                <w:spacing w:val="-9"/>
              </w:rPr>
              <w:t xml:space="preserve"> </w:t>
            </w:r>
            <w:r w:rsidRPr="00D4309F">
              <w:t>poses</w:t>
            </w:r>
            <w:r w:rsidRPr="00D4309F">
              <w:rPr>
                <w:spacing w:val="-8"/>
              </w:rPr>
              <w:t xml:space="preserve"> </w:t>
            </w:r>
            <w:r w:rsidRPr="00D4309F">
              <w:t>constructability</w:t>
            </w:r>
            <w:r w:rsidRPr="00D4309F">
              <w:rPr>
                <w:spacing w:val="-8"/>
              </w:rPr>
              <w:t xml:space="preserve"> </w:t>
            </w:r>
            <w:r w:rsidRPr="00D4309F">
              <w:t>challenges</w:t>
            </w:r>
            <w:r w:rsidRPr="00D4309F">
              <w:rPr>
                <w:spacing w:val="-8"/>
              </w:rPr>
              <w:t xml:space="preserve"> </w:t>
            </w:r>
            <w:r w:rsidRPr="00D4309F">
              <w:t>and requires detailed geotechnical assessment.</w:t>
            </w:r>
          </w:p>
          <w:p w14:paraId="49701C13" w14:textId="77777777" w:rsidR="0069057E" w:rsidRPr="00D4309F" w:rsidRDefault="0069057E" w:rsidP="00865209">
            <w:pPr>
              <w:pStyle w:val="Table-Bullet"/>
              <w:keepNext/>
            </w:pPr>
            <w:r w:rsidRPr="00D4309F">
              <w:t>Permanent</w:t>
            </w:r>
            <w:r w:rsidRPr="00D4309F">
              <w:rPr>
                <w:spacing w:val="-8"/>
              </w:rPr>
              <w:t xml:space="preserve"> </w:t>
            </w:r>
            <w:r w:rsidRPr="00D4309F">
              <w:t>infrastructure</w:t>
            </w:r>
            <w:r w:rsidRPr="00D4309F">
              <w:rPr>
                <w:spacing w:val="-8"/>
              </w:rPr>
              <w:t xml:space="preserve"> </w:t>
            </w:r>
            <w:r w:rsidRPr="00D4309F">
              <w:t>introduces</w:t>
            </w:r>
            <w:r w:rsidRPr="00D4309F">
              <w:rPr>
                <w:spacing w:val="-8"/>
              </w:rPr>
              <w:t xml:space="preserve"> </w:t>
            </w:r>
            <w:r w:rsidRPr="00D4309F">
              <w:t>visual</w:t>
            </w:r>
            <w:r w:rsidRPr="00D4309F">
              <w:rPr>
                <w:spacing w:val="-8"/>
              </w:rPr>
              <w:t xml:space="preserve"> </w:t>
            </w:r>
            <w:r w:rsidRPr="00D4309F">
              <w:t>impacts</w:t>
            </w:r>
            <w:r w:rsidRPr="00D4309F">
              <w:rPr>
                <w:spacing w:val="-8"/>
              </w:rPr>
              <w:t xml:space="preserve"> </w:t>
            </w:r>
            <w:r w:rsidRPr="00D4309F">
              <w:t>and ongoing maintenance obligations.</w:t>
            </w:r>
          </w:p>
          <w:p w14:paraId="6CF1D765" w14:textId="77777777" w:rsidR="0069057E" w:rsidRPr="00D4309F" w:rsidRDefault="0069057E" w:rsidP="00865209">
            <w:pPr>
              <w:pStyle w:val="Table-Bullet"/>
              <w:keepNext/>
            </w:pPr>
            <w:r w:rsidRPr="00D4309F">
              <w:t>Pipeline</w:t>
            </w:r>
            <w:r w:rsidRPr="00D4309F">
              <w:rPr>
                <w:spacing w:val="-8"/>
              </w:rPr>
              <w:t xml:space="preserve"> </w:t>
            </w:r>
            <w:r w:rsidRPr="00D4309F">
              <w:t>and</w:t>
            </w:r>
            <w:r w:rsidRPr="00D4309F">
              <w:rPr>
                <w:spacing w:val="-8"/>
              </w:rPr>
              <w:t xml:space="preserve"> </w:t>
            </w:r>
            <w:r w:rsidRPr="00D4309F">
              <w:t>mechanical</w:t>
            </w:r>
            <w:r w:rsidRPr="00D4309F">
              <w:rPr>
                <w:spacing w:val="-7"/>
              </w:rPr>
              <w:t xml:space="preserve"> </w:t>
            </w:r>
            <w:r w:rsidRPr="00D4309F">
              <w:t>systems</w:t>
            </w:r>
            <w:r w:rsidRPr="00D4309F">
              <w:rPr>
                <w:spacing w:val="-7"/>
              </w:rPr>
              <w:t xml:space="preserve"> </w:t>
            </w:r>
            <w:r w:rsidRPr="00D4309F">
              <w:t>require</w:t>
            </w:r>
            <w:r w:rsidRPr="00D4309F">
              <w:rPr>
                <w:spacing w:val="-8"/>
              </w:rPr>
              <w:t xml:space="preserve"> </w:t>
            </w:r>
            <w:r w:rsidRPr="00D4309F">
              <w:t>long-term operational commitment and periodic inspection.</w:t>
            </w:r>
          </w:p>
          <w:p w14:paraId="4BFC480C" w14:textId="68ACC955" w:rsidR="0069057E" w:rsidRPr="008D4B12" w:rsidRDefault="0069057E" w:rsidP="00865209">
            <w:pPr>
              <w:pStyle w:val="Table-Bullet"/>
              <w:keepNext/>
            </w:pPr>
            <w:r w:rsidRPr="00D4309F">
              <w:t>Higher environmental footprint during construction, including</w:t>
            </w:r>
            <w:r w:rsidRPr="00D4309F">
              <w:rPr>
                <w:spacing w:val="-8"/>
              </w:rPr>
              <w:t xml:space="preserve"> </w:t>
            </w:r>
            <w:r w:rsidRPr="00D4309F">
              <w:t>seabed</w:t>
            </w:r>
            <w:r w:rsidRPr="00D4309F">
              <w:rPr>
                <w:spacing w:val="-8"/>
              </w:rPr>
              <w:t xml:space="preserve"> </w:t>
            </w:r>
            <w:r w:rsidRPr="00D4309F">
              <w:t>disturbance</w:t>
            </w:r>
            <w:r w:rsidRPr="00D4309F">
              <w:rPr>
                <w:spacing w:val="-6"/>
              </w:rPr>
              <w:t xml:space="preserve"> </w:t>
            </w:r>
            <w:r w:rsidRPr="00D4309F">
              <w:t>and</w:t>
            </w:r>
            <w:r w:rsidRPr="00D4309F">
              <w:rPr>
                <w:spacing w:val="-8"/>
              </w:rPr>
              <w:t xml:space="preserve"> </w:t>
            </w:r>
            <w:r w:rsidRPr="00D4309F">
              <w:t>potential</w:t>
            </w:r>
            <w:r w:rsidRPr="00D4309F">
              <w:rPr>
                <w:spacing w:val="-7"/>
              </w:rPr>
              <w:t xml:space="preserve"> </w:t>
            </w:r>
            <w:r w:rsidRPr="00D4309F">
              <w:t xml:space="preserve">marine-plant </w:t>
            </w:r>
            <w:r w:rsidRPr="00D4309F">
              <w:rPr>
                <w:spacing w:val="-2"/>
              </w:rPr>
              <w:t>impacts.</w:t>
            </w:r>
          </w:p>
        </w:tc>
      </w:tr>
    </w:tbl>
    <w:p w14:paraId="6CD5B547" w14:textId="77777777" w:rsidR="00865209" w:rsidRDefault="00865209" w:rsidP="00725977">
      <w:pPr>
        <w:pStyle w:val="BodyText"/>
        <w:sectPr w:rsidR="00865209" w:rsidSect="00405D4F">
          <w:headerReference w:type="default" r:id="rId143"/>
          <w:footerReference w:type="default" r:id="rId144"/>
          <w:pgSz w:w="11910" w:h="16840"/>
          <w:pgMar w:top="1418" w:right="1134" w:bottom="1418" w:left="1134" w:header="916" w:footer="980" w:gutter="0"/>
          <w:cols w:space="720"/>
        </w:sectPr>
      </w:pPr>
      <w:bookmarkStart w:id="507" w:name="_bookmark187"/>
      <w:bookmarkEnd w:id="507"/>
    </w:p>
    <w:p w14:paraId="54599554" w14:textId="77777777" w:rsidR="00725977" w:rsidRPr="00D4309F" w:rsidRDefault="00725977" w:rsidP="00AF12C0">
      <w:pPr>
        <w:pStyle w:val="Heading2"/>
      </w:pPr>
      <w:bookmarkStart w:id="508" w:name="_bookmark188"/>
      <w:bookmarkStart w:id="509" w:name="_Toc216699494"/>
      <w:bookmarkEnd w:id="508"/>
      <w:r w:rsidRPr="00D4309F">
        <w:lastRenderedPageBreak/>
        <w:t>Multi-criteria</w:t>
      </w:r>
      <w:r w:rsidRPr="00D4309F">
        <w:rPr>
          <w:spacing w:val="-13"/>
        </w:rPr>
        <w:t xml:space="preserve"> </w:t>
      </w:r>
      <w:r w:rsidRPr="00D4309F">
        <w:t>analysis</w:t>
      </w:r>
      <w:r w:rsidRPr="00D4309F">
        <w:rPr>
          <w:spacing w:val="-12"/>
        </w:rPr>
        <w:t xml:space="preserve"> </w:t>
      </w:r>
      <w:r w:rsidRPr="00D4309F">
        <w:t>for</w:t>
      </w:r>
      <w:r w:rsidRPr="00D4309F">
        <w:rPr>
          <w:spacing w:val="-13"/>
        </w:rPr>
        <w:t xml:space="preserve"> </w:t>
      </w:r>
      <w:r w:rsidRPr="00D4309F">
        <w:t>Option</w:t>
      </w:r>
      <w:r w:rsidRPr="00D4309F">
        <w:rPr>
          <w:spacing w:val="-13"/>
        </w:rPr>
        <w:t xml:space="preserve"> </w:t>
      </w:r>
      <w:r w:rsidRPr="00D4309F">
        <w:rPr>
          <w:spacing w:val="-10"/>
        </w:rPr>
        <w:t>4</w:t>
      </w:r>
      <w:bookmarkEnd w:id="509"/>
    </w:p>
    <w:p w14:paraId="0BC299E6" w14:textId="77777777" w:rsidR="00725977" w:rsidRDefault="00725977" w:rsidP="00725977">
      <w:pPr>
        <w:pStyle w:val="BodyText"/>
        <w:rPr>
          <w:spacing w:val="-2"/>
        </w:rPr>
      </w:pPr>
      <w:r w:rsidRPr="00D4309F">
        <w:t>The</w:t>
      </w:r>
      <w:r w:rsidRPr="00D4309F">
        <w:rPr>
          <w:spacing w:val="-4"/>
        </w:rPr>
        <w:t xml:space="preserve"> </w:t>
      </w:r>
      <w:r w:rsidRPr="00D4309F">
        <w:t>MCA</w:t>
      </w:r>
      <w:r w:rsidRPr="00D4309F">
        <w:rPr>
          <w:spacing w:val="-4"/>
        </w:rPr>
        <w:t xml:space="preserve"> </w:t>
      </w:r>
      <w:r w:rsidRPr="00D4309F">
        <w:t>scoring</w:t>
      </w:r>
      <w:r w:rsidRPr="00D4309F">
        <w:rPr>
          <w:spacing w:val="-3"/>
        </w:rPr>
        <w:t xml:space="preserve"> </w:t>
      </w:r>
      <w:r w:rsidRPr="00D4309F">
        <w:t>legend</w:t>
      </w:r>
      <w:r w:rsidRPr="00D4309F">
        <w:rPr>
          <w:spacing w:val="-3"/>
        </w:rPr>
        <w:t xml:space="preserve"> </w:t>
      </w:r>
      <w:r w:rsidRPr="00D4309F">
        <w:rPr>
          <w:spacing w:val="-2"/>
        </w:rPr>
        <w:t>follows:</w:t>
      </w:r>
    </w:p>
    <w:tbl>
      <w:tblPr>
        <w:tblStyle w:val="Table1"/>
        <w:tblW w:w="5000" w:type="pct"/>
        <w:tblLook w:val="0620" w:firstRow="1" w:lastRow="0" w:firstColumn="0" w:lastColumn="0" w:noHBand="1" w:noVBand="1"/>
      </w:tblPr>
      <w:tblGrid>
        <w:gridCol w:w="3856"/>
        <w:gridCol w:w="10716"/>
      </w:tblGrid>
      <w:tr w:rsidR="002A7828" w:rsidRPr="0078153E" w14:paraId="7C1C2DD7" w14:textId="77777777">
        <w:trPr>
          <w:cnfStyle w:val="100000000000" w:firstRow="1" w:lastRow="0" w:firstColumn="0" w:lastColumn="0" w:oddVBand="0" w:evenVBand="0" w:oddHBand="0" w:evenHBand="0" w:firstRowFirstColumn="0" w:firstRowLastColumn="0" w:lastRowFirstColumn="0" w:lastRowLastColumn="0"/>
          <w:tblHeader/>
        </w:trPr>
        <w:tc>
          <w:tcPr>
            <w:tcW w:w="1323" w:type="pct"/>
            <w:hideMark/>
          </w:tcPr>
          <w:p w14:paraId="2AB632C0" w14:textId="77777777" w:rsidR="002A7828" w:rsidRPr="0078153E" w:rsidRDefault="002A7828">
            <w:pPr>
              <w:pStyle w:val="Table-Heading"/>
            </w:pPr>
            <w:r>
              <w:t>Score</w:t>
            </w:r>
          </w:p>
        </w:tc>
        <w:tc>
          <w:tcPr>
            <w:tcW w:w="3677" w:type="pct"/>
          </w:tcPr>
          <w:p w14:paraId="2AC5AA1F" w14:textId="77777777" w:rsidR="002A7828" w:rsidRPr="0078153E" w:rsidRDefault="002A7828">
            <w:pPr>
              <w:pStyle w:val="Table-Heading"/>
            </w:pPr>
            <w:r>
              <w:t>Description of scores</w:t>
            </w:r>
          </w:p>
        </w:tc>
      </w:tr>
      <w:tr w:rsidR="002A7828" w14:paraId="666B2CDE" w14:textId="77777777">
        <w:tc>
          <w:tcPr>
            <w:tcW w:w="1323" w:type="pct"/>
            <w:tcBorders>
              <w:top w:val="single" w:sz="4" w:space="0" w:color="5F6369" w:themeColor="text2"/>
              <w:left w:val="nil"/>
              <w:bottom w:val="single" w:sz="4" w:space="0" w:color="5F6369" w:themeColor="text2"/>
              <w:right w:val="nil"/>
            </w:tcBorders>
          </w:tcPr>
          <w:p w14:paraId="6017955A" w14:textId="77777777" w:rsidR="002A7828" w:rsidRPr="007B7606" w:rsidRDefault="002A7828">
            <w:pPr>
              <w:pStyle w:val="Table-Text"/>
            </w:pPr>
            <w:r>
              <w:t>1</w:t>
            </w:r>
          </w:p>
        </w:tc>
        <w:tc>
          <w:tcPr>
            <w:tcW w:w="3677" w:type="pct"/>
            <w:tcBorders>
              <w:top w:val="single" w:sz="4" w:space="0" w:color="5F6369" w:themeColor="text2"/>
              <w:left w:val="nil"/>
              <w:bottom w:val="single" w:sz="4" w:space="0" w:color="5F6369" w:themeColor="text2"/>
              <w:right w:val="nil"/>
            </w:tcBorders>
          </w:tcPr>
          <w:p w14:paraId="03C98E77" w14:textId="77777777" w:rsidR="002A7828" w:rsidRPr="007B7606" w:rsidRDefault="002A7828">
            <w:pPr>
              <w:pStyle w:val="Table-Text"/>
            </w:pPr>
            <w:r w:rsidRPr="00D4309F">
              <w:rPr>
                <w:color w:val="211E1F"/>
              </w:rPr>
              <w:t>Worst</w:t>
            </w:r>
            <w:r w:rsidRPr="00D4309F">
              <w:rPr>
                <w:color w:val="211E1F"/>
                <w:spacing w:val="-6"/>
              </w:rPr>
              <w:t xml:space="preserve"> </w:t>
            </w:r>
            <w:r w:rsidRPr="00D4309F">
              <w:rPr>
                <w:color w:val="211E1F"/>
              </w:rPr>
              <w:t>performance</w:t>
            </w:r>
            <w:r w:rsidRPr="00D4309F">
              <w:rPr>
                <w:color w:val="211E1F"/>
                <w:spacing w:val="-4"/>
              </w:rPr>
              <w:t xml:space="preserve"> </w:t>
            </w:r>
            <w:r w:rsidRPr="00D4309F">
              <w:rPr>
                <w:color w:val="211E1F"/>
              </w:rPr>
              <w:t>or</w:t>
            </w:r>
            <w:r w:rsidRPr="00D4309F">
              <w:rPr>
                <w:color w:val="211E1F"/>
                <w:spacing w:val="-3"/>
              </w:rPr>
              <w:t xml:space="preserve"> </w:t>
            </w:r>
            <w:r w:rsidRPr="00D4309F">
              <w:rPr>
                <w:color w:val="211E1F"/>
              </w:rPr>
              <w:t>Significant</w:t>
            </w:r>
            <w:r w:rsidRPr="00D4309F">
              <w:rPr>
                <w:color w:val="211E1F"/>
                <w:spacing w:val="-3"/>
              </w:rPr>
              <w:t xml:space="preserve"> </w:t>
            </w:r>
            <w:r w:rsidRPr="00D4309F">
              <w:rPr>
                <w:color w:val="211E1F"/>
                <w:spacing w:val="-2"/>
              </w:rPr>
              <w:t>impacts</w:t>
            </w:r>
          </w:p>
        </w:tc>
      </w:tr>
      <w:tr w:rsidR="002A7828" w14:paraId="40C87375" w14:textId="77777777">
        <w:tc>
          <w:tcPr>
            <w:tcW w:w="1323" w:type="pct"/>
            <w:tcBorders>
              <w:top w:val="single" w:sz="4" w:space="0" w:color="5F6369" w:themeColor="text2"/>
              <w:left w:val="nil"/>
              <w:bottom w:val="single" w:sz="4" w:space="0" w:color="5F6369" w:themeColor="text2"/>
              <w:right w:val="nil"/>
            </w:tcBorders>
          </w:tcPr>
          <w:p w14:paraId="38A51EFC" w14:textId="77777777" w:rsidR="002A7828" w:rsidRDefault="002A7828">
            <w:pPr>
              <w:pStyle w:val="Table-Text"/>
              <w:rPr>
                <w:lang w:val="en-GB"/>
              </w:rPr>
            </w:pPr>
            <w:r>
              <w:rPr>
                <w:lang w:val="en-GB"/>
              </w:rPr>
              <w:t>2</w:t>
            </w:r>
          </w:p>
        </w:tc>
        <w:tc>
          <w:tcPr>
            <w:tcW w:w="3677" w:type="pct"/>
            <w:tcBorders>
              <w:top w:val="single" w:sz="4" w:space="0" w:color="5F6369" w:themeColor="text2"/>
              <w:left w:val="nil"/>
              <w:bottom w:val="single" w:sz="4" w:space="0" w:color="5F6369" w:themeColor="text2"/>
              <w:right w:val="nil"/>
            </w:tcBorders>
          </w:tcPr>
          <w:p w14:paraId="31A27753" w14:textId="77777777" w:rsidR="002A7828" w:rsidRPr="002A5F65" w:rsidRDefault="002A7828">
            <w:pPr>
              <w:pStyle w:val="Table-Text"/>
            </w:pPr>
            <w:r w:rsidRPr="00D4309F">
              <w:rPr>
                <w:color w:val="211E1F"/>
              </w:rPr>
              <w:t>Poor</w:t>
            </w:r>
            <w:r w:rsidRPr="00D4309F">
              <w:rPr>
                <w:color w:val="211E1F"/>
                <w:spacing w:val="-5"/>
              </w:rPr>
              <w:t xml:space="preserve"> </w:t>
            </w:r>
            <w:r w:rsidRPr="00D4309F">
              <w:rPr>
                <w:color w:val="211E1F"/>
              </w:rPr>
              <w:t>performance</w:t>
            </w:r>
            <w:r w:rsidRPr="00D4309F">
              <w:rPr>
                <w:color w:val="211E1F"/>
                <w:spacing w:val="-2"/>
              </w:rPr>
              <w:t xml:space="preserve"> </w:t>
            </w:r>
            <w:r w:rsidRPr="00D4309F">
              <w:rPr>
                <w:color w:val="211E1F"/>
              </w:rPr>
              <w:t>or</w:t>
            </w:r>
            <w:r w:rsidRPr="00D4309F">
              <w:rPr>
                <w:color w:val="211E1F"/>
                <w:spacing w:val="-2"/>
              </w:rPr>
              <w:t xml:space="preserve"> </w:t>
            </w:r>
            <w:r w:rsidRPr="00D4309F">
              <w:rPr>
                <w:color w:val="211E1F"/>
              </w:rPr>
              <w:t>Major</w:t>
            </w:r>
            <w:r w:rsidRPr="00D4309F">
              <w:rPr>
                <w:color w:val="211E1F"/>
                <w:spacing w:val="-2"/>
              </w:rPr>
              <w:t xml:space="preserve"> impacts</w:t>
            </w:r>
          </w:p>
        </w:tc>
      </w:tr>
      <w:tr w:rsidR="002A7828" w14:paraId="4396F51D" w14:textId="77777777">
        <w:tc>
          <w:tcPr>
            <w:tcW w:w="1323" w:type="pct"/>
            <w:tcBorders>
              <w:top w:val="single" w:sz="4" w:space="0" w:color="5F6369" w:themeColor="text2"/>
              <w:left w:val="nil"/>
              <w:bottom w:val="single" w:sz="4" w:space="0" w:color="5F6369" w:themeColor="text2"/>
              <w:right w:val="nil"/>
            </w:tcBorders>
          </w:tcPr>
          <w:p w14:paraId="65023435" w14:textId="77777777" w:rsidR="002A7828" w:rsidRDefault="002A7828">
            <w:pPr>
              <w:pStyle w:val="Table-Text"/>
              <w:rPr>
                <w:lang w:val="en-GB"/>
              </w:rPr>
            </w:pPr>
            <w:r>
              <w:rPr>
                <w:lang w:val="en-GB"/>
              </w:rPr>
              <w:t>3</w:t>
            </w:r>
          </w:p>
        </w:tc>
        <w:tc>
          <w:tcPr>
            <w:tcW w:w="3677" w:type="pct"/>
            <w:tcBorders>
              <w:top w:val="single" w:sz="4" w:space="0" w:color="5F6369" w:themeColor="text2"/>
              <w:left w:val="nil"/>
              <w:bottom w:val="single" w:sz="4" w:space="0" w:color="5F6369" w:themeColor="text2"/>
              <w:right w:val="nil"/>
            </w:tcBorders>
          </w:tcPr>
          <w:p w14:paraId="2099B3E4" w14:textId="77777777" w:rsidR="002A7828" w:rsidRDefault="002A7828">
            <w:pPr>
              <w:pStyle w:val="Table-Text"/>
              <w:rPr>
                <w:lang w:val="en-GB"/>
              </w:rPr>
            </w:pPr>
            <w:r w:rsidRPr="00D4309F">
              <w:rPr>
                <w:color w:val="211E1F"/>
              </w:rPr>
              <w:t>Average</w:t>
            </w:r>
            <w:r w:rsidRPr="00D4309F">
              <w:rPr>
                <w:color w:val="211E1F"/>
                <w:spacing w:val="-6"/>
              </w:rPr>
              <w:t xml:space="preserve"> </w:t>
            </w:r>
            <w:r w:rsidRPr="00D4309F">
              <w:rPr>
                <w:color w:val="211E1F"/>
              </w:rPr>
              <w:t>performance</w:t>
            </w:r>
            <w:r w:rsidRPr="00D4309F">
              <w:rPr>
                <w:color w:val="211E1F"/>
                <w:spacing w:val="-3"/>
              </w:rPr>
              <w:t xml:space="preserve"> </w:t>
            </w:r>
            <w:r w:rsidRPr="00D4309F">
              <w:rPr>
                <w:color w:val="211E1F"/>
              </w:rPr>
              <w:t>or</w:t>
            </w:r>
            <w:r w:rsidRPr="00D4309F">
              <w:rPr>
                <w:color w:val="211E1F"/>
                <w:spacing w:val="-4"/>
              </w:rPr>
              <w:t xml:space="preserve"> </w:t>
            </w:r>
            <w:r w:rsidRPr="00D4309F">
              <w:rPr>
                <w:color w:val="211E1F"/>
              </w:rPr>
              <w:t>Moderate</w:t>
            </w:r>
            <w:r w:rsidRPr="00D4309F">
              <w:rPr>
                <w:color w:val="211E1F"/>
                <w:spacing w:val="-3"/>
              </w:rPr>
              <w:t xml:space="preserve"> </w:t>
            </w:r>
            <w:r w:rsidRPr="00D4309F">
              <w:rPr>
                <w:color w:val="211E1F"/>
                <w:spacing w:val="-2"/>
              </w:rPr>
              <w:t>impacts</w:t>
            </w:r>
            <w:r w:rsidRPr="00D4309F">
              <w:rPr>
                <w:color w:val="211E1F"/>
              </w:rPr>
              <w:t xml:space="preserve"> Average</w:t>
            </w:r>
            <w:r w:rsidRPr="00D4309F">
              <w:rPr>
                <w:color w:val="211E1F"/>
                <w:spacing w:val="-6"/>
              </w:rPr>
              <w:t xml:space="preserve"> </w:t>
            </w:r>
            <w:r w:rsidRPr="00D4309F">
              <w:rPr>
                <w:color w:val="211E1F"/>
              </w:rPr>
              <w:t>performance</w:t>
            </w:r>
            <w:r w:rsidRPr="00D4309F">
              <w:rPr>
                <w:color w:val="211E1F"/>
                <w:spacing w:val="-3"/>
              </w:rPr>
              <w:t xml:space="preserve"> </w:t>
            </w:r>
            <w:r w:rsidRPr="00D4309F">
              <w:rPr>
                <w:color w:val="211E1F"/>
              </w:rPr>
              <w:t>or</w:t>
            </w:r>
            <w:r w:rsidRPr="00D4309F">
              <w:rPr>
                <w:color w:val="211E1F"/>
                <w:spacing w:val="-4"/>
              </w:rPr>
              <w:t xml:space="preserve"> </w:t>
            </w:r>
            <w:r w:rsidRPr="00D4309F">
              <w:rPr>
                <w:color w:val="211E1F"/>
              </w:rPr>
              <w:t>Moderate</w:t>
            </w:r>
            <w:r w:rsidRPr="00D4309F">
              <w:rPr>
                <w:color w:val="211E1F"/>
                <w:spacing w:val="-3"/>
              </w:rPr>
              <w:t xml:space="preserve"> </w:t>
            </w:r>
            <w:r w:rsidRPr="00D4309F">
              <w:rPr>
                <w:color w:val="211E1F"/>
                <w:spacing w:val="-2"/>
              </w:rPr>
              <w:t>impacts</w:t>
            </w:r>
          </w:p>
        </w:tc>
      </w:tr>
      <w:tr w:rsidR="002A7828" w14:paraId="6A74C0E8" w14:textId="77777777">
        <w:tc>
          <w:tcPr>
            <w:tcW w:w="1323" w:type="pct"/>
            <w:tcBorders>
              <w:top w:val="single" w:sz="4" w:space="0" w:color="5F6369" w:themeColor="text2"/>
              <w:left w:val="nil"/>
              <w:bottom w:val="single" w:sz="4" w:space="0" w:color="5F6369" w:themeColor="text2"/>
              <w:right w:val="nil"/>
            </w:tcBorders>
          </w:tcPr>
          <w:p w14:paraId="114637B9" w14:textId="77777777" w:rsidR="002A7828" w:rsidRDefault="002A7828">
            <w:pPr>
              <w:pStyle w:val="Table-Text"/>
              <w:rPr>
                <w:lang w:val="en-GB"/>
              </w:rPr>
            </w:pPr>
            <w:r>
              <w:rPr>
                <w:lang w:val="en-GB"/>
              </w:rPr>
              <w:t>4</w:t>
            </w:r>
          </w:p>
        </w:tc>
        <w:tc>
          <w:tcPr>
            <w:tcW w:w="3677" w:type="pct"/>
            <w:tcBorders>
              <w:top w:val="single" w:sz="4" w:space="0" w:color="5F6369" w:themeColor="text2"/>
              <w:left w:val="nil"/>
              <w:bottom w:val="single" w:sz="4" w:space="0" w:color="5F6369" w:themeColor="text2"/>
              <w:right w:val="nil"/>
            </w:tcBorders>
          </w:tcPr>
          <w:p w14:paraId="4DD4740C" w14:textId="77777777" w:rsidR="002A7828" w:rsidRDefault="002A7828">
            <w:pPr>
              <w:pStyle w:val="Table-Text"/>
              <w:rPr>
                <w:lang w:val="en-GB"/>
              </w:rPr>
            </w:pPr>
            <w:r w:rsidRPr="00D4309F">
              <w:rPr>
                <w:color w:val="211E1F"/>
              </w:rPr>
              <w:t>Good</w:t>
            </w:r>
            <w:r w:rsidRPr="00D4309F">
              <w:rPr>
                <w:color w:val="211E1F"/>
                <w:spacing w:val="-5"/>
              </w:rPr>
              <w:t xml:space="preserve"> </w:t>
            </w:r>
            <w:r w:rsidRPr="00D4309F">
              <w:rPr>
                <w:color w:val="211E1F"/>
              </w:rPr>
              <w:t>performance</w:t>
            </w:r>
            <w:r w:rsidRPr="00D4309F">
              <w:rPr>
                <w:color w:val="211E1F"/>
                <w:spacing w:val="-2"/>
              </w:rPr>
              <w:t xml:space="preserve"> </w:t>
            </w:r>
            <w:r w:rsidRPr="00D4309F">
              <w:rPr>
                <w:color w:val="211E1F"/>
              </w:rPr>
              <w:t>or</w:t>
            </w:r>
            <w:r w:rsidRPr="00D4309F">
              <w:rPr>
                <w:color w:val="211E1F"/>
                <w:spacing w:val="-2"/>
              </w:rPr>
              <w:t xml:space="preserve"> </w:t>
            </w:r>
            <w:r w:rsidRPr="00D4309F">
              <w:rPr>
                <w:color w:val="211E1F"/>
              </w:rPr>
              <w:t>Minor</w:t>
            </w:r>
            <w:r w:rsidRPr="00D4309F">
              <w:rPr>
                <w:color w:val="211E1F"/>
                <w:spacing w:val="-2"/>
              </w:rPr>
              <w:t xml:space="preserve"> impacts</w:t>
            </w:r>
          </w:p>
        </w:tc>
      </w:tr>
      <w:tr w:rsidR="002A7828" w14:paraId="1B7F2D75" w14:textId="77777777">
        <w:tc>
          <w:tcPr>
            <w:tcW w:w="1323" w:type="pct"/>
            <w:tcBorders>
              <w:top w:val="single" w:sz="4" w:space="0" w:color="5F6369" w:themeColor="text2"/>
              <w:left w:val="nil"/>
              <w:bottom w:val="single" w:sz="18" w:space="0" w:color="5F6369" w:themeColor="text2"/>
              <w:right w:val="nil"/>
            </w:tcBorders>
          </w:tcPr>
          <w:p w14:paraId="1C19683D" w14:textId="77777777" w:rsidR="002A7828" w:rsidRDefault="002A7828">
            <w:pPr>
              <w:pStyle w:val="Table-Text"/>
              <w:rPr>
                <w:lang w:val="en-GB"/>
              </w:rPr>
            </w:pPr>
            <w:r>
              <w:rPr>
                <w:lang w:val="en-GB"/>
              </w:rPr>
              <w:t>5</w:t>
            </w:r>
          </w:p>
        </w:tc>
        <w:tc>
          <w:tcPr>
            <w:tcW w:w="3677" w:type="pct"/>
            <w:tcBorders>
              <w:top w:val="single" w:sz="4" w:space="0" w:color="5F6369" w:themeColor="text2"/>
              <w:left w:val="nil"/>
              <w:bottom w:val="single" w:sz="18" w:space="0" w:color="5F6369" w:themeColor="text2"/>
              <w:right w:val="nil"/>
            </w:tcBorders>
          </w:tcPr>
          <w:p w14:paraId="15C0AB7A" w14:textId="77777777" w:rsidR="002A7828" w:rsidRDefault="002A7828">
            <w:pPr>
              <w:pStyle w:val="Table-Text"/>
              <w:rPr>
                <w:lang w:val="en-GB"/>
              </w:rPr>
            </w:pPr>
            <w:r w:rsidRPr="00D4309F">
              <w:rPr>
                <w:color w:val="211E1F"/>
              </w:rPr>
              <w:t>Excellent</w:t>
            </w:r>
            <w:r w:rsidRPr="00D4309F">
              <w:rPr>
                <w:color w:val="211E1F"/>
                <w:spacing w:val="-6"/>
              </w:rPr>
              <w:t xml:space="preserve"> </w:t>
            </w:r>
            <w:r w:rsidRPr="00D4309F">
              <w:rPr>
                <w:color w:val="211E1F"/>
              </w:rPr>
              <w:t>performance</w:t>
            </w:r>
            <w:r w:rsidRPr="00D4309F">
              <w:rPr>
                <w:color w:val="211E1F"/>
                <w:spacing w:val="-4"/>
              </w:rPr>
              <w:t xml:space="preserve"> </w:t>
            </w:r>
            <w:r w:rsidRPr="00D4309F">
              <w:rPr>
                <w:color w:val="211E1F"/>
              </w:rPr>
              <w:t>or</w:t>
            </w:r>
            <w:r w:rsidRPr="00D4309F">
              <w:rPr>
                <w:color w:val="211E1F"/>
                <w:spacing w:val="-4"/>
              </w:rPr>
              <w:t xml:space="preserve"> </w:t>
            </w:r>
            <w:r w:rsidRPr="00D4309F">
              <w:rPr>
                <w:color w:val="211E1F"/>
              </w:rPr>
              <w:t>Insignificant</w:t>
            </w:r>
            <w:r w:rsidRPr="00D4309F">
              <w:rPr>
                <w:color w:val="211E1F"/>
                <w:spacing w:val="-4"/>
              </w:rPr>
              <w:t xml:space="preserve"> </w:t>
            </w:r>
            <w:r w:rsidRPr="00D4309F">
              <w:rPr>
                <w:color w:val="211E1F"/>
                <w:spacing w:val="-2"/>
              </w:rPr>
              <w:t>impacts</w:t>
            </w:r>
          </w:p>
        </w:tc>
      </w:tr>
    </w:tbl>
    <w:p w14:paraId="55FEE835" w14:textId="77777777" w:rsidR="0019624B" w:rsidRPr="00D4309F" w:rsidRDefault="0019624B" w:rsidP="00D4229D">
      <w:pPr>
        <w:pStyle w:val="BodyText"/>
      </w:pPr>
    </w:p>
    <w:p w14:paraId="730D6252" w14:textId="28811A68" w:rsidR="00725977" w:rsidRDefault="00D4229D" w:rsidP="007774EC">
      <w:pPr>
        <w:pStyle w:val="Table-Caption"/>
        <w:rPr>
          <w:color w:val="211E1F"/>
          <w:spacing w:val="-2"/>
        </w:rPr>
      </w:pPr>
      <w:bookmarkStart w:id="510" w:name="_Toc216699583"/>
      <w:r>
        <w:t xml:space="preserve">Table </w:t>
      </w:r>
      <w:r w:rsidR="00151534">
        <w:fldChar w:fldCharType="begin" w:fldLock="1"/>
      </w:r>
      <w:r w:rsidR="00151534">
        <w:instrText xml:space="preserve"> STYLEREF 1 \s </w:instrText>
      </w:r>
      <w:r w:rsidR="00151534">
        <w:fldChar w:fldCharType="separate"/>
      </w:r>
      <w:r w:rsidR="00151534">
        <w:rPr>
          <w:noProof/>
        </w:rPr>
        <w:t>16</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4</w:t>
      </w:r>
      <w:r w:rsidR="00151534">
        <w:fldChar w:fldCharType="end"/>
      </w:r>
      <w:r>
        <w:t>:</w:t>
      </w:r>
      <w:r>
        <w:tab/>
      </w:r>
      <w:r w:rsidRPr="00D4309F">
        <w:rPr>
          <w:color w:val="211E1F"/>
        </w:rPr>
        <w:t>Option</w:t>
      </w:r>
      <w:r w:rsidRPr="00D4309F">
        <w:rPr>
          <w:color w:val="211E1F"/>
          <w:spacing w:val="-1"/>
        </w:rPr>
        <w:t xml:space="preserve"> </w:t>
      </w:r>
      <w:r w:rsidRPr="00D4309F">
        <w:rPr>
          <w:color w:val="211E1F"/>
        </w:rPr>
        <w:t>4</w:t>
      </w:r>
      <w:r w:rsidRPr="00D4309F">
        <w:rPr>
          <w:color w:val="211E1F"/>
          <w:spacing w:val="-2"/>
        </w:rPr>
        <w:t xml:space="preserve"> </w:t>
      </w:r>
      <w:r w:rsidRPr="00D4309F">
        <w:rPr>
          <w:color w:val="211E1F"/>
        </w:rPr>
        <w:t xml:space="preserve">MCA </w:t>
      </w:r>
      <w:r w:rsidRPr="00D4309F">
        <w:rPr>
          <w:color w:val="211E1F"/>
          <w:spacing w:val="-2"/>
        </w:rPr>
        <w:t>Scoring</w:t>
      </w:r>
      <w:bookmarkEnd w:id="510"/>
    </w:p>
    <w:tbl>
      <w:tblPr>
        <w:tblStyle w:val="Table1"/>
        <w:tblW w:w="5000" w:type="pct"/>
        <w:tblLook w:val="04A0" w:firstRow="1" w:lastRow="0" w:firstColumn="1" w:lastColumn="0" w:noHBand="0" w:noVBand="1"/>
      </w:tblPr>
      <w:tblGrid>
        <w:gridCol w:w="2920"/>
        <w:gridCol w:w="9988"/>
        <w:gridCol w:w="1664"/>
      </w:tblGrid>
      <w:tr w:rsidR="00785E37" w:rsidRPr="00D4309F" w14:paraId="61FA2A87" w14:textId="77777777">
        <w:trPr>
          <w:cnfStyle w:val="100000000000" w:firstRow="1" w:lastRow="0" w:firstColumn="0" w:lastColumn="0" w:oddVBand="0" w:evenVBand="0" w:oddHBand="0" w:evenHBand="0" w:firstRowFirstColumn="0" w:firstRowLastColumn="0" w:lastRowFirstColumn="0" w:lastRowLastColumn="0"/>
          <w:trHeight w:val="286"/>
          <w:tblHeader/>
        </w:trPr>
        <w:tc>
          <w:tcPr>
            <w:tcW w:w="1002" w:type="pct"/>
          </w:tcPr>
          <w:p w14:paraId="2BD7A87D" w14:textId="77777777" w:rsidR="00785E37" w:rsidRPr="00D4309F" w:rsidRDefault="00785E37">
            <w:pPr>
              <w:pStyle w:val="TableParagraph"/>
              <w:spacing w:before="40"/>
              <w:ind w:left="165"/>
              <w:rPr>
                <w:b/>
                <w:sz w:val="18"/>
              </w:rPr>
            </w:pPr>
            <w:r w:rsidRPr="00D4309F">
              <w:rPr>
                <w:b/>
                <w:color w:val="70004A"/>
                <w:sz w:val="18"/>
              </w:rPr>
              <w:t>MCA</w:t>
            </w:r>
            <w:r w:rsidRPr="00D4309F">
              <w:rPr>
                <w:b/>
                <w:color w:val="70004A"/>
                <w:spacing w:val="-3"/>
                <w:sz w:val="18"/>
              </w:rPr>
              <w:t xml:space="preserve"> </w:t>
            </w:r>
            <w:r w:rsidRPr="00D4309F">
              <w:rPr>
                <w:b/>
                <w:color w:val="70004A"/>
                <w:spacing w:val="-2"/>
                <w:sz w:val="18"/>
              </w:rPr>
              <w:t>Category</w:t>
            </w:r>
          </w:p>
        </w:tc>
        <w:tc>
          <w:tcPr>
            <w:tcW w:w="3427" w:type="pct"/>
          </w:tcPr>
          <w:p w14:paraId="0B679B9B" w14:textId="77777777" w:rsidR="00785E37" w:rsidRPr="00D4309F" w:rsidRDefault="00785E37">
            <w:pPr>
              <w:pStyle w:val="TableParagraph"/>
              <w:spacing w:before="40"/>
              <w:ind w:left="165"/>
              <w:rPr>
                <w:b/>
                <w:sz w:val="18"/>
              </w:rPr>
            </w:pPr>
            <w:r w:rsidRPr="00D4309F">
              <w:rPr>
                <w:b/>
                <w:color w:val="70004A"/>
                <w:sz w:val="18"/>
              </w:rPr>
              <w:t>MCA</w:t>
            </w:r>
            <w:r w:rsidRPr="00D4309F">
              <w:rPr>
                <w:b/>
                <w:color w:val="70004A"/>
                <w:spacing w:val="-1"/>
                <w:sz w:val="18"/>
              </w:rPr>
              <w:t xml:space="preserve"> </w:t>
            </w:r>
            <w:r w:rsidRPr="00D4309F">
              <w:rPr>
                <w:b/>
                <w:color w:val="70004A"/>
                <w:spacing w:val="-2"/>
                <w:sz w:val="18"/>
              </w:rPr>
              <w:t>criteria</w:t>
            </w:r>
          </w:p>
        </w:tc>
        <w:tc>
          <w:tcPr>
            <w:tcW w:w="571" w:type="pct"/>
          </w:tcPr>
          <w:p w14:paraId="20C934C5" w14:textId="77777777" w:rsidR="00785E37" w:rsidRPr="00D4309F" w:rsidRDefault="00785E37">
            <w:pPr>
              <w:pStyle w:val="TableParagraph"/>
              <w:spacing w:before="40"/>
              <w:ind w:left="485"/>
              <w:rPr>
                <w:b/>
                <w:sz w:val="18"/>
              </w:rPr>
            </w:pPr>
            <w:r w:rsidRPr="00D4309F">
              <w:rPr>
                <w:b/>
                <w:color w:val="70004A"/>
                <w:spacing w:val="-2"/>
                <w:sz w:val="18"/>
              </w:rPr>
              <w:t>Score</w:t>
            </w:r>
          </w:p>
        </w:tc>
      </w:tr>
      <w:tr w:rsidR="00785E37" w:rsidRPr="00D4309F" w14:paraId="172CE01A" w14:textId="77777777">
        <w:trPr>
          <w:trHeight w:val="494"/>
        </w:trPr>
        <w:tc>
          <w:tcPr>
            <w:tcW w:w="1002" w:type="pct"/>
            <w:vMerge w:val="restart"/>
          </w:tcPr>
          <w:p w14:paraId="553E6963" w14:textId="77777777" w:rsidR="00785E37" w:rsidRPr="00D4309F" w:rsidRDefault="00785E37" w:rsidP="00785E37">
            <w:pPr>
              <w:pStyle w:val="TableParagraph"/>
              <w:spacing w:before="39"/>
              <w:ind w:left="165"/>
              <w:rPr>
                <w:b/>
                <w:sz w:val="18"/>
              </w:rPr>
            </w:pPr>
            <w:r w:rsidRPr="00D4309F">
              <w:rPr>
                <w:b/>
                <w:color w:val="211E1F"/>
                <w:sz w:val="18"/>
              </w:rPr>
              <w:t>Coastal</w:t>
            </w:r>
            <w:r w:rsidRPr="00D4309F">
              <w:rPr>
                <w:b/>
                <w:color w:val="211E1F"/>
                <w:spacing w:val="-4"/>
                <w:sz w:val="18"/>
              </w:rPr>
              <w:t xml:space="preserve"> </w:t>
            </w:r>
            <w:r w:rsidRPr="00D4309F">
              <w:rPr>
                <w:b/>
                <w:color w:val="211E1F"/>
                <w:spacing w:val="-2"/>
                <w:sz w:val="18"/>
              </w:rPr>
              <w:t>engineering</w:t>
            </w:r>
          </w:p>
        </w:tc>
        <w:tc>
          <w:tcPr>
            <w:tcW w:w="3427" w:type="pct"/>
          </w:tcPr>
          <w:p w14:paraId="565DEDD4" w14:textId="77777777" w:rsidR="00785E37" w:rsidRPr="00D4309F" w:rsidRDefault="00785E37" w:rsidP="00785E37">
            <w:pPr>
              <w:pStyle w:val="TableParagraph"/>
              <w:spacing w:before="39"/>
              <w:ind w:left="166"/>
              <w:rPr>
                <w:sz w:val="18"/>
              </w:rPr>
            </w:pPr>
            <w:r w:rsidRPr="00D4309F">
              <w:rPr>
                <w:color w:val="211E1F"/>
                <w:sz w:val="18"/>
              </w:rPr>
              <w:t>Effectiveness:</w:t>
            </w:r>
            <w:r w:rsidRPr="00D4309F">
              <w:rPr>
                <w:color w:val="211E1F"/>
                <w:spacing w:val="-2"/>
                <w:sz w:val="18"/>
              </w:rPr>
              <w:t xml:space="preserve"> </w:t>
            </w:r>
            <w:r w:rsidRPr="00D4309F">
              <w:rPr>
                <w:color w:val="211E1F"/>
                <w:sz w:val="18"/>
              </w:rPr>
              <w:t>Likely</w:t>
            </w:r>
            <w:r w:rsidRPr="00D4309F">
              <w:rPr>
                <w:color w:val="211E1F"/>
                <w:spacing w:val="-1"/>
                <w:sz w:val="18"/>
              </w:rPr>
              <w:t xml:space="preserve"> </w:t>
            </w:r>
            <w:r w:rsidRPr="00D4309F">
              <w:rPr>
                <w:color w:val="211E1F"/>
                <w:sz w:val="18"/>
              </w:rPr>
              <w:t>ability</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shift</w:t>
            </w:r>
            <w:r w:rsidRPr="00D4309F">
              <w:rPr>
                <w:color w:val="211E1F"/>
                <w:spacing w:val="-2"/>
                <w:sz w:val="18"/>
              </w:rPr>
              <w:t xml:space="preserve"> </w:t>
            </w:r>
            <w:r w:rsidRPr="00D4309F">
              <w:rPr>
                <w:color w:val="211E1F"/>
                <w:sz w:val="18"/>
              </w:rPr>
              <w:t>enough</w:t>
            </w:r>
            <w:r w:rsidRPr="00D4309F">
              <w:rPr>
                <w:color w:val="211E1F"/>
                <w:spacing w:val="-3"/>
                <w:sz w:val="18"/>
              </w:rPr>
              <w:t xml:space="preserve"> </w:t>
            </w:r>
            <w:r w:rsidRPr="00D4309F">
              <w:rPr>
                <w:color w:val="211E1F"/>
                <w:sz w:val="18"/>
              </w:rPr>
              <w:t>sand</w:t>
            </w:r>
            <w:r w:rsidRPr="00D4309F">
              <w:rPr>
                <w:color w:val="211E1F"/>
                <w:spacing w:val="-3"/>
                <w:sz w:val="18"/>
              </w:rPr>
              <w:t xml:space="preserve"> </w:t>
            </w:r>
            <w:r w:rsidRPr="00D4309F">
              <w:rPr>
                <w:color w:val="211E1F"/>
                <w:sz w:val="18"/>
              </w:rPr>
              <w:t>past</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entrance</w:t>
            </w:r>
            <w:r w:rsidRPr="00D4309F">
              <w:rPr>
                <w:color w:val="211E1F"/>
                <w:spacing w:val="-3"/>
                <w:sz w:val="18"/>
              </w:rPr>
              <w:t xml:space="preserve"> </w:t>
            </w:r>
            <w:r w:rsidRPr="00D4309F">
              <w:rPr>
                <w:color w:val="211E1F"/>
                <w:sz w:val="18"/>
              </w:rPr>
              <w:t>(bypassing</w:t>
            </w:r>
            <w:r w:rsidRPr="00D4309F">
              <w:rPr>
                <w:color w:val="211E1F"/>
                <w:spacing w:val="-3"/>
                <w:sz w:val="18"/>
              </w:rPr>
              <w:t xml:space="preserve"> </w:t>
            </w:r>
            <w:r w:rsidRPr="00D4309F">
              <w:rPr>
                <w:color w:val="211E1F"/>
                <w:sz w:val="18"/>
              </w:rPr>
              <w:t>efficiency,</w:t>
            </w:r>
            <w:r w:rsidRPr="00D4309F">
              <w:rPr>
                <w:color w:val="211E1F"/>
                <w:spacing w:val="-2"/>
                <w:sz w:val="18"/>
              </w:rPr>
              <w:t xml:space="preserve"> </w:t>
            </w:r>
            <w:r w:rsidRPr="00D4309F">
              <w:rPr>
                <w:color w:val="211E1F"/>
                <w:sz w:val="18"/>
              </w:rPr>
              <w:t>trap</w:t>
            </w:r>
            <w:r w:rsidRPr="00D4309F">
              <w:rPr>
                <w:color w:val="211E1F"/>
                <w:spacing w:val="-3"/>
                <w:sz w:val="18"/>
              </w:rPr>
              <w:t xml:space="preserve"> </w:t>
            </w:r>
            <w:r w:rsidRPr="00D4309F">
              <w:rPr>
                <w:color w:val="211E1F"/>
                <w:sz w:val="18"/>
              </w:rPr>
              <w:t>capture</w:t>
            </w:r>
            <w:r w:rsidRPr="00D4309F">
              <w:rPr>
                <w:color w:val="211E1F"/>
                <w:spacing w:val="-3"/>
                <w:sz w:val="18"/>
              </w:rPr>
              <w:t xml:space="preserve"> </w:t>
            </w:r>
            <w:r w:rsidRPr="00D4309F">
              <w:rPr>
                <w:color w:val="211E1F"/>
                <w:sz w:val="18"/>
              </w:rPr>
              <w:t>rate,</w:t>
            </w:r>
            <w:r w:rsidRPr="00D4309F">
              <w:rPr>
                <w:color w:val="211E1F"/>
                <w:spacing w:val="-2"/>
                <w:sz w:val="18"/>
              </w:rPr>
              <w:t xml:space="preserve"> </w:t>
            </w:r>
            <w:r w:rsidRPr="00D4309F">
              <w:rPr>
                <w:color w:val="211E1F"/>
                <w:sz w:val="18"/>
              </w:rPr>
              <w:t>reduction</w:t>
            </w:r>
            <w:r w:rsidRPr="00D4309F">
              <w:rPr>
                <w:color w:val="211E1F"/>
                <w:spacing w:val="-3"/>
                <w:sz w:val="18"/>
              </w:rPr>
              <w:t xml:space="preserve"> </w:t>
            </w:r>
            <w:r w:rsidRPr="00D4309F">
              <w:rPr>
                <w:color w:val="211E1F"/>
                <w:sz w:val="18"/>
              </w:rPr>
              <w:t>in</w:t>
            </w:r>
            <w:r w:rsidRPr="00D4309F">
              <w:rPr>
                <w:color w:val="211E1F"/>
                <w:spacing w:val="-3"/>
                <w:sz w:val="18"/>
              </w:rPr>
              <w:t xml:space="preserve"> </w:t>
            </w:r>
            <w:r w:rsidRPr="00D4309F">
              <w:rPr>
                <w:color w:val="211E1F"/>
                <w:sz w:val="18"/>
              </w:rPr>
              <w:t>shoal frequency/magnitude, entrance depth reliability).</w:t>
            </w:r>
          </w:p>
        </w:tc>
        <w:tc>
          <w:tcPr>
            <w:tcW w:w="571" w:type="pct"/>
          </w:tcPr>
          <w:p w14:paraId="6C79C950" w14:textId="57533657" w:rsidR="00785E37" w:rsidRPr="0019624B" w:rsidRDefault="00785E37" w:rsidP="00785E37">
            <w:pPr>
              <w:pStyle w:val="TableParagraph"/>
              <w:spacing w:before="39"/>
              <w:ind w:left="485"/>
              <w:rPr>
                <w:bCs/>
                <w:sz w:val="18"/>
              </w:rPr>
            </w:pPr>
            <w:r w:rsidRPr="00D4309F">
              <w:rPr>
                <w:color w:val="211E1F"/>
                <w:spacing w:val="-10"/>
                <w:sz w:val="18"/>
              </w:rPr>
              <w:t>3</w:t>
            </w:r>
          </w:p>
        </w:tc>
      </w:tr>
      <w:tr w:rsidR="00785E37" w:rsidRPr="00D4309F" w14:paraId="27493428" w14:textId="77777777">
        <w:trPr>
          <w:trHeight w:val="286"/>
        </w:trPr>
        <w:tc>
          <w:tcPr>
            <w:tcW w:w="1002" w:type="pct"/>
            <w:vMerge/>
          </w:tcPr>
          <w:p w14:paraId="2F9DF76C" w14:textId="77777777" w:rsidR="00785E37" w:rsidRPr="00D4309F" w:rsidRDefault="00785E37" w:rsidP="00785E37">
            <w:pPr>
              <w:pStyle w:val="TableParagraph"/>
              <w:rPr>
                <w:rFonts w:ascii="Times New Roman"/>
                <w:sz w:val="18"/>
              </w:rPr>
            </w:pPr>
          </w:p>
        </w:tc>
        <w:tc>
          <w:tcPr>
            <w:tcW w:w="3427" w:type="pct"/>
          </w:tcPr>
          <w:p w14:paraId="5A29C9FE" w14:textId="77777777" w:rsidR="00785E37" w:rsidRPr="00D4309F" w:rsidRDefault="00785E37" w:rsidP="00785E37">
            <w:pPr>
              <w:pStyle w:val="TableParagraph"/>
              <w:spacing w:before="39"/>
              <w:ind w:left="165"/>
              <w:rPr>
                <w:sz w:val="18"/>
              </w:rPr>
            </w:pPr>
            <w:r w:rsidRPr="00D4309F">
              <w:rPr>
                <w:color w:val="211E1F"/>
                <w:sz w:val="18"/>
              </w:rPr>
              <w:t>Impacts</w:t>
            </w:r>
            <w:r w:rsidRPr="00D4309F">
              <w:rPr>
                <w:color w:val="211E1F"/>
                <w:spacing w:val="-5"/>
                <w:sz w:val="18"/>
              </w:rPr>
              <w:t xml:space="preserve"> </w:t>
            </w:r>
            <w:r w:rsidRPr="00D4309F">
              <w:rPr>
                <w:color w:val="211E1F"/>
                <w:sz w:val="18"/>
              </w:rPr>
              <w:t>on</w:t>
            </w:r>
            <w:r w:rsidRPr="00D4309F">
              <w:rPr>
                <w:color w:val="211E1F"/>
                <w:spacing w:val="-2"/>
                <w:sz w:val="18"/>
              </w:rPr>
              <w:t xml:space="preserve"> </w:t>
            </w:r>
            <w:r w:rsidRPr="00D4309F">
              <w:rPr>
                <w:color w:val="211E1F"/>
                <w:sz w:val="18"/>
              </w:rPr>
              <w:t>coastal</w:t>
            </w:r>
            <w:r w:rsidRPr="00D4309F">
              <w:rPr>
                <w:color w:val="211E1F"/>
                <w:spacing w:val="-2"/>
                <w:sz w:val="18"/>
              </w:rPr>
              <w:t xml:space="preserve"> </w:t>
            </w:r>
            <w:r w:rsidRPr="00D4309F">
              <w:rPr>
                <w:color w:val="211E1F"/>
                <w:sz w:val="18"/>
              </w:rPr>
              <w:t>processes:</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level</w:t>
            </w:r>
            <w:r w:rsidRPr="00D4309F">
              <w:rPr>
                <w:color w:val="211E1F"/>
                <w:spacing w:val="-2"/>
                <w:sz w:val="18"/>
              </w:rPr>
              <w:t xml:space="preserve"> </w:t>
            </w:r>
            <w:r w:rsidRPr="00D4309F">
              <w:rPr>
                <w:color w:val="211E1F"/>
                <w:sz w:val="18"/>
              </w:rPr>
              <w:t>in</w:t>
            </w:r>
            <w:r w:rsidRPr="00D4309F">
              <w:rPr>
                <w:color w:val="211E1F"/>
                <w:spacing w:val="-3"/>
                <w:sz w:val="18"/>
              </w:rPr>
              <w:t xml:space="preserve"> </w:t>
            </w:r>
            <w:r w:rsidRPr="00D4309F">
              <w:rPr>
                <w:color w:val="211E1F"/>
                <w:sz w:val="18"/>
              </w:rPr>
              <w:t>which</w:t>
            </w:r>
            <w:r w:rsidRPr="00D4309F">
              <w:rPr>
                <w:color w:val="211E1F"/>
                <w:spacing w:val="-3"/>
                <w:sz w:val="18"/>
              </w:rPr>
              <w:t xml:space="preserve"> </w:t>
            </w:r>
            <w:r w:rsidRPr="00D4309F">
              <w:rPr>
                <w:color w:val="211E1F"/>
                <w:sz w:val="18"/>
              </w:rPr>
              <w:t>it</w:t>
            </w:r>
            <w:r w:rsidRPr="00D4309F">
              <w:rPr>
                <w:color w:val="211E1F"/>
                <w:spacing w:val="-2"/>
                <w:sz w:val="18"/>
              </w:rPr>
              <w:t xml:space="preserve"> </w:t>
            </w:r>
            <w:r w:rsidRPr="00D4309F">
              <w:rPr>
                <w:color w:val="211E1F"/>
                <w:sz w:val="18"/>
              </w:rPr>
              <w:t>changes</w:t>
            </w:r>
            <w:r w:rsidRPr="00D4309F">
              <w:rPr>
                <w:color w:val="211E1F"/>
                <w:spacing w:val="-1"/>
                <w:sz w:val="18"/>
              </w:rPr>
              <w:t xml:space="preserve"> </w:t>
            </w:r>
            <w:r w:rsidRPr="00D4309F">
              <w:rPr>
                <w:color w:val="211E1F"/>
                <w:sz w:val="18"/>
              </w:rPr>
              <w:t>or</w:t>
            </w:r>
            <w:r w:rsidRPr="00D4309F">
              <w:rPr>
                <w:color w:val="211E1F"/>
                <w:spacing w:val="-2"/>
                <w:sz w:val="18"/>
              </w:rPr>
              <w:t xml:space="preserve"> </w:t>
            </w:r>
            <w:r w:rsidRPr="00D4309F">
              <w:rPr>
                <w:color w:val="211E1F"/>
                <w:sz w:val="18"/>
              </w:rPr>
              <w:t>has</w:t>
            </w:r>
            <w:r w:rsidRPr="00D4309F">
              <w:rPr>
                <w:color w:val="211E1F"/>
                <w:spacing w:val="-3"/>
                <w:sz w:val="18"/>
              </w:rPr>
              <w:t xml:space="preserve"> </w:t>
            </w:r>
            <w:r w:rsidRPr="00D4309F">
              <w:rPr>
                <w:color w:val="211E1F"/>
                <w:sz w:val="18"/>
              </w:rPr>
              <w:t>negative</w:t>
            </w:r>
            <w:r w:rsidRPr="00D4309F">
              <w:rPr>
                <w:color w:val="211E1F"/>
                <w:spacing w:val="-2"/>
                <w:sz w:val="18"/>
              </w:rPr>
              <w:t xml:space="preserve"> </w:t>
            </w:r>
            <w:r w:rsidRPr="00D4309F">
              <w:rPr>
                <w:color w:val="211E1F"/>
                <w:sz w:val="18"/>
              </w:rPr>
              <w:t>impacts</w:t>
            </w:r>
            <w:r w:rsidRPr="00D4309F">
              <w:rPr>
                <w:color w:val="211E1F"/>
                <w:spacing w:val="-2"/>
                <w:sz w:val="18"/>
              </w:rPr>
              <w:t xml:space="preserve"> </w:t>
            </w:r>
            <w:r w:rsidRPr="00D4309F">
              <w:rPr>
                <w:color w:val="211E1F"/>
                <w:sz w:val="18"/>
              </w:rPr>
              <w:t>on</w:t>
            </w:r>
            <w:r w:rsidRPr="00D4309F">
              <w:rPr>
                <w:color w:val="211E1F"/>
                <w:spacing w:val="-3"/>
                <w:sz w:val="18"/>
              </w:rPr>
              <w:t xml:space="preserve"> </w:t>
            </w:r>
            <w:r w:rsidRPr="00D4309F">
              <w:rPr>
                <w:color w:val="211E1F"/>
                <w:sz w:val="18"/>
              </w:rPr>
              <w:t>existing</w:t>
            </w:r>
            <w:r w:rsidRPr="00D4309F">
              <w:rPr>
                <w:color w:val="211E1F"/>
                <w:spacing w:val="-3"/>
                <w:sz w:val="18"/>
              </w:rPr>
              <w:t xml:space="preserve"> </w:t>
            </w:r>
            <w:r w:rsidRPr="00D4309F">
              <w:rPr>
                <w:color w:val="211E1F"/>
                <w:sz w:val="18"/>
              </w:rPr>
              <w:t>coastal</w:t>
            </w:r>
            <w:r w:rsidRPr="00D4309F">
              <w:rPr>
                <w:color w:val="211E1F"/>
                <w:spacing w:val="-1"/>
                <w:sz w:val="18"/>
              </w:rPr>
              <w:t xml:space="preserve"> </w:t>
            </w:r>
            <w:r w:rsidRPr="00D4309F">
              <w:rPr>
                <w:color w:val="211E1F"/>
                <w:spacing w:val="-2"/>
                <w:sz w:val="18"/>
              </w:rPr>
              <w:t>processes</w:t>
            </w:r>
          </w:p>
        </w:tc>
        <w:tc>
          <w:tcPr>
            <w:tcW w:w="571" w:type="pct"/>
          </w:tcPr>
          <w:p w14:paraId="1036F45C" w14:textId="14F4BDE2" w:rsidR="00785E37" w:rsidRPr="0019624B" w:rsidRDefault="00785E37" w:rsidP="00785E37">
            <w:pPr>
              <w:pStyle w:val="TableParagraph"/>
              <w:spacing w:before="39"/>
              <w:ind w:left="485"/>
              <w:rPr>
                <w:bCs/>
                <w:sz w:val="18"/>
              </w:rPr>
            </w:pPr>
            <w:r w:rsidRPr="00D4309F">
              <w:rPr>
                <w:color w:val="211E1F"/>
                <w:spacing w:val="-10"/>
                <w:sz w:val="18"/>
              </w:rPr>
              <w:t>4</w:t>
            </w:r>
          </w:p>
        </w:tc>
      </w:tr>
      <w:tr w:rsidR="00785E37" w:rsidRPr="00D4309F" w14:paraId="667CEA4D" w14:textId="77777777">
        <w:trPr>
          <w:trHeight w:val="287"/>
        </w:trPr>
        <w:tc>
          <w:tcPr>
            <w:tcW w:w="1002" w:type="pct"/>
            <w:vMerge/>
          </w:tcPr>
          <w:p w14:paraId="3E62A7FD" w14:textId="77777777" w:rsidR="00785E37" w:rsidRPr="00D4309F" w:rsidRDefault="00785E37" w:rsidP="00785E37">
            <w:pPr>
              <w:pStyle w:val="TableParagraph"/>
              <w:rPr>
                <w:rFonts w:ascii="Times New Roman"/>
                <w:sz w:val="18"/>
              </w:rPr>
            </w:pPr>
          </w:p>
        </w:tc>
        <w:tc>
          <w:tcPr>
            <w:tcW w:w="3427" w:type="pct"/>
          </w:tcPr>
          <w:p w14:paraId="69D37D5C" w14:textId="77777777" w:rsidR="00785E37" w:rsidRPr="00D4309F" w:rsidRDefault="00785E37" w:rsidP="00785E37">
            <w:pPr>
              <w:pStyle w:val="TableParagraph"/>
              <w:spacing w:before="41"/>
              <w:ind w:left="165"/>
              <w:rPr>
                <w:sz w:val="18"/>
              </w:rPr>
            </w:pPr>
            <w:r w:rsidRPr="00D4309F">
              <w:rPr>
                <w:color w:val="211E1F"/>
                <w:sz w:val="18"/>
              </w:rPr>
              <w:t>Design</w:t>
            </w:r>
            <w:r w:rsidRPr="00D4309F">
              <w:rPr>
                <w:color w:val="211E1F"/>
                <w:spacing w:val="-5"/>
                <w:sz w:val="18"/>
              </w:rPr>
              <w:t xml:space="preserve"> </w:t>
            </w:r>
            <w:r w:rsidRPr="00D4309F">
              <w:rPr>
                <w:color w:val="211E1F"/>
                <w:sz w:val="18"/>
              </w:rPr>
              <w:t>and</w:t>
            </w:r>
            <w:r w:rsidRPr="00D4309F">
              <w:rPr>
                <w:color w:val="211E1F"/>
                <w:spacing w:val="-3"/>
                <w:sz w:val="18"/>
              </w:rPr>
              <w:t xml:space="preserve"> </w:t>
            </w:r>
            <w:r w:rsidRPr="00D4309F">
              <w:rPr>
                <w:color w:val="211E1F"/>
                <w:sz w:val="18"/>
              </w:rPr>
              <w:t>approvals:</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far</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option</w:t>
            </w:r>
            <w:r w:rsidRPr="00D4309F">
              <w:rPr>
                <w:color w:val="211E1F"/>
                <w:spacing w:val="-1"/>
                <w:sz w:val="18"/>
              </w:rPr>
              <w:t xml:space="preserve"> </w:t>
            </w:r>
            <w:r w:rsidRPr="00D4309F">
              <w:rPr>
                <w:color w:val="211E1F"/>
                <w:sz w:val="18"/>
              </w:rPr>
              <w:t>progressed</w:t>
            </w:r>
            <w:r w:rsidRPr="00D4309F">
              <w:rPr>
                <w:color w:val="211E1F"/>
                <w:spacing w:val="-3"/>
                <w:sz w:val="18"/>
              </w:rPr>
              <w:t xml:space="preserve"> </w:t>
            </w:r>
            <w:r w:rsidRPr="00D4309F">
              <w:rPr>
                <w:color w:val="211E1F"/>
                <w:sz w:val="18"/>
              </w:rPr>
              <w:t>with</w:t>
            </w:r>
            <w:r w:rsidRPr="00D4309F">
              <w:rPr>
                <w:color w:val="211E1F"/>
                <w:spacing w:val="-3"/>
                <w:sz w:val="18"/>
              </w:rPr>
              <w:t xml:space="preserve"> </w:t>
            </w:r>
            <w:r w:rsidRPr="00D4309F">
              <w:rPr>
                <w:color w:val="211E1F"/>
                <w:sz w:val="18"/>
              </w:rPr>
              <w:t>design</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approvals</w:t>
            </w:r>
            <w:r w:rsidRPr="00D4309F">
              <w:rPr>
                <w:color w:val="211E1F"/>
                <w:spacing w:val="-2"/>
                <w:sz w:val="18"/>
              </w:rPr>
              <w:t xml:space="preserve"> </w:t>
            </w:r>
            <w:r w:rsidRPr="00D4309F">
              <w:rPr>
                <w:color w:val="211E1F"/>
                <w:sz w:val="18"/>
              </w:rPr>
              <w:t>and</w:t>
            </w:r>
            <w:r w:rsidRPr="00D4309F">
              <w:rPr>
                <w:color w:val="211E1F"/>
                <w:spacing w:val="-3"/>
                <w:sz w:val="18"/>
              </w:rPr>
              <w:t xml:space="preserve"> </w:t>
            </w:r>
            <w:r w:rsidRPr="00D4309F">
              <w:rPr>
                <w:color w:val="211E1F"/>
                <w:sz w:val="18"/>
              </w:rPr>
              <w:t>how</w:t>
            </w:r>
            <w:r w:rsidRPr="00D4309F">
              <w:rPr>
                <w:color w:val="211E1F"/>
                <w:spacing w:val="-2"/>
                <w:sz w:val="18"/>
              </w:rPr>
              <w:t xml:space="preserve"> </w:t>
            </w:r>
            <w:r w:rsidRPr="00D4309F">
              <w:rPr>
                <w:color w:val="211E1F"/>
                <w:sz w:val="18"/>
              </w:rPr>
              <w:t>much</w:t>
            </w:r>
            <w:r w:rsidRPr="00D4309F">
              <w:rPr>
                <w:color w:val="211E1F"/>
                <w:spacing w:val="-3"/>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2"/>
                <w:sz w:val="18"/>
              </w:rPr>
              <w:t xml:space="preserve"> required</w:t>
            </w:r>
          </w:p>
        </w:tc>
        <w:tc>
          <w:tcPr>
            <w:tcW w:w="571" w:type="pct"/>
          </w:tcPr>
          <w:p w14:paraId="717D1433" w14:textId="0A4DDC90" w:rsidR="00785E37" w:rsidRPr="0019624B" w:rsidRDefault="00785E37" w:rsidP="00785E37">
            <w:pPr>
              <w:pStyle w:val="TableParagraph"/>
              <w:spacing w:before="41"/>
              <w:ind w:left="484"/>
              <w:rPr>
                <w:bCs/>
                <w:sz w:val="18"/>
              </w:rPr>
            </w:pPr>
            <w:r w:rsidRPr="00D4309F">
              <w:rPr>
                <w:color w:val="211E1F"/>
                <w:spacing w:val="-10"/>
                <w:sz w:val="18"/>
              </w:rPr>
              <w:t>1</w:t>
            </w:r>
          </w:p>
        </w:tc>
      </w:tr>
      <w:tr w:rsidR="00785E37" w:rsidRPr="00D4309F" w14:paraId="1603371E" w14:textId="77777777">
        <w:trPr>
          <w:trHeight w:val="286"/>
        </w:trPr>
        <w:tc>
          <w:tcPr>
            <w:tcW w:w="1002" w:type="pct"/>
            <w:vMerge/>
          </w:tcPr>
          <w:p w14:paraId="61357CE3" w14:textId="77777777" w:rsidR="00785E37" w:rsidRPr="00D4309F" w:rsidRDefault="00785E37" w:rsidP="00785E37">
            <w:pPr>
              <w:pStyle w:val="TableParagraph"/>
              <w:rPr>
                <w:rFonts w:ascii="Times New Roman"/>
                <w:sz w:val="18"/>
              </w:rPr>
            </w:pPr>
          </w:p>
        </w:tc>
        <w:tc>
          <w:tcPr>
            <w:tcW w:w="3427" w:type="pct"/>
          </w:tcPr>
          <w:p w14:paraId="5C050667" w14:textId="77777777" w:rsidR="00785E37" w:rsidRPr="00D4309F" w:rsidRDefault="00785E37" w:rsidP="00785E37">
            <w:pPr>
              <w:pStyle w:val="TableParagraph"/>
              <w:spacing w:before="39"/>
              <w:ind w:left="165"/>
              <w:rPr>
                <w:sz w:val="18"/>
              </w:rPr>
            </w:pPr>
            <w:r w:rsidRPr="00D4309F">
              <w:rPr>
                <w:color w:val="211E1F"/>
                <w:sz w:val="18"/>
              </w:rPr>
              <w:t>Capital</w:t>
            </w:r>
            <w:r w:rsidRPr="00D4309F">
              <w:rPr>
                <w:color w:val="211E1F"/>
                <w:spacing w:val="-5"/>
                <w:sz w:val="18"/>
              </w:rPr>
              <w:t xml:space="preserve"> </w:t>
            </w:r>
            <w:r w:rsidRPr="00D4309F">
              <w:rPr>
                <w:color w:val="211E1F"/>
                <w:sz w:val="18"/>
              </w:rPr>
              <w:t>works:</w:t>
            </w:r>
            <w:r w:rsidRPr="00D4309F">
              <w:rPr>
                <w:color w:val="211E1F"/>
                <w:spacing w:val="-1"/>
                <w:sz w:val="18"/>
              </w:rPr>
              <w:t xml:space="preserve"> </w:t>
            </w:r>
            <w:r w:rsidRPr="00D4309F">
              <w:rPr>
                <w:color w:val="211E1F"/>
                <w:sz w:val="18"/>
              </w:rPr>
              <w:t>how</w:t>
            </w:r>
            <w:r w:rsidRPr="00D4309F">
              <w:rPr>
                <w:color w:val="211E1F"/>
                <w:spacing w:val="-2"/>
                <w:sz w:val="18"/>
              </w:rPr>
              <w:t xml:space="preserve"> </w:t>
            </w:r>
            <w:r w:rsidRPr="00D4309F">
              <w:rPr>
                <w:color w:val="211E1F"/>
                <w:sz w:val="18"/>
              </w:rPr>
              <w:t>significant</w:t>
            </w:r>
            <w:r w:rsidRPr="00D4309F">
              <w:rPr>
                <w:color w:val="211E1F"/>
                <w:spacing w:val="-1"/>
                <w:sz w:val="18"/>
              </w:rPr>
              <w:t xml:space="preserve"> </w:t>
            </w:r>
            <w:r w:rsidRPr="00D4309F">
              <w:rPr>
                <w:color w:val="211E1F"/>
                <w:sz w:val="18"/>
              </w:rPr>
              <w:t>the</w:t>
            </w:r>
            <w:r w:rsidRPr="00D4309F">
              <w:rPr>
                <w:color w:val="211E1F"/>
                <w:spacing w:val="-4"/>
                <w:sz w:val="18"/>
              </w:rPr>
              <w:t xml:space="preserve"> </w:t>
            </w:r>
            <w:r w:rsidRPr="00D4309F">
              <w:rPr>
                <w:color w:val="211E1F"/>
                <w:sz w:val="18"/>
              </w:rPr>
              <w:t>capital</w:t>
            </w:r>
            <w:r w:rsidRPr="00D4309F">
              <w:rPr>
                <w:color w:val="211E1F"/>
                <w:spacing w:val="-2"/>
                <w:sz w:val="18"/>
              </w:rPr>
              <w:t xml:space="preserve"> </w:t>
            </w:r>
            <w:r w:rsidRPr="00D4309F">
              <w:rPr>
                <w:color w:val="211E1F"/>
                <w:sz w:val="18"/>
              </w:rPr>
              <w:t>works</w:t>
            </w:r>
            <w:r w:rsidRPr="00D4309F">
              <w:rPr>
                <w:color w:val="211E1F"/>
                <w:spacing w:val="-2"/>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and</w:t>
            </w:r>
            <w:r w:rsidRPr="00D4309F">
              <w:rPr>
                <w:color w:val="211E1F"/>
                <w:spacing w:val="-4"/>
                <w:sz w:val="18"/>
              </w:rPr>
              <w:t xml:space="preserve"> </w:t>
            </w:r>
            <w:r w:rsidRPr="00D4309F">
              <w:rPr>
                <w:color w:val="211E1F"/>
                <w:sz w:val="18"/>
              </w:rPr>
              <w:t>their</w:t>
            </w:r>
            <w:r w:rsidRPr="00D4309F">
              <w:rPr>
                <w:color w:val="211E1F"/>
                <w:spacing w:val="-2"/>
                <w:sz w:val="18"/>
              </w:rPr>
              <w:t xml:space="preserve"> </w:t>
            </w:r>
            <w:r w:rsidRPr="00D4309F">
              <w:rPr>
                <w:color w:val="211E1F"/>
                <w:sz w:val="18"/>
              </w:rPr>
              <w:t>impacts</w:t>
            </w:r>
            <w:r w:rsidRPr="00D4309F">
              <w:rPr>
                <w:color w:val="211E1F"/>
                <w:spacing w:val="-2"/>
                <w:sz w:val="18"/>
              </w:rPr>
              <w:t xml:space="preserve"> </w:t>
            </w:r>
            <w:r w:rsidRPr="00D4309F">
              <w:rPr>
                <w:color w:val="211E1F"/>
                <w:sz w:val="18"/>
              </w:rPr>
              <w:t>during</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pacing w:val="-2"/>
                <w:sz w:val="18"/>
              </w:rPr>
              <w:t>process</w:t>
            </w:r>
          </w:p>
        </w:tc>
        <w:tc>
          <w:tcPr>
            <w:tcW w:w="571" w:type="pct"/>
          </w:tcPr>
          <w:p w14:paraId="47D37383" w14:textId="45040F0E" w:rsidR="00785E37" w:rsidRPr="0019624B" w:rsidRDefault="00785E37" w:rsidP="00785E37">
            <w:pPr>
              <w:pStyle w:val="TableParagraph"/>
              <w:spacing w:before="39"/>
              <w:ind w:left="484"/>
              <w:rPr>
                <w:bCs/>
                <w:sz w:val="18"/>
              </w:rPr>
            </w:pPr>
            <w:r w:rsidRPr="00D4309F">
              <w:rPr>
                <w:color w:val="211E1F"/>
                <w:spacing w:val="-10"/>
                <w:sz w:val="18"/>
              </w:rPr>
              <w:t>2</w:t>
            </w:r>
          </w:p>
        </w:tc>
      </w:tr>
      <w:tr w:rsidR="00785E37" w:rsidRPr="00D4309F" w14:paraId="5498C3C9" w14:textId="77777777">
        <w:trPr>
          <w:trHeight w:val="287"/>
        </w:trPr>
        <w:tc>
          <w:tcPr>
            <w:tcW w:w="1002" w:type="pct"/>
            <w:vMerge/>
          </w:tcPr>
          <w:p w14:paraId="14663B2A" w14:textId="77777777" w:rsidR="00785E37" w:rsidRPr="00D4309F" w:rsidRDefault="00785E37" w:rsidP="00785E37">
            <w:pPr>
              <w:pStyle w:val="TableParagraph"/>
              <w:rPr>
                <w:rFonts w:ascii="Times New Roman"/>
                <w:sz w:val="18"/>
              </w:rPr>
            </w:pPr>
          </w:p>
        </w:tc>
        <w:tc>
          <w:tcPr>
            <w:tcW w:w="3427" w:type="pct"/>
          </w:tcPr>
          <w:p w14:paraId="30F875C1" w14:textId="77777777" w:rsidR="00785E37" w:rsidRPr="00D4309F" w:rsidRDefault="00785E37" w:rsidP="00785E37">
            <w:pPr>
              <w:pStyle w:val="TableParagraph"/>
              <w:spacing w:before="41"/>
              <w:ind w:left="165"/>
              <w:rPr>
                <w:sz w:val="18"/>
              </w:rPr>
            </w:pPr>
            <w:r w:rsidRPr="00D4309F">
              <w:rPr>
                <w:color w:val="211E1F"/>
                <w:sz w:val="18"/>
              </w:rPr>
              <w:t>Operational</w:t>
            </w:r>
            <w:r w:rsidRPr="00D4309F">
              <w:rPr>
                <w:color w:val="211E1F"/>
                <w:spacing w:val="-5"/>
                <w:sz w:val="18"/>
              </w:rPr>
              <w:t xml:space="preserve"> </w:t>
            </w:r>
            <w:r w:rsidRPr="00D4309F">
              <w:rPr>
                <w:color w:val="211E1F"/>
                <w:sz w:val="18"/>
              </w:rPr>
              <w:t>works:</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significant</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operational</w:t>
            </w:r>
            <w:r w:rsidRPr="00D4309F">
              <w:rPr>
                <w:color w:val="211E1F"/>
                <w:spacing w:val="-2"/>
                <w:sz w:val="18"/>
              </w:rPr>
              <w:t xml:space="preserve"> </w:t>
            </w:r>
            <w:r w:rsidRPr="00D4309F">
              <w:rPr>
                <w:color w:val="211E1F"/>
                <w:sz w:val="18"/>
              </w:rPr>
              <w:t>works</w:t>
            </w:r>
            <w:r w:rsidRPr="00D4309F">
              <w:rPr>
                <w:color w:val="211E1F"/>
                <w:spacing w:val="-3"/>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their</w:t>
            </w:r>
            <w:r w:rsidRPr="00D4309F">
              <w:rPr>
                <w:color w:val="211E1F"/>
                <w:spacing w:val="-3"/>
                <w:sz w:val="18"/>
              </w:rPr>
              <w:t xml:space="preserve"> </w:t>
            </w:r>
            <w:r w:rsidRPr="00D4309F">
              <w:rPr>
                <w:color w:val="211E1F"/>
                <w:sz w:val="18"/>
              </w:rPr>
              <w:t>impacts</w:t>
            </w:r>
            <w:r w:rsidRPr="00D4309F">
              <w:rPr>
                <w:color w:val="211E1F"/>
                <w:spacing w:val="-2"/>
                <w:sz w:val="18"/>
              </w:rPr>
              <w:t xml:space="preserve"> </w:t>
            </w:r>
            <w:r w:rsidRPr="00D4309F">
              <w:rPr>
                <w:color w:val="211E1F"/>
                <w:sz w:val="18"/>
              </w:rPr>
              <w:t>during</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pacing w:val="-2"/>
                <w:sz w:val="18"/>
              </w:rPr>
              <w:t>process</w:t>
            </w:r>
          </w:p>
        </w:tc>
        <w:tc>
          <w:tcPr>
            <w:tcW w:w="571" w:type="pct"/>
          </w:tcPr>
          <w:p w14:paraId="46CA2921" w14:textId="05156612" w:rsidR="00785E37" w:rsidRPr="0019624B" w:rsidRDefault="00785E37" w:rsidP="00785E37">
            <w:pPr>
              <w:pStyle w:val="TableParagraph"/>
              <w:spacing w:before="41"/>
              <w:ind w:left="485"/>
              <w:rPr>
                <w:bCs/>
                <w:sz w:val="18"/>
              </w:rPr>
            </w:pPr>
            <w:r w:rsidRPr="00D4309F">
              <w:rPr>
                <w:color w:val="211E1F"/>
                <w:spacing w:val="-10"/>
                <w:sz w:val="18"/>
              </w:rPr>
              <w:t>4</w:t>
            </w:r>
          </w:p>
        </w:tc>
      </w:tr>
      <w:tr w:rsidR="00785E37" w:rsidRPr="00D4309F" w14:paraId="1196D023" w14:textId="77777777">
        <w:trPr>
          <w:trHeight w:val="286"/>
        </w:trPr>
        <w:tc>
          <w:tcPr>
            <w:tcW w:w="1002" w:type="pct"/>
            <w:vMerge/>
          </w:tcPr>
          <w:p w14:paraId="039BC5F9" w14:textId="77777777" w:rsidR="00785E37" w:rsidRPr="00D4309F" w:rsidRDefault="00785E37" w:rsidP="00785E37">
            <w:pPr>
              <w:pStyle w:val="TableParagraph"/>
              <w:rPr>
                <w:rFonts w:ascii="Times New Roman"/>
                <w:sz w:val="18"/>
              </w:rPr>
            </w:pPr>
          </w:p>
        </w:tc>
        <w:tc>
          <w:tcPr>
            <w:tcW w:w="3427" w:type="pct"/>
          </w:tcPr>
          <w:p w14:paraId="0A068DAB" w14:textId="77777777" w:rsidR="00785E37" w:rsidRPr="00D4309F" w:rsidRDefault="00785E37" w:rsidP="00785E37">
            <w:pPr>
              <w:pStyle w:val="TableParagraph"/>
              <w:spacing w:before="39"/>
              <w:ind w:left="165"/>
              <w:rPr>
                <w:sz w:val="18"/>
              </w:rPr>
            </w:pPr>
            <w:r w:rsidRPr="00D4309F">
              <w:rPr>
                <w:color w:val="211E1F"/>
                <w:sz w:val="18"/>
              </w:rPr>
              <w:t>Future</w:t>
            </w:r>
            <w:r w:rsidRPr="00D4309F">
              <w:rPr>
                <w:color w:val="211E1F"/>
                <w:spacing w:val="-6"/>
                <w:sz w:val="18"/>
              </w:rPr>
              <w:t xml:space="preserve"> </w:t>
            </w:r>
            <w:r w:rsidRPr="00D4309F">
              <w:rPr>
                <w:color w:val="211E1F"/>
                <w:sz w:val="18"/>
              </w:rPr>
              <w:t>adaption:</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well</w:t>
            </w:r>
            <w:r w:rsidRPr="00D4309F">
              <w:rPr>
                <w:color w:val="211E1F"/>
                <w:spacing w:val="-2"/>
                <w:sz w:val="18"/>
              </w:rPr>
              <w:t xml:space="preserve"> </w:t>
            </w:r>
            <w:r w:rsidRPr="00D4309F">
              <w:rPr>
                <w:color w:val="211E1F"/>
                <w:sz w:val="18"/>
              </w:rPr>
              <w:t>the</w:t>
            </w:r>
            <w:r w:rsidRPr="00D4309F">
              <w:rPr>
                <w:color w:val="211E1F"/>
                <w:spacing w:val="-1"/>
                <w:sz w:val="18"/>
              </w:rPr>
              <w:t xml:space="preserve"> </w:t>
            </w:r>
            <w:r w:rsidRPr="00D4309F">
              <w:rPr>
                <w:color w:val="211E1F"/>
                <w:sz w:val="18"/>
              </w:rPr>
              <w:t>option</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adapted</w:t>
            </w:r>
            <w:r w:rsidRPr="00D4309F">
              <w:rPr>
                <w:color w:val="211E1F"/>
                <w:spacing w:val="-3"/>
                <w:sz w:val="18"/>
              </w:rPr>
              <w:t xml:space="preserve"> </w:t>
            </w:r>
            <w:r w:rsidRPr="00D4309F">
              <w:rPr>
                <w:color w:val="211E1F"/>
                <w:sz w:val="18"/>
              </w:rPr>
              <w:t>to</w:t>
            </w:r>
            <w:r w:rsidRPr="00D4309F">
              <w:rPr>
                <w:color w:val="211E1F"/>
                <w:spacing w:val="-3"/>
                <w:sz w:val="18"/>
              </w:rPr>
              <w:t xml:space="preserve"> </w:t>
            </w:r>
            <w:r w:rsidRPr="00D4309F">
              <w:rPr>
                <w:color w:val="211E1F"/>
                <w:sz w:val="18"/>
              </w:rPr>
              <w:t>future</w:t>
            </w:r>
            <w:r w:rsidRPr="00D4309F">
              <w:rPr>
                <w:color w:val="211E1F"/>
                <w:spacing w:val="-3"/>
                <w:sz w:val="18"/>
              </w:rPr>
              <w:t xml:space="preserve"> </w:t>
            </w:r>
            <w:r w:rsidRPr="00D4309F">
              <w:rPr>
                <w:color w:val="211E1F"/>
                <w:spacing w:val="-2"/>
                <w:sz w:val="18"/>
              </w:rPr>
              <w:t>conditions</w:t>
            </w:r>
          </w:p>
        </w:tc>
        <w:tc>
          <w:tcPr>
            <w:tcW w:w="571" w:type="pct"/>
          </w:tcPr>
          <w:p w14:paraId="3875930B" w14:textId="1CCD9029" w:rsidR="00785E37" w:rsidRPr="0019624B" w:rsidRDefault="00785E37" w:rsidP="00785E37">
            <w:pPr>
              <w:pStyle w:val="TableParagraph"/>
              <w:spacing w:before="39"/>
              <w:ind w:left="485"/>
              <w:rPr>
                <w:bCs/>
                <w:sz w:val="18"/>
              </w:rPr>
            </w:pPr>
            <w:r w:rsidRPr="00D4309F">
              <w:rPr>
                <w:color w:val="211E1F"/>
                <w:spacing w:val="-10"/>
                <w:sz w:val="18"/>
              </w:rPr>
              <w:t>2</w:t>
            </w:r>
          </w:p>
        </w:tc>
      </w:tr>
      <w:tr w:rsidR="00785E37" w:rsidRPr="00D4309F" w14:paraId="30C7F4AE" w14:textId="77777777">
        <w:trPr>
          <w:trHeight w:val="287"/>
        </w:trPr>
        <w:tc>
          <w:tcPr>
            <w:tcW w:w="1002" w:type="pct"/>
            <w:vMerge/>
          </w:tcPr>
          <w:p w14:paraId="61BB7899" w14:textId="77777777" w:rsidR="00785E37" w:rsidRPr="00D4309F" w:rsidRDefault="00785E37" w:rsidP="00785E37">
            <w:pPr>
              <w:pStyle w:val="TableParagraph"/>
              <w:rPr>
                <w:rFonts w:ascii="Times New Roman"/>
                <w:sz w:val="18"/>
              </w:rPr>
            </w:pPr>
          </w:p>
        </w:tc>
        <w:tc>
          <w:tcPr>
            <w:tcW w:w="3427" w:type="pct"/>
          </w:tcPr>
          <w:p w14:paraId="700E7406" w14:textId="77777777" w:rsidR="00785E37" w:rsidRPr="00D4309F" w:rsidRDefault="00785E37" w:rsidP="00785E37">
            <w:pPr>
              <w:pStyle w:val="TableParagraph"/>
              <w:rPr>
                <w:rFonts w:ascii="Times New Roman"/>
                <w:sz w:val="18"/>
              </w:rPr>
            </w:pPr>
          </w:p>
        </w:tc>
        <w:tc>
          <w:tcPr>
            <w:tcW w:w="571" w:type="pct"/>
          </w:tcPr>
          <w:p w14:paraId="75860057" w14:textId="77777777" w:rsidR="00785E37" w:rsidRPr="00D4309F" w:rsidRDefault="00785E37" w:rsidP="00785E37">
            <w:pPr>
              <w:pStyle w:val="TableParagraph"/>
              <w:rPr>
                <w:rFonts w:ascii="Times New Roman"/>
                <w:sz w:val="18"/>
              </w:rPr>
            </w:pPr>
          </w:p>
        </w:tc>
      </w:tr>
      <w:tr w:rsidR="00785E37" w:rsidRPr="00D4309F" w14:paraId="2F15C2D8" w14:textId="77777777">
        <w:trPr>
          <w:trHeight w:val="286"/>
        </w:trPr>
        <w:tc>
          <w:tcPr>
            <w:tcW w:w="1002" w:type="pct"/>
            <w:vMerge/>
          </w:tcPr>
          <w:p w14:paraId="0202806C" w14:textId="77777777" w:rsidR="00785E37" w:rsidRPr="00D4309F" w:rsidRDefault="00785E37" w:rsidP="00785E37">
            <w:pPr>
              <w:pStyle w:val="TableParagraph"/>
              <w:rPr>
                <w:rFonts w:ascii="Times New Roman"/>
                <w:sz w:val="18"/>
              </w:rPr>
            </w:pPr>
          </w:p>
        </w:tc>
        <w:tc>
          <w:tcPr>
            <w:tcW w:w="3427" w:type="pct"/>
          </w:tcPr>
          <w:p w14:paraId="35054E1B" w14:textId="77777777" w:rsidR="00785E37" w:rsidRPr="00D4309F" w:rsidRDefault="00785E37" w:rsidP="00785E37">
            <w:pPr>
              <w:pStyle w:val="TableParagraph"/>
              <w:spacing w:before="39"/>
              <w:ind w:left="165"/>
              <w:rPr>
                <w:b/>
                <w:sz w:val="18"/>
              </w:rPr>
            </w:pPr>
            <w:r w:rsidRPr="00D4309F">
              <w:rPr>
                <w:b/>
                <w:color w:val="211E1F"/>
                <w:sz w:val="18"/>
              </w:rPr>
              <w:t>Sub-</w:t>
            </w:r>
            <w:r w:rsidRPr="00D4309F">
              <w:rPr>
                <w:b/>
                <w:color w:val="211E1F"/>
                <w:spacing w:val="-2"/>
                <w:sz w:val="18"/>
              </w:rPr>
              <w:t>total</w:t>
            </w:r>
          </w:p>
        </w:tc>
        <w:tc>
          <w:tcPr>
            <w:tcW w:w="571" w:type="pct"/>
          </w:tcPr>
          <w:p w14:paraId="2792355C" w14:textId="12991E0F" w:rsidR="00785E37" w:rsidRPr="00D4309F" w:rsidRDefault="00785E37" w:rsidP="00785E37">
            <w:pPr>
              <w:pStyle w:val="TableParagraph"/>
              <w:spacing w:before="39"/>
              <w:ind w:left="485"/>
              <w:rPr>
                <w:b/>
                <w:sz w:val="18"/>
              </w:rPr>
            </w:pPr>
            <w:r w:rsidRPr="00D4309F">
              <w:rPr>
                <w:b/>
                <w:color w:val="211E1F"/>
                <w:spacing w:val="-5"/>
                <w:sz w:val="18"/>
              </w:rPr>
              <w:t>16</w:t>
            </w:r>
          </w:p>
        </w:tc>
      </w:tr>
      <w:tr w:rsidR="00785E37" w:rsidRPr="00D4309F" w14:paraId="45B647C5" w14:textId="77777777">
        <w:trPr>
          <w:trHeight w:val="287"/>
        </w:trPr>
        <w:tc>
          <w:tcPr>
            <w:tcW w:w="1002" w:type="pct"/>
            <w:vMerge w:val="restart"/>
          </w:tcPr>
          <w:p w14:paraId="70E0A9B0" w14:textId="77777777" w:rsidR="00785E37" w:rsidRPr="00D4309F" w:rsidRDefault="00785E37" w:rsidP="00785E37">
            <w:pPr>
              <w:pStyle w:val="TableParagraph"/>
              <w:spacing w:before="41"/>
              <w:ind w:left="165"/>
              <w:rPr>
                <w:b/>
                <w:sz w:val="18"/>
              </w:rPr>
            </w:pPr>
            <w:r w:rsidRPr="00D4309F">
              <w:rPr>
                <w:b/>
                <w:color w:val="211E1F"/>
                <w:spacing w:val="-2"/>
                <w:sz w:val="18"/>
              </w:rPr>
              <w:t>Safety</w:t>
            </w:r>
          </w:p>
        </w:tc>
        <w:tc>
          <w:tcPr>
            <w:tcW w:w="3427" w:type="pct"/>
          </w:tcPr>
          <w:p w14:paraId="75DAC13E" w14:textId="77777777" w:rsidR="00785E37" w:rsidRPr="00D4309F" w:rsidRDefault="00785E37" w:rsidP="00785E37">
            <w:pPr>
              <w:pStyle w:val="TableParagraph"/>
              <w:spacing w:before="41"/>
              <w:ind w:left="166"/>
              <w:rPr>
                <w:sz w:val="18"/>
              </w:rPr>
            </w:pPr>
            <w:r w:rsidRPr="00D4309F">
              <w:rPr>
                <w:color w:val="211E1F"/>
                <w:sz w:val="18"/>
              </w:rPr>
              <w:t>Reliability</w:t>
            </w:r>
            <w:r w:rsidRPr="00D4309F">
              <w:rPr>
                <w:color w:val="211E1F"/>
                <w:spacing w:val="-5"/>
                <w:sz w:val="18"/>
              </w:rPr>
              <w:t xml:space="preserve"> </w:t>
            </w:r>
            <w:r w:rsidRPr="00D4309F">
              <w:rPr>
                <w:color w:val="211E1F"/>
                <w:sz w:val="18"/>
              </w:rPr>
              <w:t>of</w:t>
            </w:r>
            <w:r w:rsidRPr="00D4309F">
              <w:rPr>
                <w:color w:val="211E1F"/>
                <w:spacing w:val="-4"/>
                <w:sz w:val="18"/>
              </w:rPr>
              <w:t xml:space="preserve"> </w:t>
            </w:r>
            <w:r w:rsidRPr="00D4309F">
              <w:rPr>
                <w:color w:val="211E1F"/>
                <w:sz w:val="18"/>
              </w:rPr>
              <w:t>all-tide</w:t>
            </w:r>
            <w:r w:rsidRPr="00D4309F">
              <w:rPr>
                <w:color w:val="211E1F"/>
                <w:spacing w:val="-4"/>
                <w:sz w:val="18"/>
              </w:rPr>
              <w:t xml:space="preserve"> </w:t>
            </w:r>
            <w:r w:rsidRPr="00D4309F">
              <w:rPr>
                <w:color w:val="211E1F"/>
                <w:spacing w:val="-2"/>
                <w:sz w:val="18"/>
              </w:rPr>
              <w:t>access</w:t>
            </w:r>
          </w:p>
        </w:tc>
        <w:tc>
          <w:tcPr>
            <w:tcW w:w="571" w:type="pct"/>
          </w:tcPr>
          <w:p w14:paraId="64344E8C" w14:textId="31053575" w:rsidR="00785E37" w:rsidRPr="0019624B" w:rsidRDefault="00785E37" w:rsidP="00785E37">
            <w:pPr>
              <w:pStyle w:val="TableParagraph"/>
              <w:spacing w:before="41"/>
              <w:ind w:left="485"/>
              <w:rPr>
                <w:bCs/>
                <w:sz w:val="18"/>
              </w:rPr>
            </w:pPr>
            <w:r w:rsidRPr="00D4309F">
              <w:rPr>
                <w:color w:val="211E1F"/>
                <w:spacing w:val="-10"/>
                <w:sz w:val="18"/>
              </w:rPr>
              <w:t>3</w:t>
            </w:r>
          </w:p>
        </w:tc>
      </w:tr>
      <w:tr w:rsidR="00785E37" w:rsidRPr="00D4309F" w14:paraId="58E47AE0" w14:textId="77777777">
        <w:trPr>
          <w:trHeight w:val="286"/>
        </w:trPr>
        <w:tc>
          <w:tcPr>
            <w:tcW w:w="1002" w:type="pct"/>
            <w:vMerge/>
          </w:tcPr>
          <w:p w14:paraId="7CEC3484" w14:textId="77777777" w:rsidR="00785E37" w:rsidRPr="00D4309F" w:rsidRDefault="00785E37" w:rsidP="00785E37">
            <w:pPr>
              <w:pStyle w:val="TableParagraph"/>
              <w:rPr>
                <w:rFonts w:ascii="Times New Roman"/>
                <w:sz w:val="18"/>
              </w:rPr>
            </w:pPr>
          </w:p>
        </w:tc>
        <w:tc>
          <w:tcPr>
            <w:tcW w:w="3427" w:type="pct"/>
          </w:tcPr>
          <w:p w14:paraId="0CA7B7FF" w14:textId="77777777" w:rsidR="00785E37" w:rsidRPr="00D4309F" w:rsidRDefault="00785E37" w:rsidP="00785E37">
            <w:pPr>
              <w:pStyle w:val="TableParagraph"/>
              <w:spacing w:before="39"/>
              <w:ind w:left="165"/>
              <w:rPr>
                <w:sz w:val="18"/>
              </w:rPr>
            </w:pPr>
            <w:r w:rsidRPr="00D4309F">
              <w:rPr>
                <w:color w:val="211E1F"/>
                <w:sz w:val="18"/>
              </w:rPr>
              <w:t>Clarity</w:t>
            </w:r>
            <w:r w:rsidRPr="00D4309F">
              <w:rPr>
                <w:color w:val="211E1F"/>
                <w:spacing w:val="-3"/>
                <w:sz w:val="18"/>
              </w:rPr>
              <w:t xml:space="preserve"> </w:t>
            </w:r>
            <w:r w:rsidRPr="00D4309F">
              <w:rPr>
                <w:color w:val="211E1F"/>
                <w:sz w:val="18"/>
              </w:rPr>
              <w:t>of</w:t>
            </w:r>
            <w:r w:rsidRPr="00D4309F">
              <w:rPr>
                <w:color w:val="211E1F"/>
                <w:spacing w:val="-2"/>
                <w:sz w:val="18"/>
              </w:rPr>
              <w:t xml:space="preserve"> navigation</w:t>
            </w:r>
          </w:p>
        </w:tc>
        <w:tc>
          <w:tcPr>
            <w:tcW w:w="571" w:type="pct"/>
          </w:tcPr>
          <w:p w14:paraId="194A77D9" w14:textId="22402E30" w:rsidR="00785E37" w:rsidRPr="0019624B" w:rsidRDefault="00785E37" w:rsidP="00785E37">
            <w:pPr>
              <w:pStyle w:val="TableParagraph"/>
              <w:spacing w:before="39"/>
              <w:ind w:left="485"/>
              <w:rPr>
                <w:bCs/>
                <w:sz w:val="18"/>
              </w:rPr>
            </w:pPr>
            <w:r w:rsidRPr="00D4309F">
              <w:rPr>
                <w:color w:val="211E1F"/>
                <w:spacing w:val="-10"/>
                <w:sz w:val="18"/>
              </w:rPr>
              <w:t>3</w:t>
            </w:r>
          </w:p>
        </w:tc>
      </w:tr>
      <w:tr w:rsidR="00785E37" w:rsidRPr="00D4309F" w14:paraId="34103377" w14:textId="77777777">
        <w:trPr>
          <w:trHeight w:val="287"/>
        </w:trPr>
        <w:tc>
          <w:tcPr>
            <w:tcW w:w="1002" w:type="pct"/>
            <w:vMerge/>
          </w:tcPr>
          <w:p w14:paraId="504AC24F" w14:textId="77777777" w:rsidR="00785E37" w:rsidRPr="00D4309F" w:rsidRDefault="00785E37" w:rsidP="00785E37">
            <w:pPr>
              <w:pStyle w:val="TableParagraph"/>
              <w:rPr>
                <w:rFonts w:ascii="Times New Roman"/>
                <w:sz w:val="18"/>
              </w:rPr>
            </w:pPr>
          </w:p>
        </w:tc>
        <w:tc>
          <w:tcPr>
            <w:tcW w:w="3427" w:type="pct"/>
          </w:tcPr>
          <w:p w14:paraId="5F0D2FDB" w14:textId="77777777" w:rsidR="00785E37" w:rsidRPr="00D4309F" w:rsidRDefault="00785E37" w:rsidP="00785E37">
            <w:pPr>
              <w:pStyle w:val="TableParagraph"/>
              <w:spacing w:before="41"/>
              <w:ind w:left="165"/>
              <w:rPr>
                <w:sz w:val="18"/>
              </w:rPr>
            </w:pPr>
            <w:r w:rsidRPr="00D4309F">
              <w:rPr>
                <w:color w:val="211E1F"/>
                <w:sz w:val="18"/>
              </w:rPr>
              <w:t>Mariner</w:t>
            </w:r>
            <w:r w:rsidRPr="00D4309F">
              <w:rPr>
                <w:color w:val="211E1F"/>
                <w:spacing w:val="-6"/>
                <w:sz w:val="18"/>
              </w:rPr>
              <w:t xml:space="preserve"> </w:t>
            </w:r>
            <w:r w:rsidRPr="00D4309F">
              <w:rPr>
                <w:color w:val="211E1F"/>
                <w:spacing w:val="-2"/>
                <w:sz w:val="18"/>
              </w:rPr>
              <w:t>safety</w:t>
            </w:r>
          </w:p>
        </w:tc>
        <w:tc>
          <w:tcPr>
            <w:tcW w:w="571" w:type="pct"/>
          </w:tcPr>
          <w:p w14:paraId="17F1D8A0" w14:textId="02479EE2" w:rsidR="00785E37" w:rsidRPr="0019624B" w:rsidRDefault="00785E37" w:rsidP="00785E37">
            <w:pPr>
              <w:pStyle w:val="TableParagraph"/>
              <w:spacing w:before="41"/>
              <w:ind w:left="485"/>
              <w:rPr>
                <w:bCs/>
                <w:sz w:val="18"/>
              </w:rPr>
            </w:pPr>
            <w:r w:rsidRPr="00D4309F">
              <w:rPr>
                <w:color w:val="211E1F"/>
                <w:spacing w:val="-10"/>
                <w:sz w:val="18"/>
              </w:rPr>
              <w:t>3</w:t>
            </w:r>
          </w:p>
        </w:tc>
      </w:tr>
      <w:tr w:rsidR="00785E37" w:rsidRPr="00D4309F" w14:paraId="5B255A6E" w14:textId="77777777">
        <w:trPr>
          <w:trHeight w:val="286"/>
        </w:trPr>
        <w:tc>
          <w:tcPr>
            <w:tcW w:w="1002" w:type="pct"/>
            <w:vMerge/>
          </w:tcPr>
          <w:p w14:paraId="6C931EB1" w14:textId="77777777" w:rsidR="00785E37" w:rsidRPr="00D4309F" w:rsidRDefault="00785E37" w:rsidP="00785E37">
            <w:pPr>
              <w:pStyle w:val="TableParagraph"/>
              <w:rPr>
                <w:rFonts w:ascii="Times New Roman"/>
                <w:sz w:val="18"/>
              </w:rPr>
            </w:pPr>
          </w:p>
        </w:tc>
        <w:tc>
          <w:tcPr>
            <w:tcW w:w="3427" w:type="pct"/>
          </w:tcPr>
          <w:p w14:paraId="630D4A8F" w14:textId="77777777" w:rsidR="00785E37" w:rsidRPr="00D4309F" w:rsidRDefault="00785E37" w:rsidP="00785E37">
            <w:pPr>
              <w:pStyle w:val="TableParagraph"/>
              <w:spacing w:before="39"/>
              <w:ind w:left="165"/>
              <w:rPr>
                <w:color w:val="211E1F"/>
                <w:spacing w:val="-2"/>
                <w:sz w:val="18"/>
              </w:rPr>
            </w:pPr>
          </w:p>
        </w:tc>
        <w:tc>
          <w:tcPr>
            <w:tcW w:w="571" w:type="pct"/>
          </w:tcPr>
          <w:p w14:paraId="0FF23D46" w14:textId="10A7031F" w:rsidR="00785E37" w:rsidRPr="00D4309F" w:rsidRDefault="00785E37" w:rsidP="00785E37">
            <w:pPr>
              <w:pStyle w:val="TableParagraph"/>
              <w:spacing w:before="39"/>
              <w:ind w:left="484"/>
              <w:rPr>
                <w:color w:val="211E1F"/>
                <w:spacing w:val="-10"/>
                <w:sz w:val="18"/>
              </w:rPr>
            </w:pPr>
          </w:p>
        </w:tc>
      </w:tr>
      <w:tr w:rsidR="00785E37" w:rsidRPr="00D4309F" w14:paraId="3064F0B0" w14:textId="77777777">
        <w:trPr>
          <w:trHeight w:val="286"/>
        </w:trPr>
        <w:tc>
          <w:tcPr>
            <w:tcW w:w="1002" w:type="pct"/>
            <w:vMerge/>
          </w:tcPr>
          <w:p w14:paraId="430B0A0C" w14:textId="77777777" w:rsidR="00785E37" w:rsidRPr="00D4309F" w:rsidRDefault="00785E37" w:rsidP="00785E37">
            <w:pPr>
              <w:pStyle w:val="TableParagraph"/>
              <w:rPr>
                <w:rFonts w:ascii="Times New Roman"/>
                <w:sz w:val="18"/>
              </w:rPr>
            </w:pPr>
          </w:p>
        </w:tc>
        <w:tc>
          <w:tcPr>
            <w:tcW w:w="3427" w:type="pct"/>
          </w:tcPr>
          <w:p w14:paraId="198D5144" w14:textId="77777777" w:rsidR="00785E37" w:rsidRPr="00230A0A" w:rsidRDefault="00785E37" w:rsidP="00785E37">
            <w:pPr>
              <w:pStyle w:val="TableParagraph"/>
              <w:spacing w:before="39"/>
              <w:ind w:left="165"/>
              <w:rPr>
                <w:b/>
                <w:bCs/>
                <w:sz w:val="18"/>
              </w:rPr>
            </w:pPr>
            <w:r w:rsidRPr="00230A0A">
              <w:rPr>
                <w:b/>
                <w:bCs/>
                <w:color w:val="211E1F"/>
                <w:spacing w:val="-2"/>
                <w:sz w:val="18"/>
              </w:rPr>
              <w:t>Sub-total</w:t>
            </w:r>
          </w:p>
        </w:tc>
        <w:tc>
          <w:tcPr>
            <w:tcW w:w="571" w:type="pct"/>
          </w:tcPr>
          <w:p w14:paraId="5D736E8D" w14:textId="1F7CFE3F" w:rsidR="00785E37" w:rsidRPr="00230A0A" w:rsidRDefault="00785E37" w:rsidP="00785E37">
            <w:pPr>
              <w:pStyle w:val="TableParagraph"/>
              <w:spacing w:before="39"/>
              <w:ind w:left="484"/>
              <w:rPr>
                <w:b/>
                <w:bCs/>
                <w:sz w:val="18"/>
              </w:rPr>
            </w:pPr>
            <w:r w:rsidRPr="00D4309F">
              <w:rPr>
                <w:b/>
                <w:color w:val="211E1F"/>
                <w:spacing w:val="-10"/>
                <w:sz w:val="18"/>
              </w:rPr>
              <w:t>9</w:t>
            </w:r>
          </w:p>
        </w:tc>
      </w:tr>
      <w:tr w:rsidR="00785E37" w:rsidRPr="00D4309F" w14:paraId="489657EA" w14:textId="77777777">
        <w:trPr>
          <w:trHeight w:val="287"/>
        </w:trPr>
        <w:tc>
          <w:tcPr>
            <w:tcW w:w="1002" w:type="pct"/>
            <w:vMerge w:val="restart"/>
          </w:tcPr>
          <w:p w14:paraId="2B726522" w14:textId="77777777" w:rsidR="00785E37" w:rsidRPr="00D4309F" w:rsidRDefault="00785E37" w:rsidP="00785E37">
            <w:pPr>
              <w:pStyle w:val="TableParagraph"/>
              <w:spacing w:before="41"/>
              <w:ind w:left="165"/>
              <w:rPr>
                <w:b/>
                <w:sz w:val="18"/>
              </w:rPr>
            </w:pPr>
            <w:r w:rsidRPr="00D4309F">
              <w:rPr>
                <w:b/>
                <w:color w:val="211E1F"/>
                <w:sz w:val="18"/>
              </w:rPr>
              <w:t>Social</w:t>
            </w:r>
            <w:r w:rsidRPr="00D4309F">
              <w:rPr>
                <w:b/>
                <w:color w:val="211E1F"/>
                <w:spacing w:val="-2"/>
                <w:sz w:val="18"/>
              </w:rPr>
              <w:t xml:space="preserve"> </w:t>
            </w:r>
            <w:r w:rsidRPr="00D4309F">
              <w:rPr>
                <w:b/>
                <w:color w:val="211E1F"/>
                <w:sz w:val="18"/>
              </w:rPr>
              <w:t>and</w:t>
            </w:r>
            <w:r w:rsidRPr="00D4309F">
              <w:rPr>
                <w:b/>
                <w:color w:val="211E1F"/>
                <w:spacing w:val="-2"/>
                <w:sz w:val="18"/>
              </w:rPr>
              <w:t xml:space="preserve"> economic</w:t>
            </w:r>
          </w:p>
        </w:tc>
        <w:tc>
          <w:tcPr>
            <w:tcW w:w="3427" w:type="pct"/>
          </w:tcPr>
          <w:p w14:paraId="5E9E90FB" w14:textId="77777777" w:rsidR="00785E37" w:rsidRPr="00D4309F" w:rsidRDefault="00785E37" w:rsidP="00785E37">
            <w:pPr>
              <w:pStyle w:val="TableParagraph"/>
              <w:spacing w:before="41"/>
              <w:ind w:left="166"/>
              <w:rPr>
                <w:sz w:val="18"/>
              </w:rPr>
            </w:pPr>
            <w:r w:rsidRPr="00D4309F">
              <w:rPr>
                <w:color w:val="211E1F"/>
                <w:sz w:val="18"/>
              </w:rPr>
              <w:t>Consistency</w:t>
            </w:r>
            <w:r w:rsidRPr="00D4309F">
              <w:rPr>
                <w:color w:val="211E1F"/>
                <w:spacing w:val="-5"/>
                <w:sz w:val="18"/>
              </w:rPr>
              <w:t xml:space="preserve"> </w:t>
            </w:r>
            <w:r w:rsidRPr="00D4309F">
              <w:rPr>
                <w:color w:val="211E1F"/>
                <w:sz w:val="18"/>
              </w:rPr>
              <w:t>with</w:t>
            </w:r>
            <w:r w:rsidRPr="00D4309F">
              <w:rPr>
                <w:color w:val="211E1F"/>
                <w:spacing w:val="-3"/>
                <w:sz w:val="18"/>
              </w:rPr>
              <w:t xml:space="preserve"> </w:t>
            </w:r>
            <w:r w:rsidRPr="00D4309F">
              <w:rPr>
                <w:color w:val="211E1F"/>
                <w:sz w:val="18"/>
              </w:rPr>
              <w:t>SRG</w:t>
            </w:r>
            <w:r w:rsidRPr="00D4309F">
              <w:rPr>
                <w:color w:val="211E1F"/>
                <w:spacing w:val="-3"/>
                <w:sz w:val="18"/>
              </w:rPr>
              <w:t xml:space="preserve"> </w:t>
            </w:r>
            <w:r w:rsidRPr="00D4309F">
              <w:rPr>
                <w:color w:val="211E1F"/>
                <w:sz w:val="18"/>
              </w:rPr>
              <w:t>preference</w:t>
            </w:r>
            <w:r w:rsidRPr="00D4309F">
              <w:rPr>
                <w:color w:val="211E1F"/>
                <w:spacing w:val="-3"/>
                <w:sz w:val="18"/>
              </w:rPr>
              <w:t xml:space="preserve"> </w:t>
            </w:r>
            <w:r w:rsidRPr="00D4309F">
              <w:rPr>
                <w:color w:val="211E1F"/>
                <w:sz w:val="18"/>
              </w:rPr>
              <w:t>for</w:t>
            </w:r>
            <w:r w:rsidRPr="00D4309F">
              <w:rPr>
                <w:color w:val="211E1F"/>
                <w:spacing w:val="-3"/>
                <w:sz w:val="18"/>
              </w:rPr>
              <w:t xml:space="preserve"> </w:t>
            </w:r>
            <w:r w:rsidRPr="00D4309F">
              <w:rPr>
                <w:color w:val="211E1F"/>
                <w:sz w:val="18"/>
              </w:rPr>
              <w:t>lower</w:t>
            </w:r>
            <w:r w:rsidRPr="00D4309F">
              <w:rPr>
                <w:color w:val="211E1F"/>
                <w:spacing w:val="-2"/>
                <w:sz w:val="18"/>
              </w:rPr>
              <w:t xml:space="preserve"> </w:t>
            </w:r>
            <w:r w:rsidRPr="00D4309F">
              <w:rPr>
                <w:color w:val="211E1F"/>
                <w:sz w:val="18"/>
              </w:rPr>
              <w:t>impact,</w:t>
            </w:r>
            <w:r w:rsidRPr="00D4309F">
              <w:rPr>
                <w:color w:val="211E1F"/>
                <w:spacing w:val="-3"/>
                <w:sz w:val="18"/>
              </w:rPr>
              <w:t xml:space="preserve"> </w:t>
            </w:r>
            <w:r w:rsidRPr="00D4309F">
              <w:rPr>
                <w:color w:val="211E1F"/>
                <w:sz w:val="18"/>
              </w:rPr>
              <w:t>“softer”</w:t>
            </w:r>
            <w:r w:rsidRPr="00D4309F">
              <w:rPr>
                <w:color w:val="211E1F"/>
                <w:spacing w:val="-3"/>
                <w:sz w:val="18"/>
              </w:rPr>
              <w:t xml:space="preserve"> </w:t>
            </w:r>
            <w:r w:rsidRPr="00D4309F">
              <w:rPr>
                <w:color w:val="211E1F"/>
                <w:sz w:val="18"/>
              </w:rPr>
              <w:t>measures</w:t>
            </w:r>
            <w:r w:rsidRPr="00D4309F">
              <w:rPr>
                <w:color w:val="211E1F"/>
                <w:spacing w:val="-2"/>
                <w:sz w:val="18"/>
              </w:rPr>
              <w:t xml:space="preserve"> </w:t>
            </w:r>
            <w:r w:rsidRPr="00D4309F">
              <w:rPr>
                <w:color w:val="211E1F"/>
                <w:sz w:val="18"/>
              </w:rPr>
              <w:t>where</w:t>
            </w:r>
            <w:r w:rsidRPr="00D4309F">
              <w:rPr>
                <w:color w:val="211E1F"/>
                <w:spacing w:val="-3"/>
                <w:sz w:val="18"/>
              </w:rPr>
              <w:t xml:space="preserve"> </w:t>
            </w:r>
            <w:r w:rsidRPr="00D4309F">
              <w:rPr>
                <w:color w:val="211E1F"/>
                <w:spacing w:val="-2"/>
                <w:sz w:val="18"/>
              </w:rPr>
              <w:t>practicable.</w:t>
            </w:r>
          </w:p>
        </w:tc>
        <w:tc>
          <w:tcPr>
            <w:tcW w:w="571" w:type="pct"/>
          </w:tcPr>
          <w:p w14:paraId="042CDFE7" w14:textId="3DF94587" w:rsidR="00785E37" w:rsidRPr="0019624B" w:rsidRDefault="00785E37" w:rsidP="00785E37">
            <w:pPr>
              <w:pStyle w:val="TableParagraph"/>
              <w:spacing w:before="41"/>
              <w:ind w:left="485"/>
              <w:rPr>
                <w:bCs/>
                <w:sz w:val="18"/>
              </w:rPr>
            </w:pPr>
            <w:r w:rsidRPr="00D4309F">
              <w:rPr>
                <w:color w:val="211E1F"/>
                <w:spacing w:val="-10"/>
                <w:sz w:val="18"/>
              </w:rPr>
              <w:t>1</w:t>
            </w:r>
          </w:p>
        </w:tc>
      </w:tr>
      <w:tr w:rsidR="00785E37" w:rsidRPr="00D4309F" w14:paraId="4DAB6292" w14:textId="77777777">
        <w:trPr>
          <w:trHeight w:val="286"/>
        </w:trPr>
        <w:tc>
          <w:tcPr>
            <w:tcW w:w="1002" w:type="pct"/>
            <w:vMerge/>
          </w:tcPr>
          <w:p w14:paraId="4AB79249" w14:textId="77777777" w:rsidR="00785E37" w:rsidRPr="00D4309F" w:rsidRDefault="00785E37" w:rsidP="00785E37">
            <w:pPr>
              <w:pStyle w:val="TableParagraph"/>
              <w:rPr>
                <w:rFonts w:ascii="Times New Roman"/>
                <w:sz w:val="18"/>
              </w:rPr>
            </w:pPr>
          </w:p>
        </w:tc>
        <w:tc>
          <w:tcPr>
            <w:tcW w:w="3427" w:type="pct"/>
          </w:tcPr>
          <w:p w14:paraId="7F73D208" w14:textId="77777777" w:rsidR="00785E37" w:rsidRPr="00D4309F" w:rsidRDefault="00785E37" w:rsidP="00785E37">
            <w:pPr>
              <w:pStyle w:val="TableParagraph"/>
              <w:spacing w:before="39"/>
              <w:ind w:left="165"/>
              <w:rPr>
                <w:sz w:val="18"/>
              </w:rPr>
            </w:pPr>
            <w:r w:rsidRPr="00D4309F">
              <w:rPr>
                <w:color w:val="211E1F"/>
                <w:sz w:val="18"/>
              </w:rPr>
              <w:t>Traditional</w:t>
            </w:r>
            <w:r w:rsidRPr="00D4309F">
              <w:rPr>
                <w:color w:val="211E1F"/>
                <w:spacing w:val="-3"/>
                <w:sz w:val="18"/>
              </w:rPr>
              <w:t xml:space="preserve"> </w:t>
            </w:r>
            <w:r w:rsidRPr="00D4309F">
              <w:rPr>
                <w:color w:val="211E1F"/>
                <w:sz w:val="18"/>
              </w:rPr>
              <w:t>Owners</w:t>
            </w:r>
            <w:r w:rsidRPr="00D4309F">
              <w:rPr>
                <w:color w:val="211E1F"/>
                <w:spacing w:val="-3"/>
                <w:sz w:val="18"/>
              </w:rPr>
              <w:t xml:space="preserve"> </w:t>
            </w:r>
            <w:r w:rsidRPr="00D4309F">
              <w:rPr>
                <w:color w:val="211E1F"/>
                <w:sz w:val="18"/>
              </w:rPr>
              <w:t>do</w:t>
            </w:r>
            <w:r w:rsidRPr="00D4309F">
              <w:rPr>
                <w:color w:val="211E1F"/>
                <w:spacing w:val="-3"/>
                <w:sz w:val="18"/>
              </w:rPr>
              <w:t xml:space="preserve"> </w:t>
            </w:r>
            <w:r w:rsidRPr="00D4309F">
              <w:rPr>
                <w:color w:val="211E1F"/>
                <w:sz w:val="18"/>
              </w:rPr>
              <w:t>not</w:t>
            </w:r>
            <w:r w:rsidRPr="00D4309F">
              <w:rPr>
                <w:color w:val="211E1F"/>
                <w:spacing w:val="-3"/>
                <w:sz w:val="18"/>
              </w:rPr>
              <w:t xml:space="preserve"> </w:t>
            </w:r>
            <w:r w:rsidRPr="00D4309F">
              <w:rPr>
                <w:color w:val="211E1F"/>
                <w:sz w:val="18"/>
              </w:rPr>
              <w:t>experience</w:t>
            </w:r>
            <w:r w:rsidRPr="00D4309F">
              <w:rPr>
                <w:color w:val="211E1F"/>
                <w:spacing w:val="-3"/>
                <w:sz w:val="18"/>
              </w:rPr>
              <w:t xml:space="preserve"> </w:t>
            </w:r>
            <w:r w:rsidRPr="00D4309F">
              <w:rPr>
                <w:color w:val="211E1F"/>
                <w:sz w:val="18"/>
              </w:rPr>
              <w:t>disturbance</w:t>
            </w:r>
            <w:r w:rsidRPr="00D4309F">
              <w:rPr>
                <w:color w:val="211E1F"/>
                <w:spacing w:val="-3"/>
                <w:sz w:val="18"/>
              </w:rPr>
              <w:t xml:space="preserve"> </w:t>
            </w:r>
            <w:r w:rsidRPr="00D4309F">
              <w:rPr>
                <w:color w:val="211E1F"/>
                <w:sz w:val="18"/>
              </w:rPr>
              <w:t>to</w:t>
            </w:r>
            <w:r w:rsidRPr="00D4309F">
              <w:rPr>
                <w:color w:val="211E1F"/>
                <w:spacing w:val="-4"/>
                <w:sz w:val="18"/>
              </w:rPr>
              <w:t xml:space="preserve"> </w:t>
            </w:r>
            <w:r w:rsidRPr="00D4309F">
              <w:rPr>
                <w:color w:val="211E1F"/>
                <w:sz w:val="18"/>
              </w:rPr>
              <w:t>cultural</w:t>
            </w:r>
            <w:r w:rsidRPr="00D4309F">
              <w:rPr>
                <w:color w:val="211E1F"/>
                <w:spacing w:val="-2"/>
                <w:sz w:val="18"/>
              </w:rPr>
              <w:t xml:space="preserve"> values</w:t>
            </w:r>
          </w:p>
        </w:tc>
        <w:tc>
          <w:tcPr>
            <w:tcW w:w="571" w:type="pct"/>
          </w:tcPr>
          <w:p w14:paraId="194D831B" w14:textId="0923F42D" w:rsidR="00785E37" w:rsidRPr="0019624B" w:rsidRDefault="00785E37" w:rsidP="00785E37">
            <w:pPr>
              <w:pStyle w:val="TableParagraph"/>
              <w:spacing w:before="39"/>
              <w:ind w:left="485"/>
              <w:rPr>
                <w:bCs/>
                <w:sz w:val="18"/>
              </w:rPr>
            </w:pPr>
            <w:r w:rsidRPr="00D4309F">
              <w:rPr>
                <w:color w:val="211E1F"/>
                <w:spacing w:val="-10"/>
                <w:sz w:val="18"/>
              </w:rPr>
              <w:t>3</w:t>
            </w:r>
          </w:p>
        </w:tc>
      </w:tr>
      <w:tr w:rsidR="00785E37" w:rsidRPr="00D4309F" w14:paraId="7D9717CF" w14:textId="77777777">
        <w:trPr>
          <w:trHeight w:val="287"/>
        </w:trPr>
        <w:tc>
          <w:tcPr>
            <w:tcW w:w="1002" w:type="pct"/>
            <w:vMerge/>
          </w:tcPr>
          <w:p w14:paraId="42F16AFB" w14:textId="77777777" w:rsidR="00785E37" w:rsidRPr="00D4309F" w:rsidRDefault="00785E37" w:rsidP="00785E37">
            <w:pPr>
              <w:pStyle w:val="TableParagraph"/>
              <w:rPr>
                <w:rFonts w:ascii="Times New Roman"/>
                <w:sz w:val="18"/>
              </w:rPr>
            </w:pPr>
          </w:p>
        </w:tc>
        <w:tc>
          <w:tcPr>
            <w:tcW w:w="3427" w:type="pct"/>
          </w:tcPr>
          <w:p w14:paraId="42A20742" w14:textId="77777777" w:rsidR="00785E37" w:rsidRPr="00D4309F" w:rsidRDefault="00785E37" w:rsidP="00785E37">
            <w:pPr>
              <w:pStyle w:val="TableParagraph"/>
              <w:spacing w:before="41"/>
              <w:ind w:left="165"/>
              <w:rPr>
                <w:sz w:val="18"/>
              </w:rPr>
            </w:pPr>
            <w:r w:rsidRPr="00D4309F">
              <w:rPr>
                <w:color w:val="211E1F"/>
                <w:sz w:val="18"/>
              </w:rPr>
              <w:t>Visual</w:t>
            </w:r>
            <w:r w:rsidRPr="00D4309F">
              <w:rPr>
                <w:color w:val="211E1F"/>
                <w:spacing w:val="-5"/>
                <w:sz w:val="18"/>
              </w:rPr>
              <w:t xml:space="preserve"> </w:t>
            </w:r>
            <w:r w:rsidRPr="00D4309F">
              <w:rPr>
                <w:color w:val="211E1F"/>
                <w:spacing w:val="-2"/>
                <w:sz w:val="18"/>
              </w:rPr>
              <w:t>amenity</w:t>
            </w:r>
          </w:p>
        </w:tc>
        <w:tc>
          <w:tcPr>
            <w:tcW w:w="571" w:type="pct"/>
          </w:tcPr>
          <w:p w14:paraId="5CFD5447" w14:textId="435B19B8" w:rsidR="00785E37" w:rsidRPr="0019624B" w:rsidRDefault="00785E37" w:rsidP="00785E37">
            <w:pPr>
              <w:pStyle w:val="TableParagraph"/>
              <w:spacing w:before="41"/>
              <w:ind w:left="485"/>
              <w:rPr>
                <w:bCs/>
                <w:sz w:val="18"/>
              </w:rPr>
            </w:pPr>
            <w:r w:rsidRPr="00D4309F">
              <w:rPr>
                <w:color w:val="211E1F"/>
                <w:spacing w:val="-10"/>
                <w:sz w:val="18"/>
              </w:rPr>
              <w:t>1</w:t>
            </w:r>
          </w:p>
        </w:tc>
      </w:tr>
      <w:tr w:rsidR="00785E37" w:rsidRPr="00D4309F" w14:paraId="260AAAF6" w14:textId="77777777">
        <w:trPr>
          <w:trHeight w:val="286"/>
        </w:trPr>
        <w:tc>
          <w:tcPr>
            <w:tcW w:w="1002" w:type="pct"/>
            <w:vMerge/>
          </w:tcPr>
          <w:p w14:paraId="28794F3F" w14:textId="77777777" w:rsidR="00785E37" w:rsidRPr="00D4309F" w:rsidRDefault="00785E37" w:rsidP="00785E37">
            <w:pPr>
              <w:pStyle w:val="TableParagraph"/>
              <w:rPr>
                <w:rFonts w:ascii="Times New Roman"/>
                <w:sz w:val="18"/>
              </w:rPr>
            </w:pPr>
          </w:p>
        </w:tc>
        <w:tc>
          <w:tcPr>
            <w:tcW w:w="3427" w:type="pct"/>
          </w:tcPr>
          <w:p w14:paraId="50E1DEDB" w14:textId="77777777" w:rsidR="00785E37" w:rsidRPr="00D4309F" w:rsidRDefault="00785E37" w:rsidP="00785E37">
            <w:pPr>
              <w:pStyle w:val="TableParagraph"/>
              <w:spacing w:before="39"/>
              <w:ind w:left="165"/>
              <w:rPr>
                <w:sz w:val="18"/>
              </w:rPr>
            </w:pPr>
            <w:r w:rsidRPr="00D4309F">
              <w:rPr>
                <w:color w:val="211E1F"/>
                <w:sz w:val="18"/>
              </w:rPr>
              <w:t>Community</w:t>
            </w:r>
            <w:r w:rsidRPr="00D4309F">
              <w:rPr>
                <w:color w:val="211E1F"/>
                <w:spacing w:val="-3"/>
                <w:sz w:val="18"/>
              </w:rPr>
              <w:t xml:space="preserve"> </w:t>
            </w:r>
            <w:r w:rsidRPr="00D4309F">
              <w:rPr>
                <w:color w:val="211E1F"/>
                <w:sz w:val="18"/>
              </w:rPr>
              <w:t>amenity</w:t>
            </w:r>
            <w:r w:rsidRPr="00D4309F">
              <w:rPr>
                <w:color w:val="211E1F"/>
                <w:spacing w:val="-2"/>
                <w:sz w:val="18"/>
              </w:rPr>
              <w:t xml:space="preserve"> </w:t>
            </w:r>
            <w:r w:rsidRPr="00D4309F">
              <w:rPr>
                <w:color w:val="211E1F"/>
                <w:sz w:val="18"/>
              </w:rPr>
              <w:t>(inc.</w:t>
            </w:r>
            <w:r w:rsidRPr="00D4309F">
              <w:rPr>
                <w:color w:val="211E1F"/>
                <w:spacing w:val="-2"/>
                <w:sz w:val="18"/>
              </w:rPr>
              <w:t xml:space="preserve"> </w:t>
            </w:r>
            <w:r w:rsidRPr="00D4309F">
              <w:rPr>
                <w:color w:val="211E1F"/>
                <w:sz w:val="18"/>
              </w:rPr>
              <w:t>noise</w:t>
            </w:r>
            <w:r w:rsidRPr="00D4309F">
              <w:rPr>
                <w:color w:val="211E1F"/>
                <w:spacing w:val="-3"/>
                <w:sz w:val="18"/>
              </w:rPr>
              <w:t xml:space="preserve"> </w:t>
            </w:r>
            <w:r w:rsidRPr="00D4309F">
              <w:rPr>
                <w:color w:val="211E1F"/>
                <w:sz w:val="18"/>
              </w:rPr>
              <w:t>from</w:t>
            </w:r>
            <w:r w:rsidRPr="00D4309F">
              <w:rPr>
                <w:color w:val="211E1F"/>
                <w:spacing w:val="-2"/>
                <w:sz w:val="18"/>
              </w:rPr>
              <w:t xml:space="preserve"> pumps)</w:t>
            </w:r>
          </w:p>
        </w:tc>
        <w:tc>
          <w:tcPr>
            <w:tcW w:w="571" w:type="pct"/>
          </w:tcPr>
          <w:p w14:paraId="042F4F87" w14:textId="452FF8DB" w:rsidR="00785E37" w:rsidRPr="0019624B" w:rsidRDefault="00785E37" w:rsidP="00785E37">
            <w:pPr>
              <w:pStyle w:val="TableParagraph"/>
              <w:spacing w:before="39"/>
              <w:ind w:left="484"/>
              <w:rPr>
                <w:bCs/>
                <w:sz w:val="18"/>
              </w:rPr>
            </w:pPr>
            <w:r w:rsidRPr="00D4309F">
              <w:rPr>
                <w:color w:val="211E1F"/>
                <w:spacing w:val="-10"/>
                <w:sz w:val="18"/>
              </w:rPr>
              <w:t>2</w:t>
            </w:r>
          </w:p>
        </w:tc>
      </w:tr>
      <w:tr w:rsidR="00785E37" w:rsidRPr="00D4309F" w14:paraId="2448C6DA" w14:textId="77777777">
        <w:trPr>
          <w:trHeight w:val="247"/>
        </w:trPr>
        <w:tc>
          <w:tcPr>
            <w:tcW w:w="1002" w:type="pct"/>
            <w:vMerge/>
          </w:tcPr>
          <w:p w14:paraId="024D6CB3" w14:textId="77777777" w:rsidR="00785E37" w:rsidRPr="00D4309F" w:rsidRDefault="00785E37" w:rsidP="00785E37">
            <w:pPr>
              <w:pStyle w:val="TableParagraph"/>
              <w:rPr>
                <w:rFonts w:ascii="Times New Roman"/>
                <w:sz w:val="18"/>
              </w:rPr>
            </w:pPr>
          </w:p>
        </w:tc>
        <w:tc>
          <w:tcPr>
            <w:tcW w:w="3427" w:type="pct"/>
          </w:tcPr>
          <w:p w14:paraId="6F4FAD85" w14:textId="77777777" w:rsidR="00785E37" w:rsidRPr="00D4309F" w:rsidRDefault="00785E37" w:rsidP="00785E37">
            <w:pPr>
              <w:pStyle w:val="TableParagraph"/>
              <w:spacing w:before="41" w:line="187" w:lineRule="exact"/>
              <w:ind w:left="165"/>
              <w:rPr>
                <w:sz w:val="18"/>
              </w:rPr>
            </w:pPr>
            <w:r w:rsidRPr="00D4309F">
              <w:rPr>
                <w:color w:val="211E1F"/>
                <w:sz w:val="18"/>
              </w:rPr>
              <w:t>Beach</w:t>
            </w:r>
            <w:r w:rsidRPr="00D4309F">
              <w:rPr>
                <w:color w:val="211E1F"/>
                <w:spacing w:val="-5"/>
                <w:sz w:val="18"/>
              </w:rPr>
              <w:t xml:space="preserve"> </w:t>
            </w:r>
            <w:r w:rsidRPr="00D4309F">
              <w:rPr>
                <w:color w:val="211E1F"/>
                <w:sz w:val="18"/>
              </w:rPr>
              <w:t>users</w:t>
            </w:r>
            <w:r w:rsidRPr="00D4309F">
              <w:rPr>
                <w:color w:val="211E1F"/>
                <w:spacing w:val="-2"/>
                <w:sz w:val="18"/>
              </w:rPr>
              <w:t xml:space="preserve"> experience</w:t>
            </w:r>
          </w:p>
        </w:tc>
        <w:tc>
          <w:tcPr>
            <w:tcW w:w="571" w:type="pct"/>
          </w:tcPr>
          <w:p w14:paraId="5EC0C4BF" w14:textId="0804C427" w:rsidR="00785E37" w:rsidRPr="0019624B" w:rsidRDefault="00785E37" w:rsidP="00785E37">
            <w:pPr>
              <w:pStyle w:val="TableParagraph"/>
              <w:spacing w:before="41" w:line="187" w:lineRule="exact"/>
              <w:ind w:left="485"/>
              <w:rPr>
                <w:bCs/>
                <w:sz w:val="18"/>
              </w:rPr>
            </w:pPr>
            <w:r w:rsidRPr="00D4309F">
              <w:rPr>
                <w:color w:val="211E1F"/>
                <w:spacing w:val="-10"/>
                <w:sz w:val="18"/>
              </w:rPr>
              <w:t>4</w:t>
            </w:r>
          </w:p>
        </w:tc>
      </w:tr>
      <w:tr w:rsidR="00785E37" w:rsidRPr="00D4309F" w14:paraId="0C7BC940" w14:textId="77777777">
        <w:trPr>
          <w:trHeight w:val="247"/>
        </w:trPr>
        <w:tc>
          <w:tcPr>
            <w:tcW w:w="1002" w:type="pct"/>
            <w:vMerge/>
          </w:tcPr>
          <w:p w14:paraId="17016F84" w14:textId="77777777" w:rsidR="00785E37" w:rsidRPr="00D4309F" w:rsidRDefault="00785E37" w:rsidP="00785E37">
            <w:pPr>
              <w:pStyle w:val="TableParagraph"/>
              <w:rPr>
                <w:rFonts w:ascii="Times New Roman"/>
                <w:sz w:val="18"/>
              </w:rPr>
            </w:pPr>
          </w:p>
        </w:tc>
        <w:tc>
          <w:tcPr>
            <w:tcW w:w="3427" w:type="pct"/>
          </w:tcPr>
          <w:p w14:paraId="2D1FD805"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Safe</w:t>
            </w:r>
            <w:r w:rsidRPr="00D4309F">
              <w:rPr>
                <w:color w:val="211E1F"/>
                <w:spacing w:val="-4"/>
                <w:sz w:val="18"/>
              </w:rPr>
              <w:t xml:space="preserve"> </w:t>
            </w:r>
            <w:r w:rsidRPr="00D4309F">
              <w:rPr>
                <w:color w:val="211E1F"/>
                <w:sz w:val="18"/>
              </w:rPr>
              <w:t>access</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business</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recreational</w:t>
            </w:r>
            <w:r w:rsidRPr="00D4309F">
              <w:rPr>
                <w:color w:val="211E1F"/>
                <w:spacing w:val="-2"/>
                <w:sz w:val="18"/>
              </w:rPr>
              <w:t xml:space="preserve"> </w:t>
            </w:r>
            <w:r w:rsidRPr="00D4309F">
              <w:rPr>
                <w:color w:val="211E1F"/>
                <w:spacing w:val="-4"/>
                <w:sz w:val="18"/>
              </w:rPr>
              <w:t>users</w:t>
            </w:r>
          </w:p>
        </w:tc>
        <w:tc>
          <w:tcPr>
            <w:tcW w:w="571" w:type="pct"/>
          </w:tcPr>
          <w:p w14:paraId="39AF1314" w14:textId="3CE52DFC"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3</w:t>
            </w:r>
          </w:p>
        </w:tc>
      </w:tr>
      <w:tr w:rsidR="00785E37" w:rsidRPr="00D4309F" w14:paraId="5D2DA4C2" w14:textId="77777777">
        <w:trPr>
          <w:trHeight w:val="247"/>
        </w:trPr>
        <w:tc>
          <w:tcPr>
            <w:tcW w:w="1002" w:type="pct"/>
            <w:vMerge/>
          </w:tcPr>
          <w:p w14:paraId="03E44DB5" w14:textId="77777777" w:rsidR="00785E37" w:rsidRPr="00D4309F" w:rsidRDefault="00785E37" w:rsidP="00785E37">
            <w:pPr>
              <w:pStyle w:val="TableParagraph"/>
              <w:rPr>
                <w:rFonts w:ascii="Times New Roman"/>
                <w:sz w:val="18"/>
              </w:rPr>
            </w:pPr>
          </w:p>
        </w:tc>
        <w:tc>
          <w:tcPr>
            <w:tcW w:w="3427" w:type="pct"/>
          </w:tcPr>
          <w:p w14:paraId="6885C7BB"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Reliable</w:t>
            </w:r>
            <w:r w:rsidRPr="00D4309F">
              <w:rPr>
                <w:color w:val="211E1F"/>
                <w:spacing w:val="-4"/>
                <w:sz w:val="18"/>
              </w:rPr>
              <w:t xml:space="preserve"> </w:t>
            </w:r>
            <w:r w:rsidRPr="00D4309F">
              <w:rPr>
                <w:color w:val="211E1F"/>
                <w:sz w:val="18"/>
              </w:rPr>
              <w:t>access</w:t>
            </w:r>
            <w:r w:rsidRPr="00D4309F">
              <w:rPr>
                <w:color w:val="211E1F"/>
                <w:spacing w:val="-3"/>
                <w:sz w:val="18"/>
              </w:rPr>
              <w:t xml:space="preserve"> </w:t>
            </w:r>
            <w:r w:rsidRPr="00D4309F">
              <w:rPr>
                <w:color w:val="211E1F"/>
                <w:sz w:val="18"/>
              </w:rPr>
              <w:t>for</w:t>
            </w:r>
            <w:r w:rsidRPr="00D4309F">
              <w:rPr>
                <w:color w:val="211E1F"/>
                <w:spacing w:val="-3"/>
                <w:sz w:val="18"/>
              </w:rPr>
              <w:t xml:space="preserve"> </w:t>
            </w:r>
            <w:r w:rsidRPr="00D4309F">
              <w:rPr>
                <w:color w:val="211E1F"/>
                <w:sz w:val="18"/>
              </w:rPr>
              <w:t>business</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recreational</w:t>
            </w:r>
            <w:r w:rsidRPr="00D4309F">
              <w:rPr>
                <w:color w:val="211E1F"/>
                <w:spacing w:val="-3"/>
                <w:sz w:val="18"/>
              </w:rPr>
              <w:t xml:space="preserve"> </w:t>
            </w:r>
            <w:r w:rsidRPr="00D4309F">
              <w:rPr>
                <w:color w:val="211E1F"/>
                <w:spacing w:val="-4"/>
                <w:sz w:val="18"/>
              </w:rPr>
              <w:t>users</w:t>
            </w:r>
          </w:p>
        </w:tc>
        <w:tc>
          <w:tcPr>
            <w:tcW w:w="571" w:type="pct"/>
          </w:tcPr>
          <w:p w14:paraId="6F4C4CDD" w14:textId="119D6C2E"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3</w:t>
            </w:r>
          </w:p>
        </w:tc>
      </w:tr>
      <w:tr w:rsidR="00785E37" w:rsidRPr="00D4309F" w14:paraId="5FEA30F1" w14:textId="77777777">
        <w:trPr>
          <w:trHeight w:val="247"/>
        </w:trPr>
        <w:tc>
          <w:tcPr>
            <w:tcW w:w="1002" w:type="pct"/>
            <w:vMerge/>
          </w:tcPr>
          <w:p w14:paraId="3B1684A9" w14:textId="77777777" w:rsidR="00785E37" w:rsidRPr="00D4309F" w:rsidRDefault="00785E37" w:rsidP="00785E37">
            <w:pPr>
              <w:pStyle w:val="TableParagraph"/>
              <w:rPr>
                <w:rFonts w:ascii="Times New Roman"/>
                <w:sz w:val="18"/>
              </w:rPr>
            </w:pPr>
          </w:p>
        </w:tc>
        <w:tc>
          <w:tcPr>
            <w:tcW w:w="3427" w:type="pct"/>
          </w:tcPr>
          <w:p w14:paraId="69EC2D98"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Broader</w:t>
            </w:r>
            <w:r w:rsidRPr="00D4309F">
              <w:rPr>
                <w:color w:val="211E1F"/>
                <w:spacing w:val="-6"/>
                <w:sz w:val="18"/>
              </w:rPr>
              <w:t xml:space="preserve"> </w:t>
            </w:r>
            <w:r w:rsidRPr="00D4309F">
              <w:rPr>
                <w:color w:val="211E1F"/>
                <w:sz w:val="18"/>
              </w:rPr>
              <w:t>economic</w:t>
            </w:r>
            <w:r w:rsidRPr="00D4309F">
              <w:rPr>
                <w:color w:val="211E1F"/>
                <w:spacing w:val="-4"/>
                <w:sz w:val="18"/>
              </w:rPr>
              <w:t xml:space="preserve"> </w:t>
            </w:r>
            <w:r w:rsidRPr="00D4309F">
              <w:rPr>
                <w:color w:val="211E1F"/>
                <w:sz w:val="18"/>
              </w:rPr>
              <w:t>considerations</w:t>
            </w:r>
            <w:r w:rsidRPr="00D4309F">
              <w:rPr>
                <w:color w:val="211E1F"/>
                <w:spacing w:val="-3"/>
                <w:sz w:val="18"/>
              </w:rPr>
              <w:t xml:space="preserve"> </w:t>
            </w:r>
            <w:r w:rsidRPr="00D4309F">
              <w:rPr>
                <w:color w:val="211E1F"/>
                <w:sz w:val="18"/>
              </w:rPr>
              <w:t>during</w:t>
            </w:r>
            <w:r w:rsidRPr="00D4309F">
              <w:rPr>
                <w:color w:val="211E1F"/>
                <w:spacing w:val="-5"/>
                <w:sz w:val="18"/>
              </w:rPr>
              <w:t xml:space="preserve"> </w:t>
            </w:r>
            <w:r w:rsidRPr="00D4309F">
              <w:rPr>
                <w:color w:val="211E1F"/>
                <w:sz w:val="18"/>
              </w:rPr>
              <w:t>construction</w:t>
            </w:r>
            <w:r w:rsidRPr="00D4309F">
              <w:rPr>
                <w:color w:val="211E1F"/>
                <w:spacing w:val="-4"/>
                <w:sz w:val="18"/>
              </w:rPr>
              <w:t xml:space="preserve"> </w:t>
            </w:r>
            <w:r w:rsidRPr="00D4309F">
              <w:rPr>
                <w:color w:val="211E1F"/>
                <w:sz w:val="18"/>
              </w:rPr>
              <w:t>and</w:t>
            </w:r>
            <w:r w:rsidRPr="00D4309F">
              <w:rPr>
                <w:color w:val="211E1F"/>
                <w:spacing w:val="-4"/>
                <w:sz w:val="18"/>
              </w:rPr>
              <w:t xml:space="preserve"> </w:t>
            </w:r>
            <w:r w:rsidRPr="00D4309F">
              <w:rPr>
                <w:color w:val="211E1F"/>
                <w:spacing w:val="-2"/>
                <w:sz w:val="18"/>
              </w:rPr>
              <w:t>operation</w:t>
            </w:r>
          </w:p>
        </w:tc>
        <w:tc>
          <w:tcPr>
            <w:tcW w:w="571" w:type="pct"/>
          </w:tcPr>
          <w:p w14:paraId="249E1722" w14:textId="7B18071B"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4</w:t>
            </w:r>
          </w:p>
        </w:tc>
      </w:tr>
      <w:tr w:rsidR="00785E37" w:rsidRPr="00D4309F" w14:paraId="476EE097" w14:textId="77777777">
        <w:trPr>
          <w:trHeight w:val="247"/>
        </w:trPr>
        <w:tc>
          <w:tcPr>
            <w:tcW w:w="1002" w:type="pct"/>
            <w:vMerge/>
          </w:tcPr>
          <w:p w14:paraId="3664733B" w14:textId="77777777" w:rsidR="00785E37" w:rsidRPr="00D4309F" w:rsidRDefault="00785E37" w:rsidP="00785E37">
            <w:pPr>
              <w:pStyle w:val="TableParagraph"/>
              <w:rPr>
                <w:rFonts w:ascii="Times New Roman"/>
                <w:sz w:val="18"/>
              </w:rPr>
            </w:pPr>
          </w:p>
        </w:tc>
        <w:tc>
          <w:tcPr>
            <w:tcW w:w="3427" w:type="pct"/>
          </w:tcPr>
          <w:p w14:paraId="46A56491"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Environmental</w:t>
            </w:r>
            <w:r w:rsidRPr="00D4309F">
              <w:rPr>
                <w:color w:val="211E1F"/>
                <w:spacing w:val="-5"/>
                <w:sz w:val="18"/>
              </w:rPr>
              <w:t xml:space="preserve"> </w:t>
            </w:r>
            <w:r w:rsidRPr="00D4309F">
              <w:rPr>
                <w:color w:val="211E1F"/>
                <w:sz w:val="18"/>
              </w:rPr>
              <w:t>impact</w:t>
            </w:r>
            <w:r w:rsidRPr="00D4309F">
              <w:rPr>
                <w:color w:val="211E1F"/>
                <w:spacing w:val="-4"/>
                <w:sz w:val="18"/>
              </w:rPr>
              <w:t xml:space="preserve"> </w:t>
            </w:r>
            <w:r w:rsidRPr="00D4309F">
              <w:rPr>
                <w:color w:val="211E1F"/>
                <w:spacing w:val="-2"/>
                <w:sz w:val="18"/>
              </w:rPr>
              <w:t>perceptions</w:t>
            </w:r>
          </w:p>
        </w:tc>
        <w:tc>
          <w:tcPr>
            <w:tcW w:w="571" w:type="pct"/>
          </w:tcPr>
          <w:p w14:paraId="520FE91D" w14:textId="13FDE09E"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1</w:t>
            </w:r>
          </w:p>
        </w:tc>
      </w:tr>
      <w:tr w:rsidR="00785E37" w:rsidRPr="00D4309F" w14:paraId="55C13E75" w14:textId="77777777">
        <w:trPr>
          <w:trHeight w:val="247"/>
        </w:trPr>
        <w:tc>
          <w:tcPr>
            <w:tcW w:w="1002" w:type="pct"/>
            <w:vMerge/>
          </w:tcPr>
          <w:p w14:paraId="03AADFA5" w14:textId="77777777" w:rsidR="00785E37" w:rsidRPr="00D4309F" w:rsidRDefault="00785E37" w:rsidP="00785E37">
            <w:pPr>
              <w:pStyle w:val="TableParagraph"/>
              <w:rPr>
                <w:rFonts w:ascii="Times New Roman"/>
                <w:sz w:val="18"/>
              </w:rPr>
            </w:pPr>
          </w:p>
        </w:tc>
        <w:tc>
          <w:tcPr>
            <w:tcW w:w="3427" w:type="pct"/>
          </w:tcPr>
          <w:p w14:paraId="4D5267CD" w14:textId="77777777" w:rsidR="00785E37" w:rsidRPr="00D4309F" w:rsidRDefault="00785E37" w:rsidP="00785E37">
            <w:pPr>
              <w:pStyle w:val="TableParagraph"/>
              <w:spacing w:before="41" w:line="187" w:lineRule="exact"/>
              <w:ind w:left="165"/>
              <w:rPr>
                <w:color w:val="211E1F"/>
                <w:sz w:val="18"/>
              </w:rPr>
            </w:pPr>
          </w:p>
        </w:tc>
        <w:tc>
          <w:tcPr>
            <w:tcW w:w="571" w:type="pct"/>
          </w:tcPr>
          <w:p w14:paraId="6D64F96A" w14:textId="77777777" w:rsidR="00785E37" w:rsidRPr="00D4309F" w:rsidRDefault="00785E37" w:rsidP="00785E37">
            <w:pPr>
              <w:pStyle w:val="TableParagraph"/>
              <w:spacing w:before="41" w:line="187" w:lineRule="exact"/>
              <w:ind w:left="485"/>
              <w:rPr>
                <w:color w:val="211E1F"/>
                <w:spacing w:val="-10"/>
                <w:sz w:val="18"/>
              </w:rPr>
            </w:pPr>
          </w:p>
        </w:tc>
      </w:tr>
      <w:tr w:rsidR="00785E37" w:rsidRPr="00D4309F" w14:paraId="1C1A0115" w14:textId="77777777">
        <w:trPr>
          <w:trHeight w:val="247"/>
        </w:trPr>
        <w:tc>
          <w:tcPr>
            <w:tcW w:w="1002" w:type="pct"/>
            <w:vMerge/>
          </w:tcPr>
          <w:p w14:paraId="7185FE85" w14:textId="77777777" w:rsidR="00785E37" w:rsidRPr="00D4309F" w:rsidRDefault="00785E37" w:rsidP="00785E37">
            <w:pPr>
              <w:pStyle w:val="TableParagraph"/>
              <w:rPr>
                <w:rFonts w:ascii="Times New Roman"/>
                <w:sz w:val="18"/>
              </w:rPr>
            </w:pPr>
          </w:p>
        </w:tc>
        <w:tc>
          <w:tcPr>
            <w:tcW w:w="3427" w:type="pct"/>
          </w:tcPr>
          <w:p w14:paraId="3C82235C" w14:textId="77777777" w:rsidR="00785E37" w:rsidRPr="00D4309F" w:rsidRDefault="00785E37" w:rsidP="00785E37">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679361C0" w14:textId="1D490F56" w:rsidR="00785E37" w:rsidRPr="00D4309F" w:rsidRDefault="00785E37" w:rsidP="00785E37">
            <w:pPr>
              <w:pStyle w:val="TableParagraph"/>
              <w:spacing w:before="41" w:line="187" w:lineRule="exact"/>
              <w:ind w:left="485"/>
              <w:rPr>
                <w:color w:val="211E1F"/>
                <w:spacing w:val="-10"/>
                <w:sz w:val="18"/>
              </w:rPr>
            </w:pPr>
            <w:r w:rsidRPr="00D4309F">
              <w:rPr>
                <w:b/>
                <w:color w:val="211E1F"/>
                <w:spacing w:val="-5"/>
                <w:sz w:val="18"/>
              </w:rPr>
              <w:t>22</w:t>
            </w:r>
          </w:p>
        </w:tc>
      </w:tr>
      <w:tr w:rsidR="00785E37" w:rsidRPr="00D4309F" w14:paraId="1B8BDBAE" w14:textId="77777777">
        <w:trPr>
          <w:trHeight w:val="247"/>
        </w:trPr>
        <w:tc>
          <w:tcPr>
            <w:tcW w:w="1002" w:type="pct"/>
            <w:vMerge w:val="restart"/>
          </w:tcPr>
          <w:p w14:paraId="2CA83F8C" w14:textId="77777777" w:rsidR="00785E37" w:rsidRPr="00D4309F" w:rsidRDefault="00785E37" w:rsidP="00785E37">
            <w:pPr>
              <w:pStyle w:val="TableParagraph"/>
              <w:rPr>
                <w:rFonts w:ascii="Times New Roman"/>
                <w:sz w:val="18"/>
              </w:rPr>
            </w:pPr>
            <w:r w:rsidRPr="00D4309F">
              <w:rPr>
                <w:b/>
                <w:color w:val="211E1F"/>
                <w:spacing w:val="-2"/>
                <w:sz w:val="18"/>
              </w:rPr>
              <w:t>Environmental</w:t>
            </w:r>
          </w:p>
        </w:tc>
        <w:tc>
          <w:tcPr>
            <w:tcW w:w="3427" w:type="pct"/>
          </w:tcPr>
          <w:p w14:paraId="4D9AAB2F"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Marine</w:t>
            </w:r>
            <w:r w:rsidRPr="00D4309F">
              <w:rPr>
                <w:color w:val="211E1F"/>
                <w:spacing w:val="-4"/>
                <w:sz w:val="18"/>
              </w:rPr>
              <w:t xml:space="preserve"> </w:t>
            </w:r>
            <w:r w:rsidRPr="00D4309F">
              <w:rPr>
                <w:color w:val="211E1F"/>
                <w:sz w:val="18"/>
              </w:rPr>
              <w:t>water</w:t>
            </w:r>
            <w:r w:rsidRPr="00D4309F">
              <w:rPr>
                <w:color w:val="211E1F"/>
                <w:spacing w:val="-3"/>
                <w:sz w:val="18"/>
              </w:rPr>
              <w:t xml:space="preserve"> </w:t>
            </w:r>
            <w:r w:rsidRPr="00D4309F">
              <w:rPr>
                <w:color w:val="211E1F"/>
                <w:sz w:val="18"/>
              </w:rPr>
              <w:t>quality</w:t>
            </w:r>
            <w:r w:rsidRPr="00D4309F">
              <w:rPr>
                <w:color w:val="211E1F"/>
                <w:spacing w:val="-3"/>
                <w:sz w:val="18"/>
              </w:rPr>
              <w:t xml:space="preserve"> </w:t>
            </w:r>
            <w:r w:rsidRPr="00D4309F">
              <w:rPr>
                <w:color w:val="211E1F"/>
                <w:spacing w:val="-2"/>
                <w:sz w:val="18"/>
              </w:rPr>
              <w:t>impacts</w:t>
            </w:r>
          </w:p>
        </w:tc>
        <w:tc>
          <w:tcPr>
            <w:tcW w:w="571" w:type="pct"/>
          </w:tcPr>
          <w:p w14:paraId="41A6154C" w14:textId="60443CB6"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2</w:t>
            </w:r>
          </w:p>
        </w:tc>
      </w:tr>
      <w:tr w:rsidR="00785E37" w:rsidRPr="00D4309F" w14:paraId="3EA60EEF" w14:textId="77777777">
        <w:trPr>
          <w:trHeight w:val="247"/>
        </w:trPr>
        <w:tc>
          <w:tcPr>
            <w:tcW w:w="1002" w:type="pct"/>
            <w:vMerge/>
          </w:tcPr>
          <w:p w14:paraId="5F77583C" w14:textId="77777777" w:rsidR="00785E37" w:rsidRPr="00D4309F" w:rsidRDefault="00785E37" w:rsidP="00785E37">
            <w:pPr>
              <w:pStyle w:val="TableParagraph"/>
              <w:rPr>
                <w:rFonts w:ascii="Times New Roman"/>
                <w:sz w:val="18"/>
              </w:rPr>
            </w:pPr>
          </w:p>
        </w:tc>
        <w:tc>
          <w:tcPr>
            <w:tcW w:w="3427" w:type="pct"/>
          </w:tcPr>
          <w:p w14:paraId="0080CE37"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Marine</w:t>
            </w:r>
            <w:r w:rsidRPr="00D4309F">
              <w:rPr>
                <w:color w:val="211E1F"/>
                <w:spacing w:val="-2"/>
                <w:sz w:val="18"/>
              </w:rPr>
              <w:t xml:space="preserve"> </w:t>
            </w:r>
            <w:r w:rsidRPr="00D4309F">
              <w:rPr>
                <w:color w:val="211E1F"/>
                <w:sz w:val="18"/>
              </w:rPr>
              <w:t>habitats</w:t>
            </w:r>
            <w:r w:rsidRPr="00D4309F">
              <w:rPr>
                <w:color w:val="211E1F"/>
                <w:spacing w:val="-3"/>
                <w:sz w:val="18"/>
              </w:rPr>
              <w:t xml:space="preserve"> </w:t>
            </w:r>
            <w:r w:rsidRPr="00D4309F">
              <w:rPr>
                <w:color w:val="211E1F"/>
                <w:sz w:val="18"/>
              </w:rPr>
              <w:t>&amp;</w:t>
            </w:r>
            <w:r w:rsidRPr="00D4309F">
              <w:rPr>
                <w:color w:val="211E1F"/>
                <w:spacing w:val="-3"/>
                <w:sz w:val="18"/>
              </w:rPr>
              <w:t xml:space="preserve"> </w:t>
            </w:r>
            <w:r w:rsidRPr="00D4309F">
              <w:rPr>
                <w:color w:val="211E1F"/>
                <w:sz w:val="18"/>
              </w:rPr>
              <w:t>protected</w:t>
            </w:r>
            <w:r w:rsidRPr="00D4309F">
              <w:rPr>
                <w:color w:val="211E1F"/>
                <w:spacing w:val="-4"/>
                <w:sz w:val="18"/>
              </w:rPr>
              <w:t xml:space="preserve"> </w:t>
            </w:r>
            <w:r w:rsidRPr="00D4309F">
              <w:rPr>
                <w:color w:val="211E1F"/>
                <w:sz w:val="18"/>
              </w:rPr>
              <w:t>species</w:t>
            </w:r>
            <w:r w:rsidRPr="00D4309F">
              <w:rPr>
                <w:color w:val="211E1F"/>
                <w:spacing w:val="-2"/>
                <w:sz w:val="18"/>
              </w:rPr>
              <w:t xml:space="preserve"> impacts</w:t>
            </w:r>
          </w:p>
        </w:tc>
        <w:tc>
          <w:tcPr>
            <w:tcW w:w="571" w:type="pct"/>
          </w:tcPr>
          <w:p w14:paraId="6873D457" w14:textId="29463045"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1</w:t>
            </w:r>
          </w:p>
        </w:tc>
      </w:tr>
      <w:tr w:rsidR="00785E37" w:rsidRPr="00D4309F" w14:paraId="7ADC6B40" w14:textId="77777777">
        <w:trPr>
          <w:trHeight w:val="247"/>
        </w:trPr>
        <w:tc>
          <w:tcPr>
            <w:tcW w:w="1002" w:type="pct"/>
            <w:vMerge/>
          </w:tcPr>
          <w:p w14:paraId="0397B966" w14:textId="77777777" w:rsidR="00785E37" w:rsidRPr="00D4309F" w:rsidRDefault="00785E37" w:rsidP="00785E37">
            <w:pPr>
              <w:pStyle w:val="TableParagraph"/>
              <w:rPr>
                <w:rFonts w:ascii="Times New Roman"/>
                <w:sz w:val="18"/>
              </w:rPr>
            </w:pPr>
          </w:p>
        </w:tc>
        <w:tc>
          <w:tcPr>
            <w:tcW w:w="3427" w:type="pct"/>
          </w:tcPr>
          <w:p w14:paraId="6EB037F9"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Terrestrial</w:t>
            </w:r>
            <w:r w:rsidRPr="00D4309F">
              <w:rPr>
                <w:color w:val="211E1F"/>
                <w:spacing w:val="-3"/>
                <w:sz w:val="18"/>
              </w:rPr>
              <w:t xml:space="preserve"> </w:t>
            </w:r>
            <w:r w:rsidRPr="00D4309F">
              <w:rPr>
                <w:color w:val="211E1F"/>
                <w:sz w:val="18"/>
              </w:rPr>
              <w:t>habitats</w:t>
            </w:r>
            <w:r w:rsidRPr="00D4309F">
              <w:rPr>
                <w:color w:val="211E1F"/>
                <w:spacing w:val="-3"/>
                <w:sz w:val="18"/>
              </w:rPr>
              <w:t xml:space="preserve"> </w:t>
            </w:r>
            <w:r w:rsidRPr="00D4309F">
              <w:rPr>
                <w:color w:val="211E1F"/>
                <w:sz w:val="18"/>
              </w:rPr>
              <w:t>&amp;</w:t>
            </w:r>
            <w:r w:rsidRPr="00D4309F">
              <w:rPr>
                <w:color w:val="211E1F"/>
                <w:spacing w:val="-3"/>
                <w:sz w:val="18"/>
              </w:rPr>
              <w:t xml:space="preserve"> </w:t>
            </w:r>
            <w:r w:rsidRPr="00D4309F">
              <w:rPr>
                <w:color w:val="211E1F"/>
                <w:sz w:val="18"/>
              </w:rPr>
              <w:t>protected</w:t>
            </w:r>
            <w:r w:rsidRPr="00D4309F">
              <w:rPr>
                <w:color w:val="211E1F"/>
                <w:spacing w:val="-4"/>
                <w:sz w:val="18"/>
              </w:rPr>
              <w:t xml:space="preserve"> </w:t>
            </w:r>
            <w:r w:rsidRPr="00D4309F">
              <w:rPr>
                <w:color w:val="211E1F"/>
                <w:sz w:val="18"/>
              </w:rPr>
              <w:t>species</w:t>
            </w:r>
            <w:r w:rsidRPr="00D4309F">
              <w:rPr>
                <w:color w:val="211E1F"/>
                <w:spacing w:val="-2"/>
                <w:sz w:val="18"/>
              </w:rPr>
              <w:t xml:space="preserve"> impacts</w:t>
            </w:r>
          </w:p>
        </w:tc>
        <w:tc>
          <w:tcPr>
            <w:tcW w:w="571" w:type="pct"/>
          </w:tcPr>
          <w:p w14:paraId="796034F4" w14:textId="6AA9F415"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1</w:t>
            </w:r>
          </w:p>
        </w:tc>
      </w:tr>
      <w:tr w:rsidR="00785E37" w:rsidRPr="00D4309F" w14:paraId="097C85C7" w14:textId="77777777">
        <w:trPr>
          <w:trHeight w:val="247"/>
        </w:trPr>
        <w:tc>
          <w:tcPr>
            <w:tcW w:w="1002" w:type="pct"/>
            <w:vMerge/>
          </w:tcPr>
          <w:p w14:paraId="750B64C4" w14:textId="77777777" w:rsidR="00785E37" w:rsidRPr="00D4309F" w:rsidRDefault="00785E37" w:rsidP="00785E37">
            <w:pPr>
              <w:pStyle w:val="TableParagraph"/>
              <w:rPr>
                <w:rFonts w:ascii="Times New Roman"/>
                <w:sz w:val="18"/>
              </w:rPr>
            </w:pPr>
          </w:p>
        </w:tc>
        <w:tc>
          <w:tcPr>
            <w:tcW w:w="3427" w:type="pct"/>
          </w:tcPr>
          <w:p w14:paraId="5125B068" w14:textId="77777777" w:rsidR="00785E37" w:rsidRPr="00D4309F" w:rsidRDefault="00785E37" w:rsidP="00785E37">
            <w:pPr>
              <w:pStyle w:val="TableParagraph"/>
              <w:spacing w:before="41" w:line="187" w:lineRule="exact"/>
              <w:ind w:left="165"/>
              <w:rPr>
                <w:color w:val="211E1F"/>
                <w:sz w:val="18"/>
              </w:rPr>
            </w:pPr>
          </w:p>
        </w:tc>
        <w:tc>
          <w:tcPr>
            <w:tcW w:w="571" w:type="pct"/>
          </w:tcPr>
          <w:p w14:paraId="2DED73B4" w14:textId="77777777" w:rsidR="00785E37" w:rsidRPr="00D4309F" w:rsidRDefault="00785E37" w:rsidP="00785E37">
            <w:pPr>
              <w:pStyle w:val="TableParagraph"/>
              <w:spacing w:before="41" w:line="187" w:lineRule="exact"/>
              <w:ind w:left="485"/>
              <w:rPr>
                <w:color w:val="211E1F"/>
                <w:spacing w:val="-10"/>
                <w:sz w:val="18"/>
              </w:rPr>
            </w:pPr>
          </w:p>
        </w:tc>
      </w:tr>
      <w:tr w:rsidR="00785E37" w:rsidRPr="00D4309F" w14:paraId="5C764A21" w14:textId="77777777">
        <w:trPr>
          <w:trHeight w:val="247"/>
        </w:trPr>
        <w:tc>
          <w:tcPr>
            <w:tcW w:w="1002" w:type="pct"/>
            <w:vMerge/>
          </w:tcPr>
          <w:p w14:paraId="0924DE6A" w14:textId="77777777" w:rsidR="00785E37" w:rsidRPr="00D4309F" w:rsidRDefault="00785E37" w:rsidP="00785E37">
            <w:pPr>
              <w:pStyle w:val="TableParagraph"/>
              <w:rPr>
                <w:rFonts w:ascii="Times New Roman"/>
                <w:sz w:val="18"/>
              </w:rPr>
            </w:pPr>
          </w:p>
        </w:tc>
        <w:tc>
          <w:tcPr>
            <w:tcW w:w="3427" w:type="pct"/>
          </w:tcPr>
          <w:p w14:paraId="6675480C" w14:textId="77777777" w:rsidR="00785E37" w:rsidRPr="00D4309F" w:rsidRDefault="00785E37" w:rsidP="00785E37">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3C59CF66" w14:textId="1A36A0E4" w:rsidR="00785E37" w:rsidRPr="00D4309F" w:rsidRDefault="00785E37" w:rsidP="00785E37">
            <w:pPr>
              <w:pStyle w:val="TableParagraph"/>
              <w:spacing w:before="41" w:line="187" w:lineRule="exact"/>
              <w:ind w:left="485"/>
              <w:rPr>
                <w:color w:val="211E1F"/>
                <w:spacing w:val="-10"/>
                <w:sz w:val="18"/>
              </w:rPr>
            </w:pPr>
            <w:r w:rsidRPr="00D4309F">
              <w:rPr>
                <w:b/>
                <w:color w:val="211E1F"/>
                <w:spacing w:val="-10"/>
                <w:sz w:val="18"/>
              </w:rPr>
              <w:t>4</w:t>
            </w:r>
          </w:p>
        </w:tc>
      </w:tr>
      <w:tr w:rsidR="00785E37" w:rsidRPr="00D4309F" w14:paraId="4FFB7CB9" w14:textId="77777777">
        <w:trPr>
          <w:trHeight w:val="247"/>
        </w:trPr>
        <w:tc>
          <w:tcPr>
            <w:tcW w:w="1002" w:type="pct"/>
            <w:vMerge w:val="restart"/>
          </w:tcPr>
          <w:p w14:paraId="4106B82B" w14:textId="77777777" w:rsidR="00785E37" w:rsidRPr="00D4309F" w:rsidRDefault="00785E37" w:rsidP="00785E37">
            <w:pPr>
              <w:pStyle w:val="TableParagraph"/>
              <w:rPr>
                <w:rFonts w:ascii="Times New Roman"/>
                <w:sz w:val="18"/>
              </w:rPr>
            </w:pPr>
            <w:r w:rsidRPr="00D4309F">
              <w:rPr>
                <w:b/>
                <w:color w:val="211E1F"/>
                <w:spacing w:val="-2"/>
                <w:sz w:val="18"/>
              </w:rPr>
              <w:t>Financial</w:t>
            </w:r>
          </w:p>
        </w:tc>
        <w:tc>
          <w:tcPr>
            <w:tcW w:w="3427" w:type="pct"/>
          </w:tcPr>
          <w:p w14:paraId="39D41DD7"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Capital</w:t>
            </w:r>
            <w:r w:rsidRPr="00D4309F">
              <w:rPr>
                <w:color w:val="211E1F"/>
                <w:spacing w:val="-6"/>
                <w:sz w:val="18"/>
              </w:rPr>
              <w:t xml:space="preserve"> </w:t>
            </w:r>
            <w:r w:rsidRPr="00D4309F">
              <w:rPr>
                <w:color w:val="211E1F"/>
                <w:spacing w:val="-2"/>
                <w:sz w:val="18"/>
              </w:rPr>
              <w:t>(CAPEX),</w:t>
            </w:r>
          </w:p>
        </w:tc>
        <w:tc>
          <w:tcPr>
            <w:tcW w:w="571" w:type="pct"/>
          </w:tcPr>
          <w:p w14:paraId="1989A13E" w14:textId="39366696"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2</w:t>
            </w:r>
          </w:p>
        </w:tc>
      </w:tr>
      <w:tr w:rsidR="00785E37" w:rsidRPr="00D4309F" w14:paraId="13941343" w14:textId="77777777">
        <w:trPr>
          <w:trHeight w:val="247"/>
        </w:trPr>
        <w:tc>
          <w:tcPr>
            <w:tcW w:w="1002" w:type="pct"/>
            <w:vMerge/>
          </w:tcPr>
          <w:p w14:paraId="7DEC9DB2" w14:textId="77777777" w:rsidR="00785E37" w:rsidRPr="00D4309F" w:rsidRDefault="00785E37" w:rsidP="00785E37">
            <w:pPr>
              <w:pStyle w:val="TableParagraph"/>
              <w:rPr>
                <w:rFonts w:ascii="Times New Roman"/>
                <w:sz w:val="18"/>
              </w:rPr>
            </w:pPr>
          </w:p>
        </w:tc>
        <w:tc>
          <w:tcPr>
            <w:tcW w:w="3427" w:type="pct"/>
          </w:tcPr>
          <w:p w14:paraId="796AA35B"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Operations</w:t>
            </w:r>
            <w:r w:rsidRPr="00D4309F">
              <w:rPr>
                <w:color w:val="211E1F"/>
                <w:spacing w:val="-6"/>
                <w:sz w:val="18"/>
              </w:rPr>
              <w:t xml:space="preserve"> </w:t>
            </w:r>
            <w:r w:rsidRPr="00D4309F">
              <w:rPr>
                <w:color w:val="211E1F"/>
                <w:sz w:val="18"/>
              </w:rPr>
              <w:t>and</w:t>
            </w:r>
            <w:r w:rsidRPr="00D4309F">
              <w:rPr>
                <w:color w:val="211E1F"/>
                <w:spacing w:val="-5"/>
                <w:sz w:val="18"/>
              </w:rPr>
              <w:t xml:space="preserve"> </w:t>
            </w:r>
            <w:r w:rsidRPr="00D4309F">
              <w:rPr>
                <w:color w:val="211E1F"/>
                <w:sz w:val="18"/>
              </w:rPr>
              <w:t>maintenance</w:t>
            </w:r>
            <w:r w:rsidRPr="00D4309F">
              <w:rPr>
                <w:color w:val="211E1F"/>
                <w:spacing w:val="-3"/>
                <w:sz w:val="18"/>
              </w:rPr>
              <w:t xml:space="preserve"> </w:t>
            </w:r>
            <w:r w:rsidRPr="00D4309F">
              <w:rPr>
                <w:color w:val="211E1F"/>
                <w:sz w:val="18"/>
              </w:rPr>
              <w:t>(OPEX),</w:t>
            </w:r>
            <w:r w:rsidRPr="00D4309F">
              <w:rPr>
                <w:color w:val="211E1F"/>
                <w:spacing w:val="-4"/>
                <w:sz w:val="18"/>
              </w:rPr>
              <w:t xml:space="preserve"> </w:t>
            </w:r>
            <w:r w:rsidRPr="00D4309F">
              <w:rPr>
                <w:color w:val="211E1F"/>
                <w:sz w:val="18"/>
              </w:rPr>
              <w:t>contingency,</w:t>
            </w:r>
            <w:r w:rsidRPr="00D4309F">
              <w:rPr>
                <w:color w:val="211E1F"/>
                <w:spacing w:val="-4"/>
                <w:sz w:val="18"/>
              </w:rPr>
              <w:t xml:space="preserve"> </w:t>
            </w:r>
            <w:r w:rsidRPr="00D4309F">
              <w:rPr>
                <w:color w:val="211E1F"/>
                <w:spacing w:val="-2"/>
                <w:sz w:val="18"/>
              </w:rPr>
              <w:t>monitoring.</w:t>
            </w:r>
          </w:p>
        </w:tc>
        <w:tc>
          <w:tcPr>
            <w:tcW w:w="571" w:type="pct"/>
          </w:tcPr>
          <w:p w14:paraId="0B09D744" w14:textId="634E955A"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3</w:t>
            </w:r>
          </w:p>
        </w:tc>
      </w:tr>
      <w:tr w:rsidR="00785E37" w:rsidRPr="00D4309F" w14:paraId="64F49C24" w14:textId="77777777">
        <w:trPr>
          <w:trHeight w:val="247"/>
        </w:trPr>
        <w:tc>
          <w:tcPr>
            <w:tcW w:w="1002" w:type="pct"/>
            <w:vMerge/>
          </w:tcPr>
          <w:p w14:paraId="32B3B6B9" w14:textId="77777777" w:rsidR="00785E37" w:rsidRPr="00D4309F" w:rsidRDefault="00785E37" w:rsidP="00785E37">
            <w:pPr>
              <w:pStyle w:val="TableParagraph"/>
              <w:rPr>
                <w:rFonts w:ascii="Times New Roman"/>
                <w:sz w:val="18"/>
              </w:rPr>
            </w:pPr>
          </w:p>
        </w:tc>
        <w:tc>
          <w:tcPr>
            <w:tcW w:w="3427" w:type="pct"/>
          </w:tcPr>
          <w:p w14:paraId="3375B8B1" w14:textId="77777777" w:rsidR="00785E37" w:rsidRPr="00D4309F" w:rsidRDefault="00785E37" w:rsidP="00785E37">
            <w:pPr>
              <w:pStyle w:val="TableParagraph"/>
              <w:spacing w:before="41" w:line="187" w:lineRule="exact"/>
              <w:ind w:left="165"/>
              <w:rPr>
                <w:color w:val="211E1F"/>
                <w:sz w:val="18"/>
              </w:rPr>
            </w:pPr>
          </w:p>
        </w:tc>
        <w:tc>
          <w:tcPr>
            <w:tcW w:w="571" w:type="pct"/>
          </w:tcPr>
          <w:p w14:paraId="463B1DD7" w14:textId="77777777" w:rsidR="00785E37" w:rsidRPr="00D4309F" w:rsidRDefault="00785E37" w:rsidP="00785E37">
            <w:pPr>
              <w:pStyle w:val="TableParagraph"/>
              <w:spacing w:before="41" w:line="187" w:lineRule="exact"/>
              <w:ind w:left="485"/>
              <w:rPr>
                <w:color w:val="211E1F"/>
                <w:spacing w:val="-10"/>
                <w:sz w:val="18"/>
              </w:rPr>
            </w:pPr>
          </w:p>
        </w:tc>
      </w:tr>
      <w:tr w:rsidR="00785E37" w:rsidRPr="00D4309F" w14:paraId="67ABA22C" w14:textId="77777777">
        <w:trPr>
          <w:trHeight w:val="247"/>
        </w:trPr>
        <w:tc>
          <w:tcPr>
            <w:tcW w:w="1002" w:type="pct"/>
            <w:vMerge/>
          </w:tcPr>
          <w:p w14:paraId="17170585" w14:textId="77777777" w:rsidR="00785E37" w:rsidRPr="00D4309F" w:rsidRDefault="00785E37" w:rsidP="00785E37">
            <w:pPr>
              <w:pStyle w:val="TableParagraph"/>
              <w:rPr>
                <w:b/>
                <w:color w:val="211E1F"/>
                <w:spacing w:val="-2"/>
                <w:sz w:val="18"/>
              </w:rPr>
            </w:pPr>
          </w:p>
        </w:tc>
        <w:tc>
          <w:tcPr>
            <w:tcW w:w="3427" w:type="pct"/>
          </w:tcPr>
          <w:p w14:paraId="693B7D21" w14:textId="77777777" w:rsidR="00785E37" w:rsidRPr="00D4309F" w:rsidRDefault="00785E37" w:rsidP="00785E37">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2A3C5593" w14:textId="07C26B10" w:rsidR="00785E37" w:rsidRPr="00D4309F" w:rsidRDefault="00785E37" w:rsidP="00785E37">
            <w:pPr>
              <w:pStyle w:val="TableParagraph"/>
              <w:spacing w:before="41" w:line="187" w:lineRule="exact"/>
              <w:ind w:left="485"/>
              <w:rPr>
                <w:color w:val="211E1F"/>
                <w:spacing w:val="-10"/>
                <w:sz w:val="18"/>
              </w:rPr>
            </w:pPr>
            <w:r w:rsidRPr="00D4309F">
              <w:rPr>
                <w:b/>
                <w:color w:val="211E1F"/>
                <w:spacing w:val="-10"/>
                <w:sz w:val="18"/>
              </w:rPr>
              <w:t>5</w:t>
            </w:r>
          </w:p>
        </w:tc>
      </w:tr>
      <w:tr w:rsidR="00785E37" w:rsidRPr="00D4309F" w14:paraId="008CC364" w14:textId="77777777" w:rsidTr="00213A04">
        <w:trPr>
          <w:trHeight w:val="247"/>
        </w:trPr>
        <w:tc>
          <w:tcPr>
            <w:tcW w:w="1002" w:type="pct"/>
            <w:shd w:val="clear" w:color="auto" w:fill="D9D9D9" w:themeFill="background1" w:themeFillShade="D9"/>
          </w:tcPr>
          <w:p w14:paraId="3E794D8C" w14:textId="77777777" w:rsidR="00785E37" w:rsidRPr="00D4309F" w:rsidRDefault="00785E37" w:rsidP="00785E37">
            <w:pPr>
              <w:pStyle w:val="TableParagraph"/>
              <w:rPr>
                <w:b/>
                <w:color w:val="211E1F"/>
                <w:spacing w:val="-2"/>
                <w:sz w:val="18"/>
              </w:rPr>
            </w:pPr>
            <w:r w:rsidRPr="00D4309F">
              <w:rPr>
                <w:b/>
                <w:color w:val="70004A"/>
                <w:sz w:val="18"/>
              </w:rPr>
              <w:t>Total</w:t>
            </w:r>
            <w:r w:rsidRPr="00D4309F">
              <w:rPr>
                <w:b/>
                <w:color w:val="70004A"/>
                <w:spacing w:val="-3"/>
                <w:sz w:val="18"/>
              </w:rPr>
              <w:t xml:space="preserve"> </w:t>
            </w:r>
            <w:r w:rsidRPr="00D4309F">
              <w:rPr>
                <w:b/>
                <w:color w:val="70004A"/>
                <w:spacing w:val="-2"/>
                <w:sz w:val="18"/>
              </w:rPr>
              <w:t>Score</w:t>
            </w:r>
          </w:p>
        </w:tc>
        <w:tc>
          <w:tcPr>
            <w:tcW w:w="3427" w:type="pct"/>
            <w:shd w:val="clear" w:color="auto" w:fill="D9D9D9" w:themeFill="background1" w:themeFillShade="D9"/>
          </w:tcPr>
          <w:p w14:paraId="4EA0CC59" w14:textId="77777777" w:rsidR="00785E37" w:rsidRPr="00D4309F" w:rsidRDefault="00785E37" w:rsidP="00785E37">
            <w:pPr>
              <w:pStyle w:val="TableParagraph"/>
              <w:spacing w:before="41" w:line="187" w:lineRule="exact"/>
              <w:ind w:left="165"/>
              <w:rPr>
                <w:color w:val="211E1F"/>
                <w:sz w:val="18"/>
              </w:rPr>
            </w:pPr>
          </w:p>
        </w:tc>
        <w:tc>
          <w:tcPr>
            <w:tcW w:w="571" w:type="pct"/>
            <w:shd w:val="clear" w:color="auto" w:fill="D9D9D9" w:themeFill="background1" w:themeFillShade="D9"/>
          </w:tcPr>
          <w:p w14:paraId="09CC6008" w14:textId="20B5DA2A" w:rsidR="00785E37" w:rsidRPr="00D4309F" w:rsidRDefault="00785E37" w:rsidP="00785E37">
            <w:pPr>
              <w:pStyle w:val="TableParagraph"/>
              <w:spacing w:before="41" w:line="187" w:lineRule="exact"/>
              <w:ind w:left="485"/>
              <w:rPr>
                <w:color w:val="211E1F"/>
                <w:spacing w:val="-10"/>
                <w:sz w:val="18"/>
              </w:rPr>
            </w:pPr>
            <w:r w:rsidRPr="00D4309F">
              <w:rPr>
                <w:b/>
                <w:color w:val="70004A"/>
                <w:spacing w:val="-5"/>
                <w:sz w:val="18"/>
              </w:rPr>
              <w:t>56</w:t>
            </w:r>
          </w:p>
        </w:tc>
      </w:tr>
    </w:tbl>
    <w:p w14:paraId="76E35094" w14:textId="77777777" w:rsidR="00785E37" w:rsidRDefault="00785E37" w:rsidP="00785E37">
      <w:pPr>
        <w:pStyle w:val="BodyText"/>
      </w:pPr>
    </w:p>
    <w:p w14:paraId="0BA3F416" w14:textId="77777777" w:rsidR="00785E37" w:rsidRPr="00785E37" w:rsidRDefault="00785E37" w:rsidP="00785E37">
      <w:pPr>
        <w:pStyle w:val="BodyText"/>
      </w:pPr>
    </w:p>
    <w:p w14:paraId="14522D29" w14:textId="77777777" w:rsidR="00725977" w:rsidRPr="00D4309F" w:rsidRDefault="00725977" w:rsidP="00725977">
      <w:pPr>
        <w:pStyle w:val="TableParagraph"/>
        <w:jc w:val="right"/>
        <w:rPr>
          <w:b/>
          <w:sz w:val="18"/>
        </w:rPr>
        <w:sectPr w:rsidR="00725977" w:rsidRPr="00D4309F" w:rsidSect="00405D4F">
          <w:headerReference w:type="default" r:id="rId145"/>
          <w:footerReference w:type="default" r:id="rId146"/>
          <w:type w:val="continuous"/>
          <w:pgSz w:w="16840" w:h="11910" w:orient="landscape"/>
          <w:pgMar w:top="1418" w:right="1134" w:bottom="1418" w:left="1134" w:header="916" w:footer="976" w:gutter="0"/>
          <w:cols w:space="720"/>
        </w:sectPr>
      </w:pPr>
    </w:p>
    <w:p w14:paraId="2F9B44DA" w14:textId="77777777" w:rsidR="00725977" w:rsidRPr="00D4309F" w:rsidRDefault="00725977" w:rsidP="00AF12C0">
      <w:pPr>
        <w:pStyle w:val="Heading1"/>
      </w:pPr>
      <w:bookmarkStart w:id="511" w:name="_bookmark189"/>
      <w:bookmarkStart w:id="512" w:name="_Toc216699495"/>
      <w:bookmarkEnd w:id="511"/>
      <w:r w:rsidRPr="00D4309F">
        <w:lastRenderedPageBreak/>
        <w:t>OPTION</w:t>
      </w:r>
      <w:r w:rsidRPr="00D4309F">
        <w:rPr>
          <w:spacing w:val="-5"/>
        </w:rPr>
        <w:t xml:space="preserve"> </w:t>
      </w:r>
      <w:r w:rsidRPr="00D4309F">
        <w:t>5</w:t>
      </w:r>
      <w:r w:rsidRPr="00D4309F">
        <w:rPr>
          <w:spacing w:val="-3"/>
        </w:rPr>
        <w:t xml:space="preserve"> </w:t>
      </w:r>
      <w:r w:rsidRPr="00D4309F">
        <w:t>– WESTERN</w:t>
      </w:r>
      <w:r w:rsidRPr="00D4309F">
        <w:rPr>
          <w:spacing w:val="-3"/>
        </w:rPr>
        <w:t xml:space="preserve"> </w:t>
      </w:r>
      <w:r w:rsidRPr="00D4309F">
        <w:t>CHANNEL CONCEPT PLAN</w:t>
      </w:r>
      <w:bookmarkEnd w:id="512"/>
    </w:p>
    <w:p w14:paraId="72AD398E" w14:textId="77777777" w:rsidR="00725977" w:rsidRPr="00D4309F" w:rsidRDefault="00725977" w:rsidP="00AF12C0">
      <w:pPr>
        <w:pStyle w:val="Heading2"/>
      </w:pPr>
      <w:bookmarkStart w:id="513" w:name="_bookmark190"/>
      <w:bookmarkStart w:id="514" w:name="_Toc216699496"/>
      <w:bookmarkEnd w:id="513"/>
      <w:r w:rsidRPr="00D4309F">
        <w:t>Option</w:t>
      </w:r>
      <w:r w:rsidRPr="00D4309F">
        <w:rPr>
          <w:spacing w:val="-13"/>
        </w:rPr>
        <w:t xml:space="preserve"> </w:t>
      </w:r>
      <w:r w:rsidRPr="00D4309F">
        <w:t>description</w:t>
      </w:r>
      <w:bookmarkEnd w:id="514"/>
    </w:p>
    <w:p w14:paraId="181E52C3" w14:textId="76820708" w:rsidR="00416F6A" w:rsidRPr="0048488A" w:rsidRDefault="00725977" w:rsidP="002B2A66">
      <w:pPr>
        <w:pStyle w:val="BodyText"/>
      </w:pPr>
      <w:r w:rsidRPr="00D4309F">
        <w:t>The Western Channel Concept Plan builds on the existing Western Channel dredging trial and considers measures from purely operational enhancements through to structural modification of the western breakwater to formalise an alternative access route during shoaling events.</w:t>
      </w:r>
    </w:p>
    <w:p w14:paraId="0195DF41" w14:textId="77777777" w:rsidR="00725977" w:rsidRPr="00D4309F" w:rsidRDefault="00725977" w:rsidP="002B2A66">
      <w:pPr>
        <w:pStyle w:val="Heading3"/>
      </w:pPr>
      <w:bookmarkStart w:id="515" w:name="_Toc216699497"/>
      <w:r w:rsidRPr="00D4309F">
        <w:t>How</w:t>
      </w:r>
      <w:r w:rsidRPr="00D4309F">
        <w:rPr>
          <w:spacing w:val="-4"/>
        </w:rPr>
        <w:t xml:space="preserve"> </w:t>
      </w:r>
      <w:r w:rsidRPr="00D4309F">
        <w:t>Does</w:t>
      </w:r>
      <w:r w:rsidRPr="00D4309F">
        <w:rPr>
          <w:spacing w:val="-2"/>
        </w:rPr>
        <w:t xml:space="preserve"> </w:t>
      </w:r>
      <w:r w:rsidRPr="00D4309F">
        <w:t>It</w:t>
      </w:r>
      <w:r w:rsidRPr="00D4309F">
        <w:rPr>
          <w:spacing w:val="-3"/>
        </w:rPr>
        <w:t xml:space="preserve"> </w:t>
      </w:r>
      <w:r w:rsidRPr="00D4309F">
        <w:t>Work</w:t>
      </w:r>
      <w:r w:rsidRPr="00D4309F">
        <w:rPr>
          <w:spacing w:val="-3"/>
        </w:rPr>
        <w:t xml:space="preserve"> </w:t>
      </w:r>
      <w:r w:rsidRPr="00D4309F">
        <w:t>to</w:t>
      </w:r>
      <w:r w:rsidRPr="00D4309F">
        <w:rPr>
          <w:spacing w:val="-2"/>
        </w:rPr>
        <w:t xml:space="preserve"> </w:t>
      </w:r>
      <w:r w:rsidRPr="00D4309F">
        <w:t>Address</w:t>
      </w:r>
      <w:r w:rsidRPr="00D4309F">
        <w:rPr>
          <w:spacing w:val="-2"/>
        </w:rPr>
        <w:t xml:space="preserve"> Shoaling?</w:t>
      </w:r>
      <w:bookmarkEnd w:id="515"/>
    </w:p>
    <w:p w14:paraId="34C4FB4D" w14:textId="4CB47B20" w:rsidR="00416F6A" w:rsidRPr="00D4309F" w:rsidRDefault="00725977" w:rsidP="00725977">
      <w:pPr>
        <w:pStyle w:val="BodyText"/>
      </w:pPr>
      <w:r w:rsidRPr="00D4309F">
        <w:t>This option</w:t>
      </w:r>
      <w:r w:rsidRPr="00D4309F">
        <w:rPr>
          <w:spacing w:val="-1"/>
        </w:rPr>
        <w:t xml:space="preserve"> </w:t>
      </w:r>
      <w:r w:rsidRPr="00D4309F">
        <w:t>does not</w:t>
      </w:r>
      <w:r w:rsidRPr="00D4309F">
        <w:rPr>
          <w:spacing w:val="-1"/>
        </w:rPr>
        <w:t xml:space="preserve"> </w:t>
      </w:r>
      <w:r w:rsidRPr="00D4309F">
        <w:t>directly prevent</w:t>
      </w:r>
      <w:r w:rsidRPr="00D4309F">
        <w:rPr>
          <w:spacing w:val="-1"/>
        </w:rPr>
        <w:t xml:space="preserve"> </w:t>
      </w:r>
      <w:r w:rsidRPr="00D4309F">
        <w:t>or reduce</w:t>
      </w:r>
      <w:r w:rsidRPr="00D4309F">
        <w:rPr>
          <w:spacing w:val="-1"/>
        </w:rPr>
        <w:t xml:space="preserve"> </w:t>
      </w:r>
      <w:r w:rsidRPr="00D4309F">
        <w:t>shoaling,</w:t>
      </w:r>
      <w:r w:rsidRPr="00D4309F">
        <w:rPr>
          <w:spacing w:val="-1"/>
        </w:rPr>
        <w:t xml:space="preserve"> </w:t>
      </w:r>
      <w:r w:rsidRPr="00D4309F">
        <w:t>as it</w:t>
      </w:r>
      <w:r w:rsidRPr="00D4309F">
        <w:rPr>
          <w:spacing w:val="-1"/>
        </w:rPr>
        <w:t xml:space="preserve"> </w:t>
      </w:r>
      <w:r w:rsidRPr="00D4309F">
        <w:t>does</w:t>
      </w:r>
      <w:r w:rsidRPr="00D4309F">
        <w:rPr>
          <w:spacing w:val="-1"/>
        </w:rPr>
        <w:t xml:space="preserve"> </w:t>
      </w:r>
      <w:r w:rsidRPr="00D4309F">
        <w:t>not</w:t>
      </w:r>
      <w:r w:rsidRPr="00D4309F">
        <w:rPr>
          <w:spacing w:val="-1"/>
        </w:rPr>
        <w:t xml:space="preserve"> </w:t>
      </w:r>
      <w:r w:rsidRPr="00D4309F">
        <w:t>alter the</w:t>
      </w:r>
      <w:r w:rsidRPr="00D4309F">
        <w:rPr>
          <w:spacing w:val="-1"/>
        </w:rPr>
        <w:t xml:space="preserve"> </w:t>
      </w:r>
      <w:r w:rsidRPr="00D4309F">
        <w:t>underlying</w:t>
      </w:r>
      <w:r w:rsidRPr="00D4309F">
        <w:rPr>
          <w:spacing w:val="-1"/>
        </w:rPr>
        <w:t xml:space="preserve"> </w:t>
      </w:r>
      <w:r w:rsidRPr="00D4309F">
        <w:t>coastal</w:t>
      </w:r>
      <w:r w:rsidRPr="00D4309F">
        <w:rPr>
          <w:spacing w:val="-1"/>
        </w:rPr>
        <w:t xml:space="preserve"> </w:t>
      </w:r>
      <w:r w:rsidRPr="00D4309F">
        <w:t>sediment dynamics driving sand accumulation at the entrance. Instead, it works indirectly by relocating the navigation pathway</w:t>
      </w:r>
      <w:r w:rsidRPr="00D4309F">
        <w:rPr>
          <w:spacing w:val="-2"/>
        </w:rPr>
        <w:t xml:space="preserve"> </w:t>
      </w:r>
      <w:r w:rsidRPr="00D4309F">
        <w:t>to</w:t>
      </w:r>
      <w:r w:rsidRPr="00D4309F">
        <w:rPr>
          <w:spacing w:val="-3"/>
        </w:rPr>
        <w:t xml:space="preserve"> </w:t>
      </w:r>
      <w:r w:rsidRPr="00D4309F">
        <w:t>a</w:t>
      </w:r>
      <w:r w:rsidRPr="00D4309F">
        <w:rPr>
          <w:spacing w:val="-4"/>
        </w:rPr>
        <w:t xml:space="preserve"> </w:t>
      </w:r>
      <w:r w:rsidRPr="00D4309F">
        <w:t>position</w:t>
      </w:r>
      <w:r w:rsidRPr="00D4309F">
        <w:rPr>
          <w:spacing w:val="-3"/>
        </w:rPr>
        <w:t xml:space="preserve"> </w:t>
      </w:r>
      <w:r w:rsidRPr="00D4309F">
        <w:t>less</w:t>
      </w:r>
      <w:r w:rsidRPr="00D4309F">
        <w:rPr>
          <w:spacing w:val="-3"/>
        </w:rPr>
        <w:t xml:space="preserve"> </w:t>
      </w:r>
      <w:r w:rsidRPr="00D4309F">
        <w:t>affected</w:t>
      </w:r>
      <w:r w:rsidRPr="00D4309F">
        <w:rPr>
          <w:spacing w:val="-3"/>
        </w:rPr>
        <w:t xml:space="preserve"> </w:t>
      </w:r>
      <w:r w:rsidRPr="00D4309F">
        <w:t>by</w:t>
      </w:r>
      <w:r w:rsidRPr="00D4309F">
        <w:rPr>
          <w:spacing w:val="-2"/>
        </w:rPr>
        <w:t xml:space="preserve"> </w:t>
      </w:r>
      <w:r w:rsidRPr="00D4309F">
        <w:t>the</w:t>
      </w:r>
      <w:r w:rsidRPr="00D4309F">
        <w:rPr>
          <w:spacing w:val="-3"/>
        </w:rPr>
        <w:t xml:space="preserve"> </w:t>
      </w:r>
      <w:r w:rsidRPr="00D4309F">
        <w:t>most</w:t>
      </w:r>
      <w:r w:rsidRPr="00D4309F">
        <w:rPr>
          <w:spacing w:val="-3"/>
        </w:rPr>
        <w:t xml:space="preserve"> </w:t>
      </w:r>
      <w:r w:rsidRPr="00D4309F">
        <w:t>active</w:t>
      </w:r>
      <w:r w:rsidRPr="00D4309F">
        <w:rPr>
          <w:spacing w:val="-4"/>
        </w:rPr>
        <w:t xml:space="preserve"> </w:t>
      </w:r>
      <w:r w:rsidRPr="00D4309F">
        <w:t>shoaling</w:t>
      </w:r>
      <w:r w:rsidRPr="00D4309F">
        <w:rPr>
          <w:spacing w:val="-3"/>
        </w:rPr>
        <w:t xml:space="preserve"> </w:t>
      </w:r>
      <w:r w:rsidRPr="00D4309F">
        <w:t>areas,</w:t>
      </w:r>
      <w:r w:rsidRPr="00D4309F">
        <w:rPr>
          <w:spacing w:val="-3"/>
        </w:rPr>
        <w:t xml:space="preserve"> </w:t>
      </w:r>
      <w:r w:rsidRPr="00D4309F">
        <w:t>allowing</w:t>
      </w:r>
      <w:r w:rsidRPr="00D4309F">
        <w:rPr>
          <w:spacing w:val="-3"/>
        </w:rPr>
        <w:t xml:space="preserve"> </w:t>
      </w:r>
      <w:r w:rsidRPr="00D4309F">
        <w:t>improved</w:t>
      </w:r>
      <w:r w:rsidRPr="00D4309F">
        <w:rPr>
          <w:spacing w:val="-3"/>
        </w:rPr>
        <w:t xml:space="preserve"> </w:t>
      </w:r>
      <w:r w:rsidRPr="00D4309F">
        <w:t>access</w:t>
      </w:r>
      <w:r w:rsidRPr="00D4309F">
        <w:rPr>
          <w:spacing w:val="-2"/>
        </w:rPr>
        <w:t xml:space="preserve"> </w:t>
      </w:r>
      <w:r w:rsidRPr="00D4309F">
        <w:t>under</w:t>
      </w:r>
      <w:r w:rsidRPr="00D4309F">
        <w:rPr>
          <w:spacing w:val="-2"/>
        </w:rPr>
        <w:t xml:space="preserve"> </w:t>
      </w:r>
      <w:r w:rsidRPr="00D4309F">
        <w:t>more conditions. In essence, it seeks to bypass the problem rather than eliminate it, providing a navigable alternative when shoaling obstructs the existing entrance.</w:t>
      </w:r>
    </w:p>
    <w:p w14:paraId="0C01AB65" w14:textId="77777777" w:rsidR="00725977" w:rsidRPr="00D4309F" w:rsidRDefault="00725977" w:rsidP="002B2A66">
      <w:pPr>
        <w:pStyle w:val="Heading3"/>
      </w:pPr>
      <w:bookmarkStart w:id="516" w:name="_Toc216699498"/>
      <w:r w:rsidRPr="00D4309F">
        <w:t>What</w:t>
      </w:r>
      <w:r w:rsidRPr="00D4309F">
        <w:rPr>
          <w:spacing w:val="-2"/>
        </w:rPr>
        <w:t xml:space="preserve"> </w:t>
      </w:r>
      <w:r w:rsidRPr="00D4309F">
        <w:t>Does</w:t>
      </w:r>
      <w:r w:rsidRPr="00D4309F">
        <w:rPr>
          <w:spacing w:val="-4"/>
        </w:rPr>
        <w:t xml:space="preserve"> </w:t>
      </w:r>
      <w:r w:rsidRPr="00D4309F">
        <w:t>This</w:t>
      </w:r>
      <w:r w:rsidRPr="00D4309F">
        <w:rPr>
          <w:spacing w:val="-3"/>
        </w:rPr>
        <w:t xml:space="preserve"> </w:t>
      </w:r>
      <w:r w:rsidRPr="00D4309F">
        <w:t>Option</w:t>
      </w:r>
      <w:r w:rsidRPr="00D4309F">
        <w:rPr>
          <w:spacing w:val="-2"/>
        </w:rPr>
        <w:t xml:space="preserve"> Involve?</w:t>
      </w:r>
      <w:bookmarkEnd w:id="516"/>
    </w:p>
    <w:p w14:paraId="3718F851" w14:textId="77777777" w:rsidR="00725977" w:rsidRPr="00D4309F" w:rsidRDefault="00725977" w:rsidP="00725977">
      <w:pPr>
        <w:pStyle w:val="BodyText"/>
      </w:pPr>
      <w:r w:rsidRPr="00D4309F">
        <w:t>Depending on the selected variation, the Western Channel Concept Plan may include one or more of the following components:</w:t>
      </w:r>
    </w:p>
    <w:p w14:paraId="53FAFEDC" w14:textId="77777777" w:rsidR="00725977" w:rsidRPr="00D4309F" w:rsidRDefault="00725977" w:rsidP="00D27F26">
      <w:pPr>
        <w:pStyle w:val="ListParagraph"/>
        <w:widowControl w:val="0"/>
        <w:numPr>
          <w:ilvl w:val="0"/>
          <w:numId w:val="71"/>
        </w:numPr>
        <w:tabs>
          <w:tab w:val="left" w:pos="501"/>
        </w:tabs>
        <w:autoSpaceDE w:val="0"/>
        <w:autoSpaceDN w:val="0"/>
        <w:spacing w:after="0" w:line="240" w:lineRule="auto"/>
        <w:contextualSpacing w:val="0"/>
        <w:rPr>
          <w:color w:val="211E1F"/>
        </w:rPr>
      </w:pPr>
      <w:r w:rsidRPr="00D4309F">
        <w:rPr>
          <w:color w:val="211E1F"/>
        </w:rPr>
        <w:t>Retaining and formalising the existing Western Channel dredging trial, including installation or enhancement of aids to navigation.</w:t>
      </w:r>
    </w:p>
    <w:p w14:paraId="5F102A0B" w14:textId="77777777" w:rsidR="00725977" w:rsidRPr="00D4309F" w:rsidRDefault="00725977" w:rsidP="00D27F26">
      <w:pPr>
        <w:pStyle w:val="ListParagraph"/>
        <w:widowControl w:val="0"/>
        <w:numPr>
          <w:ilvl w:val="0"/>
          <w:numId w:val="71"/>
        </w:numPr>
        <w:tabs>
          <w:tab w:val="left" w:pos="501"/>
        </w:tabs>
        <w:autoSpaceDE w:val="0"/>
        <w:autoSpaceDN w:val="0"/>
        <w:spacing w:after="0" w:line="240" w:lineRule="auto"/>
        <w:contextualSpacing w:val="0"/>
        <w:rPr>
          <w:color w:val="211E1F"/>
        </w:rPr>
      </w:pPr>
      <w:r w:rsidRPr="00D4309F">
        <w:rPr>
          <w:color w:val="211E1F"/>
        </w:rPr>
        <w:t>Routine hydrographic monitoring to detect rapid shoal formation within the western channel corridor.</w:t>
      </w:r>
    </w:p>
    <w:p w14:paraId="0A29C5F6" w14:textId="77777777" w:rsidR="00725977" w:rsidRPr="00D4309F" w:rsidRDefault="00725977" w:rsidP="00D27F26">
      <w:pPr>
        <w:pStyle w:val="ListParagraph"/>
        <w:widowControl w:val="0"/>
        <w:numPr>
          <w:ilvl w:val="0"/>
          <w:numId w:val="71"/>
        </w:numPr>
        <w:tabs>
          <w:tab w:val="left" w:pos="501"/>
        </w:tabs>
        <w:autoSpaceDE w:val="0"/>
        <w:autoSpaceDN w:val="0"/>
        <w:spacing w:after="0" w:line="240" w:lineRule="auto"/>
        <w:contextualSpacing w:val="0"/>
        <w:rPr>
          <w:color w:val="211E1F"/>
        </w:rPr>
      </w:pPr>
      <w:r w:rsidRPr="00D4309F">
        <w:rPr>
          <w:color w:val="211E1F"/>
        </w:rPr>
        <w:t>Targeted maintenance dredging to maintain navigable depth.</w:t>
      </w:r>
    </w:p>
    <w:p w14:paraId="7F9C194C" w14:textId="77777777" w:rsidR="00725977" w:rsidRPr="00D4309F" w:rsidRDefault="00725977" w:rsidP="00D27F26">
      <w:pPr>
        <w:pStyle w:val="ListParagraph"/>
        <w:widowControl w:val="0"/>
        <w:numPr>
          <w:ilvl w:val="0"/>
          <w:numId w:val="71"/>
        </w:numPr>
        <w:tabs>
          <w:tab w:val="left" w:pos="501"/>
        </w:tabs>
        <w:autoSpaceDE w:val="0"/>
        <w:autoSpaceDN w:val="0"/>
        <w:spacing w:after="0" w:line="240" w:lineRule="auto"/>
        <w:contextualSpacing w:val="0"/>
        <w:rPr>
          <w:color w:val="211E1F"/>
        </w:rPr>
      </w:pPr>
      <w:r w:rsidRPr="00D4309F">
        <w:rPr>
          <w:color w:val="211E1F"/>
        </w:rPr>
        <w:t>(For structural variations) Partial removal/shortening of the western breakwater to open a more landward channel alignment.</w:t>
      </w:r>
    </w:p>
    <w:p w14:paraId="22837BE3" w14:textId="77777777" w:rsidR="00725977" w:rsidRPr="00D4309F" w:rsidRDefault="00725977" w:rsidP="00D27F26">
      <w:pPr>
        <w:pStyle w:val="ListParagraph"/>
        <w:widowControl w:val="0"/>
        <w:numPr>
          <w:ilvl w:val="0"/>
          <w:numId w:val="71"/>
        </w:numPr>
        <w:tabs>
          <w:tab w:val="left" w:pos="501"/>
        </w:tabs>
        <w:autoSpaceDE w:val="0"/>
        <w:autoSpaceDN w:val="0"/>
        <w:spacing w:after="0" w:line="240" w:lineRule="auto"/>
        <w:contextualSpacing w:val="0"/>
      </w:pPr>
      <w:r w:rsidRPr="00D4309F">
        <w:rPr>
          <w:color w:val="211E1F"/>
        </w:rPr>
        <w:t>(For operational-only variations) No structural modification, relying solely on navigational aids and ongoing maintenance dredging. Retaining</w:t>
      </w:r>
      <w:r w:rsidRPr="00D4309F">
        <w:rPr>
          <w:color w:val="211E1F"/>
          <w:spacing w:val="-7"/>
        </w:rPr>
        <w:t xml:space="preserve"> </w:t>
      </w:r>
      <w:r w:rsidRPr="00D4309F">
        <w:rPr>
          <w:color w:val="211E1F"/>
        </w:rPr>
        <w:t>the</w:t>
      </w:r>
      <w:r w:rsidRPr="00D4309F">
        <w:rPr>
          <w:color w:val="211E1F"/>
          <w:spacing w:val="-5"/>
        </w:rPr>
        <w:t xml:space="preserve"> </w:t>
      </w:r>
      <w:r w:rsidRPr="00D4309F">
        <w:rPr>
          <w:color w:val="211E1F"/>
        </w:rPr>
        <w:t>existing</w:t>
      </w:r>
      <w:r w:rsidRPr="00D4309F">
        <w:rPr>
          <w:color w:val="211E1F"/>
          <w:spacing w:val="-4"/>
        </w:rPr>
        <w:t xml:space="preserve"> </w:t>
      </w:r>
      <w:r w:rsidRPr="00D4309F">
        <w:rPr>
          <w:color w:val="211E1F"/>
        </w:rPr>
        <w:t>western</w:t>
      </w:r>
      <w:r w:rsidRPr="00D4309F">
        <w:rPr>
          <w:color w:val="211E1F"/>
          <w:spacing w:val="-5"/>
        </w:rPr>
        <w:t xml:space="preserve"> </w:t>
      </w:r>
      <w:r w:rsidRPr="00D4309F">
        <w:rPr>
          <w:color w:val="211E1F"/>
        </w:rPr>
        <w:t>channel</w:t>
      </w:r>
      <w:r w:rsidRPr="00D4309F">
        <w:rPr>
          <w:color w:val="211E1F"/>
          <w:spacing w:val="-4"/>
        </w:rPr>
        <w:t xml:space="preserve"> </w:t>
      </w:r>
      <w:r w:rsidRPr="00D4309F">
        <w:rPr>
          <w:color w:val="211E1F"/>
        </w:rPr>
        <w:t>trial</w:t>
      </w:r>
      <w:r w:rsidRPr="00D4309F">
        <w:rPr>
          <w:color w:val="211E1F"/>
          <w:spacing w:val="-4"/>
        </w:rPr>
        <w:t xml:space="preserve"> </w:t>
      </w:r>
      <w:r w:rsidRPr="00D4309F">
        <w:rPr>
          <w:color w:val="211E1F"/>
        </w:rPr>
        <w:t>dredging</w:t>
      </w:r>
      <w:r w:rsidRPr="00D4309F">
        <w:rPr>
          <w:color w:val="211E1F"/>
          <w:spacing w:val="-4"/>
        </w:rPr>
        <w:t xml:space="preserve"> </w:t>
      </w:r>
      <w:r w:rsidRPr="00D4309F">
        <w:rPr>
          <w:color w:val="211E1F"/>
          <w:spacing w:val="-2"/>
        </w:rPr>
        <w:t>approach.</w:t>
      </w:r>
    </w:p>
    <w:p w14:paraId="29346FEF" w14:textId="77777777" w:rsidR="00725977" w:rsidRPr="00D4309F" w:rsidRDefault="00725977" w:rsidP="00725977">
      <w:pPr>
        <w:pStyle w:val="BodyText"/>
      </w:pPr>
      <w:r w:rsidRPr="00D4309F">
        <w:t>While</w:t>
      </w:r>
      <w:r w:rsidRPr="00D4309F">
        <w:rPr>
          <w:spacing w:val="-3"/>
        </w:rPr>
        <w:t xml:space="preserve"> </w:t>
      </w:r>
      <w:r w:rsidRPr="00D4309F">
        <w:t>the</w:t>
      </w:r>
      <w:r w:rsidRPr="00D4309F">
        <w:rPr>
          <w:spacing w:val="-3"/>
        </w:rPr>
        <w:t xml:space="preserve"> </w:t>
      </w:r>
      <w:r w:rsidRPr="00D4309F">
        <w:t>option</w:t>
      </w:r>
      <w:r w:rsidRPr="00D4309F">
        <w:rPr>
          <w:spacing w:val="-3"/>
        </w:rPr>
        <w:t xml:space="preserve"> </w:t>
      </w:r>
      <w:r w:rsidRPr="00D4309F">
        <w:t>may</w:t>
      </w:r>
      <w:r w:rsidRPr="00D4309F">
        <w:rPr>
          <w:spacing w:val="-2"/>
        </w:rPr>
        <w:t xml:space="preserve"> </w:t>
      </w:r>
      <w:r w:rsidRPr="00D4309F">
        <w:t>enhance</w:t>
      </w:r>
      <w:r w:rsidRPr="00D4309F">
        <w:rPr>
          <w:spacing w:val="-4"/>
        </w:rPr>
        <w:t xml:space="preserve"> </w:t>
      </w:r>
      <w:r w:rsidRPr="00D4309F">
        <w:t>short-term</w:t>
      </w:r>
      <w:r w:rsidRPr="00D4309F">
        <w:rPr>
          <w:spacing w:val="-3"/>
        </w:rPr>
        <w:t xml:space="preserve"> </w:t>
      </w:r>
      <w:r w:rsidRPr="00D4309F">
        <w:t>usability</w:t>
      </w:r>
      <w:r w:rsidRPr="00D4309F">
        <w:rPr>
          <w:spacing w:val="-2"/>
        </w:rPr>
        <w:t xml:space="preserve"> </w:t>
      </w:r>
      <w:r w:rsidRPr="00D4309F">
        <w:t>and</w:t>
      </w:r>
      <w:r w:rsidRPr="00D4309F">
        <w:rPr>
          <w:spacing w:val="-3"/>
        </w:rPr>
        <w:t xml:space="preserve"> </w:t>
      </w:r>
      <w:r w:rsidRPr="00D4309F">
        <w:t>safety,</w:t>
      </w:r>
      <w:r w:rsidRPr="00D4309F">
        <w:rPr>
          <w:spacing w:val="-3"/>
        </w:rPr>
        <w:t xml:space="preserve"> </w:t>
      </w:r>
      <w:r w:rsidRPr="00D4309F">
        <w:t>it</w:t>
      </w:r>
      <w:r w:rsidRPr="00D4309F">
        <w:rPr>
          <w:spacing w:val="-3"/>
        </w:rPr>
        <w:t xml:space="preserve"> </w:t>
      </w:r>
      <w:r w:rsidRPr="00D4309F">
        <w:t>does</w:t>
      </w:r>
      <w:r w:rsidRPr="00D4309F">
        <w:rPr>
          <w:spacing w:val="-2"/>
        </w:rPr>
        <w:t xml:space="preserve"> </w:t>
      </w:r>
      <w:r w:rsidRPr="00D4309F">
        <w:t>not</w:t>
      </w:r>
      <w:r w:rsidRPr="00D4309F">
        <w:rPr>
          <w:spacing w:val="-3"/>
        </w:rPr>
        <w:t xml:space="preserve"> </w:t>
      </w:r>
      <w:r w:rsidRPr="00D4309F">
        <w:t>modify</w:t>
      </w:r>
      <w:r w:rsidRPr="00D4309F">
        <w:rPr>
          <w:spacing w:val="-3"/>
        </w:rPr>
        <w:t xml:space="preserve"> </w:t>
      </w:r>
      <w:r w:rsidRPr="00D4309F">
        <w:t>the</w:t>
      </w:r>
      <w:r w:rsidRPr="00D4309F">
        <w:rPr>
          <w:spacing w:val="-3"/>
        </w:rPr>
        <w:t xml:space="preserve"> </w:t>
      </w:r>
      <w:r w:rsidRPr="00D4309F">
        <w:t>sediment</w:t>
      </w:r>
      <w:r w:rsidRPr="00D4309F">
        <w:rPr>
          <w:spacing w:val="-3"/>
        </w:rPr>
        <w:t xml:space="preserve"> </w:t>
      </w:r>
      <w:r w:rsidRPr="00D4309F">
        <w:t>supply</w:t>
      </w:r>
      <w:r w:rsidRPr="00D4309F">
        <w:rPr>
          <w:spacing w:val="-2"/>
        </w:rPr>
        <w:t xml:space="preserve"> </w:t>
      </w:r>
      <w:r w:rsidRPr="00D4309F">
        <w:t>from Area</w:t>
      </w:r>
      <w:r w:rsidRPr="00D4309F">
        <w:rPr>
          <w:spacing w:val="-1"/>
        </w:rPr>
        <w:t xml:space="preserve"> </w:t>
      </w:r>
      <w:r w:rsidRPr="00D4309F">
        <w:t>A</w:t>
      </w:r>
      <w:r w:rsidRPr="00D4309F">
        <w:rPr>
          <w:spacing w:val="-1"/>
        </w:rPr>
        <w:t xml:space="preserve"> </w:t>
      </w:r>
      <w:r w:rsidRPr="00D4309F">
        <w:t>to</w:t>
      </w:r>
      <w:r w:rsidRPr="00D4309F">
        <w:rPr>
          <w:spacing w:val="-1"/>
        </w:rPr>
        <w:t xml:space="preserve"> </w:t>
      </w:r>
      <w:r w:rsidRPr="00D4309F">
        <w:t>Area</w:t>
      </w:r>
      <w:r w:rsidRPr="00D4309F">
        <w:rPr>
          <w:spacing w:val="-1"/>
        </w:rPr>
        <w:t xml:space="preserve"> </w:t>
      </w:r>
      <w:r w:rsidRPr="00D4309F">
        <w:t>B</w:t>
      </w:r>
      <w:r w:rsidRPr="00D4309F">
        <w:rPr>
          <w:spacing w:val="-1"/>
        </w:rPr>
        <w:t xml:space="preserve"> </w:t>
      </w:r>
      <w:r w:rsidRPr="00D4309F">
        <w:t>or prevent</w:t>
      </w:r>
      <w:r w:rsidRPr="00D4309F">
        <w:rPr>
          <w:spacing w:val="-1"/>
        </w:rPr>
        <w:t xml:space="preserve"> </w:t>
      </w:r>
      <w:r w:rsidRPr="00D4309F">
        <w:t>sand</w:t>
      </w:r>
      <w:r w:rsidRPr="00D4309F">
        <w:rPr>
          <w:spacing w:val="-1"/>
        </w:rPr>
        <w:t xml:space="preserve"> </w:t>
      </w:r>
      <w:r w:rsidRPr="00D4309F">
        <w:t>accumulation</w:t>
      </w:r>
      <w:r w:rsidRPr="00D4309F">
        <w:rPr>
          <w:spacing w:val="-1"/>
        </w:rPr>
        <w:t xml:space="preserve"> </w:t>
      </w:r>
      <w:r w:rsidRPr="00D4309F">
        <w:t>at</w:t>
      </w:r>
      <w:r w:rsidRPr="00D4309F">
        <w:rPr>
          <w:spacing w:val="-1"/>
        </w:rPr>
        <w:t xml:space="preserve"> </w:t>
      </w:r>
      <w:r w:rsidRPr="00D4309F">
        <w:t>the</w:t>
      </w:r>
      <w:r w:rsidRPr="00D4309F">
        <w:rPr>
          <w:spacing w:val="-1"/>
        </w:rPr>
        <w:t xml:space="preserve"> </w:t>
      </w:r>
      <w:r w:rsidRPr="00D4309F">
        <w:t>main</w:t>
      </w:r>
      <w:r w:rsidRPr="00D4309F">
        <w:rPr>
          <w:spacing w:val="-1"/>
        </w:rPr>
        <w:t xml:space="preserve"> </w:t>
      </w:r>
      <w:r w:rsidRPr="00D4309F">
        <w:t>entrance.</w:t>
      </w:r>
      <w:r w:rsidRPr="00D4309F">
        <w:rPr>
          <w:spacing w:val="-1"/>
        </w:rPr>
        <w:t xml:space="preserve"> </w:t>
      </w:r>
      <w:r w:rsidRPr="00D4309F">
        <w:t>Instead,</w:t>
      </w:r>
      <w:r w:rsidRPr="00D4309F">
        <w:rPr>
          <w:spacing w:val="-1"/>
        </w:rPr>
        <w:t xml:space="preserve"> </w:t>
      </w:r>
      <w:r w:rsidRPr="00D4309F">
        <w:t>it</w:t>
      </w:r>
      <w:r w:rsidRPr="00D4309F">
        <w:rPr>
          <w:spacing w:val="-1"/>
        </w:rPr>
        <w:t xml:space="preserve"> </w:t>
      </w:r>
      <w:r w:rsidRPr="00D4309F">
        <w:t>shifts operational</w:t>
      </w:r>
      <w:r w:rsidRPr="00D4309F">
        <w:rPr>
          <w:spacing w:val="-1"/>
        </w:rPr>
        <w:t xml:space="preserve"> </w:t>
      </w:r>
      <w:r w:rsidRPr="00D4309F">
        <w:t>focus to maintaining an alternate access point that remains navigable for periods between dredging events.</w:t>
      </w:r>
    </w:p>
    <w:p w14:paraId="5BB6EDB4" w14:textId="77777777" w:rsidR="00725977" w:rsidRPr="00D4309F" w:rsidRDefault="00725977" w:rsidP="00725977">
      <w:pPr>
        <w:pStyle w:val="BodyText"/>
        <w:sectPr w:rsidR="00725977" w:rsidRPr="00D4309F" w:rsidSect="00AE5C6B">
          <w:headerReference w:type="default" r:id="rId147"/>
          <w:footerReference w:type="default" r:id="rId148"/>
          <w:pgSz w:w="11910" w:h="16840"/>
          <w:pgMar w:top="1418" w:right="1134" w:bottom="1418" w:left="1134" w:header="916" w:footer="980" w:gutter="0"/>
          <w:cols w:space="720"/>
        </w:sectPr>
      </w:pPr>
    </w:p>
    <w:p w14:paraId="13C9EFFB" w14:textId="2F6E51DA" w:rsidR="00725977" w:rsidRDefault="00725977" w:rsidP="00B538D4">
      <w:pPr>
        <w:ind w:left="142"/>
        <w:jc w:val="center"/>
        <w:rPr>
          <w:b/>
          <w:color w:val="211E1F"/>
          <w:spacing w:val="-2"/>
          <w:sz w:val="18"/>
        </w:rPr>
      </w:pPr>
      <w:r w:rsidRPr="00D4309F">
        <w:rPr>
          <w:noProof/>
        </w:rPr>
        <w:lastRenderedPageBreak/>
        <w:drawing>
          <wp:inline distT="0" distB="0" distL="0" distR="0" wp14:anchorId="2116F886" wp14:editId="560DD9B3">
            <wp:extent cx="6120128" cy="4319904"/>
            <wp:effectExtent l="0" t="0" r="0" b="5080"/>
            <wp:docPr id="351" name="Image 351" descr="Arial image of Point Cartwright and the Mooloolaba Boat Harbour Entrance. The map overlay shows where shoaling occurs at the boat harbour entrance, and then shows where the western breakwater would be shortened in length to allow boat access. It also shows that dredged sand will be placed near the shoreline of Mooloolaba beach.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descr="Arial image of Point Cartwright and the Mooloolaba Boat Harbour Entrance. The map overlay shows where shoaling occurs at the boat harbour entrance, and then shows where the western breakwater would be shortened in length to allow boat access. It also shows that dredged sand will be placed near the shoreline of Mooloolaba beach. "/>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6120128" cy="4319904"/>
                    </a:xfrm>
                    <a:prstGeom prst="rect">
                      <a:avLst/>
                    </a:prstGeom>
                  </pic:spPr>
                </pic:pic>
              </a:graphicData>
            </a:graphic>
          </wp:inline>
        </w:drawing>
      </w:r>
      <w:r w:rsidRPr="00D4309F">
        <w:rPr>
          <w:b/>
          <w:noProof/>
          <w:sz w:val="18"/>
        </w:rPr>
        <w:drawing>
          <wp:inline distT="0" distB="0" distL="0" distR="0" wp14:anchorId="4BF46E64" wp14:editId="7E6739ED">
            <wp:extent cx="6069212" cy="4235958"/>
            <wp:effectExtent l="0" t="0" r="8255" b="0"/>
            <wp:docPr id="352" name="Image 352" descr="Arial image of Point Cartwright and the Mooloolaba Boat Harbour Entrance. The map overlay shows a retangle shape outlining where shoaling occurs at the boat harbour entrance, and then shows where the western breakwater would be shortened in length, and dredg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descr="Arial image of Point Cartwright and the Mooloolaba Boat Harbour Entrance. The map overlay shows a retangle shape outlining where shoaling occurs at the boat harbour entrance, and then shows where the western breakwater would be shortened in length, and dredg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6069212" cy="4235958"/>
                    </a:xfrm>
                    <a:prstGeom prst="rect">
                      <a:avLst/>
                    </a:prstGeom>
                  </pic:spPr>
                </pic:pic>
              </a:graphicData>
            </a:graphic>
          </wp:inline>
        </w:drawing>
      </w:r>
      <w:bookmarkStart w:id="517" w:name="_bookmark191"/>
      <w:bookmarkEnd w:id="517"/>
    </w:p>
    <w:p w14:paraId="576CA5AE" w14:textId="330BD560" w:rsidR="00B538D4" w:rsidRPr="00D4309F" w:rsidRDefault="00B538D4" w:rsidP="00B538D4">
      <w:pPr>
        <w:pStyle w:val="Caption"/>
        <w:jc w:val="center"/>
        <w:rPr>
          <w:b w:val="0"/>
        </w:rPr>
      </w:pPr>
      <w:bookmarkStart w:id="518" w:name="_Toc216699632"/>
      <w:r>
        <w:t xml:space="preserve">Figure </w:t>
      </w:r>
      <w:r>
        <w:fldChar w:fldCharType="begin" w:fldLock="1"/>
      </w:r>
      <w:r>
        <w:instrText xml:space="preserve"> STYLEREF 1 \s </w:instrText>
      </w:r>
      <w:r>
        <w:fldChar w:fldCharType="separate"/>
      </w:r>
      <w:r>
        <w:rPr>
          <w:noProof/>
        </w:rPr>
        <w:t>17</w:t>
      </w:r>
      <w:r>
        <w:fldChar w:fldCharType="end"/>
      </w:r>
      <w:r>
        <w:noBreakHyphen/>
      </w:r>
      <w:r>
        <w:fldChar w:fldCharType="begin"/>
      </w:r>
      <w:r>
        <w:instrText xml:space="preserve"> SEQ Figure \* ARABIC \s 1 </w:instrText>
      </w:r>
      <w:r>
        <w:fldChar w:fldCharType="separate"/>
      </w:r>
      <w:r w:rsidR="006D0876">
        <w:rPr>
          <w:noProof/>
        </w:rPr>
        <w:t>1</w:t>
      </w:r>
      <w:r>
        <w:fldChar w:fldCharType="end"/>
      </w:r>
      <w:r>
        <w:t>:</w:t>
      </w:r>
      <w:r>
        <w:tab/>
      </w:r>
      <w:r w:rsidRPr="00D4309F">
        <w:rPr>
          <w:color w:val="211E1F"/>
        </w:rPr>
        <w:t>Option 5</w:t>
      </w:r>
      <w:r w:rsidRPr="00D4309F">
        <w:rPr>
          <w:color w:val="211E1F"/>
          <w:spacing w:val="-3"/>
        </w:rPr>
        <w:t xml:space="preserve"> </w:t>
      </w:r>
      <w:r w:rsidRPr="00D4309F">
        <w:rPr>
          <w:color w:val="211E1F"/>
        </w:rPr>
        <w:t>–</w:t>
      </w:r>
      <w:r w:rsidRPr="00D4309F">
        <w:rPr>
          <w:color w:val="211E1F"/>
          <w:spacing w:val="-3"/>
        </w:rPr>
        <w:t xml:space="preserve"> </w:t>
      </w:r>
      <w:r w:rsidRPr="00D4309F">
        <w:rPr>
          <w:color w:val="211E1F"/>
        </w:rPr>
        <w:t>Shorten</w:t>
      </w:r>
      <w:r w:rsidRPr="00D4309F">
        <w:rPr>
          <w:color w:val="211E1F"/>
          <w:spacing w:val="-2"/>
        </w:rPr>
        <w:t xml:space="preserve"> </w:t>
      </w:r>
      <w:r w:rsidRPr="00D4309F">
        <w:rPr>
          <w:color w:val="211E1F"/>
        </w:rPr>
        <w:t>Western</w:t>
      </w:r>
      <w:r w:rsidRPr="00D4309F">
        <w:rPr>
          <w:color w:val="211E1F"/>
          <w:spacing w:val="-2"/>
        </w:rPr>
        <w:t xml:space="preserve"> </w:t>
      </w:r>
      <w:r w:rsidRPr="00D4309F">
        <w:rPr>
          <w:color w:val="211E1F"/>
        </w:rPr>
        <w:t>Entrance</w:t>
      </w:r>
      <w:r w:rsidRPr="00D4309F">
        <w:rPr>
          <w:color w:val="211E1F"/>
          <w:spacing w:val="-3"/>
        </w:rPr>
        <w:t xml:space="preserve"> </w:t>
      </w:r>
      <w:r w:rsidRPr="00D4309F">
        <w:rPr>
          <w:color w:val="211E1F"/>
        </w:rPr>
        <w:t>wall</w:t>
      </w:r>
      <w:r w:rsidRPr="00D4309F">
        <w:rPr>
          <w:color w:val="211E1F"/>
          <w:spacing w:val="-2"/>
        </w:rPr>
        <w:t xml:space="preserve"> </w:t>
      </w:r>
      <w:r w:rsidRPr="00D4309F">
        <w:rPr>
          <w:color w:val="211E1F"/>
        </w:rPr>
        <w:t>and</w:t>
      </w:r>
      <w:r w:rsidRPr="00D4309F">
        <w:rPr>
          <w:color w:val="211E1F"/>
          <w:spacing w:val="-2"/>
        </w:rPr>
        <w:t xml:space="preserve"> </w:t>
      </w:r>
      <w:r w:rsidRPr="00D4309F">
        <w:rPr>
          <w:color w:val="211E1F"/>
        </w:rPr>
        <w:t>Western</w:t>
      </w:r>
      <w:r w:rsidRPr="00D4309F">
        <w:rPr>
          <w:color w:val="211E1F"/>
          <w:spacing w:val="-1"/>
        </w:rPr>
        <w:t xml:space="preserve"> </w:t>
      </w:r>
      <w:r w:rsidRPr="00D4309F">
        <w:rPr>
          <w:color w:val="211E1F"/>
          <w:spacing w:val="-2"/>
        </w:rPr>
        <w:t>Channel</w:t>
      </w:r>
      <w:bookmarkEnd w:id="518"/>
    </w:p>
    <w:p w14:paraId="45081EA4" w14:textId="77777777" w:rsidR="00725977" w:rsidRPr="00D4309F" w:rsidRDefault="00725977" w:rsidP="00AF12C0">
      <w:pPr>
        <w:pStyle w:val="Heading2"/>
      </w:pPr>
      <w:bookmarkStart w:id="519" w:name="_bookmark192"/>
      <w:bookmarkStart w:id="520" w:name="_Toc216699499"/>
      <w:bookmarkEnd w:id="519"/>
      <w:r w:rsidRPr="00D4309F">
        <w:lastRenderedPageBreak/>
        <w:t>Coastal</w:t>
      </w:r>
      <w:r w:rsidRPr="00D4309F">
        <w:rPr>
          <w:spacing w:val="-14"/>
        </w:rPr>
        <w:t xml:space="preserve"> </w:t>
      </w:r>
      <w:r w:rsidRPr="00D4309F">
        <w:t>processes</w:t>
      </w:r>
      <w:r w:rsidRPr="00D4309F">
        <w:rPr>
          <w:spacing w:val="-14"/>
        </w:rPr>
        <w:t xml:space="preserve"> </w:t>
      </w:r>
      <w:r w:rsidRPr="00D4309F">
        <w:rPr>
          <w:spacing w:val="-2"/>
        </w:rPr>
        <w:t>impacts</w:t>
      </w:r>
      <w:bookmarkEnd w:id="520"/>
    </w:p>
    <w:p w14:paraId="638C44BB" w14:textId="77777777" w:rsidR="00725977" w:rsidRPr="00D4309F" w:rsidRDefault="00725977" w:rsidP="00725977">
      <w:pPr>
        <w:pStyle w:val="BodyText"/>
      </w:pPr>
      <w:r w:rsidRPr="00D4309F">
        <w:t>As Option 5 remains conceptual, the assessment of coastal process impacts can only be undertaken at a high level. The original Mooloolaba entrance training walls were designed to balance tidal exchange, wave climate, and sediment transport, and any modification or reconfiguration of the system has the potential to influence this equilibrium.</w:t>
      </w:r>
    </w:p>
    <w:p w14:paraId="17359AE5" w14:textId="77777777" w:rsidR="00725977" w:rsidRPr="00416F6A" w:rsidRDefault="00725977" w:rsidP="00725977">
      <w:pPr>
        <w:pStyle w:val="BodyText"/>
        <w:rPr>
          <w:b/>
          <w:bCs/>
        </w:rPr>
      </w:pPr>
      <w:r w:rsidRPr="00416F6A">
        <w:rPr>
          <w:b/>
          <w:bCs/>
        </w:rPr>
        <w:t>For operational-only variations (e.g. formalising the Western Channel):</w:t>
      </w:r>
    </w:p>
    <w:p w14:paraId="7E83F850" w14:textId="77777777" w:rsidR="00725977" w:rsidRPr="00D4309F" w:rsidRDefault="00725977" w:rsidP="00725977">
      <w:pPr>
        <w:pStyle w:val="BodyText"/>
      </w:pPr>
      <w:r w:rsidRPr="00D4309F">
        <w:t>The coastal process implications are expected to be minimal, as no changes are made to the entrance structures or the underlying hydrodynamic drivers. Shoaling processes, sediment supply from Area A, and nearshore circulation patterns would continue unaffected. Under these variations, the western channel will still experience rapid and frequent sand accumulation, consistent with current trial observations.</w:t>
      </w:r>
    </w:p>
    <w:p w14:paraId="27DA0CF3" w14:textId="77777777" w:rsidR="00725977" w:rsidRPr="00416F6A" w:rsidRDefault="00725977" w:rsidP="00725977">
      <w:pPr>
        <w:pStyle w:val="BodyText"/>
        <w:rPr>
          <w:b/>
          <w:bCs/>
        </w:rPr>
      </w:pPr>
      <w:r w:rsidRPr="00416F6A">
        <w:rPr>
          <w:b/>
          <w:bCs/>
        </w:rPr>
        <w:t>For structural variations (e.g. shortening the western breakwater):</w:t>
      </w:r>
    </w:p>
    <w:p w14:paraId="732F91BA" w14:textId="77777777" w:rsidR="00725977" w:rsidRPr="00D4309F" w:rsidRDefault="00725977" w:rsidP="00725977">
      <w:pPr>
        <w:pStyle w:val="BodyText"/>
      </w:pPr>
      <w:r w:rsidRPr="00D4309F">
        <w:t>Changes to the geometry of the training walls could alter tidal and ebb-flow patterns, current velocities, and wave refraction both inside the entrance and along adjacent beaches. In particular, reducing the length of the western wall may draw the active shoal zone landward, potentially shifting or intensifying shoaling closer to the entrance. These effects may undermine anticipated access improvements and could influence sediment distribution around Mooloolaba Beach, with outcomes dependent on seasonal and wave-climate variability.</w:t>
      </w:r>
    </w:p>
    <w:p w14:paraId="02F68968" w14:textId="77777777" w:rsidR="00725977" w:rsidRPr="00D4309F" w:rsidRDefault="00725977" w:rsidP="00725977">
      <w:pPr>
        <w:pStyle w:val="BodyText"/>
      </w:pPr>
      <w:r w:rsidRPr="00D4309F">
        <w:t>Because both variations leave the dominant sediment supply unchanged, neither is expected to significantly reduce shoaling frequency or improve natural bypassing efficiency. However, formalising an alternative access path may improve practical usability of the entrance during shoaling events and reduce unintended or unsafe channel crossings by boaters who may be unaware of Notice to Mariners warnings regarding the primary alignment.</w:t>
      </w:r>
    </w:p>
    <w:p w14:paraId="32B66500" w14:textId="254816B5" w:rsidR="00725977" w:rsidRPr="00D4309F" w:rsidRDefault="00725977" w:rsidP="00725977">
      <w:pPr>
        <w:pStyle w:val="BodyText"/>
      </w:pPr>
      <w:r w:rsidRPr="00D4309F">
        <w:t>For any structural modification, however, detailed hydrodynamic and sediment transport modelling would be required to quantify potential impacts, assess stability, and determine whether unintended coastal changes (beneficial or erosive) may arise.</w:t>
      </w:r>
    </w:p>
    <w:p w14:paraId="1A4D7D21" w14:textId="77777777" w:rsidR="00725977" w:rsidRPr="00D4309F" w:rsidRDefault="00725977" w:rsidP="00AF12C0">
      <w:pPr>
        <w:pStyle w:val="Heading2"/>
      </w:pPr>
      <w:bookmarkStart w:id="521" w:name="_bookmark193"/>
      <w:bookmarkStart w:id="522" w:name="_Toc216699500"/>
      <w:bookmarkEnd w:id="521"/>
      <w:r w:rsidRPr="00D4309F">
        <w:t>Effectiveness</w:t>
      </w:r>
      <w:r w:rsidRPr="00D4309F">
        <w:rPr>
          <w:spacing w:val="-12"/>
        </w:rPr>
        <w:t xml:space="preserve"> </w:t>
      </w:r>
      <w:r w:rsidRPr="00D4309F">
        <w:t>of</w:t>
      </w:r>
      <w:r w:rsidRPr="00D4309F">
        <w:rPr>
          <w:spacing w:val="-12"/>
        </w:rPr>
        <w:t xml:space="preserve"> </w:t>
      </w:r>
      <w:r w:rsidRPr="00D4309F">
        <w:t>Option</w:t>
      </w:r>
      <w:r w:rsidRPr="00D4309F">
        <w:rPr>
          <w:spacing w:val="-13"/>
        </w:rPr>
        <w:t xml:space="preserve"> </w:t>
      </w:r>
      <w:r w:rsidRPr="00D4309F">
        <w:rPr>
          <w:spacing w:val="-10"/>
        </w:rPr>
        <w:t>5</w:t>
      </w:r>
      <w:bookmarkEnd w:id="522"/>
    </w:p>
    <w:p w14:paraId="29C62372" w14:textId="77777777" w:rsidR="00725977" w:rsidRPr="00D4309F" w:rsidRDefault="00725977" w:rsidP="00725977">
      <w:pPr>
        <w:pStyle w:val="BodyText"/>
      </w:pPr>
      <w:r w:rsidRPr="00D4309F">
        <w:t>In terms of effectiveness, while the shifted channel may allow more consistent access during moderate conditions,</w:t>
      </w:r>
      <w:r w:rsidRPr="00D4309F">
        <w:rPr>
          <w:spacing w:val="-1"/>
        </w:rPr>
        <w:t xml:space="preserve"> </w:t>
      </w:r>
      <w:r w:rsidRPr="00D4309F">
        <w:t>it would</w:t>
      </w:r>
      <w:r w:rsidRPr="00D4309F">
        <w:rPr>
          <w:spacing w:val="-1"/>
        </w:rPr>
        <w:t xml:space="preserve"> </w:t>
      </w:r>
      <w:r w:rsidRPr="00D4309F">
        <w:t>not</w:t>
      </w:r>
      <w:r w:rsidRPr="00D4309F">
        <w:rPr>
          <w:spacing w:val="-1"/>
        </w:rPr>
        <w:t xml:space="preserve"> </w:t>
      </w:r>
      <w:r w:rsidRPr="00D4309F">
        <w:t>significantly improve</w:t>
      </w:r>
      <w:r w:rsidRPr="00D4309F">
        <w:rPr>
          <w:spacing w:val="-1"/>
        </w:rPr>
        <w:t xml:space="preserve"> </w:t>
      </w:r>
      <w:r w:rsidRPr="00D4309F">
        <w:t>bypassing</w:t>
      </w:r>
      <w:r w:rsidRPr="00D4309F">
        <w:rPr>
          <w:spacing w:val="-1"/>
        </w:rPr>
        <w:t xml:space="preserve"> </w:t>
      </w:r>
      <w:r w:rsidRPr="00D4309F">
        <w:t>efficiency or reduce</w:t>
      </w:r>
      <w:r w:rsidRPr="00D4309F">
        <w:rPr>
          <w:spacing w:val="-1"/>
        </w:rPr>
        <w:t xml:space="preserve"> </w:t>
      </w:r>
      <w:r w:rsidRPr="00D4309F">
        <w:t>shoal</w:t>
      </w:r>
      <w:r w:rsidRPr="00D4309F">
        <w:rPr>
          <w:spacing w:val="-1"/>
        </w:rPr>
        <w:t xml:space="preserve"> </w:t>
      </w:r>
      <w:r w:rsidRPr="00D4309F">
        <w:t>frequency.</w:t>
      </w:r>
      <w:r w:rsidRPr="00D4309F">
        <w:rPr>
          <w:spacing w:val="-1"/>
        </w:rPr>
        <w:t xml:space="preserve"> </w:t>
      </w:r>
      <w:r w:rsidRPr="00D4309F">
        <w:t>The</w:t>
      </w:r>
      <w:r w:rsidRPr="00D4309F">
        <w:rPr>
          <w:spacing w:val="-1"/>
        </w:rPr>
        <w:t xml:space="preserve"> </w:t>
      </w:r>
      <w:r w:rsidRPr="00D4309F">
        <w:t>volume and</w:t>
      </w:r>
      <w:r w:rsidRPr="00D4309F">
        <w:rPr>
          <w:spacing w:val="-3"/>
        </w:rPr>
        <w:t xml:space="preserve"> </w:t>
      </w:r>
      <w:r w:rsidRPr="00D4309F">
        <w:t>rate</w:t>
      </w:r>
      <w:r w:rsidRPr="00D4309F">
        <w:rPr>
          <w:spacing w:val="-3"/>
        </w:rPr>
        <w:t xml:space="preserve"> </w:t>
      </w:r>
      <w:r w:rsidRPr="00D4309F">
        <w:t>of</w:t>
      </w:r>
      <w:r w:rsidRPr="00D4309F">
        <w:rPr>
          <w:spacing w:val="-5"/>
        </w:rPr>
        <w:t xml:space="preserve"> </w:t>
      </w:r>
      <w:r w:rsidRPr="00D4309F">
        <w:t>sand</w:t>
      </w:r>
      <w:r w:rsidRPr="00D4309F">
        <w:rPr>
          <w:spacing w:val="-3"/>
        </w:rPr>
        <w:t xml:space="preserve"> </w:t>
      </w:r>
      <w:r w:rsidRPr="00D4309F">
        <w:t>accumulation</w:t>
      </w:r>
      <w:r w:rsidRPr="00D4309F">
        <w:rPr>
          <w:spacing w:val="-3"/>
        </w:rPr>
        <w:t xml:space="preserve"> </w:t>
      </w:r>
      <w:r w:rsidRPr="00D4309F">
        <w:t>in</w:t>
      </w:r>
      <w:r w:rsidRPr="00D4309F">
        <w:rPr>
          <w:spacing w:val="-3"/>
        </w:rPr>
        <w:t xml:space="preserve"> </w:t>
      </w:r>
      <w:r w:rsidRPr="00D4309F">
        <w:t>the</w:t>
      </w:r>
      <w:r w:rsidRPr="00D4309F">
        <w:rPr>
          <w:spacing w:val="-3"/>
        </w:rPr>
        <w:t xml:space="preserve"> </w:t>
      </w:r>
      <w:r w:rsidRPr="00D4309F">
        <w:t>broader</w:t>
      </w:r>
      <w:r w:rsidRPr="00D4309F">
        <w:rPr>
          <w:spacing w:val="-2"/>
        </w:rPr>
        <w:t xml:space="preserve"> </w:t>
      </w:r>
      <w:r w:rsidRPr="00D4309F">
        <w:t>entrance</w:t>
      </w:r>
      <w:r w:rsidRPr="00D4309F">
        <w:rPr>
          <w:spacing w:val="-3"/>
        </w:rPr>
        <w:t xml:space="preserve"> </w:t>
      </w:r>
      <w:r w:rsidRPr="00D4309F">
        <w:t>system</w:t>
      </w:r>
      <w:r w:rsidRPr="00D4309F">
        <w:rPr>
          <w:spacing w:val="-4"/>
        </w:rPr>
        <w:t xml:space="preserve"> </w:t>
      </w:r>
      <w:r w:rsidRPr="00D4309F">
        <w:t>would</w:t>
      </w:r>
      <w:r w:rsidRPr="00D4309F">
        <w:rPr>
          <w:spacing w:val="-3"/>
        </w:rPr>
        <w:t xml:space="preserve"> </w:t>
      </w:r>
      <w:r w:rsidRPr="00D4309F">
        <w:t>remain</w:t>
      </w:r>
      <w:r w:rsidRPr="00D4309F">
        <w:rPr>
          <w:spacing w:val="-3"/>
        </w:rPr>
        <w:t xml:space="preserve"> </w:t>
      </w:r>
      <w:r w:rsidRPr="00D4309F">
        <w:t>similar</w:t>
      </w:r>
      <w:r w:rsidRPr="00D4309F">
        <w:rPr>
          <w:spacing w:val="-2"/>
        </w:rPr>
        <w:t xml:space="preserve"> </w:t>
      </w:r>
      <w:r w:rsidRPr="00D4309F">
        <w:t>to</w:t>
      </w:r>
      <w:r w:rsidRPr="00D4309F">
        <w:rPr>
          <w:spacing w:val="-3"/>
        </w:rPr>
        <w:t xml:space="preserve"> </w:t>
      </w:r>
      <w:r w:rsidRPr="00D4309F">
        <w:t>current</w:t>
      </w:r>
      <w:r w:rsidRPr="00D4309F">
        <w:rPr>
          <w:spacing w:val="-3"/>
        </w:rPr>
        <w:t xml:space="preserve"> </w:t>
      </w:r>
      <w:r w:rsidRPr="00D4309F">
        <w:t>conditions, meaning ongoing maintenance dredging would still be required.</w:t>
      </w:r>
    </w:p>
    <w:p w14:paraId="314A98B1" w14:textId="77777777" w:rsidR="00725977" w:rsidRPr="00D4309F" w:rsidRDefault="00725977" w:rsidP="00725977">
      <w:pPr>
        <w:pStyle w:val="BodyText"/>
      </w:pPr>
      <w:r w:rsidRPr="00D4309F">
        <w:t>From</w:t>
      </w:r>
      <w:r w:rsidRPr="00D4309F">
        <w:rPr>
          <w:spacing w:val="-3"/>
        </w:rPr>
        <w:t xml:space="preserve"> </w:t>
      </w:r>
      <w:r w:rsidRPr="00D4309F">
        <w:t>a</w:t>
      </w:r>
      <w:r w:rsidRPr="00D4309F">
        <w:rPr>
          <w:spacing w:val="-3"/>
        </w:rPr>
        <w:t xml:space="preserve"> </w:t>
      </w:r>
      <w:r w:rsidRPr="00D4309F">
        <w:t>navigation</w:t>
      </w:r>
      <w:r w:rsidRPr="00D4309F">
        <w:rPr>
          <w:spacing w:val="-3"/>
        </w:rPr>
        <w:t xml:space="preserve"> </w:t>
      </w:r>
      <w:r w:rsidRPr="00D4309F">
        <w:t>and</w:t>
      </w:r>
      <w:r w:rsidRPr="00D4309F">
        <w:rPr>
          <w:spacing w:val="-4"/>
        </w:rPr>
        <w:t xml:space="preserve"> </w:t>
      </w:r>
      <w:r w:rsidRPr="00D4309F">
        <w:t>safety</w:t>
      </w:r>
      <w:r w:rsidRPr="00D4309F">
        <w:rPr>
          <w:spacing w:val="-2"/>
        </w:rPr>
        <w:t xml:space="preserve"> </w:t>
      </w:r>
      <w:r w:rsidRPr="00D4309F">
        <w:t>perspective,</w:t>
      </w:r>
      <w:r w:rsidRPr="00D4309F">
        <w:rPr>
          <w:spacing w:val="-3"/>
        </w:rPr>
        <w:t xml:space="preserve"> </w:t>
      </w:r>
      <w:r w:rsidRPr="00D4309F">
        <w:t>this</w:t>
      </w:r>
      <w:r w:rsidRPr="00D4309F">
        <w:rPr>
          <w:spacing w:val="-2"/>
        </w:rPr>
        <w:t xml:space="preserve"> </w:t>
      </w:r>
      <w:r w:rsidRPr="00D4309F">
        <w:t>option</w:t>
      </w:r>
      <w:r w:rsidRPr="00D4309F">
        <w:rPr>
          <w:spacing w:val="-3"/>
        </w:rPr>
        <w:t xml:space="preserve"> </w:t>
      </w:r>
      <w:r w:rsidRPr="00D4309F">
        <w:t>presents</w:t>
      </w:r>
      <w:r w:rsidRPr="00D4309F">
        <w:rPr>
          <w:spacing w:val="-2"/>
        </w:rPr>
        <w:t xml:space="preserve"> </w:t>
      </w:r>
      <w:r w:rsidRPr="00D4309F">
        <w:t>potential</w:t>
      </w:r>
      <w:r w:rsidRPr="00D4309F">
        <w:rPr>
          <w:spacing w:val="-3"/>
        </w:rPr>
        <w:t xml:space="preserve"> </w:t>
      </w:r>
      <w:r w:rsidRPr="00D4309F">
        <w:t>concerns.</w:t>
      </w:r>
      <w:r w:rsidRPr="00D4309F">
        <w:rPr>
          <w:spacing w:val="-3"/>
        </w:rPr>
        <w:t xml:space="preserve"> </w:t>
      </w:r>
      <w:r w:rsidRPr="00D4309F">
        <w:t>The</w:t>
      </w:r>
      <w:r w:rsidRPr="00D4309F">
        <w:rPr>
          <w:spacing w:val="-3"/>
        </w:rPr>
        <w:t xml:space="preserve"> </w:t>
      </w:r>
      <w:r w:rsidRPr="00D4309F">
        <w:t>new</w:t>
      </w:r>
      <w:r w:rsidRPr="00D4309F">
        <w:rPr>
          <w:spacing w:val="-4"/>
        </w:rPr>
        <w:t xml:space="preserve"> </w:t>
      </w:r>
      <w:r w:rsidRPr="00D4309F">
        <w:t>alignment</w:t>
      </w:r>
      <w:r w:rsidRPr="00D4309F">
        <w:rPr>
          <w:spacing w:val="-3"/>
        </w:rPr>
        <w:t xml:space="preserve"> </w:t>
      </w:r>
      <w:r w:rsidRPr="00D4309F">
        <w:t>would require vessels to approach or exit the harbour at an angle (“beam-on”) to incoming waves, creating a more hazardous manoeuvre, especially for inexperienced or small-boat operators. Although accessibility might improve</w:t>
      </w:r>
      <w:r w:rsidRPr="00D4309F">
        <w:rPr>
          <w:spacing w:val="-3"/>
        </w:rPr>
        <w:t xml:space="preserve"> </w:t>
      </w:r>
      <w:r w:rsidRPr="00D4309F">
        <w:t>in</w:t>
      </w:r>
      <w:r w:rsidRPr="00D4309F">
        <w:rPr>
          <w:spacing w:val="-4"/>
        </w:rPr>
        <w:t xml:space="preserve"> </w:t>
      </w:r>
      <w:r w:rsidRPr="00D4309F">
        <w:t>calm</w:t>
      </w:r>
      <w:r w:rsidRPr="00D4309F">
        <w:rPr>
          <w:spacing w:val="-3"/>
        </w:rPr>
        <w:t xml:space="preserve"> </w:t>
      </w:r>
      <w:r w:rsidRPr="00D4309F">
        <w:t>weather,</w:t>
      </w:r>
      <w:r w:rsidRPr="00D4309F">
        <w:rPr>
          <w:spacing w:val="-3"/>
        </w:rPr>
        <w:t xml:space="preserve"> </w:t>
      </w:r>
      <w:r w:rsidRPr="00D4309F">
        <w:t>the</w:t>
      </w:r>
      <w:r w:rsidRPr="00D4309F">
        <w:rPr>
          <w:spacing w:val="-3"/>
        </w:rPr>
        <w:t xml:space="preserve"> </w:t>
      </w:r>
      <w:r w:rsidRPr="00D4309F">
        <w:t>approach</w:t>
      </w:r>
      <w:r w:rsidRPr="00D4309F">
        <w:rPr>
          <w:spacing w:val="-4"/>
        </w:rPr>
        <w:t xml:space="preserve"> </w:t>
      </w:r>
      <w:r w:rsidRPr="00D4309F">
        <w:t>could</w:t>
      </w:r>
      <w:r w:rsidRPr="00D4309F">
        <w:rPr>
          <w:spacing w:val="-3"/>
        </w:rPr>
        <w:t xml:space="preserve"> </w:t>
      </w:r>
      <w:r w:rsidRPr="00D4309F">
        <w:t>become</w:t>
      </w:r>
      <w:r w:rsidRPr="00D4309F">
        <w:rPr>
          <w:spacing w:val="-3"/>
        </w:rPr>
        <w:t xml:space="preserve"> </w:t>
      </w:r>
      <w:r w:rsidRPr="00D4309F">
        <w:t>riskier</w:t>
      </w:r>
      <w:r w:rsidRPr="00D4309F">
        <w:rPr>
          <w:spacing w:val="-2"/>
        </w:rPr>
        <w:t xml:space="preserve"> </w:t>
      </w:r>
      <w:r w:rsidRPr="00D4309F">
        <w:t>during</w:t>
      </w:r>
      <w:r w:rsidRPr="00D4309F">
        <w:rPr>
          <w:spacing w:val="-3"/>
        </w:rPr>
        <w:t xml:space="preserve"> </w:t>
      </w:r>
      <w:r w:rsidRPr="00D4309F">
        <w:t>higher</w:t>
      </w:r>
      <w:r w:rsidRPr="00D4309F">
        <w:rPr>
          <w:spacing w:val="-2"/>
        </w:rPr>
        <w:t xml:space="preserve"> </w:t>
      </w:r>
      <w:r w:rsidRPr="00D4309F">
        <w:t>wave</w:t>
      </w:r>
      <w:r w:rsidRPr="00D4309F">
        <w:rPr>
          <w:spacing w:val="-3"/>
        </w:rPr>
        <w:t xml:space="preserve"> </w:t>
      </w:r>
      <w:r w:rsidRPr="00D4309F">
        <w:t>energy</w:t>
      </w:r>
      <w:r w:rsidRPr="00D4309F">
        <w:rPr>
          <w:spacing w:val="-2"/>
        </w:rPr>
        <w:t xml:space="preserve"> </w:t>
      </w:r>
      <w:r w:rsidRPr="00D4309F">
        <w:t>events,</w:t>
      </w:r>
      <w:r w:rsidRPr="00D4309F">
        <w:rPr>
          <w:spacing w:val="-3"/>
        </w:rPr>
        <w:t xml:space="preserve"> </w:t>
      </w:r>
      <w:r w:rsidRPr="00D4309F">
        <w:t>undermining the safety gains sought through the channel modification.</w:t>
      </w:r>
    </w:p>
    <w:p w14:paraId="15D094B2" w14:textId="77777777" w:rsidR="00725977" w:rsidRPr="00D4309F" w:rsidRDefault="00725977" w:rsidP="00725977">
      <w:pPr>
        <w:pStyle w:val="BodyText"/>
      </w:pPr>
      <w:r w:rsidRPr="00D4309F">
        <w:t>Overall, while the concept offers short-term usability improvements, it provides limited long-term effectiveness</w:t>
      </w:r>
      <w:r w:rsidRPr="00D4309F">
        <w:rPr>
          <w:spacing w:val="-3"/>
        </w:rPr>
        <w:t xml:space="preserve"> </w:t>
      </w:r>
      <w:r w:rsidRPr="00D4309F">
        <w:t>in</w:t>
      </w:r>
      <w:r w:rsidRPr="00D4309F">
        <w:rPr>
          <w:spacing w:val="-3"/>
        </w:rPr>
        <w:t xml:space="preserve"> </w:t>
      </w:r>
      <w:r w:rsidRPr="00D4309F">
        <w:t>managing</w:t>
      </w:r>
      <w:r w:rsidRPr="00D4309F">
        <w:rPr>
          <w:spacing w:val="-4"/>
        </w:rPr>
        <w:t xml:space="preserve"> </w:t>
      </w:r>
      <w:r w:rsidRPr="00D4309F">
        <w:t>shoaling</w:t>
      </w:r>
      <w:r w:rsidRPr="00D4309F">
        <w:rPr>
          <w:spacing w:val="-3"/>
        </w:rPr>
        <w:t xml:space="preserve"> </w:t>
      </w:r>
      <w:r w:rsidRPr="00D4309F">
        <w:t>or</w:t>
      </w:r>
      <w:r w:rsidRPr="00D4309F">
        <w:rPr>
          <w:spacing w:val="-2"/>
        </w:rPr>
        <w:t xml:space="preserve"> </w:t>
      </w:r>
      <w:r w:rsidRPr="00D4309F">
        <w:t>ensuring</w:t>
      </w:r>
      <w:r w:rsidRPr="00D4309F">
        <w:rPr>
          <w:spacing w:val="-4"/>
        </w:rPr>
        <w:t xml:space="preserve"> </w:t>
      </w:r>
      <w:r w:rsidRPr="00D4309F">
        <w:t>safer</w:t>
      </w:r>
      <w:r w:rsidRPr="00D4309F">
        <w:rPr>
          <w:spacing w:val="-2"/>
        </w:rPr>
        <w:t xml:space="preserve"> </w:t>
      </w:r>
      <w:r w:rsidRPr="00D4309F">
        <w:t>navigation,</w:t>
      </w:r>
      <w:r w:rsidRPr="00D4309F">
        <w:rPr>
          <w:spacing w:val="-3"/>
        </w:rPr>
        <w:t xml:space="preserve"> </w:t>
      </w:r>
      <w:r w:rsidRPr="00D4309F">
        <w:t>and</w:t>
      </w:r>
      <w:r w:rsidRPr="00D4309F">
        <w:rPr>
          <w:spacing w:val="-3"/>
        </w:rPr>
        <w:t xml:space="preserve"> </w:t>
      </w:r>
      <w:r w:rsidRPr="00D4309F">
        <w:t>it</w:t>
      </w:r>
      <w:r w:rsidRPr="00D4309F">
        <w:rPr>
          <w:spacing w:val="-3"/>
        </w:rPr>
        <w:t xml:space="preserve"> </w:t>
      </w:r>
      <w:r w:rsidRPr="00D4309F">
        <w:t>does</w:t>
      </w:r>
      <w:r w:rsidRPr="00D4309F">
        <w:rPr>
          <w:spacing w:val="-2"/>
        </w:rPr>
        <w:t xml:space="preserve"> </w:t>
      </w:r>
      <w:r w:rsidRPr="00D4309F">
        <w:t>not</w:t>
      </w:r>
      <w:r w:rsidRPr="00D4309F">
        <w:rPr>
          <w:spacing w:val="-3"/>
        </w:rPr>
        <w:t xml:space="preserve"> </w:t>
      </w:r>
      <w:r w:rsidRPr="00D4309F">
        <w:t>enhance</w:t>
      </w:r>
      <w:r w:rsidRPr="00D4309F">
        <w:rPr>
          <w:spacing w:val="-3"/>
        </w:rPr>
        <w:t xml:space="preserve"> </w:t>
      </w:r>
      <w:r w:rsidRPr="00D4309F">
        <w:t>natural</w:t>
      </w:r>
      <w:r w:rsidRPr="00D4309F">
        <w:rPr>
          <w:spacing w:val="-3"/>
        </w:rPr>
        <w:t xml:space="preserve"> </w:t>
      </w:r>
      <w:r w:rsidRPr="00D4309F">
        <w:t>sediment bypassing between Area A and Area B.</w:t>
      </w:r>
    </w:p>
    <w:p w14:paraId="5D238E2B" w14:textId="212D447B" w:rsidR="00725977" w:rsidRPr="00D4309F" w:rsidRDefault="00725977" w:rsidP="00725977">
      <w:pPr>
        <w:pStyle w:val="BodyText"/>
      </w:pPr>
      <w:r w:rsidRPr="00D4309F">
        <w:t>However, given the precedent of extended operational use of the Western Channel during periods when the main entrance has shoaled, both variations may still provide value as a supplementary measure. In practice, Option 5 could extend operational access during peak shoaling events, support navigation during construction or transition phases of larger interventions, or function as a contingency route if other options reach capacity or require maintenance. In this context, Option 5 may complement - not replace - more substantial sediment management solutions.</w:t>
      </w:r>
    </w:p>
    <w:p w14:paraId="3811EB0D" w14:textId="77777777" w:rsidR="00725977" w:rsidRPr="00D4309F" w:rsidRDefault="00725977" w:rsidP="00AF12C0">
      <w:pPr>
        <w:pStyle w:val="Heading2"/>
      </w:pPr>
      <w:bookmarkStart w:id="523" w:name="_Toc216699501"/>
      <w:r w:rsidRPr="00D4309F">
        <w:t>Variations of Option 5</w:t>
      </w:r>
      <w:bookmarkEnd w:id="523"/>
    </w:p>
    <w:p w14:paraId="22732CFD" w14:textId="77777777" w:rsidR="00725977" w:rsidRPr="00D4309F" w:rsidRDefault="00725977" w:rsidP="00725977">
      <w:pPr>
        <w:pStyle w:val="BodyText"/>
      </w:pPr>
      <w:r w:rsidRPr="00D4309F">
        <w:t>Two variations of the Western Channel concept are proposed. They differ primarily in the degree of structural intervention, navigation risk profile, and ability to influence long-term sediment dynamics at the harbour entrance. Both are examined in the following subsections in terms of capital and operational works, physical processes, environmental and social implications, cost, and overall feasibility.</w:t>
      </w:r>
    </w:p>
    <w:p w14:paraId="3791A287" w14:textId="77777777" w:rsidR="00725977" w:rsidRPr="00D4309F" w:rsidRDefault="00725977" w:rsidP="00D27F26">
      <w:pPr>
        <w:pStyle w:val="ListParagraph"/>
        <w:widowControl w:val="0"/>
        <w:numPr>
          <w:ilvl w:val="0"/>
          <w:numId w:val="290"/>
        </w:numPr>
        <w:tabs>
          <w:tab w:val="left" w:pos="501"/>
        </w:tabs>
        <w:autoSpaceDE w:val="0"/>
        <w:autoSpaceDN w:val="0"/>
        <w:spacing w:after="0" w:line="240" w:lineRule="auto"/>
        <w:ind w:right="373"/>
        <w:contextualSpacing w:val="0"/>
        <w:rPr>
          <w:bCs/>
          <w:color w:val="211E1F"/>
        </w:rPr>
      </w:pPr>
      <w:r w:rsidRPr="00D4309F">
        <w:rPr>
          <w:b/>
          <w:color w:val="211E1F"/>
        </w:rPr>
        <w:t>Option 5A Formalise Western Channel (No Structural Modification):</w:t>
      </w:r>
      <w:r w:rsidRPr="00D4309F">
        <w:rPr>
          <w:bCs/>
          <w:color w:val="211E1F"/>
        </w:rPr>
        <w:t xml:space="preserve"> This variation formalises </w:t>
      </w:r>
      <w:r w:rsidRPr="00D4309F">
        <w:rPr>
          <w:bCs/>
          <w:color w:val="211E1F"/>
        </w:rPr>
        <w:lastRenderedPageBreak/>
        <w:t>the existing Western Channel as a recognised navigation route by installing clear aids to navigation, maintaining regular hydrographic surveys, and continuing the current targeted maintenance dredging regime. No structural works or changes to the breakwater are proposed.</w:t>
      </w:r>
    </w:p>
    <w:p w14:paraId="6914ECDB" w14:textId="77777777" w:rsidR="00725977" w:rsidRPr="00D4309F" w:rsidRDefault="00725977" w:rsidP="00725977">
      <w:pPr>
        <w:pStyle w:val="ListParagraph"/>
        <w:tabs>
          <w:tab w:val="left" w:pos="501"/>
        </w:tabs>
        <w:ind w:left="501" w:right="373"/>
        <w:rPr>
          <w:bCs/>
        </w:rPr>
      </w:pPr>
      <w:r w:rsidRPr="00D4309F">
        <w:rPr>
          <w:bCs/>
          <w:color w:val="211E1F"/>
        </w:rPr>
        <w:t>This variation provides incremental operational benefit by offering a clearly defined alternative channel path (or a replacement for the primary alignment) during the early stages of shoal formation. However, it does not influence sediment supply, coastal processes, or the rate of shoaling within the entrance. As such, Option 5A is best regarded as a supplementary navigation and operational enhancement rather than a standalone sediment management solution.</w:t>
      </w:r>
    </w:p>
    <w:p w14:paraId="62CF8943" w14:textId="77777777" w:rsidR="00725977" w:rsidRPr="00D4309F" w:rsidRDefault="00725977" w:rsidP="00D27F26">
      <w:pPr>
        <w:pStyle w:val="ListParagraph"/>
        <w:widowControl w:val="0"/>
        <w:numPr>
          <w:ilvl w:val="0"/>
          <w:numId w:val="290"/>
        </w:numPr>
        <w:tabs>
          <w:tab w:val="left" w:pos="501"/>
        </w:tabs>
        <w:autoSpaceDE w:val="0"/>
        <w:autoSpaceDN w:val="0"/>
        <w:spacing w:before="118" w:after="0" w:line="240" w:lineRule="auto"/>
        <w:ind w:right="340"/>
        <w:contextualSpacing w:val="0"/>
        <w:rPr>
          <w:color w:val="211E1F"/>
        </w:rPr>
      </w:pPr>
      <w:r w:rsidRPr="00D4309F">
        <w:rPr>
          <w:b/>
          <w:color w:val="211E1F"/>
        </w:rPr>
        <w:t>Option</w:t>
      </w:r>
      <w:r w:rsidRPr="00D4309F">
        <w:rPr>
          <w:b/>
          <w:color w:val="211E1F"/>
          <w:spacing w:val="-3"/>
        </w:rPr>
        <w:t xml:space="preserve"> </w:t>
      </w:r>
      <w:r w:rsidRPr="00D4309F">
        <w:rPr>
          <w:b/>
          <w:color w:val="211E1F"/>
        </w:rPr>
        <w:t>5B</w:t>
      </w:r>
      <w:r w:rsidRPr="00D4309F">
        <w:rPr>
          <w:b/>
          <w:color w:val="211E1F"/>
          <w:spacing w:val="-3"/>
        </w:rPr>
        <w:t xml:space="preserve"> </w:t>
      </w:r>
      <w:r w:rsidRPr="00D4309F">
        <w:rPr>
          <w:b/>
          <w:color w:val="211E1F"/>
        </w:rPr>
        <w:t>–</w:t>
      </w:r>
      <w:r w:rsidRPr="00D4309F">
        <w:rPr>
          <w:b/>
          <w:color w:val="211E1F"/>
          <w:spacing w:val="-4"/>
        </w:rPr>
        <w:t xml:space="preserve"> </w:t>
      </w:r>
      <w:r w:rsidRPr="00D4309F">
        <w:rPr>
          <w:b/>
          <w:color w:val="211E1F"/>
        </w:rPr>
        <w:t>Shorten Western Channel Entrance Wall + Formalise Western Channel (Structural Modification)</w:t>
      </w:r>
      <w:r w:rsidRPr="00D4309F">
        <w:rPr>
          <w:color w:val="211E1F"/>
        </w:rPr>
        <w:t>:</w:t>
      </w:r>
      <w:r w:rsidRPr="00D4309F">
        <w:rPr>
          <w:color w:val="211E1F"/>
          <w:spacing w:val="-3"/>
        </w:rPr>
        <w:t xml:space="preserve"> This variation involves </w:t>
      </w:r>
      <w:r w:rsidRPr="00D4309F">
        <w:rPr>
          <w:color w:val="211E1F"/>
        </w:rPr>
        <w:t>the partial removal of the western breakwater and formal establishment of a new navigation channel farther landward.</w:t>
      </w:r>
    </w:p>
    <w:p w14:paraId="4ED1CB45" w14:textId="77777777" w:rsidR="00725977" w:rsidRPr="00D4309F" w:rsidRDefault="00725977" w:rsidP="00725977">
      <w:pPr>
        <w:pStyle w:val="ListParagraph"/>
        <w:tabs>
          <w:tab w:val="left" w:pos="501"/>
        </w:tabs>
        <w:spacing w:before="118"/>
        <w:ind w:left="501" w:right="340"/>
        <w:rPr>
          <w:color w:val="211E1F"/>
        </w:rPr>
      </w:pPr>
      <w:r w:rsidRPr="00D4309F">
        <w:rPr>
          <w:color w:val="211E1F"/>
        </w:rPr>
        <w:t>This option seeks to improve access by shifting vessel movements away from the most active shoaling zone; however, it does not reduce sand supply and introduces potential safety challenges due to altered wave approach angles.</w:t>
      </w:r>
    </w:p>
    <w:p w14:paraId="33F9B87E" w14:textId="1AC88744" w:rsidR="00416F6A" w:rsidRPr="0048488A" w:rsidRDefault="00725977" w:rsidP="0048488A">
      <w:pPr>
        <w:pStyle w:val="ListParagraph"/>
        <w:tabs>
          <w:tab w:val="left" w:pos="501"/>
        </w:tabs>
        <w:spacing w:before="118"/>
        <w:ind w:left="501" w:right="340"/>
        <w:rPr>
          <w:color w:val="211E1F"/>
        </w:rPr>
      </w:pPr>
      <w:r w:rsidRPr="00D4309F">
        <w:rPr>
          <w:color w:val="211E1F"/>
        </w:rPr>
        <w:t>Compared with Option 5A, this variation requires significant capital works, detailed hydrodynamic and sediment transport modelling, and a more extensive approvals pathway. While it may offer short-term improvements in navigability, its long-term effectiveness remains limited without complementary sediment management infrastructure.</w:t>
      </w:r>
    </w:p>
    <w:p w14:paraId="20D18C3F" w14:textId="77777777" w:rsidR="00725977" w:rsidRPr="00D4309F" w:rsidRDefault="00725977" w:rsidP="00AF12C0">
      <w:pPr>
        <w:pStyle w:val="Heading2"/>
      </w:pPr>
      <w:bookmarkStart w:id="524" w:name="_Toc216699502"/>
      <w:r w:rsidRPr="00D4309F">
        <w:t>Option 5A – Formalise Western Channel (No Structural Modification)</w:t>
      </w:r>
      <w:bookmarkEnd w:id="524"/>
    </w:p>
    <w:p w14:paraId="146749FC" w14:textId="5AB742EF" w:rsidR="00416F6A" w:rsidRPr="00D4309F" w:rsidRDefault="00725977" w:rsidP="00725977">
      <w:pPr>
        <w:pStyle w:val="BodyText"/>
      </w:pPr>
      <w:r w:rsidRPr="00D4309F">
        <w:t>This variation establishes the existing Western Channel as a formal navigation route through upgraded aids to navigation, ongoing hydrographic monitoring, and continuation of targeted maintenance dredging. No structural works or breakwater modifications are included. The variation provides a modest operational benefit by offering a clearly defined alternative access path during early shoaling phases but does not alter sediment supply or reduce shoaling frequency, and therefore functions primarily as a supplementary navigation measure.</w:t>
      </w:r>
    </w:p>
    <w:p w14:paraId="292FB826" w14:textId="77777777" w:rsidR="00725977" w:rsidRPr="00D4309F" w:rsidRDefault="00725977" w:rsidP="00AF12C0">
      <w:pPr>
        <w:pStyle w:val="Heading3"/>
      </w:pPr>
      <w:bookmarkStart w:id="525" w:name="_bookmark194"/>
      <w:bookmarkStart w:id="526" w:name="_Toc216699503"/>
      <w:bookmarkEnd w:id="525"/>
      <w:r w:rsidRPr="00D4309F">
        <w:t>Design and approvals</w:t>
      </w:r>
      <w:bookmarkEnd w:id="526"/>
    </w:p>
    <w:p w14:paraId="26B84706" w14:textId="77777777" w:rsidR="00725977" w:rsidRPr="00D4309F" w:rsidRDefault="00725977" w:rsidP="00725977">
      <w:pPr>
        <w:pStyle w:val="BodyText"/>
      </w:pPr>
      <w:r w:rsidRPr="00D4309F">
        <w:t>Option 5A involves no structural modification to the entrance training walls; therefore, the design and approvals requirements are comparatively limited. As this variation focuses on formalising the existing Western Channel through operational measures, the primary design tasks relate to navigational safety, survey planning, and channel management rather than reconfiguration of coastal infrastructure.</w:t>
      </w:r>
    </w:p>
    <w:p w14:paraId="06897405" w14:textId="77777777" w:rsidR="00725977" w:rsidRPr="00D4309F" w:rsidRDefault="00725977" w:rsidP="00725977">
      <w:pPr>
        <w:pStyle w:val="BodyText"/>
      </w:pPr>
      <w:r w:rsidRPr="00D4309F">
        <w:t>Design considerations would include:</w:t>
      </w:r>
    </w:p>
    <w:p w14:paraId="62349831" w14:textId="77777777" w:rsidR="00725977" w:rsidRPr="00D4309F" w:rsidRDefault="00725977" w:rsidP="004C00ED">
      <w:pPr>
        <w:pStyle w:val="ListBullet"/>
      </w:pPr>
      <w:r w:rsidRPr="00D4309F">
        <w:t>Determining the required aids to navigation, including type, placement, lighting, and visibility, to formalise the route in accordance with appropriate guidelines.</w:t>
      </w:r>
    </w:p>
    <w:p w14:paraId="16BF685E" w14:textId="77777777" w:rsidR="00725977" w:rsidRPr="00D4309F" w:rsidRDefault="00725977" w:rsidP="00D27F26">
      <w:pPr>
        <w:pStyle w:val="ListBullet"/>
        <w:widowControl w:val="0"/>
        <w:numPr>
          <w:ilvl w:val="0"/>
          <w:numId w:val="478"/>
        </w:numPr>
        <w:autoSpaceDE w:val="0"/>
        <w:autoSpaceDN w:val="0"/>
        <w:spacing w:before="60" w:after="60"/>
        <w:ind w:right="45"/>
      </w:pPr>
      <w:r w:rsidRPr="00D4309F">
        <w:t>Establishing an appropriate hydrographic survey frequency and monitoring framework to track rapid shoal development and inform Notice to Mariners updates.</w:t>
      </w:r>
    </w:p>
    <w:p w14:paraId="4813AC73" w14:textId="77777777" w:rsidR="00725977" w:rsidRPr="00D4309F" w:rsidRDefault="00725977" w:rsidP="00D27F26">
      <w:pPr>
        <w:pStyle w:val="ListBullet"/>
        <w:widowControl w:val="0"/>
        <w:numPr>
          <w:ilvl w:val="0"/>
          <w:numId w:val="478"/>
        </w:numPr>
        <w:autoSpaceDE w:val="0"/>
        <w:autoSpaceDN w:val="0"/>
        <w:spacing w:before="60" w:after="60"/>
        <w:ind w:right="45"/>
      </w:pPr>
      <w:r w:rsidRPr="00D4309F">
        <w:t xml:space="preserve">Confirming the dredged channel alignment and target depths based on experience from the existing Western Channel trial. </w:t>
      </w:r>
    </w:p>
    <w:p w14:paraId="35CB8A80" w14:textId="77777777" w:rsidR="00725977" w:rsidRPr="00D4309F" w:rsidRDefault="00725977" w:rsidP="00D27F26">
      <w:pPr>
        <w:pStyle w:val="ListBullet"/>
        <w:widowControl w:val="0"/>
        <w:numPr>
          <w:ilvl w:val="0"/>
          <w:numId w:val="478"/>
        </w:numPr>
        <w:autoSpaceDE w:val="0"/>
        <w:autoSpaceDN w:val="0"/>
        <w:spacing w:before="60" w:after="60"/>
        <w:ind w:right="45"/>
      </w:pPr>
      <w:r w:rsidRPr="00D4309F">
        <w:t>Developing operational protocols for declaring the western channel “open” or “closed,” and whether it is defined as an alternative or primary navigation path.</w:t>
      </w:r>
    </w:p>
    <w:p w14:paraId="5C8D185B" w14:textId="77777777" w:rsidR="00725977" w:rsidRPr="00D4309F" w:rsidRDefault="00725977" w:rsidP="00725977">
      <w:pPr>
        <w:pStyle w:val="BodyText"/>
      </w:pPr>
      <w:r w:rsidRPr="00D4309F">
        <w:t>Because no changes to the breakwater or entrance geometry are proposed, detailed hydrodynamic or sediment transport modelling is not required for this variation. However, some modelling or scenario testing could be beneficial to validate operational effectiveness, refine alignment decisions, and support proof-of-concept evaluation.</w:t>
      </w:r>
    </w:p>
    <w:p w14:paraId="2BEC3C51" w14:textId="77777777" w:rsidR="00725977" w:rsidRPr="00D4309F" w:rsidRDefault="00725977" w:rsidP="00725977">
      <w:pPr>
        <w:pStyle w:val="BodyText"/>
      </w:pPr>
      <w:r w:rsidRPr="00D4309F">
        <w:t>From an approvals perspective, Option 5A would fall largely under existing maintenance dredging approvals, with only minor additional requirements related to the installation or upgrading of navigation aids. Any new or relocated aids would require approval from MSQ under standard navigational safety processes. No capital works, rock removal, or structural modifications are triggered under this option.</w:t>
      </w:r>
    </w:p>
    <w:p w14:paraId="0FFE2486" w14:textId="37ABB47E" w:rsidR="00416F6A" w:rsidRPr="00D4309F" w:rsidRDefault="00725977" w:rsidP="00725977">
      <w:pPr>
        <w:pStyle w:val="BodyText"/>
      </w:pPr>
      <w:r w:rsidRPr="00D4309F">
        <w:lastRenderedPageBreak/>
        <w:t>Overall, Option 5A carries a low design and approvals burden and could be implemented within the current regulatory framework, provided that navigation safety assessments and operational management plans are clearly defined.</w:t>
      </w:r>
    </w:p>
    <w:p w14:paraId="502CD6A2" w14:textId="77777777" w:rsidR="00725977" w:rsidRPr="00D4309F" w:rsidRDefault="00725977" w:rsidP="00AF12C0">
      <w:pPr>
        <w:pStyle w:val="Heading3"/>
      </w:pPr>
      <w:bookmarkStart w:id="527" w:name="_bookmark195"/>
      <w:bookmarkStart w:id="528" w:name="_Toc216699504"/>
      <w:bookmarkEnd w:id="527"/>
      <w:r w:rsidRPr="00D4309F">
        <w:t>Capital</w:t>
      </w:r>
      <w:r w:rsidRPr="00D4309F">
        <w:rPr>
          <w:spacing w:val="-12"/>
        </w:rPr>
        <w:t xml:space="preserve"> </w:t>
      </w:r>
      <w:r w:rsidRPr="00D4309F">
        <w:rPr>
          <w:spacing w:val="-2"/>
        </w:rPr>
        <w:t>works</w:t>
      </w:r>
      <w:bookmarkEnd w:id="528"/>
    </w:p>
    <w:p w14:paraId="6332F82A" w14:textId="77777777" w:rsidR="00725977" w:rsidRPr="00D4309F" w:rsidRDefault="00725977" w:rsidP="00725977">
      <w:pPr>
        <w:pStyle w:val="BodyText"/>
      </w:pPr>
      <w:r w:rsidRPr="00D4309F">
        <w:t>Option 5A involves no structural modification to the western breakwater and no new channel excavation, as the variation relies entirely on the existing Western Channel alignment and continuation of targeted maintenance dredging. As such, capital works requirements are minimal and limited to operational enhancements that support formalisation of the route.</w:t>
      </w:r>
    </w:p>
    <w:p w14:paraId="35675201" w14:textId="77777777" w:rsidR="00725977" w:rsidRPr="00D4309F" w:rsidRDefault="00725977" w:rsidP="00725977">
      <w:pPr>
        <w:pStyle w:val="BodyText"/>
      </w:pPr>
      <w:r w:rsidRPr="00D4309F">
        <w:t>The only capital works required would be the installation or upgrading of aids to navigation, including marks, lighting, and signage to clearly define and formalise the channel alignment.</w:t>
      </w:r>
    </w:p>
    <w:p w14:paraId="57C1B5AC" w14:textId="77777777" w:rsidR="00725977" w:rsidRPr="00D4309F" w:rsidRDefault="00725977" w:rsidP="00725977">
      <w:pPr>
        <w:pStyle w:val="BodyText"/>
      </w:pPr>
      <w:r w:rsidRPr="00D4309F">
        <w:t xml:space="preserve">Option 5A is comparatively straightforward to implement. Navigation aids can be installed using standard marine plant such as small barges or workboats, with minimal disruption to existing public access or harbour operations. </w:t>
      </w:r>
    </w:p>
    <w:p w14:paraId="28B35DA9" w14:textId="27D2D19E" w:rsidR="00725977" w:rsidRPr="00D4309F" w:rsidRDefault="00725977" w:rsidP="00725977">
      <w:pPr>
        <w:pStyle w:val="BodyText"/>
      </w:pPr>
      <w:r w:rsidRPr="00D4309F">
        <w:t>Option 5A represents a low-impact, low-cost capital works option, with the primary investment focused on navigation safety infrastructure rather than any physical alteration of the entrance.</w:t>
      </w:r>
    </w:p>
    <w:p w14:paraId="041CF710" w14:textId="77777777" w:rsidR="00725977" w:rsidRPr="00D4309F" w:rsidRDefault="00725977" w:rsidP="00AF12C0">
      <w:pPr>
        <w:pStyle w:val="Heading3"/>
      </w:pPr>
      <w:bookmarkStart w:id="529" w:name="_Toc216699505"/>
      <w:r w:rsidRPr="00D4309F">
        <w:t>Operational</w:t>
      </w:r>
      <w:r w:rsidRPr="00D4309F">
        <w:rPr>
          <w:spacing w:val="2"/>
        </w:rPr>
        <w:t xml:space="preserve"> </w:t>
      </w:r>
      <w:r w:rsidRPr="00D4309F">
        <w:rPr>
          <w:spacing w:val="-4"/>
        </w:rPr>
        <w:t>works</w:t>
      </w:r>
      <w:bookmarkEnd w:id="529"/>
    </w:p>
    <w:p w14:paraId="663ECC0B" w14:textId="77777777" w:rsidR="00725977" w:rsidRPr="00D4309F" w:rsidRDefault="00725977" w:rsidP="00725977">
      <w:pPr>
        <w:pStyle w:val="BodyText"/>
      </w:pPr>
      <w:r w:rsidRPr="00D4309F">
        <w:t>The operational component of Option 5A closely aligns with the existing Western Channel dredging trial, as this variation relies entirely on ongoing maintenance activities to maintain navigable depth. No structural works or entrance modifications are proposed; therefore, operational works focus on monitoring, dredging, and navigation management. The ongoing works would involve:</w:t>
      </w:r>
    </w:p>
    <w:p w14:paraId="1226BAC9" w14:textId="77777777" w:rsidR="00725977" w:rsidRPr="00D4309F" w:rsidRDefault="00725977" w:rsidP="00D27F26">
      <w:pPr>
        <w:pStyle w:val="ListParagraph"/>
        <w:widowControl w:val="0"/>
        <w:numPr>
          <w:ilvl w:val="0"/>
          <w:numId w:val="69"/>
        </w:numPr>
        <w:tabs>
          <w:tab w:val="left" w:pos="501"/>
        </w:tabs>
        <w:autoSpaceDE w:val="0"/>
        <w:autoSpaceDN w:val="0"/>
        <w:spacing w:after="0" w:line="240" w:lineRule="auto"/>
        <w:contextualSpacing w:val="0"/>
      </w:pPr>
      <w:r w:rsidRPr="00D4309F">
        <w:rPr>
          <w:color w:val="211E1F"/>
        </w:rPr>
        <w:t>Hydrographic</w:t>
      </w:r>
      <w:r w:rsidRPr="00D4309F">
        <w:rPr>
          <w:color w:val="211E1F"/>
          <w:spacing w:val="-4"/>
        </w:rPr>
        <w:t xml:space="preserve"> </w:t>
      </w:r>
      <w:r w:rsidRPr="00D4309F">
        <w:rPr>
          <w:color w:val="211E1F"/>
        </w:rPr>
        <w:t>surveys</w:t>
      </w:r>
      <w:r w:rsidRPr="00D4309F">
        <w:rPr>
          <w:color w:val="211E1F"/>
          <w:spacing w:val="-4"/>
        </w:rPr>
        <w:t xml:space="preserve"> </w:t>
      </w:r>
      <w:r w:rsidRPr="00D4309F">
        <w:rPr>
          <w:color w:val="211E1F"/>
        </w:rPr>
        <w:t>to</w:t>
      </w:r>
      <w:r w:rsidRPr="00D4309F">
        <w:rPr>
          <w:color w:val="211E1F"/>
          <w:spacing w:val="-4"/>
        </w:rPr>
        <w:t xml:space="preserve"> </w:t>
      </w:r>
      <w:r w:rsidRPr="00D4309F">
        <w:rPr>
          <w:color w:val="211E1F"/>
        </w:rPr>
        <w:t>monitor</w:t>
      </w:r>
      <w:r w:rsidRPr="00D4309F">
        <w:rPr>
          <w:color w:val="211E1F"/>
          <w:spacing w:val="-4"/>
        </w:rPr>
        <w:t xml:space="preserve"> </w:t>
      </w:r>
      <w:r w:rsidRPr="00D4309F">
        <w:rPr>
          <w:color w:val="211E1F"/>
        </w:rPr>
        <w:t>shoal</w:t>
      </w:r>
      <w:r w:rsidRPr="00D4309F">
        <w:rPr>
          <w:color w:val="211E1F"/>
          <w:spacing w:val="-5"/>
        </w:rPr>
        <w:t xml:space="preserve"> </w:t>
      </w:r>
      <w:r w:rsidRPr="00D4309F">
        <w:rPr>
          <w:color w:val="211E1F"/>
        </w:rPr>
        <w:t>development</w:t>
      </w:r>
      <w:r w:rsidRPr="00D4309F">
        <w:rPr>
          <w:color w:val="211E1F"/>
          <w:spacing w:val="-4"/>
        </w:rPr>
        <w:t xml:space="preserve"> </w:t>
      </w:r>
      <w:r w:rsidRPr="00D4309F">
        <w:rPr>
          <w:color w:val="211E1F"/>
        </w:rPr>
        <w:t>and</w:t>
      </w:r>
      <w:r w:rsidRPr="00D4309F">
        <w:rPr>
          <w:color w:val="211E1F"/>
          <w:spacing w:val="-5"/>
        </w:rPr>
        <w:t xml:space="preserve"> </w:t>
      </w:r>
      <w:r w:rsidRPr="00D4309F">
        <w:rPr>
          <w:color w:val="211E1F"/>
        </w:rPr>
        <w:t>channel</w:t>
      </w:r>
      <w:r w:rsidRPr="00D4309F">
        <w:rPr>
          <w:color w:val="211E1F"/>
          <w:spacing w:val="-4"/>
        </w:rPr>
        <w:t xml:space="preserve"> </w:t>
      </w:r>
      <w:r w:rsidRPr="00D4309F">
        <w:rPr>
          <w:color w:val="211E1F"/>
          <w:spacing w:val="-2"/>
        </w:rPr>
        <w:t>depth.</w:t>
      </w:r>
    </w:p>
    <w:p w14:paraId="72D85D00" w14:textId="77777777" w:rsidR="00725977" w:rsidRPr="00D4309F" w:rsidRDefault="00725977" w:rsidP="00D27F26">
      <w:pPr>
        <w:pStyle w:val="ListParagraph"/>
        <w:widowControl w:val="0"/>
        <w:numPr>
          <w:ilvl w:val="0"/>
          <w:numId w:val="69"/>
        </w:numPr>
        <w:tabs>
          <w:tab w:val="left" w:pos="501"/>
        </w:tabs>
        <w:autoSpaceDE w:val="0"/>
        <w:autoSpaceDN w:val="0"/>
        <w:spacing w:before="118" w:after="0" w:line="240" w:lineRule="auto"/>
        <w:contextualSpacing w:val="0"/>
      </w:pPr>
      <w:r w:rsidRPr="00D4309F">
        <w:rPr>
          <w:color w:val="211E1F"/>
        </w:rPr>
        <w:t>Targeted</w:t>
      </w:r>
      <w:r w:rsidRPr="00D4309F">
        <w:rPr>
          <w:color w:val="211E1F"/>
          <w:spacing w:val="-6"/>
        </w:rPr>
        <w:t xml:space="preserve"> </w:t>
      </w:r>
      <w:r w:rsidRPr="00D4309F">
        <w:rPr>
          <w:color w:val="211E1F"/>
        </w:rPr>
        <w:t>maintenance</w:t>
      </w:r>
      <w:r w:rsidRPr="00D4309F">
        <w:rPr>
          <w:color w:val="211E1F"/>
          <w:spacing w:val="-4"/>
        </w:rPr>
        <w:t xml:space="preserve"> </w:t>
      </w:r>
      <w:r w:rsidRPr="00D4309F">
        <w:rPr>
          <w:color w:val="211E1F"/>
        </w:rPr>
        <w:t>dredging,</w:t>
      </w:r>
      <w:r w:rsidRPr="00D4309F">
        <w:rPr>
          <w:color w:val="211E1F"/>
          <w:spacing w:val="-4"/>
        </w:rPr>
        <w:t xml:space="preserve"> </w:t>
      </w:r>
      <w:r w:rsidRPr="00D4309F">
        <w:rPr>
          <w:color w:val="211E1F"/>
        </w:rPr>
        <w:t>likely</w:t>
      </w:r>
      <w:r w:rsidRPr="00D4309F">
        <w:rPr>
          <w:color w:val="211E1F"/>
          <w:spacing w:val="-3"/>
        </w:rPr>
        <w:t xml:space="preserve"> </w:t>
      </w:r>
      <w:r w:rsidRPr="00D4309F">
        <w:rPr>
          <w:color w:val="211E1F"/>
        </w:rPr>
        <w:t>using</w:t>
      </w:r>
      <w:r w:rsidRPr="00D4309F">
        <w:rPr>
          <w:color w:val="211E1F"/>
          <w:spacing w:val="-4"/>
        </w:rPr>
        <w:t xml:space="preserve"> </w:t>
      </w:r>
      <w:r w:rsidRPr="00D4309F">
        <w:rPr>
          <w:color w:val="211E1F"/>
        </w:rPr>
        <w:t>a</w:t>
      </w:r>
      <w:r w:rsidRPr="00D4309F">
        <w:rPr>
          <w:color w:val="211E1F"/>
          <w:spacing w:val="-5"/>
        </w:rPr>
        <w:t xml:space="preserve"> </w:t>
      </w:r>
      <w:r w:rsidRPr="00D4309F">
        <w:rPr>
          <w:color w:val="211E1F"/>
        </w:rPr>
        <w:t>CSD,</w:t>
      </w:r>
      <w:r w:rsidRPr="00D4309F">
        <w:rPr>
          <w:color w:val="211E1F"/>
          <w:spacing w:val="-4"/>
        </w:rPr>
        <w:t xml:space="preserve"> </w:t>
      </w:r>
      <w:r w:rsidRPr="00D4309F">
        <w:rPr>
          <w:color w:val="211E1F"/>
        </w:rPr>
        <w:t>to</w:t>
      </w:r>
      <w:r w:rsidRPr="00D4309F">
        <w:rPr>
          <w:color w:val="211E1F"/>
          <w:spacing w:val="-4"/>
        </w:rPr>
        <w:t xml:space="preserve"> </w:t>
      </w:r>
      <w:r w:rsidRPr="00D4309F">
        <w:rPr>
          <w:color w:val="211E1F"/>
        </w:rPr>
        <w:t>maintain</w:t>
      </w:r>
      <w:r w:rsidRPr="00D4309F">
        <w:rPr>
          <w:color w:val="211E1F"/>
          <w:spacing w:val="-4"/>
        </w:rPr>
        <w:t xml:space="preserve"> </w:t>
      </w:r>
      <w:r w:rsidRPr="00D4309F">
        <w:rPr>
          <w:color w:val="211E1F"/>
        </w:rPr>
        <w:t>a</w:t>
      </w:r>
      <w:r w:rsidRPr="00D4309F">
        <w:rPr>
          <w:color w:val="211E1F"/>
          <w:spacing w:val="-5"/>
        </w:rPr>
        <w:t xml:space="preserve"> </w:t>
      </w:r>
      <w:r w:rsidRPr="00D4309F">
        <w:rPr>
          <w:color w:val="211E1F"/>
        </w:rPr>
        <w:t>safe</w:t>
      </w:r>
      <w:r w:rsidRPr="00D4309F">
        <w:rPr>
          <w:color w:val="211E1F"/>
          <w:spacing w:val="-4"/>
        </w:rPr>
        <w:t xml:space="preserve"> </w:t>
      </w:r>
      <w:r w:rsidRPr="00D4309F">
        <w:rPr>
          <w:color w:val="211E1F"/>
        </w:rPr>
        <w:t>navigable</w:t>
      </w:r>
      <w:r w:rsidRPr="00D4309F">
        <w:rPr>
          <w:color w:val="211E1F"/>
          <w:spacing w:val="-3"/>
        </w:rPr>
        <w:t xml:space="preserve"> </w:t>
      </w:r>
      <w:r w:rsidRPr="00D4309F">
        <w:rPr>
          <w:color w:val="211E1F"/>
          <w:spacing w:val="-2"/>
        </w:rPr>
        <w:t>corridor.</w:t>
      </w:r>
    </w:p>
    <w:p w14:paraId="7174BABD" w14:textId="77777777" w:rsidR="00725977" w:rsidRPr="00D4309F" w:rsidRDefault="00725977" w:rsidP="00725977">
      <w:pPr>
        <w:pStyle w:val="BodyText"/>
      </w:pPr>
      <w:r w:rsidRPr="00D4309F">
        <w:t>Sand</w:t>
      </w:r>
      <w:r w:rsidRPr="00D4309F">
        <w:rPr>
          <w:spacing w:val="-3"/>
        </w:rPr>
        <w:t xml:space="preserve"> </w:t>
      </w:r>
      <w:r w:rsidRPr="00D4309F">
        <w:t>placement</w:t>
      </w:r>
      <w:r w:rsidRPr="00D4309F">
        <w:rPr>
          <w:spacing w:val="-3"/>
        </w:rPr>
        <w:t xml:space="preserve"> </w:t>
      </w:r>
      <w:r w:rsidRPr="00D4309F">
        <w:t>and</w:t>
      </w:r>
      <w:r w:rsidRPr="00D4309F">
        <w:rPr>
          <w:spacing w:val="-3"/>
        </w:rPr>
        <w:t xml:space="preserve"> </w:t>
      </w:r>
      <w:r w:rsidRPr="00D4309F">
        <w:t>management</w:t>
      </w:r>
      <w:r w:rsidRPr="00D4309F">
        <w:rPr>
          <w:spacing w:val="-3"/>
        </w:rPr>
        <w:t xml:space="preserve"> </w:t>
      </w:r>
      <w:r w:rsidRPr="00D4309F">
        <w:t>within</w:t>
      </w:r>
      <w:r w:rsidRPr="00D4309F">
        <w:rPr>
          <w:spacing w:val="-3"/>
        </w:rPr>
        <w:t xml:space="preserve"> </w:t>
      </w:r>
      <w:r w:rsidRPr="00D4309F">
        <w:t>designated</w:t>
      </w:r>
      <w:r w:rsidRPr="00D4309F">
        <w:rPr>
          <w:spacing w:val="-3"/>
        </w:rPr>
        <w:t xml:space="preserve"> </w:t>
      </w:r>
      <w:r w:rsidRPr="00D4309F">
        <w:t>nearshore</w:t>
      </w:r>
      <w:r w:rsidRPr="00D4309F">
        <w:rPr>
          <w:spacing w:val="-3"/>
        </w:rPr>
        <w:t xml:space="preserve"> </w:t>
      </w:r>
      <w:r w:rsidRPr="00D4309F">
        <w:t>or</w:t>
      </w:r>
      <w:r w:rsidRPr="00D4309F">
        <w:rPr>
          <w:spacing w:val="-4"/>
        </w:rPr>
        <w:t xml:space="preserve"> </w:t>
      </w:r>
      <w:r w:rsidRPr="00D4309F">
        <w:t>onshore</w:t>
      </w:r>
      <w:r w:rsidRPr="00D4309F">
        <w:rPr>
          <w:spacing w:val="-3"/>
        </w:rPr>
        <w:t xml:space="preserve"> </w:t>
      </w:r>
      <w:r w:rsidRPr="00D4309F">
        <w:t>areas,</w:t>
      </w:r>
      <w:r w:rsidRPr="00D4309F">
        <w:rPr>
          <w:spacing w:val="-3"/>
        </w:rPr>
        <w:t xml:space="preserve"> </w:t>
      </w:r>
      <w:r w:rsidRPr="00D4309F">
        <w:t>coordinated</w:t>
      </w:r>
      <w:r w:rsidRPr="00D4309F">
        <w:rPr>
          <w:spacing w:val="-3"/>
        </w:rPr>
        <w:t xml:space="preserve"> </w:t>
      </w:r>
      <w:r w:rsidRPr="00D4309F">
        <w:t>with</w:t>
      </w:r>
      <w:r w:rsidRPr="00D4309F">
        <w:rPr>
          <w:spacing w:val="-3"/>
        </w:rPr>
        <w:t xml:space="preserve"> </w:t>
      </w:r>
      <w:r w:rsidRPr="00D4309F">
        <w:t>council for beneficial reuse.</w:t>
      </w:r>
    </w:p>
    <w:p w14:paraId="262CDAAD" w14:textId="77777777" w:rsidR="00725977" w:rsidRPr="00D4309F" w:rsidRDefault="00725977" w:rsidP="00725977">
      <w:pPr>
        <w:pStyle w:val="BodyText"/>
      </w:pPr>
      <w:r w:rsidRPr="00D4309F">
        <w:t>Operationally, this option would continue</w:t>
      </w:r>
      <w:r w:rsidRPr="00D4309F">
        <w:rPr>
          <w:spacing w:val="-2"/>
        </w:rPr>
        <w:t xml:space="preserve"> </w:t>
      </w:r>
      <w:r w:rsidRPr="00D4309F">
        <w:t>to face similar constraints and challenges as the current Western Channel</w:t>
      </w:r>
      <w:r w:rsidRPr="00D4309F">
        <w:rPr>
          <w:spacing w:val="-2"/>
        </w:rPr>
        <w:t xml:space="preserve"> </w:t>
      </w:r>
      <w:r w:rsidRPr="00D4309F">
        <w:t>trial.</w:t>
      </w:r>
      <w:r w:rsidRPr="00D4309F">
        <w:rPr>
          <w:spacing w:val="-4"/>
        </w:rPr>
        <w:t xml:space="preserve"> </w:t>
      </w:r>
      <w:r w:rsidRPr="00D4309F">
        <w:t>Dredging</w:t>
      </w:r>
      <w:r w:rsidRPr="00D4309F">
        <w:rPr>
          <w:spacing w:val="-3"/>
        </w:rPr>
        <w:t xml:space="preserve"> </w:t>
      </w:r>
      <w:r w:rsidRPr="00D4309F">
        <w:t>windows</w:t>
      </w:r>
      <w:r w:rsidRPr="00D4309F">
        <w:rPr>
          <w:spacing w:val="-1"/>
        </w:rPr>
        <w:t xml:space="preserve"> </w:t>
      </w:r>
      <w:r w:rsidRPr="00D4309F">
        <w:t>would</w:t>
      </w:r>
      <w:r w:rsidRPr="00D4309F">
        <w:rPr>
          <w:spacing w:val="-2"/>
        </w:rPr>
        <w:t xml:space="preserve"> </w:t>
      </w:r>
      <w:r w:rsidRPr="00D4309F">
        <w:t>remain</w:t>
      </w:r>
      <w:r w:rsidRPr="00D4309F">
        <w:rPr>
          <w:spacing w:val="-2"/>
        </w:rPr>
        <w:t xml:space="preserve"> </w:t>
      </w:r>
      <w:r w:rsidRPr="00D4309F">
        <w:t>limited</w:t>
      </w:r>
      <w:r w:rsidRPr="00D4309F">
        <w:rPr>
          <w:spacing w:val="-3"/>
        </w:rPr>
        <w:t xml:space="preserve"> </w:t>
      </w:r>
      <w:r w:rsidRPr="00D4309F">
        <w:t>by</w:t>
      </w:r>
      <w:r w:rsidRPr="00D4309F">
        <w:rPr>
          <w:spacing w:val="-1"/>
        </w:rPr>
        <w:t xml:space="preserve"> </w:t>
      </w:r>
      <w:r w:rsidRPr="00D4309F">
        <w:t>weather,</w:t>
      </w:r>
      <w:r w:rsidRPr="00D4309F">
        <w:rPr>
          <w:spacing w:val="-4"/>
        </w:rPr>
        <w:t xml:space="preserve"> </w:t>
      </w:r>
      <w:r w:rsidRPr="00D4309F">
        <w:t>wave</w:t>
      </w:r>
      <w:r w:rsidRPr="00D4309F">
        <w:rPr>
          <w:spacing w:val="-2"/>
        </w:rPr>
        <w:t xml:space="preserve"> </w:t>
      </w:r>
      <w:r w:rsidRPr="00D4309F">
        <w:t>conditions,</w:t>
      </w:r>
      <w:r w:rsidRPr="00D4309F">
        <w:rPr>
          <w:spacing w:val="-2"/>
        </w:rPr>
        <w:t xml:space="preserve"> </w:t>
      </w:r>
      <w:r w:rsidRPr="00D4309F">
        <w:t>and</w:t>
      </w:r>
      <w:r w:rsidRPr="00D4309F">
        <w:rPr>
          <w:spacing w:val="-3"/>
        </w:rPr>
        <w:t xml:space="preserve"> </w:t>
      </w:r>
      <w:r w:rsidRPr="00D4309F">
        <w:t>vessel</w:t>
      </w:r>
      <w:r w:rsidRPr="00D4309F">
        <w:rPr>
          <w:spacing w:val="-2"/>
        </w:rPr>
        <w:t xml:space="preserve"> </w:t>
      </w:r>
      <w:r w:rsidRPr="00D4309F">
        <w:t>availability, restricting the timing and efficiency of maintenance efforts.</w:t>
      </w:r>
    </w:p>
    <w:p w14:paraId="21CDD59F" w14:textId="77777777" w:rsidR="00725977" w:rsidRPr="00D4309F" w:rsidRDefault="00725977" w:rsidP="00725977">
      <w:pPr>
        <w:pStyle w:val="BodyText"/>
      </w:pPr>
      <w:r w:rsidRPr="00D4309F">
        <w:t>While</w:t>
      </w:r>
      <w:r w:rsidRPr="00D4309F">
        <w:rPr>
          <w:spacing w:val="-3"/>
        </w:rPr>
        <w:t xml:space="preserve"> </w:t>
      </w:r>
      <w:r w:rsidRPr="00D4309F">
        <w:t>technically</w:t>
      </w:r>
      <w:r w:rsidRPr="00D4309F">
        <w:rPr>
          <w:spacing w:val="-2"/>
        </w:rPr>
        <w:t xml:space="preserve"> </w:t>
      </w:r>
      <w:r w:rsidRPr="00D4309F">
        <w:t>feasible</w:t>
      </w:r>
      <w:r w:rsidRPr="00D4309F">
        <w:rPr>
          <w:spacing w:val="-3"/>
        </w:rPr>
        <w:t xml:space="preserve"> </w:t>
      </w:r>
      <w:r w:rsidRPr="00D4309F">
        <w:t>to</w:t>
      </w:r>
      <w:r w:rsidRPr="00D4309F">
        <w:rPr>
          <w:spacing w:val="-3"/>
        </w:rPr>
        <w:t xml:space="preserve"> </w:t>
      </w:r>
      <w:r w:rsidRPr="00D4309F">
        <w:t>operate,</w:t>
      </w:r>
      <w:r w:rsidRPr="00D4309F">
        <w:rPr>
          <w:spacing w:val="-3"/>
        </w:rPr>
        <w:t xml:space="preserve"> </w:t>
      </w:r>
      <w:r w:rsidRPr="00D4309F">
        <w:t>the</w:t>
      </w:r>
      <w:r w:rsidRPr="00D4309F">
        <w:rPr>
          <w:spacing w:val="-3"/>
        </w:rPr>
        <w:t xml:space="preserve"> </w:t>
      </w:r>
      <w:r w:rsidRPr="00D4309F">
        <w:t>new</w:t>
      </w:r>
      <w:r w:rsidRPr="00D4309F">
        <w:rPr>
          <w:spacing w:val="-4"/>
        </w:rPr>
        <w:t xml:space="preserve"> </w:t>
      </w:r>
      <w:r w:rsidRPr="00D4309F">
        <w:t>configuration</w:t>
      </w:r>
      <w:r w:rsidRPr="00D4309F">
        <w:rPr>
          <w:spacing w:val="-3"/>
        </w:rPr>
        <w:t xml:space="preserve"> </w:t>
      </w:r>
      <w:r w:rsidRPr="00D4309F">
        <w:t>may</w:t>
      </w:r>
      <w:r w:rsidRPr="00D4309F">
        <w:rPr>
          <w:spacing w:val="-2"/>
        </w:rPr>
        <w:t xml:space="preserve"> </w:t>
      </w:r>
      <w:r w:rsidRPr="00D4309F">
        <w:t>not</w:t>
      </w:r>
      <w:r w:rsidRPr="00D4309F">
        <w:rPr>
          <w:spacing w:val="-3"/>
        </w:rPr>
        <w:t xml:space="preserve"> </w:t>
      </w:r>
      <w:r w:rsidRPr="00D4309F">
        <w:t>yield</w:t>
      </w:r>
      <w:r w:rsidRPr="00D4309F">
        <w:rPr>
          <w:spacing w:val="-3"/>
        </w:rPr>
        <w:t xml:space="preserve"> </w:t>
      </w:r>
      <w:r w:rsidRPr="00D4309F">
        <w:t>any</w:t>
      </w:r>
      <w:r w:rsidRPr="00D4309F">
        <w:rPr>
          <w:spacing w:val="-2"/>
        </w:rPr>
        <w:t xml:space="preserve"> </w:t>
      </w:r>
      <w:r w:rsidRPr="00D4309F">
        <w:t>long-term</w:t>
      </w:r>
      <w:r w:rsidRPr="00D4309F">
        <w:rPr>
          <w:spacing w:val="-3"/>
        </w:rPr>
        <w:t xml:space="preserve"> </w:t>
      </w:r>
      <w:r w:rsidRPr="00D4309F">
        <w:t>improvement</w:t>
      </w:r>
      <w:r w:rsidRPr="00D4309F">
        <w:rPr>
          <w:spacing w:val="-3"/>
        </w:rPr>
        <w:t xml:space="preserve"> </w:t>
      </w:r>
      <w:r w:rsidRPr="00D4309F">
        <w:t>in sediment</w:t>
      </w:r>
      <w:r w:rsidRPr="00D4309F">
        <w:rPr>
          <w:spacing w:val="-2"/>
        </w:rPr>
        <w:t xml:space="preserve"> </w:t>
      </w:r>
      <w:r w:rsidRPr="00D4309F">
        <w:t>bypassing</w:t>
      </w:r>
      <w:r w:rsidRPr="00D4309F">
        <w:rPr>
          <w:spacing w:val="-2"/>
        </w:rPr>
        <w:t xml:space="preserve"> </w:t>
      </w:r>
      <w:r w:rsidRPr="00D4309F">
        <w:t>or</w:t>
      </w:r>
      <w:r w:rsidRPr="00D4309F">
        <w:rPr>
          <w:spacing w:val="-1"/>
        </w:rPr>
        <w:t xml:space="preserve"> </w:t>
      </w:r>
      <w:r w:rsidRPr="00D4309F">
        <w:t>shoal</w:t>
      </w:r>
      <w:r w:rsidRPr="00D4309F">
        <w:rPr>
          <w:spacing w:val="-2"/>
        </w:rPr>
        <w:t xml:space="preserve"> </w:t>
      </w:r>
      <w:r w:rsidRPr="00D4309F">
        <w:t>management.</w:t>
      </w:r>
      <w:r w:rsidRPr="00D4309F">
        <w:rPr>
          <w:spacing w:val="-2"/>
        </w:rPr>
        <w:t xml:space="preserve"> </w:t>
      </w:r>
      <w:r w:rsidRPr="00D4309F">
        <w:t>The</w:t>
      </w:r>
      <w:r w:rsidRPr="00D4309F">
        <w:rPr>
          <w:spacing w:val="-2"/>
        </w:rPr>
        <w:t xml:space="preserve"> </w:t>
      </w:r>
      <w:r w:rsidRPr="00D4309F">
        <w:t>overall</w:t>
      </w:r>
      <w:r w:rsidRPr="00D4309F">
        <w:rPr>
          <w:spacing w:val="-2"/>
        </w:rPr>
        <w:t xml:space="preserve"> </w:t>
      </w:r>
      <w:r w:rsidRPr="00D4309F">
        <w:t>effectiveness</w:t>
      </w:r>
      <w:r w:rsidRPr="00D4309F">
        <w:rPr>
          <w:spacing w:val="-1"/>
        </w:rPr>
        <w:t xml:space="preserve"> </w:t>
      </w:r>
      <w:r w:rsidRPr="00D4309F">
        <w:t>in</w:t>
      </w:r>
      <w:r w:rsidRPr="00D4309F">
        <w:rPr>
          <w:spacing w:val="-2"/>
        </w:rPr>
        <w:t xml:space="preserve"> </w:t>
      </w:r>
      <w:r w:rsidRPr="00D4309F">
        <w:t>maintaining</w:t>
      </w:r>
      <w:r w:rsidRPr="00D4309F">
        <w:rPr>
          <w:spacing w:val="-2"/>
        </w:rPr>
        <w:t xml:space="preserve"> </w:t>
      </w:r>
      <w:r w:rsidRPr="00D4309F">
        <w:t>clear</w:t>
      </w:r>
      <w:r w:rsidRPr="00D4309F">
        <w:rPr>
          <w:spacing w:val="-1"/>
        </w:rPr>
        <w:t xml:space="preserve"> </w:t>
      </w:r>
      <w:r w:rsidRPr="00D4309F">
        <w:t>access</w:t>
      </w:r>
      <w:r w:rsidRPr="00D4309F">
        <w:rPr>
          <w:spacing w:val="-2"/>
        </w:rPr>
        <w:t xml:space="preserve"> </w:t>
      </w:r>
      <w:r w:rsidRPr="00D4309F">
        <w:t>would depend</w:t>
      </w:r>
      <w:r w:rsidRPr="00D4309F">
        <w:rPr>
          <w:spacing w:val="-1"/>
        </w:rPr>
        <w:t xml:space="preserve"> </w:t>
      </w:r>
      <w:r w:rsidRPr="00D4309F">
        <w:t>heavily on</w:t>
      </w:r>
      <w:r w:rsidRPr="00D4309F">
        <w:rPr>
          <w:spacing w:val="-1"/>
        </w:rPr>
        <w:t xml:space="preserve"> </w:t>
      </w:r>
      <w:r w:rsidRPr="00D4309F">
        <w:t>how the</w:t>
      </w:r>
      <w:r w:rsidRPr="00D4309F">
        <w:rPr>
          <w:spacing w:val="-2"/>
        </w:rPr>
        <w:t xml:space="preserve"> </w:t>
      </w:r>
      <w:r w:rsidRPr="00D4309F">
        <w:t>modified</w:t>
      </w:r>
      <w:r w:rsidRPr="00D4309F">
        <w:rPr>
          <w:spacing w:val="-1"/>
        </w:rPr>
        <w:t xml:space="preserve"> </w:t>
      </w:r>
      <w:r w:rsidRPr="00D4309F">
        <w:t>entrance</w:t>
      </w:r>
      <w:r w:rsidRPr="00D4309F">
        <w:rPr>
          <w:spacing w:val="-1"/>
        </w:rPr>
        <w:t xml:space="preserve"> </w:t>
      </w:r>
      <w:r w:rsidRPr="00D4309F">
        <w:t>influences sand</w:t>
      </w:r>
      <w:r w:rsidRPr="00D4309F">
        <w:rPr>
          <w:spacing w:val="-1"/>
        </w:rPr>
        <w:t xml:space="preserve"> </w:t>
      </w:r>
      <w:r w:rsidRPr="00D4309F">
        <w:t>inflow rates and</w:t>
      </w:r>
      <w:r w:rsidRPr="00D4309F">
        <w:rPr>
          <w:spacing w:val="-1"/>
        </w:rPr>
        <w:t xml:space="preserve"> </w:t>
      </w:r>
      <w:r w:rsidRPr="00D4309F">
        <w:t>deposition</w:t>
      </w:r>
      <w:r w:rsidRPr="00D4309F">
        <w:rPr>
          <w:spacing w:val="-1"/>
        </w:rPr>
        <w:t xml:space="preserve"> </w:t>
      </w:r>
      <w:r w:rsidRPr="00D4309F">
        <w:t>zones.</w:t>
      </w:r>
    </w:p>
    <w:p w14:paraId="70890622" w14:textId="77777777" w:rsidR="00725977" w:rsidRPr="00D4309F" w:rsidRDefault="00725977" w:rsidP="00725977">
      <w:pPr>
        <w:pStyle w:val="BodyText"/>
      </w:pPr>
      <w:r w:rsidRPr="00D4309F">
        <w:t>From a technical standpoint, the operational works are feasible, using standard dredging methods and established management practices. However, because sediment supply and coastal processes remain unaltered, Option 5A is not expected to significantly improve sediment bypassing efficiency or reduce shoaling frequency. Instead, it would maintain a regime of reactive dredging, with navigability dependent on the timing, frequency, and effectiveness of maintenance campaigns.</w:t>
      </w:r>
    </w:p>
    <w:p w14:paraId="53BD2A3B" w14:textId="77777777" w:rsidR="00725977" w:rsidRPr="00D4309F" w:rsidRDefault="00725977" w:rsidP="00725977">
      <w:pPr>
        <w:pStyle w:val="BodyText"/>
      </w:pPr>
      <w:r w:rsidRPr="00D4309F">
        <w:t>Overall, Option 5A provides a familiar and manageable operational framework but does not reduce long-term dredging demand or improve geomorphic stability at the entrance. It functions as an operational enhancement rather than a transformative sediment management measure.</w:t>
      </w:r>
    </w:p>
    <w:p w14:paraId="110F74AC" w14:textId="77777777" w:rsidR="00725977" w:rsidRDefault="00725977" w:rsidP="00725977">
      <w:pPr>
        <w:pStyle w:val="BodyText"/>
      </w:pPr>
    </w:p>
    <w:p w14:paraId="1B09F838" w14:textId="77777777" w:rsidR="00A66867" w:rsidRPr="00D4309F" w:rsidRDefault="00A66867" w:rsidP="00A66867">
      <w:pPr>
        <w:pStyle w:val="BodyText"/>
        <w:pageBreakBefore/>
        <w:sectPr w:rsidR="00A66867" w:rsidRPr="00D4309F" w:rsidSect="00405D4F">
          <w:pgSz w:w="11910" w:h="16840"/>
          <w:pgMar w:top="1418" w:right="1134" w:bottom="1418" w:left="1134" w:header="916" w:footer="980" w:gutter="0"/>
          <w:cols w:space="720"/>
        </w:sectPr>
      </w:pPr>
    </w:p>
    <w:p w14:paraId="68844D90" w14:textId="77777777" w:rsidR="00725977" w:rsidRPr="00D4309F" w:rsidRDefault="00725977" w:rsidP="00AF12C0">
      <w:pPr>
        <w:pStyle w:val="Heading3"/>
      </w:pPr>
      <w:bookmarkStart w:id="530" w:name="_bookmark196"/>
      <w:bookmarkStart w:id="531" w:name="_Toc216699506"/>
      <w:bookmarkEnd w:id="530"/>
      <w:r w:rsidRPr="00D4309F">
        <w:lastRenderedPageBreak/>
        <w:t>Environmental</w:t>
      </w:r>
      <w:r w:rsidRPr="00D4309F">
        <w:rPr>
          <w:spacing w:val="2"/>
        </w:rPr>
        <w:t xml:space="preserve"> </w:t>
      </w:r>
      <w:r w:rsidRPr="00D4309F">
        <w:t>constraints</w:t>
      </w:r>
      <w:bookmarkEnd w:id="531"/>
    </w:p>
    <w:p w14:paraId="36A0899F" w14:textId="15D5DDFC" w:rsidR="00725977" w:rsidRPr="00D4309F" w:rsidRDefault="00725977" w:rsidP="00725977">
      <w:pPr>
        <w:pStyle w:val="BodyText"/>
      </w:pPr>
      <w:r w:rsidRPr="00D4309F">
        <w:t>A</w:t>
      </w:r>
      <w:r w:rsidRPr="00D4309F">
        <w:rPr>
          <w:spacing w:val="-2"/>
        </w:rPr>
        <w:t xml:space="preserve"> </w:t>
      </w:r>
      <w:r w:rsidRPr="00D4309F">
        <w:t>preliminary</w:t>
      </w:r>
      <w:r w:rsidRPr="00D4309F">
        <w:rPr>
          <w:spacing w:val="-1"/>
        </w:rPr>
        <w:t xml:space="preserve"> </w:t>
      </w:r>
      <w:r w:rsidRPr="00D4309F">
        <w:t>assessment</w:t>
      </w:r>
      <w:r w:rsidRPr="00D4309F">
        <w:rPr>
          <w:spacing w:val="-2"/>
        </w:rPr>
        <w:t xml:space="preserve"> </w:t>
      </w:r>
      <w:r w:rsidRPr="00D4309F">
        <w:t>of</w:t>
      </w:r>
      <w:r w:rsidRPr="00D4309F">
        <w:rPr>
          <w:spacing w:val="-2"/>
        </w:rPr>
        <w:t xml:space="preserve"> </w:t>
      </w:r>
      <w:r w:rsidRPr="00D4309F">
        <w:t>environmental</w:t>
      </w:r>
      <w:r w:rsidRPr="00D4309F">
        <w:rPr>
          <w:spacing w:val="-2"/>
        </w:rPr>
        <w:t xml:space="preserve"> </w:t>
      </w:r>
      <w:r w:rsidRPr="00D4309F">
        <w:t>constraints</w:t>
      </w:r>
      <w:r w:rsidRPr="00D4309F">
        <w:rPr>
          <w:spacing w:val="-1"/>
        </w:rPr>
        <w:t xml:space="preserve"> </w:t>
      </w:r>
      <w:r w:rsidRPr="00D4309F">
        <w:t>for</w:t>
      </w:r>
      <w:r w:rsidRPr="00D4309F">
        <w:rPr>
          <w:spacing w:val="-2"/>
        </w:rPr>
        <w:t xml:space="preserve"> </w:t>
      </w:r>
      <w:r w:rsidRPr="00D4309F">
        <w:t>the</w:t>
      </w:r>
      <w:r w:rsidRPr="00D4309F">
        <w:rPr>
          <w:spacing w:val="-2"/>
        </w:rPr>
        <w:t xml:space="preserve"> </w:t>
      </w:r>
      <w:r w:rsidRPr="00D4309F">
        <w:t>Formalise Western Channel (No Structural Modification) (Option</w:t>
      </w:r>
      <w:r w:rsidRPr="00D4309F">
        <w:rPr>
          <w:spacing w:val="-2"/>
        </w:rPr>
        <w:t xml:space="preserve"> </w:t>
      </w:r>
      <w:r w:rsidRPr="00D4309F">
        <w:t>5A),</w:t>
      </w:r>
      <w:r w:rsidRPr="00D4309F">
        <w:rPr>
          <w:spacing w:val="-2"/>
        </w:rPr>
        <w:t xml:space="preserve"> </w:t>
      </w:r>
      <w:r w:rsidRPr="00D4309F">
        <w:t>based</w:t>
      </w:r>
      <w:r w:rsidRPr="00D4309F">
        <w:rPr>
          <w:spacing w:val="-2"/>
        </w:rPr>
        <w:t xml:space="preserve"> </w:t>
      </w:r>
      <w:r w:rsidRPr="00D4309F">
        <w:t>on</w:t>
      </w:r>
      <w:r w:rsidRPr="00D4309F">
        <w:rPr>
          <w:spacing w:val="-2"/>
        </w:rPr>
        <w:t xml:space="preserve"> </w:t>
      </w:r>
      <w:r w:rsidRPr="00D4309F">
        <w:t>the</w:t>
      </w:r>
      <w:r w:rsidRPr="00D4309F">
        <w:rPr>
          <w:spacing w:val="-2"/>
        </w:rPr>
        <w:t xml:space="preserve"> </w:t>
      </w:r>
      <w:r w:rsidRPr="00D4309F">
        <w:t>constraints</w:t>
      </w:r>
      <w:r w:rsidRPr="00D4309F">
        <w:rPr>
          <w:spacing w:val="-1"/>
        </w:rPr>
        <w:t xml:space="preserve"> </w:t>
      </w:r>
      <w:r w:rsidRPr="00D4309F">
        <w:t>analysis</w:t>
      </w:r>
      <w:r w:rsidRPr="00D4309F">
        <w:rPr>
          <w:spacing w:val="-1"/>
        </w:rPr>
        <w:t xml:space="preserve"> </w:t>
      </w:r>
      <w:r w:rsidRPr="00D4309F">
        <w:t>criteria</w:t>
      </w:r>
      <w:r w:rsidRPr="00D4309F">
        <w:rPr>
          <w:spacing w:val="-2"/>
        </w:rPr>
        <w:t xml:space="preserve"> </w:t>
      </w:r>
      <w:r w:rsidRPr="00D4309F">
        <w:t>in</w:t>
      </w:r>
      <w:r w:rsidRPr="00D4309F">
        <w:rPr>
          <w:spacing w:val="-3"/>
        </w:rPr>
        <w:t xml:space="preserve"> </w:t>
      </w:r>
      <w:hyperlink w:anchor="_bookmark198" w:history="1">
        <w:r w:rsidR="00151534">
          <w:fldChar w:fldCharType="begin" w:fldLock="1"/>
        </w:r>
        <w:r w:rsidR="00151534">
          <w:instrText xml:space="preserve"> REF _Ref215980598 \h </w:instrText>
        </w:r>
        <w:r w:rsidR="00151534">
          <w:fldChar w:fldCharType="separate"/>
        </w:r>
        <w:r w:rsidR="00151534">
          <w:t xml:space="preserve">Table </w:t>
        </w:r>
        <w:r w:rsidR="00151534">
          <w:rPr>
            <w:noProof/>
          </w:rPr>
          <w:t>17</w:t>
        </w:r>
        <w:r w:rsidR="00151534">
          <w:noBreakHyphen/>
        </w:r>
        <w:r w:rsidR="00151534">
          <w:rPr>
            <w:noProof/>
          </w:rPr>
          <w:t>1</w:t>
        </w:r>
        <w:r w:rsidR="00151534">
          <w:fldChar w:fldCharType="end"/>
        </w:r>
        <w:r w:rsidRPr="00D4309F">
          <w:t>,</w:t>
        </w:r>
      </w:hyperlink>
      <w:r w:rsidRPr="00D4309F">
        <w:t xml:space="preserve"> detailed in </w:t>
      </w:r>
      <w:hyperlink w:anchor="_bookmark199" w:history="1">
        <w:r w:rsidR="00151534">
          <w:fldChar w:fldCharType="begin" w:fldLock="1"/>
        </w:r>
        <w:r w:rsidR="00151534">
          <w:instrText xml:space="preserve"> REF _Ref215980606 \h </w:instrText>
        </w:r>
        <w:r w:rsidR="00151534">
          <w:fldChar w:fldCharType="separate"/>
        </w:r>
        <w:r w:rsidR="00151534">
          <w:t xml:space="preserve">Table </w:t>
        </w:r>
        <w:r w:rsidR="00151534">
          <w:rPr>
            <w:noProof/>
          </w:rPr>
          <w:t>17</w:t>
        </w:r>
        <w:r w:rsidR="00151534">
          <w:noBreakHyphen/>
        </w:r>
        <w:r w:rsidR="00151534">
          <w:rPr>
            <w:noProof/>
          </w:rPr>
          <w:t>2</w:t>
        </w:r>
        <w:r w:rsidR="00151534">
          <w:fldChar w:fldCharType="end"/>
        </w:r>
        <w:r w:rsidRPr="00D4309F">
          <w:t>.</w:t>
        </w:r>
      </w:hyperlink>
    </w:p>
    <w:p w14:paraId="10C3BF8A" w14:textId="58EF0453" w:rsidR="00D4229D" w:rsidRPr="00D4309F" w:rsidRDefault="00D4229D" w:rsidP="007774EC">
      <w:pPr>
        <w:pStyle w:val="Table-Caption"/>
      </w:pPr>
      <w:bookmarkStart w:id="532" w:name="_Ref215980598"/>
      <w:bookmarkStart w:id="533" w:name="_Toc216699584"/>
      <w:r>
        <w:t xml:space="preserve">Table </w:t>
      </w:r>
      <w:r w:rsidR="00151534">
        <w:fldChar w:fldCharType="begin" w:fldLock="1"/>
      </w:r>
      <w:r w:rsidR="00151534">
        <w:instrText xml:space="preserve"> STYLEREF 1 \s </w:instrText>
      </w:r>
      <w:r w:rsidR="00151534">
        <w:fldChar w:fldCharType="separate"/>
      </w:r>
      <w:r w:rsidR="00151534">
        <w:rPr>
          <w:noProof/>
        </w:rPr>
        <w:t>17</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1</w:t>
      </w:r>
      <w:r w:rsidR="00151534">
        <w:fldChar w:fldCharType="end"/>
      </w:r>
      <w:bookmarkEnd w:id="532"/>
      <w:r>
        <w:t>:</w:t>
      </w:r>
      <w:r>
        <w:tab/>
      </w:r>
      <w:r w:rsidRPr="00D4309F">
        <w:rPr>
          <w:color w:val="211E1F"/>
        </w:rPr>
        <w:t>Constraints</w:t>
      </w:r>
      <w:r w:rsidRPr="00D4309F">
        <w:rPr>
          <w:color w:val="211E1F"/>
          <w:spacing w:val="-3"/>
        </w:rPr>
        <w:t xml:space="preserve"> </w:t>
      </w:r>
      <w:r w:rsidRPr="00D4309F">
        <w:rPr>
          <w:color w:val="211E1F"/>
        </w:rPr>
        <w:t>analysis</w:t>
      </w:r>
      <w:r w:rsidRPr="00D4309F">
        <w:rPr>
          <w:color w:val="211E1F"/>
          <w:spacing w:val="-2"/>
        </w:rPr>
        <w:t xml:space="preserve"> criteria</w:t>
      </w:r>
      <w:bookmarkEnd w:id="533"/>
    </w:p>
    <w:tbl>
      <w:tblPr>
        <w:tblW w:w="5000" w:type="pct"/>
        <w:tblCellMar>
          <w:left w:w="0" w:type="dxa"/>
          <w:right w:w="0" w:type="dxa"/>
        </w:tblCellMar>
        <w:tblLook w:val="01E0" w:firstRow="1" w:lastRow="1" w:firstColumn="1" w:lastColumn="1" w:noHBand="0" w:noVBand="0"/>
      </w:tblPr>
      <w:tblGrid>
        <w:gridCol w:w="1999"/>
        <w:gridCol w:w="12573"/>
      </w:tblGrid>
      <w:tr w:rsidR="00725977" w:rsidRPr="00D4309F" w14:paraId="4C2C3446" w14:textId="77777777" w:rsidTr="00151534">
        <w:trPr>
          <w:trHeight w:val="287"/>
        </w:trPr>
        <w:tc>
          <w:tcPr>
            <w:tcW w:w="686" w:type="pct"/>
            <w:tcBorders>
              <w:bottom w:val="single" w:sz="4" w:space="0" w:color="000000"/>
            </w:tcBorders>
            <w:shd w:val="clear" w:color="auto" w:fill="D6D7D5"/>
          </w:tcPr>
          <w:p w14:paraId="058C9B34" w14:textId="77777777" w:rsidR="00725977" w:rsidRPr="00D4309F" w:rsidRDefault="00725977">
            <w:pPr>
              <w:pStyle w:val="TableParagraph"/>
              <w:spacing w:before="40"/>
              <w:ind w:left="165"/>
              <w:rPr>
                <w:b/>
                <w:sz w:val="18"/>
              </w:rPr>
            </w:pPr>
            <w:r w:rsidRPr="00D4309F">
              <w:rPr>
                <w:b/>
                <w:color w:val="70004A"/>
                <w:sz w:val="18"/>
              </w:rPr>
              <w:t>Constraint</w:t>
            </w:r>
            <w:r w:rsidRPr="00D4309F">
              <w:rPr>
                <w:b/>
                <w:color w:val="70004A"/>
                <w:spacing w:val="-4"/>
                <w:sz w:val="18"/>
              </w:rPr>
              <w:t xml:space="preserve"> </w:t>
            </w:r>
            <w:r w:rsidRPr="00D4309F">
              <w:rPr>
                <w:b/>
                <w:color w:val="70004A"/>
                <w:spacing w:val="-2"/>
                <w:sz w:val="18"/>
              </w:rPr>
              <w:t>level</w:t>
            </w:r>
          </w:p>
        </w:tc>
        <w:tc>
          <w:tcPr>
            <w:tcW w:w="4314" w:type="pct"/>
            <w:tcBorders>
              <w:bottom w:val="single" w:sz="4" w:space="0" w:color="000000"/>
            </w:tcBorders>
            <w:shd w:val="clear" w:color="auto" w:fill="D6D7D5"/>
          </w:tcPr>
          <w:p w14:paraId="7E2AD4A2" w14:textId="77777777" w:rsidR="00725977" w:rsidRPr="00D4309F" w:rsidRDefault="00725977">
            <w:pPr>
              <w:pStyle w:val="TableParagraph"/>
              <w:spacing w:before="40"/>
              <w:ind w:left="165"/>
              <w:rPr>
                <w:b/>
                <w:sz w:val="18"/>
              </w:rPr>
            </w:pPr>
            <w:r w:rsidRPr="00D4309F">
              <w:rPr>
                <w:b/>
                <w:color w:val="70004A"/>
                <w:spacing w:val="-2"/>
                <w:sz w:val="18"/>
              </w:rPr>
              <w:t>Description</w:t>
            </w:r>
          </w:p>
        </w:tc>
      </w:tr>
      <w:tr w:rsidR="00725977" w:rsidRPr="00D4309F" w14:paraId="75DECF1F" w14:textId="77777777" w:rsidTr="00151534">
        <w:trPr>
          <w:trHeight w:val="286"/>
        </w:trPr>
        <w:tc>
          <w:tcPr>
            <w:tcW w:w="686" w:type="pct"/>
            <w:tcBorders>
              <w:top w:val="single" w:sz="4" w:space="0" w:color="000000"/>
              <w:bottom w:val="single" w:sz="4" w:space="0" w:color="000000"/>
            </w:tcBorders>
            <w:shd w:val="clear" w:color="auto" w:fill="BDB7B3"/>
          </w:tcPr>
          <w:p w14:paraId="56DE5126" w14:textId="77777777" w:rsidR="00725977" w:rsidRPr="00D4309F" w:rsidRDefault="00725977">
            <w:pPr>
              <w:pStyle w:val="TableParagraph"/>
              <w:spacing w:before="39"/>
              <w:ind w:left="165"/>
              <w:rPr>
                <w:b/>
                <w:sz w:val="18"/>
              </w:rPr>
            </w:pPr>
            <w:r w:rsidRPr="00D4309F">
              <w:rPr>
                <w:b/>
                <w:color w:val="211E1F"/>
                <w:sz w:val="18"/>
              </w:rPr>
              <w:t>No</w:t>
            </w:r>
            <w:r w:rsidRPr="00D4309F">
              <w:rPr>
                <w:b/>
                <w:color w:val="211E1F"/>
                <w:spacing w:val="-3"/>
                <w:sz w:val="18"/>
              </w:rPr>
              <w:t xml:space="preserve"> </w:t>
            </w:r>
            <w:r w:rsidRPr="00D4309F">
              <w:rPr>
                <w:b/>
                <w:color w:val="211E1F"/>
                <w:spacing w:val="-2"/>
                <w:sz w:val="18"/>
              </w:rPr>
              <w:t>impact</w:t>
            </w:r>
          </w:p>
        </w:tc>
        <w:tc>
          <w:tcPr>
            <w:tcW w:w="4314" w:type="pct"/>
            <w:tcBorders>
              <w:top w:val="single" w:sz="4" w:space="0" w:color="000000"/>
              <w:bottom w:val="single" w:sz="4" w:space="0" w:color="000000"/>
            </w:tcBorders>
          </w:tcPr>
          <w:p w14:paraId="29DBF1FA" w14:textId="77777777" w:rsidR="00725977" w:rsidRPr="00D4309F" w:rsidRDefault="00725977">
            <w:pPr>
              <w:pStyle w:val="TableParagraph"/>
              <w:spacing w:before="39"/>
              <w:ind w:left="165"/>
              <w:rPr>
                <w:sz w:val="18"/>
              </w:rPr>
            </w:pPr>
            <w:r w:rsidRPr="00D4309F">
              <w:rPr>
                <w:color w:val="211E1F"/>
                <w:sz w:val="18"/>
              </w:rPr>
              <w:t>There</w:t>
            </w:r>
            <w:r w:rsidRPr="00D4309F">
              <w:rPr>
                <w:color w:val="211E1F"/>
                <w:spacing w:val="-6"/>
                <w:sz w:val="18"/>
              </w:rPr>
              <w:t xml:space="preserve"> </w:t>
            </w:r>
            <w:r w:rsidRPr="00D4309F">
              <w:rPr>
                <w:color w:val="211E1F"/>
                <w:sz w:val="18"/>
              </w:rPr>
              <w:t>is</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impact</w:t>
            </w:r>
            <w:r w:rsidRPr="00D4309F">
              <w:rPr>
                <w:color w:val="211E1F"/>
                <w:spacing w:val="-2"/>
                <w:sz w:val="18"/>
              </w:rPr>
              <w:t xml:space="preserve"> </w:t>
            </w:r>
            <w:r w:rsidRPr="00D4309F">
              <w:rPr>
                <w:color w:val="211E1F"/>
                <w:sz w:val="18"/>
              </w:rPr>
              <w:t>pathway</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1"/>
                <w:sz w:val="18"/>
              </w:rPr>
              <w:t xml:space="preserve"> </w:t>
            </w:r>
            <w:r w:rsidRPr="00D4309F">
              <w:rPr>
                <w:color w:val="211E1F"/>
                <w:sz w:val="18"/>
              </w:rPr>
              <w:t>receptor.</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required.</w:t>
            </w:r>
          </w:p>
        </w:tc>
      </w:tr>
      <w:tr w:rsidR="00725977" w:rsidRPr="00D4309F" w14:paraId="5F29D0A3" w14:textId="77777777" w:rsidTr="00151534">
        <w:trPr>
          <w:trHeight w:val="287"/>
        </w:trPr>
        <w:tc>
          <w:tcPr>
            <w:tcW w:w="686" w:type="pct"/>
            <w:tcBorders>
              <w:top w:val="single" w:sz="4" w:space="0" w:color="000000"/>
              <w:bottom w:val="single" w:sz="4" w:space="0" w:color="000000"/>
            </w:tcBorders>
            <w:shd w:val="clear" w:color="auto" w:fill="92D050"/>
          </w:tcPr>
          <w:p w14:paraId="7FBCC727" w14:textId="77777777" w:rsidR="00725977" w:rsidRPr="00D4309F" w:rsidRDefault="00725977">
            <w:pPr>
              <w:pStyle w:val="TableParagraph"/>
              <w:spacing w:before="39"/>
              <w:ind w:left="165"/>
              <w:rPr>
                <w:b/>
                <w:sz w:val="18"/>
              </w:rPr>
            </w:pPr>
            <w:r w:rsidRPr="00D4309F">
              <w:rPr>
                <w:b/>
                <w:color w:val="211E1F"/>
                <w:spacing w:val="-5"/>
                <w:sz w:val="18"/>
              </w:rPr>
              <w:t>Low</w:t>
            </w:r>
          </w:p>
        </w:tc>
        <w:tc>
          <w:tcPr>
            <w:tcW w:w="4314" w:type="pct"/>
            <w:tcBorders>
              <w:top w:val="single" w:sz="4" w:space="0" w:color="000000"/>
              <w:bottom w:val="single" w:sz="4" w:space="0" w:color="000000"/>
            </w:tcBorders>
          </w:tcPr>
          <w:p w14:paraId="08311CC8" w14:textId="77777777" w:rsidR="00725977" w:rsidRPr="00D4309F" w:rsidRDefault="00725977">
            <w:pPr>
              <w:pStyle w:val="TableParagraph"/>
              <w:spacing w:before="39"/>
              <w:ind w:left="165"/>
              <w:rPr>
                <w:sz w:val="18"/>
              </w:rPr>
            </w:pPr>
            <w:r w:rsidRPr="00D4309F">
              <w:rPr>
                <w:color w:val="211E1F"/>
                <w:sz w:val="18"/>
              </w:rPr>
              <w:t>There</w:t>
            </w:r>
            <w:r w:rsidRPr="00D4309F">
              <w:rPr>
                <w:color w:val="211E1F"/>
                <w:spacing w:val="-6"/>
                <w:sz w:val="18"/>
              </w:rPr>
              <w:t xml:space="preserve"> </w:t>
            </w:r>
            <w:r w:rsidRPr="00D4309F">
              <w:rPr>
                <w:color w:val="211E1F"/>
                <w:sz w:val="18"/>
              </w:rPr>
              <w:t>is</w:t>
            </w:r>
            <w:r w:rsidRPr="00D4309F">
              <w:rPr>
                <w:color w:val="211E1F"/>
                <w:spacing w:val="-2"/>
                <w:sz w:val="18"/>
              </w:rPr>
              <w:t xml:space="preserve"> </w:t>
            </w:r>
            <w:r w:rsidRPr="00D4309F">
              <w:rPr>
                <w:color w:val="211E1F"/>
                <w:sz w:val="18"/>
              </w:rPr>
              <w:t>low</w:t>
            </w:r>
            <w:r w:rsidRPr="00D4309F">
              <w:rPr>
                <w:color w:val="211E1F"/>
                <w:spacing w:val="-2"/>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3"/>
                <w:sz w:val="18"/>
              </w:rPr>
              <w:t xml:space="preserve"> </w:t>
            </w:r>
            <w:r w:rsidRPr="00D4309F">
              <w:rPr>
                <w:color w:val="211E1F"/>
                <w:sz w:val="18"/>
              </w:rPr>
              <w:t>No</w:t>
            </w:r>
            <w:r w:rsidRPr="00D4309F">
              <w:rPr>
                <w:color w:val="211E1F"/>
                <w:spacing w:val="-3"/>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required.</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or</w:t>
            </w:r>
            <w:r w:rsidRPr="00D4309F">
              <w:rPr>
                <w:color w:val="211E1F"/>
                <w:spacing w:val="-2"/>
                <w:sz w:val="18"/>
              </w:rPr>
              <w:t xml:space="preserve"> </w:t>
            </w:r>
            <w:r w:rsidRPr="00D4309F">
              <w:rPr>
                <w:color w:val="211E1F"/>
                <w:sz w:val="18"/>
              </w:rPr>
              <w:t>standard</w:t>
            </w:r>
            <w:r w:rsidRPr="00D4309F">
              <w:rPr>
                <w:color w:val="211E1F"/>
                <w:spacing w:val="-3"/>
                <w:sz w:val="18"/>
              </w:rPr>
              <w:t xml:space="preserve"> </w:t>
            </w:r>
            <w:r w:rsidRPr="00D4309F">
              <w:rPr>
                <w:color w:val="211E1F"/>
                <w:sz w:val="18"/>
              </w:rPr>
              <w:t>management</w:t>
            </w:r>
            <w:r w:rsidRPr="00D4309F">
              <w:rPr>
                <w:color w:val="211E1F"/>
                <w:spacing w:val="-2"/>
                <w:sz w:val="18"/>
              </w:rPr>
              <w:t xml:space="preserve"> likely.</w:t>
            </w:r>
          </w:p>
        </w:tc>
      </w:tr>
      <w:tr w:rsidR="00725977" w:rsidRPr="00D4309F" w14:paraId="550FAFFD" w14:textId="77777777" w:rsidTr="00151534">
        <w:trPr>
          <w:trHeight w:val="493"/>
        </w:trPr>
        <w:tc>
          <w:tcPr>
            <w:tcW w:w="686" w:type="pct"/>
            <w:tcBorders>
              <w:top w:val="single" w:sz="4" w:space="0" w:color="000000"/>
              <w:bottom w:val="single" w:sz="4" w:space="0" w:color="000000"/>
            </w:tcBorders>
            <w:shd w:val="clear" w:color="auto" w:fill="FFFF00"/>
          </w:tcPr>
          <w:p w14:paraId="6235EEF4" w14:textId="77777777" w:rsidR="00725977" w:rsidRPr="00D4309F" w:rsidRDefault="00725977">
            <w:pPr>
              <w:pStyle w:val="TableParagraph"/>
              <w:spacing w:before="143"/>
              <w:ind w:left="165"/>
              <w:rPr>
                <w:b/>
                <w:sz w:val="18"/>
              </w:rPr>
            </w:pPr>
            <w:r w:rsidRPr="00D4309F">
              <w:rPr>
                <w:b/>
                <w:color w:val="211E1F"/>
                <w:spacing w:val="-2"/>
                <w:sz w:val="18"/>
              </w:rPr>
              <w:t>Moderate</w:t>
            </w:r>
          </w:p>
        </w:tc>
        <w:tc>
          <w:tcPr>
            <w:tcW w:w="4314" w:type="pct"/>
            <w:tcBorders>
              <w:top w:val="single" w:sz="4" w:space="0" w:color="000000"/>
              <w:bottom w:val="single" w:sz="4" w:space="0" w:color="000000"/>
            </w:tcBorders>
          </w:tcPr>
          <w:p w14:paraId="4A1CFC81" w14:textId="77777777" w:rsidR="00725977" w:rsidRPr="00D4309F" w:rsidRDefault="00725977">
            <w:pPr>
              <w:pStyle w:val="TableParagraph"/>
              <w:spacing w:before="39"/>
              <w:ind w:left="165" w:right="155"/>
              <w:rPr>
                <w:sz w:val="18"/>
              </w:rPr>
            </w:pPr>
            <w:r w:rsidRPr="00D4309F">
              <w:rPr>
                <w:color w:val="211E1F"/>
                <w:sz w:val="18"/>
              </w:rPr>
              <w:t>There</w:t>
            </w:r>
            <w:r w:rsidRPr="00D4309F">
              <w:rPr>
                <w:color w:val="211E1F"/>
                <w:spacing w:val="-3"/>
                <w:sz w:val="18"/>
              </w:rPr>
              <w:t xml:space="preserve"> </w:t>
            </w:r>
            <w:r w:rsidRPr="00D4309F">
              <w:rPr>
                <w:color w:val="211E1F"/>
                <w:sz w:val="18"/>
              </w:rPr>
              <w:t>is</w:t>
            </w:r>
            <w:r w:rsidRPr="00D4309F">
              <w:rPr>
                <w:color w:val="211E1F"/>
                <w:spacing w:val="-2"/>
                <w:sz w:val="18"/>
              </w:rPr>
              <w:t xml:space="preserve"> </w:t>
            </w:r>
            <w:r w:rsidRPr="00D4309F">
              <w:rPr>
                <w:color w:val="211E1F"/>
                <w:sz w:val="18"/>
              </w:rPr>
              <w:t>a</w:t>
            </w:r>
            <w:r w:rsidRPr="00D4309F">
              <w:rPr>
                <w:color w:val="211E1F"/>
                <w:spacing w:val="-3"/>
                <w:sz w:val="18"/>
              </w:rPr>
              <w:t xml:space="preserve"> </w:t>
            </w:r>
            <w:r w:rsidRPr="00D4309F">
              <w:rPr>
                <w:color w:val="211E1F"/>
                <w:sz w:val="18"/>
              </w:rPr>
              <w:t>moderate</w:t>
            </w:r>
            <w:r w:rsidRPr="00D4309F">
              <w:rPr>
                <w:color w:val="211E1F"/>
                <w:spacing w:val="-3"/>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2"/>
                <w:sz w:val="18"/>
              </w:rPr>
              <w:t xml:space="preserve"> </w:t>
            </w:r>
            <w:r w:rsidRPr="00D4309F">
              <w:rPr>
                <w:color w:val="211E1F"/>
                <w:sz w:val="18"/>
              </w:rPr>
              <w:t>which</w:t>
            </w:r>
            <w:r w:rsidRPr="00D4309F">
              <w:rPr>
                <w:color w:val="211E1F"/>
                <w:spacing w:val="-3"/>
                <w:sz w:val="18"/>
              </w:rPr>
              <w:t xml:space="preserve"> </w:t>
            </w:r>
            <w:r w:rsidRPr="00D4309F">
              <w:rPr>
                <w:color w:val="211E1F"/>
                <w:sz w:val="18"/>
              </w:rPr>
              <w:t>will</w:t>
            </w:r>
            <w:r w:rsidRPr="00D4309F">
              <w:rPr>
                <w:color w:val="211E1F"/>
                <w:spacing w:val="-1"/>
                <w:sz w:val="18"/>
              </w:rPr>
              <w:t xml:space="preserve"> </w:t>
            </w:r>
            <w:r w:rsidRPr="00D4309F">
              <w:rPr>
                <w:color w:val="211E1F"/>
                <w:sz w:val="18"/>
              </w:rPr>
              <w:t>require</w:t>
            </w:r>
            <w:r w:rsidRPr="00D4309F">
              <w:rPr>
                <w:color w:val="211E1F"/>
                <w:spacing w:val="-3"/>
                <w:sz w:val="18"/>
              </w:rPr>
              <w:t xml:space="preserve"> </w:t>
            </w:r>
            <w:r w:rsidRPr="00D4309F">
              <w:rPr>
                <w:color w:val="211E1F"/>
                <w:sz w:val="18"/>
              </w:rPr>
              <w:t>further</w:t>
            </w:r>
            <w:r w:rsidRPr="00D4309F">
              <w:rPr>
                <w:color w:val="211E1F"/>
                <w:spacing w:val="-1"/>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to</w:t>
            </w:r>
            <w:r w:rsidRPr="00D4309F">
              <w:rPr>
                <w:color w:val="211E1F"/>
                <w:spacing w:val="-1"/>
                <w:sz w:val="18"/>
              </w:rPr>
              <w:t xml:space="preserve"> </w:t>
            </w:r>
            <w:r w:rsidRPr="00D4309F">
              <w:rPr>
                <w:color w:val="211E1F"/>
                <w:sz w:val="18"/>
              </w:rPr>
              <w:t>determine</w:t>
            </w:r>
            <w:r w:rsidRPr="00D4309F">
              <w:rPr>
                <w:color w:val="211E1F"/>
                <w:spacing w:val="-3"/>
                <w:sz w:val="18"/>
              </w:rPr>
              <w:t xml:space="preserve"> </w:t>
            </w:r>
            <w:r w:rsidRPr="00D4309F">
              <w:rPr>
                <w:color w:val="211E1F"/>
                <w:sz w:val="18"/>
              </w:rPr>
              <w:t>the</w:t>
            </w:r>
            <w:r w:rsidRPr="00D4309F">
              <w:rPr>
                <w:color w:val="211E1F"/>
                <w:spacing w:val="-1"/>
                <w:sz w:val="18"/>
              </w:rPr>
              <w:t xml:space="preserve"> </w:t>
            </w:r>
            <w:r w:rsidRPr="00D4309F">
              <w:rPr>
                <w:color w:val="211E1F"/>
                <w:sz w:val="18"/>
              </w:rPr>
              <w:t>significance</w:t>
            </w:r>
            <w:r w:rsidRPr="00D4309F">
              <w:rPr>
                <w:color w:val="211E1F"/>
                <w:spacing w:val="-3"/>
                <w:sz w:val="18"/>
              </w:rPr>
              <w:t xml:space="preserve"> </w:t>
            </w:r>
            <w:r w:rsidRPr="00D4309F">
              <w:rPr>
                <w:color w:val="211E1F"/>
                <w:sz w:val="18"/>
              </w:rPr>
              <w:t>of</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Likely</w:t>
            </w:r>
            <w:r w:rsidRPr="00D4309F">
              <w:rPr>
                <w:color w:val="211E1F"/>
                <w:spacing w:val="-2"/>
                <w:sz w:val="18"/>
              </w:rPr>
              <w:t xml:space="preserve"> </w:t>
            </w:r>
            <w:r w:rsidRPr="00D4309F">
              <w:rPr>
                <w:color w:val="211E1F"/>
                <w:sz w:val="18"/>
              </w:rPr>
              <w:t>to be manageable or engineered to minimise potential impacts on the receiving environment.</w:t>
            </w:r>
          </w:p>
        </w:tc>
      </w:tr>
      <w:tr w:rsidR="00725977" w:rsidRPr="00D4309F" w14:paraId="4413B41F" w14:textId="77777777" w:rsidTr="00151534">
        <w:trPr>
          <w:trHeight w:val="494"/>
        </w:trPr>
        <w:tc>
          <w:tcPr>
            <w:tcW w:w="686" w:type="pct"/>
            <w:tcBorders>
              <w:top w:val="single" w:sz="4" w:space="0" w:color="000000"/>
            </w:tcBorders>
            <w:shd w:val="clear" w:color="auto" w:fill="FFC000"/>
          </w:tcPr>
          <w:p w14:paraId="55DF4F8E" w14:textId="77777777" w:rsidR="00725977" w:rsidRPr="00D4309F" w:rsidRDefault="00725977">
            <w:pPr>
              <w:pStyle w:val="TableParagraph"/>
              <w:spacing w:before="143"/>
              <w:ind w:left="165"/>
              <w:rPr>
                <w:b/>
                <w:sz w:val="18"/>
              </w:rPr>
            </w:pPr>
            <w:r w:rsidRPr="00D4309F">
              <w:rPr>
                <w:b/>
                <w:color w:val="211E1F"/>
                <w:spacing w:val="-4"/>
                <w:sz w:val="18"/>
              </w:rPr>
              <w:t>High</w:t>
            </w:r>
          </w:p>
        </w:tc>
        <w:tc>
          <w:tcPr>
            <w:tcW w:w="4314" w:type="pct"/>
            <w:tcBorders>
              <w:top w:val="single" w:sz="4" w:space="0" w:color="000000"/>
            </w:tcBorders>
          </w:tcPr>
          <w:p w14:paraId="72FBE1D6" w14:textId="77777777" w:rsidR="00725977" w:rsidRPr="00D4309F" w:rsidRDefault="00725977">
            <w:pPr>
              <w:pStyle w:val="TableParagraph"/>
              <w:spacing w:before="39"/>
              <w:ind w:left="165" w:right="155"/>
              <w:rPr>
                <w:sz w:val="18"/>
              </w:rPr>
            </w:pPr>
            <w:r w:rsidRPr="00D4309F">
              <w:rPr>
                <w:color w:val="211E1F"/>
                <w:sz w:val="18"/>
              </w:rPr>
              <w:t>There</w:t>
            </w:r>
            <w:r w:rsidRPr="00D4309F">
              <w:rPr>
                <w:color w:val="211E1F"/>
                <w:spacing w:val="-3"/>
                <w:sz w:val="18"/>
              </w:rPr>
              <w:t xml:space="preserve"> </w:t>
            </w:r>
            <w:r w:rsidRPr="00D4309F">
              <w:rPr>
                <w:color w:val="211E1F"/>
                <w:sz w:val="18"/>
              </w:rPr>
              <w:t>is</w:t>
            </w:r>
            <w:r w:rsidRPr="00D4309F">
              <w:rPr>
                <w:color w:val="211E1F"/>
                <w:spacing w:val="-2"/>
                <w:sz w:val="18"/>
              </w:rPr>
              <w:t xml:space="preserve"> </w:t>
            </w:r>
            <w:r w:rsidRPr="00D4309F">
              <w:rPr>
                <w:color w:val="211E1F"/>
                <w:sz w:val="18"/>
              </w:rPr>
              <w:t>a</w:t>
            </w:r>
            <w:r w:rsidRPr="00D4309F">
              <w:rPr>
                <w:color w:val="211E1F"/>
                <w:spacing w:val="-3"/>
                <w:sz w:val="18"/>
              </w:rPr>
              <w:t xml:space="preserve"> </w:t>
            </w:r>
            <w:r w:rsidRPr="00D4309F">
              <w:rPr>
                <w:color w:val="211E1F"/>
                <w:sz w:val="18"/>
              </w:rPr>
              <w:t>high</w:t>
            </w:r>
            <w:r w:rsidRPr="00D4309F">
              <w:rPr>
                <w:color w:val="211E1F"/>
                <w:spacing w:val="-1"/>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2"/>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required</w:t>
            </w:r>
            <w:r w:rsidRPr="00D4309F">
              <w:rPr>
                <w:color w:val="211E1F"/>
                <w:spacing w:val="-3"/>
                <w:sz w:val="18"/>
              </w:rPr>
              <w:t xml:space="preserve"> </w:t>
            </w:r>
            <w:r w:rsidRPr="00D4309F">
              <w:rPr>
                <w:color w:val="211E1F"/>
                <w:sz w:val="18"/>
              </w:rPr>
              <w:t>to</w:t>
            </w:r>
            <w:r w:rsidRPr="00D4309F">
              <w:rPr>
                <w:color w:val="211E1F"/>
                <w:spacing w:val="-3"/>
                <w:sz w:val="18"/>
              </w:rPr>
              <w:t xml:space="preserve"> </w:t>
            </w:r>
            <w:r w:rsidRPr="00D4309F">
              <w:rPr>
                <w:color w:val="211E1F"/>
                <w:sz w:val="18"/>
              </w:rPr>
              <w:t>determine</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significance</w:t>
            </w:r>
            <w:r w:rsidRPr="00D4309F">
              <w:rPr>
                <w:color w:val="211E1F"/>
                <w:spacing w:val="-1"/>
                <w:sz w:val="18"/>
              </w:rPr>
              <w:t xml:space="preserve"> </w:t>
            </w:r>
            <w:r w:rsidRPr="00D4309F">
              <w:rPr>
                <w:color w:val="211E1F"/>
                <w:sz w:val="18"/>
              </w:rPr>
              <w:t>of</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and</w:t>
            </w:r>
            <w:r w:rsidRPr="00D4309F">
              <w:rPr>
                <w:color w:val="211E1F"/>
                <w:spacing w:val="-3"/>
                <w:sz w:val="18"/>
              </w:rPr>
              <w:t xml:space="preserve"> </w:t>
            </w:r>
            <w:r w:rsidRPr="00D4309F">
              <w:rPr>
                <w:color w:val="211E1F"/>
                <w:sz w:val="18"/>
              </w:rPr>
              <w:t>mitigation strategy. Consideration for regulatory approvals.</w:t>
            </w:r>
          </w:p>
        </w:tc>
      </w:tr>
    </w:tbl>
    <w:p w14:paraId="53437DE5" w14:textId="47D69ACD" w:rsidR="00725977" w:rsidRDefault="00725977" w:rsidP="00151534">
      <w:pPr>
        <w:pStyle w:val="BodyText"/>
      </w:pPr>
    </w:p>
    <w:p w14:paraId="68E09C4F" w14:textId="6030275B" w:rsidR="00D4229D" w:rsidRPr="00D4309F" w:rsidRDefault="00D4229D" w:rsidP="007774EC">
      <w:pPr>
        <w:pStyle w:val="Table-Caption"/>
      </w:pPr>
      <w:bookmarkStart w:id="534" w:name="_Ref215980606"/>
      <w:bookmarkStart w:id="535" w:name="_Toc216699585"/>
      <w:r>
        <w:t xml:space="preserve">Table </w:t>
      </w:r>
      <w:r w:rsidR="00151534">
        <w:fldChar w:fldCharType="begin" w:fldLock="1"/>
      </w:r>
      <w:r w:rsidR="00151534">
        <w:instrText xml:space="preserve"> STYLEREF 1 \s </w:instrText>
      </w:r>
      <w:r w:rsidR="00151534">
        <w:fldChar w:fldCharType="separate"/>
      </w:r>
      <w:r w:rsidR="00151534">
        <w:rPr>
          <w:noProof/>
        </w:rPr>
        <w:t>17</w:t>
      </w:r>
      <w:r w:rsidR="00151534">
        <w:fldChar w:fldCharType="end"/>
      </w:r>
      <w:r w:rsidR="00151534">
        <w:noBreakHyphen/>
      </w:r>
      <w:r w:rsidR="00151534">
        <w:fldChar w:fldCharType="begin"/>
      </w:r>
      <w:r w:rsidR="00151534">
        <w:instrText xml:space="preserve"> SEQ Table \* ARABIC \s 1 </w:instrText>
      </w:r>
      <w:r w:rsidR="00151534">
        <w:fldChar w:fldCharType="separate"/>
      </w:r>
      <w:r w:rsidR="006D0876">
        <w:rPr>
          <w:noProof/>
        </w:rPr>
        <w:t>2</w:t>
      </w:r>
      <w:r w:rsidR="00151534">
        <w:fldChar w:fldCharType="end"/>
      </w:r>
      <w:bookmarkEnd w:id="534"/>
      <w:r>
        <w:t>:</w:t>
      </w:r>
      <w:r>
        <w:tab/>
      </w:r>
      <w:r w:rsidRPr="00D4309F">
        <w:t>Environmental</w:t>
      </w:r>
      <w:r w:rsidRPr="00D4309F">
        <w:rPr>
          <w:spacing w:val="-2"/>
        </w:rPr>
        <w:t xml:space="preserve"> </w:t>
      </w:r>
      <w:r w:rsidRPr="00D4309F">
        <w:t>constraints</w:t>
      </w:r>
      <w:r w:rsidRPr="00D4309F">
        <w:rPr>
          <w:spacing w:val="-3"/>
        </w:rPr>
        <w:t xml:space="preserve"> </w:t>
      </w:r>
      <w:r w:rsidRPr="00D4309F">
        <w:t>for</w:t>
      </w:r>
      <w:r w:rsidRPr="00D4309F">
        <w:rPr>
          <w:spacing w:val="-3"/>
        </w:rPr>
        <w:t xml:space="preserve"> </w:t>
      </w:r>
      <w:r w:rsidRPr="00D4309F">
        <w:t>Formalise Western Channel (No Structural Modification) (Option</w:t>
      </w:r>
      <w:r w:rsidRPr="00D4309F">
        <w:rPr>
          <w:spacing w:val="-3"/>
        </w:rPr>
        <w:t xml:space="preserve"> </w:t>
      </w:r>
      <w:r w:rsidRPr="00D4309F">
        <w:rPr>
          <w:spacing w:val="-5"/>
        </w:rPr>
        <w:t>5A)</w:t>
      </w:r>
      <w:bookmarkEnd w:id="535"/>
    </w:p>
    <w:tbl>
      <w:tblPr>
        <w:tblW w:w="5000" w:type="pct"/>
        <w:tblCellMar>
          <w:left w:w="0" w:type="dxa"/>
          <w:right w:w="0" w:type="dxa"/>
        </w:tblCellMar>
        <w:tblLook w:val="01E0" w:firstRow="1" w:lastRow="1" w:firstColumn="1" w:lastColumn="1" w:noHBand="0" w:noVBand="0"/>
      </w:tblPr>
      <w:tblGrid>
        <w:gridCol w:w="1474"/>
        <w:gridCol w:w="37"/>
        <w:gridCol w:w="1174"/>
        <w:gridCol w:w="22"/>
        <w:gridCol w:w="14"/>
        <w:gridCol w:w="3100"/>
        <w:gridCol w:w="1436"/>
        <w:gridCol w:w="2765"/>
        <w:gridCol w:w="113"/>
        <w:gridCol w:w="9"/>
        <w:gridCol w:w="29"/>
        <w:gridCol w:w="26"/>
        <w:gridCol w:w="2052"/>
        <w:gridCol w:w="9"/>
        <w:gridCol w:w="6"/>
        <w:gridCol w:w="12"/>
        <w:gridCol w:w="2259"/>
        <w:gridCol w:w="15"/>
        <w:gridCol w:w="20"/>
      </w:tblGrid>
      <w:tr w:rsidR="00725977" w:rsidRPr="00D4309F" w14:paraId="282C557B" w14:textId="77777777" w:rsidTr="002471AD">
        <w:trPr>
          <w:cantSplit/>
          <w:trHeight w:val="20"/>
          <w:tblHeader/>
        </w:trPr>
        <w:tc>
          <w:tcPr>
            <w:tcW w:w="519" w:type="pct"/>
            <w:gridSpan w:val="2"/>
            <w:tcBorders>
              <w:bottom w:val="single" w:sz="4" w:space="0" w:color="000000"/>
            </w:tcBorders>
            <w:shd w:val="clear" w:color="auto" w:fill="D6D7D5"/>
            <w:vAlign w:val="center"/>
          </w:tcPr>
          <w:p w14:paraId="7262C25E" w14:textId="77777777" w:rsidR="00725977" w:rsidRPr="00D4309F" w:rsidRDefault="00725977" w:rsidP="004C00ED">
            <w:pPr>
              <w:pStyle w:val="TableParagraph"/>
              <w:ind w:left="195"/>
              <w:rPr>
                <w:b/>
                <w:sz w:val="18"/>
              </w:rPr>
            </w:pPr>
            <w:r w:rsidRPr="00D4309F">
              <w:rPr>
                <w:b/>
                <w:color w:val="70004A"/>
                <w:spacing w:val="-2"/>
                <w:sz w:val="18"/>
              </w:rPr>
              <w:t>Category</w:t>
            </w:r>
          </w:p>
        </w:tc>
        <w:tc>
          <w:tcPr>
            <w:tcW w:w="402" w:type="pct"/>
            <w:tcBorders>
              <w:bottom w:val="single" w:sz="4" w:space="0" w:color="000000"/>
            </w:tcBorders>
            <w:shd w:val="clear" w:color="auto" w:fill="D6D7D5"/>
            <w:vAlign w:val="center"/>
          </w:tcPr>
          <w:p w14:paraId="6F026990" w14:textId="77777777" w:rsidR="00725977" w:rsidRPr="00D4309F" w:rsidRDefault="00725977" w:rsidP="004C00ED">
            <w:pPr>
              <w:pStyle w:val="TableParagraph"/>
              <w:ind w:left="197"/>
              <w:rPr>
                <w:b/>
                <w:sz w:val="18"/>
              </w:rPr>
            </w:pPr>
            <w:r w:rsidRPr="00D4309F">
              <w:rPr>
                <w:b/>
                <w:color w:val="70004A"/>
                <w:spacing w:val="-2"/>
                <w:sz w:val="18"/>
              </w:rPr>
              <w:t>Receptor</w:t>
            </w:r>
          </w:p>
        </w:tc>
        <w:tc>
          <w:tcPr>
            <w:tcW w:w="1077" w:type="pct"/>
            <w:gridSpan w:val="3"/>
            <w:tcBorders>
              <w:bottom w:val="single" w:sz="4" w:space="0" w:color="000000"/>
            </w:tcBorders>
            <w:shd w:val="clear" w:color="auto" w:fill="D6D7D5"/>
            <w:vAlign w:val="center"/>
          </w:tcPr>
          <w:p w14:paraId="5CAAD5CF" w14:textId="77777777" w:rsidR="00725977" w:rsidRPr="00D4309F" w:rsidRDefault="00725977" w:rsidP="004C00ED">
            <w:pPr>
              <w:pStyle w:val="TableParagraph"/>
              <w:ind w:left="257"/>
              <w:rPr>
                <w:b/>
                <w:sz w:val="18"/>
              </w:rPr>
            </w:pPr>
            <w:r w:rsidRPr="00D4309F">
              <w:rPr>
                <w:b/>
                <w:color w:val="70004A"/>
                <w:sz w:val="18"/>
              </w:rPr>
              <w:t>Impact</w:t>
            </w:r>
            <w:r w:rsidRPr="00D4309F">
              <w:rPr>
                <w:b/>
                <w:color w:val="70004A"/>
                <w:spacing w:val="-3"/>
                <w:sz w:val="18"/>
              </w:rPr>
              <w:t xml:space="preserve"> </w:t>
            </w:r>
            <w:r w:rsidRPr="00D4309F">
              <w:rPr>
                <w:b/>
                <w:color w:val="70004A"/>
                <w:spacing w:val="-2"/>
                <w:sz w:val="18"/>
              </w:rPr>
              <w:t>pathway</w:t>
            </w:r>
          </w:p>
        </w:tc>
        <w:tc>
          <w:tcPr>
            <w:tcW w:w="493" w:type="pct"/>
            <w:tcBorders>
              <w:bottom w:val="single" w:sz="4" w:space="0" w:color="000000"/>
            </w:tcBorders>
            <w:shd w:val="clear" w:color="auto" w:fill="D6D7D5"/>
            <w:vAlign w:val="center"/>
          </w:tcPr>
          <w:p w14:paraId="20D954A5" w14:textId="77777777" w:rsidR="00725977" w:rsidRPr="00D4309F" w:rsidRDefault="00725977" w:rsidP="004C00ED">
            <w:pPr>
              <w:pStyle w:val="TableParagraph"/>
              <w:spacing w:before="143"/>
              <w:ind w:left="164" w:right="171"/>
              <w:rPr>
                <w:b/>
                <w:sz w:val="18"/>
              </w:rPr>
            </w:pPr>
            <w:r w:rsidRPr="00D4309F">
              <w:rPr>
                <w:b/>
                <w:color w:val="70004A"/>
                <w:spacing w:val="-2"/>
                <w:sz w:val="18"/>
              </w:rPr>
              <w:t>Constraint level</w:t>
            </w:r>
          </w:p>
        </w:tc>
        <w:tc>
          <w:tcPr>
            <w:tcW w:w="1001" w:type="pct"/>
            <w:gridSpan w:val="4"/>
            <w:tcBorders>
              <w:bottom w:val="single" w:sz="4" w:space="0" w:color="000000"/>
            </w:tcBorders>
            <w:shd w:val="clear" w:color="auto" w:fill="D6D7D5"/>
            <w:vAlign w:val="center"/>
          </w:tcPr>
          <w:p w14:paraId="73C8F6A8" w14:textId="77777777" w:rsidR="00725977" w:rsidRPr="00D4309F" w:rsidRDefault="00725977" w:rsidP="004C00ED">
            <w:pPr>
              <w:pStyle w:val="TableParagraph"/>
              <w:ind w:left="164"/>
              <w:rPr>
                <w:b/>
                <w:sz w:val="18"/>
              </w:rPr>
            </w:pPr>
            <w:r w:rsidRPr="00D4309F">
              <w:rPr>
                <w:b/>
                <w:color w:val="70004A"/>
                <w:spacing w:val="-2"/>
                <w:sz w:val="18"/>
              </w:rPr>
              <w:t>Justification</w:t>
            </w:r>
          </w:p>
        </w:tc>
        <w:tc>
          <w:tcPr>
            <w:tcW w:w="721" w:type="pct"/>
            <w:gridSpan w:val="5"/>
            <w:tcBorders>
              <w:bottom w:val="single" w:sz="4" w:space="0" w:color="000000"/>
            </w:tcBorders>
            <w:shd w:val="clear" w:color="auto" w:fill="D6D7D5"/>
            <w:vAlign w:val="center"/>
          </w:tcPr>
          <w:p w14:paraId="7FAB738D" w14:textId="77777777" w:rsidR="00725977" w:rsidRPr="00D4309F" w:rsidRDefault="00725977" w:rsidP="004C00ED">
            <w:pPr>
              <w:pStyle w:val="TableParagraph"/>
              <w:spacing w:before="143"/>
              <w:ind w:left="227" w:right="165"/>
              <w:rPr>
                <w:b/>
                <w:sz w:val="18"/>
              </w:rPr>
            </w:pPr>
            <w:r w:rsidRPr="00D4309F">
              <w:rPr>
                <w:b/>
                <w:color w:val="70004A"/>
                <w:sz w:val="18"/>
              </w:rPr>
              <w:t>Further</w:t>
            </w:r>
            <w:r w:rsidRPr="00D4309F">
              <w:rPr>
                <w:b/>
                <w:color w:val="70004A"/>
                <w:spacing w:val="-13"/>
                <w:sz w:val="18"/>
              </w:rPr>
              <w:t xml:space="preserve"> </w:t>
            </w:r>
            <w:r w:rsidRPr="00D4309F">
              <w:rPr>
                <w:b/>
                <w:color w:val="70004A"/>
                <w:sz w:val="18"/>
              </w:rPr>
              <w:t xml:space="preserve">assessment </w:t>
            </w:r>
            <w:r w:rsidRPr="00D4309F">
              <w:rPr>
                <w:b/>
                <w:color w:val="70004A"/>
                <w:spacing w:val="-2"/>
                <w:sz w:val="18"/>
              </w:rPr>
              <w:t>recommendations</w:t>
            </w:r>
          </w:p>
        </w:tc>
        <w:tc>
          <w:tcPr>
            <w:tcW w:w="787" w:type="pct"/>
            <w:gridSpan w:val="3"/>
            <w:tcBorders>
              <w:bottom w:val="single" w:sz="4" w:space="0" w:color="000000"/>
            </w:tcBorders>
            <w:shd w:val="clear" w:color="auto" w:fill="D6D7D5"/>
            <w:vAlign w:val="center"/>
          </w:tcPr>
          <w:p w14:paraId="6F7CF768" w14:textId="77777777" w:rsidR="00725977" w:rsidRPr="00D4309F" w:rsidRDefault="00725977" w:rsidP="004C00ED">
            <w:pPr>
              <w:pStyle w:val="TableParagraph"/>
              <w:spacing w:before="38"/>
              <w:ind w:left="202" w:right="324"/>
              <w:rPr>
                <w:b/>
                <w:sz w:val="18"/>
              </w:rPr>
            </w:pPr>
            <w:r w:rsidRPr="00D4309F">
              <w:rPr>
                <w:b/>
                <w:color w:val="70004A"/>
                <w:sz w:val="18"/>
              </w:rPr>
              <w:t>Potential</w:t>
            </w:r>
            <w:r w:rsidRPr="00D4309F">
              <w:rPr>
                <w:b/>
                <w:color w:val="70004A"/>
                <w:spacing w:val="-13"/>
                <w:sz w:val="18"/>
              </w:rPr>
              <w:t xml:space="preserve"> </w:t>
            </w:r>
            <w:r w:rsidRPr="00D4309F">
              <w:rPr>
                <w:b/>
                <w:color w:val="70004A"/>
                <w:sz w:val="18"/>
              </w:rPr>
              <w:t xml:space="preserve">monitoring and management </w:t>
            </w:r>
            <w:r w:rsidRPr="00D4309F">
              <w:rPr>
                <w:b/>
                <w:color w:val="70004A"/>
                <w:spacing w:val="-2"/>
                <w:sz w:val="18"/>
              </w:rPr>
              <w:t>requirements</w:t>
            </w:r>
          </w:p>
        </w:tc>
      </w:tr>
      <w:tr w:rsidR="00725977" w:rsidRPr="00D4309F" w14:paraId="0120D824" w14:textId="77777777" w:rsidTr="002471AD">
        <w:trPr>
          <w:cantSplit/>
          <w:trHeight w:val="20"/>
        </w:trPr>
        <w:tc>
          <w:tcPr>
            <w:tcW w:w="519" w:type="pct"/>
            <w:gridSpan w:val="2"/>
            <w:tcBorders>
              <w:top w:val="single" w:sz="4" w:space="0" w:color="000000"/>
              <w:bottom w:val="single" w:sz="4" w:space="0" w:color="000000"/>
            </w:tcBorders>
            <w:vAlign w:val="center"/>
          </w:tcPr>
          <w:p w14:paraId="47D81D89" w14:textId="49D8A898" w:rsidR="001E37C5" w:rsidRPr="001E37C5" w:rsidRDefault="00725977" w:rsidP="00C256D7">
            <w:pPr>
              <w:pStyle w:val="Table-Text"/>
            </w:pPr>
            <w:r w:rsidRPr="00D4309F">
              <w:t>Marine environmental quality</w:t>
            </w:r>
          </w:p>
        </w:tc>
        <w:tc>
          <w:tcPr>
            <w:tcW w:w="402" w:type="pct"/>
            <w:tcBorders>
              <w:top w:val="single" w:sz="4" w:space="0" w:color="000000"/>
              <w:bottom w:val="single" w:sz="4" w:space="0" w:color="000000"/>
            </w:tcBorders>
            <w:vAlign w:val="center"/>
          </w:tcPr>
          <w:p w14:paraId="48F1E00B" w14:textId="77777777" w:rsidR="00725977" w:rsidRPr="00D4309F" w:rsidRDefault="00725977" w:rsidP="004C00ED">
            <w:pPr>
              <w:pStyle w:val="Table-Text"/>
            </w:pPr>
            <w:r w:rsidRPr="00D4309F">
              <w:t>Water quality</w:t>
            </w:r>
          </w:p>
        </w:tc>
        <w:tc>
          <w:tcPr>
            <w:tcW w:w="1077" w:type="pct"/>
            <w:gridSpan w:val="3"/>
            <w:tcBorders>
              <w:top w:val="single" w:sz="4" w:space="0" w:color="000000"/>
              <w:bottom w:val="single" w:sz="4" w:space="0" w:color="000000"/>
            </w:tcBorders>
            <w:vAlign w:val="center"/>
          </w:tcPr>
          <w:p w14:paraId="022CE695" w14:textId="77777777" w:rsidR="00725977" w:rsidRPr="00D4309F" w:rsidRDefault="00725977" w:rsidP="004C00ED">
            <w:pPr>
              <w:pStyle w:val="Table-Bullet"/>
            </w:pPr>
            <w:r w:rsidRPr="00D4309F">
              <w:t>Generation</w:t>
            </w:r>
            <w:r w:rsidRPr="00D4309F">
              <w:rPr>
                <w:spacing w:val="-4"/>
              </w:rPr>
              <w:t xml:space="preserve"> </w:t>
            </w:r>
            <w:r w:rsidRPr="00D4309F">
              <w:t>of</w:t>
            </w:r>
            <w:r w:rsidRPr="00D4309F">
              <w:rPr>
                <w:spacing w:val="-3"/>
              </w:rPr>
              <w:t xml:space="preserve"> </w:t>
            </w:r>
            <w:r w:rsidRPr="00D4309F">
              <w:rPr>
                <w:spacing w:val="-2"/>
              </w:rPr>
              <w:t>turbidity</w:t>
            </w:r>
          </w:p>
        </w:tc>
        <w:tc>
          <w:tcPr>
            <w:tcW w:w="493" w:type="pct"/>
            <w:tcBorders>
              <w:top w:val="single" w:sz="4" w:space="0" w:color="000000"/>
              <w:bottom w:val="single" w:sz="4" w:space="0" w:color="000000"/>
            </w:tcBorders>
            <w:shd w:val="clear" w:color="auto" w:fill="92D050"/>
            <w:vAlign w:val="center"/>
          </w:tcPr>
          <w:p w14:paraId="0F969AC7" w14:textId="77777777" w:rsidR="00725977" w:rsidRPr="00D4309F" w:rsidRDefault="00725977" w:rsidP="004C00ED">
            <w:pPr>
              <w:pStyle w:val="TableParagraph"/>
              <w:ind w:left="206" w:right="206" w:firstLine="1"/>
              <w:rPr>
                <w:b/>
                <w:sz w:val="18"/>
              </w:rPr>
            </w:pPr>
            <w:r w:rsidRPr="00D4309F">
              <w:rPr>
                <w:b/>
                <w:color w:val="211E1F"/>
                <w:sz w:val="18"/>
              </w:rPr>
              <w:t>Low</w:t>
            </w:r>
          </w:p>
        </w:tc>
        <w:tc>
          <w:tcPr>
            <w:tcW w:w="1001" w:type="pct"/>
            <w:gridSpan w:val="4"/>
            <w:tcBorders>
              <w:top w:val="single" w:sz="4" w:space="0" w:color="000000"/>
              <w:bottom w:val="single" w:sz="4" w:space="0" w:color="000000"/>
            </w:tcBorders>
            <w:vAlign w:val="center"/>
          </w:tcPr>
          <w:p w14:paraId="1FBC8410" w14:textId="77777777" w:rsidR="00725977" w:rsidRPr="00D4309F" w:rsidRDefault="00725977" w:rsidP="004C00ED">
            <w:pPr>
              <w:pStyle w:val="Table-Bullet"/>
            </w:pPr>
            <w:r w:rsidRPr="00D4309F">
              <w:t>This</w:t>
            </w:r>
            <w:r w:rsidRPr="00D4309F">
              <w:rPr>
                <w:spacing w:val="-8"/>
              </w:rPr>
              <w:t xml:space="preserve"> </w:t>
            </w:r>
            <w:r w:rsidRPr="00D4309F">
              <w:t>is</w:t>
            </w:r>
            <w:r w:rsidRPr="00D4309F">
              <w:rPr>
                <w:spacing w:val="-8"/>
              </w:rPr>
              <w:t xml:space="preserve"> </w:t>
            </w:r>
            <w:r w:rsidRPr="00D4309F">
              <w:t>a</w:t>
            </w:r>
            <w:r w:rsidRPr="00D4309F">
              <w:rPr>
                <w:spacing w:val="-9"/>
              </w:rPr>
              <w:t xml:space="preserve"> </w:t>
            </w:r>
            <w:r w:rsidRPr="00D4309F">
              <w:t>dynamic,</w:t>
            </w:r>
            <w:r w:rsidRPr="00D4309F">
              <w:rPr>
                <w:spacing w:val="-8"/>
              </w:rPr>
              <w:t xml:space="preserve"> </w:t>
            </w:r>
            <w:r w:rsidRPr="00D4309F">
              <w:t>open</w:t>
            </w:r>
            <w:r w:rsidRPr="00D4309F">
              <w:rPr>
                <w:spacing w:val="-9"/>
              </w:rPr>
              <w:t xml:space="preserve"> </w:t>
            </w:r>
            <w:r w:rsidRPr="00D4309F">
              <w:t>ocean environment, any plume will likely dissipate quickly and data from the dredge area indicate fast sediment settling rates</w:t>
            </w:r>
          </w:p>
        </w:tc>
        <w:tc>
          <w:tcPr>
            <w:tcW w:w="721" w:type="pct"/>
            <w:gridSpan w:val="5"/>
            <w:tcBorders>
              <w:top w:val="single" w:sz="4" w:space="0" w:color="000000"/>
              <w:bottom w:val="single" w:sz="4" w:space="0" w:color="000000"/>
            </w:tcBorders>
            <w:vAlign w:val="center"/>
          </w:tcPr>
          <w:p w14:paraId="1E231409" w14:textId="77777777" w:rsidR="00725977" w:rsidRPr="00D4309F" w:rsidRDefault="00725977" w:rsidP="004C00ED">
            <w:pPr>
              <w:pStyle w:val="Table-Bullet"/>
            </w:pPr>
            <w:r w:rsidRPr="00D4309F">
              <w:t>None</w:t>
            </w:r>
          </w:p>
        </w:tc>
        <w:tc>
          <w:tcPr>
            <w:tcW w:w="787" w:type="pct"/>
            <w:gridSpan w:val="3"/>
            <w:tcBorders>
              <w:top w:val="single" w:sz="4" w:space="0" w:color="000000"/>
              <w:bottom w:val="single" w:sz="4" w:space="0" w:color="000000"/>
            </w:tcBorders>
            <w:vAlign w:val="center"/>
          </w:tcPr>
          <w:p w14:paraId="42C455EA" w14:textId="77777777" w:rsidR="00725977" w:rsidRPr="00D4309F" w:rsidRDefault="00725977" w:rsidP="004C00ED">
            <w:pPr>
              <w:pStyle w:val="Table-Bullet"/>
            </w:pPr>
            <w:r w:rsidRPr="00D4309F">
              <w:t>Turbidity</w:t>
            </w:r>
            <w:r w:rsidRPr="00D4309F">
              <w:rPr>
                <w:spacing w:val="-13"/>
              </w:rPr>
              <w:t xml:space="preserve"> </w:t>
            </w:r>
            <w:r w:rsidRPr="00D4309F">
              <w:t>monitoring during works</w:t>
            </w:r>
          </w:p>
        </w:tc>
      </w:tr>
      <w:tr w:rsidR="00725977" w:rsidRPr="00D4309F" w14:paraId="55C2032B" w14:textId="77777777" w:rsidTr="002471AD">
        <w:trPr>
          <w:cantSplit/>
          <w:trHeight w:val="20"/>
        </w:trPr>
        <w:tc>
          <w:tcPr>
            <w:tcW w:w="519" w:type="pct"/>
            <w:gridSpan w:val="2"/>
            <w:tcBorders>
              <w:top w:val="single" w:sz="4" w:space="0" w:color="000000"/>
              <w:bottom w:val="single" w:sz="4" w:space="0" w:color="000000"/>
            </w:tcBorders>
            <w:vAlign w:val="center"/>
          </w:tcPr>
          <w:p w14:paraId="6410804B" w14:textId="3D5FDB65" w:rsidR="001E37C5" w:rsidRPr="001E37C5" w:rsidRDefault="00725977" w:rsidP="00C256D7">
            <w:pPr>
              <w:pStyle w:val="Table-Text"/>
            </w:pPr>
            <w:r w:rsidRPr="00D4309F">
              <w:t>Marine environmental quality</w:t>
            </w:r>
          </w:p>
        </w:tc>
        <w:tc>
          <w:tcPr>
            <w:tcW w:w="402" w:type="pct"/>
            <w:tcBorders>
              <w:top w:val="single" w:sz="4" w:space="0" w:color="000000"/>
              <w:bottom w:val="single" w:sz="4" w:space="0" w:color="000000"/>
            </w:tcBorders>
            <w:vAlign w:val="center"/>
          </w:tcPr>
          <w:p w14:paraId="6816A552" w14:textId="77777777" w:rsidR="00725977" w:rsidRPr="00D4309F" w:rsidRDefault="00725977" w:rsidP="004C00ED">
            <w:pPr>
              <w:pStyle w:val="Table-Text"/>
            </w:pPr>
            <w:r w:rsidRPr="00D4309F">
              <w:t>Water quality</w:t>
            </w:r>
          </w:p>
        </w:tc>
        <w:tc>
          <w:tcPr>
            <w:tcW w:w="1077" w:type="pct"/>
            <w:gridSpan w:val="3"/>
            <w:tcBorders>
              <w:top w:val="single" w:sz="4" w:space="0" w:color="000000"/>
              <w:bottom w:val="single" w:sz="4" w:space="0" w:color="000000"/>
            </w:tcBorders>
            <w:vAlign w:val="center"/>
          </w:tcPr>
          <w:p w14:paraId="47D12B8E" w14:textId="77777777" w:rsidR="00725977" w:rsidRPr="00D4309F" w:rsidRDefault="00725977" w:rsidP="004C00ED">
            <w:pPr>
              <w:pStyle w:val="Table-Bullet"/>
            </w:pPr>
            <w:r w:rsidRPr="00D4309F">
              <w:t xml:space="preserve">Release of </w:t>
            </w:r>
            <w:r w:rsidRPr="00D4309F">
              <w:rPr>
                <w:spacing w:val="-2"/>
              </w:rPr>
              <w:t>contaminants/hypoxia</w:t>
            </w:r>
          </w:p>
        </w:tc>
        <w:tc>
          <w:tcPr>
            <w:tcW w:w="493" w:type="pct"/>
            <w:tcBorders>
              <w:top w:val="single" w:sz="4" w:space="0" w:color="000000"/>
              <w:bottom w:val="single" w:sz="4" w:space="0" w:color="000000"/>
            </w:tcBorders>
            <w:shd w:val="clear" w:color="auto" w:fill="92D050"/>
            <w:vAlign w:val="center"/>
          </w:tcPr>
          <w:p w14:paraId="3E80CE96" w14:textId="77777777" w:rsidR="00725977" w:rsidRPr="00D4309F" w:rsidRDefault="00725977" w:rsidP="004C00ED">
            <w:pPr>
              <w:pStyle w:val="TableParagraph"/>
              <w:ind w:left="178" w:right="179"/>
              <w:rPr>
                <w:b/>
                <w:sz w:val="18"/>
              </w:rPr>
            </w:pPr>
            <w:r w:rsidRPr="00D4309F">
              <w:rPr>
                <w:b/>
                <w:color w:val="211E1F"/>
                <w:spacing w:val="-5"/>
                <w:sz w:val="18"/>
              </w:rPr>
              <w:t>Low</w:t>
            </w:r>
          </w:p>
        </w:tc>
        <w:tc>
          <w:tcPr>
            <w:tcW w:w="991" w:type="pct"/>
            <w:gridSpan w:val="3"/>
            <w:tcBorders>
              <w:top w:val="single" w:sz="4" w:space="0" w:color="000000"/>
              <w:bottom w:val="single" w:sz="4" w:space="0" w:color="000000"/>
            </w:tcBorders>
            <w:vAlign w:val="center"/>
          </w:tcPr>
          <w:p w14:paraId="6E822ED3" w14:textId="77777777" w:rsidR="00725977" w:rsidRPr="00D4309F" w:rsidRDefault="00725977" w:rsidP="004C00ED">
            <w:pPr>
              <w:pStyle w:val="Table-Bullet"/>
            </w:pPr>
            <w:r w:rsidRPr="00D4309F">
              <w:t>Dredge sediments likely comprise clean marine sand free</w:t>
            </w:r>
            <w:r w:rsidRPr="00D4309F">
              <w:rPr>
                <w:spacing w:val="-11"/>
              </w:rPr>
              <w:t xml:space="preserve"> </w:t>
            </w:r>
            <w:r w:rsidRPr="00D4309F">
              <w:t>of</w:t>
            </w:r>
            <w:r w:rsidRPr="00D4309F">
              <w:rPr>
                <w:spacing w:val="-10"/>
              </w:rPr>
              <w:t xml:space="preserve"> </w:t>
            </w:r>
            <w:r w:rsidRPr="00D4309F">
              <w:t>contaminants</w:t>
            </w:r>
            <w:r w:rsidRPr="00D4309F">
              <w:rPr>
                <w:spacing w:val="-10"/>
              </w:rPr>
              <w:t xml:space="preserve"> </w:t>
            </w:r>
            <w:r w:rsidRPr="00D4309F">
              <w:t>with</w:t>
            </w:r>
            <w:r w:rsidRPr="00D4309F">
              <w:rPr>
                <w:spacing w:val="-11"/>
              </w:rPr>
              <w:t xml:space="preserve"> </w:t>
            </w:r>
            <w:r w:rsidRPr="00D4309F">
              <w:t>low organic matter content</w:t>
            </w:r>
          </w:p>
        </w:tc>
        <w:tc>
          <w:tcPr>
            <w:tcW w:w="725" w:type="pct"/>
            <w:gridSpan w:val="4"/>
            <w:tcBorders>
              <w:top w:val="single" w:sz="4" w:space="0" w:color="000000"/>
              <w:bottom w:val="single" w:sz="4" w:space="0" w:color="000000"/>
            </w:tcBorders>
            <w:vAlign w:val="center"/>
          </w:tcPr>
          <w:p w14:paraId="134B48CB" w14:textId="77777777" w:rsidR="00725977" w:rsidRPr="00D4309F" w:rsidRDefault="00725977" w:rsidP="004C00ED">
            <w:pPr>
              <w:pStyle w:val="Table-Bullet"/>
            </w:pPr>
            <w:r w:rsidRPr="00D4309F">
              <w:t>None</w:t>
            </w:r>
          </w:p>
        </w:tc>
        <w:tc>
          <w:tcPr>
            <w:tcW w:w="793" w:type="pct"/>
            <w:gridSpan w:val="5"/>
            <w:tcBorders>
              <w:top w:val="single" w:sz="4" w:space="0" w:color="000000"/>
              <w:bottom w:val="single" w:sz="4" w:space="0" w:color="000000"/>
            </w:tcBorders>
            <w:vAlign w:val="center"/>
          </w:tcPr>
          <w:p w14:paraId="4A345C34" w14:textId="77777777" w:rsidR="00725977" w:rsidRPr="00D4309F" w:rsidRDefault="00725977" w:rsidP="004C00ED">
            <w:pPr>
              <w:pStyle w:val="Table-Bullet"/>
            </w:pPr>
            <w:r w:rsidRPr="00D4309F">
              <w:t>None</w:t>
            </w:r>
          </w:p>
        </w:tc>
      </w:tr>
      <w:tr w:rsidR="00725977" w:rsidRPr="00D4309F" w14:paraId="2617B0F4" w14:textId="77777777" w:rsidTr="002471AD">
        <w:trPr>
          <w:cantSplit/>
          <w:trHeight w:val="20"/>
        </w:trPr>
        <w:tc>
          <w:tcPr>
            <w:tcW w:w="519" w:type="pct"/>
            <w:gridSpan w:val="2"/>
            <w:tcBorders>
              <w:top w:val="single" w:sz="4" w:space="0" w:color="000000"/>
              <w:bottom w:val="single" w:sz="4" w:space="0" w:color="000000"/>
            </w:tcBorders>
            <w:vAlign w:val="center"/>
          </w:tcPr>
          <w:p w14:paraId="0F005F04" w14:textId="622BFEA1" w:rsidR="001E37C5" w:rsidRPr="001E37C5" w:rsidRDefault="00725977" w:rsidP="00C256D7">
            <w:pPr>
              <w:pStyle w:val="Table-Text"/>
            </w:pPr>
            <w:r w:rsidRPr="00D4309F">
              <w:t>Marine environmental quality</w:t>
            </w:r>
          </w:p>
        </w:tc>
        <w:tc>
          <w:tcPr>
            <w:tcW w:w="402" w:type="pct"/>
            <w:tcBorders>
              <w:top w:val="single" w:sz="4" w:space="0" w:color="000000"/>
              <w:bottom w:val="single" w:sz="4" w:space="0" w:color="000000"/>
            </w:tcBorders>
            <w:vAlign w:val="center"/>
          </w:tcPr>
          <w:p w14:paraId="1C49E07E" w14:textId="77777777" w:rsidR="00725977" w:rsidRPr="00D4309F" w:rsidRDefault="00725977" w:rsidP="004C00ED">
            <w:pPr>
              <w:pStyle w:val="Table-Text"/>
            </w:pPr>
            <w:r w:rsidRPr="00D4309F">
              <w:t>Water quality</w:t>
            </w:r>
          </w:p>
        </w:tc>
        <w:tc>
          <w:tcPr>
            <w:tcW w:w="1077" w:type="pct"/>
            <w:gridSpan w:val="3"/>
            <w:tcBorders>
              <w:top w:val="single" w:sz="4" w:space="0" w:color="000000"/>
              <w:bottom w:val="single" w:sz="4" w:space="0" w:color="000000"/>
            </w:tcBorders>
            <w:vAlign w:val="center"/>
          </w:tcPr>
          <w:p w14:paraId="05A6EE95" w14:textId="77777777" w:rsidR="00725977" w:rsidRPr="00D4309F" w:rsidRDefault="00725977" w:rsidP="004C00ED">
            <w:pPr>
              <w:pStyle w:val="Table-Bullet"/>
            </w:pPr>
            <w:r w:rsidRPr="00D4309F">
              <w:t>Hydrocarbon</w:t>
            </w:r>
            <w:r w:rsidRPr="00D4309F">
              <w:rPr>
                <w:spacing w:val="-5"/>
              </w:rPr>
              <w:t xml:space="preserve"> </w:t>
            </w:r>
            <w:r w:rsidRPr="00D4309F">
              <w:rPr>
                <w:spacing w:val="-2"/>
              </w:rPr>
              <w:t>spills/waste</w:t>
            </w:r>
          </w:p>
        </w:tc>
        <w:tc>
          <w:tcPr>
            <w:tcW w:w="493" w:type="pct"/>
            <w:tcBorders>
              <w:top w:val="single" w:sz="4" w:space="0" w:color="000000"/>
              <w:bottom w:val="single" w:sz="4" w:space="0" w:color="000000"/>
            </w:tcBorders>
            <w:shd w:val="clear" w:color="auto" w:fill="92D050"/>
            <w:vAlign w:val="center"/>
          </w:tcPr>
          <w:p w14:paraId="68D9BE8C" w14:textId="77777777" w:rsidR="00725977" w:rsidRPr="00D4309F" w:rsidRDefault="00725977" w:rsidP="004C00ED">
            <w:pPr>
              <w:pStyle w:val="TableParagraph"/>
              <w:ind w:left="178" w:right="179"/>
              <w:rPr>
                <w:b/>
                <w:sz w:val="18"/>
              </w:rPr>
            </w:pPr>
            <w:r w:rsidRPr="00D4309F">
              <w:rPr>
                <w:b/>
                <w:color w:val="211E1F"/>
                <w:spacing w:val="-5"/>
                <w:sz w:val="18"/>
              </w:rPr>
              <w:t>Low</w:t>
            </w:r>
          </w:p>
        </w:tc>
        <w:tc>
          <w:tcPr>
            <w:tcW w:w="991" w:type="pct"/>
            <w:gridSpan w:val="3"/>
            <w:tcBorders>
              <w:top w:val="single" w:sz="4" w:space="0" w:color="000000"/>
              <w:bottom w:val="single" w:sz="4" w:space="0" w:color="000000"/>
            </w:tcBorders>
            <w:vAlign w:val="center"/>
          </w:tcPr>
          <w:p w14:paraId="046FFEAB" w14:textId="77777777" w:rsidR="00725977" w:rsidRPr="00D4309F" w:rsidRDefault="00725977" w:rsidP="004C00ED">
            <w:pPr>
              <w:pStyle w:val="Table-Bullet"/>
            </w:pPr>
            <w:r w:rsidRPr="00D4309F">
              <w:t>Compliance with standard procedures</w:t>
            </w:r>
            <w:r w:rsidRPr="00D4309F">
              <w:rPr>
                <w:spacing w:val="-13"/>
              </w:rPr>
              <w:t xml:space="preserve"> </w:t>
            </w:r>
            <w:r w:rsidRPr="00D4309F">
              <w:t>will</w:t>
            </w:r>
            <w:r w:rsidRPr="00D4309F">
              <w:rPr>
                <w:spacing w:val="-12"/>
              </w:rPr>
              <w:t xml:space="preserve"> </w:t>
            </w:r>
            <w:r w:rsidRPr="00D4309F">
              <w:t>minimise</w:t>
            </w:r>
            <w:r w:rsidRPr="00D4309F">
              <w:rPr>
                <w:spacing w:val="-13"/>
              </w:rPr>
              <w:t xml:space="preserve"> </w:t>
            </w:r>
            <w:r w:rsidRPr="00D4309F">
              <w:t xml:space="preserve">this </w:t>
            </w:r>
            <w:r w:rsidRPr="00D4309F">
              <w:rPr>
                <w:spacing w:val="-4"/>
              </w:rPr>
              <w:t>risk</w:t>
            </w:r>
          </w:p>
        </w:tc>
        <w:tc>
          <w:tcPr>
            <w:tcW w:w="725" w:type="pct"/>
            <w:gridSpan w:val="4"/>
            <w:tcBorders>
              <w:top w:val="single" w:sz="4" w:space="0" w:color="000000"/>
              <w:bottom w:val="single" w:sz="4" w:space="0" w:color="000000"/>
            </w:tcBorders>
            <w:vAlign w:val="center"/>
          </w:tcPr>
          <w:p w14:paraId="54B0F5EF" w14:textId="77777777" w:rsidR="00725977" w:rsidRPr="00D4309F" w:rsidRDefault="00725977" w:rsidP="004C00ED">
            <w:pPr>
              <w:pStyle w:val="Table-Bullet"/>
            </w:pPr>
            <w:r w:rsidRPr="00D4309F">
              <w:t>None</w:t>
            </w:r>
          </w:p>
        </w:tc>
        <w:tc>
          <w:tcPr>
            <w:tcW w:w="793" w:type="pct"/>
            <w:gridSpan w:val="5"/>
            <w:tcBorders>
              <w:top w:val="single" w:sz="4" w:space="0" w:color="000000"/>
              <w:bottom w:val="single" w:sz="4" w:space="0" w:color="000000"/>
            </w:tcBorders>
            <w:vAlign w:val="center"/>
          </w:tcPr>
          <w:p w14:paraId="23D7BA6D" w14:textId="77777777" w:rsidR="00725977" w:rsidRPr="00D4309F" w:rsidRDefault="00725977" w:rsidP="004C00ED">
            <w:pPr>
              <w:pStyle w:val="Table-Bullet"/>
            </w:pPr>
            <w:r w:rsidRPr="00D4309F">
              <w:t>Standard</w:t>
            </w:r>
            <w:r w:rsidRPr="00D4309F">
              <w:rPr>
                <w:spacing w:val="-15"/>
              </w:rPr>
              <w:t xml:space="preserve"> </w:t>
            </w:r>
            <w:r w:rsidRPr="00D4309F">
              <w:t>oil</w:t>
            </w:r>
            <w:r w:rsidRPr="00D4309F">
              <w:rPr>
                <w:spacing w:val="-12"/>
              </w:rPr>
              <w:t xml:space="preserve"> </w:t>
            </w:r>
            <w:r w:rsidRPr="00D4309F">
              <w:t xml:space="preserve">spill and waste </w:t>
            </w:r>
            <w:r w:rsidRPr="00D4309F">
              <w:rPr>
                <w:spacing w:val="-2"/>
              </w:rPr>
              <w:t>procedures</w:t>
            </w:r>
          </w:p>
        </w:tc>
      </w:tr>
      <w:tr w:rsidR="00725977" w:rsidRPr="00D4309F" w14:paraId="13D5065F" w14:textId="77777777" w:rsidTr="002471AD">
        <w:trPr>
          <w:cantSplit/>
          <w:trHeight w:val="20"/>
        </w:trPr>
        <w:tc>
          <w:tcPr>
            <w:tcW w:w="519" w:type="pct"/>
            <w:gridSpan w:val="2"/>
            <w:tcBorders>
              <w:top w:val="single" w:sz="4" w:space="0" w:color="000000"/>
              <w:bottom w:val="single" w:sz="4" w:space="0" w:color="000000"/>
            </w:tcBorders>
            <w:vAlign w:val="center"/>
          </w:tcPr>
          <w:p w14:paraId="06581DDF" w14:textId="2C48DC80" w:rsidR="001E37C5" w:rsidRPr="001E37C5" w:rsidRDefault="00725977" w:rsidP="00C256D7">
            <w:pPr>
              <w:pStyle w:val="Table-Text"/>
            </w:pPr>
            <w:r w:rsidRPr="00D4309F">
              <w:t>Marine environmental quality</w:t>
            </w:r>
          </w:p>
        </w:tc>
        <w:tc>
          <w:tcPr>
            <w:tcW w:w="402" w:type="pct"/>
            <w:tcBorders>
              <w:top w:val="single" w:sz="4" w:space="0" w:color="000000"/>
              <w:bottom w:val="single" w:sz="4" w:space="0" w:color="000000"/>
            </w:tcBorders>
            <w:vAlign w:val="center"/>
          </w:tcPr>
          <w:p w14:paraId="7C5715D3" w14:textId="77777777" w:rsidR="00725977" w:rsidRPr="00D4309F" w:rsidRDefault="00725977" w:rsidP="004C00ED">
            <w:pPr>
              <w:pStyle w:val="Table-Text"/>
            </w:pPr>
            <w:r w:rsidRPr="00D4309F">
              <w:t>Water quality</w:t>
            </w:r>
          </w:p>
        </w:tc>
        <w:tc>
          <w:tcPr>
            <w:tcW w:w="1077" w:type="pct"/>
            <w:gridSpan w:val="3"/>
            <w:tcBorders>
              <w:top w:val="single" w:sz="4" w:space="0" w:color="000000"/>
              <w:bottom w:val="single" w:sz="4" w:space="0" w:color="000000"/>
            </w:tcBorders>
            <w:vAlign w:val="center"/>
          </w:tcPr>
          <w:p w14:paraId="7BBFB7BF" w14:textId="77777777" w:rsidR="00725977" w:rsidRPr="00D4309F" w:rsidRDefault="00725977" w:rsidP="004C00ED">
            <w:pPr>
              <w:pStyle w:val="Table-Bullet"/>
            </w:pPr>
            <w:r w:rsidRPr="00D4309F">
              <w:t>Introduced</w:t>
            </w:r>
            <w:r w:rsidRPr="00D4309F">
              <w:rPr>
                <w:spacing w:val="-4"/>
              </w:rPr>
              <w:t xml:space="preserve"> </w:t>
            </w:r>
            <w:r w:rsidRPr="00D4309F">
              <w:t>marine</w:t>
            </w:r>
            <w:r w:rsidRPr="00D4309F">
              <w:rPr>
                <w:spacing w:val="-4"/>
              </w:rPr>
              <w:t xml:space="preserve"> </w:t>
            </w:r>
            <w:r w:rsidRPr="00D4309F">
              <w:rPr>
                <w:spacing w:val="-2"/>
              </w:rPr>
              <w:t>species</w:t>
            </w:r>
          </w:p>
        </w:tc>
        <w:tc>
          <w:tcPr>
            <w:tcW w:w="493" w:type="pct"/>
            <w:tcBorders>
              <w:top w:val="single" w:sz="4" w:space="0" w:color="000000"/>
              <w:bottom w:val="single" w:sz="4" w:space="0" w:color="000000"/>
            </w:tcBorders>
            <w:shd w:val="clear" w:color="auto" w:fill="92D050"/>
            <w:vAlign w:val="center"/>
          </w:tcPr>
          <w:p w14:paraId="1511D897" w14:textId="77777777" w:rsidR="00725977" w:rsidRPr="00D4309F" w:rsidRDefault="00725977" w:rsidP="004C00ED">
            <w:pPr>
              <w:pStyle w:val="TableParagraph"/>
              <w:ind w:left="178" w:right="179"/>
              <w:rPr>
                <w:b/>
                <w:sz w:val="18"/>
              </w:rPr>
            </w:pPr>
            <w:r w:rsidRPr="00D4309F">
              <w:rPr>
                <w:b/>
                <w:color w:val="211E1F"/>
                <w:spacing w:val="-5"/>
                <w:sz w:val="18"/>
              </w:rPr>
              <w:t>Low</w:t>
            </w:r>
          </w:p>
        </w:tc>
        <w:tc>
          <w:tcPr>
            <w:tcW w:w="991" w:type="pct"/>
            <w:gridSpan w:val="3"/>
            <w:tcBorders>
              <w:top w:val="single" w:sz="4" w:space="0" w:color="000000"/>
              <w:bottom w:val="single" w:sz="4" w:space="0" w:color="000000"/>
            </w:tcBorders>
            <w:vAlign w:val="center"/>
          </w:tcPr>
          <w:p w14:paraId="146EAFBA" w14:textId="77777777" w:rsidR="00725977" w:rsidRPr="00D4309F" w:rsidRDefault="00725977" w:rsidP="004C00ED">
            <w:pPr>
              <w:pStyle w:val="Table-Bullet"/>
            </w:pPr>
            <w:r w:rsidRPr="00D4309F">
              <w:t>Compliance with standard procedures</w:t>
            </w:r>
            <w:r w:rsidRPr="00D4309F">
              <w:rPr>
                <w:spacing w:val="-13"/>
              </w:rPr>
              <w:t xml:space="preserve"> </w:t>
            </w:r>
            <w:r w:rsidRPr="00D4309F">
              <w:t>will</w:t>
            </w:r>
            <w:r w:rsidRPr="00D4309F">
              <w:rPr>
                <w:spacing w:val="-12"/>
              </w:rPr>
              <w:t xml:space="preserve"> </w:t>
            </w:r>
            <w:r w:rsidRPr="00D4309F">
              <w:t>minimise</w:t>
            </w:r>
            <w:r w:rsidRPr="00D4309F">
              <w:rPr>
                <w:spacing w:val="-13"/>
              </w:rPr>
              <w:t xml:space="preserve"> </w:t>
            </w:r>
            <w:r w:rsidRPr="00D4309F">
              <w:t xml:space="preserve">this </w:t>
            </w:r>
            <w:r w:rsidRPr="00D4309F">
              <w:rPr>
                <w:spacing w:val="-4"/>
              </w:rPr>
              <w:t>risk</w:t>
            </w:r>
          </w:p>
        </w:tc>
        <w:tc>
          <w:tcPr>
            <w:tcW w:w="725" w:type="pct"/>
            <w:gridSpan w:val="4"/>
            <w:tcBorders>
              <w:top w:val="single" w:sz="4" w:space="0" w:color="000000"/>
              <w:bottom w:val="single" w:sz="4" w:space="0" w:color="000000"/>
            </w:tcBorders>
            <w:vAlign w:val="center"/>
          </w:tcPr>
          <w:p w14:paraId="0F3DAC56" w14:textId="77777777" w:rsidR="00725977" w:rsidRPr="00D4309F" w:rsidRDefault="00725977" w:rsidP="004C00ED">
            <w:pPr>
              <w:pStyle w:val="Table-Bullet"/>
            </w:pPr>
            <w:r w:rsidRPr="00D4309F">
              <w:t>None</w:t>
            </w:r>
          </w:p>
        </w:tc>
        <w:tc>
          <w:tcPr>
            <w:tcW w:w="793" w:type="pct"/>
            <w:gridSpan w:val="5"/>
            <w:tcBorders>
              <w:top w:val="single" w:sz="4" w:space="0" w:color="000000"/>
              <w:bottom w:val="single" w:sz="4" w:space="0" w:color="000000"/>
            </w:tcBorders>
            <w:vAlign w:val="center"/>
          </w:tcPr>
          <w:p w14:paraId="4C091770" w14:textId="77777777" w:rsidR="00725977" w:rsidRPr="00D4309F" w:rsidRDefault="00725977" w:rsidP="004C00ED">
            <w:pPr>
              <w:pStyle w:val="Table-Bullet"/>
            </w:pPr>
            <w:r w:rsidRPr="00D4309F">
              <w:t>Compliance with standard</w:t>
            </w:r>
            <w:r w:rsidRPr="00D4309F">
              <w:rPr>
                <w:spacing w:val="-15"/>
              </w:rPr>
              <w:t xml:space="preserve"> </w:t>
            </w:r>
            <w:r w:rsidRPr="00D4309F">
              <w:t>state</w:t>
            </w:r>
            <w:r w:rsidRPr="00D4309F">
              <w:rPr>
                <w:spacing w:val="-12"/>
              </w:rPr>
              <w:t xml:space="preserve"> </w:t>
            </w:r>
            <w:r w:rsidRPr="00D4309F">
              <w:t xml:space="preserve">and </w:t>
            </w:r>
            <w:r w:rsidRPr="00D4309F">
              <w:rPr>
                <w:spacing w:val="-2"/>
              </w:rPr>
              <w:t xml:space="preserve">commonwealth procedures </w:t>
            </w:r>
            <w:r w:rsidRPr="00D4309F">
              <w:t>regarding IMS</w:t>
            </w:r>
          </w:p>
        </w:tc>
      </w:tr>
      <w:tr w:rsidR="00725977" w:rsidRPr="00D4309F" w14:paraId="3958E914" w14:textId="77777777" w:rsidTr="002471AD">
        <w:trPr>
          <w:gridAfter w:val="1"/>
          <w:wAfter w:w="7" w:type="pct"/>
          <w:cantSplit/>
          <w:trHeight w:val="20"/>
        </w:trPr>
        <w:tc>
          <w:tcPr>
            <w:tcW w:w="506" w:type="pct"/>
            <w:tcBorders>
              <w:top w:val="single" w:sz="4" w:space="0" w:color="000000"/>
              <w:bottom w:val="single" w:sz="4" w:space="0" w:color="000000"/>
            </w:tcBorders>
            <w:vAlign w:val="center"/>
          </w:tcPr>
          <w:p w14:paraId="479F9826" w14:textId="77777777" w:rsidR="00725977" w:rsidRPr="00D4309F" w:rsidRDefault="00725977" w:rsidP="004C00ED">
            <w:pPr>
              <w:pStyle w:val="Table-Text"/>
            </w:pPr>
            <w:r w:rsidRPr="00D4309F">
              <w:lastRenderedPageBreak/>
              <w:t>Marine</w:t>
            </w:r>
            <w:r w:rsidRPr="00D4309F">
              <w:rPr>
                <w:spacing w:val="-4"/>
              </w:rPr>
              <w:t xml:space="preserve"> </w:t>
            </w:r>
            <w:r w:rsidRPr="00D4309F">
              <w:t>fauna</w:t>
            </w:r>
          </w:p>
        </w:tc>
        <w:tc>
          <w:tcPr>
            <w:tcW w:w="416" w:type="pct"/>
            <w:gridSpan w:val="2"/>
            <w:tcBorders>
              <w:top w:val="single" w:sz="4" w:space="0" w:color="000000"/>
              <w:bottom w:val="single" w:sz="4" w:space="0" w:color="000000"/>
            </w:tcBorders>
            <w:vAlign w:val="center"/>
          </w:tcPr>
          <w:p w14:paraId="26C48532" w14:textId="77777777" w:rsidR="00725977" w:rsidRPr="00D4309F" w:rsidRDefault="00725977" w:rsidP="004C00ED">
            <w:pPr>
              <w:pStyle w:val="Table-Text"/>
            </w:pPr>
            <w:r w:rsidRPr="00D4309F">
              <w:t>Turtles</w:t>
            </w:r>
          </w:p>
        </w:tc>
        <w:tc>
          <w:tcPr>
            <w:tcW w:w="1077" w:type="pct"/>
            <w:gridSpan w:val="3"/>
            <w:tcBorders>
              <w:top w:val="single" w:sz="4" w:space="0" w:color="000000"/>
              <w:bottom w:val="single" w:sz="4" w:space="0" w:color="000000"/>
            </w:tcBorders>
            <w:vAlign w:val="center"/>
          </w:tcPr>
          <w:p w14:paraId="0A374136" w14:textId="77777777" w:rsidR="00725977" w:rsidRPr="00D4309F" w:rsidRDefault="00725977" w:rsidP="004C00ED">
            <w:pPr>
              <w:pStyle w:val="Table-Bullet"/>
            </w:pPr>
            <w:r w:rsidRPr="00D4309F">
              <w:t>Behavioural</w:t>
            </w:r>
            <w:r w:rsidRPr="00D4309F">
              <w:rPr>
                <w:spacing w:val="-15"/>
              </w:rPr>
              <w:t xml:space="preserve"> </w:t>
            </w:r>
            <w:r w:rsidRPr="00D4309F">
              <w:t>response</w:t>
            </w:r>
            <w:r w:rsidRPr="00D4309F">
              <w:rPr>
                <w:spacing w:val="-12"/>
              </w:rPr>
              <w:t xml:space="preserve"> </w:t>
            </w:r>
            <w:r w:rsidRPr="00D4309F">
              <w:t>and interruption of nesting behaviour due to light</w:t>
            </w:r>
          </w:p>
          <w:p w14:paraId="04CD60C1" w14:textId="77777777" w:rsidR="00725977" w:rsidRPr="00D4309F" w:rsidRDefault="00725977" w:rsidP="004C00ED">
            <w:pPr>
              <w:pStyle w:val="Table-Bullet"/>
            </w:pPr>
            <w:r w:rsidRPr="00D4309F">
              <w:t>Mortality/injury</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 xml:space="preserve">vessel collision, entanglement, </w:t>
            </w:r>
            <w:r w:rsidRPr="00D4309F">
              <w:rPr>
                <w:spacing w:val="-2"/>
              </w:rPr>
              <w:t>entrainment</w:t>
            </w:r>
          </w:p>
          <w:p w14:paraId="56057F10" w14:textId="77777777" w:rsidR="00725977" w:rsidRPr="00D4309F" w:rsidRDefault="00725977" w:rsidP="004C00ED">
            <w:pPr>
              <w:pStyle w:val="Table-Bullet"/>
            </w:pPr>
            <w:r w:rsidRPr="00D4309F">
              <w:t>Change of beach profile at Mooloolaba</w:t>
            </w:r>
            <w:r w:rsidRPr="00D4309F">
              <w:rPr>
                <w:spacing w:val="-10"/>
              </w:rPr>
              <w:t xml:space="preserve"> </w:t>
            </w:r>
            <w:r w:rsidRPr="00D4309F">
              <w:t>Main</w:t>
            </w:r>
            <w:r w:rsidRPr="00D4309F">
              <w:rPr>
                <w:spacing w:val="-10"/>
              </w:rPr>
              <w:t xml:space="preserve"> </w:t>
            </w:r>
            <w:r w:rsidRPr="00D4309F">
              <w:t>Beach</w:t>
            </w:r>
            <w:r w:rsidRPr="00D4309F">
              <w:rPr>
                <w:spacing w:val="-10"/>
              </w:rPr>
              <w:t xml:space="preserve"> </w:t>
            </w:r>
            <w:r w:rsidRPr="00D4309F">
              <w:t>due</w:t>
            </w:r>
            <w:r w:rsidRPr="00D4309F">
              <w:rPr>
                <w:spacing w:val="-8"/>
              </w:rPr>
              <w:t xml:space="preserve"> </w:t>
            </w:r>
            <w:r w:rsidRPr="00D4309F">
              <w:t>to sediment disposal offshore of beach impacting nesting</w:t>
            </w:r>
          </w:p>
          <w:p w14:paraId="2BE8766F" w14:textId="77777777" w:rsidR="00725977" w:rsidRPr="00D4309F" w:rsidRDefault="00725977" w:rsidP="004C00ED">
            <w:pPr>
              <w:pStyle w:val="Table-Bullet"/>
            </w:pPr>
            <w:r w:rsidRPr="00D4309F">
              <w:t>Mortality/injury</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onshore plant and vehicle movement</w:t>
            </w:r>
          </w:p>
        </w:tc>
        <w:tc>
          <w:tcPr>
            <w:tcW w:w="493" w:type="pct"/>
            <w:tcBorders>
              <w:top w:val="single" w:sz="4" w:space="0" w:color="000000"/>
              <w:bottom w:val="single" w:sz="4" w:space="0" w:color="000000"/>
            </w:tcBorders>
            <w:shd w:val="clear" w:color="auto" w:fill="FFFF00"/>
            <w:vAlign w:val="center"/>
          </w:tcPr>
          <w:p w14:paraId="43D02AD6" w14:textId="77777777" w:rsidR="00725977" w:rsidRPr="00D4309F" w:rsidRDefault="00725977" w:rsidP="004C00ED">
            <w:pPr>
              <w:pStyle w:val="TableParagraph"/>
              <w:ind w:left="323"/>
              <w:rPr>
                <w:b/>
                <w:sz w:val="18"/>
              </w:rPr>
            </w:pPr>
            <w:r w:rsidRPr="00D4309F">
              <w:rPr>
                <w:b/>
                <w:color w:val="211E1F"/>
                <w:spacing w:val="-2"/>
                <w:sz w:val="18"/>
              </w:rPr>
              <w:t>Moderate</w:t>
            </w:r>
          </w:p>
        </w:tc>
        <w:tc>
          <w:tcPr>
            <w:tcW w:w="1010" w:type="pct"/>
            <w:gridSpan w:val="5"/>
            <w:tcBorders>
              <w:top w:val="single" w:sz="4" w:space="0" w:color="000000"/>
              <w:bottom w:val="single" w:sz="4" w:space="0" w:color="000000"/>
            </w:tcBorders>
            <w:vAlign w:val="center"/>
          </w:tcPr>
          <w:p w14:paraId="311CAFC7" w14:textId="77777777" w:rsidR="00725977" w:rsidRPr="00D4309F" w:rsidRDefault="00725977" w:rsidP="004C00ED">
            <w:pPr>
              <w:pStyle w:val="Table-Bullet"/>
            </w:pPr>
            <w:r w:rsidRPr="00D4309F">
              <w:t>Several</w:t>
            </w:r>
            <w:r w:rsidRPr="00D4309F">
              <w:rPr>
                <w:spacing w:val="-10"/>
              </w:rPr>
              <w:t xml:space="preserve"> </w:t>
            </w:r>
            <w:r w:rsidRPr="00D4309F">
              <w:t>turtle</w:t>
            </w:r>
            <w:r w:rsidRPr="00D4309F">
              <w:rPr>
                <w:spacing w:val="-10"/>
              </w:rPr>
              <w:t xml:space="preserve"> </w:t>
            </w:r>
            <w:r w:rsidRPr="00D4309F">
              <w:t>species</w:t>
            </w:r>
            <w:r w:rsidRPr="00D4309F">
              <w:rPr>
                <w:spacing w:val="-10"/>
              </w:rPr>
              <w:t xml:space="preserve"> </w:t>
            </w:r>
            <w:r w:rsidRPr="00D4309F">
              <w:t>listed</w:t>
            </w:r>
            <w:r w:rsidRPr="00D4309F">
              <w:rPr>
                <w:spacing w:val="-10"/>
              </w:rPr>
              <w:t xml:space="preserve"> </w:t>
            </w:r>
            <w:r w:rsidRPr="00D4309F">
              <w:t xml:space="preserve">as endangered or vulnerable under the EPBC were identified in the project area with Green (Vulnerable) and Loggerhead (Endangered) turtles known to nest on Buddina and Mooloolaba beaches. Therefore, potential impacts need to be managed </w:t>
            </w:r>
            <w:r w:rsidRPr="00D4309F">
              <w:rPr>
                <w:spacing w:val="-2"/>
              </w:rPr>
              <w:t>accordingly.</w:t>
            </w:r>
          </w:p>
        </w:tc>
        <w:tc>
          <w:tcPr>
            <w:tcW w:w="712" w:type="pct"/>
            <w:gridSpan w:val="4"/>
            <w:tcBorders>
              <w:top w:val="single" w:sz="4" w:space="0" w:color="000000"/>
              <w:bottom w:val="single" w:sz="4" w:space="0" w:color="000000"/>
            </w:tcBorders>
            <w:vAlign w:val="center"/>
          </w:tcPr>
          <w:p w14:paraId="6C7AD2C3" w14:textId="77777777" w:rsidR="00725977" w:rsidRPr="00D4309F" w:rsidRDefault="00725977" w:rsidP="004C00ED">
            <w:pPr>
              <w:pStyle w:val="Table-Bullet"/>
            </w:pPr>
            <w:r w:rsidRPr="00D4309F">
              <w:t>Assessment of shoreline</w:t>
            </w:r>
            <w:r w:rsidRPr="00D4309F">
              <w:rPr>
                <w:spacing w:val="-13"/>
              </w:rPr>
              <w:t xml:space="preserve"> </w:t>
            </w:r>
            <w:r w:rsidRPr="00D4309F">
              <w:t>response to works</w:t>
            </w:r>
          </w:p>
          <w:p w14:paraId="3EF47E52" w14:textId="77777777" w:rsidR="00725977" w:rsidRPr="00D4309F" w:rsidRDefault="00725977" w:rsidP="004C00ED">
            <w:pPr>
              <w:pStyle w:val="Table-Bullet"/>
            </w:pPr>
            <w:r w:rsidRPr="00D4309F">
              <w:t>Light</w:t>
            </w:r>
            <w:r w:rsidRPr="00D4309F">
              <w:rPr>
                <w:spacing w:val="-13"/>
              </w:rPr>
              <w:t xml:space="preserve"> </w:t>
            </w:r>
            <w:r w:rsidRPr="00D4309F">
              <w:t xml:space="preserve">assessment if night works are </w:t>
            </w:r>
            <w:r w:rsidRPr="00D4309F">
              <w:rPr>
                <w:spacing w:val="-2"/>
              </w:rPr>
              <w:t>proposed</w:t>
            </w:r>
          </w:p>
        </w:tc>
        <w:tc>
          <w:tcPr>
            <w:tcW w:w="780" w:type="pct"/>
            <w:gridSpan w:val="2"/>
            <w:tcBorders>
              <w:top w:val="single" w:sz="4" w:space="0" w:color="000000"/>
              <w:bottom w:val="single" w:sz="4" w:space="0" w:color="000000"/>
            </w:tcBorders>
            <w:vAlign w:val="center"/>
          </w:tcPr>
          <w:p w14:paraId="449EF6D1" w14:textId="77777777" w:rsidR="00725977" w:rsidRPr="00D4309F" w:rsidRDefault="00725977" w:rsidP="004C00ED">
            <w:pPr>
              <w:pStyle w:val="Table-Bullet"/>
            </w:pPr>
            <w:r w:rsidRPr="00D4309F">
              <w:t>Timing</w:t>
            </w:r>
            <w:r w:rsidRPr="00D4309F">
              <w:rPr>
                <w:spacing w:val="-15"/>
              </w:rPr>
              <w:t xml:space="preserve"> </w:t>
            </w:r>
            <w:r w:rsidRPr="00D4309F">
              <w:t>of</w:t>
            </w:r>
            <w:r w:rsidRPr="00D4309F">
              <w:rPr>
                <w:spacing w:val="-12"/>
              </w:rPr>
              <w:t xml:space="preserve"> </w:t>
            </w:r>
            <w:r w:rsidRPr="00D4309F">
              <w:t>works outside</w:t>
            </w:r>
            <w:r w:rsidRPr="00D4309F">
              <w:rPr>
                <w:spacing w:val="-5"/>
              </w:rPr>
              <w:t xml:space="preserve"> </w:t>
            </w:r>
            <w:r w:rsidRPr="00D4309F">
              <w:t>of</w:t>
            </w:r>
            <w:r w:rsidRPr="00D4309F">
              <w:rPr>
                <w:spacing w:val="-4"/>
              </w:rPr>
              <w:t xml:space="preserve"> </w:t>
            </w:r>
            <w:r w:rsidRPr="00D4309F">
              <w:t>turtle nesting periods</w:t>
            </w:r>
          </w:p>
          <w:p w14:paraId="216F8067" w14:textId="77777777" w:rsidR="00725977" w:rsidRPr="00D4309F" w:rsidRDefault="00725977" w:rsidP="004C00ED">
            <w:pPr>
              <w:pStyle w:val="Table-Bullet"/>
            </w:pPr>
            <w:r w:rsidRPr="00D4309F">
              <w:t>Limitation of works to</w:t>
            </w:r>
            <w:r w:rsidRPr="00D4309F">
              <w:rPr>
                <w:spacing w:val="-13"/>
              </w:rPr>
              <w:t xml:space="preserve"> </w:t>
            </w:r>
            <w:r w:rsidRPr="00D4309F">
              <w:t>daylight</w:t>
            </w:r>
            <w:r w:rsidRPr="00D4309F">
              <w:rPr>
                <w:spacing w:val="-12"/>
              </w:rPr>
              <w:t xml:space="preserve"> </w:t>
            </w:r>
            <w:r w:rsidRPr="00D4309F">
              <w:t>hours</w:t>
            </w:r>
            <w:r w:rsidRPr="00D4309F">
              <w:rPr>
                <w:spacing w:val="-13"/>
              </w:rPr>
              <w:t xml:space="preserve"> </w:t>
            </w:r>
            <w:r w:rsidRPr="00D4309F">
              <w:t xml:space="preserve">or if necessary, standard light </w:t>
            </w:r>
            <w:r w:rsidRPr="00D4309F">
              <w:rPr>
                <w:spacing w:val="-2"/>
              </w:rPr>
              <w:t>mitigation procedures</w:t>
            </w:r>
          </w:p>
          <w:p w14:paraId="4D9DA60A" w14:textId="77777777" w:rsidR="00725977" w:rsidRPr="00D4309F" w:rsidRDefault="00725977" w:rsidP="004C00ED">
            <w:pPr>
              <w:pStyle w:val="Table-Bullet"/>
            </w:pPr>
            <w:r w:rsidRPr="00D4309F">
              <w:t>Design to minimise disturbance of turtle habitat</w:t>
            </w:r>
            <w:r w:rsidRPr="00D4309F">
              <w:rPr>
                <w:spacing w:val="-15"/>
              </w:rPr>
              <w:t xml:space="preserve"> </w:t>
            </w:r>
            <w:r w:rsidRPr="00D4309F">
              <w:t>and</w:t>
            </w:r>
            <w:r w:rsidRPr="00D4309F">
              <w:rPr>
                <w:spacing w:val="-12"/>
              </w:rPr>
              <w:t xml:space="preserve"> </w:t>
            </w:r>
            <w:r w:rsidRPr="00D4309F">
              <w:t>maintain the beach profile</w:t>
            </w:r>
          </w:p>
          <w:p w14:paraId="33F7B76F" w14:textId="77777777" w:rsidR="00725977" w:rsidRPr="00D4309F" w:rsidRDefault="00725977" w:rsidP="004C00ED">
            <w:pPr>
              <w:pStyle w:val="Table-Bullet"/>
            </w:pPr>
            <w:r w:rsidRPr="00D4309F">
              <w:t>Standard</w:t>
            </w:r>
            <w:r w:rsidRPr="00D4309F">
              <w:rPr>
                <w:spacing w:val="-13"/>
              </w:rPr>
              <w:t xml:space="preserve"> </w:t>
            </w:r>
            <w:r w:rsidRPr="00D4309F">
              <w:t>marine fauna mitigation practices e.g. marine fauna observers and exclusion zones</w:t>
            </w:r>
          </w:p>
          <w:p w14:paraId="4144E315" w14:textId="77777777" w:rsidR="00725977" w:rsidRPr="00D4309F" w:rsidRDefault="00725977" w:rsidP="004C00ED">
            <w:pPr>
              <w:pStyle w:val="Table-Bullet"/>
            </w:pPr>
            <w:r w:rsidRPr="00D4309F">
              <w:t>Turtle</w:t>
            </w:r>
            <w:r w:rsidRPr="00D4309F">
              <w:rPr>
                <w:spacing w:val="-15"/>
              </w:rPr>
              <w:t xml:space="preserve"> </w:t>
            </w:r>
            <w:r w:rsidRPr="00D4309F">
              <w:t>guards</w:t>
            </w:r>
            <w:r w:rsidRPr="00D4309F">
              <w:rPr>
                <w:spacing w:val="-12"/>
              </w:rPr>
              <w:t xml:space="preserve"> </w:t>
            </w:r>
            <w:r w:rsidRPr="00D4309F">
              <w:t xml:space="preserve">on </w:t>
            </w:r>
            <w:r w:rsidRPr="00D4309F">
              <w:rPr>
                <w:spacing w:val="-2"/>
              </w:rPr>
              <w:t>dredger</w:t>
            </w:r>
          </w:p>
          <w:p w14:paraId="0AC87A98" w14:textId="77777777" w:rsidR="00725977" w:rsidRPr="00D4309F" w:rsidRDefault="00725977" w:rsidP="004C00ED">
            <w:pPr>
              <w:pStyle w:val="Table-Bullet"/>
            </w:pPr>
            <w:r w:rsidRPr="00D4309F">
              <w:rPr>
                <w:spacing w:val="-2"/>
              </w:rPr>
              <w:t xml:space="preserve">Appropriate </w:t>
            </w:r>
            <w:r w:rsidRPr="00D4309F">
              <w:t>management for onshore works e.g. onshore vehicles and</w:t>
            </w:r>
            <w:r w:rsidRPr="00D4309F">
              <w:rPr>
                <w:spacing w:val="-13"/>
              </w:rPr>
              <w:t xml:space="preserve"> </w:t>
            </w:r>
            <w:r w:rsidRPr="00D4309F">
              <w:t>plant</w:t>
            </w:r>
            <w:r w:rsidRPr="00D4309F">
              <w:rPr>
                <w:spacing w:val="-12"/>
              </w:rPr>
              <w:t xml:space="preserve"> </w:t>
            </w:r>
            <w:r w:rsidRPr="00D4309F">
              <w:t>to</w:t>
            </w:r>
            <w:r w:rsidRPr="00D4309F">
              <w:rPr>
                <w:spacing w:val="-13"/>
              </w:rPr>
              <w:t xml:space="preserve"> </w:t>
            </w:r>
            <w:r w:rsidRPr="00D4309F">
              <w:t>operate in</w:t>
            </w:r>
            <w:r w:rsidRPr="00D4309F">
              <w:rPr>
                <w:spacing w:val="-15"/>
              </w:rPr>
              <w:t xml:space="preserve"> </w:t>
            </w:r>
            <w:r w:rsidRPr="00D4309F">
              <w:t>designated</w:t>
            </w:r>
            <w:r w:rsidRPr="00D4309F">
              <w:rPr>
                <w:spacing w:val="-12"/>
              </w:rPr>
              <w:t xml:space="preserve"> </w:t>
            </w:r>
            <w:r w:rsidRPr="00D4309F">
              <w:t>tracks and areas</w:t>
            </w:r>
          </w:p>
          <w:p w14:paraId="4813C427" w14:textId="77777777" w:rsidR="00725977" w:rsidRPr="00D4309F" w:rsidRDefault="00725977" w:rsidP="004C00ED">
            <w:pPr>
              <w:pStyle w:val="Table-Bullet"/>
            </w:pPr>
            <w:r w:rsidRPr="00D4309F">
              <w:t>Beach</w:t>
            </w:r>
            <w:r w:rsidRPr="00D4309F">
              <w:rPr>
                <w:spacing w:val="-13"/>
              </w:rPr>
              <w:t xml:space="preserve"> </w:t>
            </w:r>
            <w:r w:rsidRPr="00D4309F">
              <w:t xml:space="preserve">profile </w:t>
            </w:r>
            <w:r w:rsidRPr="00D4309F">
              <w:rPr>
                <w:spacing w:val="-2"/>
              </w:rPr>
              <w:t>monitoring</w:t>
            </w:r>
          </w:p>
        </w:tc>
      </w:tr>
      <w:tr w:rsidR="00725977" w:rsidRPr="00D4309F" w14:paraId="50350045" w14:textId="77777777" w:rsidTr="002471AD">
        <w:trPr>
          <w:cantSplit/>
          <w:trHeight w:val="20"/>
        </w:trPr>
        <w:tc>
          <w:tcPr>
            <w:tcW w:w="506" w:type="pct"/>
            <w:tcBorders>
              <w:top w:val="single" w:sz="4" w:space="0" w:color="000000"/>
              <w:bottom w:val="single" w:sz="4" w:space="0" w:color="000000"/>
            </w:tcBorders>
            <w:vAlign w:val="center"/>
          </w:tcPr>
          <w:p w14:paraId="55B85B6B" w14:textId="77777777" w:rsidR="00725977" w:rsidRPr="00D4309F" w:rsidRDefault="00725977" w:rsidP="004C00ED">
            <w:pPr>
              <w:pStyle w:val="Table-Text"/>
            </w:pPr>
            <w:r w:rsidRPr="00D4309F">
              <w:lastRenderedPageBreak/>
              <w:t>Marine</w:t>
            </w:r>
            <w:r w:rsidRPr="00D4309F">
              <w:rPr>
                <w:spacing w:val="-4"/>
              </w:rPr>
              <w:t xml:space="preserve"> </w:t>
            </w:r>
            <w:r w:rsidRPr="00D4309F">
              <w:t>fauna</w:t>
            </w:r>
          </w:p>
        </w:tc>
        <w:tc>
          <w:tcPr>
            <w:tcW w:w="416" w:type="pct"/>
            <w:gridSpan w:val="2"/>
            <w:tcBorders>
              <w:top w:val="single" w:sz="4" w:space="0" w:color="000000"/>
              <w:bottom w:val="single" w:sz="4" w:space="0" w:color="000000"/>
            </w:tcBorders>
            <w:vAlign w:val="center"/>
          </w:tcPr>
          <w:p w14:paraId="06E55FE3" w14:textId="77777777" w:rsidR="00725977" w:rsidRPr="00D4309F" w:rsidRDefault="00725977" w:rsidP="004C00ED">
            <w:pPr>
              <w:pStyle w:val="Table-Text"/>
            </w:pPr>
            <w:r w:rsidRPr="00D4309F">
              <w:t>Marine mammals</w:t>
            </w:r>
          </w:p>
        </w:tc>
        <w:tc>
          <w:tcPr>
            <w:tcW w:w="1077" w:type="pct"/>
            <w:gridSpan w:val="3"/>
            <w:tcBorders>
              <w:top w:val="single" w:sz="4" w:space="0" w:color="000000"/>
              <w:bottom w:val="single" w:sz="4" w:space="0" w:color="000000"/>
            </w:tcBorders>
            <w:vAlign w:val="center"/>
          </w:tcPr>
          <w:p w14:paraId="703198CD" w14:textId="77777777" w:rsidR="00725977" w:rsidRPr="00D4309F" w:rsidRDefault="00725977" w:rsidP="004C00ED">
            <w:pPr>
              <w:pStyle w:val="Table-Bullet"/>
            </w:pPr>
            <w:r w:rsidRPr="00D4309F">
              <w:t>Mortality/injury/</w:t>
            </w:r>
            <w:r w:rsidRPr="00D4309F">
              <w:rPr>
                <w:spacing w:val="-13"/>
              </w:rPr>
              <w:t xml:space="preserve"> </w:t>
            </w:r>
            <w:r w:rsidRPr="00D4309F">
              <w:t>behavioural response due to noise</w:t>
            </w:r>
          </w:p>
          <w:p w14:paraId="39BFE271" w14:textId="77777777" w:rsidR="00725977" w:rsidRPr="00D4309F" w:rsidRDefault="00725977" w:rsidP="004C00ED">
            <w:pPr>
              <w:pStyle w:val="Table-Bullet"/>
            </w:pPr>
            <w:r w:rsidRPr="00D4309F">
              <w:t>Vessel</w:t>
            </w:r>
            <w:r w:rsidRPr="00D4309F">
              <w:rPr>
                <w:spacing w:val="-15"/>
              </w:rPr>
              <w:t xml:space="preserve"> </w:t>
            </w:r>
            <w:r w:rsidRPr="00D4309F">
              <w:t>collision,</w:t>
            </w:r>
            <w:r w:rsidRPr="00D4309F">
              <w:rPr>
                <w:spacing w:val="-12"/>
              </w:rPr>
              <w:t xml:space="preserve"> </w:t>
            </w:r>
            <w:r w:rsidRPr="00D4309F">
              <w:t xml:space="preserve">entanglement, </w:t>
            </w:r>
            <w:r w:rsidRPr="00D4309F">
              <w:rPr>
                <w:spacing w:val="-2"/>
              </w:rPr>
              <w:t>entrainment</w:t>
            </w:r>
          </w:p>
        </w:tc>
        <w:tc>
          <w:tcPr>
            <w:tcW w:w="493" w:type="pct"/>
            <w:tcBorders>
              <w:top w:val="single" w:sz="4" w:space="0" w:color="000000"/>
              <w:bottom w:val="single" w:sz="4" w:space="0" w:color="000000"/>
            </w:tcBorders>
            <w:shd w:val="clear" w:color="auto" w:fill="FFFF00"/>
            <w:vAlign w:val="center"/>
          </w:tcPr>
          <w:p w14:paraId="30AE9F5A" w14:textId="77777777" w:rsidR="00725977" w:rsidRPr="00D4309F" w:rsidRDefault="00725977" w:rsidP="004C00ED">
            <w:pPr>
              <w:pStyle w:val="TableParagraph"/>
              <w:ind w:left="178" w:right="176"/>
              <w:rPr>
                <w:b/>
                <w:sz w:val="18"/>
              </w:rPr>
            </w:pPr>
            <w:r w:rsidRPr="00D4309F">
              <w:rPr>
                <w:b/>
                <w:color w:val="211E1F"/>
                <w:spacing w:val="-2"/>
                <w:sz w:val="18"/>
              </w:rPr>
              <w:t>Moderate</w:t>
            </w:r>
          </w:p>
        </w:tc>
        <w:tc>
          <w:tcPr>
            <w:tcW w:w="988" w:type="pct"/>
            <w:gridSpan w:val="2"/>
            <w:tcBorders>
              <w:top w:val="single" w:sz="4" w:space="0" w:color="000000"/>
              <w:bottom w:val="single" w:sz="4" w:space="0" w:color="000000"/>
            </w:tcBorders>
            <w:vAlign w:val="center"/>
          </w:tcPr>
          <w:p w14:paraId="36241617" w14:textId="77777777" w:rsidR="00725977" w:rsidRPr="00D4309F" w:rsidRDefault="00725977" w:rsidP="004C00ED">
            <w:pPr>
              <w:pStyle w:val="Table-Bullet"/>
            </w:pPr>
            <w:r w:rsidRPr="00D4309F">
              <w:t>Humpback</w:t>
            </w:r>
            <w:r w:rsidRPr="00D4309F">
              <w:rPr>
                <w:spacing w:val="-10"/>
              </w:rPr>
              <w:t xml:space="preserve"> </w:t>
            </w:r>
            <w:r w:rsidRPr="00D4309F">
              <w:t>whales</w:t>
            </w:r>
            <w:r w:rsidRPr="00D4309F">
              <w:rPr>
                <w:spacing w:val="-10"/>
              </w:rPr>
              <w:t xml:space="preserve"> </w:t>
            </w:r>
            <w:r w:rsidRPr="00D4309F">
              <w:t>may</w:t>
            </w:r>
            <w:r w:rsidRPr="00D4309F">
              <w:rPr>
                <w:spacing w:val="-10"/>
              </w:rPr>
              <w:t xml:space="preserve"> </w:t>
            </w:r>
            <w:r w:rsidRPr="00D4309F">
              <w:t>use</w:t>
            </w:r>
            <w:r w:rsidRPr="00D4309F">
              <w:rPr>
                <w:spacing w:val="-11"/>
              </w:rPr>
              <w:t xml:space="preserve"> </w:t>
            </w:r>
            <w:r w:rsidRPr="00D4309F">
              <w:t>the area for resting with calves during their migration period.</w:t>
            </w:r>
          </w:p>
          <w:p w14:paraId="21703464" w14:textId="77777777" w:rsidR="00725977" w:rsidRPr="00D4309F" w:rsidRDefault="00725977" w:rsidP="004C00ED">
            <w:pPr>
              <w:pStyle w:val="Table-Bullet"/>
            </w:pPr>
            <w:r w:rsidRPr="00D4309F">
              <w:t>While</w:t>
            </w:r>
            <w:r w:rsidRPr="00D4309F">
              <w:rPr>
                <w:spacing w:val="-6"/>
              </w:rPr>
              <w:t xml:space="preserve"> </w:t>
            </w:r>
            <w:r w:rsidRPr="00D4309F">
              <w:t>species</w:t>
            </w:r>
            <w:r w:rsidRPr="00D4309F">
              <w:rPr>
                <w:spacing w:val="-4"/>
              </w:rPr>
              <w:t xml:space="preserve"> </w:t>
            </w:r>
            <w:r w:rsidRPr="00D4309F">
              <w:t>of</w:t>
            </w:r>
            <w:r w:rsidRPr="00D4309F">
              <w:rPr>
                <w:spacing w:val="-5"/>
              </w:rPr>
              <w:t xml:space="preserve"> </w:t>
            </w:r>
            <w:r w:rsidRPr="00D4309F">
              <w:t>dolphins</w:t>
            </w:r>
            <w:r w:rsidRPr="00D4309F">
              <w:rPr>
                <w:spacing w:val="-5"/>
              </w:rPr>
              <w:t xml:space="preserve"> </w:t>
            </w:r>
            <w:r w:rsidRPr="00D4309F">
              <w:t>listed as</w:t>
            </w:r>
            <w:r w:rsidRPr="00D4309F">
              <w:rPr>
                <w:spacing w:val="-8"/>
              </w:rPr>
              <w:t xml:space="preserve"> </w:t>
            </w:r>
            <w:r w:rsidRPr="00D4309F">
              <w:t>vulnerable</w:t>
            </w:r>
            <w:r w:rsidRPr="00D4309F">
              <w:rPr>
                <w:spacing w:val="-7"/>
              </w:rPr>
              <w:t xml:space="preserve"> </w:t>
            </w:r>
            <w:r w:rsidRPr="00D4309F">
              <w:t>may</w:t>
            </w:r>
            <w:r w:rsidRPr="00D4309F">
              <w:rPr>
                <w:spacing w:val="-8"/>
              </w:rPr>
              <w:t xml:space="preserve"> </w:t>
            </w:r>
            <w:r w:rsidRPr="00D4309F">
              <w:t>also</w:t>
            </w:r>
            <w:r w:rsidRPr="00D4309F">
              <w:rPr>
                <w:spacing w:val="-9"/>
              </w:rPr>
              <w:t xml:space="preserve"> </w:t>
            </w:r>
            <w:r w:rsidRPr="00D4309F">
              <w:t>occur</w:t>
            </w:r>
            <w:r w:rsidRPr="00D4309F">
              <w:rPr>
                <w:spacing w:val="-7"/>
              </w:rPr>
              <w:t xml:space="preserve"> </w:t>
            </w:r>
            <w:r w:rsidRPr="00D4309F">
              <w:t>in the area, they tend to move away from noise sources and are at lower risk of injury.</w:t>
            </w:r>
          </w:p>
          <w:p w14:paraId="6896B778" w14:textId="77777777" w:rsidR="00725977" w:rsidRPr="00D4309F" w:rsidRDefault="00725977" w:rsidP="004C00ED">
            <w:pPr>
              <w:pStyle w:val="Table-Bullet"/>
            </w:pPr>
            <w:r w:rsidRPr="00D4309F">
              <w:t>While species of dolphin have breeding</w:t>
            </w:r>
            <w:r w:rsidRPr="00D4309F">
              <w:rPr>
                <w:spacing w:val="-7"/>
              </w:rPr>
              <w:t xml:space="preserve"> </w:t>
            </w:r>
            <w:r w:rsidRPr="00D4309F">
              <w:t>BIA</w:t>
            </w:r>
            <w:r w:rsidRPr="00D4309F">
              <w:rPr>
                <w:spacing w:val="-6"/>
              </w:rPr>
              <w:t xml:space="preserve"> </w:t>
            </w:r>
            <w:r w:rsidRPr="00D4309F">
              <w:t>in</w:t>
            </w:r>
            <w:r w:rsidRPr="00D4309F">
              <w:rPr>
                <w:spacing w:val="-7"/>
              </w:rPr>
              <w:t xml:space="preserve"> </w:t>
            </w:r>
            <w:r w:rsidRPr="00D4309F">
              <w:t>area,</w:t>
            </w:r>
            <w:r w:rsidRPr="00D4309F">
              <w:rPr>
                <w:spacing w:val="-6"/>
              </w:rPr>
              <w:t xml:space="preserve"> </w:t>
            </w:r>
            <w:r w:rsidRPr="00D4309F">
              <w:t>there</w:t>
            </w:r>
            <w:r w:rsidRPr="00D4309F">
              <w:rPr>
                <w:spacing w:val="-6"/>
              </w:rPr>
              <w:t xml:space="preserve"> </w:t>
            </w:r>
            <w:r w:rsidRPr="00D4309F">
              <w:t>is</w:t>
            </w:r>
            <w:r w:rsidRPr="00D4309F">
              <w:rPr>
                <w:spacing w:val="-6"/>
              </w:rPr>
              <w:t xml:space="preserve"> </w:t>
            </w:r>
            <w:r w:rsidRPr="00D4309F">
              <w:t>a lower risk to</w:t>
            </w:r>
            <w:r w:rsidRPr="00D4309F">
              <w:rPr>
                <w:spacing w:val="-1"/>
              </w:rPr>
              <w:t xml:space="preserve"> </w:t>
            </w:r>
            <w:r w:rsidRPr="00D4309F">
              <w:t xml:space="preserve">breeding because of the wide distribution of the </w:t>
            </w:r>
            <w:r w:rsidRPr="00D4309F">
              <w:rPr>
                <w:spacing w:val="-4"/>
              </w:rPr>
              <w:t>BIA</w:t>
            </w:r>
          </w:p>
        </w:tc>
        <w:tc>
          <w:tcPr>
            <w:tcW w:w="729" w:type="pct"/>
            <w:gridSpan w:val="5"/>
            <w:tcBorders>
              <w:top w:val="single" w:sz="4" w:space="0" w:color="000000"/>
              <w:bottom w:val="single" w:sz="4" w:space="0" w:color="000000"/>
            </w:tcBorders>
            <w:vAlign w:val="center"/>
          </w:tcPr>
          <w:p w14:paraId="78CCDAFA" w14:textId="77777777" w:rsidR="00725977" w:rsidRPr="00D4309F" w:rsidRDefault="00725977" w:rsidP="004C00ED">
            <w:pPr>
              <w:pStyle w:val="Table-Bullet"/>
            </w:pPr>
            <w:r w:rsidRPr="00D4309F">
              <w:t>Underwater</w:t>
            </w:r>
            <w:r w:rsidRPr="00D4309F">
              <w:rPr>
                <w:spacing w:val="-13"/>
              </w:rPr>
              <w:t xml:space="preserve"> </w:t>
            </w:r>
            <w:r w:rsidRPr="00D4309F">
              <w:t xml:space="preserve">noise </w:t>
            </w:r>
            <w:r w:rsidRPr="00D4309F">
              <w:rPr>
                <w:spacing w:val="-2"/>
              </w:rPr>
              <w:t>assessment</w:t>
            </w:r>
          </w:p>
        </w:tc>
        <w:tc>
          <w:tcPr>
            <w:tcW w:w="793" w:type="pct"/>
            <w:gridSpan w:val="5"/>
            <w:tcBorders>
              <w:top w:val="single" w:sz="4" w:space="0" w:color="000000"/>
              <w:bottom w:val="single" w:sz="4" w:space="0" w:color="000000"/>
            </w:tcBorders>
            <w:vAlign w:val="center"/>
          </w:tcPr>
          <w:p w14:paraId="29F1C55C" w14:textId="77777777" w:rsidR="00725977" w:rsidRPr="00D4309F" w:rsidRDefault="00725977" w:rsidP="004C00ED">
            <w:pPr>
              <w:pStyle w:val="Table-Bullet"/>
            </w:pPr>
            <w:r w:rsidRPr="00D4309F">
              <w:t>Timing of works outside of whale migration periods</w:t>
            </w:r>
          </w:p>
          <w:p w14:paraId="3B2D341D" w14:textId="77777777" w:rsidR="00725977" w:rsidRPr="00D4309F" w:rsidRDefault="00725977" w:rsidP="004C00ED">
            <w:pPr>
              <w:pStyle w:val="Table-Bullet"/>
            </w:pPr>
            <w:r w:rsidRPr="00D4309F">
              <w:t>Standard</w:t>
            </w:r>
            <w:r w:rsidRPr="00D4309F">
              <w:rPr>
                <w:spacing w:val="-13"/>
              </w:rPr>
              <w:t xml:space="preserve"> </w:t>
            </w:r>
            <w:r w:rsidRPr="00D4309F">
              <w:t>marine fauna mitigation practices e.g. marine fauna observers and exclusion zones</w:t>
            </w:r>
          </w:p>
        </w:tc>
      </w:tr>
      <w:tr w:rsidR="00725977" w:rsidRPr="00D4309F" w14:paraId="4CE767A1" w14:textId="77777777" w:rsidTr="002471AD">
        <w:trPr>
          <w:cantSplit/>
          <w:trHeight w:val="20"/>
        </w:trPr>
        <w:tc>
          <w:tcPr>
            <w:tcW w:w="506" w:type="pct"/>
            <w:tcBorders>
              <w:top w:val="single" w:sz="4" w:space="0" w:color="000000"/>
              <w:bottom w:val="single" w:sz="4" w:space="0" w:color="000000"/>
            </w:tcBorders>
            <w:vAlign w:val="center"/>
          </w:tcPr>
          <w:p w14:paraId="1C5838B3" w14:textId="77777777" w:rsidR="00725977" w:rsidRPr="00D4309F" w:rsidRDefault="00725977" w:rsidP="004C00ED">
            <w:pPr>
              <w:pStyle w:val="Table-Text"/>
            </w:pPr>
            <w:r w:rsidRPr="00D4309F">
              <w:t>Marine</w:t>
            </w:r>
            <w:r w:rsidRPr="00D4309F">
              <w:rPr>
                <w:spacing w:val="-4"/>
              </w:rPr>
              <w:t xml:space="preserve"> </w:t>
            </w:r>
            <w:r w:rsidRPr="00D4309F">
              <w:t>fauna</w:t>
            </w:r>
          </w:p>
        </w:tc>
        <w:tc>
          <w:tcPr>
            <w:tcW w:w="416" w:type="pct"/>
            <w:gridSpan w:val="2"/>
            <w:tcBorders>
              <w:top w:val="single" w:sz="4" w:space="0" w:color="000000"/>
              <w:bottom w:val="single" w:sz="4" w:space="0" w:color="000000"/>
            </w:tcBorders>
            <w:vAlign w:val="center"/>
          </w:tcPr>
          <w:p w14:paraId="7F83F880" w14:textId="77777777" w:rsidR="00725977" w:rsidRPr="00D4309F" w:rsidRDefault="00725977" w:rsidP="004C00ED">
            <w:pPr>
              <w:pStyle w:val="Table-Text"/>
            </w:pPr>
            <w:r w:rsidRPr="00D4309F">
              <w:t>Roosting Seabirds</w:t>
            </w:r>
          </w:p>
        </w:tc>
        <w:tc>
          <w:tcPr>
            <w:tcW w:w="1077" w:type="pct"/>
            <w:gridSpan w:val="3"/>
            <w:tcBorders>
              <w:top w:val="single" w:sz="4" w:space="0" w:color="000000"/>
              <w:bottom w:val="single" w:sz="4" w:space="0" w:color="000000"/>
            </w:tcBorders>
            <w:vAlign w:val="center"/>
          </w:tcPr>
          <w:p w14:paraId="04E13FAA" w14:textId="77777777" w:rsidR="00725977" w:rsidRPr="00D4309F" w:rsidRDefault="00725977" w:rsidP="004C00ED">
            <w:pPr>
              <w:pStyle w:val="Table-Bullet"/>
            </w:pPr>
            <w:r w:rsidRPr="00D4309F">
              <w:t>Mortality/injury/</w:t>
            </w:r>
            <w:r w:rsidRPr="00D4309F">
              <w:rPr>
                <w:spacing w:val="-13"/>
              </w:rPr>
              <w:t xml:space="preserve"> </w:t>
            </w:r>
            <w:r w:rsidRPr="00D4309F">
              <w:t>behavioural response due to noise</w:t>
            </w:r>
          </w:p>
          <w:p w14:paraId="5054054B" w14:textId="77777777" w:rsidR="00725977" w:rsidRPr="00D4309F" w:rsidRDefault="00725977" w:rsidP="004C00ED">
            <w:pPr>
              <w:pStyle w:val="Table-Bullet"/>
            </w:pPr>
            <w:r w:rsidRPr="00D4309F">
              <w:t>Behavioural response and interruption</w:t>
            </w:r>
            <w:r w:rsidRPr="00D4309F">
              <w:rPr>
                <w:spacing w:val="-13"/>
              </w:rPr>
              <w:t xml:space="preserve"> </w:t>
            </w:r>
            <w:r w:rsidRPr="00D4309F">
              <w:t>of</w:t>
            </w:r>
            <w:r w:rsidRPr="00D4309F">
              <w:rPr>
                <w:spacing w:val="-12"/>
              </w:rPr>
              <w:t xml:space="preserve"> </w:t>
            </w:r>
            <w:r w:rsidRPr="00D4309F">
              <w:t>nesting</w:t>
            </w:r>
            <w:r w:rsidRPr="00D4309F">
              <w:rPr>
                <w:spacing w:val="-13"/>
              </w:rPr>
              <w:t xml:space="preserve"> </w:t>
            </w:r>
            <w:r w:rsidRPr="00D4309F">
              <w:t>behaviour due to light</w:t>
            </w:r>
          </w:p>
          <w:p w14:paraId="425BF25A" w14:textId="77777777" w:rsidR="00725977" w:rsidRPr="00D4309F" w:rsidRDefault="00725977" w:rsidP="004C00ED">
            <w:pPr>
              <w:pStyle w:val="Table-Bullet"/>
            </w:pPr>
            <w:r w:rsidRPr="00D4309F">
              <w:rPr>
                <w:spacing w:val="-2"/>
              </w:rPr>
              <w:t xml:space="preserve">Mortality/injury/behavioural </w:t>
            </w:r>
            <w:r w:rsidRPr="00D4309F">
              <w:t>response</w:t>
            </w:r>
            <w:r w:rsidRPr="00D4309F">
              <w:rPr>
                <w:spacing w:val="-13"/>
              </w:rPr>
              <w:t xml:space="preserve"> </w:t>
            </w:r>
            <w:r w:rsidRPr="00D4309F">
              <w:t>due</w:t>
            </w:r>
            <w:r w:rsidRPr="00D4309F">
              <w:rPr>
                <w:spacing w:val="-12"/>
              </w:rPr>
              <w:t xml:space="preserve"> </w:t>
            </w:r>
            <w:r w:rsidRPr="00D4309F">
              <w:t>physical</w:t>
            </w:r>
            <w:r w:rsidRPr="00D4309F">
              <w:rPr>
                <w:spacing w:val="-13"/>
              </w:rPr>
              <w:t xml:space="preserve"> </w:t>
            </w:r>
            <w:r w:rsidRPr="00D4309F">
              <w:t>presence</w:t>
            </w:r>
          </w:p>
        </w:tc>
        <w:tc>
          <w:tcPr>
            <w:tcW w:w="493" w:type="pct"/>
            <w:tcBorders>
              <w:top w:val="single" w:sz="4" w:space="0" w:color="000000"/>
              <w:bottom w:val="single" w:sz="4" w:space="0" w:color="000000"/>
            </w:tcBorders>
            <w:shd w:val="clear" w:color="auto" w:fill="FFFF00"/>
            <w:vAlign w:val="center"/>
          </w:tcPr>
          <w:p w14:paraId="5C6D33F2" w14:textId="77777777" w:rsidR="00725977" w:rsidRPr="00D4309F" w:rsidRDefault="00725977" w:rsidP="004C00ED">
            <w:pPr>
              <w:pStyle w:val="TableParagraph"/>
              <w:ind w:left="322"/>
              <w:rPr>
                <w:b/>
                <w:sz w:val="18"/>
              </w:rPr>
            </w:pPr>
            <w:r w:rsidRPr="00D4309F">
              <w:rPr>
                <w:b/>
                <w:color w:val="211E1F"/>
                <w:spacing w:val="-2"/>
                <w:sz w:val="18"/>
              </w:rPr>
              <w:t>Moderate</w:t>
            </w:r>
          </w:p>
        </w:tc>
        <w:tc>
          <w:tcPr>
            <w:tcW w:w="988" w:type="pct"/>
            <w:gridSpan w:val="2"/>
            <w:tcBorders>
              <w:top w:val="single" w:sz="4" w:space="0" w:color="000000"/>
              <w:bottom w:val="single" w:sz="4" w:space="0" w:color="000000"/>
            </w:tcBorders>
            <w:vAlign w:val="center"/>
          </w:tcPr>
          <w:p w14:paraId="646EAF2B" w14:textId="77777777" w:rsidR="00725977" w:rsidRPr="00D4309F" w:rsidRDefault="00725977" w:rsidP="004C00ED">
            <w:pPr>
              <w:pStyle w:val="Table-Bullet"/>
            </w:pPr>
            <w:r w:rsidRPr="00D4309F">
              <w:t>Several</w:t>
            </w:r>
            <w:r w:rsidRPr="00D4309F">
              <w:rPr>
                <w:spacing w:val="-10"/>
              </w:rPr>
              <w:t xml:space="preserve"> </w:t>
            </w:r>
            <w:r w:rsidRPr="00D4309F">
              <w:t>species</w:t>
            </w:r>
            <w:r w:rsidRPr="00D4309F">
              <w:rPr>
                <w:spacing w:val="-10"/>
              </w:rPr>
              <w:t xml:space="preserve"> </w:t>
            </w:r>
            <w:r w:rsidRPr="00D4309F">
              <w:t>of</w:t>
            </w:r>
            <w:r w:rsidRPr="00D4309F">
              <w:rPr>
                <w:spacing w:val="-10"/>
              </w:rPr>
              <w:t xml:space="preserve"> </w:t>
            </w:r>
            <w:r w:rsidRPr="00D4309F">
              <w:t>migratory seabirds</w:t>
            </w:r>
            <w:r w:rsidRPr="00D4309F">
              <w:rPr>
                <w:spacing w:val="-13"/>
              </w:rPr>
              <w:t xml:space="preserve"> </w:t>
            </w:r>
            <w:r w:rsidRPr="00D4309F">
              <w:t>aggregate</w:t>
            </w:r>
            <w:r w:rsidRPr="00D4309F">
              <w:rPr>
                <w:spacing w:val="-12"/>
              </w:rPr>
              <w:t xml:space="preserve"> </w:t>
            </w:r>
            <w:r w:rsidRPr="00D4309F">
              <w:t>and</w:t>
            </w:r>
            <w:r w:rsidRPr="00D4309F">
              <w:rPr>
                <w:spacing w:val="-13"/>
              </w:rPr>
              <w:t xml:space="preserve"> </w:t>
            </w:r>
            <w:r w:rsidRPr="00D4309F">
              <w:t>may nest at Point Cartwright and could be impacted</w:t>
            </w:r>
          </w:p>
        </w:tc>
        <w:tc>
          <w:tcPr>
            <w:tcW w:w="729" w:type="pct"/>
            <w:gridSpan w:val="5"/>
            <w:tcBorders>
              <w:top w:val="single" w:sz="4" w:space="0" w:color="000000"/>
              <w:bottom w:val="single" w:sz="4" w:space="0" w:color="000000"/>
            </w:tcBorders>
            <w:vAlign w:val="center"/>
          </w:tcPr>
          <w:p w14:paraId="0542DFD0" w14:textId="77777777" w:rsidR="00725977" w:rsidRPr="00D4309F" w:rsidRDefault="00725977" w:rsidP="004C00ED">
            <w:pPr>
              <w:pStyle w:val="Table-Bullet"/>
            </w:pPr>
            <w:r w:rsidRPr="00D4309F">
              <w:t>Noise</w:t>
            </w:r>
            <w:r w:rsidRPr="00D4309F">
              <w:rPr>
                <w:spacing w:val="-2"/>
              </w:rPr>
              <w:t xml:space="preserve"> assessment</w:t>
            </w:r>
          </w:p>
          <w:p w14:paraId="7190E435" w14:textId="77777777" w:rsidR="00725977" w:rsidRPr="00D4309F" w:rsidRDefault="00725977" w:rsidP="004C00ED">
            <w:pPr>
              <w:pStyle w:val="Table-Bullet"/>
            </w:pPr>
            <w:r w:rsidRPr="00D4309F">
              <w:t>Light</w:t>
            </w:r>
            <w:r w:rsidRPr="00D4309F">
              <w:rPr>
                <w:spacing w:val="-15"/>
              </w:rPr>
              <w:t xml:space="preserve"> </w:t>
            </w:r>
            <w:r w:rsidRPr="00D4309F">
              <w:t>assessment</w:t>
            </w:r>
            <w:r w:rsidRPr="00D4309F">
              <w:rPr>
                <w:spacing w:val="-12"/>
              </w:rPr>
              <w:t xml:space="preserve"> </w:t>
            </w:r>
            <w:r w:rsidRPr="00D4309F">
              <w:t xml:space="preserve">if night works are </w:t>
            </w:r>
            <w:r w:rsidRPr="00D4309F">
              <w:rPr>
                <w:spacing w:val="-2"/>
              </w:rPr>
              <w:t>proposed</w:t>
            </w:r>
          </w:p>
        </w:tc>
        <w:tc>
          <w:tcPr>
            <w:tcW w:w="793" w:type="pct"/>
            <w:gridSpan w:val="5"/>
            <w:tcBorders>
              <w:top w:val="single" w:sz="4" w:space="0" w:color="000000"/>
              <w:bottom w:val="single" w:sz="4" w:space="0" w:color="000000"/>
            </w:tcBorders>
            <w:vAlign w:val="center"/>
          </w:tcPr>
          <w:p w14:paraId="5E8FC78D" w14:textId="77777777" w:rsidR="00725977" w:rsidRPr="00D4309F" w:rsidRDefault="00725977" w:rsidP="004C00ED">
            <w:pPr>
              <w:pStyle w:val="Table-Bullet"/>
            </w:pPr>
            <w:r w:rsidRPr="00D4309F">
              <w:t xml:space="preserve">Timing of works outside of peak </w:t>
            </w:r>
            <w:r w:rsidRPr="00D4309F">
              <w:rPr>
                <w:spacing w:val="-2"/>
              </w:rPr>
              <w:t xml:space="preserve">aggregation </w:t>
            </w:r>
            <w:r w:rsidRPr="00D4309F">
              <w:t>season</w:t>
            </w:r>
            <w:r w:rsidRPr="00D4309F">
              <w:rPr>
                <w:spacing w:val="-13"/>
              </w:rPr>
              <w:t xml:space="preserve"> </w:t>
            </w:r>
            <w:r w:rsidRPr="00D4309F">
              <w:t xml:space="preserve">(summer) for migratory </w:t>
            </w:r>
            <w:r w:rsidRPr="00D4309F">
              <w:rPr>
                <w:spacing w:val="-2"/>
              </w:rPr>
              <w:t>terns</w:t>
            </w:r>
          </w:p>
        </w:tc>
      </w:tr>
      <w:tr w:rsidR="00725977" w:rsidRPr="00D4309F" w14:paraId="6BFADF8B" w14:textId="77777777" w:rsidTr="002471AD">
        <w:trPr>
          <w:gridAfter w:val="1"/>
          <w:wAfter w:w="7" w:type="pct"/>
          <w:cantSplit/>
          <w:trHeight w:val="20"/>
        </w:trPr>
        <w:tc>
          <w:tcPr>
            <w:tcW w:w="506" w:type="pct"/>
            <w:tcBorders>
              <w:top w:val="single" w:sz="4" w:space="0" w:color="000000"/>
              <w:bottom w:val="single" w:sz="4" w:space="0" w:color="000000"/>
            </w:tcBorders>
            <w:vAlign w:val="center"/>
          </w:tcPr>
          <w:p w14:paraId="647F6B8B" w14:textId="77777777" w:rsidR="00725977" w:rsidRPr="00D4309F" w:rsidRDefault="00725977" w:rsidP="004C00ED">
            <w:pPr>
              <w:pStyle w:val="Table-Text"/>
            </w:pPr>
            <w:r w:rsidRPr="00D4309F">
              <w:t>Marine</w:t>
            </w:r>
            <w:r w:rsidRPr="00D4309F">
              <w:rPr>
                <w:spacing w:val="-4"/>
              </w:rPr>
              <w:t xml:space="preserve"> </w:t>
            </w:r>
            <w:r w:rsidRPr="00D4309F">
              <w:t>fauna</w:t>
            </w:r>
          </w:p>
        </w:tc>
        <w:tc>
          <w:tcPr>
            <w:tcW w:w="416" w:type="pct"/>
            <w:gridSpan w:val="2"/>
            <w:tcBorders>
              <w:top w:val="single" w:sz="4" w:space="0" w:color="000000"/>
              <w:bottom w:val="single" w:sz="4" w:space="0" w:color="000000"/>
            </w:tcBorders>
            <w:vAlign w:val="center"/>
          </w:tcPr>
          <w:p w14:paraId="074DAE75" w14:textId="77777777" w:rsidR="00725977" w:rsidRPr="00D4309F" w:rsidRDefault="00725977" w:rsidP="004C00ED">
            <w:pPr>
              <w:pStyle w:val="Table-Text"/>
            </w:pPr>
            <w:r w:rsidRPr="00D4309F">
              <w:t>Foraging Seabirds</w:t>
            </w:r>
          </w:p>
        </w:tc>
        <w:tc>
          <w:tcPr>
            <w:tcW w:w="1077" w:type="pct"/>
            <w:gridSpan w:val="3"/>
            <w:tcBorders>
              <w:top w:val="single" w:sz="4" w:space="0" w:color="000000"/>
              <w:bottom w:val="single" w:sz="4" w:space="0" w:color="000000"/>
            </w:tcBorders>
            <w:vAlign w:val="center"/>
          </w:tcPr>
          <w:p w14:paraId="4A2A74C0" w14:textId="77777777" w:rsidR="00725977" w:rsidRPr="00D4309F" w:rsidRDefault="00725977" w:rsidP="004C00ED">
            <w:pPr>
              <w:pStyle w:val="Table-Bullet"/>
            </w:pPr>
            <w:r w:rsidRPr="00D4309F">
              <w:t>Generation</w:t>
            </w:r>
            <w:r w:rsidRPr="00D4309F">
              <w:rPr>
                <w:spacing w:val="-13"/>
              </w:rPr>
              <w:t xml:space="preserve"> </w:t>
            </w:r>
            <w:r w:rsidRPr="00D4309F">
              <w:t>of</w:t>
            </w:r>
            <w:r w:rsidRPr="00D4309F">
              <w:rPr>
                <w:spacing w:val="-12"/>
              </w:rPr>
              <w:t xml:space="preserve"> </w:t>
            </w:r>
            <w:r w:rsidRPr="00D4309F">
              <w:t>turbidity</w:t>
            </w:r>
            <w:r w:rsidRPr="00D4309F">
              <w:rPr>
                <w:spacing w:val="-13"/>
              </w:rPr>
              <w:t xml:space="preserve"> </w:t>
            </w:r>
            <w:r w:rsidRPr="00D4309F">
              <w:t>impacting foraging activities</w:t>
            </w:r>
          </w:p>
        </w:tc>
        <w:tc>
          <w:tcPr>
            <w:tcW w:w="493" w:type="pct"/>
            <w:tcBorders>
              <w:top w:val="single" w:sz="4" w:space="0" w:color="000000"/>
              <w:bottom w:val="single" w:sz="4" w:space="0" w:color="000000"/>
            </w:tcBorders>
            <w:shd w:val="clear" w:color="auto" w:fill="FFFF00"/>
            <w:vAlign w:val="center"/>
          </w:tcPr>
          <w:p w14:paraId="59CDD712" w14:textId="77777777" w:rsidR="00725977" w:rsidRPr="00D4309F" w:rsidRDefault="00725977" w:rsidP="004C00ED">
            <w:pPr>
              <w:pStyle w:val="TableParagraph"/>
              <w:ind w:left="323"/>
              <w:rPr>
                <w:b/>
                <w:sz w:val="18"/>
              </w:rPr>
            </w:pPr>
            <w:r w:rsidRPr="00D4309F">
              <w:rPr>
                <w:b/>
                <w:color w:val="211E1F"/>
                <w:spacing w:val="-2"/>
                <w:sz w:val="18"/>
              </w:rPr>
              <w:t>Moderate</w:t>
            </w:r>
          </w:p>
        </w:tc>
        <w:tc>
          <w:tcPr>
            <w:tcW w:w="1010" w:type="pct"/>
            <w:gridSpan w:val="5"/>
            <w:tcBorders>
              <w:top w:val="single" w:sz="4" w:space="0" w:color="000000"/>
              <w:bottom w:val="single" w:sz="4" w:space="0" w:color="000000"/>
            </w:tcBorders>
            <w:vAlign w:val="center"/>
          </w:tcPr>
          <w:p w14:paraId="48C0A7E7" w14:textId="77777777" w:rsidR="00725977" w:rsidRPr="00D4309F" w:rsidRDefault="00725977" w:rsidP="004C00ED">
            <w:pPr>
              <w:pStyle w:val="Table-Bullet"/>
            </w:pPr>
            <w:r w:rsidRPr="00D4309F">
              <w:t>Turbidity will impede the ability of aerial feeding birds to see prey underwater, which will impact the Little Terns aggregating in Point Cartwright reserve. Larger seabirds will travel</w:t>
            </w:r>
            <w:r w:rsidRPr="00D4309F">
              <w:rPr>
                <w:spacing w:val="-8"/>
              </w:rPr>
              <w:t xml:space="preserve"> </w:t>
            </w:r>
            <w:r w:rsidRPr="00D4309F">
              <w:t>outside</w:t>
            </w:r>
            <w:r w:rsidRPr="00D4309F">
              <w:rPr>
                <w:spacing w:val="-9"/>
              </w:rPr>
              <w:t xml:space="preserve"> </w:t>
            </w:r>
            <w:r w:rsidRPr="00D4309F">
              <w:t>of</w:t>
            </w:r>
            <w:r w:rsidRPr="00D4309F">
              <w:rPr>
                <w:spacing w:val="-8"/>
              </w:rPr>
              <w:t xml:space="preserve"> </w:t>
            </w:r>
            <w:r w:rsidRPr="00D4309F">
              <w:t>the</w:t>
            </w:r>
            <w:r w:rsidRPr="00D4309F">
              <w:rPr>
                <w:spacing w:val="-9"/>
              </w:rPr>
              <w:t xml:space="preserve"> </w:t>
            </w:r>
            <w:r w:rsidRPr="00D4309F">
              <w:t>turbid</w:t>
            </w:r>
            <w:r w:rsidRPr="00D4309F">
              <w:rPr>
                <w:spacing w:val="-9"/>
              </w:rPr>
              <w:t xml:space="preserve"> </w:t>
            </w:r>
            <w:r w:rsidRPr="00D4309F">
              <w:t>zone to forage.</w:t>
            </w:r>
          </w:p>
          <w:p w14:paraId="21F62502" w14:textId="77777777" w:rsidR="00725977" w:rsidRPr="00D4309F" w:rsidRDefault="00725977" w:rsidP="004C00ED">
            <w:pPr>
              <w:pStyle w:val="Table-Bullet"/>
            </w:pPr>
            <w:r w:rsidRPr="00D4309F">
              <w:t>An</w:t>
            </w:r>
            <w:r w:rsidRPr="00D4309F">
              <w:rPr>
                <w:spacing w:val="-11"/>
              </w:rPr>
              <w:t xml:space="preserve"> </w:t>
            </w:r>
            <w:r w:rsidRPr="00D4309F">
              <w:t>assessment</w:t>
            </w:r>
            <w:r w:rsidRPr="00D4309F">
              <w:rPr>
                <w:spacing w:val="-10"/>
              </w:rPr>
              <w:t xml:space="preserve"> </w:t>
            </w:r>
            <w:r w:rsidRPr="00D4309F">
              <w:t>of</w:t>
            </w:r>
            <w:r w:rsidRPr="00D4309F">
              <w:rPr>
                <w:spacing w:val="-10"/>
              </w:rPr>
              <w:t xml:space="preserve"> </w:t>
            </w:r>
            <w:r w:rsidRPr="00D4309F">
              <w:t>the</w:t>
            </w:r>
            <w:r w:rsidRPr="00D4309F">
              <w:rPr>
                <w:spacing w:val="-11"/>
              </w:rPr>
              <w:t xml:space="preserve"> </w:t>
            </w:r>
            <w:r w:rsidRPr="00D4309F">
              <w:t>predicted plume extent will inform the extent of turbidity related impacts however as this is a dynamic, open ocean environment, any plume will likely dissipate quickly.</w:t>
            </w:r>
          </w:p>
        </w:tc>
        <w:tc>
          <w:tcPr>
            <w:tcW w:w="712" w:type="pct"/>
            <w:gridSpan w:val="4"/>
            <w:tcBorders>
              <w:top w:val="single" w:sz="4" w:space="0" w:color="000000"/>
              <w:bottom w:val="single" w:sz="4" w:space="0" w:color="000000"/>
            </w:tcBorders>
            <w:vAlign w:val="center"/>
          </w:tcPr>
          <w:p w14:paraId="7AF67A44" w14:textId="77777777" w:rsidR="00725977" w:rsidRPr="00D4309F" w:rsidRDefault="00725977" w:rsidP="004C00ED">
            <w:pPr>
              <w:pStyle w:val="Table-Bullet"/>
            </w:pPr>
            <w:r w:rsidRPr="00D4309F">
              <w:t xml:space="preserve">Turbidity </w:t>
            </w:r>
            <w:r w:rsidRPr="00D4309F">
              <w:rPr>
                <w:spacing w:val="-2"/>
              </w:rPr>
              <w:t>modelling</w:t>
            </w:r>
          </w:p>
        </w:tc>
        <w:tc>
          <w:tcPr>
            <w:tcW w:w="780" w:type="pct"/>
            <w:gridSpan w:val="2"/>
            <w:tcBorders>
              <w:top w:val="single" w:sz="4" w:space="0" w:color="000000"/>
              <w:bottom w:val="single" w:sz="4" w:space="0" w:color="000000"/>
            </w:tcBorders>
            <w:vAlign w:val="center"/>
          </w:tcPr>
          <w:p w14:paraId="5CBD79EA" w14:textId="77777777" w:rsidR="00725977" w:rsidRPr="00D4309F" w:rsidRDefault="00725977" w:rsidP="004C00ED">
            <w:pPr>
              <w:pStyle w:val="Table-Bullet"/>
            </w:pPr>
            <w:r w:rsidRPr="00D4309F">
              <w:t xml:space="preserve">Timing of works outside of peak </w:t>
            </w:r>
            <w:r w:rsidRPr="00D4309F">
              <w:rPr>
                <w:spacing w:val="-2"/>
              </w:rPr>
              <w:t xml:space="preserve">aggregation </w:t>
            </w:r>
            <w:r w:rsidRPr="00D4309F">
              <w:t>season</w:t>
            </w:r>
            <w:r w:rsidRPr="00D4309F">
              <w:rPr>
                <w:spacing w:val="-13"/>
              </w:rPr>
              <w:t xml:space="preserve"> </w:t>
            </w:r>
            <w:r w:rsidRPr="00D4309F">
              <w:t xml:space="preserve">(summer) for migratory </w:t>
            </w:r>
            <w:r w:rsidRPr="00D4309F">
              <w:rPr>
                <w:spacing w:val="-2"/>
              </w:rPr>
              <w:t>terns</w:t>
            </w:r>
          </w:p>
        </w:tc>
      </w:tr>
      <w:tr w:rsidR="00725977" w:rsidRPr="00D4309F" w14:paraId="01F50AB1" w14:textId="77777777" w:rsidTr="002471AD">
        <w:trPr>
          <w:gridAfter w:val="1"/>
          <w:wAfter w:w="7" w:type="pct"/>
          <w:cantSplit/>
          <w:trHeight w:val="20"/>
        </w:trPr>
        <w:tc>
          <w:tcPr>
            <w:tcW w:w="506" w:type="pct"/>
            <w:tcBorders>
              <w:top w:val="single" w:sz="4" w:space="0" w:color="000000"/>
              <w:bottom w:val="single" w:sz="4" w:space="0" w:color="000000"/>
            </w:tcBorders>
            <w:vAlign w:val="center"/>
          </w:tcPr>
          <w:p w14:paraId="125EDA06" w14:textId="77777777" w:rsidR="00725977" w:rsidRPr="00D4309F" w:rsidRDefault="00725977" w:rsidP="004C00ED">
            <w:pPr>
              <w:pStyle w:val="Table-Text"/>
            </w:pPr>
            <w:r w:rsidRPr="00D4309F">
              <w:lastRenderedPageBreak/>
              <w:t>Marine</w:t>
            </w:r>
            <w:r w:rsidRPr="00D4309F">
              <w:rPr>
                <w:spacing w:val="-4"/>
              </w:rPr>
              <w:t xml:space="preserve"> </w:t>
            </w:r>
            <w:r w:rsidRPr="00D4309F">
              <w:t>fauna</w:t>
            </w:r>
          </w:p>
        </w:tc>
        <w:tc>
          <w:tcPr>
            <w:tcW w:w="416" w:type="pct"/>
            <w:gridSpan w:val="2"/>
            <w:tcBorders>
              <w:top w:val="single" w:sz="4" w:space="0" w:color="000000"/>
              <w:bottom w:val="single" w:sz="4" w:space="0" w:color="000000"/>
            </w:tcBorders>
            <w:vAlign w:val="center"/>
          </w:tcPr>
          <w:p w14:paraId="5BDEDBD7" w14:textId="77777777" w:rsidR="00725977" w:rsidRPr="00D4309F" w:rsidRDefault="00725977" w:rsidP="004C00ED">
            <w:pPr>
              <w:pStyle w:val="Table-Text"/>
            </w:pPr>
            <w:r w:rsidRPr="00D4309F">
              <w:rPr>
                <w:spacing w:val="-4"/>
              </w:rPr>
              <w:t xml:space="preserve">Site </w:t>
            </w:r>
            <w:r w:rsidRPr="00D4309F">
              <w:t>attached species</w:t>
            </w:r>
          </w:p>
        </w:tc>
        <w:tc>
          <w:tcPr>
            <w:tcW w:w="1077" w:type="pct"/>
            <w:gridSpan w:val="3"/>
            <w:tcBorders>
              <w:top w:val="single" w:sz="4" w:space="0" w:color="000000"/>
              <w:bottom w:val="single" w:sz="4" w:space="0" w:color="000000"/>
            </w:tcBorders>
            <w:vAlign w:val="center"/>
          </w:tcPr>
          <w:p w14:paraId="0FA4A1C6" w14:textId="77777777" w:rsidR="00725977" w:rsidRPr="00D4309F" w:rsidRDefault="00725977" w:rsidP="004C00ED">
            <w:pPr>
              <w:pStyle w:val="Table-Bullet"/>
            </w:pPr>
            <w:r w:rsidRPr="00D4309F">
              <w:t>Direct</w:t>
            </w:r>
            <w:r w:rsidRPr="00D4309F">
              <w:rPr>
                <w:spacing w:val="-13"/>
              </w:rPr>
              <w:t xml:space="preserve"> </w:t>
            </w:r>
            <w:r w:rsidRPr="00D4309F">
              <w:t>mortality/injury</w:t>
            </w:r>
            <w:r w:rsidRPr="00D4309F">
              <w:rPr>
                <w:spacing w:val="-12"/>
              </w:rPr>
              <w:t xml:space="preserve"> </w:t>
            </w:r>
            <w:r w:rsidRPr="00D4309F">
              <w:t>due</w:t>
            </w:r>
            <w:r w:rsidRPr="00D4309F">
              <w:rPr>
                <w:spacing w:val="-13"/>
              </w:rPr>
              <w:t xml:space="preserve"> </w:t>
            </w:r>
            <w:r w:rsidRPr="00D4309F">
              <w:t xml:space="preserve">to </w:t>
            </w:r>
            <w:r w:rsidRPr="00D4309F">
              <w:rPr>
                <w:spacing w:val="-2"/>
              </w:rPr>
              <w:t>dredging</w:t>
            </w:r>
          </w:p>
          <w:p w14:paraId="39DED42A" w14:textId="77777777" w:rsidR="00725977" w:rsidRPr="00D4309F" w:rsidRDefault="00725977" w:rsidP="004C00ED">
            <w:pPr>
              <w:pStyle w:val="Table-Bullet"/>
            </w:pPr>
            <w:r w:rsidRPr="00D4309F">
              <w:t>Mortality/injury/ behavioural 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physical</w:t>
            </w:r>
            <w:r w:rsidRPr="00D4309F">
              <w:rPr>
                <w:spacing w:val="-9"/>
              </w:rPr>
              <w:t xml:space="preserve"> </w:t>
            </w:r>
            <w:r w:rsidRPr="00D4309F">
              <w:t>effects of turbidity</w:t>
            </w:r>
          </w:p>
          <w:p w14:paraId="347E21AE" w14:textId="77777777" w:rsidR="00725977" w:rsidRPr="00D4309F" w:rsidRDefault="00725977" w:rsidP="004C00ED">
            <w:pPr>
              <w:pStyle w:val="Table-Bullet"/>
            </w:pPr>
            <w:r w:rsidRPr="00D4309F">
              <w:t>Mortality/injury/ behavioural 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smothering</w:t>
            </w:r>
            <w:r w:rsidRPr="00D4309F">
              <w:rPr>
                <w:spacing w:val="-10"/>
              </w:rPr>
              <w:t xml:space="preserve"> </w:t>
            </w:r>
            <w:r w:rsidRPr="00D4309F">
              <w:t>at disposal site</w:t>
            </w:r>
          </w:p>
        </w:tc>
        <w:tc>
          <w:tcPr>
            <w:tcW w:w="493" w:type="pct"/>
            <w:tcBorders>
              <w:top w:val="single" w:sz="4" w:space="0" w:color="000000"/>
              <w:bottom w:val="single" w:sz="4" w:space="0" w:color="000000"/>
            </w:tcBorders>
            <w:shd w:val="clear" w:color="auto" w:fill="92D050"/>
            <w:vAlign w:val="center"/>
          </w:tcPr>
          <w:p w14:paraId="65DEE28E" w14:textId="77777777" w:rsidR="00725977" w:rsidRPr="00D4309F" w:rsidRDefault="00725977" w:rsidP="004C00ED">
            <w:pPr>
              <w:pStyle w:val="TableParagraph"/>
              <w:ind w:left="179" w:right="176"/>
              <w:rPr>
                <w:b/>
                <w:sz w:val="18"/>
              </w:rPr>
            </w:pPr>
            <w:r w:rsidRPr="00D4309F">
              <w:rPr>
                <w:b/>
                <w:color w:val="211E1F"/>
                <w:spacing w:val="-5"/>
                <w:sz w:val="18"/>
              </w:rPr>
              <w:t>Low</w:t>
            </w:r>
          </w:p>
        </w:tc>
        <w:tc>
          <w:tcPr>
            <w:tcW w:w="1010" w:type="pct"/>
            <w:gridSpan w:val="5"/>
            <w:tcBorders>
              <w:top w:val="single" w:sz="4" w:space="0" w:color="000000"/>
              <w:bottom w:val="single" w:sz="4" w:space="0" w:color="000000"/>
            </w:tcBorders>
            <w:vAlign w:val="center"/>
          </w:tcPr>
          <w:p w14:paraId="32A65354" w14:textId="77777777" w:rsidR="00725977" w:rsidRPr="00D4309F" w:rsidRDefault="00725977" w:rsidP="004C00ED">
            <w:pPr>
              <w:pStyle w:val="Table-Bullet"/>
            </w:pPr>
            <w:r w:rsidRPr="00D4309F">
              <w:t>These species are broadly distributed</w:t>
            </w:r>
            <w:r w:rsidRPr="00D4309F">
              <w:rPr>
                <w:spacing w:val="-13"/>
              </w:rPr>
              <w:t xml:space="preserve"> </w:t>
            </w:r>
            <w:r w:rsidRPr="00D4309F">
              <w:t>along</w:t>
            </w:r>
            <w:r w:rsidRPr="00D4309F">
              <w:rPr>
                <w:spacing w:val="-12"/>
              </w:rPr>
              <w:t xml:space="preserve"> </w:t>
            </w:r>
            <w:r w:rsidRPr="00D4309F">
              <w:t>the</w:t>
            </w:r>
            <w:r w:rsidRPr="00D4309F">
              <w:rPr>
                <w:spacing w:val="-13"/>
              </w:rPr>
              <w:t xml:space="preserve"> </w:t>
            </w:r>
            <w:r w:rsidRPr="00D4309F">
              <w:t>coastline</w:t>
            </w:r>
          </w:p>
          <w:p w14:paraId="31D78D04" w14:textId="77777777" w:rsidR="00725977" w:rsidRPr="00D4309F" w:rsidRDefault="00725977" w:rsidP="004C00ED">
            <w:pPr>
              <w:pStyle w:val="Table-Bullet"/>
            </w:pPr>
            <w:r w:rsidRPr="00D4309F">
              <w:t>The dredging area has a relatively small footprint and in an area of bare sand which is not</w:t>
            </w:r>
            <w:r w:rsidRPr="00D4309F">
              <w:rPr>
                <w:spacing w:val="-7"/>
              </w:rPr>
              <w:t xml:space="preserve"> </w:t>
            </w:r>
            <w:r w:rsidRPr="00D4309F">
              <w:t>the</w:t>
            </w:r>
            <w:r w:rsidRPr="00D4309F">
              <w:rPr>
                <w:spacing w:val="-8"/>
              </w:rPr>
              <w:t xml:space="preserve"> </w:t>
            </w:r>
            <w:r w:rsidRPr="00D4309F">
              <w:t>habitat</w:t>
            </w:r>
            <w:r w:rsidRPr="00D4309F">
              <w:rPr>
                <w:spacing w:val="-7"/>
              </w:rPr>
              <w:t xml:space="preserve"> </w:t>
            </w:r>
            <w:r w:rsidRPr="00D4309F">
              <w:t>for</w:t>
            </w:r>
            <w:r w:rsidRPr="00D4309F">
              <w:rPr>
                <w:spacing w:val="-7"/>
              </w:rPr>
              <w:t xml:space="preserve"> </w:t>
            </w:r>
            <w:r w:rsidRPr="00D4309F">
              <w:t>most</w:t>
            </w:r>
            <w:r w:rsidRPr="00D4309F">
              <w:rPr>
                <w:spacing w:val="-7"/>
              </w:rPr>
              <w:t xml:space="preserve"> </w:t>
            </w:r>
            <w:r w:rsidRPr="00D4309F">
              <w:t>of</w:t>
            </w:r>
            <w:r w:rsidRPr="00D4309F">
              <w:rPr>
                <w:spacing w:val="-7"/>
              </w:rPr>
              <w:t xml:space="preserve"> </w:t>
            </w:r>
            <w:r w:rsidRPr="00D4309F">
              <w:t>these species, including the endangered White’s Seahorse and sand yabby</w:t>
            </w:r>
          </w:p>
          <w:p w14:paraId="3549A194" w14:textId="77777777" w:rsidR="00725977" w:rsidRPr="00D4309F" w:rsidRDefault="00725977" w:rsidP="004C00ED">
            <w:pPr>
              <w:pStyle w:val="Table-Bullet"/>
            </w:pPr>
            <w:r w:rsidRPr="00D4309F">
              <w:t>It</w:t>
            </w:r>
            <w:r w:rsidRPr="00D4309F">
              <w:rPr>
                <w:spacing w:val="-8"/>
              </w:rPr>
              <w:t xml:space="preserve"> </w:t>
            </w:r>
            <w:r w:rsidRPr="00D4309F">
              <w:t>is</w:t>
            </w:r>
            <w:r w:rsidRPr="00D4309F">
              <w:rPr>
                <w:spacing w:val="-8"/>
              </w:rPr>
              <w:t xml:space="preserve"> </w:t>
            </w:r>
            <w:r w:rsidRPr="00D4309F">
              <w:t>assumed</w:t>
            </w:r>
            <w:r w:rsidRPr="00D4309F">
              <w:rPr>
                <w:spacing w:val="-9"/>
              </w:rPr>
              <w:t xml:space="preserve"> </w:t>
            </w:r>
            <w:r w:rsidRPr="00D4309F">
              <w:t>that</w:t>
            </w:r>
            <w:r w:rsidRPr="00D4309F">
              <w:rPr>
                <w:spacing w:val="-8"/>
              </w:rPr>
              <w:t xml:space="preserve"> </w:t>
            </w:r>
            <w:r w:rsidRPr="00D4309F">
              <w:t>the</w:t>
            </w:r>
            <w:r w:rsidRPr="00D4309F">
              <w:rPr>
                <w:spacing w:val="-9"/>
              </w:rPr>
              <w:t xml:space="preserve"> </w:t>
            </w:r>
            <w:r w:rsidRPr="00D4309F">
              <w:t>disposal area is an already disturbed area from previous disposal</w:t>
            </w:r>
          </w:p>
          <w:p w14:paraId="64C87D69" w14:textId="77777777" w:rsidR="00725977" w:rsidRPr="00D4309F" w:rsidRDefault="00725977" w:rsidP="004C00ED">
            <w:pPr>
              <w:pStyle w:val="Table-Bullet"/>
            </w:pPr>
            <w:r w:rsidRPr="00D4309F">
              <w:rPr>
                <w:spacing w:val="-2"/>
              </w:rPr>
              <w:t>works</w:t>
            </w:r>
          </w:p>
          <w:p w14:paraId="7A800C64" w14:textId="77777777" w:rsidR="00725977" w:rsidRPr="00D4309F" w:rsidRDefault="00725977" w:rsidP="004C00ED">
            <w:pPr>
              <w:pStyle w:val="Table-Bullet"/>
            </w:pPr>
            <w:r w:rsidRPr="00D4309F">
              <w:t>Dredging</w:t>
            </w:r>
            <w:r w:rsidRPr="00D4309F">
              <w:rPr>
                <w:spacing w:val="-9"/>
              </w:rPr>
              <w:t xml:space="preserve"> </w:t>
            </w:r>
            <w:r w:rsidRPr="00D4309F">
              <w:t>and</w:t>
            </w:r>
            <w:r w:rsidRPr="00D4309F">
              <w:rPr>
                <w:spacing w:val="-9"/>
              </w:rPr>
              <w:t xml:space="preserve"> </w:t>
            </w:r>
            <w:r w:rsidRPr="00D4309F">
              <w:t>disposal</w:t>
            </w:r>
            <w:r w:rsidRPr="00D4309F">
              <w:rPr>
                <w:spacing w:val="-8"/>
              </w:rPr>
              <w:t xml:space="preserve"> </w:t>
            </w:r>
            <w:r w:rsidRPr="00D4309F">
              <w:t>is</w:t>
            </w:r>
            <w:r w:rsidRPr="00D4309F">
              <w:rPr>
                <w:spacing w:val="-8"/>
              </w:rPr>
              <w:t xml:space="preserve"> </w:t>
            </w:r>
            <w:r w:rsidRPr="00D4309F">
              <w:t>in</w:t>
            </w:r>
            <w:r w:rsidRPr="00D4309F">
              <w:rPr>
                <w:spacing w:val="-9"/>
              </w:rPr>
              <w:t xml:space="preserve"> </w:t>
            </w:r>
            <w:r w:rsidRPr="00D4309F">
              <w:t>a dynamic, open ocean environment, any plume will likely dissipate quickly</w:t>
            </w:r>
          </w:p>
        </w:tc>
        <w:tc>
          <w:tcPr>
            <w:tcW w:w="707" w:type="pct"/>
            <w:gridSpan w:val="2"/>
            <w:tcBorders>
              <w:top w:val="single" w:sz="4" w:space="0" w:color="000000"/>
              <w:bottom w:val="single" w:sz="4" w:space="0" w:color="000000"/>
            </w:tcBorders>
            <w:vAlign w:val="center"/>
          </w:tcPr>
          <w:p w14:paraId="1D686412" w14:textId="77777777" w:rsidR="00725977" w:rsidRPr="00D4309F" w:rsidRDefault="00725977" w:rsidP="004C00ED">
            <w:pPr>
              <w:pStyle w:val="Table-Bullet"/>
            </w:pPr>
            <w:r w:rsidRPr="00D4309F">
              <w:rPr>
                <w:color w:val="211E1F"/>
                <w:spacing w:val="-4"/>
              </w:rPr>
              <w:t>None</w:t>
            </w:r>
          </w:p>
        </w:tc>
        <w:tc>
          <w:tcPr>
            <w:tcW w:w="785" w:type="pct"/>
            <w:gridSpan w:val="4"/>
            <w:tcBorders>
              <w:top w:val="single" w:sz="4" w:space="0" w:color="000000"/>
              <w:bottom w:val="single" w:sz="4" w:space="0" w:color="000000"/>
            </w:tcBorders>
            <w:vAlign w:val="center"/>
          </w:tcPr>
          <w:p w14:paraId="48D3D73D" w14:textId="77777777" w:rsidR="00725977" w:rsidRPr="00D4309F" w:rsidRDefault="00725977" w:rsidP="004C00ED">
            <w:pPr>
              <w:pStyle w:val="Table-Bullet"/>
            </w:pPr>
            <w:r w:rsidRPr="00D4309F">
              <w:rPr>
                <w:color w:val="211E1F"/>
                <w:spacing w:val="-4"/>
              </w:rPr>
              <w:t>None</w:t>
            </w:r>
          </w:p>
        </w:tc>
      </w:tr>
      <w:tr w:rsidR="00725977" w:rsidRPr="00D4309F" w14:paraId="6BD43477" w14:textId="77777777" w:rsidTr="002471AD">
        <w:trPr>
          <w:gridAfter w:val="1"/>
          <w:wAfter w:w="7" w:type="pct"/>
          <w:cantSplit/>
          <w:trHeight w:val="20"/>
        </w:trPr>
        <w:tc>
          <w:tcPr>
            <w:tcW w:w="506" w:type="pct"/>
            <w:tcBorders>
              <w:top w:val="single" w:sz="4" w:space="0" w:color="000000"/>
              <w:bottom w:val="single" w:sz="4" w:space="0" w:color="000000"/>
            </w:tcBorders>
            <w:vAlign w:val="center"/>
          </w:tcPr>
          <w:p w14:paraId="30A7DF60" w14:textId="77777777" w:rsidR="00725977" w:rsidRPr="00D4309F" w:rsidRDefault="00725977" w:rsidP="004C00ED">
            <w:pPr>
              <w:pStyle w:val="Table-Text"/>
            </w:pPr>
            <w:r w:rsidRPr="00D4309F">
              <w:t>Marine</w:t>
            </w:r>
            <w:r w:rsidRPr="00D4309F">
              <w:rPr>
                <w:spacing w:val="-4"/>
              </w:rPr>
              <w:t xml:space="preserve"> </w:t>
            </w:r>
            <w:r w:rsidRPr="00D4309F">
              <w:t>fauna</w:t>
            </w:r>
          </w:p>
        </w:tc>
        <w:tc>
          <w:tcPr>
            <w:tcW w:w="416" w:type="pct"/>
            <w:gridSpan w:val="2"/>
            <w:tcBorders>
              <w:top w:val="single" w:sz="4" w:space="0" w:color="000000"/>
              <w:bottom w:val="single" w:sz="4" w:space="0" w:color="000000"/>
            </w:tcBorders>
            <w:vAlign w:val="center"/>
          </w:tcPr>
          <w:p w14:paraId="33312CC3" w14:textId="77777777" w:rsidR="00725977" w:rsidRPr="00D4309F" w:rsidRDefault="00725977" w:rsidP="004C00ED">
            <w:pPr>
              <w:pStyle w:val="Table-Text"/>
            </w:pPr>
            <w:r w:rsidRPr="00D4309F">
              <w:rPr>
                <w:spacing w:val="-4"/>
              </w:rPr>
              <w:t xml:space="preserve">Site </w:t>
            </w:r>
            <w:r w:rsidRPr="00D4309F">
              <w:t>attached species</w:t>
            </w:r>
          </w:p>
        </w:tc>
        <w:tc>
          <w:tcPr>
            <w:tcW w:w="1077" w:type="pct"/>
            <w:gridSpan w:val="3"/>
            <w:tcBorders>
              <w:top w:val="single" w:sz="4" w:space="0" w:color="000000"/>
              <w:bottom w:val="single" w:sz="4" w:space="0" w:color="000000"/>
            </w:tcBorders>
            <w:vAlign w:val="center"/>
          </w:tcPr>
          <w:p w14:paraId="008EF8E1" w14:textId="77777777" w:rsidR="00725977" w:rsidRPr="00D4309F" w:rsidRDefault="00725977" w:rsidP="004C00ED">
            <w:pPr>
              <w:pStyle w:val="Table-Bullet"/>
            </w:pPr>
            <w:r w:rsidRPr="00D4309F">
              <w:rPr>
                <w:spacing w:val="-2"/>
              </w:rPr>
              <w:t xml:space="preserve">Mortality/injury/behavioural </w:t>
            </w:r>
            <w:r w:rsidRPr="00D4309F">
              <w:t>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toxic</w:t>
            </w:r>
            <w:r w:rsidRPr="00D4309F">
              <w:rPr>
                <w:spacing w:val="-9"/>
              </w:rPr>
              <w:t xml:space="preserve"> </w:t>
            </w:r>
            <w:r w:rsidRPr="00D4309F">
              <w:t xml:space="preserve">effects due to release of </w:t>
            </w:r>
            <w:r w:rsidRPr="00D4309F">
              <w:rPr>
                <w:spacing w:val="-2"/>
              </w:rPr>
              <w:t>contaminants/hypoxia</w:t>
            </w:r>
          </w:p>
        </w:tc>
        <w:tc>
          <w:tcPr>
            <w:tcW w:w="493" w:type="pct"/>
            <w:tcBorders>
              <w:top w:val="single" w:sz="4" w:space="0" w:color="000000"/>
              <w:bottom w:val="single" w:sz="4" w:space="0" w:color="000000"/>
            </w:tcBorders>
            <w:shd w:val="clear" w:color="auto" w:fill="92D050"/>
            <w:vAlign w:val="center"/>
          </w:tcPr>
          <w:p w14:paraId="07EE8085" w14:textId="77777777" w:rsidR="00725977" w:rsidRPr="00D4309F" w:rsidRDefault="00725977" w:rsidP="004C00ED">
            <w:pPr>
              <w:pStyle w:val="TableParagraph"/>
              <w:ind w:left="178" w:right="178"/>
              <w:rPr>
                <w:b/>
                <w:sz w:val="18"/>
              </w:rPr>
            </w:pPr>
            <w:r w:rsidRPr="00D4309F">
              <w:rPr>
                <w:b/>
                <w:color w:val="211E1F"/>
                <w:spacing w:val="-5"/>
                <w:sz w:val="18"/>
              </w:rPr>
              <w:t>Low</w:t>
            </w:r>
          </w:p>
        </w:tc>
        <w:tc>
          <w:tcPr>
            <w:tcW w:w="1010" w:type="pct"/>
            <w:gridSpan w:val="5"/>
            <w:tcBorders>
              <w:top w:val="single" w:sz="4" w:space="0" w:color="000000"/>
              <w:bottom w:val="single" w:sz="4" w:space="0" w:color="000000"/>
            </w:tcBorders>
            <w:vAlign w:val="center"/>
          </w:tcPr>
          <w:p w14:paraId="63C52B4F" w14:textId="77777777" w:rsidR="00725977" w:rsidRPr="00D4309F" w:rsidRDefault="00725977" w:rsidP="004C00ED">
            <w:pPr>
              <w:pStyle w:val="Table-Bullet"/>
            </w:pPr>
            <w:r w:rsidRPr="00D4309F">
              <w:t>Dredge sediments likely comprise clean marine sand free</w:t>
            </w:r>
            <w:r w:rsidRPr="00D4309F">
              <w:rPr>
                <w:spacing w:val="-11"/>
              </w:rPr>
              <w:t xml:space="preserve"> </w:t>
            </w:r>
            <w:r w:rsidRPr="00D4309F">
              <w:t>of</w:t>
            </w:r>
            <w:r w:rsidRPr="00D4309F">
              <w:rPr>
                <w:spacing w:val="-10"/>
              </w:rPr>
              <w:t xml:space="preserve"> </w:t>
            </w:r>
            <w:r w:rsidRPr="00D4309F">
              <w:t>contaminants</w:t>
            </w:r>
            <w:r w:rsidRPr="00D4309F">
              <w:rPr>
                <w:spacing w:val="-10"/>
              </w:rPr>
              <w:t xml:space="preserve"> </w:t>
            </w:r>
            <w:r w:rsidRPr="00D4309F">
              <w:t>with</w:t>
            </w:r>
            <w:r w:rsidRPr="00D4309F">
              <w:rPr>
                <w:spacing w:val="-11"/>
              </w:rPr>
              <w:t xml:space="preserve"> </w:t>
            </w:r>
            <w:r w:rsidRPr="00D4309F">
              <w:t>low organic matter content</w:t>
            </w:r>
          </w:p>
        </w:tc>
        <w:tc>
          <w:tcPr>
            <w:tcW w:w="707" w:type="pct"/>
            <w:gridSpan w:val="2"/>
            <w:tcBorders>
              <w:top w:val="single" w:sz="4" w:space="0" w:color="000000"/>
              <w:bottom w:val="single" w:sz="4" w:space="0" w:color="000000"/>
            </w:tcBorders>
            <w:vAlign w:val="center"/>
          </w:tcPr>
          <w:p w14:paraId="1E1B557F" w14:textId="77777777" w:rsidR="00725977" w:rsidRPr="00D4309F" w:rsidRDefault="00725977" w:rsidP="004C00ED">
            <w:pPr>
              <w:pStyle w:val="Table-Bullet"/>
            </w:pPr>
            <w:r w:rsidRPr="00D4309F">
              <w:t>Assumption</w:t>
            </w:r>
            <w:r w:rsidRPr="00D4309F">
              <w:rPr>
                <w:spacing w:val="-13"/>
              </w:rPr>
              <w:t xml:space="preserve"> </w:t>
            </w:r>
            <w:r w:rsidRPr="00D4309F">
              <w:t>that suitable data exists to inform this risk</w:t>
            </w:r>
          </w:p>
        </w:tc>
        <w:tc>
          <w:tcPr>
            <w:tcW w:w="785" w:type="pct"/>
            <w:gridSpan w:val="4"/>
            <w:tcBorders>
              <w:top w:val="single" w:sz="4" w:space="0" w:color="000000"/>
              <w:bottom w:val="single" w:sz="4" w:space="0" w:color="000000"/>
            </w:tcBorders>
            <w:vAlign w:val="center"/>
          </w:tcPr>
          <w:p w14:paraId="19ABB890" w14:textId="77777777" w:rsidR="00725977" w:rsidRPr="00D4309F" w:rsidRDefault="00725977" w:rsidP="004C00ED">
            <w:pPr>
              <w:pStyle w:val="Table-Bullet"/>
            </w:pPr>
            <w:r w:rsidRPr="00D4309F">
              <w:rPr>
                <w:color w:val="211E1F"/>
                <w:spacing w:val="-4"/>
              </w:rPr>
              <w:t>None</w:t>
            </w:r>
          </w:p>
        </w:tc>
      </w:tr>
      <w:tr w:rsidR="00725977" w:rsidRPr="00D4309F" w14:paraId="1532C54E" w14:textId="77777777" w:rsidTr="002471AD">
        <w:trPr>
          <w:gridAfter w:val="1"/>
          <w:wAfter w:w="7" w:type="pct"/>
          <w:cantSplit/>
          <w:trHeight w:val="20"/>
        </w:trPr>
        <w:tc>
          <w:tcPr>
            <w:tcW w:w="506" w:type="pct"/>
            <w:tcBorders>
              <w:top w:val="single" w:sz="4" w:space="0" w:color="000000"/>
              <w:bottom w:val="single" w:sz="4" w:space="0" w:color="000000"/>
            </w:tcBorders>
            <w:vAlign w:val="center"/>
          </w:tcPr>
          <w:p w14:paraId="46EDB65C" w14:textId="77777777" w:rsidR="00725977" w:rsidRPr="00D4309F" w:rsidRDefault="00725977" w:rsidP="004C00ED">
            <w:pPr>
              <w:pStyle w:val="Table-Text"/>
            </w:pPr>
            <w:r w:rsidRPr="00D4309F">
              <w:t>Marine</w:t>
            </w:r>
            <w:r w:rsidRPr="00D4309F">
              <w:rPr>
                <w:spacing w:val="-4"/>
              </w:rPr>
              <w:t xml:space="preserve"> </w:t>
            </w:r>
            <w:r w:rsidRPr="00D4309F">
              <w:t>fauna</w:t>
            </w:r>
          </w:p>
        </w:tc>
        <w:tc>
          <w:tcPr>
            <w:tcW w:w="416" w:type="pct"/>
            <w:gridSpan w:val="2"/>
            <w:tcBorders>
              <w:top w:val="single" w:sz="4" w:space="0" w:color="000000"/>
              <w:bottom w:val="single" w:sz="4" w:space="0" w:color="000000"/>
            </w:tcBorders>
            <w:vAlign w:val="center"/>
          </w:tcPr>
          <w:p w14:paraId="2879CE73" w14:textId="77777777" w:rsidR="00725977" w:rsidRPr="00D4309F" w:rsidRDefault="00725977" w:rsidP="004C00ED">
            <w:pPr>
              <w:pStyle w:val="Table-Text"/>
            </w:pPr>
            <w:r w:rsidRPr="00D4309F">
              <w:t>Mobile species</w:t>
            </w:r>
          </w:p>
        </w:tc>
        <w:tc>
          <w:tcPr>
            <w:tcW w:w="1077" w:type="pct"/>
            <w:gridSpan w:val="3"/>
            <w:tcBorders>
              <w:top w:val="single" w:sz="4" w:space="0" w:color="000000"/>
              <w:bottom w:val="single" w:sz="4" w:space="0" w:color="000000"/>
            </w:tcBorders>
            <w:vAlign w:val="center"/>
          </w:tcPr>
          <w:p w14:paraId="63F1E240" w14:textId="77777777" w:rsidR="00725977" w:rsidRPr="00D4309F" w:rsidRDefault="00725977" w:rsidP="004C00ED">
            <w:pPr>
              <w:pStyle w:val="Table-Bullet"/>
            </w:pPr>
            <w:r w:rsidRPr="00D4309F">
              <w:t>Vessel</w:t>
            </w:r>
            <w:r w:rsidRPr="00D4309F">
              <w:rPr>
                <w:spacing w:val="-5"/>
              </w:rPr>
              <w:t xml:space="preserve"> </w:t>
            </w:r>
            <w:r w:rsidRPr="00D4309F">
              <w:rPr>
                <w:spacing w:val="-2"/>
              </w:rPr>
              <w:t>collision</w:t>
            </w:r>
          </w:p>
          <w:p w14:paraId="51818E3C" w14:textId="77777777" w:rsidR="00725977" w:rsidRPr="00D4309F" w:rsidRDefault="00725977" w:rsidP="004C00ED">
            <w:pPr>
              <w:pStyle w:val="Table-Bullet"/>
            </w:pPr>
            <w:r w:rsidRPr="00D4309F">
              <w:t>Direct</w:t>
            </w:r>
            <w:r w:rsidRPr="00D4309F">
              <w:rPr>
                <w:spacing w:val="-13"/>
              </w:rPr>
              <w:t xml:space="preserve"> </w:t>
            </w:r>
            <w:r w:rsidRPr="00D4309F">
              <w:t>mortality/injury</w:t>
            </w:r>
            <w:r w:rsidRPr="00D4309F">
              <w:rPr>
                <w:spacing w:val="-12"/>
              </w:rPr>
              <w:t xml:space="preserve"> </w:t>
            </w:r>
            <w:r w:rsidRPr="00D4309F">
              <w:t>due</w:t>
            </w:r>
            <w:r w:rsidRPr="00D4309F">
              <w:rPr>
                <w:spacing w:val="-13"/>
              </w:rPr>
              <w:t xml:space="preserve"> </w:t>
            </w:r>
            <w:r w:rsidRPr="00D4309F">
              <w:t xml:space="preserve">to </w:t>
            </w:r>
            <w:r w:rsidRPr="00D4309F">
              <w:rPr>
                <w:spacing w:val="-2"/>
              </w:rPr>
              <w:t>dredging</w:t>
            </w:r>
          </w:p>
          <w:p w14:paraId="723A7D98" w14:textId="77777777" w:rsidR="00725977" w:rsidRPr="00D4309F" w:rsidRDefault="00725977" w:rsidP="004C00ED">
            <w:pPr>
              <w:pStyle w:val="Table-Bullet"/>
            </w:pPr>
            <w:r w:rsidRPr="00D4309F">
              <w:t>Mortality/injury/ behavioural 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physical</w:t>
            </w:r>
            <w:r w:rsidRPr="00D4309F">
              <w:rPr>
                <w:spacing w:val="-9"/>
              </w:rPr>
              <w:t xml:space="preserve"> </w:t>
            </w:r>
            <w:r w:rsidRPr="00D4309F">
              <w:t>effects of turbidity</w:t>
            </w:r>
          </w:p>
          <w:p w14:paraId="48F11C57" w14:textId="77777777" w:rsidR="00725977" w:rsidRPr="00D4309F" w:rsidRDefault="00725977" w:rsidP="004C00ED">
            <w:pPr>
              <w:pStyle w:val="Table-Bullet"/>
            </w:pPr>
            <w:r w:rsidRPr="00D4309F">
              <w:t>Mortality/injury/ behavioural 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smothering</w:t>
            </w:r>
            <w:r w:rsidRPr="00D4309F">
              <w:rPr>
                <w:spacing w:val="-10"/>
              </w:rPr>
              <w:t xml:space="preserve"> </w:t>
            </w:r>
            <w:r w:rsidRPr="00D4309F">
              <w:t>at disposal site</w:t>
            </w:r>
          </w:p>
        </w:tc>
        <w:tc>
          <w:tcPr>
            <w:tcW w:w="493" w:type="pct"/>
            <w:tcBorders>
              <w:top w:val="single" w:sz="4" w:space="0" w:color="000000"/>
              <w:bottom w:val="single" w:sz="4" w:space="0" w:color="000000"/>
            </w:tcBorders>
            <w:shd w:val="clear" w:color="auto" w:fill="92D050"/>
            <w:vAlign w:val="center"/>
          </w:tcPr>
          <w:p w14:paraId="64D913A3" w14:textId="77777777" w:rsidR="00725977" w:rsidRPr="00D4309F" w:rsidRDefault="00725977" w:rsidP="004C00ED">
            <w:pPr>
              <w:pStyle w:val="TableParagraph"/>
              <w:ind w:left="178" w:right="178"/>
              <w:rPr>
                <w:b/>
                <w:sz w:val="18"/>
              </w:rPr>
            </w:pPr>
            <w:r w:rsidRPr="00D4309F">
              <w:rPr>
                <w:b/>
                <w:color w:val="211E1F"/>
                <w:spacing w:val="-5"/>
                <w:sz w:val="18"/>
              </w:rPr>
              <w:t>Low</w:t>
            </w:r>
          </w:p>
        </w:tc>
        <w:tc>
          <w:tcPr>
            <w:tcW w:w="1010" w:type="pct"/>
            <w:gridSpan w:val="5"/>
            <w:tcBorders>
              <w:top w:val="single" w:sz="4" w:space="0" w:color="000000"/>
              <w:bottom w:val="single" w:sz="4" w:space="0" w:color="000000"/>
            </w:tcBorders>
            <w:vAlign w:val="center"/>
          </w:tcPr>
          <w:p w14:paraId="76D352D7" w14:textId="77777777" w:rsidR="00725977" w:rsidRPr="00D4309F" w:rsidRDefault="00725977" w:rsidP="004C00ED">
            <w:pPr>
              <w:pStyle w:val="Table-Bullet"/>
            </w:pPr>
            <w:r w:rsidRPr="00D4309F">
              <w:t>Mobile species including the critically endangered Grey Nurse Shark and conservation dependant scalloped hammerhead</w:t>
            </w:r>
            <w:r w:rsidRPr="00D4309F">
              <w:rPr>
                <w:spacing w:val="-13"/>
              </w:rPr>
              <w:t xml:space="preserve"> </w:t>
            </w:r>
            <w:r w:rsidRPr="00D4309F">
              <w:t>will</w:t>
            </w:r>
            <w:r w:rsidRPr="00D4309F">
              <w:rPr>
                <w:spacing w:val="-12"/>
              </w:rPr>
              <w:t xml:space="preserve"> </w:t>
            </w:r>
            <w:r w:rsidRPr="00D4309F">
              <w:t>actively</w:t>
            </w:r>
            <w:r w:rsidRPr="00D4309F">
              <w:rPr>
                <w:spacing w:val="-13"/>
              </w:rPr>
              <w:t xml:space="preserve"> </w:t>
            </w:r>
            <w:r w:rsidRPr="00D4309F">
              <w:t>avoid areas of activity</w:t>
            </w:r>
          </w:p>
        </w:tc>
        <w:tc>
          <w:tcPr>
            <w:tcW w:w="707" w:type="pct"/>
            <w:gridSpan w:val="2"/>
            <w:tcBorders>
              <w:top w:val="single" w:sz="4" w:space="0" w:color="000000"/>
              <w:bottom w:val="single" w:sz="4" w:space="0" w:color="000000"/>
            </w:tcBorders>
            <w:vAlign w:val="center"/>
          </w:tcPr>
          <w:p w14:paraId="241E0143" w14:textId="77777777" w:rsidR="00725977" w:rsidRPr="00D4309F" w:rsidRDefault="00725977" w:rsidP="004C00ED">
            <w:pPr>
              <w:pStyle w:val="Table-Bullet"/>
            </w:pPr>
            <w:r w:rsidRPr="00D4309F">
              <w:rPr>
                <w:color w:val="211E1F"/>
                <w:spacing w:val="-4"/>
              </w:rPr>
              <w:t>None</w:t>
            </w:r>
          </w:p>
        </w:tc>
        <w:tc>
          <w:tcPr>
            <w:tcW w:w="785" w:type="pct"/>
            <w:gridSpan w:val="4"/>
            <w:tcBorders>
              <w:top w:val="single" w:sz="4" w:space="0" w:color="000000"/>
              <w:bottom w:val="single" w:sz="4" w:space="0" w:color="000000"/>
            </w:tcBorders>
            <w:vAlign w:val="center"/>
          </w:tcPr>
          <w:p w14:paraId="2E232442" w14:textId="77777777" w:rsidR="00725977" w:rsidRPr="00D4309F" w:rsidRDefault="00725977" w:rsidP="004C00ED">
            <w:pPr>
              <w:pStyle w:val="Table-Bullet"/>
            </w:pPr>
            <w:r w:rsidRPr="00D4309F">
              <w:rPr>
                <w:color w:val="211E1F"/>
                <w:spacing w:val="-4"/>
              </w:rPr>
              <w:t>None</w:t>
            </w:r>
          </w:p>
        </w:tc>
      </w:tr>
      <w:tr w:rsidR="00725977" w:rsidRPr="00D4309F" w14:paraId="3D10DB36" w14:textId="77777777" w:rsidTr="002471AD">
        <w:trPr>
          <w:gridAfter w:val="1"/>
          <w:wAfter w:w="10" w:type="pct"/>
          <w:cantSplit/>
          <w:trHeight w:val="20"/>
        </w:trPr>
        <w:tc>
          <w:tcPr>
            <w:tcW w:w="506" w:type="pct"/>
            <w:tcBorders>
              <w:top w:val="single" w:sz="4" w:space="0" w:color="000000"/>
              <w:bottom w:val="single" w:sz="4" w:space="0" w:color="000000"/>
            </w:tcBorders>
            <w:vAlign w:val="center"/>
          </w:tcPr>
          <w:p w14:paraId="57C80632" w14:textId="77777777" w:rsidR="00725977" w:rsidRPr="00D4309F" w:rsidRDefault="00725977" w:rsidP="004C00ED">
            <w:pPr>
              <w:pStyle w:val="Table-Text"/>
            </w:pPr>
            <w:r w:rsidRPr="00D4309F">
              <w:t>Marine</w:t>
            </w:r>
            <w:r w:rsidRPr="00D4309F">
              <w:rPr>
                <w:spacing w:val="-4"/>
              </w:rPr>
              <w:t xml:space="preserve"> </w:t>
            </w:r>
            <w:r w:rsidRPr="00D4309F">
              <w:t>fauna</w:t>
            </w:r>
          </w:p>
        </w:tc>
        <w:tc>
          <w:tcPr>
            <w:tcW w:w="429" w:type="pct"/>
            <w:gridSpan w:val="4"/>
            <w:tcBorders>
              <w:top w:val="single" w:sz="4" w:space="0" w:color="000000"/>
              <w:bottom w:val="single" w:sz="4" w:space="0" w:color="000000"/>
            </w:tcBorders>
            <w:vAlign w:val="center"/>
          </w:tcPr>
          <w:p w14:paraId="2FA2833B" w14:textId="77777777" w:rsidR="00725977" w:rsidRPr="00D4309F" w:rsidRDefault="00725977" w:rsidP="004C00ED">
            <w:pPr>
              <w:pStyle w:val="Table-Text"/>
            </w:pPr>
            <w:r w:rsidRPr="00D4309F">
              <w:t>Mobile species</w:t>
            </w:r>
          </w:p>
        </w:tc>
        <w:tc>
          <w:tcPr>
            <w:tcW w:w="1064" w:type="pct"/>
            <w:tcBorders>
              <w:top w:val="single" w:sz="4" w:space="0" w:color="000000"/>
              <w:bottom w:val="single" w:sz="4" w:space="0" w:color="000000"/>
            </w:tcBorders>
            <w:vAlign w:val="center"/>
          </w:tcPr>
          <w:p w14:paraId="08914AD3" w14:textId="77777777" w:rsidR="00725977" w:rsidRPr="00D4309F" w:rsidRDefault="00725977" w:rsidP="004C00ED">
            <w:pPr>
              <w:pStyle w:val="Table-Bullet"/>
            </w:pPr>
            <w:r w:rsidRPr="00D4309F">
              <w:t>Mortality/injury/behavioural response</w:t>
            </w:r>
            <w:r w:rsidRPr="00D4309F">
              <w:rPr>
                <w:spacing w:val="-9"/>
              </w:rPr>
              <w:t xml:space="preserve"> </w:t>
            </w:r>
            <w:r w:rsidRPr="00D4309F">
              <w:t>due</w:t>
            </w:r>
            <w:r w:rsidRPr="00D4309F">
              <w:rPr>
                <w:spacing w:val="-9"/>
              </w:rPr>
              <w:t xml:space="preserve"> </w:t>
            </w:r>
            <w:r w:rsidRPr="00D4309F">
              <w:t>to</w:t>
            </w:r>
            <w:r w:rsidRPr="00D4309F">
              <w:rPr>
                <w:spacing w:val="-9"/>
              </w:rPr>
              <w:t xml:space="preserve"> </w:t>
            </w:r>
            <w:r w:rsidRPr="00D4309F">
              <w:t>toxic</w:t>
            </w:r>
            <w:r w:rsidRPr="00D4309F">
              <w:rPr>
                <w:spacing w:val="-8"/>
              </w:rPr>
              <w:t xml:space="preserve"> </w:t>
            </w:r>
            <w:r w:rsidRPr="00D4309F">
              <w:t>effects</w:t>
            </w:r>
            <w:r w:rsidRPr="00D4309F">
              <w:rPr>
                <w:spacing w:val="-8"/>
              </w:rPr>
              <w:t xml:space="preserve"> </w:t>
            </w:r>
            <w:r w:rsidRPr="00D4309F">
              <w:t>due to release of contaminants/hypoxia</w:t>
            </w:r>
          </w:p>
        </w:tc>
        <w:tc>
          <w:tcPr>
            <w:tcW w:w="493" w:type="pct"/>
            <w:tcBorders>
              <w:top w:val="single" w:sz="4" w:space="0" w:color="000000"/>
              <w:bottom w:val="single" w:sz="4" w:space="0" w:color="000000"/>
            </w:tcBorders>
            <w:shd w:val="clear" w:color="auto" w:fill="92D050"/>
            <w:vAlign w:val="center"/>
          </w:tcPr>
          <w:p w14:paraId="48F032B4" w14:textId="77777777" w:rsidR="00725977" w:rsidRPr="00D4309F" w:rsidRDefault="00725977" w:rsidP="004C00ED">
            <w:pPr>
              <w:pStyle w:val="TableParagraph"/>
              <w:ind w:left="179" w:right="176"/>
              <w:rPr>
                <w:b/>
                <w:sz w:val="18"/>
              </w:rPr>
            </w:pPr>
            <w:r w:rsidRPr="00D4309F">
              <w:rPr>
                <w:b/>
                <w:color w:val="211E1F"/>
                <w:spacing w:val="-5"/>
                <w:sz w:val="18"/>
              </w:rPr>
              <w:t>Low</w:t>
            </w:r>
          </w:p>
        </w:tc>
        <w:tc>
          <w:tcPr>
            <w:tcW w:w="1001" w:type="pct"/>
            <w:gridSpan w:val="4"/>
            <w:tcBorders>
              <w:top w:val="single" w:sz="4" w:space="0" w:color="000000"/>
              <w:bottom w:val="single" w:sz="4" w:space="0" w:color="000000"/>
            </w:tcBorders>
            <w:vAlign w:val="center"/>
          </w:tcPr>
          <w:p w14:paraId="41D60A1E" w14:textId="77777777" w:rsidR="00725977" w:rsidRPr="00D4309F" w:rsidRDefault="00725977" w:rsidP="004C00ED">
            <w:pPr>
              <w:pStyle w:val="Table-Bullet"/>
            </w:pPr>
            <w:r w:rsidRPr="00D4309F">
              <w:t>Dredge sediments likely comprise clean marine sand free</w:t>
            </w:r>
            <w:r w:rsidRPr="00D4309F">
              <w:rPr>
                <w:spacing w:val="-11"/>
              </w:rPr>
              <w:t xml:space="preserve"> </w:t>
            </w:r>
            <w:r w:rsidRPr="00D4309F">
              <w:t>of</w:t>
            </w:r>
            <w:r w:rsidRPr="00D4309F">
              <w:rPr>
                <w:spacing w:val="-10"/>
              </w:rPr>
              <w:t xml:space="preserve"> </w:t>
            </w:r>
            <w:r w:rsidRPr="00D4309F">
              <w:t>contaminants</w:t>
            </w:r>
            <w:r w:rsidRPr="00D4309F">
              <w:rPr>
                <w:spacing w:val="-10"/>
              </w:rPr>
              <w:t xml:space="preserve"> </w:t>
            </w:r>
            <w:r w:rsidRPr="00D4309F">
              <w:t>with</w:t>
            </w:r>
            <w:r w:rsidRPr="00D4309F">
              <w:rPr>
                <w:spacing w:val="-11"/>
              </w:rPr>
              <w:t xml:space="preserve"> </w:t>
            </w:r>
            <w:r w:rsidRPr="00D4309F">
              <w:t>low organic matter content</w:t>
            </w:r>
          </w:p>
        </w:tc>
        <w:tc>
          <w:tcPr>
            <w:tcW w:w="717" w:type="pct"/>
            <w:gridSpan w:val="4"/>
            <w:tcBorders>
              <w:top w:val="single" w:sz="4" w:space="0" w:color="000000"/>
              <w:bottom w:val="single" w:sz="4" w:space="0" w:color="000000"/>
            </w:tcBorders>
            <w:vAlign w:val="center"/>
          </w:tcPr>
          <w:p w14:paraId="4B4EFBDC" w14:textId="77777777" w:rsidR="00725977" w:rsidRPr="00D4309F" w:rsidRDefault="00725977" w:rsidP="004C00ED">
            <w:pPr>
              <w:pStyle w:val="Table-Bullet"/>
            </w:pPr>
            <w:r w:rsidRPr="00D4309F">
              <w:t>Assumption that suitable</w:t>
            </w:r>
            <w:r w:rsidRPr="00D4309F">
              <w:rPr>
                <w:spacing w:val="-15"/>
              </w:rPr>
              <w:t xml:space="preserve"> </w:t>
            </w:r>
            <w:r w:rsidRPr="00D4309F">
              <w:t>data</w:t>
            </w:r>
            <w:r w:rsidRPr="00D4309F">
              <w:rPr>
                <w:spacing w:val="-12"/>
              </w:rPr>
              <w:t xml:space="preserve"> </w:t>
            </w:r>
            <w:r w:rsidRPr="00D4309F">
              <w:t>exists to inform this risk</w:t>
            </w:r>
          </w:p>
        </w:tc>
        <w:tc>
          <w:tcPr>
            <w:tcW w:w="781" w:type="pct"/>
            <w:gridSpan w:val="3"/>
            <w:tcBorders>
              <w:top w:val="single" w:sz="4" w:space="0" w:color="000000"/>
              <w:bottom w:val="single" w:sz="4" w:space="0" w:color="000000"/>
            </w:tcBorders>
            <w:vAlign w:val="center"/>
          </w:tcPr>
          <w:p w14:paraId="343DAC89" w14:textId="77777777" w:rsidR="00725977" w:rsidRPr="00D4309F" w:rsidRDefault="00725977" w:rsidP="004C00ED">
            <w:pPr>
              <w:pStyle w:val="Table-Bullet"/>
            </w:pPr>
            <w:r w:rsidRPr="00D4309F">
              <w:rPr>
                <w:color w:val="211E1F"/>
                <w:spacing w:val="-4"/>
              </w:rPr>
              <w:t>None</w:t>
            </w:r>
          </w:p>
        </w:tc>
      </w:tr>
      <w:tr w:rsidR="00725977" w:rsidRPr="00D4309F" w14:paraId="2EED3C10" w14:textId="77777777" w:rsidTr="002471AD">
        <w:trPr>
          <w:gridAfter w:val="1"/>
          <w:wAfter w:w="10" w:type="pct"/>
          <w:cantSplit/>
          <w:trHeight w:val="20"/>
        </w:trPr>
        <w:tc>
          <w:tcPr>
            <w:tcW w:w="506" w:type="pct"/>
            <w:tcBorders>
              <w:top w:val="single" w:sz="4" w:space="0" w:color="000000"/>
              <w:bottom w:val="single" w:sz="4" w:space="0" w:color="000000"/>
            </w:tcBorders>
            <w:vAlign w:val="center"/>
          </w:tcPr>
          <w:p w14:paraId="4AB67F7B" w14:textId="77777777" w:rsidR="00725977" w:rsidRPr="00D4309F" w:rsidRDefault="00725977" w:rsidP="004C00ED">
            <w:pPr>
              <w:pStyle w:val="Table-Text"/>
            </w:pPr>
            <w:r w:rsidRPr="00D4309F">
              <w:lastRenderedPageBreak/>
              <w:t>Benthic habitats</w:t>
            </w:r>
          </w:p>
        </w:tc>
        <w:tc>
          <w:tcPr>
            <w:tcW w:w="429" w:type="pct"/>
            <w:gridSpan w:val="4"/>
            <w:tcBorders>
              <w:top w:val="single" w:sz="4" w:space="0" w:color="000000"/>
              <w:bottom w:val="single" w:sz="4" w:space="0" w:color="000000"/>
            </w:tcBorders>
            <w:vAlign w:val="center"/>
          </w:tcPr>
          <w:p w14:paraId="56457BDB" w14:textId="77777777" w:rsidR="00725977" w:rsidRPr="00D4309F" w:rsidRDefault="00725977" w:rsidP="004C00ED">
            <w:pPr>
              <w:pStyle w:val="Table-Text"/>
            </w:pPr>
            <w:r w:rsidRPr="00D4309F">
              <w:t>Rocky</w:t>
            </w:r>
            <w:r w:rsidRPr="00D4309F">
              <w:rPr>
                <w:spacing w:val="-13"/>
              </w:rPr>
              <w:t xml:space="preserve"> </w:t>
            </w:r>
            <w:r w:rsidRPr="00D4309F">
              <w:t>reef habitat, seagrass and</w:t>
            </w:r>
            <w:r w:rsidRPr="00D4309F">
              <w:rPr>
                <w:spacing w:val="-9"/>
              </w:rPr>
              <w:t xml:space="preserve"> </w:t>
            </w:r>
            <w:r w:rsidRPr="00D4309F">
              <w:t>corals</w:t>
            </w:r>
          </w:p>
        </w:tc>
        <w:tc>
          <w:tcPr>
            <w:tcW w:w="1064" w:type="pct"/>
            <w:tcBorders>
              <w:top w:val="single" w:sz="4" w:space="0" w:color="000000"/>
              <w:bottom w:val="single" w:sz="4" w:space="0" w:color="000000"/>
            </w:tcBorders>
            <w:vAlign w:val="center"/>
          </w:tcPr>
          <w:p w14:paraId="42AD6929" w14:textId="77777777" w:rsidR="00725977" w:rsidRPr="00D4309F" w:rsidRDefault="00725977" w:rsidP="004C00ED">
            <w:pPr>
              <w:pStyle w:val="Table-Bullet"/>
            </w:pPr>
            <w:r w:rsidRPr="00D4309F">
              <w:t>Direct removal</w:t>
            </w:r>
            <w:r w:rsidRPr="00D4309F">
              <w:rPr>
                <w:spacing w:val="-1"/>
              </w:rPr>
              <w:t xml:space="preserve"> </w:t>
            </w:r>
            <w:r w:rsidRPr="00D4309F">
              <w:t>due</w:t>
            </w:r>
            <w:r w:rsidRPr="00D4309F">
              <w:rPr>
                <w:spacing w:val="-3"/>
              </w:rPr>
              <w:t xml:space="preserve"> </w:t>
            </w:r>
            <w:r w:rsidRPr="00D4309F">
              <w:t>to dredging</w:t>
            </w:r>
          </w:p>
          <w:p w14:paraId="11A81341" w14:textId="77777777" w:rsidR="00725977" w:rsidRPr="00D4309F" w:rsidRDefault="00725977" w:rsidP="004C00ED">
            <w:pPr>
              <w:pStyle w:val="Table-Bullet"/>
            </w:pPr>
            <w:r w:rsidRPr="00D4309F">
              <w:t>Generation</w:t>
            </w:r>
            <w:r w:rsidRPr="00D4309F">
              <w:rPr>
                <w:spacing w:val="-4"/>
              </w:rPr>
              <w:t xml:space="preserve"> </w:t>
            </w:r>
            <w:r w:rsidRPr="00D4309F">
              <w:t>of</w:t>
            </w:r>
            <w:r w:rsidRPr="00D4309F">
              <w:rPr>
                <w:spacing w:val="-3"/>
              </w:rPr>
              <w:t xml:space="preserve"> </w:t>
            </w:r>
            <w:r w:rsidRPr="00D4309F">
              <w:t>turbidity</w:t>
            </w:r>
          </w:p>
          <w:p w14:paraId="77F7516B" w14:textId="77777777" w:rsidR="00725977" w:rsidRPr="00D4309F" w:rsidRDefault="00725977" w:rsidP="004C00ED">
            <w:pPr>
              <w:pStyle w:val="Table-Bullet"/>
            </w:pPr>
            <w:r w:rsidRPr="00D4309F">
              <w:t>Smothering</w:t>
            </w:r>
          </w:p>
        </w:tc>
        <w:tc>
          <w:tcPr>
            <w:tcW w:w="493" w:type="pct"/>
            <w:tcBorders>
              <w:top w:val="single" w:sz="4" w:space="0" w:color="000000"/>
              <w:bottom w:val="single" w:sz="4" w:space="0" w:color="000000"/>
            </w:tcBorders>
            <w:shd w:val="clear" w:color="auto" w:fill="92D050"/>
            <w:vAlign w:val="center"/>
          </w:tcPr>
          <w:p w14:paraId="65FB6789" w14:textId="77777777" w:rsidR="00725977" w:rsidRPr="00D4309F" w:rsidRDefault="00725977" w:rsidP="004C00ED">
            <w:pPr>
              <w:pStyle w:val="TableParagraph"/>
              <w:ind w:left="179" w:right="174"/>
              <w:rPr>
                <w:b/>
                <w:sz w:val="18"/>
              </w:rPr>
            </w:pPr>
            <w:r w:rsidRPr="00D4309F">
              <w:rPr>
                <w:b/>
                <w:color w:val="211E1F"/>
                <w:spacing w:val="-2"/>
                <w:sz w:val="18"/>
              </w:rPr>
              <w:t>Low</w:t>
            </w:r>
          </w:p>
        </w:tc>
        <w:tc>
          <w:tcPr>
            <w:tcW w:w="1001" w:type="pct"/>
            <w:gridSpan w:val="4"/>
            <w:tcBorders>
              <w:top w:val="single" w:sz="4" w:space="0" w:color="000000"/>
              <w:bottom w:val="single" w:sz="4" w:space="0" w:color="000000"/>
            </w:tcBorders>
            <w:vAlign w:val="center"/>
          </w:tcPr>
          <w:p w14:paraId="78BFE1BC" w14:textId="77777777" w:rsidR="00725977" w:rsidRPr="00D4309F" w:rsidRDefault="00725977" w:rsidP="004C00ED">
            <w:pPr>
              <w:pStyle w:val="Table-Bullet"/>
            </w:pPr>
            <w:r w:rsidRPr="00D4309F">
              <w:t>The</w:t>
            </w:r>
            <w:r w:rsidRPr="00D4309F">
              <w:rPr>
                <w:spacing w:val="-13"/>
              </w:rPr>
              <w:t xml:space="preserve"> </w:t>
            </w:r>
            <w:r w:rsidRPr="00D4309F">
              <w:t>dredge</w:t>
            </w:r>
            <w:r w:rsidRPr="00D4309F">
              <w:rPr>
                <w:spacing w:val="-12"/>
              </w:rPr>
              <w:t xml:space="preserve"> and disposal </w:t>
            </w:r>
            <w:r w:rsidRPr="00D4309F">
              <w:t>area</w:t>
            </w:r>
            <w:r w:rsidRPr="00D4309F">
              <w:rPr>
                <w:spacing w:val="-13"/>
              </w:rPr>
              <w:t xml:space="preserve"> </w:t>
            </w:r>
            <w:r w:rsidRPr="00D4309F">
              <w:t>comprise bare sand</w:t>
            </w:r>
          </w:p>
          <w:p w14:paraId="7443E9DF" w14:textId="77777777" w:rsidR="00725977" w:rsidRPr="00D4309F" w:rsidRDefault="00725977" w:rsidP="004C00ED">
            <w:pPr>
              <w:pStyle w:val="Table-Bullet"/>
            </w:pPr>
            <w:r w:rsidRPr="00D4309F">
              <w:t>Dredging</w:t>
            </w:r>
            <w:r w:rsidRPr="00D4309F">
              <w:rPr>
                <w:spacing w:val="-9"/>
              </w:rPr>
              <w:t xml:space="preserve"> </w:t>
            </w:r>
            <w:r w:rsidRPr="00D4309F">
              <w:t>and</w:t>
            </w:r>
            <w:r w:rsidRPr="00D4309F">
              <w:rPr>
                <w:spacing w:val="-9"/>
              </w:rPr>
              <w:t xml:space="preserve"> </w:t>
            </w:r>
            <w:r w:rsidRPr="00D4309F">
              <w:t>disposal</w:t>
            </w:r>
            <w:r w:rsidRPr="00D4309F">
              <w:rPr>
                <w:spacing w:val="-8"/>
              </w:rPr>
              <w:t xml:space="preserve"> </w:t>
            </w:r>
            <w:r w:rsidRPr="00D4309F">
              <w:t>is</w:t>
            </w:r>
            <w:r w:rsidRPr="00D4309F">
              <w:rPr>
                <w:spacing w:val="-8"/>
              </w:rPr>
              <w:t xml:space="preserve"> </w:t>
            </w:r>
            <w:r w:rsidRPr="00D4309F">
              <w:t>in</w:t>
            </w:r>
            <w:r w:rsidRPr="00D4309F">
              <w:rPr>
                <w:spacing w:val="-9"/>
              </w:rPr>
              <w:t xml:space="preserve"> </w:t>
            </w:r>
            <w:r w:rsidRPr="00D4309F">
              <w:t>a dynamic, open ocean environment, any plume will likely dissipate quickly</w:t>
            </w:r>
            <w:r w:rsidRPr="00D4309F">
              <w:rPr>
                <w:szCs w:val="18"/>
              </w:rPr>
              <w:t xml:space="preserve"> and data from the dredge area indicate fast sediment settling rates</w:t>
            </w:r>
          </w:p>
        </w:tc>
        <w:tc>
          <w:tcPr>
            <w:tcW w:w="717" w:type="pct"/>
            <w:gridSpan w:val="4"/>
            <w:tcBorders>
              <w:top w:val="single" w:sz="4" w:space="0" w:color="000000"/>
              <w:bottom w:val="single" w:sz="4" w:space="0" w:color="000000"/>
            </w:tcBorders>
            <w:vAlign w:val="center"/>
          </w:tcPr>
          <w:p w14:paraId="6C700486" w14:textId="77777777" w:rsidR="00725977" w:rsidRPr="00D4309F" w:rsidRDefault="00725977" w:rsidP="004C00ED">
            <w:pPr>
              <w:pStyle w:val="Table-Bullet"/>
            </w:pPr>
            <w:r w:rsidRPr="00D4309F">
              <w:rPr>
                <w:color w:val="211E1F"/>
                <w:spacing w:val="-4"/>
              </w:rPr>
              <w:t xml:space="preserve">None </w:t>
            </w:r>
          </w:p>
        </w:tc>
        <w:tc>
          <w:tcPr>
            <w:tcW w:w="781" w:type="pct"/>
            <w:gridSpan w:val="3"/>
            <w:tcBorders>
              <w:top w:val="single" w:sz="4" w:space="0" w:color="000000"/>
              <w:bottom w:val="single" w:sz="4" w:space="0" w:color="000000"/>
            </w:tcBorders>
            <w:vAlign w:val="center"/>
          </w:tcPr>
          <w:p w14:paraId="206A73E8" w14:textId="77777777" w:rsidR="00725977" w:rsidRPr="00D4309F" w:rsidRDefault="00725977" w:rsidP="004C00ED">
            <w:pPr>
              <w:pStyle w:val="Table-Bullet"/>
            </w:pPr>
            <w:r w:rsidRPr="00D4309F">
              <w:rPr>
                <w:color w:val="211E1F"/>
                <w:spacing w:val="-4"/>
              </w:rPr>
              <w:t>None</w:t>
            </w:r>
          </w:p>
        </w:tc>
      </w:tr>
      <w:tr w:rsidR="00725977" w:rsidRPr="00D4309F" w14:paraId="03E0EBEB" w14:textId="77777777" w:rsidTr="002471AD">
        <w:trPr>
          <w:gridAfter w:val="1"/>
          <w:wAfter w:w="10" w:type="pct"/>
          <w:cantSplit/>
          <w:trHeight w:val="20"/>
        </w:trPr>
        <w:tc>
          <w:tcPr>
            <w:tcW w:w="506" w:type="pct"/>
            <w:tcBorders>
              <w:top w:val="single" w:sz="4" w:space="0" w:color="000000"/>
              <w:bottom w:val="single" w:sz="4" w:space="0" w:color="000000"/>
            </w:tcBorders>
            <w:vAlign w:val="center"/>
          </w:tcPr>
          <w:p w14:paraId="5E25EECD" w14:textId="77777777" w:rsidR="00725977" w:rsidRPr="00D4309F" w:rsidRDefault="00725977" w:rsidP="004C00ED">
            <w:pPr>
              <w:pStyle w:val="Table-Text"/>
            </w:pPr>
            <w:r w:rsidRPr="00D4309F">
              <w:t>Benthic habitats</w:t>
            </w:r>
          </w:p>
        </w:tc>
        <w:tc>
          <w:tcPr>
            <w:tcW w:w="429" w:type="pct"/>
            <w:gridSpan w:val="4"/>
            <w:tcBorders>
              <w:top w:val="single" w:sz="4" w:space="0" w:color="000000"/>
              <w:bottom w:val="single" w:sz="4" w:space="0" w:color="000000"/>
            </w:tcBorders>
            <w:vAlign w:val="center"/>
          </w:tcPr>
          <w:p w14:paraId="70472921" w14:textId="77777777" w:rsidR="00725977" w:rsidRPr="00D4309F" w:rsidRDefault="00725977" w:rsidP="004C00ED">
            <w:pPr>
              <w:pStyle w:val="Table-Text"/>
            </w:pPr>
            <w:r w:rsidRPr="00D4309F">
              <w:t>Rocky</w:t>
            </w:r>
            <w:r w:rsidRPr="00D4309F">
              <w:rPr>
                <w:spacing w:val="-13"/>
              </w:rPr>
              <w:t xml:space="preserve"> </w:t>
            </w:r>
            <w:r w:rsidRPr="00D4309F">
              <w:t>reef habitat, seagrass and</w:t>
            </w:r>
            <w:r w:rsidRPr="00D4309F">
              <w:rPr>
                <w:spacing w:val="-9"/>
              </w:rPr>
              <w:t xml:space="preserve"> </w:t>
            </w:r>
            <w:r w:rsidRPr="00D4309F">
              <w:t>corals</w:t>
            </w:r>
          </w:p>
        </w:tc>
        <w:tc>
          <w:tcPr>
            <w:tcW w:w="1064" w:type="pct"/>
            <w:tcBorders>
              <w:top w:val="single" w:sz="4" w:space="0" w:color="000000"/>
              <w:bottom w:val="single" w:sz="4" w:space="0" w:color="000000"/>
            </w:tcBorders>
            <w:vAlign w:val="center"/>
          </w:tcPr>
          <w:p w14:paraId="7501BE16" w14:textId="77777777" w:rsidR="00725977" w:rsidRPr="00D4309F" w:rsidRDefault="00725977" w:rsidP="004C00ED">
            <w:pPr>
              <w:pStyle w:val="TableParagraph"/>
              <w:numPr>
                <w:ilvl w:val="0"/>
                <w:numId w:val="23"/>
              </w:numPr>
              <w:tabs>
                <w:tab w:val="left" w:pos="444"/>
              </w:tabs>
              <w:ind w:right="932"/>
              <w:rPr>
                <w:sz w:val="18"/>
              </w:rPr>
            </w:pPr>
            <w:r w:rsidRPr="00D4309F">
              <w:rPr>
                <w:sz w:val="18"/>
              </w:rPr>
              <w:t>Release</w:t>
            </w:r>
            <w:r w:rsidRPr="00D4309F">
              <w:rPr>
                <w:spacing w:val="-4"/>
                <w:sz w:val="18"/>
              </w:rPr>
              <w:t xml:space="preserve"> </w:t>
            </w:r>
            <w:r w:rsidRPr="00D4309F">
              <w:rPr>
                <w:sz w:val="18"/>
              </w:rPr>
              <w:t>of</w:t>
            </w:r>
            <w:r w:rsidRPr="00D4309F">
              <w:rPr>
                <w:spacing w:val="-2"/>
                <w:sz w:val="18"/>
              </w:rPr>
              <w:t xml:space="preserve"> contaminants</w:t>
            </w:r>
            <w:r w:rsidRPr="004C00ED">
              <w:rPr>
                <w:rFonts w:eastAsiaTheme="minorHAnsi" w:cs="Verdana"/>
                <w:color w:val="221E1F"/>
                <w:sz w:val="18"/>
                <w:szCs w:val="20"/>
              </w:rPr>
              <w:t>/hypoxia</w:t>
            </w:r>
          </w:p>
        </w:tc>
        <w:tc>
          <w:tcPr>
            <w:tcW w:w="493" w:type="pct"/>
            <w:tcBorders>
              <w:top w:val="single" w:sz="4" w:space="0" w:color="000000"/>
              <w:bottom w:val="single" w:sz="4" w:space="0" w:color="000000"/>
            </w:tcBorders>
            <w:shd w:val="clear" w:color="auto" w:fill="92D050"/>
            <w:vAlign w:val="center"/>
          </w:tcPr>
          <w:p w14:paraId="5EE64FCC" w14:textId="77777777" w:rsidR="00725977" w:rsidRPr="00D4309F" w:rsidRDefault="00725977" w:rsidP="004C00ED">
            <w:pPr>
              <w:pStyle w:val="TableParagraph"/>
              <w:ind w:left="179" w:right="176"/>
              <w:rPr>
                <w:b/>
                <w:sz w:val="18"/>
              </w:rPr>
            </w:pPr>
            <w:r w:rsidRPr="00D4309F">
              <w:rPr>
                <w:b/>
                <w:color w:val="211E1F"/>
                <w:spacing w:val="-5"/>
                <w:sz w:val="18"/>
              </w:rPr>
              <w:t>Low</w:t>
            </w:r>
          </w:p>
        </w:tc>
        <w:tc>
          <w:tcPr>
            <w:tcW w:w="1001" w:type="pct"/>
            <w:gridSpan w:val="4"/>
            <w:tcBorders>
              <w:top w:val="single" w:sz="4" w:space="0" w:color="000000"/>
              <w:bottom w:val="single" w:sz="4" w:space="0" w:color="000000"/>
            </w:tcBorders>
            <w:vAlign w:val="center"/>
          </w:tcPr>
          <w:p w14:paraId="44901E0D" w14:textId="77777777" w:rsidR="00725977" w:rsidRPr="00D4309F" w:rsidRDefault="00725977" w:rsidP="004C00ED">
            <w:pPr>
              <w:pStyle w:val="Table-Bullet"/>
            </w:pPr>
            <w:r w:rsidRPr="00D4309F">
              <w:t>Dredge sediments likely comprise clean marine sand free</w:t>
            </w:r>
            <w:r w:rsidRPr="00D4309F">
              <w:rPr>
                <w:spacing w:val="-11"/>
              </w:rPr>
              <w:t xml:space="preserve"> </w:t>
            </w:r>
            <w:r w:rsidRPr="00D4309F">
              <w:t>of</w:t>
            </w:r>
            <w:r w:rsidRPr="00D4309F">
              <w:rPr>
                <w:spacing w:val="-10"/>
              </w:rPr>
              <w:t xml:space="preserve"> </w:t>
            </w:r>
            <w:r w:rsidRPr="00D4309F">
              <w:t>contaminants</w:t>
            </w:r>
            <w:r w:rsidRPr="00D4309F">
              <w:rPr>
                <w:spacing w:val="-10"/>
              </w:rPr>
              <w:t xml:space="preserve"> </w:t>
            </w:r>
            <w:r w:rsidRPr="00D4309F">
              <w:t>with</w:t>
            </w:r>
            <w:r w:rsidRPr="00D4309F">
              <w:rPr>
                <w:spacing w:val="-11"/>
              </w:rPr>
              <w:t xml:space="preserve"> </w:t>
            </w:r>
            <w:r w:rsidRPr="00D4309F">
              <w:t>low organic matter content</w:t>
            </w:r>
          </w:p>
        </w:tc>
        <w:tc>
          <w:tcPr>
            <w:tcW w:w="717" w:type="pct"/>
            <w:gridSpan w:val="4"/>
            <w:tcBorders>
              <w:top w:val="single" w:sz="4" w:space="0" w:color="000000"/>
              <w:bottom w:val="single" w:sz="4" w:space="0" w:color="000000"/>
            </w:tcBorders>
            <w:vAlign w:val="center"/>
          </w:tcPr>
          <w:p w14:paraId="67DDA380" w14:textId="77777777" w:rsidR="00725977" w:rsidRPr="00D4309F" w:rsidRDefault="00725977" w:rsidP="004C00ED">
            <w:pPr>
              <w:pStyle w:val="Table-Bullet"/>
            </w:pPr>
            <w:r w:rsidRPr="00D4309F">
              <w:t>Assumption that suitable</w:t>
            </w:r>
            <w:r w:rsidRPr="00D4309F">
              <w:rPr>
                <w:spacing w:val="-15"/>
              </w:rPr>
              <w:t xml:space="preserve"> </w:t>
            </w:r>
            <w:r w:rsidRPr="00D4309F">
              <w:t>data</w:t>
            </w:r>
            <w:r w:rsidRPr="00D4309F">
              <w:rPr>
                <w:spacing w:val="-12"/>
              </w:rPr>
              <w:t xml:space="preserve"> </w:t>
            </w:r>
            <w:r w:rsidRPr="00D4309F">
              <w:t>exists to inform this risk</w:t>
            </w:r>
          </w:p>
        </w:tc>
        <w:tc>
          <w:tcPr>
            <w:tcW w:w="781" w:type="pct"/>
            <w:gridSpan w:val="3"/>
            <w:tcBorders>
              <w:top w:val="single" w:sz="4" w:space="0" w:color="000000"/>
              <w:bottom w:val="single" w:sz="4" w:space="0" w:color="000000"/>
            </w:tcBorders>
            <w:vAlign w:val="center"/>
          </w:tcPr>
          <w:p w14:paraId="3CD649FB" w14:textId="77777777" w:rsidR="00725977" w:rsidRPr="00D4309F" w:rsidRDefault="00725977" w:rsidP="004C00ED">
            <w:pPr>
              <w:pStyle w:val="Table-Bullet"/>
            </w:pPr>
            <w:r w:rsidRPr="00D4309F">
              <w:rPr>
                <w:color w:val="211E1F"/>
                <w:spacing w:val="-4"/>
              </w:rPr>
              <w:t>None</w:t>
            </w:r>
          </w:p>
        </w:tc>
      </w:tr>
      <w:tr w:rsidR="00725977" w:rsidRPr="00D4309F" w14:paraId="2952D791" w14:textId="77777777" w:rsidTr="002471AD">
        <w:trPr>
          <w:gridAfter w:val="1"/>
          <w:wAfter w:w="10" w:type="pct"/>
          <w:cantSplit/>
          <w:trHeight w:val="20"/>
        </w:trPr>
        <w:tc>
          <w:tcPr>
            <w:tcW w:w="921" w:type="pct"/>
            <w:gridSpan w:val="3"/>
            <w:tcBorders>
              <w:top w:val="single" w:sz="4" w:space="0" w:color="000000"/>
              <w:bottom w:val="single" w:sz="4" w:space="0" w:color="000000"/>
            </w:tcBorders>
            <w:vAlign w:val="center"/>
          </w:tcPr>
          <w:p w14:paraId="66C73FA8" w14:textId="77777777" w:rsidR="00725977" w:rsidRPr="00D4309F" w:rsidRDefault="00725977" w:rsidP="004C00ED">
            <w:pPr>
              <w:pStyle w:val="Table-Text"/>
            </w:pPr>
            <w:r w:rsidRPr="00D4309F">
              <w:t>Terrestrial</w:t>
            </w:r>
            <w:r w:rsidRPr="00D4309F">
              <w:rPr>
                <w:spacing w:val="-15"/>
              </w:rPr>
              <w:t xml:space="preserve"> </w:t>
            </w:r>
            <w:r w:rsidRPr="00D4309F">
              <w:t>fauna</w:t>
            </w:r>
            <w:r w:rsidRPr="00D4309F">
              <w:rPr>
                <w:spacing w:val="-12"/>
              </w:rPr>
              <w:t xml:space="preserve"> </w:t>
            </w:r>
            <w:r w:rsidRPr="00D4309F">
              <w:t>including shorebirds and raptors</w:t>
            </w:r>
          </w:p>
        </w:tc>
        <w:tc>
          <w:tcPr>
            <w:tcW w:w="1077" w:type="pct"/>
            <w:gridSpan w:val="3"/>
            <w:tcBorders>
              <w:top w:val="single" w:sz="4" w:space="0" w:color="000000"/>
              <w:bottom w:val="single" w:sz="4" w:space="0" w:color="000000"/>
            </w:tcBorders>
            <w:vAlign w:val="center"/>
          </w:tcPr>
          <w:p w14:paraId="04E1ED19" w14:textId="77777777" w:rsidR="00725977" w:rsidRPr="00D4309F" w:rsidRDefault="00725977" w:rsidP="004C00ED">
            <w:pPr>
              <w:pStyle w:val="Table-Bullet"/>
            </w:pPr>
            <w:r w:rsidRPr="00D4309F">
              <w:t>Mortality/injury/behavioural response due to noise</w:t>
            </w:r>
          </w:p>
          <w:p w14:paraId="6A517C1F" w14:textId="77777777" w:rsidR="00725977" w:rsidRPr="00D4309F" w:rsidRDefault="00725977" w:rsidP="004C00ED">
            <w:pPr>
              <w:pStyle w:val="Table-Bullet"/>
            </w:pPr>
            <w:r w:rsidRPr="00D4309F">
              <w:t>Behavioural response and interruption</w:t>
            </w:r>
            <w:r w:rsidRPr="00D4309F">
              <w:rPr>
                <w:spacing w:val="-13"/>
              </w:rPr>
              <w:t xml:space="preserve"> </w:t>
            </w:r>
            <w:r w:rsidRPr="00D4309F">
              <w:t>of</w:t>
            </w:r>
            <w:r w:rsidRPr="00D4309F">
              <w:rPr>
                <w:spacing w:val="-12"/>
              </w:rPr>
              <w:t xml:space="preserve"> </w:t>
            </w:r>
            <w:r w:rsidRPr="00D4309F">
              <w:t>nesting</w:t>
            </w:r>
            <w:r w:rsidRPr="00D4309F">
              <w:rPr>
                <w:spacing w:val="-13"/>
              </w:rPr>
              <w:t xml:space="preserve"> </w:t>
            </w:r>
            <w:r w:rsidRPr="00D4309F">
              <w:t>behaviour due to light</w:t>
            </w:r>
          </w:p>
          <w:p w14:paraId="53139943" w14:textId="77777777" w:rsidR="00725977" w:rsidRPr="00D4309F" w:rsidRDefault="00725977" w:rsidP="004C00ED">
            <w:pPr>
              <w:pStyle w:val="Table-Bullet"/>
            </w:pPr>
            <w:r w:rsidRPr="00D4309F">
              <w:t>Mortality/injury/behavioural response</w:t>
            </w:r>
            <w:r w:rsidRPr="00D4309F">
              <w:rPr>
                <w:spacing w:val="-13"/>
              </w:rPr>
              <w:t xml:space="preserve"> </w:t>
            </w:r>
            <w:r w:rsidRPr="00D4309F">
              <w:t>due</w:t>
            </w:r>
            <w:r w:rsidRPr="00D4309F">
              <w:rPr>
                <w:spacing w:val="-12"/>
              </w:rPr>
              <w:t xml:space="preserve"> </w:t>
            </w:r>
            <w:r w:rsidRPr="00D4309F">
              <w:t>physical</w:t>
            </w:r>
            <w:r w:rsidRPr="00D4309F">
              <w:rPr>
                <w:spacing w:val="-13"/>
              </w:rPr>
              <w:t xml:space="preserve"> </w:t>
            </w:r>
            <w:r w:rsidRPr="00D4309F">
              <w:t>presence</w:t>
            </w:r>
          </w:p>
        </w:tc>
        <w:tc>
          <w:tcPr>
            <w:tcW w:w="493" w:type="pct"/>
            <w:tcBorders>
              <w:top w:val="single" w:sz="4" w:space="0" w:color="000000"/>
              <w:bottom w:val="single" w:sz="4" w:space="0" w:color="000000"/>
            </w:tcBorders>
            <w:shd w:val="clear" w:color="auto" w:fill="FFFF00"/>
            <w:vAlign w:val="center"/>
          </w:tcPr>
          <w:p w14:paraId="31EB7DAD" w14:textId="77777777" w:rsidR="00725977" w:rsidRPr="00D4309F" w:rsidRDefault="00725977" w:rsidP="004C00ED">
            <w:pPr>
              <w:pStyle w:val="TableParagraph"/>
              <w:ind w:left="176" w:right="171" w:firstLine="170"/>
              <w:rPr>
                <w:b/>
                <w:sz w:val="18"/>
              </w:rPr>
            </w:pPr>
            <w:r w:rsidRPr="00D4309F">
              <w:rPr>
                <w:b/>
                <w:color w:val="211E1F"/>
                <w:spacing w:val="-2"/>
                <w:sz w:val="18"/>
              </w:rPr>
              <w:t>Moderate</w:t>
            </w:r>
          </w:p>
        </w:tc>
        <w:tc>
          <w:tcPr>
            <w:tcW w:w="1010" w:type="pct"/>
            <w:gridSpan w:val="5"/>
            <w:tcBorders>
              <w:top w:val="single" w:sz="4" w:space="0" w:color="000000"/>
              <w:bottom w:val="single" w:sz="4" w:space="0" w:color="000000"/>
            </w:tcBorders>
            <w:vAlign w:val="center"/>
          </w:tcPr>
          <w:p w14:paraId="324123A0" w14:textId="77777777" w:rsidR="00725977" w:rsidRPr="00D4309F" w:rsidRDefault="00725977" w:rsidP="004C00ED">
            <w:pPr>
              <w:pStyle w:val="Table-Bullet"/>
            </w:pPr>
            <w:r w:rsidRPr="00D4309F">
              <w:t>Several species listed as vulnerable</w:t>
            </w:r>
            <w:r w:rsidRPr="00D4309F">
              <w:rPr>
                <w:spacing w:val="-13"/>
              </w:rPr>
              <w:t xml:space="preserve"> </w:t>
            </w:r>
            <w:r w:rsidRPr="00D4309F">
              <w:t>or</w:t>
            </w:r>
            <w:r w:rsidRPr="00D4309F">
              <w:rPr>
                <w:spacing w:val="-12"/>
              </w:rPr>
              <w:t xml:space="preserve"> </w:t>
            </w:r>
            <w:r w:rsidRPr="00D4309F">
              <w:t>endangered</w:t>
            </w:r>
            <w:r w:rsidRPr="00D4309F">
              <w:rPr>
                <w:spacing w:val="-13"/>
              </w:rPr>
              <w:t xml:space="preserve"> </w:t>
            </w:r>
            <w:r w:rsidRPr="00D4309F">
              <w:t>may occur in the project area</w:t>
            </w:r>
          </w:p>
          <w:p w14:paraId="0800796F" w14:textId="77777777" w:rsidR="00725977" w:rsidRPr="00D4309F" w:rsidRDefault="00725977" w:rsidP="004C00ED">
            <w:pPr>
              <w:pStyle w:val="Table-Bullet"/>
            </w:pPr>
            <w:r w:rsidRPr="00D4309F">
              <w:t>Several species of shorebirds are</w:t>
            </w:r>
            <w:r w:rsidRPr="00D4309F">
              <w:rPr>
                <w:spacing w:val="-9"/>
              </w:rPr>
              <w:t xml:space="preserve"> </w:t>
            </w:r>
            <w:r w:rsidRPr="00D4309F">
              <w:t>listed</w:t>
            </w:r>
            <w:r w:rsidRPr="00D4309F">
              <w:rPr>
                <w:spacing w:val="-9"/>
              </w:rPr>
              <w:t xml:space="preserve"> </w:t>
            </w:r>
            <w:r w:rsidRPr="00D4309F">
              <w:t>as</w:t>
            </w:r>
            <w:r w:rsidRPr="00D4309F">
              <w:rPr>
                <w:spacing w:val="-8"/>
              </w:rPr>
              <w:t xml:space="preserve"> </w:t>
            </w:r>
            <w:r w:rsidRPr="00D4309F">
              <w:t>occurring</w:t>
            </w:r>
            <w:r w:rsidRPr="00D4309F">
              <w:rPr>
                <w:spacing w:val="-7"/>
              </w:rPr>
              <w:t xml:space="preserve"> </w:t>
            </w:r>
            <w:r w:rsidRPr="00D4309F">
              <w:t>at</w:t>
            </w:r>
            <w:r w:rsidRPr="00D4309F">
              <w:rPr>
                <w:spacing w:val="-8"/>
              </w:rPr>
              <w:t xml:space="preserve"> </w:t>
            </w:r>
            <w:r w:rsidRPr="00D4309F">
              <w:t>Point Cartwright and could be impacted; however, it is more likely they would occur at the lower Maroochy River</w:t>
            </w:r>
          </w:p>
        </w:tc>
        <w:tc>
          <w:tcPr>
            <w:tcW w:w="707" w:type="pct"/>
            <w:gridSpan w:val="2"/>
            <w:tcBorders>
              <w:top w:val="single" w:sz="4" w:space="0" w:color="000000"/>
              <w:bottom w:val="single" w:sz="4" w:space="0" w:color="000000"/>
            </w:tcBorders>
            <w:vAlign w:val="center"/>
          </w:tcPr>
          <w:p w14:paraId="153F55AB" w14:textId="77777777" w:rsidR="00725977" w:rsidRPr="00D4309F" w:rsidRDefault="00725977" w:rsidP="004C00ED">
            <w:pPr>
              <w:pStyle w:val="Table-Bullet"/>
            </w:pPr>
            <w:r w:rsidRPr="00D4309F">
              <w:t>Assessment of species</w:t>
            </w:r>
            <w:r w:rsidRPr="00D4309F">
              <w:rPr>
                <w:spacing w:val="-13"/>
              </w:rPr>
              <w:t xml:space="preserve"> </w:t>
            </w:r>
            <w:r w:rsidRPr="00D4309F">
              <w:t>occurrence at Point Cartwright</w:t>
            </w:r>
          </w:p>
          <w:p w14:paraId="39C63965" w14:textId="77777777" w:rsidR="00725977" w:rsidRPr="00D4309F" w:rsidRDefault="00725977" w:rsidP="004C00ED">
            <w:pPr>
              <w:pStyle w:val="Table-Bullet"/>
            </w:pPr>
            <w:r w:rsidRPr="00D4309F">
              <w:t>Noise</w:t>
            </w:r>
            <w:r w:rsidRPr="00D4309F">
              <w:rPr>
                <w:spacing w:val="-2"/>
              </w:rPr>
              <w:t xml:space="preserve"> assessment</w:t>
            </w:r>
          </w:p>
          <w:p w14:paraId="04949AFB" w14:textId="77777777" w:rsidR="00725977" w:rsidRPr="00D4309F" w:rsidRDefault="00725977" w:rsidP="004C00ED">
            <w:pPr>
              <w:pStyle w:val="Table-Bullet"/>
            </w:pPr>
            <w:r w:rsidRPr="00D4309F">
              <w:t>Light</w:t>
            </w:r>
            <w:r w:rsidRPr="00D4309F">
              <w:rPr>
                <w:spacing w:val="-15"/>
              </w:rPr>
              <w:t xml:space="preserve"> </w:t>
            </w:r>
            <w:r w:rsidRPr="00D4309F">
              <w:t>assessment</w:t>
            </w:r>
            <w:r w:rsidRPr="00D4309F">
              <w:rPr>
                <w:spacing w:val="-12"/>
              </w:rPr>
              <w:t xml:space="preserve"> </w:t>
            </w:r>
            <w:r w:rsidRPr="00D4309F">
              <w:t xml:space="preserve">if night works are </w:t>
            </w:r>
            <w:r w:rsidRPr="00D4309F">
              <w:rPr>
                <w:spacing w:val="-2"/>
              </w:rPr>
              <w:t>proposed</w:t>
            </w:r>
          </w:p>
        </w:tc>
        <w:tc>
          <w:tcPr>
            <w:tcW w:w="783" w:type="pct"/>
            <w:gridSpan w:val="4"/>
            <w:tcBorders>
              <w:top w:val="single" w:sz="4" w:space="0" w:color="000000"/>
              <w:bottom w:val="single" w:sz="4" w:space="0" w:color="000000"/>
            </w:tcBorders>
            <w:vAlign w:val="center"/>
          </w:tcPr>
          <w:p w14:paraId="540A4701" w14:textId="77777777" w:rsidR="00725977" w:rsidRPr="00D4309F" w:rsidRDefault="00725977" w:rsidP="004C00ED">
            <w:pPr>
              <w:pStyle w:val="Table-Bullet"/>
            </w:pPr>
            <w:r w:rsidRPr="00D4309F">
              <w:t>Timing</w:t>
            </w:r>
            <w:r w:rsidRPr="00D4309F">
              <w:rPr>
                <w:spacing w:val="-15"/>
              </w:rPr>
              <w:t xml:space="preserve"> </w:t>
            </w:r>
            <w:r w:rsidRPr="00D4309F">
              <w:t>of</w:t>
            </w:r>
            <w:r w:rsidRPr="00D4309F">
              <w:rPr>
                <w:spacing w:val="-12"/>
              </w:rPr>
              <w:t xml:space="preserve"> </w:t>
            </w:r>
            <w:r w:rsidRPr="00D4309F">
              <w:t xml:space="preserve">works outside of peak </w:t>
            </w:r>
            <w:r w:rsidRPr="00D4309F">
              <w:rPr>
                <w:spacing w:val="-2"/>
              </w:rPr>
              <w:t xml:space="preserve">aggregation </w:t>
            </w:r>
            <w:r w:rsidRPr="00D4309F">
              <w:t xml:space="preserve">periods for </w:t>
            </w:r>
            <w:r w:rsidRPr="00D4309F">
              <w:rPr>
                <w:spacing w:val="-2"/>
              </w:rPr>
              <w:t>migratory shorebirds</w:t>
            </w:r>
          </w:p>
        </w:tc>
      </w:tr>
      <w:tr w:rsidR="00725977" w:rsidRPr="00D4309F" w14:paraId="198A58FC" w14:textId="77777777" w:rsidTr="002471AD">
        <w:trPr>
          <w:gridAfter w:val="2"/>
          <w:wAfter w:w="12" w:type="pct"/>
          <w:cantSplit/>
          <w:trHeight w:val="20"/>
        </w:trPr>
        <w:tc>
          <w:tcPr>
            <w:tcW w:w="930" w:type="pct"/>
            <w:gridSpan w:val="4"/>
            <w:tcBorders>
              <w:top w:val="single" w:sz="4" w:space="0" w:color="000000"/>
              <w:bottom w:val="single" w:sz="4" w:space="0" w:color="000000"/>
            </w:tcBorders>
            <w:vAlign w:val="center"/>
          </w:tcPr>
          <w:p w14:paraId="6A24A639" w14:textId="77777777" w:rsidR="00725977" w:rsidRPr="00D4309F" w:rsidRDefault="00725977" w:rsidP="004C00ED">
            <w:pPr>
              <w:pStyle w:val="Table-Text"/>
              <w:rPr>
                <w:rFonts w:ascii="Times New Roman"/>
                <w:sz w:val="16"/>
              </w:rPr>
            </w:pPr>
            <w:r w:rsidRPr="00D4309F">
              <w:t>Terrestrial</w:t>
            </w:r>
            <w:r w:rsidRPr="00D4309F">
              <w:rPr>
                <w:spacing w:val="-4"/>
              </w:rPr>
              <w:t xml:space="preserve"> </w:t>
            </w:r>
            <w:r w:rsidRPr="00D4309F">
              <w:rPr>
                <w:spacing w:val="-2"/>
              </w:rPr>
              <w:t>flora</w:t>
            </w:r>
          </w:p>
        </w:tc>
        <w:tc>
          <w:tcPr>
            <w:tcW w:w="1068" w:type="pct"/>
            <w:gridSpan w:val="2"/>
            <w:tcBorders>
              <w:top w:val="single" w:sz="4" w:space="0" w:color="000000"/>
              <w:bottom w:val="single" w:sz="4" w:space="0" w:color="000000"/>
            </w:tcBorders>
            <w:vAlign w:val="center"/>
          </w:tcPr>
          <w:p w14:paraId="1B09BCAA" w14:textId="77777777" w:rsidR="00725977" w:rsidRPr="00D4309F" w:rsidRDefault="00725977" w:rsidP="004C00ED">
            <w:pPr>
              <w:pStyle w:val="TableParagraph"/>
              <w:tabs>
                <w:tab w:val="left" w:pos="455"/>
              </w:tabs>
              <w:spacing w:before="40"/>
              <w:ind w:left="136" w:right="192"/>
              <w:rPr>
                <w:sz w:val="18"/>
              </w:rPr>
            </w:pPr>
            <w:r w:rsidRPr="00D4309F">
              <w:rPr>
                <w:color w:val="211E1F"/>
                <w:sz w:val="18"/>
              </w:rPr>
              <w:t>No</w:t>
            </w:r>
            <w:r w:rsidRPr="00D4309F">
              <w:rPr>
                <w:color w:val="211E1F"/>
                <w:spacing w:val="-10"/>
                <w:sz w:val="18"/>
              </w:rPr>
              <w:t xml:space="preserve"> </w:t>
            </w:r>
            <w:r w:rsidRPr="00D4309F">
              <w:rPr>
                <w:color w:val="211E1F"/>
                <w:sz w:val="18"/>
              </w:rPr>
              <w:t>impact</w:t>
            </w:r>
            <w:r w:rsidRPr="00D4309F">
              <w:rPr>
                <w:color w:val="211E1F"/>
                <w:spacing w:val="-10"/>
                <w:sz w:val="18"/>
              </w:rPr>
              <w:t xml:space="preserve"> </w:t>
            </w:r>
            <w:r w:rsidRPr="00D4309F">
              <w:rPr>
                <w:color w:val="211E1F"/>
                <w:sz w:val="18"/>
              </w:rPr>
              <w:t>pathway</w:t>
            </w:r>
            <w:r w:rsidRPr="00D4309F">
              <w:rPr>
                <w:color w:val="211E1F"/>
                <w:spacing w:val="-10"/>
                <w:sz w:val="18"/>
              </w:rPr>
              <w:t xml:space="preserve"> </w:t>
            </w:r>
            <w:r w:rsidRPr="00D4309F">
              <w:rPr>
                <w:color w:val="211E1F"/>
                <w:sz w:val="18"/>
              </w:rPr>
              <w:t>to</w:t>
            </w:r>
            <w:r w:rsidRPr="00D4309F">
              <w:rPr>
                <w:color w:val="211E1F"/>
                <w:spacing w:val="-10"/>
                <w:sz w:val="18"/>
              </w:rPr>
              <w:t xml:space="preserve"> </w:t>
            </w:r>
            <w:r w:rsidRPr="00D4309F">
              <w:rPr>
                <w:color w:val="211E1F"/>
                <w:sz w:val="18"/>
              </w:rPr>
              <w:t xml:space="preserve">terrestrial </w:t>
            </w:r>
            <w:r w:rsidRPr="00D4309F">
              <w:rPr>
                <w:color w:val="211E1F"/>
                <w:spacing w:val="-2"/>
                <w:sz w:val="18"/>
              </w:rPr>
              <w:t>environment</w:t>
            </w:r>
          </w:p>
        </w:tc>
        <w:tc>
          <w:tcPr>
            <w:tcW w:w="493" w:type="pct"/>
            <w:tcBorders>
              <w:top w:val="single" w:sz="4" w:space="0" w:color="000000"/>
              <w:bottom w:val="single" w:sz="4" w:space="0" w:color="000000"/>
            </w:tcBorders>
            <w:shd w:val="clear" w:color="auto" w:fill="BFBFBF" w:themeFill="background1" w:themeFillShade="BF"/>
            <w:vAlign w:val="center"/>
          </w:tcPr>
          <w:p w14:paraId="5F978512" w14:textId="77777777" w:rsidR="00725977" w:rsidRPr="00D4309F" w:rsidRDefault="00725977" w:rsidP="004C00ED">
            <w:pPr>
              <w:pStyle w:val="TableParagraph"/>
              <w:ind w:left="136"/>
              <w:rPr>
                <w:b/>
                <w:sz w:val="18"/>
              </w:rPr>
            </w:pPr>
            <w:r w:rsidRPr="00D4309F">
              <w:rPr>
                <w:b/>
                <w:color w:val="211E1F"/>
                <w:sz w:val="18"/>
              </w:rPr>
              <w:t>No</w:t>
            </w:r>
            <w:r w:rsidRPr="00D4309F">
              <w:rPr>
                <w:b/>
                <w:color w:val="211E1F"/>
                <w:spacing w:val="-3"/>
                <w:sz w:val="18"/>
              </w:rPr>
              <w:t xml:space="preserve"> </w:t>
            </w:r>
            <w:r w:rsidRPr="00D4309F">
              <w:rPr>
                <w:b/>
                <w:color w:val="211E1F"/>
                <w:spacing w:val="-2"/>
                <w:sz w:val="18"/>
              </w:rPr>
              <w:t>impact</w:t>
            </w:r>
          </w:p>
        </w:tc>
        <w:tc>
          <w:tcPr>
            <w:tcW w:w="949" w:type="pct"/>
            <w:tcBorders>
              <w:top w:val="single" w:sz="4" w:space="0" w:color="000000"/>
              <w:bottom w:val="single" w:sz="4" w:space="0" w:color="000000"/>
            </w:tcBorders>
            <w:vAlign w:val="center"/>
          </w:tcPr>
          <w:p w14:paraId="52D8F009" w14:textId="77777777" w:rsidR="00725977" w:rsidRPr="00D4309F" w:rsidRDefault="00725977" w:rsidP="004C00ED">
            <w:pPr>
              <w:pStyle w:val="Table-Bullet"/>
            </w:pPr>
            <w:r w:rsidRPr="00D4309F">
              <w:rPr>
                <w:color w:val="211E1F"/>
                <w:spacing w:val="-5"/>
              </w:rPr>
              <w:t>NA</w:t>
            </w:r>
          </w:p>
        </w:tc>
        <w:tc>
          <w:tcPr>
            <w:tcW w:w="765" w:type="pct"/>
            <w:gridSpan w:val="5"/>
            <w:tcBorders>
              <w:top w:val="single" w:sz="4" w:space="0" w:color="000000"/>
              <w:bottom w:val="single" w:sz="4" w:space="0" w:color="000000"/>
            </w:tcBorders>
            <w:vAlign w:val="center"/>
          </w:tcPr>
          <w:p w14:paraId="677D63B5" w14:textId="77777777" w:rsidR="00725977" w:rsidRPr="00D4309F" w:rsidRDefault="00725977" w:rsidP="004C00ED">
            <w:pPr>
              <w:pStyle w:val="Table-Bullet"/>
              <w:rPr>
                <w:color w:val="211E1F"/>
                <w:spacing w:val="-4"/>
              </w:rPr>
            </w:pPr>
            <w:r w:rsidRPr="00D4309F">
              <w:rPr>
                <w:color w:val="211E1F"/>
                <w:spacing w:val="-4"/>
              </w:rPr>
              <w:t>None</w:t>
            </w:r>
          </w:p>
        </w:tc>
        <w:tc>
          <w:tcPr>
            <w:tcW w:w="783" w:type="pct"/>
            <w:gridSpan w:val="4"/>
            <w:tcBorders>
              <w:top w:val="single" w:sz="4" w:space="0" w:color="000000"/>
              <w:bottom w:val="single" w:sz="4" w:space="0" w:color="000000"/>
            </w:tcBorders>
            <w:vAlign w:val="center"/>
          </w:tcPr>
          <w:p w14:paraId="5066F9CF" w14:textId="77777777" w:rsidR="00725977" w:rsidRPr="00D4309F" w:rsidRDefault="00725977" w:rsidP="004C00ED">
            <w:pPr>
              <w:pStyle w:val="Table-Bullet"/>
              <w:rPr>
                <w:color w:val="211E1F"/>
                <w:spacing w:val="-4"/>
              </w:rPr>
            </w:pPr>
            <w:r w:rsidRPr="00D4309F">
              <w:rPr>
                <w:color w:val="211E1F"/>
                <w:spacing w:val="-4"/>
              </w:rPr>
              <w:t>None</w:t>
            </w:r>
          </w:p>
        </w:tc>
      </w:tr>
    </w:tbl>
    <w:p w14:paraId="57193782" w14:textId="5B63B770" w:rsidR="00725977" w:rsidRPr="00D4309F" w:rsidRDefault="00725977" w:rsidP="003E0830">
      <w:pPr>
        <w:pStyle w:val="Table-Note"/>
      </w:pPr>
      <w:r w:rsidRPr="00D4309F">
        <w:t>Assumptions:</w:t>
      </w:r>
    </w:p>
    <w:p w14:paraId="7D735D40" w14:textId="77777777" w:rsidR="00725977" w:rsidRPr="00D4309F" w:rsidRDefault="00725977" w:rsidP="00D27F26">
      <w:pPr>
        <w:pStyle w:val="Table-Note"/>
        <w:numPr>
          <w:ilvl w:val="0"/>
          <w:numId w:val="488"/>
        </w:numPr>
      </w:pPr>
      <w:r w:rsidRPr="00D4309F">
        <w:t>Dredge</w:t>
      </w:r>
      <w:r w:rsidRPr="00D4309F">
        <w:rPr>
          <w:spacing w:val="-3"/>
        </w:rPr>
        <w:t xml:space="preserve"> </w:t>
      </w:r>
      <w:r w:rsidRPr="00D4309F">
        <w:t>area</w:t>
      </w:r>
      <w:r w:rsidRPr="00D4309F">
        <w:rPr>
          <w:spacing w:val="-3"/>
        </w:rPr>
        <w:t xml:space="preserve"> </w:t>
      </w:r>
      <w:r w:rsidRPr="00D4309F">
        <w:t>is</w:t>
      </w:r>
      <w:r w:rsidRPr="00D4309F">
        <w:rPr>
          <w:spacing w:val="-2"/>
        </w:rPr>
        <w:t xml:space="preserve"> </w:t>
      </w:r>
      <w:r w:rsidRPr="00D4309F">
        <w:t>an</w:t>
      </w:r>
      <w:r w:rsidRPr="00D4309F">
        <w:rPr>
          <w:spacing w:val="-3"/>
        </w:rPr>
        <w:t xml:space="preserve"> </w:t>
      </w:r>
      <w:r w:rsidRPr="00D4309F">
        <w:t>area</w:t>
      </w:r>
      <w:r w:rsidRPr="00D4309F">
        <w:rPr>
          <w:spacing w:val="-2"/>
        </w:rPr>
        <w:t xml:space="preserve"> </w:t>
      </w:r>
      <w:r w:rsidRPr="00D4309F">
        <w:t>of</w:t>
      </w:r>
      <w:r w:rsidRPr="00D4309F">
        <w:rPr>
          <w:spacing w:val="-3"/>
        </w:rPr>
        <w:t xml:space="preserve"> </w:t>
      </w:r>
      <w:r w:rsidRPr="00D4309F">
        <w:t>bare</w:t>
      </w:r>
      <w:r w:rsidRPr="00D4309F">
        <w:rPr>
          <w:spacing w:val="-2"/>
        </w:rPr>
        <w:t xml:space="preserve"> </w:t>
      </w:r>
      <w:r w:rsidRPr="00D4309F">
        <w:rPr>
          <w:spacing w:val="-4"/>
        </w:rPr>
        <w:t>sand</w:t>
      </w:r>
    </w:p>
    <w:p w14:paraId="4DCD5716" w14:textId="77777777" w:rsidR="00725977" w:rsidRPr="00D4309F" w:rsidRDefault="00725977" w:rsidP="00D27F26">
      <w:pPr>
        <w:pStyle w:val="Table-Note"/>
        <w:numPr>
          <w:ilvl w:val="0"/>
          <w:numId w:val="488"/>
        </w:numPr>
      </w:pPr>
      <w:r w:rsidRPr="00D4309F">
        <w:t>Disposal</w:t>
      </w:r>
      <w:r w:rsidRPr="00D4309F">
        <w:rPr>
          <w:spacing w:val="-6"/>
        </w:rPr>
        <w:t xml:space="preserve"> </w:t>
      </w:r>
      <w:r w:rsidRPr="00D4309F">
        <w:t>area</w:t>
      </w:r>
      <w:r w:rsidRPr="00D4309F">
        <w:rPr>
          <w:spacing w:val="-4"/>
        </w:rPr>
        <w:t xml:space="preserve"> </w:t>
      </w:r>
      <w:r w:rsidRPr="00D4309F">
        <w:t>assumed</w:t>
      </w:r>
      <w:r w:rsidRPr="00D4309F">
        <w:rPr>
          <w:spacing w:val="-4"/>
        </w:rPr>
        <w:t xml:space="preserve"> </w:t>
      </w:r>
      <w:r w:rsidRPr="00D4309F">
        <w:t>to</w:t>
      </w:r>
      <w:r w:rsidRPr="00D4309F">
        <w:rPr>
          <w:spacing w:val="-5"/>
        </w:rPr>
        <w:t xml:space="preserve"> </w:t>
      </w:r>
      <w:r w:rsidRPr="00D4309F">
        <w:t>be</w:t>
      </w:r>
      <w:r w:rsidRPr="00D4309F">
        <w:rPr>
          <w:spacing w:val="-5"/>
        </w:rPr>
        <w:t xml:space="preserve"> </w:t>
      </w:r>
      <w:r w:rsidRPr="00D4309F">
        <w:t>within</w:t>
      </w:r>
      <w:r w:rsidRPr="00D4309F">
        <w:rPr>
          <w:spacing w:val="-6"/>
        </w:rPr>
        <w:t xml:space="preserve"> </w:t>
      </w:r>
      <w:r w:rsidRPr="00D4309F">
        <w:t>the</w:t>
      </w:r>
      <w:r w:rsidRPr="00D4309F">
        <w:rPr>
          <w:spacing w:val="-3"/>
        </w:rPr>
        <w:t xml:space="preserve"> </w:t>
      </w:r>
      <w:r w:rsidRPr="00D4309F">
        <w:t>nearshore</w:t>
      </w:r>
      <w:r w:rsidRPr="00D4309F">
        <w:rPr>
          <w:spacing w:val="-5"/>
        </w:rPr>
        <w:t xml:space="preserve"> </w:t>
      </w:r>
      <w:r w:rsidRPr="00D4309F">
        <w:t>area</w:t>
      </w:r>
      <w:r w:rsidRPr="00D4309F">
        <w:rPr>
          <w:spacing w:val="-4"/>
        </w:rPr>
        <w:t xml:space="preserve"> </w:t>
      </w:r>
      <w:r w:rsidRPr="00D4309F">
        <w:t>offshore</w:t>
      </w:r>
      <w:r w:rsidRPr="00D4309F">
        <w:rPr>
          <w:spacing w:val="-4"/>
        </w:rPr>
        <w:t xml:space="preserve"> </w:t>
      </w:r>
      <w:r w:rsidRPr="00D4309F">
        <w:t>of</w:t>
      </w:r>
      <w:r w:rsidRPr="00D4309F">
        <w:rPr>
          <w:spacing w:val="-3"/>
        </w:rPr>
        <w:t xml:space="preserve"> </w:t>
      </w:r>
      <w:r w:rsidRPr="00D4309F">
        <w:t>southern</w:t>
      </w:r>
      <w:r w:rsidRPr="00D4309F">
        <w:rPr>
          <w:spacing w:val="-5"/>
        </w:rPr>
        <w:t xml:space="preserve"> </w:t>
      </w:r>
      <w:r w:rsidRPr="00D4309F">
        <w:t>end</w:t>
      </w:r>
      <w:r w:rsidRPr="00D4309F">
        <w:rPr>
          <w:spacing w:val="-4"/>
        </w:rPr>
        <w:t xml:space="preserve"> </w:t>
      </w:r>
      <w:r w:rsidRPr="00D4309F">
        <w:t>of</w:t>
      </w:r>
      <w:r w:rsidRPr="00D4309F">
        <w:rPr>
          <w:spacing w:val="-3"/>
        </w:rPr>
        <w:t xml:space="preserve"> </w:t>
      </w:r>
      <w:r w:rsidRPr="00D4309F">
        <w:t>Mooloolaba</w:t>
      </w:r>
      <w:r w:rsidRPr="00D4309F">
        <w:rPr>
          <w:spacing w:val="-6"/>
        </w:rPr>
        <w:t xml:space="preserve"> </w:t>
      </w:r>
      <w:r w:rsidRPr="00D4309F">
        <w:t>Main</w:t>
      </w:r>
      <w:r w:rsidRPr="00D4309F">
        <w:rPr>
          <w:spacing w:val="-4"/>
        </w:rPr>
        <w:t xml:space="preserve"> </w:t>
      </w:r>
      <w:r w:rsidRPr="00D4309F">
        <w:t>Beach</w:t>
      </w:r>
      <w:r w:rsidRPr="00D4309F">
        <w:rPr>
          <w:spacing w:val="-5"/>
        </w:rPr>
        <w:t xml:space="preserve"> </w:t>
      </w:r>
      <w:r w:rsidRPr="00D4309F">
        <w:t>where</w:t>
      </w:r>
      <w:r w:rsidRPr="00D4309F">
        <w:rPr>
          <w:spacing w:val="-3"/>
        </w:rPr>
        <w:t xml:space="preserve"> </w:t>
      </w:r>
      <w:r w:rsidRPr="00D4309F">
        <w:t>sediment</w:t>
      </w:r>
      <w:r w:rsidRPr="00D4309F">
        <w:rPr>
          <w:spacing w:val="-3"/>
        </w:rPr>
        <w:t xml:space="preserve"> </w:t>
      </w:r>
      <w:r w:rsidRPr="00D4309F">
        <w:t>has</w:t>
      </w:r>
      <w:r w:rsidRPr="00D4309F">
        <w:rPr>
          <w:spacing w:val="-4"/>
        </w:rPr>
        <w:t xml:space="preserve"> </w:t>
      </w:r>
      <w:r w:rsidRPr="00D4309F">
        <w:t>been</w:t>
      </w:r>
      <w:r w:rsidRPr="00D4309F">
        <w:rPr>
          <w:spacing w:val="-5"/>
        </w:rPr>
        <w:t xml:space="preserve"> </w:t>
      </w:r>
      <w:r w:rsidRPr="00D4309F">
        <w:t>placed</w:t>
      </w:r>
      <w:r w:rsidRPr="00D4309F">
        <w:rPr>
          <w:spacing w:val="-4"/>
        </w:rPr>
        <w:t xml:space="preserve"> </w:t>
      </w:r>
      <w:r w:rsidRPr="00D4309F">
        <w:rPr>
          <w:spacing w:val="-2"/>
        </w:rPr>
        <w:t>previously</w:t>
      </w:r>
    </w:p>
    <w:p w14:paraId="5992C420" w14:textId="77777777" w:rsidR="00725977" w:rsidRPr="00D4309F" w:rsidRDefault="00725977" w:rsidP="00D27F26">
      <w:pPr>
        <w:pStyle w:val="Table-Note"/>
        <w:numPr>
          <w:ilvl w:val="0"/>
          <w:numId w:val="488"/>
        </w:numPr>
      </w:pPr>
      <w:r w:rsidRPr="00D4309F">
        <w:t>There</w:t>
      </w:r>
      <w:r w:rsidRPr="00D4309F">
        <w:rPr>
          <w:spacing w:val="-7"/>
        </w:rPr>
        <w:t xml:space="preserve"> </w:t>
      </w:r>
      <w:r w:rsidRPr="00D4309F">
        <w:t>is</w:t>
      </w:r>
      <w:r w:rsidRPr="00D4309F">
        <w:rPr>
          <w:spacing w:val="-3"/>
        </w:rPr>
        <w:t xml:space="preserve"> </w:t>
      </w:r>
      <w:r w:rsidRPr="00D4309F">
        <w:t>sediment</w:t>
      </w:r>
      <w:r w:rsidRPr="00D4309F">
        <w:rPr>
          <w:spacing w:val="-3"/>
        </w:rPr>
        <w:t xml:space="preserve"> </w:t>
      </w:r>
      <w:r w:rsidRPr="00D4309F">
        <w:t>contamination</w:t>
      </w:r>
      <w:r w:rsidRPr="00D4309F">
        <w:rPr>
          <w:spacing w:val="-5"/>
        </w:rPr>
        <w:t xml:space="preserve"> </w:t>
      </w:r>
      <w:r w:rsidRPr="00D4309F">
        <w:t>data</w:t>
      </w:r>
      <w:r w:rsidRPr="00D4309F">
        <w:rPr>
          <w:spacing w:val="-4"/>
        </w:rPr>
        <w:t xml:space="preserve"> </w:t>
      </w:r>
      <w:r w:rsidRPr="00D4309F">
        <w:t>to</w:t>
      </w:r>
      <w:r w:rsidRPr="00D4309F">
        <w:rPr>
          <w:spacing w:val="-3"/>
        </w:rPr>
        <w:t xml:space="preserve"> </w:t>
      </w:r>
      <w:r w:rsidRPr="00D4309F">
        <w:t>inform</w:t>
      </w:r>
      <w:r w:rsidRPr="00D4309F">
        <w:rPr>
          <w:spacing w:val="-4"/>
        </w:rPr>
        <w:t xml:space="preserve"> </w:t>
      </w:r>
      <w:r w:rsidRPr="00D4309F">
        <w:t>the</w:t>
      </w:r>
      <w:r w:rsidRPr="00D4309F">
        <w:rPr>
          <w:spacing w:val="-4"/>
        </w:rPr>
        <w:t xml:space="preserve"> </w:t>
      </w:r>
      <w:r w:rsidRPr="00D4309F">
        <w:t>risk</w:t>
      </w:r>
      <w:r w:rsidRPr="00D4309F">
        <w:rPr>
          <w:spacing w:val="-3"/>
        </w:rPr>
        <w:t xml:space="preserve"> </w:t>
      </w:r>
      <w:r w:rsidRPr="00D4309F">
        <w:t>of</w:t>
      </w:r>
      <w:r w:rsidRPr="00D4309F">
        <w:rPr>
          <w:spacing w:val="-5"/>
        </w:rPr>
        <w:t xml:space="preserve"> </w:t>
      </w:r>
      <w:r w:rsidRPr="00D4309F">
        <w:t>on</w:t>
      </w:r>
      <w:r w:rsidRPr="00D4309F">
        <w:rPr>
          <w:spacing w:val="-4"/>
        </w:rPr>
        <w:t xml:space="preserve"> </w:t>
      </w:r>
      <w:r w:rsidRPr="00D4309F">
        <w:t>release</w:t>
      </w:r>
      <w:r w:rsidRPr="00D4309F">
        <w:rPr>
          <w:spacing w:val="-4"/>
        </w:rPr>
        <w:t xml:space="preserve"> </w:t>
      </w:r>
      <w:r w:rsidRPr="00D4309F">
        <w:t>of</w:t>
      </w:r>
      <w:r w:rsidRPr="00D4309F">
        <w:rPr>
          <w:spacing w:val="-5"/>
        </w:rPr>
        <w:t xml:space="preserve"> </w:t>
      </w:r>
      <w:r w:rsidRPr="00D4309F">
        <w:t>contaminants</w:t>
      </w:r>
      <w:r w:rsidRPr="00D4309F">
        <w:rPr>
          <w:spacing w:val="-4"/>
        </w:rPr>
        <w:t xml:space="preserve"> </w:t>
      </w:r>
      <w:r w:rsidRPr="00D4309F">
        <w:t>via</w:t>
      </w:r>
      <w:r w:rsidRPr="00D4309F">
        <w:rPr>
          <w:spacing w:val="-4"/>
        </w:rPr>
        <w:t xml:space="preserve"> </w:t>
      </w:r>
      <w:r w:rsidRPr="00D4309F">
        <w:t>dredging</w:t>
      </w:r>
      <w:r w:rsidRPr="00D4309F">
        <w:rPr>
          <w:spacing w:val="-3"/>
        </w:rPr>
        <w:t xml:space="preserve"> </w:t>
      </w:r>
      <w:r w:rsidRPr="00D4309F">
        <w:t>and</w:t>
      </w:r>
      <w:r w:rsidRPr="00D4309F">
        <w:rPr>
          <w:spacing w:val="-4"/>
        </w:rPr>
        <w:t xml:space="preserve"> </w:t>
      </w:r>
      <w:r w:rsidRPr="00D4309F">
        <w:rPr>
          <w:spacing w:val="-2"/>
        </w:rPr>
        <w:t>disposal</w:t>
      </w:r>
    </w:p>
    <w:p w14:paraId="6E7AF75C" w14:textId="77777777" w:rsidR="00725977" w:rsidRPr="00D4309F" w:rsidRDefault="00725977" w:rsidP="00725977">
      <w:pPr>
        <w:pStyle w:val="ListParagraph"/>
        <w:rPr>
          <w:sz w:val="14"/>
        </w:rPr>
        <w:sectPr w:rsidR="00725977" w:rsidRPr="00D4309F" w:rsidSect="00405D4F">
          <w:headerReference w:type="default" r:id="rId151"/>
          <w:footerReference w:type="default" r:id="rId152"/>
          <w:pgSz w:w="16840" w:h="11910" w:orient="landscape"/>
          <w:pgMar w:top="1418" w:right="1134" w:bottom="1418" w:left="1134" w:header="916" w:footer="976" w:gutter="0"/>
          <w:cols w:space="720"/>
        </w:sectPr>
      </w:pPr>
    </w:p>
    <w:p w14:paraId="45A6BB13" w14:textId="5FFDA3E0" w:rsidR="00115A92" w:rsidRPr="00D4309F" w:rsidRDefault="00725977" w:rsidP="00725977">
      <w:pPr>
        <w:pStyle w:val="BodyText"/>
      </w:pPr>
      <w:r w:rsidRPr="00D4309F">
        <w:lastRenderedPageBreak/>
        <w:t>The formalisation of the Wester Channel with no structural changes to the entrance will have no additional disturbance footprint compared the Western Channel Trial. As such, there</w:t>
      </w:r>
      <w:r w:rsidRPr="00D4309F">
        <w:rPr>
          <w:spacing w:val="-3"/>
        </w:rPr>
        <w:t xml:space="preserve"> </w:t>
      </w:r>
      <w:r w:rsidRPr="00D4309F">
        <w:t>would</w:t>
      </w:r>
      <w:r w:rsidRPr="00D4309F">
        <w:rPr>
          <w:spacing w:val="-4"/>
        </w:rPr>
        <w:t xml:space="preserve"> </w:t>
      </w:r>
      <w:r w:rsidRPr="00D4309F">
        <w:t>be</w:t>
      </w:r>
      <w:r w:rsidRPr="00D4309F">
        <w:rPr>
          <w:spacing w:val="-3"/>
        </w:rPr>
        <w:t xml:space="preserve"> </w:t>
      </w:r>
      <w:r w:rsidRPr="00D4309F">
        <w:t>temporary</w:t>
      </w:r>
      <w:r w:rsidRPr="00D4309F">
        <w:rPr>
          <w:spacing w:val="-4"/>
        </w:rPr>
        <w:t xml:space="preserve"> </w:t>
      </w:r>
      <w:r w:rsidRPr="00D4309F">
        <w:t>impacts</w:t>
      </w:r>
      <w:r w:rsidRPr="00D4309F">
        <w:rPr>
          <w:spacing w:val="-2"/>
        </w:rPr>
        <w:t xml:space="preserve"> </w:t>
      </w:r>
      <w:r w:rsidRPr="00D4309F">
        <w:t>during</w:t>
      </w:r>
      <w:r w:rsidRPr="00D4309F">
        <w:rPr>
          <w:spacing w:val="-3"/>
        </w:rPr>
        <w:t xml:space="preserve"> maintenance </w:t>
      </w:r>
      <w:r w:rsidRPr="00D4309F">
        <w:t>dredging</w:t>
      </w:r>
      <w:r w:rsidRPr="00D4309F">
        <w:rPr>
          <w:spacing w:val="-3"/>
        </w:rPr>
        <w:t xml:space="preserve"> </w:t>
      </w:r>
      <w:r w:rsidRPr="00D4309F">
        <w:t>campaigns similar to existing maintenance dredging operations and can be managed during works</w:t>
      </w:r>
      <w:r w:rsidRPr="00D4309F">
        <w:rPr>
          <w:spacing w:val="-4"/>
        </w:rPr>
        <w:t xml:space="preserve"> </w:t>
      </w:r>
      <w:r w:rsidRPr="00D4309F">
        <w:t>to</w:t>
      </w:r>
      <w:r w:rsidRPr="00D4309F">
        <w:rPr>
          <w:spacing w:val="-3"/>
        </w:rPr>
        <w:t xml:space="preserve"> </w:t>
      </w:r>
      <w:r w:rsidRPr="00D4309F">
        <w:t>minimise</w:t>
      </w:r>
      <w:r w:rsidRPr="00D4309F">
        <w:rPr>
          <w:spacing w:val="-3"/>
        </w:rPr>
        <w:t xml:space="preserve"> </w:t>
      </w:r>
      <w:r w:rsidRPr="00D4309F">
        <w:t>turbidity</w:t>
      </w:r>
      <w:r w:rsidRPr="00D4309F">
        <w:rPr>
          <w:spacing w:val="-2"/>
        </w:rPr>
        <w:t xml:space="preserve"> </w:t>
      </w:r>
      <w:r w:rsidRPr="00D4309F">
        <w:t>related</w:t>
      </w:r>
      <w:r w:rsidRPr="00D4309F">
        <w:rPr>
          <w:spacing w:val="-3"/>
        </w:rPr>
        <w:t xml:space="preserve"> </w:t>
      </w:r>
      <w:r w:rsidRPr="00D4309F">
        <w:t>impacts</w:t>
      </w:r>
      <w:r w:rsidRPr="00D4309F">
        <w:rPr>
          <w:spacing w:val="-3"/>
        </w:rPr>
        <w:t xml:space="preserve"> </w:t>
      </w:r>
      <w:r w:rsidRPr="00D4309F">
        <w:t>and</w:t>
      </w:r>
      <w:r w:rsidRPr="00D4309F">
        <w:rPr>
          <w:spacing w:val="-3"/>
        </w:rPr>
        <w:t xml:space="preserve"> </w:t>
      </w:r>
      <w:r w:rsidRPr="00D4309F">
        <w:t>impacts</w:t>
      </w:r>
      <w:r w:rsidRPr="00D4309F">
        <w:rPr>
          <w:spacing w:val="-2"/>
        </w:rPr>
        <w:t xml:space="preserve"> </w:t>
      </w:r>
      <w:r w:rsidRPr="00D4309F">
        <w:t>to marine fauna, shorebirds, benthic habitats and beach habitats.</w:t>
      </w:r>
    </w:p>
    <w:p w14:paraId="395E30C2" w14:textId="77777777" w:rsidR="00725977" w:rsidRPr="00D4309F" w:rsidRDefault="00725977" w:rsidP="00AF12C0">
      <w:pPr>
        <w:pStyle w:val="Heading3"/>
      </w:pPr>
      <w:bookmarkStart w:id="536" w:name="_Toc216699507"/>
      <w:r w:rsidRPr="00D4309F">
        <w:t>Social</w:t>
      </w:r>
      <w:r w:rsidRPr="00D4309F">
        <w:rPr>
          <w:spacing w:val="-11"/>
        </w:rPr>
        <w:t xml:space="preserve"> </w:t>
      </w:r>
      <w:r w:rsidRPr="00D4309F">
        <w:rPr>
          <w:spacing w:val="-2"/>
        </w:rPr>
        <w:t>impacts</w:t>
      </w:r>
      <w:bookmarkEnd w:id="536"/>
    </w:p>
    <w:p w14:paraId="6D8153C5" w14:textId="77777777" w:rsidR="00725977" w:rsidRPr="00D4309F" w:rsidRDefault="00725977" w:rsidP="00725977">
      <w:pPr>
        <w:pStyle w:val="BodyText"/>
      </w:pPr>
      <w:r w:rsidRPr="00D4309F">
        <w:t>Option 5A is expected to generate social value with two positive impacts ranked as high in the SIE assessment, including: safer channel access through reduced shoaling and improved economic outcomes through more reliable channel access.</w:t>
      </w:r>
    </w:p>
    <w:p w14:paraId="5F0BD93A" w14:textId="5103B83A" w:rsidR="00416F6A" w:rsidRPr="00D4309F" w:rsidRDefault="00725977" w:rsidP="00725977">
      <w:pPr>
        <w:pStyle w:val="BodyText"/>
      </w:pPr>
      <w:r w:rsidRPr="00D4309F">
        <w:t>When compared to the baseline, there were two negative social impacts identified, which after mitigations, both may be of high concern to the community and stakeholders, including: potential for increased safety risks due to the need to navigate “beam-on” to incoming waves and the perception that the option does not achieve improved safety or access as it does not prevent shoaling. Further mitigations must be undertaken to reduce potential negative social impacts including real-time navigation aids and continuing to issue Notice to Mariners on conditions.</w:t>
      </w:r>
    </w:p>
    <w:p w14:paraId="2BA1ADF0" w14:textId="77777777" w:rsidR="00725977" w:rsidRPr="00D4309F" w:rsidRDefault="00725977" w:rsidP="00AF12C0">
      <w:pPr>
        <w:pStyle w:val="Heading3"/>
      </w:pPr>
      <w:bookmarkStart w:id="537" w:name="_Toc216699508"/>
      <w:r w:rsidRPr="00D4309F">
        <w:rPr>
          <w:w w:val="110"/>
        </w:rPr>
        <w:t>Economic</w:t>
      </w:r>
      <w:r w:rsidRPr="00D4309F">
        <w:rPr>
          <w:spacing w:val="19"/>
          <w:w w:val="115"/>
        </w:rPr>
        <w:t xml:space="preserve"> </w:t>
      </w:r>
      <w:r w:rsidRPr="00D4309F">
        <w:rPr>
          <w:spacing w:val="-2"/>
          <w:w w:val="115"/>
        </w:rPr>
        <w:t>impacts</w:t>
      </w:r>
      <w:bookmarkEnd w:id="537"/>
    </w:p>
    <w:p w14:paraId="749A9A10" w14:textId="77777777" w:rsidR="00725977" w:rsidRPr="00D4309F" w:rsidRDefault="00725977" w:rsidP="00725977">
      <w:pPr>
        <w:pStyle w:val="BodyText"/>
      </w:pPr>
      <w:r w:rsidRPr="00D4309F">
        <w:t>Option 5A is expected to have a low to moderate economic impact compared to the current approach. The project would improve access to the western channel by creating a wider route and managing shoaling through dredging operations. However, it does not eliminate shoaling at the harbour entrance, meaning ongoing dredging will still be required, similar to current practices. This option shifts operational focus toward maintaining an alternate access point that remains navigable between dredging events.</w:t>
      </w:r>
    </w:p>
    <w:p w14:paraId="6DFAFD0B" w14:textId="00B20386" w:rsidR="00416F6A" w:rsidRPr="00D4309F" w:rsidRDefault="00725977" w:rsidP="00725977">
      <w:pPr>
        <w:pStyle w:val="BodyText"/>
      </w:pPr>
      <w:r w:rsidRPr="00D4309F">
        <w:t>Despite these improvements, businesses and recreational users may face increased safety risks. Navigating “beam-on” to incoming waves when entering or exiting the harbour significantly raises the risk of capsizing or loss of control. These safety concerns could discourage some visitors, potentially reducing boating activity and associated tourism. A decline in boating activity may lead to fewer visitors, impacting tourism-related businesses such as accommodation providers, restaurants, and marine service operators. Commercial operators could also experience higher insurance costs and operational delays, adding to the overall economic burden.</w:t>
      </w:r>
    </w:p>
    <w:p w14:paraId="506E1CBC" w14:textId="77777777" w:rsidR="00725977" w:rsidRPr="00D4309F" w:rsidRDefault="00725977" w:rsidP="00AF12C0">
      <w:pPr>
        <w:pStyle w:val="Heading3"/>
      </w:pPr>
      <w:bookmarkStart w:id="538" w:name="_Toc216699509"/>
      <w:r w:rsidRPr="00D4309F">
        <w:t>Future</w:t>
      </w:r>
      <w:r w:rsidRPr="00D4309F">
        <w:rPr>
          <w:spacing w:val="-12"/>
        </w:rPr>
        <w:t xml:space="preserve"> </w:t>
      </w:r>
      <w:r w:rsidRPr="00D4309F">
        <w:t>adaption</w:t>
      </w:r>
      <w:bookmarkEnd w:id="538"/>
    </w:p>
    <w:p w14:paraId="2B512A6B" w14:textId="77777777" w:rsidR="00725977" w:rsidRPr="00D4309F" w:rsidRDefault="00725977" w:rsidP="00725977">
      <w:pPr>
        <w:pStyle w:val="BodyText"/>
      </w:pPr>
      <w:r w:rsidRPr="00D4309F">
        <w:t>In the context of sea-level rise and increasing storm frequency, Option 5A offers limited effectiveness as a long-term sediment management solution. Because it does not alter entrance structures or the coastal processes driving sand movement around Point Cartwright, the frequency and magnitude of shoaling events are expected to persist, and may intensify, as coastal conditions evolve.</w:t>
      </w:r>
    </w:p>
    <w:p w14:paraId="63D527B5" w14:textId="77777777" w:rsidR="00725977" w:rsidRPr="00D4309F" w:rsidRDefault="00725977" w:rsidP="00725977">
      <w:pPr>
        <w:pStyle w:val="BodyText"/>
      </w:pPr>
      <w:r w:rsidRPr="00D4309F">
        <w:t>However, Option 5A does offer operational adaptability. As it does not involve capital works or permanent structural change, the channel alignment remains flexible and can be modified, refined, or integrated with more advanced systems in the future. While its effectiveness is limited in isolation, Option 5A can be combined with other sediment management measures to provide a more responsive and adaptable operational framework.</w:t>
      </w:r>
    </w:p>
    <w:p w14:paraId="0324290A" w14:textId="401C52EB" w:rsidR="00416F6A" w:rsidRPr="00D4309F" w:rsidRDefault="00725977" w:rsidP="00725977">
      <w:pPr>
        <w:pStyle w:val="BodyText"/>
      </w:pPr>
      <w:r w:rsidRPr="00D4309F">
        <w:t>Despite this flexibility, Option 5A would still need to be supported by more substantial long-term interventions - such as a sand trap, permanent bypassing system, or slurry pump arrangement - to achieve sustainable navigation outcomes. Option 5A is best viewed as a supplementary or transitional measure that forms part of, rather than replaces, a broader integrated sediment management strategy.</w:t>
      </w:r>
    </w:p>
    <w:p w14:paraId="41134966" w14:textId="77777777" w:rsidR="00725977" w:rsidRPr="00D4309F" w:rsidRDefault="00725977" w:rsidP="00AF12C0">
      <w:pPr>
        <w:pStyle w:val="Heading3"/>
      </w:pPr>
      <w:bookmarkStart w:id="539" w:name="_Toc216699510"/>
      <w:r w:rsidRPr="00D4309F">
        <w:t>Safety</w:t>
      </w:r>
      <w:r w:rsidRPr="00D4309F">
        <w:rPr>
          <w:spacing w:val="-9"/>
        </w:rPr>
        <w:t xml:space="preserve"> </w:t>
      </w:r>
      <w:r w:rsidRPr="00D4309F">
        <w:t>of</w:t>
      </w:r>
      <w:r w:rsidRPr="00D4309F">
        <w:rPr>
          <w:spacing w:val="-9"/>
        </w:rPr>
        <w:t xml:space="preserve"> </w:t>
      </w:r>
      <w:r w:rsidRPr="00D4309F">
        <w:t>Option</w:t>
      </w:r>
      <w:r w:rsidRPr="00D4309F">
        <w:rPr>
          <w:spacing w:val="-10"/>
        </w:rPr>
        <w:t xml:space="preserve"> 5A</w:t>
      </w:r>
      <w:bookmarkEnd w:id="539"/>
    </w:p>
    <w:p w14:paraId="1BF3AB45" w14:textId="77777777" w:rsidR="00725977" w:rsidRPr="00D4309F" w:rsidRDefault="00725977" w:rsidP="00725977">
      <w:pPr>
        <w:pStyle w:val="BodyText"/>
      </w:pPr>
      <w:r w:rsidRPr="00D4309F">
        <w:t>Option 5A provides moderate safety benefits by formalising the Western Channel as a navigation route during periods of shoaling in the primary entrance (or replacing the primary entrance). By directing vessels into a more sheltered area and away from the most active shoaling and breaking-wave zone, the option may improve access reliability immediately following maintenance dredging.</w:t>
      </w:r>
    </w:p>
    <w:p w14:paraId="6DFE280B" w14:textId="77777777" w:rsidR="00725977" w:rsidRPr="00D4309F" w:rsidRDefault="00725977" w:rsidP="00725977">
      <w:pPr>
        <w:pStyle w:val="BodyText"/>
      </w:pPr>
      <w:r w:rsidRPr="00D4309F">
        <w:lastRenderedPageBreak/>
        <w:t>Formalising the channel with improved aids to navigation can enhance clarity for mariners, reducing the likelihood of vessels inadvertently crossing hazardous shoals or misinterpreting the intended alignment, particularly for visiting or inexperienced operators. Clear marking and consistent updates to Notices to Mariners would be essential to support safe use of the route.</w:t>
      </w:r>
    </w:p>
    <w:p w14:paraId="4A530DC1" w14:textId="77777777" w:rsidR="00725977" w:rsidRPr="00D4309F" w:rsidRDefault="00725977" w:rsidP="00725977">
      <w:pPr>
        <w:pStyle w:val="BodyText"/>
      </w:pPr>
      <w:r w:rsidRPr="00D4309F">
        <w:t>However, the safety gains under Option 5A remain limited by the western channel’s susceptibility to rapid shoaling. Depths may reduce quickly between dredging campaigns, potentially creating shallow or uneven areas that increase navigational risk if not closely monitored. Because no physical changes are made to modify wave or current conditions, the route may still be exposed to turbulent or beam-on wave angles during moderate to high energy events.</w:t>
      </w:r>
    </w:p>
    <w:p w14:paraId="498EF1B4" w14:textId="059D919A" w:rsidR="00416F6A" w:rsidRPr="00D4309F" w:rsidRDefault="00725977" w:rsidP="00725977">
      <w:pPr>
        <w:pStyle w:val="BodyText"/>
      </w:pPr>
      <w:r w:rsidRPr="00D4309F">
        <w:t>Option 5A offers modest, operational-level safety improvements, but does not provide the long-term reliability afforded by options that directly manage sediment supply or stabilise entrance morphology. Its safety benefits are therefore conditional on ongoing monitoring, frequent dredging, and clear communication with mariners.</w:t>
      </w:r>
    </w:p>
    <w:p w14:paraId="0C391F01" w14:textId="12DC661B" w:rsidR="00725977" w:rsidRPr="00D4309F" w:rsidRDefault="00725977" w:rsidP="00AF12C0">
      <w:pPr>
        <w:pStyle w:val="Heading3"/>
      </w:pPr>
      <w:bookmarkStart w:id="540" w:name="_Toc216699511"/>
      <w:r w:rsidRPr="00D4309F">
        <w:t>Cost</w:t>
      </w:r>
      <w:bookmarkEnd w:id="540"/>
    </w:p>
    <w:p w14:paraId="066726BC" w14:textId="77777777" w:rsidR="00725977" w:rsidRPr="00D4309F" w:rsidRDefault="00725977" w:rsidP="00045159">
      <w:pPr>
        <w:pStyle w:val="Heading5-nonumber"/>
      </w:pPr>
      <w:r w:rsidRPr="00D4309F">
        <w:t>Capital</w:t>
      </w:r>
      <w:r w:rsidRPr="00D4309F">
        <w:rPr>
          <w:spacing w:val="-4"/>
        </w:rPr>
        <w:t xml:space="preserve"> </w:t>
      </w:r>
      <w:r w:rsidRPr="00D4309F">
        <w:t>Works</w:t>
      </w:r>
      <w:r w:rsidRPr="00D4309F">
        <w:rPr>
          <w:spacing w:val="-3"/>
        </w:rPr>
        <w:t xml:space="preserve"> </w:t>
      </w:r>
      <w:r w:rsidRPr="00D4309F">
        <w:rPr>
          <w:spacing w:val="-4"/>
        </w:rPr>
        <w:t>Cost</w:t>
      </w:r>
    </w:p>
    <w:p w14:paraId="3E45A4B5" w14:textId="77777777" w:rsidR="00725977" w:rsidRPr="00D4309F" w:rsidRDefault="00725977" w:rsidP="00725977">
      <w:pPr>
        <w:pStyle w:val="BodyText"/>
      </w:pPr>
      <w:r w:rsidRPr="00D4309F">
        <w:t>Option 5A carries a low capital cost, as no structural modification, excavation, or breakwater works are proposed. Capital expenditure is limited to installation or upgrading of aids to navigation (marks, lighting, signage).</w:t>
      </w:r>
    </w:p>
    <w:p w14:paraId="31D510A2" w14:textId="364DFCB5" w:rsidR="00416F6A" w:rsidRPr="00D4309F" w:rsidRDefault="00725977" w:rsidP="00725977">
      <w:pPr>
        <w:pStyle w:val="BodyText"/>
      </w:pPr>
      <w:r w:rsidRPr="00D4309F">
        <w:t>No rock removal, bedrock excavation, dredged corridor establishment, or temporary breakwater closures are required. Accordingly, capital cost uncertainty is low compared with structural options</w:t>
      </w:r>
      <w:r w:rsidR="00416F6A">
        <w:t>.</w:t>
      </w:r>
    </w:p>
    <w:p w14:paraId="11471E91" w14:textId="77777777" w:rsidR="00725977" w:rsidRPr="00D4309F" w:rsidRDefault="00725977" w:rsidP="00045159">
      <w:pPr>
        <w:pStyle w:val="Heading5-nonumber"/>
      </w:pPr>
      <w:r w:rsidRPr="00D4309F">
        <w:t>Operational</w:t>
      </w:r>
      <w:r w:rsidRPr="00D4309F">
        <w:rPr>
          <w:spacing w:val="-9"/>
        </w:rPr>
        <w:t xml:space="preserve"> </w:t>
      </w:r>
      <w:r w:rsidRPr="00D4309F">
        <w:rPr>
          <w:spacing w:val="-4"/>
        </w:rPr>
        <w:t>Costs</w:t>
      </w:r>
    </w:p>
    <w:p w14:paraId="706C67EE" w14:textId="77777777" w:rsidR="00725977" w:rsidRPr="00D4309F" w:rsidRDefault="00725977" w:rsidP="00725977">
      <w:pPr>
        <w:pStyle w:val="BodyText"/>
      </w:pPr>
      <w:r w:rsidRPr="00D4309F">
        <w:t>Operational costs for Option 5A would be broadly similar to those associated with the current Western Channel dredging trial, as the variation does not reduce sediment supply or alter the shoaling behaviour of the entrance system.</w:t>
      </w:r>
    </w:p>
    <w:p w14:paraId="09DC0BB4" w14:textId="77777777" w:rsidR="00725977" w:rsidRPr="00D4309F" w:rsidRDefault="00725977" w:rsidP="00725977">
      <w:pPr>
        <w:pStyle w:val="BodyText"/>
      </w:pPr>
      <w:r w:rsidRPr="00D4309F">
        <w:t>Operational costs include:</w:t>
      </w:r>
    </w:p>
    <w:p w14:paraId="59B99DC7" w14:textId="77777777" w:rsidR="00725977" w:rsidRPr="00D4309F" w:rsidRDefault="00725977" w:rsidP="00D27F26">
      <w:pPr>
        <w:pStyle w:val="BodyText"/>
        <w:widowControl w:val="0"/>
        <w:numPr>
          <w:ilvl w:val="0"/>
          <w:numId w:val="479"/>
        </w:numPr>
        <w:autoSpaceDE w:val="0"/>
        <w:autoSpaceDN w:val="0"/>
        <w:spacing w:before="60" w:after="60"/>
        <w:ind w:right="45"/>
      </w:pPr>
      <w:r w:rsidRPr="00D4309F">
        <w:t>Hydrographic monitoring to track shoal movement and channel depth.</w:t>
      </w:r>
    </w:p>
    <w:p w14:paraId="40E6CDA2" w14:textId="77777777" w:rsidR="00725977" w:rsidRPr="00D4309F" w:rsidRDefault="00725977" w:rsidP="00D27F26">
      <w:pPr>
        <w:pStyle w:val="BodyText"/>
        <w:widowControl w:val="0"/>
        <w:numPr>
          <w:ilvl w:val="0"/>
          <w:numId w:val="479"/>
        </w:numPr>
        <w:autoSpaceDE w:val="0"/>
        <w:autoSpaceDN w:val="0"/>
        <w:spacing w:before="60" w:after="60"/>
        <w:ind w:right="45"/>
      </w:pPr>
      <w:r w:rsidRPr="00D4309F">
        <w:t>Periodic maintenance dredging to maintain navigable depth, likely at frequencies comparable to existing practice.</w:t>
      </w:r>
    </w:p>
    <w:p w14:paraId="716BA0BB" w14:textId="77777777" w:rsidR="00725977" w:rsidRPr="00D4309F" w:rsidRDefault="00725977" w:rsidP="00D27F26">
      <w:pPr>
        <w:pStyle w:val="BodyText"/>
        <w:widowControl w:val="0"/>
        <w:numPr>
          <w:ilvl w:val="0"/>
          <w:numId w:val="479"/>
        </w:numPr>
        <w:autoSpaceDE w:val="0"/>
        <w:autoSpaceDN w:val="0"/>
        <w:spacing w:before="60" w:after="60"/>
        <w:ind w:right="45"/>
      </w:pPr>
      <w:r w:rsidRPr="00D4309F">
        <w:t>Sand placement and environmental management, coordinated with council for beneficial reuse.</w:t>
      </w:r>
    </w:p>
    <w:p w14:paraId="490220D1" w14:textId="77777777" w:rsidR="00725977" w:rsidRPr="00D4309F" w:rsidRDefault="00725977" w:rsidP="00D27F26">
      <w:pPr>
        <w:pStyle w:val="BodyText"/>
        <w:widowControl w:val="0"/>
        <w:numPr>
          <w:ilvl w:val="0"/>
          <w:numId w:val="479"/>
        </w:numPr>
        <w:autoSpaceDE w:val="0"/>
        <w:autoSpaceDN w:val="0"/>
        <w:spacing w:before="60" w:after="60"/>
        <w:ind w:right="45"/>
      </w:pPr>
      <w:r w:rsidRPr="00D4309F">
        <w:t>Navigation management activities, including maintaining aids to navigation and issuing Notice to Mariners updates.</w:t>
      </w:r>
    </w:p>
    <w:p w14:paraId="71B1C791" w14:textId="77777777" w:rsidR="00725977" w:rsidRPr="00D4309F" w:rsidRDefault="00725977" w:rsidP="00725977">
      <w:pPr>
        <w:pStyle w:val="BodyText"/>
      </w:pPr>
      <w:r w:rsidRPr="00D4309F">
        <w:t>Option 5A does not influence the volume of sand entering the entrance system, operational costs remain highly dependent on storm-driven shoaling events and seasonal sediment mobility. The western channel may still shoal rapidly, meaning dredging demand is not reduced and long-term operational cost efficiencies are limited.</w:t>
      </w:r>
    </w:p>
    <w:p w14:paraId="711B609E" w14:textId="2076D410" w:rsidR="00416F6A" w:rsidRPr="0048488A" w:rsidRDefault="00725977" w:rsidP="00725977">
      <w:pPr>
        <w:pStyle w:val="BodyText"/>
      </w:pPr>
      <w:r w:rsidRPr="00D4309F">
        <w:t>Option 5A represents a low-capital, ongoing-operational cost profile, with expenditure dominated by dredging and monitoring requirements rather than infrastructure development.</w:t>
      </w:r>
    </w:p>
    <w:p w14:paraId="19B2140A" w14:textId="77777777" w:rsidR="00725977" w:rsidRPr="00D4309F" w:rsidRDefault="00725977" w:rsidP="00785CC3">
      <w:pPr>
        <w:pStyle w:val="Heading2"/>
      </w:pPr>
      <w:bookmarkStart w:id="541" w:name="_Toc216699512"/>
      <w:r w:rsidRPr="00D4309F">
        <w:t>Option 5B – Shorten Western Entrance Wall + Formalise Western Channel (Structural Modification):</w:t>
      </w:r>
      <w:bookmarkEnd w:id="541"/>
    </w:p>
    <w:p w14:paraId="5FB78AD0" w14:textId="77777777" w:rsidR="00725977" w:rsidRPr="00D4309F" w:rsidRDefault="00725977" w:rsidP="00725977">
      <w:pPr>
        <w:pStyle w:val="BodyText"/>
      </w:pPr>
      <w:r w:rsidRPr="00D4309F">
        <w:t xml:space="preserve">This variation involves the partial removal of the western breakwater and formal establishment of a new navigation channel farther landward. The intent is to shift vessel movements away from the most active shoaling zone; however, the option does not alter sediment supply and may introduce safety challenges due to more oblique wave-approach angles. </w:t>
      </w:r>
    </w:p>
    <w:p w14:paraId="72C7EF14" w14:textId="5C0F58BB" w:rsidR="005A5356" w:rsidRPr="00D4309F" w:rsidRDefault="00725977" w:rsidP="00725977">
      <w:pPr>
        <w:pStyle w:val="BodyText"/>
      </w:pPr>
      <w:r w:rsidRPr="00D4309F">
        <w:t>Compared with Option 5A, this variation requires significant capital works, detailed hydrodynamic and sediment transport modelling, and a more intensive approvals process. While it may deliver short-term improvements in navigability, its long-term effectiveness remains limited unless supported by broader sediment management interventions.</w:t>
      </w:r>
    </w:p>
    <w:p w14:paraId="240B871B" w14:textId="77777777" w:rsidR="00725977" w:rsidRPr="00D4309F" w:rsidRDefault="00725977" w:rsidP="00785CC3">
      <w:pPr>
        <w:pStyle w:val="Heading3"/>
      </w:pPr>
      <w:bookmarkStart w:id="542" w:name="_Toc216699513"/>
      <w:r w:rsidRPr="00D4309F">
        <w:lastRenderedPageBreak/>
        <w:t>Design</w:t>
      </w:r>
      <w:r w:rsidRPr="00D4309F">
        <w:rPr>
          <w:spacing w:val="-10"/>
        </w:rPr>
        <w:t xml:space="preserve"> </w:t>
      </w:r>
      <w:r w:rsidRPr="00D4309F">
        <w:t>and</w:t>
      </w:r>
      <w:r w:rsidRPr="00D4309F">
        <w:rPr>
          <w:spacing w:val="-10"/>
        </w:rPr>
        <w:t xml:space="preserve"> </w:t>
      </w:r>
      <w:r w:rsidRPr="00D4309F">
        <w:rPr>
          <w:spacing w:val="-2"/>
        </w:rPr>
        <w:t>approvals</w:t>
      </w:r>
      <w:bookmarkEnd w:id="542"/>
    </w:p>
    <w:p w14:paraId="694AD479" w14:textId="77777777" w:rsidR="00725977" w:rsidRPr="00D4309F" w:rsidRDefault="00725977" w:rsidP="00725977">
      <w:pPr>
        <w:pStyle w:val="BodyText"/>
      </w:pPr>
      <w:r w:rsidRPr="00D4309F">
        <w:t xml:space="preserve">Option 5B remains at a conceptual stage, with no detailed design or numerical analysis completed to date. To advance this option, significant additional design and investigation work would be required to understand its feasibility, safety implications, and coastal process effects.  </w:t>
      </w:r>
    </w:p>
    <w:p w14:paraId="76C6129A" w14:textId="77777777" w:rsidR="00725977" w:rsidRPr="00D4309F" w:rsidRDefault="00725977" w:rsidP="00725977">
      <w:pPr>
        <w:pStyle w:val="BodyText"/>
      </w:pPr>
      <w:r w:rsidRPr="00D4309F">
        <w:t xml:space="preserve">The entrance system at Mooloolaba is strongly influenced by both tidal exchange and ebb-flow dynamics, meaning any alteration to the western breakwater length would have a direct impact on hydrodynamic behaviour. Shortening the wall could change current patterns, wave refraction, and sediment transport around the entrance.   </w:t>
      </w:r>
    </w:p>
    <w:p w14:paraId="27C48652" w14:textId="77777777" w:rsidR="00725977" w:rsidRPr="00D4309F" w:rsidRDefault="00725977" w:rsidP="00725977">
      <w:pPr>
        <w:pStyle w:val="BodyText"/>
      </w:pPr>
      <w:r w:rsidRPr="00D4309F">
        <w:t xml:space="preserve">To properly assess these outcomes, comprehensive hydrodynamic and morphological modelling would be essential. This would likely require a combination of numerical modelling and physical scale testing, given the complex interactions between tidal flows, waves, and sediment transport in this area. Physical modelling, while resource-intensive, would be critical to evaluate the stability and performance of the modified entrance structure under varying conditions.  </w:t>
      </w:r>
    </w:p>
    <w:p w14:paraId="3961D2AE" w14:textId="77777777" w:rsidR="00725977" w:rsidRPr="00D4309F" w:rsidRDefault="00725977" w:rsidP="00725977">
      <w:pPr>
        <w:pStyle w:val="BodyText"/>
      </w:pPr>
      <w:r w:rsidRPr="00D4309F">
        <w:t xml:space="preserve">From an approvals standpoint, the proposal would also involve capital dredging and removal of rock material from the existing breakwater. These works would trigger the need for environmental and coastal management approvals, including assessment of potential impacts on marine habitats, water quality, and shoreline stability.  </w:t>
      </w:r>
    </w:p>
    <w:p w14:paraId="6C058EC0" w14:textId="43EDB8F7" w:rsidR="005A5356" w:rsidRPr="00D4309F" w:rsidRDefault="00725977" w:rsidP="00725977">
      <w:pPr>
        <w:pStyle w:val="BodyText"/>
      </w:pPr>
      <w:r w:rsidRPr="00D4309F">
        <w:t xml:space="preserve">This option would demand a high level of design refinement and environmental assessment before progressing. The investigations required, particularly hydrodynamic and sediment transport studies, represent a significant commitment of time and cost to validate whether the modification could achieve safe and sustainable outcomes.  </w:t>
      </w:r>
    </w:p>
    <w:p w14:paraId="2F5ECBC1" w14:textId="77777777" w:rsidR="00725977" w:rsidRPr="00D4309F" w:rsidRDefault="00725977" w:rsidP="00785CC3">
      <w:pPr>
        <w:pStyle w:val="Heading3"/>
      </w:pPr>
      <w:bookmarkStart w:id="543" w:name="_Toc216699514"/>
      <w:r w:rsidRPr="00D4309F">
        <w:t>Capital</w:t>
      </w:r>
      <w:r w:rsidRPr="00D4309F">
        <w:rPr>
          <w:spacing w:val="-12"/>
        </w:rPr>
        <w:t xml:space="preserve"> </w:t>
      </w:r>
      <w:r w:rsidRPr="00D4309F">
        <w:rPr>
          <w:spacing w:val="-2"/>
        </w:rPr>
        <w:t>works</w:t>
      </w:r>
      <w:bookmarkEnd w:id="543"/>
      <w:r w:rsidRPr="00D4309F">
        <w:rPr>
          <w:spacing w:val="-2"/>
        </w:rPr>
        <w:t xml:space="preserve"> </w:t>
      </w:r>
    </w:p>
    <w:p w14:paraId="62BB7EA8" w14:textId="77777777" w:rsidR="00725977" w:rsidRPr="00D4309F" w:rsidRDefault="00725977" w:rsidP="00725977">
      <w:pPr>
        <w:pStyle w:val="BodyText"/>
      </w:pPr>
      <w:r w:rsidRPr="00D4309F">
        <w:t>The capital works for Option 5B would involve a combination of structural modification</w:t>
      </w:r>
      <w:r w:rsidRPr="00D4309F">
        <w:rPr>
          <w:spacing w:val="-3"/>
        </w:rPr>
        <w:t xml:space="preserve"> </w:t>
      </w:r>
      <w:r w:rsidRPr="00D4309F">
        <w:t>and</w:t>
      </w:r>
      <w:r w:rsidRPr="00D4309F">
        <w:rPr>
          <w:spacing w:val="-3"/>
        </w:rPr>
        <w:t xml:space="preserve"> </w:t>
      </w:r>
      <w:r w:rsidRPr="00D4309F">
        <w:t>channel</w:t>
      </w:r>
      <w:r w:rsidRPr="00D4309F">
        <w:rPr>
          <w:spacing w:val="-4"/>
        </w:rPr>
        <w:t xml:space="preserve"> </w:t>
      </w:r>
      <w:r w:rsidRPr="00D4309F">
        <w:t>excavation</w:t>
      </w:r>
      <w:r w:rsidRPr="00D4309F">
        <w:rPr>
          <w:spacing w:val="-3"/>
        </w:rPr>
        <w:t xml:space="preserve"> </w:t>
      </w:r>
      <w:r w:rsidRPr="00D4309F">
        <w:t>activities</w:t>
      </w:r>
      <w:r w:rsidRPr="00D4309F">
        <w:rPr>
          <w:spacing w:val="-2"/>
        </w:rPr>
        <w:t xml:space="preserve"> </w:t>
      </w:r>
      <w:r w:rsidRPr="00D4309F">
        <w:t>to</w:t>
      </w:r>
      <w:r w:rsidRPr="00D4309F">
        <w:rPr>
          <w:spacing w:val="-3"/>
        </w:rPr>
        <w:t xml:space="preserve"> </w:t>
      </w:r>
      <w:r w:rsidRPr="00D4309F">
        <w:t>establish</w:t>
      </w:r>
      <w:r w:rsidRPr="00D4309F">
        <w:rPr>
          <w:spacing w:val="-3"/>
        </w:rPr>
        <w:t xml:space="preserve"> </w:t>
      </w:r>
      <w:r w:rsidRPr="00D4309F">
        <w:t>the</w:t>
      </w:r>
      <w:r w:rsidRPr="00D4309F">
        <w:rPr>
          <w:spacing w:val="-3"/>
        </w:rPr>
        <w:t xml:space="preserve"> </w:t>
      </w:r>
      <w:r w:rsidRPr="00D4309F">
        <w:t>new</w:t>
      </w:r>
      <w:r w:rsidRPr="00D4309F">
        <w:rPr>
          <w:spacing w:val="-4"/>
        </w:rPr>
        <w:t xml:space="preserve"> </w:t>
      </w:r>
      <w:r w:rsidRPr="00D4309F">
        <w:t>entrance</w:t>
      </w:r>
      <w:r w:rsidRPr="00D4309F">
        <w:rPr>
          <w:spacing w:val="-3"/>
        </w:rPr>
        <w:t xml:space="preserve"> </w:t>
      </w:r>
      <w:r w:rsidRPr="00D4309F">
        <w:t>alignment.</w:t>
      </w:r>
      <w:r w:rsidRPr="00D4309F">
        <w:rPr>
          <w:spacing w:val="-3"/>
        </w:rPr>
        <w:t xml:space="preserve"> </w:t>
      </w:r>
      <w:r w:rsidRPr="00D4309F">
        <w:t>The</w:t>
      </w:r>
      <w:r w:rsidRPr="00D4309F">
        <w:rPr>
          <w:spacing w:val="-3"/>
        </w:rPr>
        <w:t xml:space="preserve"> </w:t>
      </w:r>
      <w:r w:rsidRPr="00D4309F">
        <w:t>key</w:t>
      </w:r>
      <w:r w:rsidRPr="00D4309F">
        <w:rPr>
          <w:spacing w:val="-2"/>
        </w:rPr>
        <w:t xml:space="preserve"> </w:t>
      </w:r>
      <w:r w:rsidRPr="00D4309F">
        <w:t xml:space="preserve">components </w:t>
      </w:r>
      <w:r w:rsidRPr="00D4309F">
        <w:rPr>
          <w:spacing w:val="-2"/>
        </w:rPr>
        <w:t>include:</w:t>
      </w:r>
    </w:p>
    <w:p w14:paraId="4DF6E12D" w14:textId="77777777" w:rsidR="00725977" w:rsidRPr="00D4309F" w:rsidRDefault="00725977" w:rsidP="00D27F26">
      <w:pPr>
        <w:pStyle w:val="ListParagraph"/>
        <w:widowControl w:val="0"/>
        <w:numPr>
          <w:ilvl w:val="0"/>
          <w:numId w:val="70"/>
        </w:numPr>
        <w:tabs>
          <w:tab w:val="left" w:pos="501"/>
        </w:tabs>
        <w:autoSpaceDE w:val="0"/>
        <w:autoSpaceDN w:val="0"/>
        <w:spacing w:before="133" w:after="0" w:line="242" w:lineRule="auto"/>
        <w:ind w:right="670"/>
        <w:contextualSpacing w:val="0"/>
      </w:pPr>
      <w:r w:rsidRPr="00D4309F">
        <w:rPr>
          <w:color w:val="211E1F"/>
        </w:rPr>
        <w:t>Partial</w:t>
      </w:r>
      <w:r w:rsidRPr="00D4309F">
        <w:rPr>
          <w:color w:val="211E1F"/>
          <w:spacing w:val="-3"/>
        </w:rPr>
        <w:t xml:space="preserve"> </w:t>
      </w:r>
      <w:r w:rsidRPr="00D4309F">
        <w:rPr>
          <w:color w:val="211E1F"/>
        </w:rPr>
        <w:t>demolition</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existing</w:t>
      </w:r>
      <w:r w:rsidRPr="00D4309F">
        <w:rPr>
          <w:color w:val="211E1F"/>
          <w:spacing w:val="-3"/>
        </w:rPr>
        <w:t xml:space="preserve"> </w:t>
      </w:r>
      <w:r w:rsidRPr="00D4309F">
        <w:rPr>
          <w:color w:val="211E1F"/>
        </w:rPr>
        <w:t>western</w:t>
      </w:r>
      <w:r w:rsidRPr="00D4309F">
        <w:rPr>
          <w:color w:val="211E1F"/>
          <w:spacing w:val="-4"/>
        </w:rPr>
        <w:t xml:space="preserve"> </w:t>
      </w:r>
      <w:r w:rsidRPr="00D4309F">
        <w:rPr>
          <w:color w:val="211E1F"/>
        </w:rPr>
        <w:t>breakwater,</w:t>
      </w:r>
      <w:r w:rsidRPr="00D4309F">
        <w:rPr>
          <w:color w:val="211E1F"/>
          <w:spacing w:val="-3"/>
        </w:rPr>
        <w:t xml:space="preserve"> </w:t>
      </w:r>
      <w:r w:rsidRPr="00D4309F">
        <w:rPr>
          <w:color w:val="211E1F"/>
        </w:rPr>
        <w:t>removing</w:t>
      </w:r>
      <w:r w:rsidRPr="00D4309F">
        <w:rPr>
          <w:color w:val="211E1F"/>
          <w:spacing w:val="-3"/>
        </w:rPr>
        <w:t xml:space="preserve"> </w:t>
      </w:r>
      <w:r w:rsidRPr="00D4309F">
        <w:rPr>
          <w:color w:val="211E1F"/>
        </w:rPr>
        <w:t>a</w:t>
      </w:r>
      <w:r w:rsidRPr="00D4309F">
        <w:rPr>
          <w:color w:val="211E1F"/>
          <w:spacing w:val="-3"/>
        </w:rPr>
        <w:t xml:space="preserve"> </w:t>
      </w:r>
      <w:r w:rsidRPr="00D4309F">
        <w:rPr>
          <w:color w:val="211E1F"/>
        </w:rPr>
        <w:t>defined</w:t>
      </w:r>
      <w:r w:rsidRPr="00D4309F">
        <w:rPr>
          <w:color w:val="211E1F"/>
          <w:spacing w:val="-3"/>
        </w:rPr>
        <w:t xml:space="preserve"> </w:t>
      </w:r>
      <w:r w:rsidRPr="00D4309F">
        <w:rPr>
          <w:color w:val="211E1F"/>
        </w:rPr>
        <w:t>section</w:t>
      </w:r>
      <w:r w:rsidRPr="00D4309F">
        <w:rPr>
          <w:color w:val="211E1F"/>
          <w:spacing w:val="-4"/>
        </w:rPr>
        <w:t xml:space="preserve"> </w:t>
      </w:r>
      <w:r w:rsidRPr="00D4309F">
        <w:rPr>
          <w:color w:val="211E1F"/>
        </w:rPr>
        <w:t>to</w:t>
      </w:r>
      <w:r w:rsidRPr="00D4309F">
        <w:rPr>
          <w:color w:val="211E1F"/>
          <w:spacing w:val="-3"/>
        </w:rPr>
        <w:t xml:space="preserve"> </w:t>
      </w:r>
      <w:r w:rsidRPr="00D4309F">
        <w:rPr>
          <w:color w:val="211E1F"/>
        </w:rPr>
        <w:t>open</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new channel alignment.</w:t>
      </w:r>
    </w:p>
    <w:p w14:paraId="132955A4" w14:textId="77777777" w:rsidR="00725977" w:rsidRPr="00D4309F" w:rsidRDefault="00725977" w:rsidP="00D27F26">
      <w:pPr>
        <w:pStyle w:val="ListParagraph"/>
        <w:widowControl w:val="0"/>
        <w:numPr>
          <w:ilvl w:val="0"/>
          <w:numId w:val="70"/>
        </w:numPr>
        <w:tabs>
          <w:tab w:val="left" w:pos="501"/>
        </w:tabs>
        <w:autoSpaceDE w:val="0"/>
        <w:autoSpaceDN w:val="0"/>
        <w:spacing w:before="134" w:after="0" w:line="242" w:lineRule="auto"/>
        <w:ind w:right="583"/>
        <w:contextualSpacing w:val="0"/>
      </w:pPr>
      <w:r w:rsidRPr="00D4309F">
        <w:rPr>
          <w:color w:val="211E1F"/>
        </w:rPr>
        <w:t>Dredging</w:t>
      </w:r>
      <w:r w:rsidRPr="00D4309F">
        <w:rPr>
          <w:color w:val="211E1F"/>
          <w:spacing w:val="-3"/>
        </w:rPr>
        <w:t xml:space="preserve"> </w:t>
      </w:r>
      <w:r w:rsidRPr="00D4309F">
        <w:rPr>
          <w:color w:val="211E1F"/>
        </w:rPr>
        <w:t>and</w:t>
      </w:r>
      <w:r w:rsidRPr="00D4309F">
        <w:rPr>
          <w:color w:val="211E1F"/>
          <w:spacing w:val="-4"/>
        </w:rPr>
        <w:t xml:space="preserve"> </w:t>
      </w:r>
      <w:r w:rsidRPr="00D4309F">
        <w:rPr>
          <w:color w:val="211E1F"/>
        </w:rPr>
        <w:t>excavation</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a</w:t>
      </w:r>
      <w:r w:rsidRPr="00D4309F">
        <w:rPr>
          <w:color w:val="211E1F"/>
          <w:spacing w:val="-3"/>
        </w:rPr>
        <w:t xml:space="preserve"> </w:t>
      </w:r>
      <w:r w:rsidRPr="00D4309F">
        <w:rPr>
          <w:color w:val="211E1F"/>
        </w:rPr>
        <w:t>new</w:t>
      </w:r>
      <w:r w:rsidRPr="00D4309F">
        <w:rPr>
          <w:color w:val="211E1F"/>
          <w:spacing w:val="-2"/>
        </w:rPr>
        <w:t xml:space="preserve"> </w:t>
      </w:r>
      <w:r w:rsidRPr="00D4309F">
        <w:rPr>
          <w:color w:val="211E1F"/>
        </w:rPr>
        <w:t>access</w:t>
      </w:r>
      <w:r w:rsidRPr="00D4309F">
        <w:rPr>
          <w:color w:val="211E1F"/>
          <w:spacing w:val="-2"/>
        </w:rPr>
        <w:t xml:space="preserve"> </w:t>
      </w:r>
      <w:r w:rsidRPr="00D4309F">
        <w:rPr>
          <w:color w:val="211E1F"/>
        </w:rPr>
        <w:t>channel,</w:t>
      </w:r>
      <w:r w:rsidRPr="00D4309F">
        <w:rPr>
          <w:color w:val="211E1F"/>
          <w:spacing w:val="-3"/>
        </w:rPr>
        <w:t xml:space="preserve"> </w:t>
      </w:r>
      <w:r w:rsidRPr="00D4309F">
        <w:rPr>
          <w:color w:val="211E1F"/>
        </w:rPr>
        <w:t>likely</w:t>
      </w:r>
      <w:r w:rsidRPr="00D4309F">
        <w:rPr>
          <w:color w:val="211E1F"/>
          <w:spacing w:val="-2"/>
        </w:rPr>
        <w:t xml:space="preserve"> </w:t>
      </w:r>
      <w:r w:rsidRPr="00D4309F">
        <w:rPr>
          <w:color w:val="211E1F"/>
        </w:rPr>
        <w:t>requiring</w:t>
      </w:r>
      <w:r w:rsidRPr="00D4309F">
        <w:rPr>
          <w:color w:val="211E1F"/>
          <w:spacing w:val="-3"/>
        </w:rPr>
        <w:t xml:space="preserve"> </w:t>
      </w:r>
      <w:r w:rsidRPr="00D4309F">
        <w:rPr>
          <w:color w:val="211E1F"/>
        </w:rPr>
        <w:t>removal</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material</w:t>
      </w:r>
      <w:r w:rsidRPr="00D4309F">
        <w:rPr>
          <w:color w:val="211E1F"/>
          <w:spacing w:val="-3"/>
        </w:rPr>
        <w:t xml:space="preserve"> </w:t>
      </w:r>
      <w:r w:rsidRPr="00D4309F">
        <w:rPr>
          <w:color w:val="211E1F"/>
        </w:rPr>
        <w:t>down</w:t>
      </w:r>
      <w:r w:rsidRPr="00D4309F">
        <w:rPr>
          <w:color w:val="211E1F"/>
          <w:spacing w:val="-3"/>
        </w:rPr>
        <w:t xml:space="preserve"> </w:t>
      </w:r>
      <w:r w:rsidRPr="00D4309F">
        <w:rPr>
          <w:color w:val="211E1F"/>
        </w:rPr>
        <w:t>to</w:t>
      </w:r>
      <w:r w:rsidRPr="00D4309F">
        <w:rPr>
          <w:color w:val="211E1F"/>
          <w:spacing w:val="-4"/>
        </w:rPr>
        <w:t xml:space="preserve"> </w:t>
      </w:r>
      <w:r w:rsidRPr="00D4309F">
        <w:rPr>
          <w:color w:val="211E1F"/>
        </w:rPr>
        <w:t>the bedrock level to achieve navigable depths.</w:t>
      </w:r>
    </w:p>
    <w:p w14:paraId="33C72356" w14:textId="77777777" w:rsidR="00725977" w:rsidRPr="00D4309F" w:rsidRDefault="00725977" w:rsidP="00D27F26">
      <w:pPr>
        <w:pStyle w:val="ListParagraph"/>
        <w:widowControl w:val="0"/>
        <w:numPr>
          <w:ilvl w:val="0"/>
          <w:numId w:val="70"/>
        </w:numPr>
        <w:tabs>
          <w:tab w:val="left" w:pos="501"/>
        </w:tabs>
        <w:autoSpaceDE w:val="0"/>
        <w:autoSpaceDN w:val="0"/>
        <w:spacing w:before="134" w:after="0" w:line="242" w:lineRule="auto"/>
        <w:ind w:right="125"/>
        <w:contextualSpacing w:val="0"/>
      </w:pPr>
      <w:r w:rsidRPr="00D4309F">
        <w:rPr>
          <w:color w:val="211E1F"/>
        </w:rPr>
        <w:t>Handling</w:t>
      </w:r>
      <w:r w:rsidRPr="00D4309F">
        <w:rPr>
          <w:color w:val="211E1F"/>
          <w:spacing w:val="-3"/>
        </w:rPr>
        <w:t xml:space="preserve"> </w:t>
      </w:r>
      <w:r w:rsidRPr="00D4309F">
        <w:rPr>
          <w:color w:val="211E1F"/>
        </w:rPr>
        <w:t>and</w:t>
      </w:r>
      <w:r w:rsidRPr="00D4309F">
        <w:rPr>
          <w:color w:val="211E1F"/>
          <w:spacing w:val="-4"/>
        </w:rPr>
        <w:t xml:space="preserve"> </w:t>
      </w:r>
      <w:r w:rsidRPr="00D4309F">
        <w:rPr>
          <w:color w:val="211E1F"/>
        </w:rPr>
        <w:t>management</w:t>
      </w:r>
      <w:r w:rsidRPr="00D4309F">
        <w:rPr>
          <w:color w:val="211E1F"/>
          <w:spacing w:val="-5"/>
        </w:rPr>
        <w:t xml:space="preserve"> </w:t>
      </w:r>
      <w:r w:rsidRPr="00D4309F">
        <w:rPr>
          <w:color w:val="211E1F"/>
        </w:rPr>
        <w:t>of</w:t>
      </w:r>
      <w:r w:rsidRPr="00D4309F">
        <w:rPr>
          <w:color w:val="211E1F"/>
          <w:spacing w:val="-3"/>
        </w:rPr>
        <w:t xml:space="preserve"> </w:t>
      </w:r>
      <w:r w:rsidRPr="00D4309F">
        <w:rPr>
          <w:color w:val="211E1F"/>
        </w:rPr>
        <w:t>excavated</w:t>
      </w:r>
      <w:r w:rsidRPr="00D4309F">
        <w:rPr>
          <w:color w:val="211E1F"/>
          <w:spacing w:val="-4"/>
        </w:rPr>
        <w:t xml:space="preserve"> </w:t>
      </w:r>
      <w:r w:rsidRPr="00D4309F">
        <w:rPr>
          <w:color w:val="211E1F"/>
        </w:rPr>
        <w:t>rock</w:t>
      </w:r>
      <w:r w:rsidRPr="00D4309F">
        <w:rPr>
          <w:color w:val="211E1F"/>
          <w:spacing w:val="-2"/>
        </w:rPr>
        <w:t xml:space="preserve"> </w:t>
      </w:r>
      <w:r w:rsidRPr="00D4309F">
        <w:rPr>
          <w:color w:val="211E1F"/>
        </w:rPr>
        <w:t>and</w:t>
      </w:r>
      <w:r w:rsidRPr="00D4309F">
        <w:rPr>
          <w:color w:val="211E1F"/>
          <w:spacing w:val="-4"/>
        </w:rPr>
        <w:t xml:space="preserve"> </w:t>
      </w:r>
      <w:r w:rsidRPr="00D4309F">
        <w:rPr>
          <w:color w:val="211E1F"/>
        </w:rPr>
        <w:t>sediment,</w:t>
      </w:r>
      <w:r w:rsidRPr="00D4309F">
        <w:rPr>
          <w:color w:val="211E1F"/>
          <w:spacing w:val="-3"/>
        </w:rPr>
        <w:t xml:space="preserve"> </w:t>
      </w:r>
      <w:r w:rsidRPr="00D4309F">
        <w:rPr>
          <w:color w:val="211E1F"/>
        </w:rPr>
        <w:t>with</w:t>
      </w:r>
      <w:r w:rsidRPr="00D4309F">
        <w:rPr>
          <w:color w:val="211E1F"/>
          <w:spacing w:val="-3"/>
        </w:rPr>
        <w:t xml:space="preserve"> </w:t>
      </w:r>
      <w:r w:rsidRPr="00D4309F">
        <w:rPr>
          <w:color w:val="211E1F"/>
        </w:rPr>
        <w:t>suitable</w:t>
      </w:r>
      <w:r w:rsidRPr="00D4309F">
        <w:rPr>
          <w:color w:val="211E1F"/>
          <w:spacing w:val="-3"/>
        </w:rPr>
        <w:t xml:space="preserve"> </w:t>
      </w:r>
      <w:r w:rsidRPr="00D4309F">
        <w:rPr>
          <w:color w:val="211E1F"/>
        </w:rPr>
        <w:t>onshore</w:t>
      </w:r>
      <w:r w:rsidRPr="00D4309F">
        <w:rPr>
          <w:color w:val="211E1F"/>
          <w:spacing w:val="-3"/>
        </w:rPr>
        <w:t xml:space="preserve"> </w:t>
      </w:r>
      <w:r w:rsidRPr="00D4309F">
        <w:rPr>
          <w:color w:val="211E1F"/>
        </w:rPr>
        <w:t>storage,</w:t>
      </w:r>
      <w:r w:rsidRPr="00D4309F">
        <w:rPr>
          <w:color w:val="211E1F"/>
          <w:spacing w:val="-3"/>
        </w:rPr>
        <w:t xml:space="preserve"> </w:t>
      </w:r>
      <w:r w:rsidRPr="00D4309F">
        <w:rPr>
          <w:color w:val="211E1F"/>
        </w:rPr>
        <w:t>sorting,</w:t>
      </w:r>
      <w:r w:rsidRPr="00D4309F">
        <w:rPr>
          <w:color w:val="211E1F"/>
          <w:spacing w:val="-3"/>
        </w:rPr>
        <w:t xml:space="preserve"> </w:t>
      </w:r>
      <w:r w:rsidRPr="00D4309F">
        <w:rPr>
          <w:color w:val="211E1F"/>
        </w:rPr>
        <w:t>and offsite transport or reuse.</w:t>
      </w:r>
    </w:p>
    <w:p w14:paraId="79A35AE7" w14:textId="77777777" w:rsidR="00725977" w:rsidRPr="00D4309F" w:rsidRDefault="00725977" w:rsidP="00D27F26">
      <w:pPr>
        <w:pStyle w:val="ListParagraph"/>
        <w:widowControl w:val="0"/>
        <w:numPr>
          <w:ilvl w:val="0"/>
          <w:numId w:val="70"/>
        </w:numPr>
        <w:tabs>
          <w:tab w:val="left" w:pos="501"/>
        </w:tabs>
        <w:autoSpaceDE w:val="0"/>
        <w:autoSpaceDN w:val="0"/>
        <w:spacing w:before="134" w:after="0" w:line="242" w:lineRule="auto"/>
        <w:ind w:right="717"/>
        <w:contextualSpacing w:val="0"/>
      </w:pPr>
      <w:r w:rsidRPr="00D4309F">
        <w:rPr>
          <w:color w:val="211E1F"/>
        </w:rPr>
        <w:t>Potential</w:t>
      </w:r>
      <w:r w:rsidRPr="00D4309F">
        <w:rPr>
          <w:color w:val="211E1F"/>
          <w:spacing w:val="-3"/>
        </w:rPr>
        <w:t xml:space="preserve"> </w:t>
      </w:r>
      <w:r w:rsidRPr="00D4309F">
        <w:rPr>
          <w:color w:val="211E1F"/>
        </w:rPr>
        <w:t>reinforcement</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new</w:t>
      </w:r>
      <w:r w:rsidRPr="00D4309F">
        <w:rPr>
          <w:color w:val="211E1F"/>
          <w:spacing w:val="-2"/>
        </w:rPr>
        <w:t xml:space="preserve"> </w:t>
      </w:r>
      <w:r w:rsidRPr="00D4309F">
        <w:rPr>
          <w:color w:val="211E1F"/>
        </w:rPr>
        <w:t>channel</w:t>
      </w:r>
      <w:r w:rsidRPr="00D4309F">
        <w:rPr>
          <w:color w:val="211E1F"/>
          <w:spacing w:val="-4"/>
        </w:rPr>
        <w:t xml:space="preserve"> </w:t>
      </w:r>
      <w:r w:rsidRPr="00D4309F">
        <w:rPr>
          <w:color w:val="211E1F"/>
        </w:rPr>
        <w:t>margins,</w:t>
      </w:r>
      <w:r w:rsidRPr="00D4309F">
        <w:rPr>
          <w:color w:val="211E1F"/>
          <w:spacing w:val="-3"/>
        </w:rPr>
        <w:t xml:space="preserve"> </w:t>
      </w:r>
      <w:r w:rsidRPr="00D4309F">
        <w:rPr>
          <w:color w:val="211E1F"/>
        </w:rPr>
        <w:t>depending</w:t>
      </w:r>
      <w:r w:rsidRPr="00D4309F">
        <w:rPr>
          <w:color w:val="211E1F"/>
          <w:spacing w:val="-3"/>
        </w:rPr>
        <w:t xml:space="preserve"> </w:t>
      </w:r>
      <w:r w:rsidRPr="00D4309F">
        <w:rPr>
          <w:color w:val="211E1F"/>
        </w:rPr>
        <w:t>on</w:t>
      </w:r>
      <w:r w:rsidRPr="00D4309F">
        <w:rPr>
          <w:color w:val="211E1F"/>
          <w:spacing w:val="-3"/>
        </w:rPr>
        <w:t xml:space="preserve"> </w:t>
      </w:r>
      <w:r w:rsidRPr="00D4309F">
        <w:rPr>
          <w:color w:val="211E1F"/>
        </w:rPr>
        <w:t>stability</w:t>
      </w:r>
      <w:r w:rsidRPr="00D4309F">
        <w:rPr>
          <w:color w:val="211E1F"/>
          <w:spacing w:val="-2"/>
        </w:rPr>
        <w:t xml:space="preserve"> </w:t>
      </w:r>
      <w:r w:rsidRPr="00D4309F">
        <w:rPr>
          <w:color w:val="211E1F"/>
        </w:rPr>
        <w:t>and</w:t>
      </w:r>
      <w:r w:rsidRPr="00D4309F">
        <w:rPr>
          <w:color w:val="211E1F"/>
          <w:spacing w:val="-4"/>
        </w:rPr>
        <w:t xml:space="preserve"> </w:t>
      </w:r>
      <w:r w:rsidRPr="00D4309F">
        <w:rPr>
          <w:color w:val="211E1F"/>
        </w:rPr>
        <w:t>wave</w:t>
      </w:r>
      <w:r w:rsidRPr="00D4309F">
        <w:rPr>
          <w:color w:val="211E1F"/>
          <w:spacing w:val="-3"/>
        </w:rPr>
        <w:t xml:space="preserve"> </w:t>
      </w:r>
      <w:r w:rsidRPr="00D4309F">
        <w:rPr>
          <w:color w:val="211E1F"/>
        </w:rPr>
        <w:t>exposure</w:t>
      </w:r>
      <w:r w:rsidRPr="00D4309F">
        <w:rPr>
          <w:color w:val="211E1F"/>
          <w:spacing w:val="-3"/>
        </w:rPr>
        <w:t xml:space="preserve"> </w:t>
      </w:r>
      <w:r w:rsidRPr="00D4309F">
        <w:rPr>
          <w:color w:val="211E1F"/>
        </w:rPr>
        <w:t>post-</w:t>
      </w:r>
      <w:r w:rsidRPr="00D4309F">
        <w:rPr>
          <w:color w:val="211E1F"/>
          <w:spacing w:val="-2"/>
        </w:rPr>
        <w:t>construction.</w:t>
      </w:r>
    </w:p>
    <w:p w14:paraId="0AE346C2" w14:textId="77777777" w:rsidR="00725977" w:rsidRPr="00D4309F" w:rsidRDefault="00725977" w:rsidP="00725977">
      <w:pPr>
        <w:pStyle w:val="BodyText"/>
      </w:pPr>
      <w:r w:rsidRPr="00D4309F">
        <w:t>From</w:t>
      </w:r>
      <w:r w:rsidRPr="00D4309F">
        <w:rPr>
          <w:spacing w:val="-3"/>
        </w:rPr>
        <w:t xml:space="preserve"> </w:t>
      </w:r>
      <w:r w:rsidRPr="00D4309F">
        <w:t>a</w:t>
      </w:r>
      <w:r w:rsidRPr="00D4309F">
        <w:rPr>
          <w:spacing w:val="-3"/>
        </w:rPr>
        <w:t xml:space="preserve"> </w:t>
      </w:r>
      <w:r w:rsidRPr="00D4309F">
        <w:t>technical</w:t>
      </w:r>
      <w:r w:rsidRPr="00D4309F">
        <w:rPr>
          <w:spacing w:val="-3"/>
        </w:rPr>
        <w:t xml:space="preserve"> </w:t>
      </w:r>
      <w:r w:rsidRPr="00D4309F">
        <w:t>and</w:t>
      </w:r>
      <w:r w:rsidRPr="00D4309F">
        <w:rPr>
          <w:spacing w:val="-3"/>
        </w:rPr>
        <w:t xml:space="preserve"> </w:t>
      </w:r>
      <w:r w:rsidRPr="00D4309F">
        <w:t>constructability</w:t>
      </w:r>
      <w:r w:rsidRPr="00D4309F">
        <w:rPr>
          <w:spacing w:val="-2"/>
        </w:rPr>
        <w:t xml:space="preserve"> </w:t>
      </w:r>
      <w:r w:rsidRPr="00D4309F">
        <w:t>standpoint,</w:t>
      </w:r>
      <w:r w:rsidRPr="00D4309F">
        <w:rPr>
          <w:spacing w:val="-3"/>
        </w:rPr>
        <w:t xml:space="preserve"> </w:t>
      </w:r>
      <w:r w:rsidRPr="00D4309F">
        <w:t>this</w:t>
      </w:r>
      <w:r w:rsidRPr="00D4309F">
        <w:rPr>
          <w:spacing w:val="-2"/>
        </w:rPr>
        <w:t xml:space="preserve"> </w:t>
      </w:r>
      <w:r w:rsidRPr="00D4309F">
        <w:t>option</w:t>
      </w:r>
      <w:r w:rsidRPr="00D4309F">
        <w:rPr>
          <w:spacing w:val="-3"/>
        </w:rPr>
        <w:t xml:space="preserve"> </w:t>
      </w:r>
      <w:r w:rsidRPr="00D4309F">
        <w:t>is</w:t>
      </w:r>
      <w:r w:rsidRPr="00D4309F">
        <w:rPr>
          <w:spacing w:val="-2"/>
        </w:rPr>
        <w:t xml:space="preserve"> </w:t>
      </w:r>
      <w:r w:rsidRPr="00D4309F">
        <w:t>feasible</w:t>
      </w:r>
      <w:r w:rsidRPr="00D4309F">
        <w:rPr>
          <w:spacing w:val="-3"/>
        </w:rPr>
        <w:t xml:space="preserve"> </w:t>
      </w:r>
      <w:r w:rsidRPr="00D4309F">
        <w:t>but</w:t>
      </w:r>
      <w:r w:rsidRPr="00D4309F">
        <w:rPr>
          <w:spacing w:val="-3"/>
        </w:rPr>
        <w:t xml:space="preserve"> </w:t>
      </w:r>
      <w:r w:rsidRPr="00D4309F">
        <w:t>complex.</w:t>
      </w:r>
      <w:r w:rsidRPr="00D4309F">
        <w:rPr>
          <w:spacing w:val="-3"/>
        </w:rPr>
        <w:t xml:space="preserve"> </w:t>
      </w:r>
      <w:r w:rsidRPr="00D4309F">
        <w:t>The</w:t>
      </w:r>
      <w:r w:rsidRPr="00D4309F">
        <w:rPr>
          <w:spacing w:val="-4"/>
        </w:rPr>
        <w:t xml:space="preserve"> </w:t>
      </w:r>
      <w:r w:rsidRPr="00D4309F">
        <w:t>works</w:t>
      </w:r>
      <w:r w:rsidRPr="00D4309F">
        <w:rPr>
          <w:spacing w:val="-2"/>
        </w:rPr>
        <w:t xml:space="preserve"> </w:t>
      </w:r>
      <w:r w:rsidRPr="00D4309F">
        <w:t>would</w:t>
      </w:r>
      <w:r w:rsidRPr="00D4309F">
        <w:rPr>
          <w:spacing w:val="-3"/>
        </w:rPr>
        <w:t xml:space="preserve"> </w:t>
      </w:r>
      <w:r w:rsidRPr="00D4309F">
        <w:t>require careful sequencing to manage safety, navigation, and public access, as the western breakwater is a popular pedestrian route and vantage point. Temporary closures or diversions would likely be necessary during demolition and excavation.</w:t>
      </w:r>
    </w:p>
    <w:p w14:paraId="4C1E3740" w14:textId="77777777" w:rsidR="00725977" w:rsidRPr="00D4309F" w:rsidRDefault="00725977" w:rsidP="00725977">
      <w:pPr>
        <w:pStyle w:val="BodyText"/>
      </w:pPr>
      <w:r w:rsidRPr="00D4309F">
        <w:t>Rock removal could be conducted using land based or marine-based plant such as a barge-mounted excavator,</w:t>
      </w:r>
      <w:r w:rsidRPr="00D4309F">
        <w:rPr>
          <w:spacing w:val="-5"/>
        </w:rPr>
        <w:t xml:space="preserve"> </w:t>
      </w:r>
      <w:r w:rsidRPr="00D4309F">
        <w:t>similar</w:t>
      </w:r>
      <w:r w:rsidRPr="00D4309F">
        <w:rPr>
          <w:spacing w:val="-2"/>
        </w:rPr>
        <w:t xml:space="preserve"> </w:t>
      </w:r>
      <w:r w:rsidRPr="00D4309F">
        <w:t>to</w:t>
      </w:r>
      <w:r w:rsidRPr="00D4309F">
        <w:rPr>
          <w:spacing w:val="-3"/>
        </w:rPr>
        <w:t xml:space="preserve"> </w:t>
      </w:r>
      <w:r w:rsidRPr="00D4309F">
        <w:t>methods</w:t>
      </w:r>
      <w:r w:rsidRPr="00D4309F">
        <w:rPr>
          <w:spacing w:val="-2"/>
        </w:rPr>
        <w:t xml:space="preserve"> </w:t>
      </w:r>
      <w:r w:rsidRPr="00D4309F">
        <w:t>proposed</w:t>
      </w:r>
      <w:r w:rsidRPr="00D4309F">
        <w:rPr>
          <w:spacing w:val="-4"/>
        </w:rPr>
        <w:t xml:space="preserve"> </w:t>
      </w:r>
      <w:r w:rsidRPr="00D4309F">
        <w:t>for</w:t>
      </w:r>
      <w:r w:rsidRPr="00D4309F">
        <w:rPr>
          <w:spacing w:val="-2"/>
        </w:rPr>
        <w:t xml:space="preserve"> </w:t>
      </w:r>
      <w:r w:rsidRPr="00D4309F">
        <w:t>other</w:t>
      </w:r>
      <w:r w:rsidRPr="00D4309F">
        <w:rPr>
          <w:spacing w:val="-2"/>
        </w:rPr>
        <w:t xml:space="preserve"> </w:t>
      </w:r>
      <w:r w:rsidRPr="00D4309F">
        <w:t>bedrock</w:t>
      </w:r>
      <w:r w:rsidRPr="00D4309F">
        <w:rPr>
          <w:spacing w:val="-2"/>
        </w:rPr>
        <w:t xml:space="preserve"> </w:t>
      </w:r>
      <w:r w:rsidRPr="00D4309F">
        <w:t>excavation</w:t>
      </w:r>
      <w:r w:rsidRPr="00D4309F">
        <w:rPr>
          <w:spacing w:val="-3"/>
        </w:rPr>
        <w:t xml:space="preserve"> </w:t>
      </w:r>
      <w:r w:rsidRPr="00D4309F">
        <w:t>options.</w:t>
      </w:r>
      <w:r w:rsidRPr="00D4309F">
        <w:rPr>
          <w:spacing w:val="-3"/>
        </w:rPr>
        <w:t xml:space="preserve"> </w:t>
      </w:r>
      <w:r w:rsidRPr="00D4309F">
        <w:t>Depending</w:t>
      </w:r>
      <w:r w:rsidRPr="00D4309F">
        <w:rPr>
          <w:spacing w:val="-3"/>
        </w:rPr>
        <w:t xml:space="preserve"> </w:t>
      </w:r>
      <w:r w:rsidRPr="00D4309F">
        <w:t>on</w:t>
      </w:r>
      <w:r w:rsidRPr="00D4309F">
        <w:rPr>
          <w:spacing w:val="-3"/>
        </w:rPr>
        <w:t xml:space="preserve"> </w:t>
      </w:r>
      <w:r w:rsidRPr="00D4309F">
        <w:t>the</w:t>
      </w:r>
      <w:r w:rsidRPr="00D4309F">
        <w:rPr>
          <w:spacing w:val="-3"/>
        </w:rPr>
        <w:t xml:space="preserve"> </w:t>
      </w:r>
      <w:r w:rsidRPr="00D4309F">
        <w:t>quantity</w:t>
      </w:r>
      <w:r w:rsidRPr="00D4309F">
        <w:rPr>
          <w:spacing w:val="-2"/>
        </w:rPr>
        <w:t xml:space="preserve"> </w:t>
      </w:r>
      <w:r w:rsidRPr="00D4309F">
        <w:t>and quality of rock material, direct loading onto barges for offshore disposal or temporary stockpiling near the beach</w:t>
      </w:r>
      <w:r w:rsidRPr="00D4309F">
        <w:rPr>
          <w:spacing w:val="-3"/>
        </w:rPr>
        <w:t xml:space="preserve"> </w:t>
      </w:r>
      <w:r w:rsidRPr="00D4309F">
        <w:t>or</w:t>
      </w:r>
      <w:r w:rsidRPr="00D4309F">
        <w:rPr>
          <w:spacing w:val="-2"/>
        </w:rPr>
        <w:t xml:space="preserve"> </w:t>
      </w:r>
      <w:r w:rsidRPr="00D4309F">
        <w:t>parkland</w:t>
      </w:r>
      <w:r w:rsidRPr="00D4309F">
        <w:rPr>
          <w:spacing w:val="-3"/>
        </w:rPr>
        <w:t xml:space="preserve"> </w:t>
      </w:r>
      <w:r w:rsidRPr="00D4309F">
        <w:t>could</w:t>
      </w:r>
      <w:r w:rsidRPr="00D4309F">
        <w:rPr>
          <w:spacing w:val="-3"/>
        </w:rPr>
        <w:t xml:space="preserve"> </w:t>
      </w:r>
      <w:r w:rsidRPr="00D4309F">
        <w:t>be</w:t>
      </w:r>
      <w:r w:rsidRPr="00D4309F">
        <w:rPr>
          <w:spacing w:val="-4"/>
        </w:rPr>
        <w:t xml:space="preserve"> </w:t>
      </w:r>
      <w:r w:rsidRPr="00D4309F">
        <w:t>considered.</w:t>
      </w:r>
      <w:r w:rsidRPr="00D4309F">
        <w:rPr>
          <w:spacing w:val="-5"/>
        </w:rPr>
        <w:t xml:space="preserve"> </w:t>
      </w:r>
      <w:r w:rsidRPr="00D4309F">
        <w:t>However,</w:t>
      </w:r>
      <w:r w:rsidRPr="00D4309F">
        <w:rPr>
          <w:spacing w:val="-3"/>
        </w:rPr>
        <w:t xml:space="preserve"> </w:t>
      </w:r>
      <w:r w:rsidRPr="00D4309F">
        <w:t>stockpiling</w:t>
      </w:r>
      <w:r w:rsidRPr="00D4309F">
        <w:rPr>
          <w:spacing w:val="-4"/>
        </w:rPr>
        <w:t xml:space="preserve"> </w:t>
      </w:r>
      <w:r w:rsidRPr="00D4309F">
        <w:t>would</w:t>
      </w:r>
      <w:r w:rsidRPr="00D4309F">
        <w:rPr>
          <w:spacing w:val="-3"/>
        </w:rPr>
        <w:t xml:space="preserve"> </w:t>
      </w:r>
      <w:r w:rsidRPr="00D4309F">
        <w:t>require</w:t>
      </w:r>
      <w:r w:rsidRPr="00D4309F">
        <w:rPr>
          <w:spacing w:val="-3"/>
        </w:rPr>
        <w:t xml:space="preserve"> </w:t>
      </w:r>
      <w:r w:rsidRPr="00D4309F">
        <w:t>dedicated</w:t>
      </w:r>
      <w:r w:rsidRPr="00D4309F">
        <w:rPr>
          <w:spacing w:val="-4"/>
        </w:rPr>
        <w:t xml:space="preserve"> </w:t>
      </w:r>
      <w:r w:rsidRPr="00D4309F">
        <w:t>space</w:t>
      </w:r>
      <w:r w:rsidRPr="00D4309F">
        <w:rPr>
          <w:spacing w:val="-4"/>
        </w:rPr>
        <w:t xml:space="preserve"> </w:t>
      </w:r>
      <w:r w:rsidRPr="00D4309F">
        <w:t>and environmental management to control dust, noise, and runoff.</w:t>
      </w:r>
    </w:p>
    <w:p w14:paraId="08D15130" w14:textId="70FD84F2" w:rsidR="005A5356" w:rsidRPr="00D4309F" w:rsidRDefault="00725977" w:rsidP="00725977">
      <w:pPr>
        <w:pStyle w:val="BodyText"/>
      </w:pPr>
      <w:r w:rsidRPr="00D4309F">
        <w:t>Excavation</w:t>
      </w:r>
      <w:r w:rsidRPr="00D4309F">
        <w:rPr>
          <w:spacing w:val="-4"/>
        </w:rPr>
        <w:t xml:space="preserve"> </w:t>
      </w:r>
      <w:r w:rsidRPr="00D4309F">
        <w:t>into</w:t>
      </w:r>
      <w:r w:rsidRPr="00D4309F">
        <w:rPr>
          <w:spacing w:val="-4"/>
        </w:rPr>
        <w:t xml:space="preserve"> </w:t>
      </w:r>
      <w:r w:rsidRPr="00D4309F">
        <w:t>bedrock</w:t>
      </w:r>
      <w:r w:rsidRPr="00D4309F">
        <w:rPr>
          <w:spacing w:val="-3"/>
        </w:rPr>
        <w:t xml:space="preserve"> </w:t>
      </w:r>
      <w:r w:rsidRPr="00D4309F">
        <w:t>introduces</w:t>
      </w:r>
      <w:r w:rsidRPr="00D4309F">
        <w:rPr>
          <w:spacing w:val="-3"/>
        </w:rPr>
        <w:t xml:space="preserve"> </w:t>
      </w:r>
      <w:r w:rsidRPr="00D4309F">
        <w:t>significant</w:t>
      </w:r>
      <w:r w:rsidRPr="00D4309F">
        <w:rPr>
          <w:spacing w:val="-4"/>
        </w:rPr>
        <w:t xml:space="preserve"> </w:t>
      </w:r>
      <w:r w:rsidRPr="00D4309F">
        <w:t>uncertainty</w:t>
      </w:r>
      <w:r w:rsidRPr="00D4309F">
        <w:rPr>
          <w:spacing w:val="-3"/>
        </w:rPr>
        <w:t xml:space="preserve"> </w:t>
      </w:r>
      <w:r w:rsidRPr="00D4309F">
        <w:t>and</w:t>
      </w:r>
      <w:r w:rsidRPr="00D4309F">
        <w:rPr>
          <w:spacing w:val="-4"/>
        </w:rPr>
        <w:t xml:space="preserve"> </w:t>
      </w:r>
      <w:r w:rsidRPr="00D4309F">
        <w:t>risk,</w:t>
      </w:r>
      <w:r w:rsidRPr="00D4309F">
        <w:rPr>
          <w:spacing w:val="-4"/>
        </w:rPr>
        <w:t xml:space="preserve"> </w:t>
      </w:r>
      <w:r w:rsidRPr="00D4309F">
        <w:t>particularly</w:t>
      </w:r>
      <w:r w:rsidRPr="00D4309F">
        <w:rPr>
          <w:spacing w:val="-3"/>
        </w:rPr>
        <w:t xml:space="preserve"> </w:t>
      </w:r>
      <w:r w:rsidRPr="00D4309F">
        <w:t>regarding</w:t>
      </w:r>
      <w:r w:rsidRPr="00D4309F">
        <w:rPr>
          <w:spacing w:val="-4"/>
        </w:rPr>
        <w:t xml:space="preserve"> </w:t>
      </w:r>
      <w:r w:rsidRPr="00D4309F">
        <w:t>the</w:t>
      </w:r>
      <w:r w:rsidRPr="00D4309F">
        <w:rPr>
          <w:spacing w:val="-4"/>
        </w:rPr>
        <w:t xml:space="preserve"> </w:t>
      </w:r>
      <w:r w:rsidRPr="00D4309F">
        <w:t>depth,</w:t>
      </w:r>
      <w:r w:rsidRPr="00D4309F">
        <w:rPr>
          <w:spacing w:val="-4"/>
        </w:rPr>
        <w:t xml:space="preserve"> </w:t>
      </w:r>
      <w:r w:rsidRPr="00D4309F">
        <w:t>strength, and variability of the substrate. Without further site-specific data, it is unclear how extensive rock cutting would be required to achieve sufficient navigable depth. As such, detailed geotechnical and hydrographic investigations would be a prerequisite to defining scope, cost, and feasibility.</w:t>
      </w:r>
    </w:p>
    <w:p w14:paraId="610CAEA4" w14:textId="77777777" w:rsidR="00725977" w:rsidRPr="00D4309F" w:rsidRDefault="00725977" w:rsidP="00785CC3">
      <w:pPr>
        <w:pStyle w:val="Heading3"/>
      </w:pPr>
      <w:bookmarkStart w:id="544" w:name="_Toc216699515"/>
      <w:r w:rsidRPr="00D4309F">
        <w:t>Operational</w:t>
      </w:r>
      <w:r w:rsidRPr="00D4309F">
        <w:rPr>
          <w:spacing w:val="2"/>
        </w:rPr>
        <w:t xml:space="preserve"> </w:t>
      </w:r>
      <w:r w:rsidRPr="00D4309F">
        <w:rPr>
          <w:spacing w:val="-4"/>
        </w:rPr>
        <w:t>works</w:t>
      </w:r>
      <w:bookmarkEnd w:id="544"/>
      <w:r w:rsidRPr="00D4309F">
        <w:rPr>
          <w:spacing w:val="-4"/>
        </w:rPr>
        <w:t xml:space="preserve"> </w:t>
      </w:r>
    </w:p>
    <w:p w14:paraId="3E94A84A" w14:textId="77777777" w:rsidR="00725977" w:rsidRPr="00D4309F" w:rsidRDefault="00725977" w:rsidP="00725977">
      <w:pPr>
        <w:pStyle w:val="BodyText"/>
      </w:pPr>
      <w:r w:rsidRPr="00D4309F">
        <w:t>The</w:t>
      </w:r>
      <w:r w:rsidRPr="00D4309F">
        <w:rPr>
          <w:spacing w:val="-1"/>
        </w:rPr>
        <w:t xml:space="preserve"> </w:t>
      </w:r>
      <w:r w:rsidRPr="00D4309F">
        <w:t>operational</w:t>
      </w:r>
      <w:r w:rsidRPr="00D4309F">
        <w:rPr>
          <w:spacing w:val="-1"/>
        </w:rPr>
        <w:t xml:space="preserve"> </w:t>
      </w:r>
      <w:r w:rsidRPr="00D4309F">
        <w:t>component</w:t>
      </w:r>
      <w:r w:rsidRPr="00D4309F">
        <w:rPr>
          <w:spacing w:val="-1"/>
        </w:rPr>
        <w:t xml:space="preserve"> </w:t>
      </w:r>
      <w:r w:rsidRPr="00D4309F">
        <w:t>of</w:t>
      </w:r>
      <w:r w:rsidRPr="00D4309F">
        <w:rPr>
          <w:spacing w:val="-1"/>
        </w:rPr>
        <w:t xml:space="preserve"> </w:t>
      </w:r>
      <w:r w:rsidRPr="00D4309F">
        <w:t>Option 5B</w:t>
      </w:r>
      <w:r w:rsidRPr="00D4309F">
        <w:rPr>
          <w:spacing w:val="-1"/>
        </w:rPr>
        <w:t xml:space="preserve"> </w:t>
      </w:r>
      <w:r w:rsidRPr="00D4309F">
        <w:t>would</w:t>
      </w:r>
      <w:r w:rsidRPr="00D4309F">
        <w:rPr>
          <w:spacing w:val="-2"/>
        </w:rPr>
        <w:t xml:space="preserve"> </w:t>
      </w:r>
      <w:r w:rsidRPr="00D4309F">
        <w:t>closely align</w:t>
      </w:r>
      <w:r w:rsidRPr="00D4309F">
        <w:rPr>
          <w:spacing w:val="-2"/>
        </w:rPr>
        <w:t xml:space="preserve"> </w:t>
      </w:r>
      <w:r w:rsidRPr="00D4309F">
        <w:t>with</w:t>
      </w:r>
      <w:r w:rsidRPr="00D4309F">
        <w:rPr>
          <w:spacing w:val="-1"/>
        </w:rPr>
        <w:t xml:space="preserve"> </w:t>
      </w:r>
      <w:r w:rsidRPr="00D4309F">
        <w:t>the</w:t>
      </w:r>
      <w:r w:rsidRPr="00D4309F">
        <w:rPr>
          <w:spacing w:val="-1"/>
        </w:rPr>
        <w:t xml:space="preserve"> </w:t>
      </w:r>
      <w:r w:rsidRPr="00D4309F">
        <w:t>existing Western Channel dredging trial. The approach would rely on periodic dredging campaigns to maintain navigable</w:t>
      </w:r>
      <w:r w:rsidRPr="00D4309F">
        <w:rPr>
          <w:spacing w:val="-3"/>
        </w:rPr>
        <w:t xml:space="preserve"> </w:t>
      </w:r>
      <w:r w:rsidRPr="00D4309F">
        <w:t>depths</w:t>
      </w:r>
      <w:r w:rsidRPr="00D4309F">
        <w:rPr>
          <w:spacing w:val="-2"/>
        </w:rPr>
        <w:t xml:space="preserve"> </w:t>
      </w:r>
      <w:r w:rsidRPr="00D4309F">
        <w:t>along</w:t>
      </w:r>
      <w:r w:rsidRPr="00D4309F">
        <w:rPr>
          <w:spacing w:val="-3"/>
        </w:rPr>
        <w:t xml:space="preserve"> </w:t>
      </w:r>
      <w:r w:rsidRPr="00D4309F">
        <w:t>the</w:t>
      </w:r>
      <w:r w:rsidRPr="00D4309F">
        <w:rPr>
          <w:spacing w:val="-3"/>
        </w:rPr>
        <w:t xml:space="preserve"> </w:t>
      </w:r>
      <w:r w:rsidRPr="00D4309F">
        <w:t>newly</w:t>
      </w:r>
      <w:r w:rsidRPr="00D4309F">
        <w:rPr>
          <w:spacing w:val="-2"/>
        </w:rPr>
        <w:t xml:space="preserve"> </w:t>
      </w:r>
      <w:r w:rsidRPr="00D4309F">
        <w:lastRenderedPageBreak/>
        <w:t>created</w:t>
      </w:r>
      <w:r w:rsidRPr="00D4309F">
        <w:rPr>
          <w:spacing w:val="-3"/>
        </w:rPr>
        <w:t xml:space="preserve"> </w:t>
      </w:r>
      <w:r w:rsidRPr="00D4309F">
        <w:t>channel</w:t>
      </w:r>
      <w:r w:rsidRPr="00D4309F">
        <w:rPr>
          <w:spacing w:val="-3"/>
        </w:rPr>
        <w:t xml:space="preserve"> </w:t>
      </w:r>
      <w:r w:rsidRPr="00D4309F">
        <w:t>alignment</w:t>
      </w:r>
      <w:r w:rsidRPr="00D4309F">
        <w:rPr>
          <w:spacing w:val="-3"/>
        </w:rPr>
        <w:t xml:space="preserve"> </w:t>
      </w:r>
      <w:r w:rsidRPr="00D4309F">
        <w:t>following</w:t>
      </w:r>
      <w:r w:rsidRPr="00D4309F">
        <w:rPr>
          <w:spacing w:val="-3"/>
        </w:rPr>
        <w:t xml:space="preserve"> </w:t>
      </w:r>
      <w:r w:rsidRPr="00D4309F">
        <w:t>the</w:t>
      </w:r>
      <w:r w:rsidRPr="00D4309F">
        <w:rPr>
          <w:spacing w:val="-3"/>
        </w:rPr>
        <w:t xml:space="preserve"> </w:t>
      </w:r>
      <w:r w:rsidRPr="00D4309F">
        <w:t>removal</w:t>
      </w:r>
      <w:r w:rsidRPr="00D4309F">
        <w:rPr>
          <w:spacing w:val="-3"/>
        </w:rPr>
        <w:t xml:space="preserve"> </w:t>
      </w:r>
      <w:r w:rsidRPr="00D4309F">
        <w:t>or</w:t>
      </w:r>
      <w:r w:rsidRPr="00D4309F">
        <w:rPr>
          <w:spacing w:val="-2"/>
        </w:rPr>
        <w:t xml:space="preserve"> </w:t>
      </w:r>
      <w:r w:rsidRPr="00D4309F">
        <w:t>shortening</w:t>
      </w:r>
      <w:r w:rsidRPr="00D4309F">
        <w:rPr>
          <w:spacing w:val="-3"/>
        </w:rPr>
        <w:t xml:space="preserve"> </w:t>
      </w:r>
      <w:r w:rsidRPr="00D4309F">
        <w:t>of</w:t>
      </w:r>
      <w:r w:rsidRPr="00D4309F">
        <w:rPr>
          <w:spacing w:val="-3"/>
        </w:rPr>
        <w:t xml:space="preserve"> </w:t>
      </w:r>
      <w:r w:rsidRPr="00D4309F">
        <w:t>the western breakwater. The ongoing works would involve:</w:t>
      </w:r>
    </w:p>
    <w:p w14:paraId="6808E922" w14:textId="77777777" w:rsidR="00725977" w:rsidRPr="00D4309F" w:rsidRDefault="00725977" w:rsidP="00D27F26">
      <w:pPr>
        <w:pStyle w:val="ListParagraph"/>
        <w:widowControl w:val="0"/>
        <w:numPr>
          <w:ilvl w:val="0"/>
          <w:numId w:val="69"/>
        </w:numPr>
        <w:tabs>
          <w:tab w:val="left" w:pos="501"/>
        </w:tabs>
        <w:autoSpaceDE w:val="0"/>
        <w:autoSpaceDN w:val="0"/>
        <w:spacing w:after="0" w:line="240" w:lineRule="auto"/>
        <w:contextualSpacing w:val="0"/>
      </w:pPr>
      <w:r w:rsidRPr="00D4309F">
        <w:rPr>
          <w:color w:val="211E1F"/>
        </w:rPr>
        <w:t>Hydrographic</w:t>
      </w:r>
      <w:r w:rsidRPr="00D4309F">
        <w:rPr>
          <w:color w:val="211E1F"/>
          <w:spacing w:val="-4"/>
        </w:rPr>
        <w:t xml:space="preserve"> </w:t>
      </w:r>
      <w:r w:rsidRPr="00D4309F">
        <w:rPr>
          <w:color w:val="211E1F"/>
        </w:rPr>
        <w:t>surveys</w:t>
      </w:r>
      <w:r w:rsidRPr="00D4309F">
        <w:rPr>
          <w:color w:val="211E1F"/>
          <w:spacing w:val="-4"/>
        </w:rPr>
        <w:t xml:space="preserve"> </w:t>
      </w:r>
      <w:r w:rsidRPr="00D4309F">
        <w:rPr>
          <w:color w:val="211E1F"/>
        </w:rPr>
        <w:t>to</w:t>
      </w:r>
      <w:r w:rsidRPr="00D4309F">
        <w:rPr>
          <w:color w:val="211E1F"/>
          <w:spacing w:val="-4"/>
        </w:rPr>
        <w:t xml:space="preserve"> </w:t>
      </w:r>
      <w:r w:rsidRPr="00D4309F">
        <w:rPr>
          <w:color w:val="211E1F"/>
        </w:rPr>
        <w:t>monitor</w:t>
      </w:r>
      <w:r w:rsidRPr="00D4309F">
        <w:rPr>
          <w:color w:val="211E1F"/>
          <w:spacing w:val="-4"/>
        </w:rPr>
        <w:t xml:space="preserve"> </w:t>
      </w:r>
      <w:r w:rsidRPr="00D4309F">
        <w:rPr>
          <w:color w:val="211E1F"/>
        </w:rPr>
        <w:t>shoal</w:t>
      </w:r>
      <w:r w:rsidRPr="00D4309F">
        <w:rPr>
          <w:color w:val="211E1F"/>
          <w:spacing w:val="-5"/>
        </w:rPr>
        <w:t xml:space="preserve"> </w:t>
      </w:r>
      <w:r w:rsidRPr="00D4309F">
        <w:rPr>
          <w:color w:val="211E1F"/>
        </w:rPr>
        <w:t>development</w:t>
      </w:r>
      <w:r w:rsidRPr="00D4309F">
        <w:rPr>
          <w:color w:val="211E1F"/>
          <w:spacing w:val="-4"/>
        </w:rPr>
        <w:t xml:space="preserve"> </w:t>
      </w:r>
      <w:r w:rsidRPr="00D4309F">
        <w:rPr>
          <w:color w:val="211E1F"/>
        </w:rPr>
        <w:t>and</w:t>
      </w:r>
      <w:r w:rsidRPr="00D4309F">
        <w:rPr>
          <w:color w:val="211E1F"/>
          <w:spacing w:val="-5"/>
        </w:rPr>
        <w:t xml:space="preserve"> </w:t>
      </w:r>
      <w:r w:rsidRPr="00D4309F">
        <w:rPr>
          <w:color w:val="211E1F"/>
        </w:rPr>
        <w:t>channel</w:t>
      </w:r>
      <w:r w:rsidRPr="00D4309F">
        <w:rPr>
          <w:color w:val="211E1F"/>
          <w:spacing w:val="-4"/>
        </w:rPr>
        <w:t xml:space="preserve"> </w:t>
      </w:r>
      <w:r w:rsidRPr="00D4309F">
        <w:rPr>
          <w:color w:val="211E1F"/>
          <w:spacing w:val="-2"/>
        </w:rPr>
        <w:t>depth.</w:t>
      </w:r>
    </w:p>
    <w:p w14:paraId="38E4BDC8" w14:textId="77777777" w:rsidR="00725977" w:rsidRPr="00D4309F" w:rsidRDefault="00725977" w:rsidP="00D27F26">
      <w:pPr>
        <w:pStyle w:val="ListParagraph"/>
        <w:widowControl w:val="0"/>
        <w:numPr>
          <w:ilvl w:val="0"/>
          <w:numId w:val="69"/>
        </w:numPr>
        <w:tabs>
          <w:tab w:val="left" w:pos="501"/>
        </w:tabs>
        <w:autoSpaceDE w:val="0"/>
        <w:autoSpaceDN w:val="0"/>
        <w:spacing w:before="118" w:after="0" w:line="240" w:lineRule="auto"/>
        <w:contextualSpacing w:val="0"/>
      </w:pPr>
      <w:r w:rsidRPr="00D4309F">
        <w:rPr>
          <w:color w:val="211E1F"/>
        </w:rPr>
        <w:t>Targeted</w:t>
      </w:r>
      <w:r w:rsidRPr="00D4309F">
        <w:rPr>
          <w:color w:val="211E1F"/>
          <w:spacing w:val="-6"/>
        </w:rPr>
        <w:t xml:space="preserve"> </w:t>
      </w:r>
      <w:r w:rsidRPr="00D4309F">
        <w:rPr>
          <w:color w:val="211E1F"/>
        </w:rPr>
        <w:t>maintenance</w:t>
      </w:r>
      <w:r w:rsidRPr="00D4309F">
        <w:rPr>
          <w:color w:val="211E1F"/>
          <w:spacing w:val="-4"/>
        </w:rPr>
        <w:t xml:space="preserve"> </w:t>
      </w:r>
      <w:r w:rsidRPr="00D4309F">
        <w:rPr>
          <w:color w:val="211E1F"/>
        </w:rPr>
        <w:t>dredging,</w:t>
      </w:r>
      <w:r w:rsidRPr="00D4309F">
        <w:rPr>
          <w:color w:val="211E1F"/>
          <w:spacing w:val="-4"/>
        </w:rPr>
        <w:t xml:space="preserve"> </w:t>
      </w:r>
      <w:r w:rsidRPr="00D4309F">
        <w:rPr>
          <w:color w:val="211E1F"/>
        </w:rPr>
        <w:t>likely</w:t>
      </w:r>
      <w:r w:rsidRPr="00D4309F">
        <w:rPr>
          <w:color w:val="211E1F"/>
          <w:spacing w:val="-3"/>
        </w:rPr>
        <w:t xml:space="preserve"> </w:t>
      </w:r>
      <w:r w:rsidRPr="00D4309F">
        <w:rPr>
          <w:color w:val="211E1F"/>
        </w:rPr>
        <w:t>using</w:t>
      </w:r>
      <w:r w:rsidRPr="00D4309F">
        <w:rPr>
          <w:color w:val="211E1F"/>
          <w:spacing w:val="-4"/>
        </w:rPr>
        <w:t xml:space="preserve"> </w:t>
      </w:r>
      <w:r w:rsidRPr="00D4309F">
        <w:rPr>
          <w:color w:val="211E1F"/>
        </w:rPr>
        <w:t>a</w:t>
      </w:r>
      <w:r w:rsidRPr="00D4309F">
        <w:rPr>
          <w:color w:val="211E1F"/>
          <w:spacing w:val="-5"/>
        </w:rPr>
        <w:t xml:space="preserve"> </w:t>
      </w:r>
      <w:r w:rsidRPr="00D4309F">
        <w:rPr>
          <w:color w:val="211E1F"/>
        </w:rPr>
        <w:t>CSD,</w:t>
      </w:r>
      <w:r w:rsidRPr="00D4309F">
        <w:rPr>
          <w:color w:val="211E1F"/>
          <w:spacing w:val="-4"/>
        </w:rPr>
        <w:t xml:space="preserve"> </w:t>
      </w:r>
      <w:r w:rsidRPr="00D4309F">
        <w:rPr>
          <w:color w:val="211E1F"/>
        </w:rPr>
        <w:t>to</w:t>
      </w:r>
      <w:r w:rsidRPr="00D4309F">
        <w:rPr>
          <w:color w:val="211E1F"/>
          <w:spacing w:val="-4"/>
        </w:rPr>
        <w:t xml:space="preserve"> </w:t>
      </w:r>
      <w:r w:rsidRPr="00D4309F">
        <w:rPr>
          <w:color w:val="211E1F"/>
        </w:rPr>
        <w:t>maintain</w:t>
      </w:r>
      <w:r w:rsidRPr="00D4309F">
        <w:rPr>
          <w:color w:val="211E1F"/>
          <w:spacing w:val="-4"/>
        </w:rPr>
        <w:t xml:space="preserve"> </w:t>
      </w:r>
      <w:r w:rsidRPr="00D4309F">
        <w:rPr>
          <w:color w:val="211E1F"/>
        </w:rPr>
        <w:t>a</w:t>
      </w:r>
      <w:r w:rsidRPr="00D4309F">
        <w:rPr>
          <w:color w:val="211E1F"/>
          <w:spacing w:val="-5"/>
        </w:rPr>
        <w:t xml:space="preserve"> </w:t>
      </w:r>
      <w:r w:rsidRPr="00D4309F">
        <w:rPr>
          <w:color w:val="211E1F"/>
        </w:rPr>
        <w:t>safe</w:t>
      </w:r>
      <w:r w:rsidRPr="00D4309F">
        <w:rPr>
          <w:color w:val="211E1F"/>
          <w:spacing w:val="-4"/>
        </w:rPr>
        <w:t xml:space="preserve"> </w:t>
      </w:r>
      <w:r w:rsidRPr="00D4309F">
        <w:rPr>
          <w:color w:val="211E1F"/>
        </w:rPr>
        <w:t>navigable</w:t>
      </w:r>
      <w:r w:rsidRPr="00D4309F">
        <w:rPr>
          <w:color w:val="211E1F"/>
          <w:spacing w:val="-3"/>
        </w:rPr>
        <w:t xml:space="preserve"> </w:t>
      </w:r>
      <w:r w:rsidRPr="00D4309F">
        <w:rPr>
          <w:color w:val="211E1F"/>
          <w:spacing w:val="-2"/>
        </w:rPr>
        <w:t>corridor.</w:t>
      </w:r>
    </w:p>
    <w:p w14:paraId="3A5161DF" w14:textId="77777777" w:rsidR="00725977" w:rsidRPr="00D4309F" w:rsidRDefault="00725977" w:rsidP="00725977">
      <w:pPr>
        <w:pStyle w:val="BodyText"/>
      </w:pPr>
      <w:r w:rsidRPr="00D4309F">
        <w:t>Sand</w:t>
      </w:r>
      <w:r w:rsidRPr="00D4309F">
        <w:rPr>
          <w:spacing w:val="-3"/>
        </w:rPr>
        <w:t xml:space="preserve"> </w:t>
      </w:r>
      <w:r w:rsidRPr="00D4309F">
        <w:t>placement</w:t>
      </w:r>
      <w:r w:rsidRPr="00D4309F">
        <w:rPr>
          <w:spacing w:val="-3"/>
        </w:rPr>
        <w:t xml:space="preserve"> </w:t>
      </w:r>
      <w:r w:rsidRPr="00D4309F">
        <w:t>and</w:t>
      </w:r>
      <w:r w:rsidRPr="00D4309F">
        <w:rPr>
          <w:spacing w:val="-3"/>
        </w:rPr>
        <w:t xml:space="preserve"> </w:t>
      </w:r>
      <w:r w:rsidRPr="00D4309F">
        <w:t>management</w:t>
      </w:r>
      <w:r w:rsidRPr="00D4309F">
        <w:rPr>
          <w:spacing w:val="-3"/>
        </w:rPr>
        <w:t xml:space="preserve"> </w:t>
      </w:r>
      <w:r w:rsidRPr="00D4309F">
        <w:t>within</w:t>
      </w:r>
      <w:r w:rsidRPr="00D4309F">
        <w:rPr>
          <w:spacing w:val="-3"/>
        </w:rPr>
        <w:t xml:space="preserve"> </w:t>
      </w:r>
      <w:r w:rsidRPr="00D4309F">
        <w:t>designated</w:t>
      </w:r>
      <w:r w:rsidRPr="00D4309F">
        <w:rPr>
          <w:spacing w:val="-3"/>
        </w:rPr>
        <w:t xml:space="preserve"> </w:t>
      </w:r>
      <w:r w:rsidRPr="00D4309F">
        <w:t>nearshore</w:t>
      </w:r>
      <w:r w:rsidRPr="00D4309F">
        <w:rPr>
          <w:spacing w:val="-3"/>
        </w:rPr>
        <w:t xml:space="preserve"> </w:t>
      </w:r>
      <w:r w:rsidRPr="00D4309F">
        <w:t>or</w:t>
      </w:r>
      <w:r w:rsidRPr="00D4309F">
        <w:rPr>
          <w:spacing w:val="-4"/>
        </w:rPr>
        <w:t xml:space="preserve"> </w:t>
      </w:r>
      <w:r w:rsidRPr="00D4309F">
        <w:t>onshore</w:t>
      </w:r>
      <w:r w:rsidRPr="00D4309F">
        <w:rPr>
          <w:spacing w:val="-3"/>
        </w:rPr>
        <w:t xml:space="preserve"> </w:t>
      </w:r>
      <w:r w:rsidRPr="00D4309F">
        <w:t>areas,</w:t>
      </w:r>
      <w:r w:rsidRPr="00D4309F">
        <w:rPr>
          <w:spacing w:val="-3"/>
        </w:rPr>
        <w:t xml:space="preserve"> </w:t>
      </w:r>
      <w:r w:rsidRPr="00D4309F">
        <w:t>coordinated</w:t>
      </w:r>
      <w:r w:rsidRPr="00D4309F">
        <w:rPr>
          <w:spacing w:val="-3"/>
        </w:rPr>
        <w:t xml:space="preserve"> </w:t>
      </w:r>
      <w:r w:rsidRPr="00D4309F">
        <w:t>with</w:t>
      </w:r>
      <w:r w:rsidRPr="00D4309F">
        <w:rPr>
          <w:spacing w:val="-3"/>
        </w:rPr>
        <w:t xml:space="preserve"> </w:t>
      </w:r>
      <w:r w:rsidRPr="00D4309F">
        <w:t>council for beneficial reuse.</w:t>
      </w:r>
    </w:p>
    <w:p w14:paraId="5F247509" w14:textId="77777777" w:rsidR="00725977" w:rsidRPr="00D4309F" w:rsidRDefault="00725977" w:rsidP="00725977">
      <w:pPr>
        <w:pStyle w:val="BodyText"/>
      </w:pPr>
      <w:r w:rsidRPr="00D4309F">
        <w:t>Operationally, this option would continue</w:t>
      </w:r>
      <w:r w:rsidRPr="00D4309F">
        <w:rPr>
          <w:spacing w:val="-2"/>
        </w:rPr>
        <w:t xml:space="preserve"> </w:t>
      </w:r>
      <w:r w:rsidRPr="00D4309F">
        <w:t>to face similar constraints and challenges as the current Western Channel</w:t>
      </w:r>
      <w:r w:rsidRPr="00D4309F">
        <w:rPr>
          <w:spacing w:val="-2"/>
        </w:rPr>
        <w:t xml:space="preserve"> </w:t>
      </w:r>
      <w:r w:rsidRPr="00D4309F">
        <w:t>trial.</w:t>
      </w:r>
      <w:r w:rsidRPr="00D4309F">
        <w:rPr>
          <w:spacing w:val="-4"/>
        </w:rPr>
        <w:t xml:space="preserve"> </w:t>
      </w:r>
      <w:r w:rsidRPr="00D4309F">
        <w:t>Dredging</w:t>
      </w:r>
      <w:r w:rsidRPr="00D4309F">
        <w:rPr>
          <w:spacing w:val="-3"/>
        </w:rPr>
        <w:t xml:space="preserve"> </w:t>
      </w:r>
      <w:r w:rsidRPr="00D4309F">
        <w:t>windows</w:t>
      </w:r>
      <w:r w:rsidRPr="00D4309F">
        <w:rPr>
          <w:spacing w:val="-1"/>
        </w:rPr>
        <w:t xml:space="preserve"> </w:t>
      </w:r>
      <w:r w:rsidRPr="00D4309F">
        <w:t>would</w:t>
      </w:r>
      <w:r w:rsidRPr="00D4309F">
        <w:rPr>
          <w:spacing w:val="-2"/>
        </w:rPr>
        <w:t xml:space="preserve"> </w:t>
      </w:r>
      <w:r w:rsidRPr="00D4309F">
        <w:t>remain</w:t>
      </w:r>
      <w:r w:rsidRPr="00D4309F">
        <w:rPr>
          <w:spacing w:val="-2"/>
        </w:rPr>
        <w:t xml:space="preserve"> </w:t>
      </w:r>
      <w:r w:rsidRPr="00D4309F">
        <w:t>limited</w:t>
      </w:r>
      <w:r w:rsidRPr="00D4309F">
        <w:rPr>
          <w:spacing w:val="-3"/>
        </w:rPr>
        <w:t xml:space="preserve"> </w:t>
      </w:r>
      <w:r w:rsidRPr="00D4309F">
        <w:t>by</w:t>
      </w:r>
      <w:r w:rsidRPr="00D4309F">
        <w:rPr>
          <w:spacing w:val="-1"/>
        </w:rPr>
        <w:t xml:space="preserve"> </w:t>
      </w:r>
      <w:r w:rsidRPr="00D4309F">
        <w:t>weather,</w:t>
      </w:r>
      <w:r w:rsidRPr="00D4309F">
        <w:rPr>
          <w:spacing w:val="-4"/>
        </w:rPr>
        <w:t xml:space="preserve"> </w:t>
      </w:r>
      <w:r w:rsidRPr="00D4309F">
        <w:t>wave</w:t>
      </w:r>
      <w:r w:rsidRPr="00D4309F">
        <w:rPr>
          <w:spacing w:val="-2"/>
        </w:rPr>
        <w:t xml:space="preserve"> </w:t>
      </w:r>
      <w:r w:rsidRPr="00D4309F">
        <w:t>conditions,</w:t>
      </w:r>
      <w:r w:rsidRPr="00D4309F">
        <w:rPr>
          <w:spacing w:val="-2"/>
        </w:rPr>
        <w:t xml:space="preserve"> </w:t>
      </w:r>
      <w:r w:rsidRPr="00D4309F">
        <w:t>and</w:t>
      </w:r>
      <w:r w:rsidRPr="00D4309F">
        <w:rPr>
          <w:spacing w:val="-3"/>
        </w:rPr>
        <w:t xml:space="preserve"> </w:t>
      </w:r>
      <w:r w:rsidRPr="00D4309F">
        <w:t>vessel</w:t>
      </w:r>
      <w:r w:rsidRPr="00D4309F">
        <w:rPr>
          <w:spacing w:val="-2"/>
        </w:rPr>
        <w:t xml:space="preserve"> </w:t>
      </w:r>
      <w:r w:rsidRPr="00D4309F">
        <w:t>availability, restricting the timing and efficiency of maintenance efforts.</w:t>
      </w:r>
    </w:p>
    <w:p w14:paraId="14AACFFC" w14:textId="77777777" w:rsidR="00725977" w:rsidRPr="00D4309F" w:rsidRDefault="00725977" w:rsidP="00725977">
      <w:pPr>
        <w:pStyle w:val="BodyText"/>
      </w:pPr>
      <w:r w:rsidRPr="00D4309F">
        <w:t>The shortened western wall introduces further uncertainty to operational performance. By changing local hydrodynamics,</w:t>
      </w:r>
      <w:r w:rsidRPr="00D4309F">
        <w:rPr>
          <w:spacing w:val="-3"/>
        </w:rPr>
        <w:t xml:space="preserve"> </w:t>
      </w:r>
      <w:r w:rsidRPr="00D4309F">
        <w:t>the</w:t>
      </w:r>
      <w:r w:rsidRPr="00D4309F">
        <w:rPr>
          <w:spacing w:val="-3"/>
        </w:rPr>
        <w:t xml:space="preserve"> </w:t>
      </w:r>
      <w:r w:rsidRPr="00D4309F">
        <w:t>modification</w:t>
      </w:r>
      <w:r w:rsidRPr="00D4309F">
        <w:rPr>
          <w:spacing w:val="-4"/>
        </w:rPr>
        <w:t xml:space="preserve"> </w:t>
      </w:r>
      <w:r w:rsidRPr="00D4309F">
        <w:t>could</w:t>
      </w:r>
      <w:r w:rsidRPr="00D4309F">
        <w:rPr>
          <w:spacing w:val="-3"/>
        </w:rPr>
        <w:t xml:space="preserve"> </w:t>
      </w:r>
      <w:r w:rsidRPr="00D4309F">
        <w:t>alter</w:t>
      </w:r>
      <w:r w:rsidRPr="00D4309F">
        <w:rPr>
          <w:spacing w:val="-2"/>
        </w:rPr>
        <w:t xml:space="preserve"> </w:t>
      </w:r>
      <w:r w:rsidRPr="00D4309F">
        <w:t>current</w:t>
      </w:r>
      <w:r w:rsidRPr="00D4309F">
        <w:rPr>
          <w:spacing w:val="-3"/>
        </w:rPr>
        <w:t xml:space="preserve"> </w:t>
      </w:r>
      <w:r w:rsidRPr="00D4309F">
        <w:t>circulation</w:t>
      </w:r>
      <w:r w:rsidRPr="00D4309F">
        <w:rPr>
          <w:spacing w:val="-3"/>
        </w:rPr>
        <w:t xml:space="preserve"> </w:t>
      </w:r>
      <w:r w:rsidRPr="00D4309F">
        <w:t>and</w:t>
      </w:r>
      <w:r w:rsidRPr="00D4309F">
        <w:rPr>
          <w:spacing w:val="-4"/>
        </w:rPr>
        <w:t xml:space="preserve"> </w:t>
      </w:r>
      <w:r w:rsidRPr="00D4309F">
        <w:t>sediment</w:t>
      </w:r>
      <w:r w:rsidRPr="00D4309F">
        <w:rPr>
          <w:spacing w:val="-3"/>
        </w:rPr>
        <w:t xml:space="preserve"> </w:t>
      </w:r>
      <w:r w:rsidRPr="00D4309F">
        <w:t>transport</w:t>
      </w:r>
      <w:r w:rsidRPr="00D4309F">
        <w:rPr>
          <w:spacing w:val="-3"/>
        </w:rPr>
        <w:t xml:space="preserve"> </w:t>
      </w:r>
      <w:r w:rsidRPr="00D4309F">
        <w:t>patterns,</w:t>
      </w:r>
      <w:r w:rsidRPr="00D4309F">
        <w:rPr>
          <w:spacing w:val="-3"/>
        </w:rPr>
        <w:t xml:space="preserve"> </w:t>
      </w:r>
      <w:r w:rsidRPr="00D4309F">
        <w:t xml:space="preserve">potentially shifting the main shoal further landward into the newly excavated channel area. This may reduce the duration of navigable depth gains achieved through each dredging campaign and increase maintenance </w:t>
      </w:r>
      <w:r w:rsidRPr="00D4309F">
        <w:rPr>
          <w:spacing w:val="-2"/>
        </w:rPr>
        <w:t>frequency.</w:t>
      </w:r>
    </w:p>
    <w:p w14:paraId="77F9B7BB" w14:textId="77777777" w:rsidR="00725977" w:rsidRPr="00D4309F" w:rsidRDefault="00725977" w:rsidP="00725977">
      <w:pPr>
        <w:pStyle w:val="BodyText"/>
      </w:pPr>
      <w:r w:rsidRPr="00D4309F">
        <w:t>While</w:t>
      </w:r>
      <w:r w:rsidRPr="00D4309F">
        <w:rPr>
          <w:spacing w:val="-3"/>
        </w:rPr>
        <w:t xml:space="preserve"> </w:t>
      </w:r>
      <w:r w:rsidRPr="00D4309F">
        <w:t>technically</w:t>
      </w:r>
      <w:r w:rsidRPr="00D4309F">
        <w:rPr>
          <w:spacing w:val="-2"/>
        </w:rPr>
        <w:t xml:space="preserve"> </w:t>
      </w:r>
      <w:r w:rsidRPr="00D4309F">
        <w:t>feasible</w:t>
      </w:r>
      <w:r w:rsidRPr="00D4309F">
        <w:rPr>
          <w:spacing w:val="-3"/>
        </w:rPr>
        <w:t xml:space="preserve"> </w:t>
      </w:r>
      <w:r w:rsidRPr="00D4309F">
        <w:t>to</w:t>
      </w:r>
      <w:r w:rsidRPr="00D4309F">
        <w:rPr>
          <w:spacing w:val="-3"/>
        </w:rPr>
        <w:t xml:space="preserve"> </w:t>
      </w:r>
      <w:r w:rsidRPr="00D4309F">
        <w:t>operate,</w:t>
      </w:r>
      <w:r w:rsidRPr="00D4309F">
        <w:rPr>
          <w:spacing w:val="-3"/>
        </w:rPr>
        <w:t xml:space="preserve"> </w:t>
      </w:r>
      <w:r w:rsidRPr="00D4309F">
        <w:t>the</w:t>
      </w:r>
      <w:r w:rsidRPr="00D4309F">
        <w:rPr>
          <w:spacing w:val="-3"/>
        </w:rPr>
        <w:t xml:space="preserve"> </w:t>
      </w:r>
      <w:r w:rsidRPr="00D4309F">
        <w:t>new</w:t>
      </w:r>
      <w:r w:rsidRPr="00D4309F">
        <w:rPr>
          <w:spacing w:val="-4"/>
        </w:rPr>
        <w:t xml:space="preserve"> </w:t>
      </w:r>
      <w:r w:rsidRPr="00D4309F">
        <w:t>configuration</w:t>
      </w:r>
      <w:r w:rsidRPr="00D4309F">
        <w:rPr>
          <w:spacing w:val="-3"/>
        </w:rPr>
        <w:t xml:space="preserve"> </w:t>
      </w:r>
      <w:r w:rsidRPr="00D4309F">
        <w:t>may</w:t>
      </w:r>
      <w:r w:rsidRPr="00D4309F">
        <w:rPr>
          <w:spacing w:val="-2"/>
        </w:rPr>
        <w:t xml:space="preserve"> </w:t>
      </w:r>
      <w:r w:rsidRPr="00D4309F">
        <w:t>not</w:t>
      </w:r>
      <w:r w:rsidRPr="00D4309F">
        <w:rPr>
          <w:spacing w:val="-3"/>
        </w:rPr>
        <w:t xml:space="preserve"> </w:t>
      </w:r>
      <w:r w:rsidRPr="00D4309F">
        <w:t>yield</w:t>
      </w:r>
      <w:r w:rsidRPr="00D4309F">
        <w:rPr>
          <w:spacing w:val="-3"/>
        </w:rPr>
        <w:t xml:space="preserve"> </w:t>
      </w:r>
      <w:r w:rsidRPr="00D4309F">
        <w:t>any</w:t>
      </w:r>
      <w:r w:rsidRPr="00D4309F">
        <w:rPr>
          <w:spacing w:val="-2"/>
        </w:rPr>
        <w:t xml:space="preserve"> </w:t>
      </w:r>
      <w:r w:rsidRPr="00D4309F">
        <w:t>long-term</w:t>
      </w:r>
      <w:r w:rsidRPr="00D4309F">
        <w:rPr>
          <w:spacing w:val="-3"/>
        </w:rPr>
        <w:t xml:space="preserve"> </w:t>
      </w:r>
      <w:r w:rsidRPr="00D4309F">
        <w:t>improvement</w:t>
      </w:r>
      <w:r w:rsidRPr="00D4309F">
        <w:rPr>
          <w:spacing w:val="-3"/>
        </w:rPr>
        <w:t xml:space="preserve"> </w:t>
      </w:r>
      <w:r w:rsidRPr="00D4309F">
        <w:t>in sediment</w:t>
      </w:r>
      <w:r w:rsidRPr="00D4309F">
        <w:rPr>
          <w:spacing w:val="-2"/>
        </w:rPr>
        <w:t xml:space="preserve"> </w:t>
      </w:r>
      <w:r w:rsidRPr="00D4309F">
        <w:t>bypassing</w:t>
      </w:r>
      <w:r w:rsidRPr="00D4309F">
        <w:rPr>
          <w:spacing w:val="-2"/>
        </w:rPr>
        <w:t xml:space="preserve"> </w:t>
      </w:r>
      <w:r w:rsidRPr="00D4309F">
        <w:t>or</w:t>
      </w:r>
      <w:r w:rsidRPr="00D4309F">
        <w:rPr>
          <w:spacing w:val="-1"/>
        </w:rPr>
        <w:t xml:space="preserve"> </w:t>
      </w:r>
      <w:r w:rsidRPr="00D4309F">
        <w:t>shoal</w:t>
      </w:r>
      <w:r w:rsidRPr="00D4309F">
        <w:rPr>
          <w:spacing w:val="-2"/>
        </w:rPr>
        <w:t xml:space="preserve"> </w:t>
      </w:r>
      <w:r w:rsidRPr="00D4309F">
        <w:t>management.</w:t>
      </w:r>
      <w:r w:rsidRPr="00D4309F">
        <w:rPr>
          <w:spacing w:val="-2"/>
        </w:rPr>
        <w:t xml:space="preserve"> </w:t>
      </w:r>
      <w:r w:rsidRPr="00D4309F">
        <w:t>The</w:t>
      </w:r>
      <w:r w:rsidRPr="00D4309F">
        <w:rPr>
          <w:spacing w:val="-2"/>
        </w:rPr>
        <w:t xml:space="preserve"> </w:t>
      </w:r>
      <w:r w:rsidRPr="00D4309F">
        <w:t>overall</w:t>
      </w:r>
      <w:r w:rsidRPr="00D4309F">
        <w:rPr>
          <w:spacing w:val="-2"/>
        </w:rPr>
        <w:t xml:space="preserve"> </w:t>
      </w:r>
      <w:r w:rsidRPr="00D4309F">
        <w:t>effectiveness</w:t>
      </w:r>
      <w:r w:rsidRPr="00D4309F">
        <w:rPr>
          <w:spacing w:val="-1"/>
        </w:rPr>
        <w:t xml:space="preserve"> </w:t>
      </w:r>
      <w:r w:rsidRPr="00D4309F">
        <w:t>in</w:t>
      </w:r>
      <w:r w:rsidRPr="00D4309F">
        <w:rPr>
          <w:spacing w:val="-2"/>
        </w:rPr>
        <w:t xml:space="preserve"> </w:t>
      </w:r>
      <w:r w:rsidRPr="00D4309F">
        <w:t>maintaining</w:t>
      </w:r>
      <w:r w:rsidRPr="00D4309F">
        <w:rPr>
          <w:spacing w:val="-2"/>
        </w:rPr>
        <w:t xml:space="preserve"> </w:t>
      </w:r>
      <w:r w:rsidRPr="00D4309F">
        <w:t>clear</w:t>
      </w:r>
      <w:r w:rsidRPr="00D4309F">
        <w:rPr>
          <w:spacing w:val="-1"/>
        </w:rPr>
        <w:t xml:space="preserve"> </w:t>
      </w:r>
      <w:r w:rsidRPr="00D4309F">
        <w:t>access</w:t>
      </w:r>
      <w:r w:rsidRPr="00D4309F">
        <w:rPr>
          <w:spacing w:val="-2"/>
        </w:rPr>
        <w:t xml:space="preserve"> </w:t>
      </w:r>
      <w:r w:rsidRPr="00D4309F">
        <w:t>would depend</w:t>
      </w:r>
      <w:r w:rsidRPr="00D4309F">
        <w:rPr>
          <w:spacing w:val="-1"/>
        </w:rPr>
        <w:t xml:space="preserve"> </w:t>
      </w:r>
      <w:r w:rsidRPr="00D4309F">
        <w:t>heavily on</w:t>
      </w:r>
      <w:r w:rsidRPr="00D4309F">
        <w:rPr>
          <w:spacing w:val="-1"/>
        </w:rPr>
        <w:t xml:space="preserve"> </w:t>
      </w:r>
      <w:r w:rsidRPr="00D4309F">
        <w:t>how the</w:t>
      </w:r>
      <w:r w:rsidRPr="00D4309F">
        <w:rPr>
          <w:spacing w:val="-2"/>
        </w:rPr>
        <w:t xml:space="preserve"> </w:t>
      </w:r>
      <w:r w:rsidRPr="00D4309F">
        <w:t>modified</w:t>
      </w:r>
      <w:r w:rsidRPr="00D4309F">
        <w:rPr>
          <w:spacing w:val="-1"/>
        </w:rPr>
        <w:t xml:space="preserve"> </w:t>
      </w:r>
      <w:r w:rsidRPr="00D4309F">
        <w:t>entrance</w:t>
      </w:r>
      <w:r w:rsidRPr="00D4309F">
        <w:rPr>
          <w:spacing w:val="-1"/>
        </w:rPr>
        <w:t xml:space="preserve"> </w:t>
      </w:r>
      <w:r w:rsidRPr="00D4309F">
        <w:t>influences sand</w:t>
      </w:r>
      <w:r w:rsidRPr="00D4309F">
        <w:rPr>
          <w:spacing w:val="-1"/>
        </w:rPr>
        <w:t xml:space="preserve"> </w:t>
      </w:r>
      <w:r w:rsidRPr="00D4309F">
        <w:t>inflow rates and</w:t>
      </w:r>
      <w:r w:rsidRPr="00D4309F">
        <w:rPr>
          <w:spacing w:val="-1"/>
        </w:rPr>
        <w:t xml:space="preserve"> </w:t>
      </w:r>
      <w:r w:rsidRPr="00D4309F">
        <w:t>deposition</w:t>
      </w:r>
      <w:r w:rsidRPr="00D4309F">
        <w:rPr>
          <w:spacing w:val="-1"/>
        </w:rPr>
        <w:t xml:space="preserve"> </w:t>
      </w:r>
      <w:r w:rsidRPr="00D4309F">
        <w:t>zones,</w:t>
      </w:r>
      <w:r w:rsidRPr="00D4309F">
        <w:rPr>
          <w:spacing w:val="-1"/>
        </w:rPr>
        <w:t xml:space="preserve"> </w:t>
      </w:r>
      <w:r w:rsidRPr="00D4309F">
        <w:t>which</w:t>
      </w:r>
    </w:p>
    <w:p w14:paraId="420A822F" w14:textId="77777777" w:rsidR="00725977" w:rsidRPr="00D4309F" w:rsidRDefault="00725977" w:rsidP="00725977">
      <w:pPr>
        <w:pStyle w:val="BodyText"/>
      </w:pPr>
      <w:r w:rsidRPr="00D4309F">
        <w:t>From a technical standpoint, the operational works are feasible, using standard dredging methods and existing</w:t>
      </w:r>
      <w:r w:rsidRPr="00D4309F">
        <w:rPr>
          <w:spacing w:val="-3"/>
        </w:rPr>
        <w:t xml:space="preserve"> </w:t>
      </w:r>
      <w:r w:rsidRPr="00D4309F">
        <w:t>equipment.</w:t>
      </w:r>
      <w:r w:rsidRPr="00D4309F">
        <w:rPr>
          <w:spacing w:val="-3"/>
        </w:rPr>
        <w:t xml:space="preserve"> </w:t>
      </w:r>
      <w:r w:rsidRPr="00D4309F">
        <w:t>However,</w:t>
      </w:r>
      <w:r w:rsidRPr="00D4309F">
        <w:rPr>
          <w:spacing w:val="-3"/>
        </w:rPr>
        <w:t xml:space="preserve"> </w:t>
      </w:r>
      <w:r w:rsidRPr="00D4309F">
        <w:t>efficiency</w:t>
      </w:r>
      <w:r w:rsidRPr="00D4309F">
        <w:rPr>
          <w:spacing w:val="-3"/>
        </w:rPr>
        <w:t xml:space="preserve"> </w:t>
      </w:r>
      <w:r w:rsidRPr="00D4309F">
        <w:t>and</w:t>
      </w:r>
      <w:r w:rsidRPr="00D4309F">
        <w:rPr>
          <w:spacing w:val="-3"/>
        </w:rPr>
        <w:t xml:space="preserve"> </w:t>
      </w:r>
      <w:r w:rsidRPr="00D4309F">
        <w:t>reliability</w:t>
      </w:r>
      <w:r w:rsidRPr="00D4309F">
        <w:rPr>
          <w:spacing w:val="-3"/>
        </w:rPr>
        <w:t xml:space="preserve"> </w:t>
      </w:r>
      <w:r w:rsidRPr="00D4309F">
        <w:t>would</w:t>
      </w:r>
      <w:r w:rsidRPr="00D4309F">
        <w:rPr>
          <w:spacing w:val="-3"/>
        </w:rPr>
        <w:t xml:space="preserve"> </w:t>
      </w:r>
      <w:r w:rsidRPr="00D4309F">
        <w:t>remain</w:t>
      </w:r>
      <w:r w:rsidRPr="00D4309F">
        <w:rPr>
          <w:spacing w:val="-4"/>
        </w:rPr>
        <w:t xml:space="preserve"> </w:t>
      </w:r>
      <w:r w:rsidRPr="00D4309F">
        <w:t>limited</w:t>
      </w:r>
      <w:r w:rsidRPr="00D4309F">
        <w:rPr>
          <w:spacing w:val="-3"/>
        </w:rPr>
        <w:t xml:space="preserve"> </w:t>
      </w:r>
      <w:r w:rsidRPr="00D4309F">
        <w:t>by</w:t>
      </w:r>
      <w:r w:rsidRPr="00D4309F">
        <w:rPr>
          <w:spacing w:val="-2"/>
        </w:rPr>
        <w:t xml:space="preserve"> </w:t>
      </w:r>
      <w:r w:rsidRPr="00D4309F">
        <w:t>environmental</w:t>
      </w:r>
      <w:r w:rsidRPr="00D4309F">
        <w:rPr>
          <w:spacing w:val="-3"/>
        </w:rPr>
        <w:t xml:space="preserve"> </w:t>
      </w:r>
      <w:r w:rsidRPr="00D4309F">
        <w:t>conditions</w:t>
      </w:r>
      <w:r w:rsidRPr="00D4309F">
        <w:rPr>
          <w:spacing w:val="-2"/>
        </w:rPr>
        <w:t xml:space="preserve"> </w:t>
      </w:r>
      <w:r w:rsidRPr="00D4309F">
        <w:t>and the unchanged sediment supply from Area A. The likely redistribution of the shoal zone closer to the entrance could reduce operational flexibility and increase maintenance demand over time.</w:t>
      </w:r>
    </w:p>
    <w:p w14:paraId="28312BA7" w14:textId="77777777" w:rsidR="00725977" w:rsidRDefault="00725977" w:rsidP="00725977">
      <w:pPr>
        <w:pStyle w:val="BodyText"/>
      </w:pPr>
      <w:r w:rsidRPr="00D4309F">
        <w:t>While the operational regime under this option is manageable and familiar, it is not likely to significantly enhance</w:t>
      </w:r>
      <w:r w:rsidRPr="00D4309F">
        <w:rPr>
          <w:spacing w:val="-3"/>
        </w:rPr>
        <w:t xml:space="preserve"> </w:t>
      </w:r>
      <w:r w:rsidRPr="00D4309F">
        <w:t>sediment</w:t>
      </w:r>
      <w:r w:rsidRPr="00D4309F">
        <w:rPr>
          <w:spacing w:val="-3"/>
        </w:rPr>
        <w:t xml:space="preserve"> </w:t>
      </w:r>
      <w:r w:rsidRPr="00D4309F">
        <w:t>bypassing</w:t>
      </w:r>
      <w:r w:rsidRPr="00D4309F">
        <w:rPr>
          <w:spacing w:val="-3"/>
        </w:rPr>
        <w:t xml:space="preserve"> </w:t>
      </w:r>
      <w:r w:rsidRPr="00D4309F">
        <w:t>efficiency</w:t>
      </w:r>
      <w:r w:rsidRPr="00D4309F">
        <w:rPr>
          <w:spacing w:val="-2"/>
        </w:rPr>
        <w:t xml:space="preserve"> </w:t>
      </w:r>
      <w:r w:rsidRPr="00D4309F">
        <w:t>or</w:t>
      </w:r>
      <w:r w:rsidRPr="00D4309F">
        <w:rPr>
          <w:spacing w:val="-2"/>
        </w:rPr>
        <w:t xml:space="preserve"> </w:t>
      </w:r>
      <w:r w:rsidRPr="00D4309F">
        <w:t>reduce</w:t>
      </w:r>
      <w:r w:rsidRPr="00D4309F">
        <w:rPr>
          <w:spacing w:val="-3"/>
        </w:rPr>
        <w:t xml:space="preserve"> </w:t>
      </w:r>
      <w:r w:rsidRPr="00D4309F">
        <w:t>shoaling</w:t>
      </w:r>
      <w:r w:rsidRPr="00D4309F">
        <w:rPr>
          <w:spacing w:val="-3"/>
        </w:rPr>
        <w:t xml:space="preserve"> </w:t>
      </w:r>
      <w:r w:rsidRPr="00D4309F">
        <w:t>frequency.</w:t>
      </w:r>
      <w:r w:rsidRPr="00D4309F">
        <w:rPr>
          <w:spacing w:val="-3"/>
        </w:rPr>
        <w:t xml:space="preserve"> </w:t>
      </w:r>
      <w:r w:rsidRPr="00D4309F">
        <w:t>Instead,</w:t>
      </w:r>
      <w:r w:rsidRPr="00D4309F">
        <w:rPr>
          <w:spacing w:val="-3"/>
        </w:rPr>
        <w:t xml:space="preserve"> </w:t>
      </w:r>
      <w:r w:rsidRPr="00D4309F">
        <w:t>it</w:t>
      </w:r>
      <w:r w:rsidRPr="00D4309F">
        <w:rPr>
          <w:spacing w:val="-3"/>
        </w:rPr>
        <w:t xml:space="preserve"> </w:t>
      </w:r>
      <w:r w:rsidRPr="00D4309F">
        <w:t>would</w:t>
      </w:r>
      <w:r w:rsidRPr="00D4309F">
        <w:rPr>
          <w:spacing w:val="-3"/>
        </w:rPr>
        <w:t xml:space="preserve"> </w:t>
      </w:r>
      <w:r w:rsidRPr="00D4309F">
        <w:t>perpetuate</w:t>
      </w:r>
      <w:r w:rsidRPr="00D4309F">
        <w:rPr>
          <w:spacing w:val="-3"/>
        </w:rPr>
        <w:t xml:space="preserve"> </w:t>
      </w:r>
      <w:r w:rsidRPr="00D4309F">
        <w:t>a</w:t>
      </w:r>
      <w:r w:rsidRPr="00D4309F">
        <w:rPr>
          <w:spacing w:val="-3"/>
        </w:rPr>
        <w:t xml:space="preserve"> </w:t>
      </w:r>
      <w:r w:rsidRPr="00D4309F">
        <w:t>cycle</w:t>
      </w:r>
      <w:r w:rsidRPr="00D4309F">
        <w:rPr>
          <w:spacing w:val="-3"/>
        </w:rPr>
        <w:t xml:space="preserve"> </w:t>
      </w:r>
      <w:r w:rsidRPr="00D4309F">
        <w:t>of reactive dredging with potentially higher effort due to altered entrance hydrodynamics.</w:t>
      </w:r>
    </w:p>
    <w:p w14:paraId="48B7F791" w14:textId="77777777" w:rsidR="005A5356" w:rsidRPr="00D4309F" w:rsidRDefault="005A5356" w:rsidP="00725977">
      <w:pPr>
        <w:pStyle w:val="BodyText"/>
      </w:pPr>
    </w:p>
    <w:p w14:paraId="016472B3" w14:textId="77777777" w:rsidR="00725977" w:rsidRPr="00D4309F" w:rsidRDefault="00725977" w:rsidP="00725977">
      <w:pPr>
        <w:pStyle w:val="BodyText"/>
        <w:sectPr w:rsidR="00725977" w:rsidRPr="00D4309F" w:rsidSect="00405D4F">
          <w:headerReference w:type="default" r:id="rId153"/>
          <w:footerReference w:type="default" r:id="rId154"/>
          <w:pgSz w:w="11910" w:h="16840"/>
          <w:pgMar w:top="1418" w:right="1134" w:bottom="1418" w:left="1134" w:header="916" w:footer="980" w:gutter="0"/>
          <w:cols w:space="720"/>
        </w:sectPr>
      </w:pPr>
    </w:p>
    <w:p w14:paraId="5CEDC1F6" w14:textId="77777777" w:rsidR="00725977" w:rsidRPr="00D4309F" w:rsidRDefault="00725977" w:rsidP="00785CC3">
      <w:pPr>
        <w:pStyle w:val="Heading3"/>
      </w:pPr>
      <w:bookmarkStart w:id="545" w:name="_bookmark197"/>
      <w:bookmarkStart w:id="546" w:name="_Toc216699516"/>
      <w:bookmarkEnd w:id="545"/>
      <w:r w:rsidRPr="00D4309F">
        <w:lastRenderedPageBreak/>
        <w:t>Environmental</w:t>
      </w:r>
      <w:r w:rsidRPr="00D4309F">
        <w:rPr>
          <w:spacing w:val="2"/>
        </w:rPr>
        <w:t xml:space="preserve"> </w:t>
      </w:r>
      <w:r w:rsidRPr="00D4309F">
        <w:t>constraints</w:t>
      </w:r>
      <w:bookmarkEnd w:id="546"/>
    </w:p>
    <w:p w14:paraId="2836E7E0" w14:textId="4190C33E" w:rsidR="00725977" w:rsidRPr="00D4309F" w:rsidRDefault="00725977" w:rsidP="00725977">
      <w:pPr>
        <w:pStyle w:val="BodyText"/>
      </w:pPr>
      <w:r w:rsidRPr="00D4309F">
        <w:t>A</w:t>
      </w:r>
      <w:r w:rsidRPr="00D4309F">
        <w:rPr>
          <w:spacing w:val="-2"/>
        </w:rPr>
        <w:t xml:space="preserve"> </w:t>
      </w:r>
      <w:r w:rsidRPr="00D4309F">
        <w:t>preliminary</w:t>
      </w:r>
      <w:r w:rsidRPr="00D4309F">
        <w:rPr>
          <w:spacing w:val="-1"/>
        </w:rPr>
        <w:t xml:space="preserve"> </w:t>
      </w:r>
      <w:r w:rsidRPr="00D4309F">
        <w:t>assessment</w:t>
      </w:r>
      <w:r w:rsidRPr="00D4309F">
        <w:rPr>
          <w:spacing w:val="-2"/>
        </w:rPr>
        <w:t xml:space="preserve"> </w:t>
      </w:r>
      <w:r w:rsidRPr="00D4309F">
        <w:t>of</w:t>
      </w:r>
      <w:r w:rsidRPr="00D4309F">
        <w:rPr>
          <w:spacing w:val="-2"/>
        </w:rPr>
        <w:t xml:space="preserve"> </w:t>
      </w:r>
      <w:r w:rsidRPr="00D4309F">
        <w:t>environmental</w:t>
      </w:r>
      <w:r w:rsidRPr="00D4309F">
        <w:rPr>
          <w:spacing w:val="-2"/>
        </w:rPr>
        <w:t xml:space="preserve"> </w:t>
      </w:r>
      <w:r w:rsidRPr="00D4309F">
        <w:t>constraints</w:t>
      </w:r>
      <w:r w:rsidRPr="00D4309F">
        <w:rPr>
          <w:spacing w:val="-1"/>
        </w:rPr>
        <w:t xml:space="preserve"> </w:t>
      </w:r>
      <w:r w:rsidRPr="00D4309F">
        <w:t>for</w:t>
      </w:r>
      <w:r w:rsidRPr="00D4309F">
        <w:rPr>
          <w:spacing w:val="-2"/>
        </w:rPr>
        <w:t xml:space="preserve"> </w:t>
      </w:r>
      <w:r w:rsidRPr="00D4309F">
        <w:t>the</w:t>
      </w:r>
      <w:r w:rsidRPr="00D4309F">
        <w:rPr>
          <w:spacing w:val="-2"/>
        </w:rPr>
        <w:t xml:space="preserve"> </w:t>
      </w:r>
      <w:r w:rsidRPr="00D4309F">
        <w:t>Shorten Western Entrance Wall + Formalise Western Channel (Structural Modification) (Option</w:t>
      </w:r>
      <w:r w:rsidRPr="00D4309F">
        <w:rPr>
          <w:spacing w:val="-2"/>
        </w:rPr>
        <w:t xml:space="preserve"> </w:t>
      </w:r>
      <w:r w:rsidRPr="00D4309F">
        <w:t>5B),</w:t>
      </w:r>
      <w:r w:rsidRPr="00D4309F">
        <w:rPr>
          <w:spacing w:val="-2"/>
        </w:rPr>
        <w:t xml:space="preserve"> </w:t>
      </w:r>
      <w:r w:rsidRPr="00D4309F">
        <w:t>based</w:t>
      </w:r>
      <w:r w:rsidRPr="00D4309F">
        <w:rPr>
          <w:spacing w:val="-2"/>
        </w:rPr>
        <w:t xml:space="preserve"> </w:t>
      </w:r>
      <w:r w:rsidRPr="00D4309F">
        <w:t>on</w:t>
      </w:r>
      <w:r w:rsidRPr="00D4309F">
        <w:rPr>
          <w:spacing w:val="-2"/>
        </w:rPr>
        <w:t xml:space="preserve"> </w:t>
      </w:r>
      <w:r w:rsidRPr="00D4309F">
        <w:t>the</w:t>
      </w:r>
      <w:r w:rsidRPr="00D4309F">
        <w:rPr>
          <w:spacing w:val="-2"/>
        </w:rPr>
        <w:t xml:space="preserve"> </w:t>
      </w:r>
      <w:r w:rsidRPr="00D4309F">
        <w:t>constraints</w:t>
      </w:r>
      <w:r w:rsidRPr="00D4309F">
        <w:rPr>
          <w:spacing w:val="-1"/>
        </w:rPr>
        <w:t xml:space="preserve"> </w:t>
      </w:r>
      <w:r w:rsidRPr="00D4309F">
        <w:t>analysis</w:t>
      </w:r>
      <w:r w:rsidRPr="00D4309F">
        <w:rPr>
          <w:spacing w:val="-1"/>
        </w:rPr>
        <w:t xml:space="preserve"> </w:t>
      </w:r>
      <w:r w:rsidRPr="00D4309F">
        <w:t>criteria</w:t>
      </w:r>
      <w:r w:rsidRPr="00D4309F">
        <w:rPr>
          <w:spacing w:val="-2"/>
        </w:rPr>
        <w:t xml:space="preserve"> </w:t>
      </w:r>
      <w:r w:rsidRPr="00D4309F">
        <w:t>in</w:t>
      </w:r>
      <w:r w:rsidRPr="00D4309F">
        <w:rPr>
          <w:spacing w:val="-3"/>
        </w:rPr>
        <w:t xml:space="preserve"> </w:t>
      </w:r>
      <w:hyperlink w:anchor="_bookmark198" w:history="1">
        <w:r w:rsidR="00151534">
          <w:fldChar w:fldCharType="begin" w:fldLock="1"/>
        </w:r>
        <w:r w:rsidR="00151534">
          <w:instrText xml:space="preserve"> REF _Ref215980716 \h </w:instrText>
        </w:r>
        <w:r w:rsidR="00151534">
          <w:fldChar w:fldCharType="separate"/>
        </w:r>
        <w:r w:rsidR="00151534">
          <w:t xml:space="preserve">Table </w:t>
        </w:r>
        <w:r w:rsidR="00151534">
          <w:rPr>
            <w:noProof/>
          </w:rPr>
          <w:t>17</w:t>
        </w:r>
        <w:r w:rsidR="00151534">
          <w:noBreakHyphen/>
        </w:r>
        <w:r w:rsidR="00151534">
          <w:rPr>
            <w:noProof/>
          </w:rPr>
          <w:t>3</w:t>
        </w:r>
        <w:r w:rsidR="00151534">
          <w:fldChar w:fldCharType="end"/>
        </w:r>
        <w:r w:rsidRPr="00D4309F">
          <w:t>,</w:t>
        </w:r>
      </w:hyperlink>
      <w:r w:rsidRPr="00D4309F">
        <w:t xml:space="preserve"> detailed in </w:t>
      </w:r>
      <w:hyperlink w:anchor="_bookmark199" w:history="1">
        <w:r w:rsidR="00151534">
          <w:fldChar w:fldCharType="begin" w:fldLock="1"/>
        </w:r>
        <w:r w:rsidR="00151534">
          <w:instrText xml:space="preserve"> REF _Ref215980729 \h </w:instrText>
        </w:r>
        <w:r w:rsidR="00151534">
          <w:fldChar w:fldCharType="separate"/>
        </w:r>
        <w:r w:rsidR="00151534">
          <w:t xml:space="preserve">Table </w:t>
        </w:r>
        <w:r w:rsidR="00151534">
          <w:rPr>
            <w:noProof/>
          </w:rPr>
          <w:t>17</w:t>
        </w:r>
        <w:r w:rsidR="00151534">
          <w:noBreakHyphen/>
        </w:r>
        <w:r w:rsidR="00151534">
          <w:rPr>
            <w:noProof/>
          </w:rPr>
          <w:t>4</w:t>
        </w:r>
        <w:r w:rsidR="00151534">
          <w:fldChar w:fldCharType="end"/>
        </w:r>
        <w:r w:rsidRPr="00D4309F">
          <w:t>.</w:t>
        </w:r>
      </w:hyperlink>
    </w:p>
    <w:p w14:paraId="53496FDA" w14:textId="1299C11A" w:rsidR="00725977" w:rsidRPr="00D4309F" w:rsidRDefault="00151534" w:rsidP="007774EC">
      <w:pPr>
        <w:pStyle w:val="Table-Caption"/>
      </w:pPr>
      <w:bookmarkStart w:id="547" w:name="_bookmark198"/>
      <w:bookmarkStart w:id="548" w:name="_Ref215980716"/>
      <w:bookmarkStart w:id="549" w:name="_Toc216699586"/>
      <w:bookmarkEnd w:id="547"/>
      <w:r>
        <w:t xml:space="preserve">Table </w:t>
      </w:r>
      <w:r>
        <w:fldChar w:fldCharType="begin" w:fldLock="1"/>
      </w:r>
      <w:r>
        <w:instrText xml:space="preserve"> STYLEREF 1 \s </w:instrText>
      </w:r>
      <w:r>
        <w:fldChar w:fldCharType="separate"/>
      </w:r>
      <w:r>
        <w:rPr>
          <w:noProof/>
        </w:rPr>
        <w:t>17</w:t>
      </w:r>
      <w:r>
        <w:fldChar w:fldCharType="end"/>
      </w:r>
      <w:r>
        <w:noBreakHyphen/>
      </w:r>
      <w:r>
        <w:fldChar w:fldCharType="begin"/>
      </w:r>
      <w:r>
        <w:instrText xml:space="preserve"> SEQ Table \* ARABIC \s 1 </w:instrText>
      </w:r>
      <w:r>
        <w:fldChar w:fldCharType="separate"/>
      </w:r>
      <w:r w:rsidR="006D0876">
        <w:rPr>
          <w:noProof/>
        </w:rPr>
        <w:t>3</w:t>
      </w:r>
      <w:r>
        <w:fldChar w:fldCharType="end"/>
      </w:r>
      <w:bookmarkEnd w:id="548"/>
      <w:r>
        <w:t>:</w:t>
      </w:r>
      <w:r>
        <w:tab/>
      </w:r>
      <w:r w:rsidRPr="00D4309F">
        <w:rPr>
          <w:color w:val="211E1F"/>
        </w:rPr>
        <w:t>Constraints</w:t>
      </w:r>
      <w:r w:rsidRPr="00D4309F">
        <w:rPr>
          <w:color w:val="211E1F"/>
          <w:spacing w:val="-3"/>
        </w:rPr>
        <w:t xml:space="preserve"> </w:t>
      </w:r>
      <w:r w:rsidRPr="00D4309F">
        <w:rPr>
          <w:color w:val="211E1F"/>
        </w:rPr>
        <w:t>analysis</w:t>
      </w:r>
      <w:r w:rsidRPr="00D4309F">
        <w:rPr>
          <w:color w:val="211E1F"/>
          <w:spacing w:val="-2"/>
        </w:rPr>
        <w:t xml:space="preserve"> criteria</w:t>
      </w:r>
      <w:bookmarkEnd w:id="549"/>
    </w:p>
    <w:tbl>
      <w:tblPr>
        <w:tblW w:w="5000" w:type="pct"/>
        <w:tblCellMar>
          <w:left w:w="0" w:type="dxa"/>
          <w:right w:w="0" w:type="dxa"/>
        </w:tblCellMar>
        <w:tblLook w:val="01E0" w:firstRow="1" w:lastRow="1" w:firstColumn="1" w:lastColumn="1" w:noHBand="0" w:noVBand="0"/>
      </w:tblPr>
      <w:tblGrid>
        <w:gridCol w:w="1999"/>
        <w:gridCol w:w="12573"/>
      </w:tblGrid>
      <w:tr w:rsidR="00725977" w:rsidRPr="00D4309F" w14:paraId="46868554" w14:textId="77777777" w:rsidTr="00151534">
        <w:trPr>
          <w:trHeight w:val="287"/>
        </w:trPr>
        <w:tc>
          <w:tcPr>
            <w:tcW w:w="686" w:type="pct"/>
            <w:tcBorders>
              <w:bottom w:val="single" w:sz="4" w:space="0" w:color="000000"/>
            </w:tcBorders>
            <w:shd w:val="clear" w:color="auto" w:fill="D6D7D5"/>
          </w:tcPr>
          <w:p w14:paraId="4354D0EB" w14:textId="77777777" w:rsidR="00725977" w:rsidRPr="00D4309F" w:rsidRDefault="00725977">
            <w:pPr>
              <w:pStyle w:val="TableParagraph"/>
              <w:spacing w:before="40"/>
              <w:ind w:left="165"/>
              <w:rPr>
                <w:b/>
                <w:sz w:val="18"/>
              </w:rPr>
            </w:pPr>
            <w:r w:rsidRPr="00D4309F">
              <w:rPr>
                <w:b/>
                <w:color w:val="70004A"/>
                <w:sz w:val="18"/>
              </w:rPr>
              <w:t>Constraint</w:t>
            </w:r>
            <w:r w:rsidRPr="00D4309F">
              <w:rPr>
                <w:b/>
                <w:color w:val="70004A"/>
                <w:spacing w:val="-4"/>
                <w:sz w:val="18"/>
              </w:rPr>
              <w:t xml:space="preserve"> </w:t>
            </w:r>
            <w:r w:rsidRPr="00D4309F">
              <w:rPr>
                <w:b/>
                <w:color w:val="70004A"/>
                <w:spacing w:val="-2"/>
                <w:sz w:val="18"/>
              </w:rPr>
              <w:t>level</w:t>
            </w:r>
          </w:p>
        </w:tc>
        <w:tc>
          <w:tcPr>
            <w:tcW w:w="4314" w:type="pct"/>
            <w:tcBorders>
              <w:bottom w:val="single" w:sz="4" w:space="0" w:color="000000"/>
            </w:tcBorders>
            <w:shd w:val="clear" w:color="auto" w:fill="D6D7D5"/>
          </w:tcPr>
          <w:p w14:paraId="27DF8F3B" w14:textId="77777777" w:rsidR="00725977" w:rsidRPr="00D4309F" w:rsidRDefault="00725977">
            <w:pPr>
              <w:pStyle w:val="TableParagraph"/>
              <w:spacing w:before="40"/>
              <w:ind w:left="165"/>
              <w:rPr>
                <w:b/>
                <w:sz w:val="18"/>
              </w:rPr>
            </w:pPr>
            <w:r w:rsidRPr="00D4309F">
              <w:rPr>
                <w:b/>
                <w:color w:val="70004A"/>
                <w:spacing w:val="-2"/>
                <w:sz w:val="18"/>
              </w:rPr>
              <w:t>Description</w:t>
            </w:r>
          </w:p>
        </w:tc>
      </w:tr>
      <w:tr w:rsidR="00725977" w:rsidRPr="00D4309F" w14:paraId="42B9BD3A" w14:textId="77777777" w:rsidTr="00151534">
        <w:trPr>
          <w:trHeight w:val="286"/>
        </w:trPr>
        <w:tc>
          <w:tcPr>
            <w:tcW w:w="686" w:type="pct"/>
            <w:tcBorders>
              <w:top w:val="single" w:sz="4" w:space="0" w:color="000000"/>
              <w:bottom w:val="single" w:sz="4" w:space="0" w:color="000000"/>
            </w:tcBorders>
            <w:shd w:val="clear" w:color="auto" w:fill="BDB7B3"/>
          </w:tcPr>
          <w:p w14:paraId="31B5B884" w14:textId="77777777" w:rsidR="00725977" w:rsidRPr="00D4309F" w:rsidRDefault="00725977">
            <w:pPr>
              <w:pStyle w:val="TableParagraph"/>
              <w:spacing w:before="39"/>
              <w:ind w:left="165"/>
              <w:rPr>
                <w:b/>
                <w:sz w:val="18"/>
              </w:rPr>
            </w:pPr>
            <w:r w:rsidRPr="00D4309F">
              <w:rPr>
                <w:b/>
                <w:color w:val="211E1F"/>
                <w:sz w:val="18"/>
              </w:rPr>
              <w:t>No</w:t>
            </w:r>
            <w:r w:rsidRPr="00D4309F">
              <w:rPr>
                <w:b/>
                <w:color w:val="211E1F"/>
                <w:spacing w:val="-3"/>
                <w:sz w:val="18"/>
              </w:rPr>
              <w:t xml:space="preserve"> </w:t>
            </w:r>
            <w:r w:rsidRPr="00D4309F">
              <w:rPr>
                <w:b/>
                <w:color w:val="211E1F"/>
                <w:spacing w:val="-2"/>
                <w:sz w:val="18"/>
              </w:rPr>
              <w:t>impact</w:t>
            </w:r>
          </w:p>
        </w:tc>
        <w:tc>
          <w:tcPr>
            <w:tcW w:w="4314" w:type="pct"/>
            <w:tcBorders>
              <w:top w:val="single" w:sz="4" w:space="0" w:color="000000"/>
              <w:bottom w:val="single" w:sz="4" w:space="0" w:color="000000"/>
            </w:tcBorders>
          </w:tcPr>
          <w:p w14:paraId="237460FE" w14:textId="77777777" w:rsidR="00725977" w:rsidRPr="00D4309F" w:rsidRDefault="00725977">
            <w:pPr>
              <w:pStyle w:val="TableParagraph"/>
              <w:spacing w:before="39"/>
              <w:ind w:left="165"/>
              <w:rPr>
                <w:sz w:val="18"/>
              </w:rPr>
            </w:pPr>
            <w:r w:rsidRPr="00D4309F">
              <w:rPr>
                <w:color w:val="211E1F"/>
                <w:sz w:val="18"/>
              </w:rPr>
              <w:t>There</w:t>
            </w:r>
            <w:r w:rsidRPr="00D4309F">
              <w:rPr>
                <w:color w:val="211E1F"/>
                <w:spacing w:val="-6"/>
                <w:sz w:val="18"/>
              </w:rPr>
              <w:t xml:space="preserve"> </w:t>
            </w:r>
            <w:r w:rsidRPr="00D4309F">
              <w:rPr>
                <w:color w:val="211E1F"/>
                <w:sz w:val="18"/>
              </w:rPr>
              <w:t>is</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impact</w:t>
            </w:r>
            <w:r w:rsidRPr="00D4309F">
              <w:rPr>
                <w:color w:val="211E1F"/>
                <w:spacing w:val="-2"/>
                <w:sz w:val="18"/>
              </w:rPr>
              <w:t xml:space="preserve"> </w:t>
            </w:r>
            <w:r w:rsidRPr="00D4309F">
              <w:rPr>
                <w:color w:val="211E1F"/>
                <w:sz w:val="18"/>
              </w:rPr>
              <w:t>pathway</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1"/>
                <w:sz w:val="18"/>
              </w:rPr>
              <w:t xml:space="preserve"> </w:t>
            </w:r>
            <w:r w:rsidRPr="00D4309F">
              <w:rPr>
                <w:color w:val="211E1F"/>
                <w:sz w:val="18"/>
              </w:rPr>
              <w:t>receptor.</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required.</w:t>
            </w:r>
          </w:p>
        </w:tc>
      </w:tr>
      <w:tr w:rsidR="00725977" w:rsidRPr="00D4309F" w14:paraId="0455F34B" w14:textId="77777777" w:rsidTr="00151534">
        <w:trPr>
          <w:trHeight w:val="287"/>
        </w:trPr>
        <w:tc>
          <w:tcPr>
            <w:tcW w:w="686" w:type="pct"/>
            <w:tcBorders>
              <w:top w:val="single" w:sz="4" w:space="0" w:color="000000"/>
              <w:bottom w:val="single" w:sz="4" w:space="0" w:color="000000"/>
            </w:tcBorders>
            <w:shd w:val="clear" w:color="auto" w:fill="92D050"/>
          </w:tcPr>
          <w:p w14:paraId="6A9D2273" w14:textId="77777777" w:rsidR="00725977" w:rsidRPr="00D4309F" w:rsidRDefault="00725977">
            <w:pPr>
              <w:pStyle w:val="TableParagraph"/>
              <w:spacing w:before="39"/>
              <w:ind w:left="165"/>
              <w:rPr>
                <w:b/>
                <w:sz w:val="18"/>
              </w:rPr>
            </w:pPr>
            <w:r w:rsidRPr="00D4309F">
              <w:rPr>
                <w:b/>
                <w:color w:val="211E1F"/>
                <w:spacing w:val="-5"/>
                <w:sz w:val="18"/>
              </w:rPr>
              <w:t>Low</w:t>
            </w:r>
          </w:p>
        </w:tc>
        <w:tc>
          <w:tcPr>
            <w:tcW w:w="4314" w:type="pct"/>
            <w:tcBorders>
              <w:top w:val="single" w:sz="4" w:space="0" w:color="000000"/>
              <w:bottom w:val="single" w:sz="4" w:space="0" w:color="000000"/>
            </w:tcBorders>
          </w:tcPr>
          <w:p w14:paraId="293F8173" w14:textId="77777777" w:rsidR="00725977" w:rsidRPr="00D4309F" w:rsidRDefault="00725977">
            <w:pPr>
              <w:pStyle w:val="TableParagraph"/>
              <w:spacing w:before="39"/>
              <w:ind w:left="165"/>
              <w:rPr>
                <w:sz w:val="18"/>
              </w:rPr>
            </w:pPr>
            <w:r w:rsidRPr="00D4309F">
              <w:rPr>
                <w:color w:val="211E1F"/>
                <w:sz w:val="18"/>
              </w:rPr>
              <w:t>There</w:t>
            </w:r>
            <w:r w:rsidRPr="00D4309F">
              <w:rPr>
                <w:color w:val="211E1F"/>
                <w:spacing w:val="-6"/>
                <w:sz w:val="18"/>
              </w:rPr>
              <w:t xml:space="preserve"> </w:t>
            </w:r>
            <w:r w:rsidRPr="00D4309F">
              <w:rPr>
                <w:color w:val="211E1F"/>
                <w:sz w:val="18"/>
              </w:rPr>
              <w:t>is</w:t>
            </w:r>
            <w:r w:rsidRPr="00D4309F">
              <w:rPr>
                <w:color w:val="211E1F"/>
                <w:spacing w:val="-2"/>
                <w:sz w:val="18"/>
              </w:rPr>
              <w:t xml:space="preserve"> </w:t>
            </w:r>
            <w:r w:rsidRPr="00D4309F">
              <w:rPr>
                <w:color w:val="211E1F"/>
                <w:sz w:val="18"/>
              </w:rPr>
              <w:t>low</w:t>
            </w:r>
            <w:r w:rsidRPr="00D4309F">
              <w:rPr>
                <w:color w:val="211E1F"/>
                <w:spacing w:val="-2"/>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3"/>
                <w:sz w:val="18"/>
              </w:rPr>
              <w:t xml:space="preserve"> </w:t>
            </w:r>
            <w:r w:rsidRPr="00D4309F">
              <w:rPr>
                <w:color w:val="211E1F"/>
                <w:sz w:val="18"/>
              </w:rPr>
              <w:t>No</w:t>
            </w:r>
            <w:r w:rsidRPr="00D4309F">
              <w:rPr>
                <w:color w:val="211E1F"/>
                <w:spacing w:val="-3"/>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required.</w:t>
            </w:r>
            <w:r w:rsidRPr="00D4309F">
              <w:rPr>
                <w:color w:val="211E1F"/>
                <w:spacing w:val="-2"/>
                <w:sz w:val="18"/>
              </w:rPr>
              <w:t xml:space="preserve"> </w:t>
            </w:r>
            <w:r w:rsidRPr="00D4309F">
              <w:rPr>
                <w:color w:val="211E1F"/>
                <w:sz w:val="18"/>
              </w:rPr>
              <w:t>No</w:t>
            </w:r>
            <w:r w:rsidRPr="00D4309F">
              <w:rPr>
                <w:color w:val="211E1F"/>
                <w:spacing w:val="-3"/>
                <w:sz w:val="18"/>
              </w:rPr>
              <w:t xml:space="preserve"> </w:t>
            </w:r>
            <w:r w:rsidRPr="00D4309F">
              <w:rPr>
                <w:color w:val="211E1F"/>
                <w:sz w:val="18"/>
              </w:rPr>
              <w:t>or</w:t>
            </w:r>
            <w:r w:rsidRPr="00D4309F">
              <w:rPr>
                <w:color w:val="211E1F"/>
                <w:spacing w:val="-2"/>
                <w:sz w:val="18"/>
              </w:rPr>
              <w:t xml:space="preserve"> </w:t>
            </w:r>
            <w:r w:rsidRPr="00D4309F">
              <w:rPr>
                <w:color w:val="211E1F"/>
                <w:sz w:val="18"/>
              </w:rPr>
              <w:t>standard</w:t>
            </w:r>
            <w:r w:rsidRPr="00D4309F">
              <w:rPr>
                <w:color w:val="211E1F"/>
                <w:spacing w:val="-3"/>
                <w:sz w:val="18"/>
              </w:rPr>
              <w:t xml:space="preserve"> </w:t>
            </w:r>
            <w:r w:rsidRPr="00D4309F">
              <w:rPr>
                <w:color w:val="211E1F"/>
                <w:sz w:val="18"/>
              </w:rPr>
              <w:t>management</w:t>
            </w:r>
            <w:r w:rsidRPr="00D4309F">
              <w:rPr>
                <w:color w:val="211E1F"/>
                <w:spacing w:val="-2"/>
                <w:sz w:val="18"/>
              </w:rPr>
              <w:t xml:space="preserve"> likely.</w:t>
            </w:r>
          </w:p>
        </w:tc>
      </w:tr>
      <w:tr w:rsidR="00725977" w:rsidRPr="00D4309F" w14:paraId="0F4F3AAA" w14:textId="77777777" w:rsidTr="00151534">
        <w:trPr>
          <w:trHeight w:val="493"/>
        </w:trPr>
        <w:tc>
          <w:tcPr>
            <w:tcW w:w="686" w:type="pct"/>
            <w:tcBorders>
              <w:top w:val="single" w:sz="4" w:space="0" w:color="000000"/>
              <w:bottom w:val="single" w:sz="4" w:space="0" w:color="000000"/>
            </w:tcBorders>
            <w:shd w:val="clear" w:color="auto" w:fill="FFFF00"/>
          </w:tcPr>
          <w:p w14:paraId="706347E7" w14:textId="77777777" w:rsidR="00725977" w:rsidRPr="00D4309F" w:rsidRDefault="00725977">
            <w:pPr>
              <w:pStyle w:val="TableParagraph"/>
              <w:spacing w:before="143"/>
              <w:ind w:left="165"/>
              <w:rPr>
                <w:b/>
                <w:sz w:val="18"/>
              </w:rPr>
            </w:pPr>
            <w:r w:rsidRPr="00D4309F">
              <w:rPr>
                <w:b/>
                <w:color w:val="211E1F"/>
                <w:spacing w:val="-2"/>
                <w:sz w:val="18"/>
              </w:rPr>
              <w:t>Moderate</w:t>
            </w:r>
          </w:p>
        </w:tc>
        <w:tc>
          <w:tcPr>
            <w:tcW w:w="4314" w:type="pct"/>
            <w:tcBorders>
              <w:top w:val="single" w:sz="4" w:space="0" w:color="000000"/>
              <w:bottom w:val="single" w:sz="4" w:space="0" w:color="000000"/>
            </w:tcBorders>
          </w:tcPr>
          <w:p w14:paraId="2BCA69F2" w14:textId="77777777" w:rsidR="00725977" w:rsidRPr="00D4309F" w:rsidRDefault="00725977">
            <w:pPr>
              <w:pStyle w:val="TableParagraph"/>
              <w:spacing w:before="39"/>
              <w:ind w:left="165" w:right="155"/>
              <w:rPr>
                <w:sz w:val="18"/>
              </w:rPr>
            </w:pPr>
            <w:r w:rsidRPr="00D4309F">
              <w:rPr>
                <w:color w:val="211E1F"/>
                <w:sz w:val="18"/>
              </w:rPr>
              <w:t>There</w:t>
            </w:r>
            <w:r w:rsidRPr="00D4309F">
              <w:rPr>
                <w:color w:val="211E1F"/>
                <w:spacing w:val="-3"/>
                <w:sz w:val="18"/>
              </w:rPr>
              <w:t xml:space="preserve"> </w:t>
            </w:r>
            <w:r w:rsidRPr="00D4309F">
              <w:rPr>
                <w:color w:val="211E1F"/>
                <w:sz w:val="18"/>
              </w:rPr>
              <w:t>is</w:t>
            </w:r>
            <w:r w:rsidRPr="00D4309F">
              <w:rPr>
                <w:color w:val="211E1F"/>
                <w:spacing w:val="-2"/>
                <w:sz w:val="18"/>
              </w:rPr>
              <w:t xml:space="preserve"> </w:t>
            </w:r>
            <w:r w:rsidRPr="00D4309F">
              <w:rPr>
                <w:color w:val="211E1F"/>
                <w:sz w:val="18"/>
              </w:rPr>
              <w:t>a</w:t>
            </w:r>
            <w:r w:rsidRPr="00D4309F">
              <w:rPr>
                <w:color w:val="211E1F"/>
                <w:spacing w:val="-3"/>
                <w:sz w:val="18"/>
              </w:rPr>
              <w:t xml:space="preserve"> </w:t>
            </w:r>
            <w:r w:rsidRPr="00D4309F">
              <w:rPr>
                <w:color w:val="211E1F"/>
                <w:sz w:val="18"/>
              </w:rPr>
              <w:t>moderate</w:t>
            </w:r>
            <w:r w:rsidRPr="00D4309F">
              <w:rPr>
                <w:color w:val="211E1F"/>
                <w:spacing w:val="-3"/>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2"/>
                <w:sz w:val="18"/>
              </w:rPr>
              <w:t xml:space="preserve"> </w:t>
            </w:r>
            <w:r w:rsidRPr="00D4309F">
              <w:rPr>
                <w:color w:val="211E1F"/>
                <w:sz w:val="18"/>
              </w:rPr>
              <w:t>which</w:t>
            </w:r>
            <w:r w:rsidRPr="00D4309F">
              <w:rPr>
                <w:color w:val="211E1F"/>
                <w:spacing w:val="-3"/>
                <w:sz w:val="18"/>
              </w:rPr>
              <w:t xml:space="preserve"> </w:t>
            </w:r>
            <w:r w:rsidRPr="00D4309F">
              <w:rPr>
                <w:color w:val="211E1F"/>
                <w:sz w:val="18"/>
              </w:rPr>
              <w:t>will</w:t>
            </w:r>
            <w:r w:rsidRPr="00D4309F">
              <w:rPr>
                <w:color w:val="211E1F"/>
                <w:spacing w:val="-1"/>
                <w:sz w:val="18"/>
              </w:rPr>
              <w:t xml:space="preserve"> </w:t>
            </w:r>
            <w:r w:rsidRPr="00D4309F">
              <w:rPr>
                <w:color w:val="211E1F"/>
                <w:sz w:val="18"/>
              </w:rPr>
              <w:t>require</w:t>
            </w:r>
            <w:r w:rsidRPr="00D4309F">
              <w:rPr>
                <w:color w:val="211E1F"/>
                <w:spacing w:val="-3"/>
                <w:sz w:val="18"/>
              </w:rPr>
              <w:t xml:space="preserve"> </w:t>
            </w:r>
            <w:r w:rsidRPr="00D4309F">
              <w:rPr>
                <w:color w:val="211E1F"/>
                <w:sz w:val="18"/>
              </w:rPr>
              <w:t>further</w:t>
            </w:r>
            <w:r w:rsidRPr="00D4309F">
              <w:rPr>
                <w:color w:val="211E1F"/>
                <w:spacing w:val="-1"/>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to</w:t>
            </w:r>
            <w:r w:rsidRPr="00D4309F">
              <w:rPr>
                <w:color w:val="211E1F"/>
                <w:spacing w:val="-1"/>
                <w:sz w:val="18"/>
              </w:rPr>
              <w:t xml:space="preserve"> </w:t>
            </w:r>
            <w:r w:rsidRPr="00D4309F">
              <w:rPr>
                <w:color w:val="211E1F"/>
                <w:sz w:val="18"/>
              </w:rPr>
              <w:t>determine</w:t>
            </w:r>
            <w:r w:rsidRPr="00D4309F">
              <w:rPr>
                <w:color w:val="211E1F"/>
                <w:spacing w:val="-3"/>
                <w:sz w:val="18"/>
              </w:rPr>
              <w:t xml:space="preserve"> </w:t>
            </w:r>
            <w:r w:rsidRPr="00D4309F">
              <w:rPr>
                <w:color w:val="211E1F"/>
                <w:sz w:val="18"/>
              </w:rPr>
              <w:t>the</w:t>
            </w:r>
            <w:r w:rsidRPr="00D4309F">
              <w:rPr>
                <w:color w:val="211E1F"/>
                <w:spacing w:val="-1"/>
                <w:sz w:val="18"/>
              </w:rPr>
              <w:t xml:space="preserve"> </w:t>
            </w:r>
            <w:r w:rsidRPr="00D4309F">
              <w:rPr>
                <w:color w:val="211E1F"/>
                <w:sz w:val="18"/>
              </w:rPr>
              <w:t>significance</w:t>
            </w:r>
            <w:r w:rsidRPr="00D4309F">
              <w:rPr>
                <w:color w:val="211E1F"/>
                <w:spacing w:val="-3"/>
                <w:sz w:val="18"/>
              </w:rPr>
              <w:t xml:space="preserve"> </w:t>
            </w:r>
            <w:r w:rsidRPr="00D4309F">
              <w:rPr>
                <w:color w:val="211E1F"/>
                <w:sz w:val="18"/>
              </w:rPr>
              <w:t>of</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Likely</w:t>
            </w:r>
            <w:r w:rsidRPr="00D4309F">
              <w:rPr>
                <w:color w:val="211E1F"/>
                <w:spacing w:val="-2"/>
                <w:sz w:val="18"/>
              </w:rPr>
              <w:t xml:space="preserve"> </w:t>
            </w:r>
            <w:r w:rsidRPr="00D4309F">
              <w:rPr>
                <w:color w:val="211E1F"/>
                <w:sz w:val="18"/>
              </w:rPr>
              <w:t>to be manageable or engineered to minimise potential impacts on the receiving environment.</w:t>
            </w:r>
          </w:p>
        </w:tc>
      </w:tr>
      <w:tr w:rsidR="00725977" w:rsidRPr="00D4309F" w14:paraId="3BC17B8C" w14:textId="77777777" w:rsidTr="00151534">
        <w:trPr>
          <w:trHeight w:val="494"/>
        </w:trPr>
        <w:tc>
          <w:tcPr>
            <w:tcW w:w="686" w:type="pct"/>
            <w:tcBorders>
              <w:top w:val="single" w:sz="4" w:space="0" w:color="000000"/>
            </w:tcBorders>
            <w:shd w:val="clear" w:color="auto" w:fill="FFC000"/>
          </w:tcPr>
          <w:p w14:paraId="6D8A45C0" w14:textId="77777777" w:rsidR="00725977" w:rsidRPr="00D4309F" w:rsidRDefault="00725977">
            <w:pPr>
              <w:pStyle w:val="TableParagraph"/>
              <w:spacing w:before="143"/>
              <w:ind w:left="165"/>
              <w:rPr>
                <w:b/>
                <w:sz w:val="18"/>
              </w:rPr>
            </w:pPr>
            <w:r w:rsidRPr="00D4309F">
              <w:rPr>
                <w:b/>
                <w:color w:val="211E1F"/>
                <w:spacing w:val="-4"/>
                <w:sz w:val="18"/>
              </w:rPr>
              <w:t>High</w:t>
            </w:r>
          </w:p>
        </w:tc>
        <w:tc>
          <w:tcPr>
            <w:tcW w:w="4314" w:type="pct"/>
            <w:tcBorders>
              <w:top w:val="single" w:sz="4" w:space="0" w:color="000000"/>
            </w:tcBorders>
          </w:tcPr>
          <w:p w14:paraId="6CA2C737" w14:textId="77777777" w:rsidR="00725977" w:rsidRPr="00D4309F" w:rsidRDefault="00725977">
            <w:pPr>
              <w:pStyle w:val="TableParagraph"/>
              <w:spacing w:before="39"/>
              <w:ind w:left="165" w:right="155"/>
              <w:rPr>
                <w:sz w:val="18"/>
              </w:rPr>
            </w:pPr>
            <w:r w:rsidRPr="00D4309F">
              <w:rPr>
                <w:color w:val="211E1F"/>
                <w:sz w:val="18"/>
              </w:rPr>
              <w:t>There</w:t>
            </w:r>
            <w:r w:rsidRPr="00D4309F">
              <w:rPr>
                <w:color w:val="211E1F"/>
                <w:spacing w:val="-3"/>
                <w:sz w:val="18"/>
              </w:rPr>
              <w:t xml:space="preserve"> </w:t>
            </w:r>
            <w:r w:rsidRPr="00D4309F">
              <w:rPr>
                <w:color w:val="211E1F"/>
                <w:sz w:val="18"/>
              </w:rPr>
              <w:t>is</w:t>
            </w:r>
            <w:r w:rsidRPr="00D4309F">
              <w:rPr>
                <w:color w:val="211E1F"/>
                <w:spacing w:val="-2"/>
                <w:sz w:val="18"/>
              </w:rPr>
              <w:t xml:space="preserve"> </w:t>
            </w:r>
            <w:r w:rsidRPr="00D4309F">
              <w:rPr>
                <w:color w:val="211E1F"/>
                <w:sz w:val="18"/>
              </w:rPr>
              <w:t>a</w:t>
            </w:r>
            <w:r w:rsidRPr="00D4309F">
              <w:rPr>
                <w:color w:val="211E1F"/>
                <w:spacing w:val="-3"/>
                <w:sz w:val="18"/>
              </w:rPr>
              <w:t xml:space="preserve"> </w:t>
            </w:r>
            <w:r w:rsidRPr="00D4309F">
              <w:rPr>
                <w:color w:val="211E1F"/>
                <w:sz w:val="18"/>
              </w:rPr>
              <w:t>high</w:t>
            </w:r>
            <w:r w:rsidRPr="00D4309F">
              <w:rPr>
                <w:color w:val="211E1F"/>
                <w:spacing w:val="-1"/>
                <w:sz w:val="18"/>
              </w:rPr>
              <w:t xml:space="preserve"> </w:t>
            </w:r>
            <w:r w:rsidRPr="00D4309F">
              <w:rPr>
                <w:color w:val="211E1F"/>
                <w:sz w:val="18"/>
              </w:rPr>
              <w:t>potential</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sensitive</w:t>
            </w:r>
            <w:r w:rsidRPr="00D4309F">
              <w:rPr>
                <w:color w:val="211E1F"/>
                <w:spacing w:val="-3"/>
                <w:sz w:val="18"/>
              </w:rPr>
              <w:t xml:space="preserve"> </w:t>
            </w:r>
            <w:r w:rsidRPr="00D4309F">
              <w:rPr>
                <w:color w:val="211E1F"/>
                <w:sz w:val="18"/>
              </w:rPr>
              <w:t>receptor.</w:t>
            </w:r>
            <w:r w:rsidRPr="00D4309F">
              <w:rPr>
                <w:color w:val="211E1F"/>
                <w:spacing w:val="-2"/>
                <w:sz w:val="18"/>
              </w:rPr>
              <w:t xml:space="preserve"> </w:t>
            </w:r>
            <w:r w:rsidRPr="00D4309F">
              <w:rPr>
                <w:color w:val="211E1F"/>
                <w:sz w:val="18"/>
              </w:rPr>
              <w:t>Further</w:t>
            </w:r>
            <w:r w:rsidRPr="00D4309F">
              <w:rPr>
                <w:color w:val="211E1F"/>
                <w:spacing w:val="-2"/>
                <w:sz w:val="18"/>
              </w:rPr>
              <w:t xml:space="preserve"> </w:t>
            </w:r>
            <w:r w:rsidRPr="00D4309F">
              <w:rPr>
                <w:color w:val="211E1F"/>
                <w:sz w:val="18"/>
              </w:rPr>
              <w:t>assessment</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required</w:t>
            </w:r>
            <w:r w:rsidRPr="00D4309F">
              <w:rPr>
                <w:color w:val="211E1F"/>
                <w:spacing w:val="-3"/>
                <w:sz w:val="18"/>
              </w:rPr>
              <w:t xml:space="preserve"> </w:t>
            </w:r>
            <w:r w:rsidRPr="00D4309F">
              <w:rPr>
                <w:color w:val="211E1F"/>
                <w:sz w:val="18"/>
              </w:rPr>
              <w:t>to</w:t>
            </w:r>
            <w:r w:rsidRPr="00D4309F">
              <w:rPr>
                <w:color w:val="211E1F"/>
                <w:spacing w:val="-3"/>
                <w:sz w:val="18"/>
              </w:rPr>
              <w:t xml:space="preserve"> </w:t>
            </w:r>
            <w:r w:rsidRPr="00D4309F">
              <w:rPr>
                <w:color w:val="211E1F"/>
                <w:sz w:val="18"/>
              </w:rPr>
              <w:t>determine</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significance</w:t>
            </w:r>
            <w:r w:rsidRPr="00D4309F">
              <w:rPr>
                <w:color w:val="211E1F"/>
                <w:spacing w:val="-1"/>
                <w:sz w:val="18"/>
              </w:rPr>
              <w:t xml:space="preserve"> </w:t>
            </w:r>
            <w:r w:rsidRPr="00D4309F">
              <w:rPr>
                <w:color w:val="211E1F"/>
                <w:sz w:val="18"/>
              </w:rPr>
              <w:t>of</w:t>
            </w:r>
            <w:r w:rsidRPr="00D4309F">
              <w:rPr>
                <w:color w:val="211E1F"/>
                <w:spacing w:val="-2"/>
                <w:sz w:val="18"/>
              </w:rPr>
              <w:t xml:space="preserve"> </w:t>
            </w:r>
            <w:r w:rsidRPr="00D4309F">
              <w:rPr>
                <w:color w:val="211E1F"/>
                <w:sz w:val="18"/>
              </w:rPr>
              <w:t>impact</w:t>
            </w:r>
            <w:r w:rsidRPr="00D4309F">
              <w:rPr>
                <w:color w:val="211E1F"/>
                <w:spacing w:val="-2"/>
                <w:sz w:val="18"/>
              </w:rPr>
              <w:t xml:space="preserve"> </w:t>
            </w:r>
            <w:r w:rsidRPr="00D4309F">
              <w:rPr>
                <w:color w:val="211E1F"/>
                <w:sz w:val="18"/>
              </w:rPr>
              <w:t>and</w:t>
            </w:r>
            <w:r w:rsidRPr="00D4309F">
              <w:rPr>
                <w:color w:val="211E1F"/>
                <w:spacing w:val="-3"/>
                <w:sz w:val="18"/>
              </w:rPr>
              <w:t xml:space="preserve"> </w:t>
            </w:r>
            <w:r w:rsidRPr="00D4309F">
              <w:rPr>
                <w:color w:val="211E1F"/>
                <w:sz w:val="18"/>
              </w:rPr>
              <w:t>mitigation strategy. Consideration for regulatory approvals.</w:t>
            </w:r>
          </w:p>
        </w:tc>
      </w:tr>
    </w:tbl>
    <w:p w14:paraId="08AD795D" w14:textId="2EEE360A" w:rsidR="00725977" w:rsidRPr="00D4309F" w:rsidRDefault="00725977" w:rsidP="00151534">
      <w:pPr>
        <w:pStyle w:val="BodyText"/>
      </w:pPr>
      <w:bookmarkStart w:id="550" w:name="_bookmark199"/>
      <w:bookmarkEnd w:id="550"/>
    </w:p>
    <w:p w14:paraId="02158D8D" w14:textId="1D2CA694" w:rsidR="00725977" w:rsidRPr="00D4309F" w:rsidRDefault="00151534" w:rsidP="007774EC">
      <w:pPr>
        <w:pStyle w:val="Table-Caption"/>
      </w:pPr>
      <w:bookmarkStart w:id="551" w:name="_Ref215980729"/>
      <w:bookmarkStart w:id="552" w:name="_Toc216699587"/>
      <w:r>
        <w:t xml:space="preserve">Table </w:t>
      </w:r>
      <w:r>
        <w:fldChar w:fldCharType="begin" w:fldLock="1"/>
      </w:r>
      <w:r>
        <w:instrText xml:space="preserve"> STYLEREF 1 \s </w:instrText>
      </w:r>
      <w:r>
        <w:fldChar w:fldCharType="separate"/>
      </w:r>
      <w:r>
        <w:rPr>
          <w:noProof/>
        </w:rPr>
        <w:t>17</w:t>
      </w:r>
      <w:r>
        <w:fldChar w:fldCharType="end"/>
      </w:r>
      <w:r>
        <w:noBreakHyphen/>
      </w:r>
      <w:r>
        <w:fldChar w:fldCharType="begin"/>
      </w:r>
      <w:r>
        <w:instrText xml:space="preserve"> SEQ Table \* ARABIC \s 1 </w:instrText>
      </w:r>
      <w:r>
        <w:fldChar w:fldCharType="separate"/>
      </w:r>
      <w:r w:rsidR="006D0876">
        <w:rPr>
          <w:noProof/>
        </w:rPr>
        <w:t>4</w:t>
      </w:r>
      <w:r>
        <w:fldChar w:fldCharType="end"/>
      </w:r>
      <w:bookmarkEnd w:id="551"/>
      <w:r>
        <w:t>:</w:t>
      </w:r>
      <w:r>
        <w:tab/>
      </w:r>
      <w:r w:rsidRPr="00D4309F">
        <w:t>Environmental</w:t>
      </w:r>
      <w:r w:rsidRPr="00D4309F">
        <w:rPr>
          <w:spacing w:val="-2"/>
        </w:rPr>
        <w:t xml:space="preserve"> </w:t>
      </w:r>
      <w:r w:rsidRPr="00D4309F">
        <w:t>constraints</w:t>
      </w:r>
      <w:r w:rsidRPr="00D4309F">
        <w:rPr>
          <w:spacing w:val="-3"/>
        </w:rPr>
        <w:t xml:space="preserve"> </w:t>
      </w:r>
      <w:r w:rsidRPr="00D4309F">
        <w:t>for</w:t>
      </w:r>
      <w:r w:rsidRPr="00D4309F">
        <w:rPr>
          <w:spacing w:val="-3"/>
        </w:rPr>
        <w:t xml:space="preserve"> </w:t>
      </w:r>
      <w:r w:rsidRPr="00D4309F">
        <w:t>Shorten Western Entrance Wall + Formalise Western Channel (Structural Modification) (Option</w:t>
      </w:r>
      <w:r w:rsidRPr="00D4309F">
        <w:rPr>
          <w:spacing w:val="-3"/>
        </w:rPr>
        <w:t xml:space="preserve"> </w:t>
      </w:r>
      <w:r w:rsidRPr="00D4309F">
        <w:rPr>
          <w:spacing w:val="-5"/>
        </w:rPr>
        <w:t>5B)</w:t>
      </w:r>
      <w:bookmarkEnd w:id="552"/>
    </w:p>
    <w:tbl>
      <w:tblPr>
        <w:tblW w:w="0" w:type="auto"/>
        <w:tblLayout w:type="fixed"/>
        <w:tblCellMar>
          <w:left w:w="0" w:type="dxa"/>
          <w:right w:w="0" w:type="dxa"/>
        </w:tblCellMar>
        <w:tblLook w:val="01E0" w:firstRow="1" w:lastRow="1" w:firstColumn="1" w:lastColumn="1" w:noHBand="0" w:noVBand="0"/>
      </w:tblPr>
      <w:tblGrid>
        <w:gridCol w:w="1300"/>
        <w:gridCol w:w="1961"/>
        <w:gridCol w:w="2835"/>
        <w:gridCol w:w="1417"/>
        <w:gridCol w:w="2410"/>
        <w:gridCol w:w="2126"/>
        <w:gridCol w:w="2523"/>
      </w:tblGrid>
      <w:tr w:rsidR="004C00ED" w:rsidRPr="00D4309F" w14:paraId="45F5E19F" w14:textId="77777777" w:rsidTr="003C3F36">
        <w:trPr>
          <w:cantSplit/>
          <w:trHeight w:val="20"/>
          <w:tblHeader/>
        </w:trPr>
        <w:tc>
          <w:tcPr>
            <w:tcW w:w="1300" w:type="dxa"/>
            <w:tcBorders>
              <w:bottom w:val="single" w:sz="4" w:space="0" w:color="000000"/>
            </w:tcBorders>
            <w:shd w:val="clear" w:color="auto" w:fill="D6D7D5"/>
            <w:vAlign w:val="center"/>
          </w:tcPr>
          <w:p w14:paraId="39DA6A1E" w14:textId="77777777" w:rsidR="00725977" w:rsidRPr="00D4309F" w:rsidRDefault="00725977" w:rsidP="00131333">
            <w:pPr>
              <w:pStyle w:val="TableParagraph"/>
              <w:ind w:left="195"/>
              <w:rPr>
                <w:b/>
                <w:sz w:val="18"/>
              </w:rPr>
            </w:pPr>
            <w:r w:rsidRPr="00D4309F">
              <w:rPr>
                <w:b/>
                <w:color w:val="70004A"/>
                <w:spacing w:val="-2"/>
                <w:sz w:val="18"/>
              </w:rPr>
              <w:t>Category</w:t>
            </w:r>
          </w:p>
        </w:tc>
        <w:tc>
          <w:tcPr>
            <w:tcW w:w="1961" w:type="dxa"/>
            <w:tcBorders>
              <w:bottom w:val="single" w:sz="4" w:space="0" w:color="000000"/>
            </w:tcBorders>
            <w:shd w:val="clear" w:color="auto" w:fill="D6D7D5"/>
            <w:vAlign w:val="center"/>
          </w:tcPr>
          <w:p w14:paraId="45B2BCED" w14:textId="77777777" w:rsidR="00725977" w:rsidRPr="00D4309F" w:rsidRDefault="00725977" w:rsidP="00131333">
            <w:pPr>
              <w:pStyle w:val="TableParagraph"/>
              <w:ind w:left="197"/>
              <w:rPr>
                <w:b/>
                <w:sz w:val="18"/>
              </w:rPr>
            </w:pPr>
            <w:r w:rsidRPr="00D4309F">
              <w:rPr>
                <w:b/>
                <w:color w:val="70004A"/>
                <w:spacing w:val="-2"/>
                <w:sz w:val="18"/>
              </w:rPr>
              <w:t>Receptor</w:t>
            </w:r>
          </w:p>
        </w:tc>
        <w:tc>
          <w:tcPr>
            <w:tcW w:w="2835" w:type="dxa"/>
            <w:tcBorders>
              <w:bottom w:val="single" w:sz="4" w:space="0" w:color="000000"/>
            </w:tcBorders>
            <w:shd w:val="clear" w:color="auto" w:fill="D6D7D5"/>
            <w:vAlign w:val="center"/>
          </w:tcPr>
          <w:p w14:paraId="1E612EF4" w14:textId="77777777" w:rsidR="00725977" w:rsidRPr="00D4309F" w:rsidRDefault="00725977" w:rsidP="00131333">
            <w:pPr>
              <w:pStyle w:val="TableParagraph"/>
              <w:ind w:left="257"/>
              <w:rPr>
                <w:b/>
                <w:sz w:val="18"/>
              </w:rPr>
            </w:pPr>
            <w:r w:rsidRPr="00D4309F">
              <w:rPr>
                <w:b/>
                <w:color w:val="70004A"/>
                <w:sz w:val="18"/>
              </w:rPr>
              <w:t>Impact</w:t>
            </w:r>
            <w:r w:rsidRPr="00D4309F">
              <w:rPr>
                <w:b/>
                <w:color w:val="70004A"/>
                <w:spacing w:val="-3"/>
                <w:sz w:val="18"/>
              </w:rPr>
              <w:t xml:space="preserve"> </w:t>
            </w:r>
            <w:r w:rsidRPr="00D4309F">
              <w:rPr>
                <w:b/>
                <w:color w:val="70004A"/>
                <w:spacing w:val="-2"/>
                <w:sz w:val="18"/>
              </w:rPr>
              <w:t>pathway</w:t>
            </w:r>
          </w:p>
        </w:tc>
        <w:tc>
          <w:tcPr>
            <w:tcW w:w="1417" w:type="dxa"/>
            <w:tcBorders>
              <w:bottom w:val="single" w:sz="4" w:space="0" w:color="000000"/>
            </w:tcBorders>
            <w:shd w:val="clear" w:color="auto" w:fill="D6D7D5"/>
            <w:vAlign w:val="center"/>
          </w:tcPr>
          <w:p w14:paraId="11530642" w14:textId="77777777" w:rsidR="00725977" w:rsidRPr="00D4309F" w:rsidRDefault="00725977" w:rsidP="00131333">
            <w:pPr>
              <w:pStyle w:val="TableParagraph"/>
              <w:spacing w:before="143"/>
              <w:ind w:left="164" w:right="171"/>
              <w:rPr>
                <w:b/>
                <w:sz w:val="18"/>
              </w:rPr>
            </w:pPr>
            <w:r w:rsidRPr="00D4309F">
              <w:rPr>
                <w:b/>
                <w:color w:val="70004A"/>
                <w:spacing w:val="-2"/>
                <w:sz w:val="18"/>
              </w:rPr>
              <w:t>Constraint level</w:t>
            </w:r>
          </w:p>
        </w:tc>
        <w:tc>
          <w:tcPr>
            <w:tcW w:w="2410" w:type="dxa"/>
            <w:tcBorders>
              <w:bottom w:val="single" w:sz="4" w:space="0" w:color="000000"/>
            </w:tcBorders>
            <w:shd w:val="clear" w:color="auto" w:fill="D6D7D5"/>
            <w:vAlign w:val="center"/>
          </w:tcPr>
          <w:p w14:paraId="2D9416B8" w14:textId="77777777" w:rsidR="00725977" w:rsidRPr="00D4309F" w:rsidRDefault="00725977" w:rsidP="00131333">
            <w:pPr>
              <w:pStyle w:val="TableParagraph"/>
              <w:ind w:left="164"/>
              <w:rPr>
                <w:b/>
                <w:sz w:val="18"/>
              </w:rPr>
            </w:pPr>
            <w:r w:rsidRPr="00D4309F">
              <w:rPr>
                <w:b/>
                <w:color w:val="70004A"/>
                <w:spacing w:val="-2"/>
                <w:sz w:val="18"/>
              </w:rPr>
              <w:t>Justification</w:t>
            </w:r>
          </w:p>
        </w:tc>
        <w:tc>
          <w:tcPr>
            <w:tcW w:w="2126" w:type="dxa"/>
            <w:tcBorders>
              <w:bottom w:val="single" w:sz="4" w:space="0" w:color="000000"/>
            </w:tcBorders>
            <w:shd w:val="clear" w:color="auto" w:fill="D6D7D5"/>
            <w:vAlign w:val="center"/>
          </w:tcPr>
          <w:p w14:paraId="25384F09" w14:textId="77777777" w:rsidR="00725977" w:rsidRPr="00D4309F" w:rsidRDefault="00725977" w:rsidP="00131333">
            <w:pPr>
              <w:pStyle w:val="TableParagraph"/>
              <w:spacing w:before="143"/>
              <w:ind w:left="227" w:right="165"/>
              <w:rPr>
                <w:b/>
                <w:sz w:val="18"/>
              </w:rPr>
            </w:pPr>
            <w:r w:rsidRPr="00D4309F">
              <w:rPr>
                <w:b/>
                <w:color w:val="70004A"/>
                <w:sz w:val="18"/>
              </w:rPr>
              <w:t>Further</w:t>
            </w:r>
            <w:r w:rsidRPr="00D4309F">
              <w:rPr>
                <w:b/>
                <w:color w:val="70004A"/>
                <w:spacing w:val="-13"/>
                <w:sz w:val="18"/>
              </w:rPr>
              <w:t xml:space="preserve"> </w:t>
            </w:r>
            <w:r w:rsidRPr="00D4309F">
              <w:rPr>
                <w:b/>
                <w:color w:val="70004A"/>
                <w:sz w:val="18"/>
              </w:rPr>
              <w:t xml:space="preserve">assessment </w:t>
            </w:r>
            <w:r w:rsidRPr="00D4309F">
              <w:rPr>
                <w:b/>
                <w:color w:val="70004A"/>
                <w:spacing w:val="-2"/>
                <w:sz w:val="18"/>
              </w:rPr>
              <w:t>recommendations</w:t>
            </w:r>
          </w:p>
        </w:tc>
        <w:tc>
          <w:tcPr>
            <w:tcW w:w="2523" w:type="dxa"/>
            <w:tcBorders>
              <w:bottom w:val="single" w:sz="4" w:space="0" w:color="000000"/>
            </w:tcBorders>
            <w:shd w:val="clear" w:color="auto" w:fill="D6D7D5"/>
            <w:vAlign w:val="center"/>
          </w:tcPr>
          <w:p w14:paraId="7C3CDCF7" w14:textId="77777777" w:rsidR="00725977" w:rsidRPr="00D4309F" w:rsidRDefault="00725977" w:rsidP="00131333">
            <w:pPr>
              <w:pStyle w:val="TableParagraph"/>
              <w:spacing w:before="38"/>
              <w:ind w:left="202" w:right="324"/>
              <w:rPr>
                <w:b/>
                <w:sz w:val="18"/>
              </w:rPr>
            </w:pPr>
            <w:r w:rsidRPr="00D4309F">
              <w:rPr>
                <w:b/>
                <w:color w:val="70004A"/>
                <w:sz w:val="18"/>
              </w:rPr>
              <w:t>Potential</w:t>
            </w:r>
            <w:r w:rsidRPr="00D4309F">
              <w:rPr>
                <w:b/>
                <w:color w:val="70004A"/>
                <w:spacing w:val="-13"/>
                <w:sz w:val="18"/>
              </w:rPr>
              <w:t xml:space="preserve"> </w:t>
            </w:r>
            <w:r w:rsidRPr="00D4309F">
              <w:rPr>
                <w:b/>
                <w:color w:val="70004A"/>
                <w:sz w:val="18"/>
              </w:rPr>
              <w:t xml:space="preserve">monitoring and management </w:t>
            </w:r>
            <w:r w:rsidRPr="00D4309F">
              <w:rPr>
                <w:b/>
                <w:color w:val="70004A"/>
                <w:spacing w:val="-2"/>
                <w:sz w:val="18"/>
              </w:rPr>
              <w:t>requirements</w:t>
            </w:r>
          </w:p>
        </w:tc>
      </w:tr>
      <w:tr w:rsidR="004C00ED" w:rsidRPr="00D4309F" w14:paraId="781EBE1C" w14:textId="77777777" w:rsidTr="003C3F36">
        <w:trPr>
          <w:cantSplit/>
          <w:trHeight w:val="20"/>
        </w:trPr>
        <w:tc>
          <w:tcPr>
            <w:tcW w:w="1300" w:type="dxa"/>
            <w:tcBorders>
              <w:top w:val="single" w:sz="4" w:space="0" w:color="000000"/>
              <w:bottom w:val="single" w:sz="4" w:space="0" w:color="000000"/>
            </w:tcBorders>
            <w:vAlign w:val="center"/>
          </w:tcPr>
          <w:p w14:paraId="7D64AE22" w14:textId="77777777" w:rsidR="00725977" w:rsidRPr="00D4309F" w:rsidRDefault="00725977" w:rsidP="003C3F36">
            <w:pPr>
              <w:pStyle w:val="Table-Text"/>
            </w:pPr>
            <w:r w:rsidRPr="00D4309F">
              <w:t>Marine environmental quality</w:t>
            </w:r>
          </w:p>
        </w:tc>
        <w:tc>
          <w:tcPr>
            <w:tcW w:w="1961" w:type="dxa"/>
            <w:tcBorders>
              <w:top w:val="single" w:sz="4" w:space="0" w:color="000000"/>
              <w:bottom w:val="single" w:sz="4" w:space="0" w:color="000000"/>
            </w:tcBorders>
            <w:vAlign w:val="center"/>
          </w:tcPr>
          <w:p w14:paraId="1773C919" w14:textId="77777777" w:rsidR="00725977" w:rsidRPr="00D4309F" w:rsidRDefault="00725977" w:rsidP="003C3F36">
            <w:pPr>
              <w:pStyle w:val="Table-Text"/>
            </w:pPr>
            <w:r w:rsidRPr="00D4309F">
              <w:t>Water quality</w:t>
            </w:r>
          </w:p>
        </w:tc>
        <w:tc>
          <w:tcPr>
            <w:tcW w:w="2835" w:type="dxa"/>
            <w:tcBorders>
              <w:top w:val="single" w:sz="4" w:space="0" w:color="000000"/>
              <w:bottom w:val="single" w:sz="4" w:space="0" w:color="000000"/>
            </w:tcBorders>
            <w:vAlign w:val="center"/>
          </w:tcPr>
          <w:p w14:paraId="1E588495" w14:textId="77777777" w:rsidR="00725977" w:rsidRPr="00D4309F" w:rsidRDefault="00725977" w:rsidP="003C3F36">
            <w:pPr>
              <w:pStyle w:val="Table-Bullet"/>
            </w:pPr>
            <w:r w:rsidRPr="00D4309F">
              <w:t>Generation</w:t>
            </w:r>
            <w:r w:rsidRPr="00D4309F">
              <w:rPr>
                <w:spacing w:val="-4"/>
              </w:rPr>
              <w:t xml:space="preserve"> </w:t>
            </w:r>
            <w:r w:rsidRPr="00D4309F">
              <w:t>of</w:t>
            </w:r>
            <w:r w:rsidRPr="00D4309F">
              <w:rPr>
                <w:spacing w:val="-3"/>
              </w:rPr>
              <w:t xml:space="preserve"> </w:t>
            </w:r>
            <w:r w:rsidRPr="00D4309F">
              <w:rPr>
                <w:spacing w:val="-2"/>
              </w:rPr>
              <w:t>turbidity</w:t>
            </w:r>
          </w:p>
        </w:tc>
        <w:tc>
          <w:tcPr>
            <w:tcW w:w="1417" w:type="dxa"/>
            <w:tcBorders>
              <w:top w:val="single" w:sz="4" w:space="0" w:color="000000"/>
              <w:bottom w:val="single" w:sz="4" w:space="0" w:color="000000"/>
            </w:tcBorders>
            <w:shd w:val="clear" w:color="auto" w:fill="FFC000"/>
            <w:vAlign w:val="center"/>
          </w:tcPr>
          <w:p w14:paraId="74FB3D6B" w14:textId="77777777" w:rsidR="00725977" w:rsidRPr="00D4309F" w:rsidRDefault="00725977" w:rsidP="00131333">
            <w:pPr>
              <w:pStyle w:val="TableParagraph"/>
              <w:ind w:left="206" w:right="206" w:firstLine="1"/>
              <w:rPr>
                <w:b/>
                <w:sz w:val="18"/>
              </w:rPr>
            </w:pPr>
            <w:r w:rsidRPr="00D4309F">
              <w:rPr>
                <w:b/>
                <w:color w:val="211E1F"/>
                <w:sz w:val="18"/>
              </w:rPr>
              <w:t>High (for rock</w:t>
            </w:r>
            <w:r w:rsidRPr="00D4309F">
              <w:rPr>
                <w:b/>
                <w:color w:val="211E1F"/>
                <w:spacing w:val="-13"/>
                <w:sz w:val="18"/>
              </w:rPr>
              <w:t xml:space="preserve"> </w:t>
            </w:r>
            <w:r w:rsidRPr="00D4309F">
              <w:rPr>
                <w:b/>
                <w:color w:val="211E1F"/>
                <w:sz w:val="18"/>
              </w:rPr>
              <w:t xml:space="preserve">cutting </w:t>
            </w:r>
            <w:r w:rsidRPr="00D4309F">
              <w:rPr>
                <w:b/>
                <w:color w:val="211E1F"/>
                <w:spacing w:val="-4"/>
                <w:sz w:val="18"/>
              </w:rPr>
              <w:t xml:space="preserve">and </w:t>
            </w:r>
            <w:r w:rsidRPr="00D4309F">
              <w:rPr>
                <w:b/>
                <w:color w:val="211E1F"/>
                <w:spacing w:val="-2"/>
                <w:sz w:val="18"/>
              </w:rPr>
              <w:t>breakwater removal)</w:t>
            </w:r>
          </w:p>
        </w:tc>
        <w:tc>
          <w:tcPr>
            <w:tcW w:w="2410" w:type="dxa"/>
            <w:tcBorders>
              <w:top w:val="single" w:sz="4" w:space="0" w:color="000000"/>
              <w:bottom w:val="single" w:sz="4" w:space="0" w:color="000000"/>
            </w:tcBorders>
            <w:vAlign w:val="center"/>
          </w:tcPr>
          <w:p w14:paraId="657029D4" w14:textId="77777777" w:rsidR="00725977" w:rsidRPr="00D4309F" w:rsidRDefault="00725977" w:rsidP="003C3F36">
            <w:pPr>
              <w:pStyle w:val="Table-Bullet"/>
            </w:pPr>
            <w:r w:rsidRPr="00D4309F">
              <w:t>An assessment of the predicted plume extent will inform the extent of turbidity related impacts however as this</w:t>
            </w:r>
            <w:r w:rsidRPr="00D4309F">
              <w:rPr>
                <w:spacing w:val="-8"/>
              </w:rPr>
              <w:t xml:space="preserve"> </w:t>
            </w:r>
            <w:r w:rsidRPr="00D4309F">
              <w:t>is</w:t>
            </w:r>
            <w:r w:rsidRPr="00D4309F">
              <w:rPr>
                <w:spacing w:val="-8"/>
              </w:rPr>
              <w:t xml:space="preserve"> </w:t>
            </w:r>
            <w:r w:rsidRPr="00D4309F">
              <w:t>a</w:t>
            </w:r>
            <w:r w:rsidRPr="00D4309F">
              <w:rPr>
                <w:spacing w:val="-9"/>
              </w:rPr>
              <w:t xml:space="preserve"> </w:t>
            </w:r>
            <w:r w:rsidRPr="00D4309F">
              <w:t>dynamic,</w:t>
            </w:r>
            <w:r w:rsidRPr="00D4309F">
              <w:rPr>
                <w:spacing w:val="-8"/>
              </w:rPr>
              <w:t xml:space="preserve"> </w:t>
            </w:r>
            <w:r w:rsidRPr="00D4309F">
              <w:t>open</w:t>
            </w:r>
            <w:r w:rsidRPr="00D4309F">
              <w:rPr>
                <w:spacing w:val="-9"/>
              </w:rPr>
              <w:t xml:space="preserve"> </w:t>
            </w:r>
            <w:r w:rsidRPr="00D4309F">
              <w:t>ocean environment, any plume will likely dissipate quickly</w:t>
            </w:r>
          </w:p>
          <w:p w14:paraId="1B01A2E1" w14:textId="77777777" w:rsidR="00725977" w:rsidRPr="00D4309F" w:rsidRDefault="00725977" w:rsidP="003C3F36">
            <w:pPr>
              <w:pStyle w:val="Table-Bullet"/>
            </w:pPr>
            <w:r w:rsidRPr="00D4309F">
              <w:t>Turbidity</w:t>
            </w:r>
            <w:r w:rsidRPr="00D4309F">
              <w:rPr>
                <w:spacing w:val="-8"/>
              </w:rPr>
              <w:t xml:space="preserve"> </w:t>
            </w:r>
            <w:r w:rsidRPr="00D4309F">
              <w:t>is</w:t>
            </w:r>
            <w:r w:rsidRPr="00D4309F">
              <w:rPr>
                <w:spacing w:val="-8"/>
              </w:rPr>
              <w:t xml:space="preserve"> </w:t>
            </w:r>
            <w:r w:rsidRPr="00D4309F">
              <w:t>likely</w:t>
            </w:r>
            <w:r w:rsidRPr="00D4309F">
              <w:rPr>
                <w:spacing w:val="-8"/>
              </w:rPr>
              <w:t xml:space="preserve"> </w:t>
            </w:r>
            <w:r w:rsidRPr="00D4309F">
              <w:t>to</w:t>
            </w:r>
            <w:r w:rsidRPr="00D4309F">
              <w:rPr>
                <w:spacing w:val="-9"/>
              </w:rPr>
              <w:t xml:space="preserve"> </w:t>
            </w:r>
            <w:r w:rsidRPr="00D4309F">
              <w:t>be</w:t>
            </w:r>
            <w:r w:rsidRPr="00D4309F">
              <w:rPr>
                <w:spacing w:val="-9"/>
              </w:rPr>
              <w:t xml:space="preserve"> </w:t>
            </w:r>
            <w:r w:rsidRPr="00D4309F">
              <w:t>more extensive and persistent during breakwater removal and rock cutting works</w:t>
            </w:r>
          </w:p>
        </w:tc>
        <w:tc>
          <w:tcPr>
            <w:tcW w:w="2126" w:type="dxa"/>
            <w:tcBorders>
              <w:top w:val="single" w:sz="4" w:space="0" w:color="000000"/>
              <w:bottom w:val="single" w:sz="4" w:space="0" w:color="000000"/>
            </w:tcBorders>
            <w:vAlign w:val="center"/>
          </w:tcPr>
          <w:p w14:paraId="1A709895" w14:textId="77777777" w:rsidR="00725977" w:rsidRPr="00D4309F" w:rsidRDefault="00725977" w:rsidP="003C3F36">
            <w:pPr>
              <w:pStyle w:val="Table-Bullet"/>
            </w:pPr>
            <w:r w:rsidRPr="00D4309F">
              <w:t>Turbidity</w:t>
            </w:r>
            <w:r w:rsidRPr="00D4309F">
              <w:rPr>
                <w:spacing w:val="-5"/>
              </w:rPr>
              <w:t xml:space="preserve"> </w:t>
            </w:r>
            <w:r w:rsidRPr="00D4309F">
              <w:rPr>
                <w:spacing w:val="-2"/>
              </w:rPr>
              <w:t>modelling</w:t>
            </w:r>
          </w:p>
        </w:tc>
        <w:tc>
          <w:tcPr>
            <w:tcW w:w="2523" w:type="dxa"/>
            <w:tcBorders>
              <w:top w:val="single" w:sz="4" w:space="0" w:color="000000"/>
              <w:bottom w:val="single" w:sz="4" w:space="0" w:color="000000"/>
            </w:tcBorders>
            <w:vAlign w:val="center"/>
          </w:tcPr>
          <w:p w14:paraId="13436B82" w14:textId="77777777" w:rsidR="00725977" w:rsidRPr="00D4309F" w:rsidRDefault="00725977" w:rsidP="003C3F36">
            <w:pPr>
              <w:pStyle w:val="Table-Bullet"/>
            </w:pPr>
            <w:r w:rsidRPr="00D4309F">
              <w:t>Turbidity</w:t>
            </w:r>
            <w:r w:rsidRPr="00D4309F">
              <w:rPr>
                <w:spacing w:val="-13"/>
              </w:rPr>
              <w:t xml:space="preserve"> </w:t>
            </w:r>
            <w:r w:rsidRPr="00D4309F">
              <w:t>monitoring during works</w:t>
            </w:r>
          </w:p>
          <w:p w14:paraId="1C801127" w14:textId="77777777" w:rsidR="00725977" w:rsidRPr="00D4309F" w:rsidRDefault="00725977" w:rsidP="003C3F36">
            <w:pPr>
              <w:pStyle w:val="Table-Bullet"/>
            </w:pPr>
            <w:r w:rsidRPr="00D4309F">
              <w:t xml:space="preserve">Standard turbidity </w:t>
            </w:r>
            <w:r w:rsidRPr="00D4309F">
              <w:rPr>
                <w:spacing w:val="-2"/>
              </w:rPr>
              <w:t xml:space="preserve">mitigation </w:t>
            </w:r>
            <w:r w:rsidRPr="00D4309F">
              <w:t>procedures</w:t>
            </w:r>
            <w:r w:rsidRPr="00D4309F">
              <w:rPr>
                <w:spacing w:val="-15"/>
              </w:rPr>
              <w:t xml:space="preserve"> </w:t>
            </w:r>
            <w:r w:rsidRPr="00D4309F">
              <w:t>e.g.</w:t>
            </w:r>
            <w:r w:rsidRPr="00D4309F">
              <w:rPr>
                <w:spacing w:val="-12"/>
              </w:rPr>
              <w:t xml:space="preserve"> </w:t>
            </w:r>
            <w:r w:rsidRPr="00D4309F">
              <w:t>silt curtains,</w:t>
            </w:r>
            <w:r w:rsidRPr="00D4309F">
              <w:rPr>
                <w:spacing w:val="-15"/>
              </w:rPr>
              <w:t xml:space="preserve"> </w:t>
            </w:r>
            <w:r w:rsidRPr="00D4309F">
              <w:t>staging</w:t>
            </w:r>
            <w:r w:rsidRPr="00D4309F">
              <w:rPr>
                <w:spacing w:val="-12"/>
              </w:rPr>
              <w:t xml:space="preserve"> </w:t>
            </w:r>
            <w:r w:rsidRPr="00D4309F">
              <w:t xml:space="preserve">of </w:t>
            </w:r>
            <w:r w:rsidRPr="00D4309F">
              <w:rPr>
                <w:spacing w:val="-2"/>
              </w:rPr>
              <w:t>works</w:t>
            </w:r>
          </w:p>
        </w:tc>
      </w:tr>
      <w:tr w:rsidR="00131333" w:rsidRPr="00D4309F" w14:paraId="1CD2E7D7" w14:textId="77777777" w:rsidTr="003C3F36">
        <w:trPr>
          <w:cantSplit/>
          <w:trHeight w:val="20"/>
        </w:trPr>
        <w:tc>
          <w:tcPr>
            <w:tcW w:w="1300" w:type="dxa"/>
            <w:tcBorders>
              <w:top w:val="single" w:sz="4" w:space="0" w:color="000000"/>
              <w:bottom w:val="single" w:sz="4" w:space="0" w:color="000000"/>
            </w:tcBorders>
            <w:vAlign w:val="center"/>
          </w:tcPr>
          <w:p w14:paraId="3371A6C9" w14:textId="6525C1B1" w:rsidR="004C00ED" w:rsidRPr="00D4309F" w:rsidRDefault="004C00ED" w:rsidP="003C3F36">
            <w:pPr>
              <w:pStyle w:val="Table-Text"/>
            </w:pPr>
            <w:r w:rsidRPr="00D4309F">
              <w:lastRenderedPageBreak/>
              <w:t>Marine environmental quality</w:t>
            </w:r>
          </w:p>
        </w:tc>
        <w:tc>
          <w:tcPr>
            <w:tcW w:w="1961" w:type="dxa"/>
            <w:tcBorders>
              <w:top w:val="single" w:sz="4" w:space="0" w:color="000000"/>
              <w:bottom w:val="single" w:sz="4" w:space="0" w:color="000000"/>
            </w:tcBorders>
            <w:vAlign w:val="center"/>
          </w:tcPr>
          <w:p w14:paraId="2A184117" w14:textId="7484A00E" w:rsidR="004C00ED" w:rsidRPr="00D4309F" w:rsidRDefault="004C00ED" w:rsidP="003C3F36">
            <w:pPr>
              <w:pStyle w:val="Table-Text"/>
            </w:pPr>
            <w:r w:rsidRPr="00D4309F">
              <w:t>Water quality</w:t>
            </w:r>
          </w:p>
        </w:tc>
        <w:tc>
          <w:tcPr>
            <w:tcW w:w="2835" w:type="dxa"/>
            <w:tcBorders>
              <w:top w:val="single" w:sz="4" w:space="0" w:color="000000"/>
              <w:bottom w:val="single" w:sz="4" w:space="0" w:color="000000"/>
            </w:tcBorders>
            <w:vAlign w:val="center"/>
          </w:tcPr>
          <w:p w14:paraId="7F85E18C" w14:textId="1EFD237D" w:rsidR="004C00ED" w:rsidRPr="00D4309F" w:rsidRDefault="004C00ED" w:rsidP="003C3F36">
            <w:pPr>
              <w:pStyle w:val="Table-Bullet"/>
            </w:pPr>
            <w:r w:rsidRPr="00D4309F">
              <w:t xml:space="preserve">Release of </w:t>
            </w:r>
            <w:r w:rsidRPr="00D4309F">
              <w:rPr>
                <w:spacing w:val="-2"/>
              </w:rPr>
              <w:t>contaminants/hypoxia</w:t>
            </w:r>
          </w:p>
        </w:tc>
        <w:tc>
          <w:tcPr>
            <w:tcW w:w="1417" w:type="dxa"/>
            <w:tcBorders>
              <w:top w:val="single" w:sz="4" w:space="0" w:color="000000"/>
              <w:bottom w:val="single" w:sz="4" w:space="0" w:color="000000"/>
            </w:tcBorders>
            <w:shd w:val="clear" w:color="auto" w:fill="92D050"/>
            <w:vAlign w:val="center"/>
          </w:tcPr>
          <w:p w14:paraId="4E2AC207" w14:textId="70472330" w:rsidR="004C00ED" w:rsidRPr="00D4309F" w:rsidRDefault="004C00ED" w:rsidP="00131333">
            <w:pPr>
              <w:pStyle w:val="TableParagraph"/>
              <w:ind w:left="206" w:right="206" w:firstLine="1"/>
              <w:rPr>
                <w:b/>
                <w:color w:val="211E1F"/>
                <w:sz w:val="18"/>
              </w:rPr>
            </w:pPr>
            <w:r w:rsidRPr="00D4309F">
              <w:rPr>
                <w:b/>
                <w:color w:val="211E1F"/>
                <w:spacing w:val="-5"/>
                <w:sz w:val="18"/>
              </w:rPr>
              <w:t>Low</w:t>
            </w:r>
          </w:p>
        </w:tc>
        <w:tc>
          <w:tcPr>
            <w:tcW w:w="2410" w:type="dxa"/>
            <w:tcBorders>
              <w:top w:val="single" w:sz="4" w:space="0" w:color="000000"/>
              <w:bottom w:val="single" w:sz="4" w:space="0" w:color="000000"/>
            </w:tcBorders>
            <w:vAlign w:val="center"/>
          </w:tcPr>
          <w:p w14:paraId="741DCBCA" w14:textId="77777777" w:rsidR="004C00ED" w:rsidRPr="00D4309F" w:rsidRDefault="004C00ED" w:rsidP="003C3F36">
            <w:pPr>
              <w:pStyle w:val="Table-Bullet"/>
            </w:pPr>
            <w:r w:rsidRPr="00D4309F">
              <w:t>Dredge sediments likely comprise clean marine sand free</w:t>
            </w:r>
            <w:r w:rsidRPr="00D4309F">
              <w:rPr>
                <w:spacing w:val="-11"/>
              </w:rPr>
              <w:t xml:space="preserve"> </w:t>
            </w:r>
            <w:r w:rsidRPr="00D4309F">
              <w:t>of</w:t>
            </w:r>
            <w:r w:rsidRPr="00D4309F">
              <w:rPr>
                <w:spacing w:val="-10"/>
              </w:rPr>
              <w:t xml:space="preserve"> </w:t>
            </w:r>
            <w:r w:rsidRPr="00D4309F">
              <w:t>contaminants</w:t>
            </w:r>
            <w:r w:rsidRPr="00D4309F">
              <w:rPr>
                <w:spacing w:val="-10"/>
              </w:rPr>
              <w:t xml:space="preserve"> </w:t>
            </w:r>
            <w:r w:rsidRPr="00D4309F">
              <w:t>with</w:t>
            </w:r>
            <w:r w:rsidRPr="00D4309F">
              <w:rPr>
                <w:spacing w:val="-11"/>
              </w:rPr>
              <w:t xml:space="preserve"> </w:t>
            </w:r>
            <w:r w:rsidRPr="00D4309F">
              <w:t>low organic matter content</w:t>
            </w:r>
          </w:p>
          <w:p w14:paraId="361FFF31" w14:textId="77777777" w:rsidR="004C00ED" w:rsidRPr="00D4309F" w:rsidRDefault="004C00ED" w:rsidP="003C3F36">
            <w:pPr>
              <w:pStyle w:val="Table-Bullet"/>
            </w:pPr>
            <w:r w:rsidRPr="00D4309F">
              <w:t>Breakwater materials assumed</w:t>
            </w:r>
            <w:r w:rsidRPr="00D4309F">
              <w:rPr>
                <w:spacing w:val="-10"/>
              </w:rPr>
              <w:t xml:space="preserve"> </w:t>
            </w:r>
            <w:r w:rsidRPr="00D4309F">
              <w:t>to</w:t>
            </w:r>
            <w:r w:rsidRPr="00D4309F">
              <w:rPr>
                <w:spacing w:val="-10"/>
              </w:rPr>
              <w:t xml:space="preserve"> </w:t>
            </w:r>
            <w:r w:rsidRPr="00D4309F">
              <w:t>be</w:t>
            </w:r>
            <w:r w:rsidRPr="00D4309F">
              <w:rPr>
                <w:spacing w:val="-9"/>
              </w:rPr>
              <w:t xml:space="preserve"> </w:t>
            </w:r>
            <w:r w:rsidRPr="00D4309F">
              <w:t>free</w:t>
            </w:r>
            <w:r w:rsidRPr="00D4309F">
              <w:rPr>
                <w:spacing w:val="-10"/>
              </w:rPr>
              <w:t xml:space="preserve"> </w:t>
            </w:r>
            <w:r w:rsidRPr="00D4309F">
              <w:t xml:space="preserve">of </w:t>
            </w:r>
            <w:r w:rsidRPr="00D4309F">
              <w:rPr>
                <w:spacing w:val="-2"/>
              </w:rPr>
              <w:t>contamination</w:t>
            </w:r>
          </w:p>
          <w:p w14:paraId="59625E48" w14:textId="048DC98E" w:rsidR="004C00ED" w:rsidRPr="00D4309F" w:rsidRDefault="004C00ED" w:rsidP="003C3F36">
            <w:pPr>
              <w:pStyle w:val="Table-Bullet"/>
            </w:pPr>
            <w:r w:rsidRPr="00D4309F">
              <w:t>Rock</w:t>
            </w:r>
            <w:r w:rsidRPr="00D4309F">
              <w:rPr>
                <w:spacing w:val="-9"/>
              </w:rPr>
              <w:t xml:space="preserve"> </w:t>
            </w:r>
            <w:r w:rsidRPr="00D4309F">
              <w:t>is</w:t>
            </w:r>
            <w:r w:rsidRPr="00D4309F">
              <w:rPr>
                <w:spacing w:val="-9"/>
              </w:rPr>
              <w:t xml:space="preserve"> </w:t>
            </w:r>
            <w:r w:rsidRPr="00D4309F">
              <w:t>likely</w:t>
            </w:r>
            <w:r w:rsidRPr="00D4309F">
              <w:rPr>
                <w:spacing w:val="-9"/>
              </w:rPr>
              <w:t xml:space="preserve"> </w:t>
            </w:r>
            <w:r w:rsidRPr="00D4309F">
              <w:t>to</w:t>
            </w:r>
            <w:r w:rsidRPr="00D4309F">
              <w:rPr>
                <w:spacing w:val="-10"/>
              </w:rPr>
              <w:t xml:space="preserve"> </w:t>
            </w:r>
            <w:r w:rsidRPr="00D4309F">
              <w:t xml:space="preserve">be </w:t>
            </w:r>
            <w:r w:rsidRPr="00D4309F">
              <w:rPr>
                <w:spacing w:val="-2"/>
              </w:rPr>
              <w:t>uncontaminated</w:t>
            </w:r>
          </w:p>
        </w:tc>
        <w:tc>
          <w:tcPr>
            <w:tcW w:w="2126" w:type="dxa"/>
            <w:tcBorders>
              <w:top w:val="single" w:sz="4" w:space="0" w:color="000000"/>
              <w:bottom w:val="single" w:sz="4" w:space="0" w:color="000000"/>
            </w:tcBorders>
            <w:vAlign w:val="center"/>
          </w:tcPr>
          <w:p w14:paraId="2DC7E4E5" w14:textId="4E79FC64" w:rsidR="004C00ED" w:rsidRPr="00D4309F" w:rsidRDefault="004C00ED" w:rsidP="003C3F36">
            <w:pPr>
              <w:pStyle w:val="Table-Bullet"/>
            </w:pPr>
            <w:r w:rsidRPr="00D4309F">
              <w:t>Assumption</w:t>
            </w:r>
            <w:r w:rsidRPr="00D4309F">
              <w:rPr>
                <w:spacing w:val="-13"/>
              </w:rPr>
              <w:t xml:space="preserve"> </w:t>
            </w:r>
            <w:r w:rsidRPr="00D4309F">
              <w:t>that suitable data exists to inform this risk</w:t>
            </w:r>
          </w:p>
        </w:tc>
        <w:tc>
          <w:tcPr>
            <w:tcW w:w="2523" w:type="dxa"/>
            <w:tcBorders>
              <w:top w:val="single" w:sz="4" w:space="0" w:color="000000"/>
              <w:bottom w:val="single" w:sz="4" w:space="0" w:color="000000"/>
            </w:tcBorders>
            <w:vAlign w:val="center"/>
          </w:tcPr>
          <w:p w14:paraId="68A4FEE1" w14:textId="38D45DD2" w:rsidR="004C00ED" w:rsidRPr="00D4309F" w:rsidRDefault="004C00ED" w:rsidP="003C3F36">
            <w:pPr>
              <w:pStyle w:val="Table-Bullet"/>
            </w:pPr>
            <w:r w:rsidRPr="00D4309F">
              <w:rPr>
                <w:spacing w:val="-4"/>
              </w:rPr>
              <w:t>None</w:t>
            </w:r>
          </w:p>
        </w:tc>
      </w:tr>
      <w:tr w:rsidR="00131333" w:rsidRPr="00D4309F" w14:paraId="6282B90B" w14:textId="77777777" w:rsidTr="003C3F36">
        <w:trPr>
          <w:cantSplit/>
          <w:trHeight w:val="20"/>
        </w:trPr>
        <w:tc>
          <w:tcPr>
            <w:tcW w:w="1300" w:type="dxa"/>
            <w:tcBorders>
              <w:top w:val="single" w:sz="4" w:space="0" w:color="000000"/>
              <w:bottom w:val="single" w:sz="4" w:space="0" w:color="000000"/>
            </w:tcBorders>
            <w:vAlign w:val="center"/>
          </w:tcPr>
          <w:p w14:paraId="1BD8088A" w14:textId="462024CB" w:rsidR="004C00ED" w:rsidRPr="00D4309F" w:rsidRDefault="004C00ED" w:rsidP="003C3F36">
            <w:pPr>
              <w:pStyle w:val="Table-Text"/>
            </w:pPr>
            <w:r w:rsidRPr="00D4309F">
              <w:t>Marine environmental quality</w:t>
            </w:r>
          </w:p>
        </w:tc>
        <w:tc>
          <w:tcPr>
            <w:tcW w:w="1961" w:type="dxa"/>
            <w:tcBorders>
              <w:top w:val="single" w:sz="4" w:space="0" w:color="000000"/>
              <w:bottom w:val="single" w:sz="4" w:space="0" w:color="000000"/>
            </w:tcBorders>
            <w:vAlign w:val="center"/>
          </w:tcPr>
          <w:p w14:paraId="49CC68EE" w14:textId="5A3061FA" w:rsidR="004C00ED" w:rsidRPr="00D4309F" w:rsidRDefault="004C00ED" w:rsidP="003C3F36">
            <w:pPr>
              <w:pStyle w:val="Table-Text"/>
            </w:pPr>
            <w:r w:rsidRPr="00D4309F">
              <w:t>Water quality</w:t>
            </w:r>
          </w:p>
        </w:tc>
        <w:tc>
          <w:tcPr>
            <w:tcW w:w="2835" w:type="dxa"/>
            <w:tcBorders>
              <w:top w:val="single" w:sz="4" w:space="0" w:color="000000"/>
              <w:bottom w:val="single" w:sz="4" w:space="0" w:color="000000"/>
            </w:tcBorders>
            <w:vAlign w:val="center"/>
          </w:tcPr>
          <w:p w14:paraId="41E24149" w14:textId="0D2B92AF" w:rsidR="004C00ED" w:rsidRPr="00D4309F" w:rsidRDefault="004C00ED" w:rsidP="003C3F36">
            <w:pPr>
              <w:pStyle w:val="Table-Bullet"/>
            </w:pPr>
            <w:r w:rsidRPr="00D4309F">
              <w:t>Hydrocarbon</w:t>
            </w:r>
            <w:r w:rsidRPr="00D4309F">
              <w:rPr>
                <w:spacing w:val="-5"/>
              </w:rPr>
              <w:t xml:space="preserve"> </w:t>
            </w:r>
            <w:r w:rsidRPr="00D4309F">
              <w:rPr>
                <w:spacing w:val="-2"/>
              </w:rPr>
              <w:t>spills/waste</w:t>
            </w:r>
          </w:p>
        </w:tc>
        <w:tc>
          <w:tcPr>
            <w:tcW w:w="1417" w:type="dxa"/>
            <w:tcBorders>
              <w:top w:val="single" w:sz="4" w:space="0" w:color="000000"/>
              <w:bottom w:val="single" w:sz="4" w:space="0" w:color="000000"/>
            </w:tcBorders>
            <w:shd w:val="clear" w:color="auto" w:fill="92D050"/>
            <w:vAlign w:val="center"/>
          </w:tcPr>
          <w:p w14:paraId="1FEF6AA8" w14:textId="5BA6F566" w:rsidR="004C00ED" w:rsidRPr="00D4309F" w:rsidRDefault="004C00ED" w:rsidP="00131333">
            <w:pPr>
              <w:pStyle w:val="TableParagraph"/>
              <w:ind w:left="206" w:right="206" w:firstLine="1"/>
              <w:rPr>
                <w:b/>
                <w:color w:val="211E1F"/>
                <w:sz w:val="18"/>
              </w:rPr>
            </w:pPr>
            <w:r w:rsidRPr="00D4309F">
              <w:rPr>
                <w:b/>
                <w:color w:val="211E1F"/>
                <w:spacing w:val="-5"/>
                <w:sz w:val="18"/>
              </w:rPr>
              <w:t>Low</w:t>
            </w:r>
          </w:p>
        </w:tc>
        <w:tc>
          <w:tcPr>
            <w:tcW w:w="2410" w:type="dxa"/>
            <w:tcBorders>
              <w:top w:val="single" w:sz="4" w:space="0" w:color="000000"/>
              <w:bottom w:val="single" w:sz="4" w:space="0" w:color="000000"/>
            </w:tcBorders>
            <w:vAlign w:val="center"/>
          </w:tcPr>
          <w:p w14:paraId="3EDB8067" w14:textId="2F21423E" w:rsidR="004C00ED" w:rsidRPr="00D4309F" w:rsidRDefault="004C00ED" w:rsidP="003C3F36">
            <w:pPr>
              <w:pStyle w:val="Table-Bullet"/>
            </w:pPr>
            <w:r w:rsidRPr="00D4309F">
              <w:t>Compliance with standard procedures</w:t>
            </w:r>
            <w:r w:rsidRPr="00D4309F">
              <w:rPr>
                <w:spacing w:val="-13"/>
              </w:rPr>
              <w:t xml:space="preserve"> </w:t>
            </w:r>
            <w:r w:rsidRPr="00D4309F">
              <w:t>will</w:t>
            </w:r>
            <w:r w:rsidRPr="00D4309F">
              <w:rPr>
                <w:spacing w:val="-12"/>
              </w:rPr>
              <w:t xml:space="preserve"> </w:t>
            </w:r>
            <w:r w:rsidRPr="00D4309F">
              <w:t>minimise</w:t>
            </w:r>
            <w:r w:rsidRPr="00D4309F">
              <w:rPr>
                <w:spacing w:val="-13"/>
              </w:rPr>
              <w:t xml:space="preserve"> </w:t>
            </w:r>
            <w:r w:rsidRPr="00D4309F">
              <w:t xml:space="preserve">this </w:t>
            </w:r>
            <w:r w:rsidRPr="00D4309F">
              <w:rPr>
                <w:spacing w:val="-4"/>
              </w:rPr>
              <w:t>risk</w:t>
            </w:r>
          </w:p>
        </w:tc>
        <w:tc>
          <w:tcPr>
            <w:tcW w:w="2126" w:type="dxa"/>
            <w:tcBorders>
              <w:top w:val="single" w:sz="4" w:space="0" w:color="000000"/>
              <w:bottom w:val="single" w:sz="4" w:space="0" w:color="000000"/>
            </w:tcBorders>
            <w:vAlign w:val="center"/>
          </w:tcPr>
          <w:p w14:paraId="05D9D34D" w14:textId="29F7057D" w:rsidR="004C00ED" w:rsidRPr="00D4309F" w:rsidRDefault="004C00ED" w:rsidP="003C3F36">
            <w:pPr>
              <w:pStyle w:val="Table-Bullet"/>
            </w:pPr>
            <w:r w:rsidRPr="00D4309F">
              <w:rPr>
                <w:spacing w:val="-4"/>
              </w:rPr>
              <w:t>None</w:t>
            </w:r>
          </w:p>
        </w:tc>
        <w:tc>
          <w:tcPr>
            <w:tcW w:w="2523" w:type="dxa"/>
            <w:tcBorders>
              <w:top w:val="single" w:sz="4" w:space="0" w:color="000000"/>
              <w:bottom w:val="single" w:sz="4" w:space="0" w:color="000000"/>
            </w:tcBorders>
            <w:vAlign w:val="center"/>
          </w:tcPr>
          <w:p w14:paraId="108BE952" w14:textId="049A5266" w:rsidR="004C00ED" w:rsidRPr="00D4309F" w:rsidRDefault="004C00ED" w:rsidP="003C3F36">
            <w:pPr>
              <w:pStyle w:val="Table-Bullet"/>
            </w:pPr>
            <w:r w:rsidRPr="00D4309F">
              <w:t>Standard</w:t>
            </w:r>
            <w:r w:rsidRPr="00D4309F">
              <w:rPr>
                <w:spacing w:val="-15"/>
              </w:rPr>
              <w:t xml:space="preserve"> </w:t>
            </w:r>
            <w:r w:rsidRPr="00D4309F">
              <w:t>oil</w:t>
            </w:r>
            <w:r w:rsidRPr="00D4309F">
              <w:rPr>
                <w:spacing w:val="-12"/>
              </w:rPr>
              <w:t xml:space="preserve"> </w:t>
            </w:r>
            <w:r w:rsidRPr="00D4309F">
              <w:t xml:space="preserve">spill and waste </w:t>
            </w:r>
            <w:r w:rsidRPr="00D4309F">
              <w:rPr>
                <w:spacing w:val="-2"/>
              </w:rPr>
              <w:t>procedures</w:t>
            </w:r>
          </w:p>
        </w:tc>
      </w:tr>
      <w:tr w:rsidR="00131333" w:rsidRPr="00D4309F" w14:paraId="4425EE7E" w14:textId="77777777" w:rsidTr="003C3F36">
        <w:trPr>
          <w:cantSplit/>
          <w:trHeight w:val="20"/>
        </w:trPr>
        <w:tc>
          <w:tcPr>
            <w:tcW w:w="1300" w:type="dxa"/>
            <w:tcBorders>
              <w:top w:val="single" w:sz="4" w:space="0" w:color="000000"/>
              <w:bottom w:val="single" w:sz="4" w:space="0" w:color="000000"/>
            </w:tcBorders>
            <w:vAlign w:val="center"/>
          </w:tcPr>
          <w:p w14:paraId="2F1113BB" w14:textId="2F57B932" w:rsidR="004C00ED" w:rsidRPr="00D4309F" w:rsidRDefault="004C00ED" w:rsidP="003C3F36">
            <w:pPr>
              <w:pStyle w:val="Table-Text"/>
            </w:pPr>
            <w:r w:rsidRPr="00D4309F">
              <w:t>Marine environmental quality</w:t>
            </w:r>
          </w:p>
        </w:tc>
        <w:tc>
          <w:tcPr>
            <w:tcW w:w="1961" w:type="dxa"/>
            <w:tcBorders>
              <w:top w:val="single" w:sz="4" w:space="0" w:color="000000"/>
              <w:bottom w:val="single" w:sz="4" w:space="0" w:color="000000"/>
            </w:tcBorders>
            <w:vAlign w:val="center"/>
          </w:tcPr>
          <w:p w14:paraId="3D2EC067" w14:textId="53687819" w:rsidR="004C00ED" w:rsidRPr="00D4309F" w:rsidRDefault="004C00ED" w:rsidP="003C3F36">
            <w:pPr>
              <w:pStyle w:val="Table-Text"/>
            </w:pPr>
            <w:r w:rsidRPr="00D4309F">
              <w:t>Water quality</w:t>
            </w:r>
          </w:p>
        </w:tc>
        <w:tc>
          <w:tcPr>
            <w:tcW w:w="2835" w:type="dxa"/>
            <w:tcBorders>
              <w:top w:val="single" w:sz="4" w:space="0" w:color="000000"/>
              <w:bottom w:val="single" w:sz="4" w:space="0" w:color="000000"/>
            </w:tcBorders>
            <w:vAlign w:val="center"/>
          </w:tcPr>
          <w:p w14:paraId="45981698" w14:textId="69D4351D" w:rsidR="004C00ED" w:rsidRPr="00D4309F" w:rsidRDefault="004C00ED" w:rsidP="003C3F36">
            <w:pPr>
              <w:pStyle w:val="Table-Bullet"/>
            </w:pPr>
            <w:r w:rsidRPr="00D4309F">
              <w:t>Introduced</w:t>
            </w:r>
            <w:r w:rsidRPr="00D4309F">
              <w:rPr>
                <w:spacing w:val="-4"/>
              </w:rPr>
              <w:t xml:space="preserve"> </w:t>
            </w:r>
            <w:r w:rsidRPr="00D4309F">
              <w:t>marine</w:t>
            </w:r>
            <w:r w:rsidRPr="00D4309F">
              <w:rPr>
                <w:spacing w:val="-4"/>
              </w:rPr>
              <w:t xml:space="preserve"> </w:t>
            </w:r>
            <w:r w:rsidRPr="00D4309F">
              <w:rPr>
                <w:spacing w:val="-2"/>
              </w:rPr>
              <w:t>species</w:t>
            </w:r>
          </w:p>
        </w:tc>
        <w:tc>
          <w:tcPr>
            <w:tcW w:w="1417" w:type="dxa"/>
            <w:tcBorders>
              <w:top w:val="single" w:sz="4" w:space="0" w:color="000000"/>
              <w:bottom w:val="single" w:sz="4" w:space="0" w:color="000000"/>
            </w:tcBorders>
            <w:shd w:val="clear" w:color="auto" w:fill="92D050"/>
            <w:vAlign w:val="center"/>
          </w:tcPr>
          <w:p w14:paraId="76A7A3A0" w14:textId="0D06982B" w:rsidR="004C00ED" w:rsidRPr="00D4309F" w:rsidRDefault="004C00ED" w:rsidP="00131333">
            <w:pPr>
              <w:pStyle w:val="TableParagraph"/>
              <w:ind w:left="206" w:right="206" w:firstLine="1"/>
              <w:rPr>
                <w:b/>
                <w:color w:val="211E1F"/>
                <w:sz w:val="18"/>
              </w:rPr>
            </w:pPr>
            <w:r w:rsidRPr="00D4309F">
              <w:rPr>
                <w:b/>
                <w:color w:val="211E1F"/>
                <w:spacing w:val="-5"/>
                <w:sz w:val="18"/>
              </w:rPr>
              <w:t>Low</w:t>
            </w:r>
          </w:p>
        </w:tc>
        <w:tc>
          <w:tcPr>
            <w:tcW w:w="2410" w:type="dxa"/>
            <w:tcBorders>
              <w:top w:val="single" w:sz="4" w:space="0" w:color="000000"/>
              <w:bottom w:val="single" w:sz="4" w:space="0" w:color="000000"/>
            </w:tcBorders>
            <w:vAlign w:val="center"/>
          </w:tcPr>
          <w:p w14:paraId="183D2C3C" w14:textId="51085C0C" w:rsidR="004C00ED" w:rsidRPr="00D4309F" w:rsidRDefault="004C00ED" w:rsidP="003C3F36">
            <w:pPr>
              <w:pStyle w:val="Table-Bullet"/>
            </w:pPr>
            <w:r w:rsidRPr="00D4309F">
              <w:t>Compliance with standard procedures</w:t>
            </w:r>
            <w:r w:rsidRPr="00D4309F">
              <w:rPr>
                <w:spacing w:val="-13"/>
              </w:rPr>
              <w:t xml:space="preserve"> </w:t>
            </w:r>
            <w:r w:rsidRPr="00D4309F">
              <w:t>will</w:t>
            </w:r>
            <w:r w:rsidRPr="00D4309F">
              <w:rPr>
                <w:spacing w:val="-12"/>
              </w:rPr>
              <w:t xml:space="preserve"> </w:t>
            </w:r>
            <w:r w:rsidRPr="00D4309F">
              <w:t>minimise</w:t>
            </w:r>
            <w:r w:rsidRPr="00D4309F">
              <w:rPr>
                <w:spacing w:val="-13"/>
              </w:rPr>
              <w:t xml:space="preserve"> </w:t>
            </w:r>
            <w:r w:rsidRPr="00D4309F">
              <w:t xml:space="preserve">this </w:t>
            </w:r>
            <w:r w:rsidRPr="00D4309F">
              <w:rPr>
                <w:spacing w:val="-4"/>
              </w:rPr>
              <w:t>risk</w:t>
            </w:r>
          </w:p>
        </w:tc>
        <w:tc>
          <w:tcPr>
            <w:tcW w:w="2126" w:type="dxa"/>
            <w:tcBorders>
              <w:top w:val="single" w:sz="4" w:space="0" w:color="000000"/>
              <w:bottom w:val="single" w:sz="4" w:space="0" w:color="000000"/>
            </w:tcBorders>
            <w:vAlign w:val="center"/>
          </w:tcPr>
          <w:p w14:paraId="7DD6BE0E" w14:textId="48C01B90" w:rsidR="004C00ED" w:rsidRPr="00D4309F" w:rsidRDefault="004C00ED" w:rsidP="003C3F36">
            <w:pPr>
              <w:pStyle w:val="Table-Bullet"/>
            </w:pPr>
            <w:r w:rsidRPr="00D4309F">
              <w:rPr>
                <w:spacing w:val="-4"/>
              </w:rPr>
              <w:t>None</w:t>
            </w:r>
          </w:p>
        </w:tc>
        <w:tc>
          <w:tcPr>
            <w:tcW w:w="2523" w:type="dxa"/>
            <w:tcBorders>
              <w:top w:val="single" w:sz="4" w:space="0" w:color="000000"/>
              <w:bottom w:val="single" w:sz="4" w:space="0" w:color="000000"/>
            </w:tcBorders>
            <w:vAlign w:val="center"/>
          </w:tcPr>
          <w:p w14:paraId="32460B22" w14:textId="0CEE5009" w:rsidR="004C00ED" w:rsidRPr="00D4309F" w:rsidRDefault="004C00ED" w:rsidP="003C3F36">
            <w:pPr>
              <w:pStyle w:val="Table-Bullet"/>
            </w:pPr>
            <w:r w:rsidRPr="00D4309F">
              <w:t>Compliance with standard</w:t>
            </w:r>
            <w:r w:rsidRPr="00D4309F">
              <w:rPr>
                <w:spacing w:val="-15"/>
              </w:rPr>
              <w:t xml:space="preserve"> </w:t>
            </w:r>
            <w:r w:rsidRPr="00D4309F">
              <w:t>state</w:t>
            </w:r>
            <w:r w:rsidRPr="00D4309F">
              <w:rPr>
                <w:spacing w:val="-12"/>
              </w:rPr>
              <w:t xml:space="preserve"> </w:t>
            </w:r>
            <w:r w:rsidRPr="00D4309F">
              <w:t xml:space="preserve">and </w:t>
            </w:r>
            <w:r w:rsidRPr="00D4309F">
              <w:rPr>
                <w:spacing w:val="-2"/>
              </w:rPr>
              <w:t xml:space="preserve">commonwealth procedures </w:t>
            </w:r>
            <w:r w:rsidRPr="00D4309F">
              <w:t>regarding IMS</w:t>
            </w:r>
          </w:p>
        </w:tc>
      </w:tr>
      <w:tr w:rsidR="00131333" w:rsidRPr="00D4309F" w14:paraId="5D77C884" w14:textId="77777777" w:rsidTr="003C3F36">
        <w:trPr>
          <w:cantSplit/>
          <w:trHeight w:val="20"/>
        </w:trPr>
        <w:tc>
          <w:tcPr>
            <w:tcW w:w="1300" w:type="dxa"/>
            <w:tcBorders>
              <w:top w:val="single" w:sz="4" w:space="0" w:color="000000"/>
              <w:bottom w:val="single" w:sz="4" w:space="0" w:color="000000"/>
            </w:tcBorders>
            <w:vAlign w:val="center"/>
          </w:tcPr>
          <w:p w14:paraId="6011082F" w14:textId="6FAE7F38" w:rsidR="004C00ED" w:rsidRPr="00D4309F" w:rsidRDefault="004C00ED" w:rsidP="003C3F36">
            <w:pPr>
              <w:pStyle w:val="Table-Text"/>
            </w:pPr>
            <w:r w:rsidRPr="00D4309F">
              <w:lastRenderedPageBreak/>
              <w:t>Marine</w:t>
            </w:r>
            <w:r w:rsidRPr="00D4309F">
              <w:rPr>
                <w:spacing w:val="-4"/>
              </w:rPr>
              <w:t xml:space="preserve"> </w:t>
            </w:r>
            <w:r w:rsidRPr="00D4309F">
              <w:t>fauna</w:t>
            </w:r>
          </w:p>
        </w:tc>
        <w:tc>
          <w:tcPr>
            <w:tcW w:w="1961" w:type="dxa"/>
            <w:tcBorders>
              <w:top w:val="single" w:sz="4" w:space="0" w:color="000000"/>
              <w:bottom w:val="single" w:sz="4" w:space="0" w:color="000000"/>
            </w:tcBorders>
            <w:vAlign w:val="center"/>
          </w:tcPr>
          <w:p w14:paraId="0873EABD" w14:textId="14536FA6" w:rsidR="004C00ED" w:rsidRPr="00D4309F" w:rsidRDefault="004C00ED" w:rsidP="003C3F36">
            <w:pPr>
              <w:pStyle w:val="Table-Text"/>
            </w:pPr>
            <w:r w:rsidRPr="00D4309F">
              <w:t>Turtles</w:t>
            </w:r>
          </w:p>
        </w:tc>
        <w:tc>
          <w:tcPr>
            <w:tcW w:w="2835" w:type="dxa"/>
            <w:tcBorders>
              <w:top w:val="single" w:sz="4" w:space="0" w:color="000000"/>
              <w:bottom w:val="single" w:sz="4" w:space="0" w:color="000000"/>
            </w:tcBorders>
            <w:vAlign w:val="center"/>
          </w:tcPr>
          <w:p w14:paraId="5FEEE0C9" w14:textId="77777777" w:rsidR="004C00ED" w:rsidRPr="00D4309F" w:rsidRDefault="004C00ED" w:rsidP="003C3F36">
            <w:pPr>
              <w:pStyle w:val="Table-Bullet"/>
            </w:pPr>
            <w:r w:rsidRPr="00D4309F">
              <w:t>Behavioural</w:t>
            </w:r>
            <w:r w:rsidRPr="00D4309F">
              <w:rPr>
                <w:spacing w:val="-15"/>
              </w:rPr>
              <w:t xml:space="preserve"> </w:t>
            </w:r>
            <w:r w:rsidRPr="00D4309F">
              <w:t>response</w:t>
            </w:r>
            <w:r w:rsidRPr="00D4309F">
              <w:rPr>
                <w:spacing w:val="-12"/>
              </w:rPr>
              <w:t xml:space="preserve"> </w:t>
            </w:r>
            <w:r w:rsidRPr="00D4309F">
              <w:t>and interruption of nesting behaviour due to light</w:t>
            </w:r>
          </w:p>
          <w:p w14:paraId="6A3262AC" w14:textId="77777777" w:rsidR="004C00ED" w:rsidRPr="00D4309F" w:rsidRDefault="004C00ED" w:rsidP="003C3F36">
            <w:pPr>
              <w:pStyle w:val="Table-Bullet"/>
            </w:pPr>
            <w:r w:rsidRPr="00D4309F">
              <w:t>Mortality/injury</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 xml:space="preserve">vessel collision, entanglement, </w:t>
            </w:r>
            <w:r w:rsidRPr="00D4309F">
              <w:rPr>
                <w:spacing w:val="-2"/>
              </w:rPr>
              <w:t>entrainment</w:t>
            </w:r>
          </w:p>
          <w:p w14:paraId="2A0050A7" w14:textId="77777777" w:rsidR="004C00ED" w:rsidRPr="00D4309F" w:rsidRDefault="004C00ED" w:rsidP="003C3F36">
            <w:pPr>
              <w:pStyle w:val="Table-Bullet"/>
            </w:pPr>
            <w:r w:rsidRPr="00D4309F">
              <w:t>Change of beach profile at Mooloolaba</w:t>
            </w:r>
            <w:r w:rsidRPr="00D4309F">
              <w:rPr>
                <w:spacing w:val="-10"/>
              </w:rPr>
              <w:t xml:space="preserve"> </w:t>
            </w:r>
            <w:r w:rsidRPr="00D4309F">
              <w:t>Main</w:t>
            </w:r>
            <w:r w:rsidRPr="00D4309F">
              <w:rPr>
                <w:spacing w:val="-10"/>
              </w:rPr>
              <w:t xml:space="preserve"> </w:t>
            </w:r>
            <w:r w:rsidRPr="00D4309F">
              <w:t>Beach</w:t>
            </w:r>
            <w:r w:rsidRPr="00D4309F">
              <w:rPr>
                <w:spacing w:val="-10"/>
              </w:rPr>
              <w:t xml:space="preserve"> </w:t>
            </w:r>
            <w:r w:rsidRPr="00D4309F">
              <w:t>due</w:t>
            </w:r>
            <w:r w:rsidRPr="00D4309F">
              <w:rPr>
                <w:spacing w:val="-8"/>
              </w:rPr>
              <w:t xml:space="preserve"> </w:t>
            </w:r>
            <w:r w:rsidRPr="00D4309F">
              <w:t>to sediment disposal offshore of beach impacting nesting</w:t>
            </w:r>
          </w:p>
          <w:p w14:paraId="62010B35" w14:textId="6922ED48" w:rsidR="004C00ED" w:rsidRPr="00D4309F" w:rsidRDefault="004C00ED" w:rsidP="003C3F36">
            <w:pPr>
              <w:pStyle w:val="Table-Bullet"/>
            </w:pPr>
            <w:r w:rsidRPr="00D4309F">
              <w:t>Mortality/injury</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onshore plant and vehicle movement</w:t>
            </w:r>
          </w:p>
        </w:tc>
        <w:tc>
          <w:tcPr>
            <w:tcW w:w="1417" w:type="dxa"/>
            <w:tcBorders>
              <w:top w:val="single" w:sz="4" w:space="0" w:color="000000"/>
              <w:bottom w:val="single" w:sz="4" w:space="0" w:color="000000"/>
            </w:tcBorders>
            <w:shd w:val="clear" w:color="auto" w:fill="FFFF00"/>
            <w:vAlign w:val="center"/>
          </w:tcPr>
          <w:p w14:paraId="5D17D315" w14:textId="7BF5E275" w:rsidR="004C00ED" w:rsidRPr="00D4309F" w:rsidRDefault="004C00ED" w:rsidP="00131333">
            <w:pPr>
              <w:pStyle w:val="TableParagraph"/>
              <w:ind w:left="206" w:right="206" w:firstLine="1"/>
              <w:rPr>
                <w:b/>
                <w:color w:val="211E1F"/>
                <w:sz w:val="18"/>
              </w:rPr>
            </w:pPr>
            <w:r w:rsidRPr="00D4309F">
              <w:rPr>
                <w:b/>
                <w:color w:val="211E1F"/>
                <w:spacing w:val="-2"/>
                <w:sz w:val="18"/>
              </w:rPr>
              <w:t>Moderate</w:t>
            </w:r>
          </w:p>
        </w:tc>
        <w:tc>
          <w:tcPr>
            <w:tcW w:w="2410" w:type="dxa"/>
            <w:tcBorders>
              <w:top w:val="single" w:sz="4" w:space="0" w:color="000000"/>
              <w:bottom w:val="single" w:sz="4" w:space="0" w:color="000000"/>
            </w:tcBorders>
            <w:vAlign w:val="center"/>
          </w:tcPr>
          <w:p w14:paraId="7609BCDE" w14:textId="22FD93A6" w:rsidR="004C00ED" w:rsidRPr="00D4309F" w:rsidRDefault="004C00ED" w:rsidP="003C3F36">
            <w:pPr>
              <w:pStyle w:val="Table-Bullet"/>
            </w:pPr>
            <w:r w:rsidRPr="00D4309F">
              <w:t>Several</w:t>
            </w:r>
            <w:r w:rsidRPr="00D4309F">
              <w:rPr>
                <w:spacing w:val="-10"/>
              </w:rPr>
              <w:t xml:space="preserve"> </w:t>
            </w:r>
            <w:r w:rsidRPr="00D4309F">
              <w:t>turtle</w:t>
            </w:r>
            <w:r w:rsidRPr="00D4309F">
              <w:rPr>
                <w:spacing w:val="-10"/>
              </w:rPr>
              <w:t xml:space="preserve"> </w:t>
            </w:r>
            <w:r w:rsidRPr="00D4309F">
              <w:t>species</w:t>
            </w:r>
            <w:r w:rsidRPr="00D4309F">
              <w:rPr>
                <w:spacing w:val="-10"/>
              </w:rPr>
              <w:t xml:space="preserve"> </w:t>
            </w:r>
            <w:r w:rsidRPr="00D4309F">
              <w:t>listed</w:t>
            </w:r>
            <w:r w:rsidRPr="00D4309F">
              <w:rPr>
                <w:spacing w:val="-10"/>
              </w:rPr>
              <w:t xml:space="preserve"> </w:t>
            </w:r>
            <w:r w:rsidRPr="00D4309F">
              <w:t xml:space="preserve">as endangered or vulnerable under the EPBC were identified in the project area with Green (Vulnerable) and Loggerhead (Endangered) turtles known to nest on Buddina and Mooloolaba beaches. Therefore, potential impacts need to be managed </w:t>
            </w:r>
            <w:r w:rsidRPr="00D4309F">
              <w:rPr>
                <w:spacing w:val="-2"/>
              </w:rPr>
              <w:t>accordingly.</w:t>
            </w:r>
          </w:p>
        </w:tc>
        <w:tc>
          <w:tcPr>
            <w:tcW w:w="2126" w:type="dxa"/>
            <w:tcBorders>
              <w:top w:val="single" w:sz="4" w:space="0" w:color="000000"/>
              <w:bottom w:val="single" w:sz="4" w:space="0" w:color="000000"/>
            </w:tcBorders>
            <w:vAlign w:val="center"/>
          </w:tcPr>
          <w:p w14:paraId="75160591" w14:textId="77777777" w:rsidR="004C00ED" w:rsidRPr="00D4309F" w:rsidRDefault="004C00ED" w:rsidP="003C3F36">
            <w:pPr>
              <w:pStyle w:val="Table-Bullet"/>
            </w:pPr>
            <w:r w:rsidRPr="00D4309F">
              <w:t>Assessment of shoreline</w:t>
            </w:r>
            <w:r w:rsidRPr="00D4309F">
              <w:rPr>
                <w:spacing w:val="-13"/>
              </w:rPr>
              <w:t xml:space="preserve"> </w:t>
            </w:r>
            <w:r w:rsidRPr="00D4309F">
              <w:t>response to works</w:t>
            </w:r>
          </w:p>
          <w:p w14:paraId="6E9F9498" w14:textId="68E089B4" w:rsidR="004C00ED" w:rsidRPr="00D4309F" w:rsidRDefault="004C00ED" w:rsidP="003C3F36">
            <w:pPr>
              <w:pStyle w:val="Table-Bullet"/>
            </w:pPr>
            <w:r w:rsidRPr="00D4309F">
              <w:t>Light</w:t>
            </w:r>
            <w:r w:rsidRPr="00D4309F">
              <w:rPr>
                <w:spacing w:val="-13"/>
              </w:rPr>
              <w:t xml:space="preserve"> </w:t>
            </w:r>
            <w:r w:rsidRPr="00D4309F">
              <w:t xml:space="preserve">assessment if night works are </w:t>
            </w:r>
            <w:r w:rsidRPr="00D4309F">
              <w:rPr>
                <w:spacing w:val="-2"/>
              </w:rPr>
              <w:t>proposed</w:t>
            </w:r>
          </w:p>
        </w:tc>
        <w:tc>
          <w:tcPr>
            <w:tcW w:w="2523" w:type="dxa"/>
            <w:tcBorders>
              <w:top w:val="single" w:sz="4" w:space="0" w:color="000000"/>
              <w:bottom w:val="single" w:sz="4" w:space="0" w:color="000000"/>
            </w:tcBorders>
            <w:vAlign w:val="center"/>
          </w:tcPr>
          <w:p w14:paraId="090FAC50" w14:textId="77777777" w:rsidR="004C00ED" w:rsidRPr="00D4309F" w:rsidRDefault="004C00ED" w:rsidP="003C3F36">
            <w:pPr>
              <w:pStyle w:val="Table-Bullet"/>
            </w:pPr>
            <w:r w:rsidRPr="00D4309F">
              <w:t>Timing</w:t>
            </w:r>
            <w:r w:rsidRPr="00D4309F">
              <w:rPr>
                <w:spacing w:val="-15"/>
              </w:rPr>
              <w:t xml:space="preserve"> </w:t>
            </w:r>
            <w:r w:rsidRPr="00D4309F">
              <w:t>of</w:t>
            </w:r>
            <w:r w:rsidRPr="00D4309F">
              <w:rPr>
                <w:spacing w:val="-12"/>
              </w:rPr>
              <w:t xml:space="preserve"> </w:t>
            </w:r>
            <w:r w:rsidRPr="00D4309F">
              <w:t>works outside</w:t>
            </w:r>
            <w:r w:rsidRPr="00D4309F">
              <w:rPr>
                <w:spacing w:val="-5"/>
              </w:rPr>
              <w:t xml:space="preserve"> </w:t>
            </w:r>
            <w:r w:rsidRPr="00D4309F">
              <w:t>of</w:t>
            </w:r>
            <w:r w:rsidRPr="00D4309F">
              <w:rPr>
                <w:spacing w:val="-4"/>
              </w:rPr>
              <w:t xml:space="preserve"> </w:t>
            </w:r>
            <w:r w:rsidRPr="00D4309F">
              <w:t>turtle nesting periods</w:t>
            </w:r>
          </w:p>
          <w:p w14:paraId="39523E72" w14:textId="77777777" w:rsidR="004C00ED" w:rsidRPr="00D4309F" w:rsidRDefault="004C00ED" w:rsidP="003C3F36">
            <w:pPr>
              <w:pStyle w:val="Table-Bullet"/>
            </w:pPr>
            <w:r w:rsidRPr="00D4309F">
              <w:t>Limitation of works to</w:t>
            </w:r>
            <w:r w:rsidRPr="00D4309F">
              <w:rPr>
                <w:spacing w:val="-13"/>
              </w:rPr>
              <w:t xml:space="preserve"> </w:t>
            </w:r>
            <w:r w:rsidRPr="00D4309F">
              <w:t>daylight</w:t>
            </w:r>
            <w:r w:rsidRPr="00D4309F">
              <w:rPr>
                <w:spacing w:val="-12"/>
              </w:rPr>
              <w:t xml:space="preserve"> </w:t>
            </w:r>
            <w:r w:rsidRPr="00D4309F">
              <w:t>hours</w:t>
            </w:r>
            <w:r w:rsidRPr="00D4309F">
              <w:rPr>
                <w:spacing w:val="-13"/>
              </w:rPr>
              <w:t xml:space="preserve"> </w:t>
            </w:r>
            <w:r w:rsidRPr="00D4309F">
              <w:t xml:space="preserve">or if necessary, standard light </w:t>
            </w:r>
            <w:r w:rsidRPr="00D4309F">
              <w:rPr>
                <w:spacing w:val="-2"/>
              </w:rPr>
              <w:t>mitigation procedures</w:t>
            </w:r>
          </w:p>
          <w:p w14:paraId="23327CE6" w14:textId="77777777" w:rsidR="004C00ED" w:rsidRPr="00D4309F" w:rsidRDefault="004C00ED" w:rsidP="003C3F36">
            <w:pPr>
              <w:pStyle w:val="Table-Bullet"/>
            </w:pPr>
            <w:r w:rsidRPr="00D4309F">
              <w:t>Design to minimise disturbance of turtle habitat</w:t>
            </w:r>
            <w:r w:rsidRPr="00D4309F">
              <w:rPr>
                <w:spacing w:val="-15"/>
              </w:rPr>
              <w:t xml:space="preserve"> </w:t>
            </w:r>
            <w:r w:rsidRPr="00D4309F">
              <w:t>and</w:t>
            </w:r>
            <w:r w:rsidRPr="00D4309F">
              <w:rPr>
                <w:spacing w:val="-12"/>
              </w:rPr>
              <w:t xml:space="preserve"> </w:t>
            </w:r>
            <w:r w:rsidRPr="00D4309F">
              <w:t>maintain the beach profile</w:t>
            </w:r>
          </w:p>
          <w:p w14:paraId="62EE4318" w14:textId="77777777" w:rsidR="004C00ED" w:rsidRPr="00D4309F" w:rsidRDefault="004C00ED" w:rsidP="003C3F36">
            <w:pPr>
              <w:pStyle w:val="Table-Bullet"/>
            </w:pPr>
            <w:r w:rsidRPr="00D4309F">
              <w:t>Standard</w:t>
            </w:r>
            <w:r w:rsidRPr="00D4309F">
              <w:rPr>
                <w:spacing w:val="-13"/>
              </w:rPr>
              <w:t xml:space="preserve"> </w:t>
            </w:r>
            <w:r w:rsidRPr="00D4309F">
              <w:t>marine fauna mitigation practices e.g. marine fauna observers and exclusion zones</w:t>
            </w:r>
          </w:p>
          <w:p w14:paraId="6990CAC1" w14:textId="77777777" w:rsidR="004C00ED" w:rsidRPr="00D4309F" w:rsidRDefault="004C00ED" w:rsidP="003C3F36">
            <w:pPr>
              <w:pStyle w:val="Table-Bullet"/>
            </w:pPr>
            <w:r w:rsidRPr="00D4309F">
              <w:t>Turtle</w:t>
            </w:r>
            <w:r w:rsidRPr="00D4309F">
              <w:rPr>
                <w:spacing w:val="-15"/>
              </w:rPr>
              <w:t xml:space="preserve"> </w:t>
            </w:r>
            <w:r w:rsidRPr="00D4309F">
              <w:t>guards</w:t>
            </w:r>
            <w:r w:rsidRPr="00D4309F">
              <w:rPr>
                <w:spacing w:val="-12"/>
              </w:rPr>
              <w:t xml:space="preserve"> </w:t>
            </w:r>
            <w:r w:rsidRPr="00D4309F">
              <w:t xml:space="preserve">on </w:t>
            </w:r>
            <w:r w:rsidRPr="00D4309F">
              <w:rPr>
                <w:spacing w:val="-2"/>
              </w:rPr>
              <w:t>dredger</w:t>
            </w:r>
          </w:p>
          <w:p w14:paraId="72BF428D" w14:textId="77777777" w:rsidR="004C00ED" w:rsidRPr="00D4309F" w:rsidRDefault="004C00ED" w:rsidP="003C3F36">
            <w:pPr>
              <w:pStyle w:val="Table-Bullet"/>
            </w:pPr>
            <w:r w:rsidRPr="00D4309F">
              <w:rPr>
                <w:spacing w:val="-2"/>
              </w:rPr>
              <w:t xml:space="preserve">Appropriate </w:t>
            </w:r>
            <w:r w:rsidRPr="00D4309F">
              <w:t>management for onshore works e.g. onshore vehicles and</w:t>
            </w:r>
            <w:r w:rsidRPr="00D4309F">
              <w:rPr>
                <w:spacing w:val="-13"/>
              </w:rPr>
              <w:t xml:space="preserve"> </w:t>
            </w:r>
            <w:r w:rsidRPr="00D4309F">
              <w:t>plant</w:t>
            </w:r>
            <w:r w:rsidRPr="00D4309F">
              <w:rPr>
                <w:spacing w:val="-12"/>
              </w:rPr>
              <w:t xml:space="preserve"> </w:t>
            </w:r>
            <w:r w:rsidRPr="00D4309F">
              <w:t>to</w:t>
            </w:r>
            <w:r w:rsidRPr="00D4309F">
              <w:rPr>
                <w:spacing w:val="-13"/>
              </w:rPr>
              <w:t xml:space="preserve"> </w:t>
            </w:r>
            <w:r w:rsidRPr="00D4309F">
              <w:t>operate in</w:t>
            </w:r>
            <w:r w:rsidRPr="00D4309F">
              <w:rPr>
                <w:spacing w:val="-15"/>
              </w:rPr>
              <w:t xml:space="preserve"> </w:t>
            </w:r>
            <w:r w:rsidRPr="00D4309F">
              <w:t>designated</w:t>
            </w:r>
            <w:r w:rsidRPr="00D4309F">
              <w:rPr>
                <w:spacing w:val="-12"/>
              </w:rPr>
              <w:t xml:space="preserve"> </w:t>
            </w:r>
            <w:r w:rsidRPr="00D4309F">
              <w:t>tracks and areas</w:t>
            </w:r>
          </w:p>
          <w:p w14:paraId="7B148679" w14:textId="2E68FF67" w:rsidR="004C00ED" w:rsidRPr="00D4309F" w:rsidRDefault="004C00ED" w:rsidP="003C3F36">
            <w:pPr>
              <w:pStyle w:val="Table-Bullet"/>
            </w:pPr>
            <w:r w:rsidRPr="00D4309F">
              <w:t>Beach</w:t>
            </w:r>
            <w:r w:rsidRPr="00D4309F">
              <w:rPr>
                <w:spacing w:val="-13"/>
              </w:rPr>
              <w:t xml:space="preserve"> </w:t>
            </w:r>
            <w:r w:rsidRPr="00D4309F">
              <w:t xml:space="preserve">profile </w:t>
            </w:r>
            <w:r w:rsidRPr="00D4309F">
              <w:rPr>
                <w:spacing w:val="-2"/>
              </w:rPr>
              <w:t>monitoring</w:t>
            </w:r>
          </w:p>
        </w:tc>
      </w:tr>
      <w:tr w:rsidR="00131333" w:rsidRPr="00D4309F" w14:paraId="4155F082" w14:textId="77777777" w:rsidTr="003C3F36">
        <w:trPr>
          <w:cantSplit/>
          <w:trHeight w:val="20"/>
        </w:trPr>
        <w:tc>
          <w:tcPr>
            <w:tcW w:w="1300" w:type="dxa"/>
            <w:tcBorders>
              <w:top w:val="single" w:sz="4" w:space="0" w:color="000000"/>
              <w:bottom w:val="single" w:sz="4" w:space="0" w:color="000000"/>
            </w:tcBorders>
            <w:vAlign w:val="center"/>
          </w:tcPr>
          <w:p w14:paraId="279DAD84" w14:textId="52603A37" w:rsidR="004C00ED" w:rsidRPr="00D4309F" w:rsidRDefault="004C00ED" w:rsidP="003C3F36">
            <w:pPr>
              <w:pStyle w:val="Table-Text"/>
            </w:pPr>
            <w:r w:rsidRPr="00D4309F">
              <w:t>Marine</w:t>
            </w:r>
            <w:r w:rsidRPr="00D4309F">
              <w:rPr>
                <w:spacing w:val="-4"/>
              </w:rPr>
              <w:t xml:space="preserve"> </w:t>
            </w:r>
            <w:r w:rsidRPr="00D4309F">
              <w:t>fauna</w:t>
            </w:r>
          </w:p>
        </w:tc>
        <w:tc>
          <w:tcPr>
            <w:tcW w:w="1961" w:type="dxa"/>
            <w:tcBorders>
              <w:top w:val="single" w:sz="4" w:space="0" w:color="000000"/>
              <w:bottom w:val="single" w:sz="4" w:space="0" w:color="000000"/>
            </w:tcBorders>
            <w:vAlign w:val="center"/>
          </w:tcPr>
          <w:p w14:paraId="67167818" w14:textId="50A62852" w:rsidR="004C00ED" w:rsidRPr="00D4309F" w:rsidRDefault="004C00ED" w:rsidP="003C3F36">
            <w:pPr>
              <w:pStyle w:val="Table-Text"/>
            </w:pPr>
            <w:r w:rsidRPr="00D4309F">
              <w:t>Marine mammals</w:t>
            </w:r>
          </w:p>
        </w:tc>
        <w:tc>
          <w:tcPr>
            <w:tcW w:w="2835" w:type="dxa"/>
            <w:tcBorders>
              <w:top w:val="single" w:sz="4" w:space="0" w:color="000000"/>
              <w:bottom w:val="single" w:sz="4" w:space="0" w:color="000000"/>
            </w:tcBorders>
            <w:vAlign w:val="center"/>
          </w:tcPr>
          <w:p w14:paraId="1165B18D" w14:textId="77777777" w:rsidR="004C00ED" w:rsidRPr="00D4309F" w:rsidRDefault="004C00ED" w:rsidP="003C3F36">
            <w:pPr>
              <w:pStyle w:val="Table-Bullet"/>
            </w:pPr>
            <w:r w:rsidRPr="00D4309F">
              <w:rPr>
                <w:spacing w:val="-2"/>
              </w:rPr>
              <w:t xml:space="preserve">Mortality/injury/behavioural </w:t>
            </w:r>
            <w:r w:rsidRPr="00D4309F">
              <w:t>response due to noise of breakwater removal, rock cutting and dredging</w:t>
            </w:r>
          </w:p>
          <w:p w14:paraId="640A1412" w14:textId="055926F3" w:rsidR="004C00ED" w:rsidRPr="00D4309F" w:rsidRDefault="004C00ED" w:rsidP="003C3F36">
            <w:pPr>
              <w:pStyle w:val="Table-Bullet"/>
            </w:pPr>
            <w:r w:rsidRPr="00D4309F">
              <w:t>Vessel</w:t>
            </w:r>
            <w:r w:rsidRPr="00D4309F">
              <w:rPr>
                <w:spacing w:val="-15"/>
              </w:rPr>
              <w:t xml:space="preserve"> </w:t>
            </w:r>
            <w:r w:rsidRPr="00D4309F">
              <w:t>collision,</w:t>
            </w:r>
            <w:r w:rsidRPr="00D4309F">
              <w:rPr>
                <w:spacing w:val="-12"/>
              </w:rPr>
              <w:t xml:space="preserve"> </w:t>
            </w:r>
            <w:r w:rsidRPr="00D4309F">
              <w:t xml:space="preserve">entanglement, </w:t>
            </w:r>
            <w:r w:rsidRPr="00D4309F">
              <w:rPr>
                <w:spacing w:val="-2"/>
              </w:rPr>
              <w:t>entrainment</w:t>
            </w:r>
          </w:p>
        </w:tc>
        <w:tc>
          <w:tcPr>
            <w:tcW w:w="1417" w:type="dxa"/>
            <w:tcBorders>
              <w:top w:val="single" w:sz="4" w:space="0" w:color="000000"/>
              <w:bottom w:val="single" w:sz="4" w:space="0" w:color="000000"/>
            </w:tcBorders>
            <w:shd w:val="clear" w:color="auto" w:fill="FFC000"/>
            <w:vAlign w:val="center"/>
          </w:tcPr>
          <w:p w14:paraId="71B0F132" w14:textId="4837D8A5" w:rsidR="004C00ED" w:rsidRPr="00D4309F" w:rsidRDefault="004C00ED" w:rsidP="00131333">
            <w:pPr>
              <w:pStyle w:val="TableParagraph"/>
              <w:ind w:left="206" w:right="206" w:firstLine="1"/>
              <w:rPr>
                <w:b/>
                <w:color w:val="211E1F"/>
                <w:sz w:val="18"/>
              </w:rPr>
            </w:pPr>
            <w:r w:rsidRPr="00D4309F">
              <w:rPr>
                <w:b/>
                <w:color w:val="211E1F"/>
                <w:sz w:val="18"/>
              </w:rPr>
              <w:t>High (for rock</w:t>
            </w:r>
            <w:r w:rsidRPr="00D4309F">
              <w:rPr>
                <w:b/>
                <w:color w:val="211E1F"/>
                <w:spacing w:val="-13"/>
                <w:sz w:val="18"/>
              </w:rPr>
              <w:t xml:space="preserve"> </w:t>
            </w:r>
            <w:r w:rsidRPr="00D4309F">
              <w:rPr>
                <w:b/>
                <w:color w:val="211E1F"/>
                <w:sz w:val="18"/>
              </w:rPr>
              <w:t xml:space="preserve">cutting </w:t>
            </w:r>
            <w:r w:rsidRPr="00D4309F">
              <w:rPr>
                <w:b/>
                <w:color w:val="211E1F"/>
                <w:spacing w:val="-4"/>
                <w:sz w:val="18"/>
              </w:rPr>
              <w:t xml:space="preserve">and </w:t>
            </w:r>
            <w:r w:rsidRPr="00D4309F">
              <w:rPr>
                <w:b/>
                <w:color w:val="211E1F"/>
                <w:spacing w:val="-2"/>
                <w:sz w:val="18"/>
              </w:rPr>
              <w:t>breakwater removal)</w:t>
            </w:r>
          </w:p>
        </w:tc>
        <w:tc>
          <w:tcPr>
            <w:tcW w:w="2410" w:type="dxa"/>
            <w:tcBorders>
              <w:top w:val="single" w:sz="4" w:space="0" w:color="000000"/>
              <w:bottom w:val="single" w:sz="4" w:space="0" w:color="000000"/>
            </w:tcBorders>
            <w:vAlign w:val="center"/>
          </w:tcPr>
          <w:p w14:paraId="217F1DC4" w14:textId="77777777" w:rsidR="004C00ED" w:rsidRPr="00D4309F" w:rsidRDefault="004C00ED" w:rsidP="003C3F36">
            <w:pPr>
              <w:pStyle w:val="Table-Bullet"/>
            </w:pPr>
            <w:r w:rsidRPr="00D4309F">
              <w:t>Humpback whales may use the area for resting with calves</w:t>
            </w:r>
            <w:r w:rsidRPr="00D4309F">
              <w:rPr>
                <w:spacing w:val="-13"/>
              </w:rPr>
              <w:t xml:space="preserve"> </w:t>
            </w:r>
            <w:r w:rsidRPr="00D4309F">
              <w:t>during</w:t>
            </w:r>
            <w:r w:rsidRPr="00D4309F">
              <w:rPr>
                <w:spacing w:val="-12"/>
              </w:rPr>
              <w:t xml:space="preserve"> </w:t>
            </w:r>
            <w:r w:rsidRPr="00D4309F">
              <w:t>their</w:t>
            </w:r>
            <w:r w:rsidRPr="00D4309F">
              <w:rPr>
                <w:spacing w:val="-13"/>
              </w:rPr>
              <w:t xml:space="preserve"> </w:t>
            </w:r>
            <w:r w:rsidRPr="00D4309F">
              <w:t xml:space="preserve">migration </w:t>
            </w:r>
            <w:r w:rsidRPr="00D4309F">
              <w:rPr>
                <w:spacing w:val="-2"/>
              </w:rPr>
              <w:t>period</w:t>
            </w:r>
          </w:p>
          <w:p w14:paraId="2C21F244" w14:textId="24A5AA4B" w:rsidR="004C00ED" w:rsidRPr="00D4309F" w:rsidRDefault="004C00ED" w:rsidP="003C3F36">
            <w:pPr>
              <w:pStyle w:val="Table-Bullet"/>
            </w:pPr>
            <w:r w:rsidRPr="00D4309F">
              <w:t>Species</w:t>
            </w:r>
            <w:r w:rsidRPr="00D4309F">
              <w:rPr>
                <w:spacing w:val="-3"/>
              </w:rPr>
              <w:t xml:space="preserve"> </w:t>
            </w:r>
            <w:r w:rsidRPr="00D4309F">
              <w:t>of</w:t>
            </w:r>
            <w:r w:rsidRPr="00D4309F">
              <w:rPr>
                <w:spacing w:val="-3"/>
              </w:rPr>
              <w:t xml:space="preserve"> </w:t>
            </w:r>
            <w:r w:rsidRPr="00D4309F">
              <w:t>dolphins</w:t>
            </w:r>
            <w:r w:rsidRPr="00D4309F">
              <w:rPr>
                <w:spacing w:val="-3"/>
              </w:rPr>
              <w:t xml:space="preserve"> </w:t>
            </w:r>
            <w:r w:rsidRPr="00D4309F">
              <w:t>listed</w:t>
            </w:r>
            <w:r w:rsidRPr="00D4309F">
              <w:rPr>
                <w:spacing w:val="-2"/>
              </w:rPr>
              <w:t xml:space="preserve"> </w:t>
            </w:r>
            <w:r w:rsidRPr="00D4309F">
              <w:t>as vulnerable</w:t>
            </w:r>
            <w:r w:rsidRPr="00D4309F">
              <w:rPr>
                <w:spacing w:val="-6"/>
              </w:rPr>
              <w:t xml:space="preserve"> </w:t>
            </w:r>
            <w:r w:rsidRPr="00D4309F">
              <w:t>may</w:t>
            </w:r>
            <w:r w:rsidRPr="00D4309F">
              <w:rPr>
                <w:spacing w:val="-4"/>
              </w:rPr>
              <w:t xml:space="preserve"> </w:t>
            </w:r>
            <w:r w:rsidRPr="00D4309F">
              <w:t>also</w:t>
            </w:r>
            <w:r w:rsidRPr="00D4309F">
              <w:rPr>
                <w:spacing w:val="-6"/>
              </w:rPr>
              <w:t xml:space="preserve"> </w:t>
            </w:r>
            <w:r w:rsidRPr="00D4309F">
              <w:t>occur</w:t>
            </w:r>
            <w:r w:rsidRPr="00D4309F">
              <w:rPr>
                <w:spacing w:val="-5"/>
              </w:rPr>
              <w:t xml:space="preserve"> </w:t>
            </w:r>
            <w:r w:rsidRPr="00D4309F">
              <w:t>in the</w:t>
            </w:r>
            <w:r w:rsidRPr="00D4309F">
              <w:rPr>
                <w:spacing w:val="-1"/>
              </w:rPr>
              <w:t xml:space="preserve"> </w:t>
            </w:r>
            <w:r w:rsidRPr="00D4309F">
              <w:t>area and</w:t>
            </w:r>
            <w:r w:rsidRPr="00D4309F">
              <w:rPr>
                <w:spacing w:val="-1"/>
              </w:rPr>
              <w:t xml:space="preserve"> </w:t>
            </w:r>
            <w:r w:rsidRPr="00D4309F">
              <w:t>while they tend to move away from noise sources</w:t>
            </w:r>
            <w:r w:rsidRPr="00D4309F">
              <w:rPr>
                <w:spacing w:val="-8"/>
              </w:rPr>
              <w:t xml:space="preserve"> </w:t>
            </w:r>
            <w:r w:rsidRPr="00D4309F">
              <w:t>and</w:t>
            </w:r>
            <w:r w:rsidRPr="00D4309F">
              <w:rPr>
                <w:spacing w:val="-9"/>
              </w:rPr>
              <w:t xml:space="preserve"> </w:t>
            </w:r>
            <w:r w:rsidRPr="00D4309F">
              <w:t>are</w:t>
            </w:r>
            <w:r w:rsidRPr="00D4309F">
              <w:rPr>
                <w:spacing w:val="-9"/>
              </w:rPr>
              <w:t xml:space="preserve"> </w:t>
            </w:r>
            <w:r w:rsidRPr="00D4309F">
              <w:t>at</w:t>
            </w:r>
            <w:r w:rsidRPr="00D4309F">
              <w:rPr>
                <w:spacing w:val="-8"/>
              </w:rPr>
              <w:t xml:space="preserve"> </w:t>
            </w:r>
            <w:r w:rsidRPr="00D4309F">
              <w:t>lower</w:t>
            </w:r>
            <w:r w:rsidRPr="00D4309F">
              <w:rPr>
                <w:spacing w:val="-8"/>
              </w:rPr>
              <w:t xml:space="preserve"> </w:t>
            </w:r>
            <w:r w:rsidRPr="00D4309F">
              <w:t xml:space="preserve">risk of injury, the greater level of noise generated from rock cutting requires further </w:t>
            </w:r>
            <w:r w:rsidRPr="00D4309F">
              <w:rPr>
                <w:spacing w:val="-2"/>
              </w:rPr>
              <w:t>assessment</w:t>
            </w:r>
          </w:p>
        </w:tc>
        <w:tc>
          <w:tcPr>
            <w:tcW w:w="2126" w:type="dxa"/>
            <w:tcBorders>
              <w:top w:val="single" w:sz="4" w:space="0" w:color="000000"/>
              <w:bottom w:val="single" w:sz="4" w:space="0" w:color="000000"/>
            </w:tcBorders>
            <w:vAlign w:val="center"/>
          </w:tcPr>
          <w:p w14:paraId="2D57F225" w14:textId="0282BAAB" w:rsidR="004C00ED" w:rsidRPr="00D4309F" w:rsidRDefault="004C00ED" w:rsidP="003C3F36">
            <w:pPr>
              <w:pStyle w:val="Table-Bullet"/>
            </w:pPr>
            <w:r w:rsidRPr="00D4309F">
              <w:t>Underwater</w:t>
            </w:r>
            <w:r w:rsidRPr="00D4309F">
              <w:rPr>
                <w:spacing w:val="-13"/>
              </w:rPr>
              <w:t xml:space="preserve"> </w:t>
            </w:r>
            <w:r w:rsidRPr="00D4309F">
              <w:t xml:space="preserve">noise </w:t>
            </w:r>
            <w:r w:rsidRPr="00D4309F">
              <w:rPr>
                <w:spacing w:val="-2"/>
              </w:rPr>
              <w:t>assessment including modelling</w:t>
            </w:r>
          </w:p>
        </w:tc>
        <w:tc>
          <w:tcPr>
            <w:tcW w:w="2523" w:type="dxa"/>
            <w:tcBorders>
              <w:top w:val="single" w:sz="4" w:space="0" w:color="000000"/>
              <w:bottom w:val="single" w:sz="4" w:space="0" w:color="000000"/>
            </w:tcBorders>
            <w:vAlign w:val="center"/>
          </w:tcPr>
          <w:p w14:paraId="6C3FE72B" w14:textId="77777777" w:rsidR="004C00ED" w:rsidRPr="00D4309F" w:rsidRDefault="004C00ED" w:rsidP="003C3F36">
            <w:pPr>
              <w:pStyle w:val="Table-Bullet"/>
            </w:pPr>
            <w:r w:rsidRPr="00D4309F">
              <w:t>Timing of works outside of whale migration</w:t>
            </w:r>
            <w:r w:rsidRPr="00D4309F">
              <w:rPr>
                <w:spacing w:val="-13"/>
              </w:rPr>
              <w:t xml:space="preserve"> </w:t>
            </w:r>
            <w:r w:rsidRPr="00D4309F">
              <w:t>periods</w:t>
            </w:r>
          </w:p>
          <w:p w14:paraId="21F14E4F" w14:textId="6A944D8A" w:rsidR="004C00ED" w:rsidRPr="00D4309F" w:rsidRDefault="004C00ED" w:rsidP="003C3F36">
            <w:pPr>
              <w:pStyle w:val="Table-Bullet"/>
            </w:pPr>
            <w:r w:rsidRPr="00D4309F">
              <w:t>Standard</w:t>
            </w:r>
            <w:r w:rsidRPr="00D4309F">
              <w:rPr>
                <w:spacing w:val="-13"/>
              </w:rPr>
              <w:t xml:space="preserve"> </w:t>
            </w:r>
            <w:r w:rsidRPr="00D4309F">
              <w:t>marine fauna mitigation practices e.g. marine fauna observers and exclusion zone</w:t>
            </w:r>
          </w:p>
        </w:tc>
      </w:tr>
      <w:tr w:rsidR="00131333" w:rsidRPr="00D4309F" w14:paraId="55CEC673" w14:textId="77777777" w:rsidTr="003C3F36">
        <w:trPr>
          <w:cantSplit/>
          <w:trHeight w:val="20"/>
        </w:trPr>
        <w:tc>
          <w:tcPr>
            <w:tcW w:w="1300" w:type="dxa"/>
            <w:tcBorders>
              <w:top w:val="single" w:sz="4" w:space="0" w:color="000000"/>
              <w:bottom w:val="single" w:sz="4" w:space="0" w:color="000000"/>
            </w:tcBorders>
            <w:vAlign w:val="center"/>
          </w:tcPr>
          <w:p w14:paraId="409F5EB6" w14:textId="566F8DB5" w:rsidR="004C00ED" w:rsidRPr="00D4309F" w:rsidRDefault="004C00ED" w:rsidP="003C3F36">
            <w:pPr>
              <w:pStyle w:val="Table-Text"/>
            </w:pPr>
            <w:r w:rsidRPr="00D4309F">
              <w:lastRenderedPageBreak/>
              <w:t>Marine</w:t>
            </w:r>
            <w:r w:rsidRPr="00D4309F">
              <w:rPr>
                <w:spacing w:val="-4"/>
              </w:rPr>
              <w:t xml:space="preserve"> </w:t>
            </w:r>
            <w:r w:rsidRPr="00D4309F">
              <w:t>fauna</w:t>
            </w:r>
          </w:p>
        </w:tc>
        <w:tc>
          <w:tcPr>
            <w:tcW w:w="1961" w:type="dxa"/>
            <w:tcBorders>
              <w:top w:val="single" w:sz="4" w:space="0" w:color="000000"/>
              <w:bottom w:val="single" w:sz="4" w:space="0" w:color="000000"/>
            </w:tcBorders>
            <w:vAlign w:val="center"/>
          </w:tcPr>
          <w:p w14:paraId="3D014D3A" w14:textId="109C4C26" w:rsidR="004C00ED" w:rsidRPr="00D4309F" w:rsidRDefault="004C00ED" w:rsidP="003C3F36">
            <w:pPr>
              <w:pStyle w:val="Table-Text"/>
            </w:pPr>
            <w:r w:rsidRPr="00D4309F">
              <w:t>Roosting Seabirds</w:t>
            </w:r>
          </w:p>
        </w:tc>
        <w:tc>
          <w:tcPr>
            <w:tcW w:w="2835" w:type="dxa"/>
            <w:tcBorders>
              <w:top w:val="single" w:sz="4" w:space="0" w:color="000000"/>
              <w:bottom w:val="single" w:sz="4" w:space="0" w:color="000000"/>
            </w:tcBorders>
            <w:vAlign w:val="center"/>
          </w:tcPr>
          <w:p w14:paraId="5721F6CA" w14:textId="77777777" w:rsidR="004C00ED" w:rsidRPr="00D4309F" w:rsidRDefault="004C00ED" w:rsidP="003C3F36">
            <w:pPr>
              <w:pStyle w:val="Table-Bullet"/>
            </w:pPr>
            <w:r w:rsidRPr="00D4309F">
              <w:rPr>
                <w:spacing w:val="-2"/>
              </w:rPr>
              <w:t xml:space="preserve">Mortality/injury/behavioural </w:t>
            </w:r>
            <w:r w:rsidRPr="00D4309F">
              <w:t>response due to noise of breakwater removal, rock cutting and dredging</w:t>
            </w:r>
          </w:p>
          <w:p w14:paraId="4D058AEF" w14:textId="77777777" w:rsidR="004C00ED" w:rsidRPr="00D4309F" w:rsidRDefault="004C00ED" w:rsidP="003C3F36">
            <w:pPr>
              <w:pStyle w:val="Table-Bullet"/>
            </w:pPr>
            <w:r w:rsidRPr="00D4309F">
              <w:t>Behavioural</w:t>
            </w:r>
            <w:r w:rsidRPr="00D4309F">
              <w:rPr>
                <w:spacing w:val="-15"/>
              </w:rPr>
              <w:t xml:space="preserve"> </w:t>
            </w:r>
            <w:r w:rsidRPr="00D4309F">
              <w:t>response</w:t>
            </w:r>
            <w:r w:rsidRPr="00D4309F">
              <w:rPr>
                <w:spacing w:val="-12"/>
              </w:rPr>
              <w:t xml:space="preserve"> </w:t>
            </w:r>
            <w:r w:rsidRPr="00D4309F">
              <w:t>and interruption of nesting behaviour due to light</w:t>
            </w:r>
          </w:p>
          <w:p w14:paraId="68AFCDB6" w14:textId="77777777" w:rsidR="004C00ED" w:rsidRPr="00D4309F" w:rsidRDefault="004C00ED" w:rsidP="003C3F36">
            <w:pPr>
              <w:pStyle w:val="Table-Bullet"/>
            </w:pPr>
            <w:r w:rsidRPr="00D4309F">
              <w:rPr>
                <w:spacing w:val="-2"/>
              </w:rPr>
              <w:t xml:space="preserve">Mortality/injury/behavioural </w:t>
            </w:r>
            <w:r w:rsidRPr="00D4309F">
              <w:t xml:space="preserve">response due physical </w:t>
            </w:r>
            <w:r w:rsidRPr="00D4309F">
              <w:rPr>
                <w:spacing w:val="-2"/>
              </w:rPr>
              <w:t>presence</w:t>
            </w:r>
          </w:p>
          <w:p w14:paraId="3B73A59F" w14:textId="77777777" w:rsidR="004C00ED" w:rsidRPr="00D4309F" w:rsidRDefault="004C00ED" w:rsidP="003C3F36">
            <w:pPr>
              <w:pStyle w:val="Table-Bullet"/>
            </w:pPr>
            <w:r w:rsidRPr="00D4309F">
              <w:t>Mortality/injury</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onshore plant and vehicle movement</w:t>
            </w:r>
          </w:p>
          <w:p w14:paraId="75FC6D21" w14:textId="5EA58AD1" w:rsidR="004C00ED" w:rsidRPr="00D4309F" w:rsidRDefault="004C00ED" w:rsidP="003C3F36">
            <w:pPr>
              <w:pStyle w:val="Table-Bullet"/>
            </w:pPr>
            <w:r w:rsidRPr="00D4309F">
              <w:rPr>
                <w:spacing w:val="-2"/>
              </w:rPr>
              <w:t xml:space="preserve">Mortality/injury/behavioural </w:t>
            </w:r>
            <w:r w:rsidRPr="00D4309F">
              <w:t>response/habitat loss due to noise</w:t>
            </w:r>
            <w:r w:rsidRPr="00D4309F">
              <w:rPr>
                <w:spacing w:val="-13"/>
              </w:rPr>
              <w:t xml:space="preserve"> </w:t>
            </w:r>
            <w:r w:rsidRPr="00D4309F">
              <w:t>of</w:t>
            </w:r>
            <w:r w:rsidRPr="00D4309F">
              <w:rPr>
                <w:spacing w:val="-12"/>
              </w:rPr>
              <w:t xml:space="preserve"> </w:t>
            </w:r>
            <w:r w:rsidRPr="00D4309F">
              <w:t>breakwater</w:t>
            </w:r>
            <w:r w:rsidRPr="00D4309F">
              <w:rPr>
                <w:spacing w:val="-13"/>
              </w:rPr>
              <w:t xml:space="preserve"> </w:t>
            </w:r>
            <w:r w:rsidRPr="00D4309F">
              <w:t>removal, rock cutting and dredging</w:t>
            </w:r>
          </w:p>
        </w:tc>
        <w:tc>
          <w:tcPr>
            <w:tcW w:w="1417" w:type="dxa"/>
            <w:tcBorders>
              <w:top w:val="single" w:sz="4" w:space="0" w:color="000000"/>
              <w:bottom w:val="single" w:sz="4" w:space="0" w:color="000000"/>
            </w:tcBorders>
            <w:shd w:val="clear" w:color="auto" w:fill="FFFF00"/>
            <w:vAlign w:val="center"/>
          </w:tcPr>
          <w:p w14:paraId="6FF37AA1" w14:textId="0FCB6DC3" w:rsidR="004C00ED" w:rsidRPr="00D4309F" w:rsidRDefault="004C00ED" w:rsidP="00131333">
            <w:pPr>
              <w:pStyle w:val="TableParagraph"/>
              <w:ind w:left="206" w:right="206" w:firstLine="1"/>
              <w:rPr>
                <w:b/>
                <w:color w:val="211E1F"/>
                <w:sz w:val="18"/>
              </w:rPr>
            </w:pPr>
            <w:r w:rsidRPr="00D4309F">
              <w:rPr>
                <w:b/>
                <w:color w:val="211E1F"/>
                <w:spacing w:val="-2"/>
                <w:sz w:val="18"/>
              </w:rPr>
              <w:t>Moderate</w:t>
            </w:r>
          </w:p>
        </w:tc>
        <w:tc>
          <w:tcPr>
            <w:tcW w:w="2410" w:type="dxa"/>
            <w:tcBorders>
              <w:top w:val="single" w:sz="4" w:space="0" w:color="000000"/>
              <w:bottom w:val="single" w:sz="4" w:space="0" w:color="000000"/>
            </w:tcBorders>
            <w:vAlign w:val="center"/>
          </w:tcPr>
          <w:p w14:paraId="6AB46534" w14:textId="0A3E92A8" w:rsidR="004C00ED" w:rsidRPr="00D4309F" w:rsidRDefault="004C00ED" w:rsidP="003C3F36">
            <w:pPr>
              <w:pStyle w:val="Table-Bullet"/>
            </w:pPr>
            <w:r w:rsidRPr="00D4309F">
              <w:t>Several</w:t>
            </w:r>
            <w:r w:rsidRPr="00D4309F">
              <w:rPr>
                <w:spacing w:val="-10"/>
              </w:rPr>
              <w:t xml:space="preserve"> </w:t>
            </w:r>
            <w:r w:rsidRPr="00D4309F">
              <w:t>species</w:t>
            </w:r>
            <w:r w:rsidRPr="00D4309F">
              <w:rPr>
                <w:spacing w:val="-10"/>
              </w:rPr>
              <w:t xml:space="preserve"> </w:t>
            </w:r>
            <w:r w:rsidRPr="00D4309F">
              <w:t>of</w:t>
            </w:r>
            <w:r w:rsidRPr="00D4309F">
              <w:rPr>
                <w:spacing w:val="-10"/>
              </w:rPr>
              <w:t xml:space="preserve"> </w:t>
            </w:r>
            <w:r w:rsidRPr="00D4309F">
              <w:t>migratory seabirds</w:t>
            </w:r>
            <w:r w:rsidRPr="00D4309F">
              <w:rPr>
                <w:spacing w:val="-13"/>
              </w:rPr>
              <w:t xml:space="preserve"> </w:t>
            </w:r>
            <w:r w:rsidRPr="00D4309F">
              <w:t>aggregate</w:t>
            </w:r>
            <w:r w:rsidRPr="00D4309F">
              <w:rPr>
                <w:spacing w:val="-12"/>
              </w:rPr>
              <w:t xml:space="preserve"> </w:t>
            </w:r>
            <w:r w:rsidRPr="00D4309F">
              <w:t>and</w:t>
            </w:r>
            <w:r w:rsidRPr="00D4309F">
              <w:rPr>
                <w:spacing w:val="-13"/>
              </w:rPr>
              <w:t xml:space="preserve"> </w:t>
            </w:r>
            <w:r w:rsidRPr="00D4309F">
              <w:t>may nest at Point Cartwright and could be impacted</w:t>
            </w:r>
          </w:p>
        </w:tc>
        <w:tc>
          <w:tcPr>
            <w:tcW w:w="2126" w:type="dxa"/>
            <w:tcBorders>
              <w:top w:val="single" w:sz="4" w:space="0" w:color="000000"/>
              <w:bottom w:val="single" w:sz="4" w:space="0" w:color="000000"/>
            </w:tcBorders>
            <w:vAlign w:val="center"/>
          </w:tcPr>
          <w:p w14:paraId="1D8CEF14" w14:textId="77777777" w:rsidR="004C00ED" w:rsidRPr="00D4309F" w:rsidRDefault="004C00ED" w:rsidP="003C3F36">
            <w:pPr>
              <w:pStyle w:val="Table-Bullet"/>
            </w:pPr>
            <w:r w:rsidRPr="00D4309F">
              <w:t>Noise</w:t>
            </w:r>
            <w:r w:rsidRPr="00D4309F">
              <w:rPr>
                <w:spacing w:val="-2"/>
              </w:rPr>
              <w:t xml:space="preserve"> assessment</w:t>
            </w:r>
          </w:p>
          <w:p w14:paraId="42BCA702" w14:textId="77777777" w:rsidR="004C00ED" w:rsidRPr="00D4309F" w:rsidRDefault="004C00ED" w:rsidP="003C3F36">
            <w:pPr>
              <w:pStyle w:val="Table-Bullet"/>
            </w:pPr>
            <w:r w:rsidRPr="00D4309F">
              <w:t>Light</w:t>
            </w:r>
            <w:r w:rsidRPr="00D4309F">
              <w:rPr>
                <w:spacing w:val="-13"/>
              </w:rPr>
              <w:t xml:space="preserve"> </w:t>
            </w:r>
            <w:r w:rsidRPr="00D4309F">
              <w:t xml:space="preserve">assessment if night works are </w:t>
            </w:r>
            <w:r w:rsidRPr="00D4309F">
              <w:rPr>
                <w:spacing w:val="-2"/>
              </w:rPr>
              <w:t>proposed</w:t>
            </w:r>
          </w:p>
          <w:p w14:paraId="259B5954" w14:textId="5A5FE246" w:rsidR="004C00ED" w:rsidRPr="00D4309F" w:rsidRDefault="004C00ED" w:rsidP="003C3F36">
            <w:pPr>
              <w:pStyle w:val="Table-Bullet"/>
            </w:pPr>
            <w:r w:rsidRPr="00D4309F">
              <w:t>Assessment of breakwater</w:t>
            </w:r>
            <w:r w:rsidRPr="00D4309F">
              <w:rPr>
                <w:spacing w:val="-13"/>
              </w:rPr>
              <w:t xml:space="preserve"> </w:t>
            </w:r>
            <w:r w:rsidRPr="00D4309F">
              <w:t xml:space="preserve">habitat </w:t>
            </w:r>
            <w:r w:rsidRPr="00D4309F">
              <w:rPr>
                <w:spacing w:val="-4"/>
              </w:rPr>
              <w:t>use</w:t>
            </w:r>
          </w:p>
        </w:tc>
        <w:tc>
          <w:tcPr>
            <w:tcW w:w="2523" w:type="dxa"/>
            <w:tcBorders>
              <w:top w:val="single" w:sz="4" w:space="0" w:color="000000"/>
              <w:bottom w:val="single" w:sz="4" w:space="0" w:color="000000"/>
            </w:tcBorders>
            <w:vAlign w:val="center"/>
          </w:tcPr>
          <w:p w14:paraId="2B787C82" w14:textId="77777777" w:rsidR="004C00ED" w:rsidRPr="00D4309F" w:rsidRDefault="004C00ED" w:rsidP="003C3F36">
            <w:pPr>
              <w:pStyle w:val="Table-Bullet"/>
            </w:pPr>
            <w:r w:rsidRPr="00D4309F">
              <w:t>Timing of works outside of peak aggregation</w:t>
            </w:r>
            <w:r w:rsidRPr="00D4309F">
              <w:rPr>
                <w:spacing w:val="-13"/>
              </w:rPr>
              <w:t xml:space="preserve"> </w:t>
            </w:r>
            <w:r w:rsidRPr="00D4309F">
              <w:t>season (summer) for migratory terns</w:t>
            </w:r>
          </w:p>
          <w:p w14:paraId="53BEB266" w14:textId="484D6257" w:rsidR="004C00ED" w:rsidRPr="00D4309F" w:rsidRDefault="004C00ED" w:rsidP="003C3F36">
            <w:pPr>
              <w:pStyle w:val="Table-Bullet"/>
            </w:pPr>
            <w:r w:rsidRPr="00D4309F">
              <w:rPr>
                <w:spacing w:val="-2"/>
              </w:rPr>
              <w:t xml:space="preserve">Appropriate </w:t>
            </w:r>
            <w:r w:rsidRPr="00D4309F">
              <w:t>management for onshore works e.g. onshore vehicles and</w:t>
            </w:r>
            <w:r w:rsidRPr="00D4309F">
              <w:rPr>
                <w:spacing w:val="-4"/>
              </w:rPr>
              <w:t xml:space="preserve"> </w:t>
            </w:r>
            <w:r w:rsidRPr="00D4309F">
              <w:t>plant</w:t>
            </w:r>
            <w:r w:rsidRPr="00D4309F">
              <w:rPr>
                <w:spacing w:val="-3"/>
              </w:rPr>
              <w:t xml:space="preserve"> </w:t>
            </w:r>
            <w:r w:rsidRPr="00D4309F">
              <w:t>to</w:t>
            </w:r>
            <w:r w:rsidRPr="00D4309F">
              <w:rPr>
                <w:spacing w:val="-4"/>
              </w:rPr>
              <w:t xml:space="preserve"> </w:t>
            </w:r>
            <w:r w:rsidRPr="00D4309F">
              <w:t>operate in</w:t>
            </w:r>
            <w:r w:rsidRPr="00D4309F">
              <w:rPr>
                <w:spacing w:val="-5"/>
              </w:rPr>
              <w:t xml:space="preserve"> </w:t>
            </w:r>
            <w:r w:rsidRPr="00D4309F">
              <w:t>designated</w:t>
            </w:r>
            <w:r w:rsidRPr="00D4309F">
              <w:rPr>
                <w:spacing w:val="-5"/>
              </w:rPr>
              <w:t xml:space="preserve"> </w:t>
            </w:r>
            <w:r w:rsidRPr="00D4309F">
              <w:t>tracks and</w:t>
            </w:r>
            <w:r w:rsidRPr="00D4309F">
              <w:rPr>
                <w:spacing w:val="-13"/>
              </w:rPr>
              <w:t xml:space="preserve"> </w:t>
            </w:r>
            <w:r w:rsidRPr="00D4309F">
              <w:t>areas,</w:t>
            </w:r>
            <w:r w:rsidRPr="00D4309F">
              <w:rPr>
                <w:spacing w:val="-12"/>
              </w:rPr>
              <w:t xml:space="preserve"> </w:t>
            </w:r>
            <w:r w:rsidRPr="00D4309F">
              <w:t>design</w:t>
            </w:r>
            <w:r w:rsidRPr="00D4309F">
              <w:rPr>
                <w:spacing w:val="-13"/>
              </w:rPr>
              <w:t xml:space="preserve"> </w:t>
            </w:r>
            <w:r w:rsidRPr="00D4309F">
              <w:t xml:space="preserve">to avoid key habitat </w:t>
            </w:r>
            <w:r w:rsidRPr="00D4309F">
              <w:rPr>
                <w:spacing w:val="-2"/>
              </w:rPr>
              <w:t>areas.</w:t>
            </w:r>
          </w:p>
        </w:tc>
      </w:tr>
      <w:tr w:rsidR="00131333" w:rsidRPr="00D4309F" w14:paraId="35787B49" w14:textId="77777777" w:rsidTr="003C3F36">
        <w:trPr>
          <w:cantSplit/>
          <w:trHeight w:val="20"/>
        </w:trPr>
        <w:tc>
          <w:tcPr>
            <w:tcW w:w="1300" w:type="dxa"/>
            <w:tcBorders>
              <w:top w:val="single" w:sz="4" w:space="0" w:color="000000"/>
              <w:bottom w:val="single" w:sz="4" w:space="0" w:color="000000"/>
            </w:tcBorders>
            <w:vAlign w:val="center"/>
          </w:tcPr>
          <w:p w14:paraId="71C8E8BC" w14:textId="08091025" w:rsidR="004C00ED" w:rsidRPr="00D4309F" w:rsidRDefault="004C00ED" w:rsidP="003C3F36">
            <w:pPr>
              <w:pStyle w:val="Table-Text"/>
            </w:pPr>
            <w:r w:rsidRPr="00D4309F">
              <w:lastRenderedPageBreak/>
              <w:t>Marine</w:t>
            </w:r>
            <w:r w:rsidRPr="00D4309F">
              <w:rPr>
                <w:spacing w:val="-4"/>
              </w:rPr>
              <w:t xml:space="preserve"> </w:t>
            </w:r>
            <w:r w:rsidRPr="00D4309F">
              <w:t>fauna</w:t>
            </w:r>
          </w:p>
        </w:tc>
        <w:tc>
          <w:tcPr>
            <w:tcW w:w="1961" w:type="dxa"/>
            <w:tcBorders>
              <w:top w:val="single" w:sz="4" w:space="0" w:color="000000"/>
              <w:bottom w:val="single" w:sz="4" w:space="0" w:color="000000"/>
            </w:tcBorders>
            <w:vAlign w:val="center"/>
          </w:tcPr>
          <w:p w14:paraId="439567C3" w14:textId="5EBD1D4D" w:rsidR="004C00ED" w:rsidRPr="00D4309F" w:rsidRDefault="004C00ED" w:rsidP="003C3F36">
            <w:pPr>
              <w:pStyle w:val="Table-Text"/>
            </w:pPr>
            <w:r w:rsidRPr="00D4309F">
              <w:t>Foraging Seabirds</w:t>
            </w:r>
          </w:p>
        </w:tc>
        <w:tc>
          <w:tcPr>
            <w:tcW w:w="2835" w:type="dxa"/>
            <w:tcBorders>
              <w:top w:val="single" w:sz="4" w:space="0" w:color="000000"/>
              <w:bottom w:val="single" w:sz="4" w:space="0" w:color="000000"/>
            </w:tcBorders>
            <w:vAlign w:val="center"/>
          </w:tcPr>
          <w:p w14:paraId="55BA7A3B" w14:textId="181A0637" w:rsidR="004C00ED" w:rsidRPr="00D4309F" w:rsidRDefault="004C00ED" w:rsidP="003C3F36">
            <w:pPr>
              <w:pStyle w:val="Table-Bullet"/>
            </w:pPr>
            <w:r w:rsidRPr="00D4309F">
              <w:t>Generation of turbidity impacting</w:t>
            </w:r>
            <w:r w:rsidRPr="00D4309F">
              <w:rPr>
                <w:spacing w:val="-15"/>
              </w:rPr>
              <w:t xml:space="preserve"> </w:t>
            </w:r>
            <w:r w:rsidRPr="00D4309F">
              <w:t>foraging</w:t>
            </w:r>
            <w:r w:rsidRPr="00D4309F">
              <w:rPr>
                <w:spacing w:val="-12"/>
              </w:rPr>
              <w:t xml:space="preserve"> </w:t>
            </w:r>
            <w:r w:rsidRPr="00D4309F">
              <w:t>activities</w:t>
            </w:r>
          </w:p>
        </w:tc>
        <w:tc>
          <w:tcPr>
            <w:tcW w:w="1417" w:type="dxa"/>
            <w:tcBorders>
              <w:top w:val="single" w:sz="4" w:space="0" w:color="000000"/>
              <w:bottom w:val="single" w:sz="4" w:space="0" w:color="000000"/>
            </w:tcBorders>
            <w:shd w:val="clear" w:color="auto" w:fill="FFFF00"/>
            <w:vAlign w:val="center"/>
          </w:tcPr>
          <w:p w14:paraId="6DF013D4" w14:textId="396D2D65" w:rsidR="004C00ED" w:rsidRPr="00D4309F" w:rsidRDefault="004C00ED" w:rsidP="00131333">
            <w:pPr>
              <w:pStyle w:val="TableParagraph"/>
              <w:ind w:left="206" w:right="206" w:firstLine="1"/>
              <w:rPr>
                <w:b/>
                <w:color w:val="211E1F"/>
                <w:sz w:val="18"/>
              </w:rPr>
            </w:pPr>
            <w:r w:rsidRPr="00D4309F">
              <w:rPr>
                <w:b/>
                <w:color w:val="211E1F"/>
                <w:spacing w:val="-2"/>
                <w:sz w:val="18"/>
              </w:rPr>
              <w:t>Moderate</w:t>
            </w:r>
          </w:p>
        </w:tc>
        <w:tc>
          <w:tcPr>
            <w:tcW w:w="2410" w:type="dxa"/>
            <w:tcBorders>
              <w:top w:val="single" w:sz="4" w:space="0" w:color="000000"/>
              <w:bottom w:val="single" w:sz="4" w:space="0" w:color="000000"/>
            </w:tcBorders>
            <w:vAlign w:val="center"/>
          </w:tcPr>
          <w:p w14:paraId="2C73451F" w14:textId="77777777" w:rsidR="004C00ED" w:rsidRPr="00D4309F" w:rsidRDefault="004C00ED" w:rsidP="003C3F36">
            <w:pPr>
              <w:pStyle w:val="Table-Bullet"/>
            </w:pPr>
            <w:r w:rsidRPr="00D4309F">
              <w:t>Turbidity will impede the</w:t>
            </w:r>
            <w:r w:rsidRPr="00D4309F">
              <w:rPr>
                <w:spacing w:val="40"/>
              </w:rPr>
              <w:t xml:space="preserve"> </w:t>
            </w:r>
            <w:r w:rsidRPr="00D4309F">
              <w:t>ability</w:t>
            </w:r>
            <w:r w:rsidRPr="00D4309F">
              <w:rPr>
                <w:spacing w:val="-8"/>
              </w:rPr>
              <w:t xml:space="preserve"> </w:t>
            </w:r>
            <w:r w:rsidRPr="00D4309F">
              <w:t>of</w:t>
            </w:r>
            <w:r w:rsidRPr="00D4309F">
              <w:rPr>
                <w:spacing w:val="-8"/>
              </w:rPr>
              <w:t xml:space="preserve"> </w:t>
            </w:r>
            <w:r w:rsidRPr="00D4309F">
              <w:t>aerial</w:t>
            </w:r>
            <w:r w:rsidRPr="00D4309F">
              <w:rPr>
                <w:spacing w:val="-8"/>
              </w:rPr>
              <w:t xml:space="preserve"> </w:t>
            </w:r>
            <w:r w:rsidRPr="00D4309F">
              <w:t>feeding</w:t>
            </w:r>
            <w:r w:rsidRPr="00D4309F">
              <w:rPr>
                <w:spacing w:val="-9"/>
              </w:rPr>
              <w:t xml:space="preserve"> </w:t>
            </w:r>
            <w:r w:rsidRPr="00D4309F">
              <w:t>birds</w:t>
            </w:r>
            <w:r w:rsidRPr="00D4309F">
              <w:rPr>
                <w:spacing w:val="-8"/>
              </w:rPr>
              <w:t xml:space="preserve"> </w:t>
            </w:r>
            <w:r w:rsidRPr="00D4309F">
              <w:t>to see prey underwater, which will impact the Little Terns aggregating in Point</w:t>
            </w:r>
            <w:r w:rsidRPr="00D4309F">
              <w:rPr>
                <w:spacing w:val="40"/>
              </w:rPr>
              <w:t xml:space="preserve"> </w:t>
            </w:r>
            <w:r w:rsidRPr="00D4309F">
              <w:t>Cartwright reserve. Larger seabirds will travel outside of the turbid zone to forage.</w:t>
            </w:r>
          </w:p>
          <w:p w14:paraId="5D2F9066" w14:textId="77777777" w:rsidR="004C00ED" w:rsidRPr="00D4309F" w:rsidRDefault="004C00ED" w:rsidP="003C3F36">
            <w:pPr>
              <w:pStyle w:val="Table-Bullet"/>
            </w:pPr>
            <w:r w:rsidRPr="00D4309F">
              <w:t>An assessment of the predicted plume extent will inform the extent of turbidity related impacts however as this</w:t>
            </w:r>
            <w:r w:rsidRPr="00D4309F">
              <w:rPr>
                <w:spacing w:val="-8"/>
              </w:rPr>
              <w:t xml:space="preserve"> </w:t>
            </w:r>
            <w:r w:rsidRPr="00D4309F">
              <w:t>is</w:t>
            </w:r>
            <w:r w:rsidRPr="00D4309F">
              <w:rPr>
                <w:spacing w:val="-8"/>
              </w:rPr>
              <w:t xml:space="preserve"> </w:t>
            </w:r>
            <w:r w:rsidRPr="00D4309F">
              <w:t>a</w:t>
            </w:r>
            <w:r w:rsidRPr="00D4309F">
              <w:rPr>
                <w:spacing w:val="-9"/>
              </w:rPr>
              <w:t xml:space="preserve"> </w:t>
            </w:r>
            <w:r w:rsidRPr="00D4309F">
              <w:t>dynamic,</w:t>
            </w:r>
            <w:r w:rsidRPr="00D4309F">
              <w:rPr>
                <w:spacing w:val="-8"/>
              </w:rPr>
              <w:t xml:space="preserve"> </w:t>
            </w:r>
            <w:r w:rsidRPr="00D4309F">
              <w:t>open</w:t>
            </w:r>
            <w:r w:rsidRPr="00D4309F">
              <w:rPr>
                <w:spacing w:val="-9"/>
              </w:rPr>
              <w:t xml:space="preserve"> </w:t>
            </w:r>
            <w:r w:rsidRPr="00D4309F">
              <w:t>ocean environment, any plume will likely dissipate quickly</w:t>
            </w:r>
          </w:p>
          <w:p w14:paraId="2E35A986" w14:textId="04C3869B" w:rsidR="004C00ED" w:rsidRPr="00D4309F" w:rsidRDefault="004C00ED" w:rsidP="003C3F36">
            <w:pPr>
              <w:pStyle w:val="Table-Bullet"/>
            </w:pPr>
            <w:r w:rsidRPr="00D4309F">
              <w:t>Turbidity</w:t>
            </w:r>
            <w:r w:rsidRPr="00D4309F">
              <w:rPr>
                <w:spacing w:val="-8"/>
              </w:rPr>
              <w:t xml:space="preserve"> </w:t>
            </w:r>
            <w:r w:rsidRPr="00D4309F">
              <w:t>is</w:t>
            </w:r>
            <w:r w:rsidRPr="00D4309F">
              <w:rPr>
                <w:spacing w:val="-8"/>
              </w:rPr>
              <w:t xml:space="preserve"> </w:t>
            </w:r>
            <w:r w:rsidRPr="00D4309F">
              <w:t>likely</w:t>
            </w:r>
            <w:r w:rsidRPr="00D4309F">
              <w:rPr>
                <w:spacing w:val="-8"/>
              </w:rPr>
              <w:t xml:space="preserve"> </w:t>
            </w:r>
            <w:r w:rsidRPr="00D4309F">
              <w:t>to</w:t>
            </w:r>
            <w:r w:rsidRPr="00D4309F">
              <w:rPr>
                <w:spacing w:val="-9"/>
              </w:rPr>
              <w:t xml:space="preserve"> </w:t>
            </w:r>
            <w:r w:rsidRPr="00D4309F">
              <w:t>be</w:t>
            </w:r>
            <w:r w:rsidRPr="00D4309F">
              <w:rPr>
                <w:spacing w:val="-9"/>
              </w:rPr>
              <w:t xml:space="preserve"> </w:t>
            </w:r>
            <w:r w:rsidRPr="00D4309F">
              <w:t>more extensive and persistent during rock cutting and breakwater removal</w:t>
            </w:r>
          </w:p>
        </w:tc>
        <w:tc>
          <w:tcPr>
            <w:tcW w:w="2126" w:type="dxa"/>
            <w:tcBorders>
              <w:top w:val="single" w:sz="4" w:space="0" w:color="000000"/>
              <w:bottom w:val="single" w:sz="4" w:space="0" w:color="000000"/>
            </w:tcBorders>
            <w:vAlign w:val="center"/>
          </w:tcPr>
          <w:p w14:paraId="5BB536BF" w14:textId="5C0F8AD9" w:rsidR="004C00ED" w:rsidRPr="00D4309F" w:rsidRDefault="004C00ED" w:rsidP="003C3F36">
            <w:pPr>
              <w:pStyle w:val="Table-Bullet"/>
            </w:pPr>
            <w:r w:rsidRPr="00D4309F">
              <w:t>Turbidity</w:t>
            </w:r>
            <w:r w:rsidRPr="00D4309F">
              <w:rPr>
                <w:spacing w:val="-5"/>
              </w:rPr>
              <w:t xml:space="preserve"> </w:t>
            </w:r>
            <w:r w:rsidRPr="00D4309F">
              <w:rPr>
                <w:spacing w:val="-2"/>
              </w:rPr>
              <w:t>modelling</w:t>
            </w:r>
          </w:p>
        </w:tc>
        <w:tc>
          <w:tcPr>
            <w:tcW w:w="2523" w:type="dxa"/>
            <w:tcBorders>
              <w:top w:val="single" w:sz="4" w:space="0" w:color="000000"/>
              <w:bottom w:val="single" w:sz="4" w:space="0" w:color="000000"/>
            </w:tcBorders>
            <w:vAlign w:val="center"/>
          </w:tcPr>
          <w:p w14:paraId="5B4E9CEB" w14:textId="77777777" w:rsidR="004C00ED" w:rsidRPr="00D4309F" w:rsidRDefault="004C00ED" w:rsidP="003C3F36">
            <w:pPr>
              <w:pStyle w:val="Table-Bullet"/>
            </w:pPr>
            <w:r w:rsidRPr="00D4309F">
              <w:t>Timing of works outside of peak aggregation</w:t>
            </w:r>
            <w:r w:rsidRPr="00D4309F">
              <w:rPr>
                <w:spacing w:val="-13"/>
              </w:rPr>
              <w:t xml:space="preserve"> </w:t>
            </w:r>
            <w:r w:rsidRPr="00D4309F">
              <w:t>season (summer) for migratory terns</w:t>
            </w:r>
          </w:p>
          <w:p w14:paraId="71E6C766" w14:textId="77777777" w:rsidR="004C00ED" w:rsidRPr="00D4309F" w:rsidRDefault="004C00ED" w:rsidP="003C3F36">
            <w:pPr>
              <w:pStyle w:val="Table-Bullet"/>
            </w:pPr>
            <w:r w:rsidRPr="00D4309F">
              <w:t>Turbidity</w:t>
            </w:r>
            <w:r w:rsidRPr="00D4309F">
              <w:rPr>
                <w:spacing w:val="-13"/>
              </w:rPr>
              <w:t xml:space="preserve"> </w:t>
            </w:r>
            <w:r w:rsidRPr="00D4309F">
              <w:t>monitoring during works</w:t>
            </w:r>
          </w:p>
          <w:p w14:paraId="520218A6" w14:textId="3D7C80B4" w:rsidR="004C00ED" w:rsidRPr="00D4309F" w:rsidRDefault="004C00ED" w:rsidP="003C3F36">
            <w:pPr>
              <w:pStyle w:val="Table-Bullet"/>
            </w:pPr>
            <w:r w:rsidRPr="00D4309F">
              <w:t xml:space="preserve">Standard turbidity </w:t>
            </w:r>
            <w:r w:rsidRPr="00D4309F">
              <w:rPr>
                <w:spacing w:val="-2"/>
              </w:rPr>
              <w:t xml:space="preserve">mitigation </w:t>
            </w:r>
            <w:r w:rsidRPr="00D4309F">
              <w:t>procedures</w:t>
            </w:r>
            <w:r w:rsidRPr="00D4309F">
              <w:rPr>
                <w:spacing w:val="-15"/>
              </w:rPr>
              <w:t xml:space="preserve"> </w:t>
            </w:r>
            <w:r w:rsidRPr="00D4309F">
              <w:t>e.g.</w:t>
            </w:r>
            <w:r w:rsidRPr="00D4309F">
              <w:rPr>
                <w:spacing w:val="-12"/>
              </w:rPr>
              <w:t xml:space="preserve"> </w:t>
            </w:r>
            <w:r w:rsidRPr="00D4309F">
              <w:t>silt curtains,</w:t>
            </w:r>
            <w:r w:rsidRPr="00D4309F">
              <w:rPr>
                <w:spacing w:val="-15"/>
              </w:rPr>
              <w:t xml:space="preserve"> </w:t>
            </w:r>
            <w:r w:rsidRPr="00D4309F">
              <w:t>staging</w:t>
            </w:r>
            <w:r w:rsidRPr="00D4309F">
              <w:rPr>
                <w:spacing w:val="-12"/>
              </w:rPr>
              <w:t xml:space="preserve"> </w:t>
            </w:r>
            <w:r w:rsidRPr="00D4309F">
              <w:t xml:space="preserve">of </w:t>
            </w:r>
            <w:r w:rsidRPr="00D4309F">
              <w:rPr>
                <w:spacing w:val="-2"/>
              </w:rPr>
              <w:t>works</w:t>
            </w:r>
          </w:p>
        </w:tc>
      </w:tr>
      <w:tr w:rsidR="00131333" w:rsidRPr="00D4309F" w14:paraId="2E19B091" w14:textId="77777777" w:rsidTr="003C3F36">
        <w:trPr>
          <w:cantSplit/>
          <w:trHeight w:val="20"/>
        </w:trPr>
        <w:tc>
          <w:tcPr>
            <w:tcW w:w="1300" w:type="dxa"/>
            <w:tcBorders>
              <w:top w:val="single" w:sz="4" w:space="0" w:color="000000"/>
              <w:bottom w:val="single" w:sz="4" w:space="0" w:color="000000"/>
            </w:tcBorders>
            <w:vAlign w:val="center"/>
          </w:tcPr>
          <w:p w14:paraId="753C4907" w14:textId="03514CB8" w:rsidR="004C00ED" w:rsidRPr="00D4309F" w:rsidRDefault="004C00ED" w:rsidP="003C3F36">
            <w:pPr>
              <w:pStyle w:val="Table-Text"/>
            </w:pPr>
            <w:r w:rsidRPr="00D4309F">
              <w:lastRenderedPageBreak/>
              <w:t>Marine</w:t>
            </w:r>
            <w:r w:rsidRPr="00D4309F">
              <w:rPr>
                <w:spacing w:val="-4"/>
              </w:rPr>
              <w:t xml:space="preserve"> </w:t>
            </w:r>
            <w:r w:rsidRPr="00D4309F">
              <w:t>fauna</w:t>
            </w:r>
          </w:p>
        </w:tc>
        <w:tc>
          <w:tcPr>
            <w:tcW w:w="1961" w:type="dxa"/>
            <w:tcBorders>
              <w:top w:val="single" w:sz="4" w:space="0" w:color="000000"/>
              <w:bottom w:val="single" w:sz="4" w:space="0" w:color="000000"/>
            </w:tcBorders>
            <w:vAlign w:val="center"/>
          </w:tcPr>
          <w:p w14:paraId="24CA7ABF" w14:textId="60F8D175" w:rsidR="004C00ED" w:rsidRPr="00D4309F" w:rsidRDefault="004C00ED" w:rsidP="003C3F36">
            <w:pPr>
              <w:pStyle w:val="Table-Text"/>
            </w:pPr>
            <w:r w:rsidRPr="00D4309F">
              <w:rPr>
                <w:spacing w:val="-4"/>
              </w:rPr>
              <w:t xml:space="preserve">Site </w:t>
            </w:r>
            <w:r w:rsidRPr="00D4309F">
              <w:t>attached species</w:t>
            </w:r>
          </w:p>
        </w:tc>
        <w:tc>
          <w:tcPr>
            <w:tcW w:w="2835" w:type="dxa"/>
            <w:tcBorders>
              <w:top w:val="single" w:sz="4" w:space="0" w:color="000000"/>
              <w:bottom w:val="single" w:sz="4" w:space="0" w:color="000000"/>
            </w:tcBorders>
            <w:vAlign w:val="center"/>
          </w:tcPr>
          <w:p w14:paraId="44887290" w14:textId="77777777" w:rsidR="004C00ED" w:rsidRPr="00D4309F" w:rsidRDefault="004C00ED" w:rsidP="003C3F36">
            <w:pPr>
              <w:pStyle w:val="Table-Bullet"/>
            </w:pPr>
            <w:r w:rsidRPr="00D4309F">
              <w:t>Direct</w:t>
            </w:r>
            <w:r w:rsidRPr="00D4309F">
              <w:rPr>
                <w:spacing w:val="-13"/>
              </w:rPr>
              <w:t xml:space="preserve"> </w:t>
            </w:r>
            <w:r w:rsidRPr="00D4309F">
              <w:t>mortality/injury</w:t>
            </w:r>
            <w:r w:rsidRPr="00D4309F">
              <w:rPr>
                <w:spacing w:val="-12"/>
              </w:rPr>
              <w:t xml:space="preserve"> </w:t>
            </w:r>
            <w:r w:rsidRPr="00D4309F">
              <w:t>due</w:t>
            </w:r>
            <w:r w:rsidRPr="00D4309F">
              <w:rPr>
                <w:spacing w:val="-13"/>
              </w:rPr>
              <w:t xml:space="preserve"> </w:t>
            </w:r>
            <w:r w:rsidRPr="00D4309F">
              <w:t>to breakwater removal, rock cutting and dredging</w:t>
            </w:r>
          </w:p>
          <w:p w14:paraId="06D3A5C4" w14:textId="419FCEDC" w:rsidR="004C00ED" w:rsidRPr="00D4309F" w:rsidRDefault="004C00ED" w:rsidP="003C3F36">
            <w:pPr>
              <w:pStyle w:val="Table-Bullet"/>
            </w:pPr>
            <w:r w:rsidRPr="00D4309F">
              <w:rPr>
                <w:spacing w:val="-2"/>
              </w:rPr>
              <w:t xml:space="preserve">Mortality/injury/behavioural </w:t>
            </w:r>
            <w:r w:rsidRPr="00D4309F">
              <w:t>response due to physical effects of turbidity</w:t>
            </w:r>
          </w:p>
        </w:tc>
        <w:tc>
          <w:tcPr>
            <w:tcW w:w="1417" w:type="dxa"/>
            <w:tcBorders>
              <w:top w:val="single" w:sz="4" w:space="0" w:color="000000"/>
              <w:bottom w:val="single" w:sz="4" w:space="0" w:color="000000"/>
            </w:tcBorders>
            <w:shd w:val="clear" w:color="auto" w:fill="FFC000"/>
            <w:vAlign w:val="center"/>
          </w:tcPr>
          <w:p w14:paraId="008B0269" w14:textId="2ACFB1E1" w:rsidR="004C00ED" w:rsidRPr="00D4309F" w:rsidRDefault="004C00ED" w:rsidP="00131333">
            <w:pPr>
              <w:pStyle w:val="TableParagraph"/>
              <w:ind w:left="206" w:right="206" w:firstLine="1"/>
              <w:rPr>
                <w:b/>
                <w:color w:val="211E1F"/>
                <w:sz w:val="18"/>
              </w:rPr>
            </w:pPr>
            <w:r w:rsidRPr="00D4309F">
              <w:rPr>
                <w:b/>
                <w:color w:val="211E1F"/>
                <w:sz w:val="18"/>
              </w:rPr>
              <w:t xml:space="preserve">High (for </w:t>
            </w:r>
            <w:r w:rsidRPr="00D4309F">
              <w:rPr>
                <w:b/>
                <w:color w:val="211E1F"/>
                <w:spacing w:val="-2"/>
                <w:sz w:val="18"/>
              </w:rPr>
              <w:t>breakwater removal)</w:t>
            </w:r>
          </w:p>
        </w:tc>
        <w:tc>
          <w:tcPr>
            <w:tcW w:w="2410" w:type="dxa"/>
            <w:tcBorders>
              <w:top w:val="single" w:sz="4" w:space="0" w:color="000000"/>
              <w:bottom w:val="single" w:sz="4" w:space="0" w:color="000000"/>
            </w:tcBorders>
            <w:vAlign w:val="center"/>
          </w:tcPr>
          <w:p w14:paraId="7CE7C40D" w14:textId="77777777" w:rsidR="004C00ED" w:rsidRPr="00D4309F" w:rsidRDefault="004C00ED" w:rsidP="003C3F36">
            <w:pPr>
              <w:pStyle w:val="Table-Bullet"/>
            </w:pPr>
            <w:r w:rsidRPr="00D4309F">
              <w:t>These species are broadly distributed</w:t>
            </w:r>
            <w:r w:rsidRPr="00D4309F">
              <w:rPr>
                <w:spacing w:val="-13"/>
              </w:rPr>
              <w:t xml:space="preserve"> </w:t>
            </w:r>
            <w:r w:rsidRPr="00D4309F">
              <w:t>along</w:t>
            </w:r>
            <w:r w:rsidRPr="00D4309F">
              <w:rPr>
                <w:spacing w:val="-12"/>
              </w:rPr>
              <w:t xml:space="preserve"> </w:t>
            </w:r>
            <w:r w:rsidRPr="00D4309F">
              <w:t>the</w:t>
            </w:r>
            <w:r w:rsidRPr="00D4309F">
              <w:rPr>
                <w:spacing w:val="-13"/>
              </w:rPr>
              <w:t xml:space="preserve"> </w:t>
            </w:r>
            <w:r w:rsidRPr="00D4309F">
              <w:t>coastline</w:t>
            </w:r>
          </w:p>
          <w:p w14:paraId="62591338" w14:textId="77777777" w:rsidR="004C00ED" w:rsidRPr="00D4309F" w:rsidRDefault="004C00ED" w:rsidP="003C3F36">
            <w:pPr>
              <w:pStyle w:val="Table-Bullet"/>
            </w:pPr>
            <w:r w:rsidRPr="00D4309F">
              <w:t>The</w:t>
            </w:r>
            <w:r w:rsidRPr="00D4309F">
              <w:rPr>
                <w:spacing w:val="-13"/>
              </w:rPr>
              <w:t xml:space="preserve"> </w:t>
            </w:r>
            <w:r w:rsidRPr="00D4309F">
              <w:t>dredging</w:t>
            </w:r>
            <w:r w:rsidRPr="00D4309F">
              <w:rPr>
                <w:spacing w:val="-12"/>
              </w:rPr>
              <w:t xml:space="preserve"> </w:t>
            </w:r>
            <w:r w:rsidRPr="00D4309F">
              <w:t>and</w:t>
            </w:r>
            <w:r w:rsidRPr="00D4309F">
              <w:rPr>
                <w:spacing w:val="-13"/>
              </w:rPr>
              <w:t xml:space="preserve"> </w:t>
            </w:r>
            <w:r w:rsidRPr="00D4309F">
              <w:t>construction footprint area has a relatively small footprint and already disturbed but further assessment is required to determine if breakwater removal will remove habitat</w:t>
            </w:r>
            <w:r w:rsidRPr="00D4309F">
              <w:rPr>
                <w:spacing w:val="40"/>
              </w:rPr>
              <w:t xml:space="preserve"> </w:t>
            </w:r>
            <w:r w:rsidRPr="00D4309F">
              <w:t>for species of high conservation e.g. the endangered</w:t>
            </w:r>
            <w:r w:rsidRPr="00D4309F">
              <w:rPr>
                <w:spacing w:val="-15"/>
              </w:rPr>
              <w:t xml:space="preserve"> </w:t>
            </w:r>
            <w:r w:rsidRPr="00D4309F">
              <w:t>White’s</w:t>
            </w:r>
            <w:r w:rsidRPr="00D4309F">
              <w:rPr>
                <w:spacing w:val="-12"/>
              </w:rPr>
              <w:t xml:space="preserve"> </w:t>
            </w:r>
            <w:r w:rsidRPr="00D4309F">
              <w:t>Seahorse and sand yabby</w:t>
            </w:r>
          </w:p>
          <w:p w14:paraId="0E4325C9" w14:textId="77777777" w:rsidR="004C00ED" w:rsidRPr="00D4309F" w:rsidRDefault="004C00ED" w:rsidP="003C3F36">
            <w:pPr>
              <w:pStyle w:val="Table-Bullet"/>
            </w:pPr>
            <w:r w:rsidRPr="00D4309F">
              <w:t>Dredging is in a dynamic, open</w:t>
            </w:r>
            <w:r w:rsidRPr="00D4309F">
              <w:rPr>
                <w:spacing w:val="-13"/>
              </w:rPr>
              <w:t xml:space="preserve"> </w:t>
            </w:r>
            <w:r w:rsidRPr="00D4309F">
              <w:t>ocean</w:t>
            </w:r>
            <w:r w:rsidRPr="00D4309F">
              <w:rPr>
                <w:spacing w:val="-12"/>
              </w:rPr>
              <w:t xml:space="preserve"> </w:t>
            </w:r>
            <w:r w:rsidRPr="00D4309F">
              <w:t>environment,</w:t>
            </w:r>
            <w:r w:rsidRPr="00D4309F">
              <w:rPr>
                <w:spacing w:val="-13"/>
              </w:rPr>
              <w:t xml:space="preserve"> </w:t>
            </w:r>
            <w:r w:rsidRPr="00D4309F">
              <w:t xml:space="preserve">any plume will likely dissipate </w:t>
            </w:r>
            <w:r w:rsidRPr="00D4309F">
              <w:rPr>
                <w:spacing w:val="-2"/>
              </w:rPr>
              <w:t>quickly</w:t>
            </w:r>
          </w:p>
          <w:p w14:paraId="6FE81E14" w14:textId="410D4CB6" w:rsidR="004C00ED" w:rsidRPr="00D4309F" w:rsidRDefault="004C00ED" w:rsidP="003C3F36">
            <w:pPr>
              <w:pStyle w:val="Table-Bullet"/>
            </w:pPr>
            <w:r w:rsidRPr="00D4309F">
              <w:t>Turbidity</w:t>
            </w:r>
            <w:r w:rsidRPr="00D4309F">
              <w:rPr>
                <w:spacing w:val="-8"/>
              </w:rPr>
              <w:t xml:space="preserve"> </w:t>
            </w:r>
            <w:r w:rsidRPr="00D4309F">
              <w:t>is</w:t>
            </w:r>
            <w:r w:rsidRPr="00D4309F">
              <w:rPr>
                <w:spacing w:val="-8"/>
              </w:rPr>
              <w:t xml:space="preserve"> </w:t>
            </w:r>
            <w:r w:rsidRPr="00D4309F">
              <w:t>likely</w:t>
            </w:r>
            <w:r w:rsidRPr="00D4309F">
              <w:rPr>
                <w:spacing w:val="-8"/>
              </w:rPr>
              <w:t xml:space="preserve"> </w:t>
            </w:r>
            <w:r w:rsidRPr="00D4309F">
              <w:t>to</w:t>
            </w:r>
            <w:r w:rsidRPr="00D4309F">
              <w:rPr>
                <w:spacing w:val="-9"/>
              </w:rPr>
              <w:t xml:space="preserve"> </w:t>
            </w:r>
            <w:r w:rsidRPr="00D4309F">
              <w:t>be</w:t>
            </w:r>
            <w:r w:rsidRPr="00D4309F">
              <w:rPr>
                <w:spacing w:val="-9"/>
              </w:rPr>
              <w:t xml:space="preserve"> </w:t>
            </w:r>
            <w:r w:rsidRPr="00D4309F">
              <w:t>more extensive and persistent during rock cutting and breakwater removal</w:t>
            </w:r>
          </w:p>
        </w:tc>
        <w:tc>
          <w:tcPr>
            <w:tcW w:w="2126" w:type="dxa"/>
            <w:tcBorders>
              <w:top w:val="single" w:sz="4" w:space="0" w:color="000000"/>
              <w:bottom w:val="single" w:sz="4" w:space="0" w:color="000000"/>
            </w:tcBorders>
            <w:vAlign w:val="center"/>
          </w:tcPr>
          <w:p w14:paraId="3644C0E7" w14:textId="77777777" w:rsidR="004C00ED" w:rsidRPr="00D4309F" w:rsidRDefault="004C00ED" w:rsidP="003C3F36">
            <w:pPr>
              <w:pStyle w:val="Table-Bullet"/>
            </w:pPr>
            <w:r w:rsidRPr="00D4309F">
              <w:t>Fauna</w:t>
            </w:r>
            <w:r w:rsidRPr="00D4309F">
              <w:rPr>
                <w:spacing w:val="-15"/>
              </w:rPr>
              <w:t xml:space="preserve"> </w:t>
            </w:r>
            <w:r w:rsidRPr="00D4309F">
              <w:t>/</w:t>
            </w:r>
            <w:r w:rsidRPr="00D4309F">
              <w:rPr>
                <w:spacing w:val="-12"/>
              </w:rPr>
              <w:t xml:space="preserve"> </w:t>
            </w:r>
            <w:r w:rsidRPr="00D4309F">
              <w:t xml:space="preserve">benthic </w:t>
            </w:r>
            <w:r w:rsidRPr="00D4309F">
              <w:rPr>
                <w:spacing w:val="-2"/>
              </w:rPr>
              <w:t>habitat assessment</w:t>
            </w:r>
          </w:p>
          <w:p w14:paraId="36D6DE5A" w14:textId="06A92F25" w:rsidR="004C00ED" w:rsidRPr="00D4309F" w:rsidRDefault="004C00ED" w:rsidP="003C3F36">
            <w:pPr>
              <w:pStyle w:val="Table-Bullet"/>
            </w:pPr>
            <w:r w:rsidRPr="00D4309F">
              <w:t>Assessment of breakwater</w:t>
            </w:r>
            <w:r w:rsidRPr="00D4309F">
              <w:rPr>
                <w:spacing w:val="-13"/>
              </w:rPr>
              <w:t xml:space="preserve"> </w:t>
            </w:r>
            <w:r w:rsidRPr="00D4309F">
              <w:t xml:space="preserve">habitat </w:t>
            </w:r>
            <w:r w:rsidRPr="00D4309F">
              <w:rPr>
                <w:spacing w:val="-4"/>
              </w:rPr>
              <w:t>use</w:t>
            </w:r>
          </w:p>
        </w:tc>
        <w:tc>
          <w:tcPr>
            <w:tcW w:w="2523" w:type="dxa"/>
            <w:tcBorders>
              <w:top w:val="single" w:sz="4" w:space="0" w:color="000000"/>
              <w:bottom w:val="single" w:sz="4" w:space="0" w:color="000000"/>
            </w:tcBorders>
            <w:vAlign w:val="center"/>
          </w:tcPr>
          <w:p w14:paraId="6C1CF617" w14:textId="23824E06" w:rsidR="004C00ED" w:rsidRPr="00D4309F" w:rsidRDefault="004C00ED" w:rsidP="003C3F36">
            <w:pPr>
              <w:pStyle w:val="Table-Bullet"/>
            </w:pPr>
            <w:r w:rsidRPr="00D4309F">
              <w:t>Construction and dredging</w:t>
            </w:r>
            <w:r w:rsidRPr="00D4309F">
              <w:rPr>
                <w:spacing w:val="-13"/>
              </w:rPr>
              <w:t xml:space="preserve"> </w:t>
            </w:r>
            <w:r w:rsidRPr="00D4309F">
              <w:t xml:space="preserve">designed to avoid protected marine fauna </w:t>
            </w:r>
            <w:r w:rsidRPr="00D4309F">
              <w:rPr>
                <w:spacing w:val="-2"/>
              </w:rPr>
              <w:t>habitats</w:t>
            </w:r>
          </w:p>
        </w:tc>
      </w:tr>
      <w:tr w:rsidR="00131333" w:rsidRPr="00D4309F" w14:paraId="2A317160" w14:textId="77777777" w:rsidTr="003C3F36">
        <w:trPr>
          <w:cantSplit/>
          <w:trHeight w:val="20"/>
        </w:trPr>
        <w:tc>
          <w:tcPr>
            <w:tcW w:w="1300" w:type="dxa"/>
            <w:tcBorders>
              <w:top w:val="single" w:sz="4" w:space="0" w:color="000000"/>
              <w:bottom w:val="single" w:sz="4" w:space="0" w:color="000000"/>
            </w:tcBorders>
            <w:vAlign w:val="center"/>
          </w:tcPr>
          <w:p w14:paraId="4C1893F5" w14:textId="58F7FCC4" w:rsidR="004C00ED" w:rsidRPr="00D4309F" w:rsidRDefault="004C00ED" w:rsidP="003C3F36">
            <w:pPr>
              <w:pStyle w:val="Table-Text"/>
            </w:pPr>
            <w:r w:rsidRPr="00D4309F">
              <w:t>Marine</w:t>
            </w:r>
            <w:r w:rsidRPr="00D4309F">
              <w:rPr>
                <w:spacing w:val="-4"/>
              </w:rPr>
              <w:t xml:space="preserve"> </w:t>
            </w:r>
            <w:r w:rsidRPr="00D4309F">
              <w:t>fauna</w:t>
            </w:r>
          </w:p>
        </w:tc>
        <w:tc>
          <w:tcPr>
            <w:tcW w:w="1961" w:type="dxa"/>
            <w:tcBorders>
              <w:top w:val="single" w:sz="4" w:space="0" w:color="000000"/>
              <w:bottom w:val="single" w:sz="4" w:space="0" w:color="000000"/>
            </w:tcBorders>
            <w:vAlign w:val="center"/>
          </w:tcPr>
          <w:p w14:paraId="65F0F285" w14:textId="3CA8DB12" w:rsidR="004C00ED" w:rsidRPr="00D4309F" w:rsidRDefault="004C00ED" w:rsidP="003C3F36">
            <w:pPr>
              <w:pStyle w:val="Table-Text"/>
            </w:pPr>
            <w:r w:rsidRPr="00D4309F">
              <w:rPr>
                <w:spacing w:val="-4"/>
              </w:rPr>
              <w:t xml:space="preserve">Site </w:t>
            </w:r>
            <w:r w:rsidRPr="00D4309F">
              <w:t>attached species</w:t>
            </w:r>
          </w:p>
        </w:tc>
        <w:tc>
          <w:tcPr>
            <w:tcW w:w="2835" w:type="dxa"/>
            <w:tcBorders>
              <w:top w:val="single" w:sz="4" w:space="0" w:color="000000"/>
              <w:bottom w:val="single" w:sz="4" w:space="0" w:color="000000"/>
            </w:tcBorders>
            <w:vAlign w:val="center"/>
          </w:tcPr>
          <w:p w14:paraId="6794D452" w14:textId="34E922A6" w:rsidR="004C00ED" w:rsidRPr="00D4309F" w:rsidRDefault="004C00ED" w:rsidP="003C3F36">
            <w:pPr>
              <w:pStyle w:val="Table-Bullet"/>
            </w:pPr>
            <w:r w:rsidRPr="00D4309F">
              <w:rPr>
                <w:spacing w:val="-2"/>
              </w:rPr>
              <w:t xml:space="preserve">Mortality/injury/behavioural </w:t>
            </w:r>
            <w:r w:rsidRPr="00D4309F">
              <w:t>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toxic</w:t>
            </w:r>
            <w:r w:rsidRPr="00D4309F">
              <w:rPr>
                <w:spacing w:val="-9"/>
              </w:rPr>
              <w:t xml:space="preserve"> </w:t>
            </w:r>
            <w:r w:rsidRPr="00D4309F">
              <w:t xml:space="preserve">effects due to release of </w:t>
            </w:r>
            <w:r w:rsidRPr="00D4309F">
              <w:rPr>
                <w:spacing w:val="-2"/>
              </w:rPr>
              <w:t>contaminants/hypoxia</w:t>
            </w:r>
          </w:p>
        </w:tc>
        <w:tc>
          <w:tcPr>
            <w:tcW w:w="1417" w:type="dxa"/>
            <w:tcBorders>
              <w:top w:val="single" w:sz="4" w:space="0" w:color="000000"/>
              <w:bottom w:val="single" w:sz="4" w:space="0" w:color="000000"/>
            </w:tcBorders>
            <w:shd w:val="clear" w:color="auto" w:fill="92D050"/>
            <w:vAlign w:val="center"/>
          </w:tcPr>
          <w:p w14:paraId="53A23F3B" w14:textId="6EE2FD5D" w:rsidR="004C00ED" w:rsidRPr="00D4309F" w:rsidRDefault="004C00ED" w:rsidP="00131333">
            <w:pPr>
              <w:pStyle w:val="TableParagraph"/>
              <w:ind w:left="206" w:right="206" w:firstLine="1"/>
              <w:rPr>
                <w:b/>
                <w:color w:val="211E1F"/>
                <w:sz w:val="18"/>
              </w:rPr>
            </w:pPr>
            <w:r w:rsidRPr="00D4309F">
              <w:rPr>
                <w:b/>
                <w:color w:val="211E1F"/>
                <w:spacing w:val="-5"/>
                <w:sz w:val="18"/>
              </w:rPr>
              <w:t>Low</w:t>
            </w:r>
          </w:p>
        </w:tc>
        <w:tc>
          <w:tcPr>
            <w:tcW w:w="2410" w:type="dxa"/>
            <w:tcBorders>
              <w:top w:val="single" w:sz="4" w:space="0" w:color="000000"/>
              <w:bottom w:val="single" w:sz="4" w:space="0" w:color="000000"/>
            </w:tcBorders>
            <w:vAlign w:val="center"/>
          </w:tcPr>
          <w:p w14:paraId="151EC86E" w14:textId="77777777" w:rsidR="004C00ED" w:rsidRPr="00D4309F" w:rsidRDefault="004C00ED" w:rsidP="003C3F36">
            <w:pPr>
              <w:pStyle w:val="Table-Bullet"/>
            </w:pPr>
            <w:r w:rsidRPr="00D4309F">
              <w:t>Dredge sediments likely comprise clean marine sand free</w:t>
            </w:r>
            <w:r w:rsidRPr="00D4309F">
              <w:rPr>
                <w:spacing w:val="-11"/>
              </w:rPr>
              <w:t xml:space="preserve"> </w:t>
            </w:r>
            <w:r w:rsidRPr="00D4309F">
              <w:t>of</w:t>
            </w:r>
            <w:r w:rsidRPr="00D4309F">
              <w:rPr>
                <w:spacing w:val="-10"/>
              </w:rPr>
              <w:t xml:space="preserve"> </w:t>
            </w:r>
            <w:r w:rsidRPr="00D4309F">
              <w:t>contaminants</w:t>
            </w:r>
            <w:r w:rsidRPr="00D4309F">
              <w:rPr>
                <w:spacing w:val="-10"/>
              </w:rPr>
              <w:t xml:space="preserve"> </w:t>
            </w:r>
            <w:r w:rsidRPr="00D4309F">
              <w:t>with</w:t>
            </w:r>
            <w:r w:rsidRPr="00D4309F">
              <w:rPr>
                <w:spacing w:val="-11"/>
              </w:rPr>
              <w:t xml:space="preserve"> </w:t>
            </w:r>
            <w:r w:rsidRPr="00D4309F">
              <w:t>low organic matter content</w:t>
            </w:r>
          </w:p>
          <w:p w14:paraId="58FBF050" w14:textId="77777777" w:rsidR="004C00ED" w:rsidRPr="00D4309F" w:rsidRDefault="004C00ED" w:rsidP="003C3F36">
            <w:pPr>
              <w:pStyle w:val="Table-Bullet"/>
            </w:pPr>
            <w:r w:rsidRPr="00D4309F">
              <w:t>Breakwater materials assumed</w:t>
            </w:r>
            <w:r w:rsidRPr="00D4309F">
              <w:rPr>
                <w:spacing w:val="-10"/>
              </w:rPr>
              <w:t xml:space="preserve"> </w:t>
            </w:r>
            <w:r w:rsidRPr="00D4309F">
              <w:t>to</w:t>
            </w:r>
            <w:r w:rsidRPr="00D4309F">
              <w:rPr>
                <w:spacing w:val="-10"/>
              </w:rPr>
              <w:t xml:space="preserve"> </w:t>
            </w:r>
            <w:r w:rsidRPr="00D4309F">
              <w:t>be</w:t>
            </w:r>
            <w:r w:rsidRPr="00D4309F">
              <w:rPr>
                <w:spacing w:val="-9"/>
              </w:rPr>
              <w:t xml:space="preserve"> </w:t>
            </w:r>
            <w:r w:rsidRPr="00D4309F">
              <w:t>free</w:t>
            </w:r>
            <w:r w:rsidRPr="00D4309F">
              <w:rPr>
                <w:spacing w:val="-10"/>
              </w:rPr>
              <w:t xml:space="preserve"> </w:t>
            </w:r>
            <w:r w:rsidRPr="00D4309F">
              <w:t xml:space="preserve">of </w:t>
            </w:r>
            <w:r w:rsidRPr="00D4309F">
              <w:rPr>
                <w:spacing w:val="-2"/>
              </w:rPr>
              <w:t>contamination</w:t>
            </w:r>
          </w:p>
          <w:p w14:paraId="1260946D" w14:textId="543F0A6C" w:rsidR="004C00ED" w:rsidRPr="00D4309F" w:rsidRDefault="004C00ED" w:rsidP="003C3F36">
            <w:pPr>
              <w:pStyle w:val="Table-Bullet"/>
            </w:pPr>
            <w:r w:rsidRPr="00D4309F">
              <w:t>Rock</w:t>
            </w:r>
            <w:r w:rsidRPr="00D4309F">
              <w:rPr>
                <w:spacing w:val="-9"/>
              </w:rPr>
              <w:t xml:space="preserve"> </w:t>
            </w:r>
            <w:r w:rsidRPr="00D4309F">
              <w:t>is</w:t>
            </w:r>
            <w:r w:rsidRPr="00D4309F">
              <w:rPr>
                <w:spacing w:val="-9"/>
              </w:rPr>
              <w:t xml:space="preserve"> </w:t>
            </w:r>
            <w:r w:rsidRPr="00D4309F">
              <w:t>likely</w:t>
            </w:r>
            <w:r w:rsidRPr="00D4309F">
              <w:rPr>
                <w:spacing w:val="-9"/>
              </w:rPr>
              <w:t xml:space="preserve"> </w:t>
            </w:r>
            <w:r w:rsidRPr="00D4309F">
              <w:t>to</w:t>
            </w:r>
            <w:r w:rsidRPr="00D4309F">
              <w:rPr>
                <w:spacing w:val="-10"/>
              </w:rPr>
              <w:t xml:space="preserve"> </w:t>
            </w:r>
            <w:r w:rsidRPr="00D4309F">
              <w:t xml:space="preserve">be </w:t>
            </w:r>
            <w:r w:rsidRPr="00D4309F">
              <w:rPr>
                <w:spacing w:val="-2"/>
              </w:rPr>
              <w:t>uncontaminated</w:t>
            </w:r>
          </w:p>
        </w:tc>
        <w:tc>
          <w:tcPr>
            <w:tcW w:w="2126" w:type="dxa"/>
            <w:tcBorders>
              <w:top w:val="single" w:sz="4" w:space="0" w:color="000000"/>
              <w:bottom w:val="single" w:sz="4" w:space="0" w:color="000000"/>
            </w:tcBorders>
            <w:vAlign w:val="center"/>
          </w:tcPr>
          <w:p w14:paraId="1E2AD2D8" w14:textId="117FB784" w:rsidR="004C00ED" w:rsidRPr="00D4309F" w:rsidRDefault="004C00ED" w:rsidP="003C3F36">
            <w:pPr>
              <w:pStyle w:val="Table-Bullet"/>
            </w:pPr>
            <w:r w:rsidRPr="00D4309F">
              <w:t>Assumption</w:t>
            </w:r>
            <w:r w:rsidRPr="00D4309F">
              <w:rPr>
                <w:spacing w:val="-13"/>
              </w:rPr>
              <w:t xml:space="preserve"> </w:t>
            </w:r>
            <w:r w:rsidRPr="00D4309F">
              <w:t>that suitable data exists to inform this risk</w:t>
            </w:r>
          </w:p>
        </w:tc>
        <w:tc>
          <w:tcPr>
            <w:tcW w:w="2523" w:type="dxa"/>
            <w:tcBorders>
              <w:top w:val="single" w:sz="4" w:space="0" w:color="000000"/>
              <w:bottom w:val="single" w:sz="4" w:space="0" w:color="000000"/>
            </w:tcBorders>
            <w:vAlign w:val="center"/>
          </w:tcPr>
          <w:p w14:paraId="6BE7799D" w14:textId="6BAFF41B" w:rsidR="004C00ED" w:rsidRPr="00D4309F" w:rsidRDefault="004C00ED" w:rsidP="003C3F36">
            <w:pPr>
              <w:pStyle w:val="Table-Bullet"/>
            </w:pPr>
            <w:r w:rsidRPr="00D4309F">
              <w:rPr>
                <w:spacing w:val="-4"/>
              </w:rPr>
              <w:t>None</w:t>
            </w:r>
          </w:p>
        </w:tc>
      </w:tr>
      <w:tr w:rsidR="00131333" w:rsidRPr="00D4309F" w14:paraId="5F906813" w14:textId="77777777" w:rsidTr="003C3F36">
        <w:trPr>
          <w:cantSplit/>
          <w:trHeight w:val="20"/>
        </w:trPr>
        <w:tc>
          <w:tcPr>
            <w:tcW w:w="1300" w:type="dxa"/>
            <w:tcBorders>
              <w:top w:val="single" w:sz="4" w:space="0" w:color="000000"/>
              <w:bottom w:val="single" w:sz="4" w:space="0" w:color="000000"/>
            </w:tcBorders>
            <w:vAlign w:val="center"/>
          </w:tcPr>
          <w:p w14:paraId="1C546778" w14:textId="58348FA4" w:rsidR="004C00ED" w:rsidRPr="00D4309F" w:rsidRDefault="004C00ED" w:rsidP="003C3F36">
            <w:pPr>
              <w:pStyle w:val="Table-Text"/>
            </w:pPr>
            <w:r w:rsidRPr="00D4309F">
              <w:lastRenderedPageBreak/>
              <w:t>Marine</w:t>
            </w:r>
            <w:r w:rsidRPr="00D4309F">
              <w:rPr>
                <w:spacing w:val="-4"/>
              </w:rPr>
              <w:t xml:space="preserve"> </w:t>
            </w:r>
            <w:r w:rsidRPr="00D4309F">
              <w:t>fauna</w:t>
            </w:r>
          </w:p>
        </w:tc>
        <w:tc>
          <w:tcPr>
            <w:tcW w:w="1961" w:type="dxa"/>
            <w:tcBorders>
              <w:top w:val="single" w:sz="4" w:space="0" w:color="000000"/>
              <w:bottom w:val="single" w:sz="4" w:space="0" w:color="000000"/>
            </w:tcBorders>
            <w:vAlign w:val="center"/>
          </w:tcPr>
          <w:p w14:paraId="6D1233D8" w14:textId="73776CB4" w:rsidR="004C00ED" w:rsidRPr="00D4309F" w:rsidRDefault="004C00ED" w:rsidP="003C3F36">
            <w:pPr>
              <w:pStyle w:val="Table-Text"/>
            </w:pPr>
            <w:r w:rsidRPr="00D4309F">
              <w:t>Mobile species</w:t>
            </w:r>
          </w:p>
        </w:tc>
        <w:tc>
          <w:tcPr>
            <w:tcW w:w="2835" w:type="dxa"/>
            <w:tcBorders>
              <w:top w:val="single" w:sz="4" w:space="0" w:color="000000"/>
              <w:bottom w:val="single" w:sz="4" w:space="0" w:color="000000"/>
            </w:tcBorders>
            <w:vAlign w:val="center"/>
          </w:tcPr>
          <w:p w14:paraId="47922555" w14:textId="77777777" w:rsidR="004C00ED" w:rsidRPr="00D4309F" w:rsidRDefault="004C00ED" w:rsidP="003C3F36">
            <w:pPr>
              <w:pStyle w:val="Table-Bullet"/>
            </w:pPr>
            <w:r w:rsidRPr="00D4309F">
              <w:t>Vessel</w:t>
            </w:r>
            <w:r w:rsidRPr="00D4309F">
              <w:rPr>
                <w:spacing w:val="-5"/>
              </w:rPr>
              <w:t xml:space="preserve"> </w:t>
            </w:r>
            <w:r w:rsidRPr="00D4309F">
              <w:rPr>
                <w:spacing w:val="-2"/>
              </w:rPr>
              <w:t>collision</w:t>
            </w:r>
          </w:p>
          <w:p w14:paraId="4CAF161B" w14:textId="77777777" w:rsidR="004C00ED" w:rsidRPr="00D4309F" w:rsidRDefault="004C00ED" w:rsidP="003C3F36">
            <w:pPr>
              <w:pStyle w:val="Table-Bullet"/>
            </w:pPr>
            <w:r w:rsidRPr="00D4309F">
              <w:t>Direct</w:t>
            </w:r>
            <w:r w:rsidRPr="00D4309F">
              <w:rPr>
                <w:spacing w:val="-13"/>
              </w:rPr>
              <w:t xml:space="preserve"> </w:t>
            </w:r>
            <w:r w:rsidRPr="00D4309F">
              <w:t>mortality/injury</w:t>
            </w:r>
            <w:r w:rsidRPr="00D4309F">
              <w:rPr>
                <w:spacing w:val="-12"/>
              </w:rPr>
              <w:t xml:space="preserve"> </w:t>
            </w:r>
            <w:r w:rsidRPr="00D4309F">
              <w:t>due</w:t>
            </w:r>
            <w:r w:rsidRPr="00D4309F">
              <w:rPr>
                <w:spacing w:val="-13"/>
              </w:rPr>
              <w:t xml:space="preserve"> </w:t>
            </w:r>
            <w:r w:rsidRPr="00D4309F">
              <w:t>to breakwater removal, rock cutting and dredging</w:t>
            </w:r>
          </w:p>
          <w:p w14:paraId="6E5BC9B8" w14:textId="73EFD6AF" w:rsidR="004C00ED" w:rsidRPr="00D4309F" w:rsidRDefault="004C00ED" w:rsidP="003C3F36">
            <w:pPr>
              <w:pStyle w:val="Table-Bullet"/>
            </w:pPr>
            <w:r w:rsidRPr="00D4309F">
              <w:rPr>
                <w:spacing w:val="-2"/>
              </w:rPr>
              <w:t xml:space="preserve">Mortality/injury/behavioural </w:t>
            </w:r>
            <w:r w:rsidRPr="00D4309F">
              <w:t>response due to physical effects of turbidity</w:t>
            </w:r>
          </w:p>
        </w:tc>
        <w:tc>
          <w:tcPr>
            <w:tcW w:w="1417" w:type="dxa"/>
            <w:tcBorders>
              <w:top w:val="single" w:sz="4" w:space="0" w:color="000000"/>
              <w:bottom w:val="single" w:sz="4" w:space="0" w:color="000000"/>
            </w:tcBorders>
            <w:shd w:val="clear" w:color="auto" w:fill="92D050"/>
            <w:vAlign w:val="center"/>
          </w:tcPr>
          <w:p w14:paraId="5256998B" w14:textId="530BDF59" w:rsidR="004C00ED" w:rsidRPr="00D4309F" w:rsidRDefault="004C00ED" w:rsidP="00131333">
            <w:pPr>
              <w:pStyle w:val="TableParagraph"/>
              <w:ind w:left="206" w:right="206" w:firstLine="1"/>
              <w:rPr>
                <w:b/>
                <w:color w:val="211E1F"/>
                <w:sz w:val="18"/>
              </w:rPr>
            </w:pPr>
            <w:r w:rsidRPr="00D4309F">
              <w:rPr>
                <w:b/>
                <w:color w:val="211E1F"/>
                <w:spacing w:val="-5"/>
                <w:sz w:val="18"/>
              </w:rPr>
              <w:t>Low</w:t>
            </w:r>
          </w:p>
        </w:tc>
        <w:tc>
          <w:tcPr>
            <w:tcW w:w="2410" w:type="dxa"/>
            <w:tcBorders>
              <w:top w:val="single" w:sz="4" w:space="0" w:color="000000"/>
              <w:bottom w:val="single" w:sz="4" w:space="0" w:color="000000"/>
            </w:tcBorders>
            <w:vAlign w:val="center"/>
          </w:tcPr>
          <w:p w14:paraId="5F4D5385" w14:textId="09844934" w:rsidR="004C00ED" w:rsidRPr="00D4309F" w:rsidRDefault="004C00ED" w:rsidP="003C3F36">
            <w:pPr>
              <w:pStyle w:val="Table-Bullet"/>
            </w:pPr>
            <w:r w:rsidRPr="00D4309F">
              <w:t>Mobile species including the critically endangered Grey Nurse</w:t>
            </w:r>
            <w:r w:rsidRPr="00D4309F">
              <w:rPr>
                <w:spacing w:val="-13"/>
              </w:rPr>
              <w:t xml:space="preserve"> </w:t>
            </w:r>
            <w:r w:rsidRPr="00D4309F">
              <w:t>Shark</w:t>
            </w:r>
            <w:r w:rsidRPr="00D4309F">
              <w:rPr>
                <w:spacing w:val="-12"/>
              </w:rPr>
              <w:t xml:space="preserve"> </w:t>
            </w:r>
            <w:r w:rsidRPr="00D4309F">
              <w:t>and</w:t>
            </w:r>
            <w:r w:rsidRPr="00D4309F">
              <w:rPr>
                <w:spacing w:val="-12"/>
              </w:rPr>
              <w:t xml:space="preserve"> </w:t>
            </w:r>
            <w:r w:rsidRPr="00D4309F">
              <w:t>conservation dependant scalloped hammerhead will actively avoid areas of activity</w:t>
            </w:r>
          </w:p>
        </w:tc>
        <w:tc>
          <w:tcPr>
            <w:tcW w:w="2126" w:type="dxa"/>
            <w:tcBorders>
              <w:top w:val="single" w:sz="4" w:space="0" w:color="000000"/>
              <w:bottom w:val="single" w:sz="4" w:space="0" w:color="000000"/>
            </w:tcBorders>
            <w:vAlign w:val="center"/>
          </w:tcPr>
          <w:p w14:paraId="3489EFFB" w14:textId="32F90AA3" w:rsidR="004C00ED" w:rsidRPr="00D4309F" w:rsidRDefault="004C00ED" w:rsidP="003C3F36">
            <w:pPr>
              <w:pStyle w:val="Table-Bullet"/>
            </w:pPr>
            <w:r w:rsidRPr="00D4309F">
              <w:rPr>
                <w:color w:val="211E1F"/>
                <w:spacing w:val="-4"/>
              </w:rPr>
              <w:t>None</w:t>
            </w:r>
          </w:p>
        </w:tc>
        <w:tc>
          <w:tcPr>
            <w:tcW w:w="2523" w:type="dxa"/>
            <w:tcBorders>
              <w:top w:val="single" w:sz="4" w:space="0" w:color="000000"/>
              <w:bottom w:val="single" w:sz="4" w:space="0" w:color="000000"/>
            </w:tcBorders>
            <w:vAlign w:val="center"/>
          </w:tcPr>
          <w:p w14:paraId="2AC841C8" w14:textId="1719D247" w:rsidR="004C00ED" w:rsidRPr="00D4309F" w:rsidRDefault="004C00ED" w:rsidP="003C3F36">
            <w:pPr>
              <w:pStyle w:val="Table-Bullet"/>
            </w:pPr>
            <w:r w:rsidRPr="00D4309F">
              <w:rPr>
                <w:color w:val="211E1F"/>
                <w:spacing w:val="-4"/>
              </w:rPr>
              <w:t>None</w:t>
            </w:r>
          </w:p>
        </w:tc>
      </w:tr>
      <w:tr w:rsidR="003C3F36" w:rsidRPr="00D4309F" w14:paraId="75F73228" w14:textId="77777777" w:rsidTr="003C3F36">
        <w:trPr>
          <w:cantSplit/>
          <w:trHeight w:val="20"/>
        </w:trPr>
        <w:tc>
          <w:tcPr>
            <w:tcW w:w="1300" w:type="dxa"/>
            <w:tcBorders>
              <w:top w:val="single" w:sz="4" w:space="0" w:color="000000"/>
              <w:bottom w:val="single" w:sz="4" w:space="0" w:color="000000"/>
            </w:tcBorders>
            <w:vAlign w:val="center"/>
          </w:tcPr>
          <w:p w14:paraId="45781CA7" w14:textId="7013406A" w:rsidR="004C00ED" w:rsidRPr="00D4309F" w:rsidRDefault="004C00ED" w:rsidP="003C3F36">
            <w:pPr>
              <w:pStyle w:val="Table-Text"/>
            </w:pPr>
            <w:r w:rsidRPr="00D4309F">
              <w:t>Marine</w:t>
            </w:r>
            <w:r w:rsidRPr="00D4309F">
              <w:rPr>
                <w:spacing w:val="-4"/>
              </w:rPr>
              <w:t xml:space="preserve"> </w:t>
            </w:r>
            <w:r w:rsidRPr="00D4309F">
              <w:t>fauna</w:t>
            </w:r>
          </w:p>
        </w:tc>
        <w:tc>
          <w:tcPr>
            <w:tcW w:w="1961" w:type="dxa"/>
            <w:tcBorders>
              <w:top w:val="single" w:sz="4" w:space="0" w:color="000000"/>
              <w:bottom w:val="single" w:sz="4" w:space="0" w:color="000000"/>
            </w:tcBorders>
            <w:vAlign w:val="center"/>
          </w:tcPr>
          <w:p w14:paraId="2BF014D3" w14:textId="338F88CB" w:rsidR="004C00ED" w:rsidRPr="00D4309F" w:rsidRDefault="004C00ED" w:rsidP="003C3F36">
            <w:pPr>
              <w:pStyle w:val="Table-Text"/>
            </w:pPr>
            <w:r w:rsidRPr="00D4309F">
              <w:t>Mobile species</w:t>
            </w:r>
          </w:p>
        </w:tc>
        <w:tc>
          <w:tcPr>
            <w:tcW w:w="2835" w:type="dxa"/>
            <w:tcBorders>
              <w:top w:val="single" w:sz="4" w:space="0" w:color="000000"/>
              <w:bottom w:val="single" w:sz="4" w:space="0" w:color="000000"/>
            </w:tcBorders>
            <w:vAlign w:val="center"/>
          </w:tcPr>
          <w:p w14:paraId="345BBA8B" w14:textId="4FC61596" w:rsidR="004C00ED" w:rsidRPr="00D4309F" w:rsidRDefault="004C00ED" w:rsidP="003C3F36">
            <w:pPr>
              <w:pStyle w:val="Table-Bullet"/>
            </w:pPr>
            <w:r w:rsidRPr="00D4309F">
              <w:rPr>
                <w:spacing w:val="-2"/>
              </w:rPr>
              <w:t xml:space="preserve">Mortality/injury/behavioural </w:t>
            </w:r>
            <w:r w:rsidRPr="00D4309F">
              <w:t>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toxic</w:t>
            </w:r>
            <w:r w:rsidRPr="00D4309F">
              <w:rPr>
                <w:spacing w:val="-9"/>
              </w:rPr>
              <w:t xml:space="preserve"> </w:t>
            </w:r>
            <w:r w:rsidRPr="00D4309F">
              <w:t xml:space="preserve">effects due to release of </w:t>
            </w:r>
            <w:r w:rsidRPr="00D4309F">
              <w:rPr>
                <w:spacing w:val="-2"/>
              </w:rPr>
              <w:t>contaminants/hypoxia</w:t>
            </w:r>
          </w:p>
        </w:tc>
        <w:tc>
          <w:tcPr>
            <w:tcW w:w="1417" w:type="dxa"/>
            <w:tcBorders>
              <w:top w:val="single" w:sz="4" w:space="0" w:color="000000"/>
              <w:bottom w:val="single" w:sz="4" w:space="0" w:color="000000"/>
            </w:tcBorders>
            <w:shd w:val="clear" w:color="auto" w:fill="92D050"/>
            <w:vAlign w:val="center"/>
          </w:tcPr>
          <w:p w14:paraId="3E1042CF" w14:textId="440F05C7" w:rsidR="004C00ED" w:rsidRPr="00D4309F" w:rsidRDefault="004C00ED" w:rsidP="00131333">
            <w:pPr>
              <w:pStyle w:val="TableParagraph"/>
              <w:ind w:left="206" w:right="206" w:firstLine="1"/>
              <w:rPr>
                <w:b/>
                <w:color w:val="211E1F"/>
                <w:sz w:val="18"/>
              </w:rPr>
            </w:pPr>
            <w:r w:rsidRPr="00D4309F">
              <w:rPr>
                <w:b/>
                <w:color w:val="211E1F"/>
                <w:spacing w:val="-5"/>
                <w:sz w:val="18"/>
              </w:rPr>
              <w:t>Low</w:t>
            </w:r>
          </w:p>
        </w:tc>
        <w:tc>
          <w:tcPr>
            <w:tcW w:w="2410" w:type="dxa"/>
            <w:tcBorders>
              <w:top w:val="single" w:sz="4" w:space="0" w:color="000000"/>
              <w:bottom w:val="single" w:sz="4" w:space="0" w:color="000000"/>
            </w:tcBorders>
            <w:vAlign w:val="center"/>
          </w:tcPr>
          <w:p w14:paraId="12457FA1" w14:textId="77777777" w:rsidR="004C00ED" w:rsidRPr="00D4309F" w:rsidRDefault="004C00ED" w:rsidP="003C3F36">
            <w:pPr>
              <w:pStyle w:val="Table-Bullet"/>
            </w:pPr>
            <w:r w:rsidRPr="00D4309F">
              <w:t>Dredge sediments likely comprise clean marine sand free</w:t>
            </w:r>
            <w:r w:rsidRPr="00D4309F">
              <w:rPr>
                <w:spacing w:val="-11"/>
              </w:rPr>
              <w:t xml:space="preserve"> </w:t>
            </w:r>
            <w:r w:rsidRPr="00D4309F">
              <w:t>of</w:t>
            </w:r>
            <w:r w:rsidRPr="00D4309F">
              <w:rPr>
                <w:spacing w:val="-10"/>
              </w:rPr>
              <w:t xml:space="preserve"> </w:t>
            </w:r>
            <w:r w:rsidRPr="00D4309F">
              <w:t>contaminants</w:t>
            </w:r>
            <w:r w:rsidRPr="00D4309F">
              <w:rPr>
                <w:spacing w:val="-10"/>
              </w:rPr>
              <w:t xml:space="preserve"> </w:t>
            </w:r>
            <w:r w:rsidRPr="00D4309F">
              <w:t>with</w:t>
            </w:r>
            <w:r w:rsidRPr="00D4309F">
              <w:rPr>
                <w:spacing w:val="-11"/>
              </w:rPr>
              <w:t xml:space="preserve"> </w:t>
            </w:r>
            <w:r w:rsidRPr="00D4309F">
              <w:t>low organic matter content</w:t>
            </w:r>
          </w:p>
          <w:p w14:paraId="0F3DF22C" w14:textId="77777777" w:rsidR="004C00ED" w:rsidRPr="00D4309F" w:rsidRDefault="004C00ED" w:rsidP="003C3F36">
            <w:pPr>
              <w:pStyle w:val="Table-Bullet"/>
            </w:pPr>
            <w:r w:rsidRPr="00D4309F">
              <w:t>Breakwater materials assumed</w:t>
            </w:r>
            <w:r w:rsidRPr="00D4309F">
              <w:rPr>
                <w:spacing w:val="-10"/>
              </w:rPr>
              <w:t xml:space="preserve"> </w:t>
            </w:r>
            <w:r w:rsidRPr="00D4309F">
              <w:t>to</w:t>
            </w:r>
            <w:r w:rsidRPr="00D4309F">
              <w:rPr>
                <w:spacing w:val="-10"/>
              </w:rPr>
              <w:t xml:space="preserve"> </w:t>
            </w:r>
            <w:r w:rsidRPr="00D4309F">
              <w:t>be</w:t>
            </w:r>
            <w:r w:rsidRPr="00D4309F">
              <w:rPr>
                <w:spacing w:val="-9"/>
              </w:rPr>
              <w:t xml:space="preserve"> </w:t>
            </w:r>
            <w:r w:rsidRPr="00D4309F">
              <w:t>free</w:t>
            </w:r>
            <w:r w:rsidRPr="00D4309F">
              <w:rPr>
                <w:spacing w:val="-10"/>
              </w:rPr>
              <w:t xml:space="preserve"> </w:t>
            </w:r>
            <w:r w:rsidRPr="00D4309F">
              <w:t xml:space="preserve">of </w:t>
            </w:r>
            <w:r w:rsidRPr="00D4309F">
              <w:rPr>
                <w:spacing w:val="-2"/>
              </w:rPr>
              <w:t>contamination</w:t>
            </w:r>
          </w:p>
          <w:p w14:paraId="10DFD0A6" w14:textId="56803BAE" w:rsidR="004C00ED" w:rsidRPr="00D4309F" w:rsidRDefault="004C00ED" w:rsidP="003C3F36">
            <w:pPr>
              <w:pStyle w:val="Table-Bullet"/>
            </w:pPr>
            <w:r w:rsidRPr="00D4309F">
              <w:t>Rock</w:t>
            </w:r>
            <w:r w:rsidRPr="00D4309F">
              <w:rPr>
                <w:spacing w:val="-9"/>
              </w:rPr>
              <w:t xml:space="preserve"> </w:t>
            </w:r>
            <w:r w:rsidRPr="00D4309F">
              <w:t>is</w:t>
            </w:r>
            <w:r w:rsidRPr="00D4309F">
              <w:rPr>
                <w:spacing w:val="-9"/>
              </w:rPr>
              <w:t xml:space="preserve"> </w:t>
            </w:r>
            <w:r w:rsidRPr="00D4309F">
              <w:t>likely</w:t>
            </w:r>
            <w:r w:rsidRPr="00D4309F">
              <w:rPr>
                <w:spacing w:val="-9"/>
              </w:rPr>
              <w:t xml:space="preserve"> </w:t>
            </w:r>
            <w:r w:rsidRPr="00D4309F">
              <w:t>to</w:t>
            </w:r>
            <w:r w:rsidRPr="00D4309F">
              <w:rPr>
                <w:spacing w:val="-10"/>
              </w:rPr>
              <w:t xml:space="preserve"> </w:t>
            </w:r>
            <w:r w:rsidRPr="00D4309F">
              <w:t xml:space="preserve">be </w:t>
            </w:r>
            <w:r w:rsidRPr="00D4309F">
              <w:rPr>
                <w:spacing w:val="-2"/>
              </w:rPr>
              <w:t>uncontaminated</w:t>
            </w:r>
          </w:p>
        </w:tc>
        <w:tc>
          <w:tcPr>
            <w:tcW w:w="2126" w:type="dxa"/>
            <w:tcBorders>
              <w:top w:val="single" w:sz="4" w:space="0" w:color="000000"/>
              <w:bottom w:val="single" w:sz="4" w:space="0" w:color="000000"/>
            </w:tcBorders>
            <w:vAlign w:val="center"/>
          </w:tcPr>
          <w:p w14:paraId="755434C9" w14:textId="59D4F972" w:rsidR="004C00ED" w:rsidRPr="00D4309F" w:rsidRDefault="004C00ED" w:rsidP="003C3F36">
            <w:pPr>
              <w:pStyle w:val="Table-Bullet"/>
            </w:pPr>
            <w:r w:rsidRPr="00D4309F">
              <w:t>Assumption</w:t>
            </w:r>
            <w:r w:rsidRPr="00D4309F">
              <w:rPr>
                <w:spacing w:val="-13"/>
              </w:rPr>
              <w:t xml:space="preserve"> </w:t>
            </w:r>
            <w:r w:rsidRPr="00D4309F">
              <w:t>that suitable data exists to inform this risk</w:t>
            </w:r>
          </w:p>
        </w:tc>
        <w:tc>
          <w:tcPr>
            <w:tcW w:w="2523" w:type="dxa"/>
            <w:tcBorders>
              <w:top w:val="single" w:sz="4" w:space="0" w:color="000000"/>
              <w:bottom w:val="single" w:sz="4" w:space="0" w:color="000000"/>
            </w:tcBorders>
            <w:vAlign w:val="center"/>
          </w:tcPr>
          <w:p w14:paraId="3A7A03F9" w14:textId="746841A8" w:rsidR="004C00ED" w:rsidRPr="00D4309F" w:rsidRDefault="004C00ED" w:rsidP="003C3F36">
            <w:pPr>
              <w:pStyle w:val="Table-Bullet"/>
            </w:pPr>
            <w:r w:rsidRPr="00D4309F">
              <w:rPr>
                <w:color w:val="211E1F"/>
                <w:spacing w:val="-4"/>
              </w:rPr>
              <w:t>None</w:t>
            </w:r>
          </w:p>
        </w:tc>
      </w:tr>
      <w:tr w:rsidR="003C3F36" w:rsidRPr="00D4309F" w14:paraId="3B194695" w14:textId="77777777" w:rsidTr="003C3F36">
        <w:trPr>
          <w:cantSplit/>
          <w:trHeight w:val="20"/>
        </w:trPr>
        <w:tc>
          <w:tcPr>
            <w:tcW w:w="1300" w:type="dxa"/>
            <w:tcBorders>
              <w:top w:val="single" w:sz="4" w:space="0" w:color="000000"/>
              <w:bottom w:val="single" w:sz="4" w:space="0" w:color="000000"/>
            </w:tcBorders>
            <w:vAlign w:val="center"/>
          </w:tcPr>
          <w:p w14:paraId="6BC1A235" w14:textId="5EABCC7B" w:rsidR="004C00ED" w:rsidRPr="00D4309F" w:rsidRDefault="004C00ED" w:rsidP="003C3F36">
            <w:pPr>
              <w:pStyle w:val="Table-Text"/>
            </w:pPr>
            <w:r w:rsidRPr="00D4309F">
              <w:t>Benthic habitats</w:t>
            </w:r>
          </w:p>
        </w:tc>
        <w:tc>
          <w:tcPr>
            <w:tcW w:w="1961" w:type="dxa"/>
            <w:tcBorders>
              <w:top w:val="single" w:sz="4" w:space="0" w:color="000000"/>
              <w:bottom w:val="single" w:sz="4" w:space="0" w:color="000000"/>
            </w:tcBorders>
            <w:vAlign w:val="center"/>
          </w:tcPr>
          <w:p w14:paraId="7E78BE91" w14:textId="7FD06DA9" w:rsidR="004C00ED" w:rsidRPr="00D4309F" w:rsidRDefault="004C00ED" w:rsidP="003C3F36">
            <w:pPr>
              <w:pStyle w:val="Table-Text"/>
            </w:pPr>
            <w:r w:rsidRPr="00D4309F">
              <w:t>Rocky</w:t>
            </w:r>
            <w:r w:rsidRPr="00D4309F">
              <w:rPr>
                <w:spacing w:val="-13"/>
              </w:rPr>
              <w:t xml:space="preserve"> </w:t>
            </w:r>
            <w:r w:rsidRPr="00D4309F">
              <w:t>reef habitat, seagrass and</w:t>
            </w:r>
            <w:r w:rsidRPr="00D4309F">
              <w:rPr>
                <w:spacing w:val="-9"/>
              </w:rPr>
              <w:t xml:space="preserve"> </w:t>
            </w:r>
            <w:r w:rsidRPr="00D4309F">
              <w:t>corals</w:t>
            </w:r>
          </w:p>
        </w:tc>
        <w:tc>
          <w:tcPr>
            <w:tcW w:w="2835" w:type="dxa"/>
            <w:tcBorders>
              <w:top w:val="single" w:sz="4" w:space="0" w:color="000000"/>
              <w:bottom w:val="single" w:sz="4" w:space="0" w:color="000000"/>
            </w:tcBorders>
            <w:vAlign w:val="center"/>
          </w:tcPr>
          <w:p w14:paraId="7A0BEA92" w14:textId="77777777" w:rsidR="004C00ED" w:rsidRPr="00D4309F" w:rsidRDefault="004C00ED" w:rsidP="003C3F36">
            <w:pPr>
              <w:pStyle w:val="Table-Bullet"/>
            </w:pPr>
            <w:r w:rsidRPr="00D4309F">
              <w:t>Direct removal due to breakwater</w:t>
            </w:r>
            <w:r w:rsidRPr="00D4309F">
              <w:rPr>
                <w:spacing w:val="-15"/>
              </w:rPr>
              <w:t xml:space="preserve"> </w:t>
            </w:r>
            <w:r w:rsidRPr="00D4309F">
              <w:t>removal,</w:t>
            </w:r>
            <w:r w:rsidRPr="00D4309F">
              <w:rPr>
                <w:spacing w:val="-12"/>
              </w:rPr>
              <w:t xml:space="preserve"> </w:t>
            </w:r>
            <w:r w:rsidRPr="00D4309F">
              <w:t>rock cutting and dredging</w:t>
            </w:r>
          </w:p>
          <w:p w14:paraId="3632DEBF" w14:textId="77777777" w:rsidR="004C00ED" w:rsidRPr="00D4309F" w:rsidRDefault="004C00ED" w:rsidP="003C3F36">
            <w:pPr>
              <w:pStyle w:val="Table-Bullet"/>
            </w:pPr>
            <w:r w:rsidRPr="00D4309F">
              <w:t>Generation</w:t>
            </w:r>
            <w:r w:rsidRPr="00D4309F">
              <w:rPr>
                <w:spacing w:val="-4"/>
              </w:rPr>
              <w:t xml:space="preserve"> </w:t>
            </w:r>
            <w:r w:rsidRPr="00D4309F">
              <w:t>of</w:t>
            </w:r>
            <w:r w:rsidRPr="00D4309F">
              <w:rPr>
                <w:spacing w:val="-3"/>
              </w:rPr>
              <w:t xml:space="preserve"> </w:t>
            </w:r>
            <w:r w:rsidRPr="00D4309F">
              <w:rPr>
                <w:spacing w:val="-2"/>
              </w:rPr>
              <w:t>turbidity</w:t>
            </w:r>
          </w:p>
          <w:p w14:paraId="7933AF7E" w14:textId="58981B07" w:rsidR="004C00ED" w:rsidRPr="00D4309F" w:rsidRDefault="004C00ED" w:rsidP="003C3F36">
            <w:pPr>
              <w:pStyle w:val="Table-Bullet"/>
            </w:pPr>
            <w:r w:rsidRPr="00D4309F">
              <w:rPr>
                <w:spacing w:val="-2"/>
              </w:rPr>
              <w:t>Smothering</w:t>
            </w:r>
          </w:p>
        </w:tc>
        <w:tc>
          <w:tcPr>
            <w:tcW w:w="1417" w:type="dxa"/>
            <w:tcBorders>
              <w:top w:val="single" w:sz="4" w:space="0" w:color="000000"/>
              <w:bottom w:val="single" w:sz="4" w:space="0" w:color="000000"/>
            </w:tcBorders>
            <w:shd w:val="clear" w:color="auto" w:fill="FFC000"/>
            <w:vAlign w:val="center"/>
          </w:tcPr>
          <w:p w14:paraId="4EE0677D" w14:textId="5E51CCFC" w:rsidR="004C00ED" w:rsidRPr="00D4309F" w:rsidRDefault="004C00ED" w:rsidP="00131333">
            <w:pPr>
              <w:pStyle w:val="TableParagraph"/>
              <w:ind w:left="206" w:right="206" w:firstLine="1"/>
              <w:rPr>
                <w:b/>
                <w:color w:val="211E1F"/>
                <w:sz w:val="18"/>
              </w:rPr>
            </w:pPr>
            <w:r w:rsidRPr="00D4309F">
              <w:rPr>
                <w:b/>
                <w:color w:val="211E1F"/>
                <w:sz w:val="18"/>
              </w:rPr>
              <w:t>High (for rock</w:t>
            </w:r>
            <w:r w:rsidRPr="00D4309F">
              <w:rPr>
                <w:b/>
                <w:color w:val="211E1F"/>
                <w:spacing w:val="-13"/>
                <w:sz w:val="18"/>
              </w:rPr>
              <w:t xml:space="preserve"> </w:t>
            </w:r>
            <w:r w:rsidRPr="00D4309F">
              <w:rPr>
                <w:b/>
                <w:color w:val="211E1F"/>
                <w:sz w:val="18"/>
              </w:rPr>
              <w:t xml:space="preserve">cutting </w:t>
            </w:r>
            <w:r w:rsidRPr="00D4309F">
              <w:rPr>
                <w:b/>
                <w:color w:val="211E1F"/>
                <w:spacing w:val="-4"/>
                <w:sz w:val="18"/>
              </w:rPr>
              <w:t xml:space="preserve">and </w:t>
            </w:r>
            <w:r w:rsidRPr="00D4309F">
              <w:rPr>
                <w:b/>
                <w:color w:val="211E1F"/>
                <w:spacing w:val="-2"/>
                <w:sz w:val="18"/>
              </w:rPr>
              <w:t>breakwater removal)</w:t>
            </w:r>
          </w:p>
        </w:tc>
        <w:tc>
          <w:tcPr>
            <w:tcW w:w="2410" w:type="dxa"/>
            <w:tcBorders>
              <w:top w:val="single" w:sz="4" w:space="0" w:color="000000"/>
              <w:bottom w:val="single" w:sz="4" w:space="0" w:color="000000"/>
            </w:tcBorders>
            <w:vAlign w:val="center"/>
          </w:tcPr>
          <w:p w14:paraId="0331B98A" w14:textId="77777777" w:rsidR="004C00ED" w:rsidRPr="00D4309F" w:rsidRDefault="004C00ED" w:rsidP="003C3F36">
            <w:pPr>
              <w:pStyle w:val="Table-Bullet"/>
            </w:pPr>
            <w:r w:rsidRPr="00D4309F">
              <w:t>The dredge area likely comprises</w:t>
            </w:r>
            <w:r w:rsidRPr="00D4309F">
              <w:rPr>
                <w:spacing w:val="-13"/>
              </w:rPr>
              <w:t xml:space="preserve"> </w:t>
            </w:r>
            <w:r w:rsidRPr="00D4309F">
              <w:t>bare</w:t>
            </w:r>
            <w:r w:rsidRPr="00D4309F">
              <w:rPr>
                <w:spacing w:val="-12"/>
              </w:rPr>
              <w:t xml:space="preserve"> </w:t>
            </w:r>
            <w:r w:rsidRPr="00D4309F">
              <w:t>sand,</w:t>
            </w:r>
            <w:r w:rsidRPr="00D4309F">
              <w:rPr>
                <w:spacing w:val="-13"/>
              </w:rPr>
              <w:t xml:space="preserve"> </w:t>
            </w:r>
            <w:r w:rsidRPr="00D4309F">
              <w:t>further assessment is required to confirm this</w:t>
            </w:r>
          </w:p>
          <w:p w14:paraId="25A79C61" w14:textId="77777777" w:rsidR="004C00ED" w:rsidRPr="00D4309F" w:rsidRDefault="004C00ED" w:rsidP="003C3F36">
            <w:pPr>
              <w:pStyle w:val="Table-Bullet"/>
            </w:pPr>
            <w:r w:rsidRPr="00D4309F">
              <w:t>Further assessment is required to determine if the potential</w:t>
            </w:r>
            <w:r w:rsidRPr="00D4309F">
              <w:rPr>
                <w:spacing w:val="-15"/>
              </w:rPr>
              <w:t xml:space="preserve"> </w:t>
            </w:r>
            <w:r w:rsidRPr="00D4309F">
              <w:t>turbidity</w:t>
            </w:r>
            <w:r w:rsidRPr="00D4309F">
              <w:rPr>
                <w:spacing w:val="-12"/>
              </w:rPr>
              <w:t xml:space="preserve"> </w:t>
            </w:r>
            <w:r w:rsidRPr="00D4309F">
              <w:t xml:space="preserve">generated will impact sensitive marine </w:t>
            </w:r>
            <w:r w:rsidRPr="00D4309F">
              <w:rPr>
                <w:spacing w:val="-2"/>
              </w:rPr>
              <w:t>habitats</w:t>
            </w:r>
          </w:p>
          <w:p w14:paraId="2A270664" w14:textId="77777777" w:rsidR="004C00ED" w:rsidRPr="00D4309F" w:rsidRDefault="004C00ED" w:rsidP="003C3F36">
            <w:pPr>
              <w:pStyle w:val="Table-Bullet"/>
            </w:pPr>
            <w:r w:rsidRPr="00D4309F">
              <w:t>Dredging and breakwater removal</w:t>
            </w:r>
            <w:r w:rsidRPr="00D4309F">
              <w:rPr>
                <w:spacing w:val="-8"/>
              </w:rPr>
              <w:t xml:space="preserve"> </w:t>
            </w:r>
            <w:r w:rsidRPr="00D4309F">
              <w:t>is</w:t>
            </w:r>
            <w:r w:rsidRPr="00D4309F">
              <w:rPr>
                <w:spacing w:val="-8"/>
              </w:rPr>
              <w:t xml:space="preserve"> </w:t>
            </w:r>
            <w:r w:rsidRPr="00D4309F">
              <w:t>in</w:t>
            </w:r>
            <w:r w:rsidRPr="00D4309F">
              <w:rPr>
                <w:spacing w:val="-9"/>
              </w:rPr>
              <w:t xml:space="preserve"> </w:t>
            </w:r>
            <w:r w:rsidRPr="00D4309F">
              <w:t>a</w:t>
            </w:r>
            <w:r w:rsidRPr="00D4309F">
              <w:rPr>
                <w:spacing w:val="-7"/>
              </w:rPr>
              <w:t xml:space="preserve"> </w:t>
            </w:r>
            <w:r w:rsidRPr="00D4309F">
              <w:t>dynamic,</w:t>
            </w:r>
            <w:r w:rsidRPr="00D4309F">
              <w:rPr>
                <w:spacing w:val="-8"/>
              </w:rPr>
              <w:t xml:space="preserve"> </w:t>
            </w:r>
            <w:r w:rsidRPr="00D4309F">
              <w:t xml:space="preserve">open ocean environment, any plume will likely dissipate </w:t>
            </w:r>
            <w:r w:rsidRPr="00D4309F">
              <w:rPr>
                <w:spacing w:val="-2"/>
              </w:rPr>
              <w:t>quickly</w:t>
            </w:r>
          </w:p>
          <w:p w14:paraId="11EF03D9" w14:textId="362CE9F1" w:rsidR="004C00ED" w:rsidRPr="00D4309F" w:rsidRDefault="004C00ED" w:rsidP="003C3F36">
            <w:pPr>
              <w:pStyle w:val="Table-Bullet"/>
            </w:pPr>
            <w:r w:rsidRPr="00D4309F">
              <w:t>Turbidity</w:t>
            </w:r>
            <w:r w:rsidRPr="00D4309F">
              <w:rPr>
                <w:spacing w:val="-8"/>
              </w:rPr>
              <w:t xml:space="preserve"> </w:t>
            </w:r>
            <w:r w:rsidRPr="00D4309F">
              <w:t>is</w:t>
            </w:r>
            <w:r w:rsidRPr="00D4309F">
              <w:rPr>
                <w:spacing w:val="-8"/>
              </w:rPr>
              <w:t xml:space="preserve"> </w:t>
            </w:r>
            <w:r w:rsidRPr="00D4309F">
              <w:t>likely</w:t>
            </w:r>
            <w:r w:rsidRPr="00D4309F">
              <w:rPr>
                <w:spacing w:val="-8"/>
              </w:rPr>
              <w:t xml:space="preserve"> </w:t>
            </w:r>
            <w:r w:rsidRPr="00D4309F">
              <w:t>to</w:t>
            </w:r>
            <w:r w:rsidRPr="00D4309F">
              <w:rPr>
                <w:spacing w:val="-9"/>
              </w:rPr>
              <w:t xml:space="preserve"> </w:t>
            </w:r>
            <w:r w:rsidRPr="00D4309F">
              <w:t>be</w:t>
            </w:r>
            <w:r w:rsidRPr="00D4309F">
              <w:rPr>
                <w:spacing w:val="-9"/>
              </w:rPr>
              <w:t xml:space="preserve"> </w:t>
            </w:r>
            <w:r w:rsidRPr="00D4309F">
              <w:t>more extensive and persistent during breakwater removal and rock cutting</w:t>
            </w:r>
          </w:p>
        </w:tc>
        <w:tc>
          <w:tcPr>
            <w:tcW w:w="2126" w:type="dxa"/>
            <w:tcBorders>
              <w:top w:val="single" w:sz="4" w:space="0" w:color="000000"/>
              <w:bottom w:val="single" w:sz="4" w:space="0" w:color="000000"/>
            </w:tcBorders>
            <w:vAlign w:val="center"/>
          </w:tcPr>
          <w:p w14:paraId="7417A48E" w14:textId="77777777" w:rsidR="004C00ED" w:rsidRPr="00D4309F" w:rsidRDefault="004C00ED" w:rsidP="003C3F36">
            <w:pPr>
              <w:pStyle w:val="Table-Bullet"/>
            </w:pPr>
            <w:r w:rsidRPr="00D4309F">
              <w:t>Benthic habitat assessment</w:t>
            </w:r>
            <w:r w:rsidRPr="00D4309F">
              <w:rPr>
                <w:spacing w:val="-15"/>
              </w:rPr>
              <w:t xml:space="preserve"> </w:t>
            </w:r>
            <w:r w:rsidRPr="00D4309F">
              <w:t>in</w:t>
            </w:r>
            <w:r w:rsidRPr="00D4309F">
              <w:rPr>
                <w:spacing w:val="-12"/>
              </w:rPr>
              <w:t xml:space="preserve"> </w:t>
            </w:r>
            <w:r w:rsidRPr="00D4309F">
              <w:t xml:space="preserve">and </w:t>
            </w:r>
            <w:r w:rsidRPr="00D4309F">
              <w:rPr>
                <w:spacing w:val="-2"/>
              </w:rPr>
              <w:t xml:space="preserve">surrounding </w:t>
            </w:r>
            <w:r w:rsidRPr="00D4309F">
              <w:t>disturbance area</w:t>
            </w:r>
          </w:p>
          <w:p w14:paraId="197362B8" w14:textId="4A10CBE7" w:rsidR="004C00ED" w:rsidRPr="00D4309F" w:rsidRDefault="004C00ED" w:rsidP="003C3F36">
            <w:pPr>
              <w:pStyle w:val="Table-Bullet"/>
            </w:pPr>
            <w:r w:rsidRPr="00D4309F">
              <w:t>Turbidity</w:t>
            </w:r>
            <w:r w:rsidRPr="00D4309F">
              <w:rPr>
                <w:spacing w:val="-5"/>
              </w:rPr>
              <w:t xml:space="preserve"> </w:t>
            </w:r>
            <w:r w:rsidRPr="00D4309F">
              <w:rPr>
                <w:spacing w:val="-2"/>
              </w:rPr>
              <w:t>modelling</w:t>
            </w:r>
          </w:p>
        </w:tc>
        <w:tc>
          <w:tcPr>
            <w:tcW w:w="2523" w:type="dxa"/>
            <w:tcBorders>
              <w:top w:val="single" w:sz="4" w:space="0" w:color="000000"/>
              <w:bottom w:val="single" w:sz="4" w:space="0" w:color="000000"/>
            </w:tcBorders>
            <w:vAlign w:val="center"/>
          </w:tcPr>
          <w:p w14:paraId="016B418D" w14:textId="77777777" w:rsidR="004C00ED" w:rsidRPr="00D4309F" w:rsidRDefault="004C00ED" w:rsidP="003C3F36">
            <w:pPr>
              <w:pStyle w:val="Table-Bullet"/>
            </w:pPr>
            <w:r w:rsidRPr="00D4309F">
              <w:t>Turbidity</w:t>
            </w:r>
            <w:r w:rsidRPr="00D4309F">
              <w:rPr>
                <w:spacing w:val="-13"/>
              </w:rPr>
              <w:t xml:space="preserve"> </w:t>
            </w:r>
            <w:r w:rsidRPr="00D4309F">
              <w:t>monitoring during works</w:t>
            </w:r>
          </w:p>
          <w:p w14:paraId="0ABE6F87" w14:textId="77777777" w:rsidR="004C00ED" w:rsidRPr="00D4309F" w:rsidRDefault="004C00ED" w:rsidP="003C3F36">
            <w:pPr>
              <w:pStyle w:val="Table-Bullet"/>
            </w:pPr>
            <w:r w:rsidRPr="00D4309F">
              <w:t xml:space="preserve">Standard turbidity </w:t>
            </w:r>
            <w:r w:rsidRPr="00D4309F">
              <w:rPr>
                <w:spacing w:val="-2"/>
              </w:rPr>
              <w:t xml:space="preserve">mitigation </w:t>
            </w:r>
            <w:r w:rsidRPr="00D4309F">
              <w:t>procedures</w:t>
            </w:r>
            <w:r w:rsidRPr="00D4309F">
              <w:rPr>
                <w:spacing w:val="-15"/>
              </w:rPr>
              <w:t xml:space="preserve"> </w:t>
            </w:r>
            <w:r w:rsidRPr="00D4309F">
              <w:t>e.g.</w:t>
            </w:r>
            <w:r w:rsidRPr="00D4309F">
              <w:rPr>
                <w:spacing w:val="-12"/>
              </w:rPr>
              <w:t xml:space="preserve"> </w:t>
            </w:r>
            <w:r w:rsidRPr="00D4309F">
              <w:t>silt curtains,</w:t>
            </w:r>
            <w:r w:rsidRPr="00D4309F">
              <w:rPr>
                <w:spacing w:val="-15"/>
              </w:rPr>
              <w:t xml:space="preserve"> </w:t>
            </w:r>
            <w:r w:rsidRPr="00D4309F">
              <w:t>staging</w:t>
            </w:r>
            <w:r w:rsidRPr="00D4309F">
              <w:rPr>
                <w:spacing w:val="-12"/>
              </w:rPr>
              <w:t xml:space="preserve"> </w:t>
            </w:r>
            <w:r w:rsidRPr="00D4309F">
              <w:t xml:space="preserve">of </w:t>
            </w:r>
            <w:r w:rsidRPr="00D4309F">
              <w:rPr>
                <w:spacing w:val="-2"/>
              </w:rPr>
              <w:t>works</w:t>
            </w:r>
          </w:p>
          <w:p w14:paraId="7A9ED9DF" w14:textId="46C95573" w:rsidR="004C00ED" w:rsidRPr="00D4309F" w:rsidRDefault="004C00ED" w:rsidP="003C3F36">
            <w:pPr>
              <w:pStyle w:val="Table-Bullet"/>
            </w:pPr>
            <w:r w:rsidRPr="00D4309F">
              <w:t>Benthic</w:t>
            </w:r>
            <w:r w:rsidRPr="00D4309F">
              <w:rPr>
                <w:spacing w:val="-13"/>
              </w:rPr>
              <w:t xml:space="preserve"> </w:t>
            </w:r>
            <w:r w:rsidRPr="00D4309F">
              <w:t xml:space="preserve">habitat </w:t>
            </w:r>
            <w:r w:rsidRPr="00D4309F">
              <w:rPr>
                <w:spacing w:val="-2"/>
              </w:rPr>
              <w:t>monitoring</w:t>
            </w:r>
          </w:p>
        </w:tc>
      </w:tr>
      <w:tr w:rsidR="003C3F36" w:rsidRPr="00D4309F" w14:paraId="2801BCE6" w14:textId="77777777" w:rsidTr="00CD5F38">
        <w:trPr>
          <w:cantSplit/>
          <w:trHeight w:val="20"/>
        </w:trPr>
        <w:tc>
          <w:tcPr>
            <w:tcW w:w="1300" w:type="dxa"/>
            <w:tcBorders>
              <w:top w:val="single" w:sz="4" w:space="0" w:color="000000"/>
              <w:bottom w:val="single" w:sz="4" w:space="0" w:color="000000"/>
            </w:tcBorders>
            <w:vAlign w:val="center"/>
          </w:tcPr>
          <w:p w14:paraId="5F8FF9C5" w14:textId="34E00617" w:rsidR="004C00ED" w:rsidRPr="00D4309F" w:rsidRDefault="004C00ED" w:rsidP="003C3F36">
            <w:pPr>
              <w:pStyle w:val="Table-Text"/>
            </w:pPr>
            <w:r w:rsidRPr="00D4309F">
              <w:lastRenderedPageBreak/>
              <w:t>Benthic habitats</w:t>
            </w:r>
          </w:p>
        </w:tc>
        <w:tc>
          <w:tcPr>
            <w:tcW w:w="1961" w:type="dxa"/>
            <w:tcBorders>
              <w:top w:val="single" w:sz="4" w:space="0" w:color="000000"/>
              <w:bottom w:val="single" w:sz="4" w:space="0" w:color="000000"/>
            </w:tcBorders>
            <w:vAlign w:val="center"/>
          </w:tcPr>
          <w:p w14:paraId="316DDF59" w14:textId="11567255" w:rsidR="004C00ED" w:rsidRPr="00D4309F" w:rsidRDefault="004C00ED" w:rsidP="003C3F36">
            <w:pPr>
              <w:pStyle w:val="Table-Text"/>
            </w:pPr>
            <w:r w:rsidRPr="00D4309F">
              <w:t>Rocky</w:t>
            </w:r>
            <w:r w:rsidRPr="00D4309F">
              <w:rPr>
                <w:spacing w:val="-13"/>
              </w:rPr>
              <w:t xml:space="preserve"> </w:t>
            </w:r>
            <w:r w:rsidRPr="00D4309F">
              <w:t>reef habitat, seagrass and</w:t>
            </w:r>
            <w:r w:rsidRPr="00D4309F">
              <w:rPr>
                <w:spacing w:val="-9"/>
              </w:rPr>
              <w:t xml:space="preserve"> </w:t>
            </w:r>
            <w:r w:rsidRPr="00D4309F">
              <w:t>corals</w:t>
            </w:r>
          </w:p>
        </w:tc>
        <w:tc>
          <w:tcPr>
            <w:tcW w:w="2835" w:type="dxa"/>
            <w:tcBorders>
              <w:top w:val="single" w:sz="4" w:space="0" w:color="000000"/>
              <w:bottom w:val="single" w:sz="4" w:space="0" w:color="000000"/>
            </w:tcBorders>
            <w:vAlign w:val="center"/>
          </w:tcPr>
          <w:p w14:paraId="5F1E1892" w14:textId="3C6CCF6A" w:rsidR="004C00ED" w:rsidRPr="00D4309F" w:rsidRDefault="004C00ED" w:rsidP="003C3F36">
            <w:pPr>
              <w:pStyle w:val="Table-Bullet"/>
            </w:pPr>
            <w:r w:rsidRPr="00D4309F">
              <w:t xml:space="preserve">Release of </w:t>
            </w:r>
            <w:r w:rsidRPr="00D4309F">
              <w:rPr>
                <w:spacing w:val="-2"/>
              </w:rPr>
              <w:t>contaminants/hypoxia</w:t>
            </w:r>
          </w:p>
        </w:tc>
        <w:tc>
          <w:tcPr>
            <w:tcW w:w="1417" w:type="dxa"/>
            <w:tcBorders>
              <w:top w:val="single" w:sz="4" w:space="0" w:color="000000"/>
              <w:bottom w:val="single" w:sz="4" w:space="0" w:color="000000"/>
            </w:tcBorders>
            <w:shd w:val="clear" w:color="auto" w:fill="92D050"/>
            <w:vAlign w:val="center"/>
          </w:tcPr>
          <w:p w14:paraId="20A17E92" w14:textId="355DF99D" w:rsidR="004C00ED" w:rsidRPr="00D4309F" w:rsidRDefault="004C00ED" w:rsidP="00131333">
            <w:pPr>
              <w:pStyle w:val="TableParagraph"/>
              <w:ind w:left="206" w:right="206" w:firstLine="1"/>
              <w:rPr>
                <w:b/>
                <w:color w:val="211E1F"/>
                <w:sz w:val="18"/>
              </w:rPr>
            </w:pPr>
            <w:r w:rsidRPr="00D4309F">
              <w:rPr>
                <w:b/>
                <w:color w:val="211E1F"/>
                <w:spacing w:val="-5"/>
                <w:sz w:val="18"/>
              </w:rPr>
              <w:t>Low</w:t>
            </w:r>
          </w:p>
        </w:tc>
        <w:tc>
          <w:tcPr>
            <w:tcW w:w="2410" w:type="dxa"/>
            <w:tcBorders>
              <w:top w:val="single" w:sz="4" w:space="0" w:color="000000"/>
              <w:bottom w:val="single" w:sz="4" w:space="0" w:color="000000"/>
            </w:tcBorders>
            <w:vAlign w:val="center"/>
          </w:tcPr>
          <w:p w14:paraId="713DC949" w14:textId="77777777" w:rsidR="004C00ED" w:rsidRPr="00D4309F" w:rsidRDefault="004C00ED" w:rsidP="003C3F36">
            <w:pPr>
              <w:pStyle w:val="Table-Bullet"/>
            </w:pPr>
            <w:r w:rsidRPr="00D4309F">
              <w:t>Dredge sediments likely comprise clean marine sand free</w:t>
            </w:r>
            <w:r w:rsidRPr="00D4309F">
              <w:rPr>
                <w:spacing w:val="-11"/>
              </w:rPr>
              <w:t xml:space="preserve"> </w:t>
            </w:r>
            <w:r w:rsidRPr="00D4309F">
              <w:t>of</w:t>
            </w:r>
            <w:r w:rsidRPr="00D4309F">
              <w:rPr>
                <w:spacing w:val="-10"/>
              </w:rPr>
              <w:t xml:space="preserve"> </w:t>
            </w:r>
            <w:r w:rsidRPr="00D4309F">
              <w:t>contaminants</w:t>
            </w:r>
            <w:r w:rsidRPr="00D4309F">
              <w:rPr>
                <w:spacing w:val="-10"/>
              </w:rPr>
              <w:t xml:space="preserve"> </w:t>
            </w:r>
            <w:r w:rsidRPr="00D4309F">
              <w:t>with</w:t>
            </w:r>
            <w:r w:rsidRPr="00D4309F">
              <w:rPr>
                <w:spacing w:val="-11"/>
              </w:rPr>
              <w:t xml:space="preserve"> </w:t>
            </w:r>
            <w:r w:rsidRPr="00D4309F">
              <w:t>low organic matter content</w:t>
            </w:r>
          </w:p>
          <w:p w14:paraId="6A5FD9C5" w14:textId="77777777" w:rsidR="004C00ED" w:rsidRPr="00D4309F" w:rsidRDefault="004C00ED" w:rsidP="003C3F36">
            <w:pPr>
              <w:pStyle w:val="Table-Bullet"/>
            </w:pPr>
            <w:r w:rsidRPr="00D4309F">
              <w:t>Breakwater materials assumed</w:t>
            </w:r>
            <w:r w:rsidRPr="00D4309F">
              <w:rPr>
                <w:spacing w:val="-10"/>
              </w:rPr>
              <w:t xml:space="preserve"> </w:t>
            </w:r>
            <w:r w:rsidRPr="00D4309F">
              <w:t>to</w:t>
            </w:r>
            <w:r w:rsidRPr="00D4309F">
              <w:rPr>
                <w:spacing w:val="-10"/>
              </w:rPr>
              <w:t xml:space="preserve"> </w:t>
            </w:r>
            <w:r w:rsidRPr="00D4309F">
              <w:t>be</w:t>
            </w:r>
            <w:r w:rsidRPr="00D4309F">
              <w:rPr>
                <w:spacing w:val="-9"/>
              </w:rPr>
              <w:t xml:space="preserve"> </w:t>
            </w:r>
            <w:r w:rsidRPr="00D4309F">
              <w:t>free</w:t>
            </w:r>
            <w:r w:rsidRPr="00D4309F">
              <w:rPr>
                <w:spacing w:val="-10"/>
              </w:rPr>
              <w:t xml:space="preserve"> </w:t>
            </w:r>
            <w:r w:rsidRPr="00D4309F">
              <w:t xml:space="preserve">of </w:t>
            </w:r>
            <w:r w:rsidRPr="00D4309F">
              <w:rPr>
                <w:spacing w:val="-2"/>
              </w:rPr>
              <w:t>contamination</w:t>
            </w:r>
          </w:p>
          <w:p w14:paraId="6E815F3C" w14:textId="7A325C44" w:rsidR="004C00ED" w:rsidRPr="00D4309F" w:rsidRDefault="004C00ED" w:rsidP="003C3F36">
            <w:pPr>
              <w:pStyle w:val="Table-Bullet"/>
            </w:pPr>
            <w:r w:rsidRPr="00D4309F">
              <w:t>Rock</w:t>
            </w:r>
            <w:r w:rsidRPr="00D4309F">
              <w:rPr>
                <w:spacing w:val="-9"/>
              </w:rPr>
              <w:t xml:space="preserve"> </w:t>
            </w:r>
            <w:r w:rsidRPr="00D4309F">
              <w:t>is</w:t>
            </w:r>
            <w:r w:rsidRPr="00D4309F">
              <w:rPr>
                <w:spacing w:val="-9"/>
              </w:rPr>
              <w:t xml:space="preserve"> </w:t>
            </w:r>
            <w:r w:rsidRPr="00D4309F">
              <w:t>likely</w:t>
            </w:r>
            <w:r w:rsidRPr="00D4309F">
              <w:rPr>
                <w:spacing w:val="-9"/>
              </w:rPr>
              <w:t xml:space="preserve"> </w:t>
            </w:r>
            <w:r w:rsidRPr="00D4309F">
              <w:t>to</w:t>
            </w:r>
            <w:r w:rsidRPr="00D4309F">
              <w:rPr>
                <w:spacing w:val="-10"/>
              </w:rPr>
              <w:t xml:space="preserve"> </w:t>
            </w:r>
            <w:r w:rsidRPr="00D4309F">
              <w:t xml:space="preserve">be </w:t>
            </w:r>
            <w:r w:rsidRPr="00D4309F">
              <w:rPr>
                <w:spacing w:val="-2"/>
              </w:rPr>
              <w:t>uncontaminated</w:t>
            </w:r>
          </w:p>
        </w:tc>
        <w:tc>
          <w:tcPr>
            <w:tcW w:w="2126" w:type="dxa"/>
            <w:tcBorders>
              <w:top w:val="single" w:sz="4" w:space="0" w:color="000000"/>
              <w:bottom w:val="single" w:sz="4" w:space="0" w:color="000000"/>
            </w:tcBorders>
            <w:vAlign w:val="center"/>
          </w:tcPr>
          <w:p w14:paraId="742F6379" w14:textId="790A86A6" w:rsidR="004C00ED" w:rsidRPr="00D4309F" w:rsidRDefault="004C00ED" w:rsidP="003C3F36">
            <w:pPr>
              <w:pStyle w:val="Table-Bullet"/>
            </w:pPr>
            <w:r w:rsidRPr="00D4309F">
              <w:t>Assumption</w:t>
            </w:r>
            <w:r w:rsidRPr="00D4309F">
              <w:rPr>
                <w:spacing w:val="-13"/>
              </w:rPr>
              <w:t xml:space="preserve"> </w:t>
            </w:r>
            <w:r w:rsidRPr="00D4309F">
              <w:t>that suitable data exists to inform this risk</w:t>
            </w:r>
          </w:p>
        </w:tc>
        <w:tc>
          <w:tcPr>
            <w:tcW w:w="2523" w:type="dxa"/>
            <w:tcBorders>
              <w:top w:val="single" w:sz="4" w:space="0" w:color="000000"/>
              <w:bottom w:val="single" w:sz="4" w:space="0" w:color="000000"/>
            </w:tcBorders>
            <w:vAlign w:val="center"/>
          </w:tcPr>
          <w:p w14:paraId="590821B3" w14:textId="23DC8884" w:rsidR="004C00ED" w:rsidRPr="00D4309F" w:rsidRDefault="004C00ED" w:rsidP="003C3F36">
            <w:pPr>
              <w:pStyle w:val="Table-Bullet"/>
            </w:pPr>
            <w:r w:rsidRPr="00D4309F">
              <w:rPr>
                <w:color w:val="211E1F"/>
                <w:spacing w:val="-4"/>
              </w:rPr>
              <w:t>None</w:t>
            </w:r>
          </w:p>
        </w:tc>
      </w:tr>
      <w:tr w:rsidR="003C3F36" w:rsidRPr="00D4309F" w14:paraId="06566544" w14:textId="77777777" w:rsidTr="003C3F36">
        <w:trPr>
          <w:cantSplit/>
          <w:trHeight w:val="20"/>
        </w:trPr>
        <w:tc>
          <w:tcPr>
            <w:tcW w:w="1300" w:type="dxa"/>
            <w:tcBorders>
              <w:top w:val="single" w:sz="4" w:space="0" w:color="000000"/>
              <w:bottom w:val="single" w:sz="4" w:space="0" w:color="000000"/>
            </w:tcBorders>
            <w:vAlign w:val="center"/>
          </w:tcPr>
          <w:p w14:paraId="2805986E" w14:textId="3566577E" w:rsidR="004C00ED" w:rsidRPr="00D4309F" w:rsidRDefault="004C00ED" w:rsidP="003C3F36">
            <w:pPr>
              <w:pStyle w:val="Table-Text"/>
            </w:pPr>
            <w:r w:rsidRPr="00D4309F">
              <w:t>Terrestrial</w:t>
            </w:r>
            <w:r w:rsidRPr="00D4309F">
              <w:rPr>
                <w:spacing w:val="-15"/>
              </w:rPr>
              <w:t xml:space="preserve"> </w:t>
            </w:r>
            <w:r w:rsidRPr="00D4309F">
              <w:t>fauna</w:t>
            </w:r>
            <w:r w:rsidRPr="00D4309F">
              <w:rPr>
                <w:spacing w:val="-12"/>
              </w:rPr>
              <w:t xml:space="preserve"> </w:t>
            </w:r>
            <w:r w:rsidRPr="00D4309F">
              <w:t>including shorebirds and raptors</w:t>
            </w:r>
          </w:p>
        </w:tc>
        <w:tc>
          <w:tcPr>
            <w:tcW w:w="1961" w:type="dxa"/>
            <w:tcBorders>
              <w:top w:val="single" w:sz="4" w:space="0" w:color="000000"/>
              <w:bottom w:val="single" w:sz="4" w:space="0" w:color="000000"/>
            </w:tcBorders>
            <w:vAlign w:val="center"/>
          </w:tcPr>
          <w:p w14:paraId="79B57CA3" w14:textId="62517D80" w:rsidR="004C00ED" w:rsidRPr="00D4309F" w:rsidRDefault="004C00ED" w:rsidP="003C3F36">
            <w:pPr>
              <w:pStyle w:val="Table-Text"/>
            </w:pPr>
          </w:p>
        </w:tc>
        <w:tc>
          <w:tcPr>
            <w:tcW w:w="2835" w:type="dxa"/>
            <w:tcBorders>
              <w:top w:val="single" w:sz="4" w:space="0" w:color="000000"/>
              <w:bottom w:val="single" w:sz="4" w:space="0" w:color="000000"/>
            </w:tcBorders>
            <w:vAlign w:val="center"/>
          </w:tcPr>
          <w:p w14:paraId="55F80788" w14:textId="77777777" w:rsidR="004C00ED" w:rsidRPr="00D4309F" w:rsidRDefault="004C00ED" w:rsidP="003C3F36">
            <w:pPr>
              <w:pStyle w:val="Table-Bullet"/>
            </w:pPr>
            <w:r w:rsidRPr="00D4309F">
              <w:rPr>
                <w:spacing w:val="-2"/>
              </w:rPr>
              <w:t xml:space="preserve">Mortality/injury/behavioural </w:t>
            </w:r>
            <w:r w:rsidRPr="00D4309F">
              <w:t>response</w:t>
            </w:r>
            <w:r w:rsidRPr="00D4309F">
              <w:rPr>
                <w:spacing w:val="-10"/>
              </w:rPr>
              <w:t xml:space="preserve"> </w:t>
            </w:r>
            <w:r w:rsidRPr="00D4309F">
              <w:t>due</w:t>
            </w:r>
            <w:r w:rsidRPr="00D4309F">
              <w:rPr>
                <w:spacing w:val="-10"/>
              </w:rPr>
              <w:t xml:space="preserve"> </w:t>
            </w:r>
            <w:r w:rsidRPr="00D4309F">
              <w:t>to</w:t>
            </w:r>
            <w:r w:rsidRPr="00D4309F">
              <w:rPr>
                <w:spacing w:val="-10"/>
              </w:rPr>
              <w:t xml:space="preserve"> </w:t>
            </w:r>
            <w:r w:rsidRPr="00D4309F">
              <w:t>noise</w:t>
            </w:r>
            <w:r w:rsidRPr="00D4309F">
              <w:rPr>
                <w:spacing w:val="-9"/>
              </w:rPr>
              <w:t xml:space="preserve"> </w:t>
            </w:r>
            <w:r w:rsidRPr="00D4309F">
              <w:t>from breakwater removal, rock cutting and dredging</w:t>
            </w:r>
          </w:p>
          <w:p w14:paraId="2745C3B3" w14:textId="77777777" w:rsidR="004C00ED" w:rsidRPr="00D4309F" w:rsidRDefault="004C00ED" w:rsidP="003C3F36">
            <w:pPr>
              <w:pStyle w:val="Table-Bullet"/>
            </w:pPr>
            <w:r w:rsidRPr="00D4309F">
              <w:rPr>
                <w:spacing w:val="-2"/>
              </w:rPr>
              <w:t xml:space="preserve">Mortality/injury/behavioural </w:t>
            </w:r>
            <w:r w:rsidRPr="00D4309F">
              <w:t>response due to dust from breakwater removal and onshore stockpiling</w:t>
            </w:r>
          </w:p>
          <w:p w14:paraId="3A7174F5" w14:textId="77777777" w:rsidR="004C00ED" w:rsidRPr="00D4309F" w:rsidRDefault="004C00ED" w:rsidP="003C3F36">
            <w:pPr>
              <w:pStyle w:val="Table-Bullet"/>
            </w:pPr>
            <w:r w:rsidRPr="00D4309F">
              <w:t>Behavioural</w:t>
            </w:r>
            <w:r w:rsidRPr="00D4309F">
              <w:rPr>
                <w:spacing w:val="-13"/>
              </w:rPr>
              <w:t xml:space="preserve"> </w:t>
            </w:r>
            <w:r w:rsidRPr="00D4309F">
              <w:t>response</w:t>
            </w:r>
            <w:r w:rsidRPr="00D4309F">
              <w:rPr>
                <w:spacing w:val="-12"/>
              </w:rPr>
              <w:t xml:space="preserve"> </w:t>
            </w:r>
            <w:r w:rsidRPr="00D4309F">
              <w:t>due</w:t>
            </w:r>
            <w:r w:rsidRPr="00D4309F">
              <w:rPr>
                <w:spacing w:val="-13"/>
              </w:rPr>
              <w:t xml:space="preserve"> </w:t>
            </w:r>
            <w:r w:rsidRPr="00D4309F">
              <w:t xml:space="preserve">to </w:t>
            </w:r>
            <w:r w:rsidRPr="00D4309F">
              <w:rPr>
                <w:spacing w:val="-2"/>
              </w:rPr>
              <w:t>light</w:t>
            </w:r>
          </w:p>
          <w:p w14:paraId="2DA0A70F" w14:textId="77777777" w:rsidR="004C00ED" w:rsidRPr="00D4309F" w:rsidRDefault="004C00ED" w:rsidP="003C3F36">
            <w:pPr>
              <w:pStyle w:val="Table-Bullet"/>
            </w:pPr>
            <w:r w:rsidRPr="00D4309F">
              <w:rPr>
                <w:spacing w:val="-2"/>
              </w:rPr>
              <w:t xml:space="preserve">Mortality/injury/behavioural </w:t>
            </w:r>
            <w:r w:rsidRPr="00D4309F">
              <w:t xml:space="preserve">response due physical </w:t>
            </w:r>
            <w:r w:rsidRPr="00D4309F">
              <w:rPr>
                <w:spacing w:val="-2"/>
              </w:rPr>
              <w:t>presence</w:t>
            </w:r>
          </w:p>
          <w:p w14:paraId="427B80C3" w14:textId="0735ABF1" w:rsidR="004C00ED" w:rsidRPr="00D4309F" w:rsidRDefault="004C00ED" w:rsidP="003C3F36">
            <w:pPr>
              <w:pStyle w:val="Table-Bullet"/>
            </w:pPr>
            <w:r w:rsidRPr="00D4309F">
              <w:t>Mortality/injury</w:t>
            </w:r>
            <w:r w:rsidRPr="00D4309F">
              <w:rPr>
                <w:spacing w:val="-13"/>
              </w:rPr>
              <w:t xml:space="preserve"> </w:t>
            </w:r>
            <w:r w:rsidRPr="00D4309F">
              <w:t>due</w:t>
            </w:r>
            <w:r w:rsidRPr="00D4309F">
              <w:rPr>
                <w:spacing w:val="-12"/>
              </w:rPr>
              <w:t xml:space="preserve"> </w:t>
            </w:r>
            <w:r w:rsidRPr="00D4309F">
              <w:t>to</w:t>
            </w:r>
            <w:r w:rsidRPr="00D4309F">
              <w:rPr>
                <w:spacing w:val="-13"/>
              </w:rPr>
              <w:t xml:space="preserve"> </w:t>
            </w:r>
            <w:r w:rsidRPr="00D4309F">
              <w:t>onshore plant and vehicle movement</w:t>
            </w:r>
          </w:p>
        </w:tc>
        <w:tc>
          <w:tcPr>
            <w:tcW w:w="1417" w:type="dxa"/>
            <w:tcBorders>
              <w:top w:val="single" w:sz="4" w:space="0" w:color="000000"/>
              <w:bottom w:val="single" w:sz="4" w:space="0" w:color="000000"/>
            </w:tcBorders>
            <w:shd w:val="clear" w:color="auto" w:fill="FFC000"/>
            <w:vAlign w:val="center"/>
          </w:tcPr>
          <w:p w14:paraId="170782F2" w14:textId="3111E696" w:rsidR="004C00ED" w:rsidRPr="00D4309F" w:rsidRDefault="004C00ED" w:rsidP="00131333">
            <w:pPr>
              <w:pStyle w:val="TableParagraph"/>
              <w:ind w:left="206" w:right="206" w:firstLine="1"/>
              <w:rPr>
                <w:b/>
                <w:color w:val="211E1F"/>
                <w:sz w:val="18"/>
              </w:rPr>
            </w:pPr>
            <w:r w:rsidRPr="00D4309F">
              <w:rPr>
                <w:b/>
                <w:color w:val="211E1F"/>
                <w:sz w:val="18"/>
              </w:rPr>
              <w:t>High (for rock</w:t>
            </w:r>
            <w:r w:rsidRPr="00D4309F">
              <w:rPr>
                <w:b/>
                <w:color w:val="211E1F"/>
                <w:spacing w:val="-13"/>
                <w:sz w:val="18"/>
              </w:rPr>
              <w:t xml:space="preserve"> </w:t>
            </w:r>
            <w:r w:rsidRPr="00D4309F">
              <w:rPr>
                <w:b/>
                <w:color w:val="211E1F"/>
                <w:sz w:val="18"/>
              </w:rPr>
              <w:t>cutting)</w:t>
            </w:r>
          </w:p>
        </w:tc>
        <w:tc>
          <w:tcPr>
            <w:tcW w:w="2410" w:type="dxa"/>
            <w:tcBorders>
              <w:top w:val="single" w:sz="4" w:space="0" w:color="000000"/>
              <w:bottom w:val="single" w:sz="4" w:space="0" w:color="000000"/>
            </w:tcBorders>
            <w:vAlign w:val="center"/>
          </w:tcPr>
          <w:p w14:paraId="16C7DE83" w14:textId="77777777" w:rsidR="004C00ED" w:rsidRPr="00D4309F" w:rsidRDefault="004C00ED" w:rsidP="003C3F36">
            <w:pPr>
              <w:pStyle w:val="Table-Bullet"/>
            </w:pPr>
            <w:r w:rsidRPr="00D4309F">
              <w:t>Several species listed as vulnerable or endangered may</w:t>
            </w:r>
            <w:r w:rsidRPr="00D4309F">
              <w:rPr>
                <w:spacing w:val="-8"/>
              </w:rPr>
              <w:t xml:space="preserve"> </w:t>
            </w:r>
            <w:r w:rsidRPr="00D4309F">
              <w:t>occur</w:t>
            </w:r>
            <w:r w:rsidRPr="00D4309F">
              <w:rPr>
                <w:spacing w:val="-8"/>
              </w:rPr>
              <w:t xml:space="preserve"> </w:t>
            </w:r>
            <w:r w:rsidRPr="00D4309F">
              <w:t>in</w:t>
            </w:r>
            <w:r w:rsidRPr="00D4309F">
              <w:rPr>
                <w:spacing w:val="-9"/>
              </w:rPr>
              <w:t xml:space="preserve"> </w:t>
            </w:r>
            <w:r w:rsidRPr="00D4309F">
              <w:t>the</w:t>
            </w:r>
            <w:r w:rsidRPr="00D4309F">
              <w:rPr>
                <w:spacing w:val="-9"/>
              </w:rPr>
              <w:t xml:space="preserve"> </w:t>
            </w:r>
            <w:r w:rsidRPr="00D4309F">
              <w:t>project</w:t>
            </w:r>
            <w:r w:rsidRPr="00D4309F">
              <w:rPr>
                <w:spacing w:val="-8"/>
              </w:rPr>
              <w:t xml:space="preserve"> </w:t>
            </w:r>
            <w:r w:rsidRPr="00D4309F">
              <w:t>area, however sources of impact are further from Point Cartwright Reserve</w:t>
            </w:r>
          </w:p>
          <w:p w14:paraId="16374A0B" w14:textId="0CB00F26" w:rsidR="004C00ED" w:rsidRPr="00D4309F" w:rsidRDefault="004C00ED" w:rsidP="003C3F36">
            <w:pPr>
              <w:pStyle w:val="Table-Bullet"/>
            </w:pPr>
            <w:r w:rsidRPr="00D4309F">
              <w:t>Several species of shorebirds are</w:t>
            </w:r>
            <w:r w:rsidRPr="00D4309F">
              <w:rPr>
                <w:spacing w:val="-9"/>
              </w:rPr>
              <w:t xml:space="preserve"> </w:t>
            </w:r>
            <w:r w:rsidRPr="00D4309F">
              <w:t>listed</w:t>
            </w:r>
            <w:r w:rsidRPr="00D4309F">
              <w:rPr>
                <w:spacing w:val="-9"/>
              </w:rPr>
              <w:t xml:space="preserve"> </w:t>
            </w:r>
            <w:r w:rsidRPr="00D4309F">
              <w:t>as</w:t>
            </w:r>
            <w:r w:rsidRPr="00D4309F">
              <w:rPr>
                <w:spacing w:val="-8"/>
              </w:rPr>
              <w:t xml:space="preserve"> </w:t>
            </w:r>
            <w:r w:rsidRPr="00D4309F">
              <w:t>occurring</w:t>
            </w:r>
            <w:r w:rsidRPr="00D4309F">
              <w:rPr>
                <w:spacing w:val="-7"/>
              </w:rPr>
              <w:t xml:space="preserve"> </w:t>
            </w:r>
            <w:r w:rsidRPr="00D4309F">
              <w:t>at</w:t>
            </w:r>
            <w:r w:rsidRPr="00D4309F">
              <w:rPr>
                <w:spacing w:val="-8"/>
              </w:rPr>
              <w:t xml:space="preserve"> </w:t>
            </w:r>
            <w:r w:rsidRPr="00D4309F">
              <w:t>Point Cartwright and could be impacted; however, it is more likely they would occur at the lower Maroochy River</w:t>
            </w:r>
          </w:p>
        </w:tc>
        <w:tc>
          <w:tcPr>
            <w:tcW w:w="2126" w:type="dxa"/>
            <w:tcBorders>
              <w:top w:val="single" w:sz="4" w:space="0" w:color="000000"/>
              <w:bottom w:val="single" w:sz="4" w:space="0" w:color="000000"/>
            </w:tcBorders>
            <w:vAlign w:val="center"/>
          </w:tcPr>
          <w:p w14:paraId="5941EA30" w14:textId="77777777" w:rsidR="004C00ED" w:rsidRPr="00D4309F" w:rsidRDefault="004C00ED" w:rsidP="003C3F36">
            <w:pPr>
              <w:pStyle w:val="Table-Bullet"/>
            </w:pPr>
            <w:r w:rsidRPr="00D4309F">
              <w:t>Noise</w:t>
            </w:r>
            <w:r w:rsidRPr="00D4309F">
              <w:rPr>
                <w:spacing w:val="-2"/>
              </w:rPr>
              <w:t xml:space="preserve"> assessment</w:t>
            </w:r>
          </w:p>
          <w:p w14:paraId="62205073" w14:textId="50C214EB" w:rsidR="004C00ED" w:rsidRPr="00D4309F" w:rsidRDefault="004C00ED" w:rsidP="003C3F36">
            <w:pPr>
              <w:pStyle w:val="Table-Bullet"/>
            </w:pPr>
            <w:r w:rsidRPr="00D4309F">
              <w:t>Terrestrial</w:t>
            </w:r>
            <w:r w:rsidRPr="00D4309F">
              <w:rPr>
                <w:spacing w:val="-13"/>
              </w:rPr>
              <w:t xml:space="preserve"> </w:t>
            </w:r>
            <w:r w:rsidRPr="00D4309F">
              <w:t xml:space="preserve">fauna </w:t>
            </w:r>
            <w:r w:rsidRPr="00D4309F">
              <w:rPr>
                <w:spacing w:val="-2"/>
              </w:rPr>
              <w:t>assessment</w:t>
            </w:r>
          </w:p>
        </w:tc>
        <w:tc>
          <w:tcPr>
            <w:tcW w:w="2523" w:type="dxa"/>
            <w:tcBorders>
              <w:top w:val="single" w:sz="4" w:space="0" w:color="000000"/>
              <w:bottom w:val="single" w:sz="4" w:space="0" w:color="000000"/>
            </w:tcBorders>
            <w:vAlign w:val="center"/>
          </w:tcPr>
          <w:p w14:paraId="40A96146" w14:textId="77777777" w:rsidR="004C00ED" w:rsidRPr="00D4309F" w:rsidRDefault="004C00ED" w:rsidP="003C3F36">
            <w:pPr>
              <w:pStyle w:val="Table-Bullet"/>
            </w:pPr>
            <w:r w:rsidRPr="00D4309F">
              <w:t>Timing of works outside of peak aggregation</w:t>
            </w:r>
            <w:r w:rsidRPr="00D4309F">
              <w:rPr>
                <w:spacing w:val="-13"/>
              </w:rPr>
              <w:t xml:space="preserve"> </w:t>
            </w:r>
            <w:r w:rsidRPr="00D4309F">
              <w:t xml:space="preserve">periods for migratory </w:t>
            </w:r>
            <w:r w:rsidRPr="00D4309F">
              <w:rPr>
                <w:spacing w:val="-2"/>
              </w:rPr>
              <w:t>shorebirds</w:t>
            </w:r>
          </w:p>
          <w:p w14:paraId="3D059578" w14:textId="77777777" w:rsidR="004C00ED" w:rsidRPr="00D4309F" w:rsidRDefault="004C00ED" w:rsidP="003C3F36">
            <w:pPr>
              <w:pStyle w:val="Table-Bullet"/>
            </w:pPr>
            <w:r w:rsidRPr="00D4309F">
              <w:t>Standard</w:t>
            </w:r>
            <w:r w:rsidRPr="00D4309F">
              <w:rPr>
                <w:spacing w:val="-13"/>
              </w:rPr>
              <w:t xml:space="preserve"> </w:t>
            </w:r>
            <w:r w:rsidRPr="00D4309F">
              <w:t xml:space="preserve">noise </w:t>
            </w:r>
            <w:r w:rsidRPr="00D4309F">
              <w:rPr>
                <w:spacing w:val="-2"/>
              </w:rPr>
              <w:t>management procedures</w:t>
            </w:r>
          </w:p>
          <w:p w14:paraId="1A43EAAC" w14:textId="77777777" w:rsidR="004C00ED" w:rsidRPr="00D4309F" w:rsidRDefault="004C00ED" w:rsidP="003C3F36">
            <w:pPr>
              <w:pStyle w:val="Table-Bullet"/>
            </w:pPr>
            <w:r w:rsidRPr="00D4309F">
              <w:t>Limitation of works to</w:t>
            </w:r>
            <w:r w:rsidRPr="00D4309F">
              <w:rPr>
                <w:spacing w:val="-13"/>
              </w:rPr>
              <w:t xml:space="preserve"> </w:t>
            </w:r>
            <w:r w:rsidRPr="00D4309F">
              <w:t>daylight</w:t>
            </w:r>
            <w:r w:rsidRPr="00D4309F">
              <w:rPr>
                <w:spacing w:val="-12"/>
              </w:rPr>
              <w:t xml:space="preserve"> </w:t>
            </w:r>
            <w:r w:rsidRPr="00D4309F">
              <w:t>hours</w:t>
            </w:r>
            <w:r w:rsidRPr="00D4309F">
              <w:rPr>
                <w:spacing w:val="-13"/>
              </w:rPr>
              <w:t xml:space="preserve"> </w:t>
            </w:r>
            <w:r w:rsidRPr="00D4309F">
              <w:t xml:space="preserve">or if necessary, standard light </w:t>
            </w:r>
            <w:r w:rsidRPr="00D4309F">
              <w:rPr>
                <w:spacing w:val="-2"/>
              </w:rPr>
              <w:t>mitigation procedures</w:t>
            </w:r>
          </w:p>
          <w:p w14:paraId="3A8E864D" w14:textId="77777777" w:rsidR="004C00ED" w:rsidRPr="00D4309F" w:rsidRDefault="004C00ED" w:rsidP="003C3F36">
            <w:pPr>
              <w:pStyle w:val="Table-Bullet"/>
            </w:pPr>
            <w:r w:rsidRPr="00D4309F">
              <w:t>Standard fauna mitigation practices including</w:t>
            </w:r>
            <w:r w:rsidRPr="00D4309F">
              <w:rPr>
                <w:spacing w:val="-13"/>
              </w:rPr>
              <w:t xml:space="preserve"> </w:t>
            </w:r>
            <w:r w:rsidRPr="00D4309F">
              <w:t>monitoring for conservation significant fauna, appropriate fencing of work area</w:t>
            </w:r>
          </w:p>
          <w:p w14:paraId="08C30C32" w14:textId="77777777" w:rsidR="004C00ED" w:rsidRPr="00D4309F" w:rsidRDefault="004C00ED" w:rsidP="003C3F36">
            <w:pPr>
              <w:pStyle w:val="Table-Bullet"/>
            </w:pPr>
            <w:r w:rsidRPr="00D4309F">
              <w:t>Dust</w:t>
            </w:r>
            <w:r w:rsidRPr="00D4309F">
              <w:rPr>
                <w:spacing w:val="-13"/>
              </w:rPr>
              <w:t xml:space="preserve"> </w:t>
            </w:r>
            <w:r w:rsidRPr="00D4309F">
              <w:t xml:space="preserve">management </w:t>
            </w:r>
            <w:r w:rsidRPr="00D4309F">
              <w:rPr>
                <w:spacing w:val="-2"/>
              </w:rPr>
              <w:t>procedures</w:t>
            </w:r>
          </w:p>
          <w:p w14:paraId="0CBB3E6C" w14:textId="3DB793EF" w:rsidR="004C00ED" w:rsidRPr="00D4309F" w:rsidRDefault="004C00ED" w:rsidP="003C3F36">
            <w:pPr>
              <w:pStyle w:val="Table-Bullet"/>
            </w:pPr>
            <w:r w:rsidRPr="00D4309F">
              <w:t>Waste</w:t>
            </w:r>
            <w:r w:rsidRPr="00D4309F">
              <w:rPr>
                <w:spacing w:val="-13"/>
              </w:rPr>
              <w:t xml:space="preserve"> </w:t>
            </w:r>
            <w:r w:rsidRPr="00D4309F">
              <w:t xml:space="preserve">management </w:t>
            </w:r>
            <w:r w:rsidRPr="00D4309F">
              <w:rPr>
                <w:spacing w:val="-2"/>
              </w:rPr>
              <w:t>procedures</w:t>
            </w:r>
          </w:p>
        </w:tc>
      </w:tr>
      <w:tr w:rsidR="003C3F36" w:rsidRPr="00D4309F" w14:paraId="7DD2BE0B" w14:textId="77777777" w:rsidTr="00CD5F38">
        <w:trPr>
          <w:cantSplit/>
          <w:trHeight w:val="20"/>
        </w:trPr>
        <w:tc>
          <w:tcPr>
            <w:tcW w:w="1300" w:type="dxa"/>
            <w:tcBorders>
              <w:top w:val="single" w:sz="4" w:space="0" w:color="000000"/>
              <w:bottom w:val="single" w:sz="4" w:space="0" w:color="000000"/>
            </w:tcBorders>
            <w:vAlign w:val="center"/>
          </w:tcPr>
          <w:p w14:paraId="709292EC" w14:textId="03F4CD47" w:rsidR="004C00ED" w:rsidRPr="00D4309F" w:rsidRDefault="004C00ED" w:rsidP="003C3F36">
            <w:pPr>
              <w:pStyle w:val="Table-Text"/>
            </w:pPr>
            <w:r w:rsidRPr="00D4309F">
              <w:lastRenderedPageBreak/>
              <w:t>Terrestrial</w:t>
            </w:r>
            <w:r w:rsidRPr="00D4309F">
              <w:rPr>
                <w:spacing w:val="-4"/>
              </w:rPr>
              <w:t xml:space="preserve"> </w:t>
            </w:r>
            <w:r w:rsidRPr="00D4309F">
              <w:t>flora</w:t>
            </w:r>
          </w:p>
        </w:tc>
        <w:tc>
          <w:tcPr>
            <w:tcW w:w="1961" w:type="dxa"/>
            <w:tcBorders>
              <w:top w:val="single" w:sz="4" w:space="0" w:color="000000"/>
              <w:bottom w:val="single" w:sz="4" w:space="0" w:color="000000"/>
            </w:tcBorders>
            <w:vAlign w:val="center"/>
          </w:tcPr>
          <w:p w14:paraId="421B4D7D" w14:textId="77777777" w:rsidR="004C00ED" w:rsidRPr="00D4309F" w:rsidRDefault="004C00ED" w:rsidP="003C3F36">
            <w:pPr>
              <w:pStyle w:val="Table-Text"/>
            </w:pPr>
          </w:p>
        </w:tc>
        <w:tc>
          <w:tcPr>
            <w:tcW w:w="2835" w:type="dxa"/>
            <w:tcBorders>
              <w:top w:val="single" w:sz="4" w:space="0" w:color="000000"/>
              <w:bottom w:val="single" w:sz="4" w:space="0" w:color="000000"/>
            </w:tcBorders>
            <w:vAlign w:val="center"/>
          </w:tcPr>
          <w:p w14:paraId="6173BDFC" w14:textId="77777777" w:rsidR="004C00ED" w:rsidRPr="00D4309F" w:rsidRDefault="004C00ED" w:rsidP="003C3F36">
            <w:pPr>
              <w:pStyle w:val="Table-Bullet"/>
            </w:pPr>
            <w:r w:rsidRPr="00D4309F">
              <w:t>Smothering</w:t>
            </w:r>
            <w:r w:rsidRPr="00D4309F">
              <w:rPr>
                <w:spacing w:val="-13"/>
              </w:rPr>
              <w:t xml:space="preserve"> </w:t>
            </w:r>
            <w:r w:rsidRPr="00D4309F">
              <w:t>of</w:t>
            </w:r>
            <w:r w:rsidRPr="00D4309F">
              <w:rPr>
                <w:spacing w:val="-12"/>
              </w:rPr>
              <w:t xml:space="preserve"> </w:t>
            </w:r>
            <w:r w:rsidRPr="00D4309F">
              <w:t>vegetation</w:t>
            </w:r>
            <w:r w:rsidRPr="00D4309F">
              <w:rPr>
                <w:spacing w:val="-13"/>
              </w:rPr>
              <w:t xml:space="preserve"> </w:t>
            </w:r>
            <w:r w:rsidRPr="00D4309F">
              <w:t>due to dust generated by breakwater removal and onshore stockpiling</w:t>
            </w:r>
          </w:p>
          <w:p w14:paraId="2C7881AA" w14:textId="304C584C" w:rsidR="004C00ED" w:rsidRPr="00D4309F" w:rsidRDefault="004C00ED" w:rsidP="003C3F36">
            <w:pPr>
              <w:pStyle w:val="Table-Bullet"/>
            </w:pPr>
            <w:r w:rsidRPr="00D4309F">
              <w:t>Disturbance or degradation of dune vegetation behind Mooloolaba</w:t>
            </w:r>
            <w:r w:rsidRPr="00D4309F">
              <w:rPr>
                <w:spacing w:val="-13"/>
              </w:rPr>
              <w:t xml:space="preserve"> </w:t>
            </w:r>
            <w:r w:rsidRPr="00D4309F">
              <w:t>Main</w:t>
            </w:r>
            <w:r w:rsidRPr="00D4309F">
              <w:rPr>
                <w:spacing w:val="-12"/>
              </w:rPr>
              <w:t xml:space="preserve"> </w:t>
            </w:r>
            <w:r w:rsidRPr="00D4309F">
              <w:t>Beach</w:t>
            </w:r>
            <w:r w:rsidRPr="00D4309F">
              <w:rPr>
                <w:spacing w:val="-13"/>
              </w:rPr>
              <w:t xml:space="preserve"> </w:t>
            </w:r>
            <w:r w:rsidRPr="00D4309F">
              <w:t xml:space="preserve">during </w:t>
            </w:r>
            <w:r w:rsidRPr="00D4309F">
              <w:rPr>
                <w:spacing w:val="-2"/>
              </w:rPr>
              <w:t>reprofiling</w:t>
            </w:r>
          </w:p>
        </w:tc>
        <w:tc>
          <w:tcPr>
            <w:tcW w:w="1417" w:type="dxa"/>
            <w:tcBorders>
              <w:top w:val="single" w:sz="4" w:space="0" w:color="000000"/>
              <w:bottom w:val="single" w:sz="4" w:space="0" w:color="000000"/>
            </w:tcBorders>
            <w:shd w:val="clear" w:color="auto" w:fill="FFFF00"/>
            <w:vAlign w:val="center"/>
          </w:tcPr>
          <w:p w14:paraId="261314A7" w14:textId="7BE416B9" w:rsidR="004C00ED" w:rsidRPr="00D4309F" w:rsidRDefault="004C00ED" w:rsidP="00131333">
            <w:pPr>
              <w:pStyle w:val="TableParagraph"/>
              <w:ind w:left="206" w:right="206" w:firstLine="1"/>
              <w:rPr>
                <w:b/>
                <w:color w:val="211E1F"/>
                <w:sz w:val="18"/>
              </w:rPr>
            </w:pPr>
            <w:r w:rsidRPr="00D4309F">
              <w:rPr>
                <w:b/>
                <w:color w:val="211E1F"/>
                <w:spacing w:val="-2"/>
                <w:sz w:val="18"/>
              </w:rPr>
              <w:t>Moderate</w:t>
            </w:r>
          </w:p>
        </w:tc>
        <w:tc>
          <w:tcPr>
            <w:tcW w:w="2410" w:type="dxa"/>
            <w:tcBorders>
              <w:top w:val="single" w:sz="4" w:space="0" w:color="000000"/>
              <w:bottom w:val="single" w:sz="4" w:space="0" w:color="000000"/>
            </w:tcBorders>
            <w:vAlign w:val="center"/>
          </w:tcPr>
          <w:p w14:paraId="450BFF7E" w14:textId="7848C378" w:rsidR="004C00ED" w:rsidRPr="00D4309F" w:rsidRDefault="004C00ED" w:rsidP="003C3F36">
            <w:pPr>
              <w:pStyle w:val="Table-Bullet"/>
            </w:pPr>
            <w:r w:rsidRPr="00D4309F">
              <w:t>Several</w:t>
            </w:r>
            <w:r w:rsidRPr="00D4309F">
              <w:rPr>
                <w:spacing w:val="-13"/>
              </w:rPr>
              <w:t xml:space="preserve"> </w:t>
            </w:r>
            <w:r w:rsidRPr="00D4309F">
              <w:t>MSES</w:t>
            </w:r>
            <w:r w:rsidRPr="00D4309F">
              <w:rPr>
                <w:spacing w:val="-12"/>
              </w:rPr>
              <w:t xml:space="preserve"> </w:t>
            </w:r>
            <w:r w:rsidRPr="00D4309F">
              <w:t>and</w:t>
            </w:r>
            <w:r w:rsidRPr="00D4309F">
              <w:rPr>
                <w:spacing w:val="-13"/>
              </w:rPr>
              <w:t xml:space="preserve"> </w:t>
            </w:r>
            <w:r w:rsidRPr="00D4309F">
              <w:t>TECs occur in the project area</w:t>
            </w:r>
          </w:p>
        </w:tc>
        <w:tc>
          <w:tcPr>
            <w:tcW w:w="2126" w:type="dxa"/>
            <w:tcBorders>
              <w:top w:val="single" w:sz="4" w:space="0" w:color="000000"/>
              <w:bottom w:val="single" w:sz="4" w:space="0" w:color="000000"/>
            </w:tcBorders>
            <w:vAlign w:val="center"/>
          </w:tcPr>
          <w:p w14:paraId="785560C8" w14:textId="1A7FD3FF" w:rsidR="004C00ED" w:rsidRPr="00D4309F" w:rsidRDefault="004C00ED" w:rsidP="003C3F36">
            <w:pPr>
              <w:pStyle w:val="Table-Bullet"/>
            </w:pPr>
            <w:r w:rsidRPr="00D4309F">
              <w:rPr>
                <w:color w:val="211E1F"/>
                <w:spacing w:val="-4"/>
              </w:rPr>
              <w:t>None</w:t>
            </w:r>
          </w:p>
        </w:tc>
        <w:tc>
          <w:tcPr>
            <w:tcW w:w="2523" w:type="dxa"/>
            <w:tcBorders>
              <w:top w:val="single" w:sz="4" w:space="0" w:color="000000"/>
              <w:bottom w:val="single" w:sz="4" w:space="0" w:color="000000"/>
            </w:tcBorders>
            <w:vAlign w:val="center"/>
          </w:tcPr>
          <w:p w14:paraId="34F4ABCA" w14:textId="77777777" w:rsidR="004C00ED" w:rsidRPr="00D4309F" w:rsidRDefault="004C00ED" w:rsidP="003C3F36">
            <w:pPr>
              <w:pStyle w:val="Table-Bullet"/>
            </w:pPr>
            <w:r w:rsidRPr="00D4309F">
              <w:t>No</w:t>
            </w:r>
            <w:r w:rsidRPr="00D4309F">
              <w:rPr>
                <w:spacing w:val="-13"/>
              </w:rPr>
              <w:t xml:space="preserve"> </w:t>
            </w:r>
            <w:r w:rsidRPr="00D4309F">
              <w:t xml:space="preserve">vegetation </w:t>
            </w:r>
            <w:r w:rsidRPr="00D4309F">
              <w:rPr>
                <w:spacing w:val="-2"/>
              </w:rPr>
              <w:t>clearing</w:t>
            </w:r>
          </w:p>
          <w:p w14:paraId="296F292B" w14:textId="77777777" w:rsidR="004C00ED" w:rsidRPr="00D4309F" w:rsidRDefault="004C00ED" w:rsidP="003C3F36">
            <w:pPr>
              <w:pStyle w:val="Table-Bullet"/>
            </w:pPr>
            <w:r w:rsidRPr="00D4309F">
              <w:rPr>
                <w:spacing w:val="-2"/>
              </w:rPr>
              <w:t xml:space="preserve">Appropriate </w:t>
            </w:r>
            <w:r w:rsidRPr="00D4309F">
              <w:t>management for onshore works e.g. onshore vehicles and</w:t>
            </w:r>
            <w:r w:rsidRPr="00D4309F">
              <w:rPr>
                <w:spacing w:val="-13"/>
              </w:rPr>
              <w:t xml:space="preserve"> </w:t>
            </w:r>
            <w:r w:rsidRPr="00D4309F">
              <w:t>plant</w:t>
            </w:r>
            <w:r w:rsidRPr="00D4309F">
              <w:rPr>
                <w:spacing w:val="-12"/>
              </w:rPr>
              <w:t xml:space="preserve"> </w:t>
            </w:r>
            <w:r w:rsidRPr="00D4309F">
              <w:t>to</w:t>
            </w:r>
            <w:r w:rsidRPr="00D4309F">
              <w:rPr>
                <w:spacing w:val="-13"/>
              </w:rPr>
              <w:t xml:space="preserve"> </w:t>
            </w:r>
            <w:r w:rsidRPr="00D4309F">
              <w:t>operate in</w:t>
            </w:r>
            <w:r w:rsidRPr="00D4309F">
              <w:rPr>
                <w:spacing w:val="-15"/>
              </w:rPr>
              <w:t xml:space="preserve"> </w:t>
            </w:r>
            <w:r w:rsidRPr="00D4309F">
              <w:t>designated</w:t>
            </w:r>
            <w:r w:rsidRPr="00D4309F">
              <w:rPr>
                <w:spacing w:val="-12"/>
              </w:rPr>
              <w:t xml:space="preserve"> </w:t>
            </w:r>
            <w:r w:rsidRPr="00D4309F">
              <w:t>tracks and areas</w:t>
            </w:r>
          </w:p>
          <w:p w14:paraId="288B26B9" w14:textId="77777777" w:rsidR="004C00ED" w:rsidRPr="00D4309F" w:rsidRDefault="004C00ED" w:rsidP="003C3F36">
            <w:pPr>
              <w:pStyle w:val="Table-Bullet"/>
            </w:pPr>
            <w:r w:rsidRPr="00D4309F">
              <w:t>Dust</w:t>
            </w:r>
            <w:r w:rsidRPr="00D4309F">
              <w:rPr>
                <w:spacing w:val="-13"/>
              </w:rPr>
              <w:t xml:space="preserve"> </w:t>
            </w:r>
            <w:r w:rsidRPr="00D4309F">
              <w:t xml:space="preserve">management </w:t>
            </w:r>
            <w:r w:rsidRPr="00D4309F">
              <w:rPr>
                <w:spacing w:val="-2"/>
              </w:rPr>
              <w:t>procedures</w:t>
            </w:r>
          </w:p>
          <w:p w14:paraId="7D594159" w14:textId="77777777" w:rsidR="004C00ED" w:rsidRPr="00D4309F" w:rsidRDefault="004C00ED" w:rsidP="003C3F36">
            <w:pPr>
              <w:pStyle w:val="Table-Bullet"/>
            </w:pPr>
            <w:r w:rsidRPr="00D4309F">
              <w:t>Weed</w:t>
            </w:r>
            <w:r w:rsidRPr="00D4309F">
              <w:rPr>
                <w:spacing w:val="-13"/>
              </w:rPr>
              <w:t xml:space="preserve"> </w:t>
            </w:r>
            <w:r w:rsidRPr="00D4309F">
              <w:t xml:space="preserve">control </w:t>
            </w:r>
            <w:r w:rsidRPr="00D4309F">
              <w:rPr>
                <w:spacing w:val="-2"/>
              </w:rPr>
              <w:t>management procedures</w:t>
            </w:r>
          </w:p>
          <w:p w14:paraId="7E6EDAF4" w14:textId="642CF1BC" w:rsidR="004C00ED" w:rsidRPr="00D4309F" w:rsidRDefault="004C00ED" w:rsidP="003C3F36">
            <w:pPr>
              <w:pStyle w:val="Table-Bullet"/>
            </w:pPr>
            <w:r w:rsidRPr="00D4309F">
              <w:t>Waste</w:t>
            </w:r>
            <w:r w:rsidRPr="00D4309F">
              <w:rPr>
                <w:spacing w:val="-13"/>
              </w:rPr>
              <w:t xml:space="preserve"> </w:t>
            </w:r>
            <w:r w:rsidRPr="00D4309F">
              <w:t xml:space="preserve">management </w:t>
            </w:r>
            <w:r w:rsidRPr="00D4309F">
              <w:rPr>
                <w:spacing w:val="-2"/>
              </w:rPr>
              <w:t>procedures</w:t>
            </w:r>
          </w:p>
        </w:tc>
      </w:tr>
    </w:tbl>
    <w:p w14:paraId="38189775" w14:textId="039721A7" w:rsidR="00725977" w:rsidRPr="00D4309F" w:rsidRDefault="00725977" w:rsidP="003E0830">
      <w:pPr>
        <w:spacing w:before="119"/>
        <w:ind w:left="142"/>
      </w:pPr>
      <w:r w:rsidRPr="00D4309F">
        <w:rPr>
          <w:color w:val="211E1F"/>
          <w:spacing w:val="-2"/>
          <w:sz w:val="14"/>
        </w:rPr>
        <w:t>Assumptions:</w:t>
      </w:r>
    </w:p>
    <w:p w14:paraId="22772D29" w14:textId="77777777" w:rsidR="00725977" w:rsidRPr="00D4309F" w:rsidRDefault="00725977" w:rsidP="00D27F26">
      <w:pPr>
        <w:pStyle w:val="Table-Note"/>
        <w:numPr>
          <w:ilvl w:val="0"/>
          <w:numId w:val="487"/>
        </w:numPr>
      </w:pPr>
      <w:r w:rsidRPr="00D4309F">
        <w:t>Dredge</w:t>
      </w:r>
      <w:r w:rsidRPr="00D4309F">
        <w:rPr>
          <w:spacing w:val="-3"/>
        </w:rPr>
        <w:t xml:space="preserve"> </w:t>
      </w:r>
      <w:r w:rsidRPr="00D4309F">
        <w:t>area</w:t>
      </w:r>
      <w:r w:rsidRPr="00D4309F">
        <w:rPr>
          <w:spacing w:val="-3"/>
        </w:rPr>
        <w:t xml:space="preserve"> </w:t>
      </w:r>
      <w:r w:rsidRPr="00D4309F">
        <w:t>is</w:t>
      </w:r>
      <w:r w:rsidRPr="00D4309F">
        <w:rPr>
          <w:spacing w:val="-2"/>
        </w:rPr>
        <w:t xml:space="preserve"> </w:t>
      </w:r>
      <w:r w:rsidRPr="00D4309F">
        <w:t>an</w:t>
      </w:r>
      <w:r w:rsidRPr="00D4309F">
        <w:rPr>
          <w:spacing w:val="-3"/>
        </w:rPr>
        <w:t xml:space="preserve"> </w:t>
      </w:r>
      <w:r w:rsidRPr="00D4309F">
        <w:t>area</w:t>
      </w:r>
      <w:r w:rsidRPr="00D4309F">
        <w:rPr>
          <w:spacing w:val="-2"/>
        </w:rPr>
        <w:t xml:space="preserve"> </w:t>
      </w:r>
      <w:r w:rsidRPr="00D4309F">
        <w:t>of</w:t>
      </w:r>
      <w:r w:rsidRPr="00D4309F">
        <w:rPr>
          <w:spacing w:val="-3"/>
        </w:rPr>
        <w:t xml:space="preserve"> </w:t>
      </w:r>
      <w:r w:rsidRPr="00D4309F">
        <w:t>bare</w:t>
      </w:r>
      <w:r w:rsidRPr="00D4309F">
        <w:rPr>
          <w:spacing w:val="-2"/>
        </w:rPr>
        <w:t xml:space="preserve"> </w:t>
      </w:r>
      <w:r w:rsidRPr="00D4309F">
        <w:rPr>
          <w:spacing w:val="-4"/>
        </w:rPr>
        <w:t>sand</w:t>
      </w:r>
    </w:p>
    <w:p w14:paraId="5EFC5695" w14:textId="77777777" w:rsidR="00725977" w:rsidRPr="00D4309F" w:rsidRDefault="00725977" w:rsidP="00D27F26">
      <w:pPr>
        <w:pStyle w:val="Table-Note"/>
        <w:numPr>
          <w:ilvl w:val="0"/>
          <w:numId w:val="487"/>
        </w:numPr>
      </w:pPr>
      <w:r w:rsidRPr="00D4309F">
        <w:t>There</w:t>
      </w:r>
      <w:r w:rsidRPr="00D4309F">
        <w:rPr>
          <w:spacing w:val="-7"/>
        </w:rPr>
        <w:t xml:space="preserve"> </w:t>
      </w:r>
      <w:r w:rsidRPr="00D4309F">
        <w:t>is</w:t>
      </w:r>
      <w:r w:rsidRPr="00D4309F">
        <w:rPr>
          <w:spacing w:val="-3"/>
        </w:rPr>
        <w:t xml:space="preserve"> </w:t>
      </w:r>
      <w:r w:rsidRPr="00D4309F">
        <w:t>sediment</w:t>
      </w:r>
      <w:r w:rsidRPr="00D4309F">
        <w:rPr>
          <w:spacing w:val="-3"/>
        </w:rPr>
        <w:t xml:space="preserve"> </w:t>
      </w:r>
      <w:r w:rsidRPr="00D4309F">
        <w:t>contamination</w:t>
      </w:r>
      <w:r w:rsidRPr="00D4309F">
        <w:rPr>
          <w:spacing w:val="-5"/>
        </w:rPr>
        <w:t xml:space="preserve"> </w:t>
      </w:r>
      <w:r w:rsidRPr="00D4309F">
        <w:t>data</w:t>
      </w:r>
      <w:r w:rsidRPr="00D4309F">
        <w:rPr>
          <w:spacing w:val="-4"/>
        </w:rPr>
        <w:t xml:space="preserve"> </w:t>
      </w:r>
      <w:r w:rsidRPr="00D4309F">
        <w:t>to</w:t>
      </w:r>
      <w:r w:rsidRPr="00D4309F">
        <w:rPr>
          <w:spacing w:val="-3"/>
        </w:rPr>
        <w:t xml:space="preserve"> </w:t>
      </w:r>
      <w:r w:rsidRPr="00D4309F">
        <w:t>inform</w:t>
      </w:r>
      <w:r w:rsidRPr="00D4309F">
        <w:rPr>
          <w:spacing w:val="-4"/>
        </w:rPr>
        <w:t xml:space="preserve"> </w:t>
      </w:r>
      <w:r w:rsidRPr="00D4309F">
        <w:t>the</w:t>
      </w:r>
      <w:r w:rsidRPr="00D4309F">
        <w:rPr>
          <w:spacing w:val="-4"/>
        </w:rPr>
        <w:t xml:space="preserve"> </w:t>
      </w:r>
      <w:r w:rsidRPr="00D4309F">
        <w:t>risk</w:t>
      </w:r>
      <w:r w:rsidRPr="00D4309F">
        <w:rPr>
          <w:spacing w:val="-3"/>
        </w:rPr>
        <w:t xml:space="preserve"> </w:t>
      </w:r>
      <w:r w:rsidRPr="00D4309F">
        <w:t>of</w:t>
      </w:r>
      <w:r w:rsidRPr="00D4309F">
        <w:rPr>
          <w:spacing w:val="-5"/>
        </w:rPr>
        <w:t xml:space="preserve"> </w:t>
      </w:r>
      <w:r w:rsidRPr="00D4309F">
        <w:t>on</w:t>
      </w:r>
      <w:r w:rsidRPr="00D4309F">
        <w:rPr>
          <w:spacing w:val="-4"/>
        </w:rPr>
        <w:t xml:space="preserve"> </w:t>
      </w:r>
      <w:r w:rsidRPr="00D4309F">
        <w:t>release</w:t>
      </w:r>
      <w:r w:rsidRPr="00D4309F">
        <w:rPr>
          <w:spacing w:val="-4"/>
        </w:rPr>
        <w:t xml:space="preserve"> </w:t>
      </w:r>
      <w:r w:rsidRPr="00D4309F">
        <w:t>of</w:t>
      </w:r>
      <w:r w:rsidRPr="00D4309F">
        <w:rPr>
          <w:spacing w:val="-5"/>
        </w:rPr>
        <w:t xml:space="preserve"> </w:t>
      </w:r>
      <w:r w:rsidRPr="00D4309F">
        <w:t>contaminants</w:t>
      </w:r>
      <w:r w:rsidRPr="00D4309F">
        <w:rPr>
          <w:spacing w:val="-4"/>
        </w:rPr>
        <w:t xml:space="preserve"> </w:t>
      </w:r>
      <w:r w:rsidRPr="00D4309F">
        <w:t>via</w:t>
      </w:r>
      <w:r w:rsidRPr="00D4309F">
        <w:rPr>
          <w:spacing w:val="-4"/>
        </w:rPr>
        <w:t xml:space="preserve"> </w:t>
      </w:r>
      <w:r w:rsidRPr="00D4309F">
        <w:t>dredging</w:t>
      </w:r>
      <w:r w:rsidRPr="00D4309F">
        <w:rPr>
          <w:spacing w:val="-3"/>
        </w:rPr>
        <w:t xml:space="preserve"> </w:t>
      </w:r>
      <w:r w:rsidRPr="00D4309F">
        <w:t>and</w:t>
      </w:r>
      <w:r w:rsidRPr="00D4309F">
        <w:rPr>
          <w:spacing w:val="-4"/>
        </w:rPr>
        <w:t xml:space="preserve"> </w:t>
      </w:r>
      <w:r w:rsidRPr="00D4309F">
        <w:rPr>
          <w:spacing w:val="-2"/>
        </w:rPr>
        <w:t>disposal</w:t>
      </w:r>
    </w:p>
    <w:p w14:paraId="3CA613D7" w14:textId="77777777" w:rsidR="00725977" w:rsidRPr="00D4309F" w:rsidRDefault="00725977" w:rsidP="00D27F26">
      <w:pPr>
        <w:pStyle w:val="Table-Note"/>
        <w:numPr>
          <w:ilvl w:val="0"/>
          <w:numId w:val="487"/>
        </w:numPr>
      </w:pPr>
      <w:r w:rsidRPr="00D4309F">
        <w:t>No</w:t>
      </w:r>
      <w:r w:rsidRPr="00D4309F">
        <w:rPr>
          <w:spacing w:val="-5"/>
        </w:rPr>
        <w:t xml:space="preserve"> </w:t>
      </w:r>
      <w:r w:rsidRPr="00D4309F">
        <w:t>vegetation</w:t>
      </w:r>
      <w:r w:rsidRPr="00D4309F">
        <w:rPr>
          <w:spacing w:val="-5"/>
        </w:rPr>
        <w:t xml:space="preserve"> </w:t>
      </w:r>
      <w:r w:rsidRPr="00D4309F">
        <w:t>clearing</w:t>
      </w:r>
      <w:r w:rsidRPr="00D4309F">
        <w:rPr>
          <w:spacing w:val="-4"/>
        </w:rPr>
        <w:t xml:space="preserve"> </w:t>
      </w:r>
      <w:r w:rsidRPr="00D4309F">
        <w:t>is</w:t>
      </w:r>
      <w:r w:rsidRPr="00D4309F">
        <w:rPr>
          <w:spacing w:val="-2"/>
        </w:rPr>
        <w:t xml:space="preserve"> </w:t>
      </w:r>
      <w:r w:rsidRPr="00D4309F">
        <w:t>required</w:t>
      </w:r>
      <w:r w:rsidRPr="00D4309F">
        <w:rPr>
          <w:spacing w:val="-5"/>
        </w:rPr>
        <w:t xml:space="preserve"> </w:t>
      </w:r>
      <w:r w:rsidRPr="00D4309F">
        <w:t>for</w:t>
      </w:r>
      <w:r w:rsidRPr="00D4309F">
        <w:rPr>
          <w:spacing w:val="-5"/>
        </w:rPr>
        <w:t xml:space="preserve"> </w:t>
      </w:r>
      <w:r w:rsidRPr="00D4309F">
        <w:t>this</w:t>
      </w:r>
      <w:r w:rsidRPr="00D4309F">
        <w:rPr>
          <w:spacing w:val="-3"/>
        </w:rPr>
        <w:t xml:space="preserve"> </w:t>
      </w:r>
      <w:r w:rsidRPr="00D4309F">
        <w:rPr>
          <w:spacing w:val="-2"/>
        </w:rPr>
        <w:t>option</w:t>
      </w:r>
    </w:p>
    <w:p w14:paraId="1085647B" w14:textId="77777777" w:rsidR="00725977" w:rsidRPr="00D4309F" w:rsidRDefault="00725977" w:rsidP="00D27F26">
      <w:pPr>
        <w:pStyle w:val="Table-Note"/>
        <w:numPr>
          <w:ilvl w:val="0"/>
          <w:numId w:val="487"/>
        </w:numPr>
      </w:pPr>
      <w:r w:rsidRPr="00D4309F">
        <w:t>All</w:t>
      </w:r>
      <w:r w:rsidRPr="00D4309F">
        <w:rPr>
          <w:spacing w:val="-5"/>
        </w:rPr>
        <w:t xml:space="preserve"> </w:t>
      </w:r>
      <w:r w:rsidRPr="00D4309F">
        <w:t>materials</w:t>
      </w:r>
      <w:r w:rsidRPr="00D4309F">
        <w:rPr>
          <w:spacing w:val="-3"/>
        </w:rPr>
        <w:t xml:space="preserve"> </w:t>
      </w:r>
      <w:r w:rsidRPr="00D4309F">
        <w:t>from</w:t>
      </w:r>
      <w:r w:rsidRPr="00D4309F">
        <w:rPr>
          <w:spacing w:val="-4"/>
        </w:rPr>
        <w:t xml:space="preserve"> </w:t>
      </w:r>
      <w:r w:rsidRPr="00D4309F">
        <w:t>the</w:t>
      </w:r>
      <w:r w:rsidRPr="00D4309F">
        <w:rPr>
          <w:spacing w:val="-3"/>
        </w:rPr>
        <w:t xml:space="preserve"> </w:t>
      </w:r>
      <w:r w:rsidRPr="00D4309F">
        <w:t>breakwater</w:t>
      </w:r>
      <w:r w:rsidRPr="00D4309F">
        <w:rPr>
          <w:spacing w:val="-4"/>
        </w:rPr>
        <w:t xml:space="preserve"> </w:t>
      </w:r>
      <w:r w:rsidRPr="00D4309F">
        <w:t>are</w:t>
      </w:r>
      <w:r w:rsidRPr="00D4309F">
        <w:rPr>
          <w:spacing w:val="-4"/>
        </w:rPr>
        <w:t xml:space="preserve"> </w:t>
      </w:r>
      <w:r w:rsidRPr="00D4309F">
        <w:t>free</w:t>
      </w:r>
      <w:r w:rsidRPr="00D4309F">
        <w:rPr>
          <w:spacing w:val="-4"/>
        </w:rPr>
        <w:t xml:space="preserve"> </w:t>
      </w:r>
      <w:r w:rsidRPr="00D4309F">
        <w:t>of</w:t>
      </w:r>
      <w:r w:rsidRPr="00D4309F">
        <w:rPr>
          <w:spacing w:val="-3"/>
        </w:rPr>
        <w:t xml:space="preserve"> </w:t>
      </w:r>
      <w:r w:rsidRPr="00D4309F">
        <w:t>contaminants</w:t>
      </w:r>
      <w:r w:rsidRPr="00D4309F">
        <w:rPr>
          <w:spacing w:val="-3"/>
        </w:rPr>
        <w:t xml:space="preserve"> </w:t>
      </w:r>
      <w:r w:rsidRPr="00D4309F">
        <w:t>and</w:t>
      </w:r>
      <w:r w:rsidRPr="00D4309F">
        <w:rPr>
          <w:spacing w:val="-5"/>
        </w:rPr>
        <w:t xml:space="preserve"> </w:t>
      </w:r>
      <w:r w:rsidRPr="00D4309F">
        <w:t>will</w:t>
      </w:r>
      <w:r w:rsidRPr="00D4309F">
        <w:rPr>
          <w:spacing w:val="-4"/>
        </w:rPr>
        <w:t xml:space="preserve"> </w:t>
      </w:r>
      <w:r w:rsidRPr="00D4309F">
        <w:t>be</w:t>
      </w:r>
      <w:r w:rsidRPr="00D4309F">
        <w:rPr>
          <w:spacing w:val="-4"/>
        </w:rPr>
        <w:t xml:space="preserve"> </w:t>
      </w:r>
      <w:r w:rsidRPr="00D4309F">
        <w:t>disposed</w:t>
      </w:r>
      <w:r w:rsidRPr="00D4309F">
        <w:rPr>
          <w:spacing w:val="-4"/>
        </w:rPr>
        <w:t xml:space="preserve"> </w:t>
      </w:r>
      <w:r w:rsidRPr="00D4309F">
        <w:t>of</w:t>
      </w:r>
      <w:r w:rsidRPr="00D4309F">
        <w:rPr>
          <w:spacing w:val="-2"/>
        </w:rPr>
        <w:t xml:space="preserve"> offsite</w:t>
      </w:r>
    </w:p>
    <w:p w14:paraId="2400B470" w14:textId="77777777" w:rsidR="00725977" w:rsidRPr="00D4309F" w:rsidRDefault="00725977" w:rsidP="00D27F26">
      <w:pPr>
        <w:pStyle w:val="Table-Note"/>
        <w:numPr>
          <w:ilvl w:val="0"/>
          <w:numId w:val="487"/>
        </w:numPr>
      </w:pPr>
      <w:r w:rsidRPr="00D4309F">
        <w:t>Excavated</w:t>
      </w:r>
      <w:r w:rsidRPr="00D4309F">
        <w:rPr>
          <w:spacing w:val="-5"/>
        </w:rPr>
        <w:t xml:space="preserve"> </w:t>
      </w:r>
      <w:r w:rsidRPr="00D4309F">
        <w:t>rock</w:t>
      </w:r>
      <w:r w:rsidRPr="00D4309F">
        <w:rPr>
          <w:spacing w:val="-5"/>
        </w:rPr>
        <w:t xml:space="preserve"> </w:t>
      </w:r>
      <w:r w:rsidRPr="00D4309F">
        <w:t>will</w:t>
      </w:r>
      <w:r w:rsidRPr="00D4309F">
        <w:rPr>
          <w:spacing w:val="-5"/>
        </w:rPr>
        <w:t xml:space="preserve"> </w:t>
      </w:r>
      <w:r w:rsidRPr="00D4309F">
        <w:t>be</w:t>
      </w:r>
      <w:r w:rsidRPr="00D4309F">
        <w:rPr>
          <w:spacing w:val="-4"/>
        </w:rPr>
        <w:t xml:space="preserve"> </w:t>
      </w:r>
      <w:r w:rsidRPr="00D4309F">
        <w:t>disposed</w:t>
      </w:r>
      <w:r w:rsidRPr="00D4309F">
        <w:rPr>
          <w:spacing w:val="-5"/>
        </w:rPr>
        <w:t xml:space="preserve"> </w:t>
      </w:r>
      <w:r w:rsidRPr="00D4309F">
        <w:t>of</w:t>
      </w:r>
      <w:r w:rsidRPr="00D4309F">
        <w:rPr>
          <w:spacing w:val="-2"/>
        </w:rPr>
        <w:t xml:space="preserve"> </w:t>
      </w:r>
      <w:r w:rsidRPr="00D4309F">
        <w:t>offsite</w:t>
      </w:r>
      <w:r w:rsidRPr="00D4309F">
        <w:rPr>
          <w:spacing w:val="-4"/>
        </w:rPr>
        <w:t xml:space="preserve"> </w:t>
      </w:r>
      <w:r w:rsidRPr="00D4309F">
        <w:t>if</w:t>
      </w:r>
      <w:r w:rsidRPr="00D4309F">
        <w:rPr>
          <w:spacing w:val="-3"/>
        </w:rPr>
        <w:t xml:space="preserve"> </w:t>
      </w:r>
      <w:r w:rsidRPr="00D4309F">
        <w:t>not</w:t>
      </w:r>
      <w:r w:rsidRPr="00D4309F">
        <w:rPr>
          <w:spacing w:val="-4"/>
        </w:rPr>
        <w:t xml:space="preserve"> </w:t>
      </w:r>
      <w:r w:rsidRPr="00D4309F">
        <w:t>appropriate</w:t>
      </w:r>
      <w:r w:rsidRPr="00D4309F">
        <w:rPr>
          <w:spacing w:val="-3"/>
        </w:rPr>
        <w:t xml:space="preserve"> </w:t>
      </w:r>
      <w:r w:rsidRPr="00D4309F">
        <w:t>for</w:t>
      </w:r>
      <w:r w:rsidRPr="00D4309F">
        <w:rPr>
          <w:spacing w:val="-4"/>
        </w:rPr>
        <w:t xml:space="preserve"> </w:t>
      </w:r>
      <w:r w:rsidRPr="00D4309F">
        <w:t>offshore</w:t>
      </w:r>
      <w:r w:rsidRPr="00D4309F">
        <w:rPr>
          <w:spacing w:val="-3"/>
        </w:rPr>
        <w:t xml:space="preserve"> </w:t>
      </w:r>
      <w:r w:rsidRPr="00D4309F">
        <w:rPr>
          <w:spacing w:val="-2"/>
        </w:rPr>
        <w:t>disposal</w:t>
      </w:r>
    </w:p>
    <w:p w14:paraId="4A1701F5" w14:textId="77777777" w:rsidR="00725977" w:rsidRPr="00D4309F" w:rsidRDefault="00725977" w:rsidP="00725977">
      <w:pPr>
        <w:pStyle w:val="ListParagraph"/>
        <w:rPr>
          <w:sz w:val="14"/>
        </w:rPr>
        <w:sectPr w:rsidR="00725977" w:rsidRPr="00D4309F" w:rsidSect="00405D4F">
          <w:headerReference w:type="default" r:id="rId155"/>
          <w:footerReference w:type="default" r:id="rId156"/>
          <w:pgSz w:w="16840" w:h="11910" w:orient="landscape"/>
          <w:pgMar w:top="1418" w:right="1134" w:bottom="1418" w:left="1134" w:header="916" w:footer="976" w:gutter="0"/>
          <w:cols w:space="720"/>
        </w:sectPr>
      </w:pPr>
    </w:p>
    <w:p w14:paraId="6FB2E29A" w14:textId="77777777" w:rsidR="00725977" w:rsidRPr="00D4309F" w:rsidRDefault="00725977" w:rsidP="00725977">
      <w:pPr>
        <w:pStyle w:val="BodyText"/>
      </w:pPr>
      <w:r w:rsidRPr="00D4309F">
        <w:lastRenderedPageBreak/>
        <w:t>The breakwater removal and Wester Channel dredging will potentially result in a more extensive and persistent turbid plume and greater noise impacts; benthic habitat impacts that will require further assessment</w:t>
      </w:r>
      <w:r w:rsidRPr="00D4309F">
        <w:rPr>
          <w:spacing w:val="-4"/>
        </w:rPr>
        <w:t xml:space="preserve"> </w:t>
      </w:r>
      <w:r w:rsidRPr="00D4309F">
        <w:t>and</w:t>
      </w:r>
      <w:r w:rsidRPr="00D4309F">
        <w:rPr>
          <w:spacing w:val="-4"/>
        </w:rPr>
        <w:t xml:space="preserve"> </w:t>
      </w:r>
      <w:r w:rsidRPr="00D4309F">
        <w:t>monitoring/management</w:t>
      </w:r>
      <w:r w:rsidRPr="00D4309F">
        <w:rPr>
          <w:spacing w:val="-4"/>
        </w:rPr>
        <w:t xml:space="preserve"> </w:t>
      </w:r>
      <w:r w:rsidRPr="00D4309F">
        <w:t>during</w:t>
      </w:r>
      <w:r w:rsidRPr="00D4309F">
        <w:rPr>
          <w:spacing w:val="-4"/>
        </w:rPr>
        <w:t xml:space="preserve"> </w:t>
      </w:r>
      <w:r w:rsidRPr="00D4309F">
        <w:t>works.</w:t>
      </w:r>
      <w:r w:rsidRPr="00D4309F">
        <w:rPr>
          <w:spacing w:val="-4"/>
        </w:rPr>
        <w:t xml:space="preserve"> </w:t>
      </w:r>
      <w:r w:rsidRPr="00D4309F">
        <w:t>Overall,</w:t>
      </w:r>
      <w:r w:rsidRPr="00D4309F">
        <w:rPr>
          <w:spacing w:val="-4"/>
        </w:rPr>
        <w:t xml:space="preserve"> </w:t>
      </w:r>
      <w:r w:rsidRPr="00D4309F">
        <w:t>the</w:t>
      </w:r>
      <w:r w:rsidRPr="00D4309F">
        <w:rPr>
          <w:spacing w:val="-4"/>
        </w:rPr>
        <w:t xml:space="preserve"> </w:t>
      </w:r>
      <w:r w:rsidRPr="00D4309F">
        <w:t>breakwater</w:t>
      </w:r>
      <w:r w:rsidRPr="00D4309F">
        <w:rPr>
          <w:spacing w:val="-3"/>
        </w:rPr>
        <w:t xml:space="preserve"> </w:t>
      </w:r>
      <w:r w:rsidRPr="00D4309F">
        <w:t>extension</w:t>
      </w:r>
      <w:r w:rsidRPr="00D4309F">
        <w:rPr>
          <w:spacing w:val="-4"/>
        </w:rPr>
        <w:t xml:space="preserve"> </w:t>
      </w:r>
      <w:r w:rsidRPr="00D4309F">
        <w:t>works</w:t>
      </w:r>
      <w:r w:rsidRPr="00D4309F">
        <w:rPr>
          <w:spacing w:val="-3"/>
        </w:rPr>
        <w:t xml:space="preserve"> </w:t>
      </w:r>
      <w:r w:rsidRPr="00D4309F">
        <w:t>could potentially result in significant impacts to marine and terrestrial fauna of high conservation value.</w:t>
      </w:r>
    </w:p>
    <w:p w14:paraId="4ED1B158" w14:textId="0F4F4686" w:rsidR="005A5356" w:rsidRPr="00D4309F" w:rsidRDefault="00725977" w:rsidP="00725977">
      <w:pPr>
        <w:pStyle w:val="BodyText"/>
      </w:pPr>
      <w:r w:rsidRPr="00D4309F">
        <w:t>Once operational, the environmental impacts would be broadly similar to the existing status quo, involving periodic dredging to maintain navigable depth. This would continue to generate temporary turbidity and seabed</w:t>
      </w:r>
      <w:r w:rsidRPr="00D4309F">
        <w:rPr>
          <w:spacing w:val="-3"/>
        </w:rPr>
        <w:t xml:space="preserve"> </w:t>
      </w:r>
      <w:r w:rsidRPr="00D4309F">
        <w:t>disturbance;</w:t>
      </w:r>
      <w:r w:rsidRPr="00D4309F">
        <w:rPr>
          <w:spacing w:val="-4"/>
        </w:rPr>
        <w:t xml:space="preserve"> </w:t>
      </w:r>
      <w:r w:rsidRPr="00D4309F">
        <w:t>however,</w:t>
      </w:r>
      <w:r w:rsidRPr="00D4309F">
        <w:rPr>
          <w:spacing w:val="-3"/>
        </w:rPr>
        <w:t xml:space="preserve"> </w:t>
      </w:r>
      <w:r w:rsidRPr="00D4309F">
        <w:t>these</w:t>
      </w:r>
      <w:r w:rsidRPr="00D4309F">
        <w:rPr>
          <w:spacing w:val="-3"/>
        </w:rPr>
        <w:t xml:space="preserve"> </w:t>
      </w:r>
      <w:r w:rsidRPr="00D4309F">
        <w:t>impacts</w:t>
      </w:r>
      <w:r w:rsidRPr="00D4309F">
        <w:rPr>
          <w:spacing w:val="-2"/>
        </w:rPr>
        <w:t xml:space="preserve"> </w:t>
      </w:r>
      <w:r w:rsidRPr="00D4309F">
        <w:t>can</w:t>
      </w:r>
      <w:r w:rsidRPr="00D4309F">
        <w:rPr>
          <w:spacing w:val="-3"/>
        </w:rPr>
        <w:t xml:space="preserve"> </w:t>
      </w:r>
      <w:r w:rsidRPr="00D4309F">
        <w:t>be</w:t>
      </w:r>
      <w:r w:rsidRPr="00D4309F">
        <w:rPr>
          <w:spacing w:val="-4"/>
        </w:rPr>
        <w:t xml:space="preserve"> </w:t>
      </w:r>
      <w:r w:rsidRPr="00D4309F">
        <w:t>managed</w:t>
      </w:r>
      <w:r w:rsidRPr="00D4309F">
        <w:rPr>
          <w:spacing w:val="-3"/>
        </w:rPr>
        <w:t xml:space="preserve"> </w:t>
      </w:r>
      <w:r w:rsidRPr="00D4309F">
        <w:t>and</w:t>
      </w:r>
      <w:r w:rsidRPr="00D4309F">
        <w:rPr>
          <w:spacing w:val="-4"/>
        </w:rPr>
        <w:t xml:space="preserve"> </w:t>
      </w:r>
      <w:r w:rsidRPr="00D4309F">
        <w:t>there</w:t>
      </w:r>
      <w:r w:rsidRPr="00D4309F">
        <w:rPr>
          <w:spacing w:val="-3"/>
        </w:rPr>
        <w:t xml:space="preserve"> </w:t>
      </w:r>
      <w:r w:rsidRPr="00D4309F">
        <w:t>are</w:t>
      </w:r>
      <w:r w:rsidRPr="00D4309F">
        <w:rPr>
          <w:spacing w:val="-3"/>
        </w:rPr>
        <w:t xml:space="preserve"> </w:t>
      </w:r>
      <w:r w:rsidRPr="00D4309F">
        <w:t>no</w:t>
      </w:r>
      <w:r w:rsidRPr="00D4309F">
        <w:rPr>
          <w:spacing w:val="-4"/>
        </w:rPr>
        <w:t xml:space="preserve"> </w:t>
      </w:r>
      <w:r w:rsidRPr="00D4309F">
        <w:t>new</w:t>
      </w:r>
      <w:r w:rsidRPr="00D4309F">
        <w:rPr>
          <w:spacing w:val="-2"/>
        </w:rPr>
        <w:t xml:space="preserve"> </w:t>
      </w:r>
      <w:r w:rsidRPr="00D4309F">
        <w:t>long-term</w:t>
      </w:r>
      <w:r w:rsidRPr="00D4309F">
        <w:rPr>
          <w:spacing w:val="-3"/>
        </w:rPr>
        <w:t xml:space="preserve"> </w:t>
      </w:r>
      <w:r w:rsidRPr="00D4309F">
        <w:t>or</w:t>
      </w:r>
      <w:r w:rsidRPr="00D4309F">
        <w:rPr>
          <w:spacing w:val="-2"/>
        </w:rPr>
        <w:t xml:space="preserve"> </w:t>
      </w:r>
      <w:r w:rsidRPr="00D4309F">
        <w:t>large-scale environmental pressure expected beyond those already associated with current maintenance activities.</w:t>
      </w:r>
    </w:p>
    <w:p w14:paraId="31CFB7DF" w14:textId="77777777" w:rsidR="00725977" w:rsidRPr="00D4309F" w:rsidRDefault="00725977" w:rsidP="00785CC3">
      <w:pPr>
        <w:pStyle w:val="Heading3"/>
      </w:pPr>
      <w:bookmarkStart w:id="553" w:name="_bookmark200"/>
      <w:bookmarkStart w:id="554" w:name="_Toc216699517"/>
      <w:bookmarkEnd w:id="553"/>
      <w:r w:rsidRPr="00D4309F">
        <w:t>Social</w:t>
      </w:r>
      <w:r w:rsidRPr="00D4309F">
        <w:rPr>
          <w:spacing w:val="-11"/>
        </w:rPr>
        <w:t xml:space="preserve"> </w:t>
      </w:r>
      <w:r w:rsidRPr="00D4309F">
        <w:rPr>
          <w:spacing w:val="-2"/>
        </w:rPr>
        <w:t>impacts</w:t>
      </w:r>
      <w:bookmarkEnd w:id="554"/>
    </w:p>
    <w:p w14:paraId="08CDA268" w14:textId="77777777" w:rsidR="00725977" w:rsidRPr="00D4309F" w:rsidRDefault="00725977" w:rsidP="00725977">
      <w:pPr>
        <w:pStyle w:val="BodyText"/>
      </w:pPr>
      <w:r w:rsidRPr="00D4309F">
        <w:t>Option 5B is expected to generate social value with three positive impacts ranked as high in the SIE assessment, including: safer channel access through reduced shoaling, improved economic outcomes through</w:t>
      </w:r>
      <w:r w:rsidRPr="00D4309F">
        <w:rPr>
          <w:spacing w:val="-3"/>
        </w:rPr>
        <w:t xml:space="preserve"> </w:t>
      </w:r>
      <w:r w:rsidRPr="00D4309F">
        <w:t>more</w:t>
      </w:r>
      <w:r w:rsidRPr="00D4309F">
        <w:rPr>
          <w:spacing w:val="-4"/>
        </w:rPr>
        <w:t xml:space="preserve"> </w:t>
      </w:r>
      <w:r w:rsidRPr="00D4309F">
        <w:t>reliable</w:t>
      </w:r>
      <w:r w:rsidRPr="00D4309F">
        <w:rPr>
          <w:spacing w:val="-4"/>
        </w:rPr>
        <w:t xml:space="preserve"> </w:t>
      </w:r>
      <w:r w:rsidRPr="00D4309F">
        <w:t>channel</w:t>
      </w:r>
      <w:r w:rsidRPr="00D4309F">
        <w:rPr>
          <w:spacing w:val="-3"/>
        </w:rPr>
        <w:t xml:space="preserve"> </w:t>
      </w:r>
      <w:r w:rsidRPr="00D4309F">
        <w:t>access</w:t>
      </w:r>
      <w:r w:rsidRPr="00D4309F">
        <w:rPr>
          <w:spacing w:val="-2"/>
        </w:rPr>
        <w:t xml:space="preserve"> </w:t>
      </w:r>
      <w:r w:rsidRPr="00D4309F">
        <w:t>and</w:t>
      </w:r>
      <w:r w:rsidRPr="00D4309F">
        <w:rPr>
          <w:spacing w:val="-3"/>
        </w:rPr>
        <w:t xml:space="preserve"> </w:t>
      </w:r>
      <w:r w:rsidRPr="00D4309F">
        <w:t>improved</w:t>
      </w:r>
      <w:r w:rsidRPr="00D4309F">
        <w:rPr>
          <w:spacing w:val="-3"/>
        </w:rPr>
        <w:t xml:space="preserve"> </w:t>
      </w:r>
      <w:r w:rsidRPr="00D4309F">
        <w:t>beach</w:t>
      </w:r>
      <w:r w:rsidRPr="00D4309F">
        <w:rPr>
          <w:spacing w:val="-3"/>
        </w:rPr>
        <w:t xml:space="preserve"> </w:t>
      </w:r>
      <w:r w:rsidRPr="00D4309F">
        <w:t>nourishment</w:t>
      </w:r>
      <w:r w:rsidRPr="00D4309F">
        <w:rPr>
          <w:spacing w:val="-4"/>
        </w:rPr>
        <w:t xml:space="preserve"> </w:t>
      </w:r>
      <w:r w:rsidRPr="00D4309F">
        <w:t>through</w:t>
      </w:r>
      <w:r w:rsidRPr="00D4309F">
        <w:rPr>
          <w:spacing w:val="-4"/>
        </w:rPr>
        <w:t xml:space="preserve"> </w:t>
      </w:r>
      <w:r w:rsidRPr="00D4309F">
        <w:t>nearshore</w:t>
      </w:r>
      <w:r w:rsidRPr="00D4309F">
        <w:rPr>
          <w:spacing w:val="-4"/>
        </w:rPr>
        <w:t xml:space="preserve"> </w:t>
      </w:r>
      <w:r w:rsidRPr="00D4309F">
        <w:t>sand</w:t>
      </w:r>
      <w:r w:rsidRPr="00D4309F">
        <w:rPr>
          <w:spacing w:val="-3"/>
        </w:rPr>
        <w:t xml:space="preserve"> </w:t>
      </w:r>
      <w:r w:rsidRPr="00D4309F">
        <w:t>placement.</w:t>
      </w:r>
    </w:p>
    <w:p w14:paraId="69F87DAA" w14:textId="46217CAF" w:rsidR="005A5356" w:rsidRPr="00D4309F" w:rsidRDefault="00725977" w:rsidP="00725977">
      <w:pPr>
        <w:pStyle w:val="BodyText"/>
      </w:pPr>
      <w:r w:rsidRPr="00D4309F">
        <w:t>When compared to the baseline, there were eight negative social impacts identified, however, after mitigation</w:t>
      </w:r>
      <w:r w:rsidRPr="00D4309F">
        <w:rPr>
          <w:spacing w:val="-2"/>
        </w:rPr>
        <w:t xml:space="preserve"> </w:t>
      </w:r>
      <w:r w:rsidRPr="00D4309F">
        <w:t>measures</w:t>
      </w:r>
      <w:r w:rsidRPr="00D4309F">
        <w:rPr>
          <w:spacing w:val="-1"/>
        </w:rPr>
        <w:t xml:space="preserve"> </w:t>
      </w:r>
      <w:r w:rsidRPr="00D4309F">
        <w:t>were</w:t>
      </w:r>
      <w:r w:rsidRPr="00D4309F">
        <w:rPr>
          <w:spacing w:val="-3"/>
        </w:rPr>
        <w:t xml:space="preserve"> </w:t>
      </w:r>
      <w:r w:rsidRPr="00D4309F">
        <w:t>considered</w:t>
      </w:r>
      <w:r w:rsidRPr="00D4309F">
        <w:rPr>
          <w:spacing w:val="-2"/>
        </w:rPr>
        <w:t xml:space="preserve"> </w:t>
      </w:r>
      <w:r w:rsidRPr="00D4309F">
        <w:t>there</w:t>
      </w:r>
      <w:r w:rsidRPr="00D4309F">
        <w:rPr>
          <w:spacing w:val="-2"/>
        </w:rPr>
        <w:t xml:space="preserve"> </w:t>
      </w:r>
      <w:r w:rsidRPr="00D4309F">
        <w:t>were</w:t>
      </w:r>
      <w:r w:rsidRPr="00D4309F">
        <w:rPr>
          <w:spacing w:val="-2"/>
        </w:rPr>
        <w:t xml:space="preserve"> </w:t>
      </w:r>
      <w:r w:rsidRPr="00D4309F">
        <w:t>four</w:t>
      </w:r>
      <w:r w:rsidRPr="00D4309F">
        <w:rPr>
          <w:spacing w:val="-3"/>
        </w:rPr>
        <w:t xml:space="preserve"> </w:t>
      </w:r>
      <w:r w:rsidRPr="00D4309F">
        <w:t>which</w:t>
      </w:r>
      <w:r w:rsidRPr="00D4309F">
        <w:rPr>
          <w:spacing w:val="-2"/>
        </w:rPr>
        <w:t xml:space="preserve"> </w:t>
      </w:r>
      <w:r w:rsidRPr="00D4309F">
        <w:t>may</w:t>
      </w:r>
      <w:r w:rsidRPr="00D4309F">
        <w:rPr>
          <w:spacing w:val="-1"/>
        </w:rPr>
        <w:t xml:space="preserve"> </w:t>
      </w:r>
      <w:r w:rsidRPr="00D4309F">
        <w:t>be</w:t>
      </w:r>
      <w:r w:rsidRPr="00D4309F">
        <w:rPr>
          <w:spacing w:val="-2"/>
        </w:rPr>
        <w:t xml:space="preserve"> </w:t>
      </w:r>
      <w:r w:rsidRPr="00D4309F">
        <w:t>of</w:t>
      </w:r>
      <w:r w:rsidRPr="00D4309F">
        <w:rPr>
          <w:spacing w:val="-2"/>
        </w:rPr>
        <w:t xml:space="preserve"> </w:t>
      </w:r>
      <w:r w:rsidRPr="00D4309F">
        <w:t>high</w:t>
      </w:r>
      <w:r w:rsidRPr="00D4309F">
        <w:rPr>
          <w:spacing w:val="-2"/>
        </w:rPr>
        <w:t xml:space="preserve"> </w:t>
      </w:r>
      <w:r w:rsidRPr="00D4309F">
        <w:t>concern</w:t>
      </w:r>
      <w:r w:rsidRPr="00D4309F">
        <w:rPr>
          <w:spacing w:val="-2"/>
        </w:rPr>
        <w:t xml:space="preserve"> </w:t>
      </w:r>
      <w:r w:rsidRPr="00D4309F">
        <w:t>to</w:t>
      </w:r>
      <w:r w:rsidRPr="00D4309F">
        <w:rPr>
          <w:spacing w:val="-2"/>
        </w:rPr>
        <w:t xml:space="preserve"> </w:t>
      </w:r>
      <w:r w:rsidRPr="00D4309F">
        <w:t>the</w:t>
      </w:r>
      <w:r w:rsidRPr="00D4309F">
        <w:rPr>
          <w:spacing w:val="-2"/>
        </w:rPr>
        <w:t xml:space="preserve"> </w:t>
      </w:r>
      <w:r w:rsidRPr="00D4309F">
        <w:t>community</w:t>
      </w:r>
      <w:r w:rsidRPr="00D4309F">
        <w:rPr>
          <w:spacing w:val="-1"/>
        </w:rPr>
        <w:t xml:space="preserve"> </w:t>
      </w:r>
      <w:r w:rsidRPr="00D4309F">
        <w:t>and stakeholders, including: potential for increased safety risks due to the need to navigate “beam-on” to incoming waves, perception that the option does not achieve improved safety or access as it does not prevent shoaling, potential negative environmental impacts and construction impacts. Further mitigations must be undertaken to reduce potential negative social impacts including real-time navigation aids, continuing to issue Notice to Mariners on conditions, environmental impact assessment, environment and construction management plans and stakeholder and community engagement.</w:t>
      </w:r>
    </w:p>
    <w:p w14:paraId="41919202" w14:textId="77777777" w:rsidR="00725977" w:rsidRPr="00D4309F" w:rsidRDefault="00725977" w:rsidP="00785CC3">
      <w:pPr>
        <w:pStyle w:val="Heading3"/>
      </w:pPr>
      <w:bookmarkStart w:id="555" w:name="_bookmark201"/>
      <w:bookmarkStart w:id="556" w:name="_Toc216699518"/>
      <w:bookmarkEnd w:id="555"/>
      <w:r w:rsidRPr="00D4309F">
        <w:rPr>
          <w:w w:val="110"/>
        </w:rPr>
        <w:t>Economic</w:t>
      </w:r>
      <w:r w:rsidRPr="00D4309F">
        <w:rPr>
          <w:spacing w:val="19"/>
          <w:w w:val="115"/>
        </w:rPr>
        <w:t xml:space="preserve"> </w:t>
      </w:r>
      <w:r w:rsidRPr="00D4309F">
        <w:rPr>
          <w:spacing w:val="-2"/>
          <w:w w:val="115"/>
        </w:rPr>
        <w:t>impacts</w:t>
      </w:r>
      <w:bookmarkEnd w:id="556"/>
    </w:p>
    <w:p w14:paraId="089B2B2D" w14:textId="77777777" w:rsidR="00725977" w:rsidRPr="00D4309F" w:rsidRDefault="00725977" w:rsidP="00725977">
      <w:pPr>
        <w:pStyle w:val="BodyText"/>
      </w:pPr>
      <w:r w:rsidRPr="00D4309F">
        <w:t>Option</w:t>
      </w:r>
      <w:r w:rsidRPr="00D4309F">
        <w:rPr>
          <w:spacing w:val="-6"/>
        </w:rPr>
        <w:t xml:space="preserve"> </w:t>
      </w:r>
      <w:r w:rsidRPr="00D4309F">
        <w:t>5B</w:t>
      </w:r>
      <w:r w:rsidRPr="00D4309F">
        <w:rPr>
          <w:spacing w:val="-3"/>
        </w:rPr>
        <w:t xml:space="preserve"> </w:t>
      </w:r>
      <w:r w:rsidRPr="00D4309F">
        <w:t>is</w:t>
      </w:r>
      <w:r w:rsidRPr="00D4309F">
        <w:rPr>
          <w:spacing w:val="-3"/>
        </w:rPr>
        <w:t xml:space="preserve"> </w:t>
      </w:r>
      <w:r w:rsidRPr="00D4309F">
        <w:t>expected</w:t>
      </w:r>
      <w:r w:rsidRPr="00D4309F">
        <w:rPr>
          <w:spacing w:val="-3"/>
        </w:rPr>
        <w:t xml:space="preserve"> </w:t>
      </w:r>
      <w:r w:rsidRPr="00D4309F">
        <w:t>to</w:t>
      </w:r>
      <w:r w:rsidRPr="00D4309F">
        <w:rPr>
          <w:spacing w:val="-3"/>
        </w:rPr>
        <w:t xml:space="preserve"> </w:t>
      </w:r>
      <w:r w:rsidRPr="00D4309F">
        <w:t>have</w:t>
      </w:r>
      <w:r w:rsidRPr="00D4309F">
        <w:rPr>
          <w:spacing w:val="-4"/>
        </w:rPr>
        <w:t xml:space="preserve"> </w:t>
      </w:r>
      <w:r w:rsidRPr="00D4309F">
        <w:t>a</w:t>
      </w:r>
      <w:r w:rsidRPr="00D4309F">
        <w:rPr>
          <w:spacing w:val="-3"/>
        </w:rPr>
        <w:t xml:space="preserve"> </w:t>
      </w:r>
      <w:r w:rsidRPr="00D4309F">
        <w:t>moderate</w:t>
      </w:r>
      <w:r w:rsidRPr="00D4309F">
        <w:rPr>
          <w:spacing w:val="-4"/>
        </w:rPr>
        <w:t xml:space="preserve"> </w:t>
      </w:r>
      <w:r w:rsidRPr="00D4309F">
        <w:t>to</w:t>
      </w:r>
      <w:r w:rsidRPr="00D4309F">
        <w:rPr>
          <w:spacing w:val="-4"/>
        </w:rPr>
        <w:t xml:space="preserve"> </w:t>
      </w:r>
      <w:r w:rsidRPr="00D4309F">
        <w:t>major</w:t>
      </w:r>
      <w:r w:rsidRPr="00D4309F">
        <w:rPr>
          <w:spacing w:val="-2"/>
        </w:rPr>
        <w:t xml:space="preserve"> </w:t>
      </w:r>
      <w:r w:rsidRPr="00D4309F">
        <w:t>economic</w:t>
      </w:r>
      <w:r w:rsidRPr="00D4309F">
        <w:rPr>
          <w:spacing w:val="-3"/>
        </w:rPr>
        <w:t xml:space="preserve"> </w:t>
      </w:r>
      <w:r w:rsidRPr="00D4309F">
        <w:t>impact</w:t>
      </w:r>
      <w:r w:rsidRPr="00D4309F">
        <w:rPr>
          <w:spacing w:val="-3"/>
        </w:rPr>
        <w:t xml:space="preserve"> </w:t>
      </w:r>
      <w:r w:rsidRPr="00D4309F">
        <w:t>compared</w:t>
      </w:r>
      <w:r w:rsidRPr="00D4309F">
        <w:rPr>
          <w:spacing w:val="-3"/>
        </w:rPr>
        <w:t xml:space="preserve"> </w:t>
      </w:r>
      <w:r w:rsidRPr="00D4309F">
        <w:t>with</w:t>
      </w:r>
      <w:r w:rsidRPr="00D4309F">
        <w:rPr>
          <w:spacing w:val="-4"/>
        </w:rPr>
        <w:t xml:space="preserve"> </w:t>
      </w:r>
      <w:r w:rsidRPr="00D4309F">
        <w:t>the</w:t>
      </w:r>
      <w:r w:rsidRPr="00D4309F">
        <w:rPr>
          <w:spacing w:val="-3"/>
        </w:rPr>
        <w:t xml:space="preserve"> </w:t>
      </w:r>
      <w:r w:rsidRPr="00D4309F">
        <w:t>current</w:t>
      </w:r>
      <w:r w:rsidRPr="00D4309F">
        <w:rPr>
          <w:spacing w:val="-5"/>
        </w:rPr>
        <w:t xml:space="preserve"> </w:t>
      </w:r>
      <w:r w:rsidRPr="00D4309F">
        <w:rPr>
          <w:spacing w:val="-2"/>
        </w:rPr>
        <w:t>approach.</w:t>
      </w:r>
    </w:p>
    <w:p w14:paraId="43D405A9" w14:textId="77777777" w:rsidR="00725977" w:rsidRPr="00D4309F" w:rsidRDefault="00725977" w:rsidP="00725977">
      <w:pPr>
        <w:pStyle w:val="BodyText"/>
      </w:pPr>
      <w:r w:rsidRPr="00D4309F">
        <w:t>The</w:t>
      </w:r>
      <w:r w:rsidRPr="00D4309F">
        <w:rPr>
          <w:spacing w:val="-3"/>
        </w:rPr>
        <w:t xml:space="preserve"> </w:t>
      </w:r>
      <w:r w:rsidRPr="00D4309F">
        <w:t>project</w:t>
      </w:r>
      <w:r w:rsidRPr="00D4309F">
        <w:rPr>
          <w:spacing w:val="-3"/>
        </w:rPr>
        <w:t xml:space="preserve"> </w:t>
      </w:r>
      <w:r w:rsidRPr="00D4309F">
        <w:t>would</w:t>
      </w:r>
      <w:r w:rsidRPr="00D4309F">
        <w:rPr>
          <w:spacing w:val="-3"/>
        </w:rPr>
        <w:t xml:space="preserve"> </w:t>
      </w:r>
      <w:r w:rsidRPr="00D4309F">
        <w:t>provide</w:t>
      </w:r>
      <w:r w:rsidRPr="00D4309F">
        <w:rPr>
          <w:spacing w:val="-3"/>
        </w:rPr>
        <w:t xml:space="preserve"> </w:t>
      </w:r>
      <w:r w:rsidRPr="00D4309F">
        <w:t>improved</w:t>
      </w:r>
      <w:r w:rsidRPr="00D4309F">
        <w:rPr>
          <w:spacing w:val="-3"/>
        </w:rPr>
        <w:t xml:space="preserve"> </w:t>
      </w:r>
      <w:r w:rsidRPr="00D4309F">
        <w:t>access</w:t>
      </w:r>
      <w:r w:rsidRPr="00D4309F">
        <w:rPr>
          <w:spacing w:val="-2"/>
        </w:rPr>
        <w:t xml:space="preserve"> </w:t>
      </w:r>
      <w:r w:rsidRPr="00D4309F">
        <w:t>to</w:t>
      </w:r>
      <w:r w:rsidRPr="00D4309F">
        <w:rPr>
          <w:spacing w:val="-3"/>
        </w:rPr>
        <w:t xml:space="preserve"> </w:t>
      </w:r>
      <w:r w:rsidRPr="00D4309F">
        <w:t>the</w:t>
      </w:r>
      <w:r w:rsidRPr="00D4309F">
        <w:rPr>
          <w:spacing w:val="-3"/>
        </w:rPr>
        <w:t xml:space="preserve"> </w:t>
      </w:r>
      <w:r w:rsidRPr="00D4309F">
        <w:t>western</w:t>
      </w:r>
      <w:r w:rsidRPr="00D4309F">
        <w:rPr>
          <w:spacing w:val="-4"/>
        </w:rPr>
        <w:t xml:space="preserve"> </w:t>
      </w:r>
      <w:r w:rsidRPr="00D4309F">
        <w:t>channel,</w:t>
      </w:r>
      <w:r w:rsidRPr="00D4309F">
        <w:rPr>
          <w:spacing w:val="-3"/>
        </w:rPr>
        <w:t xml:space="preserve"> </w:t>
      </w:r>
      <w:r w:rsidRPr="00D4309F">
        <w:t>particularly</w:t>
      </w:r>
      <w:r w:rsidRPr="00D4309F">
        <w:rPr>
          <w:spacing w:val="-2"/>
        </w:rPr>
        <w:t xml:space="preserve"> </w:t>
      </w:r>
      <w:r w:rsidRPr="00D4309F">
        <w:t>if</w:t>
      </w:r>
      <w:r w:rsidRPr="00D4309F">
        <w:rPr>
          <w:spacing w:val="-3"/>
        </w:rPr>
        <w:t xml:space="preserve"> </w:t>
      </w:r>
      <w:r w:rsidRPr="00D4309F">
        <w:t>the</w:t>
      </w:r>
      <w:r w:rsidRPr="00D4309F">
        <w:rPr>
          <w:spacing w:val="-3"/>
        </w:rPr>
        <w:t xml:space="preserve"> </w:t>
      </w:r>
      <w:r w:rsidRPr="00D4309F">
        <w:t>Western</w:t>
      </w:r>
      <w:r w:rsidRPr="00D4309F">
        <w:rPr>
          <w:spacing w:val="-4"/>
        </w:rPr>
        <w:t xml:space="preserve"> </w:t>
      </w:r>
      <w:r w:rsidRPr="00D4309F">
        <w:t>Channel</w:t>
      </w:r>
      <w:r w:rsidRPr="00D4309F">
        <w:rPr>
          <w:spacing w:val="-3"/>
        </w:rPr>
        <w:t xml:space="preserve"> </w:t>
      </w:r>
      <w:r w:rsidRPr="00D4309F">
        <w:t>Trial continues. However, it does not eliminate shoaling at the harbour entrance and will still require ongoing dredging similar to current practices. This option shifts operational focus to maintaining an alternate access point that remains navigable between dredging events.</w:t>
      </w:r>
    </w:p>
    <w:p w14:paraId="37E9F398" w14:textId="77777777" w:rsidR="00725977" w:rsidRPr="00D4309F" w:rsidRDefault="00725977" w:rsidP="00725977">
      <w:pPr>
        <w:pStyle w:val="BodyText"/>
      </w:pPr>
      <w:r w:rsidRPr="00D4309F">
        <w:t>Businesses</w:t>
      </w:r>
      <w:r w:rsidRPr="00D4309F">
        <w:rPr>
          <w:spacing w:val="-2"/>
        </w:rPr>
        <w:t xml:space="preserve"> </w:t>
      </w:r>
      <w:r w:rsidRPr="00D4309F">
        <w:t>and</w:t>
      </w:r>
      <w:r w:rsidRPr="00D4309F">
        <w:rPr>
          <w:spacing w:val="-3"/>
        </w:rPr>
        <w:t xml:space="preserve"> </w:t>
      </w:r>
      <w:r w:rsidRPr="00D4309F">
        <w:t>recreational</w:t>
      </w:r>
      <w:r w:rsidRPr="00D4309F">
        <w:rPr>
          <w:spacing w:val="-3"/>
        </w:rPr>
        <w:t xml:space="preserve"> </w:t>
      </w:r>
      <w:r w:rsidRPr="00D4309F">
        <w:t>users</w:t>
      </w:r>
      <w:r w:rsidRPr="00D4309F">
        <w:rPr>
          <w:spacing w:val="-2"/>
        </w:rPr>
        <w:t xml:space="preserve"> </w:t>
      </w:r>
      <w:r w:rsidRPr="00D4309F">
        <w:t>may</w:t>
      </w:r>
      <w:r w:rsidRPr="00D4309F">
        <w:rPr>
          <w:spacing w:val="-3"/>
        </w:rPr>
        <w:t xml:space="preserve"> </w:t>
      </w:r>
      <w:r w:rsidRPr="00D4309F">
        <w:t>face</w:t>
      </w:r>
      <w:r w:rsidRPr="00D4309F">
        <w:rPr>
          <w:spacing w:val="-3"/>
        </w:rPr>
        <w:t xml:space="preserve"> </w:t>
      </w:r>
      <w:r w:rsidRPr="00D4309F">
        <w:t>increased</w:t>
      </w:r>
      <w:r w:rsidRPr="00D4309F">
        <w:rPr>
          <w:spacing w:val="-3"/>
        </w:rPr>
        <w:t xml:space="preserve"> </w:t>
      </w:r>
      <w:r w:rsidRPr="00D4309F">
        <w:t>safety</w:t>
      </w:r>
      <w:r w:rsidRPr="00D4309F">
        <w:rPr>
          <w:spacing w:val="-3"/>
        </w:rPr>
        <w:t xml:space="preserve"> </w:t>
      </w:r>
      <w:r w:rsidRPr="00D4309F">
        <w:t>risks</w:t>
      </w:r>
      <w:r w:rsidRPr="00D4309F">
        <w:rPr>
          <w:spacing w:val="-2"/>
        </w:rPr>
        <w:t xml:space="preserve"> </w:t>
      </w:r>
      <w:r w:rsidRPr="00D4309F">
        <w:t>due</w:t>
      </w:r>
      <w:r w:rsidRPr="00D4309F">
        <w:rPr>
          <w:spacing w:val="-3"/>
        </w:rPr>
        <w:t xml:space="preserve"> </w:t>
      </w:r>
      <w:r w:rsidRPr="00D4309F">
        <w:t>to</w:t>
      </w:r>
      <w:r w:rsidRPr="00D4309F">
        <w:rPr>
          <w:spacing w:val="-3"/>
        </w:rPr>
        <w:t xml:space="preserve"> </w:t>
      </w:r>
      <w:r w:rsidRPr="00D4309F">
        <w:t>the</w:t>
      </w:r>
      <w:r w:rsidRPr="00D4309F">
        <w:rPr>
          <w:spacing w:val="-3"/>
        </w:rPr>
        <w:t xml:space="preserve"> </w:t>
      </w:r>
      <w:r w:rsidRPr="00D4309F">
        <w:t>need</w:t>
      </w:r>
      <w:r w:rsidRPr="00D4309F">
        <w:rPr>
          <w:spacing w:val="-3"/>
        </w:rPr>
        <w:t xml:space="preserve"> </w:t>
      </w:r>
      <w:r w:rsidRPr="00D4309F">
        <w:t>to</w:t>
      </w:r>
      <w:r w:rsidRPr="00D4309F">
        <w:rPr>
          <w:spacing w:val="-3"/>
        </w:rPr>
        <w:t xml:space="preserve"> </w:t>
      </w:r>
      <w:r w:rsidRPr="00D4309F">
        <w:t>navigate</w:t>
      </w:r>
      <w:r w:rsidRPr="00D4309F">
        <w:rPr>
          <w:spacing w:val="-3"/>
        </w:rPr>
        <w:t xml:space="preserve"> </w:t>
      </w:r>
      <w:r w:rsidRPr="00D4309F">
        <w:t>“beam-on”</w:t>
      </w:r>
      <w:r w:rsidRPr="00D4309F">
        <w:rPr>
          <w:spacing w:val="-2"/>
        </w:rPr>
        <w:t xml:space="preserve"> </w:t>
      </w:r>
      <w:r w:rsidRPr="00D4309F">
        <w:t>to incoming waves when entering or exiting the harbour—a manoeuvre that significantly raises the risk of capsizing or loss of control. These safety concerns could discourage some visitors, potentially reducing boating activity and associated tourism. A decline in boating activity could result in fewer visitors, impacting tourism-related businesses such as accommodation providers, restaurants, and marine service operators.</w:t>
      </w:r>
    </w:p>
    <w:p w14:paraId="2532E7D6" w14:textId="77777777" w:rsidR="00725977" w:rsidRPr="00D4309F" w:rsidRDefault="00725977" w:rsidP="00725977">
      <w:pPr>
        <w:pStyle w:val="BodyText"/>
      </w:pPr>
      <w:r w:rsidRPr="00D4309F">
        <w:t>Commercial</w:t>
      </w:r>
      <w:r w:rsidRPr="00D4309F">
        <w:rPr>
          <w:spacing w:val="-4"/>
        </w:rPr>
        <w:t xml:space="preserve"> </w:t>
      </w:r>
      <w:r w:rsidRPr="00D4309F">
        <w:t>operators</w:t>
      </w:r>
      <w:r w:rsidRPr="00D4309F">
        <w:rPr>
          <w:spacing w:val="-2"/>
        </w:rPr>
        <w:t xml:space="preserve"> </w:t>
      </w:r>
      <w:r w:rsidRPr="00D4309F">
        <w:t>may</w:t>
      </w:r>
      <w:r w:rsidRPr="00D4309F">
        <w:rPr>
          <w:spacing w:val="-2"/>
        </w:rPr>
        <w:t xml:space="preserve"> </w:t>
      </w:r>
      <w:r w:rsidRPr="00D4309F">
        <w:t>also</w:t>
      </w:r>
      <w:r w:rsidRPr="00D4309F">
        <w:rPr>
          <w:spacing w:val="-3"/>
        </w:rPr>
        <w:t xml:space="preserve"> </w:t>
      </w:r>
      <w:r w:rsidRPr="00D4309F">
        <w:t>face</w:t>
      </w:r>
      <w:r w:rsidRPr="00D4309F">
        <w:rPr>
          <w:spacing w:val="-3"/>
        </w:rPr>
        <w:t xml:space="preserve"> </w:t>
      </w:r>
      <w:r w:rsidRPr="00D4309F">
        <w:t>higher</w:t>
      </w:r>
      <w:r w:rsidRPr="00D4309F">
        <w:rPr>
          <w:spacing w:val="-2"/>
        </w:rPr>
        <w:t xml:space="preserve"> </w:t>
      </w:r>
      <w:r w:rsidRPr="00D4309F">
        <w:t>insurance</w:t>
      </w:r>
      <w:r w:rsidRPr="00D4309F">
        <w:rPr>
          <w:spacing w:val="-3"/>
        </w:rPr>
        <w:t xml:space="preserve"> </w:t>
      </w:r>
      <w:r w:rsidRPr="00D4309F">
        <w:t>costs</w:t>
      </w:r>
      <w:r w:rsidRPr="00D4309F">
        <w:rPr>
          <w:spacing w:val="-2"/>
        </w:rPr>
        <w:t xml:space="preserve"> </w:t>
      </w:r>
      <w:r w:rsidRPr="00D4309F">
        <w:t>and</w:t>
      </w:r>
      <w:r w:rsidRPr="00D4309F">
        <w:rPr>
          <w:spacing w:val="-3"/>
        </w:rPr>
        <w:t xml:space="preserve"> </w:t>
      </w:r>
      <w:r w:rsidRPr="00D4309F">
        <w:t>operational</w:t>
      </w:r>
      <w:r w:rsidRPr="00D4309F">
        <w:rPr>
          <w:spacing w:val="-3"/>
        </w:rPr>
        <w:t xml:space="preserve"> </w:t>
      </w:r>
      <w:r w:rsidRPr="00D4309F">
        <w:t>delays,</w:t>
      </w:r>
      <w:r w:rsidRPr="00D4309F">
        <w:rPr>
          <w:spacing w:val="-3"/>
        </w:rPr>
        <w:t xml:space="preserve"> </w:t>
      </w:r>
      <w:r w:rsidRPr="00D4309F">
        <w:t>adding</w:t>
      </w:r>
      <w:r w:rsidRPr="00D4309F">
        <w:rPr>
          <w:spacing w:val="-3"/>
        </w:rPr>
        <w:t xml:space="preserve"> </w:t>
      </w:r>
      <w:r w:rsidRPr="00D4309F">
        <w:t>to</w:t>
      </w:r>
      <w:r w:rsidRPr="00D4309F">
        <w:rPr>
          <w:spacing w:val="-3"/>
        </w:rPr>
        <w:t xml:space="preserve"> </w:t>
      </w:r>
      <w:r w:rsidRPr="00D4309F">
        <w:t>the</w:t>
      </w:r>
      <w:r w:rsidRPr="00D4309F">
        <w:rPr>
          <w:spacing w:val="-3"/>
        </w:rPr>
        <w:t xml:space="preserve"> </w:t>
      </w:r>
      <w:r w:rsidRPr="00D4309F">
        <w:t xml:space="preserve">economic </w:t>
      </w:r>
      <w:r w:rsidRPr="00D4309F">
        <w:rPr>
          <w:spacing w:val="-2"/>
        </w:rPr>
        <w:t>burden.</w:t>
      </w:r>
    </w:p>
    <w:p w14:paraId="02776C3A" w14:textId="4F956FD2" w:rsidR="004F3A87" w:rsidRPr="00D4309F" w:rsidRDefault="00725977" w:rsidP="00725977">
      <w:pPr>
        <w:pStyle w:val="BodyText"/>
      </w:pPr>
      <w:r w:rsidRPr="00D4309F">
        <w:t>Broader impacts on Mooloolaba Beach remain uncertain but may include changes in nearshore circulation and sediment distribution, particularly around the beach corner near the breakwater. Depending on seasonal and</w:t>
      </w:r>
      <w:r w:rsidRPr="00D4309F">
        <w:rPr>
          <w:spacing w:val="-2"/>
        </w:rPr>
        <w:t xml:space="preserve"> </w:t>
      </w:r>
      <w:r w:rsidRPr="00D4309F">
        <w:t>prevailing</w:t>
      </w:r>
      <w:r w:rsidRPr="00D4309F">
        <w:rPr>
          <w:spacing w:val="-2"/>
        </w:rPr>
        <w:t xml:space="preserve"> </w:t>
      </w:r>
      <w:r w:rsidRPr="00D4309F">
        <w:t>conditions,</w:t>
      </w:r>
      <w:r w:rsidRPr="00D4309F">
        <w:rPr>
          <w:spacing w:val="-2"/>
        </w:rPr>
        <w:t xml:space="preserve"> </w:t>
      </w:r>
      <w:r w:rsidRPr="00D4309F">
        <w:t>these</w:t>
      </w:r>
      <w:r w:rsidRPr="00D4309F">
        <w:rPr>
          <w:spacing w:val="-2"/>
        </w:rPr>
        <w:t xml:space="preserve"> </w:t>
      </w:r>
      <w:r w:rsidRPr="00D4309F">
        <w:t>effects</w:t>
      </w:r>
      <w:r w:rsidRPr="00D4309F">
        <w:rPr>
          <w:spacing w:val="-2"/>
        </w:rPr>
        <w:t xml:space="preserve"> </w:t>
      </w:r>
      <w:r w:rsidRPr="00D4309F">
        <w:t>could</w:t>
      </w:r>
      <w:r w:rsidRPr="00D4309F">
        <w:rPr>
          <w:spacing w:val="-2"/>
        </w:rPr>
        <w:t xml:space="preserve"> </w:t>
      </w:r>
      <w:r w:rsidRPr="00D4309F">
        <w:t>be</w:t>
      </w:r>
      <w:r w:rsidRPr="00D4309F">
        <w:rPr>
          <w:spacing w:val="-2"/>
        </w:rPr>
        <w:t xml:space="preserve"> </w:t>
      </w:r>
      <w:r w:rsidRPr="00D4309F">
        <w:t>either</w:t>
      </w:r>
      <w:r w:rsidRPr="00D4309F">
        <w:rPr>
          <w:spacing w:val="-1"/>
        </w:rPr>
        <w:t xml:space="preserve"> </w:t>
      </w:r>
      <w:r w:rsidRPr="00D4309F">
        <w:t>beneficial</w:t>
      </w:r>
      <w:r w:rsidRPr="00D4309F">
        <w:rPr>
          <w:spacing w:val="-3"/>
        </w:rPr>
        <w:t xml:space="preserve"> </w:t>
      </w:r>
      <w:r w:rsidRPr="00D4309F">
        <w:t>or</w:t>
      </w:r>
      <w:r w:rsidRPr="00D4309F">
        <w:rPr>
          <w:spacing w:val="-1"/>
        </w:rPr>
        <w:t xml:space="preserve"> </w:t>
      </w:r>
      <w:r w:rsidRPr="00D4309F">
        <w:t>erosive.</w:t>
      </w:r>
      <w:r w:rsidRPr="00D4309F">
        <w:rPr>
          <w:spacing w:val="-2"/>
        </w:rPr>
        <w:t xml:space="preserve"> </w:t>
      </w:r>
      <w:r w:rsidRPr="00D4309F">
        <w:t>In</w:t>
      </w:r>
      <w:r w:rsidRPr="00D4309F">
        <w:rPr>
          <w:spacing w:val="-2"/>
        </w:rPr>
        <w:t xml:space="preserve"> </w:t>
      </w:r>
      <w:r w:rsidRPr="00D4309F">
        <w:t>the</w:t>
      </w:r>
      <w:r w:rsidRPr="00D4309F">
        <w:rPr>
          <w:spacing w:val="-2"/>
        </w:rPr>
        <w:t xml:space="preserve"> </w:t>
      </w:r>
      <w:r w:rsidRPr="00D4309F">
        <w:t>longer</w:t>
      </w:r>
      <w:r w:rsidRPr="00D4309F">
        <w:rPr>
          <w:spacing w:val="-1"/>
        </w:rPr>
        <w:t xml:space="preserve"> </w:t>
      </w:r>
      <w:r w:rsidRPr="00D4309F">
        <w:t>term,</w:t>
      </w:r>
      <w:r w:rsidRPr="00D4309F">
        <w:rPr>
          <w:spacing w:val="-2"/>
        </w:rPr>
        <w:t xml:space="preserve"> </w:t>
      </w:r>
      <w:r w:rsidRPr="00D4309F">
        <w:t>Option</w:t>
      </w:r>
      <w:r w:rsidRPr="00D4309F">
        <w:rPr>
          <w:spacing w:val="-2"/>
        </w:rPr>
        <w:t xml:space="preserve"> </w:t>
      </w:r>
      <w:r w:rsidRPr="00D4309F">
        <w:t>5</w:t>
      </w:r>
      <w:r w:rsidRPr="00D4309F">
        <w:rPr>
          <w:spacing w:val="-2"/>
        </w:rPr>
        <w:t xml:space="preserve"> </w:t>
      </w:r>
      <w:r w:rsidRPr="00D4309F">
        <w:t>may also alter tidal patterns, influencing wave conditions at Mooloolaba Beach. A decline in surf quality,</w:t>
      </w:r>
      <w:r w:rsidRPr="00D4309F">
        <w:rPr>
          <w:spacing w:val="40"/>
        </w:rPr>
        <w:t xml:space="preserve"> </w:t>
      </w:r>
      <w:r w:rsidRPr="00D4309F">
        <w:t>especially north of the harbour, could affect the area’s reputation as a surfing destination, reducing visitation over time. This reduction may have flow-on effects for local businesses reliant on tourism and recreational activity. While these impacts are uncertain and depend on the extent of tidal changes, they represent a potential long-term consideration for the local economy and community.</w:t>
      </w:r>
    </w:p>
    <w:p w14:paraId="437D95FB" w14:textId="77777777" w:rsidR="00725977" w:rsidRPr="00D4309F" w:rsidRDefault="00725977" w:rsidP="00785CC3">
      <w:pPr>
        <w:pStyle w:val="Heading3"/>
      </w:pPr>
      <w:bookmarkStart w:id="557" w:name="_bookmark202"/>
      <w:bookmarkStart w:id="558" w:name="_Toc216699519"/>
      <w:bookmarkEnd w:id="557"/>
      <w:r w:rsidRPr="00D4309F">
        <w:t>Future</w:t>
      </w:r>
      <w:r w:rsidRPr="00D4309F">
        <w:rPr>
          <w:spacing w:val="-12"/>
        </w:rPr>
        <w:t xml:space="preserve"> </w:t>
      </w:r>
      <w:r w:rsidRPr="00D4309F">
        <w:t>adaption</w:t>
      </w:r>
      <w:bookmarkEnd w:id="558"/>
    </w:p>
    <w:p w14:paraId="43EF8B49" w14:textId="77777777" w:rsidR="00725977" w:rsidRPr="00D4309F" w:rsidRDefault="00725977" w:rsidP="00725977">
      <w:pPr>
        <w:pStyle w:val="BodyText"/>
      </w:pPr>
      <w:r w:rsidRPr="00D4309F">
        <w:t>In the context of sea-level rise and increasing storm frequency, Option 5B offers limited adaptability as a long-term sediment management solution. While the shortened western wall may provide</w:t>
      </w:r>
      <w:r w:rsidRPr="00D4309F">
        <w:rPr>
          <w:spacing w:val="-3"/>
        </w:rPr>
        <w:t xml:space="preserve"> </w:t>
      </w:r>
      <w:r w:rsidRPr="00D4309F">
        <w:t>a</w:t>
      </w:r>
      <w:r w:rsidRPr="00D4309F">
        <w:rPr>
          <w:spacing w:val="-3"/>
        </w:rPr>
        <w:t xml:space="preserve"> </w:t>
      </w:r>
      <w:r w:rsidRPr="00D4309F">
        <w:t>temporary</w:t>
      </w:r>
      <w:r w:rsidRPr="00D4309F">
        <w:rPr>
          <w:spacing w:val="-2"/>
        </w:rPr>
        <w:t xml:space="preserve"> </w:t>
      </w:r>
      <w:r w:rsidRPr="00D4309F">
        <w:t>alteration</w:t>
      </w:r>
      <w:r w:rsidRPr="00D4309F">
        <w:rPr>
          <w:spacing w:val="-3"/>
        </w:rPr>
        <w:t xml:space="preserve"> </w:t>
      </w:r>
      <w:r w:rsidRPr="00D4309F">
        <w:t>to</w:t>
      </w:r>
      <w:r w:rsidRPr="00D4309F">
        <w:rPr>
          <w:spacing w:val="-3"/>
        </w:rPr>
        <w:t xml:space="preserve"> </w:t>
      </w:r>
      <w:r w:rsidRPr="00D4309F">
        <w:t>entrance</w:t>
      </w:r>
      <w:r w:rsidRPr="00D4309F">
        <w:rPr>
          <w:spacing w:val="-3"/>
        </w:rPr>
        <w:t xml:space="preserve"> </w:t>
      </w:r>
      <w:r w:rsidRPr="00D4309F">
        <w:t>dynamics,</w:t>
      </w:r>
      <w:r w:rsidRPr="00D4309F">
        <w:rPr>
          <w:spacing w:val="-3"/>
        </w:rPr>
        <w:t xml:space="preserve"> </w:t>
      </w:r>
      <w:r w:rsidRPr="00D4309F">
        <w:t>it</w:t>
      </w:r>
      <w:r w:rsidRPr="00D4309F">
        <w:rPr>
          <w:spacing w:val="-3"/>
        </w:rPr>
        <w:t xml:space="preserve"> </w:t>
      </w:r>
      <w:r w:rsidRPr="00D4309F">
        <w:t>does</w:t>
      </w:r>
      <w:r w:rsidRPr="00D4309F">
        <w:rPr>
          <w:spacing w:val="-2"/>
        </w:rPr>
        <w:t xml:space="preserve"> </w:t>
      </w:r>
      <w:r w:rsidRPr="00D4309F">
        <w:t>not</w:t>
      </w:r>
      <w:r w:rsidRPr="00D4309F">
        <w:rPr>
          <w:spacing w:val="-3"/>
        </w:rPr>
        <w:t xml:space="preserve"> </w:t>
      </w:r>
      <w:r w:rsidRPr="00D4309F">
        <w:t>fundamentally</w:t>
      </w:r>
      <w:r w:rsidRPr="00D4309F">
        <w:rPr>
          <w:spacing w:val="-2"/>
        </w:rPr>
        <w:t xml:space="preserve"> </w:t>
      </w:r>
      <w:r w:rsidRPr="00D4309F">
        <w:t>change</w:t>
      </w:r>
      <w:r w:rsidRPr="00D4309F">
        <w:rPr>
          <w:spacing w:val="-3"/>
        </w:rPr>
        <w:t xml:space="preserve"> </w:t>
      </w:r>
      <w:r w:rsidRPr="00D4309F">
        <w:t>the</w:t>
      </w:r>
      <w:r w:rsidRPr="00D4309F">
        <w:rPr>
          <w:spacing w:val="-3"/>
        </w:rPr>
        <w:t xml:space="preserve"> </w:t>
      </w:r>
      <w:r w:rsidRPr="00D4309F">
        <w:t>ongoing</w:t>
      </w:r>
      <w:r w:rsidRPr="00D4309F">
        <w:rPr>
          <w:spacing w:val="-4"/>
        </w:rPr>
        <w:t xml:space="preserve"> </w:t>
      </w:r>
      <w:r w:rsidRPr="00D4309F">
        <w:t>shoaling processes driven by sand movement around Point Cartwright. As such, the frequency and magnitude of shoaling events are expected to persist or potentially worsen over time as coastal conditions evolve.</w:t>
      </w:r>
    </w:p>
    <w:p w14:paraId="3CE4A13F" w14:textId="01712235" w:rsidR="00725977" w:rsidRPr="00D4309F" w:rsidRDefault="00725977" w:rsidP="00725977">
      <w:pPr>
        <w:pStyle w:val="BodyText"/>
      </w:pPr>
      <w:r w:rsidRPr="00D4309F">
        <w:t>From</w:t>
      </w:r>
      <w:r w:rsidRPr="00D4309F">
        <w:rPr>
          <w:spacing w:val="-3"/>
        </w:rPr>
        <w:t xml:space="preserve"> </w:t>
      </w:r>
      <w:r w:rsidRPr="00D4309F">
        <w:t>a</w:t>
      </w:r>
      <w:r w:rsidRPr="00D4309F">
        <w:rPr>
          <w:spacing w:val="-4"/>
        </w:rPr>
        <w:t xml:space="preserve"> </w:t>
      </w:r>
      <w:r w:rsidRPr="00D4309F">
        <w:t>scaling</w:t>
      </w:r>
      <w:r w:rsidRPr="00D4309F">
        <w:rPr>
          <w:spacing w:val="-3"/>
        </w:rPr>
        <w:t xml:space="preserve"> </w:t>
      </w:r>
      <w:r w:rsidRPr="00D4309F">
        <w:t>perspective,</w:t>
      </w:r>
      <w:r w:rsidRPr="00D4309F">
        <w:rPr>
          <w:spacing w:val="-3"/>
        </w:rPr>
        <w:t xml:space="preserve"> </w:t>
      </w:r>
      <w:r w:rsidRPr="00D4309F">
        <w:t>this</w:t>
      </w:r>
      <w:r w:rsidRPr="00D4309F">
        <w:rPr>
          <w:spacing w:val="-2"/>
        </w:rPr>
        <w:t xml:space="preserve"> </w:t>
      </w:r>
      <w:r w:rsidRPr="00D4309F">
        <w:t>option</w:t>
      </w:r>
      <w:r w:rsidRPr="00D4309F">
        <w:rPr>
          <w:spacing w:val="-3"/>
        </w:rPr>
        <w:t xml:space="preserve"> </w:t>
      </w:r>
      <w:r w:rsidRPr="00D4309F">
        <w:t>does</w:t>
      </w:r>
      <w:r w:rsidRPr="00D4309F">
        <w:rPr>
          <w:spacing w:val="-2"/>
        </w:rPr>
        <w:t xml:space="preserve"> </w:t>
      </w:r>
      <w:r w:rsidRPr="00D4309F">
        <w:t>not</w:t>
      </w:r>
      <w:r w:rsidRPr="00D4309F">
        <w:rPr>
          <w:spacing w:val="-3"/>
        </w:rPr>
        <w:t xml:space="preserve"> </w:t>
      </w:r>
      <w:r w:rsidRPr="00D4309F">
        <w:t>readily</w:t>
      </w:r>
      <w:r w:rsidRPr="00D4309F">
        <w:rPr>
          <w:spacing w:val="-2"/>
        </w:rPr>
        <w:t xml:space="preserve"> </w:t>
      </w:r>
      <w:r w:rsidRPr="00D4309F">
        <w:t>lend</w:t>
      </w:r>
      <w:r w:rsidRPr="00D4309F">
        <w:rPr>
          <w:spacing w:val="-3"/>
        </w:rPr>
        <w:t xml:space="preserve"> </w:t>
      </w:r>
      <w:r w:rsidRPr="00D4309F">
        <w:t>itself</w:t>
      </w:r>
      <w:r w:rsidRPr="00D4309F">
        <w:rPr>
          <w:spacing w:val="-3"/>
        </w:rPr>
        <w:t xml:space="preserve"> </w:t>
      </w:r>
      <w:r w:rsidRPr="00D4309F">
        <w:t>to</w:t>
      </w:r>
      <w:r w:rsidRPr="00D4309F">
        <w:rPr>
          <w:spacing w:val="-3"/>
        </w:rPr>
        <w:t xml:space="preserve"> </w:t>
      </w:r>
      <w:r w:rsidRPr="00D4309F">
        <w:t>staged</w:t>
      </w:r>
      <w:r w:rsidRPr="00D4309F">
        <w:rPr>
          <w:spacing w:val="-3"/>
        </w:rPr>
        <w:t xml:space="preserve"> </w:t>
      </w:r>
      <w:r w:rsidRPr="00D4309F">
        <w:t>upgrades</w:t>
      </w:r>
      <w:r w:rsidRPr="00D4309F">
        <w:rPr>
          <w:spacing w:val="-2"/>
        </w:rPr>
        <w:t xml:space="preserve"> </w:t>
      </w:r>
      <w:r w:rsidRPr="00D4309F">
        <w:t>or</w:t>
      </w:r>
      <w:r w:rsidRPr="00D4309F">
        <w:rPr>
          <w:spacing w:val="-2"/>
        </w:rPr>
        <w:t xml:space="preserve"> </w:t>
      </w:r>
      <w:r w:rsidRPr="00D4309F">
        <w:t>integration</w:t>
      </w:r>
      <w:r w:rsidRPr="00D4309F">
        <w:rPr>
          <w:spacing w:val="-3"/>
        </w:rPr>
        <w:t xml:space="preserve"> </w:t>
      </w:r>
      <w:r w:rsidRPr="00D4309F">
        <w:t>of</w:t>
      </w:r>
      <w:r w:rsidRPr="00D4309F">
        <w:rPr>
          <w:spacing w:val="-3"/>
        </w:rPr>
        <w:t xml:space="preserve"> </w:t>
      </w:r>
      <w:r w:rsidRPr="00D4309F">
        <w:t>more adaptive</w:t>
      </w:r>
      <w:r w:rsidRPr="00D4309F">
        <w:rPr>
          <w:spacing w:val="-6"/>
        </w:rPr>
        <w:t xml:space="preserve"> </w:t>
      </w:r>
      <w:r w:rsidRPr="00D4309F">
        <w:t>systems</w:t>
      </w:r>
      <w:r w:rsidRPr="00D4309F">
        <w:rPr>
          <w:spacing w:val="-3"/>
        </w:rPr>
        <w:t xml:space="preserve"> </w:t>
      </w:r>
      <w:r w:rsidRPr="00D4309F">
        <w:t>on</w:t>
      </w:r>
      <w:r w:rsidRPr="00D4309F">
        <w:rPr>
          <w:spacing w:val="-4"/>
        </w:rPr>
        <w:t xml:space="preserve"> </w:t>
      </w:r>
      <w:r w:rsidRPr="00D4309F">
        <w:t>its</w:t>
      </w:r>
      <w:r w:rsidRPr="00D4309F">
        <w:rPr>
          <w:spacing w:val="-3"/>
        </w:rPr>
        <w:t xml:space="preserve"> </w:t>
      </w:r>
      <w:r w:rsidRPr="00D4309F">
        <w:t>own.</w:t>
      </w:r>
      <w:r w:rsidRPr="00D4309F">
        <w:rPr>
          <w:spacing w:val="-4"/>
        </w:rPr>
        <w:t xml:space="preserve"> </w:t>
      </w:r>
      <w:r w:rsidRPr="00D4309F">
        <w:t>Over</w:t>
      </w:r>
      <w:r w:rsidRPr="00D4309F">
        <w:rPr>
          <w:spacing w:val="-2"/>
        </w:rPr>
        <w:t xml:space="preserve"> </w:t>
      </w:r>
      <w:r w:rsidRPr="00D4309F">
        <w:t>time,</w:t>
      </w:r>
      <w:r w:rsidRPr="00D4309F">
        <w:rPr>
          <w:spacing w:val="-4"/>
        </w:rPr>
        <w:t xml:space="preserve"> </w:t>
      </w:r>
      <w:r w:rsidRPr="00D4309F">
        <w:t>the</w:t>
      </w:r>
      <w:r w:rsidRPr="00D4309F">
        <w:rPr>
          <w:spacing w:val="-4"/>
        </w:rPr>
        <w:t xml:space="preserve"> </w:t>
      </w:r>
      <w:r w:rsidRPr="00D4309F">
        <w:t>altered</w:t>
      </w:r>
      <w:r w:rsidRPr="00D4309F">
        <w:rPr>
          <w:spacing w:val="-4"/>
        </w:rPr>
        <w:t xml:space="preserve"> </w:t>
      </w:r>
      <w:r w:rsidRPr="00D4309F">
        <w:t>entrance</w:t>
      </w:r>
      <w:r w:rsidRPr="00D4309F">
        <w:rPr>
          <w:spacing w:val="-4"/>
        </w:rPr>
        <w:t xml:space="preserve"> </w:t>
      </w:r>
      <w:r w:rsidRPr="00D4309F">
        <w:t>configuration</w:t>
      </w:r>
      <w:r w:rsidRPr="00D4309F">
        <w:rPr>
          <w:spacing w:val="-3"/>
        </w:rPr>
        <w:t xml:space="preserve"> </w:t>
      </w:r>
      <w:r w:rsidRPr="00D4309F">
        <w:t>may</w:t>
      </w:r>
      <w:r w:rsidRPr="00D4309F">
        <w:rPr>
          <w:spacing w:val="-3"/>
        </w:rPr>
        <w:t xml:space="preserve"> </w:t>
      </w:r>
      <w:r w:rsidRPr="00D4309F">
        <w:t>even</w:t>
      </w:r>
      <w:r w:rsidRPr="00D4309F">
        <w:rPr>
          <w:spacing w:val="-4"/>
        </w:rPr>
        <w:t xml:space="preserve"> </w:t>
      </w:r>
      <w:r w:rsidRPr="00D4309F">
        <w:t>require</w:t>
      </w:r>
      <w:r w:rsidRPr="00D4309F">
        <w:rPr>
          <w:spacing w:val="-4"/>
        </w:rPr>
        <w:t xml:space="preserve"> </w:t>
      </w:r>
      <w:r w:rsidRPr="00D4309F">
        <w:t>more</w:t>
      </w:r>
      <w:r w:rsidRPr="00D4309F">
        <w:rPr>
          <w:spacing w:val="-3"/>
        </w:rPr>
        <w:t xml:space="preserve"> </w:t>
      </w:r>
      <w:r w:rsidRPr="00D4309F">
        <w:rPr>
          <w:spacing w:val="-2"/>
        </w:rPr>
        <w:t>frequent</w:t>
      </w:r>
      <w:r w:rsidR="004F3A87">
        <w:rPr>
          <w:spacing w:val="-2"/>
        </w:rPr>
        <w:t xml:space="preserve"> </w:t>
      </w:r>
      <w:r w:rsidRPr="00D4309F">
        <w:lastRenderedPageBreak/>
        <w:t>maintenance</w:t>
      </w:r>
      <w:r w:rsidRPr="00D4309F">
        <w:rPr>
          <w:spacing w:val="-3"/>
        </w:rPr>
        <w:t xml:space="preserve"> </w:t>
      </w:r>
      <w:r w:rsidRPr="00D4309F">
        <w:t>dredging</w:t>
      </w:r>
      <w:r w:rsidRPr="00D4309F">
        <w:rPr>
          <w:spacing w:val="-3"/>
        </w:rPr>
        <w:t xml:space="preserve"> </w:t>
      </w:r>
      <w:r w:rsidRPr="00D4309F">
        <w:t>if</w:t>
      </w:r>
      <w:r w:rsidRPr="00D4309F">
        <w:rPr>
          <w:spacing w:val="-3"/>
        </w:rPr>
        <w:t xml:space="preserve"> </w:t>
      </w:r>
      <w:r w:rsidRPr="00D4309F">
        <w:t>sediment</w:t>
      </w:r>
      <w:r w:rsidRPr="00D4309F">
        <w:rPr>
          <w:spacing w:val="-3"/>
        </w:rPr>
        <w:t xml:space="preserve"> </w:t>
      </w:r>
      <w:r w:rsidRPr="00D4309F">
        <w:t>deposition</w:t>
      </w:r>
      <w:r w:rsidRPr="00D4309F">
        <w:rPr>
          <w:spacing w:val="-3"/>
        </w:rPr>
        <w:t xml:space="preserve"> </w:t>
      </w:r>
      <w:r w:rsidRPr="00D4309F">
        <w:t>increases</w:t>
      </w:r>
      <w:r w:rsidRPr="00D4309F">
        <w:rPr>
          <w:spacing w:val="-2"/>
        </w:rPr>
        <w:t xml:space="preserve"> </w:t>
      </w:r>
      <w:r w:rsidRPr="00D4309F">
        <w:t>with</w:t>
      </w:r>
      <w:r w:rsidRPr="00D4309F">
        <w:rPr>
          <w:spacing w:val="-3"/>
        </w:rPr>
        <w:t xml:space="preserve"> </w:t>
      </w:r>
      <w:r w:rsidRPr="00D4309F">
        <w:t>rising</w:t>
      </w:r>
      <w:r w:rsidRPr="00D4309F">
        <w:rPr>
          <w:spacing w:val="-4"/>
        </w:rPr>
        <w:t xml:space="preserve"> </w:t>
      </w:r>
      <w:r w:rsidRPr="00D4309F">
        <w:t>sea</w:t>
      </w:r>
      <w:r w:rsidRPr="00D4309F">
        <w:rPr>
          <w:spacing w:val="-3"/>
        </w:rPr>
        <w:t xml:space="preserve"> </w:t>
      </w:r>
      <w:r w:rsidRPr="00D4309F">
        <w:t>levels</w:t>
      </w:r>
      <w:r w:rsidRPr="00D4309F">
        <w:rPr>
          <w:spacing w:val="-2"/>
        </w:rPr>
        <w:t xml:space="preserve"> </w:t>
      </w:r>
      <w:r w:rsidRPr="00D4309F">
        <w:t>and</w:t>
      </w:r>
      <w:r w:rsidRPr="00D4309F">
        <w:rPr>
          <w:spacing w:val="-4"/>
        </w:rPr>
        <w:t xml:space="preserve"> </w:t>
      </w:r>
      <w:r w:rsidRPr="00D4309F">
        <w:t>enhanced</w:t>
      </w:r>
      <w:r w:rsidRPr="00D4309F">
        <w:rPr>
          <w:spacing w:val="-3"/>
        </w:rPr>
        <w:t xml:space="preserve"> </w:t>
      </w:r>
      <w:r w:rsidRPr="00D4309F">
        <w:t xml:space="preserve">storm-driven </w:t>
      </w:r>
      <w:r w:rsidRPr="00D4309F">
        <w:rPr>
          <w:spacing w:val="-2"/>
        </w:rPr>
        <w:t>transport.</w:t>
      </w:r>
    </w:p>
    <w:p w14:paraId="2A0AD0DE" w14:textId="77777777" w:rsidR="00725977" w:rsidRPr="00D4309F" w:rsidRDefault="00725977" w:rsidP="00725977">
      <w:pPr>
        <w:pStyle w:val="BodyText"/>
      </w:pPr>
      <w:r w:rsidRPr="00D4309F">
        <w:t>In terms of resilience, the modified channel and shortened structure may become increasingly exposed to wave energy under higher sea levels, potentially reducing navigational safety and accelerating structural wear.</w:t>
      </w:r>
      <w:r w:rsidRPr="00D4309F">
        <w:rPr>
          <w:spacing w:val="-3"/>
        </w:rPr>
        <w:t xml:space="preserve"> </w:t>
      </w:r>
      <w:r w:rsidRPr="00D4309F">
        <w:t>Unlike</w:t>
      </w:r>
      <w:r w:rsidRPr="00D4309F">
        <w:rPr>
          <w:spacing w:val="-4"/>
        </w:rPr>
        <w:t xml:space="preserve"> </w:t>
      </w:r>
      <w:r w:rsidRPr="00D4309F">
        <w:t>softer</w:t>
      </w:r>
      <w:r w:rsidRPr="00D4309F">
        <w:rPr>
          <w:spacing w:val="-2"/>
        </w:rPr>
        <w:t xml:space="preserve"> </w:t>
      </w:r>
      <w:r w:rsidRPr="00D4309F">
        <w:t>or</w:t>
      </w:r>
      <w:r w:rsidRPr="00D4309F">
        <w:rPr>
          <w:spacing w:val="-2"/>
        </w:rPr>
        <w:t xml:space="preserve"> </w:t>
      </w:r>
      <w:r w:rsidRPr="00D4309F">
        <w:t>hybrid</w:t>
      </w:r>
      <w:r w:rsidRPr="00D4309F">
        <w:rPr>
          <w:spacing w:val="-3"/>
        </w:rPr>
        <w:t xml:space="preserve"> </w:t>
      </w:r>
      <w:r w:rsidRPr="00D4309F">
        <w:t>interventions,</w:t>
      </w:r>
      <w:r w:rsidRPr="00D4309F">
        <w:rPr>
          <w:spacing w:val="-3"/>
        </w:rPr>
        <w:t xml:space="preserve"> </w:t>
      </w:r>
      <w:r w:rsidRPr="00D4309F">
        <w:t>this</w:t>
      </w:r>
      <w:r w:rsidRPr="00D4309F">
        <w:rPr>
          <w:spacing w:val="-2"/>
        </w:rPr>
        <w:t xml:space="preserve"> </w:t>
      </w:r>
      <w:r w:rsidRPr="00D4309F">
        <w:t>option</w:t>
      </w:r>
      <w:r w:rsidRPr="00D4309F">
        <w:rPr>
          <w:spacing w:val="-4"/>
        </w:rPr>
        <w:t xml:space="preserve"> </w:t>
      </w:r>
      <w:r w:rsidRPr="00D4309F">
        <w:t>offers</w:t>
      </w:r>
      <w:r w:rsidRPr="00D4309F">
        <w:rPr>
          <w:spacing w:val="-2"/>
        </w:rPr>
        <w:t xml:space="preserve"> </w:t>
      </w:r>
      <w:r w:rsidRPr="00D4309F">
        <w:t>little</w:t>
      </w:r>
      <w:r w:rsidRPr="00D4309F">
        <w:rPr>
          <w:spacing w:val="-3"/>
        </w:rPr>
        <w:t xml:space="preserve"> </w:t>
      </w:r>
      <w:r w:rsidRPr="00D4309F">
        <w:t>flexibility</w:t>
      </w:r>
      <w:r w:rsidRPr="00D4309F">
        <w:rPr>
          <w:spacing w:val="-2"/>
        </w:rPr>
        <w:t xml:space="preserve"> </w:t>
      </w:r>
      <w:r w:rsidRPr="00D4309F">
        <w:t>to</w:t>
      </w:r>
      <w:r w:rsidRPr="00D4309F">
        <w:rPr>
          <w:spacing w:val="-3"/>
        </w:rPr>
        <w:t xml:space="preserve"> </w:t>
      </w:r>
      <w:r w:rsidRPr="00D4309F">
        <w:t>adjust</w:t>
      </w:r>
      <w:r w:rsidRPr="00D4309F">
        <w:rPr>
          <w:spacing w:val="-3"/>
        </w:rPr>
        <w:t xml:space="preserve"> </w:t>
      </w:r>
      <w:r w:rsidRPr="00D4309F">
        <w:t>or</w:t>
      </w:r>
      <w:r w:rsidRPr="00D4309F">
        <w:rPr>
          <w:spacing w:val="-2"/>
        </w:rPr>
        <w:t xml:space="preserve"> </w:t>
      </w:r>
      <w:r w:rsidRPr="00D4309F">
        <w:t>evolve</w:t>
      </w:r>
      <w:r w:rsidRPr="00D4309F">
        <w:rPr>
          <w:spacing w:val="-3"/>
        </w:rPr>
        <w:t xml:space="preserve"> </w:t>
      </w:r>
      <w:r w:rsidRPr="00D4309F">
        <w:t>with</w:t>
      </w:r>
      <w:r w:rsidRPr="00D4309F">
        <w:rPr>
          <w:spacing w:val="-3"/>
        </w:rPr>
        <w:t xml:space="preserve"> </w:t>
      </w:r>
      <w:r w:rsidRPr="00D4309F">
        <w:t xml:space="preserve">changing </w:t>
      </w:r>
      <w:r w:rsidRPr="00D4309F">
        <w:rPr>
          <w:spacing w:val="-2"/>
        </w:rPr>
        <w:t>conditions.</w:t>
      </w:r>
    </w:p>
    <w:p w14:paraId="06D46A49" w14:textId="75494879" w:rsidR="004F3A87" w:rsidRPr="00D4309F" w:rsidRDefault="00725977" w:rsidP="00725977">
      <w:pPr>
        <w:pStyle w:val="BodyText"/>
      </w:pPr>
      <w:r w:rsidRPr="00D4309F">
        <w:t>For</w:t>
      </w:r>
      <w:r w:rsidRPr="00D4309F">
        <w:rPr>
          <w:spacing w:val="-2"/>
        </w:rPr>
        <w:t xml:space="preserve"> </w:t>
      </w:r>
      <w:r w:rsidRPr="00D4309F">
        <w:t>these</w:t>
      </w:r>
      <w:r w:rsidRPr="00D4309F">
        <w:rPr>
          <w:spacing w:val="-3"/>
        </w:rPr>
        <w:t xml:space="preserve"> </w:t>
      </w:r>
      <w:r w:rsidRPr="00D4309F">
        <w:t>reasons,</w:t>
      </w:r>
      <w:r w:rsidRPr="00D4309F">
        <w:rPr>
          <w:spacing w:val="-3"/>
        </w:rPr>
        <w:t xml:space="preserve"> </w:t>
      </w:r>
      <w:r w:rsidRPr="00D4309F">
        <w:t>this</w:t>
      </w:r>
      <w:r w:rsidRPr="00D4309F">
        <w:rPr>
          <w:spacing w:val="-2"/>
        </w:rPr>
        <w:t xml:space="preserve"> </w:t>
      </w:r>
      <w:r w:rsidRPr="00D4309F">
        <w:t>concept</w:t>
      </w:r>
      <w:r w:rsidRPr="00D4309F">
        <w:rPr>
          <w:spacing w:val="-3"/>
        </w:rPr>
        <w:t xml:space="preserve"> </w:t>
      </w:r>
      <w:r w:rsidRPr="00D4309F">
        <w:t>would</w:t>
      </w:r>
      <w:r w:rsidRPr="00D4309F">
        <w:rPr>
          <w:spacing w:val="-3"/>
        </w:rPr>
        <w:t xml:space="preserve"> </w:t>
      </w:r>
      <w:r w:rsidRPr="00D4309F">
        <w:t>likely</w:t>
      </w:r>
      <w:r w:rsidRPr="00D4309F">
        <w:rPr>
          <w:spacing w:val="-2"/>
        </w:rPr>
        <w:t xml:space="preserve"> </w:t>
      </w:r>
      <w:r w:rsidRPr="00D4309F">
        <w:t>need</w:t>
      </w:r>
      <w:r w:rsidRPr="00D4309F">
        <w:rPr>
          <w:spacing w:val="-3"/>
        </w:rPr>
        <w:t xml:space="preserve"> </w:t>
      </w:r>
      <w:r w:rsidRPr="00D4309F">
        <w:t>to</w:t>
      </w:r>
      <w:r w:rsidRPr="00D4309F">
        <w:rPr>
          <w:spacing w:val="-3"/>
        </w:rPr>
        <w:t xml:space="preserve"> </w:t>
      </w:r>
      <w:r w:rsidRPr="00D4309F">
        <w:t>be</w:t>
      </w:r>
      <w:r w:rsidRPr="00D4309F">
        <w:rPr>
          <w:spacing w:val="-3"/>
        </w:rPr>
        <w:t xml:space="preserve"> </w:t>
      </w:r>
      <w:r w:rsidRPr="00D4309F">
        <w:t>combined</w:t>
      </w:r>
      <w:r w:rsidRPr="00D4309F">
        <w:rPr>
          <w:spacing w:val="-3"/>
        </w:rPr>
        <w:t xml:space="preserve"> </w:t>
      </w:r>
      <w:r w:rsidRPr="00D4309F">
        <w:t>or</w:t>
      </w:r>
      <w:r w:rsidRPr="00D4309F">
        <w:rPr>
          <w:spacing w:val="-2"/>
        </w:rPr>
        <w:t xml:space="preserve"> </w:t>
      </w:r>
      <w:r w:rsidRPr="00D4309F">
        <w:t>succeeded</w:t>
      </w:r>
      <w:r w:rsidRPr="00D4309F">
        <w:rPr>
          <w:spacing w:val="-4"/>
        </w:rPr>
        <w:t xml:space="preserve"> </w:t>
      </w:r>
      <w:r w:rsidRPr="00D4309F">
        <w:t>by</w:t>
      </w:r>
      <w:r w:rsidRPr="00D4309F">
        <w:rPr>
          <w:spacing w:val="-2"/>
        </w:rPr>
        <w:t xml:space="preserve"> </w:t>
      </w:r>
      <w:r w:rsidRPr="00D4309F">
        <w:t>other</w:t>
      </w:r>
      <w:r w:rsidRPr="00D4309F">
        <w:rPr>
          <w:spacing w:val="-2"/>
        </w:rPr>
        <w:t xml:space="preserve"> </w:t>
      </w:r>
      <w:r w:rsidRPr="00D4309F">
        <w:t>long-term</w:t>
      </w:r>
      <w:r w:rsidRPr="00D4309F">
        <w:rPr>
          <w:spacing w:val="-3"/>
        </w:rPr>
        <w:t xml:space="preserve"> </w:t>
      </w:r>
      <w:r w:rsidRPr="00D4309F">
        <w:t>options</w:t>
      </w:r>
      <w:r w:rsidRPr="00D4309F">
        <w:rPr>
          <w:spacing w:val="-3"/>
        </w:rPr>
        <w:t xml:space="preserve"> </w:t>
      </w:r>
      <w:r w:rsidRPr="00D4309F">
        <w:t>- such as a sand trap, permanent bypass system, or slurry pump arrangement - to achieve sustainable navigation and sediment management outcomes. While the Western Channel modification could serve as a short-term experiment or transitional measure, it would need to form part of a broader integrated sediment management strategy to remain viable in the long term.</w:t>
      </w:r>
    </w:p>
    <w:p w14:paraId="01142694" w14:textId="77777777" w:rsidR="00725977" w:rsidRPr="00D4309F" w:rsidRDefault="00725977" w:rsidP="00785CC3">
      <w:pPr>
        <w:pStyle w:val="Heading3"/>
      </w:pPr>
      <w:bookmarkStart w:id="559" w:name="_bookmark203"/>
      <w:bookmarkStart w:id="560" w:name="_Toc216699520"/>
      <w:bookmarkEnd w:id="559"/>
      <w:r w:rsidRPr="00D4309F">
        <w:t>Safety</w:t>
      </w:r>
      <w:r w:rsidRPr="00D4309F">
        <w:rPr>
          <w:spacing w:val="-9"/>
        </w:rPr>
        <w:t xml:space="preserve"> </w:t>
      </w:r>
      <w:r w:rsidRPr="00D4309F">
        <w:t>of</w:t>
      </w:r>
      <w:r w:rsidRPr="00D4309F">
        <w:rPr>
          <w:spacing w:val="-9"/>
        </w:rPr>
        <w:t xml:space="preserve"> </w:t>
      </w:r>
      <w:r w:rsidRPr="00D4309F">
        <w:t>Option</w:t>
      </w:r>
      <w:r w:rsidRPr="00D4309F">
        <w:rPr>
          <w:spacing w:val="-10"/>
        </w:rPr>
        <w:t xml:space="preserve"> 5B</w:t>
      </w:r>
      <w:bookmarkEnd w:id="560"/>
    </w:p>
    <w:p w14:paraId="7D18AB0B" w14:textId="77777777" w:rsidR="00725977" w:rsidRPr="00D4309F" w:rsidRDefault="00725977" w:rsidP="00725977">
      <w:pPr>
        <w:pStyle w:val="BodyText"/>
      </w:pPr>
      <w:r w:rsidRPr="00D4309F">
        <w:t>Option 5B provides some moderate</w:t>
      </w:r>
      <w:r w:rsidRPr="00D4309F">
        <w:rPr>
          <w:spacing w:val="-1"/>
        </w:rPr>
        <w:t xml:space="preserve"> </w:t>
      </w:r>
      <w:r w:rsidRPr="00D4309F">
        <w:t>safety benefit by shifting vessel access into the more</w:t>
      </w:r>
      <w:r w:rsidRPr="00D4309F">
        <w:rPr>
          <w:spacing w:val="-1"/>
        </w:rPr>
        <w:t xml:space="preserve"> </w:t>
      </w:r>
      <w:r w:rsidRPr="00D4309F">
        <w:t>sheltered</w:t>
      </w:r>
      <w:r w:rsidRPr="00D4309F">
        <w:rPr>
          <w:spacing w:val="-1"/>
        </w:rPr>
        <w:t xml:space="preserve"> </w:t>
      </w:r>
      <w:r w:rsidRPr="00D4309F">
        <w:t>Western Channel, away from the highest shoaling and breaking-wave zone at the existing entrance. This relocation can</w:t>
      </w:r>
      <w:r w:rsidRPr="00D4309F">
        <w:rPr>
          <w:spacing w:val="-3"/>
        </w:rPr>
        <w:t xml:space="preserve"> </w:t>
      </w:r>
      <w:r w:rsidRPr="00D4309F">
        <w:t>improve</w:t>
      </w:r>
      <w:r w:rsidRPr="00D4309F">
        <w:rPr>
          <w:spacing w:val="-3"/>
        </w:rPr>
        <w:t xml:space="preserve"> </w:t>
      </w:r>
      <w:r w:rsidRPr="00D4309F">
        <w:t>reliability</w:t>
      </w:r>
      <w:r w:rsidRPr="00D4309F">
        <w:rPr>
          <w:spacing w:val="-2"/>
        </w:rPr>
        <w:t xml:space="preserve"> </w:t>
      </w:r>
      <w:r w:rsidRPr="00D4309F">
        <w:t>of</w:t>
      </w:r>
      <w:r w:rsidRPr="00D4309F">
        <w:rPr>
          <w:spacing w:val="-3"/>
        </w:rPr>
        <w:t xml:space="preserve"> </w:t>
      </w:r>
      <w:r w:rsidRPr="00D4309F">
        <w:t>all-tide</w:t>
      </w:r>
      <w:r w:rsidRPr="00D4309F">
        <w:rPr>
          <w:spacing w:val="-3"/>
        </w:rPr>
        <w:t xml:space="preserve"> </w:t>
      </w:r>
      <w:r w:rsidRPr="00D4309F">
        <w:t>access</w:t>
      </w:r>
      <w:r w:rsidRPr="00D4309F">
        <w:rPr>
          <w:spacing w:val="-2"/>
        </w:rPr>
        <w:t xml:space="preserve"> </w:t>
      </w:r>
      <w:r w:rsidRPr="00D4309F">
        <w:t>immediately</w:t>
      </w:r>
      <w:r w:rsidRPr="00D4309F">
        <w:rPr>
          <w:spacing w:val="-2"/>
        </w:rPr>
        <w:t xml:space="preserve"> </w:t>
      </w:r>
      <w:r w:rsidRPr="00D4309F">
        <w:t>following</w:t>
      </w:r>
      <w:r w:rsidRPr="00D4309F">
        <w:rPr>
          <w:spacing w:val="-3"/>
        </w:rPr>
        <w:t xml:space="preserve"> </w:t>
      </w:r>
      <w:r w:rsidRPr="00D4309F">
        <w:t>dredging,</w:t>
      </w:r>
      <w:r w:rsidRPr="00D4309F">
        <w:rPr>
          <w:spacing w:val="-3"/>
        </w:rPr>
        <w:t xml:space="preserve"> </w:t>
      </w:r>
      <w:r w:rsidRPr="00D4309F">
        <w:t>although</w:t>
      </w:r>
      <w:r w:rsidRPr="00D4309F">
        <w:rPr>
          <w:spacing w:val="-3"/>
        </w:rPr>
        <w:t xml:space="preserve"> </w:t>
      </w:r>
      <w:r w:rsidRPr="00D4309F">
        <w:t>ongoing</w:t>
      </w:r>
      <w:r w:rsidRPr="00D4309F">
        <w:rPr>
          <w:spacing w:val="-3"/>
        </w:rPr>
        <w:t xml:space="preserve"> </w:t>
      </w:r>
      <w:r w:rsidRPr="00D4309F">
        <w:t>depth</w:t>
      </w:r>
      <w:r w:rsidRPr="00D4309F">
        <w:rPr>
          <w:spacing w:val="-3"/>
        </w:rPr>
        <w:t xml:space="preserve"> </w:t>
      </w:r>
      <w:r w:rsidRPr="00D4309F">
        <w:t>stability</w:t>
      </w:r>
      <w:r w:rsidRPr="00D4309F">
        <w:rPr>
          <w:spacing w:val="-3"/>
        </w:rPr>
        <w:t xml:space="preserve"> </w:t>
      </w:r>
      <w:r w:rsidRPr="00D4309F">
        <w:t>still depends on frequent maintenance because the option does not reduce overall shoaling.</w:t>
      </w:r>
    </w:p>
    <w:p w14:paraId="3666B671" w14:textId="77777777" w:rsidR="00725977" w:rsidRPr="00D4309F" w:rsidRDefault="00725977" w:rsidP="00725977">
      <w:pPr>
        <w:pStyle w:val="BodyText"/>
      </w:pPr>
      <w:r w:rsidRPr="00D4309F">
        <w:t>The</w:t>
      </w:r>
      <w:r w:rsidRPr="00D4309F">
        <w:rPr>
          <w:spacing w:val="-3"/>
        </w:rPr>
        <w:t xml:space="preserve"> </w:t>
      </w:r>
      <w:r w:rsidRPr="00D4309F">
        <w:t>new</w:t>
      </w:r>
      <w:r w:rsidRPr="00D4309F">
        <w:rPr>
          <w:spacing w:val="-2"/>
        </w:rPr>
        <w:t xml:space="preserve"> </w:t>
      </w:r>
      <w:r w:rsidRPr="00D4309F">
        <w:t>channel</w:t>
      </w:r>
      <w:r w:rsidRPr="00D4309F">
        <w:rPr>
          <w:spacing w:val="-3"/>
        </w:rPr>
        <w:t xml:space="preserve"> </w:t>
      </w:r>
      <w:r w:rsidRPr="00D4309F">
        <w:t>alignment</w:t>
      </w:r>
      <w:r w:rsidRPr="00D4309F">
        <w:rPr>
          <w:spacing w:val="-3"/>
        </w:rPr>
        <w:t xml:space="preserve"> </w:t>
      </w:r>
      <w:r w:rsidRPr="00D4309F">
        <w:t>may</w:t>
      </w:r>
      <w:r w:rsidRPr="00D4309F">
        <w:rPr>
          <w:spacing w:val="-2"/>
        </w:rPr>
        <w:t xml:space="preserve"> </w:t>
      </w:r>
      <w:r w:rsidRPr="00D4309F">
        <w:t>improve</w:t>
      </w:r>
      <w:r w:rsidRPr="00D4309F">
        <w:rPr>
          <w:spacing w:val="-3"/>
        </w:rPr>
        <w:t xml:space="preserve"> </w:t>
      </w:r>
      <w:r w:rsidRPr="00D4309F">
        <w:t>clarity</w:t>
      </w:r>
      <w:r w:rsidRPr="00D4309F">
        <w:rPr>
          <w:spacing w:val="-2"/>
        </w:rPr>
        <w:t xml:space="preserve"> </w:t>
      </w:r>
      <w:r w:rsidRPr="00D4309F">
        <w:t>of</w:t>
      </w:r>
      <w:r w:rsidRPr="00D4309F">
        <w:rPr>
          <w:spacing w:val="-3"/>
        </w:rPr>
        <w:t xml:space="preserve"> </w:t>
      </w:r>
      <w:r w:rsidRPr="00D4309F">
        <w:t>navigation</w:t>
      </w:r>
      <w:r w:rsidRPr="00D4309F">
        <w:rPr>
          <w:spacing w:val="-3"/>
        </w:rPr>
        <w:t xml:space="preserve"> </w:t>
      </w:r>
      <w:r w:rsidRPr="00D4309F">
        <w:t>by</w:t>
      </w:r>
      <w:r w:rsidRPr="00D4309F">
        <w:rPr>
          <w:spacing w:val="-2"/>
        </w:rPr>
        <w:t xml:space="preserve"> </w:t>
      </w:r>
      <w:r w:rsidRPr="00D4309F">
        <w:t>avoiding</w:t>
      </w:r>
      <w:r w:rsidRPr="00D4309F">
        <w:rPr>
          <w:spacing w:val="-3"/>
        </w:rPr>
        <w:t xml:space="preserve"> </w:t>
      </w:r>
      <w:r w:rsidRPr="00D4309F">
        <w:t>rapidly</w:t>
      </w:r>
      <w:r w:rsidRPr="00D4309F">
        <w:rPr>
          <w:spacing w:val="-2"/>
        </w:rPr>
        <w:t xml:space="preserve"> </w:t>
      </w:r>
      <w:r w:rsidRPr="00D4309F">
        <w:t>changing</w:t>
      </w:r>
      <w:r w:rsidRPr="00D4309F">
        <w:rPr>
          <w:spacing w:val="-4"/>
        </w:rPr>
        <w:t xml:space="preserve"> </w:t>
      </w:r>
      <w:r w:rsidRPr="00D4309F">
        <w:t>shoals,</w:t>
      </w:r>
      <w:r w:rsidRPr="00D4309F">
        <w:rPr>
          <w:spacing w:val="-3"/>
        </w:rPr>
        <w:t xml:space="preserve"> </w:t>
      </w:r>
      <w:r w:rsidRPr="00D4309F">
        <w:t>but</w:t>
      </w:r>
      <w:r w:rsidRPr="00D4309F">
        <w:rPr>
          <w:spacing w:val="-3"/>
        </w:rPr>
        <w:t xml:space="preserve"> </w:t>
      </w:r>
      <w:r w:rsidRPr="00D4309F">
        <w:t>it</w:t>
      </w:r>
      <w:r w:rsidRPr="00D4309F">
        <w:rPr>
          <w:spacing w:val="-3"/>
        </w:rPr>
        <w:t xml:space="preserve"> </w:t>
      </w:r>
      <w:r w:rsidRPr="00D4309F">
        <w:t>also introduces an unfamiliar route that would require clear marking and updates to navigational aids.</w:t>
      </w:r>
    </w:p>
    <w:p w14:paraId="1D71CC38" w14:textId="77777777" w:rsidR="00725977" w:rsidRPr="00D4309F" w:rsidRDefault="00725977" w:rsidP="00725977">
      <w:pPr>
        <w:pStyle w:val="BodyText"/>
      </w:pPr>
      <w:r w:rsidRPr="00D4309F">
        <w:t>For</w:t>
      </w:r>
      <w:r w:rsidRPr="00D4309F">
        <w:rPr>
          <w:spacing w:val="-2"/>
        </w:rPr>
        <w:t xml:space="preserve"> </w:t>
      </w:r>
      <w:r w:rsidRPr="00D4309F">
        <w:t>mariner</w:t>
      </w:r>
      <w:r w:rsidRPr="00D4309F">
        <w:rPr>
          <w:spacing w:val="-2"/>
        </w:rPr>
        <w:t xml:space="preserve"> </w:t>
      </w:r>
      <w:r w:rsidRPr="00D4309F">
        <w:t>safety,</w:t>
      </w:r>
      <w:r w:rsidRPr="00D4309F">
        <w:rPr>
          <w:spacing w:val="-3"/>
        </w:rPr>
        <w:t xml:space="preserve"> </w:t>
      </w:r>
      <w:r w:rsidRPr="00D4309F">
        <w:t>moving</w:t>
      </w:r>
      <w:r w:rsidRPr="00D4309F">
        <w:rPr>
          <w:spacing w:val="-4"/>
        </w:rPr>
        <w:t xml:space="preserve"> </w:t>
      </w:r>
      <w:r w:rsidRPr="00D4309F">
        <w:t>vessels</w:t>
      </w:r>
      <w:r w:rsidRPr="00D4309F">
        <w:rPr>
          <w:spacing w:val="-2"/>
        </w:rPr>
        <w:t xml:space="preserve"> </w:t>
      </w:r>
      <w:r w:rsidRPr="00D4309F">
        <w:t>away</w:t>
      </w:r>
      <w:r w:rsidRPr="00D4309F">
        <w:rPr>
          <w:spacing w:val="-2"/>
        </w:rPr>
        <w:t xml:space="preserve"> </w:t>
      </w:r>
      <w:r w:rsidRPr="00D4309F">
        <w:t>from</w:t>
      </w:r>
      <w:r w:rsidRPr="00D4309F">
        <w:rPr>
          <w:spacing w:val="-3"/>
        </w:rPr>
        <w:t xml:space="preserve"> </w:t>
      </w:r>
      <w:r w:rsidRPr="00D4309F">
        <w:t>the</w:t>
      </w:r>
      <w:r w:rsidRPr="00D4309F">
        <w:rPr>
          <w:spacing w:val="-3"/>
        </w:rPr>
        <w:t xml:space="preserve"> </w:t>
      </w:r>
      <w:r w:rsidRPr="00D4309F">
        <w:t>entrance</w:t>
      </w:r>
      <w:r w:rsidRPr="00D4309F">
        <w:rPr>
          <w:spacing w:val="-3"/>
        </w:rPr>
        <w:t xml:space="preserve"> </w:t>
      </w:r>
      <w:r w:rsidRPr="00D4309F">
        <w:t>bar</w:t>
      </w:r>
      <w:r w:rsidRPr="00D4309F">
        <w:rPr>
          <w:spacing w:val="-2"/>
        </w:rPr>
        <w:t xml:space="preserve"> </w:t>
      </w:r>
      <w:r w:rsidRPr="00D4309F">
        <w:t>reduces</w:t>
      </w:r>
      <w:r w:rsidRPr="00D4309F">
        <w:rPr>
          <w:spacing w:val="-2"/>
        </w:rPr>
        <w:t xml:space="preserve"> </w:t>
      </w:r>
      <w:r w:rsidRPr="00D4309F">
        <w:t>exposure</w:t>
      </w:r>
      <w:r w:rsidRPr="00D4309F">
        <w:rPr>
          <w:spacing w:val="-3"/>
        </w:rPr>
        <w:t xml:space="preserve"> </w:t>
      </w:r>
      <w:r w:rsidRPr="00D4309F">
        <w:t>to</w:t>
      </w:r>
      <w:r w:rsidRPr="00D4309F">
        <w:rPr>
          <w:spacing w:val="-3"/>
        </w:rPr>
        <w:t xml:space="preserve"> </w:t>
      </w:r>
      <w:r w:rsidRPr="00D4309F">
        <w:t>breaking</w:t>
      </w:r>
      <w:r w:rsidRPr="00D4309F">
        <w:rPr>
          <w:spacing w:val="-4"/>
        </w:rPr>
        <w:t xml:space="preserve"> </w:t>
      </w:r>
      <w:r w:rsidRPr="00D4309F">
        <w:t>waves</w:t>
      </w:r>
      <w:r w:rsidRPr="00D4309F">
        <w:rPr>
          <w:spacing w:val="-2"/>
        </w:rPr>
        <w:t xml:space="preserve"> </w:t>
      </w:r>
      <w:r w:rsidRPr="00D4309F">
        <w:t>and turbulent conditions. However, safety gains are limited by the need for continuous dredging to maintain adequate depths, and the removal or modification of the western breakwater introduces temporary construction risks.</w:t>
      </w:r>
    </w:p>
    <w:p w14:paraId="04417D8E" w14:textId="61910FB6" w:rsidR="004F3A87" w:rsidRPr="00D4309F" w:rsidRDefault="00725977" w:rsidP="00725977">
      <w:pPr>
        <w:pStyle w:val="BodyText"/>
      </w:pPr>
      <w:r w:rsidRPr="00D4309F">
        <w:t>Option</w:t>
      </w:r>
      <w:r w:rsidRPr="00D4309F">
        <w:rPr>
          <w:spacing w:val="-3"/>
        </w:rPr>
        <w:t xml:space="preserve"> </w:t>
      </w:r>
      <w:r w:rsidRPr="00D4309F">
        <w:t>5B</w:t>
      </w:r>
      <w:r w:rsidRPr="00D4309F">
        <w:rPr>
          <w:spacing w:val="-3"/>
        </w:rPr>
        <w:t xml:space="preserve"> </w:t>
      </w:r>
      <w:r w:rsidRPr="00D4309F">
        <w:t>offers</w:t>
      </w:r>
      <w:r w:rsidRPr="00D4309F">
        <w:rPr>
          <w:spacing w:val="-2"/>
        </w:rPr>
        <w:t xml:space="preserve"> </w:t>
      </w:r>
      <w:r w:rsidRPr="00D4309F">
        <w:t>incremental</w:t>
      </w:r>
      <w:r w:rsidRPr="00D4309F">
        <w:rPr>
          <w:spacing w:val="-3"/>
        </w:rPr>
        <w:t xml:space="preserve"> </w:t>
      </w:r>
      <w:r w:rsidRPr="00D4309F">
        <w:t>safety</w:t>
      </w:r>
      <w:r w:rsidRPr="00D4309F">
        <w:rPr>
          <w:spacing w:val="-2"/>
        </w:rPr>
        <w:t xml:space="preserve"> </w:t>
      </w:r>
      <w:r w:rsidRPr="00D4309F">
        <w:t>improvements,</w:t>
      </w:r>
      <w:r w:rsidRPr="00D4309F">
        <w:rPr>
          <w:spacing w:val="-3"/>
        </w:rPr>
        <w:t xml:space="preserve"> </w:t>
      </w:r>
      <w:r w:rsidRPr="00D4309F">
        <w:t>but</w:t>
      </w:r>
      <w:r w:rsidRPr="00D4309F">
        <w:rPr>
          <w:spacing w:val="-3"/>
        </w:rPr>
        <w:t xml:space="preserve"> </w:t>
      </w:r>
      <w:r w:rsidRPr="00D4309F">
        <w:t>does</w:t>
      </w:r>
      <w:r w:rsidRPr="00D4309F">
        <w:rPr>
          <w:spacing w:val="-2"/>
        </w:rPr>
        <w:t xml:space="preserve"> </w:t>
      </w:r>
      <w:r w:rsidRPr="00D4309F">
        <w:t>not</w:t>
      </w:r>
      <w:r w:rsidRPr="00D4309F">
        <w:rPr>
          <w:spacing w:val="-3"/>
        </w:rPr>
        <w:t xml:space="preserve"> </w:t>
      </w:r>
      <w:r w:rsidRPr="00D4309F">
        <w:t>provide</w:t>
      </w:r>
      <w:r w:rsidRPr="00D4309F">
        <w:rPr>
          <w:spacing w:val="-3"/>
        </w:rPr>
        <w:t xml:space="preserve"> </w:t>
      </w:r>
      <w:r w:rsidRPr="00D4309F">
        <w:t>the</w:t>
      </w:r>
      <w:r w:rsidRPr="00D4309F">
        <w:rPr>
          <w:spacing w:val="-3"/>
        </w:rPr>
        <w:t xml:space="preserve"> </w:t>
      </w:r>
      <w:r w:rsidRPr="00D4309F">
        <w:t>long-term</w:t>
      </w:r>
      <w:r w:rsidRPr="00D4309F">
        <w:rPr>
          <w:spacing w:val="-3"/>
        </w:rPr>
        <w:t xml:space="preserve"> </w:t>
      </w:r>
      <w:r w:rsidRPr="00D4309F">
        <w:t>navigation reliability achieved by options that directly address sediment supply.</w:t>
      </w:r>
    </w:p>
    <w:p w14:paraId="69E9E8D0" w14:textId="77777777" w:rsidR="00725977" w:rsidRPr="00D4309F" w:rsidRDefault="00725977" w:rsidP="00785CC3">
      <w:pPr>
        <w:pStyle w:val="Heading3"/>
      </w:pPr>
      <w:bookmarkStart w:id="561" w:name="_bookmark204"/>
      <w:bookmarkStart w:id="562" w:name="_Toc216699521"/>
      <w:bookmarkEnd w:id="561"/>
      <w:r w:rsidRPr="00D4309F">
        <w:t>Cost</w:t>
      </w:r>
      <w:bookmarkEnd w:id="562"/>
    </w:p>
    <w:p w14:paraId="4D9555DE" w14:textId="77777777" w:rsidR="00725977" w:rsidRPr="00D4309F" w:rsidRDefault="00725977" w:rsidP="00045159">
      <w:pPr>
        <w:pStyle w:val="Heading5-nonumber"/>
      </w:pPr>
      <w:r w:rsidRPr="00D4309F">
        <w:t>Capital</w:t>
      </w:r>
      <w:r w:rsidRPr="00D4309F">
        <w:rPr>
          <w:spacing w:val="-4"/>
        </w:rPr>
        <w:t xml:space="preserve"> </w:t>
      </w:r>
      <w:r w:rsidRPr="00D4309F">
        <w:t>Works</w:t>
      </w:r>
      <w:r w:rsidRPr="00D4309F">
        <w:rPr>
          <w:spacing w:val="-3"/>
        </w:rPr>
        <w:t xml:space="preserve"> </w:t>
      </w:r>
      <w:r w:rsidRPr="00D4309F">
        <w:rPr>
          <w:spacing w:val="-4"/>
        </w:rPr>
        <w:t>Cost</w:t>
      </w:r>
    </w:p>
    <w:p w14:paraId="750C0B79" w14:textId="77777777" w:rsidR="00725977" w:rsidRPr="00D4309F" w:rsidRDefault="00725977" w:rsidP="00725977">
      <w:pPr>
        <w:pStyle w:val="BodyText"/>
      </w:pPr>
      <w:r w:rsidRPr="00D4309F">
        <w:t>Option 5B</w:t>
      </w:r>
      <w:r w:rsidRPr="00D4309F">
        <w:rPr>
          <w:spacing w:val="-3"/>
        </w:rPr>
        <w:t xml:space="preserve"> </w:t>
      </w:r>
      <w:r w:rsidRPr="00D4309F">
        <w:t>is</w:t>
      </w:r>
      <w:r w:rsidRPr="00D4309F">
        <w:rPr>
          <w:spacing w:val="-3"/>
        </w:rPr>
        <w:t xml:space="preserve"> </w:t>
      </w:r>
      <w:r w:rsidRPr="00D4309F">
        <w:t>expected</w:t>
      </w:r>
      <w:r w:rsidRPr="00D4309F">
        <w:rPr>
          <w:spacing w:val="-4"/>
        </w:rPr>
        <w:t xml:space="preserve"> </w:t>
      </w:r>
      <w:r w:rsidRPr="00D4309F">
        <w:t>to</w:t>
      </w:r>
      <w:r w:rsidRPr="00D4309F">
        <w:rPr>
          <w:spacing w:val="-3"/>
        </w:rPr>
        <w:t xml:space="preserve"> </w:t>
      </w:r>
      <w:r w:rsidRPr="00D4309F">
        <w:t>carry</w:t>
      </w:r>
      <w:r w:rsidRPr="00D4309F">
        <w:rPr>
          <w:spacing w:val="-3"/>
        </w:rPr>
        <w:t xml:space="preserve"> </w:t>
      </w:r>
      <w:r w:rsidRPr="00D4309F">
        <w:t>a</w:t>
      </w:r>
      <w:r w:rsidRPr="00D4309F">
        <w:rPr>
          <w:spacing w:val="-3"/>
        </w:rPr>
        <w:t xml:space="preserve"> </w:t>
      </w:r>
      <w:r w:rsidRPr="00D4309F">
        <w:t>moderate</w:t>
      </w:r>
      <w:r w:rsidRPr="00D4309F">
        <w:rPr>
          <w:spacing w:val="-4"/>
        </w:rPr>
        <w:t xml:space="preserve"> </w:t>
      </w:r>
      <w:r w:rsidRPr="00D4309F">
        <w:t>to</w:t>
      </w:r>
      <w:r w:rsidRPr="00D4309F">
        <w:rPr>
          <w:spacing w:val="-4"/>
        </w:rPr>
        <w:t xml:space="preserve"> </w:t>
      </w:r>
      <w:r w:rsidRPr="00D4309F">
        <w:t>high</w:t>
      </w:r>
      <w:r w:rsidRPr="00D4309F">
        <w:rPr>
          <w:spacing w:val="-3"/>
        </w:rPr>
        <w:t xml:space="preserve"> </w:t>
      </w:r>
      <w:r w:rsidRPr="00D4309F">
        <w:t>capital</w:t>
      </w:r>
      <w:r w:rsidRPr="00D4309F">
        <w:rPr>
          <w:spacing w:val="-4"/>
        </w:rPr>
        <w:t xml:space="preserve"> </w:t>
      </w:r>
      <w:r w:rsidRPr="00D4309F">
        <w:t>cost,</w:t>
      </w:r>
      <w:r w:rsidRPr="00D4309F">
        <w:rPr>
          <w:spacing w:val="-3"/>
        </w:rPr>
        <w:t xml:space="preserve"> </w:t>
      </w:r>
      <w:r w:rsidRPr="00D4309F">
        <w:t>driven</w:t>
      </w:r>
      <w:r w:rsidRPr="00D4309F">
        <w:rPr>
          <w:spacing w:val="-4"/>
        </w:rPr>
        <w:t xml:space="preserve"> </w:t>
      </w:r>
      <w:r w:rsidRPr="00D4309F">
        <w:t>primarily</w:t>
      </w:r>
      <w:r w:rsidRPr="00D4309F">
        <w:rPr>
          <w:spacing w:val="-2"/>
        </w:rPr>
        <w:t xml:space="preserve"> </w:t>
      </w:r>
      <w:r w:rsidRPr="00D4309F">
        <w:rPr>
          <w:spacing w:val="-5"/>
        </w:rPr>
        <w:t>by:</w:t>
      </w:r>
    </w:p>
    <w:p w14:paraId="6A211B63" w14:textId="77777777" w:rsidR="00725977" w:rsidRPr="00D4309F" w:rsidRDefault="00725977" w:rsidP="006C24AF">
      <w:pPr>
        <w:pStyle w:val="ListParagraph"/>
        <w:widowControl w:val="0"/>
        <w:numPr>
          <w:ilvl w:val="0"/>
          <w:numId w:val="13"/>
        </w:numPr>
        <w:tabs>
          <w:tab w:val="left" w:pos="501"/>
        </w:tabs>
        <w:autoSpaceDE w:val="0"/>
        <w:autoSpaceDN w:val="0"/>
        <w:spacing w:before="119" w:after="0" w:line="240" w:lineRule="auto"/>
        <w:ind w:right="215"/>
        <w:contextualSpacing w:val="0"/>
      </w:pPr>
      <w:r w:rsidRPr="00D4309F">
        <w:rPr>
          <w:color w:val="211E1F"/>
        </w:rPr>
        <w:t>Partial</w:t>
      </w:r>
      <w:r w:rsidRPr="00D4309F">
        <w:rPr>
          <w:color w:val="211E1F"/>
          <w:spacing w:val="-3"/>
        </w:rPr>
        <w:t xml:space="preserve"> </w:t>
      </w:r>
      <w:r w:rsidRPr="00D4309F">
        <w:rPr>
          <w:color w:val="211E1F"/>
        </w:rPr>
        <w:t>demolition</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existing</w:t>
      </w:r>
      <w:r w:rsidRPr="00D4309F">
        <w:rPr>
          <w:color w:val="211E1F"/>
          <w:spacing w:val="-3"/>
        </w:rPr>
        <w:t xml:space="preserve"> </w:t>
      </w:r>
      <w:r w:rsidRPr="00D4309F">
        <w:rPr>
          <w:color w:val="211E1F"/>
        </w:rPr>
        <w:t>western</w:t>
      </w:r>
      <w:r w:rsidRPr="00D4309F">
        <w:rPr>
          <w:color w:val="211E1F"/>
          <w:spacing w:val="-4"/>
        </w:rPr>
        <w:t xml:space="preserve"> </w:t>
      </w:r>
      <w:r w:rsidRPr="00D4309F">
        <w:rPr>
          <w:color w:val="211E1F"/>
        </w:rPr>
        <w:t>breakwater,</w:t>
      </w:r>
      <w:r w:rsidRPr="00D4309F">
        <w:rPr>
          <w:color w:val="211E1F"/>
          <w:spacing w:val="-3"/>
        </w:rPr>
        <w:t xml:space="preserve"> </w:t>
      </w:r>
      <w:r w:rsidRPr="00D4309F">
        <w:rPr>
          <w:color w:val="211E1F"/>
        </w:rPr>
        <w:t>including</w:t>
      </w:r>
      <w:r w:rsidRPr="00D4309F">
        <w:rPr>
          <w:color w:val="211E1F"/>
          <w:spacing w:val="-3"/>
        </w:rPr>
        <w:t xml:space="preserve"> </w:t>
      </w:r>
      <w:r w:rsidRPr="00D4309F">
        <w:rPr>
          <w:color w:val="211E1F"/>
        </w:rPr>
        <w:t>rock</w:t>
      </w:r>
      <w:r w:rsidRPr="00D4309F">
        <w:rPr>
          <w:color w:val="211E1F"/>
          <w:spacing w:val="-3"/>
        </w:rPr>
        <w:t xml:space="preserve"> </w:t>
      </w:r>
      <w:r w:rsidRPr="00D4309F">
        <w:rPr>
          <w:color w:val="211E1F"/>
        </w:rPr>
        <w:t>removal,</w:t>
      </w:r>
      <w:r w:rsidRPr="00D4309F">
        <w:rPr>
          <w:color w:val="211E1F"/>
          <w:spacing w:val="-3"/>
        </w:rPr>
        <w:t xml:space="preserve"> </w:t>
      </w:r>
      <w:r w:rsidRPr="00D4309F">
        <w:rPr>
          <w:color w:val="211E1F"/>
        </w:rPr>
        <w:t>handling,</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disposal</w:t>
      </w:r>
      <w:r w:rsidRPr="00D4309F">
        <w:rPr>
          <w:color w:val="211E1F"/>
          <w:spacing w:val="-3"/>
        </w:rPr>
        <w:t xml:space="preserve"> </w:t>
      </w:r>
      <w:r w:rsidRPr="00D4309F">
        <w:rPr>
          <w:color w:val="211E1F"/>
        </w:rPr>
        <w:t xml:space="preserve">or </w:t>
      </w:r>
      <w:r w:rsidRPr="00D4309F">
        <w:rPr>
          <w:color w:val="211E1F"/>
          <w:spacing w:val="-2"/>
        </w:rPr>
        <w:t>reuse.</w:t>
      </w:r>
    </w:p>
    <w:p w14:paraId="13249DAD" w14:textId="77777777" w:rsidR="00725977" w:rsidRPr="00D4309F" w:rsidRDefault="00725977" w:rsidP="006C24AF">
      <w:pPr>
        <w:pStyle w:val="ListParagraph"/>
        <w:widowControl w:val="0"/>
        <w:numPr>
          <w:ilvl w:val="0"/>
          <w:numId w:val="13"/>
        </w:numPr>
        <w:tabs>
          <w:tab w:val="left" w:pos="501"/>
        </w:tabs>
        <w:autoSpaceDE w:val="0"/>
        <w:autoSpaceDN w:val="0"/>
        <w:spacing w:before="119" w:after="0" w:line="240" w:lineRule="auto"/>
        <w:contextualSpacing w:val="0"/>
      </w:pPr>
      <w:r w:rsidRPr="00D4309F">
        <w:rPr>
          <w:color w:val="211E1F"/>
        </w:rPr>
        <w:t>Excavation</w:t>
      </w:r>
      <w:r w:rsidRPr="00D4309F">
        <w:rPr>
          <w:color w:val="211E1F"/>
          <w:spacing w:val="-7"/>
        </w:rPr>
        <w:t xml:space="preserve"> </w:t>
      </w:r>
      <w:r w:rsidRPr="00D4309F">
        <w:rPr>
          <w:color w:val="211E1F"/>
        </w:rPr>
        <w:t>of</w:t>
      </w:r>
      <w:r w:rsidRPr="00D4309F">
        <w:rPr>
          <w:color w:val="211E1F"/>
          <w:spacing w:val="-5"/>
        </w:rPr>
        <w:t xml:space="preserve"> </w:t>
      </w:r>
      <w:r w:rsidRPr="00D4309F">
        <w:rPr>
          <w:color w:val="211E1F"/>
        </w:rPr>
        <w:t>a</w:t>
      </w:r>
      <w:r w:rsidRPr="00D4309F">
        <w:rPr>
          <w:color w:val="211E1F"/>
          <w:spacing w:val="-5"/>
        </w:rPr>
        <w:t xml:space="preserve"> </w:t>
      </w:r>
      <w:r w:rsidRPr="00D4309F">
        <w:rPr>
          <w:color w:val="211E1F"/>
        </w:rPr>
        <w:t>new</w:t>
      </w:r>
      <w:r w:rsidRPr="00D4309F">
        <w:rPr>
          <w:color w:val="211E1F"/>
          <w:spacing w:val="-3"/>
        </w:rPr>
        <w:t xml:space="preserve"> </w:t>
      </w:r>
      <w:r w:rsidRPr="00D4309F">
        <w:rPr>
          <w:color w:val="211E1F"/>
        </w:rPr>
        <w:t>channel</w:t>
      </w:r>
      <w:r w:rsidRPr="00D4309F">
        <w:rPr>
          <w:color w:val="211E1F"/>
          <w:spacing w:val="-5"/>
        </w:rPr>
        <w:t xml:space="preserve"> </w:t>
      </w:r>
      <w:r w:rsidRPr="00D4309F">
        <w:rPr>
          <w:color w:val="211E1F"/>
        </w:rPr>
        <w:t>alignment,</w:t>
      </w:r>
      <w:r w:rsidRPr="00D4309F">
        <w:rPr>
          <w:color w:val="211E1F"/>
          <w:spacing w:val="-5"/>
        </w:rPr>
        <w:t xml:space="preserve"> </w:t>
      </w:r>
      <w:r w:rsidRPr="00D4309F">
        <w:rPr>
          <w:color w:val="211E1F"/>
        </w:rPr>
        <w:t>including</w:t>
      </w:r>
      <w:r w:rsidRPr="00D4309F">
        <w:rPr>
          <w:color w:val="211E1F"/>
          <w:spacing w:val="-4"/>
        </w:rPr>
        <w:t xml:space="preserve"> </w:t>
      </w:r>
      <w:r w:rsidRPr="00D4309F">
        <w:rPr>
          <w:color w:val="211E1F"/>
        </w:rPr>
        <w:t>potential</w:t>
      </w:r>
      <w:r w:rsidRPr="00D4309F">
        <w:rPr>
          <w:color w:val="211E1F"/>
          <w:spacing w:val="-5"/>
        </w:rPr>
        <w:t xml:space="preserve"> </w:t>
      </w:r>
      <w:r w:rsidRPr="00D4309F">
        <w:rPr>
          <w:color w:val="211E1F"/>
        </w:rPr>
        <w:t>bedrock</w:t>
      </w:r>
      <w:r w:rsidRPr="00D4309F">
        <w:rPr>
          <w:color w:val="211E1F"/>
          <w:spacing w:val="-4"/>
        </w:rPr>
        <w:t xml:space="preserve"> </w:t>
      </w:r>
      <w:r w:rsidRPr="00D4309F">
        <w:rPr>
          <w:color w:val="211E1F"/>
        </w:rPr>
        <w:t>cutting</w:t>
      </w:r>
      <w:r w:rsidRPr="00D4309F">
        <w:rPr>
          <w:color w:val="211E1F"/>
          <w:spacing w:val="-4"/>
        </w:rPr>
        <w:t xml:space="preserve"> </w:t>
      </w:r>
      <w:r w:rsidRPr="00D4309F">
        <w:rPr>
          <w:color w:val="211E1F"/>
        </w:rPr>
        <w:t>to</w:t>
      </w:r>
      <w:r w:rsidRPr="00D4309F">
        <w:rPr>
          <w:color w:val="211E1F"/>
          <w:spacing w:val="-5"/>
        </w:rPr>
        <w:t xml:space="preserve"> </w:t>
      </w:r>
      <w:r w:rsidRPr="00D4309F">
        <w:rPr>
          <w:color w:val="211E1F"/>
        </w:rPr>
        <w:t>achieve</w:t>
      </w:r>
      <w:r w:rsidRPr="00D4309F">
        <w:rPr>
          <w:color w:val="211E1F"/>
          <w:spacing w:val="-5"/>
        </w:rPr>
        <w:t xml:space="preserve"> </w:t>
      </w:r>
      <w:r w:rsidRPr="00D4309F">
        <w:rPr>
          <w:color w:val="211E1F"/>
        </w:rPr>
        <w:t>navigable</w:t>
      </w:r>
      <w:r w:rsidRPr="00D4309F">
        <w:rPr>
          <w:color w:val="211E1F"/>
          <w:spacing w:val="-4"/>
        </w:rPr>
        <w:t xml:space="preserve"> </w:t>
      </w:r>
      <w:r w:rsidRPr="00D4309F">
        <w:rPr>
          <w:color w:val="211E1F"/>
          <w:spacing w:val="-2"/>
        </w:rPr>
        <w:t>depth.</w:t>
      </w:r>
    </w:p>
    <w:p w14:paraId="7EC1C139" w14:textId="77777777" w:rsidR="00725977" w:rsidRPr="00D4309F" w:rsidRDefault="00725977" w:rsidP="006C24AF">
      <w:pPr>
        <w:pStyle w:val="ListParagraph"/>
        <w:widowControl w:val="0"/>
        <w:numPr>
          <w:ilvl w:val="0"/>
          <w:numId w:val="13"/>
        </w:numPr>
        <w:tabs>
          <w:tab w:val="left" w:pos="501"/>
        </w:tabs>
        <w:autoSpaceDE w:val="0"/>
        <w:autoSpaceDN w:val="0"/>
        <w:spacing w:before="118" w:after="0" w:line="240" w:lineRule="auto"/>
        <w:ind w:right="705"/>
        <w:contextualSpacing w:val="0"/>
      </w:pPr>
      <w:r w:rsidRPr="00D4309F">
        <w:rPr>
          <w:color w:val="211E1F"/>
        </w:rPr>
        <w:t>Establishment</w:t>
      </w:r>
      <w:r w:rsidRPr="00D4309F">
        <w:rPr>
          <w:color w:val="211E1F"/>
          <w:spacing w:val="-3"/>
        </w:rPr>
        <w:t xml:space="preserve"> </w:t>
      </w:r>
      <w:r w:rsidRPr="00D4309F">
        <w:rPr>
          <w:color w:val="211E1F"/>
        </w:rPr>
        <w:t>of</w:t>
      </w:r>
      <w:r w:rsidRPr="00D4309F">
        <w:rPr>
          <w:color w:val="211E1F"/>
          <w:spacing w:val="-3"/>
        </w:rPr>
        <w:t xml:space="preserve"> </w:t>
      </w:r>
      <w:r w:rsidRPr="00D4309F">
        <w:rPr>
          <w:color w:val="211E1F"/>
        </w:rPr>
        <w:t>a</w:t>
      </w:r>
      <w:r w:rsidRPr="00D4309F">
        <w:rPr>
          <w:color w:val="211E1F"/>
          <w:spacing w:val="-3"/>
        </w:rPr>
        <w:t xml:space="preserve"> </w:t>
      </w:r>
      <w:r w:rsidRPr="00D4309F">
        <w:rPr>
          <w:color w:val="211E1F"/>
        </w:rPr>
        <w:t>new</w:t>
      </w:r>
      <w:r w:rsidRPr="00D4309F">
        <w:rPr>
          <w:color w:val="211E1F"/>
          <w:spacing w:val="-2"/>
        </w:rPr>
        <w:t xml:space="preserve"> </w:t>
      </w:r>
      <w:r w:rsidRPr="00D4309F">
        <w:rPr>
          <w:color w:val="211E1F"/>
        </w:rPr>
        <w:t>dredged</w:t>
      </w:r>
      <w:r w:rsidRPr="00D4309F">
        <w:rPr>
          <w:color w:val="211E1F"/>
          <w:spacing w:val="-4"/>
        </w:rPr>
        <w:t xml:space="preserve"> </w:t>
      </w:r>
      <w:r w:rsidRPr="00D4309F">
        <w:rPr>
          <w:color w:val="211E1F"/>
        </w:rPr>
        <w:t>corridor,</w:t>
      </w:r>
      <w:r w:rsidRPr="00D4309F">
        <w:rPr>
          <w:color w:val="211E1F"/>
          <w:spacing w:val="-3"/>
        </w:rPr>
        <w:t xml:space="preserve"> </w:t>
      </w:r>
      <w:r w:rsidRPr="00D4309F">
        <w:rPr>
          <w:color w:val="211E1F"/>
        </w:rPr>
        <w:t>with</w:t>
      </w:r>
      <w:r w:rsidRPr="00D4309F">
        <w:rPr>
          <w:color w:val="211E1F"/>
          <w:spacing w:val="-3"/>
        </w:rPr>
        <w:t xml:space="preserve"> </w:t>
      </w:r>
      <w:r w:rsidRPr="00D4309F">
        <w:rPr>
          <w:color w:val="211E1F"/>
        </w:rPr>
        <w:t>possible</w:t>
      </w:r>
      <w:r w:rsidRPr="00D4309F">
        <w:rPr>
          <w:color w:val="211E1F"/>
          <w:spacing w:val="-3"/>
        </w:rPr>
        <w:t xml:space="preserve"> </w:t>
      </w:r>
      <w:r w:rsidRPr="00D4309F">
        <w:rPr>
          <w:color w:val="211E1F"/>
        </w:rPr>
        <w:t>side-slope</w:t>
      </w:r>
      <w:r w:rsidRPr="00D4309F">
        <w:rPr>
          <w:color w:val="211E1F"/>
          <w:spacing w:val="-4"/>
        </w:rPr>
        <w:t xml:space="preserve"> </w:t>
      </w:r>
      <w:r w:rsidRPr="00D4309F">
        <w:rPr>
          <w:color w:val="211E1F"/>
        </w:rPr>
        <w:t>stabilisation</w:t>
      </w:r>
      <w:r w:rsidRPr="00D4309F">
        <w:rPr>
          <w:color w:val="211E1F"/>
          <w:spacing w:val="-3"/>
        </w:rPr>
        <w:t xml:space="preserve"> </w:t>
      </w:r>
      <w:r w:rsidRPr="00D4309F">
        <w:rPr>
          <w:color w:val="211E1F"/>
        </w:rPr>
        <w:t>or</w:t>
      </w:r>
      <w:r w:rsidRPr="00D4309F">
        <w:rPr>
          <w:color w:val="211E1F"/>
          <w:spacing w:val="-2"/>
        </w:rPr>
        <w:t xml:space="preserve"> </w:t>
      </w:r>
      <w:r w:rsidRPr="00D4309F">
        <w:rPr>
          <w:color w:val="211E1F"/>
        </w:rPr>
        <w:t>bank</w:t>
      </w:r>
      <w:r w:rsidRPr="00D4309F">
        <w:rPr>
          <w:color w:val="211E1F"/>
          <w:spacing w:val="-2"/>
        </w:rPr>
        <w:t xml:space="preserve"> </w:t>
      </w:r>
      <w:r w:rsidRPr="00D4309F">
        <w:rPr>
          <w:color w:val="211E1F"/>
        </w:rPr>
        <w:t>protection depending on post-construction hydrodynamics.</w:t>
      </w:r>
    </w:p>
    <w:p w14:paraId="6A1E9D91" w14:textId="77777777" w:rsidR="00725977" w:rsidRPr="00D4309F" w:rsidRDefault="00725977" w:rsidP="006C24AF">
      <w:pPr>
        <w:pStyle w:val="ListParagraph"/>
        <w:widowControl w:val="0"/>
        <w:numPr>
          <w:ilvl w:val="0"/>
          <w:numId w:val="13"/>
        </w:numPr>
        <w:tabs>
          <w:tab w:val="left" w:pos="501"/>
        </w:tabs>
        <w:autoSpaceDE w:val="0"/>
        <w:autoSpaceDN w:val="0"/>
        <w:spacing w:before="118" w:after="0" w:line="240" w:lineRule="auto"/>
        <w:contextualSpacing w:val="0"/>
      </w:pPr>
      <w:r w:rsidRPr="00D4309F">
        <w:rPr>
          <w:color w:val="211E1F"/>
        </w:rPr>
        <w:t>Temporary</w:t>
      </w:r>
      <w:r w:rsidRPr="00D4309F">
        <w:rPr>
          <w:color w:val="211E1F"/>
          <w:spacing w:val="-8"/>
        </w:rPr>
        <w:t xml:space="preserve"> </w:t>
      </w:r>
      <w:r w:rsidRPr="00D4309F">
        <w:rPr>
          <w:color w:val="211E1F"/>
        </w:rPr>
        <w:t>works,</w:t>
      </w:r>
      <w:r w:rsidRPr="00D4309F">
        <w:rPr>
          <w:color w:val="211E1F"/>
          <w:spacing w:val="-5"/>
        </w:rPr>
        <w:t xml:space="preserve"> </w:t>
      </w:r>
      <w:r w:rsidRPr="00D4309F">
        <w:rPr>
          <w:color w:val="211E1F"/>
        </w:rPr>
        <w:t>including</w:t>
      </w:r>
      <w:r w:rsidRPr="00D4309F">
        <w:rPr>
          <w:color w:val="211E1F"/>
          <w:spacing w:val="-5"/>
        </w:rPr>
        <w:t xml:space="preserve"> </w:t>
      </w:r>
      <w:r w:rsidRPr="00D4309F">
        <w:rPr>
          <w:color w:val="211E1F"/>
        </w:rPr>
        <w:t>pedestrian</w:t>
      </w:r>
      <w:r w:rsidRPr="00D4309F">
        <w:rPr>
          <w:color w:val="211E1F"/>
          <w:spacing w:val="-5"/>
        </w:rPr>
        <w:t xml:space="preserve"> </w:t>
      </w:r>
      <w:r w:rsidRPr="00D4309F">
        <w:rPr>
          <w:color w:val="211E1F"/>
        </w:rPr>
        <w:t>detours,</w:t>
      </w:r>
      <w:r w:rsidRPr="00D4309F">
        <w:rPr>
          <w:color w:val="211E1F"/>
          <w:spacing w:val="-5"/>
        </w:rPr>
        <w:t xml:space="preserve"> </w:t>
      </w:r>
      <w:r w:rsidRPr="00D4309F">
        <w:rPr>
          <w:color w:val="211E1F"/>
        </w:rPr>
        <w:t>marine</w:t>
      </w:r>
      <w:r w:rsidRPr="00D4309F">
        <w:rPr>
          <w:color w:val="211E1F"/>
          <w:spacing w:val="-5"/>
        </w:rPr>
        <w:t xml:space="preserve"> </w:t>
      </w:r>
      <w:r w:rsidRPr="00D4309F">
        <w:rPr>
          <w:color w:val="211E1F"/>
        </w:rPr>
        <w:t>plant</w:t>
      </w:r>
      <w:r w:rsidRPr="00D4309F">
        <w:rPr>
          <w:color w:val="211E1F"/>
          <w:spacing w:val="-5"/>
        </w:rPr>
        <w:t xml:space="preserve"> </w:t>
      </w:r>
      <w:r w:rsidRPr="00D4309F">
        <w:rPr>
          <w:color w:val="211E1F"/>
        </w:rPr>
        <w:t>mobilisation,</w:t>
      </w:r>
      <w:r w:rsidRPr="00D4309F">
        <w:rPr>
          <w:color w:val="211E1F"/>
          <w:spacing w:val="-5"/>
        </w:rPr>
        <w:t xml:space="preserve"> </w:t>
      </w:r>
      <w:r w:rsidRPr="00D4309F">
        <w:rPr>
          <w:color w:val="211E1F"/>
        </w:rPr>
        <w:t>and</w:t>
      </w:r>
      <w:r w:rsidRPr="00D4309F">
        <w:rPr>
          <w:color w:val="211E1F"/>
          <w:spacing w:val="-5"/>
        </w:rPr>
        <w:t xml:space="preserve"> </w:t>
      </w:r>
      <w:r w:rsidRPr="00D4309F">
        <w:rPr>
          <w:color w:val="211E1F"/>
        </w:rPr>
        <w:t>safety</w:t>
      </w:r>
      <w:r w:rsidRPr="00D4309F">
        <w:rPr>
          <w:color w:val="211E1F"/>
          <w:spacing w:val="-4"/>
        </w:rPr>
        <w:t xml:space="preserve"> </w:t>
      </w:r>
      <w:r w:rsidRPr="00D4309F">
        <w:rPr>
          <w:color w:val="211E1F"/>
        </w:rPr>
        <w:t>exclusion</w:t>
      </w:r>
      <w:r w:rsidRPr="00D4309F">
        <w:rPr>
          <w:color w:val="211E1F"/>
          <w:spacing w:val="-5"/>
        </w:rPr>
        <w:t xml:space="preserve"> </w:t>
      </w:r>
      <w:r w:rsidRPr="00D4309F">
        <w:rPr>
          <w:color w:val="211E1F"/>
          <w:spacing w:val="-2"/>
        </w:rPr>
        <w:t>zones.</w:t>
      </w:r>
    </w:p>
    <w:p w14:paraId="338FB93D" w14:textId="77777777" w:rsidR="00725977" w:rsidRPr="00D4309F" w:rsidRDefault="00725977" w:rsidP="00725977">
      <w:pPr>
        <w:pStyle w:val="BodyText"/>
      </w:pPr>
      <w:r w:rsidRPr="00D4309F">
        <w:t>Because</w:t>
      </w:r>
      <w:r w:rsidRPr="00D4309F">
        <w:rPr>
          <w:spacing w:val="-6"/>
        </w:rPr>
        <w:t xml:space="preserve"> </w:t>
      </w:r>
      <w:r w:rsidRPr="00D4309F">
        <w:t>the</w:t>
      </w:r>
      <w:r w:rsidRPr="00D4309F">
        <w:rPr>
          <w:spacing w:val="-4"/>
        </w:rPr>
        <w:t xml:space="preserve"> </w:t>
      </w:r>
      <w:r w:rsidRPr="00D4309F">
        <w:t>option</w:t>
      </w:r>
      <w:r w:rsidRPr="00D4309F">
        <w:rPr>
          <w:spacing w:val="-4"/>
        </w:rPr>
        <w:t xml:space="preserve"> </w:t>
      </w:r>
      <w:r w:rsidRPr="00D4309F">
        <w:t>has</w:t>
      </w:r>
      <w:r w:rsidRPr="00D4309F">
        <w:rPr>
          <w:spacing w:val="-2"/>
        </w:rPr>
        <w:t xml:space="preserve"> </w:t>
      </w:r>
      <w:r w:rsidRPr="00D4309F">
        <w:t>not</w:t>
      </w:r>
      <w:r w:rsidRPr="00D4309F">
        <w:rPr>
          <w:spacing w:val="-4"/>
        </w:rPr>
        <w:t xml:space="preserve"> </w:t>
      </w:r>
      <w:r w:rsidRPr="00D4309F">
        <w:t>progressed</w:t>
      </w:r>
      <w:r w:rsidRPr="00D4309F">
        <w:rPr>
          <w:spacing w:val="-3"/>
        </w:rPr>
        <w:t xml:space="preserve"> </w:t>
      </w:r>
      <w:r w:rsidRPr="00D4309F">
        <w:t>beyond</w:t>
      </w:r>
      <w:r w:rsidRPr="00D4309F">
        <w:rPr>
          <w:spacing w:val="-4"/>
        </w:rPr>
        <w:t xml:space="preserve"> </w:t>
      </w:r>
      <w:r w:rsidRPr="00D4309F">
        <w:t>concept</w:t>
      </w:r>
      <w:r w:rsidRPr="00D4309F">
        <w:rPr>
          <w:spacing w:val="-4"/>
        </w:rPr>
        <w:t xml:space="preserve"> </w:t>
      </w:r>
      <w:r w:rsidRPr="00D4309F">
        <w:t>level,</w:t>
      </w:r>
      <w:r w:rsidRPr="00D4309F">
        <w:rPr>
          <w:spacing w:val="-3"/>
        </w:rPr>
        <w:t xml:space="preserve"> </w:t>
      </w:r>
      <w:r w:rsidRPr="00D4309F">
        <w:t>cost</w:t>
      </w:r>
      <w:r w:rsidRPr="00D4309F">
        <w:rPr>
          <w:spacing w:val="-6"/>
        </w:rPr>
        <w:t xml:space="preserve"> </w:t>
      </w:r>
      <w:r w:rsidRPr="00D4309F">
        <w:t>estimates</w:t>
      </w:r>
      <w:r w:rsidRPr="00D4309F">
        <w:rPr>
          <w:spacing w:val="-2"/>
        </w:rPr>
        <w:t xml:space="preserve"> </w:t>
      </w:r>
      <w:r w:rsidRPr="00D4309F">
        <w:t>carry</w:t>
      </w:r>
      <w:r w:rsidRPr="00D4309F">
        <w:rPr>
          <w:spacing w:val="-3"/>
        </w:rPr>
        <w:t xml:space="preserve"> </w:t>
      </w:r>
      <w:r w:rsidRPr="00D4309F">
        <w:t>very</w:t>
      </w:r>
      <w:r w:rsidRPr="00D4309F">
        <w:rPr>
          <w:spacing w:val="-2"/>
        </w:rPr>
        <w:t xml:space="preserve"> </w:t>
      </w:r>
      <w:r w:rsidRPr="00D4309F">
        <w:t>high</w:t>
      </w:r>
      <w:r w:rsidRPr="00D4309F">
        <w:rPr>
          <w:spacing w:val="-4"/>
        </w:rPr>
        <w:t xml:space="preserve"> </w:t>
      </w:r>
      <w:r w:rsidRPr="00D4309F">
        <w:rPr>
          <w:spacing w:val="-2"/>
        </w:rPr>
        <w:t>uncertainty.</w:t>
      </w:r>
    </w:p>
    <w:p w14:paraId="2BC232C7" w14:textId="77777777" w:rsidR="00725977" w:rsidRPr="00D4309F" w:rsidRDefault="00725977" w:rsidP="00725977">
      <w:pPr>
        <w:pStyle w:val="BodyText"/>
      </w:pPr>
      <w:r w:rsidRPr="00D4309F">
        <w:t>The</w:t>
      </w:r>
      <w:r w:rsidRPr="00D4309F">
        <w:rPr>
          <w:spacing w:val="-2"/>
        </w:rPr>
        <w:t xml:space="preserve"> </w:t>
      </w:r>
      <w:r w:rsidRPr="00D4309F">
        <w:t>extent</w:t>
      </w:r>
      <w:r w:rsidRPr="00D4309F">
        <w:rPr>
          <w:spacing w:val="-2"/>
        </w:rPr>
        <w:t xml:space="preserve"> </w:t>
      </w:r>
      <w:r w:rsidRPr="00D4309F">
        <w:t>of</w:t>
      </w:r>
      <w:r w:rsidRPr="00D4309F">
        <w:rPr>
          <w:spacing w:val="-2"/>
        </w:rPr>
        <w:t xml:space="preserve"> </w:t>
      </w:r>
      <w:r w:rsidRPr="00D4309F">
        <w:t>required</w:t>
      </w:r>
      <w:r w:rsidRPr="00D4309F">
        <w:rPr>
          <w:spacing w:val="-2"/>
        </w:rPr>
        <w:t xml:space="preserve"> </w:t>
      </w:r>
      <w:r w:rsidRPr="00D4309F">
        <w:t>rock</w:t>
      </w:r>
      <w:r w:rsidRPr="00D4309F">
        <w:rPr>
          <w:spacing w:val="-2"/>
        </w:rPr>
        <w:t xml:space="preserve"> </w:t>
      </w:r>
      <w:r w:rsidRPr="00D4309F">
        <w:t>excavation,</w:t>
      </w:r>
      <w:r w:rsidRPr="00D4309F">
        <w:rPr>
          <w:spacing w:val="-2"/>
        </w:rPr>
        <w:t xml:space="preserve"> </w:t>
      </w:r>
      <w:r w:rsidRPr="00D4309F">
        <w:t>in</w:t>
      </w:r>
      <w:r w:rsidRPr="00D4309F">
        <w:rPr>
          <w:spacing w:val="-3"/>
        </w:rPr>
        <w:t xml:space="preserve"> </w:t>
      </w:r>
      <w:r w:rsidRPr="00D4309F">
        <w:t>particular,</w:t>
      </w:r>
      <w:r w:rsidRPr="00D4309F">
        <w:rPr>
          <w:spacing w:val="-2"/>
        </w:rPr>
        <w:t xml:space="preserve"> </w:t>
      </w:r>
      <w:r w:rsidRPr="00D4309F">
        <w:t>is</w:t>
      </w:r>
      <w:r w:rsidRPr="00D4309F">
        <w:rPr>
          <w:spacing w:val="-2"/>
        </w:rPr>
        <w:t xml:space="preserve"> </w:t>
      </w:r>
      <w:r w:rsidRPr="00D4309F">
        <w:t>unknown</w:t>
      </w:r>
      <w:r w:rsidRPr="00D4309F">
        <w:rPr>
          <w:spacing w:val="-2"/>
        </w:rPr>
        <w:t xml:space="preserve"> </w:t>
      </w:r>
      <w:r w:rsidRPr="00D4309F">
        <w:t>and</w:t>
      </w:r>
      <w:r w:rsidRPr="00D4309F">
        <w:rPr>
          <w:spacing w:val="-3"/>
        </w:rPr>
        <w:t xml:space="preserve"> </w:t>
      </w:r>
      <w:r w:rsidRPr="00D4309F">
        <w:t>could</w:t>
      </w:r>
      <w:r w:rsidRPr="00D4309F">
        <w:rPr>
          <w:spacing w:val="-3"/>
        </w:rPr>
        <w:t xml:space="preserve"> </w:t>
      </w:r>
      <w:r w:rsidRPr="00D4309F">
        <w:t>significantly</w:t>
      </w:r>
      <w:r w:rsidRPr="00D4309F">
        <w:rPr>
          <w:spacing w:val="-1"/>
        </w:rPr>
        <w:t xml:space="preserve"> </w:t>
      </w:r>
      <w:r w:rsidRPr="00D4309F">
        <w:t>escalate</w:t>
      </w:r>
      <w:r w:rsidRPr="00D4309F">
        <w:rPr>
          <w:spacing w:val="-3"/>
        </w:rPr>
        <w:t xml:space="preserve"> </w:t>
      </w:r>
      <w:r w:rsidRPr="00D4309F">
        <w:t>capital</w:t>
      </w:r>
      <w:r w:rsidRPr="00D4309F">
        <w:rPr>
          <w:spacing w:val="-2"/>
        </w:rPr>
        <w:t xml:space="preserve"> </w:t>
      </w:r>
      <w:r w:rsidRPr="00D4309F">
        <w:t>cost once geotechnical conditions are confirmed.</w:t>
      </w:r>
    </w:p>
    <w:p w14:paraId="5422B90F" w14:textId="77777777" w:rsidR="00725977" w:rsidRPr="00D4309F" w:rsidRDefault="00725977" w:rsidP="00725977">
      <w:pPr>
        <w:pStyle w:val="BodyText"/>
      </w:pPr>
      <w:r w:rsidRPr="00D4309F">
        <w:t>No</w:t>
      </w:r>
      <w:r w:rsidRPr="00D4309F">
        <w:rPr>
          <w:spacing w:val="-3"/>
        </w:rPr>
        <w:t xml:space="preserve"> </w:t>
      </w:r>
      <w:r w:rsidRPr="00D4309F">
        <w:t>new</w:t>
      </w:r>
      <w:r w:rsidRPr="00D4309F">
        <w:rPr>
          <w:spacing w:val="-2"/>
        </w:rPr>
        <w:t xml:space="preserve"> </w:t>
      </w:r>
      <w:r w:rsidRPr="00D4309F">
        <w:t>pumps,</w:t>
      </w:r>
      <w:r w:rsidRPr="00D4309F">
        <w:rPr>
          <w:spacing w:val="-3"/>
        </w:rPr>
        <w:t xml:space="preserve"> </w:t>
      </w:r>
      <w:r w:rsidRPr="00D4309F">
        <w:t>pipelines,</w:t>
      </w:r>
      <w:r w:rsidRPr="00D4309F">
        <w:rPr>
          <w:spacing w:val="-3"/>
        </w:rPr>
        <w:t xml:space="preserve"> </w:t>
      </w:r>
      <w:r w:rsidRPr="00D4309F">
        <w:t>or</w:t>
      </w:r>
      <w:r w:rsidRPr="00D4309F">
        <w:rPr>
          <w:spacing w:val="-2"/>
        </w:rPr>
        <w:t xml:space="preserve"> </w:t>
      </w:r>
      <w:r w:rsidRPr="00D4309F">
        <w:t>mechanical</w:t>
      </w:r>
      <w:r w:rsidRPr="00D4309F">
        <w:rPr>
          <w:spacing w:val="-3"/>
        </w:rPr>
        <w:t xml:space="preserve"> </w:t>
      </w:r>
      <w:r w:rsidRPr="00D4309F">
        <w:t>systems</w:t>
      </w:r>
      <w:r w:rsidRPr="00D4309F">
        <w:rPr>
          <w:spacing w:val="-2"/>
        </w:rPr>
        <w:t xml:space="preserve"> </w:t>
      </w:r>
      <w:r w:rsidRPr="00D4309F">
        <w:t>are</w:t>
      </w:r>
      <w:r w:rsidRPr="00D4309F">
        <w:rPr>
          <w:spacing w:val="-4"/>
        </w:rPr>
        <w:t xml:space="preserve"> </w:t>
      </w:r>
      <w:r w:rsidRPr="00D4309F">
        <w:t>required,</w:t>
      </w:r>
      <w:r w:rsidRPr="00D4309F">
        <w:rPr>
          <w:spacing w:val="-3"/>
        </w:rPr>
        <w:t xml:space="preserve"> </w:t>
      </w:r>
      <w:r w:rsidRPr="00D4309F">
        <w:t>meaning</w:t>
      </w:r>
      <w:r w:rsidRPr="00D4309F">
        <w:rPr>
          <w:spacing w:val="-4"/>
        </w:rPr>
        <w:t xml:space="preserve"> </w:t>
      </w:r>
      <w:r w:rsidRPr="00D4309F">
        <w:t>capital</w:t>
      </w:r>
      <w:r w:rsidRPr="00D4309F">
        <w:rPr>
          <w:spacing w:val="-3"/>
        </w:rPr>
        <w:t xml:space="preserve"> </w:t>
      </w:r>
      <w:r w:rsidRPr="00D4309F">
        <w:t>investment</w:t>
      </w:r>
      <w:r w:rsidRPr="00D4309F">
        <w:rPr>
          <w:spacing w:val="-3"/>
        </w:rPr>
        <w:t xml:space="preserve"> </w:t>
      </w:r>
      <w:r w:rsidRPr="00D4309F">
        <w:t>is</w:t>
      </w:r>
      <w:r w:rsidRPr="00D4309F">
        <w:rPr>
          <w:spacing w:val="-2"/>
        </w:rPr>
        <w:t xml:space="preserve"> </w:t>
      </w:r>
      <w:r w:rsidRPr="00D4309F">
        <w:t>largely confined to breakwater modification and new channel excavation.</w:t>
      </w:r>
    </w:p>
    <w:p w14:paraId="53225A33" w14:textId="77777777" w:rsidR="00725977" w:rsidRDefault="00725977" w:rsidP="00725977">
      <w:pPr>
        <w:pStyle w:val="BodyText"/>
      </w:pPr>
      <w:r w:rsidRPr="00D4309F">
        <w:t>However,</w:t>
      </w:r>
      <w:r w:rsidRPr="00D4309F">
        <w:rPr>
          <w:spacing w:val="-3"/>
        </w:rPr>
        <w:t xml:space="preserve"> </w:t>
      </w:r>
      <w:r w:rsidRPr="00D4309F">
        <w:t>compared</w:t>
      </w:r>
      <w:r w:rsidRPr="00D4309F">
        <w:rPr>
          <w:spacing w:val="-3"/>
        </w:rPr>
        <w:t xml:space="preserve"> </w:t>
      </w:r>
      <w:r w:rsidRPr="00D4309F">
        <w:t>with</w:t>
      </w:r>
      <w:r w:rsidRPr="00D4309F">
        <w:rPr>
          <w:spacing w:val="-4"/>
        </w:rPr>
        <w:t xml:space="preserve"> </w:t>
      </w:r>
      <w:r w:rsidRPr="00D4309F">
        <w:t>other</w:t>
      </w:r>
      <w:r w:rsidRPr="00D4309F">
        <w:rPr>
          <w:spacing w:val="-2"/>
        </w:rPr>
        <w:t xml:space="preserve"> </w:t>
      </w:r>
      <w:r w:rsidRPr="00D4309F">
        <w:t>options,</w:t>
      </w:r>
      <w:r w:rsidRPr="00D4309F">
        <w:rPr>
          <w:spacing w:val="-5"/>
        </w:rPr>
        <w:t xml:space="preserve"> </w:t>
      </w:r>
      <w:r w:rsidRPr="00D4309F">
        <w:t>the</w:t>
      </w:r>
      <w:r w:rsidRPr="00D4309F">
        <w:rPr>
          <w:spacing w:val="-3"/>
        </w:rPr>
        <w:t xml:space="preserve"> </w:t>
      </w:r>
      <w:r w:rsidRPr="00D4309F">
        <w:t>cost</w:t>
      </w:r>
      <w:r w:rsidRPr="00D4309F">
        <w:rPr>
          <w:spacing w:val="-3"/>
        </w:rPr>
        <w:t xml:space="preserve"> </w:t>
      </w:r>
      <w:r w:rsidRPr="00D4309F">
        <w:t>relies</w:t>
      </w:r>
      <w:r w:rsidRPr="00D4309F">
        <w:rPr>
          <w:spacing w:val="-2"/>
        </w:rPr>
        <w:t xml:space="preserve"> </w:t>
      </w:r>
      <w:r w:rsidRPr="00D4309F">
        <w:t>heavily</w:t>
      </w:r>
      <w:r w:rsidRPr="00D4309F">
        <w:rPr>
          <w:spacing w:val="-2"/>
        </w:rPr>
        <w:t xml:space="preserve"> </w:t>
      </w:r>
      <w:r w:rsidRPr="00D4309F">
        <w:t>on</w:t>
      </w:r>
      <w:r w:rsidRPr="00D4309F">
        <w:rPr>
          <w:spacing w:val="-3"/>
        </w:rPr>
        <w:t xml:space="preserve"> </w:t>
      </w:r>
      <w:r w:rsidRPr="00D4309F">
        <w:t>rock</w:t>
      </w:r>
      <w:r w:rsidRPr="00D4309F">
        <w:rPr>
          <w:spacing w:val="-2"/>
        </w:rPr>
        <w:t xml:space="preserve"> </w:t>
      </w:r>
      <w:r w:rsidRPr="00D4309F">
        <w:t>depth,</w:t>
      </w:r>
      <w:r w:rsidRPr="00D4309F">
        <w:rPr>
          <w:spacing w:val="-3"/>
        </w:rPr>
        <w:t xml:space="preserve"> </w:t>
      </w:r>
      <w:r w:rsidRPr="00D4309F">
        <w:t>breakwater</w:t>
      </w:r>
      <w:r w:rsidRPr="00D4309F">
        <w:rPr>
          <w:spacing w:val="-2"/>
        </w:rPr>
        <w:t xml:space="preserve"> </w:t>
      </w:r>
      <w:r w:rsidRPr="00D4309F">
        <w:t>removal</w:t>
      </w:r>
      <w:r w:rsidRPr="00D4309F">
        <w:rPr>
          <w:spacing w:val="-3"/>
        </w:rPr>
        <w:t xml:space="preserve"> </w:t>
      </w:r>
      <w:r w:rsidRPr="00D4309F">
        <w:t>quantities, and entrance stability modelling, none of which are presently defined.</w:t>
      </w:r>
    </w:p>
    <w:p w14:paraId="38352FCE" w14:textId="77777777" w:rsidR="004F3A87" w:rsidRPr="00D4309F" w:rsidRDefault="004F3A87" w:rsidP="00725977">
      <w:pPr>
        <w:pStyle w:val="BodyText"/>
      </w:pPr>
    </w:p>
    <w:p w14:paraId="67EB49FD" w14:textId="77777777" w:rsidR="00725977" w:rsidRPr="00D4309F" w:rsidRDefault="00725977" w:rsidP="00045159">
      <w:pPr>
        <w:pStyle w:val="Heading5-nonumber"/>
      </w:pPr>
      <w:r w:rsidRPr="00D4309F">
        <w:t>Operational</w:t>
      </w:r>
      <w:r w:rsidRPr="00D4309F">
        <w:rPr>
          <w:spacing w:val="-9"/>
        </w:rPr>
        <w:t xml:space="preserve"> </w:t>
      </w:r>
      <w:r w:rsidRPr="00D4309F">
        <w:rPr>
          <w:spacing w:val="-4"/>
        </w:rPr>
        <w:t>Costs</w:t>
      </w:r>
    </w:p>
    <w:p w14:paraId="48826B97" w14:textId="77777777" w:rsidR="00725977" w:rsidRPr="00D4309F" w:rsidRDefault="00725977" w:rsidP="00725977">
      <w:pPr>
        <w:pStyle w:val="BodyText"/>
      </w:pPr>
      <w:r w:rsidRPr="00D4309F">
        <w:t>Operational</w:t>
      </w:r>
      <w:r w:rsidRPr="00D4309F">
        <w:rPr>
          <w:spacing w:val="-4"/>
        </w:rPr>
        <w:t xml:space="preserve"> </w:t>
      </w:r>
      <w:r w:rsidRPr="00D4309F">
        <w:t>costs</w:t>
      </w:r>
      <w:r w:rsidRPr="00D4309F">
        <w:rPr>
          <w:spacing w:val="-2"/>
        </w:rPr>
        <w:t xml:space="preserve"> </w:t>
      </w:r>
      <w:r w:rsidRPr="00D4309F">
        <w:t>for</w:t>
      </w:r>
      <w:r w:rsidRPr="00D4309F">
        <w:rPr>
          <w:spacing w:val="-2"/>
        </w:rPr>
        <w:t xml:space="preserve"> </w:t>
      </w:r>
      <w:r w:rsidRPr="00D4309F">
        <w:t>Option</w:t>
      </w:r>
      <w:r w:rsidRPr="00D4309F">
        <w:rPr>
          <w:spacing w:val="-3"/>
        </w:rPr>
        <w:t xml:space="preserve"> </w:t>
      </w:r>
      <w:r w:rsidRPr="00D4309F">
        <w:t>5B</w:t>
      </w:r>
      <w:r w:rsidRPr="00D4309F">
        <w:rPr>
          <w:spacing w:val="-3"/>
        </w:rPr>
        <w:t xml:space="preserve"> </w:t>
      </w:r>
      <w:r w:rsidRPr="00D4309F">
        <w:t>would</w:t>
      </w:r>
      <w:r w:rsidRPr="00D4309F">
        <w:rPr>
          <w:spacing w:val="-3"/>
        </w:rPr>
        <w:t xml:space="preserve"> </w:t>
      </w:r>
      <w:r w:rsidRPr="00D4309F">
        <w:t>be</w:t>
      </w:r>
      <w:r w:rsidRPr="00D4309F">
        <w:rPr>
          <w:spacing w:val="-4"/>
        </w:rPr>
        <w:t xml:space="preserve"> </w:t>
      </w:r>
      <w:r w:rsidRPr="00D4309F">
        <w:t>similar</w:t>
      </w:r>
      <w:r w:rsidRPr="00D4309F">
        <w:rPr>
          <w:spacing w:val="-2"/>
        </w:rPr>
        <w:t xml:space="preserve"> </w:t>
      </w:r>
      <w:r w:rsidRPr="00D4309F">
        <w:t>to</w:t>
      </w:r>
      <w:r w:rsidRPr="00D4309F">
        <w:rPr>
          <w:spacing w:val="-3"/>
        </w:rPr>
        <w:t xml:space="preserve"> </w:t>
      </w:r>
      <w:r w:rsidRPr="00D4309F">
        <w:t>or</w:t>
      </w:r>
      <w:r w:rsidRPr="00D4309F">
        <w:rPr>
          <w:spacing w:val="-2"/>
        </w:rPr>
        <w:t xml:space="preserve"> </w:t>
      </w:r>
      <w:r w:rsidRPr="00D4309F">
        <w:t>potentially</w:t>
      </w:r>
      <w:r w:rsidRPr="00D4309F">
        <w:rPr>
          <w:spacing w:val="-2"/>
        </w:rPr>
        <w:t xml:space="preserve"> </w:t>
      </w:r>
      <w:r w:rsidRPr="00D4309F">
        <w:t>higher</w:t>
      </w:r>
      <w:r w:rsidRPr="00D4309F">
        <w:rPr>
          <w:spacing w:val="-2"/>
        </w:rPr>
        <w:t xml:space="preserve"> </w:t>
      </w:r>
      <w:r w:rsidRPr="00D4309F">
        <w:t>than</w:t>
      </w:r>
      <w:r w:rsidRPr="00D4309F">
        <w:rPr>
          <w:spacing w:val="-4"/>
        </w:rPr>
        <w:t xml:space="preserve"> </w:t>
      </w:r>
      <w:r w:rsidRPr="00D4309F">
        <w:t>current</w:t>
      </w:r>
      <w:r w:rsidRPr="00D4309F">
        <w:rPr>
          <w:spacing w:val="-3"/>
        </w:rPr>
        <w:t xml:space="preserve"> </w:t>
      </w:r>
      <w:r w:rsidRPr="00D4309F">
        <w:t>Western</w:t>
      </w:r>
      <w:r w:rsidRPr="00D4309F">
        <w:rPr>
          <w:spacing w:val="-4"/>
        </w:rPr>
        <w:t xml:space="preserve"> </w:t>
      </w:r>
      <w:r w:rsidRPr="00D4309F">
        <w:t>Channel maintenance dredging, as the option does not reduce sand supply to the entrance system.</w:t>
      </w:r>
    </w:p>
    <w:p w14:paraId="4E666349" w14:textId="77777777" w:rsidR="00725977" w:rsidRPr="00D4309F" w:rsidRDefault="00725977" w:rsidP="00725977">
      <w:pPr>
        <w:pStyle w:val="BodyText"/>
      </w:pPr>
      <w:r w:rsidRPr="00D4309F">
        <w:lastRenderedPageBreak/>
        <w:t>Key</w:t>
      </w:r>
      <w:r w:rsidRPr="00D4309F">
        <w:rPr>
          <w:spacing w:val="-4"/>
        </w:rPr>
        <w:t xml:space="preserve"> </w:t>
      </w:r>
      <w:r w:rsidRPr="00D4309F">
        <w:t>operational</w:t>
      </w:r>
      <w:r w:rsidRPr="00D4309F">
        <w:rPr>
          <w:spacing w:val="-4"/>
        </w:rPr>
        <w:t xml:space="preserve"> </w:t>
      </w:r>
      <w:r w:rsidRPr="00D4309F">
        <w:t>cost</w:t>
      </w:r>
      <w:r w:rsidRPr="00D4309F">
        <w:rPr>
          <w:spacing w:val="-5"/>
        </w:rPr>
        <w:t xml:space="preserve"> </w:t>
      </w:r>
      <w:r w:rsidRPr="00D4309F">
        <w:t>components</w:t>
      </w:r>
      <w:r w:rsidRPr="00D4309F">
        <w:rPr>
          <w:spacing w:val="-3"/>
        </w:rPr>
        <w:t xml:space="preserve"> </w:t>
      </w:r>
      <w:r w:rsidRPr="00D4309F">
        <w:rPr>
          <w:spacing w:val="-2"/>
        </w:rPr>
        <w:t>include:</w:t>
      </w:r>
    </w:p>
    <w:p w14:paraId="48FBC2C8" w14:textId="77777777" w:rsidR="00725977" w:rsidRPr="00D4309F" w:rsidRDefault="00725977" w:rsidP="00725977">
      <w:pPr>
        <w:pStyle w:val="ListBullet"/>
        <w:widowControl w:val="0"/>
        <w:autoSpaceDE w:val="0"/>
        <w:autoSpaceDN w:val="0"/>
        <w:spacing w:before="60" w:after="60"/>
        <w:ind w:left="862" w:right="45" w:hanging="360"/>
      </w:pPr>
      <w:r w:rsidRPr="00D4309F">
        <w:t>Hydrographic</w:t>
      </w:r>
      <w:r w:rsidRPr="00D4309F">
        <w:rPr>
          <w:spacing w:val="-4"/>
        </w:rPr>
        <w:t xml:space="preserve"> </w:t>
      </w:r>
      <w:r w:rsidRPr="00D4309F">
        <w:t>monitoring</w:t>
      </w:r>
      <w:r w:rsidRPr="00D4309F">
        <w:rPr>
          <w:spacing w:val="-4"/>
        </w:rPr>
        <w:t xml:space="preserve"> </w:t>
      </w:r>
      <w:r w:rsidRPr="00D4309F">
        <w:t>to</w:t>
      </w:r>
      <w:r w:rsidRPr="00D4309F">
        <w:rPr>
          <w:spacing w:val="-5"/>
        </w:rPr>
        <w:t xml:space="preserve"> </w:t>
      </w:r>
      <w:r w:rsidRPr="00D4309F">
        <w:t>track</w:t>
      </w:r>
      <w:r w:rsidRPr="00D4309F">
        <w:rPr>
          <w:spacing w:val="-4"/>
        </w:rPr>
        <w:t xml:space="preserve"> </w:t>
      </w:r>
      <w:r w:rsidRPr="00D4309F">
        <w:t>shoal</w:t>
      </w:r>
      <w:r w:rsidRPr="00D4309F">
        <w:rPr>
          <w:spacing w:val="-4"/>
        </w:rPr>
        <w:t xml:space="preserve"> </w:t>
      </w:r>
      <w:r w:rsidRPr="00D4309F">
        <w:t>movement</w:t>
      </w:r>
      <w:r w:rsidRPr="00D4309F">
        <w:rPr>
          <w:spacing w:val="-5"/>
        </w:rPr>
        <w:t xml:space="preserve"> </w:t>
      </w:r>
      <w:r w:rsidRPr="00D4309F">
        <w:t>and</w:t>
      </w:r>
      <w:r w:rsidRPr="00D4309F">
        <w:rPr>
          <w:spacing w:val="-4"/>
        </w:rPr>
        <w:t xml:space="preserve"> </w:t>
      </w:r>
      <w:r w:rsidRPr="00D4309F">
        <w:rPr>
          <w:spacing w:val="-2"/>
        </w:rPr>
        <w:t>depth.</w:t>
      </w:r>
    </w:p>
    <w:p w14:paraId="7D6C55A2" w14:textId="77777777" w:rsidR="00725977" w:rsidRPr="00D4309F" w:rsidRDefault="00725977" w:rsidP="00725977">
      <w:pPr>
        <w:pStyle w:val="ListBullet"/>
        <w:widowControl w:val="0"/>
        <w:autoSpaceDE w:val="0"/>
        <w:autoSpaceDN w:val="0"/>
        <w:spacing w:before="60" w:after="60"/>
        <w:ind w:left="862" w:right="45" w:hanging="360"/>
      </w:pPr>
      <w:r w:rsidRPr="00D4309F">
        <w:t>Periodic</w:t>
      </w:r>
      <w:r w:rsidRPr="00D4309F">
        <w:rPr>
          <w:spacing w:val="-2"/>
        </w:rPr>
        <w:t xml:space="preserve"> </w:t>
      </w:r>
      <w:r w:rsidRPr="00D4309F">
        <w:t>maintenance</w:t>
      </w:r>
      <w:r w:rsidRPr="00D4309F">
        <w:rPr>
          <w:spacing w:val="-3"/>
        </w:rPr>
        <w:t xml:space="preserve"> </w:t>
      </w:r>
      <w:r w:rsidRPr="00D4309F">
        <w:t>dredging</w:t>
      </w:r>
      <w:r w:rsidRPr="00D4309F">
        <w:rPr>
          <w:spacing w:val="-3"/>
        </w:rPr>
        <w:t xml:space="preserve"> </w:t>
      </w:r>
      <w:r w:rsidRPr="00D4309F">
        <w:t>of</w:t>
      </w:r>
      <w:r w:rsidRPr="00D4309F">
        <w:rPr>
          <w:spacing w:val="-3"/>
        </w:rPr>
        <w:t xml:space="preserve"> </w:t>
      </w:r>
      <w:r w:rsidRPr="00D4309F">
        <w:t>the</w:t>
      </w:r>
      <w:r w:rsidRPr="00D4309F">
        <w:rPr>
          <w:spacing w:val="-3"/>
        </w:rPr>
        <w:t xml:space="preserve"> </w:t>
      </w:r>
      <w:r w:rsidRPr="00D4309F">
        <w:t>new</w:t>
      </w:r>
      <w:r w:rsidRPr="00D4309F">
        <w:rPr>
          <w:spacing w:val="-2"/>
        </w:rPr>
        <w:t xml:space="preserve"> </w:t>
      </w:r>
      <w:r w:rsidRPr="00D4309F">
        <w:t>channel,</w:t>
      </w:r>
      <w:r w:rsidRPr="00D4309F">
        <w:rPr>
          <w:spacing w:val="-3"/>
        </w:rPr>
        <w:t xml:space="preserve"> </w:t>
      </w:r>
      <w:r w:rsidRPr="00D4309F">
        <w:t>expected</w:t>
      </w:r>
      <w:r w:rsidRPr="00D4309F">
        <w:rPr>
          <w:spacing w:val="-3"/>
        </w:rPr>
        <w:t xml:space="preserve"> </w:t>
      </w:r>
      <w:r w:rsidRPr="00D4309F">
        <w:t>at</w:t>
      </w:r>
      <w:r w:rsidRPr="00D4309F">
        <w:rPr>
          <w:spacing w:val="-3"/>
        </w:rPr>
        <w:t xml:space="preserve"> </w:t>
      </w:r>
      <w:r w:rsidRPr="00D4309F">
        <w:t>frequencies</w:t>
      </w:r>
      <w:r w:rsidRPr="00D4309F">
        <w:rPr>
          <w:spacing w:val="-2"/>
        </w:rPr>
        <w:t xml:space="preserve"> </w:t>
      </w:r>
      <w:r w:rsidRPr="00D4309F">
        <w:t>comparable</w:t>
      </w:r>
      <w:r w:rsidRPr="00D4309F">
        <w:rPr>
          <w:spacing w:val="-3"/>
        </w:rPr>
        <w:t xml:space="preserve"> </w:t>
      </w:r>
      <w:r w:rsidRPr="00D4309F">
        <w:t>to</w:t>
      </w:r>
      <w:r w:rsidRPr="00D4309F">
        <w:rPr>
          <w:spacing w:val="-3"/>
        </w:rPr>
        <w:t xml:space="preserve"> </w:t>
      </w:r>
      <w:r w:rsidRPr="00D4309F">
        <w:t>the</w:t>
      </w:r>
      <w:r w:rsidRPr="00D4309F">
        <w:rPr>
          <w:spacing w:val="-4"/>
        </w:rPr>
        <w:t xml:space="preserve"> </w:t>
      </w:r>
      <w:r w:rsidRPr="00D4309F">
        <w:t>current western channel trial.</w:t>
      </w:r>
    </w:p>
    <w:p w14:paraId="401E2608" w14:textId="77777777" w:rsidR="00725977" w:rsidRPr="00D4309F" w:rsidRDefault="00725977" w:rsidP="00725977">
      <w:pPr>
        <w:pStyle w:val="ListBullet"/>
        <w:widowControl w:val="0"/>
        <w:autoSpaceDE w:val="0"/>
        <w:autoSpaceDN w:val="0"/>
        <w:spacing w:before="60" w:after="60"/>
        <w:ind w:left="862" w:right="45" w:hanging="360"/>
      </w:pPr>
      <w:r w:rsidRPr="00D4309F">
        <w:t>Sand</w:t>
      </w:r>
      <w:r w:rsidRPr="00D4309F">
        <w:rPr>
          <w:spacing w:val="-6"/>
        </w:rPr>
        <w:t xml:space="preserve"> </w:t>
      </w:r>
      <w:r w:rsidRPr="00D4309F">
        <w:t>placement</w:t>
      </w:r>
      <w:r w:rsidRPr="00D4309F">
        <w:rPr>
          <w:spacing w:val="-5"/>
        </w:rPr>
        <w:t xml:space="preserve"> </w:t>
      </w:r>
      <w:r w:rsidRPr="00D4309F">
        <w:t>and</w:t>
      </w:r>
      <w:r w:rsidRPr="00D4309F">
        <w:rPr>
          <w:spacing w:val="-5"/>
        </w:rPr>
        <w:t xml:space="preserve"> </w:t>
      </w:r>
      <w:r w:rsidRPr="00D4309F">
        <w:t>associated</w:t>
      </w:r>
      <w:r w:rsidRPr="00D4309F">
        <w:rPr>
          <w:spacing w:val="-5"/>
        </w:rPr>
        <w:t xml:space="preserve"> </w:t>
      </w:r>
      <w:r w:rsidRPr="00D4309F">
        <w:t>environmental</w:t>
      </w:r>
      <w:r w:rsidRPr="00D4309F">
        <w:rPr>
          <w:spacing w:val="-5"/>
        </w:rPr>
        <w:t xml:space="preserve"> </w:t>
      </w:r>
      <w:r w:rsidRPr="00D4309F">
        <w:rPr>
          <w:spacing w:val="-2"/>
        </w:rPr>
        <w:t>management.</w:t>
      </w:r>
    </w:p>
    <w:p w14:paraId="5FA5D63F" w14:textId="77777777" w:rsidR="00725977" w:rsidRPr="00D4309F" w:rsidRDefault="00725977" w:rsidP="00725977">
      <w:pPr>
        <w:pStyle w:val="ListBullet"/>
        <w:widowControl w:val="0"/>
        <w:autoSpaceDE w:val="0"/>
        <w:autoSpaceDN w:val="0"/>
        <w:spacing w:before="60" w:after="60"/>
        <w:ind w:left="862" w:right="45" w:hanging="360"/>
      </w:pPr>
      <w:r w:rsidRPr="00D4309F">
        <w:t>Potentially</w:t>
      </w:r>
      <w:r w:rsidRPr="00D4309F">
        <w:rPr>
          <w:spacing w:val="-2"/>
        </w:rPr>
        <w:t xml:space="preserve"> </w:t>
      </w:r>
      <w:r w:rsidRPr="00D4309F">
        <w:t>increased</w:t>
      </w:r>
      <w:r w:rsidRPr="00D4309F">
        <w:rPr>
          <w:spacing w:val="-3"/>
        </w:rPr>
        <w:t xml:space="preserve"> </w:t>
      </w:r>
      <w:r w:rsidRPr="00D4309F">
        <w:t>dredging</w:t>
      </w:r>
      <w:r w:rsidRPr="00D4309F">
        <w:rPr>
          <w:spacing w:val="-3"/>
        </w:rPr>
        <w:t xml:space="preserve"> </w:t>
      </w:r>
      <w:r w:rsidRPr="00D4309F">
        <w:t>demand</w:t>
      </w:r>
      <w:r w:rsidRPr="00D4309F">
        <w:rPr>
          <w:spacing w:val="-4"/>
        </w:rPr>
        <w:t xml:space="preserve"> </w:t>
      </w:r>
      <w:r w:rsidRPr="00D4309F">
        <w:t>if</w:t>
      </w:r>
      <w:r w:rsidRPr="00D4309F">
        <w:rPr>
          <w:spacing w:val="-3"/>
        </w:rPr>
        <w:t xml:space="preserve"> </w:t>
      </w:r>
      <w:r w:rsidRPr="00D4309F">
        <w:t>hydrodynamic</w:t>
      </w:r>
      <w:r w:rsidRPr="00D4309F">
        <w:rPr>
          <w:spacing w:val="-2"/>
        </w:rPr>
        <w:t xml:space="preserve"> </w:t>
      </w:r>
      <w:r w:rsidRPr="00D4309F">
        <w:t>changes</w:t>
      </w:r>
      <w:r w:rsidRPr="00D4309F">
        <w:rPr>
          <w:spacing w:val="-3"/>
        </w:rPr>
        <w:t xml:space="preserve"> </w:t>
      </w:r>
      <w:r w:rsidRPr="00D4309F">
        <w:t>associated</w:t>
      </w:r>
      <w:r w:rsidRPr="00D4309F">
        <w:rPr>
          <w:spacing w:val="-4"/>
        </w:rPr>
        <w:t xml:space="preserve"> </w:t>
      </w:r>
      <w:r w:rsidRPr="00D4309F">
        <w:t>with</w:t>
      </w:r>
      <w:r w:rsidRPr="00D4309F">
        <w:rPr>
          <w:spacing w:val="-3"/>
        </w:rPr>
        <w:t xml:space="preserve"> </w:t>
      </w:r>
      <w:r w:rsidRPr="00D4309F">
        <w:t>shortening</w:t>
      </w:r>
      <w:r w:rsidRPr="00D4309F">
        <w:rPr>
          <w:spacing w:val="-4"/>
        </w:rPr>
        <w:t xml:space="preserve"> </w:t>
      </w:r>
      <w:r w:rsidRPr="00D4309F">
        <w:t>the</w:t>
      </w:r>
      <w:r w:rsidRPr="00D4309F">
        <w:rPr>
          <w:spacing w:val="-3"/>
        </w:rPr>
        <w:t xml:space="preserve"> </w:t>
      </w:r>
      <w:r w:rsidRPr="00D4309F">
        <w:t>western wall accelerate shoaling within the new alignment.</w:t>
      </w:r>
    </w:p>
    <w:p w14:paraId="78192AD1" w14:textId="77777777" w:rsidR="00725977" w:rsidRPr="00D4309F" w:rsidRDefault="00725977" w:rsidP="00725977">
      <w:pPr>
        <w:pStyle w:val="BodyText"/>
      </w:pPr>
      <w:r w:rsidRPr="00D4309F">
        <w:t>Because</w:t>
      </w:r>
      <w:r w:rsidRPr="00D4309F">
        <w:rPr>
          <w:spacing w:val="-3"/>
        </w:rPr>
        <w:t xml:space="preserve"> </w:t>
      </w:r>
      <w:r w:rsidRPr="00D4309F">
        <w:t>the</w:t>
      </w:r>
      <w:r w:rsidRPr="00D4309F">
        <w:rPr>
          <w:spacing w:val="-4"/>
        </w:rPr>
        <w:t xml:space="preserve"> </w:t>
      </w:r>
      <w:r w:rsidRPr="00D4309F">
        <w:t>option</w:t>
      </w:r>
      <w:r w:rsidRPr="00D4309F">
        <w:rPr>
          <w:spacing w:val="-3"/>
        </w:rPr>
        <w:t xml:space="preserve"> </w:t>
      </w:r>
      <w:r w:rsidRPr="00D4309F">
        <w:t>does</w:t>
      </w:r>
      <w:r w:rsidRPr="00D4309F">
        <w:rPr>
          <w:spacing w:val="-2"/>
        </w:rPr>
        <w:t xml:space="preserve"> </w:t>
      </w:r>
      <w:r w:rsidRPr="00D4309F">
        <w:t>not</w:t>
      </w:r>
      <w:r w:rsidRPr="00D4309F">
        <w:rPr>
          <w:spacing w:val="-3"/>
        </w:rPr>
        <w:t xml:space="preserve"> </w:t>
      </w:r>
      <w:r w:rsidRPr="00D4309F">
        <w:t>control</w:t>
      </w:r>
      <w:r w:rsidRPr="00D4309F">
        <w:rPr>
          <w:spacing w:val="-3"/>
        </w:rPr>
        <w:t xml:space="preserve"> </w:t>
      </w:r>
      <w:r w:rsidRPr="00D4309F">
        <w:t>or</w:t>
      </w:r>
      <w:r w:rsidRPr="00D4309F">
        <w:rPr>
          <w:spacing w:val="-2"/>
        </w:rPr>
        <w:t xml:space="preserve"> </w:t>
      </w:r>
      <w:r w:rsidRPr="00D4309F">
        <w:t>reduce</w:t>
      </w:r>
      <w:r w:rsidRPr="00D4309F">
        <w:rPr>
          <w:spacing w:val="-3"/>
        </w:rPr>
        <w:t xml:space="preserve"> </w:t>
      </w:r>
      <w:r w:rsidRPr="00D4309F">
        <w:t>the</w:t>
      </w:r>
      <w:r w:rsidRPr="00D4309F">
        <w:rPr>
          <w:spacing w:val="-3"/>
        </w:rPr>
        <w:t xml:space="preserve"> </w:t>
      </w:r>
      <w:r w:rsidRPr="00D4309F">
        <w:t>volume</w:t>
      </w:r>
      <w:r w:rsidRPr="00D4309F">
        <w:rPr>
          <w:spacing w:val="-3"/>
        </w:rPr>
        <w:t xml:space="preserve"> </w:t>
      </w:r>
      <w:r w:rsidRPr="00D4309F">
        <w:t>of</w:t>
      </w:r>
      <w:r w:rsidRPr="00D4309F">
        <w:rPr>
          <w:spacing w:val="-3"/>
        </w:rPr>
        <w:t xml:space="preserve"> </w:t>
      </w:r>
      <w:r w:rsidRPr="00D4309F">
        <w:t>sand</w:t>
      </w:r>
      <w:r w:rsidRPr="00D4309F">
        <w:rPr>
          <w:spacing w:val="-3"/>
        </w:rPr>
        <w:t xml:space="preserve"> </w:t>
      </w:r>
      <w:r w:rsidRPr="00D4309F">
        <w:t>entering</w:t>
      </w:r>
      <w:r w:rsidRPr="00D4309F">
        <w:rPr>
          <w:spacing w:val="-3"/>
        </w:rPr>
        <w:t xml:space="preserve"> </w:t>
      </w:r>
      <w:r w:rsidRPr="00D4309F">
        <w:t>the</w:t>
      </w:r>
      <w:r w:rsidRPr="00D4309F">
        <w:rPr>
          <w:spacing w:val="-3"/>
        </w:rPr>
        <w:t xml:space="preserve"> </w:t>
      </w:r>
      <w:r w:rsidRPr="00D4309F">
        <w:t>entrance</w:t>
      </w:r>
      <w:r w:rsidRPr="00D4309F">
        <w:rPr>
          <w:spacing w:val="-3"/>
        </w:rPr>
        <w:t xml:space="preserve"> </w:t>
      </w:r>
      <w:r w:rsidRPr="00D4309F">
        <w:t>system,</w:t>
      </w:r>
      <w:r w:rsidRPr="00D4309F">
        <w:rPr>
          <w:spacing w:val="-3"/>
        </w:rPr>
        <w:t xml:space="preserve"> </w:t>
      </w:r>
      <w:r w:rsidRPr="00D4309F">
        <w:t>operational costs remain highly dependent on storm-driven shoaling events.</w:t>
      </w:r>
    </w:p>
    <w:p w14:paraId="788C7E65" w14:textId="77777777" w:rsidR="00725977" w:rsidRPr="00D4309F" w:rsidRDefault="00725977" w:rsidP="00725977">
      <w:pPr>
        <w:pStyle w:val="BodyText"/>
      </w:pPr>
      <w:r w:rsidRPr="00D4309F">
        <w:t>Shortening</w:t>
      </w:r>
      <w:r w:rsidRPr="00D4309F">
        <w:rPr>
          <w:spacing w:val="-3"/>
        </w:rPr>
        <w:t xml:space="preserve"> </w:t>
      </w:r>
      <w:r w:rsidRPr="00D4309F">
        <w:t>the</w:t>
      </w:r>
      <w:r w:rsidRPr="00D4309F">
        <w:rPr>
          <w:spacing w:val="-3"/>
        </w:rPr>
        <w:t xml:space="preserve"> </w:t>
      </w:r>
      <w:r w:rsidRPr="00D4309F">
        <w:t>western</w:t>
      </w:r>
      <w:r w:rsidRPr="00D4309F">
        <w:rPr>
          <w:spacing w:val="-4"/>
        </w:rPr>
        <w:t xml:space="preserve"> </w:t>
      </w:r>
      <w:r w:rsidRPr="00D4309F">
        <w:t>wall</w:t>
      </w:r>
      <w:r w:rsidRPr="00D4309F">
        <w:rPr>
          <w:spacing w:val="-3"/>
        </w:rPr>
        <w:t xml:space="preserve"> </w:t>
      </w:r>
      <w:r w:rsidRPr="00D4309F">
        <w:t>may</w:t>
      </w:r>
      <w:r w:rsidRPr="00D4309F">
        <w:rPr>
          <w:spacing w:val="-2"/>
        </w:rPr>
        <w:t xml:space="preserve"> </w:t>
      </w:r>
      <w:r w:rsidRPr="00D4309F">
        <w:t>further</w:t>
      </w:r>
      <w:r w:rsidRPr="00D4309F">
        <w:rPr>
          <w:spacing w:val="-2"/>
        </w:rPr>
        <w:t xml:space="preserve"> </w:t>
      </w:r>
      <w:r w:rsidRPr="00D4309F">
        <w:t>increase</w:t>
      </w:r>
      <w:r w:rsidRPr="00D4309F">
        <w:rPr>
          <w:spacing w:val="-3"/>
        </w:rPr>
        <w:t xml:space="preserve"> </w:t>
      </w:r>
      <w:r w:rsidRPr="00D4309F">
        <w:t>uncertainty,</w:t>
      </w:r>
      <w:r w:rsidRPr="00D4309F">
        <w:rPr>
          <w:spacing w:val="-3"/>
        </w:rPr>
        <w:t xml:space="preserve"> </w:t>
      </w:r>
      <w:r w:rsidRPr="00D4309F">
        <w:t>as</w:t>
      </w:r>
      <w:r w:rsidRPr="00D4309F">
        <w:rPr>
          <w:spacing w:val="-2"/>
        </w:rPr>
        <w:t xml:space="preserve"> </w:t>
      </w:r>
      <w:r w:rsidRPr="00D4309F">
        <w:t>the</w:t>
      </w:r>
      <w:r w:rsidRPr="00D4309F">
        <w:rPr>
          <w:spacing w:val="-4"/>
        </w:rPr>
        <w:t xml:space="preserve"> </w:t>
      </w:r>
      <w:r w:rsidRPr="00D4309F">
        <w:t>modified</w:t>
      </w:r>
      <w:r w:rsidRPr="00D4309F">
        <w:rPr>
          <w:spacing w:val="-3"/>
        </w:rPr>
        <w:t xml:space="preserve"> </w:t>
      </w:r>
      <w:r w:rsidRPr="00D4309F">
        <w:t>hydrodynamics</w:t>
      </w:r>
      <w:r w:rsidRPr="00D4309F">
        <w:rPr>
          <w:spacing w:val="-2"/>
        </w:rPr>
        <w:t xml:space="preserve"> </w:t>
      </w:r>
      <w:r w:rsidRPr="00D4309F">
        <w:t>could</w:t>
      </w:r>
      <w:r w:rsidRPr="00D4309F">
        <w:rPr>
          <w:spacing w:val="-3"/>
        </w:rPr>
        <w:t xml:space="preserve"> </w:t>
      </w:r>
      <w:r w:rsidRPr="00D4309F">
        <w:t>draw</w:t>
      </w:r>
      <w:r w:rsidRPr="00D4309F">
        <w:rPr>
          <w:spacing w:val="-2"/>
        </w:rPr>
        <w:t xml:space="preserve"> </w:t>
      </w:r>
      <w:r w:rsidRPr="00D4309F">
        <w:t>the main shoal zone closer to the new channel, reducing the period between maintenance campaigns.</w:t>
      </w:r>
    </w:p>
    <w:p w14:paraId="40D9ED3D" w14:textId="77777777" w:rsidR="00725977" w:rsidRPr="00D4309F" w:rsidRDefault="00725977" w:rsidP="00725977">
      <w:pPr>
        <w:pStyle w:val="BodyText"/>
      </w:pPr>
      <w:r w:rsidRPr="00D4309F">
        <w:t>Operational</w:t>
      </w:r>
      <w:r w:rsidRPr="00D4309F">
        <w:rPr>
          <w:spacing w:val="-4"/>
        </w:rPr>
        <w:t xml:space="preserve"> </w:t>
      </w:r>
      <w:r w:rsidRPr="00D4309F">
        <w:t>works</w:t>
      </w:r>
      <w:r w:rsidRPr="00D4309F">
        <w:rPr>
          <w:spacing w:val="-2"/>
        </w:rPr>
        <w:t xml:space="preserve"> </w:t>
      </w:r>
      <w:r w:rsidRPr="00D4309F">
        <w:t>remain</w:t>
      </w:r>
      <w:r w:rsidRPr="00D4309F">
        <w:rPr>
          <w:spacing w:val="-4"/>
        </w:rPr>
        <w:t xml:space="preserve"> </w:t>
      </w:r>
      <w:r w:rsidRPr="00D4309F">
        <w:t>fully</w:t>
      </w:r>
      <w:r w:rsidRPr="00D4309F">
        <w:rPr>
          <w:spacing w:val="-2"/>
        </w:rPr>
        <w:t xml:space="preserve"> </w:t>
      </w:r>
      <w:r w:rsidRPr="00D4309F">
        <w:t>reliant</w:t>
      </w:r>
      <w:r w:rsidRPr="00D4309F">
        <w:rPr>
          <w:spacing w:val="-3"/>
        </w:rPr>
        <w:t xml:space="preserve"> </w:t>
      </w:r>
      <w:r w:rsidRPr="00D4309F">
        <w:t>on</w:t>
      </w:r>
      <w:r w:rsidRPr="00D4309F">
        <w:rPr>
          <w:spacing w:val="-3"/>
        </w:rPr>
        <w:t xml:space="preserve"> </w:t>
      </w:r>
      <w:r w:rsidRPr="00D4309F">
        <w:t>dredging,</w:t>
      </w:r>
      <w:r w:rsidRPr="00D4309F">
        <w:rPr>
          <w:spacing w:val="-3"/>
        </w:rPr>
        <w:t xml:space="preserve"> </w:t>
      </w:r>
      <w:r w:rsidRPr="00D4309F">
        <w:t>with</w:t>
      </w:r>
      <w:r w:rsidRPr="00D4309F">
        <w:rPr>
          <w:spacing w:val="-3"/>
        </w:rPr>
        <w:t xml:space="preserve"> </w:t>
      </w:r>
      <w:r w:rsidRPr="00D4309F">
        <w:t>little</w:t>
      </w:r>
      <w:r w:rsidRPr="00D4309F">
        <w:rPr>
          <w:spacing w:val="-3"/>
        </w:rPr>
        <w:t xml:space="preserve"> </w:t>
      </w:r>
      <w:r w:rsidRPr="00D4309F">
        <w:t>to</w:t>
      </w:r>
      <w:r w:rsidRPr="00D4309F">
        <w:rPr>
          <w:spacing w:val="-3"/>
        </w:rPr>
        <w:t xml:space="preserve"> </w:t>
      </w:r>
      <w:r w:rsidRPr="00D4309F">
        <w:t>no</w:t>
      </w:r>
      <w:r w:rsidRPr="00D4309F">
        <w:rPr>
          <w:spacing w:val="-1"/>
        </w:rPr>
        <w:t xml:space="preserve"> </w:t>
      </w:r>
      <w:r w:rsidRPr="00D4309F">
        <w:t>efficiency</w:t>
      </w:r>
      <w:r w:rsidRPr="00D4309F">
        <w:rPr>
          <w:spacing w:val="-2"/>
        </w:rPr>
        <w:t xml:space="preserve"> </w:t>
      </w:r>
      <w:r w:rsidRPr="00D4309F">
        <w:t>gain</w:t>
      </w:r>
      <w:r w:rsidRPr="00D4309F">
        <w:rPr>
          <w:spacing w:val="-3"/>
        </w:rPr>
        <w:t xml:space="preserve"> </w:t>
      </w:r>
      <w:r w:rsidRPr="00D4309F">
        <w:t>compared</w:t>
      </w:r>
      <w:r w:rsidRPr="00D4309F">
        <w:rPr>
          <w:spacing w:val="-4"/>
        </w:rPr>
        <w:t xml:space="preserve"> </w:t>
      </w:r>
      <w:r w:rsidRPr="00D4309F">
        <w:t>with</w:t>
      </w:r>
      <w:r w:rsidRPr="00D4309F">
        <w:rPr>
          <w:spacing w:val="-3"/>
        </w:rPr>
        <w:t xml:space="preserve"> </w:t>
      </w:r>
      <w:r w:rsidRPr="00D4309F">
        <w:t>the</w:t>
      </w:r>
      <w:r w:rsidRPr="00D4309F">
        <w:rPr>
          <w:spacing w:val="-3"/>
        </w:rPr>
        <w:t xml:space="preserve"> </w:t>
      </w:r>
      <w:r w:rsidRPr="00D4309F">
        <w:t>current status quo.</w:t>
      </w:r>
    </w:p>
    <w:p w14:paraId="036F2371" w14:textId="77777777" w:rsidR="00725977" w:rsidRPr="00D4309F" w:rsidRDefault="00725977" w:rsidP="00725977">
      <w:pPr>
        <w:pStyle w:val="BodyText"/>
        <w:sectPr w:rsidR="00725977" w:rsidRPr="00D4309F" w:rsidSect="00405D4F">
          <w:headerReference w:type="default" r:id="rId157"/>
          <w:footerReference w:type="default" r:id="rId158"/>
          <w:pgSz w:w="11910" w:h="16840"/>
          <w:pgMar w:top="1418" w:right="1134" w:bottom="1418" w:left="1134" w:header="916" w:footer="980" w:gutter="0"/>
          <w:cols w:space="720"/>
        </w:sectPr>
      </w:pPr>
    </w:p>
    <w:p w14:paraId="59AF5734" w14:textId="3F6E5F3A" w:rsidR="00725977" w:rsidRPr="00D4309F" w:rsidRDefault="00725977" w:rsidP="00785CC3">
      <w:pPr>
        <w:pStyle w:val="Heading2"/>
      </w:pPr>
      <w:bookmarkStart w:id="563" w:name="_bookmark205"/>
      <w:bookmarkStart w:id="564" w:name="_Toc216699522"/>
      <w:bookmarkEnd w:id="563"/>
      <w:r w:rsidRPr="00D4309F">
        <w:lastRenderedPageBreak/>
        <w:t>Multi-criteria</w:t>
      </w:r>
      <w:r w:rsidRPr="00D4309F">
        <w:rPr>
          <w:spacing w:val="-13"/>
        </w:rPr>
        <w:t xml:space="preserve"> </w:t>
      </w:r>
      <w:r w:rsidRPr="00D4309F">
        <w:t>analysis</w:t>
      </w:r>
      <w:r w:rsidRPr="00D4309F">
        <w:rPr>
          <w:spacing w:val="-12"/>
        </w:rPr>
        <w:t xml:space="preserve"> </w:t>
      </w:r>
      <w:r w:rsidRPr="00D4309F">
        <w:t>for</w:t>
      </w:r>
      <w:r w:rsidRPr="00D4309F">
        <w:rPr>
          <w:spacing w:val="-13"/>
        </w:rPr>
        <w:t xml:space="preserve"> </w:t>
      </w:r>
      <w:r w:rsidRPr="00D4309F">
        <w:t>Option</w:t>
      </w:r>
      <w:r w:rsidRPr="00D4309F">
        <w:rPr>
          <w:spacing w:val="-13"/>
        </w:rPr>
        <w:t xml:space="preserve"> </w:t>
      </w:r>
      <w:r w:rsidRPr="00D4309F">
        <w:rPr>
          <w:spacing w:val="-10"/>
        </w:rPr>
        <w:t>5</w:t>
      </w:r>
      <w:bookmarkEnd w:id="564"/>
    </w:p>
    <w:p w14:paraId="36B145BA" w14:textId="77777777" w:rsidR="00725977" w:rsidRDefault="00725977" w:rsidP="00725977">
      <w:pPr>
        <w:pStyle w:val="BodyText"/>
        <w:rPr>
          <w:spacing w:val="-2"/>
        </w:rPr>
      </w:pPr>
      <w:r w:rsidRPr="00D4309F">
        <w:t>The</w:t>
      </w:r>
      <w:r w:rsidRPr="00D4309F">
        <w:rPr>
          <w:spacing w:val="-4"/>
        </w:rPr>
        <w:t xml:space="preserve"> </w:t>
      </w:r>
      <w:r w:rsidRPr="00D4309F">
        <w:t>MCA</w:t>
      </w:r>
      <w:r w:rsidRPr="00D4309F">
        <w:rPr>
          <w:spacing w:val="-4"/>
        </w:rPr>
        <w:t xml:space="preserve"> </w:t>
      </w:r>
      <w:r w:rsidRPr="00D4309F">
        <w:t>scoring</w:t>
      </w:r>
      <w:r w:rsidRPr="00D4309F">
        <w:rPr>
          <w:spacing w:val="-3"/>
        </w:rPr>
        <w:t xml:space="preserve"> </w:t>
      </w:r>
      <w:r w:rsidRPr="00D4309F">
        <w:t>legend</w:t>
      </w:r>
      <w:r w:rsidRPr="00D4309F">
        <w:rPr>
          <w:spacing w:val="-3"/>
        </w:rPr>
        <w:t xml:space="preserve"> </w:t>
      </w:r>
      <w:r w:rsidRPr="00D4309F">
        <w:rPr>
          <w:spacing w:val="-2"/>
        </w:rPr>
        <w:t>follows:</w:t>
      </w:r>
    </w:p>
    <w:tbl>
      <w:tblPr>
        <w:tblStyle w:val="Table1"/>
        <w:tblW w:w="5000" w:type="pct"/>
        <w:tblLook w:val="0620" w:firstRow="1" w:lastRow="0" w:firstColumn="0" w:lastColumn="0" w:noHBand="1" w:noVBand="1"/>
      </w:tblPr>
      <w:tblGrid>
        <w:gridCol w:w="3856"/>
        <w:gridCol w:w="10716"/>
      </w:tblGrid>
      <w:tr w:rsidR="002A7828" w:rsidRPr="0078153E" w14:paraId="2001B4F5" w14:textId="77777777">
        <w:trPr>
          <w:cnfStyle w:val="100000000000" w:firstRow="1" w:lastRow="0" w:firstColumn="0" w:lastColumn="0" w:oddVBand="0" w:evenVBand="0" w:oddHBand="0" w:evenHBand="0" w:firstRowFirstColumn="0" w:firstRowLastColumn="0" w:lastRowFirstColumn="0" w:lastRowLastColumn="0"/>
          <w:tblHeader/>
        </w:trPr>
        <w:tc>
          <w:tcPr>
            <w:tcW w:w="1323" w:type="pct"/>
            <w:hideMark/>
          </w:tcPr>
          <w:p w14:paraId="72989263" w14:textId="77777777" w:rsidR="002A7828" w:rsidRPr="0078153E" w:rsidRDefault="002A7828">
            <w:pPr>
              <w:pStyle w:val="Table-Heading"/>
            </w:pPr>
            <w:r>
              <w:t>Score</w:t>
            </w:r>
          </w:p>
        </w:tc>
        <w:tc>
          <w:tcPr>
            <w:tcW w:w="3677" w:type="pct"/>
          </w:tcPr>
          <w:p w14:paraId="6234D5FA" w14:textId="77777777" w:rsidR="002A7828" w:rsidRPr="0078153E" w:rsidRDefault="002A7828">
            <w:pPr>
              <w:pStyle w:val="Table-Heading"/>
            </w:pPr>
            <w:r>
              <w:t>Description of scores</w:t>
            </w:r>
          </w:p>
        </w:tc>
      </w:tr>
      <w:tr w:rsidR="002A7828" w14:paraId="346A84E6" w14:textId="77777777">
        <w:tc>
          <w:tcPr>
            <w:tcW w:w="1323" w:type="pct"/>
            <w:tcBorders>
              <w:top w:val="single" w:sz="4" w:space="0" w:color="5F6369" w:themeColor="text2"/>
              <w:left w:val="nil"/>
              <w:bottom w:val="single" w:sz="4" w:space="0" w:color="5F6369" w:themeColor="text2"/>
              <w:right w:val="nil"/>
            </w:tcBorders>
          </w:tcPr>
          <w:p w14:paraId="7C87EC5F" w14:textId="77777777" w:rsidR="002A7828" w:rsidRPr="007B7606" w:rsidRDefault="002A7828">
            <w:pPr>
              <w:pStyle w:val="Table-Text"/>
            </w:pPr>
            <w:r>
              <w:t>1</w:t>
            </w:r>
          </w:p>
        </w:tc>
        <w:tc>
          <w:tcPr>
            <w:tcW w:w="3677" w:type="pct"/>
            <w:tcBorders>
              <w:top w:val="single" w:sz="4" w:space="0" w:color="5F6369" w:themeColor="text2"/>
              <w:left w:val="nil"/>
              <w:bottom w:val="single" w:sz="4" w:space="0" w:color="5F6369" w:themeColor="text2"/>
              <w:right w:val="nil"/>
            </w:tcBorders>
          </w:tcPr>
          <w:p w14:paraId="058402C2" w14:textId="77777777" w:rsidR="002A7828" w:rsidRPr="007B7606" w:rsidRDefault="002A7828">
            <w:pPr>
              <w:pStyle w:val="Table-Text"/>
            </w:pPr>
            <w:r w:rsidRPr="00D4309F">
              <w:rPr>
                <w:color w:val="211E1F"/>
              </w:rPr>
              <w:t>Worst</w:t>
            </w:r>
            <w:r w:rsidRPr="00D4309F">
              <w:rPr>
                <w:color w:val="211E1F"/>
                <w:spacing w:val="-6"/>
              </w:rPr>
              <w:t xml:space="preserve"> </w:t>
            </w:r>
            <w:r w:rsidRPr="00D4309F">
              <w:rPr>
                <w:color w:val="211E1F"/>
              </w:rPr>
              <w:t>performance</w:t>
            </w:r>
            <w:r w:rsidRPr="00D4309F">
              <w:rPr>
                <w:color w:val="211E1F"/>
                <w:spacing w:val="-4"/>
              </w:rPr>
              <w:t xml:space="preserve"> </w:t>
            </w:r>
            <w:r w:rsidRPr="00D4309F">
              <w:rPr>
                <w:color w:val="211E1F"/>
              </w:rPr>
              <w:t>or</w:t>
            </w:r>
            <w:r w:rsidRPr="00D4309F">
              <w:rPr>
                <w:color w:val="211E1F"/>
                <w:spacing w:val="-3"/>
              </w:rPr>
              <w:t xml:space="preserve"> </w:t>
            </w:r>
            <w:r w:rsidRPr="00D4309F">
              <w:rPr>
                <w:color w:val="211E1F"/>
              </w:rPr>
              <w:t>Significant</w:t>
            </w:r>
            <w:r w:rsidRPr="00D4309F">
              <w:rPr>
                <w:color w:val="211E1F"/>
                <w:spacing w:val="-3"/>
              </w:rPr>
              <w:t xml:space="preserve"> </w:t>
            </w:r>
            <w:r w:rsidRPr="00D4309F">
              <w:rPr>
                <w:color w:val="211E1F"/>
                <w:spacing w:val="-2"/>
              </w:rPr>
              <w:t>impacts</w:t>
            </w:r>
          </w:p>
        </w:tc>
      </w:tr>
      <w:tr w:rsidR="002A7828" w14:paraId="500108D3" w14:textId="77777777">
        <w:tc>
          <w:tcPr>
            <w:tcW w:w="1323" w:type="pct"/>
            <w:tcBorders>
              <w:top w:val="single" w:sz="4" w:space="0" w:color="5F6369" w:themeColor="text2"/>
              <w:left w:val="nil"/>
              <w:bottom w:val="single" w:sz="4" w:space="0" w:color="5F6369" w:themeColor="text2"/>
              <w:right w:val="nil"/>
            </w:tcBorders>
          </w:tcPr>
          <w:p w14:paraId="75793CC6" w14:textId="77777777" w:rsidR="002A7828" w:rsidRDefault="002A7828">
            <w:pPr>
              <w:pStyle w:val="Table-Text"/>
              <w:rPr>
                <w:lang w:val="en-GB"/>
              </w:rPr>
            </w:pPr>
            <w:r>
              <w:rPr>
                <w:lang w:val="en-GB"/>
              </w:rPr>
              <w:t>2</w:t>
            </w:r>
          </w:p>
        </w:tc>
        <w:tc>
          <w:tcPr>
            <w:tcW w:w="3677" w:type="pct"/>
            <w:tcBorders>
              <w:top w:val="single" w:sz="4" w:space="0" w:color="5F6369" w:themeColor="text2"/>
              <w:left w:val="nil"/>
              <w:bottom w:val="single" w:sz="4" w:space="0" w:color="5F6369" w:themeColor="text2"/>
              <w:right w:val="nil"/>
            </w:tcBorders>
          </w:tcPr>
          <w:p w14:paraId="471D743C" w14:textId="77777777" w:rsidR="002A7828" w:rsidRPr="002A5F65" w:rsidRDefault="002A7828">
            <w:pPr>
              <w:pStyle w:val="Table-Text"/>
            </w:pPr>
            <w:r w:rsidRPr="00D4309F">
              <w:rPr>
                <w:color w:val="211E1F"/>
              </w:rPr>
              <w:t>Poor</w:t>
            </w:r>
            <w:r w:rsidRPr="00D4309F">
              <w:rPr>
                <w:color w:val="211E1F"/>
                <w:spacing w:val="-5"/>
              </w:rPr>
              <w:t xml:space="preserve"> </w:t>
            </w:r>
            <w:r w:rsidRPr="00D4309F">
              <w:rPr>
                <w:color w:val="211E1F"/>
              </w:rPr>
              <w:t>performance</w:t>
            </w:r>
            <w:r w:rsidRPr="00D4309F">
              <w:rPr>
                <w:color w:val="211E1F"/>
                <w:spacing w:val="-2"/>
              </w:rPr>
              <w:t xml:space="preserve"> </w:t>
            </w:r>
            <w:r w:rsidRPr="00D4309F">
              <w:rPr>
                <w:color w:val="211E1F"/>
              </w:rPr>
              <w:t>or</w:t>
            </w:r>
            <w:r w:rsidRPr="00D4309F">
              <w:rPr>
                <w:color w:val="211E1F"/>
                <w:spacing w:val="-2"/>
              </w:rPr>
              <w:t xml:space="preserve"> </w:t>
            </w:r>
            <w:r w:rsidRPr="00D4309F">
              <w:rPr>
                <w:color w:val="211E1F"/>
              </w:rPr>
              <w:t>Major</w:t>
            </w:r>
            <w:r w:rsidRPr="00D4309F">
              <w:rPr>
                <w:color w:val="211E1F"/>
                <w:spacing w:val="-2"/>
              </w:rPr>
              <w:t xml:space="preserve"> impacts</w:t>
            </w:r>
          </w:p>
        </w:tc>
      </w:tr>
      <w:tr w:rsidR="002A7828" w14:paraId="7A99A178" w14:textId="77777777">
        <w:tc>
          <w:tcPr>
            <w:tcW w:w="1323" w:type="pct"/>
            <w:tcBorders>
              <w:top w:val="single" w:sz="4" w:space="0" w:color="5F6369" w:themeColor="text2"/>
              <w:left w:val="nil"/>
              <w:bottom w:val="single" w:sz="4" w:space="0" w:color="5F6369" w:themeColor="text2"/>
              <w:right w:val="nil"/>
            </w:tcBorders>
          </w:tcPr>
          <w:p w14:paraId="52BC5720" w14:textId="77777777" w:rsidR="002A7828" w:rsidRDefault="002A7828">
            <w:pPr>
              <w:pStyle w:val="Table-Text"/>
              <w:rPr>
                <w:lang w:val="en-GB"/>
              </w:rPr>
            </w:pPr>
            <w:r>
              <w:rPr>
                <w:lang w:val="en-GB"/>
              </w:rPr>
              <w:t>3</w:t>
            </w:r>
          </w:p>
        </w:tc>
        <w:tc>
          <w:tcPr>
            <w:tcW w:w="3677" w:type="pct"/>
            <w:tcBorders>
              <w:top w:val="single" w:sz="4" w:space="0" w:color="5F6369" w:themeColor="text2"/>
              <w:left w:val="nil"/>
              <w:bottom w:val="single" w:sz="4" w:space="0" w:color="5F6369" w:themeColor="text2"/>
              <w:right w:val="nil"/>
            </w:tcBorders>
          </w:tcPr>
          <w:p w14:paraId="1E67439D" w14:textId="77777777" w:rsidR="002A7828" w:rsidRDefault="002A7828">
            <w:pPr>
              <w:pStyle w:val="Table-Text"/>
              <w:rPr>
                <w:lang w:val="en-GB"/>
              </w:rPr>
            </w:pPr>
            <w:r w:rsidRPr="00D4309F">
              <w:rPr>
                <w:color w:val="211E1F"/>
              </w:rPr>
              <w:t>Average</w:t>
            </w:r>
            <w:r w:rsidRPr="00D4309F">
              <w:rPr>
                <w:color w:val="211E1F"/>
                <w:spacing w:val="-6"/>
              </w:rPr>
              <w:t xml:space="preserve"> </w:t>
            </w:r>
            <w:r w:rsidRPr="00D4309F">
              <w:rPr>
                <w:color w:val="211E1F"/>
              </w:rPr>
              <w:t>performance</w:t>
            </w:r>
            <w:r w:rsidRPr="00D4309F">
              <w:rPr>
                <w:color w:val="211E1F"/>
                <w:spacing w:val="-3"/>
              </w:rPr>
              <w:t xml:space="preserve"> </w:t>
            </w:r>
            <w:r w:rsidRPr="00D4309F">
              <w:rPr>
                <w:color w:val="211E1F"/>
              </w:rPr>
              <w:t>or</w:t>
            </w:r>
            <w:r w:rsidRPr="00D4309F">
              <w:rPr>
                <w:color w:val="211E1F"/>
                <w:spacing w:val="-4"/>
              </w:rPr>
              <w:t xml:space="preserve"> </w:t>
            </w:r>
            <w:r w:rsidRPr="00D4309F">
              <w:rPr>
                <w:color w:val="211E1F"/>
              </w:rPr>
              <w:t>Moderate</w:t>
            </w:r>
            <w:r w:rsidRPr="00D4309F">
              <w:rPr>
                <w:color w:val="211E1F"/>
                <w:spacing w:val="-3"/>
              </w:rPr>
              <w:t xml:space="preserve"> </w:t>
            </w:r>
            <w:r w:rsidRPr="00D4309F">
              <w:rPr>
                <w:color w:val="211E1F"/>
                <w:spacing w:val="-2"/>
              </w:rPr>
              <w:t>impacts</w:t>
            </w:r>
            <w:r w:rsidRPr="00D4309F">
              <w:rPr>
                <w:color w:val="211E1F"/>
              </w:rPr>
              <w:t xml:space="preserve"> Average</w:t>
            </w:r>
            <w:r w:rsidRPr="00D4309F">
              <w:rPr>
                <w:color w:val="211E1F"/>
                <w:spacing w:val="-6"/>
              </w:rPr>
              <w:t xml:space="preserve"> </w:t>
            </w:r>
            <w:r w:rsidRPr="00D4309F">
              <w:rPr>
                <w:color w:val="211E1F"/>
              </w:rPr>
              <w:t>performance</w:t>
            </w:r>
            <w:r w:rsidRPr="00D4309F">
              <w:rPr>
                <w:color w:val="211E1F"/>
                <w:spacing w:val="-3"/>
              </w:rPr>
              <w:t xml:space="preserve"> </w:t>
            </w:r>
            <w:r w:rsidRPr="00D4309F">
              <w:rPr>
                <w:color w:val="211E1F"/>
              </w:rPr>
              <w:t>or</w:t>
            </w:r>
            <w:r w:rsidRPr="00D4309F">
              <w:rPr>
                <w:color w:val="211E1F"/>
                <w:spacing w:val="-4"/>
              </w:rPr>
              <w:t xml:space="preserve"> </w:t>
            </w:r>
            <w:r w:rsidRPr="00D4309F">
              <w:rPr>
                <w:color w:val="211E1F"/>
              </w:rPr>
              <w:t>Moderate</w:t>
            </w:r>
            <w:r w:rsidRPr="00D4309F">
              <w:rPr>
                <w:color w:val="211E1F"/>
                <w:spacing w:val="-3"/>
              </w:rPr>
              <w:t xml:space="preserve"> </w:t>
            </w:r>
            <w:r w:rsidRPr="00D4309F">
              <w:rPr>
                <w:color w:val="211E1F"/>
                <w:spacing w:val="-2"/>
              </w:rPr>
              <w:t>impacts</w:t>
            </w:r>
          </w:p>
        </w:tc>
      </w:tr>
      <w:tr w:rsidR="002A7828" w14:paraId="0656064C" w14:textId="77777777">
        <w:tc>
          <w:tcPr>
            <w:tcW w:w="1323" w:type="pct"/>
            <w:tcBorders>
              <w:top w:val="single" w:sz="4" w:space="0" w:color="5F6369" w:themeColor="text2"/>
              <w:left w:val="nil"/>
              <w:bottom w:val="single" w:sz="4" w:space="0" w:color="5F6369" w:themeColor="text2"/>
              <w:right w:val="nil"/>
            </w:tcBorders>
          </w:tcPr>
          <w:p w14:paraId="72D464B6" w14:textId="77777777" w:rsidR="002A7828" w:rsidRDefault="002A7828">
            <w:pPr>
              <w:pStyle w:val="Table-Text"/>
              <w:rPr>
                <w:lang w:val="en-GB"/>
              </w:rPr>
            </w:pPr>
            <w:r>
              <w:rPr>
                <w:lang w:val="en-GB"/>
              </w:rPr>
              <w:t>4</w:t>
            </w:r>
          </w:p>
        </w:tc>
        <w:tc>
          <w:tcPr>
            <w:tcW w:w="3677" w:type="pct"/>
            <w:tcBorders>
              <w:top w:val="single" w:sz="4" w:space="0" w:color="5F6369" w:themeColor="text2"/>
              <w:left w:val="nil"/>
              <w:bottom w:val="single" w:sz="4" w:space="0" w:color="5F6369" w:themeColor="text2"/>
              <w:right w:val="nil"/>
            </w:tcBorders>
          </w:tcPr>
          <w:p w14:paraId="59289E84" w14:textId="77777777" w:rsidR="002A7828" w:rsidRDefault="002A7828">
            <w:pPr>
              <w:pStyle w:val="Table-Text"/>
              <w:rPr>
                <w:lang w:val="en-GB"/>
              </w:rPr>
            </w:pPr>
            <w:r w:rsidRPr="00D4309F">
              <w:rPr>
                <w:color w:val="211E1F"/>
              </w:rPr>
              <w:t>Good</w:t>
            </w:r>
            <w:r w:rsidRPr="00D4309F">
              <w:rPr>
                <w:color w:val="211E1F"/>
                <w:spacing w:val="-5"/>
              </w:rPr>
              <w:t xml:space="preserve"> </w:t>
            </w:r>
            <w:r w:rsidRPr="00D4309F">
              <w:rPr>
                <w:color w:val="211E1F"/>
              </w:rPr>
              <w:t>performance</w:t>
            </w:r>
            <w:r w:rsidRPr="00D4309F">
              <w:rPr>
                <w:color w:val="211E1F"/>
                <w:spacing w:val="-2"/>
              </w:rPr>
              <w:t xml:space="preserve"> </w:t>
            </w:r>
            <w:r w:rsidRPr="00D4309F">
              <w:rPr>
                <w:color w:val="211E1F"/>
              </w:rPr>
              <w:t>or</w:t>
            </w:r>
            <w:r w:rsidRPr="00D4309F">
              <w:rPr>
                <w:color w:val="211E1F"/>
                <w:spacing w:val="-2"/>
              </w:rPr>
              <w:t xml:space="preserve"> </w:t>
            </w:r>
            <w:r w:rsidRPr="00D4309F">
              <w:rPr>
                <w:color w:val="211E1F"/>
              </w:rPr>
              <w:t>Minor</w:t>
            </w:r>
            <w:r w:rsidRPr="00D4309F">
              <w:rPr>
                <w:color w:val="211E1F"/>
                <w:spacing w:val="-2"/>
              </w:rPr>
              <w:t xml:space="preserve"> impacts</w:t>
            </w:r>
          </w:p>
        </w:tc>
      </w:tr>
      <w:tr w:rsidR="002A7828" w14:paraId="5A4CB682" w14:textId="77777777">
        <w:tc>
          <w:tcPr>
            <w:tcW w:w="1323" w:type="pct"/>
            <w:tcBorders>
              <w:top w:val="single" w:sz="4" w:space="0" w:color="5F6369" w:themeColor="text2"/>
              <w:left w:val="nil"/>
              <w:bottom w:val="single" w:sz="18" w:space="0" w:color="5F6369" w:themeColor="text2"/>
              <w:right w:val="nil"/>
            </w:tcBorders>
          </w:tcPr>
          <w:p w14:paraId="2D3C4B02" w14:textId="77777777" w:rsidR="002A7828" w:rsidRDefault="002A7828">
            <w:pPr>
              <w:pStyle w:val="Table-Text"/>
              <w:rPr>
                <w:lang w:val="en-GB"/>
              </w:rPr>
            </w:pPr>
            <w:r>
              <w:rPr>
                <w:lang w:val="en-GB"/>
              </w:rPr>
              <w:t>5</w:t>
            </w:r>
          </w:p>
        </w:tc>
        <w:tc>
          <w:tcPr>
            <w:tcW w:w="3677" w:type="pct"/>
            <w:tcBorders>
              <w:top w:val="single" w:sz="4" w:space="0" w:color="5F6369" w:themeColor="text2"/>
              <w:left w:val="nil"/>
              <w:bottom w:val="single" w:sz="18" w:space="0" w:color="5F6369" w:themeColor="text2"/>
              <w:right w:val="nil"/>
            </w:tcBorders>
          </w:tcPr>
          <w:p w14:paraId="7D164472" w14:textId="77777777" w:rsidR="002A7828" w:rsidRDefault="002A7828">
            <w:pPr>
              <w:pStyle w:val="Table-Text"/>
              <w:rPr>
                <w:lang w:val="en-GB"/>
              </w:rPr>
            </w:pPr>
            <w:r w:rsidRPr="00D4309F">
              <w:rPr>
                <w:color w:val="211E1F"/>
              </w:rPr>
              <w:t>Excellent</w:t>
            </w:r>
            <w:r w:rsidRPr="00D4309F">
              <w:rPr>
                <w:color w:val="211E1F"/>
                <w:spacing w:val="-6"/>
              </w:rPr>
              <w:t xml:space="preserve"> </w:t>
            </w:r>
            <w:r w:rsidRPr="00D4309F">
              <w:rPr>
                <w:color w:val="211E1F"/>
              </w:rPr>
              <w:t>performance</w:t>
            </w:r>
            <w:r w:rsidRPr="00D4309F">
              <w:rPr>
                <w:color w:val="211E1F"/>
                <w:spacing w:val="-4"/>
              </w:rPr>
              <w:t xml:space="preserve"> </w:t>
            </w:r>
            <w:r w:rsidRPr="00D4309F">
              <w:rPr>
                <w:color w:val="211E1F"/>
              </w:rPr>
              <w:t>or</w:t>
            </w:r>
            <w:r w:rsidRPr="00D4309F">
              <w:rPr>
                <w:color w:val="211E1F"/>
                <w:spacing w:val="-4"/>
              </w:rPr>
              <w:t xml:space="preserve"> </w:t>
            </w:r>
            <w:r w:rsidRPr="00D4309F">
              <w:rPr>
                <w:color w:val="211E1F"/>
              </w:rPr>
              <w:t>Insignificant</w:t>
            </w:r>
            <w:r w:rsidRPr="00D4309F">
              <w:rPr>
                <w:color w:val="211E1F"/>
                <w:spacing w:val="-4"/>
              </w:rPr>
              <w:t xml:space="preserve"> </w:t>
            </w:r>
            <w:r w:rsidRPr="00D4309F">
              <w:rPr>
                <w:color w:val="211E1F"/>
                <w:spacing w:val="-2"/>
              </w:rPr>
              <w:t>impacts</w:t>
            </w:r>
          </w:p>
        </w:tc>
      </w:tr>
    </w:tbl>
    <w:p w14:paraId="1A9724F5" w14:textId="26BA1251" w:rsidR="00725977" w:rsidRPr="00D4309F" w:rsidRDefault="00725977" w:rsidP="00151534">
      <w:pPr>
        <w:pStyle w:val="BodyText"/>
      </w:pPr>
    </w:p>
    <w:p w14:paraId="3371988E" w14:textId="203FA249" w:rsidR="00725977" w:rsidRDefault="00151534" w:rsidP="007774EC">
      <w:pPr>
        <w:pStyle w:val="Table-Caption"/>
        <w:rPr>
          <w:color w:val="211E1F"/>
          <w:spacing w:val="-2"/>
        </w:rPr>
      </w:pPr>
      <w:bookmarkStart w:id="565" w:name="_Toc216699588"/>
      <w:r>
        <w:t xml:space="preserve">Table </w:t>
      </w:r>
      <w:r>
        <w:fldChar w:fldCharType="begin" w:fldLock="1"/>
      </w:r>
      <w:r>
        <w:instrText xml:space="preserve"> STYLEREF 1 \s </w:instrText>
      </w:r>
      <w:r>
        <w:fldChar w:fldCharType="separate"/>
      </w:r>
      <w:r>
        <w:rPr>
          <w:noProof/>
        </w:rPr>
        <w:t>17</w:t>
      </w:r>
      <w:r>
        <w:fldChar w:fldCharType="end"/>
      </w:r>
      <w:r>
        <w:noBreakHyphen/>
      </w:r>
      <w:r>
        <w:fldChar w:fldCharType="begin"/>
      </w:r>
      <w:r>
        <w:instrText xml:space="preserve"> SEQ Table \* ARABIC \s 1 </w:instrText>
      </w:r>
      <w:r>
        <w:fldChar w:fldCharType="separate"/>
      </w:r>
      <w:r w:rsidR="006D0876">
        <w:rPr>
          <w:noProof/>
        </w:rPr>
        <w:t>5</w:t>
      </w:r>
      <w:r>
        <w:fldChar w:fldCharType="end"/>
      </w:r>
      <w:r>
        <w:t>:</w:t>
      </w:r>
      <w:r>
        <w:tab/>
      </w:r>
      <w:r w:rsidRPr="00D4309F">
        <w:rPr>
          <w:color w:val="211E1F"/>
        </w:rPr>
        <w:t>Option</w:t>
      </w:r>
      <w:r w:rsidRPr="00D4309F">
        <w:rPr>
          <w:color w:val="211E1F"/>
          <w:spacing w:val="-1"/>
        </w:rPr>
        <w:t xml:space="preserve"> </w:t>
      </w:r>
      <w:r w:rsidRPr="00D4309F">
        <w:rPr>
          <w:color w:val="211E1F"/>
        </w:rPr>
        <w:t>5A</w:t>
      </w:r>
      <w:r w:rsidRPr="00D4309F">
        <w:rPr>
          <w:color w:val="211E1F"/>
          <w:spacing w:val="-2"/>
        </w:rPr>
        <w:t xml:space="preserve"> </w:t>
      </w:r>
      <w:r w:rsidRPr="00D4309F">
        <w:rPr>
          <w:color w:val="211E1F"/>
        </w:rPr>
        <w:t xml:space="preserve">MCA </w:t>
      </w:r>
      <w:r w:rsidRPr="00D4309F">
        <w:rPr>
          <w:color w:val="211E1F"/>
          <w:spacing w:val="-2"/>
        </w:rPr>
        <w:t>Scoring</w:t>
      </w:r>
      <w:bookmarkEnd w:id="565"/>
    </w:p>
    <w:tbl>
      <w:tblPr>
        <w:tblStyle w:val="Table1"/>
        <w:tblW w:w="5000" w:type="pct"/>
        <w:tblLook w:val="04A0" w:firstRow="1" w:lastRow="0" w:firstColumn="1" w:lastColumn="0" w:noHBand="0" w:noVBand="1"/>
      </w:tblPr>
      <w:tblGrid>
        <w:gridCol w:w="2920"/>
        <w:gridCol w:w="9988"/>
        <w:gridCol w:w="1664"/>
      </w:tblGrid>
      <w:tr w:rsidR="00785E37" w:rsidRPr="00D4309F" w14:paraId="4FDD4370" w14:textId="77777777">
        <w:trPr>
          <w:cnfStyle w:val="100000000000" w:firstRow="1" w:lastRow="0" w:firstColumn="0" w:lastColumn="0" w:oddVBand="0" w:evenVBand="0" w:oddHBand="0" w:evenHBand="0" w:firstRowFirstColumn="0" w:firstRowLastColumn="0" w:lastRowFirstColumn="0" w:lastRowLastColumn="0"/>
          <w:trHeight w:val="286"/>
          <w:tblHeader/>
        </w:trPr>
        <w:tc>
          <w:tcPr>
            <w:tcW w:w="1002" w:type="pct"/>
          </w:tcPr>
          <w:p w14:paraId="4A8141BE" w14:textId="77777777" w:rsidR="00785E37" w:rsidRPr="00D4309F" w:rsidRDefault="00785E37">
            <w:pPr>
              <w:pStyle w:val="TableParagraph"/>
              <w:spacing w:before="40"/>
              <w:ind w:left="165"/>
              <w:rPr>
                <w:b/>
                <w:sz w:val="18"/>
              </w:rPr>
            </w:pPr>
            <w:r w:rsidRPr="00D4309F">
              <w:rPr>
                <w:b/>
                <w:color w:val="70004A"/>
                <w:sz w:val="18"/>
              </w:rPr>
              <w:t>MCA</w:t>
            </w:r>
            <w:r w:rsidRPr="00D4309F">
              <w:rPr>
                <w:b/>
                <w:color w:val="70004A"/>
                <w:spacing w:val="-3"/>
                <w:sz w:val="18"/>
              </w:rPr>
              <w:t xml:space="preserve"> </w:t>
            </w:r>
            <w:r w:rsidRPr="00D4309F">
              <w:rPr>
                <w:b/>
                <w:color w:val="70004A"/>
                <w:spacing w:val="-2"/>
                <w:sz w:val="18"/>
              </w:rPr>
              <w:t>Category</w:t>
            </w:r>
          </w:p>
        </w:tc>
        <w:tc>
          <w:tcPr>
            <w:tcW w:w="3427" w:type="pct"/>
          </w:tcPr>
          <w:p w14:paraId="5BC3E84B" w14:textId="77777777" w:rsidR="00785E37" w:rsidRPr="00D4309F" w:rsidRDefault="00785E37">
            <w:pPr>
              <w:pStyle w:val="TableParagraph"/>
              <w:spacing w:before="40"/>
              <w:ind w:left="165"/>
              <w:rPr>
                <w:b/>
                <w:sz w:val="18"/>
              </w:rPr>
            </w:pPr>
            <w:r w:rsidRPr="00D4309F">
              <w:rPr>
                <w:b/>
                <w:color w:val="70004A"/>
                <w:sz w:val="18"/>
              </w:rPr>
              <w:t>MCA</w:t>
            </w:r>
            <w:r w:rsidRPr="00D4309F">
              <w:rPr>
                <w:b/>
                <w:color w:val="70004A"/>
                <w:spacing w:val="-1"/>
                <w:sz w:val="18"/>
              </w:rPr>
              <w:t xml:space="preserve"> </w:t>
            </w:r>
            <w:r w:rsidRPr="00D4309F">
              <w:rPr>
                <w:b/>
                <w:color w:val="70004A"/>
                <w:spacing w:val="-2"/>
                <w:sz w:val="18"/>
              </w:rPr>
              <w:t>criteria</w:t>
            </w:r>
          </w:p>
        </w:tc>
        <w:tc>
          <w:tcPr>
            <w:tcW w:w="571" w:type="pct"/>
          </w:tcPr>
          <w:p w14:paraId="05B37006" w14:textId="77777777" w:rsidR="00785E37" w:rsidRPr="00D4309F" w:rsidRDefault="00785E37">
            <w:pPr>
              <w:pStyle w:val="TableParagraph"/>
              <w:spacing w:before="40"/>
              <w:ind w:left="485"/>
              <w:rPr>
                <w:b/>
                <w:sz w:val="18"/>
              </w:rPr>
            </w:pPr>
            <w:r w:rsidRPr="00D4309F">
              <w:rPr>
                <w:b/>
                <w:color w:val="70004A"/>
                <w:spacing w:val="-2"/>
                <w:sz w:val="18"/>
              </w:rPr>
              <w:t>Score</w:t>
            </w:r>
          </w:p>
        </w:tc>
      </w:tr>
      <w:tr w:rsidR="00785E37" w:rsidRPr="00D4309F" w14:paraId="7F7FF4F7" w14:textId="77777777">
        <w:trPr>
          <w:trHeight w:val="494"/>
        </w:trPr>
        <w:tc>
          <w:tcPr>
            <w:tcW w:w="1002" w:type="pct"/>
            <w:vMerge w:val="restart"/>
          </w:tcPr>
          <w:p w14:paraId="7670EE6F" w14:textId="77777777" w:rsidR="00785E37" w:rsidRPr="00D4309F" w:rsidRDefault="00785E37" w:rsidP="00785E37">
            <w:pPr>
              <w:pStyle w:val="TableParagraph"/>
              <w:spacing w:before="39"/>
              <w:ind w:left="165"/>
              <w:rPr>
                <w:b/>
                <w:sz w:val="18"/>
              </w:rPr>
            </w:pPr>
            <w:r w:rsidRPr="00D4309F">
              <w:rPr>
                <w:b/>
                <w:color w:val="211E1F"/>
                <w:sz w:val="18"/>
              </w:rPr>
              <w:t>Coastal</w:t>
            </w:r>
            <w:r w:rsidRPr="00D4309F">
              <w:rPr>
                <w:b/>
                <w:color w:val="211E1F"/>
                <w:spacing w:val="-4"/>
                <w:sz w:val="18"/>
              </w:rPr>
              <w:t xml:space="preserve"> </w:t>
            </w:r>
            <w:r w:rsidRPr="00D4309F">
              <w:rPr>
                <w:b/>
                <w:color w:val="211E1F"/>
                <w:spacing w:val="-2"/>
                <w:sz w:val="18"/>
              </w:rPr>
              <w:t>engineering</w:t>
            </w:r>
          </w:p>
        </w:tc>
        <w:tc>
          <w:tcPr>
            <w:tcW w:w="3427" w:type="pct"/>
          </w:tcPr>
          <w:p w14:paraId="657814DA" w14:textId="77777777" w:rsidR="00785E37" w:rsidRPr="00D4309F" w:rsidRDefault="00785E37" w:rsidP="00785E37">
            <w:pPr>
              <w:pStyle w:val="TableParagraph"/>
              <w:spacing w:before="39"/>
              <w:ind w:left="166"/>
              <w:rPr>
                <w:sz w:val="18"/>
              </w:rPr>
            </w:pPr>
            <w:r w:rsidRPr="00D4309F">
              <w:rPr>
                <w:color w:val="211E1F"/>
                <w:sz w:val="18"/>
              </w:rPr>
              <w:t>Effectiveness:</w:t>
            </w:r>
            <w:r w:rsidRPr="00D4309F">
              <w:rPr>
                <w:color w:val="211E1F"/>
                <w:spacing w:val="-2"/>
                <w:sz w:val="18"/>
              </w:rPr>
              <w:t xml:space="preserve"> </w:t>
            </w:r>
            <w:r w:rsidRPr="00D4309F">
              <w:rPr>
                <w:color w:val="211E1F"/>
                <w:sz w:val="18"/>
              </w:rPr>
              <w:t>Likely</w:t>
            </w:r>
            <w:r w:rsidRPr="00D4309F">
              <w:rPr>
                <w:color w:val="211E1F"/>
                <w:spacing w:val="-1"/>
                <w:sz w:val="18"/>
              </w:rPr>
              <w:t xml:space="preserve"> </w:t>
            </w:r>
            <w:r w:rsidRPr="00D4309F">
              <w:rPr>
                <w:color w:val="211E1F"/>
                <w:sz w:val="18"/>
              </w:rPr>
              <w:t>ability</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shift</w:t>
            </w:r>
            <w:r w:rsidRPr="00D4309F">
              <w:rPr>
                <w:color w:val="211E1F"/>
                <w:spacing w:val="-2"/>
                <w:sz w:val="18"/>
              </w:rPr>
              <w:t xml:space="preserve"> </w:t>
            </w:r>
            <w:r w:rsidRPr="00D4309F">
              <w:rPr>
                <w:color w:val="211E1F"/>
                <w:sz w:val="18"/>
              </w:rPr>
              <w:t>enough</w:t>
            </w:r>
            <w:r w:rsidRPr="00D4309F">
              <w:rPr>
                <w:color w:val="211E1F"/>
                <w:spacing w:val="-3"/>
                <w:sz w:val="18"/>
              </w:rPr>
              <w:t xml:space="preserve"> </w:t>
            </w:r>
            <w:r w:rsidRPr="00D4309F">
              <w:rPr>
                <w:color w:val="211E1F"/>
                <w:sz w:val="18"/>
              </w:rPr>
              <w:t>sand</w:t>
            </w:r>
            <w:r w:rsidRPr="00D4309F">
              <w:rPr>
                <w:color w:val="211E1F"/>
                <w:spacing w:val="-3"/>
                <w:sz w:val="18"/>
              </w:rPr>
              <w:t xml:space="preserve"> </w:t>
            </w:r>
            <w:r w:rsidRPr="00D4309F">
              <w:rPr>
                <w:color w:val="211E1F"/>
                <w:sz w:val="18"/>
              </w:rPr>
              <w:t>past</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entrance</w:t>
            </w:r>
            <w:r w:rsidRPr="00D4309F">
              <w:rPr>
                <w:color w:val="211E1F"/>
                <w:spacing w:val="-3"/>
                <w:sz w:val="18"/>
              </w:rPr>
              <w:t xml:space="preserve"> </w:t>
            </w:r>
            <w:r w:rsidRPr="00D4309F">
              <w:rPr>
                <w:color w:val="211E1F"/>
                <w:sz w:val="18"/>
              </w:rPr>
              <w:t>(bypassing</w:t>
            </w:r>
            <w:r w:rsidRPr="00D4309F">
              <w:rPr>
                <w:color w:val="211E1F"/>
                <w:spacing w:val="-3"/>
                <w:sz w:val="18"/>
              </w:rPr>
              <w:t xml:space="preserve"> </w:t>
            </w:r>
            <w:r w:rsidRPr="00D4309F">
              <w:rPr>
                <w:color w:val="211E1F"/>
                <w:sz w:val="18"/>
              </w:rPr>
              <w:t>efficiency,</w:t>
            </w:r>
            <w:r w:rsidRPr="00D4309F">
              <w:rPr>
                <w:color w:val="211E1F"/>
                <w:spacing w:val="-2"/>
                <w:sz w:val="18"/>
              </w:rPr>
              <w:t xml:space="preserve"> </w:t>
            </w:r>
            <w:r w:rsidRPr="00D4309F">
              <w:rPr>
                <w:color w:val="211E1F"/>
                <w:sz w:val="18"/>
              </w:rPr>
              <w:t>trap</w:t>
            </w:r>
            <w:r w:rsidRPr="00D4309F">
              <w:rPr>
                <w:color w:val="211E1F"/>
                <w:spacing w:val="-3"/>
                <w:sz w:val="18"/>
              </w:rPr>
              <w:t xml:space="preserve"> </w:t>
            </w:r>
            <w:r w:rsidRPr="00D4309F">
              <w:rPr>
                <w:color w:val="211E1F"/>
                <w:sz w:val="18"/>
              </w:rPr>
              <w:t>capture</w:t>
            </w:r>
            <w:r w:rsidRPr="00D4309F">
              <w:rPr>
                <w:color w:val="211E1F"/>
                <w:spacing w:val="-3"/>
                <w:sz w:val="18"/>
              </w:rPr>
              <w:t xml:space="preserve"> </w:t>
            </w:r>
            <w:r w:rsidRPr="00D4309F">
              <w:rPr>
                <w:color w:val="211E1F"/>
                <w:sz w:val="18"/>
              </w:rPr>
              <w:t>rate,</w:t>
            </w:r>
            <w:r w:rsidRPr="00D4309F">
              <w:rPr>
                <w:color w:val="211E1F"/>
                <w:spacing w:val="-2"/>
                <w:sz w:val="18"/>
              </w:rPr>
              <w:t xml:space="preserve"> </w:t>
            </w:r>
            <w:r w:rsidRPr="00D4309F">
              <w:rPr>
                <w:color w:val="211E1F"/>
                <w:sz w:val="18"/>
              </w:rPr>
              <w:t>reduction</w:t>
            </w:r>
            <w:r w:rsidRPr="00D4309F">
              <w:rPr>
                <w:color w:val="211E1F"/>
                <w:spacing w:val="-3"/>
                <w:sz w:val="18"/>
              </w:rPr>
              <w:t xml:space="preserve"> </w:t>
            </w:r>
            <w:r w:rsidRPr="00D4309F">
              <w:rPr>
                <w:color w:val="211E1F"/>
                <w:sz w:val="18"/>
              </w:rPr>
              <w:t>in</w:t>
            </w:r>
            <w:r w:rsidRPr="00D4309F">
              <w:rPr>
                <w:color w:val="211E1F"/>
                <w:spacing w:val="-3"/>
                <w:sz w:val="18"/>
              </w:rPr>
              <w:t xml:space="preserve"> </w:t>
            </w:r>
            <w:r w:rsidRPr="00D4309F">
              <w:rPr>
                <w:color w:val="211E1F"/>
                <w:sz w:val="18"/>
              </w:rPr>
              <w:t>shoal frequency/magnitude, entrance depth reliability).</w:t>
            </w:r>
          </w:p>
        </w:tc>
        <w:tc>
          <w:tcPr>
            <w:tcW w:w="571" w:type="pct"/>
          </w:tcPr>
          <w:p w14:paraId="4AC4EB34" w14:textId="27AEE753" w:rsidR="00785E37" w:rsidRPr="0019624B" w:rsidRDefault="00785E37" w:rsidP="00785E37">
            <w:pPr>
              <w:pStyle w:val="TableParagraph"/>
              <w:spacing w:before="39"/>
              <w:ind w:left="485"/>
              <w:rPr>
                <w:bCs/>
                <w:sz w:val="18"/>
              </w:rPr>
            </w:pPr>
            <w:r w:rsidRPr="00D4309F">
              <w:rPr>
                <w:color w:val="211E1F"/>
                <w:spacing w:val="-10"/>
                <w:sz w:val="18"/>
              </w:rPr>
              <w:t>1</w:t>
            </w:r>
          </w:p>
        </w:tc>
      </w:tr>
      <w:tr w:rsidR="00785E37" w:rsidRPr="00D4309F" w14:paraId="6ABB256F" w14:textId="77777777">
        <w:trPr>
          <w:trHeight w:val="286"/>
        </w:trPr>
        <w:tc>
          <w:tcPr>
            <w:tcW w:w="1002" w:type="pct"/>
            <w:vMerge/>
          </w:tcPr>
          <w:p w14:paraId="6AE5A815" w14:textId="77777777" w:rsidR="00785E37" w:rsidRPr="00D4309F" w:rsidRDefault="00785E37" w:rsidP="00785E37">
            <w:pPr>
              <w:pStyle w:val="TableParagraph"/>
              <w:rPr>
                <w:rFonts w:ascii="Times New Roman"/>
                <w:sz w:val="18"/>
              </w:rPr>
            </w:pPr>
          </w:p>
        </w:tc>
        <w:tc>
          <w:tcPr>
            <w:tcW w:w="3427" w:type="pct"/>
          </w:tcPr>
          <w:p w14:paraId="076E0D51" w14:textId="77777777" w:rsidR="00785E37" w:rsidRPr="00D4309F" w:rsidRDefault="00785E37" w:rsidP="00785E37">
            <w:pPr>
              <w:pStyle w:val="TableParagraph"/>
              <w:spacing w:before="39"/>
              <w:ind w:left="165"/>
              <w:rPr>
                <w:sz w:val="18"/>
              </w:rPr>
            </w:pPr>
            <w:r w:rsidRPr="00D4309F">
              <w:rPr>
                <w:color w:val="211E1F"/>
                <w:sz w:val="18"/>
              </w:rPr>
              <w:t>Impacts</w:t>
            </w:r>
            <w:r w:rsidRPr="00D4309F">
              <w:rPr>
                <w:color w:val="211E1F"/>
                <w:spacing w:val="-5"/>
                <w:sz w:val="18"/>
              </w:rPr>
              <w:t xml:space="preserve"> </w:t>
            </w:r>
            <w:r w:rsidRPr="00D4309F">
              <w:rPr>
                <w:color w:val="211E1F"/>
                <w:sz w:val="18"/>
              </w:rPr>
              <w:t>on</w:t>
            </w:r>
            <w:r w:rsidRPr="00D4309F">
              <w:rPr>
                <w:color w:val="211E1F"/>
                <w:spacing w:val="-2"/>
                <w:sz w:val="18"/>
              </w:rPr>
              <w:t xml:space="preserve"> </w:t>
            </w:r>
            <w:r w:rsidRPr="00D4309F">
              <w:rPr>
                <w:color w:val="211E1F"/>
                <w:sz w:val="18"/>
              </w:rPr>
              <w:t>coastal</w:t>
            </w:r>
            <w:r w:rsidRPr="00D4309F">
              <w:rPr>
                <w:color w:val="211E1F"/>
                <w:spacing w:val="-2"/>
                <w:sz w:val="18"/>
              </w:rPr>
              <w:t xml:space="preserve"> </w:t>
            </w:r>
            <w:r w:rsidRPr="00D4309F">
              <w:rPr>
                <w:color w:val="211E1F"/>
                <w:sz w:val="18"/>
              </w:rPr>
              <w:t>processes:</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level</w:t>
            </w:r>
            <w:r w:rsidRPr="00D4309F">
              <w:rPr>
                <w:color w:val="211E1F"/>
                <w:spacing w:val="-2"/>
                <w:sz w:val="18"/>
              </w:rPr>
              <w:t xml:space="preserve"> </w:t>
            </w:r>
            <w:r w:rsidRPr="00D4309F">
              <w:rPr>
                <w:color w:val="211E1F"/>
                <w:sz w:val="18"/>
              </w:rPr>
              <w:t>in</w:t>
            </w:r>
            <w:r w:rsidRPr="00D4309F">
              <w:rPr>
                <w:color w:val="211E1F"/>
                <w:spacing w:val="-3"/>
                <w:sz w:val="18"/>
              </w:rPr>
              <w:t xml:space="preserve"> </w:t>
            </w:r>
            <w:r w:rsidRPr="00D4309F">
              <w:rPr>
                <w:color w:val="211E1F"/>
                <w:sz w:val="18"/>
              </w:rPr>
              <w:t>which</w:t>
            </w:r>
            <w:r w:rsidRPr="00D4309F">
              <w:rPr>
                <w:color w:val="211E1F"/>
                <w:spacing w:val="-3"/>
                <w:sz w:val="18"/>
              </w:rPr>
              <w:t xml:space="preserve"> </w:t>
            </w:r>
            <w:r w:rsidRPr="00D4309F">
              <w:rPr>
                <w:color w:val="211E1F"/>
                <w:sz w:val="18"/>
              </w:rPr>
              <w:t>it</w:t>
            </w:r>
            <w:r w:rsidRPr="00D4309F">
              <w:rPr>
                <w:color w:val="211E1F"/>
                <w:spacing w:val="-2"/>
                <w:sz w:val="18"/>
              </w:rPr>
              <w:t xml:space="preserve"> </w:t>
            </w:r>
            <w:r w:rsidRPr="00D4309F">
              <w:rPr>
                <w:color w:val="211E1F"/>
                <w:sz w:val="18"/>
              </w:rPr>
              <w:t>changes</w:t>
            </w:r>
            <w:r w:rsidRPr="00D4309F">
              <w:rPr>
                <w:color w:val="211E1F"/>
                <w:spacing w:val="-1"/>
                <w:sz w:val="18"/>
              </w:rPr>
              <w:t xml:space="preserve"> </w:t>
            </w:r>
            <w:r w:rsidRPr="00D4309F">
              <w:rPr>
                <w:color w:val="211E1F"/>
                <w:sz w:val="18"/>
              </w:rPr>
              <w:t>or</w:t>
            </w:r>
            <w:r w:rsidRPr="00D4309F">
              <w:rPr>
                <w:color w:val="211E1F"/>
                <w:spacing w:val="-2"/>
                <w:sz w:val="18"/>
              </w:rPr>
              <w:t xml:space="preserve"> </w:t>
            </w:r>
            <w:r w:rsidRPr="00D4309F">
              <w:rPr>
                <w:color w:val="211E1F"/>
                <w:sz w:val="18"/>
              </w:rPr>
              <w:t>has</w:t>
            </w:r>
            <w:r w:rsidRPr="00D4309F">
              <w:rPr>
                <w:color w:val="211E1F"/>
                <w:spacing w:val="-3"/>
                <w:sz w:val="18"/>
              </w:rPr>
              <w:t xml:space="preserve"> </w:t>
            </w:r>
            <w:r w:rsidRPr="00D4309F">
              <w:rPr>
                <w:color w:val="211E1F"/>
                <w:sz w:val="18"/>
              </w:rPr>
              <w:t>negative</w:t>
            </w:r>
            <w:r w:rsidRPr="00D4309F">
              <w:rPr>
                <w:color w:val="211E1F"/>
                <w:spacing w:val="-2"/>
                <w:sz w:val="18"/>
              </w:rPr>
              <w:t xml:space="preserve"> </w:t>
            </w:r>
            <w:r w:rsidRPr="00D4309F">
              <w:rPr>
                <w:color w:val="211E1F"/>
                <w:sz w:val="18"/>
              </w:rPr>
              <w:t>impacts</w:t>
            </w:r>
            <w:r w:rsidRPr="00D4309F">
              <w:rPr>
                <w:color w:val="211E1F"/>
                <w:spacing w:val="-2"/>
                <w:sz w:val="18"/>
              </w:rPr>
              <w:t xml:space="preserve"> </w:t>
            </w:r>
            <w:r w:rsidRPr="00D4309F">
              <w:rPr>
                <w:color w:val="211E1F"/>
                <w:sz w:val="18"/>
              </w:rPr>
              <w:t>on</w:t>
            </w:r>
            <w:r w:rsidRPr="00D4309F">
              <w:rPr>
                <w:color w:val="211E1F"/>
                <w:spacing w:val="-3"/>
                <w:sz w:val="18"/>
              </w:rPr>
              <w:t xml:space="preserve"> </w:t>
            </w:r>
            <w:r w:rsidRPr="00D4309F">
              <w:rPr>
                <w:color w:val="211E1F"/>
                <w:sz w:val="18"/>
              </w:rPr>
              <w:t>existing</w:t>
            </w:r>
            <w:r w:rsidRPr="00D4309F">
              <w:rPr>
                <w:color w:val="211E1F"/>
                <w:spacing w:val="-3"/>
                <w:sz w:val="18"/>
              </w:rPr>
              <w:t xml:space="preserve"> </w:t>
            </w:r>
            <w:r w:rsidRPr="00D4309F">
              <w:rPr>
                <w:color w:val="211E1F"/>
                <w:sz w:val="18"/>
              </w:rPr>
              <w:t>coastal</w:t>
            </w:r>
            <w:r w:rsidRPr="00D4309F">
              <w:rPr>
                <w:color w:val="211E1F"/>
                <w:spacing w:val="-1"/>
                <w:sz w:val="18"/>
              </w:rPr>
              <w:t xml:space="preserve"> </w:t>
            </w:r>
            <w:r w:rsidRPr="00D4309F">
              <w:rPr>
                <w:color w:val="211E1F"/>
                <w:spacing w:val="-2"/>
                <w:sz w:val="18"/>
              </w:rPr>
              <w:t>processes</w:t>
            </w:r>
          </w:p>
        </w:tc>
        <w:tc>
          <w:tcPr>
            <w:tcW w:w="571" w:type="pct"/>
          </w:tcPr>
          <w:p w14:paraId="24018E41" w14:textId="50A4A4AB" w:rsidR="00785E37" w:rsidRPr="0019624B" w:rsidRDefault="00785E37" w:rsidP="00785E37">
            <w:pPr>
              <w:pStyle w:val="TableParagraph"/>
              <w:spacing w:before="39"/>
              <w:ind w:left="485"/>
              <w:rPr>
                <w:bCs/>
                <w:sz w:val="18"/>
              </w:rPr>
            </w:pPr>
            <w:r w:rsidRPr="00D4309F">
              <w:rPr>
                <w:sz w:val="18"/>
              </w:rPr>
              <w:t>5</w:t>
            </w:r>
          </w:p>
        </w:tc>
      </w:tr>
      <w:tr w:rsidR="00785E37" w:rsidRPr="00D4309F" w14:paraId="15B411EC" w14:textId="77777777">
        <w:trPr>
          <w:trHeight w:val="287"/>
        </w:trPr>
        <w:tc>
          <w:tcPr>
            <w:tcW w:w="1002" w:type="pct"/>
            <w:vMerge/>
          </w:tcPr>
          <w:p w14:paraId="2897FAA7" w14:textId="77777777" w:rsidR="00785E37" w:rsidRPr="00D4309F" w:rsidRDefault="00785E37" w:rsidP="00785E37">
            <w:pPr>
              <w:pStyle w:val="TableParagraph"/>
              <w:rPr>
                <w:rFonts w:ascii="Times New Roman"/>
                <w:sz w:val="18"/>
              </w:rPr>
            </w:pPr>
          </w:p>
        </w:tc>
        <w:tc>
          <w:tcPr>
            <w:tcW w:w="3427" w:type="pct"/>
          </w:tcPr>
          <w:p w14:paraId="69779EA6" w14:textId="77777777" w:rsidR="00785E37" w:rsidRPr="00D4309F" w:rsidRDefault="00785E37" w:rsidP="00785E37">
            <w:pPr>
              <w:pStyle w:val="TableParagraph"/>
              <w:spacing w:before="41"/>
              <w:ind w:left="165"/>
              <w:rPr>
                <w:sz w:val="18"/>
              </w:rPr>
            </w:pPr>
            <w:r w:rsidRPr="00D4309F">
              <w:rPr>
                <w:color w:val="211E1F"/>
                <w:sz w:val="18"/>
              </w:rPr>
              <w:t>Design</w:t>
            </w:r>
            <w:r w:rsidRPr="00D4309F">
              <w:rPr>
                <w:color w:val="211E1F"/>
                <w:spacing w:val="-5"/>
                <w:sz w:val="18"/>
              </w:rPr>
              <w:t xml:space="preserve"> </w:t>
            </w:r>
            <w:r w:rsidRPr="00D4309F">
              <w:rPr>
                <w:color w:val="211E1F"/>
                <w:sz w:val="18"/>
              </w:rPr>
              <w:t>and</w:t>
            </w:r>
            <w:r w:rsidRPr="00D4309F">
              <w:rPr>
                <w:color w:val="211E1F"/>
                <w:spacing w:val="-3"/>
                <w:sz w:val="18"/>
              </w:rPr>
              <w:t xml:space="preserve"> </w:t>
            </w:r>
            <w:r w:rsidRPr="00D4309F">
              <w:rPr>
                <w:color w:val="211E1F"/>
                <w:sz w:val="18"/>
              </w:rPr>
              <w:t>approvals:</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far</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option</w:t>
            </w:r>
            <w:r w:rsidRPr="00D4309F">
              <w:rPr>
                <w:color w:val="211E1F"/>
                <w:spacing w:val="-1"/>
                <w:sz w:val="18"/>
              </w:rPr>
              <w:t xml:space="preserve"> </w:t>
            </w:r>
            <w:r w:rsidRPr="00D4309F">
              <w:rPr>
                <w:color w:val="211E1F"/>
                <w:sz w:val="18"/>
              </w:rPr>
              <w:t>progressed</w:t>
            </w:r>
            <w:r w:rsidRPr="00D4309F">
              <w:rPr>
                <w:color w:val="211E1F"/>
                <w:spacing w:val="-3"/>
                <w:sz w:val="18"/>
              </w:rPr>
              <w:t xml:space="preserve"> </w:t>
            </w:r>
            <w:r w:rsidRPr="00D4309F">
              <w:rPr>
                <w:color w:val="211E1F"/>
                <w:sz w:val="18"/>
              </w:rPr>
              <w:t>with</w:t>
            </w:r>
            <w:r w:rsidRPr="00D4309F">
              <w:rPr>
                <w:color w:val="211E1F"/>
                <w:spacing w:val="-3"/>
                <w:sz w:val="18"/>
              </w:rPr>
              <w:t xml:space="preserve"> </w:t>
            </w:r>
            <w:r w:rsidRPr="00D4309F">
              <w:rPr>
                <w:color w:val="211E1F"/>
                <w:sz w:val="18"/>
              </w:rPr>
              <w:t>design</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approvals</w:t>
            </w:r>
            <w:r w:rsidRPr="00D4309F">
              <w:rPr>
                <w:color w:val="211E1F"/>
                <w:spacing w:val="-2"/>
                <w:sz w:val="18"/>
              </w:rPr>
              <w:t xml:space="preserve"> </w:t>
            </w:r>
            <w:r w:rsidRPr="00D4309F">
              <w:rPr>
                <w:color w:val="211E1F"/>
                <w:sz w:val="18"/>
              </w:rPr>
              <w:t>and</w:t>
            </w:r>
            <w:r w:rsidRPr="00D4309F">
              <w:rPr>
                <w:color w:val="211E1F"/>
                <w:spacing w:val="-3"/>
                <w:sz w:val="18"/>
              </w:rPr>
              <w:t xml:space="preserve"> </w:t>
            </w:r>
            <w:r w:rsidRPr="00D4309F">
              <w:rPr>
                <w:color w:val="211E1F"/>
                <w:sz w:val="18"/>
              </w:rPr>
              <w:t>how</w:t>
            </w:r>
            <w:r w:rsidRPr="00D4309F">
              <w:rPr>
                <w:color w:val="211E1F"/>
                <w:spacing w:val="-2"/>
                <w:sz w:val="18"/>
              </w:rPr>
              <w:t xml:space="preserve"> </w:t>
            </w:r>
            <w:r w:rsidRPr="00D4309F">
              <w:rPr>
                <w:color w:val="211E1F"/>
                <w:sz w:val="18"/>
              </w:rPr>
              <w:t>much</w:t>
            </w:r>
            <w:r w:rsidRPr="00D4309F">
              <w:rPr>
                <w:color w:val="211E1F"/>
                <w:spacing w:val="-3"/>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2"/>
                <w:sz w:val="18"/>
              </w:rPr>
              <w:t xml:space="preserve"> required</w:t>
            </w:r>
          </w:p>
        </w:tc>
        <w:tc>
          <w:tcPr>
            <w:tcW w:w="571" w:type="pct"/>
          </w:tcPr>
          <w:p w14:paraId="2D0E392C" w14:textId="68FEA216" w:rsidR="00785E37" w:rsidRPr="0019624B" w:rsidRDefault="00785E37" w:rsidP="00785E37">
            <w:pPr>
              <w:pStyle w:val="TableParagraph"/>
              <w:spacing w:before="41"/>
              <w:ind w:left="484"/>
              <w:rPr>
                <w:bCs/>
                <w:sz w:val="18"/>
              </w:rPr>
            </w:pPr>
            <w:r w:rsidRPr="00D4309F">
              <w:rPr>
                <w:color w:val="211E1F"/>
                <w:spacing w:val="-10"/>
                <w:sz w:val="18"/>
              </w:rPr>
              <w:t>4</w:t>
            </w:r>
          </w:p>
        </w:tc>
      </w:tr>
      <w:tr w:rsidR="00785E37" w:rsidRPr="00D4309F" w14:paraId="269C2E03" w14:textId="77777777">
        <w:trPr>
          <w:trHeight w:val="286"/>
        </w:trPr>
        <w:tc>
          <w:tcPr>
            <w:tcW w:w="1002" w:type="pct"/>
            <w:vMerge/>
          </w:tcPr>
          <w:p w14:paraId="38204268" w14:textId="77777777" w:rsidR="00785E37" w:rsidRPr="00D4309F" w:rsidRDefault="00785E37" w:rsidP="00785E37">
            <w:pPr>
              <w:pStyle w:val="TableParagraph"/>
              <w:rPr>
                <w:rFonts w:ascii="Times New Roman"/>
                <w:sz w:val="18"/>
              </w:rPr>
            </w:pPr>
          </w:p>
        </w:tc>
        <w:tc>
          <w:tcPr>
            <w:tcW w:w="3427" w:type="pct"/>
          </w:tcPr>
          <w:p w14:paraId="48A0680C" w14:textId="77777777" w:rsidR="00785E37" w:rsidRPr="00D4309F" w:rsidRDefault="00785E37" w:rsidP="00785E37">
            <w:pPr>
              <w:pStyle w:val="TableParagraph"/>
              <w:spacing w:before="39"/>
              <w:ind w:left="165"/>
              <w:rPr>
                <w:sz w:val="18"/>
              </w:rPr>
            </w:pPr>
            <w:r w:rsidRPr="00D4309F">
              <w:rPr>
                <w:color w:val="211E1F"/>
                <w:sz w:val="18"/>
              </w:rPr>
              <w:t>Capital</w:t>
            </w:r>
            <w:r w:rsidRPr="00D4309F">
              <w:rPr>
                <w:color w:val="211E1F"/>
                <w:spacing w:val="-5"/>
                <w:sz w:val="18"/>
              </w:rPr>
              <w:t xml:space="preserve"> </w:t>
            </w:r>
            <w:r w:rsidRPr="00D4309F">
              <w:rPr>
                <w:color w:val="211E1F"/>
                <w:sz w:val="18"/>
              </w:rPr>
              <w:t>works:</w:t>
            </w:r>
            <w:r w:rsidRPr="00D4309F">
              <w:rPr>
                <w:color w:val="211E1F"/>
                <w:spacing w:val="-1"/>
                <w:sz w:val="18"/>
              </w:rPr>
              <w:t xml:space="preserve"> </w:t>
            </w:r>
            <w:r w:rsidRPr="00D4309F">
              <w:rPr>
                <w:color w:val="211E1F"/>
                <w:sz w:val="18"/>
              </w:rPr>
              <w:t>how</w:t>
            </w:r>
            <w:r w:rsidRPr="00D4309F">
              <w:rPr>
                <w:color w:val="211E1F"/>
                <w:spacing w:val="-2"/>
                <w:sz w:val="18"/>
              </w:rPr>
              <w:t xml:space="preserve"> </w:t>
            </w:r>
            <w:r w:rsidRPr="00D4309F">
              <w:rPr>
                <w:color w:val="211E1F"/>
                <w:sz w:val="18"/>
              </w:rPr>
              <w:t>significant</w:t>
            </w:r>
            <w:r w:rsidRPr="00D4309F">
              <w:rPr>
                <w:color w:val="211E1F"/>
                <w:spacing w:val="-1"/>
                <w:sz w:val="18"/>
              </w:rPr>
              <w:t xml:space="preserve"> </w:t>
            </w:r>
            <w:r w:rsidRPr="00D4309F">
              <w:rPr>
                <w:color w:val="211E1F"/>
                <w:sz w:val="18"/>
              </w:rPr>
              <w:t>the</w:t>
            </w:r>
            <w:r w:rsidRPr="00D4309F">
              <w:rPr>
                <w:color w:val="211E1F"/>
                <w:spacing w:val="-4"/>
                <w:sz w:val="18"/>
              </w:rPr>
              <w:t xml:space="preserve"> </w:t>
            </w:r>
            <w:r w:rsidRPr="00D4309F">
              <w:rPr>
                <w:color w:val="211E1F"/>
                <w:sz w:val="18"/>
              </w:rPr>
              <w:t>capital</w:t>
            </w:r>
            <w:r w:rsidRPr="00D4309F">
              <w:rPr>
                <w:color w:val="211E1F"/>
                <w:spacing w:val="-2"/>
                <w:sz w:val="18"/>
              </w:rPr>
              <w:t xml:space="preserve"> </w:t>
            </w:r>
            <w:r w:rsidRPr="00D4309F">
              <w:rPr>
                <w:color w:val="211E1F"/>
                <w:sz w:val="18"/>
              </w:rPr>
              <w:t>works</w:t>
            </w:r>
            <w:r w:rsidRPr="00D4309F">
              <w:rPr>
                <w:color w:val="211E1F"/>
                <w:spacing w:val="-2"/>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and</w:t>
            </w:r>
            <w:r w:rsidRPr="00D4309F">
              <w:rPr>
                <w:color w:val="211E1F"/>
                <w:spacing w:val="-4"/>
                <w:sz w:val="18"/>
              </w:rPr>
              <w:t xml:space="preserve"> </w:t>
            </w:r>
            <w:r w:rsidRPr="00D4309F">
              <w:rPr>
                <w:color w:val="211E1F"/>
                <w:sz w:val="18"/>
              </w:rPr>
              <w:t>their</w:t>
            </w:r>
            <w:r w:rsidRPr="00D4309F">
              <w:rPr>
                <w:color w:val="211E1F"/>
                <w:spacing w:val="-2"/>
                <w:sz w:val="18"/>
              </w:rPr>
              <w:t xml:space="preserve"> </w:t>
            </w:r>
            <w:r w:rsidRPr="00D4309F">
              <w:rPr>
                <w:color w:val="211E1F"/>
                <w:sz w:val="18"/>
              </w:rPr>
              <w:t>impacts</w:t>
            </w:r>
            <w:r w:rsidRPr="00D4309F">
              <w:rPr>
                <w:color w:val="211E1F"/>
                <w:spacing w:val="-2"/>
                <w:sz w:val="18"/>
              </w:rPr>
              <w:t xml:space="preserve"> </w:t>
            </w:r>
            <w:r w:rsidRPr="00D4309F">
              <w:rPr>
                <w:color w:val="211E1F"/>
                <w:sz w:val="18"/>
              </w:rPr>
              <w:t>during</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pacing w:val="-2"/>
                <w:sz w:val="18"/>
              </w:rPr>
              <w:t>process</w:t>
            </w:r>
          </w:p>
        </w:tc>
        <w:tc>
          <w:tcPr>
            <w:tcW w:w="571" w:type="pct"/>
          </w:tcPr>
          <w:p w14:paraId="4CC46D26" w14:textId="27141ABC" w:rsidR="00785E37" w:rsidRPr="0019624B" w:rsidRDefault="00785E37" w:rsidP="00785E37">
            <w:pPr>
              <w:pStyle w:val="TableParagraph"/>
              <w:spacing w:before="39"/>
              <w:ind w:left="484"/>
              <w:rPr>
                <w:bCs/>
                <w:sz w:val="18"/>
              </w:rPr>
            </w:pPr>
            <w:r w:rsidRPr="00D4309F">
              <w:rPr>
                <w:color w:val="211E1F"/>
                <w:spacing w:val="-10"/>
                <w:sz w:val="18"/>
              </w:rPr>
              <w:t>5</w:t>
            </w:r>
          </w:p>
        </w:tc>
      </w:tr>
      <w:tr w:rsidR="00785E37" w:rsidRPr="00D4309F" w14:paraId="1435C588" w14:textId="77777777">
        <w:trPr>
          <w:trHeight w:val="287"/>
        </w:trPr>
        <w:tc>
          <w:tcPr>
            <w:tcW w:w="1002" w:type="pct"/>
            <w:vMerge/>
          </w:tcPr>
          <w:p w14:paraId="509DEF72" w14:textId="77777777" w:rsidR="00785E37" w:rsidRPr="00D4309F" w:rsidRDefault="00785E37" w:rsidP="00785E37">
            <w:pPr>
              <w:pStyle w:val="TableParagraph"/>
              <w:rPr>
                <w:rFonts w:ascii="Times New Roman"/>
                <w:sz w:val="18"/>
              </w:rPr>
            </w:pPr>
          </w:p>
        </w:tc>
        <w:tc>
          <w:tcPr>
            <w:tcW w:w="3427" w:type="pct"/>
          </w:tcPr>
          <w:p w14:paraId="55F7D7C2" w14:textId="77777777" w:rsidR="00785E37" w:rsidRPr="00D4309F" w:rsidRDefault="00785E37" w:rsidP="00785E37">
            <w:pPr>
              <w:pStyle w:val="TableParagraph"/>
              <w:spacing w:before="41"/>
              <w:ind w:left="165"/>
              <w:rPr>
                <w:sz w:val="18"/>
              </w:rPr>
            </w:pPr>
            <w:r w:rsidRPr="00D4309F">
              <w:rPr>
                <w:color w:val="211E1F"/>
                <w:sz w:val="18"/>
              </w:rPr>
              <w:t>Operational</w:t>
            </w:r>
            <w:r w:rsidRPr="00D4309F">
              <w:rPr>
                <w:color w:val="211E1F"/>
                <w:spacing w:val="-5"/>
                <w:sz w:val="18"/>
              </w:rPr>
              <w:t xml:space="preserve"> </w:t>
            </w:r>
            <w:r w:rsidRPr="00D4309F">
              <w:rPr>
                <w:color w:val="211E1F"/>
                <w:sz w:val="18"/>
              </w:rPr>
              <w:t>works:</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significant</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operational</w:t>
            </w:r>
            <w:r w:rsidRPr="00D4309F">
              <w:rPr>
                <w:color w:val="211E1F"/>
                <w:spacing w:val="-2"/>
                <w:sz w:val="18"/>
              </w:rPr>
              <w:t xml:space="preserve"> </w:t>
            </w:r>
            <w:r w:rsidRPr="00D4309F">
              <w:rPr>
                <w:color w:val="211E1F"/>
                <w:sz w:val="18"/>
              </w:rPr>
              <w:t>works</w:t>
            </w:r>
            <w:r w:rsidRPr="00D4309F">
              <w:rPr>
                <w:color w:val="211E1F"/>
                <w:spacing w:val="-3"/>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their</w:t>
            </w:r>
            <w:r w:rsidRPr="00D4309F">
              <w:rPr>
                <w:color w:val="211E1F"/>
                <w:spacing w:val="-3"/>
                <w:sz w:val="18"/>
              </w:rPr>
              <w:t xml:space="preserve"> </w:t>
            </w:r>
            <w:r w:rsidRPr="00D4309F">
              <w:rPr>
                <w:color w:val="211E1F"/>
                <w:sz w:val="18"/>
              </w:rPr>
              <w:t>impacts</w:t>
            </w:r>
            <w:r w:rsidRPr="00D4309F">
              <w:rPr>
                <w:color w:val="211E1F"/>
                <w:spacing w:val="-2"/>
                <w:sz w:val="18"/>
              </w:rPr>
              <w:t xml:space="preserve"> </w:t>
            </w:r>
            <w:r w:rsidRPr="00D4309F">
              <w:rPr>
                <w:color w:val="211E1F"/>
                <w:sz w:val="18"/>
              </w:rPr>
              <w:t>during</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pacing w:val="-2"/>
                <w:sz w:val="18"/>
              </w:rPr>
              <w:t>process</w:t>
            </w:r>
          </w:p>
        </w:tc>
        <w:tc>
          <w:tcPr>
            <w:tcW w:w="571" w:type="pct"/>
          </w:tcPr>
          <w:p w14:paraId="201D042C" w14:textId="78738F71" w:rsidR="00785E37" w:rsidRPr="0019624B" w:rsidRDefault="00785E37" w:rsidP="00785E37">
            <w:pPr>
              <w:pStyle w:val="TableParagraph"/>
              <w:spacing w:before="41"/>
              <w:ind w:left="485"/>
              <w:rPr>
                <w:bCs/>
                <w:sz w:val="18"/>
              </w:rPr>
            </w:pPr>
            <w:r w:rsidRPr="00D4309F">
              <w:rPr>
                <w:color w:val="211E1F"/>
                <w:spacing w:val="-10"/>
                <w:sz w:val="18"/>
              </w:rPr>
              <w:t>4</w:t>
            </w:r>
          </w:p>
        </w:tc>
      </w:tr>
      <w:tr w:rsidR="00785E37" w:rsidRPr="00D4309F" w14:paraId="12E7FCBE" w14:textId="77777777">
        <w:trPr>
          <w:trHeight w:val="286"/>
        </w:trPr>
        <w:tc>
          <w:tcPr>
            <w:tcW w:w="1002" w:type="pct"/>
            <w:vMerge/>
          </w:tcPr>
          <w:p w14:paraId="6DE7B910" w14:textId="77777777" w:rsidR="00785E37" w:rsidRPr="00D4309F" w:rsidRDefault="00785E37" w:rsidP="00785E37">
            <w:pPr>
              <w:pStyle w:val="TableParagraph"/>
              <w:rPr>
                <w:rFonts w:ascii="Times New Roman"/>
                <w:sz w:val="18"/>
              </w:rPr>
            </w:pPr>
          </w:p>
        </w:tc>
        <w:tc>
          <w:tcPr>
            <w:tcW w:w="3427" w:type="pct"/>
          </w:tcPr>
          <w:p w14:paraId="6DB37FAA" w14:textId="77777777" w:rsidR="00785E37" w:rsidRPr="00D4309F" w:rsidRDefault="00785E37" w:rsidP="00785E37">
            <w:pPr>
              <w:pStyle w:val="TableParagraph"/>
              <w:spacing w:before="39"/>
              <w:ind w:left="165"/>
              <w:rPr>
                <w:sz w:val="18"/>
              </w:rPr>
            </w:pPr>
            <w:r w:rsidRPr="00D4309F">
              <w:rPr>
                <w:color w:val="211E1F"/>
                <w:sz w:val="18"/>
              </w:rPr>
              <w:t>Future</w:t>
            </w:r>
            <w:r w:rsidRPr="00D4309F">
              <w:rPr>
                <w:color w:val="211E1F"/>
                <w:spacing w:val="-6"/>
                <w:sz w:val="18"/>
              </w:rPr>
              <w:t xml:space="preserve"> </w:t>
            </w:r>
            <w:r w:rsidRPr="00D4309F">
              <w:rPr>
                <w:color w:val="211E1F"/>
                <w:sz w:val="18"/>
              </w:rPr>
              <w:t>adaption:</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well</w:t>
            </w:r>
            <w:r w:rsidRPr="00D4309F">
              <w:rPr>
                <w:color w:val="211E1F"/>
                <w:spacing w:val="-2"/>
                <w:sz w:val="18"/>
              </w:rPr>
              <w:t xml:space="preserve"> </w:t>
            </w:r>
            <w:r w:rsidRPr="00D4309F">
              <w:rPr>
                <w:color w:val="211E1F"/>
                <w:sz w:val="18"/>
              </w:rPr>
              <w:t>the</w:t>
            </w:r>
            <w:r w:rsidRPr="00D4309F">
              <w:rPr>
                <w:color w:val="211E1F"/>
                <w:spacing w:val="-1"/>
                <w:sz w:val="18"/>
              </w:rPr>
              <w:t xml:space="preserve"> </w:t>
            </w:r>
            <w:r w:rsidRPr="00D4309F">
              <w:rPr>
                <w:color w:val="211E1F"/>
                <w:sz w:val="18"/>
              </w:rPr>
              <w:t>option</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adapted</w:t>
            </w:r>
            <w:r w:rsidRPr="00D4309F">
              <w:rPr>
                <w:color w:val="211E1F"/>
                <w:spacing w:val="-3"/>
                <w:sz w:val="18"/>
              </w:rPr>
              <w:t xml:space="preserve"> </w:t>
            </w:r>
            <w:r w:rsidRPr="00D4309F">
              <w:rPr>
                <w:color w:val="211E1F"/>
                <w:sz w:val="18"/>
              </w:rPr>
              <w:t>to</w:t>
            </w:r>
            <w:r w:rsidRPr="00D4309F">
              <w:rPr>
                <w:color w:val="211E1F"/>
                <w:spacing w:val="-3"/>
                <w:sz w:val="18"/>
              </w:rPr>
              <w:t xml:space="preserve"> </w:t>
            </w:r>
            <w:r w:rsidRPr="00D4309F">
              <w:rPr>
                <w:color w:val="211E1F"/>
                <w:sz w:val="18"/>
              </w:rPr>
              <w:t>future</w:t>
            </w:r>
            <w:r w:rsidRPr="00D4309F">
              <w:rPr>
                <w:color w:val="211E1F"/>
                <w:spacing w:val="-3"/>
                <w:sz w:val="18"/>
              </w:rPr>
              <w:t xml:space="preserve"> </w:t>
            </w:r>
            <w:r w:rsidRPr="00D4309F">
              <w:rPr>
                <w:color w:val="211E1F"/>
                <w:spacing w:val="-2"/>
                <w:sz w:val="18"/>
              </w:rPr>
              <w:t>conditions</w:t>
            </w:r>
          </w:p>
        </w:tc>
        <w:tc>
          <w:tcPr>
            <w:tcW w:w="571" w:type="pct"/>
          </w:tcPr>
          <w:p w14:paraId="1A35897B" w14:textId="77774F1F" w:rsidR="00785E37" w:rsidRPr="0019624B" w:rsidRDefault="00785E37" w:rsidP="00785E37">
            <w:pPr>
              <w:pStyle w:val="TableParagraph"/>
              <w:spacing w:before="39"/>
              <w:ind w:left="485"/>
              <w:rPr>
                <w:bCs/>
                <w:sz w:val="18"/>
              </w:rPr>
            </w:pPr>
            <w:r w:rsidRPr="00D4309F">
              <w:rPr>
                <w:color w:val="211E1F"/>
                <w:spacing w:val="-10"/>
                <w:sz w:val="18"/>
              </w:rPr>
              <w:t>3</w:t>
            </w:r>
          </w:p>
        </w:tc>
      </w:tr>
      <w:tr w:rsidR="00785E37" w:rsidRPr="00D4309F" w14:paraId="243BD071" w14:textId="77777777">
        <w:trPr>
          <w:trHeight w:val="287"/>
        </w:trPr>
        <w:tc>
          <w:tcPr>
            <w:tcW w:w="1002" w:type="pct"/>
            <w:vMerge/>
          </w:tcPr>
          <w:p w14:paraId="68D7BC51" w14:textId="77777777" w:rsidR="00785E37" w:rsidRPr="00D4309F" w:rsidRDefault="00785E37" w:rsidP="00785E37">
            <w:pPr>
              <w:pStyle w:val="TableParagraph"/>
              <w:rPr>
                <w:rFonts w:ascii="Times New Roman"/>
                <w:sz w:val="18"/>
              </w:rPr>
            </w:pPr>
          </w:p>
        </w:tc>
        <w:tc>
          <w:tcPr>
            <w:tcW w:w="3427" w:type="pct"/>
          </w:tcPr>
          <w:p w14:paraId="37607194" w14:textId="77777777" w:rsidR="00785E37" w:rsidRPr="00D4309F" w:rsidRDefault="00785E37" w:rsidP="00785E37">
            <w:pPr>
              <w:pStyle w:val="TableParagraph"/>
              <w:rPr>
                <w:rFonts w:ascii="Times New Roman"/>
                <w:sz w:val="18"/>
              </w:rPr>
            </w:pPr>
          </w:p>
        </w:tc>
        <w:tc>
          <w:tcPr>
            <w:tcW w:w="571" w:type="pct"/>
          </w:tcPr>
          <w:p w14:paraId="09F201CD" w14:textId="77777777" w:rsidR="00785E37" w:rsidRPr="00D4309F" w:rsidRDefault="00785E37" w:rsidP="00785E37">
            <w:pPr>
              <w:pStyle w:val="TableParagraph"/>
              <w:rPr>
                <w:rFonts w:ascii="Times New Roman"/>
                <w:sz w:val="18"/>
              </w:rPr>
            </w:pPr>
          </w:p>
        </w:tc>
      </w:tr>
      <w:tr w:rsidR="00785E37" w:rsidRPr="00D4309F" w14:paraId="39B142FC" w14:textId="77777777">
        <w:trPr>
          <w:trHeight w:val="286"/>
        </w:trPr>
        <w:tc>
          <w:tcPr>
            <w:tcW w:w="1002" w:type="pct"/>
            <w:vMerge/>
          </w:tcPr>
          <w:p w14:paraId="25B85705" w14:textId="77777777" w:rsidR="00785E37" w:rsidRPr="00D4309F" w:rsidRDefault="00785E37" w:rsidP="00785E37">
            <w:pPr>
              <w:pStyle w:val="TableParagraph"/>
              <w:rPr>
                <w:rFonts w:ascii="Times New Roman"/>
                <w:sz w:val="18"/>
              </w:rPr>
            </w:pPr>
          </w:p>
        </w:tc>
        <w:tc>
          <w:tcPr>
            <w:tcW w:w="3427" w:type="pct"/>
          </w:tcPr>
          <w:p w14:paraId="2BEF17BC" w14:textId="77777777" w:rsidR="00785E37" w:rsidRPr="00D4309F" w:rsidRDefault="00785E37" w:rsidP="00785E37">
            <w:pPr>
              <w:pStyle w:val="TableParagraph"/>
              <w:spacing w:before="39"/>
              <w:ind w:left="165"/>
              <w:rPr>
                <w:b/>
                <w:sz w:val="18"/>
              </w:rPr>
            </w:pPr>
            <w:r w:rsidRPr="00D4309F">
              <w:rPr>
                <w:b/>
                <w:color w:val="211E1F"/>
                <w:sz w:val="18"/>
              </w:rPr>
              <w:t>Sub-</w:t>
            </w:r>
            <w:r w:rsidRPr="00D4309F">
              <w:rPr>
                <w:b/>
                <w:color w:val="211E1F"/>
                <w:spacing w:val="-2"/>
                <w:sz w:val="18"/>
              </w:rPr>
              <w:t>total</w:t>
            </w:r>
          </w:p>
        </w:tc>
        <w:tc>
          <w:tcPr>
            <w:tcW w:w="571" w:type="pct"/>
          </w:tcPr>
          <w:p w14:paraId="0E6E54A0" w14:textId="5F5C5DB3" w:rsidR="00785E37" w:rsidRPr="00D4309F" w:rsidRDefault="00785E37" w:rsidP="00785E37">
            <w:pPr>
              <w:pStyle w:val="TableParagraph"/>
              <w:spacing w:before="39"/>
              <w:ind w:left="485"/>
              <w:rPr>
                <w:b/>
                <w:sz w:val="18"/>
              </w:rPr>
            </w:pPr>
            <w:r w:rsidRPr="00D4309F">
              <w:rPr>
                <w:b/>
                <w:sz w:val="18"/>
              </w:rPr>
              <w:t>22</w:t>
            </w:r>
          </w:p>
        </w:tc>
      </w:tr>
      <w:tr w:rsidR="00785E37" w:rsidRPr="00D4309F" w14:paraId="76F5F107" w14:textId="77777777">
        <w:trPr>
          <w:trHeight w:val="287"/>
        </w:trPr>
        <w:tc>
          <w:tcPr>
            <w:tcW w:w="1002" w:type="pct"/>
            <w:vMerge w:val="restart"/>
          </w:tcPr>
          <w:p w14:paraId="6063949D" w14:textId="77777777" w:rsidR="00785E37" w:rsidRPr="00D4309F" w:rsidRDefault="00785E37" w:rsidP="00785E37">
            <w:pPr>
              <w:pStyle w:val="TableParagraph"/>
              <w:spacing w:before="41"/>
              <w:ind w:left="165"/>
              <w:rPr>
                <w:b/>
                <w:sz w:val="18"/>
              </w:rPr>
            </w:pPr>
            <w:r w:rsidRPr="00D4309F">
              <w:rPr>
                <w:b/>
                <w:color w:val="211E1F"/>
                <w:spacing w:val="-2"/>
                <w:sz w:val="18"/>
              </w:rPr>
              <w:t>Safety</w:t>
            </w:r>
          </w:p>
        </w:tc>
        <w:tc>
          <w:tcPr>
            <w:tcW w:w="3427" w:type="pct"/>
          </w:tcPr>
          <w:p w14:paraId="6749276B" w14:textId="77777777" w:rsidR="00785E37" w:rsidRPr="00D4309F" w:rsidRDefault="00785E37" w:rsidP="00785E37">
            <w:pPr>
              <w:pStyle w:val="TableParagraph"/>
              <w:spacing w:before="41"/>
              <w:ind w:left="166"/>
              <w:rPr>
                <w:sz w:val="18"/>
              </w:rPr>
            </w:pPr>
            <w:r w:rsidRPr="00D4309F">
              <w:rPr>
                <w:color w:val="211E1F"/>
                <w:sz w:val="18"/>
              </w:rPr>
              <w:t>Reliability</w:t>
            </w:r>
            <w:r w:rsidRPr="00D4309F">
              <w:rPr>
                <w:color w:val="211E1F"/>
                <w:spacing w:val="-5"/>
                <w:sz w:val="18"/>
              </w:rPr>
              <w:t xml:space="preserve"> </w:t>
            </w:r>
            <w:r w:rsidRPr="00D4309F">
              <w:rPr>
                <w:color w:val="211E1F"/>
                <w:sz w:val="18"/>
              </w:rPr>
              <w:t>of</w:t>
            </w:r>
            <w:r w:rsidRPr="00D4309F">
              <w:rPr>
                <w:color w:val="211E1F"/>
                <w:spacing w:val="-4"/>
                <w:sz w:val="18"/>
              </w:rPr>
              <w:t xml:space="preserve"> </w:t>
            </w:r>
            <w:r w:rsidRPr="00D4309F">
              <w:rPr>
                <w:color w:val="211E1F"/>
                <w:sz w:val="18"/>
              </w:rPr>
              <w:t>all-tide</w:t>
            </w:r>
            <w:r w:rsidRPr="00D4309F">
              <w:rPr>
                <w:color w:val="211E1F"/>
                <w:spacing w:val="-4"/>
                <w:sz w:val="18"/>
              </w:rPr>
              <w:t xml:space="preserve"> </w:t>
            </w:r>
            <w:r w:rsidRPr="00D4309F">
              <w:rPr>
                <w:color w:val="211E1F"/>
                <w:spacing w:val="-2"/>
                <w:sz w:val="18"/>
              </w:rPr>
              <w:t>access</w:t>
            </w:r>
          </w:p>
        </w:tc>
        <w:tc>
          <w:tcPr>
            <w:tcW w:w="571" w:type="pct"/>
          </w:tcPr>
          <w:p w14:paraId="7C7A32A5" w14:textId="53F681A6" w:rsidR="00785E37" w:rsidRPr="0019624B" w:rsidRDefault="00785E37" w:rsidP="00785E37">
            <w:pPr>
              <w:pStyle w:val="TableParagraph"/>
              <w:spacing w:before="41"/>
              <w:ind w:left="485"/>
              <w:rPr>
                <w:bCs/>
                <w:sz w:val="18"/>
              </w:rPr>
            </w:pPr>
            <w:r w:rsidRPr="00D4309F">
              <w:rPr>
                <w:color w:val="211E1F"/>
                <w:spacing w:val="-10"/>
                <w:sz w:val="18"/>
              </w:rPr>
              <w:t>1</w:t>
            </w:r>
          </w:p>
        </w:tc>
      </w:tr>
      <w:tr w:rsidR="00785E37" w:rsidRPr="00D4309F" w14:paraId="22A1E178" w14:textId="77777777">
        <w:trPr>
          <w:trHeight w:val="286"/>
        </w:trPr>
        <w:tc>
          <w:tcPr>
            <w:tcW w:w="1002" w:type="pct"/>
            <w:vMerge/>
          </w:tcPr>
          <w:p w14:paraId="542C9AF1" w14:textId="77777777" w:rsidR="00785E37" w:rsidRPr="00D4309F" w:rsidRDefault="00785E37" w:rsidP="00785E37">
            <w:pPr>
              <w:pStyle w:val="TableParagraph"/>
              <w:rPr>
                <w:rFonts w:ascii="Times New Roman"/>
                <w:sz w:val="18"/>
              </w:rPr>
            </w:pPr>
          </w:p>
        </w:tc>
        <w:tc>
          <w:tcPr>
            <w:tcW w:w="3427" w:type="pct"/>
          </w:tcPr>
          <w:p w14:paraId="4E410410" w14:textId="77777777" w:rsidR="00785E37" w:rsidRPr="00D4309F" w:rsidRDefault="00785E37" w:rsidP="00785E37">
            <w:pPr>
              <w:pStyle w:val="TableParagraph"/>
              <w:spacing w:before="39"/>
              <w:ind w:left="165"/>
              <w:rPr>
                <w:sz w:val="18"/>
              </w:rPr>
            </w:pPr>
            <w:r w:rsidRPr="00D4309F">
              <w:rPr>
                <w:color w:val="211E1F"/>
                <w:sz w:val="18"/>
              </w:rPr>
              <w:t>Clarity</w:t>
            </w:r>
            <w:r w:rsidRPr="00D4309F">
              <w:rPr>
                <w:color w:val="211E1F"/>
                <w:spacing w:val="-3"/>
                <w:sz w:val="18"/>
              </w:rPr>
              <w:t xml:space="preserve"> </w:t>
            </w:r>
            <w:r w:rsidRPr="00D4309F">
              <w:rPr>
                <w:color w:val="211E1F"/>
                <w:sz w:val="18"/>
              </w:rPr>
              <w:t>of</w:t>
            </w:r>
            <w:r w:rsidRPr="00D4309F">
              <w:rPr>
                <w:color w:val="211E1F"/>
                <w:spacing w:val="-2"/>
                <w:sz w:val="18"/>
              </w:rPr>
              <w:t xml:space="preserve"> navigation</w:t>
            </w:r>
          </w:p>
        </w:tc>
        <w:tc>
          <w:tcPr>
            <w:tcW w:w="571" w:type="pct"/>
          </w:tcPr>
          <w:p w14:paraId="2F45C4F6" w14:textId="3C86DCF5" w:rsidR="00785E37" w:rsidRPr="0019624B" w:rsidRDefault="00785E37" w:rsidP="00785E37">
            <w:pPr>
              <w:pStyle w:val="TableParagraph"/>
              <w:spacing w:before="39"/>
              <w:ind w:left="485"/>
              <w:rPr>
                <w:bCs/>
                <w:sz w:val="18"/>
              </w:rPr>
            </w:pPr>
            <w:r w:rsidRPr="00D4309F">
              <w:rPr>
                <w:color w:val="211E1F"/>
                <w:spacing w:val="-10"/>
                <w:sz w:val="18"/>
              </w:rPr>
              <w:t>1</w:t>
            </w:r>
          </w:p>
        </w:tc>
      </w:tr>
      <w:tr w:rsidR="00785E37" w:rsidRPr="00D4309F" w14:paraId="279A4A00" w14:textId="77777777">
        <w:trPr>
          <w:trHeight w:val="287"/>
        </w:trPr>
        <w:tc>
          <w:tcPr>
            <w:tcW w:w="1002" w:type="pct"/>
            <w:vMerge/>
          </w:tcPr>
          <w:p w14:paraId="375372BD" w14:textId="77777777" w:rsidR="00785E37" w:rsidRPr="00D4309F" w:rsidRDefault="00785E37" w:rsidP="00785E37">
            <w:pPr>
              <w:pStyle w:val="TableParagraph"/>
              <w:rPr>
                <w:rFonts w:ascii="Times New Roman"/>
                <w:sz w:val="18"/>
              </w:rPr>
            </w:pPr>
          </w:p>
        </w:tc>
        <w:tc>
          <w:tcPr>
            <w:tcW w:w="3427" w:type="pct"/>
          </w:tcPr>
          <w:p w14:paraId="176594B4" w14:textId="77777777" w:rsidR="00785E37" w:rsidRPr="00D4309F" w:rsidRDefault="00785E37" w:rsidP="00785E37">
            <w:pPr>
              <w:pStyle w:val="TableParagraph"/>
              <w:spacing w:before="41"/>
              <w:ind w:left="165"/>
              <w:rPr>
                <w:sz w:val="18"/>
              </w:rPr>
            </w:pPr>
            <w:r w:rsidRPr="00D4309F">
              <w:rPr>
                <w:color w:val="211E1F"/>
                <w:sz w:val="18"/>
              </w:rPr>
              <w:t>Mariner</w:t>
            </w:r>
            <w:r w:rsidRPr="00D4309F">
              <w:rPr>
                <w:color w:val="211E1F"/>
                <w:spacing w:val="-6"/>
                <w:sz w:val="18"/>
              </w:rPr>
              <w:t xml:space="preserve"> </w:t>
            </w:r>
            <w:r w:rsidRPr="00D4309F">
              <w:rPr>
                <w:color w:val="211E1F"/>
                <w:spacing w:val="-2"/>
                <w:sz w:val="18"/>
              </w:rPr>
              <w:t>safety</w:t>
            </w:r>
          </w:p>
        </w:tc>
        <w:tc>
          <w:tcPr>
            <w:tcW w:w="571" w:type="pct"/>
          </w:tcPr>
          <w:p w14:paraId="2F068147" w14:textId="0E95E1E8" w:rsidR="00785E37" w:rsidRPr="0019624B" w:rsidRDefault="00785E37" w:rsidP="00785E37">
            <w:pPr>
              <w:pStyle w:val="TableParagraph"/>
              <w:spacing w:before="41"/>
              <w:ind w:left="485"/>
              <w:rPr>
                <w:bCs/>
                <w:sz w:val="18"/>
              </w:rPr>
            </w:pPr>
            <w:r w:rsidRPr="00D4309F">
              <w:rPr>
                <w:color w:val="211E1F"/>
                <w:spacing w:val="-10"/>
                <w:sz w:val="18"/>
              </w:rPr>
              <w:t>2</w:t>
            </w:r>
          </w:p>
        </w:tc>
      </w:tr>
      <w:tr w:rsidR="00785E37" w:rsidRPr="00D4309F" w14:paraId="2594B70A" w14:textId="77777777">
        <w:trPr>
          <w:trHeight w:val="286"/>
        </w:trPr>
        <w:tc>
          <w:tcPr>
            <w:tcW w:w="1002" w:type="pct"/>
            <w:vMerge/>
          </w:tcPr>
          <w:p w14:paraId="6515A73B" w14:textId="77777777" w:rsidR="00785E37" w:rsidRPr="00D4309F" w:rsidRDefault="00785E37" w:rsidP="00785E37">
            <w:pPr>
              <w:pStyle w:val="TableParagraph"/>
              <w:rPr>
                <w:rFonts w:ascii="Times New Roman"/>
                <w:sz w:val="18"/>
              </w:rPr>
            </w:pPr>
          </w:p>
        </w:tc>
        <w:tc>
          <w:tcPr>
            <w:tcW w:w="3427" w:type="pct"/>
          </w:tcPr>
          <w:p w14:paraId="0ABD7C58" w14:textId="77777777" w:rsidR="00785E37" w:rsidRPr="00D4309F" w:rsidRDefault="00785E37" w:rsidP="00785E37">
            <w:pPr>
              <w:pStyle w:val="TableParagraph"/>
              <w:spacing w:before="39"/>
              <w:ind w:left="165"/>
              <w:rPr>
                <w:color w:val="211E1F"/>
                <w:spacing w:val="-2"/>
                <w:sz w:val="18"/>
              </w:rPr>
            </w:pPr>
          </w:p>
        </w:tc>
        <w:tc>
          <w:tcPr>
            <w:tcW w:w="571" w:type="pct"/>
          </w:tcPr>
          <w:p w14:paraId="225803C1" w14:textId="77777777" w:rsidR="00785E37" w:rsidRPr="00D4309F" w:rsidRDefault="00785E37" w:rsidP="00785E37">
            <w:pPr>
              <w:pStyle w:val="TableParagraph"/>
              <w:spacing w:before="39"/>
              <w:ind w:left="484"/>
              <w:rPr>
                <w:color w:val="211E1F"/>
                <w:spacing w:val="-10"/>
                <w:sz w:val="18"/>
              </w:rPr>
            </w:pPr>
          </w:p>
        </w:tc>
      </w:tr>
      <w:tr w:rsidR="00785E37" w:rsidRPr="00D4309F" w14:paraId="12592D31" w14:textId="77777777">
        <w:trPr>
          <w:trHeight w:val="286"/>
        </w:trPr>
        <w:tc>
          <w:tcPr>
            <w:tcW w:w="1002" w:type="pct"/>
            <w:vMerge/>
          </w:tcPr>
          <w:p w14:paraId="553ECFC0" w14:textId="77777777" w:rsidR="00785E37" w:rsidRPr="00D4309F" w:rsidRDefault="00785E37" w:rsidP="00785E37">
            <w:pPr>
              <w:pStyle w:val="TableParagraph"/>
              <w:rPr>
                <w:rFonts w:ascii="Times New Roman"/>
                <w:sz w:val="18"/>
              </w:rPr>
            </w:pPr>
          </w:p>
        </w:tc>
        <w:tc>
          <w:tcPr>
            <w:tcW w:w="3427" w:type="pct"/>
          </w:tcPr>
          <w:p w14:paraId="65B4DFC6" w14:textId="77777777" w:rsidR="00785E37" w:rsidRPr="00230A0A" w:rsidRDefault="00785E37" w:rsidP="00785E37">
            <w:pPr>
              <w:pStyle w:val="TableParagraph"/>
              <w:spacing w:before="39"/>
              <w:ind w:left="165"/>
              <w:rPr>
                <w:b/>
                <w:bCs/>
                <w:sz w:val="18"/>
              </w:rPr>
            </w:pPr>
            <w:r w:rsidRPr="00230A0A">
              <w:rPr>
                <w:b/>
                <w:bCs/>
                <w:color w:val="211E1F"/>
                <w:spacing w:val="-2"/>
                <w:sz w:val="18"/>
              </w:rPr>
              <w:t>Sub-total</w:t>
            </w:r>
          </w:p>
        </w:tc>
        <w:tc>
          <w:tcPr>
            <w:tcW w:w="571" w:type="pct"/>
          </w:tcPr>
          <w:p w14:paraId="66F9A5C4" w14:textId="02E7F09D" w:rsidR="00785E37" w:rsidRPr="00230A0A" w:rsidRDefault="00785E37" w:rsidP="00785E37">
            <w:pPr>
              <w:pStyle w:val="TableParagraph"/>
              <w:spacing w:before="39"/>
              <w:ind w:left="484"/>
              <w:rPr>
                <w:b/>
                <w:bCs/>
                <w:sz w:val="18"/>
              </w:rPr>
            </w:pPr>
            <w:r w:rsidRPr="00D4309F">
              <w:rPr>
                <w:b/>
                <w:color w:val="211E1F"/>
                <w:spacing w:val="-10"/>
                <w:sz w:val="18"/>
              </w:rPr>
              <w:t>4</w:t>
            </w:r>
          </w:p>
        </w:tc>
      </w:tr>
      <w:tr w:rsidR="00785E37" w:rsidRPr="00D4309F" w14:paraId="604D7B2D" w14:textId="77777777">
        <w:trPr>
          <w:trHeight w:val="287"/>
        </w:trPr>
        <w:tc>
          <w:tcPr>
            <w:tcW w:w="1002" w:type="pct"/>
            <w:vMerge w:val="restart"/>
          </w:tcPr>
          <w:p w14:paraId="0227743E" w14:textId="77777777" w:rsidR="00785E37" w:rsidRPr="00D4309F" w:rsidRDefault="00785E37" w:rsidP="00785E37">
            <w:pPr>
              <w:pStyle w:val="TableParagraph"/>
              <w:spacing w:before="41"/>
              <w:ind w:left="165"/>
              <w:rPr>
                <w:b/>
                <w:sz w:val="18"/>
              </w:rPr>
            </w:pPr>
            <w:r w:rsidRPr="00D4309F">
              <w:rPr>
                <w:b/>
                <w:color w:val="211E1F"/>
                <w:sz w:val="18"/>
              </w:rPr>
              <w:t>Social</w:t>
            </w:r>
            <w:r w:rsidRPr="00D4309F">
              <w:rPr>
                <w:b/>
                <w:color w:val="211E1F"/>
                <w:spacing w:val="-2"/>
                <w:sz w:val="18"/>
              </w:rPr>
              <w:t xml:space="preserve"> </w:t>
            </w:r>
            <w:r w:rsidRPr="00D4309F">
              <w:rPr>
                <w:b/>
                <w:color w:val="211E1F"/>
                <w:sz w:val="18"/>
              </w:rPr>
              <w:t>and</w:t>
            </w:r>
            <w:r w:rsidRPr="00D4309F">
              <w:rPr>
                <w:b/>
                <w:color w:val="211E1F"/>
                <w:spacing w:val="-2"/>
                <w:sz w:val="18"/>
              </w:rPr>
              <w:t xml:space="preserve"> economic</w:t>
            </w:r>
          </w:p>
        </w:tc>
        <w:tc>
          <w:tcPr>
            <w:tcW w:w="3427" w:type="pct"/>
          </w:tcPr>
          <w:p w14:paraId="3EA30DEB" w14:textId="77777777" w:rsidR="00785E37" w:rsidRPr="00D4309F" w:rsidRDefault="00785E37" w:rsidP="00785E37">
            <w:pPr>
              <w:pStyle w:val="TableParagraph"/>
              <w:spacing w:before="41"/>
              <w:ind w:left="166"/>
              <w:rPr>
                <w:sz w:val="18"/>
              </w:rPr>
            </w:pPr>
            <w:r w:rsidRPr="00D4309F">
              <w:rPr>
                <w:color w:val="211E1F"/>
                <w:sz w:val="18"/>
              </w:rPr>
              <w:t>Consistency</w:t>
            </w:r>
            <w:r w:rsidRPr="00D4309F">
              <w:rPr>
                <w:color w:val="211E1F"/>
                <w:spacing w:val="-5"/>
                <w:sz w:val="18"/>
              </w:rPr>
              <w:t xml:space="preserve"> </w:t>
            </w:r>
            <w:r w:rsidRPr="00D4309F">
              <w:rPr>
                <w:color w:val="211E1F"/>
                <w:sz w:val="18"/>
              </w:rPr>
              <w:t>with</w:t>
            </w:r>
            <w:r w:rsidRPr="00D4309F">
              <w:rPr>
                <w:color w:val="211E1F"/>
                <w:spacing w:val="-3"/>
                <w:sz w:val="18"/>
              </w:rPr>
              <w:t xml:space="preserve"> </w:t>
            </w:r>
            <w:r w:rsidRPr="00D4309F">
              <w:rPr>
                <w:color w:val="211E1F"/>
                <w:sz w:val="18"/>
              </w:rPr>
              <w:t>SRG</w:t>
            </w:r>
            <w:r w:rsidRPr="00D4309F">
              <w:rPr>
                <w:color w:val="211E1F"/>
                <w:spacing w:val="-3"/>
                <w:sz w:val="18"/>
              </w:rPr>
              <w:t xml:space="preserve"> </w:t>
            </w:r>
            <w:r w:rsidRPr="00D4309F">
              <w:rPr>
                <w:color w:val="211E1F"/>
                <w:sz w:val="18"/>
              </w:rPr>
              <w:t>preference</w:t>
            </w:r>
            <w:r w:rsidRPr="00D4309F">
              <w:rPr>
                <w:color w:val="211E1F"/>
                <w:spacing w:val="-3"/>
                <w:sz w:val="18"/>
              </w:rPr>
              <w:t xml:space="preserve"> </w:t>
            </w:r>
            <w:r w:rsidRPr="00D4309F">
              <w:rPr>
                <w:color w:val="211E1F"/>
                <w:sz w:val="18"/>
              </w:rPr>
              <w:t>for</w:t>
            </w:r>
            <w:r w:rsidRPr="00D4309F">
              <w:rPr>
                <w:color w:val="211E1F"/>
                <w:spacing w:val="-3"/>
                <w:sz w:val="18"/>
              </w:rPr>
              <w:t xml:space="preserve"> </w:t>
            </w:r>
            <w:r w:rsidRPr="00D4309F">
              <w:rPr>
                <w:color w:val="211E1F"/>
                <w:sz w:val="18"/>
              </w:rPr>
              <w:t>lower</w:t>
            </w:r>
            <w:r w:rsidRPr="00D4309F">
              <w:rPr>
                <w:color w:val="211E1F"/>
                <w:spacing w:val="-2"/>
                <w:sz w:val="18"/>
              </w:rPr>
              <w:t xml:space="preserve"> </w:t>
            </w:r>
            <w:r w:rsidRPr="00D4309F">
              <w:rPr>
                <w:color w:val="211E1F"/>
                <w:sz w:val="18"/>
              </w:rPr>
              <w:t>impact,</w:t>
            </w:r>
            <w:r w:rsidRPr="00D4309F">
              <w:rPr>
                <w:color w:val="211E1F"/>
                <w:spacing w:val="-3"/>
                <w:sz w:val="18"/>
              </w:rPr>
              <w:t xml:space="preserve"> </w:t>
            </w:r>
            <w:r w:rsidRPr="00D4309F">
              <w:rPr>
                <w:color w:val="211E1F"/>
                <w:sz w:val="18"/>
              </w:rPr>
              <w:t>“softer”</w:t>
            </w:r>
            <w:r w:rsidRPr="00D4309F">
              <w:rPr>
                <w:color w:val="211E1F"/>
                <w:spacing w:val="-3"/>
                <w:sz w:val="18"/>
              </w:rPr>
              <w:t xml:space="preserve"> </w:t>
            </w:r>
            <w:r w:rsidRPr="00D4309F">
              <w:rPr>
                <w:color w:val="211E1F"/>
                <w:sz w:val="18"/>
              </w:rPr>
              <w:t>measures</w:t>
            </w:r>
            <w:r w:rsidRPr="00D4309F">
              <w:rPr>
                <w:color w:val="211E1F"/>
                <w:spacing w:val="-2"/>
                <w:sz w:val="18"/>
              </w:rPr>
              <w:t xml:space="preserve"> </w:t>
            </w:r>
            <w:r w:rsidRPr="00D4309F">
              <w:rPr>
                <w:color w:val="211E1F"/>
                <w:sz w:val="18"/>
              </w:rPr>
              <w:t>where</w:t>
            </w:r>
            <w:r w:rsidRPr="00D4309F">
              <w:rPr>
                <w:color w:val="211E1F"/>
                <w:spacing w:val="-3"/>
                <w:sz w:val="18"/>
              </w:rPr>
              <w:t xml:space="preserve"> </w:t>
            </w:r>
            <w:r w:rsidRPr="00D4309F">
              <w:rPr>
                <w:color w:val="211E1F"/>
                <w:spacing w:val="-2"/>
                <w:sz w:val="18"/>
              </w:rPr>
              <w:t>practicable.</w:t>
            </w:r>
          </w:p>
        </w:tc>
        <w:tc>
          <w:tcPr>
            <w:tcW w:w="571" w:type="pct"/>
          </w:tcPr>
          <w:p w14:paraId="1059CE56" w14:textId="6EB4D84B" w:rsidR="00785E37" w:rsidRPr="0019624B" w:rsidRDefault="00785E37" w:rsidP="00785E37">
            <w:pPr>
              <w:pStyle w:val="TableParagraph"/>
              <w:spacing w:before="41"/>
              <w:ind w:left="485"/>
              <w:rPr>
                <w:bCs/>
                <w:sz w:val="18"/>
              </w:rPr>
            </w:pPr>
            <w:r w:rsidRPr="00D4309F">
              <w:rPr>
                <w:color w:val="211E1F"/>
                <w:spacing w:val="-10"/>
                <w:sz w:val="18"/>
              </w:rPr>
              <w:t>5</w:t>
            </w:r>
          </w:p>
        </w:tc>
      </w:tr>
      <w:tr w:rsidR="00785E37" w:rsidRPr="00D4309F" w14:paraId="188A7736" w14:textId="77777777">
        <w:trPr>
          <w:trHeight w:val="286"/>
        </w:trPr>
        <w:tc>
          <w:tcPr>
            <w:tcW w:w="1002" w:type="pct"/>
            <w:vMerge/>
          </w:tcPr>
          <w:p w14:paraId="177B678F" w14:textId="77777777" w:rsidR="00785E37" w:rsidRPr="00D4309F" w:rsidRDefault="00785E37" w:rsidP="00785E37">
            <w:pPr>
              <w:pStyle w:val="TableParagraph"/>
              <w:rPr>
                <w:rFonts w:ascii="Times New Roman"/>
                <w:sz w:val="18"/>
              </w:rPr>
            </w:pPr>
          </w:p>
        </w:tc>
        <w:tc>
          <w:tcPr>
            <w:tcW w:w="3427" w:type="pct"/>
          </w:tcPr>
          <w:p w14:paraId="7440963D" w14:textId="77777777" w:rsidR="00785E37" w:rsidRPr="00D4309F" w:rsidRDefault="00785E37" w:rsidP="00785E37">
            <w:pPr>
              <w:pStyle w:val="TableParagraph"/>
              <w:spacing w:before="39"/>
              <w:ind w:left="165"/>
              <w:rPr>
                <w:sz w:val="18"/>
              </w:rPr>
            </w:pPr>
            <w:r w:rsidRPr="00D4309F">
              <w:rPr>
                <w:color w:val="211E1F"/>
                <w:sz w:val="18"/>
              </w:rPr>
              <w:t>Traditional</w:t>
            </w:r>
            <w:r w:rsidRPr="00D4309F">
              <w:rPr>
                <w:color w:val="211E1F"/>
                <w:spacing w:val="-3"/>
                <w:sz w:val="18"/>
              </w:rPr>
              <w:t xml:space="preserve"> </w:t>
            </w:r>
            <w:r w:rsidRPr="00D4309F">
              <w:rPr>
                <w:color w:val="211E1F"/>
                <w:sz w:val="18"/>
              </w:rPr>
              <w:t>Owners</w:t>
            </w:r>
            <w:r w:rsidRPr="00D4309F">
              <w:rPr>
                <w:color w:val="211E1F"/>
                <w:spacing w:val="-3"/>
                <w:sz w:val="18"/>
              </w:rPr>
              <w:t xml:space="preserve"> </w:t>
            </w:r>
            <w:r w:rsidRPr="00D4309F">
              <w:rPr>
                <w:color w:val="211E1F"/>
                <w:sz w:val="18"/>
              </w:rPr>
              <w:t>do</w:t>
            </w:r>
            <w:r w:rsidRPr="00D4309F">
              <w:rPr>
                <w:color w:val="211E1F"/>
                <w:spacing w:val="-3"/>
                <w:sz w:val="18"/>
              </w:rPr>
              <w:t xml:space="preserve"> </w:t>
            </w:r>
            <w:r w:rsidRPr="00D4309F">
              <w:rPr>
                <w:color w:val="211E1F"/>
                <w:sz w:val="18"/>
              </w:rPr>
              <w:t>not</w:t>
            </w:r>
            <w:r w:rsidRPr="00D4309F">
              <w:rPr>
                <w:color w:val="211E1F"/>
                <w:spacing w:val="-3"/>
                <w:sz w:val="18"/>
              </w:rPr>
              <w:t xml:space="preserve"> </w:t>
            </w:r>
            <w:r w:rsidRPr="00D4309F">
              <w:rPr>
                <w:color w:val="211E1F"/>
                <w:sz w:val="18"/>
              </w:rPr>
              <w:t>experience</w:t>
            </w:r>
            <w:r w:rsidRPr="00D4309F">
              <w:rPr>
                <w:color w:val="211E1F"/>
                <w:spacing w:val="-3"/>
                <w:sz w:val="18"/>
              </w:rPr>
              <w:t xml:space="preserve"> </w:t>
            </w:r>
            <w:r w:rsidRPr="00D4309F">
              <w:rPr>
                <w:color w:val="211E1F"/>
                <w:sz w:val="18"/>
              </w:rPr>
              <w:t>disturbance</w:t>
            </w:r>
            <w:r w:rsidRPr="00D4309F">
              <w:rPr>
                <w:color w:val="211E1F"/>
                <w:spacing w:val="-3"/>
                <w:sz w:val="18"/>
              </w:rPr>
              <w:t xml:space="preserve"> </w:t>
            </w:r>
            <w:r w:rsidRPr="00D4309F">
              <w:rPr>
                <w:color w:val="211E1F"/>
                <w:sz w:val="18"/>
              </w:rPr>
              <w:t>to</w:t>
            </w:r>
            <w:r w:rsidRPr="00D4309F">
              <w:rPr>
                <w:color w:val="211E1F"/>
                <w:spacing w:val="-4"/>
                <w:sz w:val="18"/>
              </w:rPr>
              <w:t xml:space="preserve"> </w:t>
            </w:r>
            <w:r w:rsidRPr="00D4309F">
              <w:rPr>
                <w:color w:val="211E1F"/>
                <w:sz w:val="18"/>
              </w:rPr>
              <w:t>cultural</w:t>
            </w:r>
            <w:r w:rsidRPr="00D4309F">
              <w:rPr>
                <w:color w:val="211E1F"/>
                <w:spacing w:val="-2"/>
                <w:sz w:val="18"/>
              </w:rPr>
              <w:t xml:space="preserve"> values</w:t>
            </w:r>
          </w:p>
        </w:tc>
        <w:tc>
          <w:tcPr>
            <w:tcW w:w="571" w:type="pct"/>
          </w:tcPr>
          <w:p w14:paraId="6CD09253" w14:textId="20B54DE1" w:rsidR="00785E37" w:rsidRPr="0019624B" w:rsidRDefault="00785E37" w:rsidP="00785E37">
            <w:pPr>
              <w:pStyle w:val="TableParagraph"/>
              <w:spacing w:before="39"/>
              <w:ind w:left="485"/>
              <w:rPr>
                <w:bCs/>
                <w:sz w:val="18"/>
              </w:rPr>
            </w:pPr>
            <w:r w:rsidRPr="00D4309F">
              <w:rPr>
                <w:color w:val="211E1F"/>
                <w:spacing w:val="-10"/>
                <w:sz w:val="18"/>
              </w:rPr>
              <w:t>5</w:t>
            </w:r>
          </w:p>
        </w:tc>
      </w:tr>
      <w:tr w:rsidR="00785E37" w:rsidRPr="00D4309F" w14:paraId="4E65CAB2" w14:textId="77777777">
        <w:trPr>
          <w:trHeight w:val="287"/>
        </w:trPr>
        <w:tc>
          <w:tcPr>
            <w:tcW w:w="1002" w:type="pct"/>
            <w:vMerge/>
          </w:tcPr>
          <w:p w14:paraId="130C0C3D" w14:textId="77777777" w:rsidR="00785E37" w:rsidRPr="00D4309F" w:rsidRDefault="00785E37" w:rsidP="00785E37">
            <w:pPr>
              <w:pStyle w:val="TableParagraph"/>
              <w:rPr>
                <w:rFonts w:ascii="Times New Roman"/>
                <w:sz w:val="18"/>
              </w:rPr>
            </w:pPr>
          </w:p>
        </w:tc>
        <w:tc>
          <w:tcPr>
            <w:tcW w:w="3427" w:type="pct"/>
          </w:tcPr>
          <w:p w14:paraId="503E4DC9" w14:textId="77777777" w:rsidR="00785E37" w:rsidRPr="00D4309F" w:rsidRDefault="00785E37" w:rsidP="00785E37">
            <w:pPr>
              <w:pStyle w:val="TableParagraph"/>
              <w:spacing w:before="41"/>
              <w:ind w:left="165"/>
              <w:rPr>
                <w:sz w:val="18"/>
              </w:rPr>
            </w:pPr>
            <w:r w:rsidRPr="00D4309F">
              <w:rPr>
                <w:color w:val="211E1F"/>
                <w:sz w:val="18"/>
              </w:rPr>
              <w:t>Visual</w:t>
            </w:r>
            <w:r w:rsidRPr="00D4309F">
              <w:rPr>
                <w:color w:val="211E1F"/>
                <w:spacing w:val="-5"/>
                <w:sz w:val="18"/>
              </w:rPr>
              <w:t xml:space="preserve"> </w:t>
            </w:r>
            <w:r w:rsidRPr="00D4309F">
              <w:rPr>
                <w:color w:val="211E1F"/>
                <w:spacing w:val="-2"/>
                <w:sz w:val="18"/>
              </w:rPr>
              <w:t>amenity</w:t>
            </w:r>
          </w:p>
        </w:tc>
        <w:tc>
          <w:tcPr>
            <w:tcW w:w="571" w:type="pct"/>
          </w:tcPr>
          <w:p w14:paraId="013AF8C2" w14:textId="5A8D7D93" w:rsidR="00785E37" w:rsidRPr="0019624B" w:rsidRDefault="00785E37" w:rsidP="00785E37">
            <w:pPr>
              <w:pStyle w:val="TableParagraph"/>
              <w:spacing w:before="41"/>
              <w:ind w:left="485"/>
              <w:rPr>
                <w:bCs/>
                <w:sz w:val="18"/>
              </w:rPr>
            </w:pPr>
            <w:r w:rsidRPr="00D4309F">
              <w:rPr>
                <w:color w:val="211E1F"/>
                <w:spacing w:val="-10"/>
                <w:sz w:val="18"/>
              </w:rPr>
              <w:t>4</w:t>
            </w:r>
          </w:p>
        </w:tc>
      </w:tr>
      <w:tr w:rsidR="00785E37" w:rsidRPr="00D4309F" w14:paraId="76E8C256" w14:textId="77777777">
        <w:trPr>
          <w:trHeight w:val="286"/>
        </w:trPr>
        <w:tc>
          <w:tcPr>
            <w:tcW w:w="1002" w:type="pct"/>
            <w:vMerge/>
          </w:tcPr>
          <w:p w14:paraId="321DEC8D" w14:textId="77777777" w:rsidR="00785E37" w:rsidRPr="00D4309F" w:rsidRDefault="00785E37" w:rsidP="00785E37">
            <w:pPr>
              <w:pStyle w:val="TableParagraph"/>
              <w:rPr>
                <w:rFonts w:ascii="Times New Roman"/>
                <w:sz w:val="18"/>
              </w:rPr>
            </w:pPr>
          </w:p>
        </w:tc>
        <w:tc>
          <w:tcPr>
            <w:tcW w:w="3427" w:type="pct"/>
          </w:tcPr>
          <w:p w14:paraId="4108B304" w14:textId="77777777" w:rsidR="00785E37" w:rsidRPr="00D4309F" w:rsidRDefault="00785E37" w:rsidP="00785E37">
            <w:pPr>
              <w:pStyle w:val="TableParagraph"/>
              <w:spacing w:before="39"/>
              <w:ind w:left="165"/>
              <w:rPr>
                <w:sz w:val="18"/>
              </w:rPr>
            </w:pPr>
            <w:r w:rsidRPr="00D4309F">
              <w:rPr>
                <w:color w:val="211E1F"/>
                <w:sz w:val="18"/>
              </w:rPr>
              <w:t>Community</w:t>
            </w:r>
            <w:r w:rsidRPr="00D4309F">
              <w:rPr>
                <w:color w:val="211E1F"/>
                <w:spacing w:val="-3"/>
                <w:sz w:val="18"/>
              </w:rPr>
              <w:t xml:space="preserve"> </w:t>
            </w:r>
            <w:r w:rsidRPr="00D4309F">
              <w:rPr>
                <w:color w:val="211E1F"/>
                <w:sz w:val="18"/>
              </w:rPr>
              <w:t>amenity</w:t>
            </w:r>
            <w:r w:rsidRPr="00D4309F">
              <w:rPr>
                <w:color w:val="211E1F"/>
                <w:spacing w:val="-2"/>
                <w:sz w:val="18"/>
              </w:rPr>
              <w:t xml:space="preserve"> </w:t>
            </w:r>
            <w:r w:rsidRPr="00D4309F">
              <w:rPr>
                <w:color w:val="211E1F"/>
                <w:sz w:val="18"/>
              </w:rPr>
              <w:t>(inc.</w:t>
            </w:r>
            <w:r w:rsidRPr="00D4309F">
              <w:rPr>
                <w:color w:val="211E1F"/>
                <w:spacing w:val="-2"/>
                <w:sz w:val="18"/>
              </w:rPr>
              <w:t xml:space="preserve"> </w:t>
            </w:r>
            <w:r w:rsidRPr="00D4309F">
              <w:rPr>
                <w:color w:val="211E1F"/>
                <w:sz w:val="18"/>
              </w:rPr>
              <w:t>noise</w:t>
            </w:r>
            <w:r w:rsidRPr="00D4309F">
              <w:rPr>
                <w:color w:val="211E1F"/>
                <w:spacing w:val="-3"/>
                <w:sz w:val="18"/>
              </w:rPr>
              <w:t xml:space="preserve"> </w:t>
            </w:r>
            <w:r w:rsidRPr="00D4309F">
              <w:rPr>
                <w:color w:val="211E1F"/>
                <w:sz w:val="18"/>
              </w:rPr>
              <w:t>from</w:t>
            </w:r>
            <w:r w:rsidRPr="00D4309F">
              <w:rPr>
                <w:color w:val="211E1F"/>
                <w:spacing w:val="-2"/>
                <w:sz w:val="18"/>
              </w:rPr>
              <w:t xml:space="preserve"> pumps)</w:t>
            </w:r>
          </w:p>
        </w:tc>
        <w:tc>
          <w:tcPr>
            <w:tcW w:w="571" w:type="pct"/>
          </w:tcPr>
          <w:p w14:paraId="05C87979" w14:textId="752EE234" w:rsidR="00785E37" w:rsidRPr="0019624B" w:rsidRDefault="00785E37" w:rsidP="00785E37">
            <w:pPr>
              <w:pStyle w:val="TableParagraph"/>
              <w:spacing w:before="39"/>
              <w:ind w:left="484"/>
              <w:rPr>
                <w:bCs/>
                <w:sz w:val="18"/>
              </w:rPr>
            </w:pPr>
            <w:r w:rsidRPr="00D4309F">
              <w:rPr>
                <w:color w:val="211E1F"/>
                <w:spacing w:val="-10"/>
                <w:sz w:val="18"/>
              </w:rPr>
              <w:t>5</w:t>
            </w:r>
          </w:p>
        </w:tc>
      </w:tr>
      <w:tr w:rsidR="00785E37" w:rsidRPr="00D4309F" w14:paraId="5BE6343F" w14:textId="77777777">
        <w:trPr>
          <w:trHeight w:val="247"/>
        </w:trPr>
        <w:tc>
          <w:tcPr>
            <w:tcW w:w="1002" w:type="pct"/>
            <w:vMerge/>
          </w:tcPr>
          <w:p w14:paraId="5A7463F6" w14:textId="77777777" w:rsidR="00785E37" w:rsidRPr="00D4309F" w:rsidRDefault="00785E37" w:rsidP="00785E37">
            <w:pPr>
              <w:pStyle w:val="TableParagraph"/>
              <w:rPr>
                <w:rFonts w:ascii="Times New Roman"/>
                <w:sz w:val="18"/>
              </w:rPr>
            </w:pPr>
          </w:p>
        </w:tc>
        <w:tc>
          <w:tcPr>
            <w:tcW w:w="3427" w:type="pct"/>
          </w:tcPr>
          <w:p w14:paraId="3E2BC4FC" w14:textId="77777777" w:rsidR="00785E37" w:rsidRPr="00D4309F" w:rsidRDefault="00785E37" w:rsidP="00785E37">
            <w:pPr>
              <w:pStyle w:val="TableParagraph"/>
              <w:spacing w:before="41" w:line="187" w:lineRule="exact"/>
              <w:ind w:left="165"/>
              <w:rPr>
                <w:sz w:val="18"/>
              </w:rPr>
            </w:pPr>
            <w:r w:rsidRPr="00D4309F">
              <w:rPr>
                <w:color w:val="211E1F"/>
                <w:sz w:val="18"/>
              </w:rPr>
              <w:t>Beach</w:t>
            </w:r>
            <w:r w:rsidRPr="00D4309F">
              <w:rPr>
                <w:color w:val="211E1F"/>
                <w:spacing w:val="-5"/>
                <w:sz w:val="18"/>
              </w:rPr>
              <w:t xml:space="preserve"> </w:t>
            </w:r>
            <w:r w:rsidRPr="00D4309F">
              <w:rPr>
                <w:color w:val="211E1F"/>
                <w:sz w:val="18"/>
              </w:rPr>
              <w:t>users</w:t>
            </w:r>
            <w:r w:rsidRPr="00D4309F">
              <w:rPr>
                <w:color w:val="211E1F"/>
                <w:spacing w:val="-2"/>
                <w:sz w:val="18"/>
              </w:rPr>
              <w:t xml:space="preserve"> experience</w:t>
            </w:r>
          </w:p>
        </w:tc>
        <w:tc>
          <w:tcPr>
            <w:tcW w:w="571" w:type="pct"/>
          </w:tcPr>
          <w:p w14:paraId="3030D19D" w14:textId="407E7411" w:rsidR="00785E37" w:rsidRPr="0019624B" w:rsidRDefault="00785E37" w:rsidP="00785E37">
            <w:pPr>
              <w:pStyle w:val="TableParagraph"/>
              <w:spacing w:before="41" w:line="187" w:lineRule="exact"/>
              <w:ind w:left="485"/>
              <w:rPr>
                <w:bCs/>
                <w:sz w:val="18"/>
              </w:rPr>
            </w:pPr>
            <w:r w:rsidRPr="00D4309F">
              <w:rPr>
                <w:color w:val="211E1F"/>
                <w:spacing w:val="-10"/>
                <w:sz w:val="18"/>
              </w:rPr>
              <w:t>4</w:t>
            </w:r>
          </w:p>
        </w:tc>
      </w:tr>
      <w:tr w:rsidR="00785E37" w:rsidRPr="00D4309F" w14:paraId="21CF4A61" w14:textId="77777777">
        <w:trPr>
          <w:trHeight w:val="247"/>
        </w:trPr>
        <w:tc>
          <w:tcPr>
            <w:tcW w:w="1002" w:type="pct"/>
            <w:vMerge/>
          </w:tcPr>
          <w:p w14:paraId="296F4847" w14:textId="77777777" w:rsidR="00785E37" w:rsidRPr="00D4309F" w:rsidRDefault="00785E37" w:rsidP="00785E37">
            <w:pPr>
              <w:pStyle w:val="TableParagraph"/>
              <w:rPr>
                <w:rFonts w:ascii="Times New Roman"/>
                <w:sz w:val="18"/>
              </w:rPr>
            </w:pPr>
          </w:p>
        </w:tc>
        <w:tc>
          <w:tcPr>
            <w:tcW w:w="3427" w:type="pct"/>
          </w:tcPr>
          <w:p w14:paraId="2D349B25"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Safe</w:t>
            </w:r>
            <w:r w:rsidRPr="00D4309F">
              <w:rPr>
                <w:color w:val="211E1F"/>
                <w:spacing w:val="-4"/>
                <w:sz w:val="18"/>
              </w:rPr>
              <w:t xml:space="preserve"> </w:t>
            </w:r>
            <w:r w:rsidRPr="00D4309F">
              <w:rPr>
                <w:color w:val="211E1F"/>
                <w:sz w:val="18"/>
              </w:rPr>
              <w:t>access</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business</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recreational</w:t>
            </w:r>
            <w:r w:rsidRPr="00D4309F">
              <w:rPr>
                <w:color w:val="211E1F"/>
                <w:spacing w:val="-2"/>
                <w:sz w:val="18"/>
              </w:rPr>
              <w:t xml:space="preserve"> </w:t>
            </w:r>
            <w:r w:rsidRPr="00D4309F">
              <w:rPr>
                <w:color w:val="211E1F"/>
                <w:spacing w:val="-4"/>
                <w:sz w:val="18"/>
              </w:rPr>
              <w:t>users</w:t>
            </w:r>
          </w:p>
        </w:tc>
        <w:tc>
          <w:tcPr>
            <w:tcW w:w="571" w:type="pct"/>
          </w:tcPr>
          <w:p w14:paraId="56309BA1" w14:textId="15A914A9"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2</w:t>
            </w:r>
          </w:p>
        </w:tc>
      </w:tr>
      <w:tr w:rsidR="00785E37" w:rsidRPr="00D4309F" w14:paraId="325BBF71" w14:textId="77777777">
        <w:trPr>
          <w:trHeight w:val="247"/>
        </w:trPr>
        <w:tc>
          <w:tcPr>
            <w:tcW w:w="1002" w:type="pct"/>
            <w:vMerge/>
          </w:tcPr>
          <w:p w14:paraId="28652B61" w14:textId="77777777" w:rsidR="00785E37" w:rsidRPr="00D4309F" w:rsidRDefault="00785E37" w:rsidP="00785E37">
            <w:pPr>
              <w:pStyle w:val="TableParagraph"/>
              <w:rPr>
                <w:rFonts w:ascii="Times New Roman"/>
                <w:sz w:val="18"/>
              </w:rPr>
            </w:pPr>
          </w:p>
        </w:tc>
        <w:tc>
          <w:tcPr>
            <w:tcW w:w="3427" w:type="pct"/>
          </w:tcPr>
          <w:p w14:paraId="4C3DEE4C"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Reliable</w:t>
            </w:r>
            <w:r w:rsidRPr="00D4309F">
              <w:rPr>
                <w:color w:val="211E1F"/>
                <w:spacing w:val="-4"/>
                <w:sz w:val="18"/>
              </w:rPr>
              <w:t xml:space="preserve"> </w:t>
            </w:r>
            <w:r w:rsidRPr="00D4309F">
              <w:rPr>
                <w:color w:val="211E1F"/>
                <w:sz w:val="18"/>
              </w:rPr>
              <w:t>access</w:t>
            </w:r>
            <w:r w:rsidRPr="00D4309F">
              <w:rPr>
                <w:color w:val="211E1F"/>
                <w:spacing w:val="-3"/>
                <w:sz w:val="18"/>
              </w:rPr>
              <w:t xml:space="preserve"> </w:t>
            </w:r>
            <w:r w:rsidRPr="00D4309F">
              <w:rPr>
                <w:color w:val="211E1F"/>
                <w:sz w:val="18"/>
              </w:rPr>
              <w:t>for</w:t>
            </w:r>
            <w:r w:rsidRPr="00D4309F">
              <w:rPr>
                <w:color w:val="211E1F"/>
                <w:spacing w:val="-3"/>
                <w:sz w:val="18"/>
              </w:rPr>
              <w:t xml:space="preserve"> </w:t>
            </w:r>
            <w:r w:rsidRPr="00D4309F">
              <w:rPr>
                <w:color w:val="211E1F"/>
                <w:sz w:val="18"/>
              </w:rPr>
              <w:t>business</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recreational</w:t>
            </w:r>
            <w:r w:rsidRPr="00D4309F">
              <w:rPr>
                <w:color w:val="211E1F"/>
                <w:spacing w:val="-3"/>
                <w:sz w:val="18"/>
              </w:rPr>
              <w:t xml:space="preserve"> </w:t>
            </w:r>
            <w:r w:rsidRPr="00D4309F">
              <w:rPr>
                <w:color w:val="211E1F"/>
                <w:spacing w:val="-4"/>
                <w:sz w:val="18"/>
              </w:rPr>
              <w:t>users</w:t>
            </w:r>
          </w:p>
        </w:tc>
        <w:tc>
          <w:tcPr>
            <w:tcW w:w="571" w:type="pct"/>
          </w:tcPr>
          <w:p w14:paraId="7EEBAD13" w14:textId="5FF98C94"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4"/>
                <w:sz w:val="18"/>
              </w:rPr>
              <w:t>1</w:t>
            </w:r>
          </w:p>
        </w:tc>
      </w:tr>
      <w:tr w:rsidR="00785E37" w:rsidRPr="00D4309F" w14:paraId="19DBA3A1" w14:textId="77777777">
        <w:trPr>
          <w:trHeight w:val="247"/>
        </w:trPr>
        <w:tc>
          <w:tcPr>
            <w:tcW w:w="1002" w:type="pct"/>
            <w:vMerge/>
          </w:tcPr>
          <w:p w14:paraId="04CC308A" w14:textId="77777777" w:rsidR="00785E37" w:rsidRPr="00D4309F" w:rsidRDefault="00785E37" w:rsidP="00785E37">
            <w:pPr>
              <w:pStyle w:val="TableParagraph"/>
              <w:rPr>
                <w:rFonts w:ascii="Times New Roman"/>
                <w:sz w:val="18"/>
              </w:rPr>
            </w:pPr>
          </w:p>
        </w:tc>
        <w:tc>
          <w:tcPr>
            <w:tcW w:w="3427" w:type="pct"/>
          </w:tcPr>
          <w:p w14:paraId="286ED37C"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Broader</w:t>
            </w:r>
            <w:r w:rsidRPr="00D4309F">
              <w:rPr>
                <w:color w:val="211E1F"/>
                <w:spacing w:val="-6"/>
                <w:sz w:val="18"/>
              </w:rPr>
              <w:t xml:space="preserve"> </w:t>
            </w:r>
            <w:r w:rsidRPr="00D4309F">
              <w:rPr>
                <w:color w:val="211E1F"/>
                <w:sz w:val="18"/>
              </w:rPr>
              <w:t>economic</w:t>
            </w:r>
            <w:r w:rsidRPr="00D4309F">
              <w:rPr>
                <w:color w:val="211E1F"/>
                <w:spacing w:val="-4"/>
                <w:sz w:val="18"/>
              </w:rPr>
              <w:t xml:space="preserve"> </w:t>
            </w:r>
            <w:r w:rsidRPr="00D4309F">
              <w:rPr>
                <w:color w:val="211E1F"/>
                <w:sz w:val="18"/>
              </w:rPr>
              <w:t>considerations</w:t>
            </w:r>
            <w:r w:rsidRPr="00D4309F">
              <w:rPr>
                <w:color w:val="211E1F"/>
                <w:spacing w:val="-3"/>
                <w:sz w:val="18"/>
              </w:rPr>
              <w:t xml:space="preserve"> </w:t>
            </w:r>
            <w:r w:rsidRPr="00D4309F">
              <w:rPr>
                <w:color w:val="211E1F"/>
                <w:sz w:val="18"/>
              </w:rPr>
              <w:t>during</w:t>
            </w:r>
            <w:r w:rsidRPr="00D4309F">
              <w:rPr>
                <w:color w:val="211E1F"/>
                <w:spacing w:val="-5"/>
                <w:sz w:val="18"/>
              </w:rPr>
              <w:t xml:space="preserve"> </w:t>
            </w:r>
            <w:r w:rsidRPr="00D4309F">
              <w:rPr>
                <w:color w:val="211E1F"/>
                <w:sz w:val="18"/>
              </w:rPr>
              <w:t>construction</w:t>
            </w:r>
            <w:r w:rsidRPr="00D4309F">
              <w:rPr>
                <w:color w:val="211E1F"/>
                <w:spacing w:val="-4"/>
                <w:sz w:val="18"/>
              </w:rPr>
              <w:t xml:space="preserve"> </w:t>
            </w:r>
            <w:r w:rsidRPr="00D4309F">
              <w:rPr>
                <w:color w:val="211E1F"/>
                <w:sz w:val="18"/>
              </w:rPr>
              <w:t>and</w:t>
            </w:r>
            <w:r w:rsidRPr="00D4309F">
              <w:rPr>
                <w:color w:val="211E1F"/>
                <w:spacing w:val="-4"/>
                <w:sz w:val="18"/>
              </w:rPr>
              <w:t xml:space="preserve"> </w:t>
            </w:r>
            <w:r w:rsidRPr="00D4309F">
              <w:rPr>
                <w:color w:val="211E1F"/>
                <w:spacing w:val="-2"/>
                <w:sz w:val="18"/>
              </w:rPr>
              <w:t>operation</w:t>
            </w:r>
          </w:p>
        </w:tc>
        <w:tc>
          <w:tcPr>
            <w:tcW w:w="571" w:type="pct"/>
          </w:tcPr>
          <w:p w14:paraId="3EB3FC1C" w14:textId="34E7C658"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4"/>
                <w:sz w:val="18"/>
              </w:rPr>
              <w:t>4</w:t>
            </w:r>
          </w:p>
        </w:tc>
      </w:tr>
      <w:tr w:rsidR="00785E37" w:rsidRPr="00D4309F" w14:paraId="64070457" w14:textId="77777777">
        <w:trPr>
          <w:trHeight w:val="247"/>
        </w:trPr>
        <w:tc>
          <w:tcPr>
            <w:tcW w:w="1002" w:type="pct"/>
            <w:vMerge/>
          </w:tcPr>
          <w:p w14:paraId="1A2108B8" w14:textId="77777777" w:rsidR="00785E37" w:rsidRPr="00D4309F" w:rsidRDefault="00785E37" w:rsidP="00785E37">
            <w:pPr>
              <w:pStyle w:val="TableParagraph"/>
              <w:rPr>
                <w:rFonts w:ascii="Times New Roman"/>
                <w:sz w:val="18"/>
              </w:rPr>
            </w:pPr>
          </w:p>
        </w:tc>
        <w:tc>
          <w:tcPr>
            <w:tcW w:w="3427" w:type="pct"/>
          </w:tcPr>
          <w:p w14:paraId="00583B49"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Environmental</w:t>
            </w:r>
            <w:r w:rsidRPr="00D4309F">
              <w:rPr>
                <w:color w:val="211E1F"/>
                <w:spacing w:val="-5"/>
                <w:sz w:val="18"/>
              </w:rPr>
              <w:t xml:space="preserve"> </w:t>
            </w:r>
            <w:r w:rsidRPr="00D4309F">
              <w:rPr>
                <w:color w:val="211E1F"/>
                <w:sz w:val="18"/>
              </w:rPr>
              <w:t>impact</w:t>
            </w:r>
            <w:r w:rsidRPr="00D4309F">
              <w:rPr>
                <w:color w:val="211E1F"/>
                <w:spacing w:val="-4"/>
                <w:sz w:val="18"/>
              </w:rPr>
              <w:t xml:space="preserve"> </w:t>
            </w:r>
            <w:r w:rsidRPr="00D4309F">
              <w:rPr>
                <w:color w:val="211E1F"/>
                <w:spacing w:val="-2"/>
                <w:sz w:val="18"/>
              </w:rPr>
              <w:t>perceptions</w:t>
            </w:r>
          </w:p>
        </w:tc>
        <w:tc>
          <w:tcPr>
            <w:tcW w:w="571" w:type="pct"/>
          </w:tcPr>
          <w:p w14:paraId="53E71B16" w14:textId="30DDA05B"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3</w:t>
            </w:r>
          </w:p>
        </w:tc>
      </w:tr>
      <w:tr w:rsidR="00785E37" w:rsidRPr="00D4309F" w14:paraId="68EE2FE8" w14:textId="77777777">
        <w:trPr>
          <w:trHeight w:val="247"/>
        </w:trPr>
        <w:tc>
          <w:tcPr>
            <w:tcW w:w="1002" w:type="pct"/>
            <w:vMerge/>
          </w:tcPr>
          <w:p w14:paraId="7C3E74AA" w14:textId="77777777" w:rsidR="00785E37" w:rsidRPr="00D4309F" w:rsidRDefault="00785E37" w:rsidP="00785E37">
            <w:pPr>
              <w:pStyle w:val="TableParagraph"/>
              <w:rPr>
                <w:rFonts w:ascii="Times New Roman"/>
                <w:sz w:val="18"/>
              </w:rPr>
            </w:pPr>
          </w:p>
        </w:tc>
        <w:tc>
          <w:tcPr>
            <w:tcW w:w="3427" w:type="pct"/>
          </w:tcPr>
          <w:p w14:paraId="030E8FA7" w14:textId="77777777" w:rsidR="00785E37" w:rsidRPr="00D4309F" w:rsidRDefault="00785E37" w:rsidP="00785E37">
            <w:pPr>
              <w:pStyle w:val="TableParagraph"/>
              <w:spacing w:before="41" w:line="187" w:lineRule="exact"/>
              <w:ind w:left="165"/>
              <w:rPr>
                <w:color w:val="211E1F"/>
                <w:sz w:val="18"/>
              </w:rPr>
            </w:pPr>
          </w:p>
        </w:tc>
        <w:tc>
          <w:tcPr>
            <w:tcW w:w="571" w:type="pct"/>
          </w:tcPr>
          <w:p w14:paraId="60A9B0BD" w14:textId="77777777" w:rsidR="00785E37" w:rsidRPr="00D4309F" w:rsidRDefault="00785E37" w:rsidP="00785E37">
            <w:pPr>
              <w:pStyle w:val="TableParagraph"/>
              <w:spacing w:before="41" w:line="187" w:lineRule="exact"/>
              <w:ind w:left="485"/>
              <w:rPr>
                <w:color w:val="211E1F"/>
                <w:spacing w:val="-10"/>
                <w:sz w:val="18"/>
              </w:rPr>
            </w:pPr>
          </w:p>
        </w:tc>
      </w:tr>
      <w:tr w:rsidR="00785E37" w:rsidRPr="00D4309F" w14:paraId="116F2605" w14:textId="77777777">
        <w:trPr>
          <w:trHeight w:val="247"/>
        </w:trPr>
        <w:tc>
          <w:tcPr>
            <w:tcW w:w="1002" w:type="pct"/>
            <w:vMerge/>
          </w:tcPr>
          <w:p w14:paraId="14B0C1AF" w14:textId="77777777" w:rsidR="00785E37" w:rsidRPr="00D4309F" w:rsidRDefault="00785E37" w:rsidP="00785E37">
            <w:pPr>
              <w:pStyle w:val="TableParagraph"/>
              <w:rPr>
                <w:rFonts w:ascii="Times New Roman"/>
                <w:sz w:val="18"/>
              </w:rPr>
            </w:pPr>
          </w:p>
        </w:tc>
        <w:tc>
          <w:tcPr>
            <w:tcW w:w="3427" w:type="pct"/>
          </w:tcPr>
          <w:p w14:paraId="5C03075A" w14:textId="77777777" w:rsidR="00785E37" w:rsidRPr="00D4309F" w:rsidRDefault="00785E37" w:rsidP="00785E37">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7B3DEB0C" w14:textId="3F75B3EF" w:rsidR="00785E37" w:rsidRPr="00D4309F" w:rsidRDefault="00785E37" w:rsidP="00785E37">
            <w:pPr>
              <w:pStyle w:val="TableParagraph"/>
              <w:spacing w:before="41" w:line="187" w:lineRule="exact"/>
              <w:ind w:left="485"/>
              <w:rPr>
                <w:color w:val="211E1F"/>
                <w:spacing w:val="-10"/>
                <w:sz w:val="18"/>
              </w:rPr>
            </w:pPr>
            <w:r w:rsidRPr="00D4309F">
              <w:rPr>
                <w:b/>
                <w:color w:val="211E1F"/>
                <w:spacing w:val="-5"/>
                <w:sz w:val="18"/>
              </w:rPr>
              <w:t>33</w:t>
            </w:r>
          </w:p>
        </w:tc>
      </w:tr>
      <w:tr w:rsidR="00785E37" w:rsidRPr="00D4309F" w14:paraId="696BDE28" w14:textId="77777777">
        <w:trPr>
          <w:trHeight w:val="247"/>
        </w:trPr>
        <w:tc>
          <w:tcPr>
            <w:tcW w:w="1002" w:type="pct"/>
            <w:vMerge w:val="restart"/>
          </w:tcPr>
          <w:p w14:paraId="70124EA0" w14:textId="77777777" w:rsidR="00785E37" w:rsidRPr="00D4309F" w:rsidRDefault="00785E37" w:rsidP="00785E37">
            <w:pPr>
              <w:pStyle w:val="TableParagraph"/>
              <w:rPr>
                <w:rFonts w:ascii="Times New Roman"/>
                <w:sz w:val="18"/>
              </w:rPr>
            </w:pPr>
            <w:r w:rsidRPr="00D4309F">
              <w:rPr>
                <w:b/>
                <w:color w:val="211E1F"/>
                <w:spacing w:val="-2"/>
                <w:sz w:val="18"/>
              </w:rPr>
              <w:t>Environmental</w:t>
            </w:r>
          </w:p>
        </w:tc>
        <w:tc>
          <w:tcPr>
            <w:tcW w:w="3427" w:type="pct"/>
          </w:tcPr>
          <w:p w14:paraId="095F54E7"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Marine</w:t>
            </w:r>
            <w:r w:rsidRPr="00D4309F">
              <w:rPr>
                <w:color w:val="211E1F"/>
                <w:spacing w:val="-4"/>
                <w:sz w:val="18"/>
              </w:rPr>
              <w:t xml:space="preserve"> </w:t>
            </w:r>
            <w:r w:rsidRPr="00D4309F">
              <w:rPr>
                <w:color w:val="211E1F"/>
                <w:sz w:val="18"/>
              </w:rPr>
              <w:t>water</w:t>
            </w:r>
            <w:r w:rsidRPr="00D4309F">
              <w:rPr>
                <w:color w:val="211E1F"/>
                <w:spacing w:val="-3"/>
                <w:sz w:val="18"/>
              </w:rPr>
              <w:t xml:space="preserve"> </w:t>
            </w:r>
            <w:r w:rsidRPr="00D4309F">
              <w:rPr>
                <w:color w:val="211E1F"/>
                <w:sz w:val="18"/>
              </w:rPr>
              <w:t>quality</w:t>
            </w:r>
            <w:r w:rsidRPr="00D4309F">
              <w:rPr>
                <w:color w:val="211E1F"/>
                <w:spacing w:val="-3"/>
                <w:sz w:val="18"/>
              </w:rPr>
              <w:t xml:space="preserve"> </w:t>
            </w:r>
            <w:r w:rsidRPr="00D4309F">
              <w:rPr>
                <w:color w:val="211E1F"/>
                <w:spacing w:val="-2"/>
                <w:sz w:val="18"/>
              </w:rPr>
              <w:t>impacts</w:t>
            </w:r>
          </w:p>
        </w:tc>
        <w:tc>
          <w:tcPr>
            <w:tcW w:w="571" w:type="pct"/>
          </w:tcPr>
          <w:p w14:paraId="2948D04D" w14:textId="7A221E1E"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4</w:t>
            </w:r>
          </w:p>
        </w:tc>
      </w:tr>
      <w:tr w:rsidR="00785E37" w:rsidRPr="00D4309F" w14:paraId="06FBE9E0" w14:textId="77777777">
        <w:trPr>
          <w:trHeight w:val="247"/>
        </w:trPr>
        <w:tc>
          <w:tcPr>
            <w:tcW w:w="1002" w:type="pct"/>
            <w:vMerge/>
          </w:tcPr>
          <w:p w14:paraId="6A36899B" w14:textId="77777777" w:rsidR="00785E37" w:rsidRPr="00D4309F" w:rsidRDefault="00785E37" w:rsidP="00785E37">
            <w:pPr>
              <w:pStyle w:val="TableParagraph"/>
              <w:rPr>
                <w:rFonts w:ascii="Times New Roman"/>
                <w:sz w:val="18"/>
              </w:rPr>
            </w:pPr>
          </w:p>
        </w:tc>
        <w:tc>
          <w:tcPr>
            <w:tcW w:w="3427" w:type="pct"/>
          </w:tcPr>
          <w:p w14:paraId="494A00C9"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Marine</w:t>
            </w:r>
            <w:r w:rsidRPr="00D4309F">
              <w:rPr>
                <w:color w:val="211E1F"/>
                <w:spacing w:val="-2"/>
                <w:sz w:val="18"/>
              </w:rPr>
              <w:t xml:space="preserve"> </w:t>
            </w:r>
            <w:r w:rsidRPr="00D4309F">
              <w:rPr>
                <w:color w:val="211E1F"/>
                <w:sz w:val="18"/>
              </w:rPr>
              <w:t>habitats</w:t>
            </w:r>
            <w:r w:rsidRPr="00D4309F">
              <w:rPr>
                <w:color w:val="211E1F"/>
                <w:spacing w:val="-3"/>
                <w:sz w:val="18"/>
              </w:rPr>
              <w:t xml:space="preserve"> </w:t>
            </w:r>
            <w:r w:rsidRPr="00D4309F">
              <w:rPr>
                <w:color w:val="211E1F"/>
                <w:sz w:val="18"/>
              </w:rPr>
              <w:t>&amp;</w:t>
            </w:r>
            <w:r w:rsidRPr="00D4309F">
              <w:rPr>
                <w:color w:val="211E1F"/>
                <w:spacing w:val="-3"/>
                <w:sz w:val="18"/>
              </w:rPr>
              <w:t xml:space="preserve"> </w:t>
            </w:r>
            <w:r w:rsidRPr="00D4309F">
              <w:rPr>
                <w:color w:val="211E1F"/>
                <w:sz w:val="18"/>
              </w:rPr>
              <w:t>protected</w:t>
            </w:r>
            <w:r w:rsidRPr="00D4309F">
              <w:rPr>
                <w:color w:val="211E1F"/>
                <w:spacing w:val="-4"/>
                <w:sz w:val="18"/>
              </w:rPr>
              <w:t xml:space="preserve"> </w:t>
            </w:r>
            <w:r w:rsidRPr="00D4309F">
              <w:rPr>
                <w:color w:val="211E1F"/>
                <w:sz w:val="18"/>
              </w:rPr>
              <w:t>species</w:t>
            </w:r>
            <w:r w:rsidRPr="00D4309F">
              <w:rPr>
                <w:color w:val="211E1F"/>
                <w:spacing w:val="-2"/>
                <w:sz w:val="18"/>
              </w:rPr>
              <w:t xml:space="preserve"> impacts</w:t>
            </w:r>
          </w:p>
        </w:tc>
        <w:tc>
          <w:tcPr>
            <w:tcW w:w="571" w:type="pct"/>
          </w:tcPr>
          <w:p w14:paraId="370CF410" w14:textId="7E91BB12"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3</w:t>
            </w:r>
          </w:p>
        </w:tc>
      </w:tr>
      <w:tr w:rsidR="00785E37" w:rsidRPr="00D4309F" w14:paraId="43172EAA" w14:textId="77777777">
        <w:trPr>
          <w:trHeight w:val="247"/>
        </w:trPr>
        <w:tc>
          <w:tcPr>
            <w:tcW w:w="1002" w:type="pct"/>
            <w:vMerge/>
          </w:tcPr>
          <w:p w14:paraId="0947E49C" w14:textId="77777777" w:rsidR="00785E37" w:rsidRPr="00D4309F" w:rsidRDefault="00785E37" w:rsidP="00785E37">
            <w:pPr>
              <w:pStyle w:val="TableParagraph"/>
              <w:rPr>
                <w:rFonts w:ascii="Times New Roman"/>
                <w:sz w:val="18"/>
              </w:rPr>
            </w:pPr>
          </w:p>
        </w:tc>
        <w:tc>
          <w:tcPr>
            <w:tcW w:w="3427" w:type="pct"/>
          </w:tcPr>
          <w:p w14:paraId="2619EAEC"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Terrestrial</w:t>
            </w:r>
            <w:r w:rsidRPr="00D4309F">
              <w:rPr>
                <w:color w:val="211E1F"/>
                <w:spacing w:val="-3"/>
                <w:sz w:val="18"/>
              </w:rPr>
              <w:t xml:space="preserve"> </w:t>
            </w:r>
            <w:r w:rsidRPr="00D4309F">
              <w:rPr>
                <w:color w:val="211E1F"/>
                <w:sz w:val="18"/>
              </w:rPr>
              <w:t>habitats</w:t>
            </w:r>
            <w:r w:rsidRPr="00D4309F">
              <w:rPr>
                <w:color w:val="211E1F"/>
                <w:spacing w:val="-3"/>
                <w:sz w:val="18"/>
              </w:rPr>
              <w:t xml:space="preserve"> </w:t>
            </w:r>
            <w:r w:rsidRPr="00D4309F">
              <w:rPr>
                <w:color w:val="211E1F"/>
                <w:sz w:val="18"/>
              </w:rPr>
              <w:t>&amp;</w:t>
            </w:r>
            <w:r w:rsidRPr="00D4309F">
              <w:rPr>
                <w:color w:val="211E1F"/>
                <w:spacing w:val="-3"/>
                <w:sz w:val="18"/>
              </w:rPr>
              <w:t xml:space="preserve"> </w:t>
            </w:r>
            <w:r w:rsidRPr="00D4309F">
              <w:rPr>
                <w:color w:val="211E1F"/>
                <w:sz w:val="18"/>
              </w:rPr>
              <w:t>protected</w:t>
            </w:r>
            <w:r w:rsidRPr="00D4309F">
              <w:rPr>
                <w:color w:val="211E1F"/>
                <w:spacing w:val="-4"/>
                <w:sz w:val="18"/>
              </w:rPr>
              <w:t xml:space="preserve"> </w:t>
            </w:r>
            <w:r w:rsidRPr="00D4309F">
              <w:rPr>
                <w:color w:val="211E1F"/>
                <w:sz w:val="18"/>
              </w:rPr>
              <w:t>species</w:t>
            </w:r>
            <w:r w:rsidRPr="00D4309F">
              <w:rPr>
                <w:color w:val="211E1F"/>
                <w:spacing w:val="-2"/>
                <w:sz w:val="18"/>
              </w:rPr>
              <w:t xml:space="preserve"> impacts</w:t>
            </w:r>
          </w:p>
        </w:tc>
        <w:tc>
          <w:tcPr>
            <w:tcW w:w="571" w:type="pct"/>
          </w:tcPr>
          <w:p w14:paraId="4B5626B1" w14:textId="3FEC3165"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3</w:t>
            </w:r>
          </w:p>
        </w:tc>
      </w:tr>
      <w:tr w:rsidR="00785E37" w:rsidRPr="00D4309F" w14:paraId="1EB759AC" w14:textId="77777777">
        <w:trPr>
          <w:trHeight w:val="247"/>
        </w:trPr>
        <w:tc>
          <w:tcPr>
            <w:tcW w:w="1002" w:type="pct"/>
            <w:vMerge/>
          </w:tcPr>
          <w:p w14:paraId="6B660BD8" w14:textId="77777777" w:rsidR="00785E37" w:rsidRPr="00D4309F" w:rsidRDefault="00785E37" w:rsidP="00785E37">
            <w:pPr>
              <w:pStyle w:val="TableParagraph"/>
              <w:rPr>
                <w:rFonts w:ascii="Times New Roman"/>
                <w:sz w:val="18"/>
              </w:rPr>
            </w:pPr>
          </w:p>
        </w:tc>
        <w:tc>
          <w:tcPr>
            <w:tcW w:w="3427" w:type="pct"/>
          </w:tcPr>
          <w:p w14:paraId="44E14060" w14:textId="77777777" w:rsidR="00785E37" w:rsidRPr="00D4309F" w:rsidRDefault="00785E37" w:rsidP="00785E37">
            <w:pPr>
              <w:pStyle w:val="TableParagraph"/>
              <w:spacing w:before="41" w:line="187" w:lineRule="exact"/>
              <w:ind w:left="165"/>
              <w:rPr>
                <w:color w:val="211E1F"/>
                <w:sz w:val="18"/>
              </w:rPr>
            </w:pPr>
          </w:p>
        </w:tc>
        <w:tc>
          <w:tcPr>
            <w:tcW w:w="571" w:type="pct"/>
          </w:tcPr>
          <w:p w14:paraId="106F73BA" w14:textId="77777777" w:rsidR="00785E37" w:rsidRPr="00D4309F" w:rsidRDefault="00785E37" w:rsidP="00785E37">
            <w:pPr>
              <w:pStyle w:val="TableParagraph"/>
              <w:spacing w:before="41" w:line="187" w:lineRule="exact"/>
              <w:ind w:left="485"/>
              <w:rPr>
                <w:color w:val="211E1F"/>
                <w:spacing w:val="-10"/>
                <w:sz w:val="18"/>
              </w:rPr>
            </w:pPr>
          </w:p>
        </w:tc>
      </w:tr>
      <w:tr w:rsidR="00785E37" w:rsidRPr="00D4309F" w14:paraId="3F9B71A6" w14:textId="77777777">
        <w:trPr>
          <w:trHeight w:val="247"/>
        </w:trPr>
        <w:tc>
          <w:tcPr>
            <w:tcW w:w="1002" w:type="pct"/>
            <w:vMerge/>
          </w:tcPr>
          <w:p w14:paraId="7AF7F0AD" w14:textId="77777777" w:rsidR="00785E37" w:rsidRPr="00D4309F" w:rsidRDefault="00785E37" w:rsidP="00785E37">
            <w:pPr>
              <w:pStyle w:val="TableParagraph"/>
              <w:rPr>
                <w:rFonts w:ascii="Times New Roman"/>
                <w:sz w:val="18"/>
              </w:rPr>
            </w:pPr>
          </w:p>
        </w:tc>
        <w:tc>
          <w:tcPr>
            <w:tcW w:w="3427" w:type="pct"/>
          </w:tcPr>
          <w:p w14:paraId="14D90AD8" w14:textId="77777777" w:rsidR="00785E37" w:rsidRPr="00D4309F" w:rsidRDefault="00785E37" w:rsidP="00785E37">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6581CCD2" w14:textId="3B95551B" w:rsidR="00785E37" w:rsidRPr="00D4309F" w:rsidRDefault="00785E37" w:rsidP="00785E37">
            <w:pPr>
              <w:pStyle w:val="TableParagraph"/>
              <w:spacing w:before="41" w:line="187" w:lineRule="exact"/>
              <w:ind w:left="485"/>
              <w:rPr>
                <w:color w:val="211E1F"/>
                <w:spacing w:val="-10"/>
                <w:sz w:val="18"/>
              </w:rPr>
            </w:pPr>
            <w:r w:rsidRPr="00D4309F">
              <w:rPr>
                <w:b/>
                <w:color w:val="211E1F"/>
                <w:spacing w:val="-10"/>
                <w:sz w:val="18"/>
              </w:rPr>
              <w:t>10</w:t>
            </w:r>
          </w:p>
        </w:tc>
      </w:tr>
      <w:tr w:rsidR="00785E37" w:rsidRPr="00D4309F" w14:paraId="3BB008FC" w14:textId="77777777">
        <w:trPr>
          <w:trHeight w:val="247"/>
        </w:trPr>
        <w:tc>
          <w:tcPr>
            <w:tcW w:w="1002" w:type="pct"/>
            <w:vMerge w:val="restart"/>
          </w:tcPr>
          <w:p w14:paraId="4963D395" w14:textId="77777777" w:rsidR="00785E37" w:rsidRPr="00D4309F" w:rsidRDefault="00785E37" w:rsidP="00785E37">
            <w:pPr>
              <w:pStyle w:val="TableParagraph"/>
              <w:rPr>
                <w:rFonts w:ascii="Times New Roman"/>
                <w:sz w:val="18"/>
              </w:rPr>
            </w:pPr>
            <w:r w:rsidRPr="00D4309F">
              <w:rPr>
                <w:b/>
                <w:color w:val="211E1F"/>
                <w:spacing w:val="-2"/>
                <w:sz w:val="18"/>
              </w:rPr>
              <w:t>Financial</w:t>
            </w:r>
          </w:p>
        </w:tc>
        <w:tc>
          <w:tcPr>
            <w:tcW w:w="3427" w:type="pct"/>
          </w:tcPr>
          <w:p w14:paraId="15B8D2A6"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Capital</w:t>
            </w:r>
            <w:r w:rsidRPr="00D4309F">
              <w:rPr>
                <w:color w:val="211E1F"/>
                <w:spacing w:val="-6"/>
                <w:sz w:val="18"/>
              </w:rPr>
              <w:t xml:space="preserve"> </w:t>
            </w:r>
            <w:r w:rsidRPr="00D4309F">
              <w:rPr>
                <w:color w:val="211E1F"/>
                <w:spacing w:val="-2"/>
                <w:sz w:val="18"/>
              </w:rPr>
              <w:t>(CAPEX),</w:t>
            </w:r>
          </w:p>
        </w:tc>
        <w:tc>
          <w:tcPr>
            <w:tcW w:w="571" w:type="pct"/>
          </w:tcPr>
          <w:p w14:paraId="6E75E3C6" w14:textId="62819FEB"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5</w:t>
            </w:r>
          </w:p>
        </w:tc>
      </w:tr>
      <w:tr w:rsidR="00785E37" w:rsidRPr="00D4309F" w14:paraId="5BDC6FD2" w14:textId="77777777">
        <w:trPr>
          <w:trHeight w:val="247"/>
        </w:trPr>
        <w:tc>
          <w:tcPr>
            <w:tcW w:w="1002" w:type="pct"/>
            <w:vMerge/>
          </w:tcPr>
          <w:p w14:paraId="6B556E4E" w14:textId="77777777" w:rsidR="00785E37" w:rsidRPr="00D4309F" w:rsidRDefault="00785E37" w:rsidP="00785E37">
            <w:pPr>
              <w:pStyle w:val="TableParagraph"/>
              <w:rPr>
                <w:rFonts w:ascii="Times New Roman"/>
                <w:sz w:val="18"/>
              </w:rPr>
            </w:pPr>
          </w:p>
        </w:tc>
        <w:tc>
          <w:tcPr>
            <w:tcW w:w="3427" w:type="pct"/>
          </w:tcPr>
          <w:p w14:paraId="4775A078"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Operations</w:t>
            </w:r>
            <w:r w:rsidRPr="00D4309F">
              <w:rPr>
                <w:color w:val="211E1F"/>
                <w:spacing w:val="-6"/>
                <w:sz w:val="18"/>
              </w:rPr>
              <w:t xml:space="preserve"> </w:t>
            </w:r>
            <w:r w:rsidRPr="00D4309F">
              <w:rPr>
                <w:color w:val="211E1F"/>
                <w:sz w:val="18"/>
              </w:rPr>
              <w:t>and</w:t>
            </w:r>
            <w:r w:rsidRPr="00D4309F">
              <w:rPr>
                <w:color w:val="211E1F"/>
                <w:spacing w:val="-5"/>
                <w:sz w:val="18"/>
              </w:rPr>
              <w:t xml:space="preserve"> </w:t>
            </w:r>
            <w:r w:rsidRPr="00D4309F">
              <w:rPr>
                <w:color w:val="211E1F"/>
                <w:sz w:val="18"/>
              </w:rPr>
              <w:t>maintenance</w:t>
            </w:r>
            <w:r w:rsidRPr="00D4309F">
              <w:rPr>
                <w:color w:val="211E1F"/>
                <w:spacing w:val="-3"/>
                <w:sz w:val="18"/>
              </w:rPr>
              <w:t xml:space="preserve"> </w:t>
            </w:r>
            <w:r w:rsidRPr="00D4309F">
              <w:rPr>
                <w:color w:val="211E1F"/>
                <w:sz w:val="18"/>
              </w:rPr>
              <w:t>(OPEX),</w:t>
            </w:r>
            <w:r w:rsidRPr="00D4309F">
              <w:rPr>
                <w:color w:val="211E1F"/>
                <w:spacing w:val="-4"/>
                <w:sz w:val="18"/>
              </w:rPr>
              <w:t xml:space="preserve"> </w:t>
            </w:r>
            <w:r w:rsidRPr="00D4309F">
              <w:rPr>
                <w:color w:val="211E1F"/>
                <w:sz w:val="18"/>
              </w:rPr>
              <w:t>contingency,</w:t>
            </w:r>
            <w:r w:rsidRPr="00D4309F">
              <w:rPr>
                <w:color w:val="211E1F"/>
                <w:spacing w:val="-4"/>
                <w:sz w:val="18"/>
              </w:rPr>
              <w:t xml:space="preserve"> </w:t>
            </w:r>
            <w:r w:rsidRPr="00D4309F">
              <w:rPr>
                <w:color w:val="211E1F"/>
                <w:spacing w:val="-2"/>
                <w:sz w:val="18"/>
              </w:rPr>
              <w:t>monitoring.</w:t>
            </w:r>
          </w:p>
        </w:tc>
        <w:tc>
          <w:tcPr>
            <w:tcW w:w="571" w:type="pct"/>
          </w:tcPr>
          <w:p w14:paraId="0699F86F" w14:textId="4C3C4AA1"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3</w:t>
            </w:r>
          </w:p>
        </w:tc>
      </w:tr>
      <w:tr w:rsidR="00785E37" w:rsidRPr="00D4309F" w14:paraId="5A8E2506" w14:textId="77777777">
        <w:trPr>
          <w:trHeight w:val="247"/>
        </w:trPr>
        <w:tc>
          <w:tcPr>
            <w:tcW w:w="1002" w:type="pct"/>
            <w:vMerge/>
          </w:tcPr>
          <w:p w14:paraId="32BABFA7" w14:textId="77777777" w:rsidR="00785E37" w:rsidRPr="00D4309F" w:rsidRDefault="00785E37" w:rsidP="00785E37">
            <w:pPr>
              <w:pStyle w:val="TableParagraph"/>
              <w:rPr>
                <w:rFonts w:ascii="Times New Roman"/>
                <w:sz w:val="18"/>
              </w:rPr>
            </w:pPr>
          </w:p>
        </w:tc>
        <w:tc>
          <w:tcPr>
            <w:tcW w:w="3427" w:type="pct"/>
          </w:tcPr>
          <w:p w14:paraId="415746E1" w14:textId="77777777" w:rsidR="00785E37" w:rsidRPr="00D4309F" w:rsidRDefault="00785E37" w:rsidP="00785E37">
            <w:pPr>
              <w:pStyle w:val="TableParagraph"/>
              <w:spacing w:before="41" w:line="187" w:lineRule="exact"/>
              <w:ind w:left="165"/>
              <w:rPr>
                <w:color w:val="211E1F"/>
                <w:sz w:val="18"/>
              </w:rPr>
            </w:pPr>
          </w:p>
        </w:tc>
        <w:tc>
          <w:tcPr>
            <w:tcW w:w="571" w:type="pct"/>
          </w:tcPr>
          <w:p w14:paraId="4C46FE14" w14:textId="77777777" w:rsidR="00785E37" w:rsidRPr="00D4309F" w:rsidRDefault="00785E37" w:rsidP="00785E37">
            <w:pPr>
              <w:pStyle w:val="TableParagraph"/>
              <w:spacing w:before="41" w:line="187" w:lineRule="exact"/>
              <w:ind w:left="485"/>
              <w:rPr>
                <w:color w:val="211E1F"/>
                <w:spacing w:val="-10"/>
                <w:sz w:val="18"/>
              </w:rPr>
            </w:pPr>
          </w:p>
        </w:tc>
      </w:tr>
      <w:tr w:rsidR="00785E37" w:rsidRPr="00D4309F" w14:paraId="416206E4" w14:textId="77777777">
        <w:trPr>
          <w:trHeight w:val="247"/>
        </w:trPr>
        <w:tc>
          <w:tcPr>
            <w:tcW w:w="1002" w:type="pct"/>
            <w:vMerge/>
          </w:tcPr>
          <w:p w14:paraId="1A2F3644" w14:textId="77777777" w:rsidR="00785E37" w:rsidRPr="00D4309F" w:rsidRDefault="00785E37" w:rsidP="00785E37">
            <w:pPr>
              <w:pStyle w:val="TableParagraph"/>
              <w:rPr>
                <w:b/>
                <w:color w:val="211E1F"/>
                <w:spacing w:val="-2"/>
                <w:sz w:val="18"/>
              </w:rPr>
            </w:pPr>
          </w:p>
        </w:tc>
        <w:tc>
          <w:tcPr>
            <w:tcW w:w="3427" w:type="pct"/>
          </w:tcPr>
          <w:p w14:paraId="20419570" w14:textId="77777777" w:rsidR="00785E37" w:rsidRPr="00D4309F" w:rsidRDefault="00785E37" w:rsidP="00785E37">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0F0EAF26" w14:textId="09C18700" w:rsidR="00785E37" w:rsidRPr="00D4309F" w:rsidRDefault="00785E37" w:rsidP="00785E37">
            <w:pPr>
              <w:pStyle w:val="TableParagraph"/>
              <w:spacing w:before="41" w:line="187" w:lineRule="exact"/>
              <w:ind w:left="485"/>
              <w:rPr>
                <w:color w:val="211E1F"/>
                <w:spacing w:val="-10"/>
                <w:sz w:val="18"/>
              </w:rPr>
            </w:pPr>
            <w:r w:rsidRPr="00D4309F">
              <w:rPr>
                <w:b/>
                <w:color w:val="211E1F"/>
                <w:spacing w:val="-10"/>
                <w:sz w:val="18"/>
              </w:rPr>
              <w:t>8</w:t>
            </w:r>
          </w:p>
        </w:tc>
      </w:tr>
      <w:tr w:rsidR="00785E37" w:rsidRPr="00D4309F" w14:paraId="65B9066E" w14:textId="77777777" w:rsidTr="00213A04">
        <w:trPr>
          <w:trHeight w:val="247"/>
        </w:trPr>
        <w:tc>
          <w:tcPr>
            <w:tcW w:w="1002" w:type="pct"/>
            <w:shd w:val="clear" w:color="auto" w:fill="D9D9D9" w:themeFill="background1" w:themeFillShade="D9"/>
          </w:tcPr>
          <w:p w14:paraId="68AF3A9B" w14:textId="77777777" w:rsidR="00785E37" w:rsidRPr="00D4309F" w:rsidRDefault="00785E37" w:rsidP="00785E37">
            <w:pPr>
              <w:pStyle w:val="TableParagraph"/>
              <w:rPr>
                <w:b/>
                <w:color w:val="211E1F"/>
                <w:spacing w:val="-2"/>
                <w:sz w:val="18"/>
              </w:rPr>
            </w:pPr>
            <w:r w:rsidRPr="00D4309F">
              <w:rPr>
                <w:b/>
                <w:color w:val="70004A"/>
                <w:sz w:val="18"/>
              </w:rPr>
              <w:t>Total</w:t>
            </w:r>
            <w:r w:rsidRPr="00D4309F">
              <w:rPr>
                <w:b/>
                <w:color w:val="70004A"/>
                <w:spacing w:val="-3"/>
                <w:sz w:val="18"/>
              </w:rPr>
              <w:t xml:space="preserve"> </w:t>
            </w:r>
            <w:r w:rsidRPr="00D4309F">
              <w:rPr>
                <w:b/>
                <w:color w:val="70004A"/>
                <w:spacing w:val="-2"/>
                <w:sz w:val="18"/>
              </w:rPr>
              <w:t>Score</w:t>
            </w:r>
          </w:p>
        </w:tc>
        <w:tc>
          <w:tcPr>
            <w:tcW w:w="3427" w:type="pct"/>
            <w:shd w:val="clear" w:color="auto" w:fill="D9D9D9" w:themeFill="background1" w:themeFillShade="D9"/>
          </w:tcPr>
          <w:p w14:paraId="25684E16" w14:textId="77777777" w:rsidR="00785E37" w:rsidRPr="00D4309F" w:rsidRDefault="00785E37" w:rsidP="00785E37">
            <w:pPr>
              <w:pStyle w:val="TableParagraph"/>
              <w:spacing w:before="41" w:line="187" w:lineRule="exact"/>
              <w:ind w:left="165"/>
              <w:rPr>
                <w:color w:val="211E1F"/>
                <w:sz w:val="18"/>
              </w:rPr>
            </w:pPr>
          </w:p>
        </w:tc>
        <w:tc>
          <w:tcPr>
            <w:tcW w:w="571" w:type="pct"/>
            <w:shd w:val="clear" w:color="auto" w:fill="D9D9D9" w:themeFill="background1" w:themeFillShade="D9"/>
          </w:tcPr>
          <w:p w14:paraId="2D886C8C" w14:textId="40724CA6" w:rsidR="00785E37" w:rsidRPr="00D4309F" w:rsidRDefault="00785E37" w:rsidP="00785E37">
            <w:pPr>
              <w:pStyle w:val="TableParagraph"/>
              <w:spacing w:before="41" w:line="187" w:lineRule="exact"/>
              <w:ind w:left="485"/>
              <w:rPr>
                <w:color w:val="211E1F"/>
                <w:spacing w:val="-10"/>
                <w:sz w:val="18"/>
              </w:rPr>
            </w:pPr>
            <w:r w:rsidRPr="00441938">
              <w:rPr>
                <w:b/>
                <w:color w:val="70004A"/>
                <w:spacing w:val="-5"/>
                <w:sz w:val="18"/>
              </w:rPr>
              <w:t>7</w:t>
            </w:r>
            <w:r w:rsidR="00441938" w:rsidRPr="00441938">
              <w:rPr>
                <w:b/>
                <w:color w:val="70004A"/>
                <w:spacing w:val="-5"/>
                <w:sz w:val="18"/>
              </w:rPr>
              <w:t>7</w:t>
            </w:r>
          </w:p>
        </w:tc>
      </w:tr>
    </w:tbl>
    <w:p w14:paraId="6AE6782F" w14:textId="5BDAAE90" w:rsidR="00725977" w:rsidRPr="00D4309F" w:rsidRDefault="00725977" w:rsidP="00151534">
      <w:pPr>
        <w:pStyle w:val="BodyText"/>
      </w:pPr>
    </w:p>
    <w:p w14:paraId="269D9A70" w14:textId="698EBCA7" w:rsidR="00725977" w:rsidRDefault="00151534" w:rsidP="007774EC">
      <w:pPr>
        <w:pStyle w:val="Table-Caption"/>
        <w:rPr>
          <w:color w:val="211E1F"/>
          <w:spacing w:val="-2"/>
        </w:rPr>
      </w:pPr>
      <w:bookmarkStart w:id="566" w:name="_Toc216699589"/>
      <w:r>
        <w:t xml:space="preserve">Table </w:t>
      </w:r>
      <w:r>
        <w:fldChar w:fldCharType="begin" w:fldLock="1"/>
      </w:r>
      <w:r>
        <w:instrText xml:space="preserve"> STYLEREF 1 \s </w:instrText>
      </w:r>
      <w:r>
        <w:fldChar w:fldCharType="separate"/>
      </w:r>
      <w:r>
        <w:rPr>
          <w:noProof/>
        </w:rPr>
        <w:t>17</w:t>
      </w:r>
      <w:r>
        <w:fldChar w:fldCharType="end"/>
      </w:r>
      <w:r>
        <w:noBreakHyphen/>
      </w:r>
      <w:r>
        <w:fldChar w:fldCharType="begin"/>
      </w:r>
      <w:r>
        <w:instrText xml:space="preserve"> SEQ Table \* ARABIC \s 1 </w:instrText>
      </w:r>
      <w:r>
        <w:fldChar w:fldCharType="separate"/>
      </w:r>
      <w:r w:rsidR="006D0876">
        <w:rPr>
          <w:noProof/>
        </w:rPr>
        <w:t>6</w:t>
      </w:r>
      <w:r>
        <w:fldChar w:fldCharType="end"/>
      </w:r>
      <w:r>
        <w:t>:</w:t>
      </w:r>
      <w:r>
        <w:tab/>
      </w:r>
      <w:r w:rsidRPr="00D4309F">
        <w:rPr>
          <w:color w:val="211E1F"/>
        </w:rPr>
        <w:t>Option</w:t>
      </w:r>
      <w:r w:rsidRPr="00D4309F">
        <w:rPr>
          <w:color w:val="211E1F"/>
          <w:spacing w:val="-1"/>
        </w:rPr>
        <w:t xml:space="preserve"> </w:t>
      </w:r>
      <w:r w:rsidRPr="00D4309F">
        <w:rPr>
          <w:color w:val="211E1F"/>
        </w:rPr>
        <w:t>5B</w:t>
      </w:r>
      <w:r w:rsidRPr="00D4309F">
        <w:rPr>
          <w:color w:val="211E1F"/>
          <w:spacing w:val="-2"/>
        </w:rPr>
        <w:t xml:space="preserve"> </w:t>
      </w:r>
      <w:r w:rsidRPr="00D4309F">
        <w:rPr>
          <w:color w:val="211E1F"/>
        </w:rPr>
        <w:t xml:space="preserve">MCA </w:t>
      </w:r>
      <w:r w:rsidRPr="00D4309F">
        <w:rPr>
          <w:color w:val="211E1F"/>
          <w:spacing w:val="-2"/>
        </w:rPr>
        <w:t>Scoring</w:t>
      </w:r>
      <w:bookmarkEnd w:id="566"/>
    </w:p>
    <w:tbl>
      <w:tblPr>
        <w:tblStyle w:val="Table1"/>
        <w:tblW w:w="5000" w:type="pct"/>
        <w:tblLook w:val="04A0" w:firstRow="1" w:lastRow="0" w:firstColumn="1" w:lastColumn="0" w:noHBand="0" w:noVBand="1"/>
      </w:tblPr>
      <w:tblGrid>
        <w:gridCol w:w="2920"/>
        <w:gridCol w:w="9988"/>
        <w:gridCol w:w="1664"/>
      </w:tblGrid>
      <w:tr w:rsidR="00785E37" w:rsidRPr="00D4309F" w14:paraId="0AAC4408" w14:textId="77777777">
        <w:trPr>
          <w:cnfStyle w:val="100000000000" w:firstRow="1" w:lastRow="0" w:firstColumn="0" w:lastColumn="0" w:oddVBand="0" w:evenVBand="0" w:oddHBand="0" w:evenHBand="0" w:firstRowFirstColumn="0" w:firstRowLastColumn="0" w:lastRowFirstColumn="0" w:lastRowLastColumn="0"/>
          <w:trHeight w:val="286"/>
          <w:tblHeader/>
        </w:trPr>
        <w:tc>
          <w:tcPr>
            <w:tcW w:w="1002" w:type="pct"/>
          </w:tcPr>
          <w:p w14:paraId="58A23414" w14:textId="77777777" w:rsidR="00785E37" w:rsidRPr="00D4309F" w:rsidRDefault="00785E37">
            <w:pPr>
              <w:pStyle w:val="TableParagraph"/>
              <w:spacing w:before="40"/>
              <w:ind w:left="165"/>
              <w:rPr>
                <w:b/>
                <w:sz w:val="18"/>
              </w:rPr>
            </w:pPr>
            <w:r w:rsidRPr="00D4309F">
              <w:rPr>
                <w:b/>
                <w:color w:val="70004A"/>
                <w:sz w:val="18"/>
              </w:rPr>
              <w:t>MCA</w:t>
            </w:r>
            <w:r w:rsidRPr="00D4309F">
              <w:rPr>
                <w:b/>
                <w:color w:val="70004A"/>
                <w:spacing w:val="-3"/>
                <w:sz w:val="18"/>
              </w:rPr>
              <w:t xml:space="preserve"> </w:t>
            </w:r>
            <w:r w:rsidRPr="00D4309F">
              <w:rPr>
                <w:b/>
                <w:color w:val="70004A"/>
                <w:spacing w:val="-2"/>
                <w:sz w:val="18"/>
              </w:rPr>
              <w:t>Category</w:t>
            </w:r>
          </w:p>
        </w:tc>
        <w:tc>
          <w:tcPr>
            <w:tcW w:w="3427" w:type="pct"/>
          </w:tcPr>
          <w:p w14:paraId="61B4BFE0" w14:textId="77777777" w:rsidR="00785E37" w:rsidRPr="00D4309F" w:rsidRDefault="00785E37">
            <w:pPr>
              <w:pStyle w:val="TableParagraph"/>
              <w:spacing w:before="40"/>
              <w:ind w:left="165"/>
              <w:rPr>
                <w:b/>
                <w:sz w:val="18"/>
              </w:rPr>
            </w:pPr>
            <w:r w:rsidRPr="00D4309F">
              <w:rPr>
                <w:b/>
                <w:color w:val="70004A"/>
                <w:sz w:val="18"/>
              </w:rPr>
              <w:t>MCA</w:t>
            </w:r>
            <w:r w:rsidRPr="00D4309F">
              <w:rPr>
                <w:b/>
                <w:color w:val="70004A"/>
                <w:spacing w:val="-1"/>
                <w:sz w:val="18"/>
              </w:rPr>
              <w:t xml:space="preserve"> </w:t>
            </w:r>
            <w:r w:rsidRPr="00D4309F">
              <w:rPr>
                <w:b/>
                <w:color w:val="70004A"/>
                <w:spacing w:val="-2"/>
                <w:sz w:val="18"/>
              </w:rPr>
              <w:t>criteria</w:t>
            </w:r>
          </w:p>
        </w:tc>
        <w:tc>
          <w:tcPr>
            <w:tcW w:w="571" w:type="pct"/>
          </w:tcPr>
          <w:p w14:paraId="6E31E1B1" w14:textId="77777777" w:rsidR="00785E37" w:rsidRPr="00D4309F" w:rsidRDefault="00785E37">
            <w:pPr>
              <w:pStyle w:val="TableParagraph"/>
              <w:spacing w:before="40"/>
              <w:ind w:left="485"/>
              <w:rPr>
                <w:b/>
                <w:sz w:val="18"/>
              </w:rPr>
            </w:pPr>
            <w:r w:rsidRPr="00D4309F">
              <w:rPr>
                <w:b/>
                <w:color w:val="70004A"/>
                <w:spacing w:val="-2"/>
                <w:sz w:val="18"/>
              </w:rPr>
              <w:t>Score</w:t>
            </w:r>
          </w:p>
        </w:tc>
      </w:tr>
      <w:tr w:rsidR="00785E37" w:rsidRPr="00D4309F" w14:paraId="23BED601" w14:textId="77777777">
        <w:trPr>
          <w:trHeight w:val="494"/>
        </w:trPr>
        <w:tc>
          <w:tcPr>
            <w:tcW w:w="1002" w:type="pct"/>
            <w:vMerge w:val="restart"/>
          </w:tcPr>
          <w:p w14:paraId="0DBA9CC8" w14:textId="77777777" w:rsidR="00785E37" w:rsidRPr="00D4309F" w:rsidRDefault="00785E37" w:rsidP="00785E37">
            <w:pPr>
              <w:pStyle w:val="TableParagraph"/>
              <w:spacing w:before="39"/>
              <w:ind w:left="165"/>
              <w:rPr>
                <w:b/>
                <w:sz w:val="18"/>
              </w:rPr>
            </w:pPr>
            <w:r w:rsidRPr="00D4309F">
              <w:rPr>
                <w:b/>
                <w:color w:val="211E1F"/>
                <w:sz w:val="18"/>
              </w:rPr>
              <w:t>Coastal</w:t>
            </w:r>
            <w:r w:rsidRPr="00D4309F">
              <w:rPr>
                <w:b/>
                <w:color w:val="211E1F"/>
                <w:spacing w:val="-4"/>
                <w:sz w:val="18"/>
              </w:rPr>
              <w:t xml:space="preserve"> </w:t>
            </w:r>
            <w:r w:rsidRPr="00D4309F">
              <w:rPr>
                <w:b/>
                <w:color w:val="211E1F"/>
                <w:spacing w:val="-2"/>
                <w:sz w:val="18"/>
              </w:rPr>
              <w:t>engineering</w:t>
            </w:r>
          </w:p>
        </w:tc>
        <w:tc>
          <w:tcPr>
            <w:tcW w:w="3427" w:type="pct"/>
          </w:tcPr>
          <w:p w14:paraId="4B1D6F22" w14:textId="77777777" w:rsidR="00785E37" w:rsidRPr="00D4309F" w:rsidRDefault="00785E37" w:rsidP="00785E37">
            <w:pPr>
              <w:pStyle w:val="TableParagraph"/>
              <w:spacing w:before="39"/>
              <w:ind w:left="166"/>
              <w:rPr>
                <w:sz w:val="18"/>
              </w:rPr>
            </w:pPr>
            <w:r w:rsidRPr="00D4309F">
              <w:rPr>
                <w:color w:val="211E1F"/>
                <w:sz w:val="18"/>
              </w:rPr>
              <w:t>Effectiveness:</w:t>
            </w:r>
            <w:r w:rsidRPr="00D4309F">
              <w:rPr>
                <w:color w:val="211E1F"/>
                <w:spacing w:val="-2"/>
                <w:sz w:val="18"/>
              </w:rPr>
              <w:t xml:space="preserve"> </w:t>
            </w:r>
            <w:r w:rsidRPr="00D4309F">
              <w:rPr>
                <w:color w:val="211E1F"/>
                <w:sz w:val="18"/>
              </w:rPr>
              <w:t>Likely</w:t>
            </w:r>
            <w:r w:rsidRPr="00D4309F">
              <w:rPr>
                <w:color w:val="211E1F"/>
                <w:spacing w:val="-1"/>
                <w:sz w:val="18"/>
              </w:rPr>
              <w:t xml:space="preserve"> </w:t>
            </w:r>
            <w:r w:rsidRPr="00D4309F">
              <w:rPr>
                <w:color w:val="211E1F"/>
                <w:sz w:val="18"/>
              </w:rPr>
              <w:t>ability</w:t>
            </w:r>
            <w:r w:rsidRPr="00D4309F">
              <w:rPr>
                <w:color w:val="211E1F"/>
                <w:spacing w:val="-2"/>
                <w:sz w:val="18"/>
              </w:rPr>
              <w:t xml:space="preserve"> </w:t>
            </w:r>
            <w:r w:rsidRPr="00D4309F">
              <w:rPr>
                <w:color w:val="211E1F"/>
                <w:sz w:val="18"/>
              </w:rPr>
              <w:t>to</w:t>
            </w:r>
            <w:r w:rsidRPr="00D4309F">
              <w:rPr>
                <w:color w:val="211E1F"/>
                <w:spacing w:val="-3"/>
                <w:sz w:val="18"/>
              </w:rPr>
              <w:t xml:space="preserve"> </w:t>
            </w:r>
            <w:r w:rsidRPr="00D4309F">
              <w:rPr>
                <w:color w:val="211E1F"/>
                <w:sz w:val="18"/>
              </w:rPr>
              <w:t>shift</w:t>
            </w:r>
            <w:r w:rsidRPr="00D4309F">
              <w:rPr>
                <w:color w:val="211E1F"/>
                <w:spacing w:val="-2"/>
                <w:sz w:val="18"/>
              </w:rPr>
              <w:t xml:space="preserve"> </w:t>
            </w:r>
            <w:r w:rsidRPr="00D4309F">
              <w:rPr>
                <w:color w:val="211E1F"/>
                <w:sz w:val="18"/>
              </w:rPr>
              <w:t>enough</w:t>
            </w:r>
            <w:r w:rsidRPr="00D4309F">
              <w:rPr>
                <w:color w:val="211E1F"/>
                <w:spacing w:val="-3"/>
                <w:sz w:val="18"/>
              </w:rPr>
              <w:t xml:space="preserve"> </w:t>
            </w:r>
            <w:r w:rsidRPr="00D4309F">
              <w:rPr>
                <w:color w:val="211E1F"/>
                <w:sz w:val="18"/>
              </w:rPr>
              <w:t>sand</w:t>
            </w:r>
            <w:r w:rsidRPr="00D4309F">
              <w:rPr>
                <w:color w:val="211E1F"/>
                <w:spacing w:val="-3"/>
                <w:sz w:val="18"/>
              </w:rPr>
              <w:t xml:space="preserve"> </w:t>
            </w:r>
            <w:r w:rsidRPr="00D4309F">
              <w:rPr>
                <w:color w:val="211E1F"/>
                <w:sz w:val="18"/>
              </w:rPr>
              <w:t>past</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entrance</w:t>
            </w:r>
            <w:r w:rsidRPr="00D4309F">
              <w:rPr>
                <w:color w:val="211E1F"/>
                <w:spacing w:val="-3"/>
                <w:sz w:val="18"/>
              </w:rPr>
              <w:t xml:space="preserve"> </w:t>
            </w:r>
            <w:r w:rsidRPr="00D4309F">
              <w:rPr>
                <w:color w:val="211E1F"/>
                <w:sz w:val="18"/>
              </w:rPr>
              <w:t>(bypassing</w:t>
            </w:r>
            <w:r w:rsidRPr="00D4309F">
              <w:rPr>
                <w:color w:val="211E1F"/>
                <w:spacing w:val="-3"/>
                <w:sz w:val="18"/>
              </w:rPr>
              <w:t xml:space="preserve"> </w:t>
            </w:r>
            <w:r w:rsidRPr="00D4309F">
              <w:rPr>
                <w:color w:val="211E1F"/>
                <w:sz w:val="18"/>
              </w:rPr>
              <w:t>efficiency,</w:t>
            </w:r>
            <w:r w:rsidRPr="00D4309F">
              <w:rPr>
                <w:color w:val="211E1F"/>
                <w:spacing w:val="-2"/>
                <w:sz w:val="18"/>
              </w:rPr>
              <w:t xml:space="preserve"> </w:t>
            </w:r>
            <w:r w:rsidRPr="00D4309F">
              <w:rPr>
                <w:color w:val="211E1F"/>
                <w:sz w:val="18"/>
              </w:rPr>
              <w:t>trap</w:t>
            </w:r>
            <w:r w:rsidRPr="00D4309F">
              <w:rPr>
                <w:color w:val="211E1F"/>
                <w:spacing w:val="-3"/>
                <w:sz w:val="18"/>
              </w:rPr>
              <w:t xml:space="preserve"> </w:t>
            </w:r>
            <w:r w:rsidRPr="00D4309F">
              <w:rPr>
                <w:color w:val="211E1F"/>
                <w:sz w:val="18"/>
              </w:rPr>
              <w:t>capture</w:t>
            </w:r>
            <w:r w:rsidRPr="00D4309F">
              <w:rPr>
                <w:color w:val="211E1F"/>
                <w:spacing w:val="-3"/>
                <w:sz w:val="18"/>
              </w:rPr>
              <w:t xml:space="preserve"> </w:t>
            </w:r>
            <w:r w:rsidRPr="00D4309F">
              <w:rPr>
                <w:color w:val="211E1F"/>
                <w:sz w:val="18"/>
              </w:rPr>
              <w:t>rate,</w:t>
            </w:r>
            <w:r w:rsidRPr="00D4309F">
              <w:rPr>
                <w:color w:val="211E1F"/>
                <w:spacing w:val="-2"/>
                <w:sz w:val="18"/>
              </w:rPr>
              <w:t xml:space="preserve"> </w:t>
            </w:r>
            <w:r w:rsidRPr="00D4309F">
              <w:rPr>
                <w:color w:val="211E1F"/>
                <w:sz w:val="18"/>
              </w:rPr>
              <w:t>reduction</w:t>
            </w:r>
            <w:r w:rsidRPr="00D4309F">
              <w:rPr>
                <w:color w:val="211E1F"/>
                <w:spacing w:val="-3"/>
                <w:sz w:val="18"/>
              </w:rPr>
              <w:t xml:space="preserve"> </w:t>
            </w:r>
            <w:r w:rsidRPr="00D4309F">
              <w:rPr>
                <w:color w:val="211E1F"/>
                <w:sz w:val="18"/>
              </w:rPr>
              <w:t>in</w:t>
            </w:r>
            <w:r w:rsidRPr="00D4309F">
              <w:rPr>
                <w:color w:val="211E1F"/>
                <w:spacing w:val="-3"/>
                <w:sz w:val="18"/>
              </w:rPr>
              <w:t xml:space="preserve"> </w:t>
            </w:r>
            <w:r w:rsidRPr="00D4309F">
              <w:rPr>
                <w:color w:val="211E1F"/>
                <w:sz w:val="18"/>
              </w:rPr>
              <w:t>shoal frequency/magnitude, entrance depth reliability).</w:t>
            </w:r>
          </w:p>
        </w:tc>
        <w:tc>
          <w:tcPr>
            <w:tcW w:w="571" w:type="pct"/>
          </w:tcPr>
          <w:p w14:paraId="433D5A52" w14:textId="2A634547" w:rsidR="00785E37" w:rsidRPr="0019624B" w:rsidRDefault="00785E37" w:rsidP="00785E37">
            <w:pPr>
              <w:pStyle w:val="TableParagraph"/>
              <w:spacing w:before="39"/>
              <w:ind w:left="485"/>
              <w:rPr>
                <w:bCs/>
                <w:sz w:val="18"/>
              </w:rPr>
            </w:pPr>
            <w:r w:rsidRPr="00D4309F">
              <w:rPr>
                <w:color w:val="211E1F"/>
                <w:spacing w:val="-10"/>
                <w:sz w:val="18"/>
              </w:rPr>
              <w:t>1</w:t>
            </w:r>
          </w:p>
        </w:tc>
      </w:tr>
      <w:tr w:rsidR="00785E37" w:rsidRPr="00D4309F" w14:paraId="54DE72CD" w14:textId="77777777">
        <w:trPr>
          <w:trHeight w:val="286"/>
        </w:trPr>
        <w:tc>
          <w:tcPr>
            <w:tcW w:w="1002" w:type="pct"/>
            <w:vMerge/>
          </w:tcPr>
          <w:p w14:paraId="6B24B283" w14:textId="77777777" w:rsidR="00785E37" w:rsidRPr="00D4309F" w:rsidRDefault="00785E37" w:rsidP="00785E37">
            <w:pPr>
              <w:pStyle w:val="TableParagraph"/>
              <w:rPr>
                <w:rFonts w:ascii="Times New Roman"/>
                <w:sz w:val="18"/>
              </w:rPr>
            </w:pPr>
          </w:p>
        </w:tc>
        <w:tc>
          <w:tcPr>
            <w:tcW w:w="3427" w:type="pct"/>
          </w:tcPr>
          <w:p w14:paraId="79E136BC" w14:textId="77777777" w:rsidR="00785E37" w:rsidRPr="00D4309F" w:rsidRDefault="00785E37" w:rsidP="00785E37">
            <w:pPr>
              <w:pStyle w:val="TableParagraph"/>
              <w:spacing w:before="39"/>
              <w:ind w:left="165"/>
              <w:rPr>
                <w:sz w:val="18"/>
              </w:rPr>
            </w:pPr>
            <w:r w:rsidRPr="00D4309F">
              <w:rPr>
                <w:color w:val="211E1F"/>
                <w:sz w:val="18"/>
              </w:rPr>
              <w:t>Impacts</w:t>
            </w:r>
            <w:r w:rsidRPr="00D4309F">
              <w:rPr>
                <w:color w:val="211E1F"/>
                <w:spacing w:val="-5"/>
                <w:sz w:val="18"/>
              </w:rPr>
              <w:t xml:space="preserve"> </w:t>
            </w:r>
            <w:r w:rsidRPr="00D4309F">
              <w:rPr>
                <w:color w:val="211E1F"/>
                <w:sz w:val="18"/>
              </w:rPr>
              <w:t>on</w:t>
            </w:r>
            <w:r w:rsidRPr="00D4309F">
              <w:rPr>
                <w:color w:val="211E1F"/>
                <w:spacing w:val="-2"/>
                <w:sz w:val="18"/>
              </w:rPr>
              <w:t xml:space="preserve"> </w:t>
            </w:r>
            <w:r w:rsidRPr="00D4309F">
              <w:rPr>
                <w:color w:val="211E1F"/>
                <w:sz w:val="18"/>
              </w:rPr>
              <w:t>coastal</w:t>
            </w:r>
            <w:r w:rsidRPr="00D4309F">
              <w:rPr>
                <w:color w:val="211E1F"/>
                <w:spacing w:val="-2"/>
                <w:sz w:val="18"/>
              </w:rPr>
              <w:t xml:space="preserve"> </w:t>
            </w:r>
            <w:r w:rsidRPr="00D4309F">
              <w:rPr>
                <w:color w:val="211E1F"/>
                <w:sz w:val="18"/>
              </w:rPr>
              <w:t>processes:</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level</w:t>
            </w:r>
            <w:r w:rsidRPr="00D4309F">
              <w:rPr>
                <w:color w:val="211E1F"/>
                <w:spacing w:val="-2"/>
                <w:sz w:val="18"/>
              </w:rPr>
              <w:t xml:space="preserve"> </w:t>
            </w:r>
            <w:r w:rsidRPr="00D4309F">
              <w:rPr>
                <w:color w:val="211E1F"/>
                <w:sz w:val="18"/>
              </w:rPr>
              <w:t>in</w:t>
            </w:r>
            <w:r w:rsidRPr="00D4309F">
              <w:rPr>
                <w:color w:val="211E1F"/>
                <w:spacing w:val="-3"/>
                <w:sz w:val="18"/>
              </w:rPr>
              <w:t xml:space="preserve"> </w:t>
            </w:r>
            <w:r w:rsidRPr="00D4309F">
              <w:rPr>
                <w:color w:val="211E1F"/>
                <w:sz w:val="18"/>
              </w:rPr>
              <w:t>which</w:t>
            </w:r>
            <w:r w:rsidRPr="00D4309F">
              <w:rPr>
                <w:color w:val="211E1F"/>
                <w:spacing w:val="-3"/>
                <w:sz w:val="18"/>
              </w:rPr>
              <w:t xml:space="preserve"> </w:t>
            </w:r>
            <w:r w:rsidRPr="00D4309F">
              <w:rPr>
                <w:color w:val="211E1F"/>
                <w:sz w:val="18"/>
              </w:rPr>
              <w:t>it</w:t>
            </w:r>
            <w:r w:rsidRPr="00D4309F">
              <w:rPr>
                <w:color w:val="211E1F"/>
                <w:spacing w:val="-2"/>
                <w:sz w:val="18"/>
              </w:rPr>
              <w:t xml:space="preserve"> </w:t>
            </w:r>
            <w:r w:rsidRPr="00D4309F">
              <w:rPr>
                <w:color w:val="211E1F"/>
                <w:sz w:val="18"/>
              </w:rPr>
              <w:t>changes</w:t>
            </w:r>
            <w:r w:rsidRPr="00D4309F">
              <w:rPr>
                <w:color w:val="211E1F"/>
                <w:spacing w:val="-1"/>
                <w:sz w:val="18"/>
              </w:rPr>
              <w:t xml:space="preserve"> </w:t>
            </w:r>
            <w:r w:rsidRPr="00D4309F">
              <w:rPr>
                <w:color w:val="211E1F"/>
                <w:sz w:val="18"/>
              </w:rPr>
              <w:t>or</w:t>
            </w:r>
            <w:r w:rsidRPr="00D4309F">
              <w:rPr>
                <w:color w:val="211E1F"/>
                <w:spacing w:val="-2"/>
                <w:sz w:val="18"/>
              </w:rPr>
              <w:t xml:space="preserve"> </w:t>
            </w:r>
            <w:r w:rsidRPr="00D4309F">
              <w:rPr>
                <w:color w:val="211E1F"/>
                <w:sz w:val="18"/>
              </w:rPr>
              <w:t>has</w:t>
            </w:r>
            <w:r w:rsidRPr="00D4309F">
              <w:rPr>
                <w:color w:val="211E1F"/>
                <w:spacing w:val="-3"/>
                <w:sz w:val="18"/>
              </w:rPr>
              <w:t xml:space="preserve"> </w:t>
            </w:r>
            <w:r w:rsidRPr="00D4309F">
              <w:rPr>
                <w:color w:val="211E1F"/>
                <w:sz w:val="18"/>
              </w:rPr>
              <w:t>negative</w:t>
            </w:r>
            <w:r w:rsidRPr="00D4309F">
              <w:rPr>
                <w:color w:val="211E1F"/>
                <w:spacing w:val="-2"/>
                <w:sz w:val="18"/>
              </w:rPr>
              <w:t xml:space="preserve"> </w:t>
            </w:r>
            <w:r w:rsidRPr="00D4309F">
              <w:rPr>
                <w:color w:val="211E1F"/>
                <w:sz w:val="18"/>
              </w:rPr>
              <w:t>impacts</w:t>
            </w:r>
            <w:r w:rsidRPr="00D4309F">
              <w:rPr>
                <w:color w:val="211E1F"/>
                <w:spacing w:val="-2"/>
                <w:sz w:val="18"/>
              </w:rPr>
              <w:t xml:space="preserve"> </w:t>
            </w:r>
            <w:r w:rsidRPr="00D4309F">
              <w:rPr>
                <w:color w:val="211E1F"/>
                <w:sz w:val="18"/>
              </w:rPr>
              <w:t>on</w:t>
            </w:r>
            <w:r w:rsidRPr="00D4309F">
              <w:rPr>
                <w:color w:val="211E1F"/>
                <w:spacing w:val="-3"/>
                <w:sz w:val="18"/>
              </w:rPr>
              <w:t xml:space="preserve"> </w:t>
            </w:r>
            <w:r w:rsidRPr="00D4309F">
              <w:rPr>
                <w:color w:val="211E1F"/>
                <w:sz w:val="18"/>
              </w:rPr>
              <w:t>existing</w:t>
            </w:r>
            <w:r w:rsidRPr="00D4309F">
              <w:rPr>
                <w:color w:val="211E1F"/>
                <w:spacing w:val="-3"/>
                <w:sz w:val="18"/>
              </w:rPr>
              <w:t xml:space="preserve"> </w:t>
            </w:r>
            <w:r w:rsidRPr="00D4309F">
              <w:rPr>
                <w:color w:val="211E1F"/>
                <w:sz w:val="18"/>
              </w:rPr>
              <w:t>coastal</w:t>
            </w:r>
            <w:r w:rsidRPr="00D4309F">
              <w:rPr>
                <w:color w:val="211E1F"/>
                <w:spacing w:val="-1"/>
                <w:sz w:val="18"/>
              </w:rPr>
              <w:t xml:space="preserve"> </w:t>
            </w:r>
            <w:r w:rsidRPr="00D4309F">
              <w:rPr>
                <w:color w:val="211E1F"/>
                <w:spacing w:val="-2"/>
                <w:sz w:val="18"/>
              </w:rPr>
              <w:t>processes</w:t>
            </w:r>
          </w:p>
        </w:tc>
        <w:tc>
          <w:tcPr>
            <w:tcW w:w="571" w:type="pct"/>
          </w:tcPr>
          <w:p w14:paraId="4FFDC0E8" w14:textId="79045237" w:rsidR="00785E37" w:rsidRPr="0019624B" w:rsidRDefault="00785E37" w:rsidP="00785E37">
            <w:pPr>
              <w:pStyle w:val="TableParagraph"/>
              <w:spacing w:before="39"/>
              <w:ind w:left="485"/>
              <w:rPr>
                <w:bCs/>
                <w:sz w:val="18"/>
              </w:rPr>
            </w:pPr>
            <w:r w:rsidRPr="00D4309F">
              <w:rPr>
                <w:color w:val="211E1F"/>
                <w:spacing w:val="-10"/>
                <w:sz w:val="18"/>
              </w:rPr>
              <w:t>3</w:t>
            </w:r>
          </w:p>
        </w:tc>
      </w:tr>
      <w:tr w:rsidR="00785E37" w:rsidRPr="00D4309F" w14:paraId="4288B0B8" w14:textId="77777777">
        <w:trPr>
          <w:trHeight w:val="287"/>
        </w:trPr>
        <w:tc>
          <w:tcPr>
            <w:tcW w:w="1002" w:type="pct"/>
            <w:vMerge/>
          </w:tcPr>
          <w:p w14:paraId="74E6F93D" w14:textId="77777777" w:rsidR="00785E37" w:rsidRPr="00D4309F" w:rsidRDefault="00785E37" w:rsidP="00785E37">
            <w:pPr>
              <w:pStyle w:val="TableParagraph"/>
              <w:rPr>
                <w:rFonts w:ascii="Times New Roman"/>
                <w:sz w:val="18"/>
              </w:rPr>
            </w:pPr>
          </w:p>
        </w:tc>
        <w:tc>
          <w:tcPr>
            <w:tcW w:w="3427" w:type="pct"/>
          </w:tcPr>
          <w:p w14:paraId="5BF48009" w14:textId="77777777" w:rsidR="00785E37" w:rsidRPr="00D4309F" w:rsidRDefault="00785E37" w:rsidP="00785E37">
            <w:pPr>
              <w:pStyle w:val="TableParagraph"/>
              <w:spacing w:before="41"/>
              <w:ind w:left="165"/>
              <w:rPr>
                <w:sz w:val="18"/>
              </w:rPr>
            </w:pPr>
            <w:r w:rsidRPr="00D4309F">
              <w:rPr>
                <w:color w:val="211E1F"/>
                <w:sz w:val="18"/>
              </w:rPr>
              <w:t>Design</w:t>
            </w:r>
            <w:r w:rsidRPr="00D4309F">
              <w:rPr>
                <w:color w:val="211E1F"/>
                <w:spacing w:val="-5"/>
                <w:sz w:val="18"/>
              </w:rPr>
              <w:t xml:space="preserve"> </w:t>
            </w:r>
            <w:r w:rsidRPr="00D4309F">
              <w:rPr>
                <w:color w:val="211E1F"/>
                <w:sz w:val="18"/>
              </w:rPr>
              <w:t>and</w:t>
            </w:r>
            <w:r w:rsidRPr="00D4309F">
              <w:rPr>
                <w:color w:val="211E1F"/>
                <w:spacing w:val="-3"/>
                <w:sz w:val="18"/>
              </w:rPr>
              <w:t xml:space="preserve"> </w:t>
            </w:r>
            <w:r w:rsidRPr="00D4309F">
              <w:rPr>
                <w:color w:val="211E1F"/>
                <w:sz w:val="18"/>
              </w:rPr>
              <w:t>approvals:</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far</w:t>
            </w:r>
            <w:r w:rsidRPr="00D4309F">
              <w:rPr>
                <w:color w:val="211E1F"/>
                <w:spacing w:val="-2"/>
                <w:sz w:val="18"/>
              </w:rPr>
              <w:t xml:space="preserve"> </w:t>
            </w:r>
            <w:r w:rsidRPr="00D4309F">
              <w:rPr>
                <w:color w:val="211E1F"/>
                <w:sz w:val="18"/>
              </w:rPr>
              <w:t>is</w:t>
            </w:r>
            <w:r w:rsidRPr="00D4309F">
              <w:rPr>
                <w:color w:val="211E1F"/>
                <w:spacing w:val="-2"/>
                <w:sz w:val="18"/>
              </w:rPr>
              <w:t xml:space="preserve"> </w:t>
            </w:r>
            <w:r w:rsidRPr="00D4309F">
              <w:rPr>
                <w:color w:val="211E1F"/>
                <w:sz w:val="18"/>
              </w:rPr>
              <w:t>the</w:t>
            </w:r>
            <w:r w:rsidRPr="00D4309F">
              <w:rPr>
                <w:color w:val="211E1F"/>
                <w:spacing w:val="-3"/>
                <w:sz w:val="18"/>
              </w:rPr>
              <w:t xml:space="preserve"> </w:t>
            </w:r>
            <w:r w:rsidRPr="00D4309F">
              <w:rPr>
                <w:color w:val="211E1F"/>
                <w:sz w:val="18"/>
              </w:rPr>
              <w:t>option</w:t>
            </w:r>
            <w:r w:rsidRPr="00D4309F">
              <w:rPr>
                <w:color w:val="211E1F"/>
                <w:spacing w:val="-1"/>
                <w:sz w:val="18"/>
              </w:rPr>
              <w:t xml:space="preserve"> </w:t>
            </w:r>
            <w:r w:rsidRPr="00D4309F">
              <w:rPr>
                <w:color w:val="211E1F"/>
                <w:sz w:val="18"/>
              </w:rPr>
              <w:t>progressed</w:t>
            </w:r>
            <w:r w:rsidRPr="00D4309F">
              <w:rPr>
                <w:color w:val="211E1F"/>
                <w:spacing w:val="-3"/>
                <w:sz w:val="18"/>
              </w:rPr>
              <w:t xml:space="preserve"> </w:t>
            </w:r>
            <w:r w:rsidRPr="00D4309F">
              <w:rPr>
                <w:color w:val="211E1F"/>
                <w:sz w:val="18"/>
              </w:rPr>
              <w:t>with</w:t>
            </w:r>
            <w:r w:rsidRPr="00D4309F">
              <w:rPr>
                <w:color w:val="211E1F"/>
                <w:spacing w:val="-3"/>
                <w:sz w:val="18"/>
              </w:rPr>
              <w:t xml:space="preserve"> </w:t>
            </w:r>
            <w:r w:rsidRPr="00D4309F">
              <w:rPr>
                <w:color w:val="211E1F"/>
                <w:sz w:val="18"/>
              </w:rPr>
              <w:t>design</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approvals</w:t>
            </w:r>
            <w:r w:rsidRPr="00D4309F">
              <w:rPr>
                <w:color w:val="211E1F"/>
                <w:spacing w:val="-2"/>
                <w:sz w:val="18"/>
              </w:rPr>
              <w:t xml:space="preserve"> </w:t>
            </w:r>
            <w:r w:rsidRPr="00D4309F">
              <w:rPr>
                <w:color w:val="211E1F"/>
                <w:sz w:val="18"/>
              </w:rPr>
              <w:t>and</w:t>
            </w:r>
            <w:r w:rsidRPr="00D4309F">
              <w:rPr>
                <w:color w:val="211E1F"/>
                <w:spacing w:val="-3"/>
                <w:sz w:val="18"/>
              </w:rPr>
              <w:t xml:space="preserve"> </w:t>
            </w:r>
            <w:r w:rsidRPr="00D4309F">
              <w:rPr>
                <w:color w:val="211E1F"/>
                <w:sz w:val="18"/>
              </w:rPr>
              <w:t>how</w:t>
            </w:r>
            <w:r w:rsidRPr="00D4309F">
              <w:rPr>
                <w:color w:val="211E1F"/>
                <w:spacing w:val="-2"/>
                <w:sz w:val="18"/>
              </w:rPr>
              <w:t xml:space="preserve"> </w:t>
            </w:r>
            <w:r w:rsidRPr="00D4309F">
              <w:rPr>
                <w:color w:val="211E1F"/>
                <w:sz w:val="18"/>
              </w:rPr>
              <w:t>much</w:t>
            </w:r>
            <w:r w:rsidRPr="00D4309F">
              <w:rPr>
                <w:color w:val="211E1F"/>
                <w:spacing w:val="-3"/>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2"/>
                <w:sz w:val="18"/>
              </w:rPr>
              <w:t xml:space="preserve"> required</w:t>
            </w:r>
          </w:p>
        </w:tc>
        <w:tc>
          <w:tcPr>
            <w:tcW w:w="571" w:type="pct"/>
          </w:tcPr>
          <w:p w14:paraId="4DE0C23E" w14:textId="79D71CDF" w:rsidR="00785E37" w:rsidRPr="0019624B" w:rsidRDefault="00785E37" w:rsidP="00785E37">
            <w:pPr>
              <w:pStyle w:val="TableParagraph"/>
              <w:spacing w:before="41"/>
              <w:ind w:left="484"/>
              <w:rPr>
                <w:bCs/>
                <w:sz w:val="18"/>
              </w:rPr>
            </w:pPr>
            <w:r w:rsidRPr="00D4309F">
              <w:rPr>
                <w:color w:val="211E1F"/>
                <w:spacing w:val="-10"/>
                <w:sz w:val="18"/>
              </w:rPr>
              <w:t>1</w:t>
            </w:r>
          </w:p>
        </w:tc>
      </w:tr>
      <w:tr w:rsidR="00785E37" w:rsidRPr="00D4309F" w14:paraId="73A3211A" w14:textId="77777777">
        <w:trPr>
          <w:trHeight w:val="286"/>
        </w:trPr>
        <w:tc>
          <w:tcPr>
            <w:tcW w:w="1002" w:type="pct"/>
            <w:vMerge/>
          </w:tcPr>
          <w:p w14:paraId="10F067C6" w14:textId="77777777" w:rsidR="00785E37" w:rsidRPr="00D4309F" w:rsidRDefault="00785E37" w:rsidP="00785E37">
            <w:pPr>
              <w:pStyle w:val="TableParagraph"/>
              <w:rPr>
                <w:rFonts w:ascii="Times New Roman"/>
                <w:sz w:val="18"/>
              </w:rPr>
            </w:pPr>
          </w:p>
        </w:tc>
        <w:tc>
          <w:tcPr>
            <w:tcW w:w="3427" w:type="pct"/>
          </w:tcPr>
          <w:p w14:paraId="71C9E41A" w14:textId="77777777" w:rsidR="00785E37" w:rsidRPr="00D4309F" w:rsidRDefault="00785E37" w:rsidP="00785E37">
            <w:pPr>
              <w:pStyle w:val="TableParagraph"/>
              <w:spacing w:before="39"/>
              <w:ind w:left="165"/>
              <w:rPr>
                <w:sz w:val="18"/>
              </w:rPr>
            </w:pPr>
            <w:r w:rsidRPr="00D4309F">
              <w:rPr>
                <w:color w:val="211E1F"/>
                <w:sz w:val="18"/>
              </w:rPr>
              <w:t>Capital</w:t>
            </w:r>
            <w:r w:rsidRPr="00D4309F">
              <w:rPr>
                <w:color w:val="211E1F"/>
                <w:spacing w:val="-5"/>
                <w:sz w:val="18"/>
              </w:rPr>
              <w:t xml:space="preserve"> </w:t>
            </w:r>
            <w:r w:rsidRPr="00D4309F">
              <w:rPr>
                <w:color w:val="211E1F"/>
                <w:sz w:val="18"/>
              </w:rPr>
              <w:t>works:</w:t>
            </w:r>
            <w:r w:rsidRPr="00D4309F">
              <w:rPr>
                <w:color w:val="211E1F"/>
                <w:spacing w:val="-1"/>
                <w:sz w:val="18"/>
              </w:rPr>
              <w:t xml:space="preserve"> </w:t>
            </w:r>
            <w:r w:rsidRPr="00D4309F">
              <w:rPr>
                <w:color w:val="211E1F"/>
                <w:sz w:val="18"/>
              </w:rPr>
              <w:t>how</w:t>
            </w:r>
            <w:r w:rsidRPr="00D4309F">
              <w:rPr>
                <w:color w:val="211E1F"/>
                <w:spacing w:val="-2"/>
                <w:sz w:val="18"/>
              </w:rPr>
              <w:t xml:space="preserve"> </w:t>
            </w:r>
            <w:r w:rsidRPr="00D4309F">
              <w:rPr>
                <w:color w:val="211E1F"/>
                <w:sz w:val="18"/>
              </w:rPr>
              <w:t>significant</w:t>
            </w:r>
            <w:r w:rsidRPr="00D4309F">
              <w:rPr>
                <w:color w:val="211E1F"/>
                <w:spacing w:val="-1"/>
                <w:sz w:val="18"/>
              </w:rPr>
              <w:t xml:space="preserve"> </w:t>
            </w:r>
            <w:r w:rsidRPr="00D4309F">
              <w:rPr>
                <w:color w:val="211E1F"/>
                <w:sz w:val="18"/>
              </w:rPr>
              <w:t>the</w:t>
            </w:r>
            <w:r w:rsidRPr="00D4309F">
              <w:rPr>
                <w:color w:val="211E1F"/>
                <w:spacing w:val="-4"/>
                <w:sz w:val="18"/>
              </w:rPr>
              <w:t xml:space="preserve"> </w:t>
            </w:r>
            <w:r w:rsidRPr="00D4309F">
              <w:rPr>
                <w:color w:val="211E1F"/>
                <w:sz w:val="18"/>
              </w:rPr>
              <w:t>capital</w:t>
            </w:r>
            <w:r w:rsidRPr="00D4309F">
              <w:rPr>
                <w:color w:val="211E1F"/>
                <w:spacing w:val="-2"/>
                <w:sz w:val="18"/>
              </w:rPr>
              <w:t xml:space="preserve"> </w:t>
            </w:r>
            <w:r w:rsidRPr="00D4309F">
              <w:rPr>
                <w:color w:val="211E1F"/>
                <w:sz w:val="18"/>
              </w:rPr>
              <w:t>works</w:t>
            </w:r>
            <w:r w:rsidRPr="00D4309F">
              <w:rPr>
                <w:color w:val="211E1F"/>
                <w:spacing w:val="-2"/>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and</w:t>
            </w:r>
            <w:r w:rsidRPr="00D4309F">
              <w:rPr>
                <w:color w:val="211E1F"/>
                <w:spacing w:val="-4"/>
                <w:sz w:val="18"/>
              </w:rPr>
              <w:t xml:space="preserve"> </w:t>
            </w:r>
            <w:r w:rsidRPr="00D4309F">
              <w:rPr>
                <w:color w:val="211E1F"/>
                <w:sz w:val="18"/>
              </w:rPr>
              <w:t>their</w:t>
            </w:r>
            <w:r w:rsidRPr="00D4309F">
              <w:rPr>
                <w:color w:val="211E1F"/>
                <w:spacing w:val="-2"/>
                <w:sz w:val="18"/>
              </w:rPr>
              <w:t xml:space="preserve"> </w:t>
            </w:r>
            <w:r w:rsidRPr="00D4309F">
              <w:rPr>
                <w:color w:val="211E1F"/>
                <w:sz w:val="18"/>
              </w:rPr>
              <w:t>impacts</w:t>
            </w:r>
            <w:r w:rsidRPr="00D4309F">
              <w:rPr>
                <w:color w:val="211E1F"/>
                <w:spacing w:val="-2"/>
                <w:sz w:val="18"/>
              </w:rPr>
              <w:t xml:space="preserve"> </w:t>
            </w:r>
            <w:r w:rsidRPr="00D4309F">
              <w:rPr>
                <w:color w:val="211E1F"/>
                <w:sz w:val="18"/>
              </w:rPr>
              <w:t>during</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pacing w:val="-2"/>
                <w:sz w:val="18"/>
              </w:rPr>
              <w:t>process</w:t>
            </w:r>
          </w:p>
        </w:tc>
        <w:tc>
          <w:tcPr>
            <w:tcW w:w="571" w:type="pct"/>
          </w:tcPr>
          <w:p w14:paraId="6940BD18" w14:textId="3D4240B2" w:rsidR="00785E37" w:rsidRPr="0019624B" w:rsidRDefault="00785E37" w:rsidP="00785E37">
            <w:pPr>
              <w:pStyle w:val="TableParagraph"/>
              <w:spacing w:before="39"/>
              <w:ind w:left="484"/>
              <w:rPr>
                <w:bCs/>
                <w:sz w:val="18"/>
              </w:rPr>
            </w:pPr>
            <w:r w:rsidRPr="00D4309F">
              <w:rPr>
                <w:color w:val="211E1F"/>
                <w:spacing w:val="-10"/>
                <w:sz w:val="18"/>
              </w:rPr>
              <w:t>2</w:t>
            </w:r>
          </w:p>
        </w:tc>
      </w:tr>
      <w:tr w:rsidR="00785E37" w:rsidRPr="00D4309F" w14:paraId="347298C0" w14:textId="77777777">
        <w:trPr>
          <w:trHeight w:val="287"/>
        </w:trPr>
        <w:tc>
          <w:tcPr>
            <w:tcW w:w="1002" w:type="pct"/>
            <w:vMerge/>
          </w:tcPr>
          <w:p w14:paraId="5439C50D" w14:textId="77777777" w:rsidR="00785E37" w:rsidRPr="00D4309F" w:rsidRDefault="00785E37" w:rsidP="00785E37">
            <w:pPr>
              <w:pStyle w:val="TableParagraph"/>
              <w:rPr>
                <w:rFonts w:ascii="Times New Roman"/>
                <w:sz w:val="18"/>
              </w:rPr>
            </w:pPr>
          </w:p>
        </w:tc>
        <w:tc>
          <w:tcPr>
            <w:tcW w:w="3427" w:type="pct"/>
          </w:tcPr>
          <w:p w14:paraId="47495F0F" w14:textId="77777777" w:rsidR="00785E37" w:rsidRPr="00D4309F" w:rsidRDefault="00785E37" w:rsidP="00785E37">
            <w:pPr>
              <w:pStyle w:val="TableParagraph"/>
              <w:spacing w:before="41"/>
              <w:ind w:left="165"/>
              <w:rPr>
                <w:sz w:val="18"/>
              </w:rPr>
            </w:pPr>
            <w:r w:rsidRPr="00D4309F">
              <w:rPr>
                <w:color w:val="211E1F"/>
                <w:sz w:val="18"/>
              </w:rPr>
              <w:t>Operational</w:t>
            </w:r>
            <w:r w:rsidRPr="00D4309F">
              <w:rPr>
                <w:color w:val="211E1F"/>
                <w:spacing w:val="-5"/>
                <w:sz w:val="18"/>
              </w:rPr>
              <w:t xml:space="preserve"> </w:t>
            </w:r>
            <w:r w:rsidRPr="00D4309F">
              <w:rPr>
                <w:color w:val="211E1F"/>
                <w:sz w:val="18"/>
              </w:rPr>
              <w:t>works:</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significant</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z w:val="18"/>
              </w:rPr>
              <w:t>operational</w:t>
            </w:r>
            <w:r w:rsidRPr="00D4309F">
              <w:rPr>
                <w:color w:val="211E1F"/>
                <w:spacing w:val="-2"/>
                <w:sz w:val="18"/>
              </w:rPr>
              <w:t xml:space="preserve"> </w:t>
            </w:r>
            <w:r w:rsidRPr="00D4309F">
              <w:rPr>
                <w:color w:val="211E1F"/>
                <w:sz w:val="18"/>
              </w:rPr>
              <w:t>works</w:t>
            </w:r>
            <w:r w:rsidRPr="00D4309F">
              <w:rPr>
                <w:color w:val="211E1F"/>
                <w:spacing w:val="-3"/>
                <w:sz w:val="18"/>
              </w:rPr>
              <w:t xml:space="preserve"> </w:t>
            </w:r>
            <w:r w:rsidRPr="00D4309F">
              <w:rPr>
                <w:color w:val="211E1F"/>
                <w:sz w:val="18"/>
              </w:rPr>
              <w:t>would</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their</w:t>
            </w:r>
            <w:r w:rsidRPr="00D4309F">
              <w:rPr>
                <w:color w:val="211E1F"/>
                <w:spacing w:val="-3"/>
                <w:sz w:val="18"/>
              </w:rPr>
              <w:t xml:space="preserve"> </w:t>
            </w:r>
            <w:r w:rsidRPr="00D4309F">
              <w:rPr>
                <w:color w:val="211E1F"/>
                <w:sz w:val="18"/>
              </w:rPr>
              <w:t>impacts</w:t>
            </w:r>
            <w:r w:rsidRPr="00D4309F">
              <w:rPr>
                <w:color w:val="211E1F"/>
                <w:spacing w:val="-2"/>
                <w:sz w:val="18"/>
              </w:rPr>
              <w:t xml:space="preserve"> </w:t>
            </w:r>
            <w:r w:rsidRPr="00D4309F">
              <w:rPr>
                <w:color w:val="211E1F"/>
                <w:sz w:val="18"/>
              </w:rPr>
              <w:t>during</w:t>
            </w:r>
            <w:r w:rsidRPr="00D4309F">
              <w:rPr>
                <w:color w:val="211E1F"/>
                <w:spacing w:val="-3"/>
                <w:sz w:val="18"/>
              </w:rPr>
              <w:t xml:space="preserve"> </w:t>
            </w:r>
            <w:r w:rsidRPr="00D4309F">
              <w:rPr>
                <w:color w:val="211E1F"/>
                <w:sz w:val="18"/>
              </w:rPr>
              <w:t>the</w:t>
            </w:r>
            <w:r w:rsidRPr="00D4309F">
              <w:rPr>
                <w:color w:val="211E1F"/>
                <w:spacing w:val="-3"/>
                <w:sz w:val="18"/>
              </w:rPr>
              <w:t xml:space="preserve"> </w:t>
            </w:r>
            <w:r w:rsidRPr="00D4309F">
              <w:rPr>
                <w:color w:val="211E1F"/>
                <w:spacing w:val="-2"/>
                <w:sz w:val="18"/>
              </w:rPr>
              <w:t>process</w:t>
            </w:r>
          </w:p>
        </w:tc>
        <w:tc>
          <w:tcPr>
            <w:tcW w:w="571" w:type="pct"/>
          </w:tcPr>
          <w:p w14:paraId="64D0AC65" w14:textId="1703474A" w:rsidR="00785E37" w:rsidRPr="0019624B" w:rsidRDefault="00785E37" w:rsidP="00785E37">
            <w:pPr>
              <w:pStyle w:val="TableParagraph"/>
              <w:spacing w:before="41"/>
              <w:ind w:left="485"/>
              <w:rPr>
                <w:bCs/>
                <w:sz w:val="18"/>
              </w:rPr>
            </w:pPr>
            <w:r w:rsidRPr="00D4309F">
              <w:rPr>
                <w:color w:val="211E1F"/>
                <w:spacing w:val="-10"/>
                <w:sz w:val="18"/>
              </w:rPr>
              <w:t>4</w:t>
            </w:r>
          </w:p>
        </w:tc>
      </w:tr>
      <w:tr w:rsidR="00785E37" w:rsidRPr="00D4309F" w14:paraId="37712E66" w14:textId="77777777">
        <w:trPr>
          <w:trHeight w:val="286"/>
        </w:trPr>
        <w:tc>
          <w:tcPr>
            <w:tcW w:w="1002" w:type="pct"/>
            <w:vMerge/>
          </w:tcPr>
          <w:p w14:paraId="2B5AD378" w14:textId="77777777" w:rsidR="00785E37" w:rsidRPr="00D4309F" w:rsidRDefault="00785E37" w:rsidP="00785E37">
            <w:pPr>
              <w:pStyle w:val="TableParagraph"/>
              <w:rPr>
                <w:rFonts w:ascii="Times New Roman"/>
                <w:sz w:val="18"/>
              </w:rPr>
            </w:pPr>
          </w:p>
        </w:tc>
        <w:tc>
          <w:tcPr>
            <w:tcW w:w="3427" w:type="pct"/>
          </w:tcPr>
          <w:p w14:paraId="566F74A4" w14:textId="77777777" w:rsidR="00785E37" w:rsidRPr="00D4309F" w:rsidRDefault="00785E37" w:rsidP="00785E37">
            <w:pPr>
              <w:pStyle w:val="TableParagraph"/>
              <w:spacing w:before="39"/>
              <w:ind w:left="165"/>
              <w:rPr>
                <w:sz w:val="18"/>
              </w:rPr>
            </w:pPr>
            <w:r w:rsidRPr="00D4309F">
              <w:rPr>
                <w:color w:val="211E1F"/>
                <w:sz w:val="18"/>
              </w:rPr>
              <w:t>Future</w:t>
            </w:r>
            <w:r w:rsidRPr="00D4309F">
              <w:rPr>
                <w:color w:val="211E1F"/>
                <w:spacing w:val="-6"/>
                <w:sz w:val="18"/>
              </w:rPr>
              <w:t xml:space="preserve"> </w:t>
            </w:r>
            <w:r w:rsidRPr="00D4309F">
              <w:rPr>
                <w:color w:val="211E1F"/>
                <w:sz w:val="18"/>
              </w:rPr>
              <w:t>adaption:</w:t>
            </w:r>
            <w:r w:rsidRPr="00D4309F">
              <w:rPr>
                <w:color w:val="211E1F"/>
                <w:spacing w:val="-2"/>
                <w:sz w:val="18"/>
              </w:rPr>
              <w:t xml:space="preserve"> </w:t>
            </w:r>
            <w:r w:rsidRPr="00D4309F">
              <w:rPr>
                <w:color w:val="211E1F"/>
                <w:sz w:val="18"/>
              </w:rPr>
              <w:t>how</w:t>
            </w:r>
            <w:r w:rsidRPr="00D4309F">
              <w:rPr>
                <w:color w:val="211E1F"/>
                <w:spacing w:val="-2"/>
                <w:sz w:val="18"/>
              </w:rPr>
              <w:t xml:space="preserve"> </w:t>
            </w:r>
            <w:r w:rsidRPr="00D4309F">
              <w:rPr>
                <w:color w:val="211E1F"/>
                <w:sz w:val="18"/>
              </w:rPr>
              <w:t>well</w:t>
            </w:r>
            <w:r w:rsidRPr="00D4309F">
              <w:rPr>
                <w:color w:val="211E1F"/>
                <w:spacing w:val="-2"/>
                <w:sz w:val="18"/>
              </w:rPr>
              <w:t xml:space="preserve"> </w:t>
            </w:r>
            <w:r w:rsidRPr="00D4309F">
              <w:rPr>
                <w:color w:val="211E1F"/>
                <w:sz w:val="18"/>
              </w:rPr>
              <w:t>the</w:t>
            </w:r>
            <w:r w:rsidRPr="00D4309F">
              <w:rPr>
                <w:color w:val="211E1F"/>
                <w:spacing w:val="-1"/>
                <w:sz w:val="18"/>
              </w:rPr>
              <w:t xml:space="preserve"> </w:t>
            </w:r>
            <w:r w:rsidRPr="00D4309F">
              <w:rPr>
                <w:color w:val="211E1F"/>
                <w:sz w:val="18"/>
              </w:rPr>
              <w:t>option</w:t>
            </w:r>
            <w:r w:rsidRPr="00D4309F">
              <w:rPr>
                <w:color w:val="211E1F"/>
                <w:spacing w:val="-3"/>
                <w:sz w:val="18"/>
              </w:rPr>
              <w:t xml:space="preserve"> </w:t>
            </w:r>
            <w:r w:rsidRPr="00D4309F">
              <w:rPr>
                <w:color w:val="211E1F"/>
                <w:sz w:val="18"/>
              </w:rPr>
              <w:t>be</w:t>
            </w:r>
            <w:r w:rsidRPr="00D4309F">
              <w:rPr>
                <w:color w:val="211E1F"/>
                <w:spacing w:val="-3"/>
                <w:sz w:val="18"/>
              </w:rPr>
              <w:t xml:space="preserve"> </w:t>
            </w:r>
            <w:r w:rsidRPr="00D4309F">
              <w:rPr>
                <w:color w:val="211E1F"/>
                <w:sz w:val="18"/>
              </w:rPr>
              <w:t>adapted</w:t>
            </w:r>
            <w:r w:rsidRPr="00D4309F">
              <w:rPr>
                <w:color w:val="211E1F"/>
                <w:spacing w:val="-3"/>
                <w:sz w:val="18"/>
              </w:rPr>
              <w:t xml:space="preserve"> </w:t>
            </w:r>
            <w:r w:rsidRPr="00D4309F">
              <w:rPr>
                <w:color w:val="211E1F"/>
                <w:sz w:val="18"/>
              </w:rPr>
              <w:t>to</w:t>
            </w:r>
            <w:r w:rsidRPr="00D4309F">
              <w:rPr>
                <w:color w:val="211E1F"/>
                <w:spacing w:val="-3"/>
                <w:sz w:val="18"/>
              </w:rPr>
              <w:t xml:space="preserve"> </w:t>
            </w:r>
            <w:r w:rsidRPr="00D4309F">
              <w:rPr>
                <w:color w:val="211E1F"/>
                <w:sz w:val="18"/>
              </w:rPr>
              <w:t>future</w:t>
            </w:r>
            <w:r w:rsidRPr="00D4309F">
              <w:rPr>
                <w:color w:val="211E1F"/>
                <w:spacing w:val="-3"/>
                <w:sz w:val="18"/>
              </w:rPr>
              <w:t xml:space="preserve"> </w:t>
            </w:r>
            <w:r w:rsidRPr="00D4309F">
              <w:rPr>
                <w:color w:val="211E1F"/>
                <w:spacing w:val="-2"/>
                <w:sz w:val="18"/>
              </w:rPr>
              <w:t>conditions</w:t>
            </w:r>
          </w:p>
        </w:tc>
        <w:tc>
          <w:tcPr>
            <w:tcW w:w="571" w:type="pct"/>
          </w:tcPr>
          <w:p w14:paraId="0CDA8D73" w14:textId="73F776B7" w:rsidR="00785E37" w:rsidRPr="0019624B" w:rsidRDefault="00785E37" w:rsidP="00785E37">
            <w:pPr>
              <w:pStyle w:val="TableParagraph"/>
              <w:spacing w:before="39"/>
              <w:ind w:left="485"/>
              <w:rPr>
                <w:bCs/>
                <w:sz w:val="18"/>
              </w:rPr>
            </w:pPr>
            <w:r w:rsidRPr="00D4309F">
              <w:rPr>
                <w:color w:val="211E1F"/>
                <w:spacing w:val="-10"/>
                <w:sz w:val="18"/>
              </w:rPr>
              <w:t>2</w:t>
            </w:r>
          </w:p>
        </w:tc>
      </w:tr>
      <w:tr w:rsidR="00785E37" w:rsidRPr="00D4309F" w14:paraId="4B0D4F06" w14:textId="77777777">
        <w:trPr>
          <w:trHeight w:val="287"/>
        </w:trPr>
        <w:tc>
          <w:tcPr>
            <w:tcW w:w="1002" w:type="pct"/>
            <w:vMerge/>
          </w:tcPr>
          <w:p w14:paraId="0C0DCCAF" w14:textId="77777777" w:rsidR="00785E37" w:rsidRPr="00D4309F" w:rsidRDefault="00785E37" w:rsidP="00785E37">
            <w:pPr>
              <w:pStyle w:val="TableParagraph"/>
              <w:rPr>
                <w:rFonts w:ascii="Times New Roman"/>
                <w:sz w:val="18"/>
              </w:rPr>
            </w:pPr>
          </w:p>
        </w:tc>
        <w:tc>
          <w:tcPr>
            <w:tcW w:w="3427" w:type="pct"/>
          </w:tcPr>
          <w:p w14:paraId="08720FF2" w14:textId="77777777" w:rsidR="00785E37" w:rsidRPr="00D4309F" w:rsidRDefault="00785E37" w:rsidP="00785E37">
            <w:pPr>
              <w:pStyle w:val="TableParagraph"/>
              <w:rPr>
                <w:rFonts w:ascii="Times New Roman"/>
                <w:sz w:val="18"/>
              </w:rPr>
            </w:pPr>
          </w:p>
        </w:tc>
        <w:tc>
          <w:tcPr>
            <w:tcW w:w="571" w:type="pct"/>
          </w:tcPr>
          <w:p w14:paraId="1ADA7D80" w14:textId="77777777" w:rsidR="00785E37" w:rsidRPr="00D4309F" w:rsidRDefault="00785E37" w:rsidP="00785E37">
            <w:pPr>
              <w:pStyle w:val="TableParagraph"/>
              <w:rPr>
                <w:rFonts w:ascii="Times New Roman"/>
                <w:sz w:val="18"/>
              </w:rPr>
            </w:pPr>
          </w:p>
        </w:tc>
      </w:tr>
      <w:tr w:rsidR="00785E37" w:rsidRPr="00D4309F" w14:paraId="718688B9" w14:textId="77777777">
        <w:trPr>
          <w:trHeight w:val="286"/>
        </w:trPr>
        <w:tc>
          <w:tcPr>
            <w:tcW w:w="1002" w:type="pct"/>
            <w:vMerge/>
          </w:tcPr>
          <w:p w14:paraId="589D6382" w14:textId="77777777" w:rsidR="00785E37" w:rsidRPr="00D4309F" w:rsidRDefault="00785E37" w:rsidP="00785E37">
            <w:pPr>
              <w:pStyle w:val="TableParagraph"/>
              <w:rPr>
                <w:rFonts w:ascii="Times New Roman"/>
                <w:sz w:val="18"/>
              </w:rPr>
            </w:pPr>
          </w:p>
        </w:tc>
        <w:tc>
          <w:tcPr>
            <w:tcW w:w="3427" w:type="pct"/>
          </w:tcPr>
          <w:p w14:paraId="28FF5343" w14:textId="77777777" w:rsidR="00785E37" w:rsidRPr="00D4309F" w:rsidRDefault="00785E37" w:rsidP="00785E37">
            <w:pPr>
              <w:pStyle w:val="TableParagraph"/>
              <w:spacing w:before="39"/>
              <w:ind w:left="165"/>
              <w:rPr>
                <w:b/>
                <w:sz w:val="18"/>
              </w:rPr>
            </w:pPr>
            <w:r w:rsidRPr="00D4309F">
              <w:rPr>
                <w:b/>
                <w:color w:val="211E1F"/>
                <w:sz w:val="18"/>
              </w:rPr>
              <w:t>Sub-</w:t>
            </w:r>
            <w:r w:rsidRPr="00D4309F">
              <w:rPr>
                <w:b/>
                <w:color w:val="211E1F"/>
                <w:spacing w:val="-2"/>
                <w:sz w:val="18"/>
              </w:rPr>
              <w:t>total</w:t>
            </w:r>
          </w:p>
        </w:tc>
        <w:tc>
          <w:tcPr>
            <w:tcW w:w="571" w:type="pct"/>
          </w:tcPr>
          <w:p w14:paraId="6629ED6E" w14:textId="41F770F1" w:rsidR="00785E37" w:rsidRPr="00D4309F" w:rsidRDefault="00785E37" w:rsidP="00785E37">
            <w:pPr>
              <w:pStyle w:val="TableParagraph"/>
              <w:spacing w:before="39"/>
              <w:ind w:left="485"/>
              <w:rPr>
                <w:b/>
                <w:sz w:val="18"/>
              </w:rPr>
            </w:pPr>
            <w:r w:rsidRPr="00D4309F">
              <w:rPr>
                <w:b/>
                <w:color w:val="211E1F"/>
                <w:spacing w:val="-5"/>
                <w:sz w:val="18"/>
              </w:rPr>
              <w:t>13</w:t>
            </w:r>
          </w:p>
        </w:tc>
      </w:tr>
      <w:tr w:rsidR="00785E37" w:rsidRPr="00D4309F" w14:paraId="532C54E2" w14:textId="77777777">
        <w:trPr>
          <w:trHeight w:val="287"/>
        </w:trPr>
        <w:tc>
          <w:tcPr>
            <w:tcW w:w="1002" w:type="pct"/>
            <w:vMerge w:val="restart"/>
          </w:tcPr>
          <w:p w14:paraId="51381366" w14:textId="77777777" w:rsidR="00785E37" w:rsidRPr="00D4309F" w:rsidRDefault="00785E37" w:rsidP="00785E37">
            <w:pPr>
              <w:pStyle w:val="TableParagraph"/>
              <w:spacing w:before="41"/>
              <w:ind w:left="165"/>
              <w:rPr>
                <w:b/>
                <w:sz w:val="18"/>
              </w:rPr>
            </w:pPr>
            <w:r w:rsidRPr="00D4309F">
              <w:rPr>
                <w:b/>
                <w:color w:val="211E1F"/>
                <w:spacing w:val="-2"/>
                <w:sz w:val="18"/>
              </w:rPr>
              <w:t>Safety</w:t>
            </w:r>
          </w:p>
        </w:tc>
        <w:tc>
          <w:tcPr>
            <w:tcW w:w="3427" w:type="pct"/>
          </w:tcPr>
          <w:p w14:paraId="6F4D02FF" w14:textId="77777777" w:rsidR="00785E37" w:rsidRPr="00D4309F" w:rsidRDefault="00785E37" w:rsidP="00785E37">
            <w:pPr>
              <w:pStyle w:val="TableParagraph"/>
              <w:spacing w:before="41"/>
              <w:ind w:left="166"/>
              <w:rPr>
                <w:sz w:val="18"/>
              </w:rPr>
            </w:pPr>
            <w:r w:rsidRPr="00D4309F">
              <w:rPr>
                <w:color w:val="211E1F"/>
                <w:sz w:val="18"/>
              </w:rPr>
              <w:t>Reliability</w:t>
            </w:r>
            <w:r w:rsidRPr="00D4309F">
              <w:rPr>
                <w:color w:val="211E1F"/>
                <w:spacing w:val="-5"/>
                <w:sz w:val="18"/>
              </w:rPr>
              <w:t xml:space="preserve"> </w:t>
            </w:r>
            <w:r w:rsidRPr="00D4309F">
              <w:rPr>
                <w:color w:val="211E1F"/>
                <w:sz w:val="18"/>
              </w:rPr>
              <w:t>of</w:t>
            </w:r>
            <w:r w:rsidRPr="00D4309F">
              <w:rPr>
                <w:color w:val="211E1F"/>
                <w:spacing w:val="-4"/>
                <w:sz w:val="18"/>
              </w:rPr>
              <w:t xml:space="preserve"> </w:t>
            </w:r>
            <w:r w:rsidRPr="00D4309F">
              <w:rPr>
                <w:color w:val="211E1F"/>
                <w:sz w:val="18"/>
              </w:rPr>
              <w:t>all-tide</w:t>
            </w:r>
            <w:r w:rsidRPr="00D4309F">
              <w:rPr>
                <w:color w:val="211E1F"/>
                <w:spacing w:val="-4"/>
                <w:sz w:val="18"/>
              </w:rPr>
              <w:t xml:space="preserve"> </w:t>
            </w:r>
            <w:r w:rsidRPr="00D4309F">
              <w:rPr>
                <w:color w:val="211E1F"/>
                <w:spacing w:val="-2"/>
                <w:sz w:val="18"/>
              </w:rPr>
              <w:t>access</w:t>
            </w:r>
          </w:p>
        </w:tc>
        <w:tc>
          <w:tcPr>
            <w:tcW w:w="571" w:type="pct"/>
          </w:tcPr>
          <w:p w14:paraId="7878F3C2" w14:textId="4A8EED1A" w:rsidR="00785E37" w:rsidRPr="0019624B" w:rsidRDefault="00785E37" w:rsidP="00785E37">
            <w:pPr>
              <w:pStyle w:val="TableParagraph"/>
              <w:spacing w:before="41"/>
              <w:ind w:left="485"/>
              <w:rPr>
                <w:bCs/>
                <w:sz w:val="18"/>
              </w:rPr>
            </w:pPr>
            <w:r w:rsidRPr="00D4309F">
              <w:rPr>
                <w:color w:val="211E1F"/>
                <w:spacing w:val="-10"/>
                <w:sz w:val="18"/>
              </w:rPr>
              <w:t>1</w:t>
            </w:r>
          </w:p>
        </w:tc>
      </w:tr>
      <w:tr w:rsidR="00785E37" w:rsidRPr="00D4309F" w14:paraId="17750058" w14:textId="77777777">
        <w:trPr>
          <w:trHeight w:val="286"/>
        </w:trPr>
        <w:tc>
          <w:tcPr>
            <w:tcW w:w="1002" w:type="pct"/>
            <w:vMerge/>
          </w:tcPr>
          <w:p w14:paraId="66C1423C" w14:textId="77777777" w:rsidR="00785E37" w:rsidRPr="00D4309F" w:rsidRDefault="00785E37" w:rsidP="00785E37">
            <w:pPr>
              <w:pStyle w:val="TableParagraph"/>
              <w:rPr>
                <w:rFonts w:ascii="Times New Roman"/>
                <w:sz w:val="18"/>
              </w:rPr>
            </w:pPr>
          </w:p>
        </w:tc>
        <w:tc>
          <w:tcPr>
            <w:tcW w:w="3427" w:type="pct"/>
          </w:tcPr>
          <w:p w14:paraId="1F16D35D" w14:textId="77777777" w:rsidR="00785E37" w:rsidRPr="00D4309F" w:rsidRDefault="00785E37" w:rsidP="00785E37">
            <w:pPr>
              <w:pStyle w:val="TableParagraph"/>
              <w:spacing w:before="39"/>
              <w:ind w:left="165"/>
              <w:rPr>
                <w:sz w:val="18"/>
              </w:rPr>
            </w:pPr>
            <w:r w:rsidRPr="00D4309F">
              <w:rPr>
                <w:color w:val="211E1F"/>
                <w:sz w:val="18"/>
              </w:rPr>
              <w:t>Clarity</w:t>
            </w:r>
            <w:r w:rsidRPr="00D4309F">
              <w:rPr>
                <w:color w:val="211E1F"/>
                <w:spacing w:val="-3"/>
                <w:sz w:val="18"/>
              </w:rPr>
              <w:t xml:space="preserve"> </w:t>
            </w:r>
            <w:r w:rsidRPr="00D4309F">
              <w:rPr>
                <w:color w:val="211E1F"/>
                <w:sz w:val="18"/>
              </w:rPr>
              <w:t>of</w:t>
            </w:r>
            <w:r w:rsidRPr="00D4309F">
              <w:rPr>
                <w:color w:val="211E1F"/>
                <w:spacing w:val="-2"/>
                <w:sz w:val="18"/>
              </w:rPr>
              <w:t xml:space="preserve"> navigation</w:t>
            </w:r>
          </w:p>
        </w:tc>
        <w:tc>
          <w:tcPr>
            <w:tcW w:w="571" w:type="pct"/>
          </w:tcPr>
          <w:p w14:paraId="49B748E9" w14:textId="4F537335" w:rsidR="00785E37" w:rsidRPr="0019624B" w:rsidRDefault="00785E37" w:rsidP="00785E37">
            <w:pPr>
              <w:pStyle w:val="TableParagraph"/>
              <w:spacing w:before="39"/>
              <w:ind w:left="485"/>
              <w:rPr>
                <w:bCs/>
                <w:sz w:val="18"/>
              </w:rPr>
            </w:pPr>
            <w:r w:rsidRPr="00D4309F">
              <w:rPr>
                <w:color w:val="211E1F"/>
                <w:spacing w:val="-10"/>
                <w:sz w:val="18"/>
              </w:rPr>
              <w:t>1</w:t>
            </w:r>
          </w:p>
        </w:tc>
      </w:tr>
      <w:tr w:rsidR="00785E37" w:rsidRPr="00D4309F" w14:paraId="1BF3F476" w14:textId="77777777">
        <w:trPr>
          <w:trHeight w:val="287"/>
        </w:trPr>
        <w:tc>
          <w:tcPr>
            <w:tcW w:w="1002" w:type="pct"/>
            <w:vMerge/>
          </w:tcPr>
          <w:p w14:paraId="7E9AE072" w14:textId="77777777" w:rsidR="00785E37" w:rsidRPr="00D4309F" w:rsidRDefault="00785E37" w:rsidP="00785E37">
            <w:pPr>
              <w:pStyle w:val="TableParagraph"/>
              <w:rPr>
                <w:rFonts w:ascii="Times New Roman"/>
                <w:sz w:val="18"/>
              </w:rPr>
            </w:pPr>
          </w:p>
        </w:tc>
        <w:tc>
          <w:tcPr>
            <w:tcW w:w="3427" w:type="pct"/>
          </w:tcPr>
          <w:p w14:paraId="16A16343" w14:textId="77777777" w:rsidR="00785E37" w:rsidRPr="00D4309F" w:rsidRDefault="00785E37" w:rsidP="00785E37">
            <w:pPr>
              <w:pStyle w:val="TableParagraph"/>
              <w:spacing w:before="41"/>
              <w:ind w:left="165"/>
              <w:rPr>
                <w:sz w:val="18"/>
              </w:rPr>
            </w:pPr>
            <w:r w:rsidRPr="00D4309F">
              <w:rPr>
                <w:color w:val="211E1F"/>
                <w:sz w:val="18"/>
              </w:rPr>
              <w:t>Mariner</w:t>
            </w:r>
            <w:r w:rsidRPr="00D4309F">
              <w:rPr>
                <w:color w:val="211E1F"/>
                <w:spacing w:val="-6"/>
                <w:sz w:val="18"/>
              </w:rPr>
              <w:t xml:space="preserve"> </w:t>
            </w:r>
            <w:r w:rsidRPr="00D4309F">
              <w:rPr>
                <w:color w:val="211E1F"/>
                <w:spacing w:val="-2"/>
                <w:sz w:val="18"/>
              </w:rPr>
              <w:t>safety</w:t>
            </w:r>
          </w:p>
        </w:tc>
        <w:tc>
          <w:tcPr>
            <w:tcW w:w="571" w:type="pct"/>
          </w:tcPr>
          <w:p w14:paraId="4869BFE8" w14:textId="3A4067FA" w:rsidR="00785E37" w:rsidRPr="0019624B" w:rsidRDefault="00785E37" w:rsidP="00785E37">
            <w:pPr>
              <w:pStyle w:val="TableParagraph"/>
              <w:spacing w:before="41"/>
              <w:ind w:left="485"/>
              <w:rPr>
                <w:bCs/>
                <w:sz w:val="18"/>
              </w:rPr>
            </w:pPr>
            <w:r w:rsidRPr="00D4309F">
              <w:rPr>
                <w:color w:val="211E1F"/>
                <w:spacing w:val="-10"/>
                <w:sz w:val="18"/>
              </w:rPr>
              <w:t>2</w:t>
            </w:r>
          </w:p>
        </w:tc>
      </w:tr>
      <w:tr w:rsidR="00785E37" w:rsidRPr="00D4309F" w14:paraId="5A2E84A5" w14:textId="77777777">
        <w:trPr>
          <w:trHeight w:val="286"/>
        </w:trPr>
        <w:tc>
          <w:tcPr>
            <w:tcW w:w="1002" w:type="pct"/>
            <w:vMerge/>
          </w:tcPr>
          <w:p w14:paraId="78F609C9" w14:textId="77777777" w:rsidR="00785E37" w:rsidRPr="00D4309F" w:rsidRDefault="00785E37" w:rsidP="00785E37">
            <w:pPr>
              <w:pStyle w:val="TableParagraph"/>
              <w:rPr>
                <w:rFonts w:ascii="Times New Roman"/>
                <w:sz w:val="18"/>
              </w:rPr>
            </w:pPr>
          </w:p>
        </w:tc>
        <w:tc>
          <w:tcPr>
            <w:tcW w:w="3427" w:type="pct"/>
          </w:tcPr>
          <w:p w14:paraId="11E269B2" w14:textId="77777777" w:rsidR="00785E37" w:rsidRPr="00D4309F" w:rsidRDefault="00785E37" w:rsidP="00785E37">
            <w:pPr>
              <w:pStyle w:val="TableParagraph"/>
              <w:spacing w:before="39"/>
              <w:ind w:left="165"/>
              <w:rPr>
                <w:color w:val="211E1F"/>
                <w:spacing w:val="-2"/>
                <w:sz w:val="18"/>
              </w:rPr>
            </w:pPr>
          </w:p>
        </w:tc>
        <w:tc>
          <w:tcPr>
            <w:tcW w:w="571" w:type="pct"/>
          </w:tcPr>
          <w:p w14:paraId="35FD86F0" w14:textId="77777777" w:rsidR="00785E37" w:rsidRPr="00D4309F" w:rsidRDefault="00785E37" w:rsidP="00785E37">
            <w:pPr>
              <w:pStyle w:val="TableParagraph"/>
              <w:spacing w:before="39"/>
              <w:ind w:left="484"/>
              <w:rPr>
                <w:color w:val="211E1F"/>
                <w:spacing w:val="-10"/>
                <w:sz w:val="18"/>
              </w:rPr>
            </w:pPr>
          </w:p>
        </w:tc>
      </w:tr>
      <w:tr w:rsidR="00785E37" w:rsidRPr="00D4309F" w14:paraId="72E4ED16" w14:textId="77777777">
        <w:trPr>
          <w:trHeight w:val="286"/>
        </w:trPr>
        <w:tc>
          <w:tcPr>
            <w:tcW w:w="1002" w:type="pct"/>
            <w:vMerge/>
          </w:tcPr>
          <w:p w14:paraId="45A39784" w14:textId="77777777" w:rsidR="00785E37" w:rsidRPr="00D4309F" w:rsidRDefault="00785E37" w:rsidP="00785E37">
            <w:pPr>
              <w:pStyle w:val="TableParagraph"/>
              <w:rPr>
                <w:rFonts w:ascii="Times New Roman"/>
                <w:sz w:val="18"/>
              </w:rPr>
            </w:pPr>
          </w:p>
        </w:tc>
        <w:tc>
          <w:tcPr>
            <w:tcW w:w="3427" w:type="pct"/>
          </w:tcPr>
          <w:p w14:paraId="2FF87A2C" w14:textId="77777777" w:rsidR="00785E37" w:rsidRPr="00230A0A" w:rsidRDefault="00785E37" w:rsidP="00785E37">
            <w:pPr>
              <w:pStyle w:val="TableParagraph"/>
              <w:spacing w:before="39"/>
              <w:ind w:left="165"/>
              <w:rPr>
                <w:b/>
                <w:bCs/>
                <w:sz w:val="18"/>
              </w:rPr>
            </w:pPr>
            <w:r w:rsidRPr="00230A0A">
              <w:rPr>
                <w:b/>
                <w:bCs/>
                <w:color w:val="211E1F"/>
                <w:spacing w:val="-2"/>
                <w:sz w:val="18"/>
              </w:rPr>
              <w:t>Sub-total</w:t>
            </w:r>
          </w:p>
        </w:tc>
        <w:tc>
          <w:tcPr>
            <w:tcW w:w="571" w:type="pct"/>
          </w:tcPr>
          <w:p w14:paraId="6A73ADF1" w14:textId="140BE98A" w:rsidR="00785E37" w:rsidRPr="00230A0A" w:rsidRDefault="00785E37" w:rsidP="00785E37">
            <w:pPr>
              <w:pStyle w:val="TableParagraph"/>
              <w:spacing w:before="39"/>
              <w:ind w:left="484"/>
              <w:rPr>
                <w:b/>
                <w:bCs/>
                <w:sz w:val="18"/>
              </w:rPr>
            </w:pPr>
            <w:r w:rsidRPr="00D4309F">
              <w:rPr>
                <w:b/>
                <w:color w:val="211E1F"/>
                <w:spacing w:val="-10"/>
                <w:sz w:val="18"/>
              </w:rPr>
              <w:t>4</w:t>
            </w:r>
          </w:p>
        </w:tc>
      </w:tr>
      <w:tr w:rsidR="00785E37" w:rsidRPr="00D4309F" w14:paraId="74634C8D" w14:textId="77777777">
        <w:trPr>
          <w:trHeight w:val="287"/>
        </w:trPr>
        <w:tc>
          <w:tcPr>
            <w:tcW w:w="1002" w:type="pct"/>
            <w:vMerge w:val="restart"/>
          </w:tcPr>
          <w:p w14:paraId="53684C78" w14:textId="77777777" w:rsidR="00785E37" w:rsidRPr="00D4309F" w:rsidRDefault="00785E37" w:rsidP="00785E37">
            <w:pPr>
              <w:pStyle w:val="TableParagraph"/>
              <w:spacing w:before="41"/>
              <w:ind w:left="165"/>
              <w:rPr>
                <w:b/>
                <w:sz w:val="18"/>
              </w:rPr>
            </w:pPr>
            <w:r w:rsidRPr="00D4309F">
              <w:rPr>
                <w:b/>
                <w:color w:val="211E1F"/>
                <w:sz w:val="18"/>
              </w:rPr>
              <w:t>Social</w:t>
            </w:r>
            <w:r w:rsidRPr="00D4309F">
              <w:rPr>
                <w:b/>
                <w:color w:val="211E1F"/>
                <w:spacing w:val="-2"/>
                <w:sz w:val="18"/>
              </w:rPr>
              <w:t xml:space="preserve"> </w:t>
            </w:r>
            <w:r w:rsidRPr="00D4309F">
              <w:rPr>
                <w:b/>
                <w:color w:val="211E1F"/>
                <w:sz w:val="18"/>
              </w:rPr>
              <w:t>and</w:t>
            </w:r>
            <w:r w:rsidRPr="00D4309F">
              <w:rPr>
                <w:b/>
                <w:color w:val="211E1F"/>
                <w:spacing w:val="-2"/>
                <w:sz w:val="18"/>
              </w:rPr>
              <w:t xml:space="preserve"> economic</w:t>
            </w:r>
          </w:p>
        </w:tc>
        <w:tc>
          <w:tcPr>
            <w:tcW w:w="3427" w:type="pct"/>
          </w:tcPr>
          <w:p w14:paraId="634A6B96" w14:textId="77777777" w:rsidR="00785E37" w:rsidRPr="00D4309F" w:rsidRDefault="00785E37" w:rsidP="00785E37">
            <w:pPr>
              <w:pStyle w:val="TableParagraph"/>
              <w:spacing w:before="41"/>
              <w:ind w:left="166"/>
              <w:rPr>
                <w:sz w:val="18"/>
              </w:rPr>
            </w:pPr>
            <w:r w:rsidRPr="00D4309F">
              <w:rPr>
                <w:color w:val="211E1F"/>
                <w:sz w:val="18"/>
              </w:rPr>
              <w:t>Consistency</w:t>
            </w:r>
            <w:r w:rsidRPr="00D4309F">
              <w:rPr>
                <w:color w:val="211E1F"/>
                <w:spacing w:val="-5"/>
                <w:sz w:val="18"/>
              </w:rPr>
              <w:t xml:space="preserve"> </w:t>
            </w:r>
            <w:r w:rsidRPr="00D4309F">
              <w:rPr>
                <w:color w:val="211E1F"/>
                <w:sz w:val="18"/>
              </w:rPr>
              <w:t>with</w:t>
            </w:r>
            <w:r w:rsidRPr="00D4309F">
              <w:rPr>
                <w:color w:val="211E1F"/>
                <w:spacing w:val="-3"/>
                <w:sz w:val="18"/>
              </w:rPr>
              <w:t xml:space="preserve"> </w:t>
            </w:r>
            <w:r w:rsidRPr="00D4309F">
              <w:rPr>
                <w:color w:val="211E1F"/>
                <w:sz w:val="18"/>
              </w:rPr>
              <w:t>SRG</w:t>
            </w:r>
            <w:r w:rsidRPr="00D4309F">
              <w:rPr>
                <w:color w:val="211E1F"/>
                <w:spacing w:val="-3"/>
                <w:sz w:val="18"/>
              </w:rPr>
              <w:t xml:space="preserve"> </w:t>
            </w:r>
            <w:r w:rsidRPr="00D4309F">
              <w:rPr>
                <w:color w:val="211E1F"/>
                <w:sz w:val="18"/>
              </w:rPr>
              <w:t>preference</w:t>
            </w:r>
            <w:r w:rsidRPr="00D4309F">
              <w:rPr>
                <w:color w:val="211E1F"/>
                <w:spacing w:val="-3"/>
                <w:sz w:val="18"/>
              </w:rPr>
              <w:t xml:space="preserve"> </w:t>
            </w:r>
            <w:r w:rsidRPr="00D4309F">
              <w:rPr>
                <w:color w:val="211E1F"/>
                <w:sz w:val="18"/>
              </w:rPr>
              <w:t>for</w:t>
            </w:r>
            <w:r w:rsidRPr="00D4309F">
              <w:rPr>
                <w:color w:val="211E1F"/>
                <w:spacing w:val="-3"/>
                <w:sz w:val="18"/>
              </w:rPr>
              <w:t xml:space="preserve"> </w:t>
            </w:r>
            <w:r w:rsidRPr="00D4309F">
              <w:rPr>
                <w:color w:val="211E1F"/>
                <w:sz w:val="18"/>
              </w:rPr>
              <w:t>lower</w:t>
            </w:r>
            <w:r w:rsidRPr="00D4309F">
              <w:rPr>
                <w:color w:val="211E1F"/>
                <w:spacing w:val="-2"/>
                <w:sz w:val="18"/>
              </w:rPr>
              <w:t xml:space="preserve"> </w:t>
            </w:r>
            <w:r w:rsidRPr="00D4309F">
              <w:rPr>
                <w:color w:val="211E1F"/>
                <w:sz w:val="18"/>
              </w:rPr>
              <w:t>impact,</w:t>
            </w:r>
            <w:r w:rsidRPr="00D4309F">
              <w:rPr>
                <w:color w:val="211E1F"/>
                <w:spacing w:val="-3"/>
                <w:sz w:val="18"/>
              </w:rPr>
              <w:t xml:space="preserve"> </w:t>
            </w:r>
            <w:r w:rsidRPr="00D4309F">
              <w:rPr>
                <w:color w:val="211E1F"/>
                <w:sz w:val="18"/>
              </w:rPr>
              <w:t>“softer”</w:t>
            </w:r>
            <w:r w:rsidRPr="00D4309F">
              <w:rPr>
                <w:color w:val="211E1F"/>
                <w:spacing w:val="-3"/>
                <w:sz w:val="18"/>
              </w:rPr>
              <w:t xml:space="preserve"> </w:t>
            </w:r>
            <w:r w:rsidRPr="00D4309F">
              <w:rPr>
                <w:color w:val="211E1F"/>
                <w:sz w:val="18"/>
              </w:rPr>
              <w:t>measures</w:t>
            </w:r>
            <w:r w:rsidRPr="00D4309F">
              <w:rPr>
                <w:color w:val="211E1F"/>
                <w:spacing w:val="-2"/>
                <w:sz w:val="18"/>
              </w:rPr>
              <w:t xml:space="preserve"> </w:t>
            </w:r>
            <w:r w:rsidRPr="00D4309F">
              <w:rPr>
                <w:color w:val="211E1F"/>
                <w:sz w:val="18"/>
              </w:rPr>
              <w:t>where</w:t>
            </w:r>
            <w:r w:rsidRPr="00D4309F">
              <w:rPr>
                <w:color w:val="211E1F"/>
                <w:spacing w:val="-3"/>
                <w:sz w:val="18"/>
              </w:rPr>
              <w:t xml:space="preserve"> </w:t>
            </w:r>
            <w:r w:rsidRPr="00D4309F">
              <w:rPr>
                <w:color w:val="211E1F"/>
                <w:spacing w:val="-2"/>
                <w:sz w:val="18"/>
              </w:rPr>
              <w:t>practicable.</w:t>
            </w:r>
          </w:p>
        </w:tc>
        <w:tc>
          <w:tcPr>
            <w:tcW w:w="571" w:type="pct"/>
          </w:tcPr>
          <w:p w14:paraId="390E4B16" w14:textId="4900EC3E" w:rsidR="00785E37" w:rsidRPr="0019624B" w:rsidRDefault="00785E37" w:rsidP="00785E37">
            <w:pPr>
              <w:pStyle w:val="TableParagraph"/>
              <w:spacing w:before="41"/>
              <w:ind w:left="485"/>
              <w:rPr>
                <w:bCs/>
                <w:sz w:val="18"/>
              </w:rPr>
            </w:pPr>
            <w:r w:rsidRPr="00D4309F">
              <w:rPr>
                <w:color w:val="211E1F"/>
                <w:spacing w:val="-10"/>
                <w:sz w:val="18"/>
              </w:rPr>
              <w:t>1</w:t>
            </w:r>
          </w:p>
        </w:tc>
      </w:tr>
      <w:tr w:rsidR="00785E37" w:rsidRPr="00D4309F" w14:paraId="192793F9" w14:textId="77777777">
        <w:trPr>
          <w:trHeight w:val="286"/>
        </w:trPr>
        <w:tc>
          <w:tcPr>
            <w:tcW w:w="1002" w:type="pct"/>
            <w:vMerge/>
          </w:tcPr>
          <w:p w14:paraId="207CBAF4" w14:textId="77777777" w:rsidR="00785E37" w:rsidRPr="00D4309F" w:rsidRDefault="00785E37" w:rsidP="00785E37">
            <w:pPr>
              <w:pStyle w:val="TableParagraph"/>
              <w:rPr>
                <w:rFonts w:ascii="Times New Roman"/>
                <w:sz w:val="18"/>
              </w:rPr>
            </w:pPr>
          </w:p>
        </w:tc>
        <w:tc>
          <w:tcPr>
            <w:tcW w:w="3427" w:type="pct"/>
          </w:tcPr>
          <w:p w14:paraId="6C1CF4AF" w14:textId="77777777" w:rsidR="00785E37" w:rsidRPr="00D4309F" w:rsidRDefault="00785E37" w:rsidP="00785E37">
            <w:pPr>
              <w:pStyle w:val="TableParagraph"/>
              <w:spacing w:before="39"/>
              <w:ind w:left="165"/>
              <w:rPr>
                <w:sz w:val="18"/>
              </w:rPr>
            </w:pPr>
            <w:r w:rsidRPr="00D4309F">
              <w:rPr>
                <w:color w:val="211E1F"/>
                <w:sz w:val="18"/>
              </w:rPr>
              <w:t>Traditional</w:t>
            </w:r>
            <w:r w:rsidRPr="00D4309F">
              <w:rPr>
                <w:color w:val="211E1F"/>
                <w:spacing w:val="-3"/>
                <w:sz w:val="18"/>
              </w:rPr>
              <w:t xml:space="preserve"> </w:t>
            </w:r>
            <w:r w:rsidRPr="00D4309F">
              <w:rPr>
                <w:color w:val="211E1F"/>
                <w:sz w:val="18"/>
              </w:rPr>
              <w:t>Owners</w:t>
            </w:r>
            <w:r w:rsidRPr="00D4309F">
              <w:rPr>
                <w:color w:val="211E1F"/>
                <w:spacing w:val="-3"/>
                <w:sz w:val="18"/>
              </w:rPr>
              <w:t xml:space="preserve"> </w:t>
            </w:r>
            <w:r w:rsidRPr="00D4309F">
              <w:rPr>
                <w:color w:val="211E1F"/>
                <w:sz w:val="18"/>
              </w:rPr>
              <w:t>do</w:t>
            </w:r>
            <w:r w:rsidRPr="00D4309F">
              <w:rPr>
                <w:color w:val="211E1F"/>
                <w:spacing w:val="-3"/>
                <w:sz w:val="18"/>
              </w:rPr>
              <w:t xml:space="preserve"> </w:t>
            </w:r>
            <w:r w:rsidRPr="00D4309F">
              <w:rPr>
                <w:color w:val="211E1F"/>
                <w:sz w:val="18"/>
              </w:rPr>
              <w:t>not</w:t>
            </w:r>
            <w:r w:rsidRPr="00D4309F">
              <w:rPr>
                <w:color w:val="211E1F"/>
                <w:spacing w:val="-3"/>
                <w:sz w:val="18"/>
              </w:rPr>
              <w:t xml:space="preserve"> </w:t>
            </w:r>
            <w:r w:rsidRPr="00D4309F">
              <w:rPr>
                <w:color w:val="211E1F"/>
                <w:sz w:val="18"/>
              </w:rPr>
              <w:t>experience</w:t>
            </w:r>
            <w:r w:rsidRPr="00D4309F">
              <w:rPr>
                <w:color w:val="211E1F"/>
                <w:spacing w:val="-3"/>
                <w:sz w:val="18"/>
              </w:rPr>
              <w:t xml:space="preserve"> </w:t>
            </w:r>
            <w:r w:rsidRPr="00D4309F">
              <w:rPr>
                <w:color w:val="211E1F"/>
                <w:sz w:val="18"/>
              </w:rPr>
              <w:t>disturbance</w:t>
            </w:r>
            <w:r w:rsidRPr="00D4309F">
              <w:rPr>
                <w:color w:val="211E1F"/>
                <w:spacing w:val="-3"/>
                <w:sz w:val="18"/>
              </w:rPr>
              <w:t xml:space="preserve"> </w:t>
            </w:r>
            <w:r w:rsidRPr="00D4309F">
              <w:rPr>
                <w:color w:val="211E1F"/>
                <w:sz w:val="18"/>
              </w:rPr>
              <w:t>to</w:t>
            </w:r>
            <w:r w:rsidRPr="00D4309F">
              <w:rPr>
                <w:color w:val="211E1F"/>
                <w:spacing w:val="-4"/>
                <w:sz w:val="18"/>
              </w:rPr>
              <w:t xml:space="preserve"> </w:t>
            </w:r>
            <w:r w:rsidRPr="00D4309F">
              <w:rPr>
                <w:color w:val="211E1F"/>
                <w:sz w:val="18"/>
              </w:rPr>
              <w:t>cultural</w:t>
            </w:r>
            <w:r w:rsidRPr="00D4309F">
              <w:rPr>
                <w:color w:val="211E1F"/>
                <w:spacing w:val="-2"/>
                <w:sz w:val="18"/>
              </w:rPr>
              <w:t xml:space="preserve"> values</w:t>
            </w:r>
          </w:p>
        </w:tc>
        <w:tc>
          <w:tcPr>
            <w:tcW w:w="571" w:type="pct"/>
          </w:tcPr>
          <w:p w14:paraId="2DE3D9CF" w14:textId="4EB569FE" w:rsidR="00785E37" w:rsidRPr="0019624B" w:rsidRDefault="00785E37" w:rsidP="00785E37">
            <w:pPr>
              <w:pStyle w:val="TableParagraph"/>
              <w:spacing w:before="39"/>
              <w:ind w:left="485"/>
              <w:rPr>
                <w:bCs/>
                <w:sz w:val="18"/>
              </w:rPr>
            </w:pPr>
            <w:r w:rsidRPr="00D4309F">
              <w:rPr>
                <w:color w:val="211E1F"/>
                <w:spacing w:val="-10"/>
                <w:sz w:val="18"/>
              </w:rPr>
              <w:t>3</w:t>
            </w:r>
          </w:p>
        </w:tc>
      </w:tr>
      <w:tr w:rsidR="00785E37" w:rsidRPr="00D4309F" w14:paraId="04863EF0" w14:textId="77777777">
        <w:trPr>
          <w:trHeight w:val="287"/>
        </w:trPr>
        <w:tc>
          <w:tcPr>
            <w:tcW w:w="1002" w:type="pct"/>
            <w:vMerge/>
          </w:tcPr>
          <w:p w14:paraId="1E646CA9" w14:textId="77777777" w:rsidR="00785E37" w:rsidRPr="00D4309F" w:rsidRDefault="00785E37" w:rsidP="00785E37">
            <w:pPr>
              <w:pStyle w:val="TableParagraph"/>
              <w:rPr>
                <w:rFonts w:ascii="Times New Roman"/>
                <w:sz w:val="18"/>
              </w:rPr>
            </w:pPr>
          </w:p>
        </w:tc>
        <w:tc>
          <w:tcPr>
            <w:tcW w:w="3427" w:type="pct"/>
          </w:tcPr>
          <w:p w14:paraId="0DA94186" w14:textId="77777777" w:rsidR="00785E37" w:rsidRPr="00D4309F" w:rsidRDefault="00785E37" w:rsidP="00785E37">
            <w:pPr>
              <w:pStyle w:val="TableParagraph"/>
              <w:spacing w:before="41"/>
              <w:ind w:left="165"/>
              <w:rPr>
                <w:sz w:val="18"/>
              </w:rPr>
            </w:pPr>
            <w:r w:rsidRPr="00D4309F">
              <w:rPr>
                <w:color w:val="211E1F"/>
                <w:sz w:val="18"/>
              </w:rPr>
              <w:t>Visual</w:t>
            </w:r>
            <w:r w:rsidRPr="00D4309F">
              <w:rPr>
                <w:color w:val="211E1F"/>
                <w:spacing w:val="-5"/>
                <w:sz w:val="18"/>
              </w:rPr>
              <w:t xml:space="preserve"> </w:t>
            </w:r>
            <w:r w:rsidRPr="00D4309F">
              <w:rPr>
                <w:color w:val="211E1F"/>
                <w:spacing w:val="-2"/>
                <w:sz w:val="18"/>
              </w:rPr>
              <w:t>amenity</w:t>
            </w:r>
          </w:p>
        </w:tc>
        <w:tc>
          <w:tcPr>
            <w:tcW w:w="571" w:type="pct"/>
          </w:tcPr>
          <w:p w14:paraId="31437903" w14:textId="1DB39809" w:rsidR="00785E37" w:rsidRPr="0019624B" w:rsidRDefault="00785E37" w:rsidP="00785E37">
            <w:pPr>
              <w:pStyle w:val="TableParagraph"/>
              <w:spacing w:before="41"/>
              <w:ind w:left="485"/>
              <w:rPr>
                <w:bCs/>
                <w:sz w:val="18"/>
              </w:rPr>
            </w:pPr>
            <w:r w:rsidRPr="00D4309F">
              <w:rPr>
                <w:color w:val="211E1F"/>
                <w:spacing w:val="-10"/>
                <w:sz w:val="18"/>
              </w:rPr>
              <w:t>3</w:t>
            </w:r>
          </w:p>
        </w:tc>
      </w:tr>
      <w:tr w:rsidR="00785E37" w:rsidRPr="00D4309F" w14:paraId="52153D3E" w14:textId="77777777">
        <w:trPr>
          <w:trHeight w:val="286"/>
        </w:trPr>
        <w:tc>
          <w:tcPr>
            <w:tcW w:w="1002" w:type="pct"/>
            <w:vMerge/>
          </w:tcPr>
          <w:p w14:paraId="2D291E4F" w14:textId="77777777" w:rsidR="00785E37" w:rsidRPr="00D4309F" w:rsidRDefault="00785E37" w:rsidP="00785E37">
            <w:pPr>
              <w:pStyle w:val="TableParagraph"/>
              <w:rPr>
                <w:rFonts w:ascii="Times New Roman"/>
                <w:sz w:val="18"/>
              </w:rPr>
            </w:pPr>
          </w:p>
        </w:tc>
        <w:tc>
          <w:tcPr>
            <w:tcW w:w="3427" w:type="pct"/>
          </w:tcPr>
          <w:p w14:paraId="1D7C7B1E" w14:textId="77777777" w:rsidR="00785E37" w:rsidRPr="00D4309F" w:rsidRDefault="00785E37" w:rsidP="00785E37">
            <w:pPr>
              <w:pStyle w:val="TableParagraph"/>
              <w:spacing w:before="39"/>
              <w:ind w:left="165"/>
              <w:rPr>
                <w:sz w:val="18"/>
              </w:rPr>
            </w:pPr>
            <w:r w:rsidRPr="00D4309F">
              <w:rPr>
                <w:color w:val="211E1F"/>
                <w:sz w:val="18"/>
              </w:rPr>
              <w:t>Community</w:t>
            </w:r>
            <w:r w:rsidRPr="00D4309F">
              <w:rPr>
                <w:color w:val="211E1F"/>
                <w:spacing w:val="-3"/>
                <w:sz w:val="18"/>
              </w:rPr>
              <w:t xml:space="preserve"> </w:t>
            </w:r>
            <w:r w:rsidRPr="00D4309F">
              <w:rPr>
                <w:color w:val="211E1F"/>
                <w:sz w:val="18"/>
              </w:rPr>
              <w:t>amenity</w:t>
            </w:r>
            <w:r w:rsidRPr="00D4309F">
              <w:rPr>
                <w:color w:val="211E1F"/>
                <w:spacing w:val="-2"/>
                <w:sz w:val="18"/>
              </w:rPr>
              <w:t xml:space="preserve"> </w:t>
            </w:r>
            <w:r w:rsidRPr="00D4309F">
              <w:rPr>
                <w:color w:val="211E1F"/>
                <w:sz w:val="18"/>
              </w:rPr>
              <w:t>(inc.</w:t>
            </w:r>
            <w:r w:rsidRPr="00D4309F">
              <w:rPr>
                <w:color w:val="211E1F"/>
                <w:spacing w:val="-2"/>
                <w:sz w:val="18"/>
              </w:rPr>
              <w:t xml:space="preserve"> </w:t>
            </w:r>
            <w:r w:rsidRPr="00D4309F">
              <w:rPr>
                <w:color w:val="211E1F"/>
                <w:sz w:val="18"/>
              </w:rPr>
              <w:t>noise</w:t>
            </w:r>
            <w:r w:rsidRPr="00D4309F">
              <w:rPr>
                <w:color w:val="211E1F"/>
                <w:spacing w:val="-3"/>
                <w:sz w:val="18"/>
              </w:rPr>
              <w:t xml:space="preserve"> </w:t>
            </w:r>
            <w:r w:rsidRPr="00D4309F">
              <w:rPr>
                <w:color w:val="211E1F"/>
                <w:sz w:val="18"/>
              </w:rPr>
              <w:t>from</w:t>
            </w:r>
            <w:r w:rsidRPr="00D4309F">
              <w:rPr>
                <w:color w:val="211E1F"/>
                <w:spacing w:val="-2"/>
                <w:sz w:val="18"/>
              </w:rPr>
              <w:t xml:space="preserve"> pumps)</w:t>
            </w:r>
          </w:p>
        </w:tc>
        <w:tc>
          <w:tcPr>
            <w:tcW w:w="571" w:type="pct"/>
          </w:tcPr>
          <w:p w14:paraId="4B8BED23" w14:textId="5A3FB747" w:rsidR="00785E37" w:rsidRPr="0019624B" w:rsidRDefault="00785E37" w:rsidP="00785E37">
            <w:pPr>
              <w:pStyle w:val="TableParagraph"/>
              <w:spacing w:before="39"/>
              <w:ind w:left="484"/>
              <w:rPr>
                <w:bCs/>
                <w:sz w:val="18"/>
              </w:rPr>
            </w:pPr>
            <w:r w:rsidRPr="00D4309F">
              <w:rPr>
                <w:color w:val="211E1F"/>
                <w:spacing w:val="-10"/>
                <w:sz w:val="18"/>
              </w:rPr>
              <w:t>4</w:t>
            </w:r>
          </w:p>
        </w:tc>
      </w:tr>
      <w:tr w:rsidR="00785E37" w:rsidRPr="00D4309F" w14:paraId="7D552330" w14:textId="77777777">
        <w:trPr>
          <w:trHeight w:val="247"/>
        </w:trPr>
        <w:tc>
          <w:tcPr>
            <w:tcW w:w="1002" w:type="pct"/>
            <w:vMerge/>
          </w:tcPr>
          <w:p w14:paraId="13DB5216" w14:textId="77777777" w:rsidR="00785E37" w:rsidRPr="00D4309F" w:rsidRDefault="00785E37" w:rsidP="00785E37">
            <w:pPr>
              <w:pStyle w:val="TableParagraph"/>
              <w:rPr>
                <w:rFonts w:ascii="Times New Roman"/>
                <w:sz w:val="18"/>
              </w:rPr>
            </w:pPr>
          </w:p>
        </w:tc>
        <w:tc>
          <w:tcPr>
            <w:tcW w:w="3427" w:type="pct"/>
          </w:tcPr>
          <w:p w14:paraId="5FE8D24F" w14:textId="77777777" w:rsidR="00785E37" w:rsidRPr="00D4309F" w:rsidRDefault="00785E37" w:rsidP="00785E37">
            <w:pPr>
              <w:pStyle w:val="TableParagraph"/>
              <w:spacing w:before="41" w:line="187" w:lineRule="exact"/>
              <w:ind w:left="165"/>
              <w:rPr>
                <w:sz w:val="18"/>
              </w:rPr>
            </w:pPr>
            <w:r w:rsidRPr="00D4309F">
              <w:rPr>
                <w:color w:val="211E1F"/>
                <w:sz w:val="18"/>
              </w:rPr>
              <w:t>Beach</w:t>
            </w:r>
            <w:r w:rsidRPr="00D4309F">
              <w:rPr>
                <w:color w:val="211E1F"/>
                <w:spacing w:val="-5"/>
                <w:sz w:val="18"/>
              </w:rPr>
              <w:t xml:space="preserve"> </w:t>
            </w:r>
            <w:r w:rsidRPr="00D4309F">
              <w:rPr>
                <w:color w:val="211E1F"/>
                <w:sz w:val="18"/>
              </w:rPr>
              <w:t>users</w:t>
            </w:r>
            <w:r w:rsidRPr="00D4309F">
              <w:rPr>
                <w:color w:val="211E1F"/>
                <w:spacing w:val="-2"/>
                <w:sz w:val="18"/>
              </w:rPr>
              <w:t xml:space="preserve"> experience</w:t>
            </w:r>
          </w:p>
        </w:tc>
        <w:tc>
          <w:tcPr>
            <w:tcW w:w="571" w:type="pct"/>
          </w:tcPr>
          <w:p w14:paraId="01D90302" w14:textId="5E23B31C" w:rsidR="00785E37" w:rsidRPr="0019624B" w:rsidRDefault="00785E37" w:rsidP="00785E37">
            <w:pPr>
              <w:pStyle w:val="TableParagraph"/>
              <w:spacing w:before="41" w:line="187" w:lineRule="exact"/>
              <w:ind w:left="485"/>
              <w:rPr>
                <w:bCs/>
                <w:sz w:val="18"/>
              </w:rPr>
            </w:pPr>
            <w:r w:rsidRPr="00D4309F">
              <w:rPr>
                <w:color w:val="211E1F"/>
                <w:spacing w:val="-10"/>
                <w:sz w:val="18"/>
              </w:rPr>
              <w:t>3</w:t>
            </w:r>
          </w:p>
        </w:tc>
      </w:tr>
      <w:tr w:rsidR="00785E37" w:rsidRPr="00D4309F" w14:paraId="60E02D83" w14:textId="77777777">
        <w:trPr>
          <w:trHeight w:val="247"/>
        </w:trPr>
        <w:tc>
          <w:tcPr>
            <w:tcW w:w="1002" w:type="pct"/>
            <w:vMerge/>
          </w:tcPr>
          <w:p w14:paraId="4633E2DF" w14:textId="77777777" w:rsidR="00785E37" w:rsidRPr="00D4309F" w:rsidRDefault="00785E37" w:rsidP="00785E37">
            <w:pPr>
              <w:pStyle w:val="TableParagraph"/>
              <w:rPr>
                <w:rFonts w:ascii="Times New Roman"/>
                <w:sz w:val="18"/>
              </w:rPr>
            </w:pPr>
          </w:p>
        </w:tc>
        <w:tc>
          <w:tcPr>
            <w:tcW w:w="3427" w:type="pct"/>
          </w:tcPr>
          <w:p w14:paraId="4F936E49"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Safe</w:t>
            </w:r>
            <w:r w:rsidRPr="00D4309F">
              <w:rPr>
                <w:color w:val="211E1F"/>
                <w:spacing w:val="-4"/>
                <w:sz w:val="18"/>
              </w:rPr>
              <w:t xml:space="preserve"> </w:t>
            </w:r>
            <w:r w:rsidRPr="00D4309F">
              <w:rPr>
                <w:color w:val="211E1F"/>
                <w:sz w:val="18"/>
              </w:rPr>
              <w:t>access</w:t>
            </w:r>
            <w:r w:rsidRPr="00D4309F">
              <w:rPr>
                <w:color w:val="211E1F"/>
                <w:spacing w:val="-2"/>
                <w:sz w:val="18"/>
              </w:rPr>
              <w:t xml:space="preserve"> </w:t>
            </w:r>
            <w:r w:rsidRPr="00D4309F">
              <w:rPr>
                <w:color w:val="211E1F"/>
                <w:sz w:val="18"/>
              </w:rPr>
              <w:t>for</w:t>
            </w:r>
            <w:r w:rsidRPr="00D4309F">
              <w:rPr>
                <w:color w:val="211E1F"/>
                <w:spacing w:val="-2"/>
                <w:sz w:val="18"/>
              </w:rPr>
              <w:t xml:space="preserve"> </w:t>
            </w:r>
            <w:r w:rsidRPr="00D4309F">
              <w:rPr>
                <w:color w:val="211E1F"/>
                <w:sz w:val="18"/>
              </w:rPr>
              <w:t>business</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recreational</w:t>
            </w:r>
            <w:r w:rsidRPr="00D4309F">
              <w:rPr>
                <w:color w:val="211E1F"/>
                <w:spacing w:val="-2"/>
                <w:sz w:val="18"/>
              </w:rPr>
              <w:t xml:space="preserve"> </w:t>
            </w:r>
            <w:r w:rsidRPr="00D4309F">
              <w:rPr>
                <w:color w:val="211E1F"/>
                <w:spacing w:val="-4"/>
                <w:sz w:val="18"/>
              </w:rPr>
              <w:t>users</w:t>
            </w:r>
          </w:p>
        </w:tc>
        <w:tc>
          <w:tcPr>
            <w:tcW w:w="571" w:type="pct"/>
          </w:tcPr>
          <w:p w14:paraId="65FAC839" w14:textId="43AF0534"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2</w:t>
            </w:r>
          </w:p>
        </w:tc>
      </w:tr>
      <w:tr w:rsidR="00785E37" w:rsidRPr="00D4309F" w14:paraId="383D0B5B" w14:textId="77777777">
        <w:trPr>
          <w:trHeight w:val="247"/>
        </w:trPr>
        <w:tc>
          <w:tcPr>
            <w:tcW w:w="1002" w:type="pct"/>
            <w:vMerge/>
          </w:tcPr>
          <w:p w14:paraId="133EEFA2" w14:textId="77777777" w:rsidR="00785E37" w:rsidRPr="00D4309F" w:rsidRDefault="00785E37" w:rsidP="00785E37">
            <w:pPr>
              <w:pStyle w:val="TableParagraph"/>
              <w:rPr>
                <w:rFonts w:ascii="Times New Roman"/>
                <w:sz w:val="18"/>
              </w:rPr>
            </w:pPr>
          </w:p>
        </w:tc>
        <w:tc>
          <w:tcPr>
            <w:tcW w:w="3427" w:type="pct"/>
          </w:tcPr>
          <w:p w14:paraId="707BC2AF"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Reliable</w:t>
            </w:r>
            <w:r w:rsidRPr="00D4309F">
              <w:rPr>
                <w:color w:val="211E1F"/>
                <w:spacing w:val="-4"/>
                <w:sz w:val="18"/>
              </w:rPr>
              <w:t xml:space="preserve"> </w:t>
            </w:r>
            <w:r w:rsidRPr="00D4309F">
              <w:rPr>
                <w:color w:val="211E1F"/>
                <w:sz w:val="18"/>
              </w:rPr>
              <w:t>access</w:t>
            </w:r>
            <w:r w:rsidRPr="00D4309F">
              <w:rPr>
                <w:color w:val="211E1F"/>
                <w:spacing w:val="-3"/>
                <w:sz w:val="18"/>
              </w:rPr>
              <w:t xml:space="preserve"> </w:t>
            </w:r>
            <w:r w:rsidRPr="00D4309F">
              <w:rPr>
                <w:color w:val="211E1F"/>
                <w:sz w:val="18"/>
              </w:rPr>
              <w:t>for</w:t>
            </w:r>
            <w:r w:rsidRPr="00D4309F">
              <w:rPr>
                <w:color w:val="211E1F"/>
                <w:spacing w:val="-3"/>
                <w:sz w:val="18"/>
              </w:rPr>
              <w:t xml:space="preserve"> </w:t>
            </w:r>
            <w:r w:rsidRPr="00D4309F">
              <w:rPr>
                <w:color w:val="211E1F"/>
                <w:sz w:val="18"/>
              </w:rPr>
              <w:t>business</w:t>
            </w:r>
            <w:r w:rsidRPr="00D4309F">
              <w:rPr>
                <w:color w:val="211E1F"/>
                <w:spacing w:val="-3"/>
                <w:sz w:val="18"/>
              </w:rPr>
              <w:t xml:space="preserve"> </w:t>
            </w:r>
            <w:r w:rsidRPr="00D4309F">
              <w:rPr>
                <w:color w:val="211E1F"/>
                <w:sz w:val="18"/>
              </w:rPr>
              <w:t>and</w:t>
            </w:r>
            <w:r w:rsidRPr="00D4309F">
              <w:rPr>
                <w:color w:val="211E1F"/>
                <w:spacing w:val="-3"/>
                <w:sz w:val="18"/>
              </w:rPr>
              <w:t xml:space="preserve"> </w:t>
            </w:r>
            <w:r w:rsidRPr="00D4309F">
              <w:rPr>
                <w:color w:val="211E1F"/>
                <w:sz w:val="18"/>
              </w:rPr>
              <w:t>recreational</w:t>
            </w:r>
            <w:r w:rsidRPr="00D4309F">
              <w:rPr>
                <w:color w:val="211E1F"/>
                <w:spacing w:val="-3"/>
                <w:sz w:val="18"/>
              </w:rPr>
              <w:t xml:space="preserve"> </w:t>
            </w:r>
            <w:r w:rsidRPr="00D4309F">
              <w:rPr>
                <w:color w:val="211E1F"/>
                <w:spacing w:val="-4"/>
                <w:sz w:val="18"/>
              </w:rPr>
              <w:t>users</w:t>
            </w:r>
          </w:p>
        </w:tc>
        <w:tc>
          <w:tcPr>
            <w:tcW w:w="571" w:type="pct"/>
          </w:tcPr>
          <w:p w14:paraId="56E8B38D" w14:textId="19DFA44E"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1</w:t>
            </w:r>
          </w:p>
        </w:tc>
      </w:tr>
      <w:tr w:rsidR="00785E37" w:rsidRPr="00D4309F" w14:paraId="15DFBF85" w14:textId="77777777">
        <w:trPr>
          <w:trHeight w:val="247"/>
        </w:trPr>
        <w:tc>
          <w:tcPr>
            <w:tcW w:w="1002" w:type="pct"/>
            <w:vMerge/>
          </w:tcPr>
          <w:p w14:paraId="18E96173" w14:textId="77777777" w:rsidR="00785E37" w:rsidRPr="00D4309F" w:rsidRDefault="00785E37" w:rsidP="00785E37">
            <w:pPr>
              <w:pStyle w:val="TableParagraph"/>
              <w:rPr>
                <w:rFonts w:ascii="Times New Roman"/>
                <w:sz w:val="18"/>
              </w:rPr>
            </w:pPr>
          </w:p>
        </w:tc>
        <w:tc>
          <w:tcPr>
            <w:tcW w:w="3427" w:type="pct"/>
          </w:tcPr>
          <w:p w14:paraId="4C4C45E1"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Broader</w:t>
            </w:r>
            <w:r w:rsidRPr="00D4309F">
              <w:rPr>
                <w:color w:val="211E1F"/>
                <w:spacing w:val="-6"/>
                <w:sz w:val="18"/>
              </w:rPr>
              <w:t xml:space="preserve"> </w:t>
            </w:r>
            <w:r w:rsidRPr="00D4309F">
              <w:rPr>
                <w:color w:val="211E1F"/>
                <w:sz w:val="18"/>
              </w:rPr>
              <w:t>economic</w:t>
            </w:r>
            <w:r w:rsidRPr="00D4309F">
              <w:rPr>
                <w:color w:val="211E1F"/>
                <w:spacing w:val="-4"/>
                <w:sz w:val="18"/>
              </w:rPr>
              <w:t xml:space="preserve"> </w:t>
            </w:r>
            <w:r w:rsidRPr="00D4309F">
              <w:rPr>
                <w:color w:val="211E1F"/>
                <w:sz w:val="18"/>
              </w:rPr>
              <w:t>considerations</w:t>
            </w:r>
            <w:r w:rsidRPr="00D4309F">
              <w:rPr>
                <w:color w:val="211E1F"/>
                <w:spacing w:val="-3"/>
                <w:sz w:val="18"/>
              </w:rPr>
              <w:t xml:space="preserve"> </w:t>
            </w:r>
            <w:r w:rsidRPr="00D4309F">
              <w:rPr>
                <w:color w:val="211E1F"/>
                <w:sz w:val="18"/>
              </w:rPr>
              <w:t>during</w:t>
            </w:r>
            <w:r w:rsidRPr="00D4309F">
              <w:rPr>
                <w:color w:val="211E1F"/>
                <w:spacing w:val="-5"/>
                <w:sz w:val="18"/>
              </w:rPr>
              <w:t xml:space="preserve"> </w:t>
            </w:r>
            <w:r w:rsidRPr="00D4309F">
              <w:rPr>
                <w:color w:val="211E1F"/>
                <w:sz w:val="18"/>
              </w:rPr>
              <w:t>construction</w:t>
            </w:r>
            <w:r w:rsidRPr="00D4309F">
              <w:rPr>
                <w:color w:val="211E1F"/>
                <w:spacing w:val="-4"/>
                <w:sz w:val="18"/>
              </w:rPr>
              <w:t xml:space="preserve"> </w:t>
            </w:r>
            <w:r w:rsidRPr="00D4309F">
              <w:rPr>
                <w:color w:val="211E1F"/>
                <w:sz w:val="18"/>
              </w:rPr>
              <w:t>and</w:t>
            </w:r>
            <w:r w:rsidRPr="00D4309F">
              <w:rPr>
                <w:color w:val="211E1F"/>
                <w:spacing w:val="-4"/>
                <w:sz w:val="18"/>
              </w:rPr>
              <w:t xml:space="preserve"> </w:t>
            </w:r>
            <w:r w:rsidRPr="00D4309F">
              <w:rPr>
                <w:color w:val="211E1F"/>
                <w:spacing w:val="-2"/>
                <w:sz w:val="18"/>
              </w:rPr>
              <w:t>operation</w:t>
            </w:r>
          </w:p>
        </w:tc>
        <w:tc>
          <w:tcPr>
            <w:tcW w:w="571" w:type="pct"/>
          </w:tcPr>
          <w:p w14:paraId="25219F0F" w14:textId="5B1AD016"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2</w:t>
            </w:r>
          </w:p>
        </w:tc>
      </w:tr>
      <w:tr w:rsidR="00785E37" w:rsidRPr="00D4309F" w14:paraId="3AB5DF6B" w14:textId="77777777">
        <w:trPr>
          <w:trHeight w:val="247"/>
        </w:trPr>
        <w:tc>
          <w:tcPr>
            <w:tcW w:w="1002" w:type="pct"/>
            <w:vMerge/>
          </w:tcPr>
          <w:p w14:paraId="43C30637" w14:textId="77777777" w:rsidR="00785E37" w:rsidRPr="00D4309F" w:rsidRDefault="00785E37" w:rsidP="00785E37">
            <w:pPr>
              <w:pStyle w:val="TableParagraph"/>
              <w:rPr>
                <w:rFonts w:ascii="Times New Roman"/>
                <w:sz w:val="18"/>
              </w:rPr>
            </w:pPr>
          </w:p>
        </w:tc>
        <w:tc>
          <w:tcPr>
            <w:tcW w:w="3427" w:type="pct"/>
          </w:tcPr>
          <w:p w14:paraId="2BD24EF6"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Environmental</w:t>
            </w:r>
            <w:r w:rsidRPr="00D4309F">
              <w:rPr>
                <w:color w:val="211E1F"/>
                <w:spacing w:val="-5"/>
                <w:sz w:val="18"/>
              </w:rPr>
              <w:t xml:space="preserve"> </w:t>
            </w:r>
            <w:r w:rsidRPr="00D4309F">
              <w:rPr>
                <w:color w:val="211E1F"/>
                <w:sz w:val="18"/>
              </w:rPr>
              <w:t>impact</w:t>
            </w:r>
            <w:r w:rsidRPr="00D4309F">
              <w:rPr>
                <w:color w:val="211E1F"/>
                <w:spacing w:val="-4"/>
                <w:sz w:val="18"/>
              </w:rPr>
              <w:t xml:space="preserve"> </w:t>
            </w:r>
            <w:r w:rsidRPr="00D4309F">
              <w:rPr>
                <w:color w:val="211E1F"/>
                <w:spacing w:val="-2"/>
                <w:sz w:val="18"/>
              </w:rPr>
              <w:t>perceptions</w:t>
            </w:r>
          </w:p>
        </w:tc>
        <w:tc>
          <w:tcPr>
            <w:tcW w:w="571" w:type="pct"/>
          </w:tcPr>
          <w:p w14:paraId="3E2C0B2F" w14:textId="5A6A4F70"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2</w:t>
            </w:r>
          </w:p>
        </w:tc>
      </w:tr>
      <w:tr w:rsidR="00785E37" w:rsidRPr="00D4309F" w14:paraId="1216EC8C" w14:textId="77777777">
        <w:trPr>
          <w:trHeight w:val="247"/>
        </w:trPr>
        <w:tc>
          <w:tcPr>
            <w:tcW w:w="1002" w:type="pct"/>
            <w:vMerge/>
          </w:tcPr>
          <w:p w14:paraId="6E48E170" w14:textId="77777777" w:rsidR="00785E37" w:rsidRPr="00D4309F" w:rsidRDefault="00785E37" w:rsidP="00785E37">
            <w:pPr>
              <w:pStyle w:val="TableParagraph"/>
              <w:rPr>
                <w:rFonts w:ascii="Times New Roman"/>
                <w:sz w:val="18"/>
              </w:rPr>
            </w:pPr>
          </w:p>
        </w:tc>
        <w:tc>
          <w:tcPr>
            <w:tcW w:w="3427" w:type="pct"/>
          </w:tcPr>
          <w:p w14:paraId="7CFD7028" w14:textId="77777777" w:rsidR="00785E37" w:rsidRPr="00D4309F" w:rsidRDefault="00785E37" w:rsidP="00785E37">
            <w:pPr>
              <w:pStyle w:val="TableParagraph"/>
              <w:spacing w:before="41" w:line="187" w:lineRule="exact"/>
              <w:ind w:left="165"/>
              <w:rPr>
                <w:color w:val="211E1F"/>
                <w:sz w:val="18"/>
              </w:rPr>
            </w:pPr>
          </w:p>
        </w:tc>
        <w:tc>
          <w:tcPr>
            <w:tcW w:w="571" w:type="pct"/>
          </w:tcPr>
          <w:p w14:paraId="21C4B315" w14:textId="77777777" w:rsidR="00785E37" w:rsidRPr="00D4309F" w:rsidRDefault="00785E37" w:rsidP="00785E37">
            <w:pPr>
              <w:pStyle w:val="TableParagraph"/>
              <w:spacing w:before="41" w:line="187" w:lineRule="exact"/>
              <w:ind w:left="485"/>
              <w:rPr>
                <w:color w:val="211E1F"/>
                <w:spacing w:val="-10"/>
                <w:sz w:val="18"/>
              </w:rPr>
            </w:pPr>
          </w:p>
        </w:tc>
      </w:tr>
      <w:tr w:rsidR="00785E37" w:rsidRPr="00D4309F" w14:paraId="7E57C8FE" w14:textId="77777777">
        <w:trPr>
          <w:trHeight w:val="247"/>
        </w:trPr>
        <w:tc>
          <w:tcPr>
            <w:tcW w:w="1002" w:type="pct"/>
            <w:vMerge/>
          </w:tcPr>
          <w:p w14:paraId="147D6804" w14:textId="77777777" w:rsidR="00785E37" w:rsidRPr="00D4309F" w:rsidRDefault="00785E37" w:rsidP="00785E37">
            <w:pPr>
              <w:pStyle w:val="TableParagraph"/>
              <w:rPr>
                <w:rFonts w:ascii="Times New Roman"/>
                <w:sz w:val="18"/>
              </w:rPr>
            </w:pPr>
          </w:p>
        </w:tc>
        <w:tc>
          <w:tcPr>
            <w:tcW w:w="3427" w:type="pct"/>
          </w:tcPr>
          <w:p w14:paraId="2A0C1AED" w14:textId="77777777" w:rsidR="00785E37" w:rsidRPr="00D4309F" w:rsidRDefault="00785E37" w:rsidP="00785E37">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2D71B5CA" w14:textId="44DE97AC" w:rsidR="00785E37" w:rsidRPr="00D4309F" w:rsidRDefault="00785E37" w:rsidP="00785E37">
            <w:pPr>
              <w:pStyle w:val="TableParagraph"/>
              <w:spacing w:before="41" w:line="187" w:lineRule="exact"/>
              <w:ind w:left="485"/>
              <w:rPr>
                <w:color w:val="211E1F"/>
                <w:spacing w:val="-10"/>
                <w:sz w:val="18"/>
              </w:rPr>
            </w:pPr>
            <w:r w:rsidRPr="00D4309F">
              <w:rPr>
                <w:b/>
                <w:color w:val="211E1F"/>
                <w:spacing w:val="-5"/>
                <w:sz w:val="18"/>
              </w:rPr>
              <w:t>21</w:t>
            </w:r>
          </w:p>
        </w:tc>
      </w:tr>
      <w:tr w:rsidR="00785E37" w:rsidRPr="00D4309F" w14:paraId="16247FD9" w14:textId="77777777">
        <w:trPr>
          <w:trHeight w:val="247"/>
        </w:trPr>
        <w:tc>
          <w:tcPr>
            <w:tcW w:w="1002" w:type="pct"/>
            <w:vMerge w:val="restart"/>
          </w:tcPr>
          <w:p w14:paraId="08C6A479" w14:textId="77777777" w:rsidR="00785E37" w:rsidRPr="00D4309F" w:rsidRDefault="00785E37" w:rsidP="00785E37">
            <w:pPr>
              <w:pStyle w:val="TableParagraph"/>
              <w:rPr>
                <w:rFonts w:ascii="Times New Roman"/>
                <w:sz w:val="18"/>
              </w:rPr>
            </w:pPr>
            <w:r w:rsidRPr="00D4309F">
              <w:rPr>
                <w:b/>
                <w:color w:val="211E1F"/>
                <w:spacing w:val="-2"/>
                <w:sz w:val="18"/>
              </w:rPr>
              <w:t>Environmental</w:t>
            </w:r>
          </w:p>
        </w:tc>
        <w:tc>
          <w:tcPr>
            <w:tcW w:w="3427" w:type="pct"/>
          </w:tcPr>
          <w:p w14:paraId="47A07486"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Marine</w:t>
            </w:r>
            <w:r w:rsidRPr="00D4309F">
              <w:rPr>
                <w:color w:val="211E1F"/>
                <w:spacing w:val="-4"/>
                <w:sz w:val="18"/>
              </w:rPr>
              <w:t xml:space="preserve"> </w:t>
            </w:r>
            <w:r w:rsidRPr="00D4309F">
              <w:rPr>
                <w:color w:val="211E1F"/>
                <w:sz w:val="18"/>
              </w:rPr>
              <w:t>water</w:t>
            </w:r>
            <w:r w:rsidRPr="00D4309F">
              <w:rPr>
                <w:color w:val="211E1F"/>
                <w:spacing w:val="-3"/>
                <w:sz w:val="18"/>
              </w:rPr>
              <w:t xml:space="preserve"> </w:t>
            </w:r>
            <w:r w:rsidRPr="00D4309F">
              <w:rPr>
                <w:color w:val="211E1F"/>
                <w:sz w:val="18"/>
              </w:rPr>
              <w:t>quality</w:t>
            </w:r>
            <w:r w:rsidRPr="00D4309F">
              <w:rPr>
                <w:color w:val="211E1F"/>
                <w:spacing w:val="-3"/>
                <w:sz w:val="18"/>
              </w:rPr>
              <w:t xml:space="preserve"> </w:t>
            </w:r>
            <w:r w:rsidRPr="00D4309F">
              <w:rPr>
                <w:color w:val="211E1F"/>
                <w:spacing w:val="-2"/>
                <w:sz w:val="18"/>
              </w:rPr>
              <w:t>impacts</w:t>
            </w:r>
          </w:p>
        </w:tc>
        <w:tc>
          <w:tcPr>
            <w:tcW w:w="571" w:type="pct"/>
          </w:tcPr>
          <w:p w14:paraId="71A305DA" w14:textId="469F3FA0"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2</w:t>
            </w:r>
          </w:p>
        </w:tc>
      </w:tr>
      <w:tr w:rsidR="00785E37" w:rsidRPr="00D4309F" w14:paraId="661DEB25" w14:textId="77777777">
        <w:trPr>
          <w:trHeight w:val="247"/>
        </w:trPr>
        <w:tc>
          <w:tcPr>
            <w:tcW w:w="1002" w:type="pct"/>
            <w:vMerge/>
          </w:tcPr>
          <w:p w14:paraId="114960DB" w14:textId="77777777" w:rsidR="00785E37" w:rsidRPr="00D4309F" w:rsidRDefault="00785E37" w:rsidP="00785E37">
            <w:pPr>
              <w:pStyle w:val="TableParagraph"/>
              <w:rPr>
                <w:rFonts w:ascii="Times New Roman"/>
                <w:sz w:val="18"/>
              </w:rPr>
            </w:pPr>
          </w:p>
        </w:tc>
        <w:tc>
          <w:tcPr>
            <w:tcW w:w="3427" w:type="pct"/>
          </w:tcPr>
          <w:p w14:paraId="47156DCD"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Marine</w:t>
            </w:r>
            <w:r w:rsidRPr="00D4309F">
              <w:rPr>
                <w:color w:val="211E1F"/>
                <w:spacing w:val="-2"/>
                <w:sz w:val="18"/>
              </w:rPr>
              <w:t xml:space="preserve"> </w:t>
            </w:r>
            <w:r w:rsidRPr="00D4309F">
              <w:rPr>
                <w:color w:val="211E1F"/>
                <w:sz w:val="18"/>
              </w:rPr>
              <w:t>habitats</w:t>
            </w:r>
            <w:r w:rsidRPr="00D4309F">
              <w:rPr>
                <w:color w:val="211E1F"/>
                <w:spacing w:val="-3"/>
                <w:sz w:val="18"/>
              </w:rPr>
              <w:t xml:space="preserve"> </w:t>
            </w:r>
            <w:r w:rsidRPr="00D4309F">
              <w:rPr>
                <w:color w:val="211E1F"/>
                <w:sz w:val="18"/>
              </w:rPr>
              <w:t>&amp;</w:t>
            </w:r>
            <w:r w:rsidRPr="00D4309F">
              <w:rPr>
                <w:color w:val="211E1F"/>
                <w:spacing w:val="-3"/>
                <w:sz w:val="18"/>
              </w:rPr>
              <w:t xml:space="preserve"> </w:t>
            </w:r>
            <w:r w:rsidRPr="00D4309F">
              <w:rPr>
                <w:color w:val="211E1F"/>
                <w:sz w:val="18"/>
              </w:rPr>
              <w:t>protected</w:t>
            </w:r>
            <w:r w:rsidRPr="00D4309F">
              <w:rPr>
                <w:color w:val="211E1F"/>
                <w:spacing w:val="-4"/>
                <w:sz w:val="18"/>
              </w:rPr>
              <w:t xml:space="preserve"> </w:t>
            </w:r>
            <w:r w:rsidRPr="00D4309F">
              <w:rPr>
                <w:color w:val="211E1F"/>
                <w:sz w:val="18"/>
              </w:rPr>
              <w:t>species</w:t>
            </w:r>
            <w:r w:rsidRPr="00D4309F">
              <w:rPr>
                <w:color w:val="211E1F"/>
                <w:spacing w:val="-2"/>
                <w:sz w:val="18"/>
              </w:rPr>
              <w:t xml:space="preserve"> impacts</w:t>
            </w:r>
          </w:p>
        </w:tc>
        <w:tc>
          <w:tcPr>
            <w:tcW w:w="571" w:type="pct"/>
          </w:tcPr>
          <w:p w14:paraId="1C222CD0" w14:textId="72B82730"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2</w:t>
            </w:r>
          </w:p>
        </w:tc>
      </w:tr>
      <w:tr w:rsidR="00785E37" w:rsidRPr="00D4309F" w14:paraId="692A0832" w14:textId="77777777">
        <w:trPr>
          <w:trHeight w:val="247"/>
        </w:trPr>
        <w:tc>
          <w:tcPr>
            <w:tcW w:w="1002" w:type="pct"/>
            <w:vMerge/>
          </w:tcPr>
          <w:p w14:paraId="24D2E480" w14:textId="77777777" w:rsidR="00785E37" w:rsidRPr="00D4309F" w:rsidRDefault="00785E37" w:rsidP="00785E37">
            <w:pPr>
              <w:pStyle w:val="TableParagraph"/>
              <w:rPr>
                <w:rFonts w:ascii="Times New Roman"/>
                <w:sz w:val="18"/>
              </w:rPr>
            </w:pPr>
          </w:p>
        </w:tc>
        <w:tc>
          <w:tcPr>
            <w:tcW w:w="3427" w:type="pct"/>
          </w:tcPr>
          <w:p w14:paraId="4994D838"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Terrestrial</w:t>
            </w:r>
            <w:r w:rsidRPr="00D4309F">
              <w:rPr>
                <w:color w:val="211E1F"/>
                <w:spacing w:val="-3"/>
                <w:sz w:val="18"/>
              </w:rPr>
              <w:t xml:space="preserve"> </w:t>
            </w:r>
            <w:r w:rsidRPr="00D4309F">
              <w:rPr>
                <w:color w:val="211E1F"/>
                <w:sz w:val="18"/>
              </w:rPr>
              <w:t>habitats</w:t>
            </w:r>
            <w:r w:rsidRPr="00D4309F">
              <w:rPr>
                <w:color w:val="211E1F"/>
                <w:spacing w:val="-3"/>
                <w:sz w:val="18"/>
              </w:rPr>
              <w:t xml:space="preserve"> </w:t>
            </w:r>
            <w:r w:rsidRPr="00D4309F">
              <w:rPr>
                <w:color w:val="211E1F"/>
                <w:sz w:val="18"/>
              </w:rPr>
              <w:t>&amp;</w:t>
            </w:r>
            <w:r w:rsidRPr="00D4309F">
              <w:rPr>
                <w:color w:val="211E1F"/>
                <w:spacing w:val="-3"/>
                <w:sz w:val="18"/>
              </w:rPr>
              <w:t xml:space="preserve"> </w:t>
            </w:r>
            <w:r w:rsidRPr="00D4309F">
              <w:rPr>
                <w:color w:val="211E1F"/>
                <w:sz w:val="18"/>
              </w:rPr>
              <w:t>protected</w:t>
            </w:r>
            <w:r w:rsidRPr="00D4309F">
              <w:rPr>
                <w:color w:val="211E1F"/>
                <w:spacing w:val="-4"/>
                <w:sz w:val="18"/>
              </w:rPr>
              <w:t xml:space="preserve"> </w:t>
            </w:r>
            <w:r w:rsidRPr="00D4309F">
              <w:rPr>
                <w:color w:val="211E1F"/>
                <w:sz w:val="18"/>
              </w:rPr>
              <w:t>species</w:t>
            </w:r>
            <w:r w:rsidRPr="00D4309F">
              <w:rPr>
                <w:color w:val="211E1F"/>
                <w:spacing w:val="-2"/>
                <w:sz w:val="18"/>
              </w:rPr>
              <w:t xml:space="preserve"> impacts</w:t>
            </w:r>
          </w:p>
        </w:tc>
        <w:tc>
          <w:tcPr>
            <w:tcW w:w="571" w:type="pct"/>
          </w:tcPr>
          <w:p w14:paraId="6E37AE63" w14:textId="0DD2D768"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2</w:t>
            </w:r>
          </w:p>
        </w:tc>
      </w:tr>
      <w:tr w:rsidR="00785E37" w:rsidRPr="00D4309F" w14:paraId="30B994A7" w14:textId="77777777">
        <w:trPr>
          <w:trHeight w:val="247"/>
        </w:trPr>
        <w:tc>
          <w:tcPr>
            <w:tcW w:w="1002" w:type="pct"/>
            <w:vMerge/>
          </w:tcPr>
          <w:p w14:paraId="0C89464D" w14:textId="77777777" w:rsidR="00785E37" w:rsidRPr="00D4309F" w:rsidRDefault="00785E37" w:rsidP="00785E37">
            <w:pPr>
              <w:pStyle w:val="TableParagraph"/>
              <w:rPr>
                <w:rFonts w:ascii="Times New Roman"/>
                <w:sz w:val="18"/>
              </w:rPr>
            </w:pPr>
          </w:p>
        </w:tc>
        <w:tc>
          <w:tcPr>
            <w:tcW w:w="3427" w:type="pct"/>
          </w:tcPr>
          <w:p w14:paraId="095AAD2D" w14:textId="77777777" w:rsidR="00785E37" w:rsidRPr="00D4309F" w:rsidRDefault="00785E37" w:rsidP="00785E37">
            <w:pPr>
              <w:pStyle w:val="TableParagraph"/>
              <w:spacing w:before="41" w:line="187" w:lineRule="exact"/>
              <w:ind w:left="165"/>
              <w:rPr>
                <w:color w:val="211E1F"/>
                <w:sz w:val="18"/>
              </w:rPr>
            </w:pPr>
          </w:p>
        </w:tc>
        <w:tc>
          <w:tcPr>
            <w:tcW w:w="571" w:type="pct"/>
          </w:tcPr>
          <w:p w14:paraId="76B24979" w14:textId="77777777" w:rsidR="00785E37" w:rsidRPr="00D4309F" w:rsidRDefault="00785E37" w:rsidP="00785E37">
            <w:pPr>
              <w:pStyle w:val="TableParagraph"/>
              <w:spacing w:before="41" w:line="187" w:lineRule="exact"/>
              <w:ind w:left="485"/>
              <w:rPr>
                <w:color w:val="211E1F"/>
                <w:spacing w:val="-10"/>
                <w:sz w:val="18"/>
              </w:rPr>
            </w:pPr>
          </w:p>
        </w:tc>
      </w:tr>
      <w:tr w:rsidR="00785E37" w:rsidRPr="00D4309F" w14:paraId="06977A08" w14:textId="77777777">
        <w:trPr>
          <w:trHeight w:val="247"/>
        </w:trPr>
        <w:tc>
          <w:tcPr>
            <w:tcW w:w="1002" w:type="pct"/>
            <w:vMerge/>
          </w:tcPr>
          <w:p w14:paraId="5A88A182" w14:textId="77777777" w:rsidR="00785E37" w:rsidRPr="00D4309F" w:rsidRDefault="00785E37" w:rsidP="00785E37">
            <w:pPr>
              <w:pStyle w:val="TableParagraph"/>
              <w:rPr>
                <w:rFonts w:ascii="Times New Roman"/>
                <w:sz w:val="18"/>
              </w:rPr>
            </w:pPr>
          </w:p>
        </w:tc>
        <w:tc>
          <w:tcPr>
            <w:tcW w:w="3427" w:type="pct"/>
          </w:tcPr>
          <w:p w14:paraId="46A8E612" w14:textId="77777777" w:rsidR="00785E37" w:rsidRPr="00D4309F" w:rsidRDefault="00785E37" w:rsidP="00785E37">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588F2551" w14:textId="119EBEFE" w:rsidR="00785E37" w:rsidRPr="00D4309F" w:rsidRDefault="00785E37" w:rsidP="00785E37">
            <w:pPr>
              <w:pStyle w:val="TableParagraph"/>
              <w:spacing w:before="41" w:line="187" w:lineRule="exact"/>
              <w:ind w:left="485"/>
              <w:rPr>
                <w:color w:val="211E1F"/>
                <w:spacing w:val="-10"/>
                <w:sz w:val="18"/>
              </w:rPr>
            </w:pPr>
            <w:r w:rsidRPr="00D4309F">
              <w:rPr>
                <w:b/>
                <w:color w:val="211E1F"/>
                <w:spacing w:val="-10"/>
                <w:sz w:val="18"/>
              </w:rPr>
              <w:t>6</w:t>
            </w:r>
          </w:p>
        </w:tc>
      </w:tr>
      <w:tr w:rsidR="00785E37" w:rsidRPr="00D4309F" w14:paraId="4A7C84E3" w14:textId="77777777">
        <w:trPr>
          <w:trHeight w:val="247"/>
        </w:trPr>
        <w:tc>
          <w:tcPr>
            <w:tcW w:w="1002" w:type="pct"/>
            <w:vMerge w:val="restart"/>
          </w:tcPr>
          <w:p w14:paraId="7C314411" w14:textId="77777777" w:rsidR="00785E37" w:rsidRPr="00D4309F" w:rsidRDefault="00785E37" w:rsidP="00785E37">
            <w:pPr>
              <w:pStyle w:val="TableParagraph"/>
              <w:rPr>
                <w:rFonts w:ascii="Times New Roman"/>
                <w:sz w:val="18"/>
              </w:rPr>
            </w:pPr>
            <w:r w:rsidRPr="00D4309F">
              <w:rPr>
                <w:b/>
                <w:color w:val="211E1F"/>
                <w:spacing w:val="-2"/>
                <w:sz w:val="18"/>
              </w:rPr>
              <w:t>Financial</w:t>
            </w:r>
          </w:p>
        </w:tc>
        <w:tc>
          <w:tcPr>
            <w:tcW w:w="3427" w:type="pct"/>
          </w:tcPr>
          <w:p w14:paraId="090D451A"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Capital</w:t>
            </w:r>
            <w:r w:rsidRPr="00D4309F">
              <w:rPr>
                <w:color w:val="211E1F"/>
                <w:spacing w:val="-6"/>
                <w:sz w:val="18"/>
              </w:rPr>
              <w:t xml:space="preserve"> </w:t>
            </w:r>
            <w:r w:rsidRPr="00D4309F">
              <w:rPr>
                <w:color w:val="211E1F"/>
                <w:spacing w:val="-2"/>
                <w:sz w:val="18"/>
              </w:rPr>
              <w:t>(CAPEX),</w:t>
            </w:r>
          </w:p>
        </w:tc>
        <w:tc>
          <w:tcPr>
            <w:tcW w:w="571" w:type="pct"/>
          </w:tcPr>
          <w:p w14:paraId="5D20B2E9" w14:textId="4DD1EF4E"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2</w:t>
            </w:r>
          </w:p>
        </w:tc>
      </w:tr>
      <w:tr w:rsidR="00785E37" w:rsidRPr="00D4309F" w14:paraId="6BB9F142" w14:textId="77777777">
        <w:trPr>
          <w:trHeight w:val="247"/>
        </w:trPr>
        <w:tc>
          <w:tcPr>
            <w:tcW w:w="1002" w:type="pct"/>
            <w:vMerge/>
          </w:tcPr>
          <w:p w14:paraId="2602D60D" w14:textId="77777777" w:rsidR="00785E37" w:rsidRPr="00D4309F" w:rsidRDefault="00785E37" w:rsidP="00785E37">
            <w:pPr>
              <w:pStyle w:val="TableParagraph"/>
              <w:rPr>
                <w:rFonts w:ascii="Times New Roman"/>
                <w:sz w:val="18"/>
              </w:rPr>
            </w:pPr>
          </w:p>
        </w:tc>
        <w:tc>
          <w:tcPr>
            <w:tcW w:w="3427" w:type="pct"/>
          </w:tcPr>
          <w:p w14:paraId="55DA858A" w14:textId="77777777" w:rsidR="00785E37" w:rsidRPr="00D4309F" w:rsidRDefault="00785E37" w:rsidP="00785E37">
            <w:pPr>
              <w:pStyle w:val="TableParagraph"/>
              <w:spacing w:before="41" w:line="187" w:lineRule="exact"/>
              <w:ind w:left="165"/>
              <w:rPr>
                <w:color w:val="211E1F"/>
                <w:sz w:val="18"/>
              </w:rPr>
            </w:pPr>
            <w:r w:rsidRPr="00D4309F">
              <w:rPr>
                <w:color w:val="211E1F"/>
                <w:sz w:val="18"/>
              </w:rPr>
              <w:t>Operations</w:t>
            </w:r>
            <w:r w:rsidRPr="00D4309F">
              <w:rPr>
                <w:color w:val="211E1F"/>
                <w:spacing w:val="-6"/>
                <w:sz w:val="18"/>
              </w:rPr>
              <w:t xml:space="preserve"> </w:t>
            </w:r>
            <w:r w:rsidRPr="00D4309F">
              <w:rPr>
                <w:color w:val="211E1F"/>
                <w:sz w:val="18"/>
              </w:rPr>
              <w:t>and</w:t>
            </w:r>
            <w:r w:rsidRPr="00D4309F">
              <w:rPr>
                <w:color w:val="211E1F"/>
                <w:spacing w:val="-5"/>
                <w:sz w:val="18"/>
              </w:rPr>
              <w:t xml:space="preserve"> </w:t>
            </w:r>
            <w:r w:rsidRPr="00D4309F">
              <w:rPr>
                <w:color w:val="211E1F"/>
                <w:sz w:val="18"/>
              </w:rPr>
              <w:t>maintenance</w:t>
            </w:r>
            <w:r w:rsidRPr="00D4309F">
              <w:rPr>
                <w:color w:val="211E1F"/>
                <w:spacing w:val="-3"/>
                <w:sz w:val="18"/>
              </w:rPr>
              <w:t xml:space="preserve"> </w:t>
            </w:r>
            <w:r w:rsidRPr="00D4309F">
              <w:rPr>
                <w:color w:val="211E1F"/>
                <w:sz w:val="18"/>
              </w:rPr>
              <w:t>(OPEX),</w:t>
            </w:r>
            <w:r w:rsidRPr="00D4309F">
              <w:rPr>
                <w:color w:val="211E1F"/>
                <w:spacing w:val="-4"/>
                <w:sz w:val="18"/>
              </w:rPr>
              <w:t xml:space="preserve"> </w:t>
            </w:r>
            <w:r w:rsidRPr="00D4309F">
              <w:rPr>
                <w:color w:val="211E1F"/>
                <w:sz w:val="18"/>
              </w:rPr>
              <w:t>contingency,</w:t>
            </w:r>
            <w:r w:rsidRPr="00D4309F">
              <w:rPr>
                <w:color w:val="211E1F"/>
                <w:spacing w:val="-4"/>
                <w:sz w:val="18"/>
              </w:rPr>
              <w:t xml:space="preserve"> </w:t>
            </w:r>
            <w:r w:rsidRPr="00D4309F">
              <w:rPr>
                <w:color w:val="211E1F"/>
                <w:spacing w:val="-2"/>
                <w:sz w:val="18"/>
              </w:rPr>
              <w:t>monitoring.</w:t>
            </w:r>
          </w:p>
        </w:tc>
        <w:tc>
          <w:tcPr>
            <w:tcW w:w="571" w:type="pct"/>
          </w:tcPr>
          <w:p w14:paraId="3B41F0A6" w14:textId="7DDE6EBE" w:rsidR="00785E37" w:rsidRPr="0019624B" w:rsidRDefault="00785E37" w:rsidP="00785E37">
            <w:pPr>
              <w:pStyle w:val="TableParagraph"/>
              <w:spacing w:before="41" w:line="187" w:lineRule="exact"/>
              <w:ind w:left="485"/>
              <w:rPr>
                <w:bCs/>
                <w:color w:val="211E1F"/>
                <w:spacing w:val="-10"/>
                <w:sz w:val="18"/>
              </w:rPr>
            </w:pPr>
            <w:r w:rsidRPr="00D4309F">
              <w:rPr>
                <w:color w:val="211E1F"/>
                <w:spacing w:val="-10"/>
                <w:sz w:val="18"/>
              </w:rPr>
              <w:t>3</w:t>
            </w:r>
          </w:p>
        </w:tc>
      </w:tr>
      <w:tr w:rsidR="00785E37" w:rsidRPr="00D4309F" w14:paraId="1367AFDA" w14:textId="77777777">
        <w:trPr>
          <w:trHeight w:val="247"/>
        </w:trPr>
        <w:tc>
          <w:tcPr>
            <w:tcW w:w="1002" w:type="pct"/>
            <w:vMerge/>
          </w:tcPr>
          <w:p w14:paraId="576972D4" w14:textId="77777777" w:rsidR="00785E37" w:rsidRPr="00D4309F" w:rsidRDefault="00785E37" w:rsidP="00785E37">
            <w:pPr>
              <w:pStyle w:val="TableParagraph"/>
              <w:rPr>
                <w:rFonts w:ascii="Times New Roman"/>
                <w:sz w:val="18"/>
              </w:rPr>
            </w:pPr>
          </w:p>
        </w:tc>
        <w:tc>
          <w:tcPr>
            <w:tcW w:w="3427" w:type="pct"/>
          </w:tcPr>
          <w:p w14:paraId="0367009E" w14:textId="77777777" w:rsidR="00785E37" w:rsidRPr="00D4309F" w:rsidRDefault="00785E37" w:rsidP="00785E37">
            <w:pPr>
              <w:pStyle w:val="TableParagraph"/>
              <w:spacing w:before="41" w:line="187" w:lineRule="exact"/>
              <w:ind w:left="165"/>
              <w:rPr>
                <w:color w:val="211E1F"/>
                <w:sz w:val="18"/>
              </w:rPr>
            </w:pPr>
          </w:p>
        </w:tc>
        <w:tc>
          <w:tcPr>
            <w:tcW w:w="571" w:type="pct"/>
          </w:tcPr>
          <w:p w14:paraId="218F5975" w14:textId="77777777" w:rsidR="00785E37" w:rsidRPr="00D4309F" w:rsidRDefault="00785E37" w:rsidP="00785E37">
            <w:pPr>
              <w:pStyle w:val="TableParagraph"/>
              <w:spacing w:before="41" w:line="187" w:lineRule="exact"/>
              <w:ind w:left="485"/>
              <w:rPr>
                <w:color w:val="211E1F"/>
                <w:spacing w:val="-10"/>
                <w:sz w:val="18"/>
              </w:rPr>
            </w:pPr>
          </w:p>
        </w:tc>
      </w:tr>
      <w:tr w:rsidR="00785E37" w:rsidRPr="00D4309F" w14:paraId="72F144A4" w14:textId="77777777">
        <w:trPr>
          <w:trHeight w:val="247"/>
        </w:trPr>
        <w:tc>
          <w:tcPr>
            <w:tcW w:w="1002" w:type="pct"/>
            <w:vMerge/>
          </w:tcPr>
          <w:p w14:paraId="0BD20994" w14:textId="77777777" w:rsidR="00785E37" w:rsidRPr="00D4309F" w:rsidRDefault="00785E37" w:rsidP="00785E37">
            <w:pPr>
              <w:pStyle w:val="TableParagraph"/>
              <w:rPr>
                <w:b/>
                <w:color w:val="211E1F"/>
                <w:spacing w:val="-2"/>
                <w:sz w:val="18"/>
              </w:rPr>
            </w:pPr>
          </w:p>
        </w:tc>
        <w:tc>
          <w:tcPr>
            <w:tcW w:w="3427" w:type="pct"/>
          </w:tcPr>
          <w:p w14:paraId="13C61BE7" w14:textId="77777777" w:rsidR="00785E37" w:rsidRPr="00D4309F" w:rsidRDefault="00785E37" w:rsidP="00785E37">
            <w:pPr>
              <w:pStyle w:val="TableParagraph"/>
              <w:spacing w:before="41" w:line="187" w:lineRule="exact"/>
              <w:ind w:left="165"/>
              <w:rPr>
                <w:color w:val="211E1F"/>
                <w:sz w:val="18"/>
              </w:rPr>
            </w:pPr>
            <w:r w:rsidRPr="00D4309F">
              <w:rPr>
                <w:b/>
                <w:color w:val="211E1F"/>
                <w:sz w:val="18"/>
              </w:rPr>
              <w:t>Sub-</w:t>
            </w:r>
            <w:r w:rsidRPr="00D4309F">
              <w:rPr>
                <w:b/>
                <w:color w:val="211E1F"/>
                <w:spacing w:val="-2"/>
                <w:sz w:val="18"/>
              </w:rPr>
              <w:t>total</w:t>
            </w:r>
          </w:p>
        </w:tc>
        <w:tc>
          <w:tcPr>
            <w:tcW w:w="571" w:type="pct"/>
          </w:tcPr>
          <w:p w14:paraId="32293C0B" w14:textId="3E2A937D" w:rsidR="00785E37" w:rsidRPr="00D4309F" w:rsidRDefault="00785E37" w:rsidP="00785E37">
            <w:pPr>
              <w:pStyle w:val="TableParagraph"/>
              <w:spacing w:before="41" w:line="187" w:lineRule="exact"/>
              <w:ind w:left="485"/>
              <w:rPr>
                <w:color w:val="211E1F"/>
                <w:spacing w:val="-10"/>
                <w:sz w:val="18"/>
              </w:rPr>
            </w:pPr>
            <w:r w:rsidRPr="00D4309F">
              <w:rPr>
                <w:b/>
                <w:color w:val="211E1F"/>
                <w:spacing w:val="-10"/>
                <w:sz w:val="18"/>
              </w:rPr>
              <w:t>5</w:t>
            </w:r>
          </w:p>
        </w:tc>
      </w:tr>
      <w:tr w:rsidR="00785E37" w:rsidRPr="00D4309F" w14:paraId="62D262C4" w14:textId="77777777" w:rsidTr="00213A04">
        <w:trPr>
          <w:trHeight w:val="247"/>
        </w:trPr>
        <w:tc>
          <w:tcPr>
            <w:tcW w:w="1002" w:type="pct"/>
            <w:shd w:val="clear" w:color="auto" w:fill="D9D9D9" w:themeFill="background1" w:themeFillShade="D9"/>
          </w:tcPr>
          <w:p w14:paraId="2CE32ED5" w14:textId="77777777" w:rsidR="00785E37" w:rsidRPr="00D4309F" w:rsidRDefault="00785E37" w:rsidP="00785E37">
            <w:pPr>
              <w:pStyle w:val="TableParagraph"/>
              <w:rPr>
                <w:b/>
                <w:color w:val="211E1F"/>
                <w:spacing w:val="-2"/>
                <w:sz w:val="18"/>
              </w:rPr>
            </w:pPr>
            <w:r w:rsidRPr="00D4309F">
              <w:rPr>
                <w:b/>
                <w:color w:val="70004A"/>
                <w:sz w:val="18"/>
              </w:rPr>
              <w:t>Total</w:t>
            </w:r>
            <w:r w:rsidRPr="00D4309F">
              <w:rPr>
                <w:b/>
                <w:color w:val="70004A"/>
                <w:spacing w:val="-3"/>
                <w:sz w:val="18"/>
              </w:rPr>
              <w:t xml:space="preserve"> </w:t>
            </w:r>
            <w:r w:rsidRPr="00D4309F">
              <w:rPr>
                <w:b/>
                <w:color w:val="70004A"/>
                <w:spacing w:val="-2"/>
                <w:sz w:val="18"/>
              </w:rPr>
              <w:t>Score</w:t>
            </w:r>
          </w:p>
        </w:tc>
        <w:tc>
          <w:tcPr>
            <w:tcW w:w="3427" w:type="pct"/>
            <w:shd w:val="clear" w:color="auto" w:fill="D9D9D9" w:themeFill="background1" w:themeFillShade="D9"/>
          </w:tcPr>
          <w:p w14:paraId="2288608C" w14:textId="77777777" w:rsidR="00785E37" w:rsidRPr="00D4309F" w:rsidRDefault="00785E37" w:rsidP="00785E37">
            <w:pPr>
              <w:pStyle w:val="TableParagraph"/>
              <w:spacing w:before="41" w:line="187" w:lineRule="exact"/>
              <w:ind w:left="165"/>
              <w:rPr>
                <w:color w:val="211E1F"/>
                <w:sz w:val="18"/>
              </w:rPr>
            </w:pPr>
          </w:p>
        </w:tc>
        <w:tc>
          <w:tcPr>
            <w:tcW w:w="571" w:type="pct"/>
            <w:shd w:val="clear" w:color="auto" w:fill="D9D9D9" w:themeFill="background1" w:themeFillShade="D9"/>
          </w:tcPr>
          <w:p w14:paraId="64EC930E" w14:textId="11FDC547" w:rsidR="00785E37" w:rsidRPr="00D4309F" w:rsidRDefault="00785E37" w:rsidP="00785E37">
            <w:pPr>
              <w:pStyle w:val="TableParagraph"/>
              <w:spacing w:before="41" w:line="187" w:lineRule="exact"/>
              <w:ind w:left="485"/>
              <w:rPr>
                <w:color w:val="211E1F"/>
                <w:spacing w:val="-10"/>
                <w:sz w:val="18"/>
              </w:rPr>
            </w:pPr>
            <w:r w:rsidRPr="00D4309F">
              <w:rPr>
                <w:b/>
                <w:color w:val="70004A"/>
                <w:spacing w:val="-5"/>
                <w:sz w:val="18"/>
              </w:rPr>
              <w:t>49</w:t>
            </w:r>
          </w:p>
        </w:tc>
      </w:tr>
    </w:tbl>
    <w:p w14:paraId="304D92DE" w14:textId="77777777" w:rsidR="002E7251" w:rsidRPr="002E7251" w:rsidRDefault="002E7251" w:rsidP="002E7251">
      <w:pPr>
        <w:sectPr w:rsidR="002E7251" w:rsidRPr="002E7251" w:rsidSect="00405D4F">
          <w:headerReference w:type="default" r:id="rId159"/>
          <w:footerReference w:type="default" r:id="rId160"/>
          <w:type w:val="continuous"/>
          <w:pgSz w:w="16840" w:h="11910" w:orient="landscape"/>
          <w:pgMar w:top="1418" w:right="1134" w:bottom="1418" w:left="1134" w:header="916" w:footer="976" w:gutter="0"/>
          <w:cols w:space="720"/>
        </w:sectPr>
      </w:pPr>
    </w:p>
    <w:p w14:paraId="2B082425" w14:textId="77777777" w:rsidR="00725977" w:rsidRPr="00D4309F" w:rsidRDefault="00725977" w:rsidP="00AA4134">
      <w:pPr>
        <w:pStyle w:val="Heading1"/>
      </w:pPr>
      <w:bookmarkStart w:id="567" w:name="_Toc216699523"/>
      <w:r w:rsidRPr="00D4309F">
        <w:lastRenderedPageBreak/>
        <w:t>OPTIONS</w:t>
      </w:r>
      <w:r w:rsidRPr="00D4309F">
        <w:rPr>
          <w:spacing w:val="-8"/>
        </w:rPr>
        <w:t xml:space="preserve"> </w:t>
      </w:r>
      <w:r w:rsidRPr="00D4309F">
        <w:t>EVALUATION</w:t>
      </w:r>
      <w:r w:rsidRPr="00D4309F">
        <w:rPr>
          <w:spacing w:val="-6"/>
        </w:rPr>
        <w:t xml:space="preserve"> </w:t>
      </w:r>
      <w:r w:rsidRPr="00D4309F">
        <w:rPr>
          <w:spacing w:val="-2"/>
        </w:rPr>
        <w:t>COMPARISON</w:t>
      </w:r>
      <w:bookmarkEnd w:id="567"/>
    </w:p>
    <w:p w14:paraId="725F5C95" w14:textId="44FBEB73" w:rsidR="00725977" w:rsidRPr="00D4309F" w:rsidRDefault="00725977" w:rsidP="00725977">
      <w:pPr>
        <w:pStyle w:val="BodyText"/>
      </w:pPr>
      <w:r w:rsidRPr="00D4309F">
        <w:t>The</w:t>
      </w:r>
      <w:r w:rsidRPr="00D4309F">
        <w:rPr>
          <w:spacing w:val="-5"/>
        </w:rPr>
        <w:t xml:space="preserve"> </w:t>
      </w:r>
      <w:r w:rsidRPr="00D4309F">
        <w:t>following</w:t>
      </w:r>
      <w:r w:rsidRPr="00D4309F">
        <w:rPr>
          <w:spacing w:val="-4"/>
        </w:rPr>
        <w:t xml:space="preserve"> </w:t>
      </w:r>
      <w:hyperlink w:anchor="_bookmark207" w:history="1">
        <w:r w:rsidRPr="00D4309F">
          <w:t>Table</w:t>
        </w:r>
        <w:r w:rsidRPr="00D4309F">
          <w:rPr>
            <w:spacing w:val="-3"/>
          </w:rPr>
          <w:t xml:space="preserve"> </w:t>
        </w:r>
        <w:r w:rsidRPr="00D4309F">
          <w:t>181</w:t>
        </w:r>
      </w:hyperlink>
      <w:r w:rsidRPr="00D4309F">
        <w:rPr>
          <w:spacing w:val="-2"/>
        </w:rPr>
        <w:t xml:space="preserve"> </w:t>
      </w:r>
      <w:r w:rsidRPr="00D4309F">
        <w:t>is</w:t>
      </w:r>
      <w:r w:rsidRPr="00D4309F">
        <w:rPr>
          <w:spacing w:val="-2"/>
        </w:rPr>
        <w:t xml:space="preserve"> </w:t>
      </w:r>
      <w:r w:rsidRPr="00D4309F">
        <w:t>a</w:t>
      </w:r>
      <w:r w:rsidRPr="00D4309F">
        <w:rPr>
          <w:spacing w:val="-3"/>
        </w:rPr>
        <w:t xml:space="preserve"> </w:t>
      </w:r>
      <w:r w:rsidRPr="00D4309F">
        <w:t>summary</w:t>
      </w:r>
      <w:r w:rsidRPr="00D4309F">
        <w:rPr>
          <w:spacing w:val="-2"/>
        </w:rPr>
        <w:t xml:space="preserve"> </w:t>
      </w:r>
      <w:r w:rsidRPr="00D4309F">
        <w:t>of</w:t>
      </w:r>
      <w:r w:rsidRPr="00D4309F">
        <w:rPr>
          <w:spacing w:val="-4"/>
        </w:rPr>
        <w:t xml:space="preserve"> </w:t>
      </w:r>
      <w:r w:rsidRPr="00D4309F">
        <w:t>the</w:t>
      </w:r>
      <w:r w:rsidRPr="00D4309F">
        <w:rPr>
          <w:spacing w:val="-3"/>
        </w:rPr>
        <w:t xml:space="preserve"> </w:t>
      </w:r>
      <w:r w:rsidRPr="00D4309F">
        <w:t>MCA</w:t>
      </w:r>
      <w:r w:rsidRPr="00D4309F">
        <w:rPr>
          <w:spacing w:val="-3"/>
        </w:rPr>
        <w:t xml:space="preserve"> </w:t>
      </w:r>
      <w:r w:rsidRPr="00D4309F">
        <w:t>scoring</w:t>
      </w:r>
      <w:r w:rsidRPr="00D4309F">
        <w:rPr>
          <w:spacing w:val="-2"/>
        </w:rPr>
        <w:t xml:space="preserve"> </w:t>
      </w:r>
      <w:r w:rsidRPr="00D4309F">
        <w:t>of</w:t>
      </w:r>
      <w:r w:rsidRPr="00D4309F">
        <w:rPr>
          <w:spacing w:val="-3"/>
        </w:rPr>
        <w:t xml:space="preserve"> </w:t>
      </w:r>
      <w:r w:rsidRPr="00D4309F">
        <w:t>the</w:t>
      </w:r>
      <w:r w:rsidRPr="00D4309F">
        <w:rPr>
          <w:spacing w:val="-3"/>
        </w:rPr>
        <w:t xml:space="preserve"> </w:t>
      </w:r>
      <w:r w:rsidRPr="00D4309F">
        <w:t>Long-term</w:t>
      </w:r>
      <w:r w:rsidRPr="00D4309F">
        <w:rPr>
          <w:spacing w:val="-2"/>
        </w:rPr>
        <w:t xml:space="preserve"> options:</w:t>
      </w:r>
    </w:p>
    <w:p w14:paraId="4F6FA25C" w14:textId="77777777" w:rsidR="00725977" w:rsidRPr="00D4309F" w:rsidRDefault="00725977" w:rsidP="006C24AF">
      <w:pPr>
        <w:pStyle w:val="ListParagraph"/>
        <w:widowControl w:val="0"/>
        <w:numPr>
          <w:ilvl w:val="0"/>
          <w:numId w:val="12"/>
        </w:numPr>
        <w:tabs>
          <w:tab w:val="left" w:pos="501"/>
        </w:tabs>
        <w:autoSpaceDE w:val="0"/>
        <w:autoSpaceDN w:val="0"/>
        <w:spacing w:after="0" w:line="240" w:lineRule="auto"/>
        <w:contextualSpacing w:val="0"/>
      </w:pPr>
      <w:r w:rsidRPr="00D4309F">
        <w:rPr>
          <w:color w:val="211E1F"/>
        </w:rPr>
        <w:t>Option</w:t>
      </w:r>
      <w:r w:rsidRPr="00D4309F">
        <w:rPr>
          <w:color w:val="211E1F"/>
          <w:spacing w:val="-3"/>
        </w:rPr>
        <w:t xml:space="preserve"> </w:t>
      </w:r>
      <w:r w:rsidRPr="00D4309F">
        <w:rPr>
          <w:color w:val="211E1F"/>
        </w:rPr>
        <w:t>1A;</w:t>
      </w:r>
      <w:r w:rsidRPr="00D4309F">
        <w:rPr>
          <w:color w:val="211E1F"/>
          <w:spacing w:val="-3"/>
        </w:rPr>
        <w:t xml:space="preserve"> </w:t>
      </w:r>
      <w:r w:rsidRPr="00D4309F">
        <w:rPr>
          <w:color w:val="211E1F"/>
        </w:rPr>
        <w:t>Buddina</w:t>
      </w:r>
      <w:r w:rsidRPr="00D4309F">
        <w:rPr>
          <w:color w:val="211E1F"/>
          <w:spacing w:val="-2"/>
        </w:rPr>
        <w:t xml:space="preserve"> </w:t>
      </w:r>
      <w:r w:rsidRPr="00D4309F">
        <w:rPr>
          <w:color w:val="211E1F"/>
        </w:rPr>
        <w:t>Sand</w:t>
      </w:r>
      <w:r w:rsidRPr="00D4309F">
        <w:rPr>
          <w:color w:val="211E1F"/>
          <w:spacing w:val="-4"/>
        </w:rPr>
        <w:t xml:space="preserve"> </w:t>
      </w:r>
      <w:r w:rsidRPr="00D4309F">
        <w:rPr>
          <w:color w:val="211E1F"/>
        </w:rPr>
        <w:t>Trap</w:t>
      </w:r>
      <w:r w:rsidRPr="00D4309F">
        <w:rPr>
          <w:color w:val="211E1F"/>
          <w:spacing w:val="-4"/>
        </w:rPr>
        <w:t xml:space="preserve"> </w:t>
      </w:r>
      <w:r w:rsidRPr="00D4309F">
        <w:rPr>
          <w:color w:val="211E1F"/>
        </w:rPr>
        <w:t>via</w:t>
      </w:r>
      <w:r w:rsidRPr="00D4309F">
        <w:rPr>
          <w:color w:val="211E1F"/>
          <w:spacing w:val="-2"/>
        </w:rPr>
        <w:t xml:space="preserve"> </w:t>
      </w:r>
      <w:r w:rsidRPr="00D4309F">
        <w:rPr>
          <w:color w:val="211E1F"/>
        </w:rPr>
        <w:t>a</w:t>
      </w:r>
      <w:r w:rsidRPr="00D4309F">
        <w:rPr>
          <w:color w:val="211E1F"/>
          <w:spacing w:val="-3"/>
        </w:rPr>
        <w:t xml:space="preserve"> </w:t>
      </w:r>
      <w:r w:rsidRPr="00D4309F">
        <w:rPr>
          <w:color w:val="211E1F"/>
        </w:rPr>
        <w:t>Hopper</w:t>
      </w:r>
      <w:r w:rsidRPr="00D4309F">
        <w:rPr>
          <w:color w:val="211E1F"/>
          <w:spacing w:val="-3"/>
        </w:rPr>
        <w:t xml:space="preserve"> </w:t>
      </w:r>
      <w:r w:rsidRPr="00D4309F">
        <w:rPr>
          <w:color w:val="211E1F"/>
          <w:spacing w:val="-2"/>
        </w:rPr>
        <w:t>Dredge</w:t>
      </w:r>
    </w:p>
    <w:p w14:paraId="08B4825C" w14:textId="77777777" w:rsidR="00725977" w:rsidRPr="00D4309F" w:rsidRDefault="00725977" w:rsidP="006C24AF">
      <w:pPr>
        <w:pStyle w:val="ListParagraph"/>
        <w:widowControl w:val="0"/>
        <w:numPr>
          <w:ilvl w:val="0"/>
          <w:numId w:val="12"/>
        </w:numPr>
        <w:tabs>
          <w:tab w:val="left" w:pos="501"/>
        </w:tabs>
        <w:autoSpaceDE w:val="0"/>
        <w:autoSpaceDN w:val="0"/>
        <w:spacing w:before="118" w:after="0" w:line="240" w:lineRule="auto"/>
        <w:contextualSpacing w:val="0"/>
      </w:pPr>
      <w:r w:rsidRPr="00D4309F">
        <w:rPr>
          <w:color w:val="211E1F"/>
        </w:rPr>
        <w:t>Option</w:t>
      </w:r>
      <w:r w:rsidRPr="00D4309F">
        <w:rPr>
          <w:color w:val="211E1F"/>
          <w:spacing w:val="-6"/>
        </w:rPr>
        <w:t xml:space="preserve"> </w:t>
      </w:r>
      <w:r w:rsidRPr="00D4309F">
        <w:rPr>
          <w:color w:val="211E1F"/>
        </w:rPr>
        <w:t>1A;</w:t>
      </w:r>
      <w:r w:rsidRPr="00D4309F">
        <w:rPr>
          <w:color w:val="211E1F"/>
          <w:spacing w:val="-3"/>
        </w:rPr>
        <w:t xml:space="preserve"> </w:t>
      </w:r>
      <w:r w:rsidRPr="00D4309F">
        <w:rPr>
          <w:color w:val="211E1F"/>
        </w:rPr>
        <w:t>Buddina</w:t>
      </w:r>
      <w:r w:rsidRPr="00D4309F">
        <w:rPr>
          <w:color w:val="211E1F"/>
          <w:spacing w:val="-3"/>
        </w:rPr>
        <w:t xml:space="preserve"> </w:t>
      </w:r>
      <w:r w:rsidRPr="00D4309F">
        <w:rPr>
          <w:color w:val="211E1F"/>
        </w:rPr>
        <w:t>Sand</w:t>
      </w:r>
      <w:r w:rsidRPr="00D4309F">
        <w:rPr>
          <w:color w:val="211E1F"/>
          <w:spacing w:val="-5"/>
        </w:rPr>
        <w:t xml:space="preserve"> </w:t>
      </w:r>
      <w:r w:rsidRPr="00D4309F">
        <w:rPr>
          <w:color w:val="211E1F"/>
        </w:rPr>
        <w:t>Trap</w:t>
      </w:r>
      <w:r w:rsidRPr="00D4309F">
        <w:rPr>
          <w:color w:val="211E1F"/>
          <w:spacing w:val="-4"/>
        </w:rPr>
        <w:t xml:space="preserve"> </w:t>
      </w:r>
      <w:r w:rsidRPr="00D4309F">
        <w:rPr>
          <w:color w:val="211E1F"/>
        </w:rPr>
        <w:t>with</w:t>
      </w:r>
      <w:r w:rsidRPr="00D4309F">
        <w:rPr>
          <w:color w:val="211E1F"/>
          <w:spacing w:val="-3"/>
        </w:rPr>
        <w:t xml:space="preserve"> </w:t>
      </w:r>
      <w:r w:rsidRPr="00D4309F">
        <w:rPr>
          <w:color w:val="211E1F"/>
        </w:rPr>
        <w:t>pump</w:t>
      </w:r>
      <w:r w:rsidRPr="00D4309F">
        <w:rPr>
          <w:color w:val="211E1F"/>
          <w:spacing w:val="-4"/>
        </w:rPr>
        <w:t xml:space="preserve"> </w:t>
      </w:r>
      <w:r w:rsidRPr="00D4309F">
        <w:rPr>
          <w:color w:val="211E1F"/>
        </w:rPr>
        <w:t>station</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permanent</w:t>
      </w:r>
      <w:r w:rsidRPr="00D4309F">
        <w:rPr>
          <w:color w:val="211E1F"/>
          <w:spacing w:val="-3"/>
        </w:rPr>
        <w:t xml:space="preserve"> </w:t>
      </w:r>
      <w:r w:rsidRPr="00D4309F">
        <w:rPr>
          <w:color w:val="211E1F"/>
          <w:spacing w:val="-2"/>
        </w:rPr>
        <w:t>pipeline</w:t>
      </w:r>
    </w:p>
    <w:p w14:paraId="0FF9BC39" w14:textId="77777777" w:rsidR="00725977" w:rsidRPr="00D4309F" w:rsidRDefault="00725977" w:rsidP="006C24AF">
      <w:pPr>
        <w:pStyle w:val="ListParagraph"/>
        <w:widowControl w:val="0"/>
        <w:numPr>
          <w:ilvl w:val="0"/>
          <w:numId w:val="12"/>
        </w:numPr>
        <w:tabs>
          <w:tab w:val="left" w:pos="501"/>
        </w:tabs>
        <w:autoSpaceDE w:val="0"/>
        <w:autoSpaceDN w:val="0"/>
        <w:spacing w:before="119" w:after="0" w:line="240" w:lineRule="auto"/>
        <w:ind w:right="290"/>
        <w:contextualSpacing w:val="0"/>
      </w:pPr>
      <w:r w:rsidRPr="00D4309F">
        <w:rPr>
          <w:color w:val="211E1F"/>
        </w:rPr>
        <w:t>Option</w:t>
      </w:r>
      <w:r w:rsidRPr="00D4309F">
        <w:rPr>
          <w:color w:val="211E1F"/>
          <w:spacing w:val="-3"/>
        </w:rPr>
        <w:t xml:space="preserve"> </w:t>
      </w:r>
      <w:r w:rsidRPr="00D4309F">
        <w:rPr>
          <w:color w:val="211E1F"/>
        </w:rPr>
        <w:t>2A;</w:t>
      </w:r>
      <w:r w:rsidRPr="00D4309F">
        <w:rPr>
          <w:color w:val="211E1F"/>
          <w:spacing w:val="-3"/>
        </w:rPr>
        <w:t xml:space="preserve"> </w:t>
      </w:r>
      <w:r w:rsidRPr="00D4309F">
        <w:rPr>
          <w:color w:val="211E1F"/>
        </w:rPr>
        <w:t>Increased</w:t>
      </w:r>
      <w:r w:rsidRPr="00D4309F">
        <w:rPr>
          <w:color w:val="211E1F"/>
          <w:spacing w:val="-3"/>
        </w:rPr>
        <w:t xml:space="preserve"> </w:t>
      </w:r>
      <w:r w:rsidRPr="00D4309F">
        <w:rPr>
          <w:color w:val="211E1F"/>
        </w:rPr>
        <w:t>Dredge</w:t>
      </w:r>
      <w:r w:rsidRPr="00D4309F">
        <w:rPr>
          <w:color w:val="211E1F"/>
          <w:spacing w:val="-3"/>
        </w:rPr>
        <w:t xml:space="preserve"> </w:t>
      </w:r>
      <w:r w:rsidRPr="00D4309F">
        <w:rPr>
          <w:color w:val="211E1F"/>
        </w:rPr>
        <w:t>Channel</w:t>
      </w:r>
      <w:r w:rsidRPr="00D4309F">
        <w:rPr>
          <w:color w:val="211E1F"/>
          <w:spacing w:val="-3"/>
        </w:rPr>
        <w:t xml:space="preserve"> </w:t>
      </w:r>
      <w:r w:rsidRPr="00D4309F">
        <w:rPr>
          <w:color w:val="211E1F"/>
        </w:rPr>
        <w:t>Depth</w:t>
      </w:r>
      <w:r w:rsidRPr="00D4309F">
        <w:rPr>
          <w:color w:val="211E1F"/>
          <w:spacing w:val="-3"/>
        </w:rPr>
        <w:t xml:space="preserve"> </w:t>
      </w:r>
      <w:r w:rsidRPr="00D4309F">
        <w:rPr>
          <w:color w:val="211E1F"/>
        </w:rPr>
        <w:t>with</w:t>
      </w:r>
      <w:r w:rsidRPr="00D4309F">
        <w:rPr>
          <w:color w:val="211E1F"/>
          <w:spacing w:val="-3"/>
        </w:rPr>
        <w:t xml:space="preserve"> </w:t>
      </w:r>
      <w:r w:rsidRPr="00D4309F">
        <w:rPr>
          <w:color w:val="211E1F"/>
        </w:rPr>
        <w:t>Rock</w:t>
      </w:r>
      <w:r w:rsidRPr="00D4309F">
        <w:rPr>
          <w:color w:val="211E1F"/>
          <w:spacing w:val="-2"/>
        </w:rPr>
        <w:t xml:space="preserve"> </w:t>
      </w:r>
      <w:r w:rsidRPr="00D4309F">
        <w:rPr>
          <w:color w:val="211E1F"/>
        </w:rPr>
        <w:t>Excavation</w:t>
      </w:r>
      <w:r w:rsidRPr="00D4309F">
        <w:rPr>
          <w:color w:val="211E1F"/>
          <w:spacing w:val="-4"/>
        </w:rPr>
        <w:t xml:space="preserve"> </w:t>
      </w:r>
      <w:r w:rsidRPr="00D4309F">
        <w:rPr>
          <w:color w:val="211E1F"/>
        </w:rPr>
        <w:t>–</w:t>
      </w:r>
      <w:r w:rsidRPr="00D4309F">
        <w:rPr>
          <w:color w:val="211E1F"/>
          <w:spacing w:val="-3"/>
        </w:rPr>
        <w:t xml:space="preserve"> </w:t>
      </w:r>
      <w:r w:rsidRPr="00D4309F">
        <w:rPr>
          <w:color w:val="211E1F"/>
        </w:rPr>
        <w:t>Excavated</w:t>
      </w:r>
      <w:r w:rsidRPr="00D4309F">
        <w:rPr>
          <w:color w:val="211E1F"/>
          <w:spacing w:val="-3"/>
        </w:rPr>
        <w:t xml:space="preserve"> </w:t>
      </w:r>
      <w:r w:rsidRPr="00D4309F">
        <w:rPr>
          <w:color w:val="211E1F"/>
        </w:rPr>
        <w:t>sand</w:t>
      </w:r>
      <w:r w:rsidRPr="00D4309F">
        <w:rPr>
          <w:color w:val="211E1F"/>
          <w:spacing w:val="-3"/>
        </w:rPr>
        <w:t xml:space="preserve"> </w:t>
      </w:r>
      <w:r w:rsidRPr="00D4309F">
        <w:rPr>
          <w:color w:val="211E1F"/>
        </w:rPr>
        <w:t>trap</w:t>
      </w:r>
      <w:r w:rsidRPr="00D4309F">
        <w:rPr>
          <w:color w:val="211E1F"/>
          <w:spacing w:val="-3"/>
        </w:rPr>
        <w:t xml:space="preserve"> </w:t>
      </w:r>
      <w:r w:rsidRPr="00D4309F">
        <w:rPr>
          <w:color w:val="211E1F"/>
        </w:rPr>
        <w:t>with</w:t>
      </w:r>
      <w:r w:rsidRPr="00D4309F">
        <w:rPr>
          <w:color w:val="211E1F"/>
          <w:spacing w:val="-3"/>
        </w:rPr>
        <w:t xml:space="preserve"> </w:t>
      </w:r>
      <w:r w:rsidRPr="00D4309F">
        <w:rPr>
          <w:color w:val="211E1F"/>
        </w:rPr>
        <w:t>existing CSD operations</w:t>
      </w:r>
    </w:p>
    <w:p w14:paraId="7AB67E0B" w14:textId="77777777" w:rsidR="00725977" w:rsidRPr="00D4309F" w:rsidRDefault="00725977" w:rsidP="006C24AF">
      <w:pPr>
        <w:pStyle w:val="ListParagraph"/>
        <w:widowControl w:val="0"/>
        <w:numPr>
          <w:ilvl w:val="0"/>
          <w:numId w:val="12"/>
        </w:numPr>
        <w:tabs>
          <w:tab w:val="left" w:pos="501"/>
        </w:tabs>
        <w:autoSpaceDE w:val="0"/>
        <w:autoSpaceDN w:val="0"/>
        <w:spacing w:before="118" w:after="0" w:line="240" w:lineRule="auto"/>
        <w:ind w:right="468"/>
        <w:contextualSpacing w:val="0"/>
      </w:pPr>
      <w:r w:rsidRPr="00D4309F">
        <w:rPr>
          <w:color w:val="211E1F"/>
        </w:rPr>
        <w:t>Option</w:t>
      </w:r>
      <w:r w:rsidRPr="00D4309F">
        <w:rPr>
          <w:color w:val="211E1F"/>
          <w:spacing w:val="-3"/>
        </w:rPr>
        <w:t xml:space="preserve"> </w:t>
      </w:r>
      <w:r w:rsidRPr="00D4309F">
        <w:rPr>
          <w:color w:val="211E1F"/>
        </w:rPr>
        <w:t>2B;</w:t>
      </w:r>
      <w:r w:rsidRPr="00D4309F">
        <w:rPr>
          <w:color w:val="211E1F"/>
          <w:spacing w:val="-3"/>
        </w:rPr>
        <w:t xml:space="preserve"> </w:t>
      </w:r>
      <w:r w:rsidRPr="00D4309F">
        <w:rPr>
          <w:color w:val="211E1F"/>
        </w:rPr>
        <w:t>Increased</w:t>
      </w:r>
      <w:r w:rsidRPr="00D4309F">
        <w:rPr>
          <w:color w:val="211E1F"/>
          <w:spacing w:val="-3"/>
        </w:rPr>
        <w:t xml:space="preserve"> </w:t>
      </w:r>
      <w:r w:rsidRPr="00D4309F">
        <w:rPr>
          <w:color w:val="211E1F"/>
        </w:rPr>
        <w:t>Dredge</w:t>
      </w:r>
      <w:r w:rsidRPr="00D4309F">
        <w:rPr>
          <w:color w:val="211E1F"/>
          <w:spacing w:val="-3"/>
        </w:rPr>
        <w:t xml:space="preserve"> </w:t>
      </w:r>
      <w:r w:rsidRPr="00D4309F">
        <w:rPr>
          <w:color w:val="211E1F"/>
        </w:rPr>
        <w:t>Channel</w:t>
      </w:r>
      <w:r w:rsidRPr="00D4309F">
        <w:rPr>
          <w:color w:val="211E1F"/>
          <w:spacing w:val="-3"/>
        </w:rPr>
        <w:t xml:space="preserve"> </w:t>
      </w:r>
      <w:r w:rsidRPr="00D4309F">
        <w:rPr>
          <w:color w:val="211E1F"/>
        </w:rPr>
        <w:t>Depth</w:t>
      </w:r>
      <w:r w:rsidRPr="00D4309F">
        <w:rPr>
          <w:color w:val="211E1F"/>
          <w:spacing w:val="-3"/>
        </w:rPr>
        <w:t xml:space="preserve"> </w:t>
      </w:r>
      <w:r w:rsidRPr="00D4309F">
        <w:rPr>
          <w:color w:val="211E1F"/>
        </w:rPr>
        <w:t>with</w:t>
      </w:r>
      <w:r w:rsidRPr="00D4309F">
        <w:rPr>
          <w:color w:val="211E1F"/>
          <w:spacing w:val="-3"/>
        </w:rPr>
        <w:t xml:space="preserve"> </w:t>
      </w:r>
      <w:r w:rsidRPr="00D4309F">
        <w:rPr>
          <w:color w:val="211E1F"/>
        </w:rPr>
        <w:t>Rock</w:t>
      </w:r>
      <w:r w:rsidRPr="00D4309F">
        <w:rPr>
          <w:color w:val="211E1F"/>
          <w:spacing w:val="-2"/>
        </w:rPr>
        <w:t xml:space="preserve"> </w:t>
      </w:r>
      <w:r w:rsidRPr="00D4309F">
        <w:rPr>
          <w:color w:val="211E1F"/>
        </w:rPr>
        <w:t>Excavation</w:t>
      </w:r>
      <w:r w:rsidRPr="00D4309F">
        <w:rPr>
          <w:color w:val="211E1F"/>
          <w:spacing w:val="-4"/>
        </w:rPr>
        <w:t xml:space="preserve"> </w:t>
      </w:r>
      <w:r w:rsidRPr="00D4309F">
        <w:rPr>
          <w:color w:val="211E1F"/>
        </w:rPr>
        <w:t>-</w:t>
      </w:r>
      <w:r w:rsidRPr="00D4309F">
        <w:rPr>
          <w:color w:val="211E1F"/>
          <w:spacing w:val="-3"/>
        </w:rPr>
        <w:t xml:space="preserve"> </w:t>
      </w:r>
      <w:r w:rsidRPr="00D4309F">
        <w:rPr>
          <w:color w:val="211E1F"/>
        </w:rPr>
        <w:t>Excavated</w:t>
      </w:r>
      <w:r w:rsidRPr="00D4309F">
        <w:rPr>
          <w:color w:val="211E1F"/>
          <w:spacing w:val="-3"/>
        </w:rPr>
        <w:t xml:space="preserve"> </w:t>
      </w:r>
      <w:r w:rsidRPr="00D4309F">
        <w:rPr>
          <w:color w:val="211E1F"/>
        </w:rPr>
        <w:t>sand</w:t>
      </w:r>
      <w:r w:rsidRPr="00D4309F">
        <w:rPr>
          <w:color w:val="211E1F"/>
          <w:spacing w:val="-3"/>
        </w:rPr>
        <w:t xml:space="preserve"> </w:t>
      </w:r>
      <w:r w:rsidRPr="00D4309F">
        <w:rPr>
          <w:color w:val="211E1F"/>
        </w:rPr>
        <w:t>trap</w:t>
      </w:r>
      <w:r w:rsidRPr="00D4309F">
        <w:rPr>
          <w:color w:val="211E1F"/>
          <w:spacing w:val="-4"/>
        </w:rPr>
        <w:t xml:space="preserve"> </w:t>
      </w:r>
      <w:r w:rsidRPr="00D4309F">
        <w:rPr>
          <w:color w:val="211E1F"/>
        </w:rPr>
        <w:t>with</w:t>
      </w:r>
      <w:r w:rsidRPr="00D4309F">
        <w:rPr>
          <w:color w:val="211E1F"/>
          <w:spacing w:val="-3"/>
        </w:rPr>
        <w:t xml:space="preserve"> </w:t>
      </w:r>
      <w:r w:rsidRPr="00D4309F">
        <w:rPr>
          <w:color w:val="211E1F"/>
        </w:rPr>
        <w:t xml:space="preserve">TSHD </w:t>
      </w:r>
      <w:r w:rsidRPr="00D4309F">
        <w:rPr>
          <w:color w:val="211E1F"/>
          <w:spacing w:val="-2"/>
        </w:rPr>
        <w:t>campaigns</w:t>
      </w:r>
    </w:p>
    <w:p w14:paraId="460E53B2" w14:textId="77777777" w:rsidR="00725977" w:rsidRPr="00D4309F" w:rsidRDefault="00725977" w:rsidP="006C24AF">
      <w:pPr>
        <w:pStyle w:val="ListParagraph"/>
        <w:widowControl w:val="0"/>
        <w:numPr>
          <w:ilvl w:val="0"/>
          <w:numId w:val="12"/>
        </w:numPr>
        <w:tabs>
          <w:tab w:val="left" w:pos="501"/>
        </w:tabs>
        <w:autoSpaceDE w:val="0"/>
        <w:autoSpaceDN w:val="0"/>
        <w:spacing w:before="119" w:after="0" w:line="240" w:lineRule="auto"/>
        <w:ind w:right="514"/>
        <w:contextualSpacing w:val="0"/>
      </w:pPr>
      <w:r w:rsidRPr="00D4309F">
        <w:rPr>
          <w:color w:val="211E1F"/>
        </w:rPr>
        <w:t>Option</w:t>
      </w:r>
      <w:r w:rsidRPr="00D4309F">
        <w:rPr>
          <w:color w:val="211E1F"/>
          <w:spacing w:val="-3"/>
        </w:rPr>
        <w:t xml:space="preserve"> </w:t>
      </w:r>
      <w:r w:rsidRPr="00D4309F">
        <w:rPr>
          <w:color w:val="211E1F"/>
        </w:rPr>
        <w:t>2C;</w:t>
      </w:r>
      <w:r w:rsidRPr="00D4309F">
        <w:rPr>
          <w:color w:val="211E1F"/>
          <w:spacing w:val="-3"/>
        </w:rPr>
        <w:t xml:space="preserve"> </w:t>
      </w:r>
      <w:r w:rsidRPr="00D4309F">
        <w:rPr>
          <w:color w:val="211E1F"/>
        </w:rPr>
        <w:t>Increased</w:t>
      </w:r>
      <w:r w:rsidRPr="00D4309F">
        <w:rPr>
          <w:color w:val="211E1F"/>
          <w:spacing w:val="-3"/>
        </w:rPr>
        <w:t xml:space="preserve"> </w:t>
      </w:r>
      <w:r w:rsidRPr="00D4309F">
        <w:rPr>
          <w:color w:val="211E1F"/>
        </w:rPr>
        <w:t>Dredge</w:t>
      </w:r>
      <w:r w:rsidRPr="00D4309F">
        <w:rPr>
          <w:color w:val="211E1F"/>
          <w:spacing w:val="-3"/>
        </w:rPr>
        <w:t xml:space="preserve"> </w:t>
      </w:r>
      <w:r w:rsidRPr="00D4309F">
        <w:rPr>
          <w:color w:val="211E1F"/>
        </w:rPr>
        <w:t>Channel</w:t>
      </w:r>
      <w:r w:rsidRPr="00D4309F">
        <w:rPr>
          <w:color w:val="211E1F"/>
          <w:spacing w:val="-3"/>
        </w:rPr>
        <w:t xml:space="preserve"> </w:t>
      </w:r>
      <w:r w:rsidRPr="00D4309F">
        <w:rPr>
          <w:color w:val="211E1F"/>
        </w:rPr>
        <w:t>Depth</w:t>
      </w:r>
      <w:r w:rsidRPr="00D4309F">
        <w:rPr>
          <w:color w:val="211E1F"/>
          <w:spacing w:val="-3"/>
        </w:rPr>
        <w:t xml:space="preserve"> </w:t>
      </w:r>
      <w:r w:rsidRPr="00D4309F">
        <w:rPr>
          <w:color w:val="211E1F"/>
        </w:rPr>
        <w:t>with</w:t>
      </w:r>
      <w:r w:rsidRPr="00D4309F">
        <w:rPr>
          <w:color w:val="211E1F"/>
          <w:spacing w:val="-3"/>
        </w:rPr>
        <w:t xml:space="preserve"> </w:t>
      </w:r>
      <w:r w:rsidRPr="00D4309F">
        <w:rPr>
          <w:color w:val="211E1F"/>
        </w:rPr>
        <w:t>Rock</w:t>
      </w:r>
      <w:r w:rsidRPr="00D4309F">
        <w:rPr>
          <w:color w:val="211E1F"/>
          <w:spacing w:val="-2"/>
        </w:rPr>
        <w:t xml:space="preserve"> </w:t>
      </w:r>
      <w:r w:rsidRPr="00D4309F">
        <w:rPr>
          <w:color w:val="211E1F"/>
        </w:rPr>
        <w:t>Excavation</w:t>
      </w:r>
      <w:r w:rsidRPr="00D4309F">
        <w:rPr>
          <w:color w:val="211E1F"/>
          <w:spacing w:val="-4"/>
        </w:rPr>
        <w:t xml:space="preserve"> </w:t>
      </w:r>
      <w:r w:rsidRPr="00D4309F">
        <w:rPr>
          <w:color w:val="211E1F"/>
        </w:rPr>
        <w:t>-</w:t>
      </w:r>
      <w:r w:rsidRPr="00D4309F">
        <w:rPr>
          <w:color w:val="211E1F"/>
          <w:spacing w:val="-3"/>
        </w:rPr>
        <w:t xml:space="preserve"> </w:t>
      </w:r>
      <w:r w:rsidRPr="00D4309F">
        <w:rPr>
          <w:color w:val="211E1F"/>
        </w:rPr>
        <w:t>Excavated</w:t>
      </w:r>
      <w:r w:rsidRPr="00D4309F">
        <w:rPr>
          <w:color w:val="211E1F"/>
          <w:spacing w:val="-3"/>
        </w:rPr>
        <w:t xml:space="preserve"> </w:t>
      </w:r>
      <w:r w:rsidRPr="00D4309F">
        <w:rPr>
          <w:color w:val="211E1F"/>
        </w:rPr>
        <w:t>sand</w:t>
      </w:r>
      <w:r w:rsidRPr="00D4309F">
        <w:rPr>
          <w:color w:val="211E1F"/>
          <w:spacing w:val="-3"/>
        </w:rPr>
        <w:t xml:space="preserve"> </w:t>
      </w:r>
      <w:r w:rsidRPr="00D4309F">
        <w:rPr>
          <w:color w:val="211E1F"/>
        </w:rPr>
        <w:t>trap</w:t>
      </w:r>
      <w:r w:rsidRPr="00D4309F">
        <w:rPr>
          <w:color w:val="211E1F"/>
          <w:spacing w:val="-4"/>
        </w:rPr>
        <w:t xml:space="preserve"> </w:t>
      </w:r>
      <w:r w:rsidRPr="00D4309F">
        <w:rPr>
          <w:color w:val="211E1F"/>
        </w:rPr>
        <w:t>with</w:t>
      </w:r>
      <w:r w:rsidRPr="00D4309F">
        <w:rPr>
          <w:color w:val="211E1F"/>
          <w:spacing w:val="-3"/>
        </w:rPr>
        <w:t xml:space="preserve"> </w:t>
      </w:r>
      <w:r w:rsidRPr="00D4309F">
        <w:rPr>
          <w:color w:val="211E1F"/>
        </w:rPr>
        <w:t>semi-permanent pump system</w:t>
      </w:r>
    </w:p>
    <w:p w14:paraId="2EADBC7D" w14:textId="77777777" w:rsidR="00725977" w:rsidRPr="00D4309F" w:rsidRDefault="00725977" w:rsidP="006C24AF">
      <w:pPr>
        <w:pStyle w:val="ListParagraph"/>
        <w:widowControl w:val="0"/>
        <w:numPr>
          <w:ilvl w:val="0"/>
          <w:numId w:val="12"/>
        </w:numPr>
        <w:tabs>
          <w:tab w:val="left" w:pos="501"/>
        </w:tabs>
        <w:autoSpaceDE w:val="0"/>
        <w:autoSpaceDN w:val="0"/>
        <w:spacing w:before="117" w:after="0" w:line="240" w:lineRule="auto"/>
        <w:contextualSpacing w:val="0"/>
      </w:pPr>
      <w:r w:rsidRPr="00D4309F">
        <w:rPr>
          <w:color w:val="211E1F"/>
        </w:rPr>
        <w:t>Option</w:t>
      </w:r>
      <w:r w:rsidRPr="00D4309F">
        <w:rPr>
          <w:color w:val="211E1F"/>
          <w:spacing w:val="-7"/>
        </w:rPr>
        <w:t xml:space="preserve"> </w:t>
      </w:r>
      <w:r w:rsidRPr="00D4309F">
        <w:rPr>
          <w:color w:val="211E1F"/>
        </w:rPr>
        <w:t>3A;</w:t>
      </w:r>
      <w:r w:rsidRPr="00D4309F">
        <w:rPr>
          <w:color w:val="211E1F"/>
          <w:spacing w:val="-4"/>
        </w:rPr>
        <w:t xml:space="preserve"> </w:t>
      </w:r>
      <w:r w:rsidRPr="00D4309F">
        <w:rPr>
          <w:color w:val="211E1F"/>
        </w:rPr>
        <w:t>Eastern</w:t>
      </w:r>
      <w:r w:rsidRPr="00D4309F">
        <w:rPr>
          <w:color w:val="211E1F"/>
          <w:spacing w:val="-4"/>
        </w:rPr>
        <w:t xml:space="preserve"> </w:t>
      </w:r>
      <w:r w:rsidRPr="00D4309F">
        <w:rPr>
          <w:color w:val="211E1F"/>
        </w:rPr>
        <w:t>Breakwater</w:t>
      </w:r>
      <w:r w:rsidRPr="00D4309F">
        <w:rPr>
          <w:color w:val="211E1F"/>
          <w:spacing w:val="-3"/>
        </w:rPr>
        <w:t xml:space="preserve"> </w:t>
      </w:r>
      <w:r w:rsidRPr="00D4309F">
        <w:rPr>
          <w:color w:val="211E1F"/>
        </w:rPr>
        <w:t>Extension</w:t>
      </w:r>
      <w:r w:rsidRPr="00D4309F">
        <w:rPr>
          <w:color w:val="211E1F"/>
          <w:spacing w:val="-4"/>
        </w:rPr>
        <w:t xml:space="preserve"> </w:t>
      </w:r>
      <w:r w:rsidRPr="00D4309F">
        <w:rPr>
          <w:color w:val="211E1F"/>
        </w:rPr>
        <w:t>-</w:t>
      </w:r>
      <w:r w:rsidRPr="00D4309F">
        <w:rPr>
          <w:color w:val="211E1F"/>
          <w:spacing w:val="-4"/>
        </w:rPr>
        <w:t xml:space="preserve"> </w:t>
      </w:r>
      <w:r w:rsidRPr="00D4309F">
        <w:rPr>
          <w:color w:val="211E1F"/>
        </w:rPr>
        <w:t>Cutter</w:t>
      </w:r>
      <w:r w:rsidRPr="00D4309F">
        <w:rPr>
          <w:color w:val="211E1F"/>
          <w:spacing w:val="-3"/>
        </w:rPr>
        <w:t xml:space="preserve"> </w:t>
      </w:r>
      <w:r w:rsidRPr="00D4309F">
        <w:rPr>
          <w:color w:val="211E1F"/>
        </w:rPr>
        <w:t>suction</w:t>
      </w:r>
      <w:r w:rsidRPr="00D4309F">
        <w:rPr>
          <w:color w:val="211E1F"/>
          <w:spacing w:val="-4"/>
        </w:rPr>
        <w:t xml:space="preserve"> </w:t>
      </w:r>
      <w:r w:rsidRPr="00D4309F">
        <w:rPr>
          <w:color w:val="211E1F"/>
        </w:rPr>
        <w:t>dredge</w:t>
      </w:r>
      <w:r w:rsidRPr="00D4309F">
        <w:rPr>
          <w:color w:val="211E1F"/>
          <w:spacing w:val="-4"/>
        </w:rPr>
        <w:t xml:space="preserve"> </w:t>
      </w:r>
      <w:r w:rsidRPr="00D4309F">
        <w:rPr>
          <w:color w:val="211E1F"/>
        </w:rPr>
        <w:t>and</w:t>
      </w:r>
      <w:r w:rsidRPr="00D4309F">
        <w:rPr>
          <w:color w:val="211E1F"/>
          <w:spacing w:val="-4"/>
        </w:rPr>
        <w:t xml:space="preserve"> </w:t>
      </w:r>
      <w:r w:rsidRPr="00D4309F">
        <w:rPr>
          <w:color w:val="211E1F"/>
        </w:rPr>
        <w:t>pipeline</w:t>
      </w:r>
      <w:r w:rsidRPr="00D4309F">
        <w:rPr>
          <w:color w:val="211E1F"/>
          <w:spacing w:val="-4"/>
        </w:rPr>
        <w:t xml:space="preserve"> </w:t>
      </w:r>
      <w:r w:rsidRPr="00D4309F">
        <w:rPr>
          <w:color w:val="211E1F"/>
          <w:spacing w:val="-2"/>
        </w:rPr>
        <w:t>transfer</w:t>
      </w:r>
    </w:p>
    <w:p w14:paraId="5A24E5AB" w14:textId="77777777" w:rsidR="00725977" w:rsidRPr="00D4309F" w:rsidRDefault="00725977" w:rsidP="006C24AF">
      <w:pPr>
        <w:pStyle w:val="ListParagraph"/>
        <w:widowControl w:val="0"/>
        <w:numPr>
          <w:ilvl w:val="0"/>
          <w:numId w:val="12"/>
        </w:numPr>
        <w:tabs>
          <w:tab w:val="left" w:pos="501"/>
        </w:tabs>
        <w:autoSpaceDE w:val="0"/>
        <w:autoSpaceDN w:val="0"/>
        <w:spacing w:before="119" w:after="0" w:line="240" w:lineRule="auto"/>
        <w:contextualSpacing w:val="0"/>
      </w:pPr>
      <w:r w:rsidRPr="00D4309F">
        <w:rPr>
          <w:color w:val="211E1F"/>
        </w:rPr>
        <w:t>Option</w:t>
      </w:r>
      <w:r w:rsidRPr="00D4309F">
        <w:rPr>
          <w:color w:val="211E1F"/>
          <w:spacing w:val="-6"/>
        </w:rPr>
        <w:t xml:space="preserve"> </w:t>
      </w:r>
      <w:r w:rsidRPr="00D4309F">
        <w:rPr>
          <w:color w:val="211E1F"/>
        </w:rPr>
        <w:t>3B;</w:t>
      </w:r>
      <w:r w:rsidRPr="00D4309F">
        <w:rPr>
          <w:color w:val="211E1F"/>
          <w:spacing w:val="-4"/>
        </w:rPr>
        <w:t xml:space="preserve"> </w:t>
      </w:r>
      <w:r w:rsidRPr="00D4309F">
        <w:rPr>
          <w:color w:val="211E1F"/>
        </w:rPr>
        <w:t>Eastern</w:t>
      </w:r>
      <w:r w:rsidRPr="00D4309F">
        <w:rPr>
          <w:color w:val="211E1F"/>
          <w:spacing w:val="-4"/>
        </w:rPr>
        <w:t xml:space="preserve"> </w:t>
      </w:r>
      <w:r w:rsidRPr="00D4309F">
        <w:rPr>
          <w:color w:val="211E1F"/>
        </w:rPr>
        <w:t>Breakwater</w:t>
      </w:r>
      <w:r w:rsidRPr="00D4309F">
        <w:rPr>
          <w:color w:val="211E1F"/>
          <w:spacing w:val="-4"/>
        </w:rPr>
        <w:t xml:space="preserve"> </w:t>
      </w:r>
      <w:r w:rsidRPr="00D4309F">
        <w:rPr>
          <w:color w:val="211E1F"/>
        </w:rPr>
        <w:t>Extension</w:t>
      </w:r>
      <w:r w:rsidRPr="00D4309F">
        <w:rPr>
          <w:color w:val="211E1F"/>
          <w:spacing w:val="-4"/>
        </w:rPr>
        <w:t xml:space="preserve"> </w:t>
      </w:r>
      <w:r w:rsidRPr="00D4309F">
        <w:rPr>
          <w:color w:val="211E1F"/>
        </w:rPr>
        <w:t>-</w:t>
      </w:r>
      <w:r w:rsidRPr="00D4309F">
        <w:rPr>
          <w:color w:val="211E1F"/>
          <w:spacing w:val="-4"/>
        </w:rPr>
        <w:t xml:space="preserve"> </w:t>
      </w:r>
      <w:r w:rsidRPr="00D4309F">
        <w:rPr>
          <w:color w:val="211E1F"/>
        </w:rPr>
        <w:t>Buried</w:t>
      </w:r>
      <w:r w:rsidRPr="00D4309F">
        <w:rPr>
          <w:color w:val="211E1F"/>
          <w:spacing w:val="-4"/>
        </w:rPr>
        <w:t xml:space="preserve"> </w:t>
      </w:r>
      <w:r w:rsidRPr="00D4309F">
        <w:rPr>
          <w:color w:val="211E1F"/>
        </w:rPr>
        <w:t>slurry</w:t>
      </w:r>
      <w:r w:rsidRPr="00D4309F">
        <w:rPr>
          <w:color w:val="211E1F"/>
          <w:spacing w:val="-3"/>
        </w:rPr>
        <w:t xml:space="preserve"> </w:t>
      </w:r>
      <w:r w:rsidRPr="00D4309F">
        <w:rPr>
          <w:color w:val="211E1F"/>
        </w:rPr>
        <w:t>pump</w:t>
      </w:r>
      <w:r w:rsidRPr="00D4309F">
        <w:rPr>
          <w:color w:val="211E1F"/>
          <w:spacing w:val="-4"/>
        </w:rPr>
        <w:t xml:space="preserve"> </w:t>
      </w:r>
      <w:r w:rsidRPr="00D4309F">
        <w:rPr>
          <w:color w:val="211E1F"/>
        </w:rPr>
        <w:t>(Sand</w:t>
      </w:r>
      <w:r w:rsidRPr="00D4309F">
        <w:rPr>
          <w:color w:val="211E1F"/>
          <w:spacing w:val="-4"/>
        </w:rPr>
        <w:t xml:space="preserve"> </w:t>
      </w:r>
      <w:r w:rsidRPr="00D4309F">
        <w:rPr>
          <w:color w:val="211E1F"/>
        </w:rPr>
        <w:t>Shifter)</w:t>
      </w:r>
      <w:r w:rsidRPr="00D4309F">
        <w:rPr>
          <w:color w:val="211E1F"/>
          <w:spacing w:val="-4"/>
        </w:rPr>
        <w:t xml:space="preserve"> </w:t>
      </w:r>
      <w:r w:rsidRPr="00D4309F">
        <w:rPr>
          <w:color w:val="211E1F"/>
          <w:spacing w:val="-2"/>
        </w:rPr>
        <w:t>system</w:t>
      </w:r>
    </w:p>
    <w:p w14:paraId="548BBE4A" w14:textId="77777777" w:rsidR="00725977" w:rsidRPr="00D4309F" w:rsidRDefault="00725977" w:rsidP="006C24AF">
      <w:pPr>
        <w:pStyle w:val="ListParagraph"/>
        <w:widowControl w:val="0"/>
        <w:numPr>
          <w:ilvl w:val="0"/>
          <w:numId w:val="12"/>
        </w:numPr>
        <w:tabs>
          <w:tab w:val="left" w:pos="501"/>
        </w:tabs>
        <w:autoSpaceDE w:val="0"/>
        <w:autoSpaceDN w:val="0"/>
        <w:spacing w:before="118" w:after="0" w:line="240" w:lineRule="auto"/>
        <w:contextualSpacing w:val="0"/>
      </w:pPr>
      <w:r w:rsidRPr="00D4309F">
        <w:rPr>
          <w:color w:val="211E1F"/>
        </w:rPr>
        <w:t>Option</w:t>
      </w:r>
      <w:r w:rsidRPr="00D4309F">
        <w:rPr>
          <w:color w:val="211E1F"/>
          <w:spacing w:val="-7"/>
        </w:rPr>
        <w:t xml:space="preserve"> </w:t>
      </w:r>
      <w:r w:rsidRPr="00D4309F">
        <w:rPr>
          <w:color w:val="211E1F"/>
        </w:rPr>
        <w:t>3C;</w:t>
      </w:r>
      <w:r w:rsidRPr="00D4309F">
        <w:rPr>
          <w:color w:val="211E1F"/>
          <w:spacing w:val="-4"/>
        </w:rPr>
        <w:t xml:space="preserve"> </w:t>
      </w:r>
      <w:r w:rsidRPr="00D4309F">
        <w:rPr>
          <w:color w:val="211E1F"/>
        </w:rPr>
        <w:t>Eastern</w:t>
      </w:r>
      <w:r w:rsidRPr="00D4309F">
        <w:rPr>
          <w:color w:val="211E1F"/>
          <w:spacing w:val="-5"/>
        </w:rPr>
        <w:t xml:space="preserve"> </w:t>
      </w:r>
      <w:r w:rsidRPr="00D4309F">
        <w:rPr>
          <w:color w:val="211E1F"/>
        </w:rPr>
        <w:t>Breakwater</w:t>
      </w:r>
      <w:r w:rsidRPr="00D4309F">
        <w:rPr>
          <w:color w:val="211E1F"/>
          <w:spacing w:val="-4"/>
        </w:rPr>
        <w:t xml:space="preserve"> </w:t>
      </w:r>
      <w:r w:rsidRPr="00D4309F">
        <w:rPr>
          <w:color w:val="211E1F"/>
        </w:rPr>
        <w:t>Extension</w:t>
      </w:r>
      <w:r w:rsidRPr="00D4309F">
        <w:rPr>
          <w:color w:val="211E1F"/>
          <w:spacing w:val="-4"/>
        </w:rPr>
        <w:t xml:space="preserve"> </w:t>
      </w:r>
      <w:r w:rsidRPr="00D4309F">
        <w:rPr>
          <w:color w:val="211E1F"/>
        </w:rPr>
        <w:t>-</w:t>
      </w:r>
      <w:r w:rsidRPr="00D4309F">
        <w:rPr>
          <w:color w:val="211E1F"/>
          <w:spacing w:val="-5"/>
        </w:rPr>
        <w:t xml:space="preserve"> </w:t>
      </w:r>
      <w:r w:rsidRPr="00D4309F">
        <w:rPr>
          <w:color w:val="211E1F"/>
        </w:rPr>
        <w:t>Crane-operated</w:t>
      </w:r>
      <w:r w:rsidRPr="00D4309F">
        <w:rPr>
          <w:color w:val="211E1F"/>
          <w:spacing w:val="-4"/>
        </w:rPr>
        <w:t xml:space="preserve"> </w:t>
      </w:r>
      <w:r w:rsidRPr="00D4309F">
        <w:rPr>
          <w:color w:val="211E1F"/>
        </w:rPr>
        <w:t>jet</w:t>
      </w:r>
      <w:r w:rsidRPr="00D4309F">
        <w:rPr>
          <w:color w:val="211E1F"/>
          <w:spacing w:val="-4"/>
        </w:rPr>
        <w:t xml:space="preserve"> pump</w:t>
      </w:r>
    </w:p>
    <w:p w14:paraId="10100FAD" w14:textId="77777777" w:rsidR="00725977" w:rsidRPr="00D4309F" w:rsidRDefault="00725977" w:rsidP="006C24AF">
      <w:pPr>
        <w:pStyle w:val="ListParagraph"/>
        <w:widowControl w:val="0"/>
        <w:numPr>
          <w:ilvl w:val="0"/>
          <w:numId w:val="12"/>
        </w:numPr>
        <w:tabs>
          <w:tab w:val="left" w:pos="500"/>
        </w:tabs>
        <w:autoSpaceDE w:val="0"/>
        <w:autoSpaceDN w:val="0"/>
        <w:spacing w:before="119" w:after="0" w:line="240" w:lineRule="auto"/>
        <w:ind w:left="500"/>
        <w:contextualSpacing w:val="0"/>
      </w:pPr>
      <w:r w:rsidRPr="00D4309F">
        <w:rPr>
          <w:color w:val="211E1F"/>
        </w:rPr>
        <w:t>Option</w:t>
      </w:r>
      <w:r w:rsidRPr="00D4309F">
        <w:rPr>
          <w:color w:val="211E1F"/>
          <w:spacing w:val="-4"/>
        </w:rPr>
        <w:t xml:space="preserve"> </w:t>
      </w:r>
      <w:r w:rsidRPr="00D4309F">
        <w:rPr>
          <w:color w:val="211E1F"/>
        </w:rPr>
        <w:t>4;</w:t>
      </w:r>
      <w:r w:rsidRPr="00D4309F">
        <w:rPr>
          <w:color w:val="211E1F"/>
          <w:spacing w:val="-4"/>
        </w:rPr>
        <w:t xml:space="preserve"> </w:t>
      </w:r>
      <w:r w:rsidRPr="00D4309F">
        <w:rPr>
          <w:color w:val="211E1F"/>
        </w:rPr>
        <w:t>Permanent</w:t>
      </w:r>
      <w:r w:rsidRPr="00D4309F">
        <w:rPr>
          <w:color w:val="211E1F"/>
          <w:spacing w:val="-4"/>
        </w:rPr>
        <w:t xml:space="preserve"> </w:t>
      </w:r>
      <w:r w:rsidRPr="00D4309F">
        <w:rPr>
          <w:color w:val="211E1F"/>
        </w:rPr>
        <w:t>Automated</w:t>
      </w:r>
      <w:r w:rsidRPr="00D4309F">
        <w:rPr>
          <w:color w:val="211E1F"/>
          <w:spacing w:val="-4"/>
        </w:rPr>
        <w:t xml:space="preserve"> </w:t>
      </w:r>
      <w:r w:rsidRPr="00D4309F">
        <w:rPr>
          <w:color w:val="211E1F"/>
        </w:rPr>
        <w:t>Sand</w:t>
      </w:r>
      <w:r w:rsidRPr="00D4309F">
        <w:rPr>
          <w:color w:val="211E1F"/>
          <w:spacing w:val="-5"/>
        </w:rPr>
        <w:t xml:space="preserve"> </w:t>
      </w:r>
      <w:r w:rsidRPr="00D4309F">
        <w:rPr>
          <w:color w:val="211E1F"/>
        </w:rPr>
        <w:t>Bypassing</w:t>
      </w:r>
      <w:r w:rsidRPr="00D4309F">
        <w:rPr>
          <w:color w:val="211E1F"/>
          <w:spacing w:val="-3"/>
        </w:rPr>
        <w:t xml:space="preserve"> </w:t>
      </w:r>
      <w:r w:rsidRPr="00D4309F">
        <w:rPr>
          <w:color w:val="211E1F"/>
          <w:spacing w:val="-2"/>
        </w:rPr>
        <w:t>System</w:t>
      </w:r>
    </w:p>
    <w:p w14:paraId="53361DD0" w14:textId="77777777" w:rsidR="00725977" w:rsidRPr="00D4309F" w:rsidRDefault="00725977" w:rsidP="006C24AF">
      <w:pPr>
        <w:pStyle w:val="ListParagraph"/>
        <w:widowControl w:val="0"/>
        <w:numPr>
          <w:ilvl w:val="0"/>
          <w:numId w:val="12"/>
        </w:numPr>
        <w:tabs>
          <w:tab w:val="left" w:pos="500"/>
        </w:tabs>
        <w:autoSpaceDE w:val="0"/>
        <w:autoSpaceDN w:val="0"/>
        <w:spacing w:before="118" w:after="0" w:line="240" w:lineRule="auto"/>
        <w:ind w:left="500"/>
        <w:contextualSpacing w:val="0"/>
      </w:pPr>
      <w:r w:rsidRPr="00D4309F">
        <w:rPr>
          <w:color w:val="211E1F"/>
        </w:rPr>
        <w:t>Option</w:t>
      </w:r>
      <w:r w:rsidRPr="00D4309F">
        <w:rPr>
          <w:color w:val="211E1F"/>
          <w:spacing w:val="-4"/>
        </w:rPr>
        <w:t xml:space="preserve"> </w:t>
      </w:r>
      <w:r w:rsidRPr="00D4309F">
        <w:rPr>
          <w:color w:val="211E1F"/>
        </w:rPr>
        <w:t>5A;</w:t>
      </w:r>
      <w:r w:rsidRPr="00D4309F">
        <w:rPr>
          <w:color w:val="211E1F"/>
          <w:spacing w:val="-3"/>
        </w:rPr>
        <w:t xml:space="preserve"> </w:t>
      </w:r>
      <w:r w:rsidRPr="00D4309F">
        <w:rPr>
          <w:color w:val="211E1F"/>
        </w:rPr>
        <w:t>Formalise Western Channel (No Structural Modification):</w:t>
      </w:r>
    </w:p>
    <w:p w14:paraId="6FFCE8BB" w14:textId="7898707C" w:rsidR="00725977" w:rsidRPr="00D4309F" w:rsidRDefault="00725977" w:rsidP="006C24AF">
      <w:pPr>
        <w:pStyle w:val="ListParagraph"/>
        <w:widowControl w:val="0"/>
        <w:numPr>
          <w:ilvl w:val="0"/>
          <w:numId w:val="12"/>
        </w:numPr>
        <w:tabs>
          <w:tab w:val="left" w:pos="500"/>
        </w:tabs>
        <w:autoSpaceDE w:val="0"/>
        <w:autoSpaceDN w:val="0"/>
        <w:spacing w:before="118" w:after="0" w:line="240" w:lineRule="auto"/>
        <w:ind w:left="500"/>
        <w:contextualSpacing w:val="0"/>
      </w:pPr>
      <w:r w:rsidRPr="00D4309F">
        <w:rPr>
          <w:color w:val="211E1F"/>
          <w:spacing w:val="-4"/>
        </w:rPr>
        <w:t>Option 5B; Shorten Western Entrance Wall + Formalise Western Channel (Structural Modification):</w:t>
      </w:r>
    </w:p>
    <w:p w14:paraId="4D16421E" w14:textId="18AC8BE6" w:rsidR="00725977" w:rsidRPr="00D4309F" w:rsidRDefault="00725977" w:rsidP="00151534">
      <w:pPr>
        <w:pStyle w:val="BodyText"/>
      </w:pPr>
      <w:bookmarkStart w:id="568" w:name="_bookmark207"/>
      <w:bookmarkEnd w:id="568"/>
    </w:p>
    <w:p w14:paraId="69F363BE" w14:textId="2F4E04B7" w:rsidR="00725977" w:rsidRPr="00D4309F" w:rsidRDefault="00151534" w:rsidP="007774EC">
      <w:pPr>
        <w:pStyle w:val="Table-Caption"/>
      </w:pPr>
      <w:bookmarkStart w:id="569" w:name="_Toc216699590"/>
      <w:r>
        <w:t xml:space="preserve">Table </w:t>
      </w:r>
      <w:r>
        <w:fldChar w:fldCharType="begin" w:fldLock="1"/>
      </w:r>
      <w:r>
        <w:instrText xml:space="preserve"> STYLEREF 1 \s </w:instrText>
      </w:r>
      <w:r>
        <w:fldChar w:fldCharType="separate"/>
      </w:r>
      <w:r>
        <w:rPr>
          <w:noProof/>
        </w:rPr>
        <w:t>18</w:t>
      </w:r>
      <w:r>
        <w:fldChar w:fldCharType="end"/>
      </w:r>
      <w:r>
        <w:noBreakHyphen/>
      </w:r>
      <w:r>
        <w:fldChar w:fldCharType="begin"/>
      </w:r>
      <w:r>
        <w:instrText xml:space="preserve"> SEQ Table \* ARABIC \s 1 </w:instrText>
      </w:r>
      <w:r>
        <w:fldChar w:fldCharType="separate"/>
      </w:r>
      <w:r w:rsidR="006D0876">
        <w:rPr>
          <w:noProof/>
        </w:rPr>
        <w:t>1</w:t>
      </w:r>
      <w:r>
        <w:fldChar w:fldCharType="end"/>
      </w:r>
      <w:r>
        <w:t>:</w:t>
      </w:r>
      <w:r>
        <w:tab/>
      </w:r>
      <w:r w:rsidRPr="00D4309F">
        <w:rPr>
          <w:color w:val="211E1F"/>
        </w:rPr>
        <w:t>MCA</w:t>
      </w:r>
      <w:r w:rsidRPr="00D4309F">
        <w:rPr>
          <w:color w:val="211E1F"/>
          <w:spacing w:val="-2"/>
        </w:rPr>
        <w:t xml:space="preserve"> </w:t>
      </w:r>
      <w:r w:rsidRPr="00D4309F">
        <w:rPr>
          <w:color w:val="211E1F"/>
        </w:rPr>
        <w:t>evaluation</w:t>
      </w:r>
      <w:r w:rsidRPr="00D4309F">
        <w:rPr>
          <w:color w:val="211E1F"/>
          <w:spacing w:val="-1"/>
        </w:rPr>
        <w:t xml:space="preserve"> </w:t>
      </w:r>
      <w:r w:rsidRPr="00D4309F">
        <w:rPr>
          <w:color w:val="211E1F"/>
        </w:rPr>
        <w:t>of</w:t>
      </w:r>
      <w:r w:rsidRPr="00D4309F">
        <w:rPr>
          <w:color w:val="211E1F"/>
          <w:spacing w:val="-2"/>
        </w:rPr>
        <w:t xml:space="preserve"> </w:t>
      </w:r>
      <w:r w:rsidRPr="00D4309F">
        <w:rPr>
          <w:color w:val="211E1F"/>
        </w:rPr>
        <w:t>long-term</w:t>
      </w:r>
      <w:r w:rsidRPr="00D4309F">
        <w:rPr>
          <w:color w:val="211E1F"/>
          <w:spacing w:val="-1"/>
        </w:rPr>
        <w:t xml:space="preserve"> </w:t>
      </w:r>
      <w:r w:rsidRPr="00D4309F">
        <w:rPr>
          <w:color w:val="211E1F"/>
          <w:spacing w:val="-2"/>
        </w:rPr>
        <w:t>options</w:t>
      </w:r>
      <w:bookmarkEnd w:id="569"/>
    </w:p>
    <w:tbl>
      <w:tblPr>
        <w:tblW w:w="0" w:type="auto"/>
        <w:tblInd w:w="119" w:type="dxa"/>
        <w:tblLayout w:type="fixed"/>
        <w:tblCellMar>
          <w:left w:w="0" w:type="dxa"/>
          <w:right w:w="0" w:type="dxa"/>
        </w:tblCellMar>
        <w:tblLook w:val="01E0" w:firstRow="1" w:lastRow="1" w:firstColumn="1" w:lastColumn="1" w:noHBand="0" w:noVBand="0"/>
      </w:tblPr>
      <w:tblGrid>
        <w:gridCol w:w="1158"/>
        <w:gridCol w:w="1596"/>
        <w:gridCol w:w="1187"/>
        <w:gridCol w:w="1469"/>
        <w:gridCol w:w="1649"/>
        <w:gridCol w:w="1215"/>
        <w:gridCol w:w="1417"/>
      </w:tblGrid>
      <w:tr w:rsidR="00725977" w:rsidRPr="00D4309F" w14:paraId="258EA9E1" w14:textId="77777777">
        <w:trPr>
          <w:trHeight w:val="492"/>
        </w:trPr>
        <w:tc>
          <w:tcPr>
            <w:tcW w:w="1158" w:type="dxa"/>
            <w:tcBorders>
              <w:bottom w:val="single" w:sz="4" w:space="0" w:color="000000"/>
            </w:tcBorders>
            <w:shd w:val="clear" w:color="auto" w:fill="D6D7D5"/>
          </w:tcPr>
          <w:p w14:paraId="394670FA" w14:textId="77777777" w:rsidR="00725977" w:rsidRPr="00D4309F" w:rsidRDefault="00725977">
            <w:pPr>
              <w:pStyle w:val="TableParagraph"/>
              <w:spacing w:before="40"/>
              <w:ind w:left="195"/>
              <w:rPr>
                <w:b/>
                <w:sz w:val="18"/>
              </w:rPr>
            </w:pPr>
            <w:r w:rsidRPr="00D4309F">
              <w:rPr>
                <w:b/>
                <w:color w:val="70004A"/>
                <w:spacing w:val="-2"/>
                <w:sz w:val="18"/>
              </w:rPr>
              <w:t>Options</w:t>
            </w:r>
          </w:p>
        </w:tc>
        <w:tc>
          <w:tcPr>
            <w:tcW w:w="1596" w:type="dxa"/>
            <w:tcBorders>
              <w:bottom w:val="single" w:sz="4" w:space="0" w:color="000000"/>
            </w:tcBorders>
            <w:shd w:val="clear" w:color="auto" w:fill="D6D7D5"/>
          </w:tcPr>
          <w:p w14:paraId="5E68F173" w14:textId="77777777" w:rsidR="00725977" w:rsidRPr="00D4309F" w:rsidRDefault="00725977">
            <w:pPr>
              <w:pStyle w:val="TableParagraph"/>
              <w:spacing w:before="38"/>
              <w:ind w:left="282"/>
              <w:rPr>
                <w:b/>
                <w:sz w:val="18"/>
              </w:rPr>
            </w:pPr>
            <w:r w:rsidRPr="00D4309F">
              <w:rPr>
                <w:b/>
                <w:color w:val="70004A"/>
                <w:spacing w:val="-2"/>
                <w:sz w:val="18"/>
              </w:rPr>
              <w:t>Coastal Engineering</w:t>
            </w:r>
          </w:p>
        </w:tc>
        <w:tc>
          <w:tcPr>
            <w:tcW w:w="1187" w:type="dxa"/>
            <w:tcBorders>
              <w:bottom w:val="single" w:sz="4" w:space="0" w:color="000000"/>
            </w:tcBorders>
            <w:shd w:val="clear" w:color="auto" w:fill="D6D7D5"/>
          </w:tcPr>
          <w:p w14:paraId="7B039F51" w14:textId="77777777" w:rsidR="00725977" w:rsidRPr="00D4309F" w:rsidRDefault="00725977">
            <w:pPr>
              <w:pStyle w:val="TableParagraph"/>
              <w:spacing w:before="40"/>
              <w:ind w:left="274"/>
              <w:rPr>
                <w:b/>
                <w:sz w:val="18"/>
              </w:rPr>
            </w:pPr>
            <w:r w:rsidRPr="00D4309F">
              <w:rPr>
                <w:b/>
                <w:color w:val="70004A"/>
                <w:spacing w:val="-2"/>
                <w:sz w:val="18"/>
              </w:rPr>
              <w:t>Safety</w:t>
            </w:r>
          </w:p>
        </w:tc>
        <w:tc>
          <w:tcPr>
            <w:tcW w:w="1469" w:type="dxa"/>
            <w:tcBorders>
              <w:bottom w:val="single" w:sz="4" w:space="0" w:color="000000"/>
            </w:tcBorders>
            <w:shd w:val="clear" w:color="auto" w:fill="D6D7D5"/>
          </w:tcPr>
          <w:p w14:paraId="5503DEC2" w14:textId="77777777" w:rsidR="00725977" w:rsidRPr="00D4309F" w:rsidRDefault="00725977">
            <w:pPr>
              <w:pStyle w:val="TableParagraph"/>
              <w:spacing w:before="38"/>
              <w:ind w:left="376" w:right="228"/>
              <w:rPr>
                <w:b/>
                <w:sz w:val="18"/>
              </w:rPr>
            </w:pPr>
            <w:r w:rsidRPr="00D4309F">
              <w:rPr>
                <w:b/>
                <w:color w:val="70004A"/>
                <w:sz w:val="18"/>
              </w:rPr>
              <w:t xml:space="preserve">Social &amp; </w:t>
            </w:r>
            <w:r w:rsidRPr="00D4309F">
              <w:rPr>
                <w:b/>
                <w:color w:val="70004A"/>
                <w:spacing w:val="-2"/>
                <w:sz w:val="18"/>
              </w:rPr>
              <w:t>Economic</w:t>
            </w:r>
          </w:p>
        </w:tc>
        <w:tc>
          <w:tcPr>
            <w:tcW w:w="1649" w:type="dxa"/>
            <w:tcBorders>
              <w:bottom w:val="single" w:sz="4" w:space="0" w:color="000000"/>
            </w:tcBorders>
            <w:shd w:val="clear" w:color="auto" w:fill="D6D7D5"/>
          </w:tcPr>
          <w:p w14:paraId="1085ADE4" w14:textId="77777777" w:rsidR="00725977" w:rsidRPr="00D4309F" w:rsidRDefault="00725977">
            <w:pPr>
              <w:pStyle w:val="TableParagraph"/>
              <w:spacing w:before="40"/>
              <w:ind w:left="237"/>
              <w:rPr>
                <w:b/>
                <w:sz w:val="18"/>
              </w:rPr>
            </w:pPr>
            <w:r w:rsidRPr="00D4309F">
              <w:rPr>
                <w:b/>
                <w:color w:val="70004A"/>
                <w:spacing w:val="-2"/>
                <w:sz w:val="18"/>
              </w:rPr>
              <w:t>Environmental</w:t>
            </w:r>
          </w:p>
        </w:tc>
        <w:tc>
          <w:tcPr>
            <w:tcW w:w="1215" w:type="dxa"/>
            <w:tcBorders>
              <w:bottom w:val="single" w:sz="4" w:space="0" w:color="000000"/>
            </w:tcBorders>
            <w:shd w:val="clear" w:color="auto" w:fill="D6D7D5"/>
          </w:tcPr>
          <w:p w14:paraId="736CCF81" w14:textId="77777777" w:rsidR="00725977" w:rsidRPr="00D4309F" w:rsidRDefault="00725977">
            <w:pPr>
              <w:pStyle w:val="TableParagraph"/>
              <w:spacing w:before="40"/>
              <w:ind w:left="169"/>
              <w:rPr>
                <w:b/>
                <w:sz w:val="18"/>
              </w:rPr>
            </w:pPr>
            <w:r w:rsidRPr="00D4309F">
              <w:rPr>
                <w:b/>
                <w:color w:val="70004A"/>
                <w:spacing w:val="-2"/>
                <w:sz w:val="18"/>
              </w:rPr>
              <w:t>Financial</w:t>
            </w:r>
          </w:p>
        </w:tc>
        <w:tc>
          <w:tcPr>
            <w:tcW w:w="1417" w:type="dxa"/>
            <w:tcBorders>
              <w:bottom w:val="single" w:sz="4" w:space="0" w:color="000000"/>
            </w:tcBorders>
            <w:shd w:val="clear" w:color="auto" w:fill="D6D7D5"/>
          </w:tcPr>
          <w:p w14:paraId="3061733D" w14:textId="77777777" w:rsidR="00725977" w:rsidRPr="00D4309F" w:rsidRDefault="00725977">
            <w:pPr>
              <w:pStyle w:val="TableParagraph"/>
              <w:spacing w:before="38"/>
              <w:ind w:left="276" w:right="630"/>
              <w:rPr>
                <w:b/>
                <w:sz w:val="18"/>
              </w:rPr>
            </w:pPr>
            <w:r w:rsidRPr="00D4309F">
              <w:rPr>
                <w:b/>
                <w:color w:val="70004A"/>
                <w:spacing w:val="-2"/>
                <w:sz w:val="18"/>
              </w:rPr>
              <w:t>Total Score</w:t>
            </w:r>
          </w:p>
        </w:tc>
      </w:tr>
      <w:tr w:rsidR="00725977" w:rsidRPr="00D4309F" w14:paraId="435F4347" w14:textId="77777777">
        <w:trPr>
          <w:trHeight w:val="287"/>
        </w:trPr>
        <w:tc>
          <w:tcPr>
            <w:tcW w:w="1158" w:type="dxa"/>
            <w:tcBorders>
              <w:top w:val="single" w:sz="4" w:space="0" w:color="000000"/>
              <w:bottom w:val="single" w:sz="4" w:space="0" w:color="000000"/>
            </w:tcBorders>
          </w:tcPr>
          <w:p w14:paraId="6D17D17C" w14:textId="77777777" w:rsidR="00725977" w:rsidRPr="00D4309F" w:rsidRDefault="00725977">
            <w:pPr>
              <w:pStyle w:val="TableParagraph"/>
              <w:spacing w:before="41"/>
              <w:ind w:left="195"/>
              <w:rPr>
                <w:sz w:val="18"/>
              </w:rPr>
            </w:pPr>
            <w:r w:rsidRPr="00D4309F">
              <w:rPr>
                <w:color w:val="211E1F"/>
                <w:spacing w:val="-5"/>
                <w:sz w:val="18"/>
              </w:rPr>
              <w:t>1A</w:t>
            </w:r>
          </w:p>
        </w:tc>
        <w:tc>
          <w:tcPr>
            <w:tcW w:w="1596" w:type="dxa"/>
            <w:tcBorders>
              <w:top w:val="single" w:sz="4" w:space="0" w:color="000000"/>
              <w:bottom w:val="single" w:sz="4" w:space="0" w:color="000000"/>
            </w:tcBorders>
          </w:tcPr>
          <w:p w14:paraId="45CC7D74" w14:textId="77777777" w:rsidR="00725977" w:rsidRPr="00D4309F" w:rsidRDefault="00725977">
            <w:pPr>
              <w:pStyle w:val="TableParagraph"/>
              <w:spacing w:before="41"/>
              <w:ind w:left="281"/>
              <w:rPr>
                <w:sz w:val="18"/>
              </w:rPr>
            </w:pPr>
            <w:r w:rsidRPr="00D4309F">
              <w:rPr>
                <w:color w:val="211E1F"/>
                <w:spacing w:val="-5"/>
                <w:sz w:val="18"/>
              </w:rPr>
              <w:t>19</w:t>
            </w:r>
          </w:p>
        </w:tc>
        <w:tc>
          <w:tcPr>
            <w:tcW w:w="1187" w:type="dxa"/>
            <w:tcBorders>
              <w:top w:val="single" w:sz="4" w:space="0" w:color="000000"/>
              <w:bottom w:val="single" w:sz="4" w:space="0" w:color="000000"/>
            </w:tcBorders>
          </w:tcPr>
          <w:p w14:paraId="50F5AB46" w14:textId="77777777" w:rsidR="00725977" w:rsidRPr="00D4309F" w:rsidRDefault="00725977">
            <w:pPr>
              <w:pStyle w:val="TableParagraph"/>
              <w:spacing w:before="41"/>
              <w:ind w:left="274"/>
              <w:rPr>
                <w:sz w:val="18"/>
              </w:rPr>
            </w:pPr>
            <w:r w:rsidRPr="00D4309F">
              <w:rPr>
                <w:color w:val="211E1F"/>
                <w:spacing w:val="-10"/>
                <w:sz w:val="18"/>
              </w:rPr>
              <w:t>9</w:t>
            </w:r>
          </w:p>
        </w:tc>
        <w:tc>
          <w:tcPr>
            <w:tcW w:w="1469" w:type="dxa"/>
            <w:tcBorders>
              <w:top w:val="single" w:sz="4" w:space="0" w:color="000000"/>
              <w:bottom w:val="single" w:sz="4" w:space="0" w:color="000000"/>
            </w:tcBorders>
          </w:tcPr>
          <w:p w14:paraId="7BB877FD" w14:textId="77777777" w:rsidR="00725977" w:rsidRPr="00D4309F" w:rsidRDefault="00725977">
            <w:pPr>
              <w:pStyle w:val="TableParagraph"/>
              <w:spacing w:before="41"/>
              <w:ind w:left="376"/>
              <w:rPr>
                <w:sz w:val="18"/>
              </w:rPr>
            </w:pPr>
            <w:r w:rsidRPr="00D4309F">
              <w:rPr>
                <w:color w:val="211E1F"/>
                <w:spacing w:val="-5"/>
                <w:sz w:val="18"/>
              </w:rPr>
              <w:t>32</w:t>
            </w:r>
          </w:p>
        </w:tc>
        <w:tc>
          <w:tcPr>
            <w:tcW w:w="1649" w:type="dxa"/>
            <w:tcBorders>
              <w:top w:val="single" w:sz="4" w:space="0" w:color="000000"/>
              <w:bottom w:val="single" w:sz="4" w:space="0" w:color="000000"/>
            </w:tcBorders>
          </w:tcPr>
          <w:p w14:paraId="6EE023C3" w14:textId="77777777" w:rsidR="00725977" w:rsidRPr="00D4309F" w:rsidRDefault="00725977">
            <w:pPr>
              <w:pStyle w:val="TableParagraph"/>
              <w:spacing w:before="41"/>
              <w:ind w:left="236"/>
              <w:rPr>
                <w:sz w:val="18"/>
              </w:rPr>
            </w:pPr>
            <w:r w:rsidRPr="00D4309F">
              <w:rPr>
                <w:color w:val="211E1F"/>
                <w:spacing w:val="-10"/>
                <w:sz w:val="18"/>
              </w:rPr>
              <w:t>9</w:t>
            </w:r>
          </w:p>
        </w:tc>
        <w:tc>
          <w:tcPr>
            <w:tcW w:w="1215" w:type="dxa"/>
            <w:tcBorders>
              <w:top w:val="single" w:sz="4" w:space="0" w:color="000000"/>
              <w:bottom w:val="single" w:sz="4" w:space="0" w:color="000000"/>
            </w:tcBorders>
          </w:tcPr>
          <w:p w14:paraId="27C8DD9D" w14:textId="77777777" w:rsidR="00725977" w:rsidRPr="00D4309F" w:rsidRDefault="00725977">
            <w:pPr>
              <w:pStyle w:val="TableParagraph"/>
              <w:spacing w:before="41"/>
              <w:ind w:left="169"/>
              <w:rPr>
                <w:sz w:val="18"/>
              </w:rPr>
            </w:pPr>
            <w:r w:rsidRPr="00D4309F">
              <w:rPr>
                <w:color w:val="211E1F"/>
                <w:spacing w:val="-10"/>
                <w:sz w:val="18"/>
              </w:rPr>
              <w:t>6</w:t>
            </w:r>
          </w:p>
        </w:tc>
        <w:tc>
          <w:tcPr>
            <w:tcW w:w="1417" w:type="dxa"/>
            <w:tcBorders>
              <w:top w:val="single" w:sz="4" w:space="0" w:color="000000"/>
              <w:bottom w:val="single" w:sz="4" w:space="0" w:color="000000"/>
            </w:tcBorders>
          </w:tcPr>
          <w:p w14:paraId="5FEA878E" w14:textId="77777777" w:rsidR="00725977" w:rsidRPr="00D4309F" w:rsidRDefault="00725977">
            <w:pPr>
              <w:pStyle w:val="TableParagraph"/>
              <w:spacing w:before="41"/>
              <w:ind w:left="276"/>
              <w:rPr>
                <w:b/>
                <w:sz w:val="18"/>
              </w:rPr>
            </w:pPr>
            <w:r w:rsidRPr="00D4309F">
              <w:rPr>
                <w:b/>
                <w:color w:val="211E1F"/>
                <w:spacing w:val="-5"/>
                <w:sz w:val="18"/>
              </w:rPr>
              <w:t>75</w:t>
            </w:r>
          </w:p>
        </w:tc>
      </w:tr>
      <w:tr w:rsidR="00725977" w:rsidRPr="00D4309F" w14:paraId="45F47550" w14:textId="77777777">
        <w:trPr>
          <w:trHeight w:val="286"/>
        </w:trPr>
        <w:tc>
          <w:tcPr>
            <w:tcW w:w="1158" w:type="dxa"/>
            <w:tcBorders>
              <w:top w:val="single" w:sz="4" w:space="0" w:color="000000"/>
              <w:bottom w:val="single" w:sz="4" w:space="0" w:color="000000"/>
            </w:tcBorders>
          </w:tcPr>
          <w:p w14:paraId="38A4DBD3" w14:textId="77777777" w:rsidR="00725977" w:rsidRPr="00D4309F" w:rsidRDefault="00725977">
            <w:pPr>
              <w:pStyle w:val="TableParagraph"/>
              <w:spacing w:before="39"/>
              <w:ind w:left="195"/>
              <w:rPr>
                <w:sz w:val="18"/>
              </w:rPr>
            </w:pPr>
            <w:r w:rsidRPr="00D4309F">
              <w:rPr>
                <w:color w:val="211E1F"/>
                <w:spacing w:val="-5"/>
                <w:sz w:val="18"/>
              </w:rPr>
              <w:t>1B</w:t>
            </w:r>
          </w:p>
        </w:tc>
        <w:tc>
          <w:tcPr>
            <w:tcW w:w="1596" w:type="dxa"/>
            <w:tcBorders>
              <w:top w:val="single" w:sz="4" w:space="0" w:color="000000"/>
              <w:bottom w:val="single" w:sz="4" w:space="0" w:color="000000"/>
            </w:tcBorders>
          </w:tcPr>
          <w:p w14:paraId="2792101C" w14:textId="77777777" w:rsidR="00725977" w:rsidRPr="00D4309F" w:rsidRDefault="00725977">
            <w:pPr>
              <w:pStyle w:val="TableParagraph"/>
              <w:spacing w:before="39"/>
              <w:ind w:left="281"/>
              <w:rPr>
                <w:sz w:val="18"/>
              </w:rPr>
            </w:pPr>
            <w:r w:rsidRPr="00D4309F">
              <w:rPr>
                <w:color w:val="211E1F"/>
                <w:spacing w:val="-5"/>
                <w:sz w:val="18"/>
              </w:rPr>
              <w:t>16</w:t>
            </w:r>
          </w:p>
        </w:tc>
        <w:tc>
          <w:tcPr>
            <w:tcW w:w="1187" w:type="dxa"/>
            <w:tcBorders>
              <w:top w:val="single" w:sz="4" w:space="0" w:color="000000"/>
              <w:bottom w:val="single" w:sz="4" w:space="0" w:color="000000"/>
            </w:tcBorders>
          </w:tcPr>
          <w:p w14:paraId="2980CF93" w14:textId="77777777" w:rsidR="00725977" w:rsidRPr="00D4309F" w:rsidRDefault="00725977">
            <w:pPr>
              <w:pStyle w:val="TableParagraph"/>
              <w:spacing w:before="39"/>
              <w:ind w:left="274"/>
              <w:rPr>
                <w:sz w:val="18"/>
              </w:rPr>
            </w:pPr>
            <w:r w:rsidRPr="00D4309F">
              <w:rPr>
                <w:color w:val="211E1F"/>
                <w:spacing w:val="-10"/>
                <w:sz w:val="18"/>
              </w:rPr>
              <w:t>9</w:t>
            </w:r>
          </w:p>
        </w:tc>
        <w:tc>
          <w:tcPr>
            <w:tcW w:w="1469" w:type="dxa"/>
            <w:tcBorders>
              <w:top w:val="single" w:sz="4" w:space="0" w:color="000000"/>
              <w:bottom w:val="single" w:sz="4" w:space="0" w:color="000000"/>
            </w:tcBorders>
          </w:tcPr>
          <w:p w14:paraId="4DA8063B" w14:textId="77777777" w:rsidR="00725977" w:rsidRPr="00D4309F" w:rsidRDefault="00725977">
            <w:pPr>
              <w:pStyle w:val="TableParagraph"/>
              <w:spacing w:before="39"/>
              <w:ind w:left="376"/>
              <w:rPr>
                <w:sz w:val="18"/>
              </w:rPr>
            </w:pPr>
            <w:r w:rsidRPr="00D4309F">
              <w:rPr>
                <w:color w:val="211E1F"/>
                <w:spacing w:val="-5"/>
                <w:sz w:val="18"/>
              </w:rPr>
              <w:t>21</w:t>
            </w:r>
          </w:p>
        </w:tc>
        <w:tc>
          <w:tcPr>
            <w:tcW w:w="1649" w:type="dxa"/>
            <w:tcBorders>
              <w:top w:val="single" w:sz="4" w:space="0" w:color="000000"/>
              <w:bottom w:val="single" w:sz="4" w:space="0" w:color="000000"/>
            </w:tcBorders>
          </w:tcPr>
          <w:p w14:paraId="4203D861" w14:textId="77777777" w:rsidR="00725977" w:rsidRPr="00D4309F" w:rsidRDefault="00725977">
            <w:pPr>
              <w:pStyle w:val="TableParagraph"/>
              <w:spacing w:before="39"/>
              <w:ind w:left="236"/>
              <w:rPr>
                <w:sz w:val="18"/>
              </w:rPr>
            </w:pPr>
            <w:r w:rsidRPr="00D4309F">
              <w:rPr>
                <w:color w:val="211E1F"/>
                <w:spacing w:val="-10"/>
                <w:sz w:val="18"/>
              </w:rPr>
              <w:t>6</w:t>
            </w:r>
          </w:p>
        </w:tc>
        <w:tc>
          <w:tcPr>
            <w:tcW w:w="1215" w:type="dxa"/>
            <w:tcBorders>
              <w:top w:val="single" w:sz="4" w:space="0" w:color="000000"/>
              <w:bottom w:val="single" w:sz="4" w:space="0" w:color="000000"/>
            </w:tcBorders>
          </w:tcPr>
          <w:p w14:paraId="2890DE00" w14:textId="77777777" w:rsidR="00725977" w:rsidRPr="00D4309F" w:rsidRDefault="00725977">
            <w:pPr>
              <w:pStyle w:val="TableParagraph"/>
              <w:spacing w:before="39"/>
              <w:ind w:left="169"/>
              <w:rPr>
                <w:sz w:val="18"/>
              </w:rPr>
            </w:pPr>
            <w:r w:rsidRPr="00D4309F">
              <w:rPr>
                <w:color w:val="211E1F"/>
                <w:spacing w:val="-10"/>
                <w:sz w:val="18"/>
              </w:rPr>
              <w:t>5</w:t>
            </w:r>
          </w:p>
        </w:tc>
        <w:tc>
          <w:tcPr>
            <w:tcW w:w="1417" w:type="dxa"/>
            <w:tcBorders>
              <w:top w:val="single" w:sz="4" w:space="0" w:color="000000"/>
              <w:bottom w:val="single" w:sz="4" w:space="0" w:color="000000"/>
            </w:tcBorders>
          </w:tcPr>
          <w:p w14:paraId="58A17AE4" w14:textId="77777777" w:rsidR="00725977" w:rsidRPr="00D4309F" w:rsidRDefault="00725977">
            <w:pPr>
              <w:pStyle w:val="TableParagraph"/>
              <w:spacing w:before="39"/>
              <w:ind w:left="275"/>
              <w:rPr>
                <w:b/>
                <w:sz w:val="18"/>
              </w:rPr>
            </w:pPr>
            <w:r w:rsidRPr="00D4309F">
              <w:rPr>
                <w:b/>
                <w:color w:val="211E1F"/>
                <w:spacing w:val="-5"/>
                <w:sz w:val="18"/>
              </w:rPr>
              <w:t>57</w:t>
            </w:r>
          </w:p>
        </w:tc>
      </w:tr>
      <w:tr w:rsidR="00725977" w:rsidRPr="00D4309F" w14:paraId="58B3B15A" w14:textId="77777777">
        <w:trPr>
          <w:trHeight w:val="287"/>
        </w:trPr>
        <w:tc>
          <w:tcPr>
            <w:tcW w:w="1158" w:type="dxa"/>
            <w:tcBorders>
              <w:top w:val="single" w:sz="4" w:space="0" w:color="000000"/>
              <w:bottom w:val="single" w:sz="4" w:space="0" w:color="000000"/>
            </w:tcBorders>
          </w:tcPr>
          <w:p w14:paraId="4E455AE6" w14:textId="77777777" w:rsidR="00725977" w:rsidRPr="00D4309F" w:rsidRDefault="00725977">
            <w:pPr>
              <w:pStyle w:val="TableParagraph"/>
              <w:spacing w:before="39"/>
              <w:ind w:left="195"/>
              <w:rPr>
                <w:sz w:val="18"/>
              </w:rPr>
            </w:pPr>
            <w:r w:rsidRPr="00D4309F">
              <w:rPr>
                <w:color w:val="211E1F"/>
                <w:spacing w:val="-5"/>
                <w:sz w:val="18"/>
              </w:rPr>
              <w:t>2A</w:t>
            </w:r>
          </w:p>
        </w:tc>
        <w:tc>
          <w:tcPr>
            <w:tcW w:w="1596" w:type="dxa"/>
            <w:tcBorders>
              <w:top w:val="single" w:sz="4" w:space="0" w:color="000000"/>
              <w:bottom w:val="single" w:sz="4" w:space="0" w:color="000000"/>
            </w:tcBorders>
          </w:tcPr>
          <w:p w14:paraId="55BD056A" w14:textId="77777777" w:rsidR="00725977" w:rsidRPr="00D4309F" w:rsidRDefault="00725977">
            <w:pPr>
              <w:pStyle w:val="TableParagraph"/>
              <w:spacing w:before="39"/>
              <w:ind w:left="281"/>
              <w:rPr>
                <w:sz w:val="18"/>
              </w:rPr>
            </w:pPr>
            <w:r w:rsidRPr="00D4309F">
              <w:rPr>
                <w:color w:val="211E1F"/>
                <w:spacing w:val="-5"/>
                <w:sz w:val="18"/>
              </w:rPr>
              <w:t>17</w:t>
            </w:r>
          </w:p>
        </w:tc>
        <w:tc>
          <w:tcPr>
            <w:tcW w:w="1187" w:type="dxa"/>
            <w:tcBorders>
              <w:top w:val="single" w:sz="4" w:space="0" w:color="000000"/>
              <w:bottom w:val="single" w:sz="4" w:space="0" w:color="000000"/>
            </w:tcBorders>
          </w:tcPr>
          <w:p w14:paraId="4F85A7DF" w14:textId="77777777" w:rsidR="00725977" w:rsidRPr="00D4309F" w:rsidRDefault="00725977">
            <w:pPr>
              <w:pStyle w:val="TableParagraph"/>
              <w:spacing w:before="39"/>
              <w:ind w:left="274"/>
              <w:rPr>
                <w:sz w:val="18"/>
              </w:rPr>
            </w:pPr>
            <w:r w:rsidRPr="00D4309F">
              <w:rPr>
                <w:color w:val="211E1F"/>
                <w:spacing w:val="-5"/>
                <w:sz w:val="18"/>
              </w:rPr>
              <w:t>11</w:t>
            </w:r>
          </w:p>
        </w:tc>
        <w:tc>
          <w:tcPr>
            <w:tcW w:w="1469" w:type="dxa"/>
            <w:tcBorders>
              <w:top w:val="single" w:sz="4" w:space="0" w:color="000000"/>
              <w:bottom w:val="single" w:sz="4" w:space="0" w:color="000000"/>
            </w:tcBorders>
          </w:tcPr>
          <w:p w14:paraId="5585F339" w14:textId="77777777" w:rsidR="00725977" w:rsidRPr="00D4309F" w:rsidRDefault="00725977">
            <w:pPr>
              <w:pStyle w:val="TableParagraph"/>
              <w:spacing w:before="39"/>
              <w:ind w:left="376"/>
              <w:rPr>
                <w:sz w:val="18"/>
              </w:rPr>
            </w:pPr>
            <w:r w:rsidRPr="00D4309F">
              <w:rPr>
                <w:color w:val="211E1F"/>
                <w:spacing w:val="-5"/>
                <w:sz w:val="18"/>
              </w:rPr>
              <w:t>30</w:t>
            </w:r>
          </w:p>
        </w:tc>
        <w:tc>
          <w:tcPr>
            <w:tcW w:w="1649" w:type="dxa"/>
            <w:tcBorders>
              <w:top w:val="single" w:sz="4" w:space="0" w:color="000000"/>
              <w:bottom w:val="single" w:sz="4" w:space="0" w:color="000000"/>
            </w:tcBorders>
          </w:tcPr>
          <w:p w14:paraId="0ED0AA0D" w14:textId="77777777" w:rsidR="00725977" w:rsidRPr="00D4309F" w:rsidRDefault="00725977">
            <w:pPr>
              <w:pStyle w:val="TableParagraph"/>
              <w:spacing w:before="39"/>
              <w:ind w:left="236"/>
              <w:rPr>
                <w:sz w:val="18"/>
              </w:rPr>
            </w:pPr>
            <w:r w:rsidRPr="00D4309F">
              <w:rPr>
                <w:color w:val="211E1F"/>
                <w:spacing w:val="-10"/>
                <w:sz w:val="18"/>
              </w:rPr>
              <w:t>5</w:t>
            </w:r>
          </w:p>
        </w:tc>
        <w:tc>
          <w:tcPr>
            <w:tcW w:w="1215" w:type="dxa"/>
            <w:tcBorders>
              <w:top w:val="single" w:sz="4" w:space="0" w:color="000000"/>
              <w:bottom w:val="single" w:sz="4" w:space="0" w:color="000000"/>
            </w:tcBorders>
          </w:tcPr>
          <w:p w14:paraId="76186E1D" w14:textId="77777777" w:rsidR="00725977" w:rsidRPr="00D4309F" w:rsidRDefault="00725977">
            <w:pPr>
              <w:pStyle w:val="TableParagraph"/>
              <w:spacing w:before="39"/>
              <w:ind w:left="169"/>
              <w:rPr>
                <w:sz w:val="18"/>
              </w:rPr>
            </w:pPr>
            <w:r w:rsidRPr="00D4309F">
              <w:rPr>
                <w:color w:val="211E1F"/>
                <w:spacing w:val="-10"/>
                <w:sz w:val="18"/>
              </w:rPr>
              <w:t>7</w:t>
            </w:r>
          </w:p>
        </w:tc>
        <w:tc>
          <w:tcPr>
            <w:tcW w:w="1417" w:type="dxa"/>
            <w:tcBorders>
              <w:top w:val="single" w:sz="4" w:space="0" w:color="000000"/>
              <w:bottom w:val="single" w:sz="4" w:space="0" w:color="000000"/>
            </w:tcBorders>
          </w:tcPr>
          <w:p w14:paraId="224553FC" w14:textId="77777777" w:rsidR="00725977" w:rsidRPr="00D4309F" w:rsidRDefault="00725977">
            <w:pPr>
              <w:pStyle w:val="TableParagraph"/>
              <w:spacing w:before="39"/>
              <w:ind w:left="275"/>
              <w:rPr>
                <w:b/>
                <w:sz w:val="18"/>
              </w:rPr>
            </w:pPr>
            <w:r w:rsidRPr="00D4309F">
              <w:rPr>
                <w:b/>
                <w:color w:val="211E1F"/>
                <w:spacing w:val="-5"/>
                <w:sz w:val="18"/>
              </w:rPr>
              <w:t>70</w:t>
            </w:r>
          </w:p>
        </w:tc>
      </w:tr>
      <w:tr w:rsidR="00725977" w:rsidRPr="00D4309F" w14:paraId="722C857E" w14:textId="77777777">
        <w:trPr>
          <w:trHeight w:val="286"/>
        </w:trPr>
        <w:tc>
          <w:tcPr>
            <w:tcW w:w="1158" w:type="dxa"/>
            <w:tcBorders>
              <w:top w:val="single" w:sz="4" w:space="0" w:color="000000"/>
              <w:bottom w:val="single" w:sz="4" w:space="0" w:color="000000"/>
            </w:tcBorders>
          </w:tcPr>
          <w:p w14:paraId="00A7BC7D" w14:textId="77777777" w:rsidR="00725977" w:rsidRPr="00D4309F" w:rsidRDefault="00725977">
            <w:pPr>
              <w:pStyle w:val="TableParagraph"/>
              <w:spacing w:before="39"/>
              <w:ind w:left="195"/>
              <w:rPr>
                <w:sz w:val="18"/>
              </w:rPr>
            </w:pPr>
            <w:r w:rsidRPr="00D4309F">
              <w:rPr>
                <w:color w:val="211E1F"/>
                <w:spacing w:val="-5"/>
                <w:sz w:val="18"/>
              </w:rPr>
              <w:t>2B</w:t>
            </w:r>
          </w:p>
        </w:tc>
        <w:tc>
          <w:tcPr>
            <w:tcW w:w="1596" w:type="dxa"/>
            <w:tcBorders>
              <w:top w:val="single" w:sz="4" w:space="0" w:color="000000"/>
              <w:bottom w:val="single" w:sz="4" w:space="0" w:color="000000"/>
            </w:tcBorders>
          </w:tcPr>
          <w:p w14:paraId="3DF6C560" w14:textId="77777777" w:rsidR="00725977" w:rsidRPr="00D4309F" w:rsidRDefault="00725977">
            <w:pPr>
              <w:pStyle w:val="TableParagraph"/>
              <w:spacing w:before="39"/>
              <w:ind w:left="281"/>
              <w:rPr>
                <w:sz w:val="18"/>
              </w:rPr>
            </w:pPr>
            <w:r w:rsidRPr="00D4309F">
              <w:rPr>
                <w:color w:val="211E1F"/>
                <w:spacing w:val="-5"/>
                <w:sz w:val="18"/>
              </w:rPr>
              <w:t>17</w:t>
            </w:r>
          </w:p>
        </w:tc>
        <w:tc>
          <w:tcPr>
            <w:tcW w:w="1187" w:type="dxa"/>
            <w:tcBorders>
              <w:top w:val="single" w:sz="4" w:space="0" w:color="000000"/>
              <w:bottom w:val="single" w:sz="4" w:space="0" w:color="000000"/>
            </w:tcBorders>
          </w:tcPr>
          <w:p w14:paraId="3EFED608" w14:textId="77777777" w:rsidR="00725977" w:rsidRPr="00D4309F" w:rsidRDefault="00725977">
            <w:pPr>
              <w:pStyle w:val="TableParagraph"/>
              <w:spacing w:before="39"/>
              <w:ind w:left="274"/>
              <w:rPr>
                <w:sz w:val="18"/>
              </w:rPr>
            </w:pPr>
            <w:r w:rsidRPr="00D4309F">
              <w:rPr>
                <w:color w:val="211E1F"/>
                <w:spacing w:val="-5"/>
                <w:sz w:val="18"/>
              </w:rPr>
              <w:t>11</w:t>
            </w:r>
          </w:p>
        </w:tc>
        <w:tc>
          <w:tcPr>
            <w:tcW w:w="1469" w:type="dxa"/>
            <w:tcBorders>
              <w:top w:val="single" w:sz="4" w:space="0" w:color="000000"/>
              <w:bottom w:val="single" w:sz="4" w:space="0" w:color="000000"/>
            </w:tcBorders>
          </w:tcPr>
          <w:p w14:paraId="5165D443" w14:textId="77777777" w:rsidR="00725977" w:rsidRPr="00D4309F" w:rsidRDefault="00725977">
            <w:pPr>
              <w:pStyle w:val="TableParagraph"/>
              <w:spacing w:before="39"/>
              <w:ind w:left="376"/>
              <w:rPr>
                <w:sz w:val="18"/>
              </w:rPr>
            </w:pPr>
            <w:r w:rsidRPr="00D4309F">
              <w:rPr>
                <w:color w:val="211E1F"/>
                <w:spacing w:val="-5"/>
                <w:sz w:val="18"/>
              </w:rPr>
              <w:t>31</w:t>
            </w:r>
          </w:p>
        </w:tc>
        <w:tc>
          <w:tcPr>
            <w:tcW w:w="1649" w:type="dxa"/>
            <w:tcBorders>
              <w:top w:val="single" w:sz="4" w:space="0" w:color="000000"/>
              <w:bottom w:val="single" w:sz="4" w:space="0" w:color="000000"/>
            </w:tcBorders>
          </w:tcPr>
          <w:p w14:paraId="4A8CE2A2" w14:textId="77777777" w:rsidR="00725977" w:rsidRPr="00D4309F" w:rsidRDefault="00725977">
            <w:pPr>
              <w:pStyle w:val="TableParagraph"/>
              <w:spacing w:before="39"/>
              <w:ind w:left="236"/>
              <w:rPr>
                <w:sz w:val="18"/>
              </w:rPr>
            </w:pPr>
            <w:r w:rsidRPr="00D4309F">
              <w:rPr>
                <w:color w:val="211E1F"/>
                <w:spacing w:val="-10"/>
                <w:sz w:val="18"/>
              </w:rPr>
              <w:t>5</w:t>
            </w:r>
          </w:p>
        </w:tc>
        <w:tc>
          <w:tcPr>
            <w:tcW w:w="1215" w:type="dxa"/>
            <w:tcBorders>
              <w:top w:val="single" w:sz="4" w:space="0" w:color="000000"/>
              <w:bottom w:val="single" w:sz="4" w:space="0" w:color="000000"/>
            </w:tcBorders>
          </w:tcPr>
          <w:p w14:paraId="19DF47F5" w14:textId="77777777" w:rsidR="00725977" w:rsidRPr="00D4309F" w:rsidRDefault="00725977">
            <w:pPr>
              <w:pStyle w:val="TableParagraph"/>
              <w:spacing w:before="39"/>
              <w:ind w:left="169"/>
              <w:rPr>
                <w:sz w:val="18"/>
              </w:rPr>
            </w:pPr>
            <w:r w:rsidRPr="00D4309F">
              <w:rPr>
                <w:color w:val="211E1F"/>
                <w:spacing w:val="-10"/>
                <w:sz w:val="18"/>
              </w:rPr>
              <w:t>5</w:t>
            </w:r>
          </w:p>
        </w:tc>
        <w:tc>
          <w:tcPr>
            <w:tcW w:w="1417" w:type="dxa"/>
            <w:tcBorders>
              <w:top w:val="single" w:sz="4" w:space="0" w:color="000000"/>
              <w:bottom w:val="single" w:sz="4" w:space="0" w:color="000000"/>
            </w:tcBorders>
          </w:tcPr>
          <w:p w14:paraId="25D83315" w14:textId="77777777" w:rsidR="00725977" w:rsidRPr="00D4309F" w:rsidRDefault="00725977">
            <w:pPr>
              <w:pStyle w:val="TableParagraph"/>
              <w:spacing w:before="39"/>
              <w:ind w:left="275"/>
              <w:rPr>
                <w:b/>
                <w:sz w:val="18"/>
              </w:rPr>
            </w:pPr>
            <w:r w:rsidRPr="00D4309F">
              <w:rPr>
                <w:b/>
                <w:color w:val="211E1F"/>
                <w:spacing w:val="-5"/>
                <w:sz w:val="18"/>
              </w:rPr>
              <w:t>69</w:t>
            </w:r>
          </w:p>
        </w:tc>
      </w:tr>
      <w:tr w:rsidR="00725977" w:rsidRPr="00D4309F" w14:paraId="53988A8C" w14:textId="77777777">
        <w:trPr>
          <w:trHeight w:val="287"/>
        </w:trPr>
        <w:tc>
          <w:tcPr>
            <w:tcW w:w="1158" w:type="dxa"/>
            <w:tcBorders>
              <w:top w:val="single" w:sz="4" w:space="0" w:color="000000"/>
              <w:bottom w:val="single" w:sz="4" w:space="0" w:color="000000"/>
            </w:tcBorders>
          </w:tcPr>
          <w:p w14:paraId="310A1CF3" w14:textId="77777777" w:rsidR="00725977" w:rsidRPr="00D4309F" w:rsidRDefault="00725977">
            <w:pPr>
              <w:pStyle w:val="TableParagraph"/>
              <w:spacing w:before="39"/>
              <w:ind w:left="195"/>
              <w:rPr>
                <w:sz w:val="18"/>
              </w:rPr>
            </w:pPr>
            <w:r w:rsidRPr="00D4309F">
              <w:rPr>
                <w:color w:val="211E1F"/>
                <w:spacing w:val="-5"/>
                <w:sz w:val="18"/>
              </w:rPr>
              <w:t>2C</w:t>
            </w:r>
          </w:p>
        </w:tc>
        <w:tc>
          <w:tcPr>
            <w:tcW w:w="1596" w:type="dxa"/>
            <w:tcBorders>
              <w:top w:val="single" w:sz="4" w:space="0" w:color="000000"/>
              <w:bottom w:val="single" w:sz="4" w:space="0" w:color="000000"/>
            </w:tcBorders>
          </w:tcPr>
          <w:p w14:paraId="6C055896" w14:textId="77777777" w:rsidR="00725977" w:rsidRPr="00D4309F" w:rsidRDefault="00725977">
            <w:pPr>
              <w:pStyle w:val="TableParagraph"/>
              <w:spacing w:before="39"/>
              <w:ind w:left="281"/>
              <w:rPr>
                <w:sz w:val="18"/>
              </w:rPr>
            </w:pPr>
            <w:r w:rsidRPr="00D4309F">
              <w:rPr>
                <w:color w:val="211E1F"/>
                <w:spacing w:val="-5"/>
                <w:sz w:val="18"/>
              </w:rPr>
              <w:t>17</w:t>
            </w:r>
          </w:p>
        </w:tc>
        <w:tc>
          <w:tcPr>
            <w:tcW w:w="1187" w:type="dxa"/>
            <w:tcBorders>
              <w:top w:val="single" w:sz="4" w:space="0" w:color="000000"/>
              <w:bottom w:val="single" w:sz="4" w:space="0" w:color="000000"/>
            </w:tcBorders>
          </w:tcPr>
          <w:p w14:paraId="2424692E" w14:textId="77777777" w:rsidR="00725977" w:rsidRPr="00D4309F" w:rsidRDefault="00725977">
            <w:pPr>
              <w:pStyle w:val="TableParagraph"/>
              <w:spacing w:before="39"/>
              <w:ind w:left="274"/>
              <w:rPr>
                <w:sz w:val="18"/>
              </w:rPr>
            </w:pPr>
            <w:r w:rsidRPr="00D4309F">
              <w:rPr>
                <w:color w:val="211E1F"/>
                <w:spacing w:val="-5"/>
                <w:sz w:val="18"/>
              </w:rPr>
              <w:t>11</w:t>
            </w:r>
          </w:p>
        </w:tc>
        <w:tc>
          <w:tcPr>
            <w:tcW w:w="1469" w:type="dxa"/>
            <w:tcBorders>
              <w:top w:val="single" w:sz="4" w:space="0" w:color="000000"/>
              <w:bottom w:val="single" w:sz="4" w:space="0" w:color="000000"/>
            </w:tcBorders>
          </w:tcPr>
          <w:p w14:paraId="23E3D8C3" w14:textId="77777777" w:rsidR="00725977" w:rsidRPr="00D4309F" w:rsidRDefault="00725977">
            <w:pPr>
              <w:pStyle w:val="TableParagraph"/>
              <w:spacing w:before="39"/>
              <w:ind w:left="376"/>
              <w:rPr>
                <w:sz w:val="18"/>
              </w:rPr>
            </w:pPr>
            <w:r w:rsidRPr="00D4309F">
              <w:rPr>
                <w:color w:val="211E1F"/>
                <w:spacing w:val="-5"/>
                <w:sz w:val="18"/>
              </w:rPr>
              <w:t>25</w:t>
            </w:r>
          </w:p>
        </w:tc>
        <w:tc>
          <w:tcPr>
            <w:tcW w:w="1649" w:type="dxa"/>
            <w:tcBorders>
              <w:top w:val="single" w:sz="4" w:space="0" w:color="000000"/>
              <w:bottom w:val="single" w:sz="4" w:space="0" w:color="000000"/>
            </w:tcBorders>
          </w:tcPr>
          <w:p w14:paraId="76FF7C84" w14:textId="76E9D96C" w:rsidR="00725977" w:rsidRPr="00D4309F" w:rsidRDefault="004566D4">
            <w:pPr>
              <w:pStyle w:val="TableParagraph"/>
              <w:spacing w:before="39"/>
              <w:ind w:left="236"/>
              <w:rPr>
                <w:sz w:val="18"/>
              </w:rPr>
            </w:pPr>
            <w:r>
              <w:rPr>
                <w:color w:val="211E1F"/>
                <w:spacing w:val="-10"/>
                <w:sz w:val="18"/>
              </w:rPr>
              <w:t>5</w:t>
            </w:r>
          </w:p>
        </w:tc>
        <w:tc>
          <w:tcPr>
            <w:tcW w:w="1215" w:type="dxa"/>
            <w:tcBorders>
              <w:top w:val="single" w:sz="4" w:space="0" w:color="000000"/>
              <w:bottom w:val="single" w:sz="4" w:space="0" w:color="000000"/>
            </w:tcBorders>
          </w:tcPr>
          <w:p w14:paraId="4258BF53" w14:textId="77777777" w:rsidR="00725977" w:rsidRPr="00D4309F" w:rsidRDefault="00725977">
            <w:pPr>
              <w:pStyle w:val="TableParagraph"/>
              <w:spacing w:before="39"/>
              <w:ind w:left="169"/>
              <w:rPr>
                <w:sz w:val="18"/>
              </w:rPr>
            </w:pPr>
            <w:r w:rsidRPr="00D4309F">
              <w:rPr>
                <w:color w:val="211E1F"/>
                <w:spacing w:val="-10"/>
                <w:sz w:val="18"/>
              </w:rPr>
              <w:t>4</w:t>
            </w:r>
          </w:p>
        </w:tc>
        <w:tc>
          <w:tcPr>
            <w:tcW w:w="1417" w:type="dxa"/>
            <w:tcBorders>
              <w:top w:val="single" w:sz="4" w:space="0" w:color="000000"/>
              <w:bottom w:val="single" w:sz="4" w:space="0" w:color="000000"/>
            </w:tcBorders>
          </w:tcPr>
          <w:p w14:paraId="61B0B83B" w14:textId="22714371" w:rsidR="00725977" w:rsidRPr="00D4309F" w:rsidRDefault="00725977">
            <w:pPr>
              <w:pStyle w:val="TableParagraph"/>
              <w:spacing w:before="39"/>
              <w:ind w:left="275"/>
              <w:rPr>
                <w:b/>
                <w:sz w:val="18"/>
              </w:rPr>
            </w:pPr>
            <w:r w:rsidRPr="00D4309F">
              <w:rPr>
                <w:b/>
                <w:color w:val="211E1F"/>
                <w:spacing w:val="-5"/>
                <w:sz w:val="18"/>
              </w:rPr>
              <w:t>6</w:t>
            </w:r>
            <w:r w:rsidR="004566D4">
              <w:rPr>
                <w:b/>
                <w:color w:val="211E1F"/>
                <w:spacing w:val="-5"/>
                <w:sz w:val="18"/>
              </w:rPr>
              <w:t>2</w:t>
            </w:r>
          </w:p>
        </w:tc>
      </w:tr>
      <w:tr w:rsidR="00725977" w:rsidRPr="00D4309F" w14:paraId="064D6C04" w14:textId="77777777">
        <w:trPr>
          <w:trHeight w:val="286"/>
        </w:trPr>
        <w:tc>
          <w:tcPr>
            <w:tcW w:w="1158" w:type="dxa"/>
            <w:tcBorders>
              <w:top w:val="single" w:sz="4" w:space="0" w:color="000000"/>
              <w:bottom w:val="single" w:sz="4" w:space="0" w:color="000000"/>
            </w:tcBorders>
          </w:tcPr>
          <w:p w14:paraId="1E07F1E8" w14:textId="77777777" w:rsidR="00725977" w:rsidRPr="00D4309F" w:rsidRDefault="00725977">
            <w:pPr>
              <w:pStyle w:val="TableParagraph"/>
              <w:spacing w:before="39"/>
              <w:ind w:left="195"/>
              <w:rPr>
                <w:sz w:val="18"/>
              </w:rPr>
            </w:pPr>
            <w:r w:rsidRPr="00D4309F">
              <w:rPr>
                <w:color w:val="211E1F"/>
                <w:spacing w:val="-5"/>
                <w:sz w:val="18"/>
              </w:rPr>
              <w:t>3A</w:t>
            </w:r>
          </w:p>
        </w:tc>
        <w:tc>
          <w:tcPr>
            <w:tcW w:w="1596" w:type="dxa"/>
            <w:tcBorders>
              <w:top w:val="single" w:sz="4" w:space="0" w:color="000000"/>
              <w:bottom w:val="single" w:sz="4" w:space="0" w:color="000000"/>
            </w:tcBorders>
          </w:tcPr>
          <w:p w14:paraId="31D80AFA" w14:textId="77777777" w:rsidR="00725977" w:rsidRPr="00D4309F" w:rsidRDefault="00725977">
            <w:pPr>
              <w:pStyle w:val="TableParagraph"/>
              <w:spacing w:before="39"/>
              <w:ind w:left="281"/>
              <w:rPr>
                <w:sz w:val="18"/>
              </w:rPr>
            </w:pPr>
            <w:r w:rsidRPr="00D4309F">
              <w:rPr>
                <w:color w:val="211E1F"/>
                <w:spacing w:val="-5"/>
                <w:sz w:val="18"/>
              </w:rPr>
              <w:t>25</w:t>
            </w:r>
          </w:p>
        </w:tc>
        <w:tc>
          <w:tcPr>
            <w:tcW w:w="1187" w:type="dxa"/>
            <w:tcBorders>
              <w:top w:val="single" w:sz="4" w:space="0" w:color="000000"/>
              <w:bottom w:val="single" w:sz="4" w:space="0" w:color="000000"/>
            </w:tcBorders>
          </w:tcPr>
          <w:p w14:paraId="4829ED6A" w14:textId="77777777" w:rsidR="00725977" w:rsidRPr="00D4309F" w:rsidRDefault="00725977">
            <w:pPr>
              <w:pStyle w:val="TableParagraph"/>
              <w:spacing w:before="39"/>
              <w:ind w:left="274"/>
              <w:rPr>
                <w:sz w:val="18"/>
              </w:rPr>
            </w:pPr>
            <w:r w:rsidRPr="00D4309F">
              <w:rPr>
                <w:color w:val="211E1F"/>
                <w:spacing w:val="-5"/>
                <w:sz w:val="18"/>
              </w:rPr>
              <w:t>14</w:t>
            </w:r>
          </w:p>
        </w:tc>
        <w:tc>
          <w:tcPr>
            <w:tcW w:w="1469" w:type="dxa"/>
            <w:tcBorders>
              <w:top w:val="single" w:sz="4" w:space="0" w:color="000000"/>
              <w:bottom w:val="single" w:sz="4" w:space="0" w:color="000000"/>
            </w:tcBorders>
          </w:tcPr>
          <w:p w14:paraId="0B85D81F" w14:textId="77777777" w:rsidR="00725977" w:rsidRPr="00D4309F" w:rsidRDefault="00725977">
            <w:pPr>
              <w:pStyle w:val="TableParagraph"/>
              <w:spacing w:before="39"/>
              <w:ind w:left="376"/>
              <w:rPr>
                <w:sz w:val="18"/>
              </w:rPr>
            </w:pPr>
            <w:r w:rsidRPr="00D4309F">
              <w:rPr>
                <w:color w:val="211E1F"/>
                <w:spacing w:val="-5"/>
                <w:sz w:val="18"/>
              </w:rPr>
              <w:t>27</w:t>
            </w:r>
          </w:p>
        </w:tc>
        <w:tc>
          <w:tcPr>
            <w:tcW w:w="1649" w:type="dxa"/>
            <w:tcBorders>
              <w:top w:val="single" w:sz="4" w:space="0" w:color="000000"/>
              <w:bottom w:val="single" w:sz="4" w:space="0" w:color="000000"/>
            </w:tcBorders>
          </w:tcPr>
          <w:p w14:paraId="28C0E438" w14:textId="77777777" w:rsidR="00725977" w:rsidRPr="00D4309F" w:rsidRDefault="00725977">
            <w:pPr>
              <w:pStyle w:val="TableParagraph"/>
              <w:spacing w:before="39"/>
              <w:ind w:left="236"/>
              <w:rPr>
                <w:sz w:val="18"/>
              </w:rPr>
            </w:pPr>
            <w:r w:rsidRPr="00D4309F">
              <w:rPr>
                <w:color w:val="211E1F"/>
                <w:spacing w:val="-10"/>
                <w:sz w:val="18"/>
              </w:rPr>
              <w:t>7</w:t>
            </w:r>
          </w:p>
        </w:tc>
        <w:tc>
          <w:tcPr>
            <w:tcW w:w="1215" w:type="dxa"/>
            <w:tcBorders>
              <w:top w:val="single" w:sz="4" w:space="0" w:color="000000"/>
              <w:bottom w:val="single" w:sz="4" w:space="0" w:color="000000"/>
            </w:tcBorders>
          </w:tcPr>
          <w:p w14:paraId="0B0012B6" w14:textId="77777777" w:rsidR="00725977" w:rsidRPr="00D4309F" w:rsidRDefault="00725977">
            <w:pPr>
              <w:pStyle w:val="TableParagraph"/>
              <w:spacing w:before="39"/>
              <w:ind w:left="169"/>
              <w:rPr>
                <w:sz w:val="18"/>
              </w:rPr>
            </w:pPr>
            <w:r w:rsidRPr="00D4309F">
              <w:rPr>
                <w:sz w:val="18"/>
              </w:rPr>
              <w:t>5</w:t>
            </w:r>
          </w:p>
        </w:tc>
        <w:tc>
          <w:tcPr>
            <w:tcW w:w="1417" w:type="dxa"/>
            <w:tcBorders>
              <w:top w:val="single" w:sz="4" w:space="0" w:color="000000"/>
              <w:bottom w:val="single" w:sz="4" w:space="0" w:color="000000"/>
            </w:tcBorders>
          </w:tcPr>
          <w:p w14:paraId="1CDA85D8" w14:textId="77777777" w:rsidR="00725977" w:rsidRPr="00D4309F" w:rsidRDefault="00725977">
            <w:pPr>
              <w:pStyle w:val="TableParagraph"/>
              <w:spacing w:before="39"/>
              <w:ind w:left="276"/>
              <w:rPr>
                <w:b/>
                <w:sz w:val="18"/>
              </w:rPr>
            </w:pPr>
            <w:r w:rsidRPr="00D4309F">
              <w:rPr>
                <w:b/>
                <w:color w:val="211E1F"/>
                <w:spacing w:val="-5"/>
                <w:sz w:val="18"/>
              </w:rPr>
              <w:t>78</w:t>
            </w:r>
          </w:p>
        </w:tc>
      </w:tr>
      <w:tr w:rsidR="00725977" w:rsidRPr="00D4309F" w14:paraId="68428BE5" w14:textId="77777777">
        <w:trPr>
          <w:trHeight w:val="287"/>
        </w:trPr>
        <w:tc>
          <w:tcPr>
            <w:tcW w:w="1158" w:type="dxa"/>
            <w:tcBorders>
              <w:top w:val="single" w:sz="4" w:space="0" w:color="000000"/>
              <w:bottom w:val="single" w:sz="4" w:space="0" w:color="000000"/>
            </w:tcBorders>
          </w:tcPr>
          <w:p w14:paraId="63357FF0" w14:textId="77777777" w:rsidR="00725977" w:rsidRPr="00D4309F" w:rsidRDefault="00725977">
            <w:pPr>
              <w:pStyle w:val="TableParagraph"/>
              <w:spacing w:before="39"/>
              <w:ind w:left="195"/>
              <w:rPr>
                <w:sz w:val="18"/>
              </w:rPr>
            </w:pPr>
            <w:r w:rsidRPr="00D4309F">
              <w:rPr>
                <w:color w:val="211E1F"/>
                <w:spacing w:val="-5"/>
                <w:sz w:val="18"/>
              </w:rPr>
              <w:t>3B</w:t>
            </w:r>
          </w:p>
        </w:tc>
        <w:tc>
          <w:tcPr>
            <w:tcW w:w="1596" w:type="dxa"/>
            <w:tcBorders>
              <w:top w:val="single" w:sz="4" w:space="0" w:color="000000"/>
              <w:bottom w:val="single" w:sz="4" w:space="0" w:color="000000"/>
            </w:tcBorders>
          </w:tcPr>
          <w:p w14:paraId="1679F3A8" w14:textId="77777777" w:rsidR="00725977" w:rsidRPr="00D4309F" w:rsidRDefault="00725977">
            <w:pPr>
              <w:pStyle w:val="TableParagraph"/>
              <w:spacing w:before="39"/>
              <w:ind w:left="281"/>
              <w:rPr>
                <w:sz w:val="18"/>
              </w:rPr>
            </w:pPr>
            <w:r w:rsidRPr="00D4309F">
              <w:rPr>
                <w:color w:val="211E1F"/>
                <w:spacing w:val="-5"/>
                <w:sz w:val="18"/>
              </w:rPr>
              <w:t>16</w:t>
            </w:r>
          </w:p>
        </w:tc>
        <w:tc>
          <w:tcPr>
            <w:tcW w:w="1187" w:type="dxa"/>
            <w:tcBorders>
              <w:top w:val="single" w:sz="4" w:space="0" w:color="000000"/>
              <w:bottom w:val="single" w:sz="4" w:space="0" w:color="000000"/>
            </w:tcBorders>
          </w:tcPr>
          <w:p w14:paraId="5F8522DC" w14:textId="77777777" w:rsidR="00725977" w:rsidRPr="00D4309F" w:rsidRDefault="00725977">
            <w:pPr>
              <w:pStyle w:val="TableParagraph"/>
              <w:spacing w:before="39"/>
              <w:ind w:left="274"/>
              <w:rPr>
                <w:sz w:val="18"/>
              </w:rPr>
            </w:pPr>
            <w:r w:rsidRPr="00D4309F">
              <w:rPr>
                <w:color w:val="211E1F"/>
                <w:spacing w:val="-5"/>
                <w:sz w:val="18"/>
              </w:rPr>
              <w:t>14</w:t>
            </w:r>
          </w:p>
        </w:tc>
        <w:tc>
          <w:tcPr>
            <w:tcW w:w="1469" w:type="dxa"/>
            <w:tcBorders>
              <w:top w:val="single" w:sz="4" w:space="0" w:color="000000"/>
              <w:bottom w:val="single" w:sz="4" w:space="0" w:color="000000"/>
            </w:tcBorders>
          </w:tcPr>
          <w:p w14:paraId="11973FEB" w14:textId="77777777" w:rsidR="00725977" w:rsidRPr="00D4309F" w:rsidRDefault="00725977">
            <w:pPr>
              <w:pStyle w:val="TableParagraph"/>
              <w:spacing w:before="39"/>
              <w:ind w:left="376"/>
              <w:rPr>
                <w:sz w:val="18"/>
              </w:rPr>
            </w:pPr>
            <w:r w:rsidRPr="00D4309F">
              <w:rPr>
                <w:color w:val="211E1F"/>
                <w:spacing w:val="-5"/>
                <w:sz w:val="18"/>
              </w:rPr>
              <w:t>24</w:t>
            </w:r>
          </w:p>
        </w:tc>
        <w:tc>
          <w:tcPr>
            <w:tcW w:w="1649" w:type="dxa"/>
            <w:tcBorders>
              <w:top w:val="single" w:sz="4" w:space="0" w:color="000000"/>
              <w:bottom w:val="single" w:sz="4" w:space="0" w:color="000000"/>
            </w:tcBorders>
          </w:tcPr>
          <w:p w14:paraId="727BE6B8" w14:textId="77777777" w:rsidR="00725977" w:rsidRPr="00D4309F" w:rsidRDefault="00725977">
            <w:pPr>
              <w:pStyle w:val="TableParagraph"/>
              <w:spacing w:before="39"/>
              <w:ind w:left="236"/>
              <w:rPr>
                <w:sz w:val="18"/>
              </w:rPr>
            </w:pPr>
            <w:r w:rsidRPr="00D4309F">
              <w:rPr>
                <w:color w:val="211E1F"/>
                <w:spacing w:val="-10"/>
                <w:sz w:val="18"/>
              </w:rPr>
              <w:t>4</w:t>
            </w:r>
          </w:p>
        </w:tc>
        <w:tc>
          <w:tcPr>
            <w:tcW w:w="1215" w:type="dxa"/>
            <w:tcBorders>
              <w:top w:val="single" w:sz="4" w:space="0" w:color="000000"/>
              <w:bottom w:val="single" w:sz="4" w:space="0" w:color="000000"/>
            </w:tcBorders>
          </w:tcPr>
          <w:p w14:paraId="164F2492" w14:textId="77777777" w:rsidR="00725977" w:rsidRPr="00D4309F" w:rsidRDefault="00725977">
            <w:pPr>
              <w:pStyle w:val="TableParagraph"/>
              <w:spacing w:before="39"/>
              <w:ind w:left="169"/>
              <w:rPr>
                <w:sz w:val="18"/>
              </w:rPr>
            </w:pPr>
            <w:r w:rsidRPr="00D4309F">
              <w:rPr>
                <w:color w:val="211E1F"/>
                <w:spacing w:val="-10"/>
                <w:sz w:val="18"/>
              </w:rPr>
              <w:t>6</w:t>
            </w:r>
          </w:p>
        </w:tc>
        <w:tc>
          <w:tcPr>
            <w:tcW w:w="1417" w:type="dxa"/>
            <w:tcBorders>
              <w:top w:val="single" w:sz="4" w:space="0" w:color="000000"/>
              <w:bottom w:val="single" w:sz="4" w:space="0" w:color="000000"/>
            </w:tcBorders>
          </w:tcPr>
          <w:p w14:paraId="753AB51A" w14:textId="77777777" w:rsidR="00725977" w:rsidRPr="00D4309F" w:rsidRDefault="00725977">
            <w:pPr>
              <w:pStyle w:val="TableParagraph"/>
              <w:spacing w:before="39"/>
              <w:ind w:left="276"/>
              <w:rPr>
                <w:b/>
                <w:sz w:val="18"/>
              </w:rPr>
            </w:pPr>
            <w:r w:rsidRPr="00D4309F">
              <w:rPr>
                <w:b/>
                <w:color w:val="211E1F"/>
                <w:spacing w:val="-5"/>
                <w:sz w:val="18"/>
              </w:rPr>
              <w:t>64</w:t>
            </w:r>
          </w:p>
        </w:tc>
      </w:tr>
      <w:tr w:rsidR="00725977" w:rsidRPr="00D4309F" w14:paraId="62DA86D8" w14:textId="77777777">
        <w:trPr>
          <w:trHeight w:val="286"/>
        </w:trPr>
        <w:tc>
          <w:tcPr>
            <w:tcW w:w="1158" w:type="dxa"/>
            <w:tcBorders>
              <w:top w:val="single" w:sz="4" w:space="0" w:color="000000"/>
              <w:bottom w:val="single" w:sz="4" w:space="0" w:color="000000"/>
            </w:tcBorders>
          </w:tcPr>
          <w:p w14:paraId="5BFDCE4B" w14:textId="77777777" w:rsidR="00725977" w:rsidRPr="00D4309F" w:rsidRDefault="00725977">
            <w:pPr>
              <w:pStyle w:val="TableParagraph"/>
              <w:spacing w:before="39"/>
              <w:ind w:left="195"/>
              <w:rPr>
                <w:sz w:val="18"/>
              </w:rPr>
            </w:pPr>
            <w:r w:rsidRPr="00D4309F">
              <w:rPr>
                <w:color w:val="211E1F"/>
                <w:spacing w:val="-5"/>
                <w:sz w:val="18"/>
              </w:rPr>
              <w:t>3C</w:t>
            </w:r>
          </w:p>
        </w:tc>
        <w:tc>
          <w:tcPr>
            <w:tcW w:w="1596" w:type="dxa"/>
            <w:tcBorders>
              <w:top w:val="single" w:sz="4" w:space="0" w:color="000000"/>
              <w:bottom w:val="single" w:sz="4" w:space="0" w:color="000000"/>
            </w:tcBorders>
          </w:tcPr>
          <w:p w14:paraId="32E007FC" w14:textId="77777777" w:rsidR="00725977" w:rsidRPr="00D4309F" w:rsidRDefault="00725977">
            <w:pPr>
              <w:pStyle w:val="TableParagraph"/>
              <w:spacing w:before="39"/>
              <w:ind w:left="281"/>
              <w:rPr>
                <w:sz w:val="18"/>
              </w:rPr>
            </w:pPr>
            <w:r w:rsidRPr="00D4309F">
              <w:rPr>
                <w:color w:val="211E1F"/>
                <w:spacing w:val="-5"/>
                <w:sz w:val="18"/>
              </w:rPr>
              <w:t>23</w:t>
            </w:r>
          </w:p>
        </w:tc>
        <w:tc>
          <w:tcPr>
            <w:tcW w:w="1187" w:type="dxa"/>
            <w:tcBorders>
              <w:top w:val="single" w:sz="4" w:space="0" w:color="000000"/>
              <w:bottom w:val="single" w:sz="4" w:space="0" w:color="000000"/>
            </w:tcBorders>
          </w:tcPr>
          <w:p w14:paraId="579F283C" w14:textId="77777777" w:rsidR="00725977" w:rsidRPr="00D4309F" w:rsidRDefault="00725977">
            <w:pPr>
              <w:pStyle w:val="TableParagraph"/>
              <w:spacing w:before="39"/>
              <w:ind w:left="274"/>
              <w:rPr>
                <w:sz w:val="18"/>
              </w:rPr>
            </w:pPr>
            <w:r w:rsidRPr="00D4309F">
              <w:rPr>
                <w:color w:val="211E1F"/>
                <w:spacing w:val="-5"/>
                <w:sz w:val="18"/>
              </w:rPr>
              <w:t>14</w:t>
            </w:r>
          </w:p>
        </w:tc>
        <w:tc>
          <w:tcPr>
            <w:tcW w:w="1469" w:type="dxa"/>
            <w:tcBorders>
              <w:top w:val="single" w:sz="4" w:space="0" w:color="000000"/>
              <w:bottom w:val="single" w:sz="4" w:space="0" w:color="000000"/>
            </w:tcBorders>
          </w:tcPr>
          <w:p w14:paraId="0FD76FE6" w14:textId="77777777" w:rsidR="00725977" w:rsidRPr="00D4309F" w:rsidRDefault="00725977">
            <w:pPr>
              <w:pStyle w:val="TableParagraph"/>
              <w:spacing w:before="39"/>
              <w:ind w:left="376"/>
              <w:rPr>
                <w:sz w:val="18"/>
              </w:rPr>
            </w:pPr>
            <w:r w:rsidRPr="00D4309F">
              <w:rPr>
                <w:color w:val="211E1F"/>
                <w:spacing w:val="-5"/>
                <w:sz w:val="18"/>
              </w:rPr>
              <w:t>26</w:t>
            </w:r>
          </w:p>
        </w:tc>
        <w:tc>
          <w:tcPr>
            <w:tcW w:w="1649" w:type="dxa"/>
            <w:tcBorders>
              <w:top w:val="single" w:sz="4" w:space="0" w:color="000000"/>
              <w:bottom w:val="single" w:sz="4" w:space="0" w:color="000000"/>
            </w:tcBorders>
          </w:tcPr>
          <w:p w14:paraId="56EC85D2" w14:textId="77777777" w:rsidR="00725977" w:rsidRPr="00D4309F" w:rsidRDefault="00725977">
            <w:pPr>
              <w:pStyle w:val="TableParagraph"/>
              <w:spacing w:before="39"/>
              <w:ind w:left="236"/>
              <w:rPr>
                <w:sz w:val="18"/>
              </w:rPr>
            </w:pPr>
            <w:r w:rsidRPr="00D4309F">
              <w:rPr>
                <w:color w:val="211E1F"/>
                <w:spacing w:val="-10"/>
                <w:sz w:val="18"/>
              </w:rPr>
              <w:t>7</w:t>
            </w:r>
          </w:p>
        </w:tc>
        <w:tc>
          <w:tcPr>
            <w:tcW w:w="1215" w:type="dxa"/>
            <w:tcBorders>
              <w:top w:val="single" w:sz="4" w:space="0" w:color="000000"/>
              <w:bottom w:val="single" w:sz="4" w:space="0" w:color="000000"/>
            </w:tcBorders>
          </w:tcPr>
          <w:p w14:paraId="4AD6BD21" w14:textId="77777777" w:rsidR="00725977" w:rsidRPr="00D4309F" w:rsidRDefault="00725977">
            <w:pPr>
              <w:pStyle w:val="TableParagraph"/>
              <w:spacing w:before="39"/>
              <w:ind w:left="169"/>
              <w:rPr>
                <w:sz w:val="18"/>
              </w:rPr>
            </w:pPr>
            <w:r w:rsidRPr="00D4309F">
              <w:rPr>
                <w:color w:val="211E1F"/>
                <w:spacing w:val="-10"/>
                <w:sz w:val="18"/>
              </w:rPr>
              <w:t>4</w:t>
            </w:r>
          </w:p>
        </w:tc>
        <w:tc>
          <w:tcPr>
            <w:tcW w:w="1417" w:type="dxa"/>
            <w:tcBorders>
              <w:top w:val="single" w:sz="4" w:space="0" w:color="000000"/>
              <w:bottom w:val="single" w:sz="4" w:space="0" w:color="000000"/>
            </w:tcBorders>
          </w:tcPr>
          <w:p w14:paraId="2B226DC9" w14:textId="77777777" w:rsidR="00725977" w:rsidRPr="00D4309F" w:rsidRDefault="00725977">
            <w:pPr>
              <w:pStyle w:val="TableParagraph"/>
              <w:spacing w:before="39"/>
              <w:ind w:left="276"/>
              <w:rPr>
                <w:b/>
                <w:sz w:val="18"/>
              </w:rPr>
            </w:pPr>
            <w:r w:rsidRPr="00D4309F">
              <w:rPr>
                <w:b/>
                <w:color w:val="211E1F"/>
                <w:spacing w:val="-5"/>
                <w:sz w:val="18"/>
              </w:rPr>
              <w:t>74</w:t>
            </w:r>
          </w:p>
        </w:tc>
      </w:tr>
      <w:tr w:rsidR="00725977" w:rsidRPr="00D4309F" w14:paraId="7182B150" w14:textId="77777777">
        <w:trPr>
          <w:trHeight w:val="287"/>
        </w:trPr>
        <w:tc>
          <w:tcPr>
            <w:tcW w:w="1158" w:type="dxa"/>
            <w:tcBorders>
              <w:top w:val="single" w:sz="4" w:space="0" w:color="000000"/>
              <w:bottom w:val="single" w:sz="4" w:space="0" w:color="000000"/>
            </w:tcBorders>
          </w:tcPr>
          <w:p w14:paraId="7473E99A" w14:textId="77777777" w:rsidR="00725977" w:rsidRPr="00D4309F" w:rsidRDefault="00725977">
            <w:pPr>
              <w:pStyle w:val="TableParagraph"/>
              <w:spacing w:before="39"/>
              <w:ind w:left="195"/>
              <w:rPr>
                <w:sz w:val="18"/>
              </w:rPr>
            </w:pPr>
            <w:r w:rsidRPr="00D4309F">
              <w:rPr>
                <w:color w:val="211E1F"/>
                <w:spacing w:val="-10"/>
                <w:sz w:val="18"/>
              </w:rPr>
              <w:t>4</w:t>
            </w:r>
          </w:p>
        </w:tc>
        <w:tc>
          <w:tcPr>
            <w:tcW w:w="1596" w:type="dxa"/>
            <w:tcBorders>
              <w:top w:val="single" w:sz="4" w:space="0" w:color="000000"/>
              <w:bottom w:val="single" w:sz="4" w:space="0" w:color="000000"/>
            </w:tcBorders>
          </w:tcPr>
          <w:p w14:paraId="1DD5B0AF" w14:textId="77777777" w:rsidR="00725977" w:rsidRPr="00D4309F" w:rsidRDefault="00725977">
            <w:pPr>
              <w:pStyle w:val="TableParagraph"/>
              <w:spacing w:before="39"/>
              <w:ind w:left="281"/>
              <w:rPr>
                <w:sz w:val="18"/>
              </w:rPr>
            </w:pPr>
            <w:r w:rsidRPr="00D4309F">
              <w:rPr>
                <w:color w:val="211E1F"/>
                <w:spacing w:val="-5"/>
                <w:sz w:val="18"/>
              </w:rPr>
              <w:t>16</w:t>
            </w:r>
          </w:p>
        </w:tc>
        <w:tc>
          <w:tcPr>
            <w:tcW w:w="1187" w:type="dxa"/>
            <w:tcBorders>
              <w:top w:val="single" w:sz="4" w:space="0" w:color="000000"/>
              <w:bottom w:val="single" w:sz="4" w:space="0" w:color="000000"/>
            </w:tcBorders>
          </w:tcPr>
          <w:p w14:paraId="29E7E73E" w14:textId="77777777" w:rsidR="00725977" w:rsidRPr="00D4309F" w:rsidRDefault="00725977">
            <w:pPr>
              <w:pStyle w:val="TableParagraph"/>
              <w:spacing w:before="39"/>
              <w:ind w:left="274"/>
              <w:rPr>
                <w:sz w:val="18"/>
              </w:rPr>
            </w:pPr>
            <w:r w:rsidRPr="00D4309F">
              <w:rPr>
                <w:color w:val="211E1F"/>
                <w:spacing w:val="-10"/>
                <w:sz w:val="18"/>
              </w:rPr>
              <w:t>9</w:t>
            </w:r>
          </w:p>
        </w:tc>
        <w:tc>
          <w:tcPr>
            <w:tcW w:w="1469" w:type="dxa"/>
            <w:tcBorders>
              <w:top w:val="single" w:sz="4" w:space="0" w:color="000000"/>
              <w:bottom w:val="single" w:sz="4" w:space="0" w:color="000000"/>
            </w:tcBorders>
          </w:tcPr>
          <w:p w14:paraId="409EFBCE" w14:textId="77777777" w:rsidR="00725977" w:rsidRPr="00D4309F" w:rsidRDefault="00725977">
            <w:pPr>
              <w:pStyle w:val="TableParagraph"/>
              <w:spacing w:before="39"/>
              <w:ind w:left="376"/>
              <w:rPr>
                <w:sz w:val="18"/>
              </w:rPr>
            </w:pPr>
            <w:r w:rsidRPr="00D4309F">
              <w:rPr>
                <w:color w:val="211E1F"/>
                <w:spacing w:val="-5"/>
                <w:sz w:val="18"/>
              </w:rPr>
              <w:t>22</w:t>
            </w:r>
          </w:p>
        </w:tc>
        <w:tc>
          <w:tcPr>
            <w:tcW w:w="1649" w:type="dxa"/>
            <w:tcBorders>
              <w:top w:val="single" w:sz="4" w:space="0" w:color="000000"/>
              <w:bottom w:val="single" w:sz="4" w:space="0" w:color="000000"/>
            </w:tcBorders>
          </w:tcPr>
          <w:p w14:paraId="2E2EF636" w14:textId="77777777" w:rsidR="00725977" w:rsidRPr="00D4309F" w:rsidRDefault="00725977">
            <w:pPr>
              <w:pStyle w:val="TableParagraph"/>
              <w:spacing w:before="39"/>
              <w:ind w:left="236"/>
              <w:rPr>
                <w:sz w:val="18"/>
              </w:rPr>
            </w:pPr>
            <w:r w:rsidRPr="00D4309F">
              <w:rPr>
                <w:color w:val="211E1F"/>
                <w:spacing w:val="-10"/>
                <w:sz w:val="18"/>
              </w:rPr>
              <w:t>4</w:t>
            </w:r>
          </w:p>
        </w:tc>
        <w:tc>
          <w:tcPr>
            <w:tcW w:w="1215" w:type="dxa"/>
            <w:tcBorders>
              <w:top w:val="single" w:sz="4" w:space="0" w:color="000000"/>
              <w:bottom w:val="single" w:sz="4" w:space="0" w:color="000000"/>
            </w:tcBorders>
          </w:tcPr>
          <w:p w14:paraId="5AA8506E" w14:textId="77777777" w:rsidR="00725977" w:rsidRPr="00D4309F" w:rsidRDefault="00725977">
            <w:pPr>
              <w:pStyle w:val="TableParagraph"/>
              <w:spacing w:before="39"/>
              <w:ind w:left="169"/>
              <w:rPr>
                <w:sz w:val="18"/>
              </w:rPr>
            </w:pPr>
            <w:r w:rsidRPr="00D4309F">
              <w:rPr>
                <w:color w:val="211E1F"/>
                <w:spacing w:val="-10"/>
                <w:sz w:val="18"/>
              </w:rPr>
              <w:t>5</w:t>
            </w:r>
          </w:p>
        </w:tc>
        <w:tc>
          <w:tcPr>
            <w:tcW w:w="1417" w:type="dxa"/>
            <w:tcBorders>
              <w:top w:val="single" w:sz="4" w:space="0" w:color="000000"/>
              <w:bottom w:val="single" w:sz="4" w:space="0" w:color="000000"/>
            </w:tcBorders>
          </w:tcPr>
          <w:p w14:paraId="06226B80" w14:textId="77777777" w:rsidR="00725977" w:rsidRPr="00D4309F" w:rsidRDefault="00725977">
            <w:pPr>
              <w:pStyle w:val="TableParagraph"/>
              <w:spacing w:before="39"/>
              <w:ind w:left="276"/>
              <w:rPr>
                <w:b/>
                <w:sz w:val="18"/>
              </w:rPr>
            </w:pPr>
            <w:r w:rsidRPr="00D4309F">
              <w:rPr>
                <w:b/>
                <w:color w:val="211E1F"/>
                <w:spacing w:val="-5"/>
                <w:sz w:val="18"/>
              </w:rPr>
              <w:t>56</w:t>
            </w:r>
          </w:p>
        </w:tc>
      </w:tr>
      <w:tr w:rsidR="00725977" w:rsidRPr="00D4309F" w14:paraId="74CD09D7" w14:textId="77777777">
        <w:trPr>
          <w:trHeight w:val="246"/>
        </w:trPr>
        <w:tc>
          <w:tcPr>
            <w:tcW w:w="1158" w:type="dxa"/>
            <w:tcBorders>
              <w:top w:val="single" w:sz="4" w:space="0" w:color="000000"/>
              <w:bottom w:val="single" w:sz="4" w:space="0" w:color="000000"/>
            </w:tcBorders>
          </w:tcPr>
          <w:p w14:paraId="3DD94386" w14:textId="77777777" w:rsidR="00725977" w:rsidRPr="00441938" w:rsidRDefault="00725977">
            <w:pPr>
              <w:pStyle w:val="TableParagraph"/>
              <w:spacing w:before="39" w:line="187" w:lineRule="exact"/>
              <w:ind w:left="195"/>
              <w:rPr>
                <w:sz w:val="18"/>
              </w:rPr>
            </w:pPr>
            <w:r w:rsidRPr="00441938">
              <w:rPr>
                <w:color w:val="211E1F"/>
                <w:spacing w:val="-10"/>
                <w:sz w:val="18"/>
              </w:rPr>
              <w:t>5A</w:t>
            </w:r>
          </w:p>
        </w:tc>
        <w:tc>
          <w:tcPr>
            <w:tcW w:w="1596" w:type="dxa"/>
            <w:tcBorders>
              <w:top w:val="single" w:sz="4" w:space="0" w:color="000000"/>
              <w:bottom w:val="single" w:sz="4" w:space="0" w:color="000000"/>
            </w:tcBorders>
          </w:tcPr>
          <w:p w14:paraId="53003017" w14:textId="77777777" w:rsidR="00725977" w:rsidRPr="00441938" w:rsidRDefault="00725977">
            <w:pPr>
              <w:pStyle w:val="TableParagraph"/>
              <w:spacing w:before="39" w:line="187" w:lineRule="exact"/>
              <w:ind w:left="281"/>
              <w:rPr>
                <w:sz w:val="18"/>
              </w:rPr>
            </w:pPr>
            <w:r w:rsidRPr="00441938">
              <w:rPr>
                <w:sz w:val="18"/>
              </w:rPr>
              <w:t>22</w:t>
            </w:r>
          </w:p>
        </w:tc>
        <w:tc>
          <w:tcPr>
            <w:tcW w:w="1187" w:type="dxa"/>
            <w:tcBorders>
              <w:top w:val="single" w:sz="4" w:space="0" w:color="000000"/>
              <w:bottom w:val="single" w:sz="4" w:space="0" w:color="000000"/>
            </w:tcBorders>
          </w:tcPr>
          <w:p w14:paraId="4941B5FA" w14:textId="77777777" w:rsidR="00725977" w:rsidRPr="00441938" w:rsidRDefault="00725977">
            <w:pPr>
              <w:pStyle w:val="TableParagraph"/>
              <w:spacing w:before="39" w:line="187" w:lineRule="exact"/>
              <w:ind w:left="274"/>
              <w:rPr>
                <w:sz w:val="18"/>
              </w:rPr>
            </w:pPr>
            <w:r w:rsidRPr="00441938">
              <w:rPr>
                <w:sz w:val="18"/>
              </w:rPr>
              <w:t>4</w:t>
            </w:r>
          </w:p>
        </w:tc>
        <w:tc>
          <w:tcPr>
            <w:tcW w:w="1469" w:type="dxa"/>
            <w:tcBorders>
              <w:top w:val="single" w:sz="4" w:space="0" w:color="000000"/>
              <w:bottom w:val="single" w:sz="4" w:space="0" w:color="000000"/>
            </w:tcBorders>
          </w:tcPr>
          <w:p w14:paraId="78EF0691" w14:textId="77777777" w:rsidR="00725977" w:rsidRPr="00441938" w:rsidRDefault="00725977">
            <w:pPr>
              <w:pStyle w:val="TableParagraph"/>
              <w:spacing w:before="39" w:line="187" w:lineRule="exact"/>
              <w:ind w:left="376"/>
              <w:rPr>
                <w:sz w:val="18"/>
              </w:rPr>
            </w:pPr>
            <w:r w:rsidRPr="00441938">
              <w:rPr>
                <w:sz w:val="18"/>
              </w:rPr>
              <w:t>33</w:t>
            </w:r>
          </w:p>
        </w:tc>
        <w:tc>
          <w:tcPr>
            <w:tcW w:w="1649" w:type="dxa"/>
            <w:tcBorders>
              <w:top w:val="single" w:sz="4" w:space="0" w:color="000000"/>
              <w:bottom w:val="single" w:sz="4" w:space="0" w:color="000000"/>
            </w:tcBorders>
          </w:tcPr>
          <w:p w14:paraId="04DBE536" w14:textId="7FCA83E9" w:rsidR="00725977" w:rsidRPr="00441938" w:rsidRDefault="003B58CA">
            <w:pPr>
              <w:pStyle w:val="TableParagraph"/>
              <w:spacing w:before="39" w:line="187" w:lineRule="exact"/>
              <w:ind w:left="236"/>
              <w:rPr>
                <w:sz w:val="18"/>
              </w:rPr>
            </w:pPr>
            <w:r w:rsidRPr="00441938">
              <w:rPr>
                <w:sz w:val="18"/>
              </w:rPr>
              <w:t>10</w:t>
            </w:r>
          </w:p>
        </w:tc>
        <w:tc>
          <w:tcPr>
            <w:tcW w:w="1215" w:type="dxa"/>
            <w:tcBorders>
              <w:top w:val="single" w:sz="4" w:space="0" w:color="000000"/>
              <w:bottom w:val="single" w:sz="4" w:space="0" w:color="000000"/>
            </w:tcBorders>
          </w:tcPr>
          <w:p w14:paraId="02F4F7E7" w14:textId="77777777" w:rsidR="00725977" w:rsidRPr="00441938" w:rsidRDefault="00725977">
            <w:pPr>
              <w:pStyle w:val="TableParagraph"/>
              <w:spacing w:before="39" w:line="187" w:lineRule="exact"/>
              <w:ind w:left="169"/>
              <w:rPr>
                <w:sz w:val="18"/>
              </w:rPr>
            </w:pPr>
            <w:r w:rsidRPr="00441938">
              <w:rPr>
                <w:sz w:val="18"/>
              </w:rPr>
              <w:t>8</w:t>
            </w:r>
          </w:p>
        </w:tc>
        <w:tc>
          <w:tcPr>
            <w:tcW w:w="1417" w:type="dxa"/>
            <w:tcBorders>
              <w:top w:val="single" w:sz="4" w:space="0" w:color="000000"/>
              <w:bottom w:val="single" w:sz="4" w:space="0" w:color="000000"/>
            </w:tcBorders>
          </w:tcPr>
          <w:p w14:paraId="0AD6FDA3" w14:textId="392C4A1F" w:rsidR="00725977" w:rsidRPr="00441938" w:rsidRDefault="00725977">
            <w:pPr>
              <w:pStyle w:val="TableParagraph"/>
              <w:spacing w:before="39" w:line="187" w:lineRule="exact"/>
              <w:ind w:left="275"/>
              <w:rPr>
                <w:b/>
                <w:sz w:val="18"/>
              </w:rPr>
            </w:pPr>
            <w:r w:rsidRPr="00441938">
              <w:rPr>
                <w:b/>
                <w:sz w:val="18"/>
              </w:rPr>
              <w:t>7</w:t>
            </w:r>
            <w:r w:rsidR="00D86CB1">
              <w:rPr>
                <w:b/>
                <w:sz w:val="18"/>
              </w:rPr>
              <w:t>7</w:t>
            </w:r>
          </w:p>
        </w:tc>
      </w:tr>
      <w:tr w:rsidR="00725977" w:rsidRPr="00D4309F" w14:paraId="47CC7C7C" w14:textId="77777777">
        <w:trPr>
          <w:trHeight w:val="246"/>
        </w:trPr>
        <w:tc>
          <w:tcPr>
            <w:tcW w:w="1158" w:type="dxa"/>
            <w:tcBorders>
              <w:top w:val="single" w:sz="4" w:space="0" w:color="000000"/>
            </w:tcBorders>
          </w:tcPr>
          <w:p w14:paraId="78FF73B4" w14:textId="77777777" w:rsidR="00725977" w:rsidRPr="00D4309F" w:rsidRDefault="00725977">
            <w:pPr>
              <w:pStyle w:val="TableParagraph"/>
              <w:spacing w:before="39" w:line="187" w:lineRule="exact"/>
              <w:ind w:left="195"/>
              <w:rPr>
                <w:color w:val="211E1F"/>
                <w:spacing w:val="-10"/>
                <w:sz w:val="18"/>
              </w:rPr>
            </w:pPr>
            <w:r w:rsidRPr="00D4309F">
              <w:rPr>
                <w:color w:val="211E1F"/>
                <w:spacing w:val="-10"/>
                <w:sz w:val="18"/>
              </w:rPr>
              <w:t>5B</w:t>
            </w:r>
          </w:p>
        </w:tc>
        <w:tc>
          <w:tcPr>
            <w:tcW w:w="1596" w:type="dxa"/>
            <w:tcBorders>
              <w:top w:val="single" w:sz="4" w:space="0" w:color="000000"/>
            </w:tcBorders>
          </w:tcPr>
          <w:p w14:paraId="7B06C5FC" w14:textId="77777777" w:rsidR="00725977" w:rsidRPr="00D4309F" w:rsidRDefault="00725977">
            <w:pPr>
              <w:pStyle w:val="TableParagraph"/>
              <w:spacing w:before="39" w:line="187" w:lineRule="exact"/>
              <w:ind w:left="281"/>
              <w:rPr>
                <w:color w:val="211E1F"/>
                <w:spacing w:val="-5"/>
                <w:sz w:val="18"/>
              </w:rPr>
            </w:pPr>
            <w:r w:rsidRPr="00D4309F">
              <w:rPr>
                <w:color w:val="211E1F"/>
                <w:spacing w:val="-5"/>
                <w:sz w:val="18"/>
              </w:rPr>
              <w:t>13</w:t>
            </w:r>
          </w:p>
        </w:tc>
        <w:tc>
          <w:tcPr>
            <w:tcW w:w="1187" w:type="dxa"/>
            <w:tcBorders>
              <w:top w:val="single" w:sz="4" w:space="0" w:color="000000"/>
            </w:tcBorders>
          </w:tcPr>
          <w:p w14:paraId="4DE64FA7" w14:textId="77777777" w:rsidR="00725977" w:rsidRPr="00D4309F" w:rsidRDefault="00725977">
            <w:pPr>
              <w:pStyle w:val="TableParagraph"/>
              <w:spacing w:before="39" w:line="187" w:lineRule="exact"/>
              <w:ind w:left="274"/>
              <w:rPr>
                <w:color w:val="211E1F"/>
                <w:spacing w:val="-10"/>
                <w:sz w:val="18"/>
              </w:rPr>
            </w:pPr>
            <w:r w:rsidRPr="00D4309F">
              <w:rPr>
                <w:color w:val="211E1F"/>
                <w:spacing w:val="-10"/>
                <w:sz w:val="18"/>
              </w:rPr>
              <w:t>4</w:t>
            </w:r>
          </w:p>
        </w:tc>
        <w:tc>
          <w:tcPr>
            <w:tcW w:w="1469" w:type="dxa"/>
            <w:tcBorders>
              <w:top w:val="single" w:sz="4" w:space="0" w:color="000000"/>
            </w:tcBorders>
          </w:tcPr>
          <w:p w14:paraId="178AA44B" w14:textId="77777777" w:rsidR="00725977" w:rsidRPr="00D4309F" w:rsidRDefault="00725977">
            <w:pPr>
              <w:pStyle w:val="TableParagraph"/>
              <w:spacing w:before="39" w:line="187" w:lineRule="exact"/>
              <w:ind w:left="376"/>
              <w:rPr>
                <w:color w:val="211E1F"/>
                <w:spacing w:val="-5"/>
                <w:sz w:val="18"/>
              </w:rPr>
            </w:pPr>
            <w:r w:rsidRPr="00D4309F">
              <w:rPr>
                <w:color w:val="211E1F"/>
                <w:spacing w:val="-5"/>
                <w:sz w:val="18"/>
              </w:rPr>
              <w:t>21</w:t>
            </w:r>
          </w:p>
        </w:tc>
        <w:tc>
          <w:tcPr>
            <w:tcW w:w="1649" w:type="dxa"/>
            <w:tcBorders>
              <w:top w:val="single" w:sz="4" w:space="0" w:color="000000"/>
            </w:tcBorders>
          </w:tcPr>
          <w:p w14:paraId="3CCD96EE" w14:textId="77777777" w:rsidR="00725977" w:rsidRPr="00D4309F" w:rsidRDefault="00725977">
            <w:pPr>
              <w:pStyle w:val="TableParagraph"/>
              <w:spacing w:before="39" w:line="187" w:lineRule="exact"/>
              <w:ind w:left="236"/>
              <w:rPr>
                <w:color w:val="211E1F"/>
                <w:spacing w:val="-10"/>
                <w:sz w:val="18"/>
              </w:rPr>
            </w:pPr>
            <w:r w:rsidRPr="00D4309F">
              <w:rPr>
                <w:color w:val="211E1F"/>
                <w:spacing w:val="-10"/>
                <w:sz w:val="18"/>
              </w:rPr>
              <w:t>6</w:t>
            </w:r>
          </w:p>
        </w:tc>
        <w:tc>
          <w:tcPr>
            <w:tcW w:w="1215" w:type="dxa"/>
            <w:tcBorders>
              <w:top w:val="single" w:sz="4" w:space="0" w:color="000000"/>
            </w:tcBorders>
          </w:tcPr>
          <w:p w14:paraId="3623FF74" w14:textId="77777777" w:rsidR="00725977" w:rsidRPr="00D4309F" w:rsidRDefault="00725977">
            <w:pPr>
              <w:pStyle w:val="TableParagraph"/>
              <w:spacing w:before="39" w:line="187" w:lineRule="exact"/>
              <w:ind w:left="169"/>
              <w:rPr>
                <w:color w:val="211E1F"/>
                <w:spacing w:val="-10"/>
                <w:sz w:val="18"/>
              </w:rPr>
            </w:pPr>
            <w:r w:rsidRPr="00D4309F">
              <w:rPr>
                <w:color w:val="211E1F"/>
                <w:spacing w:val="-10"/>
                <w:sz w:val="18"/>
              </w:rPr>
              <w:t>5</w:t>
            </w:r>
          </w:p>
        </w:tc>
        <w:tc>
          <w:tcPr>
            <w:tcW w:w="1417" w:type="dxa"/>
            <w:tcBorders>
              <w:top w:val="single" w:sz="4" w:space="0" w:color="000000"/>
            </w:tcBorders>
          </w:tcPr>
          <w:p w14:paraId="1E0BDA90" w14:textId="77777777" w:rsidR="00725977" w:rsidRPr="00D4309F" w:rsidRDefault="00725977">
            <w:pPr>
              <w:pStyle w:val="TableParagraph"/>
              <w:spacing w:before="39" w:line="187" w:lineRule="exact"/>
              <w:ind w:left="275"/>
              <w:rPr>
                <w:b/>
                <w:color w:val="211E1F"/>
                <w:spacing w:val="-5"/>
                <w:sz w:val="18"/>
              </w:rPr>
            </w:pPr>
            <w:r w:rsidRPr="00D4309F">
              <w:rPr>
                <w:b/>
                <w:color w:val="211E1F"/>
                <w:spacing w:val="-5"/>
                <w:sz w:val="18"/>
              </w:rPr>
              <w:t>49</w:t>
            </w:r>
          </w:p>
        </w:tc>
      </w:tr>
    </w:tbl>
    <w:p w14:paraId="0AD08767" w14:textId="77777777" w:rsidR="00725977" w:rsidRPr="00D4309F" w:rsidRDefault="00725977" w:rsidP="00725977">
      <w:pPr>
        <w:pStyle w:val="BodyText"/>
      </w:pPr>
    </w:p>
    <w:p w14:paraId="7CE73289" w14:textId="77777777" w:rsidR="00725977" w:rsidRPr="00D4309F" w:rsidRDefault="00725977" w:rsidP="002B2A66">
      <w:pPr>
        <w:pStyle w:val="Heading2"/>
      </w:pPr>
      <w:bookmarkStart w:id="570" w:name="_bookmark208"/>
      <w:bookmarkStart w:id="571" w:name="_Toc216699524"/>
      <w:bookmarkEnd w:id="570"/>
      <w:r w:rsidRPr="00D4309F">
        <w:t>Evaluation</w:t>
      </w:r>
      <w:r w:rsidRPr="00D4309F">
        <w:rPr>
          <w:spacing w:val="-19"/>
        </w:rPr>
        <w:t xml:space="preserve"> </w:t>
      </w:r>
      <w:r w:rsidRPr="00D4309F">
        <w:rPr>
          <w:spacing w:val="-2"/>
        </w:rPr>
        <w:t>Summary</w:t>
      </w:r>
      <w:bookmarkEnd w:id="571"/>
    </w:p>
    <w:p w14:paraId="4C8AB3D8" w14:textId="77777777" w:rsidR="00725977" w:rsidRPr="00D4309F" w:rsidRDefault="00725977" w:rsidP="00725977">
      <w:pPr>
        <w:pStyle w:val="BodyText"/>
      </w:pPr>
      <w:r w:rsidRPr="00D4309F">
        <w:t>The evaluation of long-term management options for the Mooloolah River entrance shows a clear distinction between options that provide meaningful improvements to sediment management and navigation safety, and those that offer only incremental operational benefit. The scoring results reflect a combination of coastal engineering capability, safety performance, community and environmental considerations, and financial implications.</w:t>
      </w:r>
    </w:p>
    <w:p w14:paraId="00224BE6" w14:textId="78E25D63" w:rsidR="00725977" w:rsidRPr="00D4309F" w:rsidRDefault="00725977" w:rsidP="00725977">
      <w:pPr>
        <w:pStyle w:val="BodyText"/>
      </w:pPr>
      <w:r w:rsidRPr="00D4309F">
        <w:t xml:space="preserve">Across all options assessed, Option 3A (Breakwater Extension - Rock Armour) achieved the highest overall score. This option performed well because </w:t>
      </w:r>
      <w:r w:rsidR="00F616EC">
        <w:t>it</w:t>
      </w:r>
      <w:r w:rsidRPr="00D4309F">
        <w:t xml:space="preserve"> offer improved control over sediment transport, reduced frequency of shoaling, and enhanced reliability of entrance access. It also demonstrates stronger alignment with long-term management goals, particularly those aiming to improve navigability at all times.</w:t>
      </w:r>
    </w:p>
    <w:p w14:paraId="3EC675A5" w14:textId="77777777" w:rsidR="00725977" w:rsidRPr="00D4309F" w:rsidRDefault="00725977" w:rsidP="00725977">
      <w:pPr>
        <w:pStyle w:val="BodyText"/>
      </w:pPr>
      <w:r w:rsidRPr="00D4309F">
        <w:t xml:space="preserve">Option 5A, which formalises the existing Western Channel without structural change, ranked well due to its extremely low environmental and social impact and modest cost. However, its high score reflects its </w:t>
      </w:r>
      <w:r w:rsidRPr="00D4309F">
        <w:lastRenderedPageBreak/>
        <w:t>suitability as an operational enhancement, not as a comprehensive sediment management solution. It does not reduce shoaling frequency, improve bypassing efficiency, or address the root causes of entrance instability. Its value lies in improving clarity, user confidence, and safety messaging during early shoal formation, rather than resolving the underlying problem.</w:t>
      </w:r>
    </w:p>
    <w:p w14:paraId="16BB9B5E" w14:textId="52BA882C" w:rsidR="007B53D0" w:rsidRDefault="00725977" w:rsidP="00725977">
      <w:pPr>
        <w:pStyle w:val="BodyText"/>
      </w:pPr>
      <w:r w:rsidRPr="00D4309F">
        <w:t>Overall, the evaluation confirms that options that directly influence sediment pathways and improve entrance stability (e.g., engineered extensions or well-designed trap systems) are most effective from a long-term operational and navigational standpoint. Operational improvements (such as Option 5A) remain valuable but cannot replace the need for a long-term intervention that manages sediment consistently and safely. The results highlight the importance of selecting a solution that is both technically feasible and resilient while maintaining community expectations and environmental performance.</w:t>
      </w:r>
    </w:p>
    <w:p w14:paraId="247FE099" w14:textId="77777777" w:rsidR="00725977" w:rsidRPr="00D4309F" w:rsidRDefault="00725977" w:rsidP="00AA4134">
      <w:pPr>
        <w:pStyle w:val="Heading2"/>
      </w:pPr>
      <w:bookmarkStart w:id="572" w:name="_Toc216699525"/>
      <w:r w:rsidRPr="00D4309F">
        <w:t>Evaluation</w:t>
      </w:r>
      <w:r w:rsidRPr="00D4309F">
        <w:rPr>
          <w:spacing w:val="-19"/>
        </w:rPr>
        <w:t xml:space="preserve"> </w:t>
      </w:r>
      <w:r w:rsidRPr="00D4309F">
        <w:rPr>
          <w:spacing w:val="-2"/>
        </w:rPr>
        <w:t>Discussion</w:t>
      </w:r>
      <w:bookmarkEnd w:id="572"/>
    </w:p>
    <w:p w14:paraId="58D8045A" w14:textId="77777777" w:rsidR="00725977" w:rsidRPr="00D4309F" w:rsidRDefault="00725977" w:rsidP="00725977">
      <w:pPr>
        <w:pStyle w:val="BodyText"/>
      </w:pPr>
      <w:r w:rsidRPr="00D4309F">
        <w:t>Option 3A ranked highest because it provides the strongest alignment with the core objectives of safe and reliable access, while also being the most progressed option in terms of design maturity. Its detailed engineering design and physical model testing mean the likely performance, safety outcomes, and sediment behaviour are well understood. This significantly reduces uncertainty and provides confidence that it can deliver consistent, predictable navigation access.</w:t>
      </w:r>
    </w:p>
    <w:p w14:paraId="722BE86E" w14:textId="77777777" w:rsidR="00725977" w:rsidRPr="00D4309F" w:rsidRDefault="00725977" w:rsidP="00725977">
      <w:pPr>
        <w:pStyle w:val="BodyText"/>
      </w:pPr>
      <w:r w:rsidRPr="00D4309F">
        <w:t>We recognise that from the SRG perspective, emerged structures are not preferred, particularly where visual impacts or perceived changes to beach character arise. This sentiment is fully acknowledged by the review team. However, when assessed strictly against the unweighted criteria, Option 3A offers the most dependable path toward achieving long-term access, based on what is currently known.</w:t>
      </w:r>
    </w:p>
    <w:p w14:paraId="1980A7D8" w14:textId="77777777" w:rsidR="00725977" w:rsidRPr="00D4309F" w:rsidRDefault="00725977" w:rsidP="00725977">
      <w:pPr>
        <w:pStyle w:val="BodyText"/>
      </w:pPr>
      <w:r w:rsidRPr="00D4309F">
        <w:t>Option 2 shows promise as a softer alternative and is expected to improve entrance conditions in many scenarios by providing a sand trap and creating more operational flexibility around when material is removed. However, it also carries potential negative effects, including local changes in wave transformation and the risk of creating new or modified shoaling patterns. Because Option 2 remains at a conceptual stage, with no detailed design or numerical modelling completed, it is difficult to quantify these effects or directly compare its reliability against Option 3A. There is merit in progressing Option 2 into more detailed design and modelling, but in its current early form it cannot be ranked higher than an option with fully established performance.</w:t>
      </w:r>
    </w:p>
    <w:p w14:paraId="77B3C1E3" w14:textId="77777777" w:rsidR="00725977" w:rsidRPr="00D4309F" w:rsidRDefault="00725977" w:rsidP="00725977">
      <w:pPr>
        <w:pStyle w:val="BodyText"/>
      </w:pPr>
      <w:r w:rsidRPr="00D4309F">
        <w:t>Option 3A also scored higher than other Option 3 variations because it remains compatible with the existing CSD and pipeline network to manage sand that builds up against the structure. Alternative systems (such as a crawler crane and pump) introduce new machinery requirements, greater setup complexity, and added impacts on beach users. While these alternatives may provide slightly more flexibility in operating conditions, the balance of operational effort, cost, and community impact favours Option 3A.</w:t>
      </w:r>
    </w:p>
    <w:p w14:paraId="4622190D" w14:textId="77777777" w:rsidR="00725977" w:rsidRPr="00D4309F" w:rsidRDefault="00725977" w:rsidP="00725977">
      <w:pPr>
        <w:pStyle w:val="BodyText"/>
      </w:pPr>
      <w:r w:rsidRPr="00D4309F">
        <w:t>Importantly, the review places strong emphasis on the community and social dimensions, not solely the technical outcomes. For this reason, even though Option 3A ranks highest, it is recommended that it be considered as a later-stage intervention, following the trial and evaluation of softer measures. This supports ongoing progress while respecting community preferences and enables a staged pathway toward a long-term, stable entrance solution if future monitoring shows that softer approaches alone cannot achieve the required level of safety and reliability.</w:t>
      </w:r>
    </w:p>
    <w:p w14:paraId="2527DDAB" w14:textId="77777777" w:rsidR="00725977" w:rsidRPr="00D4309F" w:rsidRDefault="00725977" w:rsidP="00725977">
      <w:pPr>
        <w:pStyle w:val="BodyText"/>
        <w:sectPr w:rsidR="00725977" w:rsidRPr="00D4309F" w:rsidSect="00405D4F">
          <w:headerReference w:type="default" r:id="rId161"/>
          <w:footerReference w:type="default" r:id="rId162"/>
          <w:pgSz w:w="11910" w:h="16840"/>
          <w:pgMar w:top="1418" w:right="1134" w:bottom="1418" w:left="1134" w:header="916" w:footer="980" w:gutter="0"/>
          <w:cols w:space="720"/>
        </w:sectPr>
      </w:pPr>
    </w:p>
    <w:p w14:paraId="056FA9B7" w14:textId="77777777" w:rsidR="00725977" w:rsidRPr="00AA4134" w:rsidRDefault="00725977" w:rsidP="00AA4134">
      <w:pPr>
        <w:pStyle w:val="Heading1"/>
      </w:pPr>
      <w:bookmarkStart w:id="573" w:name="_bookmark210"/>
      <w:bookmarkStart w:id="574" w:name="_Toc216699526"/>
      <w:bookmarkEnd w:id="573"/>
      <w:r w:rsidRPr="00AA4134">
        <w:lastRenderedPageBreak/>
        <w:t>LONG TERM RECOMMENDATIONS</w:t>
      </w:r>
      <w:bookmarkEnd w:id="574"/>
    </w:p>
    <w:p w14:paraId="27CE74A0" w14:textId="77777777" w:rsidR="00725977" w:rsidRPr="00D4309F" w:rsidRDefault="00725977" w:rsidP="00725977">
      <w:pPr>
        <w:pStyle w:val="BodyText"/>
      </w:pPr>
      <w:r w:rsidRPr="00D4309F">
        <w:t>The objective</w:t>
      </w:r>
      <w:r w:rsidRPr="00D4309F">
        <w:rPr>
          <w:spacing w:val="-1"/>
        </w:rPr>
        <w:t xml:space="preserve"> </w:t>
      </w:r>
      <w:r w:rsidRPr="00D4309F">
        <w:t>of this Long-Term review</w:t>
      </w:r>
      <w:r w:rsidRPr="00D4309F">
        <w:rPr>
          <w:spacing w:val="-1"/>
        </w:rPr>
        <w:t xml:space="preserve"> </w:t>
      </w:r>
      <w:r w:rsidRPr="00D4309F">
        <w:t>was to assess the available options and</w:t>
      </w:r>
      <w:r w:rsidRPr="00D4309F">
        <w:rPr>
          <w:spacing w:val="-1"/>
        </w:rPr>
        <w:t xml:space="preserve"> </w:t>
      </w:r>
      <w:r w:rsidRPr="00D4309F">
        <w:t>determine which</w:t>
      </w:r>
      <w:r w:rsidRPr="00D4309F">
        <w:rPr>
          <w:spacing w:val="-1"/>
        </w:rPr>
        <w:t xml:space="preserve"> </w:t>
      </w:r>
      <w:r w:rsidRPr="00D4309F">
        <w:t>solutions best address the navigational and coastal management challenges at the entrance. Based on the current level of development across the options, Option 3A ranked the highest due to its established design work and proven performance at comparable sites. At the same time, we recognise that there has been community</w:t>
      </w:r>
      <w:r w:rsidRPr="00D4309F">
        <w:rPr>
          <w:spacing w:val="-2"/>
        </w:rPr>
        <w:t xml:space="preserve"> </w:t>
      </w:r>
      <w:r w:rsidRPr="00D4309F">
        <w:t>hesitation</w:t>
      </w:r>
      <w:r w:rsidRPr="00D4309F">
        <w:rPr>
          <w:spacing w:val="-3"/>
        </w:rPr>
        <w:t xml:space="preserve"> </w:t>
      </w:r>
      <w:r w:rsidRPr="00D4309F">
        <w:t>toward</w:t>
      </w:r>
      <w:r w:rsidRPr="00D4309F">
        <w:rPr>
          <w:spacing w:val="-3"/>
        </w:rPr>
        <w:t xml:space="preserve"> </w:t>
      </w:r>
      <w:r w:rsidRPr="00D4309F">
        <w:t>more</w:t>
      </w:r>
      <w:r w:rsidRPr="00D4309F">
        <w:rPr>
          <w:spacing w:val="-3"/>
        </w:rPr>
        <w:t xml:space="preserve"> </w:t>
      </w:r>
      <w:r w:rsidRPr="00D4309F">
        <w:t>structural</w:t>
      </w:r>
      <w:r w:rsidRPr="00D4309F">
        <w:rPr>
          <w:spacing w:val="-3"/>
        </w:rPr>
        <w:t xml:space="preserve"> </w:t>
      </w:r>
      <w:r w:rsidRPr="00D4309F">
        <w:t>approaches,</w:t>
      </w:r>
      <w:r w:rsidRPr="00D4309F">
        <w:rPr>
          <w:spacing w:val="-3"/>
        </w:rPr>
        <w:t xml:space="preserve"> </w:t>
      </w:r>
      <w:r w:rsidRPr="00D4309F">
        <w:t>with</w:t>
      </w:r>
      <w:r w:rsidRPr="00D4309F">
        <w:rPr>
          <w:spacing w:val="-3"/>
        </w:rPr>
        <w:t xml:space="preserve"> </w:t>
      </w:r>
      <w:r w:rsidRPr="00D4309F">
        <w:t>a</w:t>
      </w:r>
      <w:r w:rsidRPr="00D4309F">
        <w:rPr>
          <w:spacing w:val="-3"/>
        </w:rPr>
        <w:t xml:space="preserve"> </w:t>
      </w:r>
      <w:r w:rsidRPr="00D4309F">
        <w:t>preference</w:t>
      </w:r>
      <w:r w:rsidRPr="00D4309F">
        <w:rPr>
          <w:spacing w:val="-3"/>
        </w:rPr>
        <w:t xml:space="preserve"> </w:t>
      </w:r>
      <w:r w:rsidRPr="00D4309F">
        <w:t>expressed</w:t>
      </w:r>
      <w:r w:rsidRPr="00D4309F">
        <w:rPr>
          <w:spacing w:val="-3"/>
        </w:rPr>
        <w:t xml:space="preserve"> </w:t>
      </w:r>
      <w:r w:rsidRPr="00D4309F">
        <w:t>for</w:t>
      </w:r>
      <w:r w:rsidRPr="00D4309F">
        <w:rPr>
          <w:spacing w:val="-4"/>
        </w:rPr>
        <w:t xml:space="preserve"> </w:t>
      </w:r>
      <w:r w:rsidRPr="00D4309F">
        <w:t>softer</w:t>
      </w:r>
      <w:r w:rsidRPr="00D4309F">
        <w:rPr>
          <w:spacing w:val="-2"/>
        </w:rPr>
        <w:t xml:space="preserve"> </w:t>
      </w:r>
      <w:r w:rsidRPr="00D4309F">
        <w:t>measures where feasible.</w:t>
      </w:r>
    </w:p>
    <w:p w14:paraId="365CD8DF" w14:textId="77777777" w:rsidR="00725977" w:rsidRPr="00D4309F" w:rsidRDefault="00725977" w:rsidP="00725977">
      <w:pPr>
        <w:pStyle w:val="BodyText"/>
      </w:pPr>
      <w:r w:rsidRPr="00D4309F">
        <w:t>Our team</w:t>
      </w:r>
      <w:r w:rsidRPr="00D4309F">
        <w:rPr>
          <w:spacing w:val="-1"/>
        </w:rPr>
        <w:t xml:space="preserve"> </w:t>
      </w:r>
      <w:r w:rsidRPr="00D4309F">
        <w:t>aligns with</w:t>
      </w:r>
      <w:r w:rsidRPr="00D4309F">
        <w:rPr>
          <w:spacing w:val="-1"/>
        </w:rPr>
        <w:t xml:space="preserve"> </w:t>
      </w:r>
      <w:r w:rsidRPr="00D4309F">
        <w:t>this preference</w:t>
      </w:r>
      <w:r w:rsidRPr="00D4309F">
        <w:rPr>
          <w:spacing w:val="-1"/>
        </w:rPr>
        <w:t xml:space="preserve"> </w:t>
      </w:r>
      <w:r w:rsidRPr="00D4309F">
        <w:t>and</w:t>
      </w:r>
      <w:r w:rsidRPr="00D4309F">
        <w:rPr>
          <w:spacing w:val="-2"/>
        </w:rPr>
        <w:t xml:space="preserve"> </w:t>
      </w:r>
      <w:r w:rsidRPr="00D4309F">
        <w:t>supports the</w:t>
      </w:r>
      <w:r w:rsidRPr="00D4309F">
        <w:rPr>
          <w:spacing w:val="-1"/>
        </w:rPr>
        <w:t xml:space="preserve"> </w:t>
      </w:r>
      <w:r w:rsidRPr="00D4309F">
        <w:t>principle</w:t>
      </w:r>
      <w:r w:rsidRPr="00D4309F">
        <w:rPr>
          <w:spacing w:val="-1"/>
        </w:rPr>
        <w:t xml:space="preserve"> </w:t>
      </w:r>
      <w:r w:rsidRPr="00D4309F">
        <w:t>of</w:t>
      </w:r>
      <w:r w:rsidRPr="00D4309F">
        <w:rPr>
          <w:spacing w:val="-1"/>
        </w:rPr>
        <w:t xml:space="preserve"> </w:t>
      </w:r>
      <w:r w:rsidRPr="00D4309F">
        <w:t>applying</w:t>
      </w:r>
      <w:r w:rsidRPr="00D4309F">
        <w:rPr>
          <w:spacing w:val="-1"/>
        </w:rPr>
        <w:t xml:space="preserve"> </w:t>
      </w:r>
      <w:r w:rsidRPr="00D4309F">
        <w:t>the</w:t>
      </w:r>
      <w:r w:rsidRPr="00D4309F">
        <w:rPr>
          <w:spacing w:val="-1"/>
        </w:rPr>
        <w:t xml:space="preserve"> </w:t>
      </w:r>
      <w:r w:rsidRPr="00D4309F">
        <w:t>least</w:t>
      </w:r>
      <w:r w:rsidRPr="00D4309F">
        <w:rPr>
          <w:spacing w:val="-1"/>
        </w:rPr>
        <w:t xml:space="preserve"> </w:t>
      </w:r>
      <w:r w:rsidRPr="00D4309F">
        <w:t>intrusive</w:t>
      </w:r>
      <w:r w:rsidRPr="00D4309F">
        <w:rPr>
          <w:spacing w:val="-1"/>
        </w:rPr>
        <w:t xml:space="preserve"> </w:t>
      </w:r>
      <w:r w:rsidRPr="00D4309F">
        <w:t>option</w:t>
      </w:r>
      <w:r w:rsidRPr="00D4309F">
        <w:rPr>
          <w:spacing w:val="-1"/>
        </w:rPr>
        <w:t xml:space="preserve"> </w:t>
      </w:r>
      <w:r w:rsidRPr="00D4309F">
        <w:t>that</w:t>
      </w:r>
      <w:r w:rsidRPr="00D4309F">
        <w:rPr>
          <w:spacing w:val="-1"/>
        </w:rPr>
        <w:t xml:space="preserve"> </w:t>
      </w:r>
      <w:r w:rsidRPr="00D4309F">
        <w:t>can still</w:t>
      </w:r>
      <w:r w:rsidRPr="00D4309F">
        <w:rPr>
          <w:spacing w:val="-3"/>
        </w:rPr>
        <w:t xml:space="preserve"> </w:t>
      </w:r>
      <w:r w:rsidRPr="00D4309F">
        <w:t>deliver</w:t>
      </w:r>
      <w:r w:rsidRPr="00D4309F">
        <w:rPr>
          <w:spacing w:val="-2"/>
        </w:rPr>
        <w:t xml:space="preserve"> </w:t>
      </w:r>
      <w:r w:rsidRPr="00D4309F">
        <w:t>meaningful</w:t>
      </w:r>
      <w:r w:rsidRPr="00D4309F">
        <w:rPr>
          <w:spacing w:val="-3"/>
        </w:rPr>
        <w:t xml:space="preserve"> </w:t>
      </w:r>
      <w:r w:rsidRPr="00D4309F">
        <w:t>improvement.</w:t>
      </w:r>
      <w:r w:rsidRPr="00D4309F">
        <w:rPr>
          <w:spacing w:val="-3"/>
        </w:rPr>
        <w:t xml:space="preserve"> </w:t>
      </w:r>
      <w:r w:rsidRPr="00D4309F">
        <w:t>This</w:t>
      </w:r>
      <w:r w:rsidRPr="00D4309F">
        <w:rPr>
          <w:spacing w:val="-2"/>
        </w:rPr>
        <w:t xml:space="preserve"> </w:t>
      </w:r>
      <w:r w:rsidRPr="00D4309F">
        <w:t>is</w:t>
      </w:r>
      <w:r w:rsidRPr="00D4309F">
        <w:rPr>
          <w:spacing w:val="-2"/>
        </w:rPr>
        <w:t xml:space="preserve"> </w:t>
      </w:r>
      <w:r w:rsidRPr="00D4309F">
        <w:t>why</w:t>
      </w:r>
      <w:r w:rsidRPr="00D4309F">
        <w:rPr>
          <w:spacing w:val="-4"/>
        </w:rPr>
        <w:t xml:space="preserve"> </w:t>
      </w:r>
      <w:r w:rsidRPr="00D4309F">
        <w:t>we</w:t>
      </w:r>
      <w:r w:rsidRPr="00D4309F">
        <w:rPr>
          <w:spacing w:val="-3"/>
        </w:rPr>
        <w:t xml:space="preserve"> </w:t>
      </w:r>
      <w:r w:rsidRPr="00D4309F">
        <w:t>recommend</w:t>
      </w:r>
      <w:r w:rsidRPr="00D4309F">
        <w:rPr>
          <w:spacing w:val="-3"/>
        </w:rPr>
        <w:t xml:space="preserve"> </w:t>
      </w:r>
      <w:r w:rsidRPr="00D4309F">
        <w:t>starting</w:t>
      </w:r>
      <w:r w:rsidRPr="00D4309F">
        <w:rPr>
          <w:spacing w:val="-3"/>
        </w:rPr>
        <w:t xml:space="preserve"> </w:t>
      </w:r>
      <w:r w:rsidRPr="00D4309F">
        <w:t>off</w:t>
      </w:r>
      <w:r w:rsidRPr="00D4309F">
        <w:rPr>
          <w:spacing w:val="-4"/>
        </w:rPr>
        <w:t xml:space="preserve"> </w:t>
      </w:r>
      <w:r w:rsidRPr="00D4309F">
        <w:t>‘softer’</w:t>
      </w:r>
      <w:r w:rsidRPr="00D4309F">
        <w:rPr>
          <w:spacing w:val="-3"/>
        </w:rPr>
        <w:t xml:space="preserve"> </w:t>
      </w:r>
      <w:r w:rsidRPr="00D4309F">
        <w:t>to</w:t>
      </w:r>
      <w:r w:rsidRPr="00D4309F">
        <w:rPr>
          <w:spacing w:val="-3"/>
        </w:rPr>
        <w:t xml:space="preserve"> </w:t>
      </w:r>
      <w:r w:rsidRPr="00D4309F">
        <w:t>develop</w:t>
      </w:r>
      <w:r w:rsidRPr="00D4309F">
        <w:rPr>
          <w:spacing w:val="-4"/>
        </w:rPr>
        <w:t xml:space="preserve"> </w:t>
      </w:r>
      <w:r w:rsidRPr="00D4309F">
        <w:t>more</w:t>
      </w:r>
      <w:r w:rsidRPr="00D4309F">
        <w:rPr>
          <w:spacing w:val="-3"/>
        </w:rPr>
        <w:t xml:space="preserve"> </w:t>
      </w:r>
      <w:r w:rsidRPr="00D4309F">
        <w:t>detailed understanding and design development.</w:t>
      </w:r>
    </w:p>
    <w:p w14:paraId="22F8A613" w14:textId="77777777" w:rsidR="00725977" w:rsidRPr="00D4309F" w:rsidRDefault="00725977" w:rsidP="00725977">
      <w:pPr>
        <w:pStyle w:val="BodyText"/>
      </w:pPr>
      <w:r w:rsidRPr="00D4309F">
        <w:t>After</w:t>
      </w:r>
      <w:r w:rsidRPr="00D4309F">
        <w:rPr>
          <w:spacing w:val="-2"/>
        </w:rPr>
        <w:t xml:space="preserve"> </w:t>
      </w:r>
      <w:r w:rsidRPr="00D4309F">
        <w:t>considering</w:t>
      </w:r>
      <w:r w:rsidRPr="00D4309F">
        <w:rPr>
          <w:spacing w:val="-3"/>
        </w:rPr>
        <w:t xml:space="preserve"> </w:t>
      </w:r>
      <w:r w:rsidRPr="00D4309F">
        <w:t>technical</w:t>
      </w:r>
      <w:r w:rsidRPr="00D4309F">
        <w:rPr>
          <w:spacing w:val="-4"/>
        </w:rPr>
        <w:t xml:space="preserve"> </w:t>
      </w:r>
      <w:r w:rsidRPr="00D4309F">
        <w:t>performance,</w:t>
      </w:r>
      <w:r w:rsidRPr="00D4309F">
        <w:rPr>
          <w:spacing w:val="-3"/>
        </w:rPr>
        <w:t xml:space="preserve"> </w:t>
      </w:r>
      <w:r w:rsidRPr="00D4309F">
        <w:t>constructability,</w:t>
      </w:r>
      <w:r w:rsidRPr="00D4309F">
        <w:rPr>
          <w:spacing w:val="-3"/>
        </w:rPr>
        <w:t xml:space="preserve"> </w:t>
      </w:r>
      <w:r w:rsidRPr="00D4309F">
        <w:t>and</w:t>
      </w:r>
      <w:r w:rsidRPr="00D4309F">
        <w:rPr>
          <w:spacing w:val="-3"/>
        </w:rPr>
        <w:t xml:space="preserve"> </w:t>
      </w:r>
      <w:r w:rsidRPr="00D4309F">
        <w:t>community</w:t>
      </w:r>
      <w:r w:rsidRPr="00D4309F">
        <w:rPr>
          <w:spacing w:val="-2"/>
        </w:rPr>
        <w:t xml:space="preserve"> </w:t>
      </w:r>
      <w:r w:rsidRPr="00D4309F">
        <w:t>impacts,</w:t>
      </w:r>
      <w:r w:rsidRPr="00D4309F">
        <w:rPr>
          <w:spacing w:val="-3"/>
        </w:rPr>
        <w:t xml:space="preserve"> </w:t>
      </w:r>
      <w:r w:rsidRPr="00D4309F">
        <w:t>it</w:t>
      </w:r>
      <w:r w:rsidRPr="00D4309F">
        <w:rPr>
          <w:spacing w:val="-3"/>
        </w:rPr>
        <w:t xml:space="preserve"> </w:t>
      </w:r>
      <w:r w:rsidRPr="00D4309F">
        <w:t>is</w:t>
      </w:r>
      <w:r w:rsidRPr="00D4309F">
        <w:rPr>
          <w:spacing w:val="-2"/>
        </w:rPr>
        <w:t xml:space="preserve"> </w:t>
      </w:r>
      <w:r w:rsidRPr="00D4309F">
        <w:t>recommended</w:t>
      </w:r>
      <w:r w:rsidRPr="00D4309F">
        <w:rPr>
          <w:spacing w:val="-3"/>
        </w:rPr>
        <w:t xml:space="preserve"> </w:t>
      </w:r>
      <w:r w:rsidRPr="00D4309F">
        <w:t>that Option 1A be progressed as the next stage of works.</w:t>
      </w:r>
    </w:p>
    <w:p w14:paraId="3807F02F" w14:textId="77777777" w:rsidR="00725977" w:rsidRPr="00D4309F" w:rsidRDefault="00725977" w:rsidP="00725977">
      <w:pPr>
        <w:pStyle w:val="BodyText"/>
      </w:pPr>
      <w:r w:rsidRPr="00D4309F">
        <w:t>Option 1A presents a low-impact and low-risk opportunity to address entrance shoaling. It is expected to provide</w:t>
      </w:r>
      <w:r w:rsidRPr="00D4309F">
        <w:rPr>
          <w:spacing w:val="-3"/>
        </w:rPr>
        <w:t xml:space="preserve"> </w:t>
      </w:r>
      <w:r w:rsidRPr="00D4309F">
        <w:t>measurable</w:t>
      </w:r>
      <w:r w:rsidRPr="00D4309F">
        <w:rPr>
          <w:spacing w:val="-3"/>
        </w:rPr>
        <w:t xml:space="preserve"> </w:t>
      </w:r>
      <w:r w:rsidRPr="00D4309F">
        <w:t>improvements</w:t>
      </w:r>
      <w:r w:rsidRPr="00D4309F">
        <w:rPr>
          <w:spacing w:val="-3"/>
        </w:rPr>
        <w:t xml:space="preserve"> </w:t>
      </w:r>
      <w:r w:rsidRPr="00D4309F">
        <w:t>while</w:t>
      </w:r>
      <w:r w:rsidRPr="00D4309F">
        <w:rPr>
          <w:spacing w:val="-4"/>
        </w:rPr>
        <w:t xml:space="preserve"> </w:t>
      </w:r>
      <w:r w:rsidRPr="00D4309F">
        <w:t>introducing</w:t>
      </w:r>
      <w:r w:rsidRPr="00D4309F">
        <w:rPr>
          <w:spacing w:val="-3"/>
        </w:rPr>
        <w:t xml:space="preserve"> </w:t>
      </w:r>
      <w:r w:rsidRPr="00D4309F">
        <w:t>limited</w:t>
      </w:r>
      <w:r w:rsidRPr="00D4309F">
        <w:rPr>
          <w:spacing w:val="-3"/>
        </w:rPr>
        <w:t xml:space="preserve"> </w:t>
      </w:r>
      <w:r w:rsidRPr="00D4309F">
        <w:t>disturbance</w:t>
      </w:r>
      <w:r w:rsidRPr="00D4309F">
        <w:rPr>
          <w:spacing w:val="-3"/>
        </w:rPr>
        <w:t xml:space="preserve"> </w:t>
      </w:r>
      <w:r w:rsidRPr="00D4309F">
        <w:t>to</w:t>
      </w:r>
      <w:r w:rsidRPr="00D4309F">
        <w:rPr>
          <w:spacing w:val="-3"/>
        </w:rPr>
        <w:t xml:space="preserve"> </w:t>
      </w:r>
      <w:r w:rsidRPr="00D4309F">
        <w:t>existing</w:t>
      </w:r>
      <w:r w:rsidRPr="00D4309F">
        <w:rPr>
          <w:spacing w:val="-3"/>
        </w:rPr>
        <w:t xml:space="preserve"> </w:t>
      </w:r>
      <w:r w:rsidRPr="00D4309F">
        <w:t>beach</w:t>
      </w:r>
      <w:r w:rsidRPr="00D4309F">
        <w:rPr>
          <w:spacing w:val="-4"/>
        </w:rPr>
        <w:t xml:space="preserve"> </w:t>
      </w:r>
      <w:r w:rsidRPr="00D4309F">
        <w:t>conditions.</w:t>
      </w:r>
      <w:r w:rsidRPr="00D4309F">
        <w:rPr>
          <w:spacing w:val="-3"/>
        </w:rPr>
        <w:t xml:space="preserve"> </w:t>
      </w:r>
      <w:r w:rsidRPr="00D4309F">
        <w:t>Given that nature of the works is removal of sand only from an agile environment, it is likely to proceed more efficiently through environmental and approval pathways. For these reasons, Option 1A is suited to early implementation as a trial.</w:t>
      </w:r>
    </w:p>
    <w:p w14:paraId="23960747" w14:textId="23B6D6B5" w:rsidR="00725977" w:rsidRPr="00D4309F" w:rsidRDefault="00725977" w:rsidP="00725977">
      <w:pPr>
        <w:pStyle w:val="BodyText"/>
      </w:pPr>
      <w:r w:rsidRPr="00D4309F">
        <w:t xml:space="preserve">We recommend that Option 1A be implemented </w:t>
      </w:r>
      <w:r w:rsidR="00A14462">
        <w:t>with ongoing monitoring</w:t>
      </w:r>
      <w:r w:rsidRPr="00D4309F">
        <w:t>. This would</w:t>
      </w:r>
      <w:r w:rsidRPr="00D4309F">
        <w:rPr>
          <w:spacing w:val="-3"/>
        </w:rPr>
        <w:t xml:space="preserve"> </w:t>
      </w:r>
      <w:r w:rsidRPr="00D4309F">
        <w:t>allow</w:t>
      </w:r>
      <w:r w:rsidRPr="00D4309F">
        <w:rPr>
          <w:spacing w:val="-2"/>
        </w:rPr>
        <w:t xml:space="preserve"> </w:t>
      </w:r>
      <w:r w:rsidRPr="00D4309F">
        <w:t>performance</w:t>
      </w:r>
      <w:r w:rsidRPr="00D4309F">
        <w:rPr>
          <w:spacing w:val="-3"/>
        </w:rPr>
        <w:t xml:space="preserve"> </w:t>
      </w:r>
      <w:r w:rsidRPr="00D4309F">
        <w:t>to</w:t>
      </w:r>
      <w:r w:rsidRPr="00D4309F">
        <w:rPr>
          <w:spacing w:val="-3"/>
        </w:rPr>
        <w:t xml:space="preserve"> </w:t>
      </w:r>
      <w:r w:rsidRPr="00D4309F">
        <w:t>be</w:t>
      </w:r>
      <w:r w:rsidRPr="00D4309F">
        <w:rPr>
          <w:spacing w:val="-3"/>
        </w:rPr>
        <w:t xml:space="preserve"> </w:t>
      </w:r>
      <w:r w:rsidRPr="00D4309F">
        <w:t>assessed</w:t>
      </w:r>
      <w:r w:rsidRPr="00D4309F">
        <w:rPr>
          <w:spacing w:val="-3"/>
        </w:rPr>
        <w:t xml:space="preserve"> </w:t>
      </w:r>
      <w:r w:rsidRPr="00D4309F">
        <w:t>under</w:t>
      </w:r>
      <w:r w:rsidRPr="00D4309F">
        <w:rPr>
          <w:spacing w:val="-2"/>
        </w:rPr>
        <w:t xml:space="preserve"> </w:t>
      </w:r>
      <w:r w:rsidRPr="00D4309F">
        <w:t>a</w:t>
      </w:r>
      <w:r w:rsidRPr="00D4309F">
        <w:rPr>
          <w:spacing w:val="-3"/>
        </w:rPr>
        <w:t xml:space="preserve"> </w:t>
      </w:r>
      <w:r w:rsidRPr="00D4309F">
        <w:t>range</w:t>
      </w:r>
      <w:r w:rsidRPr="00D4309F">
        <w:rPr>
          <w:spacing w:val="-3"/>
        </w:rPr>
        <w:t xml:space="preserve"> </w:t>
      </w:r>
      <w:r w:rsidRPr="00D4309F">
        <w:t>of</w:t>
      </w:r>
      <w:r w:rsidRPr="00D4309F">
        <w:rPr>
          <w:spacing w:val="-3"/>
        </w:rPr>
        <w:t xml:space="preserve"> </w:t>
      </w:r>
      <w:r w:rsidRPr="00D4309F">
        <w:t>conditions</w:t>
      </w:r>
      <w:r w:rsidRPr="00D4309F">
        <w:rPr>
          <w:spacing w:val="-2"/>
        </w:rPr>
        <w:t xml:space="preserve"> </w:t>
      </w:r>
      <w:r w:rsidRPr="00D4309F">
        <w:t>and</w:t>
      </w:r>
      <w:r w:rsidRPr="00D4309F">
        <w:rPr>
          <w:spacing w:val="-3"/>
        </w:rPr>
        <w:t xml:space="preserve"> </w:t>
      </w:r>
      <w:r w:rsidRPr="00D4309F">
        <w:t>provide</w:t>
      </w:r>
      <w:r w:rsidRPr="00D4309F">
        <w:rPr>
          <w:spacing w:val="-3"/>
        </w:rPr>
        <w:t xml:space="preserve"> </w:t>
      </w:r>
      <w:r w:rsidRPr="00D4309F">
        <w:t>valuable</w:t>
      </w:r>
      <w:r w:rsidRPr="00D4309F">
        <w:rPr>
          <w:spacing w:val="-3"/>
        </w:rPr>
        <w:t xml:space="preserve"> </w:t>
      </w:r>
      <w:r w:rsidRPr="00D4309F">
        <w:t>data</w:t>
      </w:r>
      <w:r w:rsidRPr="00D4309F">
        <w:rPr>
          <w:spacing w:val="-3"/>
        </w:rPr>
        <w:t xml:space="preserve"> </w:t>
      </w:r>
      <w:r w:rsidRPr="00D4309F">
        <w:t>on</w:t>
      </w:r>
      <w:r w:rsidRPr="00D4309F">
        <w:rPr>
          <w:spacing w:val="-3"/>
        </w:rPr>
        <w:t xml:space="preserve"> </w:t>
      </w:r>
      <w:r w:rsidRPr="00D4309F">
        <w:t>changes to the entrance, sediment behaviour, and any associated impacts.</w:t>
      </w:r>
    </w:p>
    <w:p w14:paraId="4DA1FE37" w14:textId="77777777" w:rsidR="00725977" w:rsidRPr="00D4309F" w:rsidRDefault="00725977" w:rsidP="00725977">
      <w:pPr>
        <w:pStyle w:val="BodyText"/>
      </w:pPr>
      <w:r w:rsidRPr="00D4309F">
        <w:t>The trial does not need to be a stand-alone effort. While Option 1A is being trialled, further development of Option</w:t>
      </w:r>
      <w:r w:rsidRPr="00D4309F">
        <w:rPr>
          <w:spacing w:val="-2"/>
        </w:rPr>
        <w:t xml:space="preserve"> </w:t>
      </w:r>
      <w:r w:rsidRPr="00D4309F">
        <w:t>2</w:t>
      </w:r>
      <w:r w:rsidRPr="00D4309F">
        <w:rPr>
          <w:spacing w:val="-2"/>
        </w:rPr>
        <w:t xml:space="preserve"> </w:t>
      </w:r>
      <w:r w:rsidRPr="00D4309F">
        <w:t>can</w:t>
      </w:r>
      <w:r w:rsidRPr="00D4309F">
        <w:rPr>
          <w:spacing w:val="-3"/>
        </w:rPr>
        <w:t xml:space="preserve"> </w:t>
      </w:r>
      <w:r w:rsidRPr="00D4309F">
        <w:t>continue,</w:t>
      </w:r>
      <w:r w:rsidRPr="00D4309F">
        <w:rPr>
          <w:spacing w:val="-2"/>
        </w:rPr>
        <w:t xml:space="preserve"> </w:t>
      </w:r>
      <w:r w:rsidRPr="00D4309F">
        <w:t>noting</w:t>
      </w:r>
      <w:r w:rsidRPr="00D4309F">
        <w:rPr>
          <w:spacing w:val="-2"/>
        </w:rPr>
        <w:t xml:space="preserve"> </w:t>
      </w:r>
      <w:r w:rsidRPr="00D4309F">
        <w:t>that</w:t>
      </w:r>
      <w:r w:rsidRPr="00D4309F">
        <w:rPr>
          <w:spacing w:val="-2"/>
        </w:rPr>
        <w:t xml:space="preserve"> </w:t>
      </w:r>
      <w:r w:rsidRPr="00D4309F">
        <w:t>Option</w:t>
      </w:r>
      <w:r w:rsidRPr="00D4309F">
        <w:rPr>
          <w:spacing w:val="-2"/>
        </w:rPr>
        <w:t xml:space="preserve"> </w:t>
      </w:r>
      <w:r w:rsidRPr="00D4309F">
        <w:t>2</w:t>
      </w:r>
      <w:r w:rsidRPr="00D4309F">
        <w:rPr>
          <w:spacing w:val="-2"/>
        </w:rPr>
        <w:t xml:space="preserve"> </w:t>
      </w:r>
      <w:r w:rsidRPr="00D4309F">
        <w:t>scored</w:t>
      </w:r>
      <w:r w:rsidRPr="00D4309F">
        <w:rPr>
          <w:spacing w:val="-2"/>
        </w:rPr>
        <w:t xml:space="preserve"> </w:t>
      </w:r>
      <w:r w:rsidRPr="00D4309F">
        <w:t>well</w:t>
      </w:r>
      <w:r w:rsidRPr="00D4309F">
        <w:rPr>
          <w:spacing w:val="-2"/>
        </w:rPr>
        <w:t xml:space="preserve"> </w:t>
      </w:r>
      <w:r w:rsidRPr="00D4309F">
        <w:t>but</w:t>
      </w:r>
      <w:r w:rsidRPr="00D4309F">
        <w:rPr>
          <w:spacing w:val="-2"/>
        </w:rPr>
        <w:t xml:space="preserve"> </w:t>
      </w:r>
      <w:r w:rsidRPr="00D4309F">
        <w:t>remains</w:t>
      </w:r>
      <w:r w:rsidRPr="00D4309F">
        <w:rPr>
          <w:spacing w:val="-1"/>
        </w:rPr>
        <w:t xml:space="preserve"> </w:t>
      </w:r>
      <w:r w:rsidRPr="00D4309F">
        <w:t>at</w:t>
      </w:r>
      <w:r w:rsidRPr="00D4309F">
        <w:rPr>
          <w:spacing w:val="-2"/>
        </w:rPr>
        <w:t xml:space="preserve"> </w:t>
      </w:r>
      <w:r w:rsidRPr="00D4309F">
        <w:t>an</w:t>
      </w:r>
      <w:r w:rsidRPr="00D4309F">
        <w:rPr>
          <w:spacing w:val="-2"/>
        </w:rPr>
        <w:t xml:space="preserve"> </w:t>
      </w:r>
      <w:r w:rsidRPr="00D4309F">
        <w:t>early,</w:t>
      </w:r>
      <w:r w:rsidRPr="00D4309F">
        <w:rPr>
          <w:spacing w:val="-4"/>
        </w:rPr>
        <w:t xml:space="preserve"> </w:t>
      </w:r>
      <w:r w:rsidRPr="00D4309F">
        <w:t>concept</w:t>
      </w:r>
      <w:r w:rsidRPr="00D4309F">
        <w:rPr>
          <w:spacing w:val="-1"/>
        </w:rPr>
        <w:t xml:space="preserve"> </w:t>
      </w:r>
      <w:r w:rsidRPr="00D4309F">
        <w:t>stage.</w:t>
      </w:r>
      <w:r w:rsidRPr="00D4309F">
        <w:rPr>
          <w:spacing w:val="-2"/>
        </w:rPr>
        <w:t xml:space="preserve"> </w:t>
      </w:r>
      <w:r w:rsidRPr="00D4309F">
        <w:t>Advancing its design in parallel would ensure that a more refined version is ready should the trial indicate the need for additional measures.</w:t>
      </w:r>
    </w:p>
    <w:p w14:paraId="5AA27280" w14:textId="77777777" w:rsidR="00725977" w:rsidRPr="00D4309F" w:rsidRDefault="00725977" w:rsidP="00725977">
      <w:pPr>
        <w:pStyle w:val="BodyText"/>
      </w:pPr>
      <w:r w:rsidRPr="00D4309F">
        <w:t>It is also important to acknowledge that the options in this report were assessed individually. There is opportunity</w:t>
      </w:r>
      <w:r w:rsidRPr="00D4309F">
        <w:rPr>
          <w:spacing w:val="-2"/>
        </w:rPr>
        <w:t xml:space="preserve"> </w:t>
      </w:r>
      <w:r w:rsidRPr="00D4309F">
        <w:t>to</w:t>
      </w:r>
      <w:r w:rsidRPr="00D4309F">
        <w:rPr>
          <w:spacing w:val="-4"/>
        </w:rPr>
        <w:t xml:space="preserve"> </w:t>
      </w:r>
      <w:r w:rsidRPr="00D4309F">
        <w:t>refine</w:t>
      </w:r>
      <w:r w:rsidRPr="00D4309F">
        <w:rPr>
          <w:spacing w:val="-3"/>
        </w:rPr>
        <w:t xml:space="preserve"> </w:t>
      </w:r>
      <w:r w:rsidRPr="00D4309F">
        <w:t>or</w:t>
      </w:r>
      <w:r w:rsidRPr="00D4309F">
        <w:rPr>
          <w:spacing w:val="-4"/>
        </w:rPr>
        <w:t xml:space="preserve"> </w:t>
      </w:r>
      <w:r w:rsidRPr="00D4309F">
        <w:t>combine</w:t>
      </w:r>
      <w:r w:rsidRPr="00D4309F">
        <w:rPr>
          <w:spacing w:val="-3"/>
        </w:rPr>
        <w:t xml:space="preserve"> </w:t>
      </w:r>
      <w:r w:rsidRPr="00D4309F">
        <w:t>measures</w:t>
      </w:r>
      <w:r w:rsidRPr="00D4309F">
        <w:rPr>
          <w:spacing w:val="-2"/>
        </w:rPr>
        <w:t xml:space="preserve"> </w:t>
      </w:r>
      <w:r w:rsidRPr="00D4309F">
        <w:t>as</w:t>
      </w:r>
      <w:r w:rsidRPr="00D4309F">
        <w:rPr>
          <w:spacing w:val="-2"/>
        </w:rPr>
        <w:t xml:space="preserve"> </w:t>
      </w:r>
      <w:r w:rsidRPr="00D4309F">
        <w:t>more</w:t>
      </w:r>
      <w:r w:rsidRPr="00D4309F">
        <w:rPr>
          <w:spacing w:val="-3"/>
        </w:rPr>
        <w:t xml:space="preserve"> </w:t>
      </w:r>
      <w:r w:rsidRPr="00D4309F">
        <w:t>information</w:t>
      </w:r>
      <w:r w:rsidRPr="00D4309F">
        <w:rPr>
          <w:spacing w:val="-3"/>
        </w:rPr>
        <w:t xml:space="preserve"> </w:t>
      </w:r>
      <w:r w:rsidRPr="00D4309F">
        <w:t>becomes</w:t>
      </w:r>
      <w:r w:rsidRPr="00D4309F">
        <w:rPr>
          <w:spacing w:val="-2"/>
        </w:rPr>
        <w:t xml:space="preserve"> </w:t>
      </w:r>
      <w:r w:rsidRPr="00D4309F">
        <w:t>available.</w:t>
      </w:r>
      <w:r w:rsidRPr="00D4309F">
        <w:rPr>
          <w:spacing w:val="-3"/>
        </w:rPr>
        <w:t xml:space="preserve"> </w:t>
      </w:r>
      <w:r w:rsidRPr="00D4309F">
        <w:t>Trial</w:t>
      </w:r>
      <w:r w:rsidRPr="00D4309F">
        <w:rPr>
          <w:spacing w:val="-3"/>
        </w:rPr>
        <w:t xml:space="preserve"> </w:t>
      </w:r>
      <w:r w:rsidRPr="00D4309F">
        <w:t>monitoring</w:t>
      </w:r>
      <w:r w:rsidRPr="00D4309F">
        <w:rPr>
          <w:spacing w:val="-4"/>
        </w:rPr>
        <w:t xml:space="preserve"> </w:t>
      </w:r>
      <w:r w:rsidRPr="00D4309F">
        <w:t>results from</w:t>
      </w:r>
      <w:r w:rsidRPr="00D4309F">
        <w:rPr>
          <w:spacing w:val="-1"/>
        </w:rPr>
        <w:t xml:space="preserve"> </w:t>
      </w:r>
      <w:r w:rsidRPr="00D4309F">
        <w:t>Option</w:t>
      </w:r>
      <w:r w:rsidRPr="00D4309F">
        <w:rPr>
          <w:spacing w:val="-1"/>
        </w:rPr>
        <w:t xml:space="preserve"> </w:t>
      </w:r>
      <w:r w:rsidRPr="00D4309F">
        <w:t>1A</w:t>
      </w:r>
      <w:r w:rsidRPr="00D4309F">
        <w:rPr>
          <w:spacing w:val="-1"/>
        </w:rPr>
        <w:t xml:space="preserve"> </w:t>
      </w:r>
      <w:r w:rsidRPr="00D4309F">
        <w:t>could</w:t>
      </w:r>
      <w:r w:rsidRPr="00D4309F">
        <w:rPr>
          <w:spacing w:val="-1"/>
        </w:rPr>
        <w:t xml:space="preserve"> </w:t>
      </w:r>
      <w:r w:rsidRPr="00D4309F">
        <w:t>directly inform</w:t>
      </w:r>
      <w:r w:rsidRPr="00D4309F">
        <w:rPr>
          <w:spacing w:val="-1"/>
        </w:rPr>
        <w:t xml:space="preserve"> </w:t>
      </w:r>
      <w:r w:rsidRPr="00D4309F">
        <w:t>updates</w:t>
      </w:r>
      <w:r w:rsidRPr="00D4309F">
        <w:rPr>
          <w:spacing w:val="-1"/>
        </w:rPr>
        <w:t xml:space="preserve"> </w:t>
      </w:r>
      <w:r w:rsidRPr="00D4309F">
        <w:t>to</w:t>
      </w:r>
      <w:r w:rsidRPr="00D4309F">
        <w:rPr>
          <w:spacing w:val="-1"/>
        </w:rPr>
        <w:t xml:space="preserve"> </w:t>
      </w:r>
      <w:r w:rsidRPr="00D4309F">
        <w:t>subsequent</w:t>
      </w:r>
      <w:r w:rsidRPr="00D4309F">
        <w:rPr>
          <w:spacing w:val="-1"/>
        </w:rPr>
        <w:t xml:space="preserve"> </w:t>
      </w:r>
      <w:r w:rsidRPr="00D4309F">
        <w:t>designs,</w:t>
      </w:r>
      <w:r w:rsidRPr="00D4309F">
        <w:rPr>
          <w:spacing w:val="-1"/>
        </w:rPr>
        <w:t xml:space="preserve"> </w:t>
      </w:r>
      <w:r w:rsidRPr="00D4309F">
        <w:t>improving</w:t>
      </w:r>
      <w:r w:rsidRPr="00D4309F">
        <w:rPr>
          <w:spacing w:val="-1"/>
        </w:rPr>
        <w:t xml:space="preserve"> </w:t>
      </w:r>
      <w:r w:rsidRPr="00D4309F">
        <w:t>confidence</w:t>
      </w:r>
      <w:r w:rsidRPr="00D4309F">
        <w:rPr>
          <w:spacing w:val="-1"/>
        </w:rPr>
        <w:t xml:space="preserve"> </w:t>
      </w:r>
      <w:r w:rsidRPr="00D4309F">
        <w:t>in</w:t>
      </w:r>
      <w:r w:rsidRPr="00D4309F">
        <w:rPr>
          <w:spacing w:val="-2"/>
        </w:rPr>
        <w:t xml:space="preserve"> </w:t>
      </w:r>
      <w:r w:rsidRPr="00D4309F">
        <w:t>performance and helping determine the appropriate level of intervention.</w:t>
      </w:r>
    </w:p>
    <w:p w14:paraId="250F6F45" w14:textId="77777777" w:rsidR="00725977" w:rsidRPr="00D4309F" w:rsidRDefault="00725977" w:rsidP="00725977">
      <w:pPr>
        <w:pStyle w:val="BodyText"/>
      </w:pPr>
      <w:r w:rsidRPr="00D4309F">
        <w:t>In</w:t>
      </w:r>
      <w:r w:rsidRPr="00D4309F">
        <w:rPr>
          <w:spacing w:val="-5"/>
        </w:rPr>
        <w:t xml:space="preserve"> </w:t>
      </w:r>
      <w:r w:rsidRPr="00D4309F">
        <w:t>summary,</w:t>
      </w:r>
      <w:r w:rsidRPr="00D4309F">
        <w:rPr>
          <w:spacing w:val="-5"/>
        </w:rPr>
        <w:t xml:space="preserve"> </w:t>
      </w:r>
      <w:r w:rsidRPr="00D4309F">
        <w:t>the</w:t>
      </w:r>
      <w:r w:rsidRPr="00D4309F">
        <w:rPr>
          <w:spacing w:val="-5"/>
        </w:rPr>
        <w:t xml:space="preserve"> </w:t>
      </w:r>
      <w:r w:rsidRPr="00D4309F">
        <w:t>recommended</w:t>
      </w:r>
      <w:r w:rsidRPr="00D4309F">
        <w:rPr>
          <w:spacing w:val="-5"/>
        </w:rPr>
        <w:t xml:space="preserve"> </w:t>
      </w:r>
      <w:r w:rsidRPr="00D4309F">
        <w:t>pathway</w:t>
      </w:r>
      <w:r w:rsidRPr="00D4309F">
        <w:rPr>
          <w:spacing w:val="-4"/>
        </w:rPr>
        <w:t xml:space="preserve"> </w:t>
      </w:r>
      <w:r w:rsidRPr="00D4309F">
        <w:rPr>
          <w:spacing w:val="-5"/>
        </w:rPr>
        <w:t>is:</w:t>
      </w:r>
    </w:p>
    <w:p w14:paraId="5C2C6A94" w14:textId="22731794" w:rsidR="00725977" w:rsidRPr="00D4309F" w:rsidRDefault="00725977" w:rsidP="006C24AF">
      <w:pPr>
        <w:pStyle w:val="ListParagraph"/>
        <w:widowControl w:val="0"/>
        <w:numPr>
          <w:ilvl w:val="0"/>
          <w:numId w:val="11"/>
        </w:numPr>
        <w:tabs>
          <w:tab w:val="left" w:pos="501"/>
        </w:tabs>
        <w:autoSpaceDE w:val="0"/>
        <w:autoSpaceDN w:val="0"/>
        <w:spacing w:after="0" w:line="240" w:lineRule="auto"/>
        <w:ind w:left="501"/>
        <w:contextualSpacing w:val="0"/>
      </w:pPr>
      <w:r w:rsidRPr="00D4309F">
        <w:rPr>
          <w:color w:val="211E1F"/>
        </w:rPr>
        <w:t>Proceed</w:t>
      </w:r>
      <w:r w:rsidRPr="00D4309F">
        <w:rPr>
          <w:color w:val="211E1F"/>
          <w:spacing w:val="-6"/>
        </w:rPr>
        <w:t xml:space="preserve"> </w:t>
      </w:r>
      <w:r w:rsidRPr="00D4309F">
        <w:rPr>
          <w:color w:val="211E1F"/>
        </w:rPr>
        <w:t>with</w:t>
      </w:r>
      <w:r w:rsidRPr="00D4309F">
        <w:rPr>
          <w:color w:val="211E1F"/>
          <w:spacing w:val="-3"/>
        </w:rPr>
        <w:t xml:space="preserve"> </w:t>
      </w:r>
      <w:r w:rsidR="00395FA7">
        <w:rPr>
          <w:color w:val="211E1F"/>
          <w:spacing w:val="-3"/>
        </w:rPr>
        <w:t>Buddina Beach Sand Trap (</w:t>
      </w:r>
      <w:r w:rsidRPr="00D4309F">
        <w:rPr>
          <w:color w:val="211E1F"/>
        </w:rPr>
        <w:t>Option</w:t>
      </w:r>
      <w:r w:rsidRPr="00D4309F">
        <w:rPr>
          <w:color w:val="211E1F"/>
          <w:spacing w:val="-2"/>
        </w:rPr>
        <w:t xml:space="preserve"> </w:t>
      </w:r>
      <w:r w:rsidRPr="00D4309F">
        <w:rPr>
          <w:color w:val="211E1F"/>
        </w:rPr>
        <w:t>1A</w:t>
      </w:r>
      <w:r w:rsidR="00395FA7">
        <w:rPr>
          <w:color w:val="211E1F"/>
        </w:rPr>
        <w:t>)</w:t>
      </w:r>
      <w:r w:rsidRPr="00D4309F">
        <w:rPr>
          <w:color w:val="211E1F"/>
          <w:spacing w:val="-3"/>
        </w:rPr>
        <w:t xml:space="preserve"> </w:t>
      </w:r>
      <w:r w:rsidR="00D0384D">
        <w:rPr>
          <w:color w:val="211E1F"/>
          <w:spacing w:val="-3"/>
        </w:rPr>
        <w:t xml:space="preserve">with ongoing monitoring </w:t>
      </w:r>
      <w:r w:rsidRPr="00D4309F">
        <w:rPr>
          <w:color w:val="211E1F"/>
        </w:rPr>
        <w:t>as</w:t>
      </w:r>
      <w:r w:rsidRPr="00D4309F">
        <w:rPr>
          <w:color w:val="211E1F"/>
          <w:spacing w:val="-2"/>
        </w:rPr>
        <w:t xml:space="preserve"> </w:t>
      </w:r>
      <w:r w:rsidRPr="00D4309F">
        <w:rPr>
          <w:color w:val="211E1F"/>
        </w:rPr>
        <w:t>the</w:t>
      </w:r>
      <w:r w:rsidRPr="00D4309F">
        <w:rPr>
          <w:color w:val="211E1F"/>
          <w:spacing w:val="-3"/>
        </w:rPr>
        <w:t xml:space="preserve"> </w:t>
      </w:r>
      <w:r w:rsidRPr="00D4309F">
        <w:rPr>
          <w:color w:val="211E1F"/>
        </w:rPr>
        <w:t>next</w:t>
      </w:r>
      <w:r w:rsidRPr="00D4309F">
        <w:rPr>
          <w:color w:val="211E1F"/>
          <w:spacing w:val="-2"/>
        </w:rPr>
        <w:t xml:space="preserve"> </w:t>
      </w:r>
      <w:r w:rsidRPr="00D4309F">
        <w:rPr>
          <w:color w:val="211E1F"/>
          <w:spacing w:val="-4"/>
        </w:rPr>
        <w:t>step</w:t>
      </w:r>
      <w:r w:rsidR="00395FA7">
        <w:rPr>
          <w:color w:val="211E1F"/>
          <w:spacing w:val="-4"/>
        </w:rPr>
        <w:t>.</w:t>
      </w:r>
    </w:p>
    <w:p w14:paraId="2F0198AB" w14:textId="6517E037" w:rsidR="00725977" w:rsidRPr="00D4309F" w:rsidRDefault="009824FC" w:rsidP="006C24AF">
      <w:pPr>
        <w:pStyle w:val="ListParagraph"/>
        <w:widowControl w:val="0"/>
        <w:numPr>
          <w:ilvl w:val="0"/>
          <w:numId w:val="11"/>
        </w:numPr>
        <w:tabs>
          <w:tab w:val="left" w:pos="500"/>
        </w:tabs>
        <w:autoSpaceDE w:val="0"/>
        <w:autoSpaceDN w:val="0"/>
        <w:spacing w:before="119" w:after="0" w:line="240" w:lineRule="auto"/>
        <w:contextualSpacing w:val="0"/>
      </w:pPr>
      <w:r>
        <w:rPr>
          <w:color w:val="211E1F"/>
        </w:rPr>
        <w:t xml:space="preserve">Further develop and detail the </w:t>
      </w:r>
      <w:r w:rsidR="00112FB1">
        <w:rPr>
          <w:color w:val="211E1F"/>
        </w:rPr>
        <w:t>Rock excavation of the entrance (Option 2)</w:t>
      </w:r>
      <w:r w:rsidR="00B25A84">
        <w:rPr>
          <w:color w:val="211E1F"/>
        </w:rPr>
        <w:t xml:space="preserve"> then re-assess agains</w:t>
      </w:r>
      <w:r w:rsidR="002269D0">
        <w:rPr>
          <w:color w:val="211E1F"/>
        </w:rPr>
        <w:t>t Option 3</w:t>
      </w:r>
      <w:r w:rsidR="002269D0">
        <w:rPr>
          <w:color w:val="211E1F"/>
          <w:spacing w:val="-10"/>
        </w:rPr>
        <w:t>.</w:t>
      </w:r>
    </w:p>
    <w:p w14:paraId="6B4A96FC" w14:textId="77777777" w:rsidR="00725977" w:rsidRPr="00D4309F" w:rsidRDefault="00725977" w:rsidP="006C24AF">
      <w:pPr>
        <w:pStyle w:val="ListParagraph"/>
        <w:widowControl w:val="0"/>
        <w:numPr>
          <w:ilvl w:val="0"/>
          <w:numId w:val="11"/>
        </w:numPr>
        <w:tabs>
          <w:tab w:val="left" w:pos="500"/>
        </w:tabs>
        <w:autoSpaceDE w:val="0"/>
        <w:autoSpaceDN w:val="0"/>
        <w:spacing w:before="118" w:after="0" w:line="240" w:lineRule="auto"/>
        <w:ind w:right="703"/>
        <w:contextualSpacing w:val="0"/>
      </w:pPr>
      <w:r w:rsidRPr="00D4309F">
        <w:rPr>
          <w:color w:val="211E1F"/>
        </w:rPr>
        <w:t>Use</w:t>
      </w:r>
      <w:r w:rsidRPr="00D4309F">
        <w:rPr>
          <w:color w:val="211E1F"/>
          <w:spacing w:val="-3"/>
        </w:rPr>
        <w:t xml:space="preserve"> </w:t>
      </w:r>
      <w:r w:rsidRPr="00D4309F">
        <w:rPr>
          <w:color w:val="211E1F"/>
        </w:rPr>
        <w:t>1A</w:t>
      </w:r>
      <w:r w:rsidRPr="00D4309F">
        <w:rPr>
          <w:color w:val="211E1F"/>
          <w:spacing w:val="-3"/>
        </w:rPr>
        <w:t xml:space="preserve"> </w:t>
      </w:r>
      <w:r w:rsidRPr="00D4309F">
        <w:rPr>
          <w:color w:val="211E1F"/>
        </w:rPr>
        <w:t>monitoring</w:t>
      </w:r>
      <w:r w:rsidRPr="00D4309F">
        <w:rPr>
          <w:color w:val="211E1F"/>
          <w:spacing w:val="-4"/>
        </w:rPr>
        <w:t xml:space="preserve"> </w:t>
      </w:r>
      <w:r w:rsidRPr="00D4309F">
        <w:rPr>
          <w:color w:val="211E1F"/>
        </w:rPr>
        <w:t>results</w:t>
      </w:r>
      <w:r w:rsidRPr="00D4309F">
        <w:rPr>
          <w:color w:val="211E1F"/>
          <w:spacing w:val="-2"/>
        </w:rPr>
        <w:t xml:space="preserve"> </w:t>
      </w:r>
      <w:r w:rsidRPr="00D4309F">
        <w:rPr>
          <w:color w:val="211E1F"/>
        </w:rPr>
        <w:t>to</w:t>
      </w:r>
      <w:r w:rsidRPr="00D4309F">
        <w:rPr>
          <w:color w:val="211E1F"/>
          <w:spacing w:val="-3"/>
        </w:rPr>
        <w:t xml:space="preserve"> </w:t>
      </w:r>
      <w:r w:rsidRPr="00D4309F">
        <w:rPr>
          <w:color w:val="211E1F"/>
        </w:rPr>
        <w:t>validate</w:t>
      </w:r>
      <w:r w:rsidRPr="00D4309F">
        <w:rPr>
          <w:color w:val="211E1F"/>
          <w:spacing w:val="-3"/>
        </w:rPr>
        <w:t xml:space="preserve"> </w:t>
      </w:r>
      <w:r w:rsidRPr="00D4309F">
        <w:rPr>
          <w:color w:val="211E1F"/>
        </w:rPr>
        <w:t>performance</w:t>
      </w:r>
      <w:r w:rsidRPr="00D4309F">
        <w:rPr>
          <w:color w:val="211E1F"/>
          <w:spacing w:val="-3"/>
        </w:rPr>
        <w:t xml:space="preserve"> </w:t>
      </w:r>
      <w:r w:rsidRPr="00D4309F">
        <w:rPr>
          <w:color w:val="211E1F"/>
        </w:rPr>
        <w:t>and</w:t>
      </w:r>
      <w:r w:rsidRPr="00D4309F">
        <w:rPr>
          <w:color w:val="211E1F"/>
          <w:spacing w:val="-4"/>
        </w:rPr>
        <w:t xml:space="preserve"> </w:t>
      </w:r>
      <w:r w:rsidRPr="00D4309F">
        <w:rPr>
          <w:color w:val="211E1F"/>
        </w:rPr>
        <w:t>inform</w:t>
      </w:r>
      <w:r w:rsidRPr="00D4309F">
        <w:rPr>
          <w:color w:val="211E1F"/>
          <w:spacing w:val="-3"/>
        </w:rPr>
        <w:t xml:space="preserve"> </w:t>
      </w:r>
      <w:r w:rsidRPr="00D4309F">
        <w:rPr>
          <w:color w:val="211E1F"/>
        </w:rPr>
        <w:t>future</w:t>
      </w:r>
      <w:r w:rsidRPr="00D4309F">
        <w:rPr>
          <w:color w:val="211E1F"/>
          <w:spacing w:val="-4"/>
        </w:rPr>
        <w:t xml:space="preserve"> </w:t>
      </w:r>
      <w:r w:rsidRPr="00D4309F">
        <w:rPr>
          <w:color w:val="211E1F"/>
        </w:rPr>
        <w:t>refinement,</w:t>
      </w:r>
      <w:r w:rsidRPr="00D4309F">
        <w:rPr>
          <w:color w:val="211E1F"/>
          <w:spacing w:val="-3"/>
        </w:rPr>
        <w:t xml:space="preserve"> </w:t>
      </w:r>
      <w:r w:rsidRPr="00D4309F">
        <w:rPr>
          <w:color w:val="211E1F"/>
        </w:rPr>
        <w:t>including</w:t>
      </w:r>
      <w:r w:rsidRPr="00D4309F">
        <w:rPr>
          <w:color w:val="211E1F"/>
          <w:spacing w:val="-3"/>
        </w:rPr>
        <w:t xml:space="preserve"> </w:t>
      </w:r>
      <w:r w:rsidRPr="00D4309F">
        <w:rPr>
          <w:color w:val="211E1F"/>
        </w:rPr>
        <w:t>potential combinations of measures if required.</w:t>
      </w:r>
    </w:p>
    <w:p w14:paraId="278F2A99" w14:textId="77777777" w:rsidR="00725977" w:rsidRPr="00D4309F" w:rsidRDefault="00725977" w:rsidP="006C24AF">
      <w:pPr>
        <w:pStyle w:val="ListParagraph"/>
        <w:widowControl w:val="0"/>
        <w:numPr>
          <w:ilvl w:val="0"/>
          <w:numId w:val="11"/>
        </w:numPr>
        <w:tabs>
          <w:tab w:val="left" w:pos="500"/>
        </w:tabs>
        <w:autoSpaceDE w:val="0"/>
        <w:autoSpaceDN w:val="0"/>
        <w:spacing w:before="118" w:after="0" w:line="240" w:lineRule="auto"/>
        <w:ind w:right="703"/>
        <w:contextualSpacing w:val="0"/>
      </w:pPr>
      <w:r w:rsidRPr="00D4309F">
        <w:rPr>
          <w:color w:val="211E1F"/>
        </w:rPr>
        <w:t xml:space="preserve">Continue the use of the Western Channel during the 2-year trial period. This will give additional safety measures by providing a known navigational route and reduce the time constraint of addressing the entrance shoal during limited working weather windows. </w:t>
      </w:r>
    </w:p>
    <w:p w14:paraId="3A61FC89" w14:textId="36D9236D" w:rsidR="00725977" w:rsidRPr="00D4309F" w:rsidRDefault="00725977" w:rsidP="006C24AF">
      <w:pPr>
        <w:pStyle w:val="ListParagraph"/>
        <w:widowControl w:val="0"/>
        <w:numPr>
          <w:ilvl w:val="0"/>
          <w:numId w:val="11"/>
        </w:numPr>
        <w:tabs>
          <w:tab w:val="left" w:pos="500"/>
        </w:tabs>
        <w:autoSpaceDE w:val="0"/>
        <w:autoSpaceDN w:val="0"/>
        <w:spacing w:before="118" w:after="0" w:line="240" w:lineRule="auto"/>
        <w:contextualSpacing w:val="0"/>
      </w:pPr>
      <w:r w:rsidRPr="00D4309F">
        <w:rPr>
          <w:color w:val="211E1F"/>
        </w:rPr>
        <w:t>Re-evaluate</w:t>
      </w:r>
      <w:r w:rsidRPr="00D4309F">
        <w:rPr>
          <w:color w:val="211E1F"/>
          <w:spacing w:val="-4"/>
        </w:rPr>
        <w:t xml:space="preserve"> </w:t>
      </w:r>
      <w:r w:rsidRPr="00D4309F">
        <w:rPr>
          <w:color w:val="211E1F"/>
        </w:rPr>
        <w:t>options</w:t>
      </w:r>
      <w:r w:rsidRPr="00D4309F">
        <w:rPr>
          <w:color w:val="211E1F"/>
          <w:spacing w:val="-2"/>
        </w:rPr>
        <w:t xml:space="preserve"> </w:t>
      </w:r>
      <w:r w:rsidRPr="00D4309F">
        <w:rPr>
          <w:color w:val="211E1F"/>
        </w:rPr>
        <w:t>3</w:t>
      </w:r>
      <w:r w:rsidRPr="00D4309F">
        <w:rPr>
          <w:color w:val="211E1F"/>
          <w:spacing w:val="-3"/>
        </w:rPr>
        <w:t xml:space="preserve"> </w:t>
      </w:r>
      <w:r w:rsidRPr="00D4309F">
        <w:rPr>
          <w:color w:val="211E1F"/>
        </w:rPr>
        <w:t>vs.</w:t>
      </w:r>
      <w:r w:rsidRPr="00D4309F">
        <w:rPr>
          <w:color w:val="211E1F"/>
          <w:spacing w:val="-3"/>
        </w:rPr>
        <w:t xml:space="preserve"> </w:t>
      </w:r>
      <w:r w:rsidRPr="00D4309F">
        <w:rPr>
          <w:color w:val="211E1F"/>
        </w:rPr>
        <w:t>2</w:t>
      </w:r>
      <w:r w:rsidRPr="00D4309F">
        <w:rPr>
          <w:color w:val="211E1F"/>
          <w:spacing w:val="-3"/>
        </w:rPr>
        <w:t xml:space="preserve"> </w:t>
      </w:r>
      <w:r w:rsidRPr="00D4309F">
        <w:rPr>
          <w:color w:val="211E1F"/>
        </w:rPr>
        <w:t>once</w:t>
      </w:r>
      <w:r w:rsidRPr="00D4309F">
        <w:rPr>
          <w:color w:val="211E1F"/>
          <w:spacing w:val="-3"/>
        </w:rPr>
        <w:t xml:space="preserve"> </w:t>
      </w:r>
      <w:r w:rsidRPr="00D4309F">
        <w:rPr>
          <w:color w:val="211E1F"/>
        </w:rPr>
        <w:t>further</w:t>
      </w:r>
      <w:r w:rsidRPr="00D4309F">
        <w:rPr>
          <w:color w:val="211E1F"/>
          <w:spacing w:val="-2"/>
        </w:rPr>
        <w:t xml:space="preserve"> detailed</w:t>
      </w:r>
      <w:r w:rsidR="00FF6015">
        <w:rPr>
          <w:color w:val="211E1F"/>
          <w:spacing w:val="-2"/>
        </w:rPr>
        <w:t>.</w:t>
      </w:r>
    </w:p>
    <w:p w14:paraId="5C21DC26" w14:textId="77777777" w:rsidR="00725977" w:rsidRPr="00D4309F" w:rsidRDefault="00725977" w:rsidP="00725977">
      <w:pPr>
        <w:pStyle w:val="BodyText"/>
      </w:pPr>
      <w:r w:rsidRPr="00D4309F">
        <w:t>This</w:t>
      </w:r>
      <w:r w:rsidRPr="00D4309F">
        <w:rPr>
          <w:spacing w:val="-3"/>
        </w:rPr>
        <w:t xml:space="preserve"> </w:t>
      </w:r>
      <w:r w:rsidRPr="00D4309F">
        <w:t>staged</w:t>
      </w:r>
      <w:r w:rsidRPr="00D4309F">
        <w:rPr>
          <w:spacing w:val="-3"/>
        </w:rPr>
        <w:t xml:space="preserve"> </w:t>
      </w:r>
      <w:r w:rsidRPr="00D4309F">
        <w:t>approach</w:t>
      </w:r>
      <w:r w:rsidRPr="00D4309F">
        <w:rPr>
          <w:spacing w:val="-3"/>
        </w:rPr>
        <w:t xml:space="preserve"> </w:t>
      </w:r>
      <w:r w:rsidRPr="00D4309F">
        <w:t>enables</w:t>
      </w:r>
      <w:r w:rsidRPr="00D4309F">
        <w:rPr>
          <w:spacing w:val="-2"/>
        </w:rPr>
        <w:t xml:space="preserve"> </w:t>
      </w:r>
      <w:r w:rsidRPr="00D4309F">
        <w:t>early</w:t>
      </w:r>
      <w:r w:rsidRPr="00D4309F">
        <w:rPr>
          <w:spacing w:val="-2"/>
        </w:rPr>
        <w:t xml:space="preserve"> </w:t>
      </w:r>
      <w:r w:rsidRPr="00D4309F">
        <w:t>action</w:t>
      </w:r>
      <w:r w:rsidRPr="00D4309F">
        <w:rPr>
          <w:spacing w:val="-3"/>
        </w:rPr>
        <w:t xml:space="preserve"> </w:t>
      </w:r>
      <w:r w:rsidRPr="00D4309F">
        <w:t>through</w:t>
      </w:r>
      <w:r w:rsidRPr="00D4309F">
        <w:rPr>
          <w:spacing w:val="-3"/>
        </w:rPr>
        <w:t xml:space="preserve"> </w:t>
      </w:r>
      <w:r w:rsidRPr="00D4309F">
        <w:t>a</w:t>
      </w:r>
      <w:r w:rsidRPr="00D4309F">
        <w:rPr>
          <w:spacing w:val="-3"/>
        </w:rPr>
        <w:t xml:space="preserve"> </w:t>
      </w:r>
      <w:r w:rsidRPr="00D4309F">
        <w:t>soft</w:t>
      </w:r>
      <w:r w:rsidRPr="00D4309F">
        <w:rPr>
          <w:spacing w:val="-3"/>
        </w:rPr>
        <w:t xml:space="preserve"> </w:t>
      </w:r>
      <w:r w:rsidRPr="00D4309F">
        <w:t>solution,</w:t>
      </w:r>
      <w:r w:rsidRPr="00D4309F">
        <w:rPr>
          <w:spacing w:val="-3"/>
        </w:rPr>
        <w:t xml:space="preserve"> </w:t>
      </w:r>
      <w:r w:rsidRPr="00D4309F">
        <w:t>supports</w:t>
      </w:r>
      <w:r w:rsidRPr="00D4309F">
        <w:rPr>
          <w:spacing w:val="-2"/>
        </w:rPr>
        <w:t xml:space="preserve"> </w:t>
      </w:r>
      <w:r w:rsidRPr="00D4309F">
        <w:t>data-driven</w:t>
      </w:r>
      <w:r w:rsidRPr="00D4309F">
        <w:rPr>
          <w:spacing w:val="-3"/>
        </w:rPr>
        <w:t xml:space="preserve"> </w:t>
      </w:r>
      <w:r w:rsidRPr="00D4309F">
        <w:t>decision</w:t>
      </w:r>
      <w:r w:rsidRPr="00D4309F">
        <w:rPr>
          <w:spacing w:val="-3"/>
        </w:rPr>
        <w:t xml:space="preserve"> </w:t>
      </w:r>
      <w:r w:rsidRPr="00D4309F">
        <w:t>making, and maintains flexibility for future upgrades if needed.</w:t>
      </w:r>
    </w:p>
    <w:p w14:paraId="1A07897B" w14:textId="77777777" w:rsidR="00725977" w:rsidRPr="00D4309F" w:rsidRDefault="00725977" w:rsidP="00725977">
      <w:pPr>
        <w:pStyle w:val="BodyText"/>
      </w:pPr>
      <w:r w:rsidRPr="00D4309F">
        <w:t>It</w:t>
      </w:r>
      <w:r w:rsidRPr="00D4309F">
        <w:rPr>
          <w:spacing w:val="-3"/>
        </w:rPr>
        <w:t xml:space="preserve"> </w:t>
      </w:r>
      <w:r w:rsidRPr="00D4309F">
        <w:t>is</w:t>
      </w:r>
      <w:r w:rsidRPr="00D4309F">
        <w:rPr>
          <w:spacing w:val="-2"/>
        </w:rPr>
        <w:t xml:space="preserve"> </w:t>
      </w:r>
      <w:r w:rsidRPr="00D4309F">
        <w:t>recommended</w:t>
      </w:r>
      <w:r w:rsidRPr="00D4309F">
        <w:rPr>
          <w:spacing w:val="-3"/>
        </w:rPr>
        <w:t xml:space="preserve"> </w:t>
      </w:r>
      <w:r w:rsidRPr="00D4309F">
        <w:t>that</w:t>
      </w:r>
      <w:r w:rsidRPr="00D4309F">
        <w:rPr>
          <w:spacing w:val="-4"/>
        </w:rPr>
        <w:t xml:space="preserve"> </w:t>
      </w:r>
      <w:r w:rsidRPr="00D4309F">
        <w:t>broader</w:t>
      </w:r>
      <w:r w:rsidRPr="00D4309F">
        <w:rPr>
          <w:spacing w:val="-4"/>
        </w:rPr>
        <w:t xml:space="preserve"> </w:t>
      </w:r>
      <w:r w:rsidRPr="00D4309F">
        <w:t>stakeholder</w:t>
      </w:r>
      <w:r w:rsidRPr="00D4309F">
        <w:rPr>
          <w:spacing w:val="-2"/>
        </w:rPr>
        <w:t xml:space="preserve"> </w:t>
      </w:r>
      <w:r w:rsidRPr="00D4309F">
        <w:t>and</w:t>
      </w:r>
      <w:r w:rsidRPr="00D4309F">
        <w:rPr>
          <w:spacing w:val="-3"/>
        </w:rPr>
        <w:t xml:space="preserve"> </w:t>
      </w:r>
      <w:r w:rsidRPr="00D4309F">
        <w:t>community</w:t>
      </w:r>
      <w:r w:rsidRPr="00D4309F">
        <w:rPr>
          <w:spacing w:val="-2"/>
        </w:rPr>
        <w:t xml:space="preserve"> </w:t>
      </w:r>
      <w:r w:rsidRPr="00D4309F">
        <w:t>engagement</w:t>
      </w:r>
      <w:r w:rsidRPr="00D4309F">
        <w:rPr>
          <w:spacing w:val="-4"/>
        </w:rPr>
        <w:t xml:space="preserve"> </w:t>
      </w:r>
      <w:r w:rsidRPr="00D4309F">
        <w:t>is</w:t>
      </w:r>
      <w:r w:rsidRPr="00D4309F">
        <w:rPr>
          <w:spacing w:val="-2"/>
        </w:rPr>
        <w:t xml:space="preserve"> </w:t>
      </w:r>
      <w:r w:rsidRPr="00D4309F">
        <w:t>undertaken</w:t>
      </w:r>
      <w:r w:rsidRPr="00D4309F">
        <w:rPr>
          <w:spacing w:val="-3"/>
        </w:rPr>
        <w:t xml:space="preserve"> </w:t>
      </w:r>
      <w:r w:rsidRPr="00D4309F">
        <w:t>for</w:t>
      </w:r>
      <w:r w:rsidRPr="00D4309F">
        <w:rPr>
          <w:spacing w:val="-2"/>
        </w:rPr>
        <w:t xml:space="preserve"> </w:t>
      </w:r>
      <w:r w:rsidRPr="00D4309F">
        <w:t>any</w:t>
      </w:r>
      <w:r w:rsidRPr="00D4309F">
        <w:rPr>
          <w:spacing w:val="-2"/>
        </w:rPr>
        <w:t xml:space="preserve"> </w:t>
      </w:r>
      <w:r w:rsidRPr="00D4309F">
        <w:t>option</w:t>
      </w:r>
      <w:r w:rsidRPr="00D4309F">
        <w:rPr>
          <w:spacing w:val="-3"/>
        </w:rPr>
        <w:t xml:space="preserve"> </w:t>
      </w:r>
      <w:r w:rsidRPr="00D4309F">
        <w:t>that significantly alters the current state, such as infrastructure changes, amenity or access impacts, cultural significance and environmental impacts or coastal changes.</w:t>
      </w:r>
    </w:p>
    <w:p w14:paraId="2E31E7D6" w14:textId="77777777" w:rsidR="00725977" w:rsidRPr="00D4309F" w:rsidRDefault="00725977" w:rsidP="00725977">
      <w:pPr>
        <w:pStyle w:val="BodyText"/>
        <w:sectPr w:rsidR="00725977" w:rsidRPr="00D4309F" w:rsidSect="00405D4F">
          <w:pgSz w:w="11910" w:h="16840"/>
          <w:pgMar w:top="1418" w:right="1134" w:bottom="1418" w:left="1134" w:header="916" w:footer="980" w:gutter="0"/>
          <w:cols w:space="720"/>
        </w:sectPr>
      </w:pPr>
    </w:p>
    <w:p w14:paraId="4B97C067" w14:textId="77777777" w:rsidR="00725977" w:rsidRPr="00D4309F" w:rsidRDefault="00725977" w:rsidP="00AA4134">
      <w:pPr>
        <w:pStyle w:val="Heading1"/>
      </w:pPr>
      <w:bookmarkStart w:id="575" w:name="_bookmark211"/>
      <w:bookmarkStart w:id="576" w:name="_Toc216699527"/>
      <w:bookmarkEnd w:id="575"/>
      <w:r w:rsidRPr="00D4309F">
        <w:lastRenderedPageBreak/>
        <w:t>SUGGESTED</w:t>
      </w:r>
      <w:r w:rsidRPr="00D4309F">
        <w:rPr>
          <w:spacing w:val="-4"/>
        </w:rPr>
        <w:t xml:space="preserve"> </w:t>
      </w:r>
      <w:r w:rsidRPr="00D4309F">
        <w:t>NEXT</w:t>
      </w:r>
      <w:r w:rsidRPr="00D4309F">
        <w:rPr>
          <w:spacing w:val="-3"/>
        </w:rPr>
        <w:t xml:space="preserve"> </w:t>
      </w:r>
      <w:r w:rsidRPr="00D4309F">
        <w:rPr>
          <w:spacing w:val="-2"/>
        </w:rPr>
        <w:t>STEPS</w:t>
      </w:r>
      <w:bookmarkEnd w:id="576"/>
    </w:p>
    <w:p w14:paraId="785B187D" w14:textId="613B2716" w:rsidR="00725977" w:rsidRPr="00D4309F" w:rsidRDefault="00725977" w:rsidP="00725977">
      <w:pPr>
        <w:pStyle w:val="BodyText"/>
      </w:pPr>
      <w:r w:rsidRPr="00D4309F">
        <w:t>The</w:t>
      </w:r>
      <w:r w:rsidRPr="00D4309F">
        <w:rPr>
          <w:spacing w:val="-3"/>
        </w:rPr>
        <w:t xml:space="preserve"> </w:t>
      </w:r>
      <w:r w:rsidRPr="00D4309F">
        <w:t>short-term</w:t>
      </w:r>
      <w:r w:rsidRPr="00D4309F">
        <w:rPr>
          <w:spacing w:val="-3"/>
        </w:rPr>
        <w:t xml:space="preserve"> </w:t>
      </w:r>
      <w:r w:rsidRPr="00D4309F">
        <w:t>actions</w:t>
      </w:r>
      <w:r w:rsidRPr="00D4309F">
        <w:rPr>
          <w:spacing w:val="-2"/>
        </w:rPr>
        <w:t xml:space="preserve"> </w:t>
      </w:r>
      <w:r w:rsidRPr="00D4309F">
        <w:t>identified</w:t>
      </w:r>
      <w:r w:rsidRPr="00D4309F">
        <w:rPr>
          <w:spacing w:val="-3"/>
        </w:rPr>
        <w:t xml:space="preserve"> </w:t>
      </w:r>
      <w:r w:rsidRPr="00D4309F">
        <w:t>in</w:t>
      </w:r>
      <w:r w:rsidRPr="00D4309F">
        <w:rPr>
          <w:spacing w:val="-3"/>
        </w:rPr>
        <w:t xml:space="preserve"> </w:t>
      </w:r>
      <w:r w:rsidRPr="00D4309F">
        <w:t>this</w:t>
      </w:r>
      <w:r w:rsidRPr="00D4309F">
        <w:rPr>
          <w:spacing w:val="-2"/>
        </w:rPr>
        <w:t xml:space="preserve"> </w:t>
      </w:r>
      <w:r w:rsidRPr="00D4309F">
        <w:t>review</w:t>
      </w:r>
      <w:r w:rsidRPr="00D4309F">
        <w:rPr>
          <w:spacing w:val="-2"/>
        </w:rPr>
        <w:t xml:space="preserve"> </w:t>
      </w:r>
      <w:r w:rsidRPr="00D4309F">
        <w:t>provide</w:t>
      </w:r>
      <w:r w:rsidRPr="00D4309F">
        <w:rPr>
          <w:spacing w:val="-3"/>
        </w:rPr>
        <w:t xml:space="preserve"> </w:t>
      </w:r>
      <w:r w:rsidRPr="00D4309F">
        <w:t>immediate</w:t>
      </w:r>
      <w:r w:rsidRPr="00D4309F">
        <w:rPr>
          <w:spacing w:val="-4"/>
        </w:rPr>
        <w:t xml:space="preserve"> </w:t>
      </w:r>
      <w:r w:rsidRPr="00D4309F">
        <w:t>pathways</w:t>
      </w:r>
      <w:r w:rsidRPr="00D4309F">
        <w:rPr>
          <w:spacing w:val="-2"/>
        </w:rPr>
        <w:t xml:space="preserve"> </w:t>
      </w:r>
      <w:r w:rsidRPr="00D4309F">
        <w:t>to</w:t>
      </w:r>
      <w:r w:rsidRPr="00D4309F">
        <w:rPr>
          <w:spacing w:val="-3"/>
        </w:rPr>
        <w:t xml:space="preserve"> </w:t>
      </w:r>
      <w:r w:rsidRPr="00D4309F">
        <w:t>maintain</w:t>
      </w:r>
      <w:r w:rsidRPr="00D4309F">
        <w:rPr>
          <w:spacing w:val="-3"/>
        </w:rPr>
        <w:t xml:space="preserve"> </w:t>
      </w:r>
      <w:r w:rsidRPr="00D4309F">
        <w:t>navigable</w:t>
      </w:r>
      <w:r w:rsidRPr="00D4309F">
        <w:rPr>
          <w:spacing w:val="-4"/>
        </w:rPr>
        <w:t xml:space="preserve"> </w:t>
      </w:r>
      <w:r w:rsidRPr="00D4309F">
        <w:t>conditions and improve monitoring capability. To progress toward a longer-term solution while keeping flexibility for community input and regulatory requirements, the following next steps are recommended.</w:t>
      </w:r>
    </w:p>
    <w:p w14:paraId="59C76C1E" w14:textId="7CB30C38" w:rsidR="00725977" w:rsidRPr="00D4309F" w:rsidRDefault="00485D53" w:rsidP="00485D53">
      <w:pPr>
        <w:pStyle w:val="Heading2-nonumber"/>
        <w:rPr>
          <w:color w:val="70004A"/>
          <w:sz w:val="18"/>
        </w:rPr>
      </w:pPr>
      <w:bookmarkStart w:id="577" w:name="_Toc216699528"/>
      <w:r>
        <w:t xml:space="preserve">1. </w:t>
      </w:r>
      <w:r w:rsidR="00725977" w:rsidRPr="00D4309F">
        <w:t>Implement</w:t>
      </w:r>
      <w:r w:rsidR="00725977" w:rsidRPr="00D4309F">
        <w:rPr>
          <w:spacing w:val="-3"/>
        </w:rPr>
        <w:t xml:space="preserve"> </w:t>
      </w:r>
      <w:r w:rsidR="00725977" w:rsidRPr="00D4309F">
        <w:t>Short</w:t>
      </w:r>
      <w:r w:rsidR="00725977" w:rsidRPr="00D4309F">
        <w:rPr>
          <w:spacing w:val="-5"/>
        </w:rPr>
        <w:t xml:space="preserve"> </w:t>
      </w:r>
      <w:r w:rsidR="00725977" w:rsidRPr="00D4309F">
        <w:t>Term</w:t>
      </w:r>
      <w:r w:rsidR="00725977" w:rsidRPr="00D4309F">
        <w:rPr>
          <w:spacing w:val="-3"/>
        </w:rPr>
        <w:t xml:space="preserve"> </w:t>
      </w:r>
      <w:r w:rsidR="00725977" w:rsidRPr="00D4309F">
        <w:rPr>
          <w:spacing w:val="-2"/>
        </w:rPr>
        <w:t>Recommendations</w:t>
      </w:r>
      <w:bookmarkEnd w:id="577"/>
    </w:p>
    <w:p w14:paraId="528BACB7" w14:textId="77777777" w:rsidR="00725977" w:rsidRPr="00D4309F" w:rsidRDefault="00725977" w:rsidP="00725977">
      <w:pPr>
        <w:pStyle w:val="BodyText"/>
      </w:pPr>
      <w:r w:rsidRPr="00D4309F">
        <w:t>The improvements identified in the short-term recommendations should continue to be implemented to strengthen</w:t>
      </w:r>
      <w:r w:rsidRPr="00D4309F">
        <w:rPr>
          <w:spacing w:val="-3"/>
        </w:rPr>
        <w:t xml:space="preserve"> </w:t>
      </w:r>
      <w:r w:rsidRPr="00D4309F">
        <w:t>the</w:t>
      </w:r>
      <w:r w:rsidRPr="00D4309F">
        <w:rPr>
          <w:spacing w:val="-3"/>
        </w:rPr>
        <w:t xml:space="preserve"> </w:t>
      </w:r>
      <w:r w:rsidRPr="00D4309F">
        <w:t>monitoring</w:t>
      </w:r>
      <w:r w:rsidRPr="00D4309F">
        <w:rPr>
          <w:spacing w:val="-4"/>
        </w:rPr>
        <w:t xml:space="preserve"> </w:t>
      </w:r>
      <w:r w:rsidRPr="00D4309F">
        <w:t>system</w:t>
      </w:r>
      <w:r w:rsidRPr="00D4309F">
        <w:rPr>
          <w:spacing w:val="-3"/>
        </w:rPr>
        <w:t xml:space="preserve"> </w:t>
      </w:r>
      <w:r w:rsidRPr="00D4309F">
        <w:t>that</w:t>
      </w:r>
      <w:r w:rsidRPr="00D4309F">
        <w:rPr>
          <w:spacing w:val="-3"/>
        </w:rPr>
        <w:t xml:space="preserve"> </w:t>
      </w:r>
      <w:r w:rsidRPr="00D4309F">
        <w:t>supports</w:t>
      </w:r>
      <w:r w:rsidRPr="00D4309F">
        <w:rPr>
          <w:spacing w:val="-2"/>
        </w:rPr>
        <w:t xml:space="preserve"> </w:t>
      </w:r>
      <w:r w:rsidRPr="00D4309F">
        <w:t>both</w:t>
      </w:r>
      <w:r w:rsidRPr="00D4309F">
        <w:rPr>
          <w:spacing w:val="-4"/>
        </w:rPr>
        <w:t xml:space="preserve"> </w:t>
      </w:r>
      <w:r w:rsidRPr="00D4309F">
        <w:t>dredging</w:t>
      </w:r>
      <w:r w:rsidRPr="00D4309F">
        <w:rPr>
          <w:spacing w:val="-3"/>
        </w:rPr>
        <w:t xml:space="preserve"> </w:t>
      </w:r>
      <w:r w:rsidRPr="00D4309F">
        <w:t>and</w:t>
      </w:r>
      <w:r w:rsidRPr="00D4309F">
        <w:rPr>
          <w:spacing w:val="-3"/>
        </w:rPr>
        <w:t xml:space="preserve"> </w:t>
      </w:r>
      <w:r w:rsidRPr="00D4309F">
        <w:t>evaluation</w:t>
      </w:r>
      <w:r w:rsidRPr="00D4309F">
        <w:rPr>
          <w:spacing w:val="-3"/>
        </w:rPr>
        <w:t xml:space="preserve"> </w:t>
      </w:r>
      <w:r w:rsidRPr="00D4309F">
        <w:t>of</w:t>
      </w:r>
      <w:r w:rsidRPr="00D4309F">
        <w:rPr>
          <w:spacing w:val="-3"/>
        </w:rPr>
        <w:t xml:space="preserve"> </w:t>
      </w:r>
      <w:r w:rsidRPr="00D4309F">
        <w:t>future</w:t>
      </w:r>
      <w:r w:rsidRPr="00D4309F">
        <w:rPr>
          <w:spacing w:val="-4"/>
        </w:rPr>
        <w:t xml:space="preserve"> </w:t>
      </w:r>
      <w:r w:rsidRPr="00D4309F">
        <w:t>works.</w:t>
      </w:r>
      <w:r w:rsidRPr="00D4309F">
        <w:rPr>
          <w:spacing w:val="-3"/>
        </w:rPr>
        <w:t xml:space="preserve"> </w:t>
      </w:r>
      <w:r w:rsidRPr="00D4309F">
        <w:t>Key steps include:</w:t>
      </w:r>
    </w:p>
    <w:p w14:paraId="536DBEF2" w14:textId="77777777" w:rsidR="00725977" w:rsidRPr="00D4309F" w:rsidRDefault="00725977" w:rsidP="00DA721C">
      <w:pPr>
        <w:pStyle w:val="ListBullet"/>
        <w:rPr>
          <w:rFonts w:ascii="Symbol" w:hAnsi="Symbol"/>
        </w:rPr>
      </w:pPr>
      <w:r w:rsidRPr="00D4309F">
        <w:t>Further</w:t>
      </w:r>
      <w:r w:rsidRPr="00D4309F">
        <w:rPr>
          <w:spacing w:val="-6"/>
        </w:rPr>
        <w:t xml:space="preserve"> </w:t>
      </w:r>
      <w:r w:rsidRPr="00D4309F">
        <w:t>upgrading/automating</w:t>
      </w:r>
      <w:r w:rsidRPr="00D4309F">
        <w:rPr>
          <w:spacing w:val="-6"/>
        </w:rPr>
        <w:t xml:space="preserve"> </w:t>
      </w:r>
      <w:r w:rsidRPr="00D4309F">
        <w:t>the</w:t>
      </w:r>
      <w:r w:rsidRPr="00D4309F">
        <w:rPr>
          <w:spacing w:val="-7"/>
        </w:rPr>
        <w:t xml:space="preserve"> </w:t>
      </w:r>
      <w:r w:rsidRPr="00D4309F">
        <w:t>existing</w:t>
      </w:r>
      <w:r w:rsidRPr="00D4309F">
        <w:rPr>
          <w:spacing w:val="-6"/>
        </w:rPr>
        <w:t xml:space="preserve"> </w:t>
      </w:r>
      <w:r w:rsidRPr="00D4309F">
        <w:t>modelling</w:t>
      </w:r>
      <w:r w:rsidRPr="00D4309F">
        <w:rPr>
          <w:spacing w:val="-6"/>
        </w:rPr>
        <w:t xml:space="preserve"> </w:t>
      </w:r>
      <w:r w:rsidRPr="00D4309F">
        <w:rPr>
          <w:spacing w:val="-2"/>
        </w:rPr>
        <w:t>tools.</w:t>
      </w:r>
    </w:p>
    <w:p w14:paraId="34433B48" w14:textId="77777777" w:rsidR="00725977" w:rsidRPr="00D4309F" w:rsidRDefault="00725977" w:rsidP="00DA721C">
      <w:pPr>
        <w:pStyle w:val="ListBullet"/>
        <w:rPr>
          <w:rFonts w:ascii="Symbol" w:hAnsi="Symbol"/>
        </w:rPr>
      </w:pPr>
      <w:r w:rsidRPr="00D4309F">
        <w:t>Incorporating</w:t>
      </w:r>
      <w:r w:rsidRPr="00D4309F">
        <w:rPr>
          <w:spacing w:val="-9"/>
        </w:rPr>
        <w:t xml:space="preserve"> </w:t>
      </w:r>
      <w:r w:rsidRPr="00D4309F">
        <w:t>forecasted</w:t>
      </w:r>
      <w:r w:rsidRPr="00D4309F">
        <w:rPr>
          <w:spacing w:val="-6"/>
        </w:rPr>
        <w:t xml:space="preserve"> </w:t>
      </w:r>
      <w:r w:rsidRPr="00D4309F">
        <w:t>conditions</w:t>
      </w:r>
      <w:r w:rsidRPr="00D4309F">
        <w:rPr>
          <w:spacing w:val="-5"/>
        </w:rPr>
        <w:t xml:space="preserve"> </w:t>
      </w:r>
      <w:r w:rsidRPr="00D4309F">
        <w:t>into</w:t>
      </w:r>
      <w:r w:rsidRPr="00D4309F">
        <w:rPr>
          <w:spacing w:val="-6"/>
        </w:rPr>
        <w:t xml:space="preserve"> </w:t>
      </w:r>
      <w:r w:rsidRPr="00D4309F">
        <w:t>predictive</w:t>
      </w:r>
      <w:r w:rsidRPr="00D4309F">
        <w:rPr>
          <w:spacing w:val="-6"/>
        </w:rPr>
        <w:t xml:space="preserve"> </w:t>
      </w:r>
      <w:r w:rsidRPr="00D4309F">
        <w:rPr>
          <w:spacing w:val="-2"/>
        </w:rPr>
        <w:t>assessments.</w:t>
      </w:r>
    </w:p>
    <w:p w14:paraId="12460C2E" w14:textId="77777777" w:rsidR="00725977" w:rsidRPr="00D4309F" w:rsidRDefault="00725977" w:rsidP="00DA721C">
      <w:pPr>
        <w:pStyle w:val="ListBullet"/>
        <w:rPr>
          <w:rFonts w:ascii="Symbol" w:hAnsi="Symbol"/>
        </w:rPr>
      </w:pPr>
      <w:r w:rsidRPr="00D4309F">
        <w:t>Using</w:t>
      </w:r>
      <w:r w:rsidRPr="00D4309F">
        <w:rPr>
          <w:spacing w:val="-7"/>
        </w:rPr>
        <w:t xml:space="preserve"> </w:t>
      </w:r>
      <w:r w:rsidRPr="00D4309F">
        <w:t>upgraded</w:t>
      </w:r>
      <w:r w:rsidRPr="00D4309F">
        <w:rPr>
          <w:spacing w:val="-5"/>
        </w:rPr>
        <w:t xml:space="preserve"> </w:t>
      </w:r>
      <w:r w:rsidRPr="00D4309F">
        <w:t>camera</w:t>
      </w:r>
      <w:r w:rsidRPr="00D4309F">
        <w:rPr>
          <w:spacing w:val="-5"/>
        </w:rPr>
        <w:t xml:space="preserve"> </w:t>
      </w:r>
      <w:r w:rsidRPr="00D4309F">
        <w:t>technology</w:t>
      </w:r>
      <w:r w:rsidRPr="00D4309F">
        <w:rPr>
          <w:spacing w:val="-4"/>
        </w:rPr>
        <w:t xml:space="preserve"> </w:t>
      </w:r>
      <w:r w:rsidRPr="00D4309F">
        <w:t>to</w:t>
      </w:r>
      <w:r w:rsidRPr="00D4309F">
        <w:rPr>
          <w:spacing w:val="-5"/>
        </w:rPr>
        <w:t xml:space="preserve"> </w:t>
      </w:r>
      <w:r w:rsidRPr="00D4309F">
        <w:t>maintain</w:t>
      </w:r>
      <w:r w:rsidRPr="00D4309F">
        <w:rPr>
          <w:spacing w:val="-4"/>
        </w:rPr>
        <w:t xml:space="preserve"> </w:t>
      </w:r>
      <w:r w:rsidRPr="00D4309F">
        <w:t>up-to-date</w:t>
      </w:r>
      <w:r w:rsidRPr="00D4309F">
        <w:rPr>
          <w:spacing w:val="-5"/>
        </w:rPr>
        <w:t xml:space="preserve"> </w:t>
      </w:r>
      <w:r w:rsidRPr="00D4309F">
        <w:t>information</w:t>
      </w:r>
      <w:r w:rsidRPr="00D4309F">
        <w:rPr>
          <w:spacing w:val="-5"/>
        </w:rPr>
        <w:t xml:space="preserve"> </w:t>
      </w:r>
      <w:r w:rsidRPr="00D4309F">
        <w:t>on</w:t>
      </w:r>
      <w:r w:rsidRPr="00D4309F">
        <w:rPr>
          <w:spacing w:val="-5"/>
        </w:rPr>
        <w:t xml:space="preserve"> </w:t>
      </w:r>
      <w:r w:rsidRPr="00D4309F">
        <w:t>channel</w:t>
      </w:r>
      <w:r w:rsidRPr="00D4309F">
        <w:rPr>
          <w:spacing w:val="-4"/>
        </w:rPr>
        <w:t xml:space="preserve"> </w:t>
      </w:r>
      <w:r w:rsidRPr="00D4309F">
        <w:rPr>
          <w:spacing w:val="-2"/>
        </w:rPr>
        <w:t>behaviour.</w:t>
      </w:r>
    </w:p>
    <w:p w14:paraId="244DFE14" w14:textId="77777777" w:rsidR="00725977" w:rsidRPr="00D4309F" w:rsidRDefault="00725977" w:rsidP="00DA721C">
      <w:pPr>
        <w:pStyle w:val="ListBullet"/>
        <w:rPr>
          <w:rFonts w:ascii="Symbol" w:hAnsi="Symbol"/>
        </w:rPr>
      </w:pPr>
      <w:r w:rsidRPr="00D4309F">
        <w:t>Continuing</w:t>
      </w:r>
      <w:r w:rsidRPr="00D4309F">
        <w:rPr>
          <w:spacing w:val="-3"/>
        </w:rPr>
        <w:t xml:space="preserve"> </w:t>
      </w:r>
      <w:r w:rsidRPr="00D4309F">
        <w:t>the</w:t>
      </w:r>
      <w:r w:rsidRPr="00D4309F">
        <w:rPr>
          <w:spacing w:val="-3"/>
        </w:rPr>
        <w:t xml:space="preserve"> </w:t>
      </w:r>
      <w:r w:rsidRPr="00D4309F">
        <w:t>Western</w:t>
      </w:r>
      <w:r w:rsidRPr="00D4309F">
        <w:rPr>
          <w:spacing w:val="-3"/>
        </w:rPr>
        <w:t xml:space="preserve"> </w:t>
      </w:r>
      <w:r w:rsidRPr="00D4309F">
        <w:t>Channel</w:t>
      </w:r>
      <w:r w:rsidRPr="00D4309F">
        <w:rPr>
          <w:spacing w:val="-3"/>
        </w:rPr>
        <w:t xml:space="preserve"> </w:t>
      </w:r>
      <w:r w:rsidRPr="00D4309F">
        <w:t>Trial</w:t>
      </w:r>
      <w:r w:rsidRPr="00D4309F">
        <w:rPr>
          <w:spacing w:val="-3"/>
        </w:rPr>
        <w:t xml:space="preserve"> </w:t>
      </w:r>
      <w:r w:rsidRPr="00D4309F">
        <w:t>and</w:t>
      </w:r>
      <w:r w:rsidRPr="00D4309F">
        <w:rPr>
          <w:spacing w:val="-3"/>
        </w:rPr>
        <w:t xml:space="preserve"> </w:t>
      </w:r>
      <w:r w:rsidRPr="00D4309F">
        <w:t>integrating</w:t>
      </w:r>
      <w:r w:rsidRPr="00D4309F">
        <w:rPr>
          <w:spacing w:val="-3"/>
        </w:rPr>
        <w:t xml:space="preserve"> </w:t>
      </w:r>
      <w:r w:rsidRPr="00D4309F">
        <w:t>any</w:t>
      </w:r>
      <w:r w:rsidRPr="00D4309F">
        <w:rPr>
          <w:spacing w:val="-2"/>
        </w:rPr>
        <w:t xml:space="preserve"> </w:t>
      </w:r>
      <w:r w:rsidRPr="00D4309F">
        <w:t>new</w:t>
      </w:r>
      <w:r w:rsidRPr="00D4309F">
        <w:rPr>
          <w:spacing w:val="-2"/>
        </w:rPr>
        <w:t xml:space="preserve"> </w:t>
      </w:r>
      <w:r w:rsidRPr="00D4309F">
        <w:t>data</w:t>
      </w:r>
      <w:r w:rsidRPr="00D4309F">
        <w:rPr>
          <w:spacing w:val="-4"/>
        </w:rPr>
        <w:t xml:space="preserve"> </w:t>
      </w:r>
      <w:r w:rsidRPr="00D4309F">
        <w:t>into</w:t>
      </w:r>
      <w:r w:rsidRPr="00D4309F">
        <w:rPr>
          <w:spacing w:val="-3"/>
        </w:rPr>
        <w:t xml:space="preserve"> </w:t>
      </w:r>
      <w:r w:rsidRPr="00D4309F">
        <w:t>the</w:t>
      </w:r>
      <w:r w:rsidRPr="00D4309F">
        <w:rPr>
          <w:spacing w:val="-3"/>
        </w:rPr>
        <w:t xml:space="preserve"> </w:t>
      </w:r>
      <w:r w:rsidRPr="00D4309F">
        <w:t>long-term</w:t>
      </w:r>
      <w:r w:rsidRPr="00D4309F">
        <w:rPr>
          <w:spacing w:val="-3"/>
        </w:rPr>
        <w:t xml:space="preserve"> </w:t>
      </w:r>
      <w:r w:rsidRPr="00D4309F">
        <w:t xml:space="preserve">assessment </w:t>
      </w:r>
      <w:r w:rsidRPr="00D4309F">
        <w:rPr>
          <w:spacing w:val="-2"/>
        </w:rPr>
        <w:t>process.</w:t>
      </w:r>
    </w:p>
    <w:p w14:paraId="2961DB4E" w14:textId="1E5B1FBB" w:rsidR="00725977" w:rsidRPr="0048488A" w:rsidRDefault="00725977" w:rsidP="00725977">
      <w:pPr>
        <w:pStyle w:val="ListBullet"/>
        <w:rPr>
          <w:rFonts w:ascii="Symbol" w:hAnsi="Symbol"/>
        </w:rPr>
      </w:pPr>
      <w:r w:rsidRPr="00D4309F">
        <w:t>Review</w:t>
      </w:r>
      <w:r w:rsidRPr="00D4309F">
        <w:rPr>
          <w:spacing w:val="-6"/>
        </w:rPr>
        <w:t xml:space="preserve"> </w:t>
      </w:r>
      <w:r w:rsidRPr="00D4309F">
        <w:t>currents</w:t>
      </w:r>
      <w:r w:rsidRPr="00D4309F">
        <w:rPr>
          <w:spacing w:val="-3"/>
        </w:rPr>
        <w:t xml:space="preserve"> </w:t>
      </w:r>
      <w:r w:rsidRPr="00D4309F">
        <w:t>on</w:t>
      </w:r>
      <w:r w:rsidRPr="00D4309F">
        <w:rPr>
          <w:spacing w:val="-4"/>
        </w:rPr>
        <w:t xml:space="preserve"> </w:t>
      </w:r>
      <w:r w:rsidRPr="00D4309F">
        <w:t>western</w:t>
      </w:r>
      <w:r w:rsidRPr="00D4309F">
        <w:rPr>
          <w:spacing w:val="-4"/>
        </w:rPr>
        <w:t xml:space="preserve"> </w:t>
      </w:r>
      <w:r w:rsidRPr="00D4309F">
        <w:t>side</w:t>
      </w:r>
      <w:r w:rsidRPr="00D4309F">
        <w:rPr>
          <w:spacing w:val="-4"/>
        </w:rPr>
        <w:t xml:space="preserve"> </w:t>
      </w:r>
      <w:r w:rsidRPr="00D4309F">
        <w:t>of</w:t>
      </w:r>
      <w:r w:rsidRPr="00D4309F">
        <w:rPr>
          <w:spacing w:val="-4"/>
        </w:rPr>
        <w:t xml:space="preserve"> </w:t>
      </w:r>
      <w:r w:rsidRPr="00D4309F">
        <w:t>entrance</w:t>
      </w:r>
      <w:r w:rsidRPr="00D4309F">
        <w:rPr>
          <w:spacing w:val="-4"/>
        </w:rPr>
        <w:t xml:space="preserve"> </w:t>
      </w:r>
      <w:r w:rsidRPr="00D4309F">
        <w:t>and</w:t>
      </w:r>
      <w:r w:rsidRPr="00D4309F">
        <w:rPr>
          <w:spacing w:val="-4"/>
        </w:rPr>
        <w:t xml:space="preserve"> </w:t>
      </w:r>
      <w:r w:rsidRPr="00D4309F">
        <w:t>existing</w:t>
      </w:r>
      <w:r w:rsidRPr="00D4309F">
        <w:rPr>
          <w:spacing w:val="-4"/>
        </w:rPr>
        <w:t xml:space="preserve"> </w:t>
      </w:r>
      <w:r w:rsidRPr="00D4309F">
        <w:t>breakwaters</w:t>
      </w:r>
      <w:r w:rsidRPr="00D4309F">
        <w:rPr>
          <w:spacing w:val="-4"/>
        </w:rPr>
        <w:t xml:space="preserve"> </w:t>
      </w:r>
      <w:r w:rsidRPr="00D4309F">
        <w:rPr>
          <w:spacing w:val="-2"/>
        </w:rPr>
        <w:t>condition</w:t>
      </w:r>
    </w:p>
    <w:p w14:paraId="2A270698" w14:textId="0B0BFCBA" w:rsidR="00725977" w:rsidRPr="00D4309F" w:rsidRDefault="00DA721C" w:rsidP="00DA721C">
      <w:pPr>
        <w:pStyle w:val="Heading2-nonumber"/>
        <w:rPr>
          <w:color w:val="70004A"/>
          <w:sz w:val="18"/>
        </w:rPr>
      </w:pPr>
      <w:bookmarkStart w:id="578" w:name="_Toc216699529"/>
      <w:r>
        <w:t xml:space="preserve">2. </w:t>
      </w:r>
      <w:r w:rsidR="00725977" w:rsidRPr="00D4309F">
        <w:t>Regulatory</w:t>
      </w:r>
      <w:r w:rsidR="00725977" w:rsidRPr="00D4309F">
        <w:rPr>
          <w:spacing w:val="-5"/>
        </w:rPr>
        <w:t xml:space="preserve"> </w:t>
      </w:r>
      <w:r w:rsidR="00725977" w:rsidRPr="00D4309F">
        <w:t>and</w:t>
      </w:r>
      <w:r w:rsidR="00725977" w:rsidRPr="00D4309F">
        <w:rPr>
          <w:spacing w:val="-5"/>
        </w:rPr>
        <w:t xml:space="preserve"> </w:t>
      </w:r>
      <w:r w:rsidR="00725977" w:rsidRPr="00D4309F">
        <w:t>Approvals</w:t>
      </w:r>
      <w:r w:rsidR="00725977" w:rsidRPr="00D4309F">
        <w:rPr>
          <w:spacing w:val="-5"/>
        </w:rPr>
        <w:t xml:space="preserve"> </w:t>
      </w:r>
      <w:r w:rsidR="00725977" w:rsidRPr="00D4309F">
        <w:rPr>
          <w:spacing w:val="-2"/>
        </w:rPr>
        <w:t>Engagement</w:t>
      </w:r>
      <w:bookmarkEnd w:id="578"/>
    </w:p>
    <w:p w14:paraId="5EC52F31" w14:textId="75F27B56" w:rsidR="00725977" w:rsidRPr="00D4309F" w:rsidRDefault="00725977" w:rsidP="00725977">
      <w:pPr>
        <w:pStyle w:val="BodyText"/>
      </w:pPr>
      <w:r w:rsidRPr="00D4309F">
        <w:t>Early</w:t>
      </w:r>
      <w:r w:rsidRPr="00D4309F">
        <w:rPr>
          <w:spacing w:val="-2"/>
        </w:rPr>
        <w:t xml:space="preserve"> </w:t>
      </w:r>
      <w:r w:rsidRPr="00D4309F">
        <w:t>engagement</w:t>
      </w:r>
      <w:r w:rsidRPr="00D4309F">
        <w:rPr>
          <w:spacing w:val="-3"/>
        </w:rPr>
        <w:t xml:space="preserve"> </w:t>
      </w:r>
      <w:r w:rsidRPr="00D4309F">
        <w:t>will</w:t>
      </w:r>
      <w:r w:rsidRPr="00D4309F">
        <w:rPr>
          <w:spacing w:val="-3"/>
        </w:rPr>
        <w:t xml:space="preserve"> </w:t>
      </w:r>
      <w:r w:rsidRPr="00D4309F">
        <w:t>be</w:t>
      </w:r>
      <w:r w:rsidRPr="00D4309F">
        <w:rPr>
          <w:spacing w:val="-3"/>
        </w:rPr>
        <w:t xml:space="preserve"> </w:t>
      </w:r>
      <w:r w:rsidRPr="00D4309F">
        <w:t>essential</w:t>
      </w:r>
      <w:r w:rsidRPr="00D4309F">
        <w:rPr>
          <w:spacing w:val="-3"/>
        </w:rPr>
        <w:t xml:space="preserve"> </w:t>
      </w:r>
      <w:r w:rsidRPr="00D4309F">
        <w:t>to</w:t>
      </w:r>
      <w:r w:rsidRPr="00D4309F">
        <w:rPr>
          <w:spacing w:val="-3"/>
        </w:rPr>
        <w:t xml:space="preserve"> </w:t>
      </w:r>
      <w:r w:rsidRPr="00D4309F">
        <w:t>confirm</w:t>
      </w:r>
      <w:r w:rsidRPr="00D4309F">
        <w:rPr>
          <w:spacing w:val="-3"/>
        </w:rPr>
        <w:t xml:space="preserve"> </w:t>
      </w:r>
      <w:r w:rsidRPr="00D4309F">
        <w:t>the</w:t>
      </w:r>
      <w:r w:rsidRPr="00D4309F">
        <w:rPr>
          <w:spacing w:val="-3"/>
        </w:rPr>
        <w:t xml:space="preserve"> </w:t>
      </w:r>
      <w:r w:rsidRPr="00D4309F">
        <w:t>requirements</w:t>
      </w:r>
      <w:r w:rsidRPr="00D4309F">
        <w:rPr>
          <w:spacing w:val="-2"/>
        </w:rPr>
        <w:t xml:space="preserve"> </w:t>
      </w:r>
      <w:r w:rsidRPr="00D4309F">
        <w:t>for</w:t>
      </w:r>
      <w:r w:rsidRPr="00D4309F">
        <w:rPr>
          <w:spacing w:val="-4"/>
        </w:rPr>
        <w:t xml:space="preserve"> </w:t>
      </w:r>
      <w:r w:rsidRPr="00D4309F">
        <w:t>implementing</w:t>
      </w:r>
      <w:r w:rsidRPr="00D4309F">
        <w:rPr>
          <w:spacing w:val="-4"/>
        </w:rPr>
        <w:t xml:space="preserve"> </w:t>
      </w:r>
      <w:r w:rsidRPr="00D4309F">
        <w:t>the</w:t>
      </w:r>
      <w:r w:rsidRPr="00D4309F">
        <w:rPr>
          <w:spacing w:val="-3"/>
        </w:rPr>
        <w:t xml:space="preserve"> </w:t>
      </w:r>
      <w:r w:rsidRPr="00D4309F">
        <w:t>Option</w:t>
      </w:r>
      <w:r w:rsidRPr="00D4309F">
        <w:rPr>
          <w:spacing w:val="-3"/>
        </w:rPr>
        <w:t xml:space="preserve"> </w:t>
      </w:r>
      <w:r w:rsidRPr="00D4309F">
        <w:t>1A</w:t>
      </w:r>
      <w:r w:rsidRPr="00D4309F">
        <w:rPr>
          <w:spacing w:val="-3"/>
        </w:rPr>
        <w:t xml:space="preserve"> </w:t>
      </w:r>
      <w:r w:rsidRPr="00D4309F">
        <w:t>trial,</w:t>
      </w:r>
      <w:r w:rsidRPr="00D4309F">
        <w:rPr>
          <w:spacing w:val="-3"/>
        </w:rPr>
        <w:t xml:space="preserve"> </w:t>
      </w:r>
      <w:r w:rsidRPr="00D4309F">
        <w:t>as</w:t>
      </w:r>
      <w:r w:rsidRPr="00D4309F">
        <w:rPr>
          <w:spacing w:val="-2"/>
        </w:rPr>
        <w:t xml:space="preserve"> </w:t>
      </w:r>
      <w:r w:rsidRPr="00D4309F">
        <w:t>well as any future measures. A preliminary meeting with the relevant State and Federal regulators should be arranged to outline the intent of the trial, likely construction footprint, monitoring approach, and approval pathway. Early dialogue will also help clarify whether additional assessments (e.g., environmental review, cultural heritage checks, or coastal hazard considerations) are required before works commence.</w:t>
      </w:r>
    </w:p>
    <w:p w14:paraId="4DB053ED" w14:textId="7DED0154" w:rsidR="00725977" w:rsidRPr="00D4309F" w:rsidRDefault="00DA721C" w:rsidP="00DA721C">
      <w:pPr>
        <w:pStyle w:val="Heading2-nonumber"/>
        <w:rPr>
          <w:color w:val="70004A"/>
        </w:rPr>
      </w:pPr>
      <w:bookmarkStart w:id="579" w:name="_Toc216699530"/>
      <w:r>
        <w:t xml:space="preserve">3. </w:t>
      </w:r>
      <w:r w:rsidR="00725977" w:rsidRPr="00D4309F">
        <w:t>Planning</w:t>
      </w:r>
      <w:r w:rsidR="00725977" w:rsidRPr="00D4309F">
        <w:rPr>
          <w:spacing w:val="-3"/>
        </w:rPr>
        <w:t xml:space="preserve"> </w:t>
      </w:r>
      <w:r w:rsidR="00725977" w:rsidRPr="00D4309F">
        <w:t>the</w:t>
      </w:r>
      <w:r w:rsidR="00725977" w:rsidRPr="00D4309F">
        <w:rPr>
          <w:spacing w:val="-4"/>
        </w:rPr>
        <w:t xml:space="preserve"> </w:t>
      </w:r>
      <w:r w:rsidR="00725977" w:rsidRPr="00D4309F">
        <w:t>Trial</w:t>
      </w:r>
      <w:r w:rsidR="00725977" w:rsidRPr="00D4309F">
        <w:rPr>
          <w:spacing w:val="-3"/>
        </w:rPr>
        <w:t xml:space="preserve"> </w:t>
      </w:r>
      <w:r w:rsidR="00725977" w:rsidRPr="00D4309F">
        <w:t>for</w:t>
      </w:r>
      <w:r w:rsidR="00725977" w:rsidRPr="00D4309F">
        <w:rPr>
          <w:spacing w:val="-3"/>
        </w:rPr>
        <w:t xml:space="preserve"> </w:t>
      </w:r>
      <w:r w:rsidR="00725977" w:rsidRPr="00D4309F">
        <w:t>Option</w:t>
      </w:r>
      <w:r w:rsidR="00725977" w:rsidRPr="00D4309F">
        <w:rPr>
          <w:spacing w:val="-2"/>
        </w:rPr>
        <w:t xml:space="preserve"> </w:t>
      </w:r>
      <w:r w:rsidR="00725977" w:rsidRPr="00D4309F">
        <w:rPr>
          <w:spacing w:val="-5"/>
        </w:rPr>
        <w:t>1A</w:t>
      </w:r>
      <w:bookmarkEnd w:id="579"/>
    </w:p>
    <w:p w14:paraId="00907EDF" w14:textId="77777777" w:rsidR="00725977" w:rsidRPr="00D4309F" w:rsidRDefault="00725977" w:rsidP="00725977">
      <w:pPr>
        <w:pStyle w:val="BodyText"/>
      </w:pPr>
      <w:r w:rsidRPr="00D4309F">
        <w:t>To</w:t>
      </w:r>
      <w:r w:rsidRPr="00D4309F">
        <w:rPr>
          <w:spacing w:val="-6"/>
        </w:rPr>
        <w:t xml:space="preserve"> </w:t>
      </w:r>
      <w:r w:rsidRPr="00D4309F">
        <w:t>move</w:t>
      </w:r>
      <w:r w:rsidRPr="00D4309F">
        <w:rPr>
          <w:spacing w:val="-4"/>
        </w:rPr>
        <w:t xml:space="preserve"> </w:t>
      </w:r>
      <w:r w:rsidRPr="00D4309F">
        <w:t>toward</w:t>
      </w:r>
      <w:r w:rsidRPr="00D4309F">
        <w:rPr>
          <w:spacing w:val="-3"/>
        </w:rPr>
        <w:t xml:space="preserve"> </w:t>
      </w:r>
      <w:r w:rsidRPr="00D4309F">
        <w:t>implementation</w:t>
      </w:r>
      <w:r w:rsidRPr="00D4309F">
        <w:rPr>
          <w:spacing w:val="-4"/>
        </w:rPr>
        <w:t xml:space="preserve"> </w:t>
      </w:r>
      <w:r w:rsidRPr="00D4309F">
        <w:t>of</w:t>
      </w:r>
      <w:r w:rsidRPr="00D4309F">
        <w:rPr>
          <w:spacing w:val="-3"/>
        </w:rPr>
        <w:t xml:space="preserve"> </w:t>
      </w:r>
      <w:r w:rsidRPr="00D4309F">
        <w:t>Option</w:t>
      </w:r>
      <w:r w:rsidRPr="00D4309F">
        <w:rPr>
          <w:spacing w:val="-4"/>
        </w:rPr>
        <w:t xml:space="preserve"> </w:t>
      </w:r>
      <w:r w:rsidRPr="00D4309F">
        <w:t>1A,</w:t>
      </w:r>
      <w:r w:rsidRPr="00D4309F">
        <w:rPr>
          <w:spacing w:val="-3"/>
        </w:rPr>
        <w:t xml:space="preserve"> </w:t>
      </w:r>
      <w:r w:rsidRPr="00D4309F">
        <w:t>the</w:t>
      </w:r>
      <w:r w:rsidRPr="00D4309F">
        <w:rPr>
          <w:spacing w:val="-4"/>
        </w:rPr>
        <w:t xml:space="preserve"> </w:t>
      </w:r>
      <w:r w:rsidRPr="00D4309F">
        <w:t>following</w:t>
      </w:r>
      <w:r w:rsidRPr="00D4309F">
        <w:rPr>
          <w:spacing w:val="-3"/>
        </w:rPr>
        <w:t xml:space="preserve"> </w:t>
      </w:r>
      <w:r w:rsidRPr="00D4309F">
        <w:t>tasks</w:t>
      </w:r>
      <w:r w:rsidRPr="00D4309F">
        <w:rPr>
          <w:spacing w:val="-3"/>
        </w:rPr>
        <w:t xml:space="preserve"> </w:t>
      </w:r>
      <w:r w:rsidRPr="00D4309F">
        <w:t>are</w:t>
      </w:r>
      <w:r w:rsidRPr="00D4309F">
        <w:rPr>
          <w:spacing w:val="-3"/>
        </w:rPr>
        <w:t xml:space="preserve"> </w:t>
      </w:r>
      <w:r w:rsidRPr="00D4309F">
        <w:rPr>
          <w:spacing w:val="-2"/>
        </w:rPr>
        <w:t>recommended:</w:t>
      </w:r>
    </w:p>
    <w:p w14:paraId="425FE756" w14:textId="381B8E63" w:rsidR="00725977" w:rsidRPr="00D4309F" w:rsidRDefault="00725977" w:rsidP="00DA721C">
      <w:pPr>
        <w:pStyle w:val="ListBullet"/>
        <w:rPr>
          <w:rFonts w:ascii="Symbol" w:hAnsi="Symbol"/>
          <w:color w:val="70004A"/>
        </w:rPr>
      </w:pPr>
      <w:r w:rsidRPr="00D4309F">
        <w:t>Develop</w:t>
      </w:r>
      <w:r w:rsidRPr="00D4309F">
        <w:rPr>
          <w:spacing w:val="-3"/>
        </w:rPr>
        <w:t xml:space="preserve"> </w:t>
      </w:r>
      <w:r w:rsidRPr="00D4309F">
        <w:t>a</w:t>
      </w:r>
      <w:r w:rsidRPr="00D4309F">
        <w:rPr>
          <w:spacing w:val="-3"/>
        </w:rPr>
        <w:t xml:space="preserve"> </w:t>
      </w:r>
      <w:r w:rsidRPr="00D4309F">
        <w:t>plan</w:t>
      </w:r>
      <w:r w:rsidRPr="00D4309F">
        <w:rPr>
          <w:spacing w:val="-3"/>
        </w:rPr>
        <w:t xml:space="preserve"> </w:t>
      </w:r>
      <w:r w:rsidRPr="00D4309F">
        <w:t>outlining</w:t>
      </w:r>
      <w:r w:rsidRPr="00D4309F">
        <w:rPr>
          <w:spacing w:val="-3"/>
        </w:rPr>
        <w:t xml:space="preserve"> </w:t>
      </w:r>
      <w:r w:rsidRPr="00D4309F">
        <w:t>the</w:t>
      </w:r>
      <w:r w:rsidRPr="00D4309F">
        <w:rPr>
          <w:spacing w:val="-3"/>
        </w:rPr>
        <w:t xml:space="preserve"> </w:t>
      </w:r>
      <w:r w:rsidRPr="00D4309F">
        <w:t>footprint,</w:t>
      </w:r>
      <w:r w:rsidRPr="00D4309F">
        <w:rPr>
          <w:spacing w:val="-3"/>
        </w:rPr>
        <w:t xml:space="preserve"> </w:t>
      </w:r>
      <w:r w:rsidRPr="00D4309F">
        <w:t>expected</w:t>
      </w:r>
      <w:r w:rsidRPr="00D4309F">
        <w:rPr>
          <w:spacing w:val="-4"/>
        </w:rPr>
        <w:t xml:space="preserve"> </w:t>
      </w:r>
      <w:r w:rsidRPr="00D4309F">
        <w:t>performance</w:t>
      </w:r>
      <w:r w:rsidRPr="00D4309F">
        <w:rPr>
          <w:spacing w:val="-3"/>
        </w:rPr>
        <w:t xml:space="preserve"> </w:t>
      </w:r>
      <w:r w:rsidRPr="00D4309F">
        <w:t>indicators,</w:t>
      </w:r>
      <w:r w:rsidRPr="00D4309F">
        <w:rPr>
          <w:spacing w:val="-3"/>
        </w:rPr>
        <w:t xml:space="preserve"> </w:t>
      </w:r>
      <w:r w:rsidRPr="00D4309F">
        <w:t>site</w:t>
      </w:r>
      <w:r w:rsidRPr="00D4309F">
        <w:rPr>
          <w:spacing w:val="-3"/>
        </w:rPr>
        <w:t xml:space="preserve"> </w:t>
      </w:r>
      <w:r w:rsidRPr="00D4309F">
        <w:t>access</w:t>
      </w:r>
      <w:r w:rsidRPr="00D4309F">
        <w:rPr>
          <w:spacing w:val="-2"/>
        </w:rPr>
        <w:t xml:space="preserve"> </w:t>
      </w:r>
      <w:r w:rsidRPr="00D4309F">
        <w:t>arrangements, safety considerations, and monitoring program.</w:t>
      </w:r>
    </w:p>
    <w:p w14:paraId="743A9C2A" w14:textId="77777777" w:rsidR="00725977" w:rsidRPr="00D4309F" w:rsidRDefault="00725977" w:rsidP="00DA721C">
      <w:pPr>
        <w:pStyle w:val="ListBullet"/>
        <w:rPr>
          <w:rFonts w:ascii="Symbol" w:hAnsi="Symbol"/>
          <w:color w:val="70004A"/>
        </w:rPr>
      </w:pPr>
      <w:r w:rsidRPr="00D4309F">
        <w:t>Prepare</w:t>
      </w:r>
      <w:r w:rsidRPr="00D4309F">
        <w:rPr>
          <w:spacing w:val="-4"/>
        </w:rPr>
        <w:t xml:space="preserve"> </w:t>
      </w:r>
      <w:r w:rsidRPr="00D4309F">
        <w:t>supporting</w:t>
      </w:r>
      <w:r w:rsidRPr="00D4309F">
        <w:rPr>
          <w:spacing w:val="-4"/>
        </w:rPr>
        <w:t xml:space="preserve"> </w:t>
      </w:r>
      <w:r w:rsidRPr="00D4309F">
        <w:t>technical</w:t>
      </w:r>
      <w:r w:rsidRPr="00D4309F">
        <w:rPr>
          <w:spacing w:val="-4"/>
        </w:rPr>
        <w:t xml:space="preserve"> </w:t>
      </w:r>
      <w:r w:rsidRPr="00D4309F">
        <w:t>documentation</w:t>
      </w:r>
      <w:r w:rsidRPr="00D4309F">
        <w:rPr>
          <w:spacing w:val="-4"/>
        </w:rPr>
        <w:t xml:space="preserve"> </w:t>
      </w:r>
      <w:r w:rsidRPr="00D4309F">
        <w:t>for</w:t>
      </w:r>
      <w:r w:rsidRPr="00D4309F">
        <w:rPr>
          <w:spacing w:val="-3"/>
        </w:rPr>
        <w:t xml:space="preserve"> </w:t>
      </w:r>
      <w:r w:rsidRPr="00D4309F">
        <w:t>approvals,</w:t>
      </w:r>
      <w:r w:rsidRPr="00D4309F">
        <w:rPr>
          <w:spacing w:val="-4"/>
        </w:rPr>
        <w:t xml:space="preserve"> </w:t>
      </w:r>
      <w:r w:rsidRPr="00D4309F">
        <w:t>including</w:t>
      </w:r>
      <w:r w:rsidRPr="00D4309F">
        <w:rPr>
          <w:spacing w:val="-4"/>
        </w:rPr>
        <w:t xml:space="preserve"> </w:t>
      </w:r>
      <w:r w:rsidRPr="00D4309F">
        <w:t>concept</w:t>
      </w:r>
      <w:r w:rsidRPr="00D4309F">
        <w:rPr>
          <w:spacing w:val="-4"/>
        </w:rPr>
        <w:t xml:space="preserve"> </w:t>
      </w:r>
      <w:r w:rsidRPr="00D4309F">
        <w:t>drawings,</w:t>
      </w:r>
      <w:r w:rsidRPr="00D4309F">
        <w:rPr>
          <w:spacing w:val="-4"/>
        </w:rPr>
        <w:t xml:space="preserve"> </w:t>
      </w:r>
      <w:r w:rsidRPr="00D4309F">
        <w:t>anticipated volumes, and any localised management measures.</w:t>
      </w:r>
    </w:p>
    <w:p w14:paraId="0785FF55" w14:textId="77777777" w:rsidR="00725977" w:rsidRPr="00D4309F" w:rsidRDefault="00725977" w:rsidP="00DA721C">
      <w:pPr>
        <w:pStyle w:val="ListBullet"/>
        <w:rPr>
          <w:rFonts w:ascii="Symbol" w:hAnsi="Symbol"/>
          <w:color w:val="70004A"/>
        </w:rPr>
      </w:pPr>
      <w:r w:rsidRPr="00D4309F">
        <w:t>Establish</w:t>
      </w:r>
      <w:r w:rsidRPr="00D4309F">
        <w:rPr>
          <w:spacing w:val="-3"/>
        </w:rPr>
        <w:t xml:space="preserve"> </w:t>
      </w:r>
      <w:r w:rsidRPr="00D4309F">
        <w:t>a</w:t>
      </w:r>
      <w:r w:rsidRPr="00D4309F">
        <w:rPr>
          <w:spacing w:val="-3"/>
        </w:rPr>
        <w:t xml:space="preserve"> </w:t>
      </w:r>
      <w:r w:rsidRPr="00D4309F">
        <w:t>monitoring</w:t>
      </w:r>
      <w:r w:rsidRPr="00D4309F">
        <w:rPr>
          <w:spacing w:val="-3"/>
        </w:rPr>
        <w:t xml:space="preserve"> </w:t>
      </w:r>
      <w:r w:rsidRPr="00D4309F">
        <w:t>framework</w:t>
      </w:r>
      <w:r w:rsidRPr="00D4309F">
        <w:rPr>
          <w:spacing w:val="-2"/>
        </w:rPr>
        <w:t xml:space="preserve"> </w:t>
      </w:r>
      <w:r w:rsidRPr="00D4309F">
        <w:t>that</w:t>
      </w:r>
      <w:r w:rsidRPr="00D4309F">
        <w:rPr>
          <w:spacing w:val="-3"/>
        </w:rPr>
        <w:t xml:space="preserve"> </w:t>
      </w:r>
      <w:r w:rsidRPr="00D4309F">
        <w:t>aligns</w:t>
      </w:r>
      <w:r w:rsidRPr="00D4309F">
        <w:rPr>
          <w:spacing w:val="-3"/>
        </w:rPr>
        <w:t xml:space="preserve"> </w:t>
      </w:r>
      <w:r w:rsidRPr="00D4309F">
        <w:t>with</w:t>
      </w:r>
      <w:r w:rsidRPr="00D4309F">
        <w:rPr>
          <w:spacing w:val="-3"/>
        </w:rPr>
        <w:t xml:space="preserve"> </w:t>
      </w:r>
      <w:r w:rsidRPr="00D4309F">
        <w:t>the</w:t>
      </w:r>
      <w:r w:rsidRPr="00D4309F">
        <w:rPr>
          <w:spacing w:val="-3"/>
        </w:rPr>
        <w:t xml:space="preserve"> </w:t>
      </w:r>
      <w:r w:rsidRPr="00D4309F">
        <w:t>ongoing</w:t>
      </w:r>
      <w:r w:rsidRPr="00D4309F">
        <w:rPr>
          <w:spacing w:val="-3"/>
        </w:rPr>
        <w:t xml:space="preserve"> </w:t>
      </w:r>
      <w:r w:rsidRPr="00D4309F">
        <w:t>improvements</w:t>
      </w:r>
      <w:r w:rsidRPr="00D4309F">
        <w:rPr>
          <w:spacing w:val="-2"/>
        </w:rPr>
        <w:t xml:space="preserve"> </w:t>
      </w:r>
      <w:r w:rsidRPr="00D4309F">
        <w:t>in</w:t>
      </w:r>
      <w:r w:rsidRPr="00D4309F">
        <w:rPr>
          <w:spacing w:val="-4"/>
        </w:rPr>
        <w:t xml:space="preserve"> </w:t>
      </w:r>
      <w:r w:rsidRPr="00D4309F">
        <w:t>site</w:t>
      </w:r>
      <w:r w:rsidRPr="00D4309F">
        <w:rPr>
          <w:spacing w:val="-3"/>
        </w:rPr>
        <w:t xml:space="preserve"> </w:t>
      </w:r>
      <w:r w:rsidRPr="00D4309F">
        <w:t>data</w:t>
      </w:r>
      <w:r w:rsidRPr="00D4309F">
        <w:rPr>
          <w:spacing w:val="-3"/>
        </w:rPr>
        <w:t xml:space="preserve"> </w:t>
      </w:r>
      <w:r w:rsidRPr="00D4309F">
        <w:t>collection, including drone surveys, numerical modelling inputs, and camera technology.</w:t>
      </w:r>
    </w:p>
    <w:p w14:paraId="3AA10DF6" w14:textId="77777777" w:rsidR="00725977" w:rsidRPr="00D4309F" w:rsidRDefault="00725977" w:rsidP="00DA721C">
      <w:pPr>
        <w:pStyle w:val="ListBullet"/>
        <w:rPr>
          <w:rFonts w:ascii="Symbol" w:hAnsi="Symbol"/>
          <w:color w:val="70004A"/>
        </w:rPr>
      </w:pPr>
      <w:r w:rsidRPr="00D4309F">
        <w:t>Coordinate</w:t>
      </w:r>
      <w:r w:rsidRPr="00D4309F">
        <w:rPr>
          <w:spacing w:val="-3"/>
        </w:rPr>
        <w:t xml:space="preserve"> </w:t>
      </w:r>
      <w:r w:rsidRPr="00D4309F">
        <w:t>with</w:t>
      </w:r>
      <w:r w:rsidRPr="00D4309F">
        <w:rPr>
          <w:spacing w:val="-3"/>
        </w:rPr>
        <w:t xml:space="preserve"> </w:t>
      </w:r>
      <w:r w:rsidRPr="00D4309F">
        <w:t>stakeholders,</w:t>
      </w:r>
      <w:r w:rsidRPr="00D4309F">
        <w:rPr>
          <w:spacing w:val="-3"/>
        </w:rPr>
        <w:t xml:space="preserve"> </w:t>
      </w:r>
      <w:r w:rsidRPr="00D4309F">
        <w:t>including</w:t>
      </w:r>
      <w:r w:rsidRPr="00D4309F">
        <w:rPr>
          <w:spacing w:val="-3"/>
        </w:rPr>
        <w:t xml:space="preserve"> </w:t>
      </w:r>
      <w:r w:rsidRPr="00D4309F">
        <w:t>Council,</w:t>
      </w:r>
      <w:r w:rsidRPr="00D4309F">
        <w:rPr>
          <w:spacing w:val="-3"/>
        </w:rPr>
        <w:t xml:space="preserve"> </w:t>
      </w:r>
      <w:r w:rsidRPr="00D4309F">
        <w:t>MSQ,</w:t>
      </w:r>
      <w:r w:rsidRPr="00D4309F">
        <w:rPr>
          <w:spacing w:val="-3"/>
        </w:rPr>
        <w:t xml:space="preserve"> </w:t>
      </w:r>
      <w:r w:rsidRPr="00D4309F">
        <w:t>local</w:t>
      </w:r>
      <w:r w:rsidRPr="00D4309F">
        <w:rPr>
          <w:spacing w:val="-3"/>
        </w:rPr>
        <w:t xml:space="preserve"> </w:t>
      </w:r>
      <w:r w:rsidRPr="00D4309F">
        <w:t>users,</w:t>
      </w:r>
      <w:r w:rsidRPr="00D4309F">
        <w:rPr>
          <w:spacing w:val="-3"/>
        </w:rPr>
        <w:t xml:space="preserve"> </w:t>
      </w:r>
      <w:r w:rsidRPr="00D4309F">
        <w:t>and</w:t>
      </w:r>
      <w:r w:rsidRPr="00D4309F">
        <w:rPr>
          <w:spacing w:val="-3"/>
        </w:rPr>
        <w:t xml:space="preserve"> </w:t>
      </w:r>
      <w:r w:rsidRPr="00D4309F">
        <w:t>community</w:t>
      </w:r>
      <w:r w:rsidRPr="00D4309F">
        <w:rPr>
          <w:spacing w:val="-2"/>
        </w:rPr>
        <w:t xml:space="preserve"> </w:t>
      </w:r>
      <w:r w:rsidRPr="00D4309F">
        <w:t>groups,</w:t>
      </w:r>
      <w:r w:rsidRPr="00D4309F">
        <w:rPr>
          <w:spacing w:val="-3"/>
        </w:rPr>
        <w:t xml:space="preserve"> </w:t>
      </w:r>
      <w:r w:rsidRPr="00D4309F">
        <w:t>to</w:t>
      </w:r>
      <w:r w:rsidRPr="00D4309F">
        <w:rPr>
          <w:spacing w:val="-3"/>
        </w:rPr>
        <w:t xml:space="preserve"> </w:t>
      </w:r>
      <w:r w:rsidRPr="00D4309F">
        <w:t>ensure clear communication around the intent and scale of the trial.</w:t>
      </w:r>
    </w:p>
    <w:p w14:paraId="4FA1650B" w14:textId="6DD828A4" w:rsidR="00725977" w:rsidRPr="00D4309F" w:rsidRDefault="001C2195" w:rsidP="00725977">
      <w:pPr>
        <w:pStyle w:val="BodyText"/>
      </w:pPr>
      <w:r>
        <w:t>Ongoing monitoring</w:t>
      </w:r>
      <w:r w:rsidR="00725977" w:rsidRPr="00D4309F">
        <w:rPr>
          <w:spacing w:val="-3"/>
        </w:rPr>
        <w:t xml:space="preserve"> </w:t>
      </w:r>
      <w:r w:rsidR="00725977" w:rsidRPr="00D4309F">
        <w:t>should</w:t>
      </w:r>
      <w:r w:rsidR="00725977" w:rsidRPr="00D4309F">
        <w:rPr>
          <w:spacing w:val="-2"/>
        </w:rPr>
        <w:t xml:space="preserve"> </w:t>
      </w:r>
      <w:r w:rsidR="00725977" w:rsidRPr="00D4309F">
        <w:t>be</w:t>
      </w:r>
      <w:r w:rsidR="00725977" w:rsidRPr="00D4309F">
        <w:rPr>
          <w:spacing w:val="-3"/>
        </w:rPr>
        <w:t xml:space="preserve"> </w:t>
      </w:r>
      <w:r w:rsidR="00725977" w:rsidRPr="00D4309F">
        <w:t>adopted</w:t>
      </w:r>
      <w:r w:rsidR="00725977" w:rsidRPr="00D4309F">
        <w:rPr>
          <w:spacing w:val="-2"/>
        </w:rPr>
        <w:t xml:space="preserve"> </w:t>
      </w:r>
      <w:r w:rsidR="00725977" w:rsidRPr="00D4309F">
        <w:t>to</w:t>
      </w:r>
      <w:r w:rsidR="00725977" w:rsidRPr="00D4309F">
        <w:rPr>
          <w:spacing w:val="-2"/>
        </w:rPr>
        <w:t xml:space="preserve"> </w:t>
      </w:r>
      <w:r w:rsidR="00725977" w:rsidRPr="00D4309F">
        <w:t>capture</w:t>
      </w:r>
      <w:r w:rsidR="00725977" w:rsidRPr="00D4309F">
        <w:rPr>
          <w:spacing w:val="-2"/>
        </w:rPr>
        <w:t xml:space="preserve"> </w:t>
      </w:r>
      <w:r w:rsidR="00725977" w:rsidRPr="00D4309F">
        <w:t>a</w:t>
      </w:r>
      <w:r w:rsidR="00725977" w:rsidRPr="00D4309F">
        <w:rPr>
          <w:spacing w:val="-3"/>
        </w:rPr>
        <w:t xml:space="preserve"> </w:t>
      </w:r>
      <w:r w:rsidR="00725977" w:rsidRPr="00D4309F">
        <w:t xml:space="preserve">representative range of conditions and provide evidence for assessing the performance and future suitability of this </w:t>
      </w:r>
      <w:r w:rsidR="00725977" w:rsidRPr="00D4309F">
        <w:rPr>
          <w:spacing w:val="-2"/>
        </w:rPr>
        <w:t>measure.</w:t>
      </w:r>
    </w:p>
    <w:p w14:paraId="1CFC25C8" w14:textId="643BFC63" w:rsidR="00725977" w:rsidRPr="00D4309F" w:rsidRDefault="00B47B95" w:rsidP="00DA721C">
      <w:pPr>
        <w:pStyle w:val="Heading2-nonumber"/>
        <w:rPr>
          <w:color w:val="70004A"/>
        </w:rPr>
      </w:pPr>
      <w:bookmarkStart w:id="580" w:name="_Toc216699531"/>
      <w:r>
        <w:t xml:space="preserve">4. </w:t>
      </w:r>
      <w:r w:rsidR="00725977" w:rsidRPr="00D4309F">
        <w:t>Parallel</w:t>
      </w:r>
      <w:r w:rsidR="00725977" w:rsidRPr="00D4309F">
        <w:rPr>
          <w:spacing w:val="-5"/>
        </w:rPr>
        <w:t xml:space="preserve"> </w:t>
      </w:r>
      <w:r w:rsidR="00725977" w:rsidRPr="00D4309F">
        <w:t>Development</w:t>
      </w:r>
      <w:r w:rsidR="00725977" w:rsidRPr="00D4309F">
        <w:rPr>
          <w:spacing w:val="-3"/>
        </w:rPr>
        <w:t xml:space="preserve"> </w:t>
      </w:r>
      <w:r w:rsidR="00725977" w:rsidRPr="00D4309F">
        <w:t>of</w:t>
      </w:r>
      <w:r w:rsidR="00725977" w:rsidRPr="00D4309F">
        <w:rPr>
          <w:spacing w:val="-3"/>
        </w:rPr>
        <w:t xml:space="preserve"> </w:t>
      </w:r>
      <w:r w:rsidR="00725977" w:rsidRPr="00D4309F">
        <w:t>Option</w:t>
      </w:r>
      <w:r w:rsidR="00725977" w:rsidRPr="00D4309F">
        <w:rPr>
          <w:spacing w:val="-4"/>
        </w:rPr>
        <w:t xml:space="preserve"> </w:t>
      </w:r>
      <w:r w:rsidR="00725977" w:rsidRPr="00D4309F">
        <w:rPr>
          <w:spacing w:val="-10"/>
        </w:rPr>
        <w:t>2</w:t>
      </w:r>
      <w:bookmarkEnd w:id="580"/>
    </w:p>
    <w:p w14:paraId="1042266D" w14:textId="77777777" w:rsidR="00725977" w:rsidRPr="00D4309F" w:rsidRDefault="00725977" w:rsidP="00725977">
      <w:pPr>
        <w:pStyle w:val="BodyText"/>
      </w:pPr>
      <w:r w:rsidRPr="00D4309F">
        <w:t>While</w:t>
      </w:r>
      <w:r w:rsidRPr="00D4309F">
        <w:rPr>
          <w:spacing w:val="-3"/>
        </w:rPr>
        <w:t xml:space="preserve"> </w:t>
      </w:r>
      <w:r w:rsidRPr="00D4309F">
        <w:t>Option</w:t>
      </w:r>
      <w:r w:rsidRPr="00D4309F">
        <w:rPr>
          <w:spacing w:val="-4"/>
        </w:rPr>
        <w:t xml:space="preserve"> </w:t>
      </w:r>
      <w:r w:rsidRPr="00D4309F">
        <w:t>1A</w:t>
      </w:r>
      <w:r w:rsidRPr="00D4309F">
        <w:rPr>
          <w:spacing w:val="-3"/>
        </w:rPr>
        <w:t xml:space="preserve"> </w:t>
      </w:r>
      <w:r w:rsidRPr="00D4309F">
        <w:t>is</w:t>
      </w:r>
      <w:r w:rsidRPr="00D4309F">
        <w:rPr>
          <w:spacing w:val="-2"/>
        </w:rPr>
        <w:t xml:space="preserve"> </w:t>
      </w:r>
      <w:r w:rsidRPr="00D4309F">
        <w:t>being</w:t>
      </w:r>
      <w:r w:rsidRPr="00D4309F">
        <w:rPr>
          <w:spacing w:val="-3"/>
        </w:rPr>
        <w:t xml:space="preserve"> </w:t>
      </w:r>
      <w:r w:rsidRPr="00D4309F">
        <w:t>trialled</w:t>
      </w:r>
      <w:r w:rsidRPr="00D4309F">
        <w:rPr>
          <w:spacing w:val="-3"/>
        </w:rPr>
        <w:t xml:space="preserve"> </w:t>
      </w:r>
      <w:r w:rsidRPr="00D4309F">
        <w:t>(or</w:t>
      </w:r>
      <w:r w:rsidRPr="00D4309F">
        <w:rPr>
          <w:spacing w:val="-2"/>
        </w:rPr>
        <w:t xml:space="preserve"> </w:t>
      </w:r>
      <w:r w:rsidRPr="00D4309F">
        <w:t>even</w:t>
      </w:r>
      <w:r w:rsidRPr="00D4309F">
        <w:rPr>
          <w:spacing w:val="-4"/>
        </w:rPr>
        <w:t xml:space="preserve"> </w:t>
      </w:r>
      <w:r w:rsidRPr="00D4309F">
        <w:t>prior</w:t>
      </w:r>
      <w:r w:rsidRPr="00D4309F">
        <w:rPr>
          <w:spacing w:val="-2"/>
        </w:rPr>
        <w:t xml:space="preserve"> </w:t>
      </w:r>
      <w:r w:rsidRPr="00D4309F">
        <w:t>–</w:t>
      </w:r>
      <w:r w:rsidRPr="00D4309F">
        <w:rPr>
          <w:spacing w:val="-3"/>
        </w:rPr>
        <w:t xml:space="preserve"> </w:t>
      </w:r>
      <w:r w:rsidRPr="00D4309F">
        <w:t>as</w:t>
      </w:r>
      <w:r w:rsidRPr="00D4309F">
        <w:rPr>
          <w:spacing w:val="-2"/>
        </w:rPr>
        <w:t xml:space="preserve"> </w:t>
      </w:r>
      <w:r w:rsidRPr="00D4309F">
        <w:t>soon</w:t>
      </w:r>
      <w:r w:rsidRPr="00D4309F">
        <w:rPr>
          <w:spacing w:val="-3"/>
        </w:rPr>
        <w:t xml:space="preserve"> </w:t>
      </w:r>
      <w:r w:rsidRPr="00D4309F">
        <w:t>as</w:t>
      </w:r>
      <w:r w:rsidRPr="00D4309F">
        <w:rPr>
          <w:spacing w:val="-2"/>
        </w:rPr>
        <w:t xml:space="preserve"> </w:t>
      </w:r>
      <w:r w:rsidRPr="00D4309F">
        <w:t>possible),</w:t>
      </w:r>
      <w:r w:rsidRPr="00D4309F">
        <w:rPr>
          <w:spacing w:val="-3"/>
        </w:rPr>
        <w:t xml:space="preserve"> </w:t>
      </w:r>
      <w:r w:rsidRPr="00D4309F">
        <w:t>further</w:t>
      </w:r>
      <w:r w:rsidRPr="00D4309F">
        <w:rPr>
          <w:spacing w:val="-2"/>
        </w:rPr>
        <w:t xml:space="preserve"> </w:t>
      </w:r>
      <w:r w:rsidRPr="00D4309F">
        <w:t>design</w:t>
      </w:r>
      <w:r w:rsidRPr="00D4309F">
        <w:rPr>
          <w:spacing w:val="-3"/>
        </w:rPr>
        <w:t xml:space="preserve"> </w:t>
      </w:r>
      <w:r w:rsidRPr="00D4309F">
        <w:t>development</w:t>
      </w:r>
      <w:r w:rsidRPr="00D4309F">
        <w:rPr>
          <w:spacing w:val="-3"/>
        </w:rPr>
        <w:t xml:space="preserve"> </w:t>
      </w:r>
      <w:r w:rsidRPr="00D4309F">
        <w:t>of</w:t>
      </w:r>
      <w:r w:rsidRPr="00D4309F">
        <w:rPr>
          <w:spacing w:val="-3"/>
        </w:rPr>
        <w:t xml:space="preserve"> </w:t>
      </w:r>
      <w:r w:rsidRPr="00D4309F">
        <w:t>Option 2 should progress. This includes:</w:t>
      </w:r>
    </w:p>
    <w:p w14:paraId="54C8E2FC" w14:textId="77777777" w:rsidR="00725977" w:rsidRPr="00D4309F" w:rsidRDefault="00725977" w:rsidP="006C24AF">
      <w:pPr>
        <w:pStyle w:val="ListParagraph"/>
        <w:widowControl w:val="0"/>
        <w:numPr>
          <w:ilvl w:val="1"/>
          <w:numId w:val="10"/>
        </w:numPr>
        <w:tabs>
          <w:tab w:val="left" w:pos="501"/>
        </w:tabs>
        <w:autoSpaceDE w:val="0"/>
        <w:autoSpaceDN w:val="0"/>
        <w:spacing w:after="0" w:line="240" w:lineRule="auto"/>
        <w:ind w:right="210"/>
        <w:contextualSpacing w:val="0"/>
        <w:rPr>
          <w:rFonts w:ascii="Symbol" w:hAnsi="Symbol"/>
          <w:color w:val="70004A"/>
        </w:rPr>
      </w:pPr>
      <w:r w:rsidRPr="00D4309F">
        <w:rPr>
          <w:color w:val="211E1F"/>
        </w:rPr>
        <w:t>Advancing</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technical</w:t>
      </w:r>
      <w:r w:rsidRPr="00D4309F">
        <w:rPr>
          <w:color w:val="211E1F"/>
          <w:spacing w:val="-3"/>
        </w:rPr>
        <w:t xml:space="preserve"> </w:t>
      </w:r>
      <w:r w:rsidRPr="00D4309F">
        <w:rPr>
          <w:color w:val="211E1F"/>
        </w:rPr>
        <w:t>design</w:t>
      </w:r>
      <w:r w:rsidRPr="00D4309F">
        <w:rPr>
          <w:color w:val="211E1F"/>
          <w:spacing w:val="-3"/>
        </w:rPr>
        <w:t xml:space="preserve"> </w:t>
      </w:r>
      <w:r w:rsidRPr="00D4309F">
        <w:rPr>
          <w:color w:val="211E1F"/>
        </w:rPr>
        <w:t>beyond</w:t>
      </w:r>
      <w:r w:rsidRPr="00D4309F">
        <w:rPr>
          <w:color w:val="211E1F"/>
          <w:spacing w:val="-4"/>
        </w:rPr>
        <w:t xml:space="preserve"> </w:t>
      </w:r>
      <w:r w:rsidRPr="00D4309F">
        <w:rPr>
          <w:color w:val="211E1F"/>
        </w:rPr>
        <w:t>the</w:t>
      </w:r>
      <w:r w:rsidRPr="00D4309F">
        <w:rPr>
          <w:color w:val="211E1F"/>
          <w:spacing w:val="-3"/>
        </w:rPr>
        <w:t xml:space="preserve"> </w:t>
      </w:r>
      <w:r w:rsidRPr="00D4309F">
        <w:rPr>
          <w:color w:val="211E1F"/>
        </w:rPr>
        <w:t>current</w:t>
      </w:r>
      <w:r w:rsidRPr="00D4309F">
        <w:rPr>
          <w:color w:val="211E1F"/>
          <w:spacing w:val="-3"/>
        </w:rPr>
        <w:t xml:space="preserve"> </w:t>
      </w:r>
      <w:r w:rsidRPr="00D4309F">
        <w:rPr>
          <w:color w:val="211E1F"/>
        </w:rPr>
        <w:t>schematic</w:t>
      </w:r>
      <w:r w:rsidRPr="00D4309F">
        <w:rPr>
          <w:color w:val="211E1F"/>
          <w:spacing w:val="-2"/>
        </w:rPr>
        <w:t xml:space="preserve"> </w:t>
      </w:r>
      <w:r w:rsidRPr="00D4309F">
        <w:rPr>
          <w:color w:val="211E1F"/>
        </w:rPr>
        <w:t>stage</w:t>
      </w:r>
      <w:r w:rsidRPr="00D4309F">
        <w:rPr>
          <w:color w:val="211E1F"/>
          <w:spacing w:val="-3"/>
        </w:rPr>
        <w:t xml:space="preserve"> </w:t>
      </w:r>
      <w:r w:rsidRPr="00D4309F">
        <w:rPr>
          <w:color w:val="211E1F"/>
        </w:rPr>
        <w:t>–</w:t>
      </w:r>
      <w:r w:rsidRPr="00D4309F">
        <w:rPr>
          <w:color w:val="211E1F"/>
          <w:spacing w:val="-3"/>
        </w:rPr>
        <w:t xml:space="preserve"> </w:t>
      </w:r>
      <w:r w:rsidRPr="00D4309F">
        <w:rPr>
          <w:color w:val="211E1F"/>
        </w:rPr>
        <w:t>refining</w:t>
      </w:r>
      <w:r w:rsidRPr="00D4309F">
        <w:rPr>
          <w:color w:val="211E1F"/>
          <w:spacing w:val="-3"/>
        </w:rPr>
        <w:t xml:space="preserve"> </w:t>
      </w:r>
      <w:r w:rsidRPr="00D4309F">
        <w:rPr>
          <w:color w:val="211E1F"/>
        </w:rPr>
        <w:t>the</w:t>
      </w:r>
      <w:r w:rsidRPr="00D4309F">
        <w:rPr>
          <w:color w:val="211E1F"/>
          <w:spacing w:val="-3"/>
        </w:rPr>
        <w:t xml:space="preserve"> </w:t>
      </w:r>
      <w:r w:rsidRPr="00D4309F">
        <w:rPr>
          <w:color w:val="211E1F"/>
        </w:rPr>
        <w:t>size,</w:t>
      </w:r>
      <w:r w:rsidRPr="00D4309F">
        <w:rPr>
          <w:color w:val="211E1F"/>
          <w:spacing w:val="-3"/>
        </w:rPr>
        <w:t xml:space="preserve"> </w:t>
      </w:r>
      <w:r w:rsidRPr="00D4309F">
        <w:rPr>
          <w:color w:val="211E1F"/>
        </w:rPr>
        <w:t>shape</w:t>
      </w:r>
      <w:r w:rsidRPr="00D4309F">
        <w:rPr>
          <w:color w:val="211E1F"/>
          <w:spacing w:val="-3"/>
        </w:rPr>
        <w:t xml:space="preserve"> </w:t>
      </w:r>
      <w:r w:rsidRPr="00D4309F">
        <w:rPr>
          <w:color w:val="211E1F"/>
        </w:rPr>
        <w:t>and</w:t>
      </w:r>
      <w:r w:rsidRPr="00D4309F">
        <w:rPr>
          <w:color w:val="211E1F"/>
          <w:spacing w:val="-3"/>
        </w:rPr>
        <w:t xml:space="preserve"> </w:t>
      </w:r>
      <w:r w:rsidRPr="00D4309F">
        <w:rPr>
          <w:color w:val="211E1F"/>
        </w:rPr>
        <w:t>depth of the sand trap, geotechnical investigation, etc.</w:t>
      </w:r>
    </w:p>
    <w:p w14:paraId="39B8D103" w14:textId="77777777" w:rsidR="00725977" w:rsidRPr="00D4309F" w:rsidRDefault="00725977" w:rsidP="006C24AF">
      <w:pPr>
        <w:pStyle w:val="ListParagraph"/>
        <w:widowControl w:val="0"/>
        <w:numPr>
          <w:ilvl w:val="1"/>
          <w:numId w:val="10"/>
        </w:numPr>
        <w:tabs>
          <w:tab w:val="left" w:pos="501"/>
        </w:tabs>
        <w:autoSpaceDE w:val="0"/>
        <w:autoSpaceDN w:val="0"/>
        <w:spacing w:before="118" w:after="0" w:line="240" w:lineRule="auto"/>
        <w:contextualSpacing w:val="0"/>
        <w:rPr>
          <w:rFonts w:ascii="Symbol" w:hAnsi="Symbol"/>
          <w:color w:val="70004A"/>
        </w:rPr>
      </w:pPr>
      <w:r w:rsidRPr="00D4309F">
        <w:rPr>
          <w:color w:val="211E1F"/>
        </w:rPr>
        <w:t>Undertaking</w:t>
      </w:r>
      <w:r w:rsidRPr="00D4309F">
        <w:rPr>
          <w:color w:val="211E1F"/>
          <w:spacing w:val="-8"/>
        </w:rPr>
        <w:t xml:space="preserve"> </w:t>
      </w:r>
      <w:r w:rsidRPr="00D4309F">
        <w:rPr>
          <w:color w:val="211E1F"/>
        </w:rPr>
        <w:t>numerical</w:t>
      </w:r>
      <w:r w:rsidRPr="00D4309F">
        <w:rPr>
          <w:color w:val="211E1F"/>
          <w:spacing w:val="-4"/>
        </w:rPr>
        <w:t xml:space="preserve"> </w:t>
      </w:r>
      <w:r w:rsidRPr="00D4309F">
        <w:rPr>
          <w:color w:val="211E1F"/>
        </w:rPr>
        <w:t>modelling</w:t>
      </w:r>
      <w:r w:rsidRPr="00D4309F">
        <w:rPr>
          <w:color w:val="211E1F"/>
          <w:spacing w:val="-4"/>
        </w:rPr>
        <w:t xml:space="preserve"> </w:t>
      </w:r>
      <w:r w:rsidRPr="00D4309F">
        <w:rPr>
          <w:color w:val="211E1F"/>
        </w:rPr>
        <w:t>to</w:t>
      </w:r>
      <w:r w:rsidRPr="00D4309F">
        <w:rPr>
          <w:color w:val="211E1F"/>
          <w:spacing w:val="-4"/>
        </w:rPr>
        <w:t xml:space="preserve"> </w:t>
      </w:r>
      <w:r w:rsidRPr="00D4309F">
        <w:rPr>
          <w:color w:val="211E1F"/>
        </w:rPr>
        <w:t>test</w:t>
      </w:r>
      <w:r w:rsidRPr="00D4309F">
        <w:rPr>
          <w:color w:val="211E1F"/>
          <w:spacing w:val="-6"/>
        </w:rPr>
        <w:t xml:space="preserve"> </w:t>
      </w:r>
      <w:r w:rsidRPr="00D4309F">
        <w:rPr>
          <w:color w:val="211E1F"/>
        </w:rPr>
        <w:t>expected</w:t>
      </w:r>
      <w:r w:rsidRPr="00D4309F">
        <w:rPr>
          <w:color w:val="211E1F"/>
          <w:spacing w:val="-5"/>
        </w:rPr>
        <w:t xml:space="preserve"> </w:t>
      </w:r>
      <w:r w:rsidRPr="00D4309F">
        <w:rPr>
          <w:color w:val="211E1F"/>
        </w:rPr>
        <w:t>changes</w:t>
      </w:r>
      <w:r w:rsidRPr="00D4309F">
        <w:rPr>
          <w:color w:val="211E1F"/>
          <w:spacing w:val="-4"/>
        </w:rPr>
        <w:t xml:space="preserve"> </w:t>
      </w:r>
      <w:r w:rsidRPr="00D4309F">
        <w:rPr>
          <w:color w:val="211E1F"/>
        </w:rPr>
        <w:t>to</w:t>
      </w:r>
      <w:r w:rsidRPr="00D4309F">
        <w:rPr>
          <w:color w:val="211E1F"/>
          <w:spacing w:val="-4"/>
        </w:rPr>
        <w:t xml:space="preserve"> </w:t>
      </w:r>
      <w:r w:rsidRPr="00D4309F">
        <w:rPr>
          <w:color w:val="211E1F"/>
        </w:rPr>
        <w:t>sediment</w:t>
      </w:r>
      <w:r w:rsidRPr="00D4309F">
        <w:rPr>
          <w:color w:val="211E1F"/>
          <w:spacing w:val="-5"/>
        </w:rPr>
        <w:t xml:space="preserve"> </w:t>
      </w:r>
      <w:r w:rsidRPr="00D4309F">
        <w:rPr>
          <w:color w:val="211E1F"/>
        </w:rPr>
        <w:t>and</w:t>
      </w:r>
      <w:r w:rsidRPr="00D4309F">
        <w:rPr>
          <w:color w:val="211E1F"/>
          <w:spacing w:val="-4"/>
        </w:rPr>
        <w:t xml:space="preserve"> </w:t>
      </w:r>
      <w:r w:rsidRPr="00D4309F">
        <w:rPr>
          <w:color w:val="211E1F"/>
        </w:rPr>
        <w:t>wave</w:t>
      </w:r>
      <w:r w:rsidRPr="00D4309F">
        <w:rPr>
          <w:color w:val="211E1F"/>
          <w:spacing w:val="-4"/>
        </w:rPr>
        <w:t xml:space="preserve"> </w:t>
      </w:r>
      <w:r w:rsidRPr="00D4309F">
        <w:rPr>
          <w:color w:val="211E1F"/>
          <w:spacing w:val="-2"/>
        </w:rPr>
        <w:t>behaviour.</w:t>
      </w:r>
    </w:p>
    <w:p w14:paraId="02373669" w14:textId="77777777" w:rsidR="00725977" w:rsidRPr="00D4309F" w:rsidRDefault="00725977" w:rsidP="006C24AF">
      <w:pPr>
        <w:pStyle w:val="ListParagraph"/>
        <w:widowControl w:val="0"/>
        <w:numPr>
          <w:ilvl w:val="1"/>
          <w:numId w:val="10"/>
        </w:numPr>
        <w:tabs>
          <w:tab w:val="left" w:pos="501"/>
        </w:tabs>
        <w:autoSpaceDE w:val="0"/>
        <w:autoSpaceDN w:val="0"/>
        <w:spacing w:before="119" w:after="0" w:line="240" w:lineRule="auto"/>
        <w:contextualSpacing w:val="0"/>
        <w:rPr>
          <w:rFonts w:ascii="Symbol" w:hAnsi="Symbol"/>
          <w:color w:val="70004A"/>
        </w:rPr>
      </w:pPr>
      <w:r w:rsidRPr="00D4309F">
        <w:rPr>
          <w:color w:val="211E1F"/>
        </w:rPr>
        <w:t>Identifying</w:t>
      </w:r>
      <w:r w:rsidRPr="00D4309F">
        <w:rPr>
          <w:color w:val="211E1F"/>
          <w:spacing w:val="-8"/>
        </w:rPr>
        <w:t xml:space="preserve"> </w:t>
      </w:r>
      <w:r w:rsidRPr="00D4309F">
        <w:rPr>
          <w:color w:val="211E1F"/>
        </w:rPr>
        <w:t>the</w:t>
      </w:r>
      <w:r w:rsidRPr="00D4309F">
        <w:rPr>
          <w:color w:val="211E1F"/>
          <w:spacing w:val="-5"/>
        </w:rPr>
        <w:t xml:space="preserve"> </w:t>
      </w:r>
      <w:r w:rsidRPr="00D4309F">
        <w:rPr>
          <w:color w:val="211E1F"/>
        </w:rPr>
        <w:t>likely</w:t>
      </w:r>
      <w:r w:rsidRPr="00D4309F">
        <w:rPr>
          <w:color w:val="211E1F"/>
          <w:spacing w:val="-4"/>
        </w:rPr>
        <w:t xml:space="preserve"> </w:t>
      </w:r>
      <w:r w:rsidRPr="00D4309F">
        <w:rPr>
          <w:color w:val="211E1F"/>
        </w:rPr>
        <w:t>construction</w:t>
      </w:r>
      <w:r w:rsidRPr="00D4309F">
        <w:rPr>
          <w:color w:val="211E1F"/>
          <w:spacing w:val="-5"/>
        </w:rPr>
        <w:t xml:space="preserve"> </w:t>
      </w:r>
      <w:r w:rsidRPr="00D4309F">
        <w:rPr>
          <w:color w:val="211E1F"/>
        </w:rPr>
        <w:t>methods,</w:t>
      </w:r>
      <w:r w:rsidRPr="00D4309F">
        <w:rPr>
          <w:color w:val="211E1F"/>
          <w:spacing w:val="-5"/>
        </w:rPr>
        <w:t xml:space="preserve"> </w:t>
      </w:r>
      <w:r w:rsidRPr="00D4309F">
        <w:rPr>
          <w:color w:val="211E1F"/>
        </w:rPr>
        <w:t>staging,</w:t>
      </w:r>
      <w:r w:rsidRPr="00D4309F">
        <w:rPr>
          <w:color w:val="211E1F"/>
          <w:spacing w:val="-5"/>
        </w:rPr>
        <w:t xml:space="preserve"> </w:t>
      </w:r>
      <w:r w:rsidRPr="00D4309F">
        <w:rPr>
          <w:color w:val="211E1F"/>
        </w:rPr>
        <w:t>and</w:t>
      </w:r>
      <w:r w:rsidRPr="00D4309F">
        <w:rPr>
          <w:color w:val="211E1F"/>
          <w:spacing w:val="-5"/>
        </w:rPr>
        <w:t xml:space="preserve"> </w:t>
      </w:r>
      <w:r w:rsidRPr="00D4309F">
        <w:rPr>
          <w:color w:val="211E1F"/>
        </w:rPr>
        <w:t>access</w:t>
      </w:r>
      <w:r w:rsidRPr="00D4309F">
        <w:rPr>
          <w:color w:val="211E1F"/>
          <w:spacing w:val="-4"/>
        </w:rPr>
        <w:t xml:space="preserve"> </w:t>
      </w:r>
      <w:r w:rsidRPr="00D4309F">
        <w:rPr>
          <w:color w:val="211E1F"/>
          <w:spacing w:val="-2"/>
        </w:rPr>
        <w:t>needs.</w:t>
      </w:r>
    </w:p>
    <w:p w14:paraId="789A4DE1" w14:textId="713C6197" w:rsidR="00725977" w:rsidRPr="00D4309F" w:rsidRDefault="00725977" w:rsidP="00725977">
      <w:pPr>
        <w:pStyle w:val="BodyText"/>
      </w:pPr>
      <w:r w:rsidRPr="00D4309F">
        <w:t>This</w:t>
      </w:r>
      <w:r w:rsidRPr="00D4309F">
        <w:rPr>
          <w:spacing w:val="-2"/>
        </w:rPr>
        <w:t xml:space="preserve"> </w:t>
      </w:r>
      <w:r w:rsidRPr="00D4309F">
        <w:t>parallel</w:t>
      </w:r>
      <w:r w:rsidRPr="00D4309F">
        <w:rPr>
          <w:spacing w:val="-3"/>
        </w:rPr>
        <w:t xml:space="preserve"> </w:t>
      </w:r>
      <w:r w:rsidRPr="00D4309F">
        <w:t>development</w:t>
      </w:r>
      <w:r w:rsidRPr="00D4309F">
        <w:rPr>
          <w:spacing w:val="-3"/>
        </w:rPr>
        <w:t xml:space="preserve"> </w:t>
      </w:r>
      <w:r w:rsidRPr="00D4309F">
        <w:t>ensures</w:t>
      </w:r>
      <w:r w:rsidRPr="00D4309F">
        <w:rPr>
          <w:spacing w:val="-2"/>
        </w:rPr>
        <w:t xml:space="preserve"> </w:t>
      </w:r>
      <w:r w:rsidRPr="00D4309F">
        <w:t>that</w:t>
      </w:r>
      <w:r w:rsidRPr="00D4309F">
        <w:rPr>
          <w:spacing w:val="-3"/>
        </w:rPr>
        <w:t xml:space="preserve"> </w:t>
      </w:r>
      <w:r w:rsidRPr="00D4309F">
        <w:t>an</w:t>
      </w:r>
      <w:r w:rsidRPr="00D4309F">
        <w:rPr>
          <w:spacing w:val="-3"/>
        </w:rPr>
        <w:t xml:space="preserve"> </w:t>
      </w:r>
      <w:r w:rsidRPr="00D4309F">
        <w:t>alternative</w:t>
      </w:r>
      <w:r w:rsidRPr="00D4309F">
        <w:rPr>
          <w:spacing w:val="-4"/>
        </w:rPr>
        <w:t xml:space="preserve"> </w:t>
      </w:r>
      <w:r w:rsidRPr="00D4309F">
        <w:t>pathway</w:t>
      </w:r>
      <w:r w:rsidRPr="00D4309F">
        <w:rPr>
          <w:spacing w:val="-2"/>
        </w:rPr>
        <w:t xml:space="preserve"> </w:t>
      </w:r>
      <w:r w:rsidRPr="00D4309F">
        <w:t>is</w:t>
      </w:r>
      <w:r w:rsidRPr="00D4309F">
        <w:rPr>
          <w:spacing w:val="-2"/>
        </w:rPr>
        <w:t xml:space="preserve"> </w:t>
      </w:r>
      <w:r w:rsidRPr="00D4309F">
        <w:t>ready</w:t>
      </w:r>
      <w:r w:rsidRPr="00D4309F">
        <w:rPr>
          <w:spacing w:val="-2"/>
        </w:rPr>
        <w:t xml:space="preserve"> </w:t>
      </w:r>
      <w:r w:rsidRPr="00D4309F">
        <w:t>should</w:t>
      </w:r>
      <w:r w:rsidRPr="00D4309F">
        <w:rPr>
          <w:spacing w:val="-3"/>
        </w:rPr>
        <w:t xml:space="preserve"> </w:t>
      </w:r>
      <w:r w:rsidRPr="00D4309F">
        <w:t>the</w:t>
      </w:r>
      <w:r w:rsidRPr="00D4309F">
        <w:rPr>
          <w:spacing w:val="-3"/>
        </w:rPr>
        <w:t xml:space="preserve"> </w:t>
      </w:r>
      <w:r w:rsidRPr="00D4309F">
        <w:t>Option</w:t>
      </w:r>
      <w:r w:rsidRPr="00D4309F">
        <w:rPr>
          <w:spacing w:val="-3"/>
        </w:rPr>
        <w:t xml:space="preserve"> </w:t>
      </w:r>
      <w:r w:rsidRPr="00D4309F">
        <w:t>1A</w:t>
      </w:r>
      <w:r w:rsidRPr="00D4309F">
        <w:rPr>
          <w:spacing w:val="-5"/>
        </w:rPr>
        <w:t xml:space="preserve"> </w:t>
      </w:r>
      <w:r w:rsidRPr="00D4309F">
        <w:t>trial</w:t>
      </w:r>
      <w:r w:rsidRPr="00D4309F">
        <w:rPr>
          <w:spacing w:val="-3"/>
        </w:rPr>
        <w:t xml:space="preserve"> </w:t>
      </w:r>
      <w:r w:rsidRPr="00D4309F">
        <w:t>indicate that a higher level of intervention is required.</w:t>
      </w:r>
    </w:p>
    <w:p w14:paraId="52AAAAB9" w14:textId="5ADC4C8B" w:rsidR="00725977" w:rsidRPr="00D4309F" w:rsidRDefault="00B47B95" w:rsidP="00B47B95">
      <w:pPr>
        <w:pStyle w:val="Heading2-nonumber"/>
        <w:rPr>
          <w:color w:val="70004A"/>
        </w:rPr>
      </w:pPr>
      <w:bookmarkStart w:id="581" w:name="_Toc216699532"/>
      <w:r>
        <w:lastRenderedPageBreak/>
        <w:t xml:space="preserve">5. </w:t>
      </w:r>
      <w:r w:rsidR="00725977" w:rsidRPr="00D4309F">
        <w:t>Prepare a cost benefit/detailed plan for formalising the Western Channel (5A) for the 2-year trial period</w:t>
      </w:r>
      <w:bookmarkEnd w:id="581"/>
      <w:r w:rsidR="00725977" w:rsidRPr="00D4309F">
        <w:t xml:space="preserve"> </w:t>
      </w:r>
    </w:p>
    <w:p w14:paraId="786449F4" w14:textId="5B5FE59E" w:rsidR="00725977" w:rsidRPr="00D4309F" w:rsidRDefault="00725977" w:rsidP="00725977">
      <w:pPr>
        <w:pStyle w:val="BodyText"/>
      </w:pPr>
      <w:r w:rsidRPr="00D4309F">
        <w:t>While</w:t>
      </w:r>
      <w:r w:rsidRPr="00D4309F">
        <w:rPr>
          <w:spacing w:val="-3"/>
        </w:rPr>
        <w:t xml:space="preserve"> </w:t>
      </w:r>
      <w:r w:rsidRPr="00D4309F">
        <w:t>Option</w:t>
      </w:r>
      <w:r w:rsidRPr="00D4309F">
        <w:rPr>
          <w:spacing w:val="-4"/>
        </w:rPr>
        <w:t xml:space="preserve"> </w:t>
      </w:r>
      <w:r w:rsidRPr="00D4309F">
        <w:t>1A</w:t>
      </w:r>
      <w:r w:rsidRPr="00D4309F">
        <w:rPr>
          <w:spacing w:val="-3"/>
        </w:rPr>
        <w:t xml:space="preserve"> </w:t>
      </w:r>
      <w:r w:rsidRPr="00D4309F">
        <w:t>is</w:t>
      </w:r>
      <w:r w:rsidRPr="00D4309F">
        <w:rPr>
          <w:spacing w:val="-2"/>
        </w:rPr>
        <w:t xml:space="preserve"> </w:t>
      </w:r>
      <w:r w:rsidRPr="00D4309F">
        <w:t>being</w:t>
      </w:r>
      <w:r w:rsidRPr="00D4309F">
        <w:rPr>
          <w:spacing w:val="-3"/>
        </w:rPr>
        <w:t xml:space="preserve"> </w:t>
      </w:r>
      <w:r w:rsidR="009158EC" w:rsidRPr="00D4309F">
        <w:t>trialled</w:t>
      </w:r>
      <w:r w:rsidRPr="00D4309F">
        <w:rPr>
          <w:spacing w:val="-3"/>
        </w:rPr>
        <w:t xml:space="preserve"> </w:t>
      </w:r>
      <w:r w:rsidRPr="00D4309F">
        <w:t>(or</w:t>
      </w:r>
      <w:r w:rsidRPr="00D4309F">
        <w:rPr>
          <w:spacing w:val="-2"/>
        </w:rPr>
        <w:t xml:space="preserve"> </w:t>
      </w:r>
      <w:r w:rsidRPr="00D4309F">
        <w:t>even</w:t>
      </w:r>
      <w:r w:rsidRPr="00D4309F">
        <w:rPr>
          <w:spacing w:val="-4"/>
        </w:rPr>
        <w:t xml:space="preserve"> </w:t>
      </w:r>
      <w:r w:rsidRPr="00D4309F">
        <w:t>prior</w:t>
      </w:r>
      <w:r w:rsidRPr="00D4309F">
        <w:rPr>
          <w:spacing w:val="-2"/>
        </w:rPr>
        <w:t xml:space="preserve"> </w:t>
      </w:r>
      <w:r w:rsidRPr="00D4309F">
        <w:t>–</w:t>
      </w:r>
      <w:r w:rsidRPr="00D4309F">
        <w:rPr>
          <w:spacing w:val="-3"/>
        </w:rPr>
        <w:t xml:space="preserve"> </w:t>
      </w:r>
      <w:r w:rsidRPr="00D4309F">
        <w:t>as</w:t>
      </w:r>
      <w:r w:rsidRPr="00D4309F">
        <w:rPr>
          <w:spacing w:val="-2"/>
        </w:rPr>
        <w:t xml:space="preserve"> </w:t>
      </w:r>
      <w:r w:rsidRPr="00D4309F">
        <w:t>soon</w:t>
      </w:r>
      <w:r w:rsidRPr="00D4309F">
        <w:rPr>
          <w:spacing w:val="-3"/>
        </w:rPr>
        <w:t xml:space="preserve"> </w:t>
      </w:r>
      <w:r w:rsidRPr="00D4309F">
        <w:t>as</w:t>
      </w:r>
      <w:r w:rsidRPr="00D4309F">
        <w:rPr>
          <w:spacing w:val="-2"/>
        </w:rPr>
        <w:t xml:space="preserve"> </w:t>
      </w:r>
      <w:r w:rsidRPr="00D4309F">
        <w:t>possible),</w:t>
      </w:r>
      <w:r w:rsidRPr="00D4309F">
        <w:rPr>
          <w:spacing w:val="-3"/>
        </w:rPr>
        <w:t xml:space="preserve"> </w:t>
      </w:r>
      <w:r w:rsidRPr="00D4309F">
        <w:t>further</w:t>
      </w:r>
      <w:r w:rsidRPr="00D4309F">
        <w:rPr>
          <w:spacing w:val="-2"/>
        </w:rPr>
        <w:t xml:space="preserve"> </w:t>
      </w:r>
      <w:r w:rsidRPr="00D4309F">
        <w:t>design</w:t>
      </w:r>
      <w:r w:rsidRPr="00D4309F">
        <w:rPr>
          <w:spacing w:val="-3"/>
        </w:rPr>
        <w:t xml:space="preserve"> </w:t>
      </w:r>
      <w:r w:rsidRPr="00D4309F">
        <w:t>development</w:t>
      </w:r>
      <w:r w:rsidRPr="00D4309F">
        <w:rPr>
          <w:spacing w:val="-3"/>
        </w:rPr>
        <w:t xml:space="preserve"> </w:t>
      </w:r>
      <w:r w:rsidRPr="00D4309F">
        <w:t>of</w:t>
      </w:r>
      <w:r w:rsidRPr="00D4309F">
        <w:rPr>
          <w:spacing w:val="-3"/>
        </w:rPr>
        <w:t xml:space="preserve"> </w:t>
      </w:r>
      <w:r w:rsidRPr="00D4309F">
        <w:t>Option 5A should progress. This includes:</w:t>
      </w:r>
    </w:p>
    <w:p w14:paraId="3A76122C" w14:textId="77777777" w:rsidR="00725977" w:rsidRPr="00D4309F" w:rsidRDefault="00725977" w:rsidP="006C24AF">
      <w:pPr>
        <w:pStyle w:val="ListParagraph"/>
        <w:widowControl w:val="0"/>
        <w:numPr>
          <w:ilvl w:val="1"/>
          <w:numId w:val="10"/>
        </w:numPr>
        <w:tabs>
          <w:tab w:val="left" w:pos="501"/>
        </w:tabs>
        <w:autoSpaceDE w:val="0"/>
        <w:autoSpaceDN w:val="0"/>
        <w:spacing w:before="119" w:after="0" w:line="240" w:lineRule="auto"/>
        <w:contextualSpacing w:val="0"/>
        <w:rPr>
          <w:rFonts w:ascii="Symbol" w:hAnsi="Symbol"/>
          <w:color w:val="70004A"/>
        </w:rPr>
      </w:pPr>
      <w:r w:rsidRPr="00D4309F">
        <w:rPr>
          <w:color w:val="211E1F"/>
        </w:rPr>
        <w:t xml:space="preserve">Developing a plan for the navigational markers and associated capital and maintenance costs </w:t>
      </w:r>
    </w:p>
    <w:p w14:paraId="5EA3F7A0" w14:textId="77777777" w:rsidR="00725977" w:rsidRPr="00D4309F" w:rsidRDefault="00725977" w:rsidP="00725977">
      <w:pPr>
        <w:pStyle w:val="BodyText"/>
      </w:pPr>
      <w:r w:rsidRPr="00D4309F">
        <w:t>This</w:t>
      </w:r>
      <w:r w:rsidRPr="00D4309F">
        <w:rPr>
          <w:spacing w:val="-2"/>
        </w:rPr>
        <w:t xml:space="preserve"> </w:t>
      </w:r>
      <w:r w:rsidRPr="00D4309F">
        <w:t>parallel</w:t>
      </w:r>
      <w:r w:rsidRPr="00D4309F">
        <w:rPr>
          <w:spacing w:val="-3"/>
        </w:rPr>
        <w:t xml:space="preserve"> </w:t>
      </w:r>
      <w:r w:rsidRPr="00D4309F">
        <w:t>development</w:t>
      </w:r>
      <w:r w:rsidRPr="00D4309F">
        <w:rPr>
          <w:spacing w:val="-3"/>
        </w:rPr>
        <w:t xml:space="preserve"> </w:t>
      </w:r>
      <w:r w:rsidRPr="00D4309F">
        <w:t>ensures</w:t>
      </w:r>
      <w:r w:rsidRPr="00D4309F">
        <w:rPr>
          <w:spacing w:val="-2"/>
        </w:rPr>
        <w:t xml:space="preserve"> </w:t>
      </w:r>
      <w:r w:rsidRPr="00D4309F">
        <w:t>that</w:t>
      </w:r>
      <w:r w:rsidRPr="00D4309F">
        <w:rPr>
          <w:spacing w:val="-3"/>
        </w:rPr>
        <w:t xml:space="preserve"> </w:t>
      </w:r>
      <w:r w:rsidRPr="00D4309F">
        <w:t>an</w:t>
      </w:r>
      <w:r w:rsidRPr="00D4309F">
        <w:rPr>
          <w:spacing w:val="-3"/>
        </w:rPr>
        <w:t xml:space="preserve"> </w:t>
      </w:r>
      <w:r w:rsidRPr="00D4309F">
        <w:t>alternative</w:t>
      </w:r>
      <w:r w:rsidRPr="00D4309F">
        <w:rPr>
          <w:spacing w:val="-4"/>
        </w:rPr>
        <w:t xml:space="preserve"> </w:t>
      </w:r>
      <w:r w:rsidRPr="00D4309F">
        <w:t>pathway</w:t>
      </w:r>
      <w:r w:rsidRPr="00D4309F">
        <w:rPr>
          <w:spacing w:val="-2"/>
        </w:rPr>
        <w:t xml:space="preserve"> </w:t>
      </w:r>
      <w:r w:rsidRPr="00D4309F">
        <w:t>is</w:t>
      </w:r>
      <w:r w:rsidRPr="00D4309F">
        <w:rPr>
          <w:spacing w:val="-2"/>
        </w:rPr>
        <w:t xml:space="preserve"> </w:t>
      </w:r>
      <w:r w:rsidRPr="00D4309F">
        <w:t>ready</w:t>
      </w:r>
      <w:r w:rsidRPr="00D4309F">
        <w:rPr>
          <w:spacing w:val="-2"/>
        </w:rPr>
        <w:t xml:space="preserve"> </w:t>
      </w:r>
      <w:r w:rsidRPr="00D4309F">
        <w:t>should</w:t>
      </w:r>
      <w:r w:rsidRPr="00D4309F">
        <w:rPr>
          <w:spacing w:val="-3"/>
        </w:rPr>
        <w:t xml:space="preserve"> </w:t>
      </w:r>
      <w:r w:rsidRPr="00D4309F">
        <w:t>the</w:t>
      </w:r>
      <w:r w:rsidRPr="00D4309F">
        <w:rPr>
          <w:spacing w:val="-3"/>
        </w:rPr>
        <w:t xml:space="preserve"> </w:t>
      </w:r>
      <w:r w:rsidRPr="00D4309F">
        <w:t>Option</w:t>
      </w:r>
      <w:r w:rsidRPr="00D4309F">
        <w:rPr>
          <w:spacing w:val="-3"/>
        </w:rPr>
        <w:t xml:space="preserve"> </w:t>
      </w:r>
      <w:r w:rsidRPr="00D4309F">
        <w:t>1A</w:t>
      </w:r>
      <w:r w:rsidRPr="00D4309F">
        <w:rPr>
          <w:spacing w:val="-5"/>
        </w:rPr>
        <w:t xml:space="preserve"> </w:t>
      </w:r>
      <w:r w:rsidRPr="00D4309F">
        <w:t>trial</w:t>
      </w:r>
      <w:r w:rsidRPr="00D4309F">
        <w:rPr>
          <w:spacing w:val="-3"/>
        </w:rPr>
        <w:t xml:space="preserve"> </w:t>
      </w:r>
      <w:r w:rsidRPr="00D4309F">
        <w:t>indicate that a higher level of intervention is required.</w:t>
      </w:r>
    </w:p>
    <w:p w14:paraId="535FA691" w14:textId="77777777" w:rsidR="00725977" w:rsidRPr="00D4309F" w:rsidRDefault="00725977" w:rsidP="00725977">
      <w:pPr>
        <w:pStyle w:val="BodyText"/>
      </w:pPr>
    </w:p>
    <w:p w14:paraId="1785E2AB" w14:textId="77777777" w:rsidR="00725977" w:rsidRPr="00D4309F" w:rsidRDefault="00725977" w:rsidP="006C24AF">
      <w:pPr>
        <w:pStyle w:val="BodyText"/>
        <w:widowControl w:val="0"/>
        <w:numPr>
          <w:ilvl w:val="0"/>
          <w:numId w:val="10"/>
        </w:numPr>
        <w:autoSpaceDE w:val="0"/>
        <w:autoSpaceDN w:val="0"/>
        <w:spacing w:before="60" w:after="60"/>
        <w:ind w:right="45"/>
        <w:sectPr w:rsidR="00725977" w:rsidRPr="00D4309F" w:rsidSect="00405D4F">
          <w:pgSz w:w="11910" w:h="16840"/>
          <w:pgMar w:top="1418" w:right="1134" w:bottom="1418" w:left="1134" w:header="916" w:footer="980" w:gutter="0"/>
          <w:cols w:space="720"/>
        </w:sectPr>
      </w:pPr>
    </w:p>
    <w:p w14:paraId="0655735F" w14:textId="77777777" w:rsidR="00725977" w:rsidRPr="00AA4134" w:rsidRDefault="00725977" w:rsidP="00AA4134">
      <w:pPr>
        <w:pStyle w:val="Heading1"/>
      </w:pPr>
      <w:bookmarkStart w:id="582" w:name="_Toc216699533"/>
      <w:r w:rsidRPr="00AA4134">
        <w:lastRenderedPageBreak/>
        <w:t>REFERENCES</w:t>
      </w:r>
      <w:bookmarkEnd w:id="582"/>
    </w:p>
    <w:p w14:paraId="1737AE4C" w14:textId="76B3986D" w:rsidR="00725977" w:rsidRPr="00D4309F" w:rsidRDefault="00725977" w:rsidP="00170E85">
      <w:pPr>
        <w:pStyle w:val="BodyText"/>
      </w:pPr>
      <w:r w:rsidRPr="00D4309F">
        <w:t>Atlas</w:t>
      </w:r>
      <w:r w:rsidRPr="00170E85">
        <w:t xml:space="preserve"> </w:t>
      </w:r>
      <w:r w:rsidRPr="00D4309F">
        <w:t>of</w:t>
      </w:r>
      <w:r w:rsidRPr="00170E85">
        <w:t xml:space="preserve"> </w:t>
      </w:r>
      <w:r w:rsidRPr="00D4309F">
        <w:t>Living</w:t>
      </w:r>
      <w:r w:rsidRPr="00170E85">
        <w:t xml:space="preserve"> </w:t>
      </w:r>
      <w:r w:rsidRPr="00D4309F">
        <w:t>Australia.</w:t>
      </w:r>
      <w:r w:rsidRPr="00170E85">
        <w:t xml:space="preserve"> </w:t>
      </w:r>
      <w:r w:rsidRPr="00D4309F">
        <w:t>(ALA).</w:t>
      </w:r>
      <w:r w:rsidRPr="00170E85">
        <w:t xml:space="preserve"> </w:t>
      </w:r>
      <w:r w:rsidRPr="00D4309F">
        <w:t>(2025).</w:t>
      </w:r>
      <w:r w:rsidRPr="00170E85">
        <w:t xml:space="preserve"> </w:t>
      </w:r>
      <w:r w:rsidRPr="00D4309F">
        <w:t>List.</w:t>
      </w:r>
      <w:r w:rsidRPr="00170E85">
        <w:t xml:space="preserve"> </w:t>
      </w:r>
      <w:r w:rsidRPr="00D4309F">
        <w:t>Accessed</w:t>
      </w:r>
      <w:r w:rsidRPr="00170E85">
        <w:t xml:space="preserve"> </w:t>
      </w:r>
      <w:r w:rsidRPr="00D4309F">
        <w:t>11/11/2025.</w:t>
      </w:r>
      <w:r w:rsidRPr="00170E85">
        <w:t xml:space="preserve"> </w:t>
      </w:r>
      <w:hyperlink r:id="rId163">
        <w:r w:rsidRPr="00D4309F">
          <w:t>Species</w:t>
        </w:r>
        <w:r w:rsidRPr="00170E85">
          <w:t xml:space="preserve"> </w:t>
        </w:r>
        <w:r w:rsidRPr="00D4309F">
          <w:t>list</w:t>
        </w:r>
        <w:r w:rsidRPr="00170E85">
          <w:t xml:space="preserve"> </w:t>
        </w:r>
        <w:r w:rsidRPr="00D4309F">
          <w:t>items</w:t>
        </w:r>
        <w:r w:rsidRPr="00170E85">
          <w:t xml:space="preserve"> </w:t>
        </w:r>
        <w:r w:rsidRPr="00D4309F">
          <w:t>|</w:t>
        </w:r>
        <w:r w:rsidRPr="00170E85">
          <w:t xml:space="preserve"> </w:t>
        </w:r>
        <w:r w:rsidRPr="00D4309F">
          <w:t>Atlas</w:t>
        </w:r>
        <w:r w:rsidRPr="00170E85">
          <w:t xml:space="preserve"> </w:t>
        </w:r>
        <w:r w:rsidRPr="00D4309F">
          <w:t>of</w:t>
        </w:r>
        <w:r w:rsidRPr="00170E85">
          <w:t xml:space="preserve"> </w:t>
        </w:r>
        <w:r w:rsidRPr="00D4309F">
          <w:t>Living</w:t>
        </w:r>
      </w:hyperlink>
      <w:r w:rsidRPr="00D4309F">
        <w:t xml:space="preserve"> </w:t>
      </w:r>
      <w:hyperlink r:id="rId164">
        <w:r w:rsidRPr="00170E85">
          <w:t>Australia</w:t>
        </w:r>
      </w:hyperlink>
    </w:p>
    <w:p w14:paraId="4E266895" w14:textId="7FB799B8" w:rsidR="00725977" w:rsidRPr="00D4309F" w:rsidRDefault="00725977" w:rsidP="00170E85">
      <w:pPr>
        <w:pStyle w:val="BodyText"/>
      </w:pPr>
      <w:r w:rsidRPr="00D4309F">
        <w:t>Birdlife</w:t>
      </w:r>
      <w:r w:rsidRPr="00170E85">
        <w:t xml:space="preserve"> </w:t>
      </w:r>
      <w:r w:rsidRPr="00D4309F">
        <w:t>Australia.</w:t>
      </w:r>
      <w:r w:rsidRPr="00170E85">
        <w:t xml:space="preserve"> </w:t>
      </w:r>
      <w:r w:rsidRPr="00D4309F">
        <w:t>(2025).</w:t>
      </w:r>
      <w:r w:rsidRPr="00170E85">
        <w:t xml:space="preserve"> </w:t>
      </w:r>
      <w:r w:rsidRPr="00D4309F">
        <w:t>List.</w:t>
      </w:r>
      <w:r w:rsidRPr="00170E85">
        <w:t xml:space="preserve"> </w:t>
      </w:r>
      <w:r w:rsidRPr="00D4309F">
        <w:t>Accessed</w:t>
      </w:r>
      <w:r w:rsidRPr="00170E85">
        <w:t xml:space="preserve"> </w:t>
      </w:r>
      <w:r w:rsidRPr="00D4309F">
        <w:t>17/11/2025.</w:t>
      </w:r>
      <w:r w:rsidRPr="00170E85">
        <w:t xml:space="preserve"> </w:t>
      </w:r>
      <w:hyperlink r:id="rId165" w:anchor="map%3D-26.6796650_153.1356231_16%26visible_on_map%3Dtrue">
        <w:r w:rsidRPr="00D4309F">
          <w:t>Explore</w:t>
        </w:r>
        <w:r w:rsidRPr="00170E85">
          <w:t xml:space="preserve"> </w:t>
        </w:r>
        <w:r w:rsidRPr="00D4309F">
          <w:t>|</w:t>
        </w:r>
        <w:r w:rsidRPr="00170E85">
          <w:t xml:space="preserve"> Birdata</w:t>
        </w:r>
      </w:hyperlink>
    </w:p>
    <w:p w14:paraId="32870734" w14:textId="77777777" w:rsidR="00725977" w:rsidRPr="00D4309F" w:rsidRDefault="00725977" w:rsidP="00170E85">
      <w:pPr>
        <w:pStyle w:val="BodyText"/>
      </w:pPr>
      <w:r w:rsidRPr="00D4309F">
        <w:t>BMT.</w:t>
      </w:r>
      <w:r w:rsidRPr="00170E85">
        <w:t xml:space="preserve"> </w:t>
      </w:r>
      <w:r w:rsidRPr="00D4309F">
        <w:t>(2013).</w:t>
      </w:r>
      <w:r w:rsidRPr="00170E85">
        <w:t xml:space="preserve"> </w:t>
      </w:r>
      <w:r w:rsidRPr="00D4309F">
        <w:t>Sunshine</w:t>
      </w:r>
      <w:r w:rsidRPr="00170E85">
        <w:t xml:space="preserve"> </w:t>
      </w:r>
      <w:r w:rsidRPr="00D4309F">
        <w:t>Coast</w:t>
      </w:r>
      <w:r w:rsidRPr="00170E85">
        <w:t xml:space="preserve"> </w:t>
      </w:r>
      <w:r w:rsidRPr="00D4309F">
        <w:t>Regional</w:t>
      </w:r>
      <w:r w:rsidRPr="00170E85">
        <w:t xml:space="preserve"> </w:t>
      </w:r>
      <w:r w:rsidRPr="00D4309F">
        <w:t>Council.</w:t>
      </w:r>
      <w:r w:rsidRPr="00170E85">
        <w:t xml:space="preserve"> </w:t>
      </w:r>
      <w:r w:rsidRPr="00D4309F">
        <w:t>Coastal</w:t>
      </w:r>
      <w:r w:rsidRPr="00170E85">
        <w:t xml:space="preserve"> </w:t>
      </w:r>
      <w:r w:rsidRPr="00D4309F">
        <w:t>Processes</w:t>
      </w:r>
      <w:r w:rsidRPr="00170E85">
        <w:t xml:space="preserve"> </w:t>
      </w:r>
      <w:r w:rsidRPr="00D4309F">
        <w:t>Study</w:t>
      </w:r>
      <w:r w:rsidRPr="00170E85">
        <w:t xml:space="preserve"> </w:t>
      </w:r>
      <w:r w:rsidRPr="00D4309F">
        <w:t>for</w:t>
      </w:r>
      <w:r w:rsidRPr="00170E85">
        <w:t xml:space="preserve"> </w:t>
      </w:r>
      <w:r w:rsidRPr="00D4309F">
        <w:t>the</w:t>
      </w:r>
      <w:r w:rsidRPr="00170E85">
        <w:t xml:space="preserve"> </w:t>
      </w:r>
      <w:r w:rsidRPr="00D4309F">
        <w:t>Sunshine</w:t>
      </w:r>
      <w:r w:rsidRPr="00170E85">
        <w:t xml:space="preserve"> Coast.</w:t>
      </w:r>
    </w:p>
    <w:p w14:paraId="012C1F06" w14:textId="77777777" w:rsidR="00725977" w:rsidRPr="00D4309F" w:rsidRDefault="00725977" w:rsidP="00170E85">
      <w:pPr>
        <w:pStyle w:val="BodyText"/>
      </w:pPr>
      <w:r w:rsidRPr="00D4309F">
        <w:t>Reference:</w:t>
      </w:r>
      <w:r w:rsidRPr="00170E85">
        <w:t xml:space="preserve"> </w:t>
      </w:r>
      <w:r w:rsidRPr="00D4309F">
        <w:t>R.B17314.004.04.Coastal_Process</w:t>
      </w:r>
      <w:r w:rsidRPr="00170E85">
        <w:t xml:space="preserve"> es.doc</w:t>
      </w:r>
    </w:p>
    <w:p w14:paraId="14AEE773" w14:textId="77777777" w:rsidR="00725977" w:rsidRPr="00D4309F" w:rsidRDefault="00725977" w:rsidP="00170E85">
      <w:pPr>
        <w:pStyle w:val="BodyText"/>
      </w:pPr>
      <w:r w:rsidRPr="00D4309F">
        <w:t>BMT</w:t>
      </w:r>
      <w:r w:rsidRPr="00170E85">
        <w:t xml:space="preserve"> </w:t>
      </w:r>
      <w:r w:rsidRPr="00D4309F">
        <w:t>(2018).</w:t>
      </w:r>
      <w:r w:rsidRPr="00170E85">
        <w:t xml:space="preserve"> </w:t>
      </w:r>
      <w:r w:rsidRPr="00D4309F">
        <w:t>Mooloolaba</w:t>
      </w:r>
      <w:r w:rsidRPr="00170E85">
        <w:t xml:space="preserve"> </w:t>
      </w:r>
      <w:r w:rsidRPr="00D4309F">
        <w:t>Harbour</w:t>
      </w:r>
      <w:r w:rsidRPr="00170E85">
        <w:t xml:space="preserve"> </w:t>
      </w:r>
      <w:r w:rsidRPr="00D4309F">
        <w:t>Sediment</w:t>
      </w:r>
      <w:r w:rsidRPr="00170E85">
        <w:t xml:space="preserve"> </w:t>
      </w:r>
      <w:r w:rsidRPr="00D4309F">
        <w:t>Sampling</w:t>
      </w:r>
      <w:r w:rsidRPr="00170E85">
        <w:t xml:space="preserve"> </w:t>
      </w:r>
      <w:r w:rsidRPr="00D4309F">
        <w:t>and</w:t>
      </w:r>
      <w:r w:rsidRPr="00170E85">
        <w:t xml:space="preserve"> </w:t>
      </w:r>
      <w:r w:rsidRPr="00D4309F">
        <w:t>Analysis</w:t>
      </w:r>
      <w:r w:rsidRPr="00170E85">
        <w:t xml:space="preserve"> </w:t>
      </w:r>
      <w:r w:rsidRPr="00D4309F">
        <w:t>Plan</w:t>
      </w:r>
      <w:r w:rsidRPr="00170E85">
        <w:t xml:space="preserve"> </w:t>
      </w:r>
      <w:r w:rsidRPr="00D4309F">
        <w:t>Implementation</w:t>
      </w:r>
      <w:r w:rsidRPr="00170E85">
        <w:t xml:space="preserve"> </w:t>
      </w:r>
      <w:r w:rsidRPr="00D4309F">
        <w:t>Report</w:t>
      </w:r>
      <w:r w:rsidRPr="00170E85">
        <w:t xml:space="preserve"> </w:t>
      </w:r>
      <w:r w:rsidRPr="00D4309F">
        <w:t>–</w:t>
      </w:r>
      <w:r w:rsidRPr="00170E85">
        <w:t xml:space="preserve"> Final.</w:t>
      </w:r>
    </w:p>
    <w:p w14:paraId="14F1D816" w14:textId="77777777" w:rsidR="00725977" w:rsidRPr="00D4309F" w:rsidRDefault="00725977" w:rsidP="00170E85">
      <w:pPr>
        <w:pStyle w:val="BodyText"/>
      </w:pPr>
      <w:r w:rsidRPr="00D4309F">
        <w:t>Reference:</w:t>
      </w:r>
      <w:r w:rsidRPr="00170E85">
        <w:t xml:space="preserve"> </w:t>
      </w:r>
      <w:r w:rsidRPr="00D4309F">
        <w:t>R.B23317.001.01</w:t>
      </w:r>
      <w:r w:rsidRPr="00170E85">
        <w:t xml:space="preserve"> SAP.docx</w:t>
      </w:r>
    </w:p>
    <w:p w14:paraId="1CFB708A" w14:textId="77EE0F36" w:rsidR="00725977" w:rsidRPr="00D4309F" w:rsidRDefault="00725977" w:rsidP="00170E85">
      <w:pPr>
        <w:pStyle w:val="BodyText"/>
      </w:pPr>
      <w:r w:rsidRPr="00D4309F">
        <w:t xml:space="preserve">BMT. (2023). Queensland Recreational Boating Facilities Demand Forecasting Study 2022. Available from </w:t>
      </w:r>
      <w:hyperlink r:id="rId166">
        <w:r w:rsidRPr="00170E85">
          <w:t>https://www.publications.qld.gov.au/dataset/recreational-boating-facilities-demand-forecasting-study-</w:t>
        </w:r>
      </w:hyperlink>
      <w:r w:rsidRPr="00170E85">
        <w:t>2022/resource/157db8f3-ecdc-4c37-9eba-da809e9fe6cc</w:t>
      </w:r>
    </w:p>
    <w:p w14:paraId="7519243A" w14:textId="2D062597" w:rsidR="00725977" w:rsidRPr="00D4309F" w:rsidRDefault="00725977" w:rsidP="00170E85">
      <w:pPr>
        <w:pStyle w:val="BodyText"/>
      </w:pPr>
      <w:r w:rsidRPr="00D4309F">
        <w:t xml:space="preserve">Bureau of Meteorology (BOM). (2025). Sunshine Coast Airport. </w:t>
      </w:r>
      <w:hyperlink r:id="rId167">
        <w:r w:rsidRPr="00D4309F">
          <w:t>Climate statistics for Australian locations</w:t>
        </w:r>
      </w:hyperlink>
      <w:r w:rsidRPr="00D4309F">
        <w:t xml:space="preserve"> Cobb,</w:t>
      </w:r>
      <w:r w:rsidRPr="00170E85">
        <w:t xml:space="preserve"> </w:t>
      </w:r>
      <w:r w:rsidRPr="00D4309F">
        <w:t>G.</w:t>
      </w:r>
      <w:r w:rsidRPr="00170E85">
        <w:t xml:space="preserve"> </w:t>
      </w:r>
      <w:r w:rsidRPr="00D4309F">
        <w:t>(2025).</w:t>
      </w:r>
      <w:r w:rsidRPr="00170E85">
        <w:t xml:space="preserve"> </w:t>
      </w:r>
      <w:r w:rsidRPr="00D4309F">
        <w:t>Nudibranchs</w:t>
      </w:r>
      <w:r w:rsidRPr="00170E85">
        <w:t xml:space="preserve"> </w:t>
      </w:r>
      <w:r w:rsidRPr="00D4309F">
        <w:t>of</w:t>
      </w:r>
      <w:r w:rsidRPr="00170E85">
        <w:t xml:space="preserve"> </w:t>
      </w:r>
      <w:r w:rsidRPr="00D4309F">
        <w:t>the</w:t>
      </w:r>
      <w:r w:rsidRPr="00170E85">
        <w:t xml:space="preserve"> </w:t>
      </w:r>
      <w:r w:rsidRPr="00D4309F">
        <w:t>Sunshine</w:t>
      </w:r>
      <w:r w:rsidRPr="00170E85">
        <w:t xml:space="preserve"> </w:t>
      </w:r>
      <w:r w:rsidRPr="00D4309F">
        <w:t>Coast</w:t>
      </w:r>
      <w:r w:rsidRPr="00170E85">
        <w:t xml:space="preserve"> </w:t>
      </w:r>
      <w:r w:rsidRPr="00D4309F">
        <w:t>Queensland</w:t>
      </w:r>
      <w:r w:rsidRPr="00170E85">
        <w:t xml:space="preserve"> </w:t>
      </w:r>
      <w:r w:rsidRPr="00D4309F">
        <w:t>Australia</w:t>
      </w:r>
      <w:r w:rsidRPr="00170E85">
        <w:t xml:space="preserve"> </w:t>
      </w:r>
      <w:r w:rsidRPr="00D4309F">
        <w:t>and</w:t>
      </w:r>
      <w:r w:rsidRPr="00170E85">
        <w:t xml:space="preserve"> </w:t>
      </w:r>
      <w:r w:rsidRPr="00D4309F">
        <w:t>Indo-Pacific.</w:t>
      </w:r>
      <w:r w:rsidRPr="00170E85">
        <w:t xml:space="preserve"> </w:t>
      </w:r>
      <w:r w:rsidRPr="00D4309F">
        <w:t>Species</w:t>
      </w:r>
      <w:r w:rsidRPr="00170E85">
        <w:t xml:space="preserve"> </w:t>
      </w:r>
      <w:r w:rsidRPr="00D4309F">
        <w:t>Lists.</w:t>
      </w:r>
    </w:p>
    <w:p w14:paraId="608FAF34" w14:textId="728DE005" w:rsidR="00725977" w:rsidRPr="00D4309F" w:rsidRDefault="00725977" w:rsidP="00170E85">
      <w:pPr>
        <w:pStyle w:val="BodyText"/>
      </w:pPr>
      <w:hyperlink r:id="rId168">
        <w:r w:rsidRPr="00D4309F">
          <w:t>Nudibranchs</w:t>
        </w:r>
        <w:r w:rsidRPr="00170E85">
          <w:t xml:space="preserve"> </w:t>
        </w:r>
        <w:r w:rsidRPr="00D4309F">
          <w:t>of</w:t>
        </w:r>
        <w:r w:rsidRPr="00170E85">
          <w:t xml:space="preserve"> </w:t>
        </w:r>
        <w:r w:rsidRPr="00D4309F">
          <w:t>the</w:t>
        </w:r>
        <w:r w:rsidRPr="00170E85">
          <w:t xml:space="preserve"> </w:t>
        </w:r>
        <w:r w:rsidRPr="00D4309F">
          <w:t>Sunshine</w:t>
        </w:r>
        <w:r w:rsidRPr="00170E85">
          <w:t xml:space="preserve"> </w:t>
        </w:r>
        <w:r w:rsidRPr="00D4309F">
          <w:t>Coast</w:t>
        </w:r>
        <w:r w:rsidRPr="00170E85">
          <w:t xml:space="preserve"> </w:t>
        </w:r>
        <w:r w:rsidRPr="00D4309F">
          <w:t>Australia</w:t>
        </w:r>
        <w:r w:rsidRPr="00170E85">
          <w:t xml:space="preserve"> </w:t>
        </w:r>
        <w:r w:rsidRPr="00D4309F">
          <w:t>and</w:t>
        </w:r>
        <w:r w:rsidRPr="00170E85">
          <w:t xml:space="preserve"> </w:t>
        </w:r>
        <w:r w:rsidRPr="00D4309F">
          <w:t>Indo-Pacific</w:t>
        </w:r>
        <w:r w:rsidRPr="00170E85">
          <w:t xml:space="preserve"> </w:t>
        </w:r>
        <w:r w:rsidRPr="00D4309F">
          <w:t>-</w:t>
        </w:r>
        <w:r w:rsidRPr="00170E85">
          <w:t xml:space="preserve"> </w:t>
        </w:r>
        <w:r w:rsidRPr="00D4309F">
          <w:t>Nudibranch</w:t>
        </w:r>
        <w:r w:rsidRPr="00170E85">
          <w:t xml:space="preserve"> </w:t>
        </w:r>
        <w:r w:rsidRPr="00D4309F">
          <w:t>Blog</w:t>
        </w:r>
        <w:r w:rsidRPr="00170E85">
          <w:t xml:space="preserve"> </w:t>
        </w:r>
        <w:r w:rsidRPr="00D4309F">
          <w:t>-</w:t>
        </w:r>
        <w:r w:rsidRPr="00170E85">
          <w:t xml:space="preserve"> </w:t>
        </w:r>
        <w:r w:rsidRPr="00D4309F">
          <w:t>Peak</w:t>
        </w:r>
        <w:r w:rsidRPr="00170E85">
          <w:t xml:space="preserve"> </w:t>
        </w:r>
        <w:r w:rsidRPr="00D4309F">
          <w:t>Baggers</w:t>
        </w:r>
      </w:hyperlink>
      <w:r w:rsidRPr="00D4309F">
        <w:t xml:space="preserve"> </w:t>
      </w:r>
      <w:hyperlink r:id="rId169">
        <w:r w:rsidRPr="00D4309F">
          <w:t>Guide - Gary Cobb</w:t>
        </w:r>
      </w:hyperlink>
    </w:p>
    <w:p w14:paraId="0341564E" w14:textId="46601372" w:rsidR="00725977" w:rsidRPr="00D4309F" w:rsidRDefault="00725977" w:rsidP="00170E85">
      <w:pPr>
        <w:pStyle w:val="BodyText"/>
      </w:pPr>
      <w:r w:rsidRPr="00D4309F">
        <w:t>Department</w:t>
      </w:r>
      <w:r w:rsidRPr="00170E85">
        <w:t xml:space="preserve"> </w:t>
      </w:r>
      <w:r w:rsidRPr="00D4309F">
        <w:t>of</w:t>
      </w:r>
      <w:r w:rsidRPr="00170E85">
        <w:t xml:space="preserve"> </w:t>
      </w:r>
      <w:r w:rsidRPr="00D4309F">
        <w:t>Climate</w:t>
      </w:r>
      <w:r w:rsidRPr="00170E85">
        <w:t xml:space="preserve"> </w:t>
      </w:r>
      <w:r w:rsidRPr="00D4309F">
        <w:t>Change,</w:t>
      </w:r>
      <w:r w:rsidRPr="00170E85">
        <w:t xml:space="preserve"> </w:t>
      </w:r>
      <w:r w:rsidRPr="00D4309F">
        <w:t>Energy,</w:t>
      </w:r>
      <w:r w:rsidRPr="00170E85">
        <w:t xml:space="preserve"> </w:t>
      </w:r>
      <w:r w:rsidRPr="00D4309F">
        <w:t>the</w:t>
      </w:r>
      <w:r w:rsidRPr="00170E85">
        <w:t xml:space="preserve"> </w:t>
      </w:r>
      <w:r w:rsidRPr="00D4309F">
        <w:t>Environment</w:t>
      </w:r>
      <w:r w:rsidRPr="00170E85">
        <w:t xml:space="preserve"> </w:t>
      </w:r>
      <w:r w:rsidRPr="00D4309F">
        <w:t>and</w:t>
      </w:r>
      <w:r w:rsidRPr="00170E85">
        <w:t xml:space="preserve"> </w:t>
      </w:r>
      <w:r w:rsidRPr="00D4309F">
        <w:t>Water</w:t>
      </w:r>
      <w:r w:rsidRPr="00170E85">
        <w:t xml:space="preserve"> </w:t>
      </w:r>
      <w:r w:rsidRPr="00D4309F">
        <w:t>(DCCEEW).</w:t>
      </w:r>
      <w:r w:rsidRPr="00170E85">
        <w:t xml:space="preserve"> </w:t>
      </w:r>
      <w:r w:rsidRPr="00D4309F">
        <w:t>(2025).</w:t>
      </w:r>
      <w:r w:rsidRPr="00170E85">
        <w:t xml:space="preserve"> </w:t>
      </w:r>
      <w:r w:rsidRPr="00D4309F">
        <w:t>EPBC</w:t>
      </w:r>
      <w:r w:rsidRPr="00170E85">
        <w:t xml:space="preserve"> </w:t>
      </w:r>
      <w:r w:rsidRPr="00D4309F">
        <w:t xml:space="preserve">Protected Matters Search Tool. Commonwealth of Australia. Accessed on 8/10/2025. </w:t>
      </w:r>
      <w:hyperlink r:id="rId170">
        <w:r w:rsidRPr="00170E85">
          <w:t>https://www.dcceew.gov.au/environment/epbc/protectedmatters-search-tool</w:t>
        </w:r>
      </w:hyperlink>
    </w:p>
    <w:p w14:paraId="7C989DD6" w14:textId="77777777" w:rsidR="00725977" w:rsidRPr="00D4309F" w:rsidRDefault="00725977" w:rsidP="00170E85">
      <w:pPr>
        <w:pStyle w:val="BodyText"/>
      </w:pPr>
      <w:r w:rsidRPr="00D4309F">
        <w:t>Department</w:t>
      </w:r>
      <w:r w:rsidRPr="00170E85">
        <w:t xml:space="preserve"> </w:t>
      </w:r>
      <w:r w:rsidRPr="00D4309F">
        <w:t>of</w:t>
      </w:r>
      <w:r w:rsidRPr="00170E85">
        <w:t xml:space="preserve"> </w:t>
      </w:r>
      <w:r w:rsidRPr="00D4309F">
        <w:t>Environment,</w:t>
      </w:r>
      <w:r w:rsidRPr="00170E85">
        <w:t xml:space="preserve"> </w:t>
      </w:r>
      <w:r w:rsidRPr="00D4309F">
        <w:t>Science</w:t>
      </w:r>
      <w:r w:rsidRPr="00170E85">
        <w:t xml:space="preserve"> </w:t>
      </w:r>
      <w:r w:rsidRPr="00D4309F">
        <w:t>and</w:t>
      </w:r>
      <w:r w:rsidRPr="00170E85">
        <w:t xml:space="preserve"> </w:t>
      </w:r>
      <w:r w:rsidRPr="00D4309F">
        <w:t>Innovation.</w:t>
      </w:r>
      <w:r w:rsidRPr="00170E85">
        <w:t xml:space="preserve"> </w:t>
      </w:r>
      <w:r w:rsidRPr="00D4309F">
        <w:t>(DESI).</w:t>
      </w:r>
      <w:r w:rsidRPr="00170E85">
        <w:t xml:space="preserve"> </w:t>
      </w:r>
      <w:r w:rsidRPr="00D4309F">
        <w:t>(2022).</w:t>
      </w:r>
      <w:r w:rsidRPr="00170E85">
        <w:t xml:space="preserve"> </w:t>
      </w:r>
      <w:r w:rsidRPr="00D4309F">
        <w:t>Maroochy</w:t>
      </w:r>
      <w:r w:rsidRPr="00170E85">
        <w:t xml:space="preserve"> </w:t>
      </w:r>
      <w:r w:rsidRPr="00D4309F">
        <w:t>River</w:t>
      </w:r>
      <w:r w:rsidRPr="00170E85">
        <w:t xml:space="preserve"> </w:t>
      </w:r>
      <w:r w:rsidRPr="00D4309F">
        <w:t>Environmental</w:t>
      </w:r>
      <w:r w:rsidRPr="00170E85">
        <w:t xml:space="preserve"> </w:t>
      </w:r>
      <w:r w:rsidRPr="00D4309F">
        <w:t>Values and Water Quality Objectives, accessed on 9 October 2025 from</w:t>
      </w:r>
    </w:p>
    <w:p w14:paraId="05EC2118" w14:textId="44B51877" w:rsidR="00725977" w:rsidRPr="00D4309F" w:rsidRDefault="00725977" w:rsidP="00170E85">
      <w:pPr>
        <w:pStyle w:val="BodyText"/>
      </w:pPr>
      <w:hyperlink r:id="rId171">
        <w:r w:rsidRPr="00D4309F">
          <w:t>https://environment.des.qld.gov.au/</w:t>
        </w:r>
        <w:r w:rsidRPr="00170E85">
          <w:t xml:space="preserve">  </w:t>
        </w:r>
        <w:r w:rsidRPr="00D4309F">
          <w:t>data/assets/pdf_file/0024/273633/maroochy-river-ev-</w:t>
        </w:r>
        <w:r w:rsidRPr="00170E85">
          <w:t>wqo.pdf</w:t>
        </w:r>
      </w:hyperlink>
    </w:p>
    <w:p w14:paraId="4EBE53FC" w14:textId="77777777" w:rsidR="00725977" w:rsidRPr="00D4309F" w:rsidRDefault="00725977" w:rsidP="00170E85">
      <w:pPr>
        <w:pStyle w:val="BodyText"/>
      </w:pPr>
      <w:r w:rsidRPr="00D4309F">
        <w:t>Department</w:t>
      </w:r>
      <w:r w:rsidRPr="00170E85">
        <w:t xml:space="preserve"> </w:t>
      </w:r>
      <w:r w:rsidRPr="00D4309F">
        <w:t>of</w:t>
      </w:r>
      <w:r w:rsidRPr="00170E85">
        <w:t xml:space="preserve"> </w:t>
      </w:r>
      <w:r w:rsidRPr="00D4309F">
        <w:t>the</w:t>
      </w:r>
      <w:r w:rsidRPr="00170E85">
        <w:t xml:space="preserve"> </w:t>
      </w:r>
      <w:r w:rsidRPr="00D4309F">
        <w:t>Environment,</w:t>
      </w:r>
      <w:r w:rsidRPr="00170E85">
        <w:t xml:space="preserve"> </w:t>
      </w:r>
      <w:r w:rsidRPr="00D4309F">
        <w:t>Tourism,</w:t>
      </w:r>
      <w:r w:rsidRPr="00170E85">
        <w:t xml:space="preserve"> </w:t>
      </w:r>
      <w:r w:rsidRPr="00D4309F">
        <w:t>Science</w:t>
      </w:r>
      <w:r w:rsidRPr="00170E85">
        <w:t xml:space="preserve"> </w:t>
      </w:r>
      <w:r w:rsidRPr="00D4309F">
        <w:t>and</w:t>
      </w:r>
      <w:r w:rsidRPr="00170E85">
        <w:t xml:space="preserve"> </w:t>
      </w:r>
      <w:r w:rsidRPr="00D4309F">
        <w:t>Innovation</w:t>
      </w:r>
      <w:r w:rsidRPr="00170E85">
        <w:t xml:space="preserve"> </w:t>
      </w:r>
      <w:r w:rsidRPr="00D4309F">
        <w:t>(DETSI).</w:t>
      </w:r>
      <w:r w:rsidRPr="00170E85">
        <w:t xml:space="preserve"> </w:t>
      </w:r>
      <w:r w:rsidRPr="00D4309F">
        <w:t>(2025).</w:t>
      </w:r>
      <w:r w:rsidRPr="00170E85">
        <w:t xml:space="preserve"> </w:t>
      </w:r>
      <w:r w:rsidRPr="00D4309F">
        <w:t>WildNet</w:t>
      </w:r>
      <w:r w:rsidRPr="00170E85">
        <w:t xml:space="preserve"> Search.</w:t>
      </w:r>
    </w:p>
    <w:p w14:paraId="76A8C236" w14:textId="0E568364" w:rsidR="00725977" w:rsidRPr="00D4309F" w:rsidRDefault="00725977" w:rsidP="00170E85">
      <w:pPr>
        <w:pStyle w:val="BodyText"/>
      </w:pPr>
      <w:r w:rsidRPr="00D4309F">
        <w:t>Queensland</w:t>
      </w:r>
      <w:r w:rsidRPr="00170E85">
        <w:t xml:space="preserve"> </w:t>
      </w:r>
      <w:r w:rsidRPr="00D4309F">
        <w:t>Government.</w:t>
      </w:r>
      <w:r w:rsidRPr="00170E85">
        <w:t xml:space="preserve"> </w:t>
      </w:r>
      <w:r w:rsidRPr="00D4309F">
        <w:t>Accessed</w:t>
      </w:r>
      <w:r w:rsidRPr="00170E85">
        <w:t xml:space="preserve"> </w:t>
      </w:r>
      <w:r w:rsidRPr="00D4309F">
        <w:t>11/11/2025.</w:t>
      </w:r>
      <w:r w:rsidRPr="00170E85">
        <w:t xml:space="preserve"> </w:t>
      </w:r>
      <w:hyperlink r:id="rId172">
        <w:r w:rsidRPr="00D4309F">
          <w:t>https://wildnet.science-</w:t>
        </w:r>
        <w:r w:rsidRPr="00170E85">
          <w:t>data.qld.gov.au/</w:t>
        </w:r>
      </w:hyperlink>
    </w:p>
    <w:p w14:paraId="432F7F63" w14:textId="77777777" w:rsidR="00725977" w:rsidRPr="00D4309F" w:rsidRDefault="00725977" w:rsidP="00170E85">
      <w:pPr>
        <w:pStyle w:val="BodyText"/>
      </w:pPr>
      <w:r w:rsidRPr="00D4309F">
        <w:t>Department</w:t>
      </w:r>
      <w:r w:rsidRPr="00170E85">
        <w:t xml:space="preserve"> </w:t>
      </w:r>
      <w:r w:rsidRPr="00D4309F">
        <w:t>of</w:t>
      </w:r>
      <w:r w:rsidRPr="00170E85">
        <w:t xml:space="preserve"> </w:t>
      </w:r>
      <w:r w:rsidRPr="00D4309F">
        <w:t>the</w:t>
      </w:r>
      <w:r w:rsidRPr="00170E85">
        <w:t xml:space="preserve"> </w:t>
      </w:r>
      <w:r w:rsidRPr="00D4309F">
        <w:t>Environment,</w:t>
      </w:r>
      <w:r w:rsidRPr="00170E85">
        <w:t xml:space="preserve"> </w:t>
      </w:r>
      <w:r w:rsidRPr="00D4309F">
        <w:t>Water,</w:t>
      </w:r>
      <w:r w:rsidRPr="00170E85">
        <w:t xml:space="preserve"> </w:t>
      </w:r>
      <w:r w:rsidRPr="00D4309F">
        <w:t>Heritage</w:t>
      </w:r>
      <w:r w:rsidRPr="00170E85">
        <w:t xml:space="preserve"> </w:t>
      </w:r>
      <w:r w:rsidRPr="00D4309F">
        <w:t>and</w:t>
      </w:r>
      <w:r w:rsidRPr="00170E85">
        <w:t xml:space="preserve"> </w:t>
      </w:r>
      <w:r w:rsidRPr="00D4309F">
        <w:t>the</w:t>
      </w:r>
      <w:r w:rsidRPr="00170E85">
        <w:t xml:space="preserve"> </w:t>
      </w:r>
      <w:r w:rsidRPr="00D4309F">
        <w:t>Arts</w:t>
      </w:r>
      <w:r w:rsidRPr="00170E85">
        <w:t xml:space="preserve"> </w:t>
      </w:r>
      <w:r w:rsidRPr="00D4309F">
        <w:t>(DEWHA).</w:t>
      </w:r>
      <w:r w:rsidRPr="00170E85">
        <w:t xml:space="preserve"> </w:t>
      </w:r>
      <w:r w:rsidRPr="00D4309F">
        <w:t>(2009).</w:t>
      </w:r>
      <w:r w:rsidRPr="00170E85">
        <w:t xml:space="preserve"> </w:t>
      </w:r>
      <w:r w:rsidRPr="00D4309F">
        <w:t>'National</w:t>
      </w:r>
      <w:r w:rsidRPr="00170E85">
        <w:t xml:space="preserve"> </w:t>
      </w:r>
      <w:r w:rsidRPr="00D4309F">
        <w:t>Assessment Guidelines for Dredging.' Australian Government, Canberra</w:t>
      </w:r>
    </w:p>
    <w:p w14:paraId="1036D6DA" w14:textId="6C682F0F" w:rsidR="00725977" w:rsidRPr="00D4309F" w:rsidRDefault="00725977" w:rsidP="00170E85">
      <w:pPr>
        <w:pStyle w:val="BodyText"/>
      </w:pPr>
      <w:r w:rsidRPr="00D4309F">
        <w:t>Department</w:t>
      </w:r>
      <w:r w:rsidRPr="00170E85">
        <w:t xml:space="preserve"> </w:t>
      </w:r>
      <w:r w:rsidRPr="00D4309F">
        <w:t>of</w:t>
      </w:r>
      <w:r w:rsidRPr="00170E85">
        <w:t xml:space="preserve"> </w:t>
      </w:r>
      <w:r w:rsidRPr="00D4309F">
        <w:t>the</w:t>
      </w:r>
      <w:r w:rsidRPr="00170E85">
        <w:t xml:space="preserve"> </w:t>
      </w:r>
      <w:r w:rsidRPr="00D4309F">
        <w:t>Environment</w:t>
      </w:r>
      <w:r w:rsidRPr="00170E85">
        <w:t xml:space="preserve"> </w:t>
      </w:r>
      <w:r w:rsidRPr="00D4309F">
        <w:t>(DoE).</w:t>
      </w:r>
      <w:r w:rsidRPr="00170E85">
        <w:t xml:space="preserve"> </w:t>
      </w:r>
      <w:r w:rsidRPr="00D4309F">
        <w:t>(2025a).</w:t>
      </w:r>
      <w:r w:rsidRPr="00170E85">
        <w:t xml:space="preserve"> </w:t>
      </w:r>
      <w:r w:rsidRPr="00D4309F">
        <w:t>Tursiops</w:t>
      </w:r>
      <w:r w:rsidRPr="00170E85">
        <w:t xml:space="preserve"> </w:t>
      </w:r>
      <w:r w:rsidRPr="00D4309F">
        <w:t>aduncus</w:t>
      </w:r>
      <w:r w:rsidRPr="00170E85">
        <w:t xml:space="preserve"> </w:t>
      </w:r>
      <w:r w:rsidRPr="00D4309F">
        <w:t>in</w:t>
      </w:r>
      <w:r w:rsidRPr="00170E85">
        <w:t xml:space="preserve"> </w:t>
      </w:r>
      <w:r w:rsidRPr="00D4309F">
        <w:t>Species</w:t>
      </w:r>
      <w:r w:rsidRPr="00170E85">
        <w:t xml:space="preserve"> </w:t>
      </w:r>
      <w:r w:rsidRPr="00D4309F">
        <w:t>Profile</w:t>
      </w:r>
      <w:r w:rsidRPr="00170E85">
        <w:t xml:space="preserve"> </w:t>
      </w:r>
      <w:r w:rsidRPr="00D4309F">
        <w:t>and</w:t>
      </w:r>
      <w:r w:rsidRPr="00170E85">
        <w:t xml:space="preserve"> </w:t>
      </w:r>
      <w:r w:rsidRPr="00D4309F">
        <w:t>Threats</w:t>
      </w:r>
      <w:r w:rsidRPr="00170E85">
        <w:t xml:space="preserve"> </w:t>
      </w:r>
      <w:r w:rsidRPr="00D4309F">
        <w:t xml:space="preserve">Database, Department of the Environment, Canberra. Available from: </w:t>
      </w:r>
      <w:hyperlink r:id="rId173">
        <w:r w:rsidRPr="00D4309F">
          <w:t>https://www.environment.gov.au/sprat.</w:t>
        </w:r>
      </w:hyperlink>
    </w:p>
    <w:p w14:paraId="22DD3387" w14:textId="77777777" w:rsidR="00725977" w:rsidRPr="00D4309F" w:rsidRDefault="00725977" w:rsidP="00170E85">
      <w:pPr>
        <w:pStyle w:val="BodyText"/>
      </w:pPr>
      <w:r w:rsidRPr="00D4309F">
        <w:t>Accessed</w:t>
      </w:r>
      <w:r w:rsidRPr="00170E85">
        <w:t xml:space="preserve"> </w:t>
      </w:r>
      <w:r w:rsidRPr="00D4309F">
        <w:t>Wed,</w:t>
      </w:r>
      <w:r w:rsidRPr="00170E85">
        <w:t xml:space="preserve"> </w:t>
      </w:r>
      <w:r w:rsidRPr="00D4309F">
        <w:t>19</w:t>
      </w:r>
      <w:r w:rsidRPr="00170E85">
        <w:t xml:space="preserve"> </w:t>
      </w:r>
      <w:r w:rsidRPr="00D4309F">
        <w:t>Nov</w:t>
      </w:r>
      <w:r w:rsidRPr="00170E85">
        <w:t xml:space="preserve"> </w:t>
      </w:r>
      <w:r w:rsidRPr="00D4309F">
        <w:t>2025</w:t>
      </w:r>
      <w:r w:rsidRPr="00170E85">
        <w:t xml:space="preserve"> </w:t>
      </w:r>
      <w:r w:rsidRPr="00D4309F">
        <w:t>20:16:47</w:t>
      </w:r>
      <w:r w:rsidRPr="00170E85">
        <w:t xml:space="preserve"> +1100.</w:t>
      </w:r>
    </w:p>
    <w:p w14:paraId="1B0E7CB7" w14:textId="4B0873BE" w:rsidR="00725977" w:rsidRPr="00D4309F" w:rsidRDefault="00725977" w:rsidP="00170E85">
      <w:pPr>
        <w:pStyle w:val="BodyText"/>
      </w:pPr>
      <w:r w:rsidRPr="00D4309F">
        <w:t>Department</w:t>
      </w:r>
      <w:r w:rsidRPr="00170E85">
        <w:t xml:space="preserve"> </w:t>
      </w:r>
      <w:r w:rsidRPr="00D4309F">
        <w:t>of</w:t>
      </w:r>
      <w:r w:rsidRPr="00170E85">
        <w:t xml:space="preserve"> </w:t>
      </w:r>
      <w:r w:rsidRPr="00D4309F">
        <w:t>the</w:t>
      </w:r>
      <w:r w:rsidRPr="00170E85">
        <w:t xml:space="preserve"> </w:t>
      </w:r>
      <w:r w:rsidRPr="00D4309F">
        <w:t>Environment</w:t>
      </w:r>
      <w:r w:rsidRPr="00170E85">
        <w:t xml:space="preserve"> </w:t>
      </w:r>
      <w:r w:rsidRPr="00D4309F">
        <w:t>(DoE).</w:t>
      </w:r>
      <w:r w:rsidRPr="00170E85">
        <w:t xml:space="preserve"> </w:t>
      </w:r>
      <w:r w:rsidRPr="00D4309F">
        <w:t>(2025b).</w:t>
      </w:r>
      <w:r w:rsidRPr="00170E85">
        <w:t xml:space="preserve"> </w:t>
      </w:r>
      <w:r w:rsidRPr="00D4309F">
        <w:t>Sousa</w:t>
      </w:r>
      <w:r w:rsidRPr="00170E85">
        <w:t xml:space="preserve"> </w:t>
      </w:r>
      <w:r w:rsidRPr="00D4309F">
        <w:t>sahulensis</w:t>
      </w:r>
      <w:r w:rsidRPr="00170E85">
        <w:t xml:space="preserve"> </w:t>
      </w:r>
      <w:r w:rsidRPr="00D4309F">
        <w:t>in</w:t>
      </w:r>
      <w:r w:rsidRPr="00170E85">
        <w:t xml:space="preserve"> </w:t>
      </w:r>
      <w:r w:rsidRPr="00D4309F">
        <w:t>Species</w:t>
      </w:r>
      <w:r w:rsidRPr="00170E85">
        <w:t xml:space="preserve"> </w:t>
      </w:r>
      <w:r w:rsidRPr="00D4309F">
        <w:t>Profile</w:t>
      </w:r>
      <w:r w:rsidRPr="00170E85">
        <w:t xml:space="preserve"> </w:t>
      </w:r>
      <w:r w:rsidRPr="00D4309F">
        <w:t>and</w:t>
      </w:r>
      <w:r w:rsidRPr="00170E85">
        <w:t xml:space="preserve"> </w:t>
      </w:r>
      <w:r w:rsidRPr="00D4309F">
        <w:t>Threats</w:t>
      </w:r>
      <w:r w:rsidRPr="00170E85">
        <w:t xml:space="preserve"> </w:t>
      </w:r>
      <w:r w:rsidRPr="00D4309F">
        <w:t xml:space="preserve">Database, Department of the Environment, Canberra. Available from: </w:t>
      </w:r>
      <w:hyperlink r:id="rId174">
        <w:r w:rsidRPr="00D4309F">
          <w:t>https://www.environment.gov.au/sprat.</w:t>
        </w:r>
      </w:hyperlink>
    </w:p>
    <w:p w14:paraId="15D33493" w14:textId="77777777" w:rsidR="00725977" w:rsidRPr="00D4309F" w:rsidRDefault="00725977" w:rsidP="00170E85">
      <w:pPr>
        <w:pStyle w:val="BodyText"/>
      </w:pPr>
      <w:r w:rsidRPr="00D4309F">
        <w:t>Accessed</w:t>
      </w:r>
      <w:r w:rsidRPr="00170E85">
        <w:t xml:space="preserve"> </w:t>
      </w:r>
      <w:r w:rsidRPr="00D4309F">
        <w:t>Wed,</w:t>
      </w:r>
      <w:r w:rsidRPr="00170E85">
        <w:t xml:space="preserve"> </w:t>
      </w:r>
      <w:r w:rsidRPr="00D4309F">
        <w:t>19</w:t>
      </w:r>
      <w:r w:rsidRPr="00170E85">
        <w:t xml:space="preserve"> </w:t>
      </w:r>
      <w:r w:rsidRPr="00D4309F">
        <w:t>Nov</w:t>
      </w:r>
      <w:r w:rsidRPr="00170E85">
        <w:t xml:space="preserve"> </w:t>
      </w:r>
      <w:r w:rsidRPr="00D4309F">
        <w:t>2025</w:t>
      </w:r>
      <w:r w:rsidRPr="00170E85">
        <w:t xml:space="preserve"> </w:t>
      </w:r>
      <w:r w:rsidRPr="00D4309F">
        <w:t>20:16:47</w:t>
      </w:r>
      <w:r w:rsidRPr="00170E85">
        <w:t xml:space="preserve"> +1100.</w:t>
      </w:r>
    </w:p>
    <w:p w14:paraId="6294B8CD" w14:textId="12279F75" w:rsidR="00725977" w:rsidRPr="00D4309F" w:rsidRDefault="00725977" w:rsidP="00170E85">
      <w:pPr>
        <w:pStyle w:val="BodyText"/>
      </w:pPr>
      <w:r w:rsidRPr="00D4309F">
        <w:t>Department</w:t>
      </w:r>
      <w:r w:rsidRPr="00170E85">
        <w:t xml:space="preserve"> </w:t>
      </w:r>
      <w:r w:rsidRPr="00D4309F">
        <w:t>of</w:t>
      </w:r>
      <w:r w:rsidRPr="00170E85">
        <w:t xml:space="preserve"> </w:t>
      </w:r>
      <w:r w:rsidRPr="00D4309F">
        <w:t>the</w:t>
      </w:r>
      <w:r w:rsidRPr="00170E85">
        <w:t xml:space="preserve"> </w:t>
      </w:r>
      <w:r w:rsidRPr="00D4309F">
        <w:t>Environment</w:t>
      </w:r>
      <w:r w:rsidRPr="00170E85">
        <w:t xml:space="preserve"> </w:t>
      </w:r>
      <w:r w:rsidRPr="00D4309F">
        <w:t>(DoE).</w:t>
      </w:r>
      <w:r w:rsidRPr="00170E85">
        <w:t xml:space="preserve"> </w:t>
      </w:r>
      <w:r w:rsidRPr="00D4309F">
        <w:t>(2025c).</w:t>
      </w:r>
      <w:r w:rsidRPr="00170E85">
        <w:t xml:space="preserve"> </w:t>
      </w:r>
      <w:r w:rsidRPr="00D4309F">
        <w:t>Sternula</w:t>
      </w:r>
      <w:r w:rsidRPr="00170E85">
        <w:t xml:space="preserve"> </w:t>
      </w:r>
      <w:r w:rsidRPr="00D4309F">
        <w:t>albifron</w:t>
      </w:r>
      <w:r w:rsidRPr="00170E85">
        <w:t xml:space="preserve"> </w:t>
      </w:r>
      <w:r w:rsidRPr="00D4309F">
        <w:t>in</w:t>
      </w:r>
      <w:r w:rsidRPr="00170E85">
        <w:t xml:space="preserve"> </w:t>
      </w:r>
      <w:r w:rsidRPr="00D4309F">
        <w:t>Species</w:t>
      </w:r>
      <w:r w:rsidRPr="00170E85">
        <w:t xml:space="preserve"> </w:t>
      </w:r>
      <w:r w:rsidRPr="00D4309F">
        <w:t>Profile</w:t>
      </w:r>
      <w:r w:rsidRPr="00170E85">
        <w:t xml:space="preserve"> </w:t>
      </w:r>
      <w:r w:rsidRPr="00D4309F">
        <w:t>and</w:t>
      </w:r>
      <w:r w:rsidRPr="00170E85">
        <w:t xml:space="preserve"> </w:t>
      </w:r>
      <w:r w:rsidRPr="00D4309F">
        <w:t>Threats</w:t>
      </w:r>
      <w:r w:rsidRPr="00170E85">
        <w:t xml:space="preserve"> </w:t>
      </w:r>
      <w:r w:rsidRPr="00D4309F">
        <w:t xml:space="preserve">Database, Department of the Environment, Canberra. Available from: </w:t>
      </w:r>
      <w:hyperlink r:id="rId175">
        <w:r w:rsidRPr="00D4309F">
          <w:t>https://www.environment.gov.au/sprat.</w:t>
        </w:r>
      </w:hyperlink>
    </w:p>
    <w:p w14:paraId="7E8282A9" w14:textId="77777777" w:rsidR="00725977" w:rsidRPr="00D4309F" w:rsidRDefault="00725977" w:rsidP="00170E85">
      <w:pPr>
        <w:pStyle w:val="BodyText"/>
      </w:pPr>
      <w:r w:rsidRPr="00D4309F">
        <w:t>Accessed</w:t>
      </w:r>
      <w:r w:rsidRPr="00170E85">
        <w:t xml:space="preserve"> </w:t>
      </w:r>
      <w:r w:rsidRPr="00D4309F">
        <w:t>Wed,</w:t>
      </w:r>
      <w:r w:rsidRPr="00170E85">
        <w:t xml:space="preserve"> </w:t>
      </w:r>
      <w:r w:rsidRPr="00D4309F">
        <w:t>19</w:t>
      </w:r>
      <w:r w:rsidRPr="00170E85">
        <w:t xml:space="preserve"> </w:t>
      </w:r>
      <w:r w:rsidRPr="00D4309F">
        <w:t>Nov</w:t>
      </w:r>
      <w:r w:rsidRPr="00170E85">
        <w:t xml:space="preserve"> </w:t>
      </w:r>
      <w:r w:rsidRPr="00D4309F">
        <w:t>2025</w:t>
      </w:r>
      <w:r w:rsidRPr="00170E85">
        <w:t xml:space="preserve"> </w:t>
      </w:r>
      <w:r w:rsidRPr="00D4309F">
        <w:t>20:16:47</w:t>
      </w:r>
      <w:r w:rsidRPr="00170E85">
        <w:t xml:space="preserve"> +1100.</w:t>
      </w:r>
    </w:p>
    <w:p w14:paraId="6FDB86B3" w14:textId="3EC8FD78" w:rsidR="00725977" w:rsidRPr="00D4309F" w:rsidRDefault="00725977" w:rsidP="00170E85">
      <w:pPr>
        <w:pStyle w:val="BodyText"/>
      </w:pPr>
      <w:r w:rsidRPr="00D4309F">
        <w:t>Department</w:t>
      </w:r>
      <w:r w:rsidRPr="00170E85">
        <w:t xml:space="preserve"> </w:t>
      </w:r>
      <w:r w:rsidRPr="00D4309F">
        <w:t>of</w:t>
      </w:r>
      <w:r w:rsidRPr="00170E85">
        <w:t xml:space="preserve"> </w:t>
      </w:r>
      <w:r w:rsidRPr="00D4309F">
        <w:t>Primary</w:t>
      </w:r>
      <w:r w:rsidRPr="00170E85">
        <w:t xml:space="preserve"> </w:t>
      </w:r>
      <w:r w:rsidRPr="00D4309F">
        <w:t>Industries</w:t>
      </w:r>
      <w:r w:rsidRPr="00170E85">
        <w:t xml:space="preserve"> </w:t>
      </w:r>
      <w:r w:rsidRPr="00D4309F">
        <w:t>(DPI).</w:t>
      </w:r>
      <w:r w:rsidRPr="00170E85">
        <w:t xml:space="preserve"> </w:t>
      </w:r>
      <w:r w:rsidRPr="00D4309F">
        <w:t>(20Statewide</w:t>
      </w:r>
      <w:r w:rsidRPr="00170E85">
        <w:t xml:space="preserve"> </w:t>
      </w:r>
      <w:r w:rsidRPr="00D4309F">
        <w:t>recreational</w:t>
      </w:r>
      <w:r w:rsidRPr="00170E85">
        <w:t xml:space="preserve"> </w:t>
      </w:r>
      <w:r w:rsidRPr="00D4309F">
        <w:t>fishing</w:t>
      </w:r>
      <w:r w:rsidRPr="00170E85">
        <w:t xml:space="preserve"> </w:t>
      </w:r>
      <w:r w:rsidRPr="00D4309F">
        <w:t>survey</w:t>
      </w:r>
      <w:r w:rsidRPr="00170E85">
        <w:t xml:space="preserve"> </w:t>
      </w:r>
      <w:r w:rsidRPr="00D4309F">
        <w:t>2019-20</w:t>
      </w:r>
      <w:r w:rsidRPr="00170E85">
        <w:t xml:space="preserve"> </w:t>
      </w:r>
      <w:r w:rsidRPr="00D4309F">
        <w:t>Department</w:t>
      </w:r>
      <w:r w:rsidRPr="00170E85">
        <w:t xml:space="preserve"> </w:t>
      </w:r>
      <w:r w:rsidRPr="00D4309F">
        <w:t xml:space="preserve">of Primary Industries, Accessed October 10 2025 from </w:t>
      </w:r>
      <w:hyperlink r:id="rId176">
        <w:r w:rsidRPr="00D4309F">
          <w:t>https://www.dpi.qld.gov.au/business-</w:t>
        </w:r>
      </w:hyperlink>
      <w:hyperlink r:id="rId177">
        <w:r w:rsidRPr="00170E85">
          <w:t>priorities/fisheries/monitor/rec/statewide-survey</w:t>
        </w:r>
      </w:hyperlink>
    </w:p>
    <w:p w14:paraId="53CB843A" w14:textId="7C80633B" w:rsidR="00725977" w:rsidRPr="00D4309F" w:rsidRDefault="00725977" w:rsidP="00170E85">
      <w:pPr>
        <w:pStyle w:val="BodyText"/>
      </w:pPr>
      <w:r w:rsidRPr="00D4309F">
        <w:t>Discover</w:t>
      </w:r>
      <w:r w:rsidRPr="00170E85">
        <w:t xml:space="preserve"> </w:t>
      </w:r>
      <w:r w:rsidRPr="00D4309F">
        <w:t>Mooloolaba.</w:t>
      </w:r>
      <w:r w:rsidRPr="00170E85">
        <w:t xml:space="preserve"> </w:t>
      </w:r>
      <w:r w:rsidRPr="00D4309F">
        <w:t>(n.d.).</w:t>
      </w:r>
      <w:r w:rsidRPr="00170E85">
        <w:t xml:space="preserve"> </w:t>
      </w:r>
      <w:r w:rsidRPr="00D4309F">
        <w:t>Discover</w:t>
      </w:r>
      <w:r w:rsidRPr="00170E85">
        <w:t xml:space="preserve"> </w:t>
      </w:r>
      <w:r w:rsidRPr="00D4309F">
        <w:t>Mooloolaba</w:t>
      </w:r>
      <w:r w:rsidRPr="00170E85">
        <w:t xml:space="preserve"> </w:t>
      </w:r>
      <w:r w:rsidRPr="00D4309F">
        <w:t>–</w:t>
      </w:r>
      <w:r w:rsidRPr="00170E85">
        <w:t xml:space="preserve"> </w:t>
      </w:r>
      <w:r w:rsidRPr="00D4309F">
        <w:t>Official</w:t>
      </w:r>
      <w:r w:rsidRPr="00170E85">
        <w:t xml:space="preserve"> </w:t>
      </w:r>
      <w:r w:rsidRPr="00D4309F">
        <w:t>Tourism</w:t>
      </w:r>
      <w:r w:rsidRPr="00170E85">
        <w:t xml:space="preserve"> </w:t>
      </w:r>
      <w:r w:rsidRPr="00D4309F">
        <w:t>Website.</w:t>
      </w:r>
      <w:r w:rsidRPr="00170E85">
        <w:t xml:space="preserve"> </w:t>
      </w:r>
      <w:r w:rsidRPr="00D4309F">
        <w:t>Retrieved</w:t>
      </w:r>
      <w:r w:rsidRPr="00170E85">
        <w:t xml:space="preserve"> </w:t>
      </w:r>
      <w:r w:rsidRPr="00D4309F">
        <w:t>October</w:t>
      </w:r>
      <w:r w:rsidRPr="00170E85">
        <w:t xml:space="preserve"> </w:t>
      </w:r>
      <w:r w:rsidRPr="00D4309F">
        <w:t>3,</w:t>
      </w:r>
      <w:r w:rsidRPr="00170E85">
        <w:t xml:space="preserve"> </w:t>
      </w:r>
      <w:r w:rsidRPr="00D4309F">
        <w:t xml:space="preserve">2025, from </w:t>
      </w:r>
      <w:hyperlink r:id="rId178">
        <w:r w:rsidRPr="00D4309F">
          <w:t>https://discovermooloolaba.com.au</w:t>
        </w:r>
      </w:hyperlink>
    </w:p>
    <w:p w14:paraId="419C8102" w14:textId="77777777" w:rsidR="00725977" w:rsidRPr="00D4309F" w:rsidRDefault="00725977" w:rsidP="00170E85">
      <w:pPr>
        <w:pStyle w:val="BodyText"/>
      </w:pPr>
      <w:r w:rsidRPr="00D4309F">
        <w:t xml:space="preserve">Frc environmental. (2009). Mooloolah River Entrance. </w:t>
      </w:r>
      <w:r w:rsidRPr="00170E85">
        <w:t>Sediment Sampling and Analysis</w:t>
      </w:r>
      <w:r w:rsidRPr="00D4309F">
        <w:t>. Reference: 090408Rii. Unpublished report.</w:t>
      </w:r>
    </w:p>
    <w:p w14:paraId="2C0DFEB2" w14:textId="77777777" w:rsidR="00725977" w:rsidRPr="00D4309F" w:rsidRDefault="00725977" w:rsidP="00170E85">
      <w:pPr>
        <w:pStyle w:val="BodyText"/>
      </w:pPr>
      <w:r w:rsidRPr="00D4309F">
        <w:t>Future-Plus</w:t>
      </w:r>
      <w:r w:rsidRPr="00170E85">
        <w:t xml:space="preserve"> </w:t>
      </w:r>
      <w:r w:rsidRPr="00D4309F">
        <w:t>Environmental</w:t>
      </w:r>
      <w:r w:rsidRPr="00170E85">
        <w:t xml:space="preserve"> </w:t>
      </w:r>
      <w:r w:rsidRPr="00D4309F">
        <w:t>(FPE).</w:t>
      </w:r>
      <w:r w:rsidRPr="00170E85">
        <w:t xml:space="preserve"> </w:t>
      </w:r>
      <w:r w:rsidRPr="00D4309F">
        <w:t>(2022).</w:t>
      </w:r>
      <w:r w:rsidRPr="00170E85">
        <w:t xml:space="preserve"> </w:t>
      </w:r>
      <w:r w:rsidRPr="00D4309F">
        <w:t>Environmental</w:t>
      </w:r>
      <w:r w:rsidRPr="00170E85">
        <w:t xml:space="preserve"> </w:t>
      </w:r>
      <w:r w:rsidRPr="00D4309F">
        <w:t>Values</w:t>
      </w:r>
      <w:r w:rsidRPr="00170E85">
        <w:t xml:space="preserve"> </w:t>
      </w:r>
      <w:r w:rsidRPr="00D4309F">
        <w:t>Report.</w:t>
      </w:r>
      <w:r w:rsidRPr="00170E85">
        <w:t xml:space="preserve"> </w:t>
      </w:r>
      <w:r w:rsidRPr="00D4309F">
        <w:t>Point</w:t>
      </w:r>
      <w:r w:rsidRPr="00170E85">
        <w:t xml:space="preserve"> </w:t>
      </w:r>
      <w:r w:rsidRPr="00D4309F">
        <w:t>Cartwright</w:t>
      </w:r>
      <w:r w:rsidRPr="00170E85">
        <w:t xml:space="preserve"> </w:t>
      </w:r>
      <w:r w:rsidRPr="00D4309F">
        <w:t>Reserve</w:t>
      </w:r>
      <w:r w:rsidRPr="00170E85">
        <w:t xml:space="preserve"> </w:t>
      </w:r>
      <w:r w:rsidRPr="00D4309F">
        <w:t>and</w:t>
      </w:r>
      <w:r w:rsidRPr="00170E85">
        <w:t xml:space="preserve"> </w:t>
      </w:r>
      <w:r w:rsidRPr="00D4309F">
        <w:t>La Balsa Park Master Plan Project. Unpublished report.</w:t>
      </w:r>
    </w:p>
    <w:p w14:paraId="2FF0CBC1" w14:textId="72DC2F30" w:rsidR="00725977" w:rsidRPr="00D4309F" w:rsidRDefault="00725977" w:rsidP="00170E85">
      <w:pPr>
        <w:pStyle w:val="BodyText"/>
      </w:pPr>
      <w:r w:rsidRPr="00D4309F">
        <w:t>Healthy</w:t>
      </w:r>
      <w:r w:rsidRPr="00170E85">
        <w:t xml:space="preserve"> </w:t>
      </w:r>
      <w:r w:rsidRPr="00D4309F">
        <w:t>Land</w:t>
      </w:r>
      <w:r w:rsidRPr="00170E85">
        <w:t xml:space="preserve"> </w:t>
      </w:r>
      <w:r w:rsidRPr="00D4309F">
        <w:t>and</w:t>
      </w:r>
      <w:r w:rsidRPr="00170E85">
        <w:t xml:space="preserve"> </w:t>
      </w:r>
      <w:r w:rsidRPr="00D4309F">
        <w:t>Water</w:t>
      </w:r>
      <w:r w:rsidRPr="00170E85">
        <w:t xml:space="preserve"> </w:t>
      </w:r>
      <w:r w:rsidRPr="00D4309F">
        <w:t>(HLW).</w:t>
      </w:r>
      <w:r w:rsidRPr="00170E85">
        <w:t xml:space="preserve"> </w:t>
      </w:r>
      <w:r w:rsidRPr="00D4309F">
        <w:t>(2021).</w:t>
      </w:r>
      <w:r w:rsidRPr="00170E85">
        <w:t xml:space="preserve"> </w:t>
      </w:r>
      <w:r w:rsidRPr="00D4309F">
        <w:t>Report</w:t>
      </w:r>
      <w:r w:rsidRPr="00170E85">
        <w:t xml:space="preserve"> </w:t>
      </w:r>
      <w:r w:rsidRPr="00D4309F">
        <w:t>Card</w:t>
      </w:r>
      <w:r w:rsidRPr="00170E85">
        <w:t xml:space="preserve"> </w:t>
      </w:r>
      <w:r w:rsidRPr="00D4309F">
        <w:t>Catchment</w:t>
      </w:r>
      <w:r w:rsidRPr="00170E85">
        <w:t xml:space="preserve"> </w:t>
      </w:r>
      <w:r w:rsidRPr="00D4309F">
        <w:t>Summaries.</w:t>
      </w:r>
      <w:r w:rsidRPr="00170E85">
        <w:t xml:space="preserve"> </w:t>
      </w:r>
      <w:hyperlink r:id="rId179">
        <w:r w:rsidRPr="00D4309F">
          <w:t>HLW</w:t>
        </w:r>
        <w:r w:rsidRPr="00170E85">
          <w:t xml:space="preserve"> </w:t>
        </w:r>
        <w:r w:rsidRPr="00D4309F">
          <w:t>Report</w:t>
        </w:r>
        <w:r w:rsidRPr="00170E85">
          <w:t xml:space="preserve"> </w:t>
        </w:r>
        <w:r w:rsidRPr="00D4309F">
          <w:t>Card</w:t>
        </w:r>
        <w:r w:rsidRPr="00170E85">
          <w:t xml:space="preserve"> </w:t>
        </w:r>
        <w:r w:rsidRPr="00D4309F">
          <w:t>|</w:t>
        </w:r>
        <w:r w:rsidRPr="00170E85">
          <w:t xml:space="preserve"> </w:t>
        </w:r>
        <w:r w:rsidRPr="00D4309F">
          <w:t>HLW</w:t>
        </w:r>
      </w:hyperlink>
      <w:r w:rsidRPr="00D4309F">
        <w:t xml:space="preserve"> </w:t>
      </w:r>
      <w:hyperlink r:id="rId180">
        <w:r w:rsidRPr="00D4309F">
          <w:t>Report Card</w:t>
        </w:r>
      </w:hyperlink>
    </w:p>
    <w:p w14:paraId="43C583D4" w14:textId="77777777" w:rsidR="00725977" w:rsidRPr="00D4309F" w:rsidRDefault="00725977" w:rsidP="00170E85">
      <w:pPr>
        <w:pStyle w:val="BodyText"/>
        <w:sectPr w:rsidR="00725977" w:rsidRPr="00D4309F" w:rsidSect="00405D4F">
          <w:pgSz w:w="11910" w:h="16840"/>
          <w:pgMar w:top="1418" w:right="1134" w:bottom="1418" w:left="1134" w:header="916" w:footer="980" w:gutter="0"/>
          <w:cols w:space="720"/>
        </w:sectPr>
      </w:pPr>
    </w:p>
    <w:p w14:paraId="0B5F3842" w14:textId="77777777" w:rsidR="00725977" w:rsidRPr="00D4309F" w:rsidRDefault="00725977" w:rsidP="00170E85">
      <w:pPr>
        <w:pStyle w:val="BodyText"/>
      </w:pPr>
      <w:r w:rsidRPr="00D4309F">
        <w:lastRenderedPageBreak/>
        <w:t>Hofmeister,</w:t>
      </w:r>
      <w:r w:rsidRPr="00170E85">
        <w:t xml:space="preserve"> </w:t>
      </w:r>
      <w:r w:rsidRPr="00D4309F">
        <w:t>K.,</w:t>
      </w:r>
      <w:r w:rsidRPr="00170E85">
        <w:t xml:space="preserve"> </w:t>
      </w:r>
      <w:r w:rsidRPr="00D4309F">
        <w:t>Twaddle,</w:t>
      </w:r>
      <w:r w:rsidRPr="00170E85">
        <w:t xml:space="preserve"> </w:t>
      </w:r>
      <w:r w:rsidRPr="00D4309F">
        <w:t>H.,</w:t>
      </w:r>
      <w:r w:rsidRPr="00170E85">
        <w:t xml:space="preserve"> </w:t>
      </w:r>
      <w:r w:rsidRPr="00D4309F">
        <w:t>O’Conner,</w:t>
      </w:r>
      <w:r w:rsidRPr="00170E85">
        <w:t xml:space="preserve"> </w:t>
      </w:r>
      <w:r w:rsidRPr="00D4309F">
        <w:t>J.</w:t>
      </w:r>
      <w:r w:rsidRPr="00170E85">
        <w:t xml:space="preserve"> </w:t>
      </w:r>
      <w:r w:rsidRPr="00D4309F">
        <w:t>and</w:t>
      </w:r>
      <w:r w:rsidRPr="00170E85">
        <w:t xml:space="preserve"> </w:t>
      </w:r>
      <w:r w:rsidRPr="00D4309F">
        <w:t>Limpus,</w:t>
      </w:r>
      <w:r w:rsidRPr="00170E85">
        <w:t xml:space="preserve"> </w:t>
      </w:r>
      <w:r w:rsidRPr="00D4309F">
        <w:t>C.</w:t>
      </w:r>
      <w:r w:rsidRPr="00170E85">
        <w:t xml:space="preserve"> </w:t>
      </w:r>
      <w:r w:rsidRPr="00D4309F">
        <w:t>J.</w:t>
      </w:r>
      <w:r w:rsidRPr="00170E85">
        <w:t xml:space="preserve"> </w:t>
      </w:r>
      <w:r w:rsidRPr="00D4309F">
        <w:t>(2019).</w:t>
      </w:r>
      <w:r w:rsidRPr="00170E85">
        <w:t xml:space="preserve"> </w:t>
      </w:r>
      <w:r w:rsidRPr="00D4309F">
        <w:t>Marine</w:t>
      </w:r>
      <w:r w:rsidRPr="00170E85">
        <w:t xml:space="preserve"> </w:t>
      </w:r>
      <w:r w:rsidRPr="00D4309F">
        <w:t>Turtle</w:t>
      </w:r>
      <w:r w:rsidRPr="00170E85">
        <w:t xml:space="preserve"> </w:t>
      </w:r>
      <w:r w:rsidRPr="00D4309F">
        <w:t>Nesting</w:t>
      </w:r>
      <w:r w:rsidRPr="00170E85">
        <w:t xml:space="preserve"> </w:t>
      </w:r>
      <w:r w:rsidRPr="00D4309F">
        <w:t>Population: Sunshine Coast Region 2005 – 2016. Bribie Island</w:t>
      </w:r>
      <w:r w:rsidRPr="00170E85">
        <w:t xml:space="preserve"> </w:t>
      </w:r>
      <w:r w:rsidRPr="00D4309F">
        <w:t>Turtle Trackers, TurtleCare</w:t>
      </w:r>
      <w:r w:rsidRPr="00170E85">
        <w:t xml:space="preserve"> </w:t>
      </w:r>
      <w:r w:rsidRPr="00D4309F">
        <w:t>Sunshine Coast Volunteers and Coolum and North Shore Coast Care Volunteers</w:t>
      </w:r>
    </w:p>
    <w:p w14:paraId="5EFDE017" w14:textId="77777777" w:rsidR="00725977" w:rsidRPr="00D4309F" w:rsidRDefault="00725977" w:rsidP="00170E85">
      <w:pPr>
        <w:pStyle w:val="BodyText"/>
      </w:pPr>
      <w:r w:rsidRPr="00D4309F">
        <w:t>Kellogg</w:t>
      </w:r>
      <w:r w:rsidRPr="00170E85">
        <w:t xml:space="preserve"> </w:t>
      </w:r>
      <w:r w:rsidRPr="00D4309F">
        <w:t>Brown</w:t>
      </w:r>
      <w:r w:rsidRPr="00170E85">
        <w:t xml:space="preserve"> </w:t>
      </w:r>
      <w:r w:rsidRPr="00D4309F">
        <w:t>and</w:t>
      </w:r>
      <w:r w:rsidRPr="00170E85">
        <w:t xml:space="preserve"> </w:t>
      </w:r>
      <w:r w:rsidRPr="00D4309F">
        <w:t>Root</w:t>
      </w:r>
      <w:r w:rsidRPr="00170E85">
        <w:t xml:space="preserve"> </w:t>
      </w:r>
      <w:r w:rsidRPr="00D4309F">
        <w:t>Pty</w:t>
      </w:r>
      <w:r w:rsidRPr="00170E85">
        <w:t xml:space="preserve"> </w:t>
      </w:r>
      <w:r w:rsidRPr="00D4309F">
        <w:t>Ltd</w:t>
      </w:r>
      <w:r w:rsidRPr="00170E85">
        <w:t xml:space="preserve"> </w:t>
      </w:r>
      <w:r w:rsidRPr="00D4309F">
        <w:t>(KBR).</w:t>
      </w:r>
      <w:r w:rsidRPr="00170E85">
        <w:t xml:space="preserve"> </w:t>
      </w:r>
      <w:r w:rsidRPr="00D4309F">
        <w:t>(2023).</w:t>
      </w:r>
      <w:r w:rsidRPr="00170E85">
        <w:t xml:space="preserve"> </w:t>
      </w:r>
      <w:r w:rsidRPr="00D4309F">
        <w:t>Mooloolaba</w:t>
      </w:r>
      <w:r w:rsidRPr="00170E85">
        <w:t xml:space="preserve"> </w:t>
      </w:r>
      <w:r w:rsidRPr="00D4309F">
        <w:t>Breakwater.</w:t>
      </w:r>
      <w:r w:rsidRPr="00170E85">
        <w:t xml:space="preserve"> </w:t>
      </w:r>
      <w:r w:rsidRPr="00D4309F">
        <w:t>Marine</w:t>
      </w:r>
      <w:r w:rsidRPr="00170E85">
        <w:t xml:space="preserve"> </w:t>
      </w:r>
      <w:r w:rsidRPr="00D4309F">
        <w:t>Benthic</w:t>
      </w:r>
      <w:r w:rsidRPr="00170E85">
        <w:t xml:space="preserve"> </w:t>
      </w:r>
      <w:r w:rsidRPr="00D4309F">
        <w:t>Habitat</w:t>
      </w:r>
      <w:r w:rsidRPr="00170E85">
        <w:t xml:space="preserve"> </w:t>
      </w:r>
      <w:r w:rsidRPr="00D4309F">
        <w:t>Survey</w:t>
      </w:r>
      <w:r w:rsidRPr="00170E85">
        <w:t xml:space="preserve"> </w:t>
      </w:r>
      <w:r w:rsidRPr="00D4309F">
        <w:t>and Terrestrial Vegetation Report. Unpublished report.</w:t>
      </w:r>
    </w:p>
    <w:p w14:paraId="4C8AC153" w14:textId="3E1BC77F" w:rsidR="00725977" w:rsidRPr="00D4309F" w:rsidRDefault="00725977" w:rsidP="00170E85">
      <w:pPr>
        <w:pStyle w:val="BodyText"/>
      </w:pPr>
      <w:r w:rsidRPr="00D4309F">
        <w:t>Maritime</w:t>
      </w:r>
      <w:r w:rsidRPr="00170E85">
        <w:t xml:space="preserve"> </w:t>
      </w:r>
      <w:r w:rsidRPr="00D4309F">
        <w:t>Safety</w:t>
      </w:r>
      <w:r w:rsidRPr="00170E85">
        <w:t xml:space="preserve"> </w:t>
      </w:r>
      <w:r w:rsidRPr="00D4309F">
        <w:t>Queensland.</w:t>
      </w:r>
      <w:r w:rsidRPr="00170E85">
        <w:t xml:space="preserve"> </w:t>
      </w:r>
      <w:r w:rsidRPr="00D4309F">
        <w:t>(2025).</w:t>
      </w:r>
      <w:r w:rsidRPr="00170E85">
        <w:t xml:space="preserve"> </w:t>
      </w:r>
      <w:r w:rsidRPr="00D4309F">
        <w:t>Boating</w:t>
      </w:r>
      <w:r w:rsidRPr="00170E85">
        <w:t xml:space="preserve"> </w:t>
      </w:r>
      <w:r w:rsidRPr="00D4309F">
        <w:t>facilities</w:t>
      </w:r>
      <w:r w:rsidRPr="00170E85">
        <w:t xml:space="preserve"> </w:t>
      </w:r>
      <w:r w:rsidRPr="00D4309F">
        <w:t>–</w:t>
      </w:r>
      <w:r w:rsidRPr="00170E85">
        <w:t xml:space="preserve"> </w:t>
      </w:r>
      <w:r w:rsidRPr="00D4309F">
        <w:t>Sunshine</w:t>
      </w:r>
      <w:r w:rsidRPr="00170E85">
        <w:t xml:space="preserve"> </w:t>
      </w:r>
      <w:r w:rsidRPr="00D4309F">
        <w:t>Coast,</w:t>
      </w:r>
      <w:r w:rsidRPr="00170E85">
        <w:t xml:space="preserve"> </w:t>
      </w:r>
      <w:r w:rsidRPr="00D4309F">
        <w:t>accessed,</w:t>
      </w:r>
      <w:r w:rsidRPr="00170E85">
        <w:t xml:space="preserve"> </w:t>
      </w:r>
      <w:r w:rsidRPr="00D4309F">
        <w:t>3</w:t>
      </w:r>
      <w:r w:rsidRPr="00170E85">
        <w:t xml:space="preserve"> </w:t>
      </w:r>
      <w:r w:rsidRPr="00D4309F">
        <w:t>Oct</w:t>
      </w:r>
      <w:r w:rsidRPr="00170E85">
        <w:t xml:space="preserve"> </w:t>
      </w:r>
      <w:r w:rsidRPr="00D4309F">
        <w:t>2025,</w:t>
      </w:r>
      <w:r w:rsidRPr="00170E85">
        <w:t xml:space="preserve"> </w:t>
      </w:r>
      <w:r w:rsidRPr="00D4309F">
        <w:t xml:space="preserve">from </w:t>
      </w:r>
      <w:hyperlink r:id="rId181">
        <w:r w:rsidRPr="00170E85">
          <w:t>https://www.msq.qld.gov.au/Boating-facilities</w:t>
        </w:r>
      </w:hyperlink>
    </w:p>
    <w:p w14:paraId="0227675F" w14:textId="77777777" w:rsidR="00725977" w:rsidRPr="00D4309F" w:rsidRDefault="00725977" w:rsidP="00170E85">
      <w:pPr>
        <w:pStyle w:val="BodyText"/>
      </w:pPr>
      <w:r w:rsidRPr="00D4309F">
        <w:t>Moore,</w:t>
      </w:r>
      <w:r w:rsidRPr="00170E85">
        <w:t xml:space="preserve"> </w:t>
      </w:r>
      <w:r w:rsidRPr="00D4309F">
        <w:t>A,</w:t>
      </w:r>
      <w:r w:rsidRPr="00170E85">
        <w:t xml:space="preserve"> </w:t>
      </w:r>
      <w:r w:rsidRPr="00D4309F">
        <w:t>Schirmer,</w:t>
      </w:r>
      <w:r w:rsidRPr="00170E85">
        <w:t xml:space="preserve"> </w:t>
      </w:r>
      <w:r w:rsidRPr="00D4309F">
        <w:t>J,</w:t>
      </w:r>
      <w:r w:rsidRPr="00170E85">
        <w:t xml:space="preserve"> </w:t>
      </w:r>
      <w:r w:rsidRPr="00D4309F">
        <w:t>Magnusson,</w:t>
      </w:r>
      <w:r w:rsidRPr="00170E85">
        <w:t xml:space="preserve"> </w:t>
      </w:r>
      <w:r w:rsidRPr="00D4309F">
        <w:t>A,</w:t>
      </w:r>
      <w:r w:rsidRPr="00170E85">
        <w:t xml:space="preserve"> </w:t>
      </w:r>
      <w:r w:rsidRPr="00D4309F">
        <w:t>Keller,</w:t>
      </w:r>
      <w:r w:rsidRPr="00170E85">
        <w:t xml:space="preserve"> </w:t>
      </w:r>
      <w:r w:rsidRPr="00D4309F">
        <w:t>K,</w:t>
      </w:r>
      <w:r w:rsidRPr="00170E85">
        <w:t xml:space="preserve"> </w:t>
      </w:r>
      <w:r w:rsidRPr="00D4309F">
        <w:t>Hinten,</w:t>
      </w:r>
      <w:r w:rsidRPr="00170E85">
        <w:t xml:space="preserve"> </w:t>
      </w:r>
      <w:r w:rsidRPr="00D4309F">
        <w:t>G,</w:t>
      </w:r>
      <w:r w:rsidRPr="00170E85">
        <w:t xml:space="preserve"> </w:t>
      </w:r>
      <w:r w:rsidRPr="00D4309F">
        <w:t>Galeano,</w:t>
      </w:r>
      <w:r w:rsidRPr="00170E85">
        <w:t xml:space="preserve"> </w:t>
      </w:r>
      <w:r w:rsidRPr="00D4309F">
        <w:t>D,</w:t>
      </w:r>
      <w:r w:rsidRPr="00170E85">
        <w:t xml:space="preserve"> </w:t>
      </w:r>
      <w:r w:rsidRPr="00D4309F">
        <w:t>Woodhams,</w:t>
      </w:r>
      <w:r w:rsidRPr="00170E85">
        <w:t xml:space="preserve"> </w:t>
      </w:r>
      <w:r w:rsidRPr="00D4309F">
        <w:t>J,</w:t>
      </w:r>
      <w:r w:rsidRPr="00170E85">
        <w:t xml:space="preserve"> </w:t>
      </w:r>
      <w:r w:rsidRPr="00D4309F">
        <w:t>Wright,</w:t>
      </w:r>
      <w:r w:rsidRPr="00170E85">
        <w:t xml:space="preserve"> </w:t>
      </w:r>
      <w:r w:rsidRPr="00D4309F">
        <w:t>D,</w:t>
      </w:r>
      <w:r w:rsidRPr="00170E85">
        <w:t xml:space="preserve"> </w:t>
      </w:r>
      <w:r w:rsidRPr="00D4309F">
        <w:t>Maloney, L,</w:t>
      </w:r>
      <w:r w:rsidRPr="00170E85">
        <w:t xml:space="preserve"> </w:t>
      </w:r>
      <w:r w:rsidRPr="00D4309F">
        <w:t>FRDC,</w:t>
      </w:r>
      <w:r w:rsidRPr="00170E85">
        <w:t xml:space="preserve"> </w:t>
      </w:r>
      <w:r w:rsidRPr="00D4309F">
        <w:t>ABARES,</w:t>
      </w:r>
      <w:r w:rsidRPr="00170E85">
        <w:t xml:space="preserve"> </w:t>
      </w:r>
      <w:r w:rsidRPr="00D4309F">
        <w:t>UC.</w:t>
      </w:r>
      <w:r w:rsidRPr="00170E85">
        <w:t xml:space="preserve"> </w:t>
      </w:r>
      <w:r w:rsidRPr="00D4309F">
        <w:t>(2023).</w:t>
      </w:r>
      <w:r w:rsidRPr="00170E85">
        <w:t xml:space="preserve"> </w:t>
      </w:r>
      <w:r w:rsidRPr="00D4309F">
        <w:t>National</w:t>
      </w:r>
      <w:r w:rsidRPr="00170E85">
        <w:t xml:space="preserve"> </w:t>
      </w:r>
      <w:r w:rsidRPr="00D4309F">
        <w:t>Social</w:t>
      </w:r>
      <w:r w:rsidRPr="00170E85">
        <w:t xml:space="preserve"> </w:t>
      </w:r>
      <w:r w:rsidRPr="00D4309F">
        <w:t>and</w:t>
      </w:r>
      <w:r w:rsidRPr="00170E85">
        <w:t xml:space="preserve"> </w:t>
      </w:r>
      <w:r w:rsidRPr="00D4309F">
        <w:t>Economic</w:t>
      </w:r>
      <w:r w:rsidRPr="00170E85">
        <w:t xml:space="preserve"> </w:t>
      </w:r>
      <w:r w:rsidRPr="00D4309F">
        <w:t>Survey</w:t>
      </w:r>
      <w:r w:rsidRPr="00170E85">
        <w:t xml:space="preserve"> </w:t>
      </w:r>
      <w:r w:rsidRPr="00D4309F">
        <w:t>of</w:t>
      </w:r>
      <w:r w:rsidRPr="00170E85">
        <w:t xml:space="preserve"> </w:t>
      </w:r>
      <w:r w:rsidRPr="00D4309F">
        <w:t>Recreational</w:t>
      </w:r>
      <w:r w:rsidRPr="00170E85">
        <w:t xml:space="preserve"> </w:t>
      </w:r>
      <w:r w:rsidRPr="00D4309F">
        <w:t>Fishers</w:t>
      </w:r>
      <w:r w:rsidRPr="00170E85">
        <w:t xml:space="preserve"> </w:t>
      </w:r>
      <w:r w:rsidRPr="00D4309F">
        <w:t>2018-2021, February. CC BY 3.0.</w:t>
      </w:r>
    </w:p>
    <w:p w14:paraId="3CB54F4D" w14:textId="77777777" w:rsidR="00725977" w:rsidRPr="00D4309F" w:rsidRDefault="00725977" w:rsidP="00170E85">
      <w:pPr>
        <w:pStyle w:val="BodyText"/>
      </w:pPr>
      <w:r w:rsidRPr="00D4309F">
        <w:t>National</w:t>
      </w:r>
      <w:r w:rsidRPr="00170E85">
        <w:t xml:space="preserve"> </w:t>
      </w:r>
      <w:r w:rsidRPr="00D4309F">
        <w:t>Environment</w:t>
      </w:r>
      <w:r w:rsidRPr="00170E85">
        <w:t xml:space="preserve"> </w:t>
      </w:r>
      <w:r w:rsidRPr="00D4309F">
        <w:t>Protection</w:t>
      </w:r>
      <w:r w:rsidRPr="00170E85">
        <w:t xml:space="preserve"> </w:t>
      </w:r>
      <w:r w:rsidRPr="00D4309F">
        <w:t>Council</w:t>
      </w:r>
      <w:r w:rsidRPr="00170E85">
        <w:t xml:space="preserve"> </w:t>
      </w:r>
      <w:r w:rsidRPr="00D4309F">
        <w:t>(NEPC).</w:t>
      </w:r>
      <w:r w:rsidRPr="00170E85">
        <w:t xml:space="preserve"> </w:t>
      </w:r>
      <w:r w:rsidRPr="00D4309F">
        <w:t>(1999).</w:t>
      </w:r>
      <w:r w:rsidRPr="00170E85">
        <w:t xml:space="preserve"> </w:t>
      </w:r>
      <w:r w:rsidRPr="00D4309F">
        <w:t>National</w:t>
      </w:r>
      <w:r w:rsidRPr="00170E85">
        <w:t xml:space="preserve"> </w:t>
      </w:r>
      <w:r w:rsidRPr="00D4309F">
        <w:t>Environment</w:t>
      </w:r>
      <w:r w:rsidRPr="00170E85">
        <w:t xml:space="preserve"> </w:t>
      </w:r>
      <w:r w:rsidRPr="00D4309F">
        <w:t>Protection</w:t>
      </w:r>
      <w:r w:rsidRPr="00170E85">
        <w:t xml:space="preserve"> </w:t>
      </w:r>
      <w:r w:rsidRPr="00D4309F">
        <w:t>(Assessment</w:t>
      </w:r>
      <w:r w:rsidRPr="00170E85">
        <w:t xml:space="preserve"> </w:t>
      </w:r>
      <w:r w:rsidRPr="00D4309F">
        <w:t xml:space="preserve">of Site Contamination) Measure – Schedule B(1) Guideline on Investigation. Levels for Soil and </w:t>
      </w:r>
      <w:r w:rsidRPr="00170E85">
        <w:t>Groundwater.</w:t>
      </w:r>
    </w:p>
    <w:p w14:paraId="12B001C3" w14:textId="7040607B" w:rsidR="00725977" w:rsidRPr="00D4309F" w:rsidRDefault="00725977" w:rsidP="00170E85">
      <w:pPr>
        <w:pStyle w:val="BodyText"/>
      </w:pPr>
      <w:r w:rsidRPr="00D4309F">
        <w:t>National</w:t>
      </w:r>
      <w:r w:rsidRPr="00170E85">
        <w:t xml:space="preserve"> </w:t>
      </w:r>
      <w:r w:rsidRPr="00D4309F">
        <w:t>Institute</w:t>
      </w:r>
      <w:r w:rsidRPr="00170E85">
        <w:t xml:space="preserve"> </w:t>
      </w:r>
      <w:r w:rsidRPr="00D4309F">
        <w:t>of</w:t>
      </w:r>
      <w:r w:rsidRPr="00170E85">
        <w:t xml:space="preserve"> </w:t>
      </w:r>
      <w:r w:rsidRPr="00D4309F">
        <w:t>Economic</w:t>
      </w:r>
      <w:r w:rsidRPr="00170E85">
        <w:t xml:space="preserve"> </w:t>
      </w:r>
      <w:r w:rsidRPr="00D4309F">
        <w:t>and</w:t>
      </w:r>
      <w:r w:rsidRPr="00170E85">
        <w:t xml:space="preserve"> </w:t>
      </w:r>
      <w:r w:rsidRPr="00D4309F">
        <w:t>Industry</w:t>
      </w:r>
      <w:r w:rsidRPr="00170E85">
        <w:t xml:space="preserve"> </w:t>
      </w:r>
      <w:r w:rsidRPr="00D4309F">
        <w:t>Research</w:t>
      </w:r>
      <w:r w:rsidRPr="00170E85">
        <w:t xml:space="preserve"> </w:t>
      </w:r>
      <w:r w:rsidRPr="00D4309F">
        <w:t>(NIEIR).</w:t>
      </w:r>
      <w:r w:rsidRPr="00170E85">
        <w:t xml:space="preserve"> </w:t>
      </w:r>
      <w:r w:rsidRPr="00D4309F">
        <w:t>(2025).</w:t>
      </w:r>
      <w:r w:rsidRPr="00170E85">
        <w:t xml:space="preserve"> </w:t>
      </w:r>
      <w:r w:rsidRPr="00D4309F">
        <w:t>Compiled</w:t>
      </w:r>
      <w:r w:rsidRPr="00170E85">
        <w:t xml:space="preserve"> </w:t>
      </w:r>
      <w:r w:rsidRPr="00D4309F">
        <w:t>and</w:t>
      </w:r>
      <w:r w:rsidRPr="00170E85">
        <w:t xml:space="preserve"> </w:t>
      </w:r>
      <w:r w:rsidRPr="00D4309F">
        <w:t>presented</w:t>
      </w:r>
      <w:r w:rsidRPr="00170E85">
        <w:t xml:space="preserve"> </w:t>
      </w:r>
      <w:r w:rsidRPr="00D4309F">
        <w:t xml:space="preserve">in economy.id by .id (informed decisions), accessed 3 Oct 2025 from </w:t>
      </w:r>
      <w:hyperlink r:id="rId182">
        <w:r w:rsidRPr="00170E85">
          <w:t>https://economy.id.com.au/sunshine-coast/tourism-value</w:t>
        </w:r>
      </w:hyperlink>
    </w:p>
    <w:p w14:paraId="05405695" w14:textId="77777777" w:rsidR="00725977" w:rsidRPr="00D4309F" w:rsidRDefault="00725977" w:rsidP="00170E85">
      <w:pPr>
        <w:pStyle w:val="BodyText"/>
      </w:pPr>
      <w:r w:rsidRPr="00D4309F">
        <w:t>Pascoe, S. (2019). Recreational beach use values with multiple activities. Ecological Economics, 137-144. Queensland</w:t>
      </w:r>
      <w:r w:rsidRPr="00170E85">
        <w:t xml:space="preserve"> </w:t>
      </w:r>
      <w:r w:rsidRPr="00D4309F">
        <w:t>Herbarium.</w:t>
      </w:r>
      <w:r w:rsidRPr="00170E85">
        <w:t xml:space="preserve"> </w:t>
      </w:r>
      <w:r w:rsidRPr="00D4309F">
        <w:t>(2024).</w:t>
      </w:r>
      <w:r w:rsidRPr="00170E85">
        <w:t xml:space="preserve"> </w:t>
      </w:r>
      <w:r w:rsidRPr="00D4309F">
        <w:t>Regional</w:t>
      </w:r>
      <w:r w:rsidRPr="00170E85">
        <w:t xml:space="preserve"> </w:t>
      </w:r>
      <w:r w:rsidRPr="00D4309F">
        <w:t>Ecosystem</w:t>
      </w:r>
      <w:r w:rsidRPr="00170E85">
        <w:t xml:space="preserve"> </w:t>
      </w:r>
      <w:r w:rsidRPr="00D4309F">
        <w:t>Description</w:t>
      </w:r>
      <w:r w:rsidRPr="00170E85">
        <w:t xml:space="preserve"> </w:t>
      </w:r>
      <w:r w:rsidRPr="00D4309F">
        <w:t>Database</w:t>
      </w:r>
      <w:r w:rsidRPr="00170E85">
        <w:t xml:space="preserve"> </w:t>
      </w:r>
      <w:r w:rsidRPr="00D4309F">
        <w:t>(REDD).</w:t>
      </w:r>
      <w:r w:rsidRPr="00170E85">
        <w:t xml:space="preserve"> </w:t>
      </w:r>
      <w:r w:rsidRPr="00D4309F">
        <w:t>Version</w:t>
      </w:r>
      <w:r w:rsidRPr="00170E85">
        <w:t xml:space="preserve"> </w:t>
      </w:r>
      <w:r w:rsidRPr="00D4309F">
        <w:t>13.1</w:t>
      </w:r>
      <w:r w:rsidRPr="00170E85">
        <w:t xml:space="preserve"> </w:t>
      </w:r>
      <w:r w:rsidRPr="00D4309F">
        <w:t>(October</w:t>
      </w:r>
    </w:p>
    <w:p w14:paraId="10464336" w14:textId="77777777" w:rsidR="00725977" w:rsidRPr="00D4309F" w:rsidRDefault="00725977" w:rsidP="00170E85">
      <w:pPr>
        <w:pStyle w:val="BodyText"/>
      </w:pPr>
      <w:r w:rsidRPr="00D4309F">
        <w:t>2025)</w:t>
      </w:r>
      <w:r w:rsidRPr="00170E85">
        <w:t xml:space="preserve"> </w:t>
      </w:r>
      <w:r w:rsidRPr="00D4309F">
        <w:t>(DESI:</w:t>
      </w:r>
      <w:r w:rsidRPr="00170E85">
        <w:t xml:space="preserve"> Brisbane).</w:t>
      </w:r>
    </w:p>
    <w:p w14:paraId="728D211E" w14:textId="676222C4" w:rsidR="00725977" w:rsidRPr="00D4309F" w:rsidRDefault="00725977" w:rsidP="00170E85">
      <w:pPr>
        <w:pStyle w:val="BodyText"/>
      </w:pPr>
      <w:r w:rsidRPr="00D4309F">
        <w:t>Sunshine</w:t>
      </w:r>
      <w:r w:rsidRPr="00170E85">
        <w:t xml:space="preserve"> </w:t>
      </w:r>
      <w:r w:rsidRPr="00D4309F">
        <w:t>Coast</w:t>
      </w:r>
      <w:r w:rsidRPr="00170E85">
        <w:t xml:space="preserve"> </w:t>
      </w:r>
      <w:r w:rsidRPr="00D4309F">
        <w:t>Council.</w:t>
      </w:r>
      <w:r w:rsidRPr="00170E85">
        <w:t xml:space="preserve"> </w:t>
      </w:r>
      <w:r w:rsidRPr="00D4309F">
        <w:t>(n.d).</w:t>
      </w:r>
      <w:r w:rsidRPr="00170E85">
        <w:t xml:space="preserve"> </w:t>
      </w:r>
      <w:r w:rsidRPr="00D4309F">
        <w:t>Mooloolaba</w:t>
      </w:r>
      <w:r w:rsidRPr="00170E85">
        <w:t xml:space="preserve"> </w:t>
      </w:r>
      <w:r w:rsidRPr="00D4309F">
        <w:t>Harbour</w:t>
      </w:r>
      <w:r w:rsidRPr="00170E85">
        <w:t xml:space="preserve"> </w:t>
      </w:r>
      <w:r w:rsidRPr="00D4309F">
        <w:t>and</w:t>
      </w:r>
      <w:r w:rsidRPr="00170E85">
        <w:t xml:space="preserve"> </w:t>
      </w:r>
      <w:r w:rsidRPr="00D4309F">
        <w:t>Boat</w:t>
      </w:r>
      <w:r w:rsidRPr="00170E85">
        <w:t xml:space="preserve"> </w:t>
      </w:r>
      <w:r w:rsidRPr="00D4309F">
        <w:t>Ramp</w:t>
      </w:r>
      <w:r w:rsidRPr="00170E85">
        <w:t xml:space="preserve"> </w:t>
      </w:r>
      <w:r w:rsidRPr="00D4309F">
        <w:t>Information,</w:t>
      </w:r>
      <w:r w:rsidRPr="00170E85">
        <w:t xml:space="preserve"> </w:t>
      </w:r>
      <w:r w:rsidRPr="00D4309F">
        <w:t>accessed</w:t>
      </w:r>
      <w:r w:rsidRPr="00170E85">
        <w:t xml:space="preserve"> </w:t>
      </w:r>
      <w:r w:rsidRPr="00D4309F">
        <w:t>3</w:t>
      </w:r>
      <w:r w:rsidRPr="00170E85">
        <w:t xml:space="preserve"> </w:t>
      </w:r>
      <w:r w:rsidRPr="00D4309F">
        <w:t>Oct</w:t>
      </w:r>
      <w:r w:rsidRPr="00170E85">
        <w:t xml:space="preserve"> </w:t>
      </w:r>
      <w:r w:rsidRPr="00D4309F">
        <w:t>2025,</w:t>
      </w:r>
      <w:r w:rsidRPr="00170E85">
        <w:t xml:space="preserve"> </w:t>
      </w:r>
      <w:r w:rsidRPr="00D4309F">
        <w:t xml:space="preserve">from </w:t>
      </w:r>
      <w:hyperlink r:id="rId183">
        <w:r w:rsidRPr="00170E85">
          <w:t>https://www.sunshinecoast.qld.gov.au</w:t>
        </w:r>
      </w:hyperlink>
    </w:p>
    <w:p w14:paraId="2B3C6613" w14:textId="3F8B2A6C" w:rsidR="00725977" w:rsidRPr="00D4309F" w:rsidRDefault="00725977" w:rsidP="00170E85">
      <w:pPr>
        <w:pStyle w:val="BodyText"/>
      </w:pPr>
      <w:r w:rsidRPr="00D4309F">
        <w:t>Sunshine Coast Council. (2020). Shorebird Conservation Action Plan. www.\sunshinecoast.qld.gov.au Sunshine</w:t>
      </w:r>
      <w:r w:rsidRPr="00170E85">
        <w:t xml:space="preserve"> </w:t>
      </w:r>
      <w:r w:rsidRPr="00D4309F">
        <w:t>Coast</w:t>
      </w:r>
      <w:r w:rsidRPr="00170E85">
        <w:t xml:space="preserve"> </w:t>
      </w:r>
      <w:r w:rsidRPr="00D4309F">
        <w:t>Council.</w:t>
      </w:r>
      <w:r w:rsidRPr="00170E85">
        <w:t xml:space="preserve"> </w:t>
      </w:r>
      <w:r w:rsidRPr="00D4309F">
        <w:t>(2023a).</w:t>
      </w:r>
      <w:r w:rsidRPr="00170E85">
        <w:t xml:space="preserve"> </w:t>
      </w:r>
      <w:r w:rsidRPr="00D4309F">
        <w:t>Point</w:t>
      </w:r>
      <w:r w:rsidRPr="00170E85">
        <w:t xml:space="preserve"> </w:t>
      </w:r>
      <w:r w:rsidRPr="00D4309F">
        <w:t>Cartwright</w:t>
      </w:r>
      <w:r w:rsidRPr="00170E85">
        <w:t xml:space="preserve"> </w:t>
      </w:r>
      <w:r w:rsidRPr="00D4309F">
        <w:t>Reserve</w:t>
      </w:r>
      <w:r w:rsidRPr="00170E85">
        <w:t xml:space="preserve"> </w:t>
      </w:r>
      <w:r w:rsidRPr="00D4309F">
        <w:t>and</w:t>
      </w:r>
      <w:r w:rsidRPr="00170E85">
        <w:t xml:space="preserve"> </w:t>
      </w:r>
      <w:r w:rsidRPr="00D4309F">
        <w:t>La</w:t>
      </w:r>
      <w:r w:rsidRPr="00170E85">
        <w:t xml:space="preserve"> </w:t>
      </w:r>
      <w:r w:rsidRPr="00D4309F">
        <w:t>Balsa</w:t>
      </w:r>
      <w:r w:rsidRPr="00170E85">
        <w:t xml:space="preserve"> </w:t>
      </w:r>
      <w:r w:rsidRPr="00D4309F">
        <w:t>Park</w:t>
      </w:r>
      <w:r w:rsidRPr="00170E85">
        <w:t xml:space="preserve"> </w:t>
      </w:r>
      <w:r w:rsidRPr="00D4309F">
        <w:t>Masterplan.</w:t>
      </w:r>
      <w:r w:rsidRPr="00170E85">
        <w:t xml:space="preserve"> </w:t>
      </w:r>
      <w:hyperlink r:id="rId184">
        <w:r w:rsidRPr="00D4309F">
          <w:t>Point</w:t>
        </w:r>
        <w:r w:rsidRPr="00170E85">
          <w:t xml:space="preserve"> </w:t>
        </w:r>
        <w:r w:rsidRPr="00D4309F">
          <w:t>Cartwright</w:t>
        </w:r>
      </w:hyperlink>
    </w:p>
    <w:p w14:paraId="4724A937" w14:textId="39DC44BC" w:rsidR="00725977" w:rsidRPr="00D4309F" w:rsidRDefault="00725977" w:rsidP="00170E85">
      <w:pPr>
        <w:pStyle w:val="BodyText"/>
      </w:pPr>
      <w:hyperlink r:id="rId185">
        <w:r w:rsidRPr="00D4309F">
          <w:t>Reserve</w:t>
        </w:r>
        <w:r w:rsidRPr="00170E85">
          <w:t xml:space="preserve"> </w:t>
        </w:r>
        <w:r w:rsidRPr="00D4309F">
          <w:t>La</w:t>
        </w:r>
        <w:r w:rsidRPr="00170E85">
          <w:t xml:space="preserve"> </w:t>
        </w:r>
        <w:r w:rsidRPr="00D4309F">
          <w:t>Balsa</w:t>
        </w:r>
        <w:r w:rsidRPr="00170E85">
          <w:t xml:space="preserve"> </w:t>
        </w:r>
        <w:r w:rsidRPr="00D4309F">
          <w:t>Park</w:t>
        </w:r>
        <w:r w:rsidRPr="00170E85">
          <w:t xml:space="preserve"> </w:t>
        </w:r>
        <w:r w:rsidRPr="00D4309F">
          <w:t>master</w:t>
        </w:r>
        <w:r w:rsidRPr="00170E85">
          <w:t xml:space="preserve"> </w:t>
        </w:r>
        <w:r w:rsidRPr="00D4309F">
          <w:t>plan</w:t>
        </w:r>
        <w:r w:rsidRPr="00170E85">
          <w:t xml:space="preserve"> </w:t>
        </w:r>
        <w:r w:rsidRPr="00D4309F">
          <w:t>|</w:t>
        </w:r>
        <w:r w:rsidRPr="00170E85">
          <w:t xml:space="preserve"> </w:t>
        </w:r>
        <w:r w:rsidRPr="00D4309F">
          <w:t>Sunshine</w:t>
        </w:r>
        <w:r w:rsidRPr="00170E85">
          <w:t xml:space="preserve"> </w:t>
        </w:r>
        <w:r w:rsidRPr="00D4309F">
          <w:t>Coast</w:t>
        </w:r>
        <w:r w:rsidRPr="00170E85">
          <w:t xml:space="preserve"> Council</w:t>
        </w:r>
      </w:hyperlink>
    </w:p>
    <w:p w14:paraId="647C734D" w14:textId="06B85931" w:rsidR="00725977" w:rsidRPr="00D4309F" w:rsidRDefault="00725977" w:rsidP="00170E85">
      <w:pPr>
        <w:pStyle w:val="BodyText"/>
      </w:pPr>
      <w:r w:rsidRPr="00D4309F">
        <w:t>Sunshine</w:t>
      </w:r>
      <w:r w:rsidRPr="00170E85">
        <w:t xml:space="preserve"> </w:t>
      </w:r>
      <w:r w:rsidRPr="00D4309F">
        <w:t>Coast</w:t>
      </w:r>
      <w:r w:rsidRPr="00170E85">
        <w:t xml:space="preserve"> </w:t>
      </w:r>
      <w:r w:rsidRPr="00D4309F">
        <w:t>Council.</w:t>
      </w:r>
      <w:r w:rsidRPr="00170E85">
        <w:t xml:space="preserve"> </w:t>
      </w:r>
      <w:r w:rsidRPr="00D4309F">
        <w:t>(2023b).</w:t>
      </w:r>
      <w:r w:rsidRPr="00170E85">
        <w:t xml:space="preserve"> </w:t>
      </w:r>
      <w:r w:rsidRPr="00D4309F">
        <w:t>Environment</w:t>
      </w:r>
      <w:r w:rsidRPr="00170E85">
        <w:t xml:space="preserve"> </w:t>
      </w:r>
      <w:r w:rsidRPr="00D4309F">
        <w:t>and</w:t>
      </w:r>
      <w:r w:rsidRPr="00170E85">
        <w:t xml:space="preserve"> </w:t>
      </w:r>
      <w:r w:rsidRPr="00D4309F">
        <w:t>Liveability</w:t>
      </w:r>
      <w:r w:rsidRPr="00170E85">
        <w:t xml:space="preserve"> </w:t>
      </w:r>
      <w:r w:rsidRPr="00D4309F">
        <w:t>Strategy</w:t>
      </w:r>
      <w:r w:rsidRPr="00170E85">
        <w:t xml:space="preserve"> </w:t>
      </w:r>
      <w:r w:rsidRPr="00D4309F">
        <w:t>Part</w:t>
      </w:r>
      <w:r w:rsidRPr="00170E85">
        <w:t xml:space="preserve"> </w:t>
      </w:r>
      <w:r w:rsidRPr="00D4309F">
        <w:t>A</w:t>
      </w:r>
      <w:r w:rsidRPr="00170E85">
        <w:t xml:space="preserve"> </w:t>
      </w:r>
      <w:r w:rsidRPr="00D4309F">
        <w:t>2023,</w:t>
      </w:r>
      <w:r w:rsidRPr="00170E85">
        <w:t xml:space="preserve"> </w:t>
      </w:r>
      <w:r w:rsidRPr="00D4309F">
        <w:t>accessed</w:t>
      </w:r>
      <w:r w:rsidRPr="00170E85">
        <w:t xml:space="preserve"> </w:t>
      </w:r>
      <w:r w:rsidRPr="00D4309F">
        <w:t>9</w:t>
      </w:r>
      <w:r w:rsidRPr="00170E85">
        <w:t xml:space="preserve"> </w:t>
      </w:r>
      <w:r w:rsidRPr="00D4309F">
        <w:t xml:space="preserve">October 2025 from </w:t>
      </w:r>
      <w:hyperlink r:id="rId186">
        <w:r w:rsidRPr="00D4309F">
          <w:t>https://assets-au-scc.kc-usercontent.com/330b87ea-148b-3ecf-9857-</w:t>
        </w:r>
      </w:hyperlink>
      <w:hyperlink r:id="rId187">
        <w:r w:rsidRPr="00170E85">
          <w:t>698f2086fe8d/33a9c74f-1311-4d76-bc9a-</w:t>
        </w:r>
      </w:hyperlink>
      <w:hyperlink r:id="rId188">
        <w:r w:rsidRPr="00170E85">
          <w:t>0f0e6e379640/Environment%20and%20Liveability%20Strategy%20PART%20A%202023.pdf</w:t>
        </w:r>
      </w:hyperlink>
    </w:p>
    <w:p w14:paraId="15604663" w14:textId="32ADD2E1" w:rsidR="00725977" w:rsidRPr="00D4309F" w:rsidRDefault="00725977" w:rsidP="00170E85">
      <w:pPr>
        <w:pStyle w:val="BodyText"/>
      </w:pPr>
      <w:r w:rsidRPr="00D4309F">
        <w:t>Sunshine Coast Council. (2024). Vision of beauty: See into foreshore’s fabulous future, accessed on 3 Oct 2025</w:t>
      </w:r>
      <w:r w:rsidRPr="00170E85">
        <w:t xml:space="preserve"> </w:t>
      </w:r>
      <w:r w:rsidRPr="00D4309F">
        <w:t>from</w:t>
      </w:r>
      <w:r w:rsidRPr="00170E85">
        <w:t xml:space="preserve"> </w:t>
      </w:r>
      <w:hyperlink r:id="rId189">
        <w:r w:rsidRPr="00D4309F">
          <w:t>https://www.sunshinecoast.qld.gov.au/news/vision-of-beauty-see-into-foreshore-s-fabulous-</w:t>
        </w:r>
      </w:hyperlink>
      <w:r w:rsidRPr="00170E85">
        <w:t>future</w:t>
      </w:r>
    </w:p>
    <w:p w14:paraId="29790FA5" w14:textId="302BD90B" w:rsidR="00725977" w:rsidRPr="00D4309F" w:rsidRDefault="00725977" w:rsidP="00170E85">
      <w:pPr>
        <w:pStyle w:val="BodyText"/>
      </w:pPr>
      <w:r w:rsidRPr="00D4309F">
        <w:t xml:space="preserve">Sunshine Coast News (2025). Master plan to chart harbour’s future. accessed 3 Oct 2025 from </w:t>
      </w:r>
      <w:hyperlink r:id="rId190">
        <w:r w:rsidRPr="00170E85">
          <w:t>https://www.sunshinecoastnews.com.au/2025/08/11/master-plan-to-chart-harbours-future/</w:t>
        </w:r>
      </w:hyperlink>
    </w:p>
    <w:p w14:paraId="2459F1F4" w14:textId="2DC274DE" w:rsidR="00725977" w:rsidRPr="00D4309F" w:rsidRDefault="00725977" w:rsidP="00170E85">
      <w:pPr>
        <w:pStyle w:val="BodyText"/>
      </w:pPr>
      <w:r w:rsidRPr="00D4309F">
        <w:t>The</w:t>
      </w:r>
      <w:r w:rsidRPr="00170E85">
        <w:t xml:space="preserve"> </w:t>
      </w:r>
      <w:r w:rsidRPr="00D4309F">
        <w:t>Wharf</w:t>
      </w:r>
      <w:r w:rsidRPr="00170E85">
        <w:t xml:space="preserve"> </w:t>
      </w:r>
      <w:r w:rsidRPr="00D4309F">
        <w:t>Mooloolaba.</w:t>
      </w:r>
      <w:r w:rsidRPr="00170E85">
        <w:t xml:space="preserve"> </w:t>
      </w:r>
      <w:r w:rsidRPr="00D4309F">
        <w:t>(2025).</w:t>
      </w:r>
      <w:r w:rsidRPr="00170E85">
        <w:t xml:space="preserve"> </w:t>
      </w:r>
      <w:r w:rsidRPr="00D4309F">
        <w:t>Explore</w:t>
      </w:r>
      <w:r w:rsidRPr="00170E85">
        <w:t xml:space="preserve"> </w:t>
      </w:r>
      <w:r w:rsidRPr="00D4309F">
        <w:t>the</w:t>
      </w:r>
      <w:r w:rsidRPr="00170E85">
        <w:t xml:space="preserve"> </w:t>
      </w:r>
      <w:r w:rsidRPr="00D4309F">
        <w:t>Wharf,</w:t>
      </w:r>
      <w:r w:rsidRPr="00170E85">
        <w:t xml:space="preserve"> </w:t>
      </w:r>
      <w:r w:rsidRPr="00D4309F">
        <w:t>accessed</w:t>
      </w:r>
      <w:r w:rsidRPr="00170E85">
        <w:t xml:space="preserve"> </w:t>
      </w:r>
      <w:r w:rsidRPr="00D4309F">
        <w:t>3</w:t>
      </w:r>
      <w:r w:rsidRPr="00170E85">
        <w:t xml:space="preserve"> </w:t>
      </w:r>
      <w:r w:rsidRPr="00D4309F">
        <w:t>Oct</w:t>
      </w:r>
      <w:r w:rsidRPr="00170E85">
        <w:t xml:space="preserve"> </w:t>
      </w:r>
      <w:r w:rsidRPr="00D4309F">
        <w:t>2025</w:t>
      </w:r>
      <w:r w:rsidRPr="00170E85">
        <w:t xml:space="preserve"> </w:t>
      </w:r>
      <w:r w:rsidRPr="00D4309F">
        <w:t xml:space="preserve">from </w:t>
      </w:r>
      <w:hyperlink r:id="rId191">
        <w:r w:rsidRPr="00170E85">
          <w:t>https://www.wharfmooloolaba.com.au</w:t>
        </w:r>
      </w:hyperlink>
    </w:p>
    <w:p w14:paraId="29A3DC48" w14:textId="57D17EB1" w:rsidR="00725977" w:rsidRPr="00D4309F" w:rsidRDefault="00725977" w:rsidP="00170E85">
      <w:pPr>
        <w:pStyle w:val="BodyText"/>
      </w:pPr>
      <w:r w:rsidRPr="00D4309F">
        <w:t>Tourism</w:t>
      </w:r>
      <w:r w:rsidRPr="00170E85">
        <w:t xml:space="preserve"> </w:t>
      </w:r>
      <w:r w:rsidRPr="00D4309F">
        <w:t>Research</w:t>
      </w:r>
      <w:r w:rsidRPr="00170E85">
        <w:t xml:space="preserve"> </w:t>
      </w:r>
      <w:r w:rsidRPr="00D4309F">
        <w:t>Australia.</w:t>
      </w:r>
      <w:r w:rsidRPr="00170E85">
        <w:t xml:space="preserve"> </w:t>
      </w:r>
      <w:r w:rsidRPr="00D4309F">
        <w:t>(2024).</w:t>
      </w:r>
      <w:r w:rsidRPr="00170E85">
        <w:t xml:space="preserve"> </w:t>
      </w:r>
      <w:r w:rsidRPr="00D4309F">
        <w:t>Local</w:t>
      </w:r>
      <w:r w:rsidRPr="00170E85">
        <w:t xml:space="preserve"> </w:t>
      </w:r>
      <w:r w:rsidRPr="00D4309F">
        <w:t>Government</w:t>
      </w:r>
      <w:r w:rsidRPr="00170E85">
        <w:t xml:space="preserve"> </w:t>
      </w:r>
      <w:r w:rsidRPr="00D4309F">
        <w:t>Area</w:t>
      </w:r>
      <w:r w:rsidRPr="00170E85">
        <w:t xml:space="preserve"> </w:t>
      </w:r>
      <w:r w:rsidRPr="00D4309F">
        <w:t>profiles</w:t>
      </w:r>
      <w:r w:rsidRPr="00170E85">
        <w:t xml:space="preserve"> </w:t>
      </w:r>
      <w:r w:rsidRPr="00D4309F">
        <w:t>–</w:t>
      </w:r>
      <w:r w:rsidRPr="00170E85">
        <w:t xml:space="preserve"> </w:t>
      </w:r>
      <w:r w:rsidRPr="00D4309F">
        <w:t>Sunshine</w:t>
      </w:r>
      <w:r w:rsidRPr="00170E85">
        <w:t xml:space="preserve"> </w:t>
      </w:r>
      <w:r w:rsidRPr="00D4309F">
        <w:t>Coast.</w:t>
      </w:r>
      <w:r w:rsidRPr="00170E85">
        <w:t xml:space="preserve"> </w:t>
      </w:r>
      <w:r w:rsidRPr="00D4309F">
        <w:t>Retrieved</w:t>
      </w:r>
      <w:r w:rsidRPr="00170E85">
        <w:t xml:space="preserve"> </w:t>
      </w:r>
      <w:r w:rsidRPr="00D4309F">
        <w:t xml:space="preserve">October 9, 2025 from </w:t>
      </w:r>
      <w:hyperlink r:id="rId192">
        <w:r w:rsidRPr="00D4309F">
          <w:t>https://www.tra.gov.au/en/regional/local-government-area-profiles</w:t>
        </w:r>
      </w:hyperlink>
    </w:p>
    <w:p w14:paraId="0E468A4E" w14:textId="712A78D9" w:rsidR="00725977" w:rsidRPr="00D4309F" w:rsidRDefault="00725977" w:rsidP="00170E85">
      <w:pPr>
        <w:pStyle w:val="BodyText"/>
      </w:pPr>
      <w:r w:rsidRPr="00D4309F">
        <w:t>Visit</w:t>
      </w:r>
      <w:r w:rsidRPr="00170E85">
        <w:t xml:space="preserve"> </w:t>
      </w:r>
      <w:r w:rsidRPr="00D4309F">
        <w:t>Sunshine</w:t>
      </w:r>
      <w:r w:rsidRPr="00170E85">
        <w:t xml:space="preserve"> </w:t>
      </w:r>
      <w:r w:rsidRPr="00D4309F">
        <w:t>Coast.</w:t>
      </w:r>
      <w:r w:rsidRPr="00170E85">
        <w:t xml:space="preserve"> </w:t>
      </w:r>
      <w:r w:rsidRPr="00D4309F">
        <w:t>(n.d.).</w:t>
      </w:r>
      <w:r w:rsidRPr="00170E85">
        <w:t xml:space="preserve"> </w:t>
      </w:r>
      <w:r w:rsidRPr="00D4309F">
        <w:t>Mooloolaba</w:t>
      </w:r>
      <w:r w:rsidRPr="00170E85">
        <w:t xml:space="preserve"> </w:t>
      </w:r>
      <w:r w:rsidRPr="00D4309F">
        <w:t>–</w:t>
      </w:r>
      <w:r w:rsidRPr="00170E85">
        <w:t xml:space="preserve"> </w:t>
      </w:r>
      <w:r w:rsidRPr="00D4309F">
        <w:t>Places</w:t>
      </w:r>
      <w:r w:rsidRPr="00170E85">
        <w:t xml:space="preserve"> </w:t>
      </w:r>
      <w:r w:rsidRPr="00D4309F">
        <w:t>to</w:t>
      </w:r>
      <w:r w:rsidRPr="00170E85">
        <w:t xml:space="preserve"> </w:t>
      </w:r>
      <w:r w:rsidRPr="00D4309F">
        <w:t>Visit.</w:t>
      </w:r>
      <w:r w:rsidRPr="00170E85">
        <w:t xml:space="preserve"> </w:t>
      </w:r>
      <w:r w:rsidRPr="00D4309F">
        <w:t>Retrieved</w:t>
      </w:r>
      <w:r w:rsidRPr="00170E85">
        <w:t xml:space="preserve"> </w:t>
      </w:r>
      <w:r w:rsidRPr="00D4309F">
        <w:t>October</w:t>
      </w:r>
      <w:r w:rsidRPr="00170E85">
        <w:t xml:space="preserve"> </w:t>
      </w:r>
      <w:r w:rsidRPr="00D4309F">
        <w:t>3,</w:t>
      </w:r>
      <w:r w:rsidRPr="00170E85">
        <w:t xml:space="preserve"> </w:t>
      </w:r>
      <w:r w:rsidRPr="00D4309F">
        <w:t>2025,</w:t>
      </w:r>
      <w:r w:rsidRPr="00170E85">
        <w:t xml:space="preserve"> </w:t>
      </w:r>
      <w:r w:rsidRPr="00D4309F">
        <w:t xml:space="preserve">from </w:t>
      </w:r>
      <w:hyperlink r:id="rId193">
        <w:r w:rsidRPr="00170E85">
          <w:t>https://www.visitsunshinecoast.com/place/mooloolaba</w:t>
        </w:r>
      </w:hyperlink>
    </w:p>
    <w:p w14:paraId="43348523" w14:textId="1ABE299E" w:rsidR="00725977" w:rsidRPr="00D4309F" w:rsidRDefault="00725977" w:rsidP="00170E85">
      <w:pPr>
        <w:pStyle w:val="BodyText"/>
      </w:pPr>
      <w:r w:rsidRPr="00D4309F">
        <w:t>WildNet.</w:t>
      </w:r>
      <w:r w:rsidRPr="00170E85">
        <w:t xml:space="preserve"> </w:t>
      </w:r>
      <w:r w:rsidRPr="00D4309F">
        <w:t>(2025).</w:t>
      </w:r>
      <w:r w:rsidRPr="00170E85">
        <w:t xml:space="preserve"> </w:t>
      </w:r>
      <w:r w:rsidRPr="00D4309F">
        <w:t>WildNet</w:t>
      </w:r>
      <w:r w:rsidRPr="00170E85">
        <w:t xml:space="preserve"> </w:t>
      </w:r>
      <w:r w:rsidRPr="00D4309F">
        <w:t>wildlife</w:t>
      </w:r>
      <w:r w:rsidRPr="00170E85">
        <w:t xml:space="preserve"> </w:t>
      </w:r>
      <w:r w:rsidRPr="00D4309F">
        <w:t>records.</w:t>
      </w:r>
      <w:r w:rsidRPr="00170E85">
        <w:t xml:space="preserve"> </w:t>
      </w:r>
      <w:r w:rsidRPr="00D4309F">
        <w:t>Queensland</w:t>
      </w:r>
      <w:r w:rsidRPr="00170E85">
        <w:t xml:space="preserve"> </w:t>
      </w:r>
      <w:r w:rsidRPr="00D4309F">
        <w:t>Government.</w:t>
      </w:r>
      <w:r w:rsidRPr="00170E85">
        <w:t xml:space="preserve"> </w:t>
      </w:r>
      <w:hyperlink r:id="rId194">
        <w:r w:rsidRPr="00D4309F">
          <w:t>WildNet</w:t>
        </w:r>
        <w:r w:rsidRPr="00170E85">
          <w:t xml:space="preserve"> </w:t>
        </w:r>
        <w:r w:rsidRPr="00D4309F">
          <w:t>wildlife</w:t>
        </w:r>
        <w:r w:rsidRPr="00170E85">
          <w:t xml:space="preserve"> </w:t>
        </w:r>
        <w:r w:rsidRPr="00D4309F">
          <w:t>records</w:t>
        </w:r>
        <w:r w:rsidRPr="00170E85">
          <w:t xml:space="preserve"> </w:t>
        </w:r>
        <w:r w:rsidRPr="00D4309F">
          <w:t>-</w:t>
        </w:r>
        <w:r w:rsidRPr="00170E85">
          <w:t xml:space="preserve"> </w:t>
        </w:r>
        <w:r w:rsidRPr="00D4309F">
          <w:t>published</w:t>
        </w:r>
        <w:r w:rsidRPr="00170E85">
          <w:t xml:space="preserve"> </w:t>
        </w:r>
        <w:r w:rsidRPr="00D4309F">
          <w:t>-</w:t>
        </w:r>
      </w:hyperlink>
      <w:r w:rsidRPr="00D4309F">
        <w:t xml:space="preserve"> </w:t>
      </w:r>
      <w:hyperlink r:id="rId195">
        <w:r w:rsidRPr="00D4309F">
          <w:t>Queensland - Dataset - Open Data Portal | Queensland Government</w:t>
        </w:r>
      </w:hyperlink>
    </w:p>
    <w:p w14:paraId="6692742B" w14:textId="77777777" w:rsidR="00725977" w:rsidRPr="00D4309F" w:rsidRDefault="00725977" w:rsidP="00725977">
      <w:pPr>
        <w:pStyle w:val="BodyText"/>
      </w:pPr>
    </w:p>
    <w:p w14:paraId="1B7F86D7" w14:textId="77777777" w:rsidR="00725977" w:rsidRPr="00DC7917" w:rsidRDefault="00725977" w:rsidP="00DC7917">
      <w:pPr>
        <w:pStyle w:val="BodyText"/>
        <w:pageBreakBefore/>
        <w:rPr>
          <w:b/>
          <w:bCs/>
        </w:rPr>
      </w:pPr>
      <w:r w:rsidRPr="00DC7917">
        <w:rPr>
          <w:b/>
          <w:bCs/>
        </w:rPr>
        <w:lastRenderedPageBreak/>
        <w:t>In-text</w:t>
      </w:r>
      <w:r w:rsidRPr="00DC7917">
        <w:rPr>
          <w:b/>
          <w:bCs/>
          <w:spacing w:val="-4"/>
        </w:rPr>
        <w:t xml:space="preserve"> </w:t>
      </w:r>
      <w:r w:rsidRPr="00DC7917">
        <w:rPr>
          <w:b/>
          <w:bCs/>
        </w:rPr>
        <w:t>citations:</w:t>
      </w:r>
    </w:p>
    <w:p w14:paraId="0664AB31" w14:textId="77777777" w:rsidR="00725977" w:rsidRPr="00D4309F" w:rsidRDefault="00725977" w:rsidP="00725977">
      <w:pPr>
        <w:pStyle w:val="BodyText"/>
      </w:pPr>
      <w:r w:rsidRPr="00D4309F">
        <w:t>BMT,</w:t>
      </w:r>
      <w:r w:rsidRPr="00D4309F">
        <w:rPr>
          <w:spacing w:val="-3"/>
        </w:rPr>
        <w:t xml:space="preserve"> </w:t>
      </w:r>
      <w:r w:rsidRPr="00D4309F">
        <w:rPr>
          <w:spacing w:val="-4"/>
        </w:rPr>
        <w:t>2014</w:t>
      </w:r>
    </w:p>
    <w:p w14:paraId="56D5F7B3" w14:textId="77777777" w:rsidR="00DC7917" w:rsidRPr="00D4309F" w:rsidRDefault="00DC7917" w:rsidP="00DC7917">
      <w:pPr>
        <w:pStyle w:val="BodyText"/>
      </w:pPr>
      <w:r w:rsidRPr="00D4309F">
        <w:t>BMT,</w:t>
      </w:r>
      <w:r w:rsidRPr="00D4309F">
        <w:rPr>
          <w:spacing w:val="-3"/>
        </w:rPr>
        <w:t xml:space="preserve"> </w:t>
      </w:r>
      <w:r w:rsidRPr="00D4309F">
        <w:rPr>
          <w:spacing w:val="-4"/>
        </w:rPr>
        <w:t>2018</w:t>
      </w:r>
    </w:p>
    <w:p w14:paraId="698C7341" w14:textId="77777777" w:rsidR="00DC7917" w:rsidRPr="00D4309F" w:rsidRDefault="00DC7917" w:rsidP="00DC7917">
      <w:pPr>
        <w:pStyle w:val="BodyText"/>
      </w:pPr>
      <w:r w:rsidRPr="00D4309F">
        <w:t>BMT,</w:t>
      </w:r>
      <w:r w:rsidRPr="00D4309F">
        <w:rPr>
          <w:spacing w:val="-3"/>
        </w:rPr>
        <w:t xml:space="preserve"> </w:t>
      </w:r>
      <w:r w:rsidRPr="00D4309F">
        <w:rPr>
          <w:spacing w:val="-4"/>
        </w:rPr>
        <w:t>2024</w:t>
      </w:r>
    </w:p>
    <w:p w14:paraId="4C2E6DAA" w14:textId="35394597" w:rsidR="00DC7917" w:rsidRPr="00D4309F" w:rsidRDefault="00DC7917" w:rsidP="00DC7917">
      <w:pPr>
        <w:pStyle w:val="BodyText"/>
      </w:pPr>
      <w:r w:rsidRPr="00D4309F">
        <w:t>BMT</w:t>
      </w:r>
      <w:r w:rsidRPr="00D4309F">
        <w:rPr>
          <w:spacing w:val="-3"/>
        </w:rPr>
        <w:t xml:space="preserve"> </w:t>
      </w:r>
      <w:r w:rsidRPr="00D4309F">
        <w:t>Pty</w:t>
      </w:r>
      <w:r w:rsidRPr="00D4309F">
        <w:rPr>
          <w:spacing w:val="-3"/>
        </w:rPr>
        <w:t xml:space="preserve"> </w:t>
      </w:r>
      <w:r w:rsidRPr="00D4309F">
        <w:t>Ltd,</w:t>
      </w:r>
      <w:r w:rsidRPr="00D4309F">
        <w:rPr>
          <w:spacing w:val="-2"/>
        </w:rPr>
        <w:t xml:space="preserve"> 19/2/2024</w:t>
      </w:r>
    </w:p>
    <w:p w14:paraId="2C31DF90" w14:textId="77777777" w:rsidR="00DC7917" w:rsidRPr="00D4309F" w:rsidRDefault="00DC7917" w:rsidP="00DC7917">
      <w:pPr>
        <w:pStyle w:val="BodyText"/>
      </w:pPr>
      <w:r w:rsidRPr="00D4309F">
        <w:t>Castelle et al., 2009 Cowper</w:t>
      </w:r>
      <w:r w:rsidRPr="00D4309F">
        <w:rPr>
          <w:spacing w:val="-11"/>
        </w:rPr>
        <w:t xml:space="preserve"> </w:t>
      </w:r>
      <w:r w:rsidRPr="00D4309F">
        <w:t>&amp;</w:t>
      </w:r>
      <w:r w:rsidRPr="00D4309F">
        <w:rPr>
          <w:spacing w:val="-12"/>
        </w:rPr>
        <w:t xml:space="preserve"> </w:t>
      </w:r>
      <w:r w:rsidRPr="00D4309F">
        <w:t>Nankervis,</w:t>
      </w:r>
      <w:r w:rsidRPr="00D4309F">
        <w:rPr>
          <w:spacing w:val="-12"/>
        </w:rPr>
        <w:t xml:space="preserve"> </w:t>
      </w:r>
      <w:r w:rsidRPr="00D4309F">
        <w:t>1997</w:t>
      </w:r>
    </w:p>
    <w:p w14:paraId="6BD41690" w14:textId="77777777" w:rsidR="006039A9" w:rsidRDefault="00DC7917" w:rsidP="00DC7917">
      <w:pPr>
        <w:pStyle w:val="BodyText"/>
      </w:pPr>
      <w:r w:rsidRPr="00D4309F">
        <w:t>Department</w:t>
      </w:r>
      <w:r w:rsidRPr="00D4309F">
        <w:rPr>
          <w:spacing w:val="-7"/>
        </w:rPr>
        <w:t xml:space="preserve"> </w:t>
      </w:r>
      <w:r w:rsidRPr="00D4309F">
        <w:t>of</w:t>
      </w:r>
      <w:r w:rsidRPr="00D4309F">
        <w:rPr>
          <w:spacing w:val="-7"/>
        </w:rPr>
        <w:t xml:space="preserve"> </w:t>
      </w:r>
      <w:r w:rsidRPr="00D4309F">
        <w:t>Harbours</w:t>
      </w:r>
      <w:r w:rsidRPr="00D4309F">
        <w:rPr>
          <w:spacing w:val="-6"/>
        </w:rPr>
        <w:t xml:space="preserve"> </w:t>
      </w:r>
      <w:r w:rsidRPr="00D4309F">
        <w:t>and</w:t>
      </w:r>
      <w:r w:rsidRPr="00D4309F">
        <w:rPr>
          <w:spacing w:val="-7"/>
        </w:rPr>
        <w:t xml:space="preserve"> </w:t>
      </w:r>
      <w:r w:rsidRPr="00D4309F">
        <w:t>Marine,</w:t>
      </w:r>
      <w:r w:rsidRPr="00D4309F">
        <w:rPr>
          <w:spacing w:val="-7"/>
        </w:rPr>
        <w:t xml:space="preserve"> </w:t>
      </w:r>
      <w:r w:rsidRPr="00D4309F">
        <w:t xml:space="preserve">1987 </w:t>
      </w:r>
    </w:p>
    <w:p w14:paraId="32672191" w14:textId="77777777" w:rsidR="006039A9" w:rsidRDefault="00DC7917" w:rsidP="00DC7917">
      <w:pPr>
        <w:pStyle w:val="BodyText"/>
      </w:pPr>
      <w:r w:rsidRPr="00D4309F">
        <w:t xml:space="preserve">Ex-Tropical Cyclone Oswald (2013) </w:t>
      </w:r>
    </w:p>
    <w:p w14:paraId="105A51C3" w14:textId="4AA83787" w:rsidR="00DC7917" w:rsidRPr="00D4309F" w:rsidRDefault="00DC7917" w:rsidP="00DC7917">
      <w:pPr>
        <w:pStyle w:val="BodyText"/>
      </w:pPr>
      <w:r w:rsidRPr="00D4309F">
        <w:rPr>
          <w:spacing w:val="-2"/>
        </w:rPr>
        <w:t>GHD,2021</w:t>
      </w:r>
    </w:p>
    <w:p w14:paraId="73FF4D06" w14:textId="77777777" w:rsidR="00DC7917" w:rsidRPr="00D4309F" w:rsidRDefault="00DC7917" w:rsidP="00DC7917">
      <w:pPr>
        <w:pStyle w:val="BodyText"/>
      </w:pPr>
      <w:r w:rsidRPr="00D4309F">
        <w:t>Hall,</w:t>
      </w:r>
      <w:r w:rsidRPr="00D4309F">
        <w:rPr>
          <w:spacing w:val="-3"/>
        </w:rPr>
        <w:t xml:space="preserve"> </w:t>
      </w:r>
      <w:r w:rsidRPr="00D4309F">
        <w:rPr>
          <w:spacing w:val="-4"/>
        </w:rPr>
        <w:t>2025</w:t>
      </w:r>
    </w:p>
    <w:p w14:paraId="243ADF4F" w14:textId="77777777" w:rsidR="00DC7917" w:rsidRPr="00D4309F" w:rsidRDefault="00DC7917" w:rsidP="00DC7917">
      <w:pPr>
        <w:pStyle w:val="BodyText"/>
      </w:pPr>
      <w:r w:rsidRPr="00D4309F">
        <w:t>ICM,</w:t>
      </w:r>
      <w:r w:rsidRPr="00D4309F">
        <w:rPr>
          <w:spacing w:val="-3"/>
        </w:rPr>
        <w:t xml:space="preserve"> </w:t>
      </w:r>
      <w:r w:rsidRPr="00D4309F">
        <w:rPr>
          <w:spacing w:val="-4"/>
        </w:rPr>
        <w:t>2017</w:t>
      </w:r>
    </w:p>
    <w:p w14:paraId="0195A48F" w14:textId="77777777" w:rsidR="00DC7917" w:rsidRPr="00D4309F" w:rsidRDefault="00DC7917" w:rsidP="00DC7917">
      <w:pPr>
        <w:pStyle w:val="BodyText"/>
      </w:pPr>
      <w:r w:rsidRPr="00D4309F">
        <w:t>ICM,</w:t>
      </w:r>
      <w:r w:rsidRPr="00D4309F">
        <w:rPr>
          <w:spacing w:val="-3"/>
        </w:rPr>
        <w:t xml:space="preserve"> </w:t>
      </w:r>
      <w:r w:rsidRPr="00D4309F">
        <w:rPr>
          <w:spacing w:val="-4"/>
        </w:rPr>
        <w:t>2024</w:t>
      </w:r>
    </w:p>
    <w:p w14:paraId="64D6A0AB" w14:textId="77777777" w:rsidR="00DC7917" w:rsidRPr="00D4309F" w:rsidRDefault="00DC7917" w:rsidP="00DC7917">
      <w:pPr>
        <w:pStyle w:val="BodyText"/>
      </w:pPr>
      <w:r w:rsidRPr="00D4309F">
        <w:t>ICM,</w:t>
      </w:r>
      <w:r w:rsidRPr="00D4309F">
        <w:rPr>
          <w:spacing w:val="-3"/>
        </w:rPr>
        <w:t xml:space="preserve"> </w:t>
      </w:r>
      <w:r w:rsidRPr="00D4309F">
        <w:rPr>
          <w:spacing w:val="-4"/>
        </w:rPr>
        <w:t>2025</w:t>
      </w:r>
    </w:p>
    <w:p w14:paraId="18DEAC19" w14:textId="77777777" w:rsidR="00DC7917" w:rsidRPr="00D4309F" w:rsidRDefault="00DC7917" w:rsidP="00DC7917">
      <w:pPr>
        <w:pStyle w:val="BodyText"/>
      </w:pPr>
      <w:r w:rsidRPr="00D4309F">
        <w:t>Jackson,</w:t>
      </w:r>
      <w:r w:rsidRPr="00D4309F">
        <w:rPr>
          <w:spacing w:val="-5"/>
        </w:rPr>
        <w:t xml:space="preserve"> </w:t>
      </w:r>
      <w:r w:rsidRPr="00D4309F">
        <w:rPr>
          <w:spacing w:val="-4"/>
        </w:rPr>
        <w:t>2023</w:t>
      </w:r>
    </w:p>
    <w:p w14:paraId="317CF035" w14:textId="77777777" w:rsidR="00DC7917" w:rsidRPr="00D4309F" w:rsidRDefault="00DC7917" w:rsidP="00DC7917">
      <w:pPr>
        <w:pStyle w:val="BodyText"/>
      </w:pPr>
      <w:r w:rsidRPr="00D4309F">
        <w:t>Lazarow,</w:t>
      </w:r>
      <w:r w:rsidRPr="00D4309F">
        <w:rPr>
          <w:spacing w:val="-4"/>
        </w:rPr>
        <w:t xml:space="preserve"> 2007</w:t>
      </w:r>
    </w:p>
    <w:p w14:paraId="2117F2C7" w14:textId="77777777" w:rsidR="00DC7917" w:rsidRPr="00D4309F" w:rsidRDefault="00DC7917" w:rsidP="00DC7917">
      <w:pPr>
        <w:pStyle w:val="BodyText"/>
      </w:pPr>
      <w:r w:rsidRPr="00D4309F">
        <w:t>Legislative</w:t>
      </w:r>
      <w:r w:rsidRPr="00D4309F">
        <w:rPr>
          <w:spacing w:val="-5"/>
        </w:rPr>
        <w:t xml:space="preserve"> </w:t>
      </w:r>
      <w:r w:rsidRPr="00D4309F">
        <w:t>Framework</w:t>
      </w:r>
      <w:r w:rsidRPr="00D4309F">
        <w:rPr>
          <w:spacing w:val="-4"/>
        </w:rPr>
        <w:t xml:space="preserve"> </w:t>
      </w:r>
      <w:r w:rsidRPr="00D4309F">
        <w:t>and</w:t>
      </w:r>
      <w:r w:rsidRPr="00D4309F">
        <w:rPr>
          <w:spacing w:val="-6"/>
        </w:rPr>
        <w:t xml:space="preserve"> </w:t>
      </w:r>
      <w:r w:rsidRPr="00D4309F">
        <w:t>Generic</w:t>
      </w:r>
      <w:r w:rsidRPr="00D4309F">
        <w:rPr>
          <w:spacing w:val="-4"/>
        </w:rPr>
        <w:t xml:space="preserve"> </w:t>
      </w:r>
      <w:r w:rsidRPr="00D4309F">
        <w:t>Shoreline</w:t>
      </w:r>
      <w:r w:rsidRPr="00D4309F">
        <w:rPr>
          <w:spacing w:val="-5"/>
        </w:rPr>
        <w:t xml:space="preserve"> </w:t>
      </w:r>
      <w:r w:rsidRPr="00D4309F">
        <w:t>Management</w:t>
      </w:r>
      <w:r w:rsidRPr="00D4309F">
        <w:rPr>
          <w:spacing w:val="-5"/>
        </w:rPr>
        <w:t xml:space="preserve"> </w:t>
      </w:r>
      <w:r w:rsidRPr="00D4309F">
        <w:t>Options</w:t>
      </w:r>
      <w:r w:rsidRPr="00D4309F">
        <w:rPr>
          <w:spacing w:val="-4"/>
        </w:rPr>
        <w:t xml:space="preserve"> </w:t>
      </w:r>
      <w:r w:rsidRPr="00D4309F">
        <w:t>(2013) Placemaking Mooloolaba master plan</w:t>
      </w:r>
    </w:p>
    <w:p w14:paraId="2EC987BF" w14:textId="77777777" w:rsidR="00DC7917" w:rsidRPr="00D4309F" w:rsidRDefault="00DC7917" w:rsidP="00DC7917">
      <w:pPr>
        <w:pStyle w:val="BodyText"/>
      </w:pPr>
      <w:r w:rsidRPr="00D4309F">
        <w:t>Shoreline</w:t>
      </w:r>
      <w:r w:rsidRPr="00D4309F">
        <w:rPr>
          <w:spacing w:val="-11"/>
        </w:rPr>
        <w:t xml:space="preserve"> </w:t>
      </w:r>
      <w:r w:rsidRPr="00D4309F">
        <w:t>erosion</w:t>
      </w:r>
      <w:r w:rsidRPr="00D4309F">
        <w:rPr>
          <w:spacing w:val="-11"/>
        </w:rPr>
        <w:t xml:space="preserve"> </w:t>
      </w:r>
      <w:r w:rsidRPr="00D4309F">
        <w:t>management</w:t>
      </w:r>
      <w:r w:rsidRPr="00D4309F">
        <w:rPr>
          <w:spacing w:val="-11"/>
        </w:rPr>
        <w:t xml:space="preserve"> </w:t>
      </w:r>
      <w:r w:rsidRPr="00D4309F">
        <w:t>plan SSPL, 1994</w:t>
      </w:r>
    </w:p>
    <w:p w14:paraId="46D0547E" w14:textId="77777777" w:rsidR="00213A04" w:rsidRDefault="00DC7917" w:rsidP="00DC7917">
      <w:pPr>
        <w:pStyle w:val="BodyText"/>
      </w:pPr>
      <w:r w:rsidRPr="00D4309F">
        <w:t xml:space="preserve">Sand Slurry Systems, 2025 </w:t>
      </w:r>
    </w:p>
    <w:p w14:paraId="0C6B02D8" w14:textId="77777777" w:rsidR="00213A04" w:rsidRDefault="00DC7917" w:rsidP="00DC7917">
      <w:pPr>
        <w:pStyle w:val="BodyText"/>
      </w:pPr>
      <w:r w:rsidRPr="00D4309F">
        <w:t>Tweed</w:t>
      </w:r>
      <w:r w:rsidRPr="00D4309F">
        <w:rPr>
          <w:spacing w:val="-11"/>
        </w:rPr>
        <w:t xml:space="preserve"> </w:t>
      </w:r>
      <w:r w:rsidRPr="00D4309F">
        <w:t>Sand</w:t>
      </w:r>
      <w:r w:rsidRPr="00D4309F">
        <w:rPr>
          <w:spacing w:val="-12"/>
        </w:rPr>
        <w:t xml:space="preserve"> </w:t>
      </w:r>
      <w:r w:rsidRPr="00D4309F">
        <w:t>Bypassing,</w:t>
      </w:r>
      <w:r w:rsidRPr="00D4309F">
        <w:rPr>
          <w:spacing w:val="-11"/>
        </w:rPr>
        <w:t xml:space="preserve"> </w:t>
      </w:r>
      <w:r w:rsidRPr="00D4309F">
        <w:t xml:space="preserve">2025 </w:t>
      </w:r>
    </w:p>
    <w:p w14:paraId="046980DC" w14:textId="1E9D1CEA" w:rsidR="00DC7917" w:rsidRPr="00D4309F" w:rsidRDefault="00DC7917" w:rsidP="00DC7917">
      <w:pPr>
        <w:pStyle w:val="BodyText"/>
      </w:pPr>
      <w:r w:rsidRPr="00D4309F">
        <w:t>WBM, 2004</w:t>
      </w:r>
    </w:p>
    <w:p w14:paraId="133A9D79" w14:textId="6538787A" w:rsidR="00725977" w:rsidRDefault="00DC7917" w:rsidP="006039A9">
      <w:pPr>
        <w:pStyle w:val="BodyText"/>
        <w:rPr>
          <w:spacing w:val="-4"/>
        </w:rPr>
      </w:pPr>
      <w:r w:rsidRPr="00D4309F">
        <w:t>WBM,</w:t>
      </w:r>
      <w:r w:rsidRPr="00D4309F">
        <w:rPr>
          <w:spacing w:val="-3"/>
        </w:rPr>
        <w:t xml:space="preserve"> </w:t>
      </w:r>
      <w:r w:rsidRPr="00D4309F">
        <w:rPr>
          <w:spacing w:val="-4"/>
        </w:rPr>
        <w:t>2005</w:t>
      </w:r>
    </w:p>
    <w:p w14:paraId="61480221" w14:textId="77777777" w:rsidR="00F502D3" w:rsidRDefault="00F502D3" w:rsidP="006039A9">
      <w:pPr>
        <w:pStyle w:val="BodyText"/>
        <w:rPr>
          <w:spacing w:val="-4"/>
        </w:rPr>
      </w:pPr>
    </w:p>
    <w:p w14:paraId="1C06F056" w14:textId="21602C1A" w:rsidR="00F502D3" w:rsidRDefault="00471993" w:rsidP="002361D8">
      <w:pPr>
        <w:pStyle w:val="Heading9"/>
        <w:rPr>
          <w:rFonts w:hint="eastAsia"/>
        </w:rPr>
      </w:pPr>
      <w:bookmarkStart w:id="583" w:name="_Ref216691191"/>
      <w:bookmarkStart w:id="584" w:name="_Toc216699633"/>
      <w:r w:rsidRPr="00A71BE4">
        <w:lastRenderedPageBreak/>
        <w:t>EPBC Act Protected Matters Search Tool,</w:t>
      </w:r>
      <w:r w:rsidR="00A71BE4" w:rsidRPr="00A71BE4">
        <w:t xml:space="preserve"> </w:t>
      </w:r>
      <w:r w:rsidRPr="00A71BE4">
        <w:t>WildNet search results and ATLAS of</w:t>
      </w:r>
      <w:r w:rsidR="00A71BE4" w:rsidRPr="00A71BE4">
        <w:t xml:space="preserve"> </w:t>
      </w:r>
      <w:r w:rsidRPr="00A71BE4">
        <w:t>Living Australia search results</w:t>
      </w:r>
      <w:bookmarkEnd w:id="583"/>
      <w:bookmarkEnd w:id="584"/>
    </w:p>
    <w:p w14:paraId="0329BD85" w14:textId="77777777" w:rsidR="00D81778" w:rsidRDefault="00D81778" w:rsidP="00D81778">
      <w:pPr>
        <w:pStyle w:val="BodyText"/>
      </w:pPr>
    </w:p>
    <w:p w14:paraId="7B497A8A" w14:textId="08A22144" w:rsidR="00D81778" w:rsidRDefault="005138F8" w:rsidP="005138F8">
      <w:pPr>
        <w:pStyle w:val="Heading9"/>
        <w:rPr>
          <w:rFonts w:hint="eastAsia"/>
        </w:rPr>
      </w:pPr>
      <w:bookmarkStart w:id="585" w:name="_Toc216699634"/>
      <w:r>
        <w:lastRenderedPageBreak/>
        <w:t>Social Impact Evaluation</w:t>
      </w:r>
      <w:bookmarkEnd w:id="585"/>
    </w:p>
    <w:p w14:paraId="3DEB2CF0" w14:textId="77777777" w:rsidR="005138F8" w:rsidRDefault="005138F8" w:rsidP="005138F8">
      <w:pPr>
        <w:pStyle w:val="BodyText"/>
      </w:pPr>
    </w:p>
    <w:p w14:paraId="44253EC8" w14:textId="0251468D" w:rsidR="005138F8" w:rsidRPr="005138F8" w:rsidRDefault="007247EA" w:rsidP="007247EA">
      <w:pPr>
        <w:pStyle w:val="Heading9"/>
        <w:rPr>
          <w:rFonts w:hint="eastAsia"/>
        </w:rPr>
      </w:pPr>
      <w:bookmarkStart w:id="586" w:name="_Toc216699635"/>
      <w:r>
        <w:lastRenderedPageBreak/>
        <w:t>Other relevant project examples</w:t>
      </w:r>
      <w:bookmarkEnd w:id="586"/>
    </w:p>
    <w:sectPr w:rsidR="005138F8" w:rsidRPr="005138F8" w:rsidSect="00AE5C6B">
      <w:headerReference w:type="default" r:id="rId196"/>
      <w:footerReference w:type="default" r:id="rId197"/>
      <w:pgSz w:w="11906" w:h="16838" w:code="9"/>
      <w:pgMar w:top="1418" w:right="1134" w:bottom="1418" w:left="1134" w:header="90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53DB3E" w14:textId="77777777" w:rsidR="00625A5F" w:rsidRPr="00D4309F" w:rsidRDefault="00625A5F" w:rsidP="009E4B94">
      <w:pPr>
        <w:spacing w:line="240" w:lineRule="auto"/>
      </w:pPr>
      <w:r w:rsidRPr="00D4309F">
        <w:separator/>
      </w:r>
    </w:p>
  </w:endnote>
  <w:endnote w:type="continuationSeparator" w:id="0">
    <w:p w14:paraId="51CACD93" w14:textId="77777777" w:rsidR="00625A5F" w:rsidRPr="00D4309F" w:rsidRDefault="00625A5F" w:rsidP="009E4B94">
      <w:pPr>
        <w:spacing w:line="240" w:lineRule="auto"/>
      </w:pPr>
      <w:r w:rsidRPr="00D4309F">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Bold">
    <w:altName w:val="Arial"/>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Source Sans Pro">
    <w:charset w:val="00"/>
    <w:family w:val="swiss"/>
    <w:pitch w:val="variable"/>
    <w:sig w:usb0="600002F7" w:usb1="02000001"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ZWAdobeF">
    <w:panose1 w:val="00000000000000000000"/>
    <w:charset w:val="00"/>
    <w:family w:val="auto"/>
    <w:pitch w:val="variable"/>
    <w:sig w:usb0="20002A87" w:usb1="00000000" w:usb2="00000000"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B5BF85" w14:textId="1EB4551B" w:rsidR="009D1FCB" w:rsidRPr="00D4309F" w:rsidRDefault="009A5848" w:rsidP="0085305A">
    <w:pPr>
      <w:pStyle w:val="Template-Web"/>
      <w:jc w:val="right"/>
    </w:pPr>
    <w:sdt>
      <w:sdtPr>
        <w:alias w:val="{{UserProfile.Entity.WebShort}}"/>
        <w:tag w:val="{&quot;templafy&quot;:{&quot;id&quot;:&quot;adae0dc2-a7d0-482b-8a75-f4781f9d3029&quot;}}"/>
        <w:id w:val="1200274604"/>
        <w:placeholder>
          <w:docPart w:val="25BE975071944E0B8CB171421110E4A6"/>
        </w:placeholder>
      </w:sdtPr>
      <w:sdtEndPr/>
      <w:sdtContent>
        <w:r w:rsidR="00F82FFB">
          <w:t>rpsgroup</w:t>
        </w:r>
        <w:r w:rsidR="00D4309F" w:rsidRPr="00D4309F">
          <w:t>.com</w:t>
        </w:r>
      </w:sdtContent>
    </w:sdt>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ED6970" w14:textId="3A485938" w:rsidR="000E1EDA" w:rsidRPr="00D4309F" w:rsidRDefault="000E1EDA" w:rsidP="000E1EDA">
    <w:pPr>
      <w:pStyle w:val="FooterBorder"/>
    </w:pPr>
    <w:r w:rsidRPr="00D4309F">
      <w:fldChar w:fldCharType="begin"/>
    </w:r>
    <w:r w:rsidRPr="00D4309F">
      <w:instrText xml:space="preserve"> STYLEREF  "Project reference" </w:instrText>
    </w:r>
    <w:r w:rsidRPr="00D4309F">
      <w:fldChar w:fldCharType="separate"/>
    </w:r>
    <w:r w:rsidR="009670FC">
      <w:rPr>
        <w:noProof/>
      </w:rPr>
      <w:t>604-OEENVBNE-420124</w:t>
    </w:r>
    <w:r w:rsidRPr="00D4309F">
      <w:fldChar w:fldCharType="end"/>
    </w:r>
    <w:r w:rsidRPr="00D4309F">
      <w:t xml:space="preserve">  |  </w:t>
    </w:r>
    <w:sdt>
      <w:sdtPr>
        <w:alias w:val="{{Form.Title}}"/>
        <w:tag w:val="{&quot;templafy&quot;:{&quot;id&quot;:&quot;cb3839a9-37c1-4559-bdcc-b4d8ea546739&quot;}}"/>
        <w:id w:val="1013034251"/>
        <w:placeholder>
          <w:docPart w:val="5A039F7B284446A19392821540AD4920"/>
        </w:placeholder>
      </w:sdtPr>
      <w:sdtEndPr/>
      <w:sdtContent>
        <w:r w:rsidRPr="00D4309F">
          <w:t>MOOLOOLABA BOAT HARBOUR ENTRANCE INDEPENDENT REVIEW</w:t>
        </w:r>
      </w:sdtContent>
    </w:sdt>
    <w:r w:rsidRPr="00D4309F">
      <w:t xml:space="preserve">  |  </w:t>
    </w:r>
    <w:fldSimple w:instr=" STYLEREF  &quot;Project date&quot;  \* MERGEFORMAT ">
      <w:r w:rsidR="009670FC">
        <w:rPr>
          <w:noProof/>
        </w:rPr>
        <w:t>15 December 2025</w:t>
      </w:r>
    </w:fldSimple>
    <w:r w:rsidRPr="00D4309F">
      <w:t xml:space="preserve">  |  </w:t>
    </w:r>
    <w:sdt>
      <w:sdtPr>
        <w:alias w:val="{{Form.Version}}"/>
        <w:tag w:val="{&quot;templafy&quot;:{&quot;id&quot;:&quot;c1c6bc0a-9dfa-453a-9dbf-62e39b91b29a&quot;}}"/>
        <w:id w:val="-206410310"/>
        <w:placeholder>
          <w:docPart w:val="159BA9E782864F9FB79027659791EC65"/>
        </w:placeholder>
      </w:sdtPr>
      <w:sdtEndPr/>
      <w:sdtContent>
        <w:r w:rsidR="006A63A5">
          <w:t>1.0</w:t>
        </w:r>
      </w:sdtContent>
    </w:sdt>
    <w:r w:rsidRPr="00D4309F">
      <w:t xml:space="preserve">  |  </w:t>
    </w:r>
    <w:sdt>
      <w:sdtPr>
        <w:alias w:val="{{Form.BIM_Number}}"/>
        <w:tag w:val="{&quot;templafy&quot;:{&quot;id&quot;:&quot;6c2c5493-bab6-48cb-90fc-06e67fec9635&quot;}}"/>
        <w:id w:val="-982769669"/>
        <w:placeholder>
          <w:docPart w:val="4F587689D428495BBABB71B421C1E477"/>
        </w:placeholder>
      </w:sdtPr>
      <w:sdtEndPr/>
      <w:sdtContent>
        <w:r w:rsidRPr="00D4309F">
          <w:t>​</w:t>
        </w:r>
      </w:sdtContent>
    </w:sdt>
  </w:p>
  <w:p w14:paraId="62F2D815" w14:textId="3ABFF8C8" w:rsidR="000E1EDA" w:rsidRPr="00D4309F" w:rsidRDefault="000E1EDA" w:rsidP="000E1EDA">
    <w:pPr>
      <w:pStyle w:val="Template-Web"/>
      <w:tabs>
        <w:tab w:val="clear" w:pos="4819"/>
      </w:tabs>
    </w:pPr>
    <w:r w:rsidRPr="00D4309F">
      <w:rPr>
        <w:noProof/>
      </w:rPr>
      <mc:AlternateContent>
        <mc:Choice Requires="wps">
          <w:drawing>
            <wp:anchor distT="0" distB="0" distL="114300" distR="114300" simplePos="0" relativeHeight="251658321" behindDoc="0" locked="0" layoutInCell="1" allowOverlap="1" wp14:anchorId="19589B23" wp14:editId="77444AB4">
              <wp:simplePos x="0" y="0"/>
              <wp:positionH relativeFrom="page">
                <wp:align>right</wp:align>
              </wp:positionH>
              <wp:positionV relativeFrom="page">
                <wp:align>bottom</wp:align>
              </wp:positionV>
              <wp:extent cx="1216152" cy="484632"/>
              <wp:effectExtent l="0" t="0" r="3175" b="10795"/>
              <wp:wrapNone/>
              <wp:docPr id="1358160399" name="Text Box 1358160399"/>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146A167D" w14:textId="77777777" w:rsidR="000E1EDA" w:rsidRPr="00D4309F" w:rsidRDefault="000E1EDA" w:rsidP="000E1EDA">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529149401"/>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589B23" id="_x0000_t202" coordsize="21600,21600" o:spt="202" path="m,l,21600r21600,l21600,xe">
              <v:stroke joinstyle="miter"/>
              <v:path gradientshapeok="t" o:connecttype="rect"/>
            </v:shapetype>
            <v:shape id="Text Box 1358160399" o:spid="_x0000_s1051" type="#_x0000_t202" style="position:absolute;margin-left:44.55pt;margin-top:0;width:95.75pt;height:38.15pt;z-index:251658321;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" filled="f" fillcolor="white [3201]" stroked="f" strokeweight=".5pt">
              <v:textbox inset="0,0,0,0">
                <w:txbxContent>
                  <w:p w14:paraId="146A167D" w14:textId="77777777" w:rsidR="000E1EDA" w:rsidRPr="00D4309F" w:rsidRDefault="000E1EDA" w:rsidP="000E1EDA">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529149401"/>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473948476"/>
        <w:placeholder>
          <w:docPart w:val="BE084AC8076F434E901AE1D1AEE8730A"/>
        </w:placeholder>
      </w:sdtPr>
      <w:sdtEndPr/>
      <w:sdtContent>
        <w:r w:rsidR="00F75C41">
          <w:t>rpsgroup</w:t>
        </w:r>
        <w:r w:rsidRPr="00D4309F">
          <w:t>.com</w:t>
        </w:r>
      </w:sdtContent>
    </w:sdt>
    <w:r>
      <w:t xml:space="preserve"> |</w:t>
    </w:r>
    <w:r w:rsidRPr="00835E05">
      <w:t xml:space="preserve"> </w:t>
    </w:r>
    <w:r w:rsidRPr="00D4309F">
      <w:t>coastalmanagement.com.au</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09DAFD" w14:textId="65B13F67" w:rsidR="000E1EDA" w:rsidRPr="00D4309F" w:rsidRDefault="000E1EDA" w:rsidP="000E1EDA">
    <w:pPr>
      <w:pStyle w:val="FooterBorder"/>
    </w:pPr>
    <w:r w:rsidRPr="00D4309F">
      <w:fldChar w:fldCharType="begin"/>
    </w:r>
    <w:r w:rsidRPr="00D4309F">
      <w:instrText xml:space="preserve"> STYLEREF  "Project reference" </w:instrText>
    </w:r>
    <w:r w:rsidRPr="00D4309F">
      <w:fldChar w:fldCharType="separate"/>
    </w:r>
    <w:r w:rsidR="001C225C">
      <w:rPr>
        <w:noProof/>
      </w:rPr>
      <w:t>604-OEENVBNE-420124</w:t>
    </w:r>
    <w:r w:rsidRPr="00D4309F">
      <w:fldChar w:fldCharType="end"/>
    </w:r>
    <w:r w:rsidRPr="00D4309F">
      <w:t xml:space="preserve">  |  </w:t>
    </w:r>
    <w:sdt>
      <w:sdtPr>
        <w:alias w:val="{{Form.Title}}"/>
        <w:tag w:val="{&quot;templafy&quot;:{&quot;id&quot;:&quot;cb3839a9-37c1-4559-bdcc-b4d8ea546739&quot;}}"/>
        <w:id w:val="1121727565"/>
        <w:placeholder>
          <w:docPart w:val="8E4F60E2F62D4E31A7C30D65C7D1A1F5"/>
        </w:placeholder>
      </w:sdtPr>
      <w:sdtEndPr/>
      <w:sdtContent>
        <w:r w:rsidRPr="00D4309F">
          <w:t>MOOLOOLABA BOAT HARBOUR ENTRANCE INDEPENDENT REVIEW</w:t>
        </w:r>
      </w:sdtContent>
    </w:sdt>
    <w:r w:rsidRPr="00D4309F">
      <w:t xml:space="preserve">  |  </w:t>
    </w:r>
    <w:fldSimple w:instr=" STYLEREF  &quot;Project date&quot;  \* MERGEFORMAT ">
      <w:r w:rsidR="001C225C">
        <w:rPr>
          <w:noProof/>
        </w:rPr>
        <w:t>15 December 2025</w:t>
      </w:r>
    </w:fldSimple>
    <w:r w:rsidRPr="00D4309F">
      <w:t xml:space="preserve">  |  </w:t>
    </w:r>
    <w:sdt>
      <w:sdtPr>
        <w:alias w:val="{{Form.Version}}"/>
        <w:tag w:val="{&quot;templafy&quot;:{&quot;id&quot;:&quot;c1c6bc0a-9dfa-453a-9dbf-62e39b91b29a&quot;}}"/>
        <w:id w:val="-922867622"/>
        <w:placeholder>
          <w:docPart w:val="3FB0E259AB3846E0BBD3E3AD09711AAE"/>
        </w:placeholder>
      </w:sdtPr>
      <w:sdtEndPr/>
      <w:sdtContent>
        <w:r w:rsidR="006A63A5">
          <w:t>1.0</w:t>
        </w:r>
      </w:sdtContent>
    </w:sdt>
    <w:r w:rsidRPr="00D4309F">
      <w:t xml:space="preserve">  |  </w:t>
    </w:r>
    <w:sdt>
      <w:sdtPr>
        <w:alias w:val="{{Form.BIM_Number}}"/>
        <w:tag w:val="{&quot;templafy&quot;:{&quot;id&quot;:&quot;6c2c5493-bab6-48cb-90fc-06e67fec9635&quot;}}"/>
        <w:id w:val="1138071797"/>
        <w:placeholder>
          <w:docPart w:val="B90F53148C6E40198BE3271585BAA994"/>
        </w:placeholder>
      </w:sdtPr>
      <w:sdtEndPr/>
      <w:sdtContent>
        <w:r w:rsidRPr="00D4309F">
          <w:t>​</w:t>
        </w:r>
      </w:sdtContent>
    </w:sdt>
  </w:p>
  <w:p w14:paraId="7222CE09" w14:textId="2DDC3B5C" w:rsidR="000E1EDA" w:rsidRPr="00D4309F" w:rsidRDefault="000E1EDA" w:rsidP="000E1EDA">
    <w:pPr>
      <w:pStyle w:val="Template-Web"/>
      <w:tabs>
        <w:tab w:val="clear" w:pos="4819"/>
      </w:tabs>
    </w:pPr>
    <w:r w:rsidRPr="00D4309F">
      <w:rPr>
        <w:noProof/>
      </w:rPr>
      <mc:AlternateContent>
        <mc:Choice Requires="wps">
          <w:drawing>
            <wp:anchor distT="0" distB="0" distL="114300" distR="114300" simplePos="0" relativeHeight="251658322" behindDoc="0" locked="0" layoutInCell="1" allowOverlap="1" wp14:anchorId="3C471CF7" wp14:editId="0F2F121D">
              <wp:simplePos x="0" y="0"/>
              <wp:positionH relativeFrom="page">
                <wp:align>right</wp:align>
              </wp:positionH>
              <wp:positionV relativeFrom="page">
                <wp:align>bottom</wp:align>
              </wp:positionV>
              <wp:extent cx="1216152" cy="484632"/>
              <wp:effectExtent l="0" t="0" r="3175" b="10795"/>
              <wp:wrapNone/>
              <wp:docPr id="113753310" name="Text Box 113753310"/>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058CAE5D" w14:textId="77777777" w:rsidR="000E1EDA" w:rsidRPr="00D4309F" w:rsidRDefault="000E1EDA" w:rsidP="000E1EDA">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426549412"/>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471CF7" id="_x0000_t202" coordsize="21600,21600" o:spt="202" path="m,l,21600r21600,l21600,xe">
              <v:stroke joinstyle="miter"/>
              <v:path gradientshapeok="t" o:connecttype="rect"/>
            </v:shapetype>
            <v:shape id="Text Box 113753310" o:spid="_x0000_s1053" type="#_x0000_t202" style="position:absolute;margin-left:44.55pt;margin-top:0;width:95.75pt;height:38.15pt;z-index:25165832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" filled="f" fillcolor="white [3201]" stroked="f" strokeweight=".5pt">
              <v:textbox inset="0,0,0,0">
                <w:txbxContent>
                  <w:p w14:paraId="058CAE5D" w14:textId="77777777" w:rsidR="000E1EDA" w:rsidRPr="00D4309F" w:rsidRDefault="000E1EDA" w:rsidP="000E1EDA">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426549412"/>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1290097572"/>
        <w:placeholder>
          <w:docPart w:val="6FA562C4EC7245E6B75F13672BDFBA77"/>
        </w:placeholder>
      </w:sdtPr>
      <w:sdtEndPr/>
      <w:sdtContent>
        <w:r w:rsidR="00F75C41">
          <w:t>rpsgroup</w:t>
        </w:r>
        <w:r w:rsidRPr="00D4309F">
          <w:t>.com</w:t>
        </w:r>
      </w:sdtContent>
    </w:sdt>
    <w:r>
      <w:t xml:space="preserve"> |</w:t>
    </w:r>
    <w:r w:rsidRPr="00835E05">
      <w:t xml:space="preserve"> </w:t>
    </w:r>
    <w:r w:rsidRPr="00D4309F">
      <w:t>coastalmanagement.com.au</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517FB8" w14:textId="0C2CE61D" w:rsidR="00877ED9" w:rsidRPr="00D4309F" w:rsidRDefault="00877ED9" w:rsidP="00877ED9">
    <w:pPr>
      <w:pStyle w:val="FooterBorder"/>
    </w:pPr>
    <w:r w:rsidRPr="00D4309F">
      <w:fldChar w:fldCharType="begin"/>
    </w:r>
    <w:r w:rsidRPr="00D4309F">
      <w:instrText xml:space="preserve"> STYLEREF  "Project reference" </w:instrText>
    </w:r>
    <w:r w:rsidRPr="00D4309F">
      <w:fldChar w:fldCharType="separate"/>
    </w:r>
    <w:r w:rsidR="001C225C">
      <w:rPr>
        <w:noProof/>
      </w:rPr>
      <w:t>604-OEENVBNE-420124</w:t>
    </w:r>
    <w:r w:rsidRPr="00D4309F">
      <w:fldChar w:fldCharType="end"/>
    </w:r>
    <w:r w:rsidRPr="00D4309F">
      <w:t xml:space="preserve">  |  </w:t>
    </w:r>
    <w:sdt>
      <w:sdtPr>
        <w:alias w:val="{{Form.Title}}"/>
        <w:tag w:val="{&quot;templafy&quot;:{&quot;id&quot;:&quot;cb3839a9-37c1-4559-bdcc-b4d8ea546739&quot;}}"/>
        <w:id w:val="934874585"/>
        <w:placeholder>
          <w:docPart w:val="00EC02B3F38E4A3F986862BD9252585B"/>
        </w:placeholder>
      </w:sdtPr>
      <w:sdtEndPr/>
      <w:sdtContent>
        <w:r w:rsidRPr="00D4309F">
          <w:t>MOOLOOLABA BOAT HARBOUR ENTRANCE INDEPENDENT REVIEW</w:t>
        </w:r>
      </w:sdtContent>
    </w:sdt>
    <w:r w:rsidRPr="00D4309F">
      <w:t xml:space="preserve">  |  </w:t>
    </w:r>
    <w:fldSimple w:instr=" STYLEREF  &quot;Project date&quot;  \* MERGEFORMAT ">
      <w:r w:rsidR="001C225C">
        <w:rPr>
          <w:noProof/>
        </w:rPr>
        <w:t>15 December 2025</w:t>
      </w:r>
    </w:fldSimple>
    <w:r w:rsidRPr="00D4309F">
      <w:t xml:space="preserve">  |  </w:t>
    </w:r>
    <w:sdt>
      <w:sdtPr>
        <w:alias w:val="{{Form.Version}}"/>
        <w:tag w:val="{&quot;templafy&quot;:{&quot;id&quot;:&quot;c1c6bc0a-9dfa-453a-9dbf-62e39b91b29a&quot;}}"/>
        <w:id w:val="-1688895676"/>
        <w:placeholder>
          <w:docPart w:val="60CF31C198B44CB085B78F44640235F8"/>
        </w:placeholder>
      </w:sdtPr>
      <w:sdtEndPr/>
      <w:sdtContent>
        <w:r w:rsidR="006A63A5">
          <w:t>1.0</w:t>
        </w:r>
      </w:sdtContent>
    </w:sdt>
    <w:r w:rsidRPr="00D4309F">
      <w:t xml:space="preserve">  |  </w:t>
    </w:r>
    <w:sdt>
      <w:sdtPr>
        <w:alias w:val="{{Form.BIM_Number}}"/>
        <w:tag w:val="{&quot;templafy&quot;:{&quot;id&quot;:&quot;6c2c5493-bab6-48cb-90fc-06e67fec9635&quot;}}"/>
        <w:id w:val="-1609894463"/>
        <w:placeholder>
          <w:docPart w:val="E50AAD1AE0464724BBE5B6F2D3B01A57"/>
        </w:placeholder>
      </w:sdtPr>
      <w:sdtEndPr/>
      <w:sdtContent>
        <w:r w:rsidRPr="00D4309F">
          <w:t>​</w:t>
        </w:r>
      </w:sdtContent>
    </w:sdt>
  </w:p>
  <w:p w14:paraId="489D9E25" w14:textId="0317054B" w:rsidR="00877ED9" w:rsidRPr="00D4309F" w:rsidRDefault="00877ED9" w:rsidP="00877ED9">
    <w:pPr>
      <w:pStyle w:val="Template-Web"/>
      <w:tabs>
        <w:tab w:val="clear" w:pos="4819"/>
      </w:tabs>
    </w:pPr>
    <w:r w:rsidRPr="00D4309F">
      <w:rPr>
        <w:noProof/>
      </w:rPr>
      <mc:AlternateContent>
        <mc:Choice Requires="wps">
          <w:drawing>
            <wp:anchor distT="0" distB="0" distL="114300" distR="114300" simplePos="0" relativeHeight="251658323" behindDoc="0" locked="0" layoutInCell="1" allowOverlap="1" wp14:anchorId="61C8C549" wp14:editId="6E45652C">
              <wp:simplePos x="0" y="0"/>
              <wp:positionH relativeFrom="page">
                <wp:align>right</wp:align>
              </wp:positionH>
              <wp:positionV relativeFrom="page">
                <wp:align>bottom</wp:align>
              </wp:positionV>
              <wp:extent cx="1216152" cy="484632"/>
              <wp:effectExtent l="0" t="0" r="3175" b="10795"/>
              <wp:wrapNone/>
              <wp:docPr id="20854524" name="Text Box 20854524"/>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26213741" w14:textId="77777777" w:rsidR="00877ED9" w:rsidRPr="00D4309F" w:rsidRDefault="00877ED9" w:rsidP="00877ED9">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838378397"/>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C8C549" id="_x0000_t202" coordsize="21600,21600" o:spt="202" path="m,l,21600r21600,l21600,xe">
              <v:stroke joinstyle="miter"/>
              <v:path gradientshapeok="t" o:connecttype="rect"/>
            </v:shapetype>
            <v:shape id="Text Box 20854524" o:spid="_x0000_s1055" type="#_x0000_t202" style="position:absolute;margin-left:44.55pt;margin-top:0;width:95.75pt;height:38.15pt;z-index:251658323;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" filled="f" fillcolor="white [3201]" stroked="f" strokeweight=".5pt">
              <v:textbox inset="0,0,0,0">
                <w:txbxContent>
                  <w:p w14:paraId="26213741" w14:textId="77777777" w:rsidR="00877ED9" w:rsidRPr="00D4309F" w:rsidRDefault="00877ED9" w:rsidP="00877ED9">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838378397"/>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1504475534"/>
        <w:placeholder>
          <w:docPart w:val="40D978D7FD1B4BE2A907E9E4A2342A95"/>
        </w:placeholder>
      </w:sdtPr>
      <w:sdtEndPr/>
      <w:sdtContent>
        <w:r w:rsidR="00F75C41">
          <w:t>rpsgroup</w:t>
        </w:r>
        <w:r w:rsidRPr="00D4309F">
          <w:t>.com</w:t>
        </w:r>
      </w:sdtContent>
    </w:sdt>
    <w:r>
      <w:t xml:space="preserve"> |</w:t>
    </w:r>
    <w:r w:rsidRPr="00835E05">
      <w:t xml:space="preserve"> </w:t>
    </w:r>
    <w:r w:rsidRPr="00D4309F">
      <w:t>coastalmanagement.com.au</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69F771" w14:textId="6E232196" w:rsidR="00725977" w:rsidRPr="00D4309F" w:rsidRDefault="003F53FD">
    <w:pPr>
      <w:pStyle w:val="BodyText"/>
    </w:pPr>
    <w:r w:rsidRPr="00D4309F">
      <w:rPr>
        <w:noProof/>
      </w:rPr>
      <mc:AlternateContent>
        <mc:Choice Requires="wps">
          <w:drawing>
            <wp:anchor distT="0" distB="0" distL="0" distR="0" simplePos="0" relativeHeight="251658260" behindDoc="1" locked="0" layoutInCell="1" allowOverlap="1" wp14:anchorId="316299F0" wp14:editId="1467FEF6">
              <wp:simplePos x="0" y="0"/>
              <wp:positionH relativeFrom="page">
                <wp:posOffset>704850</wp:posOffset>
              </wp:positionH>
              <wp:positionV relativeFrom="page">
                <wp:posOffset>10096500</wp:posOffset>
              </wp:positionV>
              <wp:extent cx="2952750" cy="349857"/>
              <wp:effectExtent l="0" t="0" r="0" b="0"/>
              <wp:wrapNone/>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750" cy="349857"/>
                      </a:xfrm>
                      <a:prstGeom prst="rect">
                        <a:avLst/>
                      </a:prstGeom>
                    </wps:spPr>
                    <wps:txbx>
                      <w:txbxContent>
                        <w:p w14:paraId="6770CDAF" w14:textId="2A1CF89D" w:rsidR="00725977" w:rsidRPr="00F75C41" w:rsidRDefault="00F75C41">
                          <w:pPr>
                            <w:rPr>
                              <w:b/>
                              <w:color w:val="71004B"/>
                            </w:rPr>
                          </w:pPr>
                          <w:r>
                            <w:rPr>
                              <w:b/>
                              <w:color w:val="71004B"/>
                            </w:rPr>
                            <w:t>rpsgroup</w:t>
                          </w:r>
                          <w:r w:rsidR="00725977" w:rsidRPr="00F75C41">
                            <w:rPr>
                              <w:b/>
                              <w:color w:val="71004B"/>
                            </w:rPr>
                            <w:t>.com | coastalmanagement.com.au</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316299F0" id="_x0000_t202" coordsize="21600,21600" o:spt="202" path="m,l,21600r21600,l21600,xe">
              <v:stroke joinstyle="miter"/>
              <v:path gradientshapeok="t" o:connecttype="rect"/>
            </v:shapetype>
            <v:shape id="Textbox 240" o:spid="_x0000_s1057" type="#_x0000_t202" style="position:absolute;margin-left:55.5pt;margin-top:795pt;width:232.5pt;height:27.55pt;z-index:-25165822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" filled="f" stroked="f">
              <v:textbox inset="0,0,0,0">
                <w:txbxContent>
                  <w:p w14:paraId="6770CDAF" w14:textId="2A1CF89D" w:rsidR="00725977" w:rsidRPr="00F75C41" w:rsidRDefault="00F75C41">
                    <w:pPr>
                      <w:rPr>
                        <w:b/>
                        <w:color w:val="71004B"/>
                      </w:rPr>
                    </w:pPr>
                    <w:r>
                      <w:rPr>
                        <w:b/>
                        <w:color w:val="71004B"/>
                      </w:rPr>
                      <w:t>rpsgroup</w:t>
                    </w:r>
                    <w:r w:rsidR="00725977" w:rsidRPr="00F75C41">
                      <w:rPr>
                        <w:b/>
                        <w:color w:val="71004B"/>
                      </w:rPr>
                      <w:t>.com | coastalmanagement.com.au</w:t>
                    </w:r>
                  </w:p>
                </w:txbxContent>
              </v:textbox>
              <w10:wrap anchorx="page" anchory="page"/>
            </v:shape>
          </w:pict>
        </mc:Fallback>
      </mc:AlternateContent>
    </w:r>
    <w:r w:rsidRPr="00D4309F">
      <w:rPr>
        <w:noProof/>
      </w:rPr>
      <mc:AlternateContent>
        <mc:Choice Requires="wps">
          <w:drawing>
            <wp:anchor distT="0" distB="0" distL="0" distR="0" simplePos="0" relativeHeight="251658259" behindDoc="1" locked="0" layoutInCell="1" allowOverlap="1" wp14:anchorId="1A417654" wp14:editId="2E79E7A5">
              <wp:simplePos x="0" y="0"/>
              <wp:positionH relativeFrom="page">
                <wp:posOffset>6456459</wp:posOffset>
              </wp:positionH>
              <wp:positionV relativeFrom="page">
                <wp:posOffset>9899374</wp:posOffset>
              </wp:positionV>
              <wp:extent cx="445770" cy="230588"/>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770" cy="230588"/>
                      </a:xfrm>
                      <a:prstGeom prst="rect">
                        <a:avLst/>
                      </a:prstGeom>
                    </wps:spPr>
                    <wps:txbx>
                      <w:txbxContent>
                        <w:p w14:paraId="66AC334E" w14:textId="77777777" w:rsidR="00725977" w:rsidRPr="00D4309F" w:rsidRDefault="00725977">
                          <w:pPr>
                            <w:spacing w:before="15"/>
                            <w:ind w:left="20"/>
                            <w:rPr>
                              <w:sz w:val="14"/>
                            </w:rPr>
                          </w:pPr>
                          <w:r w:rsidRPr="00D4309F">
                            <w:rPr>
                              <w:color w:val="5F6269"/>
                              <w:sz w:val="14"/>
                            </w:rPr>
                            <w:t>Page</w:t>
                          </w:r>
                          <w:r w:rsidRPr="00D4309F">
                            <w:rPr>
                              <w:color w:val="5F6269"/>
                              <w:spacing w:val="-3"/>
                              <w:sz w:val="14"/>
                            </w:rPr>
                            <w:t xml:space="preserve"> </w:t>
                          </w:r>
                          <w:r w:rsidRPr="00D4309F">
                            <w:rPr>
                              <w:color w:val="5F6269"/>
                              <w:spacing w:val="-5"/>
                              <w:sz w:val="14"/>
                            </w:rPr>
                            <w:fldChar w:fldCharType="begin"/>
                          </w:r>
                          <w:r w:rsidRPr="00D4309F">
                            <w:rPr>
                              <w:color w:val="5F6269"/>
                              <w:spacing w:val="-5"/>
                              <w:sz w:val="14"/>
                            </w:rPr>
                            <w:instrText xml:space="preserve"> PAGE </w:instrText>
                          </w:r>
                          <w:r w:rsidRPr="00D4309F">
                            <w:rPr>
                              <w:color w:val="5F6269"/>
                              <w:spacing w:val="-5"/>
                              <w:sz w:val="14"/>
                            </w:rPr>
                            <w:fldChar w:fldCharType="separate"/>
                          </w:r>
                          <w:r w:rsidRPr="00D4309F">
                            <w:rPr>
                              <w:color w:val="5F6269"/>
                              <w:spacing w:val="-5"/>
                              <w:sz w:val="14"/>
                            </w:rPr>
                            <w:t>132</w:t>
                          </w:r>
                          <w:r w:rsidRPr="00D4309F">
                            <w:rPr>
                              <w:color w:val="5F6269"/>
                              <w:spacing w:val="-5"/>
                              <w:sz w:val="14"/>
                            </w:rPr>
                            <w:fldChar w:fldCharType="end"/>
                          </w:r>
                        </w:p>
                      </w:txbxContent>
                    </wps:txbx>
                    <wps:bodyPr wrap="square" lIns="0" tIns="0" rIns="0" bIns="0" rtlCol="0">
                      <a:noAutofit/>
                    </wps:bodyPr>
                  </wps:wsp>
                </a:graphicData>
              </a:graphic>
              <wp14:sizeRelV relativeFrom="margin">
                <wp14:pctHeight>0</wp14:pctHeight>
              </wp14:sizeRelV>
            </wp:anchor>
          </w:drawing>
        </mc:Choice>
        <mc:Fallback>
          <w:pict>
            <v:shape w14:anchorId="1A417654" id="Textbox 239" o:spid="_x0000_s1058" type="#_x0000_t202" style="position:absolute;margin-left:508.4pt;margin-top:779.5pt;width:35.1pt;height:18.15pt;z-index:-251658221;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" filled="f" stroked="f">
              <v:textbox inset="0,0,0,0">
                <w:txbxContent>
                  <w:p w14:paraId="66AC334E" w14:textId="77777777" w:rsidR="00725977" w:rsidRPr="00D4309F" w:rsidRDefault="00725977">
                    <w:pPr>
                      <w:spacing w:before="15"/>
                      <w:ind w:left="20"/>
                      <w:rPr>
                        <w:sz w:val="14"/>
                      </w:rPr>
                    </w:pPr>
                    <w:r w:rsidRPr="00D4309F">
                      <w:rPr>
                        <w:color w:val="5F6269"/>
                        <w:sz w:val="14"/>
                      </w:rPr>
                      <w:t>Page</w:t>
                    </w:r>
                    <w:r w:rsidRPr="00D4309F">
                      <w:rPr>
                        <w:color w:val="5F6269"/>
                        <w:spacing w:val="-3"/>
                        <w:sz w:val="14"/>
                      </w:rPr>
                      <w:t xml:space="preserve"> </w:t>
                    </w:r>
                    <w:r w:rsidRPr="00D4309F">
                      <w:rPr>
                        <w:color w:val="5F6269"/>
                        <w:spacing w:val="-5"/>
                        <w:sz w:val="14"/>
                      </w:rPr>
                      <w:fldChar w:fldCharType="begin"/>
                    </w:r>
                    <w:r w:rsidRPr="00D4309F">
                      <w:rPr>
                        <w:color w:val="5F6269"/>
                        <w:spacing w:val="-5"/>
                        <w:sz w:val="14"/>
                      </w:rPr>
                      <w:instrText xml:space="preserve"> PAGE </w:instrText>
                    </w:r>
                    <w:r w:rsidRPr="00D4309F">
                      <w:rPr>
                        <w:color w:val="5F6269"/>
                        <w:spacing w:val="-5"/>
                        <w:sz w:val="14"/>
                      </w:rPr>
                      <w:fldChar w:fldCharType="separate"/>
                    </w:r>
                    <w:r w:rsidRPr="00D4309F">
                      <w:rPr>
                        <w:color w:val="5F6269"/>
                        <w:spacing w:val="-5"/>
                        <w:sz w:val="14"/>
                      </w:rPr>
                      <w:t>132</w:t>
                    </w:r>
                    <w:r w:rsidRPr="00D4309F">
                      <w:rPr>
                        <w:color w:val="5F6269"/>
                        <w:spacing w:val="-5"/>
                        <w:sz w:val="14"/>
                      </w:rPr>
                      <w:fldChar w:fldCharType="end"/>
                    </w:r>
                  </w:p>
                </w:txbxContent>
              </v:textbox>
              <w10:wrap anchorx="page" anchory="page"/>
            </v:shape>
          </w:pict>
        </mc:Fallback>
      </mc:AlternateContent>
    </w:r>
    <w:r w:rsidRPr="00D4309F">
      <w:rPr>
        <w:noProof/>
      </w:rPr>
      <mc:AlternateContent>
        <mc:Choice Requires="wps">
          <w:drawing>
            <wp:anchor distT="0" distB="0" distL="0" distR="0" simplePos="0" relativeHeight="251658258" behindDoc="1" locked="0" layoutInCell="1" allowOverlap="1" wp14:anchorId="7BA54BE6" wp14:editId="7464DDE0">
              <wp:simplePos x="0" y="0"/>
              <wp:positionH relativeFrom="page">
                <wp:posOffset>707666</wp:posOffset>
              </wp:positionH>
              <wp:positionV relativeFrom="page">
                <wp:posOffset>9899374</wp:posOffset>
              </wp:positionV>
              <wp:extent cx="5279666" cy="222636"/>
              <wp:effectExtent l="0" t="0" r="0" b="0"/>
              <wp:wrapNone/>
              <wp:docPr id="238" name="Text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9666" cy="222636"/>
                      </a:xfrm>
                      <a:prstGeom prst="rect">
                        <a:avLst/>
                      </a:prstGeom>
                    </wps:spPr>
                    <wps:txbx>
                      <w:txbxContent>
                        <w:p w14:paraId="6172CA77" w14:textId="15A28DAC" w:rsidR="003F53FD" w:rsidRPr="00D4309F" w:rsidRDefault="003F53FD" w:rsidP="003F53FD">
                          <w:pPr>
                            <w:spacing w:before="15"/>
                            <w:ind w:left="20"/>
                            <w:rPr>
                              <w:sz w:val="14"/>
                            </w:rPr>
                          </w:pPr>
                          <w:r w:rsidRPr="00523CD7">
                            <w:rPr>
                              <w:color w:val="5F6269"/>
                              <w:sz w:val="14"/>
                            </w:rPr>
                            <w:t xml:space="preserve">604-OEENVBNE-420124 | MOOLOOLABA BOAT HARBOUR ENTRANCE INDEPENDENT REVIEW | 05 December 2025 | </w:t>
                          </w:r>
                          <w:r w:rsidR="006A63A5">
                            <w:rPr>
                              <w:color w:val="5F6269"/>
                              <w:sz w:val="14"/>
                            </w:rPr>
                            <w:t>1.0</w:t>
                          </w:r>
                          <w:r w:rsidRPr="00523CD7">
                            <w:rPr>
                              <w:color w:val="5F6269"/>
                              <w:sz w:val="14"/>
                            </w:rPr>
                            <w:t xml:space="preserve"> | </w:t>
                          </w:r>
                        </w:p>
                        <w:p w14:paraId="4F21F79F" w14:textId="494B1BB5" w:rsidR="00725977" w:rsidRPr="00D4309F" w:rsidRDefault="00725977">
                          <w:pPr>
                            <w:spacing w:before="15"/>
                            <w:ind w:left="20"/>
                            <w:rPr>
                              <w:sz w:val="1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BA54BE6" id="Textbox 238" o:spid="_x0000_s1059" type="#_x0000_t202" style="position:absolute;margin-left:55.7pt;margin-top:779.5pt;width:415.7pt;height:17.55pt;z-index:-25165822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" filled="f" stroked="f">
              <v:textbox inset="0,0,0,0">
                <w:txbxContent>
                  <w:p w14:paraId="6172CA77" w14:textId="15A28DAC" w:rsidR="003F53FD" w:rsidRPr="00D4309F" w:rsidRDefault="003F53FD" w:rsidP="003F53FD">
                    <w:pPr>
                      <w:spacing w:before="15"/>
                      <w:ind w:left="20"/>
                      <w:rPr>
                        <w:sz w:val="14"/>
                      </w:rPr>
                    </w:pPr>
                    <w:r w:rsidRPr="00523CD7">
                      <w:rPr>
                        <w:color w:val="5F6269"/>
                        <w:sz w:val="14"/>
                      </w:rPr>
                      <w:t xml:space="preserve">604-OEENVBNE-420124 | MOOLOOLABA BOAT HARBOUR ENTRANCE INDEPENDENT REVIEW | 05 December 2025 | </w:t>
                    </w:r>
                    <w:r w:rsidR="006A63A5">
                      <w:rPr>
                        <w:color w:val="5F6269"/>
                        <w:sz w:val="14"/>
                      </w:rPr>
                      <w:t>1.0</w:t>
                    </w:r>
                    <w:r w:rsidRPr="00523CD7">
                      <w:rPr>
                        <w:color w:val="5F6269"/>
                        <w:sz w:val="14"/>
                      </w:rPr>
                      <w:t xml:space="preserve"> | </w:t>
                    </w:r>
                  </w:p>
                  <w:p w14:paraId="4F21F79F" w14:textId="494B1BB5" w:rsidR="00725977" w:rsidRPr="00D4309F" w:rsidRDefault="00725977">
                    <w:pPr>
                      <w:spacing w:before="15"/>
                      <w:ind w:left="20"/>
                      <w:rPr>
                        <w:sz w:val="14"/>
                      </w:rPr>
                    </w:pPr>
                  </w:p>
                </w:txbxContent>
              </v:textbox>
              <w10:wrap anchorx="page" anchory="page"/>
            </v:shape>
          </w:pict>
        </mc:Fallback>
      </mc:AlternateContent>
    </w:r>
    <w:r w:rsidR="00725977" w:rsidRPr="00D4309F">
      <w:rPr>
        <w:noProof/>
      </w:rPr>
      <mc:AlternateContent>
        <mc:Choice Requires="wps">
          <w:drawing>
            <wp:anchor distT="0" distB="0" distL="0" distR="0" simplePos="0" relativeHeight="251658257" behindDoc="1" locked="0" layoutInCell="1" allowOverlap="1" wp14:anchorId="73FABCFD" wp14:editId="22D0264D">
              <wp:simplePos x="0" y="0"/>
              <wp:positionH relativeFrom="page">
                <wp:posOffset>701040</wp:posOffset>
              </wp:positionH>
              <wp:positionV relativeFrom="page">
                <wp:posOffset>9892283</wp:posOffset>
              </wp:positionV>
              <wp:extent cx="6158865" cy="8890"/>
              <wp:effectExtent l="0" t="0" r="0" b="0"/>
              <wp:wrapNone/>
              <wp:docPr id="237" name="Graphic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8865" cy="8890"/>
                      </a:xfrm>
                      <a:custGeom>
                        <a:avLst/>
                        <a:gdLst/>
                        <a:ahLst/>
                        <a:cxnLst/>
                        <a:rect l="l" t="t" r="r" b="b"/>
                        <a:pathLst>
                          <a:path w="6158865" h="8890">
                            <a:moveTo>
                              <a:pt x="6158484" y="2286"/>
                            </a:moveTo>
                            <a:lnTo>
                              <a:pt x="6151626" y="2286"/>
                            </a:lnTo>
                            <a:lnTo>
                              <a:pt x="6151626" y="0"/>
                            </a:lnTo>
                            <a:lnTo>
                              <a:pt x="5743194" y="0"/>
                            </a:lnTo>
                            <a:lnTo>
                              <a:pt x="5743194" y="2286"/>
                            </a:lnTo>
                            <a:lnTo>
                              <a:pt x="0" y="2286"/>
                            </a:lnTo>
                            <a:lnTo>
                              <a:pt x="0" y="8382"/>
                            </a:lnTo>
                            <a:lnTo>
                              <a:pt x="6158484" y="8382"/>
                            </a:lnTo>
                            <a:lnTo>
                              <a:pt x="6158484" y="2286"/>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5D5DF399" id="Graphic 237" o:spid="_x0000_s1026" style="position:absolute;margin-left:55.2pt;margin-top:778.9pt;width:484.95pt;height:.7pt;z-index:-251658223;visibility:visible;mso-wrap-style:square;mso-wrap-distance-left:0;mso-wrap-distance-top:0;mso-wrap-distance-right:0;mso-wrap-distance-bottom:0;mso-position-horizontal:absolute;mso-position-horizontal-relative:page;mso-position-vertical:absolute;mso-position-vertical-relative:page;v-text-anchor:top" coordsize="6158865,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" path="m6158484,2286r-6858,l6151626,,5743194,r,2286l,2286,,8382r6158484,l6158484,2286xe" fillcolor="#5f6269" stroked="f">
              <v:path arrowok="t"/>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FE51B5" w14:textId="213C0AD3" w:rsidR="00877ED9" w:rsidRPr="00D4309F" w:rsidRDefault="00877ED9" w:rsidP="00877ED9">
    <w:pPr>
      <w:pStyle w:val="FooterBorder"/>
    </w:pPr>
    <w:r w:rsidRPr="00D4309F">
      <w:fldChar w:fldCharType="begin"/>
    </w:r>
    <w:r w:rsidRPr="00D4309F">
      <w:instrText xml:space="preserve"> STYLEREF  "Project reference" </w:instrText>
    </w:r>
    <w:r w:rsidRPr="00D4309F">
      <w:fldChar w:fldCharType="separate"/>
    </w:r>
    <w:r w:rsidR="001C225C">
      <w:rPr>
        <w:noProof/>
      </w:rPr>
      <w:t>604-OEENVBNE-420124</w:t>
    </w:r>
    <w:r w:rsidRPr="00D4309F">
      <w:fldChar w:fldCharType="end"/>
    </w:r>
    <w:r w:rsidRPr="00D4309F">
      <w:t xml:space="preserve">  |  </w:t>
    </w:r>
    <w:sdt>
      <w:sdtPr>
        <w:alias w:val="{{Form.Title}}"/>
        <w:tag w:val="{&quot;templafy&quot;:{&quot;id&quot;:&quot;cb3839a9-37c1-4559-bdcc-b4d8ea546739&quot;}}"/>
        <w:id w:val="-2146195461"/>
        <w:placeholder>
          <w:docPart w:val="649E5630E0D64DF2BAC6C70FEC13B4AF"/>
        </w:placeholder>
      </w:sdtPr>
      <w:sdtEndPr/>
      <w:sdtContent>
        <w:r w:rsidRPr="00D4309F">
          <w:t>MOOLOOLABA BOAT HARBOUR ENTRANCE INDEPENDENT REVIEW</w:t>
        </w:r>
      </w:sdtContent>
    </w:sdt>
    <w:r w:rsidRPr="00D4309F">
      <w:t xml:space="preserve">  |  </w:t>
    </w:r>
    <w:fldSimple w:instr=" STYLEREF  &quot;Project date&quot;  \* MERGEFORMAT ">
      <w:r w:rsidR="001C225C">
        <w:rPr>
          <w:noProof/>
        </w:rPr>
        <w:t>15 December 2025</w:t>
      </w:r>
    </w:fldSimple>
    <w:r w:rsidRPr="00D4309F">
      <w:t xml:space="preserve">  |  </w:t>
    </w:r>
    <w:sdt>
      <w:sdtPr>
        <w:alias w:val="{{Form.Version}}"/>
        <w:tag w:val="{&quot;templafy&quot;:{&quot;id&quot;:&quot;c1c6bc0a-9dfa-453a-9dbf-62e39b91b29a&quot;}}"/>
        <w:id w:val="-1336692352"/>
        <w:placeholder>
          <w:docPart w:val="900DF41FB3414891A1EDBC6BCF3F6712"/>
        </w:placeholder>
      </w:sdtPr>
      <w:sdtEndPr/>
      <w:sdtContent>
        <w:r w:rsidR="006A63A5">
          <w:t>1.0</w:t>
        </w:r>
      </w:sdtContent>
    </w:sdt>
    <w:r w:rsidRPr="00D4309F">
      <w:t xml:space="preserve">  |  </w:t>
    </w:r>
    <w:sdt>
      <w:sdtPr>
        <w:alias w:val="{{Form.BIM_Number}}"/>
        <w:tag w:val="{&quot;templafy&quot;:{&quot;id&quot;:&quot;6c2c5493-bab6-48cb-90fc-06e67fec9635&quot;}}"/>
        <w:id w:val="-671873657"/>
        <w:placeholder>
          <w:docPart w:val="E7A3F24FB1294768B6E7CF807AEE1F1E"/>
        </w:placeholder>
      </w:sdtPr>
      <w:sdtEndPr/>
      <w:sdtContent>
        <w:r w:rsidRPr="00D4309F">
          <w:t>​</w:t>
        </w:r>
      </w:sdtContent>
    </w:sdt>
  </w:p>
  <w:p w14:paraId="4E913ECE" w14:textId="69B01142" w:rsidR="00877ED9" w:rsidRPr="00D4309F" w:rsidRDefault="00877ED9" w:rsidP="00877ED9">
    <w:pPr>
      <w:pStyle w:val="Template-Web"/>
      <w:tabs>
        <w:tab w:val="clear" w:pos="4819"/>
      </w:tabs>
    </w:pPr>
    <w:r w:rsidRPr="00D4309F">
      <w:rPr>
        <w:noProof/>
      </w:rPr>
      <mc:AlternateContent>
        <mc:Choice Requires="wps">
          <w:drawing>
            <wp:anchor distT="0" distB="0" distL="114300" distR="114300" simplePos="0" relativeHeight="251658324" behindDoc="0" locked="0" layoutInCell="1" allowOverlap="1" wp14:anchorId="35234B90" wp14:editId="2616AE47">
              <wp:simplePos x="0" y="0"/>
              <wp:positionH relativeFrom="page">
                <wp:align>right</wp:align>
              </wp:positionH>
              <wp:positionV relativeFrom="page">
                <wp:align>bottom</wp:align>
              </wp:positionV>
              <wp:extent cx="1216152" cy="484632"/>
              <wp:effectExtent l="0" t="0" r="3175" b="10795"/>
              <wp:wrapNone/>
              <wp:docPr id="1975562642" name="Text Box 1975562642"/>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408D3385" w14:textId="77777777" w:rsidR="00877ED9" w:rsidRPr="00D4309F" w:rsidRDefault="00877ED9" w:rsidP="00877ED9">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222372636"/>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234B90" id="_x0000_t202" coordsize="21600,21600" o:spt="202" path="m,l,21600r21600,l21600,xe">
              <v:stroke joinstyle="miter"/>
              <v:path gradientshapeok="t" o:connecttype="rect"/>
            </v:shapetype>
            <v:shape id="Text Box 1975562642" o:spid="_x0000_s1061" type="#_x0000_t202" style="position:absolute;margin-left:44.55pt;margin-top:0;width:95.75pt;height:38.15pt;z-index:25165832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" filled="f" fillcolor="white [3201]" stroked="f" strokeweight=".5pt">
              <v:textbox inset="0,0,0,0">
                <w:txbxContent>
                  <w:p w14:paraId="408D3385" w14:textId="77777777" w:rsidR="00877ED9" w:rsidRPr="00D4309F" w:rsidRDefault="00877ED9" w:rsidP="00877ED9">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222372636"/>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1298727744"/>
        <w:placeholder>
          <w:docPart w:val="C8A183556CD742A99A12D5A3FF128661"/>
        </w:placeholder>
      </w:sdtPr>
      <w:sdtEndPr/>
      <w:sdtContent>
        <w:r w:rsidR="00F75C41">
          <w:t>rpsgroup</w:t>
        </w:r>
        <w:r w:rsidRPr="00D4309F">
          <w:t>.com</w:t>
        </w:r>
      </w:sdtContent>
    </w:sdt>
    <w:r>
      <w:t xml:space="preserve"> |</w:t>
    </w:r>
    <w:r w:rsidRPr="00835E05">
      <w:t xml:space="preserve"> </w:t>
    </w:r>
    <w:r w:rsidRPr="00D4309F">
      <w:t>coastalmanagement.com.au</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EE6B75" w14:textId="173D8617" w:rsidR="00FC61E2" w:rsidRPr="00D4309F" w:rsidRDefault="00FC61E2" w:rsidP="00FC61E2">
    <w:pPr>
      <w:pStyle w:val="FooterBorder"/>
    </w:pPr>
    <w:r w:rsidRPr="00D4309F">
      <w:fldChar w:fldCharType="begin"/>
    </w:r>
    <w:r w:rsidRPr="00D4309F">
      <w:instrText xml:space="preserve"> STYLEREF  "Project reference" </w:instrText>
    </w:r>
    <w:r w:rsidRPr="00D4309F">
      <w:fldChar w:fldCharType="separate"/>
    </w:r>
    <w:r w:rsidR="00805350">
      <w:rPr>
        <w:noProof/>
      </w:rPr>
      <w:t>604-OEENVBNE-420124</w:t>
    </w:r>
    <w:r w:rsidRPr="00D4309F">
      <w:fldChar w:fldCharType="end"/>
    </w:r>
    <w:r w:rsidRPr="00D4309F">
      <w:t xml:space="preserve">  |  </w:t>
    </w:r>
    <w:sdt>
      <w:sdtPr>
        <w:alias w:val="{{Form.Title}}"/>
        <w:tag w:val="{&quot;templafy&quot;:{&quot;id&quot;:&quot;cb3839a9-37c1-4559-bdcc-b4d8ea546739&quot;}}"/>
        <w:id w:val="-1579280861"/>
        <w:placeholder>
          <w:docPart w:val="D6BC960DB7B742C0B0B1C125CA0BC918"/>
        </w:placeholder>
      </w:sdtPr>
      <w:sdtEndPr/>
      <w:sdtContent>
        <w:r w:rsidRPr="00D4309F">
          <w:t>MOOLOOLABA BOAT HARBOUR ENTRANCE INDEPENDENT REVIEW</w:t>
        </w:r>
      </w:sdtContent>
    </w:sdt>
    <w:r w:rsidRPr="00D4309F">
      <w:t xml:space="preserve">  |  </w:t>
    </w:r>
    <w:fldSimple w:instr=" STYLEREF  &quot;Project date&quot;  \* MERGEFORMAT ">
      <w:r w:rsidR="00805350">
        <w:rPr>
          <w:noProof/>
        </w:rPr>
        <w:t>15 December 2025</w:t>
      </w:r>
    </w:fldSimple>
    <w:r w:rsidRPr="00D4309F">
      <w:t xml:space="preserve">  |  </w:t>
    </w:r>
    <w:sdt>
      <w:sdtPr>
        <w:alias w:val="{{Form.Version}}"/>
        <w:tag w:val="{&quot;templafy&quot;:{&quot;id&quot;:&quot;c1c6bc0a-9dfa-453a-9dbf-62e39b91b29a&quot;}}"/>
        <w:id w:val="-2133773101"/>
        <w:placeholder>
          <w:docPart w:val="47C4D00BB6B6449EA4039B3F09F3C924"/>
        </w:placeholder>
      </w:sdtPr>
      <w:sdtEndPr/>
      <w:sdtContent>
        <w:r w:rsidR="006A63A5">
          <w:t>1.0</w:t>
        </w:r>
      </w:sdtContent>
    </w:sdt>
    <w:r w:rsidRPr="00D4309F">
      <w:t xml:space="preserve">  |  </w:t>
    </w:r>
    <w:sdt>
      <w:sdtPr>
        <w:alias w:val="{{Form.BIM_Number}}"/>
        <w:tag w:val="{&quot;templafy&quot;:{&quot;id&quot;:&quot;6c2c5493-bab6-48cb-90fc-06e67fec9635&quot;}}"/>
        <w:id w:val="-1038893957"/>
        <w:placeholder>
          <w:docPart w:val="6CB854F15C004B61BB4CA63EB30E8D27"/>
        </w:placeholder>
      </w:sdtPr>
      <w:sdtEndPr/>
      <w:sdtContent>
        <w:r w:rsidRPr="00D4309F">
          <w:t>​</w:t>
        </w:r>
      </w:sdtContent>
    </w:sdt>
  </w:p>
  <w:p w14:paraId="659D3F51" w14:textId="32AF914D" w:rsidR="00FC61E2" w:rsidRPr="00D4309F" w:rsidRDefault="00FC61E2" w:rsidP="00FC61E2">
    <w:pPr>
      <w:pStyle w:val="Template-Web"/>
      <w:tabs>
        <w:tab w:val="clear" w:pos="4819"/>
      </w:tabs>
    </w:pPr>
    <w:r w:rsidRPr="00D4309F">
      <w:rPr>
        <w:noProof/>
      </w:rPr>
      <mc:AlternateContent>
        <mc:Choice Requires="wps">
          <w:drawing>
            <wp:anchor distT="0" distB="0" distL="114300" distR="114300" simplePos="0" relativeHeight="251658325" behindDoc="0" locked="0" layoutInCell="1" allowOverlap="1" wp14:anchorId="5C930222" wp14:editId="0EC5A7EC">
              <wp:simplePos x="0" y="0"/>
              <wp:positionH relativeFrom="page">
                <wp:align>right</wp:align>
              </wp:positionH>
              <wp:positionV relativeFrom="page">
                <wp:align>bottom</wp:align>
              </wp:positionV>
              <wp:extent cx="1216152" cy="484632"/>
              <wp:effectExtent l="0" t="0" r="3175" b="10795"/>
              <wp:wrapNone/>
              <wp:docPr id="835496355" name="Text Box 835496355"/>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44E2EEC2" w14:textId="77777777" w:rsidR="00FC61E2" w:rsidRPr="00D4309F" w:rsidRDefault="00FC61E2" w:rsidP="00FC61E2">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11475215"/>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930222" id="_x0000_t202" coordsize="21600,21600" o:spt="202" path="m,l,21600r21600,l21600,xe">
              <v:stroke joinstyle="miter"/>
              <v:path gradientshapeok="t" o:connecttype="rect"/>
            </v:shapetype>
            <v:shape id="Text Box 835496355" o:spid="_x0000_s1063" type="#_x0000_t202" style="position:absolute;margin-left:44.55pt;margin-top:0;width:95.75pt;height:38.15pt;z-index:251658325;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" filled="f" fillcolor="white [3201]" stroked="f" strokeweight=".5pt">
              <v:textbox inset="0,0,0,0">
                <w:txbxContent>
                  <w:p w14:paraId="44E2EEC2" w14:textId="77777777" w:rsidR="00FC61E2" w:rsidRPr="00D4309F" w:rsidRDefault="00FC61E2" w:rsidP="00FC61E2">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11475215"/>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507262778"/>
        <w:placeholder>
          <w:docPart w:val="F5485D3D60D44A29A79A790A88BF8387"/>
        </w:placeholder>
      </w:sdtPr>
      <w:sdtEndPr/>
      <w:sdtContent>
        <w:r w:rsidR="00F75C41">
          <w:t>rpsgroup</w:t>
        </w:r>
        <w:r w:rsidRPr="00D4309F">
          <w:t>.com</w:t>
        </w:r>
      </w:sdtContent>
    </w:sdt>
    <w:r>
      <w:t xml:space="preserve"> |</w:t>
    </w:r>
    <w:r w:rsidRPr="00835E05">
      <w:t xml:space="preserve"> </w:t>
    </w:r>
    <w:r w:rsidRPr="00D4309F">
      <w:t>coastalmanagement.com.au</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E4FF5A" w14:textId="1BA3FF5D" w:rsidR="00FC61E2" w:rsidRPr="00D4309F" w:rsidRDefault="00FC61E2" w:rsidP="00FC61E2">
    <w:pPr>
      <w:pStyle w:val="FooterBorder"/>
    </w:pPr>
    <w:r w:rsidRPr="00D4309F">
      <w:fldChar w:fldCharType="begin"/>
    </w:r>
    <w:r w:rsidRPr="00D4309F">
      <w:instrText xml:space="preserve"> STYLEREF  "Project reference" </w:instrText>
    </w:r>
    <w:r w:rsidRPr="00D4309F">
      <w:fldChar w:fldCharType="separate"/>
    </w:r>
    <w:r w:rsidR="00805350">
      <w:rPr>
        <w:noProof/>
      </w:rPr>
      <w:t>604-OEENVBNE-420124</w:t>
    </w:r>
    <w:r w:rsidRPr="00D4309F">
      <w:fldChar w:fldCharType="end"/>
    </w:r>
    <w:r w:rsidRPr="00D4309F">
      <w:t xml:space="preserve">  |  </w:t>
    </w:r>
    <w:sdt>
      <w:sdtPr>
        <w:alias w:val="{{Form.Title}}"/>
        <w:tag w:val="{&quot;templafy&quot;:{&quot;id&quot;:&quot;cb3839a9-37c1-4559-bdcc-b4d8ea546739&quot;}}"/>
        <w:id w:val="1056593413"/>
        <w:placeholder>
          <w:docPart w:val="AFB5D90E45E2437E84520E335034E341"/>
        </w:placeholder>
      </w:sdtPr>
      <w:sdtEndPr/>
      <w:sdtContent>
        <w:r w:rsidRPr="00D4309F">
          <w:t>MOOLOOLABA BOAT HARBOUR ENTRANCE INDEPENDENT REVIEW</w:t>
        </w:r>
      </w:sdtContent>
    </w:sdt>
    <w:r w:rsidRPr="00D4309F">
      <w:t xml:space="preserve">  |  </w:t>
    </w:r>
    <w:fldSimple w:instr=" STYLEREF  &quot;Project date&quot;  \* MERGEFORMAT ">
      <w:r w:rsidR="00805350">
        <w:rPr>
          <w:noProof/>
        </w:rPr>
        <w:t>15 December 2025</w:t>
      </w:r>
    </w:fldSimple>
    <w:r w:rsidRPr="00D4309F">
      <w:t xml:space="preserve">  |  </w:t>
    </w:r>
    <w:sdt>
      <w:sdtPr>
        <w:alias w:val="{{Form.Version}}"/>
        <w:tag w:val="{&quot;templafy&quot;:{&quot;id&quot;:&quot;c1c6bc0a-9dfa-453a-9dbf-62e39b91b29a&quot;}}"/>
        <w:id w:val="1444721778"/>
        <w:placeholder>
          <w:docPart w:val="30041667201D4C1F82CB5F80F49154B8"/>
        </w:placeholder>
      </w:sdtPr>
      <w:sdtEndPr/>
      <w:sdtContent>
        <w:r w:rsidR="006A63A5">
          <w:t>1.0</w:t>
        </w:r>
      </w:sdtContent>
    </w:sdt>
    <w:r w:rsidRPr="00D4309F">
      <w:t xml:space="preserve">  |  </w:t>
    </w:r>
    <w:sdt>
      <w:sdtPr>
        <w:alias w:val="{{Form.BIM_Number}}"/>
        <w:tag w:val="{&quot;templafy&quot;:{&quot;id&quot;:&quot;6c2c5493-bab6-48cb-90fc-06e67fec9635&quot;}}"/>
        <w:id w:val="-738248920"/>
        <w:placeholder>
          <w:docPart w:val="3B31E2C3370F4DEB9228502523326770"/>
        </w:placeholder>
      </w:sdtPr>
      <w:sdtEndPr/>
      <w:sdtContent>
        <w:r w:rsidRPr="00D4309F">
          <w:t>​</w:t>
        </w:r>
      </w:sdtContent>
    </w:sdt>
  </w:p>
  <w:p w14:paraId="5824FEC7" w14:textId="35BC0905" w:rsidR="00FC61E2" w:rsidRPr="00D4309F" w:rsidRDefault="00FC61E2" w:rsidP="00FC61E2">
    <w:pPr>
      <w:pStyle w:val="Template-Web"/>
      <w:tabs>
        <w:tab w:val="clear" w:pos="4819"/>
      </w:tabs>
    </w:pPr>
    <w:r w:rsidRPr="00D4309F">
      <w:rPr>
        <w:noProof/>
      </w:rPr>
      <mc:AlternateContent>
        <mc:Choice Requires="wps">
          <w:drawing>
            <wp:anchor distT="0" distB="0" distL="114300" distR="114300" simplePos="0" relativeHeight="251658326" behindDoc="0" locked="0" layoutInCell="1" allowOverlap="1" wp14:anchorId="1E4F0564" wp14:editId="588E92C9">
              <wp:simplePos x="0" y="0"/>
              <wp:positionH relativeFrom="page">
                <wp:align>right</wp:align>
              </wp:positionH>
              <wp:positionV relativeFrom="page">
                <wp:align>bottom</wp:align>
              </wp:positionV>
              <wp:extent cx="1216152" cy="484632"/>
              <wp:effectExtent l="0" t="0" r="3175" b="10795"/>
              <wp:wrapNone/>
              <wp:docPr id="900617443" name="Text Box 900617443"/>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23B47479" w14:textId="77777777" w:rsidR="00FC61E2" w:rsidRPr="00D4309F" w:rsidRDefault="00FC61E2" w:rsidP="00FC61E2">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636289635"/>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4F0564" id="_x0000_t202" coordsize="21600,21600" o:spt="202" path="m,l,21600r21600,l21600,xe">
              <v:stroke joinstyle="miter"/>
              <v:path gradientshapeok="t" o:connecttype="rect"/>
            </v:shapetype>
            <v:shape id="Text Box 900617443" o:spid="_x0000_s1065" type="#_x0000_t202" style="position:absolute;margin-left:44.55pt;margin-top:0;width:95.75pt;height:38.15pt;z-index:25165832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" filled="f" fillcolor="white [3201]" stroked="f" strokeweight=".5pt">
              <v:textbox inset="0,0,0,0">
                <w:txbxContent>
                  <w:p w14:paraId="23B47479" w14:textId="77777777" w:rsidR="00FC61E2" w:rsidRPr="00D4309F" w:rsidRDefault="00FC61E2" w:rsidP="00FC61E2">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636289635"/>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1482578201"/>
        <w:placeholder>
          <w:docPart w:val="9C96AA1DB8904FEE9434BB49BB45EB01"/>
        </w:placeholder>
      </w:sdtPr>
      <w:sdtEndPr/>
      <w:sdtContent>
        <w:r w:rsidR="00F75C41">
          <w:t>rpsgroup.com</w:t>
        </w:r>
      </w:sdtContent>
    </w:sdt>
    <w:r>
      <w:t xml:space="preserve"> |</w:t>
    </w:r>
    <w:r w:rsidRPr="00835E05">
      <w:t xml:space="preserve"> </w:t>
    </w:r>
    <w:r w:rsidRPr="00D4309F">
      <w:t>coastalmanagement.com.au</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91A0C0" w14:textId="77050B81" w:rsidR="00FC61E2" w:rsidRPr="00D4309F" w:rsidRDefault="00FC61E2" w:rsidP="00FC61E2">
    <w:pPr>
      <w:pStyle w:val="FooterBorder"/>
    </w:pPr>
    <w:r w:rsidRPr="00D4309F">
      <w:fldChar w:fldCharType="begin"/>
    </w:r>
    <w:r w:rsidRPr="00D4309F">
      <w:instrText xml:space="preserve"> STYLEREF  "Project reference" </w:instrText>
    </w:r>
    <w:r w:rsidRPr="00D4309F">
      <w:fldChar w:fldCharType="separate"/>
    </w:r>
    <w:r w:rsidR="00623E92">
      <w:rPr>
        <w:noProof/>
      </w:rPr>
      <w:t>604-OEENVBNE-420124</w:t>
    </w:r>
    <w:r w:rsidRPr="00D4309F">
      <w:fldChar w:fldCharType="end"/>
    </w:r>
    <w:r w:rsidRPr="00D4309F">
      <w:t xml:space="preserve">  |  </w:t>
    </w:r>
    <w:sdt>
      <w:sdtPr>
        <w:alias w:val="{{Form.Title}}"/>
        <w:tag w:val="{&quot;templafy&quot;:{&quot;id&quot;:&quot;cb3839a9-37c1-4559-bdcc-b4d8ea546739&quot;}}"/>
        <w:id w:val="1542479490"/>
        <w:placeholder>
          <w:docPart w:val="ACBD63E841E4456E89C77F890A08851F"/>
        </w:placeholder>
      </w:sdtPr>
      <w:sdtEndPr/>
      <w:sdtContent>
        <w:r w:rsidRPr="00D4309F">
          <w:t>MOOLOOLABA BOAT HARBOUR ENTRANCE INDEPENDENT REVIEW</w:t>
        </w:r>
      </w:sdtContent>
    </w:sdt>
    <w:r w:rsidRPr="00D4309F">
      <w:t xml:space="preserve">  |  </w:t>
    </w:r>
    <w:fldSimple w:instr=" STYLEREF  &quot;Project date&quot;  \* MERGEFORMAT ">
      <w:r w:rsidR="00623E92">
        <w:rPr>
          <w:noProof/>
        </w:rPr>
        <w:t>15 December 2025</w:t>
      </w:r>
    </w:fldSimple>
    <w:r w:rsidRPr="00D4309F">
      <w:t xml:space="preserve">  |  </w:t>
    </w:r>
    <w:sdt>
      <w:sdtPr>
        <w:alias w:val="{{Form.Version}}"/>
        <w:tag w:val="{&quot;templafy&quot;:{&quot;id&quot;:&quot;c1c6bc0a-9dfa-453a-9dbf-62e39b91b29a&quot;}}"/>
        <w:id w:val="-350869315"/>
        <w:placeholder>
          <w:docPart w:val="CEFE9A669B82477EAE1B3252C220EB59"/>
        </w:placeholder>
      </w:sdtPr>
      <w:sdtEndPr/>
      <w:sdtContent>
        <w:r w:rsidR="006A63A5">
          <w:t>1.0</w:t>
        </w:r>
      </w:sdtContent>
    </w:sdt>
    <w:r w:rsidRPr="00D4309F">
      <w:t xml:space="preserve">  |  </w:t>
    </w:r>
    <w:sdt>
      <w:sdtPr>
        <w:alias w:val="{{Form.BIM_Number}}"/>
        <w:tag w:val="{&quot;templafy&quot;:{&quot;id&quot;:&quot;6c2c5493-bab6-48cb-90fc-06e67fec9635&quot;}}"/>
        <w:id w:val="550274536"/>
        <w:placeholder>
          <w:docPart w:val="7EB3D0394E1144FBA3C53AED05E7CB58"/>
        </w:placeholder>
      </w:sdtPr>
      <w:sdtEndPr/>
      <w:sdtContent>
        <w:r w:rsidRPr="00D4309F">
          <w:t>​</w:t>
        </w:r>
      </w:sdtContent>
    </w:sdt>
  </w:p>
  <w:p w14:paraId="70D0C548" w14:textId="2B23F194" w:rsidR="00FC61E2" w:rsidRPr="00D4309F" w:rsidRDefault="00FC61E2" w:rsidP="00FC61E2">
    <w:pPr>
      <w:pStyle w:val="Template-Web"/>
      <w:tabs>
        <w:tab w:val="clear" w:pos="4819"/>
      </w:tabs>
    </w:pPr>
    <w:r w:rsidRPr="00D4309F">
      <w:rPr>
        <w:noProof/>
      </w:rPr>
      <mc:AlternateContent>
        <mc:Choice Requires="wps">
          <w:drawing>
            <wp:anchor distT="0" distB="0" distL="114300" distR="114300" simplePos="0" relativeHeight="251658327" behindDoc="0" locked="0" layoutInCell="1" allowOverlap="1" wp14:anchorId="142D4BB4" wp14:editId="28BDE546">
              <wp:simplePos x="0" y="0"/>
              <wp:positionH relativeFrom="page">
                <wp:align>right</wp:align>
              </wp:positionH>
              <wp:positionV relativeFrom="page">
                <wp:align>bottom</wp:align>
              </wp:positionV>
              <wp:extent cx="1216152" cy="484632"/>
              <wp:effectExtent l="0" t="0" r="3175" b="10795"/>
              <wp:wrapNone/>
              <wp:docPr id="905784397" name="Text Box 905784397"/>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79E19EAF" w14:textId="77777777" w:rsidR="00FC61E2" w:rsidRPr="00D4309F" w:rsidRDefault="00FC61E2" w:rsidP="00FC61E2">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773529226"/>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2D4BB4" id="_x0000_t202" coordsize="21600,21600" o:spt="202" path="m,l,21600r21600,l21600,xe">
              <v:stroke joinstyle="miter"/>
              <v:path gradientshapeok="t" o:connecttype="rect"/>
            </v:shapetype>
            <v:shape id="Text Box 905784397" o:spid="_x0000_s1067" type="#_x0000_t202" style="position:absolute;margin-left:44.55pt;margin-top:0;width:95.75pt;height:38.15pt;z-index:251658327;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" filled="f" fillcolor="white [3201]" stroked="f" strokeweight=".5pt">
              <v:textbox inset="0,0,0,0">
                <w:txbxContent>
                  <w:p w14:paraId="79E19EAF" w14:textId="77777777" w:rsidR="00FC61E2" w:rsidRPr="00D4309F" w:rsidRDefault="00FC61E2" w:rsidP="00FC61E2">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773529226"/>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1701595067"/>
        <w:placeholder>
          <w:docPart w:val="EDD94AAF76F54CA2800FD05230CE9A39"/>
        </w:placeholder>
      </w:sdtPr>
      <w:sdtEndPr/>
      <w:sdtContent>
        <w:r w:rsidR="00F75C41">
          <w:t>rpsgroup</w:t>
        </w:r>
        <w:r w:rsidRPr="00D4309F">
          <w:t>.com</w:t>
        </w:r>
      </w:sdtContent>
    </w:sdt>
    <w:r>
      <w:t xml:space="preserve"> |</w:t>
    </w:r>
    <w:r w:rsidRPr="00835E05">
      <w:t xml:space="preserve"> </w:t>
    </w:r>
    <w:r w:rsidRPr="00D4309F">
      <w:t>coastalmanagement.com.au</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7B41B7" w14:textId="6A0236FC" w:rsidR="00FC61E2" w:rsidRPr="00D4309F" w:rsidRDefault="00FC61E2" w:rsidP="00FC61E2">
    <w:pPr>
      <w:pStyle w:val="FooterBorder"/>
    </w:pPr>
    <w:r w:rsidRPr="00D4309F">
      <w:fldChar w:fldCharType="begin"/>
    </w:r>
    <w:r w:rsidRPr="00D4309F">
      <w:instrText xml:space="preserve"> STYLEREF  "Project reference" </w:instrText>
    </w:r>
    <w:r w:rsidRPr="00D4309F">
      <w:fldChar w:fldCharType="separate"/>
    </w:r>
    <w:r w:rsidR="00623E92">
      <w:rPr>
        <w:noProof/>
      </w:rPr>
      <w:t>604-OEENVBNE-420124</w:t>
    </w:r>
    <w:r w:rsidRPr="00D4309F">
      <w:fldChar w:fldCharType="end"/>
    </w:r>
    <w:r w:rsidRPr="00D4309F">
      <w:t xml:space="preserve">  |  </w:t>
    </w:r>
    <w:sdt>
      <w:sdtPr>
        <w:alias w:val="{{Form.Title}}"/>
        <w:tag w:val="{&quot;templafy&quot;:{&quot;id&quot;:&quot;cb3839a9-37c1-4559-bdcc-b4d8ea546739&quot;}}"/>
        <w:id w:val="852220956"/>
        <w:placeholder>
          <w:docPart w:val="8152E565508849EA9E5343BBF4A33048"/>
        </w:placeholder>
      </w:sdtPr>
      <w:sdtEndPr/>
      <w:sdtContent>
        <w:r w:rsidRPr="00D4309F">
          <w:t>MOOLOOLABA BOAT HARBOUR ENTRANCE INDEPENDENT REVIEW</w:t>
        </w:r>
      </w:sdtContent>
    </w:sdt>
    <w:r w:rsidRPr="00D4309F">
      <w:t xml:space="preserve">  |  </w:t>
    </w:r>
    <w:fldSimple w:instr=" STYLEREF  &quot;Project date&quot;  \* MERGEFORMAT ">
      <w:r w:rsidR="00623E92">
        <w:rPr>
          <w:noProof/>
        </w:rPr>
        <w:t>15 December 2025</w:t>
      </w:r>
    </w:fldSimple>
    <w:r w:rsidRPr="00D4309F">
      <w:t xml:space="preserve">  |  </w:t>
    </w:r>
    <w:sdt>
      <w:sdtPr>
        <w:alias w:val="{{Form.Version}}"/>
        <w:tag w:val="{&quot;templafy&quot;:{&quot;id&quot;:&quot;c1c6bc0a-9dfa-453a-9dbf-62e39b91b29a&quot;}}"/>
        <w:id w:val="-2010433316"/>
        <w:placeholder>
          <w:docPart w:val="22BA2F9C20A14569908531AE4C7B3C12"/>
        </w:placeholder>
      </w:sdtPr>
      <w:sdtEndPr/>
      <w:sdtContent>
        <w:r w:rsidR="006A63A5">
          <w:t>1.0</w:t>
        </w:r>
      </w:sdtContent>
    </w:sdt>
    <w:r w:rsidRPr="00D4309F">
      <w:t xml:space="preserve">  |  </w:t>
    </w:r>
    <w:sdt>
      <w:sdtPr>
        <w:alias w:val="{{Form.BIM_Number}}"/>
        <w:tag w:val="{&quot;templafy&quot;:{&quot;id&quot;:&quot;6c2c5493-bab6-48cb-90fc-06e67fec9635&quot;}}"/>
        <w:id w:val="-1868054968"/>
        <w:placeholder>
          <w:docPart w:val="29B4FF3E52074F36A089600C1893D574"/>
        </w:placeholder>
      </w:sdtPr>
      <w:sdtEndPr/>
      <w:sdtContent>
        <w:r w:rsidRPr="00D4309F">
          <w:t>​</w:t>
        </w:r>
      </w:sdtContent>
    </w:sdt>
  </w:p>
  <w:p w14:paraId="38950C02" w14:textId="7C2A1213" w:rsidR="00FC61E2" w:rsidRPr="00D4309F" w:rsidRDefault="00FC61E2" w:rsidP="00FC61E2">
    <w:pPr>
      <w:pStyle w:val="Template-Web"/>
      <w:tabs>
        <w:tab w:val="clear" w:pos="4819"/>
      </w:tabs>
    </w:pPr>
    <w:r w:rsidRPr="00D4309F">
      <w:rPr>
        <w:noProof/>
      </w:rPr>
      <mc:AlternateContent>
        <mc:Choice Requires="wps">
          <w:drawing>
            <wp:anchor distT="0" distB="0" distL="114300" distR="114300" simplePos="0" relativeHeight="251658328" behindDoc="0" locked="0" layoutInCell="1" allowOverlap="1" wp14:anchorId="48FA6C3D" wp14:editId="4A172CE3">
              <wp:simplePos x="0" y="0"/>
              <wp:positionH relativeFrom="page">
                <wp:align>right</wp:align>
              </wp:positionH>
              <wp:positionV relativeFrom="page">
                <wp:align>bottom</wp:align>
              </wp:positionV>
              <wp:extent cx="1216152" cy="484632"/>
              <wp:effectExtent l="0" t="0" r="3175" b="10795"/>
              <wp:wrapNone/>
              <wp:docPr id="765609679" name="Text Box 765609679"/>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5A076A06" w14:textId="77777777" w:rsidR="00FC61E2" w:rsidRPr="00D4309F" w:rsidRDefault="00FC61E2" w:rsidP="00FC61E2">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2063864435"/>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FA6C3D" id="_x0000_t202" coordsize="21600,21600" o:spt="202" path="m,l,21600r21600,l21600,xe">
              <v:stroke joinstyle="miter"/>
              <v:path gradientshapeok="t" o:connecttype="rect"/>
            </v:shapetype>
            <v:shape id="Text Box 765609679" o:spid="_x0000_s1069" type="#_x0000_t202" style="position:absolute;margin-left:44.55pt;margin-top:0;width:95.75pt;height:38.15pt;z-index:25165832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" filled="f" fillcolor="white [3201]" stroked="f" strokeweight=".5pt">
              <v:textbox inset="0,0,0,0">
                <w:txbxContent>
                  <w:p w14:paraId="5A076A06" w14:textId="77777777" w:rsidR="00FC61E2" w:rsidRPr="00D4309F" w:rsidRDefault="00FC61E2" w:rsidP="00FC61E2">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2063864435"/>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629439402"/>
        <w:placeholder>
          <w:docPart w:val="9A2128A0AD7B47FD9183637709206021"/>
        </w:placeholder>
      </w:sdtPr>
      <w:sdtEndPr/>
      <w:sdtContent>
        <w:r w:rsidR="00F75C41">
          <w:t>rpsgroup</w:t>
        </w:r>
        <w:r w:rsidRPr="00D4309F">
          <w:t>.com</w:t>
        </w:r>
      </w:sdtContent>
    </w:sdt>
    <w:r>
      <w:t xml:space="preserve"> |</w:t>
    </w:r>
    <w:r w:rsidRPr="00835E05">
      <w:t xml:space="preserve"> </w:t>
    </w:r>
    <w:r w:rsidRPr="00D4309F">
      <w:t>coastalmanagement.com.au</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425A2E" w14:textId="5061A035" w:rsidR="00FC61E2" w:rsidRPr="00D4309F" w:rsidRDefault="00FC61E2" w:rsidP="00FC61E2">
    <w:pPr>
      <w:pStyle w:val="FooterBorder"/>
    </w:pPr>
    <w:r w:rsidRPr="00D4309F">
      <w:fldChar w:fldCharType="begin"/>
    </w:r>
    <w:r w:rsidRPr="00D4309F">
      <w:instrText xml:space="preserve"> STYLEREF  "Project reference" </w:instrText>
    </w:r>
    <w:r w:rsidRPr="00D4309F">
      <w:fldChar w:fldCharType="separate"/>
    </w:r>
    <w:r w:rsidR="00623E92">
      <w:rPr>
        <w:noProof/>
      </w:rPr>
      <w:t>604-OEENVBNE-420124</w:t>
    </w:r>
    <w:r w:rsidRPr="00D4309F">
      <w:fldChar w:fldCharType="end"/>
    </w:r>
    <w:r w:rsidRPr="00D4309F">
      <w:t xml:space="preserve">  |  </w:t>
    </w:r>
    <w:sdt>
      <w:sdtPr>
        <w:alias w:val="{{Form.Title}}"/>
        <w:tag w:val="{&quot;templafy&quot;:{&quot;id&quot;:&quot;cb3839a9-37c1-4559-bdcc-b4d8ea546739&quot;}}"/>
        <w:id w:val="-1968108746"/>
        <w:placeholder>
          <w:docPart w:val="796507FE7DFA436497A21438B47426A3"/>
        </w:placeholder>
      </w:sdtPr>
      <w:sdtEndPr/>
      <w:sdtContent>
        <w:r w:rsidRPr="00D4309F">
          <w:t>MOOLOOLABA BOAT HARBOUR ENTRANCE INDEPENDENT REVIEW</w:t>
        </w:r>
      </w:sdtContent>
    </w:sdt>
    <w:r w:rsidRPr="00D4309F">
      <w:t xml:space="preserve">  |  </w:t>
    </w:r>
    <w:fldSimple w:instr=" STYLEREF  &quot;Project date&quot;  \* MERGEFORMAT ">
      <w:r w:rsidR="00623E92">
        <w:rPr>
          <w:noProof/>
        </w:rPr>
        <w:t>15 December 2025</w:t>
      </w:r>
    </w:fldSimple>
    <w:r w:rsidRPr="00D4309F">
      <w:t xml:space="preserve">  |  </w:t>
    </w:r>
    <w:sdt>
      <w:sdtPr>
        <w:alias w:val="{{Form.Version}}"/>
        <w:tag w:val="{&quot;templafy&quot;:{&quot;id&quot;:&quot;c1c6bc0a-9dfa-453a-9dbf-62e39b91b29a&quot;}}"/>
        <w:id w:val="1934544369"/>
        <w:placeholder>
          <w:docPart w:val="9A64EA2A07254BC29E9FCEF112E31F94"/>
        </w:placeholder>
      </w:sdtPr>
      <w:sdtEndPr/>
      <w:sdtContent>
        <w:r w:rsidR="006A63A5">
          <w:t>1.0</w:t>
        </w:r>
      </w:sdtContent>
    </w:sdt>
    <w:r w:rsidRPr="00D4309F">
      <w:t xml:space="preserve">  |  </w:t>
    </w:r>
    <w:sdt>
      <w:sdtPr>
        <w:alias w:val="{{Form.BIM_Number}}"/>
        <w:tag w:val="{&quot;templafy&quot;:{&quot;id&quot;:&quot;6c2c5493-bab6-48cb-90fc-06e67fec9635&quot;}}"/>
        <w:id w:val="-294143783"/>
        <w:placeholder>
          <w:docPart w:val="D92C038A4A5F46F583E780C0C43A4C8B"/>
        </w:placeholder>
      </w:sdtPr>
      <w:sdtEndPr/>
      <w:sdtContent>
        <w:r w:rsidRPr="00D4309F">
          <w:t>​</w:t>
        </w:r>
      </w:sdtContent>
    </w:sdt>
  </w:p>
  <w:p w14:paraId="228A5BB9" w14:textId="0339E4C6" w:rsidR="00FC61E2" w:rsidRPr="00D4309F" w:rsidRDefault="00FC61E2" w:rsidP="00FC61E2">
    <w:pPr>
      <w:pStyle w:val="Template-Web"/>
      <w:tabs>
        <w:tab w:val="clear" w:pos="4819"/>
      </w:tabs>
    </w:pPr>
    <w:r w:rsidRPr="00D4309F">
      <w:rPr>
        <w:noProof/>
      </w:rPr>
      <mc:AlternateContent>
        <mc:Choice Requires="wps">
          <w:drawing>
            <wp:anchor distT="0" distB="0" distL="114300" distR="114300" simplePos="0" relativeHeight="251658329" behindDoc="0" locked="0" layoutInCell="1" allowOverlap="1" wp14:anchorId="30ED86D9" wp14:editId="235B06FB">
              <wp:simplePos x="0" y="0"/>
              <wp:positionH relativeFrom="page">
                <wp:align>right</wp:align>
              </wp:positionH>
              <wp:positionV relativeFrom="page">
                <wp:align>bottom</wp:align>
              </wp:positionV>
              <wp:extent cx="1216152" cy="484632"/>
              <wp:effectExtent l="0" t="0" r="3175" b="10795"/>
              <wp:wrapNone/>
              <wp:docPr id="1527907721" name="Text Box 1527907721"/>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3CC5E080" w14:textId="77777777" w:rsidR="00FC61E2" w:rsidRPr="00D4309F" w:rsidRDefault="00FC61E2" w:rsidP="00FC61E2">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39111807"/>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ED86D9" id="_x0000_t202" coordsize="21600,21600" o:spt="202" path="m,l,21600r21600,l21600,xe">
              <v:stroke joinstyle="miter"/>
              <v:path gradientshapeok="t" o:connecttype="rect"/>
            </v:shapetype>
            <v:shape id="Text Box 1527907721" o:spid="_x0000_s1071" type="#_x0000_t202" style="position:absolute;margin-left:44.55pt;margin-top:0;width:95.75pt;height:38.15pt;z-index:251658329;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" filled="f" fillcolor="white [3201]" stroked="f" strokeweight=".5pt">
              <v:textbox inset="0,0,0,0">
                <w:txbxContent>
                  <w:p w14:paraId="3CC5E080" w14:textId="77777777" w:rsidR="00FC61E2" w:rsidRPr="00D4309F" w:rsidRDefault="00FC61E2" w:rsidP="00FC61E2">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39111807"/>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856431731"/>
        <w:placeholder>
          <w:docPart w:val="510A34E30FA14230B21AC925D86F91E0"/>
        </w:placeholder>
      </w:sdtPr>
      <w:sdtEndPr/>
      <w:sdtContent>
        <w:r w:rsidR="00F75C41">
          <w:t>rpsgroup</w:t>
        </w:r>
        <w:r w:rsidRPr="00D4309F">
          <w:t>.com</w:t>
        </w:r>
      </w:sdtContent>
    </w:sdt>
    <w:r>
      <w:t xml:space="preserve"> |</w:t>
    </w:r>
    <w:r w:rsidRPr="00835E05">
      <w:t xml:space="preserve"> </w:t>
    </w:r>
    <w:r w:rsidRPr="00D4309F">
      <w:t>coastalmanagement.com.au</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2C597" w14:textId="032AA9D4" w:rsidR="00D77489" w:rsidRPr="00D4309F" w:rsidRDefault="00BF6E36" w:rsidP="001B05D7">
    <w:pPr>
      <w:pStyle w:val="FooterBorder"/>
    </w:pPr>
    <w:r w:rsidRPr="00D4309F">
      <w:fldChar w:fldCharType="begin"/>
    </w:r>
    <w:r w:rsidRPr="00D4309F">
      <w:instrText xml:space="preserve"> STYLEREF  "Project reference" </w:instrText>
    </w:r>
    <w:r w:rsidRPr="00D4309F">
      <w:fldChar w:fldCharType="separate"/>
    </w:r>
    <w:r w:rsidR="009A5848">
      <w:rPr>
        <w:noProof/>
      </w:rPr>
      <w:t>604-OEENVBNE-420124</w:t>
    </w:r>
    <w:r w:rsidRPr="00D4309F">
      <w:fldChar w:fldCharType="end"/>
    </w:r>
    <w:r w:rsidRPr="00D4309F">
      <w:t xml:space="preserve">  |  </w:t>
    </w:r>
    <w:sdt>
      <w:sdtPr>
        <w:alias w:val="{{Form.Title}}"/>
        <w:tag w:val="{&quot;templafy&quot;:{&quot;id&quot;:&quot;cb3839a9-37c1-4559-bdcc-b4d8ea546739&quot;}}"/>
        <w:id w:val="-1845238085"/>
        <w:placeholder>
          <w:docPart w:val="5863F21251204E9184E443F0ECA5192D"/>
        </w:placeholder>
      </w:sdtPr>
      <w:sdtEndPr/>
      <w:sdtContent>
        <w:r w:rsidR="00ED36CF" w:rsidRPr="00D4309F">
          <w:t>MOOLOOLABA BOAT HARBOUR ENTRANCE INDEPENDENT REVIEW</w:t>
        </w:r>
      </w:sdtContent>
    </w:sdt>
    <w:r w:rsidRPr="00D4309F">
      <w:t xml:space="preserve">  |</w:t>
    </w:r>
    <w:r w:rsidR="00BB00C6" w:rsidRPr="00D4309F">
      <w:t xml:space="preserve">  </w:t>
    </w:r>
    <w:fldSimple w:instr=" STYLEREF  &quot;Project date&quot;  \* MERGEFORMAT ">
      <w:r w:rsidR="009A5848">
        <w:rPr>
          <w:noProof/>
        </w:rPr>
        <w:t>15 December 2025</w:t>
      </w:r>
    </w:fldSimple>
    <w:r w:rsidR="00DC1A46" w:rsidRPr="00D4309F">
      <w:t xml:space="preserve"> </w:t>
    </w:r>
    <w:r w:rsidRPr="00D4309F">
      <w:t xml:space="preserve"> </w:t>
    </w:r>
    <w:r w:rsidR="00BE24C2" w:rsidRPr="00D4309F">
      <w:t>|</w:t>
    </w:r>
    <w:r w:rsidR="00F171C4" w:rsidRPr="00D4309F">
      <w:t xml:space="preserve">  </w:t>
    </w:r>
    <w:sdt>
      <w:sdtPr>
        <w:alias w:val="{{Form.Version}}"/>
        <w:tag w:val="{&quot;templafy&quot;:{&quot;id&quot;:&quot;c1c6bc0a-9dfa-453a-9dbf-62e39b91b29a&quot;}}"/>
        <w:id w:val="678244470"/>
        <w:placeholder>
          <w:docPart w:val="2C07EC9FAAF84AD3A98B1BC7DED8F42C"/>
        </w:placeholder>
      </w:sdtPr>
      <w:sdtEndPr/>
      <w:sdtContent>
        <w:r w:rsidR="006A63A5">
          <w:t>1.0</w:t>
        </w:r>
      </w:sdtContent>
    </w:sdt>
    <w:r w:rsidR="001B05D7" w:rsidRPr="00D4309F">
      <w:t xml:space="preserve">  |  </w:t>
    </w:r>
    <w:sdt>
      <w:sdtPr>
        <w:alias w:val="{{Form.BIM_Number}}"/>
        <w:tag w:val="{&quot;templafy&quot;:{&quot;id&quot;:&quot;6c2c5493-bab6-48cb-90fc-06e67fec9635&quot;}}"/>
        <w:id w:val="2051574012"/>
        <w:placeholder>
          <w:docPart w:val="0A9313644AFF4924A67EB2EA7424C653"/>
        </w:placeholder>
      </w:sdtPr>
      <w:sdtEndPr/>
      <w:sdtContent>
        <w:r w:rsidRPr="00D4309F">
          <w:t>​</w:t>
        </w:r>
      </w:sdtContent>
    </w:sdt>
  </w:p>
  <w:p w14:paraId="1A13186F" w14:textId="3D40CACD" w:rsidR="00D77489" w:rsidRPr="00D4309F" w:rsidRDefault="00D77489" w:rsidP="00C706DA">
    <w:pPr>
      <w:pStyle w:val="Template-Web"/>
      <w:tabs>
        <w:tab w:val="clear" w:pos="4819"/>
      </w:tabs>
    </w:pPr>
    <w:r w:rsidRPr="00D4309F">
      <w:rPr>
        <w:noProof/>
      </w:rPr>
      <mc:AlternateContent>
        <mc:Choice Requires="wps">
          <w:drawing>
            <wp:anchor distT="0" distB="0" distL="114300" distR="114300" simplePos="0" relativeHeight="251658240" behindDoc="0" locked="0" layoutInCell="1" allowOverlap="1" wp14:anchorId="48996542" wp14:editId="3FCE7376">
              <wp:simplePos x="0" y="0"/>
              <wp:positionH relativeFrom="page">
                <wp:align>right</wp:align>
              </wp:positionH>
              <wp:positionV relativeFrom="page">
                <wp:align>bottom</wp:align>
              </wp:positionV>
              <wp:extent cx="1216152" cy="484632"/>
              <wp:effectExtent l="0" t="0" r="3175" b="10795"/>
              <wp:wrapNone/>
              <wp:docPr id="16" name="Text Box 16"/>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3E7BF6E4" w14:textId="77777777" w:rsidR="00D77489" w:rsidRPr="00D4309F" w:rsidRDefault="00C706DA" w:rsidP="00C706DA">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73919853"/>
                            </w:sdtPr>
                            <w:sdtEndPr>
                              <w:rPr>
                                <w:rStyle w:val="PageNumber"/>
                              </w:rPr>
                            </w:sdtEndPr>
                            <w:sdtContent>
                              <w:r w:rsidRPr="00D4309F">
                                <w:rPr>
                                  <w:rStyle w:val="PageNumber"/>
                                  <w:b w:val="0"/>
                                </w:rPr>
                                <w:t>Page</w:t>
                              </w:r>
                            </w:sdtContent>
                          </w:sdt>
                          <w:r w:rsidR="0019798E" w:rsidRPr="00D4309F">
                            <w:rPr>
                              <w:rStyle w:val="PageNumber"/>
                              <w:b w:val="0"/>
                            </w:rPr>
                            <w:t xml:space="preserve"> </w:t>
                          </w:r>
                          <w:r w:rsidR="0019798E" w:rsidRPr="00D4309F">
                            <w:rPr>
                              <w:rStyle w:val="PageNumber"/>
                              <w:b w:val="0"/>
                            </w:rPr>
                            <w:fldChar w:fldCharType="begin"/>
                          </w:r>
                          <w:r w:rsidR="0019798E" w:rsidRPr="00D4309F">
                            <w:rPr>
                              <w:rStyle w:val="PageNumber"/>
                              <w:b w:val="0"/>
                            </w:rPr>
                            <w:instrText xml:space="preserve"> PAGE   \* MERGEFORMAT </w:instrText>
                          </w:r>
                          <w:r w:rsidR="0019798E" w:rsidRPr="00D4309F">
                            <w:rPr>
                              <w:rStyle w:val="PageNumber"/>
                              <w:b w:val="0"/>
                            </w:rPr>
                            <w:fldChar w:fldCharType="separate"/>
                          </w:r>
                          <w:r w:rsidR="0019798E" w:rsidRPr="00D4309F">
                            <w:rPr>
                              <w:rStyle w:val="PageNumber"/>
                              <w:b w:val="0"/>
                              <w:noProof/>
                            </w:rPr>
                            <w:t>1</w:t>
                          </w:r>
                          <w:r w:rsidR="0019798E"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996542" id="_x0000_t202" coordsize="21600,21600" o:spt="202" path="m,l,21600r21600,l21600,xe">
              <v:stroke joinstyle="miter"/>
              <v:path gradientshapeok="t" o:connecttype="rect"/>
            </v:shapetype>
            <v:shape id="Text Box 16" o:spid="_x0000_s1035" type="#_x0000_t202" style="position:absolute;margin-left:44.55pt;margin-top:0;width:95.75pt;height:38.15pt;z-index:25165824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" filled="f" fillcolor="white [3201]" stroked="f" strokeweight=".5pt">
              <v:textbox inset="0,0,0,0">
                <w:txbxContent>
                  <w:p w14:paraId="3E7BF6E4" w14:textId="77777777" w:rsidR="00D77489" w:rsidRPr="00D4309F" w:rsidRDefault="00C706DA" w:rsidP="00C706DA">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73919853"/>
                      </w:sdtPr>
                      <w:sdtEndPr>
                        <w:rPr>
                          <w:rStyle w:val="PageNumber"/>
                        </w:rPr>
                      </w:sdtEndPr>
                      <w:sdtContent>
                        <w:r w:rsidRPr="00D4309F">
                          <w:rPr>
                            <w:rStyle w:val="PageNumber"/>
                            <w:b w:val="0"/>
                          </w:rPr>
                          <w:t>Page</w:t>
                        </w:r>
                      </w:sdtContent>
                    </w:sdt>
                    <w:r w:rsidR="0019798E" w:rsidRPr="00D4309F">
                      <w:rPr>
                        <w:rStyle w:val="PageNumber"/>
                        <w:b w:val="0"/>
                      </w:rPr>
                      <w:t xml:space="preserve"> </w:t>
                    </w:r>
                    <w:r w:rsidR="0019798E" w:rsidRPr="00D4309F">
                      <w:rPr>
                        <w:rStyle w:val="PageNumber"/>
                        <w:b w:val="0"/>
                      </w:rPr>
                      <w:fldChar w:fldCharType="begin"/>
                    </w:r>
                    <w:r w:rsidR="0019798E" w:rsidRPr="00D4309F">
                      <w:rPr>
                        <w:rStyle w:val="PageNumber"/>
                        <w:b w:val="0"/>
                      </w:rPr>
                      <w:instrText xml:space="preserve"> PAGE   \* MERGEFORMAT </w:instrText>
                    </w:r>
                    <w:r w:rsidR="0019798E" w:rsidRPr="00D4309F">
                      <w:rPr>
                        <w:rStyle w:val="PageNumber"/>
                        <w:b w:val="0"/>
                      </w:rPr>
                      <w:fldChar w:fldCharType="separate"/>
                    </w:r>
                    <w:r w:rsidR="0019798E" w:rsidRPr="00D4309F">
                      <w:rPr>
                        <w:rStyle w:val="PageNumber"/>
                        <w:b w:val="0"/>
                        <w:noProof/>
                      </w:rPr>
                      <w:t>1</w:t>
                    </w:r>
                    <w:r w:rsidR="0019798E"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1760642837"/>
        <w:placeholder>
          <w:docPart w:val="72278AE06FD248B8BECB3C957A68DB80"/>
        </w:placeholder>
      </w:sdtPr>
      <w:sdtEndPr/>
      <w:sdtContent>
        <w:r w:rsidR="002821A1">
          <w:t>rpsgroup</w:t>
        </w:r>
        <w:r w:rsidR="00D4309F" w:rsidRPr="00D4309F">
          <w:t>.com</w:t>
        </w:r>
      </w:sdtContent>
    </w:sdt>
    <w:r w:rsidR="00FF69DD">
      <w:t xml:space="preserve"> |</w:t>
    </w:r>
    <w:r w:rsidR="00835E05" w:rsidRPr="00835E05">
      <w:t xml:space="preserve"> </w:t>
    </w:r>
    <w:r w:rsidR="00835E05" w:rsidRPr="00D4309F">
      <w:t>coastalmanagement.com.au</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42D590" w14:textId="3F24A545" w:rsidR="00FC61E2" w:rsidRPr="00D4309F" w:rsidRDefault="00FC61E2" w:rsidP="00FC61E2">
    <w:pPr>
      <w:pStyle w:val="FooterBorder"/>
    </w:pPr>
    <w:r w:rsidRPr="00D4309F">
      <w:fldChar w:fldCharType="begin"/>
    </w:r>
    <w:r w:rsidRPr="00D4309F">
      <w:instrText xml:space="preserve"> STYLEREF  "Project reference" </w:instrText>
    </w:r>
    <w:r w:rsidRPr="00D4309F">
      <w:fldChar w:fldCharType="separate"/>
    </w:r>
    <w:r w:rsidR="00623E92">
      <w:rPr>
        <w:noProof/>
      </w:rPr>
      <w:t>604-OEENVBNE-420124</w:t>
    </w:r>
    <w:r w:rsidRPr="00D4309F">
      <w:fldChar w:fldCharType="end"/>
    </w:r>
    <w:r w:rsidRPr="00D4309F">
      <w:t xml:space="preserve">  |  </w:t>
    </w:r>
    <w:sdt>
      <w:sdtPr>
        <w:alias w:val="{{Form.Title}}"/>
        <w:tag w:val="{&quot;templafy&quot;:{&quot;id&quot;:&quot;cb3839a9-37c1-4559-bdcc-b4d8ea546739&quot;}}"/>
        <w:id w:val="88592857"/>
        <w:placeholder>
          <w:docPart w:val="C2C39B38EEF747418D811345656C17DB"/>
        </w:placeholder>
      </w:sdtPr>
      <w:sdtEndPr/>
      <w:sdtContent>
        <w:r w:rsidRPr="00D4309F">
          <w:t>MOOLOOLABA BOAT HARBOUR ENTRANCE INDEPENDENT REVIEW</w:t>
        </w:r>
      </w:sdtContent>
    </w:sdt>
    <w:r w:rsidRPr="00D4309F">
      <w:t xml:space="preserve">  |  </w:t>
    </w:r>
    <w:fldSimple w:instr=" STYLEREF  &quot;Project date&quot;  \* MERGEFORMAT ">
      <w:r w:rsidR="00623E92">
        <w:rPr>
          <w:noProof/>
        </w:rPr>
        <w:t>15 December 2025</w:t>
      </w:r>
    </w:fldSimple>
    <w:r w:rsidRPr="00D4309F">
      <w:t xml:space="preserve">  |  </w:t>
    </w:r>
    <w:sdt>
      <w:sdtPr>
        <w:alias w:val="{{Form.Version}}"/>
        <w:tag w:val="{&quot;templafy&quot;:{&quot;id&quot;:&quot;c1c6bc0a-9dfa-453a-9dbf-62e39b91b29a&quot;}}"/>
        <w:id w:val="-662155435"/>
        <w:placeholder>
          <w:docPart w:val="8A037C7911CA4038BA668949D99E94E7"/>
        </w:placeholder>
      </w:sdtPr>
      <w:sdtEndPr/>
      <w:sdtContent>
        <w:r w:rsidR="006A63A5">
          <w:t>1.0</w:t>
        </w:r>
      </w:sdtContent>
    </w:sdt>
    <w:r w:rsidRPr="00D4309F">
      <w:t xml:space="preserve">  |  </w:t>
    </w:r>
    <w:sdt>
      <w:sdtPr>
        <w:alias w:val="{{Form.BIM_Number}}"/>
        <w:tag w:val="{&quot;templafy&quot;:{&quot;id&quot;:&quot;6c2c5493-bab6-48cb-90fc-06e67fec9635&quot;}}"/>
        <w:id w:val="-914240263"/>
        <w:placeholder>
          <w:docPart w:val="D66114A9F107478FA80686898103D9DC"/>
        </w:placeholder>
      </w:sdtPr>
      <w:sdtEndPr/>
      <w:sdtContent>
        <w:r w:rsidRPr="00D4309F">
          <w:t>​</w:t>
        </w:r>
      </w:sdtContent>
    </w:sdt>
  </w:p>
  <w:p w14:paraId="3407B3E1" w14:textId="59A1773F" w:rsidR="00FC61E2" w:rsidRPr="00D4309F" w:rsidRDefault="00FC61E2" w:rsidP="00FC61E2">
    <w:pPr>
      <w:pStyle w:val="Template-Web"/>
      <w:tabs>
        <w:tab w:val="clear" w:pos="4819"/>
      </w:tabs>
    </w:pPr>
    <w:r w:rsidRPr="00D4309F">
      <w:rPr>
        <w:noProof/>
      </w:rPr>
      <mc:AlternateContent>
        <mc:Choice Requires="wps">
          <w:drawing>
            <wp:anchor distT="0" distB="0" distL="114300" distR="114300" simplePos="0" relativeHeight="251658330" behindDoc="0" locked="0" layoutInCell="1" allowOverlap="1" wp14:anchorId="268C8BEB" wp14:editId="78E06D4A">
              <wp:simplePos x="0" y="0"/>
              <wp:positionH relativeFrom="page">
                <wp:align>right</wp:align>
              </wp:positionH>
              <wp:positionV relativeFrom="page">
                <wp:align>bottom</wp:align>
              </wp:positionV>
              <wp:extent cx="1216152" cy="484632"/>
              <wp:effectExtent l="0" t="0" r="3175" b="10795"/>
              <wp:wrapNone/>
              <wp:docPr id="1936571755" name="Text Box 1936571755"/>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15CA9F02" w14:textId="77777777" w:rsidR="00FC61E2" w:rsidRPr="00D4309F" w:rsidRDefault="00FC61E2" w:rsidP="00FC61E2">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540859255"/>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8C8BEB" id="_x0000_t202" coordsize="21600,21600" o:spt="202" path="m,l,21600r21600,l21600,xe">
              <v:stroke joinstyle="miter"/>
              <v:path gradientshapeok="t" o:connecttype="rect"/>
            </v:shapetype>
            <v:shape id="Text Box 1936571755" o:spid="_x0000_s1074" type="#_x0000_t202" style="position:absolute;margin-left:44.55pt;margin-top:0;width:95.75pt;height:38.15pt;z-index:25165833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" filled="f" fillcolor="white [3201]" stroked="f" strokeweight=".5pt">
              <v:textbox inset="0,0,0,0">
                <w:txbxContent>
                  <w:p w14:paraId="15CA9F02" w14:textId="77777777" w:rsidR="00FC61E2" w:rsidRPr="00D4309F" w:rsidRDefault="00FC61E2" w:rsidP="00FC61E2">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540859255"/>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744332257"/>
        <w:placeholder>
          <w:docPart w:val="79B1189E2E864C2DA9A1F29159F6BF6E"/>
        </w:placeholder>
      </w:sdtPr>
      <w:sdtEndPr/>
      <w:sdtContent>
        <w:r w:rsidR="00F75C41">
          <w:t>rpsgroup</w:t>
        </w:r>
        <w:r w:rsidRPr="00D4309F">
          <w:t>.com</w:t>
        </w:r>
      </w:sdtContent>
    </w:sdt>
    <w:r>
      <w:t xml:space="preserve"> |</w:t>
    </w:r>
    <w:r w:rsidRPr="00835E05">
      <w:t xml:space="preserve"> </w:t>
    </w:r>
    <w:r w:rsidRPr="00D4309F">
      <w:t>coastalmanagement.com.au</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EC7254" w14:textId="2AAC7F71" w:rsidR="00A14306" w:rsidRPr="00D4309F" w:rsidRDefault="00A14306" w:rsidP="00A14306">
    <w:pPr>
      <w:pStyle w:val="FooterBorder"/>
    </w:pPr>
    <w:r w:rsidRPr="00D4309F">
      <w:fldChar w:fldCharType="begin"/>
    </w:r>
    <w:r w:rsidRPr="00D4309F">
      <w:instrText xml:space="preserve"> STYLEREF  "Project reference" </w:instrText>
    </w:r>
    <w:r w:rsidRPr="00D4309F">
      <w:fldChar w:fldCharType="separate"/>
    </w:r>
    <w:r w:rsidR="00623E92">
      <w:rPr>
        <w:noProof/>
      </w:rPr>
      <w:t>604-OEENVBNE-420124</w:t>
    </w:r>
    <w:r w:rsidRPr="00D4309F">
      <w:fldChar w:fldCharType="end"/>
    </w:r>
    <w:r w:rsidRPr="00D4309F">
      <w:t xml:space="preserve">  |  </w:t>
    </w:r>
    <w:sdt>
      <w:sdtPr>
        <w:alias w:val="{{Form.Title}}"/>
        <w:tag w:val="{&quot;templafy&quot;:{&quot;id&quot;:&quot;cb3839a9-37c1-4559-bdcc-b4d8ea546739&quot;}}"/>
        <w:id w:val="890386207"/>
        <w:placeholder>
          <w:docPart w:val="8F2B72F1662A479EB95EC662C9D9742D"/>
        </w:placeholder>
      </w:sdtPr>
      <w:sdtEndPr/>
      <w:sdtContent>
        <w:r w:rsidRPr="00D4309F">
          <w:t>MOOLOOLABA BOAT HARBOUR ENTRANCE INDEPENDENT REVIEW</w:t>
        </w:r>
      </w:sdtContent>
    </w:sdt>
    <w:r w:rsidRPr="00D4309F">
      <w:t xml:space="preserve">  |  </w:t>
    </w:r>
    <w:fldSimple w:instr=" STYLEREF  &quot;Project date&quot;  \* MERGEFORMAT ">
      <w:r w:rsidR="00623E92">
        <w:rPr>
          <w:noProof/>
        </w:rPr>
        <w:t>15 December 2025</w:t>
      </w:r>
    </w:fldSimple>
    <w:r w:rsidRPr="00D4309F">
      <w:t xml:space="preserve">  |  </w:t>
    </w:r>
    <w:sdt>
      <w:sdtPr>
        <w:alias w:val="{{Form.Version}}"/>
        <w:tag w:val="{&quot;templafy&quot;:{&quot;id&quot;:&quot;c1c6bc0a-9dfa-453a-9dbf-62e39b91b29a&quot;}}"/>
        <w:id w:val="-82688946"/>
        <w:placeholder>
          <w:docPart w:val="19FD94F015D14CEF80FD41AA94A6ADDC"/>
        </w:placeholder>
      </w:sdtPr>
      <w:sdtEndPr/>
      <w:sdtContent>
        <w:r w:rsidR="006A63A5">
          <w:t>1.0</w:t>
        </w:r>
      </w:sdtContent>
    </w:sdt>
    <w:r w:rsidRPr="00D4309F">
      <w:t xml:space="preserve">  |  </w:t>
    </w:r>
    <w:sdt>
      <w:sdtPr>
        <w:alias w:val="{{Form.BIM_Number}}"/>
        <w:tag w:val="{&quot;templafy&quot;:{&quot;id&quot;:&quot;6c2c5493-bab6-48cb-90fc-06e67fec9635&quot;}}"/>
        <w:id w:val="-1518455080"/>
        <w:placeholder>
          <w:docPart w:val="D4F1E93D8B9F4C4B8056AF12B340FF2B"/>
        </w:placeholder>
      </w:sdtPr>
      <w:sdtEndPr/>
      <w:sdtContent>
        <w:r w:rsidRPr="00D4309F">
          <w:t>​</w:t>
        </w:r>
      </w:sdtContent>
    </w:sdt>
  </w:p>
  <w:p w14:paraId="7CEAB8A2" w14:textId="6D8734DF" w:rsidR="00A14306" w:rsidRPr="00D4309F" w:rsidRDefault="00A14306" w:rsidP="00A14306">
    <w:pPr>
      <w:pStyle w:val="Template-Web"/>
      <w:tabs>
        <w:tab w:val="clear" w:pos="4819"/>
      </w:tabs>
    </w:pPr>
    <w:r w:rsidRPr="00D4309F">
      <w:rPr>
        <w:noProof/>
      </w:rPr>
      <mc:AlternateContent>
        <mc:Choice Requires="wps">
          <w:drawing>
            <wp:anchor distT="0" distB="0" distL="114300" distR="114300" simplePos="0" relativeHeight="251658331" behindDoc="0" locked="0" layoutInCell="1" allowOverlap="1" wp14:anchorId="53BA20ED" wp14:editId="268E0A87">
              <wp:simplePos x="0" y="0"/>
              <wp:positionH relativeFrom="page">
                <wp:align>right</wp:align>
              </wp:positionH>
              <wp:positionV relativeFrom="page">
                <wp:align>bottom</wp:align>
              </wp:positionV>
              <wp:extent cx="1216152" cy="484632"/>
              <wp:effectExtent l="0" t="0" r="3175" b="10795"/>
              <wp:wrapNone/>
              <wp:docPr id="4931535" name="Text Box 4931535"/>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169FEA4E" w14:textId="77777777" w:rsidR="00A14306" w:rsidRPr="00D4309F" w:rsidRDefault="00A14306" w:rsidP="00A14306">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5550524"/>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BA20ED" id="_x0000_t202" coordsize="21600,21600" o:spt="202" path="m,l,21600r21600,l21600,xe">
              <v:stroke joinstyle="miter"/>
              <v:path gradientshapeok="t" o:connecttype="rect"/>
            </v:shapetype>
            <v:shape id="Text Box 4931535" o:spid="_x0000_s1076" type="#_x0000_t202" style="position:absolute;margin-left:44.55pt;margin-top:0;width:95.75pt;height:38.15pt;z-index:251658331;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" filled="f" fillcolor="white [3201]" stroked="f" strokeweight=".5pt">
              <v:textbox inset="0,0,0,0">
                <w:txbxContent>
                  <w:p w14:paraId="169FEA4E" w14:textId="77777777" w:rsidR="00A14306" w:rsidRPr="00D4309F" w:rsidRDefault="00A14306" w:rsidP="00A14306">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5550524"/>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1550414978"/>
        <w:placeholder>
          <w:docPart w:val="2A5B239213E247E0A64526FDBB297996"/>
        </w:placeholder>
      </w:sdtPr>
      <w:sdtEndPr/>
      <w:sdtContent>
        <w:r w:rsidR="00F75C41">
          <w:t>rpsgroup</w:t>
        </w:r>
        <w:r w:rsidRPr="00D4309F">
          <w:t>.com</w:t>
        </w:r>
      </w:sdtContent>
    </w:sdt>
    <w:r>
      <w:t xml:space="preserve"> |</w:t>
    </w:r>
    <w:r w:rsidRPr="00835E05">
      <w:t xml:space="preserve"> </w:t>
    </w:r>
    <w:r w:rsidRPr="00D4309F">
      <w:t>coastalmanagement.com.au</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E5DB2" w14:textId="75FD70EE" w:rsidR="00A14306" w:rsidRPr="00D4309F" w:rsidRDefault="00A14306" w:rsidP="00A14306">
    <w:pPr>
      <w:pStyle w:val="FooterBorder"/>
    </w:pPr>
    <w:r w:rsidRPr="00D4309F">
      <w:fldChar w:fldCharType="begin"/>
    </w:r>
    <w:r w:rsidRPr="00D4309F">
      <w:instrText xml:space="preserve"> STYLEREF  "Project reference" </w:instrText>
    </w:r>
    <w:r w:rsidRPr="00D4309F">
      <w:fldChar w:fldCharType="separate"/>
    </w:r>
    <w:r w:rsidR="001C225C">
      <w:rPr>
        <w:noProof/>
      </w:rPr>
      <w:t>604-OEENVBNE-420124</w:t>
    </w:r>
    <w:r w:rsidRPr="00D4309F">
      <w:fldChar w:fldCharType="end"/>
    </w:r>
    <w:r w:rsidRPr="00D4309F">
      <w:t xml:space="preserve">  |  </w:t>
    </w:r>
    <w:sdt>
      <w:sdtPr>
        <w:alias w:val="{{Form.Title}}"/>
        <w:tag w:val="{&quot;templafy&quot;:{&quot;id&quot;:&quot;cb3839a9-37c1-4559-bdcc-b4d8ea546739&quot;}}"/>
        <w:id w:val="-1935342000"/>
        <w:placeholder>
          <w:docPart w:val="89C79F5A0BCD429FBC58F70453E8E109"/>
        </w:placeholder>
      </w:sdtPr>
      <w:sdtEndPr/>
      <w:sdtContent>
        <w:r w:rsidRPr="00D4309F">
          <w:t>MOOLOOLABA BOAT HARBOUR ENTRANCE INDEPENDENT REVIEW</w:t>
        </w:r>
      </w:sdtContent>
    </w:sdt>
    <w:r w:rsidRPr="00D4309F">
      <w:t xml:space="preserve">  |  </w:t>
    </w:r>
    <w:fldSimple w:instr=" STYLEREF  &quot;Project date&quot;  \* MERGEFORMAT ">
      <w:r w:rsidR="001C225C">
        <w:rPr>
          <w:noProof/>
        </w:rPr>
        <w:t>15 December 2025</w:t>
      </w:r>
    </w:fldSimple>
    <w:r w:rsidRPr="00D4309F">
      <w:t xml:space="preserve">  |  </w:t>
    </w:r>
    <w:sdt>
      <w:sdtPr>
        <w:alias w:val="{{Form.Version}}"/>
        <w:tag w:val="{&quot;templafy&quot;:{&quot;id&quot;:&quot;c1c6bc0a-9dfa-453a-9dbf-62e39b91b29a&quot;}}"/>
        <w:id w:val="-2040192425"/>
        <w:placeholder>
          <w:docPart w:val="D1991ED1E0134489B44946AFED71FDFC"/>
        </w:placeholder>
      </w:sdtPr>
      <w:sdtEndPr/>
      <w:sdtContent>
        <w:r w:rsidR="006A63A5">
          <w:t>1.0</w:t>
        </w:r>
      </w:sdtContent>
    </w:sdt>
    <w:r w:rsidRPr="00D4309F">
      <w:t xml:space="preserve">  |  </w:t>
    </w:r>
    <w:sdt>
      <w:sdtPr>
        <w:alias w:val="{{Form.BIM_Number}}"/>
        <w:tag w:val="{&quot;templafy&quot;:{&quot;id&quot;:&quot;6c2c5493-bab6-48cb-90fc-06e67fec9635&quot;}}"/>
        <w:id w:val="-1539197389"/>
        <w:placeholder>
          <w:docPart w:val="28533DF699294F9CBE8C88B6AEE9EEF5"/>
        </w:placeholder>
      </w:sdtPr>
      <w:sdtEndPr/>
      <w:sdtContent>
        <w:r w:rsidRPr="00D4309F">
          <w:t>​</w:t>
        </w:r>
      </w:sdtContent>
    </w:sdt>
  </w:p>
  <w:p w14:paraId="5A1D25FE" w14:textId="42CA07A6" w:rsidR="00A14306" w:rsidRPr="00D4309F" w:rsidRDefault="00A14306" w:rsidP="00A14306">
    <w:pPr>
      <w:pStyle w:val="Template-Web"/>
      <w:tabs>
        <w:tab w:val="clear" w:pos="4819"/>
      </w:tabs>
    </w:pPr>
    <w:r w:rsidRPr="00D4309F">
      <w:rPr>
        <w:noProof/>
      </w:rPr>
      <mc:AlternateContent>
        <mc:Choice Requires="wps">
          <w:drawing>
            <wp:anchor distT="0" distB="0" distL="114300" distR="114300" simplePos="0" relativeHeight="251658332" behindDoc="0" locked="0" layoutInCell="1" allowOverlap="1" wp14:anchorId="2B47612F" wp14:editId="6C680EBB">
              <wp:simplePos x="0" y="0"/>
              <wp:positionH relativeFrom="page">
                <wp:align>right</wp:align>
              </wp:positionH>
              <wp:positionV relativeFrom="page">
                <wp:align>bottom</wp:align>
              </wp:positionV>
              <wp:extent cx="1216152" cy="484632"/>
              <wp:effectExtent l="0" t="0" r="3175" b="10795"/>
              <wp:wrapNone/>
              <wp:docPr id="937026925" name="Text Box 937026925"/>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4E4A702D" w14:textId="77777777" w:rsidR="00A14306" w:rsidRPr="00D4309F" w:rsidRDefault="00A14306" w:rsidP="00A14306">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408121439"/>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47612F" id="_x0000_t202" coordsize="21600,21600" o:spt="202" path="m,l,21600r21600,l21600,xe">
              <v:stroke joinstyle="miter"/>
              <v:path gradientshapeok="t" o:connecttype="rect"/>
            </v:shapetype>
            <v:shape id="Text Box 937026925" o:spid="_x0000_s1078" type="#_x0000_t202" style="position:absolute;margin-left:44.55pt;margin-top:0;width:95.75pt;height:38.15pt;z-index:25165833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" filled="f" fillcolor="white [3201]" stroked="f" strokeweight=".5pt">
              <v:textbox inset="0,0,0,0">
                <w:txbxContent>
                  <w:p w14:paraId="4E4A702D" w14:textId="77777777" w:rsidR="00A14306" w:rsidRPr="00D4309F" w:rsidRDefault="00A14306" w:rsidP="00A14306">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408121439"/>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807519130"/>
        <w:placeholder>
          <w:docPart w:val="E6132EB35C27402FAF9732278E9AE707"/>
        </w:placeholder>
      </w:sdtPr>
      <w:sdtEndPr/>
      <w:sdtContent>
        <w:r w:rsidR="00F75C41">
          <w:t>rpsgroup</w:t>
        </w:r>
        <w:r w:rsidRPr="00D4309F">
          <w:t>.com</w:t>
        </w:r>
      </w:sdtContent>
    </w:sdt>
    <w:r>
      <w:t xml:space="preserve"> |</w:t>
    </w:r>
    <w:r w:rsidRPr="00835E05">
      <w:t xml:space="preserve"> </w:t>
    </w:r>
    <w:r w:rsidRPr="00D4309F">
      <w:t>coastalmanagement.com.au</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2CA6EA" w14:textId="5BEBA497" w:rsidR="00C2192A" w:rsidRPr="00D4309F" w:rsidRDefault="00C2192A" w:rsidP="00C2192A">
    <w:pPr>
      <w:pStyle w:val="FooterBorder"/>
    </w:pPr>
    <w:r w:rsidRPr="00D4309F">
      <w:fldChar w:fldCharType="begin"/>
    </w:r>
    <w:r w:rsidRPr="00D4309F">
      <w:instrText xml:space="preserve"> STYLEREF  "Project reference" </w:instrText>
    </w:r>
    <w:r w:rsidRPr="00D4309F">
      <w:fldChar w:fldCharType="separate"/>
    </w:r>
    <w:r w:rsidR="00374AAC">
      <w:rPr>
        <w:noProof/>
      </w:rPr>
      <w:t>604-OEENVBNE-420124</w:t>
    </w:r>
    <w:r w:rsidRPr="00D4309F">
      <w:fldChar w:fldCharType="end"/>
    </w:r>
    <w:r w:rsidRPr="00D4309F">
      <w:t xml:space="preserve">  |  </w:t>
    </w:r>
    <w:sdt>
      <w:sdtPr>
        <w:alias w:val="{{Form.Title}}"/>
        <w:tag w:val="{&quot;templafy&quot;:{&quot;id&quot;:&quot;cb3839a9-37c1-4559-bdcc-b4d8ea546739&quot;}}"/>
        <w:id w:val="1916127408"/>
        <w:placeholder>
          <w:docPart w:val="9C66B0678B8E408195D05DEF041808BA"/>
        </w:placeholder>
      </w:sdtPr>
      <w:sdtEndPr/>
      <w:sdtContent>
        <w:r w:rsidRPr="00D4309F">
          <w:t>MOOLOOLABA BOAT HARBOUR ENTRANCE INDEPENDENT REVIEW</w:t>
        </w:r>
      </w:sdtContent>
    </w:sdt>
    <w:r w:rsidRPr="00D4309F">
      <w:t xml:space="preserve">  |  </w:t>
    </w:r>
    <w:fldSimple w:instr=" STYLEREF  &quot;Project date&quot;  \* MERGEFORMAT ">
      <w:r w:rsidR="00374AAC">
        <w:rPr>
          <w:noProof/>
        </w:rPr>
        <w:t>15 December 2025</w:t>
      </w:r>
    </w:fldSimple>
    <w:r w:rsidRPr="00D4309F">
      <w:t xml:space="preserve">  |  </w:t>
    </w:r>
    <w:sdt>
      <w:sdtPr>
        <w:alias w:val="{{Form.Version}}"/>
        <w:tag w:val="{&quot;templafy&quot;:{&quot;id&quot;:&quot;c1c6bc0a-9dfa-453a-9dbf-62e39b91b29a&quot;}}"/>
        <w:id w:val="1851521156"/>
        <w:placeholder>
          <w:docPart w:val="91FC31BEA94A4AF8B9C094BE0F72F63F"/>
        </w:placeholder>
      </w:sdtPr>
      <w:sdtEndPr/>
      <w:sdtContent>
        <w:r w:rsidR="006A63A5">
          <w:t>1.0</w:t>
        </w:r>
      </w:sdtContent>
    </w:sdt>
    <w:r w:rsidRPr="00D4309F">
      <w:t xml:space="preserve">  |  </w:t>
    </w:r>
    <w:sdt>
      <w:sdtPr>
        <w:alias w:val="{{Form.BIM_Number}}"/>
        <w:tag w:val="{&quot;templafy&quot;:{&quot;id&quot;:&quot;6c2c5493-bab6-48cb-90fc-06e67fec9635&quot;}}"/>
        <w:id w:val="1353997130"/>
        <w:placeholder>
          <w:docPart w:val="9524A75405994663BE8C4BB9F0049797"/>
        </w:placeholder>
      </w:sdtPr>
      <w:sdtEndPr/>
      <w:sdtContent>
        <w:r w:rsidRPr="00D4309F">
          <w:t>​</w:t>
        </w:r>
      </w:sdtContent>
    </w:sdt>
  </w:p>
  <w:p w14:paraId="060C1D80" w14:textId="68B1261D" w:rsidR="00C2192A" w:rsidRPr="00D4309F" w:rsidRDefault="00C2192A" w:rsidP="00C2192A">
    <w:pPr>
      <w:pStyle w:val="Template-Web"/>
      <w:tabs>
        <w:tab w:val="clear" w:pos="4819"/>
      </w:tabs>
    </w:pPr>
    <w:r w:rsidRPr="00D4309F">
      <w:rPr>
        <w:noProof/>
      </w:rPr>
      <mc:AlternateContent>
        <mc:Choice Requires="wps">
          <w:drawing>
            <wp:anchor distT="0" distB="0" distL="114300" distR="114300" simplePos="0" relativeHeight="251658333" behindDoc="0" locked="0" layoutInCell="1" allowOverlap="1" wp14:anchorId="19D47DB6" wp14:editId="07E78128">
              <wp:simplePos x="0" y="0"/>
              <wp:positionH relativeFrom="page">
                <wp:align>right</wp:align>
              </wp:positionH>
              <wp:positionV relativeFrom="page">
                <wp:align>bottom</wp:align>
              </wp:positionV>
              <wp:extent cx="1216152" cy="484632"/>
              <wp:effectExtent l="0" t="0" r="3175" b="10795"/>
              <wp:wrapNone/>
              <wp:docPr id="302708" name="Text Box 302708"/>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623ABB34" w14:textId="77777777" w:rsidR="00C2192A" w:rsidRPr="00D4309F" w:rsidRDefault="00C2192A" w:rsidP="00C2192A">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857695230"/>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D47DB6" id="_x0000_t202" coordsize="21600,21600" o:spt="202" path="m,l,21600r21600,l21600,xe">
              <v:stroke joinstyle="miter"/>
              <v:path gradientshapeok="t" o:connecttype="rect"/>
            </v:shapetype>
            <v:shape id="Text Box 302708" o:spid="_x0000_s1079" type="#_x0000_t202" style="position:absolute;margin-left:44.55pt;margin-top:0;width:95.75pt;height:38.15pt;z-index:251658333;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" filled="f" fillcolor="white [3201]" stroked="f" strokeweight=".5pt">
              <v:textbox inset="0,0,0,0">
                <w:txbxContent>
                  <w:p w14:paraId="623ABB34" w14:textId="77777777" w:rsidR="00C2192A" w:rsidRPr="00D4309F" w:rsidRDefault="00C2192A" w:rsidP="00C2192A">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857695230"/>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1789085495"/>
        <w:placeholder>
          <w:docPart w:val="A0A16981E424442DBF687FA39848F799"/>
        </w:placeholder>
      </w:sdtPr>
      <w:sdtEndPr/>
      <w:sdtContent>
        <w:r w:rsidR="00851209">
          <w:t>rpsgroup</w:t>
        </w:r>
        <w:r w:rsidRPr="00D4309F">
          <w:t>.com</w:t>
        </w:r>
      </w:sdtContent>
    </w:sdt>
    <w:r>
      <w:t xml:space="preserve"> |</w:t>
    </w:r>
    <w:r w:rsidRPr="00835E05">
      <w:t xml:space="preserve"> </w:t>
    </w:r>
    <w:r w:rsidRPr="00D4309F">
      <w:t>coastalmanagement.com.au</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DFDDCB" w14:textId="5485BA59" w:rsidR="00F90273" w:rsidRPr="00D4309F" w:rsidRDefault="00F90273" w:rsidP="00F90273">
    <w:pPr>
      <w:pStyle w:val="FooterBorder"/>
    </w:pPr>
    <w:r w:rsidRPr="00D4309F">
      <w:fldChar w:fldCharType="begin"/>
    </w:r>
    <w:r w:rsidRPr="00D4309F">
      <w:instrText xml:space="preserve"> STYLEREF  "Project reference" </w:instrText>
    </w:r>
    <w:r w:rsidRPr="00D4309F">
      <w:fldChar w:fldCharType="separate"/>
    </w:r>
    <w:r w:rsidR="001C225C">
      <w:rPr>
        <w:noProof/>
      </w:rPr>
      <w:t>604-OEENVBNE-420124</w:t>
    </w:r>
    <w:r w:rsidRPr="00D4309F">
      <w:fldChar w:fldCharType="end"/>
    </w:r>
    <w:r w:rsidRPr="00D4309F">
      <w:t xml:space="preserve">  |  </w:t>
    </w:r>
    <w:sdt>
      <w:sdtPr>
        <w:alias w:val="{{Form.Title}}"/>
        <w:tag w:val="{&quot;templafy&quot;:{&quot;id&quot;:&quot;cb3839a9-37c1-4559-bdcc-b4d8ea546739&quot;}}"/>
        <w:id w:val="965479157"/>
        <w:placeholder>
          <w:docPart w:val="80E472153E234DB3B2B1DEFD377FD797"/>
        </w:placeholder>
      </w:sdtPr>
      <w:sdtEndPr/>
      <w:sdtContent>
        <w:r w:rsidRPr="00D4309F">
          <w:t>MOOLOOLABA BOAT HARBOUR ENTRANCE INDEPENDENT REVIEW</w:t>
        </w:r>
      </w:sdtContent>
    </w:sdt>
    <w:r w:rsidRPr="00D4309F">
      <w:t xml:space="preserve">  |  </w:t>
    </w:r>
    <w:fldSimple w:instr=" STYLEREF  &quot;Project date&quot;  \* MERGEFORMAT ">
      <w:r w:rsidR="001C225C">
        <w:rPr>
          <w:noProof/>
        </w:rPr>
        <w:t>15 December 2025</w:t>
      </w:r>
    </w:fldSimple>
    <w:r w:rsidRPr="00D4309F">
      <w:t xml:space="preserve">  |  </w:t>
    </w:r>
    <w:sdt>
      <w:sdtPr>
        <w:alias w:val="{{Form.Version}}"/>
        <w:tag w:val="{&quot;templafy&quot;:{&quot;id&quot;:&quot;c1c6bc0a-9dfa-453a-9dbf-62e39b91b29a&quot;}}"/>
        <w:id w:val="-1368986759"/>
        <w:placeholder>
          <w:docPart w:val="3A73DCD585224A6B8E4BE74F8CA39B59"/>
        </w:placeholder>
      </w:sdtPr>
      <w:sdtEndPr/>
      <w:sdtContent>
        <w:r w:rsidR="006A63A5">
          <w:t>1.0</w:t>
        </w:r>
      </w:sdtContent>
    </w:sdt>
    <w:r w:rsidRPr="00D4309F">
      <w:t xml:space="preserve">  |  </w:t>
    </w:r>
    <w:sdt>
      <w:sdtPr>
        <w:alias w:val="{{Form.BIM_Number}}"/>
        <w:tag w:val="{&quot;templafy&quot;:{&quot;id&quot;:&quot;6c2c5493-bab6-48cb-90fc-06e67fec9635&quot;}}"/>
        <w:id w:val="-204790920"/>
        <w:placeholder>
          <w:docPart w:val="5A8911D070FF4B6382F19CD191EE0B96"/>
        </w:placeholder>
      </w:sdtPr>
      <w:sdtEndPr/>
      <w:sdtContent>
        <w:r w:rsidRPr="00D4309F">
          <w:t>​</w:t>
        </w:r>
      </w:sdtContent>
    </w:sdt>
  </w:p>
  <w:p w14:paraId="5B4C934E" w14:textId="6DD0618C" w:rsidR="00F90273" w:rsidRPr="00D4309F" w:rsidRDefault="00F90273" w:rsidP="00F90273">
    <w:pPr>
      <w:pStyle w:val="Template-Web"/>
      <w:tabs>
        <w:tab w:val="clear" w:pos="4819"/>
      </w:tabs>
    </w:pPr>
    <w:r w:rsidRPr="00D4309F">
      <w:rPr>
        <w:noProof/>
      </w:rPr>
      <mc:AlternateContent>
        <mc:Choice Requires="wps">
          <w:drawing>
            <wp:anchor distT="0" distB="0" distL="114300" distR="114300" simplePos="0" relativeHeight="251658334" behindDoc="0" locked="0" layoutInCell="1" allowOverlap="1" wp14:anchorId="23BBFA05" wp14:editId="7D734DC1">
              <wp:simplePos x="0" y="0"/>
              <wp:positionH relativeFrom="page">
                <wp:align>right</wp:align>
              </wp:positionH>
              <wp:positionV relativeFrom="page">
                <wp:align>bottom</wp:align>
              </wp:positionV>
              <wp:extent cx="1216152" cy="484632"/>
              <wp:effectExtent l="0" t="0" r="3175" b="10795"/>
              <wp:wrapNone/>
              <wp:docPr id="903405497" name="Text Box 903405497"/>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62ED4E40" w14:textId="77777777" w:rsidR="00F90273" w:rsidRPr="00D4309F" w:rsidRDefault="00F90273" w:rsidP="00F90273">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777715155"/>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BBFA05" id="_x0000_t202" coordsize="21600,21600" o:spt="202" path="m,l,21600r21600,l21600,xe">
              <v:stroke joinstyle="miter"/>
              <v:path gradientshapeok="t" o:connecttype="rect"/>
            </v:shapetype>
            <v:shape id="Text Box 903405497" o:spid="_x0000_s1081" type="#_x0000_t202" style="position:absolute;margin-left:44.55pt;margin-top:0;width:95.75pt;height:38.15pt;z-index:25165833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" filled="f" fillcolor="white [3201]" stroked="f" strokeweight=".5pt">
              <v:textbox inset="0,0,0,0">
                <w:txbxContent>
                  <w:p w14:paraId="62ED4E40" w14:textId="77777777" w:rsidR="00F90273" w:rsidRPr="00D4309F" w:rsidRDefault="00F90273" w:rsidP="00F90273">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777715155"/>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293953513"/>
        <w:placeholder>
          <w:docPart w:val="4CB0DD46E7A948F19A2F4713E8288640"/>
        </w:placeholder>
      </w:sdtPr>
      <w:sdtEndPr/>
      <w:sdtContent>
        <w:r w:rsidR="00851209">
          <w:t>rpsgroup</w:t>
        </w:r>
        <w:r w:rsidRPr="00D4309F">
          <w:t>.com</w:t>
        </w:r>
      </w:sdtContent>
    </w:sdt>
    <w:r>
      <w:t xml:space="preserve"> |</w:t>
    </w:r>
    <w:r w:rsidRPr="00835E05">
      <w:t xml:space="preserve"> </w:t>
    </w:r>
    <w:r w:rsidRPr="00D4309F">
      <w:t>coastalmanagement.com.au</w:t>
    </w:r>
  </w:p>
  <w:p w14:paraId="0D1E3CF7" w14:textId="77777777" w:rsidR="00725977" w:rsidRDefault="00725977" w:rsidP="00F90273">
    <w:pPr>
      <w:pStyle w:val="Footer"/>
    </w:pPr>
  </w:p>
  <w:p w14:paraId="50588866" w14:textId="77777777" w:rsidR="00F90273" w:rsidRDefault="00F90273" w:rsidP="00F90273">
    <w:pPr>
      <w:pStyle w:val="Footer"/>
    </w:pPr>
  </w:p>
  <w:p w14:paraId="53D5AB46" w14:textId="77777777" w:rsidR="00F90273" w:rsidRPr="00F90273" w:rsidRDefault="00F90273" w:rsidP="00F90273">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BAE3C" w14:textId="5A09572B" w:rsidR="00C256D7" w:rsidRPr="00D4309F" w:rsidRDefault="00C256D7" w:rsidP="00C256D7">
    <w:pPr>
      <w:pStyle w:val="FooterBorder"/>
    </w:pPr>
    <w:r w:rsidRPr="00D4309F">
      <w:fldChar w:fldCharType="begin"/>
    </w:r>
    <w:r w:rsidRPr="00D4309F">
      <w:instrText xml:space="preserve"> STYLEREF  "Project reference" </w:instrText>
    </w:r>
    <w:r w:rsidRPr="00D4309F">
      <w:fldChar w:fldCharType="separate"/>
    </w:r>
    <w:r w:rsidR="001C225C">
      <w:rPr>
        <w:noProof/>
      </w:rPr>
      <w:t>604-OEENVBNE-420124</w:t>
    </w:r>
    <w:r w:rsidRPr="00D4309F">
      <w:fldChar w:fldCharType="end"/>
    </w:r>
    <w:r w:rsidRPr="00D4309F">
      <w:t xml:space="preserve">  |  </w:t>
    </w:r>
    <w:sdt>
      <w:sdtPr>
        <w:alias w:val="{{Form.Title}}"/>
        <w:tag w:val="{&quot;templafy&quot;:{&quot;id&quot;:&quot;cb3839a9-37c1-4559-bdcc-b4d8ea546739&quot;}}"/>
        <w:id w:val="1671754573"/>
        <w:placeholder>
          <w:docPart w:val="01EF2F4FD4EA4200A3497F540FA6A8EB"/>
        </w:placeholder>
      </w:sdtPr>
      <w:sdtEndPr/>
      <w:sdtContent>
        <w:r w:rsidRPr="00D4309F">
          <w:t>MOOLOOLABA BOAT HARBOUR ENTRANCE INDEPENDENT REVIEW</w:t>
        </w:r>
      </w:sdtContent>
    </w:sdt>
    <w:r w:rsidRPr="00D4309F">
      <w:t xml:space="preserve">  |  </w:t>
    </w:r>
    <w:fldSimple w:instr=" STYLEREF  &quot;Project date&quot;  \* MERGEFORMAT ">
      <w:r w:rsidR="001C225C">
        <w:rPr>
          <w:noProof/>
        </w:rPr>
        <w:t>15 December 2025</w:t>
      </w:r>
    </w:fldSimple>
    <w:r w:rsidRPr="00D4309F">
      <w:t xml:space="preserve">  |  </w:t>
    </w:r>
    <w:sdt>
      <w:sdtPr>
        <w:alias w:val="{{Form.Version}}"/>
        <w:tag w:val="{&quot;templafy&quot;:{&quot;id&quot;:&quot;c1c6bc0a-9dfa-453a-9dbf-62e39b91b29a&quot;}}"/>
        <w:id w:val="965479816"/>
        <w:placeholder>
          <w:docPart w:val="3676B1BC2F6045CC86EE5BBE56CC53ED"/>
        </w:placeholder>
      </w:sdtPr>
      <w:sdtEndPr/>
      <w:sdtContent>
        <w:r w:rsidR="006A63A5">
          <w:t>1.0</w:t>
        </w:r>
      </w:sdtContent>
    </w:sdt>
    <w:r w:rsidRPr="00D4309F">
      <w:t xml:space="preserve">  |  </w:t>
    </w:r>
    <w:sdt>
      <w:sdtPr>
        <w:alias w:val="{{Form.BIM_Number}}"/>
        <w:tag w:val="{&quot;templafy&quot;:{&quot;id&quot;:&quot;6c2c5493-bab6-48cb-90fc-06e67fec9635&quot;}}"/>
        <w:id w:val="1582718187"/>
        <w:placeholder>
          <w:docPart w:val="A7C3EE7042A944A98159CBA70215DF14"/>
        </w:placeholder>
      </w:sdtPr>
      <w:sdtEndPr/>
      <w:sdtContent>
        <w:r w:rsidRPr="00D4309F">
          <w:t>​</w:t>
        </w:r>
      </w:sdtContent>
    </w:sdt>
  </w:p>
  <w:p w14:paraId="63A7F98E" w14:textId="28460D0E" w:rsidR="00C256D7" w:rsidRPr="00D4309F" w:rsidRDefault="00C256D7" w:rsidP="00C256D7">
    <w:pPr>
      <w:pStyle w:val="Template-Web"/>
      <w:tabs>
        <w:tab w:val="clear" w:pos="4819"/>
      </w:tabs>
    </w:pPr>
    <w:r w:rsidRPr="00D4309F">
      <w:rPr>
        <w:noProof/>
      </w:rPr>
      <mc:AlternateContent>
        <mc:Choice Requires="wps">
          <w:drawing>
            <wp:anchor distT="0" distB="0" distL="114300" distR="114300" simplePos="0" relativeHeight="251658335" behindDoc="0" locked="0" layoutInCell="1" allowOverlap="1" wp14:anchorId="3E1D9A8C" wp14:editId="10BEBE29">
              <wp:simplePos x="0" y="0"/>
              <wp:positionH relativeFrom="page">
                <wp:align>right</wp:align>
              </wp:positionH>
              <wp:positionV relativeFrom="page">
                <wp:align>bottom</wp:align>
              </wp:positionV>
              <wp:extent cx="1216152" cy="484632"/>
              <wp:effectExtent l="0" t="0" r="3175" b="10795"/>
              <wp:wrapNone/>
              <wp:docPr id="1170278964" name="Text Box 1170278964"/>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7820EF5D" w14:textId="77777777" w:rsidR="00C256D7" w:rsidRPr="00D4309F" w:rsidRDefault="00C256D7" w:rsidP="00C256D7">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394194978"/>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1D9A8C" id="_x0000_t202" coordsize="21600,21600" o:spt="202" path="m,l,21600r21600,l21600,xe">
              <v:stroke joinstyle="miter"/>
              <v:path gradientshapeok="t" o:connecttype="rect"/>
            </v:shapetype>
            <v:shape id="Text Box 1170278964" o:spid="_x0000_s1083" type="#_x0000_t202" style="position:absolute;margin-left:44.55pt;margin-top:0;width:95.75pt;height:38.15pt;z-index:251658335;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" filled="f" fillcolor="white [3201]" stroked="f" strokeweight=".5pt">
              <v:textbox inset="0,0,0,0">
                <w:txbxContent>
                  <w:p w14:paraId="7820EF5D" w14:textId="77777777" w:rsidR="00C256D7" w:rsidRPr="00D4309F" w:rsidRDefault="00C256D7" w:rsidP="00C256D7">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394194978"/>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246340217"/>
        <w:placeholder>
          <w:docPart w:val="BE0A22B74613413ABE81C2ECC025F247"/>
        </w:placeholder>
      </w:sdtPr>
      <w:sdtEndPr/>
      <w:sdtContent>
        <w:r w:rsidR="00851209">
          <w:t>rpsgroup</w:t>
        </w:r>
        <w:r w:rsidRPr="00D4309F">
          <w:t>.com</w:t>
        </w:r>
      </w:sdtContent>
    </w:sdt>
    <w:r>
      <w:t xml:space="preserve"> |</w:t>
    </w:r>
    <w:r w:rsidRPr="00835E05">
      <w:t xml:space="preserve"> </w:t>
    </w:r>
    <w:r w:rsidRPr="00D4309F">
      <w:t>coastalmanagement.com.au</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1E894F" w14:textId="2D54F73B" w:rsidR="00C256D7" w:rsidRPr="00D4309F" w:rsidRDefault="00C256D7" w:rsidP="00C256D7">
    <w:pPr>
      <w:pStyle w:val="FooterBorder"/>
    </w:pPr>
    <w:r w:rsidRPr="00D4309F">
      <w:fldChar w:fldCharType="begin"/>
    </w:r>
    <w:r w:rsidRPr="00D4309F">
      <w:instrText xml:space="preserve"> STYLEREF  "Project reference" </w:instrText>
    </w:r>
    <w:r w:rsidRPr="00D4309F">
      <w:fldChar w:fldCharType="separate"/>
    </w:r>
    <w:r w:rsidR="001C225C">
      <w:rPr>
        <w:noProof/>
      </w:rPr>
      <w:t>604-OEENVBNE-420124</w:t>
    </w:r>
    <w:r w:rsidRPr="00D4309F">
      <w:fldChar w:fldCharType="end"/>
    </w:r>
    <w:r w:rsidRPr="00D4309F">
      <w:t xml:space="preserve">  |  </w:t>
    </w:r>
    <w:sdt>
      <w:sdtPr>
        <w:alias w:val="{{Form.Title}}"/>
        <w:tag w:val="{&quot;templafy&quot;:{&quot;id&quot;:&quot;cb3839a9-37c1-4559-bdcc-b4d8ea546739&quot;}}"/>
        <w:id w:val="-972520724"/>
        <w:placeholder>
          <w:docPart w:val="AA4E3438FDEA457C8C18A975718C52AD"/>
        </w:placeholder>
      </w:sdtPr>
      <w:sdtEndPr/>
      <w:sdtContent>
        <w:r w:rsidRPr="00D4309F">
          <w:t>MOOLOOLABA BOAT HARBOUR ENTRANCE INDEPENDENT REVIEW</w:t>
        </w:r>
      </w:sdtContent>
    </w:sdt>
    <w:r w:rsidRPr="00D4309F">
      <w:t xml:space="preserve">  |  </w:t>
    </w:r>
    <w:fldSimple w:instr=" STYLEREF  &quot;Project date&quot;  \* MERGEFORMAT ">
      <w:r w:rsidR="001C225C">
        <w:rPr>
          <w:noProof/>
        </w:rPr>
        <w:t>15 December 2025</w:t>
      </w:r>
    </w:fldSimple>
    <w:r w:rsidRPr="00D4309F">
      <w:t xml:space="preserve">  |  </w:t>
    </w:r>
    <w:sdt>
      <w:sdtPr>
        <w:alias w:val="{{Form.Version}}"/>
        <w:tag w:val="{&quot;templafy&quot;:{&quot;id&quot;:&quot;c1c6bc0a-9dfa-453a-9dbf-62e39b91b29a&quot;}}"/>
        <w:id w:val="-460343206"/>
        <w:placeholder>
          <w:docPart w:val="A31024E3BB1C4D88983BBDA0D0F1C7B9"/>
        </w:placeholder>
      </w:sdtPr>
      <w:sdtEndPr/>
      <w:sdtContent>
        <w:r w:rsidR="006A63A5">
          <w:t>1.0</w:t>
        </w:r>
      </w:sdtContent>
    </w:sdt>
    <w:r w:rsidRPr="00D4309F">
      <w:t xml:space="preserve">  |  </w:t>
    </w:r>
    <w:sdt>
      <w:sdtPr>
        <w:alias w:val="{{Form.BIM_Number}}"/>
        <w:tag w:val="{&quot;templafy&quot;:{&quot;id&quot;:&quot;6c2c5493-bab6-48cb-90fc-06e67fec9635&quot;}}"/>
        <w:id w:val="-1021694128"/>
        <w:placeholder>
          <w:docPart w:val="FB7D6AA68F004947A7F582501539EAE7"/>
        </w:placeholder>
      </w:sdtPr>
      <w:sdtEndPr/>
      <w:sdtContent>
        <w:r w:rsidRPr="00D4309F">
          <w:t>​</w:t>
        </w:r>
      </w:sdtContent>
    </w:sdt>
  </w:p>
  <w:p w14:paraId="06867D8F" w14:textId="7E295E2F" w:rsidR="00C256D7" w:rsidRPr="00D4309F" w:rsidRDefault="00C256D7" w:rsidP="00C256D7">
    <w:pPr>
      <w:pStyle w:val="Template-Web"/>
      <w:tabs>
        <w:tab w:val="clear" w:pos="4819"/>
      </w:tabs>
    </w:pPr>
    <w:r w:rsidRPr="00D4309F">
      <w:rPr>
        <w:noProof/>
      </w:rPr>
      <mc:AlternateContent>
        <mc:Choice Requires="wps">
          <w:drawing>
            <wp:anchor distT="0" distB="0" distL="114300" distR="114300" simplePos="0" relativeHeight="251658336" behindDoc="0" locked="0" layoutInCell="1" allowOverlap="1" wp14:anchorId="708B92F7" wp14:editId="3591FA87">
              <wp:simplePos x="0" y="0"/>
              <wp:positionH relativeFrom="page">
                <wp:align>right</wp:align>
              </wp:positionH>
              <wp:positionV relativeFrom="page">
                <wp:align>bottom</wp:align>
              </wp:positionV>
              <wp:extent cx="1216152" cy="484632"/>
              <wp:effectExtent l="0" t="0" r="3175" b="10795"/>
              <wp:wrapNone/>
              <wp:docPr id="1025014681" name="Text Box 1025014681"/>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6242CF7B" w14:textId="77777777" w:rsidR="00C256D7" w:rsidRPr="00D4309F" w:rsidRDefault="00C256D7" w:rsidP="00C256D7">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606934958"/>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8B92F7" id="_x0000_t202" coordsize="21600,21600" o:spt="202" path="m,l,21600r21600,l21600,xe">
              <v:stroke joinstyle="miter"/>
              <v:path gradientshapeok="t" o:connecttype="rect"/>
            </v:shapetype>
            <v:shape id="Text Box 1025014681" o:spid="_x0000_s1085" type="#_x0000_t202" style="position:absolute;margin-left:44.55pt;margin-top:0;width:95.75pt;height:38.15pt;z-index:25165833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" filled="f" fillcolor="white [3201]" stroked="f" strokeweight=".5pt">
              <v:textbox inset="0,0,0,0">
                <w:txbxContent>
                  <w:p w14:paraId="6242CF7B" w14:textId="77777777" w:rsidR="00C256D7" w:rsidRPr="00D4309F" w:rsidRDefault="00C256D7" w:rsidP="00C256D7">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606934958"/>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1495984892"/>
        <w:placeholder>
          <w:docPart w:val="F0BEB62A871B46928BC98B2934742BB4"/>
        </w:placeholder>
      </w:sdtPr>
      <w:sdtEndPr/>
      <w:sdtContent>
        <w:r w:rsidR="00851209">
          <w:t>rspgroup</w:t>
        </w:r>
        <w:r w:rsidRPr="00D4309F">
          <w:t>.com</w:t>
        </w:r>
      </w:sdtContent>
    </w:sdt>
    <w:r>
      <w:t xml:space="preserve"> |</w:t>
    </w:r>
    <w:r w:rsidRPr="00835E05">
      <w:t xml:space="preserve"> </w:t>
    </w:r>
    <w:r w:rsidRPr="00D4309F">
      <w:t>coastalmanagement.com.au</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28ABB5" w14:textId="5AEDE318" w:rsidR="00C256D7" w:rsidRPr="00D4309F" w:rsidRDefault="00C256D7" w:rsidP="00C256D7">
    <w:pPr>
      <w:pStyle w:val="FooterBorder"/>
    </w:pPr>
    <w:r w:rsidRPr="00D4309F">
      <w:fldChar w:fldCharType="begin"/>
    </w:r>
    <w:r w:rsidRPr="00D4309F">
      <w:instrText xml:space="preserve"> STYLEREF  "Project reference" </w:instrText>
    </w:r>
    <w:r w:rsidRPr="00D4309F">
      <w:fldChar w:fldCharType="separate"/>
    </w:r>
    <w:r w:rsidR="001C225C">
      <w:rPr>
        <w:noProof/>
      </w:rPr>
      <w:t>604-OEENVBNE-420124</w:t>
    </w:r>
    <w:r w:rsidRPr="00D4309F">
      <w:fldChar w:fldCharType="end"/>
    </w:r>
    <w:r w:rsidRPr="00D4309F">
      <w:t xml:space="preserve">  |  </w:t>
    </w:r>
    <w:sdt>
      <w:sdtPr>
        <w:alias w:val="{{Form.Title}}"/>
        <w:tag w:val="{&quot;templafy&quot;:{&quot;id&quot;:&quot;cb3839a9-37c1-4559-bdcc-b4d8ea546739&quot;}}"/>
        <w:id w:val="-291449346"/>
        <w:placeholder>
          <w:docPart w:val="D12ADB805F3949418B85EAC1193873FE"/>
        </w:placeholder>
      </w:sdtPr>
      <w:sdtEndPr/>
      <w:sdtContent>
        <w:r w:rsidRPr="00D4309F">
          <w:t>MOOLOOLABA BOAT HARBOUR ENTRANCE INDEPENDENT REVIEW</w:t>
        </w:r>
      </w:sdtContent>
    </w:sdt>
    <w:r w:rsidRPr="00D4309F">
      <w:t xml:space="preserve">  |  </w:t>
    </w:r>
    <w:fldSimple w:instr=" STYLEREF  &quot;Project date&quot;  \* MERGEFORMAT ">
      <w:r w:rsidR="001C225C">
        <w:rPr>
          <w:noProof/>
        </w:rPr>
        <w:t>15 December 2025</w:t>
      </w:r>
    </w:fldSimple>
    <w:r w:rsidRPr="00D4309F">
      <w:t xml:space="preserve">  |  </w:t>
    </w:r>
    <w:sdt>
      <w:sdtPr>
        <w:alias w:val="{{Form.Version}}"/>
        <w:tag w:val="{&quot;templafy&quot;:{&quot;id&quot;:&quot;c1c6bc0a-9dfa-453a-9dbf-62e39b91b29a&quot;}}"/>
        <w:id w:val="-729993703"/>
        <w:placeholder>
          <w:docPart w:val="3F0E3D6FBC1643FC8B6DF72FB7B8899A"/>
        </w:placeholder>
      </w:sdtPr>
      <w:sdtEndPr/>
      <w:sdtContent>
        <w:r w:rsidR="006A63A5">
          <w:t>1.0</w:t>
        </w:r>
      </w:sdtContent>
    </w:sdt>
    <w:r w:rsidRPr="00D4309F">
      <w:t xml:space="preserve">  |  </w:t>
    </w:r>
    <w:sdt>
      <w:sdtPr>
        <w:alias w:val="{{Form.BIM_Number}}"/>
        <w:tag w:val="{&quot;templafy&quot;:{&quot;id&quot;:&quot;6c2c5493-bab6-48cb-90fc-06e67fec9635&quot;}}"/>
        <w:id w:val="-676186733"/>
        <w:placeholder>
          <w:docPart w:val="54DBF0DA81EA4F759F743CD217E739C4"/>
        </w:placeholder>
      </w:sdtPr>
      <w:sdtEndPr/>
      <w:sdtContent>
        <w:r w:rsidRPr="00D4309F">
          <w:t>​</w:t>
        </w:r>
      </w:sdtContent>
    </w:sdt>
  </w:p>
  <w:p w14:paraId="6050055F" w14:textId="1ADC2B6E" w:rsidR="00C256D7" w:rsidRPr="00D4309F" w:rsidRDefault="00C256D7" w:rsidP="00C256D7">
    <w:pPr>
      <w:pStyle w:val="Template-Web"/>
      <w:tabs>
        <w:tab w:val="clear" w:pos="4819"/>
      </w:tabs>
    </w:pPr>
    <w:r w:rsidRPr="00D4309F">
      <w:rPr>
        <w:noProof/>
      </w:rPr>
      <mc:AlternateContent>
        <mc:Choice Requires="wps">
          <w:drawing>
            <wp:anchor distT="0" distB="0" distL="114300" distR="114300" simplePos="0" relativeHeight="251658337" behindDoc="0" locked="0" layoutInCell="1" allowOverlap="1" wp14:anchorId="78EB020F" wp14:editId="6ABAFB39">
              <wp:simplePos x="0" y="0"/>
              <wp:positionH relativeFrom="page">
                <wp:align>right</wp:align>
              </wp:positionH>
              <wp:positionV relativeFrom="page">
                <wp:align>bottom</wp:align>
              </wp:positionV>
              <wp:extent cx="1216152" cy="484632"/>
              <wp:effectExtent l="0" t="0" r="3175" b="10795"/>
              <wp:wrapNone/>
              <wp:docPr id="553325892" name="Text Box 553325892"/>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229A367A" w14:textId="77777777" w:rsidR="00C256D7" w:rsidRPr="00D4309F" w:rsidRDefault="00C256D7" w:rsidP="00C256D7">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630783666"/>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EB020F" id="_x0000_t202" coordsize="21600,21600" o:spt="202" path="m,l,21600r21600,l21600,xe">
              <v:stroke joinstyle="miter"/>
              <v:path gradientshapeok="t" o:connecttype="rect"/>
            </v:shapetype>
            <v:shape id="Text Box 553325892" o:spid="_x0000_s1087" type="#_x0000_t202" style="position:absolute;margin-left:44.55pt;margin-top:0;width:95.75pt;height:38.15pt;z-index:251658337;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" filled="f" fillcolor="white [3201]" stroked="f" strokeweight=".5pt">
              <v:textbox inset="0,0,0,0">
                <w:txbxContent>
                  <w:p w14:paraId="229A367A" w14:textId="77777777" w:rsidR="00C256D7" w:rsidRPr="00D4309F" w:rsidRDefault="00C256D7" w:rsidP="00C256D7">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630783666"/>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2012828992"/>
        <w:placeholder>
          <w:docPart w:val="B99F44035AD444D08909ADF0A6278C38"/>
        </w:placeholder>
      </w:sdtPr>
      <w:sdtEndPr/>
      <w:sdtContent>
        <w:r w:rsidR="00851209">
          <w:t>rpsgroup</w:t>
        </w:r>
        <w:r w:rsidRPr="00D4309F">
          <w:t>.com</w:t>
        </w:r>
      </w:sdtContent>
    </w:sdt>
    <w:r>
      <w:t xml:space="preserve"> |</w:t>
    </w:r>
    <w:r w:rsidRPr="00835E05">
      <w:t xml:space="preserve"> </w:t>
    </w:r>
    <w:r w:rsidRPr="00D4309F">
      <w:t>coastalmanagement.com.au</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3290D" w14:textId="51546B19" w:rsidR="00C256D7" w:rsidRPr="00D4309F" w:rsidRDefault="00C256D7" w:rsidP="00C256D7">
    <w:pPr>
      <w:pStyle w:val="FooterBorder"/>
    </w:pPr>
    <w:r w:rsidRPr="00D4309F">
      <w:fldChar w:fldCharType="begin"/>
    </w:r>
    <w:r w:rsidRPr="00D4309F">
      <w:instrText xml:space="preserve"> STYLEREF  "Project reference" </w:instrText>
    </w:r>
    <w:r w:rsidRPr="00D4309F">
      <w:fldChar w:fldCharType="separate"/>
    </w:r>
    <w:r w:rsidR="00977B8B">
      <w:rPr>
        <w:noProof/>
      </w:rPr>
      <w:t>604-OEENVBNE-420124</w:t>
    </w:r>
    <w:r w:rsidRPr="00D4309F">
      <w:fldChar w:fldCharType="end"/>
    </w:r>
    <w:r w:rsidRPr="00D4309F">
      <w:t xml:space="preserve">  |  </w:t>
    </w:r>
    <w:sdt>
      <w:sdtPr>
        <w:alias w:val="{{Form.Title}}"/>
        <w:tag w:val="{&quot;templafy&quot;:{&quot;id&quot;:&quot;cb3839a9-37c1-4559-bdcc-b4d8ea546739&quot;}}"/>
        <w:id w:val="157733840"/>
        <w:placeholder>
          <w:docPart w:val="4BA385042D694FF39C0456DFEC4FCF9E"/>
        </w:placeholder>
      </w:sdtPr>
      <w:sdtEndPr/>
      <w:sdtContent>
        <w:r w:rsidRPr="00D4309F">
          <w:t>MOOLOOLABA BOAT HARBOUR ENTRANCE INDEPENDENT REVIEW</w:t>
        </w:r>
      </w:sdtContent>
    </w:sdt>
    <w:r w:rsidRPr="00D4309F">
      <w:t xml:space="preserve">  |  </w:t>
    </w:r>
    <w:fldSimple w:instr=" STYLEREF  &quot;Project date&quot;  \* MERGEFORMAT ">
      <w:r w:rsidR="00977B8B">
        <w:rPr>
          <w:noProof/>
        </w:rPr>
        <w:t>15 December 2025</w:t>
      </w:r>
    </w:fldSimple>
    <w:r w:rsidRPr="00D4309F">
      <w:t xml:space="preserve">  |  </w:t>
    </w:r>
    <w:sdt>
      <w:sdtPr>
        <w:alias w:val="{{Form.Version}}"/>
        <w:tag w:val="{&quot;templafy&quot;:{&quot;id&quot;:&quot;c1c6bc0a-9dfa-453a-9dbf-62e39b91b29a&quot;}}"/>
        <w:id w:val="1316148035"/>
        <w:placeholder>
          <w:docPart w:val="FED202BA14EC44F7BE0934FE425617D7"/>
        </w:placeholder>
      </w:sdtPr>
      <w:sdtEndPr/>
      <w:sdtContent>
        <w:r w:rsidR="006A63A5">
          <w:t>1.0</w:t>
        </w:r>
      </w:sdtContent>
    </w:sdt>
    <w:r w:rsidRPr="00D4309F">
      <w:t xml:space="preserve">  |  </w:t>
    </w:r>
    <w:sdt>
      <w:sdtPr>
        <w:alias w:val="{{Form.BIM_Number}}"/>
        <w:tag w:val="{&quot;templafy&quot;:{&quot;id&quot;:&quot;6c2c5493-bab6-48cb-90fc-06e67fec9635&quot;}}"/>
        <w:id w:val="268430641"/>
        <w:placeholder>
          <w:docPart w:val="2DE9A784D1704947A4C1C565B799853D"/>
        </w:placeholder>
      </w:sdtPr>
      <w:sdtEndPr/>
      <w:sdtContent>
        <w:r w:rsidRPr="00D4309F">
          <w:t>​</w:t>
        </w:r>
      </w:sdtContent>
    </w:sdt>
  </w:p>
  <w:p w14:paraId="4D3AB04A" w14:textId="7A40D5EA" w:rsidR="00C256D7" w:rsidRPr="00D4309F" w:rsidRDefault="00C256D7" w:rsidP="00C256D7">
    <w:pPr>
      <w:pStyle w:val="Template-Web"/>
      <w:tabs>
        <w:tab w:val="clear" w:pos="4819"/>
      </w:tabs>
    </w:pPr>
    <w:r w:rsidRPr="00D4309F">
      <w:rPr>
        <w:noProof/>
      </w:rPr>
      <mc:AlternateContent>
        <mc:Choice Requires="wps">
          <w:drawing>
            <wp:anchor distT="0" distB="0" distL="114300" distR="114300" simplePos="0" relativeHeight="251658338" behindDoc="0" locked="0" layoutInCell="1" allowOverlap="1" wp14:anchorId="5F89D52E" wp14:editId="45C43ECC">
              <wp:simplePos x="0" y="0"/>
              <wp:positionH relativeFrom="page">
                <wp:align>right</wp:align>
              </wp:positionH>
              <wp:positionV relativeFrom="page">
                <wp:align>bottom</wp:align>
              </wp:positionV>
              <wp:extent cx="1216152" cy="484632"/>
              <wp:effectExtent l="0" t="0" r="3175" b="10795"/>
              <wp:wrapNone/>
              <wp:docPr id="1005001150" name="Text Box 1005001150"/>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2F140290" w14:textId="77777777" w:rsidR="00C256D7" w:rsidRPr="00D4309F" w:rsidRDefault="00C256D7" w:rsidP="00C256D7">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460530738"/>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89D52E" id="_x0000_t202" coordsize="21600,21600" o:spt="202" path="m,l,21600r21600,l21600,xe">
              <v:stroke joinstyle="miter"/>
              <v:path gradientshapeok="t" o:connecttype="rect"/>
            </v:shapetype>
            <v:shape id="Text Box 1005001150" o:spid="_x0000_s1089" type="#_x0000_t202" style="position:absolute;margin-left:44.55pt;margin-top:0;width:95.75pt;height:38.15pt;z-index:25165833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" filled="f" fillcolor="white [3201]" stroked="f" strokeweight=".5pt">
              <v:textbox inset="0,0,0,0">
                <w:txbxContent>
                  <w:p w14:paraId="2F140290" w14:textId="77777777" w:rsidR="00C256D7" w:rsidRPr="00D4309F" w:rsidRDefault="00C256D7" w:rsidP="00C256D7">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460530738"/>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795223327"/>
        <w:placeholder>
          <w:docPart w:val="102482D302F945D3AD6A0A762D6C17B8"/>
        </w:placeholder>
      </w:sdtPr>
      <w:sdtEndPr/>
      <w:sdtContent>
        <w:r w:rsidR="00851209">
          <w:t>rpsgroup</w:t>
        </w:r>
        <w:r w:rsidRPr="00D4309F">
          <w:t>.com</w:t>
        </w:r>
      </w:sdtContent>
    </w:sdt>
    <w:r>
      <w:t xml:space="preserve"> |</w:t>
    </w:r>
    <w:r w:rsidRPr="00835E05">
      <w:t xml:space="preserve"> </w:t>
    </w:r>
    <w:r w:rsidRPr="00D4309F">
      <w:t>coastalmanagement.com.au</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573AF2" w14:textId="18EC224B" w:rsidR="00C256D7" w:rsidRPr="00D4309F" w:rsidRDefault="00C256D7" w:rsidP="00C256D7">
    <w:pPr>
      <w:pStyle w:val="FooterBorder"/>
    </w:pPr>
    <w:r w:rsidRPr="00D4309F">
      <w:fldChar w:fldCharType="begin"/>
    </w:r>
    <w:r w:rsidRPr="00D4309F">
      <w:instrText xml:space="preserve"> STYLEREF  "Project reference" </w:instrText>
    </w:r>
    <w:r w:rsidRPr="00D4309F">
      <w:fldChar w:fldCharType="separate"/>
    </w:r>
    <w:r w:rsidR="001C225C">
      <w:rPr>
        <w:noProof/>
      </w:rPr>
      <w:t>604-OEENVBNE-420124</w:t>
    </w:r>
    <w:r w:rsidRPr="00D4309F">
      <w:fldChar w:fldCharType="end"/>
    </w:r>
    <w:r w:rsidRPr="00D4309F">
      <w:t xml:space="preserve">  |  </w:t>
    </w:r>
    <w:sdt>
      <w:sdtPr>
        <w:alias w:val="{{Form.Title}}"/>
        <w:tag w:val="{&quot;templafy&quot;:{&quot;id&quot;:&quot;cb3839a9-37c1-4559-bdcc-b4d8ea546739&quot;}}"/>
        <w:id w:val="-1022559991"/>
        <w:placeholder>
          <w:docPart w:val="C3A15F1AEA5A4476964EFBDA567A6B25"/>
        </w:placeholder>
      </w:sdtPr>
      <w:sdtEndPr/>
      <w:sdtContent>
        <w:r w:rsidRPr="00D4309F">
          <w:t>MOOLOOLABA BOAT HARBOUR ENTRANCE INDEPENDENT REVIEW</w:t>
        </w:r>
      </w:sdtContent>
    </w:sdt>
    <w:r w:rsidRPr="00D4309F">
      <w:t xml:space="preserve">  |  </w:t>
    </w:r>
    <w:fldSimple w:instr=" STYLEREF  &quot;Project date&quot;  \* MERGEFORMAT ">
      <w:r w:rsidR="001C225C">
        <w:rPr>
          <w:noProof/>
        </w:rPr>
        <w:t>15 December 2025</w:t>
      </w:r>
    </w:fldSimple>
    <w:r w:rsidRPr="00D4309F">
      <w:t xml:space="preserve">  |  </w:t>
    </w:r>
    <w:sdt>
      <w:sdtPr>
        <w:alias w:val="{{Form.Version}}"/>
        <w:tag w:val="{&quot;templafy&quot;:{&quot;id&quot;:&quot;c1c6bc0a-9dfa-453a-9dbf-62e39b91b29a&quot;}}"/>
        <w:id w:val="1223716612"/>
        <w:placeholder>
          <w:docPart w:val="C7F83E53294641D2BF12CD93116B2DF6"/>
        </w:placeholder>
      </w:sdtPr>
      <w:sdtEndPr/>
      <w:sdtContent>
        <w:r w:rsidR="00CA6BB5">
          <w:t>1.0</w:t>
        </w:r>
      </w:sdtContent>
    </w:sdt>
    <w:r w:rsidRPr="00D4309F">
      <w:t xml:space="preserve">  |  </w:t>
    </w:r>
    <w:sdt>
      <w:sdtPr>
        <w:alias w:val="{{Form.BIM_Number}}"/>
        <w:tag w:val="{&quot;templafy&quot;:{&quot;id&quot;:&quot;6c2c5493-bab6-48cb-90fc-06e67fec9635&quot;}}"/>
        <w:id w:val="1012881380"/>
        <w:placeholder>
          <w:docPart w:val="1CFEF76733E74798B16DCE0B02E388D8"/>
        </w:placeholder>
      </w:sdtPr>
      <w:sdtEndPr/>
      <w:sdtContent>
        <w:r w:rsidRPr="00D4309F">
          <w:t>​</w:t>
        </w:r>
      </w:sdtContent>
    </w:sdt>
  </w:p>
  <w:p w14:paraId="6D7D2A5B" w14:textId="683DD41E" w:rsidR="00C256D7" w:rsidRPr="00D4309F" w:rsidRDefault="00C256D7" w:rsidP="00C256D7">
    <w:pPr>
      <w:pStyle w:val="Template-Web"/>
      <w:tabs>
        <w:tab w:val="clear" w:pos="4819"/>
      </w:tabs>
    </w:pPr>
    <w:r w:rsidRPr="00D4309F">
      <w:rPr>
        <w:noProof/>
      </w:rPr>
      <mc:AlternateContent>
        <mc:Choice Requires="wps">
          <w:drawing>
            <wp:anchor distT="0" distB="0" distL="114300" distR="114300" simplePos="0" relativeHeight="251658339" behindDoc="0" locked="0" layoutInCell="1" allowOverlap="1" wp14:anchorId="75CEDA18" wp14:editId="1B91C06F">
              <wp:simplePos x="0" y="0"/>
              <wp:positionH relativeFrom="page">
                <wp:align>right</wp:align>
              </wp:positionH>
              <wp:positionV relativeFrom="page">
                <wp:align>bottom</wp:align>
              </wp:positionV>
              <wp:extent cx="1216152" cy="484632"/>
              <wp:effectExtent l="0" t="0" r="3175" b="10795"/>
              <wp:wrapNone/>
              <wp:docPr id="760688311" name="Text Box 760688311"/>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71A41F72" w14:textId="77777777" w:rsidR="00C256D7" w:rsidRPr="00D4309F" w:rsidRDefault="00C256D7" w:rsidP="00C256D7">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692571623"/>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CEDA18" id="_x0000_t202" coordsize="21600,21600" o:spt="202" path="m,l,21600r21600,l21600,xe">
              <v:stroke joinstyle="miter"/>
              <v:path gradientshapeok="t" o:connecttype="rect"/>
            </v:shapetype>
            <v:shape id="Text Box 760688311" o:spid="_x0000_s1091" type="#_x0000_t202" style="position:absolute;margin-left:44.55pt;margin-top:0;width:95.75pt;height:38.15pt;z-index:251658339;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" filled="f" fillcolor="white [3201]" stroked="f" strokeweight=".5pt">
              <v:textbox inset="0,0,0,0">
                <w:txbxContent>
                  <w:p w14:paraId="71A41F72" w14:textId="77777777" w:rsidR="00C256D7" w:rsidRPr="00D4309F" w:rsidRDefault="00C256D7" w:rsidP="00C256D7">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692571623"/>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726733449"/>
        <w:placeholder>
          <w:docPart w:val="47FA25DED8214565A50AC76A650BFB0D"/>
        </w:placeholder>
      </w:sdtPr>
      <w:sdtEndPr/>
      <w:sdtContent>
        <w:r w:rsidR="00851209">
          <w:t>rpsgroup</w:t>
        </w:r>
        <w:r w:rsidRPr="00D4309F">
          <w:t>.com</w:t>
        </w:r>
      </w:sdtContent>
    </w:sdt>
    <w:r>
      <w:t xml:space="preserve"> |</w:t>
    </w:r>
    <w:r w:rsidRPr="00835E05">
      <w:t xml:space="preserve"> </w:t>
    </w:r>
    <w:r w:rsidRPr="00D4309F">
      <w:t>coastalmanagement.com.au</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71E5BB" w14:textId="08CAAE30" w:rsidR="00F242E4" w:rsidRPr="00D4309F" w:rsidRDefault="00F242E4" w:rsidP="00F242E4">
    <w:pPr>
      <w:pStyle w:val="FooterBorder"/>
    </w:pPr>
    <w:r w:rsidRPr="00D4309F">
      <w:fldChar w:fldCharType="begin"/>
    </w:r>
    <w:r w:rsidRPr="00D4309F">
      <w:instrText xml:space="preserve"> STYLEREF  "Project reference" </w:instrText>
    </w:r>
    <w:r w:rsidRPr="00D4309F">
      <w:fldChar w:fldCharType="separate"/>
    </w:r>
    <w:r w:rsidR="009A5848">
      <w:rPr>
        <w:noProof/>
      </w:rPr>
      <w:t>604-OEENVBNE-420124</w:t>
    </w:r>
    <w:r w:rsidRPr="00D4309F">
      <w:fldChar w:fldCharType="end"/>
    </w:r>
    <w:r w:rsidRPr="00D4309F">
      <w:t xml:space="preserve">  |  </w:t>
    </w:r>
    <w:sdt>
      <w:sdtPr>
        <w:alias w:val="{{Form.Title}}"/>
        <w:tag w:val="{&quot;templafy&quot;:{&quot;id&quot;:&quot;cb3839a9-37c1-4559-bdcc-b4d8ea546739&quot;}}"/>
        <w:id w:val="1736741503"/>
        <w:placeholder>
          <w:docPart w:val="3E5C98B5289146A5902E902238DB1424"/>
        </w:placeholder>
      </w:sdtPr>
      <w:sdtEndPr/>
      <w:sdtContent>
        <w:r w:rsidRPr="00D4309F">
          <w:t>MOOLOOLABA BOAT HARBOUR ENTRANCE INDEPENDENT REVIEW</w:t>
        </w:r>
      </w:sdtContent>
    </w:sdt>
    <w:r w:rsidRPr="00D4309F">
      <w:t xml:space="preserve">  |  </w:t>
    </w:r>
    <w:fldSimple w:instr=" STYLEREF  &quot;Project date&quot;  \* MERGEFORMAT ">
      <w:r w:rsidR="009A5848">
        <w:rPr>
          <w:noProof/>
        </w:rPr>
        <w:t>15 December 2025</w:t>
      </w:r>
    </w:fldSimple>
    <w:r w:rsidRPr="00D4309F">
      <w:t xml:space="preserve">  |  </w:t>
    </w:r>
    <w:sdt>
      <w:sdtPr>
        <w:alias w:val="{{Form.Version}}"/>
        <w:tag w:val="{&quot;templafy&quot;:{&quot;id&quot;:&quot;c1c6bc0a-9dfa-453a-9dbf-62e39b91b29a&quot;}}"/>
        <w:id w:val="2023126846"/>
        <w:placeholder>
          <w:docPart w:val="D6C2B42BA593499F9B02AD05A0E3669C"/>
        </w:placeholder>
      </w:sdtPr>
      <w:sdtEndPr/>
      <w:sdtContent>
        <w:r w:rsidR="006A63A5">
          <w:t>1.0</w:t>
        </w:r>
      </w:sdtContent>
    </w:sdt>
    <w:r w:rsidRPr="00D4309F">
      <w:t xml:space="preserve">  |  </w:t>
    </w:r>
    <w:sdt>
      <w:sdtPr>
        <w:alias w:val="{{Form.BIM_Number}}"/>
        <w:tag w:val="{&quot;templafy&quot;:{&quot;id&quot;:&quot;6c2c5493-bab6-48cb-90fc-06e67fec9635&quot;}}"/>
        <w:id w:val="-514614625"/>
        <w:placeholder>
          <w:docPart w:val="13EDDC69407847C9B5CD9284D46A8AEA"/>
        </w:placeholder>
      </w:sdtPr>
      <w:sdtEndPr/>
      <w:sdtContent>
        <w:r w:rsidRPr="00D4309F">
          <w:t>​</w:t>
        </w:r>
      </w:sdtContent>
    </w:sdt>
  </w:p>
  <w:p w14:paraId="4386E444" w14:textId="3FCD40AF" w:rsidR="00F242E4" w:rsidRPr="00D4309F" w:rsidRDefault="00F242E4" w:rsidP="00F242E4">
    <w:pPr>
      <w:pStyle w:val="Template-Web"/>
      <w:tabs>
        <w:tab w:val="clear" w:pos="4819"/>
      </w:tabs>
    </w:pPr>
    <w:r w:rsidRPr="00D4309F">
      <w:rPr>
        <w:noProof/>
      </w:rPr>
      <mc:AlternateContent>
        <mc:Choice Requires="wps">
          <w:drawing>
            <wp:anchor distT="0" distB="0" distL="114300" distR="114300" simplePos="0" relativeHeight="251658314" behindDoc="0" locked="0" layoutInCell="1" allowOverlap="1" wp14:anchorId="28EFDA6C" wp14:editId="149B3349">
              <wp:simplePos x="0" y="0"/>
              <wp:positionH relativeFrom="page">
                <wp:align>right</wp:align>
              </wp:positionH>
              <wp:positionV relativeFrom="page">
                <wp:align>bottom</wp:align>
              </wp:positionV>
              <wp:extent cx="1216152" cy="484632"/>
              <wp:effectExtent l="0" t="0" r="3175" b="10795"/>
              <wp:wrapNone/>
              <wp:docPr id="1530484641" name="Text Box 1530484641"/>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64E6C073" w14:textId="77777777" w:rsidR="00F242E4" w:rsidRPr="00D4309F" w:rsidRDefault="00F242E4" w:rsidP="00F242E4">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374428062"/>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EFDA6C" id="_x0000_t202" coordsize="21600,21600" o:spt="202" path="m,l,21600r21600,l21600,xe">
              <v:stroke joinstyle="miter"/>
              <v:path gradientshapeok="t" o:connecttype="rect"/>
            </v:shapetype>
            <v:shape id="Text Box 1530484641" o:spid="_x0000_s1037" type="#_x0000_t202" style="position:absolute;margin-left:44.55pt;margin-top:0;width:95.75pt;height:38.15pt;z-index:25165831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" filled="f" fillcolor="white [3201]" stroked="f" strokeweight=".5pt">
              <v:textbox inset="0,0,0,0">
                <w:txbxContent>
                  <w:p w14:paraId="64E6C073" w14:textId="77777777" w:rsidR="00F242E4" w:rsidRPr="00D4309F" w:rsidRDefault="00F242E4" w:rsidP="00F242E4">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374428062"/>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673223288"/>
        <w:placeholder>
          <w:docPart w:val="BEE4390557BF41288CA4420989354D23"/>
        </w:placeholder>
      </w:sdtPr>
      <w:sdtEndPr/>
      <w:sdtContent>
        <w:r w:rsidR="00F75C41">
          <w:t>rpsgroup</w:t>
        </w:r>
        <w:r w:rsidRPr="00D4309F">
          <w:t>.com</w:t>
        </w:r>
      </w:sdtContent>
    </w:sdt>
    <w:r>
      <w:t xml:space="preserve"> |</w:t>
    </w:r>
    <w:r w:rsidRPr="00835E05">
      <w:t xml:space="preserve"> </w:t>
    </w:r>
    <w:r w:rsidRPr="00D4309F">
      <w:t>coastalmanagement.com.au</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13601E" w14:textId="5E16CD23" w:rsidR="00C256D7" w:rsidRPr="00D4309F" w:rsidRDefault="00C256D7" w:rsidP="00C256D7">
    <w:pPr>
      <w:pStyle w:val="FooterBorder"/>
    </w:pPr>
    <w:r w:rsidRPr="00D4309F">
      <w:fldChar w:fldCharType="begin"/>
    </w:r>
    <w:r w:rsidRPr="00D4309F">
      <w:instrText xml:space="preserve"> STYLEREF  "Project reference" </w:instrText>
    </w:r>
    <w:r w:rsidRPr="00D4309F">
      <w:fldChar w:fldCharType="separate"/>
    </w:r>
    <w:r w:rsidR="00977B8B">
      <w:rPr>
        <w:noProof/>
      </w:rPr>
      <w:t>604-OEENVBNE-420124</w:t>
    </w:r>
    <w:r w:rsidRPr="00D4309F">
      <w:fldChar w:fldCharType="end"/>
    </w:r>
    <w:r w:rsidRPr="00D4309F">
      <w:t xml:space="preserve">  |  </w:t>
    </w:r>
    <w:sdt>
      <w:sdtPr>
        <w:alias w:val="{{Form.Title}}"/>
        <w:tag w:val="{&quot;templafy&quot;:{&quot;id&quot;:&quot;cb3839a9-37c1-4559-bdcc-b4d8ea546739&quot;}}"/>
        <w:id w:val="-1589462783"/>
        <w:placeholder>
          <w:docPart w:val="E2E25864B5DC4303895A9D602790E4EB"/>
        </w:placeholder>
      </w:sdtPr>
      <w:sdtEndPr/>
      <w:sdtContent>
        <w:r w:rsidRPr="00D4309F">
          <w:t>MOOLOOLABA BOAT HARBOUR ENTRANCE INDEPENDENT REVIEW</w:t>
        </w:r>
      </w:sdtContent>
    </w:sdt>
    <w:r w:rsidRPr="00D4309F">
      <w:t xml:space="preserve">  |  </w:t>
    </w:r>
    <w:fldSimple w:instr=" STYLEREF  &quot;Project date&quot;  \* MERGEFORMAT ">
      <w:r w:rsidR="00977B8B">
        <w:rPr>
          <w:noProof/>
        </w:rPr>
        <w:t>15 December 2025</w:t>
      </w:r>
    </w:fldSimple>
    <w:r w:rsidRPr="00D4309F">
      <w:t xml:space="preserve">  |  </w:t>
    </w:r>
    <w:sdt>
      <w:sdtPr>
        <w:alias w:val="{{Form.Version}}"/>
        <w:tag w:val="{&quot;templafy&quot;:{&quot;id&quot;:&quot;c1c6bc0a-9dfa-453a-9dbf-62e39b91b29a&quot;}}"/>
        <w:id w:val="-1005050256"/>
        <w:placeholder>
          <w:docPart w:val="5C5BD3D9FCEC4434A61470559F5C7339"/>
        </w:placeholder>
      </w:sdtPr>
      <w:sdtEndPr/>
      <w:sdtContent>
        <w:r w:rsidR="00874D58">
          <w:t>1.0</w:t>
        </w:r>
      </w:sdtContent>
    </w:sdt>
    <w:r w:rsidRPr="00D4309F">
      <w:t xml:space="preserve">  |  </w:t>
    </w:r>
    <w:sdt>
      <w:sdtPr>
        <w:alias w:val="{{Form.BIM_Number}}"/>
        <w:tag w:val="{&quot;templafy&quot;:{&quot;id&quot;:&quot;6c2c5493-bab6-48cb-90fc-06e67fec9635&quot;}}"/>
        <w:id w:val="-538741053"/>
        <w:placeholder>
          <w:docPart w:val="9B16CFCD0D3B47239E8401FA4B39B3C7"/>
        </w:placeholder>
      </w:sdtPr>
      <w:sdtEndPr/>
      <w:sdtContent>
        <w:r w:rsidRPr="00D4309F">
          <w:t>​</w:t>
        </w:r>
      </w:sdtContent>
    </w:sdt>
  </w:p>
  <w:p w14:paraId="115B5477" w14:textId="64845393" w:rsidR="00C256D7" w:rsidRPr="00D4309F" w:rsidRDefault="00C256D7" w:rsidP="00C256D7">
    <w:pPr>
      <w:pStyle w:val="Template-Web"/>
      <w:tabs>
        <w:tab w:val="clear" w:pos="4819"/>
      </w:tabs>
    </w:pPr>
    <w:r w:rsidRPr="00D4309F">
      <w:rPr>
        <w:noProof/>
      </w:rPr>
      <mc:AlternateContent>
        <mc:Choice Requires="wps">
          <w:drawing>
            <wp:anchor distT="0" distB="0" distL="114300" distR="114300" simplePos="0" relativeHeight="251658340" behindDoc="0" locked="0" layoutInCell="1" allowOverlap="1" wp14:anchorId="77C40C7A" wp14:editId="371FADD1">
              <wp:simplePos x="0" y="0"/>
              <wp:positionH relativeFrom="page">
                <wp:align>right</wp:align>
              </wp:positionH>
              <wp:positionV relativeFrom="page">
                <wp:align>bottom</wp:align>
              </wp:positionV>
              <wp:extent cx="1216152" cy="484632"/>
              <wp:effectExtent l="0" t="0" r="3175" b="10795"/>
              <wp:wrapNone/>
              <wp:docPr id="1796996163" name="Text Box 1796996163"/>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3D0A9C1A" w14:textId="77777777" w:rsidR="00C256D7" w:rsidRPr="00D4309F" w:rsidRDefault="00C256D7" w:rsidP="00C256D7">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516298296"/>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C40C7A" id="_x0000_t202" coordsize="21600,21600" o:spt="202" path="m,l,21600r21600,l21600,xe">
              <v:stroke joinstyle="miter"/>
              <v:path gradientshapeok="t" o:connecttype="rect"/>
            </v:shapetype>
            <v:shape id="Text Box 1796996163" o:spid="_x0000_s1093" type="#_x0000_t202" style="position:absolute;margin-left:44.55pt;margin-top:0;width:95.75pt;height:38.15pt;z-index:25165834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" filled="f" fillcolor="white [3201]" stroked="f" strokeweight=".5pt">
              <v:textbox inset="0,0,0,0">
                <w:txbxContent>
                  <w:p w14:paraId="3D0A9C1A" w14:textId="77777777" w:rsidR="00C256D7" w:rsidRPr="00D4309F" w:rsidRDefault="00C256D7" w:rsidP="00C256D7">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516298296"/>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2102532574"/>
        <w:placeholder>
          <w:docPart w:val="7C439E0C82CF4BAAAC40530712AC8689"/>
        </w:placeholder>
      </w:sdtPr>
      <w:sdtEndPr/>
      <w:sdtContent>
        <w:r w:rsidR="00851209">
          <w:t>rpsgroup</w:t>
        </w:r>
        <w:r w:rsidRPr="00D4309F">
          <w:t>.com</w:t>
        </w:r>
      </w:sdtContent>
    </w:sdt>
    <w:r>
      <w:t xml:space="preserve"> |</w:t>
    </w:r>
    <w:r w:rsidRPr="00835E05">
      <w:t xml:space="preserve"> </w:t>
    </w:r>
    <w:r w:rsidRPr="00D4309F">
      <w:t>coastalmanagement.com.au</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128A2C" w14:textId="0A26DD8A" w:rsidR="00C256D7" w:rsidRPr="00D4309F" w:rsidRDefault="00C256D7" w:rsidP="00C256D7">
    <w:pPr>
      <w:pStyle w:val="FooterBorder"/>
    </w:pPr>
    <w:r w:rsidRPr="00D4309F">
      <w:fldChar w:fldCharType="begin"/>
    </w:r>
    <w:r w:rsidRPr="00D4309F">
      <w:instrText xml:space="preserve"> STYLEREF  "Project reference" </w:instrText>
    </w:r>
    <w:r w:rsidRPr="00D4309F">
      <w:fldChar w:fldCharType="separate"/>
    </w:r>
    <w:r w:rsidR="001C225C">
      <w:rPr>
        <w:noProof/>
      </w:rPr>
      <w:t>604-OEENVBNE-420124</w:t>
    </w:r>
    <w:r w:rsidRPr="00D4309F">
      <w:fldChar w:fldCharType="end"/>
    </w:r>
    <w:r w:rsidRPr="00D4309F">
      <w:t xml:space="preserve">  |  </w:t>
    </w:r>
    <w:sdt>
      <w:sdtPr>
        <w:alias w:val="{{Form.Title}}"/>
        <w:tag w:val="{&quot;templafy&quot;:{&quot;id&quot;:&quot;cb3839a9-37c1-4559-bdcc-b4d8ea546739&quot;}}"/>
        <w:id w:val="80803113"/>
        <w:placeholder>
          <w:docPart w:val="CA5066D48D5341F6A11BB779EE0EB916"/>
        </w:placeholder>
      </w:sdtPr>
      <w:sdtEndPr/>
      <w:sdtContent>
        <w:r w:rsidRPr="00D4309F">
          <w:t>MOOLOOLABA BOAT HARBOUR ENTRANCE INDEPENDENT REVIEW</w:t>
        </w:r>
      </w:sdtContent>
    </w:sdt>
    <w:r w:rsidRPr="00D4309F">
      <w:t xml:space="preserve">  |  </w:t>
    </w:r>
    <w:fldSimple w:instr=" STYLEREF  &quot;Project date&quot;  \* MERGEFORMAT ">
      <w:r w:rsidR="001C225C">
        <w:rPr>
          <w:noProof/>
        </w:rPr>
        <w:t>15 December 2025</w:t>
      </w:r>
    </w:fldSimple>
    <w:r w:rsidRPr="00D4309F">
      <w:t xml:space="preserve">  |  </w:t>
    </w:r>
    <w:sdt>
      <w:sdtPr>
        <w:alias w:val="{{Form.Version}}"/>
        <w:tag w:val="{&quot;templafy&quot;:{&quot;id&quot;:&quot;c1c6bc0a-9dfa-453a-9dbf-62e39b91b29a&quot;}}"/>
        <w:id w:val="-2035184850"/>
        <w:placeholder>
          <w:docPart w:val="25BC7A26859E48FBB4DA49AA0795D2E7"/>
        </w:placeholder>
      </w:sdtPr>
      <w:sdtEndPr/>
      <w:sdtContent>
        <w:r w:rsidR="00874D58">
          <w:t>1.0</w:t>
        </w:r>
      </w:sdtContent>
    </w:sdt>
    <w:r w:rsidRPr="00D4309F">
      <w:t xml:space="preserve">  |  </w:t>
    </w:r>
    <w:sdt>
      <w:sdtPr>
        <w:alias w:val="{{Form.BIM_Number}}"/>
        <w:tag w:val="{&quot;templafy&quot;:{&quot;id&quot;:&quot;6c2c5493-bab6-48cb-90fc-06e67fec9635&quot;}}"/>
        <w:id w:val="-876550388"/>
        <w:placeholder>
          <w:docPart w:val="8D24A6DD304F443F8212986F1C4CEABB"/>
        </w:placeholder>
      </w:sdtPr>
      <w:sdtEndPr/>
      <w:sdtContent>
        <w:r w:rsidRPr="00D4309F">
          <w:t>​</w:t>
        </w:r>
      </w:sdtContent>
    </w:sdt>
  </w:p>
  <w:p w14:paraId="024B787B" w14:textId="7727ADC6" w:rsidR="00C256D7" w:rsidRPr="00D4309F" w:rsidRDefault="00C256D7" w:rsidP="00C256D7">
    <w:pPr>
      <w:pStyle w:val="Template-Web"/>
      <w:tabs>
        <w:tab w:val="clear" w:pos="4819"/>
      </w:tabs>
    </w:pPr>
    <w:r w:rsidRPr="00D4309F">
      <w:rPr>
        <w:noProof/>
      </w:rPr>
      <mc:AlternateContent>
        <mc:Choice Requires="wps">
          <w:drawing>
            <wp:anchor distT="0" distB="0" distL="114300" distR="114300" simplePos="0" relativeHeight="251658341" behindDoc="0" locked="0" layoutInCell="1" allowOverlap="1" wp14:anchorId="2459A688" wp14:editId="1E566A74">
              <wp:simplePos x="0" y="0"/>
              <wp:positionH relativeFrom="page">
                <wp:align>right</wp:align>
              </wp:positionH>
              <wp:positionV relativeFrom="page">
                <wp:align>bottom</wp:align>
              </wp:positionV>
              <wp:extent cx="1216152" cy="484632"/>
              <wp:effectExtent l="0" t="0" r="3175" b="10795"/>
              <wp:wrapNone/>
              <wp:docPr id="1463138809" name="Text Box 1463138809"/>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176F335F" w14:textId="77777777" w:rsidR="00C256D7" w:rsidRPr="00D4309F" w:rsidRDefault="00C256D7" w:rsidP="00C256D7">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745083321"/>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59A688" id="_x0000_t202" coordsize="21600,21600" o:spt="202" path="m,l,21600r21600,l21600,xe">
              <v:stroke joinstyle="miter"/>
              <v:path gradientshapeok="t" o:connecttype="rect"/>
            </v:shapetype>
            <v:shape id="Text Box 1463138809" o:spid="_x0000_s1095" type="#_x0000_t202" style="position:absolute;margin-left:44.55pt;margin-top:0;width:95.75pt;height:38.15pt;z-index:251658341;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" filled="f" fillcolor="white [3201]" stroked="f" strokeweight=".5pt">
              <v:textbox inset="0,0,0,0">
                <w:txbxContent>
                  <w:p w14:paraId="176F335F" w14:textId="77777777" w:rsidR="00C256D7" w:rsidRPr="00D4309F" w:rsidRDefault="00C256D7" w:rsidP="00C256D7">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745083321"/>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566233748"/>
        <w:placeholder>
          <w:docPart w:val="116A7CA1E3494DB28927E35219846F84"/>
        </w:placeholder>
      </w:sdtPr>
      <w:sdtEndPr/>
      <w:sdtContent>
        <w:r w:rsidR="00851209">
          <w:t>rpsgroup</w:t>
        </w:r>
        <w:r w:rsidRPr="00D4309F">
          <w:t>.com</w:t>
        </w:r>
      </w:sdtContent>
    </w:sdt>
    <w:r>
      <w:t xml:space="preserve"> |</w:t>
    </w:r>
    <w:r w:rsidRPr="00835E05">
      <w:t xml:space="preserve"> </w:t>
    </w:r>
    <w:r w:rsidRPr="00D4309F">
      <w:t>coastalmanagement.com.au</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AD1864" w14:textId="6A81BE81" w:rsidR="00C256D7" w:rsidRPr="00D4309F" w:rsidRDefault="00C256D7" w:rsidP="00C256D7">
    <w:pPr>
      <w:pStyle w:val="FooterBorder"/>
    </w:pPr>
    <w:r w:rsidRPr="00D4309F">
      <w:fldChar w:fldCharType="begin"/>
    </w:r>
    <w:r w:rsidRPr="00D4309F">
      <w:instrText xml:space="preserve"> STYLEREF  "Project reference" </w:instrText>
    </w:r>
    <w:r w:rsidRPr="00D4309F">
      <w:fldChar w:fldCharType="separate"/>
    </w:r>
    <w:r w:rsidR="001C225C">
      <w:rPr>
        <w:noProof/>
      </w:rPr>
      <w:t>604-OEENVBNE-420124</w:t>
    </w:r>
    <w:r w:rsidRPr="00D4309F">
      <w:fldChar w:fldCharType="end"/>
    </w:r>
    <w:r w:rsidRPr="00D4309F">
      <w:t xml:space="preserve">  |  </w:t>
    </w:r>
    <w:sdt>
      <w:sdtPr>
        <w:alias w:val="{{Form.Title}}"/>
        <w:tag w:val="{&quot;templafy&quot;:{&quot;id&quot;:&quot;cb3839a9-37c1-4559-bdcc-b4d8ea546739&quot;}}"/>
        <w:id w:val="1795247873"/>
        <w:placeholder>
          <w:docPart w:val="3FEF3B8240F74339B866239AACA9E89C"/>
        </w:placeholder>
      </w:sdtPr>
      <w:sdtEndPr/>
      <w:sdtContent>
        <w:r w:rsidRPr="00D4309F">
          <w:t>MOOLOOLABA BOAT HARBOUR ENTRANCE INDEPENDENT REVIEW</w:t>
        </w:r>
      </w:sdtContent>
    </w:sdt>
    <w:r w:rsidRPr="00D4309F">
      <w:t xml:space="preserve">  |  </w:t>
    </w:r>
    <w:fldSimple w:instr=" STYLEREF  &quot;Project date&quot;  \* MERGEFORMAT ">
      <w:r w:rsidR="001C225C">
        <w:rPr>
          <w:noProof/>
        </w:rPr>
        <w:t>15 December 2025</w:t>
      </w:r>
    </w:fldSimple>
    <w:r w:rsidRPr="00D4309F">
      <w:t xml:space="preserve">  |  </w:t>
    </w:r>
    <w:sdt>
      <w:sdtPr>
        <w:alias w:val="{{Form.Version}}"/>
        <w:tag w:val="{&quot;templafy&quot;:{&quot;id&quot;:&quot;c1c6bc0a-9dfa-453a-9dbf-62e39b91b29a&quot;}}"/>
        <w:id w:val="1052584057"/>
        <w:placeholder>
          <w:docPart w:val="33D8A764A54040908988226AAA0C5E47"/>
        </w:placeholder>
      </w:sdtPr>
      <w:sdtEndPr/>
      <w:sdtContent>
        <w:r w:rsidR="00874D58">
          <w:t>1.0</w:t>
        </w:r>
      </w:sdtContent>
    </w:sdt>
    <w:r w:rsidRPr="00D4309F">
      <w:t xml:space="preserve">  |  </w:t>
    </w:r>
    <w:sdt>
      <w:sdtPr>
        <w:alias w:val="{{Form.BIM_Number}}"/>
        <w:tag w:val="{&quot;templafy&quot;:{&quot;id&quot;:&quot;6c2c5493-bab6-48cb-90fc-06e67fec9635&quot;}}"/>
        <w:id w:val="-327668325"/>
        <w:placeholder>
          <w:docPart w:val="FF6523A0BE854D8A88976E8A12C6CB66"/>
        </w:placeholder>
      </w:sdtPr>
      <w:sdtEndPr/>
      <w:sdtContent>
        <w:r w:rsidRPr="00D4309F">
          <w:t>​</w:t>
        </w:r>
      </w:sdtContent>
    </w:sdt>
  </w:p>
  <w:p w14:paraId="6C8D84E0" w14:textId="7C3D4D88" w:rsidR="00C256D7" w:rsidRPr="00D4309F" w:rsidRDefault="00C256D7" w:rsidP="00C256D7">
    <w:pPr>
      <w:pStyle w:val="Template-Web"/>
      <w:tabs>
        <w:tab w:val="clear" w:pos="4819"/>
      </w:tabs>
    </w:pPr>
    <w:r w:rsidRPr="00D4309F">
      <w:rPr>
        <w:noProof/>
      </w:rPr>
      <mc:AlternateContent>
        <mc:Choice Requires="wps">
          <w:drawing>
            <wp:anchor distT="0" distB="0" distL="114300" distR="114300" simplePos="0" relativeHeight="251658342" behindDoc="0" locked="0" layoutInCell="1" allowOverlap="1" wp14:anchorId="0C2F6955" wp14:editId="11E8A159">
              <wp:simplePos x="0" y="0"/>
              <wp:positionH relativeFrom="page">
                <wp:align>right</wp:align>
              </wp:positionH>
              <wp:positionV relativeFrom="page">
                <wp:align>bottom</wp:align>
              </wp:positionV>
              <wp:extent cx="1216152" cy="484632"/>
              <wp:effectExtent l="0" t="0" r="3175" b="10795"/>
              <wp:wrapNone/>
              <wp:docPr id="1754745933" name="Text Box 1754745933"/>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12D377F1" w14:textId="77777777" w:rsidR="00C256D7" w:rsidRPr="00D4309F" w:rsidRDefault="00C256D7" w:rsidP="00C256D7">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115787994"/>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2F6955" id="_x0000_t202" coordsize="21600,21600" o:spt="202" path="m,l,21600r21600,l21600,xe">
              <v:stroke joinstyle="miter"/>
              <v:path gradientshapeok="t" o:connecttype="rect"/>
            </v:shapetype>
            <v:shape id="Text Box 1754745933" o:spid="_x0000_s1097" type="#_x0000_t202" style="position:absolute;margin-left:44.55pt;margin-top:0;width:95.75pt;height:38.15pt;z-index:25165834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" filled="f" fillcolor="white [3201]" stroked="f" strokeweight=".5pt">
              <v:textbox inset="0,0,0,0">
                <w:txbxContent>
                  <w:p w14:paraId="12D377F1" w14:textId="77777777" w:rsidR="00C256D7" w:rsidRPr="00D4309F" w:rsidRDefault="00C256D7" w:rsidP="00C256D7">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115787994"/>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521245438"/>
        <w:placeholder>
          <w:docPart w:val="0199B88A616049D8BF3CA96C1B7E46E2"/>
        </w:placeholder>
      </w:sdtPr>
      <w:sdtEndPr/>
      <w:sdtContent>
        <w:r w:rsidR="00851209">
          <w:t>rpsgroup</w:t>
        </w:r>
        <w:r w:rsidRPr="00D4309F">
          <w:t>.com</w:t>
        </w:r>
      </w:sdtContent>
    </w:sdt>
    <w:r>
      <w:t xml:space="preserve"> |</w:t>
    </w:r>
    <w:r w:rsidRPr="00835E05">
      <w:t xml:space="preserve"> </w:t>
    </w:r>
    <w:r w:rsidRPr="00D4309F">
      <w:t>coastalmanagement.com.au</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C2BF18" w14:textId="40F89C28" w:rsidR="00C256D7" w:rsidRPr="00D4309F" w:rsidRDefault="00C256D7" w:rsidP="00C256D7">
    <w:pPr>
      <w:pStyle w:val="FooterBorder"/>
    </w:pPr>
    <w:r w:rsidRPr="00D4309F">
      <w:fldChar w:fldCharType="begin"/>
    </w:r>
    <w:r w:rsidRPr="00D4309F">
      <w:instrText xml:space="preserve"> STYLEREF  "Project reference" </w:instrText>
    </w:r>
    <w:r w:rsidRPr="00D4309F">
      <w:fldChar w:fldCharType="separate"/>
    </w:r>
    <w:r w:rsidR="001C225C">
      <w:rPr>
        <w:noProof/>
      </w:rPr>
      <w:t>604-OEENVBNE-420124</w:t>
    </w:r>
    <w:r w:rsidRPr="00D4309F">
      <w:fldChar w:fldCharType="end"/>
    </w:r>
    <w:r w:rsidRPr="00D4309F">
      <w:t xml:space="preserve">  |  </w:t>
    </w:r>
    <w:sdt>
      <w:sdtPr>
        <w:alias w:val="{{Form.Title}}"/>
        <w:tag w:val="{&quot;templafy&quot;:{&quot;id&quot;:&quot;cb3839a9-37c1-4559-bdcc-b4d8ea546739&quot;}}"/>
        <w:id w:val="1472176577"/>
        <w:placeholder>
          <w:docPart w:val="C7397135FD984DAC9C9D2BFF51306508"/>
        </w:placeholder>
      </w:sdtPr>
      <w:sdtEndPr/>
      <w:sdtContent>
        <w:r w:rsidRPr="00D4309F">
          <w:t>MOOLOOLABA BOAT HARBOUR ENTRANCE INDEPENDENT REVIEW</w:t>
        </w:r>
      </w:sdtContent>
    </w:sdt>
    <w:r w:rsidRPr="00D4309F">
      <w:t xml:space="preserve">  |  </w:t>
    </w:r>
    <w:fldSimple w:instr=" STYLEREF  &quot;Project date&quot;  \* MERGEFORMAT ">
      <w:r w:rsidR="001C225C">
        <w:rPr>
          <w:noProof/>
        </w:rPr>
        <w:t>15 December 2025</w:t>
      </w:r>
    </w:fldSimple>
    <w:r w:rsidRPr="00D4309F">
      <w:t xml:space="preserve">  |  </w:t>
    </w:r>
    <w:sdt>
      <w:sdtPr>
        <w:alias w:val="{{Form.Version}}"/>
        <w:tag w:val="{&quot;templafy&quot;:{&quot;id&quot;:&quot;c1c6bc0a-9dfa-453a-9dbf-62e39b91b29a&quot;}}"/>
        <w:id w:val="-1032727453"/>
        <w:placeholder>
          <w:docPart w:val="66C017FBDFBF42F28AEA057A4B835457"/>
        </w:placeholder>
      </w:sdtPr>
      <w:sdtEndPr/>
      <w:sdtContent>
        <w:r w:rsidR="00874D58">
          <w:t>1.0</w:t>
        </w:r>
      </w:sdtContent>
    </w:sdt>
    <w:r w:rsidRPr="00D4309F">
      <w:t xml:space="preserve">  |  </w:t>
    </w:r>
    <w:sdt>
      <w:sdtPr>
        <w:alias w:val="{{Form.BIM_Number}}"/>
        <w:tag w:val="{&quot;templafy&quot;:{&quot;id&quot;:&quot;6c2c5493-bab6-48cb-90fc-06e67fec9635&quot;}}"/>
        <w:id w:val="948433172"/>
        <w:placeholder>
          <w:docPart w:val="A4615969D4F94E48B5EC70918FD5AAEB"/>
        </w:placeholder>
      </w:sdtPr>
      <w:sdtEndPr/>
      <w:sdtContent>
        <w:r w:rsidRPr="00D4309F">
          <w:t>​</w:t>
        </w:r>
      </w:sdtContent>
    </w:sdt>
  </w:p>
  <w:p w14:paraId="5E29BCC1" w14:textId="07501820" w:rsidR="00C256D7" w:rsidRPr="00D4309F" w:rsidRDefault="00C256D7" w:rsidP="00C256D7">
    <w:pPr>
      <w:pStyle w:val="Template-Web"/>
      <w:tabs>
        <w:tab w:val="clear" w:pos="4819"/>
      </w:tabs>
    </w:pPr>
    <w:r w:rsidRPr="00D4309F">
      <w:rPr>
        <w:noProof/>
      </w:rPr>
      <mc:AlternateContent>
        <mc:Choice Requires="wps">
          <w:drawing>
            <wp:anchor distT="0" distB="0" distL="114300" distR="114300" simplePos="0" relativeHeight="251658343" behindDoc="0" locked="0" layoutInCell="1" allowOverlap="1" wp14:anchorId="023B2B6F" wp14:editId="32FDE358">
              <wp:simplePos x="0" y="0"/>
              <wp:positionH relativeFrom="page">
                <wp:align>right</wp:align>
              </wp:positionH>
              <wp:positionV relativeFrom="page">
                <wp:align>bottom</wp:align>
              </wp:positionV>
              <wp:extent cx="1216152" cy="484632"/>
              <wp:effectExtent l="0" t="0" r="3175" b="10795"/>
              <wp:wrapNone/>
              <wp:docPr id="1236005563" name="Text Box 1236005563"/>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3973A662" w14:textId="77777777" w:rsidR="00C256D7" w:rsidRPr="00D4309F" w:rsidRDefault="00C256D7" w:rsidP="00C256D7">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587922054"/>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3B2B6F" id="_x0000_t202" coordsize="21600,21600" o:spt="202" path="m,l,21600r21600,l21600,xe">
              <v:stroke joinstyle="miter"/>
              <v:path gradientshapeok="t" o:connecttype="rect"/>
            </v:shapetype>
            <v:shape id="Text Box 1236005563" o:spid="_x0000_s1099" type="#_x0000_t202" style="position:absolute;margin-left:44.55pt;margin-top:0;width:95.75pt;height:38.15pt;z-index:251658343;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" filled="f" fillcolor="white [3201]" stroked="f" strokeweight=".5pt">
              <v:textbox inset="0,0,0,0">
                <w:txbxContent>
                  <w:p w14:paraId="3973A662" w14:textId="77777777" w:rsidR="00C256D7" w:rsidRPr="00D4309F" w:rsidRDefault="00C256D7" w:rsidP="00C256D7">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587922054"/>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184835733"/>
        <w:placeholder>
          <w:docPart w:val="A9878763406D49F1A36820DE1E4EBF2C"/>
        </w:placeholder>
      </w:sdtPr>
      <w:sdtEndPr/>
      <w:sdtContent>
        <w:r w:rsidR="00851209">
          <w:t>rpsgroup</w:t>
        </w:r>
        <w:r w:rsidRPr="00D4309F">
          <w:t>.com</w:t>
        </w:r>
      </w:sdtContent>
    </w:sdt>
    <w:r>
      <w:t xml:space="preserve"> |</w:t>
    </w:r>
    <w:r w:rsidRPr="00835E05">
      <w:t xml:space="preserve"> </w:t>
    </w:r>
    <w:r w:rsidRPr="00D4309F">
      <w:t>coastalmanagement.com.au</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7A6AB9" w14:textId="3B798073" w:rsidR="00C256D7" w:rsidRPr="00D4309F" w:rsidRDefault="00C256D7" w:rsidP="00C256D7">
    <w:pPr>
      <w:pStyle w:val="FooterBorder"/>
    </w:pPr>
    <w:r w:rsidRPr="00D4309F">
      <w:fldChar w:fldCharType="begin"/>
    </w:r>
    <w:r w:rsidRPr="00D4309F">
      <w:instrText xml:space="preserve"> STYLEREF  "Project reference" </w:instrText>
    </w:r>
    <w:r w:rsidRPr="00D4309F">
      <w:fldChar w:fldCharType="separate"/>
    </w:r>
    <w:r w:rsidR="001C225C">
      <w:rPr>
        <w:noProof/>
      </w:rPr>
      <w:t>604-OEENVBNE-420124</w:t>
    </w:r>
    <w:r w:rsidRPr="00D4309F">
      <w:fldChar w:fldCharType="end"/>
    </w:r>
    <w:r w:rsidRPr="00D4309F">
      <w:t xml:space="preserve">  |  </w:t>
    </w:r>
    <w:sdt>
      <w:sdtPr>
        <w:alias w:val="{{Form.Title}}"/>
        <w:tag w:val="{&quot;templafy&quot;:{&quot;id&quot;:&quot;cb3839a9-37c1-4559-bdcc-b4d8ea546739&quot;}}"/>
        <w:id w:val="1646622275"/>
        <w:placeholder>
          <w:docPart w:val="C2FECBA9F0B7435EA0F51BF55B854DFE"/>
        </w:placeholder>
      </w:sdtPr>
      <w:sdtEndPr/>
      <w:sdtContent>
        <w:r w:rsidRPr="00D4309F">
          <w:t>MOOLOOLABA BOAT HARBOUR ENTRANCE INDEPENDENT REVIEW</w:t>
        </w:r>
      </w:sdtContent>
    </w:sdt>
    <w:r w:rsidRPr="00D4309F">
      <w:t xml:space="preserve">  |  </w:t>
    </w:r>
    <w:fldSimple w:instr=" STYLEREF  &quot;Project date&quot;  \* MERGEFORMAT ">
      <w:r w:rsidR="001C225C">
        <w:rPr>
          <w:noProof/>
        </w:rPr>
        <w:t>15 December 2025</w:t>
      </w:r>
    </w:fldSimple>
    <w:r w:rsidRPr="00D4309F">
      <w:t xml:space="preserve">  |  </w:t>
    </w:r>
    <w:sdt>
      <w:sdtPr>
        <w:alias w:val="{{Form.Version}}"/>
        <w:tag w:val="{&quot;templafy&quot;:{&quot;id&quot;:&quot;c1c6bc0a-9dfa-453a-9dbf-62e39b91b29a&quot;}}"/>
        <w:id w:val="986361782"/>
        <w:placeholder>
          <w:docPart w:val="D8B19B7CD22544A881F515E23C4B49DD"/>
        </w:placeholder>
      </w:sdtPr>
      <w:sdtEndPr/>
      <w:sdtContent>
        <w:r w:rsidR="00874D58">
          <w:t>1.0</w:t>
        </w:r>
      </w:sdtContent>
    </w:sdt>
    <w:r w:rsidRPr="00D4309F">
      <w:t xml:space="preserve">  |  </w:t>
    </w:r>
    <w:sdt>
      <w:sdtPr>
        <w:alias w:val="{{Form.BIM_Number}}"/>
        <w:tag w:val="{&quot;templafy&quot;:{&quot;id&quot;:&quot;6c2c5493-bab6-48cb-90fc-06e67fec9635&quot;}}"/>
        <w:id w:val="987591545"/>
        <w:placeholder>
          <w:docPart w:val="824859810D6D431099A9E11CD4AE9C14"/>
        </w:placeholder>
      </w:sdtPr>
      <w:sdtEndPr/>
      <w:sdtContent>
        <w:r w:rsidRPr="00D4309F">
          <w:t>​</w:t>
        </w:r>
      </w:sdtContent>
    </w:sdt>
  </w:p>
  <w:p w14:paraId="2E5D40BB" w14:textId="1A12E5CF" w:rsidR="00C256D7" w:rsidRPr="00D4309F" w:rsidRDefault="00C256D7" w:rsidP="00C256D7">
    <w:pPr>
      <w:pStyle w:val="Template-Web"/>
      <w:tabs>
        <w:tab w:val="clear" w:pos="4819"/>
      </w:tabs>
    </w:pPr>
    <w:r w:rsidRPr="00D4309F">
      <w:rPr>
        <w:noProof/>
      </w:rPr>
      <mc:AlternateContent>
        <mc:Choice Requires="wps">
          <w:drawing>
            <wp:anchor distT="0" distB="0" distL="114300" distR="114300" simplePos="0" relativeHeight="251658344" behindDoc="0" locked="0" layoutInCell="1" allowOverlap="1" wp14:anchorId="4A8913C9" wp14:editId="07C8D54C">
              <wp:simplePos x="0" y="0"/>
              <wp:positionH relativeFrom="page">
                <wp:align>right</wp:align>
              </wp:positionH>
              <wp:positionV relativeFrom="page">
                <wp:align>bottom</wp:align>
              </wp:positionV>
              <wp:extent cx="1216152" cy="484632"/>
              <wp:effectExtent l="0" t="0" r="3175" b="10795"/>
              <wp:wrapNone/>
              <wp:docPr id="1449028800" name="Text Box 1449028800"/>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34F00847" w14:textId="77777777" w:rsidR="00C256D7" w:rsidRPr="00D4309F" w:rsidRDefault="00C256D7" w:rsidP="00C256D7">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138535394"/>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8913C9" id="_x0000_t202" coordsize="21600,21600" o:spt="202" path="m,l,21600r21600,l21600,xe">
              <v:stroke joinstyle="miter"/>
              <v:path gradientshapeok="t" o:connecttype="rect"/>
            </v:shapetype>
            <v:shape id="Text Box 1449028800" o:spid="_x0000_s1101" type="#_x0000_t202" style="position:absolute;margin-left:44.55pt;margin-top:0;width:95.75pt;height:38.15pt;z-index:25165834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" filled="f" fillcolor="white [3201]" stroked="f" strokeweight=".5pt">
              <v:textbox inset="0,0,0,0">
                <w:txbxContent>
                  <w:p w14:paraId="34F00847" w14:textId="77777777" w:rsidR="00C256D7" w:rsidRPr="00D4309F" w:rsidRDefault="00C256D7" w:rsidP="00C256D7">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138535394"/>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901638955"/>
        <w:placeholder>
          <w:docPart w:val="8D779369B15E40C4A402894F8214434B"/>
        </w:placeholder>
      </w:sdtPr>
      <w:sdtEndPr/>
      <w:sdtContent>
        <w:r w:rsidR="00851209">
          <w:t>rpsgroup</w:t>
        </w:r>
        <w:r w:rsidRPr="00D4309F">
          <w:t>.com</w:t>
        </w:r>
      </w:sdtContent>
    </w:sdt>
    <w:r>
      <w:t xml:space="preserve"> |</w:t>
    </w:r>
    <w:r w:rsidRPr="00835E05">
      <w:t xml:space="preserve"> </w:t>
    </w:r>
    <w:r w:rsidRPr="00D4309F">
      <w:t>coastalmanagement.com.au</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7B0501" w14:textId="02C34F16" w:rsidR="006039A9" w:rsidRPr="00D4309F" w:rsidRDefault="006039A9" w:rsidP="006039A9">
    <w:pPr>
      <w:pStyle w:val="FooterBorder"/>
    </w:pPr>
    <w:r w:rsidRPr="00D4309F">
      <w:fldChar w:fldCharType="begin"/>
    </w:r>
    <w:r w:rsidRPr="00D4309F">
      <w:instrText xml:space="preserve"> STYLEREF  "Project reference" </w:instrText>
    </w:r>
    <w:r w:rsidRPr="00D4309F">
      <w:fldChar w:fldCharType="separate"/>
    </w:r>
    <w:r w:rsidR="001C225C">
      <w:rPr>
        <w:noProof/>
      </w:rPr>
      <w:t>604-OEENVBNE-420124</w:t>
    </w:r>
    <w:r w:rsidRPr="00D4309F">
      <w:fldChar w:fldCharType="end"/>
    </w:r>
    <w:r w:rsidRPr="00D4309F">
      <w:t xml:space="preserve">  |  </w:t>
    </w:r>
    <w:sdt>
      <w:sdtPr>
        <w:alias w:val="{{Form.Title}}"/>
        <w:tag w:val="{&quot;templafy&quot;:{&quot;id&quot;:&quot;cb3839a9-37c1-4559-bdcc-b4d8ea546739&quot;}}"/>
        <w:id w:val="-1158072588"/>
        <w:placeholder>
          <w:docPart w:val="F5F2C2EB8B09424D86B8FC7FF092F556"/>
        </w:placeholder>
      </w:sdtPr>
      <w:sdtEndPr/>
      <w:sdtContent>
        <w:r w:rsidRPr="00D4309F">
          <w:t>MOOLOOLABA BOAT HARBOUR ENTRANCE INDEPENDENT REVIEW</w:t>
        </w:r>
      </w:sdtContent>
    </w:sdt>
    <w:r w:rsidRPr="00D4309F">
      <w:t xml:space="preserve">  |  </w:t>
    </w:r>
    <w:fldSimple w:instr=" STYLEREF  &quot;Project date&quot;  \* MERGEFORMAT ">
      <w:r w:rsidR="001C225C">
        <w:rPr>
          <w:noProof/>
        </w:rPr>
        <w:t>15 December 2025</w:t>
      </w:r>
    </w:fldSimple>
    <w:r w:rsidRPr="00D4309F">
      <w:t xml:space="preserve">  |  </w:t>
    </w:r>
    <w:sdt>
      <w:sdtPr>
        <w:alias w:val="{{Form.Version}}"/>
        <w:tag w:val="{&quot;templafy&quot;:{&quot;id&quot;:&quot;c1c6bc0a-9dfa-453a-9dbf-62e39b91b29a&quot;}}"/>
        <w:id w:val="-1983534468"/>
        <w:placeholder>
          <w:docPart w:val="E8B48165A32D4416B900FD761A0EAF32"/>
        </w:placeholder>
      </w:sdtPr>
      <w:sdtEndPr/>
      <w:sdtContent>
        <w:r w:rsidR="00874D58">
          <w:t>1.0</w:t>
        </w:r>
      </w:sdtContent>
    </w:sdt>
    <w:r w:rsidRPr="00D4309F">
      <w:t xml:space="preserve">  |  </w:t>
    </w:r>
    <w:sdt>
      <w:sdtPr>
        <w:alias w:val="{{Form.BIM_Number}}"/>
        <w:tag w:val="{&quot;templafy&quot;:{&quot;id&quot;:&quot;6c2c5493-bab6-48cb-90fc-06e67fec9635&quot;}}"/>
        <w:id w:val="-1035738380"/>
        <w:placeholder>
          <w:docPart w:val="DB149E532DF74161A2CA217BC47E3290"/>
        </w:placeholder>
      </w:sdtPr>
      <w:sdtEndPr/>
      <w:sdtContent>
        <w:r w:rsidRPr="00D4309F">
          <w:t>​</w:t>
        </w:r>
      </w:sdtContent>
    </w:sdt>
  </w:p>
  <w:p w14:paraId="667BA764" w14:textId="571F7D27" w:rsidR="006039A9" w:rsidRPr="00D4309F" w:rsidRDefault="006039A9" w:rsidP="006039A9">
    <w:pPr>
      <w:pStyle w:val="Template-Web"/>
      <w:tabs>
        <w:tab w:val="clear" w:pos="4819"/>
      </w:tabs>
    </w:pPr>
    <w:r w:rsidRPr="00D4309F">
      <w:rPr>
        <w:noProof/>
      </w:rPr>
      <mc:AlternateContent>
        <mc:Choice Requires="wps">
          <w:drawing>
            <wp:anchor distT="0" distB="0" distL="114300" distR="114300" simplePos="0" relativeHeight="251658345" behindDoc="0" locked="0" layoutInCell="1" allowOverlap="1" wp14:anchorId="30D191BA" wp14:editId="72D063B6">
              <wp:simplePos x="0" y="0"/>
              <wp:positionH relativeFrom="page">
                <wp:align>right</wp:align>
              </wp:positionH>
              <wp:positionV relativeFrom="page">
                <wp:align>bottom</wp:align>
              </wp:positionV>
              <wp:extent cx="1216152" cy="484632"/>
              <wp:effectExtent l="0" t="0" r="3175" b="10795"/>
              <wp:wrapNone/>
              <wp:docPr id="1918152929" name="Text Box 1918152929"/>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5FC10F76" w14:textId="77777777" w:rsidR="006039A9" w:rsidRPr="00D4309F" w:rsidRDefault="006039A9" w:rsidP="006039A9">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439564633"/>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D191BA" id="_x0000_t202" coordsize="21600,21600" o:spt="202" path="m,l,21600r21600,l21600,xe">
              <v:stroke joinstyle="miter"/>
              <v:path gradientshapeok="t" o:connecttype="rect"/>
            </v:shapetype>
            <v:shape id="Text Box 1918152929" o:spid="_x0000_s1103" type="#_x0000_t202" style="position:absolute;margin-left:44.55pt;margin-top:0;width:95.75pt;height:38.15pt;z-index:251658345;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" filled="f" fillcolor="white [3201]" stroked="f" strokeweight=".5pt">
              <v:textbox inset="0,0,0,0">
                <w:txbxContent>
                  <w:p w14:paraId="5FC10F76" w14:textId="77777777" w:rsidR="006039A9" w:rsidRPr="00D4309F" w:rsidRDefault="006039A9" w:rsidP="006039A9">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439564633"/>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308829521"/>
        <w:placeholder>
          <w:docPart w:val="C344D0D4351544FEB80D0670F7C197BC"/>
        </w:placeholder>
      </w:sdtPr>
      <w:sdtEndPr/>
      <w:sdtContent>
        <w:r w:rsidR="00851209">
          <w:t>rpsgroup</w:t>
        </w:r>
        <w:r w:rsidRPr="00D4309F">
          <w:t>.com</w:t>
        </w:r>
      </w:sdtContent>
    </w:sdt>
    <w:r>
      <w:t xml:space="preserve"> |</w:t>
    </w:r>
    <w:r w:rsidRPr="00835E05">
      <w:t xml:space="preserve"> </w:t>
    </w:r>
    <w:r w:rsidRPr="00D4309F">
      <w:t>coastalmanagement.com.au</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A47DBF" w14:textId="0DCD2C3A" w:rsidR="00BE24C2" w:rsidRPr="00D4309F" w:rsidRDefault="001B05D7" w:rsidP="00BE24C2">
    <w:pPr>
      <w:pStyle w:val="FooterBorder"/>
      <w:tabs>
        <w:tab w:val="clear" w:pos="4819"/>
      </w:tabs>
    </w:pPr>
    <w:r w:rsidRPr="00D4309F">
      <w:fldChar w:fldCharType="begin"/>
    </w:r>
    <w:r w:rsidRPr="00D4309F">
      <w:instrText xml:space="preserve"> STYLEREF  "Project reference" </w:instrText>
    </w:r>
    <w:r w:rsidRPr="00D4309F">
      <w:fldChar w:fldCharType="separate"/>
    </w:r>
    <w:r w:rsidR="001C225C">
      <w:rPr>
        <w:noProof/>
      </w:rPr>
      <w:t>604-OEENVBNE-420124</w:t>
    </w:r>
    <w:r w:rsidRPr="00D4309F">
      <w:fldChar w:fldCharType="end"/>
    </w:r>
    <w:r w:rsidRPr="00D4309F">
      <w:t xml:space="preserve">  |  </w:t>
    </w:r>
    <w:sdt>
      <w:sdtPr>
        <w:alias w:val="{{Form.Title}}"/>
        <w:tag w:val="{&quot;templafy&quot;:{&quot;id&quot;:&quot;e4911cd3-7eaf-4d2a-9523-3a2be01772b0&quot;}}"/>
        <w:id w:val="2002387828"/>
        <w:placeholder>
          <w:docPart w:val="079A873FF14F416CB86AB13B96A056DA"/>
        </w:placeholder>
      </w:sdtPr>
      <w:sdtEndPr/>
      <w:sdtContent>
        <w:r w:rsidR="00ED36CF" w:rsidRPr="00D4309F">
          <w:t>MOOLOOLABA BOAT HARBOUR ENTRANCE INDEPENDENT REVIEW</w:t>
        </w:r>
      </w:sdtContent>
    </w:sdt>
    <w:r w:rsidRPr="00D4309F">
      <w:t xml:space="preserve">  |  </w:t>
    </w:r>
    <w:fldSimple w:instr=" STYLEREF  &quot;Project date&quot;  \* MERGEFORMAT ">
      <w:r w:rsidR="001C225C">
        <w:rPr>
          <w:noProof/>
        </w:rPr>
        <w:t>15 December 2025</w:t>
      </w:r>
    </w:fldSimple>
    <w:r w:rsidRPr="00D4309F">
      <w:t xml:space="preserve">  |  </w:t>
    </w:r>
    <w:sdt>
      <w:sdtPr>
        <w:alias w:val="{{Form.Version}}"/>
        <w:tag w:val="{&quot;templafy&quot;:{&quot;id&quot;:&quot;75669b57-83fd-48a1-a9ab-423556560e4e&quot;}}"/>
        <w:id w:val="-1226994226"/>
        <w:placeholder>
          <w:docPart w:val="58FE152A1AF04BA0A45FE664C3E8AF15"/>
        </w:placeholder>
      </w:sdtPr>
      <w:sdtEndPr/>
      <w:sdtContent>
        <w:r w:rsidR="00874D58">
          <w:t>1.0</w:t>
        </w:r>
      </w:sdtContent>
    </w:sdt>
    <w:r w:rsidRPr="00D4309F">
      <w:t xml:space="preserve">  |  </w:t>
    </w:r>
    <w:sdt>
      <w:sdtPr>
        <w:alias w:val="{{Form.BIM_Number}}"/>
        <w:tag w:val="{&quot;templafy&quot;:{&quot;id&quot;:&quot;66e6045b-4c4a-4a3b-bafc-dbbfe0551729&quot;}}"/>
        <w:id w:val="1677841163"/>
        <w:placeholder>
          <w:docPart w:val="C43094AEF30F46E4B5F7FAFC1631248F"/>
        </w:placeholder>
      </w:sdtPr>
      <w:sdtEndPr/>
      <w:sdtContent>
        <w:r w:rsidRPr="00D4309F">
          <w:t>​</w:t>
        </w:r>
      </w:sdtContent>
    </w:sdt>
  </w:p>
  <w:p w14:paraId="3678EEE4" w14:textId="19B1633A" w:rsidR="0019798E" w:rsidRPr="00D4309F" w:rsidRDefault="0019798E" w:rsidP="00C706DA">
    <w:pPr>
      <w:pStyle w:val="Template-Web"/>
      <w:tabs>
        <w:tab w:val="clear" w:pos="4819"/>
      </w:tabs>
    </w:pPr>
    <w:r w:rsidRPr="00D4309F">
      <w:rPr>
        <w:noProof/>
      </w:rPr>
      <mc:AlternateContent>
        <mc:Choice Requires="wps">
          <w:drawing>
            <wp:anchor distT="0" distB="0" distL="114300" distR="114300" simplePos="0" relativeHeight="251658241" behindDoc="0" locked="0" layoutInCell="1" allowOverlap="1" wp14:anchorId="6E305194" wp14:editId="4EB68131">
              <wp:simplePos x="0" y="0"/>
              <wp:positionH relativeFrom="rightMargin">
                <wp:align>right</wp:align>
              </wp:positionH>
              <wp:positionV relativeFrom="page">
                <wp:align>bottom</wp:align>
              </wp:positionV>
              <wp:extent cx="1216152" cy="482400"/>
              <wp:effectExtent l="0" t="0" r="3175" b="13335"/>
              <wp:wrapNone/>
              <wp:docPr id="2" name="Text Box 2"/>
              <wp:cNvGraphicFramePr/>
              <a:graphic xmlns:a="http://schemas.openxmlformats.org/drawingml/2006/main">
                <a:graphicData uri="http://schemas.microsoft.com/office/word/2010/wordprocessingShape">
                  <wps:wsp>
                    <wps:cNvSpPr txBox="1"/>
                    <wps:spPr>
                      <a:xfrm>
                        <a:off x="0" y="0"/>
                        <a:ext cx="1216152" cy="4824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112A29CD" w14:textId="77777777" w:rsidR="0019798E" w:rsidRPr="00D4309F" w:rsidRDefault="00C706DA" w:rsidP="00C706DA">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5c25c4a0-72e0-4695-bcb8-897d4fd42997&quot;}}"/>
                              <w:id w:val="-1832519934"/>
                            </w:sdtPr>
                            <w:sdtEndPr>
                              <w:rPr>
                                <w:rStyle w:val="PageNumber"/>
                              </w:rPr>
                            </w:sdtEndPr>
                            <w:sdtContent>
                              <w:r w:rsidRPr="00D4309F">
                                <w:rPr>
                                  <w:rStyle w:val="PageNumber"/>
                                  <w:b w:val="0"/>
                                </w:rPr>
                                <w:t>Page</w:t>
                              </w:r>
                            </w:sdtContent>
                          </w:sdt>
                          <w:r w:rsidR="0019798E" w:rsidRPr="00D4309F">
                            <w:rPr>
                              <w:rStyle w:val="PageNumber"/>
                              <w:b w:val="0"/>
                            </w:rPr>
                            <w:t xml:space="preserve"> </w:t>
                          </w:r>
                          <w:r w:rsidR="0019798E" w:rsidRPr="00D4309F">
                            <w:rPr>
                              <w:rStyle w:val="PageNumber"/>
                              <w:b w:val="0"/>
                            </w:rPr>
                            <w:fldChar w:fldCharType="begin"/>
                          </w:r>
                          <w:r w:rsidR="0019798E" w:rsidRPr="00D4309F">
                            <w:rPr>
                              <w:rStyle w:val="PageNumber"/>
                              <w:b w:val="0"/>
                            </w:rPr>
                            <w:instrText xml:space="preserve"> PAGE   \* MERGEFORMAT </w:instrText>
                          </w:r>
                          <w:r w:rsidR="0019798E" w:rsidRPr="00D4309F">
                            <w:rPr>
                              <w:rStyle w:val="PageNumber"/>
                              <w:b w:val="0"/>
                            </w:rPr>
                            <w:fldChar w:fldCharType="separate"/>
                          </w:r>
                          <w:r w:rsidR="0019798E" w:rsidRPr="00D4309F">
                            <w:rPr>
                              <w:rStyle w:val="PageNumber"/>
                              <w:b w:val="0"/>
                              <w:noProof/>
                            </w:rPr>
                            <w:t>1</w:t>
                          </w:r>
                          <w:r w:rsidR="0019798E"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305194" id="_x0000_t202" coordsize="21600,21600" o:spt="202" path="m,l,21600r21600,l21600,xe">
              <v:stroke joinstyle="miter"/>
              <v:path gradientshapeok="t" o:connecttype="rect"/>
            </v:shapetype>
            <v:shape id="Text Box 2" o:spid="_x0000_s1104" type="#_x0000_t202" style="position:absolute;margin-left:44.55pt;margin-top:0;width:95.75pt;height:38pt;z-index:251658241;visibility:visible;mso-wrap-style:square;mso-width-percent:0;mso-height-percent:0;mso-wrap-distance-left:9pt;mso-wrap-distance-top:0;mso-wrap-distance-right:9pt;mso-wrap-distance-bottom:0;mso-position-horizontal:right;mso-position-horizontal-relative:right-margin-area;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" filled="f" fillcolor="white [3201]" stroked="f" strokeweight=".5pt">
              <v:textbox inset="0,0,0,0">
                <w:txbxContent>
                  <w:p w14:paraId="112A29CD" w14:textId="77777777" w:rsidR="0019798E" w:rsidRPr="00D4309F" w:rsidRDefault="00C706DA" w:rsidP="00C706DA">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5c25c4a0-72e0-4695-bcb8-897d4fd42997&quot;}}"/>
                        <w:id w:val="-1832519934"/>
                      </w:sdtPr>
                      <w:sdtEndPr>
                        <w:rPr>
                          <w:rStyle w:val="PageNumber"/>
                        </w:rPr>
                      </w:sdtEndPr>
                      <w:sdtContent>
                        <w:r w:rsidRPr="00D4309F">
                          <w:rPr>
                            <w:rStyle w:val="PageNumber"/>
                            <w:b w:val="0"/>
                          </w:rPr>
                          <w:t>Page</w:t>
                        </w:r>
                      </w:sdtContent>
                    </w:sdt>
                    <w:r w:rsidR="0019798E" w:rsidRPr="00D4309F">
                      <w:rPr>
                        <w:rStyle w:val="PageNumber"/>
                        <w:b w:val="0"/>
                      </w:rPr>
                      <w:t xml:space="preserve"> </w:t>
                    </w:r>
                    <w:r w:rsidR="0019798E" w:rsidRPr="00D4309F">
                      <w:rPr>
                        <w:rStyle w:val="PageNumber"/>
                        <w:b w:val="0"/>
                      </w:rPr>
                      <w:fldChar w:fldCharType="begin"/>
                    </w:r>
                    <w:r w:rsidR="0019798E" w:rsidRPr="00D4309F">
                      <w:rPr>
                        <w:rStyle w:val="PageNumber"/>
                        <w:b w:val="0"/>
                      </w:rPr>
                      <w:instrText xml:space="preserve"> PAGE   \* MERGEFORMAT </w:instrText>
                    </w:r>
                    <w:r w:rsidR="0019798E" w:rsidRPr="00D4309F">
                      <w:rPr>
                        <w:rStyle w:val="PageNumber"/>
                        <w:b w:val="0"/>
                      </w:rPr>
                      <w:fldChar w:fldCharType="separate"/>
                    </w:r>
                    <w:r w:rsidR="0019798E" w:rsidRPr="00D4309F">
                      <w:rPr>
                        <w:rStyle w:val="PageNumber"/>
                        <w:b w:val="0"/>
                        <w:noProof/>
                      </w:rPr>
                      <w:t>1</w:t>
                    </w:r>
                    <w:r w:rsidR="0019798E" w:rsidRPr="00D4309F">
                      <w:rPr>
                        <w:rStyle w:val="PageNumber"/>
                        <w:b w:val="0"/>
                        <w:noProof/>
                      </w:rPr>
                      <w:fldChar w:fldCharType="end"/>
                    </w:r>
                  </w:p>
                </w:txbxContent>
              </v:textbox>
              <w10:wrap anchorx="margin" anchory="page"/>
            </v:shape>
          </w:pict>
        </mc:Fallback>
      </mc:AlternateContent>
    </w:r>
    <w:sdt>
      <w:sdtPr>
        <w:alias w:val="{{UserProfile.Entity.WebShort}}"/>
        <w:tag w:val="{&quot;templafy&quot;:{&quot;id&quot;:&quot;71f2e4e7-a762-436a-8bb6-d7e14ed9ba7a&quot;}}"/>
        <w:id w:val="1033461242"/>
        <w:placeholder>
          <w:docPart w:val="FF5BED9DD1784C689F19404E0FA28F24"/>
        </w:placeholder>
      </w:sdtPr>
      <w:sdtEndPr/>
      <w:sdtContent>
        <w:r w:rsidR="00A85E99">
          <w:t>rpsgroup</w:t>
        </w:r>
        <w:r w:rsidR="00D4309F" w:rsidRPr="00D4309F">
          <w:t>.com</w:t>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92D579" w14:textId="121C6BC2" w:rsidR="00785887" w:rsidRPr="00D4309F" w:rsidRDefault="00785887" w:rsidP="00785887">
    <w:pPr>
      <w:pStyle w:val="FooterBorder"/>
    </w:pPr>
    <w:r w:rsidRPr="00D4309F">
      <w:fldChar w:fldCharType="begin"/>
    </w:r>
    <w:r w:rsidRPr="00D4309F">
      <w:instrText xml:space="preserve"> STYLEREF  "Project reference" </w:instrText>
    </w:r>
    <w:r w:rsidRPr="00D4309F">
      <w:fldChar w:fldCharType="separate"/>
    </w:r>
    <w:r w:rsidR="00EB437D">
      <w:rPr>
        <w:noProof/>
      </w:rPr>
      <w:t>604-OEENVBNE-420124</w:t>
    </w:r>
    <w:r w:rsidRPr="00D4309F">
      <w:fldChar w:fldCharType="end"/>
    </w:r>
    <w:r w:rsidRPr="00D4309F">
      <w:t xml:space="preserve">  |  </w:t>
    </w:r>
    <w:sdt>
      <w:sdtPr>
        <w:alias w:val="{{Form.Title}}"/>
        <w:tag w:val="{&quot;templafy&quot;:{&quot;id&quot;:&quot;cb3839a9-37c1-4559-bdcc-b4d8ea546739&quot;}}"/>
        <w:id w:val="1680467011"/>
        <w:placeholder>
          <w:docPart w:val="8A603447A4C149C5AB21B40F47BBF239"/>
        </w:placeholder>
      </w:sdtPr>
      <w:sdtEndPr/>
      <w:sdtContent>
        <w:r w:rsidRPr="00D4309F">
          <w:t>MOOLOOLABA BOAT HARBOUR ENTRANCE INDEPENDENT REVIEW</w:t>
        </w:r>
      </w:sdtContent>
    </w:sdt>
    <w:r w:rsidRPr="00D4309F">
      <w:t xml:space="preserve">  |  </w:t>
    </w:r>
    <w:fldSimple w:instr=" STYLEREF  &quot;Project date&quot;  \* MERGEFORMAT ">
      <w:r w:rsidR="00EB437D">
        <w:rPr>
          <w:noProof/>
        </w:rPr>
        <w:t>15 December 2025</w:t>
      </w:r>
    </w:fldSimple>
    <w:r w:rsidRPr="00D4309F">
      <w:t xml:space="preserve">  |  </w:t>
    </w:r>
    <w:sdt>
      <w:sdtPr>
        <w:alias w:val="{{Form.Version}}"/>
        <w:tag w:val="{&quot;templafy&quot;:{&quot;id&quot;:&quot;c1c6bc0a-9dfa-453a-9dbf-62e39b91b29a&quot;}}"/>
        <w:id w:val="1220244822"/>
        <w:placeholder>
          <w:docPart w:val="5567A73220EB423D9A1AE899612D813C"/>
        </w:placeholder>
      </w:sdtPr>
      <w:sdtEndPr/>
      <w:sdtContent>
        <w:r w:rsidR="006A63A5">
          <w:t>1.0</w:t>
        </w:r>
      </w:sdtContent>
    </w:sdt>
    <w:r w:rsidRPr="00D4309F">
      <w:t xml:space="preserve">  |  </w:t>
    </w:r>
    <w:sdt>
      <w:sdtPr>
        <w:alias w:val="{{Form.BIM_Number}}"/>
        <w:tag w:val="{&quot;templafy&quot;:{&quot;id&quot;:&quot;6c2c5493-bab6-48cb-90fc-06e67fec9635&quot;}}"/>
        <w:id w:val="-1207022631"/>
        <w:placeholder>
          <w:docPart w:val="DBE8E59F838E403D86CBD9FE9933A271"/>
        </w:placeholder>
      </w:sdtPr>
      <w:sdtEndPr/>
      <w:sdtContent>
        <w:r w:rsidRPr="00D4309F">
          <w:t>​</w:t>
        </w:r>
      </w:sdtContent>
    </w:sdt>
  </w:p>
  <w:p w14:paraId="7B1482A2" w14:textId="09822F7F" w:rsidR="00785887" w:rsidRPr="00D4309F" w:rsidRDefault="00785887" w:rsidP="00785887">
    <w:pPr>
      <w:pStyle w:val="Template-Web"/>
      <w:tabs>
        <w:tab w:val="clear" w:pos="4819"/>
      </w:tabs>
    </w:pPr>
    <w:r w:rsidRPr="00D4309F">
      <w:rPr>
        <w:noProof/>
      </w:rPr>
      <mc:AlternateContent>
        <mc:Choice Requires="wps">
          <w:drawing>
            <wp:anchor distT="0" distB="0" distL="114300" distR="114300" simplePos="0" relativeHeight="251658315" behindDoc="0" locked="0" layoutInCell="1" allowOverlap="1" wp14:anchorId="5CE46E78" wp14:editId="426EE7E8">
              <wp:simplePos x="0" y="0"/>
              <wp:positionH relativeFrom="page">
                <wp:align>right</wp:align>
              </wp:positionH>
              <wp:positionV relativeFrom="page">
                <wp:align>bottom</wp:align>
              </wp:positionV>
              <wp:extent cx="1216152" cy="484632"/>
              <wp:effectExtent l="0" t="0" r="3175" b="10795"/>
              <wp:wrapNone/>
              <wp:docPr id="1551496955" name="Text Box 1551496955"/>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406E8937" w14:textId="77777777" w:rsidR="00785887" w:rsidRPr="00D4309F" w:rsidRDefault="00785887" w:rsidP="00785887">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248627743"/>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E46E78" id="_x0000_t202" coordsize="21600,21600" o:spt="202" path="m,l,21600r21600,l21600,xe">
              <v:stroke joinstyle="miter"/>
              <v:path gradientshapeok="t" o:connecttype="rect"/>
            </v:shapetype>
            <v:shape id="Text Box 1551496955" o:spid="_x0000_s1039" type="#_x0000_t202" style="position:absolute;margin-left:44.55pt;margin-top:0;width:95.75pt;height:38.15pt;z-index:251658315;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" filled="f" fillcolor="white [3201]" stroked="f" strokeweight=".5pt">
              <v:textbox inset="0,0,0,0">
                <w:txbxContent>
                  <w:p w14:paraId="406E8937" w14:textId="77777777" w:rsidR="00785887" w:rsidRPr="00D4309F" w:rsidRDefault="00785887" w:rsidP="00785887">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248627743"/>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159578262"/>
        <w:placeholder>
          <w:docPart w:val="61AD29588EE04F5F8F1ECEFAEA264E9D"/>
        </w:placeholder>
      </w:sdtPr>
      <w:sdtEndPr/>
      <w:sdtContent>
        <w:r w:rsidR="00F75C41">
          <w:t>rpsgroup</w:t>
        </w:r>
        <w:r w:rsidRPr="00D4309F">
          <w:t>.com</w:t>
        </w:r>
      </w:sdtContent>
    </w:sdt>
    <w:r>
      <w:t xml:space="preserve"> |</w:t>
    </w:r>
    <w:r w:rsidRPr="00835E05">
      <w:t xml:space="preserve"> </w:t>
    </w:r>
    <w:r w:rsidRPr="00D4309F">
      <w:t>coastalmanagement.com.au</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8A091B" w14:textId="74FB7B0D" w:rsidR="00785887" w:rsidRPr="00D4309F" w:rsidRDefault="00785887" w:rsidP="00785887">
    <w:pPr>
      <w:pStyle w:val="FooterBorder"/>
    </w:pPr>
    <w:r w:rsidRPr="00D4309F">
      <w:fldChar w:fldCharType="begin"/>
    </w:r>
    <w:r w:rsidRPr="00D4309F">
      <w:instrText xml:space="preserve"> STYLEREF  "Project reference" </w:instrText>
    </w:r>
    <w:r w:rsidRPr="00D4309F">
      <w:fldChar w:fldCharType="separate"/>
    </w:r>
    <w:r w:rsidR="001C225C">
      <w:rPr>
        <w:noProof/>
      </w:rPr>
      <w:t>604-OEENVBNE-420124</w:t>
    </w:r>
    <w:r w:rsidRPr="00D4309F">
      <w:fldChar w:fldCharType="end"/>
    </w:r>
    <w:r w:rsidRPr="00D4309F">
      <w:t xml:space="preserve">  |  </w:t>
    </w:r>
    <w:sdt>
      <w:sdtPr>
        <w:alias w:val="{{Form.Title}}"/>
        <w:tag w:val="{&quot;templafy&quot;:{&quot;id&quot;:&quot;cb3839a9-37c1-4559-bdcc-b4d8ea546739&quot;}}"/>
        <w:id w:val="563448967"/>
        <w:placeholder>
          <w:docPart w:val="2A584C8F56A9466C92F0BE8C0F538929"/>
        </w:placeholder>
      </w:sdtPr>
      <w:sdtEndPr/>
      <w:sdtContent>
        <w:r w:rsidRPr="00D4309F">
          <w:t>MOOLOOLABA BOAT HARBOUR ENTRANCE INDEPENDENT REVIEW</w:t>
        </w:r>
      </w:sdtContent>
    </w:sdt>
    <w:r w:rsidRPr="00D4309F">
      <w:t xml:space="preserve">  |  </w:t>
    </w:r>
    <w:fldSimple w:instr=" STYLEREF  &quot;Project date&quot;  \* MERGEFORMAT ">
      <w:r w:rsidR="001C225C">
        <w:rPr>
          <w:noProof/>
        </w:rPr>
        <w:t>15 December 2025</w:t>
      </w:r>
    </w:fldSimple>
    <w:r w:rsidRPr="00D4309F">
      <w:t xml:space="preserve">  |  </w:t>
    </w:r>
    <w:sdt>
      <w:sdtPr>
        <w:alias w:val="{{Form.Version}}"/>
        <w:tag w:val="{&quot;templafy&quot;:{&quot;id&quot;:&quot;c1c6bc0a-9dfa-453a-9dbf-62e39b91b29a&quot;}}"/>
        <w:id w:val="2096206954"/>
        <w:placeholder>
          <w:docPart w:val="49509933CDC24D2CB15BF32E7C0CF501"/>
        </w:placeholder>
      </w:sdtPr>
      <w:sdtEndPr/>
      <w:sdtContent>
        <w:r w:rsidR="006A63A5">
          <w:t>1.0</w:t>
        </w:r>
      </w:sdtContent>
    </w:sdt>
    <w:r w:rsidRPr="00D4309F">
      <w:t xml:space="preserve">  |  </w:t>
    </w:r>
    <w:sdt>
      <w:sdtPr>
        <w:alias w:val="{{Form.BIM_Number}}"/>
        <w:tag w:val="{&quot;templafy&quot;:{&quot;id&quot;:&quot;6c2c5493-bab6-48cb-90fc-06e67fec9635&quot;}}"/>
        <w:id w:val="418683700"/>
        <w:placeholder>
          <w:docPart w:val="54F4324AE4B9442AA9BF7DCFD0F7F8B1"/>
        </w:placeholder>
      </w:sdtPr>
      <w:sdtEndPr/>
      <w:sdtContent>
        <w:r w:rsidRPr="00D4309F">
          <w:t>​</w:t>
        </w:r>
      </w:sdtContent>
    </w:sdt>
  </w:p>
  <w:p w14:paraId="4E8C3849" w14:textId="4B5ED66A" w:rsidR="00785887" w:rsidRPr="00D4309F" w:rsidRDefault="00785887" w:rsidP="00785887">
    <w:pPr>
      <w:pStyle w:val="Template-Web"/>
      <w:tabs>
        <w:tab w:val="clear" w:pos="4819"/>
      </w:tabs>
    </w:pPr>
    <w:r w:rsidRPr="00D4309F">
      <w:rPr>
        <w:noProof/>
      </w:rPr>
      <mc:AlternateContent>
        <mc:Choice Requires="wps">
          <w:drawing>
            <wp:anchor distT="0" distB="0" distL="114300" distR="114300" simplePos="0" relativeHeight="251658316" behindDoc="0" locked="0" layoutInCell="1" allowOverlap="1" wp14:anchorId="74581C70" wp14:editId="7347DF4F">
              <wp:simplePos x="0" y="0"/>
              <wp:positionH relativeFrom="page">
                <wp:align>right</wp:align>
              </wp:positionH>
              <wp:positionV relativeFrom="page">
                <wp:align>bottom</wp:align>
              </wp:positionV>
              <wp:extent cx="1216152" cy="484632"/>
              <wp:effectExtent l="0" t="0" r="3175" b="10795"/>
              <wp:wrapNone/>
              <wp:docPr id="404209478" name="Text Box 404209478"/>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260CCFBB" w14:textId="77777777" w:rsidR="00785887" w:rsidRPr="00D4309F" w:rsidRDefault="00785887" w:rsidP="00785887">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826123598"/>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581C70" id="_x0000_t202" coordsize="21600,21600" o:spt="202" path="m,l,21600r21600,l21600,xe">
              <v:stroke joinstyle="miter"/>
              <v:path gradientshapeok="t" o:connecttype="rect"/>
            </v:shapetype>
            <v:shape id="Text Box 404209478" o:spid="_x0000_s1041" type="#_x0000_t202" style="position:absolute;margin-left:44.55pt;margin-top:0;width:95.75pt;height:38.15pt;z-index:25165831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" filled="f" fillcolor="white [3201]" stroked="f" strokeweight=".5pt">
              <v:textbox inset="0,0,0,0">
                <w:txbxContent>
                  <w:p w14:paraId="260CCFBB" w14:textId="77777777" w:rsidR="00785887" w:rsidRPr="00D4309F" w:rsidRDefault="00785887" w:rsidP="00785887">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826123598"/>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2135932054"/>
        <w:placeholder>
          <w:docPart w:val="DE3D1F56A74B4462AFBA8D5301878C48"/>
        </w:placeholder>
      </w:sdtPr>
      <w:sdtEndPr/>
      <w:sdtContent>
        <w:r w:rsidR="00F75C41">
          <w:t>rpsgroup</w:t>
        </w:r>
        <w:r w:rsidRPr="00D4309F">
          <w:t>.com</w:t>
        </w:r>
      </w:sdtContent>
    </w:sdt>
    <w:r>
      <w:t xml:space="preserve"> |</w:t>
    </w:r>
    <w:r w:rsidRPr="00835E05">
      <w:t xml:space="preserve"> </w:t>
    </w:r>
    <w:r w:rsidRPr="00D4309F">
      <w:t>coastalmanagement.com.au</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051F43" w14:textId="53E96502" w:rsidR="00F56BEC" w:rsidRPr="00D4309F" w:rsidRDefault="00F56BEC" w:rsidP="00F56BEC">
    <w:pPr>
      <w:pStyle w:val="FooterBorder"/>
    </w:pPr>
    <w:r w:rsidRPr="00D4309F">
      <w:fldChar w:fldCharType="begin"/>
    </w:r>
    <w:r w:rsidRPr="00D4309F">
      <w:instrText xml:space="preserve"> STYLEREF  "Project reference" </w:instrText>
    </w:r>
    <w:r w:rsidRPr="00D4309F">
      <w:fldChar w:fldCharType="separate"/>
    </w:r>
    <w:r w:rsidR="005F5F71">
      <w:rPr>
        <w:noProof/>
      </w:rPr>
      <w:t>604-OEENVBNE-420124</w:t>
    </w:r>
    <w:r w:rsidRPr="00D4309F">
      <w:fldChar w:fldCharType="end"/>
    </w:r>
    <w:r w:rsidRPr="00D4309F">
      <w:t xml:space="preserve">  |  </w:t>
    </w:r>
    <w:sdt>
      <w:sdtPr>
        <w:alias w:val="{{Form.Title}}"/>
        <w:tag w:val="{&quot;templafy&quot;:{&quot;id&quot;:&quot;cb3839a9-37c1-4559-bdcc-b4d8ea546739&quot;}}"/>
        <w:id w:val="-479927446"/>
        <w:placeholder>
          <w:docPart w:val="632594593A184B33892A892533FDABE9"/>
        </w:placeholder>
      </w:sdtPr>
      <w:sdtEndPr/>
      <w:sdtContent>
        <w:r w:rsidRPr="00D4309F">
          <w:t>MOOLOOLABA BOAT HARBOUR ENTRANCE INDEPENDENT REVIEW</w:t>
        </w:r>
      </w:sdtContent>
    </w:sdt>
    <w:r w:rsidRPr="00D4309F">
      <w:t xml:space="preserve">  |  </w:t>
    </w:r>
    <w:fldSimple w:instr=" STYLEREF  &quot;Project date&quot;  \* MERGEFORMAT ">
      <w:r w:rsidR="005F5F71">
        <w:rPr>
          <w:noProof/>
        </w:rPr>
        <w:t>15 December 2025</w:t>
      </w:r>
    </w:fldSimple>
    <w:r w:rsidRPr="00D4309F">
      <w:t xml:space="preserve">  |  </w:t>
    </w:r>
    <w:sdt>
      <w:sdtPr>
        <w:alias w:val="{{Form.Version}}"/>
        <w:tag w:val="{&quot;templafy&quot;:{&quot;id&quot;:&quot;c1c6bc0a-9dfa-453a-9dbf-62e39b91b29a&quot;}}"/>
        <w:id w:val="-1232767916"/>
        <w:placeholder>
          <w:docPart w:val="BA2C7DCB01D14003B9044A2D68D07CFB"/>
        </w:placeholder>
      </w:sdtPr>
      <w:sdtEndPr/>
      <w:sdtContent>
        <w:r w:rsidR="006A63A5">
          <w:t>1.0</w:t>
        </w:r>
      </w:sdtContent>
    </w:sdt>
    <w:r w:rsidRPr="00D4309F">
      <w:t xml:space="preserve">  |  </w:t>
    </w:r>
    <w:sdt>
      <w:sdtPr>
        <w:alias w:val="{{Form.BIM_Number}}"/>
        <w:tag w:val="{&quot;templafy&quot;:{&quot;id&quot;:&quot;6c2c5493-bab6-48cb-90fc-06e67fec9635&quot;}}"/>
        <w:id w:val="283467819"/>
        <w:placeholder>
          <w:docPart w:val="0088E153EE504CF4A32CAB0E6517E787"/>
        </w:placeholder>
      </w:sdtPr>
      <w:sdtEndPr/>
      <w:sdtContent>
        <w:r w:rsidRPr="00D4309F">
          <w:t>​</w:t>
        </w:r>
      </w:sdtContent>
    </w:sdt>
  </w:p>
  <w:p w14:paraId="628D3304" w14:textId="0EA6C263" w:rsidR="00F56BEC" w:rsidRPr="00D4309F" w:rsidRDefault="00F56BEC" w:rsidP="00F56BEC">
    <w:pPr>
      <w:pStyle w:val="Template-Web"/>
      <w:tabs>
        <w:tab w:val="clear" w:pos="4819"/>
      </w:tabs>
    </w:pPr>
    <w:r w:rsidRPr="00D4309F">
      <w:rPr>
        <w:noProof/>
      </w:rPr>
      <mc:AlternateContent>
        <mc:Choice Requires="wps">
          <w:drawing>
            <wp:anchor distT="0" distB="0" distL="114300" distR="114300" simplePos="0" relativeHeight="251658317" behindDoc="0" locked="0" layoutInCell="1" allowOverlap="1" wp14:anchorId="5DEB0CF3" wp14:editId="1D5CA0B8">
              <wp:simplePos x="0" y="0"/>
              <wp:positionH relativeFrom="page">
                <wp:align>right</wp:align>
              </wp:positionH>
              <wp:positionV relativeFrom="page">
                <wp:align>bottom</wp:align>
              </wp:positionV>
              <wp:extent cx="1216152" cy="484632"/>
              <wp:effectExtent l="0" t="0" r="3175" b="10795"/>
              <wp:wrapNone/>
              <wp:docPr id="1621934643" name="Text Box 1621934643"/>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1532F59C" w14:textId="77777777" w:rsidR="00F56BEC" w:rsidRPr="00D4309F" w:rsidRDefault="00F56BEC" w:rsidP="00F56BEC">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208959652"/>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EB0CF3" id="_x0000_t202" coordsize="21600,21600" o:spt="202" path="m,l,21600r21600,l21600,xe">
              <v:stroke joinstyle="miter"/>
              <v:path gradientshapeok="t" o:connecttype="rect"/>
            </v:shapetype>
            <v:shape id="Text Box 1621934643" o:spid="_x0000_s1043" type="#_x0000_t202" style="position:absolute;margin-left:44.55pt;margin-top:0;width:95.75pt;height:38.15pt;z-index:251658317;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" filled="f" fillcolor="white [3201]" stroked="f" strokeweight=".5pt">
              <v:textbox inset="0,0,0,0">
                <w:txbxContent>
                  <w:p w14:paraId="1532F59C" w14:textId="77777777" w:rsidR="00F56BEC" w:rsidRPr="00D4309F" w:rsidRDefault="00F56BEC" w:rsidP="00F56BEC">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208959652"/>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1582205282"/>
        <w:placeholder>
          <w:docPart w:val="C751BAB73F50448A8B3053914703336C"/>
        </w:placeholder>
      </w:sdtPr>
      <w:sdtEndPr/>
      <w:sdtContent>
        <w:r w:rsidR="00F75C41">
          <w:t>rpsgroup</w:t>
        </w:r>
        <w:r w:rsidRPr="00D4309F">
          <w:t>.com</w:t>
        </w:r>
      </w:sdtContent>
    </w:sdt>
    <w:r>
      <w:t xml:space="preserve"> |</w:t>
    </w:r>
    <w:r w:rsidRPr="00835E05">
      <w:t xml:space="preserve"> </w:t>
    </w:r>
    <w:r w:rsidRPr="00D4309F">
      <w:t>coastalmanagement.com.au</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24E1C4" w14:textId="3873EF5D" w:rsidR="00F56BEC" w:rsidRPr="00D4309F" w:rsidRDefault="00F56BEC" w:rsidP="00F56BEC">
    <w:pPr>
      <w:pStyle w:val="FooterBorder"/>
    </w:pPr>
    <w:r w:rsidRPr="00D4309F">
      <w:fldChar w:fldCharType="begin"/>
    </w:r>
    <w:r w:rsidRPr="00D4309F">
      <w:instrText xml:space="preserve"> STYLEREF  "Project reference" </w:instrText>
    </w:r>
    <w:r w:rsidRPr="00D4309F">
      <w:fldChar w:fldCharType="separate"/>
    </w:r>
    <w:r w:rsidR="007D519B">
      <w:rPr>
        <w:noProof/>
      </w:rPr>
      <w:t>604-OEENVBNE-420124</w:t>
    </w:r>
    <w:r w:rsidRPr="00D4309F">
      <w:fldChar w:fldCharType="end"/>
    </w:r>
    <w:r w:rsidRPr="00D4309F">
      <w:t xml:space="preserve">  |  </w:t>
    </w:r>
    <w:sdt>
      <w:sdtPr>
        <w:alias w:val="{{Form.Title}}"/>
        <w:tag w:val="{&quot;templafy&quot;:{&quot;id&quot;:&quot;cb3839a9-37c1-4559-bdcc-b4d8ea546739&quot;}}"/>
        <w:id w:val="-862968288"/>
        <w:placeholder>
          <w:docPart w:val="00C8CFBD377B4B8C98D8B4F3824779D1"/>
        </w:placeholder>
      </w:sdtPr>
      <w:sdtEndPr/>
      <w:sdtContent>
        <w:r w:rsidRPr="00D4309F">
          <w:t>MOOLOOLABA BOAT HARBOUR ENTRANCE INDEPENDENT REVIEW</w:t>
        </w:r>
      </w:sdtContent>
    </w:sdt>
    <w:r w:rsidRPr="00D4309F">
      <w:t xml:space="preserve">  |  </w:t>
    </w:r>
    <w:fldSimple w:instr=" STYLEREF  &quot;Project date&quot;  \* MERGEFORMAT ">
      <w:r w:rsidR="007D519B">
        <w:rPr>
          <w:noProof/>
        </w:rPr>
        <w:t>15 December 2025</w:t>
      </w:r>
    </w:fldSimple>
    <w:r w:rsidRPr="00D4309F">
      <w:t xml:space="preserve">  |  </w:t>
    </w:r>
    <w:sdt>
      <w:sdtPr>
        <w:alias w:val="{{Form.Version}}"/>
        <w:tag w:val="{&quot;templafy&quot;:{&quot;id&quot;:&quot;c1c6bc0a-9dfa-453a-9dbf-62e39b91b29a&quot;}}"/>
        <w:id w:val="-479612812"/>
        <w:placeholder>
          <w:docPart w:val="D96E45B4C1B747639F188902FFEF97EE"/>
        </w:placeholder>
      </w:sdtPr>
      <w:sdtEndPr/>
      <w:sdtContent>
        <w:r w:rsidR="006A63A5">
          <w:t>1.0</w:t>
        </w:r>
      </w:sdtContent>
    </w:sdt>
    <w:r w:rsidRPr="00D4309F">
      <w:t xml:space="preserve">  |  </w:t>
    </w:r>
    <w:sdt>
      <w:sdtPr>
        <w:alias w:val="{{Form.BIM_Number}}"/>
        <w:tag w:val="{&quot;templafy&quot;:{&quot;id&quot;:&quot;6c2c5493-bab6-48cb-90fc-06e67fec9635&quot;}}"/>
        <w:id w:val="-1055768778"/>
        <w:placeholder>
          <w:docPart w:val="1C1B3B99DEE8496781451B3C4E23C438"/>
        </w:placeholder>
      </w:sdtPr>
      <w:sdtEndPr/>
      <w:sdtContent>
        <w:r w:rsidRPr="00D4309F">
          <w:t>​</w:t>
        </w:r>
      </w:sdtContent>
    </w:sdt>
  </w:p>
  <w:p w14:paraId="45F60E9E" w14:textId="092AA3D4" w:rsidR="00F56BEC" w:rsidRPr="00D4309F" w:rsidRDefault="00F56BEC" w:rsidP="00F56BEC">
    <w:pPr>
      <w:pStyle w:val="Template-Web"/>
      <w:tabs>
        <w:tab w:val="clear" w:pos="4819"/>
      </w:tabs>
    </w:pPr>
    <w:r w:rsidRPr="00D4309F">
      <w:rPr>
        <w:noProof/>
      </w:rPr>
      <mc:AlternateContent>
        <mc:Choice Requires="wps">
          <w:drawing>
            <wp:anchor distT="0" distB="0" distL="114300" distR="114300" simplePos="0" relativeHeight="251658318" behindDoc="0" locked="0" layoutInCell="1" allowOverlap="1" wp14:anchorId="0B9BAB54" wp14:editId="6E086684">
              <wp:simplePos x="0" y="0"/>
              <wp:positionH relativeFrom="page">
                <wp:align>right</wp:align>
              </wp:positionH>
              <wp:positionV relativeFrom="page">
                <wp:align>bottom</wp:align>
              </wp:positionV>
              <wp:extent cx="1216152" cy="484632"/>
              <wp:effectExtent l="0" t="0" r="3175" b="10795"/>
              <wp:wrapNone/>
              <wp:docPr id="1093402795" name="Text Box 1093402795"/>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57BC76C2" w14:textId="77777777" w:rsidR="00F56BEC" w:rsidRPr="00D4309F" w:rsidRDefault="00F56BEC" w:rsidP="00F56BEC">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851294315"/>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9BAB54" id="_x0000_t202" coordsize="21600,21600" o:spt="202" path="m,l,21600r21600,l21600,xe">
              <v:stroke joinstyle="miter"/>
              <v:path gradientshapeok="t" o:connecttype="rect"/>
            </v:shapetype>
            <v:shape id="Text Box 1093402795" o:spid="_x0000_s1045" type="#_x0000_t202" style="position:absolute;margin-left:44.55pt;margin-top:0;width:95.75pt;height:38.15pt;z-index:25165831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" filled="f" fillcolor="white [3201]" stroked="f" strokeweight=".5pt">
              <v:textbox inset="0,0,0,0">
                <w:txbxContent>
                  <w:p w14:paraId="57BC76C2" w14:textId="77777777" w:rsidR="00F56BEC" w:rsidRPr="00D4309F" w:rsidRDefault="00F56BEC" w:rsidP="00F56BEC">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1851294315"/>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1368031830"/>
        <w:placeholder>
          <w:docPart w:val="60ED9D7CC2044D0EAB3ABEA7EB54A3B1"/>
        </w:placeholder>
      </w:sdtPr>
      <w:sdtEndPr/>
      <w:sdtContent>
        <w:r w:rsidR="00F75C41">
          <w:t>rpsgroup</w:t>
        </w:r>
        <w:r w:rsidRPr="00D4309F">
          <w:t>.com</w:t>
        </w:r>
      </w:sdtContent>
    </w:sdt>
    <w:r>
      <w:t xml:space="preserve"> |</w:t>
    </w:r>
    <w:r w:rsidRPr="00835E05">
      <w:t xml:space="preserve"> </w:t>
    </w:r>
    <w:r w:rsidRPr="00D4309F">
      <w:t>coastalmanagement.com.au</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099025" w14:textId="79E1BD3F" w:rsidR="00F354DD" w:rsidRPr="00D4309F" w:rsidRDefault="00F354DD" w:rsidP="00F354DD">
    <w:pPr>
      <w:pStyle w:val="FooterBorder"/>
    </w:pPr>
    <w:r w:rsidRPr="00D4309F">
      <w:fldChar w:fldCharType="begin"/>
    </w:r>
    <w:r w:rsidRPr="00D4309F">
      <w:instrText xml:space="preserve"> STYLEREF  "Project reference" </w:instrText>
    </w:r>
    <w:r w:rsidRPr="00D4309F">
      <w:fldChar w:fldCharType="separate"/>
    </w:r>
    <w:r w:rsidR="007D519B">
      <w:rPr>
        <w:noProof/>
      </w:rPr>
      <w:t>604-OEENVBNE-420124</w:t>
    </w:r>
    <w:r w:rsidRPr="00D4309F">
      <w:fldChar w:fldCharType="end"/>
    </w:r>
    <w:r w:rsidRPr="00D4309F">
      <w:t xml:space="preserve">  |  </w:t>
    </w:r>
    <w:sdt>
      <w:sdtPr>
        <w:alias w:val="{{Form.Title}}"/>
        <w:tag w:val="{&quot;templafy&quot;:{&quot;id&quot;:&quot;cb3839a9-37c1-4559-bdcc-b4d8ea546739&quot;}}"/>
        <w:id w:val="351621941"/>
        <w:placeholder>
          <w:docPart w:val="2D295D070BAE4A9FBEEBABBF377680CE"/>
        </w:placeholder>
      </w:sdtPr>
      <w:sdtEndPr/>
      <w:sdtContent>
        <w:r w:rsidRPr="00D4309F">
          <w:t>MOOLOOLABA BOAT HARBOUR ENTRANCE INDEPENDENT REVIEW</w:t>
        </w:r>
      </w:sdtContent>
    </w:sdt>
    <w:r w:rsidRPr="00D4309F">
      <w:t xml:space="preserve">  |  </w:t>
    </w:r>
    <w:fldSimple w:instr=" STYLEREF  &quot;Project date&quot;  \* MERGEFORMAT ">
      <w:r w:rsidR="007D519B">
        <w:rPr>
          <w:noProof/>
        </w:rPr>
        <w:t>15 December 2025</w:t>
      </w:r>
    </w:fldSimple>
    <w:r w:rsidRPr="00D4309F">
      <w:t xml:space="preserve">  |  </w:t>
    </w:r>
    <w:sdt>
      <w:sdtPr>
        <w:alias w:val="{{Form.Version}}"/>
        <w:tag w:val="{&quot;templafy&quot;:{&quot;id&quot;:&quot;c1c6bc0a-9dfa-453a-9dbf-62e39b91b29a&quot;}}"/>
        <w:id w:val="2084716992"/>
        <w:placeholder>
          <w:docPart w:val="E65CB91BBB6C47B8BA2C8D9118F8BB1E"/>
        </w:placeholder>
      </w:sdtPr>
      <w:sdtEndPr/>
      <w:sdtContent>
        <w:r w:rsidR="006A63A5">
          <w:t>1.0</w:t>
        </w:r>
      </w:sdtContent>
    </w:sdt>
    <w:r w:rsidRPr="00D4309F">
      <w:t xml:space="preserve">  |  </w:t>
    </w:r>
    <w:sdt>
      <w:sdtPr>
        <w:alias w:val="{{Form.BIM_Number}}"/>
        <w:tag w:val="{&quot;templafy&quot;:{&quot;id&quot;:&quot;6c2c5493-bab6-48cb-90fc-06e67fec9635&quot;}}"/>
        <w:id w:val="-1370298343"/>
        <w:placeholder>
          <w:docPart w:val="69AA75FDFE1A441C8E2CDFD39DAC9180"/>
        </w:placeholder>
      </w:sdtPr>
      <w:sdtEndPr/>
      <w:sdtContent>
        <w:r w:rsidRPr="00D4309F">
          <w:t>​</w:t>
        </w:r>
      </w:sdtContent>
    </w:sdt>
  </w:p>
  <w:p w14:paraId="3AEBBDE6" w14:textId="51D8E8A1" w:rsidR="00F354DD" w:rsidRPr="00D4309F" w:rsidRDefault="00F354DD" w:rsidP="00F354DD">
    <w:pPr>
      <w:pStyle w:val="Template-Web"/>
      <w:tabs>
        <w:tab w:val="clear" w:pos="4819"/>
      </w:tabs>
    </w:pPr>
    <w:r w:rsidRPr="00D4309F">
      <w:rPr>
        <w:noProof/>
      </w:rPr>
      <mc:AlternateContent>
        <mc:Choice Requires="wps">
          <w:drawing>
            <wp:anchor distT="0" distB="0" distL="114300" distR="114300" simplePos="0" relativeHeight="251658319" behindDoc="0" locked="0" layoutInCell="1" allowOverlap="1" wp14:anchorId="00E0EDF6" wp14:editId="50159BD5">
              <wp:simplePos x="0" y="0"/>
              <wp:positionH relativeFrom="page">
                <wp:align>right</wp:align>
              </wp:positionH>
              <wp:positionV relativeFrom="page">
                <wp:align>bottom</wp:align>
              </wp:positionV>
              <wp:extent cx="1216152" cy="484632"/>
              <wp:effectExtent l="0" t="0" r="3175" b="10795"/>
              <wp:wrapNone/>
              <wp:docPr id="335941725" name="Text Box 335941725"/>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417C9FC1" w14:textId="77777777" w:rsidR="00F354DD" w:rsidRPr="00D4309F" w:rsidRDefault="00F354DD" w:rsidP="00F354DD">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513507366"/>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E0EDF6" id="_x0000_t202" coordsize="21600,21600" o:spt="202" path="m,l,21600r21600,l21600,xe">
              <v:stroke joinstyle="miter"/>
              <v:path gradientshapeok="t" o:connecttype="rect"/>
            </v:shapetype>
            <v:shape id="Text Box 335941725" o:spid="_x0000_s1047" type="#_x0000_t202" style="position:absolute;margin-left:44.55pt;margin-top:0;width:95.75pt;height:38.15pt;z-index:251658319;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" filled="f" fillcolor="white [3201]" stroked="f" strokeweight=".5pt">
              <v:textbox inset="0,0,0,0">
                <w:txbxContent>
                  <w:p w14:paraId="417C9FC1" w14:textId="77777777" w:rsidR="00F354DD" w:rsidRPr="00D4309F" w:rsidRDefault="00F354DD" w:rsidP="00F354DD">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513507366"/>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1764407976"/>
        <w:placeholder>
          <w:docPart w:val="75F0152D6B564D728060FEAA6DEA7352"/>
        </w:placeholder>
      </w:sdtPr>
      <w:sdtEndPr/>
      <w:sdtContent>
        <w:r w:rsidR="00F75C41">
          <w:t>rpsgroup</w:t>
        </w:r>
        <w:r w:rsidRPr="00D4309F">
          <w:t>.com</w:t>
        </w:r>
      </w:sdtContent>
    </w:sdt>
    <w:r>
      <w:t xml:space="preserve"> |</w:t>
    </w:r>
    <w:r w:rsidRPr="00835E05">
      <w:t xml:space="preserve"> </w:t>
    </w:r>
    <w:r w:rsidRPr="00D4309F">
      <w:t>coastalmanagement.com.au</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340FCF" w14:textId="0611FA27" w:rsidR="000E1EDA" w:rsidRPr="00D4309F" w:rsidRDefault="000E1EDA" w:rsidP="000E1EDA">
    <w:pPr>
      <w:pStyle w:val="FooterBorder"/>
    </w:pPr>
    <w:r w:rsidRPr="00D4309F">
      <w:fldChar w:fldCharType="begin"/>
    </w:r>
    <w:r w:rsidRPr="00D4309F">
      <w:instrText xml:space="preserve"> STYLEREF  "Project reference" </w:instrText>
    </w:r>
    <w:r w:rsidRPr="00D4309F">
      <w:fldChar w:fldCharType="separate"/>
    </w:r>
    <w:r w:rsidR="007D519B">
      <w:rPr>
        <w:noProof/>
      </w:rPr>
      <w:t>604-OEENVBNE-420124</w:t>
    </w:r>
    <w:r w:rsidRPr="00D4309F">
      <w:fldChar w:fldCharType="end"/>
    </w:r>
    <w:r w:rsidRPr="00D4309F">
      <w:t xml:space="preserve">  |  </w:t>
    </w:r>
    <w:sdt>
      <w:sdtPr>
        <w:alias w:val="{{Form.Title}}"/>
        <w:tag w:val="{&quot;templafy&quot;:{&quot;id&quot;:&quot;cb3839a9-37c1-4559-bdcc-b4d8ea546739&quot;}}"/>
        <w:id w:val="957675890"/>
        <w:placeholder>
          <w:docPart w:val="CD3E77517DD4430D945F5E833D335303"/>
        </w:placeholder>
      </w:sdtPr>
      <w:sdtEndPr/>
      <w:sdtContent>
        <w:r w:rsidRPr="00D4309F">
          <w:t>MOOLOOLABA BOAT HARBOUR ENTRANCE INDEPENDENT REVIEW</w:t>
        </w:r>
      </w:sdtContent>
    </w:sdt>
    <w:r w:rsidRPr="00D4309F">
      <w:t xml:space="preserve">  |  </w:t>
    </w:r>
    <w:fldSimple w:instr=" STYLEREF  &quot;Project date&quot;  \* MERGEFORMAT ">
      <w:r w:rsidR="007D519B">
        <w:rPr>
          <w:noProof/>
        </w:rPr>
        <w:t>15 December 2025</w:t>
      </w:r>
    </w:fldSimple>
    <w:r w:rsidRPr="00D4309F">
      <w:t xml:space="preserve">  |  </w:t>
    </w:r>
    <w:sdt>
      <w:sdtPr>
        <w:alias w:val="{{Form.Version}}"/>
        <w:tag w:val="{&quot;templafy&quot;:{&quot;id&quot;:&quot;c1c6bc0a-9dfa-453a-9dbf-62e39b91b29a&quot;}}"/>
        <w:id w:val="-1334365643"/>
        <w:placeholder>
          <w:docPart w:val="C71A84608EFD40468E8CD99CFDE3DC35"/>
        </w:placeholder>
      </w:sdtPr>
      <w:sdtEndPr/>
      <w:sdtContent>
        <w:r w:rsidR="006A63A5">
          <w:t>1.0</w:t>
        </w:r>
      </w:sdtContent>
    </w:sdt>
    <w:r w:rsidRPr="00D4309F">
      <w:t xml:space="preserve">  |  </w:t>
    </w:r>
    <w:sdt>
      <w:sdtPr>
        <w:alias w:val="{{Form.BIM_Number}}"/>
        <w:tag w:val="{&quot;templafy&quot;:{&quot;id&quot;:&quot;6c2c5493-bab6-48cb-90fc-06e67fec9635&quot;}}"/>
        <w:id w:val="1714845871"/>
        <w:placeholder>
          <w:docPart w:val="4A0EADA354DE4490823BC22BA81B5ECC"/>
        </w:placeholder>
      </w:sdtPr>
      <w:sdtEndPr/>
      <w:sdtContent>
        <w:r w:rsidRPr="00D4309F">
          <w:t>​</w:t>
        </w:r>
      </w:sdtContent>
    </w:sdt>
  </w:p>
  <w:p w14:paraId="6E4F3E1B" w14:textId="12235B8F" w:rsidR="000E1EDA" w:rsidRPr="00D4309F" w:rsidRDefault="000E1EDA" w:rsidP="000E1EDA">
    <w:pPr>
      <w:pStyle w:val="Template-Web"/>
      <w:tabs>
        <w:tab w:val="clear" w:pos="4819"/>
      </w:tabs>
    </w:pPr>
    <w:r w:rsidRPr="00D4309F">
      <w:rPr>
        <w:noProof/>
      </w:rPr>
      <mc:AlternateContent>
        <mc:Choice Requires="wps">
          <w:drawing>
            <wp:anchor distT="0" distB="0" distL="114300" distR="114300" simplePos="0" relativeHeight="251658320" behindDoc="0" locked="0" layoutInCell="1" allowOverlap="1" wp14:anchorId="710E7DB4" wp14:editId="53F951CF">
              <wp:simplePos x="0" y="0"/>
              <wp:positionH relativeFrom="page">
                <wp:align>right</wp:align>
              </wp:positionH>
              <wp:positionV relativeFrom="page">
                <wp:align>bottom</wp:align>
              </wp:positionV>
              <wp:extent cx="1216152" cy="484632"/>
              <wp:effectExtent l="0" t="0" r="3175" b="10795"/>
              <wp:wrapNone/>
              <wp:docPr id="1673363549" name="Text Box 1673363549"/>
              <wp:cNvGraphicFramePr/>
              <a:graphic xmlns:a="http://schemas.openxmlformats.org/drawingml/2006/main">
                <a:graphicData uri="http://schemas.microsoft.com/office/word/2010/wordprocessingShape">
                  <wps:wsp>
                    <wps:cNvSpPr txBox="1"/>
                    <wps:spPr>
                      <a:xfrm>
                        <a:off x="0" y="0"/>
                        <a:ext cx="1216152" cy="484632"/>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445CFBC8" w14:textId="77777777" w:rsidR="000E1EDA" w:rsidRPr="00D4309F" w:rsidRDefault="000E1EDA" w:rsidP="000E1EDA">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766429160"/>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0E7DB4" id="_x0000_t202" coordsize="21600,21600" o:spt="202" path="m,l,21600r21600,l21600,xe">
              <v:stroke joinstyle="miter"/>
              <v:path gradientshapeok="t" o:connecttype="rect"/>
            </v:shapetype>
            <v:shape id="Text Box 1673363549" o:spid="_x0000_s1049" type="#_x0000_t202" style="position:absolute;margin-left:44.55pt;margin-top:0;width:95.75pt;height:38.15pt;z-index:25165832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" filled="f" fillcolor="white [3201]" stroked="f" strokeweight=".5pt">
              <v:textbox inset="0,0,0,0">
                <w:txbxContent>
                  <w:p w14:paraId="445CFBC8" w14:textId="77777777" w:rsidR="000E1EDA" w:rsidRPr="00D4309F" w:rsidRDefault="000E1EDA" w:rsidP="000E1EDA">
                    <w:pPr>
                      <w:pStyle w:val="Template-Web"/>
                      <w:tabs>
                        <w:tab w:val="clear" w:pos="4819"/>
                        <w:tab w:val="clear" w:pos="9638"/>
                        <w:tab w:val="right" w:pos="810"/>
                      </w:tabs>
                      <w:suppressOverlap/>
                      <w:rPr>
                        <w:rStyle w:val="PageNumber"/>
                        <w:b w:val="0"/>
                      </w:rPr>
                    </w:pPr>
                    <w:r w:rsidRPr="00D4309F">
                      <w:rPr>
                        <w:rStyle w:val="PageNumber"/>
                        <w:b w:val="0"/>
                      </w:rPr>
                      <w:tab/>
                    </w:r>
                    <w:sdt>
                      <w:sdtPr>
                        <w:rPr>
                          <w:rStyle w:val="PageNumber"/>
                          <w:b w:val="0"/>
                        </w:rPr>
                        <w:alias w:val="{{Translate(&quot;Page&quot;)}}"/>
                        <w:tag w:val="{&quot;templafy&quot;:{&quot;id&quot;:&quot;a383aeb4-e42a-4801-811d-af28d270c935&quot;}}"/>
                        <w:id w:val="766429160"/>
                      </w:sdtPr>
                      <w:sdtEndPr>
                        <w:rPr>
                          <w:rStyle w:val="PageNumber"/>
                        </w:rPr>
                      </w:sdtEndPr>
                      <w:sdtContent>
                        <w:r w:rsidRPr="00D4309F">
                          <w:rPr>
                            <w:rStyle w:val="PageNumber"/>
                            <w:b w:val="0"/>
                          </w:rPr>
                          <w:t>Page</w:t>
                        </w:r>
                      </w:sdtContent>
                    </w:sdt>
                    <w:r w:rsidRPr="00D4309F">
                      <w:rPr>
                        <w:rStyle w:val="PageNumber"/>
                        <w:b w:val="0"/>
                      </w:rPr>
                      <w:t xml:space="preserve"> </w:t>
                    </w:r>
                    <w:r w:rsidRPr="00D4309F">
                      <w:rPr>
                        <w:rStyle w:val="PageNumber"/>
                        <w:b w:val="0"/>
                      </w:rPr>
                      <w:fldChar w:fldCharType="begin"/>
                    </w:r>
                    <w:r w:rsidRPr="00D4309F">
                      <w:rPr>
                        <w:rStyle w:val="PageNumber"/>
                        <w:b w:val="0"/>
                      </w:rPr>
                      <w:instrText xml:space="preserve"> PAGE   \* MERGEFORMAT </w:instrText>
                    </w:r>
                    <w:r w:rsidRPr="00D4309F">
                      <w:rPr>
                        <w:rStyle w:val="PageNumber"/>
                        <w:b w:val="0"/>
                      </w:rPr>
                      <w:fldChar w:fldCharType="separate"/>
                    </w:r>
                    <w:r w:rsidRPr="00D4309F">
                      <w:rPr>
                        <w:rStyle w:val="PageNumber"/>
                        <w:b w:val="0"/>
                        <w:noProof/>
                      </w:rPr>
                      <w:t>1</w:t>
                    </w:r>
                    <w:r w:rsidRPr="00D4309F">
                      <w:rPr>
                        <w:rStyle w:val="PageNumber"/>
                        <w:b w:val="0"/>
                        <w:noProof/>
                      </w:rPr>
                      <w:fldChar w:fldCharType="end"/>
                    </w:r>
                  </w:p>
                </w:txbxContent>
              </v:textbox>
              <w10:wrap anchorx="page" anchory="page"/>
            </v:shape>
          </w:pict>
        </mc:Fallback>
      </mc:AlternateContent>
    </w:r>
    <w:sdt>
      <w:sdtPr>
        <w:alias w:val="{{UserProfile.Entity.WebShort}}"/>
        <w:tag w:val="{&quot;templafy&quot;:{&quot;id&quot;:&quot;871aab81-9981-4d5d-b47e-bdd37a4ddd2f&quot;}}"/>
        <w:id w:val="986979633"/>
        <w:placeholder>
          <w:docPart w:val="3D711C5293AF458D981130D74AAF8FF4"/>
        </w:placeholder>
      </w:sdtPr>
      <w:sdtEndPr/>
      <w:sdtContent>
        <w:r w:rsidR="00F75C41">
          <w:t>rpsgroup</w:t>
        </w:r>
        <w:r w:rsidRPr="00D4309F">
          <w:t>.com</w:t>
        </w:r>
      </w:sdtContent>
    </w:sdt>
    <w:r>
      <w:t xml:space="preserve"> |</w:t>
    </w:r>
    <w:r w:rsidRPr="00835E05">
      <w:t xml:space="preserve"> </w:t>
    </w:r>
    <w:r w:rsidRPr="00D4309F">
      <w:t>coastalmanagement.com.au</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CF386E" w14:textId="77777777" w:rsidR="00625A5F" w:rsidRPr="00D4309F" w:rsidRDefault="00625A5F" w:rsidP="009E4B94">
      <w:pPr>
        <w:spacing w:line="240" w:lineRule="auto"/>
      </w:pPr>
      <w:r w:rsidRPr="00D4309F">
        <w:separator/>
      </w:r>
    </w:p>
  </w:footnote>
  <w:footnote w:type="continuationSeparator" w:id="0">
    <w:p w14:paraId="50A1C176" w14:textId="77777777" w:rsidR="00625A5F" w:rsidRPr="00D4309F" w:rsidRDefault="00625A5F" w:rsidP="009E4B94">
      <w:pPr>
        <w:spacing w:line="240" w:lineRule="auto"/>
      </w:pPr>
      <w:r w:rsidRPr="00D4309F">
        <w:continuationSeparator/>
      </w:r>
    </w:p>
  </w:footnote>
  <w:footnote w:id="1">
    <w:p w14:paraId="41ED4FD6" w14:textId="518A0E27" w:rsidR="002521FA" w:rsidRPr="002521FA" w:rsidRDefault="002521FA" w:rsidP="005906AD">
      <w:pPr>
        <w:pStyle w:val="Footer"/>
        <w:rPr>
          <w:lang w:val="en-US"/>
        </w:rPr>
      </w:pPr>
      <w:r>
        <w:rPr>
          <w:rStyle w:val="FootnoteReference"/>
        </w:rPr>
        <w:footnoteRef/>
      </w:r>
      <w:r>
        <w:t xml:space="preserve">  </w:t>
      </w:r>
      <w:r w:rsidRPr="00D4309F">
        <w:t>Sunshine</w:t>
      </w:r>
      <w:r w:rsidRPr="00D4309F">
        <w:rPr>
          <w:spacing w:val="-6"/>
        </w:rPr>
        <w:t xml:space="preserve"> </w:t>
      </w:r>
      <w:r w:rsidRPr="00D4309F">
        <w:t>Coast</w:t>
      </w:r>
      <w:r w:rsidRPr="00D4309F">
        <w:rPr>
          <w:spacing w:val="-6"/>
        </w:rPr>
        <w:t xml:space="preserve"> </w:t>
      </w:r>
      <w:r w:rsidRPr="00D4309F">
        <w:t>Council,</w:t>
      </w:r>
      <w:r w:rsidRPr="00D4309F">
        <w:rPr>
          <w:spacing w:val="-6"/>
        </w:rPr>
        <w:t xml:space="preserve"> </w:t>
      </w:r>
      <w:r w:rsidRPr="00D4309F">
        <w:t>Mooloolaba</w:t>
      </w:r>
      <w:r w:rsidRPr="00D4309F">
        <w:rPr>
          <w:spacing w:val="-6"/>
        </w:rPr>
        <w:t xml:space="preserve"> </w:t>
      </w:r>
      <w:r w:rsidRPr="00D4309F">
        <w:t>Harbour</w:t>
      </w:r>
      <w:r w:rsidRPr="00D4309F">
        <w:rPr>
          <w:spacing w:val="-6"/>
        </w:rPr>
        <w:t xml:space="preserve"> </w:t>
      </w:r>
      <w:r w:rsidRPr="00D4309F">
        <w:t>and</w:t>
      </w:r>
      <w:r w:rsidRPr="00D4309F">
        <w:rPr>
          <w:spacing w:val="-5"/>
        </w:rPr>
        <w:t xml:space="preserve"> </w:t>
      </w:r>
      <w:r w:rsidRPr="00D4309F">
        <w:t>Boat</w:t>
      </w:r>
      <w:r w:rsidRPr="00D4309F">
        <w:rPr>
          <w:spacing w:val="-6"/>
        </w:rPr>
        <w:t xml:space="preserve"> </w:t>
      </w:r>
      <w:r w:rsidRPr="00D4309F">
        <w:t>Ramp</w:t>
      </w:r>
      <w:r w:rsidRPr="00D4309F">
        <w:rPr>
          <w:spacing w:val="-4"/>
        </w:rPr>
        <w:t xml:space="preserve"> </w:t>
      </w:r>
      <w:r w:rsidRPr="00D4309F">
        <w:t>Information,</w:t>
      </w:r>
      <w:r w:rsidRPr="00D4309F">
        <w:rPr>
          <w:spacing w:val="-6"/>
        </w:rPr>
        <w:t xml:space="preserve"> </w:t>
      </w:r>
      <w:r w:rsidRPr="00D4309F">
        <w:t>accessed</w:t>
      </w:r>
      <w:r w:rsidRPr="00D4309F">
        <w:rPr>
          <w:spacing w:val="-5"/>
        </w:rPr>
        <w:t xml:space="preserve"> </w:t>
      </w:r>
      <w:r w:rsidRPr="00D4309F">
        <w:t>3</w:t>
      </w:r>
      <w:r w:rsidRPr="00D4309F">
        <w:rPr>
          <w:spacing w:val="-5"/>
        </w:rPr>
        <w:t xml:space="preserve"> </w:t>
      </w:r>
      <w:r w:rsidRPr="00D4309F">
        <w:t>Oct</w:t>
      </w:r>
      <w:r w:rsidRPr="00D4309F">
        <w:rPr>
          <w:spacing w:val="-3"/>
        </w:rPr>
        <w:t xml:space="preserve"> </w:t>
      </w:r>
      <w:r w:rsidRPr="00D4309F">
        <w:t>2025,</w:t>
      </w:r>
      <w:r w:rsidRPr="00D4309F">
        <w:rPr>
          <w:spacing w:val="-6"/>
        </w:rPr>
        <w:t xml:space="preserve"> </w:t>
      </w:r>
      <w:r w:rsidRPr="00D4309F">
        <w:t>from</w:t>
      </w:r>
      <w:r w:rsidRPr="00D4309F">
        <w:rPr>
          <w:spacing w:val="-6"/>
        </w:rPr>
        <w:t xml:space="preserve"> </w:t>
      </w:r>
      <w:hyperlink r:id="rId1">
        <w:r w:rsidRPr="00D4309F">
          <w:rPr>
            <w:spacing w:val="-2"/>
          </w:rPr>
          <w:t>https://www.sunshinecoast.qld.gov.au</w:t>
        </w:r>
      </w:hyperlink>
    </w:p>
  </w:footnote>
  <w:footnote w:id="2">
    <w:p w14:paraId="3B731883" w14:textId="2CE2A29D" w:rsidR="002521FA" w:rsidRPr="002521FA" w:rsidRDefault="002521FA" w:rsidP="005906AD">
      <w:pPr>
        <w:pStyle w:val="Footer"/>
        <w:rPr>
          <w:lang w:val="en-US"/>
        </w:rPr>
      </w:pPr>
      <w:r>
        <w:rPr>
          <w:rStyle w:val="FootnoteReference"/>
        </w:rPr>
        <w:footnoteRef/>
      </w:r>
      <w:r>
        <w:t xml:space="preserve">  </w:t>
      </w:r>
      <w:r w:rsidRPr="00D4309F">
        <w:t>Queensland Recreational Boating Facilities Demand Forecasting Study 2022 (2023), BMT, available from</w:t>
      </w:r>
      <w:r w:rsidRPr="00D4309F">
        <w:rPr>
          <w:spacing w:val="40"/>
        </w:rPr>
        <w:t xml:space="preserve"> </w:t>
      </w:r>
      <w:hyperlink r:id="rId2">
        <w:r w:rsidRPr="00D4309F">
          <w:rPr>
            <w:spacing w:val="-2"/>
          </w:rPr>
          <w:t>https://www.publications.qld.gov.au/dataset/recreational-boating-facilities-demand-forecasting-study-2022/resource/157db8f3-ecdc-4c37-9eba-</w:t>
        </w:r>
      </w:hyperlink>
      <w:r w:rsidRPr="00D4309F">
        <w:rPr>
          <w:spacing w:val="-2"/>
        </w:rPr>
        <w:t>da809e9fe6cc</w:t>
      </w:r>
    </w:p>
  </w:footnote>
  <w:footnote w:id="3">
    <w:p w14:paraId="120751FB" w14:textId="6CCEF13D" w:rsidR="002521FA" w:rsidRPr="002521FA" w:rsidRDefault="002521FA" w:rsidP="005906AD">
      <w:pPr>
        <w:pStyle w:val="Footer"/>
        <w:rPr>
          <w:lang w:val="en-US"/>
        </w:rPr>
      </w:pPr>
      <w:r>
        <w:rPr>
          <w:rStyle w:val="FootnoteReference"/>
        </w:rPr>
        <w:footnoteRef/>
      </w:r>
      <w:r>
        <w:t xml:space="preserve"> </w:t>
      </w:r>
      <w:r w:rsidR="008B0D85">
        <w:t xml:space="preserve"> </w:t>
      </w:r>
      <w:r w:rsidR="008B0D85" w:rsidRPr="00D4309F">
        <w:t>Moore,</w:t>
      </w:r>
      <w:r w:rsidR="008B0D85" w:rsidRPr="00D4309F">
        <w:rPr>
          <w:spacing w:val="-1"/>
        </w:rPr>
        <w:t xml:space="preserve"> </w:t>
      </w:r>
      <w:r w:rsidR="008B0D85" w:rsidRPr="00D4309F">
        <w:t>A,</w:t>
      </w:r>
      <w:r w:rsidR="008B0D85" w:rsidRPr="00D4309F">
        <w:rPr>
          <w:spacing w:val="-1"/>
        </w:rPr>
        <w:t xml:space="preserve"> </w:t>
      </w:r>
      <w:r w:rsidR="008B0D85" w:rsidRPr="00D4309F">
        <w:t>Schirmer,</w:t>
      </w:r>
      <w:r w:rsidR="008B0D85" w:rsidRPr="00D4309F">
        <w:rPr>
          <w:spacing w:val="-2"/>
        </w:rPr>
        <w:t xml:space="preserve"> </w:t>
      </w:r>
      <w:r w:rsidR="008B0D85" w:rsidRPr="00D4309F">
        <w:t>J,</w:t>
      </w:r>
      <w:r w:rsidR="008B0D85" w:rsidRPr="00D4309F">
        <w:rPr>
          <w:spacing w:val="-1"/>
        </w:rPr>
        <w:t xml:space="preserve"> </w:t>
      </w:r>
      <w:r w:rsidR="008B0D85" w:rsidRPr="00D4309F">
        <w:t>Magnusson,</w:t>
      </w:r>
      <w:r w:rsidR="008B0D85" w:rsidRPr="00D4309F">
        <w:rPr>
          <w:spacing w:val="-3"/>
        </w:rPr>
        <w:t xml:space="preserve"> </w:t>
      </w:r>
      <w:r w:rsidR="008B0D85" w:rsidRPr="00D4309F">
        <w:t>A,</w:t>
      </w:r>
      <w:r w:rsidR="008B0D85" w:rsidRPr="00D4309F">
        <w:rPr>
          <w:spacing w:val="-2"/>
        </w:rPr>
        <w:t xml:space="preserve"> </w:t>
      </w:r>
      <w:r w:rsidR="008B0D85" w:rsidRPr="00D4309F">
        <w:t>Keller,</w:t>
      </w:r>
      <w:r w:rsidR="008B0D85" w:rsidRPr="00D4309F">
        <w:rPr>
          <w:spacing w:val="-1"/>
        </w:rPr>
        <w:t xml:space="preserve"> </w:t>
      </w:r>
      <w:r w:rsidR="008B0D85" w:rsidRPr="00D4309F">
        <w:t>K,</w:t>
      </w:r>
      <w:r w:rsidR="008B0D85" w:rsidRPr="00D4309F">
        <w:rPr>
          <w:spacing w:val="-1"/>
        </w:rPr>
        <w:t xml:space="preserve"> </w:t>
      </w:r>
      <w:r w:rsidR="008B0D85" w:rsidRPr="00D4309F">
        <w:t>Hinten,</w:t>
      </w:r>
      <w:r w:rsidR="008B0D85" w:rsidRPr="00D4309F">
        <w:rPr>
          <w:spacing w:val="-2"/>
        </w:rPr>
        <w:t xml:space="preserve"> </w:t>
      </w:r>
      <w:r w:rsidR="008B0D85" w:rsidRPr="00D4309F">
        <w:t>G,</w:t>
      </w:r>
      <w:r w:rsidR="008B0D85" w:rsidRPr="00D4309F">
        <w:rPr>
          <w:spacing w:val="-1"/>
        </w:rPr>
        <w:t xml:space="preserve"> </w:t>
      </w:r>
      <w:r w:rsidR="008B0D85" w:rsidRPr="00D4309F">
        <w:t>Galeano,</w:t>
      </w:r>
      <w:r w:rsidR="008B0D85" w:rsidRPr="00D4309F">
        <w:rPr>
          <w:spacing w:val="-2"/>
        </w:rPr>
        <w:t xml:space="preserve"> </w:t>
      </w:r>
      <w:r w:rsidR="008B0D85" w:rsidRPr="00D4309F">
        <w:t>D,</w:t>
      </w:r>
      <w:r w:rsidR="008B0D85" w:rsidRPr="00D4309F">
        <w:rPr>
          <w:spacing w:val="-1"/>
        </w:rPr>
        <w:t xml:space="preserve"> </w:t>
      </w:r>
      <w:r w:rsidR="008B0D85" w:rsidRPr="00D4309F">
        <w:t>Woodhams,</w:t>
      </w:r>
      <w:r w:rsidR="008B0D85" w:rsidRPr="00D4309F">
        <w:rPr>
          <w:spacing w:val="-2"/>
        </w:rPr>
        <w:t xml:space="preserve"> </w:t>
      </w:r>
      <w:r w:rsidR="008B0D85" w:rsidRPr="00D4309F">
        <w:t>J,</w:t>
      </w:r>
      <w:r w:rsidR="008B0D85" w:rsidRPr="00D4309F">
        <w:rPr>
          <w:spacing w:val="-2"/>
        </w:rPr>
        <w:t xml:space="preserve"> </w:t>
      </w:r>
      <w:r w:rsidR="008B0D85" w:rsidRPr="00D4309F">
        <w:t>Wright,</w:t>
      </w:r>
      <w:r w:rsidR="008B0D85" w:rsidRPr="00D4309F">
        <w:rPr>
          <w:spacing w:val="-2"/>
        </w:rPr>
        <w:t xml:space="preserve"> </w:t>
      </w:r>
      <w:r w:rsidR="008B0D85" w:rsidRPr="00D4309F">
        <w:t>D,</w:t>
      </w:r>
      <w:r w:rsidR="008B0D85" w:rsidRPr="00D4309F">
        <w:rPr>
          <w:spacing w:val="-1"/>
        </w:rPr>
        <w:t xml:space="preserve"> </w:t>
      </w:r>
      <w:r w:rsidR="008B0D85" w:rsidRPr="00D4309F">
        <w:t>Maloney,</w:t>
      </w:r>
      <w:r w:rsidR="008B0D85" w:rsidRPr="00D4309F">
        <w:rPr>
          <w:spacing w:val="-2"/>
        </w:rPr>
        <w:t xml:space="preserve"> </w:t>
      </w:r>
      <w:r w:rsidR="008B0D85" w:rsidRPr="00D4309F">
        <w:t>L,</w:t>
      </w:r>
      <w:r w:rsidR="008B0D85" w:rsidRPr="00D4309F">
        <w:rPr>
          <w:spacing w:val="-2"/>
        </w:rPr>
        <w:t xml:space="preserve"> </w:t>
      </w:r>
      <w:r w:rsidR="008B0D85" w:rsidRPr="00D4309F">
        <w:t>FRDC,</w:t>
      </w:r>
      <w:r w:rsidR="008B0D85" w:rsidRPr="00D4309F">
        <w:rPr>
          <w:spacing w:val="-1"/>
        </w:rPr>
        <w:t xml:space="preserve"> </w:t>
      </w:r>
      <w:r w:rsidR="008B0D85" w:rsidRPr="00D4309F">
        <w:t>ABARES,</w:t>
      </w:r>
      <w:r w:rsidR="008B0D85" w:rsidRPr="00D4309F">
        <w:rPr>
          <w:spacing w:val="-2"/>
        </w:rPr>
        <w:t xml:space="preserve"> </w:t>
      </w:r>
      <w:r w:rsidR="008B0D85" w:rsidRPr="00D4309F">
        <w:t>UC,</w:t>
      </w:r>
      <w:r w:rsidR="008B0D85" w:rsidRPr="00D4309F">
        <w:rPr>
          <w:spacing w:val="-1"/>
        </w:rPr>
        <w:t xml:space="preserve"> </w:t>
      </w:r>
      <w:r w:rsidR="008B0D85" w:rsidRPr="00D4309F">
        <w:t>2023,</w:t>
      </w:r>
      <w:r w:rsidR="008B0D85" w:rsidRPr="00D4309F">
        <w:rPr>
          <w:spacing w:val="40"/>
        </w:rPr>
        <w:t xml:space="preserve"> </w:t>
      </w:r>
      <w:r w:rsidR="008B0D85" w:rsidRPr="00D4309F">
        <w:t>National Social and Economic Survey of Recreational Fishers 2018-2021, February. CC BY 3.0</w:t>
      </w:r>
    </w:p>
  </w:footnote>
  <w:footnote w:id="4">
    <w:p w14:paraId="44A0253D" w14:textId="175CAA04" w:rsidR="008B0D85" w:rsidRPr="008B0D85" w:rsidRDefault="008B0D85" w:rsidP="005906AD">
      <w:pPr>
        <w:pStyle w:val="Footer"/>
        <w:rPr>
          <w:lang w:val="en-US"/>
        </w:rPr>
      </w:pPr>
      <w:r>
        <w:rPr>
          <w:rStyle w:val="FootnoteReference"/>
        </w:rPr>
        <w:footnoteRef/>
      </w:r>
      <w:r>
        <w:t xml:space="preserve"> </w:t>
      </w:r>
      <w:r w:rsidRPr="00D4309F">
        <w:rPr>
          <w:rFonts w:hAnsi="Times New Roman"/>
        </w:rPr>
        <w:t>Local</w:t>
      </w:r>
      <w:r w:rsidRPr="00D4309F">
        <w:rPr>
          <w:rFonts w:hAnsi="Times New Roman"/>
          <w:spacing w:val="-3"/>
        </w:rPr>
        <w:t xml:space="preserve"> </w:t>
      </w:r>
      <w:r w:rsidRPr="00D4309F">
        <w:rPr>
          <w:rFonts w:hAnsi="Times New Roman"/>
        </w:rPr>
        <w:t>Government</w:t>
      </w:r>
      <w:r w:rsidRPr="00D4309F">
        <w:rPr>
          <w:rFonts w:hAnsi="Times New Roman"/>
          <w:spacing w:val="-3"/>
        </w:rPr>
        <w:t xml:space="preserve"> </w:t>
      </w:r>
      <w:r w:rsidRPr="00D4309F">
        <w:rPr>
          <w:rFonts w:hAnsi="Times New Roman"/>
        </w:rPr>
        <w:t>Area</w:t>
      </w:r>
      <w:r w:rsidRPr="00D4309F">
        <w:rPr>
          <w:rFonts w:hAnsi="Times New Roman"/>
          <w:spacing w:val="-2"/>
        </w:rPr>
        <w:t xml:space="preserve"> </w:t>
      </w:r>
      <w:r w:rsidRPr="00D4309F">
        <w:rPr>
          <w:rFonts w:hAnsi="Times New Roman"/>
        </w:rPr>
        <w:t>profiles</w:t>
      </w:r>
      <w:r w:rsidRPr="00D4309F">
        <w:rPr>
          <w:rFonts w:hAnsi="Times New Roman"/>
          <w:spacing w:val="-3"/>
        </w:rPr>
        <w:t xml:space="preserve"> </w:t>
      </w:r>
      <w:r w:rsidRPr="00D4309F">
        <w:rPr>
          <w:rFonts w:hAnsi="Times New Roman"/>
        </w:rPr>
        <w:t>–</w:t>
      </w:r>
      <w:r w:rsidRPr="00D4309F">
        <w:rPr>
          <w:rFonts w:hAnsi="Times New Roman"/>
          <w:spacing w:val="-1"/>
        </w:rPr>
        <w:t xml:space="preserve"> </w:t>
      </w:r>
      <w:r w:rsidRPr="00D4309F">
        <w:rPr>
          <w:rFonts w:hAnsi="Times New Roman"/>
        </w:rPr>
        <w:t>Sunshine</w:t>
      </w:r>
      <w:r w:rsidRPr="00D4309F">
        <w:rPr>
          <w:rFonts w:hAnsi="Times New Roman"/>
          <w:spacing w:val="-3"/>
        </w:rPr>
        <w:t xml:space="preserve"> </w:t>
      </w:r>
      <w:r w:rsidRPr="00D4309F">
        <w:rPr>
          <w:rFonts w:hAnsi="Times New Roman"/>
        </w:rPr>
        <w:t>Coast</w:t>
      </w:r>
      <w:r w:rsidRPr="00D4309F">
        <w:rPr>
          <w:rFonts w:hAnsi="Times New Roman"/>
          <w:spacing w:val="-3"/>
        </w:rPr>
        <w:t xml:space="preserve"> </w:t>
      </w:r>
      <w:r w:rsidRPr="00D4309F">
        <w:rPr>
          <w:rFonts w:hAnsi="Times New Roman"/>
        </w:rPr>
        <w:t>(2024)</w:t>
      </w:r>
      <w:r w:rsidRPr="00D4309F">
        <w:rPr>
          <w:rFonts w:hAnsi="Times New Roman"/>
          <w:spacing w:val="-3"/>
        </w:rPr>
        <w:t xml:space="preserve"> </w:t>
      </w:r>
      <w:r w:rsidRPr="00D4309F">
        <w:rPr>
          <w:rFonts w:hAnsi="Times New Roman"/>
        </w:rPr>
        <w:t>Tourism</w:t>
      </w:r>
      <w:r w:rsidRPr="00D4309F">
        <w:rPr>
          <w:rFonts w:hAnsi="Times New Roman"/>
          <w:spacing w:val="-3"/>
        </w:rPr>
        <w:t xml:space="preserve"> </w:t>
      </w:r>
      <w:r w:rsidRPr="00D4309F">
        <w:rPr>
          <w:rFonts w:hAnsi="Times New Roman"/>
        </w:rPr>
        <w:t>Research</w:t>
      </w:r>
      <w:r w:rsidRPr="00D4309F">
        <w:rPr>
          <w:rFonts w:hAnsi="Times New Roman"/>
          <w:spacing w:val="-2"/>
        </w:rPr>
        <w:t xml:space="preserve"> </w:t>
      </w:r>
      <w:r w:rsidRPr="00D4309F">
        <w:rPr>
          <w:rFonts w:hAnsi="Times New Roman"/>
        </w:rPr>
        <w:t>Australia.</w:t>
      </w:r>
      <w:r w:rsidRPr="00D4309F">
        <w:rPr>
          <w:rFonts w:hAnsi="Times New Roman"/>
          <w:spacing w:val="-3"/>
        </w:rPr>
        <w:t xml:space="preserve"> </w:t>
      </w:r>
      <w:r w:rsidRPr="00D4309F">
        <w:rPr>
          <w:rFonts w:hAnsi="Times New Roman"/>
        </w:rPr>
        <w:t>Retrieved</w:t>
      </w:r>
      <w:r w:rsidRPr="00D4309F">
        <w:rPr>
          <w:rFonts w:hAnsi="Times New Roman"/>
          <w:spacing w:val="-2"/>
        </w:rPr>
        <w:t xml:space="preserve"> </w:t>
      </w:r>
      <w:r w:rsidRPr="00D4309F">
        <w:rPr>
          <w:rFonts w:hAnsi="Times New Roman"/>
        </w:rPr>
        <w:t>October</w:t>
      </w:r>
      <w:r w:rsidRPr="00D4309F">
        <w:rPr>
          <w:rFonts w:hAnsi="Times New Roman"/>
          <w:spacing w:val="-3"/>
        </w:rPr>
        <w:t xml:space="preserve"> </w:t>
      </w:r>
      <w:r w:rsidRPr="00D4309F">
        <w:rPr>
          <w:rFonts w:hAnsi="Times New Roman"/>
        </w:rPr>
        <w:t>9,</w:t>
      </w:r>
      <w:r w:rsidRPr="00D4309F">
        <w:rPr>
          <w:rFonts w:hAnsi="Times New Roman"/>
          <w:spacing w:val="-3"/>
        </w:rPr>
        <w:t xml:space="preserve"> </w:t>
      </w:r>
      <w:r w:rsidRPr="00D4309F">
        <w:rPr>
          <w:rFonts w:hAnsi="Times New Roman"/>
        </w:rPr>
        <w:t>2025</w:t>
      </w:r>
      <w:r w:rsidRPr="00D4309F">
        <w:rPr>
          <w:rFonts w:hAnsi="Times New Roman"/>
          <w:spacing w:val="-2"/>
        </w:rPr>
        <w:t xml:space="preserve"> </w:t>
      </w:r>
      <w:r w:rsidRPr="00D4309F">
        <w:rPr>
          <w:rFonts w:hAnsi="Times New Roman"/>
        </w:rPr>
        <w:t>from</w:t>
      </w:r>
      <w:r w:rsidRPr="00D4309F">
        <w:rPr>
          <w:rFonts w:hAnsi="Times New Roman"/>
          <w:spacing w:val="40"/>
        </w:rPr>
        <w:t xml:space="preserve"> </w:t>
      </w:r>
      <w:hyperlink r:id="rId3">
        <w:r w:rsidRPr="00D4309F">
          <w:rPr>
            <w:rFonts w:hAnsi="Times New Roman"/>
            <w:spacing w:val="-2"/>
          </w:rPr>
          <w:t>https://www.tra.gov.au/en/regional/local-government-area-profiles</w:t>
        </w:r>
      </w:hyperlink>
    </w:p>
  </w:footnote>
  <w:footnote w:id="5">
    <w:p w14:paraId="135D8BF4" w14:textId="5E71AA86" w:rsidR="00D13430" w:rsidRPr="00D13430" w:rsidRDefault="00D13430" w:rsidP="005906AD">
      <w:pPr>
        <w:pStyle w:val="Footer"/>
        <w:rPr>
          <w:lang w:val="en-US"/>
        </w:rPr>
      </w:pPr>
      <w:r>
        <w:rPr>
          <w:rStyle w:val="FootnoteReference"/>
        </w:rPr>
        <w:footnoteRef/>
      </w:r>
      <w:r>
        <w:t xml:space="preserve"> </w:t>
      </w:r>
      <w:r w:rsidRPr="00D4309F">
        <w:t>Ibid</w:t>
      </w:r>
    </w:p>
  </w:footnote>
  <w:footnote w:id="6">
    <w:p w14:paraId="1B554A52" w14:textId="293AF0C1" w:rsidR="00D13430" w:rsidRPr="00D13430" w:rsidRDefault="00D13430" w:rsidP="005906AD">
      <w:pPr>
        <w:pStyle w:val="Footer"/>
        <w:rPr>
          <w:lang w:val="en-US"/>
        </w:rPr>
      </w:pPr>
      <w:r>
        <w:rPr>
          <w:rStyle w:val="FootnoteReference"/>
        </w:rPr>
        <w:footnoteRef/>
      </w:r>
      <w:r>
        <w:t xml:space="preserve">  </w:t>
      </w:r>
      <w:r w:rsidRPr="00D4309F">
        <w:t>Discover</w:t>
      </w:r>
      <w:r w:rsidRPr="00D4309F">
        <w:rPr>
          <w:spacing w:val="-5"/>
        </w:rPr>
        <w:t xml:space="preserve"> </w:t>
      </w:r>
      <w:r w:rsidRPr="00D4309F">
        <w:t>Mooloolaba</w:t>
      </w:r>
      <w:r w:rsidRPr="00D4309F">
        <w:rPr>
          <w:spacing w:val="-6"/>
        </w:rPr>
        <w:t xml:space="preserve"> </w:t>
      </w:r>
      <w:r w:rsidRPr="00D4309F">
        <w:t>–</w:t>
      </w:r>
      <w:r w:rsidRPr="00D4309F">
        <w:rPr>
          <w:spacing w:val="-5"/>
        </w:rPr>
        <w:t xml:space="preserve"> </w:t>
      </w:r>
      <w:r w:rsidRPr="00D4309F">
        <w:t>Official</w:t>
      </w:r>
      <w:r w:rsidRPr="00D4309F">
        <w:rPr>
          <w:spacing w:val="-5"/>
        </w:rPr>
        <w:t xml:space="preserve"> </w:t>
      </w:r>
      <w:r w:rsidRPr="00D4309F">
        <w:t>Tourism</w:t>
      </w:r>
      <w:r w:rsidRPr="00D4309F">
        <w:rPr>
          <w:spacing w:val="-6"/>
        </w:rPr>
        <w:t xml:space="preserve"> </w:t>
      </w:r>
      <w:r w:rsidRPr="00D4309F">
        <w:t>Website.</w:t>
      </w:r>
      <w:r w:rsidRPr="00D4309F">
        <w:rPr>
          <w:spacing w:val="-6"/>
        </w:rPr>
        <w:t xml:space="preserve"> </w:t>
      </w:r>
      <w:r w:rsidRPr="00D4309F">
        <w:t>Retrieved</w:t>
      </w:r>
      <w:r w:rsidRPr="00D4309F">
        <w:rPr>
          <w:spacing w:val="-5"/>
        </w:rPr>
        <w:t xml:space="preserve"> </w:t>
      </w:r>
      <w:r w:rsidRPr="00D4309F">
        <w:t>October</w:t>
      </w:r>
      <w:r w:rsidRPr="00D4309F">
        <w:rPr>
          <w:spacing w:val="-6"/>
        </w:rPr>
        <w:t xml:space="preserve"> </w:t>
      </w:r>
      <w:r w:rsidRPr="00D4309F">
        <w:t>3,</w:t>
      </w:r>
      <w:r w:rsidRPr="00D4309F">
        <w:rPr>
          <w:spacing w:val="-6"/>
        </w:rPr>
        <w:t xml:space="preserve"> </w:t>
      </w:r>
      <w:r w:rsidRPr="00D4309F">
        <w:t>2025,</w:t>
      </w:r>
      <w:r w:rsidRPr="00D4309F">
        <w:rPr>
          <w:spacing w:val="-6"/>
        </w:rPr>
        <w:t xml:space="preserve"> </w:t>
      </w:r>
      <w:r w:rsidRPr="00D4309F">
        <w:t>from</w:t>
      </w:r>
      <w:r w:rsidRPr="00D4309F">
        <w:rPr>
          <w:spacing w:val="-6"/>
        </w:rPr>
        <w:t xml:space="preserve"> </w:t>
      </w:r>
      <w:hyperlink r:id="rId4">
        <w:r w:rsidRPr="00D4309F">
          <w:rPr>
            <w:spacing w:val="-2"/>
          </w:rPr>
          <w:t>https://discovermooloolaba.com.au</w:t>
        </w:r>
      </w:hyperlink>
    </w:p>
  </w:footnote>
  <w:footnote w:id="7">
    <w:p w14:paraId="136DE4F2" w14:textId="5DCD12DD" w:rsidR="005906AD" w:rsidRPr="005906AD" w:rsidRDefault="005906AD" w:rsidP="005906AD">
      <w:pPr>
        <w:pStyle w:val="Footer"/>
      </w:pPr>
      <w:r w:rsidRPr="005906AD">
        <w:rPr>
          <w:rStyle w:val="FootnoteReference"/>
          <w:vertAlign w:val="baseline"/>
        </w:rPr>
        <w:footnoteRef/>
      </w:r>
      <w:r w:rsidRPr="005906AD">
        <w:t xml:space="preserve">  Visit Sunshine Coast, Mooloolaba – Places to Visit. Retrieved October 3, 2025, from </w:t>
      </w:r>
      <w:hyperlink r:id="rId5">
        <w:r w:rsidRPr="005906AD">
          <w:t>https://www.visitsunshinecoast.com/place/mooloolaba</w:t>
        </w:r>
      </w:hyperlink>
    </w:p>
  </w:footnote>
  <w:footnote w:id="8">
    <w:p w14:paraId="293FB926" w14:textId="2D9F146C" w:rsidR="005906AD" w:rsidRPr="005906AD" w:rsidRDefault="005906AD" w:rsidP="005906AD">
      <w:pPr>
        <w:pStyle w:val="Footer"/>
        <w:rPr>
          <w:b/>
          <w:bCs/>
          <w:lang w:val="en-US"/>
        </w:rPr>
      </w:pPr>
      <w:r w:rsidRPr="005906AD">
        <w:rPr>
          <w:rStyle w:val="FootnoteReference"/>
          <w:vertAlign w:val="baseline"/>
        </w:rPr>
        <w:footnoteRef/>
      </w:r>
      <w:r w:rsidRPr="005906AD">
        <w:t xml:space="preserve">  Visit Sunshine Coast, Mooloolaba – Places to Visit. Retrieved October 3, 2025, from </w:t>
      </w:r>
      <w:hyperlink r:id="rId6">
        <w:r w:rsidRPr="005906AD">
          <w:t>https://www.visitsunshinecoast.com/place/mooloolaba</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182CB0" w14:textId="66886066" w:rsidR="00F81491" w:rsidRPr="00D4309F" w:rsidRDefault="00D4309F">
    <w:pPr>
      <w:pStyle w:val="Header"/>
    </w:pPr>
    <w:r w:rsidRPr="00D4309F">
      <w:rPr>
        <w:noProof/>
      </w:rPr>
      <w:drawing>
        <wp:anchor distT="0" distB="0" distL="114300" distR="114300" simplePos="0" relativeHeight="251658284" behindDoc="0" locked="0" layoutInCell="1" allowOverlap="1" wp14:anchorId="18E716C1" wp14:editId="7D36A079">
          <wp:simplePos x="0" y="0"/>
          <wp:positionH relativeFrom="rightMargin">
            <wp:posOffset>-1259840</wp:posOffset>
          </wp:positionH>
          <wp:positionV relativeFrom="page">
            <wp:posOffset>719455</wp:posOffset>
          </wp:positionV>
          <wp:extent cx="2087880" cy="452755"/>
          <wp:effectExtent l="0" t="0" r="7620" b="4445"/>
          <wp:wrapNone/>
          <wp:docPr id="272626164" name="LogoHide3"/>
          <wp:cNvGraphicFramePr/>
          <a:graphic xmlns:a="http://schemas.openxmlformats.org/drawingml/2006/main">
            <a:graphicData uri="http://schemas.openxmlformats.org/drawingml/2006/picture">
              <pic:pic xmlns:pic="http://schemas.openxmlformats.org/drawingml/2006/picture">
                <pic:nvPicPr>
                  <pic:cNvPr id="272626164" name="LogoHide3"/>
                  <pic:cNvPicPr/>
                </pic:nvPicPr>
                <pic:blipFill>
                  <a:blip r:embed="rId1"/>
                  <a:stretch>
                    <a:fillRect/>
                  </a:stretch>
                </pic:blipFill>
                <pic:spPr>
                  <a:xfrm>
                    <a:off x="0" y="0"/>
                    <a:ext cx="2087880" cy="452755"/>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40B7C0" w14:textId="77777777" w:rsidR="00B37992" w:rsidRPr="00D4309F" w:rsidRDefault="00B37992" w:rsidP="00B37992">
    <w:pPr>
      <w:pStyle w:val="BodyText"/>
    </w:pPr>
    <w:r w:rsidRPr="00D4309F">
      <w:rPr>
        <w:noProof/>
      </w:rPr>
      <mc:AlternateContent>
        <mc:Choice Requires="wps">
          <w:drawing>
            <wp:anchor distT="0" distB="0" distL="0" distR="0" simplePos="0" relativeHeight="251658286" behindDoc="1" locked="0" layoutInCell="1" allowOverlap="1" wp14:anchorId="74D61FC2" wp14:editId="558D3B9A">
              <wp:simplePos x="0" y="0"/>
              <wp:positionH relativeFrom="page">
                <wp:posOffset>701040</wp:posOffset>
              </wp:positionH>
              <wp:positionV relativeFrom="page">
                <wp:posOffset>763524</wp:posOffset>
              </wp:positionV>
              <wp:extent cx="9291320" cy="6350"/>
              <wp:effectExtent l="0" t="0" r="0" b="0"/>
              <wp:wrapNone/>
              <wp:docPr id="1358446703"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1320" cy="6350"/>
                      </a:xfrm>
                      <a:custGeom>
                        <a:avLst/>
                        <a:gdLst/>
                        <a:ahLst/>
                        <a:cxnLst/>
                        <a:rect l="l" t="t" r="r" b="b"/>
                        <a:pathLst>
                          <a:path w="9291320" h="6350">
                            <a:moveTo>
                              <a:pt x="9291066" y="0"/>
                            </a:moveTo>
                            <a:lnTo>
                              <a:pt x="0" y="0"/>
                            </a:lnTo>
                            <a:lnTo>
                              <a:pt x="0" y="6096"/>
                            </a:lnTo>
                            <a:lnTo>
                              <a:pt x="9291066" y="6096"/>
                            </a:lnTo>
                            <a:lnTo>
                              <a:pt x="9291066"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403F3DB8" id="Graphic 125" o:spid="_x0000_s1026" style="position:absolute;margin-left:55.2pt;margin-top:60.1pt;width:731.6pt;height:.5pt;z-index:-251658194;visibility:visible;mso-wrap-style:square;mso-wrap-distance-left:0;mso-wrap-distance-top:0;mso-wrap-distance-right:0;mso-wrap-distance-bottom:0;mso-position-horizontal:absolute;mso-position-horizontal-relative:page;mso-position-vertical:absolute;mso-position-vertical-relative:page;v-text-anchor:top" coordsize="92913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" path="m9291066,l,,,6096r9291066,l9291066,xe" fillcolor="#5f6269" stroked="f">
              <v:path arrowok="t"/>
              <w10:wrap anchorx="page" anchory="page"/>
            </v:shape>
          </w:pict>
        </mc:Fallback>
      </mc:AlternateContent>
    </w:r>
    <w:r w:rsidRPr="00D4309F">
      <w:rPr>
        <w:noProof/>
      </w:rPr>
      <mc:AlternateContent>
        <mc:Choice Requires="wps">
          <w:drawing>
            <wp:anchor distT="0" distB="0" distL="0" distR="0" simplePos="0" relativeHeight="251658287" behindDoc="1" locked="0" layoutInCell="1" allowOverlap="1" wp14:anchorId="263472F7" wp14:editId="452B3669">
              <wp:simplePos x="0" y="0"/>
              <wp:positionH relativeFrom="page">
                <wp:posOffset>707390</wp:posOffset>
              </wp:positionH>
              <wp:positionV relativeFrom="page">
                <wp:posOffset>568664</wp:posOffset>
              </wp:positionV>
              <wp:extent cx="659765" cy="196215"/>
              <wp:effectExtent l="0" t="0" r="0" b="0"/>
              <wp:wrapNone/>
              <wp:docPr id="784086317"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18280B28" w14:textId="77777777" w:rsidR="00B37992" w:rsidRPr="00D4309F" w:rsidRDefault="00B37992" w:rsidP="00B37992">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263472F7" id="_x0000_t202" coordsize="21600,21600" o:spt="202" path="m,l,21600r21600,l21600,xe">
              <v:stroke joinstyle="miter"/>
              <v:path gradientshapeok="t" o:connecttype="rect"/>
            </v:shapetype>
            <v:shape id="_x0000_s1046" type="#_x0000_t202" style="position:absolute;margin-left:55.7pt;margin-top:44.8pt;width:51.95pt;height:15.45pt;z-index:-25165819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" filled="f" stroked="f">
              <v:textbox inset="0,0,0,0">
                <w:txbxContent>
                  <w:p w14:paraId="18280B28" w14:textId="77777777" w:rsidR="00B37992" w:rsidRPr="00D4309F" w:rsidRDefault="00B37992" w:rsidP="00B37992">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38EAE1" w14:textId="77777777" w:rsidR="00725977" w:rsidRPr="00D4309F" w:rsidRDefault="00725977">
    <w:pPr>
      <w:pStyle w:val="BodyText"/>
    </w:pPr>
    <w:r w:rsidRPr="00D4309F">
      <w:rPr>
        <w:noProof/>
      </w:rPr>
      <mc:AlternateContent>
        <mc:Choice Requires="wps">
          <w:drawing>
            <wp:anchor distT="0" distB="0" distL="0" distR="0" simplePos="0" relativeHeight="251658251" behindDoc="1" locked="0" layoutInCell="1" allowOverlap="1" wp14:anchorId="4C9A4CE8" wp14:editId="56854D3A">
              <wp:simplePos x="0" y="0"/>
              <wp:positionH relativeFrom="page">
                <wp:posOffset>701040</wp:posOffset>
              </wp:positionH>
              <wp:positionV relativeFrom="page">
                <wp:posOffset>763511</wp:posOffset>
              </wp:positionV>
              <wp:extent cx="6158865" cy="6350"/>
              <wp:effectExtent l="0" t="0" r="0" b="0"/>
              <wp:wrapNone/>
              <wp:docPr id="201" name="Graphic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8865" cy="6350"/>
                      </a:xfrm>
                      <a:custGeom>
                        <a:avLst/>
                        <a:gdLst/>
                        <a:ahLst/>
                        <a:cxnLst/>
                        <a:rect l="l" t="t" r="r" b="b"/>
                        <a:pathLst>
                          <a:path w="6158865" h="6350">
                            <a:moveTo>
                              <a:pt x="6158484" y="0"/>
                            </a:moveTo>
                            <a:lnTo>
                              <a:pt x="0" y="0"/>
                            </a:lnTo>
                            <a:lnTo>
                              <a:pt x="0" y="6108"/>
                            </a:lnTo>
                            <a:lnTo>
                              <a:pt x="6158484" y="6108"/>
                            </a:lnTo>
                            <a:lnTo>
                              <a:pt x="6158484"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4F8F5551" id="Graphic 201" o:spid="_x0000_s1026" style="position:absolute;margin-left:55.2pt;margin-top:60.1pt;width:484.95pt;height:.5pt;z-index:-251658229;visibility:visible;mso-wrap-style:square;mso-wrap-distance-left:0;mso-wrap-distance-top:0;mso-wrap-distance-right:0;mso-wrap-distance-bottom:0;mso-position-horizontal:absolute;mso-position-horizontal-relative:page;mso-position-vertical:absolute;mso-position-vertical-relative:page;v-text-anchor:top" coordsize="615886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" path="m6158484,l,,,6108r6158484,l6158484,xe" fillcolor="#5f6269" stroked="f">
              <v:path arrowok="t"/>
              <w10:wrap anchorx="page" anchory="page"/>
            </v:shape>
          </w:pict>
        </mc:Fallback>
      </mc:AlternateContent>
    </w:r>
    <w:r w:rsidRPr="00D4309F">
      <w:rPr>
        <w:noProof/>
      </w:rPr>
      <mc:AlternateContent>
        <mc:Choice Requires="wps">
          <w:drawing>
            <wp:anchor distT="0" distB="0" distL="0" distR="0" simplePos="0" relativeHeight="251658252" behindDoc="1" locked="0" layoutInCell="1" allowOverlap="1" wp14:anchorId="52F087F4" wp14:editId="709C8C55">
              <wp:simplePos x="0" y="0"/>
              <wp:positionH relativeFrom="page">
                <wp:posOffset>707390</wp:posOffset>
              </wp:positionH>
              <wp:positionV relativeFrom="page">
                <wp:posOffset>568664</wp:posOffset>
              </wp:positionV>
              <wp:extent cx="659765" cy="196215"/>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3A03F4FF" w14:textId="77777777" w:rsidR="00725977" w:rsidRPr="00D4309F" w:rsidRDefault="00725977">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52F087F4" id="_x0000_t202" coordsize="21600,21600" o:spt="202" path="m,l,21600r21600,l21600,xe">
              <v:stroke joinstyle="miter"/>
              <v:path gradientshapeok="t" o:connecttype="rect"/>
            </v:shapetype>
            <v:shape id="Textbox 202" o:spid="_x0000_s1048" type="#_x0000_t202" style="position:absolute;margin-left:55.7pt;margin-top:44.8pt;width:51.95pt;height:15.45pt;z-index:-2516582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" filled="f" stroked="f">
              <v:textbox inset="0,0,0,0">
                <w:txbxContent>
                  <w:p w14:paraId="3A03F4FF" w14:textId="77777777" w:rsidR="00725977" w:rsidRPr="00D4309F" w:rsidRDefault="00725977">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D247A" w14:textId="2BC309F5" w:rsidR="00725977" w:rsidRPr="00B37992" w:rsidRDefault="00B37992" w:rsidP="00B37992">
    <w:pPr>
      <w:pStyle w:val="BodyText"/>
    </w:pPr>
    <w:r w:rsidRPr="00D4309F">
      <w:rPr>
        <w:noProof/>
      </w:rPr>
      <mc:AlternateContent>
        <mc:Choice Requires="wps">
          <w:drawing>
            <wp:anchor distT="0" distB="0" distL="0" distR="0" simplePos="0" relativeHeight="251658288" behindDoc="1" locked="0" layoutInCell="1" allowOverlap="1" wp14:anchorId="1698695D" wp14:editId="700EE21C">
              <wp:simplePos x="0" y="0"/>
              <wp:positionH relativeFrom="page">
                <wp:posOffset>701040</wp:posOffset>
              </wp:positionH>
              <wp:positionV relativeFrom="page">
                <wp:posOffset>763524</wp:posOffset>
              </wp:positionV>
              <wp:extent cx="9291320" cy="6350"/>
              <wp:effectExtent l="0" t="0" r="0" b="0"/>
              <wp:wrapNone/>
              <wp:docPr id="721913175"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1320" cy="6350"/>
                      </a:xfrm>
                      <a:custGeom>
                        <a:avLst/>
                        <a:gdLst/>
                        <a:ahLst/>
                        <a:cxnLst/>
                        <a:rect l="l" t="t" r="r" b="b"/>
                        <a:pathLst>
                          <a:path w="9291320" h="6350">
                            <a:moveTo>
                              <a:pt x="9291066" y="0"/>
                            </a:moveTo>
                            <a:lnTo>
                              <a:pt x="0" y="0"/>
                            </a:lnTo>
                            <a:lnTo>
                              <a:pt x="0" y="6096"/>
                            </a:lnTo>
                            <a:lnTo>
                              <a:pt x="9291066" y="6096"/>
                            </a:lnTo>
                            <a:lnTo>
                              <a:pt x="9291066"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4ADFBF46" id="Graphic 125" o:spid="_x0000_s1026" style="position:absolute;margin-left:55.2pt;margin-top:60.1pt;width:731.6pt;height:.5pt;z-index:-251658192;visibility:visible;mso-wrap-style:square;mso-wrap-distance-left:0;mso-wrap-distance-top:0;mso-wrap-distance-right:0;mso-wrap-distance-bottom:0;mso-position-horizontal:absolute;mso-position-horizontal-relative:page;mso-position-vertical:absolute;mso-position-vertical-relative:page;v-text-anchor:top" coordsize="92913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" path="m9291066,l,,,6096r9291066,l9291066,xe" fillcolor="#5f6269" stroked="f">
              <v:path arrowok="t"/>
              <w10:wrap anchorx="page" anchory="page"/>
            </v:shape>
          </w:pict>
        </mc:Fallback>
      </mc:AlternateContent>
    </w:r>
    <w:r w:rsidRPr="00D4309F">
      <w:rPr>
        <w:noProof/>
      </w:rPr>
      <mc:AlternateContent>
        <mc:Choice Requires="wps">
          <w:drawing>
            <wp:anchor distT="0" distB="0" distL="0" distR="0" simplePos="0" relativeHeight="251658289" behindDoc="1" locked="0" layoutInCell="1" allowOverlap="1" wp14:anchorId="06053766" wp14:editId="112AF4D6">
              <wp:simplePos x="0" y="0"/>
              <wp:positionH relativeFrom="page">
                <wp:posOffset>707390</wp:posOffset>
              </wp:positionH>
              <wp:positionV relativeFrom="page">
                <wp:posOffset>568664</wp:posOffset>
              </wp:positionV>
              <wp:extent cx="659765" cy="196215"/>
              <wp:effectExtent l="0" t="0" r="0" b="0"/>
              <wp:wrapNone/>
              <wp:docPr id="1406581578"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73B3E09A" w14:textId="77777777" w:rsidR="00B37992" w:rsidRPr="00D4309F" w:rsidRDefault="00B37992" w:rsidP="00B37992">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06053766" id="_x0000_t202" coordsize="21600,21600" o:spt="202" path="m,l,21600r21600,l21600,xe">
              <v:stroke joinstyle="miter"/>
              <v:path gradientshapeok="t" o:connecttype="rect"/>
            </v:shapetype>
            <v:shape id="_x0000_s1050" type="#_x0000_t202" style="position:absolute;margin-left:55.7pt;margin-top:44.8pt;width:51.95pt;height:15.45pt;z-index:-251658191;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" filled="f" stroked="f">
              <v:textbox inset="0,0,0,0">
                <w:txbxContent>
                  <w:p w14:paraId="73B3E09A" w14:textId="77777777" w:rsidR="00B37992" w:rsidRPr="00D4309F" w:rsidRDefault="00B37992" w:rsidP="00B37992">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2EBC8E" w14:textId="77777777" w:rsidR="00725977" w:rsidRPr="00D4309F" w:rsidRDefault="00725977">
    <w:pPr>
      <w:pStyle w:val="BodyText"/>
    </w:pPr>
    <w:r w:rsidRPr="00D4309F">
      <w:rPr>
        <w:noProof/>
      </w:rPr>
      <mc:AlternateContent>
        <mc:Choice Requires="wps">
          <w:drawing>
            <wp:anchor distT="0" distB="0" distL="0" distR="0" simplePos="0" relativeHeight="251658253" behindDoc="1" locked="0" layoutInCell="1" allowOverlap="1" wp14:anchorId="36976E0A" wp14:editId="6A6548CD">
              <wp:simplePos x="0" y="0"/>
              <wp:positionH relativeFrom="page">
                <wp:posOffset>701040</wp:posOffset>
              </wp:positionH>
              <wp:positionV relativeFrom="page">
                <wp:posOffset>763511</wp:posOffset>
              </wp:positionV>
              <wp:extent cx="6158865" cy="6350"/>
              <wp:effectExtent l="0" t="0" r="0" b="0"/>
              <wp:wrapNone/>
              <wp:docPr id="220" name="Graphic 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8865" cy="6350"/>
                      </a:xfrm>
                      <a:custGeom>
                        <a:avLst/>
                        <a:gdLst/>
                        <a:ahLst/>
                        <a:cxnLst/>
                        <a:rect l="l" t="t" r="r" b="b"/>
                        <a:pathLst>
                          <a:path w="6158865" h="6350">
                            <a:moveTo>
                              <a:pt x="6158484" y="0"/>
                            </a:moveTo>
                            <a:lnTo>
                              <a:pt x="0" y="0"/>
                            </a:lnTo>
                            <a:lnTo>
                              <a:pt x="0" y="6108"/>
                            </a:lnTo>
                            <a:lnTo>
                              <a:pt x="6158484" y="6108"/>
                            </a:lnTo>
                            <a:lnTo>
                              <a:pt x="6158484"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2B1269EB" id="Graphic 220" o:spid="_x0000_s1026" style="position:absolute;margin-left:55.2pt;margin-top:60.1pt;width:484.95pt;height:.5pt;z-index:-251658227;visibility:visible;mso-wrap-style:square;mso-wrap-distance-left:0;mso-wrap-distance-top:0;mso-wrap-distance-right:0;mso-wrap-distance-bottom:0;mso-position-horizontal:absolute;mso-position-horizontal-relative:page;mso-position-vertical:absolute;mso-position-vertical-relative:page;v-text-anchor:top" coordsize="615886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" path="m6158484,l,,,6108r6158484,l6158484,xe" fillcolor="#5f6269" stroked="f">
              <v:path arrowok="t"/>
              <w10:wrap anchorx="page" anchory="page"/>
            </v:shape>
          </w:pict>
        </mc:Fallback>
      </mc:AlternateContent>
    </w:r>
    <w:r w:rsidRPr="00D4309F">
      <w:rPr>
        <w:noProof/>
      </w:rPr>
      <mc:AlternateContent>
        <mc:Choice Requires="wps">
          <w:drawing>
            <wp:anchor distT="0" distB="0" distL="0" distR="0" simplePos="0" relativeHeight="251658254" behindDoc="1" locked="0" layoutInCell="1" allowOverlap="1" wp14:anchorId="4AA6D223" wp14:editId="7CD8779B">
              <wp:simplePos x="0" y="0"/>
              <wp:positionH relativeFrom="page">
                <wp:posOffset>707390</wp:posOffset>
              </wp:positionH>
              <wp:positionV relativeFrom="page">
                <wp:posOffset>568664</wp:posOffset>
              </wp:positionV>
              <wp:extent cx="659765" cy="196215"/>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334D5154" w14:textId="77777777" w:rsidR="00725977" w:rsidRPr="00D4309F" w:rsidRDefault="00725977">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4AA6D223" id="_x0000_t202" coordsize="21600,21600" o:spt="202" path="m,l,21600r21600,l21600,xe">
              <v:stroke joinstyle="miter"/>
              <v:path gradientshapeok="t" o:connecttype="rect"/>
            </v:shapetype>
            <v:shape id="Textbox 221" o:spid="_x0000_s1052" type="#_x0000_t202" style="position:absolute;margin-left:55.7pt;margin-top:44.8pt;width:51.95pt;height:15.45pt;z-index:-25165822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" filled="f" stroked="f">
              <v:textbox inset="0,0,0,0">
                <w:txbxContent>
                  <w:p w14:paraId="334D5154" w14:textId="77777777" w:rsidR="00725977" w:rsidRPr="00D4309F" w:rsidRDefault="00725977">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E13FFC" w14:textId="77777777" w:rsidR="00B37992" w:rsidRPr="00D4309F" w:rsidRDefault="00B37992" w:rsidP="00B37992">
    <w:pPr>
      <w:pStyle w:val="BodyText"/>
    </w:pPr>
    <w:r w:rsidRPr="00D4309F">
      <w:rPr>
        <w:noProof/>
      </w:rPr>
      <mc:AlternateContent>
        <mc:Choice Requires="wps">
          <w:drawing>
            <wp:anchor distT="0" distB="0" distL="0" distR="0" simplePos="0" relativeHeight="251658290" behindDoc="1" locked="0" layoutInCell="1" allowOverlap="1" wp14:anchorId="0460906D" wp14:editId="07914BF7">
              <wp:simplePos x="0" y="0"/>
              <wp:positionH relativeFrom="page">
                <wp:posOffset>701040</wp:posOffset>
              </wp:positionH>
              <wp:positionV relativeFrom="page">
                <wp:posOffset>763524</wp:posOffset>
              </wp:positionV>
              <wp:extent cx="9291320" cy="6350"/>
              <wp:effectExtent l="0" t="0" r="0" b="0"/>
              <wp:wrapNone/>
              <wp:docPr id="76309300"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1320" cy="6350"/>
                      </a:xfrm>
                      <a:custGeom>
                        <a:avLst/>
                        <a:gdLst/>
                        <a:ahLst/>
                        <a:cxnLst/>
                        <a:rect l="l" t="t" r="r" b="b"/>
                        <a:pathLst>
                          <a:path w="9291320" h="6350">
                            <a:moveTo>
                              <a:pt x="9291066" y="0"/>
                            </a:moveTo>
                            <a:lnTo>
                              <a:pt x="0" y="0"/>
                            </a:lnTo>
                            <a:lnTo>
                              <a:pt x="0" y="6096"/>
                            </a:lnTo>
                            <a:lnTo>
                              <a:pt x="9291066" y="6096"/>
                            </a:lnTo>
                            <a:lnTo>
                              <a:pt x="9291066"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661B1982" id="Graphic 125" o:spid="_x0000_s1026" style="position:absolute;margin-left:55.2pt;margin-top:60.1pt;width:731.6pt;height:.5pt;z-index:-251658190;visibility:visible;mso-wrap-style:square;mso-wrap-distance-left:0;mso-wrap-distance-top:0;mso-wrap-distance-right:0;mso-wrap-distance-bottom:0;mso-position-horizontal:absolute;mso-position-horizontal-relative:page;mso-position-vertical:absolute;mso-position-vertical-relative:page;v-text-anchor:top" coordsize="92913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" path="m9291066,l,,,6096r9291066,l9291066,xe" fillcolor="#5f6269" stroked="f">
              <v:path arrowok="t"/>
              <w10:wrap anchorx="page" anchory="page"/>
            </v:shape>
          </w:pict>
        </mc:Fallback>
      </mc:AlternateContent>
    </w:r>
    <w:r w:rsidRPr="00D4309F">
      <w:rPr>
        <w:noProof/>
      </w:rPr>
      <mc:AlternateContent>
        <mc:Choice Requires="wps">
          <w:drawing>
            <wp:anchor distT="0" distB="0" distL="0" distR="0" simplePos="0" relativeHeight="251658291" behindDoc="1" locked="0" layoutInCell="1" allowOverlap="1" wp14:anchorId="6C1BF634" wp14:editId="07C120EE">
              <wp:simplePos x="0" y="0"/>
              <wp:positionH relativeFrom="page">
                <wp:posOffset>707390</wp:posOffset>
              </wp:positionH>
              <wp:positionV relativeFrom="page">
                <wp:posOffset>568664</wp:posOffset>
              </wp:positionV>
              <wp:extent cx="659765" cy="196215"/>
              <wp:effectExtent l="0" t="0" r="0" b="0"/>
              <wp:wrapNone/>
              <wp:docPr id="327912563"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5BE3AFEF" w14:textId="77777777" w:rsidR="00B37992" w:rsidRPr="00D4309F" w:rsidRDefault="00B37992" w:rsidP="00B37992">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6C1BF634" id="_x0000_t202" coordsize="21600,21600" o:spt="202" path="m,l,21600r21600,l21600,xe">
              <v:stroke joinstyle="miter"/>
              <v:path gradientshapeok="t" o:connecttype="rect"/>
            </v:shapetype>
            <v:shape id="_x0000_s1054" type="#_x0000_t202" style="position:absolute;margin-left:55.7pt;margin-top:44.8pt;width:51.95pt;height:15.45pt;z-index:-25165818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" filled="f" stroked="f">
              <v:textbox inset="0,0,0,0">
                <w:txbxContent>
                  <w:p w14:paraId="5BE3AFEF" w14:textId="77777777" w:rsidR="00B37992" w:rsidRPr="00D4309F" w:rsidRDefault="00B37992" w:rsidP="00B37992">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5E5C34" w14:textId="77777777" w:rsidR="00725977" w:rsidRPr="00D4309F" w:rsidRDefault="00725977">
    <w:pPr>
      <w:pStyle w:val="BodyText"/>
    </w:pPr>
    <w:r w:rsidRPr="00D4309F">
      <w:rPr>
        <w:noProof/>
      </w:rPr>
      <mc:AlternateContent>
        <mc:Choice Requires="wps">
          <w:drawing>
            <wp:anchor distT="0" distB="0" distL="0" distR="0" simplePos="0" relativeHeight="251658255" behindDoc="1" locked="0" layoutInCell="1" allowOverlap="1" wp14:anchorId="4C715BC0" wp14:editId="33D9BA94">
              <wp:simplePos x="0" y="0"/>
              <wp:positionH relativeFrom="page">
                <wp:posOffset>701040</wp:posOffset>
              </wp:positionH>
              <wp:positionV relativeFrom="page">
                <wp:posOffset>763511</wp:posOffset>
              </wp:positionV>
              <wp:extent cx="6158865" cy="6350"/>
              <wp:effectExtent l="0" t="0" r="0" b="0"/>
              <wp:wrapNone/>
              <wp:docPr id="235" name="Graphic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8865" cy="6350"/>
                      </a:xfrm>
                      <a:custGeom>
                        <a:avLst/>
                        <a:gdLst/>
                        <a:ahLst/>
                        <a:cxnLst/>
                        <a:rect l="l" t="t" r="r" b="b"/>
                        <a:pathLst>
                          <a:path w="6158865" h="6350">
                            <a:moveTo>
                              <a:pt x="6158484" y="0"/>
                            </a:moveTo>
                            <a:lnTo>
                              <a:pt x="0" y="0"/>
                            </a:lnTo>
                            <a:lnTo>
                              <a:pt x="0" y="6108"/>
                            </a:lnTo>
                            <a:lnTo>
                              <a:pt x="6158484" y="6108"/>
                            </a:lnTo>
                            <a:lnTo>
                              <a:pt x="6158484"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58601B08" id="Graphic 235" o:spid="_x0000_s1026" style="position:absolute;margin-left:55.2pt;margin-top:60.1pt;width:484.95pt;height:.5pt;z-index:-251658225;visibility:visible;mso-wrap-style:square;mso-wrap-distance-left:0;mso-wrap-distance-top:0;mso-wrap-distance-right:0;mso-wrap-distance-bottom:0;mso-position-horizontal:absolute;mso-position-horizontal-relative:page;mso-position-vertical:absolute;mso-position-vertical-relative:page;v-text-anchor:top" coordsize="615886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" path="m6158484,l,,,6108r6158484,l6158484,xe" fillcolor="#5f6269" stroked="f">
              <v:path arrowok="t"/>
              <w10:wrap anchorx="page" anchory="page"/>
            </v:shape>
          </w:pict>
        </mc:Fallback>
      </mc:AlternateContent>
    </w:r>
    <w:r w:rsidRPr="00D4309F">
      <w:rPr>
        <w:noProof/>
      </w:rPr>
      <mc:AlternateContent>
        <mc:Choice Requires="wps">
          <w:drawing>
            <wp:anchor distT="0" distB="0" distL="0" distR="0" simplePos="0" relativeHeight="251658256" behindDoc="1" locked="0" layoutInCell="1" allowOverlap="1" wp14:anchorId="42D793D6" wp14:editId="634F4AF0">
              <wp:simplePos x="0" y="0"/>
              <wp:positionH relativeFrom="page">
                <wp:posOffset>707390</wp:posOffset>
              </wp:positionH>
              <wp:positionV relativeFrom="page">
                <wp:posOffset>568664</wp:posOffset>
              </wp:positionV>
              <wp:extent cx="659765" cy="196215"/>
              <wp:effectExtent l="0" t="0" r="0" b="0"/>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178FDE8C" w14:textId="77777777" w:rsidR="00725977" w:rsidRPr="00D4309F" w:rsidRDefault="00725977">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42D793D6" id="_x0000_t202" coordsize="21600,21600" o:spt="202" path="m,l,21600r21600,l21600,xe">
              <v:stroke joinstyle="miter"/>
              <v:path gradientshapeok="t" o:connecttype="rect"/>
            </v:shapetype>
            <v:shape id="Textbox 236" o:spid="_x0000_s1056" type="#_x0000_t202" style="position:absolute;margin-left:55.7pt;margin-top:44.8pt;width:51.95pt;height:15.45pt;z-index:-251658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" filled="f" stroked="f">
              <v:textbox inset="0,0,0,0">
                <w:txbxContent>
                  <w:p w14:paraId="178FDE8C" w14:textId="77777777" w:rsidR="00725977" w:rsidRPr="00D4309F" w:rsidRDefault="00725977">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10DFF8" w14:textId="77777777" w:rsidR="00B37992" w:rsidRPr="00D4309F" w:rsidRDefault="00B37992" w:rsidP="00B37992">
    <w:pPr>
      <w:pStyle w:val="BodyText"/>
    </w:pPr>
    <w:r w:rsidRPr="00D4309F">
      <w:rPr>
        <w:noProof/>
      </w:rPr>
      <mc:AlternateContent>
        <mc:Choice Requires="wps">
          <w:drawing>
            <wp:anchor distT="0" distB="0" distL="0" distR="0" simplePos="0" relativeHeight="251658292" behindDoc="1" locked="0" layoutInCell="1" allowOverlap="1" wp14:anchorId="2F6D335E" wp14:editId="0B5863CF">
              <wp:simplePos x="0" y="0"/>
              <wp:positionH relativeFrom="page">
                <wp:posOffset>701040</wp:posOffset>
              </wp:positionH>
              <wp:positionV relativeFrom="page">
                <wp:posOffset>763524</wp:posOffset>
              </wp:positionV>
              <wp:extent cx="9291320" cy="6350"/>
              <wp:effectExtent l="0" t="0" r="0" b="0"/>
              <wp:wrapNone/>
              <wp:docPr id="729715255"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1320" cy="6350"/>
                      </a:xfrm>
                      <a:custGeom>
                        <a:avLst/>
                        <a:gdLst/>
                        <a:ahLst/>
                        <a:cxnLst/>
                        <a:rect l="l" t="t" r="r" b="b"/>
                        <a:pathLst>
                          <a:path w="9291320" h="6350">
                            <a:moveTo>
                              <a:pt x="9291066" y="0"/>
                            </a:moveTo>
                            <a:lnTo>
                              <a:pt x="0" y="0"/>
                            </a:lnTo>
                            <a:lnTo>
                              <a:pt x="0" y="6096"/>
                            </a:lnTo>
                            <a:lnTo>
                              <a:pt x="9291066" y="6096"/>
                            </a:lnTo>
                            <a:lnTo>
                              <a:pt x="9291066"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6F16B41B" id="Graphic 125" o:spid="_x0000_s1026" style="position:absolute;margin-left:55.2pt;margin-top:60.1pt;width:731.6pt;height:.5pt;z-index:-251658188;visibility:visible;mso-wrap-style:square;mso-wrap-distance-left:0;mso-wrap-distance-top:0;mso-wrap-distance-right:0;mso-wrap-distance-bottom:0;mso-position-horizontal:absolute;mso-position-horizontal-relative:page;mso-position-vertical:absolute;mso-position-vertical-relative:page;v-text-anchor:top" coordsize="92913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" path="m9291066,l,,,6096r9291066,l9291066,xe" fillcolor="#5f6269" stroked="f">
              <v:path arrowok="t"/>
              <w10:wrap anchorx="page" anchory="page"/>
            </v:shape>
          </w:pict>
        </mc:Fallback>
      </mc:AlternateContent>
    </w:r>
    <w:r w:rsidRPr="00D4309F">
      <w:rPr>
        <w:noProof/>
      </w:rPr>
      <mc:AlternateContent>
        <mc:Choice Requires="wps">
          <w:drawing>
            <wp:anchor distT="0" distB="0" distL="0" distR="0" simplePos="0" relativeHeight="251658293" behindDoc="1" locked="0" layoutInCell="1" allowOverlap="1" wp14:anchorId="58F9BAB0" wp14:editId="7F7BDE81">
              <wp:simplePos x="0" y="0"/>
              <wp:positionH relativeFrom="page">
                <wp:posOffset>707390</wp:posOffset>
              </wp:positionH>
              <wp:positionV relativeFrom="page">
                <wp:posOffset>568664</wp:posOffset>
              </wp:positionV>
              <wp:extent cx="659765" cy="196215"/>
              <wp:effectExtent l="0" t="0" r="0" b="0"/>
              <wp:wrapNone/>
              <wp:docPr id="1698115852"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4E2809E8" w14:textId="77777777" w:rsidR="00B37992" w:rsidRPr="00D4309F" w:rsidRDefault="00B37992" w:rsidP="00B37992">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58F9BAB0" id="_x0000_t202" coordsize="21600,21600" o:spt="202" path="m,l,21600r21600,l21600,xe">
              <v:stroke joinstyle="miter"/>
              <v:path gradientshapeok="t" o:connecttype="rect"/>
            </v:shapetype>
            <v:shape id="_x0000_s1060" type="#_x0000_t202" style="position:absolute;margin-left:55.7pt;margin-top:44.8pt;width:51.95pt;height:15.45pt;z-index:-25165818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" filled="f" stroked="f">
              <v:textbox inset="0,0,0,0">
                <w:txbxContent>
                  <w:p w14:paraId="4E2809E8" w14:textId="77777777" w:rsidR="00B37992" w:rsidRPr="00D4309F" w:rsidRDefault="00B37992" w:rsidP="00B37992">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DFA6F2" w14:textId="77777777" w:rsidR="00725977" w:rsidRPr="00D4309F" w:rsidRDefault="00725977">
    <w:pPr>
      <w:pStyle w:val="BodyText"/>
    </w:pPr>
    <w:r w:rsidRPr="00D4309F">
      <w:rPr>
        <w:noProof/>
      </w:rPr>
      <mc:AlternateContent>
        <mc:Choice Requires="wps">
          <w:drawing>
            <wp:anchor distT="0" distB="0" distL="0" distR="0" simplePos="0" relativeHeight="251658261" behindDoc="1" locked="0" layoutInCell="1" allowOverlap="1" wp14:anchorId="5785B338" wp14:editId="3F394B1A">
              <wp:simplePos x="0" y="0"/>
              <wp:positionH relativeFrom="page">
                <wp:posOffset>707390</wp:posOffset>
              </wp:positionH>
              <wp:positionV relativeFrom="page">
                <wp:posOffset>568664</wp:posOffset>
              </wp:positionV>
              <wp:extent cx="659765" cy="196215"/>
              <wp:effectExtent l="0" t="0" r="0" b="0"/>
              <wp:wrapNone/>
              <wp:docPr id="255" name="Text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13CC37D7" w14:textId="77777777" w:rsidR="00725977" w:rsidRPr="00D4309F" w:rsidRDefault="00725977">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5785B338" id="_x0000_t202" coordsize="21600,21600" o:spt="202" path="m,l,21600r21600,l21600,xe">
              <v:stroke joinstyle="miter"/>
              <v:path gradientshapeok="t" o:connecttype="rect"/>
            </v:shapetype>
            <v:shape id="Textbox 255" o:spid="_x0000_s1062" type="#_x0000_t202" style="position:absolute;margin-left:55.7pt;margin-top:44.8pt;width:51.95pt;height:15.45pt;z-index:-25165821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" filled="f" stroked="f">
              <v:textbox inset="0,0,0,0">
                <w:txbxContent>
                  <w:p w14:paraId="13CC37D7" w14:textId="77777777" w:rsidR="00725977" w:rsidRPr="00D4309F" w:rsidRDefault="00725977">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CE8122" w14:textId="56C96360" w:rsidR="00725977" w:rsidRPr="00005455" w:rsidRDefault="00005455" w:rsidP="00005455">
    <w:pPr>
      <w:pStyle w:val="BodyText"/>
    </w:pPr>
    <w:r w:rsidRPr="00D4309F">
      <w:rPr>
        <w:noProof/>
      </w:rPr>
      <mc:AlternateContent>
        <mc:Choice Requires="wps">
          <w:drawing>
            <wp:anchor distT="0" distB="0" distL="0" distR="0" simplePos="0" relativeHeight="251658294" behindDoc="1" locked="0" layoutInCell="1" allowOverlap="1" wp14:anchorId="33DFD09C" wp14:editId="2C52B53C">
              <wp:simplePos x="0" y="0"/>
              <wp:positionH relativeFrom="page">
                <wp:posOffset>701040</wp:posOffset>
              </wp:positionH>
              <wp:positionV relativeFrom="page">
                <wp:posOffset>763524</wp:posOffset>
              </wp:positionV>
              <wp:extent cx="9291320" cy="6350"/>
              <wp:effectExtent l="0" t="0" r="0" b="0"/>
              <wp:wrapNone/>
              <wp:docPr id="944078157"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1320" cy="6350"/>
                      </a:xfrm>
                      <a:custGeom>
                        <a:avLst/>
                        <a:gdLst/>
                        <a:ahLst/>
                        <a:cxnLst/>
                        <a:rect l="l" t="t" r="r" b="b"/>
                        <a:pathLst>
                          <a:path w="9291320" h="6350">
                            <a:moveTo>
                              <a:pt x="9291066" y="0"/>
                            </a:moveTo>
                            <a:lnTo>
                              <a:pt x="0" y="0"/>
                            </a:lnTo>
                            <a:lnTo>
                              <a:pt x="0" y="6096"/>
                            </a:lnTo>
                            <a:lnTo>
                              <a:pt x="9291066" y="6096"/>
                            </a:lnTo>
                            <a:lnTo>
                              <a:pt x="9291066"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07FAEF37" id="Graphic 125" o:spid="_x0000_s1026" style="position:absolute;margin-left:55.2pt;margin-top:60.1pt;width:731.6pt;height:.5pt;z-index:-251658186;visibility:visible;mso-wrap-style:square;mso-wrap-distance-left:0;mso-wrap-distance-top:0;mso-wrap-distance-right:0;mso-wrap-distance-bottom:0;mso-position-horizontal:absolute;mso-position-horizontal-relative:page;mso-position-vertical:absolute;mso-position-vertical-relative:page;v-text-anchor:top" coordsize="92913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" path="m9291066,l,,,6096r9291066,l9291066,xe" fillcolor="#5f6269" stroked="f">
              <v:path arrowok="t"/>
              <w10:wrap anchorx="page" anchory="page"/>
            </v:shape>
          </w:pict>
        </mc:Fallback>
      </mc:AlternateContent>
    </w:r>
    <w:r w:rsidRPr="00D4309F">
      <w:rPr>
        <w:noProof/>
      </w:rPr>
      <mc:AlternateContent>
        <mc:Choice Requires="wps">
          <w:drawing>
            <wp:anchor distT="0" distB="0" distL="0" distR="0" simplePos="0" relativeHeight="251658295" behindDoc="1" locked="0" layoutInCell="1" allowOverlap="1" wp14:anchorId="7BFF79FD" wp14:editId="12F7CBC9">
              <wp:simplePos x="0" y="0"/>
              <wp:positionH relativeFrom="page">
                <wp:posOffset>707390</wp:posOffset>
              </wp:positionH>
              <wp:positionV relativeFrom="page">
                <wp:posOffset>568664</wp:posOffset>
              </wp:positionV>
              <wp:extent cx="659765" cy="196215"/>
              <wp:effectExtent l="0" t="0" r="0" b="0"/>
              <wp:wrapNone/>
              <wp:docPr id="1460987265"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10B20B48" w14:textId="77777777" w:rsidR="00005455" w:rsidRPr="00D4309F" w:rsidRDefault="00005455" w:rsidP="00005455">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7BFF79FD" id="_x0000_t202" coordsize="21600,21600" o:spt="202" path="m,l,21600r21600,l21600,xe">
              <v:stroke joinstyle="miter"/>
              <v:path gradientshapeok="t" o:connecttype="rect"/>
            </v:shapetype>
            <v:shape id="_x0000_s1064" type="#_x0000_t202" style="position:absolute;margin-left:55.7pt;margin-top:44.8pt;width:51.95pt;height:15.45pt;z-index:-25165818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" filled="f" stroked="f">
              <v:textbox inset="0,0,0,0">
                <w:txbxContent>
                  <w:p w14:paraId="10B20B48" w14:textId="77777777" w:rsidR="00005455" w:rsidRPr="00D4309F" w:rsidRDefault="00005455" w:rsidP="00005455">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DF9476" w14:textId="77777777" w:rsidR="00725977" w:rsidRPr="00D4309F" w:rsidRDefault="00725977">
    <w:pPr>
      <w:pStyle w:val="BodyText"/>
    </w:pPr>
    <w:r w:rsidRPr="00D4309F">
      <w:rPr>
        <w:noProof/>
      </w:rPr>
      <mc:AlternateContent>
        <mc:Choice Requires="wps">
          <w:drawing>
            <wp:anchor distT="0" distB="0" distL="0" distR="0" simplePos="0" relativeHeight="251658262" behindDoc="1" locked="0" layoutInCell="1" allowOverlap="1" wp14:anchorId="1A2A71CC" wp14:editId="695C573A">
              <wp:simplePos x="0" y="0"/>
              <wp:positionH relativeFrom="page">
                <wp:posOffset>701040</wp:posOffset>
              </wp:positionH>
              <wp:positionV relativeFrom="page">
                <wp:posOffset>763511</wp:posOffset>
              </wp:positionV>
              <wp:extent cx="6158865" cy="6350"/>
              <wp:effectExtent l="0" t="0" r="0" b="0"/>
              <wp:wrapNone/>
              <wp:docPr id="266" name="Graphic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8865" cy="6350"/>
                      </a:xfrm>
                      <a:custGeom>
                        <a:avLst/>
                        <a:gdLst/>
                        <a:ahLst/>
                        <a:cxnLst/>
                        <a:rect l="l" t="t" r="r" b="b"/>
                        <a:pathLst>
                          <a:path w="6158865" h="6350">
                            <a:moveTo>
                              <a:pt x="6158484" y="0"/>
                            </a:moveTo>
                            <a:lnTo>
                              <a:pt x="0" y="0"/>
                            </a:lnTo>
                            <a:lnTo>
                              <a:pt x="0" y="6108"/>
                            </a:lnTo>
                            <a:lnTo>
                              <a:pt x="6158484" y="6108"/>
                            </a:lnTo>
                            <a:lnTo>
                              <a:pt x="6158484"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4A59AC1D" id="Graphic 266" o:spid="_x0000_s1026" style="position:absolute;margin-left:55.2pt;margin-top:60.1pt;width:484.95pt;height:.5pt;z-index:-251658218;visibility:visible;mso-wrap-style:square;mso-wrap-distance-left:0;mso-wrap-distance-top:0;mso-wrap-distance-right:0;mso-wrap-distance-bottom:0;mso-position-horizontal:absolute;mso-position-horizontal-relative:page;mso-position-vertical:absolute;mso-position-vertical-relative:page;v-text-anchor:top" coordsize="615886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" path="m6158484,l,,,6108r6158484,l6158484,xe" fillcolor="#5f6269" stroked="f">
              <v:path arrowok="t"/>
              <w10:wrap anchorx="page" anchory="page"/>
            </v:shape>
          </w:pict>
        </mc:Fallback>
      </mc:AlternateContent>
    </w:r>
    <w:r w:rsidRPr="00D4309F">
      <w:rPr>
        <w:noProof/>
      </w:rPr>
      <mc:AlternateContent>
        <mc:Choice Requires="wps">
          <w:drawing>
            <wp:anchor distT="0" distB="0" distL="0" distR="0" simplePos="0" relativeHeight="251658263" behindDoc="1" locked="0" layoutInCell="1" allowOverlap="1" wp14:anchorId="168B4E26" wp14:editId="7941C7DD">
              <wp:simplePos x="0" y="0"/>
              <wp:positionH relativeFrom="page">
                <wp:posOffset>707390</wp:posOffset>
              </wp:positionH>
              <wp:positionV relativeFrom="page">
                <wp:posOffset>568664</wp:posOffset>
              </wp:positionV>
              <wp:extent cx="659765" cy="196215"/>
              <wp:effectExtent l="0" t="0" r="0" b="0"/>
              <wp:wrapNone/>
              <wp:docPr id="267" name="Text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53079D49" w14:textId="77777777" w:rsidR="00725977" w:rsidRPr="00D4309F" w:rsidRDefault="00725977">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168B4E26" id="_x0000_t202" coordsize="21600,21600" o:spt="202" path="m,l,21600r21600,l21600,xe">
              <v:stroke joinstyle="miter"/>
              <v:path gradientshapeok="t" o:connecttype="rect"/>
            </v:shapetype>
            <v:shape id="Textbox 267" o:spid="_x0000_s1066" type="#_x0000_t202" style="position:absolute;margin-left:55.7pt;margin-top:44.8pt;width:51.95pt;height:15.45pt;z-index:-25165821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" filled="f" stroked="f">
              <v:textbox inset="0,0,0,0">
                <w:txbxContent>
                  <w:p w14:paraId="53079D49" w14:textId="77777777" w:rsidR="00725977" w:rsidRPr="00D4309F" w:rsidRDefault="00725977">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172547" w14:textId="4AC54629" w:rsidR="009D1FCB" w:rsidRPr="00D4309F" w:rsidRDefault="009D1FCB" w:rsidP="00607BC1">
    <w:pPr>
      <w:pStyle w:val="Header"/>
      <w:pBdr>
        <w:bottom w:val="none" w:sz="0" w:space="0" w:color="auto"/>
      </w:pBdr>
    </w:pPr>
  </w:p>
  <w:p w14:paraId="21FE0856" w14:textId="032E5B02" w:rsidR="009D1FCB" w:rsidRPr="00D4309F" w:rsidRDefault="009D1FCB" w:rsidP="00607BC1">
    <w:pPr>
      <w:pStyle w:val="Header"/>
      <w:pBdr>
        <w:bottom w:val="none" w:sz="0" w:space="0" w:color="auto"/>
      </w:pBdr>
    </w:pPr>
  </w:p>
  <w:p w14:paraId="2992822B" w14:textId="7EB91EEE" w:rsidR="009D1FCB" w:rsidRPr="00D4309F" w:rsidRDefault="009D1FCB" w:rsidP="00607BC1">
    <w:pPr>
      <w:pStyle w:val="Header"/>
      <w:pBdr>
        <w:bottom w:val="none" w:sz="0" w:space="0" w:color="auto"/>
      </w:pBdr>
    </w:pPr>
  </w:p>
  <w:p w14:paraId="74986490" w14:textId="232CABA7" w:rsidR="009D1FCB" w:rsidRPr="00D4309F" w:rsidRDefault="009D1FCB" w:rsidP="00607BC1">
    <w:pPr>
      <w:pStyle w:val="Header"/>
      <w:pBdr>
        <w:bottom w:val="none" w:sz="0" w:space="0" w:color="auto"/>
      </w:pBdr>
    </w:pPr>
  </w:p>
  <w:p w14:paraId="1556EA51" w14:textId="62E9BCB4" w:rsidR="009D1FCB" w:rsidRPr="00D4309F" w:rsidRDefault="009D1FCB" w:rsidP="00607BC1">
    <w:pPr>
      <w:pStyle w:val="Header"/>
      <w:pBdr>
        <w:bottom w:val="none" w:sz="0" w:space="0" w:color="auto"/>
      </w:pBd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1ADBD6" w14:textId="1CE73093" w:rsidR="00725977" w:rsidRPr="00005455" w:rsidRDefault="00005455" w:rsidP="00005455">
    <w:pPr>
      <w:pStyle w:val="BodyText"/>
    </w:pPr>
    <w:r w:rsidRPr="00D4309F">
      <w:rPr>
        <w:noProof/>
      </w:rPr>
      <mc:AlternateContent>
        <mc:Choice Requires="wps">
          <w:drawing>
            <wp:anchor distT="0" distB="0" distL="0" distR="0" simplePos="0" relativeHeight="251658296" behindDoc="1" locked="0" layoutInCell="1" allowOverlap="1" wp14:anchorId="7A49B91B" wp14:editId="794F347F">
              <wp:simplePos x="0" y="0"/>
              <wp:positionH relativeFrom="page">
                <wp:posOffset>701040</wp:posOffset>
              </wp:positionH>
              <wp:positionV relativeFrom="page">
                <wp:posOffset>763524</wp:posOffset>
              </wp:positionV>
              <wp:extent cx="9291320" cy="6350"/>
              <wp:effectExtent l="0" t="0" r="0" b="0"/>
              <wp:wrapNone/>
              <wp:docPr id="2104838114"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1320" cy="6350"/>
                      </a:xfrm>
                      <a:custGeom>
                        <a:avLst/>
                        <a:gdLst/>
                        <a:ahLst/>
                        <a:cxnLst/>
                        <a:rect l="l" t="t" r="r" b="b"/>
                        <a:pathLst>
                          <a:path w="9291320" h="6350">
                            <a:moveTo>
                              <a:pt x="9291066" y="0"/>
                            </a:moveTo>
                            <a:lnTo>
                              <a:pt x="0" y="0"/>
                            </a:lnTo>
                            <a:lnTo>
                              <a:pt x="0" y="6096"/>
                            </a:lnTo>
                            <a:lnTo>
                              <a:pt x="9291066" y="6096"/>
                            </a:lnTo>
                            <a:lnTo>
                              <a:pt x="9291066"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27F8F22D" id="Graphic 125" o:spid="_x0000_s1026" style="position:absolute;margin-left:55.2pt;margin-top:60.1pt;width:731.6pt;height:.5pt;z-index:-251658184;visibility:visible;mso-wrap-style:square;mso-wrap-distance-left:0;mso-wrap-distance-top:0;mso-wrap-distance-right:0;mso-wrap-distance-bottom:0;mso-position-horizontal:absolute;mso-position-horizontal-relative:page;mso-position-vertical:absolute;mso-position-vertical-relative:page;v-text-anchor:top" coordsize="92913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" path="m9291066,l,,,6096r9291066,l9291066,xe" fillcolor="#5f6269" stroked="f">
              <v:path arrowok="t"/>
              <w10:wrap anchorx="page" anchory="page"/>
            </v:shape>
          </w:pict>
        </mc:Fallback>
      </mc:AlternateContent>
    </w:r>
    <w:r w:rsidRPr="00D4309F">
      <w:rPr>
        <w:noProof/>
      </w:rPr>
      <mc:AlternateContent>
        <mc:Choice Requires="wps">
          <w:drawing>
            <wp:anchor distT="0" distB="0" distL="0" distR="0" simplePos="0" relativeHeight="251658297" behindDoc="1" locked="0" layoutInCell="1" allowOverlap="1" wp14:anchorId="6E9DD75B" wp14:editId="385BBB90">
              <wp:simplePos x="0" y="0"/>
              <wp:positionH relativeFrom="page">
                <wp:posOffset>707390</wp:posOffset>
              </wp:positionH>
              <wp:positionV relativeFrom="page">
                <wp:posOffset>568664</wp:posOffset>
              </wp:positionV>
              <wp:extent cx="659765" cy="196215"/>
              <wp:effectExtent l="0" t="0" r="0" b="0"/>
              <wp:wrapNone/>
              <wp:docPr id="575821847"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3D9696D1" w14:textId="77777777" w:rsidR="00005455" w:rsidRPr="00D4309F" w:rsidRDefault="00005455" w:rsidP="00005455">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6E9DD75B" id="_x0000_t202" coordsize="21600,21600" o:spt="202" path="m,l,21600r21600,l21600,xe">
              <v:stroke joinstyle="miter"/>
              <v:path gradientshapeok="t" o:connecttype="rect"/>
            </v:shapetype>
            <v:shape id="_x0000_s1068" type="#_x0000_t202" style="position:absolute;margin-left:55.7pt;margin-top:44.8pt;width:51.95pt;height:15.45pt;z-index:-25165818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" filled="f" stroked="f">
              <v:textbox inset="0,0,0,0">
                <w:txbxContent>
                  <w:p w14:paraId="3D9696D1" w14:textId="77777777" w:rsidR="00005455" w:rsidRPr="00D4309F" w:rsidRDefault="00005455" w:rsidP="00005455">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690207" w14:textId="77777777" w:rsidR="00725977" w:rsidRPr="00D4309F" w:rsidRDefault="00725977">
    <w:pPr>
      <w:pStyle w:val="BodyText"/>
    </w:pPr>
    <w:r w:rsidRPr="00D4309F">
      <w:rPr>
        <w:noProof/>
      </w:rPr>
      <mc:AlternateContent>
        <mc:Choice Requires="wps">
          <w:drawing>
            <wp:anchor distT="0" distB="0" distL="0" distR="0" simplePos="0" relativeHeight="251658264" behindDoc="1" locked="0" layoutInCell="1" allowOverlap="1" wp14:anchorId="0A34A700" wp14:editId="20F760BA">
              <wp:simplePos x="0" y="0"/>
              <wp:positionH relativeFrom="page">
                <wp:posOffset>701040</wp:posOffset>
              </wp:positionH>
              <wp:positionV relativeFrom="page">
                <wp:posOffset>763511</wp:posOffset>
              </wp:positionV>
              <wp:extent cx="6158865" cy="6350"/>
              <wp:effectExtent l="0" t="0" r="0" b="0"/>
              <wp:wrapNone/>
              <wp:docPr id="280" name="Graphic 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8865" cy="6350"/>
                      </a:xfrm>
                      <a:custGeom>
                        <a:avLst/>
                        <a:gdLst/>
                        <a:ahLst/>
                        <a:cxnLst/>
                        <a:rect l="l" t="t" r="r" b="b"/>
                        <a:pathLst>
                          <a:path w="6158865" h="6350">
                            <a:moveTo>
                              <a:pt x="6158484" y="0"/>
                            </a:moveTo>
                            <a:lnTo>
                              <a:pt x="0" y="0"/>
                            </a:lnTo>
                            <a:lnTo>
                              <a:pt x="0" y="6108"/>
                            </a:lnTo>
                            <a:lnTo>
                              <a:pt x="6158484" y="6108"/>
                            </a:lnTo>
                            <a:lnTo>
                              <a:pt x="6158484"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122C015F" id="Graphic 280" o:spid="_x0000_s1026" style="position:absolute;margin-left:55.2pt;margin-top:60.1pt;width:484.95pt;height:.5pt;z-index:-251658216;visibility:visible;mso-wrap-style:square;mso-wrap-distance-left:0;mso-wrap-distance-top:0;mso-wrap-distance-right:0;mso-wrap-distance-bottom:0;mso-position-horizontal:absolute;mso-position-horizontal-relative:page;mso-position-vertical:absolute;mso-position-vertical-relative:page;v-text-anchor:top" coordsize="615886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" path="m6158484,l,,,6108r6158484,l6158484,xe" fillcolor="#5f6269" stroked="f">
              <v:path arrowok="t"/>
              <w10:wrap anchorx="page" anchory="page"/>
            </v:shape>
          </w:pict>
        </mc:Fallback>
      </mc:AlternateContent>
    </w:r>
    <w:r w:rsidRPr="00D4309F">
      <w:rPr>
        <w:noProof/>
      </w:rPr>
      <mc:AlternateContent>
        <mc:Choice Requires="wps">
          <w:drawing>
            <wp:anchor distT="0" distB="0" distL="0" distR="0" simplePos="0" relativeHeight="251658265" behindDoc="1" locked="0" layoutInCell="1" allowOverlap="1" wp14:anchorId="4D467C1D" wp14:editId="24143563">
              <wp:simplePos x="0" y="0"/>
              <wp:positionH relativeFrom="page">
                <wp:posOffset>707390</wp:posOffset>
              </wp:positionH>
              <wp:positionV relativeFrom="page">
                <wp:posOffset>568664</wp:posOffset>
              </wp:positionV>
              <wp:extent cx="659765" cy="196215"/>
              <wp:effectExtent l="0" t="0" r="0" b="0"/>
              <wp:wrapNone/>
              <wp:docPr id="281" name="Text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44E62B17" w14:textId="77777777" w:rsidR="00725977" w:rsidRPr="00D4309F" w:rsidRDefault="00725977">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4D467C1D" id="_x0000_t202" coordsize="21600,21600" o:spt="202" path="m,l,21600r21600,l21600,xe">
              <v:stroke joinstyle="miter"/>
              <v:path gradientshapeok="t" o:connecttype="rect"/>
            </v:shapetype>
            <v:shape id="Textbox 281" o:spid="_x0000_s1070" type="#_x0000_t202" style="position:absolute;margin-left:55.7pt;margin-top:44.8pt;width:51.95pt;height:15.45pt;z-index:-25165821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" filled="f" stroked="f">
              <v:textbox inset="0,0,0,0">
                <w:txbxContent>
                  <w:p w14:paraId="44E62B17" w14:textId="77777777" w:rsidR="00725977" w:rsidRPr="00D4309F" w:rsidRDefault="00725977">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88992A" w14:textId="4E682E6A" w:rsidR="00725977" w:rsidRPr="008B2854" w:rsidRDefault="008B2854" w:rsidP="008B2854">
    <w:pPr>
      <w:pStyle w:val="BodyText"/>
    </w:pPr>
    <w:r w:rsidRPr="00D4309F">
      <w:rPr>
        <w:noProof/>
      </w:rPr>
      <mc:AlternateContent>
        <mc:Choice Requires="wps">
          <w:drawing>
            <wp:anchor distT="0" distB="0" distL="0" distR="0" simplePos="0" relativeHeight="251658298" behindDoc="1" locked="0" layoutInCell="1" allowOverlap="1" wp14:anchorId="69589877" wp14:editId="06DDED11">
              <wp:simplePos x="0" y="0"/>
              <wp:positionH relativeFrom="page">
                <wp:posOffset>701040</wp:posOffset>
              </wp:positionH>
              <wp:positionV relativeFrom="page">
                <wp:posOffset>763524</wp:posOffset>
              </wp:positionV>
              <wp:extent cx="9291320" cy="6350"/>
              <wp:effectExtent l="0" t="0" r="0" b="0"/>
              <wp:wrapNone/>
              <wp:docPr id="665066931"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1320" cy="6350"/>
                      </a:xfrm>
                      <a:custGeom>
                        <a:avLst/>
                        <a:gdLst/>
                        <a:ahLst/>
                        <a:cxnLst/>
                        <a:rect l="l" t="t" r="r" b="b"/>
                        <a:pathLst>
                          <a:path w="9291320" h="6350">
                            <a:moveTo>
                              <a:pt x="9291066" y="0"/>
                            </a:moveTo>
                            <a:lnTo>
                              <a:pt x="0" y="0"/>
                            </a:lnTo>
                            <a:lnTo>
                              <a:pt x="0" y="6096"/>
                            </a:lnTo>
                            <a:lnTo>
                              <a:pt x="9291066" y="6096"/>
                            </a:lnTo>
                            <a:lnTo>
                              <a:pt x="9291066"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783C3A2B" id="Graphic 125" o:spid="_x0000_s1026" style="position:absolute;margin-left:55.2pt;margin-top:60.1pt;width:731.6pt;height:.5pt;z-index:-251658182;visibility:visible;mso-wrap-style:square;mso-wrap-distance-left:0;mso-wrap-distance-top:0;mso-wrap-distance-right:0;mso-wrap-distance-bottom:0;mso-position-horizontal:absolute;mso-position-horizontal-relative:page;mso-position-vertical:absolute;mso-position-vertical-relative:page;v-text-anchor:top" coordsize="92913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" path="m9291066,l,,,6096r9291066,l9291066,xe" fillcolor="#5f6269" stroked="f">
              <v:path arrowok="t"/>
              <w10:wrap anchorx="page" anchory="page"/>
            </v:shape>
          </w:pict>
        </mc:Fallback>
      </mc:AlternateContent>
    </w:r>
    <w:r w:rsidRPr="00D4309F">
      <w:rPr>
        <w:noProof/>
      </w:rPr>
      <mc:AlternateContent>
        <mc:Choice Requires="wps">
          <w:drawing>
            <wp:anchor distT="0" distB="0" distL="0" distR="0" simplePos="0" relativeHeight="251658299" behindDoc="1" locked="0" layoutInCell="1" allowOverlap="1" wp14:anchorId="0ADC64DE" wp14:editId="44165B43">
              <wp:simplePos x="0" y="0"/>
              <wp:positionH relativeFrom="page">
                <wp:posOffset>707390</wp:posOffset>
              </wp:positionH>
              <wp:positionV relativeFrom="page">
                <wp:posOffset>568664</wp:posOffset>
              </wp:positionV>
              <wp:extent cx="659765" cy="196215"/>
              <wp:effectExtent l="0" t="0" r="0" b="0"/>
              <wp:wrapNone/>
              <wp:docPr id="382188121"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65D189E8" w14:textId="77777777" w:rsidR="008B2854" w:rsidRPr="00D4309F" w:rsidRDefault="008B2854" w:rsidP="008B2854">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0ADC64DE" id="_x0000_t202" coordsize="21600,21600" o:spt="202" path="m,l,21600r21600,l21600,xe">
              <v:stroke joinstyle="miter"/>
              <v:path gradientshapeok="t" o:connecttype="rect"/>
            </v:shapetype>
            <v:shape id="_x0000_s1072" type="#_x0000_t202" style="position:absolute;margin-left:55.7pt;margin-top:44.8pt;width:51.95pt;height:15.45pt;z-index:-251658181;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" filled="f" stroked="f">
              <v:textbox inset="0,0,0,0">
                <w:txbxContent>
                  <w:p w14:paraId="65D189E8" w14:textId="77777777" w:rsidR="008B2854" w:rsidRPr="00D4309F" w:rsidRDefault="008B2854" w:rsidP="008B2854">
                    <w:pPr>
                      <w:spacing w:before="12"/>
                      <w:ind w:left="20"/>
                      <w:rPr>
                        <w:b/>
                        <w:sz w:val="24"/>
                      </w:rPr>
                    </w:pPr>
                    <w:r w:rsidRPr="00D4309F">
                      <w:rPr>
                        <w:b/>
                        <w:color w:val="5F6269"/>
                        <w:spacing w:val="-2"/>
                        <w:sz w:val="24"/>
                      </w:rPr>
                      <w:t>REPORT</w:t>
                    </w:r>
                  </w:p>
                </w:txbxContent>
              </v:textbox>
              <w10:wrap anchorx="page" anchory="page"/>
            </v:shape>
          </w:pict>
        </mc:Fallback>
      </mc:AlternateContent>
    </w:r>
    <w:r w:rsidRPr="00D4309F">
      <w:rPr>
        <w:noProof/>
      </w:rPr>
      <mc:AlternateContent>
        <mc:Choice Requires="wps">
          <w:drawing>
            <wp:anchor distT="0" distB="0" distL="0" distR="0" simplePos="0" relativeHeight="251658300" behindDoc="1" locked="0" layoutInCell="1" allowOverlap="1" wp14:anchorId="7E13455B" wp14:editId="4458B9CE">
              <wp:simplePos x="0" y="0"/>
              <wp:positionH relativeFrom="page">
                <wp:posOffset>701040</wp:posOffset>
              </wp:positionH>
              <wp:positionV relativeFrom="page">
                <wp:posOffset>763524</wp:posOffset>
              </wp:positionV>
              <wp:extent cx="9291320" cy="6350"/>
              <wp:effectExtent l="0" t="0" r="0" b="0"/>
              <wp:wrapNone/>
              <wp:docPr id="1019995058"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1320" cy="6350"/>
                      </a:xfrm>
                      <a:custGeom>
                        <a:avLst/>
                        <a:gdLst/>
                        <a:ahLst/>
                        <a:cxnLst/>
                        <a:rect l="l" t="t" r="r" b="b"/>
                        <a:pathLst>
                          <a:path w="9291320" h="6350">
                            <a:moveTo>
                              <a:pt x="9291066" y="0"/>
                            </a:moveTo>
                            <a:lnTo>
                              <a:pt x="0" y="0"/>
                            </a:lnTo>
                            <a:lnTo>
                              <a:pt x="0" y="6096"/>
                            </a:lnTo>
                            <a:lnTo>
                              <a:pt x="9291066" y="6096"/>
                            </a:lnTo>
                            <a:lnTo>
                              <a:pt x="9291066"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185F24A5" id="Graphic 125" o:spid="_x0000_s1026" style="position:absolute;margin-left:55.2pt;margin-top:60.1pt;width:731.6pt;height:.5pt;z-index:-251658180;visibility:visible;mso-wrap-style:square;mso-wrap-distance-left:0;mso-wrap-distance-top:0;mso-wrap-distance-right:0;mso-wrap-distance-bottom:0;mso-position-horizontal:absolute;mso-position-horizontal-relative:page;mso-position-vertical:absolute;mso-position-vertical-relative:page;v-text-anchor:top" coordsize="92913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" path="m9291066,l,,,6096r9291066,l9291066,xe" fillcolor="#5f6269" stroked="f">
              <v:path arrowok="t"/>
              <w10:wrap anchorx="page" anchory="page"/>
            </v:shape>
          </w:pict>
        </mc:Fallback>
      </mc:AlternateContent>
    </w:r>
    <w:r w:rsidRPr="00D4309F">
      <w:rPr>
        <w:noProof/>
      </w:rPr>
      <mc:AlternateContent>
        <mc:Choice Requires="wps">
          <w:drawing>
            <wp:anchor distT="0" distB="0" distL="0" distR="0" simplePos="0" relativeHeight="251658301" behindDoc="1" locked="0" layoutInCell="1" allowOverlap="1" wp14:anchorId="1ADCF685" wp14:editId="29EA0843">
              <wp:simplePos x="0" y="0"/>
              <wp:positionH relativeFrom="page">
                <wp:posOffset>707390</wp:posOffset>
              </wp:positionH>
              <wp:positionV relativeFrom="page">
                <wp:posOffset>568664</wp:posOffset>
              </wp:positionV>
              <wp:extent cx="659765" cy="196215"/>
              <wp:effectExtent l="0" t="0" r="0" b="0"/>
              <wp:wrapNone/>
              <wp:docPr id="243349904"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28B7DF2D" w14:textId="77777777" w:rsidR="008B2854" w:rsidRPr="00D4309F" w:rsidRDefault="008B2854" w:rsidP="008B2854">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 w14:anchorId="1ADCF685" id="_x0000_s1073" type="#_x0000_t202" style="position:absolute;margin-left:55.7pt;margin-top:44.8pt;width:51.95pt;height:15.45pt;z-index:-25165817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" filled="f" stroked="f">
              <v:textbox inset="0,0,0,0">
                <w:txbxContent>
                  <w:p w14:paraId="28B7DF2D" w14:textId="77777777" w:rsidR="008B2854" w:rsidRPr="00D4309F" w:rsidRDefault="008B2854" w:rsidP="008B2854">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B4F71A" w14:textId="77777777" w:rsidR="00725977" w:rsidRPr="00D4309F" w:rsidRDefault="00725977">
    <w:pPr>
      <w:pStyle w:val="BodyText"/>
    </w:pPr>
    <w:r w:rsidRPr="00D4309F">
      <w:rPr>
        <w:noProof/>
      </w:rPr>
      <mc:AlternateContent>
        <mc:Choice Requires="wps">
          <w:drawing>
            <wp:anchor distT="0" distB="0" distL="0" distR="0" simplePos="0" relativeHeight="251658266" behindDoc="1" locked="0" layoutInCell="1" allowOverlap="1" wp14:anchorId="720D7103" wp14:editId="08B57FB2">
              <wp:simplePos x="0" y="0"/>
              <wp:positionH relativeFrom="page">
                <wp:posOffset>701040</wp:posOffset>
              </wp:positionH>
              <wp:positionV relativeFrom="page">
                <wp:posOffset>763511</wp:posOffset>
              </wp:positionV>
              <wp:extent cx="6158865" cy="6350"/>
              <wp:effectExtent l="0" t="0" r="0" b="0"/>
              <wp:wrapNone/>
              <wp:docPr id="294" name="Graphic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8865" cy="6350"/>
                      </a:xfrm>
                      <a:custGeom>
                        <a:avLst/>
                        <a:gdLst/>
                        <a:ahLst/>
                        <a:cxnLst/>
                        <a:rect l="l" t="t" r="r" b="b"/>
                        <a:pathLst>
                          <a:path w="6158865" h="6350">
                            <a:moveTo>
                              <a:pt x="6158484" y="0"/>
                            </a:moveTo>
                            <a:lnTo>
                              <a:pt x="0" y="0"/>
                            </a:lnTo>
                            <a:lnTo>
                              <a:pt x="0" y="6108"/>
                            </a:lnTo>
                            <a:lnTo>
                              <a:pt x="6158484" y="6108"/>
                            </a:lnTo>
                            <a:lnTo>
                              <a:pt x="6158484"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65933B6D" id="Graphic 294" o:spid="_x0000_s1026" style="position:absolute;margin-left:55.2pt;margin-top:60.1pt;width:484.95pt;height:.5pt;z-index:-251658214;visibility:visible;mso-wrap-style:square;mso-wrap-distance-left:0;mso-wrap-distance-top:0;mso-wrap-distance-right:0;mso-wrap-distance-bottom:0;mso-position-horizontal:absolute;mso-position-horizontal-relative:page;mso-position-vertical:absolute;mso-position-vertical-relative:page;v-text-anchor:top" coordsize="615886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" path="m6158484,l,,,6108r6158484,l6158484,xe" fillcolor="#5f6269" stroked="f">
              <v:path arrowok="t"/>
              <w10:wrap anchorx="page" anchory="page"/>
            </v:shape>
          </w:pict>
        </mc:Fallback>
      </mc:AlternateContent>
    </w:r>
    <w:r w:rsidRPr="00D4309F">
      <w:rPr>
        <w:noProof/>
      </w:rPr>
      <mc:AlternateContent>
        <mc:Choice Requires="wps">
          <w:drawing>
            <wp:anchor distT="0" distB="0" distL="0" distR="0" simplePos="0" relativeHeight="251658267" behindDoc="1" locked="0" layoutInCell="1" allowOverlap="1" wp14:anchorId="35F09007" wp14:editId="68D23781">
              <wp:simplePos x="0" y="0"/>
              <wp:positionH relativeFrom="page">
                <wp:posOffset>707390</wp:posOffset>
              </wp:positionH>
              <wp:positionV relativeFrom="page">
                <wp:posOffset>568664</wp:posOffset>
              </wp:positionV>
              <wp:extent cx="659765" cy="196215"/>
              <wp:effectExtent l="0" t="0" r="0" b="0"/>
              <wp:wrapNone/>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4760BB90" w14:textId="77777777" w:rsidR="00725977" w:rsidRPr="00D4309F" w:rsidRDefault="00725977">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35F09007" id="_x0000_t202" coordsize="21600,21600" o:spt="202" path="m,l,21600r21600,l21600,xe">
              <v:stroke joinstyle="miter"/>
              <v:path gradientshapeok="t" o:connecttype="rect"/>
            </v:shapetype>
            <v:shape id="Textbox 295" o:spid="_x0000_s1075" type="#_x0000_t202" style="position:absolute;margin-left:55.7pt;margin-top:44.8pt;width:51.95pt;height:15.45pt;z-index:-25165821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" filled="f" stroked="f">
              <v:textbox inset="0,0,0,0">
                <w:txbxContent>
                  <w:p w14:paraId="4760BB90" w14:textId="77777777" w:rsidR="00725977" w:rsidRPr="00D4309F" w:rsidRDefault="00725977">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CE2AC1" w14:textId="778E028D" w:rsidR="00725977" w:rsidRPr="00D4309F" w:rsidRDefault="00884FE4">
    <w:pPr>
      <w:pStyle w:val="BodyText"/>
    </w:pPr>
    <w:r w:rsidRPr="00D4309F">
      <w:rPr>
        <w:noProof/>
      </w:rPr>
      <mc:AlternateContent>
        <mc:Choice Requires="wps">
          <w:drawing>
            <wp:anchor distT="0" distB="0" distL="0" distR="0" simplePos="0" relativeHeight="251658285" behindDoc="1" locked="0" layoutInCell="1" allowOverlap="1" wp14:anchorId="743153E4" wp14:editId="236C4D03">
              <wp:simplePos x="0" y="0"/>
              <wp:positionH relativeFrom="page">
                <wp:posOffset>707390</wp:posOffset>
              </wp:positionH>
              <wp:positionV relativeFrom="page">
                <wp:posOffset>568664</wp:posOffset>
              </wp:positionV>
              <wp:extent cx="659765" cy="196215"/>
              <wp:effectExtent l="0" t="0" r="0" b="0"/>
              <wp:wrapNone/>
              <wp:docPr id="1094598682"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5D0D4E01" w14:textId="77777777" w:rsidR="00884FE4" w:rsidRPr="00D4309F" w:rsidRDefault="00884FE4" w:rsidP="00884FE4">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743153E4" id="_x0000_t202" coordsize="21600,21600" o:spt="202" path="m,l,21600r21600,l21600,xe">
              <v:stroke joinstyle="miter"/>
              <v:path gradientshapeok="t" o:connecttype="rect"/>
            </v:shapetype>
            <v:shape id="Textbox 286" o:spid="_x0000_s1077" type="#_x0000_t202" style="position:absolute;margin-left:55.7pt;margin-top:44.8pt;width:51.95pt;height:15.45pt;z-index:-25165819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" filled="f" stroked="f">
              <v:textbox inset="0,0,0,0">
                <w:txbxContent>
                  <w:p w14:paraId="5D0D4E01" w14:textId="77777777" w:rsidR="00884FE4" w:rsidRPr="00D4309F" w:rsidRDefault="00884FE4" w:rsidP="00884FE4">
                    <w:pPr>
                      <w:spacing w:before="12"/>
                      <w:ind w:left="20"/>
                      <w:rPr>
                        <w:b/>
                        <w:sz w:val="24"/>
                      </w:rPr>
                    </w:pPr>
                    <w:r w:rsidRPr="00D4309F">
                      <w:rPr>
                        <w:b/>
                        <w:color w:val="5F6269"/>
                        <w:spacing w:val="-2"/>
                        <w:sz w:val="24"/>
                      </w:rPr>
                      <w:t>REPORT</w:t>
                    </w:r>
                  </w:p>
                </w:txbxContent>
              </v:textbox>
              <w10:wrap anchorx="page" anchory="page"/>
            </v:shape>
          </w:pict>
        </mc:Fallback>
      </mc:AlternateContent>
    </w:r>
    <w:r w:rsidR="00725977" w:rsidRPr="00D4309F">
      <w:rPr>
        <w:noProof/>
      </w:rPr>
      <mc:AlternateContent>
        <mc:Choice Requires="wps">
          <w:drawing>
            <wp:anchor distT="0" distB="0" distL="0" distR="0" simplePos="0" relativeHeight="251658268" behindDoc="1" locked="0" layoutInCell="1" allowOverlap="1" wp14:anchorId="661106C8" wp14:editId="363E176D">
              <wp:simplePos x="0" y="0"/>
              <wp:positionH relativeFrom="page">
                <wp:posOffset>701040</wp:posOffset>
              </wp:positionH>
              <wp:positionV relativeFrom="page">
                <wp:posOffset>763511</wp:posOffset>
              </wp:positionV>
              <wp:extent cx="6158865" cy="6350"/>
              <wp:effectExtent l="0" t="0" r="0" b="0"/>
              <wp:wrapNone/>
              <wp:docPr id="306" name="Graphic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8865" cy="6350"/>
                      </a:xfrm>
                      <a:custGeom>
                        <a:avLst/>
                        <a:gdLst/>
                        <a:ahLst/>
                        <a:cxnLst/>
                        <a:rect l="l" t="t" r="r" b="b"/>
                        <a:pathLst>
                          <a:path w="6158865" h="6350">
                            <a:moveTo>
                              <a:pt x="6158484" y="0"/>
                            </a:moveTo>
                            <a:lnTo>
                              <a:pt x="0" y="0"/>
                            </a:lnTo>
                            <a:lnTo>
                              <a:pt x="0" y="6108"/>
                            </a:lnTo>
                            <a:lnTo>
                              <a:pt x="6158484" y="6108"/>
                            </a:lnTo>
                            <a:lnTo>
                              <a:pt x="6158484"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4F83F1FB" id="Graphic 306" o:spid="_x0000_s1026" style="position:absolute;margin-left:55.2pt;margin-top:60.1pt;width:484.95pt;height:.5pt;z-index:-251658212;visibility:visible;mso-wrap-style:square;mso-wrap-distance-left:0;mso-wrap-distance-top:0;mso-wrap-distance-right:0;mso-wrap-distance-bottom:0;mso-position-horizontal:absolute;mso-position-horizontal-relative:page;mso-position-vertical:absolute;mso-position-vertical-relative:page;v-text-anchor:top" coordsize="615886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" path="m6158484,l,,,6108r6158484,l6158484,xe" fillcolor="#5f6269" stroked="f">
              <v:path arrowok="t"/>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68734A" w14:textId="77777777" w:rsidR="00725977" w:rsidRPr="00D4309F" w:rsidRDefault="00725977">
    <w:pPr>
      <w:pStyle w:val="BodyText"/>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ECB15D" w14:textId="77777777" w:rsidR="00D50A1B" w:rsidRPr="00D4309F" w:rsidRDefault="00D50A1B" w:rsidP="00D50A1B">
    <w:pPr>
      <w:pStyle w:val="BodyText"/>
    </w:pPr>
    <w:r w:rsidRPr="00D4309F">
      <w:rPr>
        <w:noProof/>
      </w:rPr>
      <mc:AlternateContent>
        <mc:Choice Requires="wps">
          <w:drawing>
            <wp:anchor distT="0" distB="0" distL="0" distR="0" simplePos="0" relativeHeight="251658309" behindDoc="1" locked="0" layoutInCell="1" allowOverlap="1" wp14:anchorId="095D2AB5" wp14:editId="563C2736">
              <wp:simplePos x="0" y="0"/>
              <wp:positionH relativeFrom="page">
                <wp:posOffset>707390</wp:posOffset>
              </wp:positionH>
              <wp:positionV relativeFrom="page">
                <wp:posOffset>568664</wp:posOffset>
              </wp:positionV>
              <wp:extent cx="659765" cy="196215"/>
              <wp:effectExtent l="0" t="0" r="0" b="0"/>
              <wp:wrapNone/>
              <wp:docPr id="1672753560"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29D1C12D" w14:textId="77777777" w:rsidR="00D50A1B" w:rsidRPr="00D4309F" w:rsidRDefault="00D50A1B" w:rsidP="00D50A1B">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095D2AB5" id="_x0000_t202" coordsize="21600,21600" o:spt="202" path="m,l,21600r21600,l21600,xe">
              <v:stroke joinstyle="miter"/>
              <v:path gradientshapeok="t" o:connecttype="rect"/>
            </v:shapetype>
            <v:shape id="_x0000_s1080" type="#_x0000_t202" style="position:absolute;margin-left:55.7pt;margin-top:44.8pt;width:51.95pt;height:15.45pt;z-index:-251658171;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" filled="f" stroked="f">
              <v:textbox inset="0,0,0,0">
                <w:txbxContent>
                  <w:p w14:paraId="29D1C12D" w14:textId="77777777" w:rsidR="00D50A1B" w:rsidRPr="00D4309F" w:rsidRDefault="00D50A1B" w:rsidP="00D50A1B">
                    <w:pPr>
                      <w:spacing w:before="12"/>
                      <w:ind w:left="20"/>
                      <w:rPr>
                        <w:b/>
                        <w:sz w:val="24"/>
                      </w:rPr>
                    </w:pPr>
                    <w:r w:rsidRPr="00D4309F">
                      <w:rPr>
                        <w:b/>
                        <w:color w:val="5F6269"/>
                        <w:spacing w:val="-2"/>
                        <w:sz w:val="24"/>
                      </w:rPr>
                      <w:t>REPORT</w:t>
                    </w:r>
                  </w:p>
                </w:txbxContent>
              </v:textbox>
              <w10:wrap anchorx="page" anchory="page"/>
            </v:shape>
          </w:pict>
        </mc:Fallback>
      </mc:AlternateContent>
    </w:r>
    <w:r w:rsidRPr="00D4309F">
      <w:rPr>
        <w:noProof/>
      </w:rPr>
      <mc:AlternateContent>
        <mc:Choice Requires="wps">
          <w:drawing>
            <wp:anchor distT="0" distB="0" distL="0" distR="0" simplePos="0" relativeHeight="251658308" behindDoc="1" locked="0" layoutInCell="1" allowOverlap="1" wp14:anchorId="5CB92B11" wp14:editId="46B60CF5">
              <wp:simplePos x="0" y="0"/>
              <wp:positionH relativeFrom="page">
                <wp:posOffset>701040</wp:posOffset>
              </wp:positionH>
              <wp:positionV relativeFrom="page">
                <wp:posOffset>763511</wp:posOffset>
              </wp:positionV>
              <wp:extent cx="6158865" cy="6350"/>
              <wp:effectExtent l="0" t="0" r="0" b="0"/>
              <wp:wrapNone/>
              <wp:docPr id="1313618607" name="Graphic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8865" cy="6350"/>
                      </a:xfrm>
                      <a:custGeom>
                        <a:avLst/>
                        <a:gdLst/>
                        <a:ahLst/>
                        <a:cxnLst/>
                        <a:rect l="l" t="t" r="r" b="b"/>
                        <a:pathLst>
                          <a:path w="6158865" h="6350">
                            <a:moveTo>
                              <a:pt x="6158484" y="0"/>
                            </a:moveTo>
                            <a:lnTo>
                              <a:pt x="0" y="0"/>
                            </a:lnTo>
                            <a:lnTo>
                              <a:pt x="0" y="6108"/>
                            </a:lnTo>
                            <a:lnTo>
                              <a:pt x="6158484" y="6108"/>
                            </a:lnTo>
                            <a:lnTo>
                              <a:pt x="6158484"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5FA760F9" id="Graphic 306" o:spid="_x0000_s1026" style="position:absolute;margin-left:55.2pt;margin-top:60.1pt;width:484.95pt;height:.5pt;z-index:-251658172;visibility:visible;mso-wrap-style:square;mso-wrap-distance-left:0;mso-wrap-distance-top:0;mso-wrap-distance-right:0;mso-wrap-distance-bottom:0;mso-position-horizontal:absolute;mso-position-horizontal-relative:page;mso-position-vertical:absolute;mso-position-vertical-relative:page;v-text-anchor:top" coordsize="615886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" path="m6158484,l,,,6108r6158484,l6158484,xe" fillcolor="#5f6269" stroked="f">
              <v:path arrowok="t"/>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06DD8C" w14:textId="77777777" w:rsidR="00725977" w:rsidRPr="00D4309F" w:rsidRDefault="00725977">
    <w:pPr>
      <w:pStyle w:val="BodyText"/>
    </w:pPr>
    <w:r w:rsidRPr="00D4309F">
      <w:rPr>
        <w:noProof/>
      </w:rPr>
      <mc:AlternateContent>
        <mc:Choice Requires="wps">
          <w:drawing>
            <wp:anchor distT="0" distB="0" distL="0" distR="0" simplePos="0" relativeHeight="251658269" behindDoc="1" locked="0" layoutInCell="1" allowOverlap="1" wp14:anchorId="3B48460E" wp14:editId="5EB46618">
              <wp:simplePos x="0" y="0"/>
              <wp:positionH relativeFrom="page">
                <wp:posOffset>701040</wp:posOffset>
              </wp:positionH>
              <wp:positionV relativeFrom="page">
                <wp:posOffset>763511</wp:posOffset>
              </wp:positionV>
              <wp:extent cx="6158865" cy="6350"/>
              <wp:effectExtent l="0" t="0" r="0" b="0"/>
              <wp:wrapNone/>
              <wp:docPr id="316" name="Graphic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8865" cy="6350"/>
                      </a:xfrm>
                      <a:custGeom>
                        <a:avLst/>
                        <a:gdLst/>
                        <a:ahLst/>
                        <a:cxnLst/>
                        <a:rect l="l" t="t" r="r" b="b"/>
                        <a:pathLst>
                          <a:path w="6158865" h="6350">
                            <a:moveTo>
                              <a:pt x="6158484" y="0"/>
                            </a:moveTo>
                            <a:lnTo>
                              <a:pt x="0" y="0"/>
                            </a:lnTo>
                            <a:lnTo>
                              <a:pt x="0" y="6108"/>
                            </a:lnTo>
                            <a:lnTo>
                              <a:pt x="6158484" y="6108"/>
                            </a:lnTo>
                            <a:lnTo>
                              <a:pt x="6158484"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18FD08CB" id="Graphic 316" o:spid="_x0000_s1026" style="position:absolute;margin-left:55.2pt;margin-top:60.1pt;width:484.95pt;height:.5pt;z-index:-251658211;visibility:visible;mso-wrap-style:square;mso-wrap-distance-left:0;mso-wrap-distance-top:0;mso-wrap-distance-right:0;mso-wrap-distance-bottom:0;mso-position-horizontal:absolute;mso-position-horizontal-relative:page;mso-position-vertical:absolute;mso-position-vertical-relative:page;v-text-anchor:top" coordsize="615886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" path="m6158484,l,,,6108r6158484,l6158484,xe" fillcolor="#5f6269" stroked="f">
              <v:path arrowok="t"/>
              <w10:wrap anchorx="page" anchory="page"/>
            </v:shape>
          </w:pict>
        </mc:Fallback>
      </mc:AlternateContent>
    </w:r>
    <w:r w:rsidRPr="00D4309F">
      <w:rPr>
        <w:noProof/>
      </w:rPr>
      <mc:AlternateContent>
        <mc:Choice Requires="wps">
          <w:drawing>
            <wp:anchor distT="0" distB="0" distL="0" distR="0" simplePos="0" relativeHeight="251658270" behindDoc="1" locked="0" layoutInCell="1" allowOverlap="1" wp14:anchorId="49BD8CD9" wp14:editId="07D12A6A">
              <wp:simplePos x="0" y="0"/>
              <wp:positionH relativeFrom="page">
                <wp:posOffset>707390</wp:posOffset>
              </wp:positionH>
              <wp:positionV relativeFrom="page">
                <wp:posOffset>568664</wp:posOffset>
              </wp:positionV>
              <wp:extent cx="659765" cy="196215"/>
              <wp:effectExtent l="0" t="0" r="0" b="0"/>
              <wp:wrapNone/>
              <wp:docPr id="317" name="Text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4D7CA9E1" w14:textId="77777777" w:rsidR="00725977" w:rsidRPr="00D4309F" w:rsidRDefault="00725977">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49BD8CD9" id="_x0000_t202" coordsize="21600,21600" o:spt="202" path="m,l,21600r21600,l21600,xe">
              <v:stroke joinstyle="miter"/>
              <v:path gradientshapeok="t" o:connecttype="rect"/>
            </v:shapetype>
            <v:shape id="Textbox 317" o:spid="_x0000_s1082" type="#_x0000_t202" style="position:absolute;margin-left:55.7pt;margin-top:44.8pt;width:51.95pt;height:15.45pt;z-index:-25165821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" filled="f" stroked="f">
              <v:textbox inset="0,0,0,0">
                <w:txbxContent>
                  <w:p w14:paraId="4D7CA9E1" w14:textId="77777777" w:rsidR="00725977" w:rsidRPr="00D4309F" w:rsidRDefault="00725977">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B82B84" w14:textId="77777777" w:rsidR="00FA4312" w:rsidRPr="00005455" w:rsidRDefault="00FA4312" w:rsidP="00FA4312">
    <w:pPr>
      <w:pStyle w:val="BodyText"/>
    </w:pPr>
    <w:r w:rsidRPr="00D4309F">
      <w:rPr>
        <w:noProof/>
      </w:rPr>
      <mc:AlternateContent>
        <mc:Choice Requires="wps">
          <w:drawing>
            <wp:anchor distT="0" distB="0" distL="0" distR="0" simplePos="0" relativeHeight="251658302" behindDoc="1" locked="0" layoutInCell="1" allowOverlap="1" wp14:anchorId="786A2CA2" wp14:editId="1C3F4036">
              <wp:simplePos x="0" y="0"/>
              <wp:positionH relativeFrom="page">
                <wp:posOffset>701040</wp:posOffset>
              </wp:positionH>
              <wp:positionV relativeFrom="page">
                <wp:posOffset>763524</wp:posOffset>
              </wp:positionV>
              <wp:extent cx="9291320" cy="6350"/>
              <wp:effectExtent l="0" t="0" r="0" b="0"/>
              <wp:wrapNone/>
              <wp:docPr id="643599353"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1320" cy="6350"/>
                      </a:xfrm>
                      <a:custGeom>
                        <a:avLst/>
                        <a:gdLst/>
                        <a:ahLst/>
                        <a:cxnLst/>
                        <a:rect l="l" t="t" r="r" b="b"/>
                        <a:pathLst>
                          <a:path w="9291320" h="6350">
                            <a:moveTo>
                              <a:pt x="9291066" y="0"/>
                            </a:moveTo>
                            <a:lnTo>
                              <a:pt x="0" y="0"/>
                            </a:lnTo>
                            <a:lnTo>
                              <a:pt x="0" y="6096"/>
                            </a:lnTo>
                            <a:lnTo>
                              <a:pt x="9291066" y="6096"/>
                            </a:lnTo>
                            <a:lnTo>
                              <a:pt x="9291066"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339AA93D" id="Graphic 125" o:spid="_x0000_s1026" style="position:absolute;margin-left:55.2pt;margin-top:60.1pt;width:731.6pt;height:.5pt;z-index:-251658178;visibility:visible;mso-wrap-style:square;mso-wrap-distance-left:0;mso-wrap-distance-top:0;mso-wrap-distance-right:0;mso-wrap-distance-bottom:0;mso-position-horizontal:absolute;mso-position-horizontal-relative:page;mso-position-vertical:absolute;mso-position-vertical-relative:page;v-text-anchor:top" coordsize="92913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" path="m9291066,l,,,6096r9291066,l9291066,xe" fillcolor="#5f6269" stroked="f">
              <v:path arrowok="t"/>
              <w10:wrap anchorx="page" anchory="page"/>
            </v:shape>
          </w:pict>
        </mc:Fallback>
      </mc:AlternateContent>
    </w:r>
    <w:r w:rsidRPr="00D4309F">
      <w:rPr>
        <w:noProof/>
      </w:rPr>
      <mc:AlternateContent>
        <mc:Choice Requires="wps">
          <w:drawing>
            <wp:anchor distT="0" distB="0" distL="0" distR="0" simplePos="0" relativeHeight="251658303" behindDoc="1" locked="0" layoutInCell="1" allowOverlap="1" wp14:anchorId="418F06BF" wp14:editId="2702B0E5">
              <wp:simplePos x="0" y="0"/>
              <wp:positionH relativeFrom="page">
                <wp:posOffset>707390</wp:posOffset>
              </wp:positionH>
              <wp:positionV relativeFrom="page">
                <wp:posOffset>568664</wp:posOffset>
              </wp:positionV>
              <wp:extent cx="659765" cy="196215"/>
              <wp:effectExtent l="0" t="0" r="0" b="0"/>
              <wp:wrapNone/>
              <wp:docPr id="482196933"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3C4DEE35" w14:textId="77777777" w:rsidR="00FA4312" w:rsidRPr="00D4309F" w:rsidRDefault="00FA4312" w:rsidP="00FA4312">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418F06BF" id="_x0000_t202" coordsize="21600,21600" o:spt="202" path="m,l,21600r21600,l21600,xe">
              <v:stroke joinstyle="miter"/>
              <v:path gradientshapeok="t" o:connecttype="rect"/>
            </v:shapetype>
            <v:shape id="_x0000_s1084" type="#_x0000_t202" style="position:absolute;margin-left:55.7pt;margin-top:44.8pt;width:51.95pt;height:15.45pt;z-index:-25165817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" filled="f" stroked="f">
              <v:textbox inset="0,0,0,0">
                <w:txbxContent>
                  <w:p w14:paraId="3C4DEE35" w14:textId="77777777" w:rsidR="00FA4312" w:rsidRPr="00D4309F" w:rsidRDefault="00FA4312" w:rsidP="00FA4312">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838051" w14:textId="77777777" w:rsidR="00725977" w:rsidRPr="00D4309F" w:rsidRDefault="00725977">
    <w:pPr>
      <w:pStyle w:val="BodyText"/>
    </w:pPr>
    <w:r w:rsidRPr="00D4309F">
      <w:rPr>
        <w:noProof/>
      </w:rPr>
      <mc:AlternateContent>
        <mc:Choice Requires="wps">
          <w:drawing>
            <wp:anchor distT="0" distB="0" distL="0" distR="0" simplePos="0" relativeHeight="251658271" behindDoc="1" locked="0" layoutInCell="1" allowOverlap="1" wp14:anchorId="5C9F5DC2" wp14:editId="68DCC93F">
              <wp:simplePos x="0" y="0"/>
              <wp:positionH relativeFrom="page">
                <wp:posOffset>701040</wp:posOffset>
              </wp:positionH>
              <wp:positionV relativeFrom="page">
                <wp:posOffset>763511</wp:posOffset>
              </wp:positionV>
              <wp:extent cx="6158865" cy="6350"/>
              <wp:effectExtent l="0" t="0" r="0" b="0"/>
              <wp:wrapNone/>
              <wp:docPr id="330" name="Graphic 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8865" cy="6350"/>
                      </a:xfrm>
                      <a:custGeom>
                        <a:avLst/>
                        <a:gdLst/>
                        <a:ahLst/>
                        <a:cxnLst/>
                        <a:rect l="l" t="t" r="r" b="b"/>
                        <a:pathLst>
                          <a:path w="6158865" h="6350">
                            <a:moveTo>
                              <a:pt x="6158484" y="0"/>
                            </a:moveTo>
                            <a:lnTo>
                              <a:pt x="0" y="0"/>
                            </a:lnTo>
                            <a:lnTo>
                              <a:pt x="0" y="6108"/>
                            </a:lnTo>
                            <a:lnTo>
                              <a:pt x="6158484" y="6108"/>
                            </a:lnTo>
                            <a:lnTo>
                              <a:pt x="6158484"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163271C2" id="Graphic 330" o:spid="_x0000_s1026" style="position:absolute;margin-left:55.2pt;margin-top:60.1pt;width:484.95pt;height:.5pt;z-index:-251658209;visibility:visible;mso-wrap-style:square;mso-wrap-distance-left:0;mso-wrap-distance-top:0;mso-wrap-distance-right:0;mso-wrap-distance-bottom:0;mso-position-horizontal:absolute;mso-position-horizontal-relative:page;mso-position-vertical:absolute;mso-position-vertical-relative:page;v-text-anchor:top" coordsize="615886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" path="m6158484,l,,,6108r6158484,l6158484,xe" fillcolor="#5f6269" stroked="f">
              <v:path arrowok="t"/>
              <w10:wrap anchorx="page" anchory="page"/>
            </v:shape>
          </w:pict>
        </mc:Fallback>
      </mc:AlternateContent>
    </w:r>
    <w:r w:rsidRPr="00D4309F">
      <w:rPr>
        <w:noProof/>
      </w:rPr>
      <mc:AlternateContent>
        <mc:Choice Requires="wps">
          <w:drawing>
            <wp:anchor distT="0" distB="0" distL="0" distR="0" simplePos="0" relativeHeight="251658272" behindDoc="1" locked="0" layoutInCell="1" allowOverlap="1" wp14:anchorId="792153B2" wp14:editId="0E94BD64">
              <wp:simplePos x="0" y="0"/>
              <wp:positionH relativeFrom="page">
                <wp:posOffset>707390</wp:posOffset>
              </wp:positionH>
              <wp:positionV relativeFrom="page">
                <wp:posOffset>568664</wp:posOffset>
              </wp:positionV>
              <wp:extent cx="659765" cy="196215"/>
              <wp:effectExtent l="0" t="0" r="0" b="0"/>
              <wp:wrapNone/>
              <wp:docPr id="331" name="Text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42DC395F" w14:textId="77777777" w:rsidR="00725977" w:rsidRPr="00D4309F" w:rsidRDefault="00725977">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792153B2" id="_x0000_t202" coordsize="21600,21600" o:spt="202" path="m,l,21600r21600,l21600,xe">
              <v:stroke joinstyle="miter"/>
              <v:path gradientshapeok="t" o:connecttype="rect"/>
            </v:shapetype>
            <v:shape id="Textbox 331" o:spid="_x0000_s1086" type="#_x0000_t202" style="position:absolute;margin-left:55.7pt;margin-top:44.8pt;width:51.95pt;height:15.45pt;z-index:-251658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" filled="f" stroked="f">
              <v:textbox inset="0,0,0,0">
                <w:txbxContent>
                  <w:p w14:paraId="42DC395F" w14:textId="77777777" w:rsidR="00725977" w:rsidRPr="00D4309F" w:rsidRDefault="00725977">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2743C0" w14:textId="4971C055" w:rsidR="009D1FCB" w:rsidRPr="00D4309F" w:rsidRDefault="00D4309F" w:rsidP="00EC6147">
    <w:pPr>
      <w:pStyle w:val="Header"/>
    </w:pPr>
    <w:r w:rsidRPr="00D4309F">
      <w:rPr>
        <w:noProof/>
      </w:rPr>
      <w:drawing>
        <wp:anchor distT="0" distB="0" distL="114300" distR="114300" simplePos="0" relativeHeight="251658283" behindDoc="0" locked="0" layoutInCell="1" allowOverlap="1" wp14:anchorId="2BEC4689" wp14:editId="423A4DD4">
          <wp:simplePos x="0" y="0"/>
          <wp:positionH relativeFrom="rightMargin">
            <wp:posOffset>-1259840</wp:posOffset>
          </wp:positionH>
          <wp:positionV relativeFrom="page">
            <wp:posOffset>719455</wp:posOffset>
          </wp:positionV>
          <wp:extent cx="2087880" cy="452755"/>
          <wp:effectExtent l="0" t="0" r="7620" b="4445"/>
          <wp:wrapNone/>
          <wp:docPr id="2147109545" name="LogoHide1"/>
          <wp:cNvGraphicFramePr/>
          <a:graphic xmlns:a="http://schemas.openxmlformats.org/drawingml/2006/main">
            <a:graphicData uri="http://schemas.openxmlformats.org/drawingml/2006/picture">
              <pic:pic xmlns:pic="http://schemas.openxmlformats.org/drawingml/2006/picture">
                <pic:nvPicPr>
                  <pic:cNvPr id="2147109545" name="LogoHide1"/>
                  <pic:cNvPicPr/>
                </pic:nvPicPr>
                <pic:blipFill>
                  <a:blip r:embed="rId1"/>
                  <a:stretch>
                    <a:fillRect/>
                  </a:stretch>
                </pic:blipFill>
                <pic:spPr>
                  <a:xfrm>
                    <a:off x="0" y="0"/>
                    <a:ext cx="2087880" cy="452755"/>
                  </a:xfrm>
                  <a:prstGeom prst="rect">
                    <a:avLst/>
                  </a:prstGeom>
                </pic:spPr>
              </pic:pic>
            </a:graphicData>
          </a:graphic>
          <wp14:sizeRelH relativeFrom="margin">
            <wp14:pctWidth>0</wp14:pctWidth>
          </wp14:sizeRelH>
          <wp14:sizeRelV relativeFrom="margin">
            <wp14:pctHeight>0</wp14:pctHeight>
          </wp14:sizeRelV>
        </wp:anchor>
      </w:drawing>
    </w:r>
    <w:r w:rsidR="009D1FCB" w:rsidRPr="00D4309F">
      <w:rPr>
        <w:noProof/>
      </w:rPr>
      <mc:AlternateContent>
        <mc:Choice Requires="wps">
          <w:drawing>
            <wp:anchor distT="0" distB="0" distL="114300" distR="114300" simplePos="0" relativeHeight="251658242" behindDoc="0" locked="0" layoutInCell="1" allowOverlap="1" wp14:anchorId="1406AA0B" wp14:editId="5EB6189F">
              <wp:simplePos x="0" y="0"/>
              <wp:positionH relativeFrom="page">
                <wp:posOffset>5869305</wp:posOffset>
              </wp:positionH>
              <wp:positionV relativeFrom="page">
                <wp:posOffset>1073764</wp:posOffset>
              </wp:positionV>
              <wp:extent cx="1512000" cy="2437200"/>
              <wp:effectExtent l="0" t="0" r="12065" b="1270"/>
              <wp:wrapNone/>
              <wp:docPr id="20" name="Address"/>
              <wp:cNvGraphicFramePr/>
              <a:graphic xmlns:a="http://schemas.openxmlformats.org/drawingml/2006/main">
                <a:graphicData uri="http://schemas.microsoft.com/office/word/2010/wordprocessingShape">
                  <wps:wsp>
                    <wps:cNvSpPr txBox="1"/>
                    <wps:spPr>
                      <a:xfrm>
                        <a:off x="0" y="0"/>
                        <a:ext cx="1512000" cy="243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Blank"/>
                            <w:tblW w:w="0" w:type="auto"/>
                            <w:tblLayout w:type="fixed"/>
                            <w:tblLook w:val="04A0" w:firstRow="1" w:lastRow="0" w:firstColumn="1" w:lastColumn="0" w:noHBand="0" w:noVBand="1"/>
                          </w:tblPr>
                          <w:tblGrid>
                            <w:gridCol w:w="2352"/>
                          </w:tblGrid>
                          <w:tr w:rsidR="009D1FCB" w:rsidRPr="00D4309F" w14:paraId="7E0E907C" w14:textId="77777777" w:rsidTr="00EC6147">
                            <w:trPr>
                              <w:trHeight w:val="3298"/>
                            </w:trPr>
                            <w:tc>
                              <w:tcPr>
                                <w:tcW w:w="2352" w:type="dxa"/>
                              </w:tcPr>
                              <w:sdt>
                                <w:sdtPr>
                                  <w:alias w:val="{{UserProfile.Office.Office.OfficeName}}"/>
                                  <w:tag w:val="{&quot;templafy&quot;:{&quot;id&quot;:&quot;b65bc69e-ec87-4d59-9575-c734dd91ea33&quot;}}"/>
                                  <w:id w:val="832966501"/>
                                  <w:lock w:val="contentLocked"/>
                                </w:sdtPr>
                                <w:sdtEndPr/>
                                <w:sdtContent>
                                  <w:p w14:paraId="0C0940A9" w14:textId="4FE6BFF7" w:rsidR="00F308D8" w:rsidRPr="00D4309F" w:rsidRDefault="003423D3">
                                    <w:pPr>
                                      <w:pStyle w:val="Template-Virksomhedsnavn"/>
                                    </w:pPr>
                                    <w:r w:rsidRPr="00D4309F">
                                      <w:t>Brisbane</w:t>
                                    </w:r>
                                  </w:p>
                                </w:sdtContent>
                              </w:sdt>
                              <w:sdt>
                                <w:sdtPr>
                                  <w:alias w:val="{{UserProfile.Office.Office.FullAddress}}"/>
                                  <w:tag w:val="{&quot;templafy&quot;:{&quot;id&quot;:&quot;3066efea-e43c-4b82-8650-cb157c0dc6e6&quot;}}"/>
                                  <w:id w:val="-684433349"/>
                                  <w:lock w:val="contentLocked"/>
                                </w:sdtPr>
                                <w:sdtEndPr/>
                                <w:sdtContent>
                                  <w:p w14:paraId="246673A6" w14:textId="77777777" w:rsidR="00D4309F" w:rsidRPr="00D4309F" w:rsidRDefault="00D4309F">
                                    <w:pPr>
                                      <w:pStyle w:val="Template-Adresse"/>
                                    </w:pPr>
                                    <w:r w:rsidRPr="00D4309F">
                                      <w:t>Level 8, 31 Duncan Street</w:t>
                                    </w:r>
                                  </w:p>
                                  <w:p w14:paraId="2365D632" w14:textId="096F6CFE" w:rsidR="00F308D8" w:rsidRPr="00D4309F" w:rsidRDefault="00D4309F">
                                    <w:pPr>
                                      <w:pStyle w:val="Template-Adresse"/>
                                    </w:pPr>
                                    <w:r w:rsidRPr="00D4309F">
                                      <w:t>Fortitude Valley QLD 4006</w:t>
                                    </w:r>
                                  </w:p>
                                </w:sdtContent>
                              </w:sdt>
                              <w:p w14:paraId="14D704B3" w14:textId="77777777" w:rsidR="009D1FCB" w:rsidRPr="00D4309F" w:rsidRDefault="009D1FCB" w:rsidP="00244D70">
                                <w:pPr>
                                  <w:pStyle w:val="Template-Adresse"/>
                                </w:pPr>
                              </w:p>
                              <w:sdt>
                                <w:sdtPr>
                                  <w:alias w:val="ccPhoneGroup"/>
                                  <w:tag w:val="{&quot;templafy&quot;:{&quot;id&quot;:&quot;b4587d9a-9857-4f81-ab13-8f08b32e4317&quot;}}"/>
                                  <w:id w:val="509646498"/>
                                  <w:lock w:val="contentLocked"/>
                                </w:sdtPr>
                                <w:sdtEndPr/>
                                <w:sdtContent>
                                  <w:p w14:paraId="17DBF3EA" w14:textId="5E956D4D" w:rsidR="009D1FCB" w:rsidRPr="00D4309F" w:rsidRDefault="009A5848" w:rsidP="00EC6147">
                                    <w:pPr>
                                      <w:pStyle w:val="Template-Adresse"/>
                                    </w:pPr>
                                    <w:sdt>
                                      <w:sdtPr>
                                        <w:alias w:val="{{Translate(&quot;Phone&quot;)}}"/>
                                        <w:tag w:val="{&quot;templafy&quot;:{&quot;id&quot;:&quot;11db34b1-9822-4fb3-812c-0ec68e03adf9&quot;}}"/>
                                        <w:id w:val="585887679"/>
                                      </w:sdtPr>
                                      <w:sdtEndPr/>
                                      <w:sdtContent>
                                        <w:r w:rsidR="00FC392F" w:rsidRPr="00D4309F">
                                          <w:t>Phone</w:t>
                                        </w:r>
                                      </w:sdtContent>
                                    </w:sdt>
                                    <w:r w:rsidR="009D1FCB" w:rsidRPr="00D4309F">
                                      <w:tab/>
                                    </w:r>
                                    <w:sdt>
                                      <w:sdtPr>
                                        <w:alias w:val="{{UserProfile.Office.Office.OfficePhone}}"/>
                                        <w:tag w:val="{&quot;templafy&quot;:{&quot;id&quot;:&quot;37b280e1-21d2-47d8-8a9d-c1cc640f1933&quot;}}"/>
                                        <w:id w:val="-660155561"/>
                                      </w:sdtPr>
                                      <w:sdtEndPr/>
                                      <w:sdtContent>
                                        <w:r w:rsidR="003423D3" w:rsidRPr="00D4309F">
                                          <w:t>+61 7 3539 9500</w:t>
                                        </w:r>
                                      </w:sdtContent>
                                    </w:sdt>
                                  </w:p>
                                </w:sdtContent>
                              </w:sdt>
                              <w:p w14:paraId="6C2903EA" w14:textId="77777777" w:rsidR="009D1FCB" w:rsidRPr="00D4309F" w:rsidRDefault="009D1FCB" w:rsidP="00EC6147">
                                <w:pPr>
                                  <w:pStyle w:val="Template-Adresse"/>
                                  <w:rPr>
                                    <w:noProof w:val="0"/>
                                    <w:sz w:val="18"/>
                                  </w:rPr>
                                </w:pPr>
                              </w:p>
                              <w:sdt>
                                <w:sdtPr>
                                  <w:rPr>
                                    <w:vanish/>
                                  </w:rPr>
                                  <w:alias w:val="ccEmailGroup"/>
                                  <w:tag w:val="{&quot;templafy&quot;:{&quot;id&quot;:&quot;7d29c534-7a47-4224-9096-ee48e07ca467&quot;}}"/>
                                  <w:id w:val="2091661747"/>
                                  <w:lock w:val="contentLocked"/>
                                </w:sdtPr>
                                <w:sdtEndPr/>
                                <w:sdtContent>
                                  <w:p w14:paraId="7C8812C7" w14:textId="77777777" w:rsidR="009D1FCB" w:rsidRPr="00D4309F" w:rsidRDefault="009A5848" w:rsidP="00EC6147">
                                    <w:pPr>
                                      <w:pStyle w:val="Template-Adresse"/>
                                      <w:rPr>
                                        <w:noProof w:val="0"/>
                                        <w:vanish/>
                                        <w:sz w:val="18"/>
                                      </w:rPr>
                                    </w:pPr>
                                    <w:sdt>
                                      <w:sdtPr>
                                        <w:rPr>
                                          <w:vanish/>
                                        </w:rPr>
                                        <w:alias w:val="{{Translate(&quot;Email&quot;)}}"/>
                                        <w:tag w:val="{&quot;templafy&quot;:{&quot;id&quot;:&quot;9062c542-ff23-4957-81ad-881d72b1da37&quot;}}"/>
                                        <w:id w:val="-644899142"/>
                                      </w:sdtPr>
                                      <w:sdtEndPr/>
                                      <w:sdtContent>
                                        <w:r w:rsidR="00FC392F" w:rsidRPr="00D4309F">
                                          <w:rPr>
                                            <w:vanish/>
                                          </w:rPr>
                                          <w:t>Email</w:t>
                                        </w:r>
                                      </w:sdtContent>
                                    </w:sdt>
                                    <w:r w:rsidR="009D1FCB" w:rsidRPr="00D4309F">
                                      <w:rPr>
                                        <w:vanish/>
                                      </w:rPr>
                                      <w:tab/>
                                    </w:r>
                                    <w:sdt>
                                      <w:sdtPr>
                                        <w:rPr>
                                          <w:vanish/>
                                        </w:rPr>
                                        <w:alias w:val="{{UserProfile.Office.Office.OfficeEmail}}"/>
                                        <w:tag w:val="{&quot;templafy&quot;:{&quot;id&quot;:&quot;6658e584-ef03-4623-94a5-07359a774a2a&quot;}}"/>
                                        <w:id w:val="-1678567520"/>
                                      </w:sdtPr>
                                      <w:sdtEndPr/>
                                      <w:sdtContent>
                                        <w:r w:rsidR="00FC392F" w:rsidRPr="00D4309F">
                                          <w:rPr>
                                            <w:vanish/>
                                          </w:rPr>
                                          <w:t>​</w:t>
                                        </w:r>
                                      </w:sdtContent>
                                    </w:sdt>
                                  </w:p>
                                </w:sdtContent>
                              </w:sdt>
                              <w:p w14:paraId="0B45565B" w14:textId="77777777" w:rsidR="009D1FCB" w:rsidRPr="00D4309F" w:rsidRDefault="009D1FCB" w:rsidP="00182651">
                                <w:pPr>
                                  <w:pStyle w:val="Template-Adresse"/>
                                </w:pPr>
                                <w:r w:rsidRPr="00D4309F">
                                  <w:t xml:space="preserve"> </w:t>
                                </w:r>
                              </w:p>
                            </w:tc>
                          </w:tr>
                          <w:tr w:rsidR="009D1FCB" w:rsidRPr="00D4309F" w14:paraId="4F4CFB58" w14:textId="77777777" w:rsidTr="00EC6147">
                            <w:trPr>
                              <w:trHeight w:val="558"/>
                            </w:trPr>
                            <w:tc>
                              <w:tcPr>
                                <w:tcW w:w="2352" w:type="dxa"/>
                              </w:tcPr>
                              <w:sdt>
                                <w:sdtPr>
                                  <w:alias w:val="{{FormatDateTime(Form.Date, Translate(&quot;Format_GeneralDate&quot;), DocumentLanguage)}}"/>
                                  <w:tag w:val="{&quot;templafy&quot;:{&quot;id&quot;:&quot;a26dd993-11f7-40f9-aa83-d6c7c19e5304&quot;}}"/>
                                  <w:id w:val="-1305535288"/>
                                </w:sdtPr>
                                <w:sdtEndPr/>
                                <w:sdtContent>
                                  <w:p w14:paraId="0FC9E46E" w14:textId="77777777" w:rsidR="00F308D8" w:rsidRPr="00D4309F" w:rsidRDefault="00FC392F">
                                    <w:pPr>
                                      <w:pStyle w:val="Template-Dato"/>
                                    </w:pPr>
                                    <w:r w:rsidRPr="00D4309F">
                                      <w:t>05 December 2025</w:t>
                                    </w:r>
                                  </w:p>
                                </w:sdtContent>
                              </w:sdt>
                            </w:tc>
                          </w:tr>
                        </w:tbl>
                        <w:p w14:paraId="57533F53" w14:textId="77777777" w:rsidR="009D1FCB" w:rsidRPr="00D4309F" w:rsidRDefault="009D1FCB" w:rsidP="00182651">
                          <w:pPr>
                            <w:pStyle w:val="Template-Adresse"/>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06AA0B" id="_x0000_t202" coordsize="21600,21600" o:spt="202" path="m,l,21600r21600,l21600,xe">
              <v:stroke joinstyle="miter"/>
              <v:path gradientshapeok="t" o:connecttype="rect"/>
            </v:shapetype>
            <v:shape id="Address" o:spid="_x0000_s1034" type="#_x0000_t202" style="position:absolute;margin-left:462.15pt;margin-top:84.55pt;width:119.05pt;height:191.9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" filled="f" stroked="f" strokeweight=".5pt">
              <v:textbox inset="0,0,0,0">
                <w:txbxContent>
                  <w:tbl>
                    <w:tblPr>
                      <w:tblStyle w:val="Blank"/>
                      <w:tblW w:w="0" w:type="auto"/>
                      <w:tblLayout w:type="fixed"/>
                      <w:tblLook w:val="04A0" w:firstRow="1" w:lastRow="0" w:firstColumn="1" w:lastColumn="0" w:noHBand="0" w:noVBand="1"/>
                    </w:tblPr>
                    <w:tblGrid>
                      <w:gridCol w:w="2352"/>
                    </w:tblGrid>
                    <w:tr w:rsidR="009D1FCB" w:rsidRPr="00D4309F" w14:paraId="7E0E907C" w14:textId="77777777" w:rsidTr="00EC6147">
                      <w:trPr>
                        <w:trHeight w:val="3298"/>
                      </w:trPr>
                      <w:tc>
                        <w:tcPr>
                          <w:tcW w:w="2352" w:type="dxa"/>
                        </w:tcPr>
                        <w:sdt>
                          <w:sdtPr>
                            <w:alias w:val="{{UserProfile.Office.Office.OfficeName}}"/>
                            <w:tag w:val="{&quot;templafy&quot;:{&quot;id&quot;:&quot;b65bc69e-ec87-4d59-9575-c734dd91ea33&quot;}}"/>
                            <w:id w:val="832966501"/>
                            <w:lock w:val="contentLocked"/>
                          </w:sdtPr>
                          <w:sdtEndPr/>
                          <w:sdtContent>
                            <w:p w14:paraId="0C0940A9" w14:textId="4FE6BFF7" w:rsidR="00F308D8" w:rsidRPr="00D4309F" w:rsidRDefault="003423D3">
                              <w:pPr>
                                <w:pStyle w:val="Template-Virksomhedsnavn"/>
                              </w:pPr>
                              <w:r w:rsidRPr="00D4309F">
                                <w:t>Brisbane</w:t>
                              </w:r>
                            </w:p>
                          </w:sdtContent>
                        </w:sdt>
                        <w:sdt>
                          <w:sdtPr>
                            <w:alias w:val="{{UserProfile.Office.Office.FullAddress}}"/>
                            <w:tag w:val="{&quot;templafy&quot;:{&quot;id&quot;:&quot;3066efea-e43c-4b82-8650-cb157c0dc6e6&quot;}}"/>
                            <w:id w:val="-684433349"/>
                            <w:lock w:val="contentLocked"/>
                          </w:sdtPr>
                          <w:sdtEndPr/>
                          <w:sdtContent>
                            <w:p w14:paraId="246673A6" w14:textId="77777777" w:rsidR="00D4309F" w:rsidRPr="00D4309F" w:rsidRDefault="00D4309F">
                              <w:pPr>
                                <w:pStyle w:val="Template-Adresse"/>
                              </w:pPr>
                              <w:r w:rsidRPr="00D4309F">
                                <w:t>Level 8, 31 Duncan Street</w:t>
                              </w:r>
                            </w:p>
                            <w:p w14:paraId="2365D632" w14:textId="096F6CFE" w:rsidR="00F308D8" w:rsidRPr="00D4309F" w:rsidRDefault="00D4309F">
                              <w:pPr>
                                <w:pStyle w:val="Template-Adresse"/>
                              </w:pPr>
                              <w:r w:rsidRPr="00D4309F">
                                <w:t>Fortitude Valley QLD 4006</w:t>
                              </w:r>
                            </w:p>
                          </w:sdtContent>
                        </w:sdt>
                        <w:p w14:paraId="14D704B3" w14:textId="77777777" w:rsidR="009D1FCB" w:rsidRPr="00D4309F" w:rsidRDefault="009D1FCB" w:rsidP="00244D70">
                          <w:pPr>
                            <w:pStyle w:val="Template-Adresse"/>
                          </w:pPr>
                        </w:p>
                        <w:sdt>
                          <w:sdtPr>
                            <w:alias w:val="ccPhoneGroup"/>
                            <w:tag w:val="{&quot;templafy&quot;:{&quot;id&quot;:&quot;b4587d9a-9857-4f81-ab13-8f08b32e4317&quot;}}"/>
                            <w:id w:val="509646498"/>
                            <w:lock w:val="contentLocked"/>
                          </w:sdtPr>
                          <w:sdtEndPr/>
                          <w:sdtContent>
                            <w:p w14:paraId="17DBF3EA" w14:textId="5E956D4D" w:rsidR="009D1FCB" w:rsidRPr="00D4309F" w:rsidRDefault="009A5848" w:rsidP="00EC6147">
                              <w:pPr>
                                <w:pStyle w:val="Template-Adresse"/>
                              </w:pPr>
                              <w:sdt>
                                <w:sdtPr>
                                  <w:alias w:val="{{Translate(&quot;Phone&quot;)}}"/>
                                  <w:tag w:val="{&quot;templafy&quot;:{&quot;id&quot;:&quot;11db34b1-9822-4fb3-812c-0ec68e03adf9&quot;}}"/>
                                  <w:id w:val="585887679"/>
                                </w:sdtPr>
                                <w:sdtEndPr/>
                                <w:sdtContent>
                                  <w:r w:rsidR="00FC392F" w:rsidRPr="00D4309F">
                                    <w:t>Phone</w:t>
                                  </w:r>
                                </w:sdtContent>
                              </w:sdt>
                              <w:r w:rsidR="009D1FCB" w:rsidRPr="00D4309F">
                                <w:tab/>
                              </w:r>
                              <w:sdt>
                                <w:sdtPr>
                                  <w:alias w:val="{{UserProfile.Office.Office.OfficePhone}}"/>
                                  <w:tag w:val="{&quot;templafy&quot;:{&quot;id&quot;:&quot;37b280e1-21d2-47d8-8a9d-c1cc640f1933&quot;}}"/>
                                  <w:id w:val="-660155561"/>
                                </w:sdtPr>
                                <w:sdtEndPr/>
                                <w:sdtContent>
                                  <w:r w:rsidR="003423D3" w:rsidRPr="00D4309F">
                                    <w:t>+61 7 3539 9500</w:t>
                                  </w:r>
                                </w:sdtContent>
                              </w:sdt>
                            </w:p>
                          </w:sdtContent>
                        </w:sdt>
                        <w:p w14:paraId="6C2903EA" w14:textId="77777777" w:rsidR="009D1FCB" w:rsidRPr="00D4309F" w:rsidRDefault="009D1FCB" w:rsidP="00EC6147">
                          <w:pPr>
                            <w:pStyle w:val="Template-Adresse"/>
                            <w:rPr>
                              <w:noProof w:val="0"/>
                              <w:sz w:val="18"/>
                            </w:rPr>
                          </w:pPr>
                        </w:p>
                        <w:sdt>
                          <w:sdtPr>
                            <w:rPr>
                              <w:vanish/>
                            </w:rPr>
                            <w:alias w:val="ccEmailGroup"/>
                            <w:tag w:val="{&quot;templafy&quot;:{&quot;id&quot;:&quot;7d29c534-7a47-4224-9096-ee48e07ca467&quot;}}"/>
                            <w:id w:val="2091661747"/>
                            <w:lock w:val="contentLocked"/>
                          </w:sdtPr>
                          <w:sdtEndPr/>
                          <w:sdtContent>
                            <w:p w14:paraId="7C8812C7" w14:textId="77777777" w:rsidR="009D1FCB" w:rsidRPr="00D4309F" w:rsidRDefault="009A5848" w:rsidP="00EC6147">
                              <w:pPr>
                                <w:pStyle w:val="Template-Adresse"/>
                                <w:rPr>
                                  <w:noProof w:val="0"/>
                                  <w:vanish/>
                                  <w:sz w:val="18"/>
                                </w:rPr>
                              </w:pPr>
                              <w:sdt>
                                <w:sdtPr>
                                  <w:rPr>
                                    <w:vanish/>
                                  </w:rPr>
                                  <w:alias w:val="{{Translate(&quot;Email&quot;)}}"/>
                                  <w:tag w:val="{&quot;templafy&quot;:{&quot;id&quot;:&quot;9062c542-ff23-4957-81ad-881d72b1da37&quot;}}"/>
                                  <w:id w:val="-644899142"/>
                                </w:sdtPr>
                                <w:sdtEndPr/>
                                <w:sdtContent>
                                  <w:r w:rsidR="00FC392F" w:rsidRPr="00D4309F">
                                    <w:rPr>
                                      <w:vanish/>
                                    </w:rPr>
                                    <w:t>Email</w:t>
                                  </w:r>
                                </w:sdtContent>
                              </w:sdt>
                              <w:r w:rsidR="009D1FCB" w:rsidRPr="00D4309F">
                                <w:rPr>
                                  <w:vanish/>
                                </w:rPr>
                                <w:tab/>
                              </w:r>
                              <w:sdt>
                                <w:sdtPr>
                                  <w:rPr>
                                    <w:vanish/>
                                  </w:rPr>
                                  <w:alias w:val="{{UserProfile.Office.Office.OfficeEmail}}"/>
                                  <w:tag w:val="{&quot;templafy&quot;:{&quot;id&quot;:&quot;6658e584-ef03-4623-94a5-07359a774a2a&quot;}}"/>
                                  <w:id w:val="-1678567520"/>
                                </w:sdtPr>
                                <w:sdtEndPr/>
                                <w:sdtContent>
                                  <w:r w:rsidR="00FC392F" w:rsidRPr="00D4309F">
                                    <w:rPr>
                                      <w:vanish/>
                                    </w:rPr>
                                    <w:t>​</w:t>
                                  </w:r>
                                </w:sdtContent>
                              </w:sdt>
                            </w:p>
                          </w:sdtContent>
                        </w:sdt>
                        <w:p w14:paraId="0B45565B" w14:textId="77777777" w:rsidR="009D1FCB" w:rsidRPr="00D4309F" w:rsidRDefault="009D1FCB" w:rsidP="00182651">
                          <w:pPr>
                            <w:pStyle w:val="Template-Adresse"/>
                          </w:pPr>
                          <w:r w:rsidRPr="00D4309F">
                            <w:t xml:space="preserve"> </w:t>
                          </w:r>
                        </w:p>
                      </w:tc>
                    </w:tr>
                    <w:tr w:rsidR="009D1FCB" w:rsidRPr="00D4309F" w14:paraId="4F4CFB58" w14:textId="77777777" w:rsidTr="00EC6147">
                      <w:trPr>
                        <w:trHeight w:val="558"/>
                      </w:trPr>
                      <w:tc>
                        <w:tcPr>
                          <w:tcW w:w="2352" w:type="dxa"/>
                        </w:tcPr>
                        <w:sdt>
                          <w:sdtPr>
                            <w:alias w:val="{{FormatDateTime(Form.Date, Translate(&quot;Format_GeneralDate&quot;), DocumentLanguage)}}"/>
                            <w:tag w:val="{&quot;templafy&quot;:{&quot;id&quot;:&quot;a26dd993-11f7-40f9-aa83-d6c7c19e5304&quot;}}"/>
                            <w:id w:val="-1305535288"/>
                          </w:sdtPr>
                          <w:sdtEndPr/>
                          <w:sdtContent>
                            <w:p w14:paraId="0FC9E46E" w14:textId="77777777" w:rsidR="00F308D8" w:rsidRPr="00D4309F" w:rsidRDefault="00FC392F">
                              <w:pPr>
                                <w:pStyle w:val="Template-Dato"/>
                              </w:pPr>
                              <w:r w:rsidRPr="00D4309F">
                                <w:t>05 December 2025</w:t>
                              </w:r>
                            </w:p>
                          </w:sdtContent>
                        </w:sdt>
                      </w:tc>
                    </w:tr>
                  </w:tbl>
                  <w:p w14:paraId="57533F53" w14:textId="77777777" w:rsidR="009D1FCB" w:rsidRPr="00D4309F" w:rsidRDefault="009D1FCB" w:rsidP="00182651">
                    <w:pPr>
                      <w:pStyle w:val="Template-Adresse"/>
                    </w:pP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C6A330" w14:textId="77777777" w:rsidR="00D50A1B" w:rsidRPr="00D4309F" w:rsidRDefault="00D50A1B" w:rsidP="00D50A1B">
    <w:pPr>
      <w:pStyle w:val="BodyText"/>
    </w:pPr>
    <w:r w:rsidRPr="00D4309F">
      <w:rPr>
        <w:noProof/>
      </w:rPr>
      <mc:AlternateContent>
        <mc:Choice Requires="wps">
          <w:drawing>
            <wp:anchor distT="0" distB="0" distL="0" distR="0" simplePos="0" relativeHeight="251658311" behindDoc="1" locked="0" layoutInCell="1" allowOverlap="1" wp14:anchorId="286F46C6" wp14:editId="4FFAE7B4">
              <wp:simplePos x="0" y="0"/>
              <wp:positionH relativeFrom="page">
                <wp:posOffset>707390</wp:posOffset>
              </wp:positionH>
              <wp:positionV relativeFrom="page">
                <wp:posOffset>568664</wp:posOffset>
              </wp:positionV>
              <wp:extent cx="659765" cy="196215"/>
              <wp:effectExtent l="0" t="0" r="0" b="0"/>
              <wp:wrapNone/>
              <wp:docPr id="1110846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478894F0" w14:textId="77777777" w:rsidR="00D50A1B" w:rsidRPr="00D4309F" w:rsidRDefault="00D50A1B" w:rsidP="00D50A1B">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286F46C6" id="_x0000_t202" coordsize="21600,21600" o:spt="202" path="m,l,21600r21600,l21600,xe">
              <v:stroke joinstyle="miter"/>
              <v:path gradientshapeok="t" o:connecttype="rect"/>
            </v:shapetype>
            <v:shape id="_x0000_s1088" type="#_x0000_t202" style="position:absolute;margin-left:55.7pt;margin-top:44.8pt;width:51.95pt;height:15.45pt;z-index:-25165816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" filled="f" stroked="f">
              <v:textbox inset="0,0,0,0">
                <w:txbxContent>
                  <w:p w14:paraId="478894F0" w14:textId="77777777" w:rsidR="00D50A1B" w:rsidRPr="00D4309F" w:rsidRDefault="00D50A1B" w:rsidP="00D50A1B">
                    <w:pPr>
                      <w:spacing w:before="12"/>
                      <w:ind w:left="20"/>
                      <w:rPr>
                        <w:b/>
                        <w:sz w:val="24"/>
                      </w:rPr>
                    </w:pPr>
                    <w:r w:rsidRPr="00D4309F">
                      <w:rPr>
                        <w:b/>
                        <w:color w:val="5F6269"/>
                        <w:spacing w:val="-2"/>
                        <w:sz w:val="24"/>
                      </w:rPr>
                      <w:t>REPORT</w:t>
                    </w:r>
                  </w:p>
                </w:txbxContent>
              </v:textbox>
              <w10:wrap anchorx="page" anchory="page"/>
            </v:shape>
          </w:pict>
        </mc:Fallback>
      </mc:AlternateContent>
    </w:r>
    <w:r w:rsidRPr="00D4309F">
      <w:rPr>
        <w:noProof/>
      </w:rPr>
      <mc:AlternateContent>
        <mc:Choice Requires="wps">
          <w:drawing>
            <wp:anchor distT="0" distB="0" distL="0" distR="0" simplePos="0" relativeHeight="251658310" behindDoc="1" locked="0" layoutInCell="1" allowOverlap="1" wp14:anchorId="6797D30F" wp14:editId="4688CB27">
              <wp:simplePos x="0" y="0"/>
              <wp:positionH relativeFrom="page">
                <wp:posOffset>701040</wp:posOffset>
              </wp:positionH>
              <wp:positionV relativeFrom="page">
                <wp:posOffset>763511</wp:posOffset>
              </wp:positionV>
              <wp:extent cx="6158865" cy="6350"/>
              <wp:effectExtent l="0" t="0" r="0" b="0"/>
              <wp:wrapNone/>
              <wp:docPr id="95848395" name="Graphic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8865" cy="6350"/>
                      </a:xfrm>
                      <a:custGeom>
                        <a:avLst/>
                        <a:gdLst/>
                        <a:ahLst/>
                        <a:cxnLst/>
                        <a:rect l="l" t="t" r="r" b="b"/>
                        <a:pathLst>
                          <a:path w="6158865" h="6350">
                            <a:moveTo>
                              <a:pt x="6158484" y="0"/>
                            </a:moveTo>
                            <a:lnTo>
                              <a:pt x="0" y="0"/>
                            </a:lnTo>
                            <a:lnTo>
                              <a:pt x="0" y="6108"/>
                            </a:lnTo>
                            <a:lnTo>
                              <a:pt x="6158484" y="6108"/>
                            </a:lnTo>
                            <a:lnTo>
                              <a:pt x="6158484"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5B974887" id="Graphic 306" o:spid="_x0000_s1026" style="position:absolute;margin-left:55.2pt;margin-top:60.1pt;width:484.95pt;height:.5pt;z-index:-251658170;visibility:visible;mso-wrap-style:square;mso-wrap-distance-left:0;mso-wrap-distance-top:0;mso-wrap-distance-right:0;mso-wrap-distance-bottom:0;mso-position-horizontal:absolute;mso-position-horizontal-relative:page;mso-position-vertical:absolute;mso-position-vertical-relative:page;v-text-anchor:top" coordsize="615886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" path="m6158484,l,,,6108r6158484,l6158484,xe" fillcolor="#5f6269" stroked="f">
              <v:path arrowok="t"/>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BEDC88" w14:textId="77777777" w:rsidR="00725977" w:rsidRPr="00D4309F" w:rsidRDefault="00725977">
    <w:pPr>
      <w:pStyle w:val="BodyText"/>
    </w:pPr>
    <w:r w:rsidRPr="00D4309F">
      <w:rPr>
        <w:noProof/>
      </w:rPr>
      <mc:AlternateContent>
        <mc:Choice Requires="wps">
          <w:drawing>
            <wp:anchor distT="0" distB="0" distL="0" distR="0" simplePos="0" relativeHeight="251658273" behindDoc="1" locked="0" layoutInCell="1" allowOverlap="1" wp14:anchorId="74549B9E" wp14:editId="6CE2F1F5">
              <wp:simplePos x="0" y="0"/>
              <wp:positionH relativeFrom="page">
                <wp:posOffset>701040</wp:posOffset>
              </wp:positionH>
              <wp:positionV relativeFrom="page">
                <wp:posOffset>763511</wp:posOffset>
              </wp:positionV>
              <wp:extent cx="6158865" cy="6350"/>
              <wp:effectExtent l="0" t="0" r="0" b="0"/>
              <wp:wrapNone/>
              <wp:docPr id="345" name="Graphic 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8865" cy="6350"/>
                      </a:xfrm>
                      <a:custGeom>
                        <a:avLst/>
                        <a:gdLst/>
                        <a:ahLst/>
                        <a:cxnLst/>
                        <a:rect l="l" t="t" r="r" b="b"/>
                        <a:pathLst>
                          <a:path w="6158865" h="6350">
                            <a:moveTo>
                              <a:pt x="6158484" y="0"/>
                            </a:moveTo>
                            <a:lnTo>
                              <a:pt x="0" y="0"/>
                            </a:lnTo>
                            <a:lnTo>
                              <a:pt x="0" y="6108"/>
                            </a:lnTo>
                            <a:lnTo>
                              <a:pt x="6158484" y="6108"/>
                            </a:lnTo>
                            <a:lnTo>
                              <a:pt x="6158484"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4B330A6A" id="Graphic 345" o:spid="_x0000_s1026" style="position:absolute;margin-left:55.2pt;margin-top:60.1pt;width:484.95pt;height:.5pt;z-index:-251658207;visibility:visible;mso-wrap-style:square;mso-wrap-distance-left:0;mso-wrap-distance-top:0;mso-wrap-distance-right:0;mso-wrap-distance-bottom:0;mso-position-horizontal:absolute;mso-position-horizontal-relative:page;mso-position-vertical:absolute;mso-position-vertical-relative:page;v-text-anchor:top" coordsize="615886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" path="m6158484,l,,,6108r6158484,l6158484,xe" fillcolor="#5f6269" stroked="f">
              <v:path arrowok="t"/>
              <w10:wrap anchorx="page" anchory="page"/>
            </v:shape>
          </w:pict>
        </mc:Fallback>
      </mc:AlternateContent>
    </w:r>
    <w:r w:rsidRPr="00D4309F">
      <w:rPr>
        <w:noProof/>
      </w:rPr>
      <mc:AlternateContent>
        <mc:Choice Requires="wps">
          <w:drawing>
            <wp:anchor distT="0" distB="0" distL="0" distR="0" simplePos="0" relativeHeight="251658274" behindDoc="1" locked="0" layoutInCell="1" allowOverlap="1" wp14:anchorId="5969440E" wp14:editId="3664B743">
              <wp:simplePos x="0" y="0"/>
              <wp:positionH relativeFrom="page">
                <wp:posOffset>707390</wp:posOffset>
              </wp:positionH>
              <wp:positionV relativeFrom="page">
                <wp:posOffset>568664</wp:posOffset>
              </wp:positionV>
              <wp:extent cx="659765" cy="196215"/>
              <wp:effectExtent l="0" t="0" r="0" b="0"/>
              <wp:wrapNone/>
              <wp:docPr id="346" name="Text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3E331ECF" w14:textId="77777777" w:rsidR="00725977" w:rsidRPr="00D4309F" w:rsidRDefault="00725977">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5969440E" id="_x0000_t202" coordsize="21600,21600" o:spt="202" path="m,l,21600r21600,l21600,xe">
              <v:stroke joinstyle="miter"/>
              <v:path gradientshapeok="t" o:connecttype="rect"/>
            </v:shapetype>
            <v:shape id="Textbox 346" o:spid="_x0000_s1090" type="#_x0000_t202" style="position:absolute;margin-left:55.7pt;margin-top:44.8pt;width:51.95pt;height:15.45pt;z-index:-25165820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" filled="f" stroked="f">
              <v:textbox inset="0,0,0,0">
                <w:txbxContent>
                  <w:p w14:paraId="3E331ECF" w14:textId="77777777" w:rsidR="00725977" w:rsidRPr="00D4309F" w:rsidRDefault="00725977">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CDB7C" w14:textId="13BF999C" w:rsidR="00725977" w:rsidRPr="00FA4312" w:rsidRDefault="00FA4312" w:rsidP="00FA4312">
    <w:pPr>
      <w:pStyle w:val="BodyText"/>
    </w:pPr>
    <w:r w:rsidRPr="00D4309F">
      <w:rPr>
        <w:noProof/>
      </w:rPr>
      <mc:AlternateContent>
        <mc:Choice Requires="wps">
          <w:drawing>
            <wp:anchor distT="0" distB="0" distL="0" distR="0" simplePos="0" relativeHeight="251658304" behindDoc="1" locked="0" layoutInCell="1" allowOverlap="1" wp14:anchorId="7196BCEC" wp14:editId="3EDAAEF5">
              <wp:simplePos x="0" y="0"/>
              <wp:positionH relativeFrom="page">
                <wp:posOffset>701040</wp:posOffset>
              </wp:positionH>
              <wp:positionV relativeFrom="page">
                <wp:posOffset>763524</wp:posOffset>
              </wp:positionV>
              <wp:extent cx="9291320" cy="6350"/>
              <wp:effectExtent l="0" t="0" r="0" b="0"/>
              <wp:wrapNone/>
              <wp:docPr id="2078325410"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1320" cy="6350"/>
                      </a:xfrm>
                      <a:custGeom>
                        <a:avLst/>
                        <a:gdLst/>
                        <a:ahLst/>
                        <a:cxnLst/>
                        <a:rect l="l" t="t" r="r" b="b"/>
                        <a:pathLst>
                          <a:path w="9291320" h="6350">
                            <a:moveTo>
                              <a:pt x="9291066" y="0"/>
                            </a:moveTo>
                            <a:lnTo>
                              <a:pt x="0" y="0"/>
                            </a:lnTo>
                            <a:lnTo>
                              <a:pt x="0" y="6096"/>
                            </a:lnTo>
                            <a:lnTo>
                              <a:pt x="9291066" y="6096"/>
                            </a:lnTo>
                            <a:lnTo>
                              <a:pt x="9291066"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76E21B44" id="Graphic 125" o:spid="_x0000_s1026" style="position:absolute;margin-left:55.2pt;margin-top:60.1pt;width:731.6pt;height:.5pt;z-index:-251658176;visibility:visible;mso-wrap-style:square;mso-wrap-distance-left:0;mso-wrap-distance-top:0;mso-wrap-distance-right:0;mso-wrap-distance-bottom:0;mso-position-horizontal:absolute;mso-position-horizontal-relative:page;mso-position-vertical:absolute;mso-position-vertical-relative:page;v-text-anchor:top" coordsize="92913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" path="m9291066,l,,,6096r9291066,l9291066,xe" fillcolor="#5f6269" stroked="f">
              <v:path arrowok="t"/>
              <w10:wrap anchorx="page" anchory="page"/>
            </v:shape>
          </w:pict>
        </mc:Fallback>
      </mc:AlternateContent>
    </w:r>
    <w:r w:rsidRPr="00D4309F">
      <w:rPr>
        <w:noProof/>
      </w:rPr>
      <mc:AlternateContent>
        <mc:Choice Requires="wps">
          <w:drawing>
            <wp:anchor distT="0" distB="0" distL="0" distR="0" simplePos="0" relativeHeight="251658305" behindDoc="1" locked="0" layoutInCell="1" allowOverlap="1" wp14:anchorId="6676C558" wp14:editId="757DA0B9">
              <wp:simplePos x="0" y="0"/>
              <wp:positionH relativeFrom="page">
                <wp:posOffset>707390</wp:posOffset>
              </wp:positionH>
              <wp:positionV relativeFrom="page">
                <wp:posOffset>568664</wp:posOffset>
              </wp:positionV>
              <wp:extent cx="659765" cy="196215"/>
              <wp:effectExtent l="0" t="0" r="0" b="0"/>
              <wp:wrapNone/>
              <wp:docPr id="880461507"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45BB5EAD" w14:textId="77777777" w:rsidR="00FA4312" w:rsidRPr="00D4309F" w:rsidRDefault="00FA4312" w:rsidP="00FA4312">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6676C558" id="_x0000_t202" coordsize="21600,21600" o:spt="202" path="m,l,21600r21600,l21600,xe">
              <v:stroke joinstyle="miter"/>
              <v:path gradientshapeok="t" o:connecttype="rect"/>
            </v:shapetype>
            <v:shape id="_x0000_s1092" type="#_x0000_t202" style="position:absolute;margin-left:55.7pt;margin-top:44.8pt;width:51.95pt;height:15.45pt;z-index:-25165817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" filled="f" stroked="f">
              <v:textbox inset="0,0,0,0">
                <w:txbxContent>
                  <w:p w14:paraId="45BB5EAD" w14:textId="77777777" w:rsidR="00FA4312" w:rsidRPr="00D4309F" w:rsidRDefault="00FA4312" w:rsidP="00FA4312">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CD9F98" w14:textId="77777777" w:rsidR="00725977" w:rsidRPr="00D4309F" w:rsidRDefault="00725977">
    <w:pPr>
      <w:pStyle w:val="Header"/>
    </w:pPr>
    <w:r w:rsidRPr="00D4309F">
      <w:rPr>
        <w:noProof/>
      </w:rPr>
      <mc:AlternateContent>
        <mc:Choice Requires="wps">
          <w:drawing>
            <wp:anchor distT="0" distB="0" distL="0" distR="0" simplePos="0" relativeHeight="251658279" behindDoc="1" locked="0" layoutInCell="1" allowOverlap="1" wp14:anchorId="352967E4" wp14:editId="10835E96">
              <wp:simplePos x="0" y="0"/>
              <wp:positionH relativeFrom="page">
                <wp:posOffset>701040</wp:posOffset>
              </wp:positionH>
              <wp:positionV relativeFrom="page">
                <wp:posOffset>763511</wp:posOffset>
              </wp:positionV>
              <wp:extent cx="6158865" cy="6350"/>
              <wp:effectExtent l="0" t="0" r="0" b="0"/>
              <wp:wrapNone/>
              <wp:docPr id="1986206926" name="Graphic 3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8865" cy="6350"/>
                      </a:xfrm>
                      <a:custGeom>
                        <a:avLst/>
                        <a:gdLst/>
                        <a:ahLst/>
                        <a:cxnLst/>
                        <a:rect l="l" t="t" r="r" b="b"/>
                        <a:pathLst>
                          <a:path w="6158865" h="6350">
                            <a:moveTo>
                              <a:pt x="6158484" y="0"/>
                            </a:moveTo>
                            <a:lnTo>
                              <a:pt x="0" y="0"/>
                            </a:lnTo>
                            <a:lnTo>
                              <a:pt x="0" y="6108"/>
                            </a:lnTo>
                            <a:lnTo>
                              <a:pt x="6158484" y="6108"/>
                            </a:lnTo>
                            <a:lnTo>
                              <a:pt x="6158484"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134A5ECF" id="Graphic 359" o:spid="_x0000_s1026" style="position:absolute;margin-left:55.2pt;margin-top:60.1pt;width:484.95pt;height:.5pt;z-index:-251658201;visibility:visible;mso-wrap-style:square;mso-wrap-distance-left:0;mso-wrap-distance-top:0;mso-wrap-distance-right:0;mso-wrap-distance-bottom:0;mso-position-horizontal:absolute;mso-position-horizontal-relative:page;mso-position-vertical:absolute;mso-position-vertical-relative:page;v-text-anchor:top" coordsize="615886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" path="m6158484,l,,,6108r6158484,l6158484,xe" fillcolor="#5f6269" stroked="f">
              <v:path arrowok="t"/>
              <w10:wrap anchorx="page" anchory="page"/>
            </v:shape>
          </w:pict>
        </mc:Fallback>
      </mc:AlternateContent>
    </w:r>
    <w:r w:rsidRPr="00D4309F">
      <w:rPr>
        <w:noProof/>
      </w:rPr>
      <mc:AlternateContent>
        <mc:Choice Requires="wps">
          <w:drawing>
            <wp:anchor distT="0" distB="0" distL="0" distR="0" simplePos="0" relativeHeight="251658280" behindDoc="1" locked="0" layoutInCell="1" allowOverlap="1" wp14:anchorId="1AD06248" wp14:editId="47572A10">
              <wp:simplePos x="0" y="0"/>
              <wp:positionH relativeFrom="page">
                <wp:posOffset>707390</wp:posOffset>
              </wp:positionH>
              <wp:positionV relativeFrom="page">
                <wp:posOffset>568664</wp:posOffset>
              </wp:positionV>
              <wp:extent cx="659765" cy="196215"/>
              <wp:effectExtent l="0" t="0" r="0" b="0"/>
              <wp:wrapNone/>
              <wp:docPr id="271053584" name="Text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7A88D7B6" w14:textId="77777777" w:rsidR="00725977" w:rsidRPr="00D4309F" w:rsidRDefault="00725977">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1AD06248" id="_x0000_t202" coordsize="21600,21600" o:spt="202" path="m,l,21600r21600,l21600,xe">
              <v:stroke joinstyle="miter"/>
              <v:path gradientshapeok="t" o:connecttype="rect"/>
            </v:shapetype>
            <v:shape id="Textbox 360" o:spid="_x0000_s1094" type="#_x0000_t202" style="position:absolute;margin-left:55.7pt;margin-top:44.8pt;width:51.95pt;height:15.45pt;z-index:-251658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" filled="f" stroked="f">
              <v:textbox inset="0,0,0,0">
                <w:txbxContent>
                  <w:p w14:paraId="7A88D7B6" w14:textId="77777777" w:rsidR="00725977" w:rsidRPr="00D4309F" w:rsidRDefault="00725977">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F88DC2" w14:textId="4CDA64C6" w:rsidR="00725977" w:rsidRPr="003F077E" w:rsidRDefault="003F077E" w:rsidP="003F077E">
    <w:pPr>
      <w:pStyle w:val="BodyText"/>
    </w:pPr>
    <w:r w:rsidRPr="00D4309F">
      <w:rPr>
        <w:noProof/>
      </w:rPr>
      <mc:AlternateContent>
        <mc:Choice Requires="wps">
          <w:drawing>
            <wp:anchor distT="0" distB="0" distL="0" distR="0" simplePos="0" relativeHeight="251658306" behindDoc="1" locked="0" layoutInCell="1" allowOverlap="1" wp14:anchorId="03A295F9" wp14:editId="0F602828">
              <wp:simplePos x="0" y="0"/>
              <wp:positionH relativeFrom="page">
                <wp:posOffset>701040</wp:posOffset>
              </wp:positionH>
              <wp:positionV relativeFrom="page">
                <wp:posOffset>763524</wp:posOffset>
              </wp:positionV>
              <wp:extent cx="9291320" cy="6350"/>
              <wp:effectExtent l="0" t="0" r="0" b="0"/>
              <wp:wrapNone/>
              <wp:docPr id="1077919171"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1320" cy="6350"/>
                      </a:xfrm>
                      <a:custGeom>
                        <a:avLst/>
                        <a:gdLst/>
                        <a:ahLst/>
                        <a:cxnLst/>
                        <a:rect l="l" t="t" r="r" b="b"/>
                        <a:pathLst>
                          <a:path w="9291320" h="6350">
                            <a:moveTo>
                              <a:pt x="9291066" y="0"/>
                            </a:moveTo>
                            <a:lnTo>
                              <a:pt x="0" y="0"/>
                            </a:lnTo>
                            <a:lnTo>
                              <a:pt x="0" y="6096"/>
                            </a:lnTo>
                            <a:lnTo>
                              <a:pt x="9291066" y="6096"/>
                            </a:lnTo>
                            <a:lnTo>
                              <a:pt x="9291066"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3A47935B" id="Graphic 125" o:spid="_x0000_s1026" style="position:absolute;margin-left:55.2pt;margin-top:60.1pt;width:731.6pt;height:.5pt;z-index:-251658174;visibility:visible;mso-wrap-style:square;mso-wrap-distance-left:0;mso-wrap-distance-top:0;mso-wrap-distance-right:0;mso-wrap-distance-bottom:0;mso-position-horizontal:absolute;mso-position-horizontal-relative:page;mso-position-vertical:absolute;mso-position-vertical-relative:page;v-text-anchor:top" coordsize="92913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" path="m9291066,l,,,6096r9291066,l9291066,xe" fillcolor="#5f6269" stroked="f">
              <v:path arrowok="t"/>
              <w10:wrap anchorx="page" anchory="page"/>
            </v:shape>
          </w:pict>
        </mc:Fallback>
      </mc:AlternateContent>
    </w:r>
    <w:r w:rsidRPr="00D4309F">
      <w:rPr>
        <w:noProof/>
      </w:rPr>
      <mc:AlternateContent>
        <mc:Choice Requires="wps">
          <w:drawing>
            <wp:anchor distT="0" distB="0" distL="0" distR="0" simplePos="0" relativeHeight="251658307" behindDoc="1" locked="0" layoutInCell="1" allowOverlap="1" wp14:anchorId="76F150EF" wp14:editId="22BAC8D4">
              <wp:simplePos x="0" y="0"/>
              <wp:positionH relativeFrom="page">
                <wp:posOffset>707390</wp:posOffset>
              </wp:positionH>
              <wp:positionV relativeFrom="page">
                <wp:posOffset>568664</wp:posOffset>
              </wp:positionV>
              <wp:extent cx="659765" cy="196215"/>
              <wp:effectExtent l="0" t="0" r="0" b="0"/>
              <wp:wrapNone/>
              <wp:docPr id="894657281"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0833D5CC" w14:textId="77777777" w:rsidR="003F077E" w:rsidRPr="00D4309F" w:rsidRDefault="003F077E" w:rsidP="003F077E">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76F150EF" id="_x0000_t202" coordsize="21600,21600" o:spt="202" path="m,l,21600r21600,l21600,xe">
              <v:stroke joinstyle="miter"/>
              <v:path gradientshapeok="t" o:connecttype="rect"/>
            </v:shapetype>
            <v:shape id="_x0000_s1096" type="#_x0000_t202" style="position:absolute;margin-left:55.7pt;margin-top:44.8pt;width:51.95pt;height:15.45pt;z-index:-25165817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" filled="f" stroked="f">
              <v:textbox inset="0,0,0,0">
                <w:txbxContent>
                  <w:p w14:paraId="0833D5CC" w14:textId="77777777" w:rsidR="003F077E" w:rsidRPr="00D4309F" w:rsidRDefault="003F077E" w:rsidP="003F077E">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D886FE" w14:textId="77777777" w:rsidR="00725977" w:rsidRPr="00D4309F" w:rsidRDefault="00725977">
    <w:pPr>
      <w:pStyle w:val="BodyText"/>
    </w:pPr>
    <w:r w:rsidRPr="00D4309F">
      <w:rPr>
        <w:noProof/>
      </w:rPr>
      <mc:AlternateContent>
        <mc:Choice Requires="wps">
          <w:drawing>
            <wp:anchor distT="0" distB="0" distL="0" distR="0" simplePos="0" relativeHeight="251658275" behindDoc="1" locked="0" layoutInCell="1" allowOverlap="1" wp14:anchorId="1F7496AB" wp14:editId="56C4F03E">
              <wp:simplePos x="0" y="0"/>
              <wp:positionH relativeFrom="page">
                <wp:posOffset>701040</wp:posOffset>
              </wp:positionH>
              <wp:positionV relativeFrom="page">
                <wp:posOffset>763511</wp:posOffset>
              </wp:positionV>
              <wp:extent cx="6158865" cy="6350"/>
              <wp:effectExtent l="0" t="0" r="0" b="0"/>
              <wp:wrapNone/>
              <wp:docPr id="359" name="Graphic 3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8865" cy="6350"/>
                      </a:xfrm>
                      <a:custGeom>
                        <a:avLst/>
                        <a:gdLst/>
                        <a:ahLst/>
                        <a:cxnLst/>
                        <a:rect l="l" t="t" r="r" b="b"/>
                        <a:pathLst>
                          <a:path w="6158865" h="6350">
                            <a:moveTo>
                              <a:pt x="6158484" y="0"/>
                            </a:moveTo>
                            <a:lnTo>
                              <a:pt x="0" y="0"/>
                            </a:lnTo>
                            <a:lnTo>
                              <a:pt x="0" y="6108"/>
                            </a:lnTo>
                            <a:lnTo>
                              <a:pt x="6158484" y="6108"/>
                            </a:lnTo>
                            <a:lnTo>
                              <a:pt x="6158484"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7EF516C7" id="Graphic 359" o:spid="_x0000_s1026" style="position:absolute;margin-left:55.2pt;margin-top:60.1pt;width:484.95pt;height:.5pt;z-index:-251658205;visibility:visible;mso-wrap-style:square;mso-wrap-distance-left:0;mso-wrap-distance-top:0;mso-wrap-distance-right:0;mso-wrap-distance-bottom:0;mso-position-horizontal:absolute;mso-position-horizontal-relative:page;mso-position-vertical:absolute;mso-position-vertical-relative:page;v-text-anchor:top" coordsize="615886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" path="m6158484,l,,,6108r6158484,l6158484,xe" fillcolor="#5f6269" stroked="f">
              <v:path arrowok="t"/>
              <w10:wrap anchorx="page" anchory="page"/>
            </v:shape>
          </w:pict>
        </mc:Fallback>
      </mc:AlternateContent>
    </w:r>
    <w:r w:rsidRPr="00D4309F">
      <w:rPr>
        <w:noProof/>
      </w:rPr>
      <mc:AlternateContent>
        <mc:Choice Requires="wps">
          <w:drawing>
            <wp:anchor distT="0" distB="0" distL="0" distR="0" simplePos="0" relativeHeight="251658276" behindDoc="1" locked="0" layoutInCell="1" allowOverlap="1" wp14:anchorId="5C41575C" wp14:editId="51C14048">
              <wp:simplePos x="0" y="0"/>
              <wp:positionH relativeFrom="page">
                <wp:posOffset>707390</wp:posOffset>
              </wp:positionH>
              <wp:positionV relativeFrom="page">
                <wp:posOffset>568664</wp:posOffset>
              </wp:positionV>
              <wp:extent cx="659765" cy="196215"/>
              <wp:effectExtent l="0" t="0" r="0" b="0"/>
              <wp:wrapNone/>
              <wp:docPr id="360" name="Text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43596D31" w14:textId="77777777" w:rsidR="00725977" w:rsidRPr="00D4309F" w:rsidRDefault="00725977">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5C41575C" id="_x0000_t202" coordsize="21600,21600" o:spt="202" path="m,l,21600r21600,l21600,xe">
              <v:stroke joinstyle="miter"/>
              <v:path gradientshapeok="t" o:connecttype="rect"/>
            </v:shapetype>
            <v:shape id="_x0000_s1098" type="#_x0000_t202" style="position:absolute;margin-left:55.7pt;margin-top:44.8pt;width:51.95pt;height:15.45pt;z-index:-2516582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" filled="f" stroked="f">
              <v:textbox inset="0,0,0,0">
                <w:txbxContent>
                  <w:p w14:paraId="43596D31" w14:textId="77777777" w:rsidR="00725977" w:rsidRPr="00D4309F" w:rsidRDefault="00725977">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65EA7E" w14:textId="77777777" w:rsidR="00205A75" w:rsidRPr="00D4309F" w:rsidRDefault="00205A75" w:rsidP="00205A75">
    <w:pPr>
      <w:pStyle w:val="BodyText"/>
    </w:pPr>
    <w:r w:rsidRPr="00D4309F">
      <w:rPr>
        <w:noProof/>
      </w:rPr>
      <mc:AlternateContent>
        <mc:Choice Requires="wps">
          <w:drawing>
            <wp:anchor distT="0" distB="0" distL="0" distR="0" simplePos="0" relativeHeight="251658313" behindDoc="1" locked="0" layoutInCell="1" allowOverlap="1" wp14:anchorId="71E1AD5A" wp14:editId="79C43DC4">
              <wp:simplePos x="0" y="0"/>
              <wp:positionH relativeFrom="page">
                <wp:posOffset>707390</wp:posOffset>
              </wp:positionH>
              <wp:positionV relativeFrom="page">
                <wp:posOffset>568664</wp:posOffset>
              </wp:positionV>
              <wp:extent cx="659765" cy="196215"/>
              <wp:effectExtent l="0" t="0" r="0" b="0"/>
              <wp:wrapNone/>
              <wp:docPr id="1377571527"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5CB27601" w14:textId="77777777" w:rsidR="00205A75" w:rsidRPr="00D4309F" w:rsidRDefault="00205A75" w:rsidP="00205A75">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71E1AD5A" id="_x0000_t202" coordsize="21600,21600" o:spt="202" path="m,l,21600r21600,l21600,xe">
              <v:stroke joinstyle="miter"/>
              <v:path gradientshapeok="t" o:connecttype="rect"/>
            </v:shapetype>
            <v:shape id="_x0000_s1100" type="#_x0000_t202" style="position:absolute;margin-left:55.7pt;margin-top:44.8pt;width:51.95pt;height:15.45pt;z-index:-25165816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" filled="f" stroked="f">
              <v:textbox inset="0,0,0,0">
                <w:txbxContent>
                  <w:p w14:paraId="5CB27601" w14:textId="77777777" w:rsidR="00205A75" w:rsidRPr="00D4309F" w:rsidRDefault="00205A75" w:rsidP="00205A75">
                    <w:pPr>
                      <w:spacing w:before="12"/>
                      <w:ind w:left="20"/>
                      <w:rPr>
                        <w:b/>
                        <w:sz w:val="24"/>
                      </w:rPr>
                    </w:pPr>
                    <w:r w:rsidRPr="00D4309F">
                      <w:rPr>
                        <w:b/>
                        <w:color w:val="5F6269"/>
                        <w:spacing w:val="-2"/>
                        <w:sz w:val="24"/>
                      </w:rPr>
                      <w:t>REPORT</w:t>
                    </w:r>
                  </w:p>
                </w:txbxContent>
              </v:textbox>
              <w10:wrap anchorx="page" anchory="page"/>
            </v:shape>
          </w:pict>
        </mc:Fallback>
      </mc:AlternateContent>
    </w:r>
    <w:r w:rsidRPr="00D4309F">
      <w:rPr>
        <w:noProof/>
      </w:rPr>
      <mc:AlternateContent>
        <mc:Choice Requires="wps">
          <w:drawing>
            <wp:anchor distT="0" distB="0" distL="0" distR="0" simplePos="0" relativeHeight="251658312" behindDoc="1" locked="0" layoutInCell="1" allowOverlap="1" wp14:anchorId="788293F1" wp14:editId="44727B9D">
              <wp:simplePos x="0" y="0"/>
              <wp:positionH relativeFrom="page">
                <wp:posOffset>701040</wp:posOffset>
              </wp:positionH>
              <wp:positionV relativeFrom="page">
                <wp:posOffset>763511</wp:posOffset>
              </wp:positionV>
              <wp:extent cx="6158865" cy="6350"/>
              <wp:effectExtent l="0" t="0" r="0" b="0"/>
              <wp:wrapNone/>
              <wp:docPr id="1176776677" name="Graphic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8865" cy="6350"/>
                      </a:xfrm>
                      <a:custGeom>
                        <a:avLst/>
                        <a:gdLst/>
                        <a:ahLst/>
                        <a:cxnLst/>
                        <a:rect l="l" t="t" r="r" b="b"/>
                        <a:pathLst>
                          <a:path w="6158865" h="6350">
                            <a:moveTo>
                              <a:pt x="6158484" y="0"/>
                            </a:moveTo>
                            <a:lnTo>
                              <a:pt x="0" y="0"/>
                            </a:lnTo>
                            <a:lnTo>
                              <a:pt x="0" y="6108"/>
                            </a:lnTo>
                            <a:lnTo>
                              <a:pt x="6158484" y="6108"/>
                            </a:lnTo>
                            <a:lnTo>
                              <a:pt x="6158484"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7056682B" id="Graphic 306" o:spid="_x0000_s1026" style="position:absolute;margin-left:55.2pt;margin-top:60.1pt;width:484.95pt;height:.5pt;z-index:-251658168;visibility:visible;mso-wrap-style:square;mso-wrap-distance-left:0;mso-wrap-distance-top:0;mso-wrap-distance-right:0;mso-wrap-distance-bottom:0;mso-position-horizontal:absolute;mso-position-horizontal-relative:page;mso-position-vertical:absolute;mso-position-vertical-relative:page;v-text-anchor:top" coordsize="615886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" path="m6158484,l,,,6108r6158484,l6158484,xe" fillcolor="#5f6269" stroked="f">
              <v:path arrowok="t"/>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866E7A" w14:textId="77777777" w:rsidR="00725977" w:rsidRPr="00D4309F" w:rsidRDefault="00725977">
    <w:pPr>
      <w:pStyle w:val="BodyText"/>
    </w:pPr>
    <w:r w:rsidRPr="00D4309F">
      <w:rPr>
        <w:noProof/>
      </w:rPr>
      <mc:AlternateContent>
        <mc:Choice Requires="wps">
          <w:drawing>
            <wp:anchor distT="0" distB="0" distL="0" distR="0" simplePos="0" relativeHeight="251658277" behindDoc="1" locked="0" layoutInCell="1" allowOverlap="1" wp14:anchorId="15630881" wp14:editId="1349EFAB">
              <wp:simplePos x="0" y="0"/>
              <wp:positionH relativeFrom="page">
                <wp:posOffset>701040</wp:posOffset>
              </wp:positionH>
              <wp:positionV relativeFrom="page">
                <wp:posOffset>763511</wp:posOffset>
              </wp:positionV>
              <wp:extent cx="6158865" cy="6350"/>
              <wp:effectExtent l="0" t="0" r="0" b="0"/>
              <wp:wrapNone/>
              <wp:docPr id="370" name="Graphic 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8865" cy="6350"/>
                      </a:xfrm>
                      <a:custGeom>
                        <a:avLst/>
                        <a:gdLst/>
                        <a:ahLst/>
                        <a:cxnLst/>
                        <a:rect l="l" t="t" r="r" b="b"/>
                        <a:pathLst>
                          <a:path w="6158865" h="6350">
                            <a:moveTo>
                              <a:pt x="6158484" y="0"/>
                            </a:moveTo>
                            <a:lnTo>
                              <a:pt x="0" y="0"/>
                            </a:lnTo>
                            <a:lnTo>
                              <a:pt x="0" y="6108"/>
                            </a:lnTo>
                            <a:lnTo>
                              <a:pt x="6158484" y="6108"/>
                            </a:lnTo>
                            <a:lnTo>
                              <a:pt x="6158484"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1E1FAEB0" id="Graphic 370" o:spid="_x0000_s1026" style="position:absolute;margin-left:55.2pt;margin-top:60.1pt;width:484.95pt;height:.5pt;z-index:-251658203;visibility:visible;mso-wrap-style:square;mso-wrap-distance-left:0;mso-wrap-distance-top:0;mso-wrap-distance-right:0;mso-wrap-distance-bottom:0;mso-position-horizontal:absolute;mso-position-horizontal-relative:page;mso-position-vertical:absolute;mso-position-vertical-relative:page;v-text-anchor:top" coordsize="615886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" path="m6158484,l,,,6108r6158484,l6158484,xe" fillcolor="#5f6269" stroked="f">
              <v:path arrowok="t"/>
              <w10:wrap anchorx="page" anchory="page"/>
            </v:shape>
          </w:pict>
        </mc:Fallback>
      </mc:AlternateContent>
    </w:r>
    <w:r w:rsidRPr="00D4309F">
      <w:rPr>
        <w:noProof/>
      </w:rPr>
      <mc:AlternateContent>
        <mc:Choice Requires="wps">
          <w:drawing>
            <wp:anchor distT="0" distB="0" distL="0" distR="0" simplePos="0" relativeHeight="251658278" behindDoc="1" locked="0" layoutInCell="1" allowOverlap="1" wp14:anchorId="167C2C72" wp14:editId="34C1C32B">
              <wp:simplePos x="0" y="0"/>
              <wp:positionH relativeFrom="page">
                <wp:posOffset>707390</wp:posOffset>
              </wp:positionH>
              <wp:positionV relativeFrom="page">
                <wp:posOffset>568664</wp:posOffset>
              </wp:positionV>
              <wp:extent cx="659765" cy="196215"/>
              <wp:effectExtent l="0" t="0" r="0" b="0"/>
              <wp:wrapNone/>
              <wp:docPr id="371" name="Text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4D145E97" w14:textId="77777777" w:rsidR="00725977" w:rsidRPr="00D4309F" w:rsidRDefault="00725977">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167C2C72" id="_x0000_t202" coordsize="21600,21600" o:spt="202" path="m,l,21600r21600,l21600,xe">
              <v:stroke joinstyle="miter"/>
              <v:path gradientshapeok="t" o:connecttype="rect"/>
            </v:shapetype>
            <v:shape id="Textbox 371" o:spid="_x0000_s1102" type="#_x0000_t202" style="position:absolute;margin-left:55.7pt;margin-top:44.8pt;width:51.95pt;height:15.45pt;z-index:-25165820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" filled="f" stroked="f">
              <v:textbox inset="0,0,0,0">
                <w:txbxContent>
                  <w:p w14:paraId="4D145E97" w14:textId="77777777" w:rsidR="00725977" w:rsidRPr="00D4309F" w:rsidRDefault="00725977">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alias w:val="{{Translate(&quot;Report&quot;)}}"/>
      <w:tag w:val="{&quot;templafy&quot;:{&quot;id&quot;:&quot;82f38b87-9f95-440f-bd74-fd47d01ae3a5&quot;}}"/>
      <w:id w:val="-1292981607"/>
      <w:placeholder>
        <w:docPart w:val="A313CA6E11DD4E35AC37F00891CCB98F"/>
      </w:placeholder>
    </w:sdtPr>
    <w:sdtEndPr/>
    <w:sdtContent>
      <w:p w14:paraId="4CFB770B" w14:textId="131859B4" w:rsidR="00F308D8" w:rsidRPr="00D4309F" w:rsidRDefault="00D4309F">
        <w:pPr>
          <w:pStyle w:val="Header"/>
          <w:tabs>
            <w:tab w:val="clear" w:pos="4819"/>
          </w:tabs>
        </w:pPr>
        <w:r w:rsidRPr="00D4309F">
          <w:t>Report</w:t>
        </w: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okmarkStart w:id="1" w:name="_Hlk1728100" w:displacedByCustomXml="next"/>
  <w:bookmarkStart w:id="2" w:name="_Hlk1728101" w:displacedByCustomXml="next"/>
  <w:sdt>
    <w:sdtPr>
      <w:alias w:val="{{Translate(&quot;Report&quot;)}}"/>
      <w:tag w:val="{&quot;templafy&quot;:{&quot;id&quot;:&quot;50a4e63a-edb8-4705-96c3-541e0d914276&quot;}}"/>
      <w:id w:val="577405058"/>
      <w:placeholder>
        <w:docPart w:val="01B076205A834DEF9A6E0902E820A14F"/>
      </w:placeholder>
    </w:sdtPr>
    <w:sdtEndPr/>
    <w:sdtContent>
      <w:p w14:paraId="570A1999" w14:textId="2354E2EC" w:rsidR="00F308D8" w:rsidRPr="00D4309F" w:rsidRDefault="00D4309F">
        <w:pPr>
          <w:pStyle w:val="Header"/>
          <w:tabs>
            <w:tab w:val="clear" w:pos="4819"/>
          </w:tabs>
        </w:pPr>
        <w:r w:rsidRPr="00D4309F">
          <w:t>Report</w:t>
        </w:r>
      </w:p>
    </w:sdtContent>
  </w:sdt>
  <w:bookmarkEnd w:id="1" w:displacedByCustomXml="prev"/>
  <w:bookmarkEnd w:id="2" w:displacedByCustomXml="prev"/>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5265B1" w14:textId="77777777" w:rsidR="00725977" w:rsidRPr="00D4309F" w:rsidRDefault="00725977">
    <w:pPr>
      <w:pStyle w:val="BodyText"/>
    </w:pPr>
    <w:r w:rsidRPr="00D4309F">
      <w:rPr>
        <w:noProof/>
      </w:rPr>
      <mc:AlternateContent>
        <mc:Choice Requires="wps">
          <w:drawing>
            <wp:anchor distT="0" distB="0" distL="0" distR="0" simplePos="0" relativeHeight="251658243" behindDoc="1" locked="0" layoutInCell="1" allowOverlap="1" wp14:anchorId="3495F04F" wp14:editId="7730E5A1">
              <wp:simplePos x="0" y="0"/>
              <wp:positionH relativeFrom="page">
                <wp:posOffset>701040</wp:posOffset>
              </wp:positionH>
              <wp:positionV relativeFrom="page">
                <wp:posOffset>763511</wp:posOffset>
              </wp:positionV>
              <wp:extent cx="6158865" cy="6350"/>
              <wp:effectExtent l="0" t="0" r="0" b="0"/>
              <wp:wrapNone/>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8865" cy="6350"/>
                      </a:xfrm>
                      <a:custGeom>
                        <a:avLst/>
                        <a:gdLst/>
                        <a:ahLst/>
                        <a:cxnLst/>
                        <a:rect l="l" t="t" r="r" b="b"/>
                        <a:pathLst>
                          <a:path w="6158865" h="6350">
                            <a:moveTo>
                              <a:pt x="6158484" y="0"/>
                            </a:moveTo>
                            <a:lnTo>
                              <a:pt x="0" y="0"/>
                            </a:lnTo>
                            <a:lnTo>
                              <a:pt x="0" y="6108"/>
                            </a:lnTo>
                            <a:lnTo>
                              <a:pt x="6158484" y="6108"/>
                            </a:lnTo>
                            <a:lnTo>
                              <a:pt x="6158484"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2102C6A8" id="Graphic 17" o:spid="_x0000_s1026" style="position:absolute;margin-left:55.2pt;margin-top:60.1pt;width:484.95pt;height:.5pt;z-index:-251658237;visibility:visible;mso-wrap-style:square;mso-wrap-distance-left:0;mso-wrap-distance-top:0;mso-wrap-distance-right:0;mso-wrap-distance-bottom:0;mso-position-horizontal:absolute;mso-position-horizontal-relative:page;mso-position-vertical:absolute;mso-position-vertical-relative:page;v-text-anchor:top" coordsize="615886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" path="m6158484,l,,,6108r6158484,l6158484,xe" fillcolor="#5f6269" stroked="f">
              <v:path arrowok="t"/>
              <w10:wrap anchorx="page" anchory="page"/>
            </v:shape>
          </w:pict>
        </mc:Fallback>
      </mc:AlternateContent>
    </w:r>
    <w:r w:rsidRPr="00D4309F">
      <w:rPr>
        <w:noProof/>
      </w:rPr>
      <mc:AlternateContent>
        <mc:Choice Requires="wps">
          <w:drawing>
            <wp:anchor distT="0" distB="0" distL="0" distR="0" simplePos="0" relativeHeight="251658244" behindDoc="1" locked="0" layoutInCell="1" allowOverlap="1" wp14:anchorId="29E65703" wp14:editId="04A4DBF2">
              <wp:simplePos x="0" y="0"/>
              <wp:positionH relativeFrom="page">
                <wp:posOffset>707390</wp:posOffset>
              </wp:positionH>
              <wp:positionV relativeFrom="page">
                <wp:posOffset>568664</wp:posOffset>
              </wp:positionV>
              <wp:extent cx="659765" cy="196215"/>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378AFE18" w14:textId="77777777" w:rsidR="00725977" w:rsidRPr="00D4309F" w:rsidRDefault="00725977">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29E65703" id="_x0000_t202" coordsize="21600,21600" o:spt="202" path="m,l,21600r21600,l21600,xe">
              <v:stroke joinstyle="miter"/>
              <v:path gradientshapeok="t" o:connecttype="rect"/>
            </v:shapetype>
            <v:shape id="Textbox 18" o:spid="_x0000_s1036" type="#_x0000_t202" style="position:absolute;margin-left:55.7pt;margin-top:44.8pt;width:51.95pt;height:15.45pt;z-index:-2516582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" filled="f" stroked="f">
              <v:textbox inset="0,0,0,0">
                <w:txbxContent>
                  <w:p w14:paraId="378AFE18" w14:textId="77777777" w:rsidR="00725977" w:rsidRPr="00D4309F" w:rsidRDefault="00725977">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FB3BFB" w14:textId="77777777" w:rsidR="00725977" w:rsidRPr="00D4309F" w:rsidRDefault="00725977">
    <w:pPr>
      <w:pStyle w:val="BodyText"/>
    </w:pPr>
    <w:r w:rsidRPr="00D4309F">
      <w:rPr>
        <w:noProof/>
      </w:rPr>
      <mc:AlternateContent>
        <mc:Choice Requires="wps">
          <w:drawing>
            <wp:anchor distT="0" distB="0" distL="0" distR="0" simplePos="0" relativeHeight="251658245" behindDoc="1" locked="0" layoutInCell="1" allowOverlap="1" wp14:anchorId="5AB317D2" wp14:editId="23A5B479">
              <wp:simplePos x="0" y="0"/>
              <wp:positionH relativeFrom="page">
                <wp:posOffset>701040</wp:posOffset>
              </wp:positionH>
              <wp:positionV relativeFrom="page">
                <wp:posOffset>763524</wp:posOffset>
              </wp:positionV>
              <wp:extent cx="9291320" cy="6350"/>
              <wp:effectExtent l="0" t="0" r="0" b="0"/>
              <wp:wrapNone/>
              <wp:docPr id="125"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1320" cy="6350"/>
                      </a:xfrm>
                      <a:custGeom>
                        <a:avLst/>
                        <a:gdLst/>
                        <a:ahLst/>
                        <a:cxnLst/>
                        <a:rect l="l" t="t" r="r" b="b"/>
                        <a:pathLst>
                          <a:path w="9291320" h="6350">
                            <a:moveTo>
                              <a:pt x="9291066" y="0"/>
                            </a:moveTo>
                            <a:lnTo>
                              <a:pt x="0" y="0"/>
                            </a:lnTo>
                            <a:lnTo>
                              <a:pt x="0" y="6096"/>
                            </a:lnTo>
                            <a:lnTo>
                              <a:pt x="9291066" y="6096"/>
                            </a:lnTo>
                            <a:lnTo>
                              <a:pt x="9291066"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53F82E38" id="Graphic 125" o:spid="_x0000_s1026" style="position:absolute;margin-left:55.2pt;margin-top:60.1pt;width:731.6pt;height:.5pt;z-index:-251658235;visibility:visible;mso-wrap-style:square;mso-wrap-distance-left:0;mso-wrap-distance-top:0;mso-wrap-distance-right:0;mso-wrap-distance-bottom:0;mso-position-horizontal:absolute;mso-position-horizontal-relative:page;mso-position-vertical:absolute;mso-position-vertical-relative:page;v-text-anchor:top" coordsize="92913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" path="m9291066,l,,,6096r9291066,l9291066,xe" fillcolor="#5f6269" stroked="f">
              <v:path arrowok="t"/>
              <w10:wrap anchorx="page" anchory="page"/>
            </v:shape>
          </w:pict>
        </mc:Fallback>
      </mc:AlternateContent>
    </w:r>
    <w:r w:rsidRPr="00D4309F">
      <w:rPr>
        <w:noProof/>
      </w:rPr>
      <mc:AlternateContent>
        <mc:Choice Requires="wps">
          <w:drawing>
            <wp:anchor distT="0" distB="0" distL="0" distR="0" simplePos="0" relativeHeight="251658246" behindDoc="1" locked="0" layoutInCell="1" allowOverlap="1" wp14:anchorId="27094FFD" wp14:editId="2B4E6212">
              <wp:simplePos x="0" y="0"/>
              <wp:positionH relativeFrom="page">
                <wp:posOffset>707390</wp:posOffset>
              </wp:positionH>
              <wp:positionV relativeFrom="page">
                <wp:posOffset>568664</wp:posOffset>
              </wp:positionV>
              <wp:extent cx="659765" cy="196215"/>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67A33F0C" w14:textId="77777777" w:rsidR="00725977" w:rsidRPr="00D4309F" w:rsidRDefault="00725977">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27094FFD" id="_x0000_t202" coordsize="21600,21600" o:spt="202" path="m,l,21600r21600,l21600,xe">
              <v:stroke joinstyle="miter"/>
              <v:path gradientshapeok="t" o:connecttype="rect"/>
            </v:shapetype>
            <v:shape id="Textbox 126" o:spid="_x0000_s1038" type="#_x0000_t202" style="position:absolute;margin-left:55.7pt;margin-top:44.8pt;width:51.95pt;height:15.45pt;z-index:-25165823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" filled="f" stroked="f">
              <v:textbox inset="0,0,0,0">
                <w:txbxContent>
                  <w:p w14:paraId="67A33F0C" w14:textId="77777777" w:rsidR="00725977" w:rsidRPr="00D4309F" w:rsidRDefault="00725977">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EB5BD7" w14:textId="77777777" w:rsidR="00725977" w:rsidRPr="00D4309F" w:rsidRDefault="00725977">
    <w:pPr>
      <w:pStyle w:val="BodyText"/>
    </w:pPr>
    <w:r w:rsidRPr="00D4309F">
      <w:rPr>
        <w:noProof/>
      </w:rPr>
      <mc:AlternateContent>
        <mc:Choice Requires="wps">
          <w:drawing>
            <wp:anchor distT="0" distB="0" distL="0" distR="0" simplePos="0" relativeHeight="251658281" behindDoc="1" locked="0" layoutInCell="1" allowOverlap="1" wp14:anchorId="57BF93BF" wp14:editId="6B93F5E1">
              <wp:simplePos x="0" y="0"/>
              <wp:positionH relativeFrom="page">
                <wp:posOffset>701040</wp:posOffset>
              </wp:positionH>
              <wp:positionV relativeFrom="page">
                <wp:posOffset>763511</wp:posOffset>
              </wp:positionV>
              <wp:extent cx="6158865" cy="6350"/>
              <wp:effectExtent l="0" t="0" r="0" b="0"/>
              <wp:wrapNone/>
              <wp:docPr id="130" name="Graphic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8865" cy="6350"/>
                      </a:xfrm>
                      <a:custGeom>
                        <a:avLst/>
                        <a:gdLst/>
                        <a:ahLst/>
                        <a:cxnLst/>
                        <a:rect l="l" t="t" r="r" b="b"/>
                        <a:pathLst>
                          <a:path w="6158865" h="6350">
                            <a:moveTo>
                              <a:pt x="6158484" y="0"/>
                            </a:moveTo>
                            <a:lnTo>
                              <a:pt x="0" y="0"/>
                            </a:lnTo>
                            <a:lnTo>
                              <a:pt x="0" y="6108"/>
                            </a:lnTo>
                            <a:lnTo>
                              <a:pt x="6158484" y="6108"/>
                            </a:lnTo>
                            <a:lnTo>
                              <a:pt x="6158484"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4A1BEF72" id="Graphic 130" o:spid="_x0000_s1026" style="position:absolute;margin-left:55.2pt;margin-top:60.1pt;width:484.95pt;height:.5pt;z-index:-251658199;visibility:visible;mso-wrap-style:square;mso-wrap-distance-left:0;mso-wrap-distance-top:0;mso-wrap-distance-right:0;mso-wrap-distance-bottom:0;mso-position-horizontal:absolute;mso-position-horizontal-relative:page;mso-position-vertical:absolute;mso-position-vertical-relative:page;v-text-anchor:top" coordsize="615886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" path="m6158484,l,,,6108r6158484,l6158484,xe" fillcolor="#5f6269" stroked="f">
              <v:path arrowok="t"/>
              <w10:wrap anchorx="page" anchory="page"/>
            </v:shape>
          </w:pict>
        </mc:Fallback>
      </mc:AlternateContent>
    </w:r>
    <w:r w:rsidRPr="00D4309F">
      <w:rPr>
        <w:noProof/>
      </w:rPr>
      <mc:AlternateContent>
        <mc:Choice Requires="wps">
          <w:drawing>
            <wp:anchor distT="0" distB="0" distL="0" distR="0" simplePos="0" relativeHeight="251658282" behindDoc="1" locked="0" layoutInCell="1" allowOverlap="1" wp14:anchorId="264C9D5E" wp14:editId="643DF6E3">
              <wp:simplePos x="0" y="0"/>
              <wp:positionH relativeFrom="page">
                <wp:posOffset>707390</wp:posOffset>
              </wp:positionH>
              <wp:positionV relativeFrom="page">
                <wp:posOffset>568664</wp:posOffset>
              </wp:positionV>
              <wp:extent cx="659765" cy="196215"/>
              <wp:effectExtent l="0" t="0" r="0" b="0"/>
              <wp:wrapNone/>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56481084" w14:textId="77777777" w:rsidR="00725977" w:rsidRPr="00D4309F" w:rsidRDefault="00725977">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264C9D5E" id="_x0000_t202" coordsize="21600,21600" o:spt="202" path="m,l,21600r21600,l21600,xe">
              <v:stroke joinstyle="miter"/>
              <v:path gradientshapeok="t" o:connecttype="rect"/>
            </v:shapetype>
            <v:shape id="Textbox 131" o:spid="_x0000_s1040" type="#_x0000_t202" style="position:absolute;margin-left:55.7pt;margin-top:44.8pt;width:51.95pt;height:15.45pt;z-index:-25165819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" filled="f" stroked="f">
              <v:textbox inset="0,0,0,0">
                <w:txbxContent>
                  <w:p w14:paraId="56481084" w14:textId="77777777" w:rsidR="00725977" w:rsidRPr="00D4309F" w:rsidRDefault="00725977">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3D26A7" w14:textId="77777777" w:rsidR="00725977" w:rsidRPr="00D4309F" w:rsidRDefault="00725977">
    <w:pPr>
      <w:pStyle w:val="BodyText"/>
    </w:pPr>
    <w:r w:rsidRPr="00D4309F">
      <w:rPr>
        <w:noProof/>
      </w:rPr>
      <mc:AlternateContent>
        <mc:Choice Requires="wps">
          <w:drawing>
            <wp:anchor distT="0" distB="0" distL="0" distR="0" simplePos="0" relativeHeight="251658247" behindDoc="1" locked="0" layoutInCell="1" allowOverlap="1" wp14:anchorId="0ADD96C8" wp14:editId="71EE2675">
              <wp:simplePos x="0" y="0"/>
              <wp:positionH relativeFrom="page">
                <wp:posOffset>701040</wp:posOffset>
              </wp:positionH>
              <wp:positionV relativeFrom="page">
                <wp:posOffset>763524</wp:posOffset>
              </wp:positionV>
              <wp:extent cx="9291320" cy="6350"/>
              <wp:effectExtent l="0" t="0" r="0" b="0"/>
              <wp:wrapNone/>
              <wp:docPr id="142" name="Graphic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1320" cy="6350"/>
                      </a:xfrm>
                      <a:custGeom>
                        <a:avLst/>
                        <a:gdLst/>
                        <a:ahLst/>
                        <a:cxnLst/>
                        <a:rect l="l" t="t" r="r" b="b"/>
                        <a:pathLst>
                          <a:path w="9291320" h="6350">
                            <a:moveTo>
                              <a:pt x="9291066" y="0"/>
                            </a:moveTo>
                            <a:lnTo>
                              <a:pt x="0" y="0"/>
                            </a:lnTo>
                            <a:lnTo>
                              <a:pt x="0" y="6096"/>
                            </a:lnTo>
                            <a:lnTo>
                              <a:pt x="9291066" y="6096"/>
                            </a:lnTo>
                            <a:lnTo>
                              <a:pt x="9291066"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50946BFF" id="Graphic 142" o:spid="_x0000_s1026" style="position:absolute;margin-left:55.2pt;margin-top:60.1pt;width:731.6pt;height:.5pt;z-index:-251658233;visibility:visible;mso-wrap-style:square;mso-wrap-distance-left:0;mso-wrap-distance-top:0;mso-wrap-distance-right:0;mso-wrap-distance-bottom:0;mso-position-horizontal:absolute;mso-position-horizontal-relative:page;mso-position-vertical:absolute;mso-position-vertical-relative:page;v-text-anchor:top" coordsize="92913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" path="m9291066,l,,,6096r9291066,l9291066,xe" fillcolor="#5f6269" stroked="f">
              <v:path arrowok="t"/>
              <w10:wrap anchorx="page" anchory="page"/>
            </v:shape>
          </w:pict>
        </mc:Fallback>
      </mc:AlternateContent>
    </w:r>
    <w:r w:rsidRPr="00D4309F">
      <w:rPr>
        <w:noProof/>
      </w:rPr>
      <mc:AlternateContent>
        <mc:Choice Requires="wps">
          <w:drawing>
            <wp:anchor distT="0" distB="0" distL="0" distR="0" simplePos="0" relativeHeight="251658248" behindDoc="1" locked="0" layoutInCell="1" allowOverlap="1" wp14:anchorId="5846525C" wp14:editId="1CD27701">
              <wp:simplePos x="0" y="0"/>
              <wp:positionH relativeFrom="page">
                <wp:posOffset>707390</wp:posOffset>
              </wp:positionH>
              <wp:positionV relativeFrom="page">
                <wp:posOffset>568664</wp:posOffset>
              </wp:positionV>
              <wp:extent cx="659765" cy="196215"/>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4FED5324" w14:textId="77777777" w:rsidR="00725977" w:rsidRPr="00D4309F" w:rsidRDefault="00725977">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5846525C" id="_x0000_t202" coordsize="21600,21600" o:spt="202" path="m,l,21600r21600,l21600,xe">
              <v:stroke joinstyle="miter"/>
              <v:path gradientshapeok="t" o:connecttype="rect"/>
            </v:shapetype>
            <v:shape id="Textbox 143" o:spid="_x0000_s1042" type="#_x0000_t202" style="position:absolute;margin-left:55.7pt;margin-top:44.8pt;width:51.95pt;height:15.45pt;z-index:-251658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" filled="f" stroked="f">
              <v:textbox inset="0,0,0,0">
                <w:txbxContent>
                  <w:p w14:paraId="4FED5324" w14:textId="77777777" w:rsidR="00725977" w:rsidRPr="00D4309F" w:rsidRDefault="00725977">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1CE0EE" w14:textId="77777777" w:rsidR="00725977" w:rsidRPr="00D4309F" w:rsidRDefault="00725977">
    <w:pPr>
      <w:pStyle w:val="BodyText"/>
    </w:pPr>
    <w:r w:rsidRPr="00D4309F">
      <w:rPr>
        <w:noProof/>
      </w:rPr>
      <mc:AlternateContent>
        <mc:Choice Requires="wps">
          <w:drawing>
            <wp:anchor distT="0" distB="0" distL="0" distR="0" simplePos="0" relativeHeight="251658249" behindDoc="1" locked="0" layoutInCell="1" allowOverlap="1" wp14:anchorId="2160A0E8" wp14:editId="1309B548">
              <wp:simplePos x="0" y="0"/>
              <wp:positionH relativeFrom="page">
                <wp:posOffset>701040</wp:posOffset>
              </wp:positionH>
              <wp:positionV relativeFrom="page">
                <wp:posOffset>763511</wp:posOffset>
              </wp:positionV>
              <wp:extent cx="6158865" cy="6350"/>
              <wp:effectExtent l="0" t="0" r="0" b="0"/>
              <wp:wrapNone/>
              <wp:docPr id="147" name="Graphic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8865" cy="6350"/>
                      </a:xfrm>
                      <a:custGeom>
                        <a:avLst/>
                        <a:gdLst/>
                        <a:ahLst/>
                        <a:cxnLst/>
                        <a:rect l="l" t="t" r="r" b="b"/>
                        <a:pathLst>
                          <a:path w="6158865" h="6350">
                            <a:moveTo>
                              <a:pt x="6158484" y="0"/>
                            </a:moveTo>
                            <a:lnTo>
                              <a:pt x="0" y="0"/>
                            </a:lnTo>
                            <a:lnTo>
                              <a:pt x="0" y="6108"/>
                            </a:lnTo>
                            <a:lnTo>
                              <a:pt x="6158484" y="6108"/>
                            </a:lnTo>
                            <a:lnTo>
                              <a:pt x="6158484" y="0"/>
                            </a:lnTo>
                            <a:close/>
                          </a:path>
                        </a:pathLst>
                      </a:custGeom>
                      <a:solidFill>
                        <a:srgbClr val="5F6269"/>
                      </a:solidFill>
                    </wps:spPr>
                    <wps:bodyPr wrap="square" lIns="0" tIns="0" rIns="0" bIns="0" rtlCol="0">
                      <a:prstTxWarp prst="textNoShape">
                        <a:avLst/>
                      </a:prstTxWarp>
                      <a:noAutofit/>
                    </wps:bodyPr>
                  </wps:wsp>
                </a:graphicData>
              </a:graphic>
            </wp:anchor>
          </w:drawing>
        </mc:Choice>
        <mc:Fallback>
          <w:pict>
            <v:shape w14:anchorId="7BE1598B" id="Graphic 147" o:spid="_x0000_s1026" style="position:absolute;margin-left:55.2pt;margin-top:60.1pt;width:484.95pt;height:.5pt;z-index:-251658231;visibility:visible;mso-wrap-style:square;mso-wrap-distance-left:0;mso-wrap-distance-top:0;mso-wrap-distance-right:0;mso-wrap-distance-bottom:0;mso-position-horizontal:absolute;mso-position-horizontal-relative:page;mso-position-vertical:absolute;mso-position-vertical-relative:page;v-text-anchor:top" coordsize="615886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" path="m6158484,l,,,6108r6158484,l6158484,xe" fillcolor="#5f6269" stroked="f">
              <v:path arrowok="t"/>
              <w10:wrap anchorx="page" anchory="page"/>
            </v:shape>
          </w:pict>
        </mc:Fallback>
      </mc:AlternateContent>
    </w:r>
    <w:r w:rsidRPr="00D4309F">
      <w:rPr>
        <w:noProof/>
      </w:rPr>
      <mc:AlternateContent>
        <mc:Choice Requires="wps">
          <w:drawing>
            <wp:anchor distT="0" distB="0" distL="0" distR="0" simplePos="0" relativeHeight="251658250" behindDoc="1" locked="0" layoutInCell="1" allowOverlap="1" wp14:anchorId="767C4C31" wp14:editId="1983E71E">
              <wp:simplePos x="0" y="0"/>
              <wp:positionH relativeFrom="page">
                <wp:posOffset>707390</wp:posOffset>
              </wp:positionH>
              <wp:positionV relativeFrom="page">
                <wp:posOffset>568664</wp:posOffset>
              </wp:positionV>
              <wp:extent cx="659765" cy="196215"/>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765" cy="196215"/>
                      </a:xfrm>
                      <a:prstGeom prst="rect">
                        <a:avLst/>
                      </a:prstGeom>
                    </wps:spPr>
                    <wps:txbx>
                      <w:txbxContent>
                        <w:p w14:paraId="2520D1C7" w14:textId="77777777" w:rsidR="00725977" w:rsidRPr="00D4309F" w:rsidRDefault="00725977">
                          <w:pPr>
                            <w:spacing w:before="12"/>
                            <w:ind w:left="20"/>
                            <w:rPr>
                              <w:b/>
                              <w:sz w:val="24"/>
                            </w:rPr>
                          </w:pPr>
                          <w:r w:rsidRPr="00D4309F">
                            <w:rPr>
                              <w:b/>
                              <w:color w:val="5F6269"/>
                              <w:spacing w:val="-2"/>
                              <w:sz w:val="24"/>
                            </w:rPr>
                            <w:t>REPORT</w:t>
                          </w:r>
                        </w:p>
                      </w:txbxContent>
                    </wps:txbx>
                    <wps:bodyPr wrap="square" lIns="0" tIns="0" rIns="0" bIns="0" rtlCol="0">
                      <a:noAutofit/>
                    </wps:bodyPr>
                  </wps:wsp>
                </a:graphicData>
              </a:graphic>
            </wp:anchor>
          </w:drawing>
        </mc:Choice>
        <mc:Fallback>
          <w:pict>
            <v:shapetype w14:anchorId="767C4C31" id="_x0000_t202" coordsize="21600,21600" o:spt="202" path="m,l,21600r21600,l21600,xe">
              <v:stroke joinstyle="miter"/>
              <v:path gradientshapeok="t" o:connecttype="rect"/>
            </v:shapetype>
            <v:shape id="Textbox 148" o:spid="_x0000_s1044" type="#_x0000_t202" style="position:absolute;margin-left:55.7pt;margin-top:44.8pt;width:51.95pt;height:15.45pt;z-index:-25165823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" filled="f" stroked="f">
              <v:textbox inset="0,0,0,0">
                <w:txbxContent>
                  <w:p w14:paraId="2520D1C7" w14:textId="77777777" w:rsidR="00725977" w:rsidRPr="00D4309F" w:rsidRDefault="00725977">
                    <w:pPr>
                      <w:spacing w:before="12"/>
                      <w:ind w:left="20"/>
                      <w:rPr>
                        <w:b/>
                        <w:sz w:val="24"/>
                      </w:rPr>
                    </w:pPr>
                    <w:r w:rsidRPr="00D4309F">
                      <w:rPr>
                        <w:b/>
                        <w:color w:val="5F6269"/>
                        <w:spacing w:val="-2"/>
                        <w:sz w:val="24"/>
                      </w:rPr>
                      <w:t>REPORT</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C7215"/>
    <w:multiLevelType w:val="hybridMultilevel"/>
    <w:tmpl w:val="DF462B08"/>
    <w:lvl w:ilvl="0" w:tplc="15AA7844">
      <w:numFmt w:val="bullet"/>
      <w:lvlText w:val=""/>
      <w:lvlJc w:val="left"/>
      <w:pPr>
        <w:ind w:left="426" w:hanging="284"/>
      </w:pPr>
      <w:rPr>
        <w:rFonts w:ascii="Symbol" w:eastAsia="Symbol" w:hAnsi="Symbol" w:cs="Symbol" w:hint="default"/>
        <w:b w:val="0"/>
        <w:bCs w:val="0"/>
        <w:i w:val="0"/>
        <w:iCs w:val="0"/>
        <w:color w:val="70004A"/>
        <w:spacing w:val="0"/>
        <w:w w:val="100"/>
        <w:sz w:val="18"/>
        <w:szCs w:val="18"/>
        <w:lang w:val="en-US" w:eastAsia="en-US" w:bidi="ar-SA"/>
      </w:rPr>
    </w:lvl>
    <w:lvl w:ilvl="1" w:tplc="6D0248F6">
      <w:numFmt w:val="bullet"/>
      <w:lvlText w:val="•"/>
      <w:lvlJc w:val="left"/>
      <w:pPr>
        <w:ind w:left="613" w:hanging="284"/>
      </w:pPr>
      <w:rPr>
        <w:rFonts w:hint="default"/>
        <w:lang w:val="en-US" w:eastAsia="en-US" w:bidi="ar-SA"/>
      </w:rPr>
    </w:lvl>
    <w:lvl w:ilvl="2" w:tplc="981ACCAE">
      <w:numFmt w:val="bullet"/>
      <w:lvlText w:val="•"/>
      <w:lvlJc w:val="left"/>
      <w:pPr>
        <w:ind w:left="807" w:hanging="284"/>
      </w:pPr>
      <w:rPr>
        <w:rFonts w:hint="default"/>
        <w:lang w:val="en-US" w:eastAsia="en-US" w:bidi="ar-SA"/>
      </w:rPr>
    </w:lvl>
    <w:lvl w:ilvl="3" w:tplc="B2E6B292">
      <w:numFmt w:val="bullet"/>
      <w:lvlText w:val="•"/>
      <w:lvlJc w:val="left"/>
      <w:pPr>
        <w:ind w:left="1001" w:hanging="284"/>
      </w:pPr>
      <w:rPr>
        <w:rFonts w:hint="default"/>
        <w:lang w:val="en-US" w:eastAsia="en-US" w:bidi="ar-SA"/>
      </w:rPr>
    </w:lvl>
    <w:lvl w:ilvl="4" w:tplc="F7761B5A">
      <w:numFmt w:val="bullet"/>
      <w:lvlText w:val="•"/>
      <w:lvlJc w:val="left"/>
      <w:pPr>
        <w:ind w:left="1194" w:hanging="284"/>
      </w:pPr>
      <w:rPr>
        <w:rFonts w:hint="default"/>
        <w:lang w:val="en-US" w:eastAsia="en-US" w:bidi="ar-SA"/>
      </w:rPr>
    </w:lvl>
    <w:lvl w:ilvl="5" w:tplc="BAB41318">
      <w:numFmt w:val="bullet"/>
      <w:lvlText w:val="•"/>
      <w:lvlJc w:val="left"/>
      <w:pPr>
        <w:ind w:left="1388" w:hanging="284"/>
      </w:pPr>
      <w:rPr>
        <w:rFonts w:hint="default"/>
        <w:lang w:val="en-US" w:eastAsia="en-US" w:bidi="ar-SA"/>
      </w:rPr>
    </w:lvl>
    <w:lvl w:ilvl="6" w:tplc="BF9439BA">
      <w:numFmt w:val="bullet"/>
      <w:lvlText w:val="•"/>
      <w:lvlJc w:val="left"/>
      <w:pPr>
        <w:ind w:left="1582" w:hanging="284"/>
      </w:pPr>
      <w:rPr>
        <w:rFonts w:hint="default"/>
        <w:lang w:val="en-US" w:eastAsia="en-US" w:bidi="ar-SA"/>
      </w:rPr>
    </w:lvl>
    <w:lvl w:ilvl="7" w:tplc="F1DC0984">
      <w:numFmt w:val="bullet"/>
      <w:lvlText w:val="•"/>
      <w:lvlJc w:val="left"/>
      <w:pPr>
        <w:ind w:left="1775" w:hanging="284"/>
      </w:pPr>
      <w:rPr>
        <w:rFonts w:hint="default"/>
        <w:lang w:val="en-US" w:eastAsia="en-US" w:bidi="ar-SA"/>
      </w:rPr>
    </w:lvl>
    <w:lvl w:ilvl="8" w:tplc="56962624">
      <w:numFmt w:val="bullet"/>
      <w:lvlText w:val="•"/>
      <w:lvlJc w:val="left"/>
      <w:pPr>
        <w:ind w:left="1969" w:hanging="284"/>
      </w:pPr>
      <w:rPr>
        <w:rFonts w:hint="default"/>
        <w:lang w:val="en-US" w:eastAsia="en-US" w:bidi="ar-SA"/>
      </w:rPr>
    </w:lvl>
  </w:abstractNum>
  <w:abstractNum w:abstractNumId="1" w15:restartNumberingAfterBreak="0">
    <w:nsid w:val="00BB3DBD"/>
    <w:multiLevelType w:val="hybridMultilevel"/>
    <w:tmpl w:val="77E4FCAA"/>
    <w:lvl w:ilvl="0" w:tplc="C57E0836">
      <w:numFmt w:val="bullet"/>
      <w:lvlText w:val=""/>
      <w:lvlJc w:val="left"/>
      <w:pPr>
        <w:ind w:left="501" w:hanging="360"/>
      </w:pPr>
      <w:rPr>
        <w:rFonts w:ascii="Symbol" w:eastAsia="Symbol" w:hAnsi="Symbol" w:cs="Symbol" w:hint="default"/>
        <w:b w:val="0"/>
        <w:bCs w:val="0"/>
        <w:i w:val="0"/>
        <w:iCs w:val="0"/>
        <w:color w:val="70004A"/>
        <w:spacing w:val="0"/>
        <w:w w:val="100"/>
        <w:sz w:val="20"/>
        <w:szCs w:val="20"/>
        <w:lang w:val="en-US" w:eastAsia="en-US" w:bidi="ar-SA"/>
      </w:rPr>
    </w:lvl>
    <w:lvl w:ilvl="1" w:tplc="47B2CB7E">
      <w:numFmt w:val="bullet"/>
      <w:lvlText w:val="•"/>
      <w:lvlJc w:val="left"/>
      <w:pPr>
        <w:ind w:left="1428" w:hanging="360"/>
      </w:pPr>
      <w:rPr>
        <w:rFonts w:hint="default"/>
        <w:lang w:val="en-US" w:eastAsia="en-US" w:bidi="ar-SA"/>
      </w:rPr>
    </w:lvl>
    <w:lvl w:ilvl="2" w:tplc="4E14C65E">
      <w:numFmt w:val="bullet"/>
      <w:lvlText w:val="•"/>
      <w:lvlJc w:val="left"/>
      <w:pPr>
        <w:ind w:left="2356" w:hanging="360"/>
      </w:pPr>
      <w:rPr>
        <w:rFonts w:hint="default"/>
        <w:lang w:val="en-US" w:eastAsia="en-US" w:bidi="ar-SA"/>
      </w:rPr>
    </w:lvl>
    <w:lvl w:ilvl="3" w:tplc="81228F4E">
      <w:numFmt w:val="bullet"/>
      <w:lvlText w:val="•"/>
      <w:lvlJc w:val="left"/>
      <w:pPr>
        <w:ind w:left="3284" w:hanging="360"/>
      </w:pPr>
      <w:rPr>
        <w:rFonts w:hint="default"/>
        <w:lang w:val="en-US" w:eastAsia="en-US" w:bidi="ar-SA"/>
      </w:rPr>
    </w:lvl>
    <w:lvl w:ilvl="4" w:tplc="28EC4C10">
      <w:numFmt w:val="bullet"/>
      <w:lvlText w:val="•"/>
      <w:lvlJc w:val="left"/>
      <w:pPr>
        <w:ind w:left="4212" w:hanging="360"/>
      </w:pPr>
      <w:rPr>
        <w:rFonts w:hint="default"/>
        <w:lang w:val="en-US" w:eastAsia="en-US" w:bidi="ar-SA"/>
      </w:rPr>
    </w:lvl>
    <w:lvl w:ilvl="5" w:tplc="67FC881E">
      <w:numFmt w:val="bullet"/>
      <w:lvlText w:val="•"/>
      <w:lvlJc w:val="left"/>
      <w:pPr>
        <w:ind w:left="5140" w:hanging="360"/>
      </w:pPr>
      <w:rPr>
        <w:rFonts w:hint="default"/>
        <w:lang w:val="en-US" w:eastAsia="en-US" w:bidi="ar-SA"/>
      </w:rPr>
    </w:lvl>
    <w:lvl w:ilvl="6" w:tplc="61546DE2">
      <w:numFmt w:val="bullet"/>
      <w:lvlText w:val="•"/>
      <w:lvlJc w:val="left"/>
      <w:pPr>
        <w:ind w:left="6068" w:hanging="360"/>
      </w:pPr>
      <w:rPr>
        <w:rFonts w:hint="default"/>
        <w:lang w:val="en-US" w:eastAsia="en-US" w:bidi="ar-SA"/>
      </w:rPr>
    </w:lvl>
    <w:lvl w:ilvl="7" w:tplc="E1283FE6">
      <w:numFmt w:val="bullet"/>
      <w:lvlText w:val="•"/>
      <w:lvlJc w:val="left"/>
      <w:pPr>
        <w:ind w:left="6996" w:hanging="360"/>
      </w:pPr>
      <w:rPr>
        <w:rFonts w:hint="default"/>
        <w:lang w:val="en-US" w:eastAsia="en-US" w:bidi="ar-SA"/>
      </w:rPr>
    </w:lvl>
    <w:lvl w:ilvl="8" w:tplc="BF524606">
      <w:numFmt w:val="bullet"/>
      <w:lvlText w:val="•"/>
      <w:lvlJc w:val="left"/>
      <w:pPr>
        <w:ind w:left="7925" w:hanging="360"/>
      </w:pPr>
      <w:rPr>
        <w:rFonts w:hint="default"/>
        <w:lang w:val="en-US" w:eastAsia="en-US" w:bidi="ar-SA"/>
      </w:rPr>
    </w:lvl>
  </w:abstractNum>
  <w:abstractNum w:abstractNumId="2" w15:restartNumberingAfterBreak="0">
    <w:nsid w:val="01723072"/>
    <w:multiLevelType w:val="hybridMultilevel"/>
    <w:tmpl w:val="6D50F860"/>
    <w:lvl w:ilvl="0" w:tplc="09E0343A">
      <w:numFmt w:val="bullet"/>
      <w:lvlText w:val=""/>
      <w:lvlJc w:val="left"/>
      <w:pPr>
        <w:ind w:left="426" w:hanging="284"/>
      </w:pPr>
      <w:rPr>
        <w:rFonts w:ascii="Symbol" w:eastAsia="Symbol" w:hAnsi="Symbol" w:cs="Symbol" w:hint="default"/>
        <w:b w:val="0"/>
        <w:bCs w:val="0"/>
        <w:i w:val="0"/>
        <w:iCs w:val="0"/>
        <w:color w:val="70004A"/>
        <w:spacing w:val="0"/>
        <w:w w:val="100"/>
        <w:sz w:val="18"/>
        <w:szCs w:val="18"/>
        <w:lang w:val="en-US" w:eastAsia="en-US" w:bidi="ar-SA"/>
      </w:rPr>
    </w:lvl>
    <w:lvl w:ilvl="1" w:tplc="0436E56E">
      <w:numFmt w:val="bullet"/>
      <w:lvlText w:val="•"/>
      <w:lvlJc w:val="left"/>
      <w:pPr>
        <w:ind w:left="613" w:hanging="284"/>
      </w:pPr>
      <w:rPr>
        <w:rFonts w:hint="default"/>
        <w:lang w:val="en-US" w:eastAsia="en-US" w:bidi="ar-SA"/>
      </w:rPr>
    </w:lvl>
    <w:lvl w:ilvl="2" w:tplc="2B6294EA">
      <w:numFmt w:val="bullet"/>
      <w:lvlText w:val="•"/>
      <w:lvlJc w:val="left"/>
      <w:pPr>
        <w:ind w:left="807" w:hanging="284"/>
      </w:pPr>
      <w:rPr>
        <w:rFonts w:hint="default"/>
        <w:lang w:val="en-US" w:eastAsia="en-US" w:bidi="ar-SA"/>
      </w:rPr>
    </w:lvl>
    <w:lvl w:ilvl="3" w:tplc="6538A350">
      <w:numFmt w:val="bullet"/>
      <w:lvlText w:val="•"/>
      <w:lvlJc w:val="left"/>
      <w:pPr>
        <w:ind w:left="1001" w:hanging="284"/>
      </w:pPr>
      <w:rPr>
        <w:rFonts w:hint="default"/>
        <w:lang w:val="en-US" w:eastAsia="en-US" w:bidi="ar-SA"/>
      </w:rPr>
    </w:lvl>
    <w:lvl w:ilvl="4" w:tplc="E74CE6CA">
      <w:numFmt w:val="bullet"/>
      <w:lvlText w:val="•"/>
      <w:lvlJc w:val="left"/>
      <w:pPr>
        <w:ind w:left="1194" w:hanging="284"/>
      </w:pPr>
      <w:rPr>
        <w:rFonts w:hint="default"/>
        <w:lang w:val="en-US" w:eastAsia="en-US" w:bidi="ar-SA"/>
      </w:rPr>
    </w:lvl>
    <w:lvl w:ilvl="5" w:tplc="7DAA80C2">
      <w:numFmt w:val="bullet"/>
      <w:lvlText w:val="•"/>
      <w:lvlJc w:val="left"/>
      <w:pPr>
        <w:ind w:left="1388" w:hanging="284"/>
      </w:pPr>
      <w:rPr>
        <w:rFonts w:hint="default"/>
        <w:lang w:val="en-US" w:eastAsia="en-US" w:bidi="ar-SA"/>
      </w:rPr>
    </w:lvl>
    <w:lvl w:ilvl="6" w:tplc="1542D7EE">
      <w:numFmt w:val="bullet"/>
      <w:lvlText w:val="•"/>
      <w:lvlJc w:val="left"/>
      <w:pPr>
        <w:ind w:left="1582" w:hanging="284"/>
      </w:pPr>
      <w:rPr>
        <w:rFonts w:hint="default"/>
        <w:lang w:val="en-US" w:eastAsia="en-US" w:bidi="ar-SA"/>
      </w:rPr>
    </w:lvl>
    <w:lvl w:ilvl="7" w:tplc="6A6415C8">
      <w:numFmt w:val="bullet"/>
      <w:lvlText w:val="•"/>
      <w:lvlJc w:val="left"/>
      <w:pPr>
        <w:ind w:left="1775" w:hanging="284"/>
      </w:pPr>
      <w:rPr>
        <w:rFonts w:hint="default"/>
        <w:lang w:val="en-US" w:eastAsia="en-US" w:bidi="ar-SA"/>
      </w:rPr>
    </w:lvl>
    <w:lvl w:ilvl="8" w:tplc="E8F0E220">
      <w:numFmt w:val="bullet"/>
      <w:lvlText w:val="•"/>
      <w:lvlJc w:val="left"/>
      <w:pPr>
        <w:ind w:left="1969" w:hanging="284"/>
      </w:pPr>
      <w:rPr>
        <w:rFonts w:hint="default"/>
        <w:lang w:val="en-US" w:eastAsia="en-US" w:bidi="ar-SA"/>
      </w:rPr>
    </w:lvl>
  </w:abstractNum>
  <w:abstractNum w:abstractNumId="3" w15:restartNumberingAfterBreak="0">
    <w:nsid w:val="01C939C8"/>
    <w:multiLevelType w:val="hybridMultilevel"/>
    <w:tmpl w:val="F5681CFA"/>
    <w:lvl w:ilvl="0" w:tplc="62C6D7C6">
      <w:start w:val="1"/>
      <w:numFmt w:val="decimal"/>
      <w:lvlText w:val="%1."/>
      <w:lvlJc w:val="left"/>
      <w:pPr>
        <w:ind w:left="578" w:hanging="425"/>
      </w:pPr>
      <w:rPr>
        <w:rFonts w:ascii="Arial" w:eastAsia="Arial" w:hAnsi="Arial" w:cs="Arial" w:hint="default"/>
        <w:b w:val="0"/>
        <w:bCs w:val="0"/>
        <w:i w:val="0"/>
        <w:iCs w:val="0"/>
        <w:color w:val="70004A"/>
        <w:spacing w:val="-1"/>
        <w:w w:val="100"/>
        <w:sz w:val="14"/>
        <w:szCs w:val="14"/>
        <w:lang w:val="en-US" w:eastAsia="en-US" w:bidi="ar-SA"/>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1F25CA9"/>
    <w:multiLevelType w:val="hybridMultilevel"/>
    <w:tmpl w:val="01B8420A"/>
    <w:lvl w:ilvl="0" w:tplc="01D48524">
      <w:numFmt w:val="bullet"/>
      <w:lvlText w:val=""/>
      <w:lvlJc w:val="left"/>
      <w:pPr>
        <w:ind w:left="475" w:hanging="284"/>
      </w:pPr>
      <w:rPr>
        <w:rFonts w:ascii="Symbol" w:eastAsia="Symbol" w:hAnsi="Symbol" w:cs="Symbol" w:hint="default"/>
        <w:b w:val="0"/>
        <w:bCs w:val="0"/>
        <w:i w:val="0"/>
        <w:iCs w:val="0"/>
        <w:color w:val="70004A"/>
        <w:spacing w:val="0"/>
        <w:w w:val="100"/>
        <w:sz w:val="18"/>
        <w:szCs w:val="18"/>
        <w:lang w:val="en-US" w:eastAsia="en-US" w:bidi="ar-SA"/>
      </w:rPr>
    </w:lvl>
    <w:lvl w:ilvl="1" w:tplc="39C0D8B0">
      <w:numFmt w:val="bullet"/>
      <w:lvlText w:val="•"/>
      <w:lvlJc w:val="left"/>
      <w:pPr>
        <w:ind w:left="643" w:hanging="284"/>
      </w:pPr>
      <w:rPr>
        <w:rFonts w:hint="default"/>
        <w:lang w:val="en-US" w:eastAsia="en-US" w:bidi="ar-SA"/>
      </w:rPr>
    </w:lvl>
    <w:lvl w:ilvl="2" w:tplc="71204142">
      <w:numFmt w:val="bullet"/>
      <w:lvlText w:val="•"/>
      <w:lvlJc w:val="left"/>
      <w:pPr>
        <w:ind w:left="807" w:hanging="284"/>
      </w:pPr>
      <w:rPr>
        <w:rFonts w:hint="default"/>
        <w:lang w:val="en-US" w:eastAsia="en-US" w:bidi="ar-SA"/>
      </w:rPr>
    </w:lvl>
    <w:lvl w:ilvl="3" w:tplc="FE4061EA">
      <w:numFmt w:val="bullet"/>
      <w:lvlText w:val="•"/>
      <w:lvlJc w:val="left"/>
      <w:pPr>
        <w:ind w:left="970" w:hanging="284"/>
      </w:pPr>
      <w:rPr>
        <w:rFonts w:hint="default"/>
        <w:lang w:val="en-US" w:eastAsia="en-US" w:bidi="ar-SA"/>
      </w:rPr>
    </w:lvl>
    <w:lvl w:ilvl="4" w:tplc="A30A2AC0">
      <w:numFmt w:val="bullet"/>
      <w:lvlText w:val="•"/>
      <w:lvlJc w:val="left"/>
      <w:pPr>
        <w:ind w:left="1134" w:hanging="284"/>
      </w:pPr>
      <w:rPr>
        <w:rFonts w:hint="default"/>
        <w:lang w:val="en-US" w:eastAsia="en-US" w:bidi="ar-SA"/>
      </w:rPr>
    </w:lvl>
    <w:lvl w:ilvl="5" w:tplc="8ABEFBE0">
      <w:numFmt w:val="bullet"/>
      <w:lvlText w:val="•"/>
      <w:lvlJc w:val="left"/>
      <w:pPr>
        <w:ind w:left="1297" w:hanging="284"/>
      </w:pPr>
      <w:rPr>
        <w:rFonts w:hint="default"/>
        <w:lang w:val="en-US" w:eastAsia="en-US" w:bidi="ar-SA"/>
      </w:rPr>
    </w:lvl>
    <w:lvl w:ilvl="6" w:tplc="4F1AE938">
      <w:numFmt w:val="bullet"/>
      <w:lvlText w:val="•"/>
      <w:lvlJc w:val="left"/>
      <w:pPr>
        <w:ind w:left="1461" w:hanging="284"/>
      </w:pPr>
      <w:rPr>
        <w:rFonts w:hint="default"/>
        <w:lang w:val="en-US" w:eastAsia="en-US" w:bidi="ar-SA"/>
      </w:rPr>
    </w:lvl>
    <w:lvl w:ilvl="7" w:tplc="CB3C397E">
      <w:numFmt w:val="bullet"/>
      <w:lvlText w:val="•"/>
      <w:lvlJc w:val="left"/>
      <w:pPr>
        <w:ind w:left="1624" w:hanging="284"/>
      </w:pPr>
      <w:rPr>
        <w:rFonts w:hint="default"/>
        <w:lang w:val="en-US" w:eastAsia="en-US" w:bidi="ar-SA"/>
      </w:rPr>
    </w:lvl>
    <w:lvl w:ilvl="8" w:tplc="ECCCE804">
      <w:numFmt w:val="bullet"/>
      <w:lvlText w:val="•"/>
      <w:lvlJc w:val="left"/>
      <w:pPr>
        <w:ind w:left="1788" w:hanging="284"/>
      </w:pPr>
      <w:rPr>
        <w:rFonts w:hint="default"/>
        <w:lang w:val="en-US" w:eastAsia="en-US" w:bidi="ar-SA"/>
      </w:rPr>
    </w:lvl>
  </w:abstractNum>
  <w:abstractNum w:abstractNumId="5" w15:restartNumberingAfterBreak="0">
    <w:nsid w:val="02453628"/>
    <w:multiLevelType w:val="hybridMultilevel"/>
    <w:tmpl w:val="9BDCEA4A"/>
    <w:lvl w:ilvl="0" w:tplc="C7D835C2">
      <w:numFmt w:val="bullet"/>
      <w:lvlText w:val=""/>
      <w:lvlJc w:val="left"/>
      <w:pPr>
        <w:ind w:left="483" w:hanging="284"/>
      </w:pPr>
      <w:rPr>
        <w:rFonts w:ascii="Symbol" w:eastAsia="Symbol" w:hAnsi="Symbol" w:cs="Symbol" w:hint="default"/>
        <w:b w:val="0"/>
        <w:bCs w:val="0"/>
        <w:i w:val="0"/>
        <w:iCs w:val="0"/>
        <w:color w:val="70004A"/>
        <w:spacing w:val="0"/>
        <w:w w:val="100"/>
        <w:sz w:val="18"/>
        <w:szCs w:val="18"/>
        <w:lang w:val="en-US" w:eastAsia="en-US" w:bidi="ar-SA"/>
      </w:rPr>
    </w:lvl>
    <w:lvl w:ilvl="1" w:tplc="E1F4CC30">
      <w:numFmt w:val="bullet"/>
      <w:lvlText w:val="•"/>
      <w:lvlJc w:val="left"/>
      <w:pPr>
        <w:ind w:left="747" w:hanging="284"/>
      </w:pPr>
      <w:rPr>
        <w:rFonts w:hint="default"/>
        <w:lang w:val="en-US" w:eastAsia="en-US" w:bidi="ar-SA"/>
      </w:rPr>
    </w:lvl>
    <w:lvl w:ilvl="2" w:tplc="020CFEA2">
      <w:numFmt w:val="bullet"/>
      <w:lvlText w:val="•"/>
      <w:lvlJc w:val="left"/>
      <w:pPr>
        <w:ind w:left="1015" w:hanging="284"/>
      </w:pPr>
      <w:rPr>
        <w:rFonts w:hint="default"/>
        <w:lang w:val="en-US" w:eastAsia="en-US" w:bidi="ar-SA"/>
      </w:rPr>
    </w:lvl>
    <w:lvl w:ilvl="3" w:tplc="4F804926">
      <w:numFmt w:val="bullet"/>
      <w:lvlText w:val="•"/>
      <w:lvlJc w:val="left"/>
      <w:pPr>
        <w:ind w:left="1283" w:hanging="284"/>
      </w:pPr>
      <w:rPr>
        <w:rFonts w:hint="default"/>
        <w:lang w:val="en-US" w:eastAsia="en-US" w:bidi="ar-SA"/>
      </w:rPr>
    </w:lvl>
    <w:lvl w:ilvl="4" w:tplc="8AA8F2EC">
      <w:numFmt w:val="bullet"/>
      <w:lvlText w:val="•"/>
      <w:lvlJc w:val="left"/>
      <w:pPr>
        <w:ind w:left="1551" w:hanging="284"/>
      </w:pPr>
      <w:rPr>
        <w:rFonts w:hint="default"/>
        <w:lang w:val="en-US" w:eastAsia="en-US" w:bidi="ar-SA"/>
      </w:rPr>
    </w:lvl>
    <w:lvl w:ilvl="5" w:tplc="11BCAC0E">
      <w:numFmt w:val="bullet"/>
      <w:lvlText w:val="•"/>
      <w:lvlJc w:val="left"/>
      <w:pPr>
        <w:ind w:left="1819" w:hanging="284"/>
      </w:pPr>
      <w:rPr>
        <w:rFonts w:hint="default"/>
        <w:lang w:val="en-US" w:eastAsia="en-US" w:bidi="ar-SA"/>
      </w:rPr>
    </w:lvl>
    <w:lvl w:ilvl="6" w:tplc="2D1CE47E">
      <w:numFmt w:val="bullet"/>
      <w:lvlText w:val="•"/>
      <w:lvlJc w:val="left"/>
      <w:pPr>
        <w:ind w:left="2087" w:hanging="284"/>
      </w:pPr>
      <w:rPr>
        <w:rFonts w:hint="default"/>
        <w:lang w:val="en-US" w:eastAsia="en-US" w:bidi="ar-SA"/>
      </w:rPr>
    </w:lvl>
    <w:lvl w:ilvl="7" w:tplc="77825A66">
      <w:numFmt w:val="bullet"/>
      <w:lvlText w:val="•"/>
      <w:lvlJc w:val="left"/>
      <w:pPr>
        <w:ind w:left="2355" w:hanging="284"/>
      </w:pPr>
      <w:rPr>
        <w:rFonts w:hint="default"/>
        <w:lang w:val="en-US" w:eastAsia="en-US" w:bidi="ar-SA"/>
      </w:rPr>
    </w:lvl>
    <w:lvl w:ilvl="8" w:tplc="6E541DD0">
      <w:numFmt w:val="bullet"/>
      <w:lvlText w:val="•"/>
      <w:lvlJc w:val="left"/>
      <w:pPr>
        <w:ind w:left="2623" w:hanging="284"/>
      </w:pPr>
      <w:rPr>
        <w:rFonts w:hint="default"/>
        <w:lang w:val="en-US" w:eastAsia="en-US" w:bidi="ar-SA"/>
      </w:rPr>
    </w:lvl>
  </w:abstractNum>
  <w:abstractNum w:abstractNumId="6" w15:restartNumberingAfterBreak="0">
    <w:nsid w:val="026A3BFB"/>
    <w:multiLevelType w:val="hybridMultilevel"/>
    <w:tmpl w:val="98EE6436"/>
    <w:lvl w:ilvl="0" w:tplc="CB1C7D1E">
      <w:numFmt w:val="bullet"/>
      <w:lvlText w:val=""/>
      <w:lvlJc w:val="left"/>
      <w:pPr>
        <w:ind w:left="438" w:hanging="284"/>
      </w:pPr>
      <w:rPr>
        <w:rFonts w:ascii="Symbol" w:eastAsia="Symbol" w:hAnsi="Symbol" w:cs="Symbol" w:hint="default"/>
        <w:b w:val="0"/>
        <w:bCs w:val="0"/>
        <w:i w:val="0"/>
        <w:iCs w:val="0"/>
        <w:color w:val="70004A"/>
        <w:spacing w:val="0"/>
        <w:w w:val="100"/>
        <w:sz w:val="18"/>
        <w:szCs w:val="18"/>
        <w:lang w:val="en-US" w:eastAsia="en-US" w:bidi="ar-SA"/>
      </w:rPr>
    </w:lvl>
    <w:lvl w:ilvl="1" w:tplc="7CA09BF0">
      <w:numFmt w:val="bullet"/>
      <w:lvlText w:val="•"/>
      <w:lvlJc w:val="left"/>
      <w:pPr>
        <w:ind w:left="654" w:hanging="284"/>
      </w:pPr>
      <w:rPr>
        <w:rFonts w:hint="default"/>
        <w:lang w:val="en-US" w:eastAsia="en-US" w:bidi="ar-SA"/>
      </w:rPr>
    </w:lvl>
    <w:lvl w:ilvl="2" w:tplc="BBECBD58">
      <w:numFmt w:val="bullet"/>
      <w:lvlText w:val="•"/>
      <w:lvlJc w:val="left"/>
      <w:pPr>
        <w:ind w:left="869" w:hanging="284"/>
      </w:pPr>
      <w:rPr>
        <w:rFonts w:hint="default"/>
        <w:lang w:val="en-US" w:eastAsia="en-US" w:bidi="ar-SA"/>
      </w:rPr>
    </w:lvl>
    <w:lvl w:ilvl="3" w:tplc="7D86E594">
      <w:numFmt w:val="bullet"/>
      <w:lvlText w:val="•"/>
      <w:lvlJc w:val="left"/>
      <w:pPr>
        <w:ind w:left="1084" w:hanging="284"/>
      </w:pPr>
      <w:rPr>
        <w:rFonts w:hint="default"/>
        <w:lang w:val="en-US" w:eastAsia="en-US" w:bidi="ar-SA"/>
      </w:rPr>
    </w:lvl>
    <w:lvl w:ilvl="4" w:tplc="079EAAE6">
      <w:numFmt w:val="bullet"/>
      <w:lvlText w:val="•"/>
      <w:lvlJc w:val="left"/>
      <w:pPr>
        <w:ind w:left="1298" w:hanging="284"/>
      </w:pPr>
      <w:rPr>
        <w:rFonts w:hint="default"/>
        <w:lang w:val="en-US" w:eastAsia="en-US" w:bidi="ar-SA"/>
      </w:rPr>
    </w:lvl>
    <w:lvl w:ilvl="5" w:tplc="A61E3A12">
      <w:numFmt w:val="bullet"/>
      <w:lvlText w:val="•"/>
      <w:lvlJc w:val="left"/>
      <w:pPr>
        <w:ind w:left="1513" w:hanging="284"/>
      </w:pPr>
      <w:rPr>
        <w:rFonts w:hint="default"/>
        <w:lang w:val="en-US" w:eastAsia="en-US" w:bidi="ar-SA"/>
      </w:rPr>
    </w:lvl>
    <w:lvl w:ilvl="6" w:tplc="4DECD596">
      <w:numFmt w:val="bullet"/>
      <w:lvlText w:val="•"/>
      <w:lvlJc w:val="left"/>
      <w:pPr>
        <w:ind w:left="1728" w:hanging="284"/>
      </w:pPr>
      <w:rPr>
        <w:rFonts w:hint="default"/>
        <w:lang w:val="en-US" w:eastAsia="en-US" w:bidi="ar-SA"/>
      </w:rPr>
    </w:lvl>
    <w:lvl w:ilvl="7" w:tplc="70D03836">
      <w:numFmt w:val="bullet"/>
      <w:lvlText w:val="•"/>
      <w:lvlJc w:val="left"/>
      <w:pPr>
        <w:ind w:left="1942" w:hanging="284"/>
      </w:pPr>
      <w:rPr>
        <w:rFonts w:hint="default"/>
        <w:lang w:val="en-US" w:eastAsia="en-US" w:bidi="ar-SA"/>
      </w:rPr>
    </w:lvl>
    <w:lvl w:ilvl="8" w:tplc="C780EC5A">
      <w:numFmt w:val="bullet"/>
      <w:lvlText w:val="•"/>
      <w:lvlJc w:val="left"/>
      <w:pPr>
        <w:ind w:left="2157" w:hanging="284"/>
      </w:pPr>
      <w:rPr>
        <w:rFonts w:hint="default"/>
        <w:lang w:val="en-US" w:eastAsia="en-US" w:bidi="ar-SA"/>
      </w:rPr>
    </w:lvl>
  </w:abstractNum>
  <w:abstractNum w:abstractNumId="7" w15:restartNumberingAfterBreak="0">
    <w:nsid w:val="038D6EE7"/>
    <w:multiLevelType w:val="hybridMultilevel"/>
    <w:tmpl w:val="B4B63BF6"/>
    <w:lvl w:ilvl="0" w:tplc="D29A0312">
      <w:numFmt w:val="bullet"/>
      <w:lvlText w:val=""/>
      <w:lvlJc w:val="left"/>
      <w:pPr>
        <w:ind w:left="320" w:hanging="284"/>
      </w:pPr>
      <w:rPr>
        <w:rFonts w:ascii="Symbol" w:eastAsia="Symbol" w:hAnsi="Symbol" w:cs="Symbol" w:hint="default"/>
        <w:b w:val="0"/>
        <w:bCs w:val="0"/>
        <w:i w:val="0"/>
        <w:iCs w:val="0"/>
        <w:color w:val="70004A"/>
        <w:spacing w:val="0"/>
        <w:w w:val="100"/>
        <w:sz w:val="18"/>
        <w:szCs w:val="18"/>
        <w:lang w:val="en-US" w:eastAsia="en-US" w:bidi="ar-SA"/>
      </w:rPr>
    </w:lvl>
    <w:lvl w:ilvl="1" w:tplc="0F78E8C2">
      <w:numFmt w:val="bullet"/>
      <w:lvlText w:val="•"/>
      <w:lvlJc w:val="left"/>
      <w:pPr>
        <w:ind w:left="429" w:hanging="284"/>
      </w:pPr>
      <w:rPr>
        <w:rFonts w:hint="default"/>
        <w:lang w:val="en-US" w:eastAsia="en-US" w:bidi="ar-SA"/>
      </w:rPr>
    </w:lvl>
    <w:lvl w:ilvl="2" w:tplc="0A92E2BC">
      <w:numFmt w:val="bullet"/>
      <w:lvlText w:val="•"/>
      <w:lvlJc w:val="left"/>
      <w:pPr>
        <w:ind w:left="538" w:hanging="284"/>
      </w:pPr>
      <w:rPr>
        <w:rFonts w:hint="default"/>
        <w:lang w:val="en-US" w:eastAsia="en-US" w:bidi="ar-SA"/>
      </w:rPr>
    </w:lvl>
    <w:lvl w:ilvl="3" w:tplc="FEA6BB0C">
      <w:numFmt w:val="bullet"/>
      <w:lvlText w:val="•"/>
      <w:lvlJc w:val="left"/>
      <w:pPr>
        <w:ind w:left="647" w:hanging="284"/>
      </w:pPr>
      <w:rPr>
        <w:rFonts w:hint="default"/>
        <w:lang w:val="en-US" w:eastAsia="en-US" w:bidi="ar-SA"/>
      </w:rPr>
    </w:lvl>
    <w:lvl w:ilvl="4" w:tplc="4328B736">
      <w:numFmt w:val="bullet"/>
      <w:lvlText w:val="•"/>
      <w:lvlJc w:val="left"/>
      <w:pPr>
        <w:ind w:left="756" w:hanging="284"/>
      </w:pPr>
      <w:rPr>
        <w:rFonts w:hint="default"/>
        <w:lang w:val="en-US" w:eastAsia="en-US" w:bidi="ar-SA"/>
      </w:rPr>
    </w:lvl>
    <w:lvl w:ilvl="5" w:tplc="0DBAD514">
      <w:numFmt w:val="bullet"/>
      <w:lvlText w:val="•"/>
      <w:lvlJc w:val="left"/>
      <w:pPr>
        <w:ind w:left="866" w:hanging="284"/>
      </w:pPr>
      <w:rPr>
        <w:rFonts w:hint="default"/>
        <w:lang w:val="en-US" w:eastAsia="en-US" w:bidi="ar-SA"/>
      </w:rPr>
    </w:lvl>
    <w:lvl w:ilvl="6" w:tplc="099A9522">
      <w:numFmt w:val="bullet"/>
      <w:lvlText w:val="•"/>
      <w:lvlJc w:val="left"/>
      <w:pPr>
        <w:ind w:left="975" w:hanging="284"/>
      </w:pPr>
      <w:rPr>
        <w:rFonts w:hint="default"/>
        <w:lang w:val="en-US" w:eastAsia="en-US" w:bidi="ar-SA"/>
      </w:rPr>
    </w:lvl>
    <w:lvl w:ilvl="7" w:tplc="E5F805E8">
      <w:numFmt w:val="bullet"/>
      <w:lvlText w:val="•"/>
      <w:lvlJc w:val="left"/>
      <w:pPr>
        <w:ind w:left="1084" w:hanging="284"/>
      </w:pPr>
      <w:rPr>
        <w:rFonts w:hint="default"/>
        <w:lang w:val="en-US" w:eastAsia="en-US" w:bidi="ar-SA"/>
      </w:rPr>
    </w:lvl>
    <w:lvl w:ilvl="8" w:tplc="0F8A6F10">
      <w:numFmt w:val="bullet"/>
      <w:lvlText w:val="•"/>
      <w:lvlJc w:val="left"/>
      <w:pPr>
        <w:ind w:left="1193" w:hanging="284"/>
      </w:pPr>
      <w:rPr>
        <w:rFonts w:hint="default"/>
        <w:lang w:val="en-US" w:eastAsia="en-US" w:bidi="ar-SA"/>
      </w:rPr>
    </w:lvl>
  </w:abstractNum>
  <w:abstractNum w:abstractNumId="8" w15:restartNumberingAfterBreak="0">
    <w:nsid w:val="03CC5B31"/>
    <w:multiLevelType w:val="hybridMultilevel"/>
    <w:tmpl w:val="85B2A48C"/>
    <w:lvl w:ilvl="0" w:tplc="1A7A015C">
      <w:numFmt w:val="bullet"/>
      <w:lvlText w:val=""/>
      <w:lvlJc w:val="left"/>
      <w:pPr>
        <w:ind w:left="476" w:hanging="284"/>
      </w:pPr>
      <w:rPr>
        <w:rFonts w:ascii="Symbol" w:eastAsia="Symbol" w:hAnsi="Symbol" w:cs="Symbol" w:hint="default"/>
        <w:b w:val="0"/>
        <w:bCs w:val="0"/>
        <w:i w:val="0"/>
        <w:iCs w:val="0"/>
        <w:color w:val="70004A"/>
        <w:spacing w:val="0"/>
        <w:w w:val="100"/>
        <w:sz w:val="18"/>
        <w:szCs w:val="18"/>
        <w:lang w:val="en-US" w:eastAsia="en-US" w:bidi="ar-SA"/>
      </w:rPr>
    </w:lvl>
    <w:lvl w:ilvl="1" w:tplc="651EC2F2">
      <w:numFmt w:val="bullet"/>
      <w:lvlText w:val="•"/>
      <w:lvlJc w:val="left"/>
      <w:pPr>
        <w:ind w:left="742" w:hanging="284"/>
      </w:pPr>
      <w:rPr>
        <w:rFonts w:hint="default"/>
        <w:lang w:val="en-US" w:eastAsia="en-US" w:bidi="ar-SA"/>
      </w:rPr>
    </w:lvl>
    <w:lvl w:ilvl="2" w:tplc="57E8CE7C">
      <w:numFmt w:val="bullet"/>
      <w:lvlText w:val="•"/>
      <w:lvlJc w:val="left"/>
      <w:pPr>
        <w:ind w:left="1005" w:hanging="284"/>
      </w:pPr>
      <w:rPr>
        <w:rFonts w:hint="default"/>
        <w:lang w:val="en-US" w:eastAsia="en-US" w:bidi="ar-SA"/>
      </w:rPr>
    </w:lvl>
    <w:lvl w:ilvl="3" w:tplc="FC666240">
      <w:numFmt w:val="bullet"/>
      <w:lvlText w:val="•"/>
      <w:lvlJc w:val="left"/>
      <w:pPr>
        <w:ind w:left="1268" w:hanging="284"/>
      </w:pPr>
      <w:rPr>
        <w:rFonts w:hint="default"/>
        <w:lang w:val="en-US" w:eastAsia="en-US" w:bidi="ar-SA"/>
      </w:rPr>
    </w:lvl>
    <w:lvl w:ilvl="4" w:tplc="B63CA3D6">
      <w:numFmt w:val="bullet"/>
      <w:lvlText w:val="•"/>
      <w:lvlJc w:val="left"/>
      <w:pPr>
        <w:ind w:left="1530" w:hanging="284"/>
      </w:pPr>
      <w:rPr>
        <w:rFonts w:hint="default"/>
        <w:lang w:val="en-US" w:eastAsia="en-US" w:bidi="ar-SA"/>
      </w:rPr>
    </w:lvl>
    <w:lvl w:ilvl="5" w:tplc="C37E381C">
      <w:numFmt w:val="bullet"/>
      <w:lvlText w:val="•"/>
      <w:lvlJc w:val="left"/>
      <w:pPr>
        <w:ind w:left="1793" w:hanging="284"/>
      </w:pPr>
      <w:rPr>
        <w:rFonts w:hint="default"/>
        <w:lang w:val="en-US" w:eastAsia="en-US" w:bidi="ar-SA"/>
      </w:rPr>
    </w:lvl>
    <w:lvl w:ilvl="6" w:tplc="04E64540">
      <w:numFmt w:val="bullet"/>
      <w:lvlText w:val="•"/>
      <w:lvlJc w:val="left"/>
      <w:pPr>
        <w:ind w:left="2056" w:hanging="284"/>
      </w:pPr>
      <w:rPr>
        <w:rFonts w:hint="default"/>
        <w:lang w:val="en-US" w:eastAsia="en-US" w:bidi="ar-SA"/>
      </w:rPr>
    </w:lvl>
    <w:lvl w:ilvl="7" w:tplc="11B23226">
      <w:numFmt w:val="bullet"/>
      <w:lvlText w:val="•"/>
      <w:lvlJc w:val="left"/>
      <w:pPr>
        <w:ind w:left="2318" w:hanging="284"/>
      </w:pPr>
      <w:rPr>
        <w:rFonts w:hint="default"/>
        <w:lang w:val="en-US" w:eastAsia="en-US" w:bidi="ar-SA"/>
      </w:rPr>
    </w:lvl>
    <w:lvl w:ilvl="8" w:tplc="338271FA">
      <w:numFmt w:val="bullet"/>
      <w:lvlText w:val="•"/>
      <w:lvlJc w:val="left"/>
      <w:pPr>
        <w:ind w:left="2581" w:hanging="284"/>
      </w:pPr>
      <w:rPr>
        <w:rFonts w:hint="default"/>
        <w:lang w:val="en-US" w:eastAsia="en-US" w:bidi="ar-SA"/>
      </w:rPr>
    </w:lvl>
  </w:abstractNum>
  <w:abstractNum w:abstractNumId="9" w15:restartNumberingAfterBreak="0">
    <w:nsid w:val="03E8191A"/>
    <w:multiLevelType w:val="hybridMultilevel"/>
    <w:tmpl w:val="7E24BA04"/>
    <w:lvl w:ilvl="0" w:tplc="AC105C7E">
      <w:numFmt w:val="bullet"/>
      <w:lvlText w:val=""/>
      <w:lvlJc w:val="left"/>
      <w:pPr>
        <w:ind w:left="433" w:hanging="284"/>
      </w:pPr>
      <w:rPr>
        <w:rFonts w:ascii="Symbol" w:eastAsia="Symbol" w:hAnsi="Symbol" w:cs="Symbol" w:hint="default"/>
        <w:b w:val="0"/>
        <w:bCs w:val="0"/>
        <w:i w:val="0"/>
        <w:iCs w:val="0"/>
        <w:color w:val="70004A"/>
        <w:spacing w:val="0"/>
        <w:w w:val="100"/>
        <w:sz w:val="18"/>
        <w:szCs w:val="18"/>
        <w:lang w:val="en-US" w:eastAsia="en-US" w:bidi="ar-SA"/>
      </w:rPr>
    </w:lvl>
    <w:lvl w:ilvl="1" w:tplc="DA64A7EA">
      <w:numFmt w:val="bullet"/>
      <w:lvlText w:val="•"/>
      <w:lvlJc w:val="left"/>
      <w:pPr>
        <w:ind w:left="624" w:hanging="284"/>
      </w:pPr>
      <w:rPr>
        <w:rFonts w:hint="default"/>
        <w:lang w:val="en-US" w:eastAsia="en-US" w:bidi="ar-SA"/>
      </w:rPr>
    </w:lvl>
    <w:lvl w:ilvl="2" w:tplc="427A97B2">
      <w:numFmt w:val="bullet"/>
      <w:lvlText w:val="•"/>
      <w:lvlJc w:val="left"/>
      <w:pPr>
        <w:ind w:left="808" w:hanging="284"/>
      </w:pPr>
      <w:rPr>
        <w:rFonts w:hint="default"/>
        <w:lang w:val="en-US" w:eastAsia="en-US" w:bidi="ar-SA"/>
      </w:rPr>
    </w:lvl>
    <w:lvl w:ilvl="3" w:tplc="FE9EB8EE">
      <w:numFmt w:val="bullet"/>
      <w:lvlText w:val="•"/>
      <w:lvlJc w:val="left"/>
      <w:pPr>
        <w:ind w:left="992" w:hanging="284"/>
      </w:pPr>
      <w:rPr>
        <w:rFonts w:hint="default"/>
        <w:lang w:val="en-US" w:eastAsia="en-US" w:bidi="ar-SA"/>
      </w:rPr>
    </w:lvl>
    <w:lvl w:ilvl="4" w:tplc="FD8A2498">
      <w:numFmt w:val="bullet"/>
      <w:lvlText w:val="•"/>
      <w:lvlJc w:val="left"/>
      <w:pPr>
        <w:ind w:left="1176" w:hanging="284"/>
      </w:pPr>
      <w:rPr>
        <w:rFonts w:hint="default"/>
        <w:lang w:val="en-US" w:eastAsia="en-US" w:bidi="ar-SA"/>
      </w:rPr>
    </w:lvl>
    <w:lvl w:ilvl="5" w:tplc="2B04C176">
      <w:numFmt w:val="bullet"/>
      <w:lvlText w:val="•"/>
      <w:lvlJc w:val="left"/>
      <w:pPr>
        <w:ind w:left="1361" w:hanging="284"/>
      </w:pPr>
      <w:rPr>
        <w:rFonts w:hint="default"/>
        <w:lang w:val="en-US" w:eastAsia="en-US" w:bidi="ar-SA"/>
      </w:rPr>
    </w:lvl>
    <w:lvl w:ilvl="6" w:tplc="4ACA775E">
      <w:numFmt w:val="bullet"/>
      <w:lvlText w:val="•"/>
      <w:lvlJc w:val="left"/>
      <w:pPr>
        <w:ind w:left="1545" w:hanging="284"/>
      </w:pPr>
      <w:rPr>
        <w:rFonts w:hint="default"/>
        <w:lang w:val="en-US" w:eastAsia="en-US" w:bidi="ar-SA"/>
      </w:rPr>
    </w:lvl>
    <w:lvl w:ilvl="7" w:tplc="C2F26122">
      <w:numFmt w:val="bullet"/>
      <w:lvlText w:val="•"/>
      <w:lvlJc w:val="left"/>
      <w:pPr>
        <w:ind w:left="1729" w:hanging="284"/>
      </w:pPr>
      <w:rPr>
        <w:rFonts w:hint="default"/>
        <w:lang w:val="en-US" w:eastAsia="en-US" w:bidi="ar-SA"/>
      </w:rPr>
    </w:lvl>
    <w:lvl w:ilvl="8" w:tplc="F1527DA2">
      <w:numFmt w:val="bullet"/>
      <w:lvlText w:val="•"/>
      <w:lvlJc w:val="left"/>
      <w:pPr>
        <w:ind w:left="1913" w:hanging="284"/>
      </w:pPr>
      <w:rPr>
        <w:rFonts w:hint="default"/>
        <w:lang w:val="en-US" w:eastAsia="en-US" w:bidi="ar-SA"/>
      </w:rPr>
    </w:lvl>
  </w:abstractNum>
  <w:abstractNum w:abstractNumId="10" w15:restartNumberingAfterBreak="0">
    <w:nsid w:val="040D0F25"/>
    <w:multiLevelType w:val="hybridMultilevel"/>
    <w:tmpl w:val="44F6EDEE"/>
    <w:lvl w:ilvl="0" w:tplc="7E76DE9C">
      <w:numFmt w:val="bullet"/>
      <w:lvlText w:val=""/>
      <w:lvlJc w:val="left"/>
      <w:pPr>
        <w:ind w:left="447" w:hanging="284"/>
      </w:pPr>
      <w:rPr>
        <w:rFonts w:ascii="Symbol" w:eastAsia="Symbol" w:hAnsi="Symbol" w:cs="Symbol" w:hint="default"/>
        <w:b w:val="0"/>
        <w:bCs w:val="0"/>
        <w:i w:val="0"/>
        <w:iCs w:val="0"/>
        <w:color w:val="70004A"/>
        <w:spacing w:val="0"/>
        <w:w w:val="100"/>
        <w:sz w:val="18"/>
        <w:szCs w:val="18"/>
        <w:lang w:val="en-US" w:eastAsia="en-US" w:bidi="ar-SA"/>
      </w:rPr>
    </w:lvl>
    <w:lvl w:ilvl="1" w:tplc="C67ADA96">
      <w:numFmt w:val="bullet"/>
      <w:lvlText w:val="•"/>
      <w:lvlJc w:val="left"/>
      <w:pPr>
        <w:ind w:left="631" w:hanging="284"/>
      </w:pPr>
      <w:rPr>
        <w:rFonts w:hint="default"/>
        <w:lang w:val="en-US" w:eastAsia="en-US" w:bidi="ar-SA"/>
      </w:rPr>
    </w:lvl>
    <w:lvl w:ilvl="2" w:tplc="3838398A">
      <w:numFmt w:val="bullet"/>
      <w:lvlText w:val="•"/>
      <w:lvlJc w:val="left"/>
      <w:pPr>
        <w:ind w:left="822" w:hanging="284"/>
      </w:pPr>
      <w:rPr>
        <w:rFonts w:hint="default"/>
        <w:lang w:val="en-US" w:eastAsia="en-US" w:bidi="ar-SA"/>
      </w:rPr>
    </w:lvl>
    <w:lvl w:ilvl="3" w:tplc="AAE83B90">
      <w:numFmt w:val="bullet"/>
      <w:lvlText w:val="•"/>
      <w:lvlJc w:val="left"/>
      <w:pPr>
        <w:ind w:left="1013" w:hanging="284"/>
      </w:pPr>
      <w:rPr>
        <w:rFonts w:hint="default"/>
        <w:lang w:val="en-US" w:eastAsia="en-US" w:bidi="ar-SA"/>
      </w:rPr>
    </w:lvl>
    <w:lvl w:ilvl="4" w:tplc="9396594E">
      <w:numFmt w:val="bullet"/>
      <w:lvlText w:val="•"/>
      <w:lvlJc w:val="left"/>
      <w:pPr>
        <w:ind w:left="1204" w:hanging="284"/>
      </w:pPr>
      <w:rPr>
        <w:rFonts w:hint="default"/>
        <w:lang w:val="en-US" w:eastAsia="en-US" w:bidi="ar-SA"/>
      </w:rPr>
    </w:lvl>
    <w:lvl w:ilvl="5" w:tplc="8DA695BC">
      <w:numFmt w:val="bullet"/>
      <w:lvlText w:val="•"/>
      <w:lvlJc w:val="left"/>
      <w:pPr>
        <w:ind w:left="1395" w:hanging="284"/>
      </w:pPr>
      <w:rPr>
        <w:rFonts w:hint="default"/>
        <w:lang w:val="en-US" w:eastAsia="en-US" w:bidi="ar-SA"/>
      </w:rPr>
    </w:lvl>
    <w:lvl w:ilvl="6" w:tplc="F7007F36">
      <w:numFmt w:val="bullet"/>
      <w:lvlText w:val="•"/>
      <w:lvlJc w:val="left"/>
      <w:pPr>
        <w:ind w:left="1586" w:hanging="284"/>
      </w:pPr>
      <w:rPr>
        <w:rFonts w:hint="default"/>
        <w:lang w:val="en-US" w:eastAsia="en-US" w:bidi="ar-SA"/>
      </w:rPr>
    </w:lvl>
    <w:lvl w:ilvl="7" w:tplc="A95A89AA">
      <w:numFmt w:val="bullet"/>
      <w:lvlText w:val="•"/>
      <w:lvlJc w:val="left"/>
      <w:pPr>
        <w:ind w:left="1777" w:hanging="284"/>
      </w:pPr>
      <w:rPr>
        <w:rFonts w:hint="default"/>
        <w:lang w:val="en-US" w:eastAsia="en-US" w:bidi="ar-SA"/>
      </w:rPr>
    </w:lvl>
    <w:lvl w:ilvl="8" w:tplc="B3181F2A">
      <w:numFmt w:val="bullet"/>
      <w:lvlText w:val="•"/>
      <w:lvlJc w:val="left"/>
      <w:pPr>
        <w:ind w:left="1968" w:hanging="284"/>
      </w:pPr>
      <w:rPr>
        <w:rFonts w:hint="default"/>
        <w:lang w:val="en-US" w:eastAsia="en-US" w:bidi="ar-SA"/>
      </w:rPr>
    </w:lvl>
  </w:abstractNum>
  <w:abstractNum w:abstractNumId="11" w15:restartNumberingAfterBreak="0">
    <w:nsid w:val="045A20F6"/>
    <w:multiLevelType w:val="hybridMultilevel"/>
    <w:tmpl w:val="81586CF8"/>
    <w:lvl w:ilvl="0" w:tplc="EBDC0E20">
      <w:numFmt w:val="bullet"/>
      <w:lvlText w:val=""/>
      <w:lvlJc w:val="left"/>
      <w:pPr>
        <w:ind w:left="501" w:hanging="360"/>
      </w:pPr>
      <w:rPr>
        <w:rFonts w:ascii="Symbol" w:eastAsia="Symbol" w:hAnsi="Symbol" w:cs="Symbol" w:hint="default"/>
        <w:b w:val="0"/>
        <w:bCs w:val="0"/>
        <w:i w:val="0"/>
        <w:iCs w:val="0"/>
        <w:color w:val="70004A"/>
        <w:spacing w:val="0"/>
        <w:w w:val="100"/>
        <w:sz w:val="20"/>
        <w:szCs w:val="20"/>
        <w:lang w:val="en-US" w:eastAsia="en-US" w:bidi="ar-SA"/>
      </w:rPr>
    </w:lvl>
    <w:lvl w:ilvl="1" w:tplc="29B67542">
      <w:numFmt w:val="bullet"/>
      <w:lvlText w:val="•"/>
      <w:lvlJc w:val="left"/>
      <w:pPr>
        <w:ind w:left="1442" w:hanging="360"/>
      </w:pPr>
      <w:rPr>
        <w:rFonts w:hint="default"/>
        <w:lang w:val="en-US" w:eastAsia="en-US" w:bidi="ar-SA"/>
      </w:rPr>
    </w:lvl>
    <w:lvl w:ilvl="2" w:tplc="E1B6AA0E">
      <w:numFmt w:val="bullet"/>
      <w:lvlText w:val="•"/>
      <w:lvlJc w:val="left"/>
      <w:pPr>
        <w:ind w:left="2384" w:hanging="360"/>
      </w:pPr>
      <w:rPr>
        <w:rFonts w:hint="default"/>
        <w:lang w:val="en-US" w:eastAsia="en-US" w:bidi="ar-SA"/>
      </w:rPr>
    </w:lvl>
    <w:lvl w:ilvl="3" w:tplc="65A4A3EC">
      <w:numFmt w:val="bullet"/>
      <w:lvlText w:val="•"/>
      <w:lvlJc w:val="left"/>
      <w:pPr>
        <w:ind w:left="3326" w:hanging="360"/>
      </w:pPr>
      <w:rPr>
        <w:rFonts w:hint="default"/>
        <w:lang w:val="en-US" w:eastAsia="en-US" w:bidi="ar-SA"/>
      </w:rPr>
    </w:lvl>
    <w:lvl w:ilvl="4" w:tplc="2508E7C8">
      <w:numFmt w:val="bullet"/>
      <w:lvlText w:val="•"/>
      <w:lvlJc w:val="left"/>
      <w:pPr>
        <w:ind w:left="4268" w:hanging="360"/>
      </w:pPr>
      <w:rPr>
        <w:rFonts w:hint="default"/>
        <w:lang w:val="en-US" w:eastAsia="en-US" w:bidi="ar-SA"/>
      </w:rPr>
    </w:lvl>
    <w:lvl w:ilvl="5" w:tplc="61A44EDE">
      <w:numFmt w:val="bullet"/>
      <w:lvlText w:val="•"/>
      <w:lvlJc w:val="left"/>
      <w:pPr>
        <w:ind w:left="5211" w:hanging="360"/>
      </w:pPr>
      <w:rPr>
        <w:rFonts w:hint="default"/>
        <w:lang w:val="en-US" w:eastAsia="en-US" w:bidi="ar-SA"/>
      </w:rPr>
    </w:lvl>
    <w:lvl w:ilvl="6" w:tplc="259EA1BE">
      <w:numFmt w:val="bullet"/>
      <w:lvlText w:val="•"/>
      <w:lvlJc w:val="left"/>
      <w:pPr>
        <w:ind w:left="6153" w:hanging="360"/>
      </w:pPr>
      <w:rPr>
        <w:rFonts w:hint="default"/>
        <w:lang w:val="en-US" w:eastAsia="en-US" w:bidi="ar-SA"/>
      </w:rPr>
    </w:lvl>
    <w:lvl w:ilvl="7" w:tplc="A0323AC2">
      <w:numFmt w:val="bullet"/>
      <w:lvlText w:val="•"/>
      <w:lvlJc w:val="left"/>
      <w:pPr>
        <w:ind w:left="7095" w:hanging="360"/>
      </w:pPr>
      <w:rPr>
        <w:rFonts w:hint="default"/>
        <w:lang w:val="en-US" w:eastAsia="en-US" w:bidi="ar-SA"/>
      </w:rPr>
    </w:lvl>
    <w:lvl w:ilvl="8" w:tplc="ACA4B3B4">
      <w:numFmt w:val="bullet"/>
      <w:lvlText w:val="•"/>
      <w:lvlJc w:val="left"/>
      <w:pPr>
        <w:ind w:left="8037" w:hanging="360"/>
      </w:pPr>
      <w:rPr>
        <w:rFonts w:hint="default"/>
        <w:lang w:val="en-US" w:eastAsia="en-US" w:bidi="ar-SA"/>
      </w:rPr>
    </w:lvl>
  </w:abstractNum>
  <w:abstractNum w:abstractNumId="12" w15:restartNumberingAfterBreak="0">
    <w:nsid w:val="04A6015D"/>
    <w:multiLevelType w:val="hybridMultilevel"/>
    <w:tmpl w:val="EE22518A"/>
    <w:lvl w:ilvl="0" w:tplc="AA16B042">
      <w:numFmt w:val="bullet"/>
      <w:lvlText w:val=""/>
      <w:lvlJc w:val="left"/>
      <w:pPr>
        <w:ind w:left="430" w:hanging="284"/>
      </w:pPr>
      <w:rPr>
        <w:rFonts w:ascii="Symbol" w:eastAsia="Symbol" w:hAnsi="Symbol" w:cs="Symbol" w:hint="default"/>
        <w:b w:val="0"/>
        <w:bCs w:val="0"/>
        <w:i w:val="0"/>
        <w:iCs w:val="0"/>
        <w:color w:val="70004A"/>
        <w:spacing w:val="0"/>
        <w:w w:val="100"/>
        <w:sz w:val="18"/>
        <w:szCs w:val="18"/>
        <w:lang w:val="en-US" w:eastAsia="en-US" w:bidi="ar-SA"/>
      </w:rPr>
    </w:lvl>
    <w:lvl w:ilvl="1" w:tplc="64FA2A30">
      <w:numFmt w:val="bullet"/>
      <w:lvlText w:val="•"/>
      <w:lvlJc w:val="left"/>
      <w:pPr>
        <w:ind w:left="607" w:hanging="284"/>
      </w:pPr>
      <w:rPr>
        <w:rFonts w:hint="default"/>
        <w:lang w:val="en-US" w:eastAsia="en-US" w:bidi="ar-SA"/>
      </w:rPr>
    </w:lvl>
    <w:lvl w:ilvl="2" w:tplc="BB1A8802">
      <w:numFmt w:val="bullet"/>
      <w:lvlText w:val="•"/>
      <w:lvlJc w:val="left"/>
      <w:pPr>
        <w:ind w:left="774" w:hanging="284"/>
      </w:pPr>
      <w:rPr>
        <w:rFonts w:hint="default"/>
        <w:lang w:val="en-US" w:eastAsia="en-US" w:bidi="ar-SA"/>
      </w:rPr>
    </w:lvl>
    <w:lvl w:ilvl="3" w:tplc="37C6299A">
      <w:numFmt w:val="bullet"/>
      <w:lvlText w:val="•"/>
      <w:lvlJc w:val="left"/>
      <w:pPr>
        <w:ind w:left="942" w:hanging="284"/>
      </w:pPr>
      <w:rPr>
        <w:rFonts w:hint="default"/>
        <w:lang w:val="en-US" w:eastAsia="en-US" w:bidi="ar-SA"/>
      </w:rPr>
    </w:lvl>
    <w:lvl w:ilvl="4" w:tplc="5A32A2A4">
      <w:numFmt w:val="bullet"/>
      <w:lvlText w:val="•"/>
      <w:lvlJc w:val="left"/>
      <w:pPr>
        <w:ind w:left="1109" w:hanging="284"/>
      </w:pPr>
      <w:rPr>
        <w:rFonts w:hint="default"/>
        <w:lang w:val="en-US" w:eastAsia="en-US" w:bidi="ar-SA"/>
      </w:rPr>
    </w:lvl>
    <w:lvl w:ilvl="5" w:tplc="09E84E72">
      <w:numFmt w:val="bullet"/>
      <w:lvlText w:val="•"/>
      <w:lvlJc w:val="left"/>
      <w:pPr>
        <w:ind w:left="1277" w:hanging="284"/>
      </w:pPr>
      <w:rPr>
        <w:rFonts w:hint="default"/>
        <w:lang w:val="en-US" w:eastAsia="en-US" w:bidi="ar-SA"/>
      </w:rPr>
    </w:lvl>
    <w:lvl w:ilvl="6" w:tplc="F7D65578">
      <w:numFmt w:val="bullet"/>
      <w:lvlText w:val="•"/>
      <w:lvlJc w:val="left"/>
      <w:pPr>
        <w:ind w:left="1444" w:hanging="284"/>
      </w:pPr>
      <w:rPr>
        <w:rFonts w:hint="default"/>
        <w:lang w:val="en-US" w:eastAsia="en-US" w:bidi="ar-SA"/>
      </w:rPr>
    </w:lvl>
    <w:lvl w:ilvl="7" w:tplc="37AAD37E">
      <w:numFmt w:val="bullet"/>
      <w:lvlText w:val="•"/>
      <w:lvlJc w:val="left"/>
      <w:pPr>
        <w:ind w:left="1611" w:hanging="284"/>
      </w:pPr>
      <w:rPr>
        <w:rFonts w:hint="default"/>
        <w:lang w:val="en-US" w:eastAsia="en-US" w:bidi="ar-SA"/>
      </w:rPr>
    </w:lvl>
    <w:lvl w:ilvl="8" w:tplc="21C04E26">
      <w:numFmt w:val="bullet"/>
      <w:lvlText w:val="•"/>
      <w:lvlJc w:val="left"/>
      <w:pPr>
        <w:ind w:left="1779" w:hanging="284"/>
      </w:pPr>
      <w:rPr>
        <w:rFonts w:hint="default"/>
        <w:lang w:val="en-US" w:eastAsia="en-US" w:bidi="ar-SA"/>
      </w:rPr>
    </w:lvl>
  </w:abstractNum>
  <w:abstractNum w:abstractNumId="13" w15:restartNumberingAfterBreak="0">
    <w:nsid w:val="04AD0AF2"/>
    <w:multiLevelType w:val="hybridMultilevel"/>
    <w:tmpl w:val="1C12271E"/>
    <w:lvl w:ilvl="0" w:tplc="FE0E0506">
      <w:numFmt w:val="bullet"/>
      <w:lvlText w:val=""/>
      <w:lvlJc w:val="left"/>
      <w:pPr>
        <w:ind w:left="424" w:hanging="284"/>
      </w:pPr>
      <w:rPr>
        <w:rFonts w:ascii="Symbol" w:eastAsia="Symbol" w:hAnsi="Symbol" w:cs="Symbol" w:hint="default"/>
        <w:b w:val="0"/>
        <w:bCs w:val="0"/>
        <w:i w:val="0"/>
        <w:iCs w:val="0"/>
        <w:color w:val="70004A"/>
        <w:spacing w:val="0"/>
        <w:w w:val="100"/>
        <w:sz w:val="18"/>
        <w:szCs w:val="18"/>
        <w:lang w:val="en-US" w:eastAsia="en-US" w:bidi="ar-SA"/>
      </w:rPr>
    </w:lvl>
    <w:lvl w:ilvl="1" w:tplc="05AE4F58">
      <w:numFmt w:val="bullet"/>
      <w:lvlText w:val="•"/>
      <w:lvlJc w:val="left"/>
      <w:pPr>
        <w:ind w:left="585" w:hanging="284"/>
      </w:pPr>
      <w:rPr>
        <w:rFonts w:hint="default"/>
        <w:lang w:val="en-US" w:eastAsia="en-US" w:bidi="ar-SA"/>
      </w:rPr>
    </w:lvl>
    <w:lvl w:ilvl="2" w:tplc="5D142414">
      <w:numFmt w:val="bullet"/>
      <w:lvlText w:val="•"/>
      <w:lvlJc w:val="left"/>
      <w:pPr>
        <w:ind w:left="750" w:hanging="284"/>
      </w:pPr>
      <w:rPr>
        <w:rFonts w:hint="default"/>
        <w:lang w:val="en-US" w:eastAsia="en-US" w:bidi="ar-SA"/>
      </w:rPr>
    </w:lvl>
    <w:lvl w:ilvl="3" w:tplc="8FFC1E1E">
      <w:numFmt w:val="bullet"/>
      <w:lvlText w:val="•"/>
      <w:lvlJc w:val="left"/>
      <w:pPr>
        <w:ind w:left="916" w:hanging="284"/>
      </w:pPr>
      <w:rPr>
        <w:rFonts w:hint="default"/>
        <w:lang w:val="en-US" w:eastAsia="en-US" w:bidi="ar-SA"/>
      </w:rPr>
    </w:lvl>
    <w:lvl w:ilvl="4" w:tplc="DC761516">
      <w:numFmt w:val="bullet"/>
      <w:lvlText w:val="•"/>
      <w:lvlJc w:val="left"/>
      <w:pPr>
        <w:ind w:left="1081" w:hanging="284"/>
      </w:pPr>
      <w:rPr>
        <w:rFonts w:hint="default"/>
        <w:lang w:val="en-US" w:eastAsia="en-US" w:bidi="ar-SA"/>
      </w:rPr>
    </w:lvl>
    <w:lvl w:ilvl="5" w:tplc="3D3C88C4">
      <w:numFmt w:val="bullet"/>
      <w:lvlText w:val="•"/>
      <w:lvlJc w:val="left"/>
      <w:pPr>
        <w:ind w:left="1247" w:hanging="284"/>
      </w:pPr>
      <w:rPr>
        <w:rFonts w:hint="default"/>
        <w:lang w:val="en-US" w:eastAsia="en-US" w:bidi="ar-SA"/>
      </w:rPr>
    </w:lvl>
    <w:lvl w:ilvl="6" w:tplc="6C349F24">
      <w:numFmt w:val="bullet"/>
      <w:lvlText w:val="•"/>
      <w:lvlJc w:val="left"/>
      <w:pPr>
        <w:ind w:left="1412" w:hanging="284"/>
      </w:pPr>
      <w:rPr>
        <w:rFonts w:hint="default"/>
        <w:lang w:val="en-US" w:eastAsia="en-US" w:bidi="ar-SA"/>
      </w:rPr>
    </w:lvl>
    <w:lvl w:ilvl="7" w:tplc="902692C8">
      <w:numFmt w:val="bullet"/>
      <w:lvlText w:val="•"/>
      <w:lvlJc w:val="left"/>
      <w:pPr>
        <w:ind w:left="1577" w:hanging="284"/>
      </w:pPr>
      <w:rPr>
        <w:rFonts w:hint="default"/>
        <w:lang w:val="en-US" w:eastAsia="en-US" w:bidi="ar-SA"/>
      </w:rPr>
    </w:lvl>
    <w:lvl w:ilvl="8" w:tplc="66FA018C">
      <w:numFmt w:val="bullet"/>
      <w:lvlText w:val="•"/>
      <w:lvlJc w:val="left"/>
      <w:pPr>
        <w:ind w:left="1743" w:hanging="284"/>
      </w:pPr>
      <w:rPr>
        <w:rFonts w:hint="default"/>
        <w:lang w:val="en-US" w:eastAsia="en-US" w:bidi="ar-SA"/>
      </w:rPr>
    </w:lvl>
  </w:abstractNum>
  <w:abstractNum w:abstractNumId="14" w15:restartNumberingAfterBreak="0">
    <w:nsid w:val="04B37756"/>
    <w:multiLevelType w:val="hybridMultilevel"/>
    <w:tmpl w:val="C758FB10"/>
    <w:lvl w:ilvl="0" w:tplc="5AC83EB8">
      <w:numFmt w:val="bullet"/>
      <w:lvlText w:val=""/>
      <w:lvlJc w:val="left"/>
      <w:pPr>
        <w:ind w:left="433" w:hanging="284"/>
      </w:pPr>
      <w:rPr>
        <w:rFonts w:ascii="Symbol" w:eastAsia="Symbol" w:hAnsi="Symbol" w:cs="Symbol" w:hint="default"/>
        <w:b w:val="0"/>
        <w:bCs w:val="0"/>
        <w:i w:val="0"/>
        <w:iCs w:val="0"/>
        <w:color w:val="70004A"/>
        <w:spacing w:val="0"/>
        <w:w w:val="100"/>
        <w:sz w:val="18"/>
        <w:szCs w:val="18"/>
        <w:lang w:val="en-US" w:eastAsia="en-US" w:bidi="ar-SA"/>
      </w:rPr>
    </w:lvl>
    <w:lvl w:ilvl="1" w:tplc="825EF270">
      <w:numFmt w:val="bullet"/>
      <w:lvlText w:val="•"/>
      <w:lvlJc w:val="left"/>
      <w:pPr>
        <w:ind w:left="603" w:hanging="284"/>
      </w:pPr>
      <w:rPr>
        <w:rFonts w:hint="default"/>
        <w:lang w:val="en-US" w:eastAsia="en-US" w:bidi="ar-SA"/>
      </w:rPr>
    </w:lvl>
    <w:lvl w:ilvl="2" w:tplc="7318EF74">
      <w:numFmt w:val="bullet"/>
      <w:lvlText w:val="•"/>
      <w:lvlJc w:val="left"/>
      <w:pPr>
        <w:ind w:left="766" w:hanging="284"/>
      </w:pPr>
      <w:rPr>
        <w:rFonts w:hint="default"/>
        <w:lang w:val="en-US" w:eastAsia="en-US" w:bidi="ar-SA"/>
      </w:rPr>
    </w:lvl>
    <w:lvl w:ilvl="3" w:tplc="C57CBB28">
      <w:numFmt w:val="bullet"/>
      <w:lvlText w:val="•"/>
      <w:lvlJc w:val="left"/>
      <w:pPr>
        <w:ind w:left="929" w:hanging="284"/>
      </w:pPr>
      <w:rPr>
        <w:rFonts w:hint="default"/>
        <w:lang w:val="en-US" w:eastAsia="en-US" w:bidi="ar-SA"/>
      </w:rPr>
    </w:lvl>
    <w:lvl w:ilvl="4" w:tplc="7A42D27E">
      <w:numFmt w:val="bullet"/>
      <w:lvlText w:val="•"/>
      <w:lvlJc w:val="left"/>
      <w:pPr>
        <w:ind w:left="1092" w:hanging="284"/>
      </w:pPr>
      <w:rPr>
        <w:rFonts w:hint="default"/>
        <w:lang w:val="en-US" w:eastAsia="en-US" w:bidi="ar-SA"/>
      </w:rPr>
    </w:lvl>
    <w:lvl w:ilvl="5" w:tplc="DC74D378">
      <w:numFmt w:val="bullet"/>
      <w:lvlText w:val="•"/>
      <w:lvlJc w:val="left"/>
      <w:pPr>
        <w:ind w:left="1255" w:hanging="284"/>
      </w:pPr>
      <w:rPr>
        <w:rFonts w:hint="default"/>
        <w:lang w:val="en-US" w:eastAsia="en-US" w:bidi="ar-SA"/>
      </w:rPr>
    </w:lvl>
    <w:lvl w:ilvl="6" w:tplc="1910F1DC">
      <w:numFmt w:val="bullet"/>
      <w:lvlText w:val="•"/>
      <w:lvlJc w:val="left"/>
      <w:pPr>
        <w:ind w:left="1418" w:hanging="284"/>
      </w:pPr>
      <w:rPr>
        <w:rFonts w:hint="default"/>
        <w:lang w:val="en-US" w:eastAsia="en-US" w:bidi="ar-SA"/>
      </w:rPr>
    </w:lvl>
    <w:lvl w:ilvl="7" w:tplc="15467B8A">
      <w:numFmt w:val="bullet"/>
      <w:lvlText w:val="•"/>
      <w:lvlJc w:val="left"/>
      <w:pPr>
        <w:ind w:left="1581" w:hanging="284"/>
      </w:pPr>
      <w:rPr>
        <w:rFonts w:hint="default"/>
        <w:lang w:val="en-US" w:eastAsia="en-US" w:bidi="ar-SA"/>
      </w:rPr>
    </w:lvl>
    <w:lvl w:ilvl="8" w:tplc="F6048D24">
      <w:numFmt w:val="bullet"/>
      <w:lvlText w:val="•"/>
      <w:lvlJc w:val="left"/>
      <w:pPr>
        <w:ind w:left="1744" w:hanging="284"/>
      </w:pPr>
      <w:rPr>
        <w:rFonts w:hint="default"/>
        <w:lang w:val="en-US" w:eastAsia="en-US" w:bidi="ar-SA"/>
      </w:rPr>
    </w:lvl>
  </w:abstractNum>
  <w:abstractNum w:abstractNumId="15" w15:restartNumberingAfterBreak="0">
    <w:nsid w:val="04BA0DC1"/>
    <w:multiLevelType w:val="hybridMultilevel"/>
    <w:tmpl w:val="92F0681E"/>
    <w:lvl w:ilvl="0" w:tplc="45E010A6">
      <w:numFmt w:val="bullet"/>
      <w:lvlText w:val=""/>
      <w:lvlJc w:val="left"/>
      <w:pPr>
        <w:ind w:left="501" w:hanging="360"/>
      </w:pPr>
      <w:rPr>
        <w:rFonts w:ascii="Symbol" w:eastAsia="Symbol" w:hAnsi="Symbol" w:cs="Symbol" w:hint="default"/>
        <w:b w:val="0"/>
        <w:bCs w:val="0"/>
        <w:i w:val="0"/>
        <w:iCs w:val="0"/>
        <w:color w:val="70004A"/>
        <w:spacing w:val="0"/>
        <w:w w:val="100"/>
        <w:sz w:val="20"/>
        <w:szCs w:val="20"/>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4E91207"/>
    <w:multiLevelType w:val="hybridMultilevel"/>
    <w:tmpl w:val="A3FECE52"/>
    <w:lvl w:ilvl="0" w:tplc="9BC2DAFA">
      <w:numFmt w:val="bullet"/>
      <w:lvlText w:val=""/>
      <w:lvlJc w:val="left"/>
      <w:pPr>
        <w:ind w:left="452" w:hanging="284"/>
      </w:pPr>
      <w:rPr>
        <w:rFonts w:ascii="Symbol" w:eastAsia="Symbol" w:hAnsi="Symbol" w:cs="Symbol" w:hint="default"/>
        <w:b w:val="0"/>
        <w:bCs w:val="0"/>
        <w:i w:val="0"/>
        <w:iCs w:val="0"/>
        <w:color w:val="70004A"/>
        <w:spacing w:val="0"/>
        <w:w w:val="100"/>
        <w:sz w:val="18"/>
        <w:szCs w:val="18"/>
        <w:lang w:val="en-US" w:eastAsia="en-US" w:bidi="ar-SA"/>
      </w:rPr>
    </w:lvl>
    <w:lvl w:ilvl="1" w:tplc="539260D4">
      <w:numFmt w:val="bullet"/>
      <w:lvlText w:val="•"/>
      <w:lvlJc w:val="left"/>
      <w:pPr>
        <w:ind w:left="625" w:hanging="284"/>
      </w:pPr>
      <w:rPr>
        <w:rFonts w:hint="default"/>
        <w:lang w:val="en-US" w:eastAsia="en-US" w:bidi="ar-SA"/>
      </w:rPr>
    </w:lvl>
    <w:lvl w:ilvl="2" w:tplc="14681BC4">
      <w:numFmt w:val="bullet"/>
      <w:lvlText w:val="•"/>
      <w:lvlJc w:val="left"/>
      <w:pPr>
        <w:ind w:left="790" w:hanging="284"/>
      </w:pPr>
      <w:rPr>
        <w:rFonts w:hint="default"/>
        <w:lang w:val="en-US" w:eastAsia="en-US" w:bidi="ar-SA"/>
      </w:rPr>
    </w:lvl>
    <w:lvl w:ilvl="3" w:tplc="8A6AAEF4">
      <w:numFmt w:val="bullet"/>
      <w:lvlText w:val="•"/>
      <w:lvlJc w:val="left"/>
      <w:pPr>
        <w:ind w:left="955" w:hanging="284"/>
      </w:pPr>
      <w:rPr>
        <w:rFonts w:hint="default"/>
        <w:lang w:val="en-US" w:eastAsia="en-US" w:bidi="ar-SA"/>
      </w:rPr>
    </w:lvl>
    <w:lvl w:ilvl="4" w:tplc="59FC87A6">
      <w:numFmt w:val="bullet"/>
      <w:lvlText w:val="•"/>
      <w:lvlJc w:val="left"/>
      <w:pPr>
        <w:ind w:left="1120" w:hanging="284"/>
      </w:pPr>
      <w:rPr>
        <w:rFonts w:hint="default"/>
        <w:lang w:val="en-US" w:eastAsia="en-US" w:bidi="ar-SA"/>
      </w:rPr>
    </w:lvl>
    <w:lvl w:ilvl="5" w:tplc="6A662FE0">
      <w:numFmt w:val="bullet"/>
      <w:lvlText w:val="•"/>
      <w:lvlJc w:val="left"/>
      <w:pPr>
        <w:ind w:left="1285" w:hanging="284"/>
      </w:pPr>
      <w:rPr>
        <w:rFonts w:hint="default"/>
        <w:lang w:val="en-US" w:eastAsia="en-US" w:bidi="ar-SA"/>
      </w:rPr>
    </w:lvl>
    <w:lvl w:ilvl="6" w:tplc="112622CA">
      <w:numFmt w:val="bullet"/>
      <w:lvlText w:val="•"/>
      <w:lvlJc w:val="left"/>
      <w:pPr>
        <w:ind w:left="1450" w:hanging="284"/>
      </w:pPr>
      <w:rPr>
        <w:rFonts w:hint="default"/>
        <w:lang w:val="en-US" w:eastAsia="en-US" w:bidi="ar-SA"/>
      </w:rPr>
    </w:lvl>
    <w:lvl w:ilvl="7" w:tplc="0824A04C">
      <w:numFmt w:val="bullet"/>
      <w:lvlText w:val="•"/>
      <w:lvlJc w:val="left"/>
      <w:pPr>
        <w:ind w:left="1615" w:hanging="284"/>
      </w:pPr>
      <w:rPr>
        <w:rFonts w:hint="default"/>
        <w:lang w:val="en-US" w:eastAsia="en-US" w:bidi="ar-SA"/>
      </w:rPr>
    </w:lvl>
    <w:lvl w:ilvl="8" w:tplc="18025DE4">
      <w:numFmt w:val="bullet"/>
      <w:lvlText w:val="•"/>
      <w:lvlJc w:val="left"/>
      <w:pPr>
        <w:ind w:left="1780" w:hanging="284"/>
      </w:pPr>
      <w:rPr>
        <w:rFonts w:hint="default"/>
        <w:lang w:val="en-US" w:eastAsia="en-US" w:bidi="ar-SA"/>
      </w:rPr>
    </w:lvl>
  </w:abstractNum>
  <w:abstractNum w:abstractNumId="17" w15:restartNumberingAfterBreak="0">
    <w:nsid w:val="050F43CF"/>
    <w:multiLevelType w:val="hybridMultilevel"/>
    <w:tmpl w:val="26FE2F16"/>
    <w:lvl w:ilvl="0" w:tplc="AF2838AC">
      <w:numFmt w:val="bullet"/>
      <w:lvlText w:val=""/>
      <w:lvlJc w:val="left"/>
      <w:pPr>
        <w:ind w:left="391" w:hanging="284"/>
      </w:pPr>
      <w:rPr>
        <w:rFonts w:ascii="Symbol" w:eastAsia="Symbol" w:hAnsi="Symbol" w:cs="Symbol" w:hint="default"/>
        <w:b w:val="0"/>
        <w:bCs w:val="0"/>
        <w:i w:val="0"/>
        <w:iCs w:val="0"/>
        <w:color w:val="70004A"/>
        <w:spacing w:val="0"/>
        <w:w w:val="100"/>
        <w:sz w:val="18"/>
        <w:szCs w:val="18"/>
        <w:lang w:val="en-US" w:eastAsia="en-US" w:bidi="ar-SA"/>
      </w:rPr>
    </w:lvl>
    <w:lvl w:ilvl="1" w:tplc="9998DFBC">
      <w:numFmt w:val="bullet"/>
      <w:lvlText w:val="•"/>
      <w:lvlJc w:val="left"/>
      <w:pPr>
        <w:ind w:left="712" w:hanging="284"/>
      </w:pPr>
      <w:rPr>
        <w:rFonts w:hint="default"/>
        <w:lang w:val="en-US" w:eastAsia="en-US" w:bidi="ar-SA"/>
      </w:rPr>
    </w:lvl>
    <w:lvl w:ilvl="2" w:tplc="E45639A6">
      <w:numFmt w:val="bullet"/>
      <w:lvlText w:val="•"/>
      <w:lvlJc w:val="left"/>
      <w:pPr>
        <w:ind w:left="1024" w:hanging="284"/>
      </w:pPr>
      <w:rPr>
        <w:rFonts w:hint="default"/>
        <w:lang w:val="en-US" w:eastAsia="en-US" w:bidi="ar-SA"/>
      </w:rPr>
    </w:lvl>
    <w:lvl w:ilvl="3" w:tplc="2586E52C">
      <w:numFmt w:val="bullet"/>
      <w:lvlText w:val="•"/>
      <w:lvlJc w:val="left"/>
      <w:pPr>
        <w:ind w:left="1336" w:hanging="284"/>
      </w:pPr>
      <w:rPr>
        <w:rFonts w:hint="default"/>
        <w:lang w:val="en-US" w:eastAsia="en-US" w:bidi="ar-SA"/>
      </w:rPr>
    </w:lvl>
    <w:lvl w:ilvl="4" w:tplc="77F6BD5A">
      <w:numFmt w:val="bullet"/>
      <w:lvlText w:val="•"/>
      <w:lvlJc w:val="left"/>
      <w:pPr>
        <w:ind w:left="1649" w:hanging="284"/>
      </w:pPr>
      <w:rPr>
        <w:rFonts w:hint="default"/>
        <w:lang w:val="en-US" w:eastAsia="en-US" w:bidi="ar-SA"/>
      </w:rPr>
    </w:lvl>
    <w:lvl w:ilvl="5" w:tplc="D05617CA">
      <w:numFmt w:val="bullet"/>
      <w:lvlText w:val="•"/>
      <w:lvlJc w:val="left"/>
      <w:pPr>
        <w:ind w:left="1961" w:hanging="284"/>
      </w:pPr>
      <w:rPr>
        <w:rFonts w:hint="default"/>
        <w:lang w:val="en-US" w:eastAsia="en-US" w:bidi="ar-SA"/>
      </w:rPr>
    </w:lvl>
    <w:lvl w:ilvl="6" w:tplc="0312233E">
      <w:numFmt w:val="bullet"/>
      <w:lvlText w:val="•"/>
      <w:lvlJc w:val="left"/>
      <w:pPr>
        <w:ind w:left="2273" w:hanging="284"/>
      </w:pPr>
      <w:rPr>
        <w:rFonts w:hint="default"/>
        <w:lang w:val="en-US" w:eastAsia="en-US" w:bidi="ar-SA"/>
      </w:rPr>
    </w:lvl>
    <w:lvl w:ilvl="7" w:tplc="58BECE08">
      <w:numFmt w:val="bullet"/>
      <w:lvlText w:val="•"/>
      <w:lvlJc w:val="left"/>
      <w:pPr>
        <w:ind w:left="2586" w:hanging="284"/>
      </w:pPr>
      <w:rPr>
        <w:rFonts w:hint="default"/>
        <w:lang w:val="en-US" w:eastAsia="en-US" w:bidi="ar-SA"/>
      </w:rPr>
    </w:lvl>
    <w:lvl w:ilvl="8" w:tplc="8514B7A4">
      <w:numFmt w:val="bullet"/>
      <w:lvlText w:val="•"/>
      <w:lvlJc w:val="left"/>
      <w:pPr>
        <w:ind w:left="2898" w:hanging="284"/>
      </w:pPr>
      <w:rPr>
        <w:rFonts w:hint="default"/>
        <w:lang w:val="en-US" w:eastAsia="en-US" w:bidi="ar-SA"/>
      </w:rPr>
    </w:lvl>
  </w:abstractNum>
  <w:abstractNum w:abstractNumId="18" w15:restartNumberingAfterBreak="0">
    <w:nsid w:val="05634652"/>
    <w:multiLevelType w:val="hybridMultilevel"/>
    <w:tmpl w:val="179ACBA6"/>
    <w:lvl w:ilvl="0" w:tplc="414080E6">
      <w:numFmt w:val="bullet"/>
      <w:lvlText w:val=""/>
      <w:lvlJc w:val="left"/>
      <w:pPr>
        <w:ind w:left="455" w:hanging="284"/>
      </w:pPr>
      <w:rPr>
        <w:rFonts w:ascii="Symbol" w:eastAsia="Symbol" w:hAnsi="Symbol" w:cs="Symbol" w:hint="default"/>
        <w:b w:val="0"/>
        <w:bCs w:val="0"/>
        <w:i w:val="0"/>
        <w:iCs w:val="0"/>
        <w:color w:val="70004A"/>
        <w:spacing w:val="0"/>
        <w:w w:val="100"/>
        <w:sz w:val="18"/>
        <w:szCs w:val="18"/>
        <w:lang w:val="en-US" w:eastAsia="en-US" w:bidi="ar-SA"/>
      </w:rPr>
    </w:lvl>
    <w:lvl w:ilvl="1" w:tplc="948C477C">
      <w:numFmt w:val="bullet"/>
      <w:lvlText w:val="•"/>
      <w:lvlJc w:val="left"/>
      <w:pPr>
        <w:ind w:left="741" w:hanging="284"/>
      </w:pPr>
      <w:rPr>
        <w:rFonts w:hint="default"/>
        <w:lang w:val="en-US" w:eastAsia="en-US" w:bidi="ar-SA"/>
      </w:rPr>
    </w:lvl>
    <w:lvl w:ilvl="2" w:tplc="E4A296AA">
      <w:numFmt w:val="bullet"/>
      <w:lvlText w:val="•"/>
      <w:lvlJc w:val="left"/>
      <w:pPr>
        <w:ind w:left="1023" w:hanging="284"/>
      </w:pPr>
      <w:rPr>
        <w:rFonts w:hint="default"/>
        <w:lang w:val="en-US" w:eastAsia="en-US" w:bidi="ar-SA"/>
      </w:rPr>
    </w:lvl>
    <w:lvl w:ilvl="3" w:tplc="7FFEC624">
      <w:numFmt w:val="bullet"/>
      <w:lvlText w:val="•"/>
      <w:lvlJc w:val="left"/>
      <w:pPr>
        <w:ind w:left="1304" w:hanging="284"/>
      </w:pPr>
      <w:rPr>
        <w:rFonts w:hint="default"/>
        <w:lang w:val="en-US" w:eastAsia="en-US" w:bidi="ar-SA"/>
      </w:rPr>
    </w:lvl>
    <w:lvl w:ilvl="4" w:tplc="E06A033C">
      <w:numFmt w:val="bullet"/>
      <w:lvlText w:val="•"/>
      <w:lvlJc w:val="left"/>
      <w:pPr>
        <w:ind w:left="1586" w:hanging="284"/>
      </w:pPr>
      <w:rPr>
        <w:rFonts w:hint="default"/>
        <w:lang w:val="en-US" w:eastAsia="en-US" w:bidi="ar-SA"/>
      </w:rPr>
    </w:lvl>
    <w:lvl w:ilvl="5" w:tplc="86CA55F4">
      <w:numFmt w:val="bullet"/>
      <w:lvlText w:val="•"/>
      <w:lvlJc w:val="left"/>
      <w:pPr>
        <w:ind w:left="1868" w:hanging="284"/>
      </w:pPr>
      <w:rPr>
        <w:rFonts w:hint="default"/>
        <w:lang w:val="en-US" w:eastAsia="en-US" w:bidi="ar-SA"/>
      </w:rPr>
    </w:lvl>
    <w:lvl w:ilvl="6" w:tplc="D840AB14">
      <w:numFmt w:val="bullet"/>
      <w:lvlText w:val="•"/>
      <w:lvlJc w:val="left"/>
      <w:pPr>
        <w:ind w:left="2149" w:hanging="284"/>
      </w:pPr>
      <w:rPr>
        <w:rFonts w:hint="default"/>
        <w:lang w:val="en-US" w:eastAsia="en-US" w:bidi="ar-SA"/>
      </w:rPr>
    </w:lvl>
    <w:lvl w:ilvl="7" w:tplc="8D7A2250">
      <w:numFmt w:val="bullet"/>
      <w:lvlText w:val="•"/>
      <w:lvlJc w:val="left"/>
      <w:pPr>
        <w:ind w:left="2431" w:hanging="284"/>
      </w:pPr>
      <w:rPr>
        <w:rFonts w:hint="default"/>
        <w:lang w:val="en-US" w:eastAsia="en-US" w:bidi="ar-SA"/>
      </w:rPr>
    </w:lvl>
    <w:lvl w:ilvl="8" w:tplc="D4B24B52">
      <w:numFmt w:val="bullet"/>
      <w:lvlText w:val="•"/>
      <w:lvlJc w:val="left"/>
      <w:pPr>
        <w:ind w:left="2712" w:hanging="284"/>
      </w:pPr>
      <w:rPr>
        <w:rFonts w:hint="default"/>
        <w:lang w:val="en-US" w:eastAsia="en-US" w:bidi="ar-SA"/>
      </w:rPr>
    </w:lvl>
  </w:abstractNum>
  <w:abstractNum w:abstractNumId="19" w15:restartNumberingAfterBreak="0">
    <w:nsid w:val="05E4270C"/>
    <w:multiLevelType w:val="hybridMultilevel"/>
    <w:tmpl w:val="45F4358E"/>
    <w:lvl w:ilvl="0" w:tplc="DFC63AB4">
      <w:numFmt w:val="bullet"/>
      <w:lvlText w:val=""/>
      <w:lvlJc w:val="left"/>
      <w:pPr>
        <w:ind w:left="480" w:hanging="284"/>
      </w:pPr>
      <w:rPr>
        <w:rFonts w:ascii="Symbol" w:eastAsia="Symbol" w:hAnsi="Symbol" w:cs="Symbol" w:hint="default"/>
        <w:b w:val="0"/>
        <w:bCs w:val="0"/>
        <w:i w:val="0"/>
        <w:iCs w:val="0"/>
        <w:color w:val="70004A"/>
        <w:spacing w:val="0"/>
        <w:w w:val="100"/>
        <w:sz w:val="18"/>
        <w:szCs w:val="18"/>
        <w:lang w:val="en-US" w:eastAsia="en-US" w:bidi="ar-SA"/>
      </w:rPr>
    </w:lvl>
    <w:lvl w:ilvl="1" w:tplc="78C22230">
      <w:numFmt w:val="bullet"/>
      <w:lvlText w:val="•"/>
      <w:lvlJc w:val="left"/>
      <w:pPr>
        <w:ind w:left="782" w:hanging="284"/>
      </w:pPr>
      <w:rPr>
        <w:rFonts w:hint="default"/>
        <w:lang w:val="en-US" w:eastAsia="en-US" w:bidi="ar-SA"/>
      </w:rPr>
    </w:lvl>
    <w:lvl w:ilvl="2" w:tplc="F6EEA848">
      <w:numFmt w:val="bullet"/>
      <w:lvlText w:val="•"/>
      <w:lvlJc w:val="left"/>
      <w:pPr>
        <w:ind w:left="1084" w:hanging="284"/>
      </w:pPr>
      <w:rPr>
        <w:rFonts w:hint="default"/>
        <w:lang w:val="en-US" w:eastAsia="en-US" w:bidi="ar-SA"/>
      </w:rPr>
    </w:lvl>
    <w:lvl w:ilvl="3" w:tplc="444C84E2">
      <w:numFmt w:val="bullet"/>
      <w:lvlText w:val="•"/>
      <w:lvlJc w:val="left"/>
      <w:pPr>
        <w:ind w:left="1386" w:hanging="284"/>
      </w:pPr>
      <w:rPr>
        <w:rFonts w:hint="default"/>
        <w:lang w:val="en-US" w:eastAsia="en-US" w:bidi="ar-SA"/>
      </w:rPr>
    </w:lvl>
    <w:lvl w:ilvl="4" w:tplc="360E24FE">
      <w:numFmt w:val="bullet"/>
      <w:lvlText w:val="•"/>
      <w:lvlJc w:val="left"/>
      <w:pPr>
        <w:ind w:left="1688" w:hanging="284"/>
      </w:pPr>
      <w:rPr>
        <w:rFonts w:hint="default"/>
        <w:lang w:val="en-US" w:eastAsia="en-US" w:bidi="ar-SA"/>
      </w:rPr>
    </w:lvl>
    <w:lvl w:ilvl="5" w:tplc="93362204">
      <w:numFmt w:val="bullet"/>
      <w:lvlText w:val="•"/>
      <w:lvlJc w:val="left"/>
      <w:pPr>
        <w:ind w:left="1990" w:hanging="284"/>
      </w:pPr>
      <w:rPr>
        <w:rFonts w:hint="default"/>
        <w:lang w:val="en-US" w:eastAsia="en-US" w:bidi="ar-SA"/>
      </w:rPr>
    </w:lvl>
    <w:lvl w:ilvl="6" w:tplc="52D88F3E">
      <w:numFmt w:val="bullet"/>
      <w:lvlText w:val="•"/>
      <w:lvlJc w:val="left"/>
      <w:pPr>
        <w:ind w:left="2292" w:hanging="284"/>
      </w:pPr>
      <w:rPr>
        <w:rFonts w:hint="default"/>
        <w:lang w:val="en-US" w:eastAsia="en-US" w:bidi="ar-SA"/>
      </w:rPr>
    </w:lvl>
    <w:lvl w:ilvl="7" w:tplc="DDB05DB2">
      <w:numFmt w:val="bullet"/>
      <w:lvlText w:val="•"/>
      <w:lvlJc w:val="left"/>
      <w:pPr>
        <w:ind w:left="2594" w:hanging="284"/>
      </w:pPr>
      <w:rPr>
        <w:rFonts w:hint="default"/>
        <w:lang w:val="en-US" w:eastAsia="en-US" w:bidi="ar-SA"/>
      </w:rPr>
    </w:lvl>
    <w:lvl w:ilvl="8" w:tplc="0414EF9C">
      <w:numFmt w:val="bullet"/>
      <w:lvlText w:val="•"/>
      <w:lvlJc w:val="left"/>
      <w:pPr>
        <w:ind w:left="2896" w:hanging="284"/>
      </w:pPr>
      <w:rPr>
        <w:rFonts w:hint="default"/>
        <w:lang w:val="en-US" w:eastAsia="en-US" w:bidi="ar-SA"/>
      </w:rPr>
    </w:lvl>
  </w:abstractNum>
  <w:abstractNum w:abstractNumId="20" w15:restartNumberingAfterBreak="0">
    <w:nsid w:val="06686402"/>
    <w:multiLevelType w:val="hybridMultilevel"/>
    <w:tmpl w:val="C8981FC2"/>
    <w:lvl w:ilvl="0" w:tplc="B0B6DDAA">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6E3C7A04">
      <w:numFmt w:val="bullet"/>
      <w:lvlText w:val="•"/>
      <w:lvlJc w:val="left"/>
      <w:pPr>
        <w:ind w:left="685" w:hanging="284"/>
      </w:pPr>
      <w:rPr>
        <w:rFonts w:hint="default"/>
        <w:lang w:val="en-US" w:eastAsia="en-US" w:bidi="ar-SA"/>
      </w:rPr>
    </w:lvl>
    <w:lvl w:ilvl="2" w:tplc="87BA7F38">
      <w:numFmt w:val="bullet"/>
      <w:lvlText w:val="•"/>
      <w:lvlJc w:val="left"/>
      <w:pPr>
        <w:ind w:left="970" w:hanging="284"/>
      </w:pPr>
      <w:rPr>
        <w:rFonts w:hint="default"/>
        <w:lang w:val="en-US" w:eastAsia="en-US" w:bidi="ar-SA"/>
      </w:rPr>
    </w:lvl>
    <w:lvl w:ilvl="3" w:tplc="E730C01E">
      <w:numFmt w:val="bullet"/>
      <w:lvlText w:val="•"/>
      <w:lvlJc w:val="left"/>
      <w:pPr>
        <w:ind w:left="1255" w:hanging="284"/>
      </w:pPr>
      <w:rPr>
        <w:rFonts w:hint="default"/>
        <w:lang w:val="en-US" w:eastAsia="en-US" w:bidi="ar-SA"/>
      </w:rPr>
    </w:lvl>
    <w:lvl w:ilvl="4" w:tplc="EA5A345E">
      <w:numFmt w:val="bullet"/>
      <w:lvlText w:val="•"/>
      <w:lvlJc w:val="left"/>
      <w:pPr>
        <w:ind w:left="1540" w:hanging="284"/>
      </w:pPr>
      <w:rPr>
        <w:rFonts w:hint="default"/>
        <w:lang w:val="en-US" w:eastAsia="en-US" w:bidi="ar-SA"/>
      </w:rPr>
    </w:lvl>
    <w:lvl w:ilvl="5" w:tplc="5BC862B4">
      <w:numFmt w:val="bullet"/>
      <w:lvlText w:val="•"/>
      <w:lvlJc w:val="left"/>
      <w:pPr>
        <w:ind w:left="1826" w:hanging="284"/>
      </w:pPr>
      <w:rPr>
        <w:rFonts w:hint="default"/>
        <w:lang w:val="en-US" w:eastAsia="en-US" w:bidi="ar-SA"/>
      </w:rPr>
    </w:lvl>
    <w:lvl w:ilvl="6" w:tplc="18F4B5DA">
      <w:numFmt w:val="bullet"/>
      <w:lvlText w:val="•"/>
      <w:lvlJc w:val="left"/>
      <w:pPr>
        <w:ind w:left="2111" w:hanging="284"/>
      </w:pPr>
      <w:rPr>
        <w:rFonts w:hint="default"/>
        <w:lang w:val="en-US" w:eastAsia="en-US" w:bidi="ar-SA"/>
      </w:rPr>
    </w:lvl>
    <w:lvl w:ilvl="7" w:tplc="1744F664">
      <w:numFmt w:val="bullet"/>
      <w:lvlText w:val="•"/>
      <w:lvlJc w:val="left"/>
      <w:pPr>
        <w:ind w:left="2396" w:hanging="284"/>
      </w:pPr>
      <w:rPr>
        <w:rFonts w:hint="default"/>
        <w:lang w:val="en-US" w:eastAsia="en-US" w:bidi="ar-SA"/>
      </w:rPr>
    </w:lvl>
    <w:lvl w:ilvl="8" w:tplc="1CAAFB36">
      <w:numFmt w:val="bullet"/>
      <w:lvlText w:val="•"/>
      <w:lvlJc w:val="left"/>
      <w:pPr>
        <w:ind w:left="2681" w:hanging="284"/>
      </w:pPr>
      <w:rPr>
        <w:rFonts w:hint="default"/>
        <w:lang w:val="en-US" w:eastAsia="en-US" w:bidi="ar-SA"/>
      </w:rPr>
    </w:lvl>
  </w:abstractNum>
  <w:abstractNum w:abstractNumId="21" w15:restartNumberingAfterBreak="0">
    <w:nsid w:val="066C0A59"/>
    <w:multiLevelType w:val="hybridMultilevel"/>
    <w:tmpl w:val="5BB48EA0"/>
    <w:lvl w:ilvl="0" w:tplc="23828398">
      <w:numFmt w:val="bullet"/>
      <w:lvlText w:val=""/>
      <w:lvlJc w:val="left"/>
      <w:pPr>
        <w:ind w:left="455" w:hanging="284"/>
      </w:pPr>
      <w:rPr>
        <w:rFonts w:ascii="Symbol" w:eastAsia="Symbol" w:hAnsi="Symbol" w:cs="Symbol" w:hint="default"/>
        <w:b w:val="0"/>
        <w:bCs w:val="0"/>
        <w:i w:val="0"/>
        <w:iCs w:val="0"/>
        <w:color w:val="70004A"/>
        <w:spacing w:val="0"/>
        <w:w w:val="100"/>
        <w:sz w:val="18"/>
        <w:szCs w:val="18"/>
        <w:lang w:val="en-US" w:eastAsia="en-US" w:bidi="ar-SA"/>
      </w:rPr>
    </w:lvl>
    <w:lvl w:ilvl="1" w:tplc="E9E20CC6">
      <w:numFmt w:val="bullet"/>
      <w:lvlText w:val="•"/>
      <w:lvlJc w:val="left"/>
      <w:pPr>
        <w:ind w:left="650" w:hanging="284"/>
      </w:pPr>
      <w:rPr>
        <w:rFonts w:hint="default"/>
        <w:lang w:val="en-US" w:eastAsia="en-US" w:bidi="ar-SA"/>
      </w:rPr>
    </w:lvl>
    <w:lvl w:ilvl="2" w:tplc="81B458B6">
      <w:numFmt w:val="bullet"/>
      <w:lvlText w:val="•"/>
      <w:lvlJc w:val="left"/>
      <w:pPr>
        <w:ind w:left="840" w:hanging="284"/>
      </w:pPr>
      <w:rPr>
        <w:rFonts w:hint="default"/>
        <w:lang w:val="en-US" w:eastAsia="en-US" w:bidi="ar-SA"/>
      </w:rPr>
    </w:lvl>
    <w:lvl w:ilvl="3" w:tplc="DA00BF64">
      <w:numFmt w:val="bullet"/>
      <w:lvlText w:val="•"/>
      <w:lvlJc w:val="left"/>
      <w:pPr>
        <w:ind w:left="1030" w:hanging="284"/>
      </w:pPr>
      <w:rPr>
        <w:rFonts w:hint="default"/>
        <w:lang w:val="en-US" w:eastAsia="en-US" w:bidi="ar-SA"/>
      </w:rPr>
    </w:lvl>
    <w:lvl w:ilvl="4" w:tplc="EC482E70">
      <w:numFmt w:val="bullet"/>
      <w:lvlText w:val="•"/>
      <w:lvlJc w:val="left"/>
      <w:pPr>
        <w:ind w:left="1220" w:hanging="284"/>
      </w:pPr>
      <w:rPr>
        <w:rFonts w:hint="default"/>
        <w:lang w:val="en-US" w:eastAsia="en-US" w:bidi="ar-SA"/>
      </w:rPr>
    </w:lvl>
    <w:lvl w:ilvl="5" w:tplc="E6FCE2C2">
      <w:numFmt w:val="bullet"/>
      <w:lvlText w:val="•"/>
      <w:lvlJc w:val="left"/>
      <w:pPr>
        <w:ind w:left="1410" w:hanging="284"/>
      </w:pPr>
      <w:rPr>
        <w:rFonts w:hint="default"/>
        <w:lang w:val="en-US" w:eastAsia="en-US" w:bidi="ar-SA"/>
      </w:rPr>
    </w:lvl>
    <w:lvl w:ilvl="6" w:tplc="B29ED10A">
      <w:numFmt w:val="bullet"/>
      <w:lvlText w:val="•"/>
      <w:lvlJc w:val="left"/>
      <w:pPr>
        <w:ind w:left="1600" w:hanging="284"/>
      </w:pPr>
      <w:rPr>
        <w:rFonts w:hint="default"/>
        <w:lang w:val="en-US" w:eastAsia="en-US" w:bidi="ar-SA"/>
      </w:rPr>
    </w:lvl>
    <w:lvl w:ilvl="7" w:tplc="2AA8BE1E">
      <w:numFmt w:val="bullet"/>
      <w:lvlText w:val="•"/>
      <w:lvlJc w:val="left"/>
      <w:pPr>
        <w:ind w:left="1790" w:hanging="284"/>
      </w:pPr>
      <w:rPr>
        <w:rFonts w:hint="default"/>
        <w:lang w:val="en-US" w:eastAsia="en-US" w:bidi="ar-SA"/>
      </w:rPr>
    </w:lvl>
    <w:lvl w:ilvl="8" w:tplc="F91408FC">
      <w:numFmt w:val="bullet"/>
      <w:lvlText w:val="•"/>
      <w:lvlJc w:val="left"/>
      <w:pPr>
        <w:ind w:left="1980" w:hanging="284"/>
      </w:pPr>
      <w:rPr>
        <w:rFonts w:hint="default"/>
        <w:lang w:val="en-US" w:eastAsia="en-US" w:bidi="ar-SA"/>
      </w:rPr>
    </w:lvl>
  </w:abstractNum>
  <w:abstractNum w:abstractNumId="22" w15:restartNumberingAfterBreak="0">
    <w:nsid w:val="06745041"/>
    <w:multiLevelType w:val="hybridMultilevel"/>
    <w:tmpl w:val="0764E5F0"/>
    <w:lvl w:ilvl="0" w:tplc="C316B3F8">
      <w:numFmt w:val="bullet"/>
      <w:lvlText w:val=""/>
      <w:lvlJc w:val="left"/>
      <w:pPr>
        <w:ind w:left="482" w:hanging="284"/>
      </w:pPr>
      <w:rPr>
        <w:rFonts w:ascii="Symbol" w:eastAsia="Symbol" w:hAnsi="Symbol" w:cs="Symbol" w:hint="default"/>
        <w:b w:val="0"/>
        <w:bCs w:val="0"/>
        <w:i w:val="0"/>
        <w:iCs w:val="0"/>
        <w:color w:val="70004A"/>
        <w:spacing w:val="0"/>
        <w:w w:val="100"/>
        <w:sz w:val="18"/>
        <w:szCs w:val="18"/>
        <w:lang w:val="en-US" w:eastAsia="en-US" w:bidi="ar-SA"/>
      </w:rPr>
    </w:lvl>
    <w:lvl w:ilvl="1" w:tplc="B600926E">
      <w:numFmt w:val="bullet"/>
      <w:lvlText w:val="•"/>
      <w:lvlJc w:val="left"/>
      <w:pPr>
        <w:ind w:left="748" w:hanging="284"/>
      </w:pPr>
      <w:rPr>
        <w:rFonts w:hint="default"/>
        <w:lang w:val="en-US" w:eastAsia="en-US" w:bidi="ar-SA"/>
      </w:rPr>
    </w:lvl>
    <w:lvl w:ilvl="2" w:tplc="2CE8232A">
      <w:numFmt w:val="bullet"/>
      <w:lvlText w:val="•"/>
      <w:lvlJc w:val="left"/>
      <w:pPr>
        <w:ind w:left="1016" w:hanging="284"/>
      </w:pPr>
      <w:rPr>
        <w:rFonts w:hint="default"/>
        <w:lang w:val="en-US" w:eastAsia="en-US" w:bidi="ar-SA"/>
      </w:rPr>
    </w:lvl>
    <w:lvl w:ilvl="3" w:tplc="5B32F6F8">
      <w:numFmt w:val="bullet"/>
      <w:lvlText w:val="•"/>
      <w:lvlJc w:val="left"/>
      <w:pPr>
        <w:ind w:left="1284" w:hanging="284"/>
      </w:pPr>
      <w:rPr>
        <w:rFonts w:hint="default"/>
        <w:lang w:val="en-US" w:eastAsia="en-US" w:bidi="ar-SA"/>
      </w:rPr>
    </w:lvl>
    <w:lvl w:ilvl="4" w:tplc="137869D2">
      <w:numFmt w:val="bullet"/>
      <w:lvlText w:val="•"/>
      <w:lvlJc w:val="left"/>
      <w:pPr>
        <w:ind w:left="1552" w:hanging="284"/>
      </w:pPr>
      <w:rPr>
        <w:rFonts w:hint="default"/>
        <w:lang w:val="en-US" w:eastAsia="en-US" w:bidi="ar-SA"/>
      </w:rPr>
    </w:lvl>
    <w:lvl w:ilvl="5" w:tplc="2D80D87A">
      <w:numFmt w:val="bullet"/>
      <w:lvlText w:val="•"/>
      <w:lvlJc w:val="left"/>
      <w:pPr>
        <w:ind w:left="1820" w:hanging="284"/>
      </w:pPr>
      <w:rPr>
        <w:rFonts w:hint="default"/>
        <w:lang w:val="en-US" w:eastAsia="en-US" w:bidi="ar-SA"/>
      </w:rPr>
    </w:lvl>
    <w:lvl w:ilvl="6" w:tplc="69BE14EE">
      <w:numFmt w:val="bullet"/>
      <w:lvlText w:val="•"/>
      <w:lvlJc w:val="left"/>
      <w:pPr>
        <w:ind w:left="2088" w:hanging="284"/>
      </w:pPr>
      <w:rPr>
        <w:rFonts w:hint="default"/>
        <w:lang w:val="en-US" w:eastAsia="en-US" w:bidi="ar-SA"/>
      </w:rPr>
    </w:lvl>
    <w:lvl w:ilvl="7" w:tplc="539A9188">
      <w:numFmt w:val="bullet"/>
      <w:lvlText w:val="•"/>
      <w:lvlJc w:val="left"/>
      <w:pPr>
        <w:ind w:left="2356" w:hanging="284"/>
      </w:pPr>
      <w:rPr>
        <w:rFonts w:hint="default"/>
        <w:lang w:val="en-US" w:eastAsia="en-US" w:bidi="ar-SA"/>
      </w:rPr>
    </w:lvl>
    <w:lvl w:ilvl="8" w:tplc="A768E614">
      <w:numFmt w:val="bullet"/>
      <w:lvlText w:val="•"/>
      <w:lvlJc w:val="left"/>
      <w:pPr>
        <w:ind w:left="2624" w:hanging="284"/>
      </w:pPr>
      <w:rPr>
        <w:rFonts w:hint="default"/>
        <w:lang w:val="en-US" w:eastAsia="en-US" w:bidi="ar-SA"/>
      </w:rPr>
    </w:lvl>
  </w:abstractNum>
  <w:abstractNum w:abstractNumId="23" w15:restartNumberingAfterBreak="0">
    <w:nsid w:val="068C49E2"/>
    <w:multiLevelType w:val="hybridMultilevel"/>
    <w:tmpl w:val="49B4E096"/>
    <w:lvl w:ilvl="0" w:tplc="884AFA3A">
      <w:numFmt w:val="bullet"/>
      <w:lvlText w:val=""/>
      <w:lvlJc w:val="left"/>
      <w:pPr>
        <w:ind w:left="360" w:hanging="284"/>
      </w:pPr>
      <w:rPr>
        <w:rFonts w:ascii="Symbol" w:eastAsia="Symbol" w:hAnsi="Symbol" w:cs="Symbol" w:hint="default"/>
        <w:b w:val="0"/>
        <w:bCs w:val="0"/>
        <w:i w:val="0"/>
        <w:iCs w:val="0"/>
        <w:color w:val="70004A"/>
        <w:spacing w:val="0"/>
        <w:w w:val="100"/>
        <w:sz w:val="18"/>
        <w:szCs w:val="18"/>
        <w:lang w:val="en-US" w:eastAsia="en-US" w:bidi="ar-SA"/>
      </w:rPr>
    </w:lvl>
    <w:lvl w:ilvl="1" w:tplc="15BA0604">
      <w:numFmt w:val="bullet"/>
      <w:lvlText w:val="•"/>
      <w:lvlJc w:val="left"/>
      <w:pPr>
        <w:ind w:left="468" w:hanging="284"/>
      </w:pPr>
      <w:rPr>
        <w:rFonts w:hint="default"/>
        <w:lang w:val="en-US" w:eastAsia="en-US" w:bidi="ar-SA"/>
      </w:rPr>
    </w:lvl>
    <w:lvl w:ilvl="2" w:tplc="2A9636FA">
      <w:numFmt w:val="bullet"/>
      <w:lvlText w:val="•"/>
      <w:lvlJc w:val="left"/>
      <w:pPr>
        <w:ind w:left="576" w:hanging="284"/>
      </w:pPr>
      <w:rPr>
        <w:rFonts w:hint="default"/>
        <w:lang w:val="en-US" w:eastAsia="en-US" w:bidi="ar-SA"/>
      </w:rPr>
    </w:lvl>
    <w:lvl w:ilvl="3" w:tplc="76122DD2">
      <w:numFmt w:val="bullet"/>
      <w:lvlText w:val="•"/>
      <w:lvlJc w:val="left"/>
      <w:pPr>
        <w:ind w:left="684" w:hanging="284"/>
      </w:pPr>
      <w:rPr>
        <w:rFonts w:hint="default"/>
        <w:lang w:val="en-US" w:eastAsia="en-US" w:bidi="ar-SA"/>
      </w:rPr>
    </w:lvl>
    <w:lvl w:ilvl="4" w:tplc="5D48F62C">
      <w:numFmt w:val="bullet"/>
      <w:lvlText w:val="•"/>
      <w:lvlJc w:val="left"/>
      <w:pPr>
        <w:ind w:left="793" w:hanging="284"/>
      </w:pPr>
      <w:rPr>
        <w:rFonts w:hint="default"/>
        <w:lang w:val="en-US" w:eastAsia="en-US" w:bidi="ar-SA"/>
      </w:rPr>
    </w:lvl>
    <w:lvl w:ilvl="5" w:tplc="8CBEB692">
      <w:numFmt w:val="bullet"/>
      <w:lvlText w:val="•"/>
      <w:lvlJc w:val="left"/>
      <w:pPr>
        <w:ind w:left="901" w:hanging="284"/>
      </w:pPr>
      <w:rPr>
        <w:rFonts w:hint="default"/>
        <w:lang w:val="en-US" w:eastAsia="en-US" w:bidi="ar-SA"/>
      </w:rPr>
    </w:lvl>
    <w:lvl w:ilvl="6" w:tplc="B18CCED6">
      <w:numFmt w:val="bullet"/>
      <w:lvlText w:val="•"/>
      <w:lvlJc w:val="left"/>
      <w:pPr>
        <w:ind w:left="1009" w:hanging="284"/>
      </w:pPr>
      <w:rPr>
        <w:rFonts w:hint="default"/>
        <w:lang w:val="en-US" w:eastAsia="en-US" w:bidi="ar-SA"/>
      </w:rPr>
    </w:lvl>
    <w:lvl w:ilvl="7" w:tplc="7786ECB8">
      <w:numFmt w:val="bullet"/>
      <w:lvlText w:val="•"/>
      <w:lvlJc w:val="left"/>
      <w:pPr>
        <w:ind w:left="1118" w:hanging="284"/>
      </w:pPr>
      <w:rPr>
        <w:rFonts w:hint="default"/>
        <w:lang w:val="en-US" w:eastAsia="en-US" w:bidi="ar-SA"/>
      </w:rPr>
    </w:lvl>
    <w:lvl w:ilvl="8" w:tplc="F5DC973C">
      <w:numFmt w:val="bullet"/>
      <w:lvlText w:val="•"/>
      <w:lvlJc w:val="left"/>
      <w:pPr>
        <w:ind w:left="1226" w:hanging="284"/>
      </w:pPr>
      <w:rPr>
        <w:rFonts w:hint="default"/>
        <w:lang w:val="en-US" w:eastAsia="en-US" w:bidi="ar-SA"/>
      </w:rPr>
    </w:lvl>
  </w:abstractNum>
  <w:abstractNum w:abstractNumId="24" w15:restartNumberingAfterBreak="0">
    <w:nsid w:val="06A9419A"/>
    <w:multiLevelType w:val="hybridMultilevel"/>
    <w:tmpl w:val="DDF0E91E"/>
    <w:lvl w:ilvl="0" w:tplc="C8BEBC30">
      <w:numFmt w:val="bullet"/>
      <w:lvlText w:val=""/>
      <w:lvlJc w:val="left"/>
      <w:pPr>
        <w:ind w:left="430" w:hanging="284"/>
      </w:pPr>
      <w:rPr>
        <w:rFonts w:ascii="Symbol" w:eastAsia="Symbol" w:hAnsi="Symbol" w:cs="Symbol" w:hint="default"/>
        <w:b w:val="0"/>
        <w:bCs w:val="0"/>
        <w:i w:val="0"/>
        <w:iCs w:val="0"/>
        <w:color w:val="70004A"/>
        <w:spacing w:val="0"/>
        <w:w w:val="100"/>
        <w:sz w:val="18"/>
        <w:szCs w:val="18"/>
        <w:lang w:val="en-US" w:eastAsia="en-US" w:bidi="ar-SA"/>
      </w:rPr>
    </w:lvl>
    <w:lvl w:ilvl="1" w:tplc="1B92FCEE">
      <w:numFmt w:val="bullet"/>
      <w:lvlText w:val="•"/>
      <w:lvlJc w:val="left"/>
      <w:pPr>
        <w:ind w:left="653" w:hanging="284"/>
      </w:pPr>
      <w:rPr>
        <w:rFonts w:hint="default"/>
        <w:lang w:val="en-US" w:eastAsia="en-US" w:bidi="ar-SA"/>
      </w:rPr>
    </w:lvl>
    <w:lvl w:ilvl="2" w:tplc="FC201FDE">
      <w:numFmt w:val="bullet"/>
      <w:lvlText w:val="•"/>
      <w:lvlJc w:val="left"/>
      <w:pPr>
        <w:ind w:left="867" w:hanging="284"/>
      </w:pPr>
      <w:rPr>
        <w:rFonts w:hint="default"/>
        <w:lang w:val="en-US" w:eastAsia="en-US" w:bidi="ar-SA"/>
      </w:rPr>
    </w:lvl>
    <w:lvl w:ilvl="3" w:tplc="D58E5A22">
      <w:numFmt w:val="bullet"/>
      <w:lvlText w:val="•"/>
      <w:lvlJc w:val="left"/>
      <w:pPr>
        <w:ind w:left="1081" w:hanging="284"/>
      </w:pPr>
      <w:rPr>
        <w:rFonts w:hint="default"/>
        <w:lang w:val="en-US" w:eastAsia="en-US" w:bidi="ar-SA"/>
      </w:rPr>
    </w:lvl>
    <w:lvl w:ilvl="4" w:tplc="5EAA2F64">
      <w:numFmt w:val="bullet"/>
      <w:lvlText w:val="•"/>
      <w:lvlJc w:val="left"/>
      <w:pPr>
        <w:ind w:left="1295" w:hanging="284"/>
      </w:pPr>
      <w:rPr>
        <w:rFonts w:hint="default"/>
        <w:lang w:val="en-US" w:eastAsia="en-US" w:bidi="ar-SA"/>
      </w:rPr>
    </w:lvl>
    <w:lvl w:ilvl="5" w:tplc="846EEC32">
      <w:numFmt w:val="bullet"/>
      <w:lvlText w:val="•"/>
      <w:lvlJc w:val="left"/>
      <w:pPr>
        <w:ind w:left="1509" w:hanging="284"/>
      </w:pPr>
      <w:rPr>
        <w:rFonts w:hint="default"/>
        <w:lang w:val="en-US" w:eastAsia="en-US" w:bidi="ar-SA"/>
      </w:rPr>
    </w:lvl>
    <w:lvl w:ilvl="6" w:tplc="D882936A">
      <w:numFmt w:val="bullet"/>
      <w:lvlText w:val="•"/>
      <w:lvlJc w:val="left"/>
      <w:pPr>
        <w:ind w:left="1722" w:hanging="284"/>
      </w:pPr>
      <w:rPr>
        <w:rFonts w:hint="default"/>
        <w:lang w:val="en-US" w:eastAsia="en-US" w:bidi="ar-SA"/>
      </w:rPr>
    </w:lvl>
    <w:lvl w:ilvl="7" w:tplc="BAC47366">
      <w:numFmt w:val="bullet"/>
      <w:lvlText w:val="•"/>
      <w:lvlJc w:val="left"/>
      <w:pPr>
        <w:ind w:left="1936" w:hanging="284"/>
      </w:pPr>
      <w:rPr>
        <w:rFonts w:hint="default"/>
        <w:lang w:val="en-US" w:eastAsia="en-US" w:bidi="ar-SA"/>
      </w:rPr>
    </w:lvl>
    <w:lvl w:ilvl="8" w:tplc="9F7C03D4">
      <w:numFmt w:val="bullet"/>
      <w:lvlText w:val="•"/>
      <w:lvlJc w:val="left"/>
      <w:pPr>
        <w:ind w:left="2150" w:hanging="284"/>
      </w:pPr>
      <w:rPr>
        <w:rFonts w:hint="default"/>
        <w:lang w:val="en-US" w:eastAsia="en-US" w:bidi="ar-SA"/>
      </w:rPr>
    </w:lvl>
  </w:abstractNum>
  <w:abstractNum w:abstractNumId="25" w15:restartNumberingAfterBreak="0">
    <w:nsid w:val="06AE6036"/>
    <w:multiLevelType w:val="hybridMultilevel"/>
    <w:tmpl w:val="86968A3C"/>
    <w:lvl w:ilvl="0" w:tplc="8AF0932A">
      <w:numFmt w:val="bullet"/>
      <w:lvlText w:val=""/>
      <w:lvlJc w:val="left"/>
      <w:pPr>
        <w:ind w:left="438" w:hanging="284"/>
      </w:pPr>
      <w:rPr>
        <w:rFonts w:ascii="Symbol" w:eastAsia="Symbol" w:hAnsi="Symbol" w:cs="Symbol" w:hint="default"/>
        <w:b w:val="0"/>
        <w:bCs w:val="0"/>
        <w:i w:val="0"/>
        <w:iCs w:val="0"/>
        <w:color w:val="70004A"/>
        <w:spacing w:val="0"/>
        <w:w w:val="100"/>
        <w:sz w:val="18"/>
        <w:szCs w:val="18"/>
        <w:lang w:val="en-US" w:eastAsia="en-US" w:bidi="ar-SA"/>
      </w:rPr>
    </w:lvl>
    <w:lvl w:ilvl="1" w:tplc="4C605E72">
      <w:numFmt w:val="bullet"/>
      <w:lvlText w:val="•"/>
      <w:lvlJc w:val="left"/>
      <w:pPr>
        <w:ind w:left="702" w:hanging="284"/>
      </w:pPr>
      <w:rPr>
        <w:rFonts w:hint="default"/>
        <w:lang w:val="en-US" w:eastAsia="en-US" w:bidi="ar-SA"/>
      </w:rPr>
    </w:lvl>
    <w:lvl w:ilvl="2" w:tplc="D07A6FBC">
      <w:numFmt w:val="bullet"/>
      <w:lvlText w:val="•"/>
      <w:lvlJc w:val="left"/>
      <w:pPr>
        <w:ind w:left="965" w:hanging="284"/>
      </w:pPr>
      <w:rPr>
        <w:rFonts w:hint="default"/>
        <w:lang w:val="en-US" w:eastAsia="en-US" w:bidi="ar-SA"/>
      </w:rPr>
    </w:lvl>
    <w:lvl w:ilvl="3" w:tplc="D7F8C506">
      <w:numFmt w:val="bullet"/>
      <w:lvlText w:val="•"/>
      <w:lvlJc w:val="left"/>
      <w:pPr>
        <w:ind w:left="1228" w:hanging="284"/>
      </w:pPr>
      <w:rPr>
        <w:rFonts w:hint="default"/>
        <w:lang w:val="en-US" w:eastAsia="en-US" w:bidi="ar-SA"/>
      </w:rPr>
    </w:lvl>
    <w:lvl w:ilvl="4" w:tplc="2D9AEB92">
      <w:numFmt w:val="bullet"/>
      <w:lvlText w:val="•"/>
      <w:lvlJc w:val="left"/>
      <w:pPr>
        <w:ind w:left="1491" w:hanging="284"/>
      </w:pPr>
      <w:rPr>
        <w:rFonts w:hint="default"/>
        <w:lang w:val="en-US" w:eastAsia="en-US" w:bidi="ar-SA"/>
      </w:rPr>
    </w:lvl>
    <w:lvl w:ilvl="5" w:tplc="E9D89732">
      <w:numFmt w:val="bullet"/>
      <w:lvlText w:val="•"/>
      <w:lvlJc w:val="left"/>
      <w:pPr>
        <w:ind w:left="1754" w:hanging="284"/>
      </w:pPr>
      <w:rPr>
        <w:rFonts w:hint="default"/>
        <w:lang w:val="en-US" w:eastAsia="en-US" w:bidi="ar-SA"/>
      </w:rPr>
    </w:lvl>
    <w:lvl w:ilvl="6" w:tplc="F0686372">
      <w:numFmt w:val="bullet"/>
      <w:lvlText w:val="•"/>
      <w:lvlJc w:val="left"/>
      <w:pPr>
        <w:ind w:left="2016" w:hanging="284"/>
      </w:pPr>
      <w:rPr>
        <w:rFonts w:hint="default"/>
        <w:lang w:val="en-US" w:eastAsia="en-US" w:bidi="ar-SA"/>
      </w:rPr>
    </w:lvl>
    <w:lvl w:ilvl="7" w:tplc="8FCADE24">
      <w:numFmt w:val="bullet"/>
      <w:lvlText w:val="•"/>
      <w:lvlJc w:val="left"/>
      <w:pPr>
        <w:ind w:left="2279" w:hanging="284"/>
      </w:pPr>
      <w:rPr>
        <w:rFonts w:hint="default"/>
        <w:lang w:val="en-US" w:eastAsia="en-US" w:bidi="ar-SA"/>
      </w:rPr>
    </w:lvl>
    <w:lvl w:ilvl="8" w:tplc="C9D48580">
      <w:numFmt w:val="bullet"/>
      <w:lvlText w:val="•"/>
      <w:lvlJc w:val="left"/>
      <w:pPr>
        <w:ind w:left="2542" w:hanging="284"/>
      </w:pPr>
      <w:rPr>
        <w:rFonts w:hint="default"/>
        <w:lang w:val="en-US" w:eastAsia="en-US" w:bidi="ar-SA"/>
      </w:rPr>
    </w:lvl>
  </w:abstractNum>
  <w:abstractNum w:abstractNumId="26" w15:restartNumberingAfterBreak="0">
    <w:nsid w:val="06DE23B2"/>
    <w:multiLevelType w:val="hybridMultilevel"/>
    <w:tmpl w:val="39BAE1D2"/>
    <w:lvl w:ilvl="0" w:tplc="C08EACC2">
      <w:numFmt w:val="bullet"/>
      <w:lvlText w:val=""/>
      <w:lvlJc w:val="left"/>
      <w:pPr>
        <w:ind w:left="450" w:hanging="284"/>
      </w:pPr>
      <w:rPr>
        <w:rFonts w:ascii="Symbol" w:eastAsia="Symbol" w:hAnsi="Symbol" w:cs="Symbol" w:hint="default"/>
        <w:b w:val="0"/>
        <w:bCs w:val="0"/>
        <w:i w:val="0"/>
        <w:iCs w:val="0"/>
        <w:color w:val="70004A"/>
        <w:spacing w:val="0"/>
        <w:w w:val="100"/>
        <w:sz w:val="18"/>
        <w:szCs w:val="18"/>
        <w:lang w:val="en-US" w:eastAsia="en-US" w:bidi="ar-SA"/>
      </w:rPr>
    </w:lvl>
    <w:lvl w:ilvl="1" w:tplc="14545152">
      <w:numFmt w:val="bullet"/>
      <w:lvlText w:val="•"/>
      <w:lvlJc w:val="left"/>
      <w:pPr>
        <w:ind w:left="679" w:hanging="284"/>
      </w:pPr>
      <w:rPr>
        <w:rFonts w:hint="default"/>
        <w:lang w:val="en-US" w:eastAsia="en-US" w:bidi="ar-SA"/>
      </w:rPr>
    </w:lvl>
    <w:lvl w:ilvl="2" w:tplc="059A4A20">
      <w:numFmt w:val="bullet"/>
      <w:lvlText w:val="•"/>
      <w:lvlJc w:val="left"/>
      <w:pPr>
        <w:ind w:left="898" w:hanging="284"/>
      </w:pPr>
      <w:rPr>
        <w:rFonts w:hint="default"/>
        <w:lang w:val="en-US" w:eastAsia="en-US" w:bidi="ar-SA"/>
      </w:rPr>
    </w:lvl>
    <w:lvl w:ilvl="3" w:tplc="388A7DFC">
      <w:numFmt w:val="bullet"/>
      <w:lvlText w:val="•"/>
      <w:lvlJc w:val="left"/>
      <w:pPr>
        <w:ind w:left="1118" w:hanging="284"/>
      </w:pPr>
      <w:rPr>
        <w:rFonts w:hint="default"/>
        <w:lang w:val="en-US" w:eastAsia="en-US" w:bidi="ar-SA"/>
      </w:rPr>
    </w:lvl>
    <w:lvl w:ilvl="4" w:tplc="D160FA9A">
      <w:numFmt w:val="bullet"/>
      <w:lvlText w:val="•"/>
      <w:lvlJc w:val="left"/>
      <w:pPr>
        <w:ind w:left="1337" w:hanging="284"/>
      </w:pPr>
      <w:rPr>
        <w:rFonts w:hint="default"/>
        <w:lang w:val="en-US" w:eastAsia="en-US" w:bidi="ar-SA"/>
      </w:rPr>
    </w:lvl>
    <w:lvl w:ilvl="5" w:tplc="B23AC6FA">
      <w:numFmt w:val="bullet"/>
      <w:lvlText w:val="•"/>
      <w:lvlJc w:val="left"/>
      <w:pPr>
        <w:ind w:left="1557" w:hanging="284"/>
      </w:pPr>
      <w:rPr>
        <w:rFonts w:hint="default"/>
        <w:lang w:val="en-US" w:eastAsia="en-US" w:bidi="ar-SA"/>
      </w:rPr>
    </w:lvl>
    <w:lvl w:ilvl="6" w:tplc="DBBAEF7C">
      <w:numFmt w:val="bullet"/>
      <w:lvlText w:val="•"/>
      <w:lvlJc w:val="left"/>
      <w:pPr>
        <w:ind w:left="1776" w:hanging="284"/>
      </w:pPr>
      <w:rPr>
        <w:rFonts w:hint="default"/>
        <w:lang w:val="en-US" w:eastAsia="en-US" w:bidi="ar-SA"/>
      </w:rPr>
    </w:lvl>
    <w:lvl w:ilvl="7" w:tplc="F82EC8EA">
      <w:numFmt w:val="bullet"/>
      <w:lvlText w:val="•"/>
      <w:lvlJc w:val="left"/>
      <w:pPr>
        <w:ind w:left="1995" w:hanging="284"/>
      </w:pPr>
      <w:rPr>
        <w:rFonts w:hint="default"/>
        <w:lang w:val="en-US" w:eastAsia="en-US" w:bidi="ar-SA"/>
      </w:rPr>
    </w:lvl>
    <w:lvl w:ilvl="8" w:tplc="319482F0">
      <w:numFmt w:val="bullet"/>
      <w:lvlText w:val="•"/>
      <w:lvlJc w:val="left"/>
      <w:pPr>
        <w:ind w:left="2215" w:hanging="284"/>
      </w:pPr>
      <w:rPr>
        <w:rFonts w:hint="default"/>
        <w:lang w:val="en-US" w:eastAsia="en-US" w:bidi="ar-SA"/>
      </w:rPr>
    </w:lvl>
  </w:abstractNum>
  <w:abstractNum w:abstractNumId="27" w15:restartNumberingAfterBreak="0">
    <w:nsid w:val="07284AE9"/>
    <w:multiLevelType w:val="multilevel"/>
    <w:tmpl w:val="B1FED71E"/>
    <w:lvl w:ilvl="0">
      <w:start w:val="1"/>
      <w:numFmt w:val="lowerLetter"/>
      <w:pStyle w:val="ListAlpha"/>
      <w:lvlText w:val="%1."/>
      <w:lvlJc w:val="left"/>
      <w:pPr>
        <w:ind w:left="425" w:hanging="425"/>
      </w:pPr>
      <w:rPr>
        <w:rFonts w:asciiTheme="minorHAnsi" w:hAnsiTheme="minorHAnsi" w:hint="default"/>
        <w:color w:val="71004B"/>
        <w:sz w:val="20"/>
      </w:rPr>
    </w:lvl>
    <w:lvl w:ilvl="1">
      <w:start w:val="1"/>
      <w:numFmt w:val="lowerRoman"/>
      <w:pStyle w:val="ListAlpha2"/>
      <w:lvlText w:val="%2."/>
      <w:lvlJc w:val="left"/>
      <w:pPr>
        <w:ind w:left="850" w:hanging="425"/>
      </w:pPr>
      <w:rPr>
        <w:rFonts w:asciiTheme="minorHAnsi" w:hAnsiTheme="minorHAnsi" w:hint="default"/>
        <w:color w:val="5F6369" w:themeColor="text2"/>
      </w:rPr>
    </w:lvl>
    <w:lvl w:ilvl="2">
      <w:start w:val="1"/>
      <w:numFmt w:val="decimal"/>
      <w:pStyle w:val="ListAlpha3"/>
      <w:lvlText w:val="%3."/>
      <w:lvlJc w:val="left"/>
      <w:pPr>
        <w:ind w:left="1275" w:hanging="425"/>
      </w:pPr>
      <w:rPr>
        <w:rFonts w:asciiTheme="minorHAnsi" w:hAnsiTheme="minorHAnsi" w:hint="default"/>
        <w:color w:val="5F6369" w:themeColor="text2"/>
        <w:sz w:val="20"/>
      </w:rPr>
    </w:lvl>
    <w:lvl w:ilvl="3">
      <w:start w:val="1"/>
      <w:numFmt w:val="upperLetter"/>
      <w:lvlText w:val="%4."/>
      <w:lvlJc w:val="left"/>
      <w:pPr>
        <w:ind w:left="1700" w:hanging="425"/>
      </w:pPr>
      <w:rPr>
        <w:rFonts w:asciiTheme="minorHAnsi" w:hAnsiTheme="minorHAnsi" w:hint="default"/>
        <w:color w:val="5F6369" w:themeColor="text2"/>
        <w:sz w:val="20"/>
      </w:rPr>
    </w:lvl>
    <w:lvl w:ilvl="4">
      <w:start w:val="1"/>
      <w:numFmt w:val="upperRoman"/>
      <w:lvlText w:val="%5."/>
      <w:lvlJc w:val="left"/>
      <w:pPr>
        <w:ind w:left="2125" w:hanging="425"/>
      </w:pPr>
      <w:rPr>
        <w:rFonts w:asciiTheme="minorHAnsi" w:hAnsiTheme="minorHAnsi" w:hint="default"/>
        <w:color w:val="5F6369" w:themeColor="text2"/>
        <w:sz w:val="20"/>
      </w:rPr>
    </w:lvl>
    <w:lvl w:ilvl="5">
      <w:start w:val="1"/>
      <w:numFmt w:val="none"/>
      <w:pStyle w:val="ListAlpha6"/>
      <w:lvlText w:val="%6"/>
      <w:lvlJc w:val="left"/>
      <w:pPr>
        <w:ind w:left="2550" w:hanging="425"/>
      </w:pPr>
      <w:rPr>
        <w:rFonts w:asciiTheme="minorHAnsi" w:hAnsiTheme="minorHAnsi" w:hint="default"/>
        <w:color w:val="5F6369" w:themeColor="text2"/>
        <w:sz w:val="20"/>
      </w:rPr>
    </w:lvl>
    <w:lvl w:ilvl="6">
      <w:start w:val="1"/>
      <w:numFmt w:val="none"/>
      <w:lvlText w:val=""/>
      <w:lvlJc w:val="left"/>
      <w:pPr>
        <w:ind w:left="2975" w:hanging="425"/>
      </w:pPr>
      <w:rPr>
        <w:rFonts w:hint="default"/>
      </w:rPr>
    </w:lvl>
    <w:lvl w:ilvl="7">
      <w:start w:val="1"/>
      <w:numFmt w:val="none"/>
      <w:lvlText w:val=""/>
      <w:lvlJc w:val="left"/>
      <w:pPr>
        <w:ind w:left="3400" w:hanging="425"/>
      </w:pPr>
      <w:rPr>
        <w:rFonts w:hint="default"/>
      </w:rPr>
    </w:lvl>
    <w:lvl w:ilvl="8">
      <w:start w:val="1"/>
      <w:numFmt w:val="none"/>
      <w:lvlText w:val=""/>
      <w:lvlJc w:val="left"/>
      <w:pPr>
        <w:ind w:left="3825" w:hanging="425"/>
      </w:pPr>
      <w:rPr>
        <w:rFonts w:hint="default"/>
      </w:rPr>
    </w:lvl>
  </w:abstractNum>
  <w:abstractNum w:abstractNumId="28" w15:restartNumberingAfterBreak="0">
    <w:nsid w:val="073C2F1A"/>
    <w:multiLevelType w:val="hybridMultilevel"/>
    <w:tmpl w:val="4878A7BA"/>
    <w:lvl w:ilvl="0" w:tplc="27AA056A">
      <w:numFmt w:val="bullet"/>
      <w:lvlText w:val=""/>
      <w:lvlJc w:val="left"/>
      <w:pPr>
        <w:ind w:left="501" w:hanging="284"/>
      </w:pPr>
      <w:rPr>
        <w:rFonts w:ascii="Symbol" w:eastAsia="Symbol" w:hAnsi="Symbol" w:cs="Symbol" w:hint="default"/>
        <w:b w:val="0"/>
        <w:bCs w:val="0"/>
        <w:i w:val="0"/>
        <w:iCs w:val="0"/>
        <w:color w:val="70004A"/>
        <w:spacing w:val="0"/>
        <w:w w:val="100"/>
        <w:sz w:val="18"/>
        <w:szCs w:val="18"/>
        <w:lang w:val="en-US" w:eastAsia="en-US" w:bidi="ar-SA"/>
      </w:rPr>
    </w:lvl>
    <w:lvl w:ilvl="1" w:tplc="351E293A">
      <w:numFmt w:val="bullet"/>
      <w:lvlText w:val="•"/>
      <w:lvlJc w:val="left"/>
      <w:pPr>
        <w:ind w:left="796" w:hanging="284"/>
      </w:pPr>
      <w:rPr>
        <w:rFonts w:hint="default"/>
        <w:lang w:val="en-US" w:eastAsia="en-US" w:bidi="ar-SA"/>
      </w:rPr>
    </w:lvl>
    <w:lvl w:ilvl="2" w:tplc="F97CA656">
      <w:numFmt w:val="bullet"/>
      <w:lvlText w:val="•"/>
      <w:lvlJc w:val="left"/>
      <w:pPr>
        <w:ind w:left="1093" w:hanging="284"/>
      </w:pPr>
      <w:rPr>
        <w:rFonts w:hint="default"/>
        <w:lang w:val="en-US" w:eastAsia="en-US" w:bidi="ar-SA"/>
      </w:rPr>
    </w:lvl>
    <w:lvl w:ilvl="3" w:tplc="A40A9E66">
      <w:numFmt w:val="bullet"/>
      <w:lvlText w:val="•"/>
      <w:lvlJc w:val="left"/>
      <w:pPr>
        <w:ind w:left="1390" w:hanging="284"/>
      </w:pPr>
      <w:rPr>
        <w:rFonts w:hint="default"/>
        <w:lang w:val="en-US" w:eastAsia="en-US" w:bidi="ar-SA"/>
      </w:rPr>
    </w:lvl>
    <w:lvl w:ilvl="4" w:tplc="5470D8F4">
      <w:numFmt w:val="bullet"/>
      <w:lvlText w:val="•"/>
      <w:lvlJc w:val="left"/>
      <w:pPr>
        <w:ind w:left="1686" w:hanging="284"/>
      </w:pPr>
      <w:rPr>
        <w:rFonts w:hint="default"/>
        <w:lang w:val="en-US" w:eastAsia="en-US" w:bidi="ar-SA"/>
      </w:rPr>
    </w:lvl>
    <w:lvl w:ilvl="5" w:tplc="A6184F7E">
      <w:numFmt w:val="bullet"/>
      <w:lvlText w:val="•"/>
      <w:lvlJc w:val="left"/>
      <w:pPr>
        <w:ind w:left="1983" w:hanging="284"/>
      </w:pPr>
      <w:rPr>
        <w:rFonts w:hint="default"/>
        <w:lang w:val="en-US" w:eastAsia="en-US" w:bidi="ar-SA"/>
      </w:rPr>
    </w:lvl>
    <w:lvl w:ilvl="6" w:tplc="06CE6626">
      <w:numFmt w:val="bullet"/>
      <w:lvlText w:val="•"/>
      <w:lvlJc w:val="left"/>
      <w:pPr>
        <w:ind w:left="2280" w:hanging="284"/>
      </w:pPr>
      <w:rPr>
        <w:rFonts w:hint="default"/>
        <w:lang w:val="en-US" w:eastAsia="en-US" w:bidi="ar-SA"/>
      </w:rPr>
    </w:lvl>
    <w:lvl w:ilvl="7" w:tplc="5C5E04BC">
      <w:numFmt w:val="bullet"/>
      <w:lvlText w:val="•"/>
      <w:lvlJc w:val="left"/>
      <w:pPr>
        <w:ind w:left="2576" w:hanging="284"/>
      </w:pPr>
      <w:rPr>
        <w:rFonts w:hint="default"/>
        <w:lang w:val="en-US" w:eastAsia="en-US" w:bidi="ar-SA"/>
      </w:rPr>
    </w:lvl>
    <w:lvl w:ilvl="8" w:tplc="16BEBA42">
      <w:numFmt w:val="bullet"/>
      <w:lvlText w:val="•"/>
      <w:lvlJc w:val="left"/>
      <w:pPr>
        <w:ind w:left="2873" w:hanging="284"/>
      </w:pPr>
      <w:rPr>
        <w:rFonts w:hint="default"/>
        <w:lang w:val="en-US" w:eastAsia="en-US" w:bidi="ar-SA"/>
      </w:rPr>
    </w:lvl>
  </w:abstractNum>
  <w:abstractNum w:abstractNumId="29" w15:restartNumberingAfterBreak="0">
    <w:nsid w:val="07A9159C"/>
    <w:multiLevelType w:val="hybridMultilevel"/>
    <w:tmpl w:val="64162AAA"/>
    <w:lvl w:ilvl="0" w:tplc="0358C594">
      <w:numFmt w:val="bullet"/>
      <w:lvlText w:val=""/>
      <w:lvlJc w:val="left"/>
      <w:pPr>
        <w:ind w:left="480" w:hanging="284"/>
      </w:pPr>
      <w:rPr>
        <w:rFonts w:ascii="Symbol" w:eastAsia="Symbol" w:hAnsi="Symbol" w:cs="Symbol" w:hint="default"/>
        <w:b w:val="0"/>
        <w:bCs w:val="0"/>
        <w:i w:val="0"/>
        <w:iCs w:val="0"/>
        <w:color w:val="70004A"/>
        <w:spacing w:val="0"/>
        <w:w w:val="100"/>
        <w:sz w:val="18"/>
        <w:szCs w:val="18"/>
        <w:lang w:val="en-US" w:eastAsia="en-US" w:bidi="ar-SA"/>
      </w:rPr>
    </w:lvl>
    <w:lvl w:ilvl="1" w:tplc="3E128BAE">
      <w:numFmt w:val="bullet"/>
      <w:lvlText w:val="•"/>
      <w:lvlJc w:val="left"/>
      <w:pPr>
        <w:ind w:left="782" w:hanging="284"/>
      </w:pPr>
      <w:rPr>
        <w:rFonts w:hint="default"/>
        <w:lang w:val="en-US" w:eastAsia="en-US" w:bidi="ar-SA"/>
      </w:rPr>
    </w:lvl>
    <w:lvl w:ilvl="2" w:tplc="12FC8FCE">
      <w:numFmt w:val="bullet"/>
      <w:lvlText w:val="•"/>
      <w:lvlJc w:val="left"/>
      <w:pPr>
        <w:ind w:left="1084" w:hanging="284"/>
      </w:pPr>
      <w:rPr>
        <w:rFonts w:hint="default"/>
        <w:lang w:val="en-US" w:eastAsia="en-US" w:bidi="ar-SA"/>
      </w:rPr>
    </w:lvl>
    <w:lvl w:ilvl="3" w:tplc="39E4300A">
      <w:numFmt w:val="bullet"/>
      <w:lvlText w:val="•"/>
      <w:lvlJc w:val="left"/>
      <w:pPr>
        <w:ind w:left="1386" w:hanging="284"/>
      </w:pPr>
      <w:rPr>
        <w:rFonts w:hint="default"/>
        <w:lang w:val="en-US" w:eastAsia="en-US" w:bidi="ar-SA"/>
      </w:rPr>
    </w:lvl>
    <w:lvl w:ilvl="4" w:tplc="7CEA8314">
      <w:numFmt w:val="bullet"/>
      <w:lvlText w:val="•"/>
      <w:lvlJc w:val="left"/>
      <w:pPr>
        <w:ind w:left="1688" w:hanging="284"/>
      </w:pPr>
      <w:rPr>
        <w:rFonts w:hint="default"/>
        <w:lang w:val="en-US" w:eastAsia="en-US" w:bidi="ar-SA"/>
      </w:rPr>
    </w:lvl>
    <w:lvl w:ilvl="5" w:tplc="1B281538">
      <w:numFmt w:val="bullet"/>
      <w:lvlText w:val="•"/>
      <w:lvlJc w:val="left"/>
      <w:pPr>
        <w:ind w:left="1990" w:hanging="284"/>
      </w:pPr>
      <w:rPr>
        <w:rFonts w:hint="default"/>
        <w:lang w:val="en-US" w:eastAsia="en-US" w:bidi="ar-SA"/>
      </w:rPr>
    </w:lvl>
    <w:lvl w:ilvl="6" w:tplc="493612FC">
      <w:numFmt w:val="bullet"/>
      <w:lvlText w:val="•"/>
      <w:lvlJc w:val="left"/>
      <w:pPr>
        <w:ind w:left="2292" w:hanging="284"/>
      </w:pPr>
      <w:rPr>
        <w:rFonts w:hint="default"/>
        <w:lang w:val="en-US" w:eastAsia="en-US" w:bidi="ar-SA"/>
      </w:rPr>
    </w:lvl>
    <w:lvl w:ilvl="7" w:tplc="9D9AC576">
      <w:numFmt w:val="bullet"/>
      <w:lvlText w:val="•"/>
      <w:lvlJc w:val="left"/>
      <w:pPr>
        <w:ind w:left="2594" w:hanging="284"/>
      </w:pPr>
      <w:rPr>
        <w:rFonts w:hint="default"/>
        <w:lang w:val="en-US" w:eastAsia="en-US" w:bidi="ar-SA"/>
      </w:rPr>
    </w:lvl>
    <w:lvl w:ilvl="8" w:tplc="E1F2958E">
      <w:numFmt w:val="bullet"/>
      <w:lvlText w:val="•"/>
      <w:lvlJc w:val="left"/>
      <w:pPr>
        <w:ind w:left="2896" w:hanging="284"/>
      </w:pPr>
      <w:rPr>
        <w:rFonts w:hint="default"/>
        <w:lang w:val="en-US" w:eastAsia="en-US" w:bidi="ar-SA"/>
      </w:rPr>
    </w:lvl>
  </w:abstractNum>
  <w:abstractNum w:abstractNumId="30" w15:restartNumberingAfterBreak="0">
    <w:nsid w:val="08350358"/>
    <w:multiLevelType w:val="hybridMultilevel"/>
    <w:tmpl w:val="EE4C9286"/>
    <w:lvl w:ilvl="0" w:tplc="A260A6E4">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F0DCD24E">
      <w:numFmt w:val="bullet"/>
      <w:lvlText w:val="•"/>
      <w:lvlJc w:val="left"/>
      <w:pPr>
        <w:ind w:left="636" w:hanging="284"/>
      </w:pPr>
      <w:rPr>
        <w:rFonts w:hint="default"/>
        <w:lang w:val="en-US" w:eastAsia="en-US" w:bidi="ar-SA"/>
      </w:rPr>
    </w:lvl>
    <w:lvl w:ilvl="2" w:tplc="82B6235E">
      <w:numFmt w:val="bullet"/>
      <w:lvlText w:val="•"/>
      <w:lvlJc w:val="left"/>
      <w:pPr>
        <w:ind w:left="872" w:hanging="284"/>
      </w:pPr>
      <w:rPr>
        <w:rFonts w:hint="default"/>
        <w:lang w:val="en-US" w:eastAsia="en-US" w:bidi="ar-SA"/>
      </w:rPr>
    </w:lvl>
    <w:lvl w:ilvl="3" w:tplc="12A81450">
      <w:numFmt w:val="bullet"/>
      <w:lvlText w:val="•"/>
      <w:lvlJc w:val="left"/>
      <w:pPr>
        <w:ind w:left="1108" w:hanging="284"/>
      </w:pPr>
      <w:rPr>
        <w:rFonts w:hint="default"/>
        <w:lang w:val="en-US" w:eastAsia="en-US" w:bidi="ar-SA"/>
      </w:rPr>
    </w:lvl>
    <w:lvl w:ilvl="4" w:tplc="8F9CDBF6">
      <w:numFmt w:val="bullet"/>
      <w:lvlText w:val="•"/>
      <w:lvlJc w:val="left"/>
      <w:pPr>
        <w:ind w:left="1344" w:hanging="284"/>
      </w:pPr>
      <w:rPr>
        <w:rFonts w:hint="default"/>
        <w:lang w:val="en-US" w:eastAsia="en-US" w:bidi="ar-SA"/>
      </w:rPr>
    </w:lvl>
    <w:lvl w:ilvl="5" w:tplc="F8BC0684">
      <w:numFmt w:val="bullet"/>
      <w:lvlText w:val="•"/>
      <w:lvlJc w:val="left"/>
      <w:pPr>
        <w:ind w:left="1580" w:hanging="284"/>
      </w:pPr>
      <w:rPr>
        <w:rFonts w:hint="default"/>
        <w:lang w:val="en-US" w:eastAsia="en-US" w:bidi="ar-SA"/>
      </w:rPr>
    </w:lvl>
    <w:lvl w:ilvl="6" w:tplc="67301070">
      <w:numFmt w:val="bullet"/>
      <w:lvlText w:val="•"/>
      <w:lvlJc w:val="left"/>
      <w:pPr>
        <w:ind w:left="1816" w:hanging="284"/>
      </w:pPr>
      <w:rPr>
        <w:rFonts w:hint="default"/>
        <w:lang w:val="en-US" w:eastAsia="en-US" w:bidi="ar-SA"/>
      </w:rPr>
    </w:lvl>
    <w:lvl w:ilvl="7" w:tplc="14BE1520">
      <w:numFmt w:val="bullet"/>
      <w:lvlText w:val="•"/>
      <w:lvlJc w:val="left"/>
      <w:pPr>
        <w:ind w:left="2052" w:hanging="284"/>
      </w:pPr>
      <w:rPr>
        <w:rFonts w:hint="default"/>
        <w:lang w:val="en-US" w:eastAsia="en-US" w:bidi="ar-SA"/>
      </w:rPr>
    </w:lvl>
    <w:lvl w:ilvl="8" w:tplc="C23E7712">
      <w:numFmt w:val="bullet"/>
      <w:lvlText w:val="•"/>
      <w:lvlJc w:val="left"/>
      <w:pPr>
        <w:ind w:left="2288" w:hanging="284"/>
      </w:pPr>
      <w:rPr>
        <w:rFonts w:hint="default"/>
        <w:lang w:val="en-US" w:eastAsia="en-US" w:bidi="ar-SA"/>
      </w:rPr>
    </w:lvl>
  </w:abstractNum>
  <w:abstractNum w:abstractNumId="31" w15:restartNumberingAfterBreak="0">
    <w:nsid w:val="08362662"/>
    <w:multiLevelType w:val="hybridMultilevel"/>
    <w:tmpl w:val="508A42E2"/>
    <w:lvl w:ilvl="0" w:tplc="4CACD12C">
      <w:numFmt w:val="bullet"/>
      <w:lvlText w:val=""/>
      <w:lvlJc w:val="left"/>
      <w:pPr>
        <w:ind w:left="515" w:hanging="284"/>
      </w:pPr>
      <w:rPr>
        <w:rFonts w:ascii="Symbol" w:eastAsia="Symbol" w:hAnsi="Symbol" w:cs="Symbol" w:hint="default"/>
        <w:b w:val="0"/>
        <w:bCs w:val="0"/>
        <w:i w:val="0"/>
        <w:iCs w:val="0"/>
        <w:color w:val="70004A"/>
        <w:spacing w:val="0"/>
        <w:w w:val="100"/>
        <w:sz w:val="18"/>
        <w:szCs w:val="18"/>
        <w:lang w:val="en-US" w:eastAsia="en-US" w:bidi="ar-SA"/>
      </w:rPr>
    </w:lvl>
    <w:lvl w:ilvl="1" w:tplc="30905DC8">
      <w:numFmt w:val="bullet"/>
      <w:lvlText w:val="•"/>
      <w:lvlJc w:val="left"/>
      <w:pPr>
        <w:ind w:left="805" w:hanging="284"/>
      </w:pPr>
      <w:rPr>
        <w:rFonts w:hint="default"/>
        <w:lang w:val="en-US" w:eastAsia="en-US" w:bidi="ar-SA"/>
      </w:rPr>
    </w:lvl>
    <w:lvl w:ilvl="2" w:tplc="4670B0D6">
      <w:numFmt w:val="bullet"/>
      <w:lvlText w:val="•"/>
      <w:lvlJc w:val="left"/>
      <w:pPr>
        <w:ind w:left="1090" w:hanging="284"/>
      </w:pPr>
      <w:rPr>
        <w:rFonts w:hint="default"/>
        <w:lang w:val="en-US" w:eastAsia="en-US" w:bidi="ar-SA"/>
      </w:rPr>
    </w:lvl>
    <w:lvl w:ilvl="3" w:tplc="9E1E7C44">
      <w:numFmt w:val="bullet"/>
      <w:lvlText w:val="•"/>
      <w:lvlJc w:val="left"/>
      <w:pPr>
        <w:ind w:left="1375" w:hanging="284"/>
      </w:pPr>
      <w:rPr>
        <w:rFonts w:hint="default"/>
        <w:lang w:val="en-US" w:eastAsia="en-US" w:bidi="ar-SA"/>
      </w:rPr>
    </w:lvl>
    <w:lvl w:ilvl="4" w:tplc="B9628E6C">
      <w:numFmt w:val="bullet"/>
      <w:lvlText w:val="•"/>
      <w:lvlJc w:val="left"/>
      <w:pPr>
        <w:ind w:left="1660" w:hanging="284"/>
      </w:pPr>
      <w:rPr>
        <w:rFonts w:hint="default"/>
        <w:lang w:val="en-US" w:eastAsia="en-US" w:bidi="ar-SA"/>
      </w:rPr>
    </w:lvl>
    <w:lvl w:ilvl="5" w:tplc="2ABE3C36">
      <w:numFmt w:val="bullet"/>
      <w:lvlText w:val="•"/>
      <w:lvlJc w:val="left"/>
      <w:pPr>
        <w:ind w:left="1945" w:hanging="284"/>
      </w:pPr>
      <w:rPr>
        <w:rFonts w:hint="default"/>
        <w:lang w:val="en-US" w:eastAsia="en-US" w:bidi="ar-SA"/>
      </w:rPr>
    </w:lvl>
    <w:lvl w:ilvl="6" w:tplc="46883A58">
      <w:numFmt w:val="bullet"/>
      <w:lvlText w:val="•"/>
      <w:lvlJc w:val="left"/>
      <w:pPr>
        <w:ind w:left="2230" w:hanging="284"/>
      </w:pPr>
      <w:rPr>
        <w:rFonts w:hint="default"/>
        <w:lang w:val="en-US" w:eastAsia="en-US" w:bidi="ar-SA"/>
      </w:rPr>
    </w:lvl>
    <w:lvl w:ilvl="7" w:tplc="BA6EBDF0">
      <w:numFmt w:val="bullet"/>
      <w:lvlText w:val="•"/>
      <w:lvlJc w:val="left"/>
      <w:pPr>
        <w:ind w:left="2515" w:hanging="284"/>
      </w:pPr>
      <w:rPr>
        <w:rFonts w:hint="default"/>
        <w:lang w:val="en-US" w:eastAsia="en-US" w:bidi="ar-SA"/>
      </w:rPr>
    </w:lvl>
    <w:lvl w:ilvl="8" w:tplc="112072CC">
      <w:numFmt w:val="bullet"/>
      <w:lvlText w:val="•"/>
      <w:lvlJc w:val="left"/>
      <w:pPr>
        <w:ind w:left="2800" w:hanging="284"/>
      </w:pPr>
      <w:rPr>
        <w:rFonts w:hint="default"/>
        <w:lang w:val="en-US" w:eastAsia="en-US" w:bidi="ar-SA"/>
      </w:rPr>
    </w:lvl>
  </w:abstractNum>
  <w:abstractNum w:abstractNumId="32" w15:restartNumberingAfterBreak="0">
    <w:nsid w:val="086A74B6"/>
    <w:multiLevelType w:val="hybridMultilevel"/>
    <w:tmpl w:val="604A9034"/>
    <w:lvl w:ilvl="0" w:tplc="B8F668C6">
      <w:numFmt w:val="bullet"/>
      <w:lvlText w:val=""/>
      <w:lvlJc w:val="left"/>
      <w:pPr>
        <w:ind w:left="477" w:hanging="284"/>
      </w:pPr>
      <w:rPr>
        <w:rFonts w:ascii="Symbol" w:eastAsia="Symbol" w:hAnsi="Symbol" w:cs="Symbol" w:hint="default"/>
        <w:b w:val="0"/>
        <w:bCs w:val="0"/>
        <w:i w:val="0"/>
        <w:iCs w:val="0"/>
        <w:color w:val="70004A"/>
        <w:spacing w:val="0"/>
        <w:w w:val="100"/>
        <w:sz w:val="18"/>
        <w:szCs w:val="18"/>
        <w:lang w:val="en-US" w:eastAsia="en-US" w:bidi="ar-SA"/>
      </w:rPr>
    </w:lvl>
    <w:lvl w:ilvl="1" w:tplc="13642CE8">
      <w:numFmt w:val="bullet"/>
      <w:lvlText w:val="•"/>
      <w:lvlJc w:val="left"/>
      <w:pPr>
        <w:ind w:left="742" w:hanging="284"/>
      </w:pPr>
      <w:rPr>
        <w:rFonts w:hint="default"/>
        <w:lang w:val="en-US" w:eastAsia="en-US" w:bidi="ar-SA"/>
      </w:rPr>
    </w:lvl>
    <w:lvl w:ilvl="2" w:tplc="0BA040C4">
      <w:numFmt w:val="bullet"/>
      <w:lvlText w:val="•"/>
      <w:lvlJc w:val="left"/>
      <w:pPr>
        <w:ind w:left="1005" w:hanging="284"/>
      </w:pPr>
      <w:rPr>
        <w:rFonts w:hint="default"/>
        <w:lang w:val="en-US" w:eastAsia="en-US" w:bidi="ar-SA"/>
      </w:rPr>
    </w:lvl>
    <w:lvl w:ilvl="3" w:tplc="176E5AFE">
      <w:numFmt w:val="bullet"/>
      <w:lvlText w:val="•"/>
      <w:lvlJc w:val="left"/>
      <w:pPr>
        <w:ind w:left="1268" w:hanging="284"/>
      </w:pPr>
      <w:rPr>
        <w:rFonts w:hint="default"/>
        <w:lang w:val="en-US" w:eastAsia="en-US" w:bidi="ar-SA"/>
      </w:rPr>
    </w:lvl>
    <w:lvl w:ilvl="4" w:tplc="17DCB726">
      <w:numFmt w:val="bullet"/>
      <w:lvlText w:val="•"/>
      <w:lvlJc w:val="left"/>
      <w:pPr>
        <w:ind w:left="1530" w:hanging="284"/>
      </w:pPr>
      <w:rPr>
        <w:rFonts w:hint="default"/>
        <w:lang w:val="en-US" w:eastAsia="en-US" w:bidi="ar-SA"/>
      </w:rPr>
    </w:lvl>
    <w:lvl w:ilvl="5" w:tplc="AAF2861C">
      <w:numFmt w:val="bullet"/>
      <w:lvlText w:val="•"/>
      <w:lvlJc w:val="left"/>
      <w:pPr>
        <w:ind w:left="1793" w:hanging="284"/>
      </w:pPr>
      <w:rPr>
        <w:rFonts w:hint="default"/>
        <w:lang w:val="en-US" w:eastAsia="en-US" w:bidi="ar-SA"/>
      </w:rPr>
    </w:lvl>
    <w:lvl w:ilvl="6" w:tplc="8312BEFC">
      <w:numFmt w:val="bullet"/>
      <w:lvlText w:val="•"/>
      <w:lvlJc w:val="left"/>
      <w:pPr>
        <w:ind w:left="2056" w:hanging="284"/>
      </w:pPr>
      <w:rPr>
        <w:rFonts w:hint="default"/>
        <w:lang w:val="en-US" w:eastAsia="en-US" w:bidi="ar-SA"/>
      </w:rPr>
    </w:lvl>
    <w:lvl w:ilvl="7" w:tplc="7A8CE12C">
      <w:numFmt w:val="bullet"/>
      <w:lvlText w:val="•"/>
      <w:lvlJc w:val="left"/>
      <w:pPr>
        <w:ind w:left="2318" w:hanging="284"/>
      </w:pPr>
      <w:rPr>
        <w:rFonts w:hint="default"/>
        <w:lang w:val="en-US" w:eastAsia="en-US" w:bidi="ar-SA"/>
      </w:rPr>
    </w:lvl>
    <w:lvl w:ilvl="8" w:tplc="E9EA4854">
      <w:numFmt w:val="bullet"/>
      <w:lvlText w:val="•"/>
      <w:lvlJc w:val="left"/>
      <w:pPr>
        <w:ind w:left="2581" w:hanging="284"/>
      </w:pPr>
      <w:rPr>
        <w:rFonts w:hint="default"/>
        <w:lang w:val="en-US" w:eastAsia="en-US" w:bidi="ar-SA"/>
      </w:rPr>
    </w:lvl>
  </w:abstractNum>
  <w:abstractNum w:abstractNumId="33" w15:restartNumberingAfterBreak="0">
    <w:nsid w:val="08927B47"/>
    <w:multiLevelType w:val="hybridMultilevel"/>
    <w:tmpl w:val="33D49EA4"/>
    <w:lvl w:ilvl="0" w:tplc="893411F2">
      <w:numFmt w:val="bullet"/>
      <w:lvlText w:val=""/>
      <w:lvlJc w:val="left"/>
      <w:pPr>
        <w:ind w:left="477" w:hanging="284"/>
      </w:pPr>
      <w:rPr>
        <w:rFonts w:ascii="Symbol" w:eastAsia="Symbol" w:hAnsi="Symbol" w:cs="Symbol" w:hint="default"/>
        <w:b w:val="0"/>
        <w:bCs w:val="0"/>
        <w:i w:val="0"/>
        <w:iCs w:val="0"/>
        <w:color w:val="70004A"/>
        <w:spacing w:val="0"/>
        <w:w w:val="100"/>
        <w:sz w:val="18"/>
        <w:szCs w:val="18"/>
        <w:lang w:val="en-US" w:eastAsia="en-US" w:bidi="ar-SA"/>
      </w:rPr>
    </w:lvl>
    <w:lvl w:ilvl="1" w:tplc="C1C67C6A">
      <w:numFmt w:val="bullet"/>
      <w:lvlText w:val="•"/>
      <w:lvlJc w:val="left"/>
      <w:pPr>
        <w:ind w:left="742" w:hanging="284"/>
      </w:pPr>
      <w:rPr>
        <w:rFonts w:hint="default"/>
        <w:lang w:val="en-US" w:eastAsia="en-US" w:bidi="ar-SA"/>
      </w:rPr>
    </w:lvl>
    <w:lvl w:ilvl="2" w:tplc="5532BD3C">
      <w:numFmt w:val="bullet"/>
      <w:lvlText w:val="•"/>
      <w:lvlJc w:val="left"/>
      <w:pPr>
        <w:ind w:left="1005" w:hanging="284"/>
      </w:pPr>
      <w:rPr>
        <w:rFonts w:hint="default"/>
        <w:lang w:val="en-US" w:eastAsia="en-US" w:bidi="ar-SA"/>
      </w:rPr>
    </w:lvl>
    <w:lvl w:ilvl="3" w:tplc="1FF07CC4">
      <w:numFmt w:val="bullet"/>
      <w:lvlText w:val="•"/>
      <w:lvlJc w:val="left"/>
      <w:pPr>
        <w:ind w:left="1268" w:hanging="284"/>
      </w:pPr>
      <w:rPr>
        <w:rFonts w:hint="default"/>
        <w:lang w:val="en-US" w:eastAsia="en-US" w:bidi="ar-SA"/>
      </w:rPr>
    </w:lvl>
    <w:lvl w:ilvl="4" w:tplc="0FE07104">
      <w:numFmt w:val="bullet"/>
      <w:lvlText w:val="•"/>
      <w:lvlJc w:val="left"/>
      <w:pPr>
        <w:ind w:left="1530" w:hanging="284"/>
      </w:pPr>
      <w:rPr>
        <w:rFonts w:hint="default"/>
        <w:lang w:val="en-US" w:eastAsia="en-US" w:bidi="ar-SA"/>
      </w:rPr>
    </w:lvl>
    <w:lvl w:ilvl="5" w:tplc="29365666">
      <w:numFmt w:val="bullet"/>
      <w:lvlText w:val="•"/>
      <w:lvlJc w:val="left"/>
      <w:pPr>
        <w:ind w:left="1793" w:hanging="284"/>
      </w:pPr>
      <w:rPr>
        <w:rFonts w:hint="default"/>
        <w:lang w:val="en-US" w:eastAsia="en-US" w:bidi="ar-SA"/>
      </w:rPr>
    </w:lvl>
    <w:lvl w:ilvl="6" w:tplc="F45283E0">
      <w:numFmt w:val="bullet"/>
      <w:lvlText w:val="•"/>
      <w:lvlJc w:val="left"/>
      <w:pPr>
        <w:ind w:left="2056" w:hanging="284"/>
      </w:pPr>
      <w:rPr>
        <w:rFonts w:hint="default"/>
        <w:lang w:val="en-US" w:eastAsia="en-US" w:bidi="ar-SA"/>
      </w:rPr>
    </w:lvl>
    <w:lvl w:ilvl="7" w:tplc="C42C4E92">
      <w:numFmt w:val="bullet"/>
      <w:lvlText w:val="•"/>
      <w:lvlJc w:val="left"/>
      <w:pPr>
        <w:ind w:left="2318" w:hanging="284"/>
      </w:pPr>
      <w:rPr>
        <w:rFonts w:hint="default"/>
        <w:lang w:val="en-US" w:eastAsia="en-US" w:bidi="ar-SA"/>
      </w:rPr>
    </w:lvl>
    <w:lvl w:ilvl="8" w:tplc="88DA8C0E">
      <w:numFmt w:val="bullet"/>
      <w:lvlText w:val="•"/>
      <w:lvlJc w:val="left"/>
      <w:pPr>
        <w:ind w:left="2581" w:hanging="284"/>
      </w:pPr>
      <w:rPr>
        <w:rFonts w:hint="default"/>
        <w:lang w:val="en-US" w:eastAsia="en-US" w:bidi="ar-SA"/>
      </w:rPr>
    </w:lvl>
  </w:abstractNum>
  <w:abstractNum w:abstractNumId="34" w15:restartNumberingAfterBreak="0">
    <w:nsid w:val="08E57492"/>
    <w:multiLevelType w:val="hybridMultilevel"/>
    <w:tmpl w:val="BE7E957A"/>
    <w:lvl w:ilvl="0" w:tplc="01A46B08">
      <w:numFmt w:val="bullet"/>
      <w:lvlText w:val=""/>
      <w:lvlJc w:val="left"/>
      <w:pPr>
        <w:ind w:left="478" w:hanging="284"/>
      </w:pPr>
      <w:rPr>
        <w:rFonts w:ascii="Symbol" w:eastAsia="Symbol" w:hAnsi="Symbol" w:cs="Symbol" w:hint="default"/>
        <w:b w:val="0"/>
        <w:bCs w:val="0"/>
        <w:i w:val="0"/>
        <w:iCs w:val="0"/>
        <w:color w:val="70004A"/>
        <w:spacing w:val="0"/>
        <w:w w:val="100"/>
        <w:sz w:val="18"/>
        <w:szCs w:val="18"/>
        <w:lang w:val="en-US" w:eastAsia="en-US" w:bidi="ar-SA"/>
      </w:rPr>
    </w:lvl>
    <w:lvl w:ilvl="1" w:tplc="A6E8A7E4">
      <w:numFmt w:val="bullet"/>
      <w:lvlText w:val="•"/>
      <w:lvlJc w:val="left"/>
      <w:pPr>
        <w:ind w:left="653" w:hanging="284"/>
      </w:pPr>
      <w:rPr>
        <w:rFonts w:hint="default"/>
        <w:lang w:val="en-US" w:eastAsia="en-US" w:bidi="ar-SA"/>
      </w:rPr>
    </w:lvl>
    <w:lvl w:ilvl="2" w:tplc="5644E016">
      <w:numFmt w:val="bullet"/>
      <w:lvlText w:val="•"/>
      <w:lvlJc w:val="left"/>
      <w:pPr>
        <w:ind w:left="826" w:hanging="284"/>
      </w:pPr>
      <w:rPr>
        <w:rFonts w:hint="default"/>
        <w:lang w:val="en-US" w:eastAsia="en-US" w:bidi="ar-SA"/>
      </w:rPr>
    </w:lvl>
    <w:lvl w:ilvl="3" w:tplc="634495C6">
      <w:numFmt w:val="bullet"/>
      <w:lvlText w:val="•"/>
      <w:lvlJc w:val="left"/>
      <w:pPr>
        <w:ind w:left="999" w:hanging="284"/>
      </w:pPr>
      <w:rPr>
        <w:rFonts w:hint="default"/>
        <w:lang w:val="en-US" w:eastAsia="en-US" w:bidi="ar-SA"/>
      </w:rPr>
    </w:lvl>
    <w:lvl w:ilvl="4" w:tplc="3C60A1C2">
      <w:numFmt w:val="bullet"/>
      <w:lvlText w:val="•"/>
      <w:lvlJc w:val="left"/>
      <w:pPr>
        <w:ind w:left="1172" w:hanging="284"/>
      </w:pPr>
      <w:rPr>
        <w:rFonts w:hint="default"/>
        <w:lang w:val="en-US" w:eastAsia="en-US" w:bidi="ar-SA"/>
      </w:rPr>
    </w:lvl>
    <w:lvl w:ilvl="5" w:tplc="3DA09FB4">
      <w:numFmt w:val="bullet"/>
      <w:lvlText w:val="•"/>
      <w:lvlJc w:val="left"/>
      <w:pPr>
        <w:ind w:left="1345" w:hanging="284"/>
      </w:pPr>
      <w:rPr>
        <w:rFonts w:hint="default"/>
        <w:lang w:val="en-US" w:eastAsia="en-US" w:bidi="ar-SA"/>
      </w:rPr>
    </w:lvl>
    <w:lvl w:ilvl="6" w:tplc="5306A238">
      <w:numFmt w:val="bullet"/>
      <w:lvlText w:val="•"/>
      <w:lvlJc w:val="left"/>
      <w:pPr>
        <w:ind w:left="1518" w:hanging="284"/>
      </w:pPr>
      <w:rPr>
        <w:rFonts w:hint="default"/>
        <w:lang w:val="en-US" w:eastAsia="en-US" w:bidi="ar-SA"/>
      </w:rPr>
    </w:lvl>
    <w:lvl w:ilvl="7" w:tplc="AA749BAA">
      <w:numFmt w:val="bullet"/>
      <w:lvlText w:val="•"/>
      <w:lvlJc w:val="left"/>
      <w:pPr>
        <w:ind w:left="1691" w:hanging="284"/>
      </w:pPr>
      <w:rPr>
        <w:rFonts w:hint="default"/>
        <w:lang w:val="en-US" w:eastAsia="en-US" w:bidi="ar-SA"/>
      </w:rPr>
    </w:lvl>
    <w:lvl w:ilvl="8" w:tplc="355EAC14">
      <w:numFmt w:val="bullet"/>
      <w:lvlText w:val="•"/>
      <w:lvlJc w:val="left"/>
      <w:pPr>
        <w:ind w:left="1864" w:hanging="284"/>
      </w:pPr>
      <w:rPr>
        <w:rFonts w:hint="default"/>
        <w:lang w:val="en-US" w:eastAsia="en-US" w:bidi="ar-SA"/>
      </w:rPr>
    </w:lvl>
  </w:abstractNum>
  <w:abstractNum w:abstractNumId="35" w15:restartNumberingAfterBreak="0">
    <w:nsid w:val="09803075"/>
    <w:multiLevelType w:val="hybridMultilevel"/>
    <w:tmpl w:val="834EAF42"/>
    <w:lvl w:ilvl="0" w:tplc="1832BB5C">
      <w:numFmt w:val="bullet"/>
      <w:lvlText w:val=""/>
      <w:lvlJc w:val="left"/>
      <w:pPr>
        <w:ind w:left="391" w:hanging="284"/>
      </w:pPr>
      <w:rPr>
        <w:rFonts w:ascii="Symbol" w:eastAsia="Symbol" w:hAnsi="Symbol" w:cs="Symbol" w:hint="default"/>
        <w:b w:val="0"/>
        <w:bCs w:val="0"/>
        <w:i w:val="0"/>
        <w:iCs w:val="0"/>
        <w:color w:val="70004A"/>
        <w:spacing w:val="0"/>
        <w:w w:val="100"/>
        <w:sz w:val="18"/>
        <w:szCs w:val="18"/>
        <w:lang w:val="en-US" w:eastAsia="en-US" w:bidi="ar-SA"/>
      </w:rPr>
    </w:lvl>
    <w:lvl w:ilvl="1" w:tplc="2EB8A0DC">
      <w:numFmt w:val="bullet"/>
      <w:lvlText w:val="•"/>
      <w:lvlJc w:val="left"/>
      <w:pPr>
        <w:ind w:left="636" w:hanging="284"/>
      </w:pPr>
      <w:rPr>
        <w:rFonts w:hint="default"/>
        <w:lang w:val="en-US" w:eastAsia="en-US" w:bidi="ar-SA"/>
      </w:rPr>
    </w:lvl>
    <w:lvl w:ilvl="2" w:tplc="ABB8318C">
      <w:numFmt w:val="bullet"/>
      <w:lvlText w:val="•"/>
      <w:lvlJc w:val="left"/>
      <w:pPr>
        <w:ind w:left="872" w:hanging="284"/>
      </w:pPr>
      <w:rPr>
        <w:rFonts w:hint="default"/>
        <w:lang w:val="en-US" w:eastAsia="en-US" w:bidi="ar-SA"/>
      </w:rPr>
    </w:lvl>
    <w:lvl w:ilvl="3" w:tplc="3538032E">
      <w:numFmt w:val="bullet"/>
      <w:lvlText w:val="•"/>
      <w:lvlJc w:val="left"/>
      <w:pPr>
        <w:ind w:left="1108" w:hanging="284"/>
      </w:pPr>
      <w:rPr>
        <w:rFonts w:hint="default"/>
        <w:lang w:val="en-US" w:eastAsia="en-US" w:bidi="ar-SA"/>
      </w:rPr>
    </w:lvl>
    <w:lvl w:ilvl="4" w:tplc="3BB85C98">
      <w:numFmt w:val="bullet"/>
      <w:lvlText w:val="•"/>
      <w:lvlJc w:val="left"/>
      <w:pPr>
        <w:ind w:left="1344" w:hanging="284"/>
      </w:pPr>
      <w:rPr>
        <w:rFonts w:hint="default"/>
        <w:lang w:val="en-US" w:eastAsia="en-US" w:bidi="ar-SA"/>
      </w:rPr>
    </w:lvl>
    <w:lvl w:ilvl="5" w:tplc="D0FCD120">
      <w:numFmt w:val="bullet"/>
      <w:lvlText w:val="•"/>
      <w:lvlJc w:val="left"/>
      <w:pPr>
        <w:ind w:left="1580" w:hanging="284"/>
      </w:pPr>
      <w:rPr>
        <w:rFonts w:hint="default"/>
        <w:lang w:val="en-US" w:eastAsia="en-US" w:bidi="ar-SA"/>
      </w:rPr>
    </w:lvl>
    <w:lvl w:ilvl="6" w:tplc="386AB4A0">
      <w:numFmt w:val="bullet"/>
      <w:lvlText w:val="•"/>
      <w:lvlJc w:val="left"/>
      <w:pPr>
        <w:ind w:left="1816" w:hanging="284"/>
      </w:pPr>
      <w:rPr>
        <w:rFonts w:hint="default"/>
        <w:lang w:val="en-US" w:eastAsia="en-US" w:bidi="ar-SA"/>
      </w:rPr>
    </w:lvl>
    <w:lvl w:ilvl="7" w:tplc="FD50A128">
      <w:numFmt w:val="bullet"/>
      <w:lvlText w:val="•"/>
      <w:lvlJc w:val="left"/>
      <w:pPr>
        <w:ind w:left="2052" w:hanging="284"/>
      </w:pPr>
      <w:rPr>
        <w:rFonts w:hint="default"/>
        <w:lang w:val="en-US" w:eastAsia="en-US" w:bidi="ar-SA"/>
      </w:rPr>
    </w:lvl>
    <w:lvl w:ilvl="8" w:tplc="F560F7A2">
      <w:numFmt w:val="bullet"/>
      <w:lvlText w:val="•"/>
      <w:lvlJc w:val="left"/>
      <w:pPr>
        <w:ind w:left="2288" w:hanging="284"/>
      </w:pPr>
      <w:rPr>
        <w:rFonts w:hint="default"/>
        <w:lang w:val="en-US" w:eastAsia="en-US" w:bidi="ar-SA"/>
      </w:rPr>
    </w:lvl>
  </w:abstractNum>
  <w:abstractNum w:abstractNumId="36" w15:restartNumberingAfterBreak="0">
    <w:nsid w:val="09CC09F0"/>
    <w:multiLevelType w:val="hybridMultilevel"/>
    <w:tmpl w:val="FBFEFA82"/>
    <w:lvl w:ilvl="0" w:tplc="166C7F90">
      <w:numFmt w:val="bullet"/>
      <w:lvlText w:val=""/>
      <w:lvlJc w:val="left"/>
      <w:pPr>
        <w:ind w:left="421" w:hanging="284"/>
      </w:pPr>
      <w:rPr>
        <w:rFonts w:ascii="Symbol" w:eastAsia="Symbol" w:hAnsi="Symbol" w:cs="Symbol" w:hint="default"/>
        <w:b w:val="0"/>
        <w:bCs w:val="0"/>
        <w:i w:val="0"/>
        <w:iCs w:val="0"/>
        <w:color w:val="70004A"/>
        <w:spacing w:val="0"/>
        <w:w w:val="100"/>
        <w:sz w:val="18"/>
        <w:szCs w:val="18"/>
        <w:lang w:val="en-US" w:eastAsia="en-US" w:bidi="ar-SA"/>
      </w:rPr>
    </w:lvl>
    <w:lvl w:ilvl="1" w:tplc="4894A230">
      <w:numFmt w:val="bullet"/>
      <w:lvlText w:val="•"/>
      <w:lvlJc w:val="left"/>
      <w:pPr>
        <w:ind w:left="617" w:hanging="284"/>
      </w:pPr>
      <w:rPr>
        <w:rFonts w:hint="default"/>
        <w:lang w:val="en-US" w:eastAsia="en-US" w:bidi="ar-SA"/>
      </w:rPr>
    </w:lvl>
    <w:lvl w:ilvl="2" w:tplc="827690CA">
      <w:numFmt w:val="bullet"/>
      <w:lvlText w:val="•"/>
      <w:lvlJc w:val="left"/>
      <w:pPr>
        <w:ind w:left="814" w:hanging="284"/>
      </w:pPr>
      <w:rPr>
        <w:rFonts w:hint="default"/>
        <w:lang w:val="en-US" w:eastAsia="en-US" w:bidi="ar-SA"/>
      </w:rPr>
    </w:lvl>
    <w:lvl w:ilvl="3" w:tplc="2430BC1A">
      <w:numFmt w:val="bullet"/>
      <w:lvlText w:val="•"/>
      <w:lvlJc w:val="left"/>
      <w:pPr>
        <w:ind w:left="1011" w:hanging="284"/>
      </w:pPr>
      <w:rPr>
        <w:rFonts w:hint="default"/>
        <w:lang w:val="en-US" w:eastAsia="en-US" w:bidi="ar-SA"/>
      </w:rPr>
    </w:lvl>
    <w:lvl w:ilvl="4" w:tplc="BAC0E372">
      <w:numFmt w:val="bullet"/>
      <w:lvlText w:val="•"/>
      <w:lvlJc w:val="left"/>
      <w:pPr>
        <w:ind w:left="1208" w:hanging="284"/>
      </w:pPr>
      <w:rPr>
        <w:rFonts w:hint="default"/>
        <w:lang w:val="en-US" w:eastAsia="en-US" w:bidi="ar-SA"/>
      </w:rPr>
    </w:lvl>
    <w:lvl w:ilvl="5" w:tplc="32B00014">
      <w:numFmt w:val="bullet"/>
      <w:lvlText w:val="•"/>
      <w:lvlJc w:val="left"/>
      <w:pPr>
        <w:ind w:left="1406" w:hanging="284"/>
      </w:pPr>
      <w:rPr>
        <w:rFonts w:hint="default"/>
        <w:lang w:val="en-US" w:eastAsia="en-US" w:bidi="ar-SA"/>
      </w:rPr>
    </w:lvl>
    <w:lvl w:ilvl="6" w:tplc="6B90EF3A">
      <w:numFmt w:val="bullet"/>
      <w:lvlText w:val="•"/>
      <w:lvlJc w:val="left"/>
      <w:pPr>
        <w:ind w:left="1603" w:hanging="284"/>
      </w:pPr>
      <w:rPr>
        <w:rFonts w:hint="default"/>
        <w:lang w:val="en-US" w:eastAsia="en-US" w:bidi="ar-SA"/>
      </w:rPr>
    </w:lvl>
    <w:lvl w:ilvl="7" w:tplc="021EACA2">
      <w:numFmt w:val="bullet"/>
      <w:lvlText w:val="•"/>
      <w:lvlJc w:val="left"/>
      <w:pPr>
        <w:ind w:left="1800" w:hanging="284"/>
      </w:pPr>
      <w:rPr>
        <w:rFonts w:hint="default"/>
        <w:lang w:val="en-US" w:eastAsia="en-US" w:bidi="ar-SA"/>
      </w:rPr>
    </w:lvl>
    <w:lvl w:ilvl="8" w:tplc="78609A06">
      <w:numFmt w:val="bullet"/>
      <w:lvlText w:val="•"/>
      <w:lvlJc w:val="left"/>
      <w:pPr>
        <w:ind w:left="1997" w:hanging="284"/>
      </w:pPr>
      <w:rPr>
        <w:rFonts w:hint="default"/>
        <w:lang w:val="en-US" w:eastAsia="en-US" w:bidi="ar-SA"/>
      </w:rPr>
    </w:lvl>
  </w:abstractNum>
  <w:abstractNum w:abstractNumId="37" w15:restartNumberingAfterBreak="0">
    <w:nsid w:val="09F774B7"/>
    <w:multiLevelType w:val="hybridMultilevel"/>
    <w:tmpl w:val="A53671BE"/>
    <w:lvl w:ilvl="0" w:tplc="05BA31FC">
      <w:numFmt w:val="bullet"/>
      <w:lvlText w:val=""/>
      <w:lvlJc w:val="left"/>
      <w:pPr>
        <w:ind w:left="483" w:hanging="284"/>
      </w:pPr>
      <w:rPr>
        <w:rFonts w:ascii="Symbol" w:eastAsia="Symbol" w:hAnsi="Symbol" w:cs="Symbol" w:hint="default"/>
        <w:b w:val="0"/>
        <w:bCs w:val="0"/>
        <w:i w:val="0"/>
        <w:iCs w:val="0"/>
        <w:color w:val="70004A"/>
        <w:spacing w:val="0"/>
        <w:w w:val="100"/>
        <w:sz w:val="18"/>
        <w:szCs w:val="18"/>
        <w:lang w:val="en-US" w:eastAsia="en-US" w:bidi="ar-SA"/>
      </w:rPr>
    </w:lvl>
    <w:lvl w:ilvl="1" w:tplc="E8885306">
      <w:numFmt w:val="bullet"/>
      <w:lvlText w:val="•"/>
      <w:lvlJc w:val="left"/>
      <w:pPr>
        <w:ind w:left="748" w:hanging="284"/>
      </w:pPr>
      <w:rPr>
        <w:rFonts w:hint="default"/>
        <w:lang w:val="en-US" w:eastAsia="en-US" w:bidi="ar-SA"/>
      </w:rPr>
    </w:lvl>
    <w:lvl w:ilvl="2" w:tplc="5D2A9DEE">
      <w:numFmt w:val="bullet"/>
      <w:lvlText w:val="•"/>
      <w:lvlJc w:val="left"/>
      <w:pPr>
        <w:ind w:left="1016" w:hanging="284"/>
      </w:pPr>
      <w:rPr>
        <w:rFonts w:hint="default"/>
        <w:lang w:val="en-US" w:eastAsia="en-US" w:bidi="ar-SA"/>
      </w:rPr>
    </w:lvl>
    <w:lvl w:ilvl="3" w:tplc="37123212">
      <w:numFmt w:val="bullet"/>
      <w:lvlText w:val="•"/>
      <w:lvlJc w:val="left"/>
      <w:pPr>
        <w:ind w:left="1284" w:hanging="284"/>
      </w:pPr>
      <w:rPr>
        <w:rFonts w:hint="default"/>
        <w:lang w:val="en-US" w:eastAsia="en-US" w:bidi="ar-SA"/>
      </w:rPr>
    </w:lvl>
    <w:lvl w:ilvl="4" w:tplc="38EC076E">
      <w:numFmt w:val="bullet"/>
      <w:lvlText w:val="•"/>
      <w:lvlJc w:val="left"/>
      <w:pPr>
        <w:ind w:left="1552" w:hanging="284"/>
      </w:pPr>
      <w:rPr>
        <w:rFonts w:hint="default"/>
        <w:lang w:val="en-US" w:eastAsia="en-US" w:bidi="ar-SA"/>
      </w:rPr>
    </w:lvl>
    <w:lvl w:ilvl="5" w:tplc="6C3E065A">
      <w:numFmt w:val="bullet"/>
      <w:lvlText w:val="•"/>
      <w:lvlJc w:val="left"/>
      <w:pPr>
        <w:ind w:left="1820" w:hanging="284"/>
      </w:pPr>
      <w:rPr>
        <w:rFonts w:hint="default"/>
        <w:lang w:val="en-US" w:eastAsia="en-US" w:bidi="ar-SA"/>
      </w:rPr>
    </w:lvl>
    <w:lvl w:ilvl="6" w:tplc="00EA4AC2">
      <w:numFmt w:val="bullet"/>
      <w:lvlText w:val="•"/>
      <w:lvlJc w:val="left"/>
      <w:pPr>
        <w:ind w:left="2088" w:hanging="284"/>
      </w:pPr>
      <w:rPr>
        <w:rFonts w:hint="default"/>
        <w:lang w:val="en-US" w:eastAsia="en-US" w:bidi="ar-SA"/>
      </w:rPr>
    </w:lvl>
    <w:lvl w:ilvl="7" w:tplc="4E2C6FD0">
      <w:numFmt w:val="bullet"/>
      <w:lvlText w:val="•"/>
      <w:lvlJc w:val="left"/>
      <w:pPr>
        <w:ind w:left="2356" w:hanging="284"/>
      </w:pPr>
      <w:rPr>
        <w:rFonts w:hint="default"/>
        <w:lang w:val="en-US" w:eastAsia="en-US" w:bidi="ar-SA"/>
      </w:rPr>
    </w:lvl>
    <w:lvl w:ilvl="8" w:tplc="FB9E7C7C">
      <w:numFmt w:val="bullet"/>
      <w:lvlText w:val="•"/>
      <w:lvlJc w:val="left"/>
      <w:pPr>
        <w:ind w:left="2624" w:hanging="284"/>
      </w:pPr>
      <w:rPr>
        <w:rFonts w:hint="default"/>
        <w:lang w:val="en-US" w:eastAsia="en-US" w:bidi="ar-SA"/>
      </w:rPr>
    </w:lvl>
  </w:abstractNum>
  <w:abstractNum w:abstractNumId="38" w15:restartNumberingAfterBreak="0">
    <w:nsid w:val="0A4D5A1A"/>
    <w:multiLevelType w:val="hybridMultilevel"/>
    <w:tmpl w:val="AE06C230"/>
    <w:lvl w:ilvl="0" w:tplc="4A589C52">
      <w:numFmt w:val="bullet"/>
      <w:lvlText w:val=""/>
      <w:lvlJc w:val="left"/>
      <w:pPr>
        <w:ind w:left="423" w:hanging="284"/>
      </w:pPr>
      <w:rPr>
        <w:rFonts w:ascii="Symbol" w:eastAsia="Symbol" w:hAnsi="Symbol" w:cs="Symbol" w:hint="default"/>
        <w:b w:val="0"/>
        <w:bCs w:val="0"/>
        <w:i w:val="0"/>
        <w:iCs w:val="0"/>
        <w:color w:val="70004A"/>
        <w:spacing w:val="0"/>
        <w:w w:val="100"/>
        <w:sz w:val="18"/>
        <w:szCs w:val="18"/>
        <w:lang w:val="en-US" w:eastAsia="en-US" w:bidi="ar-SA"/>
      </w:rPr>
    </w:lvl>
    <w:lvl w:ilvl="1" w:tplc="8174D950">
      <w:numFmt w:val="bullet"/>
      <w:lvlText w:val="•"/>
      <w:lvlJc w:val="left"/>
      <w:pPr>
        <w:ind w:left="585" w:hanging="284"/>
      </w:pPr>
      <w:rPr>
        <w:rFonts w:hint="default"/>
        <w:lang w:val="en-US" w:eastAsia="en-US" w:bidi="ar-SA"/>
      </w:rPr>
    </w:lvl>
    <w:lvl w:ilvl="2" w:tplc="85AA4EC6">
      <w:numFmt w:val="bullet"/>
      <w:lvlText w:val="•"/>
      <w:lvlJc w:val="left"/>
      <w:pPr>
        <w:ind w:left="750" w:hanging="284"/>
      </w:pPr>
      <w:rPr>
        <w:rFonts w:hint="default"/>
        <w:lang w:val="en-US" w:eastAsia="en-US" w:bidi="ar-SA"/>
      </w:rPr>
    </w:lvl>
    <w:lvl w:ilvl="3" w:tplc="65D2BDDC">
      <w:numFmt w:val="bullet"/>
      <w:lvlText w:val="•"/>
      <w:lvlJc w:val="left"/>
      <w:pPr>
        <w:ind w:left="916" w:hanging="284"/>
      </w:pPr>
      <w:rPr>
        <w:rFonts w:hint="default"/>
        <w:lang w:val="en-US" w:eastAsia="en-US" w:bidi="ar-SA"/>
      </w:rPr>
    </w:lvl>
    <w:lvl w:ilvl="4" w:tplc="27E4C9F0">
      <w:numFmt w:val="bullet"/>
      <w:lvlText w:val="•"/>
      <w:lvlJc w:val="left"/>
      <w:pPr>
        <w:ind w:left="1081" w:hanging="284"/>
      </w:pPr>
      <w:rPr>
        <w:rFonts w:hint="default"/>
        <w:lang w:val="en-US" w:eastAsia="en-US" w:bidi="ar-SA"/>
      </w:rPr>
    </w:lvl>
    <w:lvl w:ilvl="5" w:tplc="70D86974">
      <w:numFmt w:val="bullet"/>
      <w:lvlText w:val="•"/>
      <w:lvlJc w:val="left"/>
      <w:pPr>
        <w:ind w:left="1247" w:hanging="284"/>
      </w:pPr>
      <w:rPr>
        <w:rFonts w:hint="default"/>
        <w:lang w:val="en-US" w:eastAsia="en-US" w:bidi="ar-SA"/>
      </w:rPr>
    </w:lvl>
    <w:lvl w:ilvl="6" w:tplc="FF7C03A6">
      <w:numFmt w:val="bullet"/>
      <w:lvlText w:val="•"/>
      <w:lvlJc w:val="left"/>
      <w:pPr>
        <w:ind w:left="1412" w:hanging="284"/>
      </w:pPr>
      <w:rPr>
        <w:rFonts w:hint="default"/>
        <w:lang w:val="en-US" w:eastAsia="en-US" w:bidi="ar-SA"/>
      </w:rPr>
    </w:lvl>
    <w:lvl w:ilvl="7" w:tplc="4CE45D78">
      <w:numFmt w:val="bullet"/>
      <w:lvlText w:val="•"/>
      <w:lvlJc w:val="left"/>
      <w:pPr>
        <w:ind w:left="1577" w:hanging="284"/>
      </w:pPr>
      <w:rPr>
        <w:rFonts w:hint="default"/>
        <w:lang w:val="en-US" w:eastAsia="en-US" w:bidi="ar-SA"/>
      </w:rPr>
    </w:lvl>
    <w:lvl w:ilvl="8" w:tplc="5538AEA0">
      <w:numFmt w:val="bullet"/>
      <w:lvlText w:val="•"/>
      <w:lvlJc w:val="left"/>
      <w:pPr>
        <w:ind w:left="1743" w:hanging="284"/>
      </w:pPr>
      <w:rPr>
        <w:rFonts w:hint="default"/>
        <w:lang w:val="en-US" w:eastAsia="en-US" w:bidi="ar-SA"/>
      </w:rPr>
    </w:lvl>
  </w:abstractNum>
  <w:abstractNum w:abstractNumId="39" w15:restartNumberingAfterBreak="0">
    <w:nsid w:val="0A510514"/>
    <w:multiLevelType w:val="hybridMultilevel"/>
    <w:tmpl w:val="EAF441EA"/>
    <w:lvl w:ilvl="0" w:tplc="4006B148">
      <w:numFmt w:val="bullet"/>
      <w:lvlText w:val=""/>
      <w:lvlJc w:val="left"/>
      <w:pPr>
        <w:ind w:left="501" w:hanging="360"/>
      </w:pPr>
      <w:rPr>
        <w:rFonts w:ascii="Symbol" w:eastAsia="Symbol" w:hAnsi="Symbol" w:cs="Symbol" w:hint="default"/>
        <w:b w:val="0"/>
        <w:bCs w:val="0"/>
        <w:i w:val="0"/>
        <w:iCs w:val="0"/>
        <w:color w:val="70004A"/>
        <w:spacing w:val="0"/>
        <w:w w:val="100"/>
        <w:sz w:val="20"/>
        <w:szCs w:val="20"/>
        <w:lang w:val="en-US" w:eastAsia="en-US" w:bidi="ar-SA"/>
      </w:rPr>
    </w:lvl>
    <w:lvl w:ilvl="1" w:tplc="C936957C">
      <w:numFmt w:val="bullet"/>
      <w:lvlText w:val="-"/>
      <w:lvlJc w:val="left"/>
      <w:pPr>
        <w:ind w:left="861" w:hanging="360"/>
      </w:pPr>
      <w:rPr>
        <w:rFonts w:ascii="Arial" w:eastAsia="Arial" w:hAnsi="Arial" w:cs="Arial" w:hint="default"/>
        <w:b w:val="0"/>
        <w:bCs w:val="0"/>
        <w:i w:val="0"/>
        <w:iCs w:val="0"/>
        <w:color w:val="70004A"/>
        <w:spacing w:val="0"/>
        <w:w w:val="100"/>
        <w:sz w:val="20"/>
        <w:szCs w:val="20"/>
        <w:lang w:val="en-US" w:eastAsia="en-US" w:bidi="ar-SA"/>
      </w:rPr>
    </w:lvl>
    <w:lvl w:ilvl="2" w:tplc="5CDAB498">
      <w:numFmt w:val="bullet"/>
      <w:lvlText w:val="•"/>
      <w:lvlJc w:val="left"/>
      <w:pPr>
        <w:ind w:left="1851" w:hanging="360"/>
      </w:pPr>
      <w:rPr>
        <w:rFonts w:hint="default"/>
        <w:lang w:val="en-US" w:eastAsia="en-US" w:bidi="ar-SA"/>
      </w:rPr>
    </w:lvl>
    <w:lvl w:ilvl="3" w:tplc="A10AA188">
      <w:numFmt w:val="bullet"/>
      <w:lvlText w:val="•"/>
      <w:lvlJc w:val="left"/>
      <w:pPr>
        <w:ind w:left="2842" w:hanging="360"/>
      </w:pPr>
      <w:rPr>
        <w:rFonts w:hint="default"/>
        <w:lang w:val="en-US" w:eastAsia="en-US" w:bidi="ar-SA"/>
      </w:rPr>
    </w:lvl>
    <w:lvl w:ilvl="4" w:tplc="801AFB94">
      <w:numFmt w:val="bullet"/>
      <w:lvlText w:val="•"/>
      <w:lvlJc w:val="left"/>
      <w:pPr>
        <w:ind w:left="3833" w:hanging="360"/>
      </w:pPr>
      <w:rPr>
        <w:rFonts w:hint="default"/>
        <w:lang w:val="en-US" w:eastAsia="en-US" w:bidi="ar-SA"/>
      </w:rPr>
    </w:lvl>
    <w:lvl w:ilvl="5" w:tplc="F63610E0">
      <w:numFmt w:val="bullet"/>
      <w:lvlText w:val="•"/>
      <w:lvlJc w:val="left"/>
      <w:pPr>
        <w:ind w:left="4825" w:hanging="360"/>
      </w:pPr>
      <w:rPr>
        <w:rFonts w:hint="default"/>
        <w:lang w:val="en-US" w:eastAsia="en-US" w:bidi="ar-SA"/>
      </w:rPr>
    </w:lvl>
    <w:lvl w:ilvl="6" w:tplc="C40EC9FC">
      <w:numFmt w:val="bullet"/>
      <w:lvlText w:val="•"/>
      <w:lvlJc w:val="left"/>
      <w:pPr>
        <w:ind w:left="5816" w:hanging="360"/>
      </w:pPr>
      <w:rPr>
        <w:rFonts w:hint="default"/>
        <w:lang w:val="en-US" w:eastAsia="en-US" w:bidi="ar-SA"/>
      </w:rPr>
    </w:lvl>
    <w:lvl w:ilvl="7" w:tplc="71065EA0">
      <w:numFmt w:val="bullet"/>
      <w:lvlText w:val="•"/>
      <w:lvlJc w:val="left"/>
      <w:pPr>
        <w:ind w:left="6807" w:hanging="360"/>
      </w:pPr>
      <w:rPr>
        <w:rFonts w:hint="default"/>
        <w:lang w:val="en-US" w:eastAsia="en-US" w:bidi="ar-SA"/>
      </w:rPr>
    </w:lvl>
    <w:lvl w:ilvl="8" w:tplc="8398D726">
      <w:numFmt w:val="bullet"/>
      <w:lvlText w:val="•"/>
      <w:lvlJc w:val="left"/>
      <w:pPr>
        <w:ind w:left="7798" w:hanging="360"/>
      </w:pPr>
      <w:rPr>
        <w:rFonts w:hint="default"/>
        <w:lang w:val="en-US" w:eastAsia="en-US" w:bidi="ar-SA"/>
      </w:rPr>
    </w:lvl>
  </w:abstractNum>
  <w:abstractNum w:abstractNumId="40" w15:restartNumberingAfterBreak="0">
    <w:nsid w:val="0ABC03F3"/>
    <w:multiLevelType w:val="hybridMultilevel"/>
    <w:tmpl w:val="7D8E22E4"/>
    <w:lvl w:ilvl="0" w:tplc="62C6D7C6">
      <w:start w:val="1"/>
      <w:numFmt w:val="decimal"/>
      <w:lvlText w:val="%1."/>
      <w:lvlJc w:val="left"/>
      <w:pPr>
        <w:ind w:left="578" w:hanging="425"/>
      </w:pPr>
      <w:rPr>
        <w:rFonts w:ascii="Arial" w:eastAsia="Arial" w:hAnsi="Arial" w:cs="Arial" w:hint="default"/>
        <w:b w:val="0"/>
        <w:bCs w:val="0"/>
        <w:i w:val="0"/>
        <w:iCs w:val="0"/>
        <w:color w:val="70004A"/>
        <w:spacing w:val="-1"/>
        <w:w w:val="100"/>
        <w:sz w:val="14"/>
        <w:szCs w:val="14"/>
        <w:lang w:val="en-US" w:eastAsia="en-US" w:bidi="ar-SA"/>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0AC006B8"/>
    <w:multiLevelType w:val="hybridMultilevel"/>
    <w:tmpl w:val="C2166724"/>
    <w:lvl w:ilvl="0" w:tplc="2548ABC4">
      <w:numFmt w:val="bullet"/>
      <w:lvlText w:val=""/>
      <w:lvlJc w:val="left"/>
      <w:pPr>
        <w:ind w:left="440" w:hanging="284"/>
      </w:pPr>
      <w:rPr>
        <w:rFonts w:ascii="Symbol" w:eastAsia="Symbol" w:hAnsi="Symbol" w:cs="Symbol" w:hint="default"/>
        <w:b w:val="0"/>
        <w:bCs w:val="0"/>
        <w:i w:val="0"/>
        <w:iCs w:val="0"/>
        <w:color w:val="70004A"/>
        <w:spacing w:val="0"/>
        <w:w w:val="100"/>
        <w:sz w:val="18"/>
        <w:szCs w:val="18"/>
        <w:lang w:val="en-US" w:eastAsia="en-US" w:bidi="ar-SA"/>
      </w:rPr>
    </w:lvl>
    <w:lvl w:ilvl="1" w:tplc="FFCE4C6A">
      <w:numFmt w:val="bullet"/>
      <w:lvlText w:val="•"/>
      <w:lvlJc w:val="left"/>
      <w:pPr>
        <w:ind w:left="611" w:hanging="284"/>
      </w:pPr>
      <w:rPr>
        <w:rFonts w:hint="default"/>
        <w:lang w:val="en-US" w:eastAsia="en-US" w:bidi="ar-SA"/>
      </w:rPr>
    </w:lvl>
    <w:lvl w:ilvl="2" w:tplc="F80A31DE">
      <w:numFmt w:val="bullet"/>
      <w:lvlText w:val="•"/>
      <w:lvlJc w:val="left"/>
      <w:pPr>
        <w:ind w:left="782" w:hanging="284"/>
      </w:pPr>
      <w:rPr>
        <w:rFonts w:hint="default"/>
        <w:lang w:val="en-US" w:eastAsia="en-US" w:bidi="ar-SA"/>
      </w:rPr>
    </w:lvl>
    <w:lvl w:ilvl="3" w:tplc="718A14F8">
      <w:numFmt w:val="bullet"/>
      <w:lvlText w:val="•"/>
      <w:lvlJc w:val="left"/>
      <w:pPr>
        <w:ind w:left="953" w:hanging="284"/>
      </w:pPr>
      <w:rPr>
        <w:rFonts w:hint="default"/>
        <w:lang w:val="en-US" w:eastAsia="en-US" w:bidi="ar-SA"/>
      </w:rPr>
    </w:lvl>
    <w:lvl w:ilvl="4" w:tplc="C77A4F06">
      <w:numFmt w:val="bullet"/>
      <w:lvlText w:val="•"/>
      <w:lvlJc w:val="left"/>
      <w:pPr>
        <w:ind w:left="1125" w:hanging="284"/>
      </w:pPr>
      <w:rPr>
        <w:rFonts w:hint="default"/>
        <w:lang w:val="en-US" w:eastAsia="en-US" w:bidi="ar-SA"/>
      </w:rPr>
    </w:lvl>
    <w:lvl w:ilvl="5" w:tplc="09C8946E">
      <w:numFmt w:val="bullet"/>
      <w:lvlText w:val="•"/>
      <w:lvlJc w:val="left"/>
      <w:pPr>
        <w:ind w:left="1296" w:hanging="284"/>
      </w:pPr>
      <w:rPr>
        <w:rFonts w:hint="default"/>
        <w:lang w:val="en-US" w:eastAsia="en-US" w:bidi="ar-SA"/>
      </w:rPr>
    </w:lvl>
    <w:lvl w:ilvl="6" w:tplc="CC5A5002">
      <w:numFmt w:val="bullet"/>
      <w:lvlText w:val="•"/>
      <w:lvlJc w:val="left"/>
      <w:pPr>
        <w:ind w:left="1467" w:hanging="284"/>
      </w:pPr>
      <w:rPr>
        <w:rFonts w:hint="default"/>
        <w:lang w:val="en-US" w:eastAsia="en-US" w:bidi="ar-SA"/>
      </w:rPr>
    </w:lvl>
    <w:lvl w:ilvl="7" w:tplc="ACBEAB1A">
      <w:numFmt w:val="bullet"/>
      <w:lvlText w:val="•"/>
      <w:lvlJc w:val="left"/>
      <w:pPr>
        <w:ind w:left="1639" w:hanging="284"/>
      </w:pPr>
      <w:rPr>
        <w:rFonts w:hint="default"/>
        <w:lang w:val="en-US" w:eastAsia="en-US" w:bidi="ar-SA"/>
      </w:rPr>
    </w:lvl>
    <w:lvl w:ilvl="8" w:tplc="B5DC36B8">
      <w:numFmt w:val="bullet"/>
      <w:lvlText w:val="•"/>
      <w:lvlJc w:val="left"/>
      <w:pPr>
        <w:ind w:left="1810" w:hanging="284"/>
      </w:pPr>
      <w:rPr>
        <w:rFonts w:hint="default"/>
        <w:lang w:val="en-US" w:eastAsia="en-US" w:bidi="ar-SA"/>
      </w:rPr>
    </w:lvl>
  </w:abstractNum>
  <w:abstractNum w:abstractNumId="42" w15:restartNumberingAfterBreak="0">
    <w:nsid w:val="0B032DFB"/>
    <w:multiLevelType w:val="hybridMultilevel"/>
    <w:tmpl w:val="4F249464"/>
    <w:lvl w:ilvl="0" w:tplc="4FF83F96">
      <w:numFmt w:val="bullet"/>
      <w:lvlText w:val=""/>
      <w:lvlJc w:val="left"/>
      <w:pPr>
        <w:ind w:left="440" w:hanging="284"/>
      </w:pPr>
      <w:rPr>
        <w:rFonts w:ascii="Symbol" w:eastAsia="Symbol" w:hAnsi="Symbol" w:cs="Symbol" w:hint="default"/>
        <w:b w:val="0"/>
        <w:bCs w:val="0"/>
        <w:i w:val="0"/>
        <w:iCs w:val="0"/>
        <w:color w:val="70004A"/>
        <w:spacing w:val="0"/>
        <w:w w:val="100"/>
        <w:sz w:val="18"/>
        <w:szCs w:val="18"/>
        <w:lang w:val="en-US" w:eastAsia="en-US" w:bidi="ar-SA"/>
      </w:rPr>
    </w:lvl>
    <w:lvl w:ilvl="1" w:tplc="E8803A52">
      <w:numFmt w:val="bullet"/>
      <w:lvlText w:val="•"/>
      <w:lvlJc w:val="left"/>
      <w:pPr>
        <w:ind w:left="625" w:hanging="284"/>
      </w:pPr>
      <w:rPr>
        <w:rFonts w:hint="default"/>
        <w:lang w:val="en-US" w:eastAsia="en-US" w:bidi="ar-SA"/>
      </w:rPr>
    </w:lvl>
    <w:lvl w:ilvl="2" w:tplc="EC9EED86">
      <w:numFmt w:val="bullet"/>
      <w:lvlText w:val="•"/>
      <w:lvlJc w:val="left"/>
      <w:pPr>
        <w:ind w:left="811" w:hanging="284"/>
      </w:pPr>
      <w:rPr>
        <w:rFonts w:hint="default"/>
        <w:lang w:val="en-US" w:eastAsia="en-US" w:bidi="ar-SA"/>
      </w:rPr>
    </w:lvl>
    <w:lvl w:ilvl="3" w:tplc="CD3021E6">
      <w:numFmt w:val="bullet"/>
      <w:lvlText w:val="•"/>
      <w:lvlJc w:val="left"/>
      <w:pPr>
        <w:ind w:left="997" w:hanging="284"/>
      </w:pPr>
      <w:rPr>
        <w:rFonts w:hint="default"/>
        <w:lang w:val="en-US" w:eastAsia="en-US" w:bidi="ar-SA"/>
      </w:rPr>
    </w:lvl>
    <w:lvl w:ilvl="4" w:tplc="F8709826">
      <w:numFmt w:val="bullet"/>
      <w:lvlText w:val="•"/>
      <w:lvlJc w:val="left"/>
      <w:pPr>
        <w:ind w:left="1182" w:hanging="284"/>
      </w:pPr>
      <w:rPr>
        <w:rFonts w:hint="default"/>
        <w:lang w:val="en-US" w:eastAsia="en-US" w:bidi="ar-SA"/>
      </w:rPr>
    </w:lvl>
    <w:lvl w:ilvl="5" w:tplc="5EB22900">
      <w:numFmt w:val="bullet"/>
      <w:lvlText w:val="•"/>
      <w:lvlJc w:val="left"/>
      <w:pPr>
        <w:ind w:left="1368" w:hanging="284"/>
      </w:pPr>
      <w:rPr>
        <w:rFonts w:hint="default"/>
        <w:lang w:val="en-US" w:eastAsia="en-US" w:bidi="ar-SA"/>
      </w:rPr>
    </w:lvl>
    <w:lvl w:ilvl="6" w:tplc="597EC360">
      <w:numFmt w:val="bullet"/>
      <w:lvlText w:val="•"/>
      <w:lvlJc w:val="left"/>
      <w:pPr>
        <w:ind w:left="1554" w:hanging="284"/>
      </w:pPr>
      <w:rPr>
        <w:rFonts w:hint="default"/>
        <w:lang w:val="en-US" w:eastAsia="en-US" w:bidi="ar-SA"/>
      </w:rPr>
    </w:lvl>
    <w:lvl w:ilvl="7" w:tplc="D8F24ABA">
      <w:numFmt w:val="bullet"/>
      <w:lvlText w:val="•"/>
      <w:lvlJc w:val="left"/>
      <w:pPr>
        <w:ind w:left="1739" w:hanging="284"/>
      </w:pPr>
      <w:rPr>
        <w:rFonts w:hint="default"/>
        <w:lang w:val="en-US" w:eastAsia="en-US" w:bidi="ar-SA"/>
      </w:rPr>
    </w:lvl>
    <w:lvl w:ilvl="8" w:tplc="15EAF222">
      <w:numFmt w:val="bullet"/>
      <w:lvlText w:val="•"/>
      <w:lvlJc w:val="left"/>
      <w:pPr>
        <w:ind w:left="1925" w:hanging="284"/>
      </w:pPr>
      <w:rPr>
        <w:rFonts w:hint="default"/>
        <w:lang w:val="en-US" w:eastAsia="en-US" w:bidi="ar-SA"/>
      </w:rPr>
    </w:lvl>
  </w:abstractNum>
  <w:abstractNum w:abstractNumId="43" w15:restartNumberingAfterBreak="0">
    <w:nsid w:val="0B1D1219"/>
    <w:multiLevelType w:val="hybridMultilevel"/>
    <w:tmpl w:val="0B4A68D2"/>
    <w:lvl w:ilvl="0" w:tplc="A8462C12">
      <w:numFmt w:val="bullet"/>
      <w:lvlText w:val=""/>
      <w:lvlJc w:val="left"/>
      <w:pPr>
        <w:ind w:left="374" w:hanging="284"/>
      </w:pPr>
      <w:rPr>
        <w:rFonts w:ascii="Symbol" w:eastAsia="Symbol" w:hAnsi="Symbol" w:cs="Symbol" w:hint="default"/>
        <w:b w:val="0"/>
        <w:bCs w:val="0"/>
        <w:i w:val="0"/>
        <w:iCs w:val="0"/>
        <w:color w:val="70004A"/>
        <w:spacing w:val="0"/>
        <w:w w:val="100"/>
        <w:sz w:val="18"/>
        <w:szCs w:val="18"/>
        <w:lang w:val="en-US" w:eastAsia="en-US" w:bidi="ar-SA"/>
      </w:rPr>
    </w:lvl>
    <w:lvl w:ilvl="1" w:tplc="FF92270A">
      <w:numFmt w:val="bullet"/>
      <w:lvlText w:val="•"/>
      <w:lvlJc w:val="left"/>
      <w:pPr>
        <w:ind w:left="489" w:hanging="284"/>
      </w:pPr>
      <w:rPr>
        <w:rFonts w:hint="default"/>
        <w:lang w:val="en-US" w:eastAsia="en-US" w:bidi="ar-SA"/>
      </w:rPr>
    </w:lvl>
    <w:lvl w:ilvl="2" w:tplc="ECCAC2FC">
      <w:numFmt w:val="bullet"/>
      <w:lvlText w:val="•"/>
      <w:lvlJc w:val="left"/>
      <w:pPr>
        <w:ind w:left="599" w:hanging="284"/>
      </w:pPr>
      <w:rPr>
        <w:rFonts w:hint="default"/>
        <w:lang w:val="en-US" w:eastAsia="en-US" w:bidi="ar-SA"/>
      </w:rPr>
    </w:lvl>
    <w:lvl w:ilvl="3" w:tplc="D49ACF4E">
      <w:numFmt w:val="bullet"/>
      <w:lvlText w:val="•"/>
      <w:lvlJc w:val="left"/>
      <w:pPr>
        <w:ind w:left="709" w:hanging="284"/>
      </w:pPr>
      <w:rPr>
        <w:rFonts w:hint="default"/>
        <w:lang w:val="en-US" w:eastAsia="en-US" w:bidi="ar-SA"/>
      </w:rPr>
    </w:lvl>
    <w:lvl w:ilvl="4" w:tplc="946C931A">
      <w:numFmt w:val="bullet"/>
      <w:lvlText w:val="•"/>
      <w:lvlJc w:val="left"/>
      <w:pPr>
        <w:ind w:left="819" w:hanging="284"/>
      </w:pPr>
      <w:rPr>
        <w:rFonts w:hint="default"/>
        <w:lang w:val="en-US" w:eastAsia="en-US" w:bidi="ar-SA"/>
      </w:rPr>
    </w:lvl>
    <w:lvl w:ilvl="5" w:tplc="C4EC389C">
      <w:numFmt w:val="bullet"/>
      <w:lvlText w:val="•"/>
      <w:lvlJc w:val="left"/>
      <w:pPr>
        <w:ind w:left="929" w:hanging="284"/>
      </w:pPr>
      <w:rPr>
        <w:rFonts w:hint="default"/>
        <w:lang w:val="en-US" w:eastAsia="en-US" w:bidi="ar-SA"/>
      </w:rPr>
    </w:lvl>
    <w:lvl w:ilvl="6" w:tplc="3D00978A">
      <w:numFmt w:val="bullet"/>
      <w:lvlText w:val="•"/>
      <w:lvlJc w:val="left"/>
      <w:pPr>
        <w:ind w:left="1039" w:hanging="284"/>
      </w:pPr>
      <w:rPr>
        <w:rFonts w:hint="default"/>
        <w:lang w:val="en-US" w:eastAsia="en-US" w:bidi="ar-SA"/>
      </w:rPr>
    </w:lvl>
    <w:lvl w:ilvl="7" w:tplc="F5182ACE">
      <w:numFmt w:val="bullet"/>
      <w:lvlText w:val="•"/>
      <w:lvlJc w:val="left"/>
      <w:pPr>
        <w:ind w:left="1149" w:hanging="284"/>
      </w:pPr>
      <w:rPr>
        <w:rFonts w:hint="default"/>
        <w:lang w:val="en-US" w:eastAsia="en-US" w:bidi="ar-SA"/>
      </w:rPr>
    </w:lvl>
    <w:lvl w:ilvl="8" w:tplc="A7D2A460">
      <w:numFmt w:val="bullet"/>
      <w:lvlText w:val="•"/>
      <w:lvlJc w:val="left"/>
      <w:pPr>
        <w:ind w:left="1259" w:hanging="284"/>
      </w:pPr>
      <w:rPr>
        <w:rFonts w:hint="default"/>
        <w:lang w:val="en-US" w:eastAsia="en-US" w:bidi="ar-SA"/>
      </w:rPr>
    </w:lvl>
  </w:abstractNum>
  <w:abstractNum w:abstractNumId="44" w15:restartNumberingAfterBreak="0">
    <w:nsid w:val="0B5907CD"/>
    <w:multiLevelType w:val="hybridMultilevel"/>
    <w:tmpl w:val="F194446C"/>
    <w:lvl w:ilvl="0" w:tplc="5414E164">
      <w:numFmt w:val="bullet"/>
      <w:lvlText w:val=""/>
      <w:lvlJc w:val="left"/>
      <w:pPr>
        <w:ind w:left="458" w:hanging="284"/>
      </w:pPr>
      <w:rPr>
        <w:rFonts w:ascii="Symbol" w:eastAsia="Symbol" w:hAnsi="Symbol" w:cs="Symbol" w:hint="default"/>
        <w:b w:val="0"/>
        <w:bCs w:val="0"/>
        <w:i w:val="0"/>
        <w:iCs w:val="0"/>
        <w:color w:val="70004A"/>
        <w:spacing w:val="0"/>
        <w:w w:val="100"/>
        <w:sz w:val="18"/>
        <w:szCs w:val="18"/>
        <w:lang w:val="en-US" w:eastAsia="en-US" w:bidi="ar-SA"/>
      </w:rPr>
    </w:lvl>
    <w:lvl w:ilvl="1" w:tplc="4BC42B80">
      <w:numFmt w:val="bullet"/>
      <w:lvlText w:val="•"/>
      <w:lvlJc w:val="left"/>
      <w:pPr>
        <w:ind w:left="632" w:hanging="284"/>
      </w:pPr>
      <w:rPr>
        <w:rFonts w:hint="default"/>
        <w:lang w:val="en-US" w:eastAsia="en-US" w:bidi="ar-SA"/>
      </w:rPr>
    </w:lvl>
    <w:lvl w:ilvl="2" w:tplc="58FC0D24">
      <w:numFmt w:val="bullet"/>
      <w:lvlText w:val="•"/>
      <w:lvlJc w:val="left"/>
      <w:pPr>
        <w:ind w:left="805" w:hanging="284"/>
      </w:pPr>
      <w:rPr>
        <w:rFonts w:hint="default"/>
        <w:lang w:val="en-US" w:eastAsia="en-US" w:bidi="ar-SA"/>
      </w:rPr>
    </w:lvl>
    <w:lvl w:ilvl="3" w:tplc="8B26A804">
      <w:numFmt w:val="bullet"/>
      <w:lvlText w:val="•"/>
      <w:lvlJc w:val="left"/>
      <w:pPr>
        <w:ind w:left="978" w:hanging="284"/>
      </w:pPr>
      <w:rPr>
        <w:rFonts w:hint="default"/>
        <w:lang w:val="en-US" w:eastAsia="en-US" w:bidi="ar-SA"/>
      </w:rPr>
    </w:lvl>
    <w:lvl w:ilvl="4" w:tplc="1E24ADAC">
      <w:numFmt w:val="bullet"/>
      <w:lvlText w:val="•"/>
      <w:lvlJc w:val="left"/>
      <w:pPr>
        <w:ind w:left="1150" w:hanging="284"/>
      </w:pPr>
      <w:rPr>
        <w:rFonts w:hint="default"/>
        <w:lang w:val="en-US" w:eastAsia="en-US" w:bidi="ar-SA"/>
      </w:rPr>
    </w:lvl>
    <w:lvl w:ilvl="5" w:tplc="18468406">
      <w:numFmt w:val="bullet"/>
      <w:lvlText w:val="•"/>
      <w:lvlJc w:val="left"/>
      <w:pPr>
        <w:ind w:left="1323" w:hanging="284"/>
      </w:pPr>
      <w:rPr>
        <w:rFonts w:hint="default"/>
        <w:lang w:val="en-US" w:eastAsia="en-US" w:bidi="ar-SA"/>
      </w:rPr>
    </w:lvl>
    <w:lvl w:ilvl="6" w:tplc="772413D4">
      <w:numFmt w:val="bullet"/>
      <w:lvlText w:val="•"/>
      <w:lvlJc w:val="left"/>
      <w:pPr>
        <w:ind w:left="1496" w:hanging="284"/>
      </w:pPr>
      <w:rPr>
        <w:rFonts w:hint="default"/>
        <w:lang w:val="en-US" w:eastAsia="en-US" w:bidi="ar-SA"/>
      </w:rPr>
    </w:lvl>
    <w:lvl w:ilvl="7" w:tplc="26E8EDB0">
      <w:numFmt w:val="bullet"/>
      <w:lvlText w:val="•"/>
      <w:lvlJc w:val="left"/>
      <w:pPr>
        <w:ind w:left="1668" w:hanging="284"/>
      </w:pPr>
      <w:rPr>
        <w:rFonts w:hint="default"/>
        <w:lang w:val="en-US" w:eastAsia="en-US" w:bidi="ar-SA"/>
      </w:rPr>
    </w:lvl>
    <w:lvl w:ilvl="8" w:tplc="0FB04742">
      <w:numFmt w:val="bullet"/>
      <w:lvlText w:val="•"/>
      <w:lvlJc w:val="left"/>
      <w:pPr>
        <w:ind w:left="1841" w:hanging="284"/>
      </w:pPr>
      <w:rPr>
        <w:rFonts w:hint="default"/>
        <w:lang w:val="en-US" w:eastAsia="en-US" w:bidi="ar-SA"/>
      </w:rPr>
    </w:lvl>
  </w:abstractNum>
  <w:abstractNum w:abstractNumId="45" w15:restartNumberingAfterBreak="0">
    <w:nsid w:val="0B99269C"/>
    <w:multiLevelType w:val="hybridMultilevel"/>
    <w:tmpl w:val="AD2CEB74"/>
    <w:lvl w:ilvl="0" w:tplc="43C075E4">
      <w:numFmt w:val="bullet"/>
      <w:lvlText w:val=""/>
      <w:lvlJc w:val="left"/>
      <w:pPr>
        <w:ind w:left="430" w:hanging="284"/>
      </w:pPr>
      <w:rPr>
        <w:rFonts w:ascii="Symbol" w:eastAsia="Symbol" w:hAnsi="Symbol" w:cs="Symbol" w:hint="default"/>
        <w:b w:val="0"/>
        <w:bCs w:val="0"/>
        <w:i w:val="0"/>
        <w:iCs w:val="0"/>
        <w:color w:val="70004A"/>
        <w:spacing w:val="0"/>
        <w:w w:val="100"/>
        <w:sz w:val="18"/>
        <w:szCs w:val="18"/>
        <w:lang w:val="en-US" w:eastAsia="en-US" w:bidi="ar-SA"/>
      </w:rPr>
    </w:lvl>
    <w:lvl w:ilvl="1" w:tplc="0A6629DC">
      <w:numFmt w:val="bullet"/>
      <w:lvlText w:val="•"/>
      <w:lvlJc w:val="left"/>
      <w:pPr>
        <w:ind w:left="674" w:hanging="284"/>
      </w:pPr>
      <w:rPr>
        <w:rFonts w:hint="default"/>
        <w:lang w:val="en-US" w:eastAsia="en-US" w:bidi="ar-SA"/>
      </w:rPr>
    </w:lvl>
    <w:lvl w:ilvl="2" w:tplc="570496A0">
      <w:numFmt w:val="bullet"/>
      <w:lvlText w:val="•"/>
      <w:lvlJc w:val="left"/>
      <w:pPr>
        <w:ind w:left="908" w:hanging="284"/>
      </w:pPr>
      <w:rPr>
        <w:rFonts w:hint="default"/>
        <w:lang w:val="en-US" w:eastAsia="en-US" w:bidi="ar-SA"/>
      </w:rPr>
    </w:lvl>
    <w:lvl w:ilvl="3" w:tplc="0728D48C">
      <w:numFmt w:val="bullet"/>
      <w:lvlText w:val="•"/>
      <w:lvlJc w:val="left"/>
      <w:pPr>
        <w:ind w:left="1142" w:hanging="284"/>
      </w:pPr>
      <w:rPr>
        <w:rFonts w:hint="default"/>
        <w:lang w:val="en-US" w:eastAsia="en-US" w:bidi="ar-SA"/>
      </w:rPr>
    </w:lvl>
    <w:lvl w:ilvl="4" w:tplc="BC2EA69A">
      <w:numFmt w:val="bullet"/>
      <w:lvlText w:val="•"/>
      <w:lvlJc w:val="left"/>
      <w:pPr>
        <w:ind w:left="1376" w:hanging="284"/>
      </w:pPr>
      <w:rPr>
        <w:rFonts w:hint="default"/>
        <w:lang w:val="en-US" w:eastAsia="en-US" w:bidi="ar-SA"/>
      </w:rPr>
    </w:lvl>
    <w:lvl w:ilvl="5" w:tplc="E6BEB728">
      <w:numFmt w:val="bullet"/>
      <w:lvlText w:val="•"/>
      <w:lvlJc w:val="left"/>
      <w:pPr>
        <w:ind w:left="1610" w:hanging="284"/>
      </w:pPr>
      <w:rPr>
        <w:rFonts w:hint="default"/>
        <w:lang w:val="en-US" w:eastAsia="en-US" w:bidi="ar-SA"/>
      </w:rPr>
    </w:lvl>
    <w:lvl w:ilvl="6" w:tplc="FF8E6ED0">
      <w:numFmt w:val="bullet"/>
      <w:lvlText w:val="•"/>
      <w:lvlJc w:val="left"/>
      <w:pPr>
        <w:ind w:left="1844" w:hanging="284"/>
      </w:pPr>
      <w:rPr>
        <w:rFonts w:hint="default"/>
        <w:lang w:val="en-US" w:eastAsia="en-US" w:bidi="ar-SA"/>
      </w:rPr>
    </w:lvl>
    <w:lvl w:ilvl="7" w:tplc="8B50F51E">
      <w:numFmt w:val="bullet"/>
      <w:lvlText w:val="•"/>
      <w:lvlJc w:val="left"/>
      <w:pPr>
        <w:ind w:left="2078" w:hanging="284"/>
      </w:pPr>
      <w:rPr>
        <w:rFonts w:hint="default"/>
        <w:lang w:val="en-US" w:eastAsia="en-US" w:bidi="ar-SA"/>
      </w:rPr>
    </w:lvl>
    <w:lvl w:ilvl="8" w:tplc="06AE8248">
      <w:numFmt w:val="bullet"/>
      <w:lvlText w:val="•"/>
      <w:lvlJc w:val="left"/>
      <w:pPr>
        <w:ind w:left="2312" w:hanging="284"/>
      </w:pPr>
      <w:rPr>
        <w:rFonts w:hint="default"/>
        <w:lang w:val="en-US" w:eastAsia="en-US" w:bidi="ar-SA"/>
      </w:rPr>
    </w:lvl>
  </w:abstractNum>
  <w:abstractNum w:abstractNumId="46" w15:restartNumberingAfterBreak="0">
    <w:nsid w:val="0BB55F78"/>
    <w:multiLevelType w:val="hybridMultilevel"/>
    <w:tmpl w:val="AA6A4E8A"/>
    <w:lvl w:ilvl="0" w:tplc="75F2290E">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4AD08BA8">
      <w:numFmt w:val="bullet"/>
      <w:lvlText w:val="•"/>
      <w:lvlJc w:val="left"/>
      <w:pPr>
        <w:ind w:left="642" w:hanging="284"/>
      </w:pPr>
      <w:rPr>
        <w:rFonts w:hint="default"/>
        <w:lang w:val="en-US" w:eastAsia="en-US" w:bidi="ar-SA"/>
      </w:rPr>
    </w:lvl>
    <w:lvl w:ilvl="2" w:tplc="1C82E720">
      <w:numFmt w:val="bullet"/>
      <w:lvlText w:val="•"/>
      <w:lvlJc w:val="left"/>
      <w:pPr>
        <w:ind w:left="885" w:hanging="284"/>
      </w:pPr>
      <w:rPr>
        <w:rFonts w:hint="default"/>
        <w:lang w:val="en-US" w:eastAsia="en-US" w:bidi="ar-SA"/>
      </w:rPr>
    </w:lvl>
    <w:lvl w:ilvl="3" w:tplc="73643798">
      <w:numFmt w:val="bullet"/>
      <w:lvlText w:val="•"/>
      <w:lvlJc w:val="left"/>
      <w:pPr>
        <w:ind w:left="1128" w:hanging="284"/>
      </w:pPr>
      <w:rPr>
        <w:rFonts w:hint="default"/>
        <w:lang w:val="en-US" w:eastAsia="en-US" w:bidi="ar-SA"/>
      </w:rPr>
    </w:lvl>
    <w:lvl w:ilvl="4" w:tplc="43C40C98">
      <w:numFmt w:val="bullet"/>
      <w:lvlText w:val="•"/>
      <w:lvlJc w:val="left"/>
      <w:pPr>
        <w:ind w:left="1371" w:hanging="284"/>
      </w:pPr>
      <w:rPr>
        <w:rFonts w:hint="default"/>
        <w:lang w:val="en-US" w:eastAsia="en-US" w:bidi="ar-SA"/>
      </w:rPr>
    </w:lvl>
    <w:lvl w:ilvl="5" w:tplc="98961A88">
      <w:numFmt w:val="bullet"/>
      <w:lvlText w:val="•"/>
      <w:lvlJc w:val="left"/>
      <w:pPr>
        <w:ind w:left="1614" w:hanging="284"/>
      </w:pPr>
      <w:rPr>
        <w:rFonts w:hint="default"/>
        <w:lang w:val="en-US" w:eastAsia="en-US" w:bidi="ar-SA"/>
      </w:rPr>
    </w:lvl>
    <w:lvl w:ilvl="6" w:tplc="568E0D96">
      <w:numFmt w:val="bullet"/>
      <w:lvlText w:val="•"/>
      <w:lvlJc w:val="left"/>
      <w:pPr>
        <w:ind w:left="1856" w:hanging="284"/>
      </w:pPr>
      <w:rPr>
        <w:rFonts w:hint="default"/>
        <w:lang w:val="en-US" w:eastAsia="en-US" w:bidi="ar-SA"/>
      </w:rPr>
    </w:lvl>
    <w:lvl w:ilvl="7" w:tplc="86B8B80E">
      <w:numFmt w:val="bullet"/>
      <w:lvlText w:val="•"/>
      <w:lvlJc w:val="left"/>
      <w:pPr>
        <w:ind w:left="2099" w:hanging="284"/>
      </w:pPr>
      <w:rPr>
        <w:rFonts w:hint="default"/>
        <w:lang w:val="en-US" w:eastAsia="en-US" w:bidi="ar-SA"/>
      </w:rPr>
    </w:lvl>
    <w:lvl w:ilvl="8" w:tplc="61B02792">
      <w:numFmt w:val="bullet"/>
      <w:lvlText w:val="•"/>
      <w:lvlJc w:val="left"/>
      <w:pPr>
        <w:ind w:left="2342" w:hanging="284"/>
      </w:pPr>
      <w:rPr>
        <w:rFonts w:hint="default"/>
        <w:lang w:val="en-US" w:eastAsia="en-US" w:bidi="ar-SA"/>
      </w:rPr>
    </w:lvl>
  </w:abstractNum>
  <w:abstractNum w:abstractNumId="47" w15:restartNumberingAfterBreak="0">
    <w:nsid w:val="0BE4628B"/>
    <w:multiLevelType w:val="hybridMultilevel"/>
    <w:tmpl w:val="9948D934"/>
    <w:lvl w:ilvl="0" w:tplc="4A1EF85E">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B8DECFC4">
      <w:numFmt w:val="bullet"/>
      <w:lvlText w:val="•"/>
      <w:lvlJc w:val="left"/>
      <w:pPr>
        <w:ind w:left="632" w:hanging="284"/>
      </w:pPr>
      <w:rPr>
        <w:rFonts w:hint="default"/>
        <w:lang w:val="en-US" w:eastAsia="en-US" w:bidi="ar-SA"/>
      </w:rPr>
    </w:lvl>
    <w:lvl w:ilvl="2" w:tplc="22209298">
      <w:numFmt w:val="bullet"/>
      <w:lvlText w:val="•"/>
      <w:lvlJc w:val="left"/>
      <w:pPr>
        <w:ind w:left="885" w:hanging="284"/>
      </w:pPr>
      <w:rPr>
        <w:rFonts w:hint="default"/>
        <w:lang w:val="en-US" w:eastAsia="en-US" w:bidi="ar-SA"/>
      </w:rPr>
    </w:lvl>
    <w:lvl w:ilvl="3" w:tplc="3FBC8CA2">
      <w:numFmt w:val="bullet"/>
      <w:lvlText w:val="•"/>
      <w:lvlJc w:val="left"/>
      <w:pPr>
        <w:ind w:left="1138" w:hanging="284"/>
      </w:pPr>
      <w:rPr>
        <w:rFonts w:hint="default"/>
        <w:lang w:val="en-US" w:eastAsia="en-US" w:bidi="ar-SA"/>
      </w:rPr>
    </w:lvl>
    <w:lvl w:ilvl="4" w:tplc="C9F68758">
      <w:numFmt w:val="bullet"/>
      <w:lvlText w:val="•"/>
      <w:lvlJc w:val="left"/>
      <w:pPr>
        <w:ind w:left="1390" w:hanging="284"/>
      </w:pPr>
      <w:rPr>
        <w:rFonts w:hint="default"/>
        <w:lang w:val="en-US" w:eastAsia="en-US" w:bidi="ar-SA"/>
      </w:rPr>
    </w:lvl>
    <w:lvl w:ilvl="5" w:tplc="CEC4B29C">
      <w:numFmt w:val="bullet"/>
      <w:lvlText w:val="•"/>
      <w:lvlJc w:val="left"/>
      <w:pPr>
        <w:ind w:left="1643" w:hanging="284"/>
      </w:pPr>
      <w:rPr>
        <w:rFonts w:hint="default"/>
        <w:lang w:val="en-US" w:eastAsia="en-US" w:bidi="ar-SA"/>
      </w:rPr>
    </w:lvl>
    <w:lvl w:ilvl="6" w:tplc="B5867198">
      <w:numFmt w:val="bullet"/>
      <w:lvlText w:val="•"/>
      <w:lvlJc w:val="left"/>
      <w:pPr>
        <w:ind w:left="1896" w:hanging="284"/>
      </w:pPr>
      <w:rPr>
        <w:rFonts w:hint="default"/>
        <w:lang w:val="en-US" w:eastAsia="en-US" w:bidi="ar-SA"/>
      </w:rPr>
    </w:lvl>
    <w:lvl w:ilvl="7" w:tplc="6458ED36">
      <w:numFmt w:val="bullet"/>
      <w:lvlText w:val="•"/>
      <w:lvlJc w:val="left"/>
      <w:pPr>
        <w:ind w:left="2148" w:hanging="284"/>
      </w:pPr>
      <w:rPr>
        <w:rFonts w:hint="default"/>
        <w:lang w:val="en-US" w:eastAsia="en-US" w:bidi="ar-SA"/>
      </w:rPr>
    </w:lvl>
    <w:lvl w:ilvl="8" w:tplc="E89E912C">
      <w:numFmt w:val="bullet"/>
      <w:lvlText w:val="•"/>
      <w:lvlJc w:val="left"/>
      <w:pPr>
        <w:ind w:left="2401" w:hanging="284"/>
      </w:pPr>
      <w:rPr>
        <w:rFonts w:hint="default"/>
        <w:lang w:val="en-US" w:eastAsia="en-US" w:bidi="ar-SA"/>
      </w:rPr>
    </w:lvl>
  </w:abstractNum>
  <w:abstractNum w:abstractNumId="48" w15:restartNumberingAfterBreak="0">
    <w:nsid w:val="0C4D28CC"/>
    <w:multiLevelType w:val="hybridMultilevel"/>
    <w:tmpl w:val="BE405132"/>
    <w:lvl w:ilvl="0" w:tplc="70FC088A">
      <w:numFmt w:val="bullet"/>
      <w:lvlText w:val=""/>
      <w:lvlJc w:val="left"/>
      <w:pPr>
        <w:ind w:left="474" w:hanging="284"/>
      </w:pPr>
      <w:rPr>
        <w:rFonts w:ascii="Symbol" w:eastAsia="Symbol" w:hAnsi="Symbol" w:cs="Symbol" w:hint="default"/>
        <w:b w:val="0"/>
        <w:bCs w:val="0"/>
        <w:i w:val="0"/>
        <w:iCs w:val="0"/>
        <w:color w:val="70004A"/>
        <w:spacing w:val="0"/>
        <w:w w:val="100"/>
        <w:sz w:val="18"/>
        <w:szCs w:val="18"/>
        <w:lang w:val="en-US" w:eastAsia="en-US" w:bidi="ar-SA"/>
      </w:rPr>
    </w:lvl>
    <w:lvl w:ilvl="1" w:tplc="09601B38">
      <w:numFmt w:val="bullet"/>
      <w:lvlText w:val="•"/>
      <w:lvlJc w:val="left"/>
      <w:pPr>
        <w:ind w:left="643" w:hanging="284"/>
      </w:pPr>
      <w:rPr>
        <w:rFonts w:hint="default"/>
        <w:lang w:val="en-US" w:eastAsia="en-US" w:bidi="ar-SA"/>
      </w:rPr>
    </w:lvl>
    <w:lvl w:ilvl="2" w:tplc="A0BCF8AA">
      <w:numFmt w:val="bullet"/>
      <w:lvlText w:val="•"/>
      <w:lvlJc w:val="left"/>
      <w:pPr>
        <w:ind w:left="806" w:hanging="284"/>
      </w:pPr>
      <w:rPr>
        <w:rFonts w:hint="default"/>
        <w:lang w:val="en-US" w:eastAsia="en-US" w:bidi="ar-SA"/>
      </w:rPr>
    </w:lvl>
    <w:lvl w:ilvl="3" w:tplc="5E1A9728">
      <w:numFmt w:val="bullet"/>
      <w:lvlText w:val="•"/>
      <w:lvlJc w:val="left"/>
      <w:pPr>
        <w:ind w:left="969" w:hanging="284"/>
      </w:pPr>
      <w:rPr>
        <w:rFonts w:hint="default"/>
        <w:lang w:val="en-US" w:eastAsia="en-US" w:bidi="ar-SA"/>
      </w:rPr>
    </w:lvl>
    <w:lvl w:ilvl="4" w:tplc="45146930">
      <w:numFmt w:val="bullet"/>
      <w:lvlText w:val="•"/>
      <w:lvlJc w:val="left"/>
      <w:pPr>
        <w:ind w:left="1132" w:hanging="284"/>
      </w:pPr>
      <w:rPr>
        <w:rFonts w:hint="default"/>
        <w:lang w:val="en-US" w:eastAsia="en-US" w:bidi="ar-SA"/>
      </w:rPr>
    </w:lvl>
    <w:lvl w:ilvl="5" w:tplc="ACCCADC4">
      <w:numFmt w:val="bullet"/>
      <w:lvlText w:val="•"/>
      <w:lvlJc w:val="left"/>
      <w:pPr>
        <w:ind w:left="1295" w:hanging="284"/>
      </w:pPr>
      <w:rPr>
        <w:rFonts w:hint="default"/>
        <w:lang w:val="en-US" w:eastAsia="en-US" w:bidi="ar-SA"/>
      </w:rPr>
    </w:lvl>
    <w:lvl w:ilvl="6" w:tplc="DFBCBCBA">
      <w:numFmt w:val="bullet"/>
      <w:lvlText w:val="•"/>
      <w:lvlJc w:val="left"/>
      <w:pPr>
        <w:ind w:left="1458" w:hanging="284"/>
      </w:pPr>
      <w:rPr>
        <w:rFonts w:hint="default"/>
        <w:lang w:val="en-US" w:eastAsia="en-US" w:bidi="ar-SA"/>
      </w:rPr>
    </w:lvl>
    <w:lvl w:ilvl="7" w:tplc="D85E38A6">
      <w:numFmt w:val="bullet"/>
      <w:lvlText w:val="•"/>
      <w:lvlJc w:val="left"/>
      <w:pPr>
        <w:ind w:left="1621" w:hanging="284"/>
      </w:pPr>
      <w:rPr>
        <w:rFonts w:hint="default"/>
        <w:lang w:val="en-US" w:eastAsia="en-US" w:bidi="ar-SA"/>
      </w:rPr>
    </w:lvl>
    <w:lvl w:ilvl="8" w:tplc="CA465434">
      <w:numFmt w:val="bullet"/>
      <w:lvlText w:val="•"/>
      <w:lvlJc w:val="left"/>
      <w:pPr>
        <w:ind w:left="1784" w:hanging="284"/>
      </w:pPr>
      <w:rPr>
        <w:rFonts w:hint="default"/>
        <w:lang w:val="en-US" w:eastAsia="en-US" w:bidi="ar-SA"/>
      </w:rPr>
    </w:lvl>
  </w:abstractNum>
  <w:abstractNum w:abstractNumId="49" w15:restartNumberingAfterBreak="0">
    <w:nsid w:val="0CAB308A"/>
    <w:multiLevelType w:val="multilevel"/>
    <w:tmpl w:val="3F40F6C0"/>
    <w:lvl w:ilvl="0">
      <w:start w:val="1"/>
      <w:numFmt w:val="decimal"/>
      <w:pStyle w:val="Legal1"/>
      <w:lvlText w:val="%1."/>
      <w:lvlJc w:val="left"/>
      <w:pPr>
        <w:ind w:left="1134" w:hanging="1134"/>
      </w:pPr>
      <w:rPr>
        <w:rFonts w:hint="default"/>
      </w:rPr>
    </w:lvl>
    <w:lvl w:ilvl="1">
      <w:start w:val="1"/>
      <w:numFmt w:val="decimal"/>
      <w:pStyle w:val="Legal2"/>
      <w:lvlText w:val="%1.%2."/>
      <w:lvlJc w:val="left"/>
      <w:pPr>
        <w:ind w:left="1134" w:hanging="1134"/>
      </w:pPr>
      <w:rPr>
        <w:rFonts w:hint="default"/>
      </w:rPr>
    </w:lvl>
    <w:lvl w:ilvl="2">
      <w:start w:val="1"/>
      <w:numFmt w:val="decimal"/>
      <w:pStyle w:val="Legal3"/>
      <w:lvlText w:val="%1.%2.%3."/>
      <w:lvlJc w:val="left"/>
      <w:pPr>
        <w:ind w:left="1134" w:hanging="1134"/>
      </w:pPr>
      <w:rPr>
        <w:rFonts w:hint="default"/>
      </w:rPr>
    </w:lvl>
    <w:lvl w:ilvl="3">
      <w:start w:val="1"/>
      <w:numFmt w:val="decimal"/>
      <w:pStyle w:val="Legal4"/>
      <w:lvlText w:val="%1.%2.%3.%4."/>
      <w:lvlJc w:val="left"/>
      <w:pPr>
        <w:ind w:left="1134" w:hanging="1134"/>
      </w:pPr>
      <w:rPr>
        <w:rFonts w:hint="default"/>
      </w:rPr>
    </w:lvl>
    <w:lvl w:ilvl="4">
      <w:start w:val="1"/>
      <w:numFmt w:val="decimal"/>
      <w:pStyle w:val="Legal5"/>
      <w:lvlText w:val="%1.%2.%3.%4.%5."/>
      <w:lvlJc w:val="left"/>
      <w:pPr>
        <w:ind w:left="1134" w:hanging="1134"/>
      </w:pPr>
      <w:rPr>
        <w:rFonts w:hint="default"/>
      </w:rPr>
    </w:lvl>
    <w:lvl w:ilvl="5">
      <w:start w:val="1"/>
      <w:numFmt w:val="decimal"/>
      <w:lvlRestart w:val="1"/>
      <w:pStyle w:val="LegalBodyText1"/>
      <w:lvlText w:val="%1.%6"/>
      <w:lvlJc w:val="left"/>
      <w:pPr>
        <w:tabs>
          <w:tab w:val="num" w:pos="2268"/>
        </w:tabs>
        <w:ind w:left="2268" w:hanging="1134"/>
      </w:pPr>
      <w:rPr>
        <w:rFonts w:hint="default"/>
      </w:rPr>
    </w:lvl>
    <w:lvl w:ilvl="6">
      <w:start w:val="1"/>
      <w:numFmt w:val="decimal"/>
      <w:lvlRestart w:val="2"/>
      <w:pStyle w:val="LegalBodyText2"/>
      <w:lvlText w:val="%1.%2.%7"/>
      <w:lvlJc w:val="left"/>
      <w:pPr>
        <w:tabs>
          <w:tab w:val="num" w:pos="2268"/>
        </w:tabs>
        <w:ind w:left="2268" w:hanging="1134"/>
      </w:pPr>
      <w:rPr>
        <w:rFonts w:hint="default"/>
      </w:rPr>
    </w:lvl>
    <w:lvl w:ilvl="7">
      <w:start w:val="1"/>
      <w:numFmt w:val="decimal"/>
      <w:lvlRestart w:val="3"/>
      <w:pStyle w:val="LegalBodyText3"/>
      <w:lvlText w:val="%1.%2.%3.%8"/>
      <w:lvlJc w:val="left"/>
      <w:pPr>
        <w:tabs>
          <w:tab w:val="num" w:pos="2268"/>
        </w:tabs>
        <w:ind w:left="2268" w:hanging="1134"/>
      </w:pPr>
      <w:rPr>
        <w:rFonts w:hint="default"/>
      </w:rPr>
    </w:lvl>
    <w:lvl w:ilvl="8">
      <w:start w:val="1"/>
      <w:numFmt w:val="none"/>
      <w:lvlText w:val=""/>
      <w:lvlJc w:val="left"/>
      <w:pPr>
        <w:ind w:left="1134" w:hanging="1134"/>
      </w:pPr>
      <w:rPr>
        <w:rFonts w:hint="default"/>
      </w:rPr>
    </w:lvl>
  </w:abstractNum>
  <w:abstractNum w:abstractNumId="50" w15:restartNumberingAfterBreak="0">
    <w:nsid w:val="0CB24773"/>
    <w:multiLevelType w:val="hybridMultilevel"/>
    <w:tmpl w:val="84CABB9E"/>
    <w:lvl w:ilvl="0" w:tplc="2AE4E04E">
      <w:numFmt w:val="bullet"/>
      <w:lvlText w:val=""/>
      <w:lvlJc w:val="left"/>
      <w:pPr>
        <w:ind w:left="463" w:hanging="284"/>
      </w:pPr>
      <w:rPr>
        <w:rFonts w:ascii="Symbol" w:eastAsia="Symbol" w:hAnsi="Symbol" w:cs="Symbol" w:hint="default"/>
        <w:b w:val="0"/>
        <w:bCs w:val="0"/>
        <w:i w:val="0"/>
        <w:iCs w:val="0"/>
        <w:color w:val="70004A"/>
        <w:spacing w:val="0"/>
        <w:w w:val="100"/>
        <w:sz w:val="18"/>
        <w:szCs w:val="18"/>
        <w:lang w:val="en-US" w:eastAsia="en-US" w:bidi="ar-SA"/>
      </w:rPr>
    </w:lvl>
    <w:lvl w:ilvl="1" w:tplc="8F042720">
      <w:numFmt w:val="bullet"/>
      <w:lvlText w:val="•"/>
      <w:lvlJc w:val="left"/>
      <w:pPr>
        <w:ind w:left="680" w:hanging="284"/>
      </w:pPr>
      <w:rPr>
        <w:rFonts w:hint="default"/>
        <w:lang w:val="en-US" w:eastAsia="en-US" w:bidi="ar-SA"/>
      </w:rPr>
    </w:lvl>
    <w:lvl w:ilvl="2" w:tplc="3E4A1E2A">
      <w:numFmt w:val="bullet"/>
      <w:lvlText w:val="•"/>
      <w:lvlJc w:val="left"/>
      <w:pPr>
        <w:ind w:left="901" w:hanging="284"/>
      </w:pPr>
      <w:rPr>
        <w:rFonts w:hint="default"/>
        <w:lang w:val="en-US" w:eastAsia="en-US" w:bidi="ar-SA"/>
      </w:rPr>
    </w:lvl>
    <w:lvl w:ilvl="3" w:tplc="B4C688A6">
      <w:numFmt w:val="bullet"/>
      <w:lvlText w:val="•"/>
      <w:lvlJc w:val="left"/>
      <w:pPr>
        <w:ind w:left="1122" w:hanging="284"/>
      </w:pPr>
      <w:rPr>
        <w:rFonts w:hint="default"/>
        <w:lang w:val="en-US" w:eastAsia="en-US" w:bidi="ar-SA"/>
      </w:rPr>
    </w:lvl>
    <w:lvl w:ilvl="4" w:tplc="D2EAE94E">
      <w:numFmt w:val="bullet"/>
      <w:lvlText w:val="•"/>
      <w:lvlJc w:val="left"/>
      <w:pPr>
        <w:ind w:left="1343" w:hanging="284"/>
      </w:pPr>
      <w:rPr>
        <w:rFonts w:hint="default"/>
        <w:lang w:val="en-US" w:eastAsia="en-US" w:bidi="ar-SA"/>
      </w:rPr>
    </w:lvl>
    <w:lvl w:ilvl="5" w:tplc="E49CE52E">
      <w:numFmt w:val="bullet"/>
      <w:lvlText w:val="•"/>
      <w:lvlJc w:val="left"/>
      <w:pPr>
        <w:ind w:left="1564" w:hanging="284"/>
      </w:pPr>
      <w:rPr>
        <w:rFonts w:hint="default"/>
        <w:lang w:val="en-US" w:eastAsia="en-US" w:bidi="ar-SA"/>
      </w:rPr>
    </w:lvl>
    <w:lvl w:ilvl="6" w:tplc="D00AA52A">
      <w:numFmt w:val="bullet"/>
      <w:lvlText w:val="•"/>
      <w:lvlJc w:val="left"/>
      <w:pPr>
        <w:ind w:left="1785" w:hanging="284"/>
      </w:pPr>
      <w:rPr>
        <w:rFonts w:hint="default"/>
        <w:lang w:val="en-US" w:eastAsia="en-US" w:bidi="ar-SA"/>
      </w:rPr>
    </w:lvl>
    <w:lvl w:ilvl="7" w:tplc="BEBCD0E0">
      <w:numFmt w:val="bullet"/>
      <w:lvlText w:val="•"/>
      <w:lvlJc w:val="left"/>
      <w:pPr>
        <w:ind w:left="2006" w:hanging="284"/>
      </w:pPr>
      <w:rPr>
        <w:rFonts w:hint="default"/>
        <w:lang w:val="en-US" w:eastAsia="en-US" w:bidi="ar-SA"/>
      </w:rPr>
    </w:lvl>
    <w:lvl w:ilvl="8" w:tplc="A8961C8A">
      <w:numFmt w:val="bullet"/>
      <w:lvlText w:val="•"/>
      <w:lvlJc w:val="left"/>
      <w:pPr>
        <w:ind w:left="2227" w:hanging="284"/>
      </w:pPr>
      <w:rPr>
        <w:rFonts w:hint="default"/>
        <w:lang w:val="en-US" w:eastAsia="en-US" w:bidi="ar-SA"/>
      </w:rPr>
    </w:lvl>
  </w:abstractNum>
  <w:abstractNum w:abstractNumId="51" w15:restartNumberingAfterBreak="0">
    <w:nsid w:val="0D8F5E09"/>
    <w:multiLevelType w:val="hybridMultilevel"/>
    <w:tmpl w:val="AE14C48E"/>
    <w:lvl w:ilvl="0" w:tplc="62C6D7C6">
      <w:start w:val="1"/>
      <w:numFmt w:val="decimal"/>
      <w:lvlText w:val="%1."/>
      <w:lvlJc w:val="left"/>
      <w:pPr>
        <w:ind w:left="578" w:hanging="425"/>
      </w:pPr>
      <w:rPr>
        <w:rFonts w:ascii="Arial" w:eastAsia="Arial" w:hAnsi="Arial" w:cs="Arial" w:hint="default"/>
        <w:b w:val="0"/>
        <w:bCs w:val="0"/>
        <w:i w:val="0"/>
        <w:iCs w:val="0"/>
        <w:color w:val="70004A"/>
        <w:spacing w:val="-1"/>
        <w:w w:val="100"/>
        <w:sz w:val="14"/>
        <w:szCs w:val="14"/>
        <w:lang w:val="en-US" w:eastAsia="en-US" w:bidi="ar-SA"/>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0DD25CD2"/>
    <w:multiLevelType w:val="hybridMultilevel"/>
    <w:tmpl w:val="48FA28B6"/>
    <w:lvl w:ilvl="0" w:tplc="3EB64522">
      <w:numFmt w:val="bullet"/>
      <w:lvlText w:val=""/>
      <w:lvlJc w:val="left"/>
      <w:pPr>
        <w:ind w:left="441" w:hanging="284"/>
      </w:pPr>
      <w:rPr>
        <w:rFonts w:ascii="Symbol" w:eastAsia="Symbol" w:hAnsi="Symbol" w:cs="Symbol" w:hint="default"/>
        <w:b w:val="0"/>
        <w:bCs w:val="0"/>
        <w:i w:val="0"/>
        <w:iCs w:val="0"/>
        <w:color w:val="70004A"/>
        <w:spacing w:val="0"/>
        <w:w w:val="100"/>
        <w:sz w:val="18"/>
        <w:szCs w:val="18"/>
        <w:lang w:val="en-US" w:eastAsia="en-US" w:bidi="ar-SA"/>
      </w:rPr>
    </w:lvl>
    <w:lvl w:ilvl="1" w:tplc="8BFE18B0">
      <w:numFmt w:val="bullet"/>
      <w:lvlText w:val="•"/>
      <w:lvlJc w:val="left"/>
      <w:pPr>
        <w:ind w:left="742" w:hanging="284"/>
      </w:pPr>
      <w:rPr>
        <w:rFonts w:hint="default"/>
        <w:lang w:val="en-US" w:eastAsia="en-US" w:bidi="ar-SA"/>
      </w:rPr>
    </w:lvl>
    <w:lvl w:ilvl="2" w:tplc="7B40C5BE">
      <w:numFmt w:val="bullet"/>
      <w:lvlText w:val="•"/>
      <w:lvlJc w:val="left"/>
      <w:pPr>
        <w:ind w:left="1044" w:hanging="284"/>
      </w:pPr>
      <w:rPr>
        <w:rFonts w:hint="default"/>
        <w:lang w:val="en-US" w:eastAsia="en-US" w:bidi="ar-SA"/>
      </w:rPr>
    </w:lvl>
    <w:lvl w:ilvl="3" w:tplc="96941EB4">
      <w:numFmt w:val="bullet"/>
      <w:lvlText w:val="•"/>
      <w:lvlJc w:val="left"/>
      <w:pPr>
        <w:ind w:left="1346" w:hanging="284"/>
      </w:pPr>
      <w:rPr>
        <w:rFonts w:hint="default"/>
        <w:lang w:val="en-US" w:eastAsia="en-US" w:bidi="ar-SA"/>
      </w:rPr>
    </w:lvl>
    <w:lvl w:ilvl="4" w:tplc="45D45E94">
      <w:numFmt w:val="bullet"/>
      <w:lvlText w:val="•"/>
      <w:lvlJc w:val="left"/>
      <w:pPr>
        <w:ind w:left="1648" w:hanging="284"/>
      </w:pPr>
      <w:rPr>
        <w:rFonts w:hint="default"/>
        <w:lang w:val="en-US" w:eastAsia="en-US" w:bidi="ar-SA"/>
      </w:rPr>
    </w:lvl>
    <w:lvl w:ilvl="5" w:tplc="D87A7050">
      <w:numFmt w:val="bullet"/>
      <w:lvlText w:val="•"/>
      <w:lvlJc w:val="left"/>
      <w:pPr>
        <w:ind w:left="1950" w:hanging="284"/>
      </w:pPr>
      <w:rPr>
        <w:rFonts w:hint="default"/>
        <w:lang w:val="en-US" w:eastAsia="en-US" w:bidi="ar-SA"/>
      </w:rPr>
    </w:lvl>
    <w:lvl w:ilvl="6" w:tplc="157CAF6A">
      <w:numFmt w:val="bullet"/>
      <w:lvlText w:val="•"/>
      <w:lvlJc w:val="left"/>
      <w:pPr>
        <w:ind w:left="2252" w:hanging="284"/>
      </w:pPr>
      <w:rPr>
        <w:rFonts w:hint="default"/>
        <w:lang w:val="en-US" w:eastAsia="en-US" w:bidi="ar-SA"/>
      </w:rPr>
    </w:lvl>
    <w:lvl w:ilvl="7" w:tplc="1BE8E772">
      <w:numFmt w:val="bullet"/>
      <w:lvlText w:val="•"/>
      <w:lvlJc w:val="left"/>
      <w:pPr>
        <w:ind w:left="2554" w:hanging="284"/>
      </w:pPr>
      <w:rPr>
        <w:rFonts w:hint="default"/>
        <w:lang w:val="en-US" w:eastAsia="en-US" w:bidi="ar-SA"/>
      </w:rPr>
    </w:lvl>
    <w:lvl w:ilvl="8" w:tplc="BB38CC62">
      <w:numFmt w:val="bullet"/>
      <w:lvlText w:val="•"/>
      <w:lvlJc w:val="left"/>
      <w:pPr>
        <w:ind w:left="2856" w:hanging="284"/>
      </w:pPr>
      <w:rPr>
        <w:rFonts w:hint="default"/>
        <w:lang w:val="en-US" w:eastAsia="en-US" w:bidi="ar-SA"/>
      </w:rPr>
    </w:lvl>
  </w:abstractNum>
  <w:abstractNum w:abstractNumId="53" w15:restartNumberingAfterBreak="0">
    <w:nsid w:val="0DF226D3"/>
    <w:multiLevelType w:val="hybridMultilevel"/>
    <w:tmpl w:val="6B5643CE"/>
    <w:lvl w:ilvl="0" w:tplc="88F6EA68">
      <w:numFmt w:val="bullet"/>
      <w:lvlText w:val=""/>
      <w:lvlJc w:val="left"/>
      <w:pPr>
        <w:ind w:left="390" w:hanging="284"/>
      </w:pPr>
      <w:rPr>
        <w:rFonts w:ascii="Symbol" w:eastAsia="Symbol" w:hAnsi="Symbol" w:cs="Symbol" w:hint="default"/>
        <w:b w:val="0"/>
        <w:bCs w:val="0"/>
        <w:i w:val="0"/>
        <w:iCs w:val="0"/>
        <w:color w:val="70004A"/>
        <w:spacing w:val="0"/>
        <w:w w:val="100"/>
        <w:sz w:val="18"/>
        <w:szCs w:val="18"/>
        <w:lang w:val="en-US" w:eastAsia="en-US" w:bidi="ar-SA"/>
      </w:rPr>
    </w:lvl>
    <w:lvl w:ilvl="1" w:tplc="1E06196A">
      <w:numFmt w:val="bullet"/>
      <w:lvlText w:val="•"/>
      <w:lvlJc w:val="left"/>
      <w:pPr>
        <w:ind w:left="656" w:hanging="284"/>
      </w:pPr>
      <w:rPr>
        <w:rFonts w:hint="default"/>
        <w:lang w:val="en-US" w:eastAsia="en-US" w:bidi="ar-SA"/>
      </w:rPr>
    </w:lvl>
    <w:lvl w:ilvl="2" w:tplc="5A504014">
      <w:numFmt w:val="bullet"/>
      <w:lvlText w:val="•"/>
      <w:lvlJc w:val="left"/>
      <w:pPr>
        <w:ind w:left="912" w:hanging="284"/>
      </w:pPr>
      <w:rPr>
        <w:rFonts w:hint="default"/>
        <w:lang w:val="en-US" w:eastAsia="en-US" w:bidi="ar-SA"/>
      </w:rPr>
    </w:lvl>
    <w:lvl w:ilvl="3" w:tplc="8C30789E">
      <w:numFmt w:val="bullet"/>
      <w:lvlText w:val="•"/>
      <w:lvlJc w:val="left"/>
      <w:pPr>
        <w:ind w:left="1168" w:hanging="284"/>
      </w:pPr>
      <w:rPr>
        <w:rFonts w:hint="default"/>
        <w:lang w:val="en-US" w:eastAsia="en-US" w:bidi="ar-SA"/>
      </w:rPr>
    </w:lvl>
    <w:lvl w:ilvl="4" w:tplc="E7C64140">
      <w:numFmt w:val="bullet"/>
      <w:lvlText w:val="•"/>
      <w:lvlJc w:val="left"/>
      <w:pPr>
        <w:ind w:left="1424" w:hanging="284"/>
      </w:pPr>
      <w:rPr>
        <w:rFonts w:hint="default"/>
        <w:lang w:val="en-US" w:eastAsia="en-US" w:bidi="ar-SA"/>
      </w:rPr>
    </w:lvl>
    <w:lvl w:ilvl="5" w:tplc="A80E95FE">
      <w:numFmt w:val="bullet"/>
      <w:lvlText w:val="•"/>
      <w:lvlJc w:val="left"/>
      <w:pPr>
        <w:ind w:left="1681" w:hanging="284"/>
      </w:pPr>
      <w:rPr>
        <w:rFonts w:hint="default"/>
        <w:lang w:val="en-US" w:eastAsia="en-US" w:bidi="ar-SA"/>
      </w:rPr>
    </w:lvl>
    <w:lvl w:ilvl="6" w:tplc="CA40B49E">
      <w:numFmt w:val="bullet"/>
      <w:lvlText w:val="•"/>
      <w:lvlJc w:val="left"/>
      <w:pPr>
        <w:ind w:left="1937" w:hanging="284"/>
      </w:pPr>
      <w:rPr>
        <w:rFonts w:hint="default"/>
        <w:lang w:val="en-US" w:eastAsia="en-US" w:bidi="ar-SA"/>
      </w:rPr>
    </w:lvl>
    <w:lvl w:ilvl="7" w:tplc="A11E7A66">
      <w:numFmt w:val="bullet"/>
      <w:lvlText w:val="•"/>
      <w:lvlJc w:val="left"/>
      <w:pPr>
        <w:ind w:left="2193" w:hanging="284"/>
      </w:pPr>
      <w:rPr>
        <w:rFonts w:hint="default"/>
        <w:lang w:val="en-US" w:eastAsia="en-US" w:bidi="ar-SA"/>
      </w:rPr>
    </w:lvl>
    <w:lvl w:ilvl="8" w:tplc="FE8E56D2">
      <w:numFmt w:val="bullet"/>
      <w:lvlText w:val="•"/>
      <w:lvlJc w:val="left"/>
      <w:pPr>
        <w:ind w:left="2449" w:hanging="284"/>
      </w:pPr>
      <w:rPr>
        <w:rFonts w:hint="default"/>
        <w:lang w:val="en-US" w:eastAsia="en-US" w:bidi="ar-SA"/>
      </w:rPr>
    </w:lvl>
  </w:abstractNum>
  <w:abstractNum w:abstractNumId="54" w15:restartNumberingAfterBreak="0">
    <w:nsid w:val="0EC70B30"/>
    <w:multiLevelType w:val="hybridMultilevel"/>
    <w:tmpl w:val="D8F85160"/>
    <w:lvl w:ilvl="0" w:tplc="6820EF74">
      <w:numFmt w:val="bullet"/>
      <w:lvlText w:val=""/>
      <w:lvlJc w:val="left"/>
      <w:pPr>
        <w:ind w:left="448" w:hanging="284"/>
      </w:pPr>
      <w:rPr>
        <w:rFonts w:ascii="Symbol" w:eastAsia="Symbol" w:hAnsi="Symbol" w:cs="Symbol" w:hint="default"/>
        <w:b w:val="0"/>
        <w:bCs w:val="0"/>
        <w:i w:val="0"/>
        <w:iCs w:val="0"/>
        <w:color w:val="70004A"/>
        <w:spacing w:val="0"/>
        <w:w w:val="100"/>
        <w:sz w:val="18"/>
        <w:szCs w:val="18"/>
        <w:lang w:val="en-US" w:eastAsia="en-US" w:bidi="ar-SA"/>
      </w:rPr>
    </w:lvl>
    <w:lvl w:ilvl="1" w:tplc="E4D428FA">
      <w:numFmt w:val="bullet"/>
      <w:lvlText w:val="•"/>
      <w:lvlJc w:val="left"/>
      <w:pPr>
        <w:ind w:left="703" w:hanging="284"/>
      </w:pPr>
      <w:rPr>
        <w:rFonts w:hint="default"/>
        <w:lang w:val="en-US" w:eastAsia="en-US" w:bidi="ar-SA"/>
      </w:rPr>
    </w:lvl>
    <w:lvl w:ilvl="2" w:tplc="42785E58">
      <w:numFmt w:val="bullet"/>
      <w:lvlText w:val="•"/>
      <w:lvlJc w:val="left"/>
      <w:pPr>
        <w:ind w:left="967" w:hanging="284"/>
      </w:pPr>
      <w:rPr>
        <w:rFonts w:hint="default"/>
        <w:lang w:val="en-US" w:eastAsia="en-US" w:bidi="ar-SA"/>
      </w:rPr>
    </w:lvl>
    <w:lvl w:ilvl="3" w:tplc="CD166650">
      <w:numFmt w:val="bullet"/>
      <w:lvlText w:val="•"/>
      <w:lvlJc w:val="left"/>
      <w:pPr>
        <w:ind w:left="1231" w:hanging="284"/>
      </w:pPr>
      <w:rPr>
        <w:rFonts w:hint="default"/>
        <w:lang w:val="en-US" w:eastAsia="en-US" w:bidi="ar-SA"/>
      </w:rPr>
    </w:lvl>
    <w:lvl w:ilvl="4" w:tplc="650E42FC">
      <w:numFmt w:val="bullet"/>
      <w:lvlText w:val="•"/>
      <w:lvlJc w:val="left"/>
      <w:pPr>
        <w:ind w:left="1495" w:hanging="284"/>
      </w:pPr>
      <w:rPr>
        <w:rFonts w:hint="default"/>
        <w:lang w:val="en-US" w:eastAsia="en-US" w:bidi="ar-SA"/>
      </w:rPr>
    </w:lvl>
    <w:lvl w:ilvl="5" w:tplc="24925B44">
      <w:numFmt w:val="bullet"/>
      <w:lvlText w:val="•"/>
      <w:lvlJc w:val="left"/>
      <w:pPr>
        <w:ind w:left="1759" w:hanging="284"/>
      </w:pPr>
      <w:rPr>
        <w:rFonts w:hint="default"/>
        <w:lang w:val="en-US" w:eastAsia="en-US" w:bidi="ar-SA"/>
      </w:rPr>
    </w:lvl>
    <w:lvl w:ilvl="6" w:tplc="B6D2242A">
      <w:numFmt w:val="bullet"/>
      <w:lvlText w:val="•"/>
      <w:lvlJc w:val="left"/>
      <w:pPr>
        <w:ind w:left="2022" w:hanging="284"/>
      </w:pPr>
      <w:rPr>
        <w:rFonts w:hint="default"/>
        <w:lang w:val="en-US" w:eastAsia="en-US" w:bidi="ar-SA"/>
      </w:rPr>
    </w:lvl>
    <w:lvl w:ilvl="7" w:tplc="A1466358">
      <w:numFmt w:val="bullet"/>
      <w:lvlText w:val="•"/>
      <w:lvlJc w:val="left"/>
      <w:pPr>
        <w:ind w:left="2286" w:hanging="284"/>
      </w:pPr>
      <w:rPr>
        <w:rFonts w:hint="default"/>
        <w:lang w:val="en-US" w:eastAsia="en-US" w:bidi="ar-SA"/>
      </w:rPr>
    </w:lvl>
    <w:lvl w:ilvl="8" w:tplc="C2DCFA72">
      <w:numFmt w:val="bullet"/>
      <w:lvlText w:val="•"/>
      <w:lvlJc w:val="left"/>
      <w:pPr>
        <w:ind w:left="2550" w:hanging="284"/>
      </w:pPr>
      <w:rPr>
        <w:rFonts w:hint="default"/>
        <w:lang w:val="en-US" w:eastAsia="en-US" w:bidi="ar-SA"/>
      </w:rPr>
    </w:lvl>
  </w:abstractNum>
  <w:abstractNum w:abstractNumId="55" w15:restartNumberingAfterBreak="0">
    <w:nsid w:val="0F54432D"/>
    <w:multiLevelType w:val="hybridMultilevel"/>
    <w:tmpl w:val="B68E1AFC"/>
    <w:lvl w:ilvl="0" w:tplc="91E6A81C">
      <w:numFmt w:val="bullet"/>
      <w:lvlText w:val=""/>
      <w:lvlJc w:val="left"/>
      <w:pPr>
        <w:ind w:left="421" w:hanging="284"/>
      </w:pPr>
      <w:rPr>
        <w:rFonts w:ascii="Symbol" w:eastAsia="Symbol" w:hAnsi="Symbol" w:cs="Symbol" w:hint="default"/>
        <w:b w:val="0"/>
        <w:bCs w:val="0"/>
        <w:i w:val="0"/>
        <w:iCs w:val="0"/>
        <w:color w:val="70004A"/>
        <w:spacing w:val="0"/>
        <w:w w:val="100"/>
        <w:sz w:val="18"/>
        <w:szCs w:val="18"/>
        <w:lang w:val="en-US" w:eastAsia="en-US" w:bidi="ar-SA"/>
      </w:rPr>
    </w:lvl>
    <w:lvl w:ilvl="1" w:tplc="C84A6750">
      <w:numFmt w:val="bullet"/>
      <w:lvlText w:val="•"/>
      <w:lvlJc w:val="left"/>
      <w:pPr>
        <w:ind w:left="617" w:hanging="284"/>
      </w:pPr>
      <w:rPr>
        <w:rFonts w:hint="default"/>
        <w:lang w:val="en-US" w:eastAsia="en-US" w:bidi="ar-SA"/>
      </w:rPr>
    </w:lvl>
    <w:lvl w:ilvl="2" w:tplc="C2CE1134">
      <w:numFmt w:val="bullet"/>
      <w:lvlText w:val="•"/>
      <w:lvlJc w:val="left"/>
      <w:pPr>
        <w:ind w:left="814" w:hanging="284"/>
      </w:pPr>
      <w:rPr>
        <w:rFonts w:hint="default"/>
        <w:lang w:val="en-US" w:eastAsia="en-US" w:bidi="ar-SA"/>
      </w:rPr>
    </w:lvl>
    <w:lvl w:ilvl="3" w:tplc="7BD0365A">
      <w:numFmt w:val="bullet"/>
      <w:lvlText w:val="•"/>
      <w:lvlJc w:val="left"/>
      <w:pPr>
        <w:ind w:left="1011" w:hanging="284"/>
      </w:pPr>
      <w:rPr>
        <w:rFonts w:hint="default"/>
        <w:lang w:val="en-US" w:eastAsia="en-US" w:bidi="ar-SA"/>
      </w:rPr>
    </w:lvl>
    <w:lvl w:ilvl="4" w:tplc="A726E6D2">
      <w:numFmt w:val="bullet"/>
      <w:lvlText w:val="•"/>
      <w:lvlJc w:val="left"/>
      <w:pPr>
        <w:ind w:left="1208" w:hanging="284"/>
      </w:pPr>
      <w:rPr>
        <w:rFonts w:hint="default"/>
        <w:lang w:val="en-US" w:eastAsia="en-US" w:bidi="ar-SA"/>
      </w:rPr>
    </w:lvl>
    <w:lvl w:ilvl="5" w:tplc="8CDA1E1E">
      <w:numFmt w:val="bullet"/>
      <w:lvlText w:val="•"/>
      <w:lvlJc w:val="left"/>
      <w:pPr>
        <w:ind w:left="1406" w:hanging="284"/>
      </w:pPr>
      <w:rPr>
        <w:rFonts w:hint="default"/>
        <w:lang w:val="en-US" w:eastAsia="en-US" w:bidi="ar-SA"/>
      </w:rPr>
    </w:lvl>
    <w:lvl w:ilvl="6" w:tplc="E0C0E4B0">
      <w:numFmt w:val="bullet"/>
      <w:lvlText w:val="•"/>
      <w:lvlJc w:val="left"/>
      <w:pPr>
        <w:ind w:left="1603" w:hanging="284"/>
      </w:pPr>
      <w:rPr>
        <w:rFonts w:hint="default"/>
        <w:lang w:val="en-US" w:eastAsia="en-US" w:bidi="ar-SA"/>
      </w:rPr>
    </w:lvl>
    <w:lvl w:ilvl="7" w:tplc="DB12C54E">
      <w:numFmt w:val="bullet"/>
      <w:lvlText w:val="•"/>
      <w:lvlJc w:val="left"/>
      <w:pPr>
        <w:ind w:left="1800" w:hanging="284"/>
      </w:pPr>
      <w:rPr>
        <w:rFonts w:hint="default"/>
        <w:lang w:val="en-US" w:eastAsia="en-US" w:bidi="ar-SA"/>
      </w:rPr>
    </w:lvl>
    <w:lvl w:ilvl="8" w:tplc="E40A13DE">
      <w:numFmt w:val="bullet"/>
      <w:lvlText w:val="•"/>
      <w:lvlJc w:val="left"/>
      <w:pPr>
        <w:ind w:left="1997" w:hanging="284"/>
      </w:pPr>
      <w:rPr>
        <w:rFonts w:hint="default"/>
        <w:lang w:val="en-US" w:eastAsia="en-US" w:bidi="ar-SA"/>
      </w:rPr>
    </w:lvl>
  </w:abstractNum>
  <w:abstractNum w:abstractNumId="56" w15:restartNumberingAfterBreak="0">
    <w:nsid w:val="0FEE43AE"/>
    <w:multiLevelType w:val="hybridMultilevel"/>
    <w:tmpl w:val="3588F72A"/>
    <w:lvl w:ilvl="0" w:tplc="C7E63582">
      <w:numFmt w:val="bullet"/>
      <w:lvlText w:val=""/>
      <w:lvlJc w:val="left"/>
      <w:pPr>
        <w:ind w:left="468" w:hanging="284"/>
      </w:pPr>
      <w:rPr>
        <w:rFonts w:ascii="Symbol" w:eastAsia="Symbol" w:hAnsi="Symbol" w:cs="Symbol" w:hint="default"/>
        <w:b w:val="0"/>
        <w:bCs w:val="0"/>
        <w:i w:val="0"/>
        <w:iCs w:val="0"/>
        <w:color w:val="70004A"/>
        <w:spacing w:val="0"/>
        <w:w w:val="100"/>
        <w:sz w:val="18"/>
        <w:szCs w:val="18"/>
        <w:lang w:val="en-US" w:eastAsia="en-US" w:bidi="ar-SA"/>
      </w:rPr>
    </w:lvl>
    <w:lvl w:ilvl="1" w:tplc="18108C68">
      <w:numFmt w:val="bullet"/>
      <w:lvlText w:val="•"/>
      <w:lvlJc w:val="left"/>
      <w:pPr>
        <w:ind w:left="681" w:hanging="284"/>
      </w:pPr>
      <w:rPr>
        <w:rFonts w:hint="default"/>
        <w:lang w:val="en-US" w:eastAsia="en-US" w:bidi="ar-SA"/>
      </w:rPr>
    </w:lvl>
    <w:lvl w:ilvl="2" w:tplc="00D8B648">
      <w:numFmt w:val="bullet"/>
      <w:lvlText w:val="•"/>
      <w:lvlJc w:val="left"/>
      <w:pPr>
        <w:ind w:left="902" w:hanging="284"/>
      </w:pPr>
      <w:rPr>
        <w:rFonts w:hint="default"/>
        <w:lang w:val="en-US" w:eastAsia="en-US" w:bidi="ar-SA"/>
      </w:rPr>
    </w:lvl>
    <w:lvl w:ilvl="3" w:tplc="7066965A">
      <w:numFmt w:val="bullet"/>
      <w:lvlText w:val="•"/>
      <w:lvlJc w:val="left"/>
      <w:pPr>
        <w:ind w:left="1124" w:hanging="284"/>
      </w:pPr>
      <w:rPr>
        <w:rFonts w:hint="default"/>
        <w:lang w:val="en-US" w:eastAsia="en-US" w:bidi="ar-SA"/>
      </w:rPr>
    </w:lvl>
    <w:lvl w:ilvl="4" w:tplc="84E8353C">
      <w:numFmt w:val="bullet"/>
      <w:lvlText w:val="•"/>
      <w:lvlJc w:val="left"/>
      <w:pPr>
        <w:ind w:left="1345" w:hanging="284"/>
      </w:pPr>
      <w:rPr>
        <w:rFonts w:hint="default"/>
        <w:lang w:val="en-US" w:eastAsia="en-US" w:bidi="ar-SA"/>
      </w:rPr>
    </w:lvl>
    <w:lvl w:ilvl="5" w:tplc="BE08E53A">
      <w:numFmt w:val="bullet"/>
      <w:lvlText w:val="•"/>
      <w:lvlJc w:val="left"/>
      <w:pPr>
        <w:ind w:left="1567" w:hanging="284"/>
      </w:pPr>
      <w:rPr>
        <w:rFonts w:hint="default"/>
        <w:lang w:val="en-US" w:eastAsia="en-US" w:bidi="ar-SA"/>
      </w:rPr>
    </w:lvl>
    <w:lvl w:ilvl="6" w:tplc="979CDA18">
      <w:numFmt w:val="bullet"/>
      <w:lvlText w:val="•"/>
      <w:lvlJc w:val="left"/>
      <w:pPr>
        <w:ind w:left="1788" w:hanging="284"/>
      </w:pPr>
      <w:rPr>
        <w:rFonts w:hint="default"/>
        <w:lang w:val="en-US" w:eastAsia="en-US" w:bidi="ar-SA"/>
      </w:rPr>
    </w:lvl>
    <w:lvl w:ilvl="7" w:tplc="66E85CD6">
      <w:numFmt w:val="bullet"/>
      <w:lvlText w:val="•"/>
      <w:lvlJc w:val="left"/>
      <w:pPr>
        <w:ind w:left="2009" w:hanging="284"/>
      </w:pPr>
      <w:rPr>
        <w:rFonts w:hint="default"/>
        <w:lang w:val="en-US" w:eastAsia="en-US" w:bidi="ar-SA"/>
      </w:rPr>
    </w:lvl>
    <w:lvl w:ilvl="8" w:tplc="EDF802F8">
      <w:numFmt w:val="bullet"/>
      <w:lvlText w:val="•"/>
      <w:lvlJc w:val="left"/>
      <w:pPr>
        <w:ind w:left="2231" w:hanging="284"/>
      </w:pPr>
      <w:rPr>
        <w:rFonts w:hint="default"/>
        <w:lang w:val="en-US" w:eastAsia="en-US" w:bidi="ar-SA"/>
      </w:rPr>
    </w:lvl>
  </w:abstractNum>
  <w:abstractNum w:abstractNumId="57" w15:restartNumberingAfterBreak="0">
    <w:nsid w:val="0FFC7BB8"/>
    <w:multiLevelType w:val="hybridMultilevel"/>
    <w:tmpl w:val="4FC00B70"/>
    <w:lvl w:ilvl="0" w:tplc="28000298">
      <w:numFmt w:val="bullet"/>
      <w:lvlText w:val=""/>
      <w:lvlJc w:val="left"/>
      <w:pPr>
        <w:ind w:left="426" w:hanging="284"/>
      </w:pPr>
      <w:rPr>
        <w:rFonts w:ascii="Symbol" w:eastAsia="Symbol" w:hAnsi="Symbol" w:cs="Symbol" w:hint="default"/>
        <w:b w:val="0"/>
        <w:bCs w:val="0"/>
        <w:i w:val="0"/>
        <w:iCs w:val="0"/>
        <w:color w:val="70004A"/>
        <w:spacing w:val="0"/>
        <w:w w:val="100"/>
        <w:sz w:val="18"/>
        <w:szCs w:val="18"/>
        <w:lang w:val="en-US" w:eastAsia="en-US" w:bidi="ar-SA"/>
      </w:rPr>
    </w:lvl>
    <w:lvl w:ilvl="1" w:tplc="C2641124">
      <w:numFmt w:val="bullet"/>
      <w:lvlText w:val="•"/>
      <w:lvlJc w:val="left"/>
      <w:pPr>
        <w:ind w:left="592" w:hanging="284"/>
      </w:pPr>
      <w:rPr>
        <w:rFonts w:hint="default"/>
        <w:lang w:val="en-US" w:eastAsia="en-US" w:bidi="ar-SA"/>
      </w:rPr>
    </w:lvl>
    <w:lvl w:ilvl="2" w:tplc="13E479B4">
      <w:numFmt w:val="bullet"/>
      <w:lvlText w:val="•"/>
      <w:lvlJc w:val="left"/>
      <w:pPr>
        <w:ind w:left="765" w:hanging="284"/>
      </w:pPr>
      <w:rPr>
        <w:rFonts w:hint="default"/>
        <w:lang w:val="en-US" w:eastAsia="en-US" w:bidi="ar-SA"/>
      </w:rPr>
    </w:lvl>
    <w:lvl w:ilvl="3" w:tplc="676E3CF8">
      <w:numFmt w:val="bullet"/>
      <w:lvlText w:val="•"/>
      <w:lvlJc w:val="left"/>
      <w:pPr>
        <w:ind w:left="938" w:hanging="284"/>
      </w:pPr>
      <w:rPr>
        <w:rFonts w:hint="default"/>
        <w:lang w:val="en-US" w:eastAsia="en-US" w:bidi="ar-SA"/>
      </w:rPr>
    </w:lvl>
    <w:lvl w:ilvl="4" w:tplc="44886FFC">
      <w:numFmt w:val="bullet"/>
      <w:lvlText w:val="•"/>
      <w:lvlJc w:val="left"/>
      <w:pPr>
        <w:ind w:left="1110" w:hanging="284"/>
      </w:pPr>
      <w:rPr>
        <w:rFonts w:hint="default"/>
        <w:lang w:val="en-US" w:eastAsia="en-US" w:bidi="ar-SA"/>
      </w:rPr>
    </w:lvl>
    <w:lvl w:ilvl="5" w:tplc="8B50E47C">
      <w:numFmt w:val="bullet"/>
      <w:lvlText w:val="•"/>
      <w:lvlJc w:val="left"/>
      <w:pPr>
        <w:ind w:left="1283" w:hanging="284"/>
      </w:pPr>
      <w:rPr>
        <w:rFonts w:hint="default"/>
        <w:lang w:val="en-US" w:eastAsia="en-US" w:bidi="ar-SA"/>
      </w:rPr>
    </w:lvl>
    <w:lvl w:ilvl="6" w:tplc="13F04BE4">
      <w:numFmt w:val="bullet"/>
      <w:lvlText w:val="•"/>
      <w:lvlJc w:val="left"/>
      <w:pPr>
        <w:ind w:left="1456" w:hanging="284"/>
      </w:pPr>
      <w:rPr>
        <w:rFonts w:hint="default"/>
        <w:lang w:val="en-US" w:eastAsia="en-US" w:bidi="ar-SA"/>
      </w:rPr>
    </w:lvl>
    <w:lvl w:ilvl="7" w:tplc="C316C582">
      <w:numFmt w:val="bullet"/>
      <w:lvlText w:val="•"/>
      <w:lvlJc w:val="left"/>
      <w:pPr>
        <w:ind w:left="1628" w:hanging="284"/>
      </w:pPr>
      <w:rPr>
        <w:rFonts w:hint="default"/>
        <w:lang w:val="en-US" w:eastAsia="en-US" w:bidi="ar-SA"/>
      </w:rPr>
    </w:lvl>
    <w:lvl w:ilvl="8" w:tplc="A798F106">
      <w:numFmt w:val="bullet"/>
      <w:lvlText w:val="•"/>
      <w:lvlJc w:val="left"/>
      <w:pPr>
        <w:ind w:left="1801" w:hanging="284"/>
      </w:pPr>
      <w:rPr>
        <w:rFonts w:hint="default"/>
        <w:lang w:val="en-US" w:eastAsia="en-US" w:bidi="ar-SA"/>
      </w:rPr>
    </w:lvl>
  </w:abstractNum>
  <w:abstractNum w:abstractNumId="58" w15:restartNumberingAfterBreak="0">
    <w:nsid w:val="102D4988"/>
    <w:multiLevelType w:val="hybridMultilevel"/>
    <w:tmpl w:val="6500501C"/>
    <w:lvl w:ilvl="0" w:tplc="C5528600">
      <w:numFmt w:val="bullet"/>
      <w:lvlText w:val=""/>
      <w:lvlJc w:val="left"/>
      <w:pPr>
        <w:ind w:left="426" w:hanging="284"/>
      </w:pPr>
      <w:rPr>
        <w:rFonts w:ascii="Symbol" w:eastAsia="Symbol" w:hAnsi="Symbol" w:cs="Symbol" w:hint="default"/>
        <w:b w:val="0"/>
        <w:bCs w:val="0"/>
        <w:i w:val="0"/>
        <w:iCs w:val="0"/>
        <w:color w:val="70004A"/>
        <w:spacing w:val="0"/>
        <w:w w:val="100"/>
        <w:sz w:val="18"/>
        <w:szCs w:val="18"/>
        <w:lang w:val="en-US" w:eastAsia="en-US" w:bidi="ar-SA"/>
      </w:rPr>
    </w:lvl>
    <w:lvl w:ilvl="1" w:tplc="112E68B8">
      <w:numFmt w:val="bullet"/>
      <w:lvlText w:val="•"/>
      <w:lvlJc w:val="left"/>
      <w:pPr>
        <w:ind w:left="617" w:hanging="284"/>
      </w:pPr>
      <w:rPr>
        <w:rFonts w:hint="default"/>
        <w:lang w:val="en-US" w:eastAsia="en-US" w:bidi="ar-SA"/>
      </w:rPr>
    </w:lvl>
    <w:lvl w:ilvl="2" w:tplc="DE0287B8">
      <w:numFmt w:val="bullet"/>
      <w:lvlText w:val="•"/>
      <w:lvlJc w:val="left"/>
      <w:pPr>
        <w:ind w:left="815" w:hanging="284"/>
      </w:pPr>
      <w:rPr>
        <w:rFonts w:hint="default"/>
        <w:lang w:val="en-US" w:eastAsia="en-US" w:bidi="ar-SA"/>
      </w:rPr>
    </w:lvl>
    <w:lvl w:ilvl="3" w:tplc="2B0CD846">
      <w:numFmt w:val="bullet"/>
      <w:lvlText w:val="•"/>
      <w:lvlJc w:val="left"/>
      <w:pPr>
        <w:ind w:left="1012" w:hanging="284"/>
      </w:pPr>
      <w:rPr>
        <w:rFonts w:hint="default"/>
        <w:lang w:val="en-US" w:eastAsia="en-US" w:bidi="ar-SA"/>
      </w:rPr>
    </w:lvl>
    <w:lvl w:ilvl="4" w:tplc="B264326C">
      <w:numFmt w:val="bullet"/>
      <w:lvlText w:val="•"/>
      <w:lvlJc w:val="left"/>
      <w:pPr>
        <w:ind w:left="1210" w:hanging="284"/>
      </w:pPr>
      <w:rPr>
        <w:rFonts w:hint="default"/>
        <w:lang w:val="en-US" w:eastAsia="en-US" w:bidi="ar-SA"/>
      </w:rPr>
    </w:lvl>
    <w:lvl w:ilvl="5" w:tplc="CC846366">
      <w:numFmt w:val="bullet"/>
      <w:lvlText w:val="•"/>
      <w:lvlJc w:val="left"/>
      <w:pPr>
        <w:ind w:left="1408" w:hanging="284"/>
      </w:pPr>
      <w:rPr>
        <w:rFonts w:hint="default"/>
        <w:lang w:val="en-US" w:eastAsia="en-US" w:bidi="ar-SA"/>
      </w:rPr>
    </w:lvl>
    <w:lvl w:ilvl="6" w:tplc="C8202660">
      <w:numFmt w:val="bullet"/>
      <w:lvlText w:val="•"/>
      <w:lvlJc w:val="left"/>
      <w:pPr>
        <w:ind w:left="1605" w:hanging="284"/>
      </w:pPr>
      <w:rPr>
        <w:rFonts w:hint="default"/>
        <w:lang w:val="en-US" w:eastAsia="en-US" w:bidi="ar-SA"/>
      </w:rPr>
    </w:lvl>
    <w:lvl w:ilvl="7" w:tplc="A3A6ACBC">
      <w:numFmt w:val="bullet"/>
      <w:lvlText w:val="•"/>
      <w:lvlJc w:val="left"/>
      <w:pPr>
        <w:ind w:left="1803" w:hanging="284"/>
      </w:pPr>
      <w:rPr>
        <w:rFonts w:hint="default"/>
        <w:lang w:val="en-US" w:eastAsia="en-US" w:bidi="ar-SA"/>
      </w:rPr>
    </w:lvl>
    <w:lvl w:ilvl="8" w:tplc="3F58894A">
      <w:numFmt w:val="bullet"/>
      <w:lvlText w:val="•"/>
      <w:lvlJc w:val="left"/>
      <w:pPr>
        <w:ind w:left="2000" w:hanging="284"/>
      </w:pPr>
      <w:rPr>
        <w:rFonts w:hint="default"/>
        <w:lang w:val="en-US" w:eastAsia="en-US" w:bidi="ar-SA"/>
      </w:rPr>
    </w:lvl>
  </w:abstractNum>
  <w:abstractNum w:abstractNumId="59" w15:restartNumberingAfterBreak="0">
    <w:nsid w:val="10693DF3"/>
    <w:multiLevelType w:val="hybridMultilevel"/>
    <w:tmpl w:val="97122D34"/>
    <w:lvl w:ilvl="0" w:tplc="87BA553E">
      <w:numFmt w:val="bullet"/>
      <w:lvlText w:val=""/>
      <w:lvlJc w:val="left"/>
      <w:pPr>
        <w:ind w:left="428" w:hanging="284"/>
      </w:pPr>
      <w:rPr>
        <w:rFonts w:ascii="Symbol" w:eastAsia="Symbol" w:hAnsi="Symbol" w:cs="Symbol" w:hint="default"/>
        <w:b w:val="0"/>
        <w:bCs w:val="0"/>
        <w:i w:val="0"/>
        <w:iCs w:val="0"/>
        <w:color w:val="70004A"/>
        <w:spacing w:val="0"/>
        <w:w w:val="100"/>
        <w:sz w:val="18"/>
        <w:szCs w:val="18"/>
        <w:lang w:val="en-US" w:eastAsia="en-US" w:bidi="ar-SA"/>
      </w:rPr>
    </w:lvl>
    <w:lvl w:ilvl="1" w:tplc="A1305494">
      <w:numFmt w:val="bullet"/>
      <w:lvlText w:val="•"/>
      <w:lvlJc w:val="left"/>
      <w:pPr>
        <w:ind w:left="592" w:hanging="284"/>
      </w:pPr>
      <w:rPr>
        <w:rFonts w:hint="default"/>
        <w:lang w:val="en-US" w:eastAsia="en-US" w:bidi="ar-SA"/>
      </w:rPr>
    </w:lvl>
    <w:lvl w:ilvl="2" w:tplc="0FBAAC84">
      <w:numFmt w:val="bullet"/>
      <w:lvlText w:val="•"/>
      <w:lvlJc w:val="left"/>
      <w:pPr>
        <w:ind w:left="765" w:hanging="284"/>
      </w:pPr>
      <w:rPr>
        <w:rFonts w:hint="default"/>
        <w:lang w:val="en-US" w:eastAsia="en-US" w:bidi="ar-SA"/>
      </w:rPr>
    </w:lvl>
    <w:lvl w:ilvl="3" w:tplc="F8E2BD70">
      <w:numFmt w:val="bullet"/>
      <w:lvlText w:val="•"/>
      <w:lvlJc w:val="left"/>
      <w:pPr>
        <w:ind w:left="938" w:hanging="284"/>
      </w:pPr>
      <w:rPr>
        <w:rFonts w:hint="default"/>
        <w:lang w:val="en-US" w:eastAsia="en-US" w:bidi="ar-SA"/>
      </w:rPr>
    </w:lvl>
    <w:lvl w:ilvl="4" w:tplc="00FE4E50">
      <w:numFmt w:val="bullet"/>
      <w:lvlText w:val="•"/>
      <w:lvlJc w:val="left"/>
      <w:pPr>
        <w:ind w:left="1111" w:hanging="284"/>
      </w:pPr>
      <w:rPr>
        <w:rFonts w:hint="default"/>
        <w:lang w:val="en-US" w:eastAsia="en-US" w:bidi="ar-SA"/>
      </w:rPr>
    </w:lvl>
    <w:lvl w:ilvl="5" w:tplc="EA904DB8">
      <w:numFmt w:val="bullet"/>
      <w:lvlText w:val="•"/>
      <w:lvlJc w:val="left"/>
      <w:pPr>
        <w:ind w:left="1284" w:hanging="284"/>
      </w:pPr>
      <w:rPr>
        <w:rFonts w:hint="default"/>
        <w:lang w:val="en-US" w:eastAsia="en-US" w:bidi="ar-SA"/>
      </w:rPr>
    </w:lvl>
    <w:lvl w:ilvl="6" w:tplc="FCA8516C">
      <w:numFmt w:val="bullet"/>
      <w:lvlText w:val="•"/>
      <w:lvlJc w:val="left"/>
      <w:pPr>
        <w:ind w:left="1456" w:hanging="284"/>
      </w:pPr>
      <w:rPr>
        <w:rFonts w:hint="default"/>
        <w:lang w:val="en-US" w:eastAsia="en-US" w:bidi="ar-SA"/>
      </w:rPr>
    </w:lvl>
    <w:lvl w:ilvl="7" w:tplc="0F7A0D74">
      <w:numFmt w:val="bullet"/>
      <w:lvlText w:val="•"/>
      <w:lvlJc w:val="left"/>
      <w:pPr>
        <w:ind w:left="1629" w:hanging="284"/>
      </w:pPr>
      <w:rPr>
        <w:rFonts w:hint="default"/>
        <w:lang w:val="en-US" w:eastAsia="en-US" w:bidi="ar-SA"/>
      </w:rPr>
    </w:lvl>
    <w:lvl w:ilvl="8" w:tplc="6B8C4B68">
      <w:numFmt w:val="bullet"/>
      <w:lvlText w:val="•"/>
      <w:lvlJc w:val="left"/>
      <w:pPr>
        <w:ind w:left="1802" w:hanging="284"/>
      </w:pPr>
      <w:rPr>
        <w:rFonts w:hint="default"/>
        <w:lang w:val="en-US" w:eastAsia="en-US" w:bidi="ar-SA"/>
      </w:rPr>
    </w:lvl>
  </w:abstractNum>
  <w:abstractNum w:abstractNumId="60" w15:restartNumberingAfterBreak="0">
    <w:nsid w:val="108E40A4"/>
    <w:multiLevelType w:val="hybridMultilevel"/>
    <w:tmpl w:val="37CE66D4"/>
    <w:lvl w:ilvl="0" w:tplc="68D071CA">
      <w:numFmt w:val="bullet"/>
      <w:lvlText w:val=""/>
      <w:lvlJc w:val="left"/>
      <w:pPr>
        <w:ind w:left="490" w:hanging="284"/>
      </w:pPr>
      <w:rPr>
        <w:rFonts w:ascii="Symbol" w:eastAsia="Symbol" w:hAnsi="Symbol" w:cs="Symbol" w:hint="default"/>
        <w:b w:val="0"/>
        <w:bCs w:val="0"/>
        <w:i w:val="0"/>
        <w:iCs w:val="0"/>
        <w:color w:val="70004A"/>
        <w:spacing w:val="0"/>
        <w:w w:val="100"/>
        <w:sz w:val="18"/>
        <w:szCs w:val="18"/>
        <w:lang w:val="en-US" w:eastAsia="en-US" w:bidi="ar-SA"/>
      </w:rPr>
    </w:lvl>
    <w:lvl w:ilvl="1" w:tplc="CD6C4B86">
      <w:numFmt w:val="bullet"/>
      <w:lvlText w:val="•"/>
      <w:lvlJc w:val="left"/>
      <w:pPr>
        <w:ind w:left="766" w:hanging="284"/>
      </w:pPr>
      <w:rPr>
        <w:rFonts w:hint="default"/>
        <w:lang w:val="en-US" w:eastAsia="en-US" w:bidi="ar-SA"/>
      </w:rPr>
    </w:lvl>
    <w:lvl w:ilvl="2" w:tplc="A48C11B0">
      <w:numFmt w:val="bullet"/>
      <w:lvlText w:val="•"/>
      <w:lvlJc w:val="left"/>
      <w:pPr>
        <w:ind w:left="1033" w:hanging="284"/>
      </w:pPr>
      <w:rPr>
        <w:rFonts w:hint="default"/>
        <w:lang w:val="en-US" w:eastAsia="en-US" w:bidi="ar-SA"/>
      </w:rPr>
    </w:lvl>
    <w:lvl w:ilvl="3" w:tplc="FCB6804E">
      <w:numFmt w:val="bullet"/>
      <w:lvlText w:val="•"/>
      <w:lvlJc w:val="left"/>
      <w:pPr>
        <w:ind w:left="1300" w:hanging="284"/>
      </w:pPr>
      <w:rPr>
        <w:rFonts w:hint="default"/>
        <w:lang w:val="en-US" w:eastAsia="en-US" w:bidi="ar-SA"/>
      </w:rPr>
    </w:lvl>
    <w:lvl w:ilvl="4" w:tplc="D8A862E4">
      <w:numFmt w:val="bullet"/>
      <w:lvlText w:val="•"/>
      <w:lvlJc w:val="left"/>
      <w:pPr>
        <w:ind w:left="1567" w:hanging="284"/>
      </w:pPr>
      <w:rPr>
        <w:rFonts w:hint="default"/>
        <w:lang w:val="en-US" w:eastAsia="en-US" w:bidi="ar-SA"/>
      </w:rPr>
    </w:lvl>
    <w:lvl w:ilvl="5" w:tplc="483692D0">
      <w:numFmt w:val="bullet"/>
      <w:lvlText w:val="•"/>
      <w:lvlJc w:val="left"/>
      <w:pPr>
        <w:ind w:left="1834" w:hanging="284"/>
      </w:pPr>
      <w:rPr>
        <w:rFonts w:hint="default"/>
        <w:lang w:val="en-US" w:eastAsia="en-US" w:bidi="ar-SA"/>
      </w:rPr>
    </w:lvl>
    <w:lvl w:ilvl="6" w:tplc="D8083C90">
      <w:numFmt w:val="bullet"/>
      <w:lvlText w:val="•"/>
      <w:lvlJc w:val="left"/>
      <w:pPr>
        <w:ind w:left="2100" w:hanging="284"/>
      </w:pPr>
      <w:rPr>
        <w:rFonts w:hint="default"/>
        <w:lang w:val="en-US" w:eastAsia="en-US" w:bidi="ar-SA"/>
      </w:rPr>
    </w:lvl>
    <w:lvl w:ilvl="7" w:tplc="E4D431AC">
      <w:numFmt w:val="bullet"/>
      <w:lvlText w:val="•"/>
      <w:lvlJc w:val="left"/>
      <w:pPr>
        <w:ind w:left="2367" w:hanging="284"/>
      </w:pPr>
      <w:rPr>
        <w:rFonts w:hint="default"/>
        <w:lang w:val="en-US" w:eastAsia="en-US" w:bidi="ar-SA"/>
      </w:rPr>
    </w:lvl>
    <w:lvl w:ilvl="8" w:tplc="1C80B288">
      <w:numFmt w:val="bullet"/>
      <w:lvlText w:val="•"/>
      <w:lvlJc w:val="left"/>
      <w:pPr>
        <w:ind w:left="2634" w:hanging="284"/>
      </w:pPr>
      <w:rPr>
        <w:rFonts w:hint="default"/>
        <w:lang w:val="en-US" w:eastAsia="en-US" w:bidi="ar-SA"/>
      </w:rPr>
    </w:lvl>
  </w:abstractNum>
  <w:abstractNum w:abstractNumId="61" w15:restartNumberingAfterBreak="0">
    <w:nsid w:val="10972CF3"/>
    <w:multiLevelType w:val="hybridMultilevel"/>
    <w:tmpl w:val="257E9CCE"/>
    <w:lvl w:ilvl="0" w:tplc="F6BC47B0">
      <w:numFmt w:val="bullet"/>
      <w:lvlText w:val=""/>
      <w:lvlJc w:val="left"/>
      <w:pPr>
        <w:ind w:left="430" w:hanging="284"/>
      </w:pPr>
      <w:rPr>
        <w:rFonts w:ascii="Symbol" w:eastAsia="Symbol" w:hAnsi="Symbol" w:cs="Symbol" w:hint="default"/>
        <w:b w:val="0"/>
        <w:bCs w:val="0"/>
        <w:i w:val="0"/>
        <w:iCs w:val="0"/>
        <w:color w:val="70004A"/>
        <w:spacing w:val="0"/>
        <w:w w:val="100"/>
        <w:sz w:val="18"/>
        <w:szCs w:val="18"/>
        <w:lang w:val="en-US" w:eastAsia="en-US" w:bidi="ar-SA"/>
      </w:rPr>
    </w:lvl>
    <w:lvl w:ilvl="1" w:tplc="A372DD50">
      <w:numFmt w:val="bullet"/>
      <w:lvlText w:val="•"/>
      <w:lvlJc w:val="left"/>
      <w:pPr>
        <w:ind w:left="608" w:hanging="284"/>
      </w:pPr>
      <w:rPr>
        <w:rFonts w:hint="default"/>
        <w:lang w:val="en-US" w:eastAsia="en-US" w:bidi="ar-SA"/>
      </w:rPr>
    </w:lvl>
    <w:lvl w:ilvl="2" w:tplc="F7AC4C8E">
      <w:numFmt w:val="bullet"/>
      <w:lvlText w:val="•"/>
      <w:lvlJc w:val="left"/>
      <w:pPr>
        <w:ind w:left="776" w:hanging="284"/>
      </w:pPr>
      <w:rPr>
        <w:rFonts w:hint="default"/>
        <w:lang w:val="en-US" w:eastAsia="en-US" w:bidi="ar-SA"/>
      </w:rPr>
    </w:lvl>
    <w:lvl w:ilvl="3" w:tplc="536022B0">
      <w:numFmt w:val="bullet"/>
      <w:lvlText w:val="•"/>
      <w:lvlJc w:val="left"/>
      <w:pPr>
        <w:ind w:left="944" w:hanging="284"/>
      </w:pPr>
      <w:rPr>
        <w:rFonts w:hint="default"/>
        <w:lang w:val="en-US" w:eastAsia="en-US" w:bidi="ar-SA"/>
      </w:rPr>
    </w:lvl>
    <w:lvl w:ilvl="4" w:tplc="0E2E4C5A">
      <w:numFmt w:val="bullet"/>
      <w:lvlText w:val="•"/>
      <w:lvlJc w:val="left"/>
      <w:pPr>
        <w:ind w:left="1113" w:hanging="284"/>
      </w:pPr>
      <w:rPr>
        <w:rFonts w:hint="default"/>
        <w:lang w:val="en-US" w:eastAsia="en-US" w:bidi="ar-SA"/>
      </w:rPr>
    </w:lvl>
    <w:lvl w:ilvl="5" w:tplc="7D16164A">
      <w:numFmt w:val="bullet"/>
      <w:lvlText w:val="•"/>
      <w:lvlJc w:val="left"/>
      <w:pPr>
        <w:ind w:left="1281" w:hanging="284"/>
      </w:pPr>
      <w:rPr>
        <w:rFonts w:hint="default"/>
        <w:lang w:val="en-US" w:eastAsia="en-US" w:bidi="ar-SA"/>
      </w:rPr>
    </w:lvl>
    <w:lvl w:ilvl="6" w:tplc="6748AA66">
      <w:numFmt w:val="bullet"/>
      <w:lvlText w:val="•"/>
      <w:lvlJc w:val="left"/>
      <w:pPr>
        <w:ind w:left="1449" w:hanging="284"/>
      </w:pPr>
      <w:rPr>
        <w:rFonts w:hint="default"/>
        <w:lang w:val="en-US" w:eastAsia="en-US" w:bidi="ar-SA"/>
      </w:rPr>
    </w:lvl>
    <w:lvl w:ilvl="7" w:tplc="BEC4E1BA">
      <w:numFmt w:val="bullet"/>
      <w:lvlText w:val="•"/>
      <w:lvlJc w:val="left"/>
      <w:pPr>
        <w:ind w:left="1618" w:hanging="284"/>
      </w:pPr>
      <w:rPr>
        <w:rFonts w:hint="default"/>
        <w:lang w:val="en-US" w:eastAsia="en-US" w:bidi="ar-SA"/>
      </w:rPr>
    </w:lvl>
    <w:lvl w:ilvl="8" w:tplc="30B87282">
      <w:numFmt w:val="bullet"/>
      <w:lvlText w:val="•"/>
      <w:lvlJc w:val="left"/>
      <w:pPr>
        <w:ind w:left="1786" w:hanging="284"/>
      </w:pPr>
      <w:rPr>
        <w:rFonts w:hint="default"/>
        <w:lang w:val="en-US" w:eastAsia="en-US" w:bidi="ar-SA"/>
      </w:rPr>
    </w:lvl>
  </w:abstractNum>
  <w:abstractNum w:abstractNumId="62" w15:restartNumberingAfterBreak="0">
    <w:nsid w:val="10B108B4"/>
    <w:multiLevelType w:val="hybridMultilevel"/>
    <w:tmpl w:val="249E3AEE"/>
    <w:lvl w:ilvl="0" w:tplc="33B4097C">
      <w:numFmt w:val="bullet"/>
      <w:lvlText w:val=""/>
      <w:lvlJc w:val="left"/>
      <w:pPr>
        <w:ind w:left="501" w:hanging="360"/>
      </w:pPr>
      <w:rPr>
        <w:rFonts w:ascii="Symbol" w:eastAsia="Symbol" w:hAnsi="Symbol" w:cs="Symbol" w:hint="default"/>
        <w:b w:val="0"/>
        <w:bCs w:val="0"/>
        <w:i w:val="0"/>
        <w:iCs w:val="0"/>
        <w:color w:val="70004A"/>
        <w:spacing w:val="0"/>
        <w:w w:val="100"/>
        <w:sz w:val="20"/>
        <w:szCs w:val="20"/>
        <w:lang w:val="en-US" w:eastAsia="en-US" w:bidi="ar-SA"/>
      </w:rPr>
    </w:lvl>
    <w:lvl w:ilvl="1" w:tplc="5E8A71E2">
      <w:numFmt w:val="bullet"/>
      <w:lvlText w:val="•"/>
      <w:lvlJc w:val="left"/>
      <w:pPr>
        <w:ind w:left="1442" w:hanging="360"/>
      </w:pPr>
      <w:rPr>
        <w:rFonts w:hint="default"/>
        <w:lang w:val="en-US" w:eastAsia="en-US" w:bidi="ar-SA"/>
      </w:rPr>
    </w:lvl>
    <w:lvl w:ilvl="2" w:tplc="6F64B178">
      <w:numFmt w:val="bullet"/>
      <w:lvlText w:val="•"/>
      <w:lvlJc w:val="left"/>
      <w:pPr>
        <w:ind w:left="2384" w:hanging="360"/>
      </w:pPr>
      <w:rPr>
        <w:rFonts w:hint="default"/>
        <w:lang w:val="en-US" w:eastAsia="en-US" w:bidi="ar-SA"/>
      </w:rPr>
    </w:lvl>
    <w:lvl w:ilvl="3" w:tplc="CA54B302">
      <w:numFmt w:val="bullet"/>
      <w:lvlText w:val="•"/>
      <w:lvlJc w:val="left"/>
      <w:pPr>
        <w:ind w:left="3326" w:hanging="360"/>
      </w:pPr>
      <w:rPr>
        <w:rFonts w:hint="default"/>
        <w:lang w:val="en-US" w:eastAsia="en-US" w:bidi="ar-SA"/>
      </w:rPr>
    </w:lvl>
    <w:lvl w:ilvl="4" w:tplc="E1F86344">
      <w:numFmt w:val="bullet"/>
      <w:lvlText w:val="•"/>
      <w:lvlJc w:val="left"/>
      <w:pPr>
        <w:ind w:left="4268" w:hanging="360"/>
      </w:pPr>
      <w:rPr>
        <w:rFonts w:hint="default"/>
        <w:lang w:val="en-US" w:eastAsia="en-US" w:bidi="ar-SA"/>
      </w:rPr>
    </w:lvl>
    <w:lvl w:ilvl="5" w:tplc="A92A43A2">
      <w:numFmt w:val="bullet"/>
      <w:lvlText w:val="•"/>
      <w:lvlJc w:val="left"/>
      <w:pPr>
        <w:ind w:left="5211" w:hanging="360"/>
      </w:pPr>
      <w:rPr>
        <w:rFonts w:hint="default"/>
        <w:lang w:val="en-US" w:eastAsia="en-US" w:bidi="ar-SA"/>
      </w:rPr>
    </w:lvl>
    <w:lvl w:ilvl="6" w:tplc="12629054">
      <w:numFmt w:val="bullet"/>
      <w:lvlText w:val="•"/>
      <w:lvlJc w:val="left"/>
      <w:pPr>
        <w:ind w:left="6153" w:hanging="360"/>
      </w:pPr>
      <w:rPr>
        <w:rFonts w:hint="default"/>
        <w:lang w:val="en-US" w:eastAsia="en-US" w:bidi="ar-SA"/>
      </w:rPr>
    </w:lvl>
    <w:lvl w:ilvl="7" w:tplc="8BE0918C">
      <w:numFmt w:val="bullet"/>
      <w:lvlText w:val="•"/>
      <w:lvlJc w:val="left"/>
      <w:pPr>
        <w:ind w:left="7095" w:hanging="360"/>
      </w:pPr>
      <w:rPr>
        <w:rFonts w:hint="default"/>
        <w:lang w:val="en-US" w:eastAsia="en-US" w:bidi="ar-SA"/>
      </w:rPr>
    </w:lvl>
    <w:lvl w:ilvl="8" w:tplc="1966BF40">
      <w:numFmt w:val="bullet"/>
      <w:lvlText w:val="•"/>
      <w:lvlJc w:val="left"/>
      <w:pPr>
        <w:ind w:left="8037" w:hanging="360"/>
      </w:pPr>
      <w:rPr>
        <w:rFonts w:hint="default"/>
        <w:lang w:val="en-US" w:eastAsia="en-US" w:bidi="ar-SA"/>
      </w:rPr>
    </w:lvl>
  </w:abstractNum>
  <w:abstractNum w:abstractNumId="63" w15:restartNumberingAfterBreak="0">
    <w:nsid w:val="10C63DA4"/>
    <w:multiLevelType w:val="hybridMultilevel"/>
    <w:tmpl w:val="1F682514"/>
    <w:lvl w:ilvl="0" w:tplc="EF4CE332">
      <w:numFmt w:val="bullet"/>
      <w:lvlText w:val=""/>
      <w:lvlJc w:val="left"/>
      <w:pPr>
        <w:ind w:left="437" w:hanging="284"/>
      </w:pPr>
      <w:rPr>
        <w:rFonts w:ascii="Symbol" w:eastAsia="Symbol" w:hAnsi="Symbol" w:cs="Symbol" w:hint="default"/>
        <w:b w:val="0"/>
        <w:bCs w:val="0"/>
        <w:i w:val="0"/>
        <w:iCs w:val="0"/>
        <w:color w:val="70004A"/>
        <w:spacing w:val="0"/>
        <w:w w:val="100"/>
        <w:sz w:val="18"/>
        <w:szCs w:val="18"/>
        <w:lang w:val="en-US" w:eastAsia="en-US" w:bidi="ar-SA"/>
      </w:rPr>
    </w:lvl>
    <w:lvl w:ilvl="1" w:tplc="7A5EFF2A">
      <w:numFmt w:val="bullet"/>
      <w:lvlText w:val="•"/>
      <w:lvlJc w:val="left"/>
      <w:pPr>
        <w:ind w:left="610" w:hanging="284"/>
      </w:pPr>
      <w:rPr>
        <w:rFonts w:hint="default"/>
        <w:lang w:val="en-US" w:eastAsia="en-US" w:bidi="ar-SA"/>
      </w:rPr>
    </w:lvl>
    <w:lvl w:ilvl="2" w:tplc="A91AD922">
      <w:numFmt w:val="bullet"/>
      <w:lvlText w:val="•"/>
      <w:lvlJc w:val="left"/>
      <w:pPr>
        <w:ind w:left="781" w:hanging="284"/>
      </w:pPr>
      <w:rPr>
        <w:rFonts w:hint="default"/>
        <w:lang w:val="en-US" w:eastAsia="en-US" w:bidi="ar-SA"/>
      </w:rPr>
    </w:lvl>
    <w:lvl w:ilvl="3" w:tplc="8BB8A47E">
      <w:numFmt w:val="bullet"/>
      <w:lvlText w:val="•"/>
      <w:lvlJc w:val="left"/>
      <w:pPr>
        <w:ind w:left="952" w:hanging="284"/>
      </w:pPr>
      <w:rPr>
        <w:rFonts w:hint="default"/>
        <w:lang w:val="en-US" w:eastAsia="en-US" w:bidi="ar-SA"/>
      </w:rPr>
    </w:lvl>
    <w:lvl w:ilvl="4" w:tplc="FA5AE162">
      <w:numFmt w:val="bullet"/>
      <w:lvlText w:val="•"/>
      <w:lvlJc w:val="left"/>
      <w:pPr>
        <w:ind w:left="1123" w:hanging="284"/>
      </w:pPr>
      <w:rPr>
        <w:rFonts w:hint="default"/>
        <w:lang w:val="en-US" w:eastAsia="en-US" w:bidi="ar-SA"/>
      </w:rPr>
    </w:lvl>
    <w:lvl w:ilvl="5" w:tplc="F1E0B918">
      <w:numFmt w:val="bullet"/>
      <w:lvlText w:val="•"/>
      <w:lvlJc w:val="left"/>
      <w:pPr>
        <w:ind w:left="1294" w:hanging="284"/>
      </w:pPr>
      <w:rPr>
        <w:rFonts w:hint="default"/>
        <w:lang w:val="en-US" w:eastAsia="en-US" w:bidi="ar-SA"/>
      </w:rPr>
    </w:lvl>
    <w:lvl w:ilvl="6" w:tplc="460A3934">
      <w:numFmt w:val="bullet"/>
      <w:lvlText w:val="•"/>
      <w:lvlJc w:val="left"/>
      <w:pPr>
        <w:ind w:left="1465" w:hanging="284"/>
      </w:pPr>
      <w:rPr>
        <w:rFonts w:hint="default"/>
        <w:lang w:val="en-US" w:eastAsia="en-US" w:bidi="ar-SA"/>
      </w:rPr>
    </w:lvl>
    <w:lvl w:ilvl="7" w:tplc="D0585E64">
      <w:numFmt w:val="bullet"/>
      <w:lvlText w:val="•"/>
      <w:lvlJc w:val="left"/>
      <w:pPr>
        <w:ind w:left="1636" w:hanging="284"/>
      </w:pPr>
      <w:rPr>
        <w:rFonts w:hint="default"/>
        <w:lang w:val="en-US" w:eastAsia="en-US" w:bidi="ar-SA"/>
      </w:rPr>
    </w:lvl>
    <w:lvl w:ilvl="8" w:tplc="A3E870A2">
      <w:numFmt w:val="bullet"/>
      <w:lvlText w:val="•"/>
      <w:lvlJc w:val="left"/>
      <w:pPr>
        <w:ind w:left="1807" w:hanging="284"/>
      </w:pPr>
      <w:rPr>
        <w:rFonts w:hint="default"/>
        <w:lang w:val="en-US" w:eastAsia="en-US" w:bidi="ar-SA"/>
      </w:rPr>
    </w:lvl>
  </w:abstractNum>
  <w:abstractNum w:abstractNumId="64" w15:restartNumberingAfterBreak="0">
    <w:nsid w:val="10E3159A"/>
    <w:multiLevelType w:val="hybridMultilevel"/>
    <w:tmpl w:val="AF6A2368"/>
    <w:lvl w:ilvl="0" w:tplc="908CEBD6">
      <w:numFmt w:val="bullet"/>
      <w:lvlText w:val=""/>
      <w:lvlJc w:val="left"/>
      <w:pPr>
        <w:ind w:left="477" w:hanging="284"/>
      </w:pPr>
      <w:rPr>
        <w:rFonts w:ascii="Symbol" w:eastAsia="Symbol" w:hAnsi="Symbol" w:cs="Symbol" w:hint="default"/>
        <w:b w:val="0"/>
        <w:bCs w:val="0"/>
        <w:i w:val="0"/>
        <w:iCs w:val="0"/>
        <w:color w:val="70004A"/>
        <w:spacing w:val="0"/>
        <w:w w:val="100"/>
        <w:sz w:val="18"/>
        <w:szCs w:val="18"/>
        <w:lang w:val="en-US" w:eastAsia="en-US" w:bidi="ar-SA"/>
      </w:rPr>
    </w:lvl>
    <w:lvl w:ilvl="1" w:tplc="1F1E2186">
      <w:numFmt w:val="bullet"/>
      <w:lvlText w:val="•"/>
      <w:lvlJc w:val="left"/>
      <w:pPr>
        <w:ind w:left="742" w:hanging="284"/>
      </w:pPr>
      <w:rPr>
        <w:rFonts w:hint="default"/>
        <w:lang w:val="en-US" w:eastAsia="en-US" w:bidi="ar-SA"/>
      </w:rPr>
    </w:lvl>
    <w:lvl w:ilvl="2" w:tplc="896EE7E6">
      <w:numFmt w:val="bullet"/>
      <w:lvlText w:val="•"/>
      <w:lvlJc w:val="left"/>
      <w:pPr>
        <w:ind w:left="1005" w:hanging="284"/>
      </w:pPr>
      <w:rPr>
        <w:rFonts w:hint="default"/>
        <w:lang w:val="en-US" w:eastAsia="en-US" w:bidi="ar-SA"/>
      </w:rPr>
    </w:lvl>
    <w:lvl w:ilvl="3" w:tplc="F1B4474A">
      <w:numFmt w:val="bullet"/>
      <w:lvlText w:val="•"/>
      <w:lvlJc w:val="left"/>
      <w:pPr>
        <w:ind w:left="1268" w:hanging="284"/>
      </w:pPr>
      <w:rPr>
        <w:rFonts w:hint="default"/>
        <w:lang w:val="en-US" w:eastAsia="en-US" w:bidi="ar-SA"/>
      </w:rPr>
    </w:lvl>
    <w:lvl w:ilvl="4" w:tplc="6278EABE">
      <w:numFmt w:val="bullet"/>
      <w:lvlText w:val="•"/>
      <w:lvlJc w:val="left"/>
      <w:pPr>
        <w:ind w:left="1530" w:hanging="284"/>
      </w:pPr>
      <w:rPr>
        <w:rFonts w:hint="default"/>
        <w:lang w:val="en-US" w:eastAsia="en-US" w:bidi="ar-SA"/>
      </w:rPr>
    </w:lvl>
    <w:lvl w:ilvl="5" w:tplc="12F0FECA">
      <w:numFmt w:val="bullet"/>
      <w:lvlText w:val="•"/>
      <w:lvlJc w:val="left"/>
      <w:pPr>
        <w:ind w:left="1793" w:hanging="284"/>
      </w:pPr>
      <w:rPr>
        <w:rFonts w:hint="default"/>
        <w:lang w:val="en-US" w:eastAsia="en-US" w:bidi="ar-SA"/>
      </w:rPr>
    </w:lvl>
    <w:lvl w:ilvl="6" w:tplc="24B45C2C">
      <w:numFmt w:val="bullet"/>
      <w:lvlText w:val="•"/>
      <w:lvlJc w:val="left"/>
      <w:pPr>
        <w:ind w:left="2056" w:hanging="284"/>
      </w:pPr>
      <w:rPr>
        <w:rFonts w:hint="default"/>
        <w:lang w:val="en-US" w:eastAsia="en-US" w:bidi="ar-SA"/>
      </w:rPr>
    </w:lvl>
    <w:lvl w:ilvl="7" w:tplc="76DAFEB6">
      <w:numFmt w:val="bullet"/>
      <w:lvlText w:val="•"/>
      <w:lvlJc w:val="left"/>
      <w:pPr>
        <w:ind w:left="2318" w:hanging="284"/>
      </w:pPr>
      <w:rPr>
        <w:rFonts w:hint="default"/>
        <w:lang w:val="en-US" w:eastAsia="en-US" w:bidi="ar-SA"/>
      </w:rPr>
    </w:lvl>
    <w:lvl w:ilvl="8" w:tplc="10725126">
      <w:numFmt w:val="bullet"/>
      <w:lvlText w:val="•"/>
      <w:lvlJc w:val="left"/>
      <w:pPr>
        <w:ind w:left="2581" w:hanging="284"/>
      </w:pPr>
      <w:rPr>
        <w:rFonts w:hint="default"/>
        <w:lang w:val="en-US" w:eastAsia="en-US" w:bidi="ar-SA"/>
      </w:rPr>
    </w:lvl>
  </w:abstractNum>
  <w:abstractNum w:abstractNumId="65" w15:restartNumberingAfterBreak="0">
    <w:nsid w:val="10E42874"/>
    <w:multiLevelType w:val="hybridMultilevel"/>
    <w:tmpl w:val="449C7684"/>
    <w:lvl w:ilvl="0" w:tplc="3EB04F88">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9844D4C4">
      <w:numFmt w:val="bullet"/>
      <w:lvlText w:val="•"/>
      <w:lvlJc w:val="left"/>
      <w:pPr>
        <w:ind w:left="672" w:hanging="284"/>
      </w:pPr>
      <w:rPr>
        <w:rFonts w:hint="default"/>
        <w:lang w:val="en-US" w:eastAsia="en-US" w:bidi="ar-SA"/>
      </w:rPr>
    </w:lvl>
    <w:lvl w:ilvl="2" w:tplc="1190FDC4">
      <w:numFmt w:val="bullet"/>
      <w:lvlText w:val="•"/>
      <w:lvlJc w:val="left"/>
      <w:pPr>
        <w:ind w:left="945" w:hanging="284"/>
      </w:pPr>
      <w:rPr>
        <w:rFonts w:hint="default"/>
        <w:lang w:val="en-US" w:eastAsia="en-US" w:bidi="ar-SA"/>
      </w:rPr>
    </w:lvl>
    <w:lvl w:ilvl="3" w:tplc="15BE6ABE">
      <w:numFmt w:val="bullet"/>
      <w:lvlText w:val="•"/>
      <w:lvlJc w:val="left"/>
      <w:pPr>
        <w:ind w:left="1217" w:hanging="284"/>
      </w:pPr>
      <w:rPr>
        <w:rFonts w:hint="default"/>
        <w:lang w:val="en-US" w:eastAsia="en-US" w:bidi="ar-SA"/>
      </w:rPr>
    </w:lvl>
    <w:lvl w:ilvl="4" w:tplc="701E9CFA">
      <w:numFmt w:val="bullet"/>
      <w:lvlText w:val="•"/>
      <w:lvlJc w:val="left"/>
      <w:pPr>
        <w:ind w:left="1490" w:hanging="284"/>
      </w:pPr>
      <w:rPr>
        <w:rFonts w:hint="default"/>
        <w:lang w:val="en-US" w:eastAsia="en-US" w:bidi="ar-SA"/>
      </w:rPr>
    </w:lvl>
    <w:lvl w:ilvl="5" w:tplc="BAFCF712">
      <w:numFmt w:val="bullet"/>
      <w:lvlText w:val="•"/>
      <w:lvlJc w:val="left"/>
      <w:pPr>
        <w:ind w:left="1762" w:hanging="284"/>
      </w:pPr>
      <w:rPr>
        <w:rFonts w:hint="default"/>
        <w:lang w:val="en-US" w:eastAsia="en-US" w:bidi="ar-SA"/>
      </w:rPr>
    </w:lvl>
    <w:lvl w:ilvl="6" w:tplc="33B87166">
      <w:numFmt w:val="bullet"/>
      <w:lvlText w:val="•"/>
      <w:lvlJc w:val="left"/>
      <w:pPr>
        <w:ind w:left="2035" w:hanging="284"/>
      </w:pPr>
      <w:rPr>
        <w:rFonts w:hint="default"/>
        <w:lang w:val="en-US" w:eastAsia="en-US" w:bidi="ar-SA"/>
      </w:rPr>
    </w:lvl>
    <w:lvl w:ilvl="7" w:tplc="E6B0B30E">
      <w:numFmt w:val="bullet"/>
      <w:lvlText w:val="•"/>
      <w:lvlJc w:val="left"/>
      <w:pPr>
        <w:ind w:left="2307" w:hanging="284"/>
      </w:pPr>
      <w:rPr>
        <w:rFonts w:hint="default"/>
        <w:lang w:val="en-US" w:eastAsia="en-US" w:bidi="ar-SA"/>
      </w:rPr>
    </w:lvl>
    <w:lvl w:ilvl="8" w:tplc="B13CE062">
      <w:numFmt w:val="bullet"/>
      <w:lvlText w:val="•"/>
      <w:lvlJc w:val="left"/>
      <w:pPr>
        <w:ind w:left="2580" w:hanging="284"/>
      </w:pPr>
      <w:rPr>
        <w:rFonts w:hint="default"/>
        <w:lang w:val="en-US" w:eastAsia="en-US" w:bidi="ar-SA"/>
      </w:rPr>
    </w:lvl>
  </w:abstractNum>
  <w:abstractNum w:abstractNumId="66" w15:restartNumberingAfterBreak="0">
    <w:nsid w:val="10FB2962"/>
    <w:multiLevelType w:val="hybridMultilevel"/>
    <w:tmpl w:val="7F02FA78"/>
    <w:lvl w:ilvl="0" w:tplc="63309A7C">
      <w:numFmt w:val="bullet"/>
      <w:lvlText w:val=""/>
      <w:lvlJc w:val="left"/>
      <w:pPr>
        <w:ind w:left="393" w:hanging="284"/>
      </w:pPr>
      <w:rPr>
        <w:rFonts w:ascii="Symbol" w:eastAsia="Symbol" w:hAnsi="Symbol" w:cs="Symbol" w:hint="default"/>
        <w:b w:val="0"/>
        <w:bCs w:val="0"/>
        <w:i w:val="0"/>
        <w:iCs w:val="0"/>
        <w:color w:val="70004A"/>
        <w:spacing w:val="0"/>
        <w:w w:val="100"/>
        <w:sz w:val="18"/>
        <w:szCs w:val="18"/>
        <w:lang w:val="en-US" w:eastAsia="en-US" w:bidi="ar-SA"/>
      </w:rPr>
    </w:lvl>
    <w:lvl w:ilvl="1" w:tplc="FA68F7D8">
      <w:numFmt w:val="bullet"/>
      <w:lvlText w:val="•"/>
      <w:lvlJc w:val="left"/>
      <w:pPr>
        <w:ind w:left="669" w:hanging="284"/>
      </w:pPr>
      <w:rPr>
        <w:rFonts w:hint="default"/>
        <w:lang w:val="en-US" w:eastAsia="en-US" w:bidi="ar-SA"/>
      </w:rPr>
    </w:lvl>
    <w:lvl w:ilvl="2" w:tplc="AA76F254">
      <w:numFmt w:val="bullet"/>
      <w:lvlText w:val="•"/>
      <w:lvlJc w:val="left"/>
      <w:pPr>
        <w:ind w:left="938" w:hanging="284"/>
      </w:pPr>
      <w:rPr>
        <w:rFonts w:hint="default"/>
        <w:lang w:val="en-US" w:eastAsia="en-US" w:bidi="ar-SA"/>
      </w:rPr>
    </w:lvl>
    <w:lvl w:ilvl="3" w:tplc="24F64870">
      <w:numFmt w:val="bullet"/>
      <w:lvlText w:val="•"/>
      <w:lvlJc w:val="left"/>
      <w:pPr>
        <w:ind w:left="1207" w:hanging="284"/>
      </w:pPr>
      <w:rPr>
        <w:rFonts w:hint="default"/>
        <w:lang w:val="en-US" w:eastAsia="en-US" w:bidi="ar-SA"/>
      </w:rPr>
    </w:lvl>
    <w:lvl w:ilvl="4" w:tplc="63448828">
      <w:numFmt w:val="bullet"/>
      <w:lvlText w:val="•"/>
      <w:lvlJc w:val="left"/>
      <w:pPr>
        <w:ind w:left="1476" w:hanging="284"/>
      </w:pPr>
      <w:rPr>
        <w:rFonts w:hint="default"/>
        <w:lang w:val="en-US" w:eastAsia="en-US" w:bidi="ar-SA"/>
      </w:rPr>
    </w:lvl>
    <w:lvl w:ilvl="5" w:tplc="049C29B4">
      <w:numFmt w:val="bullet"/>
      <w:lvlText w:val="•"/>
      <w:lvlJc w:val="left"/>
      <w:pPr>
        <w:ind w:left="1745" w:hanging="284"/>
      </w:pPr>
      <w:rPr>
        <w:rFonts w:hint="default"/>
        <w:lang w:val="en-US" w:eastAsia="en-US" w:bidi="ar-SA"/>
      </w:rPr>
    </w:lvl>
    <w:lvl w:ilvl="6" w:tplc="62C4867E">
      <w:numFmt w:val="bullet"/>
      <w:lvlText w:val="•"/>
      <w:lvlJc w:val="left"/>
      <w:pPr>
        <w:ind w:left="2014" w:hanging="284"/>
      </w:pPr>
      <w:rPr>
        <w:rFonts w:hint="default"/>
        <w:lang w:val="en-US" w:eastAsia="en-US" w:bidi="ar-SA"/>
      </w:rPr>
    </w:lvl>
    <w:lvl w:ilvl="7" w:tplc="1BBEA086">
      <w:numFmt w:val="bullet"/>
      <w:lvlText w:val="•"/>
      <w:lvlJc w:val="left"/>
      <w:pPr>
        <w:ind w:left="2283" w:hanging="284"/>
      </w:pPr>
      <w:rPr>
        <w:rFonts w:hint="default"/>
        <w:lang w:val="en-US" w:eastAsia="en-US" w:bidi="ar-SA"/>
      </w:rPr>
    </w:lvl>
    <w:lvl w:ilvl="8" w:tplc="D80E24F4">
      <w:numFmt w:val="bullet"/>
      <w:lvlText w:val="•"/>
      <w:lvlJc w:val="left"/>
      <w:pPr>
        <w:ind w:left="2552" w:hanging="284"/>
      </w:pPr>
      <w:rPr>
        <w:rFonts w:hint="default"/>
        <w:lang w:val="en-US" w:eastAsia="en-US" w:bidi="ar-SA"/>
      </w:rPr>
    </w:lvl>
  </w:abstractNum>
  <w:abstractNum w:abstractNumId="67" w15:restartNumberingAfterBreak="0">
    <w:nsid w:val="1140732D"/>
    <w:multiLevelType w:val="hybridMultilevel"/>
    <w:tmpl w:val="9B56C550"/>
    <w:lvl w:ilvl="0" w:tplc="1794DCF2">
      <w:numFmt w:val="bullet"/>
      <w:lvlText w:val=""/>
      <w:lvlJc w:val="left"/>
      <w:pPr>
        <w:ind w:left="476" w:hanging="284"/>
      </w:pPr>
      <w:rPr>
        <w:rFonts w:ascii="Symbol" w:eastAsia="Symbol" w:hAnsi="Symbol" w:cs="Symbol" w:hint="default"/>
        <w:b w:val="0"/>
        <w:bCs w:val="0"/>
        <w:i w:val="0"/>
        <w:iCs w:val="0"/>
        <w:color w:val="70004A"/>
        <w:spacing w:val="0"/>
        <w:w w:val="100"/>
        <w:sz w:val="18"/>
        <w:szCs w:val="18"/>
        <w:lang w:val="en-US" w:eastAsia="en-US" w:bidi="ar-SA"/>
      </w:rPr>
    </w:lvl>
    <w:lvl w:ilvl="1" w:tplc="BB1A7366">
      <w:numFmt w:val="bullet"/>
      <w:lvlText w:val="•"/>
      <w:lvlJc w:val="left"/>
      <w:pPr>
        <w:ind w:left="742" w:hanging="284"/>
      </w:pPr>
      <w:rPr>
        <w:rFonts w:hint="default"/>
        <w:lang w:val="en-US" w:eastAsia="en-US" w:bidi="ar-SA"/>
      </w:rPr>
    </w:lvl>
    <w:lvl w:ilvl="2" w:tplc="849CE10E">
      <w:numFmt w:val="bullet"/>
      <w:lvlText w:val="•"/>
      <w:lvlJc w:val="left"/>
      <w:pPr>
        <w:ind w:left="1005" w:hanging="284"/>
      </w:pPr>
      <w:rPr>
        <w:rFonts w:hint="default"/>
        <w:lang w:val="en-US" w:eastAsia="en-US" w:bidi="ar-SA"/>
      </w:rPr>
    </w:lvl>
    <w:lvl w:ilvl="3" w:tplc="678015E8">
      <w:numFmt w:val="bullet"/>
      <w:lvlText w:val="•"/>
      <w:lvlJc w:val="left"/>
      <w:pPr>
        <w:ind w:left="1268" w:hanging="284"/>
      </w:pPr>
      <w:rPr>
        <w:rFonts w:hint="default"/>
        <w:lang w:val="en-US" w:eastAsia="en-US" w:bidi="ar-SA"/>
      </w:rPr>
    </w:lvl>
    <w:lvl w:ilvl="4" w:tplc="BFAA8AE6">
      <w:numFmt w:val="bullet"/>
      <w:lvlText w:val="•"/>
      <w:lvlJc w:val="left"/>
      <w:pPr>
        <w:ind w:left="1530" w:hanging="284"/>
      </w:pPr>
      <w:rPr>
        <w:rFonts w:hint="default"/>
        <w:lang w:val="en-US" w:eastAsia="en-US" w:bidi="ar-SA"/>
      </w:rPr>
    </w:lvl>
    <w:lvl w:ilvl="5" w:tplc="1D8AA260">
      <w:numFmt w:val="bullet"/>
      <w:lvlText w:val="•"/>
      <w:lvlJc w:val="left"/>
      <w:pPr>
        <w:ind w:left="1793" w:hanging="284"/>
      </w:pPr>
      <w:rPr>
        <w:rFonts w:hint="default"/>
        <w:lang w:val="en-US" w:eastAsia="en-US" w:bidi="ar-SA"/>
      </w:rPr>
    </w:lvl>
    <w:lvl w:ilvl="6" w:tplc="DA28DF30">
      <w:numFmt w:val="bullet"/>
      <w:lvlText w:val="•"/>
      <w:lvlJc w:val="left"/>
      <w:pPr>
        <w:ind w:left="2056" w:hanging="284"/>
      </w:pPr>
      <w:rPr>
        <w:rFonts w:hint="default"/>
        <w:lang w:val="en-US" w:eastAsia="en-US" w:bidi="ar-SA"/>
      </w:rPr>
    </w:lvl>
    <w:lvl w:ilvl="7" w:tplc="F50EE2F8">
      <w:numFmt w:val="bullet"/>
      <w:lvlText w:val="•"/>
      <w:lvlJc w:val="left"/>
      <w:pPr>
        <w:ind w:left="2318" w:hanging="284"/>
      </w:pPr>
      <w:rPr>
        <w:rFonts w:hint="default"/>
        <w:lang w:val="en-US" w:eastAsia="en-US" w:bidi="ar-SA"/>
      </w:rPr>
    </w:lvl>
    <w:lvl w:ilvl="8" w:tplc="D38299D6">
      <w:numFmt w:val="bullet"/>
      <w:lvlText w:val="•"/>
      <w:lvlJc w:val="left"/>
      <w:pPr>
        <w:ind w:left="2581" w:hanging="284"/>
      </w:pPr>
      <w:rPr>
        <w:rFonts w:hint="default"/>
        <w:lang w:val="en-US" w:eastAsia="en-US" w:bidi="ar-SA"/>
      </w:rPr>
    </w:lvl>
  </w:abstractNum>
  <w:abstractNum w:abstractNumId="68" w15:restartNumberingAfterBreak="0">
    <w:nsid w:val="114714EE"/>
    <w:multiLevelType w:val="hybridMultilevel"/>
    <w:tmpl w:val="6434997C"/>
    <w:lvl w:ilvl="0" w:tplc="D3945E80">
      <w:numFmt w:val="bullet"/>
      <w:lvlText w:val=""/>
      <w:lvlJc w:val="left"/>
      <w:pPr>
        <w:ind w:left="490" w:hanging="284"/>
      </w:pPr>
      <w:rPr>
        <w:rFonts w:ascii="Symbol" w:eastAsia="Symbol" w:hAnsi="Symbol" w:cs="Symbol" w:hint="default"/>
        <w:b w:val="0"/>
        <w:bCs w:val="0"/>
        <w:i w:val="0"/>
        <w:iCs w:val="0"/>
        <w:color w:val="70004A"/>
        <w:spacing w:val="0"/>
        <w:w w:val="100"/>
        <w:sz w:val="18"/>
        <w:szCs w:val="18"/>
        <w:lang w:val="en-US" w:eastAsia="en-US" w:bidi="ar-SA"/>
      </w:rPr>
    </w:lvl>
    <w:lvl w:ilvl="1" w:tplc="E2DE05B4">
      <w:numFmt w:val="bullet"/>
      <w:lvlText w:val="•"/>
      <w:lvlJc w:val="left"/>
      <w:pPr>
        <w:ind w:left="766" w:hanging="284"/>
      </w:pPr>
      <w:rPr>
        <w:rFonts w:hint="default"/>
        <w:lang w:val="en-US" w:eastAsia="en-US" w:bidi="ar-SA"/>
      </w:rPr>
    </w:lvl>
    <w:lvl w:ilvl="2" w:tplc="28E8B35A">
      <w:numFmt w:val="bullet"/>
      <w:lvlText w:val="•"/>
      <w:lvlJc w:val="left"/>
      <w:pPr>
        <w:ind w:left="1033" w:hanging="284"/>
      </w:pPr>
      <w:rPr>
        <w:rFonts w:hint="default"/>
        <w:lang w:val="en-US" w:eastAsia="en-US" w:bidi="ar-SA"/>
      </w:rPr>
    </w:lvl>
    <w:lvl w:ilvl="3" w:tplc="2812AEA6">
      <w:numFmt w:val="bullet"/>
      <w:lvlText w:val="•"/>
      <w:lvlJc w:val="left"/>
      <w:pPr>
        <w:ind w:left="1300" w:hanging="284"/>
      </w:pPr>
      <w:rPr>
        <w:rFonts w:hint="default"/>
        <w:lang w:val="en-US" w:eastAsia="en-US" w:bidi="ar-SA"/>
      </w:rPr>
    </w:lvl>
    <w:lvl w:ilvl="4" w:tplc="CC708E76">
      <w:numFmt w:val="bullet"/>
      <w:lvlText w:val="•"/>
      <w:lvlJc w:val="left"/>
      <w:pPr>
        <w:ind w:left="1567" w:hanging="284"/>
      </w:pPr>
      <w:rPr>
        <w:rFonts w:hint="default"/>
        <w:lang w:val="en-US" w:eastAsia="en-US" w:bidi="ar-SA"/>
      </w:rPr>
    </w:lvl>
    <w:lvl w:ilvl="5" w:tplc="C98EF664">
      <w:numFmt w:val="bullet"/>
      <w:lvlText w:val="•"/>
      <w:lvlJc w:val="left"/>
      <w:pPr>
        <w:ind w:left="1834" w:hanging="284"/>
      </w:pPr>
      <w:rPr>
        <w:rFonts w:hint="default"/>
        <w:lang w:val="en-US" w:eastAsia="en-US" w:bidi="ar-SA"/>
      </w:rPr>
    </w:lvl>
    <w:lvl w:ilvl="6" w:tplc="0B0883F2">
      <w:numFmt w:val="bullet"/>
      <w:lvlText w:val="•"/>
      <w:lvlJc w:val="left"/>
      <w:pPr>
        <w:ind w:left="2100" w:hanging="284"/>
      </w:pPr>
      <w:rPr>
        <w:rFonts w:hint="default"/>
        <w:lang w:val="en-US" w:eastAsia="en-US" w:bidi="ar-SA"/>
      </w:rPr>
    </w:lvl>
    <w:lvl w:ilvl="7" w:tplc="62C0C506">
      <w:numFmt w:val="bullet"/>
      <w:lvlText w:val="•"/>
      <w:lvlJc w:val="left"/>
      <w:pPr>
        <w:ind w:left="2367" w:hanging="284"/>
      </w:pPr>
      <w:rPr>
        <w:rFonts w:hint="default"/>
        <w:lang w:val="en-US" w:eastAsia="en-US" w:bidi="ar-SA"/>
      </w:rPr>
    </w:lvl>
    <w:lvl w:ilvl="8" w:tplc="EBB2AD16">
      <w:numFmt w:val="bullet"/>
      <w:lvlText w:val="•"/>
      <w:lvlJc w:val="left"/>
      <w:pPr>
        <w:ind w:left="2634" w:hanging="284"/>
      </w:pPr>
      <w:rPr>
        <w:rFonts w:hint="default"/>
        <w:lang w:val="en-US" w:eastAsia="en-US" w:bidi="ar-SA"/>
      </w:rPr>
    </w:lvl>
  </w:abstractNum>
  <w:abstractNum w:abstractNumId="69" w15:restartNumberingAfterBreak="0">
    <w:nsid w:val="11661DAD"/>
    <w:multiLevelType w:val="hybridMultilevel"/>
    <w:tmpl w:val="7C94AE98"/>
    <w:lvl w:ilvl="0" w:tplc="9412E008">
      <w:numFmt w:val="bullet"/>
      <w:lvlText w:val=""/>
      <w:lvlJc w:val="left"/>
      <w:pPr>
        <w:ind w:left="428" w:hanging="284"/>
      </w:pPr>
      <w:rPr>
        <w:rFonts w:ascii="Symbol" w:eastAsia="Symbol" w:hAnsi="Symbol" w:cs="Symbol" w:hint="default"/>
        <w:b w:val="0"/>
        <w:bCs w:val="0"/>
        <w:i w:val="0"/>
        <w:iCs w:val="0"/>
        <w:color w:val="70004A"/>
        <w:spacing w:val="0"/>
        <w:w w:val="100"/>
        <w:sz w:val="18"/>
        <w:szCs w:val="18"/>
        <w:lang w:val="en-US" w:eastAsia="en-US" w:bidi="ar-SA"/>
      </w:rPr>
    </w:lvl>
    <w:lvl w:ilvl="1" w:tplc="44307B04">
      <w:numFmt w:val="bullet"/>
      <w:lvlText w:val="•"/>
      <w:lvlJc w:val="left"/>
      <w:pPr>
        <w:ind w:left="583" w:hanging="284"/>
      </w:pPr>
      <w:rPr>
        <w:rFonts w:hint="default"/>
        <w:lang w:val="en-US" w:eastAsia="en-US" w:bidi="ar-SA"/>
      </w:rPr>
    </w:lvl>
    <w:lvl w:ilvl="2" w:tplc="E40078B8">
      <w:numFmt w:val="bullet"/>
      <w:lvlText w:val="•"/>
      <w:lvlJc w:val="left"/>
      <w:pPr>
        <w:ind w:left="747" w:hanging="284"/>
      </w:pPr>
      <w:rPr>
        <w:rFonts w:hint="default"/>
        <w:lang w:val="en-US" w:eastAsia="en-US" w:bidi="ar-SA"/>
      </w:rPr>
    </w:lvl>
    <w:lvl w:ilvl="3" w:tplc="BD04E5D0">
      <w:numFmt w:val="bullet"/>
      <w:lvlText w:val="•"/>
      <w:lvlJc w:val="left"/>
      <w:pPr>
        <w:ind w:left="911" w:hanging="284"/>
      </w:pPr>
      <w:rPr>
        <w:rFonts w:hint="default"/>
        <w:lang w:val="en-US" w:eastAsia="en-US" w:bidi="ar-SA"/>
      </w:rPr>
    </w:lvl>
    <w:lvl w:ilvl="4" w:tplc="E33AB4EE">
      <w:numFmt w:val="bullet"/>
      <w:lvlText w:val="•"/>
      <w:lvlJc w:val="left"/>
      <w:pPr>
        <w:ind w:left="1075" w:hanging="284"/>
      </w:pPr>
      <w:rPr>
        <w:rFonts w:hint="default"/>
        <w:lang w:val="en-US" w:eastAsia="en-US" w:bidi="ar-SA"/>
      </w:rPr>
    </w:lvl>
    <w:lvl w:ilvl="5" w:tplc="C6CC29B4">
      <w:numFmt w:val="bullet"/>
      <w:lvlText w:val="•"/>
      <w:lvlJc w:val="left"/>
      <w:pPr>
        <w:ind w:left="1239" w:hanging="284"/>
      </w:pPr>
      <w:rPr>
        <w:rFonts w:hint="default"/>
        <w:lang w:val="en-US" w:eastAsia="en-US" w:bidi="ar-SA"/>
      </w:rPr>
    </w:lvl>
    <w:lvl w:ilvl="6" w:tplc="21C04976">
      <w:numFmt w:val="bullet"/>
      <w:lvlText w:val="•"/>
      <w:lvlJc w:val="left"/>
      <w:pPr>
        <w:ind w:left="1403" w:hanging="284"/>
      </w:pPr>
      <w:rPr>
        <w:rFonts w:hint="default"/>
        <w:lang w:val="en-US" w:eastAsia="en-US" w:bidi="ar-SA"/>
      </w:rPr>
    </w:lvl>
    <w:lvl w:ilvl="7" w:tplc="B966F7C2">
      <w:numFmt w:val="bullet"/>
      <w:lvlText w:val="•"/>
      <w:lvlJc w:val="left"/>
      <w:pPr>
        <w:ind w:left="1567" w:hanging="284"/>
      </w:pPr>
      <w:rPr>
        <w:rFonts w:hint="default"/>
        <w:lang w:val="en-US" w:eastAsia="en-US" w:bidi="ar-SA"/>
      </w:rPr>
    </w:lvl>
    <w:lvl w:ilvl="8" w:tplc="95289CA0">
      <w:numFmt w:val="bullet"/>
      <w:lvlText w:val="•"/>
      <w:lvlJc w:val="left"/>
      <w:pPr>
        <w:ind w:left="1731" w:hanging="284"/>
      </w:pPr>
      <w:rPr>
        <w:rFonts w:hint="default"/>
        <w:lang w:val="en-US" w:eastAsia="en-US" w:bidi="ar-SA"/>
      </w:rPr>
    </w:lvl>
  </w:abstractNum>
  <w:abstractNum w:abstractNumId="70" w15:restartNumberingAfterBreak="0">
    <w:nsid w:val="11785E66"/>
    <w:multiLevelType w:val="hybridMultilevel"/>
    <w:tmpl w:val="979260AE"/>
    <w:lvl w:ilvl="0" w:tplc="4EFA2BCC">
      <w:numFmt w:val="bullet"/>
      <w:lvlText w:val=""/>
      <w:lvlJc w:val="left"/>
      <w:pPr>
        <w:ind w:left="445" w:hanging="284"/>
      </w:pPr>
      <w:rPr>
        <w:rFonts w:ascii="Symbol" w:eastAsia="Symbol" w:hAnsi="Symbol" w:cs="Symbol" w:hint="default"/>
        <w:b w:val="0"/>
        <w:bCs w:val="0"/>
        <w:i w:val="0"/>
        <w:iCs w:val="0"/>
        <w:color w:val="70004A"/>
        <w:spacing w:val="0"/>
        <w:w w:val="100"/>
        <w:sz w:val="18"/>
        <w:szCs w:val="18"/>
        <w:lang w:val="en-US" w:eastAsia="en-US" w:bidi="ar-SA"/>
      </w:rPr>
    </w:lvl>
    <w:lvl w:ilvl="1" w:tplc="9A9A6FC6">
      <w:numFmt w:val="bullet"/>
      <w:lvlText w:val="•"/>
      <w:lvlJc w:val="left"/>
      <w:pPr>
        <w:ind w:left="603" w:hanging="284"/>
      </w:pPr>
      <w:rPr>
        <w:rFonts w:hint="default"/>
        <w:lang w:val="en-US" w:eastAsia="en-US" w:bidi="ar-SA"/>
      </w:rPr>
    </w:lvl>
    <w:lvl w:ilvl="2" w:tplc="63369BB6">
      <w:numFmt w:val="bullet"/>
      <w:lvlText w:val="•"/>
      <w:lvlJc w:val="left"/>
      <w:pPr>
        <w:ind w:left="766" w:hanging="284"/>
      </w:pPr>
      <w:rPr>
        <w:rFonts w:hint="default"/>
        <w:lang w:val="en-US" w:eastAsia="en-US" w:bidi="ar-SA"/>
      </w:rPr>
    </w:lvl>
    <w:lvl w:ilvl="3" w:tplc="0868D2D6">
      <w:numFmt w:val="bullet"/>
      <w:lvlText w:val="•"/>
      <w:lvlJc w:val="left"/>
      <w:pPr>
        <w:ind w:left="930" w:hanging="284"/>
      </w:pPr>
      <w:rPr>
        <w:rFonts w:hint="default"/>
        <w:lang w:val="en-US" w:eastAsia="en-US" w:bidi="ar-SA"/>
      </w:rPr>
    </w:lvl>
    <w:lvl w:ilvl="4" w:tplc="EBB04760">
      <w:numFmt w:val="bullet"/>
      <w:lvlText w:val="•"/>
      <w:lvlJc w:val="left"/>
      <w:pPr>
        <w:ind w:left="1093" w:hanging="284"/>
      </w:pPr>
      <w:rPr>
        <w:rFonts w:hint="default"/>
        <w:lang w:val="en-US" w:eastAsia="en-US" w:bidi="ar-SA"/>
      </w:rPr>
    </w:lvl>
    <w:lvl w:ilvl="5" w:tplc="A274EA8C">
      <w:numFmt w:val="bullet"/>
      <w:lvlText w:val="•"/>
      <w:lvlJc w:val="left"/>
      <w:pPr>
        <w:ind w:left="1257" w:hanging="284"/>
      </w:pPr>
      <w:rPr>
        <w:rFonts w:hint="default"/>
        <w:lang w:val="en-US" w:eastAsia="en-US" w:bidi="ar-SA"/>
      </w:rPr>
    </w:lvl>
    <w:lvl w:ilvl="6" w:tplc="AF62DF44">
      <w:numFmt w:val="bullet"/>
      <w:lvlText w:val="•"/>
      <w:lvlJc w:val="left"/>
      <w:pPr>
        <w:ind w:left="1420" w:hanging="284"/>
      </w:pPr>
      <w:rPr>
        <w:rFonts w:hint="default"/>
        <w:lang w:val="en-US" w:eastAsia="en-US" w:bidi="ar-SA"/>
      </w:rPr>
    </w:lvl>
    <w:lvl w:ilvl="7" w:tplc="D1B6C21E">
      <w:numFmt w:val="bullet"/>
      <w:lvlText w:val="•"/>
      <w:lvlJc w:val="left"/>
      <w:pPr>
        <w:ind w:left="1583" w:hanging="284"/>
      </w:pPr>
      <w:rPr>
        <w:rFonts w:hint="default"/>
        <w:lang w:val="en-US" w:eastAsia="en-US" w:bidi="ar-SA"/>
      </w:rPr>
    </w:lvl>
    <w:lvl w:ilvl="8" w:tplc="8EEA1EAA">
      <w:numFmt w:val="bullet"/>
      <w:lvlText w:val="•"/>
      <w:lvlJc w:val="left"/>
      <w:pPr>
        <w:ind w:left="1747" w:hanging="284"/>
      </w:pPr>
      <w:rPr>
        <w:rFonts w:hint="default"/>
        <w:lang w:val="en-US" w:eastAsia="en-US" w:bidi="ar-SA"/>
      </w:rPr>
    </w:lvl>
  </w:abstractNum>
  <w:abstractNum w:abstractNumId="71" w15:restartNumberingAfterBreak="0">
    <w:nsid w:val="12476164"/>
    <w:multiLevelType w:val="hybridMultilevel"/>
    <w:tmpl w:val="020012AE"/>
    <w:lvl w:ilvl="0" w:tplc="F32ECC7E">
      <w:numFmt w:val="bullet"/>
      <w:lvlText w:val=""/>
      <w:lvlJc w:val="left"/>
      <w:pPr>
        <w:ind w:left="501" w:hanging="284"/>
      </w:pPr>
      <w:rPr>
        <w:rFonts w:ascii="Symbol" w:eastAsia="Symbol" w:hAnsi="Symbol" w:cs="Symbol" w:hint="default"/>
        <w:b w:val="0"/>
        <w:bCs w:val="0"/>
        <w:i w:val="0"/>
        <w:iCs w:val="0"/>
        <w:color w:val="70004A"/>
        <w:spacing w:val="0"/>
        <w:w w:val="100"/>
        <w:sz w:val="18"/>
        <w:szCs w:val="18"/>
        <w:lang w:val="en-US" w:eastAsia="en-US" w:bidi="ar-SA"/>
      </w:rPr>
    </w:lvl>
    <w:lvl w:ilvl="1" w:tplc="9774AA72">
      <w:numFmt w:val="bullet"/>
      <w:lvlText w:val="•"/>
      <w:lvlJc w:val="left"/>
      <w:pPr>
        <w:ind w:left="796" w:hanging="284"/>
      </w:pPr>
      <w:rPr>
        <w:rFonts w:hint="default"/>
        <w:lang w:val="en-US" w:eastAsia="en-US" w:bidi="ar-SA"/>
      </w:rPr>
    </w:lvl>
    <w:lvl w:ilvl="2" w:tplc="73E8EBB2">
      <w:numFmt w:val="bullet"/>
      <w:lvlText w:val="•"/>
      <w:lvlJc w:val="left"/>
      <w:pPr>
        <w:ind w:left="1093" w:hanging="284"/>
      </w:pPr>
      <w:rPr>
        <w:rFonts w:hint="default"/>
        <w:lang w:val="en-US" w:eastAsia="en-US" w:bidi="ar-SA"/>
      </w:rPr>
    </w:lvl>
    <w:lvl w:ilvl="3" w:tplc="8FBC8E6A">
      <w:numFmt w:val="bullet"/>
      <w:lvlText w:val="•"/>
      <w:lvlJc w:val="left"/>
      <w:pPr>
        <w:ind w:left="1390" w:hanging="284"/>
      </w:pPr>
      <w:rPr>
        <w:rFonts w:hint="default"/>
        <w:lang w:val="en-US" w:eastAsia="en-US" w:bidi="ar-SA"/>
      </w:rPr>
    </w:lvl>
    <w:lvl w:ilvl="4" w:tplc="F370A5BA">
      <w:numFmt w:val="bullet"/>
      <w:lvlText w:val="•"/>
      <w:lvlJc w:val="left"/>
      <w:pPr>
        <w:ind w:left="1686" w:hanging="284"/>
      </w:pPr>
      <w:rPr>
        <w:rFonts w:hint="default"/>
        <w:lang w:val="en-US" w:eastAsia="en-US" w:bidi="ar-SA"/>
      </w:rPr>
    </w:lvl>
    <w:lvl w:ilvl="5" w:tplc="7E6A2742">
      <w:numFmt w:val="bullet"/>
      <w:lvlText w:val="•"/>
      <w:lvlJc w:val="left"/>
      <w:pPr>
        <w:ind w:left="1983" w:hanging="284"/>
      </w:pPr>
      <w:rPr>
        <w:rFonts w:hint="default"/>
        <w:lang w:val="en-US" w:eastAsia="en-US" w:bidi="ar-SA"/>
      </w:rPr>
    </w:lvl>
    <w:lvl w:ilvl="6" w:tplc="63A2D560">
      <w:numFmt w:val="bullet"/>
      <w:lvlText w:val="•"/>
      <w:lvlJc w:val="left"/>
      <w:pPr>
        <w:ind w:left="2280" w:hanging="284"/>
      </w:pPr>
      <w:rPr>
        <w:rFonts w:hint="default"/>
        <w:lang w:val="en-US" w:eastAsia="en-US" w:bidi="ar-SA"/>
      </w:rPr>
    </w:lvl>
    <w:lvl w:ilvl="7" w:tplc="7128864E">
      <w:numFmt w:val="bullet"/>
      <w:lvlText w:val="•"/>
      <w:lvlJc w:val="left"/>
      <w:pPr>
        <w:ind w:left="2576" w:hanging="284"/>
      </w:pPr>
      <w:rPr>
        <w:rFonts w:hint="default"/>
        <w:lang w:val="en-US" w:eastAsia="en-US" w:bidi="ar-SA"/>
      </w:rPr>
    </w:lvl>
    <w:lvl w:ilvl="8" w:tplc="F50C8EC0">
      <w:numFmt w:val="bullet"/>
      <w:lvlText w:val="•"/>
      <w:lvlJc w:val="left"/>
      <w:pPr>
        <w:ind w:left="2873" w:hanging="284"/>
      </w:pPr>
      <w:rPr>
        <w:rFonts w:hint="default"/>
        <w:lang w:val="en-US" w:eastAsia="en-US" w:bidi="ar-SA"/>
      </w:rPr>
    </w:lvl>
  </w:abstractNum>
  <w:abstractNum w:abstractNumId="72" w15:restartNumberingAfterBreak="0">
    <w:nsid w:val="12AC08AB"/>
    <w:multiLevelType w:val="hybridMultilevel"/>
    <w:tmpl w:val="825EE92A"/>
    <w:lvl w:ilvl="0" w:tplc="A80EACFE">
      <w:numFmt w:val="bullet"/>
      <w:lvlText w:val=""/>
      <w:lvlJc w:val="left"/>
      <w:pPr>
        <w:ind w:left="514" w:hanging="284"/>
      </w:pPr>
      <w:rPr>
        <w:rFonts w:ascii="Symbol" w:eastAsia="Symbol" w:hAnsi="Symbol" w:cs="Symbol" w:hint="default"/>
        <w:b w:val="0"/>
        <w:bCs w:val="0"/>
        <w:i w:val="0"/>
        <w:iCs w:val="0"/>
        <w:color w:val="70004A"/>
        <w:spacing w:val="0"/>
        <w:w w:val="100"/>
        <w:sz w:val="18"/>
        <w:szCs w:val="18"/>
        <w:lang w:val="en-US" w:eastAsia="en-US" w:bidi="ar-SA"/>
      </w:rPr>
    </w:lvl>
    <w:lvl w:ilvl="1" w:tplc="26D2B5AC">
      <w:numFmt w:val="bullet"/>
      <w:lvlText w:val="•"/>
      <w:lvlJc w:val="left"/>
      <w:pPr>
        <w:ind w:left="805" w:hanging="284"/>
      </w:pPr>
      <w:rPr>
        <w:rFonts w:hint="default"/>
        <w:lang w:val="en-US" w:eastAsia="en-US" w:bidi="ar-SA"/>
      </w:rPr>
    </w:lvl>
    <w:lvl w:ilvl="2" w:tplc="FD0ECCCE">
      <w:numFmt w:val="bullet"/>
      <w:lvlText w:val="•"/>
      <w:lvlJc w:val="left"/>
      <w:pPr>
        <w:ind w:left="1090" w:hanging="284"/>
      </w:pPr>
      <w:rPr>
        <w:rFonts w:hint="default"/>
        <w:lang w:val="en-US" w:eastAsia="en-US" w:bidi="ar-SA"/>
      </w:rPr>
    </w:lvl>
    <w:lvl w:ilvl="3" w:tplc="B02C3C0C">
      <w:numFmt w:val="bullet"/>
      <w:lvlText w:val="•"/>
      <w:lvlJc w:val="left"/>
      <w:pPr>
        <w:ind w:left="1375" w:hanging="284"/>
      </w:pPr>
      <w:rPr>
        <w:rFonts w:hint="default"/>
        <w:lang w:val="en-US" w:eastAsia="en-US" w:bidi="ar-SA"/>
      </w:rPr>
    </w:lvl>
    <w:lvl w:ilvl="4" w:tplc="2C04116C">
      <w:numFmt w:val="bullet"/>
      <w:lvlText w:val="•"/>
      <w:lvlJc w:val="left"/>
      <w:pPr>
        <w:ind w:left="1660" w:hanging="284"/>
      </w:pPr>
      <w:rPr>
        <w:rFonts w:hint="default"/>
        <w:lang w:val="en-US" w:eastAsia="en-US" w:bidi="ar-SA"/>
      </w:rPr>
    </w:lvl>
    <w:lvl w:ilvl="5" w:tplc="DED422D6">
      <w:numFmt w:val="bullet"/>
      <w:lvlText w:val="•"/>
      <w:lvlJc w:val="left"/>
      <w:pPr>
        <w:ind w:left="1945" w:hanging="284"/>
      </w:pPr>
      <w:rPr>
        <w:rFonts w:hint="default"/>
        <w:lang w:val="en-US" w:eastAsia="en-US" w:bidi="ar-SA"/>
      </w:rPr>
    </w:lvl>
    <w:lvl w:ilvl="6" w:tplc="EC9A8320">
      <w:numFmt w:val="bullet"/>
      <w:lvlText w:val="•"/>
      <w:lvlJc w:val="left"/>
      <w:pPr>
        <w:ind w:left="2230" w:hanging="284"/>
      </w:pPr>
      <w:rPr>
        <w:rFonts w:hint="default"/>
        <w:lang w:val="en-US" w:eastAsia="en-US" w:bidi="ar-SA"/>
      </w:rPr>
    </w:lvl>
    <w:lvl w:ilvl="7" w:tplc="D2409E50">
      <w:numFmt w:val="bullet"/>
      <w:lvlText w:val="•"/>
      <w:lvlJc w:val="left"/>
      <w:pPr>
        <w:ind w:left="2515" w:hanging="284"/>
      </w:pPr>
      <w:rPr>
        <w:rFonts w:hint="default"/>
        <w:lang w:val="en-US" w:eastAsia="en-US" w:bidi="ar-SA"/>
      </w:rPr>
    </w:lvl>
    <w:lvl w:ilvl="8" w:tplc="11DC7DD2">
      <w:numFmt w:val="bullet"/>
      <w:lvlText w:val="•"/>
      <w:lvlJc w:val="left"/>
      <w:pPr>
        <w:ind w:left="2800" w:hanging="284"/>
      </w:pPr>
      <w:rPr>
        <w:rFonts w:hint="default"/>
        <w:lang w:val="en-US" w:eastAsia="en-US" w:bidi="ar-SA"/>
      </w:rPr>
    </w:lvl>
  </w:abstractNum>
  <w:abstractNum w:abstractNumId="73" w15:restartNumberingAfterBreak="0">
    <w:nsid w:val="12B26462"/>
    <w:multiLevelType w:val="hybridMultilevel"/>
    <w:tmpl w:val="7F84580A"/>
    <w:lvl w:ilvl="0" w:tplc="EC4CCABA">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D47E775C">
      <w:numFmt w:val="bullet"/>
      <w:lvlText w:val="•"/>
      <w:lvlJc w:val="left"/>
      <w:pPr>
        <w:ind w:left="671" w:hanging="284"/>
      </w:pPr>
      <w:rPr>
        <w:rFonts w:hint="default"/>
        <w:lang w:val="en-US" w:eastAsia="en-US" w:bidi="ar-SA"/>
      </w:rPr>
    </w:lvl>
    <w:lvl w:ilvl="2" w:tplc="613A479E">
      <w:numFmt w:val="bullet"/>
      <w:lvlText w:val="•"/>
      <w:lvlJc w:val="left"/>
      <w:pPr>
        <w:ind w:left="943" w:hanging="284"/>
      </w:pPr>
      <w:rPr>
        <w:rFonts w:hint="default"/>
        <w:lang w:val="en-US" w:eastAsia="en-US" w:bidi="ar-SA"/>
      </w:rPr>
    </w:lvl>
    <w:lvl w:ilvl="3" w:tplc="D3AC2E82">
      <w:numFmt w:val="bullet"/>
      <w:lvlText w:val="•"/>
      <w:lvlJc w:val="left"/>
      <w:pPr>
        <w:ind w:left="1214" w:hanging="284"/>
      </w:pPr>
      <w:rPr>
        <w:rFonts w:hint="default"/>
        <w:lang w:val="en-US" w:eastAsia="en-US" w:bidi="ar-SA"/>
      </w:rPr>
    </w:lvl>
    <w:lvl w:ilvl="4" w:tplc="76D2EB8E">
      <w:numFmt w:val="bullet"/>
      <w:lvlText w:val="•"/>
      <w:lvlJc w:val="left"/>
      <w:pPr>
        <w:ind w:left="1486" w:hanging="284"/>
      </w:pPr>
      <w:rPr>
        <w:rFonts w:hint="default"/>
        <w:lang w:val="en-US" w:eastAsia="en-US" w:bidi="ar-SA"/>
      </w:rPr>
    </w:lvl>
    <w:lvl w:ilvl="5" w:tplc="55620D92">
      <w:numFmt w:val="bullet"/>
      <w:lvlText w:val="•"/>
      <w:lvlJc w:val="left"/>
      <w:pPr>
        <w:ind w:left="1757" w:hanging="284"/>
      </w:pPr>
      <w:rPr>
        <w:rFonts w:hint="default"/>
        <w:lang w:val="en-US" w:eastAsia="en-US" w:bidi="ar-SA"/>
      </w:rPr>
    </w:lvl>
    <w:lvl w:ilvl="6" w:tplc="FF7E0AFA">
      <w:numFmt w:val="bullet"/>
      <w:lvlText w:val="•"/>
      <w:lvlJc w:val="left"/>
      <w:pPr>
        <w:ind w:left="2029" w:hanging="284"/>
      </w:pPr>
      <w:rPr>
        <w:rFonts w:hint="default"/>
        <w:lang w:val="en-US" w:eastAsia="en-US" w:bidi="ar-SA"/>
      </w:rPr>
    </w:lvl>
    <w:lvl w:ilvl="7" w:tplc="5C9AD6AE">
      <w:numFmt w:val="bullet"/>
      <w:lvlText w:val="•"/>
      <w:lvlJc w:val="left"/>
      <w:pPr>
        <w:ind w:left="2300" w:hanging="284"/>
      </w:pPr>
      <w:rPr>
        <w:rFonts w:hint="default"/>
        <w:lang w:val="en-US" w:eastAsia="en-US" w:bidi="ar-SA"/>
      </w:rPr>
    </w:lvl>
    <w:lvl w:ilvl="8" w:tplc="4D32CE82">
      <w:numFmt w:val="bullet"/>
      <w:lvlText w:val="•"/>
      <w:lvlJc w:val="left"/>
      <w:pPr>
        <w:ind w:left="2572" w:hanging="284"/>
      </w:pPr>
      <w:rPr>
        <w:rFonts w:hint="default"/>
        <w:lang w:val="en-US" w:eastAsia="en-US" w:bidi="ar-SA"/>
      </w:rPr>
    </w:lvl>
  </w:abstractNum>
  <w:abstractNum w:abstractNumId="74" w15:restartNumberingAfterBreak="0">
    <w:nsid w:val="12BC7D18"/>
    <w:multiLevelType w:val="hybridMultilevel"/>
    <w:tmpl w:val="85EAF5F0"/>
    <w:lvl w:ilvl="0" w:tplc="A4F4B9D6">
      <w:numFmt w:val="bullet"/>
      <w:lvlText w:val=""/>
      <w:lvlJc w:val="left"/>
      <w:pPr>
        <w:ind w:left="427" w:hanging="284"/>
      </w:pPr>
      <w:rPr>
        <w:rFonts w:ascii="Symbol" w:eastAsia="Symbol" w:hAnsi="Symbol" w:cs="Symbol" w:hint="default"/>
        <w:b w:val="0"/>
        <w:bCs w:val="0"/>
        <w:i w:val="0"/>
        <w:iCs w:val="0"/>
        <w:color w:val="70004A"/>
        <w:spacing w:val="0"/>
        <w:w w:val="100"/>
        <w:sz w:val="18"/>
        <w:szCs w:val="18"/>
        <w:lang w:val="en-US" w:eastAsia="en-US" w:bidi="ar-SA"/>
      </w:rPr>
    </w:lvl>
    <w:lvl w:ilvl="1" w:tplc="EC90E8F6">
      <w:numFmt w:val="bullet"/>
      <w:lvlText w:val="•"/>
      <w:lvlJc w:val="left"/>
      <w:pPr>
        <w:ind w:left="617" w:hanging="284"/>
      </w:pPr>
      <w:rPr>
        <w:rFonts w:hint="default"/>
        <w:lang w:val="en-US" w:eastAsia="en-US" w:bidi="ar-SA"/>
      </w:rPr>
    </w:lvl>
    <w:lvl w:ilvl="2" w:tplc="BE44DAF0">
      <w:numFmt w:val="bullet"/>
      <w:lvlText w:val="•"/>
      <w:lvlJc w:val="left"/>
      <w:pPr>
        <w:ind w:left="815" w:hanging="284"/>
      </w:pPr>
      <w:rPr>
        <w:rFonts w:hint="default"/>
        <w:lang w:val="en-US" w:eastAsia="en-US" w:bidi="ar-SA"/>
      </w:rPr>
    </w:lvl>
    <w:lvl w:ilvl="3" w:tplc="CE6EFBA4">
      <w:numFmt w:val="bullet"/>
      <w:lvlText w:val="•"/>
      <w:lvlJc w:val="left"/>
      <w:pPr>
        <w:ind w:left="1012" w:hanging="284"/>
      </w:pPr>
      <w:rPr>
        <w:rFonts w:hint="default"/>
        <w:lang w:val="en-US" w:eastAsia="en-US" w:bidi="ar-SA"/>
      </w:rPr>
    </w:lvl>
    <w:lvl w:ilvl="4" w:tplc="626C679E">
      <w:numFmt w:val="bullet"/>
      <w:lvlText w:val="•"/>
      <w:lvlJc w:val="left"/>
      <w:pPr>
        <w:ind w:left="1210" w:hanging="284"/>
      </w:pPr>
      <w:rPr>
        <w:rFonts w:hint="default"/>
        <w:lang w:val="en-US" w:eastAsia="en-US" w:bidi="ar-SA"/>
      </w:rPr>
    </w:lvl>
    <w:lvl w:ilvl="5" w:tplc="9EBC262E">
      <w:numFmt w:val="bullet"/>
      <w:lvlText w:val="•"/>
      <w:lvlJc w:val="left"/>
      <w:pPr>
        <w:ind w:left="1408" w:hanging="284"/>
      </w:pPr>
      <w:rPr>
        <w:rFonts w:hint="default"/>
        <w:lang w:val="en-US" w:eastAsia="en-US" w:bidi="ar-SA"/>
      </w:rPr>
    </w:lvl>
    <w:lvl w:ilvl="6" w:tplc="F4CCCBC0">
      <w:numFmt w:val="bullet"/>
      <w:lvlText w:val="•"/>
      <w:lvlJc w:val="left"/>
      <w:pPr>
        <w:ind w:left="1605" w:hanging="284"/>
      </w:pPr>
      <w:rPr>
        <w:rFonts w:hint="default"/>
        <w:lang w:val="en-US" w:eastAsia="en-US" w:bidi="ar-SA"/>
      </w:rPr>
    </w:lvl>
    <w:lvl w:ilvl="7" w:tplc="13FAD9D8">
      <w:numFmt w:val="bullet"/>
      <w:lvlText w:val="•"/>
      <w:lvlJc w:val="left"/>
      <w:pPr>
        <w:ind w:left="1803" w:hanging="284"/>
      </w:pPr>
      <w:rPr>
        <w:rFonts w:hint="default"/>
        <w:lang w:val="en-US" w:eastAsia="en-US" w:bidi="ar-SA"/>
      </w:rPr>
    </w:lvl>
    <w:lvl w:ilvl="8" w:tplc="AD7CF4D8">
      <w:numFmt w:val="bullet"/>
      <w:lvlText w:val="•"/>
      <w:lvlJc w:val="left"/>
      <w:pPr>
        <w:ind w:left="2000" w:hanging="284"/>
      </w:pPr>
      <w:rPr>
        <w:rFonts w:hint="default"/>
        <w:lang w:val="en-US" w:eastAsia="en-US" w:bidi="ar-SA"/>
      </w:rPr>
    </w:lvl>
  </w:abstractNum>
  <w:abstractNum w:abstractNumId="75" w15:restartNumberingAfterBreak="0">
    <w:nsid w:val="12D40431"/>
    <w:multiLevelType w:val="hybridMultilevel"/>
    <w:tmpl w:val="17DEDE66"/>
    <w:lvl w:ilvl="0" w:tplc="887A3906">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052E11EE">
      <w:numFmt w:val="bullet"/>
      <w:lvlText w:val="•"/>
      <w:lvlJc w:val="left"/>
      <w:pPr>
        <w:ind w:left="641" w:hanging="284"/>
      </w:pPr>
      <w:rPr>
        <w:rFonts w:hint="default"/>
        <w:lang w:val="en-US" w:eastAsia="en-US" w:bidi="ar-SA"/>
      </w:rPr>
    </w:lvl>
    <w:lvl w:ilvl="2" w:tplc="3B164DBC">
      <w:numFmt w:val="bullet"/>
      <w:lvlText w:val="•"/>
      <w:lvlJc w:val="left"/>
      <w:pPr>
        <w:ind w:left="882" w:hanging="284"/>
      </w:pPr>
      <w:rPr>
        <w:rFonts w:hint="default"/>
        <w:lang w:val="en-US" w:eastAsia="en-US" w:bidi="ar-SA"/>
      </w:rPr>
    </w:lvl>
    <w:lvl w:ilvl="3" w:tplc="8AE05954">
      <w:numFmt w:val="bullet"/>
      <w:lvlText w:val="•"/>
      <w:lvlJc w:val="left"/>
      <w:pPr>
        <w:ind w:left="1123" w:hanging="284"/>
      </w:pPr>
      <w:rPr>
        <w:rFonts w:hint="default"/>
        <w:lang w:val="en-US" w:eastAsia="en-US" w:bidi="ar-SA"/>
      </w:rPr>
    </w:lvl>
    <w:lvl w:ilvl="4" w:tplc="411E966C">
      <w:numFmt w:val="bullet"/>
      <w:lvlText w:val="•"/>
      <w:lvlJc w:val="left"/>
      <w:pPr>
        <w:ind w:left="1365" w:hanging="284"/>
      </w:pPr>
      <w:rPr>
        <w:rFonts w:hint="default"/>
        <w:lang w:val="en-US" w:eastAsia="en-US" w:bidi="ar-SA"/>
      </w:rPr>
    </w:lvl>
    <w:lvl w:ilvl="5" w:tplc="1BC26A2A">
      <w:numFmt w:val="bullet"/>
      <w:lvlText w:val="•"/>
      <w:lvlJc w:val="left"/>
      <w:pPr>
        <w:ind w:left="1606" w:hanging="284"/>
      </w:pPr>
      <w:rPr>
        <w:rFonts w:hint="default"/>
        <w:lang w:val="en-US" w:eastAsia="en-US" w:bidi="ar-SA"/>
      </w:rPr>
    </w:lvl>
    <w:lvl w:ilvl="6" w:tplc="62A001B6">
      <w:numFmt w:val="bullet"/>
      <w:lvlText w:val="•"/>
      <w:lvlJc w:val="left"/>
      <w:pPr>
        <w:ind w:left="1847" w:hanging="284"/>
      </w:pPr>
      <w:rPr>
        <w:rFonts w:hint="default"/>
        <w:lang w:val="en-US" w:eastAsia="en-US" w:bidi="ar-SA"/>
      </w:rPr>
    </w:lvl>
    <w:lvl w:ilvl="7" w:tplc="2250AFAA">
      <w:numFmt w:val="bullet"/>
      <w:lvlText w:val="•"/>
      <w:lvlJc w:val="left"/>
      <w:pPr>
        <w:ind w:left="2089" w:hanging="284"/>
      </w:pPr>
      <w:rPr>
        <w:rFonts w:hint="default"/>
        <w:lang w:val="en-US" w:eastAsia="en-US" w:bidi="ar-SA"/>
      </w:rPr>
    </w:lvl>
    <w:lvl w:ilvl="8" w:tplc="B9BAA9AC">
      <w:numFmt w:val="bullet"/>
      <w:lvlText w:val="•"/>
      <w:lvlJc w:val="left"/>
      <w:pPr>
        <w:ind w:left="2330" w:hanging="284"/>
      </w:pPr>
      <w:rPr>
        <w:rFonts w:hint="default"/>
        <w:lang w:val="en-US" w:eastAsia="en-US" w:bidi="ar-SA"/>
      </w:rPr>
    </w:lvl>
  </w:abstractNum>
  <w:abstractNum w:abstractNumId="76" w15:restartNumberingAfterBreak="0">
    <w:nsid w:val="12EB0176"/>
    <w:multiLevelType w:val="hybridMultilevel"/>
    <w:tmpl w:val="607E5270"/>
    <w:lvl w:ilvl="0" w:tplc="0DBC67A8">
      <w:numFmt w:val="bullet"/>
      <w:lvlText w:val=""/>
      <w:lvlJc w:val="left"/>
      <w:pPr>
        <w:ind w:left="461" w:hanging="284"/>
      </w:pPr>
      <w:rPr>
        <w:rFonts w:ascii="Symbol" w:eastAsia="Symbol" w:hAnsi="Symbol" w:cs="Symbol" w:hint="default"/>
        <w:b w:val="0"/>
        <w:bCs w:val="0"/>
        <w:i w:val="0"/>
        <w:iCs w:val="0"/>
        <w:color w:val="70004A"/>
        <w:spacing w:val="0"/>
        <w:w w:val="100"/>
        <w:sz w:val="18"/>
        <w:szCs w:val="18"/>
        <w:lang w:val="en-US" w:eastAsia="en-US" w:bidi="ar-SA"/>
      </w:rPr>
    </w:lvl>
    <w:lvl w:ilvl="1" w:tplc="1EC60518">
      <w:numFmt w:val="bullet"/>
      <w:lvlText w:val="•"/>
      <w:lvlJc w:val="left"/>
      <w:pPr>
        <w:ind w:left="756" w:hanging="284"/>
      </w:pPr>
      <w:rPr>
        <w:rFonts w:hint="default"/>
        <w:lang w:val="en-US" w:eastAsia="en-US" w:bidi="ar-SA"/>
      </w:rPr>
    </w:lvl>
    <w:lvl w:ilvl="2" w:tplc="DF568ECE">
      <w:numFmt w:val="bullet"/>
      <w:lvlText w:val="•"/>
      <w:lvlJc w:val="left"/>
      <w:pPr>
        <w:ind w:left="1053" w:hanging="284"/>
      </w:pPr>
      <w:rPr>
        <w:rFonts w:hint="default"/>
        <w:lang w:val="en-US" w:eastAsia="en-US" w:bidi="ar-SA"/>
      </w:rPr>
    </w:lvl>
    <w:lvl w:ilvl="3" w:tplc="0B7C1010">
      <w:numFmt w:val="bullet"/>
      <w:lvlText w:val="•"/>
      <w:lvlJc w:val="left"/>
      <w:pPr>
        <w:ind w:left="1350" w:hanging="284"/>
      </w:pPr>
      <w:rPr>
        <w:rFonts w:hint="default"/>
        <w:lang w:val="en-US" w:eastAsia="en-US" w:bidi="ar-SA"/>
      </w:rPr>
    </w:lvl>
    <w:lvl w:ilvl="4" w:tplc="B404A18A">
      <w:numFmt w:val="bullet"/>
      <w:lvlText w:val="•"/>
      <w:lvlJc w:val="left"/>
      <w:pPr>
        <w:ind w:left="1647" w:hanging="284"/>
      </w:pPr>
      <w:rPr>
        <w:rFonts w:hint="default"/>
        <w:lang w:val="en-US" w:eastAsia="en-US" w:bidi="ar-SA"/>
      </w:rPr>
    </w:lvl>
    <w:lvl w:ilvl="5" w:tplc="CEC4EE9E">
      <w:numFmt w:val="bullet"/>
      <w:lvlText w:val="•"/>
      <w:lvlJc w:val="left"/>
      <w:pPr>
        <w:ind w:left="1944" w:hanging="284"/>
      </w:pPr>
      <w:rPr>
        <w:rFonts w:hint="default"/>
        <w:lang w:val="en-US" w:eastAsia="en-US" w:bidi="ar-SA"/>
      </w:rPr>
    </w:lvl>
    <w:lvl w:ilvl="6" w:tplc="C914A97C">
      <w:numFmt w:val="bullet"/>
      <w:lvlText w:val="•"/>
      <w:lvlJc w:val="left"/>
      <w:pPr>
        <w:ind w:left="2240" w:hanging="284"/>
      </w:pPr>
      <w:rPr>
        <w:rFonts w:hint="default"/>
        <w:lang w:val="en-US" w:eastAsia="en-US" w:bidi="ar-SA"/>
      </w:rPr>
    </w:lvl>
    <w:lvl w:ilvl="7" w:tplc="9F421912">
      <w:numFmt w:val="bullet"/>
      <w:lvlText w:val="•"/>
      <w:lvlJc w:val="left"/>
      <w:pPr>
        <w:ind w:left="2537" w:hanging="284"/>
      </w:pPr>
      <w:rPr>
        <w:rFonts w:hint="default"/>
        <w:lang w:val="en-US" w:eastAsia="en-US" w:bidi="ar-SA"/>
      </w:rPr>
    </w:lvl>
    <w:lvl w:ilvl="8" w:tplc="13587018">
      <w:numFmt w:val="bullet"/>
      <w:lvlText w:val="•"/>
      <w:lvlJc w:val="left"/>
      <w:pPr>
        <w:ind w:left="2834" w:hanging="284"/>
      </w:pPr>
      <w:rPr>
        <w:rFonts w:hint="default"/>
        <w:lang w:val="en-US" w:eastAsia="en-US" w:bidi="ar-SA"/>
      </w:rPr>
    </w:lvl>
  </w:abstractNum>
  <w:abstractNum w:abstractNumId="77" w15:restartNumberingAfterBreak="0">
    <w:nsid w:val="130430FB"/>
    <w:multiLevelType w:val="hybridMultilevel"/>
    <w:tmpl w:val="AC3288A6"/>
    <w:lvl w:ilvl="0" w:tplc="C852A5B4">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7804A804">
      <w:numFmt w:val="bullet"/>
      <w:lvlText w:val="•"/>
      <w:lvlJc w:val="left"/>
      <w:pPr>
        <w:ind w:left="634" w:hanging="284"/>
      </w:pPr>
      <w:rPr>
        <w:rFonts w:hint="default"/>
        <w:lang w:val="en-US" w:eastAsia="en-US" w:bidi="ar-SA"/>
      </w:rPr>
    </w:lvl>
    <w:lvl w:ilvl="2" w:tplc="5150F196">
      <w:numFmt w:val="bullet"/>
      <w:lvlText w:val="•"/>
      <w:lvlJc w:val="left"/>
      <w:pPr>
        <w:ind w:left="868" w:hanging="284"/>
      </w:pPr>
      <w:rPr>
        <w:rFonts w:hint="default"/>
        <w:lang w:val="en-US" w:eastAsia="en-US" w:bidi="ar-SA"/>
      </w:rPr>
    </w:lvl>
    <w:lvl w:ilvl="3" w:tplc="BBB830F4">
      <w:numFmt w:val="bullet"/>
      <w:lvlText w:val="•"/>
      <w:lvlJc w:val="left"/>
      <w:pPr>
        <w:ind w:left="1102" w:hanging="284"/>
      </w:pPr>
      <w:rPr>
        <w:rFonts w:hint="default"/>
        <w:lang w:val="en-US" w:eastAsia="en-US" w:bidi="ar-SA"/>
      </w:rPr>
    </w:lvl>
    <w:lvl w:ilvl="4" w:tplc="6A56FC0E">
      <w:numFmt w:val="bullet"/>
      <w:lvlText w:val="•"/>
      <w:lvlJc w:val="left"/>
      <w:pPr>
        <w:ind w:left="1336" w:hanging="284"/>
      </w:pPr>
      <w:rPr>
        <w:rFonts w:hint="default"/>
        <w:lang w:val="en-US" w:eastAsia="en-US" w:bidi="ar-SA"/>
      </w:rPr>
    </w:lvl>
    <w:lvl w:ilvl="5" w:tplc="41EC66FA">
      <w:numFmt w:val="bullet"/>
      <w:lvlText w:val="•"/>
      <w:lvlJc w:val="left"/>
      <w:pPr>
        <w:ind w:left="1570" w:hanging="284"/>
      </w:pPr>
      <w:rPr>
        <w:rFonts w:hint="default"/>
        <w:lang w:val="en-US" w:eastAsia="en-US" w:bidi="ar-SA"/>
      </w:rPr>
    </w:lvl>
    <w:lvl w:ilvl="6" w:tplc="EF3EB674">
      <w:numFmt w:val="bullet"/>
      <w:lvlText w:val="•"/>
      <w:lvlJc w:val="left"/>
      <w:pPr>
        <w:ind w:left="1804" w:hanging="284"/>
      </w:pPr>
      <w:rPr>
        <w:rFonts w:hint="default"/>
        <w:lang w:val="en-US" w:eastAsia="en-US" w:bidi="ar-SA"/>
      </w:rPr>
    </w:lvl>
    <w:lvl w:ilvl="7" w:tplc="04CC7626">
      <w:numFmt w:val="bullet"/>
      <w:lvlText w:val="•"/>
      <w:lvlJc w:val="left"/>
      <w:pPr>
        <w:ind w:left="2038" w:hanging="284"/>
      </w:pPr>
      <w:rPr>
        <w:rFonts w:hint="default"/>
        <w:lang w:val="en-US" w:eastAsia="en-US" w:bidi="ar-SA"/>
      </w:rPr>
    </w:lvl>
    <w:lvl w:ilvl="8" w:tplc="F9CEF0A8">
      <w:numFmt w:val="bullet"/>
      <w:lvlText w:val="•"/>
      <w:lvlJc w:val="left"/>
      <w:pPr>
        <w:ind w:left="2272" w:hanging="284"/>
      </w:pPr>
      <w:rPr>
        <w:rFonts w:hint="default"/>
        <w:lang w:val="en-US" w:eastAsia="en-US" w:bidi="ar-SA"/>
      </w:rPr>
    </w:lvl>
  </w:abstractNum>
  <w:abstractNum w:abstractNumId="78" w15:restartNumberingAfterBreak="0">
    <w:nsid w:val="13101203"/>
    <w:multiLevelType w:val="multilevel"/>
    <w:tmpl w:val="3E5CC24E"/>
    <w:lvl w:ilvl="0">
      <w:start w:val="1"/>
      <w:numFmt w:val="decimal"/>
      <w:pStyle w:val="Heading1"/>
      <w:lvlText w:val="%1"/>
      <w:lvlJc w:val="left"/>
      <w:pPr>
        <w:ind w:left="907" w:hanging="907"/>
      </w:pPr>
      <w:rPr>
        <w:rFonts w:hint="default"/>
      </w:rPr>
    </w:lvl>
    <w:lvl w:ilvl="1">
      <w:start w:val="1"/>
      <w:numFmt w:val="decimal"/>
      <w:pStyle w:val="Heading2"/>
      <w:lvlText w:val="%1.%2"/>
      <w:lvlJc w:val="left"/>
      <w:pPr>
        <w:ind w:left="907" w:hanging="907"/>
      </w:pPr>
      <w:rPr>
        <w:rFonts w:hint="default"/>
      </w:rPr>
    </w:lvl>
    <w:lvl w:ilvl="2">
      <w:start w:val="1"/>
      <w:numFmt w:val="decimal"/>
      <w:pStyle w:val="Heading3"/>
      <w:lvlText w:val="%1.%2.%3"/>
      <w:lvlJc w:val="left"/>
      <w:pPr>
        <w:ind w:left="907" w:hanging="907"/>
      </w:pPr>
      <w:rPr>
        <w:rFonts w:hint="default"/>
      </w:rPr>
    </w:lvl>
    <w:lvl w:ilvl="3">
      <w:start w:val="1"/>
      <w:numFmt w:val="decimal"/>
      <w:pStyle w:val="Heading4"/>
      <w:lvlText w:val="%1.%2.%3.%4"/>
      <w:lvlJc w:val="left"/>
      <w:pPr>
        <w:ind w:left="907" w:hanging="907"/>
      </w:pPr>
      <w:rPr>
        <w:rFonts w:hint="default"/>
      </w:rPr>
    </w:lvl>
    <w:lvl w:ilvl="4">
      <w:start w:val="1"/>
      <w:numFmt w:val="decimal"/>
      <w:pStyle w:val="Heading5"/>
      <w:lvlText w:val="%1.%2.%3.%4.%5"/>
      <w:lvlJc w:val="left"/>
      <w:pPr>
        <w:ind w:left="907" w:hanging="907"/>
      </w:pPr>
      <w:rPr>
        <w:rFonts w:hint="default"/>
      </w:rPr>
    </w:lvl>
    <w:lvl w:ilvl="5">
      <w:start w:val="1"/>
      <w:numFmt w:val="decimal"/>
      <w:pStyle w:val="Heading6"/>
      <w:lvlText w:val="%1.%2.%3.%4.%5.%6"/>
      <w:lvlJc w:val="left"/>
      <w:pPr>
        <w:ind w:left="907" w:hanging="907"/>
      </w:pPr>
      <w:rPr>
        <w:rFonts w:hint="default"/>
      </w:rPr>
    </w:lvl>
    <w:lvl w:ilvl="6">
      <w:start w:val="1"/>
      <w:numFmt w:val="decimal"/>
      <w:pStyle w:val="BodyTextnumbered1"/>
      <w:lvlText w:val="%1.%7"/>
      <w:lvlJc w:val="left"/>
      <w:pPr>
        <w:tabs>
          <w:tab w:val="num" w:pos="907"/>
        </w:tabs>
        <w:ind w:left="907" w:hanging="907"/>
      </w:pPr>
      <w:rPr>
        <w:rFonts w:hint="default"/>
      </w:rPr>
    </w:lvl>
    <w:lvl w:ilvl="7">
      <w:start w:val="1"/>
      <w:numFmt w:val="decimal"/>
      <w:pStyle w:val="BodyTextnumbered2"/>
      <w:lvlText w:val="%1.%2.%8"/>
      <w:lvlJc w:val="left"/>
      <w:pPr>
        <w:ind w:left="907" w:hanging="907"/>
      </w:pPr>
      <w:rPr>
        <w:rFonts w:hint="default"/>
      </w:rPr>
    </w:lvl>
    <w:lvl w:ilvl="8">
      <w:start w:val="1"/>
      <w:numFmt w:val="decimal"/>
      <w:lvlText w:val="%1.%2.%3.%4.%5.%6.%7.%8.%9"/>
      <w:lvlJc w:val="left"/>
      <w:pPr>
        <w:ind w:left="907" w:hanging="907"/>
      </w:pPr>
      <w:rPr>
        <w:rFonts w:hint="default"/>
      </w:rPr>
    </w:lvl>
  </w:abstractNum>
  <w:abstractNum w:abstractNumId="79" w15:restartNumberingAfterBreak="0">
    <w:nsid w:val="13472D9B"/>
    <w:multiLevelType w:val="hybridMultilevel"/>
    <w:tmpl w:val="7E76DED4"/>
    <w:lvl w:ilvl="0" w:tplc="0A687E2C">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F4922D9C">
      <w:numFmt w:val="bullet"/>
      <w:lvlText w:val="•"/>
      <w:lvlJc w:val="left"/>
      <w:pPr>
        <w:ind w:left="693" w:hanging="284"/>
      </w:pPr>
      <w:rPr>
        <w:rFonts w:hint="default"/>
        <w:lang w:val="en-US" w:eastAsia="en-US" w:bidi="ar-SA"/>
      </w:rPr>
    </w:lvl>
    <w:lvl w:ilvl="2" w:tplc="0C36B84A">
      <w:numFmt w:val="bullet"/>
      <w:lvlText w:val="•"/>
      <w:lvlJc w:val="left"/>
      <w:pPr>
        <w:ind w:left="1006" w:hanging="284"/>
      </w:pPr>
      <w:rPr>
        <w:rFonts w:hint="default"/>
        <w:lang w:val="en-US" w:eastAsia="en-US" w:bidi="ar-SA"/>
      </w:rPr>
    </w:lvl>
    <w:lvl w:ilvl="3" w:tplc="A47CC9A6">
      <w:numFmt w:val="bullet"/>
      <w:lvlText w:val="•"/>
      <w:lvlJc w:val="left"/>
      <w:pPr>
        <w:ind w:left="1319" w:hanging="284"/>
      </w:pPr>
      <w:rPr>
        <w:rFonts w:hint="default"/>
        <w:lang w:val="en-US" w:eastAsia="en-US" w:bidi="ar-SA"/>
      </w:rPr>
    </w:lvl>
    <w:lvl w:ilvl="4" w:tplc="9F9E060C">
      <w:numFmt w:val="bullet"/>
      <w:lvlText w:val="•"/>
      <w:lvlJc w:val="left"/>
      <w:pPr>
        <w:ind w:left="1632" w:hanging="284"/>
      </w:pPr>
      <w:rPr>
        <w:rFonts w:hint="default"/>
        <w:lang w:val="en-US" w:eastAsia="en-US" w:bidi="ar-SA"/>
      </w:rPr>
    </w:lvl>
    <w:lvl w:ilvl="5" w:tplc="78EED374">
      <w:numFmt w:val="bullet"/>
      <w:lvlText w:val="•"/>
      <w:lvlJc w:val="left"/>
      <w:pPr>
        <w:ind w:left="1945" w:hanging="284"/>
      </w:pPr>
      <w:rPr>
        <w:rFonts w:hint="default"/>
        <w:lang w:val="en-US" w:eastAsia="en-US" w:bidi="ar-SA"/>
      </w:rPr>
    </w:lvl>
    <w:lvl w:ilvl="6" w:tplc="B136D6E4">
      <w:numFmt w:val="bullet"/>
      <w:lvlText w:val="•"/>
      <w:lvlJc w:val="left"/>
      <w:pPr>
        <w:ind w:left="2258" w:hanging="284"/>
      </w:pPr>
      <w:rPr>
        <w:rFonts w:hint="default"/>
        <w:lang w:val="en-US" w:eastAsia="en-US" w:bidi="ar-SA"/>
      </w:rPr>
    </w:lvl>
    <w:lvl w:ilvl="7" w:tplc="7098F31C">
      <w:numFmt w:val="bullet"/>
      <w:lvlText w:val="•"/>
      <w:lvlJc w:val="left"/>
      <w:pPr>
        <w:ind w:left="2571" w:hanging="284"/>
      </w:pPr>
      <w:rPr>
        <w:rFonts w:hint="default"/>
        <w:lang w:val="en-US" w:eastAsia="en-US" w:bidi="ar-SA"/>
      </w:rPr>
    </w:lvl>
    <w:lvl w:ilvl="8" w:tplc="29286A8E">
      <w:numFmt w:val="bullet"/>
      <w:lvlText w:val="•"/>
      <w:lvlJc w:val="left"/>
      <w:pPr>
        <w:ind w:left="2884" w:hanging="284"/>
      </w:pPr>
      <w:rPr>
        <w:rFonts w:hint="default"/>
        <w:lang w:val="en-US" w:eastAsia="en-US" w:bidi="ar-SA"/>
      </w:rPr>
    </w:lvl>
  </w:abstractNum>
  <w:abstractNum w:abstractNumId="80" w15:restartNumberingAfterBreak="0">
    <w:nsid w:val="13CD5646"/>
    <w:multiLevelType w:val="hybridMultilevel"/>
    <w:tmpl w:val="F9C0CA32"/>
    <w:lvl w:ilvl="0" w:tplc="7006FB30">
      <w:numFmt w:val="bullet"/>
      <w:lvlText w:val=""/>
      <w:lvlJc w:val="left"/>
      <w:pPr>
        <w:ind w:left="422" w:hanging="284"/>
      </w:pPr>
      <w:rPr>
        <w:rFonts w:ascii="Symbol" w:eastAsia="Symbol" w:hAnsi="Symbol" w:cs="Symbol" w:hint="default"/>
        <w:b w:val="0"/>
        <w:bCs w:val="0"/>
        <w:i w:val="0"/>
        <w:iCs w:val="0"/>
        <w:color w:val="70004A"/>
        <w:spacing w:val="0"/>
        <w:w w:val="100"/>
        <w:sz w:val="18"/>
        <w:szCs w:val="18"/>
        <w:lang w:val="en-US" w:eastAsia="en-US" w:bidi="ar-SA"/>
      </w:rPr>
    </w:lvl>
    <w:lvl w:ilvl="1" w:tplc="1116DD84">
      <w:numFmt w:val="bullet"/>
      <w:lvlText w:val="•"/>
      <w:lvlJc w:val="left"/>
      <w:pPr>
        <w:ind w:left="591" w:hanging="284"/>
      </w:pPr>
      <w:rPr>
        <w:rFonts w:hint="default"/>
        <w:lang w:val="en-US" w:eastAsia="en-US" w:bidi="ar-SA"/>
      </w:rPr>
    </w:lvl>
    <w:lvl w:ilvl="2" w:tplc="AF18E106">
      <w:numFmt w:val="bullet"/>
      <w:lvlText w:val="•"/>
      <w:lvlJc w:val="left"/>
      <w:pPr>
        <w:ind w:left="762" w:hanging="284"/>
      </w:pPr>
      <w:rPr>
        <w:rFonts w:hint="default"/>
        <w:lang w:val="en-US" w:eastAsia="en-US" w:bidi="ar-SA"/>
      </w:rPr>
    </w:lvl>
    <w:lvl w:ilvl="3" w:tplc="4FEEF65E">
      <w:numFmt w:val="bullet"/>
      <w:lvlText w:val="•"/>
      <w:lvlJc w:val="left"/>
      <w:pPr>
        <w:ind w:left="933" w:hanging="284"/>
      </w:pPr>
      <w:rPr>
        <w:rFonts w:hint="default"/>
        <w:lang w:val="en-US" w:eastAsia="en-US" w:bidi="ar-SA"/>
      </w:rPr>
    </w:lvl>
    <w:lvl w:ilvl="4" w:tplc="0FE4E07A">
      <w:numFmt w:val="bullet"/>
      <w:lvlText w:val="•"/>
      <w:lvlJc w:val="left"/>
      <w:pPr>
        <w:ind w:left="1105" w:hanging="284"/>
      </w:pPr>
      <w:rPr>
        <w:rFonts w:hint="default"/>
        <w:lang w:val="en-US" w:eastAsia="en-US" w:bidi="ar-SA"/>
      </w:rPr>
    </w:lvl>
    <w:lvl w:ilvl="5" w:tplc="3EDCD9FC">
      <w:numFmt w:val="bullet"/>
      <w:lvlText w:val="•"/>
      <w:lvlJc w:val="left"/>
      <w:pPr>
        <w:ind w:left="1276" w:hanging="284"/>
      </w:pPr>
      <w:rPr>
        <w:rFonts w:hint="default"/>
        <w:lang w:val="en-US" w:eastAsia="en-US" w:bidi="ar-SA"/>
      </w:rPr>
    </w:lvl>
    <w:lvl w:ilvl="6" w:tplc="50EE1C5A">
      <w:numFmt w:val="bullet"/>
      <w:lvlText w:val="•"/>
      <w:lvlJc w:val="left"/>
      <w:pPr>
        <w:ind w:left="1447" w:hanging="284"/>
      </w:pPr>
      <w:rPr>
        <w:rFonts w:hint="default"/>
        <w:lang w:val="en-US" w:eastAsia="en-US" w:bidi="ar-SA"/>
      </w:rPr>
    </w:lvl>
    <w:lvl w:ilvl="7" w:tplc="2FC4D562">
      <w:numFmt w:val="bullet"/>
      <w:lvlText w:val="•"/>
      <w:lvlJc w:val="left"/>
      <w:pPr>
        <w:ind w:left="1619" w:hanging="284"/>
      </w:pPr>
      <w:rPr>
        <w:rFonts w:hint="default"/>
        <w:lang w:val="en-US" w:eastAsia="en-US" w:bidi="ar-SA"/>
      </w:rPr>
    </w:lvl>
    <w:lvl w:ilvl="8" w:tplc="940E4380">
      <w:numFmt w:val="bullet"/>
      <w:lvlText w:val="•"/>
      <w:lvlJc w:val="left"/>
      <w:pPr>
        <w:ind w:left="1790" w:hanging="284"/>
      </w:pPr>
      <w:rPr>
        <w:rFonts w:hint="default"/>
        <w:lang w:val="en-US" w:eastAsia="en-US" w:bidi="ar-SA"/>
      </w:rPr>
    </w:lvl>
  </w:abstractNum>
  <w:abstractNum w:abstractNumId="81" w15:restartNumberingAfterBreak="0">
    <w:nsid w:val="14042334"/>
    <w:multiLevelType w:val="hybridMultilevel"/>
    <w:tmpl w:val="5028A50E"/>
    <w:lvl w:ilvl="0" w:tplc="A08C9AAE">
      <w:numFmt w:val="bullet"/>
      <w:lvlText w:val=""/>
      <w:lvlJc w:val="left"/>
      <w:pPr>
        <w:ind w:left="427" w:hanging="284"/>
      </w:pPr>
      <w:rPr>
        <w:rFonts w:ascii="Symbol" w:eastAsia="Symbol" w:hAnsi="Symbol" w:cs="Symbol" w:hint="default"/>
        <w:b w:val="0"/>
        <w:bCs w:val="0"/>
        <w:i w:val="0"/>
        <w:iCs w:val="0"/>
        <w:color w:val="70004A"/>
        <w:spacing w:val="0"/>
        <w:w w:val="100"/>
        <w:sz w:val="18"/>
        <w:szCs w:val="18"/>
        <w:lang w:val="en-US" w:eastAsia="en-US" w:bidi="ar-SA"/>
      </w:rPr>
    </w:lvl>
    <w:lvl w:ilvl="1" w:tplc="809A1B8A">
      <w:numFmt w:val="bullet"/>
      <w:lvlText w:val="•"/>
      <w:lvlJc w:val="left"/>
      <w:pPr>
        <w:ind w:left="589" w:hanging="284"/>
      </w:pPr>
      <w:rPr>
        <w:rFonts w:hint="default"/>
        <w:lang w:val="en-US" w:eastAsia="en-US" w:bidi="ar-SA"/>
      </w:rPr>
    </w:lvl>
    <w:lvl w:ilvl="2" w:tplc="03F4EC4E">
      <w:numFmt w:val="bullet"/>
      <w:lvlText w:val="•"/>
      <w:lvlJc w:val="left"/>
      <w:pPr>
        <w:ind w:left="759" w:hanging="284"/>
      </w:pPr>
      <w:rPr>
        <w:rFonts w:hint="default"/>
        <w:lang w:val="en-US" w:eastAsia="en-US" w:bidi="ar-SA"/>
      </w:rPr>
    </w:lvl>
    <w:lvl w:ilvl="3" w:tplc="FCB2D492">
      <w:numFmt w:val="bullet"/>
      <w:lvlText w:val="•"/>
      <w:lvlJc w:val="left"/>
      <w:pPr>
        <w:ind w:left="929" w:hanging="284"/>
      </w:pPr>
      <w:rPr>
        <w:rFonts w:hint="default"/>
        <w:lang w:val="en-US" w:eastAsia="en-US" w:bidi="ar-SA"/>
      </w:rPr>
    </w:lvl>
    <w:lvl w:ilvl="4" w:tplc="96F4754C">
      <w:numFmt w:val="bullet"/>
      <w:lvlText w:val="•"/>
      <w:lvlJc w:val="left"/>
      <w:pPr>
        <w:ind w:left="1098" w:hanging="284"/>
      </w:pPr>
      <w:rPr>
        <w:rFonts w:hint="default"/>
        <w:lang w:val="en-US" w:eastAsia="en-US" w:bidi="ar-SA"/>
      </w:rPr>
    </w:lvl>
    <w:lvl w:ilvl="5" w:tplc="502AC8EE">
      <w:numFmt w:val="bullet"/>
      <w:lvlText w:val="•"/>
      <w:lvlJc w:val="left"/>
      <w:pPr>
        <w:ind w:left="1268" w:hanging="284"/>
      </w:pPr>
      <w:rPr>
        <w:rFonts w:hint="default"/>
        <w:lang w:val="en-US" w:eastAsia="en-US" w:bidi="ar-SA"/>
      </w:rPr>
    </w:lvl>
    <w:lvl w:ilvl="6" w:tplc="03845F42">
      <w:numFmt w:val="bullet"/>
      <w:lvlText w:val="•"/>
      <w:lvlJc w:val="left"/>
      <w:pPr>
        <w:ind w:left="1438" w:hanging="284"/>
      </w:pPr>
      <w:rPr>
        <w:rFonts w:hint="default"/>
        <w:lang w:val="en-US" w:eastAsia="en-US" w:bidi="ar-SA"/>
      </w:rPr>
    </w:lvl>
    <w:lvl w:ilvl="7" w:tplc="C1D80A5A">
      <w:numFmt w:val="bullet"/>
      <w:lvlText w:val="•"/>
      <w:lvlJc w:val="left"/>
      <w:pPr>
        <w:ind w:left="1607" w:hanging="284"/>
      </w:pPr>
      <w:rPr>
        <w:rFonts w:hint="default"/>
        <w:lang w:val="en-US" w:eastAsia="en-US" w:bidi="ar-SA"/>
      </w:rPr>
    </w:lvl>
    <w:lvl w:ilvl="8" w:tplc="61F46BC6">
      <w:numFmt w:val="bullet"/>
      <w:lvlText w:val="•"/>
      <w:lvlJc w:val="left"/>
      <w:pPr>
        <w:ind w:left="1777" w:hanging="284"/>
      </w:pPr>
      <w:rPr>
        <w:rFonts w:hint="default"/>
        <w:lang w:val="en-US" w:eastAsia="en-US" w:bidi="ar-SA"/>
      </w:rPr>
    </w:lvl>
  </w:abstractNum>
  <w:abstractNum w:abstractNumId="82" w15:restartNumberingAfterBreak="0">
    <w:nsid w:val="141F0DED"/>
    <w:multiLevelType w:val="hybridMultilevel"/>
    <w:tmpl w:val="F610761C"/>
    <w:lvl w:ilvl="0" w:tplc="70EA1DF4">
      <w:numFmt w:val="bullet"/>
      <w:lvlText w:val=""/>
      <w:lvlJc w:val="left"/>
      <w:pPr>
        <w:ind w:left="450" w:hanging="284"/>
      </w:pPr>
      <w:rPr>
        <w:rFonts w:ascii="Symbol" w:eastAsia="Symbol" w:hAnsi="Symbol" w:cs="Symbol" w:hint="default"/>
        <w:b w:val="0"/>
        <w:bCs w:val="0"/>
        <w:i w:val="0"/>
        <w:iCs w:val="0"/>
        <w:color w:val="70004A"/>
        <w:spacing w:val="0"/>
        <w:w w:val="100"/>
        <w:sz w:val="18"/>
        <w:szCs w:val="18"/>
        <w:lang w:val="en-US" w:eastAsia="en-US" w:bidi="ar-SA"/>
      </w:rPr>
    </w:lvl>
    <w:lvl w:ilvl="1" w:tplc="89C82FDC">
      <w:numFmt w:val="bullet"/>
      <w:lvlText w:val="•"/>
      <w:lvlJc w:val="left"/>
      <w:pPr>
        <w:ind w:left="624" w:hanging="284"/>
      </w:pPr>
      <w:rPr>
        <w:rFonts w:hint="default"/>
        <w:lang w:val="en-US" w:eastAsia="en-US" w:bidi="ar-SA"/>
      </w:rPr>
    </w:lvl>
    <w:lvl w:ilvl="2" w:tplc="94C2815A">
      <w:numFmt w:val="bullet"/>
      <w:lvlText w:val="•"/>
      <w:lvlJc w:val="left"/>
      <w:pPr>
        <w:ind w:left="788" w:hanging="284"/>
      </w:pPr>
      <w:rPr>
        <w:rFonts w:hint="default"/>
        <w:lang w:val="en-US" w:eastAsia="en-US" w:bidi="ar-SA"/>
      </w:rPr>
    </w:lvl>
    <w:lvl w:ilvl="3" w:tplc="CAB89AF8">
      <w:numFmt w:val="bullet"/>
      <w:lvlText w:val="•"/>
      <w:lvlJc w:val="left"/>
      <w:pPr>
        <w:ind w:left="953" w:hanging="284"/>
      </w:pPr>
      <w:rPr>
        <w:rFonts w:hint="default"/>
        <w:lang w:val="en-US" w:eastAsia="en-US" w:bidi="ar-SA"/>
      </w:rPr>
    </w:lvl>
    <w:lvl w:ilvl="4" w:tplc="BC860D9E">
      <w:numFmt w:val="bullet"/>
      <w:lvlText w:val="•"/>
      <w:lvlJc w:val="left"/>
      <w:pPr>
        <w:ind w:left="1117" w:hanging="284"/>
      </w:pPr>
      <w:rPr>
        <w:rFonts w:hint="default"/>
        <w:lang w:val="en-US" w:eastAsia="en-US" w:bidi="ar-SA"/>
      </w:rPr>
    </w:lvl>
    <w:lvl w:ilvl="5" w:tplc="CDD881A4">
      <w:numFmt w:val="bullet"/>
      <w:lvlText w:val="•"/>
      <w:lvlJc w:val="left"/>
      <w:pPr>
        <w:ind w:left="1282" w:hanging="284"/>
      </w:pPr>
      <w:rPr>
        <w:rFonts w:hint="default"/>
        <w:lang w:val="en-US" w:eastAsia="en-US" w:bidi="ar-SA"/>
      </w:rPr>
    </w:lvl>
    <w:lvl w:ilvl="6" w:tplc="E90E8494">
      <w:numFmt w:val="bullet"/>
      <w:lvlText w:val="•"/>
      <w:lvlJc w:val="left"/>
      <w:pPr>
        <w:ind w:left="1446" w:hanging="284"/>
      </w:pPr>
      <w:rPr>
        <w:rFonts w:hint="default"/>
        <w:lang w:val="en-US" w:eastAsia="en-US" w:bidi="ar-SA"/>
      </w:rPr>
    </w:lvl>
    <w:lvl w:ilvl="7" w:tplc="BC3E23B2">
      <w:numFmt w:val="bullet"/>
      <w:lvlText w:val="•"/>
      <w:lvlJc w:val="left"/>
      <w:pPr>
        <w:ind w:left="1610" w:hanging="284"/>
      </w:pPr>
      <w:rPr>
        <w:rFonts w:hint="default"/>
        <w:lang w:val="en-US" w:eastAsia="en-US" w:bidi="ar-SA"/>
      </w:rPr>
    </w:lvl>
    <w:lvl w:ilvl="8" w:tplc="C534085A">
      <w:numFmt w:val="bullet"/>
      <w:lvlText w:val="•"/>
      <w:lvlJc w:val="left"/>
      <w:pPr>
        <w:ind w:left="1775" w:hanging="284"/>
      </w:pPr>
      <w:rPr>
        <w:rFonts w:hint="default"/>
        <w:lang w:val="en-US" w:eastAsia="en-US" w:bidi="ar-SA"/>
      </w:rPr>
    </w:lvl>
  </w:abstractNum>
  <w:abstractNum w:abstractNumId="83" w15:restartNumberingAfterBreak="0">
    <w:nsid w:val="142635F1"/>
    <w:multiLevelType w:val="hybridMultilevel"/>
    <w:tmpl w:val="5588DC56"/>
    <w:lvl w:ilvl="0" w:tplc="62C6D7C6">
      <w:start w:val="1"/>
      <w:numFmt w:val="decimal"/>
      <w:lvlText w:val="%1."/>
      <w:lvlJc w:val="left"/>
      <w:pPr>
        <w:ind w:left="578" w:hanging="425"/>
      </w:pPr>
      <w:rPr>
        <w:rFonts w:ascii="Arial" w:eastAsia="Arial" w:hAnsi="Arial" w:cs="Arial" w:hint="default"/>
        <w:b w:val="0"/>
        <w:bCs w:val="0"/>
        <w:i w:val="0"/>
        <w:iCs w:val="0"/>
        <w:color w:val="70004A"/>
        <w:spacing w:val="-1"/>
        <w:w w:val="100"/>
        <w:sz w:val="14"/>
        <w:szCs w:val="14"/>
        <w:lang w:val="en-US" w:eastAsia="en-US" w:bidi="ar-SA"/>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4" w15:restartNumberingAfterBreak="0">
    <w:nsid w:val="145379E8"/>
    <w:multiLevelType w:val="hybridMultilevel"/>
    <w:tmpl w:val="31DE56C0"/>
    <w:lvl w:ilvl="0" w:tplc="977E208C">
      <w:numFmt w:val="bullet"/>
      <w:lvlText w:val=""/>
      <w:lvlJc w:val="left"/>
      <w:pPr>
        <w:ind w:left="432" w:hanging="284"/>
      </w:pPr>
      <w:rPr>
        <w:rFonts w:ascii="Symbol" w:eastAsia="Symbol" w:hAnsi="Symbol" w:cs="Symbol" w:hint="default"/>
        <w:b w:val="0"/>
        <w:bCs w:val="0"/>
        <w:i w:val="0"/>
        <w:iCs w:val="0"/>
        <w:color w:val="70004A"/>
        <w:spacing w:val="0"/>
        <w:w w:val="100"/>
        <w:sz w:val="18"/>
        <w:szCs w:val="18"/>
        <w:lang w:val="en-US" w:eastAsia="en-US" w:bidi="ar-SA"/>
      </w:rPr>
    </w:lvl>
    <w:lvl w:ilvl="1" w:tplc="F1FCF5FA">
      <w:numFmt w:val="bullet"/>
      <w:lvlText w:val="•"/>
      <w:lvlJc w:val="left"/>
      <w:pPr>
        <w:ind w:left="632" w:hanging="284"/>
      </w:pPr>
      <w:rPr>
        <w:rFonts w:hint="default"/>
        <w:lang w:val="en-US" w:eastAsia="en-US" w:bidi="ar-SA"/>
      </w:rPr>
    </w:lvl>
    <w:lvl w:ilvl="2" w:tplc="306E5B24">
      <w:numFmt w:val="bullet"/>
      <w:lvlText w:val="•"/>
      <w:lvlJc w:val="left"/>
      <w:pPr>
        <w:ind w:left="825" w:hanging="284"/>
      </w:pPr>
      <w:rPr>
        <w:rFonts w:hint="default"/>
        <w:lang w:val="en-US" w:eastAsia="en-US" w:bidi="ar-SA"/>
      </w:rPr>
    </w:lvl>
    <w:lvl w:ilvl="3" w:tplc="D6783C02">
      <w:numFmt w:val="bullet"/>
      <w:lvlText w:val="•"/>
      <w:lvlJc w:val="left"/>
      <w:pPr>
        <w:ind w:left="1017" w:hanging="284"/>
      </w:pPr>
      <w:rPr>
        <w:rFonts w:hint="default"/>
        <w:lang w:val="en-US" w:eastAsia="en-US" w:bidi="ar-SA"/>
      </w:rPr>
    </w:lvl>
    <w:lvl w:ilvl="4" w:tplc="69F67082">
      <w:numFmt w:val="bullet"/>
      <w:lvlText w:val="•"/>
      <w:lvlJc w:val="left"/>
      <w:pPr>
        <w:ind w:left="1210" w:hanging="284"/>
      </w:pPr>
      <w:rPr>
        <w:rFonts w:hint="default"/>
        <w:lang w:val="en-US" w:eastAsia="en-US" w:bidi="ar-SA"/>
      </w:rPr>
    </w:lvl>
    <w:lvl w:ilvl="5" w:tplc="98988FDA">
      <w:numFmt w:val="bullet"/>
      <w:lvlText w:val="•"/>
      <w:lvlJc w:val="left"/>
      <w:pPr>
        <w:ind w:left="1402" w:hanging="284"/>
      </w:pPr>
      <w:rPr>
        <w:rFonts w:hint="default"/>
        <w:lang w:val="en-US" w:eastAsia="en-US" w:bidi="ar-SA"/>
      </w:rPr>
    </w:lvl>
    <w:lvl w:ilvl="6" w:tplc="3E94113E">
      <w:numFmt w:val="bullet"/>
      <w:lvlText w:val="•"/>
      <w:lvlJc w:val="left"/>
      <w:pPr>
        <w:ind w:left="1595" w:hanging="284"/>
      </w:pPr>
      <w:rPr>
        <w:rFonts w:hint="default"/>
        <w:lang w:val="en-US" w:eastAsia="en-US" w:bidi="ar-SA"/>
      </w:rPr>
    </w:lvl>
    <w:lvl w:ilvl="7" w:tplc="D6CCFCBE">
      <w:numFmt w:val="bullet"/>
      <w:lvlText w:val="•"/>
      <w:lvlJc w:val="left"/>
      <w:pPr>
        <w:ind w:left="1787" w:hanging="284"/>
      </w:pPr>
      <w:rPr>
        <w:rFonts w:hint="default"/>
        <w:lang w:val="en-US" w:eastAsia="en-US" w:bidi="ar-SA"/>
      </w:rPr>
    </w:lvl>
    <w:lvl w:ilvl="8" w:tplc="D0CCAA54">
      <w:numFmt w:val="bullet"/>
      <w:lvlText w:val="•"/>
      <w:lvlJc w:val="left"/>
      <w:pPr>
        <w:ind w:left="1980" w:hanging="284"/>
      </w:pPr>
      <w:rPr>
        <w:rFonts w:hint="default"/>
        <w:lang w:val="en-US" w:eastAsia="en-US" w:bidi="ar-SA"/>
      </w:rPr>
    </w:lvl>
  </w:abstractNum>
  <w:abstractNum w:abstractNumId="85" w15:restartNumberingAfterBreak="0">
    <w:nsid w:val="14565A53"/>
    <w:multiLevelType w:val="hybridMultilevel"/>
    <w:tmpl w:val="BA562634"/>
    <w:lvl w:ilvl="0" w:tplc="EE026534">
      <w:numFmt w:val="bullet"/>
      <w:lvlText w:val=""/>
      <w:lvlJc w:val="left"/>
      <w:pPr>
        <w:ind w:left="391" w:hanging="284"/>
      </w:pPr>
      <w:rPr>
        <w:rFonts w:ascii="Symbol" w:eastAsia="Symbol" w:hAnsi="Symbol" w:cs="Symbol" w:hint="default"/>
        <w:b w:val="0"/>
        <w:bCs w:val="0"/>
        <w:i w:val="0"/>
        <w:iCs w:val="0"/>
        <w:color w:val="70004A"/>
        <w:spacing w:val="0"/>
        <w:w w:val="100"/>
        <w:sz w:val="18"/>
        <w:szCs w:val="18"/>
        <w:lang w:val="en-US" w:eastAsia="en-US" w:bidi="ar-SA"/>
      </w:rPr>
    </w:lvl>
    <w:lvl w:ilvl="1" w:tplc="064291C2">
      <w:numFmt w:val="bullet"/>
      <w:lvlText w:val="•"/>
      <w:lvlJc w:val="left"/>
      <w:pPr>
        <w:ind w:left="650" w:hanging="284"/>
      </w:pPr>
      <w:rPr>
        <w:rFonts w:hint="default"/>
        <w:lang w:val="en-US" w:eastAsia="en-US" w:bidi="ar-SA"/>
      </w:rPr>
    </w:lvl>
    <w:lvl w:ilvl="2" w:tplc="4B7C65B4">
      <w:numFmt w:val="bullet"/>
      <w:lvlText w:val="•"/>
      <w:lvlJc w:val="left"/>
      <w:pPr>
        <w:ind w:left="901" w:hanging="284"/>
      </w:pPr>
      <w:rPr>
        <w:rFonts w:hint="default"/>
        <w:lang w:val="en-US" w:eastAsia="en-US" w:bidi="ar-SA"/>
      </w:rPr>
    </w:lvl>
    <w:lvl w:ilvl="3" w:tplc="34C6EE84">
      <w:numFmt w:val="bullet"/>
      <w:lvlText w:val="•"/>
      <w:lvlJc w:val="left"/>
      <w:pPr>
        <w:ind w:left="1151" w:hanging="284"/>
      </w:pPr>
      <w:rPr>
        <w:rFonts w:hint="default"/>
        <w:lang w:val="en-US" w:eastAsia="en-US" w:bidi="ar-SA"/>
      </w:rPr>
    </w:lvl>
    <w:lvl w:ilvl="4" w:tplc="C3CE48D8">
      <w:numFmt w:val="bullet"/>
      <w:lvlText w:val="•"/>
      <w:lvlJc w:val="left"/>
      <w:pPr>
        <w:ind w:left="1402" w:hanging="284"/>
      </w:pPr>
      <w:rPr>
        <w:rFonts w:hint="default"/>
        <w:lang w:val="en-US" w:eastAsia="en-US" w:bidi="ar-SA"/>
      </w:rPr>
    </w:lvl>
    <w:lvl w:ilvl="5" w:tplc="F15C1D70">
      <w:numFmt w:val="bullet"/>
      <w:lvlText w:val="•"/>
      <w:lvlJc w:val="left"/>
      <w:pPr>
        <w:ind w:left="1652" w:hanging="284"/>
      </w:pPr>
      <w:rPr>
        <w:rFonts w:hint="default"/>
        <w:lang w:val="en-US" w:eastAsia="en-US" w:bidi="ar-SA"/>
      </w:rPr>
    </w:lvl>
    <w:lvl w:ilvl="6" w:tplc="A8960FEA">
      <w:numFmt w:val="bullet"/>
      <w:lvlText w:val="•"/>
      <w:lvlJc w:val="left"/>
      <w:pPr>
        <w:ind w:left="1903" w:hanging="284"/>
      </w:pPr>
      <w:rPr>
        <w:rFonts w:hint="default"/>
        <w:lang w:val="en-US" w:eastAsia="en-US" w:bidi="ar-SA"/>
      </w:rPr>
    </w:lvl>
    <w:lvl w:ilvl="7" w:tplc="C728057A">
      <w:numFmt w:val="bullet"/>
      <w:lvlText w:val="•"/>
      <w:lvlJc w:val="left"/>
      <w:pPr>
        <w:ind w:left="2153" w:hanging="284"/>
      </w:pPr>
      <w:rPr>
        <w:rFonts w:hint="default"/>
        <w:lang w:val="en-US" w:eastAsia="en-US" w:bidi="ar-SA"/>
      </w:rPr>
    </w:lvl>
    <w:lvl w:ilvl="8" w:tplc="5DFACECE">
      <w:numFmt w:val="bullet"/>
      <w:lvlText w:val="•"/>
      <w:lvlJc w:val="left"/>
      <w:pPr>
        <w:ind w:left="2404" w:hanging="284"/>
      </w:pPr>
      <w:rPr>
        <w:rFonts w:hint="default"/>
        <w:lang w:val="en-US" w:eastAsia="en-US" w:bidi="ar-SA"/>
      </w:rPr>
    </w:lvl>
  </w:abstractNum>
  <w:abstractNum w:abstractNumId="86" w15:restartNumberingAfterBreak="0">
    <w:nsid w:val="14646B6E"/>
    <w:multiLevelType w:val="hybridMultilevel"/>
    <w:tmpl w:val="54CC9092"/>
    <w:lvl w:ilvl="0" w:tplc="BD948FFE">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A2ECD7F0">
      <w:numFmt w:val="bullet"/>
      <w:lvlText w:val="•"/>
      <w:lvlJc w:val="left"/>
      <w:pPr>
        <w:ind w:left="651" w:hanging="284"/>
      </w:pPr>
      <w:rPr>
        <w:rFonts w:hint="default"/>
        <w:lang w:val="en-US" w:eastAsia="en-US" w:bidi="ar-SA"/>
      </w:rPr>
    </w:lvl>
    <w:lvl w:ilvl="2" w:tplc="8DA800A0">
      <w:numFmt w:val="bullet"/>
      <w:lvlText w:val="•"/>
      <w:lvlJc w:val="left"/>
      <w:pPr>
        <w:ind w:left="922" w:hanging="284"/>
      </w:pPr>
      <w:rPr>
        <w:rFonts w:hint="default"/>
        <w:lang w:val="en-US" w:eastAsia="en-US" w:bidi="ar-SA"/>
      </w:rPr>
    </w:lvl>
    <w:lvl w:ilvl="3" w:tplc="729C585C">
      <w:numFmt w:val="bullet"/>
      <w:lvlText w:val="•"/>
      <w:lvlJc w:val="left"/>
      <w:pPr>
        <w:ind w:left="1193" w:hanging="284"/>
      </w:pPr>
      <w:rPr>
        <w:rFonts w:hint="default"/>
        <w:lang w:val="en-US" w:eastAsia="en-US" w:bidi="ar-SA"/>
      </w:rPr>
    </w:lvl>
    <w:lvl w:ilvl="4" w:tplc="431C1286">
      <w:numFmt w:val="bullet"/>
      <w:lvlText w:val="•"/>
      <w:lvlJc w:val="left"/>
      <w:pPr>
        <w:ind w:left="1464" w:hanging="284"/>
      </w:pPr>
      <w:rPr>
        <w:rFonts w:hint="default"/>
        <w:lang w:val="en-US" w:eastAsia="en-US" w:bidi="ar-SA"/>
      </w:rPr>
    </w:lvl>
    <w:lvl w:ilvl="5" w:tplc="039CC8E0">
      <w:numFmt w:val="bullet"/>
      <w:lvlText w:val="•"/>
      <w:lvlJc w:val="left"/>
      <w:pPr>
        <w:ind w:left="1735" w:hanging="284"/>
      </w:pPr>
      <w:rPr>
        <w:rFonts w:hint="default"/>
        <w:lang w:val="en-US" w:eastAsia="en-US" w:bidi="ar-SA"/>
      </w:rPr>
    </w:lvl>
    <w:lvl w:ilvl="6" w:tplc="BD20020E">
      <w:numFmt w:val="bullet"/>
      <w:lvlText w:val="•"/>
      <w:lvlJc w:val="left"/>
      <w:pPr>
        <w:ind w:left="2006" w:hanging="284"/>
      </w:pPr>
      <w:rPr>
        <w:rFonts w:hint="default"/>
        <w:lang w:val="en-US" w:eastAsia="en-US" w:bidi="ar-SA"/>
      </w:rPr>
    </w:lvl>
    <w:lvl w:ilvl="7" w:tplc="2B62C188">
      <w:numFmt w:val="bullet"/>
      <w:lvlText w:val="•"/>
      <w:lvlJc w:val="left"/>
      <w:pPr>
        <w:ind w:left="2277" w:hanging="284"/>
      </w:pPr>
      <w:rPr>
        <w:rFonts w:hint="default"/>
        <w:lang w:val="en-US" w:eastAsia="en-US" w:bidi="ar-SA"/>
      </w:rPr>
    </w:lvl>
    <w:lvl w:ilvl="8" w:tplc="F2DEDA26">
      <w:numFmt w:val="bullet"/>
      <w:lvlText w:val="•"/>
      <w:lvlJc w:val="left"/>
      <w:pPr>
        <w:ind w:left="2548" w:hanging="284"/>
      </w:pPr>
      <w:rPr>
        <w:rFonts w:hint="default"/>
        <w:lang w:val="en-US" w:eastAsia="en-US" w:bidi="ar-SA"/>
      </w:rPr>
    </w:lvl>
  </w:abstractNum>
  <w:abstractNum w:abstractNumId="87" w15:restartNumberingAfterBreak="0">
    <w:nsid w:val="149B292C"/>
    <w:multiLevelType w:val="hybridMultilevel"/>
    <w:tmpl w:val="59B6FF04"/>
    <w:lvl w:ilvl="0" w:tplc="DE26D38C">
      <w:numFmt w:val="bullet"/>
      <w:lvlText w:val=""/>
      <w:lvlJc w:val="left"/>
      <w:pPr>
        <w:ind w:left="438" w:hanging="284"/>
      </w:pPr>
      <w:rPr>
        <w:rFonts w:ascii="Symbol" w:eastAsia="Symbol" w:hAnsi="Symbol" w:cs="Symbol" w:hint="default"/>
        <w:b w:val="0"/>
        <w:bCs w:val="0"/>
        <w:i w:val="0"/>
        <w:iCs w:val="0"/>
        <w:color w:val="70004A"/>
        <w:spacing w:val="0"/>
        <w:w w:val="100"/>
        <w:sz w:val="18"/>
        <w:szCs w:val="18"/>
        <w:lang w:val="en-US" w:eastAsia="en-US" w:bidi="ar-SA"/>
      </w:rPr>
    </w:lvl>
    <w:lvl w:ilvl="1" w:tplc="5F4EB9B2">
      <w:numFmt w:val="bullet"/>
      <w:lvlText w:val="•"/>
      <w:lvlJc w:val="left"/>
      <w:pPr>
        <w:ind w:left="636" w:hanging="284"/>
      </w:pPr>
      <w:rPr>
        <w:rFonts w:hint="default"/>
        <w:lang w:val="en-US" w:eastAsia="en-US" w:bidi="ar-SA"/>
      </w:rPr>
    </w:lvl>
    <w:lvl w:ilvl="2" w:tplc="711A54E8">
      <w:numFmt w:val="bullet"/>
      <w:lvlText w:val="•"/>
      <w:lvlJc w:val="left"/>
      <w:pPr>
        <w:ind w:left="833" w:hanging="284"/>
      </w:pPr>
      <w:rPr>
        <w:rFonts w:hint="default"/>
        <w:lang w:val="en-US" w:eastAsia="en-US" w:bidi="ar-SA"/>
      </w:rPr>
    </w:lvl>
    <w:lvl w:ilvl="3" w:tplc="D36A28FC">
      <w:numFmt w:val="bullet"/>
      <w:lvlText w:val="•"/>
      <w:lvlJc w:val="left"/>
      <w:pPr>
        <w:ind w:left="1030" w:hanging="284"/>
      </w:pPr>
      <w:rPr>
        <w:rFonts w:hint="default"/>
        <w:lang w:val="en-US" w:eastAsia="en-US" w:bidi="ar-SA"/>
      </w:rPr>
    </w:lvl>
    <w:lvl w:ilvl="4" w:tplc="A8B827F2">
      <w:numFmt w:val="bullet"/>
      <w:lvlText w:val="•"/>
      <w:lvlJc w:val="left"/>
      <w:pPr>
        <w:ind w:left="1227" w:hanging="284"/>
      </w:pPr>
      <w:rPr>
        <w:rFonts w:hint="default"/>
        <w:lang w:val="en-US" w:eastAsia="en-US" w:bidi="ar-SA"/>
      </w:rPr>
    </w:lvl>
    <w:lvl w:ilvl="5" w:tplc="DAF44C68">
      <w:numFmt w:val="bullet"/>
      <w:lvlText w:val="•"/>
      <w:lvlJc w:val="left"/>
      <w:pPr>
        <w:ind w:left="1424" w:hanging="284"/>
      </w:pPr>
      <w:rPr>
        <w:rFonts w:hint="default"/>
        <w:lang w:val="en-US" w:eastAsia="en-US" w:bidi="ar-SA"/>
      </w:rPr>
    </w:lvl>
    <w:lvl w:ilvl="6" w:tplc="B174509C">
      <w:numFmt w:val="bullet"/>
      <w:lvlText w:val="•"/>
      <w:lvlJc w:val="left"/>
      <w:pPr>
        <w:ind w:left="1621" w:hanging="284"/>
      </w:pPr>
      <w:rPr>
        <w:rFonts w:hint="default"/>
        <w:lang w:val="en-US" w:eastAsia="en-US" w:bidi="ar-SA"/>
      </w:rPr>
    </w:lvl>
    <w:lvl w:ilvl="7" w:tplc="CD1AE2F0">
      <w:numFmt w:val="bullet"/>
      <w:lvlText w:val="•"/>
      <w:lvlJc w:val="left"/>
      <w:pPr>
        <w:ind w:left="1818" w:hanging="284"/>
      </w:pPr>
      <w:rPr>
        <w:rFonts w:hint="default"/>
        <w:lang w:val="en-US" w:eastAsia="en-US" w:bidi="ar-SA"/>
      </w:rPr>
    </w:lvl>
    <w:lvl w:ilvl="8" w:tplc="D676F9A8">
      <w:numFmt w:val="bullet"/>
      <w:lvlText w:val="•"/>
      <w:lvlJc w:val="left"/>
      <w:pPr>
        <w:ind w:left="2015" w:hanging="284"/>
      </w:pPr>
      <w:rPr>
        <w:rFonts w:hint="default"/>
        <w:lang w:val="en-US" w:eastAsia="en-US" w:bidi="ar-SA"/>
      </w:rPr>
    </w:lvl>
  </w:abstractNum>
  <w:abstractNum w:abstractNumId="88" w15:restartNumberingAfterBreak="0">
    <w:nsid w:val="14CD232E"/>
    <w:multiLevelType w:val="hybridMultilevel"/>
    <w:tmpl w:val="9AA8BCE2"/>
    <w:lvl w:ilvl="0" w:tplc="CFBC1C80">
      <w:numFmt w:val="bullet"/>
      <w:lvlText w:val=""/>
      <w:lvlJc w:val="left"/>
      <w:pPr>
        <w:ind w:left="314" w:hanging="284"/>
      </w:pPr>
      <w:rPr>
        <w:rFonts w:ascii="Symbol" w:eastAsia="Symbol" w:hAnsi="Symbol" w:cs="Symbol" w:hint="default"/>
        <w:b w:val="0"/>
        <w:bCs w:val="0"/>
        <w:i w:val="0"/>
        <w:iCs w:val="0"/>
        <w:color w:val="70004A"/>
        <w:spacing w:val="0"/>
        <w:w w:val="100"/>
        <w:sz w:val="18"/>
        <w:szCs w:val="18"/>
        <w:lang w:val="en-US" w:eastAsia="en-US" w:bidi="ar-SA"/>
      </w:rPr>
    </w:lvl>
    <w:lvl w:ilvl="1" w:tplc="A4E44CB8">
      <w:numFmt w:val="bullet"/>
      <w:lvlText w:val="•"/>
      <w:lvlJc w:val="left"/>
      <w:pPr>
        <w:ind w:left="440" w:hanging="284"/>
      </w:pPr>
      <w:rPr>
        <w:rFonts w:hint="default"/>
        <w:lang w:val="en-US" w:eastAsia="en-US" w:bidi="ar-SA"/>
      </w:rPr>
    </w:lvl>
    <w:lvl w:ilvl="2" w:tplc="AFFAA2EC">
      <w:numFmt w:val="bullet"/>
      <w:lvlText w:val="•"/>
      <w:lvlJc w:val="left"/>
      <w:pPr>
        <w:ind w:left="561" w:hanging="284"/>
      </w:pPr>
      <w:rPr>
        <w:rFonts w:hint="default"/>
        <w:lang w:val="en-US" w:eastAsia="en-US" w:bidi="ar-SA"/>
      </w:rPr>
    </w:lvl>
    <w:lvl w:ilvl="3" w:tplc="DB48FF7E">
      <w:numFmt w:val="bullet"/>
      <w:lvlText w:val="•"/>
      <w:lvlJc w:val="left"/>
      <w:pPr>
        <w:ind w:left="682" w:hanging="284"/>
      </w:pPr>
      <w:rPr>
        <w:rFonts w:hint="default"/>
        <w:lang w:val="en-US" w:eastAsia="en-US" w:bidi="ar-SA"/>
      </w:rPr>
    </w:lvl>
    <w:lvl w:ilvl="4" w:tplc="4A4EF76E">
      <w:numFmt w:val="bullet"/>
      <w:lvlText w:val="•"/>
      <w:lvlJc w:val="left"/>
      <w:pPr>
        <w:ind w:left="803" w:hanging="284"/>
      </w:pPr>
      <w:rPr>
        <w:rFonts w:hint="default"/>
        <w:lang w:val="en-US" w:eastAsia="en-US" w:bidi="ar-SA"/>
      </w:rPr>
    </w:lvl>
    <w:lvl w:ilvl="5" w:tplc="BA62EBAA">
      <w:numFmt w:val="bullet"/>
      <w:lvlText w:val="•"/>
      <w:lvlJc w:val="left"/>
      <w:pPr>
        <w:ind w:left="924" w:hanging="284"/>
      </w:pPr>
      <w:rPr>
        <w:rFonts w:hint="default"/>
        <w:lang w:val="en-US" w:eastAsia="en-US" w:bidi="ar-SA"/>
      </w:rPr>
    </w:lvl>
    <w:lvl w:ilvl="6" w:tplc="580E9544">
      <w:numFmt w:val="bullet"/>
      <w:lvlText w:val="•"/>
      <w:lvlJc w:val="left"/>
      <w:pPr>
        <w:ind w:left="1045" w:hanging="284"/>
      </w:pPr>
      <w:rPr>
        <w:rFonts w:hint="default"/>
        <w:lang w:val="en-US" w:eastAsia="en-US" w:bidi="ar-SA"/>
      </w:rPr>
    </w:lvl>
    <w:lvl w:ilvl="7" w:tplc="B846F8DE">
      <w:numFmt w:val="bullet"/>
      <w:lvlText w:val="•"/>
      <w:lvlJc w:val="left"/>
      <w:pPr>
        <w:ind w:left="1166" w:hanging="284"/>
      </w:pPr>
      <w:rPr>
        <w:rFonts w:hint="default"/>
        <w:lang w:val="en-US" w:eastAsia="en-US" w:bidi="ar-SA"/>
      </w:rPr>
    </w:lvl>
    <w:lvl w:ilvl="8" w:tplc="EF0E93DE">
      <w:numFmt w:val="bullet"/>
      <w:lvlText w:val="•"/>
      <w:lvlJc w:val="left"/>
      <w:pPr>
        <w:ind w:left="1287" w:hanging="284"/>
      </w:pPr>
      <w:rPr>
        <w:rFonts w:hint="default"/>
        <w:lang w:val="en-US" w:eastAsia="en-US" w:bidi="ar-SA"/>
      </w:rPr>
    </w:lvl>
  </w:abstractNum>
  <w:abstractNum w:abstractNumId="89" w15:restartNumberingAfterBreak="0">
    <w:nsid w:val="159F2CEC"/>
    <w:multiLevelType w:val="hybridMultilevel"/>
    <w:tmpl w:val="3840669E"/>
    <w:lvl w:ilvl="0" w:tplc="36388366">
      <w:numFmt w:val="bullet"/>
      <w:lvlText w:val=""/>
      <w:lvlJc w:val="left"/>
      <w:pPr>
        <w:ind w:left="424" w:hanging="284"/>
      </w:pPr>
      <w:rPr>
        <w:rFonts w:ascii="Symbol" w:eastAsia="Symbol" w:hAnsi="Symbol" w:cs="Symbol" w:hint="default"/>
        <w:b w:val="0"/>
        <w:bCs w:val="0"/>
        <w:i w:val="0"/>
        <w:iCs w:val="0"/>
        <w:color w:val="70004A"/>
        <w:spacing w:val="0"/>
        <w:w w:val="100"/>
        <w:sz w:val="18"/>
        <w:szCs w:val="18"/>
        <w:lang w:val="en-US" w:eastAsia="en-US" w:bidi="ar-SA"/>
      </w:rPr>
    </w:lvl>
    <w:lvl w:ilvl="1" w:tplc="686208EC">
      <w:numFmt w:val="bullet"/>
      <w:lvlText w:val="•"/>
      <w:lvlJc w:val="left"/>
      <w:pPr>
        <w:ind w:left="607" w:hanging="284"/>
      </w:pPr>
      <w:rPr>
        <w:rFonts w:hint="default"/>
        <w:lang w:val="en-US" w:eastAsia="en-US" w:bidi="ar-SA"/>
      </w:rPr>
    </w:lvl>
    <w:lvl w:ilvl="2" w:tplc="8BF48B16">
      <w:numFmt w:val="bullet"/>
      <w:lvlText w:val="•"/>
      <w:lvlJc w:val="left"/>
      <w:pPr>
        <w:ind w:left="794" w:hanging="284"/>
      </w:pPr>
      <w:rPr>
        <w:rFonts w:hint="default"/>
        <w:lang w:val="en-US" w:eastAsia="en-US" w:bidi="ar-SA"/>
      </w:rPr>
    </w:lvl>
    <w:lvl w:ilvl="3" w:tplc="405A0FFA">
      <w:numFmt w:val="bullet"/>
      <w:lvlText w:val="•"/>
      <w:lvlJc w:val="left"/>
      <w:pPr>
        <w:ind w:left="981" w:hanging="284"/>
      </w:pPr>
      <w:rPr>
        <w:rFonts w:hint="default"/>
        <w:lang w:val="en-US" w:eastAsia="en-US" w:bidi="ar-SA"/>
      </w:rPr>
    </w:lvl>
    <w:lvl w:ilvl="4" w:tplc="5F022A5C">
      <w:numFmt w:val="bullet"/>
      <w:lvlText w:val="•"/>
      <w:lvlJc w:val="left"/>
      <w:pPr>
        <w:ind w:left="1168" w:hanging="284"/>
      </w:pPr>
      <w:rPr>
        <w:rFonts w:hint="default"/>
        <w:lang w:val="en-US" w:eastAsia="en-US" w:bidi="ar-SA"/>
      </w:rPr>
    </w:lvl>
    <w:lvl w:ilvl="5" w:tplc="5E961644">
      <w:numFmt w:val="bullet"/>
      <w:lvlText w:val="•"/>
      <w:lvlJc w:val="left"/>
      <w:pPr>
        <w:ind w:left="1356" w:hanging="284"/>
      </w:pPr>
      <w:rPr>
        <w:rFonts w:hint="default"/>
        <w:lang w:val="en-US" w:eastAsia="en-US" w:bidi="ar-SA"/>
      </w:rPr>
    </w:lvl>
    <w:lvl w:ilvl="6" w:tplc="764A6330">
      <w:numFmt w:val="bullet"/>
      <w:lvlText w:val="•"/>
      <w:lvlJc w:val="left"/>
      <w:pPr>
        <w:ind w:left="1543" w:hanging="284"/>
      </w:pPr>
      <w:rPr>
        <w:rFonts w:hint="default"/>
        <w:lang w:val="en-US" w:eastAsia="en-US" w:bidi="ar-SA"/>
      </w:rPr>
    </w:lvl>
    <w:lvl w:ilvl="7" w:tplc="B0B22592">
      <w:numFmt w:val="bullet"/>
      <w:lvlText w:val="•"/>
      <w:lvlJc w:val="left"/>
      <w:pPr>
        <w:ind w:left="1730" w:hanging="284"/>
      </w:pPr>
      <w:rPr>
        <w:rFonts w:hint="default"/>
        <w:lang w:val="en-US" w:eastAsia="en-US" w:bidi="ar-SA"/>
      </w:rPr>
    </w:lvl>
    <w:lvl w:ilvl="8" w:tplc="A96290F2">
      <w:numFmt w:val="bullet"/>
      <w:lvlText w:val="•"/>
      <w:lvlJc w:val="left"/>
      <w:pPr>
        <w:ind w:left="1917" w:hanging="284"/>
      </w:pPr>
      <w:rPr>
        <w:rFonts w:hint="default"/>
        <w:lang w:val="en-US" w:eastAsia="en-US" w:bidi="ar-SA"/>
      </w:rPr>
    </w:lvl>
  </w:abstractNum>
  <w:abstractNum w:abstractNumId="90" w15:restartNumberingAfterBreak="0">
    <w:nsid w:val="15DF46CE"/>
    <w:multiLevelType w:val="hybridMultilevel"/>
    <w:tmpl w:val="285EFEF8"/>
    <w:lvl w:ilvl="0" w:tplc="0EE84178">
      <w:numFmt w:val="bullet"/>
      <w:lvlText w:val=""/>
      <w:lvlJc w:val="left"/>
      <w:pPr>
        <w:ind w:left="515" w:hanging="284"/>
      </w:pPr>
      <w:rPr>
        <w:rFonts w:ascii="Symbol" w:eastAsia="Symbol" w:hAnsi="Symbol" w:cs="Symbol" w:hint="default"/>
        <w:b w:val="0"/>
        <w:bCs w:val="0"/>
        <w:i w:val="0"/>
        <w:iCs w:val="0"/>
        <w:color w:val="70004A"/>
        <w:spacing w:val="0"/>
        <w:w w:val="100"/>
        <w:sz w:val="18"/>
        <w:szCs w:val="18"/>
        <w:lang w:val="en-US" w:eastAsia="en-US" w:bidi="ar-SA"/>
      </w:rPr>
    </w:lvl>
    <w:lvl w:ilvl="1" w:tplc="2E1A0E00">
      <w:numFmt w:val="bullet"/>
      <w:lvlText w:val="•"/>
      <w:lvlJc w:val="left"/>
      <w:pPr>
        <w:ind w:left="805" w:hanging="284"/>
      </w:pPr>
      <w:rPr>
        <w:rFonts w:hint="default"/>
        <w:lang w:val="en-US" w:eastAsia="en-US" w:bidi="ar-SA"/>
      </w:rPr>
    </w:lvl>
    <w:lvl w:ilvl="2" w:tplc="876825AA">
      <w:numFmt w:val="bullet"/>
      <w:lvlText w:val="•"/>
      <w:lvlJc w:val="left"/>
      <w:pPr>
        <w:ind w:left="1090" w:hanging="284"/>
      </w:pPr>
      <w:rPr>
        <w:rFonts w:hint="default"/>
        <w:lang w:val="en-US" w:eastAsia="en-US" w:bidi="ar-SA"/>
      </w:rPr>
    </w:lvl>
    <w:lvl w:ilvl="3" w:tplc="689829FE">
      <w:numFmt w:val="bullet"/>
      <w:lvlText w:val="•"/>
      <w:lvlJc w:val="left"/>
      <w:pPr>
        <w:ind w:left="1375" w:hanging="284"/>
      </w:pPr>
      <w:rPr>
        <w:rFonts w:hint="default"/>
        <w:lang w:val="en-US" w:eastAsia="en-US" w:bidi="ar-SA"/>
      </w:rPr>
    </w:lvl>
    <w:lvl w:ilvl="4" w:tplc="82604484">
      <w:numFmt w:val="bullet"/>
      <w:lvlText w:val="•"/>
      <w:lvlJc w:val="left"/>
      <w:pPr>
        <w:ind w:left="1660" w:hanging="284"/>
      </w:pPr>
      <w:rPr>
        <w:rFonts w:hint="default"/>
        <w:lang w:val="en-US" w:eastAsia="en-US" w:bidi="ar-SA"/>
      </w:rPr>
    </w:lvl>
    <w:lvl w:ilvl="5" w:tplc="FEC0C7EA">
      <w:numFmt w:val="bullet"/>
      <w:lvlText w:val="•"/>
      <w:lvlJc w:val="left"/>
      <w:pPr>
        <w:ind w:left="1945" w:hanging="284"/>
      </w:pPr>
      <w:rPr>
        <w:rFonts w:hint="default"/>
        <w:lang w:val="en-US" w:eastAsia="en-US" w:bidi="ar-SA"/>
      </w:rPr>
    </w:lvl>
    <w:lvl w:ilvl="6" w:tplc="D54EBC2E">
      <w:numFmt w:val="bullet"/>
      <w:lvlText w:val="•"/>
      <w:lvlJc w:val="left"/>
      <w:pPr>
        <w:ind w:left="2230" w:hanging="284"/>
      </w:pPr>
      <w:rPr>
        <w:rFonts w:hint="default"/>
        <w:lang w:val="en-US" w:eastAsia="en-US" w:bidi="ar-SA"/>
      </w:rPr>
    </w:lvl>
    <w:lvl w:ilvl="7" w:tplc="E94A7898">
      <w:numFmt w:val="bullet"/>
      <w:lvlText w:val="•"/>
      <w:lvlJc w:val="left"/>
      <w:pPr>
        <w:ind w:left="2515" w:hanging="284"/>
      </w:pPr>
      <w:rPr>
        <w:rFonts w:hint="default"/>
        <w:lang w:val="en-US" w:eastAsia="en-US" w:bidi="ar-SA"/>
      </w:rPr>
    </w:lvl>
    <w:lvl w:ilvl="8" w:tplc="BAACEE58">
      <w:numFmt w:val="bullet"/>
      <w:lvlText w:val="•"/>
      <w:lvlJc w:val="left"/>
      <w:pPr>
        <w:ind w:left="2800" w:hanging="284"/>
      </w:pPr>
      <w:rPr>
        <w:rFonts w:hint="default"/>
        <w:lang w:val="en-US" w:eastAsia="en-US" w:bidi="ar-SA"/>
      </w:rPr>
    </w:lvl>
  </w:abstractNum>
  <w:abstractNum w:abstractNumId="91" w15:restartNumberingAfterBreak="0">
    <w:nsid w:val="15F340B0"/>
    <w:multiLevelType w:val="hybridMultilevel"/>
    <w:tmpl w:val="E68E707C"/>
    <w:lvl w:ilvl="0" w:tplc="AB508AC8">
      <w:numFmt w:val="bullet"/>
      <w:lvlText w:val=""/>
      <w:lvlJc w:val="left"/>
      <w:pPr>
        <w:ind w:left="500" w:hanging="360"/>
      </w:pPr>
      <w:rPr>
        <w:rFonts w:ascii="Symbol" w:eastAsia="Symbol" w:hAnsi="Symbol" w:cs="Symbol" w:hint="default"/>
        <w:b w:val="0"/>
        <w:bCs w:val="0"/>
        <w:i w:val="0"/>
        <w:iCs w:val="0"/>
        <w:color w:val="70004A"/>
        <w:spacing w:val="0"/>
        <w:w w:val="100"/>
        <w:sz w:val="20"/>
        <w:szCs w:val="20"/>
        <w:lang w:val="en-US" w:eastAsia="en-US" w:bidi="ar-SA"/>
      </w:rPr>
    </w:lvl>
    <w:lvl w:ilvl="1" w:tplc="A374492E">
      <w:numFmt w:val="bullet"/>
      <w:lvlText w:val="•"/>
      <w:lvlJc w:val="left"/>
      <w:pPr>
        <w:ind w:left="1442" w:hanging="360"/>
      </w:pPr>
      <w:rPr>
        <w:rFonts w:hint="default"/>
        <w:lang w:val="en-US" w:eastAsia="en-US" w:bidi="ar-SA"/>
      </w:rPr>
    </w:lvl>
    <w:lvl w:ilvl="2" w:tplc="C30C41D0">
      <w:numFmt w:val="bullet"/>
      <w:lvlText w:val="•"/>
      <w:lvlJc w:val="left"/>
      <w:pPr>
        <w:ind w:left="2384" w:hanging="360"/>
      </w:pPr>
      <w:rPr>
        <w:rFonts w:hint="default"/>
        <w:lang w:val="en-US" w:eastAsia="en-US" w:bidi="ar-SA"/>
      </w:rPr>
    </w:lvl>
    <w:lvl w:ilvl="3" w:tplc="4D6A2C38">
      <w:numFmt w:val="bullet"/>
      <w:lvlText w:val="•"/>
      <w:lvlJc w:val="left"/>
      <w:pPr>
        <w:ind w:left="3326" w:hanging="360"/>
      </w:pPr>
      <w:rPr>
        <w:rFonts w:hint="default"/>
        <w:lang w:val="en-US" w:eastAsia="en-US" w:bidi="ar-SA"/>
      </w:rPr>
    </w:lvl>
    <w:lvl w:ilvl="4" w:tplc="CE8E9F4A">
      <w:numFmt w:val="bullet"/>
      <w:lvlText w:val="•"/>
      <w:lvlJc w:val="left"/>
      <w:pPr>
        <w:ind w:left="4268" w:hanging="360"/>
      </w:pPr>
      <w:rPr>
        <w:rFonts w:hint="default"/>
        <w:lang w:val="en-US" w:eastAsia="en-US" w:bidi="ar-SA"/>
      </w:rPr>
    </w:lvl>
    <w:lvl w:ilvl="5" w:tplc="74C40718">
      <w:numFmt w:val="bullet"/>
      <w:lvlText w:val="•"/>
      <w:lvlJc w:val="left"/>
      <w:pPr>
        <w:ind w:left="5211" w:hanging="360"/>
      </w:pPr>
      <w:rPr>
        <w:rFonts w:hint="default"/>
        <w:lang w:val="en-US" w:eastAsia="en-US" w:bidi="ar-SA"/>
      </w:rPr>
    </w:lvl>
    <w:lvl w:ilvl="6" w:tplc="952428F6">
      <w:numFmt w:val="bullet"/>
      <w:lvlText w:val="•"/>
      <w:lvlJc w:val="left"/>
      <w:pPr>
        <w:ind w:left="6153" w:hanging="360"/>
      </w:pPr>
      <w:rPr>
        <w:rFonts w:hint="default"/>
        <w:lang w:val="en-US" w:eastAsia="en-US" w:bidi="ar-SA"/>
      </w:rPr>
    </w:lvl>
    <w:lvl w:ilvl="7" w:tplc="CFE2AAEC">
      <w:numFmt w:val="bullet"/>
      <w:lvlText w:val="•"/>
      <w:lvlJc w:val="left"/>
      <w:pPr>
        <w:ind w:left="7095" w:hanging="360"/>
      </w:pPr>
      <w:rPr>
        <w:rFonts w:hint="default"/>
        <w:lang w:val="en-US" w:eastAsia="en-US" w:bidi="ar-SA"/>
      </w:rPr>
    </w:lvl>
    <w:lvl w:ilvl="8" w:tplc="C28AA636">
      <w:numFmt w:val="bullet"/>
      <w:lvlText w:val="•"/>
      <w:lvlJc w:val="left"/>
      <w:pPr>
        <w:ind w:left="8037" w:hanging="360"/>
      </w:pPr>
      <w:rPr>
        <w:rFonts w:hint="default"/>
        <w:lang w:val="en-US" w:eastAsia="en-US" w:bidi="ar-SA"/>
      </w:rPr>
    </w:lvl>
  </w:abstractNum>
  <w:abstractNum w:abstractNumId="92" w15:restartNumberingAfterBreak="0">
    <w:nsid w:val="15FF14F4"/>
    <w:multiLevelType w:val="hybridMultilevel"/>
    <w:tmpl w:val="20944454"/>
    <w:lvl w:ilvl="0" w:tplc="CBEE1ACA">
      <w:numFmt w:val="bullet"/>
      <w:lvlText w:val=""/>
      <w:lvlJc w:val="left"/>
      <w:pPr>
        <w:ind w:left="460" w:hanging="284"/>
      </w:pPr>
      <w:rPr>
        <w:rFonts w:ascii="Symbol" w:eastAsia="Symbol" w:hAnsi="Symbol" w:cs="Symbol" w:hint="default"/>
        <w:b w:val="0"/>
        <w:bCs w:val="0"/>
        <w:i w:val="0"/>
        <w:iCs w:val="0"/>
        <w:color w:val="70004A"/>
        <w:spacing w:val="0"/>
        <w:w w:val="100"/>
        <w:sz w:val="18"/>
        <w:szCs w:val="18"/>
        <w:lang w:val="en-US" w:eastAsia="en-US" w:bidi="ar-SA"/>
      </w:rPr>
    </w:lvl>
    <w:lvl w:ilvl="1" w:tplc="005AE7AA">
      <w:numFmt w:val="bullet"/>
      <w:lvlText w:val="•"/>
      <w:lvlJc w:val="left"/>
      <w:pPr>
        <w:ind w:left="681" w:hanging="284"/>
      </w:pPr>
      <w:rPr>
        <w:rFonts w:hint="default"/>
        <w:lang w:val="en-US" w:eastAsia="en-US" w:bidi="ar-SA"/>
      </w:rPr>
    </w:lvl>
    <w:lvl w:ilvl="2" w:tplc="2C38DC10">
      <w:numFmt w:val="bullet"/>
      <w:lvlText w:val="•"/>
      <w:lvlJc w:val="left"/>
      <w:pPr>
        <w:ind w:left="902" w:hanging="284"/>
      </w:pPr>
      <w:rPr>
        <w:rFonts w:hint="default"/>
        <w:lang w:val="en-US" w:eastAsia="en-US" w:bidi="ar-SA"/>
      </w:rPr>
    </w:lvl>
    <w:lvl w:ilvl="3" w:tplc="0CF8D152">
      <w:numFmt w:val="bullet"/>
      <w:lvlText w:val="•"/>
      <w:lvlJc w:val="left"/>
      <w:pPr>
        <w:ind w:left="1123" w:hanging="284"/>
      </w:pPr>
      <w:rPr>
        <w:rFonts w:hint="default"/>
        <w:lang w:val="en-US" w:eastAsia="en-US" w:bidi="ar-SA"/>
      </w:rPr>
    </w:lvl>
    <w:lvl w:ilvl="4" w:tplc="D372760A">
      <w:numFmt w:val="bullet"/>
      <w:lvlText w:val="•"/>
      <w:lvlJc w:val="left"/>
      <w:pPr>
        <w:ind w:left="1344" w:hanging="284"/>
      </w:pPr>
      <w:rPr>
        <w:rFonts w:hint="default"/>
        <w:lang w:val="en-US" w:eastAsia="en-US" w:bidi="ar-SA"/>
      </w:rPr>
    </w:lvl>
    <w:lvl w:ilvl="5" w:tplc="C4B879F8">
      <w:numFmt w:val="bullet"/>
      <w:lvlText w:val="•"/>
      <w:lvlJc w:val="left"/>
      <w:pPr>
        <w:ind w:left="1565" w:hanging="284"/>
      </w:pPr>
      <w:rPr>
        <w:rFonts w:hint="default"/>
        <w:lang w:val="en-US" w:eastAsia="en-US" w:bidi="ar-SA"/>
      </w:rPr>
    </w:lvl>
    <w:lvl w:ilvl="6" w:tplc="89B8F3D6">
      <w:numFmt w:val="bullet"/>
      <w:lvlText w:val="•"/>
      <w:lvlJc w:val="left"/>
      <w:pPr>
        <w:ind w:left="1786" w:hanging="284"/>
      </w:pPr>
      <w:rPr>
        <w:rFonts w:hint="default"/>
        <w:lang w:val="en-US" w:eastAsia="en-US" w:bidi="ar-SA"/>
      </w:rPr>
    </w:lvl>
    <w:lvl w:ilvl="7" w:tplc="E1A28C00">
      <w:numFmt w:val="bullet"/>
      <w:lvlText w:val="•"/>
      <w:lvlJc w:val="left"/>
      <w:pPr>
        <w:ind w:left="2007" w:hanging="284"/>
      </w:pPr>
      <w:rPr>
        <w:rFonts w:hint="default"/>
        <w:lang w:val="en-US" w:eastAsia="en-US" w:bidi="ar-SA"/>
      </w:rPr>
    </w:lvl>
    <w:lvl w:ilvl="8" w:tplc="4D284AEC">
      <w:numFmt w:val="bullet"/>
      <w:lvlText w:val="•"/>
      <w:lvlJc w:val="left"/>
      <w:pPr>
        <w:ind w:left="2228" w:hanging="284"/>
      </w:pPr>
      <w:rPr>
        <w:rFonts w:hint="default"/>
        <w:lang w:val="en-US" w:eastAsia="en-US" w:bidi="ar-SA"/>
      </w:rPr>
    </w:lvl>
  </w:abstractNum>
  <w:abstractNum w:abstractNumId="93" w15:restartNumberingAfterBreak="0">
    <w:nsid w:val="16003302"/>
    <w:multiLevelType w:val="hybridMultilevel"/>
    <w:tmpl w:val="25E40B36"/>
    <w:lvl w:ilvl="0" w:tplc="9642CE9C">
      <w:numFmt w:val="bullet"/>
      <w:lvlText w:val=""/>
      <w:lvlJc w:val="left"/>
      <w:pPr>
        <w:ind w:left="335" w:hanging="284"/>
      </w:pPr>
      <w:rPr>
        <w:rFonts w:ascii="Symbol" w:eastAsia="Symbol" w:hAnsi="Symbol" w:cs="Symbol" w:hint="default"/>
        <w:b w:val="0"/>
        <w:bCs w:val="0"/>
        <w:i w:val="0"/>
        <w:iCs w:val="0"/>
        <w:color w:val="70004A"/>
        <w:spacing w:val="0"/>
        <w:w w:val="100"/>
        <w:sz w:val="18"/>
        <w:szCs w:val="18"/>
        <w:lang w:val="en-US" w:eastAsia="en-US" w:bidi="ar-SA"/>
      </w:rPr>
    </w:lvl>
    <w:lvl w:ilvl="1" w:tplc="B6F8CAA2">
      <w:numFmt w:val="bullet"/>
      <w:lvlText w:val="•"/>
      <w:lvlJc w:val="left"/>
      <w:pPr>
        <w:ind w:left="452" w:hanging="284"/>
      </w:pPr>
      <w:rPr>
        <w:rFonts w:hint="default"/>
        <w:lang w:val="en-US" w:eastAsia="en-US" w:bidi="ar-SA"/>
      </w:rPr>
    </w:lvl>
    <w:lvl w:ilvl="2" w:tplc="3E244DEE">
      <w:numFmt w:val="bullet"/>
      <w:lvlText w:val="•"/>
      <w:lvlJc w:val="left"/>
      <w:pPr>
        <w:ind w:left="565" w:hanging="284"/>
      </w:pPr>
      <w:rPr>
        <w:rFonts w:hint="default"/>
        <w:lang w:val="en-US" w:eastAsia="en-US" w:bidi="ar-SA"/>
      </w:rPr>
    </w:lvl>
    <w:lvl w:ilvl="3" w:tplc="22C412F8">
      <w:numFmt w:val="bullet"/>
      <w:lvlText w:val="•"/>
      <w:lvlJc w:val="left"/>
      <w:pPr>
        <w:ind w:left="678" w:hanging="284"/>
      </w:pPr>
      <w:rPr>
        <w:rFonts w:hint="default"/>
        <w:lang w:val="en-US" w:eastAsia="en-US" w:bidi="ar-SA"/>
      </w:rPr>
    </w:lvl>
    <w:lvl w:ilvl="4" w:tplc="2C203446">
      <w:numFmt w:val="bullet"/>
      <w:lvlText w:val="•"/>
      <w:lvlJc w:val="left"/>
      <w:pPr>
        <w:ind w:left="791" w:hanging="284"/>
      </w:pPr>
      <w:rPr>
        <w:rFonts w:hint="default"/>
        <w:lang w:val="en-US" w:eastAsia="en-US" w:bidi="ar-SA"/>
      </w:rPr>
    </w:lvl>
    <w:lvl w:ilvl="5" w:tplc="EADC96BE">
      <w:numFmt w:val="bullet"/>
      <w:lvlText w:val="•"/>
      <w:lvlJc w:val="left"/>
      <w:pPr>
        <w:ind w:left="904" w:hanging="284"/>
      </w:pPr>
      <w:rPr>
        <w:rFonts w:hint="default"/>
        <w:lang w:val="en-US" w:eastAsia="en-US" w:bidi="ar-SA"/>
      </w:rPr>
    </w:lvl>
    <w:lvl w:ilvl="6" w:tplc="76DAFE0E">
      <w:numFmt w:val="bullet"/>
      <w:lvlText w:val="•"/>
      <w:lvlJc w:val="left"/>
      <w:pPr>
        <w:ind w:left="1016" w:hanging="284"/>
      </w:pPr>
      <w:rPr>
        <w:rFonts w:hint="default"/>
        <w:lang w:val="en-US" w:eastAsia="en-US" w:bidi="ar-SA"/>
      </w:rPr>
    </w:lvl>
    <w:lvl w:ilvl="7" w:tplc="1A26AC7A">
      <w:numFmt w:val="bullet"/>
      <w:lvlText w:val="•"/>
      <w:lvlJc w:val="left"/>
      <w:pPr>
        <w:ind w:left="1129" w:hanging="284"/>
      </w:pPr>
      <w:rPr>
        <w:rFonts w:hint="default"/>
        <w:lang w:val="en-US" w:eastAsia="en-US" w:bidi="ar-SA"/>
      </w:rPr>
    </w:lvl>
    <w:lvl w:ilvl="8" w:tplc="70AAA58C">
      <w:numFmt w:val="bullet"/>
      <w:lvlText w:val="•"/>
      <w:lvlJc w:val="left"/>
      <w:pPr>
        <w:ind w:left="1242" w:hanging="284"/>
      </w:pPr>
      <w:rPr>
        <w:rFonts w:hint="default"/>
        <w:lang w:val="en-US" w:eastAsia="en-US" w:bidi="ar-SA"/>
      </w:rPr>
    </w:lvl>
  </w:abstractNum>
  <w:abstractNum w:abstractNumId="94" w15:restartNumberingAfterBreak="0">
    <w:nsid w:val="17636F5B"/>
    <w:multiLevelType w:val="multilevel"/>
    <w:tmpl w:val="F4F64B96"/>
    <w:numStyleLink w:val="Appendices"/>
  </w:abstractNum>
  <w:abstractNum w:abstractNumId="95" w15:restartNumberingAfterBreak="0">
    <w:nsid w:val="17E02619"/>
    <w:multiLevelType w:val="hybridMultilevel"/>
    <w:tmpl w:val="75B06432"/>
    <w:lvl w:ilvl="0" w:tplc="409E69BA">
      <w:numFmt w:val="bullet"/>
      <w:lvlText w:val=""/>
      <w:lvlJc w:val="left"/>
      <w:pPr>
        <w:ind w:left="501" w:hanging="360"/>
      </w:pPr>
      <w:rPr>
        <w:rFonts w:ascii="Symbol" w:eastAsia="Symbol" w:hAnsi="Symbol" w:cs="Symbol" w:hint="default"/>
        <w:b w:val="0"/>
        <w:bCs w:val="0"/>
        <w:i w:val="0"/>
        <w:iCs w:val="0"/>
        <w:color w:val="70004A"/>
        <w:spacing w:val="0"/>
        <w:w w:val="100"/>
        <w:sz w:val="20"/>
        <w:szCs w:val="20"/>
        <w:lang w:val="en-US" w:eastAsia="en-US" w:bidi="ar-SA"/>
      </w:rPr>
    </w:lvl>
    <w:lvl w:ilvl="1" w:tplc="65282D60">
      <w:numFmt w:val="bullet"/>
      <w:lvlText w:val="•"/>
      <w:lvlJc w:val="left"/>
      <w:pPr>
        <w:ind w:left="1428" w:hanging="360"/>
      </w:pPr>
      <w:rPr>
        <w:rFonts w:hint="default"/>
        <w:lang w:val="en-US" w:eastAsia="en-US" w:bidi="ar-SA"/>
      </w:rPr>
    </w:lvl>
    <w:lvl w:ilvl="2" w:tplc="37E6B9E8">
      <w:numFmt w:val="bullet"/>
      <w:lvlText w:val="•"/>
      <w:lvlJc w:val="left"/>
      <w:pPr>
        <w:ind w:left="2356" w:hanging="360"/>
      </w:pPr>
      <w:rPr>
        <w:rFonts w:hint="default"/>
        <w:lang w:val="en-US" w:eastAsia="en-US" w:bidi="ar-SA"/>
      </w:rPr>
    </w:lvl>
    <w:lvl w:ilvl="3" w:tplc="8ACC4E9C">
      <w:numFmt w:val="bullet"/>
      <w:lvlText w:val="•"/>
      <w:lvlJc w:val="left"/>
      <w:pPr>
        <w:ind w:left="3284" w:hanging="360"/>
      </w:pPr>
      <w:rPr>
        <w:rFonts w:hint="default"/>
        <w:lang w:val="en-US" w:eastAsia="en-US" w:bidi="ar-SA"/>
      </w:rPr>
    </w:lvl>
    <w:lvl w:ilvl="4" w:tplc="2E9A427E">
      <w:numFmt w:val="bullet"/>
      <w:lvlText w:val="•"/>
      <w:lvlJc w:val="left"/>
      <w:pPr>
        <w:ind w:left="4212" w:hanging="360"/>
      </w:pPr>
      <w:rPr>
        <w:rFonts w:hint="default"/>
        <w:lang w:val="en-US" w:eastAsia="en-US" w:bidi="ar-SA"/>
      </w:rPr>
    </w:lvl>
    <w:lvl w:ilvl="5" w:tplc="5F187AE8">
      <w:numFmt w:val="bullet"/>
      <w:lvlText w:val="•"/>
      <w:lvlJc w:val="left"/>
      <w:pPr>
        <w:ind w:left="5140" w:hanging="360"/>
      </w:pPr>
      <w:rPr>
        <w:rFonts w:hint="default"/>
        <w:lang w:val="en-US" w:eastAsia="en-US" w:bidi="ar-SA"/>
      </w:rPr>
    </w:lvl>
    <w:lvl w:ilvl="6" w:tplc="8BBC3BCA">
      <w:numFmt w:val="bullet"/>
      <w:lvlText w:val="•"/>
      <w:lvlJc w:val="left"/>
      <w:pPr>
        <w:ind w:left="6068" w:hanging="360"/>
      </w:pPr>
      <w:rPr>
        <w:rFonts w:hint="default"/>
        <w:lang w:val="en-US" w:eastAsia="en-US" w:bidi="ar-SA"/>
      </w:rPr>
    </w:lvl>
    <w:lvl w:ilvl="7" w:tplc="3F84158A">
      <w:numFmt w:val="bullet"/>
      <w:lvlText w:val="•"/>
      <w:lvlJc w:val="left"/>
      <w:pPr>
        <w:ind w:left="6996" w:hanging="360"/>
      </w:pPr>
      <w:rPr>
        <w:rFonts w:hint="default"/>
        <w:lang w:val="en-US" w:eastAsia="en-US" w:bidi="ar-SA"/>
      </w:rPr>
    </w:lvl>
    <w:lvl w:ilvl="8" w:tplc="D7A2E668">
      <w:numFmt w:val="bullet"/>
      <w:lvlText w:val="•"/>
      <w:lvlJc w:val="left"/>
      <w:pPr>
        <w:ind w:left="7925" w:hanging="360"/>
      </w:pPr>
      <w:rPr>
        <w:rFonts w:hint="default"/>
        <w:lang w:val="en-US" w:eastAsia="en-US" w:bidi="ar-SA"/>
      </w:rPr>
    </w:lvl>
  </w:abstractNum>
  <w:abstractNum w:abstractNumId="96" w15:restartNumberingAfterBreak="0">
    <w:nsid w:val="17F72046"/>
    <w:multiLevelType w:val="hybridMultilevel"/>
    <w:tmpl w:val="BF98ADE2"/>
    <w:lvl w:ilvl="0" w:tplc="38023106">
      <w:numFmt w:val="bullet"/>
      <w:lvlText w:val=""/>
      <w:lvlJc w:val="left"/>
      <w:pPr>
        <w:ind w:left="460" w:hanging="284"/>
      </w:pPr>
      <w:rPr>
        <w:rFonts w:ascii="Symbol" w:eastAsia="Symbol" w:hAnsi="Symbol" w:cs="Symbol" w:hint="default"/>
        <w:b w:val="0"/>
        <w:bCs w:val="0"/>
        <w:i w:val="0"/>
        <w:iCs w:val="0"/>
        <w:color w:val="70004A"/>
        <w:spacing w:val="0"/>
        <w:w w:val="100"/>
        <w:sz w:val="18"/>
        <w:szCs w:val="18"/>
        <w:lang w:val="en-US" w:eastAsia="en-US" w:bidi="ar-SA"/>
      </w:rPr>
    </w:lvl>
    <w:lvl w:ilvl="1" w:tplc="FDE28C82">
      <w:numFmt w:val="bullet"/>
      <w:lvlText w:val="•"/>
      <w:lvlJc w:val="left"/>
      <w:pPr>
        <w:ind w:left="681" w:hanging="284"/>
      </w:pPr>
      <w:rPr>
        <w:rFonts w:hint="default"/>
        <w:lang w:val="en-US" w:eastAsia="en-US" w:bidi="ar-SA"/>
      </w:rPr>
    </w:lvl>
    <w:lvl w:ilvl="2" w:tplc="C23856E0">
      <w:numFmt w:val="bullet"/>
      <w:lvlText w:val="•"/>
      <w:lvlJc w:val="left"/>
      <w:pPr>
        <w:ind w:left="902" w:hanging="284"/>
      </w:pPr>
      <w:rPr>
        <w:rFonts w:hint="default"/>
        <w:lang w:val="en-US" w:eastAsia="en-US" w:bidi="ar-SA"/>
      </w:rPr>
    </w:lvl>
    <w:lvl w:ilvl="3" w:tplc="35D216AE">
      <w:numFmt w:val="bullet"/>
      <w:lvlText w:val="•"/>
      <w:lvlJc w:val="left"/>
      <w:pPr>
        <w:ind w:left="1123" w:hanging="284"/>
      </w:pPr>
      <w:rPr>
        <w:rFonts w:hint="default"/>
        <w:lang w:val="en-US" w:eastAsia="en-US" w:bidi="ar-SA"/>
      </w:rPr>
    </w:lvl>
    <w:lvl w:ilvl="4" w:tplc="6F347EF4">
      <w:numFmt w:val="bullet"/>
      <w:lvlText w:val="•"/>
      <w:lvlJc w:val="left"/>
      <w:pPr>
        <w:ind w:left="1344" w:hanging="284"/>
      </w:pPr>
      <w:rPr>
        <w:rFonts w:hint="default"/>
        <w:lang w:val="en-US" w:eastAsia="en-US" w:bidi="ar-SA"/>
      </w:rPr>
    </w:lvl>
    <w:lvl w:ilvl="5" w:tplc="C388F54A">
      <w:numFmt w:val="bullet"/>
      <w:lvlText w:val="•"/>
      <w:lvlJc w:val="left"/>
      <w:pPr>
        <w:ind w:left="1565" w:hanging="284"/>
      </w:pPr>
      <w:rPr>
        <w:rFonts w:hint="default"/>
        <w:lang w:val="en-US" w:eastAsia="en-US" w:bidi="ar-SA"/>
      </w:rPr>
    </w:lvl>
    <w:lvl w:ilvl="6" w:tplc="E1B47616">
      <w:numFmt w:val="bullet"/>
      <w:lvlText w:val="•"/>
      <w:lvlJc w:val="left"/>
      <w:pPr>
        <w:ind w:left="1786" w:hanging="284"/>
      </w:pPr>
      <w:rPr>
        <w:rFonts w:hint="default"/>
        <w:lang w:val="en-US" w:eastAsia="en-US" w:bidi="ar-SA"/>
      </w:rPr>
    </w:lvl>
    <w:lvl w:ilvl="7" w:tplc="A5040078">
      <w:numFmt w:val="bullet"/>
      <w:lvlText w:val="•"/>
      <w:lvlJc w:val="left"/>
      <w:pPr>
        <w:ind w:left="2007" w:hanging="284"/>
      </w:pPr>
      <w:rPr>
        <w:rFonts w:hint="default"/>
        <w:lang w:val="en-US" w:eastAsia="en-US" w:bidi="ar-SA"/>
      </w:rPr>
    </w:lvl>
    <w:lvl w:ilvl="8" w:tplc="7A2425FC">
      <w:numFmt w:val="bullet"/>
      <w:lvlText w:val="•"/>
      <w:lvlJc w:val="left"/>
      <w:pPr>
        <w:ind w:left="2228" w:hanging="284"/>
      </w:pPr>
      <w:rPr>
        <w:rFonts w:hint="default"/>
        <w:lang w:val="en-US" w:eastAsia="en-US" w:bidi="ar-SA"/>
      </w:rPr>
    </w:lvl>
  </w:abstractNum>
  <w:abstractNum w:abstractNumId="97" w15:restartNumberingAfterBreak="0">
    <w:nsid w:val="18F23F1B"/>
    <w:multiLevelType w:val="hybridMultilevel"/>
    <w:tmpl w:val="3CFABAA6"/>
    <w:lvl w:ilvl="0" w:tplc="0A722F66">
      <w:numFmt w:val="bullet"/>
      <w:lvlText w:val=""/>
      <w:lvlJc w:val="left"/>
      <w:pPr>
        <w:ind w:left="390" w:hanging="284"/>
      </w:pPr>
      <w:rPr>
        <w:rFonts w:ascii="Symbol" w:eastAsia="Symbol" w:hAnsi="Symbol" w:cs="Symbol" w:hint="default"/>
        <w:b w:val="0"/>
        <w:bCs w:val="0"/>
        <w:i w:val="0"/>
        <w:iCs w:val="0"/>
        <w:color w:val="70004A"/>
        <w:spacing w:val="0"/>
        <w:w w:val="100"/>
        <w:sz w:val="18"/>
        <w:szCs w:val="18"/>
        <w:lang w:val="en-US" w:eastAsia="en-US" w:bidi="ar-SA"/>
      </w:rPr>
    </w:lvl>
    <w:lvl w:ilvl="1" w:tplc="B7C818D6">
      <w:numFmt w:val="bullet"/>
      <w:lvlText w:val="•"/>
      <w:lvlJc w:val="left"/>
      <w:pPr>
        <w:ind w:left="620" w:hanging="284"/>
      </w:pPr>
      <w:rPr>
        <w:rFonts w:hint="default"/>
        <w:lang w:val="en-US" w:eastAsia="en-US" w:bidi="ar-SA"/>
      </w:rPr>
    </w:lvl>
    <w:lvl w:ilvl="2" w:tplc="1A5C9CDC">
      <w:numFmt w:val="bullet"/>
      <w:lvlText w:val="•"/>
      <w:lvlJc w:val="left"/>
      <w:pPr>
        <w:ind w:left="840" w:hanging="284"/>
      </w:pPr>
      <w:rPr>
        <w:rFonts w:hint="default"/>
        <w:lang w:val="en-US" w:eastAsia="en-US" w:bidi="ar-SA"/>
      </w:rPr>
    </w:lvl>
    <w:lvl w:ilvl="3" w:tplc="2594ED32">
      <w:numFmt w:val="bullet"/>
      <w:lvlText w:val="•"/>
      <w:lvlJc w:val="left"/>
      <w:pPr>
        <w:ind w:left="1061" w:hanging="284"/>
      </w:pPr>
      <w:rPr>
        <w:rFonts w:hint="default"/>
        <w:lang w:val="en-US" w:eastAsia="en-US" w:bidi="ar-SA"/>
      </w:rPr>
    </w:lvl>
    <w:lvl w:ilvl="4" w:tplc="20E07952">
      <w:numFmt w:val="bullet"/>
      <w:lvlText w:val="•"/>
      <w:lvlJc w:val="left"/>
      <w:pPr>
        <w:ind w:left="1281" w:hanging="284"/>
      </w:pPr>
      <w:rPr>
        <w:rFonts w:hint="default"/>
        <w:lang w:val="en-US" w:eastAsia="en-US" w:bidi="ar-SA"/>
      </w:rPr>
    </w:lvl>
    <w:lvl w:ilvl="5" w:tplc="9A10BC32">
      <w:numFmt w:val="bullet"/>
      <w:lvlText w:val="•"/>
      <w:lvlJc w:val="left"/>
      <w:pPr>
        <w:ind w:left="1502" w:hanging="284"/>
      </w:pPr>
      <w:rPr>
        <w:rFonts w:hint="default"/>
        <w:lang w:val="en-US" w:eastAsia="en-US" w:bidi="ar-SA"/>
      </w:rPr>
    </w:lvl>
    <w:lvl w:ilvl="6" w:tplc="4626A232">
      <w:numFmt w:val="bullet"/>
      <w:lvlText w:val="•"/>
      <w:lvlJc w:val="left"/>
      <w:pPr>
        <w:ind w:left="1722" w:hanging="284"/>
      </w:pPr>
      <w:rPr>
        <w:rFonts w:hint="default"/>
        <w:lang w:val="en-US" w:eastAsia="en-US" w:bidi="ar-SA"/>
      </w:rPr>
    </w:lvl>
    <w:lvl w:ilvl="7" w:tplc="EDA8F89C">
      <w:numFmt w:val="bullet"/>
      <w:lvlText w:val="•"/>
      <w:lvlJc w:val="left"/>
      <w:pPr>
        <w:ind w:left="1942" w:hanging="284"/>
      </w:pPr>
      <w:rPr>
        <w:rFonts w:hint="default"/>
        <w:lang w:val="en-US" w:eastAsia="en-US" w:bidi="ar-SA"/>
      </w:rPr>
    </w:lvl>
    <w:lvl w:ilvl="8" w:tplc="2484597A">
      <w:numFmt w:val="bullet"/>
      <w:lvlText w:val="•"/>
      <w:lvlJc w:val="left"/>
      <w:pPr>
        <w:ind w:left="2163" w:hanging="284"/>
      </w:pPr>
      <w:rPr>
        <w:rFonts w:hint="default"/>
        <w:lang w:val="en-US" w:eastAsia="en-US" w:bidi="ar-SA"/>
      </w:rPr>
    </w:lvl>
  </w:abstractNum>
  <w:abstractNum w:abstractNumId="98" w15:restartNumberingAfterBreak="0">
    <w:nsid w:val="19047625"/>
    <w:multiLevelType w:val="hybridMultilevel"/>
    <w:tmpl w:val="586222EC"/>
    <w:lvl w:ilvl="0" w:tplc="F8988C66">
      <w:numFmt w:val="bullet"/>
      <w:lvlText w:val=""/>
      <w:lvlJc w:val="left"/>
      <w:pPr>
        <w:ind w:left="446" w:hanging="284"/>
      </w:pPr>
      <w:rPr>
        <w:rFonts w:ascii="Symbol" w:eastAsia="Symbol" w:hAnsi="Symbol" w:cs="Symbol" w:hint="default"/>
        <w:b w:val="0"/>
        <w:bCs w:val="0"/>
        <w:i w:val="0"/>
        <w:iCs w:val="0"/>
        <w:color w:val="70004A"/>
        <w:spacing w:val="0"/>
        <w:w w:val="100"/>
        <w:sz w:val="18"/>
        <w:szCs w:val="18"/>
        <w:lang w:val="en-US" w:eastAsia="en-US" w:bidi="ar-SA"/>
      </w:rPr>
    </w:lvl>
    <w:lvl w:ilvl="1" w:tplc="C3C263D0">
      <w:numFmt w:val="bullet"/>
      <w:lvlText w:val="•"/>
      <w:lvlJc w:val="left"/>
      <w:pPr>
        <w:ind w:left="625" w:hanging="284"/>
      </w:pPr>
      <w:rPr>
        <w:rFonts w:hint="default"/>
        <w:lang w:val="en-US" w:eastAsia="en-US" w:bidi="ar-SA"/>
      </w:rPr>
    </w:lvl>
    <w:lvl w:ilvl="2" w:tplc="7D3868E4">
      <w:numFmt w:val="bullet"/>
      <w:lvlText w:val="•"/>
      <w:lvlJc w:val="left"/>
      <w:pPr>
        <w:ind w:left="811" w:hanging="284"/>
      </w:pPr>
      <w:rPr>
        <w:rFonts w:hint="default"/>
        <w:lang w:val="en-US" w:eastAsia="en-US" w:bidi="ar-SA"/>
      </w:rPr>
    </w:lvl>
    <w:lvl w:ilvl="3" w:tplc="6DDE6B0A">
      <w:numFmt w:val="bullet"/>
      <w:lvlText w:val="•"/>
      <w:lvlJc w:val="left"/>
      <w:pPr>
        <w:ind w:left="996" w:hanging="284"/>
      </w:pPr>
      <w:rPr>
        <w:rFonts w:hint="default"/>
        <w:lang w:val="en-US" w:eastAsia="en-US" w:bidi="ar-SA"/>
      </w:rPr>
    </w:lvl>
    <w:lvl w:ilvl="4" w:tplc="CBB224A0">
      <w:numFmt w:val="bullet"/>
      <w:lvlText w:val="•"/>
      <w:lvlJc w:val="left"/>
      <w:pPr>
        <w:ind w:left="1182" w:hanging="284"/>
      </w:pPr>
      <w:rPr>
        <w:rFonts w:hint="default"/>
        <w:lang w:val="en-US" w:eastAsia="en-US" w:bidi="ar-SA"/>
      </w:rPr>
    </w:lvl>
    <w:lvl w:ilvl="5" w:tplc="5AA046E8">
      <w:numFmt w:val="bullet"/>
      <w:lvlText w:val="•"/>
      <w:lvlJc w:val="left"/>
      <w:pPr>
        <w:ind w:left="1368" w:hanging="284"/>
      </w:pPr>
      <w:rPr>
        <w:rFonts w:hint="default"/>
        <w:lang w:val="en-US" w:eastAsia="en-US" w:bidi="ar-SA"/>
      </w:rPr>
    </w:lvl>
    <w:lvl w:ilvl="6" w:tplc="9BBCF8D0">
      <w:numFmt w:val="bullet"/>
      <w:lvlText w:val="•"/>
      <w:lvlJc w:val="left"/>
      <w:pPr>
        <w:ind w:left="1553" w:hanging="284"/>
      </w:pPr>
      <w:rPr>
        <w:rFonts w:hint="default"/>
        <w:lang w:val="en-US" w:eastAsia="en-US" w:bidi="ar-SA"/>
      </w:rPr>
    </w:lvl>
    <w:lvl w:ilvl="7" w:tplc="EFBA6F98">
      <w:numFmt w:val="bullet"/>
      <w:lvlText w:val="•"/>
      <w:lvlJc w:val="left"/>
      <w:pPr>
        <w:ind w:left="1739" w:hanging="284"/>
      </w:pPr>
      <w:rPr>
        <w:rFonts w:hint="default"/>
        <w:lang w:val="en-US" w:eastAsia="en-US" w:bidi="ar-SA"/>
      </w:rPr>
    </w:lvl>
    <w:lvl w:ilvl="8" w:tplc="7D54A1E6">
      <w:numFmt w:val="bullet"/>
      <w:lvlText w:val="•"/>
      <w:lvlJc w:val="left"/>
      <w:pPr>
        <w:ind w:left="1924" w:hanging="284"/>
      </w:pPr>
      <w:rPr>
        <w:rFonts w:hint="default"/>
        <w:lang w:val="en-US" w:eastAsia="en-US" w:bidi="ar-SA"/>
      </w:rPr>
    </w:lvl>
  </w:abstractNum>
  <w:abstractNum w:abstractNumId="99" w15:restartNumberingAfterBreak="0">
    <w:nsid w:val="191F6454"/>
    <w:multiLevelType w:val="hybridMultilevel"/>
    <w:tmpl w:val="607CE222"/>
    <w:lvl w:ilvl="0" w:tplc="C88077C8">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B1F0CB8E">
      <w:numFmt w:val="bullet"/>
      <w:lvlText w:val="•"/>
      <w:lvlJc w:val="left"/>
      <w:pPr>
        <w:ind w:left="641" w:hanging="284"/>
      </w:pPr>
      <w:rPr>
        <w:rFonts w:hint="default"/>
        <w:lang w:val="en-US" w:eastAsia="en-US" w:bidi="ar-SA"/>
      </w:rPr>
    </w:lvl>
    <w:lvl w:ilvl="2" w:tplc="84B804FE">
      <w:numFmt w:val="bullet"/>
      <w:lvlText w:val="•"/>
      <w:lvlJc w:val="left"/>
      <w:pPr>
        <w:ind w:left="882" w:hanging="284"/>
      </w:pPr>
      <w:rPr>
        <w:rFonts w:hint="default"/>
        <w:lang w:val="en-US" w:eastAsia="en-US" w:bidi="ar-SA"/>
      </w:rPr>
    </w:lvl>
    <w:lvl w:ilvl="3" w:tplc="EF52DC6E">
      <w:numFmt w:val="bullet"/>
      <w:lvlText w:val="•"/>
      <w:lvlJc w:val="left"/>
      <w:pPr>
        <w:ind w:left="1123" w:hanging="284"/>
      </w:pPr>
      <w:rPr>
        <w:rFonts w:hint="default"/>
        <w:lang w:val="en-US" w:eastAsia="en-US" w:bidi="ar-SA"/>
      </w:rPr>
    </w:lvl>
    <w:lvl w:ilvl="4" w:tplc="16C833A0">
      <w:numFmt w:val="bullet"/>
      <w:lvlText w:val="•"/>
      <w:lvlJc w:val="left"/>
      <w:pPr>
        <w:ind w:left="1365" w:hanging="284"/>
      </w:pPr>
      <w:rPr>
        <w:rFonts w:hint="default"/>
        <w:lang w:val="en-US" w:eastAsia="en-US" w:bidi="ar-SA"/>
      </w:rPr>
    </w:lvl>
    <w:lvl w:ilvl="5" w:tplc="FAA67DB6">
      <w:numFmt w:val="bullet"/>
      <w:lvlText w:val="•"/>
      <w:lvlJc w:val="left"/>
      <w:pPr>
        <w:ind w:left="1606" w:hanging="284"/>
      </w:pPr>
      <w:rPr>
        <w:rFonts w:hint="default"/>
        <w:lang w:val="en-US" w:eastAsia="en-US" w:bidi="ar-SA"/>
      </w:rPr>
    </w:lvl>
    <w:lvl w:ilvl="6" w:tplc="0E9CF488">
      <w:numFmt w:val="bullet"/>
      <w:lvlText w:val="•"/>
      <w:lvlJc w:val="left"/>
      <w:pPr>
        <w:ind w:left="1847" w:hanging="284"/>
      </w:pPr>
      <w:rPr>
        <w:rFonts w:hint="default"/>
        <w:lang w:val="en-US" w:eastAsia="en-US" w:bidi="ar-SA"/>
      </w:rPr>
    </w:lvl>
    <w:lvl w:ilvl="7" w:tplc="CF36C59E">
      <w:numFmt w:val="bullet"/>
      <w:lvlText w:val="•"/>
      <w:lvlJc w:val="left"/>
      <w:pPr>
        <w:ind w:left="2089" w:hanging="284"/>
      </w:pPr>
      <w:rPr>
        <w:rFonts w:hint="default"/>
        <w:lang w:val="en-US" w:eastAsia="en-US" w:bidi="ar-SA"/>
      </w:rPr>
    </w:lvl>
    <w:lvl w:ilvl="8" w:tplc="DF92727A">
      <w:numFmt w:val="bullet"/>
      <w:lvlText w:val="•"/>
      <w:lvlJc w:val="left"/>
      <w:pPr>
        <w:ind w:left="2330" w:hanging="284"/>
      </w:pPr>
      <w:rPr>
        <w:rFonts w:hint="default"/>
        <w:lang w:val="en-US" w:eastAsia="en-US" w:bidi="ar-SA"/>
      </w:rPr>
    </w:lvl>
  </w:abstractNum>
  <w:abstractNum w:abstractNumId="100" w15:restartNumberingAfterBreak="0">
    <w:nsid w:val="195C0A85"/>
    <w:multiLevelType w:val="hybridMultilevel"/>
    <w:tmpl w:val="63A2C6BA"/>
    <w:lvl w:ilvl="0" w:tplc="8A7EA602">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21B21C90">
      <w:numFmt w:val="bullet"/>
      <w:lvlText w:val="•"/>
      <w:lvlJc w:val="left"/>
      <w:pPr>
        <w:ind w:left="635" w:hanging="284"/>
      </w:pPr>
      <w:rPr>
        <w:rFonts w:hint="default"/>
        <w:lang w:val="en-US" w:eastAsia="en-US" w:bidi="ar-SA"/>
      </w:rPr>
    </w:lvl>
    <w:lvl w:ilvl="2" w:tplc="23E2D648">
      <w:numFmt w:val="bullet"/>
      <w:lvlText w:val="•"/>
      <w:lvlJc w:val="left"/>
      <w:pPr>
        <w:ind w:left="890" w:hanging="284"/>
      </w:pPr>
      <w:rPr>
        <w:rFonts w:hint="default"/>
        <w:lang w:val="en-US" w:eastAsia="en-US" w:bidi="ar-SA"/>
      </w:rPr>
    </w:lvl>
    <w:lvl w:ilvl="3" w:tplc="06D20438">
      <w:numFmt w:val="bullet"/>
      <w:lvlText w:val="•"/>
      <w:lvlJc w:val="left"/>
      <w:pPr>
        <w:ind w:left="1145" w:hanging="284"/>
      </w:pPr>
      <w:rPr>
        <w:rFonts w:hint="default"/>
        <w:lang w:val="en-US" w:eastAsia="en-US" w:bidi="ar-SA"/>
      </w:rPr>
    </w:lvl>
    <w:lvl w:ilvl="4" w:tplc="254E7BD6">
      <w:numFmt w:val="bullet"/>
      <w:lvlText w:val="•"/>
      <w:lvlJc w:val="left"/>
      <w:pPr>
        <w:ind w:left="1400" w:hanging="284"/>
      </w:pPr>
      <w:rPr>
        <w:rFonts w:hint="default"/>
        <w:lang w:val="en-US" w:eastAsia="en-US" w:bidi="ar-SA"/>
      </w:rPr>
    </w:lvl>
    <w:lvl w:ilvl="5" w:tplc="293AEB66">
      <w:numFmt w:val="bullet"/>
      <w:lvlText w:val="•"/>
      <w:lvlJc w:val="left"/>
      <w:pPr>
        <w:ind w:left="1656" w:hanging="284"/>
      </w:pPr>
      <w:rPr>
        <w:rFonts w:hint="default"/>
        <w:lang w:val="en-US" w:eastAsia="en-US" w:bidi="ar-SA"/>
      </w:rPr>
    </w:lvl>
    <w:lvl w:ilvl="6" w:tplc="4EAA24D2">
      <w:numFmt w:val="bullet"/>
      <w:lvlText w:val="•"/>
      <w:lvlJc w:val="left"/>
      <w:pPr>
        <w:ind w:left="1911" w:hanging="284"/>
      </w:pPr>
      <w:rPr>
        <w:rFonts w:hint="default"/>
        <w:lang w:val="en-US" w:eastAsia="en-US" w:bidi="ar-SA"/>
      </w:rPr>
    </w:lvl>
    <w:lvl w:ilvl="7" w:tplc="1766F38C">
      <w:numFmt w:val="bullet"/>
      <w:lvlText w:val="•"/>
      <w:lvlJc w:val="left"/>
      <w:pPr>
        <w:ind w:left="2166" w:hanging="284"/>
      </w:pPr>
      <w:rPr>
        <w:rFonts w:hint="default"/>
        <w:lang w:val="en-US" w:eastAsia="en-US" w:bidi="ar-SA"/>
      </w:rPr>
    </w:lvl>
    <w:lvl w:ilvl="8" w:tplc="06C62FE6">
      <w:numFmt w:val="bullet"/>
      <w:lvlText w:val="•"/>
      <w:lvlJc w:val="left"/>
      <w:pPr>
        <w:ind w:left="2421" w:hanging="284"/>
      </w:pPr>
      <w:rPr>
        <w:rFonts w:hint="default"/>
        <w:lang w:val="en-US" w:eastAsia="en-US" w:bidi="ar-SA"/>
      </w:rPr>
    </w:lvl>
  </w:abstractNum>
  <w:abstractNum w:abstractNumId="101" w15:restartNumberingAfterBreak="0">
    <w:nsid w:val="1971346C"/>
    <w:multiLevelType w:val="hybridMultilevel"/>
    <w:tmpl w:val="C0227922"/>
    <w:lvl w:ilvl="0" w:tplc="A3A0C5D6">
      <w:numFmt w:val="bullet"/>
      <w:lvlText w:val=""/>
      <w:lvlJc w:val="left"/>
      <w:pPr>
        <w:ind w:left="425" w:hanging="284"/>
      </w:pPr>
      <w:rPr>
        <w:rFonts w:ascii="Symbol" w:eastAsia="Symbol" w:hAnsi="Symbol" w:cs="Symbol" w:hint="default"/>
        <w:b w:val="0"/>
        <w:bCs w:val="0"/>
        <w:i w:val="0"/>
        <w:iCs w:val="0"/>
        <w:color w:val="70004A"/>
        <w:spacing w:val="0"/>
        <w:w w:val="100"/>
        <w:sz w:val="18"/>
        <w:szCs w:val="18"/>
        <w:lang w:val="en-US" w:eastAsia="en-US" w:bidi="ar-SA"/>
      </w:rPr>
    </w:lvl>
    <w:lvl w:ilvl="1" w:tplc="40F67752">
      <w:numFmt w:val="bullet"/>
      <w:lvlText w:val="•"/>
      <w:lvlJc w:val="left"/>
      <w:pPr>
        <w:ind w:left="617" w:hanging="284"/>
      </w:pPr>
      <w:rPr>
        <w:rFonts w:hint="default"/>
        <w:lang w:val="en-US" w:eastAsia="en-US" w:bidi="ar-SA"/>
      </w:rPr>
    </w:lvl>
    <w:lvl w:ilvl="2" w:tplc="0EA423AC">
      <w:numFmt w:val="bullet"/>
      <w:lvlText w:val="•"/>
      <w:lvlJc w:val="left"/>
      <w:pPr>
        <w:ind w:left="815" w:hanging="284"/>
      </w:pPr>
      <w:rPr>
        <w:rFonts w:hint="default"/>
        <w:lang w:val="en-US" w:eastAsia="en-US" w:bidi="ar-SA"/>
      </w:rPr>
    </w:lvl>
    <w:lvl w:ilvl="3" w:tplc="F0128530">
      <w:numFmt w:val="bullet"/>
      <w:lvlText w:val="•"/>
      <w:lvlJc w:val="left"/>
      <w:pPr>
        <w:ind w:left="1013" w:hanging="284"/>
      </w:pPr>
      <w:rPr>
        <w:rFonts w:hint="default"/>
        <w:lang w:val="en-US" w:eastAsia="en-US" w:bidi="ar-SA"/>
      </w:rPr>
    </w:lvl>
    <w:lvl w:ilvl="4" w:tplc="E9A643EA">
      <w:numFmt w:val="bullet"/>
      <w:lvlText w:val="•"/>
      <w:lvlJc w:val="left"/>
      <w:pPr>
        <w:ind w:left="1210" w:hanging="284"/>
      </w:pPr>
      <w:rPr>
        <w:rFonts w:hint="default"/>
        <w:lang w:val="en-US" w:eastAsia="en-US" w:bidi="ar-SA"/>
      </w:rPr>
    </w:lvl>
    <w:lvl w:ilvl="5" w:tplc="D2B05242">
      <w:numFmt w:val="bullet"/>
      <w:lvlText w:val="•"/>
      <w:lvlJc w:val="left"/>
      <w:pPr>
        <w:ind w:left="1408" w:hanging="284"/>
      </w:pPr>
      <w:rPr>
        <w:rFonts w:hint="default"/>
        <w:lang w:val="en-US" w:eastAsia="en-US" w:bidi="ar-SA"/>
      </w:rPr>
    </w:lvl>
    <w:lvl w:ilvl="6" w:tplc="11B8288C">
      <w:numFmt w:val="bullet"/>
      <w:lvlText w:val="•"/>
      <w:lvlJc w:val="left"/>
      <w:pPr>
        <w:ind w:left="1606" w:hanging="284"/>
      </w:pPr>
      <w:rPr>
        <w:rFonts w:hint="default"/>
        <w:lang w:val="en-US" w:eastAsia="en-US" w:bidi="ar-SA"/>
      </w:rPr>
    </w:lvl>
    <w:lvl w:ilvl="7" w:tplc="DC3C8D08">
      <w:numFmt w:val="bullet"/>
      <w:lvlText w:val="•"/>
      <w:lvlJc w:val="left"/>
      <w:pPr>
        <w:ind w:left="1803" w:hanging="284"/>
      </w:pPr>
      <w:rPr>
        <w:rFonts w:hint="default"/>
        <w:lang w:val="en-US" w:eastAsia="en-US" w:bidi="ar-SA"/>
      </w:rPr>
    </w:lvl>
    <w:lvl w:ilvl="8" w:tplc="04E401D8">
      <w:numFmt w:val="bullet"/>
      <w:lvlText w:val="•"/>
      <w:lvlJc w:val="left"/>
      <w:pPr>
        <w:ind w:left="2001" w:hanging="284"/>
      </w:pPr>
      <w:rPr>
        <w:rFonts w:hint="default"/>
        <w:lang w:val="en-US" w:eastAsia="en-US" w:bidi="ar-SA"/>
      </w:rPr>
    </w:lvl>
  </w:abstractNum>
  <w:abstractNum w:abstractNumId="102" w15:restartNumberingAfterBreak="0">
    <w:nsid w:val="19760560"/>
    <w:multiLevelType w:val="hybridMultilevel"/>
    <w:tmpl w:val="A23A1E6C"/>
    <w:lvl w:ilvl="0" w:tplc="5B46F454">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E0C8EC62">
      <w:numFmt w:val="bullet"/>
      <w:lvlText w:val="•"/>
      <w:lvlJc w:val="left"/>
      <w:pPr>
        <w:ind w:left="643" w:hanging="284"/>
      </w:pPr>
      <w:rPr>
        <w:rFonts w:hint="default"/>
        <w:lang w:val="en-US" w:eastAsia="en-US" w:bidi="ar-SA"/>
      </w:rPr>
    </w:lvl>
    <w:lvl w:ilvl="2" w:tplc="F9526CE4">
      <w:numFmt w:val="bullet"/>
      <w:lvlText w:val="•"/>
      <w:lvlJc w:val="left"/>
      <w:pPr>
        <w:ind w:left="886" w:hanging="284"/>
      </w:pPr>
      <w:rPr>
        <w:rFonts w:hint="default"/>
        <w:lang w:val="en-US" w:eastAsia="en-US" w:bidi="ar-SA"/>
      </w:rPr>
    </w:lvl>
    <w:lvl w:ilvl="3" w:tplc="CCF6A21E">
      <w:numFmt w:val="bullet"/>
      <w:lvlText w:val="•"/>
      <w:lvlJc w:val="left"/>
      <w:pPr>
        <w:ind w:left="1129" w:hanging="284"/>
      </w:pPr>
      <w:rPr>
        <w:rFonts w:hint="default"/>
        <w:lang w:val="en-US" w:eastAsia="en-US" w:bidi="ar-SA"/>
      </w:rPr>
    </w:lvl>
    <w:lvl w:ilvl="4" w:tplc="F7AC3650">
      <w:numFmt w:val="bullet"/>
      <w:lvlText w:val="•"/>
      <w:lvlJc w:val="left"/>
      <w:pPr>
        <w:ind w:left="1373" w:hanging="284"/>
      </w:pPr>
      <w:rPr>
        <w:rFonts w:hint="default"/>
        <w:lang w:val="en-US" w:eastAsia="en-US" w:bidi="ar-SA"/>
      </w:rPr>
    </w:lvl>
    <w:lvl w:ilvl="5" w:tplc="EE1095BA">
      <w:numFmt w:val="bullet"/>
      <w:lvlText w:val="•"/>
      <w:lvlJc w:val="left"/>
      <w:pPr>
        <w:ind w:left="1616" w:hanging="284"/>
      </w:pPr>
      <w:rPr>
        <w:rFonts w:hint="default"/>
        <w:lang w:val="en-US" w:eastAsia="en-US" w:bidi="ar-SA"/>
      </w:rPr>
    </w:lvl>
    <w:lvl w:ilvl="6" w:tplc="9208CE50">
      <w:numFmt w:val="bullet"/>
      <w:lvlText w:val="•"/>
      <w:lvlJc w:val="left"/>
      <w:pPr>
        <w:ind w:left="1859" w:hanging="284"/>
      </w:pPr>
      <w:rPr>
        <w:rFonts w:hint="default"/>
        <w:lang w:val="en-US" w:eastAsia="en-US" w:bidi="ar-SA"/>
      </w:rPr>
    </w:lvl>
    <w:lvl w:ilvl="7" w:tplc="6A908CD0">
      <w:numFmt w:val="bullet"/>
      <w:lvlText w:val="•"/>
      <w:lvlJc w:val="left"/>
      <w:pPr>
        <w:ind w:left="2103" w:hanging="284"/>
      </w:pPr>
      <w:rPr>
        <w:rFonts w:hint="default"/>
        <w:lang w:val="en-US" w:eastAsia="en-US" w:bidi="ar-SA"/>
      </w:rPr>
    </w:lvl>
    <w:lvl w:ilvl="8" w:tplc="AB661BF6">
      <w:numFmt w:val="bullet"/>
      <w:lvlText w:val="•"/>
      <w:lvlJc w:val="left"/>
      <w:pPr>
        <w:ind w:left="2346" w:hanging="284"/>
      </w:pPr>
      <w:rPr>
        <w:rFonts w:hint="default"/>
        <w:lang w:val="en-US" w:eastAsia="en-US" w:bidi="ar-SA"/>
      </w:rPr>
    </w:lvl>
  </w:abstractNum>
  <w:abstractNum w:abstractNumId="103" w15:restartNumberingAfterBreak="0">
    <w:nsid w:val="19B266AA"/>
    <w:multiLevelType w:val="hybridMultilevel"/>
    <w:tmpl w:val="9F1C9D8A"/>
    <w:lvl w:ilvl="0" w:tplc="57F23F94">
      <w:numFmt w:val="bullet"/>
      <w:lvlText w:val=""/>
      <w:lvlJc w:val="left"/>
      <w:pPr>
        <w:ind w:left="438" w:hanging="284"/>
      </w:pPr>
      <w:rPr>
        <w:rFonts w:ascii="Symbol" w:eastAsia="Symbol" w:hAnsi="Symbol" w:cs="Symbol" w:hint="default"/>
        <w:b w:val="0"/>
        <w:bCs w:val="0"/>
        <w:i w:val="0"/>
        <w:iCs w:val="0"/>
        <w:color w:val="70004A"/>
        <w:spacing w:val="0"/>
        <w:w w:val="100"/>
        <w:sz w:val="18"/>
        <w:szCs w:val="18"/>
        <w:lang w:val="en-US" w:eastAsia="en-US" w:bidi="ar-SA"/>
      </w:rPr>
    </w:lvl>
    <w:lvl w:ilvl="1" w:tplc="79867960">
      <w:numFmt w:val="bullet"/>
      <w:lvlText w:val="•"/>
      <w:lvlJc w:val="left"/>
      <w:pPr>
        <w:ind w:left="674" w:hanging="284"/>
      </w:pPr>
      <w:rPr>
        <w:rFonts w:hint="default"/>
        <w:lang w:val="en-US" w:eastAsia="en-US" w:bidi="ar-SA"/>
      </w:rPr>
    </w:lvl>
    <w:lvl w:ilvl="2" w:tplc="E17CD0C6">
      <w:numFmt w:val="bullet"/>
      <w:lvlText w:val="•"/>
      <w:lvlJc w:val="left"/>
      <w:pPr>
        <w:ind w:left="909" w:hanging="284"/>
      </w:pPr>
      <w:rPr>
        <w:rFonts w:hint="default"/>
        <w:lang w:val="en-US" w:eastAsia="en-US" w:bidi="ar-SA"/>
      </w:rPr>
    </w:lvl>
    <w:lvl w:ilvl="3" w:tplc="F3AE1DC8">
      <w:numFmt w:val="bullet"/>
      <w:lvlText w:val="•"/>
      <w:lvlJc w:val="left"/>
      <w:pPr>
        <w:ind w:left="1143" w:hanging="284"/>
      </w:pPr>
      <w:rPr>
        <w:rFonts w:hint="default"/>
        <w:lang w:val="en-US" w:eastAsia="en-US" w:bidi="ar-SA"/>
      </w:rPr>
    </w:lvl>
    <w:lvl w:ilvl="4" w:tplc="07663A00">
      <w:numFmt w:val="bullet"/>
      <w:lvlText w:val="•"/>
      <w:lvlJc w:val="left"/>
      <w:pPr>
        <w:ind w:left="1378" w:hanging="284"/>
      </w:pPr>
      <w:rPr>
        <w:rFonts w:hint="default"/>
        <w:lang w:val="en-US" w:eastAsia="en-US" w:bidi="ar-SA"/>
      </w:rPr>
    </w:lvl>
    <w:lvl w:ilvl="5" w:tplc="80E42AF6">
      <w:numFmt w:val="bullet"/>
      <w:lvlText w:val="•"/>
      <w:lvlJc w:val="left"/>
      <w:pPr>
        <w:ind w:left="1612" w:hanging="284"/>
      </w:pPr>
      <w:rPr>
        <w:rFonts w:hint="default"/>
        <w:lang w:val="en-US" w:eastAsia="en-US" w:bidi="ar-SA"/>
      </w:rPr>
    </w:lvl>
    <w:lvl w:ilvl="6" w:tplc="7708D9CC">
      <w:numFmt w:val="bullet"/>
      <w:lvlText w:val="•"/>
      <w:lvlJc w:val="left"/>
      <w:pPr>
        <w:ind w:left="1847" w:hanging="284"/>
      </w:pPr>
      <w:rPr>
        <w:rFonts w:hint="default"/>
        <w:lang w:val="en-US" w:eastAsia="en-US" w:bidi="ar-SA"/>
      </w:rPr>
    </w:lvl>
    <w:lvl w:ilvl="7" w:tplc="EBFCCACC">
      <w:numFmt w:val="bullet"/>
      <w:lvlText w:val="•"/>
      <w:lvlJc w:val="left"/>
      <w:pPr>
        <w:ind w:left="2081" w:hanging="284"/>
      </w:pPr>
      <w:rPr>
        <w:rFonts w:hint="default"/>
        <w:lang w:val="en-US" w:eastAsia="en-US" w:bidi="ar-SA"/>
      </w:rPr>
    </w:lvl>
    <w:lvl w:ilvl="8" w:tplc="7D687F9A">
      <w:numFmt w:val="bullet"/>
      <w:lvlText w:val="•"/>
      <w:lvlJc w:val="left"/>
      <w:pPr>
        <w:ind w:left="2316" w:hanging="284"/>
      </w:pPr>
      <w:rPr>
        <w:rFonts w:hint="default"/>
        <w:lang w:val="en-US" w:eastAsia="en-US" w:bidi="ar-SA"/>
      </w:rPr>
    </w:lvl>
  </w:abstractNum>
  <w:abstractNum w:abstractNumId="104" w15:restartNumberingAfterBreak="0">
    <w:nsid w:val="19D82592"/>
    <w:multiLevelType w:val="hybridMultilevel"/>
    <w:tmpl w:val="1EACF3BE"/>
    <w:lvl w:ilvl="0" w:tplc="59EC3BDA">
      <w:numFmt w:val="bullet"/>
      <w:lvlText w:val=""/>
      <w:lvlJc w:val="left"/>
      <w:pPr>
        <w:ind w:left="491" w:hanging="284"/>
      </w:pPr>
      <w:rPr>
        <w:rFonts w:ascii="Symbol" w:eastAsia="Symbol" w:hAnsi="Symbol" w:cs="Symbol" w:hint="default"/>
        <w:b w:val="0"/>
        <w:bCs w:val="0"/>
        <w:i w:val="0"/>
        <w:iCs w:val="0"/>
        <w:color w:val="70004A"/>
        <w:spacing w:val="0"/>
        <w:w w:val="100"/>
        <w:sz w:val="18"/>
        <w:szCs w:val="18"/>
        <w:lang w:val="en-US" w:eastAsia="en-US" w:bidi="ar-SA"/>
      </w:rPr>
    </w:lvl>
    <w:lvl w:ilvl="1" w:tplc="772C4762">
      <w:numFmt w:val="bullet"/>
      <w:lvlText w:val="•"/>
      <w:lvlJc w:val="left"/>
      <w:pPr>
        <w:ind w:left="766" w:hanging="284"/>
      </w:pPr>
      <w:rPr>
        <w:rFonts w:hint="default"/>
        <w:lang w:val="en-US" w:eastAsia="en-US" w:bidi="ar-SA"/>
      </w:rPr>
    </w:lvl>
    <w:lvl w:ilvl="2" w:tplc="ECD2D79C">
      <w:numFmt w:val="bullet"/>
      <w:lvlText w:val="•"/>
      <w:lvlJc w:val="left"/>
      <w:pPr>
        <w:ind w:left="1033" w:hanging="284"/>
      </w:pPr>
      <w:rPr>
        <w:rFonts w:hint="default"/>
        <w:lang w:val="en-US" w:eastAsia="en-US" w:bidi="ar-SA"/>
      </w:rPr>
    </w:lvl>
    <w:lvl w:ilvl="3" w:tplc="249CD9F8">
      <w:numFmt w:val="bullet"/>
      <w:lvlText w:val="•"/>
      <w:lvlJc w:val="left"/>
      <w:pPr>
        <w:ind w:left="1300" w:hanging="284"/>
      </w:pPr>
      <w:rPr>
        <w:rFonts w:hint="default"/>
        <w:lang w:val="en-US" w:eastAsia="en-US" w:bidi="ar-SA"/>
      </w:rPr>
    </w:lvl>
    <w:lvl w:ilvl="4" w:tplc="B37C217C">
      <w:numFmt w:val="bullet"/>
      <w:lvlText w:val="•"/>
      <w:lvlJc w:val="left"/>
      <w:pPr>
        <w:ind w:left="1566" w:hanging="284"/>
      </w:pPr>
      <w:rPr>
        <w:rFonts w:hint="default"/>
        <w:lang w:val="en-US" w:eastAsia="en-US" w:bidi="ar-SA"/>
      </w:rPr>
    </w:lvl>
    <w:lvl w:ilvl="5" w:tplc="00E0E2A6">
      <w:numFmt w:val="bullet"/>
      <w:lvlText w:val="•"/>
      <w:lvlJc w:val="left"/>
      <w:pPr>
        <w:ind w:left="1833" w:hanging="284"/>
      </w:pPr>
      <w:rPr>
        <w:rFonts w:hint="default"/>
        <w:lang w:val="en-US" w:eastAsia="en-US" w:bidi="ar-SA"/>
      </w:rPr>
    </w:lvl>
    <w:lvl w:ilvl="6" w:tplc="B0DEB47E">
      <w:numFmt w:val="bullet"/>
      <w:lvlText w:val="•"/>
      <w:lvlJc w:val="left"/>
      <w:pPr>
        <w:ind w:left="2100" w:hanging="284"/>
      </w:pPr>
      <w:rPr>
        <w:rFonts w:hint="default"/>
        <w:lang w:val="en-US" w:eastAsia="en-US" w:bidi="ar-SA"/>
      </w:rPr>
    </w:lvl>
    <w:lvl w:ilvl="7" w:tplc="E222D34A">
      <w:numFmt w:val="bullet"/>
      <w:lvlText w:val="•"/>
      <w:lvlJc w:val="left"/>
      <w:pPr>
        <w:ind w:left="2366" w:hanging="284"/>
      </w:pPr>
      <w:rPr>
        <w:rFonts w:hint="default"/>
        <w:lang w:val="en-US" w:eastAsia="en-US" w:bidi="ar-SA"/>
      </w:rPr>
    </w:lvl>
    <w:lvl w:ilvl="8" w:tplc="43240CC4">
      <w:numFmt w:val="bullet"/>
      <w:lvlText w:val="•"/>
      <w:lvlJc w:val="left"/>
      <w:pPr>
        <w:ind w:left="2633" w:hanging="284"/>
      </w:pPr>
      <w:rPr>
        <w:rFonts w:hint="default"/>
        <w:lang w:val="en-US" w:eastAsia="en-US" w:bidi="ar-SA"/>
      </w:rPr>
    </w:lvl>
  </w:abstractNum>
  <w:abstractNum w:abstractNumId="105" w15:restartNumberingAfterBreak="0">
    <w:nsid w:val="1A5575EC"/>
    <w:multiLevelType w:val="hybridMultilevel"/>
    <w:tmpl w:val="81AE9050"/>
    <w:lvl w:ilvl="0" w:tplc="B30421E2">
      <w:numFmt w:val="bullet"/>
      <w:lvlText w:val=""/>
      <w:lvlJc w:val="left"/>
      <w:pPr>
        <w:ind w:left="423" w:hanging="284"/>
      </w:pPr>
      <w:rPr>
        <w:rFonts w:ascii="Symbol" w:eastAsia="Symbol" w:hAnsi="Symbol" w:cs="Symbol" w:hint="default"/>
        <w:b w:val="0"/>
        <w:bCs w:val="0"/>
        <w:i w:val="0"/>
        <w:iCs w:val="0"/>
        <w:color w:val="70004A"/>
        <w:spacing w:val="0"/>
        <w:w w:val="100"/>
        <w:sz w:val="18"/>
        <w:szCs w:val="18"/>
        <w:lang w:val="en-US" w:eastAsia="en-US" w:bidi="ar-SA"/>
      </w:rPr>
    </w:lvl>
    <w:lvl w:ilvl="1" w:tplc="3D14B122">
      <w:numFmt w:val="bullet"/>
      <w:lvlText w:val="•"/>
      <w:lvlJc w:val="left"/>
      <w:pPr>
        <w:ind w:left="585" w:hanging="284"/>
      </w:pPr>
      <w:rPr>
        <w:rFonts w:hint="default"/>
        <w:lang w:val="en-US" w:eastAsia="en-US" w:bidi="ar-SA"/>
      </w:rPr>
    </w:lvl>
    <w:lvl w:ilvl="2" w:tplc="1CD0C7D8">
      <w:numFmt w:val="bullet"/>
      <w:lvlText w:val="•"/>
      <w:lvlJc w:val="left"/>
      <w:pPr>
        <w:ind w:left="750" w:hanging="284"/>
      </w:pPr>
      <w:rPr>
        <w:rFonts w:hint="default"/>
        <w:lang w:val="en-US" w:eastAsia="en-US" w:bidi="ar-SA"/>
      </w:rPr>
    </w:lvl>
    <w:lvl w:ilvl="3" w:tplc="37AE9C0A">
      <w:numFmt w:val="bullet"/>
      <w:lvlText w:val="•"/>
      <w:lvlJc w:val="left"/>
      <w:pPr>
        <w:ind w:left="916" w:hanging="284"/>
      </w:pPr>
      <w:rPr>
        <w:rFonts w:hint="default"/>
        <w:lang w:val="en-US" w:eastAsia="en-US" w:bidi="ar-SA"/>
      </w:rPr>
    </w:lvl>
    <w:lvl w:ilvl="4" w:tplc="D3F8814C">
      <w:numFmt w:val="bullet"/>
      <w:lvlText w:val="•"/>
      <w:lvlJc w:val="left"/>
      <w:pPr>
        <w:ind w:left="1081" w:hanging="284"/>
      </w:pPr>
      <w:rPr>
        <w:rFonts w:hint="default"/>
        <w:lang w:val="en-US" w:eastAsia="en-US" w:bidi="ar-SA"/>
      </w:rPr>
    </w:lvl>
    <w:lvl w:ilvl="5" w:tplc="AF4A4096">
      <w:numFmt w:val="bullet"/>
      <w:lvlText w:val="•"/>
      <w:lvlJc w:val="left"/>
      <w:pPr>
        <w:ind w:left="1247" w:hanging="284"/>
      </w:pPr>
      <w:rPr>
        <w:rFonts w:hint="default"/>
        <w:lang w:val="en-US" w:eastAsia="en-US" w:bidi="ar-SA"/>
      </w:rPr>
    </w:lvl>
    <w:lvl w:ilvl="6" w:tplc="3626A1FC">
      <w:numFmt w:val="bullet"/>
      <w:lvlText w:val="•"/>
      <w:lvlJc w:val="left"/>
      <w:pPr>
        <w:ind w:left="1412" w:hanging="284"/>
      </w:pPr>
      <w:rPr>
        <w:rFonts w:hint="default"/>
        <w:lang w:val="en-US" w:eastAsia="en-US" w:bidi="ar-SA"/>
      </w:rPr>
    </w:lvl>
    <w:lvl w:ilvl="7" w:tplc="DBE691A6">
      <w:numFmt w:val="bullet"/>
      <w:lvlText w:val="•"/>
      <w:lvlJc w:val="left"/>
      <w:pPr>
        <w:ind w:left="1577" w:hanging="284"/>
      </w:pPr>
      <w:rPr>
        <w:rFonts w:hint="default"/>
        <w:lang w:val="en-US" w:eastAsia="en-US" w:bidi="ar-SA"/>
      </w:rPr>
    </w:lvl>
    <w:lvl w:ilvl="8" w:tplc="30D841CE">
      <w:numFmt w:val="bullet"/>
      <w:lvlText w:val="•"/>
      <w:lvlJc w:val="left"/>
      <w:pPr>
        <w:ind w:left="1743" w:hanging="284"/>
      </w:pPr>
      <w:rPr>
        <w:rFonts w:hint="default"/>
        <w:lang w:val="en-US" w:eastAsia="en-US" w:bidi="ar-SA"/>
      </w:rPr>
    </w:lvl>
  </w:abstractNum>
  <w:abstractNum w:abstractNumId="106" w15:restartNumberingAfterBreak="0">
    <w:nsid w:val="1B7D445B"/>
    <w:multiLevelType w:val="hybridMultilevel"/>
    <w:tmpl w:val="4A841CA2"/>
    <w:lvl w:ilvl="0" w:tplc="D47AED22">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AFBEB48C">
      <w:numFmt w:val="bullet"/>
      <w:lvlText w:val="•"/>
      <w:lvlJc w:val="left"/>
      <w:pPr>
        <w:ind w:left="642" w:hanging="284"/>
      </w:pPr>
      <w:rPr>
        <w:rFonts w:hint="default"/>
        <w:lang w:val="en-US" w:eastAsia="en-US" w:bidi="ar-SA"/>
      </w:rPr>
    </w:lvl>
    <w:lvl w:ilvl="2" w:tplc="00B469EC">
      <w:numFmt w:val="bullet"/>
      <w:lvlText w:val="•"/>
      <w:lvlJc w:val="left"/>
      <w:pPr>
        <w:ind w:left="885" w:hanging="284"/>
      </w:pPr>
      <w:rPr>
        <w:rFonts w:hint="default"/>
        <w:lang w:val="en-US" w:eastAsia="en-US" w:bidi="ar-SA"/>
      </w:rPr>
    </w:lvl>
    <w:lvl w:ilvl="3" w:tplc="1694B144">
      <w:numFmt w:val="bullet"/>
      <w:lvlText w:val="•"/>
      <w:lvlJc w:val="left"/>
      <w:pPr>
        <w:ind w:left="1128" w:hanging="284"/>
      </w:pPr>
      <w:rPr>
        <w:rFonts w:hint="default"/>
        <w:lang w:val="en-US" w:eastAsia="en-US" w:bidi="ar-SA"/>
      </w:rPr>
    </w:lvl>
    <w:lvl w:ilvl="4" w:tplc="29F4DEB8">
      <w:numFmt w:val="bullet"/>
      <w:lvlText w:val="•"/>
      <w:lvlJc w:val="left"/>
      <w:pPr>
        <w:ind w:left="1371" w:hanging="284"/>
      </w:pPr>
      <w:rPr>
        <w:rFonts w:hint="default"/>
        <w:lang w:val="en-US" w:eastAsia="en-US" w:bidi="ar-SA"/>
      </w:rPr>
    </w:lvl>
    <w:lvl w:ilvl="5" w:tplc="FDEE1856">
      <w:numFmt w:val="bullet"/>
      <w:lvlText w:val="•"/>
      <w:lvlJc w:val="left"/>
      <w:pPr>
        <w:ind w:left="1614" w:hanging="284"/>
      </w:pPr>
      <w:rPr>
        <w:rFonts w:hint="default"/>
        <w:lang w:val="en-US" w:eastAsia="en-US" w:bidi="ar-SA"/>
      </w:rPr>
    </w:lvl>
    <w:lvl w:ilvl="6" w:tplc="21DA3204">
      <w:numFmt w:val="bullet"/>
      <w:lvlText w:val="•"/>
      <w:lvlJc w:val="left"/>
      <w:pPr>
        <w:ind w:left="1856" w:hanging="284"/>
      </w:pPr>
      <w:rPr>
        <w:rFonts w:hint="default"/>
        <w:lang w:val="en-US" w:eastAsia="en-US" w:bidi="ar-SA"/>
      </w:rPr>
    </w:lvl>
    <w:lvl w:ilvl="7" w:tplc="143CBAC6">
      <w:numFmt w:val="bullet"/>
      <w:lvlText w:val="•"/>
      <w:lvlJc w:val="left"/>
      <w:pPr>
        <w:ind w:left="2099" w:hanging="284"/>
      </w:pPr>
      <w:rPr>
        <w:rFonts w:hint="default"/>
        <w:lang w:val="en-US" w:eastAsia="en-US" w:bidi="ar-SA"/>
      </w:rPr>
    </w:lvl>
    <w:lvl w:ilvl="8" w:tplc="ED92B526">
      <w:numFmt w:val="bullet"/>
      <w:lvlText w:val="•"/>
      <w:lvlJc w:val="left"/>
      <w:pPr>
        <w:ind w:left="2342" w:hanging="284"/>
      </w:pPr>
      <w:rPr>
        <w:rFonts w:hint="default"/>
        <w:lang w:val="en-US" w:eastAsia="en-US" w:bidi="ar-SA"/>
      </w:rPr>
    </w:lvl>
  </w:abstractNum>
  <w:abstractNum w:abstractNumId="107" w15:restartNumberingAfterBreak="0">
    <w:nsid w:val="1B8577AC"/>
    <w:multiLevelType w:val="hybridMultilevel"/>
    <w:tmpl w:val="A65E0F72"/>
    <w:lvl w:ilvl="0" w:tplc="DF5093B2">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B5948A46">
      <w:numFmt w:val="bullet"/>
      <w:lvlText w:val="•"/>
      <w:lvlJc w:val="left"/>
      <w:pPr>
        <w:ind w:left="651" w:hanging="284"/>
      </w:pPr>
      <w:rPr>
        <w:rFonts w:hint="default"/>
        <w:lang w:val="en-US" w:eastAsia="en-US" w:bidi="ar-SA"/>
      </w:rPr>
    </w:lvl>
    <w:lvl w:ilvl="2" w:tplc="1674C4E4">
      <w:numFmt w:val="bullet"/>
      <w:lvlText w:val="•"/>
      <w:lvlJc w:val="left"/>
      <w:pPr>
        <w:ind w:left="923" w:hanging="284"/>
      </w:pPr>
      <w:rPr>
        <w:rFonts w:hint="default"/>
        <w:lang w:val="en-US" w:eastAsia="en-US" w:bidi="ar-SA"/>
      </w:rPr>
    </w:lvl>
    <w:lvl w:ilvl="3" w:tplc="0B40FED6">
      <w:numFmt w:val="bullet"/>
      <w:lvlText w:val="•"/>
      <w:lvlJc w:val="left"/>
      <w:pPr>
        <w:ind w:left="1194" w:hanging="284"/>
      </w:pPr>
      <w:rPr>
        <w:rFonts w:hint="default"/>
        <w:lang w:val="en-US" w:eastAsia="en-US" w:bidi="ar-SA"/>
      </w:rPr>
    </w:lvl>
    <w:lvl w:ilvl="4" w:tplc="DCB4A80A">
      <w:numFmt w:val="bullet"/>
      <w:lvlText w:val="•"/>
      <w:lvlJc w:val="left"/>
      <w:pPr>
        <w:ind w:left="1466" w:hanging="284"/>
      </w:pPr>
      <w:rPr>
        <w:rFonts w:hint="default"/>
        <w:lang w:val="en-US" w:eastAsia="en-US" w:bidi="ar-SA"/>
      </w:rPr>
    </w:lvl>
    <w:lvl w:ilvl="5" w:tplc="F7A06A32">
      <w:numFmt w:val="bullet"/>
      <w:lvlText w:val="•"/>
      <w:lvlJc w:val="left"/>
      <w:pPr>
        <w:ind w:left="1738" w:hanging="284"/>
      </w:pPr>
      <w:rPr>
        <w:rFonts w:hint="default"/>
        <w:lang w:val="en-US" w:eastAsia="en-US" w:bidi="ar-SA"/>
      </w:rPr>
    </w:lvl>
    <w:lvl w:ilvl="6" w:tplc="66B22C12">
      <w:numFmt w:val="bullet"/>
      <w:lvlText w:val="•"/>
      <w:lvlJc w:val="left"/>
      <w:pPr>
        <w:ind w:left="2009" w:hanging="284"/>
      </w:pPr>
      <w:rPr>
        <w:rFonts w:hint="default"/>
        <w:lang w:val="en-US" w:eastAsia="en-US" w:bidi="ar-SA"/>
      </w:rPr>
    </w:lvl>
    <w:lvl w:ilvl="7" w:tplc="249A9900">
      <w:numFmt w:val="bullet"/>
      <w:lvlText w:val="•"/>
      <w:lvlJc w:val="left"/>
      <w:pPr>
        <w:ind w:left="2281" w:hanging="284"/>
      </w:pPr>
      <w:rPr>
        <w:rFonts w:hint="default"/>
        <w:lang w:val="en-US" w:eastAsia="en-US" w:bidi="ar-SA"/>
      </w:rPr>
    </w:lvl>
    <w:lvl w:ilvl="8" w:tplc="2FD429D6">
      <w:numFmt w:val="bullet"/>
      <w:lvlText w:val="•"/>
      <w:lvlJc w:val="left"/>
      <w:pPr>
        <w:ind w:left="2552" w:hanging="284"/>
      </w:pPr>
      <w:rPr>
        <w:rFonts w:hint="default"/>
        <w:lang w:val="en-US" w:eastAsia="en-US" w:bidi="ar-SA"/>
      </w:rPr>
    </w:lvl>
  </w:abstractNum>
  <w:abstractNum w:abstractNumId="108" w15:restartNumberingAfterBreak="0">
    <w:nsid w:val="1B897F06"/>
    <w:multiLevelType w:val="hybridMultilevel"/>
    <w:tmpl w:val="A59E1030"/>
    <w:lvl w:ilvl="0" w:tplc="7140FDAA">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F9FA8F90">
      <w:numFmt w:val="bullet"/>
      <w:lvlText w:val="•"/>
      <w:lvlJc w:val="left"/>
      <w:pPr>
        <w:ind w:left="685" w:hanging="284"/>
      </w:pPr>
      <w:rPr>
        <w:rFonts w:hint="default"/>
        <w:lang w:val="en-US" w:eastAsia="en-US" w:bidi="ar-SA"/>
      </w:rPr>
    </w:lvl>
    <w:lvl w:ilvl="2" w:tplc="2AAC67C8">
      <w:numFmt w:val="bullet"/>
      <w:lvlText w:val="•"/>
      <w:lvlJc w:val="left"/>
      <w:pPr>
        <w:ind w:left="971" w:hanging="284"/>
      </w:pPr>
      <w:rPr>
        <w:rFonts w:hint="default"/>
        <w:lang w:val="en-US" w:eastAsia="en-US" w:bidi="ar-SA"/>
      </w:rPr>
    </w:lvl>
    <w:lvl w:ilvl="3" w:tplc="F154D3F0">
      <w:numFmt w:val="bullet"/>
      <w:lvlText w:val="•"/>
      <w:lvlJc w:val="left"/>
      <w:pPr>
        <w:ind w:left="1257" w:hanging="284"/>
      </w:pPr>
      <w:rPr>
        <w:rFonts w:hint="default"/>
        <w:lang w:val="en-US" w:eastAsia="en-US" w:bidi="ar-SA"/>
      </w:rPr>
    </w:lvl>
    <w:lvl w:ilvl="4" w:tplc="41F605C8">
      <w:numFmt w:val="bullet"/>
      <w:lvlText w:val="•"/>
      <w:lvlJc w:val="left"/>
      <w:pPr>
        <w:ind w:left="1542" w:hanging="284"/>
      </w:pPr>
      <w:rPr>
        <w:rFonts w:hint="default"/>
        <w:lang w:val="en-US" w:eastAsia="en-US" w:bidi="ar-SA"/>
      </w:rPr>
    </w:lvl>
    <w:lvl w:ilvl="5" w:tplc="0CEAA8B6">
      <w:numFmt w:val="bullet"/>
      <w:lvlText w:val="•"/>
      <w:lvlJc w:val="left"/>
      <w:pPr>
        <w:ind w:left="1828" w:hanging="284"/>
      </w:pPr>
      <w:rPr>
        <w:rFonts w:hint="default"/>
        <w:lang w:val="en-US" w:eastAsia="en-US" w:bidi="ar-SA"/>
      </w:rPr>
    </w:lvl>
    <w:lvl w:ilvl="6" w:tplc="B6E636FA">
      <w:numFmt w:val="bullet"/>
      <w:lvlText w:val="•"/>
      <w:lvlJc w:val="left"/>
      <w:pPr>
        <w:ind w:left="2114" w:hanging="284"/>
      </w:pPr>
      <w:rPr>
        <w:rFonts w:hint="default"/>
        <w:lang w:val="en-US" w:eastAsia="en-US" w:bidi="ar-SA"/>
      </w:rPr>
    </w:lvl>
    <w:lvl w:ilvl="7" w:tplc="6C1A8704">
      <w:numFmt w:val="bullet"/>
      <w:lvlText w:val="•"/>
      <w:lvlJc w:val="left"/>
      <w:pPr>
        <w:ind w:left="2399" w:hanging="284"/>
      </w:pPr>
      <w:rPr>
        <w:rFonts w:hint="default"/>
        <w:lang w:val="en-US" w:eastAsia="en-US" w:bidi="ar-SA"/>
      </w:rPr>
    </w:lvl>
    <w:lvl w:ilvl="8" w:tplc="09F450B6">
      <w:numFmt w:val="bullet"/>
      <w:lvlText w:val="•"/>
      <w:lvlJc w:val="left"/>
      <w:pPr>
        <w:ind w:left="2685" w:hanging="284"/>
      </w:pPr>
      <w:rPr>
        <w:rFonts w:hint="default"/>
        <w:lang w:val="en-US" w:eastAsia="en-US" w:bidi="ar-SA"/>
      </w:rPr>
    </w:lvl>
  </w:abstractNum>
  <w:abstractNum w:abstractNumId="109" w15:restartNumberingAfterBreak="0">
    <w:nsid w:val="1B9B4180"/>
    <w:multiLevelType w:val="hybridMultilevel"/>
    <w:tmpl w:val="22987534"/>
    <w:lvl w:ilvl="0" w:tplc="D834CEA2">
      <w:numFmt w:val="bullet"/>
      <w:lvlText w:val=""/>
      <w:lvlJc w:val="left"/>
      <w:pPr>
        <w:ind w:left="459" w:hanging="284"/>
      </w:pPr>
      <w:rPr>
        <w:rFonts w:ascii="Symbol" w:eastAsia="Symbol" w:hAnsi="Symbol" w:cs="Symbol" w:hint="default"/>
        <w:b w:val="0"/>
        <w:bCs w:val="0"/>
        <w:i w:val="0"/>
        <w:iCs w:val="0"/>
        <w:color w:val="70004A"/>
        <w:spacing w:val="0"/>
        <w:w w:val="100"/>
        <w:sz w:val="18"/>
        <w:szCs w:val="18"/>
        <w:lang w:val="en-US" w:eastAsia="en-US" w:bidi="ar-SA"/>
      </w:rPr>
    </w:lvl>
    <w:lvl w:ilvl="1" w:tplc="9278847E">
      <w:numFmt w:val="bullet"/>
      <w:lvlText w:val="•"/>
      <w:lvlJc w:val="left"/>
      <w:pPr>
        <w:ind w:left="680" w:hanging="284"/>
      </w:pPr>
      <w:rPr>
        <w:rFonts w:hint="default"/>
        <w:lang w:val="en-US" w:eastAsia="en-US" w:bidi="ar-SA"/>
      </w:rPr>
    </w:lvl>
    <w:lvl w:ilvl="2" w:tplc="3C76C98E">
      <w:numFmt w:val="bullet"/>
      <w:lvlText w:val="•"/>
      <w:lvlJc w:val="left"/>
      <w:pPr>
        <w:ind w:left="901" w:hanging="284"/>
      </w:pPr>
      <w:rPr>
        <w:rFonts w:hint="default"/>
        <w:lang w:val="en-US" w:eastAsia="en-US" w:bidi="ar-SA"/>
      </w:rPr>
    </w:lvl>
    <w:lvl w:ilvl="3" w:tplc="C3807AB4">
      <w:numFmt w:val="bullet"/>
      <w:lvlText w:val="•"/>
      <w:lvlJc w:val="left"/>
      <w:pPr>
        <w:ind w:left="1121" w:hanging="284"/>
      </w:pPr>
      <w:rPr>
        <w:rFonts w:hint="default"/>
        <w:lang w:val="en-US" w:eastAsia="en-US" w:bidi="ar-SA"/>
      </w:rPr>
    </w:lvl>
    <w:lvl w:ilvl="4" w:tplc="C1A207B6">
      <w:numFmt w:val="bullet"/>
      <w:lvlText w:val="•"/>
      <w:lvlJc w:val="left"/>
      <w:pPr>
        <w:ind w:left="1342" w:hanging="284"/>
      </w:pPr>
      <w:rPr>
        <w:rFonts w:hint="default"/>
        <w:lang w:val="en-US" w:eastAsia="en-US" w:bidi="ar-SA"/>
      </w:rPr>
    </w:lvl>
    <w:lvl w:ilvl="5" w:tplc="51CC9916">
      <w:numFmt w:val="bullet"/>
      <w:lvlText w:val="•"/>
      <w:lvlJc w:val="left"/>
      <w:pPr>
        <w:ind w:left="1562" w:hanging="284"/>
      </w:pPr>
      <w:rPr>
        <w:rFonts w:hint="default"/>
        <w:lang w:val="en-US" w:eastAsia="en-US" w:bidi="ar-SA"/>
      </w:rPr>
    </w:lvl>
    <w:lvl w:ilvl="6" w:tplc="64F0E9D0">
      <w:numFmt w:val="bullet"/>
      <w:lvlText w:val="•"/>
      <w:lvlJc w:val="left"/>
      <w:pPr>
        <w:ind w:left="1783" w:hanging="284"/>
      </w:pPr>
      <w:rPr>
        <w:rFonts w:hint="default"/>
        <w:lang w:val="en-US" w:eastAsia="en-US" w:bidi="ar-SA"/>
      </w:rPr>
    </w:lvl>
    <w:lvl w:ilvl="7" w:tplc="62468DA4">
      <w:numFmt w:val="bullet"/>
      <w:lvlText w:val="•"/>
      <w:lvlJc w:val="left"/>
      <w:pPr>
        <w:ind w:left="2003" w:hanging="284"/>
      </w:pPr>
      <w:rPr>
        <w:rFonts w:hint="default"/>
        <w:lang w:val="en-US" w:eastAsia="en-US" w:bidi="ar-SA"/>
      </w:rPr>
    </w:lvl>
    <w:lvl w:ilvl="8" w:tplc="3488C636">
      <w:numFmt w:val="bullet"/>
      <w:lvlText w:val="•"/>
      <w:lvlJc w:val="left"/>
      <w:pPr>
        <w:ind w:left="2224" w:hanging="284"/>
      </w:pPr>
      <w:rPr>
        <w:rFonts w:hint="default"/>
        <w:lang w:val="en-US" w:eastAsia="en-US" w:bidi="ar-SA"/>
      </w:rPr>
    </w:lvl>
  </w:abstractNum>
  <w:abstractNum w:abstractNumId="110" w15:restartNumberingAfterBreak="0">
    <w:nsid w:val="1BC80451"/>
    <w:multiLevelType w:val="hybridMultilevel"/>
    <w:tmpl w:val="964A1AB6"/>
    <w:lvl w:ilvl="0" w:tplc="2A5C52FE">
      <w:numFmt w:val="bullet"/>
      <w:lvlText w:val=""/>
      <w:lvlJc w:val="left"/>
      <w:pPr>
        <w:ind w:left="511" w:hanging="284"/>
      </w:pPr>
      <w:rPr>
        <w:rFonts w:ascii="Symbol" w:eastAsia="Symbol" w:hAnsi="Symbol" w:cs="Symbol" w:hint="default"/>
        <w:b w:val="0"/>
        <w:bCs w:val="0"/>
        <w:i w:val="0"/>
        <w:iCs w:val="0"/>
        <w:color w:val="70004A"/>
        <w:spacing w:val="0"/>
        <w:w w:val="100"/>
        <w:sz w:val="18"/>
        <w:szCs w:val="18"/>
        <w:lang w:val="en-US" w:eastAsia="en-US" w:bidi="ar-SA"/>
      </w:rPr>
    </w:lvl>
    <w:lvl w:ilvl="1" w:tplc="541A007E">
      <w:numFmt w:val="bullet"/>
      <w:lvlText w:val="•"/>
      <w:lvlJc w:val="left"/>
      <w:pPr>
        <w:ind w:left="683" w:hanging="284"/>
      </w:pPr>
      <w:rPr>
        <w:rFonts w:hint="default"/>
        <w:lang w:val="en-US" w:eastAsia="en-US" w:bidi="ar-SA"/>
      </w:rPr>
    </w:lvl>
    <w:lvl w:ilvl="2" w:tplc="5D329E10">
      <w:numFmt w:val="bullet"/>
      <w:lvlText w:val="•"/>
      <w:lvlJc w:val="left"/>
      <w:pPr>
        <w:ind w:left="846" w:hanging="284"/>
      </w:pPr>
      <w:rPr>
        <w:rFonts w:hint="default"/>
        <w:lang w:val="en-US" w:eastAsia="en-US" w:bidi="ar-SA"/>
      </w:rPr>
    </w:lvl>
    <w:lvl w:ilvl="3" w:tplc="4E220284">
      <w:numFmt w:val="bullet"/>
      <w:lvlText w:val="•"/>
      <w:lvlJc w:val="left"/>
      <w:pPr>
        <w:ind w:left="1009" w:hanging="284"/>
      </w:pPr>
      <w:rPr>
        <w:rFonts w:hint="default"/>
        <w:lang w:val="en-US" w:eastAsia="en-US" w:bidi="ar-SA"/>
      </w:rPr>
    </w:lvl>
    <w:lvl w:ilvl="4" w:tplc="CFF43A4E">
      <w:numFmt w:val="bullet"/>
      <w:lvlText w:val="•"/>
      <w:lvlJc w:val="left"/>
      <w:pPr>
        <w:ind w:left="1173" w:hanging="284"/>
      </w:pPr>
      <w:rPr>
        <w:rFonts w:hint="default"/>
        <w:lang w:val="en-US" w:eastAsia="en-US" w:bidi="ar-SA"/>
      </w:rPr>
    </w:lvl>
    <w:lvl w:ilvl="5" w:tplc="2F5ADC94">
      <w:numFmt w:val="bullet"/>
      <w:lvlText w:val="•"/>
      <w:lvlJc w:val="left"/>
      <w:pPr>
        <w:ind w:left="1336" w:hanging="284"/>
      </w:pPr>
      <w:rPr>
        <w:rFonts w:hint="default"/>
        <w:lang w:val="en-US" w:eastAsia="en-US" w:bidi="ar-SA"/>
      </w:rPr>
    </w:lvl>
    <w:lvl w:ilvl="6" w:tplc="A2A8A676">
      <w:numFmt w:val="bullet"/>
      <w:lvlText w:val="•"/>
      <w:lvlJc w:val="left"/>
      <w:pPr>
        <w:ind w:left="1499" w:hanging="284"/>
      </w:pPr>
      <w:rPr>
        <w:rFonts w:hint="default"/>
        <w:lang w:val="en-US" w:eastAsia="en-US" w:bidi="ar-SA"/>
      </w:rPr>
    </w:lvl>
    <w:lvl w:ilvl="7" w:tplc="AF5854D4">
      <w:numFmt w:val="bullet"/>
      <w:lvlText w:val="•"/>
      <w:lvlJc w:val="left"/>
      <w:pPr>
        <w:ind w:left="1663" w:hanging="284"/>
      </w:pPr>
      <w:rPr>
        <w:rFonts w:hint="default"/>
        <w:lang w:val="en-US" w:eastAsia="en-US" w:bidi="ar-SA"/>
      </w:rPr>
    </w:lvl>
    <w:lvl w:ilvl="8" w:tplc="AB7ADAC8">
      <w:numFmt w:val="bullet"/>
      <w:lvlText w:val="•"/>
      <w:lvlJc w:val="left"/>
      <w:pPr>
        <w:ind w:left="1826" w:hanging="284"/>
      </w:pPr>
      <w:rPr>
        <w:rFonts w:hint="default"/>
        <w:lang w:val="en-US" w:eastAsia="en-US" w:bidi="ar-SA"/>
      </w:rPr>
    </w:lvl>
  </w:abstractNum>
  <w:abstractNum w:abstractNumId="111" w15:restartNumberingAfterBreak="0">
    <w:nsid w:val="1BD0234A"/>
    <w:multiLevelType w:val="hybridMultilevel"/>
    <w:tmpl w:val="0A4C45FA"/>
    <w:lvl w:ilvl="0" w:tplc="EF38F738">
      <w:numFmt w:val="bullet"/>
      <w:lvlText w:val=""/>
      <w:lvlJc w:val="left"/>
      <w:pPr>
        <w:ind w:left="514" w:hanging="284"/>
      </w:pPr>
      <w:rPr>
        <w:rFonts w:ascii="Symbol" w:eastAsia="Symbol" w:hAnsi="Symbol" w:cs="Symbol" w:hint="default"/>
        <w:b w:val="0"/>
        <w:bCs w:val="0"/>
        <w:i w:val="0"/>
        <w:iCs w:val="0"/>
        <w:color w:val="70004A"/>
        <w:spacing w:val="0"/>
        <w:w w:val="100"/>
        <w:sz w:val="18"/>
        <w:szCs w:val="18"/>
        <w:lang w:val="en-US" w:eastAsia="en-US" w:bidi="ar-SA"/>
      </w:rPr>
    </w:lvl>
    <w:lvl w:ilvl="1" w:tplc="BDA04030">
      <w:numFmt w:val="bullet"/>
      <w:lvlText w:val="•"/>
      <w:lvlJc w:val="left"/>
      <w:pPr>
        <w:ind w:left="805" w:hanging="284"/>
      </w:pPr>
      <w:rPr>
        <w:rFonts w:hint="default"/>
        <w:lang w:val="en-US" w:eastAsia="en-US" w:bidi="ar-SA"/>
      </w:rPr>
    </w:lvl>
    <w:lvl w:ilvl="2" w:tplc="D95A028A">
      <w:numFmt w:val="bullet"/>
      <w:lvlText w:val="•"/>
      <w:lvlJc w:val="left"/>
      <w:pPr>
        <w:ind w:left="1090" w:hanging="284"/>
      </w:pPr>
      <w:rPr>
        <w:rFonts w:hint="default"/>
        <w:lang w:val="en-US" w:eastAsia="en-US" w:bidi="ar-SA"/>
      </w:rPr>
    </w:lvl>
    <w:lvl w:ilvl="3" w:tplc="C6EE34FE">
      <w:numFmt w:val="bullet"/>
      <w:lvlText w:val="•"/>
      <w:lvlJc w:val="left"/>
      <w:pPr>
        <w:ind w:left="1375" w:hanging="284"/>
      </w:pPr>
      <w:rPr>
        <w:rFonts w:hint="default"/>
        <w:lang w:val="en-US" w:eastAsia="en-US" w:bidi="ar-SA"/>
      </w:rPr>
    </w:lvl>
    <w:lvl w:ilvl="4" w:tplc="6B82B9F8">
      <w:numFmt w:val="bullet"/>
      <w:lvlText w:val="•"/>
      <w:lvlJc w:val="left"/>
      <w:pPr>
        <w:ind w:left="1660" w:hanging="284"/>
      </w:pPr>
      <w:rPr>
        <w:rFonts w:hint="default"/>
        <w:lang w:val="en-US" w:eastAsia="en-US" w:bidi="ar-SA"/>
      </w:rPr>
    </w:lvl>
    <w:lvl w:ilvl="5" w:tplc="DC648E24">
      <w:numFmt w:val="bullet"/>
      <w:lvlText w:val="•"/>
      <w:lvlJc w:val="left"/>
      <w:pPr>
        <w:ind w:left="1945" w:hanging="284"/>
      </w:pPr>
      <w:rPr>
        <w:rFonts w:hint="default"/>
        <w:lang w:val="en-US" w:eastAsia="en-US" w:bidi="ar-SA"/>
      </w:rPr>
    </w:lvl>
    <w:lvl w:ilvl="6" w:tplc="6924145A">
      <w:numFmt w:val="bullet"/>
      <w:lvlText w:val="•"/>
      <w:lvlJc w:val="left"/>
      <w:pPr>
        <w:ind w:left="2230" w:hanging="284"/>
      </w:pPr>
      <w:rPr>
        <w:rFonts w:hint="default"/>
        <w:lang w:val="en-US" w:eastAsia="en-US" w:bidi="ar-SA"/>
      </w:rPr>
    </w:lvl>
    <w:lvl w:ilvl="7" w:tplc="29CE1DC0">
      <w:numFmt w:val="bullet"/>
      <w:lvlText w:val="•"/>
      <w:lvlJc w:val="left"/>
      <w:pPr>
        <w:ind w:left="2515" w:hanging="284"/>
      </w:pPr>
      <w:rPr>
        <w:rFonts w:hint="default"/>
        <w:lang w:val="en-US" w:eastAsia="en-US" w:bidi="ar-SA"/>
      </w:rPr>
    </w:lvl>
    <w:lvl w:ilvl="8" w:tplc="C0FAB3B4">
      <w:numFmt w:val="bullet"/>
      <w:lvlText w:val="•"/>
      <w:lvlJc w:val="left"/>
      <w:pPr>
        <w:ind w:left="2800" w:hanging="284"/>
      </w:pPr>
      <w:rPr>
        <w:rFonts w:hint="default"/>
        <w:lang w:val="en-US" w:eastAsia="en-US" w:bidi="ar-SA"/>
      </w:rPr>
    </w:lvl>
  </w:abstractNum>
  <w:abstractNum w:abstractNumId="112" w15:restartNumberingAfterBreak="0">
    <w:nsid w:val="1C6E4D07"/>
    <w:multiLevelType w:val="hybridMultilevel"/>
    <w:tmpl w:val="82848042"/>
    <w:lvl w:ilvl="0" w:tplc="EDC067D8">
      <w:numFmt w:val="bullet"/>
      <w:lvlText w:val=""/>
      <w:lvlJc w:val="left"/>
      <w:pPr>
        <w:ind w:left="326" w:hanging="284"/>
      </w:pPr>
      <w:rPr>
        <w:rFonts w:ascii="Symbol" w:eastAsia="Symbol" w:hAnsi="Symbol" w:cs="Symbol" w:hint="default"/>
        <w:b w:val="0"/>
        <w:bCs w:val="0"/>
        <w:i w:val="0"/>
        <w:iCs w:val="0"/>
        <w:color w:val="70004A"/>
        <w:spacing w:val="0"/>
        <w:w w:val="100"/>
        <w:sz w:val="18"/>
        <w:szCs w:val="18"/>
        <w:lang w:val="en-US" w:eastAsia="en-US" w:bidi="ar-SA"/>
      </w:rPr>
    </w:lvl>
    <w:lvl w:ilvl="1" w:tplc="494C41B8">
      <w:numFmt w:val="bullet"/>
      <w:lvlText w:val="•"/>
      <w:lvlJc w:val="left"/>
      <w:pPr>
        <w:ind w:left="442" w:hanging="284"/>
      </w:pPr>
      <w:rPr>
        <w:rFonts w:hint="default"/>
        <w:lang w:val="en-US" w:eastAsia="en-US" w:bidi="ar-SA"/>
      </w:rPr>
    </w:lvl>
    <w:lvl w:ilvl="2" w:tplc="A7BAFFCE">
      <w:numFmt w:val="bullet"/>
      <w:lvlText w:val="•"/>
      <w:lvlJc w:val="left"/>
      <w:pPr>
        <w:ind w:left="564" w:hanging="284"/>
      </w:pPr>
      <w:rPr>
        <w:rFonts w:hint="default"/>
        <w:lang w:val="en-US" w:eastAsia="en-US" w:bidi="ar-SA"/>
      </w:rPr>
    </w:lvl>
    <w:lvl w:ilvl="3" w:tplc="1C983914">
      <w:numFmt w:val="bullet"/>
      <w:lvlText w:val="•"/>
      <w:lvlJc w:val="left"/>
      <w:pPr>
        <w:ind w:left="687" w:hanging="284"/>
      </w:pPr>
      <w:rPr>
        <w:rFonts w:hint="default"/>
        <w:lang w:val="en-US" w:eastAsia="en-US" w:bidi="ar-SA"/>
      </w:rPr>
    </w:lvl>
    <w:lvl w:ilvl="4" w:tplc="003C36D8">
      <w:numFmt w:val="bullet"/>
      <w:lvlText w:val="•"/>
      <w:lvlJc w:val="left"/>
      <w:pPr>
        <w:ind w:left="809" w:hanging="284"/>
      </w:pPr>
      <w:rPr>
        <w:rFonts w:hint="default"/>
        <w:lang w:val="en-US" w:eastAsia="en-US" w:bidi="ar-SA"/>
      </w:rPr>
    </w:lvl>
    <w:lvl w:ilvl="5" w:tplc="4E3CECE0">
      <w:numFmt w:val="bullet"/>
      <w:lvlText w:val="•"/>
      <w:lvlJc w:val="left"/>
      <w:pPr>
        <w:ind w:left="932" w:hanging="284"/>
      </w:pPr>
      <w:rPr>
        <w:rFonts w:hint="default"/>
        <w:lang w:val="en-US" w:eastAsia="en-US" w:bidi="ar-SA"/>
      </w:rPr>
    </w:lvl>
    <w:lvl w:ilvl="6" w:tplc="E896681C">
      <w:numFmt w:val="bullet"/>
      <w:lvlText w:val="•"/>
      <w:lvlJc w:val="left"/>
      <w:pPr>
        <w:ind w:left="1054" w:hanging="284"/>
      </w:pPr>
      <w:rPr>
        <w:rFonts w:hint="default"/>
        <w:lang w:val="en-US" w:eastAsia="en-US" w:bidi="ar-SA"/>
      </w:rPr>
    </w:lvl>
    <w:lvl w:ilvl="7" w:tplc="61F8F47E">
      <w:numFmt w:val="bullet"/>
      <w:lvlText w:val="•"/>
      <w:lvlJc w:val="left"/>
      <w:pPr>
        <w:ind w:left="1176" w:hanging="284"/>
      </w:pPr>
      <w:rPr>
        <w:rFonts w:hint="default"/>
        <w:lang w:val="en-US" w:eastAsia="en-US" w:bidi="ar-SA"/>
      </w:rPr>
    </w:lvl>
    <w:lvl w:ilvl="8" w:tplc="36129750">
      <w:numFmt w:val="bullet"/>
      <w:lvlText w:val="•"/>
      <w:lvlJc w:val="left"/>
      <w:pPr>
        <w:ind w:left="1299" w:hanging="284"/>
      </w:pPr>
      <w:rPr>
        <w:rFonts w:hint="default"/>
        <w:lang w:val="en-US" w:eastAsia="en-US" w:bidi="ar-SA"/>
      </w:rPr>
    </w:lvl>
  </w:abstractNum>
  <w:abstractNum w:abstractNumId="113" w15:restartNumberingAfterBreak="0">
    <w:nsid w:val="1C8F40E1"/>
    <w:multiLevelType w:val="hybridMultilevel"/>
    <w:tmpl w:val="8F9CF166"/>
    <w:lvl w:ilvl="0" w:tplc="5E7E7A00">
      <w:numFmt w:val="bullet"/>
      <w:lvlText w:val=""/>
      <w:lvlJc w:val="left"/>
      <w:pPr>
        <w:ind w:left="390" w:hanging="284"/>
      </w:pPr>
      <w:rPr>
        <w:rFonts w:ascii="Symbol" w:eastAsia="Symbol" w:hAnsi="Symbol" w:cs="Symbol" w:hint="default"/>
        <w:b w:val="0"/>
        <w:bCs w:val="0"/>
        <w:i w:val="0"/>
        <w:iCs w:val="0"/>
        <w:color w:val="70004A"/>
        <w:spacing w:val="0"/>
        <w:w w:val="100"/>
        <w:sz w:val="18"/>
        <w:szCs w:val="18"/>
        <w:lang w:val="en-US" w:eastAsia="en-US" w:bidi="ar-SA"/>
      </w:rPr>
    </w:lvl>
    <w:lvl w:ilvl="1" w:tplc="C15201D4">
      <w:numFmt w:val="bullet"/>
      <w:lvlText w:val="•"/>
      <w:lvlJc w:val="left"/>
      <w:pPr>
        <w:ind w:left="656" w:hanging="284"/>
      </w:pPr>
      <w:rPr>
        <w:rFonts w:hint="default"/>
        <w:lang w:val="en-US" w:eastAsia="en-US" w:bidi="ar-SA"/>
      </w:rPr>
    </w:lvl>
    <w:lvl w:ilvl="2" w:tplc="5A3ACF52">
      <w:numFmt w:val="bullet"/>
      <w:lvlText w:val="•"/>
      <w:lvlJc w:val="left"/>
      <w:pPr>
        <w:ind w:left="912" w:hanging="284"/>
      </w:pPr>
      <w:rPr>
        <w:rFonts w:hint="default"/>
        <w:lang w:val="en-US" w:eastAsia="en-US" w:bidi="ar-SA"/>
      </w:rPr>
    </w:lvl>
    <w:lvl w:ilvl="3" w:tplc="FFAC2A34">
      <w:numFmt w:val="bullet"/>
      <w:lvlText w:val="•"/>
      <w:lvlJc w:val="left"/>
      <w:pPr>
        <w:ind w:left="1168" w:hanging="284"/>
      </w:pPr>
      <w:rPr>
        <w:rFonts w:hint="default"/>
        <w:lang w:val="en-US" w:eastAsia="en-US" w:bidi="ar-SA"/>
      </w:rPr>
    </w:lvl>
    <w:lvl w:ilvl="4" w:tplc="975E9ABC">
      <w:numFmt w:val="bullet"/>
      <w:lvlText w:val="•"/>
      <w:lvlJc w:val="left"/>
      <w:pPr>
        <w:ind w:left="1424" w:hanging="284"/>
      </w:pPr>
      <w:rPr>
        <w:rFonts w:hint="default"/>
        <w:lang w:val="en-US" w:eastAsia="en-US" w:bidi="ar-SA"/>
      </w:rPr>
    </w:lvl>
    <w:lvl w:ilvl="5" w:tplc="B57AAA26">
      <w:numFmt w:val="bullet"/>
      <w:lvlText w:val="•"/>
      <w:lvlJc w:val="left"/>
      <w:pPr>
        <w:ind w:left="1681" w:hanging="284"/>
      </w:pPr>
      <w:rPr>
        <w:rFonts w:hint="default"/>
        <w:lang w:val="en-US" w:eastAsia="en-US" w:bidi="ar-SA"/>
      </w:rPr>
    </w:lvl>
    <w:lvl w:ilvl="6" w:tplc="E2FCA402">
      <w:numFmt w:val="bullet"/>
      <w:lvlText w:val="•"/>
      <w:lvlJc w:val="left"/>
      <w:pPr>
        <w:ind w:left="1937" w:hanging="284"/>
      </w:pPr>
      <w:rPr>
        <w:rFonts w:hint="default"/>
        <w:lang w:val="en-US" w:eastAsia="en-US" w:bidi="ar-SA"/>
      </w:rPr>
    </w:lvl>
    <w:lvl w:ilvl="7" w:tplc="4FE0A1E0">
      <w:numFmt w:val="bullet"/>
      <w:lvlText w:val="•"/>
      <w:lvlJc w:val="left"/>
      <w:pPr>
        <w:ind w:left="2193" w:hanging="284"/>
      </w:pPr>
      <w:rPr>
        <w:rFonts w:hint="default"/>
        <w:lang w:val="en-US" w:eastAsia="en-US" w:bidi="ar-SA"/>
      </w:rPr>
    </w:lvl>
    <w:lvl w:ilvl="8" w:tplc="B836942E">
      <w:numFmt w:val="bullet"/>
      <w:lvlText w:val="•"/>
      <w:lvlJc w:val="left"/>
      <w:pPr>
        <w:ind w:left="2449" w:hanging="284"/>
      </w:pPr>
      <w:rPr>
        <w:rFonts w:hint="default"/>
        <w:lang w:val="en-US" w:eastAsia="en-US" w:bidi="ar-SA"/>
      </w:rPr>
    </w:lvl>
  </w:abstractNum>
  <w:abstractNum w:abstractNumId="114" w15:restartNumberingAfterBreak="0">
    <w:nsid w:val="1CA63A6A"/>
    <w:multiLevelType w:val="hybridMultilevel"/>
    <w:tmpl w:val="78526C46"/>
    <w:lvl w:ilvl="0" w:tplc="4016F7D0">
      <w:numFmt w:val="bullet"/>
      <w:lvlText w:val=""/>
      <w:lvlJc w:val="left"/>
      <w:pPr>
        <w:ind w:left="501" w:hanging="360"/>
      </w:pPr>
      <w:rPr>
        <w:rFonts w:ascii="Symbol" w:eastAsia="Symbol" w:hAnsi="Symbol" w:cs="Symbol" w:hint="default"/>
        <w:b w:val="0"/>
        <w:bCs w:val="0"/>
        <w:i w:val="0"/>
        <w:iCs w:val="0"/>
        <w:color w:val="70004A"/>
        <w:spacing w:val="0"/>
        <w:w w:val="100"/>
        <w:sz w:val="20"/>
        <w:szCs w:val="20"/>
        <w:lang w:val="en-US" w:eastAsia="en-US" w:bidi="ar-SA"/>
      </w:rPr>
    </w:lvl>
    <w:lvl w:ilvl="1" w:tplc="762A9B3E">
      <w:numFmt w:val="bullet"/>
      <w:lvlText w:val="•"/>
      <w:lvlJc w:val="left"/>
      <w:pPr>
        <w:ind w:left="1428" w:hanging="360"/>
      </w:pPr>
      <w:rPr>
        <w:rFonts w:hint="default"/>
        <w:lang w:val="en-US" w:eastAsia="en-US" w:bidi="ar-SA"/>
      </w:rPr>
    </w:lvl>
    <w:lvl w:ilvl="2" w:tplc="43BE5294">
      <w:numFmt w:val="bullet"/>
      <w:lvlText w:val="•"/>
      <w:lvlJc w:val="left"/>
      <w:pPr>
        <w:ind w:left="2356" w:hanging="360"/>
      </w:pPr>
      <w:rPr>
        <w:rFonts w:hint="default"/>
        <w:lang w:val="en-US" w:eastAsia="en-US" w:bidi="ar-SA"/>
      </w:rPr>
    </w:lvl>
    <w:lvl w:ilvl="3" w:tplc="6B3437AA">
      <w:numFmt w:val="bullet"/>
      <w:lvlText w:val="•"/>
      <w:lvlJc w:val="left"/>
      <w:pPr>
        <w:ind w:left="3284" w:hanging="360"/>
      </w:pPr>
      <w:rPr>
        <w:rFonts w:hint="default"/>
        <w:lang w:val="en-US" w:eastAsia="en-US" w:bidi="ar-SA"/>
      </w:rPr>
    </w:lvl>
    <w:lvl w:ilvl="4" w:tplc="F5C29AC6">
      <w:numFmt w:val="bullet"/>
      <w:lvlText w:val="•"/>
      <w:lvlJc w:val="left"/>
      <w:pPr>
        <w:ind w:left="4212" w:hanging="360"/>
      </w:pPr>
      <w:rPr>
        <w:rFonts w:hint="default"/>
        <w:lang w:val="en-US" w:eastAsia="en-US" w:bidi="ar-SA"/>
      </w:rPr>
    </w:lvl>
    <w:lvl w:ilvl="5" w:tplc="4A7E2DF6">
      <w:numFmt w:val="bullet"/>
      <w:lvlText w:val="•"/>
      <w:lvlJc w:val="left"/>
      <w:pPr>
        <w:ind w:left="5140" w:hanging="360"/>
      </w:pPr>
      <w:rPr>
        <w:rFonts w:hint="default"/>
        <w:lang w:val="en-US" w:eastAsia="en-US" w:bidi="ar-SA"/>
      </w:rPr>
    </w:lvl>
    <w:lvl w:ilvl="6" w:tplc="A02EA36E">
      <w:numFmt w:val="bullet"/>
      <w:lvlText w:val="•"/>
      <w:lvlJc w:val="left"/>
      <w:pPr>
        <w:ind w:left="6068" w:hanging="360"/>
      </w:pPr>
      <w:rPr>
        <w:rFonts w:hint="default"/>
        <w:lang w:val="en-US" w:eastAsia="en-US" w:bidi="ar-SA"/>
      </w:rPr>
    </w:lvl>
    <w:lvl w:ilvl="7" w:tplc="41025600">
      <w:numFmt w:val="bullet"/>
      <w:lvlText w:val="•"/>
      <w:lvlJc w:val="left"/>
      <w:pPr>
        <w:ind w:left="6996" w:hanging="360"/>
      </w:pPr>
      <w:rPr>
        <w:rFonts w:hint="default"/>
        <w:lang w:val="en-US" w:eastAsia="en-US" w:bidi="ar-SA"/>
      </w:rPr>
    </w:lvl>
    <w:lvl w:ilvl="8" w:tplc="B672EB74">
      <w:numFmt w:val="bullet"/>
      <w:lvlText w:val="•"/>
      <w:lvlJc w:val="left"/>
      <w:pPr>
        <w:ind w:left="7925" w:hanging="360"/>
      </w:pPr>
      <w:rPr>
        <w:rFonts w:hint="default"/>
        <w:lang w:val="en-US" w:eastAsia="en-US" w:bidi="ar-SA"/>
      </w:rPr>
    </w:lvl>
  </w:abstractNum>
  <w:abstractNum w:abstractNumId="115" w15:restartNumberingAfterBreak="0">
    <w:nsid w:val="1CEA65B0"/>
    <w:multiLevelType w:val="hybridMultilevel"/>
    <w:tmpl w:val="E18A02B6"/>
    <w:lvl w:ilvl="0" w:tplc="5A3C372A">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C4F43BAE">
      <w:numFmt w:val="bullet"/>
      <w:lvlText w:val="•"/>
      <w:lvlJc w:val="left"/>
      <w:pPr>
        <w:ind w:left="668" w:hanging="284"/>
      </w:pPr>
      <w:rPr>
        <w:rFonts w:hint="default"/>
        <w:lang w:val="en-US" w:eastAsia="en-US" w:bidi="ar-SA"/>
      </w:rPr>
    </w:lvl>
    <w:lvl w:ilvl="2" w:tplc="CCB83AB8">
      <w:numFmt w:val="bullet"/>
      <w:lvlText w:val="•"/>
      <w:lvlJc w:val="left"/>
      <w:pPr>
        <w:ind w:left="937" w:hanging="284"/>
      </w:pPr>
      <w:rPr>
        <w:rFonts w:hint="default"/>
        <w:lang w:val="en-US" w:eastAsia="en-US" w:bidi="ar-SA"/>
      </w:rPr>
    </w:lvl>
    <w:lvl w:ilvl="3" w:tplc="EEC6C85A">
      <w:numFmt w:val="bullet"/>
      <w:lvlText w:val="•"/>
      <w:lvlJc w:val="left"/>
      <w:pPr>
        <w:ind w:left="1205" w:hanging="284"/>
      </w:pPr>
      <w:rPr>
        <w:rFonts w:hint="default"/>
        <w:lang w:val="en-US" w:eastAsia="en-US" w:bidi="ar-SA"/>
      </w:rPr>
    </w:lvl>
    <w:lvl w:ilvl="4" w:tplc="B1DE02CE">
      <w:numFmt w:val="bullet"/>
      <w:lvlText w:val="•"/>
      <w:lvlJc w:val="left"/>
      <w:pPr>
        <w:ind w:left="1474" w:hanging="284"/>
      </w:pPr>
      <w:rPr>
        <w:rFonts w:hint="default"/>
        <w:lang w:val="en-US" w:eastAsia="en-US" w:bidi="ar-SA"/>
      </w:rPr>
    </w:lvl>
    <w:lvl w:ilvl="5" w:tplc="E738DD20">
      <w:numFmt w:val="bullet"/>
      <w:lvlText w:val="•"/>
      <w:lvlJc w:val="left"/>
      <w:pPr>
        <w:ind w:left="1743" w:hanging="284"/>
      </w:pPr>
      <w:rPr>
        <w:rFonts w:hint="default"/>
        <w:lang w:val="en-US" w:eastAsia="en-US" w:bidi="ar-SA"/>
      </w:rPr>
    </w:lvl>
    <w:lvl w:ilvl="6" w:tplc="AA620A54">
      <w:numFmt w:val="bullet"/>
      <w:lvlText w:val="•"/>
      <w:lvlJc w:val="left"/>
      <w:pPr>
        <w:ind w:left="2011" w:hanging="284"/>
      </w:pPr>
      <w:rPr>
        <w:rFonts w:hint="default"/>
        <w:lang w:val="en-US" w:eastAsia="en-US" w:bidi="ar-SA"/>
      </w:rPr>
    </w:lvl>
    <w:lvl w:ilvl="7" w:tplc="AC968CC8">
      <w:numFmt w:val="bullet"/>
      <w:lvlText w:val="•"/>
      <w:lvlJc w:val="left"/>
      <w:pPr>
        <w:ind w:left="2280" w:hanging="284"/>
      </w:pPr>
      <w:rPr>
        <w:rFonts w:hint="default"/>
        <w:lang w:val="en-US" w:eastAsia="en-US" w:bidi="ar-SA"/>
      </w:rPr>
    </w:lvl>
    <w:lvl w:ilvl="8" w:tplc="7C3A5B30">
      <w:numFmt w:val="bullet"/>
      <w:lvlText w:val="•"/>
      <w:lvlJc w:val="left"/>
      <w:pPr>
        <w:ind w:left="2548" w:hanging="284"/>
      </w:pPr>
      <w:rPr>
        <w:rFonts w:hint="default"/>
        <w:lang w:val="en-US" w:eastAsia="en-US" w:bidi="ar-SA"/>
      </w:rPr>
    </w:lvl>
  </w:abstractNum>
  <w:abstractNum w:abstractNumId="116" w15:restartNumberingAfterBreak="0">
    <w:nsid w:val="1CF75EAE"/>
    <w:multiLevelType w:val="hybridMultilevel"/>
    <w:tmpl w:val="E1E01298"/>
    <w:lvl w:ilvl="0" w:tplc="9B34A33A">
      <w:numFmt w:val="bullet"/>
      <w:lvlText w:val=""/>
      <w:lvlJc w:val="left"/>
      <w:pPr>
        <w:ind w:left="320" w:hanging="284"/>
      </w:pPr>
      <w:rPr>
        <w:rFonts w:ascii="Symbol" w:eastAsia="Symbol" w:hAnsi="Symbol" w:cs="Symbol" w:hint="default"/>
        <w:b w:val="0"/>
        <w:bCs w:val="0"/>
        <w:i w:val="0"/>
        <w:iCs w:val="0"/>
        <w:color w:val="70004A"/>
        <w:spacing w:val="0"/>
        <w:w w:val="100"/>
        <w:sz w:val="18"/>
        <w:szCs w:val="18"/>
        <w:lang w:val="en-US" w:eastAsia="en-US" w:bidi="ar-SA"/>
      </w:rPr>
    </w:lvl>
    <w:lvl w:ilvl="1" w:tplc="71343D3E">
      <w:numFmt w:val="bullet"/>
      <w:lvlText w:val="•"/>
      <w:lvlJc w:val="left"/>
      <w:pPr>
        <w:ind w:left="429" w:hanging="284"/>
      </w:pPr>
      <w:rPr>
        <w:rFonts w:hint="default"/>
        <w:lang w:val="en-US" w:eastAsia="en-US" w:bidi="ar-SA"/>
      </w:rPr>
    </w:lvl>
    <w:lvl w:ilvl="2" w:tplc="C9F8D3B4">
      <w:numFmt w:val="bullet"/>
      <w:lvlText w:val="•"/>
      <w:lvlJc w:val="left"/>
      <w:pPr>
        <w:ind w:left="538" w:hanging="284"/>
      </w:pPr>
      <w:rPr>
        <w:rFonts w:hint="default"/>
        <w:lang w:val="en-US" w:eastAsia="en-US" w:bidi="ar-SA"/>
      </w:rPr>
    </w:lvl>
    <w:lvl w:ilvl="3" w:tplc="23B08A38">
      <w:numFmt w:val="bullet"/>
      <w:lvlText w:val="•"/>
      <w:lvlJc w:val="left"/>
      <w:pPr>
        <w:ind w:left="647" w:hanging="284"/>
      </w:pPr>
      <w:rPr>
        <w:rFonts w:hint="default"/>
        <w:lang w:val="en-US" w:eastAsia="en-US" w:bidi="ar-SA"/>
      </w:rPr>
    </w:lvl>
    <w:lvl w:ilvl="4" w:tplc="038C7772">
      <w:numFmt w:val="bullet"/>
      <w:lvlText w:val="•"/>
      <w:lvlJc w:val="left"/>
      <w:pPr>
        <w:ind w:left="756" w:hanging="284"/>
      </w:pPr>
      <w:rPr>
        <w:rFonts w:hint="default"/>
        <w:lang w:val="en-US" w:eastAsia="en-US" w:bidi="ar-SA"/>
      </w:rPr>
    </w:lvl>
    <w:lvl w:ilvl="5" w:tplc="E744C1F2">
      <w:numFmt w:val="bullet"/>
      <w:lvlText w:val="•"/>
      <w:lvlJc w:val="left"/>
      <w:pPr>
        <w:ind w:left="866" w:hanging="284"/>
      </w:pPr>
      <w:rPr>
        <w:rFonts w:hint="default"/>
        <w:lang w:val="en-US" w:eastAsia="en-US" w:bidi="ar-SA"/>
      </w:rPr>
    </w:lvl>
    <w:lvl w:ilvl="6" w:tplc="F3605A9E">
      <w:numFmt w:val="bullet"/>
      <w:lvlText w:val="•"/>
      <w:lvlJc w:val="left"/>
      <w:pPr>
        <w:ind w:left="975" w:hanging="284"/>
      </w:pPr>
      <w:rPr>
        <w:rFonts w:hint="default"/>
        <w:lang w:val="en-US" w:eastAsia="en-US" w:bidi="ar-SA"/>
      </w:rPr>
    </w:lvl>
    <w:lvl w:ilvl="7" w:tplc="C6646A64">
      <w:numFmt w:val="bullet"/>
      <w:lvlText w:val="•"/>
      <w:lvlJc w:val="left"/>
      <w:pPr>
        <w:ind w:left="1084" w:hanging="284"/>
      </w:pPr>
      <w:rPr>
        <w:rFonts w:hint="default"/>
        <w:lang w:val="en-US" w:eastAsia="en-US" w:bidi="ar-SA"/>
      </w:rPr>
    </w:lvl>
    <w:lvl w:ilvl="8" w:tplc="E7DA1F68">
      <w:numFmt w:val="bullet"/>
      <w:lvlText w:val="•"/>
      <w:lvlJc w:val="left"/>
      <w:pPr>
        <w:ind w:left="1193" w:hanging="284"/>
      </w:pPr>
      <w:rPr>
        <w:rFonts w:hint="default"/>
        <w:lang w:val="en-US" w:eastAsia="en-US" w:bidi="ar-SA"/>
      </w:rPr>
    </w:lvl>
  </w:abstractNum>
  <w:abstractNum w:abstractNumId="117" w15:restartNumberingAfterBreak="0">
    <w:nsid w:val="1CFF0D64"/>
    <w:multiLevelType w:val="hybridMultilevel"/>
    <w:tmpl w:val="E0B0633E"/>
    <w:lvl w:ilvl="0" w:tplc="AE36CA7E">
      <w:numFmt w:val="bullet"/>
      <w:lvlText w:val=""/>
      <w:lvlJc w:val="left"/>
      <w:pPr>
        <w:ind w:left="434" w:hanging="284"/>
      </w:pPr>
      <w:rPr>
        <w:rFonts w:ascii="Symbol" w:eastAsia="Symbol" w:hAnsi="Symbol" w:cs="Symbol" w:hint="default"/>
        <w:b w:val="0"/>
        <w:bCs w:val="0"/>
        <w:i w:val="0"/>
        <w:iCs w:val="0"/>
        <w:color w:val="70004A"/>
        <w:spacing w:val="0"/>
        <w:w w:val="100"/>
        <w:sz w:val="18"/>
        <w:szCs w:val="18"/>
        <w:lang w:val="en-US" w:eastAsia="en-US" w:bidi="ar-SA"/>
      </w:rPr>
    </w:lvl>
    <w:lvl w:ilvl="1" w:tplc="EC484BEA">
      <w:numFmt w:val="bullet"/>
      <w:lvlText w:val="•"/>
      <w:lvlJc w:val="left"/>
      <w:pPr>
        <w:ind w:left="674" w:hanging="284"/>
      </w:pPr>
      <w:rPr>
        <w:rFonts w:hint="default"/>
        <w:lang w:val="en-US" w:eastAsia="en-US" w:bidi="ar-SA"/>
      </w:rPr>
    </w:lvl>
    <w:lvl w:ilvl="2" w:tplc="B86A50D4">
      <w:numFmt w:val="bullet"/>
      <w:lvlText w:val="•"/>
      <w:lvlJc w:val="left"/>
      <w:pPr>
        <w:ind w:left="909" w:hanging="284"/>
      </w:pPr>
      <w:rPr>
        <w:rFonts w:hint="default"/>
        <w:lang w:val="en-US" w:eastAsia="en-US" w:bidi="ar-SA"/>
      </w:rPr>
    </w:lvl>
    <w:lvl w:ilvl="3" w:tplc="6C1E4CDC">
      <w:numFmt w:val="bullet"/>
      <w:lvlText w:val="•"/>
      <w:lvlJc w:val="left"/>
      <w:pPr>
        <w:ind w:left="1143" w:hanging="284"/>
      </w:pPr>
      <w:rPr>
        <w:rFonts w:hint="default"/>
        <w:lang w:val="en-US" w:eastAsia="en-US" w:bidi="ar-SA"/>
      </w:rPr>
    </w:lvl>
    <w:lvl w:ilvl="4" w:tplc="0A5A913A">
      <w:numFmt w:val="bullet"/>
      <w:lvlText w:val="•"/>
      <w:lvlJc w:val="left"/>
      <w:pPr>
        <w:ind w:left="1378" w:hanging="284"/>
      </w:pPr>
      <w:rPr>
        <w:rFonts w:hint="default"/>
        <w:lang w:val="en-US" w:eastAsia="en-US" w:bidi="ar-SA"/>
      </w:rPr>
    </w:lvl>
    <w:lvl w:ilvl="5" w:tplc="00307980">
      <w:numFmt w:val="bullet"/>
      <w:lvlText w:val="•"/>
      <w:lvlJc w:val="left"/>
      <w:pPr>
        <w:ind w:left="1612" w:hanging="284"/>
      </w:pPr>
      <w:rPr>
        <w:rFonts w:hint="default"/>
        <w:lang w:val="en-US" w:eastAsia="en-US" w:bidi="ar-SA"/>
      </w:rPr>
    </w:lvl>
    <w:lvl w:ilvl="6" w:tplc="C0F89AE2">
      <w:numFmt w:val="bullet"/>
      <w:lvlText w:val="•"/>
      <w:lvlJc w:val="left"/>
      <w:pPr>
        <w:ind w:left="1847" w:hanging="284"/>
      </w:pPr>
      <w:rPr>
        <w:rFonts w:hint="default"/>
        <w:lang w:val="en-US" w:eastAsia="en-US" w:bidi="ar-SA"/>
      </w:rPr>
    </w:lvl>
    <w:lvl w:ilvl="7" w:tplc="40AC6DD8">
      <w:numFmt w:val="bullet"/>
      <w:lvlText w:val="•"/>
      <w:lvlJc w:val="left"/>
      <w:pPr>
        <w:ind w:left="2081" w:hanging="284"/>
      </w:pPr>
      <w:rPr>
        <w:rFonts w:hint="default"/>
        <w:lang w:val="en-US" w:eastAsia="en-US" w:bidi="ar-SA"/>
      </w:rPr>
    </w:lvl>
    <w:lvl w:ilvl="8" w:tplc="5FE0A6F8">
      <w:numFmt w:val="bullet"/>
      <w:lvlText w:val="•"/>
      <w:lvlJc w:val="left"/>
      <w:pPr>
        <w:ind w:left="2316" w:hanging="284"/>
      </w:pPr>
      <w:rPr>
        <w:rFonts w:hint="default"/>
        <w:lang w:val="en-US" w:eastAsia="en-US" w:bidi="ar-SA"/>
      </w:rPr>
    </w:lvl>
  </w:abstractNum>
  <w:abstractNum w:abstractNumId="118" w15:restartNumberingAfterBreak="0">
    <w:nsid w:val="1D7D05D5"/>
    <w:multiLevelType w:val="hybridMultilevel"/>
    <w:tmpl w:val="E774D0EE"/>
    <w:lvl w:ilvl="0" w:tplc="BDAAC88C">
      <w:numFmt w:val="bullet"/>
      <w:lvlText w:val=""/>
      <w:lvlJc w:val="left"/>
      <w:pPr>
        <w:ind w:left="438" w:hanging="284"/>
      </w:pPr>
      <w:rPr>
        <w:rFonts w:ascii="Symbol" w:eastAsia="Symbol" w:hAnsi="Symbol" w:cs="Symbol" w:hint="default"/>
        <w:b w:val="0"/>
        <w:bCs w:val="0"/>
        <w:i w:val="0"/>
        <w:iCs w:val="0"/>
        <w:color w:val="70004A"/>
        <w:spacing w:val="0"/>
        <w:w w:val="100"/>
        <w:sz w:val="18"/>
        <w:szCs w:val="18"/>
        <w:lang w:val="en-US" w:eastAsia="en-US" w:bidi="ar-SA"/>
      </w:rPr>
    </w:lvl>
    <w:lvl w:ilvl="1" w:tplc="390E1726">
      <w:numFmt w:val="bullet"/>
      <w:lvlText w:val="•"/>
      <w:lvlJc w:val="left"/>
      <w:pPr>
        <w:ind w:left="654" w:hanging="284"/>
      </w:pPr>
      <w:rPr>
        <w:rFonts w:hint="default"/>
        <w:lang w:val="en-US" w:eastAsia="en-US" w:bidi="ar-SA"/>
      </w:rPr>
    </w:lvl>
    <w:lvl w:ilvl="2" w:tplc="51C8CE94">
      <w:numFmt w:val="bullet"/>
      <w:lvlText w:val="•"/>
      <w:lvlJc w:val="left"/>
      <w:pPr>
        <w:ind w:left="869" w:hanging="284"/>
      </w:pPr>
      <w:rPr>
        <w:rFonts w:hint="default"/>
        <w:lang w:val="en-US" w:eastAsia="en-US" w:bidi="ar-SA"/>
      </w:rPr>
    </w:lvl>
    <w:lvl w:ilvl="3" w:tplc="BA5271AE">
      <w:numFmt w:val="bullet"/>
      <w:lvlText w:val="•"/>
      <w:lvlJc w:val="left"/>
      <w:pPr>
        <w:ind w:left="1084" w:hanging="284"/>
      </w:pPr>
      <w:rPr>
        <w:rFonts w:hint="default"/>
        <w:lang w:val="en-US" w:eastAsia="en-US" w:bidi="ar-SA"/>
      </w:rPr>
    </w:lvl>
    <w:lvl w:ilvl="4" w:tplc="9AD0C822">
      <w:numFmt w:val="bullet"/>
      <w:lvlText w:val="•"/>
      <w:lvlJc w:val="left"/>
      <w:pPr>
        <w:ind w:left="1298" w:hanging="284"/>
      </w:pPr>
      <w:rPr>
        <w:rFonts w:hint="default"/>
        <w:lang w:val="en-US" w:eastAsia="en-US" w:bidi="ar-SA"/>
      </w:rPr>
    </w:lvl>
    <w:lvl w:ilvl="5" w:tplc="66E8341C">
      <w:numFmt w:val="bullet"/>
      <w:lvlText w:val="•"/>
      <w:lvlJc w:val="left"/>
      <w:pPr>
        <w:ind w:left="1513" w:hanging="284"/>
      </w:pPr>
      <w:rPr>
        <w:rFonts w:hint="default"/>
        <w:lang w:val="en-US" w:eastAsia="en-US" w:bidi="ar-SA"/>
      </w:rPr>
    </w:lvl>
    <w:lvl w:ilvl="6" w:tplc="6B285878">
      <w:numFmt w:val="bullet"/>
      <w:lvlText w:val="•"/>
      <w:lvlJc w:val="left"/>
      <w:pPr>
        <w:ind w:left="1728" w:hanging="284"/>
      </w:pPr>
      <w:rPr>
        <w:rFonts w:hint="default"/>
        <w:lang w:val="en-US" w:eastAsia="en-US" w:bidi="ar-SA"/>
      </w:rPr>
    </w:lvl>
    <w:lvl w:ilvl="7" w:tplc="5FC453E4">
      <w:numFmt w:val="bullet"/>
      <w:lvlText w:val="•"/>
      <w:lvlJc w:val="left"/>
      <w:pPr>
        <w:ind w:left="1942" w:hanging="284"/>
      </w:pPr>
      <w:rPr>
        <w:rFonts w:hint="default"/>
        <w:lang w:val="en-US" w:eastAsia="en-US" w:bidi="ar-SA"/>
      </w:rPr>
    </w:lvl>
    <w:lvl w:ilvl="8" w:tplc="CDA4C92E">
      <w:numFmt w:val="bullet"/>
      <w:lvlText w:val="•"/>
      <w:lvlJc w:val="left"/>
      <w:pPr>
        <w:ind w:left="2157" w:hanging="284"/>
      </w:pPr>
      <w:rPr>
        <w:rFonts w:hint="default"/>
        <w:lang w:val="en-US" w:eastAsia="en-US" w:bidi="ar-SA"/>
      </w:rPr>
    </w:lvl>
  </w:abstractNum>
  <w:abstractNum w:abstractNumId="119" w15:restartNumberingAfterBreak="0">
    <w:nsid w:val="1D905445"/>
    <w:multiLevelType w:val="hybridMultilevel"/>
    <w:tmpl w:val="4948E5D8"/>
    <w:lvl w:ilvl="0" w:tplc="48D0E436">
      <w:numFmt w:val="bullet"/>
      <w:lvlText w:val=""/>
      <w:lvlJc w:val="left"/>
      <w:pPr>
        <w:ind w:left="391" w:hanging="284"/>
      </w:pPr>
      <w:rPr>
        <w:rFonts w:ascii="Symbol" w:eastAsia="Symbol" w:hAnsi="Symbol" w:cs="Symbol" w:hint="default"/>
        <w:b w:val="0"/>
        <w:bCs w:val="0"/>
        <w:i w:val="0"/>
        <w:iCs w:val="0"/>
        <w:color w:val="70004A"/>
        <w:spacing w:val="0"/>
        <w:w w:val="100"/>
        <w:sz w:val="18"/>
        <w:szCs w:val="18"/>
        <w:lang w:val="en-US" w:eastAsia="en-US" w:bidi="ar-SA"/>
      </w:rPr>
    </w:lvl>
    <w:lvl w:ilvl="1" w:tplc="7E40CC8A">
      <w:numFmt w:val="bullet"/>
      <w:lvlText w:val="•"/>
      <w:lvlJc w:val="left"/>
      <w:pPr>
        <w:ind w:left="712" w:hanging="284"/>
      </w:pPr>
      <w:rPr>
        <w:rFonts w:hint="default"/>
        <w:lang w:val="en-US" w:eastAsia="en-US" w:bidi="ar-SA"/>
      </w:rPr>
    </w:lvl>
    <w:lvl w:ilvl="2" w:tplc="87821ED6">
      <w:numFmt w:val="bullet"/>
      <w:lvlText w:val="•"/>
      <w:lvlJc w:val="left"/>
      <w:pPr>
        <w:ind w:left="1024" w:hanging="284"/>
      </w:pPr>
      <w:rPr>
        <w:rFonts w:hint="default"/>
        <w:lang w:val="en-US" w:eastAsia="en-US" w:bidi="ar-SA"/>
      </w:rPr>
    </w:lvl>
    <w:lvl w:ilvl="3" w:tplc="4D866FE8">
      <w:numFmt w:val="bullet"/>
      <w:lvlText w:val="•"/>
      <w:lvlJc w:val="left"/>
      <w:pPr>
        <w:ind w:left="1336" w:hanging="284"/>
      </w:pPr>
      <w:rPr>
        <w:rFonts w:hint="default"/>
        <w:lang w:val="en-US" w:eastAsia="en-US" w:bidi="ar-SA"/>
      </w:rPr>
    </w:lvl>
    <w:lvl w:ilvl="4" w:tplc="A08EDC9C">
      <w:numFmt w:val="bullet"/>
      <w:lvlText w:val="•"/>
      <w:lvlJc w:val="left"/>
      <w:pPr>
        <w:ind w:left="1649" w:hanging="284"/>
      </w:pPr>
      <w:rPr>
        <w:rFonts w:hint="default"/>
        <w:lang w:val="en-US" w:eastAsia="en-US" w:bidi="ar-SA"/>
      </w:rPr>
    </w:lvl>
    <w:lvl w:ilvl="5" w:tplc="EC588776">
      <w:numFmt w:val="bullet"/>
      <w:lvlText w:val="•"/>
      <w:lvlJc w:val="left"/>
      <w:pPr>
        <w:ind w:left="1961" w:hanging="284"/>
      </w:pPr>
      <w:rPr>
        <w:rFonts w:hint="default"/>
        <w:lang w:val="en-US" w:eastAsia="en-US" w:bidi="ar-SA"/>
      </w:rPr>
    </w:lvl>
    <w:lvl w:ilvl="6" w:tplc="2FD2D176">
      <w:numFmt w:val="bullet"/>
      <w:lvlText w:val="•"/>
      <w:lvlJc w:val="left"/>
      <w:pPr>
        <w:ind w:left="2273" w:hanging="284"/>
      </w:pPr>
      <w:rPr>
        <w:rFonts w:hint="default"/>
        <w:lang w:val="en-US" w:eastAsia="en-US" w:bidi="ar-SA"/>
      </w:rPr>
    </w:lvl>
    <w:lvl w:ilvl="7" w:tplc="2D62566A">
      <w:numFmt w:val="bullet"/>
      <w:lvlText w:val="•"/>
      <w:lvlJc w:val="left"/>
      <w:pPr>
        <w:ind w:left="2586" w:hanging="284"/>
      </w:pPr>
      <w:rPr>
        <w:rFonts w:hint="default"/>
        <w:lang w:val="en-US" w:eastAsia="en-US" w:bidi="ar-SA"/>
      </w:rPr>
    </w:lvl>
    <w:lvl w:ilvl="8" w:tplc="79C2A168">
      <w:numFmt w:val="bullet"/>
      <w:lvlText w:val="•"/>
      <w:lvlJc w:val="left"/>
      <w:pPr>
        <w:ind w:left="2898" w:hanging="284"/>
      </w:pPr>
      <w:rPr>
        <w:rFonts w:hint="default"/>
        <w:lang w:val="en-US" w:eastAsia="en-US" w:bidi="ar-SA"/>
      </w:rPr>
    </w:lvl>
  </w:abstractNum>
  <w:abstractNum w:abstractNumId="120" w15:restartNumberingAfterBreak="0">
    <w:nsid w:val="1DAB582D"/>
    <w:multiLevelType w:val="hybridMultilevel"/>
    <w:tmpl w:val="E788FEC0"/>
    <w:lvl w:ilvl="0" w:tplc="8F6A7DEA">
      <w:numFmt w:val="bullet"/>
      <w:lvlText w:val=""/>
      <w:lvlJc w:val="left"/>
      <w:pPr>
        <w:ind w:left="437" w:hanging="284"/>
      </w:pPr>
      <w:rPr>
        <w:rFonts w:ascii="Symbol" w:eastAsia="Symbol" w:hAnsi="Symbol" w:cs="Symbol" w:hint="default"/>
        <w:b w:val="0"/>
        <w:bCs w:val="0"/>
        <w:i w:val="0"/>
        <w:iCs w:val="0"/>
        <w:color w:val="70004A"/>
        <w:spacing w:val="0"/>
        <w:w w:val="100"/>
        <w:sz w:val="18"/>
        <w:szCs w:val="18"/>
        <w:lang w:val="en-US" w:eastAsia="en-US" w:bidi="ar-SA"/>
      </w:rPr>
    </w:lvl>
    <w:lvl w:ilvl="1" w:tplc="1876D4CE">
      <w:numFmt w:val="bullet"/>
      <w:lvlText w:val="•"/>
      <w:lvlJc w:val="left"/>
      <w:pPr>
        <w:ind w:left="610" w:hanging="284"/>
      </w:pPr>
      <w:rPr>
        <w:rFonts w:hint="default"/>
        <w:lang w:val="en-US" w:eastAsia="en-US" w:bidi="ar-SA"/>
      </w:rPr>
    </w:lvl>
    <w:lvl w:ilvl="2" w:tplc="817267AE">
      <w:numFmt w:val="bullet"/>
      <w:lvlText w:val="•"/>
      <w:lvlJc w:val="left"/>
      <w:pPr>
        <w:ind w:left="781" w:hanging="284"/>
      </w:pPr>
      <w:rPr>
        <w:rFonts w:hint="default"/>
        <w:lang w:val="en-US" w:eastAsia="en-US" w:bidi="ar-SA"/>
      </w:rPr>
    </w:lvl>
    <w:lvl w:ilvl="3" w:tplc="D51C258E">
      <w:numFmt w:val="bullet"/>
      <w:lvlText w:val="•"/>
      <w:lvlJc w:val="left"/>
      <w:pPr>
        <w:ind w:left="952" w:hanging="284"/>
      </w:pPr>
      <w:rPr>
        <w:rFonts w:hint="default"/>
        <w:lang w:val="en-US" w:eastAsia="en-US" w:bidi="ar-SA"/>
      </w:rPr>
    </w:lvl>
    <w:lvl w:ilvl="4" w:tplc="0FF445DA">
      <w:numFmt w:val="bullet"/>
      <w:lvlText w:val="•"/>
      <w:lvlJc w:val="left"/>
      <w:pPr>
        <w:ind w:left="1123" w:hanging="284"/>
      </w:pPr>
      <w:rPr>
        <w:rFonts w:hint="default"/>
        <w:lang w:val="en-US" w:eastAsia="en-US" w:bidi="ar-SA"/>
      </w:rPr>
    </w:lvl>
    <w:lvl w:ilvl="5" w:tplc="13166F6C">
      <w:numFmt w:val="bullet"/>
      <w:lvlText w:val="•"/>
      <w:lvlJc w:val="left"/>
      <w:pPr>
        <w:ind w:left="1294" w:hanging="284"/>
      </w:pPr>
      <w:rPr>
        <w:rFonts w:hint="default"/>
        <w:lang w:val="en-US" w:eastAsia="en-US" w:bidi="ar-SA"/>
      </w:rPr>
    </w:lvl>
    <w:lvl w:ilvl="6" w:tplc="E5D4B4EA">
      <w:numFmt w:val="bullet"/>
      <w:lvlText w:val="•"/>
      <w:lvlJc w:val="left"/>
      <w:pPr>
        <w:ind w:left="1465" w:hanging="284"/>
      </w:pPr>
      <w:rPr>
        <w:rFonts w:hint="default"/>
        <w:lang w:val="en-US" w:eastAsia="en-US" w:bidi="ar-SA"/>
      </w:rPr>
    </w:lvl>
    <w:lvl w:ilvl="7" w:tplc="F3328662">
      <w:numFmt w:val="bullet"/>
      <w:lvlText w:val="•"/>
      <w:lvlJc w:val="left"/>
      <w:pPr>
        <w:ind w:left="1636" w:hanging="284"/>
      </w:pPr>
      <w:rPr>
        <w:rFonts w:hint="default"/>
        <w:lang w:val="en-US" w:eastAsia="en-US" w:bidi="ar-SA"/>
      </w:rPr>
    </w:lvl>
    <w:lvl w:ilvl="8" w:tplc="F1A29618">
      <w:numFmt w:val="bullet"/>
      <w:lvlText w:val="•"/>
      <w:lvlJc w:val="left"/>
      <w:pPr>
        <w:ind w:left="1807" w:hanging="284"/>
      </w:pPr>
      <w:rPr>
        <w:rFonts w:hint="default"/>
        <w:lang w:val="en-US" w:eastAsia="en-US" w:bidi="ar-SA"/>
      </w:rPr>
    </w:lvl>
  </w:abstractNum>
  <w:abstractNum w:abstractNumId="121" w15:restartNumberingAfterBreak="0">
    <w:nsid w:val="1DB85AE3"/>
    <w:multiLevelType w:val="hybridMultilevel"/>
    <w:tmpl w:val="EB329CDC"/>
    <w:lvl w:ilvl="0" w:tplc="137862CE">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E4CCFAEC">
      <w:numFmt w:val="bullet"/>
      <w:lvlText w:val="•"/>
      <w:lvlJc w:val="left"/>
      <w:pPr>
        <w:ind w:left="686" w:hanging="284"/>
      </w:pPr>
      <w:rPr>
        <w:rFonts w:hint="default"/>
        <w:lang w:val="en-US" w:eastAsia="en-US" w:bidi="ar-SA"/>
      </w:rPr>
    </w:lvl>
    <w:lvl w:ilvl="2" w:tplc="C37639D0">
      <w:numFmt w:val="bullet"/>
      <w:lvlText w:val="•"/>
      <w:lvlJc w:val="left"/>
      <w:pPr>
        <w:ind w:left="972" w:hanging="284"/>
      </w:pPr>
      <w:rPr>
        <w:rFonts w:hint="default"/>
        <w:lang w:val="en-US" w:eastAsia="en-US" w:bidi="ar-SA"/>
      </w:rPr>
    </w:lvl>
    <w:lvl w:ilvl="3" w:tplc="5FE07B10">
      <w:numFmt w:val="bullet"/>
      <w:lvlText w:val="•"/>
      <w:lvlJc w:val="left"/>
      <w:pPr>
        <w:ind w:left="1258" w:hanging="284"/>
      </w:pPr>
      <w:rPr>
        <w:rFonts w:hint="default"/>
        <w:lang w:val="en-US" w:eastAsia="en-US" w:bidi="ar-SA"/>
      </w:rPr>
    </w:lvl>
    <w:lvl w:ilvl="4" w:tplc="8B9091CE">
      <w:numFmt w:val="bullet"/>
      <w:lvlText w:val="•"/>
      <w:lvlJc w:val="left"/>
      <w:pPr>
        <w:ind w:left="1544" w:hanging="284"/>
      </w:pPr>
      <w:rPr>
        <w:rFonts w:hint="default"/>
        <w:lang w:val="en-US" w:eastAsia="en-US" w:bidi="ar-SA"/>
      </w:rPr>
    </w:lvl>
    <w:lvl w:ilvl="5" w:tplc="FB523518">
      <w:numFmt w:val="bullet"/>
      <w:lvlText w:val="•"/>
      <w:lvlJc w:val="left"/>
      <w:pPr>
        <w:ind w:left="1831" w:hanging="284"/>
      </w:pPr>
      <w:rPr>
        <w:rFonts w:hint="default"/>
        <w:lang w:val="en-US" w:eastAsia="en-US" w:bidi="ar-SA"/>
      </w:rPr>
    </w:lvl>
    <w:lvl w:ilvl="6" w:tplc="258E0014">
      <w:numFmt w:val="bullet"/>
      <w:lvlText w:val="•"/>
      <w:lvlJc w:val="left"/>
      <w:pPr>
        <w:ind w:left="2117" w:hanging="284"/>
      </w:pPr>
      <w:rPr>
        <w:rFonts w:hint="default"/>
        <w:lang w:val="en-US" w:eastAsia="en-US" w:bidi="ar-SA"/>
      </w:rPr>
    </w:lvl>
    <w:lvl w:ilvl="7" w:tplc="48C04926">
      <w:numFmt w:val="bullet"/>
      <w:lvlText w:val="•"/>
      <w:lvlJc w:val="left"/>
      <w:pPr>
        <w:ind w:left="2403" w:hanging="284"/>
      </w:pPr>
      <w:rPr>
        <w:rFonts w:hint="default"/>
        <w:lang w:val="en-US" w:eastAsia="en-US" w:bidi="ar-SA"/>
      </w:rPr>
    </w:lvl>
    <w:lvl w:ilvl="8" w:tplc="BFB62DFC">
      <w:numFmt w:val="bullet"/>
      <w:lvlText w:val="•"/>
      <w:lvlJc w:val="left"/>
      <w:pPr>
        <w:ind w:left="2689" w:hanging="284"/>
      </w:pPr>
      <w:rPr>
        <w:rFonts w:hint="default"/>
        <w:lang w:val="en-US" w:eastAsia="en-US" w:bidi="ar-SA"/>
      </w:rPr>
    </w:lvl>
  </w:abstractNum>
  <w:abstractNum w:abstractNumId="122" w15:restartNumberingAfterBreak="0">
    <w:nsid w:val="1E240CDB"/>
    <w:multiLevelType w:val="hybridMultilevel"/>
    <w:tmpl w:val="D368E484"/>
    <w:lvl w:ilvl="0" w:tplc="3F50708A">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F6DAA55E">
      <w:numFmt w:val="bullet"/>
      <w:lvlText w:val="•"/>
      <w:lvlJc w:val="left"/>
      <w:pPr>
        <w:ind w:left="621" w:hanging="284"/>
      </w:pPr>
      <w:rPr>
        <w:rFonts w:hint="default"/>
        <w:lang w:val="en-US" w:eastAsia="en-US" w:bidi="ar-SA"/>
      </w:rPr>
    </w:lvl>
    <w:lvl w:ilvl="2" w:tplc="86585482">
      <w:numFmt w:val="bullet"/>
      <w:lvlText w:val="•"/>
      <w:lvlJc w:val="left"/>
      <w:pPr>
        <w:ind w:left="842" w:hanging="284"/>
      </w:pPr>
      <w:rPr>
        <w:rFonts w:hint="default"/>
        <w:lang w:val="en-US" w:eastAsia="en-US" w:bidi="ar-SA"/>
      </w:rPr>
    </w:lvl>
    <w:lvl w:ilvl="3" w:tplc="954C331E">
      <w:numFmt w:val="bullet"/>
      <w:lvlText w:val="•"/>
      <w:lvlJc w:val="left"/>
      <w:pPr>
        <w:ind w:left="1064" w:hanging="284"/>
      </w:pPr>
      <w:rPr>
        <w:rFonts w:hint="default"/>
        <w:lang w:val="en-US" w:eastAsia="en-US" w:bidi="ar-SA"/>
      </w:rPr>
    </w:lvl>
    <w:lvl w:ilvl="4" w:tplc="8AD8EA4C">
      <w:numFmt w:val="bullet"/>
      <w:lvlText w:val="•"/>
      <w:lvlJc w:val="left"/>
      <w:pPr>
        <w:ind w:left="1285" w:hanging="284"/>
      </w:pPr>
      <w:rPr>
        <w:rFonts w:hint="default"/>
        <w:lang w:val="en-US" w:eastAsia="en-US" w:bidi="ar-SA"/>
      </w:rPr>
    </w:lvl>
    <w:lvl w:ilvl="5" w:tplc="1E783CA0">
      <w:numFmt w:val="bullet"/>
      <w:lvlText w:val="•"/>
      <w:lvlJc w:val="left"/>
      <w:pPr>
        <w:ind w:left="1507" w:hanging="284"/>
      </w:pPr>
      <w:rPr>
        <w:rFonts w:hint="default"/>
        <w:lang w:val="en-US" w:eastAsia="en-US" w:bidi="ar-SA"/>
      </w:rPr>
    </w:lvl>
    <w:lvl w:ilvl="6" w:tplc="2652A50A">
      <w:numFmt w:val="bullet"/>
      <w:lvlText w:val="•"/>
      <w:lvlJc w:val="left"/>
      <w:pPr>
        <w:ind w:left="1728" w:hanging="284"/>
      </w:pPr>
      <w:rPr>
        <w:rFonts w:hint="default"/>
        <w:lang w:val="en-US" w:eastAsia="en-US" w:bidi="ar-SA"/>
      </w:rPr>
    </w:lvl>
    <w:lvl w:ilvl="7" w:tplc="E90E723C">
      <w:numFmt w:val="bullet"/>
      <w:lvlText w:val="•"/>
      <w:lvlJc w:val="left"/>
      <w:pPr>
        <w:ind w:left="1949" w:hanging="284"/>
      </w:pPr>
      <w:rPr>
        <w:rFonts w:hint="default"/>
        <w:lang w:val="en-US" w:eastAsia="en-US" w:bidi="ar-SA"/>
      </w:rPr>
    </w:lvl>
    <w:lvl w:ilvl="8" w:tplc="0B74CC30">
      <w:numFmt w:val="bullet"/>
      <w:lvlText w:val="•"/>
      <w:lvlJc w:val="left"/>
      <w:pPr>
        <w:ind w:left="2171" w:hanging="284"/>
      </w:pPr>
      <w:rPr>
        <w:rFonts w:hint="default"/>
        <w:lang w:val="en-US" w:eastAsia="en-US" w:bidi="ar-SA"/>
      </w:rPr>
    </w:lvl>
  </w:abstractNum>
  <w:abstractNum w:abstractNumId="123" w15:restartNumberingAfterBreak="0">
    <w:nsid w:val="1E392B4C"/>
    <w:multiLevelType w:val="hybridMultilevel"/>
    <w:tmpl w:val="789C6BFC"/>
    <w:lvl w:ilvl="0" w:tplc="0CA2EDAC">
      <w:numFmt w:val="bullet"/>
      <w:lvlText w:val=""/>
      <w:lvlJc w:val="left"/>
      <w:pPr>
        <w:ind w:left="463" w:hanging="284"/>
      </w:pPr>
      <w:rPr>
        <w:rFonts w:ascii="Symbol" w:eastAsia="Symbol" w:hAnsi="Symbol" w:cs="Symbol" w:hint="default"/>
        <w:b w:val="0"/>
        <w:bCs w:val="0"/>
        <w:i w:val="0"/>
        <w:iCs w:val="0"/>
        <w:color w:val="70004A"/>
        <w:spacing w:val="0"/>
        <w:w w:val="100"/>
        <w:sz w:val="18"/>
        <w:szCs w:val="18"/>
        <w:lang w:val="en-US" w:eastAsia="en-US" w:bidi="ar-SA"/>
      </w:rPr>
    </w:lvl>
    <w:lvl w:ilvl="1" w:tplc="62364B68">
      <w:numFmt w:val="bullet"/>
      <w:lvlText w:val="•"/>
      <w:lvlJc w:val="left"/>
      <w:pPr>
        <w:ind w:left="680" w:hanging="284"/>
      </w:pPr>
      <w:rPr>
        <w:rFonts w:hint="default"/>
        <w:lang w:val="en-US" w:eastAsia="en-US" w:bidi="ar-SA"/>
      </w:rPr>
    </w:lvl>
    <w:lvl w:ilvl="2" w:tplc="65A63090">
      <w:numFmt w:val="bullet"/>
      <w:lvlText w:val="•"/>
      <w:lvlJc w:val="left"/>
      <w:pPr>
        <w:ind w:left="901" w:hanging="284"/>
      </w:pPr>
      <w:rPr>
        <w:rFonts w:hint="default"/>
        <w:lang w:val="en-US" w:eastAsia="en-US" w:bidi="ar-SA"/>
      </w:rPr>
    </w:lvl>
    <w:lvl w:ilvl="3" w:tplc="749E39DE">
      <w:numFmt w:val="bullet"/>
      <w:lvlText w:val="•"/>
      <w:lvlJc w:val="left"/>
      <w:pPr>
        <w:ind w:left="1122" w:hanging="284"/>
      </w:pPr>
      <w:rPr>
        <w:rFonts w:hint="default"/>
        <w:lang w:val="en-US" w:eastAsia="en-US" w:bidi="ar-SA"/>
      </w:rPr>
    </w:lvl>
    <w:lvl w:ilvl="4" w:tplc="64A8FE8A">
      <w:numFmt w:val="bullet"/>
      <w:lvlText w:val="•"/>
      <w:lvlJc w:val="left"/>
      <w:pPr>
        <w:ind w:left="1343" w:hanging="284"/>
      </w:pPr>
      <w:rPr>
        <w:rFonts w:hint="default"/>
        <w:lang w:val="en-US" w:eastAsia="en-US" w:bidi="ar-SA"/>
      </w:rPr>
    </w:lvl>
    <w:lvl w:ilvl="5" w:tplc="859E6AF6">
      <w:numFmt w:val="bullet"/>
      <w:lvlText w:val="•"/>
      <w:lvlJc w:val="left"/>
      <w:pPr>
        <w:ind w:left="1564" w:hanging="284"/>
      </w:pPr>
      <w:rPr>
        <w:rFonts w:hint="default"/>
        <w:lang w:val="en-US" w:eastAsia="en-US" w:bidi="ar-SA"/>
      </w:rPr>
    </w:lvl>
    <w:lvl w:ilvl="6" w:tplc="D27EA14A">
      <w:numFmt w:val="bullet"/>
      <w:lvlText w:val="•"/>
      <w:lvlJc w:val="left"/>
      <w:pPr>
        <w:ind w:left="1785" w:hanging="284"/>
      </w:pPr>
      <w:rPr>
        <w:rFonts w:hint="default"/>
        <w:lang w:val="en-US" w:eastAsia="en-US" w:bidi="ar-SA"/>
      </w:rPr>
    </w:lvl>
    <w:lvl w:ilvl="7" w:tplc="41CEC624">
      <w:numFmt w:val="bullet"/>
      <w:lvlText w:val="•"/>
      <w:lvlJc w:val="left"/>
      <w:pPr>
        <w:ind w:left="2006" w:hanging="284"/>
      </w:pPr>
      <w:rPr>
        <w:rFonts w:hint="default"/>
        <w:lang w:val="en-US" w:eastAsia="en-US" w:bidi="ar-SA"/>
      </w:rPr>
    </w:lvl>
    <w:lvl w:ilvl="8" w:tplc="F7E25182">
      <w:numFmt w:val="bullet"/>
      <w:lvlText w:val="•"/>
      <w:lvlJc w:val="left"/>
      <w:pPr>
        <w:ind w:left="2227" w:hanging="284"/>
      </w:pPr>
      <w:rPr>
        <w:rFonts w:hint="default"/>
        <w:lang w:val="en-US" w:eastAsia="en-US" w:bidi="ar-SA"/>
      </w:rPr>
    </w:lvl>
  </w:abstractNum>
  <w:abstractNum w:abstractNumId="124" w15:restartNumberingAfterBreak="0">
    <w:nsid w:val="1E6C4B12"/>
    <w:multiLevelType w:val="hybridMultilevel"/>
    <w:tmpl w:val="5EEE24C8"/>
    <w:lvl w:ilvl="0" w:tplc="5F48D570">
      <w:numFmt w:val="bullet"/>
      <w:lvlText w:val=""/>
      <w:lvlJc w:val="left"/>
      <w:pPr>
        <w:ind w:left="390" w:hanging="284"/>
      </w:pPr>
      <w:rPr>
        <w:rFonts w:ascii="Symbol" w:eastAsia="Symbol" w:hAnsi="Symbol" w:cs="Symbol" w:hint="default"/>
        <w:b w:val="0"/>
        <w:bCs w:val="0"/>
        <w:i w:val="0"/>
        <w:iCs w:val="0"/>
        <w:color w:val="70004A"/>
        <w:spacing w:val="0"/>
        <w:w w:val="100"/>
        <w:sz w:val="18"/>
        <w:szCs w:val="18"/>
        <w:lang w:val="en-US" w:eastAsia="en-US" w:bidi="ar-SA"/>
      </w:rPr>
    </w:lvl>
    <w:lvl w:ilvl="1" w:tplc="AED23806">
      <w:numFmt w:val="bullet"/>
      <w:lvlText w:val="•"/>
      <w:lvlJc w:val="left"/>
      <w:pPr>
        <w:ind w:left="656" w:hanging="284"/>
      </w:pPr>
      <w:rPr>
        <w:rFonts w:hint="default"/>
        <w:lang w:val="en-US" w:eastAsia="en-US" w:bidi="ar-SA"/>
      </w:rPr>
    </w:lvl>
    <w:lvl w:ilvl="2" w:tplc="CF6627C6">
      <w:numFmt w:val="bullet"/>
      <w:lvlText w:val="•"/>
      <w:lvlJc w:val="left"/>
      <w:pPr>
        <w:ind w:left="912" w:hanging="284"/>
      </w:pPr>
      <w:rPr>
        <w:rFonts w:hint="default"/>
        <w:lang w:val="en-US" w:eastAsia="en-US" w:bidi="ar-SA"/>
      </w:rPr>
    </w:lvl>
    <w:lvl w:ilvl="3" w:tplc="5E3EC756">
      <w:numFmt w:val="bullet"/>
      <w:lvlText w:val="•"/>
      <w:lvlJc w:val="left"/>
      <w:pPr>
        <w:ind w:left="1168" w:hanging="284"/>
      </w:pPr>
      <w:rPr>
        <w:rFonts w:hint="default"/>
        <w:lang w:val="en-US" w:eastAsia="en-US" w:bidi="ar-SA"/>
      </w:rPr>
    </w:lvl>
    <w:lvl w:ilvl="4" w:tplc="C696E46E">
      <w:numFmt w:val="bullet"/>
      <w:lvlText w:val="•"/>
      <w:lvlJc w:val="left"/>
      <w:pPr>
        <w:ind w:left="1424" w:hanging="284"/>
      </w:pPr>
      <w:rPr>
        <w:rFonts w:hint="default"/>
        <w:lang w:val="en-US" w:eastAsia="en-US" w:bidi="ar-SA"/>
      </w:rPr>
    </w:lvl>
    <w:lvl w:ilvl="5" w:tplc="FB1AAEE0">
      <w:numFmt w:val="bullet"/>
      <w:lvlText w:val="•"/>
      <w:lvlJc w:val="left"/>
      <w:pPr>
        <w:ind w:left="1681" w:hanging="284"/>
      </w:pPr>
      <w:rPr>
        <w:rFonts w:hint="default"/>
        <w:lang w:val="en-US" w:eastAsia="en-US" w:bidi="ar-SA"/>
      </w:rPr>
    </w:lvl>
    <w:lvl w:ilvl="6" w:tplc="3E5A5928">
      <w:numFmt w:val="bullet"/>
      <w:lvlText w:val="•"/>
      <w:lvlJc w:val="left"/>
      <w:pPr>
        <w:ind w:left="1937" w:hanging="284"/>
      </w:pPr>
      <w:rPr>
        <w:rFonts w:hint="default"/>
        <w:lang w:val="en-US" w:eastAsia="en-US" w:bidi="ar-SA"/>
      </w:rPr>
    </w:lvl>
    <w:lvl w:ilvl="7" w:tplc="E7343D56">
      <w:numFmt w:val="bullet"/>
      <w:lvlText w:val="•"/>
      <w:lvlJc w:val="left"/>
      <w:pPr>
        <w:ind w:left="2193" w:hanging="284"/>
      </w:pPr>
      <w:rPr>
        <w:rFonts w:hint="default"/>
        <w:lang w:val="en-US" w:eastAsia="en-US" w:bidi="ar-SA"/>
      </w:rPr>
    </w:lvl>
    <w:lvl w:ilvl="8" w:tplc="585E652C">
      <w:numFmt w:val="bullet"/>
      <w:lvlText w:val="•"/>
      <w:lvlJc w:val="left"/>
      <w:pPr>
        <w:ind w:left="2449" w:hanging="284"/>
      </w:pPr>
      <w:rPr>
        <w:rFonts w:hint="default"/>
        <w:lang w:val="en-US" w:eastAsia="en-US" w:bidi="ar-SA"/>
      </w:rPr>
    </w:lvl>
  </w:abstractNum>
  <w:abstractNum w:abstractNumId="125" w15:restartNumberingAfterBreak="0">
    <w:nsid w:val="1E96155A"/>
    <w:multiLevelType w:val="hybridMultilevel"/>
    <w:tmpl w:val="BBD2ED26"/>
    <w:lvl w:ilvl="0" w:tplc="5350861C">
      <w:numFmt w:val="bullet"/>
      <w:lvlText w:val=""/>
      <w:lvlJc w:val="left"/>
      <w:pPr>
        <w:ind w:left="460" w:hanging="284"/>
      </w:pPr>
      <w:rPr>
        <w:rFonts w:ascii="Symbol" w:eastAsia="Symbol" w:hAnsi="Symbol" w:cs="Symbol" w:hint="default"/>
        <w:b w:val="0"/>
        <w:bCs w:val="0"/>
        <w:i w:val="0"/>
        <w:iCs w:val="0"/>
        <w:color w:val="70004A"/>
        <w:spacing w:val="0"/>
        <w:w w:val="100"/>
        <w:sz w:val="18"/>
        <w:szCs w:val="18"/>
        <w:lang w:val="en-US" w:eastAsia="en-US" w:bidi="ar-SA"/>
      </w:rPr>
    </w:lvl>
    <w:lvl w:ilvl="1" w:tplc="5F3E6356">
      <w:numFmt w:val="bullet"/>
      <w:lvlText w:val="•"/>
      <w:lvlJc w:val="left"/>
      <w:pPr>
        <w:ind w:left="631" w:hanging="284"/>
      </w:pPr>
      <w:rPr>
        <w:rFonts w:hint="default"/>
        <w:lang w:val="en-US" w:eastAsia="en-US" w:bidi="ar-SA"/>
      </w:rPr>
    </w:lvl>
    <w:lvl w:ilvl="2" w:tplc="73307900">
      <w:numFmt w:val="bullet"/>
      <w:lvlText w:val="•"/>
      <w:lvlJc w:val="left"/>
      <w:pPr>
        <w:ind w:left="803" w:hanging="284"/>
      </w:pPr>
      <w:rPr>
        <w:rFonts w:hint="default"/>
        <w:lang w:val="en-US" w:eastAsia="en-US" w:bidi="ar-SA"/>
      </w:rPr>
    </w:lvl>
    <w:lvl w:ilvl="3" w:tplc="795AEC28">
      <w:numFmt w:val="bullet"/>
      <w:lvlText w:val="•"/>
      <w:lvlJc w:val="left"/>
      <w:pPr>
        <w:ind w:left="975" w:hanging="284"/>
      </w:pPr>
      <w:rPr>
        <w:rFonts w:hint="default"/>
        <w:lang w:val="en-US" w:eastAsia="en-US" w:bidi="ar-SA"/>
      </w:rPr>
    </w:lvl>
    <w:lvl w:ilvl="4" w:tplc="6DC0C20C">
      <w:numFmt w:val="bullet"/>
      <w:lvlText w:val="•"/>
      <w:lvlJc w:val="left"/>
      <w:pPr>
        <w:ind w:left="1147" w:hanging="284"/>
      </w:pPr>
      <w:rPr>
        <w:rFonts w:hint="default"/>
        <w:lang w:val="en-US" w:eastAsia="en-US" w:bidi="ar-SA"/>
      </w:rPr>
    </w:lvl>
    <w:lvl w:ilvl="5" w:tplc="FB802338">
      <w:numFmt w:val="bullet"/>
      <w:lvlText w:val="•"/>
      <w:lvlJc w:val="left"/>
      <w:pPr>
        <w:ind w:left="1319" w:hanging="284"/>
      </w:pPr>
      <w:rPr>
        <w:rFonts w:hint="default"/>
        <w:lang w:val="en-US" w:eastAsia="en-US" w:bidi="ar-SA"/>
      </w:rPr>
    </w:lvl>
    <w:lvl w:ilvl="6" w:tplc="7F42A574">
      <w:numFmt w:val="bullet"/>
      <w:lvlText w:val="•"/>
      <w:lvlJc w:val="left"/>
      <w:pPr>
        <w:ind w:left="1490" w:hanging="284"/>
      </w:pPr>
      <w:rPr>
        <w:rFonts w:hint="default"/>
        <w:lang w:val="en-US" w:eastAsia="en-US" w:bidi="ar-SA"/>
      </w:rPr>
    </w:lvl>
    <w:lvl w:ilvl="7" w:tplc="EB4E90F4">
      <w:numFmt w:val="bullet"/>
      <w:lvlText w:val="•"/>
      <w:lvlJc w:val="left"/>
      <w:pPr>
        <w:ind w:left="1662" w:hanging="284"/>
      </w:pPr>
      <w:rPr>
        <w:rFonts w:hint="default"/>
        <w:lang w:val="en-US" w:eastAsia="en-US" w:bidi="ar-SA"/>
      </w:rPr>
    </w:lvl>
    <w:lvl w:ilvl="8" w:tplc="7466D5D8">
      <w:numFmt w:val="bullet"/>
      <w:lvlText w:val="•"/>
      <w:lvlJc w:val="left"/>
      <w:pPr>
        <w:ind w:left="1834" w:hanging="284"/>
      </w:pPr>
      <w:rPr>
        <w:rFonts w:hint="default"/>
        <w:lang w:val="en-US" w:eastAsia="en-US" w:bidi="ar-SA"/>
      </w:rPr>
    </w:lvl>
  </w:abstractNum>
  <w:abstractNum w:abstractNumId="126" w15:restartNumberingAfterBreak="0">
    <w:nsid w:val="1ECE7A8C"/>
    <w:multiLevelType w:val="hybridMultilevel"/>
    <w:tmpl w:val="33383B0C"/>
    <w:lvl w:ilvl="0" w:tplc="CD6C27CA">
      <w:numFmt w:val="bullet"/>
      <w:lvlText w:val=""/>
      <w:lvlJc w:val="left"/>
      <w:pPr>
        <w:ind w:left="483" w:hanging="284"/>
      </w:pPr>
      <w:rPr>
        <w:rFonts w:ascii="Symbol" w:eastAsia="Symbol" w:hAnsi="Symbol" w:cs="Symbol" w:hint="default"/>
        <w:b w:val="0"/>
        <w:bCs w:val="0"/>
        <w:i w:val="0"/>
        <w:iCs w:val="0"/>
        <w:color w:val="70004A"/>
        <w:spacing w:val="0"/>
        <w:w w:val="100"/>
        <w:sz w:val="18"/>
        <w:szCs w:val="18"/>
        <w:lang w:val="en-US" w:eastAsia="en-US" w:bidi="ar-SA"/>
      </w:rPr>
    </w:lvl>
    <w:lvl w:ilvl="1" w:tplc="C4C09942">
      <w:numFmt w:val="bullet"/>
      <w:lvlText w:val="•"/>
      <w:lvlJc w:val="left"/>
      <w:pPr>
        <w:ind w:left="748" w:hanging="284"/>
      </w:pPr>
      <w:rPr>
        <w:rFonts w:hint="default"/>
        <w:lang w:val="en-US" w:eastAsia="en-US" w:bidi="ar-SA"/>
      </w:rPr>
    </w:lvl>
    <w:lvl w:ilvl="2" w:tplc="DDEE9744">
      <w:numFmt w:val="bullet"/>
      <w:lvlText w:val="•"/>
      <w:lvlJc w:val="left"/>
      <w:pPr>
        <w:ind w:left="1016" w:hanging="284"/>
      </w:pPr>
      <w:rPr>
        <w:rFonts w:hint="default"/>
        <w:lang w:val="en-US" w:eastAsia="en-US" w:bidi="ar-SA"/>
      </w:rPr>
    </w:lvl>
    <w:lvl w:ilvl="3" w:tplc="8CAE8566">
      <w:numFmt w:val="bullet"/>
      <w:lvlText w:val="•"/>
      <w:lvlJc w:val="left"/>
      <w:pPr>
        <w:ind w:left="1284" w:hanging="284"/>
      </w:pPr>
      <w:rPr>
        <w:rFonts w:hint="default"/>
        <w:lang w:val="en-US" w:eastAsia="en-US" w:bidi="ar-SA"/>
      </w:rPr>
    </w:lvl>
    <w:lvl w:ilvl="4" w:tplc="0AA22AEC">
      <w:numFmt w:val="bullet"/>
      <w:lvlText w:val="•"/>
      <w:lvlJc w:val="left"/>
      <w:pPr>
        <w:ind w:left="1552" w:hanging="284"/>
      </w:pPr>
      <w:rPr>
        <w:rFonts w:hint="default"/>
        <w:lang w:val="en-US" w:eastAsia="en-US" w:bidi="ar-SA"/>
      </w:rPr>
    </w:lvl>
    <w:lvl w:ilvl="5" w:tplc="EA7077A8">
      <w:numFmt w:val="bullet"/>
      <w:lvlText w:val="•"/>
      <w:lvlJc w:val="left"/>
      <w:pPr>
        <w:ind w:left="1820" w:hanging="284"/>
      </w:pPr>
      <w:rPr>
        <w:rFonts w:hint="default"/>
        <w:lang w:val="en-US" w:eastAsia="en-US" w:bidi="ar-SA"/>
      </w:rPr>
    </w:lvl>
    <w:lvl w:ilvl="6" w:tplc="FD30DCFA">
      <w:numFmt w:val="bullet"/>
      <w:lvlText w:val="•"/>
      <w:lvlJc w:val="left"/>
      <w:pPr>
        <w:ind w:left="2088" w:hanging="284"/>
      </w:pPr>
      <w:rPr>
        <w:rFonts w:hint="default"/>
        <w:lang w:val="en-US" w:eastAsia="en-US" w:bidi="ar-SA"/>
      </w:rPr>
    </w:lvl>
    <w:lvl w:ilvl="7" w:tplc="209AF8F4">
      <w:numFmt w:val="bullet"/>
      <w:lvlText w:val="•"/>
      <w:lvlJc w:val="left"/>
      <w:pPr>
        <w:ind w:left="2356" w:hanging="284"/>
      </w:pPr>
      <w:rPr>
        <w:rFonts w:hint="default"/>
        <w:lang w:val="en-US" w:eastAsia="en-US" w:bidi="ar-SA"/>
      </w:rPr>
    </w:lvl>
    <w:lvl w:ilvl="8" w:tplc="71D09D1A">
      <w:numFmt w:val="bullet"/>
      <w:lvlText w:val="•"/>
      <w:lvlJc w:val="left"/>
      <w:pPr>
        <w:ind w:left="2624" w:hanging="284"/>
      </w:pPr>
      <w:rPr>
        <w:rFonts w:hint="default"/>
        <w:lang w:val="en-US" w:eastAsia="en-US" w:bidi="ar-SA"/>
      </w:rPr>
    </w:lvl>
  </w:abstractNum>
  <w:abstractNum w:abstractNumId="127" w15:restartNumberingAfterBreak="0">
    <w:nsid w:val="1EE310AA"/>
    <w:multiLevelType w:val="hybridMultilevel"/>
    <w:tmpl w:val="167E20D6"/>
    <w:lvl w:ilvl="0" w:tplc="0A2A3806">
      <w:numFmt w:val="bullet"/>
      <w:lvlText w:val=""/>
      <w:lvlJc w:val="left"/>
      <w:pPr>
        <w:ind w:left="391" w:hanging="284"/>
      </w:pPr>
      <w:rPr>
        <w:rFonts w:ascii="Symbol" w:eastAsia="Symbol" w:hAnsi="Symbol" w:cs="Symbol" w:hint="default"/>
        <w:b w:val="0"/>
        <w:bCs w:val="0"/>
        <w:i w:val="0"/>
        <w:iCs w:val="0"/>
        <w:color w:val="70004A"/>
        <w:spacing w:val="0"/>
        <w:w w:val="100"/>
        <w:sz w:val="18"/>
        <w:szCs w:val="18"/>
        <w:lang w:val="en-US" w:eastAsia="en-US" w:bidi="ar-SA"/>
      </w:rPr>
    </w:lvl>
    <w:lvl w:ilvl="1" w:tplc="98C2E320">
      <w:numFmt w:val="bullet"/>
      <w:lvlText w:val="•"/>
      <w:lvlJc w:val="left"/>
      <w:pPr>
        <w:ind w:left="666" w:hanging="284"/>
      </w:pPr>
      <w:rPr>
        <w:rFonts w:hint="default"/>
        <w:lang w:val="en-US" w:eastAsia="en-US" w:bidi="ar-SA"/>
      </w:rPr>
    </w:lvl>
    <w:lvl w:ilvl="2" w:tplc="CD04BC86">
      <w:numFmt w:val="bullet"/>
      <w:lvlText w:val="•"/>
      <w:lvlJc w:val="left"/>
      <w:pPr>
        <w:ind w:left="933" w:hanging="284"/>
      </w:pPr>
      <w:rPr>
        <w:rFonts w:hint="default"/>
        <w:lang w:val="en-US" w:eastAsia="en-US" w:bidi="ar-SA"/>
      </w:rPr>
    </w:lvl>
    <w:lvl w:ilvl="3" w:tplc="FF948024">
      <w:numFmt w:val="bullet"/>
      <w:lvlText w:val="•"/>
      <w:lvlJc w:val="left"/>
      <w:pPr>
        <w:ind w:left="1199" w:hanging="284"/>
      </w:pPr>
      <w:rPr>
        <w:rFonts w:hint="default"/>
        <w:lang w:val="en-US" w:eastAsia="en-US" w:bidi="ar-SA"/>
      </w:rPr>
    </w:lvl>
    <w:lvl w:ilvl="4" w:tplc="688C457A">
      <w:numFmt w:val="bullet"/>
      <w:lvlText w:val="•"/>
      <w:lvlJc w:val="left"/>
      <w:pPr>
        <w:ind w:left="1466" w:hanging="284"/>
      </w:pPr>
      <w:rPr>
        <w:rFonts w:hint="default"/>
        <w:lang w:val="en-US" w:eastAsia="en-US" w:bidi="ar-SA"/>
      </w:rPr>
    </w:lvl>
    <w:lvl w:ilvl="5" w:tplc="BE36A348">
      <w:numFmt w:val="bullet"/>
      <w:lvlText w:val="•"/>
      <w:lvlJc w:val="left"/>
      <w:pPr>
        <w:ind w:left="1732" w:hanging="284"/>
      </w:pPr>
      <w:rPr>
        <w:rFonts w:hint="default"/>
        <w:lang w:val="en-US" w:eastAsia="en-US" w:bidi="ar-SA"/>
      </w:rPr>
    </w:lvl>
    <w:lvl w:ilvl="6" w:tplc="7778CD20">
      <w:numFmt w:val="bullet"/>
      <w:lvlText w:val="•"/>
      <w:lvlJc w:val="left"/>
      <w:pPr>
        <w:ind w:left="1999" w:hanging="284"/>
      </w:pPr>
      <w:rPr>
        <w:rFonts w:hint="default"/>
        <w:lang w:val="en-US" w:eastAsia="en-US" w:bidi="ar-SA"/>
      </w:rPr>
    </w:lvl>
    <w:lvl w:ilvl="7" w:tplc="D9B448DA">
      <w:numFmt w:val="bullet"/>
      <w:lvlText w:val="•"/>
      <w:lvlJc w:val="left"/>
      <w:pPr>
        <w:ind w:left="2265" w:hanging="284"/>
      </w:pPr>
      <w:rPr>
        <w:rFonts w:hint="default"/>
        <w:lang w:val="en-US" w:eastAsia="en-US" w:bidi="ar-SA"/>
      </w:rPr>
    </w:lvl>
    <w:lvl w:ilvl="8" w:tplc="3B28FC72">
      <w:numFmt w:val="bullet"/>
      <w:lvlText w:val="•"/>
      <w:lvlJc w:val="left"/>
      <w:pPr>
        <w:ind w:left="2532" w:hanging="284"/>
      </w:pPr>
      <w:rPr>
        <w:rFonts w:hint="default"/>
        <w:lang w:val="en-US" w:eastAsia="en-US" w:bidi="ar-SA"/>
      </w:rPr>
    </w:lvl>
  </w:abstractNum>
  <w:abstractNum w:abstractNumId="128" w15:restartNumberingAfterBreak="0">
    <w:nsid w:val="1EE56F0F"/>
    <w:multiLevelType w:val="hybridMultilevel"/>
    <w:tmpl w:val="D24E7472"/>
    <w:lvl w:ilvl="0" w:tplc="C868C644">
      <w:numFmt w:val="bullet"/>
      <w:lvlText w:val=""/>
      <w:lvlJc w:val="left"/>
      <w:pPr>
        <w:ind w:left="427" w:hanging="284"/>
      </w:pPr>
      <w:rPr>
        <w:rFonts w:ascii="Symbol" w:eastAsia="Symbol" w:hAnsi="Symbol" w:cs="Symbol" w:hint="default"/>
        <w:b w:val="0"/>
        <w:bCs w:val="0"/>
        <w:i w:val="0"/>
        <w:iCs w:val="0"/>
        <w:color w:val="70004A"/>
        <w:spacing w:val="0"/>
        <w:w w:val="100"/>
        <w:sz w:val="18"/>
        <w:szCs w:val="18"/>
        <w:lang w:val="en-US" w:eastAsia="en-US" w:bidi="ar-SA"/>
      </w:rPr>
    </w:lvl>
    <w:lvl w:ilvl="1" w:tplc="B57497FE">
      <w:numFmt w:val="bullet"/>
      <w:lvlText w:val="•"/>
      <w:lvlJc w:val="left"/>
      <w:pPr>
        <w:ind w:left="607" w:hanging="284"/>
      </w:pPr>
      <w:rPr>
        <w:rFonts w:hint="default"/>
        <w:lang w:val="en-US" w:eastAsia="en-US" w:bidi="ar-SA"/>
      </w:rPr>
    </w:lvl>
    <w:lvl w:ilvl="2" w:tplc="975E9B68">
      <w:numFmt w:val="bullet"/>
      <w:lvlText w:val="•"/>
      <w:lvlJc w:val="left"/>
      <w:pPr>
        <w:ind w:left="794" w:hanging="284"/>
      </w:pPr>
      <w:rPr>
        <w:rFonts w:hint="default"/>
        <w:lang w:val="en-US" w:eastAsia="en-US" w:bidi="ar-SA"/>
      </w:rPr>
    </w:lvl>
    <w:lvl w:ilvl="3" w:tplc="4E1866FA">
      <w:numFmt w:val="bullet"/>
      <w:lvlText w:val="•"/>
      <w:lvlJc w:val="left"/>
      <w:pPr>
        <w:ind w:left="981" w:hanging="284"/>
      </w:pPr>
      <w:rPr>
        <w:rFonts w:hint="default"/>
        <w:lang w:val="en-US" w:eastAsia="en-US" w:bidi="ar-SA"/>
      </w:rPr>
    </w:lvl>
    <w:lvl w:ilvl="4" w:tplc="22824906">
      <w:numFmt w:val="bullet"/>
      <w:lvlText w:val="•"/>
      <w:lvlJc w:val="left"/>
      <w:pPr>
        <w:ind w:left="1168" w:hanging="284"/>
      </w:pPr>
      <w:rPr>
        <w:rFonts w:hint="default"/>
        <w:lang w:val="en-US" w:eastAsia="en-US" w:bidi="ar-SA"/>
      </w:rPr>
    </w:lvl>
    <w:lvl w:ilvl="5" w:tplc="F7D08E4C">
      <w:numFmt w:val="bullet"/>
      <w:lvlText w:val="•"/>
      <w:lvlJc w:val="left"/>
      <w:pPr>
        <w:ind w:left="1355" w:hanging="284"/>
      </w:pPr>
      <w:rPr>
        <w:rFonts w:hint="default"/>
        <w:lang w:val="en-US" w:eastAsia="en-US" w:bidi="ar-SA"/>
      </w:rPr>
    </w:lvl>
    <w:lvl w:ilvl="6" w:tplc="5A7A6DBA">
      <w:numFmt w:val="bullet"/>
      <w:lvlText w:val="•"/>
      <w:lvlJc w:val="left"/>
      <w:pPr>
        <w:ind w:left="1542" w:hanging="284"/>
      </w:pPr>
      <w:rPr>
        <w:rFonts w:hint="default"/>
        <w:lang w:val="en-US" w:eastAsia="en-US" w:bidi="ar-SA"/>
      </w:rPr>
    </w:lvl>
    <w:lvl w:ilvl="7" w:tplc="18F48EFC">
      <w:numFmt w:val="bullet"/>
      <w:lvlText w:val="•"/>
      <w:lvlJc w:val="left"/>
      <w:pPr>
        <w:ind w:left="1729" w:hanging="284"/>
      </w:pPr>
      <w:rPr>
        <w:rFonts w:hint="default"/>
        <w:lang w:val="en-US" w:eastAsia="en-US" w:bidi="ar-SA"/>
      </w:rPr>
    </w:lvl>
    <w:lvl w:ilvl="8" w:tplc="CD90B68A">
      <w:numFmt w:val="bullet"/>
      <w:lvlText w:val="•"/>
      <w:lvlJc w:val="left"/>
      <w:pPr>
        <w:ind w:left="1916" w:hanging="284"/>
      </w:pPr>
      <w:rPr>
        <w:rFonts w:hint="default"/>
        <w:lang w:val="en-US" w:eastAsia="en-US" w:bidi="ar-SA"/>
      </w:rPr>
    </w:lvl>
  </w:abstractNum>
  <w:abstractNum w:abstractNumId="129" w15:restartNumberingAfterBreak="0">
    <w:nsid w:val="1F17742B"/>
    <w:multiLevelType w:val="hybridMultilevel"/>
    <w:tmpl w:val="D2AA4C72"/>
    <w:lvl w:ilvl="0" w:tplc="FFF29534">
      <w:numFmt w:val="bullet"/>
      <w:lvlText w:val=""/>
      <w:lvlJc w:val="left"/>
      <w:pPr>
        <w:ind w:left="482" w:hanging="284"/>
      </w:pPr>
      <w:rPr>
        <w:rFonts w:ascii="Symbol" w:eastAsia="Symbol" w:hAnsi="Symbol" w:cs="Symbol" w:hint="default"/>
        <w:b w:val="0"/>
        <w:bCs w:val="0"/>
        <w:i w:val="0"/>
        <w:iCs w:val="0"/>
        <w:color w:val="70004A"/>
        <w:spacing w:val="0"/>
        <w:w w:val="100"/>
        <w:sz w:val="18"/>
        <w:szCs w:val="18"/>
        <w:lang w:val="en-US" w:eastAsia="en-US" w:bidi="ar-SA"/>
      </w:rPr>
    </w:lvl>
    <w:lvl w:ilvl="1" w:tplc="894E113E">
      <w:numFmt w:val="bullet"/>
      <w:lvlText w:val="•"/>
      <w:lvlJc w:val="left"/>
      <w:pPr>
        <w:ind w:left="745" w:hanging="284"/>
      </w:pPr>
      <w:rPr>
        <w:rFonts w:hint="default"/>
        <w:lang w:val="en-US" w:eastAsia="en-US" w:bidi="ar-SA"/>
      </w:rPr>
    </w:lvl>
    <w:lvl w:ilvl="2" w:tplc="FB267A8C">
      <w:numFmt w:val="bullet"/>
      <w:lvlText w:val="•"/>
      <w:lvlJc w:val="left"/>
      <w:pPr>
        <w:ind w:left="1010" w:hanging="284"/>
      </w:pPr>
      <w:rPr>
        <w:rFonts w:hint="default"/>
        <w:lang w:val="en-US" w:eastAsia="en-US" w:bidi="ar-SA"/>
      </w:rPr>
    </w:lvl>
    <w:lvl w:ilvl="3" w:tplc="E834C502">
      <w:numFmt w:val="bullet"/>
      <w:lvlText w:val="•"/>
      <w:lvlJc w:val="left"/>
      <w:pPr>
        <w:ind w:left="1275" w:hanging="284"/>
      </w:pPr>
      <w:rPr>
        <w:rFonts w:hint="default"/>
        <w:lang w:val="en-US" w:eastAsia="en-US" w:bidi="ar-SA"/>
      </w:rPr>
    </w:lvl>
    <w:lvl w:ilvl="4" w:tplc="6C06BC5E">
      <w:numFmt w:val="bullet"/>
      <w:lvlText w:val="•"/>
      <w:lvlJc w:val="left"/>
      <w:pPr>
        <w:ind w:left="1540" w:hanging="284"/>
      </w:pPr>
      <w:rPr>
        <w:rFonts w:hint="default"/>
        <w:lang w:val="en-US" w:eastAsia="en-US" w:bidi="ar-SA"/>
      </w:rPr>
    </w:lvl>
    <w:lvl w:ilvl="5" w:tplc="1302A362">
      <w:numFmt w:val="bullet"/>
      <w:lvlText w:val="•"/>
      <w:lvlJc w:val="left"/>
      <w:pPr>
        <w:ind w:left="1805" w:hanging="284"/>
      </w:pPr>
      <w:rPr>
        <w:rFonts w:hint="default"/>
        <w:lang w:val="en-US" w:eastAsia="en-US" w:bidi="ar-SA"/>
      </w:rPr>
    </w:lvl>
    <w:lvl w:ilvl="6" w:tplc="900EEAC8">
      <w:numFmt w:val="bullet"/>
      <w:lvlText w:val="•"/>
      <w:lvlJc w:val="left"/>
      <w:pPr>
        <w:ind w:left="2070" w:hanging="284"/>
      </w:pPr>
      <w:rPr>
        <w:rFonts w:hint="default"/>
        <w:lang w:val="en-US" w:eastAsia="en-US" w:bidi="ar-SA"/>
      </w:rPr>
    </w:lvl>
    <w:lvl w:ilvl="7" w:tplc="847C155A">
      <w:numFmt w:val="bullet"/>
      <w:lvlText w:val="•"/>
      <w:lvlJc w:val="left"/>
      <w:pPr>
        <w:ind w:left="2335" w:hanging="284"/>
      </w:pPr>
      <w:rPr>
        <w:rFonts w:hint="default"/>
        <w:lang w:val="en-US" w:eastAsia="en-US" w:bidi="ar-SA"/>
      </w:rPr>
    </w:lvl>
    <w:lvl w:ilvl="8" w:tplc="74F2E98E">
      <w:numFmt w:val="bullet"/>
      <w:lvlText w:val="•"/>
      <w:lvlJc w:val="left"/>
      <w:pPr>
        <w:ind w:left="2600" w:hanging="284"/>
      </w:pPr>
      <w:rPr>
        <w:rFonts w:hint="default"/>
        <w:lang w:val="en-US" w:eastAsia="en-US" w:bidi="ar-SA"/>
      </w:rPr>
    </w:lvl>
  </w:abstractNum>
  <w:abstractNum w:abstractNumId="130" w15:restartNumberingAfterBreak="0">
    <w:nsid w:val="1F540907"/>
    <w:multiLevelType w:val="hybridMultilevel"/>
    <w:tmpl w:val="E9CCCB3C"/>
    <w:lvl w:ilvl="0" w:tplc="5ECEA120">
      <w:numFmt w:val="bullet"/>
      <w:lvlText w:val=""/>
      <w:lvlJc w:val="left"/>
      <w:pPr>
        <w:ind w:left="480" w:hanging="284"/>
      </w:pPr>
      <w:rPr>
        <w:rFonts w:ascii="Symbol" w:eastAsia="Symbol" w:hAnsi="Symbol" w:cs="Symbol" w:hint="default"/>
        <w:b w:val="0"/>
        <w:bCs w:val="0"/>
        <w:i w:val="0"/>
        <w:iCs w:val="0"/>
        <w:color w:val="70004A"/>
        <w:spacing w:val="0"/>
        <w:w w:val="100"/>
        <w:sz w:val="18"/>
        <w:szCs w:val="18"/>
        <w:lang w:val="en-US" w:eastAsia="en-US" w:bidi="ar-SA"/>
      </w:rPr>
    </w:lvl>
    <w:lvl w:ilvl="1" w:tplc="C136EEEE">
      <w:numFmt w:val="bullet"/>
      <w:lvlText w:val="•"/>
      <w:lvlJc w:val="left"/>
      <w:pPr>
        <w:ind w:left="782" w:hanging="284"/>
      </w:pPr>
      <w:rPr>
        <w:rFonts w:hint="default"/>
        <w:lang w:val="en-US" w:eastAsia="en-US" w:bidi="ar-SA"/>
      </w:rPr>
    </w:lvl>
    <w:lvl w:ilvl="2" w:tplc="B0343A12">
      <w:numFmt w:val="bullet"/>
      <w:lvlText w:val="•"/>
      <w:lvlJc w:val="left"/>
      <w:pPr>
        <w:ind w:left="1084" w:hanging="284"/>
      </w:pPr>
      <w:rPr>
        <w:rFonts w:hint="default"/>
        <w:lang w:val="en-US" w:eastAsia="en-US" w:bidi="ar-SA"/>
      </w:rPr>
    </w:lvl>
    <w:lvl w:ilvl="3" w:tplc="193EDF96">
      <w:numFmt w:val="bullet"/>
      <w:lvlText w:val="•"/>
      <w:lvlJc w:val="left"/>
      <w:pPr>
        <w:ind w:left="1386" w:hanging="284"/>
      </w:pPr>
      <w:rPr>
        <w:rFonts w:hint="default"/>
        <w:lang w:val="en-US" w:eastAsia="en-US" w:bidi="ar-SA"/>
      </w:rPr>
    </w:lvl>
    <w:lvl w:ilvl="4" w:tplc="418ADB24">
      <w:numFmt w:val="bullet"/>
      <w:lvlText w:val="•"/>
      <w:lvlJc w:val="left"/>
      <w:pPr>
        <w:ind w:left="1688" w:hanging="284"/>
      </w:pPr>
      <w:rPr>
        <w:rFonts w:hint="default"/>
        <w:lang w:val="en-US" w:eastAsia="en-US" w:bidi="ar-SA"/>
      </w:rPr>
    </w:lvl>
    <w:lvl w:ilvl="5" w:tplc="923C8BFC">
      <w:numFmt w:val="bullet"/>
      <w:lvlText w:val="•"/>
      <w:lvlJc w:val="left"/>
      <w:pPr>
        <w:ind w:left="1990" w:hanging="284"/>
      </w:pPr>
      <w:rPr>
        <w:rFonts w:hint="default"/>
        <w:lang w:val="en-US" w:eastAsia="en-US" w:bidi="ar-SA"/>
      </w:rPr>
    </w:lvl>
    <w:lvl w:ilvl="6" w:tplc="E7E4D506">
      <w:numFmt w:val="bullet"/>
      <w:lvlText w:val="•"/>
      <w:lvlJc w:val="left"/>
      <w:pPr>
        <w:ind w:left="2292" w:hanging="284"/>
      </w:pPr>
      <w:rPr>
        <w:rFonts w:hint="default"/>
        <w:lang w:val="en-US" w:eastAsia="en-US" w:bidi="ar-SA"/>
      </w:rPr>
    </w:lvl>
    <w:lvl w:ilvl="7" w:tplc="0032E64E">
      <w:numFmt w:val="bullet"/>
      <w:lvlText w:val="•"/>
      <w:lvlJc w:val="left"/>
      <w:pPr>
        <w:ind w:left="2594" w:hanging="284"/>
      </w:pPr>
      <w:rPr>
        <w:rFonts w:hint="default"/>
        <w:lang w:val="en-US" w:eastAsia="en-US" w:bidi="ar-SA"/>
      </w:rPr>
    </w:lvl>
    <w:lvl w:ilvl="8" w:tplc="D312F7E4">
      <w:numFmt w:val="bullet"/>
      <w:lvlText w:val="•"/>
      <w:lvlJc w:val="left"/>
      <w:pPr>
        <w:ind w:left="2896" w:hanging="284"/>
      </w:pPr>
      <w:rPr>
        <w:rFonts w:hint="default"/>
        <w:lang w:val="en-US" w:eastAsia="en-US" w:bidi="ar-SA"/>
      </w:rPr>
    </w:lvl>
  </w:abstractNum>
  <w:abstractNum w:abstractNumId="131" w15:restartNumberingAfterBreak="0">
    <w:nsid w:val="1FA001DD"/>
    <w:multiLevelType w:val="hybridMultilevel"/>
    <w:tmpl w:val="7116D25A"/>
    <w:lvl w:ilvl="0" w:tplc="613475A2">
      <w:numFmt w:val="bullet"/>
      <w:lvlText w:val=""/>
      <w:lvlJc w:val="left"/>
      <w:pPr>
        <w:ind w:left="433" w:hanging="284"/>
      </w:pPr>
      <w:rPr>
        <w:rFonts w:ascii="Symbol" w:eastAsia="Symbol" w:hAnsi="Symbol" w:cs="Symbol" w:hint="default"/>
        <w:b w:val="0"/>
        <w:bCs w:val="0"/>
        <w:i w:val="0"/>
        <w:iCs w:val="0"/>
        <w:color w:val="70004A"/>
        <w:spacing w:val="0"/>
        <w:w w:val="100"/>
        <w:sz w:val="18"/>
        <w:szCs w:val="18"/>
        <w:lang w:val="en-US" w:eastAsia="en-US" w:bidi="ar-SA"/>
      </w:rPr>
    </w:lvl>
    <w:lvl w:ilvl="1" w:tplc="4A3C448E">
      <w:numFmt w:val="bullet"/>
      <w:lvlText w:val="•"/>
      <w:lvlJc w:val="left"/>
      <w:pPr>
        <w:ind w:left="632" w:hanging="284"/>
      </w:pPr>
      <w:rPr>
        <w:rFonts w:hint="default"/>
        <w:lang w:val="en-US" w:eastAsia="en-US" w:bidi="ar-SA"/>
      </w:rPr>
    </w:lvl>
    <w:lvl w:ilvl="2" w:tplc="7098D7CA">
      <w:numFmt w:val="bullet"/>
      <w:lvlText w:val="•"/>
      <w:lvlJc w:val="left"/>
      <w:pPr>
        <w:ind w:left="825" w:hanging="284"/>
      </w:pPr>
      <w:rPr>
        <w:rFonts w:hint="default"/>
        <w:lang w:val="en-US" w:eastAsia="en-US" w:bidi="ar-SA"/>
      </w:rPr>
    </w:lvl>
    <w:lvl w:ilvl="3" w:tplc="0ECA9CAE">
      <w:numFmt w:val="bullet"/>
      <w:lvlText w:val="•"/>
      <w:lvlJc w:val="left"/>
      <w:pPr>
        <w:ind w:left="1017" w:hanging="284"/>
      </w:pPr>
      <w:rPr>
        <w:rFonts w:hint="default"/>
        <w:lang w:val="en-US" w:eastAsia="en-US" w:bidi="ar-SA"/>
      </w:rPr>
    </w:lvl>
    <w:lvl w:ilvl="4" w:tplc="4C500CE0">
      <w:numFmt w:val="bullet"/>
      <w:lvlText w:val="•"/>
      <w:lvlJc w:val="left"/>
      <w:pPr>
        <w:ind w:left="1210" w:hanging="284"/>
      </w:pPr>
      <w:rPr>
        <w:rFonts w:hint="default"/>
        <w:lang w:val="en-US" w:eastAsia="en-US" w:bidi="ar-SA"/>
      </w:rPr>
    </w:lvl>
    <w:lvl w:ilvl="5" w:tplc="568CC194">
      <w:numFmt w:val="bullet"/>
      <w:lvlText w:val="•"/>
      <w:lvlJc w:val="left"/>
      <w:pPr>
        <w:ind w:left="1402" w:hanging="284"/>
      </w:pPr>
      <w:rPr>
        <w:rFonts w:hint="default"/>
        <w:lang w:val="en-US" w:eastAsia="en-US" w:bidi="ar-SA"/>
      </w:rPr>
    </w:lvl>
    <w:lvl w:ilvl="6" w:tplc="BE147B74">
      <w:numFmt w:val="bullet"/>
      <w:lvlText w:val="•"/>
      <w:lvlJc w:val="left"/>
      <w:pPr>
        <w:ind w:left="1595" w:hanging="284"/>
      </w:pPr>
      <w:rPr>
        <w:rFonts w:hint="default"/>
        <w:lang w:val="en-US" w:eastAsia="en-US" w:bidi="ar-SA"/>
      </w:rPr>
    </w:lvl>
    <w:lvl w:ilvl="7" w:tplc="7706A008">
      <w:numFmt w:val="bullet"/>
      <w:lvlText w:val="•"/>
      <w:lvlJc w:val="left"/>
      <w:pPr>
        <w:ind w:left="1787" w:hanging="284"/>
      </w:pPr>
      <w:rPr>
        <w:rFonts w:hint="default"/>
        <w:lang w:val="en-US" w:eastAsia="en-US" w:bidi="ar-SA"/>
      </w:rPr>
    </w:lvl>
    <w:lvl w:ilvl="8" w:tplc="E24AE47C">
      <w:numFmt w:val="bullet"/>
      <w:lvlText w:val="•"/>
      <w:lvlJc w:val="left"/>
      <w:pPr>
        <w:ind w:left="1980" w:hanging="284"/>
      </w:pPr>
      <w:rPr>
        <w:rFonts w:hint="default"/>
        <w:lang w:val="en-US" w:eastAsia="en-US" w:bidi="ar-SA"/>
      </w:rPr>
    </w:lvl>
  </w:abstractNum>
  <w:abstractNum w:abstractNumId="132" w15:restartNumberingAfterBreak="0">
    <w:nsid w:val="1FD617BB"/>
    <w:multiLevelType w:val="multilevel"/>
    <w:tmpl w:val="F4F64B96"/>
    <w:styleLink w:val="Appendices"/>
    <w:lvl w:ilvl="0">
      <w:start w:val="1"/>
      <w:numFmt w:val="upperLetter"/>
      <w:pStyle w:val="Heading9"/>
      <w:suff w:val="nothing"/>
      <w:lvlText w:val="Appendix %1"/>
      <w:lvlJc w:val="left"/>
      <w:pPr>
        <w:ind w:left="0" w:firstLine="0"/>
      </w:pPr>
      <w:rPr>
        <w:rFonts w:ascii="Arial" w:hAnsi="Arial" w:hint="default"/>
        <w:b/>
        <w:i w:val="0"/>
        <w:color w:val="71004B"/>
        <w:sz w:val="36"/>
      </w:rPr>
    </w:lvl>
    <w:lvl w:ilvl="1">
      <w:start w:val="1"/>
      <w:numFmt w:val="decimal"/>
      <w:pStyle w:val="Appendix-Heading1"/>
      <w:lvlText w:val="%1.%2"/>
      <w:lvlJc w:val="left"/>
      <w:pPr>
        <w:tabs>
          <w:tab w:val="num" w:pos="1134"/>
        </w:tabs>
        <w:ind w:left="1134" w:hanging="1134"/>
      </w:pPr>
      <w:rPr>
        <w:rFonts w:asciiTheme="majorHAnsi" w:hAnsiTheme="majorHAnsi" w:hint="default"/>
        <w:b/>
        <w:i w:val="0"/>
        <w:color w:val="71004B"/>
        <w:sz w:val="32"/>
      </w:rPr>
    </w:lvl>
    <w:lvl w:ilvl="2">
      <w:start w:val="1"/>
      <w:numFmt w:val="decimal"/>
      <w:pStyle w:val="Appendix-Heading2"/>
      <w:lvlText w:val="%1.%2.%3"/>
      <w:lvlJc w:val="left"/>
      <w:pPr>
        <w:tabs>
          <w:tab w:val="num" w:pos="1134"/>
        </w:tabs>
        <w:ind w:left="1134" w:hanging="1134"/>
      </w:pPr>
      <w:rPr>
        <w:rFonts w:asciiTheme="majorHAnsi" w:hAnsiTheme="majorHAnsi" w:hint="default"/>
        <w:b/>
        <w:i w:val="0"/>
        <w:color w:val="71004B"/>
        <w:sz w:val="28"/>
      </w:rPr>
    </w:lvl>
    <w:lvl w:ilvl="3">
      <w:start w:val="1"/>
      <w:numFmt w:val="decimal"/>
      <w:pStyle w:val="Appendix-Heading3"/>
      <w:lvlText w:val="%1.%2.%3.%4"/>
      <w:lvlJc w:val="left"/>
      <w:pPr>
        <w:tabs>
          <w:tab w:val="num" w:pos="1134"/>
        </w:tabs>
        <w:ind w:left="1134" w:hanging="1134"/>
      </w:pPr>
      <w:rPr>
        <w:rFonts w:asciiTheme="majorHAnsi" w:hAnsiTheme="majorHAnsi" w:hint="default"/>
        <w:b/>
        <w:i w:val="0"/>
        <w:color w:val="5F6369" w:themeColor="text2"/>
        <w:sz w:val="26"/>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3" w15:restartNumberingAfterBreak="0">
    <w:nsid w:val="20256883"/>
    <w:multiLevelType w:val="hybridMultilevel"/>
    <w:tmpl w:val="7CA41E86"/>
    <w:lvl w:ilvl="0" w:tplc="64BE341E">
      <w:numFmt w:val="bullet"/>
      <w:lvlText w:val=""/>
      <w:lvlJc w:val="left"/>
      <w:pPr>
        <w:ind w:left="427" w:hanging="284"/>
      </w:pPr>
      <w:rPr>
        <w:rFonts w:ascii="Symbol" w:eastAsia="Symbol" w:hAnsi="Symbol" w:cs="Symbol" w:hint="default"/>
        <w:b w:val="0"/>
        <w:bCs w:val="0"/>
        <w:i w:val="0"/>
        <w:iCs w:val="0"/>
        <w:color w:val="70004A"/>
        <w:spacing w:val="0"/>
        <w:w w:val="100"/>
        <w:sz w:val="18"/>
        <w:szCs w:val="18"/>
        <w:lang w:val="en-US" w:eastAsia="en-US" w:bidi="ar-SA"/>
      </w:rPr>
    </w:lvl>
    <w:lvl w:ilvl="1" w:tplc="B8E6E9A8">
      <w:numFmt w:val="bullet"/>
      <w:lvlText w:val="•"/>
      <w:lvlJc w:val="left"/>
      <w:pPr>
        <w:ind w:left="583" w:hanging="284"/>
      </w:pPr>
      <w:rPr>
        <w:rFonts w:hint="default"/>
        <w:lang w:val="en-US" w:eastAsia="en-US" w:bidi="ar-SA"/>
      </w:rPr>
    </w:lvl>
    <w:lvl w:ilvl="2" w:tplc="719040FA">
      <w:numFmt w:val="bullet"/>
      <w:lvlText w:val="•"/>
      <w:lvlJc w:val="left"/>
      <w:pPr>
        <w:ind w:left="747" w:hanging="284"/>
      </w:pPr>
      <w:rPr>
        <w:rFonts w:hint="default"/>
        <w:lang w:val="en-US" w:eastAsia="en-US" w:bidi="ar-SA"/>
      </w:rPr>
    </w:lvl>
    <w:lvl w:ilvl="3" w:tplc="34645820">
      <w:numFmt w:val="bullet"/>
      <w:lvlText w:val="•"/>
      <w:lvlJc w:val="left"/>
      <w:pPr>
        <w:ind w:left="911" w:hanging="284"/>
      </w:pPr>
      <w:rPr>
        <w:rFonts w:hint="default"/>
        <w:lang w:val="en-US" w:eastAsia="en-US" w:bidi="ar-SA"/>
      </w:rPr>
    </w:lvl>
    <w:lvl w:ilvl="4" w:tplc="3B4E7B42">
      <w:numFmt w:val="bullet"/>
      <w:lvlText w:val="•"/>
      <w:lvlJc w:val="left"/>
      <w:pPr>
        <w:ind w:left="1075" w:hanging="284"/>
      </w:pPr>
      <w:rPr>
        <w:rFonts w:hint="default"/>
        <w:lang w:val="en-US" w:eastAsia="en-US" w:bidi="ar-SA"/>
      </w:rPr>
    </w:lvl>
    <w:lvl w:ilvl="5" w:tplc="F99670A4">
      <w:numFmt w:val="bullet"/>
      <w:lvlText w:val="•"/>
      <w:lvlJc w:val="left"/>
      <w:pPr>
        <w:ind w:left="1239" w:hanging="284"/>
      </w:pPr>
      <w:rPr>
        <w:rFonts w:hint="default"/>
        <w:lang w:val="en-US" w:eastAsia="en-US" w:bidi="ar-SA"/>
      </w:rPr>
    </w:lvl>
    <w:lvl w:ilvl="6" w:tplc="BA7A5CB6">
      <w:numFmt w:val="bullet"/>
      <w:lvlText w:val="•"/>
      <w:lvlJc w:val="left"/>
      <w:pPr>
        <w:ind w:left="1402" w:hanging="284"/>
      </w:pPr>
      <w:rPr>
        <w:rFonts w:hint="default"/>
        <w:lang w:val="en-US" w:eastAsia="en-US" w:bidi="ar-SA"/>
      </w:rPr>
    </w:lvl>
    <w:lvl w:ilvl="7" w:tplc="211A5AD2">
      <w:numFmt w:val="bullet"/>
      <w:lvlText w:val="•"/>
      <w:lvlJc w:val="left"/>
      <w:pPr>
        <w:ind w:left="1566" w:hanging="284"/>
      </w:pPr>
      <w:rPr>
        <w:rFonts w:hint="default"/>
        <w:lang w:val="en-US" w:eastAsia="en-US" w:bidi="ar-SA"/>
      </w:rPr>
    </w:lvl>
    <w:lvl w:ilvl="8" w:tplc="B89CEC32">
      <w:numFmt w:val="bullet"/>
      <w:lvlText w:val="•"/>
      <w:lvlJc w:val="left"/>
      <w:pPr>
        <w:ind w:left="1730" w:hanging="284"/>
      </w:pPr>
      <w:rPr>
        <w:rFonts w:hint="default"/>
        <w:lang w:val="en-US" w:eastAsia="en-US" w:bidi="ar-SA"/>
      </w:rPr>
    </w:lvl>
  </w:abstractNum>
  <w:abstractNum w:abstractNumId="134" w15:restartNumberingAfterBreak="0">
    <w:nsid w:val="203E2DA6"/>
    <w:multiLevelType w:val="hybridMultilevel"/>
    <w:tmpl w:val="0A58291A"/>
    <w:lvl w:ilvl="0" w:tplc="38A69BDC">
      <w:numFmt w:val="bullet"/>
      <w:lvlText w:val=""/>
      <w:lvlJc w:val="left"/>
      <w:pPr>
        <w:ind w:left="391" w:hanging="284"/>
      </w:pPr>
      <w:rPr>
        <w:rFonts w:ascii="Symbol" w:eastAsia="Symbol" w:hAnsi="Symbol" w:cs="Symbol" w:hint="default"/>
        <w:b w:val="0"/>
        <w:bCs w:val="0"/>
        <w:i w:val="0"/>
        <w:iCs w:val="0"/>
        <w:color w:val="70004A"/>
        <w:spacing w:val="0"/>
        <w:w w:val="100"/>
        <w:sz w:val="18"/>
        <w:szCs w:val="18"/>
        <w:lang w:val="en-US" w:eastAsia="en-US" w:bidi="ar-SA"/>
      </w:rPr>
    </w:lvl>
    <w:lvl w:ilvl="1" w:tplc="F738CA4C">
      <w:numFmt w:val="bullet"/>
      <w:lvlText w:val="•"/>
      <w:lvlJc w:val="left"/>
      <w:pPr>
        <w:ind w:left="635" w:hanging="284"/>
      </w:pPr>
      <w:rPr>
        <w:rFonts w:hint="default"/>
        <w:lang w:val="en-US" w:eastAsia="en-US" w:bidi="ar-SA"/>
      </w:rPr>
    </w:lvl>
    <w:lvl w:ilvl="2" w:tplc="3A58B102">
      <w:numFmt w:val="bullet"/>
      <w:lvlText w:val="•"/>
      <w:lvlJc w:val="left"/>
      <w:pPr>
        <w:ind w:left="871" w:hanging="284"/>
      </w:pPr>
      <w:rPr>
        <w:rFonts w:hint="default"/>
        <w:lang w:val="en-US" w:eastAsia="en-US" w:bidi="ar-SA"/>
      </w:rPr>
    </w:lvl>
    <w:lvl w:ilvl="3" w:tplc="0B7AAAD8">
      <w:numFmt w:val="bullet"/>
      <w:lvlText w:val="•"/>
      <w:lvlJc w:val="left"/>
      <w:pPr>
        <w:ind w:left="1106" w:hanging="284"/>
      </w:pPr>
      <w:rPr>
        <w:rFonts w:hint="default"/>
        <w:lang w:val="en-US" w:eastAsia="en-US" w:bidi="ar-SA"/>
      </w:rPr>
    </w:lvl>
    <w:lvl w:ilvl="4" w:tplc="AC3E3FA8">
      <w:numFmt w:val="bullet"/>
      <w:lvlText w:val="•"/>
      <w:lvlJc w:val="left"/>
      <w:pPr>
        <w:ind w:left="1342" w:hanging="284"/>
      </w:pPr>
      <w:rPr>
        <w:rFonts w:hint="default"/>
        <w:lang w:val="en-US" w:eastAsia="en-US" w:bidi="ar-SA"/>
      </w:rPr>
    </w:lvl>
    <w:lvl w:ilvl="5" w:tplc="99C4A27C">
      <w:numFmt w:val="bullet"/>
      <w:lvlText w:val="•"/>
      <w:lvlJc w:val="left"/>
      <w:pPr>
        <w:ind w:left="1578" w:hanging="284"/>
      </w:pPr>
      <w:rPr>
        <w:rFonts w:hint="default"/>
        <w:lang w:val="en-US" w:eastAsia="en-US" w:bidi="ar-SA"/>
      </w:rPr>
    </w:lvl>
    <w:lvl w:ilvl="6" w:tplc="FBCA0E6E">
      <w:numFmt w:val="bullet"/>
      <w:lvlText w:val="•"/>
      <w:lvlJc w:val="left"/>
      <w:pPr>
        <w:ind w:left="1813" w:hanging="284"/>
      </w:pPr>
      <w:rPr>
        <w:rFonts w:hint="default"/>
        <w:lang w:val="en-US" w:eastAsia="en-US" w:bidi="ar-SA"/>
      </w:rPr>
    </w:lvl>
    <w:lvl w:ilvl="7" w:tplc="0776B548">
      <w:numFmt w:val="bullet"/>
      <w:lvlText w:val="•"/>
      <w:lvlJc w:val="left"/>
      <w:pPr>
        <w:ind w:left="2049" w:hanging="284"/>
      </w:pPr>
      <w:rPr>
        <w:rFonts w:hint="default"/>
        <w:lang w:val="en-US" w:eastAsia="en-US" w:bidi="ar-SA"/>
      </w:rPr>
    </w:lvl>
    <w:lvl w:ilvl="8" w:tplc="15C47428">
      <w:numFmt w:val="bullet"/>
      <w:lvlText w:val="•"/>
      <w:lvlJc w:val="left"/>
      <w:pPr>
        <w:ind w:left="2284" w:hanging="284"/>
      </w:pPr>
      <w:rPr>
        <w:rFonts w:hint="default"/>
        <w:lang w:val="en-US" w:eastAsia="en-US" w:bidi="ar-SA"/>
      </w:rPr>
    </w:lvl>
  </w:abstractNum>
  <w:abstractNum w:abstractNumId="135" w15:restartNumberingAfterBreak="0">
    <w:nsid w:val="21167981"/>
    <w:multiLevelType w:val="hybridMultilevel"/>
    <w:tmpl w:val="14FED19E"/>
    <w:lvl w:ilvl="0" w:tplc="1A1C1BEA">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4A88A924">
      <w:numFmt w:val="bullet"/>
      <w:lvlText w:val="•"/>
      <w:lvlJc w:val="left"/>
      <w:pPr>
        <w:ind w:left="656" w:hanging="284"/>
      </w:pPr>
      <w:rPr>
        <w:rFonts w:hint="default"/>
        <w:lang w:val="en-US" w:eastAsia="en-US" w:bidi="ar-SA"/>
      </w:rPr>
    </w:lvl>
    <w:lvl w:ilvl="2" w:tplc="38C66F72">
      <w:numFmt w:val="bullet"/>
      <w:lvlText w:val="•"/>
      <w:lvlJc w:val="left"/>
      <w:pPr>
        <w:ind w:left="912" w:hanging="284"/>
      </w:pPr>
      <w:rPr>
        <w:rFonts w:hint="default"/>
        <w:lang w:val="en-US" w:eastAsia="en-US" w:bidi="ar-SA"/>
      </w:rPr>
    </w:lvl>
    <w:lvl w:ilvl="3" w:tplc="D26294AA">
      <w:numFmt w:val="bullet"/>
      <w:lvlText w:val="•"/>
      <w:lvlJc w:val="left"/>
      <w:pPr>
        <w:ind w:left="1168" w:hanging="284"/>
      </w:pPr>
      <w:rPr>
        <w:rFonts w:hint="default"/>
        <w:lang w:val="en-US" w:eastAsia="en-US" w:bidi="ar-SA"/>
      </w:rPr>
    </w:lvl>
    <w:lvl w:ilvl="4" w:tplc="A0A4286E">
      <w:numFmt w:val="bullet"/>
      <w:lvlText w:val="•"/>
      <w:lvlJc w:val="left"/>
      <w:pPr>
        <w:ind w:left="1424" w:hanging="284"/>
      </w:pPr>
      <w:rPr>
        <w:rFonts w:hint="default"/>
        <w:lang w:val="en-US" w:eastAsia="en-US" w:bidi="ar-SA"/>
      </w:rPr>
    </w:lvl>
    <w:lvl w:ilvl="5" w:tplc="6D8ADDEC">
      <w:numFmt w:val="bullet"/>
      <w:lvlText w:val="•"/>
      <w:lvlJc w:val="left"/>
      <w:pPr>
        <w:ind w:left="1680" w:hanging="284"/>
      </w:pPr>
      <w:rPr>
        <w:rFonts w:hint="default"/>
        <w:lang w:val="en-US" w:eastAsia="en-US" w:bidi="ar-SA"/>
      </w:rPr>
    </w:lvl>
    <w:lvl w:ilvl="6" w:tplc="4E580074">
      <w:numFmt w:val="bullet"/>
      <w:lvlText w:val="•"/>
      <w:lvlJc w:val="left"/>
      <w:pPr>
        <w:ind w:left="1936" w:hanging="284"/>
      </w:pPr>
      <w:rPr>
        <w:rFonts w:hint="default"/>
        <w:lang w:val="en-US" w:eastAsia="en-US" w:bidi="ar-SA"/>
      </w:rPr>
    </w:lvl>
    <w:lvl w:ilvl="7" w:tplc="BBCC37C8">
      <w:numFmt w:val="bullet"/>
      <w:lvlText w:val="•"/>
      <w:lvlJc w:val="left"/>
      <w:pPr>
        <w:ind w:left="2192" w:hanging="284"/>
      </w:pPr>
      <w:rPr>
        <w:rFonts w:hint="default"/>
        <w:lang w:val="en-US" w:eastAsia="en-US" w:bidi="ar-SA"/>
      </w:rPr>
    </w:lvl>
    <w:lvl w:ilvl="8" w:tplc="6A442356">
      <w:numFmt w:val="bullet"/>
      <w:lvlText w:val="•"/>
      <w:lvlJc w:val="left"/>
      <w:pPr>
        <w:ind w:left="2448" w:hanging="284"/>
      </w:pPr>
      <w:rPr>
        <w:rFonts w:hint="default"/>
        <w:lang w:val="en-US" w:eastAsia="en-US" w:bidi="ar-SA"/>
      </w:rPr>
    </w:lvl>
  </w:abstractNum>
  <w:abstractNum w:abstractNumId="136" w15:restartNumberingAfterBreak="0">
    <w:nsid w:val="21480D67"/>
    <w:multiLevelType w:val="hybridMultilevel"/>
    <w:tmpl w:val="95541C40"/>
    <w:lvl w:ilvl="0" w:tplc="35382268">
      <w:numFmt w:val="bullet"/>
      <w:lvlText w:val=""/>
      <w:lvlJc w:val="left"/>
      <w:pPr>
        <w:ind w:left="501" w:hanging="360"/>
      </w:pPr>
      <w:rPr>
        <w:rFonts w:ascii="Symbol" w:eastAsia="Symbol" w:hAnsi="Symbol" w:cs="Symbol" w:hint="default"/>
        <w:b w:val="0"/>
        <w:bCs w:val="0"/>
        <w:i w:val="0"/>
        <w:iCs w:val="0"/>
        <w:color w:val="70004A"/>
        <w:spacing w:val="0"/>
        <w:w w:val="100"/>
        <w:sz w:val="20"/>
        <w:szCs w:val="20"/>
        <w:lang w:val="en-US" w:eastAsia="en-US" w:bidi="ar-SA"/>
      </w:rPr>
    </w:lvl>
    <w:lvl w:ilvl="1" w:tplc="6FDEFC64">
      <w:numFmt w:val="bullet"/>
      <w:lvlText w:val="•"/>
      <w:lvlJc w:val="left"/>
      <w:pPr>
        <w:ind w:left="1442" w:hanging="360"/>
      </w:pPr>
      <w:rPr>
        <w:rFonts w:hint="default"/>
        <w:lang w:val="en-US" w:eastAsia="en-US" w:bidi="ar-SA"/>
      </w:rPr>
    </w:lvl>
    <w:lvl w:ilvl="2" w:tplc="28E8B448">
      <w:numFmt w:val="bullet"/>
      <w:lvlText w:val="•"/>
      <w:lvlJc w:val="left"/>
      <w:pPr>
        <w:ind w:left="2384" w:hanging="360"/>
      </w:pPr>
      <w:rPr>
        <w:rFonts w:hint="default"/>
        <w:lang w:val="en-US" w:eastAsia="en-US" w:bidi="ar-SA"/>
      </w:rPr>
    </w:lvl>
    <w:lvl w:ilvl="3" w:tplc="E2DEE7CC">
      <w:numFmt w:val="bullet"/>
      <w:lvlText w:val="•"/>
      <w:lvlJc w:val="left"/>
      <w:pPr>
        <w:ind w:left="3326" w:hanging="360"/>
      </w:pPr>
      <w:rPr>
        <w:rFonts w:hint="default"/>
        <w:lang w:val="en-US" w:eastAsia="en-US" w:bidi="ar-SA"/>
      </w:rPr>
    </w:lvl>
    <w:lvl w:ilvl="4" w:tplc="0AA23738">
      <w:numFmt w:val="bullet"/>
      <w:lvlText w:val="•"/>
      <w:lvlJc w:val="left"/>
      <w:pPr>
        <w:ind w:left="4268" w:hanging="360"/>
      </w:pPr>
      <w:rPr>
        <w:rFonts w:hint="default"/>
        <w:lang w:val="en-US" w:eastAsia="en-US" w:bidi="ar-SA"/>
      </w:rPr>
    </w:lvl>
    <w:lvl w:ilvl="5" w:tplc="C994DBD4">
      <w:numFmt w:val="bullet"/>
      <w:lvlText w:val="•"/>
      <w:lvlJc w:val="left"/>
      <w:pPr>
        <w:ind w:left="5211" w:hanging="360"/>
      </w:pPr>
      <w:rPr>
        <w:rFonts w:hint="default"/>
        <w:lang w:val="en-US" w:eastAsia="en-US" w:bidi="ar-SA"/>
      </w:rPr>
    </w:lvl>
    <w:lvl w:ilvl="6" w:tplc="DD581FCE">
      <w:numFmt w:val="bullet"/>
      <w:lvlText w:val="•"/>
      <w:lvlJc w:val="left"/>
      <w:pPr>
        <w:ind w:left="6153" w:hanging="360"/>
      </w:pPr>
      <w:rPr>
        <w:rFonts w:hint="default"/>
        <w:lang w:val="en-US" w:eastAsia="en-US" w:bidi="ar-SA"/>
      </w:rPr>
    </w:lvl>
    <w:lvl w:ilvl="7" w:tplc="7870F82E">
      <w:numFmt w:val="bullet"/>
      <w:lvlText w:val="•"/>
      <w:lvlJc w:val="left"/>
      <w:pPr>
        <w:ind w:left="7095" w:hanging="360"/>
      </w:pPr>
      <w:rPr>
        <w:rFonts w:hint="default"/>
        <w:lang w:val="en-US" w:eastAsia="en-US" w:bidi="ar-SA"/>
      </w:rPr>
    </w:lvl>
    <w:lvl w:ilvl="8" w:tplc="951E10FA">
      <w:numFmt w:val="bullet"/>
      <w:lvlText w:val="•"/>
      <w:lvlJc w:val="left"/>
      <w:pPr>
        <w:ind w:left="8037" w:hanging="360"/>
      </w:pPr>
      <w:rPr>
        <w:rFonts w:hint="default"/>
        <w:lang w:val="en-US" w:eastAsia="en-US" w:bidi="ar-SA"/>
      </w:rPr>
    </w:lvl>
  </w:abstractNum>
  <w:abstractNum w:abstractNumId="137" w15:restartNumberingAfterBreak="0">
    <w:nsid w:val="21737A4B"/>
    <w:multiLevelType w:val="hybridMultilevel"/>
    <w:tmpl w:val="C9E623AA"/>
    <w:lvl w:ilvl="0" w:tplc="A07E74CA">
      <w:numFmt w:val="bullet"/>
      <w:lvlText w:val=""/>
      <w:lvlJc w:val="left"/>
      <w:pPr>
        <w:ind w:left="450" w:hanging="284"/>
      </w:pPr>
      <w:rPr>
        <w:rFonts w:ascii="Symbol" w:eastAsia="Symbol" w:hAnsi="Symbol" w:cs="Symbol" w:hint="default"/>
        <w:b w:val="0"/>
        <w:bCs w:val="0"/>
        <w:i w:val="0"/>
        <w:iCs w:val="0"/>
        <w:color w:val="70004A"/>
        <w:spacing w:val="0"/>
        <w:w w:val="100"/>
        <w:sz w:val="18"/>
        <w:szCs w:val="18"/>
        <w:lang w:val="en-US" w:eastAsia="en-US" w:bidi="ar-SA"/>
      </w:rPr>
    </w:lvl>
    <w:lvl w:ilvl="1" w:tplc="FB8A9626">
      <w:numFmt w:val="bullet"/>
      <w:lvlText w:val="•"/>
      <w:lvlJc w:val="left"/>
      <w:pPr>
        <w:ind w:left="649" w:hanging="284"/>
      </w:pPr>
      <w:rPr>
        <w:rFonts w:hint="default"/>
        <w:lang w:val="en-US" w:eastAsia="en-US" w:bidi="ar-SA"/>
      </w:rPr>
    </w:lvl>
    <w:lvl w:ilvl="2" w:tplc="97008492">
      <w:numFmt w:val="bullet"/>
      <w:lvlText w:val="•"/>
      <w:lvlJc w:val="left"/>
      <w:pPr>
        <w:ind w:left="838" w:hanging="284"/>
      </w:pPr>
      <w:rPr>
        <w:rFonts w:hint="default"/>
        <w:lang w:val="en-US" w:eastAsia="en-US" w:bidi="ar-SA"/>
      </w:rPr>
    </w:lvl>
    <w:lvl w:ilvl="3" w:tplc="4D2CF0A2">
      <w:numFmt w:val="bullet"/>
      <w:lvlText w:val="•"/>
      <w:lvlJc w:val="left"/>
      <w:pPr>
        <w:ind w:left="1027" w:hanging="284"/>
      </w:pPr>
      <w:rPr>
        <w:rFonts w:hint="default"/>
        <w:lang w:val="en-US" w:eastAsia="en-US" w:bidi="ar-SA"/>
      </w:rPr>
    </w:lvl>
    <w:lvl w:ilvl="4" w:tplc="11E4D0FA">
      <w:numFmt w:val="bullet"/>
      <w:lvlText w:val="•"/>
      <w:lvlJc w:val="left"/>
      <w:pPr>
        <w:ind w:left="1216" w:hanging="284"/>
      </w:pPr>
      <w:rPr>
        <w:rFonts w:hint="default"/>
        <w:lang w:val="en-US" w:eastAsia="en-US" w:bidi="ar-SA"/>
      </w:rPr>
    </w:lvl>
    <w:lvl w:ilvl="5" w:tplc="C2D030C0">
      <w:numFmt w:val="bullet"/>
      <w:lvlText w:val="•"/>
      <w:lvlJc w:val="left"/>
      <w:pPr>
        <w:ind w:left="1405" w:hanging="284"/>
      </w:pPr>
      <w:rPr>
        <w:rFonts w:hint="default"/>
        <w:lang w:val="en-US" w:eastAsia="en-US" w:bidi="ar-SA"/>
      </w:rPr>
    </w:lvl>
    <w:lvl w:ilvl="6" w:tplc="7C6CCB7A">
      <w:numFmt w:val="bullet"/>
      <w:lvlText w:val="•"/>
      <w:lvlJc w:val="left"/>
      <w:pPr>
        <w:ind w:left="1594" w:hanging="284"/>
      </w:pPr>
      <w:rPr>
        <w:rFonts w:hint="default"/>
        <w:lang w:val="en-US" w:eastAsia="en-US" w:bidi="ar-SA"/>
      </w:rPr>
    </w:lvl>
    <w:lvl w:ilvl="7" w:tplc="93A6AE70">
      <w:numFmt w:val="bullet"/>
      <w:lvlText w:val="•"/>
      <w:lvlJc w:val="left"/>
      <w:pPr>
        <w:ind w:left="1783" w:hanging="284"/>
      </w:pPr>
      <w:rPr>
        <w:rFonts w:hint="default"/>
        <w:lang w:val="en-US" w:eastAsia="en-US" w:bidi="ar-SA"/>
      </w:rPr>
    </w:lvl>
    <w:lvl w:ilvl="8" w:tplc="740A2D9C">
      <w:numFmt w:val="bullet"/>
      <w:lvlText w:val="•"/>
      <w:lvlJc w:val="left"/>
      <w:pPr>
        <w:ind w:left="1972" w:hanging="284"/>
      </w:pPr>
      <w:rPr>
        <w:rFonts w:hint="default"/>
        <w:lang w:val="en-US" w:eastAsia="en-US" w:bidi="ar-SA"/>
      </w:rPr>
    </w:lvl>
  </w:abstractNum>
  <w:abstractNum w:abstractNumId="138" w15:restartNumberingAfterBreak="0">
    <w:nsid w:val="21782466"/>
    <w:multiLevelType w:val="hybridMultilevel"/>
    <w:tmpl w:val="445E4744"/>
    <w:lvl w:ilvl="0" w:tplc="8F4CD686">
      <w:numFmt w:val="bullet"/>
      <w:lvlText w:val=""/>
      <w:lvlJc w:val="left"/>
      <w:pPr>
        <w:ind w:left="423" w:hanging="284"/>
      </w:pPr>
      <w:rPr>
        <w:rFonts w:ascii="Symbol" w:eastAsia="Symbol" w:hAnsi="Symbol" w:cs="Symbol" w:hint="default"/>
        <w:b w:val="0"/>
        <w:bCs w:val="0"/>
        <w:i w:val="0"/>
        <w:iCs w:val="0"/>
        <w:color w:val="70004A"/>
        <w:spacing w:val="0"/>
        <w:w w:val="100"/>
        <w:sz w:val="18"/>
        <w:szCs w:val="18"/>
        <w:lang w:val="en-US" w:eastAsia="en-US" w:bidi="ar-SA"/>
      </w:rPr>
    </w:lvl>
    <w:lvl w:ilvl="1" w:tplc="6FB0169E">
      <w:numFmt w:val="bullet"/>
      <w:lvlText w:val="•"/>
      <w:lvlJc w:val="left"/>
      <w:pPr>
        <w:ind w:left="585" w:hanging="284"/>
      </w:pPr>
      <w:rPr>
        <w:rFonts w:hint="default"/>
        <w:lang w:val="en-US" w:eastAsia="en-US" w:bidi="ar-SA"/>
      </w:rPr>
    </w:lvl>
    <w:lvl w:ilvl="2" w:tplc="26C24476">
      <w:numFmt w:val="bullet"/>
      <w:lvlText w:val="•"/>
      <w:lvlJc w:val="left"/>
      <w:pPr>
        <w:ind w:left="750" w:hanging="284"/>
      </w:pPr>
      <w:rPr>
        <w:rFonts w:hint="default"/>
        <w:lang w:val="en-US" w:eastAsia="en-US" w:bidi="ar-SA"/>
      </w:rPr>
    </w:lvl>
    <w:lvl w:ilvl="3" w:tplc="F968AE0A">
      <w:numFmt w:val="bullet"/>
      <w:lvlText w:val="•"/>
      <w:lvlJc w:val="left"/>
      <w:pPr>
        <w:ind w:left="916" w:hanging="284"/>
      </w:pPr>
      <w:rPr>
        <w:rFonts w:hint="default"/>
        <w:lang w:val="en-US" w:eastAsia="en-US" w:bidi="ar-SA"/>
      </w:rPr>
    </w:lvl>
    <w:lvl w:ilvl="4" w:tplc="2CA415F6">
      <w:numFmt w:val="bullet"/>
      <w:lvlText w:val="•"/>
      <w:lvlJc w:val="left"/>
      <w:pPr>
        <w:ind w:left="1081" w:hanging="284"/>
      </w:pPr>
      <w:rPr>
        <w:rFonts w:hint="default"/>
        <w:lang w:val="en-US" w:eastAsia="en-US" w:bidi="ar-SA"/>
      </w:rPr>
    </w:lvl>
    <w:lvl w:ilvl="5" w:tplc="C6B4908A">
      <w:numFmt w:val="bullet"/>
      <w:lvlText w:val="•"/>
      <w:lvlJc w:val="left"/>
      <w:pPr>
        <w:ind w:left="1247" w:hanging="284"/>
      </w:pPr>
      <w:rPr>
        <w:rFonts w:hint="default"/>
        <w:lang w:val="en-US" w:eastAsia="en-US" w:bidi="ar-SA"/>
      </w:rPr>
    </w:lvl>
    <w:lvl w:ilvl="6" w:tplc="98183F28">
      <w:numFmt w:val="bullet"/>
      <w:lvlText w:val="•"/>
      <w:lvlJc w:val="left"/>
      <w:pPr>
        <w:ind w:left="1412" w:hanging="284"/>
      </w:pPr>
      <w:rPr>
        <w:rFonts w:hint="default"/>
        <w:lang w:val="en-US" w:eastAsia="en-US" w:bidi="ar-SA"/>
      </w:rPr>
    </w:lvl>
    <w:lvl w:ilvl="7" w:tplc="71A64E6A">
      <w:numFmt w:val="bullet"/>
      <w:lvlText w:val="•"/>
      <w:lvlJc w:val="left"/>
      <w:pPr>
        <w:ind w:left="1577" w:hanging="284"/>
      </w:pPr>
      <w:rPr>
        <w:rFonts w:hint="default"/>
        <w:lang w:val="en-US" w:eastAsia="en-US" w:bidi="ar-SA"/>
      </w:rPr>
    </w:lvl>
    <w:lvl w:ilvl="8" w:tplc="B994F4B2">
      <w:numFmt w:val="bullet"/>
      <w:lvlText w:val="•"/>
      <w:lvlJc w:val="left"/>
      <w:pPr>
        <w:ind w:left="1743" w:hanging="284"/>
      </w:pPr>
      <w:rPr>
        <w:rFonts w:hint="default"/>
        <w:lang w:val="en-US" w:eastAsia="en-US" w:bidi="ar-SA"/>
      </w:rPr>
    </w:lvl>
  </w:abstractNum>
  <w:abstractNum w:abstractNumId="139" w15:restartNumberingAfterBreak="0">
    <w:nsid w:val="21E0362D"/>
    <w:multiLevelType w:val="hybridMultilevel"/>
    <w:tmpl w:val="45A2DB7C"/>
    <w:lvl w:ilvl="0" w:tplc="AB24F4BC">
      <w:numFmt w:val="bullet"/>
      <w:lvlText w:val=""/>
      <w:lvlJc w:val="left"/>
      <w:pPr>
        <w:ind w:left="418" w:hanging="284"/>
      </w:pPr>
      <w:rPr>
        <w:rFonts w:ascii="Symbol" w:eastAsia="Symbol" w:hAnsi="Symbol" w:cs="Symbol" w:hint="default"/>
        <w:b w:val="0"/>
        <w:bCs w:val="0"/>
        <w:i w:val="0"/>
        <w:iCs w:val="0"/>
        <w:color w:val="70004A"/>
        <w:spacing w:val="0"/>
        <w:w w:val="100"/>
        <w:sz w:val="18"/>
        <w:szCs w:val="18"/>
        <w:lang w:val="en-US" w:eastAsia="en-US" w:bidi="ar-SA"/>
      </w:rPr>
    </w:lvl>
    <w:lvl w:ilvl="1" w:tplc="68608D00">
      <w:numFmt w:val="bullet"/>
      <w:lvlText w:val="•"/>
      <w:lvlJc w:val="left"/>
      <w:pPr>
        <w:ind w:left="589" w:hanging="284"/>
      </w:pPr>
      <w:rPr>
        <w:rFonts w:hint="default"/>
        <w:lang w:val="en-US" w:eastAsia="en-US" w:bidi="ar-SA"/>
      </w:rPr>
    </w:lvl>
    <w:lvl w:ilvl="2" w:tplc="BEF2BFEC">
      <w:numFmt w:val="bullet"/>
      <w:lvlText w:val="•"/>
      <w:lvlJc w:val="left"/>
      <w:pPr>
        <w:ind w:left="759" w:hanging="284"/>
      </w:pPr>
      <w:rPr>
        <w:rFonts w:hint="default"/>
        <w:lang w:val="en-US" w:eastAsia="en-US" w:bidi="ar-SA"/>
      </w:rPr>
    </w:lvl>
    <w:lvl w:ilvl="3" w:tplc="4D60CD60">
      <w:numFmt w:val="bullet"/>
      <w:lvlText w:val="•"/>
      <w:lvlJc w:val="left"/>
      <w:pPr>
        <w:ind w:left="929" w:hanging="284"/>
      </w:pPr>
      <w:rPr>
        <w:rFonts w:hint="default"/>
        <w:lang w:val="en-US" w:eastAsia="en-US" w:bidi="ar-SA"/>
      </w:rPr>
    </w:lvl>
    <w:lvl w:ilvl="4" w:tplc="9C2CDADE">
      <w:numFmt w:val="bullet"/>
      <w:lvlText w:val="•"/>
      <w:lvlJc w:val="left"/>
      <w:pPr>
        <w:ind w:left="1098" w:hanging="284"/>
      </w:pPr>
      <w:rPr>
        <w:rFonts w:hint="default"/>
        <w:lang w:val="en-US" w:eastAsia="en-US" w:bidi="ar-SA"/>
      </w:rPr>
    </w:lvl>
    <w:lvl w:ilvl="5" w:tplc="1A6AC55C">
      <w:numFmt w:val="bullet"/>
      <w:lvlText w:val="•"/>
      <w:lvlJc w:val="left"/>
      <w:pPr>
        <w:ind w:left="1268" w:hanging="284"/>
      </w:pPr>
      <w:rPr>
        <w:rFonts w:hint="default"/>
        <w:lang w:val="en-US" w:eastAsia="en-US" w:bidi="ar-SA"/>
      </w:rPr>
    </w:lvl>
    <w:lvl w:ilvl="6" w:tplc="F99C931A">
      <w:numFmt w:val="bullet"/>
      <w:lvlText w:val="•"/>
      <w:lvlJc w:val="left"/>
      <w:pPr>
        <w:ind w:left="1438" w:hanging="284"/>
      </w:pPr>
      <w:rPr>
        <w:rFonts w:hint="default"/>
        <w:lang w:val="en-US" w:eastAsia="en-US" w:bidi="ar-SA"/>
      </w:rPr>
    </w:lvl>
    <w:lvl w:ilvl="7" w:tplc="C242F320">
      <w:numFmt w:val="bullet"/>
      <w:lvlText w:val="•"/>
      <w:lvlJc w:val="left"/>
      <w:pPr>
        <w:ind w:left="1607" w:hanging="284"/>
      </w:pPr>
      <w:rPr>
        <w:rFonts w:hint="default"/>
        <w:lang w:val="en-US" w:eastAsia="en-US" w:bidi="ar-SA"/>
      </w:rPr>
    </w:lvl>
    <w:lvl w:ilvl="8" w:tplc="A74ED692">
      <w:numFmt w:val="bullet"/>
      <w:lvlText w:val="•"/>
      <w:lvlJc w:val="left"/>
      <w:pPr>
        <w:ind w:left="1777" w:hanging="284"/>
      </w:pPr>
      <w:rPr>
        <w:rFonts w:hint="default"/>
        <w:lang w:val="en-US" w:eastAsia="en-US" w:bidi="ar-SA"/>
      </w:rPr>
    </w:lvl>
  </w:abstractNum>
  <w:abstractNum w:abstractNumId="140" w15:restartNumberingAfterBreak="0">
    <w:nsid w:val="22071468"/>
    <w:multiLevelType w:val="hybridMultilevel"/>
    <w:tmpl w:val="FD3EE880"/>
    <w:lvl w:ilvl="0" w:tplc="191CADDE">
      <w:numFmt w:val="bullet"/>
      <w:lvlText w:val=""/>
      <w:lvlJc w:val="left"/>
      <w:pPr>
        <w:ind w:left="433" w:hanging="284"/>
      </w:pPr>
      <w:rPr>
        <w:rFonts w:ascii="Symbol" w:eastAsia="Symbol" w:hAnsi="Symbol" w:cs="Symbol" w:hint="default"/>
        <w:b w:val="0"/>
        <w:bCs w:val="0"/>
        <w:i w:val="0"/>
        <w:iCs w:val="0"/>
        <w:color w:val="70004A"/>
        <w:spacing w:val="0"/>
        <w:w w:val="100"/>
        <w:sz w:val="18"/>
        <w:szCs w:val="18"/>
        <w:lang w:val="en-US" w:eastAsia="en-US" w:bidi="ar-SA"/>
      </w:rPr>
    </w:lvl>
    <w:lvl w:ilvl="1" w:tplc="D3F023F2">
      <w:numFmt w:val="bullet"/>
      <w:lvlText w:val="•"/>
      <w:lvlJc w:val="left"/>
      <w:pPr>
        <w:ind w:left="632" w:hanging="284"/>
      </w:pPr>
      <w:rPr>
        <w:rFonts w:hint="default"/>
        <w:lang w:val="en-US" w:eastAsia="en-US" w:bidi="ar-SA"/>
      </w:rPr>
    </w:lvl>
    <w:lvl w:ilvl="2" w:tplc="492A3230">
      <w:numFmt w:val="bullet"/>
      <w:lvlText w:val="•"/>
      <w:lvlJc w:val="left"/>
      <w:pPr>
        <w:ind w:left="825" w:hanging="284"/>
      </w:pPr>
      <w:rPr>
        <w:rFonts w:hint="default"/>
        <w:lang w:val="en-US" w:eastAsia="en-US" w:bidi="ar-SA"/>
      </w:rPr>
    </w:lvl>
    <w:lvl w:ilvl="3" w:tplc="DA70AE88">
      <w:numFmt w:val="bullet"/>
      <w:lvlText w:val="•"/>
      <w:lvlJc w:val="left"/>
      <w:pPr>
        <w:ind w:left="1017" w:hanging="284"/>
      </w:pPr>
      <w:rPr>
        <w:rFonts w:hint="default"/>
        <w:lang w:val="en-US" w:eastAsia="en-US" w:bidi="ar-SA"/>
      </w:rPr>
    </w:lvl>
    <w:lvl w:ilvl="4" w:tplc="4BD829FE">
      <w:numFmt w:val="bullet"/>
      <w:lvlText w:val="•"/>
      <w:lvlJc w:val="left"/>
      <w:pPr>
        <w:ind w:left="1210" w:hanging="284"/>
      </w:pPr>
      <w:rPr>
        <w:rFonts w:hint="default"/>
        <w:lang w:val="en-US" w:eastAsia="en-US" w:bidi="ar-SA"/>
      </w:rPr>
    </w:lvl>
    <w:lvl w:ilvl="5" w:tplc="461CF6F8">
      <w:numFmt w:val="bullet"/>
      <w:lvlText w:val="•"/>
      <w:lvlJc w:val="left"/>
      <w:pPr>
        <w:ind w:left="1402" w:hanging="284"/>
      </w:pPr>
      <w:rPr>
        <w:rFonts w:hint="default"/>
        <w:lang w:val="en-US" w:eastAsia="en-US" w:bidi="ar-SA"/>
      </w:rPr>
    </w:lvl>
    <w:lvl w:ilvl="6" w:tplc="0C8CC17E">
      <w:numFmt w:val="bullet"/>
      <w:lvlText w:val="•"/>
      <w:lvlJc w:val="left"/>
      <w:pPr>
        <w:ind w:left="1595" w:hanging="284"/>
      </w:pPr>
      <w:rPr>
        <w:rFonts w:hint="default"/>
        <w:lang w:val="en-US" w:eastAsia="en-US" w:bidi="ar-SA"/>
      </w:rPr>
    </w:lvl>
    <w:lvl w:ilvl="7" w:tplc="B5528476">
      <w:numFmt w:val="bullet"/>
      <w:lvlText w:val="•"/>
      <w:lvlJc w:val="left"/>
      <w:pPr>
        <w:ind w:left="1787" w:hanging="284"/>
      </w:pPr>
      <w:rPr>
        <w:rFonts w:hint="default"/>
        <w:lang w:val="en-US" w:eastAsia="en-US" w:bidi="ar-SA"/>
      </w:rPr>
    </w:lvl>
    <w:lvl w:ilvl="8" w:tplc="42BED724">
      <w:numFmt w:val="bullet"/>
      <w:lvlText w:val="•"/>
      <w:lvlJc w:val="left"/>
      <w:pPr>
        <w:ind w:left="1980" w:hanging="284"/>
      </w:pPr>
      <w:rPr>
        <w:rFonts w:hint="default"/>
        <w:lang w:val="en-US" w:eastAsia="en-US" w:bidi="ar-SA"/>
      </w:rPr>
    </w:lvl>
  </w:abstractNum>
  <w:abstractNum w:abstractNumId="141" w15:restartNumberingAfterBreak="0">
    <w:nsid w:val="220F490D"/>
    <w:multiLevelType w:val="hybridMultilevel"/>
    <w:tmpl w:val="7938DDA0"/>
    <w:lvl w:ilvl="0" w:tplc="04CA3774">
      <w:numFmt w:val="bullet"/>
      <w:lvlText w:val=""/>
      <w:lvlJc w:val="left"/>
      <w:pPr>
        <w:ind w:left="514" w:hanging="284"/>
      </w:pPr>
      <w:rPr>
        <w:rFonts w:ascii="Symbol" w:eastAsia="Symbol" w:hAnsi="Symbol" w:cs="Symbol" w:hint="default"/>
        <w:b w:val="0"/>
        <w:bCs w:val="0"/>
        <w:i w:val="0"/>
        <w:iCs w:val="0"/>
        <w:color w:val="70004A"/>
        <w:spacing w:val="0"/>
        <w:w w:val="100"/>
        <w:sz w:val="18"/>
        <w:szCs w:val="18"/>
        <w:lang w:val="en-US" w:eastAsia="en-US" w:bidi="ar-SA"/>
      </w:rPr>
    </w:lvl>
    <w:lvl w:ilvl="1" w:tplc="DB48E570">
      <w:numFmt w:val="bullet"/>
      <w:lvlText w:val="•"/>
      <w:lvlJc w:val="left"/>
      <w:pPr>
        <w:ind w:left="805" w:hanging="284"/>
      </w:pPr>
      <w:rPr>
        <w:rFonts w:hint="default"/>
        <w:lang w:val="en-US" w:eastAsia="en-US" w:bidi="ar-SA"/>
      </w:rPr>
    </w:lvl>
    <w:lvl w:ilvl="2" w:tplc="7B723A4E">
      <w:numFmt w:val="bullet"/>
      <w:lvlText w:val="•"/>
      <w:lvlJc w:val="left"/>
      <w:pPr>
        <w:ind w:left="1090" w:hanging="284"/>
      </w:pPr>
      <w:rPr>
        <w:rFonts w:hint="default"/>
        <w:lang w:val="en-US" w:eastAsia="en-US" w:bidi="ar-SA"/>
      </w:rPr>
    </w:lvl>
    <w:lvl w:ilvl="3" w:tplc="4FDAD8EC">
      <w:numFmt w:val="bullet"/>
      <w:lvlText w:val="•"/>
      <w:lvlJc w:val="left"/>
      <w:pPr>
        <w:ind w:left="1375" w:hanging="284"/>
      </w:pPr>
      <w:rPr>
        <w:rFonts w:hint="default"/>
        <w:lang w:val="en-US" w:eastAsia="en-US" w:bidi="ar-SA"/>
      </w:rPr>
    </w:lvl>
    <w:lvl w:ilvl="4" w:tplc="8166884A">
      <w:numFmt w:val="bullet"/>
      <w:lvlText w:val="•"/>
      <w:lvlJc w:val="left"/>
      <w:pPr>
        <w:ind w:left="1660" w:hanging="284"/>
      </w:pPr>
      <w:rPr>
        <w:rFonts w:hint="default"/>
        <w:lang w:val="en-US" w:eastAsia="en-US" w:bidi="ar-SA"/>
      </w:rPr>
    </w:lvl>
    <w:lvl w:ilvl="5" w:tplc="1262B200">
      <w:numFmt w:val="bullet"/>
      <w:lvlText w:val="•"/>
      <w:lvlJc w:val="left"/>
      <w:pPr>
        <w:ind w:left="1945" w:hanging="284"/>
      </w:pPr>
      <w:rPr>
        <w:rFonts w:hint="default"/>
        <w:lang w:val="en-US" w:eastAsia="en-US" w:bidi="ar-SA"/>
      </w:rPr>
    </w:lvl>
    <w:lvl w:ilvl="6" w:tplc="2AB48F48">
      <w:numFmt w:val="bullet"/>
      <w:lvlText w:val="•"/>
      <w:lvlJc w:val="left"/>
      <w:pPr>
        <w:ind w:left="2230" w:hanging="284"/>
      </w:pPr>
      <w:rPr>
        <w:rFonts w:hint="default"/>
        <w:lang w:val="en-US" w:eastAsia="en-US" w:bidi="ar-SA"/>
      </w:rPr>
    </w:lvl>
    <w:lvl w:ilvl="7" w:tplc="56186686">
      <w:numFmt w:val="bullet"/>
      <w:lvlText w:val="•"/>
      <w:lvlJc w:val="left"/>
      <w:pPr>
        <w:ind w:left="2515" w:hanging="284"/>
      </w:pPr>
      <w:rPr>
        <w:rFonts w:hint="default"/>
        <w:lang w:val="en-US" w:eastAsia="en-US" w:bidi="ar-SA"/>
      </w:rPr>
    </w:lvl>
    <w:lvl w:ilvl="8" w:tplc="8AE29E58">
      <w:numFmt w:val="bullet"/>
      <w:lvlText w:val="•"/>
      <w:lvlJc w:val="left"/>
      <w:pPr>
        <w:ind w:left="2800" w:hanging="284"/>
      </w:pPr>
      <w:rPr>
        <w:rFonts w:hint="default"/>
        <w:lang w:val="en-US" w:eastAsia="en-US" w:bidi="ar-SA"/>
      </w:rPr>
    </w:lvl>
  </w:abstractNum>
  <w:abstractNum w:abstractNumId="142" w15:restartNumberingAfterBreak="0">
    <w:nsid w:val="22362265"/>
    <w:multiLevelType w:val="hybridMultilevel"/>
    <w:tmpl w:val="5606B158"/>
    <w:lvl w:ilvl="0" w:tplc="F1ECAD62">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10B2FE86">
      <w:numFmt w:val="bullet"/>
      <w:lvlText w:val="•"/>
      <w:lvlJc w:val="left"/>
      <w:pPr>
        <w:ind w:left="636" w:hanging="284"/>
      </w:pPr>
      <w:rPr>
        <w:rFonts w:hint="default"/>
        <w:lang w:val="en-US" w:eastAsia="en-US" w:bidi="ar-SA"/>
      </w:rPr>
    </w:lvl>
    <w:lvl w:ilvl="2" w:tplc="0A967A92">
      <w:numFmt w:val="bullet"/>
      <w:lvlText w:val="•"/>
      <w:lvlJc w:val="left"/>
      <w:pPr>
        <w:ind w:left="872" w:hanging="284"/>
      </w:pPr>
      <w:rPr>
        <w:rFonts w:hint="default"/>
        <w:lang w:val="en-US" w:eastAsia="en-US" w:bidi="ar-SA"/>
      </w:rPr>
    </w:lvl>
    <w:lvl w:ilvl="3" w:tplc="D9F8A11A">
      <w:numFmt w:val="bullet"/>
      <w:lvlText w:val="•"/>
      <w:lvlJc w:val="left"/>
      <w:pPr>
        <w:ind w:left="1108" w:hanging="284"/>
      </w:pPr>
      <w:rPr>
        <w:rFonts w:hint="default"/>
        <w:lang w:val="en-US" w:eastAsia="en-US" w:bidi="ar-SA"/>
      </w:rPr>
    </w:lvl>
    <w:lvl w:ilvl="4" w:tplc="F75E567A">
      <w:numFmt w:val="bullet"/>
      <w:lvlText w:val="•"/>
      <w:lvlJc w:val="left"/>
      <w:pPr>
        <w:ind w:left="1344" w:hanging="284"/>
      </w:pPr>
      <w:rPr>
        <w:rFonts w:hint="default"/>
        <w:lang w:val="en-US" w:eastAsia="en-US" w:bidi="ar-SA"/>
      </w:rPr>
    </w:lvl>
    <w:lvl w:ilvl="5" w:tplc="036A6EBC">
      <w:numFmt w:val="bullet"/>
      <w:lvlText w:val="•"/>
      <w:lvlJc w:val="left"/>
      <w:pPr>
        <w:ind w:left="1580" w:hanging="284"/>
      </w:pPr>
      <w:rPr>
        <w:rFonts w:hint="default"/>
        <w:lang w:val="en-US" w:eastAsia="en-US" w:bidi="ar-SA"/>
      </w:rPr>
    </w:lvl>
    <w:lvl w:ilvl="6" w:tplc="AABC8B76">
      <w:numFmt w:val="bullet"/>
      <w:lvlText w:val="•"/>
      <w:lvlJc w:val="left"/>
      <w:pPr>
        <w:ind w:left="1816" w:hanging="284"/>
      </w:pPr>
      <w:rPr>
        <w:rFonts w:hint="default"/>
        <w:lang w:val="en-US" w:eastAsia="en-US" w:bidi="ar-SA"/>
      </w:rPr>
    </w:lvl>
    <w:lvl w:ilvl="7" w:tplc="A6AED34A">
      <w:numFmt w:val="bullet"/>
      <w:lvlText w:val="•"/>
      <w:lvlJc w:val="left"/>
      <w:pPr>
        <w:ind w:left="2052" w:hanging="284"/>
      </w:pPr>
      <w:rPr>
        <w:rFonts w:hint="default"/>
        <w:lang w:val="en-US" w:eastAsia="en-US" w:bidi="ar-SA"/>
      </w:rPr>
    </w:lvl>
    <w:lvl w:ilvl="8" w:tplc="6FD83CC2">
      <w:numFmt w:val="bullet"/>
      <w:lvlText w:val="•"/>
      <w:lvlJc w:val="left"/>
      <w:pPr>
        <w:ind w:left="2288" w:hanging="284"/>
      </w:pPr>
      <w:rPr>
        <w:rFonts w:hint="default"/>
        <w:lang w:val="en-US" w:eastAsia="en-US" w:bidi="ar-SA"/>
      </w:rPr>
    </w:lvl>
  </w:abstractNum>
  <w:abstractNum w:abstractNumId="143" w15:restartNumberingAfterBreak="0">
    <w:nsid w:val="224B5833"/>
    <w:multiLevelType w:val="hybridMultilevel"/>
    <w:tmpl w:val="BE1E119C"/>
    <w:lvl w:ilvl="0" w:tplc="FF9800D4">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47806CF8">
      <w:numFmt w:val="bullet"/>
      <w:lvlText w:val="•"/>
      <w:lvlJc w:val="left"/>
      <w:pPr>
        <w:ind w:left="637" w:hanging="284"/>
      </w:pPr>
      <w:rPr>
        <w:rFonts w:hint="default"/>
        <w:lang w:val="en-US" w:eastAsia="en-US" w:bidi="ar-SA"/>
      </w:rPr>
    </w:lvl>
    <w:lvl w:ilvl="2" w:tplc="F66AEE48">
      <w:numFmt w:val="bullet"/>
      <w:lvlText w:val="•"/>
      <w:lvlJc w:val="left"/>
      <w:pPr>
        <w:ind w:left="895" w:hanging="284"/>
      </w:pPr>
      <w:rPr>
        <w:rFonts w:hint="default"/>
        <w:lang w:val="en-US" w:eastAsia="en-US" w:bidi="ar-SA"/>
      </w:rPr>
    </w:lvl>
    <w:lvl w:ilvl="3" w:tplc="D180CF56">
      <w:numFmt w:val="bullet"/>
      <w:lvlText w:val="•"/>
      <w:lvlJc w:val="left"/>
      <w:pPr>
        <w:ind w:left="1153" w:hanging="284"/>
      </w:pPr>
      <w:rPr>
        <w:rFonts w:hint="default"/>
        <w:lang w:val="en-US" w:eastAsia="en-US" w:bidi="ar-SA"/>
      </w:rPr>
    </w:lvl>
    <w:lvl w:ilvl="4" w:tplc="9042D6BC">
      <w:numFmt w:val="bullet"/>
      <w:lvlText w:val="•"/>
      <w:lvlJc w:val="left"/>
      <w:pPr>
        <w:ind w:left="1410" w:hanging="284"/>
      </w:pPr>
      <w:rPr>
        <w:rFonts w:hint="default"/>
        <w:lang w:val="en-US" w:eastAsia="en-US" w:bidi="ar-SA"/>
      </w:rPr>
    </w:lvl>
    <w:lvl w:ilvl="5" w:tplc="7DB4C822">
      <w:numFmt w:val="bullet"/>
      <w:lvlText w:val="•"/>
      <w:lvlJc w:val="left"/>
      <w:pPr>
        <w:ind w:left="1668" w:hanging="284"/>
      </w:pPr>
      <w:rPr>
        <w:rFonts w:hint="default"/>
        <w:lang w:val="en-US" w:eastAsia="en-US" w:bidi="ar-SA"/>
      </w:rPr>
    </w:lvl>
    <w:lvl w:ilvl="6" w:tplc="37F8A968">
      <w:numFmt w:val="bullet"/>
      <w:lvlText w:val="•"/>
      <w:lvlJc w:val="left"/>
      <w:pPr>
        <w:ind w:left="1926" w:hanging="284"/>
      </w:pPr>
      <w:rPr>
        <w:rFonts w:hint="default"/>
        <w:lang w:val="en-US" w:eastAsia="en-US" w:bidi="ar-SA"/>
      </w:rPr>
    </w:lvl>
    <w:lvl w:ilvl="7" w:tplc="9334C4F6">
      <w:numFmt w:val="bullet"/>
      <w:lvlText w:val="•"/>
      <w:lvlJc w:val="left"/>
      <w:pPr>
        <w:ind w:left="2183" w:hanging="284"/>
      </w:pPr>
      <w:rPr>
        <w:rFonts w:hint="default"/>
        <w:lang w:val="en-US" w:eastAsia="en-US" w:bidi="ar-SA"/>
      </w:rPr>
    </w:lvl>
    <w:lvl w:ilvl="8" w:tplc="A7005D58">
      <w:numFmt w:val="bullet"/>
      <w:lvlText w:val="•"/>
      <w:lvlJc w:val="left"/>
      <w:pPr>
        <w:ind w:left="2441" w:hanging="284"/>
      </w:pPr>
      <w:rPr>
        <w:rFonts w:hint="default"/>
        <w:lang w:val="en-US" w:eastAsia="en-US" w:bidi="ar-SA"/>
      </w:rPr>
    </w:lvl>
  </w:abstractNum>
  <w:abstractNum w:abstractNumId="144" w15:restartNumberingAfterBreak="0">
    <w:nsid w:val="22DF0F52"/>
    <w:multiLevelType w:val="hybridMultilevel"/>
    <w:tmpl w:val="EF32D17E"/>
    <w:lvl w:ilvl="0" w:tplc="7FB48F64">
      <w:numFmt w:val="bullet"/>
      <w:lvlText w:val=""/>
      <w:lvlJc w:val="left"/>
      <w:pPr>
        <w:ind w:left="452" w:hanging="284"/>
      </w:pPr>
      <w:rPr>
        <w:rFonts w:ascii="Symbol" w:eastAsia="Symbol" w:hAnsi="Symbol" w:cs="Symbol" w:hint="default"/>
        <w:b w:val="0"/>
        <w:bCs w:val="0"/>
        <w:i w:val="0"/>
        <w:iCs w:val="0"/>
        <w:color w:val="70004A"/>
        <w:spacing w:val="0"/>
        <w:w w:val="100"/>
        <w:sz w:val="18"/>
        <w:szCs w:val="18"/>
        <w:lang w:val="en-US" w:eastAsia="en-US" w:bidi="ar-SA"/>
      </w:rPr>
    </w:lvl>
    <w:lvl w:ilvl="1" w:tplc="56E02B3A">
      <w:numFmt w:val="bullet"/>
      <w:lvlText w:val="•"/>
      <w:lvlJc w:val="left"/>
      <w:pPr>
        <w:ind w:left="726" w:hanging="284"/>
      </w:pPr>
      <w:rPr>
        <w:rFonts w:hint="default"/>
        <w:lang w:val="en-US" w:eastAsia="en-US" w:bidi="ar-SA"/>
      </w:rPr>
    </w:lvl>
    <w:lvl w:ilvl="2" w:tplc="94B0B268">
      <w:numFmt w:val="bullet"/>
      <w:lvlText w:val="•"/>
      <w:lvlJc w:val="left"/>
      <w:pPr>
        <w:ind w:left="993" w:hanging="284"/>
      </w:pPr>
      <w:rPr>
        <w:rFonts w:hint="default"/>
        <w:lang w:val="en-US" w:eastAsia="en-US" w:bidi="ar-SA"/>
      </w:rPr>
    </w:lvl>
    <w:lvl w:ilvl="3" w:tplc="AD8C6A0E">
      <w:numFmt w:val="bullet"/>
      <w:lvlText w:val="•"/>
      <w:lvlJc w:val="left"/>
      <w:pPr>
        <w:ind w:left="1260" w:hanging="284"/>
      </w:pPr>
      <w:rPr>
        <w:rFonts w:hint="default"/>
        <w:lang w:val="en-US" w:eastAsia="en-US" w:bidi="ar-SA"/>
      </w:rPr>
    </w:lvl>
    <w:lvl w:ilvl="4" w:tplc="F65A7CEA">
      <w:numFmt w:val="bullet"/>
      <w:lvlText w:val="•"/>
      <w:lvlJc w:val="left"/>
      <w:pPr>
        <w:ind w:left="1527" w:hanging="284"/>
      </w:pPr>
      <w:rPr>
        <w:rFonts w:hint="default"/>
        <w:lang w:val="en-US" w:eastAsia="en-US" w:bidi="ar-SA"/>
      </w:rPr>
    </w:lvl>
    <w:lvl w:ilvl="5" w:tplc="A91ABA72">
      <w:numFmt w:val="bullet"/>
      <w:lvlText w:val="•"/>
      <w:lvlJc w:val="left"/>
      <w:pPr>
        <w:ind w:left="1794" w:hanging="284"/>
      </w:pPr>
      <w:rPr>
        <w:rFonts w:hint="default"/>
        <w:lang w:val="en-US" w:eastAsia="en-US" w:bidi="ar-SA"/>
      </w:rPr>
    </w:lvl>
    <w:lvl w:ilvl="6" w:tplc="3FB4467C">
      <w:numFmt w:val="bullet"/>
      <w:lvlText w:val="•"/>
      <w:lvlJc w:val="left"/>
      <w:pPr>
        <w:ind w:left="2060" w:hanging="284"/>
      </w:pPr>
      <w:rPr>
        <w:rFonts w:hint="default"/>
        <w:lang w:val="en-US" w:eastAsia="en-US" w:bidi="ar-SA"/>
      </w:rPr>
    </w:lvl>
    <w:lvl w:ilvl="7" w:tplc="7CF8B618">
      <w:numFmt w:val="bullet"/>
      <w:lvlText w:val="•"/>
      <w:lvlJc w:val="left"/>
      <w:pPr>
        <w:ind w:left="2327" w:hanging="284"/>
      </w:pPr>
      <w:rPr>
        <w:rFonts w:hint="default"/>
        <w:lang w:val="en-US" w:eastAsia="en-US" w:bidi="ar-SA"/>
      </w:rPr>
    </w:lvl>
    <w:lvl w:ilvl="8" w:tplc="40100FBE">
      <w:numFmt w:val="bullet"/>
      <w:lvlText w:val="•"/>
      <w:lvlJc w:val="left"/>
      <w:pPr>
        <w:ind w:left="2594" w:hanging="284"/>
      </w:pPr>
      <w:rPr>
        <w:rFonts w:hint="default"/>
        <w:lang w:val="en-US" w:eastAsia="en-US" w:bidi="ar-SA"/>
      </w:rPr>
    </w:lvl>
  </w:abstractNum>
  <w:abstractNum w:abstractNumId="145" w15:restartNumberingAfterBreak="0">
    <w:nsid w:val="23152436"/>
    <w:multiLevelType w:val="hybridMultilevel"/>
    <w:tmpl w:val="B5B2158E"/>
    <w:lvl w:ilvl="0" w:tplc="5CEC49F2">
      <w:numFmt w:val="bullet"/>
      <w:lvlText w:val=""/>
      <w:lvlJc w:val="left"/>
      <w:pPr>
        <w:ind w:left="440" w:hanging="284"/>
      </w:pPr>
      <w:rPr>
        <w:rFonts w:ascii="Symbol" w:eastAsia="Symbol" w:hAnsi="Symbol" w:cs="Symbol" w:hint="default"/>
        <w:b w:val="0"/>
        <w:bCs w:val="0"/>
        <w:i w:val="0"/>
        <w:iCs w:val="0"/>
        <w:color w:val="70004A"/>
        <w:spacing w:val="0"/>
        <w:w w:val="100"/>
        <w:sz w:val="18"/>
        <w:szCs w:val="18"/>
        <w:lang w:val="en-US" w:eastAsia="en-US" w:bidi="ar-SA"/>
      </w:rPr>
    </w:lvl>
    <w:lvl w:ilvl="1" w:tplc="3230A82C">
      <w:numFmt w:val="bullet"/>
      <w:lvlText w:val="•"/>
      <w:lvlJc w:val="left"/>
      <w:pPr>
        <w:ind w:left="625" w:hanging="284"/>
      </w:pPr>
      <w:rPr>
        <w:rFonts w:hint="default"/>
        <w:lang w:val="en-US" w:eastAsia="en-US" w:bidi="ar-SA"/>
      </w:rPr>
    </w:lvl>
    <w:lvl w:ilvl="2" w:tplc="4FA0336A">
      <w:numFmt w:val="bullet"/>
      <w:lvlText w:val="•"/>
      <w:lvlJc w:val="left"/>
      <w:pPr>
        <w:ind w:left="811" w:hanging="284"/>
      </w:pPr>
      <w:rPr>
        <w:rFonts w:hint="default"/>
        <w:lang w:val="en-US" w:eastAsia="en-US" w:bidi="ar-SA"/>
      </w:rPr>
    </w:lvl>
    <w:lvl w:ilvl="3" w:tplc="EC4E0D94">
      <w:numFmt w:val="bullet"/>
      <w:lvlText w:val="•"/>
      <w:lvlJc w:val="left"/>
      <w:pPr>
        <w:ind w:left="997" w:hanging="284"/>
      </w:pPr>
      <w:rPr>
        <w:rFonts w:hint="default"/>
        <w:lang w:val="en-US" w:eastAsia="en-US" w:bidi="ar-SA"/>
      </w:rPr>
    </w:lvl>
    <w:lvl w:ilvl="4" w:tplc="383A6B18">
      <w:numFmt w:val="bullet"/>
      <w:lvlText w:val="•"/>
      <w:lvlJc w:val="left"/>
      <w:pPr>
        <w:ind w:left="1182" w:hanging="284"/>
      </w:pPr>
      <w:rPr>
        <w:rFonts w:hint="default"/>
        <w:lang w:val="en-US" w:eastAsia="en-US" w:bidi="ar-SA"/>
      </w:rPr>
    </w:lvl>
    <w:lvl w:ilvl="5" w:tplc="090C788E">
      <w:numFmt w:val="bullet"/>
      <w:lvlText w:val="•"/>
      <w:lvlJc w:val="left"/>
      <w:pPr>
        <w:ind w:left="1368" w:hanging="284"/>
      </w:pPr>
      <w:rPr>
        <w:rFonts w:hint="default"/>
        <w:lang w:val="en-US" w:eastAsia="en-US" w:bidi="ar-SA"/>
      </w:rPr>
    </w:lvl>
    <w:lvl w:ilvl="6" w:tplc="53EA8F5C">
      <w:numFmt w:val="bullet"/>
      <w:lvlText w:val="•"/>
      <w:lvlJc w:val="left"/>
      <w:pPr>
        <w:ind w:left="1554" w:hanging="284"/>
      </w:pPr>
      <w:rPr>
        <w:rFonts w:hint="default"/>
        <w:lang w:val="en-US" w:eastAsia="en-US" w:bidi="ar-SA"/>
      </w:rPr>
    </w:lvl>
    <w:lvl w:ilvl="7" w:tplc="30D4917C">
      <w:numFmt w:val="bullet"/>
      <w:lvlText w:val="•"/>
      <w:lvlJc w:val="left"/>
      <w:pPr>
        <w:ind w:left="1739" w:hanging="284"/>
      </w:pPr>
      <w:rPr>
        <w:rFonts w:hint="default"/>
        <w:lang w:val="en-US" w:eastAsia="en-US" w:bidi="ar-SA"/>
      </w:rPr>
    </w:lvl>
    <w:lvl w:ilvl="8" w:tplc="D336474A">
      <w:numFmt w:val="bullet"/>
      <w:lvlText w:val="•"/>
      <w:lvlJc w:val="left"/>
      <w:pPr>
        <w:ind w:left="1925" w:hanging="284"/>
      </w:pPr>
      <w:rPr>
        <w:rFonts w:hint="default"/>
        <w:lang w:val="en-US" w:eastAsia="en-US" w:bidi="ar-SA"/>
      </w:rPr>
    </w:lvl>
  </w:abstractNum>
  <w:abstractNum w:abstractNumId="146" w15:restartNumberingAfterBreak="0">
    <w:nsid w:val="23FD6453"/>
    <w:multiLevelType w:val="hybridMultilevel"/>
    <w:tmpl w:val="2A3E1732"/>
    <w:lvl w:ilvl="0" w:tplc="393AF3F8">
      <w:numFmt w:val="bullet"/>
      <w:lvlText w:val=""/>
      <w:lvlJc w:val="left"/>
      <w:pPr>
        <w:ind w:left="476" w:hanging="284"/>
      </w:pPr>
      <w:rPr>
        <w:rFonts w:ascii="Symbol" w:eastAsia="Symbol" w:hAnsi="Symbol" w:cs="Symbol" w:hint="default"/>
        <w:b w:val="0"/>
        <w:bCs w:val="0"/>
        <w:i w:val="0"/>
        <w:iCs w:val="0"/>
        <w:color w:val="70004A"/>
        <w:spacing w:val="0"/>
        <w:w w:val="100"/>
        <w:sz w:val="18"/>
        <w:szCs w:val="18"/>
        <w:lang w:val="en-US" w:eastAsia="en-US" w:bidi="ar-SA"/>
      </w:rPr>
    </w:lvl>
    <w:lvl w:ilvl="1" w:tplc="3294D060">
      <w:numFmt w:val="bullet"/>
      <w:lvlText w:val="•"/>
      <w:lvlJc w:val="left"/>
      <w:pPr>
        <w:ind w:left="742" w:hanging="284"/>
      </w:pPr>
      <w:rPr>
        <w:rFonts w:hint="default"/>
        <w:lang w:val="en-US" w:eastAsia="en-US" w:bidi="ar-SA"/>
      </w:rPr>
    </w:lvl>
    <w:lvl w:ilvl="2" w:tplc="6CD6A574">
      <w:numFmt w:val="bullet"/>
      <w:lvlText w:val="•"/>
      <w:lvlJc w:val="left"/>
      <w:pPr>
        <w:ind w:left="1005" w:hanging="284"/>
      </w:pPr>
      <w:rPr>
        <w:rFonts w:hint="default"/>
        <w:lang w:val="en-US" w:eastAsia="en-US" w:bidi="ar-SA"/>
      </w:rPr>
    </w:lvl>
    <w:lvl w:ilvl="3" w:tplc="E8165024">
      <w:numFmt w:val="bullet"/>
      <w:lvlText w:val="•"/>
      <w:lvlJc w:val="left"/>
      <w:pPr>
        <w:ind w:left="1268" w:hanging="284"/>
      </w:pPr>
      <w:rPr>
        <w:rFonts w:hint="default"/>
        <w:lang w:val="en-US" w:eastAsia="en-US" w:bidi="ar-SA"/>
      </w:rPr>
    </w:lvl>
    <w:lvl w:ilvl="4" w:tplc="02943288">
      <w:numFmt w:val="bullet"/>
      <w:lvlText w:val="•"/>
      <w:lvlJc w:val="left"/>
      <w:pPr>
        <w:ind w:left="1530" w:hanging="284"/>
      </w:pPr>
      <w:rPr>
        <w:rFonts w:hint="default"/>
        <w:lang w:val="en-US" w:eastAsia="en-US" w:bidi="ar-SA"/>
      </w:rPr>
    </w:lvl>
    <w:lvl w:ilvl="5" w:tplc="1CAC5CB4">
      <w:numFmt w:val="bullet"/>
      <w:lvlText w:val="•"/>
      <w:lvlJc w:val="left"/>
      <w:pPr>
        <w:ind w:left="1793" w:hanging="284"/>
      </w:pPr>
      <w:rPr>
        <w:rFonts w:hint="default"/>
        <w:lang w:val="en-US" w:eastAsia="en-US" w:bidi="ar-SA"/>
      </w:rPr>
    </w:lvl>
    <w:lvl w:ilvl="6" w:tplc="02C0E4DA">
      <w:numFmt w:val="bullet"/>
      <w:lvlText w:val="•"/>
      <w:lvlJc w:val="left"/>
      <w:pPr>
        <w:ind w:left="2056" w:hanging="284"/>
      </w:pPr>
      <w:rPr>
        <w:rFonts w:hint="default"/>
        <w:lang w:val="en-US" w:eastAsia="en-US" w:bidi="ar-SA"/>
      </w:rPr>
    </w:lvl>
    <w:lvl w:ilvl="7" w:tplc="1FC63D5E">
      <w:numFmt w:val="bullet"/>
      <w:lvlText w:val="•"/>
      <w:lvlJc w:val="left"/>
      <w:pPr>
        <w:ind w:left="2318" w:hanging="284"/>
      </w:pPr>
      <w:rPr>
        <w:rFonts w:hint="default"/>
        <w:lang w:val="en-US" w:eastAsia="en-US" w:bidi="ar-SA"/>
      </w:rPr>
    </w:lvl>
    <w:lvl w:ilvl="8" w:tplc="C84CB640">
      <w:numFmt w:val="bullet"/>
      <w:lvlText w:val="•"/>
      <w:lvlJc w:val="left"/>
      <w:pPr>
        <w:ind w:left="2581" w:hanging="284"/>
      </w:pPr>
      <w:rPr>
        <w:rFonts w:hint="default"/>
        <w:lang w:val="en-US" w:eastAsia="en-US" w:bidi="ar-SA"/>
      </w:rPr>
    </w:lvl>
  </w:abstractNum>
  <w:abstractNum w:abstractNumId="147" w15:restartNumberingAfterBreak="0">
    <w:nsid w:val="241C7A64"/>
    <w:multiLevelType w:val="hybridMultilevel"/>
    <w:tmpl w:val="3856C6E0"/>
    <w:lvl w:ilvl="0" w:tplc="F2B0CFC0">
      <w:numFmt w:val="bullet"/>
      <w:lvlText w:val=""/>
      <w:lvlJc w:val="left"/>
      <w:pPr>
        <w:ind w:left="341" w:hanging="284"/>
      </w:pPr>
      <w:rPr>
        <w:rFonts w:ascii="Symbol" w:eastAsia="Symbol" w:hAnsi="Symbol" w:cs="Symbol" w:hint="default"/>
        <w:b w:val="0"/>
        <w:bCs w:val="0"/>
        <w:i w:val="0"/>
        <w:iCs w:val="0"/>
        <w:color w:val="70004A"/>
        <w:spacing w:val="0"/>
        <w:w w:val="100"/>
        <w:sz w:val="18"/>
        <w:szCs w:val="18"/>
        <w:lang w:val="en-US" w:eastAsia="en-US" w:bidi="ar-SA"/>
      </w:rPr>
    </w:lvl>
    <w:lvl w:ilvl="1" w:tplc="9062760E">
      <w:numFmt w:val="bullet"/>
      <w:lvlText w:val="•"/>
      <w:lvlJc w:val="left"/>
      <w:pPr>
        <w:ind w:left="445" w:hanging="284"/>
      </w:pPr>
      <w:rPr>
        <w:rFonts w:hint="default"/>
        <w:lang w:val="en-US" w:eastAsia="en-US" w:bidi="ar-SA"/>
      </w:rPr>
    </w:lvl>
    <w:lvl w:ilvl="2" w:tplc="80C8DB8C">
      <w:numFmt w:val="bullet"/>
      <w:lvlText w:val="•"/>
      <w:lvlJc w:val="left"/>
      <w:pPr>
        <w:ind w:left="551" w:hanging="284"/>
      </w:pPr>
      <w:rPr>
        <w:rFonts w:hint="default"/>
        <w:lang w:val="en-US" w:eastAsia="en-US" w:bidi="ar-SA"/>
      </w:rPr>
    </w:lvl>
    <w:lvl w:ilvl="3" w:tplc="2F9CD76C">
      <w:numFmt w:val="bullet"/>
      <w:lvlText w:val="•"/>
      <w:lvlJc w:val="left"/>
      <w:pPr>
        <w:ind w:left="657" w:hanging="284"/>
      </w:pPr>
      <w:rPr>
        <w:rFonts w:hint="default"/>
        <w:lang w:val="en-US" w:eastAsia="en-US" w:bidi="ar-SA"/>
      </w:rPr>
    </w:lvl>
    <w:lvl w:ilvl="4" w:tplc="D79277EE">
      <w:numFmt w:val="bullet"/>
      <w:lvlText w:val="•"/>
      <w:lvlJc w:val="left"/>
      <w:pPr>
        <w:ind w:left="763" w:hanging="284"/>
      </w:pPr>
      <w:rPr>
        <w:rFonts w:hint="default"/>
        <w:lang w:val="en-US" w:eastAsia="en-US" w:bidi="ar-SA"/>
      </w:rPr>
    </w:lvl>
    <w:lvl w:ilvl="5" w:tplc="8B1E7068">
      <w:numFmt w:val="bullet"/>
      <w:lvlText w:val="•"/>
      <w:lvlJc w:val="left"/>
      <w:pPr>
        <w:ind w:left="869" w:hanging="284"/>
      </w:pPr>
      <w:rPr>
        <w:rFonts w:hint="default"/>
        <w:lang w:val="en-US" w:eastAsia="en-US" w:bidi="ar-SA"/>
      </w:rPr>
    </w:lvl>
    <w:lvl w:ilvl="6" w:tplc="DD103D96">
      <w:numFmt w:val="bullet"/>
      <w:lvlText w:val="•"/>
      <w:lvlJc w:val="left"/>
      <w:pPr>
        <w:ind w:left="974" w:hanging="284"/>
      </w:pPr>
      <w:rPr>
        <w:rFonts w:hint="default"/>
        <w:lang w:val="en-US" w:eastAsia="en-US" w:bidi="ar-SA"/>
      </w:rPr>
    </w:lvl>
    <w:lvl w:ilvl="7" w:tplc="369A02CE">
      <w:numFmt w:val="bullet"/>
      <w:lvlText w:val="•"/>
      <w:lvlJc w:val="left"/>
      <w:pPr>
        <w:ind w:left="1080" w:hanging="284"/>
      </w:pPr>
      <w:rPr>
        <w:rFonts w:hint="default"/>
        <w:lang w:val="en-US" w:eastAsia="en-US" w:bidi="ar-SA"/>
      </w:rPr>
    </w:lvl>
    <w:lvl w:ilvl="8" w:tplc="D1BE19FE">
      <w:numFmt w:val="bullet"/>
      <w:lvlText w:val="•"/>
      <w:lvlJc w:val="left"/>
      <w:pPr>
        <w:ind w:left="1186" w:hanging="284"/>
      </w:pPr>
      <w:rPr>
        <w:rFonts w:hint="default"/>
        <w:lang w:val="en-US" w:eastAsia="en-US" w:bidi="ar-SA"/>
      </w:rPr>
    </w:lvl>
  </w:abstractNum>
  <w:abstractNum w:abstractNumId="148" w15:restartNumberingAfterBreak="0">
    <w:nsid w:val="242C73E6"/>
    <w:multiLevelType w:val="hybridMultilevel"/>
    <w:tmpl w:val="36D84D12"/>
    <w:lvl w:ilvl="0" w:tplc="35C407BC">
      <w:numFmt w:val="bullet"/>
      <w:lvlText w:val=""/>
      <w:lvlJc w:val="left"/>
      <w:pPr>
        <w:ind w:left="440" w:hanging="284"/>
      </w:pPr>
      <w:rPr>
        <w:rFonts w:ascii="Symbol" w:eastAsia="Symbol" w:hAnsi="Symbol" w:cs="Symbol" w:hint="default"/>
        <w:b w:val="0"/>
        <w:bCs w:val="0"/>
        <w:i w:val="0"/>
        <w:iCs w:val="0"/>
        <w:color w:val="70004A"/>
        <w:spacing w:val="0"/>
        <w:w w:val="100"/>
        <w:sz w:val="18"/>
        <w:szCs w:val="18"/>
        <w:lang w:val="en-US" w:eastAsia="en-US" w:bidi="ar-SA"/>
      </w:rPr>
    </w:lvl>
    <w:lvl w:ilvl="1" w:tplc="F5B4947E">
      <w:numFmt w:val="bullet"/>
      <w:lvlText w:val="•"/>
      <w:lvlJc w:val="left"/>
      <w:pPr>
        <w:ind w:left="611" w:hanging="284"/>
      </w:pPr>
      <w:rPr>
        <w:rFonts w:hint="default"/>
        <w:lang w:val="en-US" w:eastAsia="en-US" w:bidi="ar-SA"/>
      </w:rPr>
    </w:lvl>
    <w:lvl w:ilvl="2" w:tplc="4F587AEC">
      <w:numFmt w:val="bullet"/>
      <w:lvlText w:val="•"/>
      <w:lvlJc w:val="left"/>
      <w:pPr>
        <w:ind w:left="782" w:hanging="284"/>
      </w:pPr>
      <w:rPr>
        <w:rFonts w:hint="default"/>
        <w:lang w:val="en-US" w:eastAsia="en-US" w:bidi="ar-SA"/>
      </w:rPr>
    </w:lvl>
    <w:lvl w:ilvl="3" w:tplc="1B9A3A92">
      <w:numFmt w:val="bullet"/>
      <w:lvlText w:val="•"/>
      <w:lvlJc w:val="left"/>
      <w:pPr>
        <w:ind w:left="953" w:hanging="284"/>
      </w:pPr>
      <w:rPr>
        <w:rFonts w:hint="default"/>
        <w:lang w:val="en-US" w:eastAsia="en-US" w:bidi="ar-SA"/>
      </w:rPr>
    </w:lvl>
    <w:lvl w:ilvl="4" w:tplc="6732602A">
      <w:numFmt w:val="bullet"/>
      <w:lvlText w:val="•"/>
      <w:lvlJc w:val="left"/>
      <w:pPr>
        <w:ind w:left="1125" w:hanging="284"/>
      </w:pPr>
      <w:rPr>
        <w:rFonts w:hint="default"/>
        <w:lang w:val="en-US" w:eastAsia="en-US" w:bidi="ar-SA"/>
      </w:rPr>
    </w:lvl>
    <w:lvl w:ilvl="5" w:tplc="8D3E259A">
      <w:numFmt w:val="bullet"/>
      <w:lvlText w:val="•"/>
      <w:lvlJc w:val="left"/>
      <w:pPr>
        <w:ind w:left="1296" w:hanging="284"/>
      </w:pPr>
      <w:rPr>
        <w:rFonts w:hint="default"/>
        <w:lang w:val="en-US" w:eastAsia="en-US" w:bidi="ar-SA"/>
      </w:rPr>
    </w:lvl>
    <w:lvl w:ilvl="6" w:tplc="09288CC4">
      <w:numFmt w:val="bullet"/>
      <w:lvlText w:val="•"/>
      <w:lvlJc w:val="left"/>
      <w:pPr>
        <w:ind w:left="1467" w:hanging="284"/>
      </w:pPr>
      <w:rPr>
        <w:rFonts w:hint="default"/>
        <w:lang w:val="en-US" w:eastAsia="en-US" w:bidi="ar-SA"/>
      </w:rPr>
    </w:lvl>
    <w:lvl w:ilvl="7" w:tplc="CBEA8B5C">
      <w:numFmt w:val="bullet"/>
      <w:lvlText w:val="•"/>
      <w:lvlJc w:val="left"/>
      <w:pPr>
        <w:ind w:left="1639" w:hanging="284"/>
      </w:pPr>
      <w:rPr>
        <w:rFonts w:hint="default"/>
        <w:lang w:val="en-US" w:eastAsia="en-US" w:bidi="ar-SA"/>
      </w:rPr>
    </w:lvl>
    <w:lvl w:ilvl="8" w:tplc="B9B62A72">
      <w:numFmt w:val="bullet"/>
      <w:lvlText w:val="•"/>
      <w:lvlJc w:val="left"/>
      <w:pPr>
        <w:ind w:left="1810" w:hanging="284"/>
      </w:pPr>
      <w:rPr>
        <w:rFonts w:hint="default"/>
        <w:lang w:val="en-US" w:eastAsia="en-US" w:bidi="ar-SA"/>
      </w:rPr>
    </w:lvl>
  </w:abstractNum>
  <w:abstractNum w:abstractNumId="149" w15:restartNumberingAfterBreak="0">
    <w:nsid w:val="24BD1167"/>
    <w:multiLevelType w:val="hybridMultilevel"/>
    <w:tmpl w:val="A934D770"/>
    <w:lvl w:ilvl="0" w:tplc="9D2E5BC0">
      <w:numFmt w:val="bullet"/>
      <w:lvlText w:val=""/>
      <w:lvlJc w:val="left"/>
      <w:pPr>
        <w:ind w:left="432" w:hanging="284"/>
      </w:pPr>
      <w:rPr>
        <w:rFonts w:ascii="Symbol" w:eastAsia="Symbol" w:hAnsi="Symbol" w:cs="Symbol" w:hint="default"/>
        <w:b w:val="0"/>
        <w:bCs w:val="0"/>
        <w:i w:val="0"/>
        <w:iCs w:val="0"/>
        <w:color w:val="70004A"/>
        <w:spacing w:val="0"/>
        <w:w w:val="100"/>
        <w:sz w:val="18"/>
        <w:szCs w:val="18"/>
        <w:lang w:val="en-US" w:eastAsia="en-US" w:bidi="ar-SA"/>
      </w:rPr>
    </w:lvl>
    <w:lvl w:ilvl="1" w:tplc="2CA063F8">
      <w:numFmt w:val="bullet"/>
      <w:lvlText w:val="•"/>
      <w:lvlJc w:val="left"/>
      <w:pPr>
        <w:ind w:left="632" w:hanging="284"/>
      </w:pPr>
      <w:rPr>
        <w:rFonts w:hint="default"/>
        <w:lang w:val="en-US" w:eastAsia="en-US" w:bidi="ar-SA"/>
      </w:rPr>
    </w:lvl>
    <w:lvl w:ilvl="2" w:tplc="7E06099E">
      <w:numFmt w:val="bullet"/>
      <w:lvlText w:val="•"/>
      <w:lvlJc w:val="left"/>
      <w:pPr>
        <w:ind w:left="825" w:hanging="284"/>
      </w:pPr>
      <w:rPr>
        <w:rFonts w:hint="default"/>
        <w:lang w:val="en-US" w:eastAsia="en-US" w:bidi="ar-SA"/>
      </w:rPr>
    </w:lvl>
    <w:lvl w:ilvl="3" w:tplc="6E041EBE">
      <w:numFmt w:val="bullet"/>
      <w:lvlText w:val="•"/>
      <w:lvlJc w:val="left"/>
      <w:pPr>
        <w:ind w:left="1017" w:hanging="284"/>
      </w:pPr>
      <w:rPr>
        <w:rFonts w:hint="default"/>
        <w:lang w:val="en-US" w:eastAsia="en-US" w:bidi="ar-SA"/>
      </w:rPr>
    </w:lvl>
    <w:lvl w:ilvl="4" w:tplc="D46CDA98">
      <w:numFmt w:val="bullet"/>
      <w:lvlText w:val="•"/>
      <w:lvlJc w:val="left"/>
      <w:pPr>
        <w:ind w:left="1210" w:hanging="284"/>
      </w:pPr>
      <w:rPr>
        <w:rFonts w:hint="default"/>
        <w:lang w:val="en-US" w:eastAsia="en-US" w:bidi="ar-SA"/>
      </w:rPr>
    </w:lvl>
    <w:lvl w:ilvl="5" w:tplc="765AF184">
      <w:numFmt w:val="bullet"/>
      <w:lvlText w:val="•"/>
      <w:lvlJc w:val="left"/>
      <w:pPr>
        <w:ind w:left="1402" w:hanging="284"/>
      </w:pPr>
      <w:rPr>
        <w:rFonts w:hint="default"/>
        <w:lang w:val="en-US" w:eastAsia="en-US" w:bidi="ar-SA"/>
      </w:rPr>
    </w:lvl>
    <w:lvl w:ilvl="6" w:tplc="EFCCE9CE">
      <w:numFmt w:val="bullet"/>
      <w:lvlText w:val="•"/>
      <w:lvlJc w:val="left"/>
      <w:pPr>
        <w:ind w:left="1595" w:hanging="284"/>
      </w:pPr>
      <w:rPr>
        <w:rFonts w:hint="default"/>
        <w:lang w:val="en-US" w:eastAsia="en-US" w:bidi="ar-SA"/>
      </w:rPr>
    </w:lvl>
    <w:lvl w:ilvl="7" w:tplc="1AA81C0E">
      <w:numFmt w:val="bullet"/>
      <w:lvlText w:val="•"/>
      <w:lvlJc w:val="left"/>
      <w:pPr>
        <w:ind w:left="1787" w:hanging="284"/>
      </w:pPr>
      <w:rPr>
        <w:rFonts w:hint="default"/>
        <w:lang w:val="en-US" w:eastAsia="en-US" w:bidi="ar-SA"/>
      </w:rPr>
    </w:lvl>
    <w:lvl w:ilvl="8" w:tplc="B08EAD1C">
      <w:numFmt w:val="bullet"/>
      <w:lvlText w:val="•"/>
      <w:lvlJc w:val="left"/>
      <w:pPr>
        <w:ind w:left="1980" w:hanging="284"/>
      </w:pPr>
      <w:rPr>
        <w:rFonts w:hint="default"/>
        <w:lang w:val="en-US" w:eastAsia="en-US" w:bidi="ar-SA"/>
      </w:rPr>
    </w:lvl>
  </w:abstractNum>
  <w:abstractNum w:abstractNumId="150" w15:restartNumberingAfterBreak="0">
    <w:nsid w:val="24E938AC"/>
    <w:multiLevelType w:val="hybridMultilevel"/>
    <w:tmpl w:val="D0445B60"/>
    <w:lvl w:ilvl="0" w:tplc="E2A8D7A8">
      <w:numFmt w:val="bullet"/>
      <w:lvlText w:val=""/>
      <w:lvlJc w:val="left"/>
      <w:pPr>
        <w:ind w:left="390" w:hanging="284"/>
      </w:pPr>
      <w:rPr>
        <w:rFonts w:ascii="Symbol" w:eastAsia="Symbol" w:hAnsi="Symbol" w:cs="Symbol" w:hint="default"/>
        <w:b w:val="0"/>
        <w:bCs w:val="0"/>
        <w:i w:val="0"/>
        <w:iCs w:val="0"/>
        <w:color w:val="70004A"/>
        <w:spacing w:val="0"/>
        <w:w w:val="100"/>
        <w:sz w:val="18"/>
        <w:szCs w:val="18"/>
        <w:lang w:val="en-US" w:eastAsia="en-US" w:bidi="ar-SA"/>
      </w:rPr>
    </w:lvl>
    <w:lvl w:ilvl="1" w:tplc="E7A8C1AE">
      <w:numFmt w:val="bullet"/>
      <w:lvlText w:val="•"/>
      <w:lvlJc w:val="left"/>
      <w:pPr>
        <w:ind w:left="712" w:hanging="284"/>
      </w:pPr>
      <w:rPr>
        <w:rFonts w:hint="default"/>
        <w:lang w:val="en-US" w:eastAsia="en-US" w:bidi="ar-SA"/>
      </w:rPr>
    </w:lvl>
    <w:lvl w:ilvl="2" w:tplc="D90082F6">
      <w:numFmt w:val="bullet"/>
      <w:lvlText w:val="•"/>
      <w:lvlJc w:val="left"/>
      <w:pPr>
        <w:ind w:left="1024" w:hanging="284"/>
      </w:pPr>
      <w:rPr>
        <w:rFonts w:hint="default"/>
        <w:lang w:val="en-US" w:eastAsia="en-US" w:bidi="ar-SA"/>
      </w:rPr>
    </w:lvl>
    <w:lvl w:ilvl="3" w:tplc="8B3E5634">
      <w:numFmt w:val="bullet"/>
      <w:lvlText w:val="•"/>
      <w:lvlJc w:val="left"/>
      <w:pPr>
        <w:ind w:left="1337" w:hanging="284"/>
      </w:pPr>
      <w:rPr>
        <w:rFonts w:hint="default"/>
        <w:lang w:val="en-US" w:eastAsia="en-US" w:bidi="ar-SA"/>
      </w:rPr>
    </w:lvl>
    <w:lvl w:ilvl="4" w:tplc="9C9A2810">
      <w:numFmt w:val="bullet"/>
      <w:lvlText w:val="•"/>
      <w:lvlJc w:val="left"/>
      <w:pPr>
        <w:ind w:left="1649" w:hanging="284"/>
      </w:pPr>
      <w:rPr>
        <w:rFonts w:hint="default"/>
        <w:lang w:val="en-US" w:eastAsia="en-US" w:bidi="ar-SA"/>
      </w:rPr>
    </w:lvl>
    <w:lvl w:ilvl="5" w:tplc="3FAC091E">
      <w:numFmt w:val="bullet"/>
      <w:lvlText w:val="•"/>
      <w:lvlJc w:val="left"/>
      <w:pPr>
        <w:ind w:left="1962" w:hanging="284"/>
      </w:pPr>
      <w:rPr>
        <w:rFonts w:hint="default"/>
        <w:lang w:val="en-US" w:eastAsia="en-US" w:bidi="ar-SA"/>
      </w:rPr>
    </w:lvl>
    <w:lvl w:ilvl="6" w:tplc="3104F1A2">
      <w:numFmt w:val="bullet"/>
      <w:lvlText w:val="•"/>
      <w:lvlJc w:val="left"/>
      <w:pPr>
        <w:ind w:left="2274" w:hanging="284"/>
      </w:pPr>
      <w:rPr>
        <w:rFonts w:hint="default"/>
        <w:lang w:val="en-US" w:eastAsia="en-US" w:bidi="ar-SA"/>
      </w:rPr>
    </w:lvl>
    <w:lvl w:ilvl="7" w:tplc="7C4018D8">
      <w:numFmt w:val="bullet"/>
      <w:lvlText w:val="•"/>
      <w:lvlJc w:val="left"/>
      <w:pPr>
        <w:ind w:left="2586" w:hanging="284"/>
      </w:pPr>
      <w:rPr>
        <w:rFonts w:hint="default"/>
        <w:lang w:val="en-US" w:eastAsia="en-US" w:bidi="ar-SA"/>
      </w:rPr>
    </w:lvl>
    <w:lvl w:ilvl="8" w:tplc="8F902C06">
      <w:numFmt w:val="bullet"/>
      <w:lvlText w:val="•"/>
      <w:lvlJc w:val="left"/>
      <w:pPr>
        <w:ind w:left="2899" w:hanging="284"/>
      </w:pPr>
      <w:rPr>
        <w:rFonts w:hint="default"/>
        <w:lang w:val="en-US" w:eastAsia="en-US" w:bidi="ar-SA"/>
      </w:rPr>
    </w:lvl>
  </w:abstractNum>
  <w:abstractNum w:abstractNumId="151" w15:restartNumberingAfterBreak="0">
    <w:nsid w:val="251E2F1C"/>
    <w:multiLevelType w:val="hybridMultilevel"/>
    <w:tmpl w:val="EA3C8CE6"/>
    <w:lvl w:ilvl="0" w:tplc="D1228DA4">
      <w:numFmt w:val="bullet"/>
      <w:lvlText w:val=""/>
      <w:lvlJc w:val="left"/>
      <w:pPr>
        <w:ind w:left="429" w:hanging="284"/>
      </w:pPr>
      <w:rPr>
        <w:rFonts w:ascii="Symbol" w:eastAsia="Symbol" w:hAnsi="Symbol" w:cs="Symbol" w:hint="default"/>
        <w:b w:val="0"/>
        <w:bCs w:val="0"/>
        <w:i w:val="0"/>
        <w:iCs w:val="0"/>
        <w:color w:val="70004A"/>
        <w:spacing w:val="0"/>
        <w:w w:val="100"/>
        <w:sz w:val="18"/>
        <w:szCs w:val="18"/>
        <w:lang w:val="en-US" w:eastAsia="en-US" w:bidi="ar-SA"/>
      </w:rPr>
    </w:lvl>
    <w:lvl w:ilvl="1" w:tplc="46685FBE">
      <w:numFmt w:val="bullet"/>
      <w:lvlText w:val="•"/>
      <w:lvlJc w:val="left"/>
      <w:pPr>
        <w:ind w:left="583" w:hanging="284"/>
      </w:pPr>
      <w:rPr>
        <w:rFonts w:hint="default"/>
        <w:lang w:val="en-US" w:eastAsia="en-US" w:bidi="ar-SA"/>
      </w:rPr>
    </w:lvl>
    <w:lvl w:ilvl="2" w:tplc="871A7EFE">
      <w:numFmt w:val="bullet"/>
      <w:lvlText w:val="•"/>
      <w:lvlJc w:val="left"/>
      <w:pPr>
        <w:ind w:left="746" w:hanging="284"/>
      </w:pPr>
      <w:rPr>
        <w:rFonts w:hint="default"/>
        <w:lang w:val="en-US" w:eastAsia="en-US" w:bidi="ar-SA"/>
      </w:rPr>
    </w:lvl>
    <w:lvl w:ilvl="3" w:tplc="43C67276">
      <w:numFmt w:val="bullet"/>
      <w:lvlText w:val="•"/>
      <w:lvlJc w:val="left"/>
      <w:pPr>
        <w:ind w:left="909" w:hanging="284"/>
      </w:pPr>
      <w:rPr>
        <w:rFonts w:hint="default"/>
        <w:lang w:val="en-US" w:eastAsia="en-US" w:bidi="ar-SA"/>
      </w:rPr>
    </w:lvl>
    <w:lvl w:ilvl="4" w:tplc="8B6E5E08">
      <w:numFmt w:val="bullet"/>
      <w:lvlText w:val="•"/>
      <w:lvlJc w:val="left"/>
      <w:pPr>
        <w:ind w:left="1073" w:hanging="284"/>
      </w:pPr>
      <w:rPr>
        <w:rFonts w:hint="default"/>
        <w:lang w:val="en-US" w:eastAsia="en-US" w:bidi="ar-SA"/>
      </w:rPr>
    </w:lvl>
    <w:lvl w:ilvl="5" w:tplc="ABA8CFF0">
      <w:numFmt w:val="bullet"/>
      <w:lvlText w:val="•"/>
      <w:lvlJc w:val="left"/>
      <w:pPr>
        <w:ind w:left="1236" w:hanging="284"/>
      </w:pPr>
      <w:rPr>
        <w:rFonts w:hint="default"/>
        <w:lang w:val="en-US" w:eastAsia="en-US" w:bidi="ar-SA"/>
      </w:rPr>
    </w:lvl>
    <w:lvl w:ilvl="6" w:tplc="DDEC3AC2">
      <w:numFmt w:val="bullet"/>
      <w:lvlText w:val="•"/>
      <w:lvlJc w:val="left"/>
      <w:pPr>
        <w:ind w:left="1399" w:hanging="284"/>
      </w:pPr>
      <w:rPr>
        <w:rFonts w:hint="default"/>
        <w:lang w:val="en-US" w:eastAsia="en-US" w:bidi="ar-SA"/>
      </w:rPr>
    </w:lvl>
    <w:lvl w:ilvl="7" w:tplc="826AACD2">
      <w:numFmt w:val="bullet"/>
      <w:lvlText w:val="•"/>
      <w:lvlJc w:val="left"/>
      <w:pPr>
        <w:ind w:left="1563" w:hanging="284"/>
      </w:pPr>
      <w:rPr>
        <w:rFonts w:hint="default"/>
        <w:lang w:val="en-US" w:eastAsia="en-US" w:bidi="ar-SA"/>
      </w:rPr>
    </w:lvl>
    <w:lvl w:ilvl="8" w:tplc="8902715C">
      <w:numFmt w:val="bullet"/>
      <w:lvlText w:val="•"/>
      <w:lvlJc w:val="left"/>
      <w:pPr>
        <w:ind w:left="1726" w:hanging="284"/>
      </w:pPr>
      <w:rPr>
        <w:rFonts w:hint="default"/>
        <w:lang w:val="en-US" w:eastAsia="en-US" w:bidi="ar-SA"/>
      </w:rPr>
    </w:lvl>
  </w:abstractNum>
  <w:abstractNum w:abstractNumId="152" w15:restartNumberingAfterBreak="0">
    <w:nsid w:val="256C644F"/>
    <w:multiLevelType w:val="hybridMultilevel"/>
    <w:tmpl w:val="FC9A3910"/>
    <w:lvl w:ilvl="0" w:tplc="960CDA0E">
      <w:numFmt w:val="bullet"/>
      <w:lvlText w:val=""/>
      <w:lvlJc w:val="left"/>
      <w:pPr>
        <w:ind w:left="433" w:hanging="284"/>
      </w:pPr>
      <w:rPr>
        <w:rFonts w:ascii="Symbol" w:eastAsia="Symbol" w:hAnsi="Symbol" w:cs="Symbol" w:hint="default"/>
        <w:b w:val="0"/>
        <w:bCs w:val="0"/>
        <w:i w:val="0"/>
        <w:iCs w:val="0"/>
        <w:color w:val="70004A"/>
        <w:spacing w:val="0"/>
        <w:w w:val="100"/>
        <w:sz w:val="18"/>
        <w:szCs w:val="18"/>
        <w:lang w:val="en-US" w:eastAsia="en-US" w:bidi="ar-SA"/>
      </w:rPr>
    </w:lvl>
    <w:lvl w:ilvl="1" w:tplc="08924A2C">
      <w:numFmt w:val="bullet"/>
      <w:lvlText w:val="•"/>
      <w:lvlJc w:val="left"/>
      <w:pPr>
        <w:ind w:left="603" w:hanging="284"/>
      </w:pPr>
      <w:rPr>
        <w:rFonts w:hint="default"/>
        <w:lang w:val="en-US" w:eastAsia="en-US" w:bidi="ar-SA"/>
      </w:rPr>
    </w:lvl>
    <w:lvl w:ilvl="2" w:tplc="CEF4F984">
      <w:numFmt w:val="bullet"/>
      <w:lvlText w:val="•"/>
      <w:lvlJc w:val="left"/>
      <w:pPr>
        <w:ind w:left="766" w:hanging="284"/>
      </w:pPr>
      <w:rPr>
        <w:rFonts w:hint="default"/>
        <w:lang w:val="en-US" w:eastAsia="en-US" w:bidi="ar-SA"/>
      </w:rPr>
    </w:lvl>
    <w:lvl w:ilvl="3" w:tplc="E59C2EAE">
      <w:numFmt w:val="bullet"/>
      <w:lvlText w:val="•"/>
      <w:lvlJc w:val="left"/>
      <w:pPr>
        <w:ind w:left="929" w:hanging="284"/>
      </w:pPr>
      <w:rPr>
        <w:rFonts w:hint="default"/>
        <w:lang w:val="en-US" w:eastAsia="en-US" w:bidi="ar-SA"/>
      </w:rPr>
    </w:lvl>
    <w:lvl w:ilvl="4" w:tplc="57DABA84">
      <w:numFmt w:val="bullet"/>
      <w:lvlText w:val="•"/>
      <w:lvlJc w:val="left"/>
      <w:pPr>
        <w:ind w:left="1092" w:hanging="284"/>
      </w:pPr>
      <w:rPr>
        <w:rFonts w:hint="default"/>
        <w:lang w:val="en-US" w:eastAsia="en-US" w:bidi="ar-SA"/>
      </w:rPr>
    </w:lvl>
    <w:lvl w:ilvl="5" w:tplc="DD662202">
      <w:numFmt w:val="bullet"/>
      <w:lvlText w:val="•"/>
      <w:lvlJc w:val="left"/>
      <w:pPr>
        <w:ind w:left="1255" w:hanging="284"/>
      </w:pPr>
      <w:rPr>
        <w:rFonts w:hint="default"/>
        <w:lang w:val="en-US" w:eastAsia="en-US" w:bidi="ar-SA"/>
      </w:rPr>
    </w:lvl>
    <w:lvl w:ilvl="6" w:tplc="02421EC6">
      <w:numFmt w:val="bullet"/>
      <w:lvlText w:val="•"/>
      <w:lvlJc w:val="left"/>
      <w:pPr>
        <w:ind w:left="1418" w:hanging="284"/>
      </w:pPr>
      <w:rPr>
        <w:rFonts w:hint="default"/>
        <w:lang w:val="en-US" w:eastAsia="en-US" w:bidi="ar-SA"/>
      </w:rPr>
    </w:lvl>
    <w:lvl w:ilvl="7" w:tplc="FCE0DE28">
      <w:numFmt w:val="bullet"/>
      <w:lvlText w:val="•"/>
      <w:lvlJc w:val="left"/>
      <w:pPr>
        <w:ind w:left="1581" w:hanging="284"/>
      </w:pPr>
      <w:rPr>
        <w:rFonts w:hint="default"/>
        <w:lang w:val="en-US" w:eastAsia="en-US" w:bidi="ar-SA"/>
      </w:rPr>
    </w:lvl>
    <w:lvl w:ilvl="8" w:tplc="59A6CF28">
      <w:numFmt w:val="bullet"/>
      <w:lvlText w:val="•"/>
      <w:lvlJc w:val="left"/>
      <w:pPr>
        <w:ind w:left="1744" w:hanging="284"/>
      </w:pPr>
      <w:rPr>
        <w:rFonts w:hint="default"/>
        <w:lang w:val="en-US" w:eastAsia="en-US" w:bidi="ar-SA"/>
      </w:rPr>
    </w:lvl>
  </w:abstractNum>
  <w:abstractNum w:abstractNumId="153" w15:restartNumberingAfterBreak="0">
    <w:nsid w:val="25B95571"/>
    <w:multiLevelType w:val="hybridMultilevel"/>
    <w:tmpl w:val="29B43F84"/>
    <w:lvl w:ilvl="0" w:tplc="2A7AD5E4">
      <w:start w:val="1"/>
      <w:numFmt w:val="decimal"/>
      <w:lvlText w:val="%1."/>
      <w:lvlJc w:val="left"/>
      <w:pPr>
        <w:ind w:left="360" w:hanging="360"/>
      </w:pPr>
      <w:rPr>
        <w:rFonts w:ascii="Arial" w:eastAsia="Arial" w:hAnsi="Arial" w:cs="Arial" w:hint="default"/>
        <w:b/>
        <w:bCs/>
        <w:i w:val="0"/>
        <w:iCs w:val="0"/>
        <w:color w:val="70004A"/>
        <w:spacing w:val="0"/>
        <w:w w:val="100"/>
        <w:sz w:val="20"/>
        <w:szCs w:val="20"/>
        <w:lang w:val="en-US" w:eastAsia="en-US" w:bidi="ar-SA"/>
      </w:rPr>
    </w:lvl>
    <w:lvl w:ilvl="1" w:tplc="4654722E">
      <w:start w:val="1"/>
      <w:numFmt w:val="lowerLetter"/>
      <w:lvlText w:val="%2."/>
      <w:lvlJc w:val="left"/>
      <w:pPr>
        <w:ind w:left="783" w:hanging="425"/>
      </w:pPr>
      <w:rPr>
        <w:rFonts w:hint="default"/>
        <w:spacing w:val="0"/>
        <w:w w:val="100"/>
        <w:lang w:val="en-US" w:eastAsia="en-US" w:bidi="ar-SA"/>
      </w:rPr>
    </w:lvl>
    <w:lvl w:ilvl="2" w:tplc="DE9C8E68">
      <w:numFmt w:val="bullet"/>
      <w:lvlText w:val="•"/>
      <w:lvlJc w:val="left"/>
      <w:pPr>
        <w:ind w:left="853" w:hanging="425"/>
      </w:pPr>
      <w:rPr>
        <w:rFonts w:hint="default"/>
        <w:lang w:val="en-US" w:eastAsia="en-US" w:bidi="ar-SA"/>
      </w:rPr>
    </w:lvl>
    <w:lvl w:ilvl="3" w:tplc="8CF066D8">
      <w:numFmt w:val="bullet"/>
      <w:lvlText w:val="•"/>
      <w:lvlJc w:val="left"/>
      <w:pPr>
        <w:ind w:left="2022" w:hanging="425"/>
      </w:pPr>
      <w:rPr>
        <w:rFonts w:hint="default"/>
        <w:lang w:val="en-US" w:eastAsia="en-US" w:bidi="ar-SA"/>
      </w:rPr>
    </w:lvl>
    <w:lvl w:ilvl="4" w:tplc="CC9C25B6">
      <w:numFmt w:val="bullet"/>
      <w:lvlText w:val="•"/>
      <w:lvlJc w:val="left"/>
      <w:pPr>
        <w:ind w:left="3191" w:hanging="425"/>
      </w:pPr>
      <w:rPr>
        <w:rFonts w:hint="default"/>
        <w:lang w:val="en-US" w:eastAsia="en-US" w:bidi="ar-SA"/>
      </w:rPr>
    </w:lvl>
    <w:lvl w:ilvl="5" w:tplc="FC4816CC">
      <w:numFmt w:val="bullet"/>
      <w:lvlText w:val="•"/>
      <w:lvlJc w:val="left"/>
      <w:pPr>
        <w:ind w:left="4360" w:hanging="425"/>
      </w:pPr>
      <w:rPr>
        <w:rFonts w:hint="default"/>
        <w:lang w:val="en-US" w:eastAsia="en-US" w:bidi="ar-SA"/>
      </w:rPr>
    </w:lvl>
    <w:lvl w:ilvl="6" w:tplc="DB7CB50A">
      <w:numFmt w:val="bullet"/>
      <w:lvlText w:val="•"/>
      <w:lvlJc w:val="left"/>
      <w:pPr>
        <w:ind w:left="5530" w:hanging="425"/>
      </w:pPr>
      <w:rPr>
        <w:rFonts w:hint="default"/>
        <w:lang w:val="en-US" w:eastAsia="en-US" w:bidi="ar-SA"/>
      </w:rPr>
    </w:lvl>
    <w:lvl w:ilvl="7" w:tplc="F7D65796">
      <w:numFmt w:val="bullet"/>
      <w:lvlText w:val="•"/>
      <w:lvlJc w:val="left"/>
      <w:pPr>
        <w:ind w:left="6699" w:hanging="425"/>
      </w:pPr>
      <w:rPr>
        <w:rFonts w:hint="default"/>
        <w:lang w:val="en-US" w:eastAsia="en-US" w:bidi="ar-SA"/>
      </w:rPr>
    </w:lvl>
    <w:lvl w:ilvl="8" w:tplc="A29483B6">
      <w:numFmt w:val="bullet"/>
      <w:lvlText w:val="•"/>
      <w:lvlJc w:val="left"/>
      <w:pPr>
        <w:ind w:left="7868" w:hanging="425"/>
      </w:pPr>
      <w:rPr>
        <w:rFonts w:hint="default"/>
        <w:lang w:val="en-US" w:eastAsia="en-US" w:bidi="ar-SA"/>
      </w:rPr>
    </w:lvl>
  </w:abstractNum>
  <w:abstractNum w:abstractNumId="154" w15:restartNumberingAfterBreak="0">
    <w:nsid w:val="261F3B1F"/>
    <w:multiLevelType w:val="hybridMultilevel"/>
    <w:tmpl w:val="A84256F2"/>
    <w:lvl w:ilvl="0" w:tplc="EB3CE18C">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71C6496E">
      <w:numFmt w:val="bullet"/>
      <w:lvlText w:val="•"/>
      <w:lvlJc w:val="left"/>
      <w:pPr>
        <w:ind w:left="685" w:hanging="284"/>
      </w:pPr>
      <w:rPr>
        <w:rFonts w:hint="default"/>
        <w:lang w:val="en-US" w:eastAsia="en-US" w:bidi="ar-SA"/>
      </w:rPr>
    </w:lvl>
    <w:lvl w:ilvl="2" w:tplc="64101E9C">
      <w:numFmt w:val="bullet"/>
      <w:lvlText w:val="•"/>
      <w:lvlJc w:val="left"/>
      <w:pPr>
        <w:ind w:left="971" w:hanging="284"/>
      </w:pPr>
      <w:rPr>
        <w:rFonts w:hint="default"/>
        <w:lang w:val="en-US" w:eastAsia="en-US" w:bidi="ar-SA"/>
      </w:rPr>
    </w:lvl>
    <w:lvl w:ilvl="3" w:tplc="C5FCD2E6">
      <w:numFmt w:val="bullet"/>
      <w:lvlText w:val="•"/>
      <w:lvlJc w:val="left"/>
      <w:pPr>
        <w:ind w:left="1257" w:hanging="284"/>
      </w:pPr>
      <w:rPr>
        <w:rFonts w:hint="default"/>
        <w:lang w:val="en-US" w:eastAsia="en-US" w:bidi="ar-SA"/>
      </w:rPr>
    </w:lvl>
    <w:lvl w:ilvl="4" w:tplc="6F5C98BE">
      <w:numFmt w:val="bullet"/>
      <w:lvlText w:val="•"/>
      <w:lvlJc w:val="left"/>
      <w:pPr>
        <w:ind w:left="1542" w:hanging="284"/>
      </w:pPr>
      <w:rPr>
        <w:rFonts w:hint="default"/>
        <w:lang w:val="en-US" w:eastAsia="en-US" w:bidi="ar-SA"/>
      </w:rPr>
    </w:lvl>
    <w:lvl w:ilvl="5" w:tplc="309E7712">
      <w:numFmt w:val="bullet"/>
      <w:lvlText w:val="•"/>
      <w:lvlJc w:val="left"/>
      <w:pPr>
        <w:ind w:left="1828" w:hanging="284"/>
      </w:pPr>
      <w:rPr>
        <w:rFonts w:hint="default"/>
        <w:lang w:val="en-US" w:eastAsia="en-US" w:bidi="ar-SA"/>
      </w:rPr>
    </w:lvl>
    <w:lvl w:ilvl="6" w:tplc="5D26196E">
      <w:numFmt w:val="bullet"/>
      <w:lvlText w:val="•"/>
      <w:lvlJc w:val="left"/>
      <w:pPr>
        <w:ind w:left="2114" w:hanging="284"/>
      </w:pPr>
      <w:rPr>
        <w:rFonts w:hint="default"/>
        <w:lang w:val="en-US" w:eastAsia="en-US" w:bidi="ar-SA"/>
      </w:rPr>
    </w:lvl>
    <w:lvl w:ilvl="7" w:tplc="E0C20422">
      <w:numFmt w:val="bullet"/>
      <w:lvlText w:val="•"/>
      <w:lvlJc w:val="left"/>
      <w:pPr>
        <w:ind w:left="2399" w:hanging="284"/>
      </w:pPr>
      <w:rPr>
        <w:rFonts w:hint="default"/>
        <w:lang w:val="en-US" w:eastAsia="en-US" w:bidi="ar-SA"/>
      </w:rPr>
    </w:lvl>
    <w:lvl w:ilvl="8" w:tplc="F2C05FA2">
      <w:numFmt w:val="bullet"/>
      <w:lvlText w:val="•"/>
      <w:lvlJc w:val="left"/>
      <w:pPr>
        <w:ind w:left="2685" w:hanging="284"/>
      </w:pPr>
      <w:rPr>
        <w:rFonts w:hint="default"/>
        <w:lang w:val="en-US" w:eastAsia="en-US" w:bidi="ar-SA"/>
      </w:rPr>
    </w:lvl>
  </w:abstractNum>
  <w:abstractNum w:abstractNumId="155" w15:restartNumberingAfterBreak="0">
    <w:nsid w:val="26280053"/>
    <w:multiLevelType w:val="hybridMultilevel"/>
    <w:tmpl w:val="4E7A0FA8"/>
    <w:lvl w:ilvl="0" w:tplc="146CC7BC">
      <w:numFmt w:val="bullet"/>
      <w:lvlText w:val=""/>
      <w:lvlJc w:val="left"/>
      <w:pPr>
        <w:ind w:left="424" w:hanging="284"/>
      </w:pPr>
      <w:rPr>
        <w:rFonts w:ascii="Symbol" w:eastAsia="Symbol" w:hAnsi="Symbol" w:cs="Symbol" w:hint="default"/>
        <w:b w:val="0"/>
        <w:bCs w:val="0"/>
        <w:i w:val="0"/>
        <w:iCs w:val="0"/>
        <w:color w:val="70004A"/>
        <w:spacing w:val="0"/>
        <w:w w:val="100"/>
        <w:sz w:val="18"/>
        <w:szCs w:val="18"/>
        <w:lang w:val="en-US" w:eastAsia="en-US" w:bidi="ar-SA"/>
      </w:rPr>
    </w:lvl>
    <w:lvl w:ilvl="1" w:tplc="128863DE">
      <w:numFmt w:val="bullet"/>
      <w:lvlText w:val="•"/>
      <w:lvlJc w:val="left"/>
      <w:pPr>
        <w:ind w:left="585" w:hanging="284"/>
      </w:pPr>
      <w:rPr>
        <w:rFonts w:hint="default"/>
        <w:lang w:val="en-US" w:eastAsia="en-US" w:bidi="ar-SA"/>
      </w:rPr>
    </w:lvl>
    <w:lvl w:ilvl="2" w:tplc="A0987028">
      <w:numFmt w:val="bullet"/>
      <w:lvlText w:val="•"/>
      <w:lvlJc w:val="left"/>
      <w:pPr>
        <w:ind w:left="751" w:hanging="284"/>
      </w:pPr>
      <w:rPr>
        <w:rFonts w:hint="default"/>
        <w:lang w:val="en-US" w:eastAsia="en-US" w:bidi="ar-SA"/>
      </w:rPr>
    </w:lvl>
    <w:lvl w:ilvl="3" w:tplc="2C16D678">
      <w:numFmt w:val="bullet"/>
      <w:lvlText w:val="•"/>
      <w:lvlJc w:val="left"/>
      <w:pPr>
        <w:ind w:left="916" w:hanging="284"/>
      </w:pPr>
      <w:rPr>
        <w:rFonts w:hint="default"/>
        <w:lang w:val="en-US" w:eastAsia="en-US" w:bidi="ar-SA"/>
      </w:rPr>
    </w:lvl>
    <w:lvl w:ilvl="4" w:tplc="6FEE7826">
      <w:numFmt w:val="bullet"/>
      <w:lvlText w:val="•"/>
      <w:lvlJc w:val="left"/>
      <w:pPr>
        <w:ind w:left="1082" w:hanging="284"/>
      </w:pPr>
      <w:rPr>
        <w:rFonts w:hint="default"/>
        <w:lang w:val="en-US" w:eastAsia="en-US" w:bidi="ar-SA"/>
      </w:rPr>
    </w:lvl>
    <w:lvl w:ilvl="5" w:tplc="E62CAC96">
      <w:numFmt w:val="bullet"/>
      <w:lvlText w:val="•"/>
      <w:lvlJc w:val="left"/>
      <w:pPr>
        <w:ind w:left="1247" w:hanging="284"/>
      </w:pPr>
      <w:rPr>
        <w:rFonts w:hint="default"/>
        <w:lang w:val="en-US" w:eastAsia="en-US" w:bidi="ar-SA"/>
      </w:rPr>
    </w:lvl>
    <w:lvl w:ilvl="6" w:tplc="97DA32CA">
      <w:numFmt w:val="bullet"/>
      <w:lvlText w:val="•"/>
      <w:lvlJc w:val="left"/>
      <w:pPr>
        <w:ind w:left="1413" w:hanging="284"/>
      </w:pPr>
      <w:rPr>
        <w:rFonts w:hint="default"/>
        <w:lang w:val="en-US" w:eastAsia="en-US" w:bidi="ar-SA"/>
      </w:rPr>
    </w:lvl>
    <w:lvl w:ilvl="7" w:tplc="B93E0BBA">
      <w:numFmt w:val="bullet"/>
      <w:lvlText w:val="•"/>
      <w:lvlJc w:val="left"/>
      <w:pPr>
        <w:ind w:left="1578" w:hanging="284"/>
      </w:pPr>
      <w:rPr>
        <w:rFonts w:hint="default"/>
        <w:lang w:val="en-US" w:eastAsia="en-US" w:bidi="ar-SA"/>
      </w:rPr>
    </w:lvl>
    <w:lvl w:ilvl="8" w:tplc="587864A2">
      <w:numFmt w:val="bullet"/>
      <w:lvlText w:val="•"/>
      <w:lvlJc w:val="left"/>
      <w:pPr>
        <w:ind w:left="1744" w:hanging="284"/>
      </w:pPr>
      <w:rPr>
        <w:rFonts w:hint="default"/>
        <w:lang w:val="en-US" w:eastAsia="en-US" w:bidi="ar-SA"/>
      </w:rPr>
    </w:lvl>
  </w:abstractNum>
  <w:abstractNum w:abstractNumId="156" w15:restartNumberingAfterBreak="0">
    <w:nsid w:val="2679285C"/>
    <w:multiLevelType w:val="hybridMultilevel"/>
    <w:tmpl w:val="1B8AEBB0"/>
    <w:lvl w:ilvl="0" w:tplc="5B5C4982">
      <w:numFmt w:val="bullet"/>
      <w:lvlText w:val=""/>
      <w:lvlJc w:val="left"/>
      <w:pPr>
        <w:ind w:left="448" w:hanging="284"/>
      </w:pPr>
      <w:rPr>
        <w:rFonts w:ascii="Symbol" w:eastAsia="Symbol" w:hAnsi="Symbol" w:cs="Symbol" w:hint="default"/>
        <w:b w:val="0"/>
        <w:bCs w:val="0"/>
        <w:i w:val="0"/>
        <w:iCs w:val="0"/>
        <w:color w:val="70004A"/>
        <w:spacing w:val="0"/>
        <w:w w:val="100"/>
        <w:sz w:val="18"/>
        <w:szCs w:val="18"/>
        <w:lang w:val="en-US" w:eastAsia="en-US" w:bidi="ar-SA"/>
      </w:rPr>
    </w:lvl>
    <w:lvl w:ilvl="1" w:tplc="86F25108">
      <w:numFmt w:val="bullet"/>
      <w:lvlText w:val="•"/>
      <w:lvlJc w:val="left"/>
      <w:pPr>
        <w:ind w:left="603" w:hanging="284"/>
      </w:pPr>
      <w:rPr>
        <w:rFonts w:hint="default"/>
        <w:lang w:val="en-US" w:eastAsia="en-US" w:bidi="ar-SA"/>
      </w:rPr>
    </w:lvl>
    <w:lvl w:ilvl="2" w:tplc="110A0DA8">
      <w:numFmt w:val="bullet"/>
      <w:lvlText w:val="•"/>
      <w:lvlJc w:val="left"/>
      <w:pPr>
        <w:ind w:left="767" w:hanging="284"/>
      </w:pPr>
      <w:rPr>
        <w:rFonts w:hint="default"/>
        <w:lang w:val="en-US" w:eastAsia="en-US" w:bidi="ar-SA"/>
      </w:rPr>
    </w:lvl>
    <w:lvl w:ilvl="3" w:tplc="3AF2C97E">
      <w:numFmt w:val="bullet"/>
      <w:lvlText w:val="•"/>
      <w:lvlJc w:val="left"/>
      <w:pPr>
        <w:ind w:left="931" w:hanging="284"/>
      </w:pPr>
      <w:rPr>
        <w:rFonts w:hint="default"/>
        <w:lang w:val="en-US" w:eastAsia="en-US" w:bidi="ar-SA"/>
      </w:rPr>
    </w:lvl>
    <w:lvl w:ilvl="4" w:tplc="6BD68528">
      <w:numFmt w:val="bullet"/>
      <w:lvlText w:val="•"/>
      <w:lvlJc w:val="left"/>
      <w:pPr>
        <w:ind w:left="1095" w:hanging="284"/>
      </w:pPr>
      <w:rPr>
        <w:rFonts w:hint="default"/>
        <w:lang w:val="en-US" w:eastAsia="en-US" w:bidi="ar-SA"/>
      </w:rPr>
    </w:lvl>
    <w:lvl w:ilvl="5" w:tplc="BDC0FBEA">
      <w:numFmt w:val="bullet"/>
      <w:lvlText w:val="•"/>
      <w:lvlJc w:val="left"/>
      <w:pPr>
        <w:ind w:left="1259" w:hanging="284"/>
      </w:pPr>
      <w:rPr>
        <w:rFonts w:hint="default"/>
        <w:lang w:val="en-US" w:eastAsia="en-US" w:bidi="ar-SA"/>
      </w:rPr>
    </w:lvl>
    <w:lvl w:ilvl="6" w:tplc="E5B8624C">
      <w:numFmt w:val="bullet"/>
      <w:lvlText w:val="•"/>
      <w:lvlJc w:val="left"/>
      <w:pPr>
        <w:ind w:left="1422" w:hanging="284"/>
      </w:pPr>
      <w:rPr>
        <w:rFonts w:hint="default"/>
        <w:lang w:val="en-US" w:eastAsia="en-US" w:bidi="ar-SA"/>
      </w:rPr>
    </w:lvl>
    <w:lvl w:ilvl="7" w:tplc="85E409C4">
      <w:numFmt w:val="bullet"/>
      <w:lvlText w:val="•"/>
      <w:lvlJc w:val="left"/>
      <w:pPr>
        <w:ind w:left="1586" w:hanging="284"/>
      </w:pPr>
      <w:rPr>
        <w:rFonts w:hint="default"/>
        <w:lang w:val="en-US" w:eastAsia="en-US" w:bidi="ar-SA"/>
      </w:rPr>
    </w:lvl>
    <w:lvl w:ilvl="8" w:tplc="1EC0FB60">
      <w:numFmt w:val="bullet"/>
      <w:lvlText w:val="•"/>
      <w:lvlJc w:val="left"/>
      <w:pPr>
        <w:ind w:left="1750" w:hanging="284"/>
      </w:pPr>
      <w:rPr>
        <w:rFonts w:hint="default"/>
        <w:lang w:val="en-US" w:eastAsia="en-US" w:bidi="ar-SA"/>
      </w:rPr>
    </w:lvl>
  </w:abstractNum>
  <w:abstractNum w:abstractNumId="157" w15:restartNumberingAfterBreak="0">
    <w:nsid w:val="267C29D4"/>
    <w:multiLevelType w:val="hybridMultilevel"/>
    <w:tmpl w:val="B0F8ADE8"/>
    <w:lvl w:ilvl="0" w:tplc="2FFA0A08">
      <w:numFmt w:val="bullet"/>
      <w:lvlText w:val=""/>
      <w:lvlJc w:val="left"/>
      <w:pPr>
        <w:ind w:left="459" w:hanging="284"/>
      </w:pPr>
      <w:rPr>
        <w:rFonts w:ascii="Symbol" w:eastAsia="Symbol" w:hAnsi="Symbol" w:cs="Symbol" w:hint="default"/>
        <w:b w:val="0"/>
        <w:bCs w:val="0"/>
        <w:i w:val="0"/>
        <w:iCs w:val="0"/>
        <w:color w:val="70004A"/>
        <w:spacing w:val="0"/>
        <w:w w:val="100"/>
        <w:sz w:val="18"/>
        <w:szCs w:val="18"/>
        <w:lang w:val="en-US" w:eastAsia="en-US" w:bidi="ar-SA"/>
      </w:rPr>
    </w:lvl>
    <w:lvl w:ilvl="1" w:tplc="4A3C5ADC">
      <w:numFmt w:val="bullet"/>
      <w:lvlText w:val="•"/>
      <w:lvlJc w:val="left"/>
      <w:pPr>
        <w:ind w:left="790" w:hanging="284"/>
      </w:pPr>
      <w:rPr>
        <w:rFonts w:hint="default"/>
        <w:lang w:val="en-US" w:eastAsia="en-US" w:bidi="ar-SA"/>
      </w:rPr>
    </w:lvl>
    <w:lvl w:ilvl="2" w:tplc="1638AE28">
      <w:numFmt w:val="bullet"/>
      <w:lvlText w:val="•"/>
      <w:lvlJc w:val="left"/>
      <w:pPr>
        <w:ind w:left="1120" w:hanging="284"/>
      </w:pPr>
      <w:rPr>
        <w:rFonts w:hint="default"/>
        <w:lang w:val="en-US" w:eastAsia="en-US" w:bidi="ar-SA"/>
      </w:rPr>
    </w:lvl>
    <w:lvl w:ilvl="3" w:tplc="A5B20CC8">
      <w:numFmt w:val="bullet"/>
      <w:lvlText w:val="•"/>
      <w:lvlJc w:val="left"/>
      <w:pPr>
        <w:ind w:left="1450" w:hanging="284"/>
      </w:pPr>
      <w:rPr>
        <w:rFonts w:hint="default"/>
        <w:lang w:val="en-US" w:eastAsia="en-US" w:bidi="ar-SA"/>
      </w:rPr>
    </w:lvl>
    <w:lvl w:ilvl="4" w:tplc="ABCAFEAA">
      <w:numFmt w:val="bullet"/>
      <w:lvlText w:val="•"/>
      <w:lvlJc w:val="left"/>
      <w:pPr>
        <w:ind w:left="1781" w:hanging="284"/>
      </w:pPr>
      <w:rPr>
        <w:rFonts w:hint="default"/>
        <w:lang w:val="en-US" w:eastAsia="en-US" w:bidi="ar-SA"/>
      </w:rPr>
    </w:lvl>
    <w:lvl w:ilvl="5" w:tplc="53EA98FE">
      <w:numFmt w:val="bullet"/>
      <w:lvlText w:val="•"/>
      <w:lvlJc w:val="left"/>
      <w:pPr>
        <w:ind w:left="2111" w:hanging="284"/>
      </w:pPr>
      <w:rPr>
        <w:rFonts w:hint="default"/>
        <w:lang w:val="en-US" w:eastAsia="en-US" w:bidi="ar-SA"/>
      </w:rPr>
    </w:lvl>
    <w:lvl w:ilvl="6" w:tplc="F2AE80A8">
      <w:numFmt w:val="bullet"/>
      <w:lvlText w:val="•"/>
      <w:lvlJc w:val="left"/>
      <w:pPr>
        <w:ind w:left="2441" w:hanging="284"/>
      </w:pPr>
      <w:rPr>
        <w:rFonts w:hint="default"/>
        <w:lang w:val="en-US" w:eastAsia="en-US" w:bidi="ar-SA"/>
      </w:rPr>
    </w:lvl>
    <w:lvl w:ilvl="7" w:tplc="1198744C">
      <w:numFmt w:val="bullet"/>
      <w:lvlText w:val="•"/>
      <w:lvlJc w:val="left"/>
      <w:pPr>
        <w:ind w:left="2772" w:hanging="284"/>
      </w:pPr>
      <w:rPr>
        <w:rFonts w:hint="default"/>
        <w:lang w:val="en-US" w:eastAsia="en-US" w:bidi="ar-SA"/>
      </w:rPr>
    </w:lvl>
    <w:lvl w:ilvl="8" w:tplc="F3C0CEA8">
      <w:numFmt w:val="bullet"/>
      <w:lvlText w:val="•"/>
      <w:lvlJc w:val="left"/>
      <w:pPr>
        <w:ind w:left="3102" w:hanging="284"/>
      </w:pPr>
      <w:rPr>
        <w:rFonts w:hint="default"/>
        <w:lang w:val="en-US" w:eastAsia="en-US" w:bidi="ar-SA"/>
      </w:rPr>
    </w:lvl>
  </w:abstractNum>
  <w:abstractNum w:abstractNumId="158" w15:restartNumberingAfterBreak="0">
    <w:nsid w:val="26874B43"/>
    <w:multiLevelType w:val="hybridMultilevel"/>
    <w:tmpl w:val="F8103020"/>
    <w:lvl w:ilvl="0" w:tplc="B28C2250">
      <w:numFmt w:val="bullet"/>
      <w:lvlText w:val=""/>
      <w:lvlJc w:val="left"/>
      <w:pPr>
        <w:ind w:left="482" w:hanging="284"/>
      </w:pPr>
      <w:rPr>
        <w:rFonts w:ascii="Symbol" w:eastAsia="Symbol" w:hAnsi="Symbol" w:cs="Symbol" w:hint="default"/>
        <w:b w:val="0"/>
        <w:bCs w:val="0"/>
        <w:i w:val="0"/>
        <w:iCs w:val="0"/>
        <w:color w:val="70004A"/>
        <w:spacing w:val="0"/>
        <w:w w:val="100"/>
        <w:sz w:val="18"/>
        <w:szCs w:val="18"/>
        <w:lang w:val="en-US" w:eastAsia="en-US" w:bidi="ar-SA"/>
      </w:rPr>
    </w:lvl>
    <w:lvl w:ilvl="1" w:tplc="D41602EC">
      <w:numFmt w:val="bullet"/>
      <w:lvlText w:val="•"/>
      <w:lvlJc w:val="left"/>
      <w:pPr>
        <w:ind w:left="745" w:hanging="284"/>
      </w:pPr>
      <w:rPr>
        <w:rFonts w:hint="default"/>
        <w:lang w:val="en-US" w:eastAsia="en-US" w:bidi="ar-SA"/>
      </w:rPr>
    </w:lvl>
    <w:lvl w:ilvl="2" w:tplc="71D68C72">
      <w:numFmt w:val="bullet"/>
      <w:lvlText w:val="•"/>
      <w:lvlJc w:val="left"/>
      <w:pPr>
        <w:ind w:left="1010" w:hanging="284"/>
      </w:pPr>
      <w:rPr>
        <w:rFonts w:hint="default"/>
        <w:lang w:val="en-US" w:eastAsia="en-US" w:bidi="ar-SA"/>
      </w:rPr>
    </w:lvl>
    <w:lvl w:ilvl="3" w:tplc="725C9E7A">
      <w:numFmt w:val="bullet"/>
      <w:lvlText w:val="•"/>
      <w:lvlJc w:val="left"/>
      <w:pPr>
        <w:ind w:left="1275" w:hanging="284"/>
      </w:pPr>
      <w:rPr>
        <w:rFonts w:hint="default"/>
        <w:lang w:val="en-US" w:eastAsia="en-US" w:bidi="ar-SA"/>
      </w:rPr>
    </w:lvl>
    <w:lvl w:ilvl="4" w:tplc="3204388A">
      <w:numFmt w:val="bullet"/>
      <w:lvlText w:val="•"/>
      <w:lvlJc w:val="left"/>
      <w:pPr>
        <w:ind w:left="1540" w:hanging="284"/>
      </w:pPr>
      <w:rPr>
        <w:rFonts w:hint="default"/>
        <w:lang w:val="en-US" w:eastAsia="en-US" w:bidi="ar-SA"/>
      </w:rPr>
    </w:lvl>
    <w:lvl w:ilvl="5" w:tplc="87D47470">
      <w:numFmt w:val="bullet"/>
      <w:lvlText w:val="•"/>
      <w:lvlJc w:val="left"/>
      <w:pPr>
        <w:ind w:left="1805" w:hanging="284"/>
      </w:pPr>
      <w:rPr>
        <w:rFonts w:hint="default"/>
        <w:lang w:val="en-US" w:eastAsia="en-US" w:bidi="ar-SA"/>
      </w:rPr>
    </w:lvl>
    <w:lvl w:ilvl="6" w:tplc="4B18680E">
      <w:numFmt w:val="bullet"/>
      <w:lvlText w:val="•"/>
      <w:lvlJc w:val="left"/>
      <w:pPr>
        <w:ind w:left="2070" w:hanging="284"/>
      </w:pPr>
      <w:rPr>
        <w:rFonts w:hint="default"/>
        <w:lang w:val="en-US" w:eastAsia="en-US" w:bidi="ar-SA"/>
      </w:rPr>
    </w:lvl>
    <w:lvl w:ilvl="7" w:tplc="67989322">
      <w:numFmt w:val="bullet"/>
      <w:lvlText w:val="•"/>
      <w:lvlJc w:val="left"/>
      <w:pPr>
        <w:ind w:left="2335" w:hanging="284"/>
      </w:pPr>
      <w:rPr>
        <w:rFonts w:hint="default"/>
        <w:lang w:val="en-US" w:eastAsia="en-US" w:bidi="ar-SA"/>
      </w:rPr>
    </w:lvl>
    <w:lvl w:ilvl="8" w:tplc="1B8E7B9C">
      <w:numFmt w:val="bullet"/>
      <w:lvlText w:val="•"/>
      <w:lvlJc w:val="left"/>
      <w:pPr>
        <w:ind w:left="2600" w:hanging="284"/>
      </w:pPr>
      <w:rPr>
        <w:rFonts w:hint="default"/>
        <w:lang w:val="en-US" w:eastAsia="en-US" w:bidi="ar-SA"/>
      </w:rPr>
    </w:lvl>
  </w:abstractNum>
  <w:abstractNum w:abstractNumId="159" w15:restartNumberingAfterBreak="0">
    <w:nsid w:val="26C643CF"/>
    <w:multiLevelType w:val="hybridMultilevel"/>
    <w:tmpl w:val="2E1C4A64"/>
    <w:lvl w:ilvl="0" w:tplc="2CB6B172">
      <w:numFmt w:val="bullet"/>
      <w:lvlText w:val=""/>
      <w:lvlJc w:val="left"/>
      <w:pPr>
        <w:ind w:left="434" w:hanging="284"/>
      </w:pPr>
      <w:rPr>
        <w:rFonts w:ascii="Symbol" w:eastAsia="Symbol" w:hAnsi="Symbol" w:cs="Symbol" w:hint="default"/>
        <w:b w:val="0"/>
        <w:bCs w:val="0"/>
        <w:i w:val="0"/>
        <w:iCs w:val="0"/>
        <w:color w:val="70004A"/>
        <w:spacing w:val="0"/>
        <w:w w:val="100"/>
        <w:sz w:val="18"/>
        <w:szCs w:val="18"/>
        <w:lang w:val="en-US" w:eastAsia="en-US" w:bidi="ar-SA"/>
      </w:rPr>
    </w:lvl>
    <w:lvl w:ilvl="1" w:tplc="0660E1E2">
      <w:numFmt w:val="bullet"/>
      <w:lvlText w:val="•"/>
      <w:lvlJc w:val="left"/>
      <w:pPr>
        <w:ind w:left="601" w:hanging="284"/>
      </w:pPr>
      <w:rPr>
        <w:rFonts w:hint="default"/>
        <w:lang w:val="en-US" w:eastAsia="en-US" w:bidi="ar-SA"/>
      </w:rPr>
    </w:lvl>
    <w:lvl w:ilvl="2" w:tplc="35CE9ABC">
      <w:numFmt w:val="bullet"/>
      <w:lvlText w:val="•"/>
      <w:lvlJc w:val="left"/>
      <w:pPr>
        <w:ind w:left="763" w:hanging="284"/>
      </w:pPr>
      <w:rPr>
        <w:rFonts w:hint="default"/>
        <w:lang w:val="en-US" w:eastAsia="en-US" w:bidi="ar-SA"/>
      </w:rPr>
    </w:lvl>
    <w:lvl w:ilvl="3" w:tplc="C87E1710">
      <w:numFmt w:val="bullet"/>
      <w:lvlText w:val="•"/>
      <w:lvlJc w:val="left"/>
      <w:pPr>
        <w:ind w:left="925" w:hanging="284"/>
      </w:pPr>
      <w:rPr>
        <w:rFonts w:hint="default"/>
        <w:lang w:val="en-US" w:eastAsia="en-US" w:bidi="ar-SA"/>
      </w:rPr>
    </w:lvl>
    <w:lvl w:ilvl="4" w:tplc="0908B57C">
      <w:numFmt w:val="bullet"/>
      <w:lvlText w:val="•"/>
      <w:lvlJc w:val="left"/>
      <w:pPr>
        <w:ind w:left="1087" w:hanging="284"/>
      </w:pPr>
      <w:rPr>
        <w:rFonts w:hint="default"/>
        <w:lang w:val="en-US" w:eastAsia="en-US" w:bidi="ar-SA"/>
      </w:rPr>
    </w:lvl>
    <w:lvl w:ilvl="5" w:tplc="FE2EAF10">
      <w:numFmt w:val="bullet"/>
      <w:lvlText w:val="•"/>
      <w:lvlJc w:val="left"/>
      <w:pPr>
        <w:ind w:left="1249" w:hanging="284"/>
      </w:pPr>
      <w:rPr>
        <w:rFonts w:hint="default"/>
        <w:lang w:val="en-US" w:eastAsia="en-US" w:bidi="ar-SA"/>
      </w:rPr>
    </w:lvl>
    <w:lvl w:ilvl="6" w:tplc="A9A6B77A">
      <w:numFmt w:val="bullet"/>
      <w:lvlText w:val="•"/>
      <w:lvlJc w:val="left"/>
      <w:pPr>
        <w:ind w:left="1410" w:hanging="284"/>
      </w:pPr>
      <w:rPr>
        <w:rFonts w:hint="default"/>
        <w:lang w:val="en-US" w:eastAsia="en-US" w:bidi="ar-SA"/>
      </w:rPr>
    </w:lvl>
    <w:lvl w:ilvl="7" w:tplc="3C8E73DA">
      <w:numFmt w:val="bullet"/>
      <w:lvlText w:val="•"/>
      <w:lvlJc w:val="left"/>
      <w:pPr>
        <w:ind w:left="1572" w:hanging="284"/>
      </w:pPr>
      <w:rPr>
        <w:rFonts w:hint="default"/>
        <w:lang w:val="en-US" w:eastAsia="en-US" w:bidi="ar-SA"/>
      </w:rPr>
    </w:lvl>
    <w:lvl w:ilvl="8" w:tplc="F0242550">
      <w:numFmt w:val="bullet"/>
      <w:lvlText w:val="•"/>
      <w:lvlJc w:val="left"/>
      <w:pPr>
        <w:ind w:left="1734" w:hanging="284"/>
      </w:pPr>
      <w:rPr>
        <w:rFonts w:hint="default"/>
        <w:lang w:val="en-US" w:eastAsia="en-US" w:bidi="ar-SA"/>
      </w:rPr>
    </w:lvl>
  </w:abstractNum>
  <w:abstractNum w:abstractNumId="160" w15:restartNumberingAfterBreak="0">
    <w:nsid w:val="26C811A4"/>
    <w:multiLevelType w:val="hybridMultilevel"/>
    <w:tmpl w:val="DC1E0830"/>
    <w:lvl w:ilvl="0" w:tplc="962A5212">
      <w:numFmt w:val="bullet"/>
      <w:lvlText w:val=""/>
      <w:lvlJc w:val="left"/>
      <w:pPr>
        <w:ind w:left="429" w:hanging="284"/>
      </w:pPr>
      <w:rPr>
        <w:rFonts w:ascii="Symbol" w:eastAsia="Symbol" w:hAnsi="Symbol" w:cs="Symbol" w:hint="default"/>
        <w:b w:val="0"/>
        <w:bCs w:val="0"/>
        <w:i w:val="0"/>
        <w:iCs w:val="0"/>
        <w:color w:val="70004A"/>
        <w:spacing w:val="0"/>
        <w:w w:val="100"/>
        <w:sz w:val="18"/>
        <w:szCs w:val="18"/>
        <w:lang w:val="en-US" w:eastAsia="en-US" w:bidi="ar-SA"/>
      </w:rPr>
    </w:lvl>
    <w:lvl w:ilvl="1" w:tplc="12E2C184">
      <w:numFmt w:val="bullet"/>
      <w:lvlText w:val="•"/>
      <w:lvlJc w:val="left"/>
      <w:pPr>
        <w:ind w:left="593" w:hanging="284"/>
      </w:pPr>
      <w:rPr>
        <w:rFonts w:hint="default"/>
        <w:lang w:val="en-US" w:eastAsia="en-US" w:bidi="ar-SA"/>
      </w:rPr>
    </w:lvl>
    <w:lvl w:ilvl="2" w:tplc="909667C8">
      <w:numFmt w:val="bullet"/>
      <w:lvlText w:val="•"/>
      <w:lvlJc w:val="left"/>
      <w:pPr>
        <w:ind w:left="766" w:hanging="284"/>
      </w:pPr>
      <w:rPr>
        <w:rFonts w:hint="default"/>
        <w:lang w:val="en-US" w:eastAsia="en-US" w:bidi="ar-SA"/>
      </w:rPr>
    </w:lvl>
    <w:lvl w:ilvl="3" w:tplc="B9D25BDC">
      <w:numFmt w:val="bullet"/>
      <w:lvlText w:val="•"/>
      <w:lvlJc w:val="left"/>
      <w:pPr>
        <w:ind w:left="939" w:hanging="284"/>
      </w:pPr>
      <w:rPr>
        <w:rFonts w:hint="default"/>
        <w:lang w:val="en-US" w:eastAsia="en-US" w:bidi="ar-SA"/>
      </w:rPr>
    </w:lvl>
    <w:lvl w:ilvl="4" w:tplc="96A0047C">
      <w:numFmt w:val="bullet"/>
      <w:lvlText w:val="•"/>
      <w:lvlJc w:val="left"/>
      <w:pPr>
        <w:ind w:left="1112" w:hanging="284"/>
      </w:pPr>
      <w:rPr>
        <w:rFonts w:hint="default"/>
        <w:lang w:val="en-US" w:eastAsia="en-US" w:bidi="ar-SA"/>
      </w:rPr>
    </w:lvl>
    <w:lvl w:ilvl="5" w:tplc="7750A878">
      <w:numFmt w:val="bullet"/>
      <w:lvlText w:val="•"/>
      <w:lvlJc w:val="left"/>
      <w:pPr>
        <w:ind w:left="1286" w:hanging="284"/>
      </w:pPr>
      <w:rPr>
        <w:rFonts w:hint="default"/>
        <w:lang w:val="en-US" w:eastAsia="en-US" w:bidi="ar-SA"/>
      </w:rPr>
    </w:lvl>
    <w:lvl w:ilvl="6" w:tplc="A2DC5D18">
      <w:numFmt w:val="bullet"/>
      <w:lvlText w:val="•"/>
      <w:lvlJc w:val="left"/>
      <w:pPr>
        <w:ind w:left="1459" w:hanging="284"/>
      </w:pPr>
      <w:rPr>
        <w:rFonts w:hint="default"/>
        <w:lang w:val="en-US" w:eastAsia="en-US" w:bidi="ar-SA"/>
      </w:rPr>
    </w:lvl>
    <w:lvl w:ilvl="7" w:tplc="CD9A4C5C">
      <w:numFmt w:val="bullet"/>
      <w:lvlText w:val="•"/>
      <w:lvlJc w:val="left"/>
      <w:pPr>
        <w:ind w:left="1632" w:hanging="284"/>
      </w:pPr>
      <w:rPr>
        <w:rFonts w:hint="default"/>
        <w:lang w:val="en-US" w:eastAsia="en-US" w:bidi="ar-SA"/>
      </w:rPr>
    </w:lvl>
    <w:lvl w:ilvl="8" w:tplc="F386E186">
      <w:numFmt w:val="bullet"/>
      <w:lvlText w:val="•"/>
      <w:lvlJc w:val="left"/>
      <w:pPr>
        <w:ind w:left="1805" w:hanging="284"/>
      </w:pPr>
      <w:rPr>
        <w:rFonts w:hint="default"/>
        <w:lang w:val="en-US" w:eastAsia="en-US" w:bidi="ar-SA"/>
      </w:rPr>
    </w:lvl>
  </w:abstractNum>
  <w:abstractNum w:abstractNumId="161" w15:restartNumberingAfterBreak="0">
    <w:nsid w:val="26FA0466"/>
    <w:multiLevelType w:val="hybridMultilevel"/>
    <w:tmpl w:val="DEB44B3A"/>
    <w:lvl w:ilvl="0" w:tplc="6E60C7B2">
      <w:numFmt w:val="bullet"/>
      <w:lvlText w:val=""/>
      <w:lvlJc w:val="left"/>
      <w:pPr>
        <w:ind w:left="344" w:hanging="284"/>
      </w:pPr>
      <w:rPr>
        <w:rFonts w:ascii="Symbol" w:eastAsia="Symbol" w:hAnsi="Symbol" w:cs="Symbol" w:hint="default"/>
        <w:b w:val="0"/>
        <w:bCs w:val="0"/>
        <w:i w:val="0"/>
        <w:iCs w:val="0"/>
        <w:color w:val="70004A"/>
        <w:spacing w:val="0"/>
        <w:w w:val="100"/>
        <w:sz w:val="18"/>
        <w:szCs w:val="18"/>
        <w:lang w:val="en-US" w:eastAsia="en-US" w:bidi="ar-SA"/>
      </w:rPr>
    </w:lvl>
    <w:lvl w:ilvl="1" w:tplc="AF447472">
      <w:numFmt w:val="bullet"/>
      <w:lvlText w:val="•"/>
      <w:lvlJc w:val="left"/>
      <w:pPr>
        <w:ind w:left="449" w:hanging="284"/>
      </w:pPr>
      <w:rPr>
        <w:rFonts w:hint="default"/>
        <w:lang w:val="en-US" w:eastAsia="en-US" w:bidi="ar-SA"/>
      </w:rPr>
    </w:lvl>
    <w:lvl w:ilvl="2" w:tplc="964C8640">
      <w:numFmt w:val="bullet"/>
      <w:lvlText w:val="•"/>
      <w:lvlJc w:val="left"/>
      <w:pPr>
        <w:ind w:left="559" w:hanging="284"/>
      </w:pPr>
      <w:rPr>
        <w:rFonts w:hint="default"/>
        <w:lang w:val="en-US" w:eastAsia="en-US" w:bidi="ar-SA"/>
      </w:rPr>
    </w:lvl>
    <w:lvl w:ilvl="3" w:tplc="B79A26D6">
      <w:numFmt w:val="bullet"/>
      <w:lvlText w:val="•"/>
      <w:lvlJc w:val="left"/>
      <w:pPr>
        <w:ind w:left="669" w:hanging="284"/>
      </w:pPr>
      <w:rPr>
        <w:rFonts w:hint="default"/>
        <w:lang w:val="en-US" w:eastAsia="en-US" w:bidi="ar-SA"/>
      </w:rPr>
    </w:lvl>
    <w:lvl w:ilvl="4" w:tplc="523AF212">
      <w:numFmt w:val="bullet"/>
      <w:lvlText w:val="•"/>
      <w:lvlJc w:val="left"/>
      <w:pPr>
        <w:ind w:left="779" w:hanging="284"/>
      </w:pPr>
      <w:rPr>
        <w:rFonts w:hint="default"/>
        <w:lang w:val="en-US" w:eastAsia="en-US" w:bidi="ar-SA"/>
      </w:rPr>
    </w:lvl>
    <w:lvl w:ilvl="5" w:tplc="67163E0E">
      <w:numFmt w:val="bullet"/>
      <w:lvlText w:val="•"/>
      <w:lvlJc w:val="left"/>
      <w:pPr>
        <w:ind w:left="889" w:hanging="284"/>
      </w:pPr>
      <w:rPr>
        <w:rFonts w:hint="default"/>
        <w:lang w:val="en-US" w:eastAsia="en-US" w:bidi="ar-SA"/>
      </w:rPr>
    </w:lvl>
    <w:lvl w:ilvl="6" w:tplc="1A9AFA52">
      <w:numFmt w:val="bullet"/>
      <w:lvlText w:val="•"/>
      <w:lvlJc w:val="left"/>
      <w:pPr>
        <w:ind w:left="998" w:hanging="284"/>
      </w:pPr>
      <w:rPr>
        <w:rFonts w:hint="default"/>
        <w:lang w:val="en-US" w:eastAsia="en-US" w:bidi="ar-SA"/>
      </w:rPr>
    </w:lvl>
    <w:lvl w:ilvl="7" w:tplc="CE0E6B14">
      <w:numFmt w:val="bullet"/>
      <w:lvlText w:val="•"/>
      <w:lvlJc w:val="left"/>
      <w:pPr>
        <w:ind w:left="1108" w:hanging="284"/>
      </w:pPr>
      <w:rPr>
        <w:rFonts w:hint="default"/>
        <w:lang w:val="en-US" w:eastAsia="en-US" w:bidi="ar-SA"/>
      </w:rPr>
    </w:lvl>
    <w:lvl w:ilvl="8" w:tplc="34CA8FC4">
      <w:numFmt w:val="bullet"/>
      <w:lvlText w:val="•"/>
      <w:lvlJc w:val="left"/>
      <w:pPr>
        <w:ind w:left="1218" w:hanging="284"/>
      </w:pPr>
      <w:rPr>
        <w:rFonts w:hint="default"/>
        <w:lang w:val="en-US" w:eastAsia="en-US" w:bidi="ar-SA"/>
      </w:rPr>
    </w:lvl>
  </w:abstractNum>
  <w:abstractNum w:abstractNumId="162" w15:restartNumberingAfterBreak="0">
    <w:nsid w:val="26FF2EAB"/>
    <w:multiLevelType w:val="hybridMultilevel"/>
    <w:tmpl w:val="36F6FF80"/>
    <w:lvl w:ilvl="0" w:tplc="8C1A28B8">
      <w:numFmt w:val="bullet"/>
      <w:lvlText w:val=""/>
      <w:lvlJc w:val="left"/>
      <w:pPr>
        <w:ind w:left="391" w:hanging="284"/>
      </w:pPr>
      <w:rPr>
        <w:rFonts w:ascii="Symbol" w:eastAsia="Symbol" w:hAnsi="Symbol" w:cs="Symbol" w:hint="default"/>
        <w:b w:val="0"/>
        <w:bCs w:val="0"/>
        <w:i w:val="0"/>
        <w:iCs w:val="0"/>
        <w:color w:val="70004A"/>
        <w:spacing w:val="0"/>
        <w:w w:val="100"/>
        <w:sz w:val="18"/>
        <w:szCs w:val="18"/>
        <w:lang w:val="en-US" w:eastAsia="en-US" w:bidi="ar-SA"/>
      </w:rPr>
    </w:lvl>
    <w:lvl w:ilvl="1" w:tplc="77628702">
      <w:numFmt w:val="bullet"/>
      <w:lvlText w:val="•"/>
      <w:lvlJc w:val="left"/>
      <w:pPr>
        <w:ind w:left="636" w:hanging="284"/>
      </w:pPr>
      <w:rPr>
        <w:rFonts w:hint="default"/>
        <w:lang w:val="en-US" w:eastAsia="en-US" w:bidi="ar-SA"/>
      </w:rPr>
    </w:lvl>
    <w:lvl w:ilvl="2" w:tplc="DD9092CC">
      <w:numFmt w:val="bullet"/>
      <w:lvlText w:val="•"/>
      <w:lvlJc w:val="left"/>
      <w:pPr>
        <w:ind w:left="872" w:hanging="284"/>
      </w:pPr>
      <w:rPr>
        <w:rFonts w:hint="default"/>
        <w:lang w:val="en-US" w:eastAsia="en-US" w:bidi="ar-SA"/>
      </w:rPr>
    </w:lvl>
    <w:lvl w:ilvl="3" w:tplc="01521292">
      <w:numFmt w:val="bullet"/>
      <w:lvlText w:val="•"/>
      <w:lvlJc w:val="left"/>
      <w:pPr>
        <w:ind w:left="1108" w:hanging="284"/>
      </w:pPr>
      <w:rPr>
        <w:rFonts w:hint="default"/>
        <w:lang w:val="en-US" w:eastAsia="en-US" w:bidi="ar-SA"/>
      </w:rPr>
    </w:lvl>
    <w:lvl w:ilvl="4" w:tplc="D344979C">
      <w:numFmt w:val="bullet"/>
      <w:lvlText w:val="•"/>
      <w:lvlJc w:val="left"/>
      <w:pPr>
        <w:ind w:left="1344" w:hanging="284"/>
      </w:pPr>
      <w:rPr>
        <w:rFonts w:hint="default"/>
        <w:lang w:val="en-US" w:eastAsia="en-US" w:bidi="ar-SA"/>
      </w:rPr>
    </w:lvl>
    <w:lvl w:ilvl="5" w:tplc="D72C4434">
      <w:numFmt w:val="bullet"/>
      <w:lvlText w:val="•"/>
      <w:lvlJc w:val="left"/>
      <w:pPr>
        <w:ind w:left="1580" w:hanging="284"/>
      </w:pPr>
      <w:rPr>
        <w:rFonts w:hint="default"/>
        <w:lang w:val="en-US" w:eastAsia="en-US" w:bidi="ar-SA"/>
      </w:rPr>
    </w:lvl>
    <w:lvl w:ilvl="6" w:tplc="0150D25A">
      <w:numFmt w:val="bullet"/>
      <w:lvlText w:val="•"/>
      <w:lvlJc w:val="left"/>
      <w:pPr>
        <w:ind w:left="1816" w:hanging="284"/>
      </w:pPr>
      <w:rPr>
        <w:rFonts w:hint="default"/>
        <w:lang w:val="en-US" w:eastAsia="en-US" w:bidi="ar-SA"/>
      </w:rPr>
    </w:lvl>
    <w:lvl w:ilvl="7" w:tplc="7982D086">
      <w:numFmt w:val="bullet"/>
      <w:lvlText w:val="•"/>
      <w:lvlJc w:val="left"/>
      <w:pPr>
        <w:ind w:left="2052" w:hanging="284"/>
      </w:pPr>
      <w:rPr>
        <w:rFonts w:hint="default"/>
        <w:lang w:val="en-US" w:eastAsia="en-US" w:bidi="ar-SA"/>
      </w:rPr>
    </w:lvl>
    <w:lvl w:ilvl="8" w:tplc="32A2D00E">
      <w:numFmt w:val="bullet"/>
      <w:lvlText w:val="•"/>
      <w:lvlJc w:val="left"/>
      <w:pPr>
        <w:ind w:left="2288" w:hanging="284"/>
      </w:pPr>
      <w:rPr>
        <w:rFonts w:hint="default"/>
        <w:lang w:val="en-US" w:eastAsia="en-US" w:bidi="ar-SA"/>
      </w:rPr>
    </w:lvl>
  </w:abstractNum>
  <w:abstractNum w:abstractNumId="163" w15:restartNumberingAfterBreak="0">
    <w:nsid w:val="27A34397"/>
    <w:multiLevelType w:val="hybridMultilevel"/>
    <w:tmpl w:val="1D78FF2C"/>
    <w:lvl w:ilvl="0" w:tplc="D3748FDE">
      <w:numFmt w:val="bullet"/>
      <w:lvlText w:val=""/>
      <w:lvlJc w:val="left"/>
      <w:pPr>
        <w:ind w:left="460" w:hanging="284"/>
      </w:pPr>
      <w:rPr>
        <w:rFonts w:ascii="Symbol" w:eastAsia="Symbol" w:hAnsi="Symbol" w:cs="Symbol" w:hint="default"/>
        <w:b/>
        <w:bCs/>
        <w:i w:val="0"/>
        <w:iCs w:val="0"/>
        <w:color w:val="70004A"/>
        <w:spacing w:val="0"/>
        <w:w w:val="100"/>
        <w:sz w:val="18"/>
        <w:szCs w:val="18"/>
        <w:lang w:val="en-US" w:eastAsia="en-US" w:bidi="ar-SA"/>
      </w:rPr>
    </w:lvl>
    <w:lvl w:ilvl="1" w:tplc="8AB0290E">
      <w:numFmt w:val="bullet"/>
      <w:lvlText w:val="•"/>
      <w:lvlJc w:val="left"/>
      <w:pPr>
        <w:ind w:left="631" w:hanging="284"/>
      </w:pPr>
      <w:rPr>
        <w:rFonts w:hint="default"/>
        <w:lang w:val="en-US" w:eastAsia="en-US" w:bidi="ar-SA"/>
      </w:rPr>
    </w:lvl>
    <w:lvl w:ilvl="2" w:tplc="790E9F80">
      <w:numFmt w:val="bullet"/>
      <w:lvlText w:val="•"/>
      <w:lvlJc w:val="left"/>
      <w:pPr>
        <w:ind w:left="803" w:hanging="284"/>
      </w:pPr>
      <w:rPr>
        <w:rFonts w:hint="default"/>
        <w:lang w:val="en-US" w:eastAsia="en-US" w:bidi="ar-SA"/>
      </w:rPr>
    </w:lvl>
    <w:lvl w:ilvl="3" w:tplc="93C43F26">
      <w:numFmt w:val="bullet"/>
      <w:lvlText w:val="•"/>
      <w:lvlJc w:val="left"/>
      <w:pPr>
        <w:ind w:left="975" w:hanging="284"/>
      </w:pPr>
      <w:rPr>
        <w:rFonts w:hint="default"/>
        <w:lang w:val="en-US" w:eastAsia="en-US" w:bidi="ar-SA"/>
      </w:rPr>
    </w:lvl>
    <w:lvl w:ilvl="4" w:tplc="1418241E">
      <w:numFmt w:val="bullet"/>
      <w:lvlText w:val="•"/>
      <w:lvlJc w:val="left"/>
      <w:pPr>
        <w:ind w:left="1147" w:hanging="284"/>
      </w:pPr>
      <w:rPr>
        <w:rFonts w:hint="default"/>
        <w:lang w:val="en-US" w:eastAsia="en-US" w:bidi="ar-SA"/>
      </w:rPr>
    </w:lvl>
    <w:lvl w:ilvl="5" w:tplc="1D5A877C">
      <w:numFmt w:val="bullet"/>
      <w:lvlText w:val="•"/>
      <w:lvlJc w:val="left"/>
      <w:pPr>
        <w:ind w:left="1319" w:hanging="284"/>
      </w:pPr>
      <w:rPr>
        <w:rFonts w:hint="default"/>
        <w:lang w:val="en-US" w:eastAsia="en-US" w:bidi="ar-SA"/>
      </w:rPr>
    </w:lvl>
    <w:lvl w:ilvl="6" w:tplc="29AC14B4">
      <w:numFmt w:val="bullet"/>
      <w:lvlText w:val="•"/>
      <w:lvlJc w:val="left"/>
      <w:pPr>
        <w:ind w:left="1490" w:hanging="284"/>
      </w:pPr>
      <w:rPr>
        <w:rFonts w:hint="default"/>
        <w:lang w:val="en-US" w:eastAsia="en-US" w:bidi="ar-SA"/>
      </w:rPr>
    </w:lvl>
    <w:lvl w:ilvl="7" w:tplc="8E1C4748">
      <w:numFmt w:val="bullet"/>
      <w:lvlText w:val="•"/>
      <w:lvlJc w:val="left"/>
      <w:pPr>
        <w:ind w:left="1662" w:hanging="284"/>
      </w:pPr>
      <w:rPr>
        <w:rFonts w:hint="default"/>
        <w:lang w:val="en-US" w:eastAsia="en-US" w:bidi="ar-SA"/>
      </w:rPr>
    </w:lvl>
    <w:lvl w:ilvl="8" w:tplc="052259BA">
      <w:numFmt w:val="bullet"/>
      <w:lvlText w:val="•"/>
      <w:lvlJc w:val="left"/>
      <w:pPr>
        <w:ind w:left="1834" w:hanging="284"/>
      </w:pPr>
      <w:rPr>
        <w:rFonts w:hint="default"/>
        <w:lang w:val="en-US" w:eastAsia="en-US" w:bidi="ar-SA"/>
      </w:rPr>
    </w:lvl>
  </w:abstractNum>
  <w:abstractNum w:abstractNumId="164" w15:restartNumberingAfterBreak="0">
    <w:nsid w:val="283C3836"/>
    <w:multiLevelType w:val="hybridMultilevel"/>
    <w:tmpl w:val="4D96D35C"/>
    <w:lvl w:ilvl="0" w:tplc="F3C468A2">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8196CAA6">
      <w:numFmt w:val="bullet"/>
      <w:lvlText w:val="•"/>
      <w:lvlJc w:val="left"/>
      <w:pPr>
        <w:ind w:left="636" w:hanging="284"/>
      </w:pPr>
      <w:rPr>
        <w:rFonts w:hint="default"/>
        <w:lang w:val="en-US" w:eastAsia="en-US" w:bidi="ar-SA"/>
      </w:rPr>
    </w:lvl>
    <w:lvl w:ilvl="2" w:tplc="01B4B288">
      <w:numFmt w:val="bullet"/>
      <w:lvlText w:val="•"/>
      <w:lvlJc w:val="left"/>
      <w:pPr>
        <w:ind w:left="872" w:hanging="284"/>
      </w:pPr>
      <w:rPr>
        <w:rFonts w:hint="default"/>
        <w:lang w:val="en-US" w:eastAsia="en-US" w:bidi="ar-SA"/>
      </w:rPr>
    </w:lvl>
    <w:lvl w:ilvl="3" w:tplc="83E67476">
      <w:numFmt w:val="bullet"/>
      <w:lvlText w:val="•"/>
      <w:lvlJc w:val="left"/>
      <w:pPr>
        <w:ind w:left="1108" w:hanging="284"/>
      </w:pPr>
      <w:rPr>
        <w:rFonts w:hint="default"/>
        <w:lang w:val="en-US" w:eastAsia="en-US" w:bidi="ar-SA"/>
      </w:rPr>
    </w:lvl>
    <w:lvl w:ilvl="4" w:tplc="3502D786">
      <w:numFmt w:val="bullet"/>
      <w:lvlText w:val="•"/>
      <w:lvlJc w:val="left"/>
      <w:pPr>
        <w:ind w:left="1344" w:hanging="284"/>
      </w:pPr>
      <w:rPr>
        <w:rFonts w:hint="default"/>
        <w:lang w:val="en-US" w:eastAsia="en-US" w:bidi="ar-SA"/>
      </w:rPr>
    </w:lvl>
    <w:lvl w:ilvl="5" w:tplc="CE0A148A">
      <w:numFmt w:val="bullet"/>
      <w:lvlText w:val="•"/>
      <w:lvlJc w:val="left"/>
      <w:pPr>
        <w:ind w:left="1580" w:hanging="284"/>
      </w:pPr>
      <w:rPr>
        <w:rFonts w:hint="default"/>
        <w:lang w:val="en-US" w:eastAsia="en-US" w:bidi="ar-SA"/>
      </w:rPr>
    </w:lvl>
    <w:lvl w:ilvl="6" w:tplc="4ED0D1D2">
      <w:numFmt w:val="bullet"/>
      <w:lvlText w:val="•"/>
      <w:lvlJc w:val="left"/>
      <w:pPr>
        <w:ind w:left="1816" w:hanging="284"/>
      </w:pPr>
      <w:rPr>
        <w:rFonts w:hint="default"/>
        <w:lang w:val="en-US" w:eastAsia="en-US" w:bidi="ar-SA"/>
      </w:rPr>
    </w:lvl>
    <w:lvl w:ilvl="7" w:tplc="F642D316">
      <w:numFmt w:val="bullet"/>
      <w:lvlText w:val="•"/>
      <w:lvlJc w:val="left"/>
      <w:pPr>
        <w:ind w:left="2052" w:hanging="284"/>
      </w:pPr>
      <w:rPr>
        <w:rFonts w:hint="default"/>
        <w:lang w:val="en-US" w:eastAsia="en-US" w:bidi="ar-SA"/>
      </w:rPr>
    </w:lvl>
    <w:lvl w:ilvl="8" w:tplc="93A6D188">
      <w:numFmt w:val="bullet"/>
      <w:lvlText w:val="•"/>
      <w:lvlJc w:val="left"/>
      <w:pPr>
        <w:ind w:left="2288" w:hanging="284"/>
      </w:pPr>
      <w:rPr>
        <w:rFonts w:hint="default"/>
        <w:lang w:val="en-US" w:eastAsia="en-US" w:bidi="ar-SA"/>
      </w:rPr>
    </w:lvl>
  </w:abstractNum>
  <w:abstractNum w:abstractNumId="165" w15:restartNumberingAfterBreak="0">
    <w:nsid w:val="283E096C"/>
    <w:multiLevelType w:val="hybridMultilevel"/>
    <w:tmpl w:val="48347EC4"/>
    <w:lvl w:ilvl="0" w:tplc="BE66D160">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D75EBB5E">
      <w:numFmt w:val="bullet"/>
      <w:lvlText w:val="•"/>
      <w:lvlJc w:val="left"/>
      <w:pPr>
        <w:ind w:left="650" w:hanging="284"/>
      </w:pPr>
      <w:rPr>
        <w:rFonts w:hint="default"/>
        <w:lang w:val="en-US" w:eastAsia="en-US" w:bidi="ar-SA"/>
      </w:rPr>
    </w:lvl>
    <w:lvl w:ilvl="2" w:tplc="B2421242">
      <w:numFmt w:val="bullet"/>
      <w:lvlText w:val="•"/>
      <w:lvlJc w:val="left"/>
      <w:pPr>
        <w:ind w:left="921" w:hanging="284"/>
      </w:pPr>
      <w:rPr>
        <w:rFonts w:hint="default"/>
        <w:lang w:val="en-US" w:eastAsia="en-US" w:bidi="ar-SA"/>
      </w:rPr>
    </w:lvl>
    <w:lvl w:ilvl="3" w:tplc="DEF4B01E">
      <w:numFmt w:val="bullet"/>
      <w:lvlText w:val="•"/>
      <w:lvlJc w:val="left"/>
      <w:pPr>
        <w:ind w:left="1191" w:hanging="284"/>
      </w:pPr>
      <w:rPr>
        <w:rFonts w:hint="default"/>
        <w:lang w:val="en-US" w:eastAsia="en-US" w:bidi="ar-SA"/>
      </w:rPr>
    </w:lvl>
    <w:lvl w:ilvl="4" w:tplc="DE4243BC">
      <w:numFmt w:val="bullet"/>
      <w:lvlText w:val="•"/>
      <w:lvlJc w:val="left"/>
      <w:pPr>
        <w:ind w:left="1462" w:hanging="284"/>
      </w:pPr>
      <w:rPr>
        <w:rFonts w:hint="default"/>
        <w:lang w:val="en-US" w:eastAsia="en-US" w:bidi="ar-SA"/>
      </w:rPr>
    </w:lvl>
    <w:lvl w:ilvl="5" w:tplc="D2D27A4C">
      <w:numFmt w:val="bullet"/>
      <w:lvlText w:val="•"/>
      <w:lvlJc w:val="left"/>
      <w:pPr>
        <w:ind w:left="1733" w:hanging="284"/>
      </w:pPr>
      <w:rPr>
        <w:rFonts w:hint="default"/>
        <w:lang w:val="en-US" w:eastAsia="en-US" w:bidi="ar-SA"/>
      </w:rPr>
    </w:lvl>
    <w:lvl w:ilvl="6" w:tplc="4F9221B2">
      <w:numFmt w:val="bullet"/>
      <w:lvlText w:val="•"/>
      <w:lvlJc w:val="left"/>
      <w:pPr>
        <w:ind w:left="2003" w:hanging="284"/>
      </w:pPr>
      <w:rPr>
        <w:rFonts w:hint="default"/>
        <w:lang w:val="en-US" w:eastAsia="en-US" w:bidi="ar-SA"/>
      </w:rPr>
    </w:lvl>
    <w:lvl w:ilvl="7" w:tplc="17160484">
      <w:numFmt w:val="bullet"/>
      <w:lvlText w:val="•"/>
      <w:lvlJc w:val="left"/>
      <w:pPr>
        <w:ind w:left="2274" w:hanging="284"/>
      </w:pPr>
      <w:rPr>
        <w:rFonts w:hint="default"/>
        <w:lang w:val="en-US" w:eastAsia="en-US" w:bidi="ar-SA"/>
      </w:rPr>
    </w:lvl>
    <w:lvl w:ilvl="8" w:tplc="94D29F24">
      <w:numFmt w:val="bullet"/>
      <w:lvlText w:val="•"/>
      <w:lvlJc w:val="left"/>
      <w:pPr>
        <w:ind w:left="2544" w:hanging="284"/>
      </w:pPr>
      <w:rPr>
        <w:rFonts w:hint="default"/>
        <w:lang w:val="en-US" w:eastAsia="en-US" w:bidi="ar-SA"/>
      </w:rPr>
    </w:lvl>
  </w:abstractNum>
  <w:abstractNum w:abstractNumId="166" w15:restartNumberingAfterBreak="0">
    <w:nsid w:val="284A6141"/>
    <w:multiLevelType w:val="hybridMultilevel"/>
    <w:tmpl w:val="669A778A"/>
    <w:lvl w:ilvl="0" w:tplc="8ADA72E6">
      <w:numFmt w:val="bullet"/>
      <w:lvlText w:val=""/>
      <w:lvlJc w:val="left"/>
      <w:pPr>
        <w:ind w:left="455" w:hanging="284"/>
      </w:pPr>
      <w:rPr>
        <w:rFonts w:ascii="Symbol" w:eastAsia="Symbol" w:hAnsi="Symbol" w:cs="Symbol" w:hint="default"/>
        <w:b w:val="0"/>
        <w:bCs w:val="0"/>
        <w:i w:val="0"/>
        <w:iCs w:val="0"/>
        <w:color w:val="70004A"/>
        <w:spacing w:val="0"/>
        <w:w w:val="100"/>
        <w:sz w:val="18"/>
        <w:szCs w:val="18"/>
        <w:lang w:val="en-US" w:eastAsia="en-US" w:bidi="ar-SA"/>
      </w:rPr>
    </w:lvl>
    <w:lvl w:ilvl="1" w:tplc="5C128CB2">
      <w:numFmt w:val="bullet"/>
      <w:lvlText w:val="•"/>
      <w:lvlJc w:val="left"/>
      <w:pPr>
        <w:ind w:left="741" w:hanging="284"/>
      </w:pPr>
      <w:rPr>
        <w:rFonts w:hint="default"/>
        <w:lang w:val="en-US" w:eastAsia="en-US" w:bidi="ar-SA"/>
      </w:rPr>
    </w:lvl>
    <w:lvl w:ilvl="2" w:tplc="06900A2A">
      <w:numFmt w:val="bullet"/>
      <w:lvlText w:val="•"/>
      <w:lvlJc w:val="left"/>
      <w:pPr>
        <w:ind w:left="1023" w:hanging="284"/>
      </w:pPr>
      <w:rPr>
        <w:rFonts w:hint="default"/>
        <w:lang w:val="en-US" w:eastAsia="en-US" w:bidi="ar-SA"/>
      </w:rPr>
    </w:lvl>
    <w:lvl w:ilvl="3" w:tplc="320EB828">
      <w:numFmt w:val="bullet"/>
      <w:lvlText w:val="•"/>
      <w:lvlJc w:val="left"/>
      <w:pPr>
        <w:ind w:left="1304" w:hanging="284"/>
      </w:pPr>
      <w:rPr>
        <w:rFonts w:hint="default"/>
        <w:lang w:val="en-US" w:eastAsia="en-US" w:bidi="ar-SA"/>
      </w:rPr>
    </w:lvl>
    <w:lvl w:ilvl="4" w:tplc="716EFF66">
      <w:numFmt w:val="bullet"/>
      <w:lvlText w:val="•"/>
      <w:lvlJc w:val="left"/>
      <w:pPr>
        <w:ind w:left="1586" w:hanging="284"/>
      </w:pPr>
      <w:rPr>
        <w:rFonts w:hint="default"/>
        <w:lang w:val="en-US" w:eastAsia="en-US" w:bidi="ar-SA"/>
      </w:rPr>
    </w:lvl>
    <w:lvl w:ilvl="5" w:tplc="AD1C7DEC">
      <w:numFmt w:val="bullet"/>
      <w:lvlText w:val="•"/>
      <w:lvlJc w:val="left"/>
      <w:pPr>
        <w:ind w:left="1868" w:hanging="284"/>
      </w:pPr>
      <w:rPr>
        <w:rFonts w:hint="default"/>
        <w:lang w:val="en-US" w:eastAsia="en-US" w:bidi="ar-SA"/>
      </w:rPr>
    </w:lvl>
    <w:lvl w:ilvl="6" w:tplc="323CAB60">
      <w:numFmt w:val="bullet"/>
      <w:lvlText w:val="•"/>
      <w:lvlJc w:val="left"/>
      <w:pPr>
        <w:ind w:left="2149" w:hanging="284"/>
      </w:pPr>
      <w:rPr>
        <w:rFonts w:hint="default"/>
        <w:lang w:val="en-US" w:eastAsia="en-US" w:bidi="ar-SA"/>
      </w:rPr>
    </w:lvl>
    <w:lvl w:ilvl="7" w:tplc="F6A4AE82">
      <w:numFmt w:val="bullet"/>
      <w:lvlText w:val="•"/>
      <w:lvlJc w:val="left"/>
      <w:pPr>
        <w:ind w:left="2431" w:hanging="284"/>
      </w:pPr>
      <w:rPr>
        <w:rFonts w:hint="default"/>
        <w:lang w:val="en-US" w:eastAsia="en-US" w:bidi="ar-SA"/>
      </w:rPr>
    </w:lvl>
    <w:lvl w:ilvl="8" w:tplc="46F0FA0A">
      <w:numFmt w:val="bullet"/>
      <w:lvlText w:val="•"/>
      <w:lvlJc w:val="left"/>
      <w:pPr>
        <w:ind w:left="2712" w:hanging="284"/>
      </w:pPr>
      <w:rPr>
        <w:rFonts w:hint="default"/>
        <w:lang w:val="en-US" w:eastAsia="en-US" w:bidi="ar-SA"/>
      </w:rPr>
    </w:lvl>
  </w:abstractNum>
  <w:abstractNum w:abstractNumId="167" w15:restartNumberingAfterBreak="0">
    <w:nsid w:val="2874275C"/>
    <w:multiLevelType w:val="hybridMultilevel"/>
    <w:tmpl w:val="5B381114"/>
    <w:lvl w:ilvl="0" w:tplc="9A30B214">
      <w:numFmt w:val="bullet"/>
      <w:lvlText w:val=""/>
      <w:lvlJc w:val="left"/>
      <w:pPr>
        <w:ind w:left="452" w:hanging="284"/>
      </w:pPr>
      <w:rPr>
        <w:rFonts w:ascii="Symbol" w:eastAsia="Symbol" w:hAnsi="Symbol" w:cs="Symbol" w:hint="default"/>
        <w:b w:val="0"/>
        <w:bCs w:val="0"/>
        <w:i w:val="0"/>
        <w:iCs w:val="0"/>
        <w:color w:val="70004A"/>
        <w:spacing w:val="0"/>
        <w:w w:val="100"/>
        <w:sz w:val="18"/>
        <w:szCs w:val="18"/>
        <w:lang w:val="en-US" w:eastAsia="en-US" w:bidi="ar-SA"/>
      </w:rPr>
    </w:lvl>
    <w:lvl w:ilvl="1" w:tplc="5CC2FE62">
      <w:numFmt w:val="bullet"/>
      <w:lvlText w:val="•"/>
      <w:lvlJc w:val="left"/>
      <w:pPr>
        <w:ind w:left="724" w:hanging="284"/>
      </w:pPr>
      <w:rPr>
        <w:rFonts w:hint="default"/>
        <w:lang w:val="en-US" w:eastAsia="en-US" w:bidi="ar-SA"/>
      </w:rPr>
    </w:lvl>
    <w:lvl w:ilvl="2" w:tplc="B03EAC58">
      <w:numFmt w:val="bullet"/>
      <w:lvlText w:val="•"/>
      <w:lvlJc w:val="left"/>
      <w:pPr>
        <w:ind w:left="988" w:hanging="284"/>
      </w:pPr>
      <w:rPr>
        <w:rFonts w:hint="default"/>
        <w:lang w:val="en-US" w:eastAsia="en-US" w:bidi="ar-SA"/>
      </w:rPr>
    </w:lvl>
    <w:lvl w:ilvl="3" w:tplc="55D8AF1E">
      <w:numFmt w:val="bullet"/>
      <w:lvlText w:val="•"/>
      <w:lvlJc w:val="left"/>
      <w:pPr>
        <w:ind w:left="1252" w:hanging="284"/>
      </w:pPr>
      <w:rPr>
        <w:rFonts w:hint="default"/>
        <w:lang w:val="en-US" w:eastAsia="en-US" w:bidi="ar-SA"/>
      </w:rPr>
    </w:lvl>
    <w:lvl w:ilvl="4" w:tplc="C8027B82">
      <w:numFmt w:val="bullet"/>
      <w:lvlText w:val="•"/>
      <w:lvlJc w:val="left"/>
      <w:pPr>
        <w:ind w:left="1517" w:hanging="284"/>
      </w:pPr>
      <w:rPr>
        <w:rFonts w:hint="default"/>
        <w:lang w:val="en-US" w:eastAsia="en-US" w:bidi="ar-SA"/>
      </w:rPr>
    </w:lvl>
    <w:lvl w:ilvl="5" w:tplc="AC3E6076">
      <w:numFmt w:val="bullet"/>
      <w:lvlText w:val="•"/>
      <w:lvlJc w:val="left"/>
      <w:pPr>
        <w:ind w:left="1781" w:hanging="284"/>
      </w:pPr>
      <w:rPr>
        <w:rFonts w:hint="default"/>
        <w:lang w:val="en-US" w:eastAsia="en-US" w:bidi="ar-SA"/>
      </w:rPr>
    </w:lvl>
    <w:lvl w:ilvl="6" w:tplc="2484360E">
      <w:numFmt w:val="bullet"/>
      <w:lvlText w:val="•"/>
      <w:lvlJc w:val="left"/>
      <w:pPr>
        <w:ind w:left="2045" w:hanging="284"/>
      </w:pPr>
      <w:rPr>
        <w:rFonts w:hint="default"/>
        <w:lang w:val="en-US" w:eastAsia="en-US" w:bidi="ar-SA"/>
      </w:rPr>
    </w:lvl>
    <w:lvl w:ilvl="7" w:tplc="3A4E3154">
      <w:numFmt w:val="bullet"/>
      <w:lvlText w:val="•"/>
      <w:lvlJc w:val="left"/>
      <w:pPr>
        <w:ind w:left="2310" w:hanging="284"/>
      </w:pPr>
      <w:rPr>
        <w:rFonts w:hint="default"/>
        <w:lang w:val="en-US" w:eastAsia="en-US" w:bidi="ar-SA"/>
      </w:rPr>
    </w:lvl>
    <w:lvl w:ilvl="8" w:tplc="DF4AB75C">
      <w:numFmt w:val="bullet"/>
      <w:lvlText w:val="•"/>
      <w:lvlJc w:val="left"/>
      <w:pPr>
        <w:ind w:left="2574" w:hanging="284"/>
      </w:pPr>
      <w:rPr>
        <w:rFonts w:hint="default"/>
        <w:lang w:val="en-US" w:eastAsia="en-US" w:bidi="ar-SA"/>
      </w:rPr>
    </w:lvl>
  </w:abstractNum>
  <w:abstractNum w:abstractNumId="168" w15:restartNumberingAfterBreak="0">
    <w:nsid w:val="28A85DF5"/>
    <w:multiLevelType w:val="hybridMultilevel"/>
    <w:tmpl w:val="73F4D966"/>
    <w:lvl w:ilvl="0" w:tplc="A53C97FC">
      <w:numFmt w:val="bullet"/>
      <w:lvlText w:val=""/>
      <w:lvlJc w:val="left"/>
      <w:pPr>
        <w:ind w:left="360" w:hanging="360"/>
      </w:pPr>
      <w:rPr>
        <w:rFonts w:ascii="Symbol" w:eastAsia="Symbol" w:hAnsi="Symbol" w:cs="Symbol" w:hint="default"/>
        <w:b w:val="0"/>
        <w:bCs w:val="0"/>
        <w:i w:val="0"/>
        <w:iCs w:val="0"/>
        <w:color w:val="70004A"/>
        <w:spacing w:val="0"/>
        <w:w w:val="100"/>
        <w:sz w:val="20"/>
        <w:szCs w:val="20"/>
        <w:lang w:val="en-US" w:eastAsia="en-US" w:bidi="ar-SA"/>
      </w:rPr>
    </w:lvl>
    <w:lvl w:ilvl="1" w:tplc="49383A90">
      <w:numFmt w:val="bullet"/>
      <w:lvlText w:val="•"/>
      <w:lvlJc w:val="left"/>
      <w:pPr>
        <w:ind w:left="1286" w:hanging="360"/>
      </w:pPr>
      <w:rPr>
        <w:rFonts w:hint="default"/>
        <w:lang w:val="en-US" w:eastAsia="en-US" w:bidi="ar-SA"/>
      </w:rPr>
    </w:lvl>
    <w:lvl w:ilvl="2" w:tplc="2D18573E">
      <w:numFmt w:val="bullet"/>
      <w:lvlText w:val="•"/>
      <w:lvlJc w:val="left"/>
      <w:pPr>
        <w:ind w:left="2214" w:hanging="360"/>
      </w:pPr>
      <w:rPr>
        <w:rFonts w:hint="default"/>
        <w:lang w:val="en-US" w:eastAsia="en-US" w:bidi="ar-SA"/>
      </w:rPr>
    </w:lvl>
    <w:lvl w:ilvl="3" w:tplc="472819DE">
      <w:numFmt w:val="bullet"/>
      <w:lvlText w:val="•"/>
      <w:lvlJc w:val="left"/>
      <w:pPr>
        <w:ind w:left="3142" w:hanging="360"/>
      </w:pPr>
      <w:rPr>
        <w:rFonts w:hint="default"/>
        <w:lang w:val="en-US" w:eastAsia="en-US" w:bidi="ar-SA"/>
      </w:rPr>
    </w:lvl>
    <w:lvl w:ilvl="4" w:tplc="D4EC045A">
      <w:numFmt w:val="bullet"/>
      <w:lvlText w:val="•"/>
      <w:lvlJc w:val="left"/>
      <w:pPr>
        <w:ind w:left="4070" w:hanging="360"/>
      </w:pPr>
      <w:rPr>
        <w:rFonts w:hint="default"/>
        <w:lang w:val="en-US" w:eastAsia="en-US" w:bidi="ar-SA"/>
      </w:rPr>
    </w:lvl>
    <w:lvl w:ilvl="5" w:tplc="2D429130">
      <w:numFmt w:val="bullet"/>
      <w:lvlText w:val="•"/>
      <w:lvlJc w:val="left"/>
      <w:pPr>
        <w:ind w:left="4998" w:hanging="360"/>
      </w:pPr>
      <w:rPr>
        <w:rFonts w:hint="default"/>
        <w:lang w:val="en-US" w:eastAsia="en-US" w:bidi="ar-SA"/>
      </w:rPr>
    </w:lvl>
    <w:lvl w:ilvl="6" w:tplc="6DB63892">
      <w:numFmt w:val="bullet"/>
      <w:lvlText w:val="•"/>
      <w:lvlJc w:val="left"/>
      <w:pPr>
        <w:ind w:left="5926" w:hanging="360"/>
      </w:pPr>
      <w:rPr>
        <w:rFonts w:hint="default"/>
        <w:lang w:val="en-US" w:eastAsia="en-US" w:bidi="ar-SA"/>
      </w:rPr>
    </w:lvl>
    <w:lvl w:ilvl="7" w:tplc="86B2BD30">
      <w:numFmt w:val="bullet"/>
      <w:lvlText w:val="•"/>
      <w:lvlJc w:val="left"/>
      <w:pPr>
        <w:ind w:left="6854" w:hanging="360"/>
      </w:pPr>
      <w:rPr>
        <w:rFonts w:hint="default"/>
        <w:lang w:val="en-US" w:eastAsia="en-US" w:bidi="ar-SA"/>
      </w:rPr>
    </w:lvl>
    <w:lvl w:ilvl="8" w:tplc="82A80968">
      <w:numFmt w:val="bullet"/>
      <w:lvlText w:val="•"/>
      <w:lvlJc w:val="left"/>
      <w:pPr>
        <w:ind w:left="7783" w:hanging="360"/>
      </w:pPr>
      <w:rPr>
        <w:rFonts w:hint="default"/>
        <w:lang w:val="en-US" w:eastAsia="en-US" w:bidi="ar-SA"/>
      </w:rPr>
    </w:lvl>
  </w:abstractNum>
  <w:abstractNum w:abstractNumId="169" w15:restartNumberingAfterBreak="0">
    <w:nsid w:val="28C25B8A"/>
    <w:multiLevelType w:val="hybridMultilevel"/>
    <w:tmpl w:val="133C3F98"/>
    <w:lvl w:ilvl="0" w:tplc="15608080">
      <w:numFmt w:val="bullet"/>
      <w:lvlText w:val=""/>
      <w:lvlJc w:val="left"/>
      <w:pPr>
        <w:ind w:left="424" w:hanging="284"/>
      </w:pPr>
      <w:rPr>
        <w:rFonts w:ascii="Symbol" w:eastAsia="Symbol" w:hAnsi="Symbol" w:cs="Symbol" w:hint="default"/>
        <w:b w:val="0"/>
        <w:bCs w:val="0"/>
        <w:i w:val="0"/>
        <w:iCs w:val="0"/>
        <w:color w:val="70004A"/>
        <w:spacing w:val="0"/>
        <w:w w:val="100"/>
        <w:sz w:val="18"/>
        <w:szCs w:val="18"/>
        <w:lang w:val="en-US" w:eastAsia="en-US" w:bidi="ar-SA"/>
      </w:rPr>
    </w:lvl>
    <w:lvl w:ilvl="1" w:tplc="2AF68CBA">
      <w:numFmt w:val="bullet"/>
      <w:lvlText w:val="•"/>
      <w:lvlJc w:val="left"/>
      <w:pPr>
        <w:ind w:left="589" w:hanging="284"/>
      </w:pPr>
      <w:rPr>
        <w:rFonts w:hint="default"/>
        <w:lang w:val="en-US" w:eastAsia="en-US" w:bidi="ar-SA"/>
      </w:rPr>
    </w:lvl>
    <w:lvl w:ilvl="2" w:tplc="391686FC">
      <w:numFmt w:val="bullet"/>
      <w:lvlText w:val="•"/>
      <w:lvlJc w:val="left"/>
      <w:pPr>
        <w:ind w:left="758" w:hanging="284"/>
      </w:pPr>
      <w:rPr>
        <w:rFonts w:hint="default"/>
        <w:lang w:val="en-US" w:eastAsia="en-US" w:bidi="ar-SA"/>
      </w:rPr>
    </w:lvl>
    <w:lvl w:ilvl="3" w:tplc="FD5EA124">
      <w:numFmt w:val="bullet"/>
      <w:lvlText w:val="•"/>
      <w:lvlJc w:val="left"/>
      <w:pPr>
        <w:ind w:left="927" w:hanging="284"/>
      </w:pPr>
      <w:rPr>
        <w:rFonts w:hint="default"/>
        <w:lang w:val="en-US" w:eastAsia="en-US" w:bidi="ar-SA"/>
      </w:rPr>
    </w:lvl>
    <w:lvl w:ilvl="4" w:tplc="604EEC6E">
      <w:numFmt w:val="bullet"/>
      <w:lvlText w:val="•"/>
      <w:lvlJc w:val="left"/>
      <w:pPr>
        <w:ind w:left="1097" w:hanging="284"/>
      </w:pPr>
      <w:rPr>
        <w:rFonts w:hint="default"/>
        <w:lang w:val="en-US" w:eastAsia="en-US" w:bidi="ar-SA"/>
      </w:rPr>
    </w:lvl>
    <w:lvl w:ilvl="5" w:tplc="D71CEB90">
      <w:numFmt w:val="bullet"/>
      <w:lvlText w:val="•"/>
      <w:lvlJc w:val="left"/>
      <w:pPr>
        <w:ind w:left="1266" w:hanging="284"/>
      </w:pPr>
      <w:rPr>
        <w:rFonts w:hint="default"/>
        <w:lang w:val="en-US" w:eastAsia="en-US" w:bidi="ar-SA"/>
      </w:rPr>
    </w:lvl>
    <w:lvl w:ilvl="6" w:tplc="8BEA2C96">
      <w:numFmt w:val="bullet"/>
      <w:lvlText w:val="•"/>
      <w:lvlJc w:val="left"/>
      <w:pPr>
        <w:ind w:left="1435" w:hanging="284"/>
      </w:pPr>
      <w:rPr>
        <w:rFonts w:hint="default"/>
        <w:lang w:val="en-US" w:eastAsia="en-US" w:bidi="ar-SA"/>
      </w:rPr>
    </w:lvl>
    <w:lvl w:ilvl="7" w:tplc="E2F80124">
      <w:numFmt w:val="bullet"/>
      <w:lvlText w:val="•"/>
      <w:lvlJc w:val="left"/>
      <w:pPr>
        <w:ind w:left="1605" w:hanging="284"/>
      </w:pPr>
      <w:rPr>
        <w:rFonts w:hint="default"/>
        <w:lang w:val="en-US" w:eastAsia="en-US" w:bidi="ar-SA"/>
      </w:rPr>
    </w:lvl>
    <w:lvl w:ilvl="8" w:tplc="2070CC14">
      <w:numFmt w:val="bullet"/>
      <w:lvlText w:val="•"/>
      <w:lvlJc w:val="left"/>
      <w:pPr>
        <w:ind w:left="1774" w:hanging="284"/>
      </w:pPr>
      <w:rPr>
        <w:rFonts w:hint="default"/>
        <w:lang w:val="en-US" w:eastAsia="en-US" w:bidi="ar-SA"/>
      </w:rPr>
    </w:lvl>
  </w:abstractNum>
  <w:abstractNum w:abstractNumId="170" w15:restartNumberingAfterBreak="0">
    <w:nsid w:val="28E513A8"/>
    <w:multiLevelType w:val="hybridMultilevel"/>
    <w:tmpl w:val="8EF85126"/>
    <w:lvl w:ilvl="0" w:tplc="7D1CFB26">
      <w:numFmt w:val="bullet"/>
      <w:lvlText w:val=""/>
      <w:lvlJc w:val="left"/>
      <w:pPr>
        <w:ind w:left="434" w:hanging="284"/>
      </w:pPr>
      <w:rPr>
        <w:rFonts w:ascii="Symbol" w:eastAsia="Symbol" w:hAnsi="Symbol" w:cs="Symbol" w:hint="default"/>
        <w:b w:val="0"/>
        <w:bCs w:val="0"/>
        <w:i w:val="0"/>
        <w:iCs w:val="0"/>
        <w:color w:val="70004A"/>
        <w:spacing w:val="0"/>
        <w:w w:val="100"/>
        <w:sz w:val="18"/>
        <w:szCs w:val="18"/>
        <w:lang w:val="en-US" w:eastAsia="en-US" w:bidi="ar-SA"/>
      </w:rPr>
    </w:lvl>
    <w:lvl w:ilvl="1" w:tplc="993C1366">
      <w:numFmt w:val="bullet"/>
      <w:lvlText w:val="•"/>
      <w:lvlJc w:val="left"/>
      <w:pPr>
        <w:ind w:left="602" w:hanging="284"/>
      </w:pPr>
      <w:rPr>
        <w:rFonts w:hint="default"/>
        <w:lang w:val="en-US" w:eastAsia="en-US" w:bidi="ar-SA"/>
      </w:rPr>
    </w:lvl>
    <w:lvl w:ilvl="2" w:tplc="96BE612C">
      <w:numFmt w:val="bullet"/>
      <w:lvlText w:val="•"/>
      <w:lvlJc w:val="left"/>
      <w:pPr>
        <w:ind w:left="764" w:hanging="284"/>
      </w:pPr>
      <w:rPr>
        <w:rFonts w:hint="default"/>
        <w:lang w:val="en-US" w:eastAsia="en-US" w:bidi="ar-SA"/>
      </w:rPr>
    </w:lvl>
    <w:lvl w:ilvl="3" w:tplc="72D00142">
      <w:numFmt w:val="bullet"/>
      <w:lvlText w:val="•"/>
      <w:lvlJc w:val="left"/>
      <w:pPr>
        <w:ind w:left="927" w:hanging="284"/>
      </w:pPr>
      <w:rPr>
        <w:rFonts w:hint="default"/>
        <w:lang w:val="en-US" w:eastAsia="en-US" w:bidi="ar-SA"/>
      </w:rPr>
    </w:lvl>
    <w:lvl w:ilvl="4" w:tplc="C3343D72">
      <w:numFmt w:val="bullet"/>
      <w:lvlText w:val="•"/>
      <w:lvlJc w:val="left"/>
      <w:pPr>
        <w:ind w:left="1089" w:hanging="284"/>
      </w:pPr>
      <w:rPr>
        <w:rFonts w:hint="default"/>
        <w:lang w:val="en-US" w:eastAsia="en-US" w:bidi="ar-SA"/>
      </w:rPr>
    </w:lvl>
    <w:lvl w:ilvl="5" w:tplc="A3186C34">
      <w:numFmt w:val="bullet"/>
      <w:lvlText w:val="•"/>
      <w:lvlJc w:val="left"/>
      <w:pPr>
        <w:ind w:left="1252" w:hanging="284"/>
      </w:pPr>
      <w:rPr>
        <w:rFonts w:hint="default"/>
        <w:lang w:val="en-US" w:eastAsia="en-US" w:bidi="ar-SA"/>
      </w:rPr>
    </w:lvl>
    <w:lvl w:ilvl="6" w:tplc="83FE4E4C">
      <w:numFmt w:val="bullet"/>
      <w:lvlText w:val="•"/>
      <w:lvlJc w:val="left"/>
      <w:pPr>
        <w:ind w:left="1414" w:hanging="284"/>
      </w:pPr>
      <w:rPr>
        <w:rFonts w:hint="default"/>
        <w:lang w:val="en-US" w:eastAsia="en-US" w:bidi="ar-SA"/>
      </w:rPr>
    </w:lvl>
    <w:lvl w:ilvl="7" w:tplc="3AAC494A">
      <w:numFmt w:val="bullet"/>
      <w:lvlText w:val="•"/>
      <w:lvlJc w:val="left"/>
      <w:pPr>
        <w:ind w:left="1576" w:hanging="284"/>
      </w:pPr>
      <w:rPr>
        <w:rFonts w:hint="default"/>
        <w:lang w:val="en-US" w:eastAsia="en-US" w:bidi="ar-SA"/>
      </w:rPr>
    </w:lvl>
    <w:lvl w:ilvl="8" w:tplc="14844AAC">
      <w:numFmt w:val="bullet"/>
      <w:lvlText w:val="•"/>
      <w:lvlJc w:val="left"/>
      <w:pPr>
        <w:ind w:left="1739" w:hanging="284"/>
      </w:pPr>
      <w:rPr>
        <w:rFonts w:hint="default"/>
        <w:lang w:val="en-US" w:eastAsia="en-US" w:bidi="ar-SA"/>
      </w:rPr>
    </w:lvl>
  </w:abstractNum>
  <w:abstractNum w:abstractNumId="171" w15:restartNumberingAfterBreak="0">
    <w:nsid w:val="28F27C51"/>
    <w:multiLevelType w:val="hybridMultilevel"/>
    <w:tmpl w:val="F852EB48"/>
    <w:lvl w:ilvl="0" w:tplc="CCCE9A66">
      <w:numFmt w:val="bullet"/>
      <w:lvlText w:val=""/>
      <w:lvlJc w:val="left"/>
      <w:pPr>
        <w:ind w:left="438" w:hanging="284"/>
      </w:pPr>
      <w:rPr>
        <w:rFonts w:ascii="Symbol" w:eastAsia="Symbol" w:hAnsi="Symbol" w:cs="Symbol" w:hint="default"/>
        <w:b w:val="0"/>
        <w:bCs w:val="0"/>
        <w:i w:val="0"/>
        <w:iCs w:val="0"/>
        <w:color w:val="70004A"/>
        <w:spacing w:val="0"/>
        <w:w w:val="100"/>
        <w:sz w:val="18"/>
        <w:szCs w:val="18"/>
        <w:lang w:val="en-US" w:eastAsia="en-US" w:bidi="ar-SA"/>
      </w:rPr>
    </w:lvl>
    <w:lvl w:ilvl="1" w:tplc="D78493C0">
      <w:numFmt w:val="bullet"/>
      <w:lvlText w:val="•"/>
      <w:lvlJc w:val="left"/>
      <w:pPr>
        <w:ind w:left="637" w:hanging="284"/>
      </w:pPr>
      <w:rPr>
        <w:rFonts w:hint="default"/>
        <w:lang w:val="en-US" w:eastAsia="en-US" w:bidi="ar-SA"/>
      </w:rPr>
    </w:lvl>
    <w:lvl w:ilvl="2" w:tplc="AE92B8CA">
      <w:numFmt w:val="bullet"/>
      <w:lvlText w:val="•"/>
      <w:lvlJc w:val="left"/>
      <w:pPr>
        <w:ind w:left="834" w:hanging="284"/>
      </w:pPr>
      <w:rPr>
        <w:rFonts w:hint="default"/>
        <w:lang w:val="en-US" w:eastAsia="en-US" w:bidi="ar-SA"/>
      </w:rPr>
    </w:lvl>
    <w:lvl w:ilvl="3" w:tplc="CDCE13F0">
      <w:numFmt w:val="bullet"/>
      <w:lvlText w:val="•"/>
      <w:lvlJc w:val="left"/>
      <w:pPr>
        <w:ind w:left="1031" w:hanging="284"/>
      </w:pPr>
      <w:rPr>
        <w:rFonts w:hint="default"/>
        <w:lang w:val="en-US" w:eastAsia="en-US" w:bidi="ar-SA"/>
      </w:rPr>
    </w:lvl>
    <w:lvl w:ilvl="4" w:tplc="22DA45EE">
      <w:numFmt w:val="bullet"/>
      <w:lvlText w:val="•"/>
      <w:lvlJc w:val="left"/>
      <w:pPr>
        <w:ind w:left="1228" w:hanging="284"/>
      </w:pPr>
      <w:rPr>
        <w:rFonts w:hint="default"/>
        <w:lang w:val="en-US" w:eastAsia="en-US" w:bidi="ar-SA"/>
      </w:rPr>
    </w:lvl>
    <w:lvl w:ilvl="5" w:tplc="0DD2A2A6">
      <w:numFmt w:val="bullet"/>
      <w:lvlText w:val="•"/>
      <w:lvlJc w:val="left"/>
      <w:pPr>
        <w:ind w:left="1425" w:hanging="284"/>
      </w:pPr>
      <w:rPr>
        <w:rFonts w:hint="default"/>
        <w:lang w:val="en-US" w:eastAsia="en-US" w:bidi="ar-SA"/>
      </w:rPr>
    </w:lvl>
    <w:lvl w:ilvl="6" w:tplc="585422A2">
      <w:numFmt w:val="bullet"/>
      <w:lvlText w:val="•"/>
      <w:lvlJc w:val="left"/>
      <w:pPr>
        <w:ind w:left="1622" w:hanging="284"/>
      </w:pPr>
      <w:rPr>
        <w:rFonts w:hint="default"/>
        <w:lang w:val="en-US" w:eastAsia="en-US" w:bidi="ar-SA"/>
      </w:rPr>
    </w:lvl>
    <w:lvl w:ilvl="7" w:tplc="2822FF6A">
      <w:numFmt w:val="bullet"/>
      <w:lvlText w:val="•"/>
      <w:lvlJc w:val="left"/>
      <w:pPr>
        <w:ind w:left="1819" w:hanging="284"/>
      </w:pPr>
      <w:rPr>
        <w:rFonts w:hint="default"/>
        <w:lang w:val="en-US" w:eastAsia="en-US" w:bidi="ar-SA"/>
      </w:rPr>
    </w:lvl>
    <w:lvl w:ilvl="8" w:tplc="25048B36">
      <w:numFmt w:val="bullet"/>
      <w:lvlText w:val="•"/>
      <w:lvlJc w:val="left"/>
      <w:pPr>
        <w:ind w:left="2016" w:hanging="284"/>
      </w:pPr>
      <w:rPr>
        <w:rFonts w:hint="default"/>
        <w:lang w:val="en-US" w:eastAsia="en-US" w:bidi="ar-SA"/>
      </w:rPr>
    </w:lvl>
  </w:abstractNum>
  <w:abstractNum w:abstractNumId="172" w15:restartNumberingAfterBreak="0">
    <w:nsid w:val="290316EB"/>
    <w:multiLevelType w:val="hybridMultilevel"/>
    <w:tmpl w:val="CA8A9F20"/>
    <w:lvl w:ilvl="0" w:tplc="0F9E6430">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EE749FE4">
      <w:numFmt w:val="bullet"/>
      <w:lvlText w:val="•"/>
      <w:lvlJc w:val="left"/>
      <w:pPr>
        <w:ind w:left="685" w:hanging="284"/>
      </w:pPr>
      <w:rPr>
        <w:rFonts w:hint="default"/>
        <w:lang w:val="en-US" w:eastAsia="en-US" w:bidi="ar-SA"/>
      </w:rPr>
    </w:lvl>
    <w:lvl w:ilvl="2" w:tplc="98E89BF6">
      <w:numFmt w:val="bullet"/>
      <w:lvlText w:val="•"/>
      <w:lvlJc w:val="left"/>
      <w:pPr>
        <w:ind w:left="971" w:hanging="284"/>
      </w:pPr>
      <w:rPr>
        <w:rFonts w:hint="default"/>
        <w:lang w:val="en-US" w:eastAsia="en-US" w:bidi="ar-SA"/>
      </w:rPr>
    </w:lvl>
    <w:lvl w:ilvl="3" w:tplc="A844E702">
      <w:numFmt w:val="bullet"/>
      <w:lvlText w:val="•"/>
      <w:lvlJc w:val="left"/>
      <w:pPr>
        <w:ind w:left="1257" w:hanging="284"/>
      </w:pPr>
      <w:rPr>
        <w:rFonts w:hint="default"/>
        <w:lang w:val="en-US" w:eastAsia="en-US" w:bidi="ar-SA"/>
      </w:rPr>
    </w:lvl>
    <w:lvl w:ilvl="4" w:tplc="E9D888E6">
      <w:numFmt w:val="bullet"/>
      <w:lvlText w:val="•"/>
      <w:lvlJc w:val="left"/>
      <w:pPr>
        <w:ind w:left="1542" w:hanging="284"/>
      </w:pPr>
      <w:rPr>
        <w:rFonts w:hint="default"/>
        <w:lang w:val="en-US" w:eastAsia="en-US" w:bidi="ar-SA"/>
      </w:rPr>
    </w:lvl>
    <w:lvl w:ilvl="5" w:tplc="5914F128">
      <w:numFmt w:val="bullet"/>
      <w:lvlText w:val="•"/>
      <w:lvlJc w:val="left"/>
      <w:pPr>
        <w:ind w:left="1828" w:hanging="284"/>
      </w:pPr>
      <w:rPr>
        <w:rFonts w:hint="default"/>
        <w:lang w:val="en-US" w:eastAsia="en-US" w:bidi="ar-SA"/>
      </w:rPr>
    </w:lvl>
    <w:lvl w:ilvl="6" w:tplc="31B65FF0">
      <w:numFmt w:val="bullet"/>
      <w:lvlText w:val="•"/>
      <w:lvlJc w:val="left"/>
      <w:pPr>
        <w:ind w:left="2114" w:hanging="284"/>
      </w:pPr>
      <w:rPr>
        <w:rFonts w:hint="default"/>
        <w:lang w:val="en-US" w:eastAsia="en-US" w:bidi="ar-SA"/>
      </w:rPr>
    </w:lvl>
    <w:lvl w:ilvl="7" w:tplc="0E2268DA">
      <w:numFmt w:val="bullet"/>
      <w:lvlText w:val="•"/>
      <w:lvlJc w:val="left"/>
      <w:pPr>
        <w:ind w:left="2399" w:hanging="284"/>
      </w:pPr>
      <w:rPr>
        <w:rFonts w:hint="default"/>
        <w:lang w:val="en-US" w:eastAsia="en-US" w:bidi="ar-SA"/>
      </w:rPr>
    </w:lvl>
    <w:lvl w:ilvl="8" w:tplc="07E64BC8">
      <w:numFmt w:val="bullet"/>
      <w:lvlText w:val="•"/>
      <w:lvlJc w:val="left"/>
      <w:pPr>
        <w:ind w:left="2685" w:hanging="284"/>
      </w:pPr>
      <w:rPr>
        <w:rFonts w:hint="default"/>
        <w:lang w:val="en-US" w:eastAsia="en-US" w:bidi="ar-SA"/>
      </w:rPr>
    </w:lvl>
  </w:abstractNum>
  <w:abstractNum w:abstractNumId="173" w15:restartNumberingAfterBreak="0">
    <w:nsid w:val="29723CA3"/>
    <w:multiLevelType w:val="hybridMultilevel"/>
    <w:tmpl w:val="F2FAE618"/>
    <w:lvl w:ilvl="0" w:tplc="C2443E62">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8EE6AB28">
      <w:numFmt w:val="bullet"/>
      <w:lvlText w:val="•"/>
      <w:lvlJc w:val="left"/>
      <w:pPr>
        <w:ind w:left="671" w:hanging="284"/>
      </w:pPr>
      <w:rPr>
        <w:rFonts w:hint="default"/>
        <w:lang w:val="en-US" w:eastAsia="en-US" w:bidi="ar-SA"/>
      </w:rPr>
    </w:lvl>
    <w:lvl w:ilvl="2" w:tplc="910C222C">
      <w:numFmt w:val="bullet"/>
      <w:lvlText w:val="•"/>
      <w:lvlJc w:val="left"/>
      <w:pPr>
        <w:ind w:left="943" w:hanging="284"/>
      </w:pPr>
      <w:rPr>
        <w:rFonts w:hint="default"/>
        <w:lang w:val="en-US" w:eastAsia="en-US" w:bidi="ar-SA"/>
      </w:rPr>
    </w:lvl>
    <w:lvl w:ilvl="3" w:tplc="69EAD31C">
      <w:numFmt w:val="bullet"/>
      <w:lvlText w:val="•"/>
      <w:lvlJc w:val="left"/>
      <w:pPr>
        <w:ind w:left="1214" w:hanging="284"/>
      </w:pPr>
      <w:rPr>
        <w:rFonts w:hint="default"/>
        <w:lang w:val="en-US" w:eastAsia="en-US" w:bidi="ar-SA"/>
      </w:rPr>
    </w:lvl>
    <w:lvl w:ilvl="4" w:tplc="907A1614">
      <w:numFmt w:val="bullet"/>
      <w:lvlText w:val="•"/>
      <w:lvlJc w:val="left"/>
      <w:pPr>
        <w:ind w:left="1486" w:hanging="284"/>
      </w:pPr>
      <w:rPr>
        <w:rFonts w:hint="default"/>
        <w:lang w:val="en-US" w:eastAsia="en-US" w:bidi="ar-SA"/>
      </w:rPr>
    </w:lvl>
    <w:lvl w:ilvl="5" w:tplc="75C0B97C">
      <w:numFmt w:val="bullet"/>
      <w:lvlText w:val="•"/>
      <w:lvlJc w:val="left"/>
      <w:pPr>
        <w:ind w:left="1757" w:hanging="284"/>
      </w:pPr>
      <w:rPr>
        <w:rFonts w:hint="default"/>
        <w:lang w:val="en-US" w:eastAsia="en-US" w:bidi="ar-SA"/>
      </w:rPr>
    </w:lvl>
    <w:lvl w:ilvl="6" w:tplc="7A40527A">
      <w:numFmt w:val="bullet"/>
      <w:lvlText w:val="•"/>
      <w:lvlJc w:val="left"/>
      <w:pPr>
        <w:ind w:left="2029" w:hanging="284"/>
      </w:pPr>
      <w:rPr>
        <w:rFonts w:hint="default"/>
        <w:lang w:val="en-US" w:eastAsia="en-US" w:bidi="ar-SA"/>
      </w:rPr>
    </w:lvl>
    <w:lvl w:ilvl="7" w:tplc="827C7008">
      <w:numFmt w:val="bullet"/>
      <w:lvlText w:val="•"/>
      <w:lvlJc w:val="left"/>
      <w:pPr>
        <w:ind w:left="2300" w:hanging="284"/>
      </w:pPr>
      <w:rPr>
        <w:rFonts w:hint="default"/>
        <w:lang w:val="en-US" w:eastAsia="en-US" w:bidi="ar-SA"/>
      </w:rPr>
    </w:lvl>
    <w:lvl w:ilvl="8" w:tplc="77D813A8">
      <w:numFmt w:val="bullet"/>
      <w:lvlText w:val="•"/>
      <w:lvlJc w:val="left"/>
      <w:pPr>
        <w:ind w:left="2572" w:hanging="284"/>
      </w:pPr>
      <w:rPr>
        <w:rFonts w:hint="default"/>
        <w:lang w:val="en-US" w:eastAsia="en-US" w:bidi="ar-SA"/>
      </w:rPr>
    </w:lvl>
  </w:abstractNum>
  <w:abstractNum w:abstractNumId="174" w15:restartNumberingAfterBreak="0">
    <w:nsid w:val="29DE5876"/>
    <w:multiLevelType w:val="hybridMultilevel"/>
    <w:tmpl w:val="F1FC12A0"/>
    <w:lvl w:ilvl="0" w:tplc="F6223AF0">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9D4CFC80">
      <w:numFmt w:val="bullet"/>
      <w:lvlText w:val="•"/>
      <w:lvlJc w:val="left"/>
      <w:pPr>
        <w:ind w:left="672" w:hanging="284"/>
      </w:pPr>
      <w:rPr>
        <w:rFonts w:hint="default"/>
        <w:lang w:val="en-US" w:eastAsia="en-US" w:bidi="ar-SA"/>
      </w:rPr>
    </w:lvl>
    <w:lvl w:ilvl="2" w:tplc="4BFEC41A">
      <w:numFmt w:val="bullet"/>
      <w:lvlText w:val="•"/>
      <w:lvlJc w:val="left"/>
      <w:pPr>
        <w:ind w:left="945" w:hanging="284"/>
      </w:pPr>
      <w:rPr>
        <w:rFonts w:hint="default"/>
        <w:lang w:val="en-US" w:eastAsia="en-US" w:bidi="ar-SA"/>
      </w:rPr>
    </w:lvl>
    <w:lvl w:ilvl="3" w:tplc="D678544A">
      <w:numFmt w:val="bullet"/>
      <w:lvlText w:val="•"/>
      <w:lvlJc w:val="left"/>
      <w:pPr>
        <w:ind w:left="1217" w:hanging="284"/>
      </w:pPr>
      <w:rPr>
        <w:rFonts w:hint="default"/>
        <w:lang w:val="en-US" w:eastAsia="en-US" w:bidi="ar-SA"/>
      </w:rPr>
    </w:lvl>
    <w:lvl w:ilvl="4" w:tplc="0D44605A">
      <w:numFmt w:val="bullet"/>
      <w:lvlText w:val="•"/>
      <w:lvlJc w:val="left"/>
      <w:pPr>
        <w:ind w:left="1490" w:hanging="284"/>
      </w:pPr>
      <w:rPr>
        <w:rFonts w:hint="default"/>
        <w:lang w:val="en-US" w:eastAsia="en-US" w:bidi="ar-SA"/>
      </w:rPr>
    </w:lvl>
    <w:lvl w:ilvl="5" w:tplc="B0042B82">
      <w:numFmt w:val="bullet"/>
      <w:lvlText w:val="•"/>
      <w:lvlJc w:val="left"/>
      <w:pPr>
        <w:ind w:left="1762" w:hanging="284"/>
      </w:pPr>
      <w:rPr>
        <w:rFonts w:hint="default"/>
        <w:lang w:val="en-US" w:eastAsia="en-US" w:bidi="ar-SA"/>
      </w:rPr>
    </w:lvl>
    <w:lvl w:ilvl="6" w:tplc="86F024A2">
      <w:numFmt w:val="bullet"/>
      <w:lvlText w:val="•"/>
      <w:lvlJc w:val="left"/>
      <w:pPr>
        <w:ind w:left="2035" w:hanging="284"/>
      </w:pPr>
      <w:rPr>
        <w:rFonts w:hint="default"/>
        <w:lang w:val="en-US" w:eastAsia="en-US" w:bidi="ar-SA"/>
      </w:rPr>
    </w:lvl>
    <w:lvl w:ilvl="7" w:tplc="CAEA326C">
      <w:numFmt w:val="bullet"/>
      <w:lvlText w:val="•"/>
      <w:lvlJc w:val="left"/>
      <w:pPr>
        <w:ind w:left="2307" w:hanging="284"/>
      </w:pPr>
      <w:rPr>
        <w:rFonts w:hint="default"/>
        <w:lang w:val="en-US" w:eastAsia="en-US" w:bidi="ar-SA"/>
      </w:rPr>
    </w:lvl>
    <w:lvl w:ilvl="8" w:tplc="BE7C3772">
      <w:numFmt w:val="bullet"/>
      <w:lvlText w:val="•"/>
      <w:lvlJc w:val="left"/>
      <w:pPr>
        <w:ind w:left="2580" w:hanging="284"/>
      </w:pPr>
      <w:rPr>
        <w:rFonts w:hint="default"/>
        <w:lang w:val="en-US" w:eastAsia="en-US" w:bidi="ar-SA"/>
      </w:rPr>
    </w:lvl>
  </w:abstractNum>
  <w:abstractNum w:abstractNumId="175" w15:restartNumberingAfterBreak="0">
    <w:nsid w:val="2A0125A0"/>
    <w:multiLevelType w:val="hybridMultilevel"/>
    <w:tmpl w:val="6B6C975A"/>
    <w:lvl w:ilvl="0" w:tplc="E2D20D5A">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A982755E">
      <w:numFmt w:val="bullet"/>
      <w:lvlText w:val="•"/>
      <w:lvlJc w:val="left"/>
      <w:pPr>
        <w:ind w:left="656" w:hanging="284"/>
      </w:pPr>
      <w:rPr>
        <w:rFonts w:hint="default"/>
        <w:lang w:val="en-US" w:eastAsia="en-US" w:bidi="ar-SA"/>
      </w:rPr>
    </w:lvl>
    <w:lvl w:ilvl="2" w:tplc="33E2D098">
      <w:numFmt w:val="bullet"/>
      <w:lvlText w:val="•"/>
      <w:lvlJc w:val="left"/>
      <w:pPr>
        <w:ind w:left="912" w:hanging="284"/>
      </w:pPr>
      <w:rPr>
        <w:rFonts w:hint="default"/>
        <w:lang w:val="en-US" w:eastAsia="en-US" w:bidi="ar-SA"/>
      </w:rPr>
    </w:lvl>
    <w:lvl w:ilvl="3" w:tplc="EE12ED46">
      <w:numFmt w:val="bullet"/>
      <w:lvlText w:val="•"/>
      <w:lvlJc w:val="left"/>
      <w:pPr>
        <w:ind w:left="1168" w:hanging="284"/>
      </w:pPr>
      <w:rPr>
        <w:rFonts w:hint="default"/>
        <w:lang w:val="en-US" w:eastAsia="en-US" w:bidi="ar-SA"/>
      </w:rPr>
    </w:lvl>
    <w:lvl w:ilvl="4" w:tplc="4D46ED6A">
      <w:numFmt w:val="bullet"/>
      <w:lvlText w:val="•"/>
      <w:lvlJc w:val="left"/>
      <w:pPr>
        <w:ind w:left="1424" w:hanging="284"/>
      </w:pPr>
      <w:rPr>
        <w:rFonts w:hint="default"/>
        <w:lang w:val="en-US" w:eastAsia="en-US" w:bidi="ar-SA"/>
      </w:rPr>
    </w:lvl>
    <w:lvl w:ilvl="5" w:tplc="7C8A195E">
      <w:numFmt w:val="bullet"/>
      <w:lvlText w:val="•"/>
      <w:lvlJc w:val="left"/>
      <w:pPr>
        <w:ind w:left="1680" w:hanging="284"/>
      </w:pPr>
      <w:rPr>
        <w:rFonts w:hint="default"/>
        <w:lang w:val="en-US" w:eastAsia="en-US" w:bidi="ar-SA"/>
      </w:rPr>
    </w:lvl>
    <w:lvl w:ilvl="6" w:tplc="77A6B0CE">
      <w:numFmt w:val="bullet"/>
      <w:lvlText w:val="•"/>
      <w:lvlJc w:val="left"/>
      <w:pPr>
        <w:ind w:left="1936" w:hanging="284"/>
      </w:pPr>
      <w:rPr>
        <w:rFonts w:hint="default"/>
        <w:lang w:val="en-US" w:eastAsia="en-US" w:bidi="ar-SA"/>
      </w:rPr>
    </w:lvl>
    <w:lvl w:ilvl="7" w:tplc="5E2C2BD4">
      <w:numFmt w:val="bullet"/>
      <w:lvlText w:val="•"/>
      <w:lvlJc w:val="left"/>
      <w:pPr>
        <w:ind w:left="2192" w:hanging="284"/>
      </w:pPr>
      <w:rPr>
        <w:rFonts w:hint="default"/>
        <w:lang w:val="en-US" w:eastAsia="en-US" w:bidi="ar-SA"/>
      </w:rPr>
    </w:lvl>
    <w:lvl w:ilvl="8" w:tplc="E056CA66">
      <w:numFmt w:val="bullet"/>
      <w:lvlText w:val="•"/>
      <w:lvlJc w:val="left"/>
      <w:pPr>
        <w:ind w:left="2448" w:hanging="284"/>
      </w:pPr>
      <w:rPr>
        <w:rFonts w:hint="default"/>
        <w:lang w:val="en-US" w:eastAsia="en-US" w:bidi="ar-SA"/>
      </w:rPr>
    </w:lvl>
  </w:abstractNum>
  <w:abstractNum w:abstractNumId="176" w15:restartNumberingAfterBreak="0">
    <w:nsid w:val="2A634B38"/>
    <w:multiLevelType w:val="hybridMultilevel"/>
    <w:tmpl w:val="B87E3CCE"/>
    <w:lvl w:ilvl="0" w:tplc="038A3198">
      <w:numFmt w:val="bullet"/>
      <w:lvlText w:val=""/>
      <w:lvlJc w:val="left"/>
      <w:pPr>
        <w:ind w:left="453" w:hanging="284"/>
      </w:pPr>
      <w:rPr>
        <w:rFonts w:ascii="Symbol" w:eastAsia="Symbol" w:hAnsi="Symbol" w:cs="Symbol" w:hint="default"/>
        <w:b w:val="0"/>
        <w:bCs w:val="0"/>
        <w:i w:val="0"/>
        <w:iCs w:val="0"/>
        <w:color w:val="70004A"/>
        <w:spacing w:val="0"/>
        <w:w w:val="100"/>
        <w:sz w:val="18"/>
        <w:szCs w:val="18"/>
        <w:lang w:val="en-US" w:eastAsia="en-US" w:bidi="ar-SA"/>
      </w:rPr>
    </w:lvl>
    <w:lvl w:ilvl="1" w:tplc="E3C45E02">
      <w:numFmt w:val="bullet"/>
      <w:lvlText w:val="•"/>
      <w:lvlJc w:val="left"/>
      <w:pPr>
        <w:ind w:left="761" w:hanging="284"/>
      </w:pPr>
      <w:rPr>
        <w:rFonts w:hint="default"/>
        <w:lang w:val="en-US" w:eastAsia="en-US" w:bidi="ar-SA"/>
      </w:rPr>
    </w:lvl>
    <w:lvl w:ilvl="2" w:tplc="C9461C2E">
      <w:numFmt w:val="bullet"/>
      <w:lvlText w:val="•"/>
      <w:lvlJc w:val="left"/>
      <w:pPr>
        <w:ind w:left="1062" w:hanging="284"/>
      </w:pPr>
      <w:rPr>
        <w:rFonts w:hint="default"/>
        <w:lang w:val="en-US" w:eastAsia="en-US" w:bidi="ar-SA"/>
      </w:rPr>
    </w:lvl>
    <w:lvl w:ilvl="3" w:tplc="5ECC1E64">
      <w:numFmt w:val="bullet"/>
      <w:lvlText w:val="•"/>
      <w:lvlJc w:val="left"/>
      <w:pPr>
        <w:ind w:left="1363" w:hanging="284"/>
      </w:pPr>
      <w:rPr>
        <w:rFonts w:hint="default"/>
        <w:lang w:val="en-US" w:eastAsia="en-US" w:bidi="ar-SA"/>
      </w:rPr>
    </w:lvl>
    <w:lvl w:ilvl="4" w:tplc="3CBEC49A">
      <w:numFmt w:val="bullet"/>
      <w:lvlText w:val="•"/>
      <w:lvlJc w:val="left"/>
      <w:pPr>
        <w:ind w:left="1664" w:hanging="284"/>
      </w:pPr>
      <w:rPr>
        <w:rFonts w:hint="default"/>
        <w:lang w:val="en-US" w:eastAsia="en-US" w:bidi="ar-SA"/>
      </w:rPr>
    </w:lvl>
    <w:lvl w:ilvl="5" w:tplc="CD582956">
      <w:numFmt w:val="bullet"/>
      <w:lvlText w:val="•"/>
      <w:lvlJc w:val="left"/>
      <w:pPr>
        <w:ind w:left="1965" w:hanging="284"/>
      </w:pPr>
      <w:rPr>
        <w:rFonts w:hint="default"/>
        <w:lang w:val="en-US" w:eastAsia="en-US" w:bidi="ar-SA"/>
      </w:rPr>
    </w:lvl>
    <w:lvl w:ilvl="6" w:tplc="1868B124">
      <w:numFmt w:val="bullet"/>
      <w:lvlText w:val="•"/>
      <w:lvlJc w:val="left"/>
      <w:pPr>
        <w:ind w:left="2266" w:hanging="284"/>
      </w:pPr>
      <w:rPr>
        <w:rFonts w:hint="default"/>
        <w:lang w:val="en-US" w:eastAsia="en-US" w:bidi="ar-SA"/>
      </w:rPr>
    </w:lvl>
    <w:lvl w:ilvl="7" w:tplc="68A02AAA">
      <w:numFmt w:val="bullet"/>
      <w:lvlText w:val="•"/>
      <w:lvlJc w:val="left"/>
      <w:pPr>
        <w:ind w:left="2567" w:hanging="284"/>
      </w:pPr>
      <w:rPr>
        <w:rFonts w:hint="default"/>
        <w:lang w:val="en-US" w:eastAsia="en-US" w:bidi="ar-SA"/>
      </w:rPr>
    </w:lvl>
    <w:lvl w:ilvl="8" w:tplc="49409EC4">
      <w:numFmt w:val="bullet"/>
      <w:lvlText w:val="•"/>
      <w:lvlJc w:val="left"/>
      <w:pPr>
        <w:ind w:left="2868" w:hanging="284"/>
      </w:pPr>
      <w:rPr>
        <w:rFonts w:hint="default"/>
        <w:lang w:val="en-US" w:eastAsia="en-US" w:bidi="ar-SA"/>
      </w:rPr>
    </w:lvl>
  </w:abstractNum>
  <w:abstractNum w:abstractNumId="177" w15:restartNumberingAfterBreak="0">
    <w:nsid w:val="2B035314"/>
    <w:multiLevelType w:val="hybridMultilevel"/>
    <w:tmpl w:val="E816273A"/>
    <w:lvl w:ilvl="0" w:tplc="67E892F8">
      <w:numFmt w:val="bullet"/>
      <w:lvlText w:val=""/>
      <w:lvlJc w:val="left"/>
      <w:pPr>
        <w:ind w:left="433" w:hanging="284"/>
      </w:pPr>
      <w:rPr>
        <w:rFonts w:ascii="Symbol" w:eastAsia="Symbol" w:hAnsi="Symbol" w:cs="Symbol" w:hint="default"/>
        <w:b w:val="0"/>
        <w:bCs w:val="0"/>
        <w:i w:val="0"/>
        <w:iCs w:val="0"/>
        <w:color w:val="70004A"/>
        <w:spacing w:val="0"/>
        <w:w w:val="100"/>
        <w:sz w:val="18"/>
        <w:szCs w:val="18"/>
        <w:lang w:val="en-US" w:eastAsia="en-US" w:bidi="ar-SA"/>
      </w:rPr>
    </w:lvl>
    <w:lvl w:ilvl="1" w:tplc="DE6446FE">
      <w:numFmt w:val="bullet"/>
      <w:lvlText w:val="•"/>
      <w:lvlJc w:val="left"/>
      <w:pPr>
        <w:ind w:left="632" w:hanging="284"/>
      </w:pPr>
      <w:rPr>
        <w:rFonts w:hint="default"/>
        <w:lang w:val="en-US" w:eastAsia="en-US" w:bidi="ar-SA"/>
      </w:rPr>
    </w:lvl>
    <w:lvl w:ilvl="2" w:tplc="0C64C5D4">
      <w:numFmt w:val="bullet"/>
      <w:lvlText w:val="•"/>
      <w:lvlJc w:val="left"/>
      <w:pPr>
        <w:ind w:left="824" w:hanging="284"/>
      </w:pPr>
      <w:rPr>
        <w:rFonts w:hint="default"/>
        <w:lang w:val="en-US" w:eastAsia="en-US" w:bidi="ar-SA"/>
      </w:rPr>
    </w:lvl>
    <w:lvl w:ilvl="3" w:tplc="C9BE194A">
      <w:numFmt w:val="bullet"/>
      <w:lvlText w:val="•"/>
      <w:lvlJc w:val="left"/>
      <w:pPr>
        <w:ind w:left="1017" w:hanging="284"/>
      </w:pPr>
      <w:rPr>
        <w:rFonts w:hint="default"/>
        <w:lang w:val="en-US" w:eastAsia="en-US" w:bidi="ar-SA"/>
      </w:rPr>
    </w:lvl>
    <w:lvl w:ilvl="4" w:tplc="A9CA2A12">
      <w:numFmt w:val="bullet"/>
      <w:lvlText w:val="•"/>
      <w:lvlJc w:val="left"/>
      <w:pPr>
        <w:ind w:left="1209" w:hanging="284"/>
      </w:pPr>
      <w:rPr>
        <w:rFonts w:hint="default"/>
        <w:lang w:val="en-US" w:eastAsia="en-US" w:bidi="ar-SA"/>
      </w:rPr>
    </w:lvl>
    <w:lvl w:ilvl="5" w:tplc="444EC19A">
      <w:numFmt w:val="bullet"/>
      <w:lvlText w:val="•"/>
      <w:lvlJc w:val="left"/>
      <w:pPr>
        <w:ind w:left="1402" w:hanging="284"/>
      </w:pPr>
      <w:rPr>
        <w:rFonts w:hint="default"/>
        <w:lang w:val="en-US" w:eastAsia="en-US" w:bidi="ar-SA"/>
      </w:rPr>
    </w:lvl>
    <w:lvl w:ilvl="6" w:tplc="E0CCB4F0">
      <w:numFmt w:val="bullet"/>
      <w:lvlText w:val="•"/>
      <w:lvlJc w:val="left"/>
      <w:pPr>
        <w:ind w:left="1594" w:hanging="284"/>
      </w:pPr>
      <w:rPr>
        <w:rFonts w:hint="default"/>
        <w:lang w:val="en-US" w:eastAsia="en-US" w:bidi="ar-SA"/>
      </w:rPr>
    </w:lvl>
    <w:lvl w:ilvl="7" w:tplc="E0C46FCE">
      <w:numFmt w:val="bullet"/>
      <w:lvlText w:val="•"/>
      <w:lvlJc w:val="left"/>
      <w:pPr>
        <w:ind w:left="1786" w:hanging="284"/>
      </w:pPr>
      <w:rPr>
        <w:rFonts w:hint="default"/>
        <w:lang w:val="en-US" w:eastAsia="en-US" w:bidi="ar-SA"/>
      </w:rPr>
    </w:lvl>
    <w:lvl w:ilvl="8" w:tplc="CC2EA06E">
      <w:numFmt w:val="bullet"/>
      <w:lvlText w:val="•"/>
      <w:lvlJc w:val="left"/>
      <w:pPr>
        <w:ind w:left="1979" w:hanging="284"/>
      </w:pPr>
      <w:rPr>
        <w:rFonts w:hint="default"/>
        <w:lang w:val="en-US" w:eastAsia="en-US" w:bidi="ar-SA"/>
      </w:rPr>
    </w:lvl>
  </w:abstractNum>
  <w:abstractNum w:abstractNumId="178" w15:restartNumberingAfterBreak="0">
    <w:nsid w:val="2B5934D2"/>
    <w:multiLevelType w:val="hybridMultilevel"/>
    <w:tmpl w:val="443AD31A"/>
    <w:lvl w:ilvl="0" w:tplc="0BE234C6">
      <w:numFmt w:val="bullet"/>
      <w:lvlText w:val=""/>
      <w:lvlJc w:val="left"/>
      <w:pPr>
        <w:ind w:left="391" w:hanging="284"/>
      </w:pPr>
      <w:rPr>
        <w:rFonts w:ascii="Symbol" w:eastAsia="Symbol" w:hAnsi="Symbol" w:cs="Symbol" w:hint="default"/>
        <w:b w:val="0"/>
        <w:bCs w:val="0"/>
        <w:i w:val="0"/>
        <w:iCs w:val="0"/>
        <w:color w:val="70004A"/>
        <w:spacing w:val="0"/>
        <w:w w:val="100"/>
        <w:sz w:val="18"/>
        <w:szCs w:val="18"/>
        <w:lang w:val="en-US" w:eastAsia="en-US" w:bidi="ar-SA"/>
      </w:rPr>
    </w:lvl>
    <w:lvl w:ilvl="1" w:tplc="0E1CCC18">
      <w:numFmt w:val="bullet"/>
      <w:lvlText w:val="•"/>
      <w:lvlJc w:val="left"/>
      <w:pPr>
        <w:ind w:left="650" w:hanging="284"/>
      </w:pPr>
      <w:rPr>
        <w:rFonts w:hint="default"/>
        <w:lang w:val="en-US" w:eastAsia="en-US" w:bidi="ar-SA"/>
      </w:rPr>
    </w:lvl>
    <w:lvl w:ilvl="2" w:tplc="63FC206E">
      <w:numFmt w:val="bullet"/>
      <w:lvlText w:val="•"/>
      <w:lvlJc w:val="left"/>
      <w:pPr>
        <w:ind w:left="901" w:hanging="284"/>
      </w:pPr>
      <w:rPr>
        <w:rFonts w:hint="default"/>
        <w:lang w:val="en-US" w:eastAsia="en-US" w:bidi="ar-SA"/>
      </w:rPr>
    </w:lvl>
    <w:lvl w:ilvl="3" w:tplc="7E4C8A50">
      <w:numFmt w:val="bullet"/>
      <w:lvlText w:val="•"/>
      <w:lvlJc w:val="left"/>
      <w:pPr>
        <w:ind w:left="1151" w:hanging="284"/>
      </w:pPr>
      <w:rPr>
        <w:rFonts w:hint="default"/>
        <w:lang w:val="en-US" w:eastAsia="en-US" w:bidi="ar-SA"/>
      </w:rPr>
    </w:lvl>
    <w:lvl w:ilvl="4" w:tplc="BA586058">
      <w:numFmt w:val="bullet"/>
      <w:lvlText w:val="•"/>
      <w:lvlJc w:val="left"/>
      <w:pPr>
        <w:ind w:left="1402" w:hanging="284"/>
      </w:pPr>
      <w:rPr>
        <w:rFonts w:hint="default"/>
        <w:lang w:val="en-US" w:eastAsia="en-US" w:bidi="ar-SA"/>
      </w:rPr>
    </w:lvl>
    <w:lvl w:ilvl="5" w:tplc="8B408B6A">
      <w:numFmt w:val="bullet"/>
      <w:lvlText w:val="•"/>
      <w:lvlJc w:val="left"/>
      <w:pPr>
        <w:ind w:left="1652" w:hanging="284"/>
      </w:pPr>
      <w:rPr>
        <w:rFonts w:hint="default"/>
        <w:lang w:val="en-US" w:eastAsia="en-US" w:bidi="ar-SA"/>
      </w:rPr>
    </w:lvl>
    <w:lvl w:ilvl="6" w:tplc="F7EE154C">
      <w:numFmt w:val="bullet"/>
      <w:lvlText w:val="•"/>
      <w:lvlJc w:val="left"/>
      <w:pPr>
        <w:ind w:left="1903" w:hanging="284"/>
      </w:pPr>
      <w:rPr>
        <w:rFonts w:hint="default"/>
        <w:lang w:val="en-US" w:eastAsia="en-US" w:bidi="ar-SA"/>
      </w:rPr>
    </w:lvl>
    <w:lvl w:ilvl="7" w:tplc="670E1C86">
      <w:numFmt w:val="bullet"/>
      <w:lvlText w:val="•"/>
      <w:lvlJc w:val="left"/>
      <w:pPr>
        <w:ind w:left="2153" w:hanging="284"/>
      </w:pPr>
      <w:rPr>
        <w:rFonts w:hint="default"/>
        <w:lang w:val="en-US" w:eastAsia="en-US" w:bidi="ar-SA"/>
      </w:rPr>
    </w:lvl>
    <w:lvl w:ilvl="8" w:tplc="A8BE04AC">
      <w:numFmt w:val="bullet"/>
      <w:lvlText w:val="•"/>
      <w:lvlJc w:val="left"/>
      <w:pPr>
        <w:ind w:left="2404" w:hanging="284"/>
      </w:pPr>
      <w:rPr>
        <w:rFonts w:hint="default"/>
        <w:lang w:val="en-US" w:eastAsia="en-US" w:bidi="ar-SA"/>
      </w:rPr>
    </w:lvl>
  </w:abstractNum>
  <w:abstractNum w:abstractNumId="179" w15:restartNumberingAfterBreak="0">
    <w:nsid w:val="2B8721DB"/>
    <w:multiLevelType w:val="hybridMultilevel"/>
    <w:tmpl w:val="EB7214F4"/>
    <w:lvl w:ilvl="0" w:tplc="59E8A576">
      <w:numFmt w:val="bullet"/>
      <w:lvlText w:val=""/>
      <w:lvlJc w:val="left"/>
      <w:pPr>
        <w:ind w:left="434" w:hanging="284"/>
      </w:pPr>
      <w:rPr>
        <w:rFonts w:ascii="Symbol" w:eastAsia="Symbol" w:hAnsi="Symbol" w:cs="Symbol" w:hint="default"/>
        <w:b w:val="0"/>
        <w:bCs w:val="0"/>
        <w:i w:val="0"/>
        <w:iCs w:val="0"/>
        <w:color w:val="70004A"/>
        <w:spacing w:val="0"/>
        <w:w w:val="100"/>
        <w:sz w:val="18"/>
        <w:szCs w:val="18"/>
        <w:lang w:val="en-US" w:eastAsia="en-US" w:bidi="ar-SA"/>
      </w:rPr>
    </w:lvl>
    <w:lvl w:ilvl="1" w:tplc="1C3C7DE0">
      <w:numFmt w:val="bullet"/>
      <w:lvlText w:val="•"/>
      <w:lvlJc w:val="left"/>
      <w:pPr>
        <w:ind w:left="637" w:hanging="284"/>
      </w:pPr>
      <w:rPr>
        <w:rFonts w:hint="default"/>
        <w:lang w:val="en-US" w:eastAsia="en-US" w:bidi="ar-SA"/>
      </w:rPr>
    </w:lvl>
    <w:lvl w:ilvl="2" w:tplc="70A84500">
      <w:numFmt w:val="bullet"/>
      <w:lvlText w:val="•"/>
      <w:lvlJc w:val="left"/>
      <w:pPr>
        <w:ind w:left="834" w:hanging="284"/>
      </w:pPr>
      <w:rPr>
        <w:rFonts w:hint="default"/>
        <w:lang w:val="en-US" w:eastAsia="en-US" w:bidi="ar-SA"/>
      </w:rPr>
    </w:lvl>
    <w:lvl w:ilvl="3" w:tplc="7BFE56CC">
      <w:numFmt w:val="bullet"/>
      <w:lvlText w:val="•"/>
      <w:lvlJc w:val="left"/>
      <w:pPr>
        <w:ind w:left="1031" w:hanging="284"/>
      </w:pPr>
      <w:rPr>
        <w:rFonts w:hint="default"/>
        <w:lang w:val="en-US" w:eastAsia="en-US" w:bidi="ar-SA"/>
      </w:rPr>
    </w:lvl>
    <w:lvl w:ilvl="4" w:tplc="276EF64A">
      <w:numFmt w:val="bullet"/>
      <w:lvlText w:val="•"/>
      <w:lvlJc w:val="left"/>
      <w:pPr>
        <w:ind w:left="1228" w:hanging="284"/>
      </w:pPr>
      <w:rPr>
        <w:rFonts w:hint="default"/>
        <w:lang w:val="en-US" w:eastAsia="en-US" w:bidi="ar-SA"/>
      </w:rPr>
    </w:lvl>
    <w:lvl w:ilvl="5" w:tplc="39EC71C2">
      <w:numFmt w:val="bullet"/>
      <w:lvlText w:val="•"/>
      <w:lvlJc w:val="left"/>
      <w:pPr>
        <w:ind w:left="1425" w:hanging="284"/>
      </w:pPr>
      <w:rPr>
        <w:rFonts w:hint="default"/>
        <w:lang w:val="en-US" w:eastAsia="en-US" w:bidi="ar-SA"/>
      </w:rPr>
    </w:lvl>
    <w:lvl w:ilvl="6" w:tplc="BF9C6A18">
      <w:numFmt w:val="bullet"/>
      <w:lvlText w:val="•"/>
      <w:lvlJc w:val="left"/>
      <w:pPr>
        <w:ind w:left="1622" w:hanging="284"/>
      </w:pPr>
      <w:rPr>
        <w:rFonts w:hint="default"/>
        <w:lang w:val="en-US" w:eastAsia="en-US" w:bidi="ar-SA"/>
      </w:rPr>
    </w:lvl>
    <w:lvl w:ilvl="7" w:tplc="776262BA">
      <w:numFmt w:val="bullet"/>
      <w:lvlText w:val="•"/>
      <w:lvlJc w:val="left"/>
      <w:pPr>
        <w:ind w:left="1819" w:hanging="284"/>
      </w:pPr>
      <w:rPr>
        <w:rFonts w:hint="default"/>
        <w:lang w:val="en-US" w:eastAsia="en-US" w:bidi="ar-SA"/>
      </w:rPr>
    </w:lvl>
    <w:lvl w:ilvl="8" w:tplc="FB987A74">
      <w:numFmt w:val="bullet"/>
      <w:lvlText w:val="•"/>
      <w:lvlJc w:val="left"/>
      <w:pPr>
        <w:ind w:left="2016" w:hanging="284"/>
      </w:pPr>
      <w:rPr>
        <w:rFonts w:hint="default"/>
        <w:lang w:val="en-US" w:eastAsia="en-US" w:bidi="ar-SA"/>
      </w:rPr>
    </w:lvl>
  </w:abstractNum>
  <w:abstractNum w:abstractNumId="180" w15:restartNumberingAfterBreak="0">
    <w:nsid w:val="2BDC49A8"/>
    <w:multiLevelType w:val="hybridMultilevel"/>
    <w:tmpl w:val="D6D41260"/>
    <w:lvl w:ilvl="0" w:tplc="6FCA090C">
      <w:numFmt w:val="bullet"/>
      <w:lvlText w:val=""/>
      <w:lvlJc w:val="left"/>
      <w:pPr>
        <w:ind w:left="439" w:hanging="284"/>
      </w:pPr>
      <w:rPr>
        <w:rFonts w:ascii="Symbol" w:eastAsia="Symbol" w:hAnsi="Symbol" w:cs="Symbol" w:hint="default"/>
        <w:b w:val="0"/>
        <w:bCs w:val="0"/>
        <w:i w:val="0"/>
        <w:iCs w:val="0"/>
        <w:color w:val="70004A"/>
        <w:spacing w:val="0"/>
        <w:w w:val="100"/>
        <w:sz w:val="18"/>
        <w:szCs w:val="18"/>
        <w:lang w:val="en-US" w:eastAsia="en-US" w:bidi="ar-SA"/>
      </w:rPr>
    </w:lvl>
    <w:lvl w:ilvl="1" w:tplc="858E30E4">
      <w:numFmt w:val="bullet"/>
      <w:lvlText w:val="•"/>
      <w:lvlJc w:val="left"/>
      <w:pPr>
        <w:ind w:left="674" w:hanging="284"/>
      </w:pPr>
      <w:rPr>
        <w:rFonts w:hint="default"/>
        <w:lang w:val="en-US" w:eastAsia="en-US" w:bidi="ar-SA"/>
      </w:rPr>
    </w:lvl>
    <w:lvl w:ilvl="2" w:tplc="F2E82E36">
      <w:numFmt w:val="bullet"/>
      <w:lvlText w:val="•"/>
      <w:lvlJc w:val="left"/>
      <w:pPr>
        <w:ind w:left="909" w:hanging="284"/>
      </w:pPr>
      <w:rPr>
        <w:rFonts w:hint="default"/>
        <w:lang w:val="en-US" w:eastAsia="en-US" w:bidi="ar-SA"/>
      </w:rPr>
    </w:lvl>
    <w:lvl w:ilvl="3" w:tplc="31A0276C">
      <w:numFmt w:val="bullet"/>
      <w:lvlText w:val="•"/>
      <w:lvlJc w:val="left"/>
      <w:pPr>
        <w:ind w:left="1143" w:hanging="284"/>
      </w:pPr>
      <w:rPr>
        <w:rFonts w:hint="default"/>
        <w:lang w:val="en-US" w:eastAsia="en-US" w:bidi="ar-SA"/>
      </w:rPr>
    </w:lvl>
    <w:lvl w:ilvl="4" w:tplc="A0D6C8F4">
      <w:numFmt w:val="bullet"/>
      <w:lvlText w:val="•"/>
      <w:lvlJc w:val="left"/>
      <w:pPr>
        <w:ind w:left="1378" w:hanging="284"/>
      </w:pPr>
      <w:rPr>
        <w:rFonts w:hint="default"/>
        <w:lang w:val="en-US" w:eastAsia="en-US" w:bidi="ar-SA"/>
      </w:rPr>
    </w:lvl>
    <w:lvl w:ilvl="5" w:tplc="D850F732">
      <w:numFmt w:val="bullet"/>
      <w:lvlText w:val="•"/>
      <w:lvlJc w:val="left"/>
      <w:pPr>
        <w:ind w:left="1612" w:hanging="284"/>
      </w:pPr>
      <w:rPr>
        <w:rFonts w:hint="default"/>
        <w:lang w:val="en-US" w:eastAsia="en-US" w:bidi="ar-SA"/>
      </w:rPr>
    </w:lvl>
    <w:lvl w:ilvl="6" w:tplc="E476163A">
      <w:numFmt w:val="bullet"/>
      <w:lvlText w:val="•"/>
      <w:lvlJc w:val="left"/>
      <w:pPr>
        <w:ind w:left="1847" w:hanging="284"/>
      </w:pPr>
      <w:rPr>
        <w:rFonts w:hint="default"/>
        <w:lang w:val="en-US" w:eastAsia="en-US" w:bidi="ar-SA"/>
      </w:rPr>
    </w:lvl>
    <w:lvl w:ilvl="7" w:tplc="00C03832">
      <w:numFmt w:val="bullet"/>
      <w:lvlText w:val="•"/>
      <w:lvlJc w:val="left"/>
      <w:pPr>
        <w:ind w:left="2081" w:hanging="284"/>
      </w:pPr>
      <w:rPr>
        <w:rFonts w:hint="default"/>
        <w:lang w:val="en-US" w:eastAsia="en-US" w:bidi="ar-SA"/>
      </w:rPr>
    </w:lvl>
    <w:lvl w:ilvl="8" w:tplc="585C1924">
      <w:numFmt w:val="bullet"/>
      <w:lvlText w:val="•"/>
      <w:lvlJc w:val="left"/>
      <w:pPr>
        <w:ind w:left="2316" w:hanging="284"/>
      </w:pPr>
      <w:rPr>
        <w:rFonts w:hint="default"/>
        <w:lang w:val="en-US" w:eastAsia="en-US" w:bidi="ar-SA"/>
      </w:rPr>
    </w:lvl>
  </w:abstractNum>
  <w:abstractNum w:abstractNumId="181" w15:restartNumberingAfterBreak="0">
    <w:nsid w:val="2BFF0C07"/>
    <w:multiLevelType w:val="hybridMultilevel"/>
    <w:tmpl w:val="1E2CFF3A"/>
    <w:lvl w:ilvl="0" w:tplc="ED742E66">
      <w:numFmt w:val="bullet"/>
      <w:lvlText w:val=""/>
      <w:lvlJc w:val="left"/>
      <w:pPr>
        <w:ind w:left="360" w:hanging="284"/>
      </w:pPr>
      <w:rPr>
        <w:rFonts w:ascii="Symbol" w:eastAsia="Symbol" w:hAnsi="Symbol" w:cs="Symbol" w:hint="default"/>
        <w:b w:val="0"/>
        <w:bCs w:val="0"/>
        <w:i w:val="0"/>
        <w:iCs w:val="0"/>
        <w:color w:val="70004A"/>
        <w:spacing w:val="0"/>
        <w:w w:val="100"/>
        <w:sz w:val="18"/>
        <w:szCs w:val="18"/>
        <w:lang w:val="en-US" w:eastAsia="en-US" w:bidi="ar-SA"/>
      </w:rPr>
    </w:lvl>
    <w:lvl w:ilvl="1" w:tplc="764CD3FA">
      <w:numFmt w:val="bullet"/>
      <w:lvlText w:val="•"/>
      <w:lvlJc w:val="left"/>
      <w:pPr>
        <w:ind w:left="464" w:hanging="284"/>
      </w:pPr>
      <w:rPr>
        <w:rFonts w:hint="default"/>
        <w:lang w:val="en-US" w:eastAsia="en-US" w:bidi="ar-SA"/>
      </w:rPr>
    </w:lvl>
    <w:lvl w:ilvl="2" w:tplc="AF142316">
      <w:numFmt w:val="bullet"/>
      <w:lvlText w:val="•"/>
      <w:lvlJc w:val="left"/>
      <w:pPr>
        <w:ind w:left="568" w:hanging="284"/>
      </w:pPr>
      <w:rPr>
        <w:rFonts w:hint="default"/>
        <w:lang w:val="en-US" w:eastAsia="en-US" w:bidi="ar-SA"/>
      </w:rPr>
    </w:lvl>
    <w:lvl w:ilvl="3" w:tplc="58729224">
      <w:numFmt w:val="bullet"/>
      <w:lvlText w:val="•"/>
      <w:lvlJc w:val="left"/>
      <w:pPr>
        <w:ind w:left="672" w:hanging="284"/>
      </w:pPr>
      <w:rPr>
        <w:rFonts w:hint="default"/>
        <w:lang w:val="en-US" w:eastAsia="en-US" w:bidi="ar-SA"/>
      </w:rPr>
    </w:lvl>
    <w:lvl w:ilvl="4" w:tplc="EC20420E">
      <w:numFmt w:val="bullet"/>
      <w:lvlText w:val="•"/>
      <w:lvlJc w:val="left"/>
      <w:pPr>
        <w:ind w:left="777" w:hanging="284"/>
      </w:pPr>
      <w:rPr>
        <w:rFonts w:hint="default"/>
        <w:lang w:val="en-US" w:eastAsia="en-US" w:bidi="ar-SA"/>
      </w:rPr>
    </w:lvl>
    <w:lvl w:ilvl="5" w:tplc="9F4EDAAE">
      <w:numFmt w:val="bullet"/>
      <w:lvlText w:val="•"/>
      <w:lvlJc w:val="left"/>
      <w:pPr>
        <w:ind w:left="881" w:hanging="284"/>
      </w:pPr>
      <w:rPr>
        <w:rFonts w:hint="default"/>
        <w:lang w:val="en-US" w:eastAsia="en-US" w:bidi="ar-SA"/>
      </w:rPr>
    </w:lvl>
    <w:lvl w:ilvl="6" w:tplc="BD304E7C">
      <w:numFmt w:val="bullet"/>
      <w:lvlText w:val="•"/>
      <w:lvlJc w:val="left"/>
      <w:pPr>
        <w:ind w:left="985" w:hanging="284"/>
      </w:pPr>
      <w:rPr>
        <w:rFonts w:hint="default"/>
        <w:lang w:val="en-US" w:eastAsia="en-US" w:bidi="ar-SA"/>
      </w:rPr>
    </w:lvl>
    <w:lvl w:ilvl="7" w:tplc="3E14F85C">
      <w:numFmt w:val="bullet"/>
      <w:lvlText w:val="•"/>
      <w:lvlJc w:val="left"/>
      <w:pPr>
        <w:ind w:left="1090" w:hanging="284"/>
      </w:pPr>
      <w:rPr>
        <w:rFonts w:hint="default"/>
        <w:lang w:val="en-US" w:eastAsia="en-US" w:bidi="ar-SA"/>
      </w:rPr>
    </w:lvl>
    <w:lvl w:ilvl="8" w:tplc="9E2A2006">
      <w:numFmt w:val="bullet"/>
      <w:lvlText w:val="•"/>
      <w:lvlJc w:val="left"/>
      <w:pPr>
        <w:ind w:left="1194" w:hanging="284"/>
      </w:pPr>
      <w:rPr>
        <w:rFonts w:hint="default"/>
        <w:lang w:val="en-US" w:eastAsia="en-US" w:bidi="ar-SA"/>
      </w:rPr>
    </w:lvl>
  </w:abstractNum>
  <w:abstractNum w:abstractNumId="182" w15:restartNumberingAfterBreak="0">
    <w:nsid w:val="2C613DAB"/>
    <w:multiLevelType w:val="hybridMultilevel"/>
    <w:tmpl w:val="3772656A"/>
    <w:lvl w:ilvl="0" w:tplc="FC7E0FCA">
      <w:numFmt w:val="bullet"/>
      <w:lvlText w:val=""/>
      <w:lvlJc w:val="left"/>
      <w:pPr>
        <w:ind w:left="314" w:hanging="284"/>
      </w:pPr>
      <w:rPr>
        <w:rFonts w:ascii="Symbol" w:eastAsia="Symbol" w:hAnsi="Symbol" w:cs="Symbol" w:hint="default"/>
        <w:b w:val="0"/>
        <w:bCs w:val="0"/>
        <w:i w:val="0"/>
        <w:iCs w:val="0"/>
        <w:color w:val="70004A"/>
        <w:spacing w:val="0"/>
        <w:w w:val="100"/>
        <w:sz w:val="18"/>
        <w:szCs w:val="18"/>
        <w:lang w:val="en-US" w:eastAsia="en-US" w:bidi="ar-SA"/>
      </w:rPr>
    </w:lvl>
    <w:lvl w:ilvl="1" w:tplc="20908272">
      <w:numFmt w:val="bullet"/>
      <w:lvlText w:val="•"/>
      <w:lvlJc w:val="left"/>
      <w:pPr>
        <w:ind w:left="440" w:hanging="284"/>
      </w:pPr>
      <w:rPr>
        <w:rFonts w:hint="default"/>
        <w:lang w:val="en-US" w:eastAsia="en-US" w:bidi="ar-SA"/>
      </w:rPr>
    </w:lvl>
    <w:lvl w:ilvl="2" w:tplc="CDCC8A1A">
      <w:numFmt w:val="bullet"/>
      <w:lvlText w:val="•"/>
      <w:lvlJc w:val="left"/>
      <w:pPr>
        <w:ind w:left="561" w:hanging="284"/>
      </w:pPr>
      <w:rPr>
        <w:rFonts w:hint="default"/>
        <w:lang w:val="en-US" w:eastAsia="en-US" w:bidi="ar-SA"/>
      </w:rPr>
    </w:lvl>
    <w:lvl w:ilvl="3" w:tplc="A262F41C">
      <w:numFmt w:val="bullet"/>
      <w:lvlText w:val="•"/>
      <w:lvlJc w:val="left"/>
      <w:pPr>
        <w:ind w:left="682" w:hanging="284"/>
      </w:pPr>
      <w:rPr>
        <w:rFonts w:hint="default"/>
        <w:lang w:val="en-US" w:eastAsia="en-US" w:bidi="ar-SA"/>
      </w:rPr>
    </w:lvl>
    <w:lvl w:ilvl="4" w:tplc="59F0A9BA">
      <w:numFmt w:val="bullet"/>
      <w:lvlText w:val="•"/>
      <w:lvlJc w:val="left"/>
      <w:pPr>
        <w:ind w:left="803" w:hanging="284"/>
      </w:pPr>
      <w:rPr>
        <w:rFonts w:hint="default"/>
        <w:lang w:val="en-US" w:eastAsia="en-US" w:bidi="ar-SA"/>
      </w:rPr>
    </w:lvl>
    <w:lvl w:ilvl="5" w:tplc="E2BAB1E8">
      <w:numFmt w:val="bullet"/>
      <w:lvlText w:val="•"/>
      <w:lvlJc w:val="left"/>
      <w:pPr>
        <w:ind w:left="924" w:hanging="284"/>
      </w:pPr>
      <w:rPr>
        <w:rFonts w:hint="default"/>
        <w:lang w:val="en-US" w:eastAsia="en-US" w:bidi="ar-SA"/>
      </w:rPr>
    </w:lvl>
    <w:lvl w:ilvl="6" w:tplc="9620F2C8">
      <w:numFmt w:val="bullet"/>
      <w:lvlText w:val="•"/>
      <w:lvlJc w:val="left"/>
      <w:pPr>
        <w:ind w:left="1045" w:hanging="284"/>
      </w:pPr>
      <w:rPr>
        <w:rFonts w:hint="default"/>
        <w:lang w:val="en-US" w:eastAsia="en-US" w:bidi="ar-SA"/>
      </w:rPr>
    </w:lvl>
    <w:lvl w:ilvl="7" w:tplc="762E3E1A">
      <w:numFmt w:val="bullet"/>
      <w:lvlText w:val="•"/>
      <w:lvlJc w:val="left"/>
      <w:pPr>
        <w:ind w:left="1166" w:hanging="284"/>
      </w:pPr>
      <w:rPr>
        <w:rFonts w:hint="default"/>
        <w:lang w:val="en-US" w:eastAsia="en-US" w:bidi="ar-SA"/>
      </w:rPr>
    </w:lvl>
    <w:lvl w:ilvl="8" w:tplc="E2F09706">
      <w:numFmt w:val="bullet"/>
      <w:lvlText w:val="•"/>
      <w:lvlJc w:val="left"/>
      <w:pPr>
        <w:ind w:left="1287" w:hanging="284"/>
      </w:pPr>
      <w:rPr>
        <w:rFonts w:hint="default"/>
        <w:lang w:val="en-US" w:eastAsia="en-US" w:bidi="ar-SA"/>
      </w:rPr>
    </w:lvl>
  </w:abstractNum>
  <w:abstractNum w:abstractNumId="183" w15:restartNumberingAfterBreak="0">
    <w:nsid w:val="2C7F3111"/>
    <w:multiLevelType w:val="hybridMultilevel"/>
    <w:tmpl w:val="50AA1728"/>
    <w:lvl w:ilvl="0" w:tplc="DA3CBF1C">
      <w:numFmt w:val="bullet"/>
      <w:lvlText w:val=""/>
      <w:lvlJc w:val="left"/>
      <w:pPr>
        <w:ind w:left="360" w:hanging="284"/>
      </w:pPr>
      <w:rPr>
        <w:rFonts w:ascii="Symbol" w:eastAsia="Symbol" w:hAnsi="Symbol" w:cs="Symbol" w:hint="default"/>
        <w:b w:val="0"/>
        <w:bCs w:val="0"/>
        <w:i w:val="0"/>
        <w:iCs w:val="0"/>
        <w:color w:val="70004A"/>
        <w:spacing w:val="0"/>
        <w:w w:val="100"/>
        <w:sz w:val="18"/>
        <w:szCs w:val="18"/>
        <w:lang w:val="en-US" w:eastAsia="en-US" w:bidi="ar-SA"/>
      </w:rPr>
    </w:lvl>
    <w:lvl w:ilvl="1" w:tplc="277641BE">
      <w:numFmt w:val="bullet"/>
      <w:lvlText w:val="•"/>
      <w:lvlJc w:val="left"/>
      <w:pPr>
        <w:ind w:left="469" w:hanging="284"/>
      </w:pPr>
      <w:rPr>
        <w:rFonts w:hint="default"/>
        <w:lang w:val="en-US" w:eastAsia="en-US" w:bidi="ar-SA"/>
      </w:rPr>
    </w:lvl>
    <w:lvl w:ilvl="2" w:tplc="725CA7C8">
      <w:numFmt w:val="bullet"/>
      <w:lvlText w:val="•"/>
      <w:lvlJc w:val="left"/>
      <w:pPr>
        <w:ind w:left="579" w:hanging="284"/>
      </w:pPr>
      <w:rPr>
        <w:rFonts w:hint="default"/>
        <w:lang w:val="en-US" w:eastAsia="en-US" w:bidi="ar-SA"/>
      </w:rPr>
    </w:lvl>
    <w:lvl w:ilvl="3" w:tplc="0ECA9840">
      <w:numFmt w:val="bullet"/>
      <w:lvlText w:val="•"/>
      <w:lvlJc w:val="left"/>
      <w:pPr>
        <w:ind w:left="689" w:hanging="284"/>
      </w:pPr>
      <w:rPr>
        <w:rFonts w:hint="default"/>
        <w:lang w:val="en-US" w:eastAsia="en-US" w:bidi="ar-SA"/>
      </w:rPr>
    </w:lvl>
    <w:lvl w:ilvl="4" w:tplc="378EAA48">
      <w:numFmt w:val="bullet"/>
      <w:lvlText w:val="•"/>
      <w:lvlJc w:val="left"/>
      <w:pPr>
        <w:ind w:left="799" w:hanging="284"/>
      </w:pPr>
      <w:rPr>
        <w:rFonts w:hint="default"/>
        <w:lang w:val="en-US" w:eastAsia="en-US" w:bidi="ar-SA"/>
      </w:rPr>
    </w:lvl>
    <w:lvl w:ilvl="5" w:tplc="22404AA6">
      <w:numFmt w:val="bullet"/>
      <w:lvlText w:val="•"/>
      <w:lvlJc w:val="left"/>
      <w:pPr>
        <w:ind w:left="909" w:hanging="284"/>
      </w:pPr>
      <w:rPr>
        <w:rFonts w:hint="default"/>
        <w:lang w:val="en-US" w:eastAsia="en-US" w:bidi="ar-SA"/>
      </w:rPr>
    </w:lvl>
    <w:lvl w:ilvl="6" w:tplc="59660E64">
      <w:numFmt w:val="bullet"/>
      <w:lvlText w:val="•"/>
      <w:lvlJc w:val="left"/>
      <w:pPr>
        <w:ind w:left="1018" w:hanging="284"/>
      </w:pPr>
      <w:rPr>
        <w:rFonts w:hint="default"/>
        <w:lang w:val="en-US" w:eastAsia="en-US" w:bidi="ar-SA"/>
      </w:rPr>
    </w:lvl>
    <w:lvl w:ilvl="7" w:tplc="743A65F6">
      <w:numFmt w:val="bullet"/>
      <w:lvlText w:val="•"/>
      <w:lvlJc w:val="left"/>
      <w:pPr>
        <w:ind w:left="1128" w:hanging="284"/>
      </w:pPr>
      <w:rPr>
        <w:rFonts w:hint="default"/>
        <w:lang w:val="en-US" w:eastAsia="en-US" w:bidi="ar-SA"/>
      </w:rPr>
    </w:lvl>
    <w:lvl w:ilvl="8" w:tplc="08CE0924">
      <w:numFmt w:val="bullet"/>
      <w:lvlText w:val="•"/>
      <w:lvlJc w:val="left"/>
      <w:pPr>
        <w:ind w:left="1238" w:hanging="284"/>
      </w:pPr>
      <w:rPr>
        <w:rFonts w:hint="default"/>
        <w:lang w:val="en-US" w:eastAsia="en-US" w:bidi="ar-SA"/>
      </w:rPr>
    </w:lvl>
  </w:abstractNum>
  <w:abstractNum w:abstractNumId="184" w15:restartNumberingAfterBreak="0">
    <w:nsid w:val="2C846C85"/>
    <w:multiLevelType w:val="hybridMultilevel"/>
    <w:tmpl w:val="ED649448"/>
    <w:lvl w:ilvl="0" w:tplc="22AC834C">
      <w:numFmt w:val="bullet"/>
      <w:lvlText w:val=""/>
      <w:lvlJc w:val="left"/>
      <w:pPr>
        <w:ind w:left="462" w:hanging="284"/>
      </w:pPr>
      <w:rPr>
        <w:rFonts w:ascii="Symbol" w:eastAsia="Symbol" w:hAnsi="Symbol" w:cs="Symbol" w:hint="default"/>
        <w:b w:val="0"/>
        <w:bCs w:val="0"/>
        <w:i w:val="0"/>
        <w:iCs w:val="0"/>
        <w:color w:val="70004A"/>
        <w:spacing w:val="0"/>
        <w:w w:val="100"/>
        <w:sz w:val="18"/>
        <w:szCs w:val="18"/>
        <w:lang w:val="en-US" w:eastAsia="en-US" w:bidi="ar-SA"/>
      </w:rPr>
    </w:lvl>
    <w:lvl w:ilvl="1" w:tplc="A03822A4">
      <w:numFmt w:val="bullet"/>
      <w:lvlText w:val="•"/>
      <w:lvlJc w:val="left"/>
      <w:pPr>
        <w:ind w:left="727" w:hanging="284"/>
      </w:pPr>
      <w:rPr>
        <w:rFonts w:hint="default"/>
        <w:lang w:val="en-US" w:eastAsia="en-US" w:bidi="ar-SA"/>
      </w:rPr>
    </w:lvl>
    <w:lvl w:ilvl="2" w:tplc="416C5FDE">
      <w:numFmt w:val="bullet"/>
      <w:lvlText w:val="•"/>
      <w:lvlJc w:val="left"/>
      <w:pPr>
        <w:ind w:left="995" w:hanging="284"/>
      </w:pPr>
      <w:rPr>
        <w:rFonts w:hint="default"/>
        <w:lang w:val="en-US" w:eastAsia="en-US" w:bidi="ar-SA"/>
      </w:rPr>
    </w:lvl>
    <w:lvl w:ilvl="3" w:tplc="2F343B12">
      <w:numFmt w:val="bullet"/>
      <w:lvlText w:val="•"/>
      <w:lvlJc w:val="left"/>
      <w:pPr>
        <w:ind w:left="1263" w:hanging="284"/>
      </w:pPr>
      <w:rPr>
        <w:rFonts w:hint="default"/>
        <w:lang w:val="en-US" w:eastAsia="en-US" w:bidi="ar-SA"/>
      </w:rPr>
    </w:lvl>
    <w:lvl w:ilvl="4" w:tplc="9F3E8C64">
      <w:numFmt w:val="bullet"/>
      <w:lvlText w:val="•"/>
      <w:lvlJc w:val="left"/>
      <w:pPr>
        <w:ind w:left="1531" w:hanging="284"/>
      </w:pPr>
      <w:rPr>
        <w:rFonts w:hint="default"/>
        <w:lang w:val="en-US" w:eastAsia="en-US" w:bidi="ar-SA"/>
      </w:rPr>
    </w:lvl>
    <w:lvl w:ilvl="5" w:tplc="4658FEFE">
      <w:numFmt w:val="bullet"/>
      <w:lvlText w:val="•"/>
      <w:lvlJc w:val="left"/>
      <w:pPr>
        <w:ind w:left="1799" w:hanging="284"/>
      </w:pPr>
      <w:rPr>
        <w:rFonts w:hint="default"/>
        <w:lang w:val="en-US" w:eastAsia="en-US" w:bidi="ar-SA"/>
      </w:rPr>
    </w:lvl>
    <w:lvl w:ilvl="6" w:tplc="21E0EB54">
      <w:numFmt w:val="bullet"/>
      <w:lvlText w:val="•"/>
      <w:lvlJc w:val="left"/>
      <w:pPr>
        <w:ind w:left="2067" w:hanging="284"/>
      </w:pPr>
      <w:rPr>
        <w:rFonts w:hint="default"/>
        <w:lang w:val="en-US" w:eastAsia="en-US" w:bidi="ar-SA"/>
      </w:rPr>
    </w:lvl>
    <w:lvl w:ilvl="7" w:tplc="7F72AFE6">
      <w:numFmt w:val="bullet"/>
      <w:lvlText w:val="•"/>
      <w:lvlJc w:val="left"/>
      <w:pPr>
        <w:ind w:left="2335" w:hanging="284"/>
      </w:pPr>
      <w:rPr>
        <w:rFonts w:hint="default"/>
        <w:lang w:val="en-US" w:eastAsia="en-US" w:bidi="ar-SA"/>
      </w:rPr>
    </w:lvl>
    <w:lvl w:ilvl="8" w:tplc="A7481A72">
      <w:numFmt w:val="bullet"/>
      <w:lvlText w:val="•"/>
      <w:lvlJc w:val="left"/>
      <w:pPr>
        <w:ind w:left="2603" w:hanging="284"/>
      </w:pPr>
      <w:rPr>
        <w:rFonts w:hint="default"/>
        <w:lang w:val="en-US" w:eastAsia="en-US" w:bidi="ar-SA"/>
      </w:rPr>
    </w:lvl>
  </w:abstractNum>
  <w:abstractNum w:abstractNumId="185" w15:restartNumberingAfterBreak="0">
    <w:nsid w:val="2D205B18"/>
    <w:multiLevelType w:val="hybridMultilevel"/>
    <w:tmpl w:val="F45AABDC"/>
    <w:lvl w:ilvl="0" w:tplc="C472BC16">
      <w:numFmt w:val="bullet"/>
      <w:lvlText w:val=""/>
      <w:lvlJc w:val="left"/>
      <w:pPr>
        <w:ind w:left="425" w:hanging="284"/>
      </w:pPr>
      <w:rPr>
        <w:rFonts w:ascii="Symbol" w:eastAsia="Symbol" w:hAnsi="Symbol" w:cs="Symbol" w:hint="default"/>
        <w:b w:val="0"/>
        <w:bCs w:val="0"/>
        <w:i w:val="0"/>
        <w:iCs w:val="0"/>
        <w:color w:val="70004A"/>
        <w:spacing w:val="0"/>
        <w:w w:val="100"/>
        <w:sz w:val="18"/>
        <w:szCs w:val="18"/>
        <w:lang w:val="en-US" w:eastAsia="en-US" w:bidi="ar-SA"/>
      </w:rPr>
    </w:lvl>
    <w:lvl w:ilvl="1" w:tplc="4F6C4D06">
      <w:numFmt w:val="bullet"/>
      <w:lvlText w:val="•"/>
      <w:lvlJc w:val="left"/>
      <w:pPr>
        <w:ind w:left="607" w:hanging="284"/>
      </w:pPr>
      <w:rPr>
        <w:rFonts w:hint="default"/>
        <w:lang w:val="en-US" w:eastAsia="en-US" w:bidi="ar-SA"/>
      </w:rPr>
    </w:lvl>
    <w:lvl w:ilvl="2" w:tplc="65EA498A">
      <w:numFmt w:val="bullet"/>
      <w:lvlText w:val="•"/>
      <w:lvlJc w:val="left"/>
      <w:pPr>
        <w:ind w:left="794" w:hanging="284"/>
      </w:pPr>
      <w:rPr>
        <w:rFonts w:hint="default"/>
        <w:lang w:val="en-US" w:eastAsia="en-US" w:bidi="ar-SA"/>
      </w:rPr>
    </w:lvl>
    <w:lvl w:ilvl="3" w:tplc="CBAE7964">
      <w:numFmt w:val="bullet"/>
      <w:lvlText w:val="•"/>
      <w:lvlJc w:val="left"/>
      <w:pPr>
        <w:ind w:left="981" w:hanging="284"/>
      </w:pPr>
      <w:rPr>
        <w:rFonts w:hint="default"/>
        <w:lang w:val="en-US" w:eastAsia="en-US" w:bidi="ar-SA"/>
      </w:rPr>
    </w:lvl>
    <w:lvl w:ilvl="4" w:tplc="7824626E">
      <w:numFmt w:val="bullet"/>
      <w:lvlText w:val="•"/>
      <w:lvlJc w:val="left"/>
      <w:pPr>
        <w:ind w:left="1168" w:hanging="284"/>
      </w:pPr>
      <w:rPr>
        <w:rFonts w:hint="default"/>
        <w:lang w:val="en-US" w:eastAsia="en-US" w:bidi="ar-SA"/>
      </w:rPr>
    </w:lvl>
    <w:lvl w:ilvl="5" w:tplc="AF32A268">
      <w:numFmt w:val="bullet"/>
      <w:lvlText w:val="•"/>
      <w:lvlJc w:val="left"/>
      <w:pPr>
        <w:ind w:left="1355" w:hanging="284"/>
      </w:pPr>
      <w:rPr>
        <w:rFonts w:hint="default"/>
        <w:lang w:val="en-US" w:eastAsia="en-US" w:bidi="ar-SA"/>
      </w:rPr>
    </w:lvl>
    <w:lvl w:ilvl="6" w:tplc="FEB63774">
      <w:numFmt w:val="bullet"/>
      <w:lvlText w:val="•"/>
      <w:lvlJc w:val="left"/>
      <w:pPr>
        <w:ind w:left="1542" w:hanging="284"/>
      </w:pPr>
      <w:rPr>
        <w:rFonts w:hint="default"/>
        <w:lang w:val="en-US" w:eastAsia="en-US" w:bidi="ar-SA"/>
      </w:rPr>
    </w:lvl>
    <w:lvl w:ilvl="7" w:tplc="D8F6CF4E">
      <w:numFmt w:val="bullet"/>
      <w:lvlText w:val="•"/>
      <w:lvlJc w:val="left"/>
      <w:pPr>
        <w:ind w:left="1729" w:hanging="284"/>
      </w:pPr>
      <w:rPr>
        <w:rFonts w:hint="default"/>
        <w:lang w:val="en-US" w:eastAsia="en-US" w:bidi="ar-SA"/>
      </w:rPr>
    </w:lvl>
    <w:lvl w:ilvl="8" w:tplc="7D84C0CA">
      <w:numFmt w:val="bullet"/>
      <w:lvlText w:val="•"/>
      <w:lvlJc w:val="left"/>
      <w:pPr>
        <w:ind w:left="1916" w:hanging="284"/>
      </w:pPr>
      <w:rPr>
        <w:rFonts w:hint="default"/>
        <w:lang w:val="en-US" w:eastAsia="en-US" w:bidi="ar-SA"/>
      </w:rPr>
    </w:lvl>
  </w:abstractNum>
  <w:abstractNum w:abstractNumId="186" w15:restartNumberingAfterBreak="0">
    <w:nsid w:val="2D4A38CB"/>
    <w:multiLevelType w:val="hybridMultilevel"/>
    <w:tmpl w:val="0FD80D86"/>
    <w:lvl w:ilvl="0" w:tplc="1CBA9588">
      <w:numFmt w:val="bullet"/>
      <w:lvlText w:val=""/>
      <w:lvlJc w:val="left"/>
      <w:pPr>
        <w:ind w:left="438" w:hanging="284"/>
      </w:pPr>
      <w:rPr>
        <w:rFonts w:ascii="Symbol" w:eastAsia="Symbol" w:hAnsi="Symbol" w:cs="Symbol" w:hint="default"/>
        <w:b w:val="0"/>
        <w:bCs w:val="0"/>
        <w:i w:val="0"/>
        <w:iCs w:val="0"/>
        <w:color w:val="70004A"/>
        <w:spacing w:val="0"/>
        <w:w w:val="100"/>
        <w:sz w:val="18"/>
        <w:szCs w:val="18"/>
        <w:lang w:val="en-US" w:eastAsia="en-US" w:bidi="ar-SA"/>
      </w:rPr>
    </w:lvl>
    <w:lvl w:ilvl="1" w:tplc="2B744614">
      <w:numFmt w:val="bullet"/>
      <w:lvlText w:val="•"/>
      <w:lvlJc w:val="left"/>
      <w:pPr>
        <w:ind w:left="702" w:hanging="284"/>
      </w:pPr>
      <w:rPr>
        <w:rFonts w:hint="default"/>
        <w:lang w:val="en-US" w:eastAsia="en-US" w:bidi="ar-SA"/>
      </w:rPr>
    </w:lvl>
    <w:lvl w:ilvl="2" w:tplc="BD109ACE">
      <w:numFmt w:val="bullet"/>
      <w:lvlText w:val="•"/>
      <w:lvlJc w:val="left"/>
      <w:pPr>
        <w:ind w:left="965" w:hanging="284"/>
      </w:pPr>
      <w:rPr>
        <w:rFonts w:hint="default"/>
        <w:lang w:val="en-US" w:eastAsia="en-US" w:bidi="ar-SA"/>
      </w:rPr>
    </w:lvl>
    <w:lvl w:ilvl="3" w:tplc="675E1EE6">
      <w:numFmt w:val="bullet"/>
      <w:lvlText w:val="•"/>
      <w:lvlJc w:val="left"/>
      <w:pPr>
        <w:ind w:left="1228" w:hanging="284"/>
      </w:pPr>
      <w:rPr>
        <w:rFonts w:hint="default"/>
        <w:lang w:val="en-US" w:eastAsia="en-US" w:bidi="ar-SA"/>
      </w:rPr>
    </w:lvl>
    <w:lvl w:ilvl="4" w:tplc="B5DEA080">
      <w:numFmt w:val="bullet"/>
      <w:lvlText w:val="•"/>
      <w:lvlJc w:val="left"/>
      <w:pPr>
        <w:ind w:left="1491" w:hanging="284"/>
      </w:pPr>
      <w:rPr>
        <w:rFonts w:hint="default"/>
        <w:lang w:val="en-US" w:eastAsia="en-US" w:bidi="ar-SA"/>
      </w:rPr>
    </w:lvl>
    <w:lvl w:ilvl="5" w:tplc="D80E2AE8">
      <w:numFmt w:val="bullet"/>
      <w:lvlText w:val="•"/>
      <w:lvlJc w:val="left"/>
      <w:pPr>
        <w:ind w:left="1754" w:hanging="284"/>
      </w:pPr>
      <w:rPr>
        <w:rFonts w:hint="default"/>
        <w:lang w:val="en-US" w:eastAsia="en-US" w:bidi="ar-SA"/>
      </w:rPr>
    </w:lvl>
    <w:lvl w:ilvl="6" w:tplc="8264C742">
      <w:numFmt w:val="bullet"/>
      <w:lvlText w:val="•"/>
      <w:lvlJc w:val="left"/>
      <w:pPr>
        <w:ind w:left="2016" w:hanging="284"/>
      </w:pPr>
      <w:rPr>
        <w:rFonts w:hint="default"/>
        <w:lang w:val="en-US" w:eastAsia="en-US" w:bidi="ar-SA"/>
      </w:rPr>
    </w:lvl>
    <w:lvl w:ilvl="7" w:tplc="BF42CCAC">
      <w:numFmt w:val="bullet"/>
      <w:lvlText w:val="•"/>
      <w:lvlJc w:val="left"/>
      <w:pPr>
        <w:ind w:left="2279" w:hanging="284"/>
      </w:pPr>
      <w:rPr>
        <w:rFonts w:hint="default"/>
        <w:lang w:val="en-US" w:eastAsia="en-US" w:bidi="ar-SA"/>
      </w:rPr>
    </w:lvl>
    <w:lvl w:ilvl="8" w:tplc="97CE37B8">
      <w:numFmt w:val="bullet"/>
      <w:lvlText w:val="•"/>
      <w:lvlJc w:val="left"/>
      <w:pPr>
        <w:ind w:left="2542" w:hanging="284"/>
      </w:pPr>
      <w:rPr>
        <w:rFonts w:hint="default"/>
        <w:lang w:val="en-US" w:eastAsia="en-US" w:bidi="ar-SA"/>
      </w:rPr>
    </w:lvl>
  </w:abstractNum>
  <w:abstractNum w:abstractNumId="187" w15:restartNumberingAfterBreak="0">
    <w:nsid w:val="2DB001C4"/>
    <w:multiLevelType w:val="hybridMultilevel"/>
    <w:tmpl w:val="EA7C32C2"/>
    <w:lvl w:ilvl="0" w:tplc="97DC6E34">
      <w:numFmt w:val="bullet"/>
      <w:lvlText w:val=""/>
      <w:lvlJc w:val="left"/>
      <w:pPr>
        <w:ind w:left="482" w:hanging="284"/>
      </w:pPr>
      <w:rPr>
        <w:rFonts w:ascii="Symbol" w:eastAsia="Symbol" w:hAnsi="Symbol" w:cs="Symbol" w:hint="default"/>
        <w:b w:val="0"/>
        <w:bCs w:val="0"/>
        <w:i w:val="0"/>
        <w:iCs w:val="0"/>
        <w:color w:val="70004A"/>
        <w:spacing w:val="0"/>
        <w:w w:val="100"/>
        <w:sz w:val="18"/>
        <w:szCs w:val="18"/>
        <w:lang w:val="en-US" w:eastAsia="en-US" w:bidi="ar-SA"/>
      </w:rPr>
    </w:lvl>
    <w:lvl w:ilvl="1" w:tplc="3B0C8BAA">
      <w:numFmt w:val="bullet"/>
      <w:lvlText w:val="•"/>
      <w:lvlJc w:val="left"/>
      <w:pPr>
        <w:ind w:left="745" w:hanging="284"/>
      </w:pPr>
      <w:rPr>
        <w:rFonts w:hint="default"/>
        <w:lang w:val="en-US" w:eastAsia="en-US" w:bidi="ar-SA"/>
      </w:rPr>
    </w:lvl>
    <w:lvl w:ilvl="2" w:tplc="5F0CCBB0">
      <w:numFmt w:val="bullet"/>
      <w:lvlText w:val="•"/>
      <w:lvlJc w:val="left"/>
      <w:pPr>
        <w:ind w:left="1010" w:hanging="284"/>
      </w:pPr>
      <w:rPr>
        <w:rFonts w:hint="default"/>
        <w:lang w:val="en-US" w:eastAsia="en-US" w:bidi="ar-SA"/>
      </w:rPr>
    </w:lvl>
    <w:lvl w:ilvl="3" w:tplc="CF50B40C">
      <w:numFmt w:val="bullet"/>
      <w:lvlText w:val="•"/>
      <w:lvlJc w:val="left"/>
      <w:pPr>
        <w:ind w:left="1275" w:hanging="284"/>
      </w:pPr>
      <w:rPr>
        <w:rFonts w:hint="default"/>
        <w:lang w:val="en-US" w:eastAsia="en-US" w:bidi="ar-SA"/>
      </w:rPr>
    </w:lvl>
    <w:lvl w:ilvl="4" w:tplc="DDFCAA58">
      <w:numFmt w:val="bullet"/>
      <w:lvlText w:val="•"/>
      <w:lvlJc w:val="left"/>
      <w:pPr>
        <w:ind w:left="1540" w:hanging="284"/>
      </w:pPr>
      <w:rPr>
        <w:rFonts w:hint="default"/>
        <w:lang w:val="en-US" w:eastAsia="en-US" w:bidi="ar-SA"/>
      </w:rPr>
    </w:lvl>
    <w:lvl w:ilvl="5" w:tplc="8A1835AC">
      <w:numFmt w:val="bullet"/>
      <w:lvlText w:val="•"/>
      <w:lvlJc w:val="left"/>
      <w:pPr>
        <w:ind w:left="1805" w:hanging="284"/>
      </w:pPr>
      <w:rPr>
        <w:rFonts w:hint="default"/>
        <w:lang w:val="en-US" w:eastAsia="en-US" w:bidi="ar-SA"/>
      </w:rPr>
    </w:lvl>
    <w:lvl w:ilvl="6" w:tplc="6400BE08">
      <w:numFmt w:val="bullet"/>
      <w:lvlText w:val="•"/>
      <w:lvlJc w:val="left"/>
      <w:pPr>
        <w:ind w:left="2070" w:hanging="284"/>
      </w:pPr>
      <w:rPr>
        <w:rFonts w:hint="default"/>
        <w:lang w:val="en-US" w:eastAsia="en-US" w:bidi="ar-SA"/>
      </w:rPr>
    </w:lvl>
    <w:lvl w:ilvl="7" w:tplc="B9DA6BB4">
      <w:numFmt w:val="bullet"/>
      <w:lvlText w:val="•"/>
      <w:lvlJc w:val="left"/>
      <w:pPr>
        <w:ind w:left="2335" w:hanging="284"/>
      </w:pPr>
      <w:rPr>
        <w:rFonts w:hint="default"/>
        <w:lang w:val="en-US" w:eastAsia="en-US" w:bidi="ar-SA"/>
      </w:rPr>
    </w:lvl>
    <w:lvl w:ilvl="8" w:tplc="40DA4982">
      <w:numFmt w:val="bullet"/>
      <w:lvlText w:val="•"/>
      <w:lvlJc w:val="left"/>
      <w:pPr>
        <w:ind w:left="2600" w:hanging="284"/>
      </w:pPr>
      <w:rPr>
        <w:rFonts w:hint="default"/>
        <w:lang w:val="en-US" w:eastAsia="en-US" w:bidi="ar-SA"/>
      </w:rPr>
    </w:lvl>
  </w:abstractNum>
  <w:abstractNum w:abstractNumId="188" w15:restartNumberingAfterBreak="0">
    <w:nsid w:val="2DD03E41"/>
    <w:multiLevelType w:val="hybridMultilevel"/>
    <w:tmpl w:val="165AFFA6"/>
    <w:lvl w:ilvl="0" w:tplc="22B021CE">
      <w:numFmt w:val="bullet"/>
      <w:lvlText w:val=""/>
      <w:lvlJc w:val="left"/>
      <w:pPr>
        <w:ind w:left="502" w:hanging="360"/>
      </w:pPr>
      <w:rPr>
        <w:rFonts w:ascii="Symbol" w:eastAsia="Symbol" w:hAnsi="Symbol" w:cs="Symbol" w:hint="default"/>
        <w:b w:val="0"/>
        <w:bCs w:val="0"/>
        <w:i w:val="0"/>
        <w:iCs w:val="0"/>
        <w:color w:val="70004A"/>
        <w:spacing w:val="0"/>
        <w:w w:val="100"/>
        <w:sz w:val="20"/>
        <w:szCs w:val="20"/>
        <w:lang w:val="en-US" w:eastAsia="en-US" w:bidi="ar-SA"/>
      </w:rPr>
    </w:lvl>
    <w:lvl w:ilvl="1" w:tplc="5D2CD6C6">
      <w:numFmt w:val="bullet"/>
      <w:lvlText w:val="•"/>
      <w:lvlJc w:val="left"/>
      <w:pPr>
        <w:ind w:left="1428" w:hanging="360"/>
      </w:pPr>
      <w:rPr>
        <w:rFonts w:hint="default"/>
        <w:lang w:val="en-US" w:eastAsia="en-US" w:bidi="ar-SA"/>
      </w:rPr>
    </w:lvl>
    <w:lvl w:ilvl="2" w:tplc="EA742A12">
      <w:numFmt w:val="bullet"/>
      <w:lvlText w:val="•"/>
      <w:lvlJc w:val="left"/>
      <w:pPr>
        <w:ind w:left="2356" w:hanging="360"/>
      </w:pPr>
      <w:rPr>
        <w:rFonts w:hint="default"/>
        <w:lang w:val="en-US" w:eastAsia="en-US" w:bidi="ar-SA"/>
      </w:rPr>
    </w:lvl>
    <w:lvl w:ilvl="3" w:tplc="4AF0274A">
      <w:numFmt w:val="bullet"/>
      <w:lvlText w:val="•"/>
      <w:lvlJc w:val="left"/>
      <w:pPr>
        <w:ind w:left="3284" w:hanging="360"/>
      </w:pPr>
      <w:rPr>
        <w:rFonts w:hint="default"/>
        <w:lang w:val="en-US" w:eastAsia="en-US" w:bidi="ar-SA"/>
      </w:rPr>
    </w:lvl>
    <w:lvl w:ilvl="4" w:tplc="8FA2B8B0">
      <w:numFmt w:val="bullet"/>
      <w:lvlText w:val="•"/>
      <w:lvlJc w:val="left"/>
      <w:pPr>
        <w:ind w:left="4212" w:hanging="360"/>
      </w:pPr>
      <w:rPr>
        <w:rFonts w:hint="default"/>
        <w:lang w:val="en-US" w:eastAsia="en-US" w:bidi="ar-SA"/>
      </w:rPr>
    </w:lvl>
    <w:lvl w:ilvl="5" w:tplc="EBC0D8EC">
      <w:numFmt w:val="bullet"/>
      <w:lvlText w:val="•"/>
      <w:lvlJc w:val="left"/>
      <w:pPr>
        <w:ind w:left="5140" w:hanging="360"/>
      </w:pPr>
      <w:rPr>
        <w:rFonts w:hint="default"/>
        <w:lang w:val="en-US" w:eastAsia="en-US" w:bidi="ar-SA"/>
      </w:rPr>
    </w:lvl>
    <w:lvl w:ilvl="6" w:tplc="94DC2D10">
      <w:numFmt w:val="bullet"/>
      <w:lvlText w:val="•"/>
      <w:lvlJc w:val="left"/>
      <w:pPr>
        <w:ind w:left="6068" w:hanging="360"/>
      </w:pPr>
      <w:rPr>
        <w:rFonts w:hint="default"/>
        <w:lang w:val="en-US" w:eastAsia="en-US" w:bidi="ar-SA"/>
      </w:rPr>
    </w:lvl>
    <w:lvl w:ilvl="7" w:tplc="1F5A0DB4">
      <w:numFmt w:val="bullet"/>
      <w:lvlText w:val="•"/>
      <w:lvlJc w:val="left"/>
      <w:pPr>
        <w:ind w:left="6996" w:hanging="360"/>
      </w:pPr>
      <w:rPr>
        <w:rFonts w:hint="default"/>
        <w:lang w:val="en-US" w:eastAsia="en-US" w:bidi="ar-SA"/>
      </w:rPr>
    </w:lvl>
    <w:lvl w:ilvl="8" w:tplc="EFA8B52A">
      <w:numFmt w:val="bullet"/>
      <w:lvlText w:val="•"/>
      <w:lvlJc w:val="left"/>
      <w:pPr>
        <w:ind w:left="7925" w:hanging="360"/>
      </w:pPr>
      <w:rPr>
        <w:rFonts w:hint="default"/>
        <w:lang w:val="en-US" w:eastAsia="en-US" w:bidi="ar-SA"/>
      </w:rPr>
    </w:lvl>
  </w:abstractNum>
  <w:abstractNum w:abstractNumId="189" w15:restartNumberingAfterBreak="0">
    <w:nsid w:val="2E0813EB"/>
    <w:multiLevelType w:val="hybridMultilevel"/>
    <w:tmpl w:val="9D4CD1F6"/>
    <w:lvl w:ilvl="0" w:tplc="4C84F6AC">
      <w:numFmt w:val="bullet"/>
      <w:lvlText w:val=""/>
      <w:lvlJc w:val="left"/>
      <w:pPr>
        <w:ind w:left="481" w:hanging="284"/>
      </w:pPr>
      <w:rPr>
        <w:rFonts w:ascii="Symbol" w:eastAsia="Symbol" w:hAnsi="Symbol" w:cs="Symbol" w:hint="default"/>
        <w:b w:val="0"/>
        <w:bCs w:val="0"/>
        <w:i w:val="0"/>
        <w:iCs w:val="0"/>
        <w:color w:val="70004A"/>
        <w:spacing w:val="0"/>
        <w:w w:val="100"/>
        <w:sz w:val="18"/>
        <w:szCs w:val="18"/>
        <w:lang w:val="en-US" w:eastAsia="en-US" w:bidi="ar-SA"/>
      </w:rPr>
    </w:lvl>
    <w:lvl w:ilvl="1" w:tplc="EF7AC1BA">
      <w:numFmt w:val="bullet"/>
      <w:lvlText w:val="•"/>
      <w:lvlJc w:val="left"/>
      <w:pPr>
        <w:ind w:left="745" w:hanging="284"/>
      </w:pPr>
      <w:rPr>
        <w:rFonts w:hint="default"/>
        <w:lang w:val="en-US" w:eastAsia="en-US" w:bidi="ar-SA"/>
      </w:rPr>
    </w:lvl>
    <w:lvl w:ilvl="2" w:tplc="849A9176">
      <w:numFmt w:val="bullet"/>
      <w:lvlText w:val="•"/>
      <w:lvlJc w:val="left"/>
      <w:pPr>
        <w:ind w:left="1010" w:hanging="284"/>
      </w:pPr>
      <w:rPr>
        <w:rFonts w:hint="default"/>
        <w:lang w:val="en-US" w:eastAsia="en-US" w:bidi="ar-SA"/>
      </w:rPr>
    </w:lvl>
    <w:lvl w:ilvl="3" w:tplc="EFD201DC">
      <w:numFmt w:val="bullet"/>
      <w:lvlText w:val="•"/>
      <w:lvlJc w:val="left"/>
      <w:pPr>
        <w:ind w:left="1275" w:hanging="284"/>
      </w:pPr>
      <w:rPr>
        <w:rFonts w:hint="default"/>
        <w:lang w:val="en-US" w:eastAsia="en-US" w:bidi="ar-SA"/>
      </w:rPr>
    </w:lvl>
    <w:lvl w:ilvl="4" w:tplc="920204CA">
      <w:numFmt w:val="bullet"/>
      <w:lvlText w:val="•"/>
      <w:lvlJc w:val="left"/>
      <w:pPr>
        <w:ind w:left="1540" w:hanging="284"/>
      </w:pPr>
      <w:rPr>
        <w:rFonts w:hint="default"/>
        <w:lang w:val="en-US" w:eastAsia="en-US" w:bidi="ar-SA"/>
      </w:rPr>
    </w:lvl>
    <w:lvl w:ilvl="5" w:tplc="0C36CE68">
      <w:numFmt w:val="bullet"/>
      <w:lvlText w:val="•"/>
      <w:lvlJc w:val="left"/>
      <w:pPr>
        <w:ind w:left="1805" w:hanging="284"/>
      </w:pPr>
      <w:rPr>
        <w:rFonts w:hint="default"/>
        <w:lang w:val="en-US" w:eastAsia="en-US" w:bidi="ar-SA"/>
      </w:rPr>
    </w:lvl>
    <w:lvl w:ilvl="6" w:tplc="0F6A9C14">
      <w:numFmt w:val="bullet"/>
      <w:lvlText w:val="•"/>
      <w:lvlJc w:val="left"/>
      <w:pPr>
        <w:ind w:left="2070" w:hanging="284"/>
      </w:pPr>
      <w:rPr>
        <w:rFonts w:hint="default"/>
        <w:lang w:val="en-US" w:eastAsia="en-US" w:bidi="ar-SA"/>
      </w:rPr>
    </w:lvl>
    <w:lvl w:ilvl="7" w:tplc="289AE43E">
      <w:numFmt w:val="bullet"/>
      <w:lvlText w:val="•"/>
      <w:lvlJc w:val="left"/>
      <w:pPr>
        <w:ind w:left="2335" w:hanging="284"/>
      </w:pPr>
      <w:rPr>
        <w:rFonts w:hint="default"/>
        <w:lang w:val="en-US" w:eastAsia="en-US" w:bidi="ar-SA"/>
      </w:rPr>
    </w:lvl>
    <w:lvl w:ilvl="8" w:tplc="BA84D176">
      <w:numFmt w:val="bullet"/>
      <w:lvlText w:val="•"/>
      <w:lvlJc w:val="left"/>
      <w:pPr>
        <w:ind w:left="2600" w:hanging="284"/>
      </w:pPr>
      <w:rPr>
        <w:rFonts w:hint="default"/>
        <w:lang w:val="en-US" w:eastAsia="en-US" w:bidi="ar-SA"/>
      </w:rPr>
    </w:lvl>
  </w:abstractNum>
  <w:abstractNum w:abstractNumId="190" w15:restartNumberingAfterBreak="0">
    <w:nsid w:val="2EA81716"/>
    <w:multiLevelType w:val="hybridMultilevel"/>
    <w:tmpl w:val="976EF336"/>
    <w:lvl w:ilvl="0" w:tplc="116CB276">
      <w:numFmt w:val="bullet"/>
      <w:lvlText w:val=""/>
      <w:lvlJc w:val="left"/>
      <w:pPr>
        <w:ind w:left="444" w:hanging="284"/>
      </w:pPr>
      <w:rPr>
        <w:rFonts w:ascii="Symbol" w:eastAsia="Symbol" w:hAnsi="Symbol" w:cs="Symbol" w:hint="default"/>
        <w:b w:val="0"/>
        <w:bCs w:val="0"/>
        <w:i w:val="0"/>
        <w:iCs w:val="0"/>
        <w:color w:val="70004A"/>
        <w:spacing w:val="0"/>
        <w:w w:val="100"/>
        <w:sz w:val="18"/>
        <w:szCs w:val="18"/>
        <w:lang w:val="en-US" w:eastAsia="en-US" w:bidi="ar-SA"/>
      </w:rPr>
    </w:lvl>
    <w:lvl w:ilvl="1" w:tplc="E95E7A4C">
      <w:numFmt w:val="bullet"/>
      <w:lvlText w:val="•"/>
      <w:lvlJc w:val="left"/>
      <w:pPr>
        <w:ind w:left="708" w:hanging="284"/>
      </w:pPr>
      <w:rPr>
        <w:rFonts w:hint="default"/>
        <w:lang w:val="en-US" w:eastAsia="en-US" w:bidi="ar-SA"/>
      </w:rPr>
    </w:lvl>
    <w:lvl w:ilvl="2" w:tplc="44F00382">
      <w:numFmt w:val="bullet"/>
      <w:lvlText w:val="•"/>
      <w:lvlJc w:val="left"/>
      <w:pPr>
        <w:ind w:left="976" w:hanging="284"/>
      </w:pPr>
      <w:rPr>
        <w:rFonts w:hint="default"/>
        <w:lang w:val="en-US" w:eastAsia="en-US" w:bidi="ar-SA"/>
      </w:rPr>
    </w:lvl>
    <w:lvl w:ilvl="3" w:tplc="151641E8">
      <w:numFmt w:val="bullet"/>
      <w:lvlText w:val="•"/>
      <w:lvlJc w:val="left"/>
      <w:pPr>
        <w:ind w:left="1244" w:hanging="284"/>
      </w:pPr>
      <w:rPr>
        <w:rFonts w:hint="default"/>
        <w:lang w:val="en-US" w:eastAsia="en-US" w:bidi="ar-SA"/>
      </w:rPr>
    </w:lvl>
    <w:lvl w:ilvl="4" w:tplc="BEF0AEF8">
      <w:numFmt w:val="bullet"/>
      <w:lvlText w:val="•"/>
      <w:lvlJc w:val="left"/>
      <w:pPr>
        <w:ind w:left="1512" w:hanging="284"/>
      </w:pPr>
      <w:rPr>
        <w:rFonts w:hint="default"/>
        <w:lang w:val="en-US" w:eastAsia="en-US" w:bidi="ar-SA"/>
      </w:rPr>
    </w:lvl>
    <w:lvl w:ilvl="5" w:tplc="13643FF0">
      <w:numFmt w:val="bullet"/>
      <w:lvlText w:val="•"/>
      <w:lvlJc w:val="left"/>
      <w:pPr>
        <w:ind w:left="1780" w:hanging="284"/>
      </w:pPr>
      <w:rPr>
        <w:rFonts w:hint="default"/>
        <w:lang w:val="en-US" w:eastAsia="en-US" w:bidi="ar-SA"/>
      </w:rPr>
    </w:lvl>
    <w:lvl w:ilvl="6" w:tplc="6094870C">
      <w:numFmt w:val="bullet"/>
      <w:lvlText w:val="•"/>
      <w:lvlJc w:val="left"/>
      <w:pPr>
        <w:ind w:left="2048" w:hanging="284"/>
      </w:pPr>
      <w:rPr>
        <w:rFonts w:hint="default"/>
        <w:lang w:val="en-US" w:eastAsia="en-US" w:bidi="ar-SA"/>
      </w:rPr>
    </w:lvl>
    <w:lvl w:ilvl="7" w:tplc="676C1D76">
      <w:numFmt w:val="bullet"/>
      <w:lvlText w:val="•"/>
      <w:lvlJc w:val="left"/>
      <w:pPr>
        <w:ind w:left="2316" w:hanging="284"/>
      </w:pPr>
      <w:rPr>
        <w:rFonts w:hint="default"/>
        <w:lang w:val="en-US" w:eastAsia="en-US" w:bidi="ar-SA"/>
      </w:rPr>
    </w:lvl>
    <w:lvl w:ilvl="8" w:tplc="B44C4ACE">
      <w:numFmt w:val="bullet"/>
      <w:lvlText w:val="•"/>
      <w:lvlJc w:val="left"/>
      <w:pPr>
        <w:ind w:left="2584" w:hanging="284"/>
      </w:pPr>
      <w:rPr>
        <w:rFonts w:hint="default"/>
        <w:lang w:val="en-US" w:eastAsia="en-US" w:bidi="ar-SA"/>
      </w:rPr>
    </w:lvl>
  </w:abstractNum>
  <w:abstractNum w:abstractNumId="191" w15:restartNumberingAfterBreak="0">
    <w:nsid w:val="2ECB629E"/>
    <w:multiLevelType w:val="hybridMultilevel"/>
    <w:tmpl w:val="2810741C"/>
    <w:lvl w:ilvl="0" w:tplc="E29656EC">
      <w:numFmt w:val="bullet"/>
      <w:lvlText w:val=""/>
      <w:lvlJc w:val="left"/>
      <w:pPr>
        <w:ind w:left="391" w:hanging="284"/>
      </w:pPr>
      <w:rPr>
        <w:rFonts w:ascii="Symbol" w:eastAsia="Symbol" w:hAnsi="Symbol" w:cs="Symbol" w:hint="default"/>
        <w:b w:val="0"/>
        <w:bCs w:val="0"/>
        <w:i w:val="0"/>
        <w:iCs w:val="0"/>
        <w:color w:val="70004A"/>
        <w:spacing w:val="0"/>
        <w:w w:val="100"/>
        <w:sz w:val="18"/>
        <w:szCs w:val="18"/>
        <w:lang w:val="en-US" w:eastAsia="en-US" w:bidi="ar-SA"/>
      </w:rPr>
    </w:lvl>
    <w:lvl w:ilvl="1" w:tplc="0E0C2654">
      <w:numFmt w:val="bullet"/>
      <w:lvlText w:val="•"/>
      <w:lvlJc w:val="left"/>
      <w:pPr>
        <w:ind w:left="650" w:hanging="284"/>
      </w:pPr>
      <w:rPr>
        <w:rFonts w:hint="default"/>
        <w:lang w:val="en-US" w:eastAsia="en-US" w:bidi="ar-SA"/>
      </w:rPr>
    </w:lvl>
    <w:lvl w:ilvl="2" w:tplc="D85E0DAC">
      <w:numFmt w:val="bullet"/>
      <w:lvlText w:val="•"/>
      <w:lvlJc w:val="left"/>
      <w:pPr>
        <w:ind w:left="901" w:hanging="284"/>
      </w:pPr>
      <w:rPr>
        <w:rFonts w:hint="default"/>
        <w:lang w:val="en-US" w:eastAsia="en-US" w:bidi="ar-SA"/>
      </w:rPr>
    </w:lvl>
    <w:lvl w:ilvl="3" w:tplc="C47A2574">
      <w:numFmt w:val="bullet"/>
      <w:lvlText w:val="•"/>
      <w:lvlJc w:val="left"/>
      <w:pPr>
        <w:ind w:left="1151" w:hanging="284"/>
      </w:pPr>
      <w:rPr>
        <w:rFonts w:hint="default"/>
        <w:lang w:val="en-US" w:eastAsia="en-US" w:bidi="ar-SA"/>
      </w:rPr>
    </w:lvl>
    <w:lvl w:ilvl="4" w:tplc="1E94596C">
      <w:numFmt w:val="bullet"/>
      <w:lvlText w:val="•"/>
      <w:lvlJc w:val="left"/>
      <w:pPr>
        <w:ind w:left="1402" w:hanging="284"/>
      </w:pPr>
      <w:rPr>
        <w:rFonts w:hint="default"/>
        <w:lang w:val="en-US" w:eastAsia="en-US" w:bidi="ar-SA"/>
      </w:rPr>
    </w:lvl>
    <w:lvl w:ilvl="5" w:tplc="1F94BA52">
      <w:numFmt w:val="bullet"/>
      <w:lvlText w:val="•"/>
      <w:lvlJc w:val="left"/>
      <w:pPr>
        <w:ind w:left="1652" w:hanging="284"/>
      </w:pPr>
      <w:rPr>
        <w:rFonts w:hint="default"/>
        <w:lang w:val="en-US" w:eastAsia="en-US" w:bidi="ar-SA"/>
      </w:rPr>
    </w:lvl>
    <w:lvl w:ilvl="6" w:tplc="851AD94E">
      <w:numFmt w:val="bullet"/>
      <w:lvlText w:val="•"/>
      <w:lvlJc w:val="left"/>
      <w:pPr>
        <w:ind w:left="1903" w:hanging="284"/>
      </w:pPr>
      <w:rPr>
        <w:rFonts w:hint="default"/>
        <w:lang w:val="en-US" w:eastAsia="en-US" w:bidi="ar-SA"/>
      </w:rPr>
    </w:lvl>
    <w:lvl w:ilvl="7" w:tplc="14AED250">
      <w:numFmt w:val="bullet"/>
      <w:lvlText w:val="•"/>
      <w:lvlJc w:val="left"/>
      <w:pPr>
        <w:ind w:left="2153" w:hanging="284"/>
      </w:pPr>
      <w:rPr>
        <w:rFonts w:hint="default"/>
        <w:lang w:val="en-US" w:eastAsia="en-US" w:bidi="ar-SA"/>
      </w:rPr>
    </w:lvl>
    <w:lvl w:ilvl="8" w:tplc="CB22766A">
      <w:numFmt w:val="bullet"/>
      <w:lvlText w:val="•"/>
      <w:lvlJc w:val="left"/>
      <w:pPr>
        <w:ind w:left="2404" w:hanging="284"/>
      </w:pPr>
      <w:rPr>
        <w:rFonts w:hint="default"/>
        <w:lang w:val="en-US" w:eastAsia="en-US" w:bidi="ar-SA"/>
      </w:rPr>
    </w:lvl>
  </w:abstractNum>
  <w:abstractNum w:abstractNumId="192" w15:restartNumberingAfterBreak="0">
    <w:nsid w:val="2F1E5D78"/>
    <w:multiLevelType w:val="hybridMultilevel"/>
    <w:tmpl w:val="25C6770E"/>
    <w:lvl w:ilvl="0" w:tplc="B5FAE5D8">
      <w:numFmt w:val="bullet"/>
      <w:lvlText w:val=""/>
      <w:lvlJc w:val="left"/>
      <w:pPr>
        <w:ind w:left="438" w:hanging="284"/>
      </w:pPr>
      <w:rPr>
        <w:rFonts w:ascii="Symbol" w:eastAsia="Symbol" w:hAnsi="Symbol" w:cs="Symbol" w:hint="default"/>
        <w:b w:val="0"/>
        <w:bCs w:val="0"/>
        <w:i w:val="0"/>
        <w:iCs w:val="0"/>
        <w:color w:val="70004A"/>
        <w:spacing w:val="0"/>
        <w:w w:val="100"/>
        <w:sz w:val="18"/>
        <w:szCs w:val="18"/>
        <w:lang w:val="en-US" w:eastAsia="en-US" w:bidi="ar-SA"/>
      </w:rPr>
    </w:lvl>
    <w:lvl w:ilvl="1" w:tplc="52724894">
      <w:numFmt w:val="bullet"/>
      <w:lvlText w:val="•"/>
      <w:lvlJc w:val="left"/>
      <w:pPr>
        <w:ind w:left="637" w:hanging="284"/>
      </w:pPr>
      <w:rPr>
        <w:rFonts w:hint="default"/>
        <w:lang w:val="en-US" w:eastAsia="en-US" w:bidi="ar-SA"/>
      </w:rPr>
    </w:lvl>
    <w:lvl w:ilvl="2" w:tplc="E7460DDC">
      <w:numFmt w:val="bullet"/>
      <w:lvlText w:val="•"/>
      <w:lvlJc w:val="left"/>
      <w:pPr>
        <w:ind w:left="834" w:hanging="284"/>
      </w:pPr>
      <w:rPr>
        <w:rFonts w:hint="default"/>
        <w:lang w:val="en-US" w:eastAsia="en-US" w:bidi="ar-SA"/>
      </w:rPr>
    </w:lvl>
    <w:lvl w:ilvl="3" w:tplc="14267214">
      <w:numFmt w:val="bullet"/>
      <w:lvlText w:val="•"/>
      <w:lvlJc w:val="left"/>
      <w:pPr>
        <w:ind w:left="1031" w:hanging="284"/>
      </w:pPr>
      <w:rPr>
        <w:rFonts w:hint="default"/>
        <w:lang w:val="en-US" w:eastAsia="en-US" w:bidi="ar-SA"/>
      </w:rPr>
    </w:lvl>
    <w:lvl w:ilvl="4" w:tplc="E71EEB78">
      <w:numFmt w:val="bullet"/>
      <w:lvlText w:val="•"/>
      <w:lvlJc w:val="left"/>
      <w:pPr>
        <w:ind w:left="1228" w:hanging="284"/>
      </w:pPr>
      <w:rPr>
        <w:rFonts w:hint="default"/>
        <w:lang w:val="en-US" w:eastAsia="en-US" w:bidi="ar-SA"/>
      </w:rPr>
    </w:lvl>
    <w:lvl w:ilvl="5" w:tplc="FA1A73FC">
      <w:numFmt w:val="bullet"/>
      <w:lvlText w:val="•"/>
      <w:lvlJc w:val="left"/>
      <w:pPr>
        <w:ind w:left="1425" w:hanging="284"/>
      </w:pPr>
      <w:rPr>
        <w:rFonts w:hint="default"/>
        <w:lang w:val="en-US" w:eastAsia="en-US" w:bidi="ar-SA"/>
      </w:rPr>
    </w:lvl>
    <w:lvl w:ilvl="6" w:tplc="0A4C8AA4">
      <w:numFmt w:val="bullet"/>
      <w:lvlText w:val="•"/>
      <w:lvlJc w:val="left"/>
      <w:pPr>
        <w:ind w:left="1622" w:hanging="284"/>
      </w:pPr>
      <w:rPr>
        <w:rFonts w:hint="default"/>
        <w:lang w:val="en-US" w:eastAsia="en-US" w:bidi="ar-SA"/>
      </w:rPr>
    </w:lvl>
    <w:lvl w:ilvl="7" w:tplc="558075AC">
      <w:numFmt w:val="bullet"/>
      <w:lvlText w:val="•"/>
      <w:lvlJc w:val="left"/>
      <w:pPr>
        <w:ind w:left="1819" w:hanging="284"/>
      </w:pPr>
      <w:rPr>
        <w:rFonts w:hint="default"/>
        <w:lang w:val="en-US" w:eastAsia="en-US" w:bidi="ar-SA"/>
      </w:rPr>
    </w:lvl>
    <w:lvl w:ilvl="8" w:tplc="D7B6037C">
      <w:numFmt w:val="bullet"/>
      <w:lvlText w:val="•"/>
      <w:lvlJc w:val="left"/>
      <w:pPr>
        <w:ind w:left="2016" w:hanging="284"/>
      </w:pPr>
      <w:rPr>
        <w:rFonts w:hint="default"/>
        <w:lang w:val="en-US" w:eastAsia="en-US" w:bidi="ar-SA"/>
      </w:rPr>
    </w:lvl>
  </w:abstractNum>
  <w:abstractNum w:abstractNumId="193" w15:restartNumberingAfterBreak="0">
    <w:nsid w:val="2FB0356A"/>
    <w:multiLevelType w:val="hybridMultilevel"/>
    <w:tmpl w:val="CD50EC74"/>
    <w:lvl w:ilvl="0" w:tplc="9D182530">
      <w:numFmt w:val="bullet"/>
      <w:lvlText w:val=""/>
      <w:lvlJc w:val="left"/>
      <w:pPr>
        <w:ind w:left="439" w:hanging="284"/>
      </w:pPr>
      <w:rPr>
        <w:rFonts w:ascii="Symbol" w:eastAsia="Symbol" w:hAnsi="Symbol" w:cs="Symbol" w:hint="default"/>
        <w:b w:val="0"/>
        <w:bCs w:val="0"/>
        <w:i w:val="0"/>
        <w:iCs w:val="0"/>
        <w:color w:val="70004A"/>
        <w:spacing w:val="0"/>
        <w:w w:val="100"/>
        <w:sz w:val="18"/>
        <w:szCs w:val="18"/>
        <w:lang w:val="en-US" w:eastAsia="en-US" w:bidi="ar-SA"/>
      </w:rPr>
    </w:lvl>
    <w:lvl w:ilvl="1" w:tplc="1910E138">
      <w:numFmt w:val="bullet"/>
      <w:lvlText w:val="•"/>
      <w:lvlJc w:val="left"/>
      <w:pPr>
        <w:ind w:left="654" w:hanging="284"/>
      </w:pPr>
      <w:rPr>
        <w:rFonts w:hint="default"/>
        <w:lang w:val="en-US" w:eastAsia="en-US" w:bidi="ar-SA"/>
      </w:rPr>
    </w:lvl>
    <w:lvl w:ilvl="2" w:tplc="B01CCE5A">
      <w:numFmt w:val="bullet"/>
      <w:lvlText w:val="•"/>
      <w:lvlJc w:val="left"/>
      <w:pPr>
        <w:ind w:left="869" w:hanging="284"/>
      </w:pPr>
      <w:rPr>
        <w:rFonts w:hint="default"/>
        <w:lang w:val="en-US" w:eastAsia="en-US" w:bidi="ar-SA"/>
      </w:rPr>
    </w:lvl>
    <w:lvl w:ilvl="3" w:tplc="D6540B28">
      <w:numFmt w:val="bullet"/>
      <w:lvlText w:val="•"/>
      <w:lvlJc w:val="left"/>
      <w:pPr>
        <w:ind w:left="1084" w:hanging="284"/>
      </w:pPr>
      <w:rPr>
        <w:rFonts w:hint="default"/>
        <w:lang w:val="en-US" w:eastAsia="en-US" w:bidi="ar-SA"/>
      </w:rPr>
    </w:lvl>
    <w:lvl w:ilvl="4" w:tplc="38E89AC4">
      <w:numFmt w:val="bullet"/>
      <w:lvlText w:val="•"/>
      <w:lvlJc w:val="left"/>
      <w:pPr>
        <w:ind w:left="1298" w:hanging="284"/>
      </w:pPr>
      <w:rPr>
        <w:rFonts w:hint="default"/>
        <w:lang w:val="en-US" w:eastAsia="en-US" w:bidi="ar-SA"/>
      </w:rPr>
    </w:lvl>
    <w:lvl w:ilvl="5" w:tplc="BC0E0AC6">
      <w:numFmt w:val="bullet"/>
      <w:lvlText w:val="•"/>
      <w:lvlJc w:val="left"/>
      <w:pPr>
        <w:ind w:left="1513" w:hanging="284"/>
      </w:pPr>
      <w:rPr>
        <w:rFonts w:hint="default"/>
        <w:lang w:val="en-US" w:eastAsia="en-US" w:bidi="ar-SA"/>
      </w:rPr>
    </w:lvl>
    <w:lvl w:ilvl="6" w:tplc="B85E7DF4">
      <w:numFmt w:val="bullet"/>
      <w:lvlText w:val="•"/>
      <w:lvlJc w:val="left"/>
      <w:pPr>
        <w:ind w:left="1728" w:hanging="284"/>
      </w:pPr>
      <w:rPr>
        <w:rFonts w:hint="default"/>
        <w:lang w:val="en-US" w:eastAsia="en-US" w:bidi="ar-SA"/>
      </w:rPr>
    </w:lvl>
    <w:lvl w:ilvl="7" w:tplc="9B50DD6E">
      <w:numFmt w:val="bullet"/>
      <w:lvlText w:val="•"/>
      <w:lvlJc w:val="left"/>
      <w:pPr>
        <w:ind w:left="1942" w:hanging="284"/>
      </w:pPr>
      <w:rPr>
        <w:rFonts w:hint="default"/>
        <w:lang w:val="en-US" w:eastAsia="en-US" w:bidi="ar-SA"/>
      </w:rPr>
    </w:lvl>
    <w:lvl w:ilvl="8" w:tplc="611CE7A0">
      <w:numFmt w:val="bullet"/>
      <w:lvlText w:val="•"/>
      <w:lvlJc w:val="left"/>
      <w:pPr>
        <w:ind w:left="2157" w:hanging="284"/>
      </w:pPr>
      <w:rPr>
        <w:rFonts w:hint="default"/>
        <w:lang w:val="en-US" w:eastAsia="en-US" w:bidi="ar-SA"/>
      </w:rPr>
    </w:lvl>
  </w:abstractNum>
  <w:abstractNum w:abstractNumId="194" w15:restartNumberingAfterBreak="0">
    <w:nsid w:val="2FEB7AAC"/>
    <w:multiLevelType w:val="hybridMultilevel"/>
    <w:tmpl w:val="C458E4DE"/>
    <w:lvl w:ilvl="0" w:tplc="B05C4E7C">
      <w:numFmt w:val="bullet"/>
      <w:lvlText w:val=""/>
      <w:lvlJc w:val="left"/>
      <w:pPr>
        <w:ind w:left="435" w:hanging="284"/>
      </w:pPr>
      <w:rPr>
        <w:rFonts w:ascii="Symbol" w:eastAsia="Symbol" w:hAnsi="Symbol" w:cs="Symbol" w:hint="default"/>
        <w:b w:val="0"/>
        <w:bCs w:val="0"/>
        <w:i w:val="0"/>
        <w:iCs w:val="0"/>
        <w:color w:val="70004A"/>
        <w:spacing w:val="0"/>
        <w:w w:val="100"/>
        <w:sz w:val="18"/>
        <w:szCs w:val="18"/>
        <w:lang w:val="en-US" w:eastAsia="en-US" w:bidi="ar-SA"/>
      </w:rPr>
    </w:lvl>
    <w:lvl w:ilvl="1" w:tplc="6F245872">
      <w:numFmt w:val="bullet"/>
      <w:lvlText w:val="•"/>
      <w:lvlJc w:val="left"/>
      <w:pPr>
        <w:ind w:left="608" w:hanging="284"/>
      </w:pPr>
      <w:rPr>
        <w:rFonts w:hint="default"/>
        <w:lang w:val="en-US" w:eastAsia="en-US" w:bidi="ar-SA"/>
      </w:rPr>
    </w:lvl>
    <w:lvl w:ilvl="2" w:tplc="A2565296">
      <w:numFmt w:val="bullet"/>
      <w:lvlText w:val="•"/>
      <w:lvlJc w:val="left"/>
      <w:pPr>
        <w:ind w:left="776" w:hanging="284"/>
      </w:pPr>
      <w:rPr>
        <w:rFonts w:hint="default"/>
        <w:lang w:val="en-US" w:eastAsia="en-US" w:bidi="ar-SA"/>
      </w:rPr>
    </w:lvl>
    <w:lvl w:ilvl="3" w:tplc="9C5CE49E">
      <w:numFmt w:val="bullet"/>
      <w:lvlText w:val="•"/>
      <w:lvlJc w:val="left"/>
      <w:pPr>
        <w:ind w:left="945" w:hanging="284"/>
      </w:pPr>
      <w:rPr>
        <w:rFonts w:hint="default"/>
        <w:lang w:val="en-US" w:eastAsia="en-US" w:bidi="ar-SA"/>
      </w:rPr>
    </w:lvl>
    <w:lvl w:ilvl="4" w:tplc="3A0C2F7E">
      <w:numFmt w:val="bullet"/>
      <w:lvlText w:val="•"/>
      <w:lvlJc w:val="left"/>
      <w:pPr>
        <w:ind w:left="1113" w:hanging="284"/>
      </w:pPr>
      <w:rPr>
        <w:rFonts w:hint="default"/>
        <w:lang w:val="en-US" w:eastAsia="en-US" w:bidi="ar-SA"/>
      </w:rPr>
    </w:lvl>
    <w:lvl w:ilvl="5" w:tplc="5114E078">
      <w:numFmt w:val="bullet"/>
      <w:lvlText w:val="•"/>
      <w:lvlJc w:val="left"/>
      <w:pPr>
        <w:ind w:left="1282" w:hanging="284"/>
      </w:pPr>
      <w:rPr>
        <w:rFonts w:hint="default"/>
        <w:lang w:val="en-US" w:eastAsia="en-US" w:bidi="ar-SA"/>
      </w:rPr>
    </w:lvl>
    <w:lvl w:ilvl="6" w:tplc="15EEA430">
      <w:numFmt w:val="bullet"/>
      <w:lvlText w:val="•"/>
      <w:lvlJc w:val="left"/>
      <w:pPr>
        <w:ind w:left="1450" w:hanging="284"/>
      </w:pPr>
      <w:rPr>
        <w:rFonts w:hint="default"/>
        <w:lang w:val="en-US" w:eastAsia="en-US" w:bidi="ar-SA"/>
      </w:rPr>
    </w:lvl>
    <w:lvl w:ilvl="7" w:tplc="49302672">
      <w:numFmt w:val="bullet"/>
      <w:lvlText w:val="•"/>
      <w:lvlJc w:val="left"/>
      <w:pPr>
        <w:ind w:left="1618" w:hanging="284"/>
      </w:pPr>
      <w:rPr>
        <w:rFonts w:hint="default"/>
        <w:lang w:val="en-US" w:eastAsia="en-US" w:bidi="ar-SA"/>
      </w:rPr>
    </w:lvl>
    <w:lvl w:ilvl="8" w:tplc="546ABFF0">
      <w:numFmt w:val="bullet"/>
      <w:lvlText w:val="•"/>
      <w:lvlJc w:val="left"/>
      <w:pPr>
        <w:ind w:left="1787" w:hanging="284"/>
      </w:pPr>
      <w:rPr>
        <w:rFonts w:hint="default"/>
        <w:lang w:val="en-US" w:eastAsia="en-US" w:bidi="ar-SA"/>
      </w:rPr>
    </w:lvl>
  </w:abstractNum>
  <w:abstractNum w:abstractNumId="195" w15:restartNumberingAfterBreak="0">
    <w:nsid w:val="30310D91"/>
    <w:multiLevelType w:val="hybridMultilevel"/>
    <w:tmpl w:val="498C0B48"/>
    <w:lvl w:ilvl="0" w:tplc="032ADFB4">
      <w:numFmt w:val="bullet"/>
      <w:lvlText w:val=""/>
      <w:lvlJc w:val="left"/>
      <w:pPr>
        <w:ind w:left="431" w:hanging="284"/>
      </w:pPr>
      <w:rPr>
        <w:rFonts w:ascii="Symbol" w:eastAsia="Symbol" w:hAnsi="Symbol" w:cs="Symbol" w:hint="default"/>
        <w:b w:val="0"/>
        <w:bCs w:val="0"/>
        <w:i w:val="0"/>
        <w:iCs w:val="0"/>
        <w:color w:val="70004A"/>
        <w:spacing w:val="0"/>
        <w:w w:val="100"/>
        <w:sz w:val="18"/>
        <w:szCs w:val="18"/>
        <w:lang w:val="en-US" w:eastAsia="en-US" w:bidi="ar-SA"/>
      </w:rPr>
    </w:lvl>
    <w:lvl w:ilvl="1" w:tplc="AFF0F9F2">
      <w:numFmt w:val="bullet"/>
      <w:lvlText w:val="•"/>
      <w:lvlJc w:val="left"/>
      <w:pPr>
        <w:ind w:left="721" w:hanging="284"/>
      </w:pPr>
      <w:rPr>
        <w:rFonts w:hint="default"/>
        <w:lang w:val="en-US" w:eastAsia="en-US" w:bidi="ar-SA"/>
      </w:rPr>
    </w:lvl>
    <w:lvl w:ilvl="2" w:tplc="5CA6ACAE">
      <w:numFmt w:val="bullet"/>
      <w:lvlText w:val="•"/>
      <w:lvlJc w:val="left"/>
      <w:pPr>
        <w:ind w:left="1002" w:hanging="284"/>
      </w:pPr>
      <w:rPr>
        <w:rFonts w:hint="default"/>
        <w:lang w:val="en-US" w:eastAsia="en-US" w:bidi="ar-SA"/>
      </w:rPr>
    </w:lvl>
    <w:lvl w:ilvl="3" w:tplc="437AF52E">
      <w:numFmt w:val="bullet"/>
      <w:lvlText w:val="•"/>
      <w:lvlJc w:val="left"/>
      <w:pPr>
        <w:ind w:left="1283" w:hanging="284"/>
      </w:pPr>
      <w:rPr>
        <w:rFonts w:hint="default"/>
        <w:lang w:val="en-US" w:eastAsia="en-US" w:bidi="ar-SA"/>
      </w:rPr>
    </w:lvl>
    <w:lvl w:ilvl="4" w:tplc="89224BA8">
      <w:numFmt w:val="bullet"/>
      <w:lvlText w:val="•"/>
      <w:lvlJc w:val="left"/>
      <w:pPr>
        <w:ind w:left="1564" w:hanging="284"/>
      </w:pPr>
      <w:rPr>
        <w:rFonts w:hint="default"/>
        <w:lang w:val="en-US" w:eastAsia="en-US" w:bidi="ar-SA"/>
      </w:rPr>
    </w:lvl>
    <w:lvl w:ilvl="5" w:tplc="E4F2D810">
      <w:numFmt w:val="bullet"/>
      <w:lvlText w:val="•"/>
      <w:lvlJc w:val="left"/>
      <w:pPr>
        <w:ind w:left="1845" w:hanging="284"/>
      </w:pPr>
      <w:rPr>
        <w:rFonts w:hint="default"/>
        <w:lang w:val="en-US" w:eastAsia="en-US" w:bidi="ar-SA"/>
      </w:rPr>
    </w:lvl>
    <w:lvl w:ilvl="6" w:tplc="5A8644B2">
      <w:numFmt w:val="bullet"/>
      <w:lvlText w:val="•"/>
      <w:lvlJc w:val="left"/>
      <w:pPr>
        <w:ind w:left="2126" w:hanging="284"/>
      </w:pPr>
      <w:rPr>
        <w:rFonts w:hint="default"/>
        <w:lang w:val="en-US" w:eastAsia="en-US" w:bidi="ar-SA"/>
      </w:rPr>
    </w:lvl>
    <w:lvl w:ilvl="7" w:tplc="F2CCFF5A">
      <w:numFmt w:val="bullet"/>
      <w:lvlText w:val="•"/>
      <w:lvlJc w:val="left"/>
      <w:pPr>
        <w:ind w:left="2407" w:hanging="284"/>
      </w:pPr>
      <w:rPr>
        <w:rFonts w:hint="default"/>
        <w:lang w:val="en-US" w:eastAsia="en-US" w:bidi="ar-SA"/>
      </w:rPr>
    </w:lvl>
    <w:lvl w:ilvl="8" w:tplc="CAFCCEA6">
      <w:numFmt w:val="bullet"/>
      <w:lvlText w:val="•"/>
      <w:lvlJc w:val="left"/>
      <w:pPr>
        <w:ind w:left="2688" w:hanging="284"/>
      </w:pPr>
      <w:rPr>
        <w:rFonts w:hint="default"/>
        <w:lang w:val="en-US" w:eastAsia="en-US" w:bidi="ar-SA"/>
      </w:rPr>
    </w:lvl>
  </w:abstractNum>
  <w:abstractNum w:abstractNumId="196" w15:restartNumberingAfterBreak="0">
    <w:nsid w:val="30A13FD1"/>
    <w:multiLevelType w:val="hybridMultilevel"/>
    <w:tmpl w:val="F9B643D6"/>
    <w:lvl w:ilvl="0" w:tplc="EEF005EA">
      <w:numFmt w:val="bullet"/>
      <w:lvlText w:val=""/>
      <w:lvlJc w:val="left"/>
      <w:pPr>
        <w:ind w:left="437" w:hanging="284"/>
      </w:pPr>
      <w:rPr>
        <w:rFonts w:ascii="Symbol" w:eastAsia="Symbol" w:hAnsi="Symbol" w:cs="Symbol" w:hint="default"/>
        <w:b w:val="0"/>
        <w:bCs w:val="0"/>
        <w:i w:val="0"/>
        <w:iCs w:val="0"/>
        <w:color w:val="70004A"/>
        <w:spacing w:val="0"/>
        <w:w w:val="100"/>
        <w:sz w:val="18"/>
        <w:szCs w:val="18"/>
        <w:lang w:val="en-US" w:eastAsia="en-US" w:bidi="ar-SA"/>
      </w:rPr>
    </w:lvl>
    <w:lvl w:ilvl="1" w:tplc="3DB812BE">
      <w:numFmt w:val="bullet"/>
      <w:lvlText w:val="•"/>
      <w:lvlJc w:val="left"/>
      <w:pPr>
        <w:ind w:left="602" w:hanging="284"/>
      </w:pPr>
      <w:rPr>
        <w:rFonts w:hint="default"/>
        <w:lang w:val="en-US" w:eastAsia="en-US" w:bidi="ar-SA"/>
      </w:rPr>
    </w:lvl>
    <w:lvl w:ilvl="2" w:tplc="5A62FF5A">
      <w:numFmt w:val="bullet"/>
      <w:lvlText w:val="•"/>
      <w:lvlJc w:val="left"/>
      <w:pPr>
        <w:ind w:left="764" w:hanging="284"/>
      </w:pPr>
      <w:rPr>
        <w:rFonts w:hint="default"/>
        <w:lang w:val="en-US" w:eastAsia="en-US" w:bidi="ar-SA"/>
      </w:rPr>
    </w:lvl>
    <w:lvl w:ilvl="3" w:tplc="D0166518">
      <w:numFmt w:val="bullet"/>
      <w:lvlText w:val="•"/>
      <w:lvlJc w:val="left"/>
      <w:pPr>
        <w:ind w:left="926" w:hanging="284"/>
      </w:pPr>
      <w:rPr>
        <w:rFonts w:hint="default"/>
        <w:lang w:val="en-US" w:eastAsia="en-US" w:bidi="ar-SA"/>
      </w:rPr>
    </w:lvl>
    <w:lvl w:ilvl="4" w:tplc="E8A6E6FC">
      <w:numFmt w:val="bullet"/>
      <w:lvlText w:val="•"/>
      <w:lvlJc w:val="left"/>
      <w:pPr>
        <w:ind w:left="1089" w:hanging="284"/>
      </w:pPr>
      <w:rPr>
        <w:rFonts w:hint="default"/>
        <w:lang w:val="en-US" w:eastAsia="en-US" w:bidi="ar-SA"/>
      </w:rPr>
    </w:lvl>
    <w:lvl w:ilvl="5" w:tplc="E85254EA">
      <w:numFmt w:val="bullet"/>
      <w:lvlText w:val="•"/>
      <w:lvlJc w:val="left"/>
      <w:pPr>
        <w:ind w:left="1251" w:hanging="284"/>
      </w:pPr>
      <w:rPr>
        <w:rFonts w:hint="default"/>
        <w:lang w:val="en-US" w:eastAsia="en-US" w:bidi="ar-SA"/>
      </w:rPr>
    </w:lvl>
    <w:lvl w:ilvl="6" w:tplc="02B41CF8">
      <w:numFmt w:val="bullet"/>
      <w:lvlText w:val="•"/>
      <w:lvlJc w:val="left"/>
      <w:pPr>
        <w:ind w:left="1413" w:hanging="284"/>
      </w:pPr>
      <w:rPr>
        <w:rFonts w:hint="default"/>
        <w:lang w:val="en-US" w:eastAsia="en-US" w:bidi="ar-SA"/>
      </w:rPr>
    </w:lvl>
    <w:lvl w:ilvl="7" w:tplc="DA9AF9EC">
      <w:numFmt w:val="bullet"/>
      <w:lvlText w:val="•"/>
      <w:lvlJc w:val="left"/>
      <w:pPr>
        <w:ind w:left="1576" w:hanging="284"/>
      </w:pPr>
      <w:rPr>
        <w:rFonts w:hint="default"/>
        <w:lang w:val="en-US" w:eastAsia="en-US" w:bidi="ar-SA"/>
      </w:rPr>
    </w:lvl>
    <w:lvl w:ilvl="8" w:tplc="67BE4E36">
      <w:numFmt w:val="bullet"/>
      <w:lvlText w:val="•"/>
      <w:lvlJc w:val="left"/>
      <w:pPr>
        <w:ind w:left="1738" w:hanging="284"/>
      </w:pPr>
      <w:rPr>
        <w:rFonts w:hint="default"/>
        <w:lang w:val="en-US" w:eastAsia="en-US" w:bidi="ar-SA"/>
      </w:rPr>
    </w:lvl>
  </w:abstractNum>
  <w:abstractNum w:abstractNumId="197" w15:restartNumberingAfterBreak="0">
    <w:nsid w:val="30A72B27"/>
    <w:multiLevelType w:val="hybridMultilevel"/>
    <w:tmpl w:val="6BDC6736"/>
    <w:lvl w:ilvl="0" w:tplc="F4EC973C">
      <w:numFmt w:val="bullet"/>
      <w:lvlText w:val=""/>
      <w:lvlJc w:val="left"/>
      <w:pPr>
        <w:ind w:left="344" w:hanging="284"/>
      </w:pPr>
      <w:rPr>
        <w:rFonts w:ascii="Symbol" w:eastAsia="Symbol" w:hAnsi="Symbol" w:cs="Symbol" w:hint="default"/>
        <w:b w:val="0"/>
        <w:bCs w:val="0"/>
        <w:i w:val="0"/>
        <w:iCs w:val="0"/>
        <w:color w:val="70004A"/>
        <w:spacing w:val="0"/>
        <w:w w:val="100"/>
        <w:sz w:val="18"/>
        <w:szCs w:val="18"/>
        <w:lang w:val="en-US" w:eastAsia="en-US" w:bidi="ar-SA"/>
      </w:rPr>
    </w:lvl>
    <w:lvl w:ilvl="1" w:tplc="578AA3B6">
      <w:numFmt w:val="bullet"/>
      <w:lvlText w:val="•"/>
      <w:lvlJc w:val="left"/>
      <w:pPr>
        <w:ind w:left="449" w:hanging="284"/>
      </w:pPr>
      <w:rPr>
        <w:rFonts w:hint="default"/>
        <w:lang w:val="en-US" w:eastAsia="en-US" w:bidi="ar-SA"/>
      </w:rPr>
    </w:lvl>
    <w:lvl w:ilvl="2" w:tplc="FEFEF4CA">
      <w:numFmt w:val="bullet"/>
      <w:lvlText w:val="•"/>
      <w:lvlJc w:val="left"/>
      <w:pPr>
        <w:ind w:left="559" w:hanging="284"/>
      </w:pPr>
      <w:rPr>
        <w:rFonts w:hint="default"/>
        <w:lang w:val="en-US" w:eastAsia="en-US" w:bidi="ar-SA"/>
      </w:rPr>
    </w:lvl>
    <w:lvl w:ilvl="3" w:tplc="72C09A94">
      <w:numFmt w:val="bullet"/>
      <w:lvlText w:val="•"/>
      <w:lvlJc w:val="left"/>
      <w:pPr>
        <w:ind w:left="669" w:hanging="284"/>
      </w:pPr>
      <w:rPr>
        <w:rFonts w:hint="default"/>
        <w:lang w:val="en-US" w:eastAsia="en-US" w:bidi="ar-SA"/>
      </w:rPr>
    </w:lvl>
    <w:lvl w:ilvl="4" w:tplc="90DA815A">
      <w:numFmt w:val="bullet"/>
      <w:lvlText w:val="•"/>
      <w:lvlJc w:val="left"/>
      <w:pPr>
        <w:ind w:left="779" w:hanging="284"/>
      </w:pPr>
      <w:rPr>
        <w:rFonts w:hint="default"/>
        <w:lang w:val="en-US" w:eastAsia="en-US" w:bidi="ar-SA"/>
      </w:rPr>
    </w:lvl>
    <w:lvl w:ilvl="5" w:tplc="C35E90DA">
      <w:numFmt w:val="bullet"/>
      <w:lvlText w:val="•"/>
      <w:lvlJc w:val="left"/>
      <w:pPr>
        <w:ind w:left="889" w:hanging="284"/>
      </w:pPr>
      <w:rPr>
        <w:rFonts w:hint="default"/>
        <w:lang w:val="en-US" w:eastAsia="en-US" w:bidi="ar-SA"/>
      </w:rPr>
    </w:lvl>
    <w:lvl w:ilvl="6" w:tplc="6914C370">
      <w:numFmt w:val="bullet"/>
      <w:lvlText w:val="•"/>
      <w:lvlJc w:val="left"/>
      <w:pPr>
        <w:ind w:left="998" w:hanging="284"/>
      </w:pPr>
      <w:rPr>
        <w:rFonts w:hint="default"/>
        <w:lang w:val="en-US" w:eastAsia="en-US" w:bidi="ar-SA"/>
      </w:rPr>
    </w:lvl>
    <w:lvl w:ilvl="7" w:tplc="370AC4FE">
      <w:numFmt w:val="bullet"/>
      <w:lvlText w:val="•"/>
      <w:lvlJc w:val="left"/>
      <w:pPr>
        <w:ind w:left="1108" w:hanging="284"/>
      </w:pPr>
      <w:rPr>
        <w:rFonts w:hint="default"/>
        <w:lang w:val="en-US" w:eastAsia="en-US" w:bidi="ar-SA"/>
      </w:rPr>
    </w:lvl>
    <w:lvl w:ilvl="8" w:tplc="E15AD2CA">
      <w:numFmt w:val="bullet"/>
      <w:lvlText w:val="•"/>
      <w:lvlJc w:val="left"/>
      <w:pPr>
        <w:ind w:left="1218" w:hanging="284"/>
      </w:pPr>
      <w:rPr>
        <w:rFonts w:hint="default"/>
        <w:lang w:val="en-US" w:eastAsia="en-US" w:bidi="ar-SA"/>
      </w:rPr>
    </w:lvl>
  </w:abstractNum>
  <w:abstractNum w:abstractNumId="198" w15:restartNumberingAfterBreak="0">
    <w:nsid w:val="30DE725E"/>
    <w:multiLevelType w:val="hybridMultilevel"/>
    <w:tmpl w:val="9388595C"/>
    <w:lvl w:ilvl="0" w:tplc="9FA4CBDA">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E32C8EC0">
      <w:numFmt w:val="bullet"/>
      <w:lvlText w:val="•"/>
      <w:lvlJc w:val="left"/>
      <w:pPr>
        <w:ind w:left="684" w:hanging="284"/>
      </w:pPr>
      <w:rPr>
        <w:rFonts w:hint="default"/>
        <w:lang w:val="en-US" w:eastAsia="en-US" w:bidi="ar-SA"/>
      </w:rPr>
    </w:lvl>
    <w:lvl w:ilvl="2" w:tplc="F6667216">
      <w:numFmt w:val="bullet"/>
      <w:lvlText w:val="•"/>
      <w:lvlJc w:val="left"/>
      <w:pPr>
        <w:ind w:left="968" w:hanging="284"/>
      </w:pPr>
      <w:rPr>
        <w:rFonts w:hint="default"/>
        <w:lang w:val="en-US" w:eastAsia="en-US" w:bidi="ar-SA"/>
      </w:rPr>
    </w:lvl>
    <w:lvl w:ilvl="3" w:tplc="485EC208">
      <w:numFmt w:val="bullet"/>
      <w:lvlText w:val="•"/>
      <w:lvlJc w:val="left"/>
      <w:pPr>
        <w:ind w:left="1252" w:hanging="284"/>
      </w:pPr>
      <w:rPr>
        <w:rFonts w:hint="default"/>
        <w:lang w:val="en-US" w:eastAsia="en-US" w:bidi="ar-SA"/>
      </w:rPr>
    </w:lvl>
    <w:lvl w:ilvl="4" w:tplc="39E2DE3A">
      <w:numFmt w:val="bullet"/>
      <w:lvlText w:val="•"/>
      <w:lvlJc w:val="left"/>
      <w:pPr>
        <w:ind w:left="1536" w:hanging="284"/>
      </w:pPr>
      <w:rPr>
        <w:rFonts w:hint="default"/>
        <w:lang w:val="en-US" w:eastAsia="en-US" w:bidi="ar-SA"/>
      </w:rPr>
    </w:lvl>
    <w:lvl w:ilvl="5" w:tplc="18F2409A">
      <w:numFmt w:val="bullet"/>
      <w:lvlText w:val="•"/>
      <w:lvlJc w:val="left"/>
      <w:pPr>
        <w:ind w:left="1821" w:hanging="284"/>
      </w:pPr>
      <w:rPr>
        <w:rFonts w:hint="default"/>
        <w:lang w:val="en-US" w:eastAsia="en-US" w:bidi="ar-SA"/>
      </w:rPr>
    </w:lvl>
    <w:lvl w:ilvl="6" w:tplc="D6F88D5E">
      <w:numFmt w:val="bullet"/>
      <w:lvlText w:val="•"/>
      <w:lvlJc w:val="left"/>
      <w:pPr>
        <w:ind w:left="2105" w:hanging="284"/>
      </w:pPr>
      <w:rPr>
        <w:rFonts w:hint="default"/>
        <w:lang w:val="en-US" w:eastAsia="en-US" w:bidi="ar-SA"/>
      </w:rPr>
    </w:lvl>
    <w:lvl w:ilvl="7" w:tplc="B248187A">
      <w:numFmt w:val="bullet"/>
      <w:lvlText w:val="•"/>
      <w:lvlJc w:val="left"/>
      <w:pPr>
        <w:ind w:left="2389" w:hanging="284"/>
      </w:pPr>
      <w:rPr>
        <w:rFonts w:hint="default"/>
        <w:lang w:val="en-US" w:eastAsia="en-US" w:bidi="ar-SA"/>
      </w:rPr>
    </w:lvl>
    <w:lvl w:ilvl="8" w:tplc="6FAEDE1E">
      <w:numFmt w:val="bullet"/>
      <w:lvlText w:val="•"/>
      <w:lvlJc w:val="left"/>
      <w:pPr>
        <w:ind w:left="2673" w:hanging="284"/>
      </w:pPr>
      <w:rPr>
        <w:rFonts w:hint="default"/>
        <w:lang w:val="en-US" w:eastAsia="en-US" w:bidi="ar-SA"/>
      </w:rPr>
    </w:lvl>
  </w:abstractNum>
  <w:abstractNum w:abstractNumId="199" w15:restartNumberingAfterBreak="0">
    <w:nsid w:val="31083662"/>
    <w:multiLevelType w:val="hybridMultilevel"/>
    <w:tmpl w:val="0E5AFAC4"/>
    <w:lvl w:ilvl="0" w:tplc="CBE6CD3A">
      <w:numFmt w:val="bullet"/>
      <w:lvlText w:val=""/>
      <w:lvlJc w:val="left"/>
      <w:pPr>
        <w:ind w:left="459" w:hanging="284"/>
      </w:pPr>
      <w:rPr>
        <w:rFonts w:ascii="Symbol" w:eastAsia="Symbol" w:hAnsi="Symbol" w:cs="Symbol" w:hint="default"/>
        <w:b w:val="0"/>
        <w:bCs w:val="0"/>
        <w:i w:val="0"/>
        <w:iCs w:val="0"/>
        <w:color w:val="70004A"/>
        <w:spacing w:val="0"/>
        <w:w w:val="100"/>
        <w:sz w:val="18"/>
        <w:szCs w:val="18"/>
        <w:lang w:val="en-US" w:eastAsia="en-US" w:bidi="ar-SA"/>
      </w:rPr>
    </w:lvl>
    <w:lvl w:ilvl="1" w:tplc="AECE8986">
      <w:numFmt w:val="bullet"/>
      <w:lvlText w:val="•"/>
      <w:lvlJc w:val="left"/>
      <w:pPr>
        <w:ind w:left="790" w:hanging="284"/>
      </w:pPr>
      <w:rPr>
        <w:rFonts w:hint="default"/>
        <w:lang w:val="en-US" w:eastAsia="en-US" w:bidi="ar-SA"/>
      </w:rPr>
    </w:lvl>
    <w:lvl w:ilvl="2" w:tplc="447CDD68">
      <w:numFmt w:val="bullet"/>
      <w:lvlText w:val="•"/>
      <w:lvlJc w:val="left"/>
      <w:pPr>
        <w:ind w:left="1120" w:hanging="284"/>
      </w:pPr>
      <w:rPr>
        <w:rFonts w:hint="default"/>
        <w:lang w:val="en-US" w:eastAsia="en-US" w:bidi="ar-SA"/>
      </w:rPr>
    </w:lvl>
    <w:lvl w:ilvl="3" w:tplc="78D8649E">
      <w:numFmt w:val="bullet"/>
      <w:lvlText w:val="•"/>
      <w:lvlJc w:val="left"/>
      <w:pPr>
        <w:ind w:left="1450" w:hanging="284"/>
      </w:pPr>
      <w:rPr>
        <w:rFonts w:hint="default"/>
        <w:lang w:val="en-US" w:eastAsia="en-US" w:bidi="ar-SA"/>
      </w:rPr>
    </w:lvl>
    <w:lvl w:ilvl="4" w:tplc="A06835B8">
      <w:numFmt w:val="bullet"/>
      <w:lvlText w:val="•"/>
      <w:lvlJc w:val="left"/>
      <w:pPr>
        <w:ind w:left="1781" w:hanging="284"/>
      </w:pPr>
      <w:rPr>
        <w:rFonts w:hint="default"/>
        <w:lang w:val="en-US" w:eastAsia="en-US" w:bidi="ar-SA"/>
      </w:rPr>
    </w:lvl>
    <w:lvl w:ilvl="5" w:tplc="4FE43334">
      <w:numFmt w:val="bullet"/>
      <w:lvlText w:val="•"/>
      <w:lvlJc w:val="left"/>
      <w:pPr>
        <w:ind w:left="2111" w:hanging="284"/>
      </w:pPr>
      <w:rPr>
        <w:rFonts w:hint="default"/>
        <w:lang w:val="en-US" w:eastAsia="en-US" w:bidi="ar-SA"/>
      </w:rPr>
    </w:lvl>
    <w:lvl w:ilvl="6" w:tplc="AA60B580">
      <w:numFmt w:val="bullet"/>
      <w:lvlText w:val="•"/>
      <w:lvlJc w:val="left"/>
      <w:pPr>
        <w:ind w:left="2441" w:hanging="284"/>
      </w:pPr>
      <w:rPr>
        <w:rFonts w:hint="default"/>
        <w:lang w:val="en-US" w:eastAsia="en-US" w:bidi="ar-SA"/>
      </w:rPr>
    </w:lvl>
    <w:lvl w:ilvl="7" w:tplc="A00A2282">
      <w:numFmt w:val="bullet"/>
      <w:lvlText w:val="•"/>
      <w:lvlJc w:val="left"/>
      <w:pPr>
        <w:ind w:left="2772" w:hanging="284"/>
      </w:pPr>
      <w:rPr>
        <w:rFonts w:hint="default"/>
        <w:lang w:val="en-US" w:eastAsia="en-US" w:bidi="ar-SA"/>
      </w:rPr>
    </w:lvl>
    <w:lvl w:ilvl="8" w:tplc="5524A9EE">
      <w:numFmt w:val="bullet"/>
      <w:lvlText w:val="•"/>
      <w:lvlJc w:val="left"/>
      <w:pPr>
        <w:ind w:left="3102" w:hanging="284"/>
      </w:pPr>
      <w:rPr>
        <w:rFonts w:hint="default"/>
        <w:lang w:val="en-US" w:eastAsia="en-US" w:bidi="ar-SA"/>
      </w:rPr>
    </w:lvl>
  </w:abstractNum>
  <w:abstractNum w:abstractNumId="200" w15:restartNumberingAfterBreak="0">
    <w:nsid w:val="31135616"/>
    <w:multiLevelType w:val="hybridMultilevel"/>
    <w:tmpl w:val="820440CA"/>
    <w:lvl w:ilvl="0" w:tplc="E91C8424">
      <w:numFmt w:val="bullet"/>
      <w:lvlText w:val=""/>
      <w:lvlJc w:val="left"/>
      <w:pPr>
        <w:ind w:left="502" w:hanging="284"/>
      </w:pPr>
      <w:rPr>
        <w:rFonts w:ascii="Symbol" w:eastAsia="Symbol" w:hAnsi="Symbol" w:cs="Symbol" w:hint="default"/>
        <w:b w:val="0"/>
        <w:bCs w:val="0"/>
        <w:i w:val="0"/>
        <w:iCs w:val="0"/>
        <w:color w:val="70004A"/>
        <w:spacing w:val="0"/>
        <w:w w:val="100"/>
        <w:sz w:val="18"/>
        <w:szCs w:val="18"/>
        <w:lang w:val="en-US" w:eastAsia="en-US" w:bidi="ar-SA"/>
      </w:rPr>
    </w:lvl>
    <w:lvl w:ilvl="1" w:tplc="025846B6">
      <w:numFmt w:val="bullet"/>
      <w:lvlText w:val="•"/>
      <w:lvlJc w:val="left"/>
      <w:pPr>
        <w:ind w:left="796" w:hanging="284"/>
      </w:pPr>
      <w:rPr>
        <w:rFonts w:hint="default"/>
        <w:lang w:val="en-US" w:eastAsia="en-US" w:bidi="ar-SA"/>
      </w:rPr>
    </w:lvl>
    <w:lvl w:ilvl="2" w:tplc="2B2A6D62">
      <w:numFmt w:val="bullet"/>
      <w:lvlText w:val="•"/>
      <w:lvlJc w:val="left"/>
      <w:pPr>
        <w:ind w:left="1093" w:hanging="284"/>
      </w:pPr>
      <w:rPr>
        <w:rFonts w:hint="default"/>
        <w:lang w:val="en-US" w:eastAsia="en-US" w:bidi="ar-SA"/>
      </w:rPr>
    </w:lvl>
    <w:lvl w:ilvl="3" w:tplc="A33815CE">
      <w:numFmt w:val="bullet"/>
      <w:lvlText w:val="•"/>
      <w:lvlJc w:val="left"/>
      <w:pPr>
        <w:ind w:left="1390" w:hanging="284"/>
      </w:pPr>
      <w:rPr>
        <w:rFonts w:hint="default"/>
        <w:lang w:val="en-US" w:eastAsia="en-US" w:bidi="ar-SA"/>
      </w:rPr>
    </w:lvl>
    <w:lvl w:ilvl="4" w:tplc="CFAEC52A">
      <w:numFmt w:val="bullet"/>
      <w:lvlText w:val="•"/>
      <w:lvlJc w:val="left"/>
      <w:pPr>
        <w:ind w:left="1686" w:hanging="284"/>
      </w:pPr>
      <w:rPr>
        <w:rFonts w:hint="default"/>
        <w:lang w:val="en-US" w:eastAsia="en-US" w:bidi="ar-SA"/>
      </w:rPr>
    </w:lvl>
    <w:lvl w:ilvl="5" w:tplc="7794C968">
      <w:numFmt w:val="bullet"/>
      <w:lvlText w:val="•"/>
      <w:lvlJc w:val="left"/>
      <w:pPr>
        <w:ind w:left="1983" w:hanging="284"/>
      </w:pPr>
      <w:rPr>
        <w:rFonts w:hint="default"/>
        <w:lang w:val="en-US" w:eastAsia="en-US" w:bidi="ar-SA"/>
      </w:rPr>
    </w:lvl>
    <w:lvl w:ilvl="6" w:tplc="16BCA34A">
      <w:numFmt w:val="bullet"/>
      <w:lvlText w:val="•"/>
      <w:lvlJc w:val="left"/>
      <w:pPr>
        <w:ind w:left="2280" w:hanging="284"/>
      </w:pPr>
      <w:rPr>
        <w:rFonts w:hint="default"/>
        <w:lang w:val="en-US" w:eastAsia="en-US" w:bidi="ar-SA"/>
      </w:rPr>
    </w:lvl>
    <w:lvl w:ilvl="7" w:tplc="CF769042">
      <w:numFmt w:val="bullet"/>
      <w:lvlText w:val="•"/>
      <w:lvlJc w:val="left"/>
      <w:pPr>
        <w:ind w:left="2576" w:hanging="284"/>
      </w:pPr>
      <w:rPr>
        <w:rFonts w:hint="default"/>
        <w:lang w:val="en-US" w:eastAsia="en-US" w:bidi="ar-SA"/>
      </w:rPr>
    </w:lvl>
    <w:lvl w:ilvl="8" w:tplc="A8AEBEFC">
      <w:numFmt w:val="bullet"/>
      <w:lvlText w:val="•"/>
      <w:lvlJc w:val="left"/>
      <w:pPr>
        <w:ind w:left="2873" w:hanging="284"/>
      </w:pPr>
      <w:rPr>
        <w:rFonts w:hint="default"/>
        <w:lang w:val="en-US" w:eastAsia="en-US" w:bidi="ar-SA"/>
      </w:rPr>
    </w:lvl>
  </w:abstractNum>
  <w:abstractNum w:abstractNumId="201" w15:restartNumberingAfterBreak="0">
    <w:nsid w:val="31C46319"/>
    <w:multiLevelType w:val="multilevel"/>
    <w:tmpl w:val="3C4A7138"/>
    <w:lvl w:ilvl="0">
      <w:start w:val="1"/>
      <w:numFmt w:val="bullet"/>
      <w:lvlText w:val=""/>
      <w:lvlJc w:val="left"/>
      <w:pPr>
        <w:ind w:left="425" w:hanging="425"/>
      </w:pPr>
      <w:rPr>
        <w:rFonts w:ascii="Symbol" w:hAnsi="Symbol" w:hint="default"/>
        <w:color w:val="71004B"/>
      </w:rPr>
    </w:lvl>
    <w:lvl w:ilvl="1">
      <w:start w:val="1"/>
      <w:numFmt w:val="bullet"/>
      <w:lvlText w:val="o"/>
      <w:lvlJc w:val="left"/>
      <w:pPr>
        <w:ind w:left="1582" w:hanging="360"/>
      </w:pPr>
      <w:rPr>
        <w:rFonts w:ascii="Courier New" w:hAnsi="Courier New" w:cs="Courier New" w:hint="default"/>
      </w:rPr>
    </w:lvl>
    <w:lvl w:ilvl="2">
      <w:start w:val="1"/>
      <w:numFmt w:val="bullet"/>
      <w:lvlText w:val=""/>
      <w:lvlJc w:val="left"/>
      <w:pPr>
        <w:ind w:left="2302" w:hanging="360"/>
      </w:pPr>
      <w:rPr>
        <w:rFonts w:ascii="Wingdings" w:hAnsi="Wingdings" w:hint="default"/>
      </w:rPr>
    </w:lvl>
    <w:lvl w:ilvl="3">
      <w:start w:val="1"/>
      <w:numFmt w:val="bullet"/>
      <w:lvlText w:val=""/>
      <w:lvlJc w:val="left"/>
      <w:pPr>
        <w:ind w:left="3022" w:hanging="360"/>
      </w:pPr>
      <w:rPr>
        <w:rFonts w:ascii="Symbol" w:hAnsi="Symbol" w:hint="default"/>
      </w:rPr>
    </w:lvl>
    <w:lvl w:ilvl="4">
      <w:start w:val="1"/>
      <w:numFmt w:val="bullet"/>
      <w:lvlText w:val="o"/>
      <w:lvlJc w:val="left"/>
      <w:pPr>
        <w:ind w:left="3742" w:hanging="360"/>
      </w:pPr>
      <w:rPr>
        <w:rFonts w:ascii="Courier New" w:hAnsi="Courier New" w:cs="Courier New" w:hint="default"/>
      </w:rPr>
    </w:lvl>
    <w:lvl w:ilvl="5">
      <w:start w:val="1"/>
      <w:numFmt w:val="bullet"/>
      <w:lvlText w:val=""/>
      <w:lvlJc w:val="left"/>
      <w:pPr>
        <w:ind w:left="4462" w:hanging="360"/>
      </w:pPr>
      <w:rPr>
        <w:rFonts w:ascii="Wingdings" w:hAnsi="Wingdings" w:hint="default"/>
      </w:rPr>
    </w:lvl>
    <w:lvl w:ilvl="6">
      <w:start w:val="1"/>
      <w:numFmt w:val="bullet"/>
      <w:lvlText w:val=""/>
      <w:lvlJc w:val="left"/>
      <w:pPr>
        <w:ind w:left="5182" w:hanging="360"/>
      </w:pPr>
      <w:rPr>
        <w:rFonts w:ascii="Symbol" w:hAnsi="Symbol" w:hint="default"/>
      </w:rPr>
    </w:lvl>
    <w:lvl w:ilvl="7">
      <w:start w:val="1"/>
      <w:numFmt w:val="bullet"/>
      <w:lvlText w:val="o"/>
      <w:lvlJc w:val="left"/>
      <w:pPr>
        <w:ind w:left="5902" w:hanging="360"/>
      </w:pPr>
      <w:rPr>
        <w:rFonts w:ascii="Courier New" w:hAnsi="Courier New" w:cs="Courier New" w:hint="default"/>
      </w:rPr>
    </w:lvl>
    <w:lvl w:ilvl="8">
      <w:start w:val="1"/>
      <w:numFmt w:val="bullet"/>
      <w:lvlText w:val=""/>
      <w:lvlJc w:val="left"/>
      <w:pPr>
        <w:ind w:left="6622" w:hanging="360"/>
      </w:pPr>
      <w:rPr>
        <w:rFonts w:ascii="Wingdings" w:hAnsi="Wingdings" w:hint="default"/>
      </w:rPr>
    </w:lvl>
  </w:abstractNum>
  <w:abstractNum w:abstractNumId="202" w15:restartNumberingAfterBreak="0">
    <w:nsid w:val="3215100E"/>
    <w:multiLevelType w:val="hybridMultilevel"/>
    <w:tmpl w:val="2D5C71DE"/>
    <w:lvl w:ilvl="0" w:tplc="C0BEAE90">
      <w:numFmt w:val="bullet"/>
      <w:lvlText w:val=""/>
      <w:lvlJc w:val="left"/>
      <w:pPr>
        <w:ind w:left="481" w:hanging="284"/>
      </w:pPr>
      <w:rPr>
        <w:rFonts w:ascii="Symbol" w:eastAsia="Symbol" w:hAnsi="Symbol" w:cs="Symbol" w:hint="default"/>
        <w:b w:val="0"/>
        <w:bCs w:val="0"/>
        <w:i w:val="0"/>
        <w:iCs w:val="0"/>
        <w:color w:val="70004A"/>
        <w:spacing w:val="0"/>
        <w:w w:val="100"/>
        <w:sz w:val="18"/>
        <w:szCs w:val="18"/>
        <w:lang w:val="en-US" w:eastAsia="en-US" w:bidi="ar-SA"/>
      </w:rPr>
    </w:lvl>
    <w:lvl w:ilvl="1" w:tplc="3DC88010">
      <w:numFmt w:val="bullet"/>
      <w:lvlText w:val="•"/>
      <w:lvlJc w:val="left"/>
      <w:pPr>
        <w:ind w:left="782" w:hanging="284"/>
      </w:pPr>
      <w:rPr>
        <w:rFonts w:hint="default"/>
        <w:lang w:val="en-US" w:eastAsia="en-US" w:bidi="ar-SA"/>
      </w:rPr>
    </w:lvl>
    <w:lvl w:ilvl="2" w:tplc="4344DFC4">
      <w:numFmt w:val="bullet"/>
      <w:lvlText w:val="•"/>
      <w:lvlJc w:val="left"/>
      <w:pPr>
        <w:ind w:left="1084" w:hanging="284"/>
      </w:pPr>
      <w:rPr>
        <w:rFonts w:hint="default"/>
        <w:lang w:val="en-US" w:eastAsia="en-US" w:bidi="ar-SA"/>
      </w:rPr>
    </w:lvl>
    <w:lvl w:ilvl="3" w:tplc="F8FECAA0">
      <w:numFmt w:val="bullet"/>
      <w:lvlText w:val="•"/>
      <w:lvlJc w:val="left"/>
      <w:pPr>
        <w:ind w:left="1386" w:hanging="284"/>
      </w:pPr>
      <w:rPr>
        <w:rFonts w:hint="default"/>
        <w:lang w:val="en-US" w:eastAsia="en-US" w:bidi="ar-SA"/>
      </w:rPr>
    </w:lvl>
    <w:lvl w:ilvl="4" w:tplc="F2E02838">
      <w:numFmt w:val="bullet"/>
      <w:lvlText w:val="•"/>
      <w:lvlJc w:val="left"/>
      <w:pPr>
        <w:ind w:left="1688" w:hanging="284"/>
      </w:pPr>
      <w:rPr>
        <w:rFonts w:hint="default"/>
        <w:lang w:val="en-US" w:eastAsia="en-US" w:bidi="ar-SA"/>
      </w:rPr>
    </w:lvl>
    <w:lvl w:ilvl="5" w:tplc="54966AE2">
      <w:numFmt w:val="bullet"/>
      <w:lvlText w:val="•"/>
      <w:lvlJc w:val="left"/>
      <w:pPr>
        <w:ind w:left="1990" w:hanging="284"/>
      </w:pPr>
      <w:rPr>
        <w:rFonts w:hint="default"/>
        <w:lang w:val="en-US" w:eastAsia="en-US" w:bidi="ar-SA"/>
      </w:rPr>
    </w:lvl>
    <w:lvl w:ilvl="6" w:tplc="B900B8DA">
      <w:numFmt w:val="bullet"/>
      <w:lvlText w:val="•"/>
      <w:lvlJc w:val="left"/>
      <w:pPr>
        <w:ind w:left="2292" w:hanging="284"/>
      </w:pPr>
      <w:rPr>
        <w:rFonts w:hint="default"/>
        <w:lang w:val="en-US" w:eastAsia="en-US" w:bidi="ar-SA"/>
      </w:rPr>
    </w:lvl>
    <w:lvl w:ilvl="7" w:tplc="2EB8B7C8">
      <w:numFmt w:val="bullet"/>
      <w:lvlText w:val="•"/>
      <w:lvlJc w:val="left"/>
      <w:pPr>
        <w:ind w:left="2594" w:hanging="284"/>
      </w:pPr>
      <w:rPr>
        <w:rFonts w:hint="default"/>
        <w:lang w:val="en-US" w:eastAsia="en-US" w:bidi="ar-SA"/>
      </w:rPr>
    </w:lvl>
    <w:lvl w:ilvl="8" w:tplc="26643F32">
      <w:numFmt w:val="bullet"/>
      <w:lvlText w:val="•"/>
      <w:lvlJc w:val="left"/>
      <w:pPr>
        <w:ind w:left="2896" w:hanging="284"/>
      </w:pPr>
      <w:rPr>
        <w:rFonts w:hint="default"/>
        <w:lang w:val="en-US" w:eastAsia="en-US" w:bidi="ar-SA"/>
      </w:rPr>
    </w:lvl>
  </w:abstractNum>
  <w:abstractNum w:abstractNumId="203" w15:restartNumberingAfterBreak="0">
    <w:nsid w:val="321879AE"/>
    <w:multiLevelType w:val="hybridMultilevel"/>
    <w:tmpl w:val="C4706FAE"/>
    <w:lvl w:ilvl="0" w:tplc="FC525C1A">
      <w:numFmt w:val="bullet"/>
      <w:lvlText w:val=""/>
      <w:lvlJc w:val="left"/>
      <w:pPr>
        <w:ind w:left="439" w:hanging="284"/>
      </w:pPr>
      <w:rPr>
        <w:rFonts w:ascii="Symbol" w:eastAsia="Symbol" w:hAnsi="Symbol" w:cs="Symbol" w:hint="default"/>
        <w:b w:val="0"/>
        <w:bCs w:val="0"/>
        <w:i w:val="0"/>
        <w:iCs w:val="0"/>
        <w:color w:val="70004A"/>
        <w:spacing w:val="0"/>
        <w:w w:val="100"/>
        <w:sz w:val="18"/>
        <w:szCs w:val="18"/>
        <w:lang w:val="en-US" w:eastAsia="en-US" w:bidi="ar-SA"/>
      </w:rPr>
    </w:lvl>
    <w:lvl w:ilvl="1" w:tplc="BB7AD8E4">
      <w:numFmt w:val="bullet"/>
      <w:lvlText w:val="•"/>
      <w:lvlJc w:val="left"/>
      <w:pPr>
        <w:ind w:left="636" w:hanging="284"/>
      </w:pPr>
      <w:rPr>
        <w:rFonts w:hint="default"/>
        <w:lang w:val="en-US" w:eastAsia="en-US" w:bidi="ar-SA"/>
      </w:rPr>
    </w:lvl>
    <w:lvl w:ilvl="2" w:tplc="5F84B45A">
      <w:numFmt w:val="bullet"/>
      <w:lvlText w:val="•"/>
      <w:lvlJc w:val="left"/>
      <w:pPr>
        <w:ind w:left="833" w:hanging="284"/>
      </w:pPr>
      <w:rPr>
        <w:rFonts w:hint="default"/>
        <w:lang w:val="en-US" w:eastAsia="en-US" w:bidi="ar-SA"/>
      </w:rPr>
    </w:lvl>
    <w:lvl w:ilvl="3" w:tplc="4F667B5C">
      <w:numFmt w:val="bullet"/>
      <w:lvlText w:val="•"/>
      <w:lvlJc w:val="left"/>
      <w:pPr>
        <w:ind w:left="1030" w:hanging="284"/>
      </w:pPr>
      <w:rPr>
        <w:rFonts w:hint="default"/>
        <w:lang w:val="en-US" w:eastAsia="en-US" w:bidi="ar-SA"/>
      </w:rPr>
    </w:lvl>
    <w:lvl w:ilvl="4" w:tplc="0ECE3434">
      <w:numFmt w:val="bullet"/>
      <w:lvlText w:val="•"/>
      <w:lvlJc w:val="left"/>
      <w:pPr>
        <w:ind w:left="1227" w:hanging="284"/>
      </w:pPr>
      <w:rPr>
        <w:rFonts w:hint="default"/>
        <w:lang w:val="en-US" w:eastAsia="en-US" w:bidi="ar-SA"/>
      </w:rPr>
    </w:lvl>
    <w:lvl w:ilvl="5" w:tplc="3A622A72">
      <w:numFmt w:val="bullet"/>
      <w:lvlText w:val="•"/>
      <w:lvlJc w:val="left"/>
      <w:pPr>
        <w:ind w:left="1424" w:hanging="284"/>
      </w:pPr>
      <w:rPr>
        <w:rFonts w:hint="default"/>
        <w:lang w:val="en-US" w:eastAsia="en-US" w:bidi="ar-SA"/>
      </w:rPr>
    </w:lvl>
    <w:lvl w:ilvl="6" w:tplc="D7BCE53C">
      <w:numFmt w:val="bullet"/>
      <w:lvlText w:val="•"/>
      <w:lvlJc w:val="left"/>
      <w:pPr>
        <w:ind w:left="1621" w:hanging="284"/>
      </w:pPr>
      <w:rPr>
        <w:rFonts w:hint="default"/>
        <w:lang w:val="en-US" w:eastAsia="en-US" w:bidi="ar-SA"/>
      </w:rPr>
    </w:lvl>
    <w:lvl w:ilvl="7" w:tplc="E70AEC0C">
      <w:numFmt w:val="bullet"/>
      <w:lvlText w:val="•"/>
      <w:lvlJc w:val="left"/>
      <w:pPr>
        <w:ind w:left="1818" w:hanging="284"/>
      </w:pPr>
      <w:rPr>
        <w:rFonts w:hint="default"/>
        <w:lang w:val="en-US" w:eastAsia="en-US" w:bidi="ar-SA"/>
      </w:rPr>
    </w:lvl>
    <w:lvl w:ilvl="8" w:tplc="2158799C">
      <w:numFmt w:val="bullet"/>
      <w:lvlText w:val="•"/>
      <w:lvlJc w:val="left"/>
      <w:pPr>
        <w:ind w:left="2015" w:hanging="284"/>
      </w:pPr>
      <w:rPr>
        <w:rFonts w:hint="default"/>
        <w:lang w:val="en-US" w:eastAsia="en-US" w:bidi="ar-SA"/>
      </w:rPr>
    </w:lvl>
  </w:abstractNum>
  <w:abstractNum w:abstractNumId="204" w15:restartNumberingAfterBreak="0">
    <w:nsid w:val="321B6528"/>
    <w:multiLevelType w:val="hybridMultilevel"/>
    <w:tmpl w:val="D5A248A8"/>
    <w:lvl w:ilvl="0" w:tplc="ABAA40F4">
      <w:numFmt w:val="bullet"/>
      <w:lvlText w:val=""/>
      <w:lvlJc w:val="left"/>
      <w:pPr>
        <w:ind w:left="425" w:hanging="284"/>
      </w:pPr>
      <w:rPr>
        <w:rFonts w:ascii="Symbol" w:eastAsia="Symbol" w:hAnsi="Symbol" w:cs="Symbol" w:hint="default"/>
        <w:b w:val="0"/>
        <w:bCs w:val="0"/>
        <w:i w:val="0"/>
        <w:iCs w:val="0"/>
        <w:color w:val="70004A"/>
        <w:spacing w:val="0"/>
        <w:w w:val="100"/>
        <w:sz w:val="18"/>
        <w:szCs w:val="18"/>
        <w:lang w:val="en-US" w:eastAsia="en-US" w:bidi="ar-SA"/>
      </w:rPr>
    </w:lvl>
    <w:lvl w:ilvl="1" w:tplc="406A6C28">
      <w:numFmt w:val="bullet"/>
      <w:lvlText w:val="•"/>
      <w:lvlJc w:val="left"/>
      <w:pPr>
        <w:ind w:left="592" w:hanging="284"/>
      </w:pPr>
      <w:rPr>
        <w:rFonts w:hint="default"/>
        <w:lang w:val="en-US" w:eastAsia="en-US" w:bidi="ar-SA"/>
      </w:rPr>
    </w:lvl>
    <w:lvl w:ilvl="2" w:tplc="DA2AFA34">
      <w:numFmt w:val="bullet"/>
      <w:lvlText w:val="•"/>
      <w:lvlJc w:val="left"/>
      <w:pPr>
        <w:ind w:left="764" w:hanging="284"/>
      </w:pPr>
      <w:rPr>
        <w:rFonts w:hint="default"/>
        <w:lang w:val="en-US" w:eastAsia="en-US" w:bidi="ar-SA"/>
      </w:rPr>
    </w:lvl>
    <w:lvl w:ilvl="3" w:tplc="47F02112">
      <w:numFmt w:val="bullet"/>
      <w:lvlText w:val="•"/>
      <w:lvlJc w:val="left"/>
      <w:pPr>
        <w:ind w:left="936" w:hanging="284"/>
      </w:pPr>
      <w:rPr>
        <w:rFonts w:hint="default"/>
        <w:lang w:val="en-US" w:eastAsia="en-US" w:bidi="ar-SA"/>
      </w:rPr>
    </w:lvl>
    <w:lvl w:ilvl="4" w:tplc="FA7C329E">
      <w:numFmt w:val="bullet"/>
      <w:lvlText w:val="•"/>
      <w:lvlJc w:val="left"/>
      <w:pPr>
        <w:ind w:left="1108" w:hanging="284"/>
      </w:pPr>
      <w:rPr>
        <w:rFonts w:hint="default"/>
        <w:lang w:val="en-US" w:eastAsia="en-US" w:bidi="ar-SA"/>
      </w:rPr>
    </w:lvl>
    <w:lvl w:ilvl="5" w:tplc="2DB84052">
      <w:numFmt w:val="bullet"/>
      <w:lvlText w:val="•"/>
      <w:lvlJc w:val="left"/>
      <w:pPr>
        <w:ind w:left="1281" w:hanging="284"/>
      </w:pPr>
      <w:rPr>
        <w:rFonts w:hint="default"/>
        <w:lang w:val="en-US" w:eastAsia="en-US" w:bidi="ar-SA"/>
      </w:rPr>
    </w:lvl>
    <w:lvl w:ilvl="6" w:tplc="F3A802A0">
      <w:numFmt w:val="bullet"/>
      <w:lvlText w:val="•"/>
      <w:lvlJc w:val="left"/>
      <w:pPr>
        <w:ind w:left="1453" w:hanging="284"/>
      </w:pPr>
      <w:rPr>
        <w:rFonts w:hint="default"/>
        <w:lang w:val="en-US" w:eastAsia="en-US" w:bidi="ar-SA"/>
      </w:rPr>
    </w:lvl>
    <w:lvl w:ilvl="7" w:tplc="1E2E11C0">
      <w:numFmt w:val="bullet"/>
      <w:lvlText w:val="•"/>
      <w:lvlJc w:val="left"/>
      <w:pPr>
        <w:ind w:left="1625" w:hanging="284"/>
      </w:pPr>
      <w:rPr>
        <w:rFonts w:hint="default"/>
        <w:lang w:val="en-US" w:eastAsia="en-US" w:bidi="ar-SA"/>
      </w:rPr>
    </w:lvl>
    <w:lvl w:ilvl="8" w:tplc="44B2CC5A">
      <w:numFmt w:val="bullet"/>
      <w:lvlText w:val="•"/>
      <w:lvlJc w:val="left"/>
      <w:pPr>
        <w:ind w:left="1797" w:hanging="284"/>
      </w:pPr>
      <w:rPr>
        <w:rFonts w:hint="default"/>
        <w:lang w:val="en-US" w:eastAsia="en-US" w:bidi="ar-SA"/>
      </w:rPr>
    </w:lvl>
  </w:abstractNum>
  <w:abstractNum w:abstractNumId="205" w15:restartNumberingAfterBreak="0">
    <w:nsid w:val="32440CBA"/>
    <w:multiLevelType w:val="hybridMultilevel"/>
    <w:tmpl w:val="E1CE3010"/>
    <w:lvl w:ilvl="0" w:tplc="3230E4D6">
      <w:numFmt w:val="bullet"/>
      <w:lvlText w:val=""/>
      <w:lvlJc w:val="left"/>
      <w:pPr>
        <w:ind w:left="433" w:hanging="284"/>
      </w:pPr>
      <w:rPr>
        <w:rFonts w:ascii="Symbol" w:eastAsia="Symbol" w:hAnsi="Symbol" w:cs="Symbol" w:hint="default"/>
        <w:b w:val="0"/>
        <w:bCs w:val="0"/>
        <w:i w:val="0"/>
        <w:iCs w:val="0"/>
        <w:color w:val="70004A"/>
        <w:spacing w:val="0"/>
        <w:w w:val="100"/>
        <w:sz w:val="18"/>
        <w:szCs w:val="18"/>
        <w:lang w:val="en-US" w:eastAsia="en-US" w:bidi="ar-SA"/>
      </w:rPr>
    </w:lvl>
    <w:lvl w:ilvl="1" w:tplc="6F4E76AC">
      <w:numFmt w:val="bullet"/>
      <w:lvlText w:val="•"/>
      <w:lvlJc w:val="left"/>
      <w:pPr>
        <w:ind w:left="603" w:hanging="284"/>
      </w:pPr>
      <w:rPr>
        <w:rFonts w:hint="default"/>
        <w:lang w:val="en-US" w:eastAsia="en-US" w:bidi="ar-SA"/>
      </w:rPr>
    </w:lvl>
    <w:lvl w:ilvl="2" w:tplc="34EEE952">
      <w:numFmt w:val="bullet"/>
      <w:lvlText w:val="•"/>
      <w:lvlJc w:val="left"/>
      <w:pPr>
        <w:ind w:left="766" w:hanging="284"/>
      </w:pPr>
      <w:rPr>
        <w:rFonts w:hint="default"/>
        <w:lang w:val="en-US" w:eastAsia="en-US" w:bidi="ar-SA"/>
      </w:rPr>
    </w:lvl>
    <w:lvl w:ilvl="3" w:tplc="84DEA04A">
      <w:numFmt w:val="bullet"/>
      <w:lvlText w:val="•"/>
      <w:lvlJc w:val="left"/>
      <w:pPr>
        <w:ind w:left="929" w:hanging="284"/>
      </w:pPr>
      <w:rPr>
        <w:rFonts w:hint="default"/>
        <w:lang w:val="en-US" w:eastAsia="en-US" w:bidi="ar-SA"/>
      </w:rPr>
    </w:lvl>
    <w:lvl w:ilvl="4" w:tplc="CE868AD2">
      <w:numFmt w:val="bullet"/>
      <w:lvlText w:val="•"/>
      <w:lvlJc w:val="left"/>
      <w:pPr>
        <w:ind w:left="1092" w:hanging="284"/>
      </w:pPr>
      <w:rPr>
        <w:rFonts w:hint="default"/>
        <w:lang w:val="en-US" w:eastAsia="en-US" w:bidi="ar-SA"/>
      </w:rPr>
    </w:lvl>
    <w:lvl w:ilvl="5" w:tplc="34307FF6">
      <w:numFmt w:val="bullet"/>
      <w:lvlText w:val="•"/>
      <w:lvlJc w:val="left"/>
      <w:pPr>
        <w:ind w:left="1255" w:hanging="284"/>
      </w:pPr>
      <w:rPr>
        <w:rFonts w:hint="default"/>
        <w:lang w:val="en-US" w:eastAsia="en-US" w:bidi="ar-SA"/>
      </w:rPr>
    </w:lvl>
    <w:lvl w:ilvl="6" w:tplc="A546D996">
      <w:numFmt w:val="bullet"/>
      <w:lvlText w:val="•"/>
      <w:lvlJc w:val="left"/>
      <w:pPr>
        <w:ind w:left="1418" w:hanging="284"/>
      </w:pPr>
      <w:rPr>
        <w:rFonts w:hint="default"/>
        <w:lang w:val="en-US" w:eastAsia="en-US" w:bidi="ar-SA"/>
      </w:rPr>
    </w:lvl>
    <w:lvl w:ilvl="7" w:tplc="E5B25DEE">
      <w:numFmt w:val="bullet"/>
      <w:lvlText w:val="•"/>
      <w:lvlJc w:val="left"/>
      <w:pPr>
        <w:ind w:left="1581" w:hanging="284"/>
      </w:pPr>
      <w:rPr>
        <w:rFonts w:hint="default"/>
        <w:lang w:val="en-US" w:eastAsia="en-US" w:bidi="ar-SA"/>
      </w:rPr>
    </w:lvl>
    <w:lvl w:ilvl="8" w:tplc="EAD81E70">
      <w:numFmt w:val="bullet"/>
      <w:lvlText w:val="•"/>
      <w:lvlJc w:val="left"/>
      <w:pPr>
        <w:ind w:left="1744" w:hanging="284"/>
      </w:pPr>
      <w:rPr>
        <w:rFonts w:hint="default"/>
        <w:lang w:val="en-US" w:eastAsia="en-US" w:bidi="ar-SA"/>
      </w:rPr>
    </w:lvl>
  </w:abstractNum>
  <w:abstractNum w:abstractNumId="206" w15:restartNumberingAfterBreak="0">
    <w:nsid w:val="326935FF"/>
    <w:multiLevelType w:val="hybridMultilevel"/>
    <w:tmpl w:val="62945A7C"/>
    <w:lvl w:ilvl="0" w:tplc="C6901B22">
      <w:numFmt w:val="bullet"/>
      <w:lvlText w:val=""/>
      <w:lvlJc w:val="left"/>
      <w:pPr>
        <w:ind w:left="438" w:hanging="284"/>
      </w:pPr>
      <w:rPr>
        <w:rFonts w:ascii="Symbol" w:eastAsia="Symbol" w:hAnsi="Symbol" w:cs="Symbol" w:hint="default"/>
        <w:b w:val="0"/>
        <w:bCs w:val="0"/>
        <w:i w:val="0"/>
        <w:iCs w:val="0"/>
        <w:color w:val="70004A"/>
        <w:spacing w:val="0"/>
        <w:w w:val="100"/>
        <w:sz w:val="18"/>
        <w:szCs w:val="18"/>
        <w:lang w:val="en-US" w:eastAsia="en-US" w:bidi="ar-SA"/>
      </w:rPr>
    </w:lvl>
    <w:lvl w:ilvl="1" w:tplc="5DD2D65C">
      <w:numFmt w:val="bullet"/>
      <w:lvlText w:val="•"/>
      <w:lvlJc w:val="left"/>
      <w:pPr>
        <w:ind w:left="654" w:hanging="284"/>
      </w:pPr>
      <w:rPr>
        <w:rFonts w:hint="default"/>
        <w:lang w:val="en-US" w:eastAsia="en-US" w:bidi="ar-SA"/>
      </w:rPr>
    </w:lvl>
    <w:lvl w:ilvl="2" w:tplc="2716D672">
      <w:numFmt w:val="bullet"/>
      <w:lvlText w:val="•"/>
      <w:lvlJc w:val="left"/>
      <w:pPr>
        <w:ind w:left="869" w:hanging="284"/>
      </w:pPr>
      <w:rPr>
        <w:rFonts w:hint="default"/>
        <w:lang w:val="en-US" w:eastAsia="en-US" w:bidi="ar-SA"/>
      </w:rPr>
    </w:lvl>
    <w:lvl w:ilvl="3" w:tplc="6276C572">
      <w:numFmt w:val="bullet"/>
      <w:lvlText w:val="•"/>
      <w:lvlJc w:val="left"/>
      <w:pPr>
        <w:ind w:left="1084" w:hanging="284"/>
      </w:pPr>
      <w:rPr>
        <w:rFonts w:hint="default"/>
        <w:lang w:val="en-US" w:eastAsia="en-US" w:bidi="ar-SA"/>
      </w:rPr>
    </w:lvl>
    <w:lvl w:ilvl="4" w:tplc="384AE5C6">
      <w:numFmt w:val="bullet"/>
      <w:lvlText w:val="•"/>
      <w:lvlJc w:val="left"/>
      <w:pPr>
        <w:ind w:left="1298" w:hanging="284"/>
      </w:pPr>
      <w:rPr>
        <w:rFonts w:hint="default"/>
        <w:lang w:val="en-US" w:eastAsia="en-US" w:bidi="ar-SA"/>
      </w:rPr>
    </w:lvl>
    <w:lvl w:ilvl="5" w:tplc="60C6E362">
      <w:numFmt w:val="bullet"/>
      <w:lvlText w:val="•"/>
      <w:lvlJc w:val="left"/>
      <w:pPr>
        <w:ind w:left="1513" w:hanging="284"/>
      </w:pPr>
      <w:rPr>
        <w:rFonts w:hint="default"/>
        <w:lang w:val="en-US" w:eastAsia="en-US" w:bidi="ar-SA"/>
      </w:rPr>
    </w:lvl>
    <w:lvl w:ilvl="6" w:tplc="C4E4E142">
      <w:numFmt w:val="bullet"/>
      <w:lvlText w:val="•"/>
      <w:lvlJc w:val="left"/>
      <w:pPr>
        <w:ind w:left="1728" w:hanging="284"/>
      </w:pPr>
      <w:rPr>
        <w:rFonts w:hint="default"/>
        <w:lang w:val="en-US" w:eastAsia="en-US" w:bidi="ar-SA"/>
      </w:rPr>
    </w:lvl>
    <w:lvl w:ilvl="7" w:tplc="557C0F7E">
      <w:numFmt w:val="bullet"/>
      <w:lvlText w:val="•"/>
      <w:lvlJc w:val="left"/>
      <w:pPr>
        <w:ind w:left="1942" w:hanging="284"/>
      </w:pPr>
      <w:rPr>
        <w:rFonts w:hint="default"/>
        <w:lang w:val="en-US" w:eastAsia="en-US" w:bidi="ar-SA"/>
      </w:rPr>
    </w:lvl>
    <w:lvl w:ilvl="8" w:tplc="CFDE11D0">
      <w:numFmt w:val="bullet"/>
      <w:lvlText w:val="•"/>
      <w:lvlJc w:val="left"/>
      <w:pPr>
        <w:ind w:left="2157" w:hanging="284"/>
      </w:pPr>
      <w:rPr>
        <w:rFonts w:hint="default"/>
        <w:lang w:val="en-US" w:eastAsia="en-US" w:bidi="ar-SA"/>
      </w:rPr>
    </w:lvl>
  </w:abstractNum>
  <w:abstractNum w:abstractNumId="207" w15:restartNumberingAfterBreak="0">
    <w:nsid w:val="32C57F2B"/>
    <w:multiLevelType w:val="hybridMultilevel"/>
    <w:tmpl w:val="F2F2DEF0"/>
    <w:lvl w:ilvl="0" w:tplc="629EE36A">
      <w:numFmt w:val="bullet"/>
      <w:lvlText w:val=""/>
      <w:lvlJc w:val="left"/>
      <w:pPr>
        <w:ind w:left="440" w:hanging="284"/>
      </w:pPr>
      <w:rPr>
        <w:rFonts w:ascii="Symbol" w:eastAsia="Symbol" w:hAnsi="Symbol" w:cs="Symbol" w:hint="default"/>
        <w:b w:val="0"/>
        <w:bCs w:val="0"/>
        <w:i w:val="0"/>
        <w:iCs w:val="0"/>
        <w:color w:val="70004A"/>
        <w:spacing w:val="0"/>
        <w:w w:val="100"/>
        <w:sz w:val="18"/>
        <w:szCs w:val="18"/>
        <w:lang w:val="en-US" w:eastAsia="en-US" w:bidi="ar-SA"/>
      </w:rPr>
    </w:lvl>
    <w:lvl w:ilvl="1" w:tplc="FFA4CB52">
      <w:numFmt w:val="bullet"/>
      <w:lvlText w:val="•"/>
      <w:lvlJc w:val="left"/>
      <w:pPr>
        <w:ind w:left="625" w:hanging="284"/>
      </w:pPr>
      <w:rPr>
        <w:rFonts w:hint="default"/>
        <w:lang w:val="en-US" w:eastAsia="en-US" w:bidi="ar-SA"/>
      </w:rPr>
    </w:lvl>
    <w:lvl w:ilvl="2" w:tplc="923233C8">
      <w:numFmt w:val="bullet"/>
      <w:lvlText w:val="•"/>
      <w:lvlJc w:val="left"/>
      <w:pPr>
        <w:ind w:left="811" w:hanging="284"/>
      </w:pPr>
      <w:rPr>
        <w:rFonts w:hint="default"/>
        <w:lang w:val="en-US" w:eastAsia="en-US" w:bidi="ar-SA"/>
      </w:rPr>
    </w:lvl>
    <w:lvl w:ilvl="3" w:tplc="EA0202B6">
      <w:numFmt w:val="bullet"/>
      <w:lvlText w:val="•"/>
      <w:lvlJc w:val="left"/>
      <w:pPr>
        <w:ind w:left="997" w:hanging="284"/>
      </w:pPr>
      <w:rPr>
        <w:rFonts w:hint="default"/>
        <w:lang w:val="en-US" w:eastAsia="en-US" w:bidi="ar-SA"/>
      </w:rPr>
    </w:lvl>
    <w:lvl w:ilvl="4" w:tplc="3BEC47A6">
      <w:numFmt w:val="bullet"/>
      <w:lvlText w:val="•"/>
      <w:lvlJc w:val="left"/>
      <w:pPr>
        <w:ind w:left="1182" w:hanging="284"/>
      </w:pPr>
      <w:rPr>
        <w:rFonts w:hint="default"/>
        <w:lang w:val="en-US" w:eastAsia="en-US" w:bidi="ar-SA"/>
      </w:rPr>
    </w:lvl>
    <w:lvl w:ilvl="5" w:tplc="0E8A09A2">
      <w:numFmt w:val="bullet"/>
      <w:lvlText w:val="•"/>
      <w:lvlJc w:val="left"/>
      <w:pPr>
        <w:ind w:left="1368" w:hanging="284"/>
      </w:pPr>
      <w:rPr>
        <w:rFonts w:hint="default"/>
        <w:lang w:val="en-US" w:eastAsia="en-US" w:bidi="ar-SA"/>
      </w:rPr>
    </w:lvl>
    <w:lvl w:ilvl="6" w:tplc="FBCA0F2C">
      <w:numFmt w:val="bullet"/>
      <w:lvlText w:val="•"/>
      <w:lvlJc w:val="left"/>
      <w:pPr>
        <w:ind w:left="1554" w:hanging="284"/>
      </w:pPr>
      <w:rPr>
        <w:rFonts w:hint="default"/>
        <w:lang w:val="en-US" w:eastAsia="en-US" w:bidi="ar-SA"/>
      </w:rPr>
    </w:lvl>
    <w:lvl w:ilvl="7" w:tplc="706A1DA0">
      <w:numFmt w:val="bullet"/>
      <w:lvlText w:val="•"/>
      <w:lvlJc w:val="left"/>
      <w:pPr>
        <w:ind w:left="1739" w:hanging="284"/>
      </w:pPr>
      <w:rPr>
        <w:rFonts w:hint="default"/>
        <w:lang w:val="en-US" w:eastAsia="en-US" w:bidi="ar-SA"/>
      </w:rPr>
    </w:lvl>
    <w:lvl w:ilvl="8" w:tplc="C27CA4EC">
      <w:numFmt w:val="bullet"/>
      <w:lvlText w:val="•"/>
      <w:lvlJc w:val="left"/>
      <w:pPr>
        <w:ind w:left="1925" w:hanging="284"/>
      </w:pPr>
      <w:rPr>
        <w:rFonts w:hint="default"/>
        <w:lang w:val="en-US" w:eastAsia="en-US" w:bidi="ar-SA"/>
      </w:rPr>
    </w:lvl>
  </w:abstractNum>
  <w:abstractNum w:abstractNumId="208" w15:restartNumberingAfterBreak="0">
    <w:nsid w:val="32D00675"/>
    <w:multiLevelType w:val="hybridMultilevel"/>
    <w:tmpl w:val="BE5A177A"/>
    <w:lvl w:ilvl="0" w:tplc="049042A4">
      <w:numFmt w:val="bullet"/>
      <w:lvlText w:val=""/>
      <w:lvlJc w:val="left"/>
      <w:pPr>
        <w:ind w:left="481" w:hanging="284"/>
      </w:pPr>
      <w:rPr>
        <w:rFonts w:ascii="Symbol" w:eastAsia="Symbol" w:hAnsi="Symbol" w:cs="Symbol" w:hint="default"/>
        <w:b w:val="0"/>
        <w:bCs w:val="0"/>
        <w:i w:val="0"/>
        <w:iCs w:val="0"/>
        <w:color w:val="70004A"/>
        <w:spacing w:val="0"/>
        <w:w w:val="100"/>
        <w:sz w:val="18"/>
        <w:szCs w:val="18"/>
        <w:lang w:val="en-US" w:eastAsia="en-US" w:bidi="ar-SA"/>
      </w:rPr>
    </w:lvl>
    <w:lvl w:ilvl="1" w:tplc="0C4C2CA0">
      <w:numFmt w:val="bullet"/>
      <w:lvlText w:val="•"/>
      <w:lvlJc w:val="left"/>
      <w:pPr>
        <w:ind w:left="745" w:hanging="284"/>
      </w:pPr>
      <w:rPr>
        <w:rFonts w:hint="default"/>
        <w:lang w:val="en-US" w:eastAsia="en-US" w:bidi="ar-SA"/>
      </w:rPr>
    </w:lvl>
    <w:lvl w:ilvl="2" w:tplc="4FF84608">
      <w:numFmt w:val="bullet"/>
      <w:lvlText w:val="•"/>
      <w:lvlJc w:val="left"/>
      <w:pPr>
        <w:ind w:left="1010" w:hanging="284"/>
      </w:pPr>
      <w:rPr>
        <w:rFonts w:hint="default"/>
        <w:lang w:val="en-US" w:eastAsia="en-US" w:bidi="ar-SA"/>
      </w:rPr>
    </w:lvl>
    <w:lvl w:ilvl="3" w:tplc="26D88084">
      <w:numFmt w:val="bullet"/>
      <w:lvlText w:val="•"/>
      <w:lvlJc w:val="left"/>
      <w:pPr>
        <w:ind w:left="1275" w:hanging="284"/>
      </w:pPr>
      <w:rPr>
        <w:rFonts w:hint="default"/>
        <w:lang w:val="en-US" w:eastAsia="en-US" w:bidi="ar-SA"/>
      </w:rPr>
    </w:lvl>
    <w:lvl w:ilvl="4" w:tplc="B70E1442">
      <w:numFmt w:val="bullet"/>
      <w:lvlText w:val="•"/>
      <w:lvlJc w:val="left"/>
      <w:pPr>
        <w:ind w:left="1540" w:hanging="284"/>
      </w:pPr>
      <w:rPr>
        <w:rFonts w:hint="default"/>
        <w:lang w:val="en-US" w:eastAsia="en-US" w:bidi="ar-SA"/>
      </w:rPr>
    </w:lvl>
    <w:lvl w:ilvl="5" w:tplc="8AF07ACA">
      <w:numFmt w:val="bullet"/>
      <w:lvlText w:val="•"/>
      <w:lvlJc w:val="left"/>
      <w:pPr>
        <w:ind w:left="1805" w:hanging="284"/>
      </w:pPr>
      <w:rPr>
        <w:rFonts w:hint="default"/>
        <w:lang w:val="en-US" w:eastAsia="en-US" w:bidi="ar-SA"/>
      </w:rPr>
    </w:lvl>
    <w:lvl w:ilvl="6" w:tplc="2B0271C4">
      <w:numFmt w:val="bullet"/>
      <w:lvlText w:val="•"/>
      <w:lvlJc w:val="left"/>
      <w:pPr>
        <w:ind w:left="2070" w:hanging="284"/>
      </w:pPr>
      <w:rPr>
        <w:rFonts w:hint="default"/>
        <w:lang w:val="en-US" w:eastAsia="en-US" w:bidi="ar-SA"/>
      </w:rPr>
    </w:lvl>
    <w:lvl w:ilvl="7" w:tplc="E93C396A">
      <w:numFmt w:val="bullet"/>
      <w:lvlText w:val="•"/>
      <w:lvlJc w:val="left"/>
      <w:pPr>
        <w:ind w:left="2335" w:hanging="284"/>
      </w:pPr>
      <w:rPr>
        <w:rFonts w:hint="default"/>
        <w:lang w:val="en-US" w:eastAsia="en-US" w:bidi="ar-SA"/>
      </w:rPr>
    </w:lvl>
    <w:lvl w:ilvl="8" w:tplc="1122A38C">
      <w:numFmt w:val="bullet"/>
      <w:lvlText w:val="•"/>
      <w:lvlJc w:val="left"/>
      <w:pPr>
        <w:ind w:left="2600" w:hanging="284"/>
      </w:pPr>
      <w:rPr>
        <w:rFonts w:hint="default"/>
        <w:lang w:val="en-US" w:eastAsia="en-US" w:bidi="ar-SA"/>
      </w:rPr>
    </w:lvl>
  </w:abstractNum>
  <w:abstractNum w:abstractNumId="209" w15:restartNumberingAfterBreak="0">
    <w:nsid w:val="32E37D94"/>
    <w:multiLevelType w:val="hybridMultilevel"/>
    <w:tmpl w:val="E1680CAC"/>
    <w:lvl w:ilvl="0" w:tplc="7D08436A">
      <w:numFmt w:val="bullet"/>
      <w:lvlText w:val=""/>
      <w:lvlJc w:val="left"/>
      <w:pPr>
        <w:ind w:left="501" w:hanging="284"/>
      </w:pPr>
      <w:rPr>
        <w:rFonts w:ascii="Symbol" w:eastAsia="Symbol" w:hAnsi="Symbol" w:cs="Symbol" w:hint="default"/>
        <w:b w:val="0"/>
        <w:bCs w:val="0"/>
        <w:i w:val="0"/>
        <w:iCs w:val="0"/>
        <w:color w:val="70004A"/>
        <w:spacing w:val="0"/>
        <w:w w:val="100"/>
        <w:sz w:val="18"/>
        <w:szCs w:val="18"/>
        <w:lang w:val="en-US" w:eastAsia="en-US" w:bidi="ar-SA"/>
      </w:rPr>
    </w:lvl>
    <w:lvl w:ilvl="1" w:tplc="86200A80">
      <w:numFmt w:val="bullet"/>
      <w:lvlText w:val="•"/>
      <w:lvlJc w:val="left"/>
      <w:pPr>
        <w:ind w:left="796" w:hanging="284"/>
      </w:pPr>
      <w:rPr>
        <w:rFonts w:hint="default"/>
        <w:lang w:val="en-US" w:eastAsia="en-US" w:bidi="ar-SA"/>
      </w:rPr>
    </w:lvl>
    <w:lvl w:ilvl="2" w:tplc="537E8556">
      <w:numFmt w:val="bullet"/>
      <w:lvlText w:val="•"/>
      <w:lvlJc w:val="left"/>
      <w:pPr>
        <w:ind w:left="1093" w:hanging="284"/>
      </w:pPr>
      <w:rPr>
        <w:rFonts w:hint="default"/>
        <w:lang w:val="en-US" w:eastAsia="en-US" w:bidi="ar-SA"/>
      </w:rPr>
    </w:lvl>
    <w:lvl w:ilvl="3" w:tplc="CCACA0AE">
      <w:numFmt w:val="bullet"/>
      <w:lvlText w:val="•"/>
      <w:lvlJc w:val="left"/>
      <w:pPr>
        <w:ind w:left="1390" w:hanging="284"/>
      </w:pPr>
      <w:rPr>
        <w:rFonts w:hint="default"/>
        <w:lang w:val="en-US" w:eastAsia="en-US" w:bidi="ar-SA"/>
      </w:rPr>
    </w:lvl>
    <w:lvl w:ilvl="4" w:tplc="D692308E">
      <w:numFmt w:val="bullet"/>
      <w:lvlText w:val="•"/>
      <w:lvlJc w:val="left"/>
      <w:pPr>
        <w:ind w:left="1686" w:hanging="284"/>
      </w:pPr>
      <w:rPr>
        <w:rFonts w:hint="default"/>
        <w:lang w:val="en-US" w:eastAsia="en-US" w:bidi="ar-SA"/>
      </w:rPr>
    </w:lvl>
    <w:lvl w:ilvl="5" w:tplc="14F67C94">
      <w:numFmt w:val="bullet"/>
      <w:lvlText w:val="•"/>
      <w:lvlJc w:val="left"/>
      <w:pPr>
        <w:ind w:left="1983" w:hanging="284"/>
      </w:pPr>
      <w:rPr>
        <w:rFonts w:hint="default"/>
        <w:lang w:val="en-US" w:eastAsia="en-US" w:bidi="ar-SA"/>
      </w:rPr>
    </w:lvl>
    <w:lvl w:ilvl="6" w:tplc="A588D946">
      <w:numFmt w:val="bullet"/>
      <w:lvlText w:val="•"/>
      <w:lvlJc w:val="left"/>
      <w:pPr>
        <w:ind w:left="2280" w:hanging="284"/>
      </w:pPr>
      <w:rPr>
        <w:rFonts w:hint="default"/>
        <w:lang w:val="en-US" w:eastAsia="en-US" w:bidi="ar-SA"/>
      </w:rPr>
    </w:lvl>
    <w:lvl w:ilvl="7" w:tplc="E35E1802">
      <w:numFmt w:val="bullet"/>
      <w:lvlText w:val="•"/>
      <w:lvlJc w:val="left"/>
      <w:pPr>
        <w:ind w:left="2576" w:hanging="284"/>
      </w:pPr>
      <w:rPr>
        <w:rFonts w:hint="default"/>
        <w:lang w:val="en-US" w:eastAsia="en-US" w:bidi="ar-SA"/>
      </w:rPr>
    </w:lvl>
    <w:lvl w:ilvl="8" w:tplc="65B41FD0">
      <w:numFmt w:val="bullet"/>
      <w:lvlText w:val="•"/>
      <w:lvlJc w:val="left"/>
      <w:pPr>
        <w:ind w:left="2873" w:hanging="284"/>
      </w:pPr>
      <w:rPr>
        <w:rFonts w:hint="default"/>
        <w:lang w:val="en-US" w:eastAsia="en-US" w:bidi="ar-SA"/>
      </w:rPr>
    </w:lvl>
  </w:abstractNum>
  <w:abstractNum w:abstractNumId="210" w15:restartNumberingAfterBreak="0">
    <w:nsid w:val="3304586C"/>
    <w:multiLevelType w:val="hybridMultilevel"/>
    <w:tmpl w:val="BB24CAC2"/>
    <w:lvl w:ilvl="0" w:tplc="2D987046">
      <w:numFmt w:val="bullet"/>
      <w:lvlText w:val=""/>
      <w:lvlJc w:val="left"/>
      <w:pPr>
        <w:ind w:left="323" w:hanging="284"/>
      </w:pPr>
      <w:rPr>
        <w:rFonts w:ascii="Symbol" w:eastAsia="Symbol" w:hAnsi="Symbol" w:cs="Symbol" w:hint="default"/>
        <w:b w:val="0"/>
        <w:bCs w:val="0"/>
        <w:i w:val="0"/>
        <w:iCs w:val="0"/>
        <w:color w:val="70004A"/>
        <w:spacing w:val="0"/>
        <w:w w:val="100"/>
        <w:sz w:val="18"/>
        <w:szCs w:val="18"/>
        <w:lang w:val="en-US" w:eastAsia="en-US" w:bidi="ar-SA"/>
      </w:rPr>
    </w:lvl>
    <w:lvl w:ilvl="1" w:tplc="87040560">
      <w:numFmt w:val="bullet"/>
      <w:lvlText w:val="•"/>
      <w:lvlJc w:val="left"/>
      <w:pPr>
        <w:ind w:left="430" w:hanging="284"/>
      </w:pPr>
      <w:rPr>
        <w:rFonts w:hint="default"/>
        <w:lang w:val="en-US" w:eastAsia="en-US" w:bidi="ar-SA"/>
      </w:rPr>
    </w:lvl>
    <w:lvl w:ilvl="2" w:tplc="8148361C">
      <w:numFmt w:val="bullet"/>
      <w:lvlText w:val="•"/>
      <w:lvlJc w:val="left"/>
      <w:pPr>
        <w:ind w:left="541" w:hanging="284"/>
      </w:pPr>
      <w:rPr>
        <w:rFonts w:hint="default"/>
        <w:lang w:val="en-US" w:eastAsia="en-US" w:bidi="ar-SA"/>
      </w:rPr>
    </w:lvl>
    <w:lvl w:ilvl="3" w:tplc="471A0CE0">
      <w:numFmt w:val="bullet"/>
      <w:lvlText w:val="•"/>
      <w:lvlJc w:val="left"/>
      <w:pPr>
        <w:ind w:left="652" w:hanging="284"/>
      </w:pPr>
      <w:rPr>
        <w:rFonts w:hint="default"/>
        <w:lang w:val="en-US" w:eastAsia="en-US" w:bidi="ar-SA"/>
      </w:rPr>
    </w:lvl>
    <w:lvl w:ilvl="4" w:tplc="58866DDA">
      <w:numFmt w:val="bullet"/>
      <w:lvlText w:val="•"/>
      <w:lvlJc w:val="left"/>
      <w:pPr>
        <w:ind w:left="763" w:hanging="284"/>
      </w:pPr>
      <w:rPr>
        <w:rFonts w:hint="default"/>
        <w:lang w:val="en-US" w:eastAsia="en-US" w:bidi="ar-SA"/>
      </w:rPr>
    </w:lvl>
    <w:lvl w:ilvl="5" w:tplc="D16C94BE">
      <w:numFmt w:val="bullet"/>
      <w:lvlText w:val="•"/>
      <w:lvlJc w:val="left"/>
      <w:pPr>
        <w:ind w:left="874" w:hanging="284"/>
      </w:pPr>
      <w:rPr>
        <w:rFonts w:hint="default"/>
        <w:lang w:val="en-US" w:eastAsia="en-US" w:bidi="ar-SA"/>
      </w:rPr>
    </w:lvl>
    <w:lvl w:ilvl="6" w:tplc="EB8028D8">
      <w:numFmt w:val="bullet"/>
      <w:lvlText w:val="•"/>
      <w:lvlJc w:val="left"/>
      <w:pPr>
        <w:ind w:left="984" w:hanging="284"/>
      </w:pPr>
      <w:rPr>
        <w:rFonts w:hint="default"/>
        <w:lang w:val="en-US" w:eastAsia="en-US" w:bidi="ar-SA"/>
      </w:rPr>
    </w:lvl>
    <w:lvl w:ilvl="7" w:tplc="523C195C">
      <w:numFmt w:val="bullet"/>
      <w:lvlText w:val="•"/>
      <w:lvlJc w:val="left"/>
      <w:pPr>
        <w:ind w:left="1095" w:hanging="284"/>
      </w:pPr>
      <w:rPr>
        <w:rFonts w:hint="default"/>
        <w:lang w:val="en-US" w:eastAsia="en-US" w:bidi="ar-SA"/>
      </w:rPr>
    </w:lvl>
    <w:lvl w:ilvl="8" w:tplc="1EC0EC24">
      <w:numFmt w:val="bullet"/>
      <w:lvlText w:val="•"/>
      <w:lvlJc w:val="left"/>
      <w:pPr>
        <w:ind w:left="1206" w:hanging="284"/>
      </w:pPr>
      <w:rPr>
        <w:rFonts w:hint="default"/>
        <w:lang w:val="en-US" w:eastAsia="en-US" w:bidi="ar-SA"/>
      </w:rPr>
    </w:lvl>
  </w:abstractNum>
  <w:abstractNum w:abstractNumId="211" w15:restartNumberingAfterBreak="0">
    <w:nsid w:val="3311497A"/>
    <w:multiLevelType w:val="hybridMultilevel"/>
    <w:tmpl w:val="07582804"/>
    <w:lvl w:ilvl="0" w:tplc="75E65F00">
      <w:numFmt w:val="bullet"/>
      <w:lvlText w:val=""/>
      <w:lvlJc w:val="left"/>
      <w:pPr>
        <w:ind w:left="477" w:hanging="284"/>
      </w:pPr>
      <w:rPr>
        <w:rFonts w:ascii="Symbol" w:eastAsia="Symbol" w:hAnsi="Symbol" w:cs="Symbol" w:hint="default"/>
        <w:b w:val="0"/>
        <w:bCs w:val="0"/>
        <w:i w:val="0"/>
        <w:iCs w:val="0"/>
        <w:color w:val="70004A"/>
        <w:spacing w:val="0"/>
        <w:w w:val="100"/>
        <w:sz w:val="18"/>
        <w:szCs w:val="18"/>
        <w:lang w:val="en-US" w:eastAsia="en-US" w:bidi="ar-SA"/>
      </w:rPr>
    </w:lvl>
    <w:lvl w:ilvl="1" w:tplc="E02EF95C">
      <w:numFmt w:val="bullet"/>
      <w:lvlText w:val="•"/>
      <w:lvlJc w:val="left"/>
      <w:pPr>
        <w:ind w:left="742" w:hanging="284"/>
      </w:pPr>
      <w:rPr>
        <w:rFonts w:hint="default"/>
        <w:lang w:val="en-US" w:eastAsia="en-US" w:bidi="ar-SA"/>
      </w:rPr>
    </w:lvl>
    <w:lvl w:ilvl="2" w:tplc="017C6CD4">
      <w:numFmt w:val="bullet"/>
      <w:lvlText w:val="•"/>
      <w:lvlJc w:val="left"/>
      <w:pPr>
        <w:ind w:left="1005" w:hanging="284"/>
      </w:pPr>
      <w:rPr>
        <w:rFonts w:hint="default"/>
        <w:lang w:val="en-US" w:eastAsia="en-US" w:bidi="ar-SA"/>
      </w:rPr>
    </w:lvl>
    <w:lvl w:ilvl="3" w:tplc="7ED0897C">
      <w:numFmt w:val="bullet"/>
      <w:lvlText w:val="•"/>
      <w:lvlJc w:val="left"/>
      <w:pPr>
        <w:ind w:left="1268" w:hanging="284"/>
      </w:pPr>
      <w:rPr>
        <w:rFonts w:hint="default"/>
        <w:lang w:val="en-US" w:eastAsia="en-US" w:bidi="ar-SA"/>
      </w:rPr>
    </w:lvl>
    <w:lvl w:ilvl="4" w:tplc="E64CA368">
      <w:numFmt w:val="bullet"/>
      <w:lvlText w:val="•"/>
      <w:lvlJc w:val="left"/>
      <w:pPr>
        <w:ind w:left="1530" w:hanging="284"/>
      </w:pPr>
      <w:rPr>
        <w:rFonts w:hint="default"/>
        <w:lang w:val="en-US" w:eastAsia="en-US" w:bidi="ar-SA"/>
      </w:rPr>
    </w:lvl>
    <w:lvl w:ilvl="5" w:tplc="783E71EA">
      <w:numFmt w:val="bullet"/>
      <w:lvlText w:val="•"/>
      <w:lvlJc w:val="left"/>
      <w:pPr>
        <w:ind w:left="1793" w:hanging="284"/>
      </w:pPr>
      <w:rPr>
        <w:rFonts w:hint="default"/>
        <w:lang w:val="en-US" w:eastAsia="en-US" w:bidi="ar-SA"/>
      </w:rPr>
    </w:lvl>
    <w:lvl w:ilvl="6" w:tplc="8A02D4C2">
      <w:numFmt w:val="bullet"/>
      <w:lvlText w:val="•"/>
      <w:lvlJc w:val="left"/>
      <w:pPr>
        <w:ind w:left="2056" w:hanging="284"/>
      </w:pPr>
      <w:rPr>
        <w:rFonts w:hint="default"/>
        <w:lang w:val="en-US" w:eastAsia="en-US" w:bidi="ar-SA"/>
      </w:rPr>
    </w:lvl>
    <w:lvl w:ilvl="7" w:tplc="CA9C52A4">
      <w:numFmt w:val="bullet"/>
      <w:lvlText w:val="•"/>
      <w:lvlJc w:val="left"/>
      <w:pPr>
        <w:ind w:left="2318" w:hanging="284"/>
      </w:pPr>
      <w:rPr>
        <w:rFonts w:hint="default"/>
        <w:lang w:val="en-US" w:eastAsia="en-US" w:bidi="ar-SA"/>
      </w:rPr>
    </w:lvl>
    <w:lvl w:ilvl="8" w:tplc="AD5C2800">
      <w:numFmt w:val="bullet"/>
      <w:lvlText w:val="•"/>
      <w:lvlJc w:val="left"/>
      <w:pPr>
        <w:ind w:left="2581" w:hanging="284"/>
      </w:pPr>
      <w:rPr>
        <w:rFonts w:hint="default"/>
        <w:lang w:val="en-US" w:eastAsia="en-US" w:bidi="ar-SA"/>
      </w:rPr>
    </w:lvl>
  </w:abstractNum>
  <w:abstractNum w:abstractNumId="212" w15:restartNumberingAfterBreak="0">
    <w:nsid w:val="33476434"/>
    <w:multiLevelType w:val="hybridMultilevel"/>
    <w:tmpl w:val="E8B04B54"/>
    <w:lvl w:ilvl="0" w:tplc="48DC9C00">
      <w:numFmt w:val="bullet"/>
      <w:lvlText w:val=""/>
      <w:lvlJc w:val="left"/>
      <w:pPr>
        <w:ind w:left="501" w:hanging="360"/>
      </w:pPr>
      <w:rPr>
        <w:rFonts w:ascii="Symbol" w:eastAsia="Symbol" w:hAnsi="Symbol" w:cs="Symbol" w:hint="default"/>
        <w:b w:val="0"/>
        <w:bCs w:val="0"/>
        <w:i w:val="0"/>
        <w:iCs w:val="0"/>
        <w:color w:val="70004A"/>
        <w:spacing w:val="0"/>
        <w:w w:val="100"/>
        <w:sz w:val="20"/>
        <w:szCs w:val="20"/>
        <w:lang w:val="en-US" w:eastAsia="en-US" w:bidi="ar-SA"/>
      </w:rPr>
    </w:lvl>
    <w:lvl w:ilvl="1" w:tplc="52363C38">
      <w:numFmt w:val="bullet"/>
      <w:lvlText w:val="•"/>
      <w:lvlJc w:val="left"/>
      <w:pPr>
        <w:ind w:left="1442" w:hanging="360"/>
      </w:pPr>
      <w:rPr>
        <w:rFonts w:hint="default"/>
        <w:lang w:val="en-US" w:eastAsia="en-US" w:bidi="ar-SA"/>
      </w:rPr>
    </w:lvl>
    <w:lvl w:ilvl="2" w:tplc="B3D8E058">
      <w:numFmt w:val="bullet"/>
      <w:lvlText w:val="•"/>
      <w:lvlJc w:val="left"/>
      <w:pPr>
        <w:ind w:left="2384" w:hanging="360"/>
      </w:pPr>
      <w:rPr>
        <w:rFonts w:hint="default"/>
        <w:lang w:val="en-US" w:eastAsia="en-US" w:bidi="ar-SA"/>
      </w:rPr>
    </w:lvl>
    <w:lvl w:ilvl="3" w:tplc="43207E28">
      <w:numFmt w:val="bullet"/>
      <w:lvlText w:val="•"/>
      <w:lvlJc w:val="left"/>
      <w:pPr>
        <w:ind w:left="3327" w:hanging="360"/>
      </w:pPr>
      <w:rPr>
        <w:rFonts w:hint="default"/>
        <w:lang w:val="en-US" w:eastAsia="en-US" w:bidi="ar-SA"/>
      </w:rPr>
    </w:lvl>
    <w:lvl w:ilvl="4" w:tplc="22127ACC">
      <w:numFmt w:val="bullet"/>
      <w:lvlText w:val="•"/>
      <w:lvlJc w:val="left"/>
      <w:pPr>
        <w:ind w:left="4269" w:hanging="360"/>
      </w:pPr>
      <w:rPr>
        <w:rFonts w:hint="default"/>
        <w:lang w:val="en-US" w:eastAsia="en-US" w:bidi="ar-SA"/>
      </w:rPr>
    </w:lvl>
    <w:lvl w:ilvl="5" w:tplc="85A0BA28">
      <w:numFmt w:val="bullet"/>
      <w:lvlText w:val="•"/>
      <w:lvlJc w:val="left"/>
      <w:pPr>
        <w:ind w:left="5211" w:hanging="360"/>
      </w:pPr>
      <w:rPr>
        <w:rFonts w:hint="default"/>
        <w:lang w:val="en-US" w:eastAsia="en-US" w:bidi="ar-SA"/>
      </w:rPr>
    </w:lvl>
    <w:lvl w:ilvl="6" w:tplc="26562B02">
      <w:numFmt w:val="bullet"/>
      <w:lvlText w:val="•"/>
      <w:lvlJc w:val="left"/>
      <w:pPr>
        <w:ind w:left="6154" w:hanging="360"/>
      </w:pPr>
      <w:rPr>
        <w:rFonts w:hint="default"/>
        <w:lang w:val="en-US" w:eastAsia="en-US" w:bidi="ar-SA"/>
      </w:rPr>
    </w:lvl>
    <w:lvl w:ilvl="7" w:tplc="705009AA">
      <w:numFmt w:val="bullet"/>
      <w:lvlText w:val="•"/>
      <w:lvlJc w:val="left"/>
      <w:pPr>
        <w:ind w:left="7096" w:hanging="360"/>
      </w:pPr>
      <w:rPr>
        <w:rFonts w:hint="default"/>
        <w:lang w:val="en-US" w:eastAsia="en-US" w:bidi="ar-SA"/>
      </w:rPr>
    </w:lvl>
    <w:lvl w:ilvl="8" w:tplc="1CF89FCE">
      <w:numFmt w:val="bullet"/>
      <w:lvlText w:val="•"/>
      <w:lvlJc w:val="left"/>
      <w:pPr>
        <w:ind w:left="8038" w:hanging="360"/>
      </w:pPr>
      <w:rPr>
        <w:rFonts w:hint="default"/>
        <w:lang w:val="en-US" w:eastAsia="en-US" w:bidi="ar-SA"/>
      </w:rPr>
    </w:lvl>
  </w:abstractNum>
  <w:abstractNum w:abstractNumId="213" w15:restartNumberingAfterBreak="0">
    <w:nsid w:val="33516A40"/>
    <w:multiLevelType w:val="hybridMultilevel"/>
    <w:tmpl w:val="C5B8CCE0"/>
    <w:lvl w:ilvl="0" w:tplc="314819A0">
      <w:numFmt w:val="bullet"/>
      <w:lvlText w:val=""/>
      <w:lvlJc w:val="left"/>
      <w:pPr>
        <w:ind w:left="483" w:hanging="284"/>
      </w:pPr>
      <w:rPr>
        <w:rFonts w:ascii="Symbol" w:eastAsia="Symbol" w:hAnsi="Symbol" w:cs="Symbol" w:hint="default"/>
        <w:b w:val="0"/>
        <w:bCs w:val="0"/>
        <w:i w:val="0"/>
        <w:iCs w:val="0"/>
        <w:color w:val="70004A"/>
        <w:spacing w:val="0"/>
        <w:w w:val="100"/>
        <w:sz w:val="18"/>
        <w:szCs w:val="18"/>
        <w:lang w:val="en-US" w:eastAsia="en-US" w:bidi="ar-SA"/>
      </w:rPr>
    </w:lvl>
    <w:lvl w:ilvl="1" w:tplc="71EAA114">
      <w:numFmt w:val="bullet"/>
      <w:lvlText w:val="•"/>
      <w:lvlJc w:val="left"/>
      <w:pPr>
        <w:ind w:left="747" w:hanging="284"/>
      </w:pPr>
      <w:rPr>
        <w:rFonts w:hint="default"/>
        <w:lang w:val="en-US" w:eastAsia="en-US" w:bidi="ar-SA"/>
      </w:rPr>
    </w:lvl>
    <w:lvl w:ilvl="2" w:tplc="F0BE4EA6">
      <w:numFmt w:val="bullet"/>
      <w:lvlText w:val="•"/>
      <w:lvlJc w:val="left"/>
      <w:pPr>
        <w:ind w:left="1015" w:hanging="284"/>
      </w:pPr>
      <w:rPr>
        <w:rFonts w:hint="default"/>
        <w:lang w:val="en-US" w:eastAsia="en-US" w:bidi="ar-SA"/>
      </w:rPr>
    </w:lvl>
    <w:lvl w:ilvl="3" w:tplc="C346036C">
      <w:numFmt w:val="bullet"/>
      <w:lvlText w:val="•"/>
      <w:lvlJc w:val="left"/>
      <w:pPr>
        <w:ind w:left="1283" w:hanging="284"/>
      </w:pPr>
      <w:rPr>
        <w:rFonts w:hint="default"/>
        <w:lang w:val="en-US" w:eastAsia="en-US" w:bidi="ar-SA"/>
      </w:rPr>
    </w:lvl>
    <w:lvl w:ilvl="4" w:tplc="A6A229AE">
      <w:numFmt w:val="bullet"/>
      <w:lvlText w:val="•"/>
      <w:lvlJc w:val="left"/>
      <w:pPr>
        <w:ind w:left="1551" w:hanging="284"/>
      </w:pPr>
      <w:rPr>
        <w:rFonts w:hint="default"/>
        <w:lang w:val="en-US" w:eastAsia="en-US" w:bidi="ar-SA"/>
      </w:rPr>
    </w:lvl>
    <w:lvl w:ilvl="5" w:tplc="637E6A06">
      <w:numFmt w:val="bullet"/>
      <w:lvlText w:val="•"/>
      <w:lvlJc w:val="left"/>
      <w:pPr>
        <w:ind w:left="1819" w:hanging="284"/>
      </w:pPr>
      <w:rPr>
        <w:rFonts w:hint="default"/>
        <w:lang w:val="en-US" w:eastAsia="en-US" w:bidi="ar-SA"/>
      </w:rPr>
    </w:lvl>
    <w:lvl w:ilvl="6" w:tplc="DE82B5BC">
      <w:numFmt w:val="bullet"/>
      <w:lvlText w:val="•"/>
      <w:lvlJc w:val="left"/>
      <w:pPr>
        <w:ind w:left="2087" w:hanging="284"/>
      </w:pPr>
      <w:rPr>
        <w:rFonts w:hint="default"/>
        <w:lang w:val="en-US" w:eastAsia="en-US" w:bidi="ar-SA"/>
      </w:rPr>
    </w:lvl>
    <w:lvl w:ilvl="7" w:tplc="6CC8BA26">
      <w:numFmt w:val="bullet"/>
      <w:lvlText w:val="•"/>
      <w:lvlJc w:val="left"/>
      <w:pPr>
        <w:ind w:left="2355" w:hanging="284"/>
      </w:pPr>
      <w:rPr>
        <w:rFonts w:hint="default"/>
        <w:lang w:val="en-US" w:eastAsia="en-US" w:bidi="ar-SA"/>
      </w:rPr>
    </w:lvl>
    <w:lvl w:ilvl="8" w:tplc="CAACC6A6">
      <w:numFmt w:val="bullet"/>
      <w:lvlText w:val="•"/>
      <w:lvlJc w:val="left"/>
      <w:pPr>
        <w:ind w:left="2623" w:hanging="284"/>
      </w:pPr>
      <w:rPr>
        <w:rFonts w:hint="default"/>
        <w:lang w:val="en-US" w:eastAsia="en-US" w:bidi="ar-SA"/>
      </w:rPr>
    </w:lvl>
  </w:abstractNum>
  <w:abstractNum w:abstractNumId="214" w15:restartNumberingAfterBreak="0">
    <w:nsid w:val="33DA626D"/>
    <w:multiLevelType w:val="hybridMultilevel"/>
    <w:tmpl w:val="77822A3A"/>
    <w:lvl w:ilvl="0" w:tplc="7E3084F2">
      <w:numFmt w:val="bullet"/>
      <w:lvlText w:val=""/>
      <w:lvlJc w:val="left"/>
      <w:pPr>
        <w:ind w:left="476" w:hanging="284"/>
      </w:pPr>
      <w:rPr>
        <w:rFonts w:ascii="Symbol" w:eastAsia="Symbol" w:hAnsi="Symbol" w:cs="Symbol" w:hint="default"/>
        <w:b w:val="0"/>
        <w:bCs w:val="0"/>
        <w:i w:val="0"/>
        <w:iCs w:val="0"/>
        <w:color w:val="70004A"/>
        <w:spacing w:val="0"/>
        <w:w w:val="100"/>
        <w:sz w:val="18"/>
        <w:szCs w:val="18"/>
        <w:lang w:val="en-US" w:eastAsia="en-US" w:bidi="ar-SA"/>
      </w:rPr>
    </w:lvl>
    <w:lvl w:ilvl="1" w:tplc="E05AA11C">
      <w:numFmt w:val="bullet"/>
      <w:lvlText w:val="•"/>
      <w:lvlJc w:val="left"/>
      <w:pPr>
        <w:ind w:left="742" w:hanging="284"/>
      </w:pPr>
      <w:rPr>
        <w:rFonts w:hint="default"/>
        <w:lang w:val="en-US" w:eastAsia="en-US" w:bidi="ar-SA"/>
      </w:rPr>
    </w:lvl>
    <w:lvl w:ilvl="2" w:tplc="4C745F4E">
      <w:numFmt w:val="bullet"/>
      <w:lvlText w:val="•"/>
      <w:lvlJc w:val="left"/>
      <w:pPr>
        <w:ind w:left="1005" w:hanging="284"/>
      </w:pPr>
      <w:rPr>
        <w:rFonts w:hint="default"/>
        <w:lang w:val="en-US" w:eastAsia="en-US" w:bidi="ar-SA"/>
      </w:rPr>
    </w:lvl>
    <w:lvl w:ilvl="3" w:tplc="B05092F4">
      <w:numFmt w:val="bullet"/>
      <w:lvlText w:val="•"/>
      <w:lvlJc w:val="left"/>
      <w:pPr>
        <w:ind w:left="1268" w:hanging="284"/>
      </w:pPr>
      <w:rPr>
        <w:rFonts w:hint="default"/>
        <w:lang w:val="en-US" w:eastAsia="en-US" w:bidi="ar-SA"/>
      </w:rPr>
    </w:lvl>
    <w:lvl w:ilvl="4" w:tplc="268E61F8">
      <w:numFmt w:val="bullet"/>
      <w:lvlText w:val="•"/>
      <w:lvlJc w:val="left"/>
      <w:pPr>
        <w:ind w:left="1530" w:hanging="284"/>
      </w:pPr>
      <w:rPr>
        <w:rFonts w:hint="default"/>
        <w:lang w:val="en-US" w:eastAsia="en-US" w:bidi="ar-SA"/>
      </w:rPr>
    </w:lvl>
    <w:lvl w:ilvl="5" w:tplc="D8F4A6AE">
      <w:numFmt w:val="bullet"/>
      <w:lvlText w:val="•"/>
      <w:lvlJc w:val="left"/>
      <w:pPr>
        <w:ind w:left="1793" w:hanging="284"/>
      </w:pPr>
      <w:rPr>
        <w:rFonts w:hint="default"/>
        <w:lang w:val="en-US" w:eastAsia="en-US" w:bidi="ar-SA"/>
      </w:rPr>
    </w:lvl>
    <w:lvl w:ilvl="6" w:tplc="DB504D82">
      <w:numFmt w:val="bullet"/>
      <w:lvlText w:val="•"/>
      <w:lvlJc w:val="left"/>
      <w:pPr>
        <w:ind w:left="2056" w:hanging="284"/>
      </w:pPr>
      <w:rPr>
        <w:rFonts w:hint="default"/>
        <w:lang w:val="en-US" w:eastAsia="en-US" w:bidi="ar-SA"/>
      </w:rPr>
    </w:lvl>
    <w:lvl w:ilvl="7" w:tplc="F0849252">
      <w:numFmt w:val="bullet"/>
      <w:lvlText w:val="•"/>
      <w:lvlJc w:val="left"/>
      <w:pPr>
        <w:ind w:left="2318" w:hanging="284"/>
      </w:pPr>
      <w:rPr>
        <w:rFonts w:hint="default"/>
        <w:lang w:val="en-US" w:eastAsia="en-US" w:bidi="ar-SA"/>
      </w:rPr>
    </w:lvl>
    <w:lvl w:ilvl="8" w:tplc="D7C89B40">
      <w:numFmt w:val="bullet"/>
      <w:lvlText w:val="•"/>
      <w:lvlJc w:val="left"/>
      <w:pPr>
        <w:ind w:left="2581" w:hanging="284"/>
      </w:pPr>
      <w:rPr>
        <w:rFonts w:hint="default"/>
        <w:lang w:val="en-US" w:eastAsia="en-US" w:bidi="ar-SA"/>
      </w:rPr>
    </w:lvl>
  </w:abstractNum>
  <w:abstractNum w:abstractNumId="215" w15:restartNumberingAfterBreak="0">
    <w:nsid w:val="33DE0F93"/>
    <w:multiLevelType w:val="hybridMultilevel"/>
    <w:tmpl w:val="4A502F5A"/>
    <w:lvl w:ilvl="0" w:tplc="E44A8BA8">
      <w:numFmt w:val="bullet"/>
      <w:lvlText w:val=""/>
      <w:lvlJc w:val="left"/>
      <w:pPr>
        <w:ind w:left="501" w:hanging="360"/>
      </w:pPr>
      <w:rPr>
        <w:rFonts w:ascii="Symbol" w:eastAsia="Symbol" w:hAnsi="Symbol" w:cs="Symbol" w:hint="default"/>
        <w:b w:val="0"/>
        <w:bCs w:val="0"/>
        <w:i w:val="0"/>
        <w:iCs w:val="0"/>
        <w:color w:val="70004A"/>
        <w:spacing w:val="0"/>
        <w:w w:val="100"/>
        <w:sz w:val="20"/>
        <w:szCs w:val="20"/>
        <w:lang w:val="en-US" w:eastAsia="en-US" w:bidi="ar-SA"/>
      </w:rPr>
    </w:lvl>
    <w:lvl w:ilvl="1" w:tplc="443621B0">
      <w:numFmt w:val="bullet"/>
      <w:lvlText w:val="•"/>
      <w:lvlJc w:val="left"/>
      <w:pPr>
        <w:ind w:left="1428" w:hanging="360"/>
      </w:pPr>
      <w:rPr>
        <w:rFonts w:hint="default"/>
        <w:lang w:val="en-US" w:eastAsia="en-US" w:bidi="ar-SA"/>
      </w:rPr>
    </w:lvl>
    <w:lvl w:ilvl="2" w:tplc="DFA2CC0C">
      <w:numFmt w:val="bullet"/>
      <w:lvlText w:val="•"/>
      <w:lvlJc w:val="left"/>
      <w:pPr>
        <w:ind w:left="2356" w:hanging="360"/>
      </w:pPr>
      <w:rPr>
        <w:rFonts w:hint="default"/>
        <w:lang w:val="en-US" w:eastAsia="en-US" w:bidi="ar-SA"/>
      </w:rPr>
    </w:lvl>
    <w:lvl w:ilvl="3" w:tplc="7DD00FA2">
      <w:numFmt w:val="bullet"/>
      <w:lvlText w:val="•"/>
      <w:lvlJc w:val="left"/>
      <w:pPr>
        <w:ind w:left="3284" w:hanging="360"/>
      </w:pPr>
      <w:rPr>
        <w:rFonts w:hint="default"/>
        <w:lang w:val="en-US" w:eastAsia="en-US" w:bidi="ar-SA"/>
      </w:rPr>
    </w:lvl>
    <w:lvl w:ilvl="4" w:tplc="2C725DCA">
      <w:numFmt w:val="bullet"/>
      <w:lvlText w:val="•"/>
      <w:lvlJc w:val="left"/>
      <w:pPr>
        <w:ind w:left="4212" w:hanging="360"/>
      </w:pPr>
      <w:rPr>
        <w:rFonts w:hint="default"/>
        <w:lang w:val="en-US" w:eastAsia="en-US" w:bidi="ar-SA"/>
      </w:rPr>
    </w:lvl>
    <w:lvl w:ilvl="5" w:tplc="8FAAEE56">
      <w:numFmt w:val="bullet"/>
      <w:lvlText w:val="•"/>
      <w:lvlJc w:val="left"/>
      <w:pPr>
        <w:ind w:left="5140" w:hanging="360"/>
      </w:pPr>
      <w:rPr>
        <w:rFonts w:hint="default"/>
        <w:lang w:val="en-US" w:eastAsia="en-US" w:bidi="ar-SA"/>
      </w:rPr>
    </w:lvl>
    <w:lvl w:ilvl="6" w:tplc="0ED8D324">
      <w:numFmt w:val="bullet"/>
      <w:lvlText w:val="•"/>
      <w:lvlJc w:val="left"/>
      <w:pPr>
        <w:ind w:left="6068" w:hanging="360"/>
      </w:pPr>
      <w:rPr>
        <w:rFonts w:hint="default"/>
        <w:lang w:val="en-US" w:eastAsia="en-US" w:bidi="ar-SA"/>
      </w:rPr>
    </w:lvl>
    <w:lvl w:ilvl="7" w:tplc="9EC42FF6">
      <w:numFmt w:val="bullet"/>
      <w:lvlText w:val="•"/>
      <w:lvlJc w:val="left"/>
      <w:pPr>
        <w:ind w:left="6996" w:hanging="360"/>
      </w:pPr>
      <w:rPr>
        <w:rFonts w:hint="default"/>
        <w:lang w:val="en-US" w:eastAsia="en-US" w:bidi="ar-SA"/>
      </w:rPr>
    </w:lvl>
    <w:lvl w:ilvl="8" w:tplc="4F583E44">
      <w:numFmt w:val="bullet"/>
      <w:lvlText w:val="•"/>
      <w:lvlJc w:val="left"/>
      <w:pPr>
        <w:ind w:left="7925" w:hanging="360"/>
      </w:pPr>
      <w:rPr>
        <w:rFonts w:hint="default"/>
        <w:lang w:val="en-US" w:eastAsia="en-US" w:bidi="ar-SA"/>
      </w:rPr>
    </w:lvl>
  </w:abstractNum>
  <w:abstractNum w:abstractNumId="216" w15:restartNumberingAfterBreak="0">
    <w:nsid w:val="34345D5C"/>
    <w:multiLevelType w:val="hybridMultilevel"/>
    <w:tmpl w:val="9C9C8CA4"/>
    <w:lvl w:ilvl="0" w:tplc="0C22D286">
      <w:numFmt w:val="bullet"/>
      <w:lvlText w:val=""/>
      <w:lvlJc w:val="left"/>
      <w:pPr>
        <w:ind w:left="391" w:hanging="284"/>
      </w:pPr>
      <w:rPr>
        <w:rFonts w:ascii="Symbol" w:eastAsia="Symbol" w:hAnsi="Symbol" w:cs="Symbol" w:hint="default"/>
        <w:b w:val="0"/>
        <w:bCs w:val="0"/>
        <w:i w:val="0"/>
        <w:iCs w:val="0"/>
        <w:color w:val="70004A"/>
        <w:spacing w:val="0"/>
        <w:w w:val="100"/>
        <w:sz w:val="18"/>
        <w:szCs w:val="18"/>
        <w:lang w:val="en-US" w:eastAsia="en-US" w:bidi="ar-SA"/>
      </w:rPr>
    </w:lvl>
    <w:lvl w:ilvl="1" w:tplc="EBC2097C">
      <w:numFmt w:val="bullet"/>
      <w:lvlText w:val="•"/>
      <w:lvlJc w:val="left"/>
      <w:pPr>
        <w:ind w:left="672" w:hanging="284"/>
      </w:pPr>
      <w:rPr>
        <w:rFonts w:hint="default"/>
        <w:lang w:val="en-US" w:eastAsia="en-US" w:bidi="ar-SA"/>
      </w:rPr>
    </w:lvl>
    <w:lvl w:ilvl="2" w:tplc="4BF20CFE">
      <w:numFmt w:val="bullet"/>
      <w:lvlText w:val="•"/>
      <w:lvlJc w:val="left"/>
      <w:pPr>
        <w:ind w:left="944" w:hanging="284"/>
      </w:pPr>
      <w:rPr>
        <w:rFonts w:hint="default"/>
        <w:lang w:val="en-US" w:eastAsia="en-US" w:bidi="ar-SA"/>
      </w:rPr>
    </w:lvl>
    <w:lvl w:ilvl="3" w:tplc="C5526F18">
      <w:numFmt w:val="bullet"/>
      <w:lvlText w:val="•"/>
      <w:lvlJc w:val="left"/>
      <w:pPr>
        <w:ind w:left="1216" w:hanging="284"/>
      </w:pPr>
      <w:rPr>
        <w:rFonts w:hint="default"/>
        <w:lang w:val="en-US" w:eastAsia="en-US" w:bidi="ar-SA"/>
      </w:rPr>
    </w:lvl>
    <w:lvl w:ilvl="4" w:tplc="8AA8D7D2">
      <w:numFmt w:val="bullet"/>
      <w:lvlText w:val="•"/>
      <w:lvlJc w:val="left"/>
      <w:pPr>
        <w:ind w:left="1488" w:hanging="284"/>
      </w:pPr>
      <w:rPr>
        <w:rFonts w:hint="default"/>
        <w:lang w:val="en-US" w:eastAsia="en-US" w:bidi="ar-SA"/>
      </w:rPr>
    </w:lvl>
    <w:lvl w:ilvl="5" w:tplc="45CAB338">
      <w:numFmt w:val="bullet"/>
      <w:lvlText w:val="•"/>
      <w:lvlJc w:val="left"/>
      <w:pPr>
        <w:ind w:left="1760" w:hanging="284"/>
      </w:pPr>
      <w:rPr>
        <w:rFonts w:hint="default"/>
        <w:lang w:val="en-US" w:eastAsia="en-US" w:bidi="ar-SA"/>
      </w:rPr>
    </w:lvl>
    <w:lvl w:ilvl="6" w:tplc="12164CDA">
      <w:numFmt w:val="bullet"/>
      <w:lvlText w:val="•"/>
      <w:lvlJc w:val="left"/>
      <w:pPr>
        <w:ind w:left="2032" w:hanging="284"/>
      </w:pPr>
      <w:rPr>
        <w:rFonts w:hint="default"/>
        <w:lang w:val="en-US" w:eastAsia="en-US" w:bidi="ar-SA"/>
      </w:rPr>
    </w:lvl>
    <w:lvl w:ilvl="7" w:tplc="ADAC0F14">
      <w:numFmt w:val="bullet"/>
      <w:lvlText w:val="•"/>
      <w:lvlJc w:val="left"/>
      <w:pPr>
        <w:ind w:left="2304" w:hanging="284"/>
      </w:pPr>
      <w:rPr>
        <w:rFonts w:hint="default"/>
        <w:lang w:val="en-US" w:eastAsia="en-US" w:bidi="ar-SA"/>
      </w:rPr>
    </w:lvl>
    <w:lvl w:ilvl="8" w:tplc="D4F8EB34">
      <w:numFmt w:val="bullet"/>
      <w:lvlText w:val="•"/>
      <w:lvlJc w:val="left"/>
      <w:pPr>
        <w:ind w:left="2576" w:hanging="284"/>
      </w:pPr>
      <w:rPr>
        <w:rFonts w:hint="default"/>
        <w:lang w:val="en-US" w:eastAsia="en-US" w:bidi="ar-SA"/>
      </w:rPr>
    </w:lvl>
  </w:abstractNum>
  <w:abstractNum w:abstractNumId="217" w15:restartNumberingAfterBreak="0">
    <w:nsid w:val="343B755B"/>
    <w:multiLevelType w:val="hybridMultilevel"/>
    <w:tmpl w:val="DB841AD4"/>
    <w:lvl w:ilvl="0" w:tplc="9A346322">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AEA44764">
      <w:numFmt w:val="bullet"/>
      <w:lvlText w:val="•"/>
      <w:lvlJc w:val="left"/>
      <w:pPr>
        <w:ind w:left="650" w:hanging="284"/>
      </w:pPr>
      <w:rPr>
        <w:rFonts w:hint="default"/>
        <w:lang w:val="en-US" w:eastAsia="en-US" w:bidi="ar-SA"/>
      </w:rPr>
    </w:lvl>
    <w:lvl w:ilvl="2" w:tplc="4636DD70">
      <w:numFmt w:val="bullet"/>
      <w:lvlText w:val="•"/>
      <w:lvlJc w:val="left"/>
      <w:pPr>
        <w:ind w:left="921" w:hanging="284"/>
      </w:pPr>
      <w:rPr>
        <w:rFonts w:hint="default"/>
        <w:lang w:val="en-US" w:eastAsia="en-US" w:bidi="ar-SA"/>
      </w:rPr>
    </w:lvl>
    <w:lvl w:ilvl="3" w:tplc="931E4DAC">
      <w:numFmt w:val="bullet"/>
      <w:lvlText w:val="•"/>
      <w:lvlJc w:val="left"/>
      <w:pPr>
        <w:ind w:left="1191" w:hanging="284"/>
      </w:pPr>
      <w:rPr>
        <w:rFonts w:hint="default"/>
        <w:lang w:val="en-US" w:eastAsia="en-US" w:bidi="ar-SA"/>
      </w:rPr>
    </w:lvl>
    <w:lvl w:ilvl="4" w:tplc="2B34B55A">
      <w:numFmt w:val="bullet"/>
      <w:lvlText w:val="•"/>
      <w:lvlJc w:val="left"/>
      <w:pPr>
        <w:ind w:left="1462" w:hanging="284"/>
      </w:pPr>
      <w:rPr>
        <w:rFonts w:hint="default"/>
        <w:lang w:val="en-US" w:eastAsia="en-US" w:bidi="ar-SA"/>
      </w:rPr>
    </w:lvl>
    <w:lvl w:ilvl="5" w:tplc="C09E179C">
      <w:numFmt w:val="bullet"/>
      <w:lvlText w:val="•"/>
      <w:lvlJc w:val="left"/>
      <w:pPr>
        <w:ind w:left="1733" w:hanging="284"/>
      </w:pPr>
      <w:rPr>
        <w:rFonts w:hint="default"/>
        <w:lang w:val="en-US" w:eastAsia="en-US" w:bidi="ar-SA"/>
      </w:rPr>
    </w:lvl>
    <w:lvl w:ilvl="6" w:tplc="1188E3A6">
      <w:numFmt w:val="bullet"/>
      <w:lvlText w:val="•"/>
      <w:lvlJc w:val="left"/>
      <w:pPr>
        <w:ind w:left="2003" w:hanging="284"/>
      </w:pPr>
      <w:rPr>
        <w:rFonts w:hint="default"/>
        <w:lang w:val="en-US" w:eastAsia="en-US" w:bidi="ar-SA"/>
      </w:rPr>
    </w:lvl>
    <w:lvl w:ilvl="7" w:tplc="0966115A">
      <w:numFmt w:val="bullet"/>
      <w:lvlText w:val="•"/>
      <w:lvlJc w:val="left"/>
      <w:pPr>
        <w:ind w:left="2274" w:hanging="284"/>
      </w:pPr>
      <w:rPr>
        <w:rFonts w:hint="default"/>
        <w:lang w:val="en-US" w:eastAsia="en-US" w:bidi="ar-SA"/>
      </w:rPr>
    </w:lvl>
    <w:lvl w:ilvl="8" w:tplc="F1747DEA">
      <w:numFmt w:val="bullet"/>
      <w:lvlText w:val="•"/>
      <w:lvlJc w:val="left"/>
      <w:pPr>
        <w:ind w:left="2544" w:hanging="284"/>
      </w:pPr>
      <w:rPr>
        <w:rFonts w:hint="default"/>
        <w:lang w:val="en-US" w:eastAsia="en-US" w:bidi="ar-SA"/>
      </w:rPr>
    </w:lvl>
  </w:abstractNum>
  <w:abstractNum w:abstractNumId="218" w15:restartNumberingAfterBreak="0">
    <w:nsid w:val="34793439"/>
    <w:multiLevelType w:val="hybridMultilevel"/>
    <w:tmpl w:val="4BBCC22A"/>
    <w:lvl w:ilvl="0" w:tplc="6D8ADAD0">
      <w:numFmt w:val="bullet"/>
      <w:lvlText w:val=""/>
      <w:lvlJc w:val="left"/>
      <w:pPr>
        <w:ind w:left="501" w:hanging="360"/>
      </w:pPr>
      <w:rPr>
        <w:rFonts w:ascii="Symbol" w:eastAsia="Symbol" w:hAnsi="Symbol" w:cs="Symbol" w:hint="default"/>
        <w:b w:val="0"/>
        <w:bCs w:val="0"/>
        <w:i w:val="0"/>
        <w:iCs w:val="0"/>
        <w:color w:val="70004A"/>
        <w:spacing w:val="0"/>
        <w:w w:val="100"/>
        <w:sz w:val="20"/>
        <w:szCs w:val="20"/>
        <w:lang w:val="en-US" w:eastAsia="en-US" w:bidi="ar-SA"/>
      </w:rPr>
    </w:lvl>
    <w:lvl w:ilvl="1" w:tplc="16F04CE2">
      <w:numFmt w:val="bullet"/>
      <w:lvlText w:val="-"/>
      <w:lvlJc w:val="left"/>
      <w:pPr>
        <w:ind w:left="861" w:hanging="360"/>
      </w:pPr>
      <w:rPr>
        <w:rFonts w:ascii="Arial" w:eastAsia="Arial" w:hAnsi="Arial" w:cs="Arial" w:hint="default"/>
        <w:b w:val="0"/>
        <w:bCs w:val="0"/>
        <w:i w:val="0"/>
        <w:iCs w:val="0"/>
        <w:color w:val="70004A"/>
        <w:spacing w:val="0"/>
        <w:w w:val="100"/>
        <w:sz w:val="20"/>
        <w:szCs w:val="20"/>
        <w:lang w:val="en-US" w:eastAsia="en-US" w:bidi="ar-SA"/>
      </w:rPr>
    </w:lvl>
    <w:lvl w:ilvl="2" w:tplc="C9BAA198">
      <w:numFmt w:val="bullet"/>
      <w:lvlText w:val="•"/>
      <w:lvlJc w:val="left"/>
      <w:pPr>
        <w:ind w:left="1851" w:hanging="360"/>
      </w:pPr>
      <w:rPr>
        <w:rFonts w:hint="default"/>
        <w:lang w:val="en-US" w:eastAsia="en-US" w:bidi="ar-SA"/>
      </w:rPr>
    </w:lvl>
    <w:lvl w:ilvl="3" w:tplc="BD841362">
      <w:numFmt w:val="bullet"/>
      <w:lvlText w:val="•"/>
      <w:lvlJc w:val="left"/>
      <w:pPr>
        <w:ind w:left="2842" w:hanging="360"/>
      </w:pPr>
      <w:rPr>
        <w:rFonts w:hint="default"/>
        <w:lang w:val="en-US" w:eastAsia="en-US" w:bidi="ar-SA"/>
      </w:rPr>
    </w:lvl>
    <w:lvl w:ilvl="4" w:tplc="07688812">
      <w:numFmt w:val="bullet"/>
      <w:lvlText w:val="•"/>
      <w:lvlJc w:val="left"/>
      <w:pPr>
        <w:ind w:left="3833" w:hanging="360"/>
      </w:pPr>
      <w:rPr>
        <w:rFonts w:hint="default"/>
        <w:lang w:val="en-US" w:eastAsia="en-US" w:bidi="ar-SA"/>
      </w:rPr>
    </w:lvl>
    <w:lvl w:ilvl="5" w:tplc="9D8C74BE">
      <w:numFmt w:val="bullet"/>
      <w:lvlText w:val="•"/>
      <w:lvlJc w:val="left"/>
      <w:pPr>
        <w:ind w:left="4825" w:hanging="360"/>
      </w:pPr>
      <w:rPr>
        <w:rFonts w:hint="default"/>
        <w:lang w:val="en-US" w:eastAsia="en-US" w:bidi="ar-SA"/>
      </w:rPr>
    </w:lvl>
    <w:lvl w:ilvl="6" w:tplc="1D5A8CAC">
      <w:numFmt w:val="bullet"/>
      <w:lvlText w:val="•"/>
      <w:lvlJc w:val="left"/>
      <w:pPr>
        <w:ind w:left="5816" w:hanging="360"/>
      </w:pPr>
      <w:rPr>
        <w:rFonts w:hint="default"/>
        <w:lang w:val="en-US" w:eastAsia="en-US" w:bidi="ar-SA"/>
      </w:rPr>
    </w:lvl>
    <w:lvl w:ilvl="7" w:tplc="377CD75E">
      <w:numFmt w:val="bullet"/>
      <w:lvlText w:val="•"/>
      <w:lvlJc w:val="left"/>
      <w:pPr>
        <w:ind w:left="6807" w:hanging="360"/>
      </w:pPr>
      <w:rPr>
        <w:rFonts w:hint="default"/>
        <w:lang w:val="en-US" w:eastAsia="en-US" w:bidi="ar-SA"/>
      </w:rPr>
    </w:lvl>
    <w:lvl w:ilvl="8" w:tplc="D55CB078">
      <w:numFmt w:val="bullet"/>
      <w:lvlText w:val="•"/>
      <w:lvlJc w:val="left"/>
      <w:pPr>
        <w:ind w:left="7798" w:hanging="360"/>
      </w:pPr>
      <w:rPr>
        <w:rFonts w:hint="default"/>
        <w:lang w:val="en-US" w:eastAsia="en-US" w:bidi="ar-SA"/>
      </w:rPr>
    </w:lvl>
  </w:abstractNum>
  <w:abstractNum w:abstractNumId="219" w15:restartNumberingAfterBreak="0">
    <w:nsid w:val="348220FB"/>
    <w:multiLevelType w:val="hybridMultilevel"/>
    <w:tmpl w:val="DAA46EF2"/>
    <w:lvl w:ilvl="0" w:tplc="A76AFF98">
      <w:numFmt w:val="bullet"/>
      <w:lvlText w:val=""/>
      <w:lvlJc w:val="left"/>
      <w:pPr>
        <w:ind w:left="475" w:hanging="284"/>
      </w:pPr>
      <w:rPr>
        <w:rFonts w:ascii="Symbol" w:eastAsia="Symbol" w:hAnsi="Symbol" w:cs="Symbol" w:hint="default"/>
        <w:b w:val="0"/>
        <w:bCs w:val="0"/>
        <w:i w:val="0"/>
        <w:iCs w:val="0"/>
        <w:color w:val="70004A"/>
        <w:spacing w:val="0"/>
        <w:w w:val="100"/>
        <w:sz w:val="18"/>
        <w:szCs w:val="18"/>
        <w:lang w:val="en-US" w:eastAsia="en-US" w:bidi="ar-SA"/>
      </w:rPr>
    </w:lvl>
    <w:lvl w:ilvl="1" w:tplc="11E86032">
      <w:numFmt w:val="bullet"/>
      <w:lvlText w:val="•"/>
      <w:lvlJc w:val="left"/>
      <w:pPr>
        <w:ind w:left="765" w:hanging="284"/>
      </w:pPr>
      <w:rPr>
        <w:rFonts w:hint="default"/>
        <w:lang w:val="en-US" w:eastAsia="en-US" w:bidi="ar-SA"/>
      </w:rPr>
    </w:lvl>
    <w:lvl w:ilvl="2" w:tplc="E7D0D666">
      <w:numFmt w:val="bullet"/>
      <w:lvlText w:val="•"/>
      <w:lvlJc w:val="left"/>
      <w:pPr>
        <w:ind w:left="1050" w:hanging="284"/>
      </w:pPr>
      <w:rPr>
        <w:rFonts w:hint="default"/>
        <w:lang w:val="en-US" w:eastAsia="en-US" w:bidi="ar-SA"/>
      </w:rPr>
    </w:lvl>
    <w:lvl w:ilvl="3" w:tplc="7E04EA72">
      <w:numFmt w:val="bullet"/>
      <w:lvlText w:val="•"/>
      <w:lvlJc w:val="left"/>
      <w:pPr>
        <w:ind w:left="1335" w:hanging="284"/>
      </w:pPr>
      <w:rPr>
        <w:rFonts w:hint="default"/>
        <w:lang w:val="en-US" w:eastAsia="en-US" w:bidi="ar-SA"/>
      </w:rPr>
    </w:lvl>
    <w:lvl w:ilvl="4" w:tplc="ACAA7CF8">
      <w:numFmt w:val="bullet"/>
      <w:lvlText w:val="•"/>
      <w:lvlJc w:val="left"/>
      <w:pPr>
        <w:ind w:left="1620" w:hanging="284"/>
      </w:pPr>
      <w:rPr>
        <w:rFonts w:hint="default"/>
        <w:lang w:val="en-US" w:eastAsia="en-US" w:bidi="ar-SA"/>
      </w:rPr>
    </w:lvl>
    <w:lvl w:ilvl="5" w:tplc="A6FA482E">
      <w:numFmt w:val="bullet"/>
      <w:lvlText w:val="•"/>
      <w:lvlJc w:val="left"/>
      <w:pPr>
        <w:ind w:left="1906" w:hanging="284"/>
      </w:pPr>
      <w:rPr>
        <w:rFonts w:hint="default"/>
        <w:lang w:val="en-US" w:eastAsia="en-US" w:bidi="ar-SA"/>
      </w:rPr>
    </w:lvl>
    <w:lvl w:ilvl="6" w:tplc="980C8D22">
      <w:numFmt w:val="bullet"/>
      <w:lvlText w:val="•"/>
      <w:lvlJc w:val="left"/>
      <w:pPr>
        <w:ind w:left="2191" w:hanging="284"/>
      </w:pPr>
      <w:rPr>
        <w:rFonts w:hint="default"/>
        <w:lang w:val="en-US" w:eastAsia="en-US" w:bidi="ar-SA"/>
      </w:rPr>
    </w:lvl>
    <w:lvl w:ilvl="7" w:tplc="FBFEC2C2">
      <w:numFmt w:val="bullet"/>
      <w:lvlText w:val="•"/>
      <w:lvlJc w:val="left"/>
      <w:pPr>
        <w:ind w:left="2476" w:hanging="284"/>
      </w:pPr>
      <w:rPr>
        <w:rFonts w:hint="default"/>
        <w:lang w:val="en-US" w:eastAsia="en-US" w:bidi="ar-SA"/>
      </w:rPr>
    </w:lvl>
    <w:lvl w:ilvl="8" w:tplc="28384FF0">
      <w:numFmt w:val="bullet"/>
      <w:lvlText w:val="•"/>
      <w:lvlJc w:val="left"/>
      <w:pPr>
        <w:ind w:left="2761" w:hanging="284"/>
      </w:pPr>
      <w:rPr>
        <w:rFonts w:hint="default"/>
        <w:lang w:val="en-US" w:eastAsia="en-US" w:bidi="ar-SA"/>
      </w:rPr>
    </w:lvl>
  </w:abstractNum>
  <w:abstractNum w:abstractNumId="220" w15:restartNumberingAfterBreak="0">
    <w:nsid w:val="34A83D03"/>
    <w:multiLevelType w:val="hybridMultilevel"/>
    <w:tmpl w:val="DB96A47E"/>
    <w:lvl w:ilvl="0" w:tplc="E1006B06">
      <w:numFmt w:val="bullet"/>
      <w:lvlText w:val=""/>
      <w:lvlJc w:val="left"/>
      <w:pPr>
        <w:ind w:left="734" w:hanging="360"/>
      </w:pPr>
      <w:rPr>
        <w:rFonts w:ascii="Symbol" w:eastAsia="Symbol" w:hAnsi="Symbol" w:cs="Symbol" w:hint="default"/>
        <w:b w:val="0"/>
        <w:bCs w:val="0"/>
        <w:i w:val="0"/>
        <w:iCs w:val="0"/>
        <w:color w:val="70004A"/>
        <w:spacing w:val="0"/>
        <w:w w:val="100"/>
        <w:sz w:val="20"/>
        <w:szCs w:val="20"/>
        <w:lang w:val="en-US" w:eastAsia="en-US" w:bidi="ar-SA"/>
      </w:rPr>
    </w:lvl>
    <w:lvl w:ilvl="1" w:tplc="2CEA70A8">
      <w:numFmt w:val="bullet"/>
      <w:lvlText w:val="•"/>
      <w:lvlJc w:val="left"/>
      <w:pPr>
        <w:ind w:left="1660" w:hanging="360"/>
      </w:pPr>
      <w:rPr>
        <w:rFonts w:hint="default"/>
        <w:lang w:val="en-US" w:eastAsia="en-US" w:bidi="ar-SA"/>
      </w:rPr>
    </w:lvl>
    <w:lvl w:ilvl="2" w:tplc="79ECF226">
      <w:numFmt w:val="bullet"/>
      <w:lvlText w:val="•"/>
      <w:lvlJc w:val="left"/>
      <w:pPr>
        <w:ind w:left="2588" w:hanging="360"/>
      </w:pPr>
      <w:rPr>
        <w:rFonts w:hint="default"/>
        <w:lang w:val="en-US" w:eastAsia="en-US" w:bidi="ar-SA"/>
      </w:rPr>
    </w:lvl>
    <w:lvl w:ilvl="3" w:tplc="2440187A">
      <w:numFmt w:val="bullet"/>
      <w:lvlText w:val="•"/>
      <w:lvlJc w:val="left"/>
      <w:pPr>
        <w:ind w:left="3516" w:hanging="360"/>
      </w:pPr>
      <w:rPr>
        <w:rFonts w:hint="default"/>
        <w:lang w:val="en-US" w:eastAsia="en-US" w:bidi="ar-SA"/>
      </w:rPr>
    </w:lvl>
    <w:lvl w:ilvl="4" w:tplc="7A1C2AD4">
      <w:numFmt w:val="bullet"/>
      <w:lvlText w:val="•"/>
      <w:lvlJc w:val="left"/>
      <w:pPr>
        <w:ind w:left="4444" w:hanging="360"/>
      </w:pPr>
      <w:rPr>
        <w:rFonts w:hint="default"/>
        <w:lang w:val="en-US" w:eastAsia="en-US" w:bidi="ar-SA"/>
      </w:rPr>
    </w:lvl>
    <w:lvl w:ilvl="5" w:tplc="717879D0">
      <w:numFmt w:val="bullet"/>
      <w:lvlText w:val="•"/>
      <w:lvlJc w:val="left"/>
      <w:pPr>
        <w:ind w:left="5372" w:hanging="360"/>
      </w:pPr>
      <w:rPr>
        <w:rFonts w:hint="default"/>
        <w:lang w:val="en-US" w:eastAsia="en-US" w:bidi="ar-SA"/>
      </w:rPr>
    </w:lvl>
    <w:lvl w:ilvl="6" w:tplc="9138A2A8">
      <w:numFmt w:val="bullet"/>
      <w:lvlText w:val="•"/>
      <w:lvlJc w:val="left"/>
      <w:pPr>
        <w:ind w:left="6300" w:hanging="360"/>
      </w:pPr>
      <w:rPr>
        <w:rFonts w:hint="default"/>
        <w:lang w:val="en-US" w:eastAsia="en-US" w:bidi="ar-SA"/>
      </w:rPr>
    </w:lvl>
    <w:lvl w:ilvl="7" w:tplc="A4C6EBDC">
      <w:numFmt w:val="bullet"/>
      <w:lvlText w:val="•"/>
      <w:lvlJc w:val="left"/>
      <w:pPr>
        <w:ind w:left="7228" w:hanging="360"/>
      </w:pPr>
      <w:rPr>
        <w:rFonts w:hint="default"/>
        <w:lang w:val="en-US" w:eastAsia="en-US" w:bidi="ar-SA"/>
      </w:rPr>
    </w:lvl>
    <w:lvl w:ilvl="8" w:tplc="15D4EE80">
      <w:numFmt w:val="bullet"/>
      <w:lvlText w:val="•"/>
      <w:lvlJc w:val="left"/>
      <w:pPr>
        <w:ind w:left="8157" w:hanging="360"/>
      </w:pPr>
      <w:rPr>
        <w:rFonts w:hint="default"/>
        <w:lang w:val="en-US" w:eastAsia="en-US" w:bidi="ar-SA"/>
      </w:rPr>
    </w:lvl>
  </w:abstractNum>
  <w:abstractNum w:abstractNumId="221" w15:restartNumberingAfterBreak="0">
    <w:nsid w:val="34E03B9C"/>
    <w:multiLevelType w:val="hybridMultilevel"/>
    <w:tmpl w:val="34A8616E"/>
    <w:lvl w:ilvl="0" w:tplc="241A4062">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51F69B1C">
      <w:numFmt w:val="bullet"/>
      <w:lvlText w:val="•"/>
      <w:lvlJc w:val="left"/>
      <w:pPr>
        <w:ind w:left="633" w:hanging="284"/>
      </w:pPr>
      <w:rPr>
        <w:rFonts w:hint="default"/>
        <w:lang w:val="en-US" w:eastAsia="en-US" w:bidi="ar-SA"/>
      </w:rPr>
    </w:lvl>
    <w:lvl w:ilvl="2" w:tplc="0D946BAC">
      <w:numFmt w:val="bullet"/>
      <w:lvlText w:val="•"/>
      <w:lvlJc w:val="left"/>
      <w:pPr>
        <w:ind w:left="886" w:hanging="284"/>
      </w:pPr>
      <w:rPr>
        <w:rFonts w:hint="default"/>
        <w:lang w:val="en-US" w:eastAsia="en-US" w:bidi="ar-SA"/>
      </w:rPr>
    </w:lvl>
    <w:lvl w:ilvl="3" w:tplc="46965F1C">
      <w:numFmt w:val="bullet"/>
      <w:lvlText w:val="•"/>
      <w:lvlJc w:val="left"/>
      <w:pPr>
        <w:ind w:left="1139" w:hanging="284"/>
      </w:pPr>
      <w:rPr>
        <w:rFonts w:hint="default"/>
        <w:lang w:val="en-US" w:eastAsia="en-US" w:bidi="ar-SA"/>
      </w:rPr>
    </w:lvl>
    <w:lvl w:ilvl="4" w:tplc="4F5CDFF0">
      <w:numFmt w:val="bullet"/>
      <w:lvlText w:val="•"/>
      <w:lvlJc w:val="left"/>
      <w:pPr>
        <w:ind w:left="1392" w:hanging="284"/>
      </w:pPr>
      <w:rPr>
        <w:rFonts w:hint="default"/>
        <w:lang w:val="en-US" w:eastAsia="en-US" w:bidi="ar-SA"/>
      </w:rPr>
    </w:lvl>
    <w:lvl w:ilvl="5" w:tplc="7C4021B6">
      <w:numFmt w:val="bullet"/>
      <w:lvlText w:val="•"/>
      <w:lvlJc w:val="left"/>
      <w:pPr>
        <w:ind w:left="1645" w:hanging="284"/>
      </w:pPr>
      <w:rPr>
        <w:rFonts w:hint="default"/>
        <w:lang w:val="en-US" w:eastAsia="en-US" w:bidi="ar-SA"/>
      </w:rPr>
    </w:lvl>
    <w:lvl w:ilvl="6" w:tplc="C682222A">
      <w:numFmt w:val="bullet"/>
      <w:lvlText w:val="•"/>
      <w:lvlJc w:val="left"/>
      <w:pPr>
        <w:ind w:left="1898" w:hanging="284"/>
      </w:pPr>
      <w:rPr>
        <w:rFonts w:hint="default"/>
        <w:lang w:val="en-US" w:eastAsia="en-US" w:bidi="ar-SA"/>
      </w:rPr>
    </w:lvl>
    <w:lvl w:ilvl="7" w:tplc="29D647FE">
      <w:numFmt w:val="bullet"/>
      <w:lvlText w:val="•"/>
      <w:lvlJc w:val="left"/>
      <w:pPr>
        <w:ind w:left="2151" w:hanging="284"/>
      </w:pPr>
      <w:rPr>
        <w:rFonts w:hint="default"/>
        <w:lang w:val="en-US" w:eastAsia="en-US" w:bidi="ar-SA"/>
      </w:rPr>
    </w:lvl>
    <w:lvl w:ilvl="8" w:tplc="4B3A712C">
      <w:numFmt w:val="bullet"/>
      <w:lvlText w:val="•"/>
      <w:lvlJc w:val="left"/>
      <w:pPr>
        <w:ind w:left="2404" w:hanging="284"/>
      </w:pPr>
      <w:rPr>
        <w:rFonts w:hint="default"/>
        <w:lang w:val="en-US" w:eastAsia="en-US" w:bidi="ar-SA"/>
      </w:rPr>
    </w:lvl>
  </w:abstractNum>
  <w:abstractNum w:abstractNumId="222" w15:restartNumberingAfterBreak="0">
    <w:nsid w:val="356C406E"/>
    <w:multiLevelType w:val="hybridMultilevel"/>
    <w:tmpl w:val="132A9244"/>
    <w:lvl w:ilvl="0" w:tplc="DEDE6F3A">
      <w:numFmt w:val="bullet"/>
      <w:lvlText w:val=""/>
      <w:lvlJc w:val="left"/>
      <w:pPr>
        <w:ind w:left="456" w:hanging="284"/>
      </w:pPr>
      <w:rPr>
        <w:rFonts w:ascii="Symbol" w:eastAsia="Symbol" w:hAnsi="Symbol" w:cs="Symbol" w:hint="default"/>
        <w:b w:val="0"/>
        <w:bCs w:val="0"/>
        <w:i w:val="0"/>
        <w:iCs w:val="0"/>
        <w:color w:val="70004A"/>
        <w:spacing w:val="0"/>
        <w:w w:val="100"/>
        <w:sz w:val="18"/>
        <w:szCs w:val="18"/>
        <w:lang w:val="en-US" w:eastAsia="en-US" w:bidi="ar-SA"/>
      </w:rPr>
    </w:lvl>
    <w:lvl w:ilvl="1" w:tplc="9C04AE7A">
      <w:numFmt w:val="bullet"/>
      <w:lvlText w:val="•"/>
      <w:lvlJc w:val="left"/>
      <w:pPr>
        <w:ind w:left="741" w:hanging="284"/>
      </w:pPr>
      <w:rPr>
        <w:rFonts w:hint="default"/>
        <w:lang w:val="en-US" w:eastAsia="en-US" w:bidi="ar-SA"/>
      </w:rPr>
    </w:lvl>
    <w:lvl w:ilvl="2" w:tplc="08F61260">
      <w:numFmt w:val="bullet"/>
      <w:lvlText w:val="•"/>
      <w:lvlJc w:val="left"/>
      <w:pPr>
        <w:ind w:left="1023" w:hanging="284"/>
      </w:pPr>
      <w:rPr>
        <w:rFonts w:hint="default"/>
        <w:lang w:val="en-US" w:eastAsia="en-US" w:bidi="ar-SA"/>
      </w:rPr>
    </w:lvl>
    <w:lvl w:ilvl="3" w:tplc="645A4BC2">
      <w:numFmt w:val="bullet"/>
      <w:lvlText w:val="•"/>
      <w:lvlJc w:val="left"/>
      <w:pPr>
        <w:ind w:left="1304" w:hanging="284"/>
      </w:pPr>
      <w:rPr>
        <w:rFonts w:hint="default"/>
        <w:lang w:val="en-US" w:eastAsia="en-US" w:bidi="ar-SA"/>
      </w:rPr>
    </w:lvl>
    <w:lvl w:ilvl="4" w:tplc="A8C41A64">
      <w:numFmt w:val="bullet"/>
      <w:lvlText w:val="•"/>
      <w:lvlJc w:val="left"/>
      <w:pPr>
        <w:ind w:left="1586" w:hanging="284"/>
      </w:pPr>
      <w:rPr>
        <w:rFonts w:hint="default"/>
        <w:lang w:val="en-US" w:eastAsia="en-US" w:bidi="ar-SA"/>
      </w:rPr>
    </w:lvl>
    <w:lvl w:ilvl="5" w:tplc="F2BCD7A6">
      <w:numFmt w:val="bullet"/>
      <w:lvlText w:val="•"/>
      <w:lvlJc w:val="left"/>
      <w:pPr>
        <w:ind w:left="1867" w:hanging="284"/>
      </w:pPr>
      <w:rPr>
        <w:rFonts w:hint="default"/>
        <w:lang w:val="en-US" w:eastAsia="en-US" w:bidi="ar-SA"/>
      </w:rPr>
    </w:lvl>
    <w:lvl w:ilvl="6" w:tplc="BDBC5398">
      <w:numFmt w:val="bullet"/>
      <w:lvlText w:val="•"/>
      <w:lvlJc w:val="left"/>
      <w:pPr>
        <w:ind w:left="2149" w:hanging="284"/>
      </w:pPr>
      <w:rPr>
        <w:rFonts w:hint="default"/>
        <w:lang w:val="en-US" w:eastAsia="en-US" w:bidi="ar-SA"/>
      </w:rPr>
    </w:lvl>
    <w:lvl w:ilvl="7" w:tplc="7D661CCE">
      <w:numFmt w:val="bullet"/>
      <w:lvlText w:val="•"/>
      <w:lvlJc w:val="left"/>
      <w:pPr>
        <w:ind w:left="2430" w:hanging="284"/>
      </w:pPr>
      <w:rPr>
        <w:rFonts w:hint="default"/>
        <w:lang w:val="en-US" w:eastAsia="en-US" w:bidi="ar-SA"/>
      </w:rPr>
    </w:lvl>
    <w:lvl w:ilvl="8" w:tplc="547EBDAA">
      <w:numFmt w:val="bullet"/>
      <w:lvlText w:val="•"/>
      <w:lvlJc w:val="left"/>
      <w:pPr>
        <w:ind w:left="2712" w:hanging="284"/>
      </w:pPr>
      <w:rPr>
        <w:rFonts w:hint="default"/>
        <w:lang w:val="en-US" w:eastAsia="en-US" w:bidi="ar-SA"/>
      </w:rPr>
    </w:lvl>
  </w:abstractNum>
  <w:abstractNum w:abstractNumId="223" w15:restartNumberingAfterBreak="0">
    <w:nsid w:val="35925FD4"/>
    <w:multiLevelType w:val="hybridMultilevel"/>
    <w:tmpl w:val="02FCC456"/>
    <w:lvl w:ilvl="0" w:tplc="B3BE2F96">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0AEA15EE">
      <w:numFmt w:val="bullet"/>
      <w:lvlText w:val="•"/>
      <w:lvlJc w:val="left"/>
      <w:pPr>
        <w:ind w:left="631" w:hanging="284"/>
      </w:pPr>
      <w:rPr>
        <w:rFonts w:hint="default"/>
        <w:lang w:val="en-US" w:eastAsia="en-US" w:bidi="ar-SA"/>
      </w:rPr>
    </w:lvl>
    <w:lvl w:ilvl="2" w:tplc="BA9475FC">
      <w:numFmt w:val="bullet"/>
      <w:lvlText w:val="•"/>
      <w:lvlJc w:val="left"/>
      <w:pPr>
        <w:ind w:left="882" w:hanging="284"/>
      </w:pPr>
      <w:rPr>
        <w:rFonts w:hint="default"/>
        <w:lang w:val="en-US" w:eastAsia="en-US" w:bidi="ar-SA"/>
      </w:rPr>
    </w:lvl>
    <w:lvl w:ilvl="3" w:tplc="C0FC3132">
      <w:numFmt w:val="bullet"/>
      <w:lvlText w:val="•"/>
      <w:lvlJc w:val="left"/>
      <w:pPr>
        <w:ind w:left="1133" w:hanging="284"/>
      </w:pPr>
      <w:rPr>
        <w:rFonts w:hint="default"/>
        <w:lang w:val="en-US" w:eastAsia="en-US" w:bidi="ar-SA"/>
      </w:rPr>
    </w:lvl>
    <w:lvl w:ilvl="4" w:tplc="D0DE7F1C">
      <w:numFmt w:val="bullet"/>
      <w:lvlText w:val="•"/>
      <w:lvlJc w:val="left"/>
      <w:pPr>
        <w:ind w:left="1384" w:hanging="284"/>
      </w:pPr>
      <w:rPr>
        <w:rFonts w:hint="default"/>
        <w:lang w:val="en-US" w:eastAsia="en-US" w:bidi="ar-SA"/>
      </w:rPr>
    </w:lvl>
    <w:lvl w:ilvl="5" w:tplc="CADE1CA8">
      <w:numFmt w:val="bullet"/>
      <w:lvlText w:val="•"/>
      <w:lvlJc w:val="left"/>
      <w:pPr>
        <w:ind w:left="1635" w:hanging="284"/>
      </w:pPr>
      <w:rPr>
        <w:rFonts w:hint="default"/>
        <w:lang w:val="en-US" w:eastAsia="en-US" w:bidi="ar-SA"/>
      </w:rPr>
    </w:lvl>
    <w:lvl w:ilvl="6" w:tplc="A7F014C0">
      <w:numFmt w:val="bullet"/>
      <w:lvlText w:val="•"/>
      <w:lvlJc w:val="left"/>
      <w:pPr>
        <w:ind w:left="1886" w:hanging="284"/>
      </w:pPr>
      <w:rPr>
        <w:rFonts w:hint="default"/>
        <w:lang w:val="en-US" w:eastAsia="en-US" w:bidi="ar-SA"/>
      </w:rPr>
    </w:lvl>
    <w:lvl w:ilvl="7" w:tplc="76E6DA08">
      <w:numFmt w:val="bullet"/>
      <w:lvlText w:val="•"/>
      <w:lvlJc w:val="left"/>
      <w:pPr>
        <w:ind w:left="2137" w:hanging="284"/>
      </w:pPr>
      <w:rPr>
        <w:rFonts w:hint="default"/>
        <w:lang w:val="en-US" w:eastAsia="en-US" w:bidi="ar-SA"/>
      </w:rPr>
    </w:lvl>
    <w:lvl w:ilvl="8" w:tplc="203E3812">
      <w:numFmt w:val="bullet"/>
      <w:lvlText w:val="•"/>
      <w:lvlJc w:val="left"/>
      <w:pPr>
        <w:ind w:left="2388" w:hanging="284"/>
      </w:pPr>
      <w:rPr>
        <w:rFonts w:hint="default"/>
        <w:lang w:val="en-US" w:eastAsia="en-US" w:bidi="ar-SA"/>
      </w:rPr>
    </w:lvl>
  </w:abstractNum>
  <w:abstractNum w:abstractNumId="224" w15:restartNumberingAfterBreak="0">
    <w:nsid w:val="35955076"/>
    <w:multiLevelType w:val="hybridMultilevel"/>
    <w:tmpl w:val="1132FEFA"/>
    <w:lvl w:ilvl="0" w:tplc="6046B57E">
      <w:numFmt w:val="bullet"/>
      <w:lvlText w:val=""/>
      <w:lvlJc w:val="left"/>
      <w:pPr>
        <w:ind w:left="426" w:hanging="284"/>
      </w:pPr>
      <w:rPr>
        <w:rFonts w:ascii="Symbol" w:eastAsia="Symbol" w:hAnsi="Symbol" w:cs="Symbol" w:hint="default"/>
        <w:b w:val="0"/>
        <w:bCs w:val="0"/>
        <w:i w:val="0"/>
        <w:iCs w:val="0"/>
        <w:color w:val="70004A"/>
        <w:spacing w:val="0"/>
        <w:w w:val="100"/>
        <w:sz w:val="18"/>
        <w:szCs w:val="18"/>
        <w:lang w:val="en-US" w:eastAsia="en-US" w:bidi="ar-SA"/>
      </w:rPr>
    </w:lvl>
    <w:lvl w:ilvl="1" w:tplc="23168902">
      <w:numFmt w:val="bullet"/>
      <w:lvlText w:val="•"/>
      <w:lvlJc w:val="left"/>
      <w:pPr>
        <w:ind w:left="586" w:hanging="284"/>
      </w:pPr>
      <w:rPr>
        <w:rFonts w:hint="default"/>
        <w:lang w:val="en-US" w:eastAsia="en-US" w:bidi="ar-SA"/>
      </w:rPr>
    </w:lvl>
    <w:lvl w:ilvl="2" w:tplc="A4B2C8AA">
      <w:numFmt w:val="bullet"/>
      <w:lvlText w:val="•"/>
      <w:lvlJc w:val="left"/>
      <w:pPr>
        <w:ind w:left="752" w:hanging="284"/>
      </w:pPr>
      <w:rPr>
        <w:rFonts w:hint="default"/>
        <w:lang w:val="en-US" w:eastAsia="en-US" w:bidi="ar-SA"/>
      </w:rPr>
    </w:lvl>
    <w:lvl w:ilvl="3" w:tplc="B6EACDDE">
      <w:numFmt w:val="bullet"/>
      <w:lvlText w:val="•"/>
      <w:lvlJc w:val="left"/>
      <w:pPr>
        <w:ind w:left="919" w:hanging="284"/>
      </w:pPr>
      <w:rPr>
        <w:rFonts w:hint="default"/>
        <w:lang w:val="en-US" w:eastAsia="en-US" w:bidi="ar-SA"/>
      </w:rPr>
    </w:lvl>
    <w:lvl w:ilvl="4" w:tplc="4F84F830">
      <w:numFmt w:val="bullet"/>
      <w:lvlText w:val="•"/>
      <w:lvlJc w:val="left"/>
      <w:pPr>
        <w:ind w:left="1085" w:hanging="284"/>
      </w:pPr>
      <w:rPr>
        <w:rFonts w:hint="default"/>
        <w:lang w:val="en-US" w:eastAsia="en-US" w:bidi="ar-SA"/>
      </w:rPr>
    </w:lvl>
    <w:lvl w:ilvl="5" w:tplc="E6D87714">
      <w:numFmt w:val="bullet"/>
      <w:lvlText w:val="•"/>
      <w:lvlJc w:val="left"/>
      <w:pPr>
        <w:ind w:left="1252" w:hanging="284"/>
      </w:pPr>
      <w:rPr>
        <w:rFonts w:hint="default"/>
        <w:lang w:val="en-US" w:eastAsia="en-US" w:bidi="ar-SA"/>
      </w:rPr>
    </w:lvl>
    <w:lvl w:ilvl="6" w:tplc="96D28520">
      <w:numFmt w:val="bullet"/>
      <w:lvlText w:val="•"/>
      <w:lvlJc w:val="left"/>
      <w:pPr>
        <w:ind w:left="1418" w:hanging="284"/>
      </w:pPr>
      <w:rPr>
        <w:rFonts w:hint="default"/>
        <w:lang w:val="en-US" w:eastAsia="en-US" w:bidi="ar-SA"/>
      </w:rPr>
    </w:lvl>
    <w:lvl w:ilvl="7" w:tplc="B3FA0FA0">
      <w:numFmt w:val="bullet"/>
      <w:lvlText w:val="•"/>
      <w:lvlJc w:val="left"/>
      <w:pPr>
        <w:ind w:left="1584" w:hanging="284"/>
      </w:pPr>
      <w:rPr>
        <w:rFonts w:hint="default"/>
        <w:lang w:val="en-US" w:eastAsia="en-US" w:bidi="ar-SA"/>
      </w:rPr>
    </w:lvl>
    <w:lvl w:ilvl="8" w:tplc="ABAEB9FC">
      <w:numFmt w:val="bullet"/>
      <w:lvlText w:val="•"/>
      <w:lvlJc w:val="left"/>
      <w:pPr>
        <w:ind w:left="1751" w:hanging="284"/>
      </w:pPr>
      <w:rPr>
        <w:rFonts w:hint="default"/>
        <w:lang w:val="en-US" w:eastAsia="en-US" w:bidi="ar-SA"/>
      </w:rPr>
    </w:lvl>
  </w:abstractNum>
  <w:abstractNum w:abstractNumId="225" w15:restartNumberingAfterBreak="0">
    <w:nsid w:val="35B6480E"/>
    <w:multiLevelType w:val="hybridMultilevel"/>
    <w:tmpl w:val="EBE41802"/>
    <w:lvl w:ilvl="0" w:tplc="4C805E1E">
      <w:numFmt w:val="bullet"/>
      <w:lvlText w:val=""/>
      <w:lvlJc w:val="left"/>
      <w:pPr>
        <w:ind w:left="491" w:hanging="284"/>
      </w:pPr>
      <w:rPr>
        <w:rFonts w:ascii="Symbol" w:eastAsia="Symbol" w:hAnsi="Symbol" w:cs="Symbol" w:hint="default"/>
        <w:b w:val="0"/>
        <w:bCs w:val="0"/>
        <w:i w:val="0"/>
        <w:iCs w:val="0"/>
        <w:color w:val="70004A"/>
        <w:spacing w:val="0"/>
        <w:w w:val="100"/>
        <w:sz w:val="18"/>
        <w:szCs w:val="18"/>
        <w:lang w:val="en-US" w:eastAsia="en-US" w:bidi="ar-SA"/>
      </w:rPr>
    </w:lvl>
    <w:lvl w:ilvl="1" w:tplc="3F52A192">
      <w:numFmt w:val="bullet"/>
      <w:lvlText w:val="•"/>
      <w:lvlJc w:val="left"/>
      <w:pPr>
        <w:ind w:left="766" w:hanging="284"/>
      </w:pPr>
      <w:rPr>
        <w:rFonts w:hint="default"/>
        <w:lang w:val="en-US" w:eastAsia="en-US" w:bidi="ar-SA"/>
      </w:rPr>
    </w:lvl>
    <w:lvl w:ilvl="2" w:tplc="0324F1E0">
      <w:numFmt w:val="bullet"/>
      <w:lvlText w:val="•"/>
      <w:lvlJc w:val="left"/>
      <w:pPr>
        <w:ind w:left="1033" w:hanging="284"/>
      </w:pPr>
      <w:rPr>
        <w:rFonts w:hint="default"/>
        <w:lang w:val="en-US" w:eastAsia="en-US" w:bidi="ar-SA"/>
      </w:rPr>
    </w:lvl>
    <w:lvl w:ilvl="3" w:tplc="D9D69F1A">
      <w:numFmt w:val="bullet"/>
      <w:lvlText w:val="•"/>
      <w:lvlJc w:val="left"/>
      <w:pPr>
        <w:ind w:left="1300" w:hanging="284"/>
      </w:pPr>
      <w:rPr>
        <w:rFonts w:hint="default"/>
        <w:lang w:val="en-US" w:eastAsia="en-US" w:bidi="ar-SA"/>
      </w:rPr>
    </w:lvl>
    <w:lvl w:ilvl="4" w:tplc="3D844A1A">
      <w:numFmt w:val="bullet"/>
      <w:lvlText w:val="•"/>
      <w:lvlJc w:val="left"/>
      <w:pPr>
        <w:ind w:left="1566" w:hanging="284"/>
      </w:pPr>
      <w:rPr>
        <w:rFonts w:hint="default"/>
        <w:lang w:val="en-US" w:eastAsia="en-US" w:bidi="ar-SA"/>
      </w:rPr>
    </w:lvl>
    <w:lvl w:ilvl="5" w:tplc="2D86BE22">
      <w:numFmt w:val="bullet"/>
      <w:lvlText w:val="•"/>
      <w:lvlJc w:val="left"/>
      <w:pPr>
        <w:ind w:left="1833" w:hanging="284"/>
      </w:pPr>
      <w:rPr>
        <w:rFonts w:hint="default"/>
        <w:lang w:val="en-US" w:eastAsia="en-US" w:bidi="ar-SA"/>
      </w:rPr>
    </w:lvl>
    <w:lvl w:ilvl="6" w:tplc="C25CFE7A">
      <w:numFmt w:val="bullet"/>
      <w:lvlText w:val="•"/>
      <w:lvlJc w:val="left"/>
      <w:pPr>
        <w:ind w:left="2100" w:hanging="284"/>
      </w:pPr>
      <w:rPr>
        <w:rFonts w:hint="default"/>
        <w:lang w:val="en-US" w:eastAsia="en-US" w:bidi="ar-SA"/>
      </w:rPr>
    </w:lvl>
    <w:lvl w:ilvl="7" w:tplc="5008A7B8">
      <w:numFmt w:val="bullet"/>
      <w:lvlText w:val="•"/>
      <w:lvlJc w:val="left"/>
      <w:pPr>
        <w:ind w:left="2366" w:hanging="284"/>
      </w:pPr>
      <w:rPr>
        <w:rFonts w:hint="default"/>
        <w:lang w:val="en-US" w:eastAsia="en-US" w:bidi="ar-SA"/>
      </w:rPr>
    </w:lvl>
    <w:lvl w:ilvl="8" w:tplc="D5D4CA30">
      <w:numFmt w:val="bullet"/>
      <w:lvlText w:val="•"/>
      <w:lvlJc w:val="left"/>
      <w:pPr>
        <w:ind w:left="2633" w:hanging="284"/>
      </w:pPr>
      <w:rPr>
        <w:rFonts w:hint="default"/>
        <w:lang w:val="en-US" w:eastAsia="en-US" w:bidi="ar-SA"/>
      </w:rPr>
    </w:lvl>
  </w:abstractNum>
  <w:abstractNum w:abstractNumId="226" w15:restartNumberingAfterBreak="0">
    <w:nsid w:val="35F94020"/>
    <w:multiLevelType w:val="hybridMultilevel"/>
    <w:tmpl w:val="96FA5B7E"/>
    <w:lvl w:ilvl="0" w:tplc="4C7EE41A">
      <w:numFmt w:val="bullet"/>
      <w:lvlText w:val=""/>
      <w:lvlJc w:val="left"/>
      <w:pPr>
        <w:ind w:left="429" w:hanging="284"/>
      </w:pPr>
      <w:rPr>
        <w:rFonts w:ascii="Symbol" w:eastAsia="Symbol" w:hAnsi="Symbol" w:cs="Symbol" w:hint="default"/>
        <w:b w:val="0"/>
        <w:bCs w:val="0"/>
        <w:i w:val="0"/>
        <w:iCs w:val="0"/>
        <w:color w:val="70004A"/>
        <w:spacing w:val="0"/>
        <w:w w:val="100"/>
        <w:sz w:val="18"/>
        <w:szCs w:val="18"/>
        <w:lang w:val="en-US" w:eastAsia="en-US" w:bidi="ar-SA"/>
      </w:rPr>
    </w:lvl>
    <w:lvl w:ilvl="1" w:tplc="57EA2116">
      <w:numFmt w:val="bullet"/>
      <w:lvlText w:val="•"/>
      <w:lvlJc w:val="left"/>
      <w:pPr>
        <w:ind w:left="593" w:hanging="284"/>
      </w:pPr>
      <w:rPr>
        <w:rFonts w:hint="default"/>
        <w:lang w:val="en-US" w:eastAsia="en-US" w:bidi="ar-SA"/>
      </w:rPr>
    </w:lvl>
    <w:lvl w:ilvl="2" w:tplc="C23642D2">
      <w:numFmt w:val="bullet"/>
      <w:lvlText w:val="•"/>
      <w:lvlJc w:val="left"/>
      <w:pPr>
        <w:ind w:left="766" w:hanging="284"/>
      </w:pPr>
      <w:rPr>
        <w:rFonts w:hint="default"/>
        <w:lang w:val="en-US" w:eastAsia="en-US" w:bidi="ar-SA"/>
      </w:rPr>
    </w:lvl>
    <w:lvl w:ilvl="3" w:tplc="03E6EE8C">
      <w:numFmt w:val="bullet"/>
      <w:lvlText w:val="•"/>
      <w:lvlJc w:val="left"/>
      <w:pPr>
        <w:ind w:left="939" w:hanging="284"/>
      </w:pPr>
      <w:rPr>
        <w:rFonts w:hint="default"/>
        <w:lang w:val="en-US" w:eastAsia="en-US" w:bidi="ar-SA"/>
      </w:rPr>
    </w:lvl>
    <w:lvl w:ilvl="4" w:tplc="03F675F2">
      <w:numFmt w:val="bullet"/>
      <w:lvlText w:val="•"/>
      <w:lvlJc w:val="left"/>
      <w:pPr>
        <w:ind w:left="1112" w:hanging="284"/>
      </w:pPr>
      <w:rPr>
        <w:rFonts w:hint="default"/>
        <w:lang w:val="en-US" w:eastAsia="en-US" w:bidi="ar-SA"/>
      </w:rPr>
    </w:lvl>
    <w:lvl w:ilvl="5" w:tplc="2B7EC4CC">
      <w:numFmt w:val="bullet"/>
      <w:lvlText w:val="•"/>
      <w:lvlJc w:val="left"/>
      <w:pPr>
        <w:ind w:left="1286" w:hanging="284"/>
      </w:pPr>
      <w:rPr>
        <w:rFonts w:hint="default"/>
        <w:lang w:val="en-US" w:eastAsia="en-US" w:bidi="ar-SA"/>
      </w:rPr>
    </w:lvl>
    <w:lvl w:ilvl="6" w:tplc="7FAA10C6">
      <w:numFmt w:val="bullet"/>
      <w:lvlText w:val="•"/>
      <w:lvlJc w:val="left"/>
      <w:pPr>
        <w:ind w:left="1459" w:hanging="284"/>
      </w:pPr>
      <w:rPr>
        <w:rFonts w:hint="default"/>
        <w:lang w:val="en-US" w:eastAsia="en-US" w:bidi="ar-SA"/>
      </w:rPr>
    </w:lvl>
    <w:lvl w:ilvl="7" w:tplc="E1CE5088">
      <w:numFmt w:val="bullet"/>
      <w:lvlText w:val="•"/>
      <w:lvlJc w:val="left"/>
      <w:pPr>
        <w:ind w:left="1632" w:hanging="284"/>
      </w:pPr>
      <w:rPr>
        <w:rFonts w:hint="default"/>
        <w:lang w:val="en-US" w:eastAsia="en-US" w:bidi="ar-SA"/>
      </w:rPr>
    </w:lvl>
    <w:lvl w:ilvl="8" w:tplc="F85688E8">
      <w:numFmt w:val="bullet"/>
      <w:lvlText w:val="•"/>
      <w:lvlJc w:val="left"/>
      <w:pPr>
        <w:ind w:left="1805" w:hanging="284"/>
      </w:pPr>
      <w:rPr>
        <w:rFonts w:hint="default"/>
        <w:lang w:val="en-US" w:eastAsia="en-US" w:bidi="ar-SA"/>
      </w:rPr>
    </w:lvl>
  </w:abstractNum>
  <w:abstractNum w:abstractNumId="227" w15:restartNumberingAfterBreak="0">
    <w:nsid w:val="360232CF"/>
    <w:multiLevelType w:val="hybridMultilevel"/>
    <w:tmpl w:val="E42AB8D6"/>
    <w:lvl w:ilvl="0" w:tplc="5B5C4260">
      <w:numFmt w:val="bullet"/>
      <w:lvlText w:val=""/>
      <w:lvlJc w:val="left"/>
      <w:pPr>
        <w:ind w:left="426" w:hanging="284"/>
      </w:pPr>
      <w:rPr>
        <w:rFonts w:ascii="Symbol" w:eastAsia="Symbol" w:hAnsi="Symbol" w:cs="Symbol" w:hint="default"/>
        <w:b w:val="0"/>
        <w:bCs w:val="0"/>
        <w:i w:val="0"/>
        <w:iCs w:val="0"/>
        <w:color w:val="70004A"/>
        <w:spacing w:val="0"/>
        <w:w w:val="100"/>
        <w:sz w:val="18"/>
        <w:szCs w:val="18"/>
        <w:lang w:val="en-US" w:eastAsia="en-US" w:bidi="ar-SA"/>
      </w:rPr>
    </w:lvl>
    <w:lvl w:ilvl="1" w:tplc="D16CBDE6">
      <w:numFmt w:val="bullet"/>
      <w:lvlText w:val="•"/>
      <w:lvlJc w:val="left"/>
      <w:pPr>
        <w:ind w:left="614" w:hanging="284"/>
      </w:pPr>
      <w:rPr>
        <w:rFonts w:hint="default"/>
        <w:lang w:val="en-US" w:eastAsia="en-US" w:bidi="ar-SA"/>
      </w:rPr>
    </w:lvl>
    <w:lvl w:ilvl="2" w:tplc="A82A07FE">
      <w:numFmt w:val="bullet"/>
      <w:lvlText w:val="•"/>
      <w:lvlJc w:val="left"/>
      <w:pPr>
        <w:ind w:left="809" w:hanging="284"/>
      </w:pPr>
      <w:rPr>
        <w:rFonts w:hint="default"/>
        <w:lang w:val="en-US" w:eastAsia="en-US" w:bidi="ar-SA"/>
      </w:rPr>
    </w:lvl>
    <w:lvl w:ilvl="3" w:tplc="1AA45CCA">
      <w:numFmt w:val="bullet"/>
      <w:lvlText w:val="•"/>
      <w:lvlJc w:val="left"/>
      <w:pPr>
        <w:ind w:left="1003" w:hanging="284"/>
      </w:pPr>
      <w:rPr>
        <w:rFonts w:hint="default"/>
        <w:lang w:val="en-US" w:eastAsia="en-US" w:bidi="ar-SA"/>
      </w:rPr>
    </w:lvl>
    <w:lvl w:ilvl="4" w:tplc="1FCAE13C">
      <w:numFmt w:val="bullet"/>
      <w:lvlText w:val="•"/>
      <w:lvlJc w:val="left"/>
      <w:pPr>
        <w:ind w:left="1198" w:hanging="284"/>
      </w:pPr>
      <w:rPr>
        <w:rFonts w:hint="default"/>
        <w:lang w:val="en-US" w:eastAsia="en-US" w:bidi="ar-SA"/>
      </w:rPr>
    </w:lvl>
    <w:lvl w:ilvl="5" w:tplc="6A526406">
      <w:numFmt w:val="bullet"/>
      <w:lvlText w:val="•"/>
      <w:lvlJc w:val="left"/>
      <w:pPr>
        <w:ind w:left="1393" w:hanging="284"/>
      </w:pPr>
      <w:rPr>
        <w:rFonts w:hint="default"/>
        <w:lang w:val="en-US" w:eastAsia="en-US" w:bidi="ar-SA"/>
      </w:rPr>
    </w:lvl>
    <w:lvl w:ilvl="6" w:tplc="A8C40606">
      <w:numFmt w:val="bullet"/>
      <w:lvlText w:val="•"/>
      <w:lvlJc w:val="left"/>
      <w:pPr>
        <w:ind w:left="1587" w:hanging="284"/>
      </w:pPr>
      <w:rPr>
        <w:rFonts w:hint="default"/>
        <w:lang w:val="en-US" w:eastAsia="en-US" w:bidi="ar-SA"/>
      </w:rPr>
    </w:lvl>
    <w:lvl w:ilvl="7" w:tplc="588C7990">
      <w:numFmt w:val="bullet"/>
      <w:lvlText w:val="•"/>
      <w:lvlJc w:val="left"/>
      <w:pPr>
        <w:ind w:left="1782" w:hanging="284"/>
      </w:pPr>
      <w:rPr>
        <w:rFonts w:hint="default"/>
        <w:lang w:val="en-US" w:eastAsia="en-US" w:bidi="ar-SA"/>
      </w:rPr>
    </w:lvl>
    <w:lvl w:ilvl="8" w:tplc="F9802A54">
      <w:numFmt w:val="bullet"/>
      <w:lvlText w:val="•"/>
      <w:lvlJc w:val="left"/>
      <w:pPr>
        <w:ind w:left="1976" w:hanging="284"/>
      </w:pPr>
      <w:rPr>
        <w:rFonts w:hint="default"/>
        <w:lang w:val="en-US" w:eastAsia="en-US" w:bidi="ar-SA"/>
      </w:rPr>
    </w:lvl>
  </w:abstractNum>
  <w:abstractNum w:abstractNumId="228" w15:restartNumberingAfterBreak="0">
    <w:nsid w:val="36023B39"/>
    <w:multiLevelType w:val="hybridMultilevel"/>
    <w:tmpl w:val="54AA7CAE"/>
    <w:lvl w:ilvl="0" w:tplc="92E03916">
      <w:numFmt w:val="bullet"/>
      <w:lvlText w:val=""/>
      <w:lvlJc w:val="left"/>
      <w:pPr>
        <w:ind w:left="478" w:hanging="284"/>
      </w:pPr>
      <w:rPr>
        <w:rFonts w:ascii="Symbol" w:eastAsia="Symbol" w:hAnsi="Symbol" w:cs="Symbol" w:hint="default"/>
        <w:b w:val="0"/>
        <w:bCs w:val="0"/>
        <w:i w:val="0"/>
        <w:iCs w:val="0"/>
        <w:color w:val="70004A"/>
        <w:spacing w:val="0"/>
        <w:w w:val="100"/>
        <w:sz w:val="18"/>
        <w:szCs w:val="18"/>
        <w:lang w:val="en-US" w:eastAsia="en-US" w:bidi="ar-SA"/>
      </w:rPr>
    </w:lvl>
    <w:lvl w:ilvl="1" w:tplc="6BF2B128">
      <w:numFmt w:val="bullet"/>
      <w:lvlText w:val="•"/>
      <w:lvlJc w:val="left"/>
      <w:pPr>
        <w:ind w:left="653" w:hanging="284"/>
      </w:pPr>
      <w:rPr>
        <w:rFonts w:hint="default"/>
        <w:lang w:val="en-US" w:eastAsia="en-US" w:bidi="ar-SA"/>
      </w:rPr>
    </w:lvl>
    <w:lvl w:ilvl="2" w:tplc="E3304730">
      <w:numFmt w:val="bullet"/>
      <w:lvlText w:val="•"/>
      <w:lvlJc w:val="left"/>
      <w:pPr>
        <w:ind w:left="826" w:hanging="284"/>
      </w:pPr>
      <w:rPr>
        <w:rFonts w:hint="default"/>
        <w:lang w:val="en-US" w:eastAsia="en-US" w:bidi="ar-SA"/>
      </w:rPr>
    </w:lvl>
    <w:lvl w:ilvl="3" w:tplc="594C0E10">
      <w:numFmt w:val="bullet"/>
      <w:lvlText w:val="•"/>
      <w:lvlJc w:val="left"/>
      <w:pPr>
        <w:ind w:left="999" w:hanging="284"/>
      </w:pPr>
      <w:rPr>
        <w:rFonts w:hint="default"/>
        <w:lang w:val="en-US" w:eastAsia="en-US" w:bidi="ar-SA"/>
      </w:rPr>
    </w:lvl>
    <w:lvl w:ilvl="4" w:tplc="EB0CB0BC">
      <w:numFmt w:val="bullet"/>
      <w:lvlText w:val="•"/>
      <w:lvlJc w:val="left"/>
      <w:pPr>
        <w:ind w:left="1172" w:hanging="284"/>
      </w:pPr>
      <w:rPr>
        <w:rFonts w:hint="default"/>
        <w:lang w:val="en-US" w:eastAsia="en-US" w:bidi="ar-SA"/>
      </w:rPr>
    </w:lvl>
    <w:lvl w:ilvl="5" w:tplc="9594E8C0">
      <w:numFmt w:val="bullet"/>
      <w:lvlText w:val="•"/>
      <w:lvlJc w:val="left"/>
      <w:pPr>
        <w:ind w:left="1345" w:hanging="284"/>
      </w:pPr>
      <w:rPr>
        <w:rFonts w:hint="default"/>
        <w:lang w:val="en-US" w:eastAsia="en-US" w:bidi="ar-SA"/>
      </w:rPr>
    </w:lvl>
    <w:lvl w:ilvl="6" w:tplc="B964A078">
      <w:numFmt w:val="bullet"/>
      <w:lvlText w:val="•"/>
      <w:lvlJc w:val="left"/>
      <w:pPr>
        <w:ind w:left="1518" w:hanging="284"/>
      </w:pPr>
      <w:rPr>
        <w:rFonts w:hint="default"/>
        <w:lang w:val="en-US" w:eastAsia="en-US" w:bidi="ar-SA"/>
      </w:rPr>
    </w:lvl>
    <w:lvl w:ilvl="7" w:tplc="C3447C6A">
      <w:numFmt w:val="bullet"/>
      <w:lvlText w:val="•"/>
      <w:lvlJc w:val="left"/>
      <w:pPr>
        <w:ind w:left="1691" w:hanging="284"/>
      </w:pPr>
      <w:rPr>
        <w:rFonts w:hint="default"/>
        <w:lang w:val="en-US" w:eastAsia="en-US" w:bidi="ar-SA"/>
      </w:rPr>
    </w:lvl>
    <w:lvl w:ilvl="8" w:tplc="873806BA">
      <w:numFmt w:val="bullet"/>
      <w:lvlText w:val="•"/>
      <w:lvlJc w:val="left"/>
      <w:pPr>
        <w:ind w:left="1864" w:hanging="284"/>
      </w:pPr>
      <w:rPr>
        <w:rFonts w:hint="default"/>
        <w:lang w:val="en-US" w:eastAsia="en-US" w:bidi="ar-SA"/>
      </w:rPr>
    </w:lvl>
  </w:abstractNum>
  <w:abstractNum w:abstractNumId="229" w15:restartNumberingAfterBreak="0">
    <w:nsid w:val="360B0B42"/>
    <w:multiLevelType w:val="hybridMultilevel"/>
    <w:tmpl w:val="2F5C60AC"/>
    <w:lvl w:ilvl="0" w:tplc="15A236C2">
      <w:numFmt w:val="bullet"/>
      <w:lvlText w:val=""/>
      <w:lvlJc w:val="left"/>
      <w:pPr>
        <w:ind w:left="456" w:hanging="284"/>
      </w:pPr>
      <w:rPr>
        <w:rFonts w:ascii="Symbol" w:eastAsia="Symbol" w:hAnsi="Symbol" w:cs="Symbol" w:hint="default"/>
        <w:b w:val="0"/>
        <w:bCs w:val="0"/>
        <w:i w:val="0"/>
        <w:iCs w:val="0"/>
        <w:color w:val="70004A"/>
        <w:spacing w:val="0"/>
        <w:w w:val="100"/>
        <w:sz w:val="18"/>
        <w:szCs w:val="18"/>
        <w:lang w:val="en-US" w:eastAsia="en-US" w:bidi="ar-SA"/>
      </w:rPr>
    </w:lvl>
    <w:lvl w:ilvl="1" w:tplc="39F84172">
      <w:numFmt w:val="bullet"/>
      <w:lvlText w:val="•"/>
      <w:lvlJc w:val="left"/>
      <w:pPr>
        <w:ind w:left="741" w:hanging="284"/>
      </w:pPr>
      <w:rPr>
        <w:rFonts w:hint="default"/>
        <w:lang w:val="en-US" w:eastAsia="en-US" w:bidi="ar-SA"/>
      </w:rPr>
    </w:lvl>
    <w:lvl w:ilvl="2" w:tplc="02DC16A6">
      <w:numFmt w:val="bullet"/>
      <w:lvlText w:val="•"/>
      <w:lvlJc w:val="left"/>
      <w:pPr>
        <w:ind w:left="1023" w:hanging="284"/>
      </w:pPr>
      <w:rPr>
        <w:rFonts w:hint="default"/>
        <w:lang w:val="en-US" w:eastAsia="en-US" w:bidi="ar-SA"/>
      </w:rPr>
    </w:lvl>
    <w:lvl w:ilvl="3" w:tplc="282EE068">
      <w:numFmt w:val="bullet"/>
      <w:lvlText w:val="•"/>
      <w:lvlJc w:val="left"/>
      <w:pPr>
        <w:ind w:left="1304" w:hanging="284"/>
      </w:pPr>
      <w:rPr>
        <w:rFonts w:hint="default"/>
        <w:lang w:val="en-US" w:eastAsia="en-US" w:bidi="ar-SA"/>
      </w:rPr>
    </w:lvl>
    <w:lvl w:ilvl="4" w:tplc="8DEC210E">
      <w:numFmt w:val="bullet"/>
      <w:lvlText w:val="•"/>
      <w:lvlJc w:val="left"/>
      <w:pPr>
        <w:ind w:left="1586" w:hanging="284"/>
      </w:pPr>
      <w:rPr>
        <w:rFonts w:hint="default"/>
        <w:lang w:val="en-US" w:eastAsia="en-US" w:bidi="ar-SA"/>
      </w:rPr>
    </w:lvl>
    <w:lvl w:ilvl="5" w:tplc="73C6CED4">
      <w:numFmt w:val="bullet"/>
      <w:lvlText w:val="•"/>
      <w:lvlJc w:val="left"/>
      <w:pPr>
        <w:ind w:left="1867" w:hanging="284"/>
      </w:pPr>
      <w:rPr>
        <w:rFonts w:hint="default"/>
        <w:lang w:val="en-US" w:eastAsia="en-US" w:bidi="ar-SA"/>
      </w:rPr>
    </w:lvl>
    <w:lvl w:ilvl="6" w:tplc="58D8D500">
      <w:numFmt w:val="bullet"/>
      <w:lvlText w:val="•"/>
      <w:lvlJc w:val="left"/>
      <w:pPr>
        <w:ind w:left="2149" w:hanging="284"/>
      </w:pPr>
      <w:rPr>
        <w:rFonts w:hint="default"/>
        <w:lang w:val="en-US" w:eastAsia="en-US" w:bidi="ar-SA"/>
      </w:rPr>
    </w:lvl>
    <w:lvl w:ilvl="7" w:tplc="150E1C72">
      <w:numFmt w:val="bullet"/>
      <w:lvlText w:val="•"/>
      <w:lvlJc w:val="left"/>
      <w:pPr>
        <w:ind w:left="2430" w:hanging="284"/>
      </w:pPr>
      <w:rPr>
        <w:rFonts w:hint="default"/>
        <w:lang w:val="en-US" w:eastAsia="en-US" w:bidi="ar-SA"/>
      </w:rPr>
    </w:lvl>
    <w:lvl w:ilvl="8" w:tplc="8A5EA20C">
      <w:numFmt w:val="bullet"/>
      <w:lvlText w:val="•"/>
      <w:lvlJc w:val="left"/>
      <w:pPr>
        <w:ind w:left="2712" w:hanging="284"/>
      </w:pPr>
      <w:rPr>
        <w:rFonts w:hint="default"/>
        <w:lang w:val="en-US" w:eastAsia="en-US" w:bidi="ar-SA"/>
      </w:rPr>
    </w:lvl>
  </w:abstractNum>
  <w:abstractNum w:abstractNumId="230" w15:restartNumberingAfterBreak="0">
    <w:nsid w:val="36300369"/>
    <w:multiLevelType w:val="hybridMultilevel"/>
    <w:tmpl w:val="0AE8B690"/>
    <w:lvl w:ilvl="0" w:tplc="444CA2E8">
      <w:numFmt w:val="bullet"/>
      <w:lvlText w:val=""/>
      <w:lvlJc w:val="left"/>
      <w:pPr>
        <w:ind w:left="391" w:hanging="284"/>
      </w:pPr>
      <w:rPr>
        <w:rFonts w:ascii="Symbol" w:eastAsia="Symbol" w:hAnsi="Symbol" w:cs="Symbol" w:hint="default"/>
        <w:b w:val="0"/>
        <w:bCs w:val="0"/>
        <w:i w:val="0"/>
        <w:iCs w:val="0"/>
        <w:color w:val="70004A"/>
        <w:spacing w:val="0"/>
        <w:w w:val="100"/>
        <w:sz w:val="18"/>
        <w:szCs w:val="18"/>
        <w:lang w:val="en-US" w:eastAsia="en-US" w:bidi="ar-SA"/>
      </w:rPr>
    </w:lvl>
    <w:lvl w:ilvl="1" w:tplc="0F1AB024">
      <w:numFmt w:val="bullet"/>
      <w:lvlText w:val="•"/>
      <w:lvlJc w:val="left"/>
      <w:pPr>
        <w:ind w:left="635" w:hanging="284"/>
      </w:pPr>
      <w:rPr>
        <w:rFonts w:hint="default"/>
        <w:lang w:val="en-US" w:eastAsia="en-US" w:bidi="ar-SA"/>
      </w:rPr>
    </w:lvl>
    <w:lvl w:ilvl="2" w:tplc="0046B932">
      <w:numFmt w:val="bullet"/>
      <w:lvlText w:val="•"/>
      <w:lvlJc w:val="left"/>
      <w:pPr>
        <w:ind w:left="871" w:hanging="284"/>
      </w:pPr>
      <w:rPr>
        <w:rFonts w:hint="default"/>
        <w:lang w:val="en-US" w:eastAsia="en-US" w:bidi="ar-SA"/>
      </w:rPr>
    </w:lvl>
    <w:lvl w:ilvl="3" w:tplc="4A82C94E">
      <w:numFmt w:val="bullet"/>
      <w:lvlText w:val="•"/>
      <w:lvlJc w:val="left"/>
      <w:pPr>
        <w:ind w:left="1106" w:hanging="284"/>
      </w:pPr>
      <w:rPr>
        <w:rFonts w:hint="default"/>
        <w:lang w:val="en-US" w:eastAsia="en-US" w:bidi="ar-SA"/>
      </w:rPr>
    </w:lvl>
    <w:lvl w:ilvl="4" w:tplc="71009614">
      <w:numFmt w:val="bullet"/>
      <w:lvlText w:val="•"/>
      <w:lvlJc w:val="left"/>
      <w:pPr>
        <w:ind w:left="1342" w:hanging="284"/>
      </w:pPr>
      <w:rPr>
        <w:rFonts w:hint="default"/>
        <w:lang w:val="en-US" w:eastAsia="en-US" w:bidi="ar-SA"/>
      </w:rPr>
    </w:lvl>
    <w:lvl w:ilvl="5" w:tplc="E3B68172">
      <w:numFmt w:val="bullet"/>
      <w:lvlText w:val="•"/>
      <w:lvlJc w:val="left"/>
      <w:pPr>
        <w:ind w:left="1578" w:hanging="284"/>
      </w:pPr>
      <w:rPr>
        <w:rFonts w:hint="default"/>
        <w:lang w:val="en-US" w:eastAsia="en-US" w:bidi="ar-SA"/>
      </w:rPr>
    </w:lvl>
    <w:lvl w:ilvl="6" w:tplc="84E82160">
      <w:numFmt w:val="bullet"/>
      <w:lvlText w:val="•"/>
      <w:lvlJc w:val="left"/>
      <w:pPr>
        <w:ind w:left="1813" w:hanging="284"/>
      </w:pPr>
      <w:rPr>
        <w:rFonts w:hint="default"/>
        <w:lang w:val="en-US" w:eastAsia="en-US" w:bidi="ar-SA"/>
      </w:rPr>
    </w:lvl>
    <w:lvl w:ilvl="7" w:tplc="D6CE2F9C">
      <w:numFmt w:val="bullet"/>
      <w:lvlText w:val="•"/>
      <w:lvlJc w:val="left"/>
      <w:pPr>
        <w:ind w:left="2049" w:hanging="284"/>
      </w:pPr>
      <w:rPr>
        <w:rFonts w:hint="default"/>
        <w:lang w:val="en-US" w:eastAsia="en-US" w:bidi="ar-SA"/>
      </w:rPr>
    </w:lvl>
    <w:lvl w:ilvl="8" w:tplc="F41A372C">
      <w:numFmt w:val="bullet"/>
      <w:lvlText w:val="•"/>
      <w:lvlJc w:val="left"/>
      <w:pPr>
        <w:ind w:left="2284" w:hanging="284"/>
      </w:pPr>
      <w:rPr>
        <w:rFonts w:hint="default"/>
        <w:lang w:val="en-US" w:eastAsia="en-US" w:bidi="ar-SA"/>
      </w:rPr>
    </w:lvl>
  </w:abstractNum>
  <w:abstractNum w:abstractNumId="231" w15:restartNumberingAfterBreak="0">
    <w:nsid w:val="365A5C25"/>
    <w:multiLevelType w:val="hybridMultilevel"/>
    <w:tmpl w:val="9BC2DD28"/>
    <w:lvl w:ilvl="0" w:tplc="C00C4162">
      <w:numFmt w:val="bullet"/>
      <w:lvlText w:val=""/>
      <w:lvlJc w:val="left"/>
      <w:pPr>
        <w:ind w:left="433" w:hanging="284"/>
      </w:pPr>
      <w:rPr>
        <w:rFonts w:ascii="Symbol" w:eastAsia="Symbol" w:hAnsi="Symbol" w:cs="Symbol" w:hint="default"/>
        <w:b w:val="0"/>
        <w:bCs w:val="0"/>
        <w:i w:val="0"/>
        <w:iCs w:val="0"/>
        <w:color w:val="70004A"/>
        <w:spacing w:val="0"/>
        <w:w w:val="100"/>
        <w:sz w:val="18"/>
        <w:szCs w:val="18"/>
        <w:lang w:val="en-US" w:eastAsia="en-US" w:bidi="ar-SA"/>
      </w:rPr>
    </w:lvl>
    <w:lvl w:ilvl="1" w:tplc="CB4E156A">
      <w:numFmt w:val="bullet"/>
      <w:lvlText w:val="•"/>
      <w:lvlJc w:val="left"/>
      <w:pPr>
        <w:ind w:left="654" w:hanging="284"/>
      </w:pPr>
      <w:rPr>
        <w:rFonts w:hint="default"/>
        <w:lang w:val="en-US" w:eastAsia="en-US" w:bidi="ar-SA"/>
      </w:rPr>
    </w:lvl>
    <w:lvl w:ilvl="2" w:tplc="09BA9D62">
      <w:numFmt w:val="bullet"/>
      <w:lvlText w:val="•"/>
      <w:lvlJc w:val="left"/>
      <w:pPr>
        <w:ind w:left="868" w:hanging="284"/>
      </w:pPr>
      <w:rPr>
        <w:rFonts w:hint="default"/>
        <w:lang w:val="en-US" w:eastAsia="en-US" w:bidi="ar-SA"/>
      </w:rPr>
    </w:lvl>
    <w:lvl w:ilvl="3" w:tplc="5A80365A">
      <w:numFmt w:val="bullet"/>
      <w:lvlText w:val="•"/>
      <w:lvlJc w:val="left"/>
      <w:pPr>
        <w:ind w:left="1082" w:hanging="284"/>
      </w:pPr>
      <w:rPr>
        <w:rFonts w:hint="default"/>
        <w:lang w:val="en-US" w:eastAsia="en-US" w:bidi="ar-SA"/>
      </w:rPr>
    </w:lvl>
    <w:lvl w:ilvl="4" w:tplc="8994805C">
      <w:numFmt w:val="bullet"/>
      <w:lvlText w:val="•"/>
      <w:lvlJc w:val="left"/>
      <w:pPr>
        <w:ind w:left="1296" w:hanging="284"/>
      </w:pPr>
      <w:rPr>
        <w:rFonts w:hint="default"/>
        <w:lang w:val="en-US" w:eastAsia="en-US" w:bidi="ar-SA"/>
      </w:rPr>
    </w:lvl>
    <w:lvl w:ilvl="5" w:tplc="CB227FC8">
      <w:numFmt w:val="bullet"/>
      <w:lvlText w:val="•"/>
      <w:lvlJc w:val="left"/>
      <w:pPr>
        <w:ind w:left="1511" w:hanging="284"/>
      </w:pPr>
      <w:rPr>
        <w:rFonts w:hint="default"/>
        <w:lang w:val="en-US" w:eastAsia="en-US" w:bidi="ar-SA"/>
      </w:rPr>
    </w:lvl>
    <w:lvl w:ilvl="6" w:tplc="C38A350A">
      <w:numFmt w:val="bullet"/>
      <w:lvlText w:val="•"/>
      <w:lvlJc w:val="left"/>
      <w:pPr>
        <w:ind w:left="1725" w:hanging="284"/>
      </w:pPr>
      <w:rPr>
        <w:rFonts w:hint="default"/>
        <w:lang w:val="en-US" w:eastAsia="en-US" w:bidi="ar-SA"/>
      </w:rPr>
    </w:lvl>
    <w:lvl w:ilvl="7" w:tplc="381858A6">
      <w:numFmt w:val="bullet"/>
      <w:lvlText w:val="•"/>
      <w:lvlJc w:val="left"/>
      <w:pPr>
        <w:ind w:left="1939" w:hanging="284"/>
      </w:pPr>
      <w:rPr>
        <w:rFonts w:hint="default"/>
        <w:lang w:val="en-US" w:eastAsia="en-US" w:bidi="ar-SA"/>
      </w:rPr>
    </w:lvl>
    <w:lvl w:ilvl="8" w:tplc="5686C966">
      <w:numFmt w:val="bullet"/>
      <w:lvlText w:val="•"/>
      <w:lvlJc w:val="left"/>
      <w:pPr>
        <w:ind w:left="2153" w:hanging="284"/>
      </w:pPr>
      <w:rPr>
        <w:rFonts w:hint="default"/>
        <w:lang w:val="en-US" w:eastAsia="en-US" w:bidi="ar-SA"/>
      </w:rPr>
    </w:lvl>
  </w:abstractNum>
  <w:abstractNum w:abstractNumId="232" w15:restartNumberingAfterBreak="0">
    <w:nsid w:val="36E524DF"/>
    <w:multiLevelType w:val="hybridMultilevel"/>
    <w:tmpl w:val="539AD45C"/>
    <w:lvl w:ilvl="0" w:tplc="7430B00C">
      <w:numFmt w:val="bullet"/>
      <w:lvlText w:val=""/>
      <w:lvlJc w:val="left"/>
      <w:pPr>
        <w:ind w:left="501" w:hanging="284"/>
      </w:pPr>
      <w:rPr>
        <w:rFonts w:ascii="Symbol" w:eastAsia="Symbol" w:hAnsi="Symbol" w:cs="Symbol" w:hint="default"/>
        <w:b w:val="0"/>
        <w:bCs w:val="0"/>
        <w:i w:val="0"/>
        <w:iCs w:val="0"/>
        <w:color w:val="70004A"/>
        <w:spacing w:val="0"/>
        <w:w w:val="100"/>
        <w:sz w:val="18"/>
        <w:szCs w:val="18"/>
        <w:lang w:val="en-US" w:eastAsia="en-US" w:bidi="ar-SA"/>
      </w:rPr>
    </w:lvl>
    <w:lvl w:ilvl="1" w:tplc="45EE4A7A">
      <w:numFmt w:val="bullet"/>
      <w:lvlText w:val="•"/>
      <w:lvlJc w:val="left"/>
      <w:pPr>
        <w:ind w:left="796" w:hanging="284"/>
      </w:pPr>
      <w:rPr>
        <w:rFonts w:hint="default"/>
        <w:lang w:val="en-US" w:eastAsia="en-US" w:bidi="ar-SA"/>
      </w:rPr>
    </w:lvl>
    <w:lvl w:ilvl="2" w:tplc="96687794">
      <w:numFmt w:val="bullet"/>
      <w:lvlText w:val="•"/>
      <w:lvlJc w:val="left"/>
      <w:pPr>
        <w:ind w:left="1093" w:hanging="284"/>
      </w:pPr>
      <w:rPr>
        <w:rFonts w:hint="default"/>
        <w:lang w:val="en-US" w:eastAsia="en-US" w:bidi="ar-SA"/>
      </w:rPr>
    </w:lvl>
    <w:lvl w:ilvl="3" w:tplc="0512DD78">
      <w:numFmt w:val="bullet"/>
      <w:lvlText w:val="•"/>
      <w:lvlJc w:val="left"/>
      <w:pPr>
        <w:ind w:left="1390" w:hanging="284"/>
      </w:pPr>
      <w:rPr>
        <w:rFonts w:hint="default"/>
        <w:lang w:val="en-US" w:eastAsia="en-US" w:bidi="ar-SA"/>
      </w:rPr>
    </w:lvl>
    <w:lvl w:ilvl="4" w:tplc="EAC877DC">
      <w:numFmt w:val="bullet"/>
      <w:lvlText w:val="•"/>
      <w:lvlJc w:val="left"/>
      <w:pPr>
        <w:ind w:left="1686" w:hanging="284"/>
      </w:pPr>
      <w:rPr>
        <w:rFonts w:hint="default"/>
        <w:lang w:val="en-US" w:eastAsia="en-US" w:bidi="ar-SA"/>
      </w:rPr>
    </w:lvl>
    <w:lvl w:ilvl="5" w:tplc="BF3A8E7C">
      <w:numFmt w:val="bullet"/>
      <w:lvlText w:val="•"/>
      <w:lvlJc w:val="left"/>
      <w:pPr>
        <w:ind w:left="1983" w:hanging="284"/>
      </w:pPr>
      <w:rPr>
        <w:rFonts w:hint="default"/>
        <w:lang w:val="en-US" w:eastAsia="en-US" w:bidi="ar-SA"/>
      </w:rPr>
    </w:lvl>
    <w:lvl w:ilvl="6" w:tplc="CFE65EBA">
      <w:numFmt w:val="bullet"/>
      <w:lvlText w:val="•"/>
      <w:lvlJc w:val="left"/>
      <w:pPr>
        <w:ind w:left="2280" w:hanging="284"/>
      </w:pPr>
      <w:rPr>
        <w:rFonts w:hint="default"/>
        <w:lang w:val="en-US" w:eastAsia="en-US" w:bidi="ar-SA"/>
      </w:rPr>
    </w:lvl>
    <w:lvl w:ilvl="7" w:tplc="7A5CACE6">
      <w:numFmt w:val="bullet"/>
      <w:lvlText w:val="•"/>
      <w:lvlJc w:val="left"/>
      <w:pPr>
        <w:ind w:left="2576" w:hanging="284"/>
      </w:pPr>
      <w:rPr>
        <w:rFonts w:hint="default"/>
        <w:lang w:val="en-US" w:eastAsia="en-US" w:bidi="ar-SA"/>
      </w:rPr>
    </w:lvl>
    <w:lvl w:ilvl="8" w:tplc="A9D4DBE0">
      <w:numFmt w:val="bullet"/>
      <w:lvlText w:val="•"/>
      <w:lvlJc w:val="left"/>
      <w:pPr>
        <w:ind w:left="2873" w:hanging="284"/>
      </w:pPr>
      <w:rPr>
        <w:rFonts w:hint="default"/>
        <w:lang w:val="en-US" w:eastAsia="en-US" w:bidi="ar-SA"/>
      </w:rPr>
    </w:lvl>
  </w:abstractNum>
  <w:abstractNum w:abstractNumId="233" w15:restartNumberingAfterBreak="0">
    <w:nsid w:val="36E93D91"/>
    <w:multiLevelType w:val="hybridMultilevel"/>
    <w:tmpl w:val="2AA45E7A"/>
    <w:lvl w:ilvl="0" w:tplc="EEB40C8E">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0C02FD94">
      <w:numFmt w:val="bullet"/>
      <w:lvlText w:val="•"/>
      <w:lvlJc w:val="left"/>
      <w:pPr>
        <w:ind w:left="643" w:hanging="284"/>
      </w:pPr>
      <w:rPr>
        <w:rFonts w:hint="default"/>
        <w:lang w:val="en-US" w:eastAsia="en-US" w:bidi="ar-SA"/>
      </w:rPr>
    </w:lvl>
    <w:lvl w:ilvl="2" w:tplc="C2A482A6">
      <w:numFmt w:val="bullet"/>
      <w:lvlText w:val="•"/>
      <w:lvlJc w:val="left"/>
      <w:pPr>
        <w:ind w:left="886" w:hanging="284"/>
      </w:pPr>
      <w:rPr>
        <w:rFonts w:hint="default"/>
        <w:lang w:val="en-US" w:eastAsia="en-US" w:bidi="ar-SA"/>
      </w:rPr>
    </w:lvl>
    <w:lvl w:ilvl="3" w:tplc="B57497F4">
      <w:numFmt w:val="bullet"/>
      <w:lvlText w:val="•"/>
      <w:lvlJc w:val="left"/>
      <w:pPr>
        <w:ind w:left="1129" w:hanging="284"/>
      </w:pPr>
      <w:rPr>
        <w:rFonts w:hint="default"/>
        <w:lang w:val="en-US" w:eastAsia="en-US" w:bidi="ar-SA"/>
      </w:rPr>
    </w:lvl>
    <w:lvl w:ilvl="4" w:tplc="DF64A1B8">
      <w:numFmt w:val="bullet"/>
      <w:lvlText w:val="•"/>
      <w:lvlJc w:val="left"/>
      <w:pPr>
        <w:ind w:left="1373" w:hanging="284"/>
      </w:pPr>
      <w:rPr>
        <w:rFonts w:hint="default"/>
        <w:lang w:val="en-US" w:eastAsia="en-US" w:bidi="ar-SA"/>
      </w:rPr>
    </w:lvl>
    <w:lvl w:ilvl="5" w:tplc="7D64DC3A">
      <w:numFmt w:val="bullet"/>
      <w:lvlText w:val="•"/>
      <w:lvlJc w:val="left"/>
      <w:pPr>
        <w:ind w:left="1616" w:hanging="284"/>
      </w:pPr>
      <w:rPr>
        <w:rFonts w:hint="default"/>
        <w:lang w:val="en-US" w:eastAsia="en-US" w:bidi="ar-SA"/>
      </w:rPr>
    </w:lvl>
    <w:lvl w:ilvl="6" w:tplc="5AAE377C">
      <w:numFmt w:val="bullet"/>
      <w:lvlText w:val="•"/>
      <w:lvlJc w:val="left"/>
      <w:pPr>
        <w:ind w:left="1859" w:hanging="284"/>
      </w:pPr>
      <w:rPr>
        <w:rFonts w:hint="default"/>
        <w:lang w:val="en-US" w:eastAsia="en-US" w:bidi="ar-SA"/>
      </w:rPr>
    </w:lvl>
    <w:lvl w:ilvl="7" w:tplc="F5C4F07E">
      <w:numFmt w:val="bullet"/>
      <w:lvlText w:val="•"/>
      <w:lvlJc w:val="left"/>
      <w:pPr>
        <w:ind w:left="2103" w:hanging="284"/>
      </w:pPr>
      <w:rPr>
        <w:rFonts w:hint="default"/>
        <w:lang w:val="en-US" w:eastAsia="en-US" w:bidi="ar-SA"/>
      </w:rPr>
    </w:lvl>
    <w:lvl w:ilvl="8" w:tplc="BC4AEDB4">
      <w:numFmt w:val="bullet"/>
      <w:lvlText w:val="•"/>
      <w:lvlJc w:val="left"/>
      <w:pPr>
        <w:ind w:left="2346" w:hanging="284"/>
      </w:pPr>
      <w:rPr>
        <w:rFonts w:hint="default"/>
        <w:lang w:val="en-US" w:eastAsia="en-US" w:bidi="ar-SA"/>
      </w:rPr>
    </w:lvl>
  </w:abstractNum>
  <w:abstractNum w:abstractNumId="234" w15:restartNumberingAfterBreak="0">
    <w:nsid w:val="36F7552E"/>
    <w:multiLevelType w:val="hybridMultilevel"/>
    <w:tmpl w:val="FD3EF5D4"/>
    <w:lvl w:ilvl="0" w:tplc="583A152A">
      <w:numFmt w:val="bullet"/>
      <w:lvlText w:val=""/>
      <w:lvlJc w:val="left"/>
      <w:pPr>
        <w:ind w:left="313" w:hanging="284"/>
      </w:pPr>
      <w:rPr>
        <w:rFonts w:ascii="Symbol" w:eastAsia="Symbol" w:hAnsi="Symbol" w:cs="Symbol" w:hint="default"/>
        <w:b w:val="0"/>
        <w:bCs w:val="0"/>
        <w:i w:val="0"/>
        <w:iCs w:val="0"/>
        <w:color w:val="70004A"/>
        <w:spacing w:val="0"/>
        <w:w w:val="100"/>
        <w:sz w:val="18"/>
        <w:szCs w:val="18"/>
        <w:lang w:val="en-US" w:eastAsia="en-US" w:bidi="ar-SA"/>
      </w:rPr>
    </w:lvl>
    <w:lvl w:ilvl="1" w:tplc="6874BAF2">
      <w:numFmt w:val="bullet"/>
      <w:lvlText w:val="•"/>
      <w:lvlJc w:val="left"/>
      <w:pPr>
        <w:ind w:left="433" w:hanging="284"/>
      </w:pPr>
      <w:rPr>
        <w:rFonts w:hint="default"/>
        <w:lang w:val="en-US" w:eastAsia="en-US" w:bidi="ar-SA"/>
      </w:rPr>
    </w:lvl>
    <w:lvl w:ilvl="2" w:tplc="5DE6D3E0">
      <w:numFmt w:val="bullet"/>
      <w:lvlText w:val="•"/>
      <w:lvlJc w:val="left"/>
      <w:pPr>
        <w:ind w:left="546" w:hanging="284"/>
      </w:pPr>
      <w:rPr>
        <w:rFonts w:hint="default"/>
        <w:lang w:val="en-US" w:eastAsia="en-US" w:bidi="ar-SA"/>
      </w:rPr>
    </w:lvl>
    <w:lvl w:ilvl="3" w:tplc="CD220D10">
      <w:numFmt w:val="bullet"/>
      <w:lvlText w:val="•"/>
      <w:lvlJc w:val="left"/>
      <w:pPr>
        <w:ind w:left="659" w:hanging="284"/>
      </w:pPr>
      <w:rPr>
        <w:rFonts w:hint="default"/>
        <w:lang w:val="en-US" w:eastAsia="en-US" w:bidi="ar-SA"/>
      </w:rPr>
    </w:lvl>
    <w:lvl w:ilvl="4" w:tplc="7C3ECE96">
      <w:numFmt w:val="bullet"/>
      <w:lvlText w:val="•"/>
      <w:lvlJc w:val="left"/>
      <w:pPr>
        <w:ind w:left="772" w:hanging="284"/>
      </w:pPr>
      <w:rPr>
        <w:rFonts w:hint="default"/>
        <w:lang w:val="en-US" w:eastAsia="en-US" w:bidi="ar-SA"/>
      </w:rPr>
    </w:lvl>
    <w:lvl w:ilvl="5" w:tplc="C74E842E">
      <w:numFmt w:val="bullet"/>
      <w:lvlText w:val="•"/>
      <w:lvlJc w:val="left"/>
      <w:pPr>
        <w:ind w:left="885" w:hanging="284"/>
      </w:pPr>
      <w:rPr>
        <w:rFonts w:hint="default"/>
        <w:lang w:val="en-US" w:eastAsia="en-US" w:bidi="ar-SA"/>
      </w:rPr>
    </w:lvl>
    <w:lvl w:ilvl="6" w:tplc="7E9A7634">
      <w:numFmt w:val="bullet"/>
      <w:lvlText w:val="•"/>
      <w:lvlJc w:val="left"/>
      <w:pPr>
        <w:ind w:left="998" w:hanging="284"/>
      </w:pPr>
      <w:rPr>
        <w:rFonts w:hint="default"/>
        <w:lang w:val="en-US" w:eastAsia="en-US" w:bidi="ar-SA"/>
      </w:rPr>
    </w:lvl>
    <w:lvl w:ilvl="7" w:tplc="25C8E53A">
      <w:numFmt w:val="bullet"/>
      <w:lvlText w:val="•"/>
      <w:lvlJc w:val="left"/>
      <w:pPr>
        <w:ind w:left="1111" w:hanging="284"/>
      </w:pPr>
      <w:rPr>
        <w:rFonts w:hint="default"/>
        <w:lang w:val="en-US" w:eastAsia="en-US" w:bidi="ar-SA"/>
      </w:rPr>
    </w:lvl>
    <w:lvl w:ilvl="8" w:tplc="85FCB19C">
      <w:numFmt w:val="bullet"/>
      <w:lvlText w:val="•"/>
      <w:lvlJc w:val="left"/>
      <w:pPr>
        <w:ind w:left="1224" w:hanging="284"/>
      </w:pPr>
      <w:rPr>
        <w:rFonts w:hint="default"/>
        <w:lang w:val="en-US" w:eastAsia="en-US" w:bidi="ar-SA"/>
      </w:rPr>
    </w:lvl>
  </w:abstractNum>
  <w:abstractNum w:abstractNumId="235" w15:restartNumberingAfterBreak="0">
    <w:nsid w:val="37322505"/>
    <w:multiLevelType w:val="hybridMultilevel"/>
    <w:tmpl w:val="DE1A384E"/>
    <w:lvl w:ilvl="0" w:tplc="53A67954">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1CB832A6">
      <w:numFmt w:val="bullet"/>
      <w:lvlText w:val="•"/>
      <w:lvlJc w:val="left"/>
      <w:pPr>
        <w:ind w:left="684" w:hanging="284"/>
      </w:pPr>
      <w:rPr>
        <w:rFonts w:hint="default"/>
        <w:lang w:val="en-US" w:eastAsia="en-US" w:bidi="ar-SA"/>
      </w:rPr>
    </w:lvl>
    <w:lvl w:ilvl="2" w:tplc="981E41AC">
      <w:numFmt w:val="bullet"/>
      <w:lvlText w:val="•"/>
      <w:lvlJc w:val="left"/>
      <w:pPr>
        <w:ind w:left="968" w:hanging="284"/>
      </w:pPr>
      <w:rPr>
        <w:rFonts w:hint="default"/>
        <w:lang w:val="en-US" w:eastAsia="en-US" w:bidi="ar-SA"/>
      </w:rPr>
    </w:lvl>
    <w:lvl w:ilvl="3" w:tplc="BCC45CC0">
      <w:numFmt w:val="bullet"/>
      <w:lvlText w:val="•"/>
      <w:lvlJc w:val="left"/>
      <w:pPr>
        <w:ind w:left="1252" w:hanging="284"/>
      </w:pPr>
      <w:rPr>
        <w:rFonts w:hint="default"/>
        <w:lang w:val="en-US" w:eastAsia="en-US" w:bidi="ar-SA"/>
      </w:rPr>
    </w:lvl>
    <w:lvl w:ilvl="4" w:tplc="AF1C6930">
      <w:numFmt w:val="bullet"/>
      <w:lvlText w:val="•"/>
      <w:lvlJc w:val="left"/>
      <w:pPr>
        <w:ind w:left="1536" w:hanging="284"/>
      </w:pPr>
      <w:rPr>
        <w:rFonts w:hint="default"/>
        <w:lang w:val="en-US" w:eastAsia="en-US" w:bidi="ar-SA"/>
      </w:rPr>
    </w:lvl>
    <w:lvl w:ilvl="5" w:tplc="F318A7C8">
      <w:numFmt w:val="bullet"/>
      <w:lvlText w:val="•"/>
      <w:lvlJc w:val="left"/>
      <w:pPr>
        <w:ind w:left="1821" w:hanging="284"/>
      </w:pPr>
      <w:rPr>
        <w:rFonts w:hint="default"/>
        <w:lang w:val="en-US" w:eastAsia="en-US" w:bidi="ar-SA"/>
      </w:rPr>
    </w:lvl>
    <w:lvl w:ilvl="6" w:tplc="21C85990">
      <w:numFmt w:val="bullet"/>
      <w:lvlText w:val="•"/>
      <w:lvlJc w:val="left"/>
      <w:pPr>
        <w:ind w:left="2105" w:hanging="284"/>
      </w:pPr>
      <w:rPr>
        <w:rFonts w:hint="default"/>
        <w:lang w:val="en-US" w:eastAsia="en-US" w:bidi="ar-SA"/>
      </w:rPr>
    </w:lvl>
    <w:lvl w:ilvl="7" w:tplc="7638DA38">
      <w:numFmt w:val="bullet"/>
      <w:lvlText w:val="•"/>
      <w:lvlJc w:val="left"/>
      <w:pPr>
        <w:ind w:left="2389" w:hanging="284"/>
      </w:pPr>
      <w:rPr>
        <w:rFonts w:hint="default"/>
        <w:lang w:val="en-US" w:eastAsia="en-US" w:bidi="ar-SA"/>
      </w:rPr>
    </w:lvl>
    <w:lvl w:ilvl="8" w:tplc="23166F5C">
      <w:numFmt w:val="bullet"/>
      <w:lvlText w:val="•"/>
      <w:lvlJc w:val="left"/>
      <w:pPr>
        <w:ind w:left="2673" w:hanging="284"/>
      </w:pPr>
      <w:rPr>
        <w:rFonts w:hint="default"/>
        <w:lang w:val="en-US" w:eastAsia="en-US" w:bidi="ar-SA"/>
      </w:rPr>
    </w:lvl>
  </w:abstractNum>
  <w:abstractNum w:abstractNumId="236" w15:restartNumberingAfterBreak="0">
    <w:nsid w:val="382E7EBB"/>
    <w:multiLevelType w:val="hybridMultilevel"/>
    <w:tmpl w:val="3E326524"/>
    <w:lvl w:ilvl="0" w:tplc="B3D476A2">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C1821FC6">
      <w:numFmt w:val="bullet"/>
      <w:lvlText w:val="•"/>
      <w:lvlJc w:val="left"/>
      <w:pPr>
        <w:ind w:left="632" w:hanging="284"/>
      </w:pPr>
      <w:rPr>
        <w:rFonts w:hint="default"/>
        <w:lang w:val="en-US" w:eastAsia="en-US" w:bidi="ar-SA"/>
      </w:rPr>
    </w:lvl>
    <w:lvl w:ilvl="2" w:tplc="4C8C2AC2">
      <w:numFmt w:val="bullet"/>
      <w:lvlText w:val="•"/>
      <w:lvlJc w:val="left"/>
      <w:pPr>
        <w:ind w:left="885" w:hanging="284"/>
      </w:pPr>
      <w:rPr>
        <w:rFonts w:hint="default"/>
        <w:lang w:val="en-US" w:eastAsia="en-US" w:bidi="ar-SA"/>
      </w:rPr>
    </w:lvl>
    <w:lvl w:ilvl="3" w:tplc="DAA0C310">
      <w:numFmt w:val="bullet"/>
      <w:lvlText w:val="•"/>
      <w:lvlJc w:val="left"/>
      <w:pPr>
        <w:ind w:left="1138" w:hanging="284"/>
      </w:pPr>
      <w:rPr>
        <w:rFonts w:hint="default"/>
        <w:lang w:val="en-US" w:eastAsia="en-US" w:bidi="ar-SA"/>
      </w:rPr>
    </w:lvl>
    <w:lvl w:ilvl="4" w:tplc="D3AE4E3E">
      <w:numFmt w:val="bullet"/>
      <w:lvlText w:val="•"/>
      <w:lvlJc w:val="left"/>
      <w:pPr>
        <w:ind w:left="1390" w:hanging="284"/>
      </w:pPr>
      <w:rPr>
        <w:rFonts w:hint="default"/>
        <w:lang w:val="en-US" w:eastAsia="en-US" w:bidi="ar-SA"/>
      </w:rPr>
    </w:lvl>
    <w:lvl w:ilvl="5" w:tplc="EF505602">
      <w:numFmt w:val="bullet"/>
      <w:lvlText w:val="•"/>
      <w:lvlJc w:val="left"/>
      <w:pPr>
        <w:ind w:left="1643" w:hanging="284"/>
      </w:pPr>
      <w:rPr>
        <w:rFonts w:hint="default"/>
        <w:lang w:val="en-US" w:eastAsia="en-US" w:bidi="ar-SA"/>
      </w:rPr>
    </w:lvl>
    <w:lvl w:ilvl="6" w:tplc="E1286B7C">
      <w:numFmt w:val="bullet"/>
      <w:lvlText w:val="•"/>
      <w:lvlJc w:val="left"/>
      <w:pPr>
        <w:ind w:left="1896" w:hanging="284"/>
      </w:pPr>
      <w:rPr>
        <w:rFonts w:hint="default"/>
        <w:lang w:val="en-US" w:eastAsia="en-US" w:bidi="ar-SA"/>
      </w:rPr>
    </w:lvl>
    <w:lvl w:ilvl="7" w:tplc="0672918A">
      <w:numFmt w:val="bullet"/>
      <w:lvlText w:val="•"/>
      <w:lvlJc w:val="left"/>
      <w:pPr>
        <w:ind w:left="2148" w:hanging="284"/>
      </w:pPr>
      <w:rPr>
        <w:rFonts w:hint="default"/>
        <w:lang w:val="en-US" w:eastAsia="en-US" w:bidi="ar-SA"/>
      </w:rPr>
    </w:lvl>
    <w:lvl w:ilvl="8" w:tplc="EA80F03C">
      <w:numFmt w:val="bullet"/>
      <w:lvlText w:val="•"/>
      <w:lvlJc w:val="left"/>
      <w:pPr>
        <w:ind w:left="2401" w:hanging="284"/>
      </w:pPr>
      <w:rPr>
        <w:rFonts w:hint="default"/>
        <w:lang w:val="en-US" w:eastAsia="en-US" w:bidi="ar-SA"/>
      </w:rPr>
    </w:lvl>
  </w:abstractNum>
  <w:abstractNum w:abstractNumId="237" w15:restartNumberingAfterBreak="0">
    <w:nsid w:val="384A3773"/>
    <w:multiLevelType w:val="hybridMultilevel"/>
    <w:tmpl w:val="E44A6CA8"/>
    <w:lvl w:ilvl="0" w:tplc="EBF01408">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C3F661A4">
      <w:numFmt w:val="bullet"/>
      <w:lvlText w:val="•"/>
      <w:lvlJc w:val="left"/>
      <w:pPr>
        <w:ind w:left="633" w:hanging="284"/>
      </w:pPr>
      <w:rPr>
        <w:rFonts w:hint="default"/>
        <w:lang w:val="en-US" w:eastAsia="en-US" w:bidi="ar-SA"/>
      </w:rPr>
    </w:lvl>
    <w:lvl w:ilvl="2" w:tplc="29CCDC68">
      <w:numFmt w:val="bullet"/>
      <w:lvlText w:val="•"/>
      <w:lvlJc w:val="left"/>
      <w:pPr>
        <w:ind w:left="886" w:hanging="284"/>
      </w:pPr>
      <w:rPr>
        <w:rFonts w:hint="default"/>
        <w:lang w:val="en-US" w:eastAsia="en-US" w:bidi="ar-SA"/>
      </w:rPr>
    </w:lvl>
    <w:lvl w:ilvl="3" w:tplc="274A8AB2">
      <w:numFmt w:val="bullet"/>
      <w:lvlText w:val="•"/>
      <w:lvlJc w:val="left"/>
      <w:pPr>
        <w:ind w:left="1139" w:hanging="284"/>
      </w:pPr>
      <w:rPr>
        <w:rFonts w:hint="default"/>
        <w:lang w:val="en-US" w:eastAsia="en-US" w:bidi="ar-SA"/>
      </w:rPr>
    </w:lvl>
    <w:lvl w:ilvl="4" w:tplc="77C2BE6E">
      <w:numFmt w:val="bullet"/>
      <w:lvlText w:val="•"/>
      <w:lvlJc w:val="left"/>
      <w:pPr>
        <w:ind w:left="1392" w:hanging="284"/>
      </w:pPr>
      <w:rPr>
        <w:rFonts w:hint="default"/>
        <w:lang w:val="en-US" w:eastAsia="en-US" w:bidi="ar-SA"/>
      </w:rPr>
    </w:lvl>
    <w:lvl w:ilvl="5" w:tplc="2A485EB2">
      <w:numFmt w:val="bullet"/>
      <w:lvlText w:val="•"/>
      <w:lvlJc w:val="left"/>
      <w:pPr>
        <w:ind w:left="1645" w:hanging="284"/>
      </w:pPr>
      <w:rPr>
        <w:rFonts w:hint="default"/>
        <w:lang w:val="en-US" w:eastAsia="en-US" w:bidi="ar-SA"/>
      </w:rPr>
    </w:lvl>
    <w:lvl w:ilvl="6" w:tplc="45E007AC">
      <w:numFmt w:val="bullet"/>
      <w:lvlText w:val="•"/>
      <w:lvlJc w:val="left"/>
      <w:pPr>
        <w:ind w:left="1898" w:hanging="284"/>
      </w:pPr>
      <w:rPr>
        <w:rFonts w:hint="default"/>
        <w:lang w:val="en-US" w:eastAsia="en-US" w:bidi="ar-SA"/>
      </w:rPr>
    </w:lvl>
    <w:lvl w:ilvl="7" w:tplc="A966267A">
      <w:numFmt w:val="bullet"/>
      <w:lvlText w:val="•"/>
      <w:lvlJc w:val="left"/>
      <w:pPr>
        <w:ind w:left="2151" w:hanging="284"/>
      </w:pPr>
      <w:rPr>
        <w:rFonts w:hint="default"/>
        <w:lang w:val="en-US" w:eastAsia="en-US" w:bidi="ar-SA"/>
      </w:rPr>
    </w:lvl>
    <w:lvl w:ilvl="8" w:tplc="6A34A6F0">
      <w:numFmt w:val="bullet"/>
      <w:lvlText w:val="•"/>
      <w:lvlJc w:val="left"/>
      <w:pPr>
        <w:ind w:left="2404" w:hanging="284"/>
      </w:pPr>
      <w:rPr>
        <w:rFonts w:hint="default"/>
        <w:lang w:val="en-US" w:eastAsia="en-US" w:bidi="ar-SA"/>
      </w:rPr>
    </w:lvl>
  </w:abstractNum>
  <w:abstractNum w:abstractNumId="238" w15:restartNumberingAfterBreak="0">
    <w:nsid w:val="38956323"/>
    <w:multiLevelType w:val="hybridMultilevel"/>
    <w:tmpl w:val="E22C61B2"/>
    <w:lvl w:ilvl="0" w:tplc="4580C5E0">
      <w:numFmt w:val="bullet"/>
      <w:lvlText w:val=""/>
      <w:lvlJc w:val="left"/>
      <w:pPr>
        <w:ind w:left="433" w:hanging="284"/>
      </w:pPr>
      <w:rPr>
        <w:rFonts w:ascii="Symbol" w:eastAsia="Symbol" w:hAnsi="Symbol" w:cs="Symbol" w:hint="default"/>
        <w:b w:val="0"/>
        <w:bCs w:val="0"/>
        <w:i w:val="0"/>
        <w:iCs w:val="0"/>
        <w:color w:val="70004A"/>
        <w:spacing w:val="0"/>
        <w:w w:val="100"/>
        <w:sz w:val="18"/>
        <w:szCs w:val="18"/>
        <w:lang w:val="en-US" w:eastAsia="en-US" w:bidi="ar-SA"/>
      </w:rPr>
    </w:lvl>
    <w:lvl w:ilvl="1" w:tplc="B85662D8">
      <w:numFmt w:val="bullet"/>
      <w:lvlText w:val="•"/>
      <w:lvlJc w:val="left"/>
      <w:pPr>
        <w:ind w:left="674" w:hanging="284"/>
      </w:pPr>
      <w:rPr>
        <w:rFonts w:hint="default"/>
        <w:lang w:val="en-US" w:eastAsia="en-US" w:bidi="ar-SA"/>
      </w:rPr>
    </w:lvl>
    <w:lvl w:ilvl="2" w:tplc="6F8CE516">
      <w:numFmt w:val="bullet"/>
      <w:lvlText w:val="•"/>
      <w:lvlJc w:val="left"/>
      <w:pPr>
        <w:ind w:left="908" w:hanging="284"/>
      </w:pPr>
      <w:rPr>
        <w:rFonts w:hint="default"/>
        <w:lang w:val="en-US" w:eastAsia="en-US" w:bidi="ar-SA"/>
      </w:rPr>
    </w:lvl>
    <w:lvl w:ilvl="3" w:tplc="3F16B2F2">
      <w:numFmt w:val="bullet"/>
      <w:lvlText w:val="•"/>
      <w:lvlJc w:val="left"/>
      <w:pPr>
        <w:ind w:left="1142" w:hanging="284"/>
      </w:pPr>
      <w:rPr>
        <w:rFonts w:hint="default"/>
        <w:lang w:val="en-US" w:eastAsia="en-US" w:bidi="ar-SA"/>
      </w:rPr>
    </w:lvl>
    <w:lvl w:ilvl="4" w:tplc="70DC31B6">
      <w:numFmt w:val="bullet"/>
      <w:lvlText w:val="•"/>
      <w:lvlJc w:val="left"/>
      <w:pPr>
        <w:ind w:left="1376" w:hanging="284"/>
      </w:pPr>
      <w:rPr>
        <w:rFonts w:hint="default"/>
        <w:lang w:val="en-US" w:eastAsia="en-US" w:bidi="ar-SA"/>
      </w:rPr>
    </w:lvl>
    <w:lvl w:ilvl="5" w:tplc="59BCFADC">
      <w:numFmt w:val="bullet"/>
      <w:lvlText w:val="•"/>
      <w:lvlJc w:val="left"/>
      <w:pPr>
        <w:ind w:left="1610" w:hanging="284"/>
      </w:pPr>
      <w:rPr>
        <w:rFonts w:hint="default"/>
        <w:lang w:val="en-US" w:eastAsia="en-US" w:bidi="ar-SA"/>
      </w:rPr>
    </w:lvl>
    <w:lvl w:ilvl="6" w:tplc="707E3074">
      <w:numFmt w:val="bullet"/>
      <w:lvlText w:val="•"/>
      <w:lvlJc w:val="left"/>
      <w:pPr>
        <w:ind w:left="1844" w:hanging="284"/>
      </w:pPr>
      <w:rPr>
        <w:rFonts w:hint="default"/>
        <w:lang w:val="en-US" w:eastAsia="en-US" w:bidi="ar-SA"/>
      </w:rPr>
    </w:lvl>
    <w:lvl w:ilvl="7" w:tplc="3E747BD4">
      <w:numFmt w:val="bullet"/>
      <w:lvlText w:val="•"/>
      <w:lvlJc w:val="left"/>
      <w:pPr>
        <w:ind w:left="2078" w:hanging="284"/>
      </w:pPr>
      <w:rPr>
        <w:rFonts w:hint="default"/>
        <w:lang w:val="en-US" w:eastAsia="en-US" w:bidi="ar-SA"/>
      </w:rPr>
    </w:lvl>
    <w:lvl w:ilvl="8" w:tplc="1970201E">
      <w:numFmt w:val="bullet"/>
      <w:lvlText w:val="•"/>
      <w:lvlJc w:val="left"/>
      <w:pPr>
        <w:ind w:left="2312" w:hanging="284"/>
      </w:pPr>
      <w:rPr>
        <w:rFonts w:hint="default"/>
        <w:lang w:val="en-US" w:eastAsia="en-US" w:bidi="ar-SA"/>
      </w:rPr>
    </w:lvl>
  </w:abstractNum>
  <w:abstractNum w:abstractNumId="239" w15:restartNumberingAfterBreak="0">
    <w:nsid w:val="38C51CE4"/>
    <w:multiLevelType w:val="hybridMultilevel"/>
    <w:tmpl w:val="13FC2868"/>
    <w:lvl w:ilvl="0" w:tplc="A4C6D7EC">
      <w:numFmt w:val="bullet"/>
      <w:lvlText w:val=""/>
      <w:lvlJc w:val="left"/>
      <w:pPr>
        <w:ind w:left="462" w:hanging="284"/>
      </w:pPr>
      <w:rPr>
        <w:rFonts w:ascii="Symbol" w:eastAsia="Symbol" w:hAnsi="Symbol" w:cs="Symbol" w:hint="default"/>
        <w:b w:val="0"/>
        <w:bCs w:val="0"/>
        <w:i w:val="0"/>
        <w:iCs w:val="0"/>
        <w:color w:val="70004A"/>
        <w:spacing w:val="0"/>
        <w:w w:val="100"/>
        <w:sz w:val="18"/>
        <w:szCs w:val="18"/>
        <w:lang w:val="en-US" w:eastAsia="en-US" w:bidi="ar-SA"/>
      </w:rPr>
    </w:lvl>
    <w:lvl w:ilvl="1" w:tplc="3B3E0180">
      <w:numFmt w:val="bullet"/>
      <w:lvlText w:val="•"/>
      <w:lvlJc w:val="left"/>
      <w:pPr>
        <w:ind w:left="756" w:hanging="284"/>
      </w:pPr>
      <w:rPr>
        <w:rFonts w:hint="default"/>
        <w:lang w:val="en-US" w:eastAsia="en-US" w:bidi="ar-SA"/>
      </w:rPr>
    </w:lvl>
    <w:lvl w:ilvl="2" w:tplc="FB045DFC">
      <w:numFmt w:val="bullet"/>
      <w:lvlText w:val="•"/>
      <w:lvlJc w:val="left"/>
      <w:pPr>
        <w:ind w:left="1053" w:hanging="284"/>
      </w:pPr>
      <w:rPr>
        <w:rFonts w:hint="default"/>
        <w:lang w:val="en-US" w:eastAsia="en-US" w:bidi="ar-SA"/>
      </w:rPr>
    </w:lvl>
    <w:lvl w:ilvl="3" w:tplc="FC4C7874">
      <w:numFmt w:val="bullet"/>
      <w:lvlText w:val="•"/>
      <w:lvlJc w:val="left"/>
      <w:pPr>
        <w:ind w:left="1350" w:hanging="284"/>
      </w:pPr>
      <w:rPr>
        <w:rFonts w:hint="default"/>
        <w:lang w:val="en-US" w:eastAsia="en-US" w:bidi="ar-SA"/>
      </w:rPr>
    </w:lvl>
    <w:lvl w:ilvl="4" w:tplc="60BA4C76">
      <w:numFmt w:val="bullet"/>
      <w:lvlText w:val="•"/>
      <w:lvlJc w:val="left"/>
      <w:pPr>
        <w:ind w:left="1647" w:hanging="284"/>
      </w:pPr>
      <w:rPr>
        <w:rFonts w:hint="default"/>
        <w:lang w:val="en-US" w:eastAsia="en-US" w:bidi="ar-SA"/>
      </w:rPr>
    </w:lvl>
    <w:lvl w:ilvl="5" w:tplc="B1908F4A">
      <w:numFmt w:val="bullet"/>
      <w:lvlText w:val="•"/>
      <w:lvlJc w:val="left"/>
      <w:pPr>
        <w:ind w:left="1944" w:hanging="284"/>
      </w:pPr>
      <w:rPr>
        <w:rFonts w:hint="default"/>
        <w:lang w:val="en-US" w:eastAsia="en-US" w:bidi="ar-SA"/>
      </w:rPr>
    </w:lvl>
    <w:lvl w:ilvl="6" w:tplc="B128E30A">
      <w:numFmt w:val="bullet"/>
      <w:lvlText w:val="•"/>
      <w:lvlJc w:val="left"/>
      <w:pPr>
        <w:ind w:left="2240" w:hanging="284"/>
      </w:pPr>
      <w:rPr>
        <w:rFonts w:hint="default"/>
        <w:lang w:val="en-US" w:eastAsia="en-US" w:bidi="ar-SA"/>
      </w:rPr>
    </w:lvl>
    <w:lvl w:ilvl="7" w:tplc="AB94B6A2">
      <w:numFmt w:val="bullet"/>
      <w:lvlText w:val="•"/>
      <w:lvlJc w:val="left"/>
      <w:pPr>
        <w:ind w:left="2537" w:hanging="284"/>
      </w:pPr>
      <w:rPr>
        <w:rFonts w:hint="default"/>
        <w:lang w:val="en-US" w:eastAsia="en-US" w:bidi="ar-SA"/>
      </w:rPr>
    </w:lvl>
    <w:lvl w:ilvl="8" w:tplc="E2F46AB0">
      <w:numFmt w:val="bullet"/>
      <w:lvlText w:val="•"/>
      <w:lvlJc w:val="left"/>
      <w:pPr>
        <w:ind w:left="2834" w:hanging="284"/>
      </w:pPr>
      <w:rPr>
        <w:rFonts w:hint="default"/>
        <w:lang w:val="en-US" w:eastAsia="en-US" w:bidi="ar-SA"/>
      </w:rPr>
    </w:lvl>
  </w:abstractNum>
  <w:abstractNum w:abstractNumId="240" w15:restartNumberingAfterBreak="0">
    <w:nsid w:val="38D21990"/>
    <w:multiLevelType w:val="hybridMultilevel"/>
    <w:tmpl w:val="9CE6C962"/>
    <w:lvl w:ilvl="0" w:tplc="471C7292">
      <w:numFmt w:val="bullet"/>
      <w:lvlText w:val=""/>
      <w:lvlJc w:val="left"/>
      <w:pPr>
        <w:ind w:left="433" w:hanging="284"/>
      </w:pPr>
      <w:rPr>
        <w:rFonts w:ascii="Symbol" w:eastAsia="Symbol" w:hAnsi="Symbol" w:cs="Symbol" w:hint="default"/>
        <w:b w:val="0"/>
        <w:bCs w:val="0"/>
        <w:i w:val="0"/>
        <w:iCs w:val="0"/>
        <w:color w:val="70004A"/>
        <w:spacing w:val="0"/>
        <w:w w:val="100"/>
        <w:sz w:val="18"/>
        <w:szCs w:val="18"/>
        <w:lang w:val="en-US" w:eastAsia="en-US" w:bidi="ar-SA"/>
      </w:rPr>
    </w:lvl>
    <w:lvl w:ilvl="1" w:tplc="A6D4A914">
      <w:numFmt w:val="bullet"/>
      <w:lvlText w:val="•"/>
      <w:lvlJc w:val="left"/>
      <w:pPr>
        <w:ind w:left="632" w:hanging="284"/>
      </w:pPr>
      <w:rPr>
        <w:rFonts w:hint="default"/>
        <w:lang w:val="en-US" w:eastAsia="en-US" w:bidi="ar-SA"/>
      </w:rPr>
    </w:lvl>
    <w:lvl w:ilvl="2" w:tplc="0410166A">
      <w:numFmt w:val="bullet"/>
      <w:lvlText w:val="•"/>
      <w:lvlJc w:val="left"/>
      <w:pPr>
        <w:ind w:left="824" w:hanging="284"/>
      </w:pPr>
      <w:rPr>
        <w:rFonts w:hint="default"/>
        <w:lang w:val="en-US" w:eastAsia="en-US" w:bidi="ar-SA"/>
      </w:rPr>
    </w:lvl>
    <w:lvl w:ilvl="3" w:tplc="3188AF9E">
      <w:numFmt w:val="bullet"/>
      <w:lvlText w:val="•"/>
      <w:lvlJc w:val="left"/>
      <w:pPr>
        <w:ind w:left="1017" w:hanging="284"/>
      </w:pPr>
      <w:rPr>
        <w:rFonts w:hint="default"/>
        <w:lang w:val="en-US" w:eastAsia="en-US" w:bidi="ar-SA"/>
      </w:rPr>
    </w:lvl>
    <w:lvl w:ilvl="4" w:tplc="B8541238">
      <w:numFmt w:val="bullet"/>
      <w:lvlText w:val="•"/>
      <w:lvlJc w:val="left"/>
      <w:pPr>
        <w:ind w:left="1209" w:hanging="284"/>
      </w:pPr>
      <w:rPr>
        <w:rFonts w:hint="default"/>
        <w:lang w:val="en-US" w:eastAsia="en-US" w:bidi="ar-SA"/>
      </w:rPr>
    </w:lvl>
    <w:lvl w:ilvl="5" w:tplc="3F260FDC">
      <w:numFmt w:val="bullet"/>
      <w:lvlText w:val="•"/>
      <w:lvlJc w:val="left"/>
      <w:pPr>
        <w:ind w:left="1402" w:hanging="284"/>
      </w:pPr>
      <w:rPr>
        <w:rFonts w:hint="default"/>
        <w:lang w:val="en-US" w:eastAsia="en-US" w:bidi="ar-SA"/>
      </w:rPr>
    </w:lvl>
    <w:lvl w:ilvl="6" w:tplc="CFCA257A">
      <w:numFmt w:val="bullet"/>
      <w:lvlText w:val="•"/>
      <w:lvlJc w:val="left"/>
      <w:pPr>
        <w:ind w:left="1594" w:hanging="284"/>
      </w:pPr>
      <w:rPr>
        <w:rFonts w:hint="default"/>
        <w:lang w:val="en-US" w:eastAsia="en-US" w:bidi="ar-SA"/>
      </w:rPr>
    </w:lvl>
    <w:lvl w:ilvl="7" w:tplc="32C89908">
      <w:numFmt w:val="bullet"/>
      <w:lvlText w:val="•"/>
      <w:lvlJc w:val="left"/>
      <w:pPr>
        <w:ind w:left="1786" w:hanging="284"/>
      </w:pPr>
      <w:rPr>
        <w:rFonts w:hint="default"/>
        <w:lang w:val="en-US" w:eastAsia="en-US" w:bidi="ar-SA"/>
      </w:rPr>
    </w:lvl>
    <w:lvl w:ilvl="8" w:tplc="551A4A6C">
      <w:numFmt w:val="bullet"/>
      <w:lvlText w:val="•"/>
      <w:lvlJc w:val="left"/>
      <w:pPr>
        <w:ind w:left="1979" w:hanging="284"/>
      </w:pPr>
      <w:rPr>
        <w:rFonts w:hint="default"/>
        <w:lang w:val="en-US" w:eastAsia="en-US" w:bidi="ar-SA"/>
      </w:rPr>
    </w:lvl>
  </w:abstractNum>
  <w:abstractNum w:abstractNumId="241" w15:restartNumberingAfterBreak="0">
    <w:nsid w:val="396F0EC4"/>
    <w:multiLevelType w:val="hybridMultilevel"/>
    <w:tmpl w:val="36CA3C36"/>
    <w:lvl w:ilvl="0" w:tplc="303258AA">
      <w:numFmt w:val="bullet"/>
      <w:lvlText w:val=""/>
      <w:lvlJc w:val="left"/>
      <w:pPr>
        <w:ind w:left="491" w:hanging="284"/>
      </w:pPr>
      <w:rPr>
        <w:rFonts w:ascii="Symbol" w:eastAsia="Symbol" w:hAnsi="Symbol" w:cs="Symbol" w:hint="default"/>
        <w:b w:val="0"/>
        <w:bCs w:val="0"/>
        <w:i w:val="0"/>
        <w:iCs w:val="0"/>
        <w:color w:val="70004A"/>
        <w:spacing w:val="0"/>
        <w:w w:val="100"/>
        <w:sz w:val="18"/>
        <w:szCs w:val="18"/>
        <w:lang w:val="en-US" w:eastAsia="en-US" w:bidi="ar-SA"/>
      </w:rPr>
    </w:lvl>
    <w:lvl w:ilvl="1" w:tplc="CDE08424">
      <w:numFmt w:val="bullet"/>
      <w:lvlText w:val="•"/>
      <w:lvlJc w:val="left"/>
      <w:pPr>
        <w:ind w:left="766" w:hanging="284"/>
      </w:pPr>
      <w:rPr>
        <w:rFonts w:hint="default"/>
        <w:lang w:val="en-US" w:eastAsia="en-US" w:bidi="ar-SA"/>
      </w:rPr>
    </w:lvl>
    <w:lvl w:ilvl="2" w:tplc="D406875C">
      <w:numFmt w:val="bullet"/>
      <w:lvlText w:val="•"/>
      <w:lvlJc w:val="left"/>
      <w:pPr>
        <w:ind w:left="1033" w:hanging="284"/>
      </w:pPr>
      <w:rPr>
        <w:rFonts w:hint="default"/>
        <w:lang w:val="en-US" w:eastAsia="en-US" w:bidi="ar-SA"/>
      </w:rPr>
    </w:lvl>
    <w:lvl w:ilvl="3" w:tplc="5CDCDB7E">
      <w:numFmt w:val="bullet"/>
      <w:lvlText w:val="•"/>
      <w:lvlJc w:val="left"/>
      <w:pPr>
        <w:ind w:left="1300" w:hanging="284"/>
      </w:pPr>
      <w:rPr>
        <w:rFonts w:hint="default"/>
        <w:lang w:val="en-US" w:eastAsia="en-US" w:bidi="ar-SA"/>
      </w:rPr>
    </w:lvl>
    <w:lvl w:ilvl="4" w:tplc="EA06AF00">
      <w:numFmt w:val="bullet"/>
      <w:lvlText w:val="•"/>
      <w:lvlJc w:val="left"/>
      <w:pPr>
        <w:ind w:left="1567" w:hanging="284"/>
      </w:pPr>
      <w:rPr>
        <w:rFonts w:hint="default"/>
        <w:lang w:val="en-US" w:eastAsia="en-US" w:bidi="ar-SA"/>
      </w:rPr>
    </w:lvl>
    <w:lvl w:ilvl="5" w:tplc="2376C1CC">
      <w:numFmt w:val="bullet"/>
      <w:lvlText w:val="•"/>
      <w:lvlJc w:val="left"/>
      <w:pPr>
        <w:ind w:left="1834" w:hanging="284"/>
      </w:pPr>
      <w:rPr>
        <w:rFonts w:hint="default"/>
        <w:lang w:val="en-US" w:eastAsia="en-US" w:bidi="ar-SA"/>
      </w:rPr>
    </w:lvl>
    <w:lvl w:ilvl="6" w:tplc="63CAB54E">
      <w:numFmt w:val="bullet"/>
      <w:lvlText w:val="•"/>
      <w:lvlJc w:val="left"/>
      <w:pPr>
        <w:ind w:left="2100" w:hanging="284"/>
      </w:pPr>
      <w:rPr>
        <w:rFonts w:hint="default"/>
        <w:lang w:val="en-US" w:eastAsia="en-US" w:bidi="ar-SA"/>
      </w:rPr>
    </w:lvl>
    <w:lvl w:ilvl="7" w:tplc="F6B89B46">
      <w:numFmt w:val="bullet"/>
      <w:lvlText w:val="•"/>
      <w:lvlJc w:val="left"/>
      <w:pPr>
        <w:ind w:left="2367" w:hanging="284"/>
      </w:pPr>
      <w:rPr>
        <w:rFonts w:hint="default"/>
        <w:lang w:val="en-US" w:eastAsia="en-US" w:bidi="ar-SA"/>
      </w:rPr>
    </w:lvl>
    <w:lvl w:ilvl="8" w:tplc="4364D2F4">
      <w:numFmt w:val="bullet"/>
      <w:lvlText w:val="•"/>
      <w:lvlJc w:val="left"/>
      <w:pPr>
        <w:ind w:left="2634" w:hanging="284"/>
      </w:pPr>
      <w:rPr>
        <w:rFonts w:hint="default"/>
        <w:lang w:val="en-US" w:eastAsia="en-US" w:bidi="ar-SA"/>
      </w:rPr>
    </w:lvl>
  </w:abstractNum>
  <w:abstractNum w:abstractNumId="242" w15:restartNumberingAfterBreak="0">
    <w:nsid w:val="3970351F"/>
    <w:multiLevelType w:val="hybridMultilevel"/>
    <w:tmpl w:val="6A1C468E"/>
    <w:lvl w:ilvl="0" w:tplc="1BDC3C1E">
      <w:numFmt w:val="bullet"/>
      <w:lvlText w:val=""/>
      <w:lvlJc w:val="left"/>
      <w:pPr>
        <w:ind w:left="452" w:hanging="284"/>
      </w:pPr>
      <w:rPr>
        <w:rFonts w:ascii="Symbol" w:eastAsia="Symbol" w:hAnsi="Symbol" w:cs="Symbol" w:hint="default"/>
        <w:b w:val="0"/>
        <w:bCs w:val="0"/>
        <w:i w:val="0"/>
        <w:iCs w:val="0"/>
        <w:color w:val="70004A"/>
        <w:spacing w:val="0"/>
        <w:w w:val="100"/>
        <w:sz w:val="18"/>
        <w:szCs w:val="18"/>
        <w:lang w:val="en-US" w:eastAsia="en-US" w:bidi="ar-SA"/>
      </w:rPr>
    </w:lvl>
    <w:lvl w:ilvl="1" w:tplc="D3F4C2C8">
      <w:numFmt w:val="bullet"/>
      <w:lvlText w:val="•"/>
      <w:lvlJc w:val="left"/>
      <w:pPr>
        <w:ind w:left="726" w:hanging="284"/>
      </w:pPr>
      <w:rPr>
        <w:rFonts w:hint="default"/>
        <w:lang w:val="en-US" w:eastAsia="en-US" w:bidi="ar-SA"/>
      </w:rPr>
    </w:lvl>
    <w:lvl w:ilvl="2" w:tplc="0552698E">
      <w:numFmt w:val="bullet"/>
      <w:lvlText w:val="•"/>
      <w:lvlJc w:val="left"/>
      <w:pPr>
        <w:ind w:left="993" w:hanging="284"/>
      </w:pPr>
      <w:rPr>
        <w:rFonts w:hint="default"/>
        <w:lang w:val="en-US" w:eastAsia="en-US" w:bidi="ar-SA"/>
      </w:rPr>
    </w:lvl>
    <w:lvl w:ilvl="3" w:tplc="0986A944">
      <w:numFmt w:val="bullet"/>
      <w:lvlText w:val="•"/>
      <w:lvlJc w:val="left"/>
      <w:pPr>
        <w:ind w:left="1260" w:hanging="284"/>
      </w:pPr>
      <w:rPr>
        <w:rFonts w:hint="default"/>
        <w:lang w:val="en-US" w:eastAsia="en-US" w:bidi="ar-SA"/>
      </w:rPr>
    </w:lvl>
    <w:lvl w:ilvl="4" w:tplc="3D32EFB2">
      <w:numFmt w:val="bullet"/>
      <w:lvlText w:val="•"/>
      <w:lvlJc w:val="left"/>
      <w:pPr>
        <w:ind w:left="1527" w:hanging="284"/>
      </w:pPr>
      <w:rPr>
        <w:rFonts w:hint="default"/>
        <w:lang w:val="en-US" w:eastAsia="en-US" w:bidi="ar-SA"/>
      </w:rPr>
    </w:lvl>
    <w:lvl w:ilvl="5" w:tplc="30AED426">
      <w:numFmt w:val="bullet"/>
      <w:lvlText w:val="•"/>
      <w:lvlJc w:val="left"/>
      <w:pPr>
        <w:ind w:left="1794" w:hanging="284"/>
      </w:pPr>
      <w:rPr>
        <w:rFonts w:hint="default"/>
        <w:lang w:val="en-US" w:eastAsia="en-US" w:bidi="ar-SA"/>
      </w:rPr>
    </w:lvl>
    <w:lvl w:ilvl="6" w:tplc="460EE6AE">
      <w:numFmt w:val="bullet"/>
      <w:lvlText w:val="•"/>
      <w:lvlJc w:val="left"/>
      <w:pPr>
        <w:ind w:left="2060" w:hanging="284"/>
      </w:pPr>
      <w:rPr>
        <w:rFonts w:hint="default"/>
        <w:lang w:val="en-US" w:eastAsia="en-US" w:bidi="ar-SA"/>
      </w:rPr>
    </w:lvl>
    <w:lvl w:ilvl="7" w:tplc="60F8A078">
      <w:numFmt w:val="bullet"/>
      <w:lvlText w:val="•"/>
      <w:lvlJc w:val="left"/>
      <w:pPr>
        <w:ind w:left="2327" w:hanging="284"/>
      </w:pPr>
      <w:rPr>
        <w:rFonts w:hint="default"/>
        <w:lang w:val="en-US" w:eastAsia="en-US" w:bidi="ar-SA"/>
      </w:rPr>
    </w:lvl>
    <w:lvl w:ilvl="8" w:tplc="C776A4D4">
      <w:numFmt w:val="bullet"/>
      <w:lvlText w:val="•"/>
      <w:lvlJc w:val="left"/>
      <w:pPr>
        <w:ind w:left="2594" w:hanging="284"/>
      </w:pPr>
      <w:rPr>
        <w:rFonts w:hint="default"/>
        <w:lang w:val="en-US" w:eastAsia="en-US" w:bidi="ar-SA"/>
      </w:rPr>
    </w:lvl>
  </w:abstractNum>
  <w:abstractNum w:abstractNumId="243" w15:restartNumberingAfterBreak="0">
    <w:nsid w:val="397B75F2"/>
    <w:multiLevelType w:val="hybridMultilevel"/>
    <w:tmpl w:val="3CD080F4"/>
    <w:lvl w:ilvl="0" w:tplc="8662FAE2">
      <w:numFmt w:val="bullet"/>
      <w:lvlText w:val=""/>
      <w:lvlJc w:val="left"/>
      <w:pPr>
        <w:ind w:left="421" w:hanging="284"/>
      </w:pPr>
      <w:rPr>
        <w:rFonts w:ascii="Symbol" w:eastAsia="Symbol" w:hAnsi="Symbol" w:cs="Symbol" w:hint="default"/>
        <w:b w:val="0"/>
        <w:bCs w:val="0"/>
        <w:i w:val="0"/>
        <w:iCs w:val="0"/>
        <w:color w:val="70004A"/>
        <w:spacing w:val="0"/>
        <w:w w:val="100"/>
        <w:sz w:val="18"/>
        <w:szCs w:val="18"/>
        <w:lang w:val="en-US" w:eastAsia="en-US" w:bidi="ar-SA"/>
      </w:rPr>
    </w:lvl>
    <w:lvl w:ilvl="1" w:tplc="7C7AC4E4">
      <w:numFmt w:val="bullet"/>
      <w:lvlText w:val="•"/>
      <w:lvlJc w:val="left"/>
      <w:pPr>
        <w:ind w:left="617" w:hanging="284"/>
      </w:pPr>
      <w:rPr>
        <w:rFonts w:hint="default"/>
        <w:lang w:val="en-US" w:eastAsia="en-US" w:bidi="ar-SA"/>
      </w:rPr>
    </w:lvl>
    <w:lvl w:ilvl="2" w:tplc="ED58073C">
      <w:numFmt w:val="bullet"/>
      <w:lvlText w:val="•"/>
      <w:lvlJc w:val="left"/>
      <w:pPr>
        <w:ind w:left="814" w:hanging="284"/>
      </w:pPr>
      <w:rPr>
        <w:rFonts w:hint="default"/>
        <w:lang w:val="en-US" w:eastAsia="en-US" w:bidi="ar-SA"/>
      </w:rPr>
    </w:lvl>
    <w:lvl w:ilvl="3" w:tplc="EBD4CBA6">
      <w:numFmt w:val="bullet"/>
      <w:lvlText w:val="•"/>
      <w:lvlJc w:val="left"/>
      <w:pPr>
        <w:ind w:left="1011" w:hanging="284"/>
      </w:pPr>
      <w:rPr>
        <w:rFonts w:hint="default"/>
        <w:lang w:val="en-US" w:eastAsia="en-US" w:bidi="ar-SA"/>
      </w:rPr>
    </w:lvl>
    <w:lvl w:ilvl="4" w:tplc="50E60DE4">
      <w:numFmt w:val="bullet"/>
      <w:lvlText w:val="•"/>
      <w:lvlJc w:val="left"/>
      <w:pPr>
        <w:ind w:left="1208" w:hanging="284"/>
      </w:pPr>
      <w:rPr>
        <w:rFonts w:hint="default"/>
        <w:lang w:val="en-US" w:eastAsia="en-US" w:bidi="ar-SA"/>
      </w:rPr>
    </w:lvl>
    <w:lvl w:ilvl="5" w:tplc="4048858A">
      <w:numFmt w:val="bullet"/>
      <w:lvlText w:val="•"/>
      <w:lvlJc w:val="left"/>
      <w:pPr>
        <w:ind w:left="1406" w:hanging="284"/>
      </w:pPr>
      <w:rPr>
        <w:rFonts w:hint="default"/>
        <w:lang w:val="en-US" w:eastAsia="en-US" w:bidi="ar-SA"/>
      </w:rPr>
    </w:lvl>
    <w:lvl w:ilvl="6" w:tplc="A01E1E6A">
      <w:numFmt w:val="bullet"/>
      <w:lvlText w:val="•"/>
      <w:lvlJc w:val="left"/>
      <w:pPr>
        <w:ind w:left="1603" w:hanging="284"/>
      </w:pPr>
      <w:rPr>
        <w:rFonts w:hint="default"/>
        <w:lang w:val="en-US" w:eastAsia="en-US" w:bidi="ar-SA"/>
      </w:rPr>
    </w:lvl>
    <w:lvl w:ilvl="7" w:tplc="2E2003C0">
      <w:numFmt w:val="bullet"/>
      <w:lvlText w:val="•"/>
      <w:lvlJc w:val="left"/>
      <w:pPr>
        <w:ind w:left="1800" w:hanging="284"/>
      </w:pPr>
      <w:rPr>
        <w:rFonts w:hint="default"/>
        <w:lang w:val="en-US" w:eastAsia="en-US" w:bidi="ar-SA"/>
      </w:rPr>
    </w:lvl>
    <w:lvl w:ilvl="8" w:tplc="1E4A8512">
      <w:numFmt w:val="bullet"/>
      <w:lvlText w:val="•"/>
      <w:lvlJc w:val="left"/>
      <w:pPr>
        <w:ind w:left="1997" w:hanging="284"/>
      </w:pPr>
      <w:rPr>
        <w:rFonts w:hint="default"/>
        <w:lang w:val="en-US" w:eastAsia="en-US" w:bidi="ar-SA"/>
      </w:rPr>
    </w:lvl>
  </w:abstractNum>
  <w:abstractNum w:abstractNumId="244" w15:restartNumberingAfterBreak="0">
    <w:nsid w:val="399A0416"/>
    <w:multiLevelType w:val="hybridMultilevel"/>
    <w:tmpl w:val="C3981804"/>
    <w:lvl w:ilvl="0" w:tplc="B5201FCE">
      <w:numFmt w:val="bullet"/>
      <w:lvlText w:val=""/>
      <w:lvlJc w:val="left"/>
      <w:pPr>
        <w:ind w:left="393" w:hanging="284"/>
      </w:pPr>
      <w:rPr>
        <w:rFonts w:ascii="Symbol" w:eastAsia="Symbol" w:hAnsi="Symbol" w:cs="Symbol" w:hint="default"/>
        <w:b w:val="0"/>
        <w:bCs w:val="0"/>
        <w:i w:val="0"/>
        <w:iCs w:val="0"/>
        <w:color w:val="70004A"/>
        <w:spacing w:val="0"/>
        <w:w w:val="100"/>
        <w:sz w:val="18"/>
        <w:szCs w:val="18"/>
        <w:lang w:val="en-US" w:eastAsia="en-US" w:bidi="ar-SA"/>
      </w:rPr>
    </w:lvl>
    <w:lvl w:ilvl="1" w:tplc="6E0E7D58">
      <w:numFmt w:val="bullet"/>
      <w:lvlText w:val="•"/>
      <w:lvlJc w:val="left"/>
      <w:pPr>
        <w:ind w:left="622" w:hanging="284"/>
      </w:pPr>
      <w:rPr>
        <w:rFonts w:hint="default"/>
        <w:lang w:val="en-US" w:eastAsia="en-US" w:bidi="ar-SA"/>
      </w:rPr>
    </w:lvl>
    <w:lvl w:ilvl="2" w:tplc="3352429A">
      <w:numFmt w:val="bullet"/>
      <w:lvlText w:val="•"/>
      <w:lvlJc w:val="left"/>
      <w:pPr>
        <w:ind w:left="844" w:hanging="284"/>
      </w:pPr>
      <w:rPr>
        <w:rFonts w:hint="default"/>
        <w:lang w:val="en-US" w:eastAsia="en-US" w:bidi="ar-SA"/>
      </w:rPr>
    </w:lvl>
    <w:lvl w:ilvl="3" w:tplc="5AE20E76">
      <w:numFmt w:val="bullet"/>
      <w:lvlText w:val="•"/>
      <w:lvlJc w:val="left"/>
      <w:pPr>
        <w:ind w:left="1066" w:hanging="284"/>
      </w:pPr>
      <w:rPr>
        <w:rFonts w:hint="default"/>
        <w:lang w:val="en-US" w:eastAsia="en-US" w:bidi="ar-SA"/>
      </w:rPr>
    </w:lvl>
    <w:lvl w:ilvl="4" w:tplc="2D104B9E">
      <w:numFmt w:val="bullet"/>
      <w:lvlText w:val="•"/>
      <w:lvlJc w:val="left"/>
      <w:pPr>
        <w:ind w:left="1289" w:hanging="284"/>
      </w:pPr>
      <w:rPr>
        <w:rFonts w:hint="default"/>
        <w:lang w:val="en-US" w:eastAsia="en-US" w:bidi="ar-SA"/>
      </w:rPr>
    </w:lvl>
    <w:lvl w:ilvl="5" w:tplc="7562A254">
      <w:numFmt w:val="bullet"/>
      <w:lvlText w:val="•"/>
      <w:lvlJc w:val="left"/>
      <w:pPr>
        <w:ind w:left="1511" w:hanging="284"/>
      </w:pPr>
      <w:rPr>
        <w:rFonts w:hint="default"/>
        <w:lang w:val="en-US" w:eastAsia="en-US" w:bidi="ar-SA"/>
      </w:rPr>
    </w:lvl>
    <w:lvl w:ilvl="6" w:tplc="14E01BB0">
      <w:numFmt w:val="bullet"/>
      <w:lvlText w:val="•"/>
      <w:lvlJc w:val="left"/>
      <w:pPr>
        <w:ind w:left="1733" w:hanging="284"/>
      </w:pPr>
      <w:rPr>
        <w:rFonts w:hint="default"/>
        <w:lang w:val="en-US" w:eastAsia="en-US" w:bidi="ar-SA"/>
      </w:rPr>
    </w:lvl>
    <w:lvl w:ilvl="7" w:tplc="7A3A9E80">
      <w:numFmt w:val="bullet"/>
      <w:lvlText w:val="•"/>
      <w:lvlJc w:val="left"/>
      <w:pPr>
        <w:ind w:left="1956" w:hanging="284"/>
      </w:pPr>
      <w:rPr>
        <w:rFonts w:hint="default"/>
        <w:lang w:val="en-US" w:eastAsia="en-US" w:bidi="ar-SA"/>
      </w:rPr>
    </w:lvl>
    <w:lvl w:ilvl="8" w:tplc="2570AC04">
      <w:numFmt w:val="bullet"/>
      <w:lvlText w:val="•"/>
      <w:lvlJc w:val="left"/>
      <w:pPr>
        <w:ind w:left="2178" w:hanging="284"/>
      </w:pPr>
      <w:rPr>
        <w:rFonts w:hint="default"/>
        <w:lang w:val="en-US" w:eastAsia="en-US" w:bidi="ar-SA"/>
      </w:rPr>
    </w:lvl>
  </w:abstractNum>
  <w:abstractNum w:abstractNumId="245" w15:restartNumberingAfterBreak="0">
    <w:nsid w:val="39AC393B"/>
    <w:multiLevelType w:val="hybridMultilevel"/>
    <w:tmpl w:val="A44ED2DE"/>
    <w:lvl w:ilvl="0" w:tplc="0DC248E2">
      <w:numFmt w:val="bullet"/>
      <w:lvlText w:val=""/>
      <w:lvlJc w:val="left"/>
      <w:pPr>
        <w:ind w:left="459" w:hanging="284"/>
      </w:pPr>
      <w:rPr>
        <w:rFonts w:ascii="Symbol" w:eastAsia="Symbol" w:hAnsi="Symbol" w:cs="Symbol" w:hint="default"/>
        <w:b w:val="0"/>
        <w:bCs w:val="0"/>
        <w:i w:val="0"/>
        <w:iCs w:val="0"/>
        <w:color w:val="70004A"/>
        <w:spacing w:val="0"/>
        <w:w w:val="100"/>
        <w:sz w:val="18"/>
        <w:szCs w:val="18"/>
        <w:lang w:val="en-US" w:eastAsia="en-US" w:bidi="ar-SA"/>
      </w:rPr>
    </w:lvl>
    <w:lvl w:ilvl="1" w:tplc="727C5A2A">
      <w:numFmt w:val="bullet"/>
      <w:lvlText w:val="•"/>
      <w:lvlJc w:val="left"/>
      <w:pPr>
        <w:ind w:left="790" w:hanging="284"/>
      </w:pPr>
      <w:rPr>
        <w:rFonts w:hint="default"/>
        <w:lang w:val="en-US" w:eastAsia="en-US" w:bidi="ar-SA"/>
      </w:rPr>
    </w:lvl>
    <w:lvl w:ilvl="2" w:tplc="5516B694">
      <w:numFmt w:val="bullet"/>
      <w:lvlText w:val="•"/>
      <w:lvlJc w:val="left"/>
      <w:pPr>
        <w:ind w:left="1120" w:hanging="284"/>
      </w:pPr>
      <w:rPr>
        <w:rFonts w:hint="default"/>
        <w:lang w:val="en-US" w:eastAsia="en-US" w:bidi="ar-SA"/>
      </w:rPr>
    </w:lvl>
    <w:lvl w:ilvl="3" w:tplc="E0D60702">
      <w:numFmt w:val="bullet"/>
      <w:lvlText w:val="•"/>
      <w:lvlJc w:val="left"/>
      <w:pPr>
        <w:ind w:left="1451" w:hanging="284"/>
      </w:pPr>
      <w:rPr>
        <w:rFonts w:hint="default"/>
        <w:lang w:val="en-US" w:eastAsia="en-US" w:bidi="ar-SA"/>
      </w:rPr>
    </w:lvl>
    <w:lvl w:ilvl="4" w:tplc="3F8AF8C8">
      <w:numFmt w:val="bullet"/>
      <w:lvlText w:val="•"/>
      <w:lvlJc w:val="left"/>
      <w:pPr>
        <w:ind w:left="1781" w:hanging="284"/>
      </w:pPr>
      <w:rPr>
        <w:rFonts w:hint="default"/>
        <w:lang w:val="en-US" w:eastAsia="en-US" w:bidi="ar-SA"/>
      </w:rPr>
    </w:lvl>
    <w:lvl w:ilvl="5" w:tplc="92B49AB2">
      <w:numFmt w:val="bullet"/>
      <w:lvlText w:val="•"/>
      <w:lvlJc w:val="left"/>
      <w:pPr>
        <w:ind w:left="2112" w:hanging="284"/>
      </w:pPr>
      <w:rPr>
        <w:rFonts w:hint="default"/>
        <w:lang w:val="en-US" w:eastAsia="en-US" w:bidi="ar-SA"/>
      </w:rPr>
    </w:lvl>
    <w:lvl w:ilvl="6" w:tplc="104C9EA2">
      <w:numFmt w:val="bullet"/>
      <w:lvlText w:val="•"/>
      <w:lvlJc w:val="left"/>
      <w:pPr>
        <w:ind w:left="2442" w:hanging="284"/>
      </w:pPr>
      <w:rPr>
        <w:rFonts w:hint="default"/>
        <w:lang w:val="en-US" w:eastAsia="en-US" w:bidi="ar-SA"/>
      </w:rPr>
    </w:lvl>
    <w:lvl w:ilvl="7" w:tplc="4002F2F0">
      <w:numFmt w:val="bullet"/>
      <w:lvlText w:val="•"/>
      <w:lvlJc w:val="left"/>
      <w:pPr>
        <w:ind w:left="2772" w:hanging="284"/>
      </w:pPr>
      <w:rPr>
        <w:rFonts w:hint="default"/>
        <w:lang w:val="en-US" w:eastAsia="en-US" w:bidi="ar-SA"/>
      </w:rPr>
    </w:lvl>
    <w:lvl w:ilvl="8" w:tplc="A350DFD2">
      <w:numFmt w:val="bullet"/>
      <w:lvlText w:val="•"/>
      <w:lvlJc w:val="left"/>
      <w:pPr>
        <w:ind w:left="3103" w:hanging="284"/>
      </w:pPr>
      <w:rPr>
        <w:rFonts w:hint="default"/>
        <w:lang w:val="en-US" w:eastAsia="en-US" w:bidi="ar-SA"/>
      </w:rPr>
    </w:lvl>
  </w:abstractNum>
  <w:abstractNum w:abstractNumId="246" w15:restartNumberingAfterBreak="0">
    <w:nsid w:val="39C46293"/>
    <w:multiLevelType w:val="hybridMultilevel"/>
    <w:tmpl w:val="C93C8030"/>
    <w:lvl w:ilvl="0" w:tplc="439E7A7E">
      <w:numFmt w:val="bullet"/>
      <w:lvlText w:val=""/>
      <w:lvlJc w:val="left"/>
      <w:pPr>
        <w:ind w:left="861" w:hanging="360"/>
      </w:pPr>
      <w:rPr>
        <w:rFonts w:ascii="Symbol" w:eastAsia="Symbol" w:hAnsi="Symbol" w:cs="Symbol" w:hint="default"/>
        <w:b w:val="0"/>
        <w:bCs w:val="0"/>
        <w:i w:val="0"/>
        <w:iCs w:val="0"/>
        <w:color w:val="211E1F"/>
        <w:spacing w:val="0"/>
        <w:w w:val="100"/>
        <w:sz w:val="20"/>
        <w:szCs w:val="20"/>
        <w:lang w:val="en-US" w:eastAsia="en-US" w:bidi="ar-SA"/>
      </w:rPr>
    </w:lvl>
    <w:lvl w:ilvl="1" w:tplc="C7442F2E">
      <w:numFmt w:val="bullet"/>
      <w:lvlText w:val="•"/>
      <w:lvlJc w:val="left"/>
      <w:pPr>
        <w:ind w:left="1766" w:hanging="360"/>
      </w:pPr>
      <w:rPr>
        <w:rFonts w:hint="default"/>
        <w:lang w:val="en-US" w:eastAsia="en-US" w:bidi="ar-SA"/>
      </w:rPr>
    </w:lvl>
    <w:lvl w:ilvl="2" w:tplc="5D54F720">
      <w:numFmt w:val="bullet"/>
      <w:lvlText w:val="•"/>
      <w:lvlJc w:val="left"/>
      <w:pPr>
        <w:ind w:left="2672" w:hanging="360"/>
      </w:pPr>
      <w:rPr>
        <w:rFonts w:hint="default"/>
        <w:lang w:val="en-US" w:eastAsia="en-US" w:bidi="ar-SA"/>
      </w:rPr>
    </w:lvl>
    <w:lvl w:ilvl="3" w:tplc="0C92B9A6">
      <w:numFmt w:val="bullet"/>
      <w:lvlText w:val="•"/>
      <w:lvlJc w:val="left"/>
      <w:pPr>
        <w:ind w:left="3578" w:hanging="360"/>
      </w:pPr>
      <w:rPr>
        <w:rFonts w:hint="default"/>
        <w:lang w:val="en-US" w:eastAsia="en-US" w:bidi="ar-SA"/>
      </w:rPr>
    </w:lvl>
    <w:lvl w:ilvl="4" w:tplc="A9BAE4CA">
      <w:numFmt w:val="bullet"/>
      <w:lvlText w:val="•"/>
      <w:lvlJc w:val="left"/>
      <w:pPr>
        <w:ind w:left="4484" w:hanging="360"/>
      </w:pPr>
      <w:rPr>
        <w:rFonts w:hint="default"/>
        <w:lang w:val="en-US" w:eastAsia="en-US" w:bidi="ar-SA"/>
      </w:rPr>
    </w:lvl>
    <w:lvl w:ilvl="5" w:tplc="953C82E0">
      <w:numFmt w:val="bullet"/>
      <w:lvlText w:val="•"/>
      <w:lvlJc w:val="left"/>
      <w:pPr>
        <w:ind w:left="5391" w:hanging="360"/>
      </w:pPr>
      <w:rPr>
        <w:rFonts w:hint="default"/>
        <w:lang w:val="en-US" w:eastAsia="en-US" w:bidi="ar-SA"/>
      </w:rPr>
    </w:lvl>
    <w:lvl w:ilvl="6" w:tplc="62B4EB7E">
      <w:numFmt w:val="bullet"/>
      <w:lvlText w:val="•"/>
      <w:lvlJc w:val="left"/>
      <w:pPr>
        <w:ind w:left="6297" w:hanging="360"/>
      </w:pPr>
      <w:rPr>
        <w:rFonts w:hint="default"/>
        <w:lang w:val="en-US" w:eastAsia="en-US" w:bidi="ar-SA"/>
      </w:rPr>
    </w:lvl>
    <w:lvl w:ilvl="7" w:tplc="C09CD712">
      <w:numFmt w:val="bullet"/>
      <w:lvlText w:val="•"/>
      <w:lvlJc w:val="left"/>
      <w:pPr>
        <w:ind w:left="7203" w:hanging="360"/>
      </w:pPr>
      <w:rPr>
        <w:rFonts w:hint="default"/>
        <w:lang w:val="en-US" w:eastAsia="en-US" w:bidi="ar-SA"/>
      </w:rPr>
    </w:lvl>
    <w:lvl w:ilvl="8" w:tplc="82D25824">
      <w:numFmt w:val="bullet"/>
      <w:lvlText w:val="•"/>
      <w:lvlJc w:val="left"/>
      <w:pPr>
        <w:ind w:left="8109" w:hanging="360"/>
      </w:pPr>
      <w:rPr>
        <w:rFonts w:hint="default"/>
        <w:lang w:val="en-US" w:eastAsia="en-US" w:bidi="ar-SA"/>
      </w:rPr>
    </w:lvl>
  </w:abstractNum>
  <w:abstractNum w:abstractNumId="247" w15:restartNumberingAfterBreak="0">
    <w:nsid w:val="3A091E52"/>
    <w:multiLevelType w:val="hybridMultilevel"/>
    <w:tmpl w:val="E3F4CAA6"/>
    <w:lvl w:ilvl="0" w:tplc="B762CBB4">
      <w:numFmt w:val="bullet"/>
      <w:lvlText w:val=""/>
      <w:lvlJc w:val="left"/>
      <w:pPr>
        <w:ind w:left="501" w:hanging="360"/>
      </w:pPr>
      <w:rPr>
        <w:rFonts w:ascii="Symbol" w:eastAsia="Symbol" w:hAnsi="Symbol" w:cs="Symbol" w:hint="default"/>
        <w:b w:val="0"/>
        <w:bCs w:val="0"/>
        <w:i w:val="0"/>
        <w:iCs w:val="0"/>
        <w:color w:val="211E1F"/>
        <w:spacing w:val="0"/>
        <w:w w:val="100"/>
        <w:sz w:val="20"/>
        <w:szCs w:val="20"/>
        <w:lang w:val="en-US" w:eastAsia="en-US" w:bidi="ar-SA"/>
      </w:rPr>
    </w:lvl>
    <w:lvl w:ilvl="1" w:tplc="717C163A">
      <w:numFmt w:val="bullet"/>
      <w:lvlText w:val="•"/>
      <w:lvlJc w:val="left"/>
      <w:pPr>
        <w:ind w:left="1442" w:hanging="360"/>
      </w:pPr>
      <w:rPr>
        <w:rFonts w:hint="default"/>
        <w:lang w:val="en-US" w:eastAsia="en-US" w:bidi="ar-SA"/>
      </w:rPr>
    </w:lvl>
    <w:lvl w:ilvl="2" w:tplc="2E468332">
      <w:numFmt w:val="bullet"/>
      <w:lvlText w:val="•"/>
      <w:lvlJc w:val="left"/>
      <w:pPr>
        <w:ind w:left="2384" w:hanging="360"/>
      </w:pPr>
      <w:rPr>
        <w:rFonts w:hint="default"/>
        <w:lang w:val="en-US" w:eastAsia="en-US" w:bidi="ar-SA"/>
      </w:rPr>
    </w:lvl>
    <w:lvl w:ilvl="3" w:tplc="A346664E">
      <w:numFmt w:val="bullet"/>
      <w:lvlText w:val="•"/>
      <w:lvlJc w:val="left"/>
      <w:pPr>
        <w:ind w:left="3327" w:hanging="360"/>
      </w:pPr>
      <w:rPr>
        <w:rFonts w:hint="default"/>
        <w:lang w:val="en-US" w:eastAsia="en-US" w:bidi="ar-SA"/>
      </w:rPr>
    </w:lvl>
    <w:lvl w:ilvl="4" w:tplc="1A2095F4">
      <w:numFmt w:val="bullet"/>
      <w:lvlText w:val="•"/>
      <w:lvlJc w:val="left"/>
      <w:pPr>
        <w:ind w:left="4269" w:hanging="360"/>
      </w:pPr>
      <w:rPr>
        <w:rFonts w:hint="default"/>
        <w:lang w:val="en-US" w:eastAsia="en-US" w:bidi="ar-SA"/>
      </w:rPr>
    </w:lvl>
    <w:lvl w:ilvl="5" w:tplc="527CE1F2">
      <w:numFmt w:val="bullet"/>
      <w:lvlText w:val="•"/>
      <w:lvlJc w:val="left"/>
      <w:pPr>
        <w:ind w:left="5211" w:hanging="360"/>
      </w:pPr>
      <w:rPr>
        <w:rFonts w:hint="default"/>
        <w:lang w:val="en-US" w:eastAsia="en-US" w:bidi="ar-SA"/>
      </w:rPr>
    </w:lvl>
    <w:lvl w:ilvl="6" w:tplc="8C4258C0">
      <w:numFmt w:val="bullet"/>
      <w:lvlText w:val="•"/>
      <w:lvlJc w:val="left"/>
      <w:pPr>
        <w:ind w:left="6154" w:hanging="360"/>
      </w:pPr>
      <w:rPr>
        <w:rFonts w:hint="default"/>
        <w:lang w:val="en-US" w:eastAsia="en-US" w:bidi="ar-SA"/>
      </w:rPr>
    </w:lvl>
    <w:lvl w:ilvl="7" w:tplc="583C6806">
      <w:numFmt w:val="bullet"/>
      <w:lvlText w:val="•"/>
      <w:lvlJc w:val="left"/>
      <w:pPr>
        <w:ind w:left="7096" w:hanging="360"/>
      </w:pPr>
      <w:rPr>
        <w:rFonts w:hint="default"/>
        <w:lang w:val="en-US" w:eastAsia="en-US" w:bidi="ar-SA"/>
      </w:rPr>
    </w:lvl>
    <w:lvl w:ilvl="8" w:tplc="49A8140C">
      <w:numFmt w:val="bullet"/>
      <w:lvlText w:val="•"/>
      <w:lvlJc w:val="left"/>
      <w:pPr>
        <w:ind w:left="8038" w:hanging="360"/>
      </w:pPr>
      <w:rPr>
        <w:rFonts w:hint="default"/>
        <w:lang w:val="en-US" w:eastAsia="en-US" w:bidi="ar-SA"/>
      </w:rPr>
    </w:lvl>
  </w:abstractNum>
  <w:abstractNum w:abstractNumId="248" w15:restartNumberingAfterBreak="0">
    <w:nsid w:val="3A1E4019"/>
    <w:multiLevelType w:val="hybridMultilevel"/>
    <w:tmpl w:val="93DCDA56"/>
    <w:lvl w:ilvl="0" w:tplc="99F82A06">
      <w:numFmt w:val="bullet"/>
      <w:lvlText w:val=""/>
      <w:lvlJc w:val="left"/>
      <w:pPr>
        <w:ind w:left="428" w:hanging="284"/>
      </w:pPr>
      <w:rPr>
        <w:rFonts w:ascii="Symbol" w:eastAsia="Symbol" w:hAnsi="Symbol" w:cs="Symbol" w:hint="default"/>
        <w:b w:val="0"/>
        <w:bCs w:val="0"/>
        <w:i w:val="0"/>
        <w:iCs w:val="0"/>
        <w:color w:val="70004A"/>
        <w:spacing w:val="0"/>
        <w:w w:val="100"/>
        <w:sz w:val="18"/>
        <w:szCs w:val="18"/>
        <w:lang w:val="en-US" w:eastAsia="en-US" w:bidi="ar-SA"/>
      </w:rPr>
    </w:lvl>
    <w:lvl w:ilvl="1" w:tplc="AB9877DC">
      <w:numFmt w:val="bullet"/>
      <w:lvlText w:val="•"/>
      <w:lvlJc w:val="left"/>
      <w:pPr>
        <w:ind w:left="606" w:hanging="284"/>
      </w:pPr>
      <w:rPr>
        <w:rFonts w:hint="default"/>
        <w:lang w:val="en-US" w:eastAsia="en-US" w:bidi="ar-SA"/>
      </w:rPr>
    </w:lvl>
    <w:lvl w:ilvl="2" w:tplc="C74C44FC">
      <w:numFmt w:val="bullet"/>
      <w:lvlText w:val="•"/>
      <w:lvlJc w:val="left"/>
      <w:pPr>
        <w:ind w:left="792" w:hanging="284"/>
      </w:pPr>
      <w:rPr>
        <w:rFonts w:hint="default"/>
        <w:lang w:val="en-US" w:eastAsia="en-US" w:bidi="ar-SA"/>
      </w:rPr>
    </w:lvl>
    <w:lvl w:ilvl="3" w:tplc="E62807C8">
      <w:numFmt w:val="bullet"/>
      <w:lvlText w:val="•"/>
      <w:lvlJc w:val="left"/>
      <w:pPr>
        <w:ind w:left="978" w:hanging="284"/>
      </w:pPr>
      <w:rPr>
        <w:rFonts w:hint="default"/>
        <w:lang w:val="en-US" w:eastAsia="en-US" w:bidi="ar-SA"/>
      </w:rPr>
    </w:lvl>
    <w:lvl w:ilvl="4" w:tplc="E4926712">
      <w:numFmt w:val="bullet"/>
      <w:lvlText w:val="•"/>
      <w:lvlJc w:val="left"/>
      <w:pPr>
        <w:ind w:left="1165" w:hanging="284"/>
      </w:pPr>
      <w:rPr>
        <w:rFonts w:hint="default"/>
        <w:lang w:val="en-US" w:eastAsia="en-US" w:bidi="ar-SA"/>
      </w:rPr>
    </w:lvl>
    <w:lvl w:ilvl="5" w:tplc="8340AD78">
      <w:numFmt w:val="bullet"/>
      <w:lvlText w:val="•"/>
      <w:lvlJc w:val="left"/>
      <w:pPr>
        <w:ind w:left="1351" w:hanging="284"/>
      </w:pPr>
      <w:rPr>
        <w:rFonts w:hint="default"/>
        <w:lang w:val="en-US" w:eastAsia="en-US" w:bidi="ar-SA"/>
      </w:rPr>
    </w:lvl>
    <w:lvl w:ilvl="6" w:tplc="446E80D4">
      <w:numFmt w:val="bullet"/>
      <w:lvlText w:val="•"/>
      <w:lvlJc w:val="left"/>
      <w:pPr>
        <w:ind w:left="1537" w:hanging="284"/>
      </w:pPr>
      <w:rPr>
        <w:rFonts w:hint="default"/>
        <w:lang w:val="en-US" w:eastAsia="en-US" w:bidi="ar-SA"/>
      </w:rPr>
    </w:lvl>
    <w:lvl w:ilvl="7" w:tplc="AD62393A">
      <w:numFmt w:val="bullet"/>
      <w:lvlText w:val="•"/>
      <w:lvlJc w:val="left"/>
      <w:pPr>
        <w:ind w:left="1724" w:hanging="284"/>
      </w:pPr>
      <w:rPr>
        <w:rFonts w:hint="default"/>
        <w:lang w:val="en-US" w:eastAsia="en-US" w:bidi="ar-SA"/>
      </w:rPr>
    </w:lvl>
    <w:lvl w:ilvl="8" w:tplc="B364A734">
      <w:numFmt w:val="bullet"/>
      <w:lvlText w:val="•"/>
      <w:lvlJc w:val="left"/>
      <w:pPr>
        <w:ind w:left="1910" w:hanging="284"/>
      </w:pPr>
      <w:rPr>
        <w:rFonts w:hint="default"/>
        <w:lang w:val="en-US" w:eastAsia="en-US" w:bidi="ar-SA"/>
      </w:rPr>
    </w:lvl>
  </w:abstractNum>
  <w:abstractNum w:abstractNumId="249" w15:restartNumberingAfterBreak="0">
    <w:nsid w:val="3AA2275B"/>
    <w:multiLevelType w:val="hybridMultilevel"/>
    <w:tmpl w:val="104EE8BE"/>
    <w:lvl w:ilvl="0" w:tplc="86B079B2">
      <w:numFmt w:val="bullet"/>
      <w:lvlText w:val=""/>
      <w:lvlJc w:val="left"/>
      <w:pPr>
        <w:ind w:left="432" w:hanging="284"/>
      </w:pPr>
      <w:rPr>
        <w:rFonts w:ascii="Symbol" w:eastAsia="Symbol" w:hAnsi="Symbol" w:cs="Symbol" w:hint="default"/>
        <w:b w:val="0"/>
        <w:bCs w:val="0"/>
        <w:i w:val="0"/>
        <w:iCs w:val="0"/>
        <w:color w:val="70004A"/>
        <w:spacing w:val="0"/>
        <w:w w:val="100"/>
        <w:sz w:val="18"/>
        <w:szCs w:val="18"/>
        <w:lang w:val="en-US" w:eastAsia="en-US" w:bidi="ar-SA"/>
      </w:rPr>
    </w:lvl>
    <w:lvl w:ilvl="1" w:tplc="2F542CE2">
      <w:numFmt w:val="bullet"/>
      <w:lvlText w:val="•"/>
      <w:lvlJc w:val="left"/>
      <w:pPr>
        <w:ind w:left="674" w:hanging="284"/>
      </w:pPr>
      <w:rPr>
        <w:rFonts w:hint="default"/>
        <w:lang w:val="en-US" w:eastAsia="en-US" w:bidi="ar-SA"/>
      </w:rPr>
    </w:lvl>
    <w:lvl w:ilvl="2" w:tplc="604E10A4">
      <w:numFmt w:val="bullet"/>
      <w:lvlText w:val="•"/>
      <w:lvlJc w:val="left"/>
      <w:pPr>
        <w:ind w:left="908" w:hanging="284"/>
      </w:pPr>
      <w:rPr>
        <w:rFonts w:hint="default"/>
        <w:lang w:val="en-US" w:eastAsia="en-US" w:bidi="ar-SA"/>
      </w:rPr>
    </w:lvl>
    <w:lvl w:ilvl="3" w:tplc="A8262C0A">
      <w:numFmt w:val="bullet"/>
      <w:lvlText w:val="•"/>
      <w:lvlJc w:val="left"/>
      <w:pPr>
        <w:ind w:left="1142" w:hanging="284"/>
      </w:pPr>
      <w:rPr>
        <w:rFonts w:hint="default"/>
        <w:lang w:val="en-US" w:eastAsia="en-US" w:bidi="ar-SA"/>
      </w:rPr>
    </w:lvl>
    <w:lvl w:ilvl="4" w:tplc="CBF2C21E">
      <w:numFmt w:val="bullet"/>
      <w:lvlText w:val="•"/>
      <w:lvlJc w:val="left"/>
      <w:pPr>
        <w:ind w:left="1376" w:hanging="284"/>
      </w:pPr>
      <w:rPr>
        <w:rFonts w:hint="default"/>
        <w:lang w:val="en-US" w:eastAsia="en-US" w:bidi="ar-SA"/>
      </w:rPr>
    </w:lvl>
    <w:lvl w:ilvl="5" w:tplc="8A3ECE3C">
      <w:numFmt w:val="bullet"/>
      <w:lvlText w:val="•"/>
      <w:lvlJc w:val="left"/>
      <w:pPr>
        <w:ind w:left="1610" w:hanging="284"/>
      </w:pPr>
      <w:rPr>
        <w:rFonts w:hint="default"/>
        <w:lang w:val="en-US" w:eastAsia="en-US" w:bidi="ar-SA"/>
      </w:rPr>
    </w:lvl>
    <w:lvl w:ilvl="6" w:tplc="4BAECB9A">
      <w:numFmt w:val="bullet"/>
      <w:lvlText w:val="•"/>
      <w:lvlJc w:val="left"/>
      <w:pPr>
        <w:ind w:left="1844" w:hanging="284"/>
      </w:pPr>
      <w:rPr>
        <w:rFonts w:hint="default"/>
        <w:lang w:val="en-US" w:eastAsia="en-US" w:bidi="ar-SA"/>
      </w:rPr>
    </w:lvl>
    <w:lvl w:ilvl="7" w:tplc="5CF0D122">
      <w:numFmt w:val="bullet"/>
      <w:lvlText w:val="•"/>
      <w:lvlJc w:val="left"/>
      <w:pPr>
        <w:ind w:left="2078" w:hanging="284"/>
      </w:pPr>
      <w:rPr>
        <w:rFonts w:hint="default"/>
        <w:lang w:val="en-US" w:eastAsia="en-US" w:bidi="ar-SA"/>
      </w:rPr>
    </w:lvl>
    <w:lvl w:ilvl="8" w:tplc="9AE0F6FA">
      <w:numFmt w:val="bullet"/>
      <w:lvlText w:val="•"/>
      <w:lvlJc w:val="left"/>
      <w:pPr>
        <w:ind w:left="2312" w:hanging="284"/>
      </w:pPr>
      <w:rPr>
        <w:rFonts w:hint="default"/>
        <w:lang w:val="en-US" w:eastAsia="en-US" w:bidi="ar-SA"/>
      </w:rPr>
    </w:lvl>
  </w:abstractNum>
  <w:abstractNum w:abstractNumId="250" w15:restartNumberingAfterBreak="0">
    <w:nsid w:val="3AA75797"/>
    <w:multiLevelType w:val="hybridMultilevel"/>
    <w:tmpl w:val="E856EFBE"/>
    <w:lvl w:ilvl="0" w:tplc="F38CE8C0">
      <w:numFmt w:val="bullet"/>
      <w:lvlText w:val=""/>
      <w:lvlJc w:val="left"/>
      <w:pPr>
        <w:ind w:left="393" w:hanging="284"/>
      </w:pPr>
      <w:rPr>
        <w:rFonts w:ascii="Symbol" w:eastAsia="Symbol" w:hAnsi="Symbol" w:cs="Symbol" w:hint="default"/>
        <w:b w:val="0"/>
        <w:bCs w:val="0"/>
        <w:i w:val="0"/>
        <w:iCs w:val="0"/>
        <w:color w:val="70004A"/>
        <w:spacing w:val="0"/>
        <w:w w:val="100"/>
        <w:sz w:val="18"/>
        <w:szCs w:val="18"/>
        <w:lang w:val="en-US" w:eastAsia="en-US" w:bidi="ar-SA"/>
      </w:rPr>
    </w:lvl>
    <w:lvl w:ilvl="1" w:tplc="9662B52E">
      <w:numFmt w:val="bullet"/>
      <w:lvlText w:val="•"/>
      <w:lvlJc w:val="left"/>
      <w:pPr>
        <w:ind w:left="622" w:hanging="284"/>
      </w:pPr>
      <w:rPr>
        <w:rFonts w:hint="default"/>
        <w:lang w:val="en-US" w:eastAsia="en-US" w:bidi="ar-SA"/>
      </w:rPr>
    </w:lvl>
    <w:lvl w:ilvl="2" w:tplc="44967F80">
      <w:numFmt w:val="bullet"/>
      <w:lvlText w:val="•"/>
      <w:lvlJc w:val="left"/>
      <w:pPr>
        <w:ind w:left="845" w:hanging="284"/>
      </w:pPr>
      <w:rPr>
        <w:rFonts w:hint="default"/>
        <w:lang w:val="en-US" w:eastAsia="en-US" w:bidi="ar-SA"/>
      </w:rPr>
    </w:lvl>
    <w:lvl w:ilvl="3" w:tplc="C5B07E5C">
      <w:numFmt w:val="bullet"/>
      <w:lvlText w:val="•"/>
      <w:lvlJc w:val="left"/>
      <w:pPr>
        <w:ind w:left="1068" w:hanging="284"/>
      </w:pPr>
      <w:rPr>
        <w:rFonts w:hint="default"/>
        <w:lang w:val="en-US" w:eastAsia="en-US" w:bidi="ar-SA"/>
      </w:rPr>
    </w:lvl>
    <w:lvl w:ilvl="4" w:tplc="15360B26">
      <w:numFmt w:val="bullet"/>
      <w:lvlText w:val="•"/>
      <w:lvlJc w:val="left"/>
      <w:pPr>
        <w:ind w:left="1291" w:hanging="284"/>
      </w:pPr>
      <w:rPr>
        <w:rFonts w:hint="default"/>
        <w:lang w:val="en-US" w:eastAsia="en-US" w:bidi="ar-SA"/>
      </w:rPr>
    </w:lvl>
    <w:lvl w:ilvl="5" w:tplc="09207C20">
      <w:numFmt w:val="bullet"/>
      <w:lvlText w:val="•"/>
      <w:lvlJc w:val="left"/>
      <w:pPr>
        <w:ind w:left="1514" w:hanging="284"/>
      </w:pPr>
      <w:rPr>
        <w:rFonts w:hint="default"/>
        <w:lang w:val="en-US" w:eastAsia="en-US" w:bidi="ar-SA"/>
      </w:rPr>
    </w:lvl>
    <w:lvl w:ilvl="6" w:tplc="54DA7EFC">
      <w:numFmt w:val="bullet"/>
      <w:lvlText w:val="•"/>
      <w:lvlJc w:val="left"/>
      <w:pPr>
        <w:ind w:left="1737" w:hanging="284"/>
      </w:pPr>
      <w:rPr>
        <w:rFonts w:hint="default"/>
        <w:lang w:val="en-US" w:eastAsia="en-US" w:bidi="ar-SA"/>
      </w:rPr>
    </w:lvl>
    <w:lvl w:ilvl="7" w:tplc="F53CAE78">
      <w:numFmt w:val="bullet"/>
      <w:lvlText w:val="•"/>
      <w:lvlJc w:val="left"/>
      <w:pPr>
        <w:ind w:left="1960" w:hanging="284"/>
      </w:pPr>
      <w:rPr>
        <w:rFonts w:hint="default"/>
        <w:lang w:val="en-US" w:eastAsia="en-US" w:bidi="ar-SA"/>
      </w:rPr>
    </w:lvl>
    <w:lvl w:ilvl="8" w:tplc="C000628A">
      <w:numFmt w:val="bullet"/>
      <w:lvlText w:val="•"/>
      <w:lvlJc w:val="left"/>
      <w:pPr>
        <w:ind w:left="2183" w:hanging="284"/>
      </w:pPr>
      <w:rPr>
        <w:rFonts w:hint="default"/>
        <w:lang w:val="en-US" w:eastAsia="en-US" w:bidi="ar-SA"/>
      </w:rPr>
    </w:lvl>
  </w:abstractNum>
  <w:abstractNum w:abstractNumId="251" w15:restartNumberingAfterBreak="0">
    <w:nsid w:val="3BAE52B5"/>
    <w:multiLevelType w:val="hybridMultilevel"/>
    <w:tmpl w:val="4C560F04"/>
    <w:lvl w:ilvl="0" w:tplc="4BBCB8F4">
      <w:numFmt w:val="bullet"/>
      <w:lvlText w:val=""/>
      <w:lvlJc w:val="left"/>
      <w:pPr>
        <w:ind w:left="440" w:hanging="284"/>
      </w:pPr>
      <w:rPr>
        <w:rFonts w:ascii="Symbol" w:eastAsia="Symbol" w:hAnsi="Symbol" w:cs="Symbol" w:hint="default"/>
        <w:b w:val="0"/>
        <w:bCs w:val="0"/>
        <w:i w:val="0"/>
        <w:iCs w:val="0"/>
        <w:color w:val="70004A"/>
        <w:spacing w:val="0"/>
        <w:w w:val="100"/>
        <w:sz w:val="18"/>
        <w:szCs w:val="18"/>
        <w:lang w:val="en-US" w:eastAsia="en-US" w:bidi="ar-SA"/>
      </w:rPr>
    </w:lvl>
    <w:lvl w:ilvl="1" w:tplc="EE666D98">
      <w:numFmt w:val="bullet"/>
      <w:lvlText w:val="•"/>
      <w:lvlJc w:val="left"/>
      <w:pPr>
        <w:ind w:left="625" w:hanging="284"/>
      </w:pPr>
      <w:rPr>
        <w:rFonts w:hint="default"/>
        <w:lang w:val="en-US" w:eastAsia="en-US" w:bidi="ar-SA"/>
      </w:rPr>
    </w:lvl>
    <w:lvl w:ilvl="2" w:tplc="0220EB34">
      <w:numFmt w:val="bullet"/>
      <w:lvlText w:val="•"/>
      <w:lvlJc w:val="left"/>
      <w:pPr>
        <w:ind w:left="811" w:hanging="284"/>
      </w:pPr>
      <w:rPr>
        <w:rFonts w:hint="default"/>
        <w:lang w:val="en-US" w:eastAsia="en-US" w:bidi="ar-SA"/>
      </w:rPr>
    </w:lvl>
    <w:lvl w:ilvl="3" w:tplc="AF6C4AFE">
      <w:numFmt w:val="bullet"/>
      <w:lvlText w:val="•"/>
      <w:lvlJc w:val="left"/>
      <w:pPr>
        <w:ind w:left="997" w:hanging="284"/>
      </w:pPr>
      <w:rPr>
        <w:rFonts w:hint="default"/>
        <w:lang w:val="en-US" w:eastAsia="en-US" w:bidi="ar-SA"/>
      </w:rPr>
    </w:lvl>
    <w:lvl w:ilvl="4" w:tplc="69ECE776">
      <w:numFmt w:val="bullet"/>
      <w:lvlText w:val="•"/>
      <w:lvlJc w:val="left"/>
      <w:pPr>
        <w:ind w:left="1183" w:hanging="284"/>
      </w:pPr>
      <w:rPr>
        <w:rFonts w:hint="default"/>
        <w:lang w:val="en-US" w:eastAsia="en-US" w:bidi="ar-SA"/>
      </w:rPr>
    </w:lvl>
    <w:lvl w:ilvl="5" w:tplc="49D003F6">
      <w:numFmt w:val="bullet"/>
      <w:lvlText w:val="•"/>
      <w:lvlJc w:val="left"/>
      <w:pPr>
        <w:ind w:left="1369" w:hanging="284"/>
      </w:pPr>
      <w:rPr>
        <w:rFonts w:hint="default"/>
        <w:lang w:val="en-US" w:eastAsia="en-US" w:bidi="ar-SA"/>
      </w:rPr>
    </w:lvl>
    <w:lvl w:ilvl="6" w:tplc="3A42678C">
      <w:numFmt w:val="bullet"/>
      <w:lvlText w:val="•"/>
      <w:lvlJc w:val="left"/>
      <w:pPr>
        <w:ind w:left="1554" w:hanging="284"/>
      </w:pPr>
      <w:rPr>
        <w:rFonts w:hint="default"/>
        <w:lang w:val="en-US" w:eastAsia="en-US" w:bidi="ar-SA"/>
      </w:rPr>
    </w:lvl>
    <w:lvl w:ilvl="7" w:tplc="CEDC5324">
      <w:numFmt w:val="bullet"/>
      <w:lvlText w:val="•"/>
      <w:lvlJc w:val="left"/>
      <w:pPr>
        <w:ind w:left="1740" w:hanging="284"/>
      </w:pPr>
      <w:rPr>
        <w:rFonts w:hint="default"/>
        <w:lang w:val="en-US" w:eastAsia="en-US" w:bidi="ar-SA"/>
      </w:rPr>
    </w:lvl>
    <w:lvl w:ilvl="8" w:tplc="0CDEF5AC">
      <w:numFmt w:val="bullet"/>
      <w:lvlText w:val="•"/>
      <w:lvlJc w:val="left"/>
      <w:pPr>
        <w:ind w:left="1926" w:hanging="284"/>
      </w:pPr>
      <w:rPr>
        <w:rFonts w:hint="default"/>
        <w:lang w:val="en-US" w:eastAsia="en-US" w:bidi="ar-SA"/>
      </w:rPr>
    </w:lvl>
  </w:abstractNum>
  <w:abstractNum w:abstractNumId="252" w15:restartNumberingAfterBreak="0">
    <w:nsid w:val="3BD478C9"/>
    <w:multiLevelType w:val="hybridMultilevel"/>
    <w:tmpl w:val="218EC09E"/>
    <w:lvl w:ilvl="0" w:tplc="F120DA18">
      <w:numFmt w:val="bullet"/>
      <w:lvlText w:val=""/>
      <w:lvlJc w:val="left"/>
      <w:pPr>
        <w:ind w:left="501" w:hanging="284"/>
      </w:pPr>
      <w:rPr>
        <w:rFonts w:ascii="Symbol" w:eastAsia="Symbol" w:hAnsi="Symbol" w:cs="Symbol" w:hint="default"/>
        <w:b w:val="0"/>
        <w:bCs w:val="0"/>
        <w:i w:val="0"/>
        <w:iCs w:val="0"/>
        <w:color w:val="70004A"/>
        <w:spacing w:val="0"/>
        <w:w w:val="100"/>
        <w:sz w:val="18"/>
        <w:szCs w:val="18"/>
        <w:lang w:val="en-US" w:eastAsia="en-US" w:bidi="ar-SA"/>
      </w:rPr>
    </w:lvl>
    <w:lvl w:ilvl="1" w:tplc="77F42896">
      <w:numFmt w:val="bullet"/>
      <w:lvlText w:val="•"/>
      <w:lvlJc w:val="left"/>
      <w:pPr>
        <w:ind w:left="796" w:hanging="284"/>
      </w:pPr>
      <w:rPr>
        <w:rFonts w:hint="default"/>
        <w:lang w:val="en-US" w:eastAsia="en-US" w:bidi="ar-SA"/>
      </w:rPr>
    </w:lvl>
    <w:lvl w:ilvl="2" w:tplc="74F2DFB6">
      <w:numFmt w:val="bullet"/>
      <w:lvlText w:val="•"/>
      <w:lvlJc w:val="left"/>
      <w:pPr>
        <w:ind w:left="1093" w:hanging="284"/>
      </w:pPr>
      <w:rPr>
        <w:rFonts w:hint="default"/>
        <w:lang w:val="en-US" w:eastAsia="en-US" w:bidi="ar-SA"/>
      </w:rPr>
    </w:lvl>
    <w:lvl w:ilvl="3" w:tplc="0156B308">
      <w:numFmt w:val="bullet"/>
      <w:lvlText w:val="•"/>
      <w:lvlJc w:val="left"/>
      <w:pPr>
        <w:ind w:left="1390" w:hanging="284"/>
      </w:pPr>
      <w:rPr>
        <w:rFonts w:hint="default"/>
        <w:lang w:val="en-US" w:eastAsia="en-US" w:bidi="ar-SA"/>
      </w:rPr>
    </w:lvl>
    <w:lvl w:ilvl="4" w:tplc="DD080898">
      <w:numFmt w:val="bullet"/>
      <w:lvlText w:val="•"/>
      <w:lvlJc w:val="left"/>
      <w:pPr>
        <w:ind w:left="1686" w:hanging="284"/>
      </w:pPr>
      <w:rPr>
        <w:rFonts w:hint="default"/>
        <w:lang w:val="en-US" w:eastAsia="en-US" w:bidi="ar-SA"/>
      </w:rPr>
    </w:lvl>
    <w:lvl w:ilvl="5" w:tplc="1110F2F8">
      <w:numFmt w:val="bullet"/>
      <w:lvlText w:val="•"/>
      <w:lvlJc w:val="left"/>
      <w:pPr>
        <w:ind w:left="1983" w:hanging="284"/>
      </w:pPr>
      <w:rPr>
        <w:rFonts w:hint="default"/>
        <w:lang w:val="en-US" w:eastAsia="en-US" w:bidi="ar-SA"/>
      </w:rPr>
    </w:lvl>
    <w:lvl w:ilvl="6" w:tplc="D5BC152E">
      <w:numFmt w:val="bullet"/>
      <w:lvlText w:val="•"/>
      <w:lvlJc w:val="left"/>
      <w:pPr>
        <w:ind w:left="2280" w:hanging="284"/>
      </w:pPr>
      <w:rPr>
        <w:rFonts w:hint="default"/>
        <w:lang w:val="en-US" w:eastAsia="en-US" w:bidi="ar-SA"/>
      </w:rPr>
    </w:lvl>
    <w:lvl w:ilvl="7" w:tplc="E3C80546">
      <w:numFmt w:val="bullet"/>
      <w:lvlText w:val="•"/>
      <w:lvlJc w:val="left"/>
      <w:pPr>
        <w:ind w:left="2576" w:hanging="284"/>
      </w:pPr>
      <w:rPr>
        <w:rFonts w:hint="default"/>
        <w:lang w:val="en-US" w:eastAsia="en-US" w:bidi="ar-SA"/>
      </w:rPr>
    </w:lvl>
    <w:lvl w:ilvl="8" w:tplc="863ADC96">
      <w:numFmt w:val="bullet"/>
      <w:lvlText w:val="•"/>
      <w:lvlJc w:val="left"/>
      <w:pPr>
        <w:ind w:left="2873" w:hanging="284"/>
      </w:pPr>
      <w:rPr>
        <w:rFonts w:hint="default"/>
        <w:lang w:val="en-US" w:eastAsia="en-US" w:bidi="ar-SA"/>
      </w:rPr>
    </w:lvl>
  </w:abstractNum>
  <w:abstractNum w:abstractNumId="253" w15:restartNumberingAfterBreak="0">
    <w:nsid w:val="3C0B29A0"/>
    <w:multiLevelType w:val="hybridMultilevel"/>
    <w:tmpl w:val="312CCA1A"/>
    <w:lvl w:ilvl="0" w:tplc="CE9A7FE8">
      <w:numFmt w:val="bullet"/>
      <w:lvlText w:val=""/>
      <w:lvlJc w:val="left"/>
      <w:pPr>
        <w:ind w:left="444" w:hanging="284"/>
      </w:pPr>
      <w:rPr>
        <w:rFonts w:ascii="Symbol" w:eastAsia="Symbol" w:hAnsi="Symbol" w:cs="Symbol" w:hint="default"/>
        <w:b w:val="0"/>
        <w:bCs w:val="0"/>
        <w:i w:val="0"/>
        <w:iCs w:val="0"/>
        <w:color w:val="70004A"/>
        <w:spacing w:val="0"/>
        <w:w w:val="100"/>
        <w:sz w:val="18"/>
        <w:szCs w:val="18"/>
        <w:lang w:val="en-US" w:eastAsia="en-US" w:bidi="ar-SA"/>
      </w:rPr>
    </w:lvl>
    <w:lvl w:ilvl="1" w:tplc="873E0026">
      <w:numFmt w:val="bullet"/>
      <w:lvlText w:val="•"/>
      <w:lvlJc w:val="left"/>
      <w:pPr>
        <w:ind w:left="708" w:hanging="284"/>
      </w:pPr>
      <w:rPr>
        <w:rFonts w:hint="default"/>
        <w:lang w:val="en-US" w:eastAsia="en-US" w:bidi="ar-SA"/>
      </w:rPr>
    </w:lvl>
    <w:lvl w:ilvl="2" w:tplc="183E500C">
      <w:numFmt w:val="bullet"/>
      <w:lvlText w:val="•"/>
      <w:lvlJc w:val="left"/>
      <w:pPr>
        <w:ind w:left="976" w:hanging="284"/>
      </w:pPr>
      <w:rPr>
        <w:rFonts w:hint="default"/>
        <w:lang w:val="en-US" w:eastAsia="en-US" w:bidi="ar-SA"/>
      </w:rPr>
    </w:lvl>
    <w:lvl w:ilvl="3" w:tplc="5D7AA312">
      <w:numFmt w:val="bullet"/>
      <w:lvlText w:val="•"/>
      <w:lvlJc w:val="left"/>
      <w:pPr>
        <w:ind w:left="1244" w:hanging="284"/>
      </w:pPr>
      <w:rPr>
        <w:rFonts w:hint="default"/>
        <w:lang w:val="en-US" w:eastAsia="en-US" w:bidi="ar-SA"/>
      </w:rPr>
    </w:lvl>
    <w:lvl w:ilvl="4" w:tplc="63BE0A38">
      <w:numFmt w:val="bullet"/>
      <w:lvlText w:val="•"/>
      <w:lvlJc w:val="left"/>
      <w:pPr>
        <w:ind w:left="1512" w:hanging="284"/>
      </w:pPr>
      <w:rPr>
        <w:rFonts w:hint="default"/>
        <w:lang w:val="en-US" w:eastAsia="en-US" w:bidi="ar-SA"/>
      </w:rPr>
    </w:lvl>
    <w:lvl w:ilvl="5" w:tplc="7E6A427A">
      <w:numFmt w:val="bullet"/>
      <w:lvlText w:val="•"/>
      <w:lvlJc w:val="left"/>
      <w:pPr>
        <w:ind w:left="1780" w:hanging="284"/>
      </w:pPr>
      <w:rPr>
        <w:rFonts w:hint="default"/>
        <w:lang w:val="en-US" w:eastAsia="en-US" w:bidi="ar-SA"/>
      </w:rPr>
    </w:lvl>
    <w:lvl w:ilvl="6" w:tplc="B6B25BF6">
      <w:numFmt w:val="bullet"/>
      <w:lvlText w:val="•"/>
      <w:lvlJc w:val="left"/>
      <w:pPr>
        <w:ind w:left="2048" w:hanging="284"/>
      </w:pPr>
      <w:rPr>
        <w:rFonts w:hint="default"/>
        <w:lang w:val="en-US" w:eastAsia="en-US" w:bidi="ar-SA"/>
      </w:rPr>
    </w:lvl>
    <w:lvl w:ilvl="7" w:tplc="7AE40F66">
      <w:numFmt w:val="bullet"/>
      <w:lvlText w:val="•"/>
      <w:lvlJc w:val="left"/>
      <w:pPr>
        <w:ind w:left="2316" w:hanging="284"/>
      </w:pPr>
      <w:rPr>
        <w:rFonts w:hint="default"/>
        <w:lang w:val="en-US" w:eastAsia="en-US" w:bidi="ar-SA"/>
      </w:rPr>
    </w:lvl>
    <w:lvl w:ilvl="8" w:tplc="3C644656">
      <w:numFmt w:val="bullet"/>
      <w:lvlText w:val="•"/>
      <w:lvlJc w:val="left"/>
      <w:pPr>
        <w:ind w:left="2584" w:hanging="284"/>
      </w:pPr>
      <w:rPr>
        <w:rFonts w:hint="default"/>
        <w:lang w:val="en-US" w:eastAsia="en-US" w:bidi="ar-SA"/>
      </w:rPr>
    </w:lvl>
  </w:abstractNum>
  <w:abstractNum w:abstractNumId="254" w15:restartNumberingAfterBreak="0">
    <w:nsid w:val="3D8838A6"/>
    <w:multiLevelType w:val="hybridMultilevel"/>
    <w:tmpl w:val="05528440"/>
    <w:lvl w:ilvl="0" w:tplc="237CA598">
      <w:numFmt w:val="bullet"/>
      <w:lvlText w:val=""/>
      <w:lvlJc w:val="left"/>
      <w:pPr>
        <w:ind w:left="452" w:hanging="284"/>
      </w:pPr>
      <w:rPr>
        <w:rFonts w:ascii="Symbol" w:eastAsia="Symbol" w:hAnsi="Symbol" w:cs="Symbol" w:hint="default"/>
        <w:b w:val="0"/>
        <w:bCs w:val="0"/>
        <w:i w:val="0"/>
        <w:iCs w:val="0"/>
        <w:color w:val="70004A"/>
        <w:spacing w:val="0"/>
        <w:w w:val="100"/>
        <w:sz w:val="18"/>
        <w:szCs w:val="18"/>
        <w:lang w:val="en-US" w:eastAsia="en-US" w:bidi="ar-SA"/>
      </w:rPr>
    </w:lvl>
    <w:lvl w:ilvl="1" w:tplc="3F1C9E18">
      <w:numFmt w:val="bullet"/>
      <w:lvlText w:val="•"/>
      <w:lvlJc w:val="left"/>
      <w:pPr>
        <w:ind w:left="726" w:hanging="284"/>
      </w:pPr>
      <w:rPr>
        <w:rFonts w:hint="default"/>
        <w:lang w:val="en-US" w:eastAsia="en-US" w:bidi="ar-SA"/>
      </w:rPr>
    </w:lvl>
    <w:lvl w:ilvl="2" w:tplc="A686CAEC">
      <w:numFmt w:val="bullet"/>
      <w:lvlText w:val="•"/>
      <w:lvlJc w:val="left"/>
      <w:pPr>
        <w:ind w:left="993" w:hanging="284"/>
      </w:pPr>
      <w:rPr>
        <w:rFonts w:hint="default"/>
        <w:lang w:val="en-US" w:eastAsia="en-US" w:bidi="ar-SA"/>
      </w:rPr>
    </w:lvl>
    <w:lvl w:ilvl="3" w:tplc="5D54B9CE">
      <w:numFmt w:val="bullet"/>
      <w:lvlText w:val="•"/>
      <w:lvlJc w:val="left"/>
      <w:pPr>
        <w:ind w:left="1260" w:hanging="284"/>
      </w:pPr>
      <w:rPr>
        <w:rFonts w:hint="default"/>
        <w:lang w:val="en-US" w:eastAsia="en-US" w:bidi="ar-SA"/>
      </w:rPr>
    </w:lvl>
    <w:lvl w:ilvl="4" w:tplc="ACCEDA14">
      <w:numFmt w:val="bullet"/>
      <w:lvlText w:val="•"/>
      <w:lvlJc w:val="left"/>
      <w:pPr>
        <w:ind w:left="1527" w:hanging="284"/>
      </w:pPr>
      <w:rPr>
        <w:rFonts w:hint="default"/>
        <w:lang w:val="en-US" w:eastAsia="en-US" w:bidi="ar-SA"/>
      </w:rPr>
    </w:lvl>
    <w:lvl w:ilvl="5" w:tplc="B3D461FC">
      <w:numFmt w:val="bullet"/>
      <w:lvlText w:val="•"/>
      <w:lvlJc w:val="left"/>
      <w:pPr>
        <w:ind w:left="1794" w:hanging="284"/>
      </w:pPr>
      <w:rPr>
        <w:rFonts w:hint="default"/>
        <w:lang w:val="en-US" w:eastAsia="en-US" w:bidi="ar-SA"/>
      </w:rPr>
    </w:lvl>
    <w:lvl w:ilvl="6" w:tplc="5498CE14">
      <w:numFmt w:val="bullet"/>
      <w:lvlText w:val="•"/>
      <w:lvlJc w:val="left"/>
      <w:pPr>
        <w:ind w:left="2060" w:hanging="284"/>
      </w:pPr>
      <w:rPr>
        <w:rFonts w:hint="default"/>
        <w:lang w:val="en-US" w:eastAsia="en-US" w:bidi="ar-SA"/>
      </w:rPr>
    </w:lvl>
    <w:lvl w:ilvl="7" w:tplc="800EFBFA">
      <w:numFmt w:val="bullet"/>
      <w:lvlText w:val="•"/>
      <w:lvlJc w:val="left"/>
      <w:pPr>
        <w:ind w:left="2327" w:hanging="284"/>
      </w:pPr>
      <w:rPr>
        <w:rFonts w:hint="default"/>
        <w:lang w:val="en-US" w:eastAsia="en-US" w:bidi="ar-SA"/>
      </w:rPr>
    </w:lvl>
    <w:lvl w:ilvl="8" w:tplc="3CE8F092">
      <w:numFmt w:val="bullet"/>
      <w:lvlText w:val="•"/>
      <w:lvlJc w:val="left"/>
      <w:pPr>
        <w:ind w:left="2594" w:hanging="284"/>
      </w:pPr>
      <w:rPr>
        <w:rFonts w:hint="default"/>
        <w:lang w:val="en-US" w:eastAsia="en-US" w:bidi="ar-SA"/>
      </w:rPr>
    </w:lvl>
  </w:abstractNum>
  <w:abstractNum w:abstractNumId="255" w15:restartNumberingAfterBreak="0">
    <w:nsid w:val="3DC8634B"/>
    <w:multiLevelType w:val="hybridMultilevel"/>
    <w:tmpl w:val="FAF6345A"/>
    <w:lvl w:ilvl="0" w:tplc="B5260380">
      <w:numFmt w:val="bullet"/>
      <w:lvlText w:val=""/>
      <w:lvlJc w:val="left"/>
      <w:pPr>
        <w:ind w:left="430" w:hanging="284"/>
      </w:pPr>
      <w:rPr>
        <w:rFonts w:ascii="Symbol" w:eastAsia="Symbol" w:hAnsi="Symbol" w:cs="Symbol" w:hint="default"/>
        <w:b w:val="0"/>
        <w:bCs w:val="0"/>
        <w:i w:val="0"/>
        <w:iCs w:val="0"/>
        <w:color w:val="70004A"/>
        <w:spacing w:val="0"/>
        <w:w w:val="100"/>
        <w:sz w:val="18"/>
        <w:szCs w:val="18"/>
        <w:lang w:val="en-US" w:eastAsia="en-US" w:bidi="ar-SA"/>
      </w:rPr>
    </w:lvl>
    <w:lvl w:ilvl="1" w:tplc="A854283C">
      <w:numFmt w:val="bullet"/>
      <w:lvlText w:val="•"/>
      <w:lvlJc w:val="left"/>
      <w:pPr>
        <w:ind w:left="674" w:hanging="284"/>
      </w:pPr>
      <w:rPr>
        <w:rFonts w:hint="default"/>
        <w:lang w:val="en-US" w:eastAsia="en-US" w:bidi="ar-SA"/>
      </w:rPr>
    </w:lvl>
    <w:lvl w:ilvl="2" w:tplc="EE6C30BE">
      <w:numFmt w:val="bullet"/>
      <w:lvlText w:val="•"/>
      <w:lvlJc w:val="left"/>
      <w:pPr>
        <w:ind w:left="908" w:hanging="284"/>
      </w:pPr>
      <w:rPr>
        <w:rFonts w:hint="default"/>
        <w:lang w:val="en-US" w:eastAsia="en-US" w:bidi="ar-SA"/>
      </w:rPr>
    </w:lvl>
    <w:lvl w:ilvl="3" w:tplc="3684AFB4">
      <w:numFmt w:val="bullet"/>
      <w:lvlText w:val="•"/>
      <w:lvlJc w:val="left"/>
      <w:pPr>
        <w:ind w:left="1142" w:hanging="284"/>
      </w:pPr>
      <w:rPr>
        <w:rFonts w:hint="default"/>
        <w:lang w:val="en-US" w:eastAsia="en-US" w:bidi="ar-SA"/>
      </w:rPr>
    </w:lvl>
    <w:lvl w:ilvl="4" w:tplc="FF283722">
      <w:numFmt w:val="bullet"/>
      <w:lvlText w:val="•"/>
      <w:lvlJc w:val="left"/>
      <w:pPr>
        <w:ind w:left="1376" w:hanging="284"/>
      </w:pPr>
      <w:rPr>
        <w:rFonts w:hint="default"/>
        <w:lang w:val="en-US" w:eastAsia="en-US" w:bidi="ar-SA"/>
      </w:rPr>
    </w:lvl>
    <w:lvl w:ilvl="5" w:tplc="9EAC9C7A">
      <w:numFmt w:val="bullet"/>
      <w:lvlText w:val="•"/>
      <w:lvlJc w:val="left"/>
      <w:pPr>
        <w:ind w:left="1610" w:hanging="284"/>
      </w:pPr>
      <w:rPr>
        <w:rFonts w:hint="default"/>
        <w:lang w:val="en-US" w:eastAsia="en-US" w:bidi="ar-SA"/>
      </w:rPr>
    </w:lvl>
    <w:lvl w:ilvl="6" w:tplc="5C9081F2">
      <w:numFmt w:val="bullet"/>
      <w:lvlText w:val="•"/>
      <w:lvlJc w:val="left"/>
      <w:pPr>
        <w:ind w:left="1844" w:hanging="284"/>
      </w:pPr>
      <w:rPr>
        <w:rFonts w:hint="default"/>
        <w:lang w:val="en-US" w:eastAsia="en-US" w:bidi="ar-SA"/>
      </w:rPr>
    </w:lvl>
    <w:lvl w:ilvl="7" w:tplc="8EB090BE">
      <w:numFmt w:val="bullet"/>
      <w:lvlText w:val="•"/>
      <w:lvlJc w:val="left"/>
      <w:pPr>
        <w:ind w:left="2078" w:hanging="284"/>
      </w:pPr>
      <w:rPr>
        <w:rFonts w:hint="default"/>
        <w:lang w:val="en-US" w:eastAsia="en-US" w:bidi="ar-SA"/>
      </w:rPr>
    </w:lvl>
    <w:lvl w:ilvl="8" w:tplc="448AC602">
      <w:numFmt w:val="bullet"/>
      <w:lvlText w:val="•"/>
      <w:lvlJc w:val="left"/>
      <w:pPr>
        <w:ind w:left="2312" w:hanging="284"/>
      </w:pPr>
      <w:rPr>
        <w:rFonts w:hint="default"/>
        <w:lang w:val="en-US" w:eastAsia="en-US" w:bidi="ar-SA"/>
      </w:rPr>
    </w:lvl>
  </w:abstractNum>
  <w:abstractNum w:abstractNumId="256" w15:restartNumberingAfterBreak="0">
    <w:nsid w:val="3E1741B8"/>
    <w:multiLevelType w:val="hybridMultilevel"/>
    <w:tmpl w:val="FA845BC8"/>
    <w:lvl w:ilvl="0" w:tplc="9ABC8BAE">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059C7858">
      <w:numFmt w:val="bullet"/>
      <w:lvlText w:val="•"/>
      <w:lvlJc w:val="left"/>
      <w:pPr>
        <w:ind w:left="653" w:hanging="284"/>
      </w:pPr>
      <w:rPr>
        <w:rFonts w:hint="default"/>
        <w:lang w:val="en-US" w:eastAsia="en-US" w:bidi="ar-SA"/>
      </w:rPr>
    </w:lvl>
    <w:lvl w:ilvl="2" w:tplc="6428F098">
      <w:numFmt w:val="bullet"/>
      <w:lvlText w:val="•"/>
      <w:lvlJc w:val="left"/>
      <w:pPr>
        <w:ind w:left="907" w:hanging="284"/>
      </w:pPr>
      <w:rPr>
        <w:rFonts w:hint="default"/>
        <w:lang w:val="en-US" w:eastAsia="en-US" w:bidi="ar-SA"/>
      </w:rPr>
    </w:lvl>
    <w:lvl w:ilvl="3" w:tplc="B61E1D18">
      <w:numFmt w:val="bullet"/>
      <w:lvlText w:val="•"/>
      <w:lvlJc w:val="left"/>
      <w:pPr>
        <w:ind w:left="1161" w:hanging="284"/>
      </w:pPr>
      <w:rPr>
        <w:rFonts w:hint="default"/>
        <w:lang w:val="en-US" w:eastAsia="en-US" w:bidi="ar-SA"/>
      </w:rPr>
    </w:lvl>
    <w:lvl w:ilvl="4" w:tplc="8926062C">
      <w:numFmt w:val="bullet"/>
      <w:lvlText w:val="•"/>
      <w:lvlJc w:val="left"/>
      <w:pPr>
        <w:ind w:left="1414" w:hanging="284"/>
      </w:pPr>
      <w:rPr>
        <w:rFonts w:hint="default"/>
        <w:lang w:val="en-US" w:eastAsia="en-US" w:bidi="ar-SA"/>
      </w:rPr>
    </w:lvl>
    <w:lvl w:ilvl="5" w:tplc="12BE6982">
      <w:numFmt w:val="bullet"/>
      <w:lvlText w:val="•"/>
      <w:lvlJc w:val="left"/>
      <w:pPr>
        <w:ind w:left="1668" w:hanging="284"/>
      </w:pPr>
      <w:rPr>
        <w:rFonts w:hint="default"/>
        <w:lang w:val="en-US" w:eastAsia="en-US" w:bidi="ar-SA"/>
      </w:rPr>
    </w:lvl>
    <w:lvl w:ilvl="6" w:tplc="FDAE908C">
      <w:numFmt w:val="bullet"/>
      <w:lvlText w:val="•"/>
      <w:lvlJc w:val="left"/>
      <w:pPr>
        <w:ind w:left="1922" w:hanging="284"/>
      </w:pPr>
      <w:rPr>
        <w:rFonts w:hint="default"/>
        <w:lang w:val="en-US" w:eastAsia="en-US" w:bidi="ar-SA"/>
      </w:rPr>
    </w:lvl>
    <w:lvl w:ilvl="7" w:tplc="D124E1AA">
      <w:numFmt w:val="bullet"/>
      <w:lvlText w:val="•"/>
      <w:lvlJc w:val="left"/>
      <w:pPr>
        <w:ind w:left="2175" w:hanging="284"/>
      </w:pPr>
      <w:rPr>
        <w:rFonts w:hint="default"/>
        <w:lang w:val="en-US" w:eastAsia="en-US" w:bidi="ar-SA"/>
      </w:rPr>
    </w:lvl>
    <w:lvl w:ilvl="8" w:tplc="F006D184">
      <w:numFmt w:val="bullet"/>
      <w:lvlText w:val="•"/>
      <w:lvlJc w:val="left"/>
      <w:pPr>
        <w:ind w:left="2429" w:hanging="284"/>
      </w:pPr>
      <w:rPr>
        <w:rFonts w:hint="default"/>
        <w:lang w:val="en-US" w:eastAsia="en-US" w:bidi="ar-SA"/>
      </w:rPr>
    </w:lvl>
  </w:abstractNum>
  <w:abstractNum w:abstractNumId="257" w15:restartNumberingAfterBreak="0">
    <w:nsid w:val="3E2E2FB9"/>
    <w:multiLevelType w:val="hybridMultilevel"/>
    <w:tmpl w:val="12DE12D4"/>
    <w:lvl w:ilvl="0" w:tplc="CD140E4C">
      <w:numFmt w:val="bullet"/>
      <w:lvlText w:val=""/>
      <w:lvlJc w:val="left"/>
      <w:pPr>
        <w:ind w:left="514" w:hanging="284"/>
      </w:pPr>
      <w:rPr>
        <w:rFonts w:ascii="Symbol" w:eastAsia="Symbol" w:hAnsi="Symbol" w:cs="Symbol" w:hint="default"/>
        <w:b w:val="0"/>
        <w:bCs w:val="0"/>
        <w:i w:val="0"/>
        <w:iCs w:val="0"/>
        <w:color w:val="70004A"/>
        <w:spacing w:val="0"/>
        <w:w w:val="100"/>
        <w:sz w:val="18"/>
        <w:szCs w:val="18"/>
        <w:lang w:val="en-US" w:eastAsia="en-US" w:bidi="ar-SA"/>
      </w:rPr>
    </w:lvl>
    <w:lvl w:ilvl="1" w:tplc="D13A4FDC">
      <w:numFmt w:val="bullet"/>
      <w:lvlText w:val="•"/>
      <w:lvlJc w:val="left"/>
      <w:pPr>
        <w:ind w:left="805" w:hanging="284"/>
      </w:pPr>
      <w:rPr>
        <w:rFonts w:hint="default"/>
        <w:lang w:val="en-US" w:eastAsia="en-US" w:bidi="ar-SA"/>
      </w:rPr>
    </w:lvl>
    <w:lvl w:ilvl="2" w:tplc="3BF8FDEA">
      <w:numFmt w:val="bullet"/>
      <w:lvlText w:val="•"/>
      <w:lvlJc w:val="left"/>
      <w:pPr>
        <w:ind w:left="1090" w:hanging="284"/>
      </w:pPr>
      <w:rPr>
        <w:rFonts w:hint="default"/>
        <w:lang w:val="en-US" w:eastAsia="en-US" w:bidi="ar-SA"/>
      </w:rPr>
    </w:lvl>
    <w:lvl w:ilvl="3" w:tplc="BFF843AA">
      <w:numFmt w:val="bullet"/>
      <w:lvlText w:val="•"/>
      <w:lvlJc w:val="left"/>
      <w:pPr>
        <w:ind w:left="1375" w:hanging="284"/>
      </w:pPr>
      <w:rPr>
        <w:rFonts w:hint="default"/>
        <w:lang w:val="en-US" w:eastAsia="en-US" w:bidi="ar-SA"/>
      </w:rPr>
    </w:lvl>
    <w:lvl w:ilvl="4" w:tplc="366E8B92">
      <w:numFmt w:val="bullet"/>
      <w:lvlText w:val="•"/>
      <w:lvlJc w:val="left"/>
      <w:pPr>
        <w:ind w:left="1660" w:hanging="284"/>
      </w:pPr>
      <w:rPr>
        <w:rFonts w:hint="default"/>
        <w:lang w:val="en-US" w:eastAsia="en-US" w:bidi="ar-SA"/>
      </w:rPr>
    </w:lvl>
    <w:lvl w:ilvl="5" w:tplc="D48EF8C6">
      <w:numFmt w:val="bullet"/>
      <w:lvlText w:val="•"/>
      <w:lvlJc w:val="left"/>
      <w:pPr>
        <w:ind w:left="1945" w:hanging="284"/>
      </w:pPr>
      <w:rPr>
        <w:rFonts w:hint="default"/>
        <w:lang w:val="en-US" w:eastAsia="en-US" w:bidi="ar-SA"/>
      </w:rPr>
    </w:lvl>
    <w:lvl w:ilvl="6" w:tplc="86980008">
      <w:numFmt w:val="bullet"/>
      <w:lvlText w:val="•"/>
      <w:lvlJc w:val="left"/>
      <w:pPr>
        <w:ind w:left="2230" w:hanging="284"/>
      </w:pPr>
      <w:rPr>
        <w:rFonts w:hint="default"/>
        <w:lang w:val="en-US" w:eastAsia="en-US" w:bidi="ar-SA"/>
      </w:rPr>
    </w:lvl>
    <w:lvl w:ilvl="7" w:tplc="7A463F9E">
      <w:numFmt w:val="bullet"/>
      <w:lvlText w:val="•"/>
      <w:lvlJc w:val="left"/>
      <w:pPr>
        <w:ind w:left="2515" w:hanging="284"/>
      </w:pPr>
      <w:rPr>
        <w:rFonts w:hint="default"/>
        <w:lang w:val="en-US" w:eastAsia="en-US" w:bidi="ar-SA"/>
      </w:rPr>
    </w:lvl>
    <w:lvl w:ilvl="8" w:tplc="11CC1794">
      <w:numFmt w:val="bullet"/>
      <w:lvlText w:val="•"/>
      <w:lvlJc w:val="left"/>
      <w:pPr>
        <w:ind w:left="2800" w:hanging="284"/>
      </w:pPr>
      <w:rPr>
        <w:rFonts w:hint="default"/>
        <w:lang w:val="en-US" w:eastAsia="en-US" w:bidi="ar-SA"/>
      </w:rPr>
    </w:lvl>
  </w:abstractNum>
  <w:abstractNum w:abstractNumId="258" w15:restartNumberingAfterBreak="0">
    <w:nsid w:val="3E3F2D8D"/>
    <w:multiLevelType w:val="hybridMultilevel"/>
    <w:tmpl w:val="814A5B7E"/>
    <w:lvl w:ilvl="0" w:tplc="888A91EE">
      <w:numFmt w:val="bullet"/>
      <w:lvlText w:val=""/>
      <w:lvlJc w:val="left"/>
      <w:pPr>
        <w:ind w:left="453" w:hanging="284"/>
      </w:pPr>
      <w:rPr>
        <w:rFonts w:ascii="Symbol" w:eastAsia="Symbol" w:hAnsi="Symbol" w:cs="Symbol" w:hint="default"/>
        <w:b w:val="0"/>
        <w:bCs w:val="0"/>
        <w:i w:val="0"/>
        <w:iCs w:val="0"/>
        <w:color w:val="70004A"/>
        <w:spacing w:val="0"/>
        <w:w w:val="100"/>
        <w:sz w:val="18"/>
        <w:szCs w:val="18"/>
        <w:lang w:val="en-US" w:eastAsia="en-US" w:bidi="ar-SA"/>
      </w:rPr>
    </w:lvl>
    <w:lvl w:ilvl="1" w:tplc="BDB415EA">
      <w:numFmt w:val="bullet"/>
      <w:lvlText w:val="•"/>
      <w:lvlJc w:val="left"/>
      <w:pPr>
        <w:ind w:left="649" w:hanging="284"/>
      </w:pPr>
      <w:rPr>
        <w:rFonts w:hint="default"/>
        <w:lang w:val="en-US" w:eastAsia="en-US" w:bidi="ar-SA"/>
      </w:rPr>
    </w:lvl>
    <w:lvl w:ilvl="2" w:tplc="19D2DDCE">
      <w:numFmt w:val="bullet"/>
      <w:lvlText w:val="•"/>
      <w:lvlJc w:val="left"/>
      <w:pPr>
        <w:ind w:left="839" w:hanging="284"/>
      </w:pPr>
      <w:rPr>
        <w:rFonts w:hint="default"/>
        <w:lang w:val="en-US" w:eastAsia="en-US" w:bidi="ar-SA"/>
      </w:rPr>
    </w:lvl>
    <w:lvl w:ilvl="3" w:tplc="BEA09404">
      <w:numFmt w:val="bullet"/>
      <w:lvlText w:val="•"/>
      <w:lvlJc w:val="left"/>
      <w:pPr>
        <w:ind w:left="1028" w:hanging="284"/>
      </w:pPr>
      <w:rPr>
        <w:rFonts w:hint="default"/>
        <w:lang w:val="en-US" w:eastAsia="en-US" w:bidi="ar-SA"/>
      </w:rPr>
    </w:lvl>
    <w:lvl w:ilvl="4" w:tplc="E6CEFC68">
      <w:numFmt w:val="bullet"/>
      <w:lvlText w:val="•"/>
      <w:lvlJc w:val="left"/>
      <w:pPr>
        <w:ind w:left="1218" w:hanging="284"/>
      </w:pPr>
      <w:rPr>
        <w:rFonts w:hint="default"/>
        <w:lang w:val="en-US" w:eastAsia="en-US" w:bidi="ar-SA"/>
      </w:rPr>
    </w:lvl>
    <w:lvl w:ilvl="5" w:tplc="A60E10BC">
      <w:numFmt w:val="bullet"/>
      <w:lvlText w:val="•"/>
      <w:lvlJc w:val="left"/>
      <w:pPr>
        <w:ind w:left="1407" w:hanging="284"/>
      </w:pPr>
      <w:rPr>
        <w:rFonts w:hint="default"/>
        <w:lang w:val="en-US" w:eastAsia="en-US" w:bidi="ar-SA"/>
      </w:rPr>
    </w:lvl>
    <w:lvl w:ilvl="6" w:tplc="7BA28B6E">
      <w:numFmt w:val="bullet"/>
      <w:lvlText w:val="•"/>
      <w:lvlJc w:val="left"/>
      <w:pPr>
        <w:ind w:left="1597" w:hanging="284"/>
      </w:pPr>
      <w:rPr>
        <w:rFonts w:hint="default"/>
        <w:lang w:val="en-US" w:eastAsia="en-US" w:bidi="ar-SA"/>
      </w:rPr>
    </w:lvl>
    <w:lvl w:ilvl="7" w:tplc="9962E45C">
      <w:numFmt w:val="bullet"/>
      <w:lvlText w:val="•"/>
      <w:lvlJc w:val="left"/>
      <w:pPr>
        <w:ind w:left="1786" w:hanging="284"/>
      </w:pPr>
      <w:rPr>
        <w:rFonts w:hint="default"/>
        <w:lang w:val="en-US" w:eastAsia="en-US" w:bidi="ar-SA"/>
      </w:rPr>
    </w:lvl>
    <w:lvl w:ilvl="8" w:tplc="2B68932C">
      <w:numFmt w:val="bullet"/>
      <w:lvlText w:val="•"/>
      <w:lvlJc w:val="left"/>
      <w:pPr>
        <w:ind w:left="1976" w:hanging="284"/>
      </w:pPr>
      <w:rPr>
        <w:rFonts w:hint="default"/>
        <w:lang w:val="en-US" w:eastAsia="en-US" w:bidi="ar-SA"/>
      </w:rPr>
    </w:lvl>
  </w:abstractNum>
  <w:abstractNum w:abstractNumId="259" w15:restartNumberingAfterBreak="0">
    <w:nsid w:val="3E4807AA"/>
    <w:multiLevelType w:val="hybridMultilevel"/>
    <w:tmpl w:val="895C20D0"/>
    <w:lvl w:ilvl="0" w:tplc="575A6AC2">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2A101D38">
      <w:numFmt w:val="bullet"/>
      <w:lvlText w:val="•"/>
      <w:lvlJc w:val="left"/>
      <w:pPr>
        <w:ind w:left="654" w:hanging="284"/>
      </w:pPr>
      <w:rPr>
        <w:rFonts w:hint="default"/>
        <w:lang w:val="en-US" w:eastAsia="en-US" w:bidi="ar-SA"/>
      </w:rPr>
    </w:lvl>
    <w:lvl w:ilvl="2" w:tplc="62A83C7C">
      <w:numFmt w:val="bullet"/>
      <w:lvlText w:val="•"/>
      <w:lvlJc w:val="left"/>
      <w:pPr>
        <w:ind w:left="929" w:hanging="284"/>
      </w:pPr>
      <w:rPr>
        <w:rFonts w:hint="default"/>
        <w:lang w:val="en-US" w:eastAsia="en-US" w:bidi="ar-SA"/>
      </w:rPr>
    </w:lvl>
    <w:lvl w:ilvl="3" w:tplc="C9BE277A">
      <w:numFmt w:val="bullet"/>
      <w:lvlText w:val="•"/>
      <w:lvlJc w:val="left"/>
      <w:pPr>
        <w:ind w:left="1203" w:hanging="284"/>
      </w:pPr>
      <w:rPr>
        <w:rFonts w:hint="default"/>
        <w:lang w:val="en-US" w:eastAsia="en-US" w:bidi="ar-SA"/>
      </w:rPr>
    </w:lvl>
    <w:lvl w:ilvl="4" w:tplc="E0D4A1BC">
      <w:numFmt w:val="bullet"/>
      <w:lvlText w:val="•"/>
      <w:lvlJc w:val="left"/>
      <w:pPr>
        <w:ind w:left="1478" w:hanging="284"/>
      </w:pPr>
      <w:rPr>
        <w:rFonts w:hint="default"/>
        <w:lang w:val="en-US" w:eastAsia="en-US" w:bidi="ar-SA"/>
      </w:rPr>
    </w:lvl>
    <w:lvl w:ilvl="5" w:tplc="407AFA7A">
      <w:numFmt w:val="bullet"/>
      <w:lvlText w:val="•"/>
      <w:lvlJc w:val="left"/>
      <w:pPr>
        <w:ind w:left="1753" w:hanging="284"/>
      </w:pPr>
      <w:rPr>
        <w:rFonts w:hint="default"/>
        <w:lang w:val="en-US" w:eastAsia="en-US" w:bidi="ar-SA"/>
      </w:rPr>
    </w:lvl>
    <w:lvl w:ilvl="6" w:tplc="C6DED01A">
      <w:numFmt w:val="bullet"/>
      <w:lvlText w:val="•"/>
      <w:lvlJc w:val="left"/>
      <w:pPr>
        <w:ind w:left="2027" w:hanging="284"/>
      </w:pPr>
      <w:rPr>
        <w:rFonts w:hint="default"/>
        <w:lang w:val="en-US" w:eastAsia="en-US" w:bidi="ar-SA"/>
      </w:rPr>
    </w:lvl>
    <w:lvl w:ilvl="7" w:tplc="2FBED13C">
      <w:numFmt w:val="bullet"/>
      <w:lvlText w:val="•"/>
      <w:lvlJc w:val="left"/>
      <w:pPr>
        <w:ind w:left="2302" w:hanging="284"/>
      </w:pPr>
      <w:rPr>
        <w:rFonts w:hint="default"/>
        <w:lang w:val="en-US" w:eastAsia="en-US" w:bidi="ar-SA"/>
      </w:rPr>
    </w:lvl>
    <w:lvl w:ilvl="8" w:tplc="73D668C4">
      <w:numFmt w:val="bullet"/>
      <w:lvlText w:val="•"/>
      <w:lvlJc w:val="left"/>
      <w:pPr>
        <w:ind w:left="2576" w:hanging="284"/>
      </w:pPr>
      <w:rPr>
        <w:rFonts w:hint="default"/>
        <w:lang w:val="en-US" w:eastAsia="en-US" w:bidi="ar-SA"/>
      </w:rPr>
    </w:lvl>
  </w:abstractNum>
  <w:abstractNum w:abstractNumId="260" w15:restartNumberingAfterBreak="0">
    <w:nsid w:val="3EB90C90"/>
    <w:multiLevelType w:val="hybridMultilevel"/>
    <w:tmpl w:val="3168E720"/>
    <w:lvl w:ilvl="0" w:tplc="3F7AB0AE">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9FF03018">
      <w:numFmt w:val="bullet"/>
      <w:lvlText w:val="•"/>
      <w:lvlJc w:val="left"/>
      <w:pPr>
        <w:ind w:left="634" w:hanging="284"/>
      </w:pPr>
      <w:rPr>
        <w:rFonts w:hint="default"/>
        <w:lang w:val="en-US" w:eastAsia="en-US" w:bidi="ar-SA"/>
      </w:rPr>
    </w:lvl>
    <w:lvl w:ilvl="2" w:tplc="822C7306">
      <w:numFmt w:val="bullet"/>
      <w:lvlText w:val="•"/>
      <w:lvlJc w:val="left"/>
      <w:pPr>
        <w:ind w:left="868" w:hanging="284"/>
      </w:pPr>
      <w:rPr>
        <w:rFonts w:hint="default"/>
        <w:lang w:val="en-US" w:eastAsia="en-US" w:bidi="ar-SA"/>
      </w:rPr>
    </w:lvl>
    <w:lvl w:ilvl="3" w:tplc="0BAE70FC">
      <w:numFmt w:val="bullet"/>
      <w:lvlText w:val="•"/>
      <w:lvlJc w:val="left"/>
      <w:pPr>
        <w:ind w:left="1102" w:hanging="284"/>
      </w:pPr>
      <w:rPr>
        <w:rFonts w:hint="default"/>
        <w:lang w:val="en-US" w:eastAsia="en-US" w:bidi="ar-SA"/>
      </w:rPr>
    </w:lvl>
    <w:lvl w:ilvl="4" w:tplc="CC404D4C">
      <w:numFmt w:val="bullet"/>
      <w:lvlText w:val="•"/>
      <w:lvlJc w:val="left"/>
      <w:pPr>
        <w:ind w:left="1336" w:hanging="284"/>
      </w:pPr>
      <w:rPr>
        <w:rFonts w:hint="default"/>
        <w:lang w:val="en-US" w:eastAsia="en-US" w:bidi="ar-SA"/>
      </w:rPr>
    </w:lvl>
    <w:lvl w:ilvl="5" w:tplc="BD62C7D6">
      <w:numFmt w:val="bullet"/>
      <w:lvlText w:val="•"/>
      <w:lvlJc w:val="left"/>
      <w:pPr>
        <w:ind w:left="1570" w:hanging="284"/>
      </w:pPr>
      <w:rPr>
        <w:rFonts w:hint="default"/>
        <w:lang w:val="en-US" w:eastAsia="en-US" w:bidi="ar-SA"/>
      </w:rPr>
    </w:lvl>
    <w:lvl w:ilvl="6" w:tplc="F7CE4D96">
      <w:numFmt w:val="bullet"/>
      <w:lvlText w:val="•"/>
      <w:lvlJc w:val="left"/>
      <w:pPr>
        <w:ind w:left="1804" w:hanging="284"/>
      </w:pPr>
      <w:rPr>
        <w:rFonts w:hint="default"/>
        <w:lang w:val="en-US" w:eastAsia="en-US" w:bidi="ar-SA"/>
      </w:rPr>
    </w:lvl>
    <w:lvl w:ilvl="7" w:tplc="ECA0462E">
      <w:numFmt w:val="bullet"/>
      <w:lvlText w:val="•"/>
      <w:lvlJc w:val="left"/>
      <w:pPr>
        <w:ind w:left="2038" w:hanging="284"/>
      </w:pPr>
      <w:rPr>
        <w:rFonts w:hint="default"/>
        <w:lang w:val="en-US" w:eastAsia="en-US" w:bidi="ar-SA"/>
      </w:rPr>
    </w:lvl>
    <w:lvl w:ilvl="8" w:tplc="9FC85A2A">
      <w:numFmt w:val="bullet"/>
      <w:lvlText w:val="•"/>
      <w:lvlJc w:val="left"/>
      <w:pPr>
        <w:ind w:left="2272" w:hanging="284"/>
      </w:pPr>
      <w:rPr>
        <w:rFonts w:hint="default"/>
        <w:lang w:val="en-US" w:eastAsia="en-US" w:bidi="ar-SA"/>
      </w:rPr>
    </w:lvl>
  </w:abstractNum>
  <w:abstractNum w:abstractNumId="261" w15:restartNumberingAfterBreak="0">
    <w:nsid w:val="3EED4F1B"/>
    <w:multiLevelType w:val="hybridMultilevel"/>
    <w:tmpl w:val="08F870CE"/>
    <w:lvl w:ilvl="0" w:tplc="12AE0470">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8638B152">
      <w:numFmt w:val="bullet"/>
      <w:lvlText w:val="•"/>
      <w:lvlJc w:val="left"/>
      <w:pPr>
        <w:ind w:left="650" w:hanging="284"/>
      </w:pPr>
      <w:rPr>
        <w:rFonts w:hint="default"/>
        <w:lang w:val="en-US" w:eastAsia="en-US" w:bidi="ar-SA"/>
      </w:rPr>
    </w:lvl>
    <w:lvl w:ilvl="2" w:tplc="45F681E8">
      <w:numFmt w:val="bullet"/>
      <w:lvlText w:val="•"/>
      <w:lvlJc w:val="left"/>
      <w:pPr>
        <w:ind w:left="900" w:hanging="284"/>
      </w:pPr>
      <w:rPr>
        <w:rFonts w:hint="default"/>
        <w:lang w:val="en-US" w:eastAsia="en-US" w:bidi="ar-SA"/>
      </w:rPr>
    </w:lvl>
    <w:lvl w:ilvl="3" w:tplc="24FA013C">
      <w:numFmt w:val="bullet"/>
      <w:lvlText w:val="•"/>
      <w:lvlJc w:val="left"/>
      <w:pPr>
        <w:ind w:left="1150" w:hanging="284"/>
      </w:pPr>
      <w:rPr>
        <w:rFonts w:hint="default"/>
        <w:lang w:val="en-US" w:eastAsia="en-US" w:bidi="ar-SA"/>
      </w:rPr>
    </w:lvl>
    <w:lvl w:ilvl="4" w:tplc="BD70E86A">
      <w:numFmt w:val="bullet"/>
      <w:lvlText w:val="•"/>
      <w:lvlJc w:val="left"/>
      <w:pPr>
        <w:ind w:left="1400" w:hanging="284"/>
      </w:pPr>
      <w:rPr>
        <w:rFonts w:hint="default"/>
        <w:lang w:val="en-US" w:eastAsia="en-US" w:bidi="ar-SA"/>
      </w:rPr>
    </w:lvl>
    <w:lvl w:ilvl="5" w:tplc="AE12605E">
      <w:numFmt w:val="bullet"/>
      <w:lvlText w:val="•"/>
      <w:lvlJc w:val="left"/>
      <w:pPr>
        <w:ind w:left="1650" w:hanging="284"/>
      </w:pPr>
      <w:rPr>
        <w:rFonts w:hint="default"/>
        <w:lang w:val="en-US" w:eastAsia="en-US" w:bidi="ar-SA"/>
      </w:rPr>
    </w:lvl>
    <w:lvl w:ilvl="6" w:tplc="8D58F5C2">
      <w:numFmt w:val="bullet"/>
      <w:lvlText w:val="•"/>
      <w:lvlJc w:val="left"/>
      <w:pPr>
        <w:ind w:left="1900" w:hanging="284"/>
      </w:pPr>
      <w:rPr>
        <w:rFonts w:hint="default"/>
        <w:lang w:val="en-US" w:eastAsia="en-US" w:bidi="ar-SA"/>
      </w:rPr>
    </w:lvl>
    <w:lvl w:ilvl="7" w:tplc="9F563F46">
      <w:numFmt w:val="bullet"/>
      <w:lvlText w:val="•"/>
      <w:lvlJc w:val="left"/>
      <w:pPr>
        <w:ind w:left="2150" w:hanging="284"/>
      </w:pPr>
      <w:rPr>
        <w:rFonts w:hint="default"/>
        <w:lang w:val="en-US" w:eastAsia="en-US" w:bidi="ar-SA"/>
      </w:rPr>
    </w:lvl>
    <w:lvl w:ilvl="8" w:tplc="E424E904">
      <w:numFmt w:val="bullet"/>
      <w:lvlText w:val="•"/>
      <w:lvlJc w:val="left"/>
      <w:pPr>
        <w:ind w:left="2400" w:hanging="284"/>
      </w:pPr>
      <w:rPr>
        <w:rFonts w:hint="default"/>
        <w:lang w:val="en-US" w:eastAsia="en-US" w:bidi="ar-SA"/>
      </w:rPr>
    </w:lvl>
  </w:abstractNum>
  <w:abstractNum w:abstractNumId="262" w15:restartNumberingAfterBreak="0">
    <w:nsid w:val="3FA55478"/>
    <w:multiLevelType w:val="hybridMultilevel"/>
    <w:tmpl w:val="9FC0256C"/>
    <w:lvl w:ilvl="0" w:tplc="1CB499D0">
      <w:numFmt w:val="bullet"/>
      <w:lvlText w:val=""/>
      <w:lvlJc w:val="left"/>
      <w:pPr>
        <w:ind w:left="423" w:hanging="284"/>
      </w:pPr>
      <w:rPr>
        <w:rFonts w:ascii="Symbol" w:eastAsia="Symbol" w:hAnsi="Symbol" w:cs="Symbol" w:hint="default"/>
        <w:b w:val="0"/>
        <w:bCs w:val="0"/>
        <w:i w:val="0"/>
        <w:iCs w:val="0"/>
        <w:color w:val="70004A"/>
        <w:spacing w:val="0"/>
        <w:w w:val="100"/>
        <w:sz w:val="18"/>
        <w:szCs w:val="18"/>
        <w:lang w:val="en-US" w:eastAsia="en-US" w:bidi="ar-SA"/>
      </w:rPr>
    </w:lvl>
    <w:lvl w:ilvl="1" w:tplc="2A264212">
      <w:numFmt w:val="bullet"/>
      <w:lvlText w:val="•"/>
      <w:lvlJc w:val="left"/>
      <w:pPr>
        <w:ind w:left="585" w:hanging="284"/>
      </w:pPr>
      <w:rPr>
        <w:rFonts w:hint="default"/>
        <w:lang w:val="en-US" w:eastAsia="en-US" w:bidi="ar-SA"/>
      </w:rPr>
    </w:lvl>
    <w:lvl w:ilvl="2" w:tplc="3022D0F2">
      <w:numFmt w:val="bullet"/>
      <w:lvlText w:val="•"/>
      <w:lvlJc w:val="left"/>
      <w:pPr>
        <w:ind w:left="750" w:hanging="284"/>
      </w:pPr>
      <w:rPr>
        <w:rFonts w:hint="default"/>
        <w:lang w:val="en-US" w:eastAsia="en-US" w:bidi="ar-SA"/>
      </w:rPr>
    </w:lvl>
    <w:lvl w:ilvl="3" w:tplc="5A82AFC0">
      <w:numFmt w:val="bullet"/>
      <w:lvlText w:val="•"/>
      <w:lvlJc w:val="left"/>
      <w:pPr>
        <w:ind w:left="916" w:hanging="284"/>
      </w:pPr>
      <w:rPr>
        <w:rFonts w:hint="default"/>
        <w:lang w:val="en-US" w:eastAsia="en-US" w:bidi="ar-SA"/>
      </w:rPr>
    </w:lvl>
    <w:lvl w:ilvl="4" w:tplc="C59EC68E">
      <w:numFmt w:val="bullet"/>
      <w:lvlText w:val="•"/>
      <w:lvlJc w:val="left"/>
      <w:pPr>
        <w:ind w:left="1081" w:hanging="284"/>
      </w:pPr>
      <w:rPr>
        <w:rFonts w:hint="default"/>
        <w:lang w:val="en-US" w:eastAsia="en-US" w:bidi="ar-SA"/>
      </w:rPr>
    </w:lvl>
    <w:lvl w:ilvl="5" w:tplc="BB74C5BC">
      <w:numFmt w:val="bullet"/>
      <w:lvlText w:val="•"/>
      <w:lvlJc w:val="left"/>
      <w:pPr>
        <w:ind w:left="1247" w:hanging="284"/>
      </w:pPr>
      <w:rPr>
        <w:rFonts w:hint="default"/>
        <w:lang w:val="en-US" w:eastAsia="en-US" w:bidi="ar-SA"/>
      </w:rPr>
    </w:lvl>
    <w:lvl w:ilvl="6" w:tplc="438EF710">
      <w:numFmt w:val="bullet"/>
      <w:lvlText w:val="•"/>
      <w:lvlJc w:val="left"/>
      <w:pPr>
        <w:ind w:left="1412" w:hanging="284"/>
      </w:pPr>
      <w:rPr>
        <w:rFonts w:hint="default"/>
        <w:lang w:val="en-US" w:eastAsia="en-US" w:bidi="ar-SA"/>
      </w:rPr>
    </w:lvl>
    <w:lvl w:ilvl="7" w:tplc="AD6A379E">
      <w:numFmt w:val="bullet"/>
      <w:lvlText w:val="•"/>
      <w:lvlJc w:val="left"/>
      <w:pPr>
        <w:ind w:left="1577" w:hanging="284"/>
      </w:pPr>
      <w:rPr>
        <w:rFonts w:hint="default"/>
        <w:lang w:val="en-US" w:eastAsia="en-US" w:bidi="ar-SA"/>
      </w:rPr>
    </w:lvl>
    <w:lvl w:ilvl="8" w:tplc="0A163660">
      <w:numFmt w:val="bullet"/>
      <w:lvlText w:val="•"/>
      <w:lvlJc w:val="left"/>
      <w:pPr>
        <w:ind w:left="1743" w:hanging="284"/>
      </w:pPr>
      <w:rPr>
        <w:rFonts w:hint="default"/>
        <w:lang w:val="en-US" w:eastAsia="en-US" w:bidi="ar-SA"/>
      </w:rPr>
    </w:lvl>
  </w:abstractNum>
  <w:abstractNum w:abstractNumId="263" w15:restartNumberingAfterBreak="0">
    <w:nsid w:val="3FDF115E"/>
    <w:multiLevelType w:val="hybridMultilevel"/>
    <w:tmpl w:val="DC0EC7A6"/>
    <w:lvl w:ilvl="0" w:tplc="B5680414">
      <w:numFmt w:val="bullet"/>
      <w:lvlText w:val=""/>
      <w:lvlJc w:val="left"/>
      <w:pPr>
        <w:ind w:left="360" w:hanging="360"/>
      </w:pPr>
      <w:rPr>
        <w:rFonts w:ascii="Symbol" w:eastAsia="Symbol" w:hAnsi="Symbol" w:cs="Symbol" w:hint="default"/>
        <w:b w:val="0"/>
        <w:bCs w:val="0"/>
        <w:i w:val="0"/>
        <w:iCs w:val="0"/>
        <w:color w:val="70004A"/>
        <w:spacing w:val="0"/>
        <w:w w:val="100"/>
        <w:sz w:val="20"/>
        <w:szCs w:val="20"/>
        <w:lang w:val="en-US" w:eastAsia="en-US" w:bidi="ar-SA"/>
      </w:rPr>
    </w:lvl>
    <w:lvl w:ilvl="1" w:tplc="ABA8B5F8">
      <w:numFmt w:val="bullet"/>
      <w:lvlText w:val="•"/>
      <w:lvlJc w:val="left"/>
      <w:pPr>
        <w:ind w:left="1287" w:hanging="360"/>
      </w:pPr>
      <w:rPr>
        <w:rFonts w:hint="default"/>
        <w:lang w:val="en-US" w:eastAsia="en-US" w:bidi="ar-SA"/>
      </w:rPr>
    </w:lvl>
    <w:lvl w:ilvl="2" w:tplc="92BCE2E4">
      <w:numFmt w:val="bullet"/>
      <w:lvlText w:val="•"/>
      <w:lvlJc w:val="left"/>
      <w:pPr>
        <w:ind w:left="2215" w:hanging="360"/>
      </w:pPr>
      <w:rPr>
        <w:rFonts w:hint="default"/>
        <w:lang w:val="en-US" w:eastAsia="en-US" w:bidi="ar-SA"/>
      </w:rPr>
    </w:lvl>
    <w:lvl w:ilvl="3" w:tplc="D5A00FEE">
      <w:numFmt w:val="bullet"/>
      <w:lvlText w:val="•"/>
      <w:lvlJc w:val="left"/>
      <w:pPr>
        <w:ind w:left="3143" w:hanging="360"/>
      </w:pPr>
      <w:rPr>
        <w:rFonts w:hint="default"/>
        <w:lang w:val="en-US" w:eastAsia="en-US" w:bidi="ar-SA"/>
      </w:rPr>
    </w:lvl>
    <w:lvl w:ilvl="4" w:tplc="7E5C3566">
      <w:numFmt w:val="bullet"/>
      <w:lvlText w:val="•"/>
      <w:lvlJc w:val="left"/>
      <w:pPr>
        <w:ind w:left="4071" w:hanging="360"/>
      </w:pPr>
      <w:rPr>
        <w:rFonts w:hint="default"/>
        <w:lang w:val="en-US" w:eastAsia="en-US" w:bidi="ar-SA"/>
      </w:rPr>
    </w:lvl>
    <w:lvl w:ilvl="5" w:tplc="EDB4B884">
      <w:numFmt w:val="bullet"/>
      <w:lvlText w:val="•"/>
      <w:lvlJc w:val="left"/>
      <w:pPr>
        <w:ind w:left="4999" w:hanging="360"/>
      </w:pPr>
      <w:rPr>
        <w:rFonts w:hint="default"/>
        <w:lang w:val="en-US" w:eastAsia="en-US" w:bidi="ar-SA"/>
      </w:rPr>
    </w:lvl>
    <w:lvl w:ilvl="6" w:tplc="12AC8C84">
      <w:numFmt w:val="bullet"/>
      <w:lvlText w:val="•"/>
      <w:lvlJc w:val="left"/>
      <w:pPr>
        <w:ind w:left="5927" w:hanging="360"/>
      </w:pPr>
      <w:rPr>
        <w:rFonts w:hint="default"/>
        <w:lang w:val="en-US" w:eastAsia="en-US" w:bidi="ar-SA"/>
      </w:rPr>
    </w:lvl>
    <w:lvl w:ilvl="7" w:tplc="4BBA868E">
      <w:numFmt w:val="bullet"/>
      <w:lvlText w:val="•"/>
      <w:lvlJc w:val="left"/>
      <w:pPr>
        <w:ind w:left="6855" w:hanging="360"/>
      </w:pPr>
      <w:rPr>
        <w:rFonts w:hint="default"/>
        <w:lang w:val="en-US" w:eastAsia="en-US" w:bidi="ar-SA"/>
      </w:rPr>
    </w:lvl>
    <w:lvl w:ilvl="8" w:tplc="79146530">
      <w:numFmt w:val="bullet"/>
      <w:lvlText w:val="•"/>
      <w:lvlJc w:val="left"/>
      <w:pPr>
        <w:ind w:left="7784" w:hanging="360"/>
      </w:pPr>
      <w:rPr>
        <w:rFonts w:hint="default"/>
        <w:lang w:val="en-US" w:eastAsia="en-US" w:bidi="ar-SA"/>
      </w:rPr>
    </w:lvl>
  </w:abstractNum>
  <w:abstractNum w:abstractNumId="264" w15:restartNumberingAfterBreak="0">
    <w:nsid w:val="40251615"/>
    <w:multiLevelType w:val="hybridMultilevel"/>
    <w:tmpl w:val="8EDC140E"/>
    <w:lvl w:ilvl="0" w:tplc="ACBAF6B8">
      <w:numFmt w:val="bullet"/>
      <w:lvlText w:val=""/>
      <w:lvlJc w:val="left"/>
      <w:pPr>
        <w:ind w:left="501" w:hanging="360"/>
      </w:pPr>
      <w:rPr>
        <w:rFonts w:ascii="Symbol" w:eastAsia="Symbol" w:hAnsi="Symbol" w:cs="Symbol" w:hint="default"/>
        <w:b w:val="0"/>
        <w:bCs w:val="0"/>
        <w:i w:val="0"/>
        <w:iCs w:val="0"/>
        <w:color w:val="70004A"/>
        <w:spacing w:val="0"/>
        <w:w w:val="100"/>
        <w:sz w:val="20"/>
        <w:szCs w:val="20"/>
        <w:lang w:val="en-US" w:eastAsia="en-US" w:bidi="ar-SA"/>
      </w:rPr>
    </w:lvl>
    <w:lvl w:ilvl="1" w:tplc="9EB2970E">
      <w:numFmt w:val="bullet"/>
      <w:lvlText w:val="•"/>
      <w:lvlJc w:val="left"/>
      <w:pPr>
        <w:ind w:left="1428" w:hanging="360"/>
      </w:pPr>
      <w:rPr>
        <w:rFonts w:hint="default"/>
        <w:lang w:val="en-US" w:eastAsia="en-US" w:bidi="ar-SA"/>
      </w:rPr>
    </w:lvl>
    <w:lvl w:ilvl="2" w:tplc="7A688626">
      <w:numFmt w:val="bullet"/>
      <w:lvlText w:val="•"/>
      <w:lvlJc w:val="left"/>
      <w:pPr>
        <w:ind w:left="2356" w:hanging="360"/>
      </w:pPr>
      <w:rPr>
        <w:rFonts w:hint="default"/>
        <w:lang w:val="en-US" w:eastAsia="en-US" w:bidi="ar-SA"/>
      </w:rPr>
    </w:lvl>
    <w:lvl w:ilvl="3" w:tplc="EC028ECC">
      <w:numFmt w:val="bullet"/>
      <w:lvlText w:val="•"/>
      <w:lvlJc w:val="left"/>
      <w:pPr>
        <w:ind w:left="3284" w:hanging="360"/>
      </w:pPr>
      <w:rPr>
        <w:rFonts w:hint="default"/>
        <w:lang w:val="en-US" w:eastAsia="en-US" w:bidi="ar-SA"/>
      </w:rPr>
    </w:lvl>
    <w:lvl w:ilvl="4" w:tplc="9752BDE0">
      <w:numFmt w:val="bullet"/>
      <w:lvlText w:val="•"/>
      <w:lvlJc w:val="left"/>
      <w:pPr>
        <w:ind w:left="4212" w:hanging="360"/>
      </w:pPr>
      <w:rPr>
        <w:rFonts w:hint="default"/>
        <w:lang w:val="en-US" w:eastAsia="en-US" w:bidi="ar-SA"/>
      </w:rPr>
    </w:lvl>
    <w:lvl w:ilvl="5" w:tplc="C5A62AAE">
      <w:numFmt w:val="bullet"/>
      <w:lvlText w:val="•"/>
      <w:lvlJc w:val="left"/>
      <w:pPr>
        <w:ind w:left="5140" w:hanging="360"/>
      </w:pPr>
      <w:rPr>
        <w:rFonts w:hint="default"/>
        <w:lang w:val="en-US" w:eastAsia="en-US" w:bidi="ar-SA"/>
      </w:rPr>
    </w:lvl>
    <w:lvl w:ilvl="6" w:tplc="A6D6F362">
      <w:numFmt w:val="bullet"/>
      <w:lvlText w:val="•"/>
      <w:lvlJc w:val="left"/>
      <w:pPr>
        <w:ind w:left="6068" w:hanging="360"/>
      </w:pPr>
      <w:rPr>
        <w:rFonts w:hint="default"/>
        <w:lang w:val="en-US" w:eastAsia="en-US" w:bidi="ar-SA"/>
      </w:rPr>
    </w:lvl>
    <w:lvl w:ilvl="7" w:tplc="7F54525C">
      <w:numFmt w:val="bullet"/>
      <w:lvlText w:val="•"/>
      <w:lvlJc w:val="left"/>
      <w:pPr>
        <w:ind w:left="6996" w:hanging="360"/>
      </w:pPr>
      <w:rPr>
        <w:rFonts w:hint="default"/>
        <w:lang w:val="en-US" w:eastAsia="en-US" w:bidi="ar-SA"/>
      </w:rPr>
    </w:lvl>
    <w:lvl w:ilvl="8" w:tplc="2A9891BC">
      <w:numFmt w:val="bullet"/>
      <w:lvlText w:val="•"/>
      <w:lvlJc w:val="left"/>
      <w:pPr>
        <w:ind w:left="7925" w:hanging="360"/>
      </w:pPr>
      <w:rPr>
        <w:rFonts w:hint="default"/>
        <w:lang w:val="en-US" w:eastAsia="en-US" w:bidi="ar-SA"/>
      </w:rPr>
    </w:lvl>
  </w:abstractNum>
  <w:abstractNum w:abstractNumId="265" w15:restartNumberingAfterBreak="0">
    <w:nsid w:val="41262360"/>
    <w:multiLevelType w:val="hybridMultilevel"/>
    <w:tmpl w:val="B932432A"/>
    <w:lvl w:ilvl="0" w:tplc="2F34612C">
      <w:numFmt w:val="bullet"/>
      <w:lvlText w:val=""/>
      <w:lvlJc w:val="left"/>
      <w:pPr>
        <w:ind w:left="475" w:hanging="284"/>
      </w:pPr>
      <w:rPr>
        <w:rFonts w:ascii="Symbol" w:eastAsia="Symbol" w:hAnsi="Symbol" w:cs="Symbol" w:hint="default"/>
        <w:b w:val="0"/>
        <w:bCs w:val="0"/>
        <w:i w:val="0"/>
        <w:iCs w:val="0"/>
        <w:color w:val="70004A"/>
        <w:spacing w:val="0"/>
        <w:w w:val="100"/>
        <w:sz w:val="18"/>
        <w:szCs w:val="18"/>
        <w:lang w:val="en-US" w:eastAsia="en-US" w:bidi="ar-SA"/>
      </w:rPr>
    </w:lvl>
    <w:lvl w:ilvl="1" w:tplc="681EA638">
      <w:numFmt w:val="bullet"/>
      <w:lvlText w:val="•"/>
      <w:lvlJc w:val="left"/>
      <w:pPr>
        <w:ind w:left="643" w:hanging="284"/>
      </w:pPr>
      <w:rPr>
        <w:rFonts w:hint="default"/>
        <w:lang w:val="en-US" w:eastAsia="en-US" w:bidi="ar-SA"/>
      </w:rPr>
    </w:lvl>
    <w:lvl w:ilvl="2" w:tplc="248A346E">
      <w:numFmt w:val="bullet"/>
      <w:lvlText w:val="•"/>
      <w:lvlJc w:val="left"/>
      <w:pPr>
        <w:ind w:left="807" w:hanging="284"/>
      </w:pPr>
      <w:rPr>
        <w:rFonts w:hint="default"/>
        <w:lang w:val="en-US" w:eastAsia="en-US" w:bidi="ar-SA"/>
      </w:rPr>
    </w:lvl>
    <w:lvl w:ilvl="3" w:tplc="DB500624">
      <w:numFmt w:val="bullet"/>
      <w:lvlText w:val="•"/>
      <w:lvlJc w:val="left"/>
      <w:pPr>
        <w:ind w:left="970" w:hanging="284"/>
      </w:pPr>
      <w:rPr>
        <w:rFonts w:hint="default"/>
        <w:lang w:val="en-US" w:eastAsia="en-US" w:bidi="ar-SA"/>
      </w:rPr>
    </w:lvl>
    <w:lvl w:ilvl="4" w:tplc="F810044E">
      <w:numFmt w:val="bullet"/>
      <w:lvlText w:val="•"/>
      <w:lvlJc w:val="left"/>
      <w:pPr>
        <w:ind w:left="1134" w:hanging="284"/>
      </w:pPr>
      <w:rPr>
        <w:rFonts w:hint="default"/>
        <w:lang w:val="en-US" w:eastAsia="en-US" w:bidi="ar-SA"/>
      </w:rPr>
    </w:lvl>
    <w:lvl w:ilvl="5" w:tplc="88F6DE64">
      <w:numFmt w:val="bullet"/>
      <w:lvlText w:val="•"/>
      <w:lvlJc w:val="left"/>
      <w:pPr>
        <w:ind w:left="1297" w:hanging="284"/>
      </w:pPr>
      <w:rPr>
        <w:rFonts w:hint="default"/>
        <w:lang w:val="en-US" w:eastAsia="en-US" w:bidi="ar-SA"/>
      </w:rPr>
    </w:lvl>
    <w:lvl w:ilvl="6" w:tplc="653A0054">
      <w:numFmt w:val="bullet"/>
      <w:lvlText w:val="•"/>
      <w:lvlJc w:val="left"/>
      <w:pPr>
        <w:ind w:left="1461" w:hanging="284"/>
      </w:pPr>
      <w:rPr>
        <w:rFonts w:hint="default"/>
        <w:lang w:val="en-US" w:eastAsia="en-US" w:bidi="ar-SA"/>
      </w:rPr>
    </w:lvl>
    <w:lvl w:ilvl="7" w:tplc="F39098FA">
      <w:numFmt w:val="bullet"/>
      <w:lvlText w:val="•"/>
      <w:lvlJc w:val="left"/>
      <w:pPr>
        <w:ind w:left="1624" w:hanging="284"/>
      </w:pPr>
      <w:rPr>
        <w:rFonts w:hint="default"/>
        <w:lang w:val="en-US" w:eastAsia="en-US" w:bidi="ar-SA"/>
      </w:rPr>
    </w:lvl>
    <w:lvl w:ilvl="8" w:tplc="396EB76C">
      <w:numFmt w:val="bullet"/>
      <w:lvlText w:val="•"/>
      <w:lvlJc w:val="left"/>
      <w:pPr>
        <w:ind w:left="1788" w:hanging="284"/>
      </w:pPr>
      <w:rPr>
        <w:rFonts w:hint="default"/>
        <w:lang w:val="en-US" w:eastAsia="en-US" w:bidi="ar-SA"/>
      </w:rPr>
    </w:lvl>
  </w:abstractNum>
  <w:abstractNum w:abstractNumId="266" w15:restartNumberingAfterBreak="0">
    <w:nsid w:val="4196555D"/>
    <w:multiLevelType w:val="hybridMultilevel"/>
    <w:tmpl w:val="1750CA4C"/>
    <w:lvl w:ilvl="0" w:tplc="72CA24A2">
      <w:numFmt w:val="bullet"/>
      <w:lvlText w:val=""/>
      <w:lvlJc w:val="left"/>
      <w:pPr>
        <w:ind w:left="477" w:hanging="284"/>
      </w:pPr>
      <w:rPr>
        <w:rFonts w:ascii="Symbol" w:eastAsia="Symbol" w:hAnsi="Symbol" w:cs="Symbol" w:hint="default"/>
        <w:b w:val="0"/>
        <w:bCs w:val="0"/>
        <w:i w:val="0"/>
        <w:iCs w:val="0"/>
        <w:color w:val="70004A"/>
        <w:spacing w:val="0"/>
        <w:w w:val="100"/>
        <w:sz w:val="18"/>
        <w:szCs w:val="18"/>
        <w:lang w:val="en-US" w:eastAsia="en-US" w:bidi="ar-SA"/>
      </w:rPr>
    </w:lvl>
    <w:lvl w:ilvl="1" w:tplc="BCCEB00A">
      <w:numFmt w:val="bullet"/>
      <w:lvlText w:val="•"/>
      <w:lvlJc w:val="left"/>
      <w:pPr>
        <w:ind w:left="742" w:hanging="284"/>
      </w:pPr>
      <w:rPr>
        <w:rFonts w:hint="default"/>
        <w:lang w:val="en-US" w:eastAsia="en-US" w:bidi="ar-SA"/>
      </w:rPr>
    </w:lvl>
    <w:lvl w:ilvl="2" w:tplc="1E4EF862">
      <w:numFmt w:val="bullet"/>
      <w:lvlText w:val="•"/>
      <w:lvlJc w:val="left"/>
      <w:pPr>
        <w:ind w:left="1005" w:hanging="284"/>
      </w:pPr>
      <w:rPr>
        <w:rFonts w:hint="default"/>
        <w:lang w:val="en-US" w:eastAsia="en-US" w:bidi="ar-SA"/>
      </w:rPr>
    </w:lvl>
    <w:lvl w:ilvl="3" w:tplc="8ABE11AC">
      <w:numFmt w:val="bullet"/>
      <w:lvlText w:val="•"/>
      <w:lvlJc w:val="left"/>
      <w:pPr>
        <w:ind w:left="1268" w:hanging="284"/>
      </w:pPr>
      <w:rPr>
        <w:rFonts w:hint="default"/>
        <w:lang w:val="en-US" w:eastAsia="en-US" w:bidi="ar-SA"/>
      </w:rPr>
    </w:lvl>
    <w:lvl w:ilvl="4" w:tplc="77A6BF5E">
      <w:numFmt w:val="bullet"/>
      <w:lvlText w:val="•"/>
      <w:lvlJc w:val="left"/>
      <w:pPr>
        <w:ind w:left="1530" w:hanging="284"/>
      </w:pPr>
      <w:rPr>
        <w:rFonts w:hint="default"/>
        <w:lang w:val="en-US" w:eastAsia="en-US" w:bidi="ar-SA"/>
      </w:rPr>
    </w:lvl>
    <w:lvl w:ilvl="5" w:tplc="184687A0">
      <w:numFmt w:val="bullet"/>
      <w:lvlText w:val="•"/>
      <w:lvlJc w:val="left"/>
      <w:pPr>
        <w:ind w:left="1793" w:hanging="284"/>
      </w:pPr>
      <w:rPr>
        <w:rFonts w:hint="default"/>
        <w:lang w:val="en-US" w:eastAsia="en-US" w:bidi="ar-SA"/>
      </w:rPr>
    </w:lvl>
    <w:lvl w:ilvl="6" w:tplc="657A8E06">
      <w:numFmt w:val="bullet"/>
      <w:lvlText w:val="•"/>
      <w:lvlJc w:val="left"/>
      <w:pPr>
        <w:ind w:left="2056" w:hanging="284"/>
      </w:pPr>
      <w:rPr>
        <w:rFonts w:hint="default"/>
        <w:lang w:val="en-US" w:eastAsia="en-US" w:bidi="ar-SA"/>
      </w:rPr>
    </w:lvl>
    <w:lvl w:ilvl="7" w:tplc="0C94E68C">
      <w:numFmt w:val="bullet"/>
      <w:lvlText w:val="•"/>
      <w:lvlJc w:val="left"/>
      <w:pPr>
        <w:ind w:left="2318" w:hanging="284"/>
      </w:pPr>
      <w:rPr>
        <w:rFonts w:hint="default"/>
        <w:lang w:val="en-US" w:eastAsia="en-US" w:bidi="ar-SA"/>
      </w:rPr>
    </w:lvl>
    <w:lvl w:ilvl="8" w:tplc="23C0E7FC">
      <w:numFmt w:val="bullet"/>
      <w:lvlText w:val="•"/>
      <w:lvlJc w:val="left"/>
      <w:pPr>
        <w:ind w:left="2581" w:hanging="284"/>
      </w:pPr>
      <w:rPr>
        <w:rFonts w:hint="default"/>
        <w:lang w:val="en-US" w:eastAsia="en-US" w:bidi="ar-SA"/>
      </w:rPr>
    </w:lvl>
  </w:abstractNum>
  <w:abstractNum w:abstractNumId="267" w15:restartNumberingAfterBreak="0">
    <w:nsid w:val="41D5382E"/>
    <w:multiLevelType w:val="hybridMultilevel"/>
    <w:tmpl w:val="0BA28012"/>
    <w:lvl w:ilvl="0" w:tplc="9B4E6546">
      <w:numFmt w:val="bullet"/>
      <w:lvlText w:val=""/>
      <w:lvlJc w:val="left"/>
      <w:pPr>
        <w:ind w:left="457" w:hanging="284"/>
      </w:pPr>
      <w:rPr>
        <w:rFonts w:ascii="Symbol" w:eastAsia="Symbol" w:hAnsi="Symbol" w:cs="Symbol" w:hint="default"/>
        <w:b w:val="0"/>
        <w:bCs w:val="0"/>
        <w:i w:val="0"/>
        <w:iCs w:val="0"/>
        <w:color w:val="70004A"/>
        <w:spacing w:val="0"/>
        <w:w w:val="100"/>
        <w:sz w:val="18"/>
        <w:szCs w:val="18"/>
        <w:lang w:val="en-US" w:eastAsia="en-US" w:bidi="ar-SA"/>
      </w:rPr>
    </w:lvl>
    <w:lvl w:ilvl="1" w:tplc="A45CFF80">
      <w:numFmt w:val="bullet"/>
      <w:lvlText w:val="•"/>
      <w:lvlJc w:val="left"/>
      <w:pPr>
        <w:ind w:left="741" w:hanging="284"/>
      </w:pPr>
      <w:rPr>
        <w:rFonts w:hint="default"/>
        <w:lang w:val="en-US" w:eastAsia="en-US" w:bidi="ar-SA"/>
      </w:rPr>
    </w:lvl>
    <w:lvl w:ilvl="2" w:tplc="9B6E7870">
      <w:numFmt w:val="bullet"/>
      <w:lvlText w:val="•"/>
      <w:lvlJc w:val="left"/>
      <w:pPr>
        <w:ind w:left="1023" w:hanging="284"/>
      </w:pPr>
      <w:rPr>
        <w:rFonts w:hint="default"/>
        <w:lang w:val="en-US" w:eastAsia="en-US" w:bidi="ar-SA"/>
      </w:rPr>
    </w:lvl>
    <w:lvl w:ilvl="3" w:tplc="BE9AC3CA">
      <w:numFmt w:val="bullet"/>
      <w:lvlText w:val="•"/>
      <w:lvlJc w:val="left"/>
      <w:pPr>
        <w:ind w:left="1304" w:hanging="284"/>
      </w:pPr>
      <w:rPr>
        <w:rFonts w:hint="default"/>
        <w:lang w:val="en-US" w:eastAsia="en-US" w:bidi="ar-SA"/>
      </w:rPr>
    </w:lvl>
    <w:lvl w:ilvl="4" w:tplc="9C48FF44">
      <w:numFmt w:val="bullet"/>
      <w:lvlText w:val="•"/>
      <w:lvlJc w:val="left"/>
      <w:pPr>
        <w:ind w:left="1586" w:hanging="284"/>
      </w:pPr>
      <w:rPr>
        <w:rFonts w:hint="default"/>
        <w:lang w:val="en-US" w:eastAsia="en-US" w:bidi="ar-SA"/>
      </w:rPr>
    </w:lvl>
    <w:lvl w:ilvl="5" w:tplc="72CECF86">
      <w:numFmt w:val="bullet"/>
      <w:lvlText w:val="•"/>
      <w:lvlJc w:val="left"/>
      <w:pPr>
        <w:ind w:left="1867" w:hanging="284"/>
      </w:pPr>
      <w:rPr>
        <w:rFonts w:hint="default"/>
        <w:lang w:val="en-US" w:eastAsia="en-US" w:bidi="ar-SA"/>
      </w:rPr>
    </w:lvl>
    <w:lvl w:ilvl="6" w:tplc="F4921ECA">
      <w:numFmt w:val="bullet"/>
      <w:lvlText w:val="•"/>
      <w:lvlJc w:val="left"/>
      <w:pPr>
        <w:ind w:left="2149" w:hanging="284"/>
      </w:pPr>
      <w:rPr>
        <w:rFonts w:hint="default"/>
        <w:lang w:val="en-US" w:eastAsia="en-US" w:bidi="ar-SA"/>
      </w:rPr>
    </w:lvl>
    <w:lvl w:ilvl="7" w:tplc="73B2ED84">
      <w:numFmt w:val="bullet"/>
      <w:lvlText w:val="•"/>
      <w:lvlJc w:val="left"/>
      <w:pPr>
        <w:ind w:left="2430" w:hanging="284"/>
      </w:pPr>
      <w:rPr>
        <w:rFonts w:hint="default"/>
        <w:lang w:val="en-US" w:eastAsia="en-US" w:bidi="ar-SA"/>
      </w:rPr>
    </w:lvl>
    <w:lvl w:ilvl="8" w:tplc="671E619E">
      <w:numFmt w:val="bullet"/>
      <w:lvlText w:val="•"/>
      <w:lvlJc w:val="left"/>
      <w:pPr>
        <w:ind w:left="2712" w:hanging="284"/>
      </w:pPr>
      <w:rPr>
        <w:rFonts w:hint="default"/>
        <w:lang w:val="en-US" w:eastAsia="en-US" w:bidi="ar-SA"/>
      </w:rPr>
    </w:lvl>
  </w:abstractNum>
  <w:abstractNum w:abstractNumId="268" w15:restartNumberingAfterBreak="0">
    <w:nsid w:val="41D95160"/>
    <w:multiLevelType w:val="hybridMultilevel"/>
    <w:tmpl w:val="37E002A2"/>
    <w:lvl w:ilvl="0" w:tplc="6F0E0056">
      <w:numFmt w:val="bullet"/>
      <w:lvlText w:val=""/>
      <w:lvlJc w:val="left"/>
      <w:pPr>
        <w:ind w:left="481" w:hanging="284"/>
      </w:pPr>
      <w:rPr>
        <w:rFonts w:ascii="Symbol" w:eastAsia="Symbol" w:hAnsi="Symbol" w:cs="Symbol" w:hint="default"/>
        <w:b w:val="0"/>
        <w:bCs w:val="0"/>
        <w:i w:val="0"/>
        <w:iCs w:val="0"/>
        <w:color w:val="70004A"/>
        <w:spacing w:val="0"/>
        <w:w w:val="100"/>
        <w:sz w:val="18"/>
        <w:szCs w:val="18"/>
        <w:lang w:val="en-US" w:eastAsia="en-US" w:bidi="ar-SA"/>
      </w:rPr>
    </w:lvl>
    <w:lvl w:ilvl="1" w:tplc="3F84FA50">
      <w:numFmt w:val="bullet"/>
      <w:lvlText w:val="•"/>
      <w:lvlJc w:val="left"/>
      <w:pPr>
        <w:ind w:left="745" w:hanging="284"/>
      </w:pPr>
      <w:rPr>
        <w:rFonts w:hint="default"/>
        <w:lang w:val="en-US" w:eastAsia="en-US" w:bidi="ar-SA"/>
      </w:rPr>
    </w:lvl>
    <w:lvl w:ilvl="2" w:tplc="91AAA8D8">
      <w:numFmt w:val="bullet"/>
      <w:lvlText w:val="•"/>
      <w:lvlJc w:val="left"/>
      <w:pPr>
        <w:ind w:left="1010" w:hanging="284"/>
      </w:pPr>
      <w:rPr>
        <w:rFonts w:hint="default"/>
        <w:lang w:val="en-US" w:eastAsia="en-US" w:bidi="ar-SA"/>
      </w:rPr>
    </w:lvl>
    <w:lvl w:ilvl="3" w:tplc="0472E588">
      <w:numFmt w:val="bullet"/>
      <w:lvlText w:val="•"/>
      <w:lvlJc w:val="left"/>
      <w:pPr>
        <w:ind w:left="1275" w:hanging="284"/>
      </w:pPr>
      <w:rPr>
        <w:rFonts w:hint="default"/>
        <w:lang w:val="en-US" w:eastAsia="en-US" w:bidi="ar-SA"/>
      </w:rPr>
    </w:lvl>
    <w:lvl w:ilvl="4" w:tplc="5282B9DE">
      <w:numFmt w:val="bullet"/>
      <w:lvlText w:val="•"/>
      <w:lvlJc w:val="left"/>
      <w:pPr>
        <w:ind w:left="1540" w:hanging="284"/>
      </w:pPr>
      <w:rPr>
        <w:rFonts w:hint="default"/>
        <w:lang w:val="en-US" w:eastAsia="en-US" w:bidi="ar-SA"/>
      </w:rPr>
    </w:lvl>
    <w:lvl w:ilvl="5" w:tplc="F7D8CE08">
      <w:numFmt w:val="bullet"/>
      <w:lvlText w:val="•"/>
      <w:lvlJc w:val="left"/>
      <w:pPr>
        <w:ind w:left="1805" w:hanging="284"/>
      </w:pPr>
      <w:rPr>
        <w:rFonts w:hint="default"/>
        <w:lang w:val="en-US" w:eastAsia="en-US" w:bidi="ar-SA"/>
      </w:rPr>
    </w:lvl>
    <w:lvl w:ilvl="6" w:tplc="97DC503A">
      <w:numFmt w:val="bullet"/>
      <w:lvlText w:val="•"/>
      <w:lvlJc w:val="left"/>
      <w:pPr>
        <w:ind w:left="2070" w:hanging="284"/>
      </w:pPr>
      <w:rPr>
        <w:rFonts w:hint="default"/>
        <w:lang w:val="en-US" w:eastAsia="en-US" w:bidi="ar-SA"/>
      </w:rPr>
    </w:lvl>
    <w:lvl w:ilvl="7" w:tplc="31F615B6">
      <w:numFmt w:val="bullet"/>
      <w:lvlText w:val="•"/>
      <w:lvlJc w:val="left"/>
      <w:pPr>
        <w:ind w:left="2335" w:hanging="284"/>
      </w:pPr>
      <w:rPr>
        <w:rFonts w:hint="default"/>
        <w:lang w:val="en-US" w:eastAsia="en-US" w:bidi="ar-SA"/>
      </w:rPr>
    </w:lvl>
    <w:lvl w:ilvl="8" w:tplc="47700D4C">
      <w:numFmt w:val="bullet"/>
      <w:lvlText w:val="•"/>
      <w:lvlJc w:val="left"/>
      <w:pPr>
        <w:ind w:left="2600" w:hanging="284"/>
      </w:pPr>
      <w:rPr>
        <w:rFonts w:hint="default"/>
        <w:lang w:val="en-US" w:eastAsia="en-US" w:bidi="ar-SA"/>
      </w:rPr>
    </w:lvl>
  </w:abstractNum>
  <w:abstractNum w:abstractNumId="269" w15:restartNumberingAfterBreak="0">
    <w:nsid w:val="41EC33BD"/>
    <w:multiLevelType w:val="hybridMultilevel"/>
    <w:tmpl w:val="3BD02350"/>
    <w:lvl w:ilvl="0" w:tplc="62C6D7C6">
      <w:start w:val="1"/>
      <w:numFmt w:val="decimal"/>
      <w:lvlText w:val="%1."/>
      <w:lvlJc w:val="left"/>
      <w:pPr>
        <w:ind w:left="578" w:hanging="425"/>
      </w:pPr>
      <w:rPr>
        <w:rFonts w:ascii="Arial" w:eastAsia="Arial" w:hAnsi="Arial" w:cs="Arial" w:hint="default"/>
        <w:b w:val="0"/>
        <w:bCs w:val="0"/>
        <w:i w:val="0"/>
        <w:iCs w:val="0"/>
        <w:color w:val="70004A"/>
        <w:spacing w:val="-1"/>
        <w:w w:val="100"/>
        <w:sz w:val="14"/>
        <w:szCs w:val="14"/>
        <w:lang w:val="en-US" w:eastAsia="en-US" w:bidi="ar-SA"/>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0" w15:restartNumberingAfterBreak="0">
    <w:nsid w:val="42445B81"/>
    <w:multiLevelType w:val="hybridMultilevel"/>
    <w:tmpl w:val="3DB0FF0A"/>
    <w:lvl w:ilvl="0" w:tplc="CCC08334">
      <w:numFmt w:val="bullet"/>
      <w:lvlText w:val=""/>
      <w:lvlJc w:val="left"/>
      <w:pPr>
        <w:ind w:left="433" w:hanging="284"/>
      </w:pPr>
      <w:rPr>
        <w:rFonts w:ascii="Symbol" w:eastAsia="Symbol" w:hAnsi="Symbol" w:cs="Symbol" w:hint="default"/>
        <w:b w:val="0"/>
        <w:bCs w:val="0"/>
        <w:i w:val="0"/>
        <w:iCs w:val="0"/>
        <w:color w:val="70004A"/>
        <w:spacing w:val="0"/>
        <w:w w:val="100"/>
        <w:sz w:val="18"/>
        <w:szCs w:val="18"/>
        <w:lang w:val="en-US" w:eastAsia="en-US" w:bidi="ar-SA"/>
      </w:rPr>
    </w:lvl>
    <w:lvl w:ilvl="1" w:tplc="C19AC8DE">
      <w:numFmt w:val="bullet"/>
      <w:lvlText w:val="•"/>
      <w:lvlJc w:val="left"/>
      <w:pPr>
        <w:ind w:left="654" w:hanging="284"/>
      </w:pPr>
      <w:rPr>
        <w:rFonts w:hint="default"/>
        <w:lang w:val="en-US" w:eastAsia="en-US" w:bidi="ar-SA"/>
      </w:rPr>
    </w:lvl>
    <w:lvl w:ilvl="2" w:tplc="66BCC852">
      <w:numFmt w:val="bullet"/>
      <w:lvlText w:val="•"/>
      <w:lvlJc w:val="left"/>
      <w:pPr>
        <w:ind w:left="868" w:hanging="284"/>
      </w:pPr>
      <w:rPr>
        <w:rFonts w:hint="default"/>
        <w:lang w:val="en-US" w:eastAsia="en-US" w:bidi="ar-SA"/>
      </w:rPr>
    </w:lvl>
    <w:lvl w:ilvl="3" w:tplc="6CD6BA5A">
      <w:numFmt w:val="bullet"/>
      <w:lvlText w:val="•"/>
      <w:lvlJc w:val="left"/>
      <w:pPr>
        <w:ind w:left="1082" w:hanging="284"/>
      </w:pPr>
      <w:rPr>
        <w:rFonts w:hint="default"/>
        <w:lang w:val="en-US" w:eastAsia="en-US" w:bidi="ar-SA"/>
      </w:rPr>
    </w:lvl>
    <w:lvl w:ilvl="4" w:tplc="9968BC2E">
      <w:numFmt w:val="bullet"/>
      <w:lvlText w:val="•"/>
      <w:lvlJc w:val="left"/>
      <w:pPr>
        <w:ind w:left="1296" w:hanging="284"/>
      </w:pPr>
      <w:rPr>
        <w:rFonts w:hint="default"/>
        <w:lang w:val="en-US" w:eastAsia="en-US" w:bidi="ar-SA"/>
      </w:rPr>
    </w:lvl>
    <w:lvl w:ilvl="5" w:tplc="D292E420">
      <w:numFmt w:val="bullet"/>
      <w:lvlText w:val="•"/>
      <w:lvlJc w:val="left"/>
      <w:pPr>
        <w:ind w:left="1511" w:hanging="284"/>
      </w:pPr>
      <w:rPr>
        <w:rFonts w:hint="default"/>
        <w:lang w:val="en-US" w:eastAsia="en-US" w:bidi="ar-SA"/>
      </w:rPr>
    </w:lvl>
    <w:lvl w:ilvl="6" w:tplc="2D046AAA">
      <w:numFmt w:val="bullet"/>
      <w:lvlText w:val="•"/>
      <w:lvlJc w:val="left"/>
      <w:pPr>
        <w:ind w:left="1725" w:hanging="284"/>
      </w:pPr>
      <w:rPr>
        <w:rFonts w:hint="default"/>
        <w:lang w:val="en-US" w:eastAsia="en-US" w:bidi="ar-SA"/>
      </w:rPr>
    </w:lvl>
    <w:lvl w:ilvl="7" w:tplc="54C43C3A">
      <w:numFmt w:val="bullet"/>
      <w:lvlText w:val="•"/>
      <w:lvlJc w:val="left"/>
      <w:pPr>
        <w:ind w:left="1939" w:hanging="284"/>
      </w:pPr>
      <w:rPr>
        <w:rFonts w:hint="default"/>
        <w:lang w:val="en-US" w:eastAsia="en-US" w:bidi="ar-SA"/>
      </w:rPr>
    </w:lvl>
    <w:lvl w:ilvl="8" w:tplc="E9445472">
      <w:numFmt w:val="bullet"/>
      <w:lvlText w:val="•"/>
      <w:lvlJc w:val="left"/>
      <w:pPr>
        <w:ind w:left="2153" w:hanging="284"/>
      </w:pPr>
      <w:rPr>
        <w:rFonts w:hint="default"/>
        <w:lang w:val="en-US" w:eastAsia="en-US" w:bidi="ar-SA"/>
      </w:rPr>
    </w:lvl>
  </w:abstractNum>
  <w:abstractNum w:abstractNumId="271" w15:restartNumberingAfterBreak="0">
    <w:nsid w:val="4248175C"/>
    <w:multiLevelType w:val="hybridMultilevel"/>
    <w:tmpl w:val="9DCE8FEE"/>
    <w:lvl w:ilvl="0" w:tplc="0C7C672E">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BB2ADC24">
      <w:numFmt w:val="bullet"/>
      <w:lvlText w:val="•"/>
      <w:lvlJc w:val="left"/>
      <w:pPr>
        <w:ind w:left="668" w:hanging="284"/>
      </w:pPr>
      <w:rPr>
        <w:rFonts w:hint="default"/>
        <w:lang w:val="en-US" w:eastAsia="en-US" w:bidi="ar-SA"/>
      </w:rPr>
    </w:lvl>
    <w:lvl w:ilvl="2" w:tplc="E6643E36">
      <w:numFmt w:val="bullet"/>
      <w:lvlText w:val="•"/>
      <w:lvlJc w:val="left"/>
      <w:pPr>
        <w:ind w:left="937" w:hanging="284"/>
      </w:pPr>
      <w:rPr>
        <w:rFonts w:hint="default"/>
        <w:lang w:val="en-US" w:eastAsia="en-US" w:bidi="ar-SA"/>
      </w:rPr>
    </w:lvl>
    <w:lvl w:ilvl="3" w:tplc="09BA7754">
      <w:numFmt w:val="bullet"/>
      <w:lvlText w:val="•"/>
      <w:lvlJc w:val="left"/>
      <w:pPr>
        <w:ind w:left="1205" w:hanging="284"/>
      </w:pPr>
      <w:rPr>
        <w:rFonts w:hint="default"/>
        <w:lang w:val="en-US" w:eastAsia="en-US" w:bidi="ar-SA"/>
      </w:rPr>
    </w:lvl>
    <w:lvl w:ilvl="4" w:tplc="60CC0A78">
      <w:numFmt w:val="bullet"/>
      <w:lvlText w:val="•"/>
      <w:lvlJc w:val="left"/>
      <w:pPr>
        <w:ind w:left="1474" w:hanging="284"/>
      </w:pPr>
      <w:rPr>
        <w:rFonts w:hint="default"/>
        <w:lang w:val="en-US" w:eastAsia="en-US" w:bidi="ar-SA"/>
      </w:rPr>
    </w:lvl>
    <w:lvl w:ilvl="5" w:tplc="19F653BE">
      <w:numFmt w:val="bullet"/>
      <w:lvlText w:val="•"/>
      <w:lvlJc w:val="left"/>
      <w:pPr>
        <w:ind w:left="1743" w:hanging="284"/>
      </w:pPr>
      <w:rPr>
        <w:rFonts w:hint="default"/>
        <w:lang w:val="en-US" w:eastAsia="en-US" w:bidi="ar-SA"/>
      </w:rPr>
    </w:lvl>
    <w:lvl w:ilvl="6" w:tplc="FF5ACA94">
      <w:numFmt w:val="bullet"/>
      <w:lvlText w:val="•"/>
      <w:lvlJc w:val="left"/>
      <w:pPr>
        <w:ind w:left="2011" w:hanging="284"/>
      </w:pPr>
      <w:rPr>
        <w:rFonts w:hint="default"/>
        <w:lang w:val="en-US" w:eastAsia="en-US" w:bidi="ar-SA"/>
      </w:rPr>
    </w:lvl>
    <w:lvl w:ilvl="7" w:tplc="1EBEACF2">
      <w:numFmt w:val="bullet"/>
      <w:lvlText w:val="•"/>
      <w:lvlJc w:val="left"/>
      <w:pPr>
        <w:ind w:left="2280" w:hanging="284"/>
      </w:pPr>
      <w:rPr>
        <w:rFonts w:hint="default"/>
        <w:lang w:val="en-US" w:eastAsia="en-US" w:bidi="ar-SA"/>
      </w:rPr>
    </w:lvl>
    <w:lvl w:ilvl="8" w:tplc="4E90550E">
      <w:numFmt w:val="bullet"/>
      <w:lvlText w:val="•"/>
      <w:lvlJc w:val="left"/>
      <w:pPr>
        <w:ind w:left="2548" w:hanging="284"/>
      </w:pPr>
      <w:rPr>
        <w:rFonts w:hint="default"/>
        <w:lang w:val="en-US" w:eastAsia="en-US" w:bidi="ar-SA"/>
      </w:rPr>
    </w:lvl>
  </w:abstractNum>
  <w:abstractNum w:abstractNumId="272" w15:restartNumberingAfterBreak="0">
    <w:nsid w:val="426739C8"/>
    <w:multiLevelType w:val="hybridMultilevel"/>
    <w:tmpl w:val="F334D074"/>
    <w:lvl w:ilvl="0" w:tplc="A5A420DE">
      <w:numFmt w:val="bullet"/>
      <w:lvlText w:val=""/>
      <w:lvlJc w:val="left"/>
      <w:pPr>
        <w:ind w:left="490" w:hanging="284"/>
      </w:pPr>
      <w:rPr>
        <w:rFonts w:ascii="Symbol" w:eastAsia="Symbol" w:hAnsi="Symbol" w:cs="Symbol" w:hint="default"/>
        <w:b w:val="0"/>
        <w:bCs w:val="0"/>
        <w:i w:val="0"/>
        <w:iCs w:val="0"/>
        <w:color w:val="70004A"/>
        <w:spacing w:val="0"/>
        <w:w w:val="100"/>
        <w:sz w:val="18"/>
        <w:szCs w:val="18"/>
        <w:lang w:val="en-US" w:eastAsia="en-US" w:bidi="ar-SA"/>
      </w:rPr>
    </w:lvl>
    <w:lvl w:ilvl="1" w:tplc="369EAEEE">
      <w:numFmt w:val="bullet"/>
      <w:lvlText w:val="•"/>
      <w:lvlJc w:val="left"/>
      <w:pPr>
        <w:ind w:left="766" w:hanging="284"/>
      </w:pPr>
      <w:rPr>
        <w:rFonts w:hint="default"/>
        <w:lang w:val="en-US" w:eastAsia="en-US" w:bidi="ar-SA"/>
      </w:rPr>
    </w:lvl>
    <w:lvl w:ilvl="2" w:tplc="4D74E4E0">
      <w:numFmt w:val="bullet"/>
      <w:lvlText w:val="•"/>
      <w:lvlJc w:val="left"/>
      <w:pPr>
        <w:ind w:left="1033" w:hanging="284"/>
      </w:pPr>
      <w:rPr>
        <w:rFonts w:hint="default"/>
        <w:lang w:val="en-US" w:eastAsia="en-US" w:bidi="ar-SA"/>
      </w:rPr>
    </w:lvl>
    <w:lvl w:ilvl="3" w:tplc="05FCF5C2">
      <w:numFmt w:val="bullet"/>
      <w:lvlText w:val="•"/>
      <w:lvlJc w:val="left"/>
      <w:pPr>
        <w:ind w:left="1300" w:hanging="284"/>
      </w:pPr>
      <w:rPr>
        <w:rFonts w:hint="default"/>
        <w:lang w:val="en-US" w:eastAsia="en-US" w:bidi="ar-SA"/>
      </w:rPr>
    </w:lvl>
    <w:lvl w:ilvl="4" w:tplc="B4EAF09E">
      <w:numFmt w:val="bullet"/>
      <w:lvlText w:val="•"/>
      <w:lvlJc w:val="left"/>
      <w:pPr>
        <w:ind w:left="1567" w:hanging="284"/>
      </w:pPr>
      <w:rPr>
        <w:rFonts w:hint="default"/>
        <w:lang w:val="en-US" w:eastAsia="en-US" w:bidi="ar-SA"/>
      </w:rPr>
    </w:lvl>
    <w:lvl w:ilvl="5" w:tplc="652EF974">
      <w:numFmt w:val="bullet"/>
      <w:lvlText w:val="•"/>
      <w:lvlJc w:val="left"/>
      <w:pPr>
        <w:ind w:left="1834" w:hanging="284"/>
      </w:pPr>
      <w:rPr>
        <w:rFonts w:hint="default"/>
        <w:lang w:val="en-US" w:eastAsia="en-US" w:bidi="ar-SA"/>
      </w:rPr>
    </w:lvl>
    <w:lvl w:ilvl="6" w:tplc="A158576A">
      <w:numFmt w:val="bullet"/>
      <w:lvlText w:val="•"/>
      <w:lvlJc w:val="left"/>
      <w:pPr>
        <w:ind w:left="2100" w:hanging="284"/>
      </w:pPr>
      <w:rPr>
        <w:rFonts w:hint="default"/>
        <w:lang w:val="en-US" w:eastAsia="en-US" w:bidi="ar-SA"/>
      </w:rPr>
    </w:lvl>
    <w:lvl w:ilvl="7" w:tplc="D4706A82">
      <w:numFmt w:val="bullet"/>
      <w:lvlText w:val="•"/>
      <w:lvlJc w:val="left"/>
      <w:pPr>
        <w:ind w:left="2367" w:hanging="284"/>
      </w:pPr>
      <w:rPr>
        <w:rFonts w:hint="default"/>
        <w:lang w:val="en-US" w:eastAsia="en-US" w:bidi="ar-SA"/>
      </w:rPr>
    </w:lvl>
    <w:lvl w:ilvl="8" w:tplc="94EEE606">
      <w:numFmt w:val="bullet"/>
      <w:lvlText w:val="•"/>
      <w:lvlJc w:val="left"/>
      <w:pPr>
        <w:ind w:left="2634" w:hanging="284"/>
      </w:pPr>
      <w:rPr>
        <w:rFonts w:hint="default"/>
        <w:lang w:val="en-US" w:eastAsia="en-US" w:bidi="ar-SA"/>
      </w:rPr>
    </w:lvl>
  </w:abstractNum>
  <w:abstractNum w:abstractNumId="273" w15:restartNumberingAfterBreak="0">
    <w:nsid w:val="429A6143"/>
    <w:multiLevelType w:val="hybridMultilevel"/>
    <w:tmpl w:val="1D662F1C"/>
    <w:lvl w:ilvl="0" w:tplc="C9A66160">
      <w:numFmt w:val="bullet"/>
      <w:lvlText w:val=""/>
      <w:lvlJc w:val="left"/>
      <w:pPr>
        <w:ind w:left="455" w:hanging="284"/>
      </w:pPr>
      <w:rPr>
        <w:rFonts w:ascii="Symbol" w:eastAsia="Symbol" w:hAnsi="Symbol" w:cs="Symbol" w:hint="default"/>
        <w:b w:val="0"/>
        <w:bCs w:val="0"/>
        <w:i w:val="0"/>
        <w:iCs w:val="0"/>
        <w:color w:val="70004A"/>
        <w:spacing w:val="0"/>
        <w:w w:val="100"/>
        <w:sz w:val="18"/>
        <w:szCs w:val="18"/>
        <w:lang w:val="en-US" w:eastAsia="en-US" w:bidi="ar-SA"/>
      </w:rPr>
    </w:lvl>
    <w:lvl w:ilvl="1" w:tplc="177A12FC">
      <w:numFmt w:val="bullet"/>
      <w:lvlText w:val="•"/>
      <w:lvlJc w:val="left"/>
      <w:pPr>
        <w:ind w:left="741" w:hanging="284"/>
      </w:pPr>
      <w:rPr>
        <w:rFonts w:hint="default"/>
        <w:lang w:val="en-US" w:eastAsia="en-US" w:bidi="ar-SA"/>
      </w:rPr>
    </w:lvl>
    <w:lvl w:ilvl="2" w:tplc="9C700E44">
      <w:numFmt w:val="bullet"/>
      <w:lvlText w:val="•"/>
      <w:lvlJc w:val="left"/>
      <w:pPr>
        <w:ind w:left="1023" w:hanging="284"/>
      </w:pPr>
      <w:rPr>
        <w:rFonts w:hint="default"/>
        <w:lang w:val="en-US" w:eastAsia="en-US" w:bidi="ar-SA"/>
      </w:rPr>
    </w:lvl>
    <w:lvl w:ilvl="3" w:tplc="93327264">
      <w:numFmt w:val="bullet"/>
      <w:lvlText w:val="•"/>
      <w:lvlJc w:val="left"/>
      <w:pPr>
        <w:ind w:left="1304" w:hanging="284"/>
      </w:pPr>
      <w:rPr>
        <w:rFonts w:hint="default"/>
        <w:lang w:val="en-US" w:eastAsia="en-US" w:bidi="ar-SA"/>
      </w:rPr>
    </w:lvl>
    <w:lvl w:ilvl="4" w:tplc="F8821EFE">
      <w:numFmt w:val="bullet"/>
      <w:lvlText w:val="•"/>
      <w:lvlJc w:val="left"/>
      <w:pPr>
        <w:ind w:left="1586" w:hanging="284"/>
      </w:pPr>
      <w:rPr>
        <w:rFonts w:hint="default"/>
        <w:lang w:val="en-US" w:eastAsia="en-US" w:bidi="ar-SA"/>
      </w:rPr>
    </w:lvl>
    <w:lvl w:ilvl="5" w:tplc="8124B500">
      <w:numFmt w:val="bullet"/>
      <w:lvlText w:val="•"/>
      <w:lvlJc w:val="left"/>
      <w:pPr>
        <w:ind w:left="1868" w:hanging="284"/>
      </w:pPr>
      <w:rPr>
        <w:rFonts w:hint="default"/>
        <w:lang w:val="en-US" w:eastAsia="en-US" w:bidi="ar-SA"/>
      </w:rPr>
    </w:lvl>
    <w:lvl w:ilvl="6" w:tplc="792ABE5A">
      <w:numFmt w:val="bullet"/>
      <w:lvlText w:val="•"/>
      <w:lvlJc w:val="left"/>
      <w:pPr>
        <w:ind w:left="2149" w:hanging="284"/>
      </w:pPr>
      <w:rPr>
        <w:rFonts w:hint="default"/>
        <w:lang w:val="en-US" w:eastAsia="en-US" w:bidi="ar-SA"/>
      </w:rPr>
    </w:lvl>
    <w:lvl w:ilvl="7" w:tplc="FBC8F220">
      <w:numFmt w:val="bullet"/>
      <w:lvlText w:val="•"/>
      <w:lvlJc w:val="left"/>
      <w:pPr>
        <w:ind w:left="2431" w:hanging="284"/>
      </w:pPr>
      <w:rPr>
        <w:rFonts w:hint="default"/>
        <w:lang w:val="en-US" w:eastAsia="en-US" w:bidi="ar-SA"/>
      </w:rPr>
    </w:lvl>
    <w:lvl w:ilvl="8" w:tplc="65CE1B7C">
      <w:numFmt w:val="bullet"/>
      <w:lvlText w:val="•"/>
      <w:lvlJc w:val="left"/>
      <w:pPr>
        <w:ind w:left="2712" w:hanging="284"/>
      </w:pPr>
      <w:rPr>
        <w:rFonts w:hint="default"/>
        <w:lang w:val="en-US" w:eastAsia="en-US" w:bidi="ar-SA"/>
      </w:rPr>
    </w:lvl>
  </w:abstractNum>
  <w:abstractNum w:abstractNumId="274" w15:restartNumberingAfterBreak="0">
    <w:nsid w:val="42BF5152"/>
    <w:multiLevelType w:val="hybridMultilevel"/>
    <w:tmpl w:val="FD506F90"/>
    <w:lvl w:ilvl="0" w:tplc="451CC3B2">
      <w:numFmt w:val="bullet"/>
      <w:lvlText w:val=""/>
      <w:lvlJc w:val="left"/>
      <w:pPr>
        <w:ind w:left="391" w:hanging="284"/>
      </w:pPr>
      <w:rPr>
        <w:rFonts w:ascii="Symbol" w:eastAsia="Symbol" w:hAnsi="Symbol" w:cs="Symbol" w:hint="default"/>
        <w:b w:val="0"/>
        <w:bCs w:val="0"/>
        <w:i w:val="0"/>
        <w:iCs w:val="0"/>
        <w:color w:val="70004A"/>
        <w:spacing w:val="0"/>
        <w:w w:val="100"/>
        <w:sz w:val="18"/>
        <w:szCs w:val="18"/>
        <w:lang w:val="en-US" w:eastAsia="en-US" w:bidi="ar-SA"/>
      </w:rPr>
    </w:lvl>
    <w:lvl w:ilvl="1" w:tplc="FF4CB6DC">
      <w:numFmt w:val="bullet"/>
      <w:lvlText w:val="•"/>
      <w:lvlJc w:val="left"/>
      <w:pPr>
        <w:ind w:left="636" w:hanging="284"/>
      </w:pPr>
      <w:rPr>
        <w:rFonts w:hint="default"/>
        <w:lang w:val="en-US" w:eastAsia="en-US" w:bidi="ar-SA"/>
      </w:rPr>
    </w:lvl>
    <w:lvl w:ilvl="2" w:tplc="9940B400">
      <w:numFmt w:val="bullet"/>
      <w:lvlText w:val="•"/>
      <w:lvlJc w:val="left"/>
      <w:pPr>
        <w:ind w:left="872" w:hanging="284"/>
      </w:pPr>
      <w:rPr>
        <w:rFonts w:hint="default"/>
        <w:lang w:val="en-US" w:eastAsia="en-US" w:bidi="ar-SA"/>
      </w:rPr>
    </w:lvl>
    <w:lvl w:ilvl="3" w:tplc="FEC6A278">
      <w:numFmt w:val="bullet"/>
      <w:lvlText w:val="•"/>
      <w:lvlJc w:val="left"/>
      <w:pPr>
        <w:ind w:left="1108" w:hanging="284"/>
      </w:pPr>
      <w:rPr>
        <w:rFonts w:hint="default"/>
        <w:lang w:val="en-US" w:eastAsia="en-US" w:bidi="ar-SA"/>
      </w:rPr>
    </w:lvl>
    <w:lvl w:ilvl="4" w:tplc="799E0F78">
      <w:numFmt w:val="bullet"/>
      <w:lvlText w:val="•"/>
      <w:lvlJc w:val="left"/>
      <w:pPr>
        <w:ind w:left="1344" w:hanging="284"/>
      </w:pPr>
      <w:rPr>
        <w:rFonts w:hint="default"/>
        <w:lang w:val="en-US" w:eastAsia="en-US" w:bidi="ar-SA"/>
      </w:rPr>
    </w:lvl>
    <w:lvl w:ilvl="5" w:tplc="AE103F28">
      <w:numFmt w:val="bullet"/>
      <w:lvlText w:val="•"/>
      <w:lvlJc w:val="left"/>
      <w:pPr>
        <w:ind w:left="1580" w:hanging="284"/>
      </w:pPr>
      <w:rPr>
        <w:rFonts w:hint="default"/>
        <w:lang w:val="en-US" w:eastAsia="en-US" w:bidi="ar-SA"/>
      </w:rPr>
    </w:lvl>
    <w:lvl w:ilvl="6" w:tplc="5F829666">
      <w:numFmt w:val="bullet"/>
      <w:lvlText w:val="•"/>
      <w:lvlJc w:val="left"/>
      <w:pPr>
        <w:ind w:left="1816" w:hanging="284"/>
      </w:pPr>
      <w:rPr>
        <w:rFonts w:hint="default"/>
        <w:lang w:val="en-US" w:eastAsia="en-US" w:bidi="ar-SA"/>
      </w:rPr>
    </w:lvl>
    <w:lvl w:ilvl="7" w:tplc="5D0864C8">
      <w:numFmt w:val="bullet"/>
      <w:lvlText w:val="•"/>
      <w:lvlJc w:val="left"/>
      <w:pPr>
        <w:ind w:left="2052" w:hanging="284"/>
      </w:pPr>
      <w:rPr>
        <w:rFonts w:hint="default"/>
        <w:lang w:val="en-US" w:eastAsia="en-US" w:bidi="ar-SA"/>
      </w:rPr>
    </w:lvl>
    <w:lvl w:ilvl="8" w:tplc="C0982522">
      <w:numFmt w:val="bullet"/>
      <w:lvlText w:val="•"/>
      <w:lvlJc w:val="left"/>
      <w:pPr>
        <w:ind w:left="2288" w:hanging="284"/>
      </w:pPr>
      <w:rPr>
        <w:rFonts w:hint="default"/>
        <w:lang w:val="en-US" w:eastAsia="en-US" w:bidi="ar-SA"/>
      </w:rPr>
    </w:lvl>
  </w:abstractNum>
  <w:abstractNum w:abstractNumId="275" w15:restartNumberingAfterBreak="0">
    <w:nsid w:val="430F48D9"/>
    <w:multiLevelType w:val="hybridMultilevel"/>
    <w:tmpl w:val="E67833CA"/>
    <w:lvl w:ilvl="0" w:tplc="5B1A86E8">
      <w:numFmt w:val="bullet"/>
      <w:lvlText w:val=""/>
      <w:lvlJc w:val="left"/>
      <w:pPr>
        <w:ind w:left="428" w:hanging="284"/>
      </w:pPr>
      <w:rPr>
        <w:rFonts w:ascii="Symbol" w:eastAsia="Symbol" w:hAnsi="Symbol" w:cs="Symbol" w:hint="default"/>
        <w:b w:val="0"/>
        <w:bCs w:val="0"/>
        <w:i w:val="0"/>
        <w:iCs w:val="0"/>
        <w:color w:val="70004A"/>
        <w:spacing w:val="0"/>
        <w:w w:val="100"/>
        <w:sz w:val="18"/>
        <w:szCs w:val="18"/>
        <w:lang w:val="en-US" w:eastAsia="en-US" w:bidi="ar-SA"/>
      </w:rPr>
    </w:lvl>
    <w:lvl w:ilvl="1" w:tplc="D4207BA6">
      <w:numFmt w:val="bullet"/>
      <w:lvlText w:val="•"/>
      <w:lvlJc w:val="left"/>
      <w:pPr>
        <w:ind w:left="583" w:hanging="284"/>
      </w:pPr>
      <w:rPr>
        <w:rFonts w:hint="default"/>
        <w:lang w:val="en-US" w:eastAsia="en-US" w:bidi="ar-SA"/>
      </w:rPr>
    </w:lvl>
    <w:lvl w:ilvl="2" w:tplc="07906E72">
      <w:numFmt w:val="bullet"/>
      <w:lvlText w:val="•"/>
      <w:lvlJc w:val="left"/>
      <w:pPr>
        <w:ind w:left="747" w:hanging="284"/>
      </w:pPr>
      <w:rPr>
        <w:rFonts w:hint="default"/>
        <w:lang w:val="en-US" w:eastAsia="en-US" w:bidi="ar-SA"/>
      </w:rPr>
    </w:lvl>
    <w:lvl w:ilvl="3" w:tplc="80862940">
      <w:numFmt w:val="bullet"/>
      <w:lvlText w:val="•"/>
      <w:lvlJc w:val="left"/>
      <w:pPr>
        <w:ind w:left="911" w:hanging="284"/>
      </w:pPr>
      <w:rPr>
        <w:rFonts w:hint="default"/>
        <w:lang w:val="en-US" w:eastAsia="en-US" w:bidi="ar-SA"/>
      </w:rPr>
    </w:lvl>
    <w:lvl w:ilvl="4" w:tplc="DF42A2BA">
      <w:numFmt w:val="bullet"/>
      <w:lvlText w:val="•"/>
      <w:lvlJc w:val="left"/>
      <w:pPr>
        <w:ind w:left="1075" w:hanging="284"/>
      </w:pPr>
      <w:rPr>
        <w:rFonts w:hint="default"/>
        <w:lang w:val="en-US" w:eastAsia="en-US" w:bidi="ar-SA"/>
      </w:rPr>
    </w:lvl>
    <w:lvl w:ilvl="5" w:tplc="69486A5E">
      <w:numFmt w:val="bullet"/>
      <w:lvlText w:val="•"/>
      <w:lvlJc w:val="left"/>
      <w:pPr>
        <w:ind w:left="1239" w:hanging="284"/>
      </w:pPr>
      <w:rPr>
        <w:rFonts w:hint="default"/>
        <w:lang w:val="en-US" w:eastAsia="en-US" w:bidi="ar-SA"/>
      </w:rPr>
    </w:lvl>
    <w:lvl w:ilvl="6" w:tplc="051C540E">
      <w:numFmt w:val="bullet"/>
      <w:lvlText w:val="•"/>
      <w:lvlJc w:val="left"/>
      <w:pPr>
        <w:ind w:left="1403" w:hanging="284"/>
      </w:pPr>
      <w:rPr>
        <w:rFonts w:hint="default"/>
        <w:lang w:val="en-US" w:eastAsia="en-US" w:bidi="ar-SA"/>
      </w:rPr>
    </w:lvl>
    <w:lvl w:ilvl="7" w:tplc="388CAEFE">
      <w:numFmt w:val="bullet"/>
      <w:lvlText w:val="•"/>
      <w:lvlJc w:val="left"/>
      <w:pPr>
        <w:ind w:left="1567" w:hanging="284"/>
      </w:pPr>
      <w:rPr>
        <w:rFonts w:hint="default"/>
        <w:lang w:val="en-US" w:eastAsia="en-US" w:bidi="ar-SA"/>
      </w:rPr>
    </w:lvl>
    <w:lvl w:ilvl="8" w:tplc="B882F208">
      <w:numFmt w:val="bullet"/>
      <w:lvlText w:val="•"/>
      <w:lvlJc w:val="left"/>
      <w:pPr>
        <w:ind w:left="1731" w:hanging="284"/>
      </w:pPr>
      <w:rPr>
        <w:rFonts w:hint="default"/>
        <w:lang w:val="en-US" w:eastAsia="en-US" w:bidi="ar-SA"/>
      </w:rPr>
    </w:lvl>
  </w:abstractNum>
  <w:abstractNum w:abstractNumId="276" w15:restartNumberingAfterBreak="0">
    <w:nsid w:val="43EB538F"/>
    <w:multiLevelType w:val="hybridMultilevel"/>
    <w:tmpl w:val="A9604CAA"/>
    <w:lvl w:ilvl="0" w:tplc="88D26DF8">
      <w:numFmt w:val="bullet"/>
      <w:lvlText w:val=""/>
      <w:lvlJc w:val="left"/>
      <w:pPr>
        <w:ind w:left="453" w:hanging="284"/>
      </w:pPr>
      <w:rPr>
        <w:rFonts w:ascii="Symbol" w:eastAsia="Symbol" w:hAnsi="Symbol" w:cs="Symbol" w:hint="default"/>
        <w:b w:val="0"/>
        <w:bCs w:val="0"/>
        <w:i w:val="0"/>
        <w:iCs w:val="0"/>
        <w:color w:val="70004A"/>
        <w:spacing w:val="0"/>
        <w:w w:val="100"/>
        <w:sz w:val="18"/>
        <w:szCs w:val="18"/>
        <w:lang w:val="en-US" w:eastAsia="en-US" w:bidi="ar-SA"/>
      </w:rPr>
    </w:lvl>
    <w:lvl w:ilvl="1" w:tplc="422CE9BC">
      <w:numFmt w:val="bullet"/>
      <w:lvlText w:val="•"/>
      <w:lvlJc w:val="left"/>
      <w:pPr>
        <w:ind w:left="649" w:hanging="284"/>
      </w:pPr>
      <w:rPr>
        <w:rFonts w:hint="default"/>
        <w:lang w:val="en-US" w:eastAsia="en-US" w:bidi="ar-SA"/>
      </w:rPr>
    </w:lvl>
    <w:lvl w:ilvl="2" w:tplc="6DB41AEE">
      <w:numFmt w:val="bullet"/>
      <w:lvlText w:val="•"/>
      <w:lvlJc w:val="left"/>
      <w:pPr>
        <w:ind w:left="839" w:hanging="284"/>
      </w:pPr>
      <w:rPr>
        <w:rFonts w:hint="default"/>
        <w:lang w:val="en-US" w:eastAsia="en-US" w:bidi="ar-SA"/>
      </w:rPr>
    </w:lvl>
    <w:lvl w:ilvl="3" w:tplc="809686E4">
      <w:numFmt w:val="bullet"/>
      <w:lvlText w:val="•"/>
      <w:lvlJc w:val="left"/>
      <w:pPr>
        <w:ind w:left="1028" w:hanging="284"/>
      </w:pPr>
      <w:rPr>
        <w:rFonts w:hint="default"/>
        <w:lang w:val="en-US" w:eastAsia="en-US" w:bidi="ar-SA"/>
      </w:rPr>
    </w:lvl>
    <w:lvl w:ilvl="4" w:tplc="45402EA4">
      <w:numFmt w:val="bullet"/>
      <w:lvlText w:val="•"/>
      <w:lvlJc w:val="left"/>
      <w:pPr>
        <w:ind w:left="1218" w:hanging="284"/>
      </w:pPr>
      <w:rPr>
        <w:rFonts w:hint="default"/>
        <w:lang w:val="en-US" w:eastAsia="en-US" w:bidi="ar-SA"/>
      </w:rPr>
    </w:lvl>
    <w:lvl w:ilvl="5" w:tplc="ACA6F5EC">
      <w:numFmt w:val="bullet"/>
      <w:lvlText w:val="•"/>
      <w:lvlJc w:val="left"/>
      <w:pPr>
        <w:ind w:left="1407" w:hanging="284"/>
      </w:pPr>
      <w:rPr>
        <w:rFonts w:hint="default"/>
        <w:lang w:val="en-US" w:eastAsia="en-US" w:bidi="ar-SA"/>
      </w:rPr>
    </w:lvl>
    <w:lvl w:ilvl="6" w:tplc="2822289C">
      <w:numFmt w:val="bullet"/>
      <w:lvlText w:val="•"/>
      <w:lvlJc w:val="left"/>
      <w:pPr>
        <w:ind w:left="1597" w:hanging="284"/>
      </w:pPr>
      <w:rPr>
        <w:rFonts w:hint="default"/>
        <w:lang w:val="en-US" w:eastAsia="en-US" w:bidi="ar-SA"/>
      </w:rPr>
    </w:lvl>
    <w:lvl w:ilvl="7" w:tplc="6988252C">
      <w:numFmt w:val="bullet"/>
      <w:lvlText w:val="•"/>
      <w:lvlJc w:val="left"/>
      <w:pPr>
        <w:ind w:left="1786" w:hanging="284"/>
      </w:pPr>
      <w:rPr>
        <w:rFonts w:hint="default"/>
        <w:lang w:val="en-US" w:eastAsia="en-US" w:bidi="ar-SA"/>
      </w:rPr>
    </w:lvl>
    <w:lvl w:ilvl="8" w:tplc="7F1492FA">
      <w:numFmt w:val="bullet"/>
      <w:lvlText w:val="•"/>
      <w:lvlJc w:val="left"/>
      <w:pPr>
        <w:ind w:left="1976" w:hanging="284"/>
      </w:pPr>
      <w:rPr>
        <w:rFonts w:hint="default"/>
        <w:lang w:val="en-US" w:eastAsia="en-US" w:bidi="ar-SA"/>
      </w:rPr>
    </w:lvl>
  </w:abstractNum>
  <w:abstractNum w:abstractNumId="277" w15:restartNumberingAfterBreak="0">
    <w:nsid w:val="443017AA"/>
    <w:multiLevelType w:val="hybridMultilevel"/>
    <w:tmpl w:val="221AB1EA"/>
    <w:lvl w:ilvl="0" w:tplc="62C6D7C6">
      <w:start w:val="1"/>
      <w:numFmt w:val="decimal"/>
      <w:lvlText w:val="%1."/>
      <w:lvlJc w:val="left"/>
      <w:pPr>
        <w:ind w:left="578" w:hanging="425"/>
      </w:pPr>
      <w:rPr>
        <w:rFonts w:ascii="Arial" w:eastAsia="Arial" w:hAnsi="Arial" w:cs="Arial" w:hint="default"/>
        <w:b w:val="0"/>
        <w:bCs w:val="0"/>
        <w:i w:val="0"/>
        <w:iCs w:val="0"/>
        <w:color w:val="70004A"/>
        <w:spacing w:val="-1"/>
        <w:w w:val="100"/>
        <w:sz w:val="14"/>
        <w:szCs w:val="14"/>
        <w:lang w:val="en-US" w:eastAsia="en-US" w:bidi="ar-SA"/>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8" w15:restartNumberingAfterBreak="0">
    <w:nsid w:val="445522D5"/>
    <w:multiLevelType w:val="hybridMultilevel"/>
    <w:tmpl w:val="08782C36"/>
    <w:lvl w:ilvl="0" w:tplc="9DF697E2">
      <w:numFmt w:val="bullet"/>
      <w:lvlText w:val=""/>
      <w:lvlJc w:val="left"/>
      <w:pPr>
        <w:ind w:left="482" w:hanging="284"/>
      </w:pPr>
      <w:rPr>
        <w:rFonts w:ascii="Symbol" w:eastAsia="Symbol" w:hAnsi="Symbol" w:cs="Symbol" w:hint="default"/>
        <w:b w:val="0"/>
        <w:bCs w:val="0"/>
        <w:i w:val="0"/>
        <w:iCs w:val="0"/>
        <w:color w:val="70004A"/>
        <w:spacing w:val="0"/>
        <w:w w:val="100"/>
        <w:sz w:val="18"/>
        <w:szCs w:val="18"/>
        <w:lang w:val="en-US" w:eastAsia="en-US" w:bidi="ar-SA"/>
      </w:rPr>
    </w:lvl>
    <w:lvl w:ilvl="1" w:tplc="666CA3E4">
      <w:numFmt w:val="bullet"/>
      <w:lvlText w:val="•"/>
      <w:lvlJc w:val="left"/>
      <w:pPr>
        <w:ind w:left="745" w:hanging="284"/>
      </w:pPr>
      <w:rPr>
        <w:rFonts w:hint="default"/>
        <w:lang w:val="en-US" w:eastAsia="en-US" w:bidi="ar-SA"/>
      </w:rPr>
    </w:lvl>
    <w:lvl w:ilvl="2" w:tplc="CE2ABD88">
      <w:numFmt w:val="bullet"/>
      <w:lvlText w:val="•"/>
      <w:lvlJc w:val="left"/>
      <w:pPr>
        <w:ind w:left="1010" w:hanging="284"/>
      </w:pPr>
      <w:rPr>
        <w:rFonts w:hint="default"/>
        <w:lang w:val="en-US" w:eastAsia="en-US" w:bidi="ar-SA"/>
      </w:rPr>
    </w:lvl>
    <w:lvl w:ilvl="3" w:tplc="935A6154">
      <w:numFmt w:val="bullet"/>
      <w:lvlText w:val="•"/>
      <w:lvlJc w:val="left"/>
      <w:pPr>
        <w:ind w:left="1275" w:hanging="284"/>
      </w:pPr>
      <w:rPr>
        <w:rFonts w:hint="default"/>
        <w:lang w:val="en-US" w:eastAsia="en-US" w:bidi="ar-SA"/>
      </w:rPr>
    </w:lvl>
    <w:lvl w:ilvl="4" w:tplc="5086BEDC">
      <w:numFmt w:val="bullet"/>
      <w:lvlText w:val="•"/>
      <w:lvlJc w:val="left"/>
      <w:pPr>
        <w:ind w:left="1540" w:hanging="284"/>
      </w:pPr>
      <w:rPr>
        <w:rFonts w:hint="default"/>
        <w:lang w:val="en-US" w:eastAsia="en-US" w:bidi="ar-SA"/>
      </w:rPr>
    </w:lvl>
    <w:lvl w:ilvl="5" w:tplc="9BD025E2">
      <w:numFmt w:val="bullet"/>
      <w:lvlText w:val="•"/>
      <w:lvlJc w:val="left"/>
      <w:pPr>
        <w:ind w:left="1805" w:hanging="284"/>
      </w:pPr>
      <w:rPr>
        <w:rFonts w:hint="default"/>
        <w:lang w:val="en-US" w:eastAsia="en-US" w:bidi="ar-SA"/>
      </w:rPr>
    </w:lvl>
    <w:lvl w:ilvl="6" w:tplc="D228CF06">
      <w:numFmt w:val="bullet"/>
      <w:lvlText w:val="•"/>
      <w:lvlJc w:val="left"/>
      <w:pPr>
        <w:ind w:left="2070" w:hanging="284"/>
      </w:pPr>
      <w:rPr>
        <w:rFonts w:hint="default"/>
        <w:lang w:val="en-US" w:eastAsia="en-US" w:bidi="ar-SA"/>
      </w:rPr>
    </w:lvl>
    <w:lvl w:ilvl="7" w:tplc="B8CC1316">
      <w:numFmt w:val="bullet"/>
      <w:lvlText w:val="•"/>
      <w:lvlJc w:val="left"/>
      <w:pPr>
        <w:ind w:left="2335" w:hanging="284"/>
      </w:pPr>
      <w:rPr>
        <w:rFonts w:hint="default"/>
        <w:lang w:val="en-US" w:eastAsia="en-US" w:bidi="ar-SA"/>
      </w:rPr>
    </w:lvl>
    <w:lvl w:ilvl="8" w:tplc="719A9B08">
      <w:numFmt w:val="bullet"/>
      <w:lvlText w:val="•"/>
      <w:lvlJc w:val="left"/>
      <w:pPr>
        <w:ind w:left="2600" w:hanging="284"/>
      </w:pPr>
      <w:rPr>
        <w:rFonts w:hint="default"/>
        <w:lang w:val="en-US" w:eastAsia="en-US" w:bidi="ar-SA"/>
      </w:rPr>
    </w:lvl>
  </w:abstractNum>
  <w:abstractNum w:abstractNumId="279" w15:restartNumberingAfterBreak="0">
    <w:nsid w:val="445A7BE7"/>
    <w:multiLevelType w:val="hybridMultilevel"/>
    <w:tmpl w:val="444C6E50"/>
    <w:lvl w:ilvl="0" w:tplc="783C2C3A">
      <w:numFmt w:val="bullet"/>
      <w:lvlText w:val=""/>
      <w:lvlJc w:val="left"/>
      <w:pPr>
        <w:ind w:left="482" w:hanging="284"/>
      </w:pPr>
      <w:rPr>
        <w:rFonts w:ascii="Symbol" w:eastAsia="Symbol" w:hAnsi="Symbol" w:cs="Symbol" w:hint="default"/>
        <w:b w:val="0"/>
        <w:bCs w:val="0"/>
        <w:i w:val="0"/>
        <w:iCs w:val="0"/>
        <w:color w:val="70004A"/>
        <w:spacing w:val="0"/>
        <w:w w:val="100"/>
        <w:sz w:val="18"/>
        <w:szCs w:val="18"/>
        <w:lang w:val="en-US" w:eastAsia="en-US" w:bidi="ar-SA"/>
      </w:rPr>
    </w:lvl>
    <w:lvl w:ilvl="1" w:tplc="F80ED058">
      <w:numFmt w:val="bullet"/>
      <w:lvlText w:val="•"/>
      <w:lvlJc w:val="left"/>
      <w:pPr>
        <w:ind w:left="748" w:hanging="284"/>
      </w:pPr>
      <w:rPr>
        <w:rFonts w:hint="default"/>
        <w:lang w:val="en-US" w:eastAsia="en-US" w:bidi="ar-SA"/>
      </w:rPr>
    </w:lvl>
    <w:lvl w:ilvl="2" w:tplc="459CC884">
      <w:numFmt w:val="bullet"/>
      <w:lvlText w:val="•"/>
      <w:lvlJc w:val="left"/>
      <w:pPr>
        <w:ind w:left="1016" w:hanging="284"/>
      </w:pPr>
      <w:rPr>
        <w:rFonts w:hint="default"/>
        <w:lang w:val="en-US" w:eastAsia="en-US" w:bidi="ar-SA"/>
      </w:rPr>
    </w:lvl>
    <w:lvl w:ilvl="3" w:tplc="1A80212A">
      <w:numFmt w:val="bullet"/>
      <w:lvlText w:val="•"/>
      <w:lvlJc w:val="left"/>
      <w:pPr>
        <w:ind w:left="1284" w:hanging="284"/>
      </w:pPr>
      <w:rPr>
        <w:rFonts w:hint="default"/>
        <w:lang w:val="en-US" w:eastAsia="en-US" w:bidi="ar-SA"/>
      </w:rPr>
    </w:lvl>
    <w:lvl w:ilvl="4" w:tplc="B600944C">
      <w:numFmt w:val="bullet"/>
      <w:lvlText w:val="•"/>
      <w:lvlJc w:val="left"/>
      <w:pPr>
        <w:ind w:left="1552" w:hanging="284"/>
      </w:pPr>
      <w:rPr>
        <w:rFonts w:hint="default"/>
        <w:lang w:val="en-US" w:eastAsia="en-US" w:bidi="ar-SA"/>
      </w:rPr>
    </w:lvl>
    <w:lvl w:ilvl="5" w:tplc="B46645AC">
      <w:numFmt w:val="bullet"/>
      <w:lvlText w:val="•"/>
      <w:lvlJc w:val="left"/>
      <w:pPr>
        <w:ind w:left="1820" w:hanging="284"/>
      </w:pPr>
      <w:rPr>
        <w:rFonts w:hint="default"/>
        <w:lang w:val="en-US" w:eastAsia="en-US" w:bidi="ar-SA"/>
      </w:rPr>
    </w:lvl>
    <w:lvl w:ilvl="6" w:tplc="5A805FFE">
      <w:numFmt w:val="bullet"/>
      <w:lvlText w:val="•"/>
      <w:lvlJc w:val="left"/>
      <w:pPr>
        <w:ind w:left="2088" w:hanging="284"/>
      </w:pPr>
      <w:rPr>
        <w:rFonts w:hint="default"/>
        <w:lang w:val="en-US" w:eastAsia="en-US" w:bidi="ar-SA"/>
      </w:rPr>
    </w:lvl>
    <w:lvl w:ilvl="7" w:tplc="F2A41824">
      <w:numFmt w:val="bullet"/>
      <w:lvlText w:val="•"/>
      <w:lvlJc w:val="left"/>
      <w:pPr>
        <w:ind w:left="2356" w:hanging="284"/>
      </w:pPr>
      <w:rPr>
        <w:rFonts w:hint="default"/>
        <w:lang w:val="en-US" w:eastAsia="en-US" w:bidi="ar-SA"/>
      </w:rPr>
    </w:lvl>
    <w:lvl w:ilvl="8" w:tplc="7188DC9A">
      <w:numFmt w:val="bullet"/>
      <w:lvlText w:val="•"/>
      <w:lvlJc w:val="left"/>
      <w:pPr>
        <w:ind w:left="2624" w:hanging="284"/>
      </w:pPr>
      <w:rPr>
        <w:rFonts w:hint="default"/>
        <w:lang w:val="en-US" w:eastAsia="en-US" w:bidi="ar-SA"/>
      </w:rPr>
    </w:lvl>
  </w:abstractNum>
  <w:abstractNum w:abstractNumId="280" w15:restartNumberingAfterBreak="0">
    <w:nsid w:val="44B21F9D"/>
    <w:multiLevelType w:val="hybridMultilevel"/>
    <w:tmpl w:val="1C0EB4A2"/>
    <w:lvl w:ilvl="0" w:tplc="3A38F818">
      <w:numFmt w:val="bullet"/>
      <w:lvlText w:val=""/>
      <w:lvlJc w:val="left"/>
      <w:pPr>
        <w:ind w:left="452" w:hanging="284"/>
      </w:pPr>
      <w:rPr>
        <w:rFonts w:ascii="Symbol" w:eastAsia="Symbol" w:hAnsi="Symbol" w:cs="Symbol" w:hint="default"/>
        <w:b w:val="0"/>
        <w:bCs w:val="0"/>
        <w:i w:val="0"/>
        <w:iCs w:val="0"/>
        <w:color w:val="70004A"/>
        <w:spacing w:val="0"/>
        <w:w w:val="100"/>
        <w:sz w:val="18"/>
        <w:szCs w:val="18"/>
        <w:lang w:val="en-US" w:eastAsia="en-US" w:bidi="ar-SA"/>
      </w:rPr>
    </w:lvl>
    <w:lvl w:ilvl="1" w:tplc="552E30F2">
      <w:numFmt w:val="bullet"/>
      <w:lvlText w:val="•"/>
      <w:lvlJc w:val="left"/>
      <w:pPr>
        <w:ind w:left="726" w:hanging="284"/>
      </w:pPr>
      <w:rPr>
        <w:rFonts w:hint="default"/>
        <w:lang w:val="en-US" w:eastAsia="en-US" w:bidi="ar-SA"/>
      </w:rPr>
    </w:lvl>
    <w:lvl w:ilvl="2" w:tplc="10FE28EE">
      <w:numFmt w:val="bullet"/>
      <w:lvlText w:val="•"/>
      <w:lvlJc w:val="left"/>
      <w:pPr>
        <w:ind w:left="993" w:hanging="284"/>
      </w:pPr>
      <w:rPr>
        <w:rFonts w:hint="default"/>
        <w:lang w:val="en-US" w:eastAsia="en-US" w:bidi="ar-SA"/>
      </w:rPr>
    </w:lvl>
    <w:lvl w:ilvl="3" w:tplc="A838D786">
      <w:numFmt w:val="bullet"/>
      <w:lvlText w:val="•"/>
      <w:lvlJc w:val="left"/>
      <w:pPr>
        <w:ind w:left="1260" w:hanging="284"/>
      </w:pPr>
      <w:rPr>
        <w:rFonts w:hint="default"/>
        <w:lang w:val="en-US" w:eastAsia="en-US" w:bidi="ar-SA"/>
      </w:rPr>
    </w:lvl>
    <w:lvl w:ilvl="4" w:tplc="CFF211B2">
      <w:numFmt w:val="bullet"/>
      <w:lvlText w:val="•"/>
      <w:lvlJc w:val="left"/>
      <w:pPr>
        <w:ind w:left="1527" w:hanging="284"/>
      </w:pPr>
      <w:rPr>
        <w:rFonts w:hint="default"/>
        <w:lang w:val="en-US" w:eastAsia="en-US" w:bidi="ar-SA"/>
      </w:rPr>
    </w:lvl>
    <w:lvl w:ilvl="5" w:tplc="5696445C">
      <w:numFmt w:val="bullet"/>
      <w:lvlText w:val="•"/>
      <w:lvlJc w:val="left"/>
      <w:pPr>
        <w:ind w:left="1794" w:hanging="284"/>
      </w:pPr>
      <w:rPr>
        <w:rFonts w:hint="default"/>
        <w:lang w:val="en-US" w:eastAsia="en-US" w:bidi="ar-SA"/>
      </w:rPr>
    </w:lvl>
    <w:lvl w:ilvl="6" w:tplc="0C9629F4">
      <w:numFmt w:val="bullet"/>
      <w:lvlText w:val="•"/>
      <w:lvlJc w:val="left"/>
      <w:pPr>
        <w:ind w:left="2060" w:hanging="284"/>
      </w:pPr>
      <w:rPr>
        <w:rFonts w:hint="default"/>
        <w:lang w:val="en-US" w:eastAsia="en-US" w:bidi="ar-SA"/>
      </w:rPr>
    </w:lvl>
    <w:lvl w:ilvl="7" w:tplc="F6FA619C">
      <w:numFmt w:val="bullet"/>
      <w:lvlText w:val="•"/>
      <w:lvlJc w:val="left"/>
      <w:pPr>
        <w:ind w:left="2327" w:hanging="284"/>
      </w:pPr>
      <w:rPr>
        <w:rFonts w:hint="default"/>
        <w:lang w:val="en-US" w:eastAsia="en-US" w:bidi="ar-SA"/>
      </w:rPr>
    </w:lvl>
    <w:lvl w:ilvl="8" w:tplc="F6827D9E">
      <w:numFmt w:val="bullet"/>
      <w:lvlText w:val="•"/>
      <w:lvlJc w:val="left"/>
      <w:pPr>
        <w:ind w:left="2594" w:hanging="284"/>
      </w:pPr>
      <w:rPr>
        <w:rFonts w:hint="default"/>
        <w:lang w:val="en-US" w:eastAsia="en-US" w:bidi="ar-SA"/>
      </w:rPr>
    </w:lvl>
  </w:abstractNum>
  <w:abstractNum w:abstractNumId="281" w15:restartNumberingAfterBreak="0">
    <w:nsid w:val="454E74D1"/>
    <w:multiLevelType w:val="hybridMultilevel"/>
    <w:tmpl w:val="82FC7B04"/>
    <w:lvl w:ilvl="0" w:tplc="D674AFDC">
      <w:numFmt w:val="bullet"/>
      <w:lvlText w:val=""/>
      <w:lvlJc w:val="left"/>
      <w:pPr>
        <w:ind w:left="476" w:hanging="284"/>
      </w:pPr>
      <w:rPr>
        <w:rFonts w:ascii="Symbol" w:eastAsia="Symbol" w:hAnsi="Symbol" w:cs="Symbol" w:hint="default"/>
        <w:b w:val="0"/>
        <w:bCs w:val="0"/>
        <w:i w:val="0"/>
        <w:iCs w:val="0"/>
        <w:color w:val="70004A"/>
        <w:spacing w:val="0"/>
        <w:w w:val="100"/>
        <w:sz w:val="18"/>
        <w:szCs w:val="18"/>
        <w:lang w:val="en-US" w:eastAsia="en-US" w:bidi="ar-SA"/>
      </w:rPr>
    </w:lvl>
    <w:lvl w:ilvl="1" w:tplc="37D2C048">
      <w:numFmt w:val="bullet"/>
      <w:lvlText w:val="•"/>
      <w:lvlJc w:val="left"/>
      <w:pPr>
        <w:ind w:left="742" w:hanging="284"/>
      </w:pPr>
      <w:rPr>
        <w:rFonts w:hint="default"/>
        <w:lang w:val="en-US" w:eastAsia="en-US" w:bidi="ar-SA"/>
      </w:rPr>
    </w:lvl>
    <w:lvl w:ilvl="2" w:tplc="28D4A71C">
      <w:numFmt w:val="bullet"/>
      <w:lvlText w:val="•"/>
      <w:lvlJc w:val="left"/>
      <w:pPr>
        <w:ind w:left="1005" w:hanging="284"/>
      </w:pPr>
      <w:rPr>
        <w:rFonts w:hint="default"/>
        <w:lang w:val="en-US" w:eastAsia="en-US" w:bidi="ar-SA"/>
      </w:rPr>
    </w:lvl>
    <w:lvl w:ilvl="3" w:tplc="54EE929E">
      <w:numFmt w:val="bullet"/>
      <w:lvlText w:val="•"/>
      <w:lvlJc w:val="left"/>
      <w:pPr>
        <w:ind w:left="1268" w:hanging="284"/>
      </w:pPr>
      <w:rPr>
        <w:rFonts w:hint="default"/>
        <w:lang w:val="en-US" w:eastAsia="en-US" w:bidi="ar-SA"/>
      </w:rPr>
    </w:lvl>
    <w:lvl w:ilvl="4" w:tplc="65561ADE">
      <w:numFmt w:val="bullet"/>
      <w:lvlText w:val="•"/>
      <w:lvlJc w:val="left"/>
      <w:pPr>
        <w:ind w:left="1531" w:hanging="284"/>
      </w:pPr>
      <w:rPr>
        <w:rFonts w:hint="default"/>
        <w:lang w:val="en-US" w:eastAsia="en-US" w:bidi="ar-SA"/>
      </w:rPr>
    </w:lvl>
    <w:lvl w:ilvl="5" w:tplc="26FE684A">
      <w:numFmt w:val="bullet"/>
      <w:lvlText w:val="•"/>
      <w:lvlJc w:val="left"/>
      <w:pPr>
        <w:ind w:left="1794" w:hanging="284"/>
      </w:pPr>
      <w:rPr>
        <w:rFonts w:hint="default"/>
        <w:lang w:val="en-US" w:eastAsia="en-US" w:bidi="ar-SA"/>
      </w:rPr>
    </w:lvl>
    <w:lvl w:ilvl="6" w:tplc="6F8253C8">
      <w:numFmt w:val="bullet"/>
      <w:lvlText w:val="•"/>
      <w:lvlJc w:val="left"/>
      <w:pPr>
        <w:ind w:left="2056" w:hanging="284"/>
      </w:pPr>
      <w:rPr>
        <w:rFonts w:hint="default"/>
        <w:lang w:val="en-US" w:eastAsia="en-US" w:bidi="ar-SA"/>
      </w:rPr>
    </w:lvl>
    <w:lvl w:ilvl="7" w:tplc="B32C360E">
      <w:numFmt w:val="bullet"/>
      <w:lvlText w:val="•"/>
      <w:lvlJc w:val="left"/>
      <w:pPr>
        <w:ind w:left="2319" w:hanging="284"/>
      </w:pPr>
      <w:rPr>
        <w:rFonts w:hint="default"/>
        <w:lang w:val="en-US" w:eastAsia="en-US" w:bidi="ar-SA"/>
      </w:rPr>
    </w:lvl>
    <w:lvl w:ilvl="8" w:tplc="367CA560">
      <w:numFmt w:val="bullet"/>
      <w:lvlText w:val="•"/>
      <w:lvlJc w:val="left"/>
      <w:pPr>
        <w:ind w:left="2582" w:hanging="284"/>
      </w:pPr>
      <w:rPr>
        <w:rFonts w:hint="default"/>
        <w:lang w:val="en-US" w:eastAsia="en-US" w:bidi="ar-SA"/>
      </w:rPr>
    </w:lvl>
  </w:abstractNum>
  <w:abstractNum w:abstractNumId="282" w15:restartNumberingAfterBreak="0">
    <w:nsid w:val="45A20B43"/>
    <w:multiLevelType w:val="hybridMultilevel"/>
    <w:tmpl w:val="8E7A69D2"/>
    <w:lvl w:ilvl="0" w:tplc="007627A4">
      <w:numFmt w:val="bullet"/>
      <w:lvlText w:val=""/>
      <w:lvlJc w:val="left"/>
      <w:pPr>
        <w:ind w:left="455" w:hanging="284"/>
      </w:pPr>
      <w:rPr>
        <w:rFonts w:ascii="Symbol" w:eastAsia="Symbol" w:hAnsi="Symbol" w:cs="Symbol" w:hint="default"/>
        <w:b w:val="0"/>
        <w:bCs w:val="0"/>
        <w:i w:val="0"/>
        <w:iCs w:val="0"/>
        <w:color w:val="70004A"/>
        <w:spacing w:val="0"/>
        <w:w w:val="100"/>
        <w:sz w:val="18"/>
        <w:szCs w:val="18"/>
        <w:lang w:val="en-US" w:eastAsia="en-US" w:bidi="ar-SA"/>
      </w:rPr>
    </w:lvl>
    <w:lvl w:ilvl="1" w:tplc="48C2B9A4">
      <w:numFmt w:val="bullet"/>
      <w:lvlText w:val="•"/>
      <w:lvlJc w:val="left"/>
      <w:pPr>
        <w:ind w:left="632" w:hanging="284"/>
      </w:pPr>
      <w:rPr>
        <w:rFonts w:hint="default"/>
        <w:lang w:val="en-US" w:eastAsia="en-US" w:bidi="ar-SA"/>
      </w:rPr>
    </w:lvl>
    <w:lvl w:ilvl="2" w:tplc="40F2E1EC">
      <w:numFmt w:val="bullet"/>
      <w:lvlText w:val="•"/>
      <w:lvlJc w:val="left"/>
      <w:pPr>
        <w:ind w:left="804" w:hanging="284"/>
      </w:pPr>
      <w:rPr>
        <w:rFonts w:hint="default"/>
        <w:lang w:val="en-US" w:eastAsia="en-US" w:bidi="ar-SA"/>
      </w:rPr>
    </w:lvl>
    <w:lvl w:ilvl="3" w:tplc="BFE68238">
      <w:numFmt w:val="bullet"/>
      <w:lvlText w:val="•"/>
      <w:lvlJc w:val="left"/>
      <w:pPr>
        <w:ind w:left="976" w:hanging="284"/>
      </w:pPr>
      <w:rPr>
        <w:rFonts w:hint="default"/>
        <w:lang w:val="en-US" w:eastAsia="en-US" w:bidi="ar-SA"/>
      </w:rPr>
    </w:lvl>
    <w:lvl w:ilvl="4" w:tplc="08E6D802">
      <w:numFmt w:val="bullet"/>
      <w:lvlText w:val="•"/>
      <w:lvlJc w:val="left"/>
      <w:pPr>
        <w:ind w:left="1149" w:hanging="284"/>
      </w:pPr>
      <w:rPr>
        <w:rFonts w:hint="default"/>
        <w:lang w:val="en-US" w:eastAsia="en-US" w:bidi="ar-SA"/>
      </w:rPr>
    </w:lvl>
    <w:lvl w:ilvl="5" w:tplc="40D8F3FC">
      <w:numFmt w:val="bullet"/>
      <w:lvlText w:val="•"/>
      <w:lvlJc w:val="left"/>
      <w:pPr>
        <w:ind w:left="1321" w:hanging="284"/>
      </w:pPr>
      <w:rPr>
        <w:rFonts w:hint="default"/>
        <w:lang w:val="en-US" w:eastAsia="en-US" w:bidi="ar-SA"/>
      </w:rPr>
    </w:lvl>
    <w:lvl w:ilvl="6" w:tplc="ACE67292">
      <w:numFmt w:val="bullet"/>
      <w:lvlText w:val="•"/>
      <w:lvlJc w:val="left"/>
      <w:pPr>
        <w:ind w:left="1493" w:hanging="284"/>
      </w:pPr>
      <w:rPr>
        <w:rFonts w:hint="default"/>
        <w:lang w:val="en-US" w:eastAsia="en-US" w:bidi="ar-SA"/>
      </w:rPr>
    </w:lvl>
    <w:lvl w:ilvl="7" w:tplc="DDBC1052">
      <w:numFmt w:val="bullet"/>
      <w:lvlText w:val="•"/>
      <w:lvlJc w:val="left"/>
      <w:pPr>
        <w:ind w:left="1666" w:hanging="284"/>
      </w:pPr>
      <w:rPr>
        <w:rFonts w:hint="default"/>
        <w:lang w:val="en-US" w:eastAsia="en-US" w:bidi="ar-SA"/>
      </w:rPr>
    </w:lvl>
    <w:lvl w:ilvl="8" w:tplc="9A621388">
      <w:numFmt w:val="bullet"/>
      <w:lvlText w:val="•"/>
      <w:lvlJc w:val="left"/>
      <w:pPr>
        <w:ind w:left="1838" w:hanging="284"/>
      </w:pPr>
      <w:rPr>
        <w:rFonts w:hint="default"/>
        <w:lang w:val="en-US" w:eastAsia="en-US" w:bidi="ar-SA"/>
      </w:rPr>
    </w:lvl>
  </w:abstractNum>
  <w:abstractNum w:abstractNumId="283" w15:restartNumberingAfterBreak="0">
    <w:nsid w:val="45BC0DB0"/>
    <w:multiLevelType w:val="hybridMultilevel"/>
    <w:tmpl w:val="9884A3BE"/>
    <w:lvl w:ilvl="0" w:tplc="35A208C0">
      <w:numFmt w:val="bullet"/>
      <w:lvlText w:val=""/>
      <w:lvlJc w:val="left"/>
      <w:pPr>
        <w:ind w:left="393" w:hanging="284"/>
      </w:pPr>
      <w:rPr>
        <w:rFonts w:ascii="Symbol" w:eastAsia="Symbol" w:hAnsi="Symbol" w:cs="Symbol" w:hint="default"/>
        <w:b w:val="0"/>
        <w:bCs w:val="0"/>
        <w:i w:val="0"/>
        <w:iCs w:val="0"/>
        <w:color w:val="70004A"/>
        <w:spacing w:val="0"/>
        <w:w w:val="100"/>
        <w:sz w:val="18"/>
        <w:szCs w:val="18"/>
        <w:lang w:val="en-US" w:eastAsia="en-US" w:bidi="ar-SA"/>
      </w:rPr>
    </w:lvl>
    <w:lvl w:ilvl="1" w:tplc="1B8ADDE0">
      <w:numFmt w:val="bullet"/>
      <w:lvlText w:val="•"/>
      <w:lvlJc w:val="left"/>
      <w:pPr>
        <w:ind w:left="638" w:hanging="284"/>
      </w:pPr>
      <w:rPr>
        <w:rFonts w:hint="default"/>
        <w:lang w:val="en-US" w:eastAsia="en-US" w:bidi="ar-SA"/>
      </w:rPr>
    </w:lvl>
    <w:lvl w:ilvl="2" w:tplc="976A2AD6">
      <w:numFmt w:val="bullet"/>
      <w:lvlText w:val="•"/>
      <w:lvlJc w:val="left"/>
      <w:pPr>
        <w:ind w:left="877" w:hanging="284"/>
      </w:pPr>
      <w:rPr>
        <w:rFonts w:hint="default"/>
        <w:lang w:val="en-US" w:eastAsia="en-US" w:bidi="ar-SA"/>
      </w:rPr>
    </w:lvl>
    <w:lvl w:ilvl="3" w:tplc="C1D0F504">
      <w:numFmt w:val="bullet"/>
      <w:lvlText w:val="•"/>
      <w:lvlJc w:val="left"/>
      <w:pPr>
        <w:ind w:left="1115" w:hanging="284"/>
      </w:pPr>
      <w:rPr>
        <w:rFonts w:hint="default"/>
        <w:lang w:val="en-US" w:eastAsia="en-US" w:bidi="ar-SA"/>
      </w:rPr>
    </w:lvl>
    <w:lvl w:ilvl="4" w:tplc="5A42EBB0">
      <w:numFmt w:val="bullet"/>
      <w:lvlText w:val="•"/>
      <w:lvlJc w:val="left"/>
      <w:pPr>
        <w:ind w:left="1354" w:hanging="284"/>
      </w:pPr>
      <w:rPr>
        <w:rFonts w:hint="default"/>
        <w:lang w:val="en-US" w:eastAsia="en-US" w:bidi="ar-SA"/>
      </w:rPr>
    </w:lvl>
    <w:lvl w:ilvl="5" w:tplc="4C06F40A">
      <w:numFmt w:val="bullet"/>
      <w:lvlText w:val="•"/>
      <w:lvlJc w:val="left"/>
      <w:pPr>
        <w:ind w:left="1592" w:hanging="284"/>
      </w:pPr>
      <w:rPr>
        <w:rFonts w:hint="default"/>
        <w:lang w:val="en-US" w:eastAsia="en-US" w:bidi="ar-SA"/>
      </w:rPr>
    </w:lvl>
    <w:lvl w:ilvl="6" w:tplc="B2E47BA0">
      <w:numFmt w:val="bullet"/>
      <w:lvlText w:val="•"/>
      <w:lvlJc w:val="left"/>
      <w:pPr>
        <w:ind w:left="1831" w:hanging="284"/>
      </w:pPr>
      <w:rPr>
        <w:rFonts w:hint="default"/>
        <w:lang w:val="en-US" w:eastAsia="en-US" w:bidi="ar-SA"/>
      </w:rPr>
    </w:lvl>
    <w:lvl w:ilvl="7" w:tplc="10B08DC2">
      <w:numFmt w:val="bullet"/>
      <w:lvlText w:val="•"/>
      <w:lvlJc w:val="left"/>
      <w:pPr>
        <w:ind w:left="2069" w:hanging="284"/>
      </w:pPr>
      <w:rPr>
        <w:rFonts w:hint="default"/>
        <w:lang w:val="en-US" w:eastAsia="en-US" w:bidi="ar-SA"/>
      </w:rPr>
    </w:lvl>
    <w:lvl w:ilvl="8" w:tplc="AD2607AC">
      <w:numFmt w:val="bullet"/>
      <w:lvlText w:val="•"/>
      <w:lvlJc w:val="left"/>
      <w:pPr>
        <w:ind w:left="2308" w:hanging="284"/>
      </w:pPr>
      <w:rPr>
        <w:rFonts w:hint="default"/>
        <w:lang w:val="en-US" w:eastAsia="en-US" w:bidi="ar-SA"/>
      </w:rPr>
    </w:lvl>
  </w:abstractNum>
  <w:abstractNum w:abstractNumId="284" w15:restartNumberingAfterBreak="0">
    <w:nsid w:val="46BE189C"/>
    <w:multiLevelType w:val="hybridMultilevel"/>
    <w:tmpl w:val="BCFA792A"/>
    <w:lvl w:ilvl="0" w:tplc="E23C988A">
      <w:numFmt w:val="bullet"/>
      <w:lvlText w:val=""/>
      <w:lvlJc w:val="left"/>
      <w:pPr>
        <w:ind w:left="567" w:hanging="284"/>
      </w:pPr>
      <w:rPr>
        <w:rFonts w:ascii="Symbol" w:eastAsia="Symbol" w:hAnsi="Symbol" w:cs="Symbol" w:hint="default"/>
        <w:b w:val="0"/>
        <w:bCs w:val="0"/>
        <w:i w:val="0"/>
        <w:iCs w:val="0"/>
        <w:color w:val="70004A"/>
        <w:spacing w:val="0"/>
        <w:w w:val="100"/>
        <w:sz w:val="18"/>
        <w:szCs w:val="18"/>
        <w:lang w:val="en-US" w:eastAsia="en-US" w:bidi="ar-SA"/>
      </w:rPr>
    </w:lvl>
    <w:lvl w:ilvl="1" w:tplc="6A22F316">
      <w:numFmt w:val="bullet"/>
      <w:lvlText w:val="•"/>
      <w:lvlJc w:val="left"/>
      <w:pPr>
        <w:ind w:left="723" w:hanging="284"/>
      </w:pPr>
      <w:rPr>
        <w:rFonts w:hint="default"/>
        <w:lang w:val="en-US" w:eastAsia="en-US" w:bidi="ar-SA"/>
      </w:rPr>
    </w:lvl>
    <w:lvl w:ilvl="2" w:tplc="23F4D2A2">
      <w:numFmt w:val="bullet"/>
      <w:lvlText w:val="•"/>
      <w:lvlJc w:val="left"/>
      <w:pPr>
        <w:ind w:left="887" w:hanging="284"/>
      </w:pPr>
      <w:rPr>
        <w:rFonts w:hint="default"/>
        <w:lang w:val="en-US" w:eastAsia="en-US" w:bidi="ar-SA"/>
      </w:rPr>
    </w:lvl>
    <w:lvl w:ilvl="3" w:tplc="30A82536">
      <w:numFmt w:val="bullet"/>
      <w:lvlText w:val="•"/>
      <w:lvlJc w:val="left"/>
      <w:pPr>
        <w:ind w:left="1051" w:hanging="284"/>
      </w:pPr>
      <w:rPr>
        <w:rFonts w:hint="default"/>
        <w:lang w:val="en-US" w:eastAsia="en-US" w:bidi="ar-SA"/>
      </w:rPr>
    </w:lvl>
    <w:lvl w:ilvl="4" w:tplc="CC207DF6">
      <w:numFmt w:val="bullet"/>
      <w:lvlText w:val="•"/>
      <w:lvlJc w:val="left"/>
      <w:pPr>
        <w:ind w:left="1215" w:hanging="284"/>
      </w:pPr>
      <w:rPr>
        <w:rFonts w:hint="default"/>
        <w:lang w:val="en-US" w:eastAsia="en-US" w:bidi="ar-SA"/>
      </w:rPr>
    </w:lvl>
    <w:lvl w:ilvl="5" w:tplc="A3FA2A06">
      <w:numFmt w:val="bullet"/>
      <w:lvlText w:val="•"/>
      <w:lvlJc w:val="left"/>
      <w:pPr>
        <w:ind w:left="1379" w:hanging="284"/>
      </w:pPr>
      <w:rPr>
        <w:rFonts w:hint="default"/>
        <w:lang w:val="en-US" w:eastAsia="en-US" w:bidi="ar-SA"/>
      </w:rPr>
    </w:lvl>
    <w:lvl w:ilvl="6" w:tplc="757EBE0E">
      <w:numFmt w:val="bullet"/>
      <w:lvlText w:val="•"/>
      <w:lvlJc w:val="left"/>
      <w:pPr>
        <w:ind w:left="1543" w:hanging="284"/>
      </w:pPr>
      <w:rPr>
        <w:rFonts w:hint="default"/>
        <w:lang w:val="en-US" w:eastAsia="en-US" w:bidi="ar-SA"/>
      </w:rPr>
    </w:lvl>
    <w:lvl w:ilvl="7" w:tplc="B2BA0C26">
      <w:numFmt w:val="bullet"/>
      <w:lvlText w:val="•"/>
      <w:lvlJc w:val="left"/>
      <w:pPr>
        <w:ind w:left="1707" w:hanging="284"/>
      </w:pPr>
      <w:rPr>
        <w:rFonts w:hint="default"/>
        <w:lang w:val="en-US" w:eastAsia="en-US" w:bidi="ar-SA"/>
      </w:rPr>
    </w:lvl>
    <w:lvl w:ilvl="8" w:tplc="77BA97EE">
      <w:numFmt w:val="bullet"/>
      <w:lvlText w:val="•"/>
      <w:lvlJc w:val="left"/>
      <w:pPr>
        <w:ind w:left="1871" w:hanging="284"/>
      </w:pPr>
      <w:rPr>
        <w:rFonts w:hint="default"/>
        <w:lang w:val="en-US" w:eastAsia="en-US" w:bidi="ar-SA"/>
      </w:rPr>
    </w:lvl>
  </w:abstractNum>
  <w:abstractNum w:abstractNumId="285" w15:restartNumberingAfterBreak="0">
    <w:nsid w:val="46E341F2"/>
    <w:multiLevelType w:val="hybridMultilevel"/>
    <w:tmpl w:val="354CFB2C"/>
    <w:lvl w:ilvl="0" w:tplc="61EAD746">
      <w:numFmt w:val="bullet"/>
      <w:lvlText w:val=""/>
      <w:lvlJc w:val="left"/>
      <w:pPr>
        <w:ind w:left="439" w:hanging="284"/>
      </w:pPr>
      <w:rPr>
        <w:rFonts w:ascii="Symbol" w:eastAsia="Symbol" w:hAnsi="Symbol" w:cs="Symbol" w:hint="default"/>
        <w:b w:val="0"/>
        <w:bCs w:val="0"/>
        <w:i w:val="0"/>
        <w:iCs w:val="0"/>
        <w:color w:val="70004A"/>
        <w:spacing w:val="0"/>
        <w:w w:val="100"/>
        <w:sz w:val="18"/>
        <w:szCs w:val="18"/>
        <w:lang w:val="en-US" w:eastAsia="en-US" w:bidi="ar-SA"/>
      </w:rPr>
    </w:lvl>
    <w:lvl w:ilvl="1" w:tplc="15387902">
      <w:numFmt w:val="bullet"/>
      <w:lvlText w:val="•"/>
      <w:lvlJc w:val="left"/>
      <w:pPr>
        <w:ind w:left="611" w:hanging="284"/>
      </w:pPr>
      <w:rPr>
        <w:rFonts w:hint="default"/>
        <w:lang w:val="en-US" w:eastAsia="en-US" w:bidi="ar-SA"/>
      </w:rPr>
    </w:lvl>
    <w:lvl w:ilvl="2" w:tplc="C83665D6">
      <w:numFmt w:val="bullet"/>
      <w:lvlText w:val="•"/>
      <w:lvlJc w:val="left"/>
      <w:pPr>
        <w:ind w:left="782" w:hanging="284"/>
      </w:pPr>
      <w:rPr>
        <w:rFonts w:hint="default"/>
        <w:lang w:val="en-US" w:eastAsia="en-US" w:bidi="ar-SA"/>
      </w:rPr>
    </w:lvl>
    <w:lvl w:ilvl="3" w:tplc="1B5CE7A6">
      <w:numFmt w:val="bullet"/>
      <w:lvlText w:val="•"/>
      <w:lvlJc w:val="left"/>
      <w:pPr>
        <w:ind w:left="953" w:hanging="284"/>
      </w:pPr>
      <w:rPr>
        <w:rFonts w:hint="default"/>
        <w:lang w:val="en-US" w:eastAsia="en-US" w:bidi="ar-SA"/>
      </w:rPr>
    </w:lvl>
    <w:lvl w:ilvl="4" w:tplc="72942EFE">
      <w:numFmt w:val="bullet"/>
      <w:lvlText w:val="•"/>
      <w:lvlJc w:val="left"/>
      <w:pPr>
        <w:ind w:left="1125" w:hanging="284"/>
      </w:pPr>
      <w:rPr>
        <w:rFonts w:hint="default"/>
        <w:lang w:val="en-US" w:eastAsia="en-US" w:bidi="ar-SA"/>
      </w:rPr>
    </w:lvl>
    <w:lvl w:ilvl="5" w:tplc="12444118">
      <w:numFmt w:val="bullet"/>
      <w:lvlText w:val="•"/>
      <w:lvlJc w:val="left"/>
      <w:pPr>
        <w:ind w:left="1296" w:hanging="284"/>
      </w:pPr>
      <w:rPr>
        <w:rFonts w:hint="default"/>
        <w:lang w:val="en-US" w:eastAsia="en-US" w:bidi="ar-SA"/>
      </w:rPr>
    </w:lvl>
    <w:lvl w:ilvl="6" w:tplc="A0F6AF3E">
      <w:numFmt w:val="bullet"/>
      <w:lvlText w:val="•"/>
      <w:lvlJc w:val="left"/>
      <w:pPr>
        <w:ind w:left="1467" w:hanging="284"/>
      </w:pPr>
      <w:rPr>
        <w:rFonts w:hint="default"/>
        <w:lang w:val="en-US" w:eastAsia="en-US" w:bidi="ar-SA"/>
      </w:rPr>
    </w:lvl>
    <w:lvl w:ilvl="7" w:tplc="856ABEB4">
      <w:numFmt w:val="bullet"/>
      <w:lvlText w:val="•"/>
      <w:lvlJc w:val="left"/>
      <w:pPr>
        <w:ind w:left="1639" w:hanging="284"/>
      </w:pPr>
      <w:rPr>
        <w:rFonts w:hint="default"/>
        <w:lang w:val="en-US" w:eastAsia="en-US" w:bidi="ar-SA"/>
      </w:rPr>
    </w:lvl>
    <w:lvl w:ilvl="8" w:tplc="91B07C68">
      <w:numFmt w:val="bullet"/>
      <w:lvlText w:val="•"/>
      <w:lvlJc w:val="left"/>
      <w:pPr>
        <w:ind w:left="1810" w:hanging="284"/>
      </w:pPr>
      <w:rPr>
        <w:rFonts w:hint="default"/>
        <w:lang w:val="en-US" w:eastAsia="en-US" w:bidi="ar-SA"/>
      </w:rPr>
    </w:lvl>
  </w:abstractNum>
  <w:abstractNum w:abstractNumId="286" w15:restartNumberingAfterBreak="0">
    <w:nsid w:val="475A7ED3"/>
    <w:multiLevelType w:val="hybridMultilevel"/>
    <w:tmpl w:val="75DE47FA"/>
    <w:lvl w:ilvl="0" w:tplc="B1F8E850">
      <w:numFmt w:val="bullet"/>
      <w:lvlText w:val=""/>
      <w:lvlJc w:val="left"/>
      <w:pPr>
        <w:ind w:left="427" w:hanging="284"/>
      </w:pPr>
      <w:rPr>
        <w:rFonts w:ascii="Symbol" w:eastAsia="Symbol" w:hAnsi="Symbol" w:cs="Symbol" w:hint="default"/>
        <w:b w:val="0"/>
        <w:bCs w:val="0"/>
        <w:i w:val="0"/>
        <w:iCs w:val="0"/>
        <w:color w:val="70004A"/>
        <w:spacing w:val="0"/>
        <w:w w:val="100"/>
        <w:sz w:val="18"/>
        <w:szCs w:val="18"/>
        <w:lang w:val="en-US" w:eastAsia="en-US" w:bidi="ar-SA"/>
      </w:rPr>
    </w:lvl>
    <w:lvl w:ilvl="1" w:tplc="0264233A">
      <w:numFmt w:val="bullet"/>
      <w:lvlText w:val="•"/>
      <w:lvlJc w:val="left"/>
      <w:pPr>
        <w:ind w:left="584" w:hanging="284"/>
      </w:pPr>
      <w:rPr>
        <w:rFonts w:hint="default"/>
        <w:lang w:val="en-US" w:eastAsia="en-US" w:bidi="ar-SA"/>
      </w:rPr>
    </w:lvl>
    <w:lvl w:ilvl="2" w:tplc="C4B26C4E">
      <w:numFmt w:val="bullet"/>
      <w:lvlText w:val="•"/>
      <w:lvlJc w:val="left"/>
      <w:pPr>
        <w:ind w:left="749" w:hanging="284"/>
      </w:pPr>
      <w:rPr>
        <w:rFonts w:hint="default"/>
        <w:lang w:val="en-US" w:eastAsia="en-US" w:bidi="ar-SA"/>
      </w:rPr>
    </w:lvl>
    <w:lvl w:ilvl="3" w:tplc="6D48C4EA">
      <w:numFmt w:val="bullet"/>
      <w:lvlText w:val="•"/>
      <w:lvlJc w:val="left"/>
      <w:pPr>
        <w:ind w:left="913" w:hanging="284"/>
      </w:pPr>
      <w:rPr>
        <w:rFonts w:hint="default"/>
        <w:lang w:val="en-US" w:eastAsia="en-US" w:bidi="ar-SA"/>
      </w:rPr>
    </w:lvl>
    <w:lvl w:ilvl="4" w:tplc="C590D452">
      <w:numFmt w:val="bullet"/>
      <w:lvlText w:val="•"/>
      <w:lvlJc w:val="left"/>
      <w:pPr>
        <w:ind w:left="1078" w:hanging="284"/>
      </w:pPr>
      <w:rPr>
        <w:rFonts w:hint="default"/>
        <w:lang w:val="en-US" w:eastAsia="en-US" w:bidi="ar-SA"/>
      </w:rPr>
    </w:lvl>
    <w:lvl w:ilvl="5" w:tplc="E648E62A">
      <w:numFmt w:val="bullet"/>
      <w:lvlText w:val="•"/>
      <w:lvlJc w:val="left"/>
      <w:pPr>
        <w:ind w:left="1243" w:hanging="284"/>
      </w:pPr>
      <w:rPr>
        <w:rFonts w:hint="default"/>
        <w:lang w:val="en-US" w:eastAsia="en-US" w:bidi="ar-SA"/>
      </w:rPr>
    </w:lvl>
    <w:lvl w:ilvl="6" w:tplc="75060ABE">
      <w:numFmt w:val="bullet"/>
      <w:lvlText w:val="•"/>
      <w:lvlJc w:val="left"/>
      <w:pPr>
        <w:ind w:left="1407" w:hanging="284"/>
      </w:pPr>
      <w:rPr>
        <w:rFonts w:hint="default"/>
        <w:lang w:val="en-US" w:eastAsia="en-US" w:bidi="ar-SA"/>
      </w:rPr>
    </w:lvl>
    <w:lvl w:ilvl="7" w:tplc="661E209C">
      <w:numFmt w:val="bullet"/>
      <w:lvlText w:val="•"/>
      <w:lvlJc w:val="left"/>
      <w:pPr>
        <w:ind w:left="1572" w:hanging="284"/>
      </w:pPr>
      <w:rPr>
        <w:rFonts w:hint="default"/>
        <w:lang w:val="en-US" w:eastAsia="en-US" w:bidi="ar-SA"/>
      </w:rPr>
    </w:lvl>
    <w:lvl w:ilvl="8" w:tplc="5420C524">
      <w:numFmt w:val="bullet"/>
      <w:lvlText w:val="•"/>
      <w:lvlJc w:val="left"/>
      <w:pPr>
        <w:ind w:left="1736" w:hanging="284"/>
      </w:pPr>
      <w:rPr>
        <w:rFonts w:hint="default"/>
        <w:lang w:val="en-US" w:eastAsia="en-US" w:bidi="ar-SA"/>
      </w:rPr>
    </w:lvl>
  </w:abstractNum>
  <w:abstractNum w:abstractNumId="287" w15:restartNumberingAfterBreak="0">
    <w:nsid w:val="475C4E8D"/>
    <w:multiLevelType w:val="hybridMultilevel"/>
    <w:tmpl w:val="75025CBE"/>
    <w:lvl w:ilvl="0" w:tplc="6E80BF10">
      <w:numFmt w:val="bullet"/>
      <w:lvlText w:val=""/>
      <w:lvlJc w:val="left"/>
      <w:pPr>
        <w:ind w:left="432" w:hanging="284"/>
      </w:pPr>
      <w:rPr>
        <w:rFonts w:ascii="Symbol" w:eastAsia="Symbol" w:hAnsi="Symbol" w:cs="Symbol" w:hint="default"/>
        <w:b w:val="0"/>
        <w:bCs w:val="0"/>
        <w:i w:val="0"/>
        <w:iCs w:val="0"/>
        <w:color w:val="70004A"/>
        <w:spacing w:val="0"/>
        <w:w w:val="100"/>
        <w:sz w:val="18"/>
        <w:szCs w:val="18"/>
        <w:lang w:val="en-US" w:eastAsia="en-US" w:bidi="ar-SA"/>
      </w:rPr>
    </w:lvl>
    <w:lvl w:ilvl="1" w:tplc="3AD2EBD6">
      <w:numFmt w:val="bullet"/>
      <w:lvlText w:val="•"/>
      <w:lvlJc w:val="left"/>
      <w:pPr>
        <w:ind w:left="602" w:hanging="284"/>
      </w:pPr>
      <w:rPr>
        <w:rFonts w:hint="default"/>
        <w:lang w:val="en-US" w:eastAsia="en-US" w:bidi="ar-SA"/>
      </w:rPr>
    </w:lvl>
    <w:lvl w:ilvl="2" w:tplc="298432B6">
      <w:numFmt w:val="bullet"/>
      <w:lvlText w:val="•"/>
      <w:lvlJc w:val="left"/>
      <w:pPr>
        <w:ind w:left="764" w:hanging="284"/>
      </w:pPr>
      <w:rPr>
        <w:rFonts w:hint="default"/>
        <w:lang w:val="en-US" w:eastAsia="en-US" w:bidi="ar-SA"/>
      </w:rPr>
    </w:lvl>
    <w:lvl w:ilvl="3" w:tplc="D2361460">
      <w:numFmt w:val="bullet"/>
      <w:lvlText w:val="•"/>
      <w:lvlJc w:val="left"/>
      <w:pPr>
        <w:ind w:left="926" w:hanging="284"/>
      </w:pPr>
      <w:rPr>
        <w:rFonts w:hint="default"/>
        <w:lang w:val="en-US" w:eastAsia="en-US" w:bidi="ar-SA"/>
      </w:rPr>
    </w:lvl>
    <w:lvl w:ilvl="4" w:tplc="0B505F5C">
      <w:numFmt w:val="bullet"/>
      <w:lvlText w:val="•"/>
      <w:lvlJc w:val="left"/>
      <w:pPr>
        <w:ind w:left="1089" w:hanging="284"/>
      </w:pPr>
      <w:rPr>
        <w:rFonts w:hint="default"/>
        <w:lang w:val="en-US" w:eastAsia="en-US" w:bidi="ar-SA"/>
      </w:rPr>
    </w:lvl>
    <w:lvl w:ilvl="5" w:tplc="E98AE26A">
      <w:numFmt w:val="bullet"/>
      <w:lvlText w:val="•"/>
      <w:lvlJc w:val="left"/>
      <w:pPr>
        <w:ind w:left="1251" w:hanging="284"/>
      </w:pPr>
      <w:rPr>
        <w:rFonts w:hint="default"/>
        <w:lang w:val="en-US" w:eastAsia="en-US" w:bidi="ar-SA"/>
      </w:rPr>
    </w:lvl>
    <w:lvl w:ilvl="6" w:tplc="7FE4DB3C">
      <w:numFmt w:val="bullet"/>
      <w:lvlText w:val="•"/>
      <w:lvlJc w:val="left"/>
      <w:pPr>
        <w:ind w:left="1413" w:hanging="284"/>
      </w:pPr>
      <w:rPr>
        <w:rFonts w:hint="default"/>
        <w:lang w:val="en-US" w:eastAsia="en-US" w:bidi="ar-SA"/>
      </w:rPr>
    </w:lvl>
    <w:lvl w:ilvl="7" w:tplc="178EE8DA">
      <w:numFmt w:val="bullet"/>
      <w:lvlText w:val="•"/>
      <w:lvlJc w:val="left"/>
      <w:pPr>
        <w:ind w:left="1576" w:hanging="284"/>
      </w:pPr>
      <w:rPr>
        <w:rFonts w:hint="default"/>
        <w:lang w:val="en-US" w:eastAsia="en-US" w:bidi="ar-SA"/>
      </w:rPr>
    </w:lvl>
    <w:lvl w:ilvl="8" w:tplc="9B9062E8">
      <w:numFmt w:val="bullet"/>
      <w:lvlText w:val="•"/>
      <w:lvlJc w:val="left"/>
      <w:pPr>
        <w:ind w:left="1738" w:hanging="284"/>
      </w:pPr>
      <w:rPr>
        <w:rFonts w:hint="default"/>
        <w:lang w:val="en-US" w:eastAsia="en-US" w:bidi="ar-SA"/>
      </w:rPr>
    </w:lvl>
  </w:abstractNum>
  <w:abstractNum w:abstractNumId="288" w15:restartNumberingAfterBreak="0">
    <w:nsid w:val="47641851"/>
    <w:multiLevelType w:val="hybridMultilevel"/>
    <w:tmpl w:val="203E4A1A"/>
    <w:lvl w:ilvl="0" w:tplc="5F0477D8">
      <w:numFmt w:val="bullet"/>
      <w:lvlText w:val=""/>
      <w:lvlJc w:val="left"/>
      <w:pPr>
        <w:ind w:left="501" w:hanging="360"/>
      </w:pPr>
      <w:rPr>
        <w:rFonts w:ascii="Symbol" w:eastAsia="Symbol" w:hAnsi="Symbol" w:cs="Symbol" w:hint="default"/>
        <w:b w:val="0"/>
        <w:bCs w:val="0"/>
        <w:i w:val="0"/>
        <w:iCs w:val="0"/>
        <w:color w:val="70004A"/>
        <w:spacing w:val="0"/>
        <w:w w:val="100"/>
        <w:sz w:val="20"/>
        <w:szCs w:val="20"/>
        <w:lang w:val="en-US" w:eastAsia="en-US" w:bidi="ar-SA"/>
      </w:rPr>
    </w:lvl>
    <w:lvl w:ilvl="1" w:tplc="099AA2BE">
      <w:numFmt w:val="bullet"/>
      <w:lvlText w:val="•"/>
      <w:lvlJc w:val="left"/>
      <w:pPr>
        <w:ind w:left="1442" w:hanging="360"/>
      </w:pPr>
      <w:rPr>
        <w:rFonts w:hint="default"/>
        <w:lang w:val="en-US" w:eastAsia="en-US" w:bidi="ar-SA"/>
      </w:rPr>
    </w:lvl>
    <w:lvl w:ilvl="2" w:tplc="C0DC3ABA">
      <w:numFmt w:val="bullet"/>
      <w:lvlText w:val="•"/>
      <w:lvlJc w:val="left"/>
      <w:pPr>
        <w:ind w:left="2384" w:hanging="360"/>
      </w:pPr>
      <w:rPr>
        <w:rFonts w:hint="default"/>
        <w:lang w:val="en-US" w:eastAsia="en-US" w:bidi="ar-SA"/>
      </w:rPr>
    </w:lvl>
    <w:lvl w:ilvl="3" w:tplc="58845B16">
      <w:numFmt w:val="bullet"/>
      <w:lvlText w:val="•"/>
      <w:lvlJc w:val="left"/>
      <w:pPr>
        <w:ind w:left="3326" w:hanging="360"/>
      </w:pPr>
      <w:rPr>
        <w:rFonts w:hint="default"/>
        <w:lang w:val="en-US" w:eastAsia="en-US" w:bidi="ar-SA"/>
      </w:rPr>
    </w:lvl>
    <w:lvl w:ilvl="4" w:tplc="EAA4373C">
      <w:numFmt w:val="bullet"/>
      <w:lvlText w:val="•"/>
      <w:lvlJc w:val="left"/>
      <w:pPr>
        <w:ind w:left="4268" w:hanging="360"/>
      </w:pPr>
      <w:rPr>
        <w:rFonts w:hint="default"/>
        <w:lang w:val="en-US" w:eastAsia="en-US" w:bidi="ar-SA"/>
      </w:rPr>
    </w:lvl>
    <w:lvl w:ilvl="5" w:tplc="489A8F66">
      <w:numFmt w:val="bullet"/>
      <w:lvlText w:val="•"/>
      <w:lvlJc w:val="left"/>
      <w:pPr>
        <w:ind w:left="5211" w:hanging="360"/>
      </w:pPr>
      <w:rPr>
        <w:rFonts w:hint="default"/>
        <w:lang w:val="en-US" w:eastAsia="en-US" w:bidi="ar-SA"/>
      </w:rPr>
    </w:lvl>
    <w:lvl w:ilvl="6" w:tplc="DFB24288">
      <w:numFmt w:val="bullet"/>
      <w:lvlText w:val="•"/>
      <w:lvlJc w:val="left"/>
      <w:pPr>
        <w:ind w:left="6153" w:hanging="360"/>
      </w:pPr>
      <w:rPr>
        <w:rFonts w:hint="default"/>
        <w:lang w:val="en-US" w:eastAsia="en-US" w:bidi="ar-SA"/>
      </w:rPr>
    </w:lvl>
    <w:lvl w:ilvl="7" w:tplc="E58E2BA2">
      <w:numFmt w:val="bullet"/>
      <w:lvlText w:val="•"/>
      <w:lvlJc w:val="left"/>
      <w:pPr>
        <w:ind w:left="7095" w:hanging="360"/>
      </w:pPr>
      <w:rPr>
        <w:rFonts w:hint="default"/>
        <w:lang w:val="en-US" w:eastAsia="en-US" w:bidi="ar-SA"/>
      </w:rPr>
    </w:lvl>
    <w:lvl w:ilvl="8" w:tplc="6C14C534">
      <w:numFmt w:val="bullet"/>
      <w:lvlText w:val="•"/>
      <w:lvlJc w:val="left"/>
      <w:pPr>
        <w:ind w:left="8037" w:hanging="360"/>
      </w:pPr>
      <w:rPr>
        <w:rFonts w:hint="default"/>
        <w:lang w:val="en-US" w:eastAsia="en-US" w:bidi="ar-SA"/>
      </w:rPr>
    </w:lvl>
  </w:abstractNum>
  <w:abstractNum w:abstractNumId="289" w15:restartNumberingAfterBreak="0">
    <w:nsid w:val="47E55346"/>
    <w:multiLevelType w:val="hybridMultilevel"/>
    <w:tmpl w:val="EAAA3416"/>
    <w:lvl w:ilvl="0" w:tplc="B1CC787E">
      <w:numFmt w:val="bullet"/>
      <w:lvlText w:val=""/>
      <w:lvlJc w:val="left"/>
      <w:pPr>
        <w:ind w:left="360" w:hanging="284"/>
      </w:pPr>
      <w:rPr>
        <w:rFonts w:ascii="Symbol" w:eastAsia="Symbol" w:hAnsi="Symbol" w:cs="Symbol" w:hint="default"/>
        <w:b w:val="0"/>
        <w:bCs w:val="0"/>
        <w:i w:val="0"/>
        <w:iCs w:val="0"/>
        <w:color w:val="70004A"/>
        <w:spacing w:val="0"/>
        <w:w w:val="100"/>
        <w:sz w:val="18"/>
        <w:szCs w:val="18"/>
        <w:lang w:val="en-US" w:eastAsia="en-US" w:bidi="ar-SA"/>
      </w:rPr>
    </w:lvl>
    <w:lvl w:ilvl="1" w:tplc="FB6CE7F0">
      <w:numFmt w:val="bullet"/>
      <w:lvlText w:val="•"/>
      <w:lvlJc w:val="left"/>
      <w:pPr>
        <w:ind w:left="468" w:hanging="284"/>
      </w:pPr>
      <w:rPr>
        <w:rFonts w:hint="default"/>
        <w:lang w:val="en-US" w:eastAsia="en-US" w:bidi="ar-SA"/>
      </w:rPr>
    </w:lvl>
    <w:lvl w:ilvl="2" w:tplc="939AF154">
      <w:numFmt w:val="bullet"/>
      <w:lvlText w:val="•"/>
      <w:lvlJc w:val="left"/>
      <w:pPr>
        <w:ind w:left="576" w:hanging="284"/>
      </w:pPr>
      <w:rPr>
        <w:rFonts w:hint="default"/>
        <w:lang w:val="en-US" w:eastAsia="en-US" w:bidi="ar-SA"/>
      </w:rPr>
    </w:lvl>
    <w:lvl w:ilvl="3" w:tplc="AAB42ED0">
      <w:numFmt w:val="bullet"/>
      <w:lvlText w:val="•"/>
      <w:lvlJc w:val="left"/>
      <w:pPr>
        <w:ind w:left="684" w:hanging="284"/>
      </w:pPr>
      <w:rPr>
        <w:rFonts w:hint="default"/>
        <w:lang w:val="en-US" w:eastAsia="en-US" w:bidi="ar-SA"/>
      </w:rPr>
    </w:lvl>
    <w:lvl w:ilvl="4" w:tplc="2B1E9448">
      <w:numFmt w:val="bullet"/>
      <w:lvlText w:val="•"/>
      <w:lvlJc w:val="left"/>
      <w:pPr>
        <w:ind w:left="793" w:hanging="284"/>
      </w:pPr>
      <w:rPr>
        <w:rFonts w:hint="default"/>
        <w:lang w:val="en-US" w:eastAsia="en-US" w:bidi="ar-SA"/>
      </w:rPr>
    </w:lvl>
    <w:lvl w:ilvl="5" w:tplc="15D6387E">
      <w:numFmt w:val="bullet"/>
      <w:lvlText w:val="•"/>
      <w:lvlJc w:val="left"/>
      <w:pPr>
        <w:ind w:left="901" w:hanging="284"/>
      </w:pPr>
      <w:rPr>
        <w:rFonts w:hint="default"/>
        <w:lang w:val="en-US" w:eastAsia="en-US" w:bidi="ar-SA"/>
      </w:rPr>
    </w:lvl>
    <w:lvl w:ilvl="6" w:tplc="8AF43408">
      <w:numFmt w:val="bullet"/>
      <w:lvlText w:val="•"/>
      <w:lvlJc w:val="left"/>
      <w:pPr>
        <w:ind w:left="1009" w:hanging="284"/>
      </w:pPr>
      <w:rPr>
        <w:rFonts w:hint="default"/>
        <w:lang w:val="en-US" w:eastAsia="en-US" w:bidi="ar-SA"/>
      </w:rPr>
    </w:lvl>
    <w:lvl w:ilvl="7" w:tplc="861C6F5E">
      <w:numFmt w:val="bullet"/>
      <w:lvlText w:val="•"/>
      <w:lvlJc w:val="left"/>
      <w:pPr>
        <w:ind w:left="1118" w:hanging="284"/>
      </w:pPr>
      <w:rPr>
        <w:rFonts w:hint="default"/>
        <w:lang w:val="en-US" w:eastAsia="en-US" w:bidi="ar-SA"/>
      </w:rPr>
    </w:lvl>
    <w:lvl w:ilvl="8" w:tplc="FA10D320">
      <w:numFmt w:val="bullet"/>
      <w:lvlText w:val="•"/>
      <w:lvlJc w:val="left"/>
      <w:pPr>
        <w:ind w:left="1226" w:hanging="284"/>
      </w:pPr>
      <w:rPr>
        <w:rFonts w:hint="default"/>
        <w:lang w:val="en-US" w:eastAsia="en-US" w:bidi="ar-SA"/>
      </w:rPr>
    </w:lvl>
  </w:abstractNum>
  <w:abstractNum w:abstractNumId="290" w15:restartNumberingAfterBreak="0">
    <w:nsid w:val="48B57B3E"/>
    <w:multiLevelType w:val="hybridMultilevel"/>
    <w:tmpl w:val="737857C2"/>
    <w:lvl w:ilvl="0" w:tplc="49B2C056">
      <w:numFmt w:val="bullet"/>
      <w:lvlText w:val=""/>
      <w:lvlJc w:val="left"/>
      <w:pPr>
        <w:ind w:left="477" w:hanging="284"/>
      </w:pPr>
      <w:rPr>
        <w:rFonts w:ascii="Symbol" w:eastAsia="Symbol" w:hAnsi="Symbol" w:cs="Symbol" w:hint="default"/>
        <w:b w:val="0"/>
        <w:bCs w:val="0"/>
        <w:i w:val="0"/>
        <w:iCs w:val="0"/>
        <w:color w:val="70004A"/>
        <w:spacing w:val="0"/>
        <w:w w:val="100"/>
        <w:sz w:val="18"/>
        <w:szCs w:val="18"/>
        <w:lang w:val="en-US" w:eastAsia="en-US" w:bidi="ar-SA"/>
      </w:rPr>
    </w:lvl>
    <w:lvl w:ilvl="1" w:tplc="4D3A24FE">
      <w:numFmt w:val="bullet"/>
      <w:lvlText w:val="•"/>
      <w:lvlJc w:val="left"/>
      <w:pPr>
        <w:ind w:left="742" w:hanging="284"/>
      </w:pPr>
      <w:rPr>
        <w:rFonts w:hint="default"/>
        <w:lang w:val="en-US" w:eastAsia="en-US" w:bidi="ar-SA"/>
      </w:rPr>
    </w:lvl>
    <w:lvl w:ilvl="2" w:tplc="80D2647E">
      <w:numFmt w:val="bullet"/>
      <w:lvlText w:val="•"/>
      <w:lvlJc w:val="left"/>
      <w:pPr>
        <w:ind w:left="1005" w:hanging="284"/>
      </w:pPr>
      <w:rPr>
        <w:rFonts w:hint="default"/>
        <w:lang w:val="en-US" w:eastAsia="en-US" w:bidi="ar-SA"/>
      </w:rPr>
    </w:lvl>
    <w:lvl w:ilvl="3" w:tplc="9D926B1E">
      <w:numFmt w:val="bullet"/>
      <w:lvlText w:val="•"/>
      <w:lvlJc w:val="left"/>
      <w:pPr>
        <w:ind w:left="1268" w:hanging="284"/>
      </w:pPr>
      <w:rPr>
        <w:rFonts w:hint="default"/>
        <w:lang w:val="en-US" w:eastAsia="en-US" w:bidi="ar-SA"/>
      </w:rPr>
    </w:lvl>
    <w:lvl w:ilvl="4" w:tplc="B9F8EC00">
      <w:numFmt w:val="bullet"/>
      <w:lvlText w:val="•"/>
      <w:lvlJc w:val="left"/>
      <w:pPr>
        <w:ind w:left="1530" w:hanging="284"/>
      </w:pPr>
      <w:rPr>
        <w:rFonts w:hint="default"/>
        <w:lang w:val="en-US" w:eastAsia="en-US" w:bidi="ar-SA"/>
      </w:rPr>
    </w:lvl>
    <w:lvl w:ilvl="5" w:tplc="745A0892">
      <w:numFmt w:val="bullet"/>
      <w:lvlText w:val="•"/>
      <w:lvlJc w:val="left"/>
      <w:pPr>
        <w:ind w:left="1793" w:hanging="284"/>
      </w:pPr>
      <w:rPr>
        <w:rFonts w:hint="default"/>
        <w:lang w:val="en-US" w:eastAsia="en-US" w:bidi="ar-SA"/>
      </w:rPr>
    </w:lvl>
    <w:lvl w:ilvl="6" w:tplc="3E6AE19A">
      <w:numFmt w:val="bullet"/>
      <w:lvlText w:val="•"/>
      <w:lvlJc w:val="left"/>
      <w:pPr>
        <w:ind w:left="2056" w:hanging="284"/>
      </w:pPr>
      <w:rPr>
        <w:rFonts w:hint="default"/>
        <w:lang w:val="en-US" w:eastAsia="en-US" w:bidi="ar-SA"/>
      </w:rPr>
    </w:lvl>
    <w:lvl w:ilvl="7" w:tplc="4BB0F466">
      <w:numFmt w:val="bullet"/>
      <w:lvlText w:val="•"/>
      <w:lvlJc w:val="left"/>
      <w:pPr>
        <w:ind w:left="2318" w:hanging="284"/>
      </w:pPr>
      <w:rPr>
        <w:rFonts w:hint="default"/>
        <w:lang w:val="en-US" w:eastAsia="en-US" w:bidi="ar-SA"/>
      </w:rPr>
    </w:lvl>
    <w:lvl w:ilvl="8" w:tplc="A49C7BBE">
      <w:numFmt w:val="bullet"/>
      <w:lvlText w:val="•"/>
      <w:lvlJc w:val="left"/>
      <w:pPr>
        <w:ind w:left="2581" w:hanging="284"/>
      </w:pPr>
      <w:rPr>
        <w:rFonts w:hint="default"/>
        <w:lang w:val="en-US" w:eastAsia="en-US" w:bidi="ar-SA"/>
      </w:rPr>
    </w:lvl>
  </w:abstractNum>
  <w:abstractNum w:abstractNumId="291" w15:restartNumberingAfterBreak="0">
    <w:nsid w:val="48D568F4"/>
    <w:multiLevelType w:val="hybridMultilevel"/>
    <w:tmpl w:val="26609D5C"/>
    <w:lvl w:ilvl="0" w:tplc="63C0420A">
      <w:numFmt w:val="bullet"/>
      <w:lvlText w:val=""/>
      <w:lvlJc w:val="left"/>
      <w:pPr>
        <w:ind w:left="423" w:hanging="284"/>
      </w:pPr>
      <w:rPr>
        <w:rFonts w:ascii="Symbol" w:eastAsia="Symbol" w:hAnsi="Symbol" w:cs="Symbol" w:hint="default"/>
        <w:b w:val="0"/>
        <w:bCs w:val="0"/>
        <w:i w:val="0"/>
        <w:iCs w:val="0"/>
        <w:color w:val="70004A"/>
        <w:spacing w:val="0"/>
        <w:w w:val="100"/>
        <w:sz w:val="18"/>
        <w:szCs w:val="18"/>
        <w:lang w:val="en-US" w:eastAsia="en-US" w:bidi="ar-SA"/>
      </w:rPr>
    </w:lvl>
    <w:lvl w:ilvl="1" w:tplc="E0607BC8">
      <w:numFmt w:val="bullet"/>
      <w:lvlText w:val="•"/>
      <w:lvlJc w:val="left"/>
      <w:pPr>
        <w:ind w:left="584" w:hanging="284"/>
      </w:pPr>
      <w:rPr>
        <w:rFonts w:hint="default"/>
        <w:lang w:val="en-US" w:eastAsia="en-US" w:bidi="ar-SA"/>
      </w:rPr>
    </w:lvl>
    <w:lvl w:ilvl="2" w:tplc="0D96A8B8">
      <w:numFmt w:val="bullet"/>
      <w:lvlText w:val="•"/>
      <w:lvlJc w:val="left"/>
      <w:pPr>
        <w:ind w:left="748" w:hanging="284"/>
      </w:pPr>
      <w:rPr>
        <w:rFonts w:hint="default"/>
        <w:lang w:val="en-US" w:eastAsia="en-US" w:bidi="ar-SA"/>
      </w:rPr>
    </w:lvl>
    <w:lvl w:ilvl="3" w:tplc="29201D5A">
      <w:numFmt w:val="bullet"/>
      <w:lvlText w:val="•"/>
      <w:lvlJc w:val="left"/>
      <w:pPr>
        <w:ind w:left="912" w:hanging="284"/>
      </w:pPr>
      <w:rPr>
        <w:rFonts w:hint="default"/>
        <w:lang w:val="en-US" w:eastAsia="en-US" w:bidi="ar-SA"/>
      </w:rPr>
    </w:lvl>
    <w:lvl w:ilvl="4" w:tplc="54B887DA">
      <w:numFmt w:val="bullet"/>
      <w:lvlText w:val="•"/>
      <w:lvlJc w:val="left"/>
      <w:pPr>
        <w:ind w:left="1076" w:hanging="284"/>
      </w:pPr>
      <w:rPr>
        <w:rFonts w:hint="default"/>
        <w:lang w:val="en-US" w:eastAsia="en-US" w:bidi="ar-SA"/>
      </w:rPr>
    </w:lvl>
    <w:lvl w:ilvl="5" w:tplc="54D4C2C0">
      <w:numFmt w:val="bullet"/>
      <w:lvlText w:val="•"/>
      <w:lvlJc w:val="left"/>
      <w:pPr>
        <w:ind w:left="1240" w:hanging="284"/>
      </w:pPr>
      <w:rPr>
        <w:rFonts w:hint="default"/>
        <w:lang w:val="en-US" w:eastAsia="en-US" w:bidi="ar-SA"/>
      </w:rPr>
    </w:lvl>
    <w:lvl w:ilvl="6" w:tplc="C4686204">
      <w:numFmt w:val="bullet"/>
      <w:lvlText w:val="•"/>
      <w:lvlJc w:val="left"/>
      <w:pPr>
        <w:ind w:left="1404" w:hanging="284"/>
      </w:pPr>
      <w:rPr>
        <w:rFonts w:hint="default"/>
        <w:lang w:val="en-US" w:eastAsia="en-US" w:bidi="ar-SA"/>
      </w:rPr>
    </w:lvl>
    <w:lvl w:ilvl="7" w:tplc="B7FCADE6">
      <w:numFmt w:val="bullet"/>
      <w:lvlText w:val="•"/>
      <w:lvlJc w:val="left"/>
      <w:pPr>
        <w:ind w:left="1568" w:hanging="284"/>
      </w:pPr>
      <w:rPr>
        <w:rFonts w:hint="default"/>
        <w:lang w:val="en-US" w:eastAsia="en-US" w:bidi="ar-SA"/>
      </w:rPr>
    </w:lvl>
    <w:lvl w:ilvl="8" w:tplc="EAFE9F9A">
      <w:numFmt w:val="bullet"/>
      <w:lvlText w:val="•"/>
      <w:lvlJc w:val="left"/>
      <w:pPr>
        <w:ind w:left="1732" w:hanging="284"/>
      </w:pPr>
      <w:rPr>
        <w:rFonts w:hint="default"/>
        <w:lang w:val="en-US" w:eastAsia="en-US" w:bidi="ar-SA"/>
      </w:rPr>
    </w:lvl>
  </w:abstractNum>
  <w:abstractNum w:abstractNumId="292" w15:restartNumberingAfterBreak="0">
    <w:nsid w:val="49114C59"/>
    <w:multiLevelType w:val="hybridMultilevel"/>
    <w:tmpl w:val="883618C8"/>
    <w:lvl w:ilvl="0" w:tplc="1042281C">
      <w:numFmt w:val="bullet"/>
      <w:lvlText w:val=""/>
      <w:lvlJc w:val="left"/>
      <w:pPr>
        <w:ind w:left="480" w:hanging="284"/>
      </w:pPr>
      <w:rPr>
        <w:rFonts w:ascii="Symbol" w:eastAsia="Symbol" w:hAnsi="Symbol" w:cs="Symbol" w:hint="default"/>
        <w:b w:val="0"/>
        <w:bCs w:val="0"/>
        <w:i w:val="0"/>
        <w:iCs w:val="0"/>
        <w:color w:val="70004A"/>
        <w:spacing w:val="0"/>
        <w:w w:val="100"/>
        <w:sz w:val="18"/>
        <w:szCs w:val="18"/>
        <w:lang w:val="en-US" w:eastAsia="en-US" w:bidi="ar-SA"/>
      </w:rPr>
    </w:lvl>
    <w:lvl w:ilvl="1" w:tplc="4510EA7C">
      <w:numFmt w:val="bullet"/>
      <w:lvlText w:val="•"/>
      <w:lvlJc w:val="left"/>
      <w:pPr>
        <w:ind w:left="782" w:hanging="284"/>
      </w:pPr>
      <w:rPr>
        <w:rFonts w:hint="default"/>
        <w:lang w:val="en-US" w:eastAsia="en-US" w:bidi="ar-SA"/>
      </w:rPr>
    </w:lvl>
    <w:lvl w:ilvl="2" w:tplc="2380368C">
      <w:numFmt w:val="bullet"/>
      <w:lvlText w:val="•"/>
      <w:lvlJc w:val="left"/>
      <w:pPr>
        <w:ind w:left="1084" w:hanging="284"/>
      </w:pPr>
      <w:rPr>
        <w:rFonts w:hint="default"/>
        <w:lang w:val="en-US" w:eastAsia="en-US" w:bidi="ar-SA"/>
      </w:rPr>
    </w:lvl>
    <w:lvl w:ilvl="3" w:tplc="F1E47D52">
      <w:numFmt w:val="bullet"/>
      <w:lvlText w:val="•"/>
      <w:lvlJc w:val="left"/>
      <w:pPr>
        <w:ind w:left="1386" w:hanging="284"/>
      </w:pPr>
      <w:rPr>
        <w:rFonts w:hint="default"/>
        <w:lang w:val="en-US" w:eastAsia="en-US" w:bidi="ar-SA"/>
      </w:rPr>
    </w:lvl>
    <w:lvl w:ilvl="4" w:tplc="3C4A44A2">
      <w:numFmt w:val="bullet"/>
      <w:lvlText w:val="•"/>
      <w:lvlJc w:val="left"/>
      <w:pPr>
        <w:ind w:left="1688" w:hanging="284"/>
      </w:pPr>
      <w:rPr>
        <w:rFonts w:hint="default"/>
        <w:lang w:val="en-US" w:eastAsia="en-US" w:bidi="ar-SA"/>
      </w:rPr>
    </w:lvl>
    <w:lvl w:ilvl="5" w:tplc="7488FB50">
      <w:numFmt w:val="bullet"/>
      <w:lvlText w:val="•"/>
      <w:lvlJc w:val="left"/>
      <w:pPr>
        <w:ind w:left="1990" w:hanging="284"/>
      </w:pPr>
      <w:rPr>
        <w:rFonts w:hint="default"/>
        <w:lang w:val="en-US" w:eastAsia="en-US" w:bidi="ar-SA"/>
      </w:rPr>
    </w:lvl>
    <w:lvl w:ilvl="6" w:tplc="C74438CC">
      <w:numFmt w:val="bullet"/>
      <w:lvlText w:val="•"/>
      <w:lvlJc w:val="left"/>
      <w:pPr>
        <w:ind w:left="2292" w:hanging="284"/>
      </w:pPr>
      <w:rPr>
        <w:rFonts w:hint="default"/>
        <w:lang w:val="en-US" w:eastAsia="en-US" w:bidi="ar-SA"/>
      </w:rPr>
    </w:lvl>
    <w:lvl w:ilvl="7" w:tplc="7DE092E0">
      <w:numFmt w:val="bullet"/>
      <w:lvlText w:val="•"/>
      <w:lvlJc w:val="left"/>
      <w:pPr>
        <w:ind w:left="2594" w:hanging="284"/>
      </w:pPr>
      <w:rPr>
        <w:rFonts w:hint="default"/>
        <w:lang w:val="en-US" w:eastAsia="en-US" w:bidi="ar-SA"/>
      </w:rPr>
    </w:lvl>
    <w:lvl w:ilvl="8" w:tplc="3678F0AC">
      <w:numFmt w:val="bullet"/>
      <w:lvlText w:val="•"/>
      <w:lvlJc w:val="left"/>
      <w:pPr>
        <w:ind w:left="2896" w:hanging="284"/>
      </w:pPr>
      <w:rPr>
        <w:rFonts w:hint="default"/>
        <w:lang w:val="en-US" w:eastAsia="en-US" w:bidi="ar-SA"/>
      </w:rPr>
    </w:lvl>
  </w:abstractNum>
  <w:abstractNum w:abstractNumId="293" w15:restartNumberingAfterBreak="0">
    <w:nsid w:val="492C59BC"/>
    <w:multiLevelType w:val="hybridMultilevel"/>
    <w:tmpl w:val="9F646024"/>
    <w:lvl w:ilvl="0" w:tplc="BE9887C0">
      <w:numFmt w:val="bullet"/>
      <w:lvlText w:val=""/>
      <w:lvlJc w:val="left"/>
      <w:pPr>
        <w:ind w:left="480" w:hanging="284"/>
      </w:pPr>
      <w:rPr>
        <w:rFonts w:ascii="Symbol" w:eastAsia="Symbol" w:hAnsi="Symbol" w:cs="Symbol" w:hint="default"/>
        <w:b w:val="0"/>
        <w:bCs w:val="0"/>
        <w:i w:val="0"/>
        <w:iCs w:val="0"/>
        <w:color w:val="70004A"/>
        <w:spacing w:val="0"/>
        <w:w w:val="100"/>
        <w:sz w:val="18"/>
        <w:szCs w:val="18"/>
        <w:lang w:val="en-US" w:eastAsia="en-US" w:bidi="ar-SA"/>
      </w:rPr>
    </w:lvl>
    <w:lvl w:ilvl="1" w:tplc="38580356">
      <w:numFmt w:val="bullet"/>
      <w:lvlText w:val="•"/>
      <w:lvlJc w:val="left"/>
      <w:pPr>
        <w:ind w:left="782" w:hanging="284"/>
      </w:pPr>
      <w:rPr>
        <w:rFonts w:hint="default"/>
        <w:lang w:val="en-US" w:eastAsia="en-US" w:bidi="ar-SA"/>
      </w:rPr>
    </w:lvl>
    <w:lvl w:ilvl="2" w:tplc="4378D606">
      <w:numFmt w:val="bullet"/>
      <w:lvlText w:val="•"/>
      <w:lvlJc w:val="left"/>
      <w:pPr>
        <w:ind w:left="1084" w:hanging="284"/>
      </w:pPr>
      <w:rPr>
        <w:rFonts w:hint="default"/>
        <w:lang w:val="en-US" w:eastAsia="en-US" w:bidi="ar-SA"/>
      </w:rPr>
    </w:lvl>
    <w:lvl w:ilvl="3" w:tplc="616E3C9C">
      <w:numFmt w:val="bullet"/>
      <w:lvlText w:val="•"/>
      <w:lvlJc w:val="left"/>
      <w:pPr>
        <w:ind w:left="1386" w:hanging="284"/>
      </w:pPr>
      <w:rPr>
        <w:rFonts w:hint="default"/>
        <w:lang w:val="en-US" w:eastAsia="en-US" w:bidi="ar-SA"/>
      </w:rPr>
    </w:lvl>
    <w:lvl w:ilvl="4" w:tplc="7F9858B4">
      <w:numFmt w:val="bullet"/>
      <w:lvlText w:val="•"/>
      <w:lvlJc w:val="left"/>
      <w:pPr>
        <w:ind w:left="1688" w:hanging="284"/>
      </w:pPr>
      <w:rPr>
        <w:rFonts w:hint="default"/>
        <w:lang w:val="en-US" w:eastAsia="en-US" w:bidi="ar-SA"/>
      </w:rPr>
    </w:lvl>
    <w:lvl w:ilvl="5" w:tplc="62C6A400">
      <w:numFmt w:val="bullet"/>
      <w:lvlText w:val="•"/>
      <w:lvlJc w:val="left"/>
      <w:pPr>
        <w:ind w:left="1990" w:hanging="284"/>
      </w:pPr>
      <w:rPr>
        <w:rFonts w:hint="default"/>
        <w:lang w:val="en-US" w:eastAsia="en-US" w:bidi="ar-SA"/>
      </w:rPr>
    </w:lvl>
    <w:lvl w:ilvl="6" w:tplc="28F0F1B0">
      <w:numFmt w:val="bullet"/>
      <w:lvlText w:val="•"/>
      <w:lvlJc w:val="left"/>
      <w:pPr>
        <w:ind w:left="2292" w:hanging="284"/>
      </w:pPr>
      <w:rPr>
        <w:rFonts w:hint="default"/>
        <w:lang w:val="en-US" w:eastAsia="en-US" w:bidi="ar-SA"/>
      </w:rPr>
    </w:lvl>
    <w:lvl w:ilvl="7" w:tplc="97CACEAA">
      <w:numFmt w:val="bullet"/>
      <w:lvlText w:val="•"/>
      <w:lvlJc w:val="left"/>
      <w:pPr>
        <w:ind w:left="2594" w:hanging="284"/>
      </w:pPr>
      <w:rPr>
        <w:rFonts w:hint="default"/>
        <w:lang w:val="en-US" w:eastAsia="en-US" w:bidi="ar-SA"/>
      </w:rPr>
    </w:lvl>
    <w:lvl w:ilvl="8" w:tplc="F9B88C3C">
      <w:numFmt w:val="bullet"/>
      <w:lvlText w:val="•"/>
      <w:lvlJc w:val="left"/>
      <w:pPr>
        <w:ind w:left="2896" w:hanging="284"/>
      </w:pPr>
      <w:rPr>
        <w:rFonts w:hint="default"/>
        <w:lang w:val="en-US" w:eastAsia="en-US" w:bidi="ar-SA"/>
      </w:rPr>
    </w:lvl>
  </w:abstractNum>
  <w:abstractNum w:abstractNumId="294" w15:restartNumberingAfterBreak="0">
    <w:nsid w:val="497D10EE"/>
    <w:multiLevelType w:val="multilevel"/>
    <w:tmpl w:val="2D906030"/>
    <w:lvl w:ilvl="0">
      <w:start w:val="1"/>
      <w:numFmt w:val="bullet"/>
      <w:pStyle w:val="Table-Bullet"/>
      <w:lvlText w:val=""/>
      <w:lvlJc w:val="left"/>
      <w:pPr>
        <w:ind w:left="340" w:hanging="283"/>
      </w:pPr>
      <w:rPr>
        <w:rFonts w:ascii="Symbol" w:hAnsi="Symbol" w:hint="default"/>
        <w:color w:val="71004B"/>
      </w:rPr>
    </w:lvl>
    <w:lvl w:ilvl="1">
      <w:start w:val="1"/>
      <w:numFmt w:val="bullet"/>
      <w:pStyle w:val="Table-Bullet2"/>
      <w:lvlText w:val="–"/>
      <w:lvlJc w:val="left"/>
      <w:pPr>
        <w:ind w:left="624" w:hanging="284"/>
      </w:pPr>
      <w:rPr>
        <w:rFonts w:ascii="Arial" w:hAnsi="Arial" w:hint="default"/>
        <w:color w:val="5F6369" w:themeColor="text2"/>
      </w:rPr>
    </w:lvl>
    <w:lvl w:ilvl="2">
      <w:start w:val="1"/>
      <w:numFmt w:val="bullet"/>
      <w:lvlText w:val="○"/>
      <w:lvlJc w:val="left"/>
      <w:pPr>
        <w:ind w:left="852" w:hanging="284"/>
      </w:pPr>
      <w:rPr>
        <w:rFonts w:ascii="Arial" w:hAnsi="Arial" w:hint="default"/>
        <w:color w:val="5F6369" w:themeColor="text2"/>
      </w:rPr>
    </w:lvl>
    <w:lvl w:ilvl="3">
      <w:start w:val="1"/>
      <w:numFmt w:val="bullet"/>
      <w:lvlText w:val=""/>
      <w:lvlJc w:val="left"/>
      <w:pPr>
        <w:ind w:left="1136" w:hanging="284"/>
      </w:pPr>
      <w:rPr>
        <w:rFonts w:ascii="Symbol" w:hAnsi="Symbol" w:hint="default"/>
        <w:color w:val="5F6369" w:themeColor="text2"/>
      </w:rPr>
    </w:lvl>
    <w:lvl w:ilvl="4">
      <w:start w:val="1"/>
      <w:numFmt w:val="bullet"/>
      <w:lvlText w:val="–"/>
      <w:lvlJc w:val="left"/>
      <w:pPr>
        <w:ind w:left="1420" w:hanging="284"/>
      </w:pPr>
      <w:rPr>
        <w:rFonts w:ascii="Arial" w:hAnsi="Arial" w:hint="default"/>
        <w:color w:val="5F6369" w:themeColor="text2"/>
      </w:rPr>
    </w:lvl>
    <w:lvl w:ilvl="5">
      <w:start w:val="1"/>
      <w:numFmt w:val="none"/>
      <w:lvlText w:val=""/>
      <w:lvlJc w:val="left"/>
      <w:pPr>
        <w:ind w:left="1704" w:hanging="284"/>
      </w:pPr>
      <w:rPr>
        <w:rFonts w:hint="default"/>
        <w:color w:val="5F6369" w:themeColor="text2"/>
      </w:rPr>
    </w:lvl>
    <w:lvl w:ilvl="6">
      <w:start w:val="1"/>
      <w:numFmt w:val="none"/>
      <w:lvlText w:val=""/>
      <w:lvlJc w:val="left"/>
      <w:pPr>
        <w:ind w:left="1988" w:hanging="284"/>
      </w:pPr>
      <w:rPr>
        <w:rFonts w:hint="default"/>
        <w:color w:val="5F6369" w:themeColor="text2"/>
      </w:rPr>
    </w:lvl>
    <w:lvl w:ilvl="7">
      <w:start w:val="1"/>
      <w:numFmt w:val="none"/>
      <w:lvlText w:val=""/>
      <w:lvlJc w:val="left"/>
      <w:pPr>
        <w:ind w:left="2272" w:hanging="284"/>
      </w:pPr>
      <w:rPr>
        <w:rFonts w:hint="default"/>
        <w:color w:val="5F6369" w:themeColor="text2"/>
      </w:rPr>
    </w:lvl>
    <w:lvl w:ilvl="8">
      <w:start w:val="1"/>
      <w:numFmt w:val="none"/>
      <w:lvlText w:val=""/>
      <w:lvlJc w:val="left"/>
      <w:pPr>
        <w:ind w:left="2556" w:hanging="284"/>
      </w:pPr>
      <w:rPr>
        <w:rFonts w:hint="default"/>
        <w:color w:val="5F6369" w:themeColor="text2"/>
      </w:rPr>
    </w:lvl>
  </w:abstractNum>
  <w:abstractNum w:abstractNumId="295" w15:restartNumberingAfterBreak="0">
    <w:nsid w:val="49E652F2"/>
    <w:multiLevelType w:val="hybridMultilevel"/>
    <w:tmpl w:val="BECAC9E8"/>
    <w:lvl w:ilvl="0" w:tplc="6FC2FA30">
      <w:numFmt w:val="bullet"/>
      <w:lvlText w:val=""/>
      <w:lvlJc w:val="left"/>
      <w:pPr>
        <w:ind w:left="374" w:hanging="284"/>
      </w:pPr>
      <w:rPr>
        <w:rFonts w:ascii="Symbol" w:eastAsia="Symbol" w:hAnsi="Symbol" w:cs="Symbol" w:hint="default"/>
        <w:b w:val="0"/>
        <w:bCs w:val="0"/>
        <w:i w:val="0"/>
        <w:iCs w:val="0"/>
        <w:color w:val="70004A"/>
        <w:spacing w:val="0"/>
        <w:w w:val="100"/>
        <w:sz w:val="18"/>
        <w:szCs w:val="18"/>
        <w:lang w:val="en-US" w:eastAsia="en-US" w:bidi="ar-SA"/>
      </w:rPr>
    </w:lvl>
    <w:lvl w:ilvl="1" w:tplc="87A0826A">
      <w:numFmt w:val="bullet"/>
      <w:lvlText w:val="•"/>
      <w:lvlJc w:val="left"/>
      <w:pPr>
        <w:ind w:left="489" w:hanging="284"/>
      </w:pPr>
      <w:rPr>
        <w:rFonts w:hint="default"/>
        <w:lang w:val="en-US" w:eastAsia="en-US" w:bidi="ar-SA"/>
      </w:rPr>
    </w:lvl>
    <w:lvl w:ilvl="2" w:tplc="876EEF54">
      <w:numFmt w:val="bullet"/>
      <w:lvlText w:val="•"/>
      <w:lvlJc w:val="left"/>
      <w:pPr>
        <w:ind w:left="599" w:hanging="284"/>
      </w:pPr>
      <w:rPr>
        <w:rFonts w:hint="default"/>
        <w:lang w:val="en-US" w:eastAsia="en-US" w:bidi="ar-SA"/>
      </w:rPr>
    </w:lvl>
    <w:lvl w:ilvl="3" w:tplc="F80A5958">
      <w:numFmt w:val="bullet"/>
      <w:lvlText w:val="•"/>
      <w:lvlJc w:val="left"/>
      <w:pPr>
        <w:ind w:left="709" w:hanging="284"/>
      </w:pPr>
      <w:rPr>
        <w:rFonts w:hint="default"/>
        <w:lang w:val="en-US" w:eastAsia="en-US" w:bidi="ar-SA"/>
      </w:rPr>
    </w:lvl>
    <w:lvl w:ilvl="4" w:tplc="E3E67D84">
      <w:numFmt w:val="bullet"/>
      <w:lvlText w:val="•"/>
      <w:lvlJc w:val="left"/>
      <w:pPr>
        <w:ind w:left="819" w:hanging="284"/>
      </w:pPr>
      <w:rPr>
        <w:rFonts w:hint="default"/>
        <w:lang w:val="en-US" w:eastAsia="en-US" w:bidi="ar-SA"/>
      </w:rPr>
    </w:lvl>
    <w:lvl w:ilvl="5" w:tplc="B88C7700">
      <w:numFmt w:val="bullet"/>
      <w:lvlText w:val="•"/>
      <w:lvlJc w:val="left"/>
      <w:pPr>
        <w:ind w:left="929" w:hanging="284"/>
      </w:pPr>
      <w:rPr>
        <w:rFonts w:hint="default"/>
        <w:lang w:val="en-US" w:eastAsia="en-US" w:bidi="ar-SA"/>
      </w:rPr>
    </w:lvl>
    <w:lvl w:ilvl="6" w:tplc="D3504460">
      <w:numFmt w:val="bullet"/>
      <w:lvlText w:val="•"/>
      <w:lvlJc w:val="left"/>
      <w:pPr>
        <w:ind w:left="1039" w:hanging="284"/>
      </w:pPr>
      <w:rPr>
        <w:rFonts w:hint="default"/>
        <w:lang w:val="en-US" w:eastAsia="en-US" w:bidi="ar-SA"/>
      </w:rPr>
    </w:lvl>
    <w:lvl w:ilvl="7" w:tplc="724A1646">
      <w:numFmt w:val="bullet"/>
      <w:lvlText w:val="•"/>
      <w:lvlJc w:val="left"/>
      <w:pPr>
        <w:ind w:left="1149" w:hanging="284"/>
      </w:pPr>
      <w:rPr>
        <w:rFonts w:hint="default"/>
        <w:lang w:val="en-US" w:eastAsia="en-US" w:bidi="ar-SA"/>
      </w:rPr>
    </w:lvl>
    <w:lvl w:ilvl="8" w:tplc="E0C0DF16">
      <w:numFmt w:val="bullet"/>
      <w:lvlText w:val="•"/>
      <w:lvlJc w:val="left"/>
      <w:pPr>
        <w:ind w:left="1259" w:hanging="284"/>
      </w:pPr>
      <w:rPr>
        <w:rFonts w:hint="default"/>
        <w:lang w:val="en-US" w:eastAsia="en-US" w:bidi="ar-SA"/>
      </w:rPr>
    </w:lvl>
  </w:abstractNum>
  <w:abstractNum w:abstractNumId="296" w15:restartNumberingAfterBreak="0">
    <w:nsid w:val="4A2835EE"/>
    <w:multiLevelType w:val="hybridMultilevel"/>
    <w:tmpl w:val="39388CF0"/>
    <w:lvl w:ilvl="0" w:tplc="62C6D7C6">
      <w:start w:val="1"/>
      <w:numFmt w:val="decimal"/>
      <w:lvlText w:val="%1."/>
      <w:lvlJc w:val="left"/>
      <w:pPr>
        <w:ind w:left="578" w:hanging="425"/>
      </w:pPr>
      <w:rPr>
        <w:rFonts w:ascii="Arial" w:eastAsia="Arial" w:hAnsi="Arial" w:cs="Arial" w:hint="default"/>
        <w:b w:val="0"/>
        <w:bCs w:val="0"/>
        <w:i w:val="0"/>
        <w:iCs w:val="0"/>
        <w:color w:val="70004A"/>
        <w:spacing w:val="-1"/>
        <w:w w:val="100"/>
        <w:sz w:val="14"/>
        <w:szCs w:val="14"/>
        <w:lang w:val="en-US" w:eastAsia="en-US" w:bidi="ar-SA"/>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7" w15:restartNumberingAfterBreak="0">
    <w:nsid w:val="4A2F30FA"/>
    <w:multiLevelType w:val="hybridMultilevel"/>
    <w:tmpl w:val="45B8207E"/>
    <w:lvl w:ilvl="0" w:tplc="FAA40506">
      <w:numFmt w:val="bullet"/>
      <w:lvlText w:val=""/>
      <w:lvlJc w:val="left"/>
      <w:pPr>
        <w:ind w:left="439" w:hanging="284"/>
      </w:pPr>
      <w:rPr>
        <w:rFonts w:ascii="Symbol" w:eastAsia="Symbol" w:hAnsi="Symbol" w:cs="Symbol" w:hint="default"/>
        <w:b w:val="0"/>
        <w:bCs w:val="0"/>
        <w:i w:val="0"/>
        <w:iCs w:val="0"/>
        <w:color w:val="70004A"/>
        <w:spacing w:val="0"/>
        <w:w w:val="100"/>
        <w:sz w:val="18"/>
        <w:szCs w:val="18"/>
        <w:lang w:val="en-US" w:eastAsia="en-US" w:bidi="ar-SA"/>
      </w:rPr>
    </w:lvl>
    <w:lvl w:ilvl="1" w:tplc="1492674C">
      <w:numFmt w:val="bullet"/>
      <w:lvlText w:val="•"/>
      <w:lvlJc w:val="left"/>
      <w:pPr>
        <w:ind w:left="637" w:hanging="284"/>
      </w:pPr>
      <w:rPr>
        <w:rFonts w:hint="default"/>
        <w:lang w:val="en-US" w:eastAsia="en-US" w:bidi="ar-SA"/>
      </w:rPr>
    </w:lvl>
    <w:lvl w:ilvl="2" w:tplc="2F960D94">
      <w:numFmt w:val="bullet"/>
      <w:lvlText w:val="•"/>
      <w:lvlJc w:val="left"/>
      <w:pPr>
        <w:ind w:left="834" w:hanging="284"/>
      </w:pPr>
      <w:rPr>
        <w:rFonts w:hint="default"/>
        <w:lang w:val="en-US" w:eastAsia="en-US" w:bidi="ar-SA"/>
      </w:rPr>
    </w:lvl>
    <w:lvl w:ilvl="3" w:tplc="65E436E8">
      <w:numFmt w:val="bullet"/>
      <w:lvlText w:val="•"/>
      <w:lvlJc w:val="left"/>
      <w:pPr>
        <w:ind w:left="1031" w:hanging="284"/>
      </w:pPr>
      <w:rPr>
        <w:rFonts w:hint="default"/>
        <w:lang w:val="en-US" w:eastAsia="en-US" w:bidi="ar-SA"/>
      </w:rPr>
    </w:lvl>
    <w:lvl w:ilvl="4" w:tplc="BC12B046">
      <w:numFmt w:val="bullet"/>
      <w:lvlText w:val="•"/>
      <w:lvlJc w:val="left"/>
      <w:pPr>
        <w:ind w:left="1228" w:hanging="284"/>
      </w:pPr>
      <w:rPr>
        <w:rFonts w:hint="default"/>
        <w:lang w:val="en-US" w:eastAsia="en-US" w:bidi="ar-SA"/>
      </w:rPr>
    </w:lvl>
    <w:lvl w:ilvl="5" w:tplc="0712A832">
      <w:numFmt w:val="bullet"/>
      <w:lvlText w:val="•"/>
      <w:lvlJc w:val="left"/>
      <w:pPr>
        <w:ind w:left="1425" w:hanging="284"/>
      </w:pPr>
      <w:rPr>
        <w:rFonts w:hint="default"/>
        <w:lang w:val="en-US" w:eastAsia="en-US" w:bidi="ar-SA"/>
      </w:rPr>
    </w:lvl>
    <w:lvl w:ilvl="6" w:tplc="146E24C8">
      <w:numFmt w:val="bullet"/>
      <w:lvlText w:val="•"/>
      <w:lvlJc w:val="left"/>
      <w:pPr>
        <w:ind w:left="1622" w:hanging="284"/>
      </w:pPr>
      <w:rPr>
        <w:rFonts w:hint="default"/>
        <w:lang w:val="en-US" w:eastAsia="en-US" w:bidi="ar-SA"/>
      </w:rPr>
    </w:lvl>
    <w:lvl w:ilvl="7" w:tplc="95960EC8">
      <w:numFmt w:val="bullet"/>
      <w:lvlText w:val="•"/>
      <w:lvlJc w:val="left"/>
      <w:pPr>
        <w:ind w:left="1819" w:hanging="284"/>
      </w:pPr>
      <w:rPr>
        <w:rFonts w:hint="default"/>
        <w:lang w:val="en-US" w:eastAsia="en-US" w:bidi="ar-SA"/>
      </w:rPr>
    </w:lvl>
    <w:lvl w:ilvl="8" w:tplc="604CD972">
      <w:numFmt w:val="bullet"/>
      <w:lvlText w:val="•"/>
      <w:lvlJc w:val="left"/>
      <w:pPr>
        <w:ind w:left="2016" w:hanging="284"/>
      </w:pPr>
      <w:rPr>
        <w:rFonts w:hint="default"/>
        <w:lang w:val="en-US" w:eastAsia="en-US" w:bidi="ar-SA"/>
      </w:rPr>
    </w:lvl>
  </w:abstractNum>
  <w:abstractNum w:abstractNumId="298" w15:restartNumberingAfterBreak="0">
    <w:nsid w:val="4A5D036E"/>
    <w:multiLevelType w:val="hybridMultilevel"/>
    <w:tmpl w:val="708650AE"/>
    <w:lvl w:ilvl="0" w:tplc="9FCAB7FC">
      <w:numFmt w:val="bullet"/>
      <w:lvlText w:val=""/>
      <w:lvlJc w:val="left"/>
      <w:pPr>
        <w:ind w:left="464" w:hanging="284"/>
      </w:pPr>
      <w:rPr>
        <w:rFonts w:ascii="Symbol" w:eastAsia="Symbol" w:hAnsi="Symbol" w:cs="Symbol" w:hint="default"/>
        <w:b w:val="0"/>
        <w:bCs w:val="0"/>
        <w:i w:val="0"/>
        <w:iCs w:val="0"/>
        <w:color w:val="70004A"/>
        <w:spacing w:val="0"/>
        <w:w w:val="100"/>
        <w:sz w:val="18"/>
        <w:szCs w:val="18"/>
        <w:lang w:val="en-US" w:eastAsia="en-US" w:bidi="ar-SA"/>
      </w:rPr>
    </w:lvl>
    <w:lvl w:ilvl="1" w:tplc="F53481DA">
      <w:numFmt w:val="bullet"/>
      <w:lvlText w:val="•"/>
      <w:lvlJc w:val="left"/>
      <w:pPr>
        <w:ind w:left="681" w:hanging="284"/>
      </w:pPr>
      <w:rPr>
        <w:rFonts w:hint="default"/>
        <w:lang w:val="en-US" w:eastAsia="en-US" w:bidi="ar-SA"/>
      </w:rPr>
    </w:lvl>
    <w:lvl w:ilvl="2" w:tplc="1CF06A20">
      <w:numFmt w:val="bullet"/>
      <w:lvlText w:val="•"/>
      <w:lvlJc w:val="left"/>
      <w:pPr>
        <w:ind w:left="902" w:hanging="284"/>
      </w:pPr>
      <w:rPr>
        <w:rFonts w:hint="default"/>
        <w:lang w:val="en-US" w:eastAsia="en-US" w:bidi="ar-SA"/>
      </w:rPr>
    </w:lvl>
    <w:lvl w:ilvl="3" w:tplc="D27ED0CE">
      <w:numFmt w:val="bullet"/>
      <w:lvlText w:val="•"/>
      <w:lvlJc w:val="left"/>
      <w:pPr>
        <w:ind w:left="1124" w:hanging="284"/>
      </w:pPr>
      <w:rPr>
        <w:rFonts w:hint="default"/>
        <w:lang w:val="en-US" w:eastAsia="en-US" w:bidi="ar-SA"/>
      </w:rPr>
    </w:lvl>
    <w:lvl w:ilvl="4" w:tplc="E8A48924">
      <w:numFmt w:val="bullet"/>
      <w:lvlText w:val="•"/>
      <w:lvlJc w:val="left"/>
      <w:pPr>
        <w:ind w:left="1345" w:hanging="284"/>
      </w:pPr>
      <w:rPr>
        <w:rFonts w:hint="default"/>
        <w:lang w:val="en-US" w:eastAsia="en-US" w:bidi="ar-SA"/>
      </w:rPr>
    </w:lvl>
    <w:lvl w:ilvl="5" w:tplc="CF6AC1E0">
      <w:numFmt w:val="bullet"/>
      <w:lvlText w:val="•"/>
      <w:lvlJc w:val="left"/>
      <w:pPr>
        <w:ind w:left="1567" w:hanging="284"/>
      </w:pPr>
      <w:rPr>
        <w:rFonts w:hint="default"/>
        <w:lang w:val="en-US" w:eastAsia="en-US" w:bidi="ar-SA"/>
      </w:rPr>
    </w:lvl>
    <w:lvl w:ilvl="6" w:tplc="69460920">
      <w:numFmt w:val="bullet"/>
      <w:lvlText w:val="•"/>
      <w:lvlJc w:val="left"/>
      <w:pPr>
        <w:ind w:left="1788" w:hanging="284"/>
      </w:pPr>
      <w:rPr>
        <w:rFonts w:hint="default"/>
        <w:lang w:val="en-US" w:eastAsia="en-US" w:bidi="ar-SA"/>
      </w:rPr>
    </w:lvl>
    <w:lvl w:ilvl="7" w:tplc="5DD672D0">
      <w:numFmt w:val="bullet"/>
      <w:lvlText w:val="•"/>
      <w:lvlJc w:val="left"/>
      <w:pPr>
        <w:ind w:left="2009" w:hanging="284"/>
      </w:pPr>
      <w:rPr>
        <w:rFonts w:hint="default"/>
        <w:lang w:val="en-US" w:eastAsia="en-US" w:bidi="ar-SA"/>
      </w:rPr>
    </w:lvl>
    <w:lvl w:ilvl="8" w:tplc="11D8F590">
      <w:numFmt w:val="bullet"/>
      <w:lvlText w:val="•"/>
      <w:lvlJc w:val="left"/>
      <w:pPr>
        <w:ind w:left="2231" w:hanging="284"/>
      </w:pPr>
      <w:rPr>
        <w:rFonts w:hint="default"/>
        <w:lang w:val="en-US" w:eastAsia="en-US" w:bidi="ar-SA"/>
      </w:rPr>
    </w:lvl>
  </w:abstractNum>
  <w:abstractNum w:abstractNumId="299" w15:restartNumberingAfterBreak="0">
    <w:nsid w:val="4A963172"/>
    <w:multiLevelType w:val="hybridMultilevel"/>
    <w:tmpl w:val="1EA046A8"/>
    <w:lvl w:ilvl="0" w:tplc="EA1E3230">
      <w:numFmt w:val="bullet"/>
      <w:lvlText w:val=""/>
      <w:lvlJc w:val="left"/>
      <w:pPr>
        <w:ind w:left="428" w:hanging="284"/>
      </w:pPr>
      <w:rPr>
        <w:rFonts w:ascii="Symbol" w:eastAsia="Symbol" w:hAnsi="Symbol" w:cs="Symbol" w:hint="default"/>
        <w:b w:val="0"/>
        <w:bCs w:val="0"/>
        <w:i w:val="0"/>
        <w:iCs w:val="0"/>
        <w:color w:val="70004A"/>
        <w:spacing w:val="0"/>
        <w:w w:val="100"/>
        <w:sz w:val="18"/>
        <w:szCs w:val="18"/>
        <w:lang w:val="en-US" w:eastAsia="en-US" w:bidi="ar-SA"/>
      </w:rPr>
    </w:lvl>
    <w:lvl w:ilvl="1" w:tplc="C9D0E1A2">
      <w:numFmt w:val="bullet"/>
      <w:lvlText w:val="•"/>
      <w:lvlJc w:val="left"/>
      <w:pPr>
        <w:ind w:left="605" w:hanging="284"/>
      </w:pPr>
      <w:rPr>
        <w:rFonts w:hint="default"/>
        <w:lang w:val="en-US" w:eastAsia="en-US" w:bidi="ar-SA"/>
      </w:rPr>
    </w:lvl>
    <w:lvl w:ilvl="2" w:tplc="C060BC86">
      <w:numFmt w:val="bullet"/>
      <w:lvlText w:val="•"/>
      <w:lvlJc w:val="left"/>
      <w:pPr>
        <w:ind w:left="791" w:hanging="284"/>
      </w:pPr>
      <w:rPr>
        <w:rFonts w:hint="default"/>
        <w:lang w:val="en-US" w:eastAsia="en-US" w:bidi="ar-SA"/>
      </w:rPr>
    </w:lvl>
    <w:lvl w:ilvl="3" w:tplc="DBB2B920">
      <w:numFmt w:val="bullet"/>
      <w:lvlText w:val="•"/>
      <w:lvlJc w:val="left"/>
      <w:pPr>
        <w:ind w:left="977" w:hanging="284"/>
      </w:pPr>
      <w:rPr>
        <w:rFonts w:hint="default"/>
        <w:lang w:val="en-US" w:eastAsia="en-US" w:bidi="ar-SA"/>
      </w:rPr>
    </w:lvl>
    <w:lvl w:ilvl="4" w:tplc="8D403A2C">
      <w:numFmt w:val="bullet"/>
      <w:lvlText w:val="•"/>
      <w:lvlJc w:val="left"/>
      <w:pPr>
        <w:ind w:left="1163" w:hanging="284"/>
      </w:pPr>
      <w:rPr>
        <w:rFonts w:hint="default"/>
        <w:lang w:val="en-US" w:eastAsia="en-US" w:bidi="ar-SA"/>
      </w:rPr>
    </w:lvl>
    <w:lvl w:ilvl="5" w:tplc="1D6074FE">
      <w:numFmt w:val="bullet"/>
      <w:lvlText w:val="•"/>
      <w:lvlJc w:val="left"/>
      <w:pPr>
        <w:ind w:left="1349" w:hanging="284"/>
      </w:pPr>
      <w:rPr>
        <w:rFonts w:hint="default"/>
        <w:lang w:val="en-US" w:eastAsia="en-US" w:bidi="ar-SA"/>
      </w:rPr>
    </w:lvl>
    <w:lvl w:ilvl="6" w:tplc="A8AC4A68">
      <w:numFmt w:val="bullet"/>
      <w:lvlText w:val="•"/>
      <w:lvlJc w:val="left"/>
      <w:pPr>
        <w:ind w:left="1534" w:hanging="284"/>
      </w:pPr>
      <w:rPr>
        <w:rFonts w:hint="default"/>
        <w:lang w:val="en-US" w:eastAsia="en-US" w:bidi="ar-SA"/>
      </w:rPr>
    </w:lvl>
    <w:lvl w:ilvl="7" w:tplc="0A5EFC9A">
      <w:numFmt w:val="bullet"/>
      <w:lvlText w:val="•"/>
      <w:lvlJc w:val="left"/>
      <w:pPr>
        <w:ind w:left="1720" w:hanging="284"/>
      </w:pPr>
      <w:rPr>
        <w:rFonts w:hint="default"/>
        <w:lang w:val="en-US" w:eastAsia="en-US" w:bidi="ar-SA"/>
      </w:rPr>
    </w:lvl>
    <w:lvl w:ilvl="8" w:tplc="6C34998E">
      <w:numFmt w:val="bullet"/>
      <w:lvlText w:val="•"/>
      <w:lvlJc w:val="left"/>
      <w:pPr>
        <w:ind w:left="1906" w:hanging="284"/>
      </w:pPr>
      <w:rPr>
        <w:rFonts w:hint="default"/>
        <w:lang w:val="en-US" w:eastAsia="en-US" w:bidi="ar-SA"/>
      </w:rPr>
    </w:lvl>
  </w:abstractNum>
  <w:abstractNum w:abstractNumId="300" w15:restartNumberingAfterBreak="0">
    <w:nsid w:val="4B2B074A"/>
    <w:multiLevelType w:val="hybridMultilevel"/>
    <w:tmpl w:val="B3D22BCE"/>
    <w:lvl w:ilvl="0" w:tplc="01DEDD68">
      <w:numFmt w:val="bullet"/>
      <w:lvlText w:val=""/>
      <w:lvlJc w:val="left"/>
      <w:pPr>
        <w:ind w:left="483" w:hanging="284"/>
      </w:pPr>
      <w:rPr>
        <w:rFonts w:ascii="Symbol" w:eastAsia="Symbol" w:hAnsi="Symbol" w:cs="Symbol" w:hint="default"/>
        <w:b w:val="0"/>
        <w:bCs w:val="0"/>
        <w:i w:val="0"/>
        <w:iCs w:val="0"/>
        <w:color w:val="70004A"/>
        <w:spacing w:val="0"/>
        <w:w w:val="100"/>
        <w:sz w:val="18"/>
        <w:szCs w:val="18"/>
        <w:lang w:val="en-US" w:eastAsia="en-US" w:bidi="ar-SA"/>
      </w:rPr>
    </w:lvl>
    <w:lvl w:ilvl="1" w:tplc="5C664BB2">
      <w:numFmt w:val="bullet"/>
      <w:lvlText w:val="•"/>
      <w:lvlJc w:val="left"/>
      <w:pPr>
        <w:ind w:left="748" w:hanging="284"/>
      </w:pPr>
      <w:rPr>
        <w:rFonts w:hint="default"/>
        <w:lang w:val="en-US" w:eastAsia="en-US" w:bidi="ar-SA"/>
      </w:rPr>
    </w:lvl>
    <w:lvl w:ilvl="2" w:tplc="596A92F4">
      <w:numFmt w:val="bullet"/>
      <w:lvlText w:val="•"/>
      <w:lvlJc w:val="left"/>
      <w:pPr>
        <w:ind w:left="1016" w:hanging="284"/>
      </w:pPr>
      <w:rPr>
        <w:rFonts w:hint="default"/>
        <w:lang w:val="en-US" w:eastAsia="en-US" w:bidi="ar-SA"/>
      </w:rPr>
    </w:lvl>
    <w:lvl w:ilvl="3" w:tplc="3AD8F0DA">
      <w:numFmt w:val="bullet"/>
      <w:lvlText w:val="•"/>
      <w:lvlJc w:val="left"/>
      <w:pPr>
        <w:ind w:left="1284" w:hanging="284"/>
      </w:pPr>
      <w:rPr>
        <w:rFonts w:hint="default"/>
        <w:lang w:val="en-US" w:eastAsia="en-US" w:bidi="ar-SA"/>
      </w:rPr>
    </w:lvl>
    <w:lvl w:ilvl="4" w:tplc="9D4045AA">
      <w:numFmt w:val="bullet"/>
      <w:lvlText w:val="•"/>
      <w:lvlJc w:val="left"/>
      <w:pPr>
        <w:ind w:left="1552" w:hanging="284"/>
      </w:pPr>
      <w:rPr>
        <w:rFonts w:hint="default"/>
        <w:lang w:val="en-US" w:eastAsia="en-US" w:bidi="ar-SA"/>
      </w:rPr>
    </w:lvl>
    <w:lvl w:ilvl="5" w:tplc="0DDC05AA">
      <w:numFmt w:val="bullet"/>
      <w:lvlText w:val="•"/>
      <w:lvlJc w:val="left"/>
      <w:pPr>
        <w:ind w:left="1820" w:hanging="284"/>
      </w:pPr>
      <w:rPr>
        <w:rFonts w:hint="default"/>
        <w:lang w:val="en-US" w:eastAsia="en-US" w:bidi="ar-SA"/>
      </w:rPr>
    </w:lvl>
    <w:lvl w:ilvl="6" w:tplc="B1DA9A3C">
      <w:numFmt w:val="bullet"/>
      <w:lvlText w:val="•"/>
      <w:lvlJc w:val="left"/>
      <w:pPr>
        <w:ind w:left="2088" w:hanging="284"/>
      </w:pPr>
      <w:rPr>
        <w:rFonts w:hint="default"/>
        <w:lang w:val="en-US" w:eastAsia="en-US" w:bidi="ar-SA"/>
      </w:rPr>
    </w:lvl>
    <w:lvl w:ilvl="7" w:tplc="8CEE0BDC">
      <w:numFmt w:val="bullet"/>
      <w:lvlText w:val="•"/>
      <w:lvlJc w:val="left"/>
      <w:pPr>
        <w:ind w:left="2356" w:hanging="284"/>
      </w:pPr>
      <w:rPr>
        <w:rFonts w:hint="default"/>
        <w:lang w:val="en-US" w:eastAsia="en-US" w:bidi="ar-SA"/>
      </w:rPr>
    </w:lvl>
    <w:lvl w:ilvl="8" w:tplc="5F1AC594">
      <w:numFmt w:val="bullet"/>
      <w:lvlText w:val="•"/>
      <w:lvlJc w:val="left"/>
      <w:pPr>
        <w:ind w:left="2624" w:hanging="284"/>
      </w:pPr>
      <w:rPr>
        <w:rFonts w:hint="default"/>
        <w:lang w:val="en-US" w:eastAsia="en-US" w:bidi="ar-SA"/>
      </w:rPr>
    </w:lvl>
  </w:abstractNum>
  <w:abstractNum w:abstractNumId="301" w15:restartNumberingAfterBreak="0">
    <w:nsid w:val="4B8333BF"/>
    <w:multiLevelType w:val="hybridMultilevel"/>
    <w:tmpl w:val="BE7C3E8E"/>
    <w:lvl w:ilvl="0" w:tplc="2E745C9E">
      <w:numFmt w:val="bullet"/>
      <w:lvlText w:val=""/>
      <w:lvlJc w:val="left"/>
      <w:pPr>
        <w:ind w:left="440" w:hanging="284"/>
      </w:pPr>
      <w:rPr>
        <w:rFonts w:ascii="Symbol" w:eastAsia="Symbol" w:hAnsi="Symbol" w:cs="Symbol" w:hint="default"/>
        <w:b w:val="0"/>
        <w:bCs w:val="0"/>
        <w:i w:val="0"/>
        <w:iCs w:val="0"/>
        <w:color w:val="70004A"/>
        <w:spacing w:val="0"/>
        <w:w w:val="100"/>
        <w:sz w:val="18"/>
        <w:szCs w:val="18"/>
        <w:lang w:val="en-US" w:eastAsia="en-US" w:bidi="ar-SA"/>
      </w:rPr>
    </w:lvl>
    <w:lvl w:ilvl="1" w:tplc="848428D0">
      <w:numFmt w:val="bullet"/>
      <w:lvlText w:val="•"/>
      <w:lvlJc w:val="left"/>
      <w:pPr>
        <w:ind w:left="611" w:hanging="284"/>
      </w:pPr>
      <w:rPr>
        <w:rFonts w:hint="default"/>
        <w:lang w:val="en-US" w:eastAsia="en-US" w:bidi="ar-SA"/>
      </w:rPr>
    </w:lvl>
    <w:lvl w:ilvl="2" w:tplc="386E6740">
      <w:numFmt w:val="bullet"/>
      <w:lvlText w:val="•"/>
      <w:lvlJc w:val="left"/>
      <w:pPr>
        <w:ind w:left="782" w:hanging="284"/>
      </w:pPr>
      <w:rPr>
        <w:rFonts w:hint="default"/>
        <w:lang w:val="en-US" w:eastAsia="en-US" w:bidi="ar-SA"/>
      </w:rPr>
    </w:lvl>
    <w:lvl w:ilvl="3" w:tplc="8780ABD6">
      <w:numFmt w:val="bullet"/>
      <w:lvlText w:val="•"/>
      <w:lvlJc w:val="left"/>
      <w:pPr>
        <w:ind w:left="953" w:hanging="284"/>
      </w:pPr>
      <w:rPr>
        <w:rFonts w:hint="default"/>
        <w:lang w:val="en-US" w:eastAsia="en-US" w:bidi="ar-SA"/>
      </w:rPr>
    </w:lvl>
    <w:lvl w:ilvl="4" w:tplc="AFAA89E0">
      <w:numFmt w:val="bullet"/>
      <w:lvlText w:val="•"/>
      <w:lvlJc w:val="left"/>
      <w:pPr>
        <w:ind w:left="1125" w:hanging="284"/>
      </w:pPr>
      <w:rPr>
        <w:rFonts w:hint="default"/>
        <w:lang w:val="en-US" w:eastAsia="en-US" w:bidi="ar-SA"/>
      </w:rPr>
    </w:lvl>
    <w:lvl w:ilvl="5" w:tplc="008A23DE">
      <w:numFmt w:val="bullet"/>
      <w:lvlText w:val="•"/>
      <w:lvlJc w:val="left"/>
      <w:pPr>
        <w:ind w:left="1296" w:hanging="284"/>
      </w:pPr>
      <w:rPr>
        <w:rFonts w:hint="default"/>
        <w:lang w:val="en-US" w:eastAsia="en-US" w:bidi="ar-SA"/>
      </w:rPr>
    </w:lvl>
    <w:lvl w:ilvl="6" w:tplc="81E846D6">
      <w:numFmt w:val="bullet"/>
      <w:lvlText w:val="•"/>
      <w:lvlJc w:val="left"/>
      <w:pPr>
        <w:ind w:left="1467" w:hanging="284"/>
      </w:pPr>
      <w:rPr>
        <w:rFonts w:hint="default"/>
        <w:lang w:val="en-US" w:eastAsia="en-US" w:bidi="ar-SA"/>
      </w:rPr>
    </w:lvl>
    <w:lvl w:ilvl="7" w:tplc="D8586002">
      <w:numFmt w:val="bullet"/>
      <w:lvlText w:val="•"/>
      <w:lvlJc w:val="left"/>
      <w:pPr>
        <w:ind w:left="1639" w:hanging="284"/>
      </w:pPr>
      <w:rPr>
        <w:rFonts w:hint="default"/>
        <w:lang w:val="en-US" w:eastAsia="en-US" w:bidi="ar-SA"/>
      </w:rPr>
    </w:lvl>
    <w:lvl w:ilvl="8" w:tplc="C80C10A6">
      <w:numFmt w:val="bullet"/>
      <w:lvlText w:val="•"/>
      <w:lvlJc w:val="left"/>
      <w:pPr>
        <w:ind w:left="1810" w:hanging="284"/>
      </w:pPr>
      <w:rPr>
        <w:rFonts w:hint="default"/>
        <w:lang w:val="en-US" w:eastAsia="en-US" w:bidi="ar-SA"/>
      </w:rPr>
    </w:lvl>
  </w:abstractNum>
  <w:abstractNum w:abstractNumId="302" w15:restartNumberingAfterBreak="0">
    <w:nsid w:val="4C104AAF"/>
    <w:multiLevelType w:val="hybridMultilevel"/>
    <w:tmpl w:val="B112B524"/>
    <w:lvl w:ilvl="0" w:tplc="CF94E55E">
      <w:numFmt w:val="bullet"/>
      <w:lvlText w:val=""/>
      <w:lvlJc w:val="left"/>
      <w:pPr>
        <w:ind w:left="442" w:hanging="284"/>
      </w:pPr>
      <w:rPr>
        <w:rFonts w:ascii="Symbol" w:eastAsia="Symbol" w:hAnsi="Symbol" w:cs="Symbol" w:hint="default"/>
        <w:b w:val="0"/>
        <w:bCs w:val="0"/>
        <w:i w:val="0"/>
        <w:iCs w:val="0"/>
        <w:color w:val="70004A"/>
        <w:spacing w:val="0"/>
        <w:w w:val="100"/>
        <w:sz w:val="18"/>
        <w:szCs w:val="18"/>
        <w:lang w:val="en-US" w:eastAsia="en-US" w:bidi="ar-SA"/>
      </w:rPr>
    </w:lvl>
    <w:lvl w:ilvl="1" w:tplc="CD6C2BB2">
      <w:numFmt w:val="bullet"/>
      <w:lvlText w:val="•"/>
      <w:lvlJc w:val="left"/>
      <w:pPr>
        <w:ind w:left="705" w:hanging="284"/>
      </w:pPr>
      <w:rPr>
        <w:rFonts w:hint="default"/>
        <w:lang w:val="en-US" w:eastAsia="en-US" w:bidi="ar-SA"/>
      </w:rPr>
    </w:lvl>
    <w:lvl w:ilvl="2" w:tplc="9B6852EA">
      <w:numFmt w:val="bullet"/>
      <w:lvlText w:val="•"/>
      <w:lvlJc w:val="left"/>
      <w:pPr>
        <w:ind w:left="970" w:hanging="284"/>
      </w:pPr>
      <w:rPr>
        <w:rFonts w:hint="default"/>
        <w:lang w:val="en-US" w:eastAsia="en-US" w:bidi="ar-SA"/>
      </w:rPr>
    </w:lvl>
    <w:lvl w:ilvl="3" w:tplc="4B78A748">
      <w:numFmt w:val="bullet"/>
      <w:lvlText w:val="•"/>
      <w:lvlJc w:val="left"/>
      <w:pPr>
        <w:ind w:left="1235" w:hanging="284"/>
      </w:pPr>
      <w:rPr>
        <w:rFonts w:hint="default"/>
        <w:lang w:val="en-US" w:eastAsia="en-US" w:bidi="ar-SA"/>
      </w:rPr>
    </w:lvl>
    <w:lvl w:ilvl="4" w:tplc="FDB6C37A">
      <w:numFmt w:val="bullet"/>
      <w:lvlText w:val="•"/>
      <w:lvlJc w:val="left"/>
      <w:pPr>
        <w:ind w:left="1500" w:hanging="284"/>
      </w:pPr>
      <w:rPr>
        <w:rFonts w:hint="default"/>
        <w:lang w:val="en-US" w:eastAsia="en-US" w:bidi="ar-SA"/>
      </w:rPr>
    </w:lvl>
    <w:lvl w:ilvl="5" w:tplc="9F483B8E">
      <w:numFmt w:val="bullet"/>
      <w:lvlText w:val="•"/>
      <w:lvlJc w:val="left"/>
      <w:pPr>
        <w:ind w:left="1766" w:hanging="284"/>
      </w:pPr>
      <w:rPr>
        <w:rFonts w:hint="default"/>
        <w:lang w:val="en-US" w:eastAsia="en-US" w:bidi="ar-SA"/>
      </w:rPr>
    </w:lvl>
    <w:lvl w:ilvl="6" w:tplc="1A7C69C6">
      <w:numFmt w:val="bullet"/>
      <w:lvlText w:val="•"/>
      <w:lvlJc w:val="left"/>
      <w:pPr>
        <w:ind w:left="2031" w:hanging="284"/>
      </w:pPr>
      <w:rPr>
        <w:rFonts w:hint="default"/>
        <w:lang w:val="en-US" w:eastAsia="en-US" w:bidi="ar-SA"/>
      </w:rPr>
    </w:lvl>
    <w:lvl w:ilvl="7" w:tplc="464668DE">
      <w:numFmt w:val="bullet"/>
      <w:lvlText w:val="•"/>
      <w:lvlJc w:val="left"/>
      <w:pPr>
        <w:ind w:left="2296" w:hanging="284"/>
      </w:pPr>
      <w:rPr>
        <w:rFonts w:hint="default"/>
        <w:lang w:val="en-US" w:eastAsia="en-US" w:bidi="ar-SA"/>
      </w:rPr>
    </w:lvl>
    <w:lvl w:ilvl="8" w:tplc="821C154A">
      <w:numFmt w:val="bullet"/>
      <w:lvlText w:val="•"/>
      <w:lvlJc w:val="left"/>
      <w:pPr>
        <w:ind w:left="2561" w:hanging="284"/>
      </w:pPr>
      <w:rPr>
        <w:rFonts w:hint="default"/>
        <w:lang w:val="en-US" w:eastAsia="en-US" w:bidi="ar-SA"/>
      </w:rPr>
    </w:lvl>
  </w:abstractNum>
  <w:abstractNum w:abstractNumId="303" w15:restartNumberingAfterBreak="0">
    <w:nsid w:val="4C180424"/>
    <w:multiLevelType w:val="hybridMultilevel"/>
    <w:tmpl w:val="00CCDCA8"/>
    <w:lvl w:ilvl="0" w:tplc="C6288C8A">
      <w:numFmt w:val="bullet"/>
      <w:lvlText w:val=""/>
      <w:lvlJc w:val="left"/>
      <w:pPr>
        <w:ind w:left="501" w:hanging="360"/>
      </w:pPr>
      <w:rPr>
        <w:rFonts w:ascii="Symbol" w:eastAsia="Symbol" w:hAnsi="Symbol" w:cs="Symbol" w:hint="default"/>
        <w:b w:val="0"/>
        <w:bCs w:val="0"/>
        <w:i w:val="0"/>
        <w:iCs w:val="0"/>
        <w:color w:val="70004A"/>
        <w:spacing w:val="0"/>
        <w:w w:val="100"/>
        <w:sz w:val="20"/>
        <w:szCs w:val="20"/>
        <w:lang w:val="en-US" w:eastAsia="en-US" w:bidi="ar-SA"/>
      </w:rPr>
    </w:lvl>
    <w:lvl w:ilvl="1" w:tplc="1FFECBD2">
      <w:numFmt w:val="bullet"/>
      <w:lvlText w:val="•"/>
      <w:lvlJc w:val="left"/>
      <w:pPr>
        <w:ind w:left="1428" w:hanging="360"/>
      </w:pPr>
      <w:rPr>
        <w:rFonts w:hint="default"/>
        <w:lang w:val="en-US" w:eastAsia="en-US" w:bidi="ar-SA"/>
      </w:rPr>
    </w:lvl>
    <w:lvl w:ilvl="2" w:tplc="CADC1024">
      <w:numFmt w:val="bullet"/>
      <w:lvlText w:val="•"/>
      <w:lvlJc w:val="left"/>
      <w:pPr>
        <w:ind w:left="2356" w:hanging="360"/>
      </w:pPr>
      <w:rPr>
        <w:rFonts w:hint="default"/>
        <w:lang w:val="en-US" w:eastAsia="en-US" w:bidi="ar-SA"/>
      </w:rPr>
    </w:lvl>
    <w:lvl w:ilvl="3" w:tplc="8206A320">
      <w:numFmt w:val="bullet"/>
      <w:lvlText w:val="•"/>
      <w:lvlJc w:val="left"/>
      <w:pPr>
        <w:ind w:left="3284" w:hanging="360"/>
      </w:pPr>
      <w:rPr>
        <w:rFonts w:hint="default"/>
        <w:lang w:val="en-US" w:eastAsia="en-US" w:bidi="ar-SA"/>
      </w:rPr>
    </w:lvl>
    <w:lvl w:ilvl="4" w:tplc="94B2EC1C">
      <w:numFmt w:val="bullet"/>
      <w:lvlText w:val="•"/>
      <w:lvlJc w:val="left"/>
      <w:pPr>
        <w:ind w:left="4212" w:hanging="360"/>
      </w:pPr>
      <w:rPr>
        <w:rFonts w:hint="default"/>
        <w:lang w:val="en-US" w:eastAsia="en-US" w:bidi="ar-SA"/>
      </w:rPr>
    </w:lvl>
    <w:lvl w:ilvl="5" w:tplc="9830F1AE">
      <w:numFmt w:val="bullet"/>
      <w:lvlText w:val="•"/>
      <w:lvlJc w:val="left"/>
      <w:pPr>
        <w:ind w:left="5140" w:hanging="360"/>
      </w:pPr>
      <w:rPr>
        <w:rFonts w:hint="default"/>
        <w:lang w:val="en-US" w:eastAsia="en-US" w:bidi="ar-SA"/>
      </w:rPr>
    </w:lvl>
    <w:lvl w:ilvl="6" w:tplc="6040F204">
      <w:numFmt w:val="bullet"/>
      <w:lvlText w:val="•"/>
      <w:lvlJc w:val="left"/>
      <w:pPr>
        <w:ind w:left="6068" w:hanging="360"/>
      </w:pPr>
      <w:rPr>
        <w:rFonts w:hint="default"/>
        <w:lang w:val="en-US" w:eastAsia="en-US" w:bidi="ar-SA"/>
      </w:rPr>
    </w:lvl>
    <w:lvl w:ilvl="7" w:tplc="07D8259E">
      <w:numFmt w:val="bullet"/>
      <w:lvlText w:val="•"/>
      <w:lvlJc w:val="left"/>
      <w:pPr>
        <w:ind w:left="6996" w:hanging="360"/>
      </w:pPr>
      <w:rPr>
        <w:rFonts w:hint="default"/>
        <w:lang w:val="en-US" w:eastAsia="en-US" w:bidi="ar-SA"/>
      </w:rPr>
    </w:lvl>
    <w:lvl w:ilvl="8" w:tplc="99CC8DD0">
      <w:numFmt w:val="bullet"/>
      <w:lvlText w:val="•"/>
      <w:lvlJc w:val="left"/>
      <w:pPr>
        <w:ind w:left="7925" w:hanging="360"/>
      </w:pPr>
      <w:rPr>
        <w:rFonts w:hint="default"/>
        <w:lang w:val="en-US" w:eastAsia="en-US" w:bidi="ar-SA"/>
      </w:rPr>
    </w:lvl>
  </w:abstractNum>
  <w:abstractNum w:abstractNumId="304" w15:restartNumberingAfterBreak="0">
    <w:nsid w:val="4C72794C"/>
    <w:multiLevelType w:val="hybridMultilevel"/>
    <w:tmpl w:val="7180C860"/>
    <w:lvl w:ilvl="0" w:tplc="8C4EFEE8">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A6769B82">
      <w:numFmt w:val="bullet"/>
      <w:lvlText w:val="•"/>
      <w:lvlJc w:val="left"/>
      <w:pPr>
        <w:ind w:left="610" w:hanging="284"/>
      </w:pPr>
      <w:rPr>
        <w:rFonts w:hint="default"/>
        <w:lang w:val="en-US" w:eastAsia="en-US" w:bidi="ar-SA"/>
      </w:rPr>
    </w:lvl>
    <w:lvl w:ilvl="2" w:tplc="62A00C12">
      <w:numFmt w:val="bullet"/>
      <w:lvlText w:val="•"/>
      <w:lvlJc w:val="left"/>
      <w:pPr>
        <w:ind w:left="841" w:hanging="284"/>
      </w:pPr>
      <w:rPr>
        <w:rFonts w:hint="default"/>
        <w:lang w:val="en-US" w:eastAsia="en-US" w:bidi="ar-SA"/>
      </w:rPr>
    </w:lvl>
    <w:lvl w:ilvl="3" w:tplc="5A643F56">
      <w:numFmt w:val="bullet"/>
      <w:lvlText w:val="•"/>
      <w:lvlJc w:val="left"/>
      <w:pPr>
        <w:ind w:left="1071" w:hanging="284"/>
      </w:pPr>
      <w:rPr>
        <w:rFonts w:hint="default"/>
        <w:lang w:val="en-US" w:eastAsia="en-US" w:bidi="ar-SA"/>
      </w:rPr>
    </w:lvl>
    <w:lvl w:ilvl="4" w:tplc="378ECD04">
      <w:numFmt w:val="bullet"/>
      <w:lvlText w:val="•"/>
      <w:lvlJc w:val="left"/>
      <w:pPr>
        <w:ind w:left="1302" w:hanging="284"/>
      </w:pPr>
      <w:rPr>
        <w:rFonts w:hint="default"/>
        <w:lang w:val="en-US" w:eastAsia="en-US" w:bidi="ar-SA"/>
      </w:rPr>
    </w:lvl>
    <w:lvl w:ilvl="5" w:tplc="BD5602F6">
      <w:numFmt w:val="bullet"/>
      <w:lvlText w:val="•"/>
      <w:lvlJc w:val="left"/>
      <w:pPr>
        <w:ind w:left="1532" w:hanging="284"/>
      </w:pPr>
      <w:rPr>
        <w:rFonts w:hint="default"/>
        <w:lang w:val="en-US" w:eastAsia="en-US" w:bidi="ar-SA"/>
      </w:rPr>
    </w:lvl>
    <w:lvl w:ilvl="6" w:tplc="0F28C874">
      <w:numFmt w:val="bullet"/>
      <w:lvlText w:val="•"/>
      <w:lvlJc w:val="left"/>
      <w:pPr>
        <w:ind w:left="1763" w:hanging="284"/>
      </w:pPr>
      <w:rPr>
        <w:rFonts w:hint="default"/>
        <w:lang w:val="en-US" w:eastAsia="en-US" w:bidi="ar-SA"/>
      </w:rPr>
    </w:lvl>
    <w:lvl w:ilvl="7" w:tplc="A656C3C4">
      <w:numFmt w:val="bullet"/>
      <w:lvlText w:val="•"/>
      <w:lvlJc w:val="left"/>
      <w:pPr>
        <w:ind w:left="1993" w:hanging="284"/>
      </w:pPr>
      <w:rPr>
        <w:rFonts w:hint="default"/>
        <w:lang w:val="en-US" w:eastAsia="en-US" w:bidi="ar-SA"/>
      </w:rPr>
    </w:lvl>
    <w:lvl w:ilvl="8" w:tplc="B2702642">
      <w:numFmt w:val="bullet"/>
      <w:lvlText w:val="•"/>
      <w:lvlJc w:val="left"/>
      <w:pPr>
        <w:ind w:left="2224" w:hanging="284"/>
      </w:pPr>
      <w:rPr>
        <w:rFonts w:hint="default"/>
        <w:lang w:val="en-US" w:eastAsia="en-US" w:bidi="ar-SA"/>
      </w:rPr>
    </w:lvl>
  </w:abstractNum>
  <w:abstractNum w:abstractNumId="305" w15:restartNumberingAfterBreak="0">
    <w:nsid w:val="4CDC6652"/>
    <w:multiLevelType w:val="hybridMultilevel"/>
    <w:tmpl w:val="517439DA"/>
    <w:lvl w:ilvl="0" w:tplc="C2527816">
      <w:numFmt w:val="bullet"/>
      <w:lvlText w:val=""/>
      <w:lvlJc w:val="left"/>
      <w:pPr>
        <w:ind w:left="335" w:hanging="284"/>
      </w:pPr>
      <w:rPr>
        <w:rFonts w:ascii="Symbol" w:eastAsia="Symbol" w:hAnsi="Symbol" w:cs="Symbol" w:hint="default"/>
        <w:b w:val="0"/>
        <w:bCs w:val="0"/>
        <w:i w:val="0"/>
        <w:iCs w:val="0"/>
        <w:color w:val="70004A"/>
        <w:spacing w:val="0"/>
        <w:w w:val="100"/>
        <w:sz w:val="18"/>
        <w:szCs w:val="18"/>
        <w:lang w:val="en-US" w:eastAsia="en-US" w:bidi="ar-SA"/>
      </w:rPr>
    </w:lvl>
    <w:lvl w:ilvl="1" w:tplc="56BA9686">
      <w:numFmt w:val="bullet"/>
      <w:lvlText w:val="•"/>
      <w:lvlJc w:val="left"/>
      <w:pPr>
        <w:ind w:left="452" w:hanging="284"/>
      </w:pPr>
      <w:rPr>
        <w:rFonts w:hint="default"/>
        <w:lang w:val="en-US" w:eastAsia="en-US" w:bidi="ar-SA"/>
      </w:rPr>
    </w:lvl>
    <w:lvl w:ilvl="2" w:tplc="34E6A20E">
      <w:numFmt w:val="bullet"/>
      <w:lvlText w:val="•"/>
      <w:lvlJc w:val="left"/>
      <w:pPr>
        <w:ind w:left="565" w:hanging="284"/>
      </w:pPr>
      <w:rPr>
        <w:rFonts w:hint="default"/>
        <w:lang w:val="en-US" w:eastAsia="en-US" w:bidi="ar-SA"/>
      </w:rPr>
    </w:lvl>
    <w:lvl w:ilvl="3" w:tplc="5E7C24E8">
      <w:numFmt w:val="bullet"/>
      <w:lvlText w:val="•"/>
      <w:lvlJc w:val="left"/>
      <w:pPr>
        <w:ind w:left="678" w:hanging="284"/>
      </w:pPr>
      <w:rPr>
        <w:rFonts w:hint="default"/>
        <w:lang w:val="en-US" w:eastAsia="en-US" w:bidi="ar-SA"/>
      </w:rPr>
    </w:lvl>
    <w:lvl w:ilvl="4" w:tplc="57E8EAE8">
      <w:numFmt w:val="bullet"/>
      <w:lvlText w:val="•"/>
      <w:lvlJc w:val="left"/>
      <w:pPr>
        <w:ind w:left="791" w:hanging="284"/>
      </w:pPr>
      <w:rPr>
        <w:rFonts w:hint="default"/>
        <w:lang w:val="en-US" w:eastAsia="en-US" w:bidi="ar-SA"/>
      </w:rPr>
    </w:lvl>
    <w:lvl w:ilvl="5" w:tplc="63B8E1E2">
      <w:numFmt w:val="bullet"/>
      <w:lvlText w:val="•"/>
      <w:lvlJc w:val="left"/>
      <w:pPr>
        <w:ind w:left="904" w:hanging="284"/>
      </w:pPr>
      <w:rPr>
        <w:rFonts w:hint="default"/>
        <w:lang w:val="en-US" w:eastAsia="en-US" w:bidi="ar-SA"/>
      </w:rPr>
    </w:lvl>
    <w:lvl w:ilvl="6" w:tplc="5FDCF85E">
      <w:numFmt w:val="bullet"/>
      <w:lvlText w:val="•"/>
      <w:lvlJc w:val="left"/>
      <w:pPr>
        <w:ind w:left="1016" w:hanging="284"/>
      </w:pPr>
      <w:rPr>
        <w:rFonts w:hint="default"/>
        <w:lang w:val="en-US" w:eastAsia="en-US" w:bidi="ar-SA"/>
      </w:rPr>
    </w:lvl>
    <w:lvl w:ilvl="7" w:tplc="C0F2BF5E">
      <w:numFmt w:val="bullet"/>
      <w:lvlText w:val="•"/>
      <w:lvlJc w:val="left"/>
      <w:pPr>
        <w:ind w:left="1129" w:hanging="284"/>
      </w:pPr>
      <w:rPr>
        <w:rFonts w:hint="default"/>
        <w:lang w:val="en-US" w:eastAsia="en-US" w:bidi="ar-SA"/>
      </w:rPr>
    </w:lvl>
    <w:lvl w:ilvl="8" w:tplc="134CC1C6">
      <w:numFmt w:val="bullet"/>
      <w:lvlText w:val="•"/>
      <w:lvlJc w:val="left"/>
      <w:pPr>
        <w:ind w:left="1242" w:hanging="284"/>
      </w:pPr>
      <w:rPr>
        <w:rFonts w:hint="default"/>
        <w:lang w:val="en-US" w:eastAsia="en-US" w:bidi="ar-SA"/>
      </w:rPr>
    </w:lvl>
  </w:abstractNum>
  <w:abstractNum w:abstractNumId="306" w15:restartNumberingAfterBreak="0">
    <w:nsid w:val="4D3072B6"/>
    <w:multiLevelType w:val="hybridMultilevel"/>
    <w:tmpl w:val="DBBA17A8"/>
    <w:lvl w:ilvl="0" w:tplc="E36A1BA4">
      <w:numFmt w:val="bullet"/>
      <w:lvlText w:val=""/>
      <w:lvlJc w:val="left"/>
      <w:pPr>
        <w:ind w:left="444" w:hanging="284"/>
      </w:pPr>
      <w:rPr>
        <w:rFonts w:ascii="Symbol" w:eastAsia="Symbol" w:hAnsi="Symbol" w:cs="Symbol" w:hint="default"/>
        <w:b w:val="0"/>
        <w:bCs w:val="0"/>
        <w:i w:val="0"/>
        <w:iCs w:val="0"/>
        <w:color w:val="70004A"/>
        <w:spacing w:val="0"/>
        <w:w w:val="100"/>
        <w:sz w:val="18"/>
        <w:szCs w:val="18"/>
        <w:lang w:val="en-US" w:eastAsia="en-US" w:bidi="ar-SA"/>
      </w:rPr>
    </w:lvl>
    <w:lvl w:ilvl="1" w:tplc="D33888DC">
      <w:numFmt w:val="bullet"/>
      <w:lvlText w:val="•"/>
      <w:lvlJc w:val="left"/>
      <w:pPr>
        <w:ind w:left="608" w:hanging="284"/>
      </w:pPr>
      <w:rPr>
        <w:rFonts w:hint="default"/>
        <w:lang w:val="en-US" w:eastAsia="en-US" w:bidi="ar-SA"/>
      </w:rPr>
    </w:lvl>
    <w:lvl w:ilvl="2" w:tplc="C5D88C48">
      <w:numFmt w:val="bullet"/>
      <w:lvlText w:val="•"/>
      <w:lvlJc w:val="left"/>
      <w:pPr>
        <w:ind w:left="777" w:hanging="284"/>
      </w:pPr>
      <w:rPr>
        <w:rFonts w:hint="default"/>
        <w:lang w:val="en-US" w:eastAsia="en-US" w:bidi="ar-SA"/>
      </w:rPr>
    </w:lvl>
    <w:lvl w:ilvl="3" w:tplc="14A43890">
      <w:numFmt w:val="bullet"/>
      <w:lvlText w:val="•"/>
      <w:lvlJc w:val="left"/>
      <w:pPr>
        <w:ind w:left="946" w:hanging="284"/>
      </w:pPr>
      <w:rPr>
        <w:rFonts w:hint="default"/>
        <w:lang w:val="en-US" w:eastAsia="en-US" w:bidi="ar-SA"/>
      </w:rPr>
    </w:lvl>
    <w:lvl w:ilvl="4" w:tplc="79DC8566">
      <w:numFmt w:val="bullet"/>
      <w:lvlText w:val="•"/>
      <w:lvlJc w:val="left"/>
      <w:pPr>
        <w:ind w:left="1115" w:hanging="284"/>
      </w:pPr>
      <w:rPr>
        <w:rFonts w:hint="default"/>
        <w:lang w:val="en-US" w:eastAsia="en-US" w:bidi="ar-SA"/>
      </w:rPr>
    </w:lvl>
    <w:lvl w:ilvl="5" w:tplc="2356EDC4">
      <w:numFmt w:val="bullet"/>
      <w:lvlText w:val="•"/>
      <w:lvlJc w:val="left"/>
      <w:pPr>
        <w:ind w:left="1284" w:hanging="284"/>
      </w:pPr>
      <w:rPr>
        <w:rFonts w:hint="default"/>
        <w:lang w:val="en-US" w:eastAsia="en-US" w:bidi="ar-SA"/>
      </w:rPr>
    </w:lvl>
    <w:lvl w:ilvl="6" w:tplc="36C45F02">
      <w:numFmt w:val="bullet"/>
      <w:lvlText w:val="•"/>
      <w:lvlJc w:val="left"/>
      <w:pPr>
        <w:ind w:left="1453" w:hanging="284"/>
      </w:pPr>
      <w:rPr>
        <w:rFonts w:hint="default"/>
        <w:lang w:val="en-US" w:eastAsia="en-US" w:bidi="ar-SA"/>
      </w:rPr>
    </w:lvl>
    <w:lvl w:ilvl="7" w:tplc="4C64F934">
      <w:numFmt w:val="bullet"/>
      <w:lvlText w:val="•"/>
      <w:lvlJc w:val="left"/>
      <w:pPr>
        <w:ind w:left="1622" w:hanging="284"/>
      </w:pPr>
      <w:rPr>
        <w:rFonts w:hint="default"/>
        <w:lang w:val="en-US" w:eastAsia="en-US" w:bidi="ar-SA"/>
      </w:rPr>
    </w:lvl>
    <w:lvl w:ilvl="8" w:tplc="02D60B10">
      <w:numFmt w:val="bullet"/>
      <w:lvlText w:val="•"/>
      <w:lvlJc w:val="left"/>
      <w:pPr>
        <w:ind w:left="1791" w:hanging="284"/>
      </w:pPr>
      <w:rPr>
        <w:rFonts w:hint="default"/>
        <w:lang w:val="en-US" w:eastAsia="en-US" w:bidi="ar-SA"/>
      </w:rPr>
    </w:lvl>
  </w:abstractNum>
  <w:abstractNum w:abstractNumId="307" w15:restartNumberingAfterBreak="0">
    <w:nsid w:val="4D3A6B49"/>
    <w:multiLevelType w:val="hybridMultilevel"/>
    <w:tmpl w:val="5142DB30"/>
    <w:lvl w:ilvl="0" w:tplc="799486DA">
      <w:numFmt w:val="bullet"/>
      <w:lvlText w:val=""/>
      <w:lvlJc w:val="left"/>
      <w:pPr>
        <w:ind w:left="459" w:hanging="284"/>
      </w:pPr>
      <w:rPr>
        <w:rFonts w:ascii="Symbol" w:eastAsia="Symbol" w:hAnsi="Symbol" w:cs="Symbol" w:hint="default"/>
        <w:b w:val="0"/>
        <w:bCs w:val="0"/>
        <w:i w:val="0"/>
        <w:iCs w:val="0"/>
        <w:color w:val="70004A"/>
        <w:spacing w:val="0"/>
        <w:w w:val="100"/>
        <w:sz w:val="18"/>
        <w:szCs w:val="18"/>
        <w:lang w:val="en-US" w:eastAsia="en-US" w:bidi="ar-SA"/>
      </w:rPr>
    </w:lvl>
    <w:lvl w:ilvl="1" w:tplc="E27E811C">
      <w:numFmt w:val="bullet"/>
      <w:lvlText w:val="•"/>
      <w:lvlJc w:val="left"/>
      <w:pPr>
        <w:ind w:left="790" w:hanging="284"/>
      </w:pPr>
      <w:rPr>
        <w:rFonts w:hint="default"/>
        <w:lang w:val="en-US" w:eastAsia="en-US" w:bidi="ar-SA"/>
      </w:rPr>
    </w:lvl>
    <w:lvl w:ilvl="2" w:tplc="850A70EA">
      <w:numFmt w:val="bullet"/>
      <w:lvlText w:val="•"/>
      <w:lvlJc w:val="left"/>
      <w:pPr>
        <w:ind w:left="1120" w:hanging="284"/>
      </w:pPr>
      <w:rPr>
        <w:rFonts w:hint="default"/>
        <w:lang w:val="en-US" w:eastAsia="en-US" w:bidi="ar-SA"/>
      </w:rPr>
    </w:lvl>
    <w:lvl w:ilvl="3" w:tplc="628CF694">
      <w:numFmt w:val="bullet"/>
      <w:lvlText w:val="•"/>
      <w:lvlJc w:val="left"/>
      <w:pPr>
        <w:ind w:left="1450" w:hanging="284"/>
      </w:pPr>
      <w:rPr>
        <w:rFonts w:hint="default"/>
        <w:lang w:val="en-US" w:eastAsia="en-US" w:bidi="ar-SA"/>
      </w:rPr>
    </w:lvl>
    <w:lvl w:ilvl="4" w:tplc="214EFEFA">
      <w:numFmt w:val="bullet"/>
      <w:lvlText w:val="•"/>
      <w:lvlJc w:val="left"/>
      <w:pPr>
        <w:ind w:left="1781" w:hanging="284"/>
      </w:pPr>
      <w:rPr>
        <w:rFonts w:hint="default"/>
        <w:lang w:val="en-US" w:eastAsia="en-US" w:bidi="ar-SA"/>
      </w:rPr>
    </w:lvl>
    <w:lvl w:ilvl="5" w:tplc="64D48248">
      <w:numFmt w:val="bullet"/>
      <w:lvlText w:val="•"/>
      <w:lvlJc w:val="left"/>
      <w:pPr>
        <w:ind w:left="2111" w:hanging="284"/>
      </w:pPr>
      <w:rPr>
        <w:rFonts w:hint="default"/>
        <w:lang w:val="en-US" w:eastAsia="en-US" w:bidi="ar-SA"/>
      </w:rPr>
    </w:lvl>
    <w:lvl w:ilvl="6" w:tplc="798ECA90">
      <w:numFmt w:val="bullet"/>
      <w:lvlText w:val="•"/>
      <w:lvlJc w:val="left"/>
      <w:pPr>
        <w:ind w:left="2441" w:hanging="284"/>
      </w:pPr>
      <w:rPr>
        <w:rFonts w:hint="default"/>
        <w:lang w:val="en-US" w:eastAsia="en-US" w:bidi="ar-SA"/>
      </w:rPr>
    </w:lvl>
    <w:lvl w:ilvl="7" w:tplc="B26E9D7A">
      <w:numFmt w:val="bullet"/>
      <w:lvlText w:val="•"/>
      <w:lvlJc w:val="left"/>
      <w:pPr>
        <w:ind w:left="2772" w:hanging="284"/>
      </w:pPr>
      <w:rPr>
        <w:rFonts w:hint="default"/>
        <w:lang w:val="en-US" w:eastAsia="en-US" w:bidi="ar-SA"/>
      </w:rPr>
    </w:lvl>
    <w:lvl w:ilvl="8" w:tplc="EA94E268">
      <w:numFmt w:val="bullet"/>
      <w:lvlText w:val="•"/>
      <w:lvlJc w:val="left"/>
      <w:pPr>
        <w:ind w:left="3102" w:hanging="284"/>
      </w:pPr>
      <w:rPr>
        <w:rFonts w:hint="default"/>
        <w:lang w:val="en-US" w:eastAsia="en-US" w:bidi="ar-SA"/>
      </w:rPr>
    </w:lvl>
  </w:abstractNum>
  <w:abstractNum w:abstractNumId="308" w15:restartNumberingAfterBreak="0">
    <w:nsid w:val="4D69077F"/>
    <w:multiLevelType w:val="hybridMultilevel"/>
    <w:tmpl w:val="651E9F92"/>
    <w:lvl w:ilvl="0" w:tplc="17D22574">
      <w:numFmt w:val="bullet"/>
      <w:lvlText w:val=""/>
      <w:lvlJc w:val="left"/>
      <w:pPr>
        <w:ind w:left="428" w:hanging="284"/>
      </w:pPr>
      <w:rPr>
        <w:rFonts w:ascii="Symbol" w:eastAsia="Symbol" w:hAnsi="Symbol" w:cs="Symbol" w:hint="default"/>
        <w:b w:val="0"/>
        <w:bCs w:val="0"/>
        <w:i w:val="0"/>
        <w:iCs w:val="0"/>
        <w:color w:val="70004A"/>
        <w:spacing w:val="0"/>
        <w:w w:val="100"/>
        <w:sz w:val="18"/>
        <w:szCs w:val="18"/>
        <w:lang w:val="en-US" w:eastAsia="en-US" w:bidi="ar-SA"/>
      </w:rPr>
    </w:lvl>
    <w:lvl w:ilvl="1" w:tplc="4C40BC38">
      <w:numFmt w:val="bullet"/>
      <w:lvlText w:val="•"/>
      <w:lvlJc w:val="left"/>
      <w:pPr>
        <w:ind w:left="592" w:hanging="284"/>
      </w:pPr>
      <w:rPr>
        <w:rFonts w:hint="default"/>
        <w:lang w:val="en-US" w:eastAsia="en-US" w:bidi="ar-SA"/>
      </w:rPr>
    </w:lvl>
    <w:lvl w:ilvl="2" w:tplc="4740AF94">
      <w:numFmt w:val="bullet"/>
      <w:lvlText w:val="•"/>
      <w:lvlJc w:val="left"/>
      <w:pPr>
        <w:ind w:left="765" w:hanging="284"/>
      </w:pPr>
      <w:rPr>
        <w:rFonts w:hint="default"/>
        <w:lang w:val="en-US" w:eastAsia="en-US" w:bidi="ar-SA"/>
      </w:rPr>
    </w:lvl>
    <w:lvl w:ilvl="3" w:tplc="62D4E5AC">
      <w:numFmt w:val="bullet"/>
      <w:lvlText w:val="•"/>
      <w:lvlJc w:val="left"/>
      <w:pPr>
        <w:ind w:left="938" w:hanging="284"/>
      </w:pPr>
      <w:rPr>
        <w:rFonts w:hint="default"/>
        <w:lang w:val="en-US" w:eastAsia="en-US" w:bidi="ar-SA"/>
      </w:rPr>
    </w:lvl>
    <w:lvl w:ilvl="4" w:tplc="85882D4C">
      <w:numFmt w:val="bullet"/>
      <w:lvlText w:val="•"/>
      <w:lvlJc w:val="left"/>
      <w:pPr>
        <w:ind w:left="1111" w:hanging="284"/>
      </w:pPr>
      <w:rPr>
        <w:rFonts w:hint="default"/>
        <w:lang w:val="en-US" w:eastAsia="en-US" w:bidi="ar-SA"/>
      </w:rPr>
    </w:lvl>
    <w:lvl w:ilvl="5" w:tplc="4BD4714C">
      <w:numFmt w:val="bullet"/>
      <w:lvlText w:val="•"/>
      <w:lvlJc w:val="left"/>
      <w:pPr>
        <w:ind w:left="1284" w:hanging="284"/>
      </w:pPr>
      <w:rPr>
        <w:rFonts w:hint="default"/>
        <w:lang w:val="en-US" w:eastAsia="en-US" w:bidi="ar-SA"/>
      </w:rPr>
    </w:lvl>
    <w:lvl w:ilvl="6" w:tplc="F8A2F9D4">
      <w:numFmt w:val="bullet"/>
      <w:lvlText w:val="•"/>
      <w:lvlJc w:val="left"/>
      <w:pPr>
        <w:ind w:left="1456" w:hanging="284"/>
      </w:pPr>
      <w:rPr>
        <w:rFonts w:hint="default"/>
        <w:lang w:val="en-US" w:eastAsia="en-US" w:bidi="ar-SA"/>
      </w:rPr>
    </w:lvl>
    <w:lvl w:ilvl="7" w:tplc="DDF216B6">
      <w:numFmt w:val="bullet"/>
      <w:lvlText w:val="•"/>
      <w:lvlJc w:val="left"/>
      <w:pPr>
        <w:ind w:left="1629" w:hanging="284"/>
      </w:pPr>
      <w:rPr>
        <w:rFonts w:hint="default"/>
        <w:lang w:val="en-US" w:eastAsia="en-US" w:bidi="ar-SA"/>
      </w:rPr>
    </w:lvl>
    <w:lvl w:ilvl="8" w:tplc="88A800E0">
      <w:numFmt w:val="bullet"/>
      <w:lvlText w:val="•"/>
      <w:lvlJc w:val="left"/>
      <w:pPr>
        <w:ind w:left="1802" w:hanging="284"/>
      </w:pPr>
      <w:rPr>
        <w:rFonts w:hint="default"/>
        <w:lang w:val="en-US" w:eastAsia="en-US" w:bidi="ar-SA"/>
      </w:rPr>
    </w:lvl>
  </w:abstractNum>
  <w:abstractNum w:abstractNumId="309" w15:restartNumberingAfterBreak="0">
    <w:nsid w:val="4E282675"/>
    <w:multiLevelType w:val="hybridMultilevel"/>
    <w:tmpl w:val="1BCA5856"/>
    <w:lvl w:ilvl="0" w:tplc="5A9EEDB4">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96A020C4">
      <w:numFmt w:val="bullet"/>
      <w:lvlText w:val="•"/>
      <w:lvlJc w:val="left"/>
      <w:pPr>
        <w:ind w:left="693" w:hanging="284"/>
      </w:pPr>
      <w:rPr>
        <w:rFonts w:hint="default"/>
        <w:lang w:val="en-US" w:eastAsia="en-US" w:bidi="ar-SA"/>
      </w:rPr>
    </w:lvl>
    <w:lvl w:ilvl="2" w:tplc="63E6CACE">
      <w:numFmt w:val="bullet"/>
      <w:lvlText w:val="•"/>
      <w:lvlJc w:val="left"/>
      <w:pPr>
        <w:ind w:left="1007" w:hanging="284"/>
      </w:pPr>
      <w:rPr>
        <w:rFonts w:hint="default"/>
        <w:lang w:val="en-US" w:eastAsia="en-US" w:bidi="ar-SA"/>
      </w:rPr>
    </w:lvl>
    <w:lvl w:ilvl="3" w:tplc="DA2A40F0">
      <w:numFmt w:val="bullet"/>
      <w:lvlText w:val="•"/>
      <w:lvlJc w:val="left"/>
      <w:pPr>
        <w:ind w:left="1321" w:hanging="284"/>
      </w:pPr>
      <w:rPr>
        <w:rFonts w:hint="default"/>
        <w:lang w:val="en-US" w:eastAsia="en-US" w:bidi="ar-SA"/>
      </w:rPr>
    </w:lvl>
    <w:lvl w:ilvl="4" w:tplc="A1F2526A">
      <w:numFmt w:val="bullet"/>
      <w:lvlText w:val="•"/>
      <w:lvlJc w:val="left"/>
      <w:pPr>
        <w:ind w:left="1635" w:hanging="284"/>
      </w:pPr>
      <w:rPr>
        <w:rFonts w:hint="default"/>
        <w:lang w:val="en-US" w:eastAsia="en-US" w:bidi="ar-SA"/>
      </w:rPr>
    </w:lvl>
    <w:lvl w:ilvl="5" w:tplc="36DE4C64">
      <w:numFmt w:val="bullet"/>
      <w:lvlText w:val="•"/>
      <w:lvlJc w:val="left"/>
      <w:pPr>
        <w:ind w:left="1949" w:hanging="284"/>
      </w:pPr>
      <w:rPr>
        <w:rFonts w:hint="default"/>
        <w:lang w:val="en-US" w:eastAsia="en-US" w:bidi="ar-SA"/>
      </w:rPr>
    </w:lvl>
    <w:lvl w:ilvl="6" w:tplc="222C76B6">
      <w:numFmt w:val="bullet"/>
      <w:lvlText w:val="•"/>
      <w:lvlJc w:val="left"/>
      <w:pPr>
        <w:ind w:left="2263" w:hanging="284"/>
      </w:pPr>
      <w:rPr>
        <w:rFonts w:hint="default"/>
        <w:lang w:val="en-US" w:eastAsia="en-US" w:bidi="ar-SA"/>
      </w:rPr>
    </w:lvl>
    <w:lvl w:ilvl="7" w:tplc="B276E244">
      <w:numFmt w:val="bullet"/>
      <w:lvlText w:val="•"/>
      <w:lvlJc w:val="left"/>
      <w:pPr>
        <w:ind w:left="2577" w:hanging="284"/>
      </w:pPr>
      <w:rPr>
        <w:rFonts w:hint="default"/>
        <w:lang w:val="en-US" w:eastAsia="en-US" w:bidi="ar-SA"/>
      </w:rPr>
    </w:lvl>
    <w:lvl w:ilvl="8" w:tplc="FD381370">
      <w:numFmt w:val="bullet"/>
      <w:lvlText w:val="•"/>
      <w:lvlJc w:val="left"/>
      <w:pPr>
        <w:ind w:left="2891" w:hanging="284"/>
      </w:pPr>
      <w:rPr>
        <w:rFonts w:hint="default"/>
        <w:lang w:val="en-US" w:eastAsia="en-US" w:bidi="ar-SA"/>
      </w:rPr>
    </w:lvl>
  </w:abstractNum>
  <w:abstractNum w:abstractNumId="310" w15:restartNumberingAfterBreak="0">
    <w:nsid w:val="4E416713"/>
    <w:multiLevelType w:val="hybridMultilevel"/>
    <w:tmpl w:val="FC887854"/>
    <w:lvl w:ilvl="0" w:tplc="9E407B1E">
      <w:numFmt w:val="bullet"/>
      <w:lvlText w:val=""/>
      <w:lvlJc w:val="left"/>
      <w:pPr>
        <w:ind w:left="430" w:hanging="284"/>
      </w:pPr>
      <w:rPr>
        <w:rFonts w:ascii="Symbol" w:eastAsia="Symbol" w:hAnsi="Symbol" w:cs="Symbol" w:hint="default"/>
        <w:b w:val="0"/>
        <w:bCs w:val="0"/>
        <w:i w:val="0"/>
        <w:iCs w:val="0"/>
        <w:color w:val="70004A"/>
        <w:spacing w:val="0"/>
        <w:w w:val="100"/>
        <w:sz w:val="18"/>
        <w:szCs w:val="18"/>
        <w:lang w:val="en-US" w:eastAsia="en-US" w:bidi="ar-SA"/>
      </w:rPr>
    </w:lvl>
    <w:lvl w:ilvl="1" w:tplc="90908CE6">
      <w:numFmt w:val="bullet"/>
      <w:lvlText w:val="•"/>
      <w:lvlJc w:val="left"/>
      <w:pPr>
        <w:ind w:left="607" w:hanging="284"/>
      </w:pPr>
      <w:rPr>
        <w:rFonts w:hint="default"/>
        <w:lang w:val="en-US" w:eastAsia="en-US" w:bidi="ar-SA"/>
      </w:rPr>
    </w:lvl>
    <w:lvl w:ilvl="2" w:tplc="D3501B08">
      <w:numFmt w:val="bullet"/>
      <w:lvlText w:val="•"/>
      <w:lvlJc w:val="left"/>
      <w:pPr>
        <w:ind w:left="774" w:hanging="284"/>
      </w:pPr>
      <w:rPr>
        <w:rFonts w:hint="default"/>
        <w:lang w:val="en-US" w:eastAsia="en-US" w:bidi="ar-SA"/>
      </w:rPr>
    </w:lvl>
    <w:lvl w:ilvl="3" w:tplc="48DED61A">
      <w:numFmt w:val="bullet"/>
      <w:lvlText w:val="•"/>
      <w:lvlJc w:val="left"/>
      <w:pPr>
        <w:ind w:left="942" w:hanging="284"/>
      </w:pPr>
      <w:rPr>
        <w:rFonts w:hint="default"/>
        <w:lang w:val="en-US" w:eastAsia="en-US" w:bidi="ar-SA"/>
      </w:rPr>
    </w:lvl>
    <w:lvl w:ilvl="4" w:tplc="3A30A74E">
      <w:numFmt w:val="bullet"/>
      <w:lvlText w:val="•"/>
      <w:lvlJc w:val="left"/>
      <w:pPr>
        <w:ind w:left="1109" w:hanging="284"/>
      </w:pPr>
      <w:rPr>
        <w:rFonts w:hint="default"/>
        <w:lang w:val="en-US" w:eastAsia="en-US" w:bidi="ar-SA"/>
      </w:rPr>
    </w:lvl>
    <w:lvl w:ilvl="5" w:tplc="F2FAF9BA">
      <w:numFmt w:val="bullet"/>
      <w:lvlText w:val="•"/>
      <w:lvlJc w:val="left"/>
      <w:pPr>
        <w:ind w:left="1277" w:hanging="284"/>
      </w:pPr>
      <w:rPr>
        <w:rFonts w:hint="default"/>
        <w:lang w:val="en-US" w:eastAsia="en-US" w:bidi="ar-SA"/>
      </w:rPr>
    </w:lvl>
    <w:lvl w:ilvl="6" w:tplc="0E228A46">
      <w:numFmt w:val="bullet"/>
      <w:lvlText w:val="•"/>
      <w:lvlJc w:val="left"/>
      <w:pPr>
        <w:ind w:left="1444" w:hanging="284"/>
      </w:pPr>
      <w:rPr>
        <w:rFonts w:hint="default"/>
        <w:lang w:val="en-US" w:eastAsia="en-US" w:bidi="ar-SA"/>
      </w:rPr>
    </w:lvl>
    <w:lvl w:ilvl="7" w:tplc="43EE8AE0">
      <w:numFmt w:val="bullet"/>
      <w:lvlText w:val="•"/>
      <w:lvlJc w:val="left"/>
      <w:pPr>
        <w:ind w:left="1611" w:hanging="284"/>
      </w:pPr>
      <w:rPr>
        <w:rFonts w:hint="default"/>
        <w:lang w:val="en-US" w:eastAsia="en-US" w:bidi="ar-SA"/>
      </w:rPr>
    </w:lvl>
    <w:lvl w:ilvl="8" w:tplc="28AEF210">
      <w:numFmt w:val="bullet"/>
      <w:lvlText w:val="•"/>
      <w:lvlJc w:val="left"/>
      <w:pPr>
        <w:ind w:left="1779" w:hanging="284"/>
      </w:pPr>
      <w:rPr>
        <w:rFonts w:hint="default"/>
        <w:lang w:val="en-US" w:eastAsia="en-US" w:bidi="ar-SA"/>
      </w:rPr>
    </w:lvl>
  </w:abstractNum>
  <w:abstractNum w:abstractNumId="311" w15:restartNumberingAfterBreak="0">
    <w:nsid w:val="4EFC629A"/>
    <w:multiLevelType w:val="hybridMultilevel"/>
    <w:tmpl w:val="1958ACA4"/>
    <w:lvl w:ilvl="0" w:tplc="89180946">
      <w:numFmt w:val="bullet"/>
      <w:lvlText w:val=""/>
      <w:lvlJc w:val="left"/>
      <w:pPr>
        <w:ind w:left="432" w:hanging="284"/>
      </w:pPr>
      <w:rPr>
        <w:rFonts w:ascii="Symbol" w:eastAsia="Symbol" w:hAnsi="Symbol" w:cs="Symbol" w:hint="default"/>
        <w:b w:val="0"/>
        <w:bCs w:val="0"/>
        <w:i w:val="0"/>
        <w:iCs w:val="0"/>
        <w:color w:val="70004A"/>
        <w:spacing w:val="0"/>
        <w:w w:val="100"/>
        <w:sz w:val="18"/>
        <w:szCs w:val="18"/>
        <w:lang w:val="en-US" w:eastAsia="en-US" w:bidi="ar-SA"/>
      </w:rPr>
    </w:lvl>
    <w:lvl w:ilvl="1" w:tplc="13ECC82A">
      <w:numFmt w:val="bullet"/>
      <w:lvlText w:val="•"/>
      <w:lvlJc w:val="left"/>
      <w:pPr>
        <w:ind w:left="624" w:hanging="284"/>
      </w:pPr>
      <w:rPr>
        <w:rFonts w:hint="default"/>
        <w:lang w:val="en-US" w:eastAsia="en-US" w:bidi="ar-SA"/>
      </w:rPr>
    </w:lvl>
    <w:lvl w:ilvl="2" w:tplc="8BD609A8">
      <w:numFmt w:val="bullet"/>
      <w:lvlText w:val="•"/>
      <w:lvlJc w:val="left"/>
      <w:pPr>
        <w:ind w:left="808" w:hanging="284"/>
      </w:pPr>
      <w:rPr>
        <w:rFonts w:hint="default"/>
        <w:lang w:val="en-US" w:eastAsia="en-US" w:bidi="ar-SA"/>
      </w:rPr>
    </w:lvl>
    <w:lvl w:ilvl="3" w:tplc="C9CC2E88">
      <w:numFmt w:val="bullet"/>
      <w:lvlText w:val="•"/>
      <w:lvlJc w:val="left"/>
      <w:pPr>
        <w:ind w:left="992" w:hanging="284"/>
      </w:pPr>
      <w:rPr>
        <w:rFonts w:hint="default"/>
        <w:lang w:val="en-US" w:eastAsia="en-US" w:bidi="ar-SA"/>
      </w:rPr>
    </w:lvl>
    <w:lvl w:ilvl="4" w:tplc="691A9842">
      <w:numFmt w:val="bullet"/>
      <w:lvlText w:val="•"/>
      <w:lvlJc w:val="left"/>
      <w:pPr>
        <w:ind w:left="1177" w:hanging="284"/>
      </w:pPr>
      <w:rPr>
        <w:rFonts w:hint="default"/>
        <w:lang w:val="en-US" w:eastAsia="en-US" w:bidi="ar-SA"/>
      </w:rPr>
    </w:lvl>
    <w:lvl w:ilvl="5" w:tplc="BF56CB66">
      <w:numFmt w:val="bullet"/>
      <w:lvlText w:val="•"/>
      <w:lvlJc w:val="left"/>
      <w:pPr>
        <w:ind w:left="1361" w:hanging="284"/>
      </w:pPr>
      <w:rPr>
        <w:rFonts w:hint="default"/>
        <w:lang w:val="en-US" w:eastAsia="en-US" w:bidi="ar-SA"/>
      </w:rPr>
    </w:lvl>
    <w:lvl w:ilvl="6" w:tplc="B44AFC72">
      <w:numFmt w:val="bullet"/>
      <w:lvlText w:val="•"/>
      <w:lvlJc w:val="left"/>
      <w:pPr>
        <w:ind w:left="1545" w:hanging="284"/>
      </w:pPr>
      <w:rPr>
        <w:rFonts w:hint="default"/>
        <w:lang w:val="en-US" w:eastAsia="en-US" w:bidi="ar-SA"/>
      </w:rPr>
    </w:lvl>
    <w:lvl w:ilvl="7" w:tplc="55562222">
      <w:numFmt w:val="bullet"/>
      <w:lvlText w:val="•"/>
      <w:lvlJc w:val="left"/>
      <w:pPr>
        <w:ind w:left="1730" w:hanging="284"/>
      </w:pPr>
      <w:rPr>
        <w:rFonts w:hint="default"/>
        <w:lang w:val="en-US" w:eastAsia="en-US" w:bidi="ar-SA"/>
      </w:rPr>
    </w:lvl>
    <w:lvl w:ilvl="8" w:tplc="E6DADFAE">
      <w:numFmt w:val="bullet"/>
      <w:lvlText w:val="•"/>
      <w:lvlJc w:val="left"/>
      <w:pPr>
        <w:ind w:left="1914" w:hanging="284"/>
      </w:pPr>
      <w:rPr>
        <w:rFonts w:hint="default"/>
        <w:lang w:val="en-US" w:eastAsia="en-US" w:bidi="ar-SA"/>
      </w:rPr>
    </w:lvl>
  </w:abstractNum>
  <w:abstractNum w:abstractNumId="312" w15:restartNumberingAfterBreak="0">
    <w:nsid w:val="4F176BDB"/>
    <w:multiLevelType w:val="hybridMultilevel"/>
    <w:tmpl w:val="FC9A3C8E"/>
    <w:lvl w:ilvl="0" w:tplc="91D89E0A">
      <w:numFmt w:val="bullet"/>
      <w:lvlText w:val=""/>
      <w:lvlJc w:val="left"/>
      <w:pPr>
        <w:ind w:left="450" w:hanging="284"/>
      </w:pPr>
      <w:rPr>
        <w:rFonts w:ascii="Symbol" w:eastAsia="Symbol" w:hAnsi="Symbol" w:cs="Symbol" w:hint="default"/>
        <w:b w:val="0"/>
        <w:bCs w:val="0"/>
        <w:i w:val="0"/>
        <w:iCs w:val="0"/>
        <w:color w:val="70004A"/>
        <w:spacing w:val="0"/>
        <w:w w:val="100"/>
        <w:sz w:val="18"/>
        <w:szCs w:val="18"/>
        <w:lang w:val="en-US" w:eastAsia="en-US" w:bidi="ar-SA"/>
      </w:rPr>
    </w:lvl>
    <w:lvl w:ilvl="1" w:tplc="5480151E">
      <w:numFmt w:val="bullet"/>
      <w:lvlText w:val="•"/>
      <w:lvlJc w:val="left"/>
      <w:pPr>
        <w:ind w:left="624" w:hanging="284"/>
      </w:pPr>
      <w:rPr>
        <w:rFonts w:hint="default"/>
        <w:lang w:val="en-US" w:eastAsia="en-US" w:bidi="ar-SA"/>
      </w:rPr>
    </w:lvl>
    <w:lvl w:ilvl="2" w:tplc="91CA9588">
      <w:numFmt w:val="bullet"/>
      <w:lvlText w:val="•"/>
      <w:lvlJc w:val="left"/>
      <w:pPr>
        <w:ind w:left="788" w:hanging="284"/>
      </w:pPr>
      <w:rPr>
        <w:rFonts w:hint="default"/>
        <w:lang w:val="en-US" w:eastAsia="en-US" w:bidi="ar-SA"/>
      </w:rPr>
    </w:lvl>
    <w:lvl w:ilvl="3" w:tplc="0E3ED918">
      <w:numFmt w:val="bullet"/>
      <w:lvlText w:val="•"/>
      <w:lvlJc w:val="left"/>
      <w:pPr>
        <w:ind w:left="953" w:hanging="284"/>
      </w:pPr>
      <w:rPr>
        <w:rFonts w:hint="default"/>
        <w:lang w:val="en-US" w:eastAsia="en-US" w:bidi="ar-SA"/>
      </w:rPr>
    </w:lvl>
    <w:lvl w:ilvl="4" w:tplc="2D84AD22">
      <w:numFmt w:val="bullet"/>
      <w:lvlText w:val="•"/>
      <w:lvlJc w:val="left"/>
      <w:pPr>
        <w:ind w:left="1117" w:hanging="284"/>
      </w:pPr>
      <w:rPr>
        <w:rFonts w:hint="default"/>
        <w:lang w:val="en-US" w:eastAsia="en-US" w:bidi="ar-SA"/>
      </w:rPr>
    </w:lvl>
    <w:lvl w:ilvl="5" w:tplc="9B3CCEFC">
      <w:numFmt w:val="bullet"/>
      <w:lvlText w:val="•"/>
      <w:lvlJc w:val="left"/>
      <w:pPr>
        <w:ind w:left="1282" w:hanging="284"/>
      </w:pPr>
      <w:rPr>
        <w:rFonts w:hint="default"/>
        <w:lang w:val="en-US" w:eastAsia="en-US" w:bidi="ar-SA"/>
      </w:rPr>
    </w:lvl>
    <w:lvl w:ilvl="6" w:tplc="3182B37E">
      <w:numFmt w:val="bullet"/>
      <w:lvlText w:val="•"/>
      <w:lvlJc w:val="left"/>
      <w:pPr>
        <w:ind w:left="1446" w:hanging="284"/>
      </w:pPr>
      <w:rPr>
        <w:rFonts w:hint="default"/>
        <w:lang w:val="en-US" w:eastAsia="en-US" w:bidi="ar-SA"/>
      </w:rPr>
    </w:lvl>
    <w:lvl w:ilvl="7" w:tplc="69A2F130">
      <w:numFmt w:val="bullet"/>
      <w:lvlText w:val="•"/>
      <w:lvlJc w:val="left"/>
      <w:pPr>
        <w:ind w:left="1610" w:hanging="284"/>
      </w:pPr>
      <w:rPr>
        <w:rFonts w:hint="default"/>
        <w:lang w:val="en-US" w:eastAsia="en-US" w:bidi="ar-SA"/>
      </w:rPr>
    </w:lvl>
    <w:lvl w:ilvl="8" w:tplc="86C6B896">
      <w:numFmt w:val="bullet"/>
      <w:lvlText w:val="•"/>
      <w:lvlJc w:val="left"/>
      <w:pPr>
        <w:ind w:left="1775" w:hanging="284"/>
      </w:pPr>
      <w:rPr>
        <w:rFonts w:hint="default"/>
        <w:lang w:val="en-US" w:eastAsia="en-US" w:bidi="ar-SA"/>
      </w:rPr>
    </w:lvl>
  </w:abstractNum>
  <w:abstractNum w:abstractNumId="313" w15:restartNumberingAfterBreak="0">
    <w:nsid w:val="4F1E72EF"/>
    <w:multiLevelType w:val="hybridMultilevel"/>
    <w:tmpl w:val="F202B600"/>
    <w:lvl w:ilvl="0" w:tplc="B16CF2E6">
      <w:numFmt w:val="bullet"/>
      <w:lvlText w:val=""/>
      <w:lvlJc w:val="left"/>
      <w:pPr>
        <w:ind w:left="313" w:hanging="284"/>
      </w:pPr>
      <w:rPr>
        <w:rFonts w:ascii="Symbol" w:eastAsia="Symbol" w:hAnsi="Symbol" w:cs="Symbol" w:hint="default"/>
        <w:b w:val="0"/>
        <w:bCs w:val="0"/>
        <w:i w:val="0"/>
        <w:iCs w:val="0"/>
        <w:color w:val="70004A"/>
        <w:spacing w:val="0"/>
        <w:w w:val="100"/>
        <w:sz w:val="18"/>
        <w:szCs w:val="18"/>
        <w:lang w:val="en-US" w:eastAsia="en-US" w:bidi="ar-SA"/>
      </w:rPr>
    </w:lvl>
    <w:lvl w:ilvl="1" w:tplc="15F6C946">
      <w:numFmt w:val="bullet"/>
      <w:lvlText w:val="•"/>
      <w:lvlJc w:val="left"/>
      <w:pPr>
        <w:ind w:left="433" w:hanging="284"/>
      </w:pPr>
      <w:rPr>
        <w:rFonts w:hint="default"/>
        <w:lang w:val="en-US" w:eastAsia="en-US" w:bidi="ar-SA"/>
      </w:rPr>
    </w:lvl>
    <w:lvl w:ilvl="2" w:tplc="16CC0C8A">
      <w:numFmt w:val="bullet"/>
      <w:lvlText w:val="•"/>
      <w:lvlJc w:val="left"/>
      <w:pPr>
        <w:ind w:left="546" w:hanging="284"/>
      </w:pPr>
      <w:rPr>
        <w:rFonts w:hint="default"/>
        <w:lang w:val="en-US" w:eastAsia="en-US" w:bidi="ar-SA"/>
      </w:rPr>
    </w:lvl>
    <w:lvl w:ilvl="3" w:tplc="6A245780">
      <w:numFmt w:val="bullet"/>
      <w:lvlText w:val="•"/>
      <w:lvlJc w:val="left"/>
      <w:pPr>
        <w:ind w:left="659" w:hanging="284"/>
      </w:pPr>
      <w:rPr>
        <w:rFonts w:hint="default"/>
        <w:lang w:val="en-US" w:eastAsia="en-US" w:bidi="ar-SA"/>
      </w:rPr>
    </w:lvl>
    <w:lvl w:ilvl="4" w:tplc="5AA875C0">
      <w:numFmt w:val="bullet"/>
      <w:lvlText w:val="•"/>
      <w:lvlJc w:val="left"/>
      <w:pPr>
        <w:ind w:left="772" w:hanging="284"/>
      </w:pPr>
      <w:rPr>
        <w:rFonts w:hint="default"/>
        <w:lang w:val="en-US" w:eastAsia="en-US" w:bidi="ar-SA"/>
      </w:rPr>
    </w:lvl>
    <w:lvl w:ilvl="5" w:tplc="BD3632A0">
      <w:numFmt w:val="bullet"/>
      <w:lvlText w:val="•"/>
      <w:lvlJc w:val="left"/>
      <w:pPr>
        <w:ind w:left="885" w:hanging="284"/>
      </w:pPr>
      <w:rPr>
        <w:rFonts w:hint="default"/>
        <w:lang w:val="en-US" w:eastAsia="en-US" w:bidi="ar-SA"/>
      </w:rPr>
    </w:lvl>
    <w:lvl w:ilvl="6" w:tplc="B1BC1F92">
      <w:numFmt w:val="bullet"/>
      <w:lvlText w:val="•"/>
      <w:lvlJc w:val="left"/>
      <w:pPr>
        <w:ind w:left="998" w:hanging="284"/>
      </w:pPr>
      <w:rPr>
        <w:rFonts w:hint="default"/>
        <w:lang w:val="en-US" w:eastAsia="en-US" w:bidi="ar-SA"/>
      </w:rPr>
    </w:lvl>
    <w:lvl w:ilvl="7" w:tplc="87789CC4">
      <w:numFmt w:val="bullet"/>
      <w:lvlText w:val="•"/>
      <w:lvlJc w:val="left"/>
      <w:pPr>
        <w:ind w:left="1111" w:hanging="284"/>
      </w:pPr>
      <w:rPr>
        <w:rFonts w:hint="default"/>
        <w:lang w:val="en-US" w:eastAsia="en-US" w:bidi="ar-SA"/>
      </w:rPr>
    </w:lvl>
    <w:lvl w:ilvl="8" w:tplc="A90231E6">
      <w:numFmt w:val="bullet"/>
      <w:lvlText w:val="•"/>
      <w:lvlJc w:val="left"/>
      <w:pPr>
        <w:ind w:left="1224" w:hanging="284"/>
      </w:pPr>
      <w:rPr>
        <w:rFonts w:hint="default"/>
        <w:lang w:val="en-US" w:eastAsia="en-US" w:bidi="ar-SA"/>
      </w:rPr>
    </w:lvl>
  </w:abstractNum>
  <w:abstractNum w:abstractNumId="314" w15:restartNumberingAfterBreak="0">
    <w:nsid w:val="4F2E4CFE"/>
    <w:multiLevelType w:val="hybridMultilevel"/>
    <w:tmpl w:val="CCC8C9D6"/>
    <w:lvl w:ilvl="0" w:tplc="9C805FB4">
      <w:numFmt w:val="bullet"/>
      <w:lvlText w:val=""/>
      <w:lvlJc w:val="left"/>
      <w:pPr>
        <w:ind w:left="450" w:hanging="284"/>
      </w:pPr>
      <w:rPr>
        <w:rFonts w:ascii="Symbol" w:eastAsia="Symbol" w:hAnsi="Symbol" w:cs="Symbol" w:hint="default"/>
        <w:b w:val="0"/>
        <w:bCs w:val="0"/>
        <w:i w:val="0"/>
        <w:iCs w:val="0"/>
        <w:color w:val="70004A"/>
        <w:spacing w:val="0"/>
        <w:w w:val="100"/>
        <w:sz w:val="18"/>
        <w:szCs w:val="18"/>
        <w:lang w:val="en-US" w:eastAsia="en-US" w:bidi="ar-SA"/>
      </w:rPr>
    </w:lvl>
    <w:lvl w:ilvl="1" w:tplc="D5CA321E">
      <w:numFmt w:val="bullet"/>
      <w:lvlText w:val="•"/>
      <w:lvlJc w:val="left"/>
      <w:pPr>
        <w:ind w:left="624" w:hanging="284"/>
      </w:pPr>
      <w:rPr>
        <w:rFonts w:hint="default"/>
        <w:lang w:val="en-US" w:eastAsia="en-US" w:bidi="ar-SA"/>
      </w:rPr>
    </w:lvl>
    <w:lvl w:ilvl="2" w:tplc="F34C4248">
      <w:numFmt w:val="bullet"/>
      <w:lvlText w:val="•"/>
      <w:lvlJc w:val="left"/>
      <w:pPr>
        <w:ind w:left="788" w:hanging="284"/>
      </w:pPr>
      <w:rPr>
        <w:rFonts w:hint="default"/>
        <w:lang w:val="en-US" w:eastAsia="en-US" w:bidi="ar-SA"/>
      </w:rPr>
    </w:lvl>
    <w:lvl w:ilvl="3" w:tplc="23141B7A">
      <w:numFmt w:val="bullet"/>
      <w:lvlText w:val="•"/>
      <w:lvlJc w:val="left"/>
      <w:pPr>
        <w:ind w:left="953" w:hanging="284"/>
      </w:pPr>
      <w:rPr>
        <w:rFonts w:hint="default"/>
        <w:lang w:val="en-US" w:eastAsia="en-US" w:bidi="ar-SA"/>
      </w:rPr>
    </w:lvl>
    <w:lvl w:ilvl="4" w:tplc="5EE0415C">
      <w:numFmt w:val="bullet"/>
      <w:lvlText w:val="•"/>
      <w:lvlJc w:val="left"/>
      <w:pPr>
        <w:ind w:left="1117" w:hanging="284"/>
      </w:pPr>
      <w:rPr>
        <w:rFonts w:hint="default"/>
        <w:lang w:val="en-US" w:eastAsia="en-US" w:bidi="ar-SA"/>
      </w:rPr>
    </w:lvl>
    <w:lvl w:ilvl="5" w:tplc="CABABF88">
      <w:numFmt w:val="bullet"/>
      <w:lvlText w:val="•"/>
      <w:lvlJc w:val="left"/>
      <w:pPr>
        <w:ind w:left="1282" w:hanging="284"/>
      </w:pPr>
      <w:rPr>
        <w:rFonts w:hint="default"/>
        <w:lang w:val="en-US" w:eastAsia="en-US" w:bidi="ar-SA"/>
      </w:rPr>
    </w:lvl>
    <w:lvl w:ilvl="6" w:tplc="4428057E">
      <w:numFmt w:val="bullet"/>
      <w:lvlText w:val="•"/>
      <w:lvlJc w:val="left"/>
      <w:pPr>
        <w:ind w:left="1446" w:hanging="284"/>
      </w:pPr>
      <w:rPr>
        <w:rFonts w:hint="default"/>
        <w:lang w:val="en-US" w:eastAsia="en-US" w:bidi="ar-SA"/>
      </w:rPr>
    </w:lvl>
    <w:lvl w:ilvl="7" w:tplc="FC7E0174">
      <w:numFmt w:val="bullet"/>
      <w:lvlText w:val="•"/>
      <w:lvlJc w:val="left"/>
      <w:pPr>
        <w:ind w:left="1610" w:hanging="284"/>
      </w:pPr>
      <w:rPr>
        <w:rFonts w:hint="default"/>
        <w:lang w:val="en-US" w:eastAsia="en-US" w:bidi="ar-SA"/>
      </w:rPr>
    </w:lvl>
    <w:lvl w:ilvl="8" w:tplc="1E2CD57A">
      <w:numFmt w:val="bullet"/>
      <w:lvlText w:val="•"/>
      <w:lvlJc w:val="left"/>
      <w:pPr>
        <w:ind w:left="1775" w:hanging="284"/>
      </w:pPr>
      <w:rPr>
        <w:rFonts w:hint="default"/>
        <w:lang w:val="en-US" w:eastAsia="en-US" w:bidi="ar-SA"/>
      </w:rPr>
    </w:lvl>
  </w:abstractNum>
  <w:abstractNum w:abstractNumId="315" w15:restartNumberingAfterBreak="0">
    <w:nsid w:val="4F3277D5"/>
    <w:multiLevelType w:val="hybridMultilevel"/>
    <w:tmpl w:val="FF16836A"/>
    <w:lvl w:ilvl="0" w:tplc="1E10B69C">
      <w:numFmt w:val="bullet"/>
      <w:lvlText w:val=""/>
      <w:lvlJc w:val="left"/>
      <w:pPr>
        <w:ind w:left="455" w:hanging="284"/>
      </w:pPr>
      <w:rPr>
        <w:rFonts w:ascii="Symbol" w:eastAsia="Symbol" w:hAnsi="Symbol" w:cs="Symbol" w:hint="default"/>
        <w:b w:val="0"/>
        <w:bCs w:val="0"/>
        <w:i w:val="0"/>
        <w:iCs w:val="0"/>
        <w:color w:val="70004A"/>
        <w:spacing w:val="0"/>
        <w:w w:val="100"/>
        <w:sz w:val="18"/>
        <w:szCs w:val="18"/>
        <w:lang w:val="en-US" w:eastAsia="en-US" w:bidi="ar-SA"/>
      </w:rPr>
    </w:lvl>
    <w:lvl w:ilvl="1" w:tplc="18F0F080">
      <w:numFmt w:val="bullet"/>
      <w:lvlText w:val="•"/>
      <w:lvlJc w:val="left"/>
      <w:pPr>
        <w:ind w:left="650" w:hanging="284"/>
      </w:pPr>
      <w:rPr>
        <w:rFonts w:hint="default"/>
        <w:lang w:val="en-US" w:eastAsia="en-US" w:bidi="ar-SA"/>
      </w:rPr>
    </w:lvl>
    <w:lvl w:ilvl="2" w:tplc="EAE028E4">
      <w:numFmt w:val="bullet"/>
      <w:lvlText w:val="•"/>
      <w:lvlJc w:val="left"/>
      <w:pPr>
        <w:ind w:left="840" w:hanging="284"/>
      </w:pPr>
      <w:rPr>
        <w:rFonts w:hint="default"/>
        <w:lang w:val="en-US" w:eastAsia="en-US" w:bidi="ar-SA"/>
      </w:rPr>
    </w:lvl>
    <w:lvl w:ilvl="3" w:tplc="26561948">
      <w:numFmt w:val="bullet"/>
      <w:lvlText w:val="•"/>
      <w:lvlJc w:val="left"/>
      <w:pPr>
        <w:ind w:left="1030" w:hanging="284"/>
      </w:pPr>
      <w:rPr>
        <w:rFonts w:hint="default"/>
        <w:lang w:val="en-US" w:eastAsia="en-US" w:bidi="ar-SA"/>
      </w:rPr>
    </w:lvl>
    <w:lvl w:ilvl="4" w:tplc="485EC2F4">
      <w:numFmt w:val="bullet"/>
      <w:lvlText w:val="•"/>
      <w:lvlJc w:val="left"/>
      <w:pPr>
        <w:ind w:left="1220" w:hanging="284"/>
      </w:pPr>
      <w:rPr>
        <w:rFonts w:hint="default"/>
        <w:lang w:val="en-US" w:eastAsia="en-US" w:bidi="ar-SA"/>
      </w:rPr>
    </w:lvl>
    <w:lvl w:ilvl="5" w:tplc="BDDC2376">
      <w:numFmt w:val="bullet"/>
      <w:lvlText w:val="•"/>
      <w:lvlJc w:val="left"/>
      <w:pPr>
        <w:ind w:left="1410" w:hanging="284"/>
      </w:pPr>
      <w:rPr>
        <w:rFonts w:hint="default"/>
        <w:lang w:val="en-US" w:eastAsia="en-US" w:bidi="ar-SA"/>
      </w:rPr>
    </w:lvl>
    <w:lvl w:ilvl="6" w:tplc="EEB06B12">
      <w:numFmt w:val="bullet"/>
      <w:lvlText w:val="•"/>
      <w:lvlJc w:val="left"/>
      <w:pPr>
        <w:ind w:left="1600" w:hanging="284"/>
      </w:pPr>
      <w:rPr>
        <w:rFonts w:hint="default"/>
        <w:lang w:val="en-US" w:eastAsia="en-US" w:bidi="ar-SA"/>
      </w:rPr>
    </w:lvl>
    <w:lvl w:ilvl="7" w:tplc="320426A6">
      <w:numFmt w:val="bullet"/>
      <w:lvlText w:val="•"/>
      <w:lvlJc w:val="left"/>
      <w:pPr>
        <w:ind w:left="1790" w:hanging="284"/>
      </w:pPr>
      <w:rPr>
        <w:rFonts w:hint="default"/>
        <w:lang w:val="en-US" w:eastAsia="en-US" w:bidi="ar-SA"/>
      </w:rPr>
    </w:lvl>
    <w:lvl w:ilvl="8" w:tplc="2CFE7502">
      <w:numFmt w:val="bullet"/>
      <w:lvlText w:val="•"/>
      <w:lvlJc w:val="left"/>
      <w:pPr>
        <w:ind w:left="1980" w:hanging="284"/>
      </w:pPr>
      <w:rPr>
        <w:rFonts w:hint="default"/>
        <w:lang w:val="en-US" w:eastAsia="en-US" w:bidi="ar-SA"/>
      </w:rPr>
    </w:lvl>
  </w:abstractNum>
  <w:abstractNum w:abstractNumId="316" w15:restartNumberingAfterBreak="0">
    <w:nsid w:val="4F4129C7"/>
    <w:multiLevelType w:val="hybridMultilevel"/>
    <w:tmpl w:val="C9FEA77C"/>
    <w:lvl w:ilvl="0" w:tplc="CF601860">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681ED9C0">
      <w:numFmt w:val="bullet"/>
      <w:lvlText w:val="•"/>
      <w:lvlJc w:val="left"/>
      <w:pPr>
        <w:ind w:left="632" w:hanging="284"/>
      </w:pPr>
      <w:rPr>
        <w:rFonts w:hint="default"/>
        <w:lang w:val="en-US" w:eastAsia="en-US" w:bidi="ar-SA"/>
      </w:rPr>
    </w:lvl>
    <w:lvl w:ilvl="2" w:tplc="143A4E24">
      <w:numFmt w:val="bullet"/>
      <w:lvlText w:val="•"/>
      <w:lvlJc w:val="left"/>
      <w:pPr>
        <w:ind w:left="885" w:hanging="284"/>
      </w:pPr>
      <w:rPr>
        <w:rFonts w:hint="default"/>
        <w:lang w:val="en-US" w:eastAsia="en-US" w:bidi="ar-SA"/>
      </w:rPr>
    </w:lvl>
    <w:lvl w:ilvl="3" w:tplc="0B7CEDE6">
      <w:numFmt w:val="bullet"/>
      <w:lvlText w:val="•"/>
      <w:lvlJc w:val="left"/>
      <w:pPr>
        <w:ind w:left="1137" w:hanging="284"/>
      </w:pPr>
      <w:rPr>
        <w:rFonts w:hint="default"/>
        <w:lang w:val="en-US" w:eastAsia="en-US" w:bidi="ar-SA"/>
      </w:rPr>
    </w:lvl>
    <w:lvl w:ilvl="4" w:tplc="13F03854">
      <w:numFmt w:val="bullet"/>
      <w:lvlText w:val="•"/>
      <w:lvlJc w:val="left"/>
      <w:pPr>
        <w:ind w:left="1390" w:hanging="284"/>
      </w:pPr>
      <w:rPr>
        <w:rFonts w:hint="default"/>
        <w:lang w:val="en-US" w:eastAsia="en-US" w:bidi="ar-SA"/>
      </w:rPr>
    </w:lvl>
    <w:lvl w:ilvl="5" w:tplc="550E7D6C">
      <w:numFmt w:val="bullet"/>
      <w:lvlText w:val="•"/>
      <w:lvlJc w:val="left"/>
      <w:pPr>
        <w:ind w:left="1643" w:hanging="284"/>
      </w:pPr>
      <w:rPr>
        <w:rFonts w:hint="default"/>
        <w:lang w:val="en-US" w:eastAsia="en-US" w:bidi="ar-SA"/>
      </w:rPr>
    </w:lvl>
    <w:lvl w:ilvl="6" w:tplc="0DF82BBC">
      <w:numFmt w:val="bullet"/>
      <w:lvlText w:val="•"/>
      <w:lvlJc w:val="left"/>
      <w:pPr>
        <w:ind w:left="1895" w:hanging="284"/>
      </w:pPr>
      <w:rPr>
        <w:rFonts w:hint="default"/>
        <w:lang w:val="en-US" w:eastAsia="en-US" w:bidi="ar-SA"/>
      </w:rPr>
    </w:lvl>
    <w:lvl w:ilvl="7" w:tplc="41C20296">
      <w:numFmt w:val="bullet"/>
      <w:lvlText w:val="•"/>
      <w:lvlJc w:val="left"/>
      <w:pPr>
        <w:ind w:left="2148" w:hanging="284"/>
      </w:pPr>
      <w:rPr>
        <w:rFonts w:hint="default"/>
        <w:lang w:val="en-US" w:eastAsia="en-US" w:bidi="ar-SA"/>
      </w:rPr>
    </w:lvl>
    <w:lvl w:ilvl="8" w:tplc="AAB6A1EE">
      <w:numFmt w:val="bullet"/>
      <w:lvlText w:val="•"/>
      <w:lvlJc w:val="left"/>
      <w:pPr>
        <w:ind w:left="2400" w:hanging="284"/>
      </w:pPr>
      <w:rPr>
        <w:rFonts w:hint="default"/>
        <w:lang w:val="en-US" w:eastAsia="en-US" w:bidi="ar-SA"/>
      </w:rPr>
    </w:lvl>
  </w:abstractNum>
  <w:abstractNum w:abstractNumId="317" w15:restartNumberingAfterBreak="0">
    <w:nsid w:val="4F57159B"/>
    <w:multiLevelType w:val="hybridMultilevel"/>
    <w:tmpl w:val="439E6866"/>
    <w:lvl w:ilvl="0" w:tplc="6A66422C">
      <w:numFmt w:val="bullet"/>
      <w:lvlText w:val=""/>
      <w:lvlJc w:val="left"/>
      <w:pPr>
        <w:ind w:left="474" w:hanging="284"/>
      </w:pPr>
      <w:rPr>
        <w:rFonts w:ascii="Symbol" w:eastAsia="Symbol" w:hAnsi="Symbol" w:cs="Symbol" w:hint="default"/>
        <w:b w:val="0"/>
        <w:bCs w:val="0"/>
        <w:i w:val="0"/>
        <w:iCs w:val="0"/>
        <w:color w:val="70004A"/>
        <w:spacing w:val="0"/>
        <w:w w:val="100"/>
        <w:sz w:val="18"/>
        <w:szCs w:val="18"/>
        <w:lang w:val="en-US" w:eastAsia="en-US" w:bidi="ar-SA"/>
      </w:rPr>
    </w:lvl>
    <w:lvl w:ilvl="1" w:tplc="196E179C">
      <w:numFmt w:val="bullet"/>
      <w:lvlText w:val="•"/>
      <w:lvlJc w:val="left"/>
      <w:pPr>
        <w:ind w:left="643" w:hanging="284"/>
      </w:pPr>
      <w:rPr>
        <w:rFonts w:hint="default"/>
        <w:lang w:val="en-US" w:eastAsia="en-US" w:bidi="ar-SA"/>
      </w:rPr>
    </w:lvl>
    <w:lvl w:ilvl="2" w:tplc="0D98EDF4">
      <w:numFmt w:val="bullet"/>
      <w:lvlText w:val="•"/>
      <w:lvlJc w:val="left"/>
      <w:pPr>
        <w:ind w:left="806" w:hanging="284"/>
      </w:pPr>
      <w:rPr>
        <w:rFonts w:hint="default"/>
        <w:lang w:val="en-US" w:eastAsia="en-US" w:bidi="ar-SA"/>
      </w:rPr>
    </w:lvl>
    <w:lvl w:ilvl="3" w:tplc="50484B38">
      <w:numFmt w:val="bullet"/>
      <w:lvlText w:val="•"/>
      <w:lvlJc w:val="left"/>
      <w:pPr>
        <w:ind w:left="969" w:hanging="284"/>
      </w:pPr>
      <w:rPr>
        <w:rFonts w:hint="default"/>
        <w:lang w:val="en-US" w:eastAsia="en-US" w:bidi="ar-SA"/>
      </w:rPr>
    </w:lvl>
    <w:lvl w:ilvl="4" w:tplc="FBEC4922">
      <w:numFmt w:val="bullet"/>
      <w:lvlText w:val="•"/>
      <w:lvlJc w:val="left"/>
      <w:pPr>
        <w:ind w:left="1132" w:hanging="284"/>
      </w:pPr>
      <w:rPr>
        <w:rFonts w:hint="default"/>
        <w:lang w:val="en-US" w:eastAsia="en-US" w:bidi="ar-SA"/>
      </w:rPr>
    </w:lvl>
    <w:lvl w:ilvl="5" w:tplc="F216F74A">
      <w:numFmt w:val="bullet"/>
      <w:lvlText w:val="•"/>
      <w:lvlJc w:val="left"/>
      <w:pPr>
        <w:ind w:left="1295" w:hanging="284"/>
      </w:pPr>
      <w:rPr>
        <w:rFonts w:hint="default"/>
        <w:lang w:val="en-US" w:eastAsia="en-US" w:bidi="ar-SA"/>
      </w:rPr>
    </w:lvl>
    <w:lvl w:ilvl="6" w:tplc="5CAC90CC">
      <w:numFmt w:val="bullet"/>
      <w:lvlText w:val="•"/>
      <w:lvlJc w:val="left"/>
      <w:pPr>
        <w:ind w:left="1458" w:hanging="284"/>
      </w:pPr>
      <w:rPr>
        <w:rFonts w:hint="default"/>
        <w:lang w:val="en-US" w:eastAsia="en-US" w:bidi="ar-SA"/>
      </w:rPr>
    </w:lvl>
    <w:lvl w:ilvl="7" w:tplc="5EBCC7F2">
      <w:numFmt w:val="bullet"/>
      <w:lvlText w:val="•"/>
      <w:lvlJc w:val="left"/>
      <w:pPr>
        <w:ind w:left="1621" w:hanging="284"/>
      </w:pPr>
      <w:rPr>
        <w:rFonts w:hint="default"/>
        <w:lang w:val="en-US" w:eastAsia="en-US" w:bidi="ar-SA"/>
      </w:rPr>
    </w:lvl>
    <w:lvl w:ilvl="8" w:tplc="4B28A19C">
      <w:numFmt w:val="bullet"/>
      <w:lvlText w:val="•"/>
      <w:lvlJc w:val="left"/>
      <w:pPr>
        <w:ind w:left="1784" w:hanging="284"/>
      </w:pPr>
      <w:rPr>
        <w:rFonts w:hint="default"/>
        <w:lang w:val="en-US" w:eastAsia="en-US" w:bidi="ar-SA"/>
      </w:rPr>
    </w:lvl>
  </w:abstractNum>
  <w:abstractNum w:abstractNumId="318" w15:restartNumberingAfterBreak="0">
    <w:nsid w:val="4F6D45E7"/>
    <w:multiLevelType w:val="hybridMultilevel"/>
    <w:tmpl w:val="CDC80C26"/>
    <w:lvl w:ilvl="0" w:tplc="8D9049B0">
      <w:numFmt w:val="bullet"/>
      <w:lvlText w:val=""/>
      <w:lvlJc w:val="left"/>
      <w:pPr>
        <w:ind w:left="326" w:hanging="284"/>
      </w:pPr>
      <w:rPr>
        <w:rFonts w:ascii="Symbol" w:eastAsia="Symbol" w:hAnsi="Symbol" w:cs="Symbol" w:hint="default"/>
        <w:b w:val="0"/>
        <w:bCs w:val="0"/>
        <w:i w:val="0"/>
        <w:iCs w:val="0"/>
        <w:color w:val="70004A"/>
        <w:spacing w:val="0"/>
        <w:w w:val="100"/>
        <w:sz w:val="18"/>
        <w:szCs w:val="18"/>
        <w:lang w:val="en-US" w:eastAsia="en-US" w:bidi="ar-SA"/>
      </w:rPr>
    </w:lvl>
    <w:lvl w:ilvl="1" w:tplc="65B0AF0A">
      <w:numFmt w:val="bullet"/>
      <w:lvlText w:val="•"/>
      <w:lvlJc w:val="left"/>
      <w:pPr>
        <w:ind w:left="442" w:hanging="284"/>
      </w:pPr>
      <w:rPr>
        <w:rFonts w:hint="default"/>
        <w:lang w:val="en-US" w:eastAsia="en-US" w:bidi="ar-SA"/>
      </w:rPr>
    </w:lvl>
    <w:lvl w:ilvl="2" w:tplc="83446518">
      <w:numFmt w:val="bullet"/>
      <w:lvlText w:val="•"/>
      <w:lvlJc w:val="left"/>
      <w:pPr>
        <w:ind w:left="564" w:hanging="284"/>
      </w:pPr>
      <w:rPr>
        <w:rFonts w:hint="default"/>
        <w:lang w:val="en-US" w:eastAsia="en-US" w:bidi="ar-SA"/>
      </w:rPr>
    </w:lvl>
    <w:lvl w:ilvl="3" w:tplc="E04677F2">
      <w:numFmt w:val="bullet"/>
      <w:lvlText w:val="•"/>
      <w:lvlJc w:val="left"/>
      <w:pPr>
        <w:ind w:left="687" w:hanging="284"/>
      </w:pPr>
      <w:rPr>
        <w:rFonts w:hint="default"/>
        <w:lang w:val="en-US" w:eastAsia="en-US" w:bidi="ar-SA"/>
      </w:rPr>
    </w:lvl>
    <w:lvl w:ilvl="4" w:tplc="08B2F21C">
      <w:numFmt w:val="bullet"/>
      <w:lvlText w:val="•"/>
      <w:lvlJc w:val="left"/>
      <w:pPr>
        <w:ind w:left="809" w:hanging="284"/>
      </w:pPr>
      <w:rPr>
        <w:rFonts w:hint="default"/>
        <w:lang w:val="en-US" w:eastAsia="en-US" w:bidi="ar-SA"/>
      </w:rPr>
    </w:lvl>
    <w:lvl w:ilvl="5" w:tplc="A60A3C96">
      <w:numFmt w:val="bullet"/>
      <w:lvlText w:val="•"/>
      <w:lvlJc w:val="left"/>
      <w:pPr>
        <w:ind w:left="932" w:hanging="284"/>
      </w:pPr>
      <w:rPr>
        <w:rFonts w:hint="default"/>
        <w:lang w:val="en-US" w:eastAsia="en-US" w:bidi="ar-SA"/>
      </w:rPr>
    </w:lvl>
    <w:lvl w:ilvl="6" w:tplc="A0102EC2">
      <w:numFmt w:val="bullet"/>
      <w:lvlText w:val="•"/>
      <w:lvlJc w:val="left"/>
      <w:pPr>
        <w:ind w:left="1054" w:hanging="284"/>
      </w:pPr>
      <w:rPr>
        <w:rFonts w:hint="default"/>
        <w:lang w:val="en-US" w:eastAsia="en-US" w:bidi="ar-SA"/>
      </w:rPr>
    </w:lvl>
    <w:lvl w:ilvl="7" w:tplc="1C2AC59C">
      <w:numFmt w:val="bullet"/>
      <w:lvlText w:val="•"/>
      <w:lvlJc w:val="left"/>
      <w:pPr>
        <w:ind w:left="1176" w:hanging="284"/>
      </w:pPr>
      <w:rPr>
        <w:rFonts w:hint="default"/>
        <w:lang w:val="en-US" w:eastAsia="en-US" w:bidi="ar-SA"/>
      </w:rPr>
    </w:lvl>
    <w:lvl w:ilvl="8" w:tplc="68D408EC">
      <w:numFmt w:val="bullet"/>
      <w:lvlText w:val="•"/>
      <w:lvlJc w:val="left"/>
      <w:pPr>
        <w:ind w:left="1299" w:hanging="284"/>
      </w:pPr>
      <w:rPr>
        <w:rFonts w:hint="default"/>
        <w:lang w:val="en-US" w:eastAsia="en-US" w:bidi="ar-SA"/>
      </w:rPr>
    </w:lvl>
  </w:abstractNum>
  <w:abstractNum w:abstractNumId="319" w15:restartNumberingAfterBreak="0">
    <w:nsid w:val="505A5DB6"/>
    <w:multiLevelType w:val="hybridMultilevel"/>
    <w:tmpl w:val="CFA8FCCC"/>
    <w:lvl w:ilvl="0" w:tplc="D7F2F298">
      <w:numFmt w:val="bullet"/>
      <w:lvlText w:val=""/>
      <w:lvlJc w:val="left"/>
      <w:pPr>
        <w:ind w:left="480" w:hanging="284"/>
      </w:pPr>
      <w:rPr>
        <w:rFonts w:ascii="Symbol" w:eastAsia="Symbol" w:hAnsi="Symbol" w:cs="Symbol" w:hint="default"/>
        <w:b w:val="0"/>
        <w:bCs w:val="0"/>
        <w:i w:val="0"/>
        <w:iCs w:val="0"/>
        <w:color w:val="70004A"/>
        <w:spacing w:val="0"/>
        <w:w w:val="100"/>
        <w:sz w:val="18"/>
        <w:szCs w:val="18"/>
        <w:lang w:val="en-US" w:eastAsia="en-US" w:bidi="ar-SA"/>
      </w:rPr>
    </w:lvl>
    <w:lvl w:ilvl="1" w:tplc="6F7C70DA">
      <w:numFmt w:val="bullet"/>
      <w:lvlText w:val="•"/>
      <w:lvlJc w:val="left"/>
      <w:pPr>
        <w:ind w:left="782" w:hanging="284"/>
      </w:pPr>
      <w:rPr>
        <w:rFonts w:hint="default"/>
        <w:lang w:val="en-US" w:eastAsia="en-US" w:bidi="ar-SA"/>
      </w:rPr>
    </w:lvl>
    <w:lvl w:ilvl="2" w:tplc="FB2EB0F4">
      <w:numFmt w:val="bullet"/>
      <w:lvlText w:val="•"/>
      <w:lvlJc w:val="left"/>
      <w:pPr>
        <w:ind w:left="1084" w:hanging="284"/>
      </w:pPr>
      <w:rPr>
        <w:rFonts w:hint="default"/>
        <w:lang w:val="en-US" w:eastAsia="en-US" w:bidi="ar-SA"/>
      </w:rPr>
    </w:lvl>
    <w:lvl w:ilvl="3" w:tplc="03B22356">
      <w:numFmt w:val="bullet"/>
      <w:lvlText w:val="•"/>
      <w:lvlJc w:val="left"/>
      <w:pPr>
        <w:ind w:left="1386" w:hanging="284"/>
      </w:pPr>
      <w:rPr>
        <w:rFonts w:hint="default"/>
        <w:lang w:val="en-US" w:eastAsia="en-US" w:bidi="ar-SA"/>
      </w:rPr>
    </w:lvl>
    <w:lvl w:ilvl="4" w:tplc="ED044DF4">
      <w:numFmt w:val="bullet"/>
      <w:lvlText w:val="•"/>
      <w:lvlJc w:val="left"/>
      <w:pPr>
        <w:ind w:left="1688" w:hanging="284"/>
      </w:pPr>
      <w:rPr>
        <w:rFonts w:hint="default"/>
        <w:lang w:val="en-US" w:eastAsia="en-US" w:bidi="ar-SA"/>
      </w:rPr>
    </w:lvl>
    <w:lvl w:ilvl="5" w:tplc="E78A5760">
      <w:numFmt w:val="bullet"/>
      <w:lvlText w:val="•"/>
      <w:lvlJc w:val="left"/>
      <w:pPr>
        <w:ind w:left="1990" w:hanging="284"/>
      </w:pPr>
      <w:rPr>
        <w:rFonts w:hint="default"/>
        <w:lang w:val="en-US" w:eastAsia="en-US" w:bidi="ar-SA"/>
      </w:rPr>
    </w:lvl>
    <w:lvl w:ilvl="6" w:tplc="607AC190">
      <w:numFmt w:val="bullet"/>
      <w:lvlText w:val="•"/>
      <w:lvlJc w:val="left"/>
      <w:pPr>
        <w:ind w:left="2292" w:hanging="284"/>
      </w:pPr>
      <w:rPr>
        <w:rFonts w:hint="default"/>
        <w:lang w:val="en-US" w:eastAsia="en-US" w:bidi="ar-SA"/>
      </w:rPr>
    </w:lvl>
    <w:lvl w:ilvl="7" w:tplc="3CD29BD6">
      <w:numFmt w:val="bullet"/>
      <w:lvlText w:val="•"/>
      <w:lvlJc w:val="left"/>
      <w:pPr>
        <w:ind w:left="2594" w:hanging="284"/>
      </w:pPr>
      <w:rPr>
        <w:rFonts w:hint="default"/>
        <w:lang w:val="en-US" w:eastAsia="en-US" w:bidi="ar-SA"/>
      </w:rPr>
    </w:lvl>
    <w:lvl w:ilvl="8" w:tplc="E5D48A18">
      <w:numFmt w:val="bullet"/>
      <w:lvlText w:val="•"/>
      <w:lvlJc w:val="left"/>
      <w:pPr>
        <w:ind w:left="2896" w:hanging="284"/>
      </w:pPr>
      <w:rPr>
        <w:rFonts w:hint="default"/>
        <w:lang w:val="en-US" w:eastAsia="en-US" w:bidi="ar-SA"/>
      </w:rPr>
    </w:lvl>
  </w:abstractNum>
  <w:abstractNum w:abstractNumId="320" w15:restartNumberingAfterBreak="0">
    <w:nsid w:val="505F248C"/>
    <w:multiLevelType w:val="hybridMultilevel"/>
    <w:tmpl w:val="6B26FE74"/>
    <w:lvl w:ilvl="0" w:tplc="547A3C10">
      <w:numFmt w:val="bullet"/>
      <w:lvlText w:val=""/>
      <w:lvlJc w:val="left"/>
      <w:pPr>
        <w:ind w:left="477" w:hanging="284"/>
      </w:pPr>
      <w:rPr>
        <w:rFonts w:ascii="Symbol" w:eastAsia="Symbol" w:hAnsi="Symbol" w:cs="Symbol" w:hint="default"/>
        <w:b w:val="0"/>
        <w:bCs w:val="0"/>
        <w:i w:val="0"/>
        <w:iCs w:val="0"/>
        <w:color w:val="70004A"/>
        <w:spacing w:val="0"/>
        <w:w w:val="100"/>
        <w:sz w:val="18"/>
        <w:szCs w:val="18"/>
        <w:lang w:val="en-US" w:eastAsia="en-US" w:bidi="ar-SA"/>
      </w:rPr>
    </w:lvl>
    <w:lvl w:ilvl="1" w:tplc="A9604A72">
      <w:numFmt w:val="bullet"/>
      <w:lvlText w:val="•"/>
      <w:lvlJc w:val="left"/>
      <w:pPr>
        <w:ind w:left="644" w:hanging="284"/>
      </w:pPr>
      <w:rPr>
        <w:rFonts w:hint="default"/>
        <w:lang w:val="en-US" w:eastAsia="en-US" w:bidi="ar-SA"/>
      </w:rPr>
    </w:lvl>
    <w:lvl w:ilvl="2" w:tplc="5F9AEF1A">
      <w:numFmt w:val="bullet"/>
      <w:lvlText w:val="•"/>
      <w:lvlJc w:val="left"/>
      <w:pPr>
        <w:ind w:left="808" w:hanging="284"/>
      </w:pPr>
      <w:rPr>
        <w:rFonts w:hint="default"/>
        <w:lang w:val="en-US" w:eastAsia="en-US" w:bidi="ar-SA"/>
      </w:rPr>
    </w:lvl>
    <w:lvl w:ilvl="3" w:tplc="44248E60">
      <w:numFmt w:val="bullet"/>
      <w:lvlText w:val="•"/>
      <w:lvlJc w:val="left"/>
      <w:pPr>
        <w:ind w:left="972" w:hanging="284"/>
      </w:pPr>
      <w:rPr>
        <w:rFonts w:hint="default"/>
        <w:lang w:val="en-US" w:eastAsia="en-US" w:bidi="ar-SA"/>
      </w:rPr>
    </w:lvl>
    <w:lvl w:ilvl="4" w:tplc="5A0E2CBC">
      <w:numFmt w:val="bullet"/>
      <w:lvlText w:val="•"/>
      <w:lvlJc w:val="left"/>
      <w:pPr>
        <w:ind w:left="1137" w:hanging="284"/>
      </w:pPr>
      <w:rPr>
        <w:rFonts w:hint="default"/>
        <w:lang w:val="en-US" w:eastAsia="en-US" w:bidi="ar-SA"/>
      </w:rPr>
    </w:lvl>
    <w:lvl w:ilvl="5" w:tplc="8DF6A078">
      <w:numFmt w:val="bullet"/>
      <w:lvlText w:val="•"/>
      <w:lvlJc w:val="left"/>
      <w:pPr>
        <w:ind w:left="1301" w:hanging="284"/>
      </w:pPr>
      <w:rPr>
        <w:rFonts w:hint="default"/>
        <w:lang w:val="en-US" w:eastAsia="en-US" w:bidi="ar-SA"/>
      </w:rPr>
    </w:lvl>
    <w:lvl w:ilvl="6" w:tplc="8A5C8FB8">
      <w:numFmt w:val="bullet"/>
      <w:lvlText w:val="•"/>
      <w:lvlJc w:val="left"/>
      <w:pPr>
        <w:ind w:left="1465" w:hanging="284"/>
      </w:pPr>
      <w:rPr>
        <w:rFonts w:hint="default"/>
        <w:lang w:val="en-US" w:eastAsia="en-US" w:bidi="ar-SA"/>
      </w:rPr>
    </w:lvl>
    <w:lvl w:ilvl="7" w:tplc="117AC080">
      <w:numFmt w:val="bullet"/>
      <w:lvlText w:val="•"/>
      <w:lvlJc w:val="left"/>
      <w:pPr>
        <w:ind w:left="1630" w:hanging="284"/>
      </w:pPr>
      <w:rPr>
        <w:rFonts w:hint="default"/>
        <w:lang w:val="en-US" w:eastAsia="en-US" w:bidi="ar-SA"/>
      </w:rPr>
    </w:lvl>
    <w:lvl w:ilvl="8" w:tplc="89A049FC">
      <w:numFmt w:val="bullet"/>
      <w:lvlText w:val="•"/>
      <w:lvlJc w:val="left"/>
      <w:pPr>
        <w:ind w:left="1794" w:hanging="284"/>
      </w:pPr>
      <w:rPr>
        <w:rFonts w:hint="default"/>
        <w:lang w:val="en-US" w:eastAsia="en-US" w:bidi="ar-SA"/>
      </w:rPr>
    </w:lvl>
  </w:abstractNum>
  <w:abstractNum w:abstractNumId="321" w15:restartNumberingAfterBreak="0">
    <w:nsid w:val="506A25FB"/>
    <w:multiLevelType w:val="hybridMultilevel"/>
    <w:tmpl w:val="9078E510"/>
    <w:lvl w:ilvl="0" w:tplc="4044E6BE">
      <w:numFmt w:val="bullet"/>
      <w:lvlText w:val=""/>
      <w:lvlJc w:val="left"/>
      <w:pPr>
        <w:ind w:left="447" w:hanging="284"/>
      </w:pPr>
      <w:rPr>
        <w:rFonts w:ascii="Symbol" w:eastAsia="Symbol" w:hAnsi="Symbol" w:cs="Symbol" w:hint="default"/>
        <w:b w:val="0"/>
        <w:bCs w:val="0"/>
        <w:i w:val="0"/>
        <w:iCs w:val="0"/>
        <w:color w:val="70004A"/>
        <w:spacing w:val="0"/>
        <w:w w:val="100"/>
        <w:sz w:val="18"/>
        <w:szCs w:val="18"/>
        <w:lang w:val="en-US" w:eastAsia="en-US" w:bidi="ar-SA"/>
      </w:rPr>
    </w:lvl>
    <w:lvl w:ilvl="1" w:tplc="9B6056FA">
      <w:numFmt w:val="bullet"/>
      <w:lvlText w:val="•"/>
      <w:lvlJc w:val="left"/>
      <w:pPr>
        <w:ind w:left="631" w:hanging="284"/>
      </w:pPr>
      <w:rPr>
        <w:rFonts w:hint="default"/>
        <w:lang w:val="en-US" w:eastAsia="en-US" w:bidi="ar-SA"/>
      </w:rPr>
    </w:lvl>
    <w:lvl w:ilvl="2" w:tplc="2AE60178">
      <w:numFmt w:val="bullet"/>
      <w:lvlText w:val="•"/>
      <w:lvlJc w:val="left"/>
      <w:pPr>
        <w:ind w:left="822" w:hanging="284"/>
      </w:pPr>
      <w:rPr>
        <w:rFonts w:hint="default"/>
        <w:lang w:val="en-US" w:eastAsia="en-US" w:bidi="ar-SA"/>
      </w:rPr>
    </w:lvl>
    <w:lvl w:ilvl="3" w:tplc="C17064D2">
      <w:numFmt w:val="bullet"/>
      <w:lvlText w:val="•"/>
      <w:lvlJc w:val="left"/>
      <w:pPr>
        <w:ind w:left="1013" w:hanging="284"/>
      </w:pPr>
      <w:rPr>
        <w:rFonts w:hint="default"/>
        <w:lang w:val="en-US" w:eastAsia="en-US" w:bidi="ar-SA"/>
      </w:rPr>
    </w:lvl>
    <w:lvl w:ilvl="4" w:tplc="4F84EFD6">
      <w:numFmt w:val="bullet"/>
      <w:lvlText w:val="•"/>
      <w:lvlJc w:val="left"/>
      <w:pPr>
        <w:ind w:left="1204" w:hanging="284"/>
      </w:pPr>
      <w:rPr>
        <w:rFonts w:hint="default"/>
        <w:lang w:val="en-US" w:eastAsia="en-US" w:bidi="ar-SA"/>
      </w:rPr>
    </w:lvl>
    <w:lvl w:ilvl="5" w:tplc="74F68CCA">
      <w:numFmt w:val="bullet"/>
      <w:lvlText w:val="•"/>
      <w:lvlJc w:val="left"/>
      <w:pPr>
        <w:ind w:left="1395" w:hanging="284"/>
      </w:pPr>
      <w:rPr>
        <w:rFonts w:hint="default"/>
        <w:lang w:val="en-US" w:eastAsia="en-US" w:bidi="ar-SA"/>
      </w:rPr>
    </w:lvl>
    <w:lvl w:ilvl="6" w:tplc="AAEE0D42">
      <w:numFmt w:val="bullet"/>
      <w:lvlText w:val="•"/>
      <w:lvlJc w:val="left"/>
      <w:pPr>
        <w:ind w:left="1586" w:hanging="284"/>
      </w:pPr>
      <w:rPr>
        <w:rFonts w:hint="default"/>
        <w:lang w:val="en-US" w:eastAsia="en-US" w:bidi="ar-SA"/>
      </w:rPr>
    </w:lvl>
    <w:lvl w:ilvl="7" w:tplc="0B366DDC">
      <w:numFmt w:val="bullet"/>
      <w:lvlText w:val="•"/>
      <w:lvlJc w:val="left"/>
      <w:pPr>
        <w:ind w:left="1777" w:hanging="284"/>
      </w:pPr>
      <w:rPr>
        <w:rFonts w:hint="default"/>
        <w:lang w:val="en-US" w:eastAsia="en-US" w:bidi="ar-SA"/>
      </w:rPr>
    </w:lvl>
    <w:lvl w:ilvl="8" w:tplc="244E27E0">
      <w:numFmt w:val="bullet"/>
      <w:lvlText w:val="•"/>
      <w:lvlJc w:val="left"/>
      <w:pPr>
        <w:ind w:left="1968" w:hanging="284"/>
      </w:pPr>
      <w:rPr>
        <w:rFonts w:hint="default"/>
        <w:lang w:val="en-US" w:eastAsia="en-US" w:bidi="ar-SA"/>
      </w:rPr>
    </w:lvl>
  </w:abstractNum>
  <w:abstractNum w:abstractNumId="322" w15:restartNumberingAfterBreak="0">
    <w:nsid w:val="51527340"/>
    <w:multiLevelType w:val="hybridMultilevel"/>
    <w:tmpl w:val="4D345AC8"/>
    <w:lvl w:ilvl="0" w:tplc="45E010A6">
      <w:numFmt w:val="bullet"/>
      <w:lvlText w:val=""/>
      <w:lvlJc w:val="left"/>
      <w:pPr>
        <w:ind w:left="501" w:hanging="360"/>
      </w:pPr>
      <w:rPr>
        <w:rFonts w:ascii="Symbol" w:eastAsia="Symbol" w:hAnsi="Symbol" w:cs="Symbol" w:hint="default"/>
        <w:b w:val="0"/>
        <w:bCs w:val="0"/>
        <w:i w:val="0"/>
        <w:iCs w:val="0"/>
        <w:color w:val="70004A"/>
        <w:spacing w:val="0"/>
        <w:w w:val="100"/>
        <w:sz w:val="20"/>
        <w:szCs w:val="20"/>
        <w:lang w:val="en-US" w:eastAsia="en-US" w:bidi="ar-SA"/>
      </w:rPr>
    </w:lvl>
    <w:lvl w:ilvl="1" w:tplc="F3328E76">
      <w:numFmt w:val="bullet"/>
      <w:lvlText w:val="•"/>
      <w:lvlJc w:val="left"/>
      <w:pPr>
        <w:ind w:left="1428" w:hanging="360"/>
      </w:pPr>
      <w:rPr>
        <w:rFonts w:hint="default"/>
        <w:lang w:val="en-US" w:eastAsia="en-US" w:bidi="ar-SA"/>
      </w:rPr>
    </w:lvl>
    <w:lvl w:ilvl="2" w:tplc="C58C44F6">
      <w:numFmt w:val="bullet"/>
      <w:lvlText w:val="•"/>
      <w:lvlJc w:val="left"/>
      <w:pPr>
        <w:ind w:left="2356" w:hanging="360"/>
      </w:pPr>
      <w:rPr>
        <w:rFonts w:hint="default"/>
        <w:lang w:val="en-US" w:eastAsia="en-US" w:bidi="ar-SA"/>
      </w:rPr>
    </w:lvl>
    <w:lvl w:ilvl="3" w:tplc="1924E2E4">
      <w:numFmt w:val="bullet"/>
      <w:lvlText w:val="•"/>
      <w:lvlJc w:val="left"/>
      <w:pPr>
        <w:ind w:left="3284" w:hanging="360"/>
      </w:pPr>
      <w:rPr>
        <w:rFonts w:hint="default"/>
        <w:lang w:val="en-US" w:eastAsia="en-US" w:bidi="ar-SA"/>
      </w:rPr>
    </w:lvl>
    <w:lvl w:ilvl="4" w:tplc="E7A0A9B0">
      <w:numFmt w:val="bullet"/>
      <w:lvlText w:val="•"/>
      <w:lvlJc w:val="left"/>
      <w:pPr>
        <w:ind w:left="4212" w:hanging="360"/>
      </w:pPr>
      <w:rPr>
        <w:rFonts w:hint="default"/>
        <w:lang w:val="en-US" w:eastAsia="en-US" w:bidi="ar-SA"/>
      </w:rPr>
    </w:lvl>
    <w:lvl w:ilvl="5" w:tplc="3EFA4AB8">
      <w:numFmt w:val="bullet"/>
      <w:lvlText w:val="•"/>
      <w:lvlJc w:val="left"/>
      <w:pPr>
        <w:ind w:left="5140" w:hanging="360"/>
      </w:pPr>
      <w:rPr>
        <w:rFonts w:hint="default"/>
        <w:lang w:val="en-US" w:eastAsia="en-US" w:bidi="ar-SA"/>
      </w:rPr>
    </w:lvl>
    <w:lvl w:ilvl="6" w:tplc="FD32FD9A">
      <w:numFmt w:val="bullet"/>
      <w:lvlText w:val="•"/>
      <w:lvlJc w:val="left"/>
      <w:pPr>
        <w:ind w:left="6068" w:hanging="360"/>
      </w:pPr>
      <w:rPr>
        <w:rFonts w:hint="default"/>
        <w:lang w:val="en-US" w:eastAsia="en-US" w:bidi="ar-SA"/>
      </w:rPr>
    </w:lvl>
    <w:lvl w:ilvl="7" w:tplc="8C923E0A">
      <w:numFmt w:val="bullet"/>
      <w:lvlText w:val="•"/>
      <w:lvlJc w:val="left"/>
      <w:pPr>
        <w:ind w:left="6996" w:hanging="360"/>
      </w:pPr>
      <w:rPr>
        <w:rFonts w:hint="default"/>
        <w:lang w:val="en-US" w:eastAsia="en-US" w:bidi="ar-SA"/>
      </w:rPr>
    </w:lvl>
    <w:lvl w:ilvl="8" w:tplc="4EC0A3C6">
      <w:numFmt w:val="bullet"/>
      <w:lvlText w:val="•"/>
      <w:lvlJc w:val="left"/>
      <w:pPr>
        <w:ind w:left="7925" w:hanging="360"/>
      </w:pPr>
      <w:rPr>
        <w:rFonts w:hint="default"/>
        <w:lang w:val="en-US" w:eastAsia="en-US" w:bidi="ar-SA"/>
      </w:rPr>
    </w:lvl>
  </w:abstractNum>
  <w:abstractNum w:abstractNumId="323" w15:restartNumberingAfterBreak="0">
    <w:nsid w:val="518C2E6D"/>
    <w:multiLevelType w:val="hybridMultilevel"/>
    <w:tmpl w:val="9F3A1806"/>
    <w:lvl w:ilvl="0" w:tplc="FAECDAB2">
      <w:numFmt w:val="bullet"/>
      <w:lvlText w:val=""/>
      <w:lvlJc w:val="left"/>
      <w:pPr>
        <w:ind w:left="424" w:hanging="284"/>
      </w:pPr>
      <w:rPr>
        <w:rFonts w:ascii="Symbol" w:eastAsia="Symbol" w:hAnsi="Symbol" w:cs="Symbol" w:hint="default"/>
        <w:b w:val="0"/>
        <w:bCs w:val="0"/>
        <w:i w:val="0"/>
        <w:iCs w:val="0"/>
        <w:color w:val="70004A"/>
        <w:spacing w:val="0"/>
        <w:w w:val="100"/>
        <w:sz w:val="18"/>
        <w:szCs w:val="18"/>
        <w:lang w:val="en-US" w:eastAsia="en-US" w:bidi="ar-SA"/>
      </w:rPr>
    </w:lvl>
    <w:lvl w:ilvl="1" w:tplc="A1A0E740">
      <w:numFmt w:val="bullet"/>
      <w:lvlText w:val="•"/>
      <w:lvlJc w:val="left"/>
      <w:pPr>
        <w:ind w:left="589" w:hanging="284"/>
      </w:pPr>
      <w:rPr>
        <w:rFonts w:hint="default"/>
        <w:lang w:val="en-US" w:eastAsia="en-US" w:bidi="ar-SA"/>
      </w:rPr>
    </w:lvl>
    <w:lvl w:ilvl="2" w:tplc="47367362">
      <w:numFmt w:val="bullet"/>
      <w:lvlText w:val="•"/>
      <w:lvlJc w:val="left"/>
      <w:pPr>
        <w:ind w:left="758" w:hanging="284"/>
      </w:pPr>
      <w:rPr>
        <w:rFonts w:hint="default"/>
        <w:lang w:val="en-US" w:eastAsia="en-US" w:bidi="ar-SA"/>
      </w:rPr>
    </w:lvl>
    <w:lvl w:ilvl="3" w:tplc="17F2FD44">
      <w:numFmt w:val="bullet"/>
      <w:lvlText w:val="•"/>
      <w:lvlJc w:val="left"/>
      <w:pPr>
        <w:ind w:left="927" w:hanging="284"/>
      </w:pPr>
      <w:rPr>
        <w:rFonts w:hint="default"/>
        <w:lang w:val="en-US" w:eastAsia="en-US" w:bidi="ar-SA"/>
      </w:rPr>
    </w:lvl>
    <w:lvl w:ilvl="4" w:tplc="A3C8974E">
      <w:numFmt w:val="bullet"/>
      <w:lvlText w:val="•"/>
      <w:lvlJc w:val="left"/>
      <w:pPr>
        <w:ind w:left="1097" w:hanging="284"/>
      </w:pPr>
      <w:rPr>
        <w:rFonts w:hint="default"/>
        <w:lang w:val="en-US" w:eastAsia="en-US" w:bidi="ar-SA"/>
      </w:rPr>
    </w:lvl>
    <w:lvl w:ilvl="5" w:tplc="F3440C22">
      <w:numFmt w:val="bullet"/>
      <w:lvlText w:val="•"/>
      <w:lvlJc w:val="left"/>
      <w:pPr>
        <w:ind w:left="1266" w:hanging="284"/>
      </w:pPr>
      <w:rPr>
        <w:rFonts w:hint="default"/>
        <w:lang w:val="en-US" w:eastAsia="en-US" w:bidi="ar-SA"/>
      </w:rPr>
    </w:lvl>
    <w:lvl w:ilvl="6" w:tplc="E182DE1C">
      <w:numFmt w:val="bullet"/>
      <w:lvlText w:val="•"/>
      <w:lvlJc w:val="left"/>
      <w:pPr>
        <w:ind w:left="1435" w:hanging="284"/>
      </w:pPr>
      <w:rPr>
        <w:rFonts w:hint="default"/>
        <w:lang w:val="en-US" w:eastAsia="en-US" w:bidi="ar-SA"/>
      </w:rPr>
    </w:lvl>
    <w:lvl w:ilvl="7" w:tplc="6EE0F8D4">
      <w:numFmt w:val="bullet"/>
      <w:lvlText w:val="•"/>
      <w:lvlJc w:val="left"/>
      <w:pPr>
        <w:ind w:left="1605" w:hanging="284"/>
      </w:pPr>
      <w:rPr>
        <w:rFonts w:hint="default"/>
        <w:lang w:val="en-US" w:eastAsia="en-US" w:bidi="ar-SA"/>
      </w:rPr>
    </w:lvl>
    <w:lvl w:ilvl="8" w:tplc="7A5CBD38">
      <w:numFmt w:val="bullet"/>
      <w:lvlText w:val="•"/>
      <w:lvlJc w:val="left"/>
      <w:pPr>
        <w:ind w:left="1774" w:hanging="284"/>
      </w:pPr>
      <w:rPr>
        <w:rFonts w:hint="default"/>
        <w:lang w:val="en-US" w:eastAsia="en-US" w:bidi="ar-SA"/>
      </w:rPr>
    </w:lvl>
  </w:abstractNum>
  <w:abstractNum w:abstractNumId="324" w15:restartNumberingAfterBreak="0">
    <w:nsid w:val="51C9431B"/>
    <w:multiLevelType w:val="hybridMultilevel"/>
    <w:tmpl w:val="4000D4B8"/>
    <w:lvl w:ilvl="0" w:tplc="1C5EABCA">
      <w:numFmt w:val="bullet"/>
      <w:lvlText w:val=""/>
      <w:lvlJc w:val="left"/>
      <w:pPr>
        <w:ind w:left="460" w:hanging="284"/>
      </w:pPr>
      <w:rPr>
        <w:rFonts w:ascii="Symbol" w:eastAsia="Symbol" w:hAnsi="Symbol" w:cs="Symbol" w:hint="default"/>
        <w:b w:val="0"/>
        <w:bCs w:val="0"/>
        <w:i w:val="0"/>
        <w:iCs w:val="0"/>
        <w:color w:val="70004A"/>
        <w:spacing w:val="0"/>
        <w:w w:val="100"/>
        <w:sz w:val="18"/>
        <w:szCs w:val="18"/>
        <w:lang w:val="en-US" w:eastAsia="en-US" w:bidi="ar-SA"/>
      </w:rPr>
    </w:lvl>
    <w:lvl w:ilvl="1" w:tplc="0C686406">
      <w:numFmt w:val="bullet"/>
      <w:lvlText w:val="•"/>
      <w:lvlJc w:val="left"/>
      <w:pPr>
        <w:ind w:left="622" w:hanging="284"/>
      </w:pPr>
      <w:rPr>
        <w:rFonts w:hint="default"/>
        <w:lang w:val="en-US" w:eastAsia="en-US" w:bidi="ar-SA"/>
      </w:rPr>
    </w:lvl>
    <w:lvl w:ilvl="2" w:tplc="C08AEEAC">
      <w:numFmt w:val="bullet"/>
      <w:lvlText w:val="•"/>
      <w:lvlJc w:val="left"/>
      <w:pPr>
        <w:ind w:left="785" w:hanging="284"/>
      </w:pPr>
      <w:rPr>
        <w:rFonts w:hint="default"/>
        <w:lang w:val="en-US" w:eastAsia="en-US" w:bidi="ar-SA"/>
      </w:rPr>
    </w:lvl>
    <w:lvl w:ilvl="3" w:tplc="FBC6A05C">
      <w:numFmt w:val="bullet"/>
      <w:lvlText w:val="•"/>
      <w:lvlJc w:val="left"/>
      <w:pPr>
        <w:ind w:left="948" w:hanging="284"/>
      </w:pPr>
      <w:rPr>
        <w:rFonts w:hint="default"/>
        <w:lang w:val="en-US" w:eastAsia="en-US" w:bidi="ar-SA"/>
      </w:rPr>
    </w:lvl>
    <w:lvl w:ilvl="4" w:tplc="523E7994">
      <w:numFmt w:val="bullet"/>
      <w:lvlText w:val="•"/>
      <w:lvlJc w:val="left"/>
      <w:pPr>
        <w:ind w:left="1111" w:hanging="284"/>
      </w:pPr>
      <w:rPr>
        <w:rFonts w:hint="default"/>
        <w:lang w:val="en-US" w:eastAsia="en-US" w:bidi="ar-SA"/>
      </w:rPr>
    </w:lvl>
    <w:lvl w:ilvl="5" w:tplc="B0B45B56">
      <w:numFmt w:val="bullet"/>
      <w:lvlText w:val="•"/>
      <w:lvlJc w:val="left"/>
      <w:pPr>
        <w:ind w:left="1274" w:hanging="284"/>
      </w:pPr>
      <w:rPr>
        <w:rFonts w:hint="default"/>
        <w:lang w:val="en-US" w:eastAsia="en-US" w:bidi="ar-SA"/>
      </w:rPr>
    </w:lvl>
    <w:lvl w:ilvl="6" w:tplc="47201366">
      <w:numFmt w:val="bullet"/>
      <w:lvlText w:val="•"/>
      <w:lvlJc w:val="left"/>
      <w:pPr>
        <w:ind w:left="1436" w:hanging="284"/>
      </w:pPr>
      <w:rPr>
        <w:rFonts w:hint="default"/>
        <w:lang w:val="en-US" w:eastAsia="en-US" w:bidi="ar-SA"/>
      </w:rPr>
    </w:lvl>
    <w:lvl w:ilvl="7" w:tplc="A77A5C6C">
      <w:numFmt w:val="bullet"/>
      <w:lvlText w:val="•"/>
      <w:lvlJc w:val="left"/>
      <w:pPr>
        <w:ind w:left="1599" w:hanging="284"/>
      </w:pPr>
      <w:rPr>
        <w:rFonts w:hint="default"/>
        <w:lang w:val="en-US" w:eastAsia="en-US" w:bidi="ar-SA"/>
      </w:rPr>
    </w:lvl>
    <w:lvl w:ilvl="8" w:tplc="F17482AC">
      <w:numFmt w:val="bullet"/>
      <w:lvlText w:val="•"/>
      <w:lvlJc w:val="left"/>
      <w:pPr>
        <w:ind w:left="1762" w:hanging="284"/>
      </w:pPr>
      <w:rPr>
        <w:rFonts w:hint="default"/>
        <w:lang w:val="en-US" w:eastAsia="en-US" w:bidi="ar-SA"/>
      </w:rPr>
    </w:lvl>
  </w:abstractNum>
  <w:abstractNum w:abstractNumId="325" w15:restartNumberingAfterBreak="0">
    <w:nsid w:val="523C1ADF"/>
    <w:multiLevelType w:val="hybridMultilevel"/>
    <w:tmpl w:val="12CECD90"/>
    <w:lvl w:ilvl="0" w:tplc="B628A288">
      <w:numFmt w:val="bullet"/>
      <w:lvlText w:val=""/>
      <w:lvlJc w:val="left"/>
      <w:pPr>
        <w:ind w:left="436" w:hanging="284"/>
      </w:pPr>
      <w:rPr>
        <w:rFonts w:ascii="Symbol" w:eastAsia="Symbol" w:hAnsi="Symbol" w:cs="Symbol" w:hint="default"/>
        <w:b w:val="0"/>
        <w:bCs w:val="0"/>
        <w:i w:val="0"/>
        <w:iCs w:val="0"/>
        <w:color w:val="70004A"/>
        <w:spacing w:val="0"/>
        <w:w w:val="100"/>
        <w:sz w:val="18"/>
        <w:szCs w:val="18"/>
        <w:lang w:val="en-US" w:eastAsia="en-US" w:bidi="ar-SA"/>
      </w:rPr>
    </w:lvl>
    <w:lvl w:ilvl="1" w:tplc="E45C5BB2">
      <w:numFmt w:val="bullet"/>
      <w:lvlText w:val="•"/>
      <w:lvlJc w:val="left"/>
      <w:pPr>
        <w:ind w:left="654" w:hanging="284"/>
      </w:pPr>
      <w:rPr>
        <w:rFonts w:hint="default"/>
        <w:lang w:val="en-US" w:eastAsia="en-US" w:bidi="ar-SA"/>
      </w:rPr>
    </w:lvl>
    <w:lvl w:ilvl="2" w:tplc="307A0996">
      <w:numFmt w:val="bullet"/>
      <w:lvlText w:val="•"/>
      <w:lvlJc w:val="left"/>
      <w:pPr>
        <w:ind w:left="868" w:hanging="284"/>
      </w:pPr>
      <w:rPr>
        <w:rFonts w:hint="default"/>
        <w:lang w:val="en-US" w:eastAsia="en-US" w:bidi="ar-SA"/>
      </w:rPr>
    </w:lvl>
    <w:lvl w:ilvl="3" w:tplc="03F89440">
      <w:numFmt w:val="bullet"/>
      <w:lvlText w:val="•"/>
      <w:lvlJc w:val="left"/>
      <w:pPr>
        <w:ind w:left="1082" w:hanging="284"/>
      </w:pPr>
      <w:rPr>
        <w:rFonts w:hint="default"/>
        <w:lang w:val="en-US" w:eastAsia="en-US" w:bidi="ar-SA"/>
      </w:rPr>
    </w:lvl>
    <w:lvl w:ilvl="4" w:tplc="C1824F0C">
      <w:numFmt w:val="bullet"/>
      <w:lvlText w:val="•"/>
      <w:lvlJc w:val="left"/>
      <w:pPr>
        <w:ind w:left="1296" w:hanging="284"/>
      </w:pPr>
      <w:rPr>
        <w:rFonts w:hint="default"/>
        <w:lang w:val="en-US" w:eastAsia="en-US" w:bidi="ar-SA"/>
      </w:rPr>
    </w:lvl>
    <w:lvl w:ilvl="5" w:tplc="03DC8642">
      <w:numFmt w:val="bullet"/>
      <w:lvlText w:val="•"/>
      <w:lvlJc w:val="left"/>
      <w:pPr>
        <w:ind w:left="1510" w:hanging="284"/>
      </w:pPr>
      <w:rPr>
        <w:rFonts w:hint="default"/>
        <w:lang w:val="en-US" w:eastAsia="en-US" w:bidi="ar-SA"/>
      </w:rPr>
    </w:lvl>
    <w:lvl w:ilvl="6" w:tplc="0DB06126">
      <w:numFmt w:val="bullet"/>
      <w:lvlText w:val="•"/>
      <w:lvlJc w:val="left"/>
      <w:pPr>
        <w:ind w:left="1724" w:hanging="284"/>
      </w:pPr>
      <w:rPr>
        <w:rFonts w:hint="default"/>
        <w:lang w:val="en-US" w:eastAsia="en-US" w:bidi="ar-SA"/>
      </w:rPr>
    </w:lvl>
    <w:lvl w:ilvl="7" w:tplc="4F42EDE8">
      <w:numFmt w:val="bullet"/>
      <w:lvlText w:val="•"/>
      <w:lvlJc w:val="left"/>
      <w:pPr>
        <w:ind w:left="1938" w:hanging="284"/>
      </w:pPr>
      <w:rPr>
        <w:rFonts w:hint="default"/>
        <w:lang w:val="en-US" w:eastAsia="en-US" w:bidi="ar-SA"/>
      </w:rPr>
    </w:lvl>
    <w:lvl w:ilvl="8" w:tplc="6062F584">
      <w:numFmt w:val="bullet"/>
      <w:lvlText w:val="•"/>
      <w:lvlJc w:val="left"/>
      <w:pPr>
        <w:ind w:left="2152" w:hanging="284"/>
      </w:pPr>
      <w:rPr>
        <w:rFonts w:hint="default"/>
        <w:lang w:val="en-US" w:eastAsia="en-US" w:bidi="ar-SA"/>
      </w:rPr>
    </w:lvl>
  </w:abstractNum>
  <w:abstractNum w:abstractNumId="326" w15:restartNumberingAfterBreak="0">
    <w:nsid w:val="52635418"/>
    <w:multiLevelType w:val="hybridMultilevel"/>
    <w:tmpl w:val="A8A66FF8"/>
    <w:lvl w:ilvl="0" w:tplc="D9B822AC">
      <w:numFmt w:val="bullet"/>
      <w:lvlText w:val=""/>
      <w:lvlJc w:val="left"/>
      <w:pPr>
        <w:ind w:left="442" w:hanging="284"/>
      </w:pPr>
      <w:rPr>
        <w:rFonts w:ascii="Symbol" w:eastAsia="Symbol" w:hAnsi="Symbol" w:cs="Symbol" w:hint="default"/>
        <w:b w:val="0"/>
        <w:bCs w:val="0"/>
        <w:i w:val="0"/>
        <w:iCs w:val="0"/>
        <w:color w:val="70004A"/>
        <w:spacing w:val="0"/>
        <w:w w:val="100"/>
        <w:sz w:val="18"/>
        <w:szCs w:val="18"/>
        <w:lang w:val="en-US" w:eastAsia="en-US" w:bidi="ar-SA"/>
      </w:rPr>
    </w:lvl>
    <w:lvl w:ilvl="1" w:tplc="6950C23C">
      <w:numFmt w:val="bullet"/>
      <w:lvlText w:val="•"/>
      <w:lvlJc w:val="left"/>
      <w:pPr>
        <w:ind w:left="705" w:hanging="284"/>
      </w:pPr>
      <w:rPr>
        <w:rFonts w:hint="default"/>
        <w:lang w:val="en-US" w:eastAsia="en-US" w:bidi="ar-SA"/>
      </w:rPr>
    </w:lvl>
    <w:lvl w:ilvl="2" w:tplc="FBD4A86A">
      <w:numFmt w:val="bullet"/>
      <w:lvlText w:val="•"/>
      <w:lvlJc w:val="left"/>
      <w:pPr>
        <w:ind w:left="970" w:hanging="284"/>
      </w:pPr>
      <w:rPr>
        <w:rFonts w:hint="default"/>
        <w:lang w:val="en-US" w:eastAsia="en-US" w:bidi="ar-SA"/>
      </w:rPr>
    </w:lvl>
    <w:lvl w:ilvl="3" w:tplc="57B8C844">
      <w:numFmt w:val="bullet"/>
      <w:lvlText w:val="•"/>
      <w:lvlJc w:val="left"/>
      <w:pPr>
        <w:ind w:left="1235" w:hanging="284"/>
      </w:pPr>
      <w:rPr>
        <w:rFonts w:hint="default"/>
        <w:lang w:val="en-US" w:eastAsia="en-US" w:bidi="ar-SA"/>
      </w:rPr>
    </w:lvl>
    <w:lvl w:ilvl="4" w:tplc="90129E36">
      <w:numFmt w:val="bullet"/>
      <w:lvlText w:val="•"/>
      <w:lvlJc w:val="left"/>
      <w:pPr>
        <w:ind w:left="1500" w:hanging="284"/>
      </w:pPr>
      <w:rPr>
        <w:rFonts w:hint="default"/>
        <w:lang w:val="en-US" w:eastAsia="en-US" w:bidi="ar-SA"/>
      </w:rPr>
    </w:lvl>
    <w:lvl w:ilvl="5" w:tplc="14568F26">
      <w:numFmt w:val="bullet"/>
      <w:lvlText w:val="•"/>
      <w:lvlJc w:val="left"/>
      <w:pPr>
        <w:ind w:left="1766" w:hanging="284"/>
      </w:pPr>
      <w:rPr>
        <w:rFonts w:hint="default"/>
        <w:lang w:val="en-US" w:eastAsia="en-US" w:bidi="ar-SA"/>
      </w:rPr>
    </w:lvl>
    <w:lvl w:ilvl="6" w:tplc="2FEE4856">
      <w:numFmt w:val="bullet"/>
      <w:lvlText w:val="•"/>
      <w:lvlJc w:val="left"/>
      <w:pPr>
        <w:ind w:left="2031" w:hanging="284"/>
      </w:pPr>
      <w:rPr>
        <w:rFonts w:hint="default"/>
        <w:lang w:val="en-US" w:eastAsia="en-US" w:bidi="ar-SA"/>
      </w:rPr>
    </w:lvl>
    <w:lvl w:ilvl="7" w:tplc="63C6FAA2">
      <w:numFmt w:val="bullet"/>
      <w:lvlText w:val="•"/>
      <w:lvlJc w:val="left"/>
      <w:pPr>
        <w:ind w:left="2296" w:hanging="284"/>
      </w:pPr>
      <w:rPr>
        <w:rFonts w:hint="default"/>
        <w:lang w:val="en-US" w:eastAsia="en-US" w:bidi="ar-SA"/>
      </w:rPr>
    </w:lvl>
    <w:lvl w:ilvl="8" w:tplc="E05EF5F4">
      <w:numFmt w:val="bullet"/>
      <w:lvlText w:val="•"/>
      <w:lvlJc w:val="left"/>
      <w:pPr>
        <w:ind w:left="2561" w:hanging="284"/>
      </w:pPr>
      <w:rPr>
        <w:rFonts w:hint="default"/>
        <w:lang w:val="en-US" w:eastAsia="en-US" w:bidi="ar-SA"/>
      </w:rPr>
    </w:lvl>
  </w:abstractNum>
  <w:abstractNum w:abstractNumId="327" w15:restartNumberingAfterBreak="0">
    <w:nsid w:val="5264086F"/>
    <w:multiLevelType w:val="hybridMultilevel"/>
    <w:tmpl w:val="71A07F5C"/>
    <w:lvl w:ilvl="0" w:tplc="87F8C3D4">
      <w:numFmt w:val="bullet"/>
      <w:lvlText w:val=""/>
      <w:lvlJc w:val="left"/>
      <w:pPr>
        <w:ind w:left="427" w:hanging="284"/>
      </w:pPr>
      <w:rPr>
        <w:rFonts w:ascii="Symbol" w:eastAsia="Symbol" w:hAnsi="Symbol" w:cs="Symbol" w:hint="default"/>
        <w:b w:val="0"/>
        <w:bCs w:val="0"/>
        <w:i w:val="0"/>
        <w:iCs w:val="0"/>
        <w:color w:val="70004A"/>
        <w:spacing w:val="0"/>
        <w:w w:val="100"/>
        <w:sz w:val="18"/>
        <w:szCs w:val="18"/>
        <w:lang w:val="en-US" w:eastAsia="en-US" w:bidi="ar-SA"/>
      </w:rPr>
    </w:lvl>
    <w:lvl w:ilvl="1" w:tplc="24309FF4">
      <w:numFmt w:val="bullet"/>
      <w:lvlText w:val="•"/>
      <w:lvlJc w:val="left"/>
      <w:pPr>
        <w:ind w:left="584" w:hanging="284"/>
      </w:pPr>
      <w:rPr>
        <w:rFonts w:hint="default"/>
        <w:lang w:val="en-US" w:eastAsia="en-US" w:bidi="ar-SA"/>
      </w:rPr>
    </w:lvl>
    <w:lvl w:ilvl="2" w:tplc="F9F6DCCA">
      <w:numFmt w:val="bullet"/>
      <w:lvlText w:val="•"/>
      <w:lvlJc w:val="left"/>
      <w:pPr>
        <w:ind w:left="749" w:hanging="284"/>
      </w:pPr>
      <w:rPr>
        <w:rFonts w:hint="default"/>
        <w:lang w:val="en-US" w:eastAsia="en-US" w:bidi="ar-SA"/>
      </w:rPr>
    </w:lvl>
    <w:lvl w:ilvl="3" w:tplc="DC089DD2">
      <w:numFmt w:val="bullet"/>
      <w:lvlText w:val="•"/>
      <w:lvlJc w:val="left"/>
      <w:pPr>
        <w:ind w:left="913" w:hanging="284"/>
      </w:pPr>
      <w:rPr>
        <w:rFonts w:hint="default"/>
        <w:lang w:val="en-US" w:eastAsia="en-US" w:bidi="ar-SA"/>
      </w:rPr>
    </w:lvl>
    <w:lvl w:ilvl="4" w:tplc="0A04963A">
      <w:numFmt w:val="bullet"/>
      <w:lvlText w:val="•"/>
      <w:lvlJc w:val="left"/>
      <w:pPr>
        <w:ind w:left="1078" w:hanging="284"/>
      </w:pPr>
      <w:rPr>
        <w:rFonts w:hint="default"/>
        <w:lang w:val="en-US" w:eastAsia="en-US" w:bidi="ar-SA"/>
      </w:rPr>
    </w:lvl>
    <w:lvl w:ilvl="5" w:tplc="BE44B2BC">
      <w:numFmt w:val="bullet"/>
      <w:lvlText w:val="•"/>
      <w:lvlJc w:val="left"/>
      <w:pPr>
        <w:ind w:left="1243" w:hanging="284"/>
      </w:pPr>
      <w:rPr>
        <w:rFonts w:hint="default"/>
        <w:lang w:val="en-US" w:eastAsia="en-US" w:bidi="ar-SA"/>
      </w:rPr>
    </w:lvl>
    <w:lvl w:ilvl="6" w:tplc="5C1C38D0">
      <w:numFmt w:val="bullet"/>
      <w:lvlText w:val="•"/>
      <w:lvlJc w:val="left"/>
      <w:pPr>
        <w:ind w:left="1407" w:hanging="284"/>
      </w:pPr>
      <w:rPr>
        <w:rFonts w:hint="default"/>
        <w:lang w:val="en-US" w:eastAsia="en-US" w:bidi="ar-SA"/>
      </w:rPr>
    </w:lvl>
    <w:lvl w:ilvl="7" w:tplc="07FCB5EA">
      <w:numFmt w:val="bullet"/>
      <w:lvlText w:val="•"/>
      <w:lvlJc w:val="left"/>
      <w:pPr>
        <w:ind w:left="1572" w:hanging="284"/>
      </w:pPr>
      <w:rPr>
        <w:rFonts w:hint="default"/>
        <w:lang w:val="en-US" w:eastAsia="en-US" w:bidi="ar-SA"/>
      </w:rPr>
    </w:lvl>
    <w:lvl w:ilvl="8" w:tplc="60726E94">
      <w:numFmt w:val="bullet"/>
      <w:lvlText w:val="•"/>
      <w:lvlJc w:val="left"/>
      <w:pPr>
        <w:ind w:left="1736" w:hanging="284"/>
      </w:pPr>
      <w:rPr>
        <w:rFonts w:hint="default"/>
        <w:lang w:val="en-US" w:eastAsia="en-US" w:bidi="ar-SA"/>
      </w:rPr>
    </w:lvl>
  </w:abstractNum>
  <w:abstractNum w:abstractNumId="328" w15:restartNumberingAfterBreak="0">
    <w:nsid w:val="52A31024"/>
    <w:multiLevelType w:val="hybridMultilevel"/>
    <w:tmpl w:val="C4742510"/>
    <w:lvl w:ilvl="0" w:tplc="261C8924">
      <w:numFmt w:val="bullet"/>
      <w:lvlText w:val=""/>
      <w:lvlJc w:val="left"/>
      <w:pPr>
        <w:ind w:left="514" w:hanging="284"/>
      </w:pPr>
      <w:rPr>
        <w:rFonts w:ascii="Symbol" w:eastAsia="Symbol" w:hAnsi="Symbol" w:cs="Symbol" w:hint="default"/>
        <w:b w:val="0"/>
        <w:bCs w:val="0"/>
        <w:i w:val="0"/>
        <w:iCs w:val="0"/>
        <w:color w:val="70004A"/>
        <w:spacing w:val="0"/>
        <w:w w:val="100"/>
        <w:sz w:val="18"/>
        <w:szCs w:val="18"/>
        <w:lang w:val="en-US" w:eastAsia="en-US" w:bidi="ar-SA"/>
      </w:rPr>
    </w:lvl>
    <w:lvl w:ilvl="1" w:tplc="CCA2F262">
      <w:numFmt w:val="bullet"/>
      <w:lvlText w:val="•"/>
      <w:lvlJc w:val="left"/>
      <w:pPr>
        <w:ind w:left="805" w:hanging="284"/>
      </w:pPr>
      <w:rPr>
        <w:rFonts w:hint="default"/>
        <w:lang w:val="en-US" w:eastAsia="en-US" w:bidi="ar-SA"/>
      </w:rPr>
    </w:lvl>
    <w:lvl w:ilvl="2" w:tplc="22DE0682">
      <w:numFmt w:val="bullet"/>
      <w:lvlText w:val="•"/>
      <w:lvlJc w:val="left"/>
      <w:pPr>
        <w:ind w:left="1090" w:hanging="284"/>
      </w:pPr>
      <w:rPr>
        <w:rFonts w:hint="default"/>
        <w:lang w:val="en-US" w:eastAsia="en-US" w:bidi="ar-SA"/>
      </w:rPr>
    </w:lvl>
    <w:lvl w:ilvl="3" w:tplc="1AAEDB08">
      <w:numFmt w:val="bullet"/>
      <w:lvlText w:val="•"/>
      <w:lvlJc w:val="left"/>
      <w:pPr>
        <w:ind w:left="1375" w:hanging="284"/>
      </w:pPr>
      <w:rPr>
        <w:rFonts w:hint="default"/>
        <w:lang w:val="en-US" w:eastAsia="en-US" w:bidi="ar-SA"/>
      </w:rPr>
    </w:lvl>
    <w:lvl w:ilvl="4" w:tplc="4F4C9570">
      <w:numFmt w:val="bullet"/>
      <w:lvlText w:val="•"/>
      <w:lvlJc w:val="left"/>
      <w:pPr>
        <w:ind w:left="1660" w:hanging="284"/>
      </w:pPr>
      <w:rPr>
        <w:rFonts w:hint="default"/>
        <w:lang w:val="en-US" w:eastAsia="en-US" w:bidi="ar-SA"/>
      </w:rPr>
    </w:lvl>
    <w:lvl w:ilvl="5" w:tplc="7206AA86">
      <w:numFmt w:val="bullet"/>
      <w:lvlText w:val="•"/>
      <w:lvlJc w:val="left"/>
      <w:pPr>
        <w:ind w:left="1945" w:hanging="284"/>
      </w:pPr>
      <w:rPr>
        <w:rFonts w:hint="default"/>
        <w:lang w:val="en-US" w:eastAsia="en-US" w:bidi="ar-SA"/>
      </w:rPr>
    </w:lvl>
    <w:lvl w:ilvl="6" w:tplc="873442F8">
      <w:numFmt w:val="bullet"/>
      <w:lvlText w:val="•"/>
      <w:lvlJc w:val="left"/>
      <w:pPr>
        <w:ind w:left="2230" w:hanging="284"/>
      </w:pPr>
      <w:rPr>
        <w:rFonts w:hint="default"/>
        <w:lang w:val="en-US" w:eastAsia="en-US" w:bidi="ar-SA"/>
      </w:rPr>
    </w:lvl>
    <w:lvl w:ilvl="7" w:tplc="793A091C">
      <w:numFmt w:val="bullet"/>
      <w:lvlText w:val="•"/>
      <w:lvlJc w:val="left"/>
      <w:pPr>
        <w:ind w:left="2515" w:hanging="284"/>
      </w:pPr>
      <w:rPr>
        <w:rFonts w:hint="default"/>
        <w:lang w:val="en-US" w:eastAsia="en-US" w:bidi="ar-SA"/>
      </w:rPr>
    </w:lvl>
    <w:lvl w:ilvl="8" w:tplc="B2EA2F50">
      <w:numFmt w:val="bullet"/>
      <w:lvlText w:val="•"/>
      <w:lvlJc w:val="left"/>
      <w:pPr>
        <w:ind w:left="2800" w:hanging="284"/>
      </w:pPr>
      <w:rPr>
        <w:rFonts w:hint="default"/>
        <w:lang w:val="en-US" w:eastAsia="en-US" w:bidi="ar-SA"/>
      </w:rPr>
    </w:lvl>
  </w:abstractNum>
  <w:abstractNum w:abstractNumId="329" w15:restartNumberingAfterBreak="0">
    <w:nsid w:val="52BF227B"/>
    <w:multiLevelType w:val="hybridMultilevel"/>
    <w:tmpl w:val="0136CC00"/>
    <w:lvl w:ilvl="0" w:tplc="BE181D32">
      <w:numFmt w:val="bullet"/>
      <w:lvlText w:val=""/>
      <w:lvlJc w:val="left"/>
      <w:pPr>
        <w:ind w:left="482" w:hanging="284"/>
      </w:pPr>
      <w:rPr>
        <w:rFonts w:ascii="Symbol" w:eastAsia="Symbol" w:hAnsi="Symbol" w:cs="Symbol" w:hint="default"/>
        <w:b w:val="0"/>
        <w:bCs w:val="0"/>
        <w:i w:val="0"/>
        <w:iCs w:val="0"/>
        <w:color w:val="70004A"/>
        <w:spacing w:val="0"/>
        <w:w w:val="100"/>
        <w:sz w:val="18"/>
        <w:szCs w:val="18"/>
        <w:lang w:val="en-US" w:eastAsia="en-US" w:bidi="ar-SA"/>
      </w:rPr>
    </w:lvl>
    <w:lvl w:ilvl="1" w:tplc="74986442">
      <w:numFmt w:val="bullet"/>
      <w:lvlText w:val="•"/>
      <w:lvlJc w:val="left"/>
      <w:pPr>
        <w:ind w:left="748" w:hanging="284"/>
      </w:pPr>
      <w:rPr>
        <w:rFonts w:hint="default"/>
        <w:lang w:val="en-US" w:eastAsia="en-US" w:bidi="ar-SA"/>
      </w:rPr>
    </w:lvl>
    <w:lvl w:ilvl="2" w:tplc="AFE80E32">
      <w:numFmt w:val="bullet"/>
      <w:lvlText w:val="•"/>
      <w:lvlJc w:val="left"/>
      <w:pPr>
        <w:ind w:left="1016" w:hanging="284"/>
      </w:pPr>
      <w:rPr>
        <w:rFonts w:hint="default"/>
        <w:lang w:val="en-US" w:eastAsia="en-US" w:bidi="ar-SA"/>
      </w:rPr>
    </w:lvl>
    <w:lvl w:ilvl="3" w:tplc="EEFA7F12">
      <w:numFmt w:val="bullet"/>
      <w:lvlText w:val="•"/>
      <w:lvlJc w:val="left"/>
      <w:pPr>
        <w:ind w:left="1284" w:hanging="284"/>
      </w:pPr>
      <w:rPr>
        <w:rFonts w:hint="default"/>
        <w:lang w:val="en-US" w:eastAsia="en-US" w:bidi="ar-SA"/>
      </w:rPr>
    </w:lvl>
    <w:lvl w:ilvl="4" w:tplc="4BECF396">
      <w:numFmt w:val="bullet"/>
      <w:lvlText w:val="•"/>
      <w:lvlJc w:val="left"/>
      <w:pPr>
        <w:ind w:left="1552" w:hanging="284"/>
      </w:pPr>
      <w:rPr>
        <w:rFonts w:hint="default"/>
        <w:lang w:val="en-US" w:eastAsia="en-US" w:bidi="ar-SA"/>
      </w:rPr>
    </w:lvl>
    <w:lvl w:ilvl="5" w:tplc="88523D06">
      <w:numFmt w:val="bullet"/>
      <w:lvlText w:val="•"/>
      <w:lvlJc w:val="left"/>
      <w:pPr>
        <w:ind w:left="1820" w:hanging="284"/>
      </w:pPr>
      <w:rPr>
        <w:rFonts w:hint="default"/>
        <w:lang w:val="en-US" w:eastAsia="en-US" w:bidi="ar-SA"/>
      </w:rPr>
    </w:lvl>
    <w:lvl w:ilvl="6" w:tplc="89282CA6">
      <w:numFmt w:val="bullet"/>
      <w:lvlText w:val="•"/>
      <w:lvlJc w:val="left"/>
      <w:pPr>
        <w:ind w:left="2088" w:hanging="284"/>
      </w:pPr>
      <w:rPr>
        <w:rFonts w:hint="default"/>
        <w:lang w:val="en-US" w:eastAsia="en-US" w:bidi="ar-SA"/>
      </w:rPr>
    </w:lvl>
    <w:lvl w:ilvl="7" w:tplc="308CD588">
      <w:numFmt w:val="bullet"/>
      <w:lvlText w:val="•"/>
      <w:lvlJc w:val="left"/>
      <w:pPr>
        <w:ind w:left="2356" w:hanging="284"/>
      </w:pPr>
      <w:rPr>
        <w:rFonts w:hint="default"/>
        <w:lang w:val="en-US" w:eastAsia="en-US" w:bidi="ar-SA"/>
      </w:rPr>
    </w:lvl>
    <w:lvl w:ilvl="8" w:tplc="7842ECE0">
      <w:numFmt w:val="bullet"/>
      <w:lvlText w:val="•"/>
      <w:lvlJc w:val="left"/>
      <w:pPr>
        <w:ind w:left="2624" w:hanging="284"/>
      </w:pPr>
      <w:rPr>
        <w:rFonts w:hint="default"/>
        <w:lang w:val="en-US" w:eastAsia="en-US" w:bidi="ar-SA"/>
      </w:rPr>
    </w:lvl>
  </w:abstractNum>
  <w:abstractNum w:abstractNumId="330" w15:restartNumberingAfterBreak="0">
    <w:nsid w:val="52F12C4B"/>
    <w:multiLevelType w:val="hybridMultilevel"/>
    <w:tmpl w:val="E754400E"/>
    <w:lvl w:ilvl="0" w:tplc="DFD44284">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12F22DCA">
      <w:numFmt w:val="bullet"/>
      <w:lvlText w:val="•"/>
      <w:lvlJc w:val="left"/>
      <w:pPr>
        <w:ind w:left="634" w:hanging="284"/>
      </w:pPr>
      <w:rPr>
        <w:rFonts w:hint="default"/>
        <w:lang w:val="en-US" w:eastAsia="en-US" w:bidi="ar-SA"/>
      </w:rPr>
    </w:lvl>
    <w:lvl w:ilvl="2" w:tplc="EB48C522">
      <w:numFmt w:val="bullet"/>
      <w:lvlText w:val="•"/>
      <w:lvlJc w:val="left"/>
      <w:pPr>
        <w:ind w:left="868" w:hanging="284"/>
      </w:pPr>
      <w:rPr>
        <w:rFonts w:hint="default"/>
        <w:lang w:val="en-US" w:eastAsia="en-US" w:bidi="ar-SA"/>
      </w:rPr>
    </w:lvl>
    <w:lvl w:ilvl="3" w:tplc="35206F58">
      <w:numFmt w:val="bullet"/>
      <w:lvlText w:val="•"/>
      <w:lvlJc w:val="left"/>
      <w:pPr>
        <w:ind w:left="1102" w:hanging="284"/>
      </w:pPr>
      <w:rPr>
        <w:rFonts w:hint="default"/>
        <w:lang w:val="en-US" w:eastAsia="en-US" w:bidi="ar-SA"/>
      </w:rPr>
    </w:lvl>
    <w:lvl w:ilvl="4" w:tplc="203627E6">
      <w:numFmt w:val="bullet"/>
      <w:lvlText w:val="•"/>
      <w:lvlJc w:val="left"/>
      <w:pPr>
        <w:ind w:left="1336" w:hanging="284"/>
      </w:pPr>
      <w:rPr>
        <w:rFonts w:hint="default"/>
        <w:lang w:val="en-US" w:eastAsia="en-US" w:bidi="ar-SA"/>
      </w:rPr>
    </w:lvl>
    <w:lvl w:ilvl="5" w:tplc="FC3C4256">
      <w:numFmt w:val="bullet"/>
      <w:lvlText w:val="•"/>
      <w:lvlJc w:val="left"/>
      <w:pPr>
        <w:ind w:left="1570" w:hanging="284"/>
      </w:pPr>
      <w:rPr>
        <w:rFonts w:hint="default"/>
        <w:lang w:val="en-US" w:eastAsia="en-US" w:bidi="ar-SA"/>
      </w:rPr>
    </w:lvl>
    <w:lvl w:ilvl="6" w:tplc="5FBE6FA6">
      <w:numFmt w:val="bullet"/>
      <w:lvlText w:val="•"/>
      <w:lvlJc w:val="left"/>
      <w:pPr>
        <w:ind w:left="1804" w:hanging="284"/>
      </w:pPr>
      <w:rPr>
        <w:rFonts w:hint="default"/>
        <w:lang w:val="en-US" w:eastAsia="en-US" w:bidi="ar-SA"/>
      </w:rPr>
    </w:lvl>
    <w:lvl w:ilvl="7" w:tplc="A0B0F1F4">
      <w:numFmt w:val="bullet"/>
      <w:lvlText w:val="•"/>
      <w:lvlJc w:val="left"/>
      <w:pPr>
        <w:ind w:left="2038" w:hanging="284"/>
      </w:pPr>
      <w:rPr>
        <w:rFonts w:hint="default"/>
        <w:lang w:val="en-US" w:eastAsia="en-US" w:bidi="ar-SA"/>
      </w:rPr>
    </w:lvl>
    <w:lvl w:ilvl="8" w:tplc="E35CCAD4">
      <w:numFmt w:val="bullet"/>
      <w:lvlText w:val="•"/>
      <w:lvlJc w:val="left"/>
      <w:pPr>
        <w:ind w:left="2272" w:hanging="284"/>
      </w:pPr>
      <w:rPr>
        <w:rFonts w:hint="default"/>
        <w:lang w:val="en-US" w:eastAsia="en-US" w:bidi="ar-SA"/>
      </w:rPr>
    </w:lvl>
  </w:abstractNum>
  <w:abstractNum w:abstractNumId="331" w15:restartNumberingAfterBreak="0">
    <w:nsid w:val="52F26154"/>
    <w:multiLevelType w:val="hybridMultilevel"/>
    <w:tmpl w:val="5CAA673C"/>
    <w:lvl w:ilvl="0" w:tplc="C6C2B818">
      <w:numFmt w:val="bullet"/>
      <w:lvlText w:val=""/>
      <w:lvlJc w:val="left"/>
      <w:pPr>
        <w:ind w:left="482" w:hanging="284"/>
      </w:pPr>
      <w:rPr>
        <w:rFonts w:ascii="Symbol" w:eastAsia="Symbol" w:hAnsi="Symbol" w:cs="Symbol" w:hint="default"/>
        <w:b w:val="0"/>
        <w:bCs w:val="0"/>
        <w:i w:val="0"/>
        <w:iCs w:val="0"/>
        <w:color w:val="70004A"/>
        <w:spacing w:val="0"/>
        <w:w w:val="100"/>
        <w:sz w:val="18"/>
        <w:szCs w:val="18"/>
        <w:lang w:val="en-US" w:eastAsia="en-US" w:bidi="ar-SA"/>
      </w:rPr>
    </w:lvl>
    <w:lvl w:ilvl="1" w:tplc="00AC0956">
      <w:numFmt w:val="bullet"/>
      <w:lvlText w:val="•"/>
      <w:lvlJc w:val="left"/>
      <w:pPr>
        <w:ind w:left="745" w:hanging="284"/>
      </w:pPr>
      <w:rPr>
        <w:rFonts w:hint="default"/>
        <w:lang w:val="en-US" w:eastAsia="en-US" w:bidi="ar-SA"/>
      </w:rPr>
    </w:lvl>
    <w:lvl w:ilvl="2" w:tplc="A3AED4FA">
      <w:numFmt w:val="bullet"/>
      <w:lvlText w:val="•"/>
      <w:lvlJc w:val="left"/>
      <w:pPr>
        <w:ind w:left="1010" w:hanging="284"/>
      </w:pPr>
      <w:rPr>
        <w:rFonts w:hint="default"/>
        <w:lang w:val="en-US" w:eastAsia="en-US" w:bidi="ar-SA"/>
      </w:rPr>
    </w:lvl>
    <w:lvl w:ilvl="3" w:tplc="284AF3DA">
      <w:numFmt w:val="bullet"/>
      <w:lvlText w:val="•"/>
      <w:lvlJc w:val="left"/>
      <w:pPr>
        <w:ind w:left="1275" w:hanging="284"/>
      </w:pPr>
      <w:rPr>
        <w:rFonts w:hint="default"/>
        <w:lang w:val="en-US" w:eastAsia="en-US" w:bidi="ar-SA"/>
      </w:rPr>
    </w:lvl>
    <w:lvl w:ilvl="4" w:tplc="8CDE9F16">
      <w:numFmt w:val="bullet"/>
      <w:lvlText w:val="•"/>
      <w:lvlJc w:val="left"/>
      <w:pPr>
        <w:ind w:left="1540" w:hanging="284"/>
      </w:pPr>
      <w:rPr>
        <w:rFonts w:hint="default"/>
        <w:lang w:val="en-US" w:eastAsia="en-US" w:bidi="ar-SA"/>
      </w:rPr>
    </w:lvl>
    <w:lvl w:ilvl="5" w:tplc="881AB2B6">
      <w:numFmt w:val="bullet"/>
      <w:lvlText w:val="•"/>
      <w:lvlJc w:val="left"/>
      <w:pPr>
        <w:ind w:left="1805" w:hanging="284"/>
      </w:pPr>
      <w:rPr>
        <w:rFonts w:hint="default"/>
        <w:lang w:val="en-US" w:eastAsia="en-US" w:bidi="ar-SA"/>
      </w:rPr>
    </w:lvl>
    <w:lvl w:ilvl="6" w:tplc="64BE32E4">
      <w:numFmt w:val="bullet"/>
      <w:lvlText w:val="•"/>
      <w:lvlJc w:val="left"/>
      <w:pPr>
        <w:ind w:left="2070" w:hanging="284"/>
      </w:pPr>
      <w:rPr>
        <w:rFonts w:hint="default"/>
        <w:lang w:val="en-US" w:eastAsia="en-US" w:bidi="ar-SA"/>
      </w:rPr>
    </w:lvl>
    <w:lvl w:ilvl="7" w:tplc="9FDA1038">
      <w:numFmt w:val="bullet"/>
      <w:lvlText w:val="•"/>
      <w:lvlJc w:val="left"/>
      <w:pPr>
        <w:ind w:left="2335" w:hanging="284"/>
      </w:pPr>
      <w:rPr>
        <w:rFonts w:hint="default"/>
        <w:lang w:val="en-US" w:eastAsia="en-US" w:bidi="ar-SA"/>
      </w:rPr>
    </w:lvl>
    <w:lvl w:ilvl="8" w:tplc="980EF576">
      <w:numFmt w:val="bullet"/>
      <w:lvlText w:val="•"/>
      <w:lvlJc w:val="left"/>
      <w:pPr>
        <w:ind w:left="2600" w:hanging="284"/>
      </w:pPr>
      <w:rPr>
        <w:rFonts w:hint="default"/>
        <w:lang w:val="en-US" w:eastAsia="en-US" w:bidi="ar-SA"/>
      </w:rPr>
    </w:lvl>
  </w:abstractNum>
  <w:abstractNum w:abstractNumId="332" w15:restartNumberingAfterBreak="0">
    <w:nsid w:val="53081426"/>
    <w:multiLevelType w:val="hybridMultilevel"/>
    <w:tmpl w:val="7766F2BC"/>
    <w:lvl w:ilvl="0" w:tplc="DC1CCEC6">
      <w:numFmt w:val="bullet"/>
      <w:lvlText w:val=""/>
      <w:lvlJc w:val="left"/>
      <w:pPr>
        <w:ind w:left="432" w:hanging="284"/>
      </w:pPr>
      <w:rPr>
        <w:rFonts w:ascii="Symbol" w:eastAsia="Symbol" w:hAnsi="Symbol" w:cs="Symbol" w:hint="default"/>
        <w:b w:val="0"/>
        <w:bCs w:val="0"/>
        <w:i w:val="0"/>
        <w:iCs w:val="0"/>
        <w:color w:val="70004A"/>
        <w:spacing w:val="0"/>
        <w:w w:val="100"/>
        <w:sz w:val="18"/>
        <w:szCs w:val="18"/>
        <w:lang w:val="en-US" w:eastAsia="en-US" w:bidi="ar-SA"/>
      </w:rPr>
    </w:lvl>
    <w:lvl w:ilvl="1" w:tplc="12104AD6">
      <w:numFmt w:val="bullet"/>
      <w:lvlText w:val="•"/>
      <w:lvlJc w:val="left"/>
      <w:pPr>
        <w:ind w:left="607" w:hanging="284"/>
      </w:pPr>
      <w:rPr>
        <w:rFonts w:hint="default"/>
        <w:lang w:val="en-US" w:eastAsia="en-US" w:bidi="ar-SA"/>
      </w:rPr>
    </w:lvl>
    <w:lvl w:ilvl="2" w:tplc="4978DAF0">
      <w:numFmt w:val="bullet"/>
      <w:lvlText w:val="•"/>
      <w:lvlJc w:val="left"/>
      <w:pPr>
        <w:ind w:left="775" w:hanging="284"/>
      </w:pPr>
      <w:rPr>
        <w:rFonts w:hint="default"/>
        <w:lang w:val="en-US" w:eastAsia="en-US" w:bidi="ar-SA"/>
      </w:rPr>
    </w:lvl>
    <w:lvl w:ilvl="3" w:tplc="E31E82B0">
      <w:numFmt w:val="bullet"/>
      <w:lvlText w:val="•"/>
      <w:lvlJc w:val="left"/>
      <w:pPr>
        <w:ind w:left="942" w:hanging="284"/>
      </w:pPr>
      <w:rPr>
        <w:rFonts w:hint="default"/>
        <w:lang w:val="en-US" w:eastAsia="en-US" w:bidi="ar-SA"/>
      </w:rPr>
    </w:lvl>
    <w:lvl w:ilvl="4" w:tplc="0720C4B8">
      <w:numFmt w:val="bullet"/>
      <w:lvlText w:val="•"/>
      <w:lvlJc w:val="left"/>
      <w:pPr>
        <w:ind w:left="1110" w:hanging="284"/>
      </w:pPr>
      <w:rPr>
        <w:rFonts w:hint="default"/>
        <w:lang w:val="en-US" w:eastAsia="en-US" w:bidi="ar-SA"/>
      </w:rPr>
    </w:lvl>
    <w:lvl w:ilvl="5" w:tplc="3EF00372">
      <w:numFmt w:val="bullet"/>
      <w:lvlText w:val="•"/>
      <w:lvlJc w:val="left"/>
      <w:pPr>
        <w:ind w:left="1278" w:hanging="284"/>
      </w:pPr>
      <w:rPr>
        <w:rFonts w:hint="default"/>
        <w:lang w:val="en-US" w:eastAsia="en-US" w:bidi="ar-SA"/>
      </w:rPr>
    </w:lvl>
    <w:lvl w:ilvl="6" w:tplc="8ECC9A06">
      <w:numFmt w:val="bullet"/>
      <w:lvlText w:val="•"/>
      <w:lvlJc w:val="left"/>
      <w:pPr>
        <w:ind w:left="1445" w:hanging="284"/>
      </w:pPr>
      <w:rPr>
        <w:rFonts w:hint="default"/>
        <w:lang w:val="en-US" w:eastAsia="en-US" w:bidi="ar-SA"/>
      </w:rPr>
    </w:lvl>
    <w:lvl w:ilvl="7" w:tplc="73FE4C3E">
      <w:numFmt w:val="bullet"/>
      <w:lvlText w:val="•"/>
      <w:lvlJc w:val="left"/>
      <w:pPr>
        <w:ind w:left="1613" w:hanging="284"/>
      </w:pPr>
      <w:rPr>
        <w:rFonts w:hint="default"/>
        <w:lang w:val="en-US" w:eastAsia="en-US" w:bidi="ar-SA"/>
      </w:rPr>
    </w:lvl>
    <w:lvl w:ilvl="8" w:tplc="5D1C5D9C">
      <w:numFmt w:val="bullet"/>
      <w:lvlText w:val="•"/>
      <w:lvlJc w:val="left"/>
      <w:pPr>
        <w:ind w:left="1780" w:hanging="284"/>
      </w:pPr>
      <w:rPr>
        <w:rFonts w:hint="default"/>
        <w:lang w:val="en-US" w:eastAsia="en-US" w:bidi="ar-SA"/>
      </w:rPr>
    </w:lvl>
  </w:abstractNum>
  <w:abstractNum w:abstractNumId="333" w15:restartNumberingAfterBreak="0">
    <w:nsid w:val="532E48A7"/>
    <w:multiLevelType w:val="hybridMultilevel"/>
    <w:tmpl w:val="EF52CA9A"/>
    <w:lvl w:ilvl="0" w:tplc="EE5251A4">
      <w:numFmt w:val="bullet"/>
      <w:lvlText w:val=""/>
      <w:lvlJc w:val="left"/>
      <w:pPr>
        <w:ind w:left="482" w:hanging="284"/>
      </w:pPr>
      <w:rPr>
        <w:rFonts w:ascii="Symbol" w:eastAsia="Symbol" w:hAnsi="Symbol" w:cs="Symbol" w:hint="default"/>
        <w:b w:val="0"/>
        <w:bCs w:val="0"/>
        <w:i w:val="0"/>
        <w:iCs w:val="0"/>
        <w:color w:val="70004A"/>
        <w:spacing w:val="0"/>
        <w:w w:val="100"/>
        <w:sz w:val="18"/>
        <w:szCs w:val="18"/>
        <w:lang w:val="en-US" w:eastAsia="en-US" w:bidi="ar-SA"/>
      </w:rPr>
    </w:lvl>
    <w:lvl w:ilvl="1" w:tplc="7E12D854">
      <w:numFmt w:val="bullet"/>
      <w:lvlText w:val="•"/>
      <w:lvlJc w:val="left"/>
      <w:pPr>
        <w:ind w:left="748" w:hanging="284"/>
      </w:pPr>
      <w:rPr>
        <w:rFonts w:hint="default"/>
        <w:lang w:val="en-US" w:eastAsia="en-US" w:bidi="ar-SA"/>
      </w:rPr>
    </w:lvl>
    <w:lvl w:ilvl="2" w:tplc="939E9B06">
      <w:numFmt w:val="bullet"/>
      <w:lvlText w:val="•"/>
      <w:lvlJc w:val="left"/>
      <w:pPr>
        <w:ind w:left="1016" w:hanging="284"/>
      </w:pPr>
      <w:rPr>
        <w:rFonts w:hint="default"/>
        <w:lang w:val="en-US" w:eastAsia="en-US" w:bidi="ar-SA"/>
      </w:rPr>
    </w:lvl>
    <w:lvl w:ilvl="3" w:tplc="A7A867F6">
      <w:numFmt w:val="bullet"/>
      <w:lvlText w:val="•"/>
      <w:lvlJc w:val="left"/>
      <w:pPr>
        <w:ind w:left="1284" w:hanging="284"/>
      </w:pPr>
      <w:rPr>
        <w:rFonts w:hint="default"/>
        <w:lang w:val="en-US" w:eastAsia="en-US" w:bidi="ar-SA"/>
      </w:rPr>
    </w:lvl>
    <w:lvl w:ilvl="4" w:tplc="A2EEF7D0">
      <w:numFmt w:val="bullet"/>
      <w:lvlText w:val="•"/>
      <w:lvlJc w:val="left"/>
      <w:pPr>
        <w:ind w:left="1552" w:hanging="284"/>
      </w:pPr>
      <w:rPr>
        <w:rFonts w:hint="default"/>
        <w:lang w:val="en-US" w:eastAsia="en-US" w:bidi="ar-SA"/>
      </w:rPr>
    </w:lvl>
    <w:lvl w:ilvl="5" w:tplc="741A935C">
      <w:numFmt w:val="bullet"/>
      <w:lvlText w:val="•"/>
      <w:lvlJc w:val="left"/>
      <w:pPr>
        <w:ind w:left="1820" w:hanging="284"/>
      </w:pPr>
      <w:rPr>
        <w:rFonts w:hint="default"/>
        <w:lang w:val="en-US" w:eastAsia="en-US" w:bidi="ar-SA"/>
      </w:rPr>
    </w:lvl>
    <w:lvl w:ilvl="6" w:tplc="C766137C">
      <w:numFmt w:val="bullet"/>
      <w:lvlText w:val="•"/>
      <w:lvlJc w:val="left"/>
      <w:pPr>
        <w:ind w:left="2088" w:hanging="284"/>
      </w:pPr>
      <w:rPr>
        <w:rFonts w:hint="default"/>
        <w:lang w:val="en-US" w:eastAsia="en-US" w:bidi="ar-SA"/>
      </w:rPr>
    </w:lvl>
    <w:lvl w:ilvl="7" w:tplc="C50ACCA8">
      <w:numFmt w:val="bullet"/>
      <w:lvlText w:val="•"/>
      <w:lvlJc w:val="left"/>
      <w:pPr>
        <w:ind w:left="2356" w:hanging="284"/>
      </w:pPr>
      <w:rPr>
        <w:rFonts w:hint="default"/>
        <w:lang w:val="en-US" w:eastAsia="en-US" w:bidi="ar-SA"/>
      </w:rPr>
    </w:lvl>
    <w:lvl w:ilvl="8" w:tplc="F39E9C16">
      <w:numFmt w:val="bullet"/>
      <w:lvlText w:val="•"/>
      <w:lvlJc w:val="left"/>
      <w:pPr>
        <w:ind w:left="2624" w:hanging="284"/>
      </w:pPr>
      <w:rPr>
        <w:rFonts w:hint="default"/>
        <w:lang w:val="en-US" w:eastAsia="en-US" w:bidi="ar-SA"/>
      </w:rPr>
    </w:lvl>
  </w:abstractNum>
  <w:abstractNum w:abstractNumId="334" w15:restartNumberingAfterBreak="0">
    <w:nsid w:val="533616D7"/>
    <w:multiLevelType w:val="hybridMultilevel"/>
    <w:tmpl w:val="F45864A8"/>
    <w:lvl w:ilvl="0" w:tplc="F09AF8FA">
      <w:numFmt w:val="bullet"/>
      <w:lvlText w:val=""/>
      <w:lvlJc w:val="left"/>
      <w:pPr>
        <w:ind w:left="433" w:hanging="284"/>
      </w:pPr>
      <w:rPr>
        <w:rFonts w:ascii="Symbol" w:eastAsia="Symbol" w:hAnsi="Symbol" w:cs="Symbol" w:hint="default"/>
        <w:b w:val="0"/>
        <w:bCs w:val="0"/>
        <w:i w:val="0"/>
        <w:iCs w:val="0"/>
        <w:color w:val="70004A"/>
        <w:spacing w:val="0"/>
        <w:w w:val="100"/>
        <w:sz w:val="18"/>
        <w:szCs w:val="18"/>
        <w:lang w:val="en-US" w:eastAsia="en-US" w:bidi="ar-SA"/>
      </w:rPr>
    </w:lvl>
    <w:lvl w:ilvl="1" w:tplc="183AE1C0">
      <w:numFmt w:val="bullet"/>
      <w:lvlText w:val="•"/>
      <w:lvlJc w:val="left"/>
      <w:pPr>
        <w:ind w:left="611" w:hanging="284"/>
      </w:pPr>
      <w:rPr>
        <w:rFonts w:hint="default"/>
        <w:lang w:val="en-US" w:eastAsia="en-US" w:bidi="ar-SA"/>
      </w:rPr>
    </w:lvl>
    <w:lvl w:ilvl="2" w:tplc="1EAE4D3C">
      <w:numFmt w:val="bullet"/>
      <w:lvlText w:val="•"/>
      <w:lvlJc w:val="left"/>
      <w:pPr>
        <w:ind w:left="782" w:hanging="284"/>
      </w:pPr>
      <w:rPr>
        <w:rFonts w:hint="default"/>
        <w:lang w:val="en-US" w:eastAsia="en-US" w:bidi="ar-SA"/>
      </w:rPr>
    </w:lvl>
    <w:lvl w:ilvl="3" w:tplc="75302F78">
      <w:numFmt w:val="bullet"/>
      <w:lvlText w:val="•"/>
      <w:lvlJc w:val="left"/>
      <w:pPr>
        <w:ind w:left="953" w:hanging="284"/>
      </w:pPr>
      <w:rPr>
        <w:rFonts w:hint="default"/>
        <w:lang w:val="en-US" w:eastAsia="en-US" w:bidi="ar-SA"/>
      </w:rPr>
    </w:lvl>
    <w:lvl w:ilvl="4" w:tplc="6BA28FC4">
      <w:numFmt w:val="bullet"/>
      <w:lvlText w:val="•"/>
      <w:lvlJc w:val="left"/>
      <w:pPr>
        <w:ind w:left="1124" w:hanging="284"/>
      </w:pPr>
      <w:rPr>
        <w:rFonts w:hint="default"/>
        <w:lang w:val="en-US" w:eastAsia="en-US" w:bidi="ar-SA"/>
      </w:rPr>
    </w:lvl>
    <w:lvl w:ilvl="5" w:tplc="D2128B0C">
      <w:numFmt w:val="bullet"/>
      <w:lvlText w:val="•"/>
      <w:lvlJc w:val="left"/>
      <w:pPr>
        <w:ind w:left="1296" w:hanging="284"/>
      </w:pPr>
      <w:rPr>
        <w:rFonts w:hint="default"/>
        <w:lang w:val="en-US" w:eastAsia="en-US" w:bidi="ar-SA"/>
      </w:rPr>
    </w:lvl>
    <w:lvl w:ilvl="6" w:tplc="ECF4FC14">
      <w:numFmt w:val="bullet"/>
      <w:lvlText w:val="•"/>
      <w:lvlJc w:val="left"/>
      <w:pPr>
        <w:ind w:left="1467" w:hanging="284"/>
      </w:pPr>
      <w:rPr>
        <w:rFonts w:hint="default"/>
        <w:lang w:val="en-US" w:eastAsia="en-US" w:bidi="ar-SA"/>
      </w:rPr>
    </w:lvl>
    <w:lvl w:ilvl="7" w:tplc="243C6ADC">
      <w:numFmt w:val="bullet"/>
      <w:lvlText w:val="•"/>
      <w:lvlJc w:val="left"/>
      <w:pPr>
        <w:ind w:left="1638" w:hanging="284"/>
      </w:pPr>
      <w:rPr>
        <w:rFonts w:hint="default"/>
        <w:lang w:val="en-US" w:eastAsia="en-US" w:bidi="ar-SA"/>
      </w:rPr>
    </w:lvl>
    <w:lvl w:ilvl="8" w:tplc="180AB624">
      <w:numFmt w:val="bullet"/>
      <w:lvlText w:val="•"/>
      <w:lvlJc w:val="left"/>
      <w:pPr>
        <w:ind w:left="1809" w:hanging="284"/>
      </w:pPr>
      <w:rPr>
        <w:rFonts w:hint="default"/>
        <w:lang w:val="en-US" w:eastAsia="en-US" w:bidi="ar-SA"/>
      </w:rPr>
    </w:lvl>
  </w:abstractNum>
  <w:abstractNum w:abstractNumId="335" w15:restartNumberingAfterBreak="0">
    <w:nsid w:val="53430AAD"/>
    <w:multiLevelType w:val="hybridMultilevel"/>
    <w:tmpl w:val="66DC7A72"/>
    <w:lvl w:ilvl="0" w:tplc="C62C253C">
      <w:numFmt w:val="bullet"/>
      <w:lvlText w:val=""/>
      <w:lvlJc w:val="left"/>
      <w:pPr>
        <w:ind w:left="341" w:hanging="284"/>
      </w:pPr>
      <w:rPr>
        <w:rFonts w:ascii="Symbol" w:eastAsia="Symbol" w:hAnsi="Symbol" w:cs="Symbol" w:hint="default"/>
        <w:b w:val="0"/>
        <w:bCs w:val="0"/>
        <w:i w:val="0"/>
        <w:iCs w:val="0"/>
        <w:color w:val="70004A"/>
        <w:spacing w:val="0"/>
        <w:w w:val="100"/>
        <w:sz w:val="18"/>
        <w:szCs w:val="18"/>
        <w:lang w:val="en-US" w:eastAsia="en-US" w:bidi="ar-SA"/>
      </w:rPr>
    </w:lvl>
    <w:lvl w:ilvl="1" w:tplc="D820E63C">
      <w:numFmt w:val="bullet"/>
      <w:lvlText w:val="•"/>
      <w:lvlJc w:val="left"/>
      <w:pPr>
        <w:ind w:left="445" w:hanging="284"/>
      </w:pPr>
      <w:rPr>
        <w:rFonts w:hint="default"/>
        <w:lang w:val="en-US" w:eastAsia="en-US" w:bidi="ar-SA"/>
      </w:rPr>
    </w:lvl>
    <w:lvl w:ilvl="2" w:tplc="1408C358">
      <w:numFmt w:val="bullet"/>
      <w:lvlText w:val="•"/>
      <w:lvlJc w:val="left"/>
      <w:pPr>
        <w:ind w:left="551" w:hanging="284"/>
      </w:pPr>
      <w:rPr>
        <w:rFonts w:hint="default"/>
        <w:lang w:val="en-US" w:eastAsia="en-US" w:bidi="ar-SA"/>
      </w:rPr>
    </w:lvl>
    <w:lvl w:ilvl="3" w:tplc="C128C64C">
      <w:numFmt w:val="bullet"/>
      <w:lvlText w:val="•"/>
      <w:lvlJc w:val="left"/>
      <w:pPr>
        <w:ind w:left="657" w:hanging="284"/>
      </w:pPr>
      <w:rPr>
        <w:rFonts w:hint="default"/>
        <w:lang w:val="en-US" w:eastAsia="en-US" w:bidi="ar-SA"/>
      </w:rPr>
    </w:lvl>
    <w:lvl w:ilvl="4" w:tplc="0AF0FF0E">
      <w:numFmt w:val="bullet"/>
      <w:lvlText w:val="•"/>
      <w:lvlJc w:val="left"/>
      <w:pPr>
        <w:ind w:left="763" w:hanging="284"/>
      </w:pPr>
      <w:rPr>
        <w:rFonts w:hint="default"/>
        <w:lang w:val="en-US" w:eastAsia="en-US" w:bidi="ar-SA"/>
      </w:rPr>
    </w:lvl>
    <w:lvl w:ilvl="5" w:tplc="81A4D892">
      <w:numFmt w:val="bullet"/>
      <w:lvlText w:val="•"/>
      <w:lvlJc w:val="left"/>
      <w:pPr>
        <w:ind w:left="869" w:hanging="284"/>
      </w:pPr>
      <w:rPr>
        <w:rFonts w:hint="default"/>
        <w:lang w:val="en-US" w:eastAsia="en-US" w:bidi="ar-SA"/>
      </w:rPr>
    </w:lvl>
    <w:lvl w:ilvl="6" w:tplc="F9C6CAB6">
      <w:numFmt w:val="bullet"/>
      <w:lvlText w:val="•"/>
      <w:lvlJc w:val="left"/>
      <w:pPr>
        <w:ind w:left="974" w:hanging="284"/>
      </w:pPr>
      <w:rPr>
        <w:rFonts w:hint="default"/>
        <w:lang w:val="en-US" w:eastAsia="en-US" w:bidi="ar-SA"/>
      </w:rPr>
    </w:lvl>
    <w:lvl w:ilvl="7" w:tplc="2CEE2B90">
      <w:numFmt w:val="bullet"/>
      <w:lvlText w:val="•"/>
      <w:lvlJc w:val="left"/>
      <w:pPr>
        <w:ind w:left="1080" w:hanging="284"/>
      </w:pPr>
      <w:rPr>
        <w:rFonts w:hint="default"/>
        <w:lang w:val="en-US" w:eastAsia="en-US" w:bidi="ar-SA"/>
      </w:rPr>
    </w:lvl>
    <w:lvl w:ilvl="8" w:tplc="B0FADF26">
      <w:numFmt w:val="bullet"/>
      <w:lvlText w:val="•"/>
      <w:lvlJc w:val="left"/>
      <w:pPr>
        <w:ind w:left="1186" w:hanging="284"/>
      </w:pPr>
      <w:rPr>
        <w:rFonts w:hint="default"/>
        <w:lang w:val="en-US" w:eastAsia="en-US" w:bidi="ar-SA"/>
      </w:rPr>
    </w:lvl>
  </w:abstractNum>
  <w:abstractNum w:abstractNumId="336" w15:restartNumberingAfterBreak="0">
    <w:nsid w:val="53563F8A"/>
    <w:multiLevelType w:val="hybridMultilevel"/>
    <w:tmpl w:val="C130CAE8"/>
    <w:lvl w:ilvl="0" w:tplc="B0D2EED2">
      <w:numFmt w:val="bullet"/>
      <w:lvlText w:val=""/>
      <w:lvlJc w:val="left"/>
      <w:pPr>
        <w:ind w:left="433" w:hanging="284"/>
      </w:pPr>
      <w:rPr>
        <w:rFonts w:ascii="Symbol" w:eastAsia="Symbol" w:hAnsi="Symbol" w:cs="Symbol" w:hint="default"/>
        <w:b w:val="0"/>
        <w:bCs w:val="0"/>
        <w:i w:val="0"/>
        <w:iCs w:val="0"/>
        <w:color w:val="70004A"/>
        <w:spacing w:val="0"/>
        <w:w w:val="100"/>
        <w:sz w:val="18"/>
        <w:szCs w:val="18"/>
        <w:lang w:val="en-US" w:eastAsia="en-US" w:bidi="ar-SA"/>
      </w:rPr>
    </w:lvl>
    <w:lvl w:ilvl="1" w:tplc="AA56564E">
      <w:numFmt w:val="bullet"/>
      <w:lvlText w:val="•"/>
      <w:lvlJc w:val="left"/>
      <w:pPr>
        <w:ind w:left="611" w:hanging="284"/>
      </w:pPr>
      <w:rPr>
        <w:rFonts w:hint="default"/>
        <w:lang w:val="en-US" w:eastAsia="en-US" w:bidi="ar-SA"/>
      </w:rPr>
    </w:lvl>
    <w:lvl w:ilvl="2" w:tplc="6A0A9FD2">
      <w:numFmt w:val="bullet"/>
      <w:lvlText w:val="•"/>
      <w:lvlJc w:val="left"/>
      <w:pPr>
        <w:ind w:left="782" w:hanging="284"/>
      </w:pPr>
      <w:rPr>
        <w:rFonts w:hint="default"/>
        <w:lang w:val="en-US" w:eastAsia="en-US" w:bidi="ar-SA"/>
      </w:rPr>
    </w:lvl>
    <w:lvl w:ilvl="3" w:tplc="AB3CBC74">
      <w:numFmt w:val="bullet"/>
      <w:lvlText w:val="•"/>
      <w:lvlJc w:val="left"/>
      <w:pPr>
        <w:ind w:left="953" w:hanging="284"/>
      </w:pPr>
      <w:rPr>
        <w:rFonts w:hint="default"/>
        <w:lang w:val="en-US" w:eastAsia="en-US" w:bidi="ar-SA"/>
      </w:rPr>
    </w:lvl>
    <w:lvl w:ilvl="4" w:tplc="382A2A14">
      <w:numFmt w:val="bullet"/>
      <w:lvlText w:val="•"/>
      <w:lvlJc w:val="left"/>
      <w:pPr>
        <w:ind w:left="1124" w:hanging="284"/>
      </w:pPr>
      <w:rPr>
        <w:rFonts w:hint="default"/>
        <w:lang w:val="en-US" w:eastAsia="en-US" w:bidi="ar-SA"/>
      </w:rPr>
    </w:lvl>
    <w:lvl w:ilvl="5" w:tplc="C668FB2C">
      <w:numFmt w:val="bullet"/>
      <w:lvlText w:val="•"/>
      <w:lvlJc w:val="left"/>
      <w:pPr>
        <w:ind w:left="1296" w:hanging="284"/>
      </w:pPr>
      <w:rPr>
        <w:rFonts w:hint="default"/>
        <w:lang w:val="en-US" w:eastAsia="en-US" w:bidi="ar-SA"/>
      </w:rPr>
    </w:lvl>
    <w:lvl w:ilvl="6" w:tplc="8CE23BC8">
      <w:numFmt w:val="bullet"/>
      <w:lvlText w:val="•"/>
      <w:lvlJc w:val="left"/>
      <w:pPr>
        <w:ind w:left="1467" w:hanging="284"/>
      </w:pPr>
      <w:rPr>
        <w:rFonts w:hint="default"/>
        <w:lang w:val="en-US" w:eastAsia="en-US" w:bidi="ar-SA"/>
      </w:rPr>
    </w:lvl>
    <w:lvl w:ilvl="7" w:tplc="CD26E888">
      <w:numFmt w:val="bullet"/>
      <w:lvlText w:val="•"/>
      <w:lvlJc w:val="left"/>
      <w:pPr>
        <w:ind w:left="1638" w:hanging="284"/>
      </w:pPr>
      <w:rPr>
        <w:rFonts w:hint="default"/>
        <w:lang w:val="en-US" w:eastAsia="en-US" w:bidi="ar-SA"/>
      </w:rPr>
    </w:lvl>
    <w:lvl w:ilvl="8" w:tplc="698A2DFC">
      <w:numFmt w:val="bullet"/>
      <w:lvlText w:val="•"/>
      <w:lvlJc w:val="left"/>
      <w:pPr>
        <w:ind w:left="1809" w:hanging="284"/>
      </w:pPr>
      <w:rPr>
        <w:rFonts w:hint="default"/>
        <w:lang w:val="en-US" w:eastAsia="en-US" w:bidi="ar-SA"/>
      </w:rPr>
    </w:lvl>
  </w:abstractNum>
  <w:abstractNum w:abstractNumId="337" w15:restartNumberingAfterBreak="0">
    <w:nsid w:val="53646609"/>
    <w:multiLevelType w:val="hybridMultilevel"/>
    <w:tmpl w:val="484CF472"/>
    <w:lvl w:ilvl="0" w:tplc="573C31F0">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394C9BA2">
      <w:numFmt w:val="bullet"/>
      <w:lvlText w:val="•"/>
      <w:lvlJc w:val="left"/>
      <w:pPr>
        <w:ind w:left="653" w:hanging="284"/>
      </w:pPr>
      <w:rPr>
        <w:rFonts w:hint="default"/>
        <w:lang w:val="en-US" w:eastAsia="en-US" w:bidi="ar-SA"/>
      </w:rPr>
    </w:lvl>
    <w:lvl w:ilvl="2" w:tplc="4718CEF8">
      <w:numFmt w:val="bullet"/>
      <w:lvlText w:val="•"/>
      <w:lvlJc w:val="left"/>
      <w:pPr>
        <w:ind w:left="907" w:hanging="284"/>
      </w:pPr>
      <w:rPr>
        <w:rFonts w:hint="default"/>
        <w:lang w:val="en-US" w:eastAsia="en-US" w:bidi="ar-SA"/>
      </w:rPr>
    </w:lvl>
    <w:lvl w:ilvl="3" w:tplc="7B8C21AC">
      <w:numFmt w:val="bullet"/>
      <w:lvlText w:val="•"/>
      <w:lvlJc w:val="left"/>
      <w:pPr>
        <w:ind w:left="1161" w:hanging="284"/>
      </w:pPr>
      <w:rPr>
        <w:rFonts w:hint="default"/>
        <w:lang w:val="en-US" w:eastAsia="en-US" w:bidi="ar-SA"/>
      </w:rPr>
    </w:lvl>
    <w:lvl w:ilvl="4" w:tplc="3ABC8B76">
      <w:numFmt w:val="bullet"/>
      <w:lvlText w:val="•"/>
      <w:lvlJc w:val="left"/>
      <w:pPr>
        <w:ind w:left="1414" w:hanging="284"/>
      </w:pPr>
      <w:rPr>
        <w:rFonts w:hint="default"/>
        <w:lang w:val="en-US" w:eastAsia="en-US" w:bidi="ar-SA"/>
      </w:rPr>
    </w:lvl>
    <w:lvl w:ilvl="5" w:tplc="BBBC8AF4">
      <w:numFmt w:val="bullet"/>
      <w:lvlText w:val="•"/>
      <w:lvlJc w:val="left"/>
      <w:pPr>
        <w:ind w:left="1668" w:hanging="284"/>
      </w:pPr>
      <w:rPr>
        <w:rFonts w:hint="default"/>
        <w:lang w:val="en-US" w:eastAsia="en-US" w:bidi="ar-SA"/>
      </w:rPr>
    </w:lvl>
    <w:lvl w:ilvl="6" w:tplc="5134AF9C">
      <w:numFmt w:val="bullet"/>
      <w:lvlText w:val="•"/>
      <w:lvlJc w:val="left"/>
      <w:pPr>
        <w:ind w:left="1922" w:hanging="284"/>
      </w:pPr>
      <w:rPr>
        <w:rFonts w:hint="default"/>
        <w:lang w:val="en-US" w:eastAsia="en-US" w:bidi="ar-SA"/>
      </w:rPr>
    </w:lvl>
    <w:lvl w:ilvl="7" w:tplc="9B2EC41A">
      <w:numFmt w:val="bullet"/>
      <w:lvlText w:val="•"/>
      <w:lvlJc w:val="left"/>
      <w:pPr>
        <w:ind w:left="2175" w:hanging="284"/>
      </w:pPr>
      <w:rPr>
        <w:rFonts w:hint="default"/>
        <w:lang w:val="en-US" w:eastAsia="en-US" w:bidi="ar-SA"/>
      </w:rPr>
    </w:lvl>
    <w:lvl w:ilvl="8" w:tplc="BB9CEDA4">
      <w:numFmt w:val="bullet"/>
      <w:lvlText w:val="•"/>
      <w:lvlJc w:val="left"/>
      <w:pPr>
        <w:ind w:left="2429" w:hanging="284"/>
      </w:pPr>
      <w:rPr>
        <w:rFonts w:hint="default"/>
        <w:lang w:val="en-US" w:eastAsia="en-US" w:bidi="ar-SA"/>
      </w:rPr>
    </w:lvl>
  </w:abstractNum>
  <w:abstractNum w:abstractNumId="338" w15:restartNumberingAfterBreak="0">
    <w:nsid w:val="537C7EA3"/>
    <w:multiLevelType w:val="hybridMultilevel"/>
    <w:tmpl w:val="EF86684A"/>
    <w:lvl w:ilvl="0" w:tplc="305EFEE0">
      <w:start w:val="1"/>
      <w:numFmt w:val="lowerLetter"/>
      <w:lvlText w:val="%1."/>
      <w:lvlJc w:val="left"/>
      <w:pPr>
        <w:ind w:left="1351" w:hanging="425"/>
      </w:pPr>
      <w:rPr>
        <w:rFonts w:ascii="Arial" w:eastAsia="Arial" w:hAnsi="Arial" w:cs="Arial" w:hint="default"/>
        <w:b w:val="0"/>
        <w:bCs w:val="0"/>
        <w:i w:val="0"/>
        <w:iCs w:val="0"/>
        <w:color w:val="70004A"/>
        <w:spacing w:val="0"/>
        <w:w w:val="100"/>
        <w:sz w:val="20"/>
        <w:szCs w:val="20"/>
        <w:lang w:val="en-US" w:eastAsia="en-US" w:bidi="ar-SA"/>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9" w15:restartNumberingAfterBreak="0">
    <w:nsid w:val="53A7648D"/>
    <w:multiLevelType w:val="hybridMultilevel"/>
    <w:tmpl w:val="8DC66CA8"/>
    <w:lvl w:ilvl="0" w:tplc="09789520">
      <w:numFmt w:val="bullet"/>
      <w:lvlText w:val=""/>
      <w:lvlJc w:val="left"/>
      <w:pPr>
        <w:ind w:left="421" w:hanging="284"/>
      </w:pPr>
      <w:rPr>
        <w:rFonts w:ascii="Symbol" w:eastAsia="Symbol" w:hAnsi="Symbol" w:cs="Symbol" w:hint="default"/>
        <w:b w:val="0"/>
        <w:bCs w:val="0"/>
        <w:i w:val="0"/>
        <w:iCs w:val="0"/>
        <w:color w:val="70004A"/>
        <w:spacing w:val="0"/>
        <w:w w:val="100"/>
        <w:sz w:val="18"/>
        <w:szCs w:val="18"/>
        <w:lang w:val="en-US" w:eastAsia="en-US" w:bidi="ar-SA"/>
      </w:rPr>
    </w:lvl>
    <w:lvl w:ilvl="1" w:tplc="683C1C4E">
      <w:numFmt w:val="bullet"/>
      <w:lvlText w:val="•"/>
      <w:lvlJc w:val="left"/>
      <w:pPr>
        <w:ind w:left="750" w:hanging="284"/>
      </w:pPr>
      <w:rPr>
        <w:rFonts w:hint="default"/>
        <w:lang w:val="en-US" w:eastAsia="en-US" w:bidi="ar-SA"/>
      </w:rPr>
    </w:lvl>
    <w:lvl w:ilvl="2" w:tplc="5B96DF54">
      <w:numFmt w:val="bullet"/>
      <w:lvlText w:val="•"/>
      <w:lvlJc w:val="left"/>
      <w:pPr>
        <w:ind w:left="1080" w:hanging="284"/>
      </w:pPr>
      <w:rPr>
        <w:rFonts w:hint="default"/>
        <w:lang w:val="en-US" w:eastAsia="en-US" w:bidi="ar-SA"/>
      </w:rPr>
    </w:lvl>
    <w:lvl w:ilvl="3" w:tplc="3B6293A6">
      <w:numFmt w:val="bullet"/>
      <w:lvlText w:val="•"/>
      <w:lvlJc w:val="left"/>
      <w:pPr>
        <w:ind w:left="1411" w:hanging="284"/>
      </w:pPr>
      <w:rPr>
        <w:rFonts w:hint="default"/>
        <w:lang w:val="en-US" w:eastAsia="en-US" w:bidi="ar-SA"/>
      </w:rPr>
    </w:lvl>
    <w:lvl w:ilvl="4" w:tplc="F5AA3BF6">
      <w:numFmt w:val="bullet"/>
      <w:lvlText w:val="•"/>
      <w:lvlJc w:val="left"/>
      <w:pPr>
        <w:ind w:left="1741" w:hanging="284"/>
      </w:pPr>
      <w:rPr>
        <w:rFonts w:hint="default"/>
        <w:lang w:val="en-US" w:eastAsia="en-US" w:bidi="ar-SA"/>
      </w:rPr>
    </w:lvl>
    <w:lvl w:ilvl="5" w:tplc="D7D47D66">
      <w:numFmt w:val="bullet"/>
      <w:lvlText w:val="•"/>
      <w:lvlJc w:val="left"/>
      <w:pPr>
        <w:ind w:left="2072" w:hanging="284"/>
      </w:pPr>
      <w:rPr>
        <w:rFonts w:hint="default"/>
        <w:lang w:val="en-US" w:eastAsia="en-US" w:bidi="ar-SA"/>
      </w:rPr>
    </w:lvl>
    <w:lvl w:ilvl="6" w:tplc="137A6D8A">
      <w:numFmt w:val="bullet"/>
      <w:lvlText w:val="•"/>
      <w:lvlJc w:val="left"/>
      <w:pPr>
        <w:ind w:left="2402" w:hanging="284"/>
      </w:pPr>
      <w:rPr>
        <w:rFonts w:hint="default"/>
        <w:lang w:val="en-US" w:eastAsia="en-US" w:bidi="ar-SA"/>
      </w:rPr>
    </w:lvl>
    <w:lvl w:ilvl="7" w:tplc="B98A91D6">
      <w:numFmt w:val="bullet"/>
      <w:lvlText w:val="•"/>
      <w:lvlJc w:val="left"/>
      <w:pPr>
        <w:ind w:left="2732" w:hanging="284"/>
      </w:pPr>
      <w:rPr>
        <w:rFonts w:hint="default"/>
        <w:lang w:val="en-US" w:eastAsia="en-US" w:bidi="ar-SA"/>
      </w:rPr>
    </w:lvl>
    <w:lvl w:ilvl="8" w:tplc="29EEF3E2">
      <w:numFmt w:val="bullet"/>
      <w:lvlText w:val="•"/>
      <w:lvlJc w:val="left"/>
      <w:pPr>
        <w:ind w:left="3063" w:hanging="284"/>
      </w:pPr>
      <w:rPr>
        <w:rFonts w:hint="default"/>
        <w:lang w:val="en-US" w:eastAsia="en-US" w:bidi="ar-SA"/>
      </w:rPr>
    </w:lvl>
  </w:abstractNum>
  <w:abstractNum w:abstractNumId="340" w15:restartNumberingAfterBreak="0">
    <w:nsid w:val="54800C83"/>
    <w:multiLevelType w:val="hybridMultilevel"/>
    <w:tmpl w:val="4FB08932"/>
    <w:lvl w:ilvl="0" w:tplc="B090F396">
      <w:numFmt w:val="bullet"/>
      <w:lvlText w:val=""/>
      <w:lvlJc w:val="left"/>
      <w:pPr>
        <w:ind w:left="391" w:hanging="284"/>
      </w:pPr>
      <w:rPr>
        <w:rFonts w:ascii="Symbol" w:eastAsia="Symbol" w:hAnsi="Symbol" w:cs="Symbol" w:hint="default"/>
        <w:b w:val="0"/>
        <w:bCs w:val="0"/>
        <w:i w:val="0"/>
        <w:iCs w:val="0"/>
        <w:color w:val="70004A"/>
        <w:spacing w:val="0"/>
        <w:w w:val="100"/>
        <w:sz w:val="18"/>
        <w:szCs w:val="18"/>
        <w:lang w:val="en-US" w:eastAsia="en-US" w:bidi="ar-SA"/>
      </w:rPr>
    </w:lvl>
    <w:lvl w:ilvl="1" w:tplc="72DCE534">
      <w:numFmt w:val="bullet"/>
      <w:lvlText w:val="•"/>
      <w:lvlJc w:val="left"/>
      <w:pPr>
        <w:ind w:left="672" w:hanging="284"/>
      </w:pPr>
      <w:rPr>
        <w:rFonts w:hint="default"/>
        <w:lang w:val="en-US" w:eastAsia="en-US" w:bidi="ar-SA"/>
      </w:rPr>
    </w:lvl>
    <w:lvl w:ilvl="2" w:tplc="B818F2A4">
      <w:numFmt w:val="bullet"/>
      <w:lvlText w:val="•"/>
      <w:lvlJc w:val="left"/>
      <w:pPr>
        <w:ind w:left="944" w:hanging="284"/>
      </w:pPr>
      <w:rPr>
        <w:rFonts w:hint="default"/>
        <w:lang w:val="en-US" w:eastAsia="en-US" w:bidi="ar-SA"/>
      </w:rPr>
    </w:lvl>
    <w:lvl w:ilvl="3" w:tplc="1930A654">
      <w:numFmt w:val="bullet"/>
      <w:lvlText w:val="•"/>
      <w:lvlJc w:val="left"/>
      <w:pPr>
        <w:ind w:left="1216" w:hanging="284"/>
      </w:pPr>
      <w:rPr>
        <w:rFonts w:hint="default"/>
        <w:lang w:val="en-US" w:eastAsia="en-US" w:bidi="ar-SA"/>
      </w:rPr>
    </w:lvl>
    <w:lvl w:ilvl="4" w:tplc="892CF50A">
      <w:numFmt w:val="bullet"/>
      <w:lvlText w:val="•"/>
      <w:lvlJc w:val="left"/>
      <w:pPr>
        <w:ind w:left="1488" w:hanging="284"/>
      </w:pPr>
      <w:rPr>
        <w:rFonts w:hint="default"/>
        <w:lang w:val="en-US" w:eastAsia="en-US" w:bidi="ar-SA"/>
      </w:rPr>
    </w:lvl>
    <w:lvl w:ilvl="5" w:tplc="0180F396">
      <w:numFmt w:val="bullet"/>
      <w:lvlText w:val="•"/>
      <w:lvlJc w:val="left"/>
      <w:pPr>
        <w:ind w:left="1760" w:hanging="284"/>
      </w:pPr>
      <w:rPr>
        <w:rFonts w:hint="default"/>
        <w:lang w:val="en-US" w:eastAsia="en-US" w:bidi="ar-SA"/>
      </w:rPr>
    </w:lvl>
    <w:lvl w:ilvl="6" w:tplc="716E0840">
      <w:numFmt w:val="bullet"/>
      <w:lvlText w:val="•"/>
      <w:lvlJc w:val="left"/>
      <w:pPr>
        <w:ind w:left="2032" w:hanging="284"/>
      </w:pPr>
      <w:rPr>
        <w:rFonts w:hint="default"/>
        <w:lang w:val="en-US" w:eastAsia="en-US" w:bidi="ar-SA"/>
      </w:rPr>
    </w:lvl>
    <w:lvl w:ilvl="7" w:tplc="EE142EC0">
      <w:numFmt w:val="bullet"/>
      <w:lvlText w:val="•"/>
      <w:lvlJc w:val="left"/>
      <w:pPr>
        <w:ind w:left="2304" w:hanging="284"/>
      </w:pPr>
      <w:rPr>
        <w:rFonts w:hint="default"/>
        <w:lang w:val="en-US" w:eastAsia="en-US" w:bidi="ar-SA"/>
      </w:rPr>
    </w:lvl>
    <w:lvl w:ilvl="8" w:tplc="CB3084E4">
      <w:numFmt w:val="bullet"/>
      <w:lvlText w:val="•"/>
      <w:lvlJc w:val="left"/>
      <w:pPr>
        <w:ind w:left="2576" w:hanging="284"/>
      </w:pPr>
      <w:rPr>
        <w:rFonts w:hint="default"/>
        <w:lang w:val="en-US" w:eastAsia="en-US" w:bidi="ar-SA"/>
      </w:rPr>
    </w:lvl>
  </w:abstractNum>
  <w:abstractNum w:abstractNumId="341" w15:restartNumberingAfterBreak="0">
    <w:nsid w:val="548E16ED"/>
    <w:multiLevelType w:val="hybridMultilevel"/>
    <w:tmpl w:val="69D0CCD6"/>
    <w:lvl w:ilvl="0" w:tplc="EC727C80">
      <w:numFmt w:val="bullet"/>
      <w:lvlText w:val=""/>
      <w:lvlJc w:val="left"/>
      <w:pPr>
        <w:ind w:left="423" w:hanging="284"/>
      </w:pPr>
      <w:rPr>
        <w:rFonts w:ascii="Symbol" w:eastAsia="Symbol" w:hAnsi="Symbol" w:cs="Symbol" w:hint="default"/>
        <w:b w:val="0"/>
        <w:bCs w:val="0"/>
        <w:i w:val="0"/>
        <w:iCs w:val="0"/>
        <w:color w:val="70004A"/>
        <w:spacing w:val="0"/>
        <w:w w:val="100"/>
        <w:sz w:val="18"/>
        <w:szCs w:val="18"/>
        <w:lang w:val="en-US" w:eastAsia="en-US" w:bidi="ar-SA"/>
      </w:rPr>
    </w:lvl>
    <w:lvl w:ilvl="1" w:tplc="B9B6275A">
      <w:numFmt w:val="bullet"/>
      <w:lvlText w:val="•"/>
      <w:lvlJc w:val="left"/>
      <w:pPr>
        <w:ind w:left="584" w:hanging="284"/>
      </w:pPr>
      <w:rPr>
        <w:rFonts w:hint="default"/>
        <w:lang w:val="en-US" w:eastAsia="en-US" w:bidi="ar-SA"/>
      </w:rPr>
    </w:lvl>
    <w:lvl w:ilvl="2" w:tplc="0B262F34">
      <w:numFmt w:val="bullet"/>
      <w:lvlText w:val="•"/>
      <w:lvlJc w:val="left"/>
      <w:pPr>
        <w:ind w:left="748" w:hanging="284"/>
      </w:pPr>
      <w:rPr>
        <w:rFonts w:hint="default"/>
        <w:lang w:val="en-US" w:eastAsia="en-US" w:bidi="ar-SA"/>
      </w:rPr>
    </w:lvl>
    <w:lvl w:ilvl="3" w:tplc="53F2D5D4">
      <w:numFmt w:val="bullet"/>
      <w:lvlText w:val="•"/>
      <w:lvlJc w:val="left"/>
      <w:pPr>
        <w:ind w:left="912" w:hanging="284"/>
      </w:pPr>
      <w:rPr>
        <w:rFonts w:hint="default"/>
        <w:lang w:val="en-US" w:eastAsia="en-US" w:bidi="ar-SA"/>
      </w:rPr>
    </w:lvl>
    <w:lvl w:ilvl="4" w:tplc="C998529E">
      <w:numFmt w:val="bullet"/>
      <w:lvlText w:val="•"/>
      <w:lvlJc w:val="left"/>
      <w:pPr>
        <w:ind w:left="1076" w:hanging="284"/>
      </w:pPr>
      <w:rPr>
        <w:rFonts w:hint="default"/>
        <w:lang w:val="en-US" w:eastAsia="en-US" w:bidi="ar-SA"/>
      </w:rPr>
    </w:lvl>
    <w:lvl w:ilvl="5" w:tplc="085E373C">
      <w:numFmt w:val="bullet"/>
      <w:lvlText w:val="•"/>
      <w:lvlJc w:val="left"/>
      <w:pPr>
        <w:ind w:left="1240" w:hanging="284"/>
      </w:pPr>
      <w:rPr>
        <w:rFonts w:hint="default"/>
        <w:lang w:val="en-US" w:eastAsia="en-US" w:bidi="ar-SA"/>
      </w:rPr>
    </w:lvl>
    <w:lvl w:ilvl="6" w:tplc="4B380AF8">
      <w:numFmt w:val="bullet"/>
      <w:lvlText w:val="•"/>
      <w:lvlJc w:val="left"/>
      <w:pPr>
        <w:ind w:left="1404" w:hanging="284"/>
      </w:pPr>
      <w:rPr>
        <w:rFonts w:hint="default"/>
        <w:lang w:val="en-US" w:eastAsia="en-US" w:bidi="ar-SA"/>
      </w:rPr>
    </w:lvl>
    <w:lvl w:ilvl="7" w:tplc="202C9C6E">
      <w:numFmt w:val="bullet"/>
      <w:lvlText w:val="•"/>
      <w:lvlJc w:val="left"/>
      <w:pPr>
        <w:ind w:left="1568" w:hanging="284"/>
      </w:pPr>
      <w:rPr>
        <w:rFonts w:hint="default"/>
        <w:lang w:val="en-US" w:eastAsia="en-US" w:bidi="ar-SA"/>
      </w:rPr>
    </w:lvl>
    <w:lvl w:ilvl="8" w:tplc="C1E29218">
      <w:numFmt w:val="bullet"/>
      <w:lvlText w:val="•"/>
      <w:lvlJc w:val="left"/>
      <w:pPr>
        <w:ind w:left="1732" w:hanging="284"/>
      </w:pPr>
      <w:rPr>
        <w:rFonts w:hint="default"/>
        <w:lang w:val="en-US" w:eastAsia="en-US" w:bidi="ar-SA"/>
      </w:rPr>
    </w:lvl>
  </w:abstractNum>
  <w:abstractNum w:abstractNumId="342" w15:restartNumberingAfterBreak="0">
    <w:nsid w:val="54AF095C"/>
    <w:multiLevelType w:val="hybridMultilevel"/>
    <w:tmpl w:val="77C8CAEC"/>
    <w:lvl w:ilvl="0" w:tplc="4156D9AE">
      <w:numFmt w:val="bullet"/>
      <w:lvlText w:val=""/>
      <w:lvlJc w:val="left"/>
      <w:pPr>
        <w:ind w:left="391" w:hanging="284"/>
      </w:pPr>
      <w:rPr>
        <w:rFonts w:ascii="Symbol" w:eastAsia="Symbol" w:hAnsi="Symbol" w:cs="Symbol" w:hint="default"/>
        <w:b w:val="0"/>
        <w:bCs w:val="0"/>
        <w:i w:val="0"/>
        <w:iCs w:val="0"/>
        <w:color w:val="70004A"/>
        <w:spacing w:val="0"/>
        <w:w w:val="100"/>
        <w:sz w:val="18"/>
        <w:szCs w:val="18"/>
        <w:lang w:val="en-US" w:eastAsia="en-US" w:bidi="ar-SA"/>
      </w:rPr>
    </w:lvl>
    <w:lvl w:ilvl="1" w:tplc="7862E9DA">
      <w:numFmt w:val="bullet"/>
      <w:lvlText w:val="•"/>
      <w:lvlJc w:val="left"/>
      <w:pPr>
        <w:ind w:left="636" w:hanging="284"/>
      </w:pPr>
      <w:rPr>
        <w:rFonts w:hint="default"/>
        <w:lang w:val="en-US" w:eastAsia="en-US" w:bidi="ar-SA"/>
      </w:rPr>
    </w:lvl>
    <w:lvl w:ilvl="2" w:tplc="EA72B96E">
      <w:numFmt w:val="bullet"/>
      <w:lvlText w:val="•"/>
      <w:lvlJc w:val="left"/>
      <w:pPr>
        <w:ind w:left="872" w:hanging="284"/>
      </w:pPr>
      <w:rPr>
        <w:rFonts w:hint="default"/>
        <w:lang w:val="en-US" w:eastAsia="en-US" w:bidi="ar-SA"/>
      </w:rPr>
    </w:lvl>
    <w:lvl w:ilvl="3" w:tplc="49048D0A">
      <w:numFmt w:val="bullet"/>
      <w:lvlText w:val="•"/>
      <w:lvlJc w:val="left"/>
      <w:pPr>
        <w:ind w:left="1108" w:hanging="284"/>
      </w:pPr>
      <w:rPr>
        <w:rFonts w:hint="default"/>
        <w:lang w:val="en-US" w:eastAsia="en-US" w:bidi="ar-SA"/>
      </w:rPr>
    </w:lvl>
    <w:lvl w:ilvl="4" w:tplc="2D186C02">
      <w:numFmt w:val="bullet"/>
      <w:lvlText w:val="•"/>
      <w:lvlJc w:val="left"/>
      <w:pPr>
        <w:ind w:left="1344" w:hanging="284"/>
      </w:pPr>
      <w:rPr>
        <w:rFonts w:hint="default"/>
        <w:lang w:val="en-US" w:eastAsia="en-US" w:bidi="ar-SA"/>
      </w:rPr>
    </w:lvl>
    <w:lvl w:ilvl="5" w:tplc="0680D6C0">
      <w:numFmt w:val="bullet"/>
      <w:lvlText w:val="•"/>
      <w:lvlJc w:val="left"/>
      <w:pPr>
        <w:ind w:left="1580" w:hanging="284"/>
      </w:pPr>
      <w:rPr>
        <w:rFonts w:hint="default"/>
        <w:lang w:val="en-US" w:eastAsia="en-US" w:bidi="ar-SA"/>
      </w:rPr>
    </w:lvl>
    <w:lvl w:ilvl="6" w:tplc="1D7C8532">
      <w:numFmt w:val="bullet"/>
      <w:lvlText w:val="•"/>
      <w:lvlJc w:val="left"/>
      <w:pPr>
        <w:ind w:left="1816" w:hanging="284"/>
      </w:pPr>
      <w:rPr>
        <w:rFonts w:hint="default"/>
        <w:lang w:val="en-US" w:eastAsia="en-US" w:bidi="ar-SA"/>
      </w:rPr>
    </w:lvl>
    <w:lvl w:ilvl="7" w:tplc="63B481C4">
      <w:numFmt w:val="bullet"/>
      <w:lvlText w:val="•"/>
      <w:lvlJc w:val="left"/>
      <w:pPr>
        <w:ind w:left="2052" w:hanging="284"/>
      </w:pPr>
      <w:rPr>
        <w:rFonts w:hint="default"/>
        <w:lang w:val="en-US" w:eastAsia="en-US" w:bidi="ar-SA"/>
      </w:rPr>
    </w:lvl>
    <w:lvl w:ilvl="8" w:tplc="B3C07C9E">
      <w:numFmt w:val="bullet"/>
      <w:lvlText w:val="•"/>
      <w:lvlJc w:val="left"/>
      <w:pPr>
        <w:ind w:left="2288" w:hanging="284"/>
      </w:pPr>
      <w:rPr>
        <w:rFonts w:hint="default"/>
        <w:lang w:val="en-US" w:eastAsia="en-US" w:bidi="ar-SA"/>
      </w:rPr>
    </w:lvl>
  </w:abstractNum>
  <w:abstractNum w:abstractNumId="343" w15:restartNumberingAfterBreak="0">
    <w:nsid w:val="54BC6B27"/>
    <w:multiLevelType w:val="hybridMultilevel"/>
    <w:tmpl w:val="EE42F1C2"/>
    <w:lvl w:ilvl="0" w:tplc="2138D434">
      <w:numFmt w:val="bullet"/>
      <w:lvlText w:val=""/>
      <w:lvlJc w:val="left"/>
      <w:pPr>
        <w:ind w:left="430" w:hanging="284"/>
      </w:pPr>
      <w:rPr>
        <w:rFonts w:ascii="Symbol" w:eastAsia="Symbol" w:hAnsi="Symbol" w:cs="Symbol" w:hint="default"/>
        <w:b w:val="0"/>
        <w:bCs w:val="0"/>
        <w:i w:val="0"/>
        <w:iCs w:val="0"/>
        <w:color w:val="70004A"/>
        <w:spacing w:val="0"/>
        <w:w w:val="100"/>
        <w:sz w:val="18"/>
        <w:szCs w:val="18"/>
        <w:lang w:val="en-US" w:eastAsia="en-US" w:bidi="ar-SA"/>
      </w:rPr>
    </w:lvl>
    <w:lvl w:ilvl="1" w:tplc="84505B92">
      <w:numFmt w:val="bullet"/>
      <w:lvlText w:val="•"/>
      <w:lvlJc w:val="left"/>
      <w:pPr>
        <w:ind w:left="611" w:hanging="284"/>
      </w:pPr>
      <w:rPr>
        <w:rFonts w:hint="default"/>
        <w:lang w:val="en-US" w:eastAsia="en-US" w:bidi="ar-SA"/>
      </w:rPr>
    </w:lvl>
    <w:lvl w:ilvl="2" w:tplc="4D841D72">
      <w:numFmt w:val="bullet"/>
      <w:lvlText w:val="•"/>
      <w:lvlJc w:val="left"/>
      <w:pPr>
        <w:ind w:left="782" w:hanging="284"/>
      </w:pPr>
      <w:rPr>
        <w:rFonts w:hint="default"/>
        <w:lang w:val="en-US" w:eastAsia="en-US" w:bidi="ar-SA"/>
      </w:rPr>
    </w:lvl>
    <w:lvl w:ilvl="3" w:tplc="29807C3C">
      <w:numFmt w:val="bullet"/>
      <w:lvlText w:val="•"/>
      <w:lvlJc w:val="left"/>
      <w:pPr>
        <w:ind w:left="953" w:hanging="284"/>
      </w:pPr>
      <w:rPr>
        <w:rFonts w:hint="default"/>
        <w:lang w:val="en-US" w:eastAsia="en-US" w:bidi="ar-SA"/>
      </w:rPr>
    </w:lvl>
    <w:lvl w:ilvl="4" w:tplc="9D9E65A0">
      <w:numFmt w:val="bullet"/>
      <w:lvlText w:val="•"/>
      <w:lvlJc w:val="left"/>
      <w:pPr>
        <w:ind w:left="1124" w:hanging="284"/>
      </w:pPr>
      <w:rPr>
        <w:rFonts w:hint="default"/>
        <w:lang w:val="en-US" w:eastAsia="en-US" w:bidi="ar-SA"/>
      </w:rPr>
    </w:lvl>
    <w:lvl w:ilvl="5" w:tplc="18B65D20">
      <w:numFmt w:val="bullet"/>
      <w:lvlText w:val="•"/>
      <w:lvlJc w:val="left"/>
      <w:pPr>
        <w:ind w:left="1296" w:hanging="284"/>
      </w:pPr>
      <w:rPr>
        <w:rFonts w:hint="default"/>
        <w:lang w:val="en-US" w:eastAsia="en-US" w:bidi="ar-SA"/>
      </w:rPr>
    </w:lvl>
    <w:lvl w:ilvl="6" w:tplc="2E5E4060">
      <w:numFmt w:val="bullet"/>
      <w:lvlText w:val="•"/>
      <w:lvlJc w:val="left"/>
      <w:pPr>
        <w:ind w:left="1467" w:hanging="284"/>
      </w:pPr>
      <w:rPr>
        <w:rFonts w:hint="default"/>
        <w:lang w:val="en-US" w:eastAsia="en-US" w:bidi="ar-SA"/>
      </w:rPr>
    </w:lvl>
    <w:lvl w:ilvl="7" w:tplc="38906374">
      <w:numFmt w:val="bullet"/>
      <w:lvlText w:val="•"/>
      <w:lvlJc w:val="left"/>
      <w:pPr>
        <w:ind w:left="1638" w:hanging="284"/>
      </w:pPr>
      <w:rPr>
        <w:rFonts w:hint="default"/>
        <w:lang w:val="en-US" w:eastAsia="en-US" w:bidi="ar-SA"/>
      </w:rPr>
    </w:lvl>
    <w:lvl w:ilvl="8" w:tplc="C6A0A118">
      <w:numFmt w:val="bullet"/>
      <w:lvlText w:val="•"/>
      <w:lvlJc w:val="left"/>
      <w:pPr>
        <w:ind w:left="1809" w:hanging="284"/>
      </w:pPr>
      <w:rPr>
        <w:rFonts w:hint="default"/>
        <w:lang w:val="en-US" w:eastAsia="en-US" w:bidi="ar-SA"/>
      </w:rPr>
    </w:lvl>
  </w:abstractNum>
  <w:abstractNum w:abstractNumId="344" w15:restartNumberingAfterBreak="0">
    <w:nsid w:val="54D77F98"/>
    <w:multiLevelType w:val="hybridMultilevel"/>
    <w:tmpl w:val="7C402A00"/>
    <w:lvl w:ilvl="0" w:tplc="C9986858">
      <w:numFmt w:val="bullet"/>
      <w:lvlText w:val=""/>
      <w:lvlJc w:val="left"/>
      <w:pPr>
        <w:ind w:left="447" w:hanging="284"/>
      </w:pPr>
      <w:rPr>
        <w:rFonts w:ascii="Symbol" w:eastAsia="Symbol" w:hAnsi="Symbol" w:cs="Symbol" w:hint="default"/>
        <w:b w:val="0"/>
        <w:bCs w:val="0"/>
        <w:i w:val="0"/>
        <w:iCs w:val="0"/>
        <w:color w:val="70004A"/>
        <w:spacing w:val="0"/>
        <w:w w:val="100"/>
        <w:sz w:val="18"/>
        <w:szCs w:val="18"/>
        <w:lang w:val="en-US" w:eastAsia="en-US" w:bidi="ar-SA"/>
      </w:rPr>
    </w:lvl>
    <w:lvl w:ilvl="1" w:tplc="815AC6C2">
      <w:numFmt w:val="bullet"/>
      <w:lvlText w:val="•"/>
      <w:lvlJc w:val="left"/>
      <w:pPr>
        <w:ind w:left="603" w:hanging="284"/>
      </w:pPr>
      <w:rPr>
        <w:rFonts w:hint="default"/>
        <w:lang w:val="en-US" w:eastAsia="en-US" w:bidi="ar-SA"/>
      </w:rPr>
    </w:lvl>
    <w:lvl w:ilvl="2" w:tplc="B47EC12A">
      <w:numFmt w:val="bullet"/>
      <w:lvlText w:val="•"/>
      <w:lvlJc w:val="left"/>
      <w:pPr>
        <w:ind w:left="767" w:hanging="284"/>
      </w:pPr>
      <w:rPr>
        <w:rFonts w:hint="default"/>
        <w:lang w:val="en-US" w:eastAsia="en-US" w:bidi="ar-SA"/>
      </w:rPr>
    </w:lvl>
    <w:lvl w:ilvl="3" w:tplc="030E9F5A">
      <w:numFmt w:val="bullet"/>
      <w:lvlText w:val="•"/>
      <w:lvlJc w:val="left"/>
      <w:pPr>
        <w:ind w:left="931" w:hanging="284"/>
      </w:pPr>
      <w:rPr>
        <w:rFonts w:hint="default"/>
        <w:lang w:val="en-US" w:eastAsia="en-US" w:bidi="ar-SA"/>
      </w:rPr>
    </w:lvl>
    <w:lvl w:ilvl="4" w:tplc="B6DEE8A0">
      <w:numFmt w:val="bullet"/>
      <w:lvlText w:val="•"/>
      <w:lvlJc w:val="left"/>
      <w:pPr>
        <w:ind w:left="1095" w:hanging="284"/>
      </w:pPr>
      <w:rPr>
        <w:rFonts w:hint="default"/>
        <w:lang w:val="en-US" w:eastAsia="en-US" w:bidi="ar-SA"/>
      </w:rPr>
    </w:lvl>
    <w:lvl w:ilvl="5" w:tplc="F864D2DE">
      <w:numFmt w:val="bullet"/>
      <w:lvlText w:val="•"/>
      <w:lvlJc w:val="left"/>
      <w:pPr>
        <w:ind w:left="1259" w:hanging="284"/>
      </w:pPr>
      <w:rPr>
        <w:rFonts w:hint="default"/>
        <w:lang w:val="en-US" w:eastAsia="en-US" w:bidi="ar-SA"/>
      </w:rPr>
    </w:lvl>
    <w:lvl w:ilvl="6" w:tplc="2B9A23E8">
      <w:numFmt w:val="bullet"/>
      <w:lvlText w:val="•"/>
      <w:lvlJc w:val="left"/>
      <w:pPr>
        <w:ind w:left="1423" w:hanging="284"/>
      </w:pPr>
      <w:rPr>
        <w:rFonts w:hint="default"/>
        <w:lang w:val="en-US" w:eastAsia="en-US" w:bidi="ar-SA"/>
      </w:rPr>
    </w:lvl>
    <w:lvl w:ilvl="7" w:tplc="C932F6E4">
      <w:numFmt w:val="bullet"/>
      <w:lvlText w:val="•"/>
      <w:lvlJc w:val="left"/>
      <w:pPr>
        <w:ind w:left="1587" w:hanging="284"/>
      </w:pPr>
      <w:rPr>
        <w:rFonts w:hint="default"/>
        <w:lang w:val="en-US" w:eastAsia="en-US" w:bidi="ar-SA"/>
      </w:rPr>
    </w:lvl>
    <w:lvl w:ilvl="8" w:tplc="50229D62">
      <w:numFmt w:val="bullet"/>
      <w:lvlText w:val="•"/>
      <w:lvlJc w:val="left"/>
      <w:pPr>
        <w:ind w:left="1751" w:hanging="284"/>
      </w:pPr>
      <w:rPr>
        <w:rFonts w:hint="default"/>
        <w:lang w:val="en-US" w:eastAsia="en-US" w:bidi="ar-SA"/>
      </w:rPr>
    </w:lvl>
  </w:abstractNum>
  <w:abstractNum w:abstractNumId="345" w15:restartNumberingAfterBreak="0">
    <w:nsid w:val="54F3474F"/>
    <w:multiLevelType w:val="hybridMultilevel"/>
    <w:tmpl w:val="B63CBBAC"/>
    <w:lvl w:ilvl="0" w:tplc="5C6AD700">
      <w:numFmt w:val="bullet"/>
      <w:lvlText w:val=""/>
      <w:lvlJc w:val="left"/>
      <w:pPr>
        <w:ind w:left="514" w:hanging="284"/>
      </w:pPr>
      <w:rPr>
        <w:rFonts w:ascii="Symbol" w:eastAsia="Symbol" w:hAnsi="Symbol" w:cs="Symbol" w:hint="default"/>
        <w:b w:val="0"/>
        <w:bCs w:val="0"/>
        <w:i w:val="0"/>
        <w:iCs w:val="0"/>
        <w:color w:val="70004A"/>
        <w:spacing w:val="0"/>
        <w:w w:val="100"/>
        <w:sz w:val="18"/>
        <w:szCs w:val="18"/>
        <w:lang w:val="en-US" w:eastAsia="en-US" w:bidi="ar-SA"/>
      </w:rPr>
    </w:lvl>
    <w:lvl w:ilvl="1" w:tplc="DBF4AD66">
      <w:numFmt w:val="bullet"/>
      <w:lvlText w:val="•"/>
      <w:lvlJc w:val="left"/>
      <w:pPr>
        <w:ind w:left="805" w:hanging="284"/>
      </w:pPr>
      <w:rPr>
        <w:rFonts w:hint="default"/>
        <w:lang w:val="en-US" w:eastAsia="en-US" w:bidi="ar-SA"/>
      </w:rPr>
    </w:lvl>
    <w:lvl w:ilvl="2" w:tplc="B0821130">
      <w:numFmt w:val="bullet"/>
      <w:lvlText w:val="•"/>
      <w:lvlJc w:val="left"/>
      <w:pPr>
        <w:ind w:left="1090" w:hanging="284"/>
      </w:pPr>
      <w:rPr>
        <w:rFonts w:hint="default"/>
        <w:lang w:val="en-US" w:eastAsia="en-US" w:bidi="ar-SA"/>
      </w:rPr>
    </w:lvl>
    <w:lvl w:ilvl="3" w:tplc="D318C4CE">
      <w:numFmt w:val="bullet"/>
      <w:lvlText w:val="•"/>
      <w:lvlJc w:val="left"/>
      <w:pPr>
        <w:ind w:left="1375" w:hanging="284"/>
      </w:pPr>
      <w:rPr>
        <w:rFonts w:hint="default"/>
        <w:lang w:val="en-US" w:eastAsia="en-US" w:bidi="ar-SA"/>
      </w:rPr>
    </w:lvl>
    <w:lvl w:ilvl="4" w:tplc="BF303EC4">
      <w:numFmt w:val="bullet"/>
      <w:lvlText w:val="•"/>
      <w:lvlJc w:val="left"/>
      <w:pPr>
        <w:ind w:left="1660" w:hanging="284"/>
      </w:pPr>
      <w:rPr>
        <w:rFonts w:hint="default"/>
        <w:lang w:val="en-US" w:eastAsia="en-US" w:bidi="ar-SA"/>
      </w:rPr>
    </w:lvl>
    <w:lvl w:ilvl="5" w:tplc="5B38DCAA">
      <w:numFmt w:val="bullet"/>
      <w:lvlText w:val="•"/>
      <w:lvlJc w:val="left"/>
      <w:pPr>
        <w:ind w:left="1945" w:hanging="284"/>
      </w:pPr>
      <w:rPr>
        <w:rFonts w:hint="default"/>
        <w:lang w:val="en-US" w:eastAsia="en-US" w:bidi="ar-SA"/>
      </w:rPr>
    </w:lvl>
    <w:lvl w:ilvl="6" w:tplc="02E2F802">
      <w:numFmt w:val="bullet"/>
      <w:lvlText w:val="•"/>
      <w:lvlJc w:val="left"/>
      <w:pPr>
        <w:ind w:left="2230" w:hanging="284"/>
      </w:pPr>
      <w:rPr>
        <w:rFonts w:hint="default"/>
        <w:lang w:val="en-US" w:eastAsia="en-US" w:bidi="ar-SA"/>
      </w:rPr>
    </w:lvl>
    <w:lvl w:ilvl="7" w:tplc="E56C13AE">
      <w:numFmt w:val="bullet"/>
      <w:lvlText w:val="•"/>
      <w:lvlJc w:val="left"/>
      <w:pPr>
        <w:ind w:left="2515" w:hanging="284"/>
      </w:pPr>
      <w:rPr>
        <w:rFonts w:hint="default"/>
        <w:lang w:val="en-US" w:eastAsia="en-US" w:bidi="ar-SA"/>
      </w:rPr>
    </w:lvl>
    <w:lvl w:ilvl="8" w:tplc="3C96A082">
      <w:numFmt w:val="bullet"/>
      <w:lvlText w:val="•"/>
      <w:lvlJc w:val="left"/>
      <w:pPr>
        <w:ind w:left="2800" w:hanging="284"/>
      </w:pPr>
      <w:rPr>
        <w:rFonts w:hint="default"/>
        <w:lang w:val="en-US" w:eastAsia="en-US" w:bidi="ar-SA"/>
      </w:rPr>
    </w:lvl>
  </w:abstractNum>
  <w:abstractNum w:abstractNumId="346" w15:restartNumberingAfterBreak="0">
    <w:nsid w:val="55433FBF"/>
    <w:multiLevelType w:val="hybridMultilevel"/>
    <w:tmpl w:val="7700CEC4"/>
    <w:lvl w:ilvl="0" w:tplc="E7A41CDC">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67BE3958">
      <w:numFmt w:val="bullet"/>
      <w:lvlText w:val="•"/>
      <w:lvlJc w:val="left"/>
      <w:pPr>
        <w:ind w:left="636" w:hanging="284"/>
      </w:pPr>
      <w:rPr>
        <w:rFonts w:hint="default"/>
        <w:lang w:val="en-US" w:eastAsia="en-US" w:bidi="ar-SA"/>
      </w:rPr>
    </w:lvl>
    <w:lvl w:ilvl="2" w:tplc="596CE14C">
      <w:numFmt w:val="bullet"/>
      <w:lvlText w:val="•"/>
      <w:lvlJc w:val="left"/>
      <w:pPr>
        <w:ind w:left="872" w:hanging="284"/>
      </w:pPr>
      <w:rPr>
        <w:rFonts w:hint="default"/>
        <w:lang w:val="en-US" w:eastAsia="en-US" w:bidi="ar-SA"/>
      </w:rPr>
    </w:lvl>
    <w:lvl w:ilvl="3" w:tplc="A89E5392">
      <w:numFmt w:val="bullet"/>
      <w:lvlText w:val="•"/>
      <w:lvlJc w:val="left"/>
      <w:pPr>
        <w:ind w:left="1108" w:hanging="284"/>
      </w:pPr>
      <w:rPr>
        <w:rFonts w:hint="default"/>
        <w:lang w:val="en-US" w:eastAsia="en-US" w:bidi="ar-SA"/>
      </w:rPr>
    </w:lvl>
    <w:lvl w:ilvl="4" w:tplc="9934FC12">
      <w:numFmt w:val="bullet"/>
      <w:lvlText w:val="•"/>
      <w:lvlJc w:val="left"/>
      <w:pPr>
        <w:ind w:left="1344" w:hanging="284"/>
      </w:pPr>
      <w:rPr>
        <w:rFonts w:hint="default"/>
        <w:lang w:val="en-US" w:eastAsia="en-US" w:bidi="ar-SA"/>
      </w:rPr>
    </w:lvl>
    <w:lvl w:ilvl="5" w:tplc="E6F28968">
      <w:numFmt w:val="bullet"/>
      <w:lvlText w:val="•"/>
      <w:lvlJc w:val="left"/>
      <w:pPr>
        <w:ind w:left="1580" w:hanging="284"/>
      </w:pPr>
      <w:rPr>
        <w:rFonts w:hint="default"/>
        <w:lang w:val="en-US" w:eastAsia="en-US" w:bidi="ar-SA"/>
      </w:rPr>
    </w:lvl>
    <w:lvl w:ilvl="6" w:tplc="CD80427C">
      <w:numFmt w:val="bullet"/>
      <w:lvlText w:val="•"/>
      <w:lvlJc w:val="left"/>
      <w:pPr>
        <w:ind w:left="1816" w:hanging="284"/>
      </w:pPr>
      <w:rPr>
        <w:rFonts w:hint="default"/>
        <w:lang w:val="en-US" w:eastAsia="en-US" w:bidi="ar-SA"/>
      </w:rPr>
    </w:lvl>
    <w:lvl w:ilvl="7" w:tplc="0608BD6A">
      <w:numFmt w:val="bullet"/>
      <w:lvlText w:val="•"/>
      <w:lvlJc w:val="left"/>
      <w:pPr>
        <w:ind w:left="2052" w:hanging="284"/>
      </w:pPr>
      <w:rPr>
        <w:rFonts w:hint="default"/>
        <w:lang w:val="en-US" w:eastAsia="en-US" w:bidi="ar-SA"/>
      </w:rPr>
    </w:lvl>
    <w:lvl w:ilvl="8" w:tplc="3CF27D46">
      <w:numFmt w:val="bullet"/>
      <w:lvlText w:val="•"/>
      <w:lvlJc w:val="left"/>
      <w:pPr>
        <w:ind w:left="2288" w:hanging="284"/>
      </w:pPr>
      <w:rPr>
        <w:rFonts w:hint="default"/>
        <w:lang w:val="en-US" w:eastAsia="en-US" w:bidi="ar-SA"/>
      </w:rPr>
    </w:lvl>
  </w:abstractNum>
  <w:abstractNum w:abstractNumId="347" w15:restartNumberingAfterBreak="0">
    <w:nsid w:val="55876D56"/>
    <w:multiLevelType w:val="hybridMultilevel"/>
    <w:tmpl w:val="AA028B0E"/>
    <w:lvl w:ilvl="0" w:tplc="FED26B0E">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8DE4EBCE">
      <w:numFmt w:val="bullet"/>
      <w:lvlText w:val="•"/>
      <w:lvlJc w:val="left"/>
      <w:pPr>
        <w:ind w:left="641" w:hanging="284"/>
      </w:pPr>
      <w:rPr>
        <w:rFonts w:hint="default"/>
        <w:lang w:val="en-US" w:eastAsia="en-US" w:bidi="ar-SA"/>
      </w:rPr>
    </w:lvl>
    <w:lvl w:ilvl="2" w:tplc="ED044ED4">
      <w:numFmt w:val="bullet"/>
      <w:lvlText w:val="•"/>
      <w:lvlJc w:val="left"/>
      <w:pPr>
        <w:ind w:left="882" w:hanging="284"/>
      </w:pPr>
      <w:rPr>
        <w:rFonts w:hint="default"/>
        <w:lang w:val="en-US" w:eastAsia="en-US" w:bidi="ar-SA"/>
      </w:rPr>
    </w:lvl>
    <w:lvl w:ilvl="3" w:tplc="9154AC8C">
      <w:numFmt w:val="bullet"/>
      <w:lvlText w:val="•"/>
      <w:lvlJc w:val="left"/>
      <w:pPr>
        <w:ind w:left="1123" w:hanging="284"/>
      </w:pPr>
      <w:rPr>
        <w:rFonts w:hint="default"/>
        <w:lang w:val="en-US" w:eastAsia="en-US" w:bidi="ar-SA"/>
      </w:rPr>
    </w:lvl>
    <w:lvl w:ilvl="4" w:tplc="20EC7640">
      <w:numFmt w:val="bullet"/>
      <w:lvlText w:val="•"/>
      <w:lvlJc w:val="left"/>
      <w:pPr>
        <w:ind w:left="1365" w:hanging="284"/>
      </w:pPr>
      <w:rPr>
        <w:rFonts w:hint="default"/>
        <w:lang w:val="en-US" w:eastAsia="en-US" w:bidi="ar-SA"/>
      </w:rPr>
    </w:lvl>
    <w:lvl w:ilvl="5" w:tplc="F1F28A78">
      <w:numFmt w:val="bullet"/>
      <w:lvlText w:val="•"/>
      <w:lvlJc w:val="left"/>
      <w:pPr>
        <w:ind w:left="1606" w:hanging="284"/>
      </w:pPr>
      <w:rPr>
        <w:rFonts w:hint="default"/>
        <w:lang w:val="en-US" w:eastAsia="en-US" w:bidi="ar-SA"/>
      </w:rPr>
    </w:lvl>
    <w:lvl w:ilvl="6" w:tplc="A52AD6BC">
      <w:numFmt w:val="bullet"/>
      <w:lvlText w:val="•"/>
      <w:lvlJc w:val="left"/>
      <w:pPr>
        <w:ind w:left="1847" w:hanging="284"/>
      </w:pPr>
      <w:rPr>
        <w:rFonts w:hint="default"/>
        <w:lang w:val="en-US" w:eastAsia="en-US" w:bidi="ar-SA"/>
      </w:rPr>
    </w:lvl>
    <w:lvl w:ilvl="7" w:tplc="A0F2D42E">
      <w:numFmt w:val="bullet"/>
      <w:lvlText w:val="•"/>
      <w:lvlJc w:val="left"/>
      <w:pPr>
        <w:ind w:left="2089" w:hanging="284"/>
      </w:pPr>
      <w:rPr>
        <w:rFonts w:hint="default"/>
        <w:lang w:val="en-US" w:eastAsia="en-US" w:bidi="ar-SA"/>
      </w:rPr>
    </w:lvl>
    <w:lvl w:ilvl="8" w:tplc="9402A238">
      <w:numFmt w:val="bullet"/>
      <w:lvlText w:val="•"/>
      <w:lvlJc w:val="left"/>
      <w:pPr>
        <w:ind w:left="2330" w:hanging="284"/>
      </w:pPr>
      <w:rPr>
        <w:rFonts w:hint="default"/>
        <w:lang w:val="en-US" w:eastAsia="en-US" w:bidi="ar-SA"/>
      </w:rPr>
    </w:lvl>
  </w:abstractNum>
  <w:abstractNum w:abstractNumId="348" w15:restartNumberingAfterBreak="0">
    <w:nsid w:val="558A51F9"/>
    <w:multiLevelType w:val="hybridMultilevel"/>
    <w:tmpl w:val="F132CBCA"/>
    <w:lvl w:ilvl="0" w:tplc="962A6346">
      <w:numFmt w:val="bullet"/>
      <w:lvlText w:val=""/>
      <w:lvlJc w:val="left"/>
      <w:pPr>
        <w:ind w:left="460" w:hanging="284"/>
      </w:pPr>
      <w:rPr>
        <w:rFonts w:ascii="Symbol" w:eastAsia="Symbol" w:hAnsi="Symbol" w:cs="Symbol" w:hint="default"/>
        <w:b w:val="0"/>
        <w:bCs w:val="0"/>
        <w:i w:val="0"/>
        <w:iCs w:val="0"/>
        <w:color w:val="70004A"/>
        <w:spacing w:val="0"/>
        <w:w w:val="100"/>
        <w:sz w:val="18"/>
        <w:szCs w:val="18"/>
        <w:lang w:val="en-US" w:eastAsia="en-US" w:bidi="ar-SA"/>
      </w:rPr>
    </w:lvl>
    <w:lvl w:ilvl="1" w:tplc="0F0A602E">
      <w:numFmt w:val="bullet"/>
      <w:lvlText w:val="•"/>
      <w:lvlJc w:val="left"/>
      <w:pPr>
        <w:ind w:left="790" w:hanging="284"/>
      </w:pPr>
      <w:rPr>
        <w:rFonts w:hint="default"/>
        <w:lang w:val="en-US" w:eastAsia="en-US" w:bidi="ar-SA"/>
      </w:rPr>
    </w:lvl>
    <w:lvl w:ilvl="2" w:tplc="2F6CBE92">
      <w:numFmt w:val="bullet"/>
      <w:lvlText w:val="•"/>
      <w:lvlJc w:val="left"/>
      <w:pPr>
        <w:ind w:left="1120" w:hanging="284"/>
      </w:pPr>
      <w:rPr>
        <w:rFonts w:hint="default"/>
        <w:lang w:val="en-US" w:eastAsia="en-US" w:bidi="ar-SA"/>
      </w:rPr>
    </w:lvl>
    <w:lvl w:ilvl="3" w:tplc="77B24458">
      <w:numFmt w:val="bullet"/>
      <w:lvlText w:val="•"/>
      <w:lvlJc w:val="left"/>
      <w:pPr>
        <w:ind w:left="1450" w:hanging="284"/>
      </w:pPr>
      <w:rPr>
        <w:rFonts w:hint="default"/>
        <w:lang w:val="en-US" w:eastAsia="en-US" w:bidi="ar-SA"/>
      </w:rPr>
    </w:lvl>
    <w:lvl w:ilvl="4" w:tplc="3F24D964">
      <w:numFmt w:val="bullet"/>
      <w:lvlText w:val="•"/>
      <w:lvlJc w:val="left"/>
      <w:pPr>
        <w:ind w:left="1781" w:hanging="284"/>
      </w:pPr>
      <w:rPr>
        <w:rFonts w:hint="default"/>
        <w:lang w:val="en-US" w:eastAsia="en-US" w:bidi="ar-SA"/>
      </w:rPr>
    </w:lvl>
    <w:lvl w:ilvl="5" w:tplc="6480EA60">
      <w:numFmt w:val="bullet"/>
      <w:lvlText w:val="•"/>
      <w:lvlJc w:val="left"/>
      <w:pPr>
        <w:ind w:left="2111" w:hanging="284"/>
      </w:pPr>
      <w:rPr>
        <w:rFonts w:hint="default"/>
        <w:lang w:val="en-US" w:eastAsia="en-US" w:bidi="ar-SA"/>
      </w:rPr>
    </w:lvl>
    <w:lvl w:ilvl="6" w:tplc="E4B6BAB0">
      <w:numFmt w:val="bullet"/>
      <w:lvlText w:val="•"/>
      <w:lvlJc w:val="left"/>
      <w:pPr>
        <w:ind w:left="2441" w:hanging="284"/>
      </w:pPr>
      <w:rPr>
        <w:rFonts w:hint="default"/>
        <w:lang w:val="en-US" w:eastAsia="en-US" w:bidi="ar-SA"/>
      </w:rPr>
    </w:lvl>
    <w:lvl w:ilvl="7" w:tplc="A688512C">
      <w:numFmt w:val="bullet"/>
      <w:lvlText w:val="•"/>
      <w:lvlJc w:val="left"/>
      <w:pPr>
        <w:ind w:left="2772" w:hanging="284"/>
      </w:pPr>
      <w:rPr>
        <w:rFonts w:hint="default"/>
        <w:lang w:val="en-US" w:eastAsia="en-US" w:bidi="ar-SA"/>
      </w:rPr>
    </w:lvl>
    <w:lvl w:ilvl="8" w:tplc="692A0702">
      <w:numFmt w:val="bullet"/>
      <w:lvlText w:val="•"/>
      <w:lvlJc w:val="left"/>
      <w:pPr>
        <w:ind w:left="3102" w:hanging="284"/>
      </w:pPr>
      <w:rPr>
        <w:rFonts w:hint="default"/>
        <w:lang w:val="en-US" w:eastAsia="en-US" w:bidi="ar-SA"/>
      </w:rPr>
    </w:lvl>
  </w:abstractNum>
  <w:abstractNum w:abstractNumId="349" w15:restartNumberingAfterBreak="0">
    <w:nsid w:val="55A138C5"/>
    <w:multiLevelType w:val="hybridMultilevel"/>
    <w:tmpl w:val="4F74A93A"/>
    <w:lvl w:ilvl="0" w:tplc="A218055C">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164E14A8">
      <w:numFmt w:val="bullet"/>
      <w:lvlText w:val="•"/>
      <w:lvlJc w:val="left"/>
      <w:pPr>
        <w:ind w:left="629" w:hanging="284"/>
      </w:pPr>
      <w:rPr>
        <w:rFonts w:hint="default"/>
        <w:lang w:val="en-US" w:eastAsia="en-US" w:bidi="ar-SA"/>
      </w:rPr>
    </w:lvl>
    <w:lvl w:ilvl="2" w:tplc="D250FAD4">
      <w:numFmt w:val="bullet"/>
      <w:lvlText w:val="•"/>
      <w:lvlJc w:val="left"/>
      <w:pPr>
        <w:ind w:left="858" w:hanging="284"/>
      </w:pPr>
      <w:rPr>
        <w:rFonts w:hint="default"/>
        <w:lang w:val="en-US" w:eastAsia="en-US" w:bidi="ar-SA"/>
      </w:rPr>
    </w:lvl>
    <w:lvl w:ilvl="3" w:tplc="5B124370">
      <w:numFmt w:val="bullet"/>
      <w:lvlText w:val="•"/>
      <w:lvlJc w:val="left"/>
      <w:pPr>
        <w:ind w:left="1088" w:hanging="284"/>
      </w:pPr>
      <w:rPr>
        <w:rFonts w:hint="default"/>
        <w:lang w:val="en-US" w:eastAsia="en-US" w:bidi="ar-SA"/>
      </w:rPr>
    </w:lvl>
    <w:lvl w:ilvl="4" w:tplc="782491CE">
      <w:numFmt w:val="bullet"/>
      <w:lvlText w:val="•"/>
      <w:lvlJc w:val="left"/>
      <w:pPr>
        <w:ind w:left="1317" w:hanging="284"/>
      </w:pPr>
      <w:rPr>
        <w:rFonts w:hint="default"/>
        <w:lang w:val="en-US" w:eastAsia="en-US" w:bidi="ar-SA"/>
      </w:rPr>
    </w:lvl>
    <w:lvl w:ilvl="5" w:tplc="0794185E">
      <w:numFmt w:val="bullet"/>
      <w:lvlText w:val="•"/>
      <w:lvlJc w:val="left"/>
      <w:pPr>
        <w:ind w:left="1547" w:hanging="284"/>
      </w:pPr>
      <w:rPr>
        <w:rFonts w:hint="default"/>
        <w:lang w:val="en-US" w:eastAsia="en-US" w:bidi="ar-SA"/>
      </w:rPr>
    </w:lvl>
    <w:lvl w:ilvl="6" w:tplc="2D102B32">
      <w:numFmt w:val="bullet"/>
      <w:lvlText w:val="•"/>
      <w:lvlJc w:val="left"/>
      <w:pPr>
        <w:ind w:left="1776" w:hanging="284"/>
      </w:pPr>
      <w:rPr>
        <w:rFonts w:hint="default"/>
        <w:lang w:val="en-US" w:eastAsia="en-US" w:bidi="ar-SA"/>
      </w:rPr>
    </w:lvl>
    <w:lvl w:ilvl="7" w:tplc="99A016E6">
      <w:numFmt w:val="bullet"/>
      <w:lvlText w:val="•"/>
      <w:lvlJc w:val="left"/>
      <w:pPr>
        <w:ind w:left="2005" w:hanging="284"/>
      </w:pPr>
      <w:rPr>
        <w:rFonts w:hint="default"/>
        <w:lang w:val="en-US" w:eastAsia="en-US" w:bidi="ar-SA"/>
      </w:rPr>
    </w:lvl>
    <w:lvl w:ilvl="8" w:tplc="C57CCD6E">
      <w:numFmt w:val="bullet"/>
      <w:lvlText w:val="•"/>
      <w:lvlJc w:val="left"/>
      <w:pPr>
        <w:ind w:left="2235" w:hanging="284"/>
      </w:pPr>
      <w:rPr>
        <w:rFonts w:hint="default"/>
        <w:lang w:val="en-US" w:eastAsia="en-US" w:bidi="ar-SA"/>
      </w:rPr>
    </w:lvl>
  </w:abstractNum>
  <w:abstractNum w:abstractNumId="350" w15:restartNumberingAfterBreak="0">
    <w:nsid w:val="55FE26E6"/>
    <w:multiLevelType w:val="hybridMultilevel"/>
    <w:tmpl w:val="057226A0"/>
    <w:lvl w:ilvl="0" w:tplc="0B10CBB6">
      <w:numFmt w:val="bullet"/>
      <w:lvlText w:val=""/>
      <w:lvlJc w:val="left"/>
      <w:pPr>
        <w:ind w:left="501" w:hanging="284"/>
      </w:pPr>
      <w:rPr>
        <w:rFonts w:ascii="Symbol" w:eastAsia="Symbol" w:hAnsi="Symbol" w:cs="Symbol" w:hint="default"/>
        <w:b w:val="0"/>
        <w:bCs w:val="0"/>
        <w:i w:val="0"/>
        <w:iCs w:val="0"/>
        <w:color w:val="70004A"/>
        <w:spacing w:val="0"/>
        <w:w w:val="100"/>
        <w:sz w:val="18"/>
        <w:szCs w:val="18"/>
        <w:lang w:val="en-US" w:eastAsia="en-US" w:bidi="ar-SA"/>
      </w:rPr>
    </w:lvl>
    <w:lvl w:ilvl="1" w:tplc="94F29670">
      <w:numFmt w:val="bullet"/>
      <w:lvlText w:val="•"/>
      <w:lvlJc w:val="left"/>
      <w:pPr>
        <w:ind w:left="796" w:hanging="284"/>
      </w:pPr>
      <w:rPr>
        <w:rFonts w:hint="default"/>
        <w:lang w:val="en-US" w:eastAsia="en-US" w:bidi="ar-SA"/>
      </w:rPr>
    </w:lvl>
    <w:lvl w:ilvl="2" w:tplc="BB80B46C">
      <w:numFmt w:val="bullet"/>
      <w:lvlText w:val="•"/>
      <w:lvlJc w:val="left"/>
      <w:pPr>
        <w:ind w:left="1093" w:hanging="284"/>
      </w:pPr>
      <w:rPr>
        <w:rFonts w:hint="default"/>
        <w:lang w:val="en-US" w:eastAsia="en-US" w:bidi="ar-SA"/>
      </w:rPr>
    </w:lvl>
    <w:lvl w:ilvl="3" w:tplc="0C1CE8C4">
      <w:numFmt w:val="bullet"/>
      <w:lvlText w:val="•"/>
      <w:lvlJc w:val="left"/>
      <w:pPr>
        <w:ind w:left="1390" w:hanging="284"/>
      </w:pPr>
      <w:rPr>
        <w:rFonts w:hint="default"/>
        <w:lang w:val="en-US" w:eastAsia="en-US" w:bidi="ar-SA"/>
      </w:rPr>
    </w:lvl>
    <w:lvl w:ilvl="4" w:tplc="4D4EF9D6">
      <w:numFmt w:val="bullet"/>
      <w:lvlText w:val="•"/>
      <w:lvlJc w:val="left"/>
      <w:pPr>
        <w:ind w:left="1686" w:hanging="284"/>
      </w:pPr>
      <w:rPr>
        <w:rFonts w:hint="default"/>
        <w:lang w:val="en-US" w:eastAsia="en-US" w:bidi="ar-SA"/>
      </w:rPr>
    </w:lvl>
    <w:lvl w:ilvl="5" w:tplc="3B74374E">
      <w:numFmt w:val="bullet"/>
      <w:lvlText w:val="•"/>
      <w:lvlJc w:val="left"/>
      <w:pPr>
        <w:ind w:left="1983" w:hanging="284"/>
      </w:pPr>
      <w:rPr>
        <w:rFonts w:hint="default"/>
        <w:lang w:val="en-US" w:eastAsia="en-US" w:bidi="ar-SA"/>
      </w:rPr>
    </w:lvl>
    <w:lvl w:ilvl="6" w:tplc="1562B658">
      <w:numFmt w:val="bullet"/>
      <w:lvlText w:val="•"/>
      <w:lvlJc w:val="left"/>
      <w:pPr>
        <w:ind w:left="2280" w:hanging="284"/>
      </w:pPr>
      <w:rPr>
        <w:rFonts w:hint="default"/>
        <w:lang w:val="en-US" w:eastAsia="en-US" w:bidi="ar-SA"/>
      </w:rPr>
    </w:lvl>
    <w:lvl w:ilvl="7" w:tplc="F8EC015A">
      <w:numFmt w:val="bullet"/>
      <w:lvlText w:val="•"/>
      <w:lvlJc w:val="left"/>
      <w:pPr>
        <w:ind w:left="2576" w:hanging="284"/>
      </w:pPr>
      <w:rPr>
        <w:rFonts w:hint="default"/>
        <w:lang w:val="en-US" w:eastAsia="en-US" w:bidi="ar-SA"/>
      </w:rPr>
    </w:lvl>
    <w:lvl w:ilvl="8" w:tplc="512C5998">
      <w:numFmt w:val="bullet"/>
      <w:lvlText w:val="•"/>
      <w:lvlJc w:val="left"/>
      <w:pPr>
        <w:ind w:left="2873" w:hanging="284"/>
      </w:pPr>
      <w:rPr>
        <w:rFonts w:hint="default"/>
        <w:lang w:val="en-US" w:eastAsia="en-US" w:bidi="ar-SA"/>
      </w:rPr>
    </w:lvl>
  </w:abstractNum>
  <w:abstractNum w:abstractNumId="351" w15:restartNumberingAfterBreak="0">
    <w:nsid w:val="56107948"/>
    <w:multiLevelType w:val="hybridMultilevel"/>
    <w:tmpl w:val="1040AD36"/>
    <w:lvl w:ilvl="0" w:tplc="77BCEBA0">
      <w:numFmt w:val="bullet"/>
      <w:lvlText w:val=""/>
      <w:lvlJc w:val="left"/>
      <w:pPr>
        <w:ind w:left="360" w:hanging="284"/>
      </w:pPr>
      <w:rPr>
        <w:rFonts w:ascii="Symbol" w:eastAsia="Symbol" w:hAnsi="Symbol" w:cs="Symbol" w:hint="default"/>
        <w:b w:val="0"/>
        <w:bCs w:val="0"/>
        <w:i w:val="0"/>
        <w:iCs w:val="0"/>
        <w:color w:val="70004A"/>
        <w:spacing w:val="0"/>
        <w:w w:val="100"/>
        <w:sz w:val="18"/>
        <w:szCs w:val="18"/>
        <w:lang w:val="en-US" w:eastAsia="en-US" w:bidi="ar-SA"/>
      </w:rPr>
    </w:lvl>
    <w:lvl w:ilvl="1" w:tplc="217E4926">
      <w:numFmt w:val="bullet"/>
      <w:lvlText w:val="•"/>
      <w:lvlJc w:val="left"/>
      <w:pPr>
        <w:ind w:left="469" w:hanging="284"/>
      </w:pPr>
      <w:rPr>
        <w:rFonts w:hint="default"/>
        <w:lang w:val="en-US" w:eastAsia="en-US" w:bidi="ar-SA"/>
      </w:rPr>
    </w:lvl>
    <w:lvl w:ilvl="2" w:tplc="A4B8BABC">
      <w:numFmt w:val="bullet"/>
      <w:lvlText w:val="•"/>
      <w:lvlJc w:val="left"/>
      <w:pPr>
        <w:ind w:left="579" w:hanging="284"/>
      </w:pPr>
      <w:rPr>
        <w:rFonts w:hint="default"/>
        <w:lang w:val="en-US" w:eastAsia="en-US" w:bidi="ar-SA"/>
      </w:rPr>
    </w:lvl>
    <w:lvl w:ilvl="3" w:tplc="4A20FF62">
      <w:numFmt w:val="bullet"/>
      <w:lvlText w:val="•"/>
      <w:lvlJc w:val="left"/>
      <w:pPr>
        <w:ind w:left="689" w:hanging="284"/>
      </w:pPr>
      <w:rPr>
        <w:rFonts w:hint="default"/>
        <w:lang w:val="en-US" w:eastAsia="en-US" w:bidi="ar-SA"/>
      </w:rPr>
    </w:lvl>
    <w:lvl w:ilvl="4" w:tplc="FD3A6728">
      <w:numFmt w:val="bullet"/>
      <w:lvlText w:val="•"/>
      <w:lvlJc w:val="left"/>
      <w:pPr>
        <w:ind w:left="799" w:hanging="284"/>
      </w:pPr>
      <w:rPr>
        <w:rFonts w:hint="default"/>
        <w:lang w:val="en-US" w:eastAsia="en-US" w:bidi="ar-SA"/>
      </w:rPr>
    </w:lvl>
    <w:lvl w:ilvl="5" w:tplc="CF546F36">
      <w:numFmt w:val="bullet"/>
      <w:lvlText w:val="•"/>
      <w:lvlJc w:val="left"/>
      <w:pPr>
        <w:ind w:left="909" w:hanging="284"/>
      </w:pPr>
      <w:rPr>
        <w:rFonts w:hint="default"/>
        <w:lang w:val="en-US" w:eastAsia="en-US" w:bidi="ar-SA"/>
      </w:rPr>
    </w:lvl>
    <w:lvl w:ilvl="6" w:tplc="E5D6F0F6">
      <w:numFmt w:val="bullet"/>
      <w:lvlText w:val="•"/>
      <w:lvlJc w:val="left"/>
      <w:pPr>
        <w:ind w:left="1018" w:hanging="284"/>
      </w:pPr>
      <w:rPr>
        <w:rFonts w:hint="default"/>
        <w:lang w:val="en-US" w:eastAsia="en-US" w:bidi="ar-SA"/>
      </w:rPr>
    </w:lvl>
    <w:lvl w:ilvl="7" w:tplc="CC06BD9A">
      <w:numFmt w:val="bullet"/>
      <w:lvlText w:val="•"/>
      <w:lvlJc w:val="left"/>
      <w:pPr>
        <w:ind w:left="1128" w:hanging="284"/>
      </w:pPr>
      <w:rPr>
        <w:rFonts w:hint="default"/>
        <w:lang w:val="en-US" w:eastAsia="en-US" w:bidi="ar-SA"/>
      </w:rPr>
    </w:lvl>
    <w:lvl w:ilvl="8" w:tplc="61A8EDF4">
      <w:numFmt w:val="bullet"/>
      <w:lvlText w:val="•"/>
      <w:lvlJc w:val="left"/>
      <w:pPr>
        <w:ind w:left="1238" w:hanging="284"/>
      </w:pPr>
      <w:rPr>
        <w:rFonts w:hint="default"/>
        <w:lang w:val="en-US" w:eastAsia="en-US" w:bidi="ar-SA"/>
      </w:rPr>
    </w:lvl>
  </w:abstractNum>
  <w:abstractNum w:abstractNumId="352" w15:restartNumberingAfterBreak="0">
    <w:nsid w:val="56693480"/>
    <w:multiLevelType w:val="hybridMultilevel"/>
    <w:tmpl w:val="BD2CD94A"/>
    <w:lvl w:ilvl="0" w:tplc="9D74E078">
      <w:numFmt w:val="bullet"/>
      <w:lvlText w:val=""/>
      <w:lvlJc w:val="left"/>
      <w:pPr>
        <w:ind w:left="433" w:hanging="284"/>
      </w:pPr>
      <w:rPr>
        <w:rFonts w:ascii="Symbol" w:eastAsia="Symbol" w:hAnsi="Symbol" w:cs="Symbol" w:hint="default"/>
        <w:b w:val="0"/>
        <w:bCs w:val="0"/>
        <w:i w:val="0"/>
        <w:iCs w:val="0"/>
        <w:color w:val="70004A"/>
        <w:spacing w:val="0"/>
        <w:w w:val="100"/>
        <w:sz w:val="18"/>
        <w:szCs w:val="18"/>
        <w:lang w:val="en-US" w:eastAsia="en-US" w:bidi="ar-SA"/>
      </w:rPr>
    </w:lvl>
    <w:lvl w:ilvl="1" w:tplc="D9760816">
      <w:numFmt w:val="bullet"/>
      <w:lvlText w:val="•"/>
      <w:lvlJc w:val="left"/>
      <w:pPr>
        <w:ind w:left="632" w:hanging="284"/>
      </w:pPr>
      <w:rPr>
        <w:rFonts w:hint="default"/>
        <w:lang w:val="en-US" w:eastAsia="en-US" w:bidi="ar-SA"/>
      </w:rPr>
    </w:lvl>
    <w:lvl w:ilvl="2" w:tplc="B5E4A2DE">
      <w:numFmt w:val="bullet"/>
      <w:lvlText w:val="•"/>
      <w:lvlJc w:val="left"/>
      <w:pPr>
        <w:ind w:left="825" w:hanging="284"/>
      </w:pPr>
      <w:rPr>
        <w:rFonts w:hint="default"/>
        <w:lang w:val="en-US" w:eastAsia="en-US" w:bidi="ar-SA"/>
      </w:rPr>
    </w:lvl>
    <w:lvl w:ilvl="3" w:tplc="CFEE6B06">
      <w:numFmt w:val="bullet"/>
      <w:lvlText w:val="•"/>
      <w:lvlJc w:val="left"/>
      <w:pPr>
        <w:ind w:left="1017" w:hanging="284"/>
      </w:pPr>
      <w:rPr>
        <w:rFonts w:hint="default"/>
        <w:lang w:val="en-US" w:eastAsia="en-US" w:bidi="ar-SA"/>
      </w:rPr>
    </w:lvl>
    <w:lvl w:ilvl="4" w:tplc="51C0B77C">
      <w:numFmt w:val="bullet"/>
      <w:lvlText w:val="•"/>
      <w:lvlJc w:val="left"/>
      <w:pPr>
        <w:ind w:left="1210" w:hanging="284"/>
      </w:pPr>
      <w:rPr>
        <w:rFonts w:hint="default"/>
        <w:lang w:val="en-US" w:eastAsia="en-US" w:bidi="ar-SA"/>
      </w:rPr>
    </w:lvl>
    <w:lvl w:ilvl="5" w:tplc="BB58C4F6">
      <w:numFmt w:val="bullet"/>
      <w:lvlText w:val="•"/>
      <w:lvlJc w:val="left"/>
      <w:pPr>
        <w:ind w:left="1402" w:hanging="284"/>
      </w:pPr>
      <w:rPr>
        <w:rFonts w:hint="default"/>
        <w:lang w:val="en-US" w:eastAsia="en-US" w:bidi="ar-SA"/>
      </w:rPr>
    </w:lvl>
    <w:lvl w:ilvl="6" w:tplc="A2C280E2">
      <w:numFmt w:val="bullet"/>
      <w:lvlText w:val="•"/>
      <w:lvlJc w:val="left"/>
      <w:pPr>
        <w:ind w:left="1595" w:hanging="284"/>
      </w:pPr>
      <w:rPr>
        <w:rFonts w:hint="default"/>
        <w:lang w:val="en-US" w:eastAsia="en-US" w:bidi="ar-SA"/>
      </w:rPr>
    </w:lvl>
    <w:lvl w:ilvl="7" w:tplc="CCAC639E">
      <w:numFmt w:val="bullet"/>
      <w:lvlText w:val="•"/>
      <w:lvlJc w:val="left"/>
      <w:pPr>
        <w:ind w:left="1787" w:hanging="284"/>
      </w:pPr>
      <w:rPr>
        <w:rFonts w:hint="default"/>
        <w:lang w:val="en-US" w:eastAsia="en-US" w:bidi="ar-SA"/>
      </w:rPr>
    </w:lvl>
    <w:lvl w:ilvl="8" w:tplc="0EBA6D2E">
      <w:numFmt w:val="bullet"/>
      <w:lvlText w:val="•"/>
      <w:lvlJc w:val="left"/>
      <w:pPr>
        <w:ind w:left="1980" w:hanging="284"/>
      </w:pPr>
      <w:rPr>
        <w:rFonts w:hint="default"/>
        <w:lang w:val="en-US" w:eastAsia="en-US" w:bidi="ar-SA"/>
      </w:rPr>
    </w:lvl>
  </w:abstractNum>
  <w:abstractNum w:abstractNumId="353" w15:restartNumberingAfterBreak="0">
    <w:nsid w:val="56857829"/>
    <w:multiLevelType w:val="hybridMultilevel"/>
    <w:tmpl w:val="0D92FE02"/>
    <w:lvl w:ilvl="0" w:tplc="2C4E337E">
      <w:numFmt w:val="bullet"/>
      <w:lvlText w:val=""/>
      <w:lvlJc w:val="left"/>
      <w:pPr>
        <w:ind w:left="470" w:hanging="284"/>
      </w:pPr>
      <w:rPr>
        <w:rFonts w:ascii="Symbol" w:eastAsia="Symbol" w:hAnsi="Symbol" w:cs="Symbol" w:hint="default"/>
        <w:b w:val="0"/>
        <w:bCs w:val="0"/>
        <w:i w:val="0"/>
        <w:iCs w:val="0"/>
        <w:color w:val="70004A"/>
        <w:spacing w:val="0"/>
        <w:w w:val="100"/>
        <w:sz w:val="18"/>
        <w:szCs w:val="18"/>
        <w:lang w:val="en-US" w:eastAsia="en-US" w:bidi="ar-SA"/>
      </w:rPr>
    </w:lvl>
    <w:lvl w:ilvl="1" w:tplc="B72A6512">
      <w:numFmt w:val="bullet"/>
      <w:lvlText w:val="•"/>
      <w:lvlJc w:val="left"/>
      <w:pPr>
        <w:ind w:left="642" w:hanging="284"/>
      </w:pPr>
      <w:rPr>
        <w:rFonts w:hint="default"/>
        <w:lang w:val="en-US" w:eastAsia="en-US" w:bidi="ar-SA"/>
      </w:rPr>
    </w:lvl>
    <w:lvl w:ilvl="2" w:tplc="FA8429AE">
      <w:numFmt w:val="bullet"/>
      <w:lvlText w:val="•"/>
      <w:lvlJc w:val="left"/>
      <w:pPr>
        <w:ind w:left="804" w:hanging="284"/>
      </w:pPr>
      <w:rPr>
        <w:rFonts w:hint="default"/>
        <w:lang w:val="en-US" w:eastAsia="en-US" w:bidi="ar-SA"/>
      </w:rPr>
    </w:lvl>
    <w:lvl w:ilvl="3" w:tplc="84FAF11A">
      <w:numFmt w:val="bullet"/>
      <w:lvlText w:val="•"/>
      <w:lvlJc w:val="left"/>
      <w:pPr>
        <w:ind w:left="967" w:hanging="284"/>
      </w:pPr>
      <w:rPr>
        <w:rFonts w:hint="default"/>
        <w:lang w:val="en-US" w:eastAsia="en-US" w:bidi="ar-SA"/>
      </w:rPr>
    </w:lvl>
    <w:lvl w:ilvl="4" w:tplc="35F0A17A">
      <w:numFmt w:val="bullet"/>
      <w:lvlText w:val="•"/>
      <w:lvlJc w:val="left"/>
      <w:pPr>
        <w:ind w:left="1129" w:hanging="284"/>
      </w:pPr>
      <w:rPr>
        <w:rFonts w:hint="default"/>
        <w:lang w:val="en-US" w:eastAsia="en-US" w:bidi="ar-SA"/>
      </w:rPr>
    </w:lvl>
    <w:lvl w:ilvl="5" w:tplc="2D2A0272">
      <w:numFmt w:val="bullet"/>
      <w:lvlText w:val="•"/>
      <w:lvlJc w:val="left"/>
      <w:pPr>
        <w:ind w:left="1292" w:hanging="284"/>
      </w:pPr>
      <w:rPr>
        <w:rFonts w:hint="default"/>
        <w:lang w:val="en-US" w:eastAsia="en-US" w:bidi="ar-SA"/>
      </w:rPr>
    </w:lvl>
    <w:lvl w:ilvl="6" w:tplc="3936454E">
      <w:numFmt w:val="bullet"/>
      <w:lvlText w:val="•"/>
      <w:lvlJc w:val="left"/>
      <w:pPr>
        <w:ind w:left="1454" w:hanging="284"/>
      </w:pPr>
      <w:rPr>
        <w:rFonts w:hint="default"/>
        <w:lang w:val="en-US" w:eastAsia="en-US" w:bidi="ar-SA"/>
      </w:rPr>
    </w:lvl>
    <w:lvl w:ilvl="7" w:tplc="10AC00E8">
      <w:numFmt w:val="bullet"/>
      <w:lvlText w:val="•"/>
      <w:lvlJc w:val="left"/>
      <w:pPr>
        <w:ind w:left="1616" w:hanging="284"/>
      </w:pPr>
      <w:rPr>
        <w:rFonts w:hint="default"/>
        <w:lang w:val="en-US" w:eastAsia="en-US" w:bidi="ar-SA"/>
      </w:rPr>
    </w:lvl>
    <w:lvl w:ilvl="8" w:tplc="2CE6D3B6">
      <w:numFmt w:val="bullet"/>
      <w:lvlText w:val="•"/>
      <w:lvlJc w:val="left"/>
      <w:pPr>
        <w:ind w:left="1779" w:hanging="284"/>
      </w:pPr>
      <w:rPr>
        <w:rFonts w:hint="default"/>
        <w:lang w:val="en-US" w:eastAsia="en-US" w:bidi="ar-SA"/>
      </w:rPr>
    </w:lvl>
  </w:abstractNum>
  <w:abstractNum w:abstractNumId="354" w15:restartNumberingAfterBreak="0">
    <w:nsid w:val="5697312C"/>
    <w:multiLevelType w:val="hybridMultilevel"/>
    <w:tmpl w:val="4EC0A52C"/>
    <w:lvl w:ilvl="0" w:tplc="0B02AB3E">
      <w:numFmt w:val="bullet"/>
      <w:lvlText w:val=""/>
      <w:lvlJc w:val="left"/>
      <w:pPr>
        <w:ind w:left="425" w:hanging="284"/>
      </w:pPr>
      <w:rPr>
        <w:rFonts w:ascii="Symbol" w:eastAsia="Symbol" w:hAnsi="Symbol" w:cs="Symbol" w:hint="default"/>
        <w:b w:val="0"/>
        <w:bCs w:val="0"/>
        <w:i w:val="0"/>
        <w:iCs w:val="0"/>
        <w:color w:val="70004A"/>
        <w:spacing w:val="0"/>
        <w:w w:val="100"/>
        <w:sz w:val="18"/>
        <w:szCs w:val="18"/>
        <w:lang w:val="en-US" w:eastAsia="en-US" w:bidi="ar-SA"/>
      </w:rPr>
    </w:lvl>
    <w:lvl w:ilvl="1" w:tplc="E92A9FBE">
      <w:numFmt w:val="bullet"/>
      <w:lvlText w:val="•"/>
      <w:lvlJc w:val="left"/>
      <w:pPr>
        <w:ind w:left="588" w:hanging="284"/>
      </w:pPr>
      <w:rPr>
        <w:rFonts w:hint="default"/>
        <w:lang w:val="en-US" w:eastAsia="en-US" w:bidi="ar-SA"/>
      </w:rPr>
    </w:lvl>
    <w:lvl w:ilvl="2" w:tplc="D8CA5E0C">
      <w:numFmt w:val="bullet"/>
      <w:lvlText w:val="•"/>
      <w:lvlJc w:val="left"/>
      <w:pPr>
        <w:ind w:left="757" w:hanging="284"/>
      </w:pPr>
      <w:rPr>
        <w:rFonts w:hint="default"/>
        <w:lang w:val="en-US" w:eastAsia="en-US" w:bidi="ar-SA"/>
      </w:rPr>
    </w:lvl>
    <w:lvl w:ilvl="3" w:tplc="6E5C4922">
      <w:numFmt w:val="bullet"/>
      <w:lvlText w:val="•"/>
      <w:lvlJc w:val="left"/>
      <w:pPr>
        <w:ind w:left="926" w:hanging="284"/>
      </w:pPr>
      <w:rPr>
        <w:rFonts w:hint="default"/>
        <w:lang w:val="en-US" w:eastAsia="en-US" w:bidi="ar-SA"/>
      </w:rPr>
    </w:lvl>
    <w:lvl w:ilvl="4" w:tplc="0D2247C6">
      <w:numFmt w:val="bullet"/>
      <w:lvlText w:val="•"/>
      <w:lvlJc w:val="left"/>
      <w:pPr>
        <w:ind w:left="1095" w:hanging="284"/>
      </w:pPr>
      <w:rPr>
        <w:rFonts w:hint="default"/>
        <w:lang w:val="en-US" w:eastAsia="en-US" w:bidi="ar-SA"/>
      </w:rPr>
    </w:lvl>
    <w:lvl w:ilvl="5" w:tplc="CB228F30">
      <w:numFmt w:val="bullet"/>
      <w:lvlText w:val="•"/>
      <w:lvlJc w:val="left"/>
      <w:pPr>
        <w:ind w:left="1264" w:hanging="284"/>
      </w:pPr>
      <w:rPr>
        <w:rFonts w:hint="default"/>
        <w:lang w:val="en-US" w:eastAsia="en-US" w:bidi="ar-SA"/>
      </w:rPr>
    </w:lvl>
    <w:lvl w:ilvl="6" w:tplc="C8944FB2">
      <w:numFmt w:val="bullet"/>
      <w:lvlText w:val="•"/>
      <w:lvlJc w:val="left"/>
      <w:pPr>
        <w:ind w:left="1433" w:hanging="284"/>
      </w:pPr>
      <w:rPr>
        <w:rFonts w:hint="default"/>
        <w:lang w:val="en-US" w:eastAsia="en-US" w:bidi="ar-SA"/>
      </w:rPr>
    </w:lvl>
    <w:lvl w:ilvl="7" w:tplc="F146CD86">
      <w:numFmt w:val="bullet"/>
      <w:lvlText w:val="•"/>
      <w:lvlJc w:val="left"/>
      <w:pPr>
        <w:ind w:left="1602" w:hanging="284"/>
      </w:pPr>
      <w:rPr>
        <w:rFonts w:hint="default"/>
        <w:lang w:val="en-US" w:eastAsia="en-US" w:bidi="ar-SA"/>
      </w:rPr>
    </w:lvl>
    <w:lvl w:ilvl="8" w:tplc="2BF6CDE2">
      <w:numFmt w:val="bullet"/>
      <w:lvlText w:val="•"/>
      <w:lvlJc w:val="left"/>
      <w:pPr>
        <w:ind w:left="1771" w:hanging="284"/>
      </w:pPr>
      <w:rPr>
        <w:rFonts w:hint="default"/>
        <w:lang w:val="en-US" w:eastAsia="en-US" w:bidi="ar-SA"/>
      </w:rPr>
    </w:lvl>
  </w:abstractNum>
  <w:abstractNum w:abstractNumId="355" w15:restartNumberingAfterBreak="0">
    <w:nsid w:val="56C04788"/>
    <w:multiLevelType w:val="hybridMultilevel"/>
    <w:tmpl w:val="CE52AAE8"/>
    <w:lvl w:ilvl="0" w:tplc="312CB45E">
      <w:numFmt w:val="bullet"/>
      <w:lvlText w:val=""/>
      <w:lvlJc w:val="left"/>
      <w:pPr>
        <w:ind w:left="457" w:hanging="284"/>
      </w:pPr>
      <w:rPr>
        <w:rFonts w:ascii="Symbol" w:eastAsia="Symbol" w:hAnsi="Symbol" w:cs="Symbol" w:hint="default"/>
        <w:b w:val="0"/>
        <w:bCs w:val="0"/>
        <w:i w:val="0"/>
        <w:iCs w:val="0"/>
        <w:color w:val="70004A"/>
        <w:spacing w:val="0"/>
        <w:w w:val="100"/>
        <w:sz w:val="18"/>
        <w:szCs w:val="18"/>
        <w:lang w:val="en-US" w:eastAsia="en-US" w:bidi="ar-SA"/>
      </w:rPr>
    </w:lvl>
    <w:lvl w:ilvl="1" w:tplc="F4889244">
      <w:numFmt w:val="bullet"/>
      <w:lvlText w:val="•"/>
      <w:lvlJc w:val="left"/>
      <w:pPr>
        <w:ind w:left="741" w:hanging="284"/>
      </w:pPr>
      <w:rPr>
        <w:rFonts w:hint="default"/>
        <w:lang w:val="en-US" w:eastAsia="en-US" w:bidi="ar-SA"/>
      </w:rPr>
    </w:lvl>
    <w:lvl w:ilvl="2" w:tplc="BA9C6DD4">
      <w:numFmt w:val="bullet"/>
      <w:lvlText w:val="•"/>
      <w:lvlJc w:val="left"/>
      <w:pPr>
        <w:ind w:left="1023" w:hanging="284"/>
      </w:pPr>
      <w:rPr>
        <w:rFonts w:hint="default"/>
        <w:lang w:val="en-US" w:eastAsia="en-US" w:bidi="ar-SA"/>
      </w:rPr>
    </w:lvl>
    <w:lvl w:ilvl="3" w:tplc="C0BC7B80">
      <w:numFmt w:val="bullet"/>
      <w:lvlText w:val="•"/>
      <w:lvlJc w:val="left"/>
      <w:pPr>
        <w:ind w:left="1304" w:hanging="284"/>
      </w:pPr>
      <w:rPr>
        <w:rFonts w:hint="default"/>
        <w:lang w:val="en-US" w:eastAsia="en-US" w:bidi="ar-SA"/>
      </w:rPr>
    </w:lvl>
    <w:lvl w:ilvl="4" w:tplc="6F989892">
      <w:numFmt w:val="bullet"/>
      <w:lvlText w:val="•"/>
      <w:lvlJc w:val="left"/>
      <w:pPr>
        <w:ind w:left="1586" w:hanging="284"/>
      </w:pPr>
      <w:rPr>
        <w:rFonts w:hint="default"/>
        <w:lang w:val="en-US" w:eastAsia="en-US" w:bidi="ar-SA"/>
      </w:rPr>
    </w:lvl>
    <w:lvl w:ilvl="5" w:tplc="939EA5FE">
      <w:numFmt w:val="bullet"/>
      <w:lvlText w:val="•"/>
      <w:lvlJc w:val="left"/>
      <w:pPr>
        <w:ind w:left="1867" w:hanging="284"/>
      </w:pPr>
      <w:rPr>
        <w:rFonts w:hint="default"/>
        <w:lang w:val="en-US" w:eastAsia="en-US" w:bidi="ar-SA"/>
      </w:rPr>
    </w:lvl>
    <w:lvl w:ilvl="6" w:tplc="A70CEE3E">
      <w:numFmt w:val="bullet"/>
      <w:lvlText w:val="•"/>
      <w:lvlJc w:val="left"/>
      <w:pPr>
        <w:ind w:left="2149" w:hanging="284"/>
      </w:pPr>
      <w:rPr>
        <w:rFonts w:hint="default"/>
        <w:lang w:val="en-US" w:eastAsia="en-US" w:bidi="ar-SA"/>
      </w:rPr>
    </w:lvl>
    <w:lvl w:ilvl="7" w:tplc="7F0ECF70">
      <w:numFmt w:val="bullet"/>
      <w:lvlText w:val="•"/>
      <w:lvlJc w:val="left"/>
      <w:pPr>
        <w:ind w:left="2430" w:hanging="284"/>
      </w:pPr>
      <w:rPr>
        <w:rFonts w:hint="default"/>
        <w:lang w:val="en-US" w:eastAsia="en-US" w:bidi="ar-SA"/>
      </w:rPr>
    </w:lvl>
    <w:lvl w:ilvl="8" w:tplc="8E8C2A64">
      <w:numFmt w:val="bullet"/>
      <w:lvlText w:val="•"/>
      <w:lvlJc w:val="left"/>
      <w:pPr>
        <w:ind w:left="2712" w:hanging="284"/>
      </w:pPr>
      <w:rPr>
        <w:rFonts w:hint="default"/>
        <w:lang w:val="en-US" w:eastAsia="en-US" w:bidi="ar-SA"/>
      </w:rPr>
    </w:lvl>
  </w:abstractNum>
  <w:abstractNum w:abstractNumId="356" w15:restartNumberingAfterBreak="0">
    <w:nsid w:val="57094A71"/>
    <w:multiLevelType w:val="hybridMultilevel"/>
    <w:tmpl w:val="3648BF6C"/>
    <w:lvl w:ilvl="0" w:tplc="3620E624">
      <w:numFmt w:val="bullet"/>
      <w:lvlText w:val=""/>
      <w:lvlJc w:val="left"/>
      <w:pPr>
        <w:ind w:left="481" w:hanging="284"/>
      </w:pPr>
      <w:rPr>
        <w:rFonts w:ascii="Symbol" w:eastAsia="Symbol" w:hAnsi="Symbol" w:cs="Symbol" w:hint="default"/>
        <w:b w:val="0"/>
        <w:bCs w:val="0"/>
        <w:i w:val="0"/>
        <w:iCs w:val="0"/>
        <w:color w:val="70004A"/>
        <w:spacing w:val="0"/>
        <w:w w:val="100"/>
        <w:sz w:val="18"/>
        <w:szCs w:val="18"/>
        <w:lang w:val="en-US" w:eastAsia="en-US" w:bidi="ar-SA"/>
      </w:rPr>
    </w:lvl>
    <w:lvl w:ilvl="1" w:tplc="92043832">
      <w:numFmt w:val="bullet"/>
      <w:lvlText w:val="•"/>
      <w:lvlJc w:val="left"/>
      <w:pPr>
        <w:ind w:left="745" w:hanging="284"/>
      </w:pPr>
      <w:rPr>
        <w:rFonts w:hint="default"/>
        <w:lang w:val="en-US" w:eastAsia="en-US" w:bidi="ar-SA"/>
      </w:rPr>
    </w:lvl>
    <w:lvl w:ilvl="2" w:tplc="4DB449C0">
      <w:numFmt w:val="bullet"/>
      <w:lvlText w:val="•"/>
      <w:lvlJc w:val="left"/>
      <w:pPr>
        <w:ind w:left="1010" w:hanging="284"/>
      </w:pPr>
      <w:rPr>
        <w:rFonts w:hint="default"/>
        <w:lang w:val="en-US" w:eastAsia="en-US" w:bidi="ar-SA"/>
      </w:rPr>
    </w:lvl>
    <w:lvl w:ilvl="3" w:tplc="AB44C6C0">
      <w:numFmt w:val="bullet"/>
      <w:lvlText w:val="•"/>
      <w:lvlJc w:val="left"/>
      <w:pPr>
        <w:ind w:left="1275" w:hanging="284"/>
      </w:pPr>
      <w:rPr>
        <w:rFonts w:hint="default"/>
        <w:lang w:val="en-US" w:eastAsia="en-US" w:bidi="ar-SA"/>
      </w:rPr>
    </w:lvl>
    <w:lvl w:ilvl="4" w:tplc="3E1AEFAC">
      <w:numFmt w:val="bullet"/>
      <w:lvlText w:val="•"/>
      <w:lvlJc w:val="left"/>
      <w:pPr>
        <w:ind w:left="1540" w:hanging="284"/>
      </w:pPr>
      <w:rPr>
        <w:rFonts w:hint="default"/>
        <w:lang w:val="en-US" w:eastAsia="en-US" w:bidi="ar-SA"/>
      </w:rPr>
    </w:lvl>
    <w:lvl w:ilvl="5" w:tplc="5D44673A">
      <w:numFmt w:val="bullet"/>
      <w:lvlText w:val="•"/>
      <w:lvlJc w:val="left"/>
      <w:pPr>
        <w:ind w:left="1805" w:hanging="284"/>
      </w:pPr>
      <w:rPr>
        <w:rFonts w:hint="default"/>
        <w:lang w:val="en-US" w:eastAsia="en-US" w:bidi="ar-SA"/>
      </w:rPr>
    </w:lvl>
    <w:lvl w:ilvl="6" w:tplc="B720D37E">
      <w:numFmt w:val="bullet"/>
      <w:lvlText w:val="•"/>
      <w:lvlJc w:val="left"/>
      <w:pPr>
        <w:ind w:left="2070" w:hanging="284"/>
      </w:pPr>
      <w:rPr>
        <w:rFonts w:hint="default"/>
        <w:lang w:val="en-US" w:eastAsia="en-US" w:bidi="ar-SA"/>
      </w:rPr>
    </w:lvl>
    <w:lvl w:ilvl="7" w:tplc="09A2FD90">
      <w:numFmt w:val="bullet"/>
      <w:lvlText w:val="•"/>
      <w:lvlJc w:val="left"/>
      <w:pPr>
        <w:ind w:left="2335" w:hanging="284"/>
      </w:pPr>
      <w:rPr>
        <w:rFonts w:hint="default"/>
        <w:lang w:val="en-US" w:eastAsia="en-US" w:bidi="ar-SA"/>
      </w:rPr>
    </w:lvl>
    <w:lvl w:ilvl="8" w:tplc="2DFA5384">
      <w:numFmt w:val="bullet"/>
      <w:lvlText w:val="•"/>
      <w:lvlJc w:val="left"/>
      <w:pPr>
        <w:ind w:left="2600" w:hanging="284"/>
      </w:pPr>
      <w:rPr>
        <w:rFonts w:hint="default"/>
        <w:lang w:val="en-US" w:eastAsia="en-US" w:bidi="ar-SA"/>
      </w:rPr>
    </w:lvl>
  </w:abstractNum>
  <w:abstractNum w:abstractNumId="357" w15:restartNumberingAfterBreak="0">
    <w:nsid w:val="57324EAF"/>
    <w:multiLevelType w:val="hybridMultilevel"/>
    <w:tmpl w:val="B412A3C0"/>
    <w:lvl w:ilvl="0" w:tplc="75D4C978">
      <w:start w:val="1"/>
      <w:numFmt w:val="decimal"/>
      <w:lvlText w:val="%1."/>
      <w:lvlJc w:val="left"/>
      <w:pPr>
        <w:ind w:left="282" w:hanging="282"/>
      </w:pPr>
      <w:rPr>
        <w:rFonts w:hint="default"/>
        <w:spacing w:val="-1"/>
        <w:w w:val="100"/>
        <w:lang w:val="en-US" w:eastAsia="en-US" w:bidi="ar-SA"/>
      </w:rPr>
    </w:lvl>
    <w:lvl w:ilvl="1" w:tplc="99A6E952">
      <w:numFmt w:val="bullet"/>
      <w:lvlText w:val=""/>
      <w:lvlJc w:val="left"/>
      <w:pPr>
        <w:ind w:left="302" w:hanging="360"/>
      </w:pPr>
      <w:rPr>
        <w:rFonts w:ascii="Symbol" w:eastAsia="Symbol" w:hAnsi="Symbol" w:cs="Symbol" w:hint="default"/>
        <w:spacing w:val="0"/>
        <w:w w:val="100"/>
        <w:lang w:val="en-US" w:eastAsia="en-US" w:bidi="ar-SA"/>
      </w:rPr>
    </w:lvl>
    <w:lvl w:ilvl="2" w:tplc="B5C01092">
      <w:numFmt w:val="bullet"/>
      <w:lvlText w:val="•"/>
      <w:lvlJc w:val="left"/>
      <w:pPr>
        <w:ind w:left="661" w:hanging="360"/>
      </w:pPr>
      <w:rPr>
        <w:rFonts w:hint="default"/>
        <w:lang w:val="en-US" w:eastAsia="en-US" w:bidi="ar-SA"/>
      </w:rPr>
    </w:lvl>
    <w:lvl w:ilvl="3" w:tplc="F66E835E">
      <w:numFmt w:val="bullet"/>
      <w:lvlText w:val="•"/>
      <w:lvlJc w:val="left"/>
      <w:pPr>
        <w:ind w:left="1793" w:hanging="360"/>
      </w:pPr>
      <w:rPr>
        <w:rFonts w:hint="default"/>
        <w:lang w:val="en-US" w:eastAsia="en-US" w:bidi="ar-SA"/>
      </w:rPr>
    </w:lvl>
    <w:lvl w:ilvl="4" w:tplc="26144804">
      <w:numFmt w:val="bullet"/>
      <w:lvlText w:val="•"/>
      <w:lvlJc w:val="left"/>
      <w:pPr>
        <w:ind w:left="2926" w:hanging="360"/>
      </w:pPr>
      <w:rPr>
        <w:rFonts w:hint="default"/>
        <w:lang w:val="en-US" w:eastAsia="en-US" w:bidi="ar-SA"/>
      </w:rPr>
    </w:lvl>
    <w:lvl w:ilvl="5" w:tplc="50206BD4">
      <w:numFmt w:val="bullet"/>
      <w:lvlText w:val="•"/>
      <w:lvlJc w:val="left"/>
      <w:pPr>
        <w:ind w:left="4059" w:hanging="360"/>
      </w:pPr>
      <w:rPr>
        <w:rFonts w:hint="default"/>
        <w:lang w:val="en-US" w:eastAsia="en-US" w:bidi="ar-SA"/>
      </w:rPr>
    </w:lvl>
    <w:lvl w:ilvl="6" w:tplc="25128B54">
      <w:numFmt w:val="bullet"/>
      <w:lvlText w:val="•"/>
      <w:lvlJc w:val="left"/>
      <w:pPr>
        <w:ind w:left="5192" w:hanging="360"/>
      </w:pPr>
      <w:rPr>
        <w:rFonts w:hint="default"/>
        <w:lang w:val="en-US" w:eastAsia="en-US" w:bidi="ar-SA"/>
      </w:rPr>
    </w:lvl>
    <w:lvl w:ilvl="7" w:tplc="9BDCBE6C">
      <w:numFmt w:val="bullet"/>
      <w:lvlText w:val="•"/>
      <w:lvlJc w:val="left"/>
      <w:pPr>
        <w:ind w:left="6325" w:hanging="360"/>
      </w:pPr>
      <w:rPr>
        <w:rFonts w:hint="default"/>
        <w:lang w:val="en-US" w:eastAsia="en-US" w:bidi="ar-SA"/>
      </w:rPr>
    </w:lvl>
    <w:lvl w:ilvl="8" w:tplc="B3BCA6F4">
      <w:numFmt w:val="bullet"/>
      <w:lvlText w:val="•"/>
      <w:lvlJc w:val="left"/>
      <w:pPr>
        <w:ind w:left="7457" w:hanging="360"/>
      </w:pPr>
      <w:rPr>
        <w:rFonts w:hint="default"/>
        <w:lang w:val="en-US" w:eastAsia="en-US" w:bidi="ar-SA"/>
      </w:rPr>
    </w:lvl>
  </w:abstractNum>
  <w:abstractNum w:abstractNumId="358" w15:restartNumberingAfterBreak="0">
    <w:nsid w:val="575B050F"/>
    <w:multiLevelType w:val="hybridMultilevel"/>
    <w:tmpl w:val="67F46626"/>
    <w:lvl w:ilvl="0" w:tplc="314A4DCC">
      <w:numFmt w:val="bullet"/>
      <w:lvlText w:val=""/>
      <w:lvlJc w:val="left"/>
      <w:pPr>
        <w:ind w:left="488" w:hanging="284"/>
      </w:pPr>
      <w:rPr>
        <w:rFonts w:ascii="Symbol" w:eastAsia="Symbol" w:hAnsi="Symbol" w:cs="Symbol" w:hint="default"/>
        <w:b w:val="0"/>
        <w:bCs w:val="0"/>
        <w:i w:val="0"/>
        <w:iCs w:val="0"/>
        <w:color w:val="70004A"/>
        <w:spacing w:val="0"/>
        <w:w w:val="100"/>
        <w:sz w:val="18"/>
        <w:szCs w:val="18"/>
        <w:lang w:val="en-US" w:eastAsia="en-US" w:bidi="ar-SA"/>
      </w:rPr>
    </w:lvl>
    <w:lvl w:ilvl="1" w:tplc="F398CEAA">
      <w:numFmt w:val="bullet"/>
      <w:lvlText w:val="•"/>
      <w:lvlJc w:val="left"/>
      <w:pPr>
        <w:ind w:left="645" w:hanging="284"/>
      </w:pPr>
      <w:rPr>
        <w:rFonts w:hint="default"/>
        <w:lang w:val="en-US" w:eastAsia="en-US" w:bidi="ar-SA"/>
      </w:rPr>
    </w:lvl>
    <w:lvl w:ilvl="2" w:tplc="107A7086">
      <w:numFmt w:val="bullet"/>
      <w:lvlText w:val="•"/>
      <w:lvlJc w:val="left"/>
      <w:pPr>
        <w:ind w:left="810" w:hanging="284"/>
      </w:pPr>
      <w:rPr>
        <w:rFonts w:hint="default"/>
        <w:lang w:val="en-US" w:eastAsia="en-US" w:bidi="ar-SA"/>
      </w:rPr>
    </w:lvl>
    <w:lvl w:ilvl="3" w:tplc="21F87ADC">
      <w:numFmt w:val="bullet"/>
      <w:lvlText w:val="•"/>
      <w:lvlJc w:val="left"/>
      <w:pPr>
        <w:ind w:left="976" w:hanging="284"/>
      </w:pPr>
      <w:rPr>
        <w:rFonts w:hint="default"/>
        <w:lang w:val="en-US" w:eastAsia="en-US" w:bidi="ar-SA"/>
      </w:rPr>
    </w:lvl>
    <w:lvl w:ilvl="4" w:tplc="D4A2F282">
      <w:numFmt w:val="bullet"/>
      <w:lvlText w:val="•"/>
      <w:lvlJc w:val="left"/>
      <w:pPr>
        <w:ind w:left="1141" w:hanging="284"/>
      </w:pPr>
      <w:rPr>
        <w:rFonts w:hint="default"/>
        <w:lang w:val="en-US" w:eastAsia="en-US" w:bidi="ar-SA"/>
      </w:rPr>
    </w:lvl>
    <w:lvl w:ilvl="5" w:tplc="EA44E516">
      <w:numFmt w:val="bullet"/>
      <w:lvlText w:val="•"/>
      <w:lvlJc w:val="left"/>
      <w:pPr>
        <w:ind w:left="1307" w:hanging="284"/>
      </w:pPr>
      <w:rPr>
        <w:rFonts w:hint="default"/>
        <w:lang w:val="en-US" w:eastAsia="en-US" w:bidi="ar-SA"/>
      </w:rPr>
    </w:lvl>
    <w:lvl w:ilvl="6" w:tplc="2EA83BA8">
      <w:numFmt w:val="bullet"/>
      <w:lvlText w:val="•"/>
      <w:lvlJc w:val="left"/>
      <w:pPr>
        <w:ind w:left="1472" w:hanging="284"/>
      </w:pPr>
      <w:rPr>
        <w:rFonts w:hint="default"/>
        <w:lang w:val="en-US" w:eastAsia="en-US" w:bidi="ar-SA"/>
      </w:rPr>
    </w:lvl>
    <w:lvl w:ilvl="7" w:tplc="0B4011C0">
      <w:numFmt w:val="bullet"/>
      <w:lvlText w:val="•"/>
      <w:lvlJc w:val="left"/>
      <w:pPr>
        <w:ind w:left="1637" w:hanging="284"/>
      </w:pPr>
      <w:rPr>
        <w:rFonts w:hint="default"/>
        <w:lang w:val="en-US" w:eastAsia="en-US" w:bidi="ar-SA"/>
      </w:rPr>
    </w:lvl>
    <w:lvl w:ilvl="8" w:tplc="5CA0E3B4">
      <w:numFmt w:val="bullet"/>
      <w:lvlText w:val="•"/>
      <w:lvlJc w:val="left"/>
      <w:pPr>
        <w:ind w:left="1803" w:hanging="284"/>
      </w:pPr>
      <w:rPr>
        <w:rFonts w:hint="default"/>
        <w:lang w:val="en-US" w:eastAsia="en-US" w:bidi="ar-SA"/>
      </w:rPr>
    </w:lvl>
  </w:abstractNum>
  <w:abstractNum w:abstractNumId="359" w15:restartNumberingAfterBreak="0">
    <w:nsid w:val="5778603C"/>
    <w:multiLevelType w:val="hybridMultilevel"/>
    <w:tmpl w:val="2CC8616A"/>
    <w:lvl w:ilvl="0" w:tplc="B02E8868">
      <w:numFmt w:val="bullet"/>
      <w:lvlText w:val=""/>
      <w:lvlJc w:val="left"/>
      <w:pPr>
        <w:ind w:left="440" w:hanging="284"/>
      </w:pPr>
      <w:rPr>
        <w:rFonts w:ascii="Symbol" w:eastAsia="Symbol" w:hAnsi="Symbol" w:cs="Symbol" w:hint="default"/>
        <w:b w:val="0"/>
        <w:bCs w:val="0"/>
        <w:i w:val="0"/>
        <w:iCs w:val="0"/>
        <w:color w:val="70004A"/>
        <w:spacing w:val="0"/>
        <w:w w:val="100"/>
        <w:sz w:val="18"/>
        <w:szCs w:val="18"/>
        <w:lang w:val="en-US" w:eastAsia="en-US" w:bidi="ar-SA"/>
      </w:rPr>
    </w:lvl>
    <w:lvl w:ilvl="1" w:tplc="5FE89BD2">
      <w:numFmt w:val="bullet"/>
      <w:lvlText w:val="•"/>
      <w:lvlJc w:val="left"/>
      <w:pPr>
        <w:ind w:left="625" w:hanging="284"/>
      </w:pPr>
      <w:rPr>
        <w:rFonts w:hint="default"/>
        <w:lang w:val="en-US" w:eastAsia="en-US" w:bidi="ar-SA"/>
      </w:rPr>
    </w:lvl>
    <w:lvl w:ilvl="2" w:tplc="45D8FC44">
      <w:numFmt w:val="bullet"/>
      <w:lvlText w:val="•"/>
      <w:lvlJc w:val="left"/>
      <w:pPr>
        <w:ind w:left="811" w:hanging="284"/>
      </w:pPr>
      <w:rPr>
        <w:rFonts w:hint="default"/>
        <w:lang w:val="en-US" w:eastAsia="en-US" w:bidi="ar-SA"/>
      </w:rPr>
    </w:lvl>
    <w:lvl w:ilvl="3" w:tplc="6854DF56">
      <w:numFmt w:val="bullet"/>
      <w:lvlText w:val="•"/>
      <w:lvlJc w:val="left"/>
      <w:pPr>
        <w:ind w:left="997" w:hanging="284"/>
      </w:pPr>
      <w:rPr>
        <w:rFonts w:hint="default"/>
        <w:lang w:val="en-US" w:eastAsia="en-US" w:bidi="ar-SA"/>
      </w:rPr>
    </w:lvl>
    <w:lvl w:ilvl="4" w:tplc="7EE6BE92">
      <w:numFmt w:val="bullet"/>
      <w:lvlText w:val="•"/>
      <w:lvlJc w:val="left"/>
      <w:pPr>
        <w:ind w:left="1183" w:hanging="284"/>
      </w:pPr>
      <w:rPr>
        <w:rFonts w:hint="default"/>
        <w:lang w:val="en-US" w:eastAsia="en-US" w:bidi="ar-SA"/>
      </w:rPr>
    </w:lvl>
    <w:lvl w:ilvl="5" w:tplc="733C2978">
      <w:numFmt w:val="bullet"/>
      <w:lvlText w:val="•"/>
      <w:lvlJc w:val="left"/>
      <w:pPr>
        <w:ind w:left="1369" w:hanging="284"/>
      </w:pPr>
      <w:rPr>
        <w:rFonts w:hint="default"/>
        <w:lang w:val="en-US" w:eastAsia="en-US" w:bidi="ar-SA"/>
      </w:rPr>
    </w:lvl>
    <w:lvl w:ilvl="6" w:tplc="27B6E644">
      <w:numFmt w:val="bullet"/>
      <w:lvlText w:val="•"/>
      <w:lvlJc w:val="left"/>
      <w:pPr>
        <w:ind w:left="1554" w:hanging="284"/>
      </w:pPr>
      <w:rPr>
        <w:rFonts w:hint="default"/>
        <w:lang w:val="en-US" w:eastAsia="en-US" w:bidi="ar-SA"/>
      </w:rPr>
    </w:lvl>
    <w:lvl w:ilvl="7" w:tplc="82DC98BC">
      <w:numFmt w:val="bullet"/>
      <w:lvlText w:val="•"/>
      <w:lvlJc w:val="left"/>
      <w:pPr>
        <w:ind w:left="1740" w:hanging="284"/>
      </w:pPr>
      <w:rPr>
        <w:rFonts w:hint="default"/>
        <w:lang w:val="en-US" w:eastAsia="en-US" w:bidi="ar-SA"/>
      </w:rPr>
    </w:lvl>
    <w:lvl w:ilvl="8" w:tplc="037CEF0A">
      <w:numFmt w:val="bullet"/>
      <w:lvlText w:val="•"/>
      <w:lvlJc w:val="left"/>
      <w:pPr>
        <w:ind w:left="1926" w:hanging="284"/>
      </w:pPr>
      <w:rPr>
        <w:rFonts w:hint="default"/>
        <w:lang w:val="en-US" w:eastAsia="en-US" w:bidi="ar-SA"/>
      </w:rPr>
    </w:lvl>
  </w:abstractNum>
  <w:abstractNum w:abstractNumId="360" w15:restartNumberingAfterBreak="0">
    <w:nsid w:val="57EA7777"/>
    <w:multiLevelType w:val="hybridMultilevel"/>
    <w:tmpl w:val="DE4E14A0"/>
    <w:lvl w:ilvl="0" w:tplc="AE30FE1C">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108E9A50">
      <w:numFmt w:val="bullet"/>
      <w:lvlText w:val="•"/>
      <w:lvlJc w:val="left"/>
      <w:pPr>
        <w:ind w:left="624" w:hanging="284"/>
      </w:pPr>
      <w:rPr>
        <w:rFonts w:hint="default"/>
        <w:lang w:val="en-US" w:eastAsia="en-US" w:bidi="ar-SA"/>
      </w:rPr>
    </w:lvl>
    <w:lvl w:ilvl="2" w:tplc="5498DFF6">
      <w:numFmt w:val="bullet"/>
      <w:lvlText w:val="•"/>
      <w:lvlJc w:val="left"/>
      <w:pPr>
        <w:ind w:left="868" w:hanging="284"/>
      </w:pPr>
      <w:rPr>
        <w:rFonts w:hint="default"/>
        <w:lang w:val="en-US" w:eastAsia="en-US" w:bidi="ar-SA"/>
      </w:rPr>
    </w:lvl>
    <w:lvl w:ilvl="3" w:tplc="A3B837CC">
      <w:numFmt w:val="bullet"/>
      <w:lvlText w:val="•"/>
      <w:lvlJc w:val="left"/>
      <w:pPr>
        <w:ind w:left="1112" w:hanging="284"/>
      </w:pPr>
      <w:rPr>
        <w:rFonts w:hint="default"/>
        <w:lang w:val="en-US" w:eastAsia="en-US" w:bidi="ar-SA"/>
      </w:rPr>
    </w:lvl>
    <w:lvl w:ilvl="4" w:tplc="0EE8250E">
      <w:numFmt w:val="bullet"/>
      <w:lvlText w:val="•"/>
      <w:lvlJc w:val="left"/>
      <w:pPr>
        <w:ind w:left="1356" w:hanging="284"/>
      </w:pPr>
      <w:rPr>
        <w:rFonts w:hint="default"/>
        <w:lang w:val="en-US" w:eastAsia="en-US" w:bidi="ar-SA"/>
      </w:rPr>
    </w:lvl>
    <w:lvl w:ilvl="5" w:tplc="14E4EFA0">
      <w:numFmt w:val="bullet"/>
      <w:lvlText w:val="•"/>
      <w:lvlJc w:val="left"/>
      <w:pPr>
        <w:ind w:left="1600" w:hanging="284"/>
      </w:pPr>
      <w:rPr>
        <w:rFonts w:hint="default"/>
        <w:lang w:val="en-US" w:eastAsia="en-US" w:bidi="ar-SA"/>
      </w:rPr>
    </w:lvl>
    <w:lvl w:ilvl="6" w:tplc="7B62C7FE">
      <w:numFmt w:val="bullet"/>
      <w:lvlText w:val="•"/>
      <w:lvlJc w:val="left"/>
      <w:pPr>
        <w:ind w:left="1844" w:hanging="284"/>
      </w:pPr>
      <w:rPr>
        <w:rFonts w:hint="default"/>
        <w:lang w:val="en-US" w:eastAsia="en-US" w:bidi="ar-SA"/>
      </w:rPr>
    </w:lvl>
    <w:lvl w:ilvl="7" w:tplc="F34EB3BA">
      <w:numFmt w:val="bullet"/>
      <w:lvlText w:val="•"/>
      <w:lvlJc w:val="left"/>
      <w:pPr>
        <w:ind w:left="2088" w:hanging="284"/>
      </w:pPr>
      <w:rPr>
        <w:rFonts w:hint="default"/>
        <w:lang w:val="en-US" w:eastAsia="en-US" w:bidi="ar-SA"/>
      </w:rPr>
    </w:lvl>
    <w:lvl w:ilvl="8" w:tplc="856E6C64">
      <w:numFmt w:val="bullet"/>
      <w:lvlText w:val="•"/>
      <w:lvlJc w:val="left"/>
      <w:pPr>
        <w:ind w:left="2332" w:hanging="284"/>
      </w:pPr>
      <w:rPr>
        <w:rFonts w:hint="default"/>
        <w:lang w:val="en-US" w:eastAsia="en-US" w:bidi="ar-SA"/>
      </w:rPr>
    </w:lvl>
  </w:abstractNum>
  <w:abstractNum w:abstractNumId="361" w15:restartNumberingAfterBreak="0">
    <w:nsid w:val="57F35695"/>
    <w:multiLevelType w:val="hybridMultilevel"/>
    <w:tmpl w:val="C31CA670"/>
    <w:lvl w:ilvl="0" w:tplc="9B2EBCC0">
      <w:numFmt w:val="bullet"/>
      <w:lvlText w:val=""/>
      <w:lvlJc w:val="left"/>
      <w:pPr>
        <w:ind w:left="459" w:hanging="284"/>
      </w:pPr>
      <w:rPr>
        <w:rFonts w:ascii="Symbol" w:eastAsia="Symbol" w:hAnsi="Symbol" w:cs="Symbol" w:hint="default"/>
        <w:b w:val="0"/>
        <w:bCs w:val="0"/>
        <w:i w:val="0"/>
        <w:iCs w:val="0"/>
        <w:color w:val="70004A"/>
        <w:spacing w:val="0"/>
        <w:w w:val="100"/>
        <w:sz w:val="18"/>
        <w:szCs w:val="18"/>
        <w:lang w:val="en-US" w:eastAsia="en-US" w:bidi="ar-SA"/>
      </w:rPr>
    </w:lvl>
    <w:lvl w:ilvl="1" w:tplc="CCF43EFA">
      <w:numFmt w:val="bullet"/>
      <w:lvlText w:val="•"/>
      <w:lvlJc w:val="left"/>
      <w:pPr>
        <w:ind w:left="680" w:hanging="284"/>
      </w:pPr>
      <w:rPr>
        <w:rFonts w:hint="default"/>
        <w:lang w:val="en-US" w:eastAsia="en-US" w:bidi="ar-SA"/>
      </w:rPr>
    </w:lvl>
    <w:lvl w:ilvl="2" w:tplc="89AAC63C">
      <w:numFmt w:val="bullet"/>
      <w:lvlText w:val="•"/>
      <w:lvlJc w:val="left"/>
      <w:pPr>
        <w:ind w:left="901" w:hanging="284"/>
      </w:pPr>
      <w:rPr>
        <w:rFonts w:hint="default"/>
        <w:lang w:val="en-US" w:eastAsia="en-US" w:bidi="ar-SA"/>
      </w:rPr>
    </w:lvl>
    <w:lvl w:ilvl="3" w:tplc="7C844BCE">
      <w:numFmt w:val="bullet"/>
      <w:lvlText w:val="•"/>
      <w:lvlJc w:val="left"/>
      <w:pPr>
        <w:ind w:left="1121" w:hanging="284"/>
      </w:pPr>
      <w:rPr>
        <w:rFonts w:hint="default"/>
        <w:lang w:val="en-US" w:eastAsia="en-US" w:bidi="ar-SA"/>
      </w:rPr>
    </w:lvl>
    <w:lvl w:ilvl="4" w:tplc="AF26F472">
      <w:numFmt w:val="bullet"/>
      <w:lvlText w:val="•"/>
      <w:lvlJc w:val="left"/>
      <w:pPr>
        <w:ind w:left="1342" w:hanging="284"/>
      </w:pPr>
      <w:rPr>
        <w:rFonts w:hint="default"/>
        <w:lang w:val="en-US" w:eastAsia="en-US" w:bidi="ar-SA"/>
      </w:rPr>
    </w:lvl>
    <w:lvl w:ilvl="5" w:tplc="633C4D76">
      <w:numFmt w:val="bullet"/>
      <w:lvlText w:val="•"/>
      <w:lvlJc w:val="left"/>
      <w:pPr>
        <w:ind w:left="1562" w:hanging="284"/>
      </w:pPr>
      <w:rPr>
        <w:rFonts w:hint="default"/>
        <w:lang w:val="en-US" w:eastAsia="en-US" w:bidi="ar-SA"/>
      </w:rPr>
    </w:lvl>
    <w:lvl w:ilvl="6" w:tplc="18DC3192">
      <w:numFmt w:val="bullet"/>
      <w:lvlText w:val="•"/>
      <w:lvlJc w:val="left"/>
      <w:pPr>
        <w:ind w:left="1783" w:hanging="284"/>
      </w:pPr>
      <w:rPr>
        <w:rFonts w:hint="default"/>
        <w:lang w:val="en-US" w:eastAsia="en-US" w:bidi="ar-SA"/>
      </w:rPr>
    </w:lvl>
    <w:lvl w:ilvl="7" w:tplc="0966F604">
      <w:numFmt w:val="bullet"/>
      <w:lvlText w:val="•"/>
      <w:lvlJc w:val="left"/>
      <w:pPr>
        <w:ind w:left="2003" w:hanging="284"/>
      </w:pPr>
      <w:rPr>
        <w:rFonts w:hint="default"/>
        <w:lang w:val="en-US" w:eastAsia="en-US" w:bidi="ar-SA"/>
      </w:rPr>
    </w:lvl>
    <w:lvl w:ilvl="8" w:tplc="81844824">
      <w:numFmt w:val="bullet"/>
      <w:lvlText w:val="•"/>
      <w:lvlJc w:val="left"/>
      <w:pPr>
        <w:ind w:left="2224" w:hanging="284"/>
      </w:pPr>
      <w:rPr>
        <w:rFonts w:hint="default"/>
        <w:lang w:val="en-US" w:eastAsia="en-US" w:bidi="ar-SA"/>
      </w:rPr>
    </w:lvl>
  </w:abstractNum>
  <w:abstractNum w:abstractNumId="362" w15:restartNumberingAfterBreak="0">
    <w:nsid w:val="591C5E59"/>
    <w:multiLevelType w:val="hybridMultilevel"/>
    <w:tmpl w:val="A0CC370E"/>
    <w:lvl w:ilvl="0" w:tplc="6402000C">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0DAAB64C">
      <w:numFmt w:val="bullet"/>
      <w:lvlText w:val="•"/>
      <w:lvlJc w:val="left"/>
      <w:pPr>
        <w:ind w:left="651" w:hanging="284"/>
      </w:pPr>
      <w:rPr>
        <w:rFonts w:hint="default"/>
        <w:lang w:val="en-US" w:eastAsia="en-US" w:bidi="ar-SA"/>
      </w:rPr>
    </w:lvl>
    <w:lvl w:ilvl="2" w:tplc="2488F0C0">
      <w:numFmt w:val="bullet"/>
      <w:lvlText w:val="•"/>
      <w:lvlJc w:val="left"/>
      <w:pPr>
        <w:ind w:left="922" w:hanging="284"/>
      </w:pPr>
      <w:rPr>
        <w:rFonts w:hint="default"/>
        <w:lang w:val="en-US" w:eastAsia="en-US" w:bidi="ar-SA"/>
      </w:rPr>
    </w:lvl>
    <w:lvl w:ilvl="3" w:tplc="79566E1A">
      <w:numFmt w:val="bullet"/>
      <w:lvlText w:val="•"/>
      <w:lvlJc w:val="left"/>
      <w:pPr>
        <w:ind w:left="1193" w:hanging="284"/>
      </w:pPr>
      <w:rPr>
        <w:rFonts w:hint="default"/>
        <w:lang w:val="en-US" w:eastAsia="en-US" w:bidi="ar-SA"/>
      </w:rPr>
    </w:lvl>
    <w:lvl w:ilvl="4" w:tplc="6122C8A8">
      <w:numFmt w:val="bullet"/>
      <w:lvlText w:val="•"/>
      <w:lvlJc w:val="left"/>
      <w:pPr>
        <w:ind w:left="1464" w:hanging="284"/>
      </w:pPr>
      <w:rPr>
        <w:rFonts w:hint="default"/>
        <w:lang w:val="en-US" w:eastAsia="en-US" w:bidi="ar-SA"/>
      </w:rPr>
    </w:lvl>
    <w:lvl w:ilvl="5" w:tplc="8976D5FA">
      <w:numFmt w:val="bullet"/>
      <w:lvlText w:val="•"/>
      <w:lvlJc w:val="left"/>
      <w:pPr>
        <w:ind w:left="1735" w:hanging="284"/>
      </w:pPr>
      <w:rPr>
        <w:rFonts w:hint="default"/>
        <w:lang w:val="en-US" w:eastAsia="en-US" w:bidi="ar-SA"/>
      </w:rPr>
    </w:lvl>
    <w:lvl w:ilvl="6" w:tplc="666A7A44">
      <w:numFmt w:val="bullet"/>
      <w:lvlText w:val="•"/>
      <w:lvlJc w:val="left"/>
      <w:pPr>
        <w:ind w:left="2006" w:hanging="284"/>
      </w:pPr>
      <w:rPr>
        <w:rFonts w:hint="default"/>
        <w:lang w:val="en-US" w:eastAsia="en-US" w:bidi="ar-SA"/>
      </w:rPr>
    </w:lvl>
    <w:lvl w:ilvl="7" w:tplc="061A6978">
      <w:numFmt w:val="bullet"/>
      <w:lvlText w:val="•"/>
      <w:lvlJc w:val="left"/>
      <w:pPr>
        <w:ind w:left="2277" w:hanging="284"/>
      </w:pPr>
      <w:rPr>
        <w:rFonts w:hint="default"/>
        <w:lang w:val="en-US" w:eastAsia="en-US" w:bidi="ar-SA"/>
      </w:rPr>
    </w:lvl>
    <w:lvl w:ilvl="8" w:tplc="A51A40E2">
      <w:numFmt w:val="bullet"/>
      <w:lvlText w:val="•"/>
      <w:lvlJc w:val="left"/>
      <w:pPr>
        <w:ind w:left="2548" w:hanging="284"/>
      </w:pPr>
      <w:rPr>
        <w:rFonts w:hint="default"/>
        <w:lang w:val="en-US" w:eastAsia="en-US" w:bidi="ar-SA"/>
      </w:rPr>
    </w:lvl>
  </w:abstractNum>
  <w:abstractNum w:abstractNumId="363" w15:restartNumberingAfterBreak="0">
    <w:nsid w:val="5930559F"/>
    <w:multiLevelType w:val="hybridMultilevel"/>
    <w:tmpl w:val="1E60C254"/>
    <w:lvl w:ilvl="0" w:tplc="B3E868D8">
      <w:numFmt w:val="bullet"/>
      <w:lvlText w:val=""/>
      <w:lvlJc w:val="left"/>
      <w:pPr>
        <w:ind w:left="427" w:hanging="284"/>
      </w:pPr>
      <w:rPr>
        <w:rFonts w:ascii="Symbol" w:eastAsia="Symbol" w:hAnsi="Symbol" w:cs="Symbol" w:hint="default"/>
        <w:b w:val="0"/>
        <w:bCs w:val="0"/>
        <w:i w:val="0"/>
        <w:iCs w:val="0"/>
        <w:color w:val="70004A"/>
        <w:spacing w:val="0"/>
        <w:w w:val="100"/>
        <w:sz w:val="18"/>
        <w:szCs w:val="18"/>
        <w:lang w:val="en-US" w:eastAsia="en-US" w:bidi="ar-SA"/>
      </w:rPr>
    </w:lvl>
    <w:lvl w:ilvl="1" w:tplc="A65CB4D8">
      <w:numFmt w:val="bullet"/>
      <w:lvlText w:val="•"/>
      <w:lvlJc w:val="left"/>
      <w:pPr>
        <w:ind w:left="607" w:hanging="284"/>
      </w:pPr>
      <w:rPr>
        <w:rFonts w:hint="default"/>
        <w:lang w:val="en-US" w:eastAsia="en-US" w:bidi="ar-SA"/>
      </w:rPr>
    </w:lvl>
    <w:lvl w:ilvl="2" w:tplc="76367850">
      <w:numFmt w:val="bullet"/>
      <w:lvlText w:val="•"/>
      <w:lvlJc w:val="left"/>
      <w:pPr>
        <w:ind w:left="794" w:hanging="284"/>
      </w:pPr>
      <w:rPr>
        <w:rFonts w:hint="default"/>
        <w:lang w:val="en-US" w:eastAsia="en-US" w:bidi="ar-SA"/>
      </w:rPr>
    </w:lvl>
    <w:lvl w:ilvl="3" w:tplc="F5FA0D2C">
      <w:numFmt w:val="bullet"/>
      <w:lvlText w:val="•"/>
      <w:lvlJc w:val="left"/>
      <w:pPr>
        <w:ind w:left="981" w:hanging="284"/>
      </w:pPr>
      <w:rPr>
        <w:rFonts w:hint="default"/>
        <w:lang w:val="en-US" w:eastAsia="en-US" w:bidi="ar-SA"/>
      </w:rPr>
    </w:lvl>
    <w:lvl w:ilvl="4" w:tplc="CB6A5D2E">
      <w:numFmt w:val="bullet"/>
      <w:lvlText w:val="•"/>
      <w:lvlJc w:val="left"/>
      <w:pPr>
        <w:ind w:left="1168" w:hanging="284"/>
      </w:pPr>
      <w:rPr>
        <w:rFonts w:hint="default"/>
        <w:lang w:val="en-US" w:eastAsia="en-US" w:bidi="ar-SA"/>
      </w:rPr>
    </w:lvl>
    <w:lvl w:ilvl="5" w:tplc="0E3EB87C">
      <w:numFmt w:val="bullet"/>
      <w:lvlText w:val="•"/>
      <w:lvlJc w:val="left"/>
      <w:pPr>
        <w:ind w:left="1355" w:hanging="284"/>
      </w:pPr>
      <w:rPr>
        <w:rFonts w:hint="default"/>
        <w:lang w:val="en-US" w:eastAsia="en-US" w:bidi="ar-SA"/>
      </w:rPr>
    </w:lvl>
    <w:lvl w:ilvl="6" w:tplc="00C8752A">
      <w:numFmt w:val="bullet"/>
      <w:lvlText w:val="•"/>
      <w:lvlJc w:val="left"/>
      <w:pPr>
        <w:ind w:left="1542" w:hanging="284"/>
      </w:pPr>
      <w:rPr>
        <w:rFonts w:hint="default"/>
        <w:lang w:val="en-US" w:eastAsia="en-US" w:bidi="ar-SA"/>
      </w:rPr>
    </w:lvl>
    <w:lvl w:ilvl="7" w:tplc="4D2ABE44">
      <w:numFmt w:val="bullet"/>
      <w:lvlText w:val="•"/>
      <w:lvlJc w:val="left"/>
      <w:pPr>
        <w:ind w:left="1729" w:hanging="284"/>
      </w:pPr>
      <w:rPr>
        <w:rFonts w:hint="default"/>
        <w:lang w:val="en-US" w:eastAsia="en-US" w:bidi="ar-SA"/>
      </w:rPr>
    </w:lvl>
    <w:lvl w:ilvl="8" w:tplc="DED2A69A">
      <w:numFmt w:val="bullet"/>
      <w:lvlText w:val="•"/>
      <w:lvlJc w:val="left"/>
      <w:pPr>
        <w:ind w:left="1916" w:hanging="284"/>
      </w:pPr>
      <w:rPr>
        <w:rFonts w:hint="default"/>
        <w:lang w:val="en-US" w:eastAsia="en-US" w:bidi="ar-SA"/>
      </w:rPr>
    </w:lvl>
  </w:abstractNum>
  <w:abstractNum w:abstractNumId="364" w15:restartNumberingAfterBreak="0">
    <w:nsid w:val="594F7878"/>
    <w:multiLevelType w:val="hybridMultilevel"/>
    <w:tmpl w:val="D2C218FA"/>
    <w:lvl w:ilvl="0" w:tplc="838611E2">
      <w:numFmt w:val="bullet"/>
      <w:lvlText w:val=""/>
      <w:lvlJc w:val="left"/>
      <w:pPr>
        <w:ind w:left="360" w:hanging="360"/>
      </w:pPr>
      <w:rPr>
        <w:rFonts w:ascii="Symbol" w:eastAsia="Symbol" w:hAnsi="Symbol" w:cs="Symbol" w:hint="default"/>
        <w:b w:val="0"/>
        <w:bCs w:val="0"/>
        <w:i w:val="0"/>
        <w:iCs w:val="0"/>
        <w:color w:val="70004A"/>
        <w:spacing w:val="0"/>
        <w:w w:val="100"/>
        <w:sz w:val="20"/>
        <w:szCs w:val="20"/>
        <w:lang w:val="en-US" w:eastAsia="en-US" w:bidi="ar-SA"/>
      </w:rPr>
    </w:lvl>
    <w:lvl w:ilvl="1" w:tplc="625A7FBA">
      <w:numFmt w:val="bullet"/>
      <w:lvlText w:val="•"/>
      <w:lvlJc w:val="left"/>
      <w:pPr>
        <w:ind w:left="1301" w:hanging="360"/>
      </w:pPr>
      <w:rPr>
        <w:rFonts w:hint="default"/>
        <w:lang w:val="en-US" w:eastAsia="en-US" w:bidi="ar-SA"/>
      </w:rPr>
    </w:lvl>
    <w:lvl w:ilvl="2" w:tplc="A772384C">
      <w:numFmt w:val="bullet"/>
      <w:lvlText w:val="•"/>
      <w:lvlJc w:val="left"/>
      <w:pPr>
        <w:ind w:left="2243" w:hanging="360"/>
      </w:pPr>
      <w:rPr>
        <w:rFonts w:hint="default"/>
        <w:lang w:val="en-US" w:eastAsia="en-US" w:bidi="ar-SA"/>
      </w:rPr>
    </w:lvl>
    <w:lvl w:ilvl="3" w:tplc="0E227EC2">
      <w:numFmt w:val="bullet"/>
      <w:lvlText w:val="•"/>
      <w:lvlJc w:val="left"/>
      <w:pPr>
        <w:ind w:left="3185" w:hanging="360"/>
      </w:pPr>
      <w:rPr>
        <w:rFonts w:hint="default"/>
        <w:lang w:val="en-US" w:eastAsia="en-US" w:bidi="ar-SA"/>
      </w:rPr>
    </w:lvl>
    <w:lvl w:ilvl="4" w:tplc="4634B6BC">
      <w:numFmt w:val="bullet"/>
      <w:lvlText w:val="•"/>
      <w:lvlJc w:val="left"/>
      <w:pPr>
        <w:ind w:left="4127" w:hanging="360"/>
      </w:pPr>
      <w:rPr>
        <w:rFonts w:hint="default"/>
        <w:lang w:val="en-US" w:eastAsia="en-US" w:bidi="ar-SA"/>
      </w:rPr>
    </w:lvl>
    <w:lvl w:ilvl="5" w:tplc="F6526F46">
      <w:numFmt w:val="bullet"/>
      <w:lvlText w:val="•"/>
      <w:lvlJc w:val="left"/>
      <w:pPr>
        <w:ind w:left="5070" w:hanging="360"/>
      </w:pPr>
      <w:rPr>
        <w:rFonts w:hint="default"/>
        <w:lang w:val="en-US" w:eastAsia="en-US" w:bidi="ar-SA"/>
      </w:rPr>
    </w:lvl>
    <w:lvl w:ilvl="6" w:tplc="30442D4C">
      <w:numFmt w:val="bullet"/>
      <w:lvlText w:val="•"/>
      <w:lvlJc w:val="left"/>
      <w:pPr>
        <w:ind w:left="6012" w:hanging="360"/>
      </w:pPr>
      <w:rPr>
        <w:rFonts w:hint="default"/>
        <w:lang w:val="en-US" w:eastAsia="en-US" w:bidi="ar-SA"/>
      </w:rPr>
    </w:lvl>
    <w:lvl w:ilvl="7" w:tplc="116849AC">
      <w:numFmt w:val="bullet"/>
      <w:lvlText w:val="•"/>
      <w:lvlJc w:val="left"/>
      <w:pPr>
        <w:ind w:left="6954" w:hanging="360"/>
      </w:pPr>
      <w:rPr>
        <w:rFonts w:hint="default"/>
        <w:lang w:val="en-US" w:eastAsia="en-US" w:bidi="ar-SA"/>
      </w:rPr>
    </w:lvl>
    <w:lvl w:ilvl="8" w:tplc="D6B8FE3E">
      <w:numFmt w:val="bullet"/>
      <w:lvlText w:val="•"/>
      <w:lvlJc w:val="left"/>
      <w:pPr>
        <w:ind w:left="7896" w:hanging="360"/>
      </w:pPr>
      <w:rPr>
        <w:rFonts w:hint="default"/>
        <w:lang w:val="en-US" w:eastAsia="en-US" w:bidi="ar-SA"/>
      </w:rPr>
    </w:lvl>
  </w:abstractNum>
  <w:abstractNum w:abstractNumId="365" w15:restartNumberingAfterBreak="0">
    <w:nsid w:val="5AF12995"/>
    <w:multiLevelType w:val="hybridMultilevel"/>
    <w:tmpl w:val="EDE865EA"/>
    <w:lvl w:ilvl="0" w:tplc="3716B912">
      <w:numFmt w:val="bullet"/>
      <w:lvlText w:val=""/>
      <w:lvlJc w:val="left"/>
      <w:pPr>
        <w:ind w:left="488" w:hanging="284"/>
      </w:pPr>
      <w:rPr>
        <w:rFonts w:ascii="Symbol" w:eastAsia="Symbol" w:hAnsi="Symbol" w:cs="Symbol" w:hint="default"/>
        <w:b w:val="0"/>
        <w:bCs w:val="0"/>
        <w:i w:val="0"/>
        <w:iCs w:val="0"/>
        <w:color w:val="70004A"/>
        <w:spacing w:val="0"/>
        <w:w w:val="100"/>
        <w:sz w:val="18"/>
        <w:szCs w:val="18"/>
        <w:lang w:val="en-US" w:eastAsia="en-US" w:bidi="ar-SA"/>
      </w:rPr>
    </w:lvl>
    <w:lvl w:ilvl="1" w:tplc="91E4404E">
      <w:numFmt w:val="bullet"/>
      <w:lvlText w:val="•"/>
      <w:lvlJc w:val="left"/>
      <w:pPr>
        <w:ind w:left="701" w:hanging="284"/>
      </w:pPr>
      <w:rPr>
        <w:rFonts w:hint="default"/>
        <w:lang w:val="en-US" w:eastAsia="en-US" w:bidi="ar-SA"/>
      </w:rPr>
    </w:lvl>
    <w:lvl w:ilvl="2" w:tplc="6CF683E8">
      <w:numFmt w:val="bullet"/>
      <w:lvlText w:val="•"/>
      <w:lvlJc w:val="left"/>
      <w:pPr>
        <w:ind w:left="923" w:hanging="284"/>
      </w:pPr>
      <w:rPr>
        <w:rFonts w:hint="default"/>
        <w:lang w:val="en-US" w:eastAsia="en-US" w:bidi="ar-SA"/>
      </w:rPr>
    </w:lvl>
    <w:lvl w:ilvl="3" w:tplc="D46477A0">
      <w:numFmt w:val="bullet"/>
      <w:lvlText w:val="•"/>
      <w:lvlJc w:val="left"/>
      <w:pPr>
        <w:ind w:left="1145" w:hanging="284"/>
      </w:pPr>
      <w:rPr>
        <w:rFonts w:hint="default"/>
        <w:lang w:val="en-US" w:eastAsia="en-US" w:bidi="ar-SA"/>
      </w:rPr>
    </w:lvl>
    <w:lvl w:ilvl="4" w:tplc="BA943114">
      <w:numFmt w:val="bullet"/>
      <w:lvlText w:val="•"/>
      <w:lvlJc w:val="left"/>
      <w:pPr>
        <w:ind w:left="1367" w:hanging="284"/>
      </w:pPr>
      <w:rPr>
        <w:rFonts w:hint="default"/>
        <w:lang w:val="en-US" w:eastAsia="en-US" w:bidi="ar-SA"/>
      </w:rPr>
    </w:lvl>
    <w:lvl w:ilvl="5" w:tplc="434C3A42">
      <w:numFmt w:val="bullet"/>
      <w:lvlText w:val="•"/>
      <w:lvlJc w:val="left"/>
      <w:pPr>
        <w:ind w:left="1589" w:hanging="284"/>
      </w:pPr>
      <w:rPr>
        <w:rFonts w:hint="default"/>
        <w:lang w:val="en-US" w:eastAsia="en-US" w:bidi="ar-SA"/>
      </w:rPr>
    </w:lvl>
    <w:lvl w:ilvl="6" w:tplc="4F76F1DE">
      <w:numFmt w:val="bullet"/>
      <w:lvlText w:val="•"/>
      <w:lvlJc w:val="left"/>
      <w:pPr>
        <w:ind w:left="1810" w:hanging="284"/>
      </w:pPr>
      <w:rPr>
        <w:rFonts w:hint="default"/>
        <w:lang w:val="en-US" w:eastAsia="en-US" w:bidi="ar-SA"/>
      </w:rPr>
    </w:lvl>
    <w:lvl w:ilvl="7" w:tplc="7F40185C">
      <w:numFmt w:val="bullet"/>
      <w:lvlText w:val="•"/>
      <w:lvlJc w:val="left"/>
      <w:pPr>
        <w:ind w:left="2032" w:hanging="284"/>
      </w:pPr>
      <w:rPr>
        <w:rFonts w:hint="default"/>
        <w:lang w:val="en-US" w:eastAsia="en-US" w:bidi="ar-SA"/>
      </w:rPr>
    </w:lvl>
    <w:lvl w:ilvl="8" w:tplc="E886DAC6">
      <w:numFmt w:val="bullet"/>
      <w:lvlText w:val="•"/>
      <w:lvlJc w:val="left"/>
      <w:pPr>
        <w:ind w:left="2254" w:hanging="284"/>
      </w:pPr>
      <w:rPr>
        <w:rFonts w:hint="default"/>
        <w:lang w:val="en-US" w:eastAsia="en-US" w:bidi="ar-SA"/>
      </w:rPr>
    </w:lvl>
  </w:abstractNum>
  <w:abstractNum w:abstractNumId="366" w15:restartNumberingAfterBreak="0">
    <w:nsid w:val="5B841A9C"/>
    <w:multiLevelType w:val="hybridMultilevel"/>
    <w:tmpl w:val="2DD6D3B6"/>
    <w:lvl w:ilvl="0" w:tplc="661C9EBE">
      <w:numFmt w:val="bullet"/>
      <w:lvlText w:val=""/>
      <w:lvlJc w:val="left"/>
      <w:pPr>
        <w:ind w:left="490" w:hanging="284"/>
      </w:pPr>
      <w:rPr>
        <w:rFonts w:ascii="Symbol" w:eastAsia="Symbol" w:hAnsi="Symbol" w:cs="Symbol" w:hint="default"/>
        <w:b w:val="0"/>
        <w:bCs w:val="0"/>
        <w:i w:val="0"/>
        <w:iCs w:val="0"/>
        <w:color w:val="70004A"/>
        <w:spacing w:val="0"/>
        <w:w w:val="100"/>
        <w:sz w:val="18"/>
        <w:szCs w:val="18"/>
        <w:lang w:val="en-US" w:eastAsia="en-US" w:bidi="ar-SA"/>
      </w:rPr>
    </w:lvl>
    <w:lvl w:ilvl="1" w:tplc="73865B50">
      <w:numFmt w:val="bullet"/>
      <w:lvlText w:val="•"/>
      <w:lvlJc w:val="left"/>
      <w:pPr>
        <w:ind w:left="766" w:hanging="284"/>
      </w:pPr>
      <w:rPr>
        <w:rFonts w:hint="default"/>
        <w:lang w:val="en-US" w:eastAsia="en-US" w:bidi="ar-SA"/>
      </w:rPr>
    </w:lvl>
    <w:lvl w:ilvl="2" w:tplc="8F702614">
      <w:numFmt w:val="bullet"/>
      <w:lvlText w:val="•"/>
      <w:lvlJc w:val="left"/>
      <w:pPr>
        <w:ind w:left="1033" w:hanging="284"/>
      </w:pPr>
      <w:rPr>
        <w:rFonts w:hint="default"/>
        <w:lang w:val="en-US" w:eastAsia="en-US" w:bidi="ar-SA"/>
      </w:rPr>
    </w:lvl>
    <w:lvl w:ilvl="3" w:tplc="32B01368">
      <w:numFmt w:val="bullet"/>
      <w:lvlText w:val="•"/>
      <w:lvlJc w:val="left"/>
      <w:pPr>
        <w:ind w:left="1300" w:hanging="284"/>
      </w:pPr>
      <w:rPr>
        <w:rFonts w:hint="default"/>
        <w:lang w:val="en-US" w:eastAsia="en-US" w:bidi="ar-SA"/>
      </w:rPr>
    </w:lvl>
    <w:lvl w:ilvl="4" w:tplc="BD24C39A">
      <w:numFmt w:val="bullet"/>
      <w:lvlText w:val="•"/>
      <w:lvlJc w:val="left"/>
      <w:pPr>
        <w:ind w:left="1567" w:hanging="284"/>
      </w:pPr>
      <w:rPr>
        <w:rFonts w:hint="default"/>
        <w:lang w:val="en-US" w:eastAsia="en-US" w:bidi="ar-SA"/>
      </w:rPr>
    </w:lvl>
    <w:lvl w:ilvl="5" w:tplc="6EE00A74">
      <w:numFmt w:val="bullet"/>
      <w:lvlText w:val="•"/>
      <w:lvlJc w:val="left"/>
      <w:pPr>
        <w:ind w:left="1834" w:hanging="284"/>
      </w:pPr>
      <w:rPr>
        <w:rFonts w:hint="default"/>
        <w:lang w:val="en-US" w:eastAsia="en-US" w:bidi="ar-SA"/>
      </w:rPr>
    </w:lvl>
    <w:lvl w:ilvl="6" w:tplc="74FEB20C">
      <w:numFmt w:val="bullet"/>
      <w:lvlText w:val="•"/>
      <w:lvlJc w:val="left"/>
      <w:pPr>
        <w:ind w:left="2100" w:hanging="284"/>
      </w:pPr>
      <w:rPr>
        <w:rFonts w:hint="default"/>
        <w:lang w:val="en-US" w:eastAsia="en-US" w:bidi="ar-SA"/>
      </w:rPr>
    </w:lvl>
    <w:lvl w:ilvl="7" w:tplc="20BE6948">
      <w:numFmt w:val="bullet"/>
      <w:lvlText w:val="•"/>
      <w:lvlJc w:val="left"/>
      <w:pPr>
        <w:ind w:left="2367" w:hanging="284"/>
      </w:pPr>
      <w:rPr>
        <w:rFonts w:hint="default"/>
        <w:lang w:val="en-US" w:eastAsia="en-US" w:bidi="ar-SA"/>
      </w:rPr>
    </w:lvl>
    <w:lvl w:ilvl="8" w:tplc="7696B6F0">
      <w:numFmt w:val="bullet"/>
      <w:lvlText w:val="•"/>
      <w:lvlJc w:val="left"/>
      <w:pPr>
        <w:ind w:left="2634" w:hanging="284"/>
      </w:pPr>
      <w:rPr>
        <w:rFonts w:hint="default"/>
        <w:lang w:val="en-US" w:eastAsia="en-US" w:bidi="ar-SA"/>
      </w:rPr>
    </w:lvl>
  </w:abstractNum>
  <w:abstractNum w:abstractNumId="367" w15:restartNumberingAfterBreak="0">
    <w:nsid w:val="5B9813B3"/>
    <w:multiLevelType w:val="hybridMultilevel"/>
    <w:tmpl w:val="CA22F154"/>
    <w:lvl w:ilvl="0" w:tplc="62C6D7C6">
      <w:start w:val="1"/>
      <w:numFmt w:val="decimal"/>
      <w:lvlText w:val="%1."/>
      <w:lvlJc w:val="left"/>
      <w:pPr>
        <w:ind w:left="578" w:hanging="425"/>
      </w:pPr>
      <w:rPr>
        <w:rFonts w:ascii="Arial" w:eastAsia="Arial" w:hAnsi="Arial" w:cs="Arial" w:hint="default"/>
        <w:b w:val="0"/>
        <w:bCs w:val="0"/>
        <w:i w:val="0"/>
        <w:iCs w:val="0"/>
        <w:color w:val="70004A"/>
        <w:spacing w:val="-1"/>
        <w:w w:val="100"/>
        <w:sz w:val="14"/>
        <w:szCs w:val="14"/>
        <w:lang w:val="en-US" w:eastAsia="en-US" w:bidi="ar-SA"/>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8" w15:restartNumberingAfterBreak="0">
    <w:nsid w:val="5C613592"/>
    <w:multiLevelType w:val="hybridMultilevel"/>
    <w:tmpl w:val="C08687E8"/>
    <w:lvl w:ilvl="0" w:tplc="56CC2BD4">
      <w:numFmt w:val="bullet"/>
      <w:lvlText w:val=""/>
      <w:lvlJc w:val="left"/>
      <w:pPr>
        <w:ind w:left="434" w:hanging="284"/>
      </w:pPr>
      <w:rPr>
        <w:rFonts w:ascii="Symbol" w:eastAsia="Symbol" w:hAnsi="Symbol" w:cs="Symbol" w:hint="default"/>
        <w:b w:val="0"/>
        <w:bCs w:val="0"/>
        <w:i w:val="0"/>
        <w:iCs w:val="0"/>
        <w:color w:val="70004A"/>
        <w:spacing w:val="0"/>
        <w:w w:val="100"/>
        <w:sz w:val="18"/>
        <w:szCs w:val="18"/>
        <w:lang w:val="en-US" w:eastAsia="en-US" w:bidi="ar-SA"/>
      </w:rPr>
    </w:lvl>
    <w:lvl w:ilvl="1" w:tplc="EA3C8D96">
      <w:numFmt w:val="bullet"/>
      <w:lvlText w:val="•"/>
      <w:lvlJc w:val="left"/>
      <w:pPr>
        <w:ind w:left="632" w:hanging="284"/>
      </w:pPr>
      <w:rPr>
        <w:rFonts w:hint="default"/>
        <w:lang w:val="en-US" w:eastAsia="en-US" w:bidi="ar-SA"/>
      </w:rPr>
    </w:lvl>
    <w:lvl w:ilvl="2" w:tplc="445E39C4">
      <w:numFmt w:val="bullet"/>
      <w:lvlText w:val="•"/>
      <w:lvlJc w:val="left"/>
      <w:pPr>
        <w:ind w:left="824" w:hanging="284"/>
      </w:pPr>
      <w:rPr>
        <w:rFonts w:hint="default"/>
        <w:lang w:val="en-US" w:eastAsia="en-US" w:bidi="ar-SA"/>
      </w:rPr>
    </w:lvl>
    <w:lvl w:ilvl="3" w:tplc="5BE62180">
      <w:numFmt w:val="bullet"/>
      <w:lvlText w:val="•"/>
      <w:lvlJc w:val="left"/>
      <w:pPr>
        <w:ind w:left="1017" w:hanging="284"/>
      </w:pPr>
      <w:rPr>
        <w:rFonts w:hint="default"/>
        <w:lang w:val="en-US" w:eastAsia="en-US" w:bidi="ar-SA"/>
      </w:rPr>
    </w:lvl>
    <w:lvl w:ilvl="4" w:tplc="80804FA2">
      <w:numFmt w:val="bullet"/>
      <w:lvlText w:val="•"/>
      <w:lvlJc w:val="left"/>
      <w:pPr>
        <w:ind w:left="1209" w:hanging="284"/>
      </w:pPr>
      <w:rPr>
        <w:rFonts w:hint="default"/>
        <w:lang w:val="en-US" w:eastAsia="en-US" w:bidi="ar-SA"/>
      </w:rPr>
    </w:lvl>
    <w:lvl w:ilvl="5" w:tplc="6154427C">
      <w:numFmt w:val="bullet"/>
      <w:lvlText w:val="•"/>
      <w:lvlJc w:val="left"/>
      <w:pPr>
        <w:ind w:left="1402" w:hanging="284"/>
      </w:pPr>
      <w:rPr>
        <w:rFonts w:hint="default"/>
        <w:lang w:val="en-US" w:eastAsia="en-US" w:bidi="ar-SA"/>
      </w:rPr>
    </w:lvl>
    <w:lvl w:ilvl="6" w:tplc="EED039E8">
      <w:numFmt w:val="bullet"/>
      <w:lvlText w:val="•"/>
      <w:lvlJc w:val="left"/>
      <w:pPr>
        <w:ind w:left="1594" w:hanging="284"/>
      </w:pPr>
      <w:rPr>
        <w:rFonts w:hint="default"/>
        <w:lang w:val="en-US" w:eastAsia="en-US" w:bidi="ar-SA"/>
      </w:rPr>
    </w:lvl>
    <w:lvl w:ilvl="7" w:tplc="F5F0A216">
      <w:numFmt w:val="bullet"/>
      <w:lvlText w:val="•"/>
      <w:lvlJc w:val="left"/>
      <w:pPr>
        <w:ind w:left="1786" w:hanging="284"/>
      </w:pPr>
      <w:rPr>
        <w:rFonts w:hint="default"/>
        <w:lang w:val="en-US" w:eastAsia="en-US" w:bidi="ar-SA"/>
      </w:rPr>
    </w:lvl>
    <w:lvl w:ilvl="8" w:tplc="D28E0A82">
      <w:numFmt w:val="bullet"/>
      <w:lvlText w:val="•"/>
      <w:lvlJc w:val="left"/>
      <w:pPr>
        <w:ind w:left="1979" w:hanging="284"/>
      </w:pPr>
      <w:rPr>
        <w:rFonts w:hint="default"/>
        <w:lang w:val="en-US" w:eastAsia="en-US" w:bidi="ar-SA"/>
      </w:rPr>
    </w:lvl>
  </w:abstractNum>
  <w:abstractNum w:abstractNumId="369" w15:restartNumberingAfterBreak="0">
    <w:nsid w:val="5D8F0A45"/>
    <w:multiLevelType w:val="hybridMultilevel"/>
    <w:tmpl w:val="427E6CC0"/>
    <w:lvl w:ilvl="0" w:tplc="71404736">
      <w:numFmt w:val="bullet"/>
      <w:lvlText w:val=""/>
      <w:lvlJc w:val="left"/>
      <w:pPr>
        <w:ind w:left="456" w:hanging="284"/>
      </w:pPr>
      <w:rPr>
        <w:rFonts w:ascii="Symbol" w:eastAsia="Symbol" w:hAnsi="Symbol" w:cs="Symbol" w:hint="default"/>
        <w:b w:val="0"/>
        <w:bCs w:val="0"/>
        <w:i w:val="0"/>
        <w:iCs w:val="0"/>
        <w:color w:val="70004A"/>
        <w:spacing w:val="0"/>
        <w:w w:val="100"/>
        <w:sz w:val="18"/>
        <w:szCs w:val="18"/>
        <w:lang w:val="en-US" w:eastAsia="en-US" w:bidi="ar-SA"/>
      </w:rPr>
    </w:lvl>
    <w:lvl w:ilvl="1" w:tplc="7AA21CEE">
      <w:numFmt w:val="bullet"/>
      <w:lvlText w:val="•"/>
      <w:lvlJc w:val="left"/>
      <w:pPr>
        <w:ind w:left="741" w:hanging="284"/>
      </w:pPr>
      <w:rPr>
        <w:rFonts w:hint="default"/>
        <w:lang w:val="en-US" w:eastAsia="en-US" w:bidi="ar-SA"/>
      </w:rPr>
    </w:lvl>
    <w:lvl w:ilvl="2" w:tplc="42FC2202">
      <w:numFmt w:val="bullet"/>
      <w:lvlText w:val="•"/>
      <w:lvlJc w:val="left"/>
      <w:pPr>
        <w:ind w:left="1023" w:hanging="284"/>
      </w:pPr>
      <w:rPr>
        <w:rFonts w:hint="default"/>
        <w:lang w:val="en-US" w:eastAsia="en-US" w:bidi="ar-SA"/>
      </w:rPr>
    </w:lvl>
    <w:lvl w:ilvl="3" w:tplc="192CFBF2">
      <w:numFmt w:val="bullet"/>
      <w:lvlText w:val="•"/>
      <w:lvlJc w:val="left"/>
      <w:pPr>
        <w:ind w:left="1304" w:hanging="284"/>
      </w:pPr>
      <w:rPr>
        <w:rFonts w:hint="default"/>
        <w:lang w:val="en-US" w:eastAsia="en-US" w:bidi="ar-SA"/>
      </w:rPr>
    </w:lvl>
    <w:lvl w:ilvl="4" w:tplc="2CA4E51C">
      <w:numFmt w:val="bullet"/>
      <w:lvlText w:val="•"/>
      <w:lvlJc w:val="left"/>
      <w:pPr>
        <w:ind w:left="1586" w:hanging="284"/>
      </w:pPr>
      <w:rPr>
        <w:rFonts w:hint="default"/>
        <w:lang w:val="en-US" w:eastAsia="en-US" w:bidi="ar-SA"/>
      </w:rPr>
    </w:lvl>
    <w:lvl w:ilvl="5" w:tplc="FFD64142">
      <w:numFmt w:val="bullet"/>
      <w:lvlText w:val="•"/>
      <w:lvlJc w:val="left"/>
      <w:pPr>
        <w:ind w:left="1867" w:hanging="284"/>
      </w:pPr>
      <w:rPr>
        <w:rFonts w:hint="default"/>
        <w:lang w:val="en-US" w:eastAsia="en-US" w:bidi="ar-SA"/>
      </w:rPr>
    </w:lvl>
    <w:lvl w:ilvl="6" w:tplc="FE42E872">
      <w:numFmt w:val="bullet"/>
      <w:lvlText w:val="•"/>
      <w:lvlJc w:val="left"/>
      <w:pPr>
        <w:ind w:left="2149" w:hanging="284"/>
      </w:pPr>
      <w:rPr>
        <w:rFonts w:hint="default"/>
        <w:lang w:val="en-US" w:eastAsia="en-US" w:bidi="ar-SA"/>
      </w:rPr>
    </w:lvl>
    <w:lvl w:ilvl="7" w:tplc="06BA8898">
      <w:numFmt w:val="bullet"/>
      <w:lvlText w:val="•"/>
      <w:lvlJc w:val="left"/>
      <w:pPr>
        <w:ind w:left="2430" w:hanging="284"/>
      </w:pPr>
      <w:rPr>
        <w:rFonts w:hint="default"/>
        <w:lang w:val="en-US" w:eastAsia="en-US" w:bidi="ar-SA"/>
      </w:rPr>
    </w:lvl>
    <w:lvl w:ilvl="8" w:tplc="A3708156">
      <w:numFmt w:val="bullet"/>
      <w:lvlText w:val="•"/>
      <w:lvlJc w:val="left"/>
      <w:pPr>
        <w:ind w:left="2712" w:hanging="284"/>
      </w:pPr>
      <w:rPr>
        <w:rFonts w:hint="default"/>
        <w:lang w:val="en-US" w:eastAsia="en-US" w:bidi="ar-SA"/>
      </w:rPr>
    </w:lvl>
  </w:abstractNum>
  <w:abstractNum w:abstractNumId="370" w15:restartNumberingAfterBreak="0">
    <w:nsid w:val="5DA83BBB"/>
    <w:multiLevelType w:val="hybridMultilevel"/>
    <w:tmpl w:val="46D021EA"/>
    <w:lvl w:ilvl="0" w:tplc="699C07C4">
      <w:numFmt w:val="bullet"/>
      <w:lvlText w:val=""/>
      <w:lvlJc w:val="left"/>
      <w:pPr>
        <w:ind w:left="360" w:hanging="360"/>
      </w:pPr>
      <w:rPr>
        <w:rFonts w:ascii="Symbol" w:eastAsia="Symbol" w:hAnsi="Symbol" w:cs="Symbol" w:hint="default"/>
        <w:b w:val="0"/>
        <w:bCs w:val="0"/>
        <w:i w:val="0"/>
        <w:iCs w:val="0"/>
        <w:color w:val="70004A"/>
        <w:spacing w:val="0"/>
        <w:w w:val="100"/>
        <w:sz w:val="20"/>
        <w:szCs w:val="20"/>
        <w:lang w:val="en-US" w:eastAsia="en-US" w:bidi="ar-SA"/>
      </w:rPr>
    </w:lvl>
    <w:lvl w:ilvl="1" w:tplc="338CEBA0">
      <w:numFmt w:val="bullet"/>
      <w:lvlText w:val="•"/>
      <w:lvlJc w:val="left"/>
      <w:pPr>
        <w:ind w:left="1287" w:hanging="360"/>
      </w:pPr>
      <w:rPr>
        <w:rFonts w:hint="default"/>
        <w:lang w:val="en-US" w:eastAsia="en-US" w:bidi="ar-SA"/>
      </w:rPr>
    </w:lvl>
    <w:lvl w:ilvl="2" w:tplc="EB362298">
      <w:numFmt w:val="bullet"/>
      <w:lvlText w:val="•"/>
      <w:lvlJc w:val="left"/>
      <w:pPr>
        <w:ind w:left="2215" w:hanging="360"/>
      </w:pPr>
      <w:rPr>
        <w:rFonts w:hint="default"/>
        <w:lang w:val="en-US" w:eastAsia="en-US" w:bidi="ar-SA"/>
      </w:rPr>
    </w:lvl>
    <w:lvl w:ilvl="3" w:tplc="8E641984">
      <w:numFmt w:val="bullet"/>
      <w:lvlText w:val="•"/>
      <w:lvlJc w:val="left"/>
      <w:pPr>
        <w:ind w:left="3143" w:hanging="360"/>
      </w:pPr>
      <w:rPr>
        <w:rFonts w:hint="default"/>
        <w:lang w:val="en-US" w:eastAsia="en-US" w:bidi="ar-SA"/>
      </w:rPr>
    </w:lvl>
    <w:lvl w:ilvl="4" w:tplc="26109FFC">
      <w:numFmt w:val="bullet"/>
      <w:lvlText w:val="•"/>
      <w:lvlJc w:val="left"/>
      <w:pPr>
        <w:ind w:left="4071" w:hanging="360"/>
      </w:pPr>
      <w:rPr>
        <w:rFonts w:hint="default"/>
        <w:lang w:val="en-US" w:eastAsia="en-US" w:bidi="ar-SA"/>
      </w:rPr>
    </w:lvl>
    <w:lvl w:ilvl="5" w:tplc="FA02A112">
      <w:numFmt w:val="bullet"/>
      <w:lvlText w:val="•"/>
      <w:lvlJc w:val="left"/>
      <w:pPr>
        <w:ind w:left="4999" w:hanging="360"/>
      </w:pPr>
      <w:rPr>
        <w:rFonts w:hint="default"/>
        <w:lang w:val="en-US" w:eastAsia="en-US" w:bidi="ar-SA"/>
      </w:rPr>
    </w:lvl>
    <w:lvl w:ilvl="6" w:tplc="D360A24A">
      <w:numFmt w:val="bullet"/>
      <w:lvlText w:val="•"/>
      <w:lvlJc w:val="left"/>
      <w:pPr>
        <w:ind w:left="5927" w:hanging="360"/>
      </w:pPr>
      <w:rPr>
        <w:rFonts w:hint="default"/>
        <w:lang w:val="en-US" w:eastAsia="en-US" w:bidi="ar-SA"/>
      </w:rPr>
    </w:lvl>
    <w:lvl w:ilvl="7" w:tplc="7924008A">
      <w:numFmt w:val="bullet"/>
      <w:lvlText w:val="•"/>
      <w:lvlJc w:val="left"/>
      <w:pPr>
        <w:ind w:left="6855" w:hanging="360"/>
      </w:pPr>
      <w:rPr>
        <w:rFonts w:hint="default"/>
        <w:lang w:val="en-US" w:eastAsia="en-US" w:bidi="ar-SA"/>
      </w:rPr>
    </w:lvl>
    <w:lvl w:ilvl="8" w:tplc="F8D473C4">
      <w:numFmt w:val="bullet"/>
      <w:lvlText w:val="•"/>
      <w:lvlJc w:val="left"/>
      <w:pPr>
        <w:ind w:left="7784" w:hanging="360"/>
      </w:pPr>
      <w:rPr>
        <w:rFonts w:hint="default"/>
        <w:lang w:val="en-US" w:eastAsia="en-US" w:bidi="ar-SA"/>
      </w:rPr>
    </w:lvl>
  </w:abstractNum>
  <w:abstractNum w:abstractNumId="371" w15:restartNumberingAfterBreak="0">
    <w:nsid w:val="5E3B4104"/>
    <w:multiLevelType w:val="hybridMultilevel"/>
    <w:tmpl w:val="0E507AC2"/>
    <w:lvl w:ilvl="0" w:tplc="09EE54B6">
      <w:numFmt w:val="bullet"/>
      <w:lvlText w:val=""/>
      <w:lvlJc w:val="left"/>
      <w:pPr>
        <w:ind w:left="427" w:hanging="284"/>
      </w:pPr>
      <w:rPr>
        <w:rFonts w:ascii="Symbol" w:eastAsia="Symbol" w:hAnsi="Symbol" w:cs="Symbol" w:hint="default"/>
        <w:b w:val="0"/>
        <w:bCs w:val="0"/>
        <w:i w:val="0"/>
        <w:iCs w:val="0"/>
        <w:color w:val="70004A"/>
        <w:spacing w:val="0"/>
        <w:w w:val="100"/>
        <w:sz w:val="18"/>
        <w:szCs w:val="18"/>
        <w:lang w:val="en-US" w:eastAsia="en-US" w:bidi="ar-SA"/>
      </w:rPr>
    </w:lvl>
    <w:lvl w:ilvl="1" w:tplc="5B94C37C">
      <w:numFmt w:val="bullet"/>
      <w:lvlText w:val="•"/>
      <w:lvlJc w:val="left"/>
      <w:pPr>
        <w:ind w:left="589" w:hanging="284"/>
      </w:pPr>
      <w:rPr>
        <w:rFonts w:hint="default"/>
        <w:lang w:val="en-US" w:eastAsia="en-US" w:bidi="ar-SA"/>
      </w:rPr>
    </w:lvl>
    <w:lvl w:ilvl="2" w:tplc="EFA298C2">
      <w:numFmt w:val="bullet"/>
      <w:lvlText w:val="•"/>
      <w:lvlJc w:val="left"/>
      <w:pPr>
        <w:ind w:left="758" w:hanging="284"/>
      </w:pPr>
      <w:rPr>
        <w:rFonts w:hint="default"/>
        <w:lang w:val="en-US" w:eastAsia="en-US" w:bidi="ar-SA"/>
      </w:rPr>
    </w:lvl>
    <w:lvl w:ilvl="3" w:tplc="E4924648">
      <w:numFmt w:val="bullet"/>
      <w:lvlText w:val="•"/>
      <w:lvlJc w:val="left"/>
      <w:pPr>
        <w:ind w:left="927" w:hanging="284"/>
      </w:pPr>
      <w:rPr>
        <w:rFonts w:hint="default"/>
        <w:lang w:val="en-US" w:eastAsia="en-US" w:bidi="ar-SA"/>
      </w:rPr>
    </w:lvl>
    <w:lvl w:ilvl="4" w:tplc="BEB00CA2">
      <w:numFmt w:val="bullet"/>
      <w:lvlText w:val="•"/>
      <w:lvlJc w:val="left"/>
      <w:pPr>
        <w:ind w:left="1096" w:hanging="284"/>
      </w:pPr>
      <w:rPr>
        <w:rFonts w:hint="default"/>
        <w:lang w:val="en-US" w:eastAsia="en-US" w:bidi="ar-SA"/>
      </w:rPr>
    </w:lvl>
    <w:lvl w:ilvl="5" w:tplc="22766860">
      <w:numFmt w:val="bullet"/>
      <w:lvlText w:val="•"/>
      <w:lvlJc w:val="left"/>
      <w:pPr>
        <w:ind w:left="1266" w:hanging="284"/>
      </w:pPr>
      <w:rPr>
        <w:rFonts w:hint="default"/>
        <w:lang w:val="en-US" w:eastAsia="en-US" w:bidi="ar-SA"/>
      </w:rPr>
    </w:lvl>
    <w:lvl w:ilvl="6" w:tplc="8A823566">
      <w:numFmt w:val="bullet"/>
      <w:lvlText w:val="•"/>
      <w:lvlJc w:val="left"/>
      <w:pPr>
        <w:ind w:left="1435" w:hanging="284"/>
      </w:pPr>
      <w:rPr>
        <w:rFonts w:hint="default"/>
        <w:lang w:val="en-US" w:eastAsia="en-US" w:bidi="ar-SA"/>
      </w:rPr>
    </w:lvl>
    <w:lvl w:ilvl="7" w:tplc="E7B4881C">
      <w:numFmt w:val="bullet"/>
      <w:lvlText w:val="•"/>
      <w:lvlJc w:val="left"/>
      <w:pPr>
        <w:ind w:left="1604" w:hanging="284"/>
      </w:pPr>
      <w:rPr>
        <w:rFonts w:hint="default"/>
        <w:lang w:val="en-US" w:eastAsia="en-US" w:bidi="ar-SA"/>
      </w:rPr>
    </w:lvl>
    <w:lvl w:ilvl="8" w:tplc="3C5614A6">
      <w:numFmt w:val="bullet"/>
      <w:lvlText w:val="•"/>
      <w:lvlJc w:val="left"/>
      <w:pPr>
        <w:ind w:left="1773" w:hanging="284"/>
      </w:pPr>
      <w:rPr>
        <w:rFonts w:hint="default"/>
        <w:lang w:val="en-US" w:eastAsia="en-US" w:bidi="ar-SA"/>
      </w:rPr>
    </w:lvl>
  </w:abstractNum>
  <w:abstractNum w:abstractNumId="372" w15:restartNumberingAfterBreak="0">
    <w:nsid w:val="5E650AB8"/>
    <w:multiLevelType w:val="hybridMultilevel"/>
    <w:tmpl w:val="D708EE8C"/>
    <w:lvl w:ilvl="0" w:tplc="0CDCBDA0">
      <w:numFmt w:val="bullet"/>
      <w:lvlText w:val=""/>
      <w:lvlJc w:val="left"/>
      <w:pPr>
        <w:ind w:left="533" w:hanging="284"/>
      </w:pPr>
      <w:rPr>
        <w:rFonts w:ascii="Symbol" w:eastAsia="Symbol" w:hAnsi="Symbol" w:cs="Symbol" w:hint="default"/>
        <w:b w:val="0"/>
        <w:bCs w:val="0"/>
        <w:i w:val="0"/>
        <w:iCs w:val="0"/>
        <w:color w:val="70004A"/>
        <w:spacing w:val="0"/>
        <w:w w:val="100"/>
        <w:sz w:val="18"/>
        <w:szCs w:val="18"/>
        <w:lang w:val="en-US" w:eastAsia="en-US" w:bidi="ar-SA"/>
      </w:rPr>
    </w:lvl>
    <w:lvl w:ilvl="1" w:tplc="4FC807E0">
      <w:numFmt w:val="bullet"/>
      <w:lvlText w:val="•"/>
      <w:lvlJc w:val="left"/>
      <w:pPr>
        <w:ind w:left="910" w:hanging="284"/>
      </w:pPr>
      <w:rPr>
        <w:rFonts w:hint="default"/>
        <w:lang w:val="en-US" w:eastAsia="en-US" w:bidi="ar-SA"/>
      </w:rPr>
    </w:lvl>
    <w:lvl w:ilvl="2" w:tplc="5E182C14">
      <w:numFmt w:val="bullet"/>
      <w:lvlText w:val="•"/>
      <w:lvlJc w:val="left"/>
      <w:pPr>
        <w:ind w:left="1280" w:hanging="284"/>
      </w:pPr>
      <w:rPr>
        <w:rFonts w:hint="default"/>
        <w:lang w:val="en-US" w:eastAsia="en-US" w:bidi="ar-SA"/>
      </w:rPr>
    </w:lvl>
    <w:lvl w:ilvl="3" w:tplc="7974EF26">
      <w:numFmt w:val="bullet"/>
      <w:lvlText w:val="•"/>
      <w:lvlJc w:val="left"/>
      <w:pPr>
        <w:ind w:left="1651" w:hanging="284"/>
      </w:pPr>
      <w:rPr>
        <w:rFonts w:hint="default"/>
        <w:lang w:val="en-US" w:eastAsia="en-US" w:bidi="ar-SA"/>
      </w:rPr>
    </w:lvl>
    <w:lvl w:ilvl="4" w:tplc="30047D50">
      <w:numFmt w:val="bullet"/>
      <w:lvlText w:val="•"/>
      <w:lvlJc w:val="left"/>
      <w:pPr>
        <w:ind w:left="2021" w:hanging="284"/>
      </w:pPr>
      <w:rPr>
        <w:rFonts w:hint="default"/>
        <w:lang w:val="en-US" w:eastAsia="en-US" w:bidi="ar-SA"/>
      </w:rPr>
    </w:lvl>
    <w:lvl w:ilvl="5" w:tplc="F6A22E2A">
      <w:numFmt w:val="bullet"/>
      <w:lvlText w:val="•"/>
      <w:lvlJc w:val="left"/>
      <w:pPr>
        <w:ind w:left="2391" w:hanging="284"/>
      </w:pPr>
      <w:rPr>
        <w:rFonts w:hint="default"/>
        <w:lang w:val="en-US" w:eastAsia="en-US" w:bidi="ar-SA"/>
      </w:rPr>
    </w:lvl>
    <w:lvl w:ilvl="6" w:tplc="77D0DCE0">
      <w:numFmt w:val="bullet"/>
      <w:lvlText w:val="•"/>
      <w:lvlJc w:val="left"/>
      <w:pPr>
        <w:ind w:left="2762" w:hanging="284"/>
      </w:pPr>
      <w:rPr>
        <w:rFonts w:hint="default"/>
        <w:lang w:val="en-US" w:eastAsia="en-US" w:bidi="ar-SA"/>
      </w:rPr>
    </w:lvl>
    <w:lvl w:ilvl="7" w:tplc="2340AC14">
      <w:numFmt w:val="bullet"/>
      <w:lvlText w:val="•"/>
      <w:lvlJc w:val="left"/>
      <w:pPr>
        <w:ind w:left="3132" w:hanging="284"/>
      </w:pPr>
      <w:rPr>
        <w:rFonts w:hint="default"/>
        <w:lang w:val="en-US" w:eastAsia="en-US" w:bidi="ar-SA"/>
      </w:rPr>
    </w:lvl>
    <w:lvl w:ilvl="8" w:tplc="1D1C17DC">
      <w:numFmt w:val="bullet"/>
      <w:lvlText w:val="•"/>
      <w:lvlJc w:val="left"/>
      <w:pPr>
        <w:ind w:left="3502" w:hanging="284"/>
      </w:pPr>
      <w:rPr>
        <w:rFonts w:hint="default"/>
        <w:lang w:val="en-US" w:eastAsia="en-US" w:bidi="ar-SA"/>
      </w:rPr>
    </w:lvl>
  </w:abstractNum>
  <w:abstractNum w:abstractNumId="373" w15:restartNumberingAfterBreak="0">
    <w:nsid w:val="5E7F00FD"/>
    <w:multiLevelType w:val="hybridMultilevel"/>
    <w:tmpl w:val="53C047FA"/>
    <w:lvl w:ilvl="0" w:tplc="A7A263C4">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E68C22B0">
      <w:numFmt w:val="bullet"/>
      <w:lvlText w:val="•"/>
      <w:lvlJc w:val="left"/>
      <w:pPr>
        <w:ind w:left="642" w:hanging="284"/>
      </w:pPr>
      <w:rPr>
        <w:rFonts w:hint="default"/>
        <w:lang w:val="en-US" w:eastAsia="en-US" w:bidi="ar-SA"/>
      </w:rPr>
    </w:lvl>
    <w:lvl w:ilvl="2" w:tplc="2B4EA7EE">
      <w:numFmt w:val="bullet"/>
      <w:lvlText w:val="•"/>
      <w:lvlJc w:val="left"/>
      <w:pPr>
        <w:ind w:left="885" w:hanging="284"/>
      </w:pPr>
      <w:rPr>
        <w:rFonts w:hint="default"/>
        <w:lang w:val="en-US" w:eastAsia="en-US" w:bidi="ar-SA"/>
      </w:rPr>
    </w:lvl>
    <w:lvl w:ilvl="3" w:tplc="F9C0E322">
      <w:numFmt w:val="bullet"/>
      <w:lvlText w:val="•"/>
      <w:lvlJc w:val="left"/>
      <w:pPr>
        <w:ind w:left="1128" w:hanging="284"/>
      </w:pPr>
      <w:rPr>
        <w:rFonts w:hint="default"/>
        <w:lang w:val="en-US" w:eastAsia="en-US" w:bidi="ar-SA"/>
      </w:rPr>
    </w:lvl>
    <w:lvl w:ilvl="4" w:tplc="2D546258">
      <w:numFmt w:val="bullet"/>
      <w:lvlText w:val="•"/>
      <w:lvlJc w:val="left"/>
      <w:pPr>
        <w:ind w:left="1371" w:hanging="284"/>
      </w:pPr>
      <w:rPr>
        <w:rFonts w:hint="default"/>
        <w:lang w:val="en-US" w:eastAsia="en-US" w:bidi="ar-SA"/>
      </w:rPr>
    </w:lvl>
    <w:lvl w:ilvl="5" w:tplc="4622FF96">
      <w:numFmt w:val="bullet"/>
      <w:lvlText w:val="•"/>
      <w:lvlJc w:val="left"/>
      <w:pPr>
        <w:ind w:left="1614" w:hanging="284"/>
      </w:pPr>
      <w:rPr>
        <w:rFonts w:hint="default"/>
        <w:lang w:val="en-US" w:eastAsia="en-US" w:bidi="ar-SA"/>
      </w:rPr>
    </w:lvl>
    <w:lvl w:ilvl="6" w:tplc="A06E2ACA">
      <w:numFmt w:val="bullet"/>
      <w:lvlText w:val="•"/>
      <w:lvlJc w:val="left"/>
      <w:pPr>
        <w:ind w:left="1857" w:hanging="284"/>
      </w:pPr>
      <w:rPr>
        <w:rFonts w:hint="default"/>
        <w:lang w:val="en-US" w:eastAsia="en-US" w:bidi="ar-SA"/>
      </w:rPr>
    </w:lvl>
    <w:lvl w:ilvl="7" w:tplc="FCFE49B2">
      <w:numFmt w:val="bullet"/>
      <w:lvlText w:val="•"/>
      <w:lvlJc w:val="left"/>
      <w:pPr>
        <w:ind w:left="2100" w:hanging="284"/>
      </w:pPr>
      <w:rPr>
        <w:rFonts w:hint="default"/>
        <w:lang w:val="en-US" w:eastAsia="en-US" w:bidi="ar-SA"/>
      </w:rPr>
    </w:lvl>
    <w:lvl w:ilvl="8" w:tplc="89587658">
      <w:numFmt w:val="bullet"/>
      <w:lvlText w:val="•"/>
      <w:lvlJc w:val="left"/>
      <w:pPr>
        <w:ind w:left="2343" w:hanging="284"/>
      </w:pPr>
      <w:rPr>
        <w:rFonts w:hint="default"/>
        <w:lang w:val="en-US" w:eastAsia="en-US" w:bidi="ar-SA"/>
      </w:rPr>
    </w:lvl>
  </w:abstractNum>
  <w:abstractNum w:abstractNumId="374" w15:restartNumberingAfterBreak="0">
    <w:nsid w:val="5EB50BDC"/>
    <w:multiLevelType w:val="hybridMultilevel"/>
    <w:tmpl w:val="75E66FC6"/>
    <w:lvl w:ilvl="0" w:tplc="880A8358">
      <w:numFmt w:val="bullet"/>
      <w:lvlText w:val=""/>
      <w:lvlJc w:val="left"/>
      <w:pPr>
        <w:ind w:left="431" w:hanging="284"/>
      </w:pPr>
      <w:rPr>
        <w:rFonts w:ascii="Symbol" w:eastAsia="Symbol" w:hAnsi="Symbol" w:cs="Symbol" w:hint="default"/>
        <w:b w:val="0"/>
        <w:bCs w:val="0"/>
        <w:i w:val="0"/>
        <w:iCs w:val="0"/>
        <w:color w:val="70004A"/>
        <w:spacing w:val="0"/>
        <w:w w:val="100"/>
        <w:sz w:val="18"/>
        <w:szCs w:val="18"/>
        <w:lang w:val="en-US" w:eastAsia="en-US" w:bidi="ar-SA"/>
      </w:rPr>
    </w:lvl>
    <w:lvl w:ilvl="1" w:tplc="49EC6C5E">
      <w:numFmt w:val="bullet"/>
      <w:lvlText w:val="•"/>
      <w:lvlJc w:val="left"/>
      <w:pPr>
        <w:ind w:left="721" w:hanging="284"/>
      </w:pPr>
      <w:rPr>
        <w:rFonts w:hint="default"/>
        <w:lang w:val="en-US" w:eastAsia="en-US" w:bidi="ar-SA"/>
      </w:rPr>
    </w:lvl>
    <w:lvl w:ilvl="2" w:tplc="E796052C">
      <w:numFmt w:val="bullet"/>
      <w:lvlText w:val="•"/>
      <w:lvlJc w:val="left"/>
      <w:pPr>
        <w:ind w:left="1002" w:hanging="284"/>
      </w:pPr>
      <w:rPr>
        <w:rFonts w:hint="default"/>
        <w:lang w:val="en-US" w:eastAsia="en-US" w:bidi="ar-SA"/>
      </w:rPr>
    </w:lvl>
    <w:lvl w:ilvl="3" w:tplc="DBD62EBE">
      <w:numFmt w:val="bullet"/>
      <w:lvlText w:val="•"/>
      <w:lvlJc w:val="left"/>
      <w:pPr>
        <w:ind w:left="1283" w:hanging="284"/>
      </w:pPr>
      <w:rPr>
        <w:rFonts w:hint="default"/>
        <w:lang w:val="en-US" w:eastAsia="en-US" w:bidi="ar-SA"/>
      </w:rPr>
    </w:lvl>
    <w:lvl w:ilvl="4" w:tplc="A22E571A">
      <w:numFmt w:val="bullet"/>
      <w:lvlText w:val="•"/>
      <w:lvlJc w:val="left"/>
      <w:pPr>
        <w:ind w:left="1564" w:hanging="284"/>
      </w:pPr>
      <w:rPr>
        <w:rFonts w:hint="default"/>
        <w:lang w:val="en-US" w:eastAsia="en-US" w:bidi="ar-SA"/>
      </w:rPr>
    </w:lvl>
    <w:lvl w:ilvl="5" w:tplc="DCC637F6">
      <w:numFmt w:val="bullet"/>
      <w:lvlText w:val="•"/>
      <w:lvlJc w:val="left"/>
      <w:pPr>
        <w:ind w:left="1845" w:hanging="284"/>
      </w:pPr>
      <w:rPr>
        <w:rFonts w:hint="default"/>
        <w:lang w:val="en-US" w:eastAsia="en-US" w:bidi="ar-SA"/>
      </w:rPr>
    </w:lvl>
    <w:lvl w:ilvl="6" w:tplc="2FD41ECE">
      <w:numFmt w:val="bullet"/>
      <w:lvlText w:val="•"/>
      <w:lvlJc w:val="left"/>
      <w:pPr>
        <w:ind w:left="2126" w:hanging="284"/>
      </w:pPr>
      <w:rPr>
        <w:rFonts w:hint="default"/>
        <w:lang w:val="en-US" w:eastAsia="en-US" w:bidi="ar-SA"/>
      </w:rPr>
    </w:lvl>
    <w:lvl w:ilvl="7" w:tplc="0D28F574">
      <w:numFmt w:val="bullet"/>
      <w:lvlText w:val="•"/>
      <w:lvlJc w:val="left"/>
      <w:pPr>
        <w:ind w:left="2407" w:hanging="284"/>
      </w:pPr>
      <w:rPr>
        <w:rFonts w:hint="default"/>
        <w:lang w:val="en-US" w:eastAsia="en-US" w:bidi="ar-SA"/>
      </w:rPr>
    </w:lvl>
    <w:lvl w:ilvl="8" w:tplc="F2AC46D8">
      <w:numFmt w:val="bullet"/>
      <w:lvlText w:val="•"/>
      <w:lvlJc w:val="left"/>
      <w:pPr>
        <w:ind w:left="2688" w:hanging="284"/>
      </w:pPr>
      <w:rPr>
        <w:rFonts w:hint="default"/>
        <w:lang w:val="en-US" w:eastAsia="en-US" w:bidi="ar-SA"/>
      </w:rPr>
    </w:lvl>
  </w:abstractNum>
  <w:abstractNum w:abstractNumId="375" w15:restartNumberingAfterBreak="0">
    <w:nsid w:val="5F300C74"/>
    <w:multiLevelType w:val="hybridMultilevel"/>
    <w:tmpl w:val="CA5CB51A"/>
    <w:lvl w:ilvl="0" w:tplc="482E8574">
      <w:numFmt w:val="bullet"/>
      <w:lvlText w:val=""/>
      <w:lvlJc w:val="left"/>
      <w:pPr>
        <w:ind w:left="448" w:hanging="284"/>
      </w:pPr>
      <w:rPr>
        <w:rFonts w:ascii="Symbol" w:eastAsia="Symbol" w:hAnsi="Symbol" w:cs="Symbol" w:hint="default"/>
        <w:b w:val="0"/>
        <w:bCs w:val="0"/>
        <w:i w:val="0"/>
        <w:iCs w:val="0"/>
        <w:color w:val="70004A"/>
        <w:spacing w:val="0"/>
        <w:w w:val="100"/>
        <w:sz w:val="18"/>
        <w:szCs w:val="18"/>
        <w:lang w:val="en-US" w:eastAsia="en-US" w:bidi="ar-SA"/>
      </w:rPr>
    </w:lvl>
    <w:lvl w:ilvl="1" w:tplc="1572397E">
      <w:numFmt w:val="bullet"/>
      <w:lvlText w:val="•"/>
      <w:lvlJc w:val="left"/>
      <w:pPr>
        <w:ind w:left="603" w:hanging="284"/>
      </w:pPr>
      <w:rPr>
        <w:rFonts w:hint="default"/>
        <w:lang w:val="en-US" w:eastAsia="en-US" w:bidi="ar-SA"/>
      </w:rPr>
    </w:lvl>
    <w:lvl w:ilvl="2" w:tplc="EF5E90CA">
      <w:numFmt w:val="bullet"/>
      <w:lvlText w:val="•"/>
      <w:lvlJc w:val="left"/>
      <w:pPr>
        <w:ind w:left="767" w:hanging="284"/>
      </w:pPr>
      <w:rPr>
        <w:rFonts w:hint="default"/>
        <w:lang w:val="en-US" w:eastAsia="en-US" w:bidi="ar-SA"/>
      </w:rPr>
    </w:lvl>
    <w:lvl w:ilvl="3" w:tplc="080AE964">
      <w:numFmt w:val="bullet"/>
      <w:lvlText w:val="•"/>
      <w:lvlJc w:val="left"/>
      <w:pPr>
        <w:ind w:left="931" w:hanging="284"/>
      </w:pPr>
      <w:rPr>
        <w:rFonts w:hint="default"/>
        <w:lang w:val="en-US" w:eastAsia="en-US" w:bidi="ar-SA"/>
      </w:rPr>
    </w:lvl>
    <w:lvl w:ilvl="4" w:tplc="351CFD06">
      <w:numFmt w:val="bullet"/>
      <w:lvlText w:val="•"/>
      <w:lvlJc w:val="left"/>
      <w:pPr>
        <w:ind w:left="1095" w:hanging="284"/>
      </w:pPr>
      <w:rPr>
        <w:rFonts w:hint="default"/>
        <w:lang w:val="en-US" w:eastAsia="en-US" w:bidi="ar-SA"/>
      </w:rPr>
    </w:lvl>
    <w:lvl w:ilvl="5" w:tplc="7DAA646C">
      <w:numFmt w:val="bullet"/>
      <w:lvlText w:val="•"/>
      <w:lvlJc w:val="left"/>
      <w:pPr>
        <w:ind w:left="1259" w:hanging="284"/>
      </w:pPr>
      <w:rPr>
        <w:rFonts w:hint="default"/>
        <w:lang w:val="en-US" w:eastAsia="en-US" w:bidi="ar-SA"/>
      </w:rPr>
    </w:lvl>
    <w:lvl w:ilvl="6" w:tplc="DA06C53E">
      <w:numFmt w:val="bullet"/>
      <w:lvlText w:val="•"/>
      <w:lvlJc w:val="left"/>
      <w:pPr>
        <w:ind w:left="1422" w:hanging="284"/>
      </w:pPr>
      <w:rPr>
        <w:rFonts w:hint="default"/>
        <w:lang w:val="en-US" w:eastAsia="en-US" w:bidi="ar-SA"/>
      </w:rPr>
    </w:lvl>
    <w:lvl w:ilvl="7" w:tplc="847E35F2">
      <w:numFmt w:val="bullet"/>
      <w:lvlText w:val="•"/>
      <w:lvlJc w:val="left"/>
      <w:pPr>
        <w:ind w:left="1586" w:hanging="284"/>
      </w:pPr>
      <w:rPr>
        <w:rFonts w:hint="default"/>
        <w:lang w:val="en-US" w:eastAsia="en-US" w:bidi="ar-SA"/>
      </w:rPr>
    </w:lvl>
    <w:lvl w:ilvl="8" w:tplc="0FF6B3E4">
      <w:numFmt w:val="bullet"/>
      <w:lvlText w:val="•"/>
      <w:lvlJc w:val="left"/>
      <w:pPr>
        <w:ind w:left="1750" w:hanging="284"/>
      </w:pPr>
      <w:rPr>
        <w:rFonts w:hint="default"/>
        <w:lang w:val="en-US" w:eastAsia="en-US" w:bidi="ar-SA"/>
      </w:rPr>
    </w:lvl>
  </w:abstractNum>
  <w:abstractNum w:abstractNumId="376" w15:restartNumberingAfterBreak="0">
    <w:nsid w:val="5F580986"/>
    <w:multiLevelType w:val="hybridMultilevel"/>
    <w:tmpl w:val="00DEBDD8"/>
    <w:lvl w:ilvl="0" w:tplc="8BF0DC66">
      <w:numFmt w:val="bullet"/>
      <w:lvlText w:val=""/>
      <w:lvlJc w:val="left"/>
      <w:pPr>
        <w:ind w:left="391" w:hanging="284"/>
      </w:pPr>
      <w:rPr>
        <w:rFonts w:ascii="Symbol" w:eastAsia="Symbol" w:hAnsi="Symbol" w:cs="Symbol" w:hint="default"/>
        <w:b w:val="0"/>
        <w:bCs w:val="0"/>
        <w:i w:val="0"/>
        <w:iCs w:val="0"/>
        <w:color w:val="70004A"/>
        <w:spacing w:val="0"/>
        <w:w w:val="100"/>
        <w:sz w:val="18"/>
        <w:szCs w:val="18"/>
        <w:lang w:val="en-US" w:eastAsia="en-US" w:bidi="ar-SA"/>
      </w:rPr>
    </w:lvl>
    <w:lvl w:ilvl="1" w:tplc="AD9EF152">
      <w:numFmt w:val="bullet"/>
      <w:lvlText w:val="•"/>
      <w:lvlJc w:val="left"/>
      <w:pPr>
        <w:ind w:left="636" w:hanging="284"/>
      </w:pPr>
      <w:rPr>
        <w:rFonts w:hint="default"/>
        <w:lang w:val="en-US" w:eastAsia="en-US" w:bidi="ar-SA"/>
      </w:rPr>
    </w:lvl>
    <w:lvl w:ilvl="2" w:tplc="6D5A97A2">
      <w:numFmt w:val="bullet"/>
      <w:lvlText w:val="•"/>
      <w:lvlJc w:val="left"/>
      <w:pPr>
        <w:ind w:left="872" w:hanging="284"/>
      </w:pPr>
      <w:rPr>
        <w:rFonts w:hint="default"/>
        <w:lang w:val="en-US" w:eastAsia="en-US" w:bidi="ar-SA"/>
      </w:rPr>
    </w:lvl>
    <w:lvl w:ilvl="3" w:tplc="8B3850EA">
      <w:numFmt w:val="bullet"/>
      <w:lvlText w:val="•"/>
      <w:lvlJc w:val="left"/>
      <w:pPr>
        <w:ind w:left="1108" w:hanging="284"/>
      </w:pPr>
      <w:rPr>
        <w:rFonts w:hint="default"/>
        <w:lang w:val="en-US" w:eastAsia="en-US" w:bidi="ar-SA"/>
      </w:rPr>
    </w:lvl>
    <w:lvl w:ilvl="4" w:tplc="7E228140">
      <w:numFmt w:val="bullet"/>
      <w:lvlText w:val="•"/>
      <w:lvlJc w:val="left"/>
      <w:pPr>
        <w:ind w:left="1344" w:hanging="284"/>
      </w:pPr>
      <w:rPr>
        <w:rFonts w:hint="default"/>
        <w:lang w:val="en-US" w:eastAsia="en-US" w:bidi="ar-SA"/>
      </w:rPr>
    </w:lvl>
    <w:lvl w:ilvl="5" w:tplc="DF927692">
      <w:numFmt w:val="bullet"/>
      <w:lvlText w:val="•"/>
      <w:lvlJc w:val="left"/>
      <w:pPr>
        <w:ind w:left="1580" w:hanging="284"/>
      </w:pPr>
      <w:rPr>
        <w:rFonts w:hint="default"/>
        <w:lang w:val="en-US" w:eastAsia="en-US" w:bidi="ar-SA"/>
      </w:rPr>
    </w:lvl>
    <w:lvl w:ilvl="6" w:tplc="293094C8">
      <w:numFmt w:val="bullet"/>
      <w:lvlText w:val="•"/>
      <w:lvlJc w:val="left"/>
      <w:pPr>
        <w:ind w:left="1816" w:hanging="284"/>
      </w:pPr>
      <w:rPr>
        <w:rFonts w:hint="default"/>
        <w:lang w:val="en-US" w:eastAsia="en-US" w:bidi="ar-SA"/>
      </w:rPr>
    </w:lvl>
    <w:lvl w:ilvl="7" w:tplc="2526AB6A">
      <w:numFmt w:val="bullet"/>
      <w:lvlText w:val="•"/>
      <w:lvlJc w:val="left"/>
      <w:pPr>
        <w:ind w:left="2052" w:hanging="284"/>
      </w:pPr>
      <w:rPr>
        <w:rFonts w:hint="default"/>
        <w:lang w:val="en-US" w:eastAsia="en-US" w:bidi="ar-SA"/>
      </w:rPr>
    </w:lvl>
    <w:lvl w:ilvl="8" w:tplc="8AFEBEB8">
      <w:numFmt w:val="bullet"/>
      <w:lvlText w:val="•"/>
      <w:lvlJc w:val="left"/>
      <w:pPr>
        <w:ind w:left="2288" w:hanging="284"/>
      </w:pPr>
      <w:rPr>
        <w:rFonts w:hint="default"/>
        <w:lang w:val="en-US" w:eastAsia="en-US" w:bidi="ar-SA"/>
      </w:rPr>
    </w:lvl>
  </w:abstractNum>
  <w:abstractNum w:abstractNumId="377" w15:restartNumberingAfterBreak="0">
    <w:nsid w:val="5FC26297"/>
    <w:multiLevelType w:val="hybridMultilevel"/>
    <w:tmpl w:val="F312A4EC"/>
    <w:lvl w:ilvl="0" w:tplc="81B09F2E">
      <w:numFmt w:val="bullet"/>
      <w:lvlText w:val=""/>
      <w:lvlJc w:val="left"/>
      <w:pPr>
        <w:ind w:left="423" w:hanging="284"/>
      </w:pPr>
      <w:rPr>
        <w:rFonts w:ascii="Symbol" w:eastAsia="Symbol" w:hAnsi="Symbol" w:cs="Symbol" w:hint="default"/>
        <w:b w:val="0"/>
        <w:bCs w:val="0"/>
        <w:i w:val="0"/>
        <w:iCs w:val="0"/>
        <w:color w:val="70004A"/>
        <w:spacing w:val="0"/>
        <w:w w:val="100"/>
        <w:sz w:val="18"/>
        <w:szCs w:val="18"/>
        <w:lang w:val="en-US" w:eastAsia="en-US" w:bidi="ar-SA"/>
      </w:rPr>
    </w:lvl>
    <w:lvl w:ilvl="1" w:tplc="4CE07F8A">
      <w:numFmt w:val="bullet"/>
      <w:lvlText w:val="•"/>
      <w:lvlJc w:val="left"/>
      <w:pPr>
        <w:ind w:left="607" w:hanging="284"/>
      </w:pPr>
      <w:rPr>
        <w:rFonts w:hint="default"/>
        <w:lang w:val="en-US" w:eastAsia="en-US" w:bidi="ar-SA"/>
      </w:rPr>
    </w:lvl>
    <w:lvl w:ilvl="2" w:tplc="78EED12A">
      <w:numFmt w:val="bullet"/>
      <w:lvlText w:val="•"/>
      <w:lvlJc w:val="left"/>
      <w:pPr>
        <w:ind w:left="794" w:hanging="284"/>
      </w:pPr>
      <w:rPr>
        <w:rFonts w:hint="default"/>
        <w:lang w:val="en-US" w:eastAsia="en-US" w:bidi="ar-SA"/>
      </w:rPr>
    </w:lvl>
    <w:lvl w:ilvl="3" w:tplc="CB2ABDF4">
      <w:numFmt w:val="bullet"/>
      <w:lvlText w:val="•"/>
      <w:lvlJc w:val="left"/>
      <w:pPr>
        <w:ind w:left="981" w:hanging="284"/>
      </w:pPr>
      <w:rPr>
        <w:rFonts w:hint="default"/>
        <w:lang w:val="en-US" w:eastAsia="en-US" w:bidi="ar-SA"/>
      </w:rPr>
    </w:lvl>
    <w:lvl w:ilvl="4" w:tplc="DE24ACDA">
      <w:numFmt w:val="bullet"/>
      <w:lvlText w:val="•"/>
      <w:lvlJc w:val="left"/>
      <w:pPr>
        <w:ind w:left="1168" w:hanging="284"/>
      </w:pPr>
      <w:rPr>
        <w:rFonts w:hint="default"/>
        <w:lang w:val="en-US" w:eastAsia="en-US" w:bidi="ar-SA"/>
      </w:rPr>
    </w:lvl>
    <w:lvl w:ilvl="5" w:tplc="DBF01A0C">
      <w:numFmt w:val="bullet"/>
      <w:lvlText w:val="•"/>
      <w:lvlJc w:val="left"/>
      <w:pPr>
        <w:ind w:left="1356" w:hanging="284"/>
      </w:pPr>
      <w:rPr>
        <w:rFonts w:hint="default"/>
        <w:lang w:val="en-US" w:eastAsia="en-US" w:bidi="ar-SA"/>
      </w:rPr>
    </w:lvl>
    <w:lvl w:ilvl="6" w:tplc="7DA24E76">
      <w:numFmt w:val="bullet"/>
      <w:lvlText w:val="•"/>
      <w:lvlJc w:val="left"/>
      <w:pPr>
        <w:ind w:left="1543" w:hanging="284"/>
      </w:pPr>
      <w:rPr>
        <w:rFonts w:hint="default"/>
        <w:lang w:val="en-US" w:eastAsia="en-US" w:bidi="ar-SA"/>
      </w:rPr>
    </w:lvl>
    <w:lvl w:ilvl="7" w:tplc="5CFA7F36">
      <w:numFmt w:val="bullet"/>
      <w:lvlText w:val="•"/>
      <w:lvlJc w:val="left"/>
      <w:pPr>
        <w:ind w:left="1730" w:hanging="284"/>
      </w:pPr>
      <w:rPr>
        <w:rFonts w:hint="default"/>
        <w:lang w:val="en-US" w:eastAsia="en-US" w:bidi="ar-SA"/>
      </w:rPr>
    </w:lvl>
    <w:lvl w:ilvl="8" w:tplc="D4C2D52E">
      <w:numFmt w:val="bullet"/>
      <w:lvlText w:val="•"/>
      <w:lvlJc w:val="left"/>
      <w:pPr>
        <w:ind w:left="1917" w:hanging="284"/>
      </w:pPr>
      <w:rPr>
        <w:rFonts w:hint="default"/>
        <w:lang w:val="en-US" w:eastAsia="en-US" w:bidi="ar-SA"/>
      </w:rPr>
    </w:lvl>
  </w:abstractNum>
  <w:abstractNum w:abstractNumId="378" w15:restartNumberingAfterBreak="0">
    <w:nsid w:val="5FD81B73"/>
    <w:multiLevelType w:val="hybridMultilevel"/>
    <w:tmpl w:val="854088B2"/>
    <w:lvl w:ilvl="0" w:tplc="AF1C6366">
      <w:numFmt w:val="bullet"/>
      <w:lvlText w:val=""/>
      <w:lvlJc w:val="left"/>
      <w:pPr>
        <w:ind w:left="426" w:hanging="284"/>
      </w:pPr>
      <w:rPr>
        <w:rFonts w:ascii="Symbol" w:eastAsia="Symbol" w:hAnsi="Symbol" w:cs="Symbol" w:hint="default"/>
        <w:b w:val="0"/>
        <w:bCs w:val="0"/>
        <w:i w:val="0"/>
        <w:iCs w:val="0"/>
        <w:color w:val="70004A"/>
        <w:spacing w:val="0"/>
        <w:w w:val="100"/>
        <w:sz w:val="18"/>
        <w:szCs w:val="18"/>
        <w:lang w:val="en-US" w:eastAsia="en-US" w:bidi="ar-SA"/>
      </w:rPr>
    </w:lvl>
    <w:lvl w:ilvl="1" w:tplc="9992E5B8">
      <w:numFmt w:val="bullet"/>
      <w:lvlText w:val="•"/>
      <w:lvlJc w:val="left"/>
      <w:pPr>
        <w:ind w:left="617" w:hanging="284"/>
      </w:pPr>
      <w:rPr>
        <w:rFonts w:hint="default"/>
        <w:lang w:val="en-US" w:eastAsia="en-US" w:bidi="ar-SA"/>
      </w:rPr>
    </w:lvl>
    <w:lvl w:ilvl="2" w:tplc="471A3676">
      <w:numFmt w:val="bullet"/>
      <w:lvlText w:val="•"/>
      <w:lvlJc w:val="left"/>
      <w:pPr>
        <w:ind w:left="815" w:hanging="284"/>
      </w:pPr>
      <w:rPr>
        <w:rFonts w:hint="default"/>
        <w:lang w:val="en-US" w:eastAsia="en-US" w:bidi="ar-SA"/>
      </w:rPr>
    </w:lvl>
    <w:lvl w:ilvl="3" w:tplc="96F01B1A">
      <w:numFmt w:val="bullet"/>
      <w:lvlText w:val="•"/>
      <w:lvlJc w:val="left"/>
      <w:pPr>
        <w:ind w:left="1012" w:hanging="284"/>
      </w:pPr>
      <w:rPr>
        <w:rFonts w:hint="default"/>
        <w:lang w:val="en-US" w:eastAsia="en-US" w:bidi="ar-SA"/>
      </w:rPr>
    </w:lvl>
    <w:lvl w:ilvl="4" w:tplc="16EEFEBC">
      <w:numFmt w:val="bullet"/>
      <w:lvlText w:val="•"/>
      <w:lvlJc w:val="left"/>
      <w:pPr>
        <w:ind w:left="1210" w:hanging="284"/>
      </w:pPr>
      <w:rPr>
        <w:rFonts w:hint="default"/>
        <w:lang w:val="en-US" w:eastAsia="en-US" w:bidi="ar-SA"/>
      </w:rPr>
    </w:lvl>
    <w:lvl w:ilvl="5" w:tplc="12A0E64A">
      <w:numFmt w:val="bullet"/>
      <w:lvlText w:val="•"/>
      <w:lvlJc w:val="left"/>
      <w:pPr>
        <w:ind w:left="1408" w:hanging="284"/>
      </w:pPr>
      <w:rPr>
        <w:rFonts w:hint="default"/>
        <w:lang w:val="en-US" w:eastAsia="en-US" w:bidi="ar-SA"/>
      </w:rPr>
    </w:lvl>
    <w:lvl w:ilvl="6" w:tplc="6BE2524E">
      <w:numFmt w:val="bullet"/>
      <w:lvlText w:val="•"/>
      <w:lvlJc w:val="left"/>
      <w:pPr>
        <w:ind w:left="1605" w:hanging="284"/>
      </w:pPr>
      <w:rPr>
        <w:rFonts w:hint="default"/>
        <w:lang w:val="en-US" w:eastAsia="en-US" w:bidi="ar-SA"/>
      </w:rPr>
    </w:lvl>
    <w:lvl w:ilvl="7" w:tplc="DBB2C60C">
      <w:numFmt w:val="bullet"/>
      <w:lvlText w:val="•"/>
      <w:lvlJc w:val="left"/>
      <w:pPr>
        <w:ind w:left="1803" w:hanging="284"/>
      </w:pPr>
      <w:rPr>
        <w:rFonts w:hint="default"/>
        <w:lang w:val="en-US" w:eastAsia="en-US" w:bidi="ar-SA"/>
      </w:rPr>
    </w:lvl>
    <w:lvl w:ilvl="8" w:tplc="63FADBB2">
      <w:numFmt w:val="bullet"/>
      <w:lvlText w:val="•"/>
      <w:lvlJc w:val="left"/>
      <w:pPr>
        <w:ind w:left="2000" w:hanging="284"/>
      </w:pPr>
      <w:rPr>
        <w:rFonts w:hint="default"/>
        <w:lang w:val="en-US" w:eastAsia="en-US" w:bidi="ar-SA"/>
      </w:rPr>
    </w:lvl>
  </w:abstractNum>
  <w:abstractNum w:abstractNumId="379" w15:restartNumberingAfterBreak="0">
    <w:nsid w:val="5FFC040C"/>
    <w:multiLevelType w:val="hybridMultilevel"/>
    <w:tmpl w:val="C11A8B4E"/>
    <w:lvl w:ilvl="0" w:tplc="C2BE7954">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047A2F18">
      <w:numFmt w:val="bullet"/>
      <w:lvlText w:val="•"/>
      <w:lvlJc w:val="left"/>
      <w:pPr>
        <w:ind w:left="643" w:hanging="284"/>
      </w:pPr>
      <w:rPr>
        <w:rFonts w:hint="default"/>
        <w:lang w:val="en-US" w:eastAsia="en-US" w:bidi="ar-SA"/>
      </w:rPr>
    </w:lvl>
    <w:lvl w:ilvl="2" w:tplc="0C682DA8">
      <w:numFmt w:val="bullet"/>
      <w:lvlText w:val="•"/>
      <w:lvlJc w:val="left"/>
      <w:pPr>
        <w:ind w:left="886" w:hanging="284"/>
      </w:pPr>
      <w:rPr>
        <w:rFonts w:hint="default"/>
        <w:lang w:val="en-US" w:eastAsia="en-US" w:bidi="ar-SA"/>
      </w:rPr>
    </w:lvl>
    <w:lvl w:ilvl="3" w:tplc="D2F0E79E">
      <w:numFmt w:val="bullet"/>
      <w:lvlText w:val="•"/>
      <w:lvlJc w:val="left"/>
      <w:pPr>
        <w:ind w:left="1129" w:hanging="284"/>
      </w:pPr>
      <w:rPr>
        <w:rFonts w:hint="default"/>
        <w:lang w:val="en-US" w:eastAsia="en-US" w:bidi="ar-SA"/>
      </w:rPr>
    </w:lvl>
    <w:lvl w:ilvl="4" w:tplc="13FAAC06">
      <w:numFmt w:val="bullet"/>
      <w:lvlText w:val="•"/>
      <w:lvlJc w:val="left"/>
      <w:pPr>
        <w:ind w:left="1373" w:hanging="284"/>
      </w:pPr>
      <w:rPr>
        <w:rFonts w:hint="default"/>
        <w:lang w:val="en-US" w:eastAsia="en-US" w:bidi="ar-SA"/>
      </w:rPr>
    </w:lvl>
    <w:lvl w:ilvl="5" w:tplc="0EC61E86">
      <w:numFmt w:val="bullet"/>
      <w:lvlText w:val="•"/>
      <w:lvlJc w:val="left"/>
      <w:pPr>
        <w:ind w:left="1616" w:hanging="284"/>
      </w:pPr>
      <w:rPr>
        <w:rFonts w:hint="default"/>
        <w:lang w:val="en-US" w:eastAsia="en-US" w:bidi="ar-SA"/>
      </w:rPr>
    </w:lvl>
    <w:lvl w:ilvl="6" w:tplc="536001A0">
      <w:numFmt w:val="bullet"/>
      <w:lvlText w:val="•"/>
      <w:lvlJc w:val="left"/>
      <w:pPr>
        <w:ind w:left="1859" w:hanging="284"/>
      </w:pPr>
      <w:rPr>
        <w:rFonts w:hint="default"/>
        <w:lang w:val="en-US" w:eastAsia="en-US" w:bidi="ar-SA"/>
      </w:rPr>
    </w:lvl>
    <w:lvl w:ilvl="7" w:tplc="915A97E6">
      <w:numFmt w:val="bullet"/>
      <w:lvlText w:val="•"/>
      <w:lvlJc w:val="left"/>
      <w:pPr>
        <w:ind w:left="2103" w:hanging="284"/>
      </w:pPr>
      <w:rPr>
        <w:rFonts w:hint="default"/>
        <w:lang w:val="en-US" w:eastAsia="en-US" w:bidi="ar-SA"/>
      </w:rPr>
    </w:lvl>
    <w:lvl w:ilvl="8" w:tplc="F412F5A6">
      <w:numFmt w:val="bullet"/>
      <w:lvlText w:val="•"/>
      <w:lvlJc w:val="left"/>
      <w:pPr>
        <w:ind w:left="2346" w:hanging="284"/>
      </w:pPr>
      <w:rPr>
        <w:rFonts w:hint="default"/>
        <w:lang w:val="en-US" w:eastAsia="en-US" w:bidi="ar-SA"/>
      </w:rPr>
    </w:lvl>
  </w:abstractNum>
  <w:abstractNum w:abstractNumId="380" w15:restartNumberingAfterBreak="0">
    <w:nsid w:val="60777B03"/>
    <w:multiLevelType w:val="hybridMultilevel"/>
    <w:tmpl w:val="C9C2A6BC"/>
    <w:lvl w:ilvl="0" w:tplc="E4BE131A">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1BE476EA">
      <w:numFmt w:val="bullet"/>
      <w:lvlText w:val="•"/>
      <w:lvlJc w:val="left"/>
      <w:pPr>
        <w:ind w:left="671" w:hanging="284"/>
      </w:pPr>
      <w:rPr>
        <w:rFonts w:hint="default"/>
        <w:lang w:val="en-US" w:eastAsia="en-US" w:bidi="ar-SA"/>
      </w:rPr>
    </w:lvl>
    <w:lvl w:ilvl="2" w:tplc="55FE4D54">
      <w:numFmt w:val="bullet"/>
      <w:lvlText w:val="•"/>
      <w:lvlJc w:val="left"/>
      <w:pPr>
        <w:ind w:left="943" w:hanging="284"/>
      </w:pPr>
      <w:rPr>
        <w:rFonts w:hint="default"/>
        <w:lang w:val="en-US" w:eastAsia="en-US" w:bidi="ar-SA"/>
      </w:rPr>
    </w:lvl>
    <w:lvl w:ilvl="3" w:tplc="FBCC748A">
      <w:numFmt w:val="bullet"/>
      <w:lvlText w:val="•"/>
      <w:lvlJc w:val="left"/>
      <w:pPr>
        <w:ind w:left="1214" w:hanging="284"/>
      </w:pPr>
      <w:rPr>
        <w:rFonts w:hint="default"/>
        <w:lang w:val="en-US" w:eastAsia="en-US" w:bidi="ar-SA"/>
      </w:rPr>
    </w:lvl>
    <w:lvl w:ilvl="4" w:tplc="695A1BCA">
      <w:numFmt w:val="bullet"/>
      <w:lvlText w:val="•"/>
      <w:lvlJc w:val="left"/>
      <w:pPr>
        <w:ind w:left="1486" w:hanging="284"/>
      </w:pPr>
      <w:rPr>
        <w:rFonts w:hint="default"/>
        <w:lang w:val="en-US" w:eastAsia="en-US" w:bidi="ar-SA"/>
      </w:rPr>
    </w:lvl>
    <w:lvl w:ilvl="5" w:tplc="5C8E0F98">
      <w:numFmt w:val="bullet"/>
      <w:lvlText w:val="•"/>
      <w:lvlJc w:val="left"/>
      <w:pPr>
        <w:ind w:left="1757" w:hanging="284"/>
      </w:pPr>
      <w:rPr>
        <w:rFonts w:hint="default"/>
        <w:lang w:val="en-US" w:eastAsia="en-US" w:bidi="ar-SA"/>
      </w:rPr>
    </w:lvl>
    <w:lvl w:ilvl="6" w:tplc="860614B8">
      <w:numFmt w:val="bullet"/>
      <w:lvlText w:val="•"/>
      <w:lvlJc w:val="left"/>
      <w:pPr>
        <w:ind w:left="2029" w:hanging="284"/>
      </w:pPr>
      <w:rPr>
        <w:rFonts w:hint="default"/>
        <w:lang w:val="en-US" w:eastAsia="en-US" w:bidi="ar-SA"/>
      </w:rPr>
    </w:lvl>
    <w:lvl w:ilvl="7" w:tplc="3CC47E5A">
      <w:numFmt w:val="bullet"/>
      <w:lvlText w:val="•"/>
      <w:lvlJc w:val="left"/>
      <w:pPr>
        <w:ind w:left="2300" w:hanging="284"/>
      </w:pPr>
      <w:rPr>
        <w:rFonts w:hint="default"/>
        <w:lang w:val="en-US" w:eastAsia="en-US" w:bidi="ar-SA"/>
      </w:rPr>
    </w:lvl>
    <w:lvl w:ilvl="8" w:tplc="E39467A6">
      <w:numFmt w:val="bullet"/>
      <w:lvlText w:val="•"/>
      <w:lvlJc w:val="left"/>
      <w:pPr>
        <w:ind w:left="2572" w:hanging="284"/>
      </w:pPr>
      <w:rPr>
        <w:rFonts w:hint="default"/>
        <w:lang w:val="en-US" w:eastAsia="en-US" w:bidi="ar-SA"/>
      </w:rPr>
    </w:lvl>
  </w:abstractNum>
  <w:abstractNum w:abstractNumId="381" w15:restartNumberingAfterBreak="0">
    <w:nsid w:val="60835255"/>
    <w:multiLevelType w:val="hybridMultilevel"/>
    <w:tmpl w:val="C1CAD9A2"/>
    <w:lvl w:ilvl="0" w:tplc="DE3E73E0">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D59EC0DA">
      <w:numFmt w:val="bullet"/>
      <w:lvlText w:val="•"/>
      <w:lvlJc w:val="left"/>
      <w:pPr>
        <w:ind w:left="671" w:hanging="284"/>
      </w:pPr>
      <w:rPr>
        <w:rFonts w:hint="default"/>
        <w:lang w:val="en-US" w:eastAsia="en-US" w:bidi="ar-SA"/>
      </w:rPr>
    </w:lvl>
    <w:lvl w:ilvl="2" w:tplc="200A79BC">
      <w:numFmt w:val="bullet"/>
      <w:lvlText w:val="•"/>
      <w:lvlJc w:val="left"/>
      <w:pPr>
        <w:ind w:left="943" w:hanging="284"/>
      </w:pPr>
      <w:rPr>
        <w:rFonts w:hint="default"/>
        <w:lang w:val="en-US" w:eastAsia="en-US" w:bidi="ar-SA"/>
      </w:rPr>
    </w:lvl>
    <w:lvl w:ilvl="3" w:tplc="7C4CCDB4">
      <w:numFmt w:val="bullet"/>
      <w:lvlText w:val="•"/>
      <w:lvlJc w:val="left"/>
      <w:pPr>
        <w:ind w:left="1214" w:hanging="284"/>
      </w:pPr>
      <w:rPr>
        <w:rFonts w:hint="default"/>
        <w:lang w:val="en-US" w:eastAsia="en-US" w:bidi="ar-SA"/>
      </w:rPr>
    </w:lvl>
    <w:lvl w:ilvl="4" w:tplc="FBE63BE6">
      <w:numFmt w:val="bullet"/>
      <w:lvlText w:val="•"/>
      <w:lvlJc w:val="left"/>
      <w:pPr>
        <w:ind w:left="1486" w:hanging="284"/>
      </w:pPr>
      <w:rPr>
        <w:rFonts w:hint="default"/>
        <w:lang w:val="en-US" w:eastAsia="en-US" w:bidi="ar-SA"/>
      </w:rPr>
    </w:lvl>
    <w:lvl w:ilvl="5" w:tplc="55C2440A">
      <w:numFmt w:val="bullet"/>
      <w:lvlText w:val="•"/>
      <w:lvlJc w:val="left"/>
      <w:pPr>
        <w:ind w:left="1757" w:hanging="284"/>
      </w:pPr>
      <w:rPr>
        <w:rFonts w:hint="default"/>
        <w:lang w:val="en-US" w:eastAsia="en-US" w:bidi="ar-SA"/>
      </w:rPr>
    </w:lvl>
    <w:lvl w:ilvl="6" w:tplc="C726B492">
      <w:numFmt w:val="bullet"/>
      <w:lvlText w:val="•"/>
      <w:lvlJc w:val="left"/>
      <w:pPr>
        <w:ind w:left="2029" w:hanging="284"/>
      </w:pPr>
      <w:rPr>
        <w:rFonts w:hint="default"/>
        <w:lang w:val="en-US" w:eastAsia="en-US" w:bidi="ar-SA"/>
      </w:rPr>
    </w:lvl>
    <w:lvl w:ilvl="7" w:tplc="D8BADD52">
      <w:numFmt w:val="bullet"/>
      <w:lvlText w:val="•"/>
      <w:lvlJc w:val="left"/>
      <w:pPr>
        <w:ind w:left="2300" w:hanging="284"/>
      </w:pPr>
      <w:rPr>
        <w:rFonts w:hint="default"/>
        <w:lang w:val="en-US" w:eastAsia="en-US" w:bidi="ar-SA"/>
      </w:rPr>
    </w:lvl>
    <w:lvl w:ilvl="8" w:tplc="1F0ECDDA">
      <w:numFmt w:val="bullet"/>
      <w:lvlText w:val="•"/>
      <w:lvlJc w:val="left"/>
      <w:pPr>
        <w:ind w:left="2572" w:hanging="284"/>
      </w:pPr>
      <w:rPr>
        <w:rFonts w:hint="default"/>
        <w:lang w:val="en-US" w:eastAsia="en-US" w:bidi="ar-SA"/>
      </w:rPr>
    </w:lvl>
  </w:abstractNum>
  <w:abstractNum w:abstractNumId="382" w15:restartNumberingAfterBreak="0">
    <w:nsid w:val="60A86895"/>
    <w:multiLevelType w:val="hybridMultilevel"/>
    <w:tmpl w:val="DDF48058"/>
    <w:lvl w:ilvl="0" w:tplc="13284800">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B5FE80D4">
      <w:numFmt w:val="bullet"/>
      <w:lvlText w:val="•"/>
      <w:lvlJc w:val="left"/>
      <w:pPr>
        <w:ind w:left="642" w:hanging="284"/>
      </w:pPr>
      <w:rPr>
        <w:rFonts w:hint="default"/>
        <w:lang w:val="en-US" w:eastAsia="en-US" w:bidi="ar-SA"/>
      </w:rPr>
    </w:lvl>
    <w:lvl w:ilvl="2" w:tplc="E912FC32">
      <w:numFmt w:val="bullet"/>
      <w:lvlText w:val="•"/>
      <w:lvlJc w:val="left"/>
      <w:pPr>
        <w:ind w:left="885" w:hanging="284"/>
      </w:pPr>
      <w:rPr>
        <w:rFonts w:hint="default"/>
        <w:lang w:val="en-US" w:eastAsia="en-US" w:bidi="ar-SA"/>
      </w:rPr>
    </w:lvl>
    <w:lvl w:ilvl="3" w:tplc="9DAEB816">
      <w:numFmt w:val="bullet"/>
      <w:lvlText w:val="•"/>
      <w:lvlJc w:val="left"/>
      <w:pPr>
        <w:ind w:left="1128" w:hanging="284"/>
      </w:pPr>
      <w:rPr>
        <w:rFonts w:hint="default"/>
        <w:lang w:val="en-US" w:eastAsia="en-US" w:bidi="ar-SA"/>
      </w:rPr>
    </w:lvl>
    <w:lvl w:ilvl="4" w:tplc="AE4C2A0E">
      <w:numFmt w:val="bullet"/>
      <w:lvlText w:val="•"/>
      <w:lvlJc w:val="left"/>
      <w:pPr>
        <w:ind w:left="1371" w:hanging="284"/>
      </w:pPr>
      <w:rPr>
        <w:rFonts w:hint="default"/>
        <w:lang w:val="en-US" w:eastAsia="en-US" w:bidi="ar-SA"/>
      </w:rPr>
    </w:lvl>
    <w:lvl w:ilvl="5" w:tplc="B204D6B8">
      <w:numFmt w:val="bullet"/>
      <w:lvlText w:val="•"/>
      <w:lvlJc w:val="left"/>
      <w:pPr>
        <w:ind w:left="1614" w:hanging="284"/>
      </w:pPr>
      <w:rPr>
        <w:rFonts w:hint="default"/>
        <w:lang w:val="en-US" w:eastAsia="en-US" w:bidi="ar-SA"/>
      </w:rPr>
    </w:lvl>
    <w:lvl w:ilvl="6" w:tplc="E794BDB4">
      <w:numFmt w:val="bullet"/>
      <w:lvlText w:val="•"/>
      <w:lvlJc w:val="left"/>
      <w:pPr>
        <w:ind w:left="1856" w:hanging="284"/>
      </w:pPr>
      <w:rPr>
        <w:rFonts w:hint="default"/>
        <w:lang w:val="en-US" w:eastAsia="en-US" w:bidi="ar-SA"/>
      </w:rPr>
    </w:lvl>
    <w:lvl w:ilvl="7" w:tplc="449689DE">
      <w:numFmt w:val="bullet"/>
      <w:lvlText w:val="•"/>
      <w:lvlJc w:val="left"/>
      <w:pPr>
        <w:ind w:left="2099" w:hanging="284"/>
      </w:pPr>
      <w:rPr>
        <w:rFonts w:hint="default"/>
        <w:lang w:val="en-US" w:eastAsia="en-US" w:bidi="ar-SA"/>
      </w:rPr>
    </w:lvl>
    <w:lvl w:ilvl="8" w:tplc="AB627EE6">
      <w:numFmt w:val="bullet"/>
      <w:lvlText w:val="•"/>
      <w:lvlJc w:val="left"/>
      <w:pPr>
        <w:ind w:left="2342" w:hanging="284"/>
      </w:pPr>
      <w:rPr>
        <w:rFonts w:hint="default"/>
        <w:lang w:val="en-US" w:eastAsia="en-US" w:bidi="ar-SA"/>
      </w:rPr>
    </w:lvl>
  </w:abstractNum>
  <w:abstractNum w:abstractNumId="383" w15:restartNumberingAfterBreak="0">
    <w:nsid w:val="60F14FF0"/>
    <w:multiLevelType w:val="hybridMultilevel"/>
    <w:tmpl w:val="F76EDD3A"/>
    <w:lvl w:ilvl="0" w:tplc="B53075B8">
      <w:numFmt w:val="bullet"/>
      <w:lvlText w:val=""/>
      <w:lvlJc w:val="left"/>
      <w:pPr>
        <w:ind w:left="482" w:hanging="284"/>
      </w:pPr>
      <w:rPr>
        <w:rFonts w:ascii="Symbol" w:eastAsia="Symbol" w:hAnsi="Symbol" w:cs="Symbol" w:hint="default"/>
        <w:b w:val="0"/>
        <w:bCs w:val="0"/>
        <w:i w:val="0"/>
        <w:iCs w:val="0"/>
        <w:color w:val="70004A"/>
        <w:spacing w:val="0"/>
        <w:w w:val="100"/>
        <w:sz w:val="18"/>
        <w:szCs w:val="18"/>
        <w:lang w:val="en-US" w:eastAsia="en-US" w:bidi="ar-SA"/>
      </w:rPr>
    </w:lvl>
    <w:lvl w:ilvl="1" w:tplc="9CD8980A">
      <w:numFmt w:val="bullet"/>
      <w:lvlText w:val="•"/>
      <w:lvlJc w:val="left"/>
      <w:pPr>
        <w:ind w:left="748" w:hanging="284"/>
      </w:pPr>
      <w:rPr>
        <w:rFonts w:hint="default"/>
        <w:lang w:val="en-US" w:eastAsia="en-US" w:bidi="ar-SA"/>
      </w:rPr>
    </w:lvl>
    <w:lvl w:ilvl="2" w:tplc="4C64F402">
      <w:numFmt w:val="bullet"/>
      <w:lvlText w:val="•"/>
      <w:lvlJc w:val="left"/>
      <w:pPr>
        <w:ind w:left="1016" w:hanging="284"/>
      </w:pPr>
      <w:rPr>
        <w:rFonts w:hint="default"/>
        <w:lang w:val="en-US" w:eastAsia="en-US" w:bidi="ar-SA"/>
      </w:rPr>
    </w:lvl>
    <w:lvl w:ilvl="3" w:tplc="989C1CB2">
      <w:numFmt w:val="bullet"/>
      <w:lvlText w:val="•"/>
      <w:lvlJc w:val="left"/>
      <w:pPr>
        <w:ind w:left="1284" w:hanging="284"/>
      </w:pPr>
      <w:rPr>
        <w:rFonts w:hint="default"/>
        <w:lang w:val="en-US" w:eastAsia="en-US" w:bidi="ar-SA"/>
      </w:rPr>
    </w:lvl>
    <w:lvl w:ilvl="4" w:tplc="625CF220">
      <w:numFmt w:val="bullet"/>
      <w:lvlText w:val="•"/>
      <w:lvlJc w:val="left"/>
      <w:pPr>
        <w:ind w:left="1552" w:hanging="284"/>
      </w:pPr>
      <w:rPr>
        <w:rFonts w:hint="default"/>
        <w:lang w:val="en-US" w:eastAsia="en-US" w:bidi="ar-SA"/>
      </w:rPr>
    </w:lvl>
    <w:lvl w:ilvl="5" w:tplc="66122480">
      <w:numFmt w:val="bullet"/>
      <w:lvlText w:val="•"/>
      <w:lvlJc w:val="left"/>
      <w:pPr>
        <w:ind w:left="1820" w:hanging="284"/>
      </w:pPr>
      <w:rPr>
        <w:rFonts w:hint="default"/>
        <w:lang w:val="en-US" w:eastAsia="en-US" w:bidi="ar-SA"/>
      </w:rPr>
    </w:lvl>
    <w:lvl w:ilvl="6" w:tplc="94F2A816">
      <w:numFmt w:val="bullet"/>
      <w:lvlText w:val="•"/>
      <w:lvlJc w:val="left"/>
      <w:pPr>
        <w:ind w:left="2088" w:hanging="284"/>
      </w:pPr>
      <w:rPr>
        <w:rFonts w:hint="default"/>
        <w:lang w:val="en-US" w:eastAsia="en-US" w:bidi="ar-SA"/>
      </w:rPr>
    </w:lvl>
    <w:lvl w:ilvl="7" w:tplc="D242A932">
      <w:numFmt w:val="bullet"/>
      <w:lvlText w:val="•"/>
      <w:lvlJc w:val="left"/>
      <w:pPr>
        <w:ind w:left="2356" w:hanging="284"/>
      </w:pPr>
      <w:rPr>
        <w:rFonts w:hint="default"/>
        <w:lang w:val="en-US" w:eastAsia="en-US" w:bidi="ar-SA"/>
      </w:rPr>
    </w:lvl>
    <w:lvl w:ilvl="8" w:tplc="85C2D64E">
      <w:numFmt w:val="bullet"/>
      <w:lvlText w:val="•"/>
      <w:lvlJc w:val="left"/>
      <w:pPr>
        <w:ind w:left="2624" w:hanging="284"/>
      </w:pPr>
      <w:rPr>
        <w:rFonts w:hint="default"/>
        <w:lang w:val="en-US" w:eastAsia="en-US" w:bidi="ar-SA"/>
      </w:rPr>
    </w:lvl>
  </w:abstractNum>
  <w:abstractNum w:abstractNumId="384" w15:restartNumberingAfterBreak="0">
    <w:nsid w:val="612041ED"/>
    <w:multiLevelType w:val="hybridMultilevel"/>
    <w:tmpl w:val="AFEEAD5E"/>
    <w:lvl w:ilvl="0" w:tplc="62C6D7C6">
      <w:start w:val="1"/>
      <w:numFmt w:val="decimal"/>
      <w:lvlText w:val="%1."/>
      <w:lvlJc w:val="left"/>
      <w:pPr>
        <w:ind w:left="578" w:hanging="425"/>
      </w:pPr>
      <w:rPr>
        <w:rFonts w:ascii="Arial" w:eastAsia="Arial" w:hAnsi="Arial" w:cs="Arial" w:hint="default"/>
        <w:b w:val="0"/>
        <w:bCs w:val="0"/>
        <w:i w:val="0"/>
        <w:iCs w:val="0"/>
        <w:color w:val="70004A"/>
        <w:spacing w:val="-1"/>
        <w:w w:val="100"/>
        <w:sz w:val="14"/>
        <w:szCs w:val="14"/>
        <w:lang w:val="en-US" w:eastAsia="en-US" w:bidi="ar-SA"/>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5" w15:restartNumberingAfterBreak="0">
    <w:nsid w:val="612B0C46"/>
    <w:multiLevelType w:val="hybridMultilevel"/>
    <w:tmpl w:val="3280A0E2"/>
    <w:lvl w:ilvl="0" w:tplc="A9C6B194">
      <w:start w:val="1"/>
      <w:numFmt w:val="decimal"/>
      <w:lvlText w:val="%1."/>
      <w:lvlJc w:val="left"/>
      <w:pPr>
        <w:ind w:left="927" w:hanging="360"/>
      </w:pPr>
      <w:rPr>
        <w:rFonts w:ascii="Arial" w:eastAsia="Arial" w:hAnsi="Arial" w:cs="Arial" w:hint="default"/>
        <w:b/>
        <w:bCs/>
        <w:i w:val="0"/>
        <w:iCs w:val="0"/>
        <w:color w:val="70004A"/>
        <w:spacing w:val="0"/>
        <w:w w:val="100"/>
        <w:sz w:val="20"/>
        <w:szCs w:val="20"/>
        <w:lang w:val="en-US" w:eastAsia="en-US" w:bidi="ar-SA"/>
      </w:rPr>
    </w:lvl>
    <w:lvl w:ilvl="1" w:tplc="2AA691E0">
      <w:start w:val="1"/>
      <w:numFmt w:val="lowerLetter"/>
      <w:lvlText w:val="%2."/>
      <w:lvlJc w:val="left"/>
      <w:pPr>
        <w:ind w:left="1352" w:hanging="425"/>
      </w:pPr>
      <w:rPr>
        <w:rFonts w:ascii="Arial" w:eastAsia="Arial" w:hAnsi="Arial" w:cs="Arial" w:hint="default"/>
        <w:b w:val="0"/>
        <w:bCs w:val="0"/>
        <w:i w:val="0"/>
        <w:iCs w:val="0"/>
        <w:color w:val="70004A"/>
        <w:spacing w:val="0"/>
        <w:w w:val="100"/>
        <w:sz w:val="20"/>
        <w:szCs w:val="20"/>
        <w:lang w:val="en-US" w:eastAsia="en-US" w:bidi="ar-SA"/>
      </w:rPr>
    </w:lvl>
    <w:lvl w:ilvl="2" w:tplc="CB2A8C66">
      <w:numFmt w:val="bullet"/>
      <w:lvlText w:val="•"/>
      <w:lvlJc w:val="left"/>
      <w:pPr>
        <w:ind w:left="2406" w:hanging="425"/>
      </w:pPr>
      <w:rPr>
        <w:rFonts w:hint="default"/>
        <w:lang w:val="en-US" w:eastAsia="en-US" w:bidi="ar-SA"/>
      </w:rPr>
    </w:lvl>
    <w:lvl w:ilvl="3" w:tplc="8BBC2706">
      <w:numFmt w:val="bullet"/>
      <w:lvlText w:val="•"/>
      <w:lvlJc w:val="left"/>
      <w:pPr>
        <w:ind w:left="3452" w:hanging="425"/>
      </w:pPr>
      <w:rPr>
        <w:rFonts w:hint="default"/>
        <w:lang w:val="en-US" w:eastAsia="en-US" w:bidi="ar-SA"/>
      </w:rPr>
    </w:lvl>
    <w:lvl w:ilvl="4" w:tplc="8ED4EBDE">
      <w:numFmt w:val="bullet"/>
      <w:lvlText w:val="•"/>
      <w:lvlJc w:val="left"/>
      <w:pPr>
        <w:ind w:left="4498" w:hanging="425"/>
      </w:pPr>
      <w:rPr>
        <w:rFonts w:hint="default"/>
        <w:lang w:val="en-US" w:eastAsia="en-US" w:bidi="ar-SA"/>
      </w:rPr>
    </w:lvl>
    <w:lvl w:ilvl="5" w:tplc="62643618">
      <w:numFmt w:val="bullet"/>
      <w:lvlText w:val="•"/>
      <w:lvlJc w:val="left"/>
      <w:pPr>
        <w:ind w:left="5544" w:hanging="425"/>
      </w:pPr>
      <w:rPr>
        <w:rFonts w:hint="default"/>
        <w:lang w:val="en-US" w:eastAsia="en-US" w:bidi="ar-SA"/>
      </w:rPr>
    </w:lvl>
    <w:lvl w:ilvl="6" w:tplc="C9229C4C">
      <w:numFmt w:val="bullet"/>
      <w:lvlText w:val="•"/>
      <w:lvlJc w:val="left"/>
      <w:pPr>
        <w:ind w:left="6590" w:hanging="425"/>
      </w:pPr>
      <w:rPr>
        <w:rFonts w:hint="default"/>
        <w:lang w:val="en-US" w:eastAsia="en-US" w:bidi="ar-SA"/>
      </w:rPr>
    </w:lvl>
    <w:lvl w:ilvl="7" w:tplc="7E5C318C">
      <w:numFmt w:val="bullet"/>
      <w:lvlText w:val="•"/>
      <w:lvlJc w:val="left"/>
      <w:pPr>
        <w:ind w:left="7636" w:hanging="425"/>
      </w:pPr>
      <w:rPr>
        <w:rFonts w:hint="default"/>
        <w:lang w:val="en-US" w:eastAsia="en-US" w:bidi="ar-SA"/>
      </w:rPr>
    </w:lvl>
    <w:lvl w:ilvl="8" w:tplc="406014F0">
      <w:numFmt w:val="bullet"/>
      <w:lvlText w:val="•"/>
      <w:lvlJc w:val="left"/>
      <w:pPr>
        <w:ind w:left="8682" w:hanging="425"/>
      </w:pPr>
      <w:rPr>
        <w:rFonts w:hint="default"/>
        <w:lang w:val="en-US" w:eastAsia="en-US" w:bidi="ar-SA"/>
      </w:rPr>
    </w:lvl>
  </w:abstractNum>
  <w:abstractNum w:abstractNumId="386" w15:restartNumberingAfterBreak="0">
    <w:nsid w:val="613152A9"/>
    <w:multiLevelType w:val="hybridMultilevel"/>
    <w:tmpl w:val="E996B996"/>
    <w:lvl w:ilvl="0" w:tplc="25CA1EBA">
      <w:numFmt w:val="bullet"/>
      <w:lvlText w:val=""/>
      <w:lvlJc w:val="left"/>
      <w:pPr>
        <w:ind w:left="480" w:hanging="284"/>
      </w:pPr>
      <w:rPr>
        <w:rFonts w:ascii="Symbol" w:eastAsia="Symbol" w:hAnsi="Symbol" w:cs="Symbol" w:hint="default"/>
        <w:b w:val="0"/>
        <w:bCs w:val="0"/>
        <w:i w:val="0"/>
        <w:iCs w:val="0"/>
        <w:color w:val="70004A"/>
        <w:spacing w:val="0"/>
        <w:w w:val="100"/>
        <w:sz w:val="18"/>
        <w:szCs w:val="18"/>
        <w:lang w:val="en-US" w:eastAsia="en-US" w:bidi="ar-SA"/>
      </w:rPr>
    </w:lvl>
    <w:lvl w:ilvl="1" w:tplc="46C8D054">
      <w:numFmt w:val="bullet"/>
      <w:lvlText w:val="•"/>
      <w:lvlJc w:val="left"/>
      <w:pPr>
        <w:ind w:left="782" w:hanging="284"/>
      </w:pPr>
      <w:rPr>
        <w:rFonts w:hint="default"/>
        <w:lang w:val="en-US" w:eastAsia="en-US" w:bidi="ar-SA"/>
      </w:rPr>
    </w:lvl>
    <w:lvl w:ilvl="2" w:tplc="CE702BA6">
      <w:numFmt w:val="bullet"/>
      <w:lvlText w:val="•"/>
      <w:lvlJc w:val="left"/>
      <w:pPr>
        <w:ind w:left="1084" w:hanging="284"/>
      </w:pPr>
      <w:rPr>
        <w:rFonts w:hint="default"/>
        <w:lang w:val="en-US" w:eastAsia="en-US" w:bidi="ar-SA"/>
      </w:rPr>
    </w:lvl>
    <w:lvl w:ilvl="3" w:tplc="0C56821A">
      <w:numFmt w:val="bullet"/>
      <w:lvlText w:val="•"/>
      <w:lvlJc w:val="left"/>
      <w:pPr>
        <w:ind w:left="1386" w:hanging="284"/>
      </w:pPr>
      <w:rPr>
        <w:rFonts w:hint="default"/>
        <w:lang w:val="en-US" w:eastAsia="en-US" w:bidi="ar-SA"/>
      </w:rPr>
    </w:lvl>
    <w:lvl w:ilvl="4" w:tplc="C2EECBDA">
      <w:numFmt w:val="bullet"/>
      <w:lvlText w:val="•"/>
      <w:lvlJc w:val="left"/>
      <w:pPr>
        <w:ind w:left="1688" w:hanging="284"/>
      </w:pPr>
      <w:rPr>
        <w:rFonts w:hint="default"/>
        <w:lang w:val="en-US" w:eastAsia="en-US" w:bidi="ar-SA"/>
      </w:rPr>
    </w:lvl>
    <w:lvl w:ilvl="5" w:tplc="0C009E22">
      <w:numFmt w:val="bullet"/>
      <w:lvlText w:val="•"/>
      <w:lvlJc w:val="left"/>
      <w:pPr>
        <w:ind w:left="1990" w:hanging="284"/>
      </w:pPr>
      <w:rPr>
        <w:rFonts w:hint="default"/>
        <w:lang w:val="en-US" w:eastAsia="en-US" w:bidi="ar-SA"/>
      </w:rPr>
    </w:lvl>
    <w:lvl w:ilvl="6" w:tplc="291EB35C">
      <w:numFmt w:val="bullet"/>
      <w:lvlText w:val="•"/>
      <w:lvlJc w:val="left"/>
      <w:pPr>
        <w:ind w:left="2292" w:hanging="284"/>
      </w:pPr>
      <w:rPr>
        <w:rFonts w:hint="default"/>
        <w:lang w:val="en-US" w:eastAsia="en-US" w:bidi="ar-SA"/>
      </w:rPr>
    </w:lvl>
    <w:lvl w:ilvl="7" w:tplc="66BE0944">
      <w:numFmt w:val="bullet"/>
      <w:lvlText w:val="•"/>
      <w:lvlJc w:val="left"/>
      <w:pPr>
        <w:ind w:left="2594" w:hanging="284"/>
      </w:pPr>
      <w:rPr>
        <w:rFonts w:hint="default"/>
        <w:lang w:val="en-US" w:eastAsia="en-US" w:bidi="ar-SA"/>
      </w:rPr>
    </w:lvl>
    <w:lvl w:ilvl="8" w:tplc="E888580E">
      <w:numFmt w:val="bullet"/>
      <w:lvlText w:val="•"/>
      <w:lvlJc w:val="left"/>
      <w:pPr>
        <w:ind w:left="2896" w:hanging="284"/>
      </w:pPr>
      <w:rPr>
        <w:rFonts w:hint="default"/>
        <w:lang w:val="en-US" w:eastAsia="en-US" w:bidi="ar-SA"/>
      </w:rPr>
    </w:lvl>
  </w:abstractNum>
  <w:abstractNum w:abstractNumId="387" w15:restartNumberingAfterBreak="0">
    <w:nsid w:val="61680E42"/>
    <w:multiLevelType w:val="hybridMultilevel"/>
    <w:tmpl w:val="3E1055BE"/>
    <w:lvl w:ilvl="0" w:tplc="CD54CA90">
      <w:numFmt w:val="bullet"/>
      <w:lvlText w:val=""/>
      <w:lvlJc w:val="left"/>
      <w:pPr>
        <w:ind w:left="424" w:hanging="284"/>
      </w:pPr>
      <w:rPr>
        <w:rFonts w:ascii="Symbol" w:eastAsia="Symbol" w:hAnsi="Symbol" w:cs="Symbol" w:hint="default"/>
        <w:b w:val="0"/>
        <w:bCs w:val="0"/>
        <w:i w:val="0"/>
        <w:iCs w:val="0"/>
        <w:color w:val="70004A"/>
        <w:spacing w:val="0"/>
        <w:w w:val="100"/>
        <w:sz w:val="18"/>
        <w:szCs w:val="18"/>
        <w:lang w:val="en-US" w:eastAsia="en-US" w:bidi="ar-SA"/>
      </w:rPr>
    </w:lvl>
    <w:lvl w:ilvl="1" w:tplc="A34E77A8">
      <w:numFmt w:val="bullet"/>
      <w:lvlText w:val="•"/>
      <w:lvlJc w:val="left"/>
      <w:pPr>
        <w:ind w:left="585" w:hanging="284"/>
      </w:pPr>
      <w:rPr>
        <w:rFonts w:hint="default"/>
        <w:lang w:val="en-US" w:eastAsia="en-US" w:bidi="ar-SA"/>
      </w:rPr>
    </w:lvl>
    <w:lvl w:ilvl="2" w:tplc="C56084F8">
      <w:numFmt w:val="bullet"/>
      <w:lvlText w:val="•"/>
      <w:lvlJc w:val="left"/>
      <w:pPr>
        <w:ind w:left="751" w:hanging="284"/>
      </w:pPr>
      <w:rPr>
        <w:rFonts w:hint="default"/>
        <w:lang w:val="en-US" w:eastAsia="en-US" w:bidi="ar-SA"/>
      </w:rPr>
    </w:lvl>
    <w:lvl w:ilvl="3" w:tplc="8EFE0C26">
      <w:numFmt w:val="bullet"/>
      <w:lvlText w:val="•"/>
      <w:lvlJc w:val="left"/>
      <w:pPr>
        <w:ind w:left="916" w:hanging="284"/>
      </w:pPr>
      <w:rPr>
        <w:rFonts w:hint="default"/>
        <w:lang w:val="en-US" w:eastAsia="en-US" w:bidi="ar-SA"/>
      </w:rPr>
    </w:lvl>
    <w:lvl w:ilvl="4" w:tplc="5CA25026">
      <w:numFmt w:val="bullet"/>
      <w:lvlText w:val="•"/>
      <w:lvlJc w:val="left"/>
      <w:pPr>
        <w:ind w:left="1082" w:hanging="284"/>
      </w:pPr>
      <w:rPr>
        <w:rFonts w:hint="default"/>
        <w:lang w:val="en-US" w:eastAsia="en-US" w:bidi="ar-SA"/>
      </w:rPr>
    </w:lvl>
    <w:lvl w:ilvl="5" w:tplc="3C46C4C8">
      <w:numFmt w:val="bullet"/>
      <w:lvlText w:val="•"/>
      <w:lvlJc w:val="left"/>
      <w:pPr>
        <w:ind w:left="1247" w:hanging="284"/>
      </w:pPr>
      <w:rPr>
        <w:rFonts w:hint="default"/>
        <w:lang w:val="en-US" w:eastAsia="en-US" w:bidi="ar-SA"/>
      </w:rPr>
    </w:lvl>
    <w:lvl w:ilvl="6" w:tplc="AF165BEC">
      <w:numFmt w:val="bullet"/>
      <w:lvlText w:val="•"/>
      <w:lvlJc w:val="left"/>
      <w:pPr>
        <w:ind w:left="1413" w:hanging="284"/>
      </w:pPr>
      <w:rPr>
        <w:rFonts w:hint="default"/>
        <w:lang w:val="en-US" w:eastAsia="en-US" w:bidi="ar-SA"/>
      </w:rPr>
    </w:lvl>
    <w:lvl w:ilvl="7" w:tplc="E96EAF60">
      <w:numFmt w:val="bullet"/>
      <w:lvlText w:val="•"/>
      <w:lvlJc w:val="left"/>
      <w:pPr>
        <w:ind w:left="1578" w:hanging="284"/>
      </w:pPr>
      <w:rPr>
        <w:rFonts w:hint="default"/>
        <w:lang w:val="en-US" w:eastAsia="en-US" w:bidi="ar-SA"/>
      </w:rPr>
    </w:lvl>
    <w:lvl w:ilvl="8" w:tplc="84C60CD8">
      <w:numFmt w:val="bullet"/>
      <w:lvlText w:val="•"/>
      <w:lvlJc w:val="left"/>
      <w:pPr>
        <w:ind w:left="1744" w:hanging="284"/>
      </w:pPr>
      <w:rPr>
        <w:rFonts w:hint="default"/>
        <w:lang w:val="en-US" w:eastAsia="en-US" w:bidi="ar-SA"/>
      </w:rPr>
    </w:lvl>
  </w:abstractNum>
  <w:abstractNum w:abstractNumId="388" w15:restartNumberingAfterBreak="0">
    <w:nsid w:val="62F51CB5"/>
    <w:multiLevelType w:val="hybridMultilevel"/>
    <w:tmpl w:val="ECE47430"/>
    <w:lvl w:ilvl="0" w:tplc="CFC8E31C">
      <w:numFmt w:val="bullet"/>
      <w:lvlText w:val=""/>
      <w:lvlJc w:val="left"/>
      <w:pPr>
        <w:ind w:left="490" w:hanging="284"/>
      </w:pPr>
      <w:rPr>
        <w:rFonts w:ascii="Symbol" w:eastAsia="Symbol" w:hAnsi="Symbol" w:cs="Symbol" w:hint="default"/>
        <w:b w:val="0"/>
        <w:bCs w:val="0"/>
        <w:i w:val="0"/>
        <w:iCs w:val="0"/>
        <w:color w:val="70004A"/>
        <w:spacing w:val="0"/>
        <w:w w:val="100"/>
        <w:sz w:val="18"/>
        <w:szCs w:val="18"/>
        <w:lang w:val="en-US" w:eastAsia="en-US" w:bidi="ar-SA"/>
      </w:rPr>
    </w:lvl>
    <w:lvl w:ilvl="1" w:tplc="6FCA3C5E">
      <w:numFmt w:val="bullet"/>
      <w:lvlText w:val="•"/>
      <w:lvlJc w:val="left"/>
      <w:pPr>
        <w:ind w:left="766" w:hanging="284"/>
      </w:pPr>
      <w:rPr>
        <w:rFonts w:hint="default"/>
        <w:lang w:val="en-US" w:eastAsia="en-US" w:bidi="ar-SA"/>
      </w:rPr>
    </w:lvl>
    <w:lvl w:ilvl="2" w:tplc="72C42204">
      <w:numFmt w:val="bullet"/>
      <w:lvlText w:val="•"/>
      <w:lvlJc w:val="left"/>
      <w:pPr>
        <w:ind w:left="1033" w:hanging="284"/>
      </w:pPr>
      <w:rPr>
        <w:rFonts w:hint="default"/>
        <w:lang w:val="en-US" w:eastAsia="en-US" w:bidi="ar-SA"/>
      </w:rPr>
    </w:lvl>
    <w:lvl w:ilvl="3" w:tplc="7C0A078E">
      <w:numFmt w:val="bullet"/>
      <w:lvlText w:val="•"/>
      <w:lvlJc w:val="left"/>
      <w:pPr>
        <w:ind w:left="1300" w:hanging="284"/>
      </w:pPr>
      <w:rPr>
        <w:rFonts w:hint="default"/>
        <w:lang w:val="en-US" w:eastAsia="en-US" w:bidi="ar-SA"/>
      </w:rPr>
    </w:lvl>
    <w:lvl w:ilvl="4" w:tplc="243429FE">
      <w:numFmt w:val="bullet"/>
      <w:lvlText w:val="•"/>
      <w:lvlJc w:val="left"/>
      <w:pPr>
        <w:ind w:left="1567" w:hanging="284"/>
      </w:pPr>
      <w:rPr>
        <w:rFonts w:hint="default"/>
        <w:lang w:val="en-US" w:eastAsia="en-US" w:bidi="ar-SA"/>
      </w:rPr>
    </w:lvl>
    <w:lvl w:ilvl="5" w:tplc="43268050">
      <w:numFmt w:val="bullet"/>
      <w:lvlText w:val="•"/>
      <w:lvlJc w:val="left"/>
      <w:pPr>
        <w:ind w:left="1834" w:hanging="284"/>
      </w:pPr>
      <w:rPr>
        <w:rFonts w:hint="default"/>
        <w:lang w:val="en-US" w:eastAsia="en-US" w:bidi="ar-SA"/>
      </w:rPr>
    </w:lvl>
    <w:lvl w:ilvl="6" w:tplc="F18298AA">
      <w:numFmt w:val="bullet"/>
      <w:lvlText w:val="•"/>
      <w:lvlJc w:val="left"/>
      <w:pPr>
        <w:ind w:left="2100" w:hanging="284"/>
      </w:pPr>
      <w:rPr>
        <w:rFonts w:hint="default"/>
        <w:lang w:val="en-US" w:eastAsia="en-US" w:bidi="ar-SA"/>
      </w:rPr>
    </w:lvl>
    <w:lvl w:ilvl="7" w:tplc="2266F4F4">
      <w:numFmt w:val="bullet"/>
      <w:lvlText w:val="•"/>
      <w:lvlJc w:val="left"/>
      <w:pPr>
        <w:ind w:left="2367" w:hanging="284"/>
      </w:pPr>
      <w:rPr>
        <w:rFonts w:hint="default"/>
        <w:lang w:val="en-US" w:eastAsia="en-US" w:bidi="ar-SA"/>
      </w:rPr>
    </w:lvl>
    <w:lvl w:ilvl="8" w:tplc="D2A8FE5C">
      <w:numFmt w:val="bullet"/>
      <w:lvlText w:val="•"/>
      <w:lvlJc w:val="left"/>
      <w:pPr>
        <w:ind w:left="2634" w:hanging="284"/>
      </w:pPr>
      <w:rPr>
        <w:rFonts w:hint="default"/>
        <w:lang w:val="en-US" w:eastAsia="en-US" w:bidi="ar-SA"/>
      </w:rPr>
    </w:lvl>
  </w:abstractNum>
  <w:abstractNum w:abstractNumId="389" w15:restartNumberingAfterBreak="0">
    <w:nsid w:val="63143CE3"/>
    <w:multiLevelType w:val="hybridMultilevel"/>
    <w:tmpl w:val="2968EB06"/>
    <w:lvl w:ilvl="0" w:tplc="043E0208">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24008622">
      <w:numFmt w:val="bullet"/>
      <w:lvlText w:val="•"/>
      <w:lvlJc w:val="left"/>
      <w:pPr>
        <w:ind w:left="642" w:hanging="284"/>
      </w:pPr>
      <w:rPr>
        <w:rFonts w:hint="default"/>
        <w:lang w:val="en-US" w:eastAsia="en-US" w:bidi="ar-SA"/>
      </w:rPr>
    </w:lvl>
    <w:lvl w:ilvl="2" w:tplc="37F89E6C">
      <w:numFmt w:val="bullet"/>
      <w:lvlText w:val="•"/>
      <w:lvlJc w:val="left"/>
      <w:pPr>
        <w:ind w:left="885" w:hanging="284"/>
      </w:pPr>
      <w:rPr>
        <w:rFonts w:hint="default"/>
        <w:lang w:val="en-US" w:eastAsia="en-US" w:bidi="ar-SA"/>
      </w:rPr>
    </w:lvl>
    <w:lvl w:ilvl="3" w:tplc="219A88D4">
      <w:numFmt w:val="bullet"/>
      <w:lvlText w:val="•"/>
      <w:lvlJc w:val="left"/>
      <w:pPr>
        <w:ind w:left="1128" w:hanging="284"/>
      </w:pPr>
      <w:rPr>
        <w:rFonts w:hint="default"/>
        <w:lang w:val="en-US" w:eastAsia="en-US" w:bidi="ar-SA"/>
      </w:rPr>
    </w:lvl>
    <w:lvl w:ilvl="4" w:tplc="BE9E26CA">
      <w:numFmt w:val="bullet"/>
      <w:lvlText w:val="•"/>
      <w:lvlJc w:val="left"/>
      <w:pPr>
        <w:ind w:left="1371" w:hanging="284"/>
      </w:pPr>
      <w:rPr>
        <w:rFonts w:hint="default"/>
        <w:lang w:val="en-US" w:eastAsia="en-US" w:bidi="ar-SA"/>
      </w:rPr>
    </w:lvl>
    <w:lvl w:ilvl="5" w:tplc="7994A37C">
      <w:numFmt w:val="bullet"/>
      <w:lvlText w:val="•"/>
      <w:lvlJc w:val="left"/>
      <w:pPr>
        <w:ind w:left="1614" w:hanging="284"/>
      </w:pPr>
      <w:rPr>
        <w:rFonts w:hint="default"/>
        <w:lang w:val="en-US" w:eastAsia="en-US" w:bidi="ar-SA"/>
      </w:rPr>
    </w:lvl>
    <w:lvl w:ilvl="6" w:tplc="3864D9EE">
      <w:numFmt w:val="bullet"/>
      <w:lvlText w:val="•"/>
      <w:lvlJc w:val="left"/>
      <w:pPr>
        <w:ind w:left="1856" w:hanging="284"/>
      </w:pPr>
      <w:rPr>
        <w:rFonts w:hint="default"/>
        <w:lang w:val="en-US" w:eastAsia="en-US" w:bidi="ar-SA"/>
      </w:rPr>
    </w:lvl>
    <w:lvl w:ilvl="7" w:tplc="016E3978">
      <w:numFmt w:val="bullet"/>
      <w:lvlText w:val="•"/>
      <w:lvlJc w:val="left"/>
      <w:pPr>
        <w:ind w:left="2099" w:hanging="284"/>
      </w:pPr>
      <w:rPr>
        <w:rFonts w:hint="default"/>
        <w:lang w:val="en-US" w:eastAsia="en-US" w:bidi="ar-SA"/>
      </w:rPr>
    </w:lvl>
    <w:lvl w:ilvl="8" w:tplc="34D68440">
      <w:numFmt w:val="bullet"/>
      <w:lvlText w:val="•"/>
      <w:lvlJc w:val="left"/>
      <w:pPr>
        <w:ind w:left="2342" w:hanging="284"/>
      </w:pPr>
      <w:rPr>
        <w:rFonts w:hint="default"/>
        <w:lang w:val="en-US" w:eastAsia="en-US" w:bidi="ar-SA"/>
      </w:rPr>
    </w:lvl>
  </w:abstractNum>
  <w:abstractNum w:abstractNumId="390" w15:restartNumberingAfterBreak="0">
    <w:nsid w:val="63B31CBD"/>
    <w:multiLevelType w:val="hybridMultilevel"/>
    <w:tmpl w:val="85FA2800"/>
    <w:lvl w:ilvl="0" w:tplc="CD584380">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F9DE6610">
      <w:numFmt w:val="bullet"/>
      <w:lvlText w:val="•"/>
      <w:lvlJc w:val="left"/>
      <w:pPr>
        <w:ind w:left="651" w:hanging="284"/>
      </w:pPr>
      <w:rPr>
        <w:rFonts w:hint="default"/>
        <w:lang w:val="en-US" w:eastAsia="en-US" w:bidi="ar-SA"/>
      </w:rPr>
    </w:lvl>
    <w:lvl w:ilvl="2" w:tplc="14D46452">
      <w:numFmt w:val="bullet"/>
      <w:lvlText w:val="•"/>
      <w:lvlJc w:val="left"/>
      <w:pPr>
        <w:ind w:left="922" w:hanging="284"/>
      </w:pPr>
      <w:rPr>
        <w:rFonts w:hint="default"/>
        <w:lang w:val="en-US" w:eastAsia="en-US" w:bidi="ar-SA"/>
      </w:rPr>
    </w:lvl>
    <w:lvl w:ilvl="3" w:tplc="0FBAD1B4">
      <w:numFmt w:val="bullet"/>
      <w:lvlText w:val="•"/>
      <w:lvlJc w:val="left"/>
      <w:pPr>
        <w:ind w:left="1193" w:hanging="284"/>
      </w:pPr>
      <w:rPr>
        <w:rFonts w:hint="default"/>
        <w:lang w:val="en-US" w:eastAsia="en-US" w:bidi="ar-SA"/>
      </w:rPr>
    </w:lvl>
    <w:lvl w:ilvl="4" w:tplc="9512504E">
      <w:numFmt w:val="bullet"/>
      <w:lvlText w:val="•"/>
      <w:lvlJc w:val="left"/>
      <w:pPr>
        <w:ind w:left="1464" w:hanging="284"/>
      </w:pPr>
      <w:rPr>
        <w:rFonts w:hint="default"/>
        <w:lang w:val="en-US" w:eastAsia="en-US" w:bidi="ar-SA"/>
      </w:rPr>
    </w:lvl>
    <w:lvl w:ilvl="5" w:tplc="30DAA18C">
      <w:numFmt w:val="bullet"/>
      <w:lvlText w:val="•"/>
      <w:lvlJc w:val="left"/>
      <w:pPr>
        <w:ind w:left="1735" w:hanging="284"/>
      </w:pPr>
      <w:rPr>
        <w:rFonts w:hint="default"/>
        <w:lang w:val="en-US" w:eastAsia="en-US" w:bidi="ar-SA"/>
      </w:rPr>
    </w:lvl>
    <w:lvl w:ilvl="6" w:tplc="FDC88C3C">
      <w:numFmt w:val="bullet"/>
      <w:lvlText w:val="•"/>
      <w:lvlJc w:val="left"/>
      <w:pPr>
        <w:ind w:left="2006" w:hanging="284"/>
      </w:pPr>
      <w:rPr>
        <w:rFonts w:hint="default"/>
        <w:lang w:val="en-US" w:eastAsia="en-US" w:bidi="ar-SA"/>
      </w:rPr>
    </w:lvl>
    <w:lvl w:ilvl="7" w:tplc="49521E5A">
      <w:numFmt w:val="bullet"/>
      <w:lvlText w:val="•"/>
      <w:lvlJc w:val="left"/>
      <w:pPr>
        <w:ind w:left="2277" w:hanging="284"/>
      </w:pPr>
      <w:rPr>
        <w:rFonts w:hint="default"/>
        <w:lang w:val="en-US" w:eastAsia="en-US" w:bidi="ar-SA"/>
      </w:rPr>
    </w:lvl>
    <w:lvl w:ilvl="8" w:tplc="E38C1DEA">
      <w:numFmt w:val="bullet"/>
      <w:lvlText w:val="•"/>
      <w:lvlJc w:val="left"/>
      <w:pPr>
        <w:ind w:left="2548" w:hanging="284"/>
      </w:pPr>
      <w:rPr>
        <w:rFonts w:hint="default"/>
        <w:lang w:val="en-US" w:eastAsia="en-US" w:bidi="ar-SA"/>
      </w:rPr>
    </w:lvl>
  </w:abstractNum>
  <w:abstractNum w:abstractNumId="391" w15:restartNumberingAfterBreak="0">
    <w:nsid w:val="64056C84"/>
    <w:multiLevelType w:val="hybridMultilevel"/>
    <w:tmpl w:val="850EE1E4"/>
    <w:lvl w:ilvl="0" w:tplc="6F2A2DB8">
      <w:numFmt w:val="bullet"/>
      <w:lvlText w:val=""/>
      <w:lvlJc w:val="left"/>
      <w:pPr>
        <w:ind w:left="391" w:hanging="284"/>
      </w:pPr>
      <w:rPr>
        <w:rFonts w:ascii="Symbol" w:eastAsia="Symbol" w:hAnsi="Symbol" w:cs="Symbol" w:hint="default"/>
        <w:b w:val="0"/>
        <w:bCs w:val="0"/>
        <w:i w:val="0"/>
        <w:iCs w:val="0"/>
        <w:color w:val="70004A"/>
        <w:spacing w:val="0"/>
        <w:w w:val="100"/>
        <w:sz w:val="18"/>
        <w:szCs w:val="18"/>
        <w:lang w:val="en-US" w:eastAsia="en-US" w:bidi="ar-SA"/>
      </w:rPr>
    </w:lvl>
    <w:lvl w:ilvl="1" w:tplc="3B2EB8A8">
      <w:numFmt w:val="bullet"/>
      <w:lvlText w:val="•"/>
      <w:lvlJc w:val="left"/>
      <w:pPr>
        <w:ind w:left="636" w:hanging="284"/>
      </w:pPr>
      <w:rPr>
        <w:rFonts w:hint="default"/>
        <w:lang w:val="en-US" w:eastAsia="en-US" w:bidi="ar-SA"/>
      </w:rPr>
    </w:lvl>
    <w:lvl w:ilvl="2" w:tplc="BF047216">
      <w:numFmt w:val="bullet"/>
      <w:lvlText w:val="•"/>
      <w:lvlJc w:val="left"/>
      <w:pPr>
        <w:ind w:left="872" w:hanging="284"/>
      </w:pPr>
      <w:rPr>
        <w:rFonts w:hint="default"/>
        <w:lang w:val="en-US" w:eastAsia="en-US" w:bidi="ar-SA"/>
      </w:rPr>
    </w:lvl>
    <w:lvl w:ilvl="3" w:tplc="14E29D58">
      <w:numFmt w:val="bullet"/>
      <w:lvlText w:val="•"/>
      <w:lvlJc w:val="left"/>
      <w:pPr>
        <w:ind w:left="1108" w:hanging="284"/>
      </w:pPr>
      <w:rPr>
        <w:rFonts w:hint="default"/>
        <w:lang w:val="en-US" w:eastAsia="en-US" w:bidi="ar-SA"/>
      </w:rPr>
    </w:lvl>
    <w:lvl w:ilvl="4" w:tplc="CFCC51C6">
      <w:numFmt w:val="bullet"/>
      <w:lvlText w:val="•"/>
      <w:lvlJc w:val="left"/>
      <w:pPr>
        <w:ind w:left="1344" w:hanging="284"/>
      </w:pPr>
      <w:rPr>
        <w:rFonts w:hint="default"/>
        <w:lang w:val="en-US" w:eastAsia="en-US" w:bidi="ar-SA"/>
      </w:rPr>
    </w:lvl>
    <w:lvl w:ilvl="5" w:tplc="74D0E462">
      <w:numFmt w:val="bullet"/>
      <w:lvlText w:val="•"/>
      <w:lvlJc w:val="left"/>
      <w:pPr>
        <w:ind w:left="1580" w:hanging="284"/>
      </w:pPr>
      <w:rPr>
        <w:rFonts w:hint="default"/>
        <w:lang w:val="en-US" w:eastAsia="en-US" w:bidi="ar-SA"/>
      </w:rPr>
    </w:lvl>
    <w:lvl w:ilvl="6" w:tplc="3BA23694">
      <w:numFmt w:val="bullet"/>
      <w:lvlText w:val="•"/>
      <w:lvlJc w:val="left"/>
      <w:pPr>
        <w:ind w:left="1816" w:hanging="284"/>
      </w:pPr>
      <w:rPr>
        <w:rFonts w:hint="default"/>
        <w:lang w:val="en-US" w:eastAsia="en-US" w:bidi="ar-SA"/>
      </w:rPr>
    </w:lvl>
    <w:lvl w:ilvl="7" w:tplc="3DC8828C">
      <w:numFmt w:val="bullet"/>
      <w:lvlText w:val="•"/>
      <w:lvlJc w:val="left"/>
      <w:pPr>
        <w:ind w:left="2052" w:hanging="284"/>
      </w:pPr>
      <w:rPr>
        <w:rFonts w:hint="default"/>
        <w:lang w:val="en-US" w:eastAsia="en-US" w:bidi="ar-SA"/>
      </w:rPr>
    </w:lvl>
    <w:lvl w:ilvl="8" w:tplc="9A4E26CC">
      <w:numFmt w:val="bullet"/>
      <w:lvlText w:val="•"/>
      <w:lvlJc w:val="left"/>
      <w:pPr>
        <w:ind w:left="2288" w:hanging="284"/>
      </w:pPr>
      <w:rPr>
        <w:rFonts w:hint="default"/>
        <w:lang w:val="en-US" w:eastAsia="en-US" w:bidi="ar-SA"/>
      </w:rPr>
    </w:lvl>
  </w:abstractNum>
  <w:abstractNum w:abstractNumId="392" w15:restartNumberingAfterBreak="0">
    <w:nsid w:val="64500CF9"/>
    <w:multiLevelType w:val="hybridMultilevel"/>
    <w:tmpl w:val="D2E89BAE"/>
    <w:lvl w:ilvl="0" w:tplc="E500D97A">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D3842E06">
      <w:numFmt w:val="bullet"/>
      <w:lvlText w:val="•"/>
      <w:lvlJc w:val="left"/>
      <w:pPr>
        <w:ind w:left="693" w:hanging="284"/>
      </w:pPr>
      <w:rPr>
        <w:rFonts w:hint="default"/>
        <w:lang w:val="en-US" w:eastAsia="en-US" w:bidi="ar-SA"/>
      </w:rPr>
    </w:lvl>
    <w:lvl w:ilvl="2" w:tplc="014AC916">
      <w:numFmt w:val="bullet"/>
      <w:lvlText w:val="•"/>
      <w:lvlJc w:val="left"/>
      <w:pPr>
        <w:ind w:left="1006" w:hanging="284"/>
      </w:pPr>
      <w:rPr>
        <w:rFonts w:hint="default"/>
        <w:lang w:val="en-US" w:eastAsia="en-US" w:bidi="ar-SA"/>
      </w:rPr>
    </w:lvl>
    <w:lvl w:ilvl="3" w:tplc="E5045212">
      <w:numFmt w:val="bullet"/>
      <w:lvlText w:val="•"/>
      <w:lvlJc w:val="left"/>
      <w:pPr>
        <w:ind w:left="1319" w:hanging="284"/>
      </w:pPr>
      <w:rPr>
        <w:rFonts w:hint="default"/>
        <w:lang w:val="en-US" w:eastAsia="en-US" w:bidi="ar-SA"/>
      </w:rPr>
    </w:lvl>
    <w:lvl w:ilvl="4" w:tplc="15140F02">
      <w:numFmt w:val="bullet"/>
      <w:lvlText w:val="•"/>
      <w:lvlJc w:val="left"/>
      <w:pPr>
        <w:ind w:left="1632" w:hanging="284"/>
      </w:pPr>
      <w:rPr>
        <w:rFonts w:hint="default"/>
        <w:lang w:val="en-US" w:eastAsia="en-US" w:bidi="ar-SA"/>
      </w:rPr>
    </w:lvl>
    <w:lvl w:ilvl="5" w:tplc="0CAA4604">
      <w:numFmt w:val="bullet"/>
      <w:lvlText w:val="•"/>
      <w:lvlJc w:val="left"/>
      <w:pPr>
        <w:ind w:left="1945" w:hanging="284"/>
      </w:pPr>
      <w:rPr>
        <w:rFonts w:hint="default"/>
        <w:lang w:val="en-US" w:eastAsia="en-US" w:bidi="ar-SA"/>
      </w:rPr>
    </w:lvl>
    <w:lvl w:ilvl="6" w:tplc="61A0D61C">
      <w:numFmt w:val="bullet"/>
      <w:lvlText w:val="•"/>
      <w:lvlJc w:val="left"/>
      <w:pPr>
        <w:ind w:left="2258" w:hanging="284"/>
      </w:pPr>
      <w:rPr>
        <w:rFonts w:hint="default"/>
        <w:lang w:val="en-US" w:eastAsia="en-US" w:bidi="ar-SA"/>
      </w:rPr>
    </w:lvl>
    <w:lvl w:ilvl="7" w:tplc="8C88E2C4">
      <w:numFmt w:val="bullet"/>
      <w:lvlText w:val="•"/>
      <w:lvlJc w:val="left"/>
      <w:pPr>
        <w:ind w:left="2571" w:hanging="284"/>
      </w:pPr>
      <w:rPr>
        <w:rFonts w:hint="default"/>
        <w:lang w:val="en-US" w:eastAsia="en-US" w:bidi="ar-SA"/>
      </w:rPr>
    </w:lvl>
    <w:lvl w:ilvl="8" w:tplc="139E00BC">
      <w:numFmt w:val="bullet"/>
      <w:lvlText w:val="•"/>
      <w:lvlJc w:val="left"/>
      <w:pPr>
        <w:ind w:left="2884" w:hanging="284"/>
      </w:pPr>
      <w:rPr>
        <w:rFonts w:hint="default"/>
        <w:lang w:val="en-US" w:eastAsia="en-US" w:bidi="ar-SA"/>
      </w:rPr>
    </w:lvl>
  </w:abstractNum>
  <w:abstractNum w:abstractNumId="393" w15:restartNumberingAfterBreak="0">
    <w:nsid w:val="64961F8B"/>
    <w:multiLevelType w:val="hybridMultilevel"/>
    <w:tmpl w:val="9BAA6680"/>
    <w:lvl w:ilvl="0" w:tplc="957051AC">
      <w:numFmt w:val="bullet"/>
      <w:lvlText w:val=""/>
      <w:lvlJc w:val="left"/>
      <w:pPr>
        <w:ind w:left="391" w:hanging="284"/>
      </w:pPr>
      <w:rPr>
        <w:rFonts w:ascii="Symbol" w:eastAsia="Symbol" w:hAnsi="Symbol" w:cs="Symbol" w:hint="default"/>
        <w:b w:val="0"/>
        <w:bCs w:val="0"/>
        <w:i w:val="0"/>
        <w:iCs w:val="0"/>
        <w:color w:val="70004A"/>
        <w:spacing w:val="0"/>
        <w:w w:val="100"/>
        <w:sz w:val="18"/>
        <w:szCs w:val="18"/>
        <w:lang w:val="en-US" w:eastAsia="en-US" w:bidi="ar-SA"/>
      </w:rPr>
    </w:lvl>
    <w:lvl w:ilvl="1" w:tplc="CB96E6BC">
      <w:numFmt w:val="bullet"/>
      <w:lvlText w:val="•"/>
      <w:lvlJc w:val="left"/>
      <w:pPr>
        <w:ind w:left="636" w:hanging="284"/>
      </w:pPr>
      <w:rPr>
        <w:rFonts w:hint="default"/>
        <w:lang w:val="en-US" w:eastAsia="en-US" w:bidi="ar-SA"/>
      </w:rPr>
    </w:lvl>
    <w:lvl w:ilvl="2" w:tplc="7A48C210">
      <w:numFmt w:val="bullet"/>
      <w:lvlText w:val="•"/>
      <w:lvlJc w:val="left"/>
      <w:pPr>
        <w:ind w:left="872" w:hanging="284"/>
      </w:pPr>
      <w:rPr>
        <w:rFonts w:hint="default"/>
        <w:lang w:val="en-US" w:eastAsia="en-US" w:bidi="ar-SA"/>
      </w:rPr>
    </w:lvl>
    <w:lvl w:ilvl="3" w:tplc="897E4022">
      <w:numFmt w:val="bullet"/>
      <w:lvlText w:val="•"/>
      <w:lvlJc w:val="left"/>
      <w:pPr>
        <w:ind w:left="1108" w:hanging="284"/>
      </w:pPr>
      <w:rPr>
        <w:rFonts w:hint="default"/>
        <w:lang w:val="en-US" w:eastAsia="en-US" w:bidi="ar-SA"/>
      </w:rPr>
    </w:lvl>
    <w:lvl w:ilvl="4" w:tplc="BECC41A6">
      <w:numFmt w:val="bullet"/>
      <w:lvlText w:val="•"/>
      <w:lvlJc w:val="left"/>
      <w:pPr>
        <w:ind w:left="1344" w:hanging="284"/>
      </w:pPr>
      <w:rPr>
        <w:rFonts w:hint="default"/>
        <w:lang w:val="en-US" w:eastAsia="en-US" w:bidi="ar-SA"/>
      </w:rPr>
    </w:lvl>
    <w:lvl w:ilvl="5" w:tplc="FAE6DB8A">
      <w:numFmt w:val="bullet"/>
      <w:lvlText w:val="•"/>
      <w:lvlJc w:val="left"/>
      <w:pPr>
        <w:ind w:left="1580" w:hanging="284"/>
      </w:pPr>
      <w:rPr>
        <w:rFonts w:hint="default"/>
        <w:lang w:val="en-US" w:eastAsia="en-US" w:bidi="ar-SA"/>
      </w:rPr>
    </w:lvl>
    <w:lvl w:ilvl="6" w:tplc="C6AC61E4">
      <w:numFmt w:val="bullet"/>
      <w:lvlText w:val="•"/>
      <w:lvlJc w:val="left"/>
      <w:pPr>
        <w:ind w:left="1816" w:hanging="284"/>
      </w:pPr>
      <w:rPr>
        <w:rFonts w:hint="default"/>
        <w:lang w:val="en-US" w:eastAsia="en-US" w:bidi="ar-SA"/>
      </w:rPr>
    </w:lvl>
    <w:lvl w:ilvl="7" w:tplc="EE6C4504">
      <w:numFmt w:val="bullet"/>
      <w:lvlText w:val="•"/>
      <w:lvlJc w:val="left"/>
      <w:pPr>
        <w:ind w:left="2052" w:hanging="284"/>
      </w:pPr>
      <w:rPr>
        <w:rFonts w:hint="default"/>
        <w:lang w:val="en-US" w:eastAsia="en-US" w:bidi="ar-SA"/>
      </w:rPr>
    </w:lvl>
    <w:lvl w:ilvl="8" w:tplc="3B220D00">
      <w:numFmt w:val="bullet"/>
      <w:lvlText w:val="•"/>
      <w:lvlJc w:val="left"/>
      <w:pPr>
        <w:ind w:left="2288" w:hanging="284"/>
      </w:pPr>
      <w:rPr>
        <w:rFonts w:hint="default"/>
        <w:lang w:val="en-US" w:eastAsia="en-US" w:bidi="ar-SA"/>
      </w:rPr>
    </w:lvl>
  </w:abstractNum>
  <w:abstractNum w:abstractNumId="394" w15:restartNumberingAfterBreak="0">
    <w:nsid w:val="64DE759A"/>
    <w:multiLevelType w:val="hybridMultilevel"/>
    <w:tmpl w:val="D26E4A6E"/>
    <w:lvl w:ilvl="0" w:tplc="AE9077E8">
      <w:numFmt w:val="bullet"/>
      <w:lvlText w:val=""/>
      <w:lvlJc w:val="left"/>
      <w:pPr>
        <w:ind w:left="481" w:hanging="284"/>
      </w:pPr>
      <w:rPr>
        <w:rFonts w:ascii="Symbol" w:eastAsia="Symbol" w:hAnsi="Symbol" w:cs="Symbol" w:hint="default"/>
        <w:b w:val="0"/>
        <w:bCs w:val="0"/>
        <w:i w:val="0"/>
        <w:iCs w:val="0"/>
        <w:color w:val="70004A"/>
        <w:spacing w:val="0"/>
        <w:w w:val="100"/>
        <w:sz w:val="18"/>
        <w:szCs w:val="18"/>
        <w:lang w:val="en-US" w:eastAsia="en-US" w:bidi="ar-SA"/>
      </w:rPr>
    </w:lvl>
    <w:lvl w:ilvl="1" w:tplc="8014E22C">
      <w:numFmt w:val="bullet"/>
      <w:lvlText w:val="•"/>
      <w:lvlJc w:val="left"/>
      <w:pPr>
        <w:ind w:left="745" w:hanging="284"/>
      </w:pPr>
      <w:rPr>
        <w:rFonts w:hint="default"/>
        <w:lang w:val="en-US" w:eastAsia="en-US" w:bidi="ar-SA"/>
      </w:rPr>
    </w:lvl>
    <w:lvl w:ilvl="2" w:tplc="6D78F348">
      <w:numFmt w:val="bullet"/>
      <w:lvlText w:val="•"/>
      <w:lvlJc w:val="left"/>
      <w:pPr>
        <w:ind w:left="1010" w:hanging="284"/>
      </w:pPr>
      <w:rPr>
        <w:rFonts w:hint="default"/>
        <w:lang w:val="en-US" w:eastAsia="en-US" w:bidi="ar-SA"/>
      </w:rPr>
    </w:lvl>
    <w:lvl w:ilvl="3" w:tplc="D992745E">
      <w:numFmt w:val="bullet"/>
      <w:lvlText w:val="•"/>
      <w:lvlJc w:val="left"/>
      <w:pPr>
        <w:ind w:left="1275" w:hanging="284"/>
      </w:pPr>
      <w:rPr>
        <w:rFonts w:hint="default"/>
        <w:lang w:val="en-US" w:eastAsia="en-US" w:bidi="ar-SA"/>
      </w:rPr>
    </w:lvl>
    <w:lvl w:ilvl="4" w:tplc="A888D2A6">
      <w:numFmt w:val="bullet"/>
      <w:lvlText w:val="•"/>
      <w:lvlJc w:val="left"/>
      <w:pPr>
        <w:ind w:left="1540" w:hanging="284"/>
      </w:pPr>
      <w:rPr>
        <w:rFonts w:hint="default"/>
        <w:lang w:val="en-US" w:eastAsia="en-US" w:bidi="ar-SA"/>
      </w:rPr>
    </w:lvl>
    <w:lvl w:ilvl="5" w:tplc="CB32E40C">
      <w:numFmt w:val="bullet"/>
      <w:lvlText w:val="•"/>
      <w:lvlJc w:val="left"/>
      <w:pPr>
        <w:ind w:left="1805" w:hanging="284"/>
      </w:pPr>
      <w:rPr>
        <w:rFonts w:hint="default"/>
        <w:lang w:val="en-US" w:eastAsia="en-US" w:bidi="ar-SA"/>
      </w:rPr>
    </w:lvl>
    <w:lvl w:ilvl="6" w:tplc="3232013C">
      <w:numFmt w:val="bullet"/>
      <w:lvlText w:val="•"/>
      <w:lvlJc w:val="left"/>
      <w:pPr>
        <w:ind w:left="2070" w:hanging="284"/>
      </w:pPr>
      <w:rPr>
        <w:rFonts w:hint="default"/>
        <w:lang w:val="en-US" w:eastAsia="en-US" w:bidi="ar-SA"/>
      </w:rPr>
    </w:lvl>
    <w:lvl w:ilvl="7" w:tplc="C5CA4F12">
      <w:numFmt w:val="bullet"/>
      <w:lvlText w:val="•"/>
      <w:lvlJc w:val="left"/>
      <w:pPr>
        <w:ind w:left="2335" w:hanging="284"/>
      </w:pPr>
      <w:rPr>
        <w:rFonts w:hint="default"/>
        <w:lang w:val="en-US" w:eastAsia="en-US" w:bidi="ar-SA"/>
      </w:rPr>
    </w:lvl>
    <w:lvl w:ilvl="8" w:tplc="D54C6A24">
      <w:numFmt w:val="bullet"/>
      <w:lvlText w:val="•"/>
      <w:lvlJc w:val="left"/>
      <w:pPr>
        <w:ind w:left="2600" w:hanging="284"/>
      </w:pPr>
      <w:rPr>
        <w:rFonts w:hint="default"/>
        <w:lang w:val="en-US" w:eastAsia="en-US" w:bidi="ar-SA"/>
      </w:rPr>
    </w:lvl>
  </w:abstractNum>
  <w:abstractNum w:abstractNumId="395" w15:restartNumberingAfterBreak="0">
    <w:nsid w:val="65BB7819"/>
    <w:multiLevelType w:val="hybridMultilevel"/>
    <w:tmpl w:val="4666263A"/>
    <w:lvl w:ilvl="0" w:tplc="09B84C7A">
      <w:numFmt w:val="bullet"/>
      <w:lvlText w:val=""/>
      <w:lvlJc w:val="left"/>
      <w:pPr>
        <w:ind w:left="468" w:hanging="284"/>
      </w:pPr>
      <w:rPr>
        <w:rFonts w:ascii="Symbol" w:eastAsia="Symbol" w:hAnsi="Symbol" w:cs="Symbol" w:hint="default"/>
        <w:b w:val="0"/>
        <w:bCs w:val="0"/>
        <w:i w:val="0"/>
        <w:iCs w:val="0"/>
        <w:color w:val="70004A"/>
        <w:spacing w:val="0"/>
        <w:w w:val="100"/>
        <w:sz w:val="18"/>
        <w:szCs w:val="18"/>
        <w:lang w:val="en-US" w:eastAsia="en-US" w:bidi="ar-SA"/>
      </w:rPr>
    </w:lvl>
    <w:lvl w:ilvl="1" w:tplc="4934CE66">
      <w:numFmt w:val="bullet"/>
      <w:lvlText w:val="•"/>
      <w:lvlJc w:val="left"/>
      <w:pPr>
        <w:ind w:left="681" w:hanging="284"/>
      </w:pPr>
      <w:rPr>
        <w:rFonts w:hint="default"/>
        <w:lang w:val="en-US" w:eastAsia="en-US" w:bidi="ar-SA"/>
      </w:rPr>
    </w:lvl>
    <w:lvl w:ilvl="2" w:tplc="CFD24754">
      <w:numFmt w:val="bullet"/>
      <w:lvlText w:val="•"/>
      <w:lvlJc w:val="left"/>
      <w:pPr>
        <w:ind w:left="902" w:hanging="284"/>
      </w:pPr>
      <w:rPr>
        <w:rFonts w:hint="default"/>
        <w:lang w:val="en-US" w:eastAsia="en-US" w:bidi="ar-SA"/>
      </w:rPr>
    </w:lvl>
    <w:lvl w:ilvl="3" w:tplc="EB665FE6">
      <w:numFmt w:val="bullet"/>
      <w:lvlText w:val="•"/>
      <w:lvlJc w:val="left"/>
      <w:pPr>
        <w:ind w:left="1124" w:hanging="284"/>
      </w:pPr>
      <w:rPr>
        <w:rFonts w:hint="default"/>
        <w:lang w:val="en-US" w:eastAsia="en-US" w:bidi="ar-SA"/>
      </w:rPr>
    </w:lvl>
    <w:lvl w:ilvl="4" w:tplc="56AA2006">
      <w:numFmt w:val="bullet"/>
      <w:lvlText w:val="•"/>
      <w:lvlJc w:val="left"/>
      <w:pPr>
        <w:ind w:left="1345" w:hanging="284"/>
      </w:pPr>
      <w:rPr>
        <w:rFonts w:hint="default"/>
        <w:lang w:val="en-US" w:eastAsia="en-US" w:bidi="ar-SA"/>
      </w:rPr>
    </w:lvl>
    <w:lvl w:ilvl="5" w:tplc="E3F275B4">
      <w:numFmt w:val="bullet"/>
      <w:lvlText w:val="•"/>
      <w:lvlJc w:val="left"/>
      <w:pPr>
        <w:ind w:left="1567" w:hanging="284"/>
      </w:pPr>
      <w:rPr>
        <w:rFonts w:hint="default"/>
        <w:lang w:val="en-US" w:eastAsia="en-US" w:bidi="ar-SA"/>
      </w:rPr>
    </w:lvl>
    <w:lvl w:ilvl="6" w:tplc="D6D2F818">
      <w:numFmt w:val="bullet"/>
      <w:lvlText w:val="•"/>
      <w:lvlJc w:val="left"/>
      <w:pPr>
        <w:ind w:left="1788" w:hanging="284"/>
      </w:pPr>
      <w:rPr>
        <w:rFonts w:hint="default"/>
        <w:lang w:val="en-US" w:eastAsia="en-US" w:bidi="ar-SA"/>
      </w:rPr>
    </w:lvl>
    <w:lvl w:ilvl="7" w:tplc="45BA41EC">
      <w:numFmt w:val="bullet"/>
      <w:lvlText w:val="•"/>
      <w:lvlJc w:val="left"/>
      <w:pPr>
        <w:ind w:left="2009" w:hanging="284"/>
      </w:pPr>
      <w:rPr>
        <w:rFonts w:hint="default"/>
        <w:lang w:val="en-US" w:eastAsia="en-US" w:bidi="ar-SA"/>
      </w:rPr>
    </w:lvl>
    <w:lvl w:ilvl="8" w:tplc="5F8E3D4E">
      <w:numFmt w:val="bullet"/>
      <w:lvlText w:val="•"/>
      <w:lvlJc w:val="left"/>
      <w:pPr>
        <w:ind w:left="2231" w:hanging="284"/>
      </w:pPr>
      <w:rPr>
        <w:rFonts w:hint="default"/>
        <w:lang w:val="en-US" w:eastAsia="en-US" w:bidi="ar-SA"/>
      </w:rPr>
    </w:lvl>
  </w:abstractNum>
  <w:abstractNum w:abstractNumId="396" w15:restartNumberingAfterBreak="0">
    <w:nsid w:val="65C20AF3"/>
    <w:multiLevelType w:val="hybridMultilevel"/>
    <w:tmpl w:val="75BC3704"/>
    <w:lvl w:ilvl="0" w:tplc="082C04A2">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FE0EE4AC">
      <w:numFmt w:val="bullet"/>
      <w:lvlText w:val="•"/>
      <w:lvlJc w:val="left"/>
      <w:pPr>
        <w:ind w:left="642" w:hanging="284"/>
      </w:pPr>
      <w:rPr>
        <w:rFonts w:hint="default"/>
        <w:lang w:val="en-US" w:eastAsia="en-US" w:bidi="ar-SA"/>
      </w:rPr>
    </w:lvl>
    <w:lvl w:ilvl="2" w:tplc="36AA87CE">
      <w:numFmt w:val="bullet"/>
      <w:lvlText w:val="•"/>
      <w:lvlJc w:val="left"/>
      <w:pPr>
        <w:ind w:left="885" w:hanging="284"/>
      </w:pPr>
      <w:rPr>
        <w:rFonts w:hint="default"/>
        <w:lang w:val="en-US" w:eastAsia="en-US" w:bidi="ar-SA"/>
      </w:rPr>
    </w:lvl>
    <w:lvl w:ilvl="3" w:tplc="5602E284">
      <w:numFmt w:val="bullet"/>
      <w:lvlText w:val="•"/>
      <w:lvlJc w:val="left"/>
      <w:pPr>
        <w:ind w:left="1128" w:hanging="284"/>
      </w:pPr>
      <w:rPr>
        <w:rFonts w:hint="default"/>
        <w:lang w:val="en-US" w:eastAsia="en-US" w:bidi="ar-SA"/>
      </w:rPr>
    </w:lvl>
    <w:lvl w:ilvl="4" w:tplc="940E52FA">
      <w:numFmt w:val="bullet"/>
      <w:lvlText w:val="•"/>
      <w:lvlJc w:val="left"/>
      <w:pPr>
        <w:ind w:left="1371" w:hanging="284"/>
      </w:pPr>
      <w:rPr>
        <w:rFonts w:hint="default"/>
        <w:lang w:val="en-US" w:eastAsia="en-US" w:bidi="ar-SA"/>
      </w:rPr>
    </w:lvl>
    <w:lvl w:ilvl="5" w:tplc="DB168C6E">
      <w:numFmt w:val="bullet"/>
      <w:lvlText w:val="•"/>
      <w:lvlJc w:val="left"/>
      <w:pPr>
        <w:ind w:left="1614" w:hanging="284"/>
      </w:pPr>
      <w:rPr>
        <w:rFonts w:hint="default"/>
        <w:lang w:val="en-US" w:eastAsia="en-US" w:bidi="ar-SA"/>
      </w:rPr>
    </w:lvl>
    <w:lvl w:ilvl="6" w:tplc="FF644A78">
      <w:numFmt w:val="bullet"/>
      <w:lvlText w:val="•"/>
      <w:lvlJc w:val="left"/>
      <w:pPr>
        <w:ind w:left="1856" w:hanging="284"/>
      </w:pPr>
      <w:rPr>
        <w:rFonts w:hint="default"/>
        <w:lang w:val="en-US" w:eastAsia="en-US" w:bidi="ar-SA"/>
      </w:rPr>
    </w:lvl>
    <w:lvl w:ilvl="7" w:tplc="5BF40D7A">
      <w:numFmt w:val="bullet"/>
      <w:lvlText w:val="•"/>
      <w:lvlJc w:val="left"/>
      <w:pPr>
        <w:ind w:left="2099" w:hanging="284"/>
      </w:pPr>
      <w:rPr>
        <w:rFonts w:hint="default"/>
        <w:lang w:val="en-US" w:eastAsia="en-US" w:bidi="ar-SA"/>
      </w:rPr>
    </w:lvl>
    <w:lvl w:ilvl="8" w:tplc="67A0E07C">
      <w:numFmt w:val="bullet"/>
      <w:lvlText w:val="•"/>
      <w:lvlJc w:val="left"/>
      <w:pPr>
        <w:ind w:left="2342" w:hanging="284"/>
      </w:pPr>
      <w:rPr>
        <w:rFonts w:hint="default"/>
        <w:lang w:val="en-US" w:eastAsia="en-US" w:bidi="ar-SA"/>
      </w:rPr>
    </w:lvl>
  </w:abstractNum>
  <w:abstractNum w:abstractNumId="397" w15:restartNumberingAfterBreak="0">
    <w:nsid w:val="66C8546A"/>
    <w:multiLevelType w:val="hybridMultilevel"/>
    <w:tmpl w:val="3C98E9E4"/>
    <w:lvl w:ilvl="0" w:tplc="814003AA">
      <w:numFmt w:val="bullet"/>
      <w:lvlText w:val=""/>
      <w:lvlJc w:val="left"/>
      <w:pPr>
        <w:ind w:left="440" w:hanging="284"/>
      </w:pPr>
      <w:rPr>
        <w:rFonts w:ascii="Symbol" w:eastAsia="Symbol" w:hAnsi="Symbol" w:cs="Symbol" w:hint="default"/>
        <w:b w:val="0"/>
        <w:bCs w:val="0"/>
        <w:i w:val="0"/>
        <w:iCs w:val="0"/>
        <w:color w:val="70004A"/>
        <w:spacing w:val="0"/>
        <w:w w:val="100"/>
        <w:sz w:val="18"/>
        <w:szCs w:val="18"/>
        <w:lang w:val="en-US" w:eastAsia="en-US" w:bidi="ar-SA"/>
      </w:rPr>
    </w:lvl>
    <w:lvl w:ilvl="1" w:tplc="E5048EEE">
      <w:numFmt w:val="bullet"/>
      <w:lvlText w:val="•"/>
      <w:lvlJc w:val="left"/>
      <w:pPr>
        <w:ind w:left="609" w:hanging="284"/>
      </w:pPr>
      <w:rPr>
        <w:rFonts w:hint="default"/>
        <w:lang w:val="en-US" w:eastAsia="en-US" w:bidi="ar-SA"/>
      </w:rPr>
    </w:lvl>
    <w:lvl w:ilvl="2" w:tplc="D216340E">
      <w:numFmt w:val="bullet"/>
      <w:lvlText w:val="•"/>
      <w:lvlJc w:val="left"/>
      <w:pPr>
        <w:ind w:left="778" w:hanging="284"/>
      </w:pPr>
      <w:rPr>
        <w:rFonts w:hint="default"/>
        <w:lang w:val="en-US" w:eastAsia="en-US" w:bidi="ar-SA"/>
      </w:rPr>
    </w:lvl>
    <w:lvl w:ilvl="3" w:tplc="6BE22484">
      <w:numFmt w:val="bullet"/>
      <w:lvlText w:val="•"/>
      <w:lvlJc w:val="left"/>
      <w:pPr>
        <w:ind w:left="947" w:hanging="284"/>
      </w:pPr>
      <w:rPr>
        <w:rFonts w:hint="default"/>
        <w:lang w:val="en-US" w:eastAsia="en-US" w:bidi="ar-SA"/>
      </w:rPr>
    </w:lvl>
    <w:lvl w:ilvl="4" w:tplc="21D2DD4E">
      <w:numFmt w:val="bullet"/>
      <w:lvlText w:val="•"/>
      <w:lvlJc w:val="left"/>
      <w:pPr>
        <w:ind w:left="1116" w:hanging="284"/>
      </w:pPr>
      <w:rPr>
        <w:rFonts w:hint="default"/>
        <w:lang w:val="en-US" w:eastAsia="en-US" w:bidi="ar-SA"/>
      </w:rPr>
    </w:lvl>
    <w:lvl w:ilvl="5" w:tplc="9D3EF3C4">
      <w:numFmt w:val="bullet"/>
      <w:lvlText w:val="•"/>
      <w:lvlJc w:val="left"/>
      <w:pPr>
        <w:ind w:left="1286" w:hanging="284"/>
      </w:pPr>
      <w:rPr>
        <w:rFonts w:hint="default"/>
        <w:lang w:val="en-US" w:eastAsia="en-US" w:bidi="ar-SA"/>
      </w:rPr>
    </w:lvl>
    <w:lvl w:ilvl="6" w:tplc="318E769E">
      <w:numFmt w:val="bullet"/>
      <w:lvlText w:val="•"/>
      <w:lvlJc w:val="left"/>
      <w:pPr>
        <w:ind w:left="1455" w:hanging="284"/>
      </w:pPr>
      <w:rPr>
        <w:rFonts w:hint="default"/>
        <w:lang w:val="en-US" w:eastAsia="en-US" w:bidi="ar-SA"/>
      </w:rPr>
    </w:lvl>
    <w:lvl w:ilvl="7" w:tplc="2FDECF98">
      <w:numFmt w:val="bullet"/>
      <w:lvlText w:val="•"/>
      <w:lvlJc w:val="left"/>
      <w:pPr>
        <w:ind w:left="1624" w:hanging="284"/>
      </w:pPr>
      <w:rPr>
        <w:rFonts w:hint="default"/>
        <w:lang w:val="en-US" w:eastAsia="en-US" w:bidi="ar-SA"/>
      </w:rPr>
    </w:lvl>
    <w:lvl w:ilvl="8" w:tplc="ACA82270">
      <w:numFmt w:val="bullet"/>
      <w:lvlText w:val="•"/>
      <w:lvlJc w:val="left"/>
      <w:pPr>
        <w:ind w:left="1793" w:hanging="284"/>
      </w:pPr>
      <w:rPr>
        <w:rFonts w:hint="default"/>
        <w:lang w:val="en-US" w:eastAsia="en-US" w:bidi="ar-SA"/>
      </w:rPr>
    </w:lvl>
  </w:abstractNum>
  <w:abstractNum w:abstractNumId="398" w15:restartNumberingAfterBreak="0">
    <w:nsid w:val="66D42614"/>
    <w:multiLevelType w:val="hybridMultilevel"/>
    <w:tmpl w:val="115C34F4"/>
    <w:lvl w:ilvl="0" w:tplc="05088566">
      <w:numFmt w:val="bullet"/>
      <w:lvlText w:val=""/>
      <w:lvlJc w:val="left"/>
      <w:pPr>
        <w:ind w:left="429" w:hanging="284"/>
      </w:pPr>
      <w:rPr>
        <w:rFonts w:ascii="Symbol" w:eastAsia="Symbol" w:hAnsi="Symbol" w:cs="Symbol" w:hint="default"/>
        <w:b w:val="0"/>
        <w:bCs w:val="0"/>
        <w:i w:val="0"/>
        <w:iCs w:val="0"/>
        <w:color w:val="70004A"/>
        <w:spacing w:val="0"/>
        <w:w w:val="100"/>
        <w:sz w:val="18"/>
        <w:szCs w:val="18"/>
        <w:lang w:val="en-US" w:eastAsia="en-US" w:bidi="ar-SA"/>
      </w:rPr>
    </w:lvl>
    <w:lvl w:ilvl="1" w:tplc="1A1C07E0">
      <w:numFmt w:val="bullet"/>
      <w:lvlText w:val="•"/>
      <w:lvlJc w:val="left"/>
      <w:pPr>
        <w:ind w:left="607" w:hanging="284"/>
      </w:pPr>
      <w:rPr>
        <w:rFonts w:hint="default"/>
        <w:lang w:val="en-US" w:eastAsia="en-US" w:bidi="ar-SA"/>
      </w:rPr>
    </w:lvl>
    <w:lvl w:ilvl="2" w:tplc="7B26DEE0">
      <w:numFmt w:val="bullet"/>
      <w:lvlText w:val="•"/>
      <w:lvlJc w:val="left"/>
      <w:pPr>
        <w:ind w:left="794" w:hanging="284"/>
      </w:pPr>
      <w:rPr>
        <w:rFonts w:hint="default"/>
        <w:lang w:val="en-US" w:eastAsia="en-US" w:bidi="ar-SA"/>
      </w:rPr>
    </w:lvl>
    <w:lvl w:ilvl="3" w:tplc="DDA4A046">
      <w:numFmt w:val="bullet"/>
      <w:lvlText w:val="•"/>
      <w:lvlJc w:val="left"/>
      <w:pPr>
        <w:ind w:left="981" w:hanging="284"/>
      </w:pPr>
      <w:rPr>
        <w:rFonts w:hint="default"/>
        <w:lang w:val="en-US" w:eastAsia="en-US" w:bidi="ar-SA"/>
      </w:rPr>
    </w:lvl>
    <w:lvl w:ilvl="4" w:tplc="251646AA">
      <w:numFmt w:val="bullet"/>
      <w:lvlText w:val="•"/>
      <w:lvlJc w:val="left"/>
      <w:pPr>
        <w:ind w:left="1168" w:hanging="284"/>
      </w:pPr>
      <w:rPr>
        <w:rFonts w:hint="default"/>
        <w:lang w:val="en-US" w:eastAsia="en-US" w:bidi="ar-SA"/>
      </w:rPr>
    </w:lvl>
    <w:lvl w:ilvl="5" w:tplc="5C9897B4">
      <w:numFmt w:val="bullet"/>
      <w:lvlText w:val="•"/>
      <w:lvlJc w:val="left"/>
      <w:pPr>
        <w:ind w:left="1355" w:hanging="284"/>
      </w:pPr>
      <w:rPr>
        <w:rFonts w:hint="default"/>
        <w:lang w:val="en-US" w:eastAsia="en-US" w:bidi="ar-SA"/>
      </w:rPr>
    </w:lvl>
    <w:lvl w:ilvl="6" w:tplc="704A5A16">
      <w:numFmt w:val="bullet"/>
      <w:lvlText w:val="•"/>
      <w:lvlJc w:val="left"/>
      <w:pPr>
        <w:ind w:left="1542" w:hanging="284"/>
      </w:pPr>
      <w:rPr>
        <w:rFonts w:hint="default"/>
        <w:lang w:val="en-US" w:eastAsia="en-US" w:bidi="ar-SA"/>
      </w:rPr>
    </w:lvl>
    <w:lvl w:ilvl="7" w:tplc="849A8A08">
      <w:numFmt w:val="bullet"/>
      <w:lvlText w:val="•"/>
      <w:lvlJc w:val="left"/>
      <w:pPr>
        <w:ind w:left="1729" w:hanging="284"/>
      </w:pPr>
      <w:rPr>
        <w:rFonts w:hint="default"/>
        <w:lang w:val="en-US" w:eastAsia="en-US" w:bidi="ar-SA"/>
      </w:rPr>
    </w:lvl>
    <w:lvl w:ilvl="8" w:tplc="FFBECB70">
      <w:numFmt w:val="bullet"/>
      <w:lvlText w:val="•"/>
      <w:lvlJc w:val="left"/>
      <w:pPr>
        <w:ind w:left="1916" w:hanging="284"/>
      </w:pPr>
      <w:rPr>
        <w:rFonts w:hint="default"/>
        <w:lang w:val="en-US" w:eastAsia="en-US" w:bidi="ar-SA"/>
      </w:rPr>
    </w:lvl>
  </w:abstractNum>
  <w:abstractNum w:abstractNumId="399" w15:restartNumberingAfterBreak="0">
    <w:nsid w:val="671B33CB"/>
    <w:multiLevelType w:val="hybridMultilevel"/>
    <w:tmpl w:val="6D524A36"/>
    <w:lvl w:ilvl="0" w:tplc="5F00F002">
      <w:numFmt w:val="bullet"/>
      <w:lvlText w:val=""/>
      <w:lvlJc w:val="left"/>
      <w:pPr>
        <w:ind w:left="476" w:hanging="284"/>
      </w:pPr>
      <w:rPr>
        <w:rFonts w:ascii="Symbol" w:eastAsia="Symbol" w:hAnsi="Symbol" w:cs="Symbol" w:hint="default"/>
        <w:b w:val="0"/>
        <w:bCs w:val="0"/>
        <w:i w:val="0"/>
        <w:iCs w:val="0"/>
        <w:color w:val="70004A"/>
        <w:spacing w:val="0"/>
        <w:w w:val="100"/>
        <w:sz w:val="18"/>
        <w:szCs w:val="18"/>
        <w:lang w:val="en-US" w:eastAsia="en-US" w:bidi="ar-SA"/>
      </w:rPr>
    </w:lvl>
    <w:lvl w:ilvl="1" w:tplc="0B5C2122">
      <w:numFmt w:val="bullet"/>
      <w:lvlText w:val="•"/>
      <w:lvlJc w:val="left"/>
      <w:pPr>
        <w:ind w:left="742" w:hanging="284"/>
      </w:pPr>
      <w:rPr>
        <w:rFonts w:hint="default"/>
        <w:lang w:val="en-US" w:eastAsia="en-US" w:bidi="ar-SA"/>
      </w:rPr>
    </w:lvl>
    <w:lvl w:ilvl="2" w:tplc="A044EA32">
      <w:numFmt w:val="bullet"/>
      <w:lvlText w:val="•"/>
      <w:lvlJc w:val="left"/>
      <w:pPr>
        <w:ind w:left="1005" w:hanging="284"/>
      </w:pPr>
      <w:rPr>
        <w:rFonts w:hint="default"/>
        <w:lang w:val="en-US" w:eastAsia="en-US" w:bidi="ar-SA"/>
      </w:rPr>
    </w:lvl>
    <w:lvl w:ilvl="3" w:tplc="1D966D76">
      <w:numFmt w:val="bullet"/>
      <w:lvlText w:val="•"/>
      <w:lvlJc w:val="left"/>
      <w:pPr>
        <w:ind w:left="1268" w:hanging="284"/>
      </w:pPr>
      <w:rPr>
        <w:rFonts w:hint="default"/>
        <w:lang w:val="en-US" w:eastAsia="en-US" w:bidi="ar-SA"/>
      </w:rPr>
    </w:lvl>
    <w:lvl w:ilvl="4" w:tplc="E06E8648">
      <w:numFmt w:val="bullet"/>
      <w:lvlText w:val="•"/>
      <w:lvlJc w:val="left"/>
      <w:pPr>
        <w:ind w:left="1530" w:hanging="284"/>
      </w:pPr>
      <w:rPr>
        <w:rFonts w:hint="default"/>
        <w:lang w:val="en-US" w:eastAsia="en-US" w:bidi="ar-SA"/>
      </w:rPr>
    </w:lvl>
    <w:lvl w:ilvl="5" w:tplc="F3A2556A">
      <w:numFmt w:val="bullet"/>
      <w:lvlText w:val="•"/>
      <w:lvlJc w:val="left"/>
      <w:pPr>
        <w:ind w:left="1793" w:hanging="284"/>
      </w:pPr>
      <w:rPr>
        <w:rFonts w:hint="default"/>
        <w:lang w:val="en-US" w:eastAsia="en-US" w:bidi="ar-SA"/>
      </w:rPr>
    </w:lvl>
    <w:lvl w:ilvl="6" w:tplc="3350FDE4">
      <w:numFmt w:val="bullet"/>
      <w:lvlText w:val="•"/>
      <w:lvlJc w:val="left"/>
      <w:pPr>
        <w:ind w:left="2056" w:hanging="284"/>
      </w:pPr>
      <w:rPr>
        <w:rFonts w:hint="default"/>
        <w:lang w:val="en-US" w:eastAsia="en-US" w:bidi="ar-SA"/>
      </w:rPr>
    </w:lvl>
    <w:lvl w:ilvl="7" w:tplc="DAC0939E">
      <w:numFmt w:val="bullet"/>
      <w:lvlText w:val="•"/>
      <w:lvlJc w:val="left"/>
      <w:pPr>
        <w:ind w:left="2318" w:hanging="284"/>
      </w:pPr>
      <w:rPr>
        <w:rFonts w:hint="default"/>
        <w:lang w:val="en-US" w:eastAsia="en-US" w:bidi="ar-SA"/>
      </w:rPr>
    </w:lvl>
    <w:lvl w:ilvl="8" w:tplc="AE2075A2">
      <w:numFmt w:val="bullet"/>
      <w:lvlText w:val="•"/>
      <w:lvlJc w:val="left"/>
      <w:pPr>
        <w:ind w:left="2581" w:hanging="284"/>
      </w:pPr>
      <w:rPr>
        <w:rFonts w:hint="default"/>
        <w:lang w:val="en-US" w:eastAsia="en-US" w:bidi="ar-SA"/>
      </w:rPr>
    </w:lvl>
  </w:abstractNum>
  <w:abstractNum w:abstractNumId="400" w15:restartNumberingAfterBreak="0">
    <w:nsid w:val="673703C6"/>
    <w:multiLevelType w:val="hybridMultilevel"/>
    <w:tmpl w:val="E9B41ADC"/>
    <w:lvl w:ilvl="0" w:tplc="CC4E71D0">
      <w:numFmt w:val="bullet"/>
      <w:lvlText w:val=""/>
      <w:lvlJc w:val="left"/>
      <w:pPr>
        <w:ind w:left="423" w:hanging="284"/>
      </w:pPr>
      <w:rPr>
        <w:rFonts w:ascii="Symbol" w:eastAsia="Symbol" w:hAnsi="Symbol" w:cs="Symbol" w:hint="default"/>
        <w:b w:val="0"/>
        <w:bCs w:val="0"/>
        <w:i w:val="0"/>
        <w:iCs w:val="0"/>
        <w:color w:val="70004A"/>
        <w:spacing w:val="0"/>
        <w:w w:val="100"/>
        <w:sz w:val="18"/>
        <w:szCs w:val="18"/>
        <w:lang w:val="en-US" w:eastAsia="en-US" w:bidi="ar-SA"/>
      </w:rPr>
    </w:lvl>
    <w:lvl w:ilvl="1" w:tplc="C81A31C2">
      <w:numFmt w:val="bullet"/>
      <w:lvlText w:val="•"/>
      <w:lvlJc w:val="left"/>
      <w:pPr>
        <w:ind w:left="584" w:hanging="284"/>
      </w:pPr>
      <w:rPr>
        <w:rFonts w:hint="default"/>
        <w:lang w:val="en-US" w:eastAsia="en-US" w:bidi="ar-SA"/>
      </w:rPr>
    </w:lvl>
    <w:lvl w:ilvl="2" w:tplc="4A72883C">
      <w:numFmt w:val="bullet"/>
      <w:lvlText w:val="•"/>
      <w:lvlJc w:val="left"/>
      <w:pPr>
        <w:ind w:left="749" w:hanging="284"/>
      </w:pPr>
      <w:rPr>
        <w:rFonts w:hint="default"/>
        <w:lang w:val="en-US" w:eastAsia="en-US" w:bidi="ar-SA"/>
      </w:rPr>
    </w:lvl>
    <w:lvl w:ilvl="3" w:tplc="FCB085FC">
      <w:numFmt w:val="bullet"/>
      <w:lvlText w:val="•"/>
      <w:lvlJc w:val="left"/>
      <w:pPr>
        <w:ind w:left="914" w:hanging="284"/>
      </w:pPr>
      <w:rPr>
        <w:rFonts w:hint="default"/>
        <w:lang w:val="en-US" w:eastAsia="en-US" w:bidi="ar-SA"/>
      </w:rPr>
    </w:lvl>
    <w:lvl w:ilvl="4" w:tplc="AB3005BC">
      <w:numFmt w:val="bullet"/>
      <w:lvlText w:val="•"/>
      <w:lvlJc w:val="left"/>
      <w:pPr>
        <w:ind w:left="1079" w:hanging="284"/>
      </w:pPr>
      <w:rPr>
        <w:rFonts w:hint="default"/>
        <w:lang w:val="en-US" w:eastAsia="en-US" w:bidi="ar-SA"/>
      </w:rPr>
    </w:lvl>
    <w:lvl w:ilvl="5" w:tplc="63869FCA">
      <w:numFmt w:val="bullet"/>
      <w:lvlText w:val="•"/>
      <w:lvlJc w:val="left"/>
      <w:pPr>
        <w:ind w:left="1244" w:hanging="284"/>
      </w:pPr>
      <w:rPr>
        <w:rFonts w:hint="default"/>
        <w:lang w:val="en-US" w:eastAsia="en-US" w:bidi="ar-SA"/>
      </w:rPr>
    </w:lvl>
    <w:lvl w:ilvl="6" w:tplc="942AA524">
      <w:numFmt w:val="bullet"/>
      <w:lvlText w:val="•"/>
      <w:lvlJc w:val="left"/>
      <w:pPr>
        <w:ind w:left="1408" w:hanging="284"/>
      </w:pPr>
      <w:rPr>
        <w:rFonts w:hint="default"/>
        <w:lang w:val="en-US" w:eastAsia="en-US" w:bidi="ar-SA"/>
      </w:rPr>
    </w:lvl>
    <w:lvl w:ilvl="7" w:tplc="065A0066">
      <w:numFmt w:val="bullet"/>
      <w:lvlText w:val="•"/>
      <w:lvlJc w:val="left"/>
      <w:pPr>
        <w:ind w:left="1573" w:hanging="284"/>
      </w:pPr>
      <w:rPr>
        <w:rFonts w:hint="default"/>
        <w:lang w:val="en-US" w:eastAsia="en-US" w:bidi="ar-SA"/>
      </w:rPr>
    </w:lvl>
    <w:lvl w:ilvl="8" w:tplc="B1F45294">
      <w:numFmt w:val="bullet"/>
      <w:lvlText w:val="•"/>
      <w:lvlJc w:val="left"/>
      <w:pPr>
        <w:ind w:left="1738" w:hanging="284"/>
      </w:pPr>
      <w:rPr>
        <w:rFonts w:hint="default"/>
        <w:lang w:val="en-US" w:eastAsia="en-US" w:bidi="ar-SA"/>
      </w:rPr>
    </w:lvl>
  </w:abstractNum>
  <w:abstractNum w:abstractNumId="401" w15:restartNumberingAfterBreak="0">
    <w:nsid w:val="67376DA7"/>
    <w:multiLevelType w:val="hybridMultilevel"/>
    <w:tmpl w:val="DFA678CC"/>
    <w:lvl w:ilvl="0" w:tplc="94DAF402">
      <w:numFmt w:val="bullet"/>
      <w:lvlText w:val=""/>
      <w:lvlJc w:val="left"/>
      <w:pPr>
        <w:ind w:left="464" w:hanging="284"/>
      </w:pPr>
      <w:rPr>
        <w:rFonts w:ascii="Symbol" w:eastAsia="Symbol" w:hAnsi="Symbol" w:cs="Symbol" w:hint="default"/>
        <w:b w:val="0"/>
        <w:bCs w:val="0"/>
        <w:i w:val="0"/>
        <w:iCs w:val="0"/>
        <w:color w:val="70004A"/>
        <w:spacing w:val="0"/>
        <w:w w:val="100"/>
        <w:sz w:val="18"/>
        <w:szCs w:val="18"/>
        <w:lang w:val="en-US" w:eastAsia="en-US" w:bidi="ar-SA"/>
      </w:rPr>
    </w:lvl>
    <w:lvl w:ilvl="1" w:tplc="A078CC54">
      <w:numFmt w:val="bullet"/>
      <w:lvlText w:val="•"/>
      <w:lvlJc w:val="left"/>
      <w:pPr>
        <w:ind w:left="681" w:hanging="284"/>
      </w:pPr>
      <w:rPr>
        <w:rFonts w:hint="default"/>
        <w:lang w:val="en-US" w:eastAsia="en-US" w:bidi="ar-SA"/>
      </w:rPr>
    </w:lvl>
    <w:lvl w:ilvl="2" w:tplc="50BE115E">
      <w:numFmt w:val="bullet"/>
      <w:lvlText w:val="•"/>
      <w:lvlJc w:val="left"/>
      <w:pPr>
        <w:ind w:left="902" w:hanging="284"/>
      </w:pPr>
      <w:rPr>
        <w:rFonts w:hint="default"/>
        <w:lang w:val="en-US" w:eastAsia="en-US" w:bidi="ar-SA"/>
      </w:rPr>
    </w:lvl>
    <w:lvl w:ilvl="3" w:tplc="7EC862E4">
      <w:numFmt w:val="bullet"/>
      <w:lvlText w:val="•"/>
      <w:lvlJc w:val="left"/>
      <w:pPr>
        <w:ind w:left="1124" w:hanging="284"/>
      </w:pPr>
      <w:rPr>
        <w:rFonts w:hint="default"/>
        <w:lang w:val="en-US" w:eastAsia="en-US" w:bidi="ar-SA"/>
      </w:rPr>
    </w:lvl>
    <w:lvl w:ilvl="4" w:tplc="5B404328">
      <w:numFmt w:val="bullet"/>
      <w:lvlText w:val="•"/>
      <w:lvlJc w:val="left"/>
      <w:pPr>
        <w:ind w:left="1345" w:hanging="284"/>
      </w:pPr>
      <w:rPr>
        <w:rFonts w:hint="default"/>
        <w:lang w:val="en-US" w:eastAsia="en-US" w:bidi="ar-SA"/>
      </w:rPr>
    </w:lvl>
    <w:lvl w:ilvl="5" w:tplc="A8B2647C">
      <w:numFmt w:val="bullet"/>
      <w:lvlText w:val="•"/>
      <w:lvlJc w:val="left"/>
      <w:pPr>
        <w:ind w:left="1567" w:hanging="284"/>
      </w:pPr>
      <w:rPr>
        <w:rFonts w:hint="default"/>
        <w:lang w:val="en-US" w:eastAsia="en-US" w:bidi="ar-SA"/>
      </w:rPr>
    </w:lvl>
    <w:lvl w:ilvl="6" w:tplc="5C4C50E8">
      <w:numFmt w:val="bullet"/>
      <w:lvlText w:val="•"/>
      <w:lvlJc w:val="left"/>
      <w:pPr>
        <w:ind w:left="1788" w:hanging="284"/>
      </w:pPr>
      <w:rPr>
        <w:rFonts w:hint="default"/>
        <w:lang w:val="en-US" w:eastAsia="en-US" w:bidi="ar-SA"/>
      </w:rPr>
    </w:lvl>
    <w:lvl w:ilvl="7" w:tplc="51CC72B0">
      <w:numFmt w:val="bullet"/>
      <w:lvlText w:val="•"/>
      <w:lvlJc w:val="left"/>
      <w:pPr>
        <w:ind w:left="2009" w:hanging="284"/>
      </w:pPr>
      <w:rPr>
        <w:rFonts w:hint="default"/>
        <w:lang w:val="en-US" w:eastAsia="en-US" w:bidi="ar-SA"/>
      </w:rPr>
    </w:lvl>
    <w:lvl w:ilvl="8" w:tplc="4F2E2BD0">
      <w:numFmt w:val="bullet"/>
      <w:lvlText w:val="•"/>
      <w:lvlJc w:val="left"/>
      <w:pPr>
        <w:ind w:left="2231" w:hanging="284"/>
      </w:pPr>
      <w:rPr>
        <w:rFonts w:hint="default"/>
        <w:lang w:val="en-US" w:eastAsia="en-US" w:bidi="ar-SA"/>
      </w:rPr>
    </w:lvl>
  </w:abstractNum>
  <w:abstractNum w:abstractNumId="402" w15:restartNumberingAfterBreak="0">
    <w:nsid w:val="67527239"/>
    <w:multiLevelType w:val="hybridMultilevel"/>
    <w:tmpl w:val="A772673A"/>
    <w:lvl w:ilvl="0" w:tplc="8A904564">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7D1E8D92">
      <w:numFmt w:val="bullet"/>
      <w:lvlText w:val="•"/>
      <w:lvlJc w:val="left"/>
      <w:pPr>
        <w:ind w:left="685" w:hanging="284"/>
      </w:pPr>
      <w:rPr>
        <w:rFonts w:hint="default"/>
        <w:lang w:val="en-US" w:eastAsia="en-US" w:bidi="ar-SA"/>
      </w:rPr>
    </w:lvl>
    <w:lvl w:ilvl="2" w:tplc="C19050AE">
      <w:numFmt w:val="bullet"/>
      <w:lvlText w:val="•"/>
      <w:lvlJc w:val="left"/>
      <w:pPr>
        <w:ind w:left="971" w:hanging="284"/>
      </w:pPr>
      <w:rPr>
        <w:rFonts w:hint="default"/>
        <w:lang w:val="en-US" w:eastAsia="en-US" w:bidi="ar-SA"/>
      </w:rPr>
    </w:lvl>
    <w:lvl w:ilvl="3" w:tplc="AF365CF6">
      <w:numFmt w:val="bullet"/>
      <w:lvlText w:val="•"/>
      <w:lvlJc w:val="left"/>
      <w:pPr>
        <w:ind w:left="1257" w:hanging="284"/>
      </w:pPr>
      <w:rPr>
        <w:rFonts w:hint="default"/>
        <w:lang w:val="en-US" w:eastAsia="en-US" w:bidi="ar-SA"/>
      </w:rPr>
    </w:lvl>
    <w:lvl w:ilvl="4" w:tplc="D5BABD28">
      <w:numFmt w:val="bullet"/>
      <w:lvlText w:val="•"/>
      <w:lvlJc w:val="left"/>
      <w:pPr>
        <w:ind w:left="1542" w:hanging="284"/>
      </w:pPr>
      <w:rPr>
        <w:rFonts w:hint="default"/>
        <w:lang w:val="en-US" w:eastAsia="en-US" w:bidi="ar-SA"/>
      </w:rPr>
    </w:lvl>
    <w:lvl w:ilvl="5" w:tplc="5F1E9978">
      <w:numFmt w:val="bullet"/>
      <w:lvlText w:val="•"/>
      <w:lvlJc w:val="left"/>
      <w:pPr>
        <w:ind w:left="1828" w:hanging="284"/>
      </w:pPr>
      <w:rPr>
        <w:rFonts w:hint="default"/>
        <w:lang w:val="en-US" w:eastAsia="en-US" w:bidi="ar-SA"/>
      </w:rPr>
    </w:lvl>
    <w:lvl w:ilvl="6" w:tplc="0210736E">
      <w:numFmt w:val="bullet"/>
      <w:lvlText w:val="•"/>
      <w:lvlJc w:val="left"/>
      <w:pPr>
        <w:ind w:left="2114" w:hanging="284"/>
      </w:pPr>
      <w:rPr>
        <w:rFonts w:hint="default"/>
        <w:lang w:val="en-US" w:eastAsia="en-US" w:bidi="ar-SA"/>
      </w:rPr>
    </w:lvl>
    <w:lvl w:ilvl="7" w:tplc="BB100CC6">
      <w:numFmt w:val="bullet"/>
      <w:lvlText w:val="•"/>
      <w:lvlJc w:val="left"/>
      <w:pPr>
        <w:ind w:left="2399" w:hanging="284"/>
      </w:pPr>
      <w:rPr>
        <w:rFonts w:hint="default"/>
        <w:lang w:val="en-US" w:eastAsia="en-US" w:bidi="ar-SA"/>
      </w:rPr>
    </w:lvl>
    <w:lvl w:ilvl="8" w:tplc="8CE25760">
      <w:numFmt w:val="bullet"/>
      <w:lvlText w:val="•"/>
      <w:lvlJc w:val="left"/>
      <w:pPr>
        <w:ind w:left="2685" w:hanging="284"/>
      </w:pPr>
      <w:rPr>
        <w:rFonts w:hint="default"/>
        <w:lang w:val="en-US" w:eastAsia="en-US" w:bidi="ar-SA"/>
      </w:rPr>
    </w:lvl>
  </w:abstractNum>
  <w:abstractNum w:abstractNumId="403" w15:restartNumberingAfterBreak="0">
    <w:nsid w:val="67920D65"/>
    <w:multiLevelType w:val="hybridMultilevel"/>
    <w:tmpl w:val="3ACAD1A8"/>
    <w:lvl w:ilvl="0" w:tplc="CB4CD9BE">
      <w:numFmt w:val="bullet"/>
      <w:lvlText w:val=""/>
      <w:lvlJc w:val="left"/>
      <w:pPr>
        <w:ind w:left="469" w:hanging="284"/>
      </w:pPr>
      <w:rPr>
        <w:rFonts w:ascii="Symbol" w:eastAsia="Symbol" w:hAnsi="Symbol" w:cs="Symbol" w:hint="default"/>
        <w:b w:val="0"/>
        <w:bCs w:val="0"/>
        <w:i w:val="0"/>
        <w:iCs w:val="0"/>
        <w:color w:val="70004A"/>
        <w:spacing w:val="0"/>
        <w:w w:val="100"/>
        <w:sz w:val="18"/>
        <w:szCs w:val="18"/>
        <w:lang w:val="en-US" w:eastAsia="en-US" w:bidi="ar-SA"/>
      </w:rPr>
    </w:lvl>
    <w:lvl w:ilvl="1" w:tplc="EF10D224">
      <w:numFmt w:val="bullet"/>
      <w:lvlText w:val="•"/>
      <w:lvlJc w:val="left"/>
      <w:pPr>
        <w:ind w:left="634" w:hanging="284"/>
      </w:pPr>
      <w:rPr>
        <w:rFonts w:hint="default"/>
        <w:lang w:val="en-US" w:eastAsia="en-US" w:bidi="ar-SA"/>
      </w:rPr>
    </w:lvl>
    <w:lvl w:ilvl="2" w:tplc="68226710">
      <w:numFmt w:val="bullet"/>
      <w:lvlText w:val="•"/>
      <w:lvlJc w:val="left"/>
      <w:pPr>
        <w:ind w:left="808" w:hanging="284"/>
      </w:pPr>
      <w:rPr>
        <w:rFonts w:hint="default"/>
        <w:lang w:val="en-US" w:eastAsia="en-US" w:bidi="ar-SA"/>
      </w:rPr>
    </w:lvl>
    <w:lvl w:ilvl="3" w:tplc="26D4EBA6">
      <w:numFmt w:val="bullet"/>
      <w:lvlText w:val="•"/>
      <w:lvlJc w:val="left"/>
      <w:pPr>
        <w:ind w:left="982" w:hanging="284"/>
      </w:pPr>
      <w:rPr>
        <w:rFonts w:hint="default"/>
        <w:lang w:val="en-US" w:eastAsia="en-US" w:bidi="ar-SA"/>
      </w:rPr>
    </w:lvl>
    <w:lvl w:ilvl="4" w:tplc="F39C2A74">
      <w:numFmt w:val="bullet"/>
      <w:lvlText w:val="•"/>
      <w:lvlJc w:val="left"/>
      <w:pPr>
        <w:ind w:left="1156" w:hanging="284"/>
      </w:pPr>
      <w:rPr>
        <w:rFonts w:hint="default"/>
        <w:lang w:val="en-US" w:eastAsia="en-US" w:bidi="ar-SA"/>
      </w:rPr>
    </w:lvl>
    <w:lvl w:ilvl="5" w:tplc="F9AE0BF0">
      <w:numFmt w:val="bullet"/>
      <w:lvlText w:val="•"/>
      <w:lvlJc w:val="left"/>
      <w:pPr>
        <w:ind w:left="1330" w:hanging="284"/>
      </w:pPr>
      <w:rPr>
        <w:rFonts w:hint="default"/>
        <w:lang w:val="en-US" w:eastAsia="en-US" w:bidi="ar-SA"/>
      </w:rPr>
    </w:lvl>
    <w:lvl w:ilvl="6" w:tplc="62DE4FDE">
      <w:numFmt w:val="bullet"/>
      <w:lvlText w:val="•"/>
      <w:lvlJc w:val="left"/>
      <w:pPr>
        <w:ind w:left="1504" w:hanging="284"/>
      </w:pPr>
      <w:rPr>
        <w:rFonts w:hint="default"/>
        <w:lang w:val="en-US" w:eastAsia="en-US" w:bidi="ar-SA"/>
      </w:rPr>
    </w:lvl>
    <w:lvl w:ilvl="7" w:tplc="528C389A">
      <w:numFmt w:val="bullet"/>
      <w:lvlText w:val="•"/>
      <w:lvlJc w:val="left"/>
      <w:pPr>
        <w:ind w:left="1678" w:hanging="284"/>
      </w:pPr>
      <w:rPr>
        <w:rFonts w:hint="default"/>
        <w:lang w:val="en-US" w:eastAsia="en-US" w:bidi="ar-SA"/>
      </w:rPr>
    </w:lvl>
    <w:lvl w:ilvl="8" w:tplc="CB5621AE">
      <w:numFmt w:val="bullet"/>
      <w:lvlText w:val="•"/>
      <w:lvlJc w:val="left"/>
      <w:pPr>
        <w:ind w:left="1852" w:hanging="284"/>
      </w:pPr>
      <w:rPr>
        <w:rFonts w:hint="default"/>
        <w:lang w:val="en-US" w:eastAsia="en-US" w:bidi="ar-SA"/>
      </w:rPr>
    </w:lvl>
  </w:abstractNum>
  <w:abstractNum w:abstractNumId="404" w15:restartNumberingAfterBreak="0">
    <w:nsid w:val="67C12EF4"/>
    <w:multiLevelType w:val="hybridMultilevel"/>
    <w:tmpl w:val="24B6A230"/>
    <w:lvl w:ilvl="0" w:tplc="9886EBA2">
      <w:numFmt w:val="bullet"/>
      <w:lvlText w:val=""/>
      <w:lvlJc w:val="left"/>
      <w:pPr>
        <w:ind w:left="455" w:hanging="284"/>
      </w:pPr>
      <w:rPr>
        <w:rFonts w:ascii="Symbol" w:eastAsia="Symbol" w:hAnsi="Symbol" w:cs="Symbol" w:hint="default"/>
        <w:b w:val="0"/>
        <w:bCs w:val="0"/>
        <w:i w:val="0"/>
        <w:iCs w:val="0"/>
        <w:color w:val="70004A"/>
        <w:spacing w:val="0"/>
        <w:w w:val="100"/>
        <w:sz w:val="18"/>
        <w:szCs w:val="18"/>
        <w:lang w:val="en-US" w:eastAsia="en-US" w:bidi="ar-SA"/>
      </w:rPr>
    </w:lvl>
    <w:lvl w:ilvl="1" w:tplc="33F8FE2E">
      <w:numFmt w:val="bullet"/>
      <w:lvlText w:val="•"/>
      <w:lvlJc w:val="left"/>
      <w:pPr>
        <w:ind w:left="628" w:hanging="284"/>
      </w:pPr>
      <w:rPr>
        <w:rFonts w:hint="default"/>
        <w:lang w:val="en-US" w:eastAsia="en-US" w:bidi="ar-SA"/>
      </w:rPr>
    </w:lvl>
    <w:lvl w:ilvl="2" w:tplc="F32450DE">
      <w:numFmt w:val="bullet"/>
      <w:lvlText w:val="•"/>
      <w:lvlJc w:val="left"/>
      <w:pPr>
        <w:ind w:left="797" w:hanging="284"/>
      </w:pPr>
      <w:rPr>
        <w:rFonts w:hint="default"/>
        <w:lang w:val="en-US" w:eastAsia="en-US" w:bidi="ar-SA"/>
      </w:rPr>
    </w:lvl>
    <w:lvl w:ilvl="3" w:tplc="CC6C065E">
      <w:numFmt w:val="bullet"/>
      <w:lvlText w:val="•"/>
      <w:lvlJc w:val="left"/>
      <w:pPr>
        <w:ind w:left="966" w:hanging="284"/>
      </w:pPr>
      <w:rPr>
        <w:rFonts w:hint="default"/>
        <w:lang w:val="en-US" w:eastAsia="en-US" w:bidi="ar-SA"/>
      </w:rPr>
    </w:lvl>
    <w:lvl w:ilvl="4" w:tplc="BF909B24">
      <w:numFmt w:val="bullet"/>
      <w:lvlText w:val="•"/>
      <w:lvlJc w:val="left"/>
      <w:pPr>
        <w:ind w:left="1135" w:hanging="284"/>
      </w:pPr>
      <w:rPr>
        <w:rFonts w:hint="default"/>
        <w:lang w:val="en-US" w:eastAsia="en-US" w:bidi="ar-SA"/>
      </w:rPr>
    </w:lvl>
    <w:lvl w:ilvl="5" w:tplc="2C762C56">
      <w:numFmt w:val="bullet"/>
      <w:lvlText w:val="•"/>
      <w:lvlJc w:val="left"/>
      <w:pPr>
        <w:ind w:left="1304" w:hanging="284"/>
      </w:pPr>
      <w:rPr>
        <w:rFonts w:hint="default"/>
        <w:lang w:val="en-US" w:eastAsia="en-US" w:bidi="ar-SA"/>
      </w:rPr>
    </w:lvl>
    <w:lvl w:ilvl="6" w:tplc="4AE6DAEE">
      <w:numFmt w:val="bullet"/>
      <w:lvlText w:val="•"/>
      <w:lvlJc w:val="left"/>
      <w:pPr>
        <w:ind w:left="1473" w:hanging="284"/>
      </w:pPr>
      <w:rPr>
        <w:rFonts w:hint="default"/>
        <w:lang w:val="en-US" w:eastAsia="en-US" w:bidi="ar-SA"/>
      </w:rPr>
    </w:lvl>
    <w:lvl w:ilvl="7" w:tplc="66B0DDFE">
      <w:numFmt w:val="bullet"/>
      <w:lvlText w:val="•"/>
      <w:lvlJc w:val="left"/>
      <w:pPr>
        <w:ind w:left="1642" w:hanging="284"/>
      </w:pPr>
      <w:rPr>
        <w:rFonts w:hint="default"/>
        <w:lang w:val="en-US" w:eastAsia="en-US" w:bidi="ar-SA"/>
      </w:rPr>
    </w:lvl>
    <w:lvl w:ilvl="8" w:tplc="FC166CC2">
      <w:numFmt w:val="bullet"/>
      <w:lvlText w:val="•"/>
      <w:lvlJc w:val="left"/>
      <w:pPr>
        <w:ind w:left="1811" w:hanging="284"/>
      </w:pPr>
      <w:rPr>
        <w:rFonts w:hint="default"/>
        <w:lang w:val="en-US" w:eastAsia="en-US" w:bidi="ar-SA"/>
      </w:rPr>
    </w:lvl>
  </w:abstractNum>
  <w:abstractNum w:abstractNumId="405" w15:restartNumberingAfterBreak="0">
    <w:nsid w:val="67F27CD0"/>
    <w:multiLevelType w:val="hybridMultilevel"/>
    <w:tmpl w:val="1B6AFE78"/>
    <w:lvl w:ilvl="0" w:tplc="107EF466">
      <w:numFmt w:val="bullet"/>
      <w:lvlText w:val=""/>
      <w:lvlJc w:val="left"/>
      <w:pPr>
        <w:ind w:left="442" w:hanging="284"/>
      </w:pPr>
      <w:rPr>
        <w:rFonts w:ascii="Symbol" w:eastAsia="Symbol" w:hAnsi="Symbol" w:cs="Symbol" w:hint="default"/>
        <w:b w:val="0"/>
        <w:bCs w:val="0"/>
        <w:i w:val="0"/>
        <w:iCs w:val="0"/>
        <w:color w:val="70004A"/>
        <w:spacing w:val="0"/>
        <w:w w:val="100"/>
        <w:sz w:val="18"/>
        <w:szCs w:val="18"/>
        <w:lang w:val="en-US" w:eastAsia="en-US" w:bidi="ar-SA"/>
      </w:rPr>
    </w:lvl>
    <w:lvl w:ilvl="1" w:tplc="7E6C67E2">
      <w:numFmt w:val="bullet"/>
      <w:lvlText w:val="•"/>
      <w:lvlJc w:val="left"/>
      <w:pPr>
        <w:ind w:left="705" w:hanging="284"/>
      </w:pPr>
      <w:rPr>
        <w:rFonts w:hint="default"/>
        <w:lang w:val="en-US" w:eastAsia="en-US" w:bidi="ar-SA"/>
      </w:rPr>
    </w:lvl>
    <w:lvl w:ilvl="2" w:tplc="BC80120C">
      <w:numFmt w:val="bullet"/>
      <w:lvlText w:val="•"/>
      <w:lvlJc w:val="left"/>
      <w:pPr>
        <w:ind w:left="970" w:hanging="284"/>
      </w:pPr>
      <w:rPr>
        <w:rFonts w:hint="default"/>
        <w:lang w:val="en-US" w:eastAsia="en-US" w:bidi="ar-SA"/>
      </w:rPr>
    </w:lvl>
    <w:lvl w:ilvl="3" w:tplc="AA1C6BF6">
      <w:numFmt w:val="bullet"/>
      <w:lvlText w:val="•"/>
      <w:lvlJc w:val="left"/>
      <w:pPr>
        <w:ind w:left="1235" w:hanging="284"/>
      </w:pPr>
      <w:rPr>
        <w:rFonts w:hint="default"/>
        <w:lang w:val="en-US" w:eastAsia="en-US" w:bidi="ar-SA"/>
      </w:rPr>
    </w:lvl>
    <w:lvl w:ilvl="4" w:tplc="34482E30">
      <w:numFmt w:val="bullet"/>
      <w:lvlText w:val="•"/>
      <w:lvlJc w:val="left"/>
      <w:pPr>
        <w:ind w:left="1500" w:hanging="284"/>
      </w:pPr>
      <w:rPr>
        <w:rFonts w:hint="default"/>
        <w:lang w:val="en-US" w:eastAsia="en-US" w:bidi="ar-SA"/>
      </w:rPr>
    </w:lvl>
    <w:lvl w:ilvl="5" w:tplc="5A282C1A">
      <w:numFmt w:val="bullet"/>
      <w:lvlText w:val="•"/>
      <w:lvlJc w:val="left"/>
      <w:pPr>
        <w:ind w:left="1766" w:hanging="284"/>
      </w:pPr>
      <w:rPr>
        <w:rFonts w:hint="default"/>
        <w:lang w:val="en-US" w:eastAsia="en-US" w:bidi="ar-SA"/>
      </w:rPr>
    </w:lvl>
    <w:lvl w:ilvl="6" w:tplc="3856B09E">
      <w:numFmt w:val="bullet"/>
      <w:lvlText w:val="•"/>
      <w:lvlJc w:val="left"/>
      <w:pPr>
        <w:ind w:left="2031" w:hanging="284"/>
      </w:pPr>
      <w:rPr>
        <w:rFonts w:hint="default"/>
        <w:lang w:val="en-US" w:eastAsia="en-US" w:bidi="ar-SA"/>
      </w:rPr>
    </w:lvl>
    <w:lvl w:ilvl="7" w:tplc="3828C71E">
      <w:numFmt w:val="bullet"/>
      <w:lvlText w:val="•"/>
      <w:lvlJc w:val="left"/>
      <w:pPr>
        <w:ind w:left="2296" w:hanging="284"/>
      </w:pPr>
      <w:rPr>
        <w:rFonts w:hint="default"/>
        <w:lang w:val="en-US" w:eastAsia="en-US" w:bidi="ar-SA"/>
      </w:rPr>
    </w:lvl>
    <w:lvl w:ilvl="8" w:tplc="6F1E6CAA">
      <w:numFmt w:val="bullet"/>
      <w:lvlText w:val="•"/>
      <w:lvlJc w:val="left"/>
      <w:pPr>
        <w:ind w:left="2561" w:hanging="284"/>
      </w:pPr>
      <w:rPr>
        <w:rFonts w:hint="default"/>
        <w:lang w:val="en-US" w:eastAsia="en-US" w:bidi="ar-SA"/>
      </w:rPr>
    </w:lvl>
  </w:abstractNum>
  <w:abstractNum w:abstractNumId="406" w15:restartNumberingAfterBreak="0">
    <w:nsid w:val="682C3120"/>
    <w:multiLevelType w:val="hybridMultilevel"/>
    <w:tmpl w:val="B5AAD04A"/>
    <w:lvl w:ilvl="0" w:tplc="26F04198">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B7D299F4">
      <w:numFmt w:val="bullet"/>
      <w:lvlText w:val="•"/>
      <w:lvlJc w:val="left"/>
      <w:pPr>
        <w:ind w:left="642" w:hanging="284"/>
      </w:pPr>
      <w:rPr>
        <w:rFonts w:hint="default"/>
        <w:lang w:val="en-US" w:eastAsia="en-US" w:bidi="ar-SA"/>
      </w:rPr>
    </w:lvl>
    <w:lvl w:ilvl="2" w:tplc="AFEC7994">
      <w:numFmt w:val="bullet"/>
      <w:lvlText w:val="•"/>
      <w:lvlJc w:val="left"/>
      <w:pPr>
        <w:ind w:left="885" w:hanging="284"/>
      </w:pPr>
      <w:rPr>
        <w:rFonts w:hint="default"/>
        <w:lang w:val="en-US" w:eastAsia="en-US" w:bidi="ar-SA"/>
      </w:rPr>
    </w:lvl>
    <w:lvl w:ilvl="3" w:tplc="BAD2BE6C">
      <w:numFmt w:val="bullet"/>
      <w:lvlText w:val="•"/>
      <w:lvlJc w:val="left"/>
      <w:pPr>
        <w:ind w:left="1128" w:hanging="284"/>
      </w:pPr>
      <w:rPr>
        <w:rFonts w:hint="default"/>
        <w:lang w:val="en-US" w:eastAsia="en-US" w:bidi="ar-SA"/>
      </w:rPr>
    </w:lvl>
    <w:lvl w:ilvl="4" w:tplc="C1846174">
      <w:numFmt w:val="bullet"/>
      <w:lvlText w:val="•"/>
      <w:lvlJc w:val="left"/>
      <w:pPr>
        <w:ind w:left="1371" w:hanging="284"/>
      </w:pPr>
      <w:rPr>
        <w:rFonts w:hint="default"/>
        <w:lang w:val="en-US" w:eastAsia="en-US" w:bidi="ar-SA"/>
      </w:rPr>
    </w:lvl>
    <w:lvl w:ilvl="5" w:tplc="314A34B6">
      <w:numFmt w:val="bullet"/>
      <w:lvlText w:val="•"/>
      <w:lvlJc w:val="left"/>
      <w:pPr>
        <w:ind w:left="1614" w:hanging="284"/>
      </w:pPr>
      <w:rPr>
        <w:rFonts w:hint="default"/>
        <w:lang w:val="en-US" w:eastAsia="en-US" w:bidi="ar-SA"/>
      </w:rPr>
    </w:lvl>
    <w:lvl w:ilvl="6" w:tplc="96AA8E5E">
      <w:numFmt w:val="bullet"/>
      <w:lvlText w:val="•"/>
      <w:lvlJc w:val="left"/>
      <w:pPr>
        <w:ind w:left="1856" w:hanging="284"/>
      </w:pPr>
      <w:rPr>
        <w:rFonts w:hint="default"/>
        <w:lang w:val="en-US" w:eastAsia="en-US" w:bidi="ar-SA"/>
      </w:rPr>
    </w:lvl>
    <w:lvl w:ilvl="7" w:tplc="370E8292">
      <w:numFmt w:val="bullet"/>
      <w:lvlText w:val="•"/>
      <w:lvlJc w:val="left"/>
      <w:pPr>
        <w:ind w:left="2099" w:hanging="284"/>
      </w:pPr>
      <w:rPr>
        <w:rFonts w:hint="default"/>
        <w:lang w:val="en-US" w:eastAsia="en-US" w:bidi="ar-SA"/>
      </w:rPr>
    </w:lvl>
    <w:lvl w:ilvl="8" w:tplc="7A965C86">
      <w:numFmt w:val="bullet"/>
      <w:lvlText w:val="•"/>
      <w:lvlJc w:val="left"/>
      <w:pPr>
        <w:ind w:left="2342" w:hanging="284"/>
      </w:pPr>
      <w:rPr>
        <w:rFonts w:hint="default"/>
        <w:lang w:val="en-US" w:eastAsia="en-US" w:bidi="ar-SA"/>
      </w:rPr>
    </w:lvl>
  </w:abstractNum>
  <w:abstractNum w:abstractNumId="407" w15:restartNumberingAfterBreak="0">
    <w:nsid w:val="68F84AF7"/>
    <w:multiLevelType w:val="hybridMultilevel"/>
    <w:tmpl w:val="34CCC7B4"/>
    <w:lvl w:ilvl="0" w:tplc="62C6D7C6">
      <w:start w:val="1"/>
      <w:numFmt w:val="decimal"/>
      <w:lvlText w:val="%1."/>
      <w:lvlJc w:val="left"/>
      <w:pPr>
        <w:ind w:left="578" w:hanging="425"/>
      </w:pPr>
      <w:rPr>
        <w:rFonts w:ascii="Arial" w:eastAsia="Arial" w:hAnsi="Arial" w:cs="Arial" w:hint="default"/>
        <w:b w:val="0"/>
        <w:bCs w:val="0"/>
        <w:i w:val="0"/>
        <w:iCs w:val="0"/>
        <w:color w:val="70004A"/>
        <w:spacing w:val="-1"/>
        <w:w w:val="100"/>
        <w:sz w:val="14"/>
        <w:szCs w:val="14"/>
        <w:lang w:val="en-US" w:eastAsia="en-US" w:bidi="ar-SA"/>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8" w15:restartNumberingAfterBreak="0">
    <w:nsid w:val="692C1936"/>
    <w:multiLevelType w:val="hybridMultilevel"/>
    <w:tmpl w:val="B8DEC1BA"/>
    <w:lvl w:ilvl="0" w:tplc="9A4020BA">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DFF8CB32">
      <w:numFmt w:val="bullet"/>
      <w:lvlText w:val="•"/>
      <w:lvlJc w:val="left"/>
      <w:pPr>
        <w:ind w:left="672" w:hanging="284"/>
      </w:pPr>
      <w:rPr>
        <w:rFonts w:hint="default"/>
        <w:lang w:val="en-US" w:eastAsia="en-US" w:bidi="ar-SA"/>
      </w:rPr>
    </w:lvl>
    <w:lvl w:ilvl="2" w:tplc="B5365610">
      <w:numFmt w:val="bullet"/>
      <w:lvlText w:val="•"/>
      <w:lvlJc w:val="left"/>
      <w:pPr>
        <w:ind w:left="945" w:hanging="284"/>
      </w:pPr>
      <w:rPr>
        <w:rFonts w:hint="default"/>
        <w:lang w:val="en-US" w:eastAsia="en-US" w:bidi="ar-SA"/>
      </w:rPr>
    </w:lvl>
    <w:lvl w:ilvl="3" w:tplc="0A5CA9DE">
      <w:numFmt w:val="bullet"/>
      <w:lvlText w:val="•"/>
      <w:lvlJc w:val="left"/>
      <w:pPr>
        <w:ind w:left="1217" w:hanging="284"/>
      </w:pPr>
      <w:rPr>
        <w:rFonts w:hint="default"/>
        <w:lang w:val="en-US" w:eastAsia="en-US" w:bidi="ar-SA"/>
      </w:rPr>
    </w:lvl>
    <w:lvl w:ilvl="4" w:tplc="2EA0144C">
      <w:numFmt w:val="bullet"/>
      <w:lvlText w:val="•"/>
      <w:lvlJc w:val="left"/>
      <w:pPr>
        <w:ind w:left="1490" w:hanging="284"/>
      </w:pPr>
      <w:rPr>
        <w:rFonts w:hint="default"/>
        <w:lang w:val="en-US" w:eastAsia="en-US" w:bidi="ar-SA"/>
      </w:rPr>
    </w:lvl>
    <w:lvl w:ilvl="5" w:tplc="EB5810C4">
      <w:numFmt w:val="bullet"/>
      <w:lvlText w:val="•"/>
      <w:lvlJc w:val="left"/>
      <w:pPr>
        <w:ind w:left="1762" w:hanging="284"/>
      </w:pPr>
      <w:rPr>
        <w:rFonts w:hint="default"/>
        <w:lang w:val="en-US" w:eastAsia="en-US" w:bidi="ar-SA"/>
      </w:rPr>
    </w:lvl>
    <w:lvl w:ilvl="6" w:tplc="B5B69DF4">
      <w:numFmt w:val="bullet"/>
      <w:lvlText w:val="•"/>
      <w:lvlJc w:val="left"/>
      <w:pPr>
        <w:ind w:left="2035" w:hanging="284"/>
      </w:pPr>
      <w:rPr>
        <w:rFonts w:hint="default"/>
        <w:lang w:val="en-US" w:eastAsia="en-US" w:bidi="ar-SA"/>
      </w:rPr>
    </w:lvl>
    <w:lvl w:ilvl="7" w:tplc="1BEA4FAA">
      <w:numFmt w:val="bullet"/>
      <w:lvlText w:val="•"/>
      <w:lvlJc w:val="left"/>
      <w:pPr>
        <w:ind w:left="2307" w:hanging="284"/>
      </w:pPr>
      <w:rPr>
        <w:rFonts w:hint="default"/>
        <w:lang w:val="en-US" w:eastAsia="en-US" w:bidi="ar-SA"/>
      </w:rPr>
    </w:lvl>
    <w:lvl w:ilvl="8" w:tplc="B84CCA92">
      <w:numFmt w:val="bullet"/>
      <w:lvlText w:val="•"/>
      <w:lvlJc w:val="left"/>
      <w:pPr>
        <w:ind w:left="2580" w:hanging="284"/>
      </w:pPr>
      <w:rPr>
        <w:rFonts w:hint="default"/>
        <w:lang w:val="en-US" w:eastAsia="en-US" w:bidi="ar-SA"/>
      </w:rPr>
    </w:lvl>
  </w:abstractNum>
  <w:abstractNum w:abstractNumId="409" w15:restartNumberingAfterBreak="0">
    <w:nsid w:val="69E6738B"/>
    <w:multiLevelType w:val="hybridMultilevel"/>
    <w:tmpl w:val="E48EA83E"/>
    <w:lvl w:ilvl="0" w:tplc="F984D496">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3DA4325A">
      <w:numFmt w:val="bullet"/>
      <w:lvlText w:val="•"/>
      <w:lvlJc w:val="left"/>
      <w:pPr>
        <w:ind w:left="693" w:hanging="284"/>
      </w:pPr>
      <w:rPr>
        <w:rFonts w:hint="default"/>
        <w:lang w:val="en-US" w:eastAsia="en-US" w:bidi="ar-SA"/>
      </w:rPr>
    </w:lvl>
    <w:lvl w:ilvl="2" w:tplc="F18E76C6">
      <w:numFmt w:val="bullet"/>
      <w:lvlText w:val="•"/>
      <w:lvlJc w:val="left"/>
      <w:pPr>
        <w:ind w:left="1007" w:hanging="284"/>
      </w:pPr>
      <w:rPr>
        <w:rFonts w:hint="default"/>
        <w:lang w:val="en-US" w:eastAsia="en-US" w:bidi="ar-SA"/>
      </w:rPr>
    </w:lvl>
    <w:lvl w:ilvl="3" w:tplc="302C7CFC">
      <w:numFmt w:val="bullet"/>
      <w:lvlText w:val="•"/>
      <w:lvlJc w:val="left"/>
      <w:pPr>
        <w:ind w:left="1321" w:hanging="284"/>
      </w:pPr>
      <w:rPr>
        <w:rFonts w:hint="default"/>
        <w:lang w:val="en-US" w:eastAsia="en-US" w:bidi="ar-SA"/>
      </w:rPr>
    </w:lvl>
    <w:lvl w:ilvl="4" w:tplc="666492C2">
      <w:numFmt w:val="bullet"/>
      <w:lvlText w:val="•"/>
      <w:lvlJc w:val="left"/>
      <w:pPr>
        <w:ind w:left="1635" w:hanging="284"/>
      </w:pPr>
      <w:rPr>
        <w:rFonts w:hint="default"/>
        <w:lang w:val="en-US" w:eastAsia="en-US" w:bidi="ar-SA"/>
      </w:rPr>
    </w:lvl>
    <w:lvl w:ilvl="5" w:tplc="C67AAD02">
      <w:numFmt w:val="bullet"/>
      <w:lvlText w:val="•"/>
      <w:lvlJc w:val="left"/>
      <w:pPr>
        <w:ind w:left="1949" w:hanging="284"/>
      </w:pPr>
      <w:rPr>
        <w:rFonts w:hint="default"/>
        <w:lang w:val="en-US" w:eastAsia="en-US" w:bidi="ar-SA"/>
      </w:rPr>
    </w:lvl>
    <w:lvl w:ilvl="6" w:tplc="D062DA64">
      <w:numFmt w:val="bullet"/>
      <w:lvlText w:val="•"/>
      <w:lvlJc w:val="left"/>
      <w:pPr>
        <w:ind w:left="2263" w:hanging="284"/>
      </w:pPr>
      <w:rPr>
        <w:rFonts w:hint="default"/>
        <w:lang w:val="en-US" w:eastAsia="en-US" w:bidi="ar-SA"/>
      </w:rPr>
    </w:lvl>
    <w:lvl w:ilvl="7" w:tplc="D57A4476">
      <w:numFmt w:val="bullet"/>
      <w:lvlText w:val="•"/>
      <w:lvlJc w:val="left"/>
      <w:pPr>
        <w:ind w:left="2577" w:hanging="284"/>
      </w:pPr>
      <w:rPr>
        <w:rFonts w:hint="default"/>
        <w:lang w:val="en-US" w:eastAsia="en-US" w:bidi="ar-SA"/>
      </w:rPr>
    </w:lvl>
    <w:lvl w:ilvl="8" w:tplc="F418FA40">
      <w:numFmt w:val="bullet"/>
      <w:lvlText w:val="•"/>
      <w:lvlJc w:val="left"/>
      <w:pPr>
        <w:ind w:left="2891" w:hanging="284"/>
      </w:pPr>
      <w:rPr>
        <w:rFonts w:hint="default"/>
        <w:lang w:val="en-US" w:eastAsia="en-US" w:bidi="ar-SA"/>
      </w:rPr>
    </w:lvl>
  </w:abstractNum>
  <w:abstractNum w:abstractNumId="410" w15:restartNumberingAfterBreak="0">
    <w:nsid w:val="6A981933"/>
    <w:multiLevelType w:val="hybridMultilevel"/>
    <w:tmpl w:val="EF3C6106"/>
    <w:lvl w:ilvl="0" w:tplc="9EE41A98">
      <w:numFmt w:val="bullet"/>
      <w:lvlText w:val=""/>
      <w:lvlJc w:val="left"/>
      <w:pPr>
        <w:ind w:left="393" w:hanging="284"/>
      </w:pPr>
      <w:rPr>
        <w:rFonts w:ascii="Symbol" w:eastAsia="Symbol" w:hAnsi="Symbol" w:cs="Symbol" w:hint="default"/>
        <w:b w:val="0"/>
        <w:bCs w:val="0"/>
        <w:i w:val="0"/>
        <w:iCs w:val="0"/>
        <w:color w:val="70004A"/>
        <w:spacing w:val="0"/>
        <w:w w:val="100"/>
        <w:sz w:val="18"/>
        <w:szCs w:val="18"/>
        <w:lang w:val="en-US" w:eastAsia="en-US" w:bidi="ar-SA"/>
      </w:rPr>
    </w:lvl>
    <w:lvl w:ilvl="1" w:tplc="77F21D58">
      <w:numFmt w:val="bullet"/>
      <w:lvlText w:val="•"/>
      <w:lvlJc w:val="left"/>
      <w:pPr>
        <w:ind w:left="669" w:hanging="284"/>
      </w:pPr>
      <w:rPr>
        <w:rFonts w:hint="default"/>
        <w:lang w:val="en-US" w:eastAsia="en-US" w:bidi="ar-SA"/>
      </w:rPr>
    </w:lvl>
    <w:lvl w:ilvl="2" w:tplc="16BEB8EE">
      <w:numFmt w:val="bullet"/>
      <w:lvlText w:val="•"/>
      <w:lvlJc w:val="left"/>
      <w:pPr>
        <w:ind w:left="938" w:hanging="284"/>
      </w:pPr>
      <w:rPr>
        <w:rFonts w:hint="default"/>
        <w:lang w:val="en-US" w:eastAsia="en-US" w:bidi="ar-SA"/>
      </w:rPr>
    </w:lvl>
    <w:lvl w:ilvl="3" w:tplc="17EC1DEC">
      <w:numFmt w:val="bullet"/>
      <w:lvlText w:val="•"/>
      <w:lvlJc w:val="left"/>
      <w:pPr>
        <w:ind w:left="1207" w:hanging="284"/>
      </w:pPr>
      <w:rPr>
        <w:rFonts w:hint="default"/>
        <w:lang w:val="en-US" w:eastAsia="en-US" w:bidi="ar-SA"/>
      </w:rPr>
    </w:lvl>
    <w:lvl w:ilvl="4" w:tplc="34389C36">
      <w:numFmt w:val="bullet"/>
      <w:lvlText w:val="•"/>
      <w:lvlJc w:val="left"/>
      <w:pPr>
        <w:ind w:left="1476" w:hanging="284"/>
      </w:pPr>
      <w:rPr>
        <w:rFonts w:hint="default"/>
        <w:lang w:val="en-US" w:eastAsia="en-US" w:bidi="ar-SA"/>
      </w:rPr>
    </w:lvl>
    <w:lvl w:ilvl="5" w:tplc="4972EF5C">
      <w:numFmt w:val="bullet"/>
      <w:lvlText w:val="•"/>
      <w:lvlJc w:val="left"/>
      <w:pPr>
        <w:ind w:left="1745" w:hanging="284"/>
      </w:pPr>
      <w:rPr>
        <w:rFonts w:hint="default"/>
        <w:lang w:val="en-US" w:eastAsia="en-US" w:bidi="ar-SA"/>
      </w:rPr>
    </w:lvl>
    <w:lvl w:ilvl="6" w:tplc="63448456">
      <w:numFmt w:val="bullet"/>
      <w:lvlText w:val="•"/>
      <w:lvlJc w:val="left"/>
      <w:pPr>
        <w:ind w:left="2014" w:hanging="284"/>
      </w:pPr>
      <w:rPr>
        <w:rFonts w:hint="default"/>
        <w:lang w:val="en-US" w:eastAsia="en-US" w:bidi="ar-SA"/>
      </w:rPr>
    </w:lvl>
    <w:lvl w:ilvl="7" w:tplc="456EFC00">
      <w:numFmt w:val="bullet"/>
      <w:lvlText w:val="•"/>
      <w:lvlJc w:val="left"/>
      <w:pPr>
        <w:ind w:left="2283" w:hanging="284"/>
      </w:pPr>
      <w:rPr>
        <w:rFonts w:hint="default"/>
        <w:lang w:val="en-US" w:eastAsia="en-US" w:bidi="ar-SA"/>
      </w:rPr>
    </w:lvl>
    <w:lvl w:ilvl="8" w:tplc="11A0851E">
      <w:numFmt w:val="bullet"/>
      <w:lvlText w:val="•"/>
      <w:lvlJc w:val="left"/>
      <w:pPr>
        <w:ind w:left="2552" w:hanging="284"/>
      </w:pPr>
      <w:rPr>
        <w:rFonts w:hint="default"/>
        <w:lang w:val="en-US" w:eastAsia="en-US" w:bidi="ar-SA"/>
      </w:rPr>
    </w:lvl>
  </w:abstractNum>
  <w:abstractNum w:abstractNumId="411" w15:restartNumberingAfterBreak="0">
    <w:nsid w:val="6AAE56F9"/>
    <w:multiLevelType w:val="hybridMultilevel"/>
    <w:tmpl w:val="C3901B94"/>
    <w:lvl w:ilvl="0" w:tplc="53900D4E">
      <w:numFmt w:val="bullet"/>
      <w:lvlText w:val=""/>
      <w:lvlJc w:val="left"/>
      <w:pPr>
        <w:ind w:left="491" w:hanging="284"/>
      </w:pPr>
      <w:rPr>
        <w:rFonts w:ascii="Symbol" w:eastAsia="Symbol" w:hAnsi="Symbol" w:cs="Symbol" w:hint="default"/>
        <w:b w:val="0"/>
        <w:bCs w:val="0"/>
        <w:i w:val="0"/>
        <w:iCs w:val="0"/>
        <w:color w:val="70004A"/>
        <w:spacing w:val="0"/>
        <w:w w:val="100"/>
        <w:sz w:val="18"/>
        <w:szCs w:val="18"/>
        <w:lang w:val="en-US" w:eastAsia="en-US" w:bidi="ar-SA"/>
      </w:rPr>
    </w:lvl>
    <w:lvl w:ilvl="1" w:tplc="D4C05E9C">
      <w:numFmt w:val="bullet"/>
      <w:lvlText w:val="•"/>
      <w:lvlJc w:val="left"/>
      <w:pPr>
        <w:ind w:left="766" w:hanging="284"/>
      </w:pPr>
      <w:rPr>
        <w:rFonts w:hint="default"/>
        <w:lang w:val="en-US" w:eastAsia="en-US" w:bidi="ar-SA"/>
      </w:rPr>
    </w:lvl>
    <w:lvl w:ilvl="2" w:tplc="0C7EA1B2">
      <w:numFmt w:val="bullet"/>
      <w:lvlText w:val="•"/>
      <w:lvlJc w:val="left"/>
      <w:pPr>
        <w:ind w:left="1033" w:hanging="284"/>
      </w:pPr>
      <w:rPr>
        <w:rFonts w:hint="default"/>
        <w:lang w:val="en-US" w:eastAsia="en-US" w:bidi="ar-SA"/>
      </w:rPr>
    </w:lvl>
    <w:lvl w:ilvl="3" w:tplc="AE766810">
      <w:numFmt w:val="bullet"/>
      <w:lvlText w:val="•"/>
      <w:lvlJc w:val="left"/>
      <w:pPr>
        <w:ind w:left="1300" w:hanging="284"/>
      </w:pPr>
      <w:rPr>
        <w:rFonts w:hint="default"/>
        <w:lang w:val="en-US" w:eastAsia="en-US" w:bidi="ar-SA"/>
      </w:rPr>
    </w:lvl>
    <w:lvl w:ilvl="4" w:tplc="BE428664">
      <w:numFmt w:val="bullet"/>
      <w:lvlText w:val="•"/>
      <w:lvlJc w:val="left"/>
      <w:pPr>
        <w:ind w:left="1566" w:hanging="284"/>
      </w:pPr>
      <w:rPr>
        <w:rFonts w:hint="default"/>
        <w:lang w:val="en-US" w:eastAsia="en-US" w:bidi="ar-SA"/>
      </w:rPr>
    </w:lvl>
    <w:lvl w:ilvl="5" w:tplc="2594253C">
      <w:numFmt w:val="bullet"/>
      <w:lvlText w:val="•"/>
      <w:lvlJc w:val="left"/>
      <w:pPr>
        <w:ind w:left="1833" w:hanging="284"/>
      </w:pPr>
      <w:rPr>
        <w:rFonts w:hint="default"/>
        <w:lang w:val="en-US" w:eastAsia="en-US" w:bidi="ar-SA"/>
      </w:rPr>
    </w:lvl>
    <w:lvl w:ilvl="6" w:tplc="DFFEB086">
      <w:numFmt w:val="bullet"/>
      <w:lvlText w:val="•"/>
      <w:lvlJc w:val="left"/>
      <w:pPr>
        <w:ind w:left="2100" w:hanging="284"/>
      </w:pPr>
      <w:rPr>
        <w:rFonts w:hint="default"/>
        <w:lang w:val="en-US" w:eastAsia="en-US" w:bidi="ar-SA"/>
      </w:rPr>
    </w:lvl>
    <w:lvl w:ilvl="7" w:tplc="A36854DC">
      <w:numFmt w:val="bullet"/>
      <w:lvlText w:val="•"/>
      <w:lvlJc w:val="left"/>
      <w:pPr>
        <w:ind w:left="2366" w:hanging="284"/>
      </w:pPr>
      <w:rPr>
        <w:rFonts w:hint="default"/>
        <w:lang w:val="en-US" w:eastAsia="en-US" w:bidi="ar-SA"/>
      </w:rPr>
    </w:lvl>
    <w:lvl w:ilvl="8" w:tplc="111CA6EA">
      <w:numFmt w:val="bullet"/>
      <w:lvlText w:val="•"/>
      <w:lvlJc w:val="left"/>
      <w:pPr>
        <w:ind w:left="2633" w:hanging="284"/>
      </w:pPr>
      <w:rPr>
        <w:rFonts w:hint="default"/>
        <w:lang w:val="en-US" w:eastAsia="en-US" w:bidi="ar-SA"/>
      </w:rPr>
    </w:lvl>
  </w:abstractNum>
  <w:abstractNum w:abstractNumId="412" w15:restartNumberingAfterBreak="0">
    <w:nsid w:val="6ADF42DF"/>
    <w:multiLevelType w:val="hybridMultilevel"/>
    <w:tmpl w:val="2AB6D4E4"/>
    <w:lvl w:ilvl="0" w:tplc="E7845932">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48D20610">
      <w:numFmt w:val="bullet"/>
      <w:lvlText w:val="•"/>
      <w:lvlJc w:val="left"/>
      <w:pPr>
        <w:ind w:left="712" w:hanging="284"/>
      </w:pPr>
      <w:rPr>
        <w:rFonts w:hint="default"/>
        <w:lang w:val="en-US" w:eastAsia="en-US" w:bidi="ar-SA"/>
      </w:rPr>
    </w:lvl>
    <w:lvl w:ilvl="2" w:tplc="CF2A2ED2">
      <w:numFmt w:val="bullet"/>
      <w:lvlText w:val="•"/>
      <w:lvlJc w:val="left"/>
      <w:pPr>
        <w:ind w:left="1025" w:hanging="284"/>
      </w:pPr>
      <w:rPr>
        <w:rFonts w:hint="default"/>
        <w:lang w:val="en-US" w:eastAsia="en-US" w:bidi="ar-SA"/>
      </w:rPr>
    </w:lvl>
    <w:lvl w:ilvl="3" w:tplc="76BC9B90">
      <w:numFmt w:val="bullet"/>
      <w:lvlText w:val="•"/>
      <w:lvlJc w:val="left"/>
      <w:pPr>
        <w:ind w:left="1338" w:hanging="284"/>
      </w:pPr>
      <w:rPr>
        <w:rFonts w:hint="default"/>
        <w:lang w:val="en-US" w:eastAsia="en-US" w:bidi="ar-SA"/>
      </w:rPr>
    </w:lvl>
    <w:lvl w:ilvl="4" w:tplc="90522056">
      <w:numFmt w:val="bullet"/>
      <w:lvlText w:val="•"/>
      <w:lvlJc w:val="left"/>
      <w:pPr>
        <w:ind w:left="1651" w:hanging="284"/>
      </w:pPr>
      <w:rPr>
        <w:rFonts w:hint="default"/>
        <w:lang w:val="en-US" w:eastAsia="en-US" w:bidi="ar-SA"/>
      </w:rPr>
    </w:lvl>
    <w:lvl w:ilvl="5" w:tplc="E1F40072">
      <w:numFmt w:val="bullet"/>
      <w:lvlText w:val="•"/>
      <w:lvlJc w:val="left"/>
      <w:pPr>
        <w:ind w:left="1964" w:hanging="284"/>
      </w:pPr>
      <w:rPr>
        <w:rFonts w:hint="default"/>
        <w:lang w:val="en-US" w:eastAsia="en-US" w:bidi="ar-SA"/>
      </w:rPr>
    </w:lvl>
    <w:lvl w:ilvl="6" w:tplc="5B8A4CA4">
      <w:numFmt w:val="bullet"/>
      <w:lvlText w:val="•"/>
      <w:lvlJc w:val="left"/>
      <w:pPr>
        <w:ind w:left="2276" w:hanging="284"/>
      </w:pPr>
      <w:rPr>
        <w:rFonts w:hint="default"/>
        <w:lang w:val="en-US" w:eastAsia="en-US" w:bidi="ar-SA"/>
      </w:rPr>
    </w:lvl>
    <w:lvl w:ilvl="7" w:tplc="7F64AF96">
      <w:numFmt w:val="bullet"/>
      <w:lvlText w:val="•"/>
      <w:lvlJc w:val="left"/>
      <w:pPr>
        <w:ind w:left="2589" w:hanging="284"/>
      </w:pPr>
      <w:rPr>
        <w:rFonts w:hint="default"/>
        <w:lang w:val="en-US" w:eastAsia="en-US" w:bidi="ar-SA"/>
      </w:rPr>
    </w:lvl>
    <w:lvl w:ilvl="8" w:tplc="83945F8E">
      <w:numFmt w:val="bullet"/>
      <w:lvlText w:val="•"/>
      <w:lvlJc w:val="left"/>
      <w:pPr>
        <w:ind w:left="2902" w:hanging="284"/>
      </w:pPr>
      <w:rPr>
        <w:rFonts w:hint="default"/>
        <w:lang w:val="en-US" w:eastAsia="en-US" w:bidi="ar-SA"/>
      </w:rPr>
    </w:lvl>
  </w:abstractNum>
  <w:abstractNum w:abstractNumId="413" w15:restartNumberingAfterBreak="0">
    <w:nsid w:val="6B6D7B4D"/>
    <w:multiLevelType w:val="hybridMultilevel"/>
    <w:tmpl w:val="180E21B8"/>
    <w:lvl w:ilvl="0" w:tplc="D318C932">
      <w:numFmt w:val="bullet"/>
      <w:lvlText w:val=""/>
      <w:lvlJc w:val="left"/>
      <w:pPr>
        <w:ind w:left="433" w:hanging="284"/>
      </w:pPr>
      <w:rPr>
        <w:rFonts w:ascii="Symbol" w:eastAsia="Symbol" w:hAnsi="Symbol" w:cs="Symbol" w:hint="default"/>
        <w:b w:val="0"/>
        <w:bCs w:val="0"/>
        <w:i w:val="0"/>
        <w:iCs w:val="0"/>
        <w:color w:val="70004A"/>
        <w:spacing w:val="0"/>
        <w:w w:val="100"/>
        <w:sz w:val="18"/>
        <w:szCs w:val="18"/>
        <w:lang w:val="en-US" w:eastAsia="en-US" w:bidi="ar-SA"/>
      </w:rPr>
    </w:lvl>
    <w:lvl w:ilvl="1" w:tplc="4072C50A">
      <w:numFmt w:val="bullet"/>
      <w:lvlText w:val="•"/>
      <w:lvlJc w:val="left"/>
      <w:pPr>
        <w:ind w:left="674" w:hanging="284"/>
      </w:pPr>
      <w:rPr>
        <w:rFonts w:hint="default"/>
        <w:lang w:val="en-US" w:eastAsia="en-US" w:bidi="ar-SA"/>
      </w:rPr>
    </w:lvl>
    <w:lvl w:ilvl="2" w:tplc="970AE17E">
      <w:numFmt w:val="bullet"/>
      <w:lvlText w:val="•"/>
      <w:lvlJc w:val="left"/>
      <w:pPr>
        <w:ind w:left="909" w:hanging="284"/>
      </w:pPr>
      <w:rPr>
        <w:rFonts w:hint="default"/>
        <w:lang w:val="en-US" w:eastAsia="en-US" w:bidi="ar-SA"/>
      </w:rPr>
    </w:lvl>
    <w:lvl w:ilvl="3" w:tplc="54A0E434">
      <w:numFmt w:val="bullet"/>
      <w:lvlText w:val="•"/>
      <w:lvlJc w:val="left"/>
      <w:pPr>
        <w:ind w:left="1143" w:hanging="284"/>
      </w:pPr>
      <w:rPr>
        <w:rFonts w:hint="default"/>
        <w:lang w:val="en-US" w:eastAsia="en-US" w:bidi="ar-SA"/>
      </w:rPr>
    </w:lvl>
    <w:lvl w:ilvl="4" w:tplc="2FCE39CA">
      <w:numFmt w:val="bullet"/>
      <w:lvlText w:val="•"/>
      <w:lvlJc w:val="left"/>
      <w:pPr>
        <w:ind w:left="1378" w:hanging="284"/>
      </w:pPr>
      <w:rPr>
        <w:rFonts w:hint="default"/>
        <w:lang w:val="en-US" w:eastAsia="en-US" w:bidi="ar-SA"/>
      </w:rPr>
    </w:lvl>
    <w:lvl w:ilvl="5" w:tplc="7304CD8C">
      <w:numFmt w:val="bullet"/>
      <w:lvlText w:val="•"/>
      <w:lvlJc w:val="left"/>
      <w:pPr>
        <w:ind w:left="1612" w:hanging="284"/>
      </w:pPr>
      <w:rPr>
        <w:rFonts w:hint="default"/>
        <w:lang w:val="en-US" w:eastAsia="en-US" w:bidi="ar-SA"/>
      </w:rPr>
    </w:lvl>
    <w:lvl w:ilvl="6" w:tplc="F0E4DC94">
      <w:numFmt w:val="bullet"/>
      <w:lvlText w:val="•"/>
      <w:lvlJc w:val="left"/>
      <w:pPr>
        <w:ind w:left="1847" w:hanging="284"/>
      </w:pPr>
      <w:rPr>
        <w:rFonts w:hint="default"/>
        <w:lang w:val="en-US" w:eastAsia="en-US" w:bidi="ar-SA"/>
      </w:rPr>
    </w:lvl>
    <w:lvl w:ilvl="7" w:tplc="C0FC19FE">
      <w:numFmt w:val="bullet"/>
      <w:lvlText w:val="•"/>
      <w:lvlJc w:val="left"/>
      <w:pPr>
        <w:ind w:left="2081" w:hanging="284"/>
      </w:pPr>
      <w:rPr>
        <w:rFonts w:hint="default"/>
        <w:lang w:val="en-US" w:eastAsia="en-US" w:bidi="ar-SA"/>
      </w:rPr>
    </w:lvl>
    <w:lvl w:ilvl="8" w:tplc="6F4AFB50">
      <w:numFmt w:val="bullet"/>
      <w:lvlText w:val="•"/>
      <w:lvlJc w:val="left"/>
      <w:pPr>
        <w:ind w:left="2316" w:hanging="284"/>
      </w:pPr>
      <w:rPr>
        <w:rFonts w:hint="default"/>
        <w:lang w:val="en-US" w:eastAsia="en-US" w:bidi="ar-SA"/>
      </w:rPr>
    </w:lvl>
  </w:abstractNum>
  <w:abstractNum w:abstractNumId="414" w15:restartNumberingAfterBreak="0">
    <w:nsid w:val="6BF037A7"/>
    <w:multiLevelType w:val="hybridMultilevel"/>
    <w:tmpl w:val="A3F69B0E"/>
    <w:lvl w:ilvl="0" w:tplc="060C6ABE">
      <w:numFmt w:val="bullet"/>
      <w:lvlText w:val=""/>
      <w:lvlJc w:val="left"/>
      <w:pPr>
        <w:ind w:left="438" w:hanging="284"/>
      </w:pPr>
      <w:rPr>
        <w:rFonts w:ascii="Symbol" w:eastAsia="Symbol" w:hAnsi="Symbol" w:cs="Symbol" w:hint="default"/>
        <w:b w:val="0"/>
        <w:bCs w:val="0"/>
        <w:i w:val="0"/>
        <w:iCs w:val="0"/>
        <w:color w:val="70004A"/>
        <w:spacing w:val="0"/>
        <w:w w:val="100"/>
        <w:sz w:val="18"/>
        <w:szCs w:val="18"/>
        <w:lang w:val="en-US" w:eastAsia="en-US" w:bidi="ar-SA"/>
      </w:rPr>
    </w:lvl>
    <w:lvl w:ilvl="1" w:tplc="8AE25FE8">
      <w:numFmt w:val="bullet"/>
      <w:lvlText w:val="•"/>
      <w:lvlJc w:val="left"/>
      <w:pPr>
        <w:ind w:left="636" w:hanging="284"/>
      </w:pPr>
      <w:rPr>
        <w:rFonts w:hint="default"/>
        <w:lang w:val="en-US" w:eastAsia="en-US" w:bidi="ar-SA"/>
      </w:rPr>
    </w:lvl>
    <w:lvl w:ilvl="2" w:tplc="BB16C660">
      <w:numFmt w:val="bullet"/>
      <w:lvlText w:val="•"/>
      <w:lvlJc w:val="left"/>
      <w:pPr>
        <w:ind w:left="833" w:hanging="284"/>
      </w:pPr>
      <w:rPr>
        <w:rFonts w:hint="default"/>
        <w:lang w:val="en-US" w:eastAsia="en-US" w:bidi="ar-SA"/>
      </w:rPr>
    </w:lvl>
    <w:lvl w:ilvl="3" w:tplc="06321E92">
      <w:numFmt w:val="bullet"/>
      <w:lvlText w:val="•"/>
      <w:lvlJc w:val="left"/>
      <w:pPr>
        <w:ind w:left="1030" w:hanging="284"/>
      </w:pPr>
      <w:rPr>
        <w:rFonts w:hint="default"/>
        <w:lang w:val="en-US" w:eastAsia="en-US" w:bidi="ar-SA"/>
      </w:rPr>
    </w:lvl>
    <w:lvl w:ilvl="4" w:tplc="387A2886">
      <w:numFmt w:val="bullet"/>
      <w:lvlText w:val="•"/>
      <w:lvlJc w:val="left"/>
      <w:pPr>
        <w:ind w:left="1227" w:hanging="284"/>
      </w:pPr>
      <w:rPr>
        <w:rFonts w:hint="default"/>
        <w:lang w:val="en-US" w:eastAsia="en-US" w:bidi="ar-SA"/>
      </w:rPr>
    </w:lvl>
    <w:lvl w:ilvl="5" w:tplc="E982DBF2">
      <w:numFmt w:val="bullet"/>
      <w:lvlText w:val="•"/>
      <w:lvlJc w:val="left"/>
      <w:pPr>
        <w:ind w:left="1424" w:hanging="284"/>
      </w:pPr>
      <w:rPr>
        <w:rFonts w:hint="default"/>
        <w:lang w:val="en-US" w:eastAsia="en-US" w:bidi="ar-SA"/>
      </w:rPr>
    </w:lvl>
    <w:lvl w:ilvl="6" w:tplc="50DEE4C6">
      <w:numFmt w:val="bullet"/>
      <w:lvlText w:val="•"/>
      <w:lvlJc w:val="left"/>
      <w:pPr>
        <w:ind w:left="1621" w:hanging="284"/>
      </w:pPr>
      <w:rPr>
        <w:rFonts w:hint="default"/>
        <w:lang w:val="en-US" w:eastAsia="en-US" w:bidi="ar-SA"/>
      </w:rPr>
    </w:lvl>
    <w:lvl w:ilvl="7" w:tplc="317833C8">
      <w:numFmt w:val="bullet"/>
      <w:lvlText w:val="•"/>
      <w:lvlJc w:val="left"/>
      <w:pPr>
        <w:ind w:left="1818" w:hanging="284"/>
      </w:pPr>
      <w:rPr>
        <w:rFonts w:hint="default"/>
        <w:lang w:val="en-US" w:eastAsia="en-US" w:bidi="ar-SA"/>
      </w:rPr>
    </w:lvl>
    <w:lvl w:ilvl="8" w:tplc="F486404E">
      <w:numFmt w:val="bullet"/>
      <w:lvlText w:val="•"/>
      <w:lvlJc w:val="left"/>
      <w:pPr>
        <w:ind w:left="2015" w:hanging="284"/>
      </w:pPr>
      <w:rPr>
        <w:rFonts w:hint="default"/>
        <w:lang w:val="en-US" w:eastAsia="en-US" w:bidi="ar-SA"/>
      </w:rPr>
    </w:lvl>
  </w:abstractNum>
  <w:abstractNum w:abstractNumId="415" w15:restartNumberingAfterBreak="0">
    <w:nsid w:val="6BF26DF1"/>
    <w:multiLevelType w:val="hybridMultilevel"/>
    <w:tmpl w:val="18002C56"/>
    <w:lvl w:ilvl="0" w:tplc="42146EDE">
      <w:numFmt w:val="bullet"/>
      <w:lvlText w:val=""/>
      <w:lvlJc w:val="left"/>
      <w:pPr>
        <w:ind w:left="424" w:hanging="284"/>
      </w:pPr>
      <w:rPr>
        <w:rFonts w:ascii="Symbol" w:eastAsia="Symbol" w:hAnsi="Symbol" w:cs="Symbol" w:hint="default"/>
        <w:b w:val="0"/>
        <w:bCs w:val="0"/>
        <w:i w:val="0"/>
        <w:iCs w:val="0"/>
        <w:color w:val="70004A"/>
        <w:spacing w:val="0"/>
        <w:w w:val="100"/>
        <w:sz w:val="18"/>
        <w:szCs w:val="18"/>
        <w:lang w:val="en-US" w:eastAsia="en-US" w:bidi="ar-SA"/>
      </w:rPr>
    </w:lvl>
    <w:lvl w:ilvl="1" w:tplc="D16A8F92">
      <w:numFmt w:val="bullet"/>
      <w:lvlText w:val="•"/>
      <w:lvlJc w:val="left"/>
      <w:pPr>
        <w:ind w:left="591" w:hanging="284"/>
      </w:pPr>
      <w:rPr>
        <w:rFonts w:hint="default"/>
        <w:lang w:val="en-US" w:eastAsia="en-US" w:bidi="ar-SA"/>
      </w:rPr>
    </w:lvl>
    <w:lvl w:ilvl="2" w:tplc="3B90919E">
      <w:numFmt w:val="bullet"/>
      <w:lvlText w:val="•"/>
      <w:lvlJc w:val="left"/>
      <w:pPr>
        <w:ind w:left="763" w:hanging="284"/>
      </w:pPr>
      <w:rPr>
        <w:rFonts w:hint="default"/>
        <w:lang w:val="en-US" w:eastAsia="en-US" w:bidi="ar-SA"/>
      </w:rPr>
    </w:lvl>
    <w:lvl w:ilvl="3" w:tplc="BF162498">
      <w:numFmt w:val="bullet"/>
      <w:lvlText w:val="•"/>
      <w:lvlJc w:val="left"/>
      <w:pPr>
        <w:ind w:left="935" w:hanging="284"/>
      </w:pPr>
      <w:rPr>
        <w:rFonts w:hint="default"/>
        <w:lang w:val="en-US" w:eastAsia="en-US" w:bidi="ar-SA"/>
      </w:rPr>
    </w:lvl>
    <w:lvl w:ilvl="4" w:tplc="33CA24D0">
      <w:numFmt w:val="bullet"/>
      <w:lvlText w:val="•"/>
      <w:lvlJc w:val="left"/>
      <w:pPr>
        <w:ind w:left="1107" w:hanging="284"/>
      </w:pPr>
      <w:rPr>
        <w:rFonts w:hint="default"/>
        <w:lang w:val="en-US" w:eastAsia="en-US" w:bidi="ar-SA"/>
      </w:rPr>
    </w:lvl>
    <w:lvl w:ilvl="5" w:tplc="B8BA53C2">
      <w:numFmt w:val="bullet"/>
      <w:lvlText w:val="•"/>
      <w:lvlJc w:val="left"/>
      <w:pPr>
        <w:ind w:left="1279" w:hanging="284"/>
      </w:pPr>
      <w:rPr>
        <w:rFonts w:hint="default"/>
        <w:lang w:val="en-US" w:eastAsia="en-US" w:bidi="ar-SA"/>
      </w:rPr>
    </w:lvl>
    <w:lvl w:ilvl="6" w:tplc="CF4876B2">
      <w:numFmt w:val="bullet"/>
      <w:lvlText w:val="•"/>
      <w:lvlJc w:val="left"/>
      <w:pPr>
        <w:ind w:left="1450" w:hanging="284"/>
      </w:pPr>
      <w:rPr>
        <w:rFonts w:hint="default"/>
        <w:lang w:val="en-US" w:eastAsia="en-US" w:bidi="ar-SA"/>
      </w:rPr>
    </w:lvl>
    <w:lvl w:ilvl="7" w:tplc="22D2246E">
      <w:numFmt w:val="bullet"/>
      <w:lvlText w:val="•"/>
      <w:lvlJc w:val="left"/>
      <w:pPr>
        <w:ind w:left="1622" w:hanging="284"/>
      </w:pPr>
      <w:rPr>
        <w:rFonts w:hint="default"/>
        <w:lang w:val="en-US" w:eastAsia="en-US" w:bidi="ar-SA"/>
      </w:rPr>
    </w:lvl>
    <w:lvl w:ilvl="8" w:tplc="E3F617DC">
      <w:numFmt w:val="bullet"/>
      <w:lvlText w:val="•"/>
      <w:lvlJc w:val="left"/>
      <w:pPr>
        <w:ind w:left="1794" w:hanging="284"/>
      </w:pPr>
      <w:rPr>
        <w:rFonts w:hint="default"/>
        <w:lang w:val="en-US" w:eastAsia="en-US" w:bidi="ar-SA"/>
      </w:rPr>
    </w:lvl>
  </w:abstractNum>
  <w:abstractNum w:abstractNumId="416" w15:restartNumberingAfterBreak="0">
    <w:nsid w:val="6C7F0E36"/>
    <w:multiLevelType w:val="hybridMultilevel"/>
    <w:tmpl w:val="C01EEA4C"/>
    <w:lvl w:ilvl="0" w:tplc="1F38EBB2">
      <w:numFmt w:val="bullet"/>
      <w:lvlText w:val=""/>
      <w:lvlJc w:val="left"/>
      <w:pPr>
        <w:ind w:left="480" w:hanging="284"/>
      </w:pPr>
      <w:rPr>
        <w:rFonts w:ascii="Symbol" w:eastAsia="Symbol" w:hAnsi="Symbol" w:cs="Symbol" w:hint="default"/>
        <w:b w:val="0"/>
        <w:bCs w:val="0"/>
        <w:i w:val="0"/>
        <w:iCs w:val="0"/>
        <w:color w:val="70004A"/>
        <w:spacing w:val="0"/>
        <w:w w:val="100"/>
        <w:sz w:val="18"/>
        <w:szCs w:val="18"/>
        <w:lang w:val="en-US" w:eastAsia="en-US" w:bidi="ar-SA"/>
      </w:rPr>
    </w:lvl>
    <w:lvl w:ilvl="1" w:tplc="AA5AD81C">
      <w:numFmt w:val="bullet"/>
      <w:lvlText w:val="•"/>
      <w:lvlJc w:val="left"/>
      <w:pPr>
        <w:ind w:left="782" w:hanging="284"/>
      </w:pPr>
      <w:rPr>
        <w:rFonts w:hint="default"/>
        <w:lang w:val="en-US" w:eastAsia="en-US" w:bidi="ar-SA"/>
      </w:rPr>
    </w:lvl>
    <w:lvl w:ilvl="2" w:tplc="482E6342">
      <w:numFmt w:val="bullet"/>
      <w:lvlText w:val="•"/>
      <w:lvlJc w:val="left"/>
      <w:pPr>
        <w:ind w:left="1084" w:hanging="284"/>
      </w:pPr>
      <w:rPr>
        <w:rFonts w:hint="default"/>
        <w:lang w:val="en-US" w:eastAsia="en-US" w:bidi="ar-SA"/>
      </w:rPr>
    </w:lvl>
    <w:lvl w:ilvl="3" w:tplc="4C362144">
      <w:numFmt w:val="bullet"/>
      <w:lvlText w:val="•"/>
      <w:lvlJc w:val="left"/>
      <w:pPr>
        <w:ind w:left="1386" w:hanging="284"/>
      </w:pPr>
      <w:rPr>
        <w:rFonts w:hint="default"/>
        <w:lang w:val="en-US" w:eastAsia="en-US" w:bidi="ar-SA"/>
      </w:rPr>
    </w:lvl>
    <w:lvl w:ilvl="4" w:tplc="84C4EC9E">
      <w:numFmt w:val="bullet"/>
      <w:lvlText w:val="•"/>
      <w:lvlJc w:val="left"/>
      <w:pPr>
        <w:ind w:left="1688" w:hanging="284"/>
      </w:pPr>
      <w:rPr>
        <w:rFonts w:hint="default"/>
        <w:lang w:val="en-US" w:eastAsia="en-US" w:bidi="ar-SA"/>
      </w:rPr>
    </w:lvl>
    <w:lvl w:ilvl="5" w:tplc="01A8EA7E">
      <w:numFmt w:val="bullet"/>
      <w:lvlText w:val="•"/>
      <w:lvlJc w:val="left"/>
      <w:pPr>
        <w:ind w:left="1990" w:hanging="284"/>
      </w:pPr>
      <w:rPr>
        <w:rFonts w:hint="default"/>
        <w:lang w:val="en-US" w:eastAsia="en-US" w:bidi="ar-SA"/>
      </w:rPr>
    </w:lvl>
    <w:lvl w:ilvl="6" w:tplc="AA1EEBB6">
      <w:numFmt w:val="bullet"/>
      <w:lvlText w:val="•"/>
      <w:lvlJc w:val="left"/>
      <w:pPr>
        <w:ind w:left="2292" w:hanging="284"/>
      </w:pPr>
      <w:rPr>
        <w:rFonts w:hint="default"/>
        <w:lang w:val="en-US" w:eastAsia="en-US" w:bidi="ar-SA"/>
      </w:rPr>
    </w:lvl>
    <w:lvl w:ilvl="7" w:tplc="300E1088">
      <w:numFmt w:val="bullet"/>
      <w:lvlText w:val="•"/>
      <w:lvlJc w:val="left"/>
      <w:pPr>
        <w:ind w:left="2594" w:hanging="284"/>
      </w:pPr>
      <w:rPr>
        <w:rFonts w:hint="default"/>
        <w:lang w:val="en-US" w:eastAsia="en-US" w:bidi="ar-SA"/>
      </w:rPr>
    </w:lvl>
    <w:lvl w:ilvl="8" w:tplc="A6D27912">
      <w:numFmt w:val="bullet"/>
      <w:lvlText w:val="•"/>
      <w:lvlJc w:val="left"/>
      <w:pPr>
        <w:ind w:left="2896" w:hanging="284"/>
      </w:pPr>
      <w:rPr>
        <w:rFonts w:hint="default"/>
        <w:lang w:val="en-US" w:eastAsia="en-US" w:bidi="ar-SA"/>
      </w:rPr>
    </w:lvl>
  </w:abstractNum>
  <w:abstractNum w:abstractNumId="417" w15:restartNumberingAfterBreak="0">
    <w:nsid w:val="6DB03567"/>
    <w:multiLevelType w:val="hybridMultilevel"/>
    <w:tmpl w:val="CBA4E99C"/>
    <w:lvl w:ilvl="0" w:tplc="A4B6595A">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39922846">
      <w:numFmt w:val="bullet"/>
      <w:lvlText w:val="•"/>
      <w:lvlJc w:val="left"/>
      <w:pPr>
        <w:ind w:left="650" w:hanging="284"/>
      </w:pPr>
      <w:rPr>
        <w:rFonts w:hint="default"/>
        <w:lang w:val="en-US" w:eastAsia="en-US" w:bidi="ar-SA"/>
      </w:rPr>
    </w:lvl>
    <w:lvl w:ilvl="2" w:tplc="697E5CCC">
      <w:numFmt w:val="bullet"/>
      <w:lvlText w:val="•"/>
      <w:lvlJc w:val="left"/>
      <w:pPr>
        <w:ind w:left="921" w:hanging="284"/>
      </w:pPr>
      <w:rPr>
        <w:rFonts w:hint="default"/>
        <w:lang w:val="en-US" w:eastAsia="en-US" w:bidi="ar-SA"/>
      </w:rPr>
    </w:lvl>
    <w:lvl w:ilvl="3" w:tplc="801AD438">
      <w:numFmt w:val="bullet"/>
      <w:lvlText w:val="•"/>
      <w:lvlJc w:val="left"/>
      <w:pPr>
        <w:ind w:left="1191" w:hanging="284"/>
      </w:pPr>
      <w:rPr>
        <w:rFonts w:hint="default"/>
        <w:lang w:val="en-US" w:eastAsia="en-US" w:bidi="ar-SA"/>
      </w:rPr>
    </w:lvl>
    <w:lvl w:ilvl="4" w:tplc="E30E488E">
      <w:numFmt w:val="bullet"/>
      <w:lvlText w:val="•"/>
      <w:lvlJc w:val="left"/>
      <w:pPr>
        <w:ind w:left="1462" w:hanging="284"/>
      </w:pPr>
      <w:rPr>
        <w:rFonts w:hint="default"/>
        <w:lang w:val="en-US" w:eastAsia="en-US" w:bidi="ar-SA"/>
      </w:rPr>
    </w:lvl>
    <w:lvl w:ilvl="5" w:tplc="D4CE952A">
      <w:numFmt w:val="bullet"/>
      <w:lvlText w:val="•"/>
      <w:lvlJc w:val="left"/>
      <w:pPr>
        <w:ind w:left="1733" w:hanging="284"/>
      </w:pPr>
      <w:rPr>
        <w:rFonts w:hint="default"/>
        <w:lang w:val="en-US" w:eastAsia="en-US" w:bidi="ar-SA"/>
      </w:rPr>
    </w:lvl>
    <w:lvl w:ilvl="6" w:tplc="CFA802DC">
      <w:numFmt w:val="bullet"/>
      <w:lvlText w:val="•"/>
      <w:lvlJc w:val="left"/>
      <w:pPr>
        <w:ind w:left="2003" w:hanging="284"/>
      </w:pPr>
      <w:rPr>
        <w:rFonts w:hint="default"/>
        <w:lang w:val="en-US" w:eastAsia="en-US" w:bidi="ar-SA"/>
      </w:rPr>
    </w:lvl>
    <w:lvl w:ilvl="7" w:tplc="28EEBD04">
      <w:numFmt w:val="bullet"/>
      <w:lvlText w:val="•"/>
      <w:lvlJc w:val="left"/>
      <w:pPr>
        <w:ind w:left="2274" w:hanging="284"/>
      </w:pPr>
      <w:rPr>
        <w:rFonts w:hint="default"/>
        <w:lang w:val="en-US" w:eastAsia="en-US" w:bidi="ar-SA"/>
      </w:rPr>
    </w:lvl>
    <w:lvl w:ilvl="8" w:tplc="BD201C54">
      <w:numFmt w:val="bullet"/>
      <w:lvlText w:val="•"/>
      <w:lvlJc w:val="left"/>
      <w:pPr>
        <w:ind w:left="2544" w:hanging="284"/>
      </w:pPr>
      <w:rPr>
        <w:rFonts w:hint="default"/>
        <w:lang w:val="en-US" w:eastAsia="en-US" w:bidi="ar-SA"/>
      </w:rPr>
    </w:lvl>
  </w:abstractNum>
  <w:abstractNum w:abstractNumId="418" w15:restartNumberingAfterBreak="0">
    <w:nsid w:val="6DF17520"/>
    <w:multiLevelType w:val="hybridMultilevel"/>
    <w:tmpl w:val="520630DC"/>
    <w:lvl w:ilvl="0" w:tplc="E5F69C2C">
      <w:numFmt w:val="bullet"/>
      <w:lvlText w:val=""/>
      <w:lvlJc w:val="left"/>
      <w:pPr>
        <w:ind w:left="393" w:hanging="284"/>
      </w:pPr>
      <w:rPr>
        <w:rFonts w:ascii="Symbol" w:eastAsia="Symbol" w:hAnsi="Symbol" w:cs="Symbol" w:hint="default"/>
        <w:b w:val="0"/>
        <w:bCs w:val="0"/>
        <w:i w:val="0"/>
        <w:iCs w:val="0"/>
        <w:color w:val="70004A"/>
        <w:spacing w:val="0"/>
        <w:w w:val="100"/>
        <w:sz w:val="18"/>
        <w:szCs w:val="18"/>
        <w:lang w:val="en-US" w:eastAsia="en-US" w:bidi="ar-SA"/>
      </w:rPr>
    </w:lvl>
    <w:lvl w:ilvl="1" w:tplc="B774832E">
      <w:numFmt w:val="bullet"/>
      <w:lvlText w:val="•"/>
      <w:lvlJc w:val="left"/>
      <w:pPr>
        <w:ind w:left="681" w:hanging="284"/>
      </w:pPr>
      <w:rPr>
        <w:rFonts w:hint="default"/>
        <w:lang w:val="en-US" w:eastAsia="en-US" w:bidi="ar-SA"/>
      </w:rPr>
    </w:lvl>
    <w:lvl w:ilvl="2" w:tplc="0A26D1FE">
      <w:numFmt w:val="bullet"/>
      <w:lvlText w:val="•"/>
      <w:lvlJc w:val="left"/>
      <w:pPr>
        <w:ind w:left="962" w:hanging="284"/>
      </w:pPr>
      <w:rPr>
        <w:rFonts w:hint="default"/>
        <w:lang w:val="en-US" w:eastAsia="en-US" w:bidi="ar-SA"/>
      </w:rPr>
    </w:lvl>
    <w:lvl w:ilvl="3" w:tplc="B2E21368">
      <w:numFmt w:val="bullet"/>
      <w:lvlText w:val="•"/>
      <w:lvlJc w:val="left"/>
      <w:pPr>
        <w:ind w:left="1243" w:hanging="284"/>
      </w:pPr>
      <w:rPr>
        <w:rFonts w:hint="default"/>
        <w:lang w:val="en-US" w:eastAsia="en-US" w:bidi="ar-SA"/>
      </w:rPr>
    </w:lvl>
    <w:lvl w:ilvl="4" w:tplc="FDCC056C">
      <w:numFmt w:val="bullet"/>
      <w:lvlText w:val="•"/>
      <w:lvlJc w:val="left"/>
      <w:pPr>
        <w:ind w:left="1524" w:hanging="284"/>
      </w:pPr>
      <w:rPr>
        <w:rFonts w:hint="default"/>
        <w:lang w:val="en-US" w:eastAsia="en-US" w:bidi="ar-SA"/>
      </w:rPr>
    </w:lvl>
    <w:lvl w:ilvl="5" w:tplc="41CC89CE">
      <w:numFmt w:val="bullet"/>
      <w:lvlText w:val="•"/>
      <w:lvlJc w:val="left"/>
      <w:pPr>
        <w:ind w:left="1805" w:hanging="284"/>
      </w:pPr>
      <w:rPr>
        <w:rFonts w:hint="default"/>
        <w:lang w:val="en-US" w:eastAsia="en-US" w:bidi="ar-SA"/>
      </w:rPr>
    </w:lvl>
    <w:lvl w:ilvl="6" w:tplc="3A2C3488">
      <w:numFmt w:val="bullet"/>
      <w:lvlText w:val="•"/>
      <w:lvlJc w:val="left"/>
      <w:pPr>
        <w:ind w:left="2086" w:hanging="284"/>
      </w:pPr>
      <w:rPr>
        <w:rFonts w:hint="default"/>
        <w:lang w:val="en-US" w:eastAsia="en-US" w:bidi="ar-SA"/>
      </w:rPr>
    </w:lvl>
    <w:lvl w:ilvl="7" w:tplc="B72EE188">
      <w:numFmt w:val="bullet"/>
      <w:lvlText w:val="•"/>
      <w:lvlJc w:val="left"/>
      <w:pPr>
        <w:ind w:left="2367" w:hanging="284"/>
      </w:pPr>
      <w:rPr>
        <w:rFonts w:hint="default"/>
        <w:lang w:val="en-US" w:eastAsia="en-US" w:bidi="ar-SA"/>
      </w:rPr>
    </w:lvl>
    <w:lvl w:ilvl="8" w:tplc="BE8A675A">
      <w:numFmt w:val="bullet"/>
      <w:lvlText w:val="•"/>
      <w:lvlJc w:val="left"/>
      <w:pPr>
        <w:ind w:left="2648" w:hanging="284"/>
      </w:pPr>
      <w:rPr>
        <w:rFonts w:hint="default"/>
        <w:lang w:val="en-US" w:eastAsia="en-US" w:bidi="ar-SA"/>
      </w:rPr>
    </w:lvl>
  </w:abstractNum>
  <w:abstractNum w:abstractNumId="419" w15:restartNumberingAfterBreak="0">
    <w:nsid w:val="6E255658"/>
    <w:multiLevelType w:val="hybridMultilevel"/>
    <w:tmpl w:val="7C2865DC"/>
    <w:lvl w:ilvl="0" w:tplc="4522783E">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55B8E5CE">
      <w:numFmt w:val="bullet"/>
      <w:lvlText w:val="•"/>
      <w:lvlJc w:val="left"/>
      <w:pPr>
        <w:ind w:left="654" w:hanging="284"/>
      </w:pPr>
      <w:rPr>
        <w:rFonts w:hint="default"/>
        <w:lang w:val="en-US" w:eastAsia="en-US" w:bidi="ar-SA"/>
      </w:rPr>
    </w:lvl>
    <w:lvl w:ilvl="2" w:tplc="A484CE34">
      <w:numFmt w:val="bullet"/>
      <w:lvlText w:val="•"/>
      <w:lvlJc w:val="left"/>
      <w:pPr>
        <w:ind w:left="929" w:hanging="284"/>
      </w:pPr>
      <w:rPr>
        <w:rFonts w:hint="default"/>
        <w:lang w:val="en-US" w:eastAsia="en-US" w:bidi="ar-SA"/>
      </w:rPr>
    </w:lvl>
    <w:lvl w:ilvl="3" w:tplc="3F62E1C0">
      <w:numFmt w:val="bullet"/>
      <w:lvlText w:val="•"/>
      <w:lvlJc w:val="left"/>
      <w:pPr>
        <w:ind w:left="1203" w:hanging="284"/>
      </w:pPr>
      <w:rPr>
        <w:rFonts w:hint="default"/>
        <w:lang w:val="en-US" w:eastAsia="en-US" w:bidi="ar-SA"/>
      </w:rPr>
    </w:lvl>
    <w:lvl w:ilvl="4" w:tplc="262A918C">
      <w:numFmt w:val="bullet"/>
      <w:lvlText w:val="•"/>
      <w:lvlJc w:val="left"/>
      <w:pPr>
        <w:ind w:left="1478" w:hanging="284"/>
      </w:pPr>
      <w:rPr>
        <w:rFonts w:hint="default"/>
        <w:lang w:val="en-US" w:eastAsia="en-US" w:bidi="ar-SA"/>
      </w:rPr>
    </w:lvl>
    <w:lvl w:ilvl="5" w:tplc="20E4255C">
      <w:numFmt w:val="bullet"/>
      <w:lvlText w:val="•"/>
      <w:lvlJc w:val="left"/>
      <w:pPr>
        <w:ind w:left="1753" w:hanging="284"/>
      </w:pPr>
      <w:rPr>
        <w:rFonts w:hint="default"/>
        <w:lang w:val="en-US" w:eastAsia="en-US" w:bidi="ar-SA"/>
      </w:rPr>
    </w:lvl>
    <w:lvl w:ilvl="6" w:tplc="AF26F88C">
      <w:numFmt w:val="bullet"/>
      <w:lvlText w:val="•"/>
      <w:lvlJc w:val="left"/>
      <w:pPr>
        <w:ind w:left="2027" w:hanging="284"/>
      </w:pPr>
      <w:rPr>
        <w:rFonts w:hint="default"/>
        <w:lang w:val="en-US" w:eastAsia="en-US" w:bidi="ar-SA"/>
      </w:rPr>
    </w:lvl>
    <w:lvl w:ilvl="7" w:tplc="C2664012">
      <w:numFmt w:val="bullet"/>
      <w:lvlText w:val="•"/>
      <w:lvlJc w:val="left"/>
      <w:pPr>
        <w:ind w:left="2302" w:hanging="284"/>
      </w:pPr>
      <w:rPr>
        <w:rFonts w:hint="default"/>
        <w:lang w:val="en-US" w:eastAsia="en-US" w:bidi="ar-SA"/>
      </w:rPr>
    </w:lvl>
    <w:lvl w:ilvl="8" w:tplc="3D82F01A">
      <w:numFmt w:val="bullet"/>
      <w:lvlText w:val="•"/>
      <w:lvlJc w:val="left"/>
      <w:pPr>
        <w:ind w:left="2576" w:hanging="284"/>
      </w:pPr>
      <w:rPr>
        <w:rFonts w:hint="default"/>
        <w:lang w:val="en-US" w:eastAsia="en-US" w:bidi="ar-SA"/>
      </w:rPr>
    </w:lvl>
  </w:abstractNum>
  <w:abstractNum w:abstractNumId="420" w15:restartNumberingAfterBreak="0">
    <w:nsid w:val="6E370410"/>
    <w:multiLevelType w:val="hybridMultilevel"/>
    <w:tmpl w:val="2ACADD12"/>
    <w:lvl w:ilvl="0" w:tplc="9662C552">
      <w:numFmt w:val="bullet"/>
      <w:lvlText w:val=""/>
      <w:lvlJc w:val="left"/>
      <w:pPr>
        <w:ind w:left="426" w:hanging="284"/>
      </w:pPr>
      <w:rPr>
        <w:rFonts w:ascii="Symbol" w:eastAsia="Symbol" w:hAnsi="Symbol" w:cs="Symbol" w:hint="default"/>
        <w:b w:val="0"/>
        <w:bCs w:val="0"/>
        <w:i w:val="0"/>
        <w:iCs w:val="0"/>
        <w:color w:val="70004A"/>
        <w:spacing w:val="0"/>
        <w:w w:val="100"/>
        <w:sz w:val="18"/>
        <w:szCs w:val="18"/>
        <w:lang w:val="en-US" w:eastAsia="en-US" w:bidi="ar-SA"/>
      </w:rPr>
    </w:lvl>
    <w:lvl w:ilvl="1" w:tplc="5A5A8364">
      <w:numFmt w:val="bullet"/>
      <w:lvlText w:val="•"/>
      <w:lvlJc w:val="left"/>
      <w:pPr>
        <w:ind w:left="585" w:hanging="284"/>
      </w:pPr>
      <w:rPr>
        <w:rFonts w:hint="default"/>
        <w:lang w:val="en-US" w:eastAsia="en-US" w:bidi="ar-SA"/>
      </w:rPr>
    </w:lvl>
    <w:lvl w:ilvl="2" w:tplc="042A3244">
      <w:numFmt w:val="bullet"/>
      <w:lvlText w:val="•"/>
      <w:lvlJc w:val="left"/>
      <w:pPr>
        <w:ind w:left="751" w:hanging="284"/>
      </w:pPr>
      <w:rPr>
        <w:rFonts w:hint="default"/>
        <w:lang w:val="en-US" w:eastAsia="en-US" w:bidi="ar-SA"/>
      </w:rPr>
    </w:lvl>
    <w:lvl w:ilvl="3" w:tplc="AA7E473A">
      <w:numFmt w:val="bullet"/>
      <w:lvlText w:val="•"/>
      <w:lvlJc w:val="left"/>
      <w:pPr>
        <w:ind w:left="917" w:hanging="284"/>
      </w:pPr>
      <w:rPr>
        <w:rFonts w:hint="default"/>
        <w:lang w:val="en-US" w:eastAsia="en-US" w:bidi="ar-SA"/>
      </w:rPr>
    </w:lvl>
    <w:lvl w:ilvl="4" w:tplc="025AA0C8">
      <w:numFmt w:val="bullet"/>
      <w:lvlText w:val="•"/>
      <w:lvlJc w:val="left"/>
      <w:pPr>
        <w:ind w:left="1083" w:hanging="284"/>
      </w:pPr>
      <w:rPr>
        <w:rFonts w:hint="default"/>
        <w:lang w:val="en-US" w:eastAsia="en-US" w:bidi="ar-SA"/>
      </w:rPr>
    </w:lvl>
    <w:lvl w:ilvl="5" w:tplc="B2C0EFEC">
      <w:numFmt w:val="bullet"/>
      <w:lvlText w:val="•"/>
      <w:lvlJc w:val="left"/>
      <w:pPr>
        <w:ind w:left="1249" w:hanging="284"/>
      </w:pPr>
      <w:rPr>
        <w:rFonts w:hint="default"/>
        <w:lang w:val="en-US" w:eastAsia="en-US" w:bidi="ar-SA"/>
      </w:rPr>
    </w:lvl>
    <w:lvl w:ilvl="6" w:tplc="D82A3E8C">
      <w:numFmt w:val="bullet"/>
      <w:lvlText w:val="•"/>
      <w:lvlJc w:val="left"/>
      <w:pPr>
        <w:ind w:left="1415" w:hanging="284"/>
      </w:pPr>
      <w:rPr>
        <w:rFonts w:hint="default"/>
        <w:lang w:val="en-US" w:eastAsia="en-US" w:bidi="ar-SA"/>
      </w:rPr>
    </w:lvl>
    <w:lvl w:ilvl="7" w:tplc="D52EC9F6">
      <w:numFmt w:val="bullet"/>
      <w:lvlText w:val="•"/>
      <w:lvlJc w:val="left"/>
      <w:pPr>
        <w:ind w:left="1581" w:hanging="284"/>
      </w:pPr>
      <w:rPr>
        <w:rFonts w:hint="default"/>
        <w:lang w:val="en-US" w:eastAsia="en-US" w:bidi="ar-SA"/>
      </w:rPr>
    </w:lvl>
    <w:lvl w:ilvl="8" w:tplc="9B42C268">
      <w:numFmt w:val="bullet"/>
      <w:lvlText w:val="•"/>
      <w:lvlJc w:val="left"/>
      <w:pPr>
        <w:ind w:left="1747" w:hanging="284"/>
      </w:pPr>
      <w:rPr>
        <w:rFonts w:hint="default"/>
        <w:lang w:val="en-US" w:eastAsia="en-US" w:bidi="ar-SA"/>
      </w:rPr>
    </w:lvl>
  </w:abstractNum>
  <w:abstractNum w:abstractNumId="421" w15:restartNumberingAfterBreak="0">
    <w:nsid w:val="6E602E25"/>
    <w:multiLevelType w:val="hybridMultilevel"/>
    <w:tmpl w:val="0298F864"/>
    <w:lvl w:ilvl="0" w:tplc="D6226EA8">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A2121F90">
      <w:numFmt w:val="bullet"/>
      <w:lvlText w:val="•"/>
      <w:lvlJc w:val="left"/>
      <w:pPr>
        <w:ind w:left="672" w:hanging="284"/>
      </w:pPr>
      <w:rPr>
        <w:rFonts w:hint="default"/>
        <w:lang w:val="en-US" w:eastAsia="en-US" w:bidi="ar-SA"/>
      </w:rPr>
    </w:lvl>
    <w:lvl w:ilvl="2" w:tplc="17684F24">
      <w:numFmt w:val="bullet"/>
      <w:lvlText w:val="•"/>
      <w:lvlJc w:val="left"/>
      <w:pPr>
        <w:ind w:left="944" w:hanging="284"/>
      </w:pPr>
      <w:rPr>
        <w:rFonts w:hint="default"/>
        <w:lang w:val="en-US" w:eastAsia="en-US" w:bidi="ar-SA"/>
      </w:rPr>
    </w:lvl>
    <w:lvl w:ilvl="3" w:tplc="6D92E7F8">
      <w:numFmt w:val="bullet"/>
      <w:lvlText w:val="•"/>
      <w:lvlJc w:val="left"/>
      <w:pPr>
        <w:ind w:left="1216" w:hanging="284"/>
      </w:pPr>
      <w:rPr>
        <w:rFonts w:hint="default"/>
        <w:lang w:val="en-US" w:eastAsia="en-US" w:bidi="ar-SA"/>
      </w:rPr>
    </w:lvl>
    <w:lvl w:ilvl="4" w:tplc="AF84DF30">
      <w:numFmt w:val="bullet"/>
      <w:lvlText w:val="•"/>
      <w:lvlJc w:val="left"/>
      <w:pPr>
        <w:ind w:left="1488" w:hanging="284"/>
      </w:pPr>
      <w:rPr>
        <w:rFonts w:hint="default"/>
        <w:lang w:val="en-US" w:eastAsia="en-US" w:bidi="ar-SA"/>
      </w:rPr>
    </w:lvl>
    <w:lvl w:ilvl="5" w:tplc="BEE4C996">
      <w:numFmt w:val="bullet"/>
      <w:lvlText w:val="•"/>
      <w:lvlJc w:val="left"/>
      <w:pPr>
        <w:ind w:left="1760" w:hanging="284"/>
      </w:pPr>
      <w:rPr>
        <w:rFonts w:hint="default"/>
        <w:lang w:val="en-US" w:eastAsia="en-US" w:bidi="ar-SA"/>
      </w:rPr>
    </w:lvl>
    <w:lvl w:ilvl="6" w:tplc="37C8684E">
      <w:numFmt w:val="bullet"/>
      <w:lvlText w:val="•"/>
      <w:lvlJc w:val="left"/>
      <w:pPr>
        <w:ind w:left="2032" w:hanging="284"/>
      </w:pPr>
      <w:rPr>
        <w:rFonts w:hint="default"/>
        <w:lang w:val="en-US" w:eastAsia="en-US" w:bidi="ar-SA"/>
      </w:rPr>
    </w:lvl>
    <w:lvl w:ilvl="7" w:tplc="EF3ECD54">
      <w:numFmt w:val="bullet"/>
      <w:lvlText w:val="•"/>
      <w:lvlJc w:val="left"/>
      <w:pPr>
        <w:ind w:left="2304" w:hanging="284"/>
      </w:pPr>
      <w:rPr>
        <w:rFonts w:hint="default"/>
        <w:lang w:val="en-US" w:eastAsia="en-US" w:bidi="ar-SA"/>
      </w:rPr>
    </w:lvl>
    <w:lvl w:ilvl="8" w:tplc="9B74175A">
      <w:numFmt w:val="bullet"/>
      <w:lvlText w:val="•"/>
      <w:lvlJc w:val="left"/>
      <w:pPr>
        <w:ind w:left="2576" w:hanging="284"/>
      </w:pPr>
      <w:rPr>
        <w:rFonts w:hint="default"/>
        <w:lang w:val="en-US" w:eastAsia="en-US" w:bidi="ar-SA"/>
      </w:rPr>
    </w:lvl>
  </w:abstractNum>
  <w:abstractNum w:abstractNumId="422" w15:restartNumberingAfterBreak="0">
    <w:nsid w:val="6EDE10C6"/>
    <w:multiLevelType w:val="hybridMultilevel"/>
    <w:tmpl w:val="765E8114"/>
    <w:lvl w:ilvl="0" w:tplc="4314D3B6">
      <w:numFmt w:val="bullet"/>
      <w:lvlText w:val=""/>
      <w:lvlJc w:val="left"/>
      <w:pPr>
        <w:ind w:left="423" w:hanging="284"/>
      </w:pPr>
      <w:rPr>
        <w:rFonts w:ascii="Symbol" w:eastAsia="Symbol" w:hAnsi="Symbol" w:cs="Symbol" w:hint="default"/>
        <w:b w:val="0"/>
        <w:bCs w:val="0"/>
        <w:i w:val="0"/>
        <w:iCs w:val="0"/>
        <w:color w:val="70004A"/>
        <w:spacing w:val="0"/>
        <w:w w:val="100"/>
        <w:sz w:val="18"/>
        <w:szCs w:val="18"/>
        <w:lang w:val="en-US" w:eastAsia="en-US" w:bidi="ar-SA"/>
      </w:rPr>
    </w:lvl>
    <w:lvl w:ilvl="1" w:tplc="A3E03C30">
      <w:numFmt w:val="bullet"/>
      <w:lvlText w:val="•"/>
      <w:lvlJc w:val="left"/>
      <w:pPr>
        <w:ind w:left="584" w:hanging="284"/>
      </w:pPr>
      <w:rPr>
        <w:rFonts w:hint="default"/>
        <w:lang w:val="en-US" w:eastAsia="en-US" w:bidi="ar-SA"/>
      </w:rPr>
    </w:lvl>
    <w:lvl w:ilvl="2" w:tplc="5C7C6B4A">
      <w:numFmt w:val="bullet"/>
      <w:lvlText w:val="•"/>
      <w:lvlJc w:val="left"/>
      <w:pPr>
        <w:ind w:left="749" w:hanging="284"/>
      </w:pPr>
      <w:rPr>
        <w:rFonts w:hint="default"/>
        <w:lang w:val="en-US" w:eastAsia="en-US" w:bidi="ar-SA"/>
      </w:rPr>
    </w:lvl>
    <w:lvl w:ilvl="3" w:tplc="8BC0F10C">
      <w:numFmt w:val="bullet"/>
      <w:lvlText w:val="•"/>
      <w:lvlJc w:val="left"/>
      <w:pPr>
        <w:ind w:left="914" w:hanging="284"/>
      </w:pPr>
      <w:rPr>
        <w:rFonts w:hint="default"/>
        <w:lang w:val="en-US" w:eastAsia="en-US" w:bidi="ar-SA"/>
      </w:rPr>
    </w:lvl>
    <w:lvl w:ilvl="4" w:tplc="EBC693BC">
      <w:numFmt w:val="bullet"/>
      <w:lvlText w:val="•"/>
      <w:lvlJc w:val="left"/>
      <w:pPr>
        <w:ind w:left="1079" w:hanging="284"/>
      </w:pPr>
      <w:rPr>
        <w:rFonts w:hint="default"/>
        <w:lang w:val="en-US" w:eastAsia="en-US" w:bidi="ar-SA"/>
      </w:rPr>
    </w:lvl>
    <w:lvl w:ilvl="5" w:tplc="FAA42B0E">
      <w:numFmt w:val="bullet"/>
      <w:lvlText w:val="•"/>
      <w:lvlJc w:val="left"/>
      <w:pPr>
        <w:ind w:left="1244" w:hanging="284"/>
      </w:pPr>
      <w:rPr>
        <w:rFonts w:hint="default"/>
        <w:lang w:val="en-US" w:eastAsia="en-US" w:bidi="ar-SA"/>
      </w:rPr>
    </w:lvl>
    <w:lvl w:ilvl="6" w:tplc="230CF956">
      <w:numFmt w:val="bullet"/>
      <w:lvlText w:val="•"/>
      <w:lvlJc w:val="left"/>
      <w:pPr>
        <w:ind w:left="1408" w:hanging="284"/>
      </w:pPr>
      <w:rPr>
        <w:rFonts w:hint="default"/>
        <w:lang w:val="en-US" w:eastAsia="en-US" w:bidi="ar-SA"/>
      </w:rPr>
    </w:lvl>
    <w:lvl w:ilvl="7" w:tplc="E214CB5E">
      <w:numFmt w:val="bullet"/>
      <w:lvlText w:val="•"/>
      <w:lvlJc w:val="left"/>
      <w:pPr>
        <w:ind w:left="1573" w:hanging="284"/>
      </w:pPr>
      <w:rPr>
        <w:rFonts w:hint="default"/>
        <w:lang w:val="en-US" w:eastAsia="en-US" w:bidi="ar-SA"/>
      </w:rPr>
    </w:lvl>
    <w:lvl w:ilvl="8" w:tplc="73445620">
      <w:numFmt w:val="bullet"/>
      <w:lvlText w:val="•"/>
      <w:lvlJc w:val="left"/>
      <w:pPr>
        <w:ind w:left="1738" w:hanging="284"/>
      </w:pPr>
      <w:rPr>
        <w:rFonts w:hint="default"/>
        <w:lang w:val="en-US" w:eastAsia="en-US" w:bidi="ar-SA"/>
      </w:rPr>
    </w:lvl>
  </w:abstractNum>
  <w:abstractNum w:abstractNumId="423" w15:restartNumberingAfterBreak="0">
    <w:nsid w:val="6F182E2B"/>
    <w:multiLevelType w:val="hybridMultilevel"/>
    <w:tmpl w:val="B820198E"/>
    <w:lvl w:ilvl="0" w:tplc="B5C6080C">
      <w:numFmt w:val="bullet"/>
      <w:lvlText w:val=""/>
      <w:lvlJc w:val="left"/>
      <w:pPr>
        <w:ind w:left="491" w:hanging="284"/>
      </w:pPr>
      <w:rPr>
        <w:rFonts w:ascii="Symbol" w:eastAsia="Symbol" w:hAnsi="Symbol" w:cs="Symbol" w:hint="default"/>
        <w:b w:val="0"/>
        <w:bCs w:val="0"/>
        <w:i w:val="0"/>
        <w:iCs w:val="0"/>
        <w:color w:val="70004A"/>
        <w:spacing w:val="0"/>
        <w:w w:val="100"/>
        <w:sz w:val="18"/>
        <w:szCs w:val="18"/>
        <w:lang w:val="en-US" w:eastAsia="en-US" w:bidi="ar-SA"/>
      </w:rPr>
    </w:lvl>
    <w:lvl w:ilvl="1" w:tplc="2F287398">
      <w:numFmt w:val="bullet"/>
      <w:lvlText w:val="•"/>
      <w:lvlJc w:val="left"/>
      <w:pPr>
        <w:ind w:left="766" w:hanging="284"/>
      </w:pPr>
      <w:rPr>
        <w:rFonts w:hint="default"/>
        <w:lang w:val="en-US" w:eastAsia="en-US" w:bidi="ar-SA"/>
      </w:rPr>
    </w:lvl>
    <w:lvl w:ilvl="2" w:tplc="F9CA6BF2">
      <w:numFmt w:val="bullet"/>
      <w:lvlText w:val="•"/>
      <w:lvlJc w:val="left"/>
      <w:pPr>
        <w:ind w:left="1033" w:hanging="284"/>
      </w:pPr>
      <w:rPr>
        <w:rFonts w:hint="default"/>
        <w:lang w:val="en-US" w:eastAsia="en-US" w:bidi="ar-SA"/>
      </w:rPr>
    </w:lvl>
    <w:lvl w:ilvl="3" w:tplc="88DA8378">
      <w:numFmt w:val="bullet"/>
      <w:lvlText w:val="•"/>
      <w:lvlJc w:val="left"/>
      <w:pPr>
        <w:ind w:left="1300" w:hanging="284"/>
      </w:pPr>
      <w:rPr>
        <w:rFonts w:hint="default"/>
        <w:lang w:val="en-US" w:eastAsia="en-US" w:bidi="ar-SA"/>
      </w:rPr>
    </w:lvl>
    <w:lvl w:ilvl="4" w:tplc="18166F16">
      <w:numFmt w:val="bullet"/>
      <w:lvlText w:val="•"/>
      <w:lvlJc w:val="left"/>
      <w:pPr>
        <w:ind w:left="1567" w:hanging="284"/>
      </w:pPr>
      <w:rPr>
        <w:rFonts w:hint="default"/>
        <w:lang w:val="en-US" w:eastAsia="en-US" w:bidi="ar-SA"/>
      </w:rPr>
    </w:lvl>
    <w:lvl w:ilvl="5" w:tplc="039CD54A">
      <w:numFmt w:val="bullet"/>
      <w:lvlText w:val="•"/>
      <w:lvlJc w:val="left"/>
      <w:pPr>
        <w:ind w:left="1834" w:hanging="284"/>
      </w:pPr>
      <w:rPr>
        <w:rFonts w:hint="default"/>
        <w:lang w:val="en-US" w:eastAsia="en-US" w:bidi="ar-SA"/>
      </w:rPr>
    </w:lvl>
    <w:lvl w:ilvl="6" w:tplc="2C646C90">
      <w:numFmt w:val="bullet"/>
      <w:lvlText w:val="•"/>
      <w:lvlJc w:val="left"/>
      <w:pPr>
        <w:ind w:left="2100" w:hanging="284"/>
      </w:pPr>
      <w:rPr>
        <w:rFonts w:hint="default"/>
        <w:lang w:val="en-US" w:eastAsia="en-US" w:bidi="ar-SA"/>
      </w:rPr>
    </w:lvl>
    <w:lvl w:ilvl="7" w:tplc="4F5A963A">
      <w:numFmt w:val="bullet"/>
      <w:lvlText w:val="•"/>
      <w:lvlJc w:val="left"/>
      <w:pPr>
        <w:ind w:left="2367" w:hanging="284"/>
      </w:pPr>
      <w:rPr>
        <w:rFonts w:hint="default"/>
        <w:lang w:val="en-US" w:eastAsia="en-US" w:bidi="ar-SA"/>
      </w:rPr>
    </w:lvl>
    <w:lvl w:ilvl="8" w:tplc="9F2CE678">
      <w:numFmt w:val="bullet"/>
      <w:lvlText w:val="•"/>
      <w:lvlJc w:val="left"/>
      <w:pPr>
        <w:ind w:left="2634" w:hanging="284"/>
      </w:pPr>
      <w:rPr>
        <w:rFonts w:hint="default"/>
        <w:lang w:val="en-US" w:eastAsia="en-US" w:bidi="ar-SA"/>
      </w:rPr>
    </w:lvl>
  </w:abstractNum>
  <w:abstractNum w:abstractNumId="424" w15:restartNumberingAfterBreak="0">
    <w:nsid w:val="6F7F23D6"/>
    <w:multiLevelType w:val="hybridMultilevel"/>
    <w:tmpl w:val="F73446E6"/>
    <w:lvl w:ilvl="0" w:tplc="326A5806">
      <w:numFmt w:val="bullet"/>
      <w:lvlText w:val=""/>
      <w:lvlJc w:val="left"/>
      <w:pPr>
        <w:ind w:left="429" w:hanging="284"/>
      </w:pPr>
      <w:rPr>
        <w:rFonts w:ascii="Symbol" w:eastAsia="Symbol" w:hAnsi="Symbol" w:cs="Symbol" w:hint="default"/>
        <w:b w:val="0"/>
        <w:bCs w:val="0"/>
        <w:i w:val="0"/>
        <w:iCs w:val="0"/>
        <w:color w:val="70004A"/>
        <w:spacing w:val="0"/>
        <w:w w:val="100"/>
        <w:sz w:val="18"/>
        <w:szCs w:val="18"/>
        <w:lang w:val="en-US" w:eastAsia="en-US" w:bidi="ar-SA"/>
      </w:rPr>
    </w:lvl>
    <w:lvl w:ilvl="1" w:tplc="522CB630">
      <w:numFmt w:val="bullet"/>
      <w:lvlText w:val="•"/>
      <w:lvlJc w:val="left"/>
      <w:pPr>
        <w:ind w:left="635" w:hanging="284"/>
      </w:pPr>
      <w:rPr>
        <w:rFonts w:hint="default"/>
        <w:lang w:val="en-US" w:eastAsia="en-US" w:bidi="ar-SA"/>
      </w:rPr>
    </w:lvl>
    <w:lvl w:ilvl="2" w:tplc="C6CC3D38">
      <w:numFmt w:val="bullet"/>
      <w:lvlText w:val="•"/>
      <w:lvlJc w:val="left"/>
      <w:pPr>
        <w:ind w:left="851" w:hanging="284"/>
      </w:pPr>
      <w:rPr>
        <w:rFonts w:hint="default"/>
        <w:lang w:val="en-US" w:eastAsia="en-US" w:bidi="ar-SA"/>
      </w:rPr>
    </w:lvl>
    <w:lvl w:ilvl="3" w:tplc="DD48CE16">
      <w:numFmt w:val="bullet"/>
      <w:lvlText w:val="•"/>
      <w:lvlJc w:val="left"/>
      <w:pPr>
        <w:ind w:left="1067" w:hanging="284"/>
      </w:pPr>
      <w:rPr>
        <w:rFonts w:hint="default"/>
        <w:lang w:val="en-US" w:eastAsia="en-US" w:bidi="ar-SA"/>
      </w:rPr>
    </w:lvl>
    <w:lvl w:ilvl="4" w:tplc="CBCCD4E4">
      <w:numFmt w:val="bullet"/>
      <w:lvlText w:val="•"/>
      <w:lvlJc w:val="left"/>
      <w:pPr>
        <w:ind w:left="1283" w:hanging="284"/>
      </w:pPr>
      <w:rPr>
        <w:rFonts w:hint="default"/>
        <w:lang w:val="en-US" w:eastAsia="en-US" w:bidi="ar-SA"/>
      </w:rPr>
    </w:lvl>
    <w:lvl w:ilvl="5" w:tplc="CE624558">
      <w:numFmt w:val="bullet"/>
      <w:lvlText w:val="•"/>
      <w:lvlJc w:val="left"/>
      <w:pPr>
        <w:ind w:left="1499" w:hanging="284"/>
      </w:pPr>
      <w:rPr>
        <w:rFonts w:hint="default"/>
        <w:lang w:val="en-US" w:eastAsia="en-US" w:bidi="ar-SA"/>
      </w:rPr>
    </w:lvl>
    <w:lvl w:ilvl="6" w:tplc="8CAE91F4">
      <w:numFmt w:val="bullet"/>
      <w:lvlText w:val="•"/>
      <w:lvlJc w:val="left"/>
      <w:pPr>
        <w:ind w:left="1714" w:hanging="284"/>
      </w:pPr>
      <w:rPr>
        <w:rFonts w:hint="default"/>
        <w:lang w:val="en-US" w:eastAsia="en-US" w:bidi="ar-SA"/>
      </w:rPr>
    </w:lvl>
    <w:lvl w:ilvl="7" w:tplc="C580789C">
      <w:numFmt w:val="bullet"/>
      <w:lvlText w:val="•"/>
      <w:lvlJc w:val="left"/>
      <w:pPr>
        <w:ind w:left="1930" w:hanging="284"/>
      </w:pPr>
      <w:rPr>
        <w:rFonts w:hint="default"/>
        <w:lang w:val="en-US" w:eastAsia="en-US" w:bidi="ar-SA"/>
      </w:rPr>
    </w:lvl>
    <w:lvl w:ilvl="8" w:tplc="71E0355C">
      <w:numFmt w:val="bullet"/>
      <w:lvlText w:val="•"/>
      <w:lvlJc w:val="left"/>
      <w:pPr>
        <w:ind w:left="2146" w:hanging="284"/>
      </w:pPr>
      <w:rPr>
        <w:rFonts w:hint="default"/>
        <w:lang w:val="en-US" w:eastAsia="en-US" w:bidi="ar-SA"/>
      </w:rPr>
    </w:lvl>
  </w:abstractNum>
  <w:abstractNum w:abstractNumId="425" w15:restartNumberingAfterBreak="0">
    <w:nsid w:val="70634D62"/>
    <w:multiLevelType w:val="hybridMultilevel"/>
    <w:tmpl w:val="F6581B26"/>
    <w:lvl w:ilvl="0" w:tplc="09F42C74">
      <w:numFmt w:val="bullet"/>
      <w:lvlText w:val=""/>
      <w:lvlJc w:val="left"/>
      <w:pPr>
        <w:ind w:left="421" w:hanging="284"/>
      </w:pPr>
      <w:rPr>
        <w:rFonts w:ascii="Symbol" w:eastAsia="Symbol" w:hAnsi="Symbol" w:cs="Symbol" w:hint="default"/>
        <w:b w:val="0"/>
        <w:bCs w:val="0"/>
        <w:i w:val="0"/>
        <w:iCs w:val="0"/>
        <w:color w:val="70004A"/>
        <w:spacing w:val="0"/>
        <w:w w:val="100"/>
        <w:sz w:val="18"/>
        <w:szCs w:val="18"/>
        <w:lang w:val="en-US" w:eastAsia="en-US" w:bidi="ar-SA"/>
      </w:rPr>
    </w:lvl>
    <w:lvl w:ilvl="1" w:tplc="E48A1374">
      <w:numFmt w:val="bullet"/>
      <w:lvlText w:val="•"/>
      <w:lvlJc w:val="left"/>
      <w:pPr>
        <w:ind w:left="617" w:hanging="284"/>
      </w:pPr>
      <w:rPr>
        <w:rFonts w:hint="default"/>
        <w:lang w:val="en-US" w:eastAsia="en-US" w:bidi="ar-SA"/>
      </w:rPr>
    </w:lvl>
    <w:lvl w:ilvl="2" w:tplc="CE54EE5C">
      <w:numFmt w:val="bullet"/>
      <w:lvlText w:val="•"/>
      <w:lvlJc w:val="left"/>
      <w:pPr>
        <w:ind w:left="814" w:hanging="284"/>
      </w:pPr>
      <w:rPr>
        <w:rFonts w:hint="default"/>
        <w:lang w:val="en-US" w:eastAsia="en-US" w:bidi="ar-SA"/>
      </w:rPr>
    </w:lvl>
    <w:lvl w:ilvl="3" w:tplc="F4BC9470">
      <w:numFmt w:val="bullet"/>
      <w:lvlText w:val="•"/>
      <w:lvlJc w:val="left"/>
      <w:pPr>
        <w:ind w:left="1011" w:hanging="284"/>
      </w:pPr>
      <w:rPr>
        <w:rFonts w:hint="default"/>
        <w:lang w:val="en-US" w:eastAsia="en-US" w:bidi="ar-SA"/>
      </w:rPr>
    </w:lvl>
    <w:lvl w:ilvl="4" w:tplc="FF18CCC6">
      <w:numFmt w:val="bullet"/>
      <w:lvlText w:val="•"/>
      <w:lvlJc w:val="left"/>
      <w:pPr>
        <w:ind w:left="1208" w:hanging="284"/>
      </w:pPr>
      <w:rPr>
        <w:rFonts w:hint="default"/>
        <w:lang w:val="en-US" w:eastAsia="en-US" w:bidi="ar-SA"/>
      </w:rPr>
    </w:lvl>
    <w:lvl w:ilvl="5" w:tplc="66483CB0">
      <w:numFmt w:val="bullet"/>
      <w:lvlText w:val="•"/>
      <w:lvlJc w:val="left"/>
      <w:pPr>
        <w:ind w:left="1406" w:hanging="284"/>
      </w:pPr>
      <w:rPr>
        <w:rFonts w:hint="default"/>
        <w:lang w:val="en-US" w:eastAsia="en-US" w:bidi="ar-SA"/>
      </w:rPr>
    </w:lvl>
    <w:lvl w:ilvl="6" w:tplc="7FB610C4">
      <w:numFmt w:val="bullet"/>
      <w:lvlText w:val="•"/>
      <w:lvlJc w:val="left"/>
      <w:pPr>
        <w:ind w:left="1603" w:hanging="284"/>
      </w:pPr>
      <w:rPr>
        <w:rFonts w:hint="default"/>
        <w:lang w:val="en-US" w:eastAsia="en-US" w:bidi="ar-SA"/>
      </w:rPr>
    </w:lvl>
    <w:lvl w:ilvl="7" w:tplc="B05AFD98">
      <w:numFmt w:val="bullet"/>
      <w:lvlText w:val="•"/>
      <w:lvlJc w:val="left"/>
      <w:pPr>
        <w:ind w:left="1800" w:hanging="284"/>
      </w:pPr>
      <w:rPr>
        <w:rFonts w:hint="default"/>
        <w:lang w:val="en-US" w:eastAsia="en-US" w:bidi="ar-SA"/>
      </w:rPr>
    </w:lvl>
    <w:lvl w:ilvl="8" w:tplc="659C8980">
      <w:numFmt w:val="bullet"/>
      <w:lvlText w:val="•"/>
      <w:lvlJc w:val="left"/>
      <w:pPr>
        <w:ind w:left="1997" w:hanging="284"/>
      </w:pPr>
      <w:rPr>
        <w:rFonts w:hint="default"/>
        <w:lang w:val="en-US" w:eastAsia="en-US" w:bidi="ar-SA"/>
      </w:rPr>
    </w:lvl>
  </w:abstractNum>
  <w:abstractNum w:abstractNumId="426" w15:restartNumberingAfterBreak="0">
    <w:nsid w:val="70787B29"/>
    <w:multiLevelType w:val="hybridMultilevel"/>
    <w:tmpl w:val="597A2420"/>
    <w:lvl w:ilvl="0" w:tplc="2B085C8A">
      <w:numFmt w:val="bullet"/>
      <w:lvlText w:val=""/>
      <w:lvlJc w:val="left"/>
      <w:pPr>
        <w:ind w:left="323" w:hanging="284"/>
      </w:pPr>
      <w:rPr>
        <w:rFonts w:ascii="Symbol" w:eastAsia="Symbol" w:hAnsi="Symbol" w:cs="Symbol" w:hint="default"/>
        <w:b w:val="0"/>
        <w:bCs w:val="0"/>
        <w:i w:val="0"/>
        <w:iCs w:val="0"/>
        <w:color w:val="70004A"/>
        <w:spacing w:val="0"/>
        <w:w w:val="100"/>
        <w:sz w:val="18"/>
        <w:szCs w:val="18"/>
        <w:lang w:val="en-US" w:eastAsia="en-US" w:bidi="ar-SA"/>
      </w:rPr>
    </w:lvl>
    <w:lvl w:ilvl="1" w:tplc="A08EDA08">
      <w:numFmt w:val="bullet"/>
      <w:lvlText w:val="•"/>
      <w:lvlJc w:val="left"/>
      <w:pPr>
        <w:ind w:left="430" w:hanging="284"/>
      </w:pPr>
      <w:rPr>
        <w:rFonts w:hint="default"/>
        <w:lang w:val="en-US" w:eastAsia="en-US" w:bidi="ar-SA"/>
      </w:rPr>
    </w:lvl>
    <w:lvl w:ilvl="2" w:tplc="F4F4B794">
      <w:numFmt w:val="bullet"/>
      <w:lvlText w:val="•"/>
      <w:lvlJc w:val="left"/>
      <w:pPr>
        <w:ind w:left="541" w:hanging="284"/>
      </w:pPr>
      <w:rPr>
        <w:rFonts w:hint="default"/>
        <w:lang w:val="en-US" w:eastAsia="en-US" w:bidi="ar-SA"/>
      </w:rPr>
    </w:lvl>
    <w:lvl w:ilvl="3" w:tplc="353CC218">
      <w:numFmt w:val="bullet"/>
      <w:lvlText w:val="•"/>
      <w:lvlJc w:val="left"/>
      <w:pPr>
        <w:ind w:left="652" w:hanging="284"/>
      </w:pPr>
      <w:rPr>
        <w:rFonts w:hint="default"/>
        <w:lang w:val="en-US" w:eastAsia="en-US" w:bidi="ar-SA"/>
      </w:rPr>
    </w:lvl>
    <w:lvl w:ilvl="4" w:tplc="95625006">
      <w:numFmt w:val="bullet"/>
      <w:lvlText w:val="•"/>
      <w:lvlJc w:val="left"/>
      <w:pPr>
        <w:ind w:left="763" w:hanging="284"/>
      </w:pPr>
      <w:rPr>
        <w:rFonts w:hint="default"/>
        <w:lang w:val="en-US" w:eastAsia="en-US" w:bidi="ar-SA"/>
      </w:rPr>
    </w:lvl>
    <w:lvl w:ilvl="5" w:tplc="75E08AEE">
      <w:numFmt w:val="bullet"/>
      <w:lvlText w:val="•"/>
      <w:lvlJc w:val="left"/>
      <w:pPr>
        <w:ind w:left="874" w:hanging="284"/>
      </w:pPr>
      <w:rPr>
        <w:rFonts w:hint="default"/>
        <w:lang w:val="en-US" w:eastAsia="en-US" w:bidi="ar-SA"/>
      </w:rPr>
    </w:lvl>
    <w:lvl w:ilvl="6" w:tplc="3B7C91B0">
      <w:numFmt w:val="bullet"/>
      <w:lvlText w:val="•"/>
      <w:lvlJc w:val="left"/>
      <w:pPr>
        <w:ind w:left="984" w:hanging="284"/>
      </w:pPr>
      <w:rPr>
        <w:rFonts w:hint="default"/>
        <w:lang w:val="en-US" w:eastAsia="en-US" w:bidi="ar-SA"/>
      </w:rPr>
    </w:lvl>
    <w:lvl w:ilvl="7" w:tplc="A620C15C">
      <w:numFmt w:val="bullet"/>
      <w:lvlText w:val="•"/>
      <w:lvlJc w:val="left"/>
      <w:pPr>
        <w:ind w:left="1095" w:hanging="284"/>
      </w:pPr>
      <w:rPr>
        <w:rFonts w:hint="default"/>
        <w:lang w:val="en-US" w:eastAsia="en-US" w:bidi="ar-SA"/>
      </w:rPr>
    </w:lvl>
    <w:lvl w:ilvl="8" w:tplc="7D06F5AC">
      <w:numFmt w:val="bullet"/>
      <w:lvlText w:val="•"/>
      <w:lvlJc w:val="left"/>
      <w:pPr>
        <w:ind w:left="1206" w:hanging="284"/>
      </w:pPr>
      <w:rPr>
        <w:rFonts w:hint="default"/>
        <w:lang w:val="en-US" w:eastAsia="en-US" w:bidi="ar-SA"/>
      </w:rPr>
    </w:lvl>
  </w:abstractNum>
  <w:abstractNum w:abstractNumId="427" w15:restartNumberingAfterBreak="0">
    <w:nsid w:val="70D14947"/>
    <w:multiLevelType w:val="hybridMultilevel"/>
    <w:tmpl w:val="BA2A708C"/>
    <w:lvl w:ilvl="0" w:tplc="0FD23574">
      <w:numFmt w:val="bullet"/>
      <w:lvlText w:val=""/>
      <w:lvlJc w:val="left"/>
      <w:pPr>
        <w:ind w:left="440" w:hanging="284"/>
      </w:pPr>
      <w:rPr>
        <w:rFonts w:ascii="Symbol" w:eastAsia="Symbol" w:hAnsi="Symbol" w:cs="Symbol" w:hint="default"/>
        <w:b w:val="0"/>
        <w:bCs w:val="0"/>
        <w:i w:val="0"/>
        <w:iCs w:val="0"/>
        <w:color w:val="70004A"/>
        <w:spacing w:val="0"/>
        <w:w w:val="100"/>
        <w:sz w:val="18"/>
        <w:szCs w:val="18"/>
        <w:lang w:val="en-US" w:eastAsia="en-US" w:bidi="ar-SA"/>
      </w:rPr>
    </w:lvl>
    <w:lvl w:ilvl="1" w:tplc="30D23DFA">
      <w:numFmt w:val="bullet"/>
      <w:lvlText w:val="•"/>
      <w:lvlJc w:val="left"/>
      <w:pPr>
        <w:ind w:left="625" w:hanging="284"/>
      </w:pPr>
      <w:rPr>
        <w:rFonts w:hint="default"/>
        <w:lang w:val="en-US" w:eastAsia="en-US" w:bidi="ar-SA"/>
      </w:rPr>
    </w:lvl>
    <w:lvl w:ilvl="2" w:tplc="0F0E0F2C">
      <w:numFmt w:val="bullet"/>
      <w:lvlText w:val="•"/>
      <w:lvlJc w:val="left"/>
      <w:pPr>
        <w:ind w:left="811" w:hanging="284"/>
      </w:pPr>
      <w:rPr>
        <w:rFonts w:hint="default"/>
        <w:lang w:val="en-US" w:eastAsia="en-US" w:bidi="ar-SA"/>
      </w:rPr>
    </w:lvl>
    <w:lvl w:ilvl="3" w:tplc="750A8BFC">
      <w:numFmt w:val="bullet"/>
      <w:lvlText w:val="•"/>
      <w:lvlJc w:val="left"/>
      <w:pPr>
        <w:ind w:left="997" w:hanging="284"/>
      </w:pPr>
      <w:rPr>
        <w:rFonts w:hint="default"/>
        <w:lang w:val="en-US" w:eastAsia="en-US" w:bidi="ar-SA"/>
      </w:rPr>
    </w:lvl>
    <w:lvl w:ilvl="4" w:tplc="A4DABCD6">
      <w:numFmt w:val="bullet"/>
      <w:lvlText w:val="•"/>
      <w:lvlJc w:val="left"/>
      <w:pPr>
        <w:ind w:left="1182" w:hanging="284"/>
      </w:pPr>
      <w:rPr>
        <w:rFonts w:hint="default"/>
        <w:lang w:val="en-US" w:eastAsia="en-US" w:bidi="ar-SA"/>
      </w:rPr>
    </w:lvl>
    <w:lvl w:ilvl="5" w:tplc="D2E6618A">
      <w:numFmt w:val="bullet"/>
      <w:lvlText w:val="•"/>
      <w:lvlJc w:val="left"/>
      <w:pPr>
        <w:ind w:left="1368" w:hanging="284"/>
      </w:pPr>
      <w:rPr>
        <w:rFonts w:hint="default"/>
        <w:lang w:val="en-US" w:eastAsia="en-US" w:bidi="ar-SA"/>
      </w:rPr>
    </w:lvl>
    <w:lvl w:ilvl="6" w:tplc="6BDA2B4C">
      <w:numFmt w:val="bullet"/>
      <w:lvlText w:val="•"/>
      <w:lvlJc w:val="left"/>
      <w:pPr>
        <w:ind w:left="1554" w:hanging="284"/>
      </w:pPr>
      <w:rPr>
        <w:rFonts w:hint="default"/>
        <w:lang w:val="en-US" w:eastAsia="en-US" w:bidi="ar-SA"/>
      </w:rPr>
    </w:lvl>
    <w:lvl w:ilvl="7" w:tplc="49F0E1BA">
      <w:numFmt w:val="bullet"/>
      <w:lvlText w:val="•"/>
      <w:lvlJc w:val="left"/>
      <w:pPr>
        <w:ind w:left="1739" w:hanging="284"/>
      </w:pPr>
      <w:rPr>
        <w:rFonts w:hint="default"/>
        <w:lang w:val="en-US" w:eastAsia="en-US" w:bidi="ar-SA"/>
      </w:rPr>
    </w:lvl>
    <w:lvl w:ilvl="8" w:tplc="43E6607E">
      <w:numFmt w:val="bullet"/>
      <w:lvlText w:val="•"/>
      <w:lvlJc w:val="left"/>
      <w:pPr>
        <w:ind w:left="1925" w:hanging="284"/>
      </w:pPr>
      <w:rPr>
        <w:rFonts w:hint="default"/>
        <w:lang w:val="en-US" w:eastAsia="en-US" w:bidi="ar-SA"/>
      </w:rPr>
    </w:lvl>
  </w:abstractNum>
  <w:abstractNum w:abstractNumId="428" w15:restartNumberingAfterBreak="0">
    <w:nsid w:val="711A3E31"/>
    <w:multiLevelType w:val="hybridMultilevel"/>
    <w:tmpl w:val="1E062766"/>
    <w:lvl w:ilvl="0" w:tplc="B9FCAF5E">
      <w:numFmt w:val="bullet"/>
      <w:lvlText w:val=""/>
      <w:lvlJc w:val="left"/>
      <w:pPr>
        <w:ind w:left="434" w:hanging="284"/>
      </w:pPr>
      <w:rPr>
        <w:rFonts w:ascii="Symbol" w:eastAsia="Symbol" w:hAnsi="Symbol" w:cs="Symbol" w:hint="default"/>
        <w:b w:val="0"/>
        <w:bCs w:val="0"/>
        <w:i w:val="0"/>
        <w:iCs w:val="0"/>
        <w:color w:val="70004A"/>
        <w:spacing w:val="0"/>
        <w:w w:val="100"/>
        <w:sz w:val="18"/>
        <w:szCs w:val="18"/>
        <w:lang w:val="en-US" w:eastAsia="en-US" w:bidi="ar-SA"/>
      </w:rPr>
    </w:lvl>
    <w:lvl w:ilvl="1" w:tplc="5A0CEC32">
      <w:numFmt w:val="bullet"/>
      <w:lvlText w:val="•"/>
      <w:lvlJc w:val="left"/>
      <w:pPr>
        <w:ind w:left="637" w:hanging="284"/>
      </w:pPr>
      <w:rPr>
        <w:rFonts w:hint="default"/>
        <w:lang w:val="en-US" w:eastAsia="en-US" w:bidi="ar-SA"/>
      </w:rPr>
    </w:lvl>
    <w:lvl w:ilvl="2" w:tplc="EFF66256">
      <w:numFmt w:val="bullet"/>
      <w:lvlText w:val="•"/>
      <w:lvlJc w:val="left"/>
      <w:pPr>
        <w:ind w:left="834" w:hanging="284"/>
      </w:pPr>
      <w:rPr>
        <w:rFonts w:hint="default"/>
        <w:lang w:val="en-US" w:eastAsia="en-US" w:bidi="ar-SA"/>
      </w:rPr>
    </w:lvl>
    <w:lvl w:ilvl="3" w:tplc="E7C05C1A">
      <w:numFmt w:val="bullet"/>
      <w:lvlText w:val="•"/>
      <w:lvlJc w:val="left"/>
      <w:pPr>
        <w:ind w:left="1031" w:hanging="284"/>
      </w:pPr>
      <w:rPr>
        <w:rFonts w:hint="default"/>
        <w:lang w:val="en-US" w:eastAsia="en-US" w:bidi="ar-SA"/>
      </w:rPr>
    </w:lvl>
    <w:lvl w:ilvl="4" w:tplc="E7543202">
      <w:numFmt w:val="bullet"/>
      <w:lvlText w:val="•"/>
      <w:lvlJc w:val="left"/>
      <w:pPr>
        <w:ind w:left="1228" w:hanging="284"/>
      </w:pPr>
      <w:rPr>
        <w:rFonts w:hint="default"/>
        <w:lang w:val="en-US" w:eastAsia="en-US" w:bidi="ar-SA"/>
      </w:rPr>
    </w:lvl>
    <w:lvl w:ilvl="5" w:tplc="0596BEE4">
      <w:numFmt w:val="bullet"/>
      <w:lvlText w:val="•"/>
      <w:lvlJc w:val="left"/>
      <w:pPr>
        <w:ind w:left="1425" w:hanging="284"/>
      </w:pPr>
      <w:rPr>
        <w:rFonts w:hint="default"/>
        <w:lang w:val="en-US" w:eastAsia="en-US" w:bidi="ar-SA"/>
      </w:rPr>
    </w:lvl>
    <w:lvl w:ilvl="6" w:tplc="E96C8862">
      <w:numFmt w:val="bullet"/>
      <w:lvlText w:val="•"/>
      <w:lvlJc w:val="left"/>
      <w:pPr>
        <w:ind w:left="1622" w:hanging="284"/>
      </w:pPr>
      <w:rPr>
        <w:rFonts w:hint="default"/>
        <w:lang w:val="en-US" w:eastAsia="en-US" w:bidi="ar-SA"/>
      </w:rPr>
    </w:lvl>
    <w:lvl w:ilvl="7" w:tplc="8C681A82">
      <w:numFmt w:val="bullet"/>
      <w:lvlText w:val="•"/>
      <w:lvlJc w:val="left"/>
      <w:pPr>
        <w:ind w:left="1819" w:hanging="284"/>
      </w:pPr>
      <w:rPr>
        <w:rFonts w:hint="default"/>
        <w:lang w:val="en-US" w:eastAsia="en-US" w:bidi="ar-SA"/>
      </w:rPr>
    </w:lvl>
    <w:lvl w:ilvl="8" w:tplc="325A30EC">
      <w:numFmt w:val="bullet"/>
      <w:lvlText w:val="•"/>
      <w:lvlJc w:val="left"/>
      <w:pPr>
        <w:ind w:left="2016" w:hanging="284"/>
      </w:pPr>
      <w:rPr>
        <w:rFonts w:hint="default"/>
        <w:lang w:val="en-US" w:eastAsia="en-US" w:bidi="ar-SA"/>
      </w:rPr>
    </w:lvl>
  </w:abstractNum>
  <w:abstractNum w:abstractNumId="429" w15:restartNumberingAfterBreak="0">
    <w:nsid w:val="71424EC6"/>
    <w:multiLevelType w:val="hybridMultilevel"/>
    <w:tmpl w:val="9DB244EE"/>
    <w:lvl w:ilvl="0" w:tplc="BED0DAF2">
      <w:numFmt w:val="bullet"/>
      <w:lvlText w:val=""/>
      <w:lvlJc w:val="left"/>
      <w:pPr>
        <w:ind w:left="391" w:hanging="284"/>
      </w:pPr>
      <w:rPr>
        <w:rFonts w:ascii="Symbol" w:eastAsia="Symbol" w:hAnsi="Symbol" w:cs="Symbol" w:hint="default"/>
        <w:b w:val="0"/>
        <w:bCs w:val="0"/>
        <w:i w:val="0"/>
        <w:iCs w:val="0"/>
        <w:color w:val="70004A"/>
        <w:spacing w:val="0"/>
        <w:w w:val="100"/>
        <w:sz w:val="18"/>
        <w:szCs w:val="18"/>
        <w:lang w:val="en-US" w:eastAsia="en-US" w:bidi="ar-SA"/>
      </w:rPr>
    </w:lvl>
    <w:lvl w:ilvl="1" w:tplc="25C09054">
      <w:numFmt w:val="bullet"/>
      <w:lvlText w:val="•"/>
      <w:lvlJc w:val="left"/>
      <w:pPr>
        <w:ind w:left="712" w:hanging="284"/>
      </w:pPr>
      <w:rPr>
        <w:rFonts w:hint="default"/>
        <w:lang w:val="en-US" w:eastAsia="en-US" w:bidi="ar-SA"/>
      </w:rPr>
    </w:lvl>
    <w:lvl w:ilvl="2" w:tplc="5E4A90F6">
      <w:numFmt w:val="bullet"/>
      <w:lvlText w:val="•"/>
      <w:lvlJc w:val="left"/>
      <w:pPr>
        <w:ind w:left="1024" w:hanging="284"/>
      </w:pPr>
      <w:rPr>
        <w:rFonts w:hint="default"/>
        <w:lang w:val="en-US" w:eastAsia="en-US" w:bidi="ar-SA"/>
      </w:rPr>
    </w:lvl>
    <w:lvl w:ilvl="3" w:tplc="A46EA686">
      <w:numFmt w:val="bullet"/>
      <w:lvlText w:val="•"/>
      <w:lvlJc w:val="left"/>
      <w:pPr>
        <w:ind w:left="1336" w:hanging="284"/>
      </w:pPr>
      <w:rPr>
        <w:rFonts w:hint="default"/>
        <w:lang w:val="en-US" w:eastAsia="en-US" w:bidi="ar-SA"/>
      </w:rPr>
    </w:lvl>
    <w:lvl w:ilvl="4" w:tplc="F24A95BC">
      <w:numFmt w:val="bullet"/>
      <w:lvlText w:val="•"/>
      <w:lvlJc w:val="left"/>
      <w:pPr>
        <w:ind w:left="1649" w:hanging="284"/>
      </w:pPr>
      <w:rPr>
        <w:rFonts w:hint="default"/>
        <w:lang w:val="en-US" w:eastAsia="en-US" w:bidi="ar-SA"/>
      </w:rPr>
    </w:lvl>
    <w:lvl w:ilvl="5" w:tplc="C6C05B24">
      <w:numFmt w:val="bullet"/>
      <w:lvlText w:val="•"/>
      <w:lvlJc w:val="left"/>
      <w:pPr>
        <w:ind w:left="1961" w:hanging="284"/>
      </w:pPr>
      <w:rPr>
        <w:rFonts w:hint="default"/>
        <w:lang w:val="en-US" w:eastAsia="en-US" w:bidi="ar-SA"/>
      </w:rPr>
    </w:lvl>
    <w:lvl w:ilvl="6" w:tplc="F78EB298">
      <w:numFmt w:val="bullet"/>
      <w:lvlText w:val="•"/>
      <w:lvlJc w:val="left"/>
      <w:pPr>
        <w:ind w:left="2273" w:hanging="284"/>
      </w:pPr>
      <w:rPr>
        <w:rFonts w:hint="default"/>
        <w:lang w:val="en-US" w:eastAsia="en-US" w:bidi="ar-SA"/>
      </w:rPr>
    </w:lvl>
    <w:lvl w:ilvl="7" w:tplc="FCB08C72">
      <w:numFmt w:val="bullet"/>
      <w:lvlText w:val="•"/>
      <w:lvlJc w:val="left"/>
      <w:pPr>
        <w:ind w:left="2586" w:hanging="284"/>
      </w:pPr>
      <w:rPr>
        <w:rFonts w:hint="default"/>
        <w:lang w:val="en-US" w:eastAsia="en-US" w:bidi="ar-SA"/>
      </w:rPr>
    </w:lvl>
    <w:lvl w:ilvl="8" w:tplc="88D015E0">
      <w:numFmt w:val="bullet"/>
      <w:lvlText w:val="•"/>
      <w:lvlJc w:val="left"/>
      <w:pPr>
        <w:ind w:left="2898" w:hanging="284"/>
      </w:pPr>
      <w:rPr>
        <w:rFonts w:hint="default"/>
        <w:lang w:val="en-US" w:eastAsia="en-US" w:bidi="ar-SA"/>
      </w:rPr>
    </w:lvl>
  </w:abstractNum>
  <w:abstractNum w:abstractNumId="430" w15:restartNumberingAfterBreak="0">
    <w:nsid w:val="71855718"/>
    <w:multiLevelType w:val="hybridMultilevel"/>
    <w:tmpl w:val="E410E59C"/>
    <w:lvl w:ilvl="0" w:tplc="206AFBAE">
      <w:numFmt w:val="bullet"/>
      <w:lvlText w:val=""/>
      <w:lvlJc w:val="left"/>
      <w:pPr>
        <w:ind w:left="426" w:hanging="284"/>
      </w:pPr>
      <w:rPr>
        <w:rFonts w:ascii="Symbol" w:eastAsia="Symbol" w:hAnsi="Symbol" w:cs="Symbol" w:hint="default"/>
        <w:b w:val="0"/>
        <w:bCs w:val="0"/>
        <w:i w:val="0"/>
        <w:iCs w:val="0"/>
        <w:color w:val="70004A"/>
        <w:spacing w:val="0"/>
        <w:w w:val="100"/>
        <w:sz w:val="18"/>
        <w:szCs w:val="18"/>
        <w:lang w:val="en-US" w:eastAsia="en-US" w:bidi="ar-SA"/>
      </w:rPr>
    </w:lvl>
    <w:lvl w:ilvl="1" w:tplc="E86C1A5A">
      <w:numFmt w:val="bullet"/>
      <w:lvlText w:val="•"/>
      <w:lvlJc w:val="left"/>
      <w:pPr>
        <w:ind w:left="617" w:hanging="284"/>
      </w:pPr>
      <w:rPr>
        <w:rFonts w:hint="default"/>
        <w:lang w:val="en-US" w:eastAsia="en-US" w:bidi="ar-SA"/>
      </w:rPr>
    </w:lvl>
    <w:lvl w:ilvl="2" w:tplc="5E94EBA6">
      <w:numFmt w:val="bullet"/>
      <w:lvlText w:val="•"/>
      <w:lvlJc w:val="left"/>
      <w:pPr>
        <w:ind w:left="815" w:hanging="284"/>
      </w:pPr>
      <w:rPr>
        <w:rFonts w:hint="default"/>
        <w:lang w:val="en-US" w:eastAsia="en-US" w:bidi="ar-SA"/>
      </w:rPr>
    </w:lvl>
    <w:lvl w:ilvl="3" w:tplc="BE6CBAF4">
      <w:numFmt w:val="bullet"/>
      <w:lvlText w:val="•"/>
      <w:lvlJc w:val="left"/>
      <w:pPr>
        <w:ind w:left="1012" w:hanging="284"/>
      </w:pPr>
      <w:rPr>
        <w:rFonts w:hint="default"/>
        <w:lang w:val="en-US" w:eastAsia="en-US" w:bidi="ar-SA"/>
      </w:rPr>
    </w:lvl>
    <w:lvl w:ilvl="4" w:tplc="C5AA7DCA">
      <w:numFmt w:val="bullet"/>
      <w:lvlText w:val="•"/>
      <w:lvlJc w:val="left"/>
      <w:pPr>
        <w:ind w:left="1210" w:hanging="284"/>
      </w:pPr>
      <w:rPr>
        <w:rFonts w:hint="default"/>
        <w:lang w:val="en-US" w:eastAsia="en-US" w:bidi="ar-SA"/>
      </w:rPr>
    </w:lvl>
    <w:lvl w:ilvl="5" w:tplc="477CB0DE">
      <w:numFmt w:val="bullet"/>
      <w:lvlText w:val="•"/>
      <w:lvlJc w:val="left"/>
      <w:pPr>
        <w:ind w:left="1408" w:hanging="284"/>
      </w:pPr>
      <w:rPr>
        <w:rFonts w:hint="default"/>
        <w:lang w:val="en-US" w:eastAsia="en-US" w:bidi="ar-SA"/>
      </w:rPr>
    </w:lvl>
    <w:lvl w:ilvl="6" w:tplc="A9F814BA">
      <w:numFmt w:val="bullet"/>
      <w:lvlText w:val="•"/>
      <w:lvlJc w:val="left"/>
      <w:pPr>
        <w:ind w:left="1605" w:hanging="284"/>
      </w:pPr>
      <w:rPr>
        <w:rFonts w:hint="default"/>
        <w:lang w:val="en-US" w:eastAsia="en-US" w:bidi="ar-SA"/>
      </w:rPr>
    </w:lvl>
    <w:lvl w:ilvl="7" w:tplc="7BC81478">
      <w:numFmt w:val="bullet"/>
      <w:lvlText w:val="•"/>
      <w:lvlJc w:val="left"/>
      <w:pPr>
        <w:ind w:left="1803" w:hanging="284"/>
      </w:pPr>
      <w:rPr>
        <w:rFonts w:hint="default"/>
        <w:lang w:val="en-US" w:eastAsia="en-US" w:bidi="ar-SA"/>
      </w:rPr>
    </w:lvl>
    <w:lvl w:ilvl="8" w:tplc="B3F2E610">
      <w:numFmt w:val="bullet"/>
      <w:lvlText w:val="•"/>
      <w:lvlJc w:val="left"/>
      <w:pPr>
        <w:ind w:left="2000" w:hanging="284"/>
      </w:pPr>
      <w:rPr>
        <w:rFonts w:hint="default"/>
        <w:lang w:val="en-US" w:eastAsia="en-US" w:bidi="ar-SA"/>
      </w:rPr>
    </w:lvl>
  </w:abstractNum>
  <w:abstractNum w:abstractNumId="431" w15:restartNumberingAfterBreak="0">
    <w:nsid w:val="71936F00"/>
    <w:multiLevelType w:val="hybridMultilevel"/>
    <w:tmpl w:val="391EA5C0"/>
    <w:lvl w:ilvl="0" w:tplc="2BAA781A">
      <w:numFmt w:val="bullet"/>
      <w:lvlText w:val=""/>
      <w:lvlJc w:val="left"/>
      <w:pPr>
        <w:ind w:left="462" w:hanging="284"/>
      </w:pPr>
      <w:rPr>
        <w:rFonts w:ascii="Symbol" w:eastAsia="Symbol" w:hAnsi="Symbol" w:cs="Symbol" w:hint="default"/>
        <w:b w:val="0"/>
        <w:bCs w:val="0"/>
        <w:i w:val="0"/>
        <w:iCs w:val="0"/>
        <w:color w:val="70004A"/>
        <w:spacing w:val="0"/>
        <w:w w:val="100"/>
        <w:sz w:val="18"/>
        <w:szCs w:val="18"/>
        <w:lang w:val="en-US" w:eastAsia="en-US" w:bidi="ar-SA"/>
      </w:rPr>
    </w:lvl>
    <w:lvl w:ilvl="1" w:tplc="04B04434">
      <w:numFmt w:val="bullet"/>
      <w:lvlText w:val="•"/>
      <w:lvlJc w:val="left"/>
      <w:pPr>
        <w:ind w:left="694" w:hanging="284"/>
      </w:pPr>
      <w:rPr>
        <w:rFonts w:hint="default"/>
        <w:lang w:val="en-US" w:eastAsia="en-US" w:bidi="ar-SA"/>
      </w:rPr>
    </w:lvl>
    <w:lvl w:ilvl="2" w:tplc="14462C06">
      <w:numFmt w:val="bullet"/>
      <w:lvlText w:val="•"/>
      <w:lvlJc w:val="left"/>
      <w:pPr>
        <w:ind w:left="929" w:hanging="284"/>
      </w:pPr>
      <w:rPr>
        <w:rFonts w:hint="default"/>
        <w:lang w:val="en-US" w:eastAsia="en-US" w:bidi="ar-SA"/>
      </w:rPr>
    </w:lvl>
    <w:lvl w:ilvl="3" w:tplc="711CD73C">
      <w:numFmt w:val="bullet"/>
      <w:lvlText w:val="•"/>
      <w:lvlJc w:val="left"/>
      <w:pPr>
        <w:ind w:left="1164" w:hanging="284"/>
      </w:pPr>
      <w:rPr>
        <w:rFonts w:hint="default"/>
        <w:lang w:val="en-US" w:eastAsia="en-US" w:bidi="ar-SA"/>
      </w:rPr>
    </w:lvl>
    <w:lvl w:ilvl="4" w:tplc="C90E9FB8">
      <w:numFmt w:val="bullet"/>
      <w:lvlText w:val="•"/>
      <w:lvlJc w:val="left"/>
      <w:pPr>
        <w:ind w:left="1399" w:hanging="284"/>
      </w:pPr>
      <w:rPr>
        <w:rFonts w:hint="default"/>
        <w:lang w:val="en-US" w:eastAsia="en-US" w:bidi="ar-SA"/>
      </w:rPr>
    </w:lvl>
    <w:lvl w:ilvl="5" w:tplc="C5921310">
      <w:numFmt w:val="bullet"/>
      <w:lvlText w:val="•"/>
      <w:lvlJc w:val="left"/>
      <w:pPr>
        <w:ind w:left="1634" w:hanging="284"/>
      </w:pPr>
      <w:rPr>
        <w:rFonts w:hint="default"/>
        <w:lang w:val="en-US" w:eastAsia="en-US" w:bidi="ar-SA"/>
      </w:rPr>
    </w:lvl>
    <w:lvl w:ilvl="6" w:tplc="C7463FFA">
      <w:numFmt w:val="bullet"/>
      <w:lvlText w:val="•"/>
      <w:lvlJc w:val="left"/>
      <w:pPr>
        <w:ind w:left="1868" w:hanging="284"/>
      </w:pPr>
      <w:rPr>
        <w:rFonts w:hint="default"/>
        <w:lang w:val="en-US" w:eastAsia="en-US" w:bidi="ar-SA"/>
      </w:rPr>
    </w:lvl>
    <w:lvl w:ilvl="7" w:tplc="E0F83D00">
      <w:numFmt w:val="bullet"/>
      <w:lvlText w:val="•"/>
      <w:lvlJc w:val="left"/>
      <w:pPr>
        <w:ind w:left="2103" w:hanging="284"/>
      </w:pPr>
      <w:rPr>
        <w:rFonts w:hint="default"/>
        <w:lang w:val="en-US" w:eastAsia="en-US" w:bidi="ar-SA"/>
      </w:rPr>
    </w:lvl>
    <w:lvl w:ilvl="8" w:tplc="81FE8756">
      <w:numFmt w:val="bullet"/>
      <w:lvlText w:val="•"/>
      <w:lvlJc w:val="left"/>
      <w:pPr>
        <w:ind w:left="2338" w:hanging="284"/>
      </w:pPr>
      <w:rPr>
        <w:rFonts w:hint="default"/>
        <w:lang w:val="en-US" w:eastAsia="en-US" w:bidi="ar-SA"/>
      </w:rPr>
    </w:lvl>
  </w:abstractNum>
  <w:abstractNum w:abstractNumId="432" w15:restartNumberingAfterBreak="0">
    <w:nsid w:val="71A22220"/>
    <w:multiLevelType w:val="hybridMultilevel"/>
    <w:tmpl w:val="CDF858C4"/>
    <w:lvl w:ilvl="0" w:tplc="E60E60A8">
      <w:numFmt w:val="bullet"/>
      <w:lvlText w:val=""/>
      <w:lvlJc w:val="left"/>
      <w:pPr>
        <w:ind w:left="455" w:hanging="284"/>
      </w:pPr>
      <w:rPr>
        <w:rFonts w:ascii="Symbol" w:eastAsia="Symbol" w:hAnsi="Symbol" w:cs="Symbol" w:hint="default"/>
        <w:b w:val="0"/>
        <w:bCs w:val="0"/>
        <w:i w:val="0"/>
        <w:iCs w:val="0"/>
        <w:color w:val="70004A"/>
        <w:spacing w:val="0"/>
        <w:w w:val="100"/>
        <w:sz w:val="18"/>
        <w:szCs w:val="18"/>
        <w:lang w:val="en-US" w:eastAsia="en-US" w:bidi="ar-SA"/>
      </w:rPr>
    </w:lvl>
    <w:lvl w:ilvl="1" w:tplc="AA96B4B8">
      <w:numFmt w:val="bullet"/>
      <w:lvlText w:val="•"/>
      <w:lvlJc w:val="left"/>
      <w:pPr>
        <w:ind w:left="727" w:hanging="284"/>
      </w:pPr>
      <w:rPr>
        <w:rFonts w:hint="default"/>
        <w:lang w:val="en-US" w:eastAsia="en-US" w:bidi="ar-SA"/>
      </w:rPr>
    </w:lvl>
    <w:lvl w:ilvl="2" w:tplc="794CEA72">
      <w:numFmt w:val="bullet"/>
      <w:lvlText w:val="•"/>
      <w:lvlJc w:val="left"/>
      <w:pPr>
        <w:ind w:left="994" w:hanging="284"/>
      </w:pPr>
      <w:rPr>
        <w:rFonts w:hint="default"/>
        <w:lang w:val="en-US" w:eastAsia="en-US" w:bidi="ar-SA"/>
      </w:rPr>
    </w:lvl>
    <w:lvl w:ilvl="3" w:tplc="CBDC3A66">
      <w:numFmt w:val="bullet"/>
      <w:lvlText w:val="•"/>
      <w:lvlJc w:val="left"/>
      <w:pPr>
        <w:ind w:left="1261" w:hanging="284"/>
      </w:pPr>
      <w:rPr>
        <w:rFonts w:hint="default"/>
        <w:lang w:val="en-US" w:eastAsia="en-US" w:bidi="ar-SA"/>
      </w:rPr>
    </w:lvl>
    <w:lvl w:ilvl="4" w:tplc="E3B88C80">
      <w:numFmt w:val="bullet"/>
      <w:lvlText w:val="•"/>
      <w:lvlJc w:val="left"/>
      <w:pPr>
        <w:ind w:left="1528" w:hanging="284"/>
      </w:pPr>
      <w:rPr>
        <w:rFonts w:hint="default"/>
        <w:lang w:val="en-US" w:eastAsia="en-US" w:bidi="ar-SA"/>
      </w:rPr>
    </w:lvl>
    <w:lvl w:ilvl="5" w:tplc="76169090">
      <w:numFmt w:val="bullet"/>
      <w:lvlText w:val="•"/>
      <w:lvlJc w:val="left"/>
      <w:pPr>
        <w:ind w:left="1795" w:hanging="284"/>
      </w:pPr>
      <w:rPr>
        <w:rFonts w:hint="default"/>
        <w:lang w:val="en-US" w:eastAsia="en-US" w:bidi="ar-SA"/>
      </w:rPr>
    </w:lvl>
    <w:lvl w:ilvl="6" w:tplc="6F7437F2">
      <w:numFmt w:val="bullet"/>
      <w:lvlText w:val="•"/>
      <w:lvlJc w:val="left"/>
      <w:pPr>
        <w:ind w:left="2062" w:hanging="284"/>
      </w:pPr>
      <w:rPr>
        <w:rFonts w:hint="default"/>
        <w:lang w:val="en-US" w:eastAsia="en-US" w:bidi="ar-SA"/>
      </w:rPr>
    </w:lvl>
    <w:lvl w:ilvl="7" w:tplc="BC3A97F6">
      <w:numFmt w:val="bullet"/>
      <w:lvlText w:val="•"/>
      <w:lvlJc w:val="left"/>
      <w:pPr>
        <w:ind w:left="2329" w:hanging="284"/>
      </w:pPr>
      <w:rPr>
        <w:rFonts w:hint="default"/>
        <w:lang w:val="en-US" w:eastAsia="en-US" w:bidi="ar-SA"/>
      </w:rPr>
    </w:lvl>
    <w:lvl w:ilvl="8" w:tplc="468E0D80">
      <w:numFmt w:val="bullet"/>
      <w:lvlText w:val="•"/>
      <w:lvlJc w:val="left"/>
      <w:pPr>
        <w:ind w:left="2596" w:hanging="284"/>
      </w:pPr>
      <w:rPr>
        <w:rFonts w:hint="default"/>
        <w:lang w:val="en-US" w:eastAsia="en-US" w:bidi="ar-SA"/>
      </w:rPr>
    </w:lvl>
  </w:abstractNum>
  <w:abstractNum w:abstractNumId="433" w15:restartNumberingAfterBreak="0">
    <w:nsid w:val="71B876C6"/>
    <w:multiLevelType w:val="hybridMultilevel"/>
    <w:tmpl w:val="AD701878"/>
    <w:lvl w:ilvl="0" w:tplc="27D0D58E">
      <w:numFmt w:val="bullet"/>
      <w:lvlText w:val=""/>
      <w:lvlJc w:val="left"/>
      <w:pPr>
        <w:ind w:left="483" w:hanging="284"/>
      </w:pPr>
      <w:rPr>
        <w:rFonts w:ascii="Symbol" w:eastAsia="Symbol" w:hAnsi="Symbol" w:cs="Symbol" w:hint="default"/>
        <w:b w:val="0"/>
        <w:bCs w:val="0"/>
        <w:i w:val="0"/>
        <w:iCs w:val="0"/>
        <w:color w:val="70004A"/>
        <w:spacing w:val="0"/>
        <w:w w:val="100"/>
        <w:sz w:val="18"/>
        <w:szCs w:val="18"/>
        <w:lang w:val="en-US" w:eastAsia="en-US" w:bidi="ar-SA"/>
      </w:rPr>
    </w:lvl>
    <w:lvl w:ilvl="1" w:tplc="4EA44A7E">
      <w:numFmt w:val="bullet"/>
      <w:lvlText w:val="•"/>
      <w:lvlJc w:val="left"/>
      <w:pPr>
        <w:ind w:left="748" w:hanging="284"/>
      </w:pPr>
      <w:rPr>
        <w:rFonts w:hint="default"/>
        <w:lang w:val="en-US" w:eastAsia="en-US" w:bidi="ar-SA"/>
      </w:rPr>
    </w:lvl>
    <w:lvl w:ilvl="2" w:tplc="345E4A8A">
      <w:numFmt w:val="bullet"/>
      <w:lvlText w:val="•"/>
      <w:lvlJc w:val="left"/>
      <w:pPr>
        <w:ind w:left="1016" w:hanging="284"/>
      </w:pPr>
      <w:rPr>
        <w:rFonts w:hint="default"/>
        <w:lang w:val="en-US" w:eastAsia="en-US" w:bidi="ar-SA"/>
      </w:rPr>
    </w:lvl>
    <w:lvl w:ilvl="3" w:tplc="F5C08872">
      <w:numFmt w:val="bullet"/>
      <w:lvlText w:val="•"/>
      <w:lvlJc w:val="left"/>
      <w:pPr>
        <w:ind w:left="1284" w:hanging="284"/>
      </w:pPr>
      <w:rPr>
        <w:rFonts w:hint="default"/>
        <w:lang w:val="en-US" w:eastAsia="en-US" w:bidi="ar-SA"/>
      </w:rPr>
    </w:lvl>
    <w:lvl w:ilvl="4" w:tplc="F4445D0E">
      <w:numFmt w:val="bullet"/>
      <w:lvlText w:val="•"/>
      <w:lvlJc w:val="left"/>
      <w:pPr>
        <w:ind w:left="1552" w:hanging="284"/>
      </w:pPr>
      <w:rPr>
        <w:rFonts w:hint="default"/>
        <w:lang w:val="en-US" w:eastAsia="en-US" w:bidi="ar-SA"/>
      </w:rPr>
    </w:lvl>
    <w:lvl w:ilvl="5" w:tplc="75445096">
      <w:numFmt w:val="bullet"/>
      <w:lvlText w:val="•"/>
      <w:lvlJc w:val="left"/>
      <w:pPr>
        <w:ind w:left="1820" w:hanging="284"/>
      </w:pPr>
      <w:rPr>
        <w:rFonts w:hint="default"/>
        <w:lang w:val="en-US" w:eastAsia="en-US" w:bidi="ar-SA"/>
      </w:rPr>
    </w:lvl>
    <w:lvl w:ilvl="6" w:tplc="F9EEE73A">
      <w:numFmt w:val="bullet"/>
      <w:lvlText w:val="•"/>
      <w:lvlJc w:val="left"/>
      <w:pPr>
        <w:ind w:left="2088" w:hanging="284"/>
      </w:pPr>
      <w:rPr>
        <w:rFonts w:hint="default"/>
        <w:lang w:val="en-US" w:eastAsia="en-US" w:bidi="ar-SA"/>
      </w:rPr>
    </w:lvl>
    <w:lvl w:ilvl="7" w:tplc="1F602DF0">
      <w:numFmt w:val="bullet"/>
      <w:lvlText w:val="•"/>
      <w:lvlJc w:val="left"/>
      <w:pPr>
        <w:ind w:left="2356" w:hanging="284"/>
      </w:pPr>
      <w:rPr>
        <w:rFonts w:hint="default"/>
        <w:lang w:val="en-US" w:eastAsia="en-US" w:bidi="ar-SA"/>
      </w:rPr>
    </w:lvl>
    <w:lvl w:ilvl="8" w:tplc="D1BE0F16">
      <w:numFmt w:val="bullet"/>
      <w:lvlText w:val="•"/>
      <w:lvlJc w:val="left"/>
      <w:pPr>
        <w:ind w:left="2624" w:hanging="284"/>
      </w:pPr>
      <w:rPr>
        <w:rFonts w:hint="default"/>
        <w:lang w:val="en-US" w:eastAsia="en-US" w:bidi="ar-SA"/>
      </w:rPr>
    </w:lvl>
  </w:abstractNum>
  <w:abstractNum w:abstractNumId="434" w15:restartNumberingAfterBreak="0">
    <w:nsid w:val="71CD1095"/>
    <w:multiLevelType w:val="hybridMultilevel"/>
    <w:tmpl w:val="93280CC8"/>
    <w:lvl w:ilvl="0" w:tplc="9B7A1BCA">
      <w:numFmt w:val="bullet"/>
      <w:lvlText w:val=""/>
      <w:lvlJc w:val="left"/>
      <w:pPr>
        <w:ind w:left="421" w:hanging="284"/>
      </w:pPr>
      <w:rPr>
        <w:rFonts w:ascii="Symbol" w:eastAsia="Symbol" w:hAnsi="Symbol" w:cs="Symbol" w:hint="default"/>
        <w:b w:val="0"/>
        <w:bCs w:val="0"/>
        <w:i w:val="0"/>
        <w:iCs w:val="0"/>
        <w:color w:val="70004A"/>
        <w:spacing w:val="0"/>
        <w:w w:val="100"/>
        <w:sz w:val="18"/>
        <w:szCs w:val="18"/>
        <w:lang w:val="en-US" w:eastAsia="en-US" w:bidi="ar-SA"/>
      </w:rPr>
    </w:lvl>
    <w:lvl w:ilvl="1" w:tplc="81B6A8BA">
      <w:numFmt w:val="bullet"/>
      <w:lvlText w:val="•"/>
      <w:lvlJc w:val="left"/>
      <w:pPr>
        <w:ind w:left="750" w:hanging="284"/>
      </w:pPr>
      <w:rPr>
        <w:rFonts w:hint="default"/>
        <w:lang w:val="en-US" w:eastAsia="en-US" w:bidi="ar-SA"/>
      </w:rPr>
    </w:lvl>
    <w:lvl w:ilvl="2" w:tplc="6B680D72">
      <w:numFmt w:val="bullet"/>
      <w:lvlText w:val="•"/>
      <w:lvlJc w:val="left"/>
      <w:pPr>
        <w:ind w:left="1080" w:hanging="284"/>
      </w:pPr>
      <w:rPr>
        <w:rFonts w:hint="default"/>
        <w:lang w:val="en-US" w:eastAsia="en-US" w:bidi="ar-SA"/>
      </w:rPr>
    </w:lvl>
    <w:lvl w:ilvl="3" w:tplc="3D74FE9C">
      <w:numFmt w:val="bullet"/>
      <w:lvlText w:val="•"/>
      <w:lvlJc w:val="left"/>
      <w:pPr>
        <w:ind w:left="1411" w:hanging="284"/>
      </w:pPr>
      <w:rPr>
        <w:rFonts w:hint="default"/>
        <w:lang w:val="en-US" w:eastAsia="en-US" w:bidi="ar-SA"/>
      </w:rPr>
    </w:lvl>
    <w:lvl w:ilvl="4" w:tplc="70B67660">
      <w:numFmt w:val="bullet"/>
      <w:lvlText w:val="•"/>
      <w:lvlJc w:val="left"/>
      <w:pPr>
        <w:ind w:left="1741" w:hanging="284"/>
      </w:pPr>
      <w:rPr>
        <w:rFonts w:hint="default"/>
        <w:lang w:val="en-US" w:eastAsia="en-US" w:bidi="ar-SA"/>
      </w:rPr>
    </w:lvl>
    <w:lvl w:ilvl="5" w:tplc="C380C160">
      <w:numFmt w:val="bullet"/>
      <w:lvlText w:val="•"/>
      <w:lvlJc w:val="left"/>
      <w:pPr>
        <w:ind w:left="2072" w:hanging="284"/>
      </w:pPr>
      <w:rPr>
        <w:rFonts w:hint="default"/>
        <w:lang w:val="en-US" w:eastAsia="en-US" w:bidi="ar-SA"/>
      </w:rPr>
    </w:lvl>
    <w:lvl w:ilvl="6" w:tplc="0AB4E3D4">
      <w:numFmt w:val="bullet"/>
      <w:lvlText w:val="•"/>
      <w:lvlJc w:val="left"/>
      <w:pPr>
        <w:ind w:left="2402" w:hanging="284"/>
      </w:pPr>
      <w:rPr>
        <w:rFonts w:hint="default"/>
        <w:lang w:val="en-US" w:eastAsia="en-US" w:bidi="ar-SA"/>
      </w:rPr>
    </w:lvl>
    <w:lvl w:ilvl="7" w:tplc="CACED382">
      <w:numFmt w:val="bullet"/>
      <w:lvlText w:val="•"/>
      <w:lvlJc w:val="left"/>
      <w:pPr>
        <w:ind w:left="2732" w:hanging="284"/>
      </w:pPr>
      <w:rPr>
        <w:rFonts w:hint="default"/>
        <w:lang w:val="en-US" w:eastAsia="en-US" w:bidi="ar-SA"/>
      </w:rPr>
    </w:lvl>
    <w:lvl w:ilvl="8" w:tplc="B1187F5A">
      <w:numFmt w:val="bullet"/>
      <w:lvlText w:val="•"/>
      <w:lvlJc w:val="left"/>
      <w:pPr>
        <w:ind w:left="3063" w:hanging="284"/>
      </w:pPr>
      <w:rPr>
        <w:rFonts w:hint="default"/>
        <w:lang w:val="en-US" w:eastAsia="en-US" w:bidi="ar-SA"/>
      </w:rPr>
    </w:lvl>
  </w:abstractNum>
  <w:abstractNum w:abstractNumId="435" w15:restartNumberingAfterBreak="0">
    <w:nsid w:val="73821189"/>
    <w:multiLevelType w:val="hybridMultilevel"/>
    <w:tmpl w:val="E6EA3D64"/>
    <w:lvl w:ilvl="0" w:tplc="6F8226E6">
      <w:numFmt w:val="bullet"/>
      <w:lvlText w:val=""/>
      <w:lvlJc w:val="left"/>
      <w:pPr>
        <w:ind w:left="483" w:hanging="284"/>
      </w:pPr>
      <w:rPr>
        <w:rFonts w:ascii="Symbol" w:eastAsia="Symbol" w:hAnsi="Symbol" w:cs="Symbol" w:hint="default"/>
        <w:b w:val="0"/>
        <w:bCs w:val="0"/>
        <w:i w:val="0"/>
        <w:iCs w:val="0"/>
        <w:color w:val="70004A"/>
        <w:spacing w:val="0"/>
        <w:w w:val="100"/>
        <w:sz w:val="18"/>
        <w:szCs w:val="18"/>
        <w:lang w:val="en-US" w:eastAsia="en-US" w:bidi="ar-SA"/>
      </w:rPr>
    </w:lvl>
    <w:lvl w:ilvl="1" w:tplc="CA74420C">
      <w:numFmt w:val="bullet"/>
      <w:lvlText w:val="•"/>
      <w:lvlJc w:val="left"/>
      <w:pPr>
        <w:ind w:left="748" w:hanging="284"/>
      </w:pPr>
      <w:rPr>
        <w:rFonts w:hint="default"/>
        <w:lang w:val="en-US" w:eastAsia="en-US" w:bidi="ar-SA"/>
      </w:rPr>
    </w:lvl>
    <w:lvl w:ilvl="2" w:tplc="17FC8DDA">
      <w:numFmt w:val="bullet"/>
      <w:lvlText w:val="•"/>
      <w:lvlJc w:val="left"/>
      <w:pPr>
        <w:ind w:left="1016" w:hanging="284"/>
      </w:pPr>
      <w:rPr>
        <w:rFonts w:hint="default"/>
        <w:lang w:val="en-US" w:eastAsia="en-US" w:bidi="ar-SA"/>
      </w:rPr>
    </w:lvl>
    <w:lvl w:ilvl="3" w:tplc="72188774">
      <w:numFmt w:val="bullet"/>
      <w:lvlText w:val="•"/>
      <w:lvlJc w:val="left"/>
      <w:pPr>
        <w:ind w:left="1284" w:hanging="284"/>
      </w:pPr>
      <w:rPr>
        <w:rFonts w:hint="default"/>
        <w:lang w:val="en-US" w:eastAsia="en-US" w:bidi="ar-SA"/>
      </w:rPr>
    </w:lvl>
    <w:lvl w:ilvl="4" w:tplc="0B7630B8">
      <w:numFmt w:val="bullet"/>
      <w:lvlText w:val="•"/>
      <w:lvlJc w:val="left"/>
      <w:pPr>
        <w:ind w:left="1552" w:hanging="284"/>
      </w:pPr>
      <w:rPr>
        <w:rFonts w:hint="default"/>
        <w:lang w:val="en-US" w:eastAsia="en-US" w:bidi="ar-SA"/>
      </w:rPr>
    </w:lvl>
    <w:lvl w:ilvl="5" w:tplc="8E00240E">
      <w:numFmt w:val="bullet"/>
      <w:lvlText w:val="•"/>
      <w:lvlJc w:val="left"/>
      <w:pPr>
        <w:ind w:left="1820" w:hanging="284"/>
      </w:pPr>
      <w:rPr>
        <w:rFonts w:hint="default"/>
        <w:lang w:val="en-US" w:eastAsia="en-US" w:bidi="ar-SA"/>
      </w:rPr>
    </w:lvl>
    <w:lvl w:ilvl="6" w:tplc="877E6922">
      <w:numFmt w:val="bullet"/>
      <w:lvlText w:val="•"/>
      <w:lvlJc w:val="left"/>
      <w:pPr>
        <w:ind w:left="2088" w:hanging="284"/>
      </w:pPr>
      <w:rPr>
        <w:rFonts w:hint="default"/>
        <w:lang w:val="en-US" w:eastAsia="en-US" w:bidi="ar-SA"/>
      </w:rPr>
    </w:lvl>
    <w:lvl w:ilvl="7" w:tplc="B34874A8">
      <w:numFmt w:val="bullet"/>
      <w:lvlText w:val="•"/>
      <w:lvlJc w:val="left"/>
      <w:pPr>
        <w:ind w:left="2356" w:hanging="284"/>
      </w:pPr>
      <w:rPr>
        <w:rFonts w:hint="default"/>
        <w:lang w:val="en-US" w:eastAsia="en-US" w:bidi="ar-SA"/>
      </w:rPr>
    </w:lvl>
    <w:lvl w:ilvl="8" w:tplc="D562C29A">
      <w:numFmt w:val="bullet"/>
      <w:lvlText w:val="•"/>
      <w:lvlJc w:val="left"/>
      <w:pPr>
        <w:ind w:left="2624" w:hanging="284"/>
      </w:pPr>
      <w:rPr>
        <w:rFonts w:hint="default"/>
        <w:lang w:val="en-US" w:eastAsia="en-US" w:bidi="ar-SA"/>
      </w:rPr>
    </w:lvl>
  </w:abstractNum>
  <w:abstractNum w:abstractNumId="436" w15:restartNumberingAfterBreak="0">
    <w:nsid w:val="73AC706C"/>
    <w:multiLevelType w:val="hybridMultilevel"/>
    <w:tmpl w:val="532AE162"/>
    <w:lvl w:ilvl="0" w:tplc="00FE55DE">
      <w:numFmt w:val="bullet"/>
      <w:lvlText w:val=""/>
      <w:lvlJc w:val="left"/>
      <w:pPr>
        <w:ind w:left="429" w:hanging="284"/>
      </w:pPr>
      <w:rPr>
        <w:rFonts w:ascii="Symbol" w:eastAsia="Symbol" w:hAnsi="Symbol" w:cs="Symbol" w:hint="default"/>
        <w:b w:val="0"/>
        <w:bCs w:val="0"/>
        <w:i w:val="0"/>
        <w:iCs w:val="0"/>
        <w:color w:val="70004A"/>
        <w:spacing w:val="0"/>
        <w:w w:val="100"/>
        <w:sz w:val="18"/>
        <w:szCs w:val="18"/>
        <w:lang w:val="en-US" w:eastAsia="en-US" w:bidi="ar-SA"/>
      </w:rPr>
    </w:lvl>
    <w:lvl w:ilvl="1" w:tplc="89EA7978">
      <w:numFmt w:val="bullet"/>
      <w:lvlText w:val="•"/>
      <w:lvlJc w:val="left"/>
      <w:pPr>
        <w:ind w:left="607" w:hanging="284"/>
      </w:pPr>
      <w:rPr>
        <w:rFonts w:hint="default"/>
        <w:lang w:val="en-US" w:eastAsia="en-US" w:bidi="ar-SA"/>
      </w:rPr>
    </w:lvl>
    <w:lvl w:ilvl="2" w:tplc="93582CE2">
      <w:numFmt w:val="bullet"/>
      <w:lvlText w:val="•"/>
      <w:lvlJc w:val="left"/>
      <w:pPr>
        <w:ind w:left="794" w:hanging="284"/>
      </w:pPr>
      <w:rPr>
        <w:rFonts w:hint="default"/>
        <w:lang w:val="en-US" w:eastAsia="en-US" w:bidi="ar-SA"/>
      </w:rPr>
    </w:lvl>
    <w:lvl w:ilvl="3" w:tplc="30162EA0">
      <w:numFmt w:val="bullet"/>
      <w:lvlText w:val="•"/>
      <w:lvlJc w:val="left"/>
      <w:pPr>
        <w:ind w:left="981" w:hanging="284"/>
      </w:pPr>
      <w:rPr>
        <w:rFonts w:hint="default"/>
        <w:lang w:val="en-US" w:eastAsia="en-US" w:bidi="ar-SA"/>
      </w:rPr>
    </w:lvl>
    <w:lvl w:ilvl="4" w:tplc="136ED90E">
      <w:numFmt w:val="bullet"/>
      <w:lvlText w:val="•"/>
      <w:lvlJc w:val="left"/>
      <w:pPr>
        <w:ind w:left="1168" w:hanging="284"/>
      </w:pPr>
      <w:rPr>
        <w:rFonts w:hint="default"/>
        <w:lang w:val="en-US" w:eastAsia="en-US" w:bidi="ar-SA"/>
      </w:rPr>
    </w:lvl>
    <w:lvl w:ilvl="5" w:tplc="929AC738">
      <w:numFmt w:val="bullet"/>
      <w:lvlText w:val="•"/>
      <w:lvlJc w:val="left"/>
      <w:pPr>
        <w:ind w:left="1355" w:hanging="284"/>
      </w:pPr>
      <w:rPr>
        <w:rFonts w:hint="default"/>
        <w:lang w:val="en-US" w:eastAsia="en-US" w:bidi="ar-SA"/>
      </w:rPr>
    </w:lvl>
    <w:lvl w:ilvl="6" w:tplc="3E1C1446">
      <w:numFmt w:val="bullet"/>
      <w:lvlText w:val="•"/>
      <w:lvlJc w:val="left"/>
      <w:pPr>
        <w:ind w:left="1542" w:hanging="284"/>
      </w:pPr>
      <w:rPr>
        <w:rFonts w:hint="default"/>
        <w:lang w:val="en-US" w:eastAsia="en-US" w:bidi="ar-SA"/>
      </w:rPr>
    </w:lvl>
    <w:lvl w:ilvl="7" w:tplc="22A8EF1A">
      <w:numFmt w:val="bullet"/>
      <w:lvlText w:val="•"/>
      <w:lvlJc w:val="left"/>
      <w:pPr>
        <w:ind w:left="1729" w:hanging="284"/>
      </w:pPr>
      <w:rPr>
        <w:rFonts w:hint="default"/>
        <w:lang w:val="en-US" w:eastAsia="en-US" w:bidi="ar-SA"/>
      </w:rPr>
    </w:lvl>
    <w:lvl w:ilvl="8" w:tplc="7DF80FCE">
      <w:numFmt w:val="bullet"/>
      <w:lvlText w:val="•"/>
      <w:lvlJc w:val="left"/>
      <w:pPr>
        <w:ind w:left="1916" w:hanging="284"/>
      </w:pPr>
      <w:rPr>
        <w:rFonts w:hint="default"/>
        <w:lang w:val="en-US" w:eastAsia="en-US" w:bidi="ar-SA"/>
      </w:rPr>
    </w:lvl>
  </w:abstractNum>
  <w:abstractNum w:abstractNumId="437" w15:restartNumberingAfterBreak="0">
    <w:nsid w:val="73D345E6"/>
    <w:multiLevelType w:val="hybridMultilevel"/>
    <w:tmpl w:val="91EC7C6C"/>
    <w:lvl w:ilvl="0" w:tplc="9DC4F08A">
      <w:numFmt w:val="bullet"/>
      <w:lvlText w:val=""/>
      <w:lvlJc w:val="left"/>
      <w:pPr>
        <w:ind w:left="390" w:hanging="284"/>
      </w:pPr>
      <w:rPr>
        <w:rFonts w:ascii="Symbol" w:eastAsia="Symbol" w:hAnsi="Symbol" w:cs="Symbol" w:hint="default"/>
        <w:b w:val="0"/>
        <w:bCs w:val="0"/>
        <w:i w:val="0"/>
        <w:iCs w:val="0"/>
        <w:color w:val="70004A"/>
        <w:spacing w:val="0"/>
        <w:w w:val="100"/>
        <w:sz w:val="18"/>
        <w:szCs w:val="18"/>
        <w:lang w:val="en-US" w:eastAsia="en-US" w:bidi="ar-SA"/>
      </w:rPr>
    </w:lvl>
    <w:lvl w:ilvl="1" w:tplc="9C98FD36">
      <w:numFmt w:val="bullet"/>
      <w:lvlText w:val="•"/>
      <w:lvlJc w:val="left"/>
      <w:pPr>
        <w:ind w:left="649" w:hanging="284"/>
      </w:pPr>
      <w:rPr>
        <w:rFonts w:hint="default"/>
        <w:lang w:val="en-US" w:eastAsia="en-US" w:bidi="ar-SA"/>
      </w:rPr>
    </w:lvl>
    <w:lvl w:ilvl="2" w:tplc="B96A9556">
      <w:numFmt w:val="bullet"/>
      <w:lvlText w:val="•"/>
      <w:lvlJc w:val="left"/>
      <w:pPr>
        <w:ind w:left="899" w:hanging="284"/>
      </w:pPr>
      <w:rPr>
        <w:rFonts w:hint="default"/>
        <w:lang w:val="en-US" w:eastAsia="en-US" w:bidi="ar-SA"/>
      </w:rPr>
    </w:lvl>
    <w:lvl w:ilvl="3" w:tplc="A984C2DC">
      <w:numFmt w:val="bullet"/>
      <w:lvlText w:val="•"/>
      <w:lvlJc w:val="left"/>
      <w:pPr>
        <w:ind w:left="1149" w:hanging="284"/>
      </w:pPr>
      <w:rPr>
        <w:rFonts w:hint="default"/>
        <w:lang w:val="en-US" w:eastAsia="en-US" w:bidi="ar-SA"/>
      </w:rPr>
    </w:lvl>
    <w:lvl w:ilvl="4" w:tplc="281411E0">
      <w:numFmt w:val="bullet"/>
      <w:lvlText w:val="•"/>
      <w:lvlJc w:val="left"/>
      <w:pPr>
        <w:ind w:left="1398" w:hanging="284"/>
      </w:pPr>
      <w:rPr>
        <w:rFonts w:hint="default"/>
        <w:lang w:val="en-US" w:eastAsia="en-US" w:bidi="ar-SA"/>
      </w:rPr>
    </w:lvl>
    <w:lvl w:ilvl="5" w:tplc="31A887FC">
      <w:numFmt w:val="bullet"/>
      <w:lvlText w:val="•"/>
      <w:lvlJc w:val="left"/>
      <w:pPr>
        <w:ind w:left="1648" w:hanging="284"/>
      </w:pPr>
      <w:rPr>
        <w:rFonts w:hint="default"/>
        <w:lang w:val="en-US" w:eastAsia="en-US" w:bidi="ar-SA"/>
      </w:rPr>
    </w:lvl>
    <w:lvl w:ilvl="6" w:tplc="50C4E538">
      <w:numFmt w:val="bullet"/>
      <w:lvlText w:val="•"/>
      <w:lvlJc w:val="left"/>
      <w:pPr>
        <w:ind w:left="1898" w:hanging="284"/>
      </w:pPr>
      <w:rPr>
        <w:rFonts w:hint="default"/>
        <w:lang w:val="en-US" w:eastAsia="en-US" w:bidi="ar-SA"/>
      </w:rPr>
    </w:lvl>
    <w:lvl w:ilvl="7" w:tplc="25CA232A">
      <w:numFmt w:val="bullet"/>
      <w:lvlText w:val="•"/>
      <w:lvlJc w:val="left"/>
      <w:pPr>
        <w:ind w:left="2147" w:hanging="284"/>
      </w:pPr>
      <w:rPr>
        <w:rFonts w:hint="default"/>
        <w:lang w:val="en-US" w:eastAsia="en-US" w:bidi="ar-SA"/>
      </w:rPr>
    </w:lvl>
    <w:lvl w:ilvl="8" w:tplc="8CA07D74">
      <w:numFmt w:val="bullet"/>
      <w:lvlText w:val="•"/>
      <w:lvlJc w:val="left"/>
      <w:pPr>
        <w:ind w:left="2397" w:hanging="284"/>
      </w:pPr>
      <w:rPr>
        <w:rFonts w:hint="default"/>
        <w:lang w:val="en-US" w:eastAsia="en-US" w:bidi="ar-SA"/>
      </w:rPr>
    </w:lvl>
  </w:abstractNum>
  <w:abstractNum w:abstractNumId="438" w15:restartNumberingAfterBreak="0">
    <w:nsid w:val="73F8301E"/>
    <w:multiLevelType w:val="hybridMultilevel"/>
    <w:tmpl w:val="43DCD8E4"/>
    <w:lvl w:ilvl="0" w:tplc="62C6D7C6">
      <w:start w:val="1"/>
      <w:numFmt w:val="decimal"/>
      <w:lvlText w:val="%1."/>
      <w:lvlJc w:val="left"/>
      <w:pPr>
        <w:ind w:left="578" w:hanging="425"/>
      </w:pPr>
      <w:rPr>
        <w:rFonts w:ascii="Arial" w:eastAsia="Arial" w:hAnsi="Arial" w:cs="Arial" w:hint="default"/>
        <w:b w:val="0"/>
        <w:bCs w:val="0"/>
        <w:i w:val="0"/>
        <w:iCs w:val="0"/>
        <w:color w:val="70004A"/>
        <w:spacing w:val="-1"/>
        <w:w w:val="100"/>
        <w:sz w:val="14"/>
        <w:szCs w:val="14"/>
        <w:lang w:val="en-US" w:eastAsia="en-US" w:bidi="ar-SA"/>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9" w15:restartNumberingAfterBreak="0">
    <w:nsid w:val="74077C4E"/>
    <w:multiLevelType w:val="hybridMultilevel"/>
    <w:tmpl w:val="324299EC"/>
    <w:lvl w:ilvl="0" w:tplc="5D10C114">
      <w:numFmt w:val="bullet"/>
      <w:lvlText w:val=""/>
      <w:lvlJc w:val="left"/>
      <w:pPr>
        <w:ind w:left="460" w:hanging="284"/>
      </w:pPr>
      <w:rPr>
        <w:rFonts w:ascii="Symbol" w:eastAsia="Symbol" w:hAnsi="Symbol" w:cs="Symbol" w:hint="default"/>
        <w:b w:val="0"/>
        <w:bCs w:val="0"/>
        <w:i w:val="0"/>
        <w:iCs w:val="0"/>
        <w:color w:val="70004A"/>
        <w:spacing w:val="0"/>
        <w:w w:val="100"/>
        <w:sz w:val="18"/>
        <w:szCs w:val="18"/>
        <w:lang w:val="en-US" w:eastAsia="en-US" w:bidi="ar-SA"/>
      </w:rPr>
    </w:lvl>
    <w:lvl w:ilvl="1" w:tplc="96525F1E">
      <w:numFmt w:val="bullet"/>
      <w:lvlText w:val="•"/>
      <w:lvlJc w:val="left"/>
      <w:pPr>
        <w:ind w:left="790" w:hanging="284"/>
      </w:pPr>
      <w:rPr>
        <w:rFonts w:hint="default"/>
        <w:lang w:val="en-US" w:eastAsia="en-US" w:bidi="ar-SA"/>
      </w:rPr>
    </w:lvl>
    <w:lvl w:ilvl="2" w:tplc="8BE0A3A0">
      <w:numFmt w:val="bullet"/>
      <w:lvlText w:val="•"/>
      <w:lvlJc w:val="left"/>
      <w:pPr>
        <w:ind w:left="1120" w:hanging="284"/>
      </w:pPr>
      <w:rPr>
        <w:rFonts w:hint="default"/>
        <w:lang w:val="en-US" w:eastAsia="en-US" w:bidi="ar-SA"/>
      </w:rPr>
    </w:lvl>
    <w:lvl w:ilvl="3" w:tplc="CF4C3E36">
      <w:numFmt w:val="bullet"/>
      <w:lvlText w:val="•"/>
      <w:lvlJc w:val="left"/>
      <w:pPr>
        <w:ind w:left="1450" w:hanging="284"/>
      </w:pPr>
      <w:rPr>
        <w:rFonts w:hint="default"/>
        <w:lang w:val="en-US" w:eastAsia="en-US" w:bidi="ar-SA"/>
      </w:rPr>
    </w:lvl>
    <w:lvl w:ilvl="4" w:tplc="1CAC5F30">
      <w:numFmt w:val="bullet"/>
      <w:lvlText w:val="•"/>
      <w:lvlJc w:val="left"/>
      <w:pPr>
        <w:ind w:left="1781" w:hanging="284"/>
      </w:pPr>
      <w:rPr>
        <w:rFonts w:hint="default"/>
        <w:lang w:val="en-US" w:eastAsia="en-US" w:bidi="ar-SA"/>
      </w:rPr>
    </w:lvl>
    <w:lvl w:ilvl="5" w:tplc="1D94FEC4">
      <w:numFmt w:val="bullet"/>
      <w:lvlText w:val="•"/>
      <w:lvlJc w:val="left"/>
      <w:pPr>
        <w:ind w:left="2111" w:hanging="284"/>
      </w:pPr>
      <w:rPr>
        <w:rFonts w:hint="default"/>
        <w:lang w:val="en-US" w:eastAsia="en-US" w:bidi="ar-SA"/>
      </w:rPr>
    </w:lvl>
    <w:lvl w:ilvl="6" w:tplc="5A7A7CE2">
      <w:numFmt w:val="bullet"/>
      <w:lvlText w:val="•"/>
      <w:lvlJc w:val="left"/>
      <w:pPr>
        <w:ind w:left="2441" w:hanging="284"/>
      </w:pPr>
      <w:rPr>
        <w:rFonts w:hint="default"/>
        <w:lang w:val="en-US" w:eastAsia="en-US" w:bidi="ar-SA"/>
      </w:rPr>
    </w:lvl>
    <w:lvl w:ilvl="7" w:tplc="815E7E78">
      <w:numFmt w:val="bullet"/>
      <w:lvlText w:val="•"/>
      <w:lvlJc w:val="left"/>
      <w:pPr>
        <w:ind w:left="2772" w:hanging="284"/>
      </w:pPr>
      <w:rPr>
        <w:rFonts w:hint="default"/>
        <w:lang w:val="en-US" w:eastAsia="en-US" w:bidi="ar-SA"/>
      </w:rPr>
    </w:lvl>
    <w:lvl w:ilvl="8" w:tplc="4D6240C4">
      <w:numFmt w:val="bullet"/>
      <w:lvlText w:val="•"/>
      <w:lvlJc w:val="left"/>
      <w:pPr>
        <w:ind w:left="3102" w:hanging="284"/>
      </w:pPr>
      <w:rPr>
        <w:rFonts w:hint="default"/>
        <w:lang w:val="en-US" w:eastAsia="en-US" w:bidi="ar-SA"/>
      </w:rPr>
    </w:lvl>
  </w:abstractNum>
  <w:abstractNum w:abstractNumId="440" w15:restartNumberingAfterBreak="0">
    <w:nsid w:val="7423233E"/>
    <w:multiLevelType w:val="hybridMultilevel"/>
    <w:tmpl w:val="8EDCFC7A"/>
    <w:lvl w:ilvl="0" w:tplc="6658B768">
      <w:numFmt w:val="bullet"/>
      <w:lvlText w:val=""/>
      <w:lvlJc w:val="left"/>
      <w:pPr>
        <w:ind w:left="360" w:hanging="284"/>
      </w:pPr>
      <w:rPr>
        <w:rFonts w:ascii="Symbol" w:eastAsia="Symbol" w:hAnsi="Symbol" w:cs="Symbol" w:hint="default"/>
        <w:b w:val="0"/>
        <w:bCs w:val="0"/>
        <w:i w:val="0"/>
        <w:iCs w:val="0"/>
        <w:color w:val="70004A"/>
        <w:spacing w:val="0"/>
        <w:w w:val="100"/>
        <w:sz w:val="18"/>
        <w:szCs w:val="18"/>
        <w:lang w:val="en-US" w:eastAsia="en-US" w:bidi="ar-SA"/>
      </w:rPr>
    </w:lvl>
    <w:lvl w:ilvl="1" w:tplc="BCD2759A">
      <w:numFmt w:val="bullet"/>
      <w:lvlText w:val="•"/>
      <w:lvlJc w:val="left"/>
      <w:pPr>
        <w:ind w:left="464" w:hanging="284"/>
      </w:pPr>
      <w:rPr>
        <w:rFonts w:hint="default"/>
        <w:lang w:val="en-US" w:eastAsia="en-US" w:bidi="ar-SA"/>
      </w:rPr>
    </w:lvl>
    <w:lvl w:ilvl="2" w:tplc="0B8E8F10">
      <w:numFmt w:val="bullet"/>
      <w:lvlText w:val="•"/>
      <w:lvlJc w:val="left"/>
      <w:pPr>
        <w:ind w:left="568" w:hanging="284"/>
      </w:pPr>
      <w:rPr>
        <w:rFonts w:hint="default"/>
        <w:lang w:val="en-US" w:eastAsia="en-US" w:bidi="ar-SA"/>
      </w:rPr>
    </w:lvl>
    <w:lvl w:ilvl="3" w:tplc="DE02B256">
      <w:numFmt w:val="bullet"/>
      <w:lvlText w:val="•"/>
      <w:lvlJc w:val="left"/>
      <w:pPr>
        <w:ind w:left="672" w:hanging="284"/>
      </w:pPr>
      <w:rPr>
        <w:rFonts w:hint="default"/>
        <w:lang w:val="en-US" w:eastAsia="en-US" w:bidi="ar-SA"/>
      </w:rPr>
    </w:lvl>
    <w:lvl w:ilvl="4" w:tplc="434C2992">
      <w:numFmt w:val="bullet"/>
      <w:lvlText w:val="•"/>
      <w:lvlJc w:val="left"/>
      <w:pPr>
        <w:ind w:left="777" w:hanging="284"/>
      </w:pPr>
      <w:rPr>
        <w:rFonts w:hint="default"/>
        <w:lang w:val="en-US" w:eastAsia="en-US" w:bidi="ar-SA"/>
      </w:rPr>
    </w:lvl>
    <w:lvl w:ilvl="5" w:tplc="3454F7F4">
      <w:numFmt w:val="bullet"/>
      <w:lvlText w:val="•"/>
      <w:lvlJc w:val="left"/>
      <w:pPr>
        <w:ind w:left="881" w:hanging="284"/>
      </w:pPr>
      <w:rPr>
        <w:rFonts w:hint="default"/>
        <w:lang w:val="en-US" w:eastAsia="en-US" w:bidi="ar-SA"/>
      </w:rPr>
    </w:lvl>
    <w:lvl w:ilvl="6" w:tplc="D9F083FA">
      <w:numFmt w:val="bullet"/>
      <w:lvlText w:val="•"/>
      <w:lvlJc w:val="left"/>
      <w:pPr>
        <w:ind w:left="985" w:hanging="284"/>
      </w:pPr>
      <w:rPr>
        <w:rFonts w:hint="default"/>
        <w:lang w:val="en-US" w:eastAsia="en-US" w:bidi="ar-SA"/>
      </w:rPr>
    </w:lvl>
    <w:lvl w:ilvl="7" w:tplc="9ECC6B52">
      <w:numFmt w:val="bullet"/>
      <w:lvlText w:val="•"/>
      <w:lvlJc w:val="left"/>
      <w:pPr>
        <w:ind w:left="1090" w:hanging="284"/>
      </w:pPr>
      <w:rPr>
        <w:rFonts w:hint="default"/>
        <w:lang w:val="en-US" w:eastAsia="en-US" w:bidi="ar-SA"/>
      </w:rPr>
    </w:lvl>
    <w:lvl w:ilvl="8" w:tplc="9566153E">
      <w:numFmt w:val="bullet"/>
      <w:lvlText w:val="•"/>
      <w:lvlJc w:val="left"/>
      <w:pPr>
        <w:ind w:left="1194" w:hanging="284"/>
      </w:pPr>
      <w:rPr>
        <w:rFonts w:hint="default"/>
        <w:lang w:val="en-US" w:eastAsia="en-US" w:bidi="ar-SA"/>
      </w:rPr>
    </w:lvl>
  </w:abstractNum>
  <w:abstractNum w:abstractNumId="441" w15:restartNumberingAfterBreak="0">
    <w:nsid w:val="74732B2B"/>
    <w:multiLevelType w:val="hybridMultilevel"/>
    <w:tmpl w:val="9456376E"/>
    <w:lvl w:ilvl="0" w:tplc="E5E40592">
      <w:numFmt w:val="bullet"/>
      <w:lvlText w:val=""/>
      <w:lvlJc w:val="left"/>
      <w:pPr>
        <w:ind w:left="391" w:hanging="284"/>
      </w:pPr>
      <w:rPr>
        <w:rFonts w:ascii="Symbol" w:eastAsia="Symbol" w:hAnsi="Symbol" w:cs="Symbol" w:hint="default"/>
        <w:b w:val="0"/>
        <w:bCs w:val="0"/>
        <w:i w:val="0"/>
        <w:iCs w:val="0"/>
        <w:color w:val="70004A"/>
        <w:spacing w:val="0"/>
        <w:w w:val="100"/>
        <w:sz w:val="18"/>
        <w:szCs w:val="18"/>
        <w:lang w:val="en-US" w:eastAsia="en-US" w:bidi="ar-SA"/>
      </w:rPr>
    </w:lvl>
    <w:lvl w:ilvl="1" w:tplc="2B00EC32">
      <w:numFmt w:val="bullet"/>
      <w:lvlText w:val="•"/>
      <w:lvlJc w:val="left"/>
      <w:pPr>
        <w:ind w:left="666" w:hanging="284"/>
      </w:pPr>
      <w:rPr>
        <w:rFonts w:hint="default"/>
        <w:lang w:val="en-US" w:eastAsia="en-US" w:bidi="ar-SA"/>
      </w:rPr>
    </w:lvl>
    <w:lvl w:ilvl="2" w:tplc="E54889BA">
      <w:numFmt w:val="bullet"/>
      <w:lvlText w:val="•"/>
      <w:lvlJc w:val="left"/>
      <w:pPr>
        <w:ind w:left="933" w:hanging="284"/>
      </w:pPr>
      <w:rPr>
        <w:rFonts w:hint="default"/>
        <w:lang w:val="en-US" w:eastAsia="en-US" w:bidi="ar-SA"/>
      </w:rPr>
    </w:lvl>
    <w:lvl w:ilvl="3" w:tplc="04161D42">
      <w:numFmt w:val="bullet"/>
      <w:lvlText w:val="•"/>
      <w:lvlJc w:val="left"/>
      <w:pPr>
        <w:ind w:left="1199" w:hanging="284"/>
      </w:pPr>
      <w:rPr>
        <w:rFonts w:hint="default"/>
        <w:lang w:val="en-US" w:eastAsia="en-US" w:bidi="ar-SA"/>
      </w:rPr>
    </w:lvl>
    <w:lvl w:ilvl="4" w:tplc="DB20E23A">
      <w:numFmt w:val="bullet"/>
      <w:lvlText w:val="•"/>
      <w:lvlJc w:val="left"/>
      <w:pPr>
        <w:ind w:left="1466" w:hanging="284"/>
      </w:pPr>
      <w:rPr>
        <w:rFonts w:hint="default"/>
        <w:lang w:val="en-US" w:eastAsia="en-US" w:bidi="ar-SA"/>
      </w:rPr>
    </w:lvl>
    <w:lvl w:ilvl="5" w:tplc="8D78D416">
      <w:numFmt w:val="bullet"/>
      <w:lvlText w:val="•"/>
      <w:lvlJc w:val="left"/>
      <w:pPr>
        <w:ind w:left="1732" w:hanging="284"/>
      </w:pPr>
      <w:rPr>
        <w:rFonts w:hint="default"/>
        <w:lang w:val="en-US" w:eastAsia="en-US" w:bidi="ar-SA"/>
      </w:rPr>
    </w:lvl>
    <w:lvl w:ilvl="6" w:tplc="1198412C">
      <w:numFmt w:val="bullet"/>
      <w:lvlText w:val="•"/>
      <w:lvlJc w:val="left"/>
      <w:pPr>
        <w:ind w:left="1999" w:hanging="284"/>
      </w:pPr>
      <w:rPr>
        <w:rFonts w:hint="default"/>
        <w:lang w:val="en-US" w:eastAsia="en-US" w:bidi="ar-SA"/>
      </w:rPr>
    </w:lvl>
    <w:lvl w:ilvl="7" w:tplc="AC663CEC">
      <w:numFmt w:val="bullet"/>
      <w:lvlText w:val="•"/>
      <w:lvlJc w:val="left"/>
      <w:pPr>
        <w:ind w:left="2265" w:hanging="284"/>
      </w:pPr>
      <w:rPr>
        <w:rFonts w:hint="default"/>
        <w:lang w:val="en-US" w:eastAsia="en-US" w:bidi="ar-SA"/>
      </w:rPr>
    </w:lvl>
    <w:lvl w:ilvl="8" w:tplc="94947468">
      <w:numFmt w:val="bullet"/>
      <w:lvlText w:val="•"/>
      <w:lvlJc w:val="left"/>
      <w:pPr>
        <w:ind w:left="2532" w:hanging="284"/>
      </w:pPr>
      <w:rPr>
        <w:rFonts w:hint="default"/>
        <w:lang w:val="en-US" w:eastAsia="en-US" w:bidi="ar-SA"/>
      </w:rPr>
    </w:lvl>
  </w:abstractNum>
  <w:abstractNum w:abstractNumId="442" w15:restartNumberingAfterBreak="0">
    <w:nsid w:val="749A7A38"/>
    <w:multiLevelType w:val="hybridMultilevel"/>
    <w:tmpl w:val="09161154"/>
    <w:lvl w:ilvl="0" w:tplc="0D9A3D06">
      <w:numFmt w:val="bullet"/>
      <w:lvlText w:val=""/>
      <w:lvlJc w:val="left"/>
      <w:pPr>
        <w:ind w:left="426" w:hanging="284"/>
      </w:pPr>
      <w:rPr>
        <w:rFonts w:ascii="Symbol" w:eastAsia="Symbol" w:hAnsi="Symbol" w:cs="Symbol" w:hint="default"/>
        <w:b w:val="0"/>
        <w:bCs w:val="0"/>
        <w:i w:val="0"/>
        <w:iCs w:val="0"/>
        <w:color w:val="70004A"/>
        <w:spacing w:val="0"/>
        <w:w w:val="100"/>
        <w:sz w:val="18"/>
        <w:szCs w:val="18"/>
        <w:lang w:val="en-US" w:eastAsia="en-US" w:bidi="ar-SA"/>
      </w:rPr>
    </w:lvl>
    <w:lvl w:ilvl="1" w:tplc="85884CB6">
      <w:numFmt w:val="bullet"/>
      <w:lvlText w:val="•"/>
      <w:lvlJc w:val="left"/>
      <w:pPr>
        <w:ind w:left="617" w:hanging="284"/>
      </w:pPr>
      <w:rPr>
        <w:rFonts w:hint="default"/>
        <w:lang w:val="en-US" w:eastAsia="en-US" w:bidi="ar-SA"/>
      </w:rPr>
    </w:lvl>
    <w:lvl w:ilvl="2" w:tplc="704EBDF8">
      <w:numFmt w:val="bullet"/>
      <w:lvlText w:val="•"/>
      <w:lvlJc w:val="left"/>
      <w:pPr>
        <w:ind w:left="815" w:hanging="284"/>
      </w:pPr>
      <w:rPr>
        <w:rFonts w:hint="default"/>
        <w:lang w:val="en-US" w:eastAsia="en-US" w:bidi="ar-SA"/>
      </w:rPr>
    </w:lvl>
    <w:lvl w:ilvl="3" w:tplc="6930E612">
      <w:numFmt w:val="bullet"/>
      <w:lvlText w:val="•"/>
      <w:lvlJc w:val="left"/>
      <w:pPr>
        <w:ind w:left="1013" w:hanging="284"/>
      </w:pPr>
      <w:rPr>
        <w:rFonts w:hint="default"/>
        <w:lang w:val="en-US" w:eastAsia="en-US" w:bidi="ar-SA"/>
      </w:rPr>
    </w:lvl>
    <w:lvl w:ilvl="4" w:tplc="D0562AE6">
      <w:numFmt w:val="bullet"/>
      <w:lvlText w:val="•"/>
      <w:lvlJc w:val="left"/>
      <w:pPr>
        <w:ind w:left="1210" w:hanging="284"/>
      </w:pPr>
      <w:rPr>
        <w:rFonts w:hint="default"/>
        <w:lang w:val="en-US" w:eastAsia="en-US" w:bidi="ar-SA"/>
      </w:rPr>
    </w:lvl>
    <w:lvl w:ilvl="5" w:tplc="FCD404A2">
      <w:numFmt w:val="bullet"/>
      <w:lvlText w:val="•"/>
      <w:lvlJc w:val="left"/>
      <w:pPr>
        <w:ind w:left="1408" w:hanging="284"/>
      </w:pPr>
      <w:rPr>
        <w:rFonts w:hint="default"/>
        <w:lang w:val="en-US" w:eastAsia="en-US" w:bidi="ar-SA"/>
      </w:rPr>
    </w:lvl>
    <w:lvl w:ilvl="6" w:tplc="34F0371C">
      <w:numFmt w:val="bullet"/>
      <w:lvlText w:val="•"/>
      <w:lvlJc w:val="left"/>
      <w:pPr>
        <w:ind w:left="1606" w:hanging="284"/>
      </w:pPr>
      <w:rPr>
        <w:rFonts w:hint="default"/>
        <w:lang w:val="en-US" w:eastAsia="en-US" w:bidi="ar-SA"/>
      </w:rPr>
    </w:lvl>
    <w:lvl w:ilvl="7" w:tplc="A860EC24">
      <w:numFmt w:val="bullet"/>
      <w:lvlText w:val="•"/>
      <w:lvlJc w:val="left"/>
      <w:pPr>
        <w:ind w:left="1803" w:hanging="284"/>
      </w:pPr>
      <w:rPr>
        <w:rFonts w:hint="default"/>
        <w:lang w:val="en-US" w:eastAsia="en-US" w:bidi="ar-SA"/>
      </w:rPr>
    </w:lvl>
    <w:lvl w:ilvl="8" w:tplc="D354D4F8">
      <w:numFmt w:val="bullet"/>
      <w:lvlText w:val="•"/>
      <w:lvlJc w:val="left"/>
      <w:pPr>
        <w:ind w:left="2001" w:hanging="284"/>
      </w:pPr>
      <w:rPr>
        <w:rFonts w:hint="default"/>
        <w:lang w:val="en-US" w:eastAsia="en-US" w:bidi="ar-SA"/>
      </w:rPr>
    </w:lvl>
  </w:abstractNum>
  <w:abstractNum w:abstractNumId="443" w15:restartNumberingAfterBreak="0">
    <w:nsid w:val="74AC318C"/>
    <w:multiLevelType w:val="hybridMultilevel"/>
    <w:tmpl w:val="0994EFD2"/>
    <w:lvl w:ilvl="0" w:tplc="CAFA8920">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10B2E6F0">
      <w:numFmt w:val="bullet"/>
      <w:lvlText w:val="•"/>
      <w:lvlJc w:val="left"/>
      <w:pPr>
        <w:ind w:left="632" w:hanging="284"/>
      </w:pPr>
      <w:rPr>
        <w:rFonts w:hint="default"/>
        <w:lang w:val="en-US" w:eastAsia="en-US" w:bidi="ar-SA"/>
      </w:rPr>
    </w:lvl>
    <w:lvl w:ilvl="2" w:tplc="0EF2DF5A">
      <w:numFmt w:val="bullet"/>
      <w:lvlText w:val="•"/>
      <w:lvlJc w:val="left"/>
      <w:pPr>
        <w:ind w:left="885" w:hanging="284"/>
      </w:pPr>
      <w:rPr>
        <w:rFonts w:hint="default"/>
        <w:lang w:val="en-US" w:eastAsia="en-US" w:bidi="ar-SA"/>
      </w:rPr>
    </w:lvl>
    <w:lvl w:ilvl="3" w:tplc="02328DDA">
      <w:numFmt w:val="bullet"/>
      <w:lvlText w:val="•"/>
      <w:lvlJc w:val="left"/>
      <w:pPr>
        <w:ind w:left="1137" w:hanging="284"/>
      </w:pPr>
      <w:rPr>
        <w:rFonts w:hint="default"/>
        <w:lang w:val="en-US" w:eastAsia="en-US" w:bidi="ar-SA"/>
      </w:rPr>
    </w:lvl>
    <w:lvl w:ilvl="4" w:tplc="68841E9A">
      <w:numFmt w:val="bullet"/>
      <w:lvlText w:val="•"/>
      <w:lvlJc w:val="left"/>
      <w:pPr>
        <w:ind w:left="1390" w:hanging="284"/>
      </w:pPr>
      <w:rPr>
        <w:rFonts w:hint="default"/>
        <w:lang w:val="en-US" w:eastAsia="en-US" w:bidi="ar-SA"/>
      </w:rPr>
    </w:lvl>
    <w:lvl w:ilvl="5" w:tplc="39AE51F2">
      <w:numFmt w:val="bullet"/>
      <w:lvlText w:val="•"/>
      <w:lvlJc w:val="left"/>
      <w:pPr>
        <w:ind w:left="1643" w:hanging="284"/>
      </w:pPr>
      <w:rPr>
        <w:rFonts w:hint="default"/>
        <w:lang w:val="en-US" w:eastAsia="en-US" w:bidi="ar-SA"/>
      </w:rPr>
    </w:lvl>
    <w:lvl w:ilvl="6" w:tplc="26A26030">
      <w:numFmt w:val="bullet"/>
      <w:lvlText w:val="•"/>
      <w:lvlJc w:val="left"/>
      <w:pPr>
        <w:ind w:left="1895" w:hanging="284"/>
      </w:pPr>
      <w:rPr>
        <w:rFonts w:hint="default"/>
        <w:lang w:val="en-US" w:eastAsia="en-US" w:bidi="ar-SA"/>
      </w:rPr>
    </w:lvl>
    <w:lvl w:ilvl="7" w:tplc="AF8075B6">
      <w:numFmt w:val="bullet"/>
      <w:lvlText w:val="•"/>
      <w:lvlJc w:val="left"/>
      <w:pPr>
        <w:ind w:left="2148" w:hanging="284"/>
      </w:pPr>
      <w:rPr>
        <w:rFonts w:hint="default"/>
        <w:lang w:val="en-US" w:eastAsia="en-US" w:bidi="ar-SA"/>
      </w:rPr>
    </w:lvl>
    <w:lvl w:ilvl="8" w:tplc="33663FE4">
      <w:numFmt w:val="bullet"/>
      <w:lvlText w:val="•"/>
      <w:lvlJc w:val="left"/>
      <w:pPr>
        <w:ind w:left="2400" w:hanging="284"/>
      </w:pPr>
      <w:rPr>
        <w:rFonts w:hint="default"/>
        <w:lang w:val="en-US" w:eastAsia="en-US" w:bidi="ar-SA"/>
      </w:rPr>
    </w:lvl>
  </w:abstractNum>
  <w:abstractNum w:abstractNumId="444" w15:restartNumberingAfterBreak="0">
    <w:nsid w:val="75256D11"/>
    <w:multiLevelType w:val="hybridMultilevel"/>
    <w:tmpl w:val="008A2002"/>
    <w:lvl w:ilvl="0" w:tplc="62224FE8">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F84E5132">
      <w:numFmt w:val="bullet"/>
      <w:lvlText w:val="•"/>
      <w:lvlJc w:val="left"/>
      <w:pPr>
        <w:ind w:left="632" w:hanging="284"/>
      </w:pPr>
      <w:rPr>
        <w:rFonts w:hint="default"/>
        <w:lang w:val="en-US" w:eastAsia="en-US" w:bidi="ar-SA"/>
      </w:rPr>
    </w:lvl>
    <w:lvl w:ilvl="2" w:tplc="4440CCC2">
      <w:numFmt w:val="bullet"/>
      <w:lvlText w:val="•"/>
      <w:lvlJc w:val="left"/>
      <w:pPr>
        <w:ind w:left="885" w:hanging="284"/>
      </w:pPr>
      <w:rPr>
        <w:rFonts w:hint="default"/>
        <w:lang w:val="en-US" w:eastAsia="en-US" w:bidi="ar-SA"/>
      </w:rPr>
    </w:lvl>
    <w:lvl w:ilvl="3" w:tplc="D0B40C1C">
      <w:numFmt w:val="bullet"/>
      <w:lvlText w:val="•"/>
      <w:lvlJc w:val="left"/>
      <w:pPr>
        <w:ind w:left="1138" w:hanging="284"/>
      </w:pPr>
      <w:rPr>
        <w:rFonts w:hint="default"/>
        <w:lang w:val="en-US" w:eastAsia="en-US" w:bidi="ar-SA"/>
      </w:rPr>
    </w:lvl>
    <w:lvl w:ilvl="4" w:tplc="E034AF80">
      <w:numFmt w:val="bullet"/>
      <w:lvlText w:val="•"/>
      <w:lvlJc w:val="left"/>
      <w:pPr>
        <w:ind w:left="1390" w:hanging="284"/>
      </w:pPr>
      <w:rPr>
        <w:rFonts w:hint="default"/>
        <w:lang w:val="en-US" w:eastAsia="en-US" w:bidi="ar-SA"/>
      </w:rPr>
    </w:lvl>
    <w:lvl w:ilvl="5" w:tplc="64081E9C">
      <w:numFmt w:val="bullet"/>
      <w:lvlText w:val="•"/>
      <w:lvlJc w:val="left"/>
      <w:pPr>
        <w:ind w:left="1643" w:hanging="284"/>
      </w:pPr>
      <w:rPr>
        <w:rFonts w:hint="default"/>
        <w:lang w:val="en-US" w:eastAsia="en-US" w:bidi="ar-SA"/>
      </w:rPr>
    </w:lvl>
    <w:lvl w:ilvl="6" w:tplc="BC4EA19A">
      <w:numFmt w:val="bullet"/>
      <w:lvlText w:val="•"/>
      <w:lvlJc w:val="left"/>
      <w:pPr>
        <w:ind w:left="1896" w:hanging="284"/>
      </w:pPr>
      <w:rPr>
        <w:rFonts w:hint="default"/>
        <w:lang w:val="en-US" w:eastAsia="en-US" w:bidi="ar-SA"/>
      </w:rPr>
    </w:lvl>
    <w:lvl w:ilvl="7" w:tplc="3F5AC360">
      <w:numFmt w:val="bullet"/>
      <w:lvlText w:val="•"/>
      <w:lvlJc w:val="left"/>
      <w:pPr>
        <w:ind w:left="2148" w:hanging="284"/>
      </w:pPr>
      <w:rPr>
        <w:rFonts w:hint="default"/>
        <w:lang w:val="en-US" w:eastAsia="en-US" w:bidi="ar-SA"/>
      </w:rPr>
    </w:lvl>
    <w:lvl w:ilvl="8" w:tplc="BB96F276">
      <w:numFmt w:val="bullet"/>
      <w:lvlText w:val="•"/>
      <w:lvlJc w:val="left"/>
      <w:pPr>
        <w:ind w:left="2401" w:hanging="284"/>
      </w:pPr>
      <w:rPr>
        <w:rFonts w:hint="default"/>
        <w:lang w:val="en-US" w:eastAsia="en-US" w:bidi="ar-SA"/>
      </w:rPr>
    </w:lvl>
  </w:abstractNum>
  <w:abstractNum w:abstractNumId="445" w15:restartNumberingAfterBreak="0">
    <w:nsid w:val="757A1E19"/>
    <w:multiLevelType w:val="hybridMultilevel"/>
    <w:tmpl w:val="968270D6"/>
    <w:lvl w:ilvl="0" w:tplc="563EEFFE">
      <w:numFmt w:val="bullet"/>
      <w:lvlText w:val=""/>
      <w:lvlJc w:val="left"/>
      <w:pPr>
        <w:ind w:left="433" w:hanging="284"/>
      </w:pPr>
      <w:rPr>
        <w:rFonts w:ascii="Symbol" w:eastAsia="Symbol" w:hAnsi="Symbol" w:cs="Symbol" w:hint="default"/>
        <w:b w:val="0"/>
        <w:bCs w:val="0"/>
        <w:i w:val="0"/>
        <w:iCs w:val="0"/>
        <w:color w:val="70004A"/>
        <w:spacing w:val="0"/>
        <w:w w:val="100"/>
        <w:sz w:val="18"/>
        <w:szCs w:val="18"/>
        <w:lang w:val="en-US" w:eastAsia="en-US" w:bidi="ar-SA"/>
      </w:rPr>
    </w:lvl>
    <w:lvl w:ilvl="1" w:tplc="69FE9A28">
      <w:numFmt w:val="bullet"/>
      <w:lvlText w:val="•"/>
      <w:lvlJc w:val="left"/>
      <w:pPr>
        <w:ind w:left="632" w:hanging="284"/>
      </w:pPr>
      <w:rPr>
        <w:rFonts w:hint="default"/>
        <w:lang w:val="en-US" w:eastAsia="en-US" w:bidi="ar-SA"/>
      </w:rPr>
    </w:lvl>
    <w:lvl w:ilvl="2" w:tplc="9ADC58A8">
      <w:numFmt w:val="bullet"/>
      <w:lvlText w:val="•"/>
      <w:lvlJc w:val="left"/>
      <w:pPr>
        <w:ind w:left="824" w:hanging="284"/>
      </w:pPr>
      <w:rPr>
        <w:rFonts w:hint="default"/>
        <w:lang w:val="en-US" w:eastAsia="en-US" w:bidi="ar-SA"/>
      </w:rPr>
    </w:lvl>
    <w:lvl w:ilvl="3" w:tplc="C146362E">
      <w:numFmt w:val="bullet"/>
      <w:lvlText w:val="•"/>
      <w:lvlJc w:val="left"/>
      <w:pPr>
        <w:ind w:left="1017" w:hanging="284"/>
      </w:pPr>
      <w:rPr>
        <w:rFonts w:hint="default"/>
        <w:lang w:val="en-US" w:eastAsia="en-US" w:bidi="ar-SA"/>
      </w:rPr>
    </w:lvl>
    <w:lvl w:ilvl="4" w:tplc="087A84C6">
      <w:numFmt w:val="bullet"/>
      <w:lvlText w:val="•"/>
      <w:lvlJc w:val="left"/>
      <w:pPr>
        <w:ind w:left="1209" w:hanging="284"/>
      </w:pPr>
      <w:rPr>
        <w:rFonts w:hint="default"/>
        <w:lang w:val="en-US" w:eastAsia="en-US" w:bidi="ar-SA"/>
      </w:rPr>
    </w:lvl>
    <w:lvl w:ilvl="5" w:tplc="28F228D2">
      <w:numFmt w:val="bullet"/>
      <w:lvlText w:val="•"/>
      <w:lvlJc w:val="left"/>
      <w:pPr>
        <w:ind w:left="1402" w:hanging="284"/>
      </w:pPr>
      <w:rPr>
        <w:rFonts w:hint="default"/>
        <w:lang w:val="en-US" w:eastAsia="en-US" w:bidi="ar-SA"/>
      </w:rPr>
    </w:lvl>
    <w:lvl w:ilvl="6" w:tplc="66761A4E">
      <w:numFmt w:val="bullet"/>
      <w:lvlText w:val="•"/>
      <w:lvlJc w:val="left"/>
      <w:pPr>
        <w:ind w:left="1594" w:hanging="284"/>
      </w:pPr>
      <w:rPr>
        <w:rFonts w:hint="default"/>
        <w:lang w:val="en-US" w:eastAsia="en-US" w:bidi="ar-SA"/>
      </w:rPr>
    </w:lvl>
    <w:lvl w:ilvl="7" w:tplc="6FBE24D0">
      <w:numFmt w:val="bullet"/>
      <w:lvlText w:val="•"/>
      <w:lvlJc w:val="left"/>
      <w:pPr>
        <w:ind w:left="1786" w:hanging="284"/>
      </w:pPr>
      <w:rPr>
        <w:rFonts w:hint="default"/>
        <w:lang w:val="en-US" w:eastAsia="en-US" w:bidi="ar-SA"/>
      </w:rPr>
    </w:lvl>
    <w:lvl w:ilvl="8" w:tplc="A0E4B840">
      <w:numFmt w:val="bullet"/>
      <w:lvlText w:val="•"/>
      <w:lvlJc w:val="left"/>
      <w:pPr>
        <w:ind w:left="1979" w:hanging="284"/>
      </w:pPr>
      <w:rPr>
        <w:rFonts w:hint="default"/>
        <w:lang w:val="en-US" w:eastAsia="en-US" w:bidi="ar-SA"/>
      </w:rPr>
    </w:lvl>
  </w:abstractNum>
  <w:abstractNum w:abstractNumId="446" w15:restartNumberingAfterBreak="0">
    <w:nsid w:val="757D1004"/>
    <w:multiLevelType w:val="hybridMultilevel"/>
    <w:tmpl w:val="2946A61E"/>
    <w:lvl w:ilvl="0" w:tplc="38706C42">
      <w:numFmt w:val="bullet"/>
      <w:lvlText w:val=""/>
      <w:lvlJc w:val="left"/>
      <w:pPr>
        <w:ind w:left="433" w:hanging="284"/>
      </w:pPr>
      <w:rPr>
        <w:rFonts w:ascii="Symbol" w:eastAsia="Symbol" w:hAnsi="Symbol" w:cs="Symbol" w:hint="default"/>
        <w:b w:val="0"/>
        <w:bCs w:val="0"/>
        <w:i w:val="0"/>
        <w:iCs w:val="0"/>
        <w:color w:val="70004A"/>
        <w:spacing w:val="0"/>
        <w:w w:val="100"/>
        <w:sz w:val="18"/>
        <w:szCs w:val="18"/>
        <w:lang w:val="en-US" w:eastAsia="en-US" w:bidi="ar-SA"/>
      </w:rPr>
    </w:lvl>
    <w:lvl w:ilvl="1" w:tplc="95208542">
      <w:numFmt w:val="bullet"/>
      <w:lvlText w:val="•"/>
      <w:lvlJc w:val="left"/>
      <w:pPr>
        <w:ind w:left="602" w:hanging="284"/>
      </w:pPr>
      <w:rPr>
        <w:rFonts w:hint="default"/>
        <w:lang w:val="en-US" w:eastAsia="en-US" w:bidi="ar-SA"/>
      </w:rPr>
    </w:lvl>
    <w:lvl w:ilvl="2" w:tplc="AD5E5E4C">
      <w:numFmt w:val="bullet"/>
      <w:lvlText w:val="•"/>
      <w:lvlJc w:val="left"/>
      <w:pPr>
        <w:ind w:left="764" w:hanging="284"/>
      </w:pPr>
      <w:rPr>
        <w:rFonts w:hint="default"/>
        <w:lang w:val="en-US" w:eastAsia="en-US" w:bidi="ar-SA"/>
      </w:rPr>
    </w:lvl>
    <w:lvl w:ilvl="3" w:tplc="20501422">
      <w:numFmt w:val="bullet"/>
      <w:lvlText w:val="•"/>
      <w:lvlJc w:val="left"/>
      <w:pPr>
        <w:ind w:left="927" w:hanging="284"/>
      </w:pPr>
      <w:rPr>
        <w:rFonts w:hint="default"/>
        <w:lang w:val="en-US" w:eastAsia="en-US" w:bidi="ar-SA"/>
      </w:rPr>
    </w:lvl>
    <w:lvl w:ilvl="4" w:tplc="DCCE48E8">
      <w:numFmt w:val="bullet"/>
      <w:lvlText w:val="•"/>
      <w:lvlJc w:val="left"/>
      <w:pPr>
        <w:ind w:left="1089" w:hanging="284"/>
      </w:pPr>
      <w:rPr>
        <w:rFonts w:hint="default"/>
        <w:lang w:val="en-US" w:eastAsia="en-US" w:bidi="ar-SA"/>
      </w:rPr>
    </w:lvl>
    <w:lvl w:ilvl="5" w:tplc="7E2A851A">
      <w:numFmt w:val="bullet"/>
      <w:lvlText w:val="•"/>
      <w:lvlJc w:val="left"/>
      <w:pPr>
        <w:ind w:left="1252" w:hanging="284"/>
      </w:pPr>
      <w:rPr>
        <w:rFonts w:hint="default"/>
        <w:lang w:val="en-US" w:eastAsia="en-US" w:bidi="ar-SA"/>
      </w:rPr>
    </w:lvl>
    <w:lvl w:ilvl="6" w:tplc="CAF83ADA">
      <w:numFmt w:val="bullet"/>
      <w:lvlText w:val="•"/>
      <w:lvlJc w:val="left"/>
      <w:pPr>
        <w:ind w:left="1414" w:hanging="284"/>
      </w:pPr>
      <w:rPr>
        <w:rFonts w:hint="default"/>
        <w:lang w:val="en-US" w:eastAsia="en-US" w:bidi="ar-SA"/>
      </w:rPr>
    </w:lvl>
    <w:lvl w:ilvl="7" w:tplc="07F46508">
      <w:numFmt w:val="bullet"/>
      <w:lvlText w:val="•"/>
      <w:lvlJc w:val="left"/>
      <w:pPr>
        <w:ind w:left="1576" w:hanging="284"/>
      </w:pPr>
      <w:rPr>
        <w:rFonts w:hint="default"/>
        <w:lang w:val="en-US" w:eastAsia="en-US" w:bidi="ar-SA"/>
      </w:rPr>
    </w:lvl>
    <w:lvl w:ilvl="8" w:tplc="72049B68">
      <w:numFmt w:val="bullet"/>
      <w:lvlText w:val="•"/>
      <w:lvlJc w:val="left"/>
      <w:pPr>
        <w:ind w:left="1739" w:hanging="284"/>
      </w:pPr>
      <w:rPr>
        <w:rFonts w:hint="default"/>
        <w:lang w:val="en-US" w:eastAsia="en-US" w:bidi="ar-SA"/>
      </w:rPr>
    </w:lvl>
  </w:abstractNum>
  <w:abstractNum w:abstractNumId="447" w15:restartNumberingAfterBreak="0">
    <w:nsid w:val="75C26AC3"/>
    <w:multiLevelType w:val="hybridMultilevel"/>
    <w:tmpl w:val="1E68C9D2"/>
    <w:lvl w:ilvl="0" w:tplc="14ECFBD2">
      <w:numFmt w:val="bullet"/>
      <w:lvlText w:val=""/>
      <w:lvlJc w:val="left"/>
      <w:pPr>
        <w:ind w:left="444" w:hanging="284"/>
      </w:pPr>
      <w:rPr>
        <w:rFonts w:ascii="Symbol" w:eastAsia="Symbol" w:hAnsi="Symbol" w:cs="Symbol" w:hint="default"/>
        <w:b w:val="0"/>
        <w:bCs w:val="0"/>
        <w:i w:val="0"/>
        <w:iCs w:val="0"/>
        <w:color w:val="70004A"/>
        <w:spacing w:val="0"/>
        <w:w w:val="100"/>
        <w:sz w:val="18"/>
        <w:szCs w:val="18"/>
        <w:lang w:val="en-US" w:eastAsia="en-US" w:bidi="ar-SA"/>
      </w:rPr>
    </w:lvl>
    <w:lvl w:ilvl="1" w:tplc="5858B740">
      <w:numFmt w:val="bullet"/>
      <w:lvlText w:val="•"/>
      <w:lvlJc w:val="left"/>
      <w:pPr>
        <w:ind w:left="708" w:hanging="284"/>
      </w:pPr>
      <w:rPr>
        <w:rFonts w:hint="default"/>
        <w:lang w:val="en-US" w:eastAsia="en-US" w:bidi="ar-SA"/>
      </w:rPr>
    </w:lvl>
    <w:lvl w:ilvl="2" w:tplc="83388226">
      <w:numFmt w:val="bullet"/>
      <w:lvlText w:val="•"/>
      <w:lvlJc w:val="left"/>
      <w:pPr>
        <w:ind w:left="976" w:hanging="284"/>
      </w:pPr>
      <w:rPr>
        <w:rFonts w:hint="default"/>
        <w:lang w:val="en-US" w:eastAsia="en-US" w:bidi="ar-SA"/>
      </w:rPr>
    </w:lvl>
    <w:lvl w:ilvl="3" w:tplc="72466C08">
      <w:numFmt w:val="bullet"/>
      <w:lvlText w:val="•"/>
      <w:lvlJc w:val="left"/>
      <w:pPr>
        <w:ind w:left="1244" w:hanging="284"/>
      </w:pPr>
      <w:rPr>
        <w:rFonts w:hint="default"/>
        <w:lang w:val="en-US" w:eastAsia="en-US" w:bidi="ar-SA"/>
      </w:rPr>
    </w:lvl>
    <w:lvl w:ilvl="4" w:tplc="EAAA37B8">
      <w:numFmt w:val="bullet"/>
      <w:lvlText w:val="•"/>
      <w:lvlJc w:val="left"/>
      <w:pPr>
        <w:ind w:left="1512" w:hanging="284"/>
      </w:pPr>
      <w:rPr>
        <w:rFonts w:hint="default"/>
        <w:lang w:val="en-US" w:eastAsia="en-US" w:bidi="ar-SA"/>
      </w:rPr>
    </w:lvl>
    <w:lvl w:ilvl="5" w:tplc="FDA8B48C">
      <w:numFmt w:val="bullet"/>
      <w:lvlText w:val="•"/>
      <w:lvlJc w:val="left"/>
      <w:pPr>
        <w:ind w:left="1780" w:hanging="284"/>
      </w:pPr>
      <w:rPr>
        <w:rFonts w:hint="default"/>
        <w:lang w:val="en-US" w:eastAsia="en-US" w:bidi="ar-SA"/>
      </w:rPr>
    </w:lvl>
    <w:lvl w:ilvl="6" w:tplc="E850D618">
      <w:numFmt w:val="bullet"/>
      <w:lvlText w:val="•"/>
      <w:lvlJc w:val="left"/>
      <w:pPr>
        <w:ind w:left="2048" w:hanging="284"/>
      </w:pPr>
      <w:rPr>
        <w:rFonts w:hint="default"/>
        <w:lang w:val="en-US" w:eastAsia="en-US" w:bidi="ar-SA"/>
      </w:rPr>
    </w:lvl>
    <w:lvl w:ilvl="7" w:tplc="FA007540">
      <w:numFmt w:val="bullet"/>
      <w:lvlText w:val="•"/>
      <w:lvlJc w:val="left"/>
      <w:pPr>
        <w:ind w:left="2316" w:hanging="284"/>
      </w:pPr>
      <w:rPr>
        <w:rFonts w:hint="default"/>
        <w:lang w:val="en-US" w:eastAsia="en-US" w:bidi="ar-SA"/>
      </w:rPr>
    </w:lvl>
    <w:lvl w:ilvl="8" w:tplc="B7B29FF4">
      <w:numFmt w:val="bullet"/>
      <w:lvlText w:val="•"/>
      <w:lvlJc w:val="left"/>
      <w:pPr>
        <w:ind w:left="2584" w:hanging="284"/>
      </w:pPr>
      <w:rPr>
        <w:rFonts w:hint="default"/>
        <w:lang w:val="en-US" w:eastAsia="en-US" w:bidi="ar-SA"/>
      </w:rPr>
    </w:lvl>
  </w:abstractNum>
  <w:abstractNum w:abstractNumId="448" w15:restartNumberingAfterBreak="0">
    <w:nsid w:val="763F245B"/>
    <w:multiLevelType w:val="hybridMultilevel"/>
    <w:tmpl w:val="D83AE04A"/>
    <w:lvl w:ilvl="0" w:tplc="33CED02C">
      <w:numFmt w:val="bullet"/>
      <w:lvlText w:val=""/>
      <w:lvlJc w:val="left"/>
      <w:pPr>
        <w:ind w:left="426" w:hanging="284"/>
      </w:pPr>
      <w:rPr>
        <w:rFonts w:ascii="Symbol" w:eastAsia="Symbol" w:hAnsi="Symbol" w:cs="Symbol" w:hint="default"/>
        <w:b w:val="0"/>
        <w:bCs w:val="0"/>
        <w:i w:val="0"/>
        <w:iCs w:val="0"/>
        <w:color w:val="70004A"/>
        <w:spacing w:val="0"/>
        <w:w w:val="100"/>
        <w:sz w:val="18"/>
        <w:szCs w:val="18"/>
        <w:lang w:val="en-US" w:eastAsia="en-US" w:bidi="ar-SA"/>
      </w:rPr>
    </w:lvl>
    <w:lvl w:ilvl="1" w:tplc="CC50A5BC">
      <w:numFmt w:val="bullet"/>
      <w:lvlText w:val="•"/>
      <w:lvlJc w:val="left"/>
      <w:pPr>
        <w:ind w:left="617" w:hanging="284"/>
      </w:pPr>
      <w:rPr>
        <w:rFonts w:hint="default"/>
        <w:lang w:val="en-US" w:eastAsia="en-US" w:bidi="ar-SA"/>
      </w:rPr>
    </w:lvl>
    <w:lvl w:ilvl="2" w:tplc="B12C8E18">
      <w:numFmt w:val="bullet"/>
      <w:lvlText w:val="•"/>
      <w:lvlJc w:val="left"/>
      <w:pPr>
        <w:ind w:left="815" w:hanging="284"/>
      </w:pPr>
      <w:rPr>
        <w:rFonts w:hint="default"/>
        <w:lang w:val="en-US" w:eastAsia="en-US" w:bidi="ar-SA"/>
      </w:rPr>
    </w:lvl>
    <w:lvl w:ilvl="3" w:tplc="C6ECF71E">
      <w:numFmt w:val="bullet"/>
      <w:lvlText w:val="•"/>
      <w:lvlJc w:val="left"/>
      <w:pPr>
        <w:ind w:left="1012" w:hanging="284"/>
      </w:pPr>
      <w:rPr>
        <w:rFonts w:hint="default"/>
        <w:lang w:val="en-US" w:eastAsia="en-US" w:bidi="ar-SA"/>
      </w:rPr>
    </w:lvl>
    <w:lvl w:ilvl="4" w:tplc="F844D776">
      <w:numFmt w:val="bullet"/>
      <w:lvlText w:val="•"/>
      <w:lvlJc w:val="left"/>
      <w:pPr>
        <w:ind w:left="1210" w:hanging="284"/>
      </w:pPr>
      <w:rPr>
        <w:rFonts w:hint="default"/>
        <w:lang w:val="en-US" w:eastAsia="en-US" w:bidi="ar-SA"/>
      </w:rPr>
    </w:lvl>
    <w:lvl w:ilvl="5" w:tplc="8116B486">
      <w:numFmt w:val="bullet"/>
      <w:lvlText w:val="•"/>
      <w:lvlJc w:val="left"/>
      <w:pPr>
        <w:ind w:left="1408" w:hanging="284"/>
      </w:pPr>
      <w:rPr>
        <w:rFonts w:hint="default"/>
        <w:lang w:val="en-US" w:eastAsia="en-US" w:bidi="ar-SA"/>
      </w:rPr>
    </w:lvl>
    <w:lvl w:ilvl="6" w:tplc="2EA4CAB0">
      <w:numFmt w:val="bullet"/>
      <w:lvlText w:val="•"/>
      <w:lvlJc w:val="left"/>
      <w:pPr>
        <w:ind w:left="1605" w:hanging="284"/>
      </w:pPr>
      <w:rPr>
        <w:rFonts w:hint="default"/>
        <w:lang w:val="en-US" w:eastAsia="en-US" w:bidi="ar-SA"/>
      </w:rPr>
    </w:lvl>
    <w:lvl w:ilvl="7" w:tplc="3DF07D5E">
      <w:numFmt w:val="bullet"/>
      <w:lvlText w:val="•"/>
      <w:lvlJc w:val="left"/>
      <w:pPr>
        <w:ind w:left="1803" w:hanging="284"/>
      </w:pPr>
      <w:rPr>
        <w:rFonts w:hint="default"/>
        <w:lang w:val="en-US" w:eastAsia="en-US" w:bidi="ar-SA"/>
      </w:rPr>
    </w:lvl>
    <w:lvl w:ilvl="8" w:tplc="E578DD66">
      <w:numFmt w:val="bullet"/>
      <w:lvlText w:val="•"/>
      <w:lvlJc w:val="left"/>
      <w:pPr>
        <w:ind w:left="2000" w:hanging="284"/>
      </w:pPr>
      <w:rPr>
        <w:rFonts w:hint="default"/>
        <w:lang w:val="en-US" w:eastAsia="en-US" w:bidi="ar-SA"/>
      </w:rPr>
    </w:lvl>
  </w:abstractNum>
  <w:abstractNum w:abstractNumId="449" w15:restartNumberingAfterBreak="0">
    <w:nsid w:val="765268BC"/>
    <w:multiLevelType w:val="multilevel"/>
    <w:tmpl w:val="E2E2AB0A"/>
    <w:lvl w:ilvl="0">
      <w:start w:val="1"/>
      <w:numFmt w:val="decimal"/>
      <w:pStyle w:val="Table-ListNumber"/>
      <w:lvlText w:val="%1."/>
      <w:lvlJc w:val="left"/>
      <w:pPr>
        <w:ind w:left="340" w:hanging="283"/>
      </w:pPr>
      <w:rPr>
        <w:rFonts w:ascii="Arial" w:hAnsi="Arial" w:hint="default"/>
        <w:color w:val="71004B"/>
        <w:sz w:val="18"/>
      </w:rPr>
    </w:lvl>
    <w:lvl w:ilvl="1">
      <w:start w:val="1"/>
      <w:numFmt w:val="lowerLetter"/>
      <w:pStyle w:val="Table-ListNumber2"/>
      <w:lvlText w:val="%2."/>
      <w:lvlJc w:val="left"/>
      <w:pPr>
        <w:ind w:left="624" w:hanging="284"/>
      </w:pPr>
      <w:rPr>
        <w:rFonts w:hint="default"/>
        <w:color w:val="71004B"/>
      </w:rPr>
    </w:lvl>
    <w:lvl w:ilvl="2">
      <w:start w:val="1"/>
      <w:numFmt w:val="lowerLetter"/>
      <w:pStyle w:val="Table-ListAlpha"/>
      <w:lvlText w:val="%3."/>
      <w:lvlJc w:val="left"/>
      <w:pPr>
        <w:ind w:left="340" w:hanging="283"/>
      </w:pPr>
      <w:rPr>
        <w:rFonts w:hint="default"/>
        <w:color w:val="71004B"/>
      </w:rPr>
    </w:lvl>
    <w:lvl w:ilvl="3">
      <w:start w:val="1"/>
      <w:numFmt w:val="upperLetter"/>
      <w:lvlText w:val="%4."/>
      <w:lvlJc w:val="left"/>
      <w:pPr>
        <w:ind w:left="1136" w:hanging="284"/>
      </w:pPr>
      <w:rPr>
        <w:rFonts w:hint="default"/>
        <w:color w:val="71004B"/>
      </w:rPr>
    </w:lvl>
    <w:lvl w:ilvl="4">
      <w:start w:val="1"/>
      <w:numFmt w:val="upperRoman"/>
      <w:lvlText w:val="%5."/>
      <w:lvlJc w:val="left"/>
      <w:pPr>
        <w:ind w:left="1420" w:hanging="284"/>
      </w:pPr>
      <w:rPr>
        <w:rFonts w:hint="default"/>
        <w:color w:val="71004B"/>
      </w:rPr>
    </w:lvl>
    <w:lvl w:ilvl="5">
      <w:start w:val="1"/>
      <w:numFmt w:val="none"/>
      <w:lvlText w:val=""/>
      <w:lvlJc w:val="left"/>
      <w:pPr>
        <w:ind w:left="1704" w:hanging="284"/>
      </w:pPr>
      <w:rPr>
        <w:rFonts w:hint="default"/>
        <w:color w:val="71004B"/>
      </w:rPr>
    </w:lvl>
    <w:lvl w:ilvl="6">
      <w:start w:val="1"/>
      <w:numFmt w:val="none"/>
      <w:lvlText w:val=""/>
      <w:lvlJc w:val="left"/>
      <w:pPr>
        <w:ind w:left="1988" w:hanging="284"/>
      </w:pPr>
      <w:rPr>
        <w:rFonts w:hint="default"/>
        <w:color w:val="5F6369" w:themeColor="text2"/>
      </w:rPr>
    </w:lvl>
    <w:lvl w:ilvl="7">
      <w:start w:val="1"/>
      <w:numFmt w:val="none"/>
      <w:lvlText w:val=""/>
      <w:lvlJc w:val="left"/>
      <w:pPr>
        <w:ind w:left="2272" w:hanging="284"/>
      </w:pPr>
      <w:rPr>
        <w:rFonts w:hint="default"/>
        <w:color w:val="5F6369" w:themeColor="text2"/>
      </w:rPr>
    </w:lvl>
    <w:lvl w:ilvl="8">
      <w:start w:val="1"/>
      <w:numFmt w:val="none"/>
      <w:lvlText w:val=""/>
      <w:lvlJc w:val="left"/>
      <w:pPr>
        <w:ind w:left="2556" w:hanging="284"/>
      </w:pPr>
      <w:rPr>
        <w:rFonts w:hint="default"/>
        <w:color w:val="5F6369" w:themeColor="text2"/>
      </w:rPr>
    </w:lvl>
  </w:abstractNum>
  <w:abstractNum w:abstractNumId="450" w15:restartNumberingAfterBreak="0">
    <w:nsid w:val="76736216"/>
    <w:multiLevelType w:val="hybridMultilevel"/>
    <w:tmpl w:val="44CCDA9E"/>
    <w:lvl w:ilvl="0" w:tplc="72B64352">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F70060AA">
      <w:numFmt w:val="bullet"/>
      <w:lvlText w:val="•"/>
      <w:lvlJc w:val="left"/>
      <w:pPr>
        <w:ind w:left="685" w:hanging="284"/>
      </w:pPr>
      <w:rPr>
        <w:rFonts w:hint="default"/>
        <w:lang w:val="en-US" w:eastAsia="en-US" w:bidi="ar-SA"/>
      </w:rPr>
    </w:lvl>
    <w:lvl w:ilvl="2" w:tplc="E71CC186">
      <w:numFmt w:val="bullet"/>
      <w:lvlText w:val="•"/>
      <w:lvlJc w:val="left"/>
      <w:pPr>
        <w:ind w:left="971" w:hanging="284"/>
      </w:pPr>
      <w:rPr>
        <w:rFonts w:hint="default"/>
        <w:lang w:val="en-US" w:eastAsia="en-US" w:bidi="ar-SA"/>
      </w:rPr>
    </w:lvl>
    <w:lvl w:ilvl="3" w:tplc="EB7EEC36">
      <w:numFmt w:val="bullet"/>
      <w:lvlText w:val="•"/>
      <w:lvlJc w:val="left"/>
      <w:pPr>
        <w:ind w:left="1257" w:hanging="284"/>
      </w:pPr>
      <w:rPr>
        <w:rFonts w:hint="default"/>
        <w:lang w:val="en-US" w:eastAsia="en-US" w:bidi="ar-SA"/>
      </w:rPr>
    </w:lvl>
    <w:lvl w:ilvl="4" w:tplc="76842DEE">
      <w:numFmt w:val="bullet"/>
      <w:lvlText w:val="•"/>
      <w:lvlJc w:val="left"/>
      <w:pPr>
        <w:ind w:left="1542" w:hanging="284"/>
      </w:pPr>
      <w:rPr>
        <w:rFonts w:hint="default"/>
        <w:lang w:val="en-US" w:eastAsia="en-US" w:bidi="ar-SA"/>
      </w:rPr>
    </w:lvl>
    <w:lvl w:ilvl="5" w:tplc="8AEAD0D0">
      <w:numFmt w:val="bullet"/>
      <w:lvlText w:val="•"/>
      <w:lvlJc w:val="left"/>
      <w:pPr>
        <w:ind w:left="1828" w:hanging="284"/>
      </w:pPr>
      <w:rPr>
        <w:rFonts w:hint="default"/>
        <w:lang w:val="en-US" w:eastAsia="en-US" w:bidi="ar-SA"/>
      </w:rPr>
    </w:lvl>
    <w:lvl w:ilvl="6" w:tplc="4742113A">
      <w:numFmt w:val="bullet"/>
      <w:lvlText w:val="•"/>
      <w:lvlJc w:val="left"/>
      <w:pPr>
        <w:ind w:left="2114" w:hanging="284"/>
      </w:pPr>
      <w:rPr>
        <w:rFonts w:hint="default"/>
        <w:lang w:val="en-US" w:eastAsia="en-US" w:bidi="ar-SA"/>
      </w:rPr>
    </w:lvl>
    <w:lvl w:ilvl="7" w:tplc="601ED2BE">
      <w:numFmt w:val="bullet"/>
      <w:lvlText w:val="•"/>
      <w:lvlJc w:val="left"/>
      <w:pPr>
        <w:ind w:left="2399" w:hanging="284"/>
      </w:pPr>
      <w:rPr>
        <w:rFonts w:hint="default"/>
        <w:lang w:val="en-US" w:eastAsia="en-US" w:bidi="ar-SA"/>
      </w:rPr>
    </w:lvl>
    <w:lvl w:ilvl="8" w:tplc="41E2E5C2">
      <w:numFmt w:val="bullet"/>
      <w:lvlText w:val="•"/>
      <w:lvlJc w:val="left"/>
      <w:pPr>
        <w:ind w:left="2685" w:hanging="284"/>
      </w:pPr>
      <w:rPr>
        <w:rFonts w:hint="default"/>
        <w:lang w:val="en-US" w:eastAsia="en-US" w:bidi="ar-SA"/>
      </w:rPr>
    </w:lvl>
  </w:abstractNum>
  <w:abstractNum w:abstractNumId="451" w15:restartNumberingAfterBreak="0">
    <w:nsid w:val="768B00A7"/>
    <w:multiLevelType w:val="hybridMultilevel"/>
    <w:tmpl w:val="81B0C0FA"/>
    <w:lvl w:ilvl="0" w:tplc="E9E0DB20">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1194C604">
      <w:numFmt w:val="bullet"/>
      <w:lvlText w:val="•"/>
      <w:lvlJc w:val="left"/>
      <w:pPr>
        <w:ind w:left="621" w:hanging="284"/>
      </w:pPr>
      <w:rPr>
        <w:rFonts w:hint="default"/>
        <w:lang w:val="en-US" w:eastAsia="en-US" w:bidi="ar-SA"/>
      </w:rPr>
    </w:lvl>
    <w:lvl w:ilvl="2" w:tplc="23560074">
      <w:numFmt w:val="bullet"/>
      <w:lvlText w:val="•"/>
      <w:lvlJc w:val="left"/>
      <w:pPr>
        <w:ind w:left="842" w:hanging="284"/>
      </w:pPr>
      <w:rPr>
        <w:rFonts w:hint="default"/>
        <w:lang w:val="en-US" w:eastAsia="en-US" w:bidi="ar-SA"/>
      </w:rPr>
    </w:lvl>
    <w:lvl w:ilvl="3" w:tplc="A2E0D6C0">
      <w:numFmt w:val="bullet"/>
      <w:lvlText w:val="•"/>
      <w:lvlJc w:val="left"/>
      <w:pPr>
        <w:ind w:left="1064" w:hanging="284"/>
      </w:pPr>
      <w:rPr>
        <w:rFonts w:hint="default"/>
        <w:lang w:val="en-US" w:eastAsia="en-US" w:bidi="ar-SA"/>
      </w:rPr>
    </w:lvl>
    <w:lvl w:ilvl="4" w:tplc="037CF188">
      <w:numFmt w:val="bullet"/>
      <w:lvlText w:val="•"/>
      <w:lvlJc w:val="left"/>
      <w:pPr>
        <w:ind w:left="1285" w:hanging="284"/>
      </w:pPr>
      <w:rPr>
        <w:rFonts w:hint="default"/>
        <w:lang w:val="en-US" w:eastAsia="en-US" w:bidi="ar-SA"/>
      </w:rPr>
    </w:lvl>
    <w:lvl w:ilvl="5" w:tplc="7BA6F8A0">
      <w:numFmt w:val="bullet"/>
      <w:lvlText w:val="•"/>
      <w:lvlJc w:val="left"/>
      <w:pPr>
        <w:ind w:left="1507" w:hanging="284"/>
      </w:pPr>
      <w:rPr>
        <w:rFonts w:hint="default"/>
        <w:lang w:val="en-US" w:eastAsia="en-US" w:bidi="ar-SA"/>
      </w:rPr>
    </w:lvl>
    <w:lvl w:ilvl="6" w:tplc="DBD2AA1E">
      <w:numFmt w:val="bullet"/>
      <w:lvlText w:val="•"/>
      <w:lvlJc w:val="left"/>
      <w:pPr>
        <w:ind w:left="1728" w:hanging="284"/>
      </w:pPr>
      <w:rPr>
        <w:rFonts w:hint="default"/>
        <w:lang w:val="en-US" w:eastAsia="en-US" w:bidi="ar-SA"/>
      </w:rPr>
    </w:lvl>
    <w:lvl w:ilvl="7" w:tplc="C6A8CF46">
      <w:numFmt w:val="bullet"/>
      <w:lvlText w:val="•"/>
      <w:lvlJc w:val="left"/>
      <w:pPr>
        <w:ind w:left="1949" w:hanging="284"/>
      </w:pPr>
      <w:rPr>
        <w:rFonts w:hint="default"/>
        <w:lang w:val="en-US" w:eastAsia="en-US" w:bidi="ar-SA"/>
      </w:rPr>
    </w:lvl>
    <w:lvl w:ilvl="8" w:tplc="5BAC3FEE">
      <w:numFmt w:val="bullet"/>
      <w:lvlText w:val="•"/>
      <w:lvlJc w:val="left"/>
      <w:pPr>
        <w:ind w:left="2171" w:hanging="284"/>
      </w:pPr>
      <w:rPr>
        <w:rFonts w:hint="default"/>
        <w:lang w:val="en-US" w:eastAsia="en-US" w:bidi="ar-SA"/>
      </w:rPr>
    </w:lvl>
  </w:abstractNum>
  <w:abstractNum w:abstractNumId="452" w15:restartNumberingAfterBreak="0">
    <w:nsid w:val="76BF561B"/>
    <w:multiLevelType w:val="hybridMultilevel"/>
    <w:tmpl w:val="0266469A"/>
    <w:lvl w:ilvl="0" w:tplc="1534D804">
      <w:numFmt w:val="bullet"/>
      <w:lvlText w:val=""/>
      <w:lvlJc w:val="left"/>
      <w:pPr>
        <w:ind w:left="481" w:hanging="284"/>
      </w:pPr>
      <w:rPr>
        <w:rFonts w:ascii="Symbol" w:eastAsia="Symbol" w:hAnsi="Symbol" w:cs="Symbol" w:hint="default"/>
        <w:b w:val="0"/>
        <w:bCs w:val="0"/>
        <w:i w:val="0"/>
        <w:iCs w:val="0"/>
        <w:color w:val="70004A"/>
        <w:spacing w:val="0"/>
        <w:w w:val="100"/>
        <w:sz w:val="18"/>
        <w:szCs w:val="18"/>
        <w:lang w:val="en-US" w:eastAsia="en-US" w:bidi="ar-SA"/>
      </w:rPr>
    </w:lvl>
    <w:lvl w:ilvl="1" w:tplc="B4D03F40">
      <w:numFmt w:val="bullet"/>
      <w:lvlText w:val="•"/>
      <w:lvlJc w:val="left"/>
      <w:pPr>
        <w:ind w:left="745" w:hanging="284"/>
      </w:pPr>
      <w:rPr>
        <w:rFonts w:hint="default"/>
        <w:lang w:val="en-US" w:eastAsia="en-US" w:bidi="ar-SA"/>
      </w:rPr>
    </w:lvl>
    <w:lvl w:ilvl="2" w:tplc="CEBCAC8E">
      <w:numFmt w:val="bullet"/>
      <w:lvlText w:val="•"/>
      <w:lvlJc w:val="left"/>
      <w:pPr>
        <w:ind w:left="1010" w:hanging="284"/>
      </w:pPr>
      <w:rPr>
        <w:rFonts w:hint="default"/>
        <w:lang w:val="en-US" w:eastAsia="en-US" w:bidi="ar-SA"/>
      </w:rPr>
    </w:lvl>
    <w:lvl w:ilvl="3" w:tplc="6B2610B6">
      <w:numFmt w:val="bullet"/>
      <w:lvlText w:val="•"/>
      <w:lvlJc w:val="left"/>
      <w:pPr>
        <w:ind w:left="1275" w:hanging="284"/>
      </w:pPr>
      <w:rPr>
        <w:rFonts w:hint="default"/>
        <w:lang w:val="en-US" w:eastAsia="en-US" w:bidi="ar-SA"/>
      </w:rPr>
    </w:lvl>
    <w:lvl w:ilvl="4" w:tplc="94E81E46">
      <w:numFmt w:val="bullet"/>
      <w:lvlText w:val="•"/>
      <w:lvlJc w:val="left"/>
      <w:pPr>
        <w:ind w:left="1540" w:hanging="284"/>
      </w:pPr>
      <w:rPr>
        <w:rFonts w:hint="default"/>
        <w:lang w:val="en-US" w:eastAsia="en-US" w:bidi="ar-SA"/>
      </w:rPr>
    </w:lvl>
    <w:lvl w:ilvl="5" w:tplc="A6989462">
      <w:numFmt w:val="bullet"/>
      <w:lvlText w:val="•"/>
      <w:lvlJc w:val="left"/>
      <w:pPr>
        <w:ind w:left="1805" w:hanging="284"/>
      </w:pPr>
      <w:rPr>
        <w:rFonts w:hint="default"/>
        <w:lang w:val="en-US" w:eastAsia="en-US" w:bidi="ar-SA"/>
      </w:rPr>
    </w:lvl>
    <w:lvl w:ilvl="6" w:tplc="0812E26A">
      <w:numFmt w:val="bullet"/>
      <w:lvlText w:val="•"/>
      <w:lvlJc w:val="left"/>
      <w:pPr>
        <w:ind w:left="2070" w:hanging="284"/>
      </w:pPr>
      <w:rPr>
        <w:rFonts w:hint="default"/>
        <w:lang w:val="en-US" w:eastAsia="en-US" w:bidi="ar-SA"/>
      </w:rPr>
    </w:lvl>
    <w:lvl w:ilvl="7" w:tplc="BBF892F8">
      <w:numFmt w:val="bullet"/>
      <w:lvlText w:val="•"/>
      <w:lvlJc w:val="left"/>
      <w:pPr>
        <w:ind w:left="2335" w:hanging="284"/>
      </w:pPr>
      <w:rPr>
        <w:rFonts w:hint="default"/>
        <w:lang w:val="en-US" w:eastAsia="en-US" w:bidi="ar-SA"/>
      </w:rPr>
    </w:lvl>
    <w:lvl w:ilvl="8" w:tplc="CB2CD3CE">
      <w:numFmt w:val="bullet"/>
      <w:lvlText w:val="•"/>
      <w:lvlJc w:val="left"/>
      <w:pPr>
        <w:ind w:left="2600" w:hanging="284"/>
      </w:pPr>
      <w:rPr>
        <w:rFonts w:hint="default"/>
        <w:lang w:val="en-US" w:eastAsia="en-US" w:bidi="ar-SA"/>
      </w:rPr>
    </w:lvl>
  </w:abstractNum>
  <w:abstractNum w:abstractNumId="453" w15:restartNumberingAfterBreak="0">
    <w:nsid w:val="76EA3C86"/>
    <w:multiLevelType w:val="hybridMultilevel"/>
    <w:tmpl w:val="31AE5CE2"/>
    <w:lvl w:ilvl="0" w:tplc="D90C502C">
      <w:numFmt w:val="bullet"/>
      <w:lvlText w:val=""/>
      <w:lvlJc w:val="left"/>
      <w:pPr>
        <w:ind w:left="488" w:hanging="284"/>
      </w:pPr>
      <w:rPr>
        <w:rFonts w:ascii="Symbol" w:eastAsia="Symbol" w:hAnsi="Symbol" w:cs="Symbol" w:hint="default"/>
        <w:b w:val="0"/>
        <w:bCs w:val="0"/>
        <w:i w:val="0"/>
        <w:iCs w:val="0"/>
        <w:color w:val="70004A"/>
        <w:spacing w:val="0"/>
        <w:w w:val="100"/>
        <w:sz w:val="18"/>
        <w:szCs w:val="18"/>
        <w:lang w:val="en-US" w:eastAsia="en-US" w:bidi="ar-SA"/>
      </w:rPr>
    </w:lvl>
    <w:lvl w:ilvl="1" w:tplc="217E3124">
      <w:numFmt w:val="bullet"/>
      <w:lvlText w:val="•"/>
      <w:lvlJc w:val="left"/>
      <w:pPr>
        <w:ind w:left="645" w:hanging="284"/>
      </w:pPr>
      <w:rPr>
        <w:rFonts w:hint="default"/>
        <w:lang w:val="en-US" w:eastAsia="en-US" w:bidi="ar-SA"/>
      </w:rPr>
    </w:lvl>
    <w:lvl w:ilvl="2" w:tplc="9564A57E">
      <w:numFmt w:val="bullet"/>
      <w:lvlText w:val="•"/>
      <w:lvlJc w:val="left"/>
      <w:pPr>
        <w:ind w:left="810" w:hanging="284"/>
      </w:pPr>
      <w:rPr>
        <w:rFonts w:hint="default"/>
        <w:lang w:val="en-US" w:eastAsia="en-US" w:bidi="ar-SA"/>
      </w:rPr>
    </w:lvl>
    <w:lvl w:ilvl="3" w:tplc="3D30B388">
      <w:numFmt w:val="bullet"/>
      <w:lvlText w:val="•"/>
      <w:lvlJc w:val="left"/>
      <w:pPr>
        <w:ind w:left="976" w:hanging="284"/>
      </w:pPr>
      <w:rPr>
        <w:rFonts w:hint="default"/>
        <w:lang w:val="en-US" w:eastAsia="en-US" w:bidi="ar-SA"/>
      </w:rPr>
    </w:lvl>
    <w:lvl w:ilvl="4" w:tplc="1642564A">
      <w:numFmt w:val="bullet"/>
      <w:lvlText w:val="•"/>
      <w:lvlJc w:val="left"/>
      <w:pPr>
        <w:ind w:left="1141" w:hanging="284"/>
      </w:pPr>
      <w:rPr>
        <w:rFonts w:hint="default"/>
        <w:lang w:val="en-US" w:eastAsia="en-US" w:bidi="ar-SA"/>
      </w:rPr>
    </w:lvl>
    <w:lvl w:ilvl="5" w:tplc="D0920C8A">
      <w:numFmt w:val="bullet"/>
      <w:lvlText w:val="•"/>
      <w:lvlJc w:val="left"/>
      <w:pPr>
        <w:ind w:left="1307" w:hanging="284"/>
      </w:pPr>
      <w:rPr>
        <w:rFonts w:hint="default"/>
        <w:lang w:val="en-US" w:eastAsia="en-US" w:bidi="ar-SA"/>
      </w:rPr>
    </w:lvl>
    <w:lvl w:ilvl="6" w:tplc="5E46F5D2">
      <w:numFmt w:val="bullet"/>
      <w:lvlText w:val="•"/>
      <w:lvlJc w:val="left"/>
      <w:pPr>
        <w:ind w:left="1472" w:hanging="284"/>
      </w:pPr>
      <w:rPr>
        <w:rFonts w:hint="default"/>
        <w:lang w:val="en-US" w:eastAsia="en-US" w:bidi="ar-SA"/>
      </w:rPr>
    </w:lvl>
    <w:lvl w:ilvl="7" w:tplc="378426D2">
      <w:numFmt w:val="bullet"/>
      <w:lvlText w:val="•"/>
      <w:lvlJc w:val="left"/>
      <w:pPr>
        <w:ind w:left="1637" w:hanging="284"/>
      </w:pPr>
      <w:rPr>
        <w:rFonts w:hint="default"/>
        <w:lang w:val="en-US" w:eastAsia="en-US" w:bidi="ar-SA"/>
      </w:rPr>
    </w:lvl>
    <w:lvl w:ilvl="8" w:tplc="BCEC1BB8">
      <w:numFmt w:val="bullet"/>
      <w:lvlText w:val="•"/>
      <w:lvlJc w:val="left"/>
      <w:pPr>
        <w:ind w:left="1803" w:hanging="284"/>
      </w:pPr>
      <w:rPr>
        <w:rFonts w:hint="default"/>
        <w:lang w:val="en-US" w:eastAsia="en-US" w:bidi="ar-SA"/>
      </w:rPr>
    </w:lvl>
  </w:abstractNum>
  <w:abstractNum w:abstractNumId="454" w15:restartNumberingAfterBreak="0">
    <w:nsid w:val="77136CA7"/>
    <w:multiLevelType w:val="hybridMultilevel"/>
    <w:tmpl w:val="3EA21B2E"/>
    <w:lvl w:ilvl="0" w:tplc="1DE2E0B4">
      <w:numFmt w:val="bullet"/>
      <w:lvlText w:val=""/>
      <w:lvlJc w:val="left"/>
      <w:pPr>
        <w:ind w:left="390" w:hanging="284"/>
      </w:pPr>
      <w:rPr>
        <w:rFonts w:ascii="Symbol" w:eastAsia="Symbol" w:hAnsi="Symbol" w:cs="Symbol" w:hint="default"/>
        <w:b w:val="0"/>
        <w:bCs w:val="0"/>
        <w:i w:val="0"/>
        <w:iCs w:val="0"/>
        <w:color w:val="70004A"/>
        <w:spacing w:val="0"/>
        <w:w w:val="100"/>
        <w:sz w:val="18"/>
        <w:szCs w:val="18"/>
        <w:lang w:val="en-US" w:eastAsia="en-US" w:bidi="ar-SA"/>
      </w:rPr>
    </w:lvl>
    <w:lvl w:ilvl="1" w:tplc="12B87E00">
      <w:numFmt w:val="bullet"/>
      <w:lvlText w:val="•"/>
      <w:lvlJc w:val="left"/>
      <w:pPr>
        <w:ind w:left="649" w:hanging="284"/>
      </w:pPr>
      <w:rPr>
        <w:rFonts w:hint="default"/>
        <w:lang w:val="en-US" w:eastAsia="en-US" w:bidi="ar-SA"/>
      </w:rPr>
    </w:lvl>
    <w:lvl w:ilvl="2" w:tplc="5A328F60">
      <w:numFmt w:val="bullet"/>
      <w:lvlText w:val="•"/>
      <w:lvlJc w:val="left"/>
      <w:pPr>
        <w:ind w:left="899" w:hanging="284"/>
      </w:pPr>
      <w:rPr>
        <w:rFonts w:hint="default"/>
        <w:lang w:val="en-US" w:eastAsia="en-US" w:bidi="ar-SA"/>
      </w:rPr>
    </w:lvl>
    <w:lvl w:ilvl="3" w:tplc="F9527882">
      <w:numFmt w:val="bullet"/>
      <w:lvlText w:val="•"/>
      <w:lvlJc w:val="left"/>
      <w:pPr>
        <w:ind w:left="1149" w:hanging="284"/>
      </w:pPr>
      <w:rPr>
        <w:rFonts w:hint="default"/>
        <w:lang w:val="en-US" w:eastAsia="en-US" w:bidi="ar-SA"/>
      </w:rPr>
    </w:lvl>
    <w:lvl w:ilvl="4" w:tplc="95C679F6">
      <w:numFmt w:val="bullet"/>
      <w:lvlText w:val="•"/>
      <w:lvlJc w:val="left"/>
      <w:pPr>
        <w:ind w:left="1398" w:hanging="284"/>
      </w:pPr>
      <w:rPr>
        <w:rFonts w:hint="default"/>
        <w:lang w:val="en-US" w:eastAsia="en-US" w:bidi="ar-SA"/>
      </w:rPr>
    </w:lvl>
    <w:lvl w:ilvl="5" w:tplc="5ACEF1D0">
      <w:numFmt w:val="bullet"/>
      <w:lvlText w:val="•"/>
      <w:lvlJc w:val="left"/>
      <w:pPr>
        <w:ind w:left="1648" w:hanging="284"/>
      </w:pPr>
      <w:rPr>
        <w:rFonts w:hint="default"/>
        <w:lang w:val="en-US" w:eastAsia="en-US" w:bidi="ar-SA"/>
      </w:rPr>
    </w:lvl>
    <w:lvl w:ilvl="6" w:tplc="45A2C8F4">
      <w:numFmt w:val="bullet"/>
      <w:lvlText w:val="•"/>
      <w:lvlJc w:val="left"/>
      <w:pPr>
        <w:ind w:left="1898" w:hanging="284"/>
      </w:pPr>
      <w:rPr>
        <w:rFonts w:hint="default"/>
        <w:lang w:val="en-US" w:eastAsia="en-US" w:bidi="ar-SA"/>
      </w:rPr>
    </w:lvl>
    <w:lvl w:ilvl="7" w:tplc="BBEA8F1C">
      <w:numFmt w:val="bullet"/>
      <w:lvlText w:val="•"/>
      <w:lvlJc w:val="left"/>
      <w:pPr>
        <w:ind w:left="2147" w:hanging="284"/>
      </w:pPr>
      <w:rPr>
        <w:rFonts w:hint="default"/>
        <w:lang w:val="en-US" w:eastAsia="en-US" w:bidi="ar-SA"/>
      </w:rPr>
    </w:lvl>
    <w:lvl w:ilvl="8" w:tplc="9CC8425C">
      <w:numFmt w:val="bullet"/>
      <w:lvlText w:val="•"/>
      <w:lvlJc w:val="left"/>
      <w:pPr>
        <w:ind w:left="2397" w:hanging="284"/>
      </w:pPr>
      <w:rPr>
        <w:rFonts w:hint="default"/>
        <w:lang w:val="en-US" w:eastAsia="en-US" w:bidi="ar-SA"/>
      </w:rPr>
    </w:lvl>
  </w:abstractNum>
  <w:abstractNum w:abstractNumId="455" w15:restartNumberingAfterBreak="0">
    <w:nsid w:val="77F71F8B"/>
    <w:multiLevelType w:val="hybridMultilevel"/>
    <w:tmpl w:val="A3F2F5F8"/>
    <w:lvl w:ilvl="0" w:tplc="BBAA03F8">
      <w:numFmt w:val="bullet"/>
      <w:lvlText w:val=""/>
      <w:lvlJc w:val="left"/>
      <w:pPr>
        <w:ind w:left="501" w:hanging="284"/>
      </w:pPr>
      <w:rPr>
        <w:rFonts w:ascii="Symbol" w:eastAsia="Symbol" w:hAnsi="Symbol" w:cs="Symbol" w:hint="default"/>
        <w:b w:val="0"/>
        <w:bCs w:val="0"/>
        <w:i w:val="0"/>
        <w:iCs w:val="0"/>
        <w:color w:val="70004A"/>
        <w:spacing w:val="0"/>
        <w:w w:val="100"/>
        <w:sz w:val="18"/>
        <w:szCs w:val="18"/>
        <w:lang w:val="en-US" w:eastAsia="en-US" w:bidi="ar-SA"/>
      </w:rPr>
    </w:lvl>
    <w:lvl w:ilvl="1" w:tplc="B58C5BBC">
      <w:numFmt w:val="bullet"/>
      <w:lvlText w:val="•"/>
      <w:lvlJc w:val="left"/>
      <w:pPr>
        <w:ind w:left="796" w:hanging="284"/>
      </w:pPr>
      <w:rPr>
        <w:rFonts w:hint="default"/>
        <w:lang w:val="en-US" w:eastAsia="en-US" w:bidi="ar-SA"/>
      </w:rPr>
    </w:lvl>
    <w:lvl w:ilvl="2" w:tplc="A650CEC6">
      <w:numFmt w:val="bullet"/>
      <w:lvlText w:val="•"/>
      <w:lvlJc w:val="left"/>
      <w:pPr>
        <w:ind w:left="1093" w:hanging="284"/>
      </w:pPr>
      <w:rPr>
        <w:rFonts w:hint="default"/>
        <w:lang w:val="en-US" w:eastAsia="en-US" w:bidi="ar-SA"/>
      </w:rPr>
    </w:lvl>
    <w:lvl w:ilvl="3" w:tplc="3A808AF6">
      <w:numFmt w:val="bullet"/>
      <w:lvlText w:val="•"/>
      <w:lvlJc w:val="left"/>
      <w:pPr>
        <w:ind w:left="1390" w:hanging="284"/>
      </w:pPr>
      <w:rPr>
        <w:rFonts w:hint="default"/>
        <w:lang w:val="en-US" w:eastAsia="en-US" w:bidi="ar-SA"/>
      </w:rPr>
    </w:lvl>
    <w:lvl w:ilvl="4" w:tplc="718A2660">
      <w:numFmt w:val="bullet"/>
      <w:lvlText w:val="•"/>
      <w:lvlJc w:val="left"/>
      <w:pPr>
        <w:ind w:left="1686" w:hanging="284"/>
      </w:pPr>
      <w:rPr>
        <w:rFonts w:hint="default"/>
        <w:lang w:val="en-US" w:eastAsia="en-US" w:bidi="ar-SA"/>
      </w:rPr>
    </w:lvl>
    <w:lvl w:ilvl="5" w:tplc="9FB20506">
      <w:numFmt w:val="bullet"/>
      <w:lvlText w:val="•"/>
      <w:lvlJc w:val="left"/>
      <w:pPr>
        <w:ind w:left="1983" w:hanging="284"/>
      </w:pPr>
      <w:rPr>
        <w:rFonts w:hint="default"/>
        <w:lang w:val="en-US" w:eastAsia="en-US" w:bidi="ar-SA"/>
      </w:rPr>
    </w:lvl>
    <w:lvl w:ilvl="6" w:tplc="3988831A">
      <w:numFmt w:val="bullet"/>
      <w:lvlText w:val="•"/>
      <w:lvlJc w:val="left"/>
      <w:pPr>
        <w:ind w:left="2280" w:hanging="284"/>
      </w:pPr>
      <w:rPr>
        <w:rFonts w:hint="default"/>
        <w:lang w:val="en-US" w:eastAsia="en-US" w:bidi="ar-SA"/>
      </w:rPr>
    </w:lvl>
    <w:lvl w:ilvl="7" w:tplc="E5FA2428">
      <w:numFmt w:val="bullet"/>
      <w:lvlText w:val="•"/>
      <w:lvlJc w:val="left"/>
      <w:pPr>
        <w:ind w:left="2576" w:hanging="284"/>
      </w:pPr>
      <w:rPr>
        <w:rFonts w:hint="default"/>
        <w:lang w:val="en-US" w:eastAsia="en-US" w:bidi="ar-SA"/>
      </w:rPr>
    </w:lvl>
    <w:lvl w:ilvl="8" w:tplc="567EAA86">
      <w:numFmt w:val="bullet"/>
      <w:lvlText w:val="•"/>
      <w:lvlJc w:val="left"/>
      <w:pPr>
        <w:ind w:left="2873" w:hanging="284"/>
      </w:pPr>
      <w:rPr>
        <w:rFonts w:hint="default"/>
        <w:lang w:val="en-US" w:eastAsia="en-US" w:bidi="ar-SA"/>
      </w:rPr>
    </w:lvl>
  </w:abstractNum>
  <w:abstractNum w:abstractNumId="456" w15:restartNumberingAfterBreak="0">
    <w:nsid w:val="785408B7"/>
    <w:multiLevelType w:val="hybridMultilevel"/>
    <w:tmpl w:val="0CF8F6E8"/>
    <w:lvl w:ilvl="0" w:tplc="E5CEC87A">
      <w:numFmt w:val="bullet"/>
      <w:lvlText w:val=""/>
      <w:lvlJc w:val="left"/>
      <w:pPr>
        <w:ind w:left="391" w:hanging="284"/>
      </w:pPr>
      <w:rPr>
        <w:rFonts w:ascii="Symbol" w:eastAsia="Symbol" w:hAnsi="Symbol" w:cs="Symbol" w:hint="default"/>
        <w:b w:val="0"/>
        <w:bCs w:val="0"/>
        <w:i w:val="0"/>
        <w:iCs w:val="0"/>
        <w:color w:val="70004A"/>
        <w:spacing w:val="0"/>
        <w:w w:val="100"/>
        <w:sz w:val="18"/>
        <w:szCs w:val="18"/>
        <w:lang w:val="en-US" w:eastAsia="en-US" w:bidi="ar-SA"/>
      </w:rPr>
    </w:lvl>
    <w:lvl w:ilvl="1" w:tplc="7004D03E">
      <w:numFmt w:val="bullet"/>
      <w:lvlText w:val="•"/>
      <w:lvlJc w:val="left"/>
      <w:pPr>
        <w:ind w:left="668" w:hanging="284"/>
      </w:pPr>
      <w:rPr>
        <w:rFonts w:hint="default"/>
        <w:lang w:val="en-US" w:eastAsia="en-US" w:bidi="ar-SA"/>
      </w:rPr>
    </w:lvl>
    <w:lvl w:ilvl="2" w:tplc="6A84EA62">
      <w:numFmt w:val="bullet"/>
      <w:lvlText w:val="•"/>
      <w:lvlJc w:val="left"/>
      <w:pPr>
        <w:ind w:left="937" w:hanging="284"/>
      </w:pPr>
      <w:rPr>
        <w:rFonts w:hint="default"/>
        <w:lang w:val="en-US" w:eastAsia="en-US" w:bidi="ar-SA"/>
      </w:rPr>
    </w:lvl>
    <w:lvl w:ilvl="3" w:tplc="2E305F34">
      <w:numFmt w:val="bullet"/>
      <w:lvlText w:val="•"/>
      <w:lvlJc w:val="left"/>
      <w:pPr>
        <w:ind w:left="1205" w:hanging="284"/>
      </w:pPr>
      <w:rPr>
        <w:rFonts w:hint="default"/>
        <w:lang w:val="en-US" w:eastAsia="en-US" w:bidi="ar-SA"/>
      </w:rPr>
    </w:lvl>
    <w:lvl w:ilvl="4" w:tplc="CD583CD2">
      <w:numFmt w:val="bullet"/>
      <w:lvlText w:val="•"/>
      <w:lvlJc w:val="left"/>
      <w:pPr>
        <w:ind w:left="1474" w:hanging="284"/>
      </w:pPr>
      <w:rPr>
        <w:rFonts w:hint="default"/>
        <w:lang w:val="en-US" w:eastAsia="en-US" w:bidi="ar-SA"/>
      </w:rPr>
    </w:lvl>
    <w:lvl w:ilvl="5" w:tplc="C7C8C0F4">
      <w:numFmt w:val="bullet"/>
      <w:lvlText w:val="•"/>
      <w:lvlJc w:val="left"/>
      <w:pPr>
        <w:ind w:left="1742" w:hanging="284"/>
      </w:pPr>
      <w:rPr>
        <w:rFonts w:hint="default"/>
        <w:lang w:val="en-US" w:eastAsia="en-US" w:bidi="ar-SA"/>
      </w:rPr>
    </w:lvl>
    <w:lvl w:ilvl="6" w:tplc="CDD2AF10">
      <w:numFmt w:val="bullet"/>
      <w:lvlText w:val="•"/>
      <w:lvlJc w:val="left"/>
      <w:pPr>
        <w:ind w:left="2011" w:hanging="284"/>
      </w:pPr>
      <w:rPr>
        <w:rFonts w:hint="default"/>
        <w:lang w:val="en-US" w:eastAsia="en-US" w:bidi="ar-SA"/>
      </w:rPr>
    </w:lvl>
    <w:lvl w:ilvl="7" w:tplc="6E9E29AE">
      <w:numFmt w:val="bullet"/>
      <w:lvlText w:val="•"/>
      <w:lvlJc w:val="left"/>
      <w:pPr>
        <w:ind w:left="2279" w:hanging="284"/>
      </w:pPr>
      <w:rPr>
        <w:rFonts w:hint="default"/>
        <w:lang w:val="en-US" w:eastAsia="en-US" w:bidi="ar-SA"/>
      </w:rPr>
    </w:lvl>
    <w:lvl w:ilvl="8" w:tplc="3B3A8A84">
      <w:numFmt w:val="bullet"/>
      <w:lvlText w:val="•"/>
      <w:lvlJc w:val="left"/>
      <w:pPr>
        <w:ind w:left="2548" w:hanging="284"/>
      </w:pPr>
      <w:rPr>
        <w:rFonts w:hint="default"/>
        <w:lang w:val="en-US" w:eastAsia="en-US" w:bidi="ar-SA"/>
      </w:rPr>
    </w:lvl>
  </w:abstractNum>
  <w:abstractNum w:abstractNumId="457" w15:restartNumberingAfterBreak="0">
    <w:nsid w:val="785518B2"/>
    <w:multiLevelType w:val="hybridMultilevel"/>
    <w:tmpl w:val="2CFAE0AA"/>
    <w:lvl w:ilvl="0" w:tplc="7410E6D0">
      <w:numFmt w:val="bullet"/>
      <w:lvlText w:val=""/>
      <w:lvlJc w:val="left"/>
      <w:pPr>
        <w:ind w:left="435" w:hanging="284"/>
      </w:pPr>
      <w:rPr>
        <w:rFonts w:ascii="Symbol" w:eastAsia="Symbol" w:hAnsi="Symbol" w:cs="Symbol" w:hint="default"/>
        <w:b w:val="0"/>
        <w:bCs w:val="0"/>
        <w:i w:val="0"/>
        <w:iCs w:val="0"/>
        <w:color w:val="70004A"/>
        <w:spacing w:val="0"/>
        <w:w w:val="100"/>
        <w:sz w:val="18"/>
        <w:szCs w:val="18"/>
        <w:lang w:val="en-US" w:eastAsia="en-US" w:bidi="ar-SA"/>
      </w:rPr>
    </w:lvl>
    <w:lvl w:ilvl="1" w:tplc="58ECECD2">
      <w:numFmt w:val="bullet"/>
      <w:lvlText w:val="•"/>
      <w:lvlJc w:val="left"/>
      <w:pPr>
        <w:ind w:left="637" w:hanging="284"/>
      </w:pPr>
      <w:rPr>
        <w:rFonts w:hint="default"/>
        <w:lang w:val="en-US" w:eastAsia="en-US" w:bidi="ar-SA"/>
      </w:rPr>
    </w:lvl>
    <w:lvl w:ilvl="2" w:tplc="DB40AE4A">
      <w:numFmt w:val="bullet"/>
      <w:lvlText w:val="•"/>
      <w:lvlJc w:val="left"/>
      <w:pPr>
        <w:ind w:left="834" w:hanging="284"/>
      </w:pPr>
      <w:rPr>
        <w:rFonts w:hint="default"/>
        <w:lang w:val="en-US" w:eastAsia="en-US" w:bidi="ar-SA"/>
      </w:rPr>
    </w:lvl>
    <w:lvl w:ilvl="3" w:tplc="DC7E6C42">
      <w:numFmt w:val="bullet"/>
      <w:lvlText w:val="•"/>
      <w:lvlJc w:val="left"/>
      <w:pPr>
        <w:ind w:left="1031" w:hanging="284"/>
      </w:pPr>
      <w:rPr>
        <w:rFonts w:hint="default"/>
        <w:lang w:val="en-US" w:eastAsia="en-US" w:bidi="ar-SA"/>
      </w:rPr>
    </w:lvl>
    <w:lvl w:ilvl="4" w:tplc="A5949BF2">
      <w:numFmt w:val="bullet"/>
      <w:lvlText w:val="•"/>
      <w:lvlJc w:val="left"/>
      <w:pPr>
        <w:ind w:left="1228" w:hanging="284"/>
      </w:pPr>
      <w:rPr>
        <w:rFonts w:hint="default"/>
        <w:lang w:val="en-US" w:eastAsia="en-US" w:bidi="ar-SA"/>
      </w:rPr>
    </w:lvl>
    <w:lvl w:ilvl="5" w:tplc="2BA26212">
      <w:numFmt w:val="bullet"/>
      <w:lvlText w:val="•"/>
      <w:lvlJc w:val="left"/>
      <w:pPr>
        <w:ind w:left="1425" w:hanging="284"/>
      </w:pPr>
      <w:rPr>
        <w:rFonts w:hint="default"/>
        <w:lang w:val="en-US" w:eastAsia="en-US" w:bidi="ar-SA"/>
      </w:rPr>
    </w:lvl>
    <w:lvl w:ilvl="6" w:tplc="AC92F200">
      <w:numFmt w:val="bullet"/>
      <w:lvlText w:val="•"/>
      <w:lvlJc w:val="left"/>
      <w:pPr>
        <w:ind w:left="1622" w:hanging="284"/>
      </w:pPr>
      <w:rPr>
        <w:rFonts w:hint="default"/>
        <w:lang w:val="en-US" w:eastAsia="en-US" w:bidi="ar-SA"/>
      </w:rPr>
    </w:lvl>
    <w:lvl w:ilvl="7" w:tplc="97EE08D2">
      <w:numFmt w:val="bullet"/>
      <w:lvlText w:val="•"/>
      <w:lvlJc w:val="left"/>
      <w:pPr>
        <w:ind w:left="1819" w:hanging="284"/>
      </w:pPr>
      <w:rPr>
        <w:rFonts w:hint="default"/>
        <w:lang w:val="en-US" w:eastAsia="en-US" w:bidi="ar-SA"/>
      </w:rPr>
    </w:lvl>
    <w:lvl w:ilvl="8" w:tplc="D472CA30">
      <w:numFmt w:val="bullet"/>
      <w:lvlText w:val="•"/>
      <w:lvlJc w:val="left"/>
      <w:pPr>
        <w:ind w:left="2016" w:hanging="284"/>
      </w:pPr>
      <w:rPr>
        <w:rFonts w:hint="default"/>
        <w:lang w:val="en-US" w:eastAsia="en-US" w:bidi="ar-SA"/>
      </w:rPr>
    </w:lvl>
  </w:abstractNum>
  <w:abstractNum w:abstractNumId="458" w15:restartNumberingAfterBreak="0">
    <w:nsid w:val="78DB3EC3"/>
    <w:multiLevelType w:val="hybridMultilevel"/>
    <w:tmpl w:val="DEB8B278"/>
    <w:lvl w:ilvl="0" w:tplc="2A3811B8">
      <w:numFmt w:val="bullet"/>
      <w:lvlText w:val=""/>
      <w:lvlJc w:val="left"/>
      <w:pPr>
        <w:ind w:left="501" w:hanging="360"/>
      </w:pPr>
      <w:rPr>
        <w:rFonts w:ascii="Symbol" w:eastAsia="Symbol" w:hAnsi="Symbol" w:cs="Symbol" w:hint="default"/>
        <w:b w:val="0"/>
        <w:bCs w:val="0"/>
        <w:i w:val="0"/>
        <w:iCs w:val="0"/>
        <w:color w:val="70004A"/>
        <w:spacing w:val="0"/>
        <w:w w:val="100"/>
        <w:sz w:val="20"/>
        <w:szCs w:val="20"/>
        <w:lang w:val="en-US" w:eastAsia="en-US" w:bidi="ar-SA"/>
      </w:rPr>
    </w:lvl>
    <w:lvl w:ilvl="1" w:tplc="3DB6D048">
      <w:numFmt w:val="bullet"/>
      <w:lvlText w:val="•"/>
      <w:lvlJc w:val="left"/>
      <w:pPr>
        <w:ind w:left="1428" w:hanging="360"/>
      </w:pPr>
      <w:rPr>
        <w:rFonts w:hint="default"/>
        <w:lang w:val="en-US" w:eastAsia="en-US" w:bidi="ar-SA"/>
      </w:rPr>
    </w:lvl>
    <w:lvl w:ilvl="2" w:tplc="D562A656">
      <w:numFmt w:val="bullet"/>
      <w:lvlText w:val="•"/>
      <w:lvlJc w:val="left"/>
      <w:pPr>
        <w:ind w:left="2356" w:hanging="360"/>
      </w:pPr>
      <w:rPr>
        <w:rFonts w:hint="default"/>
        <w:lang w:val="en-US" w:eastAsia="en-US" w:bidi="ar-SA"/>
      </w:rPr>
    </w:lvl>
    <w:lvl w:ilvl="3" w:tplc="A8EE2A0E">
      <w:numFmt w:val="bullet"/>
      <w:lvlText w:val="•"/>
      <w:lvlJc w:val="left"/>
      <w:pPr>
        <w:ind w:left="3284" w:hanging="360"/>
      </w:pPr>
      <w:rPr>
        <w:rFonts w:hint="default"/>
        <w:lang w:val="en-US" w:eastAsia="en-US" w:bidi="ar-SA"/>
      </w:rPr>
    </w:lvl>
    <w:lvl w:ilvl="4" w:tplc="EA16CE72">
      <w:numFmt w:val="bullet"/>
      <w:lvlText w:val="•"/>
      <w:lvlJc w:val="left"/>
      <w:pPr>
        <w:ind w:left="4212" w:hanging="360"/>
      </w:pPr>
      <w:rPr>
        <w:rFonts w:hint="default"/>
        <w:lang w:val="en-US" w:eastAsia="en-US" w:bidi="ar-SA"/>
      </w:rPr>
    </w:lvl>
    <w:lvl w:ilvl="5" w:tplc="8846722C">
      <w:numFmt w:val="bullet"/>
      <w:lvlText w:val="•"/>
      <w:lvlJc w:val="left"/>
      <w:pPr>
        <w:ind w:left="5140" w:hanging="360"/>
      </w:pPr>
      <w:rPr>
        <w:rFonts w:hint="default"/>
        <w:lang w:val="en-US" w:eastAsia="en-US" w:bidi="ar-SA"/>
      </w:rPr>
    </w:lvl>
    <w:lvl w:ilvl="6" w:tplc="69C060B8">
      <w:numFmt w:val="bullet"/>
      <w:lvlText w:val="•"/>
      <w:lvlJc w:val="left"/>
      <w:pPr>
        <w:ind w:left="6068" w:hanging="360"/>
      </w:pPr>
      <w:rPr>
        <w:rFonts w:hint="default"/>
        <w:lang w:val="en-US" w:eastAsia="en-US" w:bidi="ar-SA"/>
      </w:rPr>
    </w:lvl>
    <w:lvl w:ilvl="7" w:tplc="E44E384E">
      <w:numFmt w:val="bullet"/>
      <w:lvlText w:val="•"/>
      <w:lvlJc w:val="left"/>
      <w:pPr>
        <w:ind w:left="6996" w:hanging="360"/>
      </w:pPr>
      <w:rPr>
        <w:rFonts w:hint="default"/>
        <w:lang w:val="en-US" w:eastAsia="en-US" w:bidi="ar-SA"/>
      </w:rPr>
    </w:lvl>
    <w:lvl w:ilvl="8" w:tplc="981CFD24">
      <w:numFmt w:val="bullet"/>
      <w:lvlText w:val="•"/>
      <w:lvlJc w:val="left"/>
      <w:pPr>
        <w:ind w:left="7925" w:hanging="360"/>
      </w:pPr>
      <w:rPr>
        <w:rFonts w:hint="default"/>
        <w:lang w:val="en-US" w:eastAsia="en-US" w:bidi="ar-SA"/>
      </w:rPr>
    </w:lvl>
  </w:abstractNum>
  <w:abstractNum w:abstractNumId="459" w15:restartNumberingAfterBreak="0">
    <w:nsid w:val="78F945F2"/>
    <w:multiLevelType w:val="hybridMultilevel"/>
    <w:tmpl w:val="468E04B6"/>
    <w:lvl w:ilvl="0" w:tplc="2032A478">
      <w:numFmt w:val="bullet"/>
      <w:lvlText w:val=""/>
      <w:lvlJc w:val="left"/>
      <w:pPr>
        <w:ind w:left="459" w:hanging="284"/>
      </w:pPr>
      <w:rPr>
        <w:rFonts w:ascii="Symbol" w:eastAsia="Symbol" w:hAnsi="Symbol" w:cs="Symbol" w:hint="default"/>
        <w:b w:val="0"/>
        <w:bCs w:val="0"/>
        <w:i w:val="0"/>
        <w:iCs w:val="0"/>
        <w:color w:val="70004A"/>
        <w:spacing w:val="0"/>
        <w:w w:val="100"/>
        <w:sz w:val="18"/>
        <w:szCs w:val="18"/>
        <w:lang w:val="en-US" w:eastAsia="en-US" w:bidi="ar-SA"/>
      </w:rPr>
    </w:lvl>
    <w:lvl w:ilvl="1" w:tplc="3692EC6A">
      <w:numFmt w:val="bullet"/>
      <w:lvlText w:val="•"/>
      <w:lvlJc w:val="left"/>
      <w:pPr>
        <w:ind w:left="790" w:hanging="284"/>
      </w:pPr>
      <w:rPr>
        <w:rFonts w:hint="default"/>
        <w:lang w:val="en-US" w:eastAsia="en-US" w:bidi="ar-SA"/>
      </w:rPr>
    </w:lvl>
    <w:lvl w:ilvl="2" w:tplc="4C98E5CA">
      <w:numFmt w:val="bullet"/>
      <w:lvlText w:val="•"/>
      <w:lvlJc w:val="left"/>
      <w:pPr>
        <w:ind w:left="1120" w:hanging="284"/>
      </w:pPr>
      <w:rPr>
        <w:rFonts w:hint="default"/>
        <w:lang w:val="en-US" w:eastAsia="en-US" w:bidi="ar-SA"/>
      </w:rPr>
    </w:lvl>
    <w:lvl w:ilvl="3" w:tplc="072C81CA">
      <w:numFmt w:val="bullet"/>
      <w:lvlText w:val="•"/>
      <w:lvlJc w:val="left"/>
      <w:pPr>
        <w:ind w:left="1451" w:hanging="284"/>
      </w:pPr>
      <w:rPr>
        <w:rFonts w:hint="default"/>
        <w:lang w:val="en-US" w:eastAsia="en-US" w:bidi="ar-SA"/>
      </w:rPr>
    </w:lvl>
    <w:lvl w:ilvl="4" w:tplc="A2D42234">
      <w:numFmt w:val="bullet"/>
      <w:lvlText w:val="•"/>
      <w:lvlJc w:val="left"/>
      <w:pPr>
        <w:ind w:left="1781" w:hanging="284"/>
      </w:pPr>
      <w:rPr>
        <w:rFonts w:hint="default"/>
        <w:lang w:val="en-US" w:eastAsia="en-US" w:bidi="ar-SA"/>
      </w:rPr>
    </w:lvl>
    <w:lvl w:ilvl="5" w:tplc="7C2877F0">
      <w:numFmt w:val="bullet"/>
      <w:lvlText w:val="•"/>
      <w:lvlJc w:val="left"/>
      <w:pPr>
        <w:ind w:left="2112" w:hanging="284"/>
      </w:pPr>
      <w:rPr>
        <w:rFonts w:hint="default"/>
        <w:lang w:val="en-US" w:eastAsia="en-US" w:bidi="ar-SA"/>
      </w:rPr>
    </w:lvl>
    <w:lvl w:ilvl="6" w:tplc="D3329F50">
      <w:numFmt w:val="bullet"/>
      <w:lvlText w:val="•"/>
      <w:lvlJc w:val="left"/>
      <w:pPr>
        <w:ind w:left="2442" w:hanging="284"/>
      </w:pPr>
      <w:rPr>
        <w:rFonts w:hint="default"/>
        <w:lang w:val="en-US" w:eastAsia="en-US" w:bidi="ar-SA"/>
      </w:rPr>
    </w:lvl>
    <w:lvl w:ilvl="7" w:tplc="513CE58C">
      <w:numFmt w:val="bullet"/>
      <w:lvlText w:val="•"/>
      <w:lvlJc w:val="left"/>
      <w:pPr>
        <w:ind w:left="2772" w:hanging="284"/>
      </w:pPr>
      <w:rPr>
        <w:rFonts w:hint="default"/>
        <w:lang w:val="en-US" w:eastAsia="en-US" w:bidi="ar-SA"/>
      </w:rPr>
    </w:lvl>
    <w:lvl w:ilvl="8" w:tplc="D6447EFE">
      <w:numFmt w:val="bullet"/>
      <w:lvlText w:val="•"/>
      <w:lvlJc w:val="left"/>
      <w:pPr>
        <w:ind w:left="3103" w:hanging="284"/>
      </w:pPr>
      <w:rPr>
        <w:rFonts w:hint="default"/>
        <w:lang w:val="en-US" w:eastAsia="en-US" w:bidi="ar-SA"/>
      </w:rPr>
    </w:lvl>
  </w:abstractNum>
  <w:abstractNum w:abstractNumId="460" w15:restartNumberingAfterBreak="0">
    <w:nsid w:val="793A07E2"/>
    <w:multiLevelType w:val="hybridMultilevel"/>
    <w:tmpl w:val="2638AE3C"/>
    <w:lvl w:ilvl="0" w:tplc="A01E3136">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37F2BAA4">
      <w:numFmt w:val="bullet"/>
      <w:lvlText w:val="•"/>
      <w:lvlJc w:val="left"/>
      <w:pPr>
        <w:ind w:left="693" w:hanging="284"/>
      </w:pPr>
      <w:rPr>
        <w:rFonts w:hint="default"/>
        <w:lang w:val="en-US" w:eastAsia="en-US" w:bidi="ar-SA"/>
      </w:rPr>
    </w:lvl>
    <w:lvl w:ilvl="2" w:tplc="AFEA3BBE">
      <w:numFmt w:val="bullet"/>
      <w:lvlText w:val="•"/>
      <w:lvlJc w:val="left"/>
      <w:pPr>
        <w:ind w:left="1007" w:hanging="284"/>
      </w:pPr>
      <w:rPr>
        <w:rFonts w:hint="default"/>
        <w:lang w:val="en-US" w:eastAsia="en-US" w:bidi="ar-SA"/>
      </w:rPr>
    </w:lvl>
    <w:lvl w:ilvl="3" w:tplc="43568E0C">
      <w:numFmt w:val="bullet"/>
      <w:lvlText w:val="•"/>
      <w:lvlJc w:val="left"/>
      <w:pPr>
        <w:ind w:left="1321" w:hanging="284"/>
      </w:pPr>
      <w:rPr>
        <w:rFonts w:hint="default"/>
        <w:lang w:val="en-US" w:eastAsia="en-US" w:bidi="ar-SA"/>
      </w:rPr>
    </w:lvl>
    <w:lvl w:ilvl="4" w:tplc="0DC0F738">
      <w:numFmt w:val="bullet"/>
      <w:lvlText w:val="•"/>
      <w:lvlJc w:val="left"/>
      <w:pPr>
        <w:ind w:left="1635" w:hanging="284"/>
      </w:pPr>
      <w:rPr>
        <w:rFonts w:hint="default"/>
        <w:lang w:val="en-US" w:eastAsia="en-US" w:bidi="ar-SA"/>
      </w:rPr>
    </w:lvl>
    <w:lvl w:ilvl="5" w:tplc="A252C774">
      <w:numFmt w:val="bullet"/>
      <w:lvlText w:val="•"/>
      <w:lvlJc w:val="left"/>
      <w:pPr>
        <w:ind w:left="1949" w:hanging="284"/>
      </w:pPr>
      <w:rPr>
        <w:rFonts w:hint="default"/>
        <w:lang w:val="en-US" w:eastAsia="en-US" w:bidi="ar-SA"/>
      </w:rPr>
    </w:lvl>
    <w:lvl w:ilvl="6" w:tplc="4B28939C">
      <w:numFmt w:val="bullet"/>
      <w:lvlText w:val="•"/>
      <w:lvlJc w:val="left"/>
      <w:pPr>
        <w:ind w:left="2263" w:hanging="284"/>
      </w:pPr>
      <w:rPr>
        <w:rFonts w:hint="default"/>
        <w:lang w:val="en-US" w:eastAsia="en-US" w:bidi="ar-SA"/>
      </w:rPr>
    </w:lvl>
    <w:lvl w:ilvl="7" w:tplc="750CB7B0">
      <w:numFmt w:val="bullet"/>
      <w:lvlText w:val="•"/>
      <w:lvlJc w:val="left"/>
      <w:pPr>
        <w:ind w:left="2577" w:hanging="284"/>
      </w:pPr>
      <w:rPr>
        <w:rFonts w:hint="default"/>
        <w:lang w:val="en-US" w:eastAsia="en-US" w:bidi="ar-SA"/>
      </w:rPr>
    </w:lvl>
    <w:lvl w:ilvl="8" w:tplc="875E8AD2">
      <w:numFmt w:val="bullet"/>
      <w:lvlText w:val="•"/>
      <w:lvlJc w:val="left"/>
      <w:pPr>
        <w:ind w:left="2891" w:hanging="284"/>
      </w:pPr>
      <w:rPr>
        <w:rFonts w:hint="default"/>
        <w:lang w:val="en-US" w:eastAsia="en-US" w:bidi="ar-SA"/>
      </w:rPr>
    </w:lvl>
  </w:abstractNum>
  <w:abstractNum w:abstractNumId="461" w15:restartNumberingAfterBreak="0">
    <w:nsid w:val="79D664D5"/>
    <w:multiLevelType w:val="hybridMultilevel"/>
    <w:tmpl w:val="24EE02D0"/>
    <w:lvl w:ilvl="0" w:tplc="398ADA76">
      <w:numFmt w:val="bullet"/>
      <w:lvlText w:val=""/>
      <w:lvlJc w:val="left"/>
      <w:pPr>
        <w:ind w:left="501" w:hanging="284"/>
      </w:pPr>
      <w:rPr>
        <w:rFonts w:ascii="Symbol" w:eastAsia="Symbol" w:hAnsi="Symbol" w:cs="Symbol" w:hint="default"/>
        <w:b w:val="0"/>
        <w:bCs w:val="0"/>
        <w:i w:val="0"/>
        <w:iCs w:val="0"/>
        <w:color w:val="70004A"/>
        <w:spacing w:val="0"/>
        <w:w w:val="100"/>
        <w:sz w:val="18"/>
        <w:szCs w:val="18"/>
        <w:lang w:val="en-US" w:eastAsia="en-US" w:bidi="ar-SA"/>
      </w:rPr>
    </w:lvl>
    <w:lvl w:ilvl="1" w:tplc="72360F94">
      <w:numFmt w:val="bullet"/>
      <w:lvlText w:val="•"/>
      <w:lvlJc w:val="left"/>
      <w:pPr>
        <w:ind w:left="796" w:hanging="284"/>
      </w:pPr>
      <w:rPr>
        <w:rFonts w:hint="default"/>
        <w:lang w:val="en-US" w:eastAsia="en-US" w:bidi="ar-SA"/>
      </w:rPr>
    </w:lvl>
    <w:lvl w:ilvl="2" w:tplc="276CA414">
      <w:numFmt w:val="bullet"/>
      <w:lvlText w:val="•"/>
      <w:lvlJc w:val="left"/>
      <w:pPr>
        <w:ind w:left="1093" w:hanging="284"/>
      </w:pPr>
      <w:rPr>
        <w:rFonts w:hint="default"/>
        <w:lang w:val="en-US" w:eastAsia="en-US" w:bidi="ar-SA"/>
      </w:rPr>
    </w:lvl>
    <w:lvl w:ilvl="3" w:tplc="1A6053E2">
      <w:numFmt w:val="bullet"/>
      <w:lvlText w:val="•"/>
      <w:lvlJc w:val="left"/>
      <w:pPr>
        <w:ind w:left="1390" w:hanging="284"/>
      </w:pPr>
      <w:rPr>
        <w:rFonts w:hint="default"/>
        <w:lang w:val="en-US" w:eastAsia="en-US" w:bidi="ar-SA"/>
      </w:rPr>
    </w:lvl>
    <w:lvl w:ilvl="4" w:tplc="61BCFFE0">
      <w:numFmt w:val="bullet"/>
      <w:lvlText w:val="•"/>
      <w:lvlJc w:val="left"/>
      <w:pPr>
        <w:ind w:left="1686" w:hanging="284"/>
      </w:pPr>
      <w:rPr>
        <w:rFonts w:hint="default"/>
        <w:lang w:val="en-US" w:eastAsia="en-US" w:bidi="ar-SA"/>
      </w:rPr>
    </w:lvl>
    <w:lvl w:ilvl="5" w:tplc="00BC6F2C">
      <w:numFmt w:val="bullet"/>
      <w:lvlText w:val="•"/>
      <w:lvlJc w:val="left"/>
      <w:pPr>
        <w:ind w:left="1983" w:hanging="284"/>
      </w:pPr>
      <w:rPr>
        <w:rFonts w:hint="default"/>
        <w:lang w:val="en-US" w:eastAsia="en-US" w:bidi="ar-SA"/>
      </w:rPr>
    </w:lvl>
    <w:lvl w:ilvl="6" w:tplc="77F8CD84">
      <w:numFmt w:val="bullet"/>
      <w:lvlText w:val="•"/>
      <w:lvlJc w:val="left"/>
      <w:pPr>
        <w:ind w:left="2280" w:hanging="284"/>
      </w:pPr>
      <w:rPr>
        <w:rFonts w:hint="default"/>
        <w:lang w:val="en-US" w:eastAsia="en-US" w:bidi="ar-SA"/>
      </w:rPr>
    </w:lvl>
    <w:lvl w:ilvl="7" w:tplc="E0002544">
      <w:numFmt w:val="bullet"/>
      <w:lvlText w:val="•"/>
      <w:lvlJc w:val="left"/>
      <w:pPr>
        <w:ind w:left="2576" w:hanging="284"/>
      </w:pPr>
      <w:rPr>
        <w:rFonts w:hint="default"/>
        <w:lang w:val="en-US" w:eastAsia="en-US" w:bidi="ar-SA"/>
      </w:rPr>
    </w:lvl>
    <w:lvl w:ilvl="8" w:tplc="FC06164E">
      <w:numFmt w:val="bullet"/>
      <w:lvlText w:val="•"/>
      <w:lvlJc w:val="left"/>
      <w:pPr>
        <w:ind w:left="2873" w:hanging="284"/>
      </w:pPr>
      <w:rPr>
        <w:rFonts w:hint="default"/>
        <w:lang w:val="en-US" w:eastAsia="en-US" w:bidi="ar-SA"/>
      </w:rPr>
    </w:lvl>
  </w:abstractNum>
  <w:abstractNum w:abstractNumId="462" w15:restartNumberingAfterBreak="0">
    <w:nsid w:val="7A1F3E3C"/>
    <w:multiLevelType w:val="hybridMultilevel"/>
    <w:tmpl w:val="84FADB0E"/>
    <w:lvl w:ilvl="0" w:tplc="43BE4532">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FD5A19AE">
      <w:numFmt w:val="bullet"/>
      <w:lvlText w:val="•"/>
      <w:lvlJc w:val="left"/>
      <w:pPr>
        <w:ind w:left="684" w:hanging="284"/>
      </w:pPr>
      <w:rPr>
        <w:rFonts w:hint="default"/>
        <w:lang w:val="en-US" w:eastAsia="en-US" w:bidi="ar-SA"/>
      </w:rPr>
    </w:lvl>
    <w:lvl w:ilvl="2" w:tplc="96BE9714">
      <w:numFmt w:val="bullet"/>
      <w:lvlText w:val="•"/>
      <w:lvlJc w:val="left"/>
      <w:pPr>
        <w:ind w:left="968" w:hanging="284"/>
      </w:pPr>
      <w:rPr>
        <w:rFonts w:hint="default"/>
        <w:lang w:val="en-US" w:eastAsia="en-US" w:bidi="ar-SA"/>
      </w:rPr>
    </w:lvl>
    <w:lvl w:ilvl="3" w:tplc="52BC8FD8">
      <w:numFmt w:val="bullet"/>
      <w:lvlText w:val="•"/>
      <w:lvlJc w:val="left"/>
      <w:pPr>
        <w:ind w:left="1252" w:hanging="284"/>
      </w:pPr>
      <w:rPr>
        <w:rFonts w:hint="default"/>
        <w:lang w:val="en-US" w:eastAsia="en-US" w:bidi="ar-SA"/>
      </w:rPr>
    </w:lvl>
    <w:lvl w:ilvl="4" w:tplc="EAF419E4">
      <w:numFmt w:val="bullet"/>
      <w:lvlText w:val="•"/>
      <w:lvlJc w:val="left"/>
      <w:pPr>
        <w:ind w:left="1536" w:hanging="284"/>
      </w:pPr>
      <w:rPr>
        <w:rFonts w:hint="default"/>
        <w:lang w:val="en-US" w:eastAsia="en-US" w:bidi="ar-SA"/>
      </w:rPr>
    </w:lvl>
    <w:lvl w:ilvl="5" w:tplc="94B08A9C">
      <w:numFmt w:val="bullet"/>
      <w:lvlText w:val="•"/>
      <w:lvlJc w:val="left"/>
      <w:pPr>
        <w:ind w:left="1821" w:hanging="284"/>
      </w:pPr>
      <w:rPr>
        <w:rFonts w:hint="default"/>
        <w:lang w:val="en-US" w:eastAsia="en-US" w:bidi="ar-SA"/>
      </w:rPr>
    </w:lvl>
    <w:lvl w:ilvl="6" w:tplc="F4589AAA">
      <w:numFmt w:val="bullet"/>
      <w:lvlText w:val="•"/>
      <w:lvlJc w:val="left"/>
      <w:pPr>
        <w:ind w:left="2105" w:hanging="284"/>
      </w:pPr>
      <w:rPr>
        <w:rFonts w:hint="default"/>
        <w:lang w:val="en-US" w:eastAsia="en-US" w:bidi="ar-SA"/>
      </w:rPr>
    </w:lvl>
    <w:lvl w:ilvl="7" w:tplc="E6944F82">
      <w:numFmt w:val="bullet"/>
      <w:lvlText w:val="•"/>
      <w:lvlJc w:val="left"/>
      <w:pPr>
        <w:ind w:left="2389" w:hanging="284"/>
      </w:pPr>
      <w:rPr>
        <w:rFonts w:hint="default"/>
        <w:lang w:val="en-US" w:eastAsia="en-US" w:bidi="ar-SA"/>
      </w:rPr>
    </w:lvl>
    <w:lvl w:ilvl="8" w:tplc="964ECACA">
      <w:numFmt w:val="bullet"/>
      <w:lvlText w:val="•"/>
      <w:lvlJc w:val="left"/>
      <w:pPr>
        <w:ind w:left="2673" w:hanging="284"/>
      </w:pPr>
      <w:rPr>
        <w:rFonts w:hint="default"/>
        <w:lang w:val="en-US" w:eastAsia="en-US" w:bidi="ar-SA"/>
      </w:rPr>
    </w:lvl>
  </w:abstractNum>
  <w:abstractNum w:abstractNumId="463" w15:restartNumberingAfterBreak="0">
    <w:nsid w:val="7A50257D"/>
    <w:multiLevelType w:val="hybridMultilevel"/>
    <w:tmpl w:val="B0FE6D72"/>
    <w:lvl w:ilvl="0" w:tplc="22882F04">
      <w:numFmt w:val="bullet"/>
      <w:lvlText w:val=""/>
      <w:lvlJc w:val="left"/>
      <w:pPr>
        <w:ind w:left="391" w:hanging="284"/>
      </w:pPr>
      <w:rPr>
        <w:rFonts w:ascii="Symbol" w:eastAsia="Symbol" w:hAnsi="Symbol" w:cs="Symbol" w:hint="default"/>
        <w:b w:val="0"/>
        <w:bCs w:val="0"/>
        <w:i w:val="0"/>
        <w:iCs w:val="0"/>
        <w:color w:val="70004A"/>
        <w:spacing w:val="0"/>
        <w:w w:val="100"/>
        <w:sz w:val="18"/>
        <w:szCs w:val="18"/>
        <w:lang w:val="en-US" w:eastAsia="en-US" w:bidi="ar-SA"/>
      </w:rPr>
    </w:lvl>
    <w:lvl w:ilvl="1" w:tplc="0B16BF9A">
      <w:numFmt w:val="bullet"/>
      <w:lvlText w:val="•"/>
      <w:lvlJc w:val="left"/>
      <w:pPr>
        <w:ind w:left="650" w:hanging="284"/>
      </w:pPr>
      <w:rPr>
        <w:rFonts w:hint="default"/>
        <w:lang w:val="en-US" w:eastAsia="en-US" w:bidi="ar-SA"/>
      </w:rPr>
    </w:lvl>
    <w:lvl w:ilvl="2" w:tplc="32C29C1C">
      <w:numFmt w:val="bullet"/>
      <w:lvlText w:val="•"/>
      <w:lvlJc w:val="left"/>
      <w:pPr>
        <w:ind w:left="901" w:hanging="284"/>
      </w:pPr>
      <w:rPr>
        <w:rFonts w:hint="default"/>
        <w:lang w:val="en-US" w:eastAsia="en-US" w:bidi="ar-SA"/>
      </w:rPr>
    </w:lvl>
    <w:lvl w:ilvl="3" w:tplc="626C3FAE">
      <w:numFmt w:val="bullet"/>
      <w:lvlText w:val="•"/>
      <w:lvlJc w:val="left"/>
      <w:pPr>
        <w:ind w:left="1151" w:hanging="284"/>
      </w:pPr>
      <w:rPr>
        <w:rFonts w:hint="default"/>
        <w:lang w:val="en-US" w:eastAsia="en-US" w:bidi="ar-SA"/>
      </w:rPr>
    </w:lvl>
    <w:lvl w:ilvl="4" w:tplc="554CA27A">
      <w:numFmt w:val="bullet"/>
      <w:lvlText w:val="•"/>
      <w:lvlJc w:val="left"/>
      <w:pPr>
        <w:ind w:left="1402" w:hanging="284"/>
      </w:pPr>
      <w:rPr>
        <w:rFonts w:hint="default"/>
        <w:lang w:val="en-US" w:eastAsia="en-US" w:bidi="ar-SA"/>
      </w:rPr>
    </w:lvl>
    <w:lvl w:ilvl="5" w:tplc="C3927542">
      <w:numFmt w:val="bullet"/>
      <w:lvlText w:val="•"/>
      <w:lvlJc w:val="left"/>
      <w:pPr>
        <w:ind w:left="1652" w:hanging="284"/>
      </w:pPr>
      <w:rPr>
        <w:rFonts w:hint="default"/>
        <w:lang w:val="en-US" w:eastAsia="en-US" w:bidi="ar-SA"/>
      </w:rPr>
    </w:lvl>
    <w:lvl w:ilvl="6" w:tplc="C51422BC">
      <w:numFmt w:val="bullet"/>
      <w:lvlText w:val="•"/>
      <w:lvlJc w:val="left"/>
      <w:pPr>
        <w:ind w:left="1903" w:hanging="284"/>
      </w:pPr>
      <w:rPr>
        <w:rFonts w:hint="default"/>
        <w:lang w:val="en-US" w:eastAsia="en-US" w:bidi="ar-SA"/>
      </w:rPr>
    </w:lvl>
    <w:lvl w:ilvl="7" w:tplc="D6087150">
      <w:numFmt w:val="bullet"/>
      <w:lvlText w:val="•"/>
      <w:lvlJc w:val="left"/>
      <w:pPr>
        <w:ind w:left="2153" w:hanging="284"/>
      </w:pPr>
      <w:rPr>
        <w:rFonts w:hint="default"/>
        <w:lang w:val="en-US" w:eastAsia="en-US" w:bidi="ar-SA"/>
      </w:rPr>
    </w:lvl>
    <w:lvl w:ilvl="8" w:tplc="62BC4A98">
      <w:numFmt w:val="bullet"/>
      <w:lvlText w:val="•"/>
      <w:lvlJc w:val="left"/>
      <w:pPr>
        <w:ind w:left="2404" w:hanging="284"/>
      </w:pPr>
      <w:rPr>
        <w:rFonts w:hint="default"/>
        <w:lang w:val="en-US" w:eastAsia="en-US" w:bidi="ar-SA"/>
      </w:rPr>
    </w:lvl>
  </w:abstractNum>
  <w:abstractNum w:abstractNumId="464" w15:restartNumberingAfterBreak="0">
    <w:nsid w:val="7ACA7839"/>
    <w:multiLevelType w:val="hybridMultilevel"/>
    <w:tmpl w:val="E530E396"/>
    <w:lvl w:ilvl="0" w:tplc="A346311A">
      <w:numFmt w:val="bullet"/>
      <w:lvlText w:val=""/>
      <w:lvlJc w:val="left"/>
      <w:pPr>
        <w:ind w:left="438" w:hanging="284"/>
      </w:pPr>
      <w:rPr>
        <w:rFonts w:ascii="Symbol" w:eastAsia="Symbol" w:hAnsi="Symbol" w:cs="Symbol" w:hint="default"/>
        <w:b w:val="0"/>
        <w:bCs w:val="0"/>
        <w:i w:val="0"/>
        <w:iCs w:val="0"/>
        <w:color w:val="70004A"/>
        <w:spacing w:val="0"/>
        <w:w w:val="100"/>
        <w:sz w:val="18"/>
        <w:szCs w:val="18"/>
        <w:lang w:val="en-US" w:eastAsia="en-US" w:bidi="ar-SA"/>
      </w:rPr>
    </w:lvl>
    <w:lvl w:ilvl="1" w:tplc="FF1433AE">
      <w:numFmt w:val="bullet"/>
      <w:lvlText w:val="•"/>
      <w:lvlJc w:val="left"/>
      <w:pPr>
        <w:ind w:left="702" w:hanging="284"/>
      </w:pPr>
      <w:rPr>
        <w:rFonts w:hint="default"/>
        <w:lang w:val="en-US" w:eastAsia="en-US" w:bidi="ar-SA"/>
      </w:rPr>
    </w:lvl>
    <w:lvl w:ilvl="2" w:tplc="F002102E">
      <w:numFmt w:val="bullet"/>
      <w:lvlText w:val="•"/>
      <w:lvlJc w:val="left"/>
      <w:pPr>
        <w:ind w:left="965" w:hanging="284"/>
      </w:pPr>
      <w:rPr>
        <w:rFonts w:hint="default"/>
        <w:lang w:val="en-US" w:eastAsia="en-US" w:bidi="ar-SA"/>
      </w:rPr>
    </w:lvl>
    <w:lvl w:ilvl="3" w:tplc="097C53A4">
      <w:numFmt w:val="bullet"/>
      <w:lvlText w:val="•"/>
      <w:lvlJc w:val="left"/>
      <w:pPr>
        <w:ind w:left="1228" w:hanging="284"/>
      </w:pPr>
      <w:rPr>
        <w:rFonts w:hint="default"/>
        <w:lang w:val="en-US" w:eastAsia="en-US" w:bidi="ar-SA"/>
      </w:rPr>
    </w:lvl>
    <w:lvl w:ilvl="4" w:tplc="30E2CAC6">
      <w:numFmt w:val="bullet"/>
      <w:lvlText w:val="•"/>
      <w:lvlJc w:val="left"/>
      <w:pPr>
        <w:ind w:left="1491" w:hanging="284"/>
      </w:pPr>
      <w:rPr>
        <w:rFonts w:hint="default"/>
        <w:lang w:val="en-US" w:eastAsia="en-US" w:bidi="ar-SA"/>
      </w:rPr>
    </w:lvl>
    <w:lvl w:ilvl="5" w:tplc="BA9C9486">
      <w:numFmt w:val="bullet"/>
      <w:lvlText w:val="•"/>
      <w:lvlJc w:val="left"/>
      <w:pPr>
        <w:ind w:left="1754" w:hanging="284"/>
      </w:pPr>
      <w:rPr>
        <w:rFonts w:hint="default"/>
        <w:lang w:val="en-US" w:eastAsia="en-US" w:bidi="ar-SA"/>
      </w:rPr>
    </w:lvl>
    <w:lvl w:ilvl="6" w:tplc="844E33F0">
      <w:numFmt w:val="bullet"/>
      <w:lvlText w:val="•"/>
      <w:lvlJc w:val="left"/>
      <w:pPr>
        <w:ind w:left="2016" w:hanging="284"/>
      </w:pPr>
      <w:rPr>
        <w:rFonts w:hint="default"/>
        <w:lang w:val="en-US" w:eastAsia="en-US" w:bidi="ar-SA"/>
      </w:rPr>
    </w:lvl>
    <w:lvl w:ilvl="7" w:tplc="EA22B234">
      <w:numFmt w:val="bullet"/>
      <w:lvlText w:val="•"/>
      <w:lvlJc w:val="left"/>
      <w:pPr>
        <w:ind w:left="2279" w:hanging="284"/>
      </w:pPr>
      <w:rPr>
        <w:rFonts w:hint="default"/>
        <w:lang w:val="en-US" w:eastAsia="en-US" w:bidi="ar-SA"/>
      </w:rPr>
    </w:lvl>
    <w:lvl w:ilvl="8" w:tplc="EC840F4A">
      <w:numFmt w:val="bullet"/>
      <w:lvlText w:val="•"/>
      <w:lvlJc w:val="left"/>
      <w:pPr>
        <w:ind w:left="2542" w:hanging="284"/>
      </w:pPr>
      <w:rPr>
        <w:rFonts w:hint="default"/>
        <w:lang w:val="en-US" w:eastAsia="en-US" w:bidi="ar-SA"/>
      </w:rPr>
    </w:lvl>
  </w:abstractNum>
  <w:abstractNum w:abstractNumId="465" w15:restartNumberingAfterBreak="0">
    <w:nsid w:val="7AF56211"/>
    <w:multiLevelType w:val="hybridMultilevel"/>
    <w:tmpl w:val="EBD038E6"/>
    <w:lvl w:ilvl="0" w:tplc="5CBE780E">
      <w:numFmt w:val="bullet"/>
      <w:lvlText w:val=""/>
      <w:lvlJc w:val="left"/>
      <w:pPr>
        <w:ind w:left="927" w:hanging="360"/>
      </w:pPr>
      <w:rPr>
        <w:rFonts w:ascii="Symbol" w:eastAsia="Symbol" w:hAnsi="Symbol" w:cs="Symbol" w:hint="default"/>
        <w:b w:val="0"/>
        <w:bCs w:val="0"/>
        <w:i w:val="0"/>
        <w:iCs w:val="0"/>
        <w:color w:val="70004A"/>
        <w:spacing w:val="0"/>
        <w:w w:val="100"/>
        <w:sz w:val="20"/>
        <w:szCs w:val="20"/>
        <w:lang w:val="en-US" w:eastAsia="en-US" w:bidi="ar-SA"/>
      </w:rPr>
    </w:lvl>
    <w:lvl w:ilvl="1" w:tplc="4EF204E8">
      <w:numFmt w:val="bullet"/>
      <w:lvlText w:val="•"/>
      <w:lvlJc w:val="left"/>
      <w:pPr>
        <w:ind w:left="1905" w:hanging="360"/>
      </w:pPr>
      <w:rPr>
        <w:rFonts w:hint="default"/>
        <w:lang w:val="en-US" w:eastAsia="en-US" w:bidi="ar-SA"/>
      </w:rPr>
    </w:lvl>
    <w:lvl w:ilvl="2" w:tplc="A6522D1C">
      <w:numFmt w:val="bullet"/>
      <w:lvlText w:val="•"/>
      <w:lvlJc w:val="left"/>
      <w:pPr>
        <w:ind w:left="2890" w:hanging="360"/>
      </w:pPr>
      <w:rPr>
        <w:rFonts w:hint="default"/>
        <w:lang w:val="en-US" w:eastAsia="en-US" w:bidi="ar-SA"/>
      </w:rPr>
    </w:lvl>
    <w:lvl w:ilvl="3" w:tplc="DBB088F6">
      <w:numFmt w:val="bullet"/>
      <w:lvlText w:val="•"/>
      <w:lvlJc w:val="left"/>
      <w:pPr>
        <w:ind w:left="3876" w:hanging="360"/>
      </w:pPr>
      <w:rPr>
        <w:rFonts w:hint="default"/>
        <w:lang w:val="en-US" w:eastAsia="en-US" w:bidi="ar-SA"/>
      </w:rPr>
    </w:lvl>
    <w:lvl w:ilvl="4" w:tplc="D3AC2214">
      <w:numFmt w:val="bullet"/>
      <w:lvlText w:val="•"/>
      <w:lvlJc w:val="left"/>
      <w:pPr>
        <w:ind w:left="4861" w:hanging="360"/>
      </w:pPr>
      <w:rPr>
        <w:rFonts w:hint="default"/>
        <w:lang w:val="en-US" w:eastAsia="en-US" w:bidi="ar-SA"/>
      </w:rPr>
    </w:lvl>
    <w:lvl w:ilvl="5" w:tplc="A4DC1B56">
      <w:numFmt w:val="bullet"/>
      <w:lvlText w:val="•"/>
      <w:lvlJc w:val="left"/>
      <w:pPr>
        <w:ind w:left="5847" w:hanging="360"/>
      </w:pPr>
      <w:rPr>
        <w:rFonts w:hint="default"/>
        <w:lang w:val="en-US" w:eastAsia="en-US" w:bidi="ar-SA"/>
      </w:rPr>
    </w:lvl>
    <w:lvl w:ilvl="6" w:tplc="F320A23C">
      <w:numFmt w:val="bullet"/>
      <w:lvlText w:val="•"/>
      <w:lvlJc w:val="left"/>
      <w:pPr>
        <w:ind w:left="6832" w:hanging="360"/>
      </w:pPr>
      <w:rPr>
        <w:rFonts w:hint="default"/>
        <w:lang w:val="en-US" w:eastAsia="en-US" w:bidi="ar-SA"/>
      </w:rPr>
    </w:lvl>
    <w:lvl w:ilvl="7" w:tplc="6BEE0434">
      <w:numFmt w:val="bullet"/>
      <w:lvlText w:val="•"/>
      <w:lvlJc w:val="left"/>
      <w:pPr>
        <w:ind w:left="7818" w:hanging="360"/>
      </w:pPr>
      <w:rPr>
        <w:rFonts w:hint="default"/>
        <w:lang w:val="en-US" w:eastAsia="en-US" w:bidi="ar-SA"/>
      </w:rPr>
    </w:lvl>
    <w:lvl w:ilvl="8" w:tplc="C0DE8290">
      <w:numFmt w:val="bullet"/>
      <w:lvlText w:val="•"/>
      <w:lvlJc w:val="left"/>
      <w:pPr>
        <w:ind w:left="8803" w:hanging="360"/>
      </w:pPr>
      <w:rPr>
        <w:rFonts w:hint="default"/>
        <w:lang w:val="en-US" w:eastAsia="en-US" w:bidi="ar-SA"/>
      </w:rPr>
    </w:lvl>
  </w:abstractNum>
  <w:abstractNum w:abstractNumId="466" w15:restartNumberingAfterBreak="0">
    <w:nsid w:val="7B2A4259"/>
    <w:multiLevelType w:val="hybridMultilevel"/>
    <w:tmpl w:val="3EEEA376"/>
    <w:lvl w:ilvl="0" w:tplc="7F7E6A18">
      <w:numFmt w:val="bullet"/>
      <w:lvlText w:val=""/>
      <w:lvlJc w:val="left"/>
      <w:pPr>
        <w:ind w:left="490" w:hanging="284"/>
      </w:pPr>
      <w:rPr>
        <w:rFonts w:ascii="Symbol" w:eastAsia="Symbol" w:hAnsi="Symbol" w:cs="Symbol" w:hint="default"/>
        <w:b w:val="0"/>
        <w:bCs w:val="0"/>
        <w:i w:val="0"/>
        <w:iCs w:val="0"/>
        <w:color w:val="70004A"/>
        <w:spacing w:val="0"/>
        <w:w w:val="100"/>
        <w:sz w:val="18"/>
        <w:szCs w:val="18"/>
        <w:lang w:val="en-US" w:eastAsia="en-US" w:bidi="ar-SA"/>
      </w:rPr>
    </w:lvl>
    <w:lvl w:ilvl="1" w:tplc="7E90CD40">
      <w:numFmt w:val="bullet"/>
      <w:lvlText w:val="•"/>
      <w:lvlJc w:val="left"/>
      <w:pPr>
        <w:ind w:left="766" w:hanging="284"/>
      </w:pPr>
      <w:rPr>
        <w:rFonts w:hint="default"/>
        <w:lang w:val="en-US" w:eastAsia="en-US" w:bidi="ar-SA"/>
      </w:rPr>
    </w:lvl>
    <w:lvl w:ilvl="2" w:tplc="CFCC4D54">
      <w:numFmt w:val="bullet"/>
      <w:lvlText w:val="•"/>
      <w:lvlJc w:val="left"/>
      <w:pPr>
        <w:ind w:left="1033" w:hanging="284"/>
      </w:pPr>
      <w:rPr>
        <w:rFonts w:hint="default"/>
        <w:lang w:val="en-US" w:eastAsia="en-US" w:bidi="ar-SA"/>
      </w:rPr>
    </w:lvl>
    <w:lvl w:ilvl="3" w:tplc="DEECBEB0">
      <w:numFmt w:val="bullet"/>
      <w:lvlText w:val="•"/>
      <w:lvlJc w:val="left"/>
      <w:pPr>
        <w:ind w:left="1300" w:hanging="284"/>
      </w:pPr>
      <w:rPr>
        <w:rFonts w:hint="default"/>
        <w:lang w:val="en-US" w:eastAsia="en-US" w:bidi="ar-SA"/>
      </w:rPr>
    </w:lvl>
    <w:lvl w:ilvl="4" w:tplc="DF32FE5A">
      <w:numFmt w:val="bullet"/>
      <w:lvlText w:val="•"/>
      <w:lvlJc w:val="left"/>
      <w:pPr>
        <w:ind w:left="1567" w:hanging="284"/>
      </w:pPr>
      <w:rPr>
        <w:rFonts w:hint="default"/>
        <w:lang w:val="en-US" w:eastAsia="en-US" w:bidi="ar-SA"/>
      </w:rPr>
    </w:lvl>
    <w:lvl w:ilvl="5" w:tplc="87540D60">
      <w:numFmt w:val="bullet"/>
      <w:lvlText w:val="•"/>
      <w:lvlJc w:val="left"/>
      <w:pPr>
        <w:ind w:left="1834" w:hanging="284"/>
      </w:pPr>
      <w:rPr>
        <w:rFonts w:hint="default"/>
        <w:lang w:val="en-US" w:eastAsia="en-US" w:bidi="ar-SA"/>
      </w:rPr>
    </w:lvl>
    <w:lvl w:ilvl="6" w:tplc="6C766954">
      <w:numFmt w:val="bullet"/>
      <w:lvlText w:val="•"/>
      <w:lvlJc w:val="left"/>
      <w:pPr>
        <w:ind w:left="2100" w:hanging="284"/>
      </w:pPr>
      <w:rPr>
        <w:rFonts w:hint="default"/>
        <w:lang w:val="en-US" w:eastAsia="en-US" w:bidi="ar-SA"/>
      </w:rPr>
    </w:lvl>
    <w:lvl w:ilvl="7" w:tplc="3D404284">
      <w:numFmt w:val="bullet"/>
      <w:lvlText w:val="•"/>
      <w:lvlJc w:val="left"/>
      <w:pPr>
        <w:ind w:left="2367" w:hanging="284"/>
      </w:pPr>
      <w:rPr>
        <w:rFonts w:hint="default"/>
        <w:lang w:val="en-US" w:eastAsia="en-US" w:bidi="ar-SA"/>
      </w:rPr>
    </w:lvl>
    <w:lvl w:ilvl="8" w:tplc="17CE7D00">
      <w:numFmt w:val="bullet"/>
      <w:lvlText w:val="•"/>
      <w:lvlJc w:val="left"/>
      <w:pPr>
        <w:ind w:left="2634" w:hanging="284"/>
      </w:pPr>
      <w:rPr>
        <w:rFonts w:hint="default"/>
        <w:lang w:val="en-US" w:eastAsia="en-US" w:bidi="ar-SA"/>
      </w:rPr>
    </w:lvl>
  </w:abstractNum>
  <w:abstractNum w:abstractNumId="467" w15:restartNumberingAfterBreak="0">
    <w:nsid w:val="7B90177A"/>
    <w:multiLevelType w:val="hybridMultilevel"/>
    <w:tmpl w:val="CBA040A0"/>
    <w:lvl w:ilvl="0" w:tplc="B5CE24C2">
      <w:numFmt w:val="bullet"/>
      <w:lvlText w:val=""/>
      <w:lvlJc w:val="left"/>
      <w:pPr>
        <w:ind w:left="427" w:hanging="284"/>
      </w:pPr>
      <w:rPr>
        <w:rFonts w:ascii="Symbol" w:eastAsia="Symbol" w:hAnsi="Symbol" w:cs="Symbol" w:hint="default"/>
        <w:b w:val="0"/>
        <w:bCs w:val="0"/>
        <w:i w:val="0"/>
        <w:iCs w:val="0"/>
        <w:color w:val="70004A"/>
        <w:spacing w:val="0"/>
        <w:w w:val="100"/>
        <w:sz w:val="18"/>
        <w:szCs w:val="18"/>
        <w:lang w:val="en-US" w:eastAsia="en-US" w:bidi="ar-SA"/>
      </w:rPr>
    </w:lvl>
    <w:lvl w:ilvl="1" w:tplc="7960EFA6">
      <w:numFmt w:val="bullet"/>
      <w:lvlText w:val="•"/>
      <w:lvlJc w:val="left"/>
      <w:pPr>
        <w:ind w:left="585" w:hanging="284"/>
      </w:pPr>
      <w:rPr>
        <w:rFonts w:hint="default"/>
        <w:lang w:val="en-US" w:eastAsia="en-US" w:bidi="ar-SA"/>
      </w:rPr>
    </w:lvl>
    <w:lvl w:ilvl="2" w:tplc="5492BC68">
      <w:numFmt w:val="bullet"/>
      <w:lvlText w:val="•"/>
      <w:lvlJc w:val="left"/>
      <w:pPr>
        <w:ind w:left="750" w:hanging="284"/>
      </w:pPr>
      <w:rPr>
        <w:rFonts w:hint="default"/>
        <w:lang w:val="en-US" w:eastAsia="en-US" w:bidi="ar-SA"/>
      </w:rPr>
    </w:lvl>
    <w:lvl w:ilvl="3" w:tplc="6F1CEA42">
      <w:numFmt w:val="bullet"/>
      <w:lvlText w:val="•"/>
      <w:lvlJc w:val="left"/>
      <w:pPr>
        <w:ind w:left="915" w:hanging="284"/>
      </w:pPr>
      <w:rPr>
        <w:rFonts w:hint="default"/>
        <w:lang w:val="en-US" w:eastAsia="en-US" w:bidi="ar-SA"/>
      </w:rPr>
    </w:lvl>
    <w:lvl w:ilvl="4" w:tplc="9DF693C6">
      <w:numFmt w:val="bullet"/>
      <w:lvlText w:val="•"/>
      <w:lvlJc w:val="left"/>
      <w:pPr>
        <w:ind w:left="1081" w:hanging="284"/>
      </w:pPr>
      <w:rPr>
        <w:rFonts w:hint="default"/>
        <w:lang w:val="en-US" w:eastAsia="en-US" w:bidi="ar-SA"/>
      </w:rPr>
    </w:lvl>
    <w:lvl w:ilvl="5" w:tplc="8CBA37E8">
      <w:numFmt w:val="bullet"/>
      <w:lvlText w:val="•"/>
      <w:lvlJc w:val="left"/>
      <w:pPr>
        <w:ind w:left="1246" w:hanging="284"/>
      </w:pPr>
      <w:rPr>
        <w:rFonts w:hint="default"/>
        <w:lang w:val="en-US" w:eastAsia="en-US" w:bidi="ar-SA"/>
      </w:rPr>
    </w:lvl>
    <w:lvl w:ilvl="6" w:tplc="14B8303C">
      <w:numFmt w:val="bullet"/>
      <w:lvlText w:val="•"/>
      <w:lvlJc w:val="left"/>
      <w:pPr>
        <w:ind w:left="1411" w:hanging="284"/>
      </w:pPr>
      <w:rPr>
        <w:rFonts w:hint="default"/>
        <w:lang w:val="en-US" w:eastAsia="en-US" w:bidi="ar-SA"/>
      </w:rPr>
    </w:lvl>
    <w:lvl w:ilvl="7" w:tplc="DBA6F504">
      <w:numFmt w:val="bullet"/>
      <w:lvlText w:val="•"/>
      <w:lvlJc w:val="left"/>
      <w:pPr>
        <w:ind w:left="1577" w:hanging="284"/>
      </w:pPr>
      <w:rPr>
        <w:rFonts w:hint="default"/>
        <w:lang w:val="en-US" w:eastAsia="en-US" w:bidi="ar-SA"/>
      </w:rPr>
    </w:lvl>
    <w:lvl w:ilvl="8" w:tplc="5660FA4C">
      <w:numFmt w:val="bullet"/>
      <w:lvlText w:val="•"/>
      <w:lvlJc w:val="left"/>
      <w:pPr>
        <w:ind w:left="1742" w:hanging="284"/>
      </w:pPr>
      <w:rPr>
        <w:rFonts w:hint="default"/>
        <w:lang w:val="en-US" w:eastAsia="en-US" w:bidi="ar-SA"/>
      </w:rPr>
    </w:lvl>
  </w:abstractNum>
  <w:abstractNum w:abstractNumId="468" w15:restartNumberingAfterBreak="0">
    <w:nsid w:val="7BB342C3"/>
    <w:multiLevelType w:val="hybridMultilevel"/>
    <w:tmpl w:val="F8463388"/>
    <w:lvl w:ilvl="0" w:tplc="2EFCCFB8">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5D286472">
      <w:numFmt w:val="bullet"/>
      <w:lvlText w:val="•"/>
      <w:lvlJc w:val="left"/>
      <w:pPr>
        <w:ind w:left="632" w:hanging="284"/>
      </w:pPr>
      <w:rPr>
        <w:rFonts w:hint="default"/>
        <w:lang w:val="en-US" w:eastAsia="en-US" w:bidi="ar-SA"/>
      </w:rPr>
    </w:lvl>
    <w:lvl w:ilvl="2" w:tplc="EB7A5E5A">
      <w:numFmt w:val="bullet"/>
      <w:lvlText w:val="•"/>
      <w:lvlJc w:val="left"/>
      <w:pPr>
        <w:ind w:left="885" w:hanging="284"/>
      </w:pPr>
      <w:rPr>
        <w:rFonts w:hint="default"/>
        <w:lang w:val="en-US" w:eastAsia="en-US" w:bidi="ar-SA"/>
      </w:rPr>
    </w:lvl>
    <w:lvl w:ilvl="3" w:tplc="1AC6862A">
      <w:numFmt w:val="bullet"/>
      <w:lvlText w:val="•"/>
      <w:lvlJc w:val="left"/>
      <w:pPr>
        <w:ind w:left="1137" w:hanging="284"/>
      </w:pPr>
      <w:rPr>
        <w:rFonts w:hint="default"/>
        <w:lang w:val="en-US" w:eastAsia="en-US" w:bidi="ar-SA"/>
      </w:rPr>
    </w:lvl>
    <w:lvl w:ilvl="4" w:tplc="7896B25A">
      <w:numFmt w:val="bullet"/>
      <w:lvlText w:val="•"/>
      <w:lvlJc w:val="left"/>
      <w:pPr>
        <w:ind w:left="1390" w:hanging="284"/>
      </w:pPr>
      <w:rPr>
        <w:rFonts w:hint="default"/>
        <w:lang w:val="en-US" w:eastAsia="en-US" w:bidi="ar-SA"/>
      </w:rPr>
    </w:lvl>
    <w:lvl w:ilvl="5" w:tplc="94C4C704">
      <w:numFmt w:val="bullet"/>
      <w:lvlText w:val="•"/>
      <w:lvlJc w:val="left"/>
      <w:pPr>
        <w:ind w:left="1643" w:hanging="284"/>
      </w:pPr>
      <w:rPr>
        <w:rFonts w:hint="default"/>
        <w:lang w:val="en-US" w:eastAsia="en-US" w:bidi="ar-SA"/>
      </w:rPr>
    </w:lvl>
    <w:lvl w:ilvl="6" w:tplc="700ABEEA">
      <w:numFmt w:val="bullet"/>
      <w:lvlText w:val="•"/>
      <w:lvlJc w:val="left"/>
      <w:pPr>
        <w:ind w:left="1895" w:hanging="284"/>
      </w:pPr>
      <w:rPr>
        <w:rFonts w:hint="default"/>
        <w:lang w:val="en-US" w:eastAsia="en-US" w:bidi="ar-SA"/>
      </w:rPr>
    </w:lvl>
    <w:lvl w:ilvl="7" w:tplc="C166F33E">
      <w:numFmt w:val="bullet"/>
      <w:lvlText w:val="•"/>
      <w:lvlJc w:val="left"/>
      <w:pPr>
        <w:ind w:left="2148" w:hanging="284"/>
      </w:pPr>
      <w:rPr>
        <w:rFonts w:hint="default"/>
        <w:lang w:val="en-US" w:eastAsia="en-US" w:bidi="ar-SA"/>
      </w:rPr>
    </w:lvl>
    <w:lvl w:ilvl="8" w:tplc="4B127CE0">
      <w:numFmt w:val="bullet"/>
      <w:lvlText w:val="•"/>
      <w:lvlJc w:val="left"/>
      <w:pPr>
        <w:ind w:left="2400" w:hanging="284"/>
      </w:pPr>
      <w:rPr>
        <w:rFonts w:hint="default"/>
        <w:lang w:val="en-US" w:eastAsia="en-US" w:bidi="ar-SA"/>
      </w:rPr>
    </w:lvl>
  </w:abstractNum>
  <w:abstractNum w:abstractNumId="469" w15:restartNumberingAfterBreak="0">
    <w:nsid w:val="7C0473BB"/>
    <w:multiLevelType w:val="hybridMultilevel"/>
    <w:tmpl w:val="58FC578C"/>
    <w:lvl w:ilvl="0" w:tplc="0A7C974C">
      <w:numFmt w:val="bullet"/>
      <w:lvlText w:val=""/>
      <w:lvlJc w:val="left"/>
      <w:pPr>
        <w:ind w:left="437" w:hanging="284"/>
      </w:pPr>
      <w:rPr>
        <w:rFonts w:ascii="Symbol" w:eastAsia="Symbol" w:hAnsi="Symbol" w:cs="Symbol" w:hint="default"/>
        <w:b w:val="0"/>
        <w:bCs w:val="0"/>
        <w:i w:val="0"/>
        <w:iCs w:val="0"/>
        <w:color w:val="70004A"/>
        <w:spacing w:val="0"/>
        <w:w w:val="100"/>
        <w:sz w:val="18"/>
        <w:szCs w:val="18"/>
        <w:lang w:val="en-US" w:eastAsia="en-US" w:bidi="ar-SA"/>
      </w:rPr>
    </w:lvl>
    <w:lvl w:ilvl="1" w:tplc="A6824BE0">
      <w:numFmt w:val="bullet"/>
      <w:lvlText w:val="•"/>
      <w:lvlJc w:val="left"/>
      <w:pPr>
        <w:ind w:left="602" w:hanging="284"/>
      </w:pPr>
      <w:rPr>
        <w:rFonts w:hint="default"/>
        <w:lang w:val="en-US" w:eastAsia="en-US" w:bidi="ar-SA"/>
      </w:rPr>
    </w:lvl>
    <w:lvl w:ilvl="2" w:tplc="680886A2">
      <w:numFmt w:val="bullet"/>
      <w:lvlText w:val="•"/>
      <w:lvlJc w:val="left"/>
      <w:pPr>
        <w:ind w:left="764" w:hanging="284"/>
      </w:pPr>
      <w:rPr>
        <w:rFonts w:hint="default"/>
        <w:lang w:val="en-US" w:eastAsia="en-US" w:bidi="ar-SA"/>
      </w:rPr>
    </w:lvl>
    <w:lvl w:ilvl="3" w:tplc="68F2934C">
      <w:numFmt w:val="bullet"/>
      <w:lvlText w:val="•"/>
      <w:lvlJc w:val="left"/>
      <w:pPr>
        <w:ind w:left="926" w:hanging="284"/>
      </w:pPr>
      <w:rPr>
        <w:rFonts w:hint="default"/>
        <w:lang w:val="en-US" w:eastAsia="en-US" w:bidi="ar-SA"/>
      </w:rPr>
    </w:lvl>
    <w:lvl w:ilvl="4" w:tplc="6B143806">
      <w:numFmt w:val="bullet"/>
      <w:lvlText w:val="•"/>
      <w:lvlJc w:val="left"/>
      <w:pPr>
        <w:ind w:left="1089" w:hanging="284"/>
      </w:pPr>
      <w:rPr>
        <w:rFonts w:hint="default"/>
        <w:lang w:val="en-US" w:eastAsia="en-US" w:bidi="ar-SA"/>
      </w:rPr>
    </w:lvl>
    <w:lvl w:ilvl="5" w:tplc="9B5CC4BE">
      <w:numFmt w:val="bullet"/>
      <w:lvlText w:val="•"/>
      <w:lvlJc w:val="left"/>
      <w:pPr>
        <w:ind w:left="1251" w:hanging="284"/>
      </w:pPr>
      <w:rPr>
        <w:rFonts w:hint="default"/>
        <w:lang w:val="en-US" w:eastAsia="en-US" w:bidi="ar-SA"/>
      </w:rPr>
    </w:lvl>
    <w:lvl w:ilvl="6" w:tplc="4E84757E">
      <w:numFmt w:val="bullet"/>
      <w:lvlText w:val="•"/>
      <w:lvlJc w:val="left"/>
      <w:pPr>
        <w:ind w:left="1413" w:hanging="284"/>
      </w:pPr>
      <w:rPr>
        <w:rFonts w:hint="default"/>
        <w:lang w:val="en-US" w:eastAsia="en-US" w:bidi="ar-SA"/>
      </w:rPr>
    </w:lvl>
    <w:lvl w:ilvl="7" w:tplc="E20ED8EE">
      <w:numFmt w:val="bullet"/>
      <w:lvlText w:val="•"/>
      <w:lvlJc w:val="left"/>
      <w:pPr>
        <w:ind w:left="1576" w:hanging="284"/>
      </w:pPr>
      <w:rPr>
        <w:rFonts w:hint="default"/>
        <w:lang w:val="en-US" w:eastAsia="en-US" w:bidi="ar-SA"/>
      </w:rPr>
    </w:lvl>
    <w:lvl w:ilvl="8" w:tplc="AB1AA1C0">
      <w:numFmt w:val="bullet"/>
      <w:lvlText w:val="•"/>
      <w:lvlJc w:val="left"/>
      <w:pPr>
        <w:ind w:left="1738" w:hanging="284"/>
      </w:pPr>
      <w:rPr>
        <w:rFonts w:hint="default"/>
        <w:lang w:val="en-US" w:eastAsia="en-US" w:bidi="ar-SA"/>
      </w:rPr>
    </w:lvl>
  </w:abstractNum>
  <w:abstractNum w:abstractNumId="470" w15:restartNumberingAfterBreak="0">
    <w:nsid w:val="7C3D155B"/>
    <w:multiLevelType w:val="hybridMultilevel"/>
    <w:tmpl w:val="F6D6F06E"/>
    <w:lvl w:ilvl="0" w:tplc="73948218">
      <w:numFmt w:val="bullet"/>
      <w:lvlText w:val=""/>
      <w:lvlJc w:val="left"/>
      <w:pPr>
        <w:ind w:left="424" w:hanging="284"/>
      </w:pPr>
      <w:rPr>
        <w:rFonts w:ascii="Symbol" w:eastAsia="Symbol" w:hAnsi="Symbol" w:cs="Symbol" w:hint="default"/>
        <w:b w:val="0"/>
        <w:bCs w:val="0"/>
        <w:i w:val="0"/>
        <w:iCs w:val="0"/>
        <w:color w:val="70004A"/>
        <w:spacing w:val="0"/>
        <w:w w:val="100"/>
        <w:sz w:val="18"/>
        <w:szCs w:val="18"/>
        <w:lang w:val="en-US" w:eastAsia="en-US" w:bidi="ar-SA"/>
      </w:rPr>
    </w:lvl>
    <w:lvl w:ilvl="1" w:tplc="69A44A84">
      <w:numFmt w:val="bullet"/>
      <w:lvlText w:val="•"/>
      <w:lvlJc w:val="left"/>
      <w:pPr>
        <w:ind w:left="585" w:hanging="284"/>
      </w:pPr>
      <w:rPr>
        <w:rFonts w:hint="default"/>
        <w:lang w:val="en-US" w:eastAsia="en-US" w:bidi="ar-SA"/>
      </w:rPr>
    </w:lvl>
    <w:lvl w:ilvl="2" w:tplc="FFA858C0">
      <w:numFmt w:val="bullet"/>
      <w:lvlText w:val="•"/>
      <w:lvlJc w:val="left"/>
      <w:pPr>
        <w:ind w:left="750" w:hanging="284"/>
      </w:pPr>
      <w:rPr>
        <w:rFonts w:hint="default"/>
        <w:lang w:val="en-US" w:eastAsia="en-US" w:bidi="ar-SA"/>
      </w:rPr>
    </w:lvl>
    <w:lvl w:ilvl="3" w:tplc="3EE65BE2">
      <w:numFmt w:val="bullet"/>
      <w:lvlText w:val="•"/>
      <w:lvlJc w:val="left"/>
      <w:pPr>
        <w:ind w:left="916" w:hanging="284"/>
      </w:pPr>
      <w:rPr>
        <w:rFonts w:hint="default"/>
        <w:lang w:val="en-US" w:eastAsia="en-US" w:bidi="ar-SA"/>
      </w:rPr>
    </w:lvl>
    <w:lvl w:ilvl="4" w:tplc="86B0AB9A">
      <w:numFmt w:val="bullet"/>
      <w:lvlText w:val="•"/>
      <w:lvlJc w:val="left"/>
      <w:pPr>
        <w:ind w:left="1081" w:hanging="284"/>
      </w:pPr>
      <w:rPr>
        <w:rFonts w:hint="default"/>
        <w:lang w:val="en-US" w:eastAsia="en-US" w:bidi="ar-SA"/>
      </w:rPr>
    </w:lvl>
    <w:lvl w:ilvl="5" w:tplc="9F6A4C72">
      <w:numFmt w:val="bullet"/>
      <w:lvlText w:val="•"/>
      <w:lvlJc w:val="left"/>
      <w:pPr>
        <w:ind w:left="1247" w:hanging="284"/>
      </w:pPr>
      <w:rPr>
        <w:rFonts w:hint="default"/>
        <w:lang w:val="en-US" w:eastAsia="en-US" w:bidi="ar-SA"/>
      </w:rPr>
    </w:lvl>
    <w:lvl w:ilvl="6" w:tplc="2A80B474">
      <w:numFmt w:val="bullet"/>
      <w:lvlText w:val="•"/>
      <w:lvlJc w:val="left"/>
      <w:pPr>
        <w:ind w:left="1412" w:hanging="284"/>
      </w:pPr>
      <w:rPr>
        <w:rFonts w:hint="default"/>
        <w:lang w:val="en-US" w:eastAsia="en-US" w:bidi="ar-SA"/>
      </w:rPr>
    </w:lvl>
    <w:lvl w:ilvl="7" w:tplc="65246DCE">
      <w:numFmt w:val="bullet"/>
      <w:lvlText w:val="•"/>
      <w:lvlJc w:val="left"/>
      <w:pPr>
        <w:ind w:left="1577" w:hanging="284"/>
      </w:pPr>
      <w:rPr>
        <w:rFonts w:hint="default"/>
        <w:lang w:val="en-US" w:eastAsia="en-US" w:bidi="ar-SA"/>
      </w:rPr>
    </w:lvl>
    <w:lvl w:ilvl="8" w:tplc="1AAA5082">
      <w:numFmt w:val="bullet"/>
      <w:lvlText w:val="•"/>
      <w:lvlJc w:val="left"/>
      <w:pPr>
        <w:ind w:left="1743" w:hanging="284"/>
      </w:pPr>
      <w:rPr>
        <w:rFonts w:hint="default"/>
        <w:lang w:val="en-US" w:eastAsia="en-US" w:bidi="ar-SA"/>
      </w:rPr>
    </w:lvl>
  </w:abstractNum>
  <w:abstractNum w:abstractNumId="471" w15:restartNumberingAfterBreak="0">
    <w:nsid w:val="7C5A5F8E"/>
    <w:multiLevelType w:val="hybridMultilevel"/>
    <w:tmpl w:val="29F646A0"/>
    <w:lvl w:ilvl="0" w:tplc="C7C2EF5A">
      <w:numFmt w:val="bullet"/>
      <w:lvlText w:val=""/>
      <w:lvlJc w:val="left"/>
      <w:pPr>
        <w:ind w:left="468" w:hanging="284"/>
      </w:pPr>
      <w:rPr>
        <w:rFonts w:ascii="Symbol" w:eastAsia="Symbol" w:hAnsi="Symbol" w:cs="Symbol" w:hint="default"/>
        <w:b w:val="0"/>
        <w:bCs w:val="0"/>
        <w:i w:val="0"/>
        <w:iCs w:val="0"/>
        <w:color w:val="70004A"/>
        <w:spacing w:val="0"/>
        <w:w w:val="100"/>
        <w:sz w:val="18"/>
        <w:szCs w:val="18"/>
        <w:lang w:val="en-US" w:eastAsia="en-US" w:bidi="ar-SA"/>
      </w:rPr>
    </w:lvl>
    <w:lvl w:ilvl="1" w:tplc="04EE836E">
      <w:numFmt w:val="bullet"/>
      <w:lvlText w:val="•"/>
      <w:lvlJc w:val="left"/>
      <w:pPr>
        <w:ind w:left="681" w:hanging="284"/>
      </w:pPr>
      <w:rPr>
        <w:rFonts w:hint="default"/>
        <w:lang w:val="en-US" w:eastAsia="en-US" w:bidi="ar-SA"/>
      </w:rPr>
    </w:lvl>
    <w:lvl w:ilvl="2" w:tplc="7DC445C0">
      <w:numFmt w:val="bullet"/>
      <w:lvlText w:val="•"/>
      <w:lvlJc w:val="left"/>
      <w:pPr>
        <w:ind w:left="902" w:hanging="284"/>
      </w:pPr>
      <w:rPr>
        <w:rFonts w:hint="default"/>
        <w:lang w:val="en-US" w:eastAsia="en-US" w:bidi="ar-SA"/>
      </w:rPr>
    </w:lvl>
    <w:lvl w:ilvl="3" w:tplc="525C122C">
      <w:numFmt w:val="bullet"/>
      <w:lvlText w:val="•"/>
      <w:lvlJc w:val="left"/>
      <w:pPr>
        <w:ind w:left="1124" w:hanging="284"/>
      </w:pPr>
      <w:rPr>
        <w:rFonts w:hint="default"/>
        <w:lang w:val="en-US" w:eastAsia="en-US" w:bidi="ar-SA"/>
      </w:rPr>
    </w:lvl>
    <w:lvl w:ilvl="4" w:tplc="A87E9E58">
      <w:numFmt w:val="bullet"/>
      <w:lvlText w:val="•"/>
      <w:lvlJc w:val="left"/>
      <w:pPr>
        <w:ind w:left="1345" w:hanging="284"/>
      </w:pPr>
      <w:rPr>
        <w:rFonts w:hint="default"/>
        <w:lang w:val="en-US" w:eastAsia="en-US" w:bidi="ar-SA"/>
      </w:rPr>
    </w:lvl>
    <w:lvl w:ilvl="5" w:tplc="0B4A6AF0">
      <w:numFmt w:val="bullet"/>
      <w:lvlText w:val="•"/>
      <w:lvlJc w:val="left"/>
      <w:pPr>
        <w:ind w:left="1567" w:hanging="284"/>
      </w:pPr>
      <w:rPr>
        <w:rFonts w:hint="default"/>
        <w:lang w:val="en-US" w:eastAsia="en-US" w:bidi="ar-SA"/>
      </w:rPr>
    </w:lvl>
    <w:lvl w:ilvl="6" w:tplc="F5484F7E">
      <w:numFmt w:val="bullet"/>
      <w:lvlText w:val="•"/>
      <w:lvlJc w:val="left"/>
      <w:pPr>
        <w:ind w:left="1788" w:hanging="284"/>
      </w:pPr>
      <w:rPr>
        <w:rFonts w:hint="default"/>
        <w:lang w:val="en-US" w:eastAsia="en-US" w:bidi="ar-SA"/>
      </w:rPr>
    </w:lvl>
    <w:lvl w:ilvl="7" w:tplc="23EEC6F8">
      <w:numFmt w:val="bullet"/>
      <w:lvlText w:val="•"/>
      <w:lvlJc w:val="left"/>
      <w:pPr>
        <w:ind w:left="2009" w:hanging="284"/>
      </w:pPr>
      <w:rPr>
        <w:rFonts w:hint="default"/>
        <w:lang w:val="en-US" w:eastAsia="en-US" w:bidi="ar-SA"/>
      </w:rPr>
    </w:lvl>
    <w:lvl w:ilvl="8" w:tplc="9536D27E">
      <w:numFmt w:val="bullet"/>
      <w:lvlText w:val="•"/>
      <w:lvlJc w:val="left"/>
      <w:pPr>
        <w:ind w:left="2231" w:hanging="284"/>
      </w:pPr>
      <w:rPr>
        <w:rFonts w:hint="default"/>
        <w:lang w:val="en-US" w:eastAsia="en-US" w:bidi="ar-SA"/>
      </w:rPr>
    </w:lvl>
  </w:abstractNum>
  <w:abstractNum w:abstractNumId="472" w15:restartNumberingAfterBreak="0">
    <w:nsid w:val="7C5C3265"/>
    <w:multiLevelType w:val="hybridMultilevel"/>
    <w:tmpl w:val="23C4780C"/>
    <w:lvl w:ilvl="0" w:tplc="DB002040">
      <w:numFmt w:val="bullet"/>
      <w:lvlText w:val=""/>
      <w:lvlJc w:val="left"/>
      <w:pPr>
        <w:ind w:left="455" w:hanging="284"/>
      </w:pPr>
      <w:rPr>
        <w:rFonts w:ascii="Symbol" w:eastAsia="Symbol" w:hAnsi="Symbol" w:cs="Symbol" w:hint="default"/>
        <w:b w:val="0"/>
        <w:bCs w:val="0"/>
        <w:i w:val="0"/>
        <w:iCs w:val="0"/>
        <w:color w:val="70004A"/>
        <w:spacing w:val="0"/>
        <w:w w:val="100"/>
        <w:sz w:val="18"/>
        <w:szCs w:val="18"/>
        <w:lang w:val="en-US" w:eastAsia="en-US" w:bidi="ar-SA"/>
      </w:rPr>
    </w:lvl>
    <w:lvl w:ilvl="1" w:tplc="C2E43160">
      <w:numFmt w:val="bullet"/>
      <w:lvlText w:val="•"/>
      <w:lvlJc w:val="left"/>
      <w:pPr>
        <w:ind w:left="632" w:hanging="284"/>
      </w:pPr>
      <w:rPr>
        <w:rFonts w:hint="default"/>
        <w:lang w:val="en-US" w:eastAsia="en-US" w:bidi="ar-SA"/>
      </w:rPr>
    </w:lvl>
    <w:lvl w:ilvl="2" w:tplc="78CE072A">
      <w:numFmt w:val="bullet"/>
      <w:lvlText w:val="•"/>
      <w:lvlJc w:val="left"/>
      <w:pPr>
        <w:ind w:left="804" w:hanging="284"/>
      </w:pPr>
      <w:rPr>
        <w:rFonts w:hint="default"/>
        <w:lang w:val="en-US" w:eastAsia="en-US" w:bidi="ar-SA"/>
      </w:rPr>
    </w:lvl>
    <w:lvl w:ilvl="3" w:tplc="1A82552A">
      <w:numFmt w:val="bullet"/>
      <w:lvlText w:val="•"/>
      <w:lvlJc w:val="left"/>
      <w:pPr>
        <w:ind w:left="976" w:hanging="284"/>
      </w:pPr>
      <w:rPr>
        <w:rFonts w:hint="default"/>
        <w:lang w:val="en-US" w:eastAsia="en-US" w:bidi="ar-SA"/>
      </w:rPr>
    </w:lvl>
    <w:lvl w:ilvl="4" w:tplc="9926C080">
      <w:numFmt w:val="bullet"/>
      <w:lvlText w:val="•"/>
      <w:lvlJc w:val="left"/>
      <w:pPr>
        <w:ind w:left="1149" w:hanging="284"/>
      </w:pPr>
      <w:rPr>
        <w:rFonts w:hint="default"/>
        <w:lang w:val="en-US" w:eastAsia="en-US" w:bidi="ar-SA"/>
      </w:rPr>
    </w:lvl>
    <w:lvl w:ilvl="5" w:tplc="92D8FA58">
      <w:numFmt w:val="bullet"/>
      <w:lvlText w:val="•"/>
      <w:lvlJc w:val="left"/>
      <w:pPr>
        <w:ind w:left="1321" w:hanging="284"/>
      </w:pPr>
      <w:rPr>
        <w:rFonts w:hint="default"/>
        <w:lang w:val="en-US" w:eastAsia="en-US" w:bidi="ar-SA"/>
      </w:rPr>
    </w:lvl>
    <w:lvl w:ilvl="6" w:tplc="AD5298D0">
      <w:numFmt w:val="bullet"/>
      <w:lvlText w:val="•"/>
      <w:lvlJc w:val="left"/>
      <w:pPr>
        <w:ind w:left="1493" w:hanging="284"/>
      </w:pPr>
      <w:rPr>
        <w:rFonts w:hint="default"/>
        <w:lang w:val="en-US" w:eastAsia="en-US" w:bidi="ar-SA"/>
      </w:rPr>
    </w:lvl>
    <w:lvl w:ilvl="7" w:tplc="CE66A838">
      <w:numFmt w:val="bullet"/>
      <w:lvlText w:val="•"/>
      <w:lvlJc w:val="left"/>
      <w:pPr>
        <w:ind w:left="1666" w:hanging="284"/>
      </w:pPr>
      <w:rPr>
        <w:rFonts w:hint="default"/>
        <w:lang w:val="en-US" w:eastAsia="en-US" w:bidi="ar-SA"/>
      </w:rPr>
    </w:lvl>
    <w:lvl w:ilvl="8" w:tplc="2118F0C2">
      <w:numFmt w:val="bullet"/>
      <w:lvlText w:val="•"/>
      <w:lvlJc w:val="left"/>
      <w:pPr>
        <w:ind w:left="1838" w:hanging="284"/>
      </w:pPr>
      <w:rPr>
        <w:rFonts w:hint="default"/>
        <w:lang w:val="en-US" w:eastAsia="en-US" w:bidi="ar-SA"/>
      </w:rPr>
    </w:lvl>
  </w:abstractNum>
  <w:abstractNum w:abstractNumId="473" w15:restartNumberingAfterBreak="0">
    <w:nsid w:val="7D3F3C02"/>
    <w:multiLevelType w:val="hybridMultilevel"/>
    <w:tmpl w:val="D24E8CB8"/>
    <w:lvl w:ilvl="0" w:tplc="E14E23CE">
      <w:numFmt w:val="bullet"/>
      <w:lvlText w:val=""/>
      <w:lvlJc w:val="left"/>
      <w:pPr>
        <w:ind w:left="444" w:hanging="284"/>
      </w:pPr>
      <w:rPr>
        <w:rFonts w:ascii="Symbol" w:eastAsia="Symbol" w:hAnsi="Symbol" w:cs="Symbol" w:hint="default"/>
        <w:b w:val="0"/>
        <w:bCs w:val="0"/>
        <w:i w:val="0"/>
        <w:iCs w:val="0"/>
        <w:color w:val="70004A"/>
        <w:spacing w:val="0"/>
        <w:w w:val="100"/>
        <w:sz w:val="18"/>
        <w:szCs w:val="18"/>
        <w:lang w:val="en-US" w:eastAsia="en-US" w:bidi="ar-SA"/>
      </w:rPr>
    </w:lvl>
    <w:lvl w:ilvl="1" w:tplc="00840F70">
      <w:numFmt w:val="bullet"/>
      <w:lvlText w:val="•"/>
      <w:lvlJc w:val="left"/>
      <w:pPr>
        <w:ind w:left="606" w:hanging="284"/>
      </w:pPr>
      <w:rPr>
        <w:rFonts w:hint="default"/>
        <w:lang w:val="en-US" w:eastAsia="en-US" w:bidi="ar-SA"/>
      </w:rPr>
    </w:lvl>
    <w:lvl w:ilvl="2" w:tplc="AD1C92E2">
      <w:numFmt w:val="bullet"/>
      <w:lvlText w:val="•"/>
      <w:lvlJc w:val="left"/>
      <w:pPr>
        <w:ind w:left="772" w:hanging="284"/>
      </w:pPr>
      <w:rPr>
        <w:rFonts w:hint="default"/>
        <w:lang w:val="en-US" w:eastAsia="en-US" w:bidi="ar-SA"/>
      </w:rPr>
    </w:lvl>
    <w:lvl w:ilvl="3" w:tplc="4C4A036A">
      <w:numFmt w:val="bullet"/>
      <w:lvlText w:val="•"/>
      <w:lvlJc w:val="left"/>
      <w:pPr>
        <w:ind w:left="938" w:hanging="284"/>
      </w:pPr>
      <w:rPr>
        <w:rFonts w:hint="default"/>
        <w:lang w:val="en-US" w:eastAsia="en-US" w:bidi="ar-SA"/>
      </w:rPr>
    </w:lvl>
    <w:lvl w:ilvl="4" w:tplc="727EDD3E">
      <w:numFmt w:val="bullet"/>
      <w:lvlText w:val="•"/>
      <w:lvlJc w:val="left"/>
      <w:pPr>
        <w:ind w:left="1104" w:hanging="284"/>
      </w:pPr>
      <w:rPr>
        <w:rFonts w:hint="default"/>
        <w:lang w:val="en-US" w:eastAsia="en-US" w:bidi="ar-SA"/>
      </w:rPr>
    </w:lvl>
    <w:lvl w:ilvl="5" w:tplc="416C1E8A">
      <w:numFmt w:val="bullet"/>
      <w:lvlText w:val="•"/>
      <w:lvlJc w:val="left"/>
      <w:pPr>
        <w:ind w:left="1270" w:hanging="284"/>
      </w:pPr>
      <w:rPr>
        <w:rFonts w:hint="default"/>
        <w:lang w:val="en-US" w:eastAsia="en-US" w:bidi="ar-SA"/>
      </w:rPr>
    </w:lvl>
    <w:lvl w:ilvl="6" w:tplc="D8F23A08">
      <w:numFmt w:val="bullet"/>
      <w:lvlText w:val="•"/>
      <w:lvlJc w:val="left"/>
      <w:pPr>
        <w:ind w:left="1436" w:hanging="284"/>
      </w:pPr>
      <w:rPr>
        <w:rFonts w:hint="default"/>
        <w:lang w:val="en-US" w:eastAsia="en-US" w:bidi="ar-SA"/>
      </w:rPr>
    </w:lvl>
    <w:lvl w:ilvl="7" w:tplc="CCFA5292">
      <w:numFmt w:val="bullet"/>
      <w:lvlText w:val="•"/>
      <w:lvlJc w:val="left"/>
      <w:pPr>
        <w:ind w:left="1602" w:hanging="284"/>
      </w:pPr>
      <w:rPr>
        <w:rFonts w:hint="default"/>
        <w:lang w:val="en-US" w:eastAsia="en-US" w:bidi="ar-SA"/>
      </w:rPr>
    </w:lvl>
    <w:lvl w:ilvl="8" w:tplc="37540032">
      <w:numFmt w:val="bullet"/>
      <w:lvlText w:val="•"/>
      <w:lvlJc w:val="left"/>
      <w:pPr>
        <w:ind w:left="1768" w:hanging="284"/>
      </w:pPr>
      <w:rPr>
        <w:rFonts w:hint="default"/>
        <w:lang w:val="en-US" w:eastAsia="en-US" w:bidi="ar-SA"/>
      </w:rPr>
    </w:lvl>
  </w:abstractNum>
  <w:abstractNum w:abstractNumId="474" w15:restartNumberingAfterBreak="0">
    <w:nsid w:val="7D753C94"/>
    <w:multiLevelType w:val="hybridMultilevel"/>
    <w:tmpl w:val="81FE78D0"/>
    <w:lvl w:ilvl="0" w:tplc="2E20E3AC">
      <w:numFmt w:val="bullet"/>
      <w:lvlText w:val=""/>
      <w:lvlJc w:val="left"/>
      <w:pPr>
        <w:ind w:left="460" w:hanging="284"/>
      </w:pPr>
      <w:rPr>
        <w:rFonts w:ascii="Symbol" w:eastAsia="Symbol" w:hAnsi="Symbol" w:cs="Symbol" w:hint="default"/>
        <w:b w:val="0"/>
        <w:bCs w:val="0"/>
        <w:i w:val="0"/>
        <w:iCs w:val="0"/>
        <w:color w:val="70004A"/>
        <w:spacing w:val="0"/>
        <w:w w:val="100"/>
        <w:sz w:val="18"/>
        <w:szCs w:val="18"/>
        <w:lang w:val="en-US" w:eastAsia="en-US" w:bidi="ar-SA"/>
      </w:rPr>
    </w:lvl>
    <w:lvl w:ilvl="1" w:tplc="D884C248">
      <w:numFmt w:val="bullet"/>
      <w:lvlText w:val="•"/>
      <w:lvlJc w:val="left"/>
      <w:pPr>
        <w:ind w:left="790" w:hanging="284"/>
      </w:pPr>
      <w:rPr>
        <w:rFonts w:hint="default"/>
        <w:lang w:val="en-US" w:eastAsia="en-US" w:bidi="ar-SA"/>
      </w:rPr>
    </w:lvl>
    <w:lvl w:ilvl="2" w:tplc="DB4A2092">
      <w:numFmt w:val="bullet"/>
      <w:lvlText w:val="•"/>
      <w:lvlJc w:val="left"/>
      <w:pPr>
        <w:ind w:left="1120" w:hanging="284"/>
      </w:pPr>
      <w:rPr>
        <w:rFonts w:hint="default"/>
        <w:lang w:val="en-US" w:eastAsia="en-US" w:bidi="ar-SA"/>
      </w:rPr>
    </w:lvl>
    <w:lvl w:ilvl="3" w:tplc="ED764AF4">
      <w:numFmt w:val="bullet"/>
      <w:lvlText w:val="•"/>
      <w:lvlJc w:val="left"/>
      <w:pPr>
        <w:ind w:left="1450" w:hanging="284"/>
      </w:pPr>
      <w:rPr>
        <w:rFonts w:hint="default"/>
        <w:lang w:val="en-US" w:eastAsia="en-US" w:bidi="ar-SA"/>
      </w:rPr>
    </w:lvl>
    <w:lvl w:ilvl="4" w:tplc="F82EA562">
      <w:numFmt w:val="bullet"/>
      <w:lvlText w:val="•"/>
      <w:lvlJc w:val="left"/>
      <w:pPr>
        <w:ind w:left="1781" w:hanging="284"/>
      </w:pPr>
      <w:rPr>
        <w:rFonts w:hint="default"/>
        <w:lang w:val="en-US" w:eastAsia="en-US" w:bidi="ar-SA"/>
      </w:rPr>
    </w:lvl>
    <w:lvl w:ilvl="5" w:tplc="529A7266">
      <w:numFmt w:val="bullet"/>
      <w:lvlText w:val="•"/>
      <w:lvlJc w:val="left"/>
      <w:pPr>
        <w:ind w:left="2111" w:hanging="284"/>
      </w:pPr>
      <w:rPr>
        <w:rFonts w:hint="default"/>
        <w:lang w:val="en-US" w:eastAsia="en-US" w:bidi="ar-SA"/>
      </w:rPr>
    </w:lvl>
    <w:lvl w:ilvl="6" w:tplc="308CDD48">
      <w:numFmt w:val="bullet"/>
      <w:lvlText w:val="•"/>
      <w:lvlJc w:val="left"/>
      <w:pPr>
        <w:ind w:left="2441" w:hanging="284"/>
      </w:pPr>
      <w:rPr>
        <w:rFonts w:hint="default"/>
        <w:lang w:val="en-US" w:eastAsia="en-US" w:bidi="ar-SA"/>
      </w:rPr>
    </w:lvl>
    <w:lvl w:ilvl="7" w:tplc="D7FECA40">
      <w:numFmt w:val="bullet"/>
      <w:lvlText w:val="•"/>
      <w:lvlJc w:val="left"/>
      <w:pPr>
        <w:ind w:left="2772" w:hanging="284"/>
      </w:pPr>
      <w:rPr>
        <w:rFonts w:hint="default"/>
        <w:lang w:val="en-US" w:eastAsia="en-US" w:bidi="ar-SA"/>
      </w:rPr>
    </w:lvl>
    <w:lvl w:ilvl="8" w:tplc="6E38B206">
      <w:numFmt w:val="bullet"/>
      <w:lvlText w:val="•"/>
      <w:lvlJc w:val="left"/>
      <w:pPr>
        <w:ind w:left="3102" w:hanging="284"/>
      </w:pPr>
      <w:rPr>
        <w:rFonts w:hint="default"/>
        <w:lang w:val="en-US" w:eastAsia="en-US" w:bidi="ar-SA"/>
      </w:rPr>
    </w:lvl>
  </w:abstractNum>
  <w:abstractNum w:abstractNumId="475" w15:restartNumberingAfterBreak="0">
    <w:nsid w:val="7E0E2296"/>
    <w:multiLevelType w:val="hybridMultilevel"/>
    <w:tmpl w:val="117AD576"/>
    <w:lvl w:ilvl="0" w:tplc="A5A88E02">
      <w:numFmt w:val="bullet"/>
      <w:lvlText w:val=""/>
      <w:lvlJc w:val="left"/>
      <w:pPr>
        <w:ind w:left="424" w:hanging="284"/>
      </w:pPr>
      <w:rPr>
        <w:rFonts w:ascii="Symbol" w:eastAsia="Symbol" w:hAnsi="Symbol" w:cs="Symbol" w:hint="default"/>
        <w:b w:val="0"/>
        <w:bCs w:val="0"/>
        <w:i w:val="0"/>
        <w:iCs w:val="0"/>
        <w:color w:val="70004A"/>
        <w:spacing w:val="0"/>
        <w:w w:val="100"/>
        <w:sz w:val="18"/>
        <w:szCs w:val="18"/>
        <w:lang w:val="en-US" w:eastAsia="en-US" w:bidi="ar-SA"/>
      </w:rPr>
    </w:lvl>
    <w:lvl w:ilvl="1" w:tplc="7E1C6A94">
      <w:numFmt w:val="bullet"/>
      <w:lvlText w:val="•"/>
      <w:lvlJc w:val="left"/>
      <w:pPr>
        <w:ind w:left="655" w:hanging="284"/>
      </w:pPr>
      <w:rPr>
        <w:rFonts w:hint="default"/>
        <w:lang w:val="en-US" w:eastAsia="en-US" w:bidi="ar-SA"/>
      </w:rPr>
    </w:lvl>
    <w:lvl w:ilvl="2" w:tplc="42262B18">
      <w:numFmt w:val="bullet"/>
      <w:lvlText w:val="•"/>
      <w:lvlJc w:val="left"/>
      <w:pPr>
        <w:ind w:left="891" w:hanging="284"/>
      </w:pPr>
      <w:rPr>
        <w:rFonts w:hint="default"/>
        <w:lang w:val="en-US" w:eastAsia="en-US" w:bidi="ar-SA"/>
      </w:rPr>
    </w:lvl>
    <w:lvl w:ilvl="3" w:tplc="BB483216">
      <w:numFmt w:val="bullet"/>
      <w:lvlText w:val="•"/>
      <w:lvlJc w:val="left"/>
      <w:pPr>
        <w:ind w:left="1127" w:hanging="284"/>
      </w:pPr>
      <w:rPr>
        <w:rFonts w:hint="default"/>
        <w:lang w:val="en-US" w:eastAsia="en-US" w:bidi="ar-SA"/>
      </w:rPr>
    </w:lvl>
    <w:lvl w:ilvl="4" w:tplc="01B4AB06">
      <w:numFmt w:val="bullet"/>
      <w:lvlText w:val="•"/>
      <w:lvlJc w:val="left"/>
      <w:pPr>
        <w:ind w:left="1362" w:hanging="284"/>
      </w:pPr>
      <w:rPr>
        <w:rFonts w:hint="default"/>
        <w:lang w:val="en-US" w:eastAsia="en-US" w:bidi="ar-SA"/>
      </w:rPr>
    </w:lvl>
    <w:lvl w:ilvl="5" w:tplc="ABFED96A">
      <w:numFmt w:val="bullet"/>
      <w:lvlText w:val="•"/>
      <w:lvlJc w:val="left"/>
      <w:pPr>
        <w:ind w:left="1598" w:hanging="284"/>
      </w:pPr>
      <w:rPr>
        <w:rFonts w:hint="default"/>
        <w:lang w:val="en-US" w:eastAsia="en-US" w:bidi="ar-SA"/>
      </w:rPr>
    </w:lvl>
    <w:lvl w:ilvl="6" w:tplc="2FCC349E">
      <w:numFmt w:val="bullet"/>
      <w:lvlText w:val="•"/>
      <w:lvlJc w:val="left"/>
      <w:pPr>
        <w:ind w:left="1834" w:hanging="284"/>
      </w:pPr>
      <w:rPr>
        <w:rFonts w:hint="default"/>
        <w:lang w:val="en-US" w:eastAsia="en-US" w:bidi="ar-SA"/>
      </w:rPr>
    </w:lvl>
    <w:lvl w:ilvl="7" w:tplc="08449132">
      <w:numFmt w:val="bullet"/>
      <w:lvlText w:val="•"/>
      <w:lvlJc w:val="left"/>
      <w:pPr>
        <w:ind w:left="2069" w:hanging="284"/>
      </w:pPr>
      <w:rPr>
        <w:rFonts w:hint="default"/>
        <w:lang w:val="en-US" w:eastAsia="en-US" w:bidi="ar-SA"/>
      </w:rPr>
    </w:lvl>
    <w:lvl w:ilvl="8" w:tplc="C0A0735E">
      <w:numFmt w:val="bullet"/>
      <w:lvlText w:val="•"/>
      <w:lvlJc w:val="left"/>
      <w:pPr>
        <w:ind w:left="2305" w:hanging="284"/>
      </w:pPr>
      <w:rPr>
        <w:rFonts w:hint="default"/>
        <w:lang w:val="en-US" w:eastAsia="en-US" w:bidi="ar-SA"/>
      </w:rPr>
    </w:lvl>
  </w:abstractNum>
  <w:abstractNum w:abstractNumId="476" w15:restartNumberingAfterBreak="0">
    <w:nsid w:val="7E20588C"/>
    <w:multiLevelType w:val="multilevel"/>
    <w:tmpl w:val="98D24806"/>
    <w:lvl w:ilvl="0">
      <w:start w:val="1"/>
      <w:numFmt w:val="decimal"/>
      <w:pStyle w:val="ListNumber"/>
      <w:lvlText w:val="%1."/>
      <w:lvlJc w:val="left"/>
      <w:pPr>
        <w:ind w:left="425" w:hanging="425"/>
      </w:pPr>
      <w:rPr>
        <w:rFonts w:hint="default"/>
        <w:color w:val="71004B"/>
      </w:rPr>
    </w:lvl>
    <w:lvl w:ilvl="1">
      <w:start w:val="1"/>
      <w:numFmt w:val="lowerLetter"/>
      <w:pStyle w:val="ListNumber2"/>
      <w:lvlText w:val="%2."/>
      <w:lvlJc w:val="left"/>
      <w:pPr>
        <w:ind w:left="850" w:hanging="425"/>
      </w:pPr>
      <w:rPr>
        <w:rFonts w:hint="default"/>
        <w:color w:val="5F6369" w:themeColor="text2"/>
      </w:rPr>
    </w:lvl>
    <w:lvl w:ilvl="2">
      <w:start w:val="1"/>
      <w:numFmt w:val="lowerRoman"/>
      <w:pStyle w:val="ListNumber3"/>
      <w:lvlText w:val="%3."/>
      <w:lvlJc w:val="left"/>
      <w:pPr>
        <w:ind w:left="1275" w:hanging="425"/>
      </w:pPr>
      <w:rPr>
        <w:rFonts w:hint="default"/>
        <w:color w:val="5F6369" w:themeColor="text2"/>
      </w:rPr>
    </w:lvl>
    <w:lvl w:ilvl="3">
      <w:start w:val="1"/>
      <w:numFmt w:val="upperLetter"/>
      <w:lvlText w:val="%4."/>
      <w:lvlJc w:val="left"/>
      <w:pPr>
        <w:ind w:left="1700" w:hanging="425"/>
      </w:pPr>
      <w:rPr>
        <w:rFonts w:hint="default"/>
        <w:color w:val="5F6369" w:themeColor="text2"/>
      </w:rPr>
    </w:lvl>
    <w:lvl w:ilvl="4">
      <w:start w:val="1"/>
      <w:numFmt w:val="upperRoman"/>
      <w:lvlText w:val="%5."/>
      <w:lvlJc w:val="left"/>
      <w:pPr>
        <w:ind w:left="2125" w:hanging="425"/>
      </w:pPr>
      <w:rPr>
        <w:rFonts w:hint="default"/>
        <w:color w:val="5F6369" w:themeColor="text2"/>
      </w:rPr>
    </w:lvl>
    <w:lvl w:ilvl="5">
      <w:start w:val="1"/>
      <w:numFmt w:val="none"/>
      <w:lvlText w:val="%6"/>
      <w:lvlJc w:val="left"/>
      <w:pPr>
        <w:ind w:left="2550" w:hanging="425"/>
      </w:pPr>
      <w:rPr>
        <w:rFonts w:hint="default"/>
        <w:color w:val="5F6369" w:themeColor="text2"/>
      </w:rPr>
    </w:lvl>
    <w:lvl w:ilvl="6">
      <w:start w:val="1"/>
      <w:numFmt w:val="none"/>
      <w:lvlText w:val="%7."/>
      <w:lvlJc w:val="left"/>
      <w:pPr>
        <w:ind w:left="2975" w:hanging="425"/>
      </w:pPr>
      <w:rPr>
        <w:rFonts w:hint="default"/>
        <w:color w:val="5F6369" w:themeColor="text2"/>
      </w:rPr>
    </w:lvl>
    <w:lvl w:ilvl="7">
      <w:start w:val="1"/>
      <w:numFmt w:val="none"/>
      <w:lvlText w:val="%8."/>
      <w:lvlJc w:val="left"/>
      <w:pPr>
        <w:ind w:left="3400" w:hanging="425"/>
      </w:pPr>
      <w:rPr>
        <w:rFonts w:hint="default"/>
        <w:color w:val="5F6369" w:themeColor="text2"/>
      </w:rPr>
    </w:lvl>
    <w:lvl w:ilvl="8">
      <w:start w:val="1"/>
      <w:numFmt w:val="none"/>
      <w:lvlText w:val="%9."/>
      <w:lvlJc w:val="left"/>
      <w:pPr>
        <w:ind w:left="3825" w:hanging="425"/>
      </w:pPr>
      <w:rPr>
        <w:rFonts w:hint="default"/>
        <w:color w:val="71004B"/>
      </w:rPr>
    </w:lvl>
  </w:abstractNum>
  <w:abstractNum w:abstractNumId="477" w15:restartNumberingAfterBreak="0">
    <w:nsid w:val="7E3E71E5"/>
    <w:multiLevelType w:val="hybridMultilevel"/>
    <w:tmpl w:val="3A02D8D4"/>
    <w:lvl w:ilvl="0" w:tplc="DA64D5B0">
      <w:numFmt w:val="bullet"/>
      <w:lvlText w:val=""/>
      <w:lvlJc w:val="left"/>
      <w:pPr>
        <w:ind w:left="475" w:hanging="284"/>
      </w:pPr>
      <w:rPr>
        <w:rFonts w:ascii="Symbol" w:eastAsia="Symbol" w:hAnsi="Symbol" w:cs="Symbol" w:hint="default"/>
        <w:b w:val="0"/>
        <w:bCs w:val="0"/>
        <w:i w:val="0"/>
        <w:iCs w:val="0"/>
        <w:color w:val="70004A"/>
        <w:spacing w:val="0"/>
        <w:w w:val="100"/>
        <w:sz w:val="18"/>
        <w:szCs w:val="18"/>
        <w:lang w:val="en-US" w:eastAsia="en-US" w:bidi="ar-SA"/>
      </w:rPr>
    </w:lvl>
    <w:lvl w:ilvl="1" w:tplc="445C096A">
      <w:numFmt w:val="bullet"/>
      <w:lvlText w:val="•"/>
      <w:lvlJc w:val="left"/>
      <w:pPr>
        <w:ind w:left="765" w:hanging="284"/>
      </w:pPr>
      <w:rPr>
        <w:rFonts w:hint="default"/>
        <w:lang w:val="en-US" w:eastAsia="en-US" w:bidi="ar-SA"/>
      </w:rPr>
    </w:lvl>
    <w:lvl w:ilvl="2" w:tplc="AABA3A4A">
      <w:numFmt w:val="bullet"/>
      <w:lvlText w:val="•"/>
      <w:lvlJc w:val="left"/>
      <w:pPr>
        <w:ind w:left="1050" w:hanging="284"/>
      </w:pPr>
      <w:rPr>
        <w:rFonts w:hint="default"/>
        <w:lang w:val="en-US" w:eastAsia="en-US" w:bidi="ar-SA"/>
      </w:rPr>
    </w:lvl>
    <w:lvl w:ilvl="3" w:tplc="96302936">
      <w:numFmt w:val="bullet"/>
      <w:lvlText w:val="•"/>
      <w:lvlJc w:val="left"/>
      <w:pPr>
        <w:ind w:left="1335" w:hanging="284"/>
      </w:pPr>
      <w:rPr>
        <w:rFonts w:hint="default"/>
        <w:lang w:val="en-US" w:eastAsia="en-US" w:bidi="ar-SA"/>
      </w:rPr>
    </w:lvl>
    <w:lvl w:ilvl="4" w:tplc="5F6AC4B8">
      <w:numFmt w:val="bullet"/>
      <w:lvlText w:val="•"/>
      <w:lvlJc w:val="left"/>
      <w:pPr>
        <w:ind w:left="1620" w:hanging="284"/>
      </w:pPr>
      <w:rPr>
        <w:rFonts w:hint="default"/>
        <w:lang w:val="en-US" w:eastAsia="en-US" w:bidi="ar-SA"/>
      </w:rPr>
    </w:lvl>
    <w:lvl w:ilvl="5" w:tplc="67DE4732">
      <w:numFmt w:val="bullet"/>
      <w:lvlText w:val="•"/>
      <w:lvlJc w:val="left"/>
      <w:pPr>
        <w:ind w:left="1906" w:hanging="284"/>
      </w:pPr>
      <w:rPr>
        <w:rFonts w:hint="default"/>
        <w:lang w:val="en-US" w:eastAsia="en-US" w:bidi="ar-SA"/>
      </w:rPr>
    </w:lvl>
    <w:lvl w:ilvl="6" w:tplc="981CD712">
      <w:numFmt w:val="bullet"/>
      <w:lvlText w:val="•"/>
      <w:lvlJc w:val="left"/>
      <w:pPr>
        <w:ind w:left="2191" w:hanging="284"/>
      </w:pPr>
      <w:rPr>
        <w:rFonts w:hint="default"/>
        <w:lang w:val="en-US" w:eastAsia="en-US" w:bidi="ar-SA"/>
      </w:rPr>
    </w:lvl>
    <w:lvl w:ilvl="7" w:tplc="6A70C74C">
      <w:numFmt w:val="bullet"/>
      <w:lvlText w:val="•"/>
      <w:lvlJc w:val="left"/>
      <w:pPr>
        <w:ind w:left="2476" w:hanging="284"/>
      </w:pPr>
      <w:rPr>
        <w:rFonts w:hint="default"/>
        <w:lang w:val="en-US" w:eastAsia="en-US" w:bidi="ar-SA"/>
      </w:rPr>
    </w:lvl>
    <w:lvl w:ilvl="8" w:tplc="6B5E761E">
      <w:numFmt w:val="bullet"/>
      <w:lvlText w:val="•"/>
      <w:lvlJc w:val="left"/>
      <w:pPr>
        <w:ind w:left="2761" w:hanging="284"/>
      </w:pPr>
      <w:rPr>
        <w:rFonts w:hint="default"/>
        <w:lang w:val="en-US" w:eastAsia="en-US" w:bidi="ar-SA"/>
      </w:rPr>
    </w:lvl>
  </w:abstractNum>
  <w:abstractNum w:abstractNumId="478" w15:restartNumberingAfterBreak="0">
    <w:nsid w:val="7E4168CC"/>
    <w:multiLevelType w:val="hybridMultilevel"/>
    <w:tmpl w:val="6B0623D8"/>
    <w:lvl w:ilvl="0" w:tplc="90E08F3C">
      <w:numFmt w:val="bullet"/>
      <w:lvlText w:val=""/>
      <w:lvlJc w:val="left"/>
      <w:pPr>
        <w:ind w:left="437" w:hanging="284"/>
      </w:pPr>
      <w:rPr>
        <w:rFonts w:ascii="Symbol" w:eastAsia="Symbol" w:hAnsi="Symbol" w:cs="Symbol" w:hint="default"/>
        <w:b w:val="0"/>
        <w:bCs w:val="0"/>
        <w:i w:val="0"/>
        <w:iCs w:val="0"/>
        <w:color w:val="70004A"/>
        <w:spacing w:val="0"/>
        <w:w w:val="100"/>
        <w:sz w:val="18"/>
        <w:szCs w:val="18"/>
        <w:lang w:val="en-US" w:eastAsia="en-US" w:bidi="ar-SA"/>
      </w:rPr>
    </w:lvl>
    <w:lvl w:ilvl="1" w:tplc="5608C554">
      <w:numFmt w:val="bullet"/>
      <w:lvlText w:val="•"/>
      <w:lvlJc w:val="left"/>
      <w:pPr>
        <w:ind w:left="603" w:hanging="284"/>
      </w:pPr>
      <w:rPr>
        <w:rFonts w:hint="default"/>
        <w:lang w:val="en-US" w:eastAsia="en-US" w:bidi="ar-SA"/>
      </w:rPr>
    </w:lvl>
    <w:lvl w:ilvl="2" w:tplc="E3F00E08">
      <w:numFmt w:val="bullet"/>
      <w:lvlText w:val="•"/>
      <w:lvlJc w:val="left"/>
      <w:pPr>
        <w:ind w:left="767" w:hanging="284"/>
      </w:pPr>
      <w:rPr>
        <w:rFonts w:hint="default"/>
        <w:lang w:val="en-US" w:eastAsia="en-US" w:bidi="ar-SA"/>
      </w:rPr>
    </w:lvl>
    <w:lvl w:ilvl="3" w:tplc="B4720AC8">
      <w:numFmt w:val="bullet"/>
      <w:lvlText w:val="•"/>
      <w:lvlJc w:val="left"/>
      <w:pPr>
        <w:ind w:left="930" w:hanging="284"/>
      </w:pPr>
      <w:rPr>
        <w:rFonts w:hint="default"/>
        <w:lang w:val="en-US" w:eastAsia="en-US" w:bidi="ar-SA"/>
      </w:rPr>
    </w:lvl>
    <w:lvl w:ilvl="4" w:tplc="0A6E9646">
      <w:numFmt w:val="bullet"/>
      <w:lvlText w:val="•"/>
      <w:lvlJc w:val="left"/>
      <w:pPr>
        <w:ind w:left="1094" w:hanging="284"/>
      </w:pPr>
      <w:rPr>
        <w:rFonts w:hint="default"/>
        <w:lang w:val="en-US" w:eastAsia="en-US" w:bidi="ar-SA"/>
      </w:rPr>
    </w:lvl>
    <w:lvl w:ilvl="5" w:tplc="AA6C972E">
      <w:numFmt w:val="bullet"/>
      <w:lvlText w:val="•"/>
      <w:lvlJc w:val="left"/>
      <w:pPr>
        <w:ind w:left="1257" w:hanging="284"/>
      </w:pPr>
      <w:rPr>
        <w:rFonts w:hint="default"/>
        <w:lang w:val="en-US" w:eastAsia="en-US" w:bidi="ar-SA"/>
      </w:rPr>
    </w:lvl>
    <w:lvl w:ilvl="6" w:tplc="6C5C72EA">
      <w:numFmt w:val="bullet"/>
      <w:lvlText w:val="•"/>
      <w:lvlJc w:val="left"/>
      <w:pPr>
        <w:ind w:left="1421" w:hanging="284"/>
      </w:pPr>
      <w:rPr>
        <w:rFonts w:hint="default"/>
        <w:lang w:val="en-US" w:eastAsia="en-US" w:bidi="ar-SA"/>
      </w:rPr>
    </w:lvl>
    <w:lvl w:ilvl="7" w:tplc="19BCB6DE">
      <w:numFmt w:val="bullet"/>
      <w:lvlText w:val="•"/>
      <w:lvlJc w:val="left"/>
      <w:pPr>
        <w:ind w:left="1584" w:hanging="284"/>
      </w:pPr>
      <w:rPr>
        <w:rFonts w:hint="default"/>
        <w:lang w:val="en-US" w:eastAsia="en-US" w:bidi="ar-SA"/>
      </w:rPr>
    </w:lvl>
    <w:lvl w:ilvl="8" w:tplc="17C65B4A">
      <w:numFmt w:val="bullet"/>
      <w:lvlText w:val="•"/>
      <w:lvlJc w:val="left"/>
      <w:pPr>
        <w:ind w:left="1748" w:hanging="284"/>
      </w:pPr>
      <w:rPr>
        <w:rFonts w:hint="default"/>
        <w:lang w:val="en-US" w:eastAsia="en-US" w:bidi="ar-SA"/>
      </w:rPr>
    </w:lvl>
  </w:abstractNum>
  <w:abstractNum w:abstractNumId="479" w15:restartNumberingAfterBreak="0">
    <w:nsid w:val="7E710971"/>
    <w:multiLevelType w:val="hybridMultilevel"/>
    <w:tmpl w:val="EBB8869E"/>
    <w:lvl w:ilvl="0" w:tplc="D71E5AE4">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44585DBC">
      <w:numFmt w:val="bullet"/>
      <w:lvlText w:val="•"/>
      <w:lvlJc w:val="left"/>
      <w:pPr>
        <w:ind w:left="653" w:hanging="284"/>
      </w:pPr>
      <w:rPr>
        <w:rFonts w:hint="default"/>
        <w:lang w:val="en-US" w:eastAsia="en-US" w:bidi="ar-SA"/>
      </w:rPr>
    </w:lvl>
    <w:lvl w:ilvl="2" w:tplc="852C8868">
      <w:numFmt w:val="bullet"/>
      <w:lvlText w:val="•"/>
      <w:lvlJc w:val="left"/>
      <w:pPr>
        <w:ind w:left="907" w:hanging="284"/>
      </w:pPr>
      <w:rPr>
        <w:rFonts w:hint="default"/>
        <w:lang w:val="en-US" w:eastAsia="en-US" w:bidi="ar-SA"/>
      </w:rPr>
    </w:lvl>
    <w:lvl w:ilvl="3" w:tplc="607CEBB6">
      <w:numFmt w:val="bullet"/>
      <w:lvlText w:val="•"/>
      <w:lvlJc w:val="left"/>
      <w:pPr>
        <w:ind w:left="1161" w:hanging="284"/>
      </w:pPr>
      <w:rPr>
        <w:rFonts w:hint="default"/>
        <w:lang w:val="en-US" w:eastAsia="en-US" w:bidi="ar-SA"/>
      </w:rPr>
    </w:lvl>
    <w:lvl w:ilvl="4" w:tplc="24589DF0">
      <w:numFmt w:val="bullet"/>
      <w:lvlText w:val="•"/>
      <w:lvlJc w:val="left"/>
      <w:pPr>
        <w:ind w:left="1414" w:hanging="284"/>
      </w:pPr>
      <w:rPr>
        <w:rFonts w:hint="default"/>
        <w:lang w:val="en-US" w:eastAsia="en-US" w:bidi="ar-SA"/>
      </w:rPr>
    </w:lvl>
    <w:lvl w:ilvl="5" w:tplc="6F103ECA">
      <w:numFmt w:val="bullet"/>
      <w:lvlText w:val="•"/>
      <w:lvlJc w:val="left"/>
      <w:pPr>
        <w:ind w:left="1668" w:hanging="284"/>
      </w:pPr>
      <w:rPr>
        <w:rFonts w:hint="default"/>
        <w:lang w:val="en-US" w:eastAsia="en-US" w:bidi="ar-SA"/>
      </w:rPr>
    </w:lvl>
    <w:lvl w:ilvl="6" w:tplc="1EDEA3EE">
      <w:numFmt w:val="bullet"/>
      <w:lvlText w:val="•"/>
      <w:lvlJc w:val="left"/>
      <w:pPr>
        <w:ind w:left="1922" w:hanging="284"/>
      </w:pPr>
      <w:rPr>
        <w:rFonts w:hint="default"/>
        <w:lang w:val="en-US" w:eastAsia="en-US" w:bidi="ar-SA"/>
      </w:rPr>
    </w:lvl>
    <w:lvl w:ilvl="7" w:tplc="51BAB9F4">
      <w:numFmt w:val="bullet"/>
      <w:lvlText w:val="•"/>
      <w:lvlJc w:val="left"/>
      <w:pPr>
        <w:ind w:left="2175" w:hanging="284"/>
      </w:pPr>
      <w:rPr>
        <w:rFonts w:hint="default"/>
        <w:lang w:val="en-US" w:eastAsia="en-US" w:bidi="ar-SA"/>
      </w:rPr>
    </w:lvl>
    <w:lvl w:ilvl="8" w:tplc="58807A02">
      <w:numFmt w:val="bullet"/>
      <w:lvlText w:val="•"/>
      <w:lvlJc w:val="left"/>
      <w:pPr>
        <w:ind w:left="2429" w:hanging="284"/>
      </w:pPr>
      <w:rPr>
        <w:rFonts w:hint="default"/>
        <w:lang w:val="en-US" w:eastAsia="en-US" w:bidi="ar-SA"/>
      </w:rPr>
    </w:lvl>
  </w:abstractNum>
  <w:abstractNum w:abstractNumId="480" w15:restartNumberingAfterBreak="0">
    <w:nsid w:val="7E7226B9"/>
    <w:multiLevelType w:val="hybridMultilevel"/>
    <w:tmpl w:val="92368B0E"/>
    <w:lvl w:ilvl="0" w:tplc="02B42630">
      <w:numFmt w:val="bullet"/>
      <w:lvlText w:val=""/>
      <w:lvlJc w:val="left"/>
      <w:pPr>
        <w:ind w:left="444" w:hanging="284"/>
      </w:pPr>
      <w:rPr>
        <w:rFonts w:ascii="Symbol" w:eastAsia="Symbol" w:hAnsi="Symbol" w:cs="Symbol" w:hint="default"/>
        <w:b w:val="0"/>
        <w:bCs w:val="0"/>
        <w:i w:val="0"/>
        <w:iCs w:val="0"/>
        <w:color w:val="70004A"/>
        <w:spacing w:val="0"/>
        <w:w w:val="100"/>
        <w:sz w:val="18"/>
        <w:szCs w:val="18"/>
        <w:lang w:val="en-US" w:eastAsia="en-US" w:bidi="ar-SA"/>
      </w:rPr>
    </w:lvl>
    <w:lvl w:ilvl="1" w:tplc="8A740C54">
      <w:numFmt w:val="bullet"/>
      <w:lvlText w:val="•"/>
      <w:lvlJc w:val="left"/>
      <w:pPr>
        <w:ind w:left="606" w:hanging="284"/>
      </w:pPr>
      <w:rPr>
        <w:rFonts w:hint="default"/>
        <w:lang w:val="en-US" w:eastAsia="en-US" w:bidi="ar-SA"/>
      </w:rPr>
    </w:lvl>
    <w:lvl w:ilvl="2" w:tplc="5FB4015E">
      <w:numFmt w:val="bullet"/>
      <w:lvlText w:val="•"/>
      <w:lvlJc w:val="left"/>
      <w:pPr>
        <w:ind w:left="772" w:hanging="284"/>
      </w:pPr>
      <w:rPr>
        <w:rFonts w:hint="default"/>
        <w:lang w:val="en-US" w:eastAsia="en-US" w:bidi="ar-SA"/>
      </w:rPr>
    </w:lvl>
    <w:lvl w:ilvl="3" w:tplc="F3B29FDC">
      <w:numFmt w:val="bullet"/>
      <w:lvlText w:val="•"/>
      <w:lvlJc w:val="left"/>
      <w:pPr>
        <w:ind w:left="938" w:hanging="284"/>
      </w:pPr>
      <w:rPr>
        <w:rFonts w:hint="default"/>
        <w:lang w:val="en-US" w:eastAsia="en-US" w:bidi="ar-SA"/>
      </w:rPr>
    </w:lvl>
    <w:lvl w:ilvl="4" w:tplc="3012AC9E">
      <w:numFmt w:val="bullet"/>
      <w:lvlText w:val="•"/>
      <w:lvlJc w:val="left"/>
      <w:pPr>
        <w:ind w:left="1104" w:hanging="284"/>
      </w:pPr>
      <w:rPr>
        <w:rFonts w:hint="default"/>
        <w:lang w:val="en-US" w:eastAsia="en-US" w:bidi="ar-SA"/>
      </w:rPr>
    </w:lvl>
    <w:lvl w:ilvl="5" w:tplc="BAE6C2B0">
      <w:numFmt w:val="bullet"/>
      <w:lvlText w:val="•"/>
      <w:lvlJc w:val="left"/>
      <w:pPr>
        <w:ind w:left="1270" w:hanging="284"/>
      </w:pPr>
      <w:rPr>
        <w:rFonts w:hint="default"/>
        <w:lang w:val="en-US" w:eastAsia="en-US" w:bidi="ar-SA"/>
      </w:rPr>
    </w:lvl>
    <w:lvl w:ilvl="6" w:tplc="6FA0B878">
      <w:numFmt w:val="bullet"/>
      <w:lvlText w:val="•"/>
      <w:lvlJc w:val="left"/>
      <w:pPr>
        <w:ind w:left="1436" w:hanging="284"/>
      </w:pPr>
      <w:rPr>
        <w:rFonts w:hint="default"/>
        <w:lang w:val="en-US" w:eastAsia="en-US" w:bidi="ar-SA"/>
      </w:rPr>
    </w:lvl>
    <w:lvl w:ilvl="7" w:tplc="8564AD66">
      <w:numFmt w:val="bullet"/>
      <w:lvlText w:val="•"/>
      <w:lvlJc w:val="left"/>
      <w:pPr>
        <w:ind w:left="1602" w:hanging="284"/>
      </w:pPr>
      <w:rPr>
        <w:rFonts w:hint="default"/>
        <w:lang w:val="en-US" w:eastAsia="en-US" w:bidi="ar-SA"/>
      </w:rPr>
    </w:lvl>
    <w:lvl w:ilvl="8" w:tplc="CA10547E">
      <w:numFmt w:val="bullet"/>
      <w:lvlText w:val="•"/>
      <w:lvlJc w:val="left"/>
      <w:pPr>
        <w:ind w:left="1768" w:hanging="284"/>
      </w:pPr>
      <w:rPr>
        <w:rFonts w:hint="default"/>
        <w:lang w:val="en-US" w:eastAsia="en-US" w:bidi="ar-SA"/>
      </w:rPr>
    </w:lvl>
  </w:abstractNum>
  <w:abstractNum w:abstractNumId="481" w15:restartNumberingAfterBreak="0">
    <w:nsid w:val="7E8B6263"/>
    <w:multiLevelType w:val="hybridMultilevel"/>
    <w:tmpl w:val="7602CAA0"/>
    <w:lvl w:ilvl="0" w:tplc="D5C232E8">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391AF510">
      <w:numFmt w:val="bullet"/>
      <w:lvlText w:val="•"/>
      <w:lvlJc w:val="left"/>
      <w:pPr>
        <w:ind w:left="641" w:hanging="284"/>
      </w:pPr>
      <w:rPr>
        <w:rFonts w:hint="default"/>
        <w:lang w:val="en-US" w:eastAsia="en-US" w:bidi="ar-SA"/>
      </w:rPr>
    </w:lvl>
    <w:lvl w:ilvl="2" w:tplc="0C4AC9FE">
      <w:numFmt w:val="bullet"/>
      <w:lvlText w:val="•"/>
      <w:lvlJc w:val="left"/>
      <w:pPr>
        <w:ind w:left="882" w:hanging="284"/>
      </w:pPr>
      <w:rPr>
        <w:rFonts w:hint="default"/>
        <w:lang w:val="en-US" w:eastAsia="en-US" w:bidi="ar-SA"/>
      </w:rPr>
    </w:lvl>
    <w:lvl w:ilvl="3" w:tplc="8B26BB22">
      <w:numFmt w:val="bullet"/>
      <w:lvlText w:val="•"/>
      <w:lvlJc w:val="left"/>
      <w:pPr>
        <w:ind w:left="1123" w:hanging="284"/>
      </w:pPr>
      <w:rPr>
        <w:rFonts w:hint="default"/>
        <w:lang w:val="en-US" w:eastAsia="en-US" w:bidi="ar-SA"/>
      </w:rPr>
    </w:lvl>
    <w:lvl w:ilvl="4" w:tplc="A0AA3D38">
      <w:numFmt w:val="bullet"/>
      <w:lvlText w:val="•"/>
      <w:lvlJc w:val="left"/>
      <w:pPr>
        <w:ind w:left="1365" w:hanging="284"/>
      </w:pPr>
      <w:rPr>
        <w:rFonts w:hint="default"/>
        <w:lang w:val="en-US" w:eastAsia="en-US" w:bidi="ar-SA"/>
      </w:rPr>
    </w:lvl>
    <w:lvl w:ilvl="5" w:tplc="DF4E499C">
      <w:numFmt w:val="bullet"/>
      <w:lvlText w:val="•"/>
      <w:lvlJc w:val="left"/>
      <w:pPr>
        <w:ind w:left="1606" w:hanging="284"/>
      </w:pPr>
      <w:rPr>
        <w:rFonts w:hint="default"/>
        <w:lang w:val="en-US" w:eastAsia="en-US" w:bidi="ar-SA"/>
      </w:rPr>
    </w:lvl>
    <w:lvl w:ilvl="6" w:tplc="62BE7094">
      <w:numFmt w:val="bullet"/>
      <w:lvlText w:val="•"/>
      <w:lvlJc w:val="left"/>
      <w:pPr>
        <w:ind w:left="1847" w:hanging="284"/>
      </w:pPr>
      <w:rPr>
        <w:rFonts w:hint="default"/>
        <w:lang w:val="en-US" w:eastAsia="en-US" w:bidi="ar-SA"/>
      </w:rPr>
    </w:lvl>
    <w:lvl w:ilvl="7" w:tplc="500074CC">
      <w:numFmt w:val="bullet"/>
      <w:lvlText w:val="•"/>
      <w:lvlJc w:val="left"/>
      <w:pPr>
        <w:ind w:left="2089" w:hanging="284"/>
      </w:pPr>
      <w:rPr>
        <w:rFonts w:hint="default"/>
        <w:lang w:val="en-US" w:eastAsia="en-US" w:bidi="ar-SA"/>
      </w:rPr>
    </w:lvl>
    <w:lvl w:ilvl="8" w:tplc="51F8EDC6">
      <w:numFmt w:val="bullet"/>
      <w:lvlText w:val="•"/>
      <w:lvlJc w:val="left"/>
      <w:pPr>
        <w:ind w:left="2330" w:hanging="284"/>
      </w:pPr>
      <w:rPr>
        <w:rFonts w:hint="default"/>
        <w:lang w:val="en-US" w:eastAsia="en-US" w:bidi="ar-SA"/>
      </w:rPr>
    </w:lvl>
  </w:abstractNum>
  <w:abstractNum w:abstractNumId="482" w15:restartNumberingAfterBreak="0">
    <w:nsid w:val="7E903686"/>
    <w:multiLevelType w:val="hybridMultilevel"/>
    <w:tmpl w:val="DC9AB80A"/>
    <w:lvl w:ilvl="0" w:tplc="F4805C44">
      <w:numFmt w:val="bullet"/>
      <w:lvlText w:val=""/>
      <w:lvlJc w:val="left"/>
      <w:pPr>
        <w:ind w:left="604" w:hanging="284"/>
      </w:pPr>
      <w:rPr>
        <w:rFonts w:ascii="Symbol" w:eastAsia="Symbol" w:hAnsi="Symbol" w:cs="Symbol" w:hint="default"/>
        <w:b w:val="0"/>
        <w:bCs w:val="0"/>
        <w:i w:val="0"/>
        <w:iCs w:val="0"/>
        <w:color w:val="70004A"/>
        <w:spacing w:val="0"/>
        <w:w w:val="100"/>
        <w:sz w:val="18"/>
        <w:szCs w:val="18"/>
        <w:lang w:val="en-US" w:eastAsia="en-US" w:bidi="ar-SA"/>
      </w:rPr>
    </w:lvl>
    <w:lvl w:ilvl="1" w:tplc="F844DBC4">
      <w:numFmt w:val="bullet"/>
      <w:lvlText w:val="•"/>
      <w:lvlJc w:val="left"/>
      <w:pPr>
        <w:ind w:left="766" w:hanging="284"/>
      </w:pPr>
      <w:rPr>
        <w:rFonts w:hint="default"/>
        <w:lang w:val="en-US" w:eastAsia="en-US" w:bidi="ar-SA"/>
      </w:rPr>
    </w:lvl>
    <w:lvl w:ilvl="2" w:tplc="8DB61508">
      <w:numFmt w:val="bullet"/>
      <w:lvlText w:val="•"/>
      <w:lvlJc w:val="left"/>
      <w:pPr>
        <w:ind w:left="932" w:hanging="284"/>
      </w:pPr>
      <w:rPr>
        <w:rFonts w:hint="default"/>
        <w:lang w:val="en-US" w:eastAsia="en-US" w:bidi="ar-SA"/>
      </w:rPr>
    </w:lvl>
    <w:lvl w:ilvl="3" w:tplc="499AFB34">
      <w:numFmt w:val="bullet"/>
      <w:lvlText w:val="•"/>
      <w:lvlJc w:val="left"/>
      <w:pPr>
        <w:ind w:left="1099" w:hanging="284"/>
      </w:pPr>
      <w:rPr>
        <w:rFonts w:hint="default"/>
        <w:lang w:val="en-US" w:eastAsia="en-US" w:bidi="ar-SA"/>
      </w:rPr>
    </w:lvl>
    <w:lvl w:ilvl="4" w:tplc="AE00C85C">
      <w:numFmt w:val="bullet"/>
      <w:lvlText w:val="•"/>
      <w:lvlJc w:val="left"/>
      <w:pPr>
        <w:ind w:left="1265" w:hanging="284"/>
      </w:pPr>
      <w:rPr>
        <w:rFonts w:hint="default"/>
        <w:lang w:val="en-US" w:eastAsia="en-US" w:bidi="ar-SA"/>
      </w:rPr>
    </w:lvl>
    <w:lvl w:ilvl="5" w:tplc="0DDC0FD6">
      <w:numFmt w:val="bullet"/>
      <w:lvlText w:val="•"/>
      <w:lvlJc w:val="left"/>
      <w:pPr>
        <w:ind w:left="1432" w:hanging="284"/>
      </w:pPr>
      <w:rPr>
        <w:rFonts w:hint="default"/>
        <w:lang w:val="en-US" w:eastAsia="en-US" w:bidi="ar-SA"/>
      </w:rPr>
    </w:lvl>
    <w:lvl w:ilvl="6" w:tplc="081A2BDA">
      <w:numFmt w:val="bullet"/>
      <w:lvlText w:val="•"/>
      <w:lvlJc w:val="left"/>
      <w:pPr>
        <w:ind w:left="1598" w:hanging="284"/>
      </w:pPr>
      <w:rPr>
        <w:rFonts w:hint="default"/>
        <w:lang w:val="en-US" w:eastAsia="en-US" w:bidi="ar-SA"/>
      </w:rPr>
    </w:lvl>
    <w:lvl w:ilvl="7" w:tplc="90AC8C9C">
      <w:numFmt w:val="bullet"/>
      <w:lvlText w:val="•"/>
      <w:lvlJc w:val="left"/>
      <w:pPr>
        <w:ind w:left="1764" w:hanging="284"/>
      </w:pPr>
      <w:rPr>
        <w:rFonts w:hint="default"/>
        <w:lang w:val="en-US" w:eastAsia="en-US" w:bidi="ar-SA"/>
      </w:rPr>
    </w:lvl>
    <w:lvl w:ilvl="8" w:tplc="C8085712">
      <w:numFmt w:val="bullet"/>
      <w:lvlText w:val="•"/>
      <w:lvlJc w:val="left"/>
      <w:pPr>
        <w:ind w:left="1931" w:hanging="284"/>
      </w:pPr>
      <w:rPr>
        <w:rFonts w:hint="default"/>
        <w:lang w:val="en-US" w:eastAsia="en-US" w:bidi="ar-SA"/>
      </w:rPr>
    </w:lvl>
  </w:abstractNum>
  <w:abstractNum w:abstractNumId="483" w15:restartNumberingAfterBreak="0">
    <w:nsid w:val="7E9B5DED"/>
    <w:multiLevelType w:val="hybridMultilevel"/>
    <w:tmpl w:val="36968838"/>
    <w:lvl w:ilvl="0" w:tplc="4468BE36">
      <w:numFmt w:val="bullet"/>
      <w:lvlText w:val=""/>
      <w:lvlJc w:val="left"/>
      <w:pPr>
        <w:ind w:left="392" w:hanging="284"/>
      </w:pPr>
      <w:rPr>
        <w:rFonts w:ascii="Symbol" w:eastAsia="Symbol" w:hAnsi="Symbol" w:cs="Symbol" w:hint="default"/>
        <w:b w:val="0"/>
        <w:bCs w:val="0"/>
        <w:i w:val="0"/>
        <w:iCs w:val="0"/>
        <w:color w:val="70004A"/>
        <w:spacing w:val="0"/>
        <w:w w:val="100"/>
        <w:sz w:val="18"/>
        <w:szCs w:val="18"/>
        <w:lang w:val="en-US" w:eastAsia="en-US" w:bidi="ar-SA"/>
      </w:rPr>
    </w:lvl>
    <w:lvl w:ilvl="1" w:tplc="BDC02082">
      <w:numFmt w:val="bullet"/>
      <w:lvlText w:val="•"/>
      <w:lvlJc w:val="left"/>
      <w:pPr>
        <w:ind w:left="621" w:hanging="284"/>
      </w:pPr>
      <w:rPr>
        <w:rFonts w:hint="default"/>
        <w:lang w:val="en-US" w:eastAsia="en-US" w:bidi="ar-SA"/>
      </w:rPr>
    </w:lvl>
    <w:lvl w:ilvl="2" w:tplc="A7747C82">
      <w:numFmt w:val="bullet"/>
      <w:lvlText w:val="•"/>
      <w:lvlJc w:val="left"/>
      <w:pPr>
        <w:ind w:left="842" w:hanging="284"/>
      </w:pPr>
      <w:rPr>
        <w:rFonts w:hint="default"/>
        <w:lang w:val="en-US" w:eastAsia="en-US" w:bidi="ar-SA"/>
      </w:rPr>
    </w:lvl>
    <w:lvl w:ilvl="3" w:tplc="198ED53A">
      <w:numFmt w:val="bullet"/>
      <w:lvlText w:val="•"/>
      <w:lvlJc w:val="left"/>
      <w:pPr>
        <w:ind w:left="1064" w:hanging="284"/>
      </w:pPr>
      <w:rPr>
        <w:rFonts w:hint="default"/>
        <w:lang w:val="en-US" w:eastAsia="en-US" w:bidi="ar-SA"/>
      </w:rPr>
    </w:lvl>
    <w:lvl w:ilvl="4" w:tplc="CDC0BC40">
      <w:numFmt w:val="bullet"/>
      <w:lvlText w:val="•"/>
      <w:lvlJc w:val="left"/>
      <w:pPr>
        <w:ind w:left="1285" w:hanging="284"/>
      </w:pPr>
      <w:rPr>
        <w:rFonts w:hint="default"/>
        <w:lang w:val="en-US" w:eastAsia="en-US" w:bidi="ar-SA"/>
      </w:rPr>
    </w:lvl>
    <w:lvl w:ilvl="5" w:tplc="9AE6FBE4">
      <w:numFmt w:val="bullet"/>
      <w:lvlText w:val="•"/>
      <w:lvlJc w:val="left"/>
      <w:pPr>
        <w:ind w:left="1507" w:hanging="284"/>
      </w:pPr>
      <w:rPr>
        <w:rFonts w:hint="default"/>
        <w:lang w:val="en-US" w:eastAsia="en-US" w:bidi="ar-SA"/>
      </w:rPr>
    </w:lvl>
    <w:lvl w:ilvl="6" w:tplc="096AA2FA">
      <w:numFmt w:val="bullet"/>
      <w:lvlText w:val="•"/>
      <w:lvlJc w:val="left"/>
      <w:pPr>
        <w:ind w:left="1728" w:hanging="284"/>
      </w:pPr>
      <w:rPr>
        <w:rFonts w:hint="default"/>
        <w:lang w:val="en-US" w:eastAsia="en-US" w:bidi="ar-SA"/>
      </w:rPr>
    </w:lvl>
    <w:lvl w:ilvl="7" w:tplc="D96CA550">
      <w:numFmt w:val="bullet"/>
      <w:lvlText w:val="•"/>
      <w:lvlJc w:val="left"/>
      <w:pPr>
        <w:ind w:left="1949" w:hanging="284"/>
      </w:pPr>
      <w:rPr>
        <w:rFonts w:hint="default"/>
        <w:lang w:val="en-US" w:eastAsia="en-US" w:bidi="ar-SA"/>
      </w:rPr>
    </w:lvl>
    <w:lvl w:ilvl="8" w:tplc="764E2160">
      <w:numFmt w:val="bullet"/>
      <w:lvlText w:val="•"/>
      <w:lvlJc w:val="left"/>
      <w:pPr>
        <w:ind w:left="2171" w:hanging="284"/>
      </w:pPr>
      <w:rPr>
        <w:rFonts w:hint="default"/>
        <w:lang w:val="en-US" w:eastAsia="en-US" w:bidi="ar-SA"/>
      </w:rPr>
    </w:lvl>
  </w:abstractNum>
  <w:abstractNum w:abstractNumId="484" w15:restartNumberingAfterBreak="0">
    <w:nsid w:val="7EA25138"/>
    <w:multiLevelType w:val="hybridMultilevel"/>
    <w:tmpl w:val="503459CC"/>
    <w:lvl w:ilvl="0" w:tplc="74682794">
      <w:numFmt w:val="bullet"/>
      <w:lvlText w:val=""/>
      <w:lvlJc w:val="left"/>
      <w:pPr>
        <w:ind w:left="389" w:hanging="284"/>
      </w:pPr>
      <w:rPr>
        <w:rFonts w:ascii="Symbol" w:eastAsia="Symbol" w:hAnsi="Symbol" w:cs="Symbol" w:hint="default"/>
        <w:b w:val="0"/>
        <w:bCs w:val="0"/>
        <w:i w:val="0"/>
        <w:iCs w:val="0"/>
        <w:color w:val="70004A"/>
        <w:spacing w:val="0"/>
        <w:w w:val="100"/>
        <w:sz w:val="18"/>
        <w:szCs w:val="18"/>
        <w:lang w:val="en-US" w:eastAsia="en-US" w:bidi="ar-SA"/>
      </w:rPr>
    </w:lvl>
    <w:lvl w:ilvl="1" w:tplc="A40E2782">
      <w:numFmt w:val="bullet"/>
      <w:lvlText w:val="•"/>
      <w:lvlJc w:val="left"/>
      <w:pPr>
        <w:ind w:left="693" w:hanging="284"/>
      </w:pPr>
      <w:rPr>
        <w:rFonts w:hint="default"/>
        <w:lang w:val="en-US" w:eastAsia="en-US" w:bidi="ar-SA"/>
      </w:rPr>
    </w:lvl>
    <w:lvl w:ilvl="2" w:tplc="103C3CC0">
      <w:numFmt w:val="bullet"/>
      <w:lvlText w:val="•"/>
      <w:lvlJc w:val="left"/>
      <w:pPr>
        <w:ind w:left="1006" w:hanging="284"/>
      </w:pPr>
      <w:rPr>
        <w:rFonts w:hint="default"/>
        <w:lang w:val="en-US" w:eastAsia="en-US" w:bidi="ar-SA"/>
      </w:rPr>
    </w:lvl>
    <w:lvl w:ilvl="3" w:tplc="1A046D66">
      <w:numFmt w:val="bullet"/>
      <w:lvlText w:val="•"/>
      <w:lvlJc w:val="left"/>
      <w:pPr>
        <w:ind w:left="1319" w:hanging="284"/>
      </w:pPr>
      <w:rPr>
        <w:rFonts w:hint="default"/>
        <w:lang w:val="en-US" w:eastAsia="en-US" w:bidi="ar-SA"/>
      </w:rPr>
    </w:lvl>
    <w:lvl w:ilvl="4" w:tplc="7E7A7650">
      <w:numFmt w:val="bullet"/>
      <w:lvlText w:val="•"/>
      <w:lvlJc w:val="left"/>
      <w:pPr>
        <w:ind w:left="1632" w:hanging="284"/>
      </w:pPr>
      <w:rPr>
        <w:rFonts w:hint="default"/>
        <w:lang w:val="en-US" w:eastAsia="en-US" w:bidi="ar-SA"/>
      </w:rPr>
    </w:lvl>
    <w:lvl w:ilvl="5" w:tplc="54A8480E">
      <w:numFmt w:val="bullet"/>
      <w:lvlText w:val="•"/>
      <w:lvlJc w:val="left"/>
      <w:pPr>
        <w:ind w:left="1945" w:hanging="284"/>
      </w:pPr>
      <w:rPr>
        <w:rFonts w:hint="default"/>
        <w:lang w:val="en-US" w:eastAsia="en-US" w:bidi="ar-SA"/>
      </w:rPr>
    </w:lvl>
    <w:lvl w:ilvl="6" w:tplc="C86C6A5A">
      <w:numFmt w:val="bullet"/>
      <w:lvlText w:val="•"/>
      <w:lvlJc w:val="left"/>
      <w:pPr>
        <w:ind w:left="2258" w:hanging="284"/>
      </w:pPr>
      <w:rPr>
        <w:rFonts w:hint="default"/>
        <w:lang w:val="en-US" w:eastAsia="en-US" w:bidi="ar-SA"/>
      </w:rPr>
    </w:lvl>
    <w:lvl w:ilvl="7" w:tplc="779E8108">
      <w:numFmt w:val="bullet"/>
      <w:lvlText w:val="•"/>
      <w:lvlJc w:val="left"/>
      <w:pPr>
        <w:ind w:left="2571" w:hanging="284"/>
      </w:pPr>
      <w:rPr>
        <w:rFonts w:hint="default"/>
        <w:lang w:val="en-US" w:eastAsia="en-US" w:bidi="ar-SA"/>
      </w:rPr>
    </w:lvl>
    <w:lvl w:ilvl="8" w:tplc="8F86A3E4">
      <w:numFmt w:val="bullet"/>
      <w:lvlText w:val="•"/>
      <w:lvlJc w:val="left"/>
      <w:pPr>
        <w:ind w:left="2884" w:hanging="284"/>
      </w:pPr>
      <w:rPr>
        <w:rFonts w:hint="default"/>
        <w:lang w:val="en-US" w:eastAsia="en-US" w:bidi="ar-SA"/>
      </w:rPr>
    </w:lvl>
  </w:abstractNum>
  <w:abstractNum w:abstractNumId="485" w15:restartNumberingAfterBreak="0">
    <w:nsid w:val="7EC23F91"/>
    <w:multiLevelType w:val="hybridMultilevel"/>
    <w:tmpl w:val="989E68C6"/>
    <w:lvl w:ilvl="0" w:tplc="CD5028C8">
      <w:numFmt w:val="bullet"/>
      <w:lvlText w:val=""/>
      <w:lvlJc w:val="left"/>
      <w:pPr>
        <w:ind w:left="482" w:hanging="284"/>
      </w:pPr>
      <w:rPr>
        <w:rFonts w:ascii="Symbol" w:eastAsia="Symbol" w:hAnsi="Symbol" w:cs="Symbol" w:hint="default"/>
        <w:b w:val="0"/>
        <w:bCs w:val="0"/>
        <w:i w:val="0"/>
        <w:iCs w:val="0"/>
        <w:color w:val="70004A"/>
        <w:spacing w:val="0"/>
        <w:w w:val="100"/>
        <w:sz w:val="18"/>
        <w:szCs w:val="18"/>
        <w:lang w:val="en-US" w:eastAsia="en-US" w:bidi="ar-SA"/>
      </w:rPr>
    </w:lvl>
    <w:lvl w:ilvl="1" w:tplc="00C29322">
      <w:numFmt w:val="bullet"/>
      <w:lvlText w:val="•"/>
      <w:lvlJc w:val="left"/>
      <w:pPr>
        <w:ind w:left="745" w:hanging="284"/>
      </w:pPr>
      <w:rPr>
        <w:rFonts w:hint="default"/>
        <w:lang w:val="en-US" w:eastAsia="en-US" w:bidi="ar-SA"/>
      </w:rPr>
    </w:lvl>
    <w:lvl w:ilvl="2" w:tplc="F3709F8E">
      <w:numFmt w:val="bullet"/>
      <w:lvlText w:val="•"/>
      <w:lvlJc w:val="left"/>
      <w:pPr>
        <w:ind w:left="1010" w:hanging="284"/>
      </w:pPr>
      <w:rPr>
        <w:rFonts w:hint="default"/>
        <w:lang w:val="en-US" w:eastAsia="en-US" w:bidi="ar-SA"/>
      </w:rPr>
    </w:lvl>
    <w:lvl w:ilvl="3" w:tplc="821C084C">
      <w:numFmt w:val="bullet"/>
      <w:lvlText w:val="•"/>
      <w:lvlJc w:val="left"/>
      <w:pPr>
        <w:ind w:left="1275" w:hanging="284"/>
      </w:pPr>
      <w:rPr>
        <w:rFonts w:hint="default"/>
        <w:lang w:val="en-US" w:eastAsia="en-US" w:bidi="ar-SA"/>
      </w:rPr>
    </w:lvl>
    <w:lvl w:ilvl="4" w:tplc="C19C029A">
      <w:numFmt w:val="bullet"/>
      <w:lvlText w:val="•"/>
      <w:lvlJc w:val="left"/>
      <w:pPr>
        <w:ind w:left="1540" w:hanging="284"/>
      </w:pPr>
      <w:rPr>
        <w:rFonts w:hint="default"/>
        <w:lang w:val="en-US" w:eastAsia="en-US" w:bidi="ar-SA"/>
      </w:rPr>
    </w:lvl>
    <w:lvl w:ilvl="5" w:tplc="37BED2F2">
      <w:numFmt w:val="bullet"/>
      <w:lvlText w:val="•"/>
      <w:lvlJc w:val="left"/>
      <w:pPr>
        <w:ind w:left="1806" w:hanging="284"/>
      </w:pPr>
      <w:rPr>
        <w:rFonts w:hint="default"/>
        <w:lang w:val="en-US" w:eastAsia="en-US" w:bidi="ar-SA"/>
      </w:rPr>
    </w:lvl>
    <w:lvl w:ilvl="6" w:tplc="267CABB8">
      <w:numFmt w:val="bullet"/>
      <w:lvlText w:val="•"/>
      <w:lvlJc w:val="left"/>
      <w:pPr>
        <w:ind w:left="2071" w:hanging="284"/>
      </w:pPr>
      <w:rPr>
        <w:rFonts w:hint="default"/>
        <w:lang w:val="en-US" w:eastAsia="en-US" w:bidi="ar-SA"/>
      </w:rPr>
    </w:lvl>
    <w:lvl w:ilvl="7" w:tplc="4CA6018C">
      <w:numFmt w:val="bullet"/>
      <w:lvlText w:val="•"/>
      <w:lvlJc w:val="left"/>
      <w:pPr>
        <w:ind w:left="2336" w:hanging="284"/>
      </w:pPr>
      <w:rPr>
        <w:rFonts w:hint="default"/>
        <w:lang w:val="en-US" w:eastAsia="en-US" w:bidi="ar-SA"/>
      </w:rPr>
    </w:lvl>
    <w:lvl w:ilvl="8" w:tplc="A15CC6D8">
      <w:numFmt w:val="bullet"/>
      <w:lvlText w:val="•"/>
      <w:lvlJc w:val="left"/>
      <w:pPr>
        <w:ind w:left="2601" w:hanging="284"/>
      </w:pPr>
      <w:rPr>
        <w:rFonts w:hint="default"/>
        <w:lang w:val="en-US" w:eastAsia="en-US" w:bidi="ar-SA"/>
      </w:rPr>
    </w:lvl>
  </w:abstractNum>
  <w:abstractNum w:abstractNumId="486" w15:restartNumberingAfterBreak="0">
    <w:nsid w:val="7ED927C0"/>
    <w:multiLevelType w:val="hybridMultilevel"/>
    <w:tmpl w:val="343E9D12"/>
    <w:lvl w:ilvl="0" w:tplc="32681988">
      <w:numFmt w:val="bullet"/>
      <w:lvlText w:val=""/>
      <w:lvlJc w:val="left"/>
      <w:pPr>
        <w:ind w:left="456" w:hanging="284"/>
      </w:pPr>
      <w:rPr>
        <w:rFonts w:ascii="Symbol" w:eastAsia="Symbol" w:hAnsi="Symbol" w:cs="Symbol" w:hint="default"/>
        <w:b w:val="0"/>
        <w:bCs w:val="0"/>
        <w:i w:val="0"/>
        <w:iCs w:val="0"/>
        <w:color w:val="70004A"/>
        <w:spacing w:val="0"/>
        <w:w w:val="100"/>
        <w:sz w:val="18"/>
        <w:szCs w:val="18"/>
        <w:lang w:val="en-US" w:eastAsia="en-US" w:bidi="ar-SA"/>
      </w:rPr>
    </w:lvl>
    <w:lvl w:ilvl="1" w:tplc="FDCC1FE0">
      <w:numFmt w:val="bullet"/>
      <w:lvlText w:val="•"/>
      <w:lvlJc w:val="left"/>
      <w:pPr>
        <w:ind w:left="649" w:hanging="284"/>
      </w:pPr>
      <w:rPr>
        <w:rFonts w:hint="default"/>
        <w:lang w:val="en-US" w:eastAsia="en-US" w:bidi="ar-SA"/>
      </w:rPr>
    </w:lvl>
    <w:lvl w:ilvl="2" w:tplc="3BBC16F4">
      <w:numFmt w:val="bullet"/>
      <w:lvlText w:val="•"/>
      <w:lvlJc w:val="left"/>
      <w:pPr>
        <w:ind w:left="839" w:hanging="284"/>
      </w:pPr>
      <w:rPr>
        <w:rFonts w:hint="default"/>
        <w:lang w:val="en-US" w:eastAsia="en-US" w:bidi="ar-SA"/>
      </w:rPr>
    </w:lvl>
    <w:lvl w:ilvl="3" w:tplc="F66C3CD8">
      <w:numFmt w:val="bullet"/>
      <w:lvlText w:val="•"/>
      <w:lvlJc w:val="left"/>
      <w:pPr>
        <w:ind w:left="1028" w:hanging="284"/>
      </w:pPr>
      <w:rPr>
        <w:rFonts w:hint="default"/>
        <w:lang w:val="en-US" w:eastAsia="en-US" w:bidi="ar-SA"/>
      </w:rPr>
    </w:lvl>
    <w:lvl w:ilvl="4" w:tplc="AF386BD8">
      <w:numFmt w:val="bullet"/>
      <w:lvlText w:val="•"/>
      <w:lvlJc w:val="left"/>
      <w:pPr>
        <w:ind w:left="1218" w:hanging="284"/>
      </w:pPr>
      <w:rPr>
        <w:rFonts w:hint="default"/>
        <w:lang w:val="en-US" w:eastAsia="en-US" w:bidi="ar-SA"/>
      </w:rPr>
    </w:lvl>
    <w:lvl w:ilvl="5" w:tplc="C90C6A74">
      <w:numFmt w:val="bullet"/>
      <w:lvlText w:val="•"/>
      <w:lvlJc w:val="left"/>
      <w:pPr>
        <w:ind w:left="1407" w:hanging="284"/>
      </w:pPr>
      <w:rPr>
        <w:rFonts w:hint="default"/>
        <w:lang w:val="en-US" w:eastAsia="en-US" w:bidi="ar-SA"/>
      </w:rPr>
    </w:lvl>
    <w:lvl w:ilvl="6" w:tplc="423A07AA">
      <w:numFmt w:val="bullet"/>
      <w:lvlText w:val="•"/>
      <w:lvlJc w:val="left"/>
      <w:pPr>
        <w:ind w:left="1597" w:hanging="284"/>
      </w:pPr>
      <w:rPr>
        <w:rFonts w:hint="default"/>
        <w:lang w:val="en-US" w:eastAsia="en-US" w:bidi="ar-SA"/>
      </w:rPr>
    </w:lvl>
    <w:lvl w:ilvl="7" w:tplc="42C048CE">
      <w:numFmt w:val="bullet"/>
      <w:lvlText w:val="•"/>
      <w:lvlJc w:val="left"/>
      <w:pPr>
        <w:ind w:left="1786" w:hanging="284"/>
      </w:pPr>
      <w:rPr>
        <w:rFonts w:hint="default"/>
        <w:lang w:val="en-US" w:eastAsia="en-US" w:bidi="ar-SA"/>
      </w:rPr>
    </w:lvl>
    <w:lvl w:ilvl="8" w:tplc="9C2CD83A">
      <w:numFmt w:val="bullet"/>
      <w:lvlText w:val="•"/>
      <w:lvlJc w:val="left"/>
      <w:pPr>
        <w:ind w:left="1976" w:hanging="284"/>
      </w:pPr>
      <w:rPr>
        <w:rFonts w:hint="default"/>
        <w:lang w:val="en-US" w:eastAsia="en-US" w:bidi="ar-SA"/>
      </w:rPr>
    </w:lvl>
  </w:abstractNum>
  <w:abstractNum w:abstractNumId="487" w15:restartNumberingAfterBreak="0">
    <w:nsid w:val="7F4C66A3"/>
    <w:multiLevelType w:val="hybridMultilevel"/>
    <w:tmpl w:val="7E702FD4"/>
    <w:lvl w:ilvl="0" w:tplc="3DAEC352">
      <w:numFmt w:val="bullet"/>
      <w:lvlText w:val=""/>
      <w:lvlJc w:val="left"/>
      <w:pPr>
        <w:ind w:left="393" w:hanging="284"/>
      </w:pPr>
      <w:rPr>
        <w:rFonts w:ascii="Symbol" w:eastAsia="Symbol" w:hAnsi="Symbol" w:cs="Symbol" w:hint="default"/>
        <w:b w:val="0"/>
        <w:bCs w:val="0"/>
        <w:i w:val="0"/>
        <w:iCs w:val="0"/>
        <w:color w:val="70004A"/>
        <w:spacing w:val="0"/>
        <w:w w:val="100"/>
        <w:sz w:val="18"/>
        <w:szCs w:val="18"/>
        <w:lang w:val="en-US" w:eastAsia="en-US" w:bidi="ar-SA"/>
      </w:rPr>
    </w:lvl>
    <w:lvl w:ilvl="1" w:tplc="C4AA5106">
      <w:numFmt w:val="bullet"/>
      <w:lvlText w:val="•"/>
      <w:lvlJc w:val="left"/>
      <w:pPr>
        <w:ind w:left="622" w:hanging="284"/>
      </w:pPr>
      <w:rPr>
        <w:rFonts w:hint="default"/>
        <w:lang w:val="en-US" w:eastAsia="en-US" w:bidi="ar-SA"/>
      </w:rPr>
    </w:lvl>
    <w:lvl w:ilvl="2" w:tplc="AB905398">
      <w:numFmt w:val="bullet"/>
      <w:lvlText w:val="•"/>
      <w:lvlJc w:val="left"/>
      <w:pPr>
        <w:ind w:left="844" w:hanging="284"/>
      </w:pPr>
      <w:rPr>
        <w:rFonts w:hint="default"/>
        <w:lang w:val="en-US" w:eastAsia="en-US" w:bidi="ar-SA"/>
      </w:rPr>
    </w:lvl>
    <w:lvl w:ilvl="3" w:tplc="4F087DCA">
      <w:numFmt w:val="bullet"/>
      <w:lvlText w:val="•"/>
      <w:lvlJc w:val="left"/>
      <w:pPr>
        <w:ind w:left="1066" w:hanging="284"/>
      </w:pPr>
      <w:rPr>
        <w:rFonts w:hint="default"/>
        <w:lang w:val="en-US" w:eastAsia="en-US" w:bidi="ar-SA"/>
      </w:rPr>
    </w:lvl>
    <w:lvl w:ilvl="4" w:tplc="3C76D398">
      <w:numFmt w:val="bullet"/>
      <w:lvlText w:val="•"/>
      <w:lvlJc w:val="left"/>
      <w:pPr>
        <w:ind w:left="1289" w:hanging="284"/>
      </w:pPr>
      <w:rPr>
        <w:rFonts w:hint="default"/>
        <w:lang w:val="en-US" w:eastAsia="en-US" w:bidi="ar-SA"/>
      </w:rPr>
    </w:lvl>
    <w:lvl w:ilvl="5" w:tplc="E968E982">
      <w:numFmt w:val="bullet"/>
      <w:lvlText w:val="•"/>
      <w:lvlJc w:val="left"/>
      <w:pPr>
        <w:ind w:left="1511" w:hanging="284"/>
      </w:pPr>
      <w:rPr>
        <w:rFonts w:hint="default"/>
        <w:lang w:val="en-US" w:eastAsia="en-US" w:bidi="ar-SA"/>
      </w:rPr>
    </w:lvl>
    <w:lvl w:ilvl="6" w:tplc="B04A9118">
      <w:numFmt w:val="bullet"/>
      <w:lvlText w:val="•"/>
      <w:lvlJc w:val="left"/>
      <w:pPr>
        <w:ind w:left="1733" w:hanging="284"/>
      </w:pPr>
      <w:rPr>
        <w:rFonts w:hint="default"/>
        <w:lang w:val="en-US" w:eastAsia="en-US" w:bidi="ar-SA"/>
      </w:rPr>
    </w:lvl>
    <w:lvl w:ilvl="7" w:tplc="BFB4071C">
      <w:numFmt w:val="bullet"/>
      <w:lvlText w:val="•"/>
      <w:lvlJc w:val="left"/>
      <w:pPr>
        <w:ind w:left="1956" w:hanging="284"/>
      </w:pPr>
      <w:rPr>
        <w:rFonts w:hint="default"/>
        <w:lang w:val="en-US" w:eastAsia="en-US" w:bidi="ar-SA"/>
      </w:rPr>
    </w:lvl>
    <w:lvl w:ilvl="8" w:tplc="3B7A04F0">
      <w:numFmt w:val="bullet"/>
      <w:lvlText w:val="•"/>
      <w:lvlJc w:val="left"/>
      <w:pPr>
        <w:ind w:left="2178" w:hanging="284"/>
      </w:pPr>
      <w:rPr>
        <w:rFonts w:hint="default"/>
        <w:lang w:val="en-US" w:eastAsia="en-US" w:bidi="ar-SA"/>
      </w:rPr>
    </w:lvl>
  </w:abstractNum>
  <w:abstractNum w:abstractNumId="488" w15:restartNumberingAfterBreak="0">
    <w:nsid w:val="7F5A070B"/>
    <w:multiLevelType w:val="hybridMultilevel"/>
    <w:tmpl w:val="BE58CAFE"/>
    <w:lvl w:ilvl="0" w:tplc="1BCA6160">
      <w:numFmt w:val="bullet"/>
      <w:lvlText w:val=""/>
      <w:lvlJc w:val="left"/>
      <w:pPr>
        <w:ind w:left="390" w:hanging="284"/>
      </w:pPr>
      <w:rPr>
        <w:rFonts w:ascii="Symbol" w:eastAsia="Symbol" w:hAnsi="Symbol" w:cs="Symbol" w:hint="default"/>
        <w:b w:val="0"/>
        <w:bCs w:val="0"/>
        <w:i w:val="0"/>
        <w:iCs w:val="0"/>
        <w:color w:val="70004A"/>
        <w:spacing w:val="0"/>
        <w:w w:val="100"/>
        <w:sz w:val="18"/>
        <w:szCs w:val="18"/>
        <w:lang w:val="en-US" w:eastAsia="en-US" w:bidi="ar-SA"/>
      </w:rPr>
    </w:lvl>
    <w:lvl w:ilvl="1" w:tplc="3380FC4C">
      <w:numFmt w:val="bullet"/>
      <w:lvlText w:val="•"/>
      <w:lvlJc w:val="left"/>
      <w:pPr>
        <w:ind w:left="627" w:hanging="284"/>
      </w:pPr>
      <w:rPr>
        <w:rFonts w:hint="default"/>
        <w:lang w:val="en-US" w:eastAsia="en-US" w:bidi="ar-SA"/>
      </w:rPr>
    </w:lvl>
    <w:lvl w:ilvl="2" w:tplc="8D1044FC">
      <w:numFmt w:val="bullet"/>
      <w:lvlText w:val="•"/>
      <w:lvlJc w:val="left"/>
      <w:pPr>
        <w:ind w:left="854" w:hanging="284"/>
      </w:pPr>
      <w:rPr>
        <w:rFonts w:hint="default"/>
        <w:lang w:val="en-US" w:eastAsia="en-US" w:bidi="ar-SA"/>
      </w:rPr>
    </w:lvl>
    <w:lvl w:ilvl="3" w:tplc="DF821B00">
      <w:numFmt w:val="bullet"/>
      <w:lvlText w:val="•"/>
      <w:lvlJc w:val="left"/>
      <w:pPr>
        <w:ind w:left="1081" w:hanging="284"/>
      </w:pPr>
      <w:rPr>
        <w:rFonts w:hint="default"/>
        <w:lang w:val="en-US" w:eastAsia="en-US" w:bidi="ar-SA"/>
      </w:rPr>
    </w:lvl>
    <w:lvl w:ilvl="4" w:tplc="484E6096">
      <w:numFmt w:val="bullet"/>
      <w:lvlText w:val="•"/>
      <w:lvlJc w:val="left"/>
      <w:pPr>
        <w:ind w:left="1308" w:hanging="284"/>
      </w:pPr>
      <w:rPr>
        <w:rFonts w:hint="default"/>
        <w:lang w:val="en-US" w:eastAsia="en-US" w:bidi="ar-SA"/>
      </w:rPr>
    </w:lvl>
    <w:lvl w:ilvl="5" w:tplc="F0B87E04">
      <w:numFmt w:val="bullet"/>
      <w:lvlText w:val="•"/>
      <w:lvlJc w:val="left"/>
      <w:pPr>
        <w:ind w:left="1535" w:hanging="284"/>
      </w:pPr>
      <w:rPr>
        <w:rFonts w:hint="default"/>
        <w:lang w:val="en-US" w:eastAsia="en-US" w:bidi="ar-SA"/>
      </w:rPr>
    </w:lvl>
    <w:lvl w:ilvl="6" w:tplc="F35E0644">
      <w:numFmt w:val="bullet"/>
      <w:lvlText w:val="•"/>
      <w:lvlJc w:val="left"/>
      <w:pPr>
        <w:ind w:left="1762" w:hanging="284"/>
      </w:pPr>
      <w:rPr>
        <w:rFonts w:hint="default"/>
        <w:lang w:val="en-US" w:eastAsia="en-US" w:bidi="ar-SA"/>
      </w:rPr>
    </w:lvl>
    <w:lvl w:ilvl="7" w:tplc="A9CCACCA">
      <w:numFmt w:val="bullet"/>
      <w:lvlText w:val="•"/>
      <w:lvlJc w:val="left"/>
      <w:pPr>
        <w:ind w:left="1989" w:hanging="284"/>
      </w:pPr>
      <w:rPr>
        <w:rFonts w:hint="default"/>
        <w:lang w:val="en-US" w:eastAsia="en-US" w:bidi="ar-SA"/>
      </w:rPr>
    </w:lvl>
    <w:lvl w:ilvl="8" w:tplc="6A0E0A7C">
      <w:numFmt w:val="bullet"/>
      <w:lvlText w:val="•"/>
      <w:lvlJc w:val="left"/>
      <w:pPr>
        <w:ind w:left="2216" w:hanging="284"/>
      </w:pPr>
      <w:rPr>
        <w:rFonts w:hint="default"/>
        <w:lang w:val="en-US" w:eastAsia="en-US" w:bidi="ar-SA"/>
      </w:rPr>
    </w:lvl>
  </w:abstractNum>
  <w:abstractNum w:abstractNumId="489" w15:restartNumberingAfterBreak="0">
    <w:nsid w:val="7FB354B8"/>
    <w:multiLevelType w:val="multilevel"/>
    <w:tmpl w:val="2E668A22"/>
    <w:lvl w:ilvl="0">
      <w:start w:val="1"/>
      <w:numFmt w:val="bullet"/>
      <w:pStyle w:val="ListBullet"/>
      <w:lvlText w:val=""/>
      <w:lvlJc w:val="left"/>
      <w:pPr>
        <w:ind w:left="425" w:hanging="425"/>
      </w:pPr>
      <w:rPr>
        <w:rFonts w:ascii="Symbol" w:hAnsi="Symbol" w:hint="default"/>
        <w:color w:val="71004B"/>
      </w:rPr>
    </w:lvl>
    <w:lvl w:ilvl="1">
      <w:start w:val="1"/>
      <w:numFmt w:val="bullet"/>
      <w:pStyle w:val="ListBullet2"/>
      <w:lvlText w:val="–"/>
      <w:lvlJc w:val="left"/>
      <w:pPr>
        <w:ind w:left="850" w:hanging="425"/>
      </w:pPr>
      <w:rPr>
        <w:rFonts w:ascii="Arial" w:hAnsi="Arial" w:hint="default"/>
        <w:color w:val="5F6369" w:themeColor="text2"/>
      </w:rPr>
    </w:lvl>
    <w:lvl w:ilvl="2">
      <w:start w:val="1"/>
      <w:numFmt w:val="bullet"/>
      <w:pStyle w:val="ListBullet3"/>
      <w:lvlText w:val="○"/>
      <w:lvlJc w:val="left"/>
      <w:pPr>
        <w:ind w:left="1275" w:hanging="425"/>
      </w:pPr>
      <w:rPr>
        <w:rFonts w:ascii="Arial" w:hAnsi="Arial" w:hint="default"/>
        <w:color w:val="5F6369" w:themeColor="text2"/>
      </w:rPr>
    </w:lvl>
    <w:lvl w:ilvl="3">
      <w:start w:val="1"/>
      <w:numFmt w:val="bullet"/>
      <w:lvlText w:val=""/>
      <w:lvlJc w:val="left"/>
      <w:pPr>
        <w:ind w:left="1700" w:hanging="425"/>
      </w:pPr>
      <w:rPr>
        <w:rFonts w:ascii="Symbol" w:hAnsi="Symbol" w:hint="default"/>
        <w:color w:val="5F6369" w:themeColor="text2"/>
      </w:rPr>
    </w:lvl>
    <w:lvl w:ilvl="4">
      <w:start w:val="1"/>
      <w:numFmt w:val="bullet"/>
      <w:lvlText w:val="–"/>
      <w:lvlJc w:val="left"/>
      <w:pPr>
        <w:ind w:left="2125" w:hanging="425"/>
      </w:pPr>
      <w:rPr>
        <w:rFonts w:ascii="Arial" w:hAnsi="Arial" w:hint="default"/>
        <w:color w:val="5F6369" w:themeColor="text2"/>
      </w:rPr>
    </w:lvl>
    <w:lvl w:ilvl="5">
      <w:start w:val="1"/>
      <w:numFmt w:val="bullet"/>
      <w:lvlText w:val="–"/>
      <w:lvlJc w:val="left"/>
      <w:pPr>
        <w:ind w:left="2550" w:hanging="425"/>
      </w:pPr>
      <w:rPr>
        <w:rFonts w:ascii="Arial" w:hAnsi="Arial" w:hint="default"/>
        <w:color w:val="5F6369" w:themeColor="text2"/>
      </w:rPr>
    </w:lvl>
    <w:lvl w:ilvl="6">
      <w:start w:val="1"/>
      <w:numFmt w:val="bullet"/>
      <w:lvlText w:val="–"/>
      <w:lvlJc w:val="left"/>
      <w:pPr>
        <w:ind w:left="2975" w:hanging="425"/>
      </w:pPr>
      <w:rPr>
        <w:rFonts w:ascii="Arial" w:hAnsi="Arial" w:hint="default"/>
        <w:color w:val="5F6369" w:themeColor="text2"/>
      </w:rPr>
    </w:lvl>
    <w:lvl w:ilvl="7">
      <w:start w:val="1"/>
      <w:numFmt w:val="bullet"/>
      <w:lvlText w:val="–"/>
      <w:lvlJc w:val="left"/>
      <w:pPr>
        <w:ind w:left="3400" w:hanging="425"/>
      </w:pPr>
      <w:rPr>
        <w:rFonts w:ascii="Arial" w:hAnsi="Arial" w:hint="default"/>
        <w:color w:val="5F6369" w:themeColor="text2"/>
      </w:rPr>
    </w:lvl>
    <w:lvl w:ilvl="8">
      <w:start w:val="1"/>
      <w:numFmt w:val="bullet"/>
      <w:lvlText w:val="–"/>
      <w:lvlJc w:val="left"/>
      <w:pPr>
        <w:ind w:left="3825" w:hanging="425"/>
      </w:pPr>
      <w:rPr>
        <w:rFonts w:ascii="Arial" w:hAnsi="Arial" w:hint="default"/>
        <w:color w:val="5F6369" w:themeColor="text2"/>
      </w:rPr>
    </w:lvl>
  </w:abstractNum>
  <w:abstractNum w:abstractNumId="490" w15:restartNumberingAfterBreak="0">
    <w:nsid w:val="7FF94FEF"/>
    <w:multiLevelType w:val="hybridMultilevel"/>
    <w:tmpl w:val="A44A3FD2"/>
    <w:lvl w:ilvl="0" w:tplc="A7B44442">
      <w:numFmt w:val="bullet"/>
      <w:lvlText w:val=""/>
      <w:lvlJc w:val="left"/>
      <w:pPr>
        <w:ind w:left="927" w:hanging="360"/>
      </w:pPr>
      <w:rPr>
        <w:rFonts w:ascii="Symbol" w:eastAsia="Symbol" w:hAnsi="Symbol" w:cs="Symbol" w:hint="default"/>
        <w:b w:val="0"/>
        <w:bCs w:val="0"/>
        <w:i w:val="0"/>
        <w:iCs w:val="0"/>
        <w:color w:val="70004A"/>
        <w:spacing w:val="0"/>
        <w:w w:val="100"/>
        <w:sz w:val="20"/>
        <w:szCs w:val="20"/>
        <w:lang w:val="en-US" w:eastAsia="en-US" w:bidi="ar-SA"/>
      </w:rPr>
    </w:lvl>
    <w:lvl w:ilvl="1" w:tplc="1DF0C314">
      <w:numFmt w:val="bullet"/>
      <w:lvlText w:val=""/>
      <w:lvlJc w:val="left"/>
      <w:pPr>
        <w:ind w:left="733" w:hanging="284"/>
      </w:pPr>
      <w:rPr>
        <w:rFonts w:ascii="Symbol" w:eastAsia="Symbol" w:hAnsi="Symbol" w:cs="Symbol" w:hint="default"/>
        <w:b w:val="0"/>
        <w:bCs w:val="0"/>
        <w:i w:val="0"/>
        <w:iCs w:val="0"/>
        <w:color w:val="70004A"/>
        <w:spacing w:val="0"/>
        <w:w w:val="100"/>
        <w:sz w:val="18"/>
        <w:szCs w:val="18"/>
        <w:lang w:val="en-US" w:eastAsia="en-US" w:bidi="ar-SA"/>
      </w:rPr>
    </w:lvl>
    <w:lvl w:ilvl="2" w:tplc="68806324">
      <w:numFmt w:val="bullet"/>
      <w:lvlText w:val="•"/>
      <w:lvlJc w:val="left"/>
      <w:pPr>
        <w:ind w:left="2014" w:hanging="284"/>
      </w:pPr>
      <w:rPr>
        <w:rFonts w:hint="default"/>
        <w:lang w:val="en-US" w:eastAsia="en-US" w:bidi="ar-SA"/>
      </w:rPr>
    </w:lvl>
    <w:lvl w:ilvl="3" w:tplc="B67AE8FA">
      <w:numFmt w:val="bullet"/>
      <w:lvlText w:val="•"/>
      <w:lvlJc w:val="left"/>
      <w:pPr>
        <w:ind w:left="3109" w:hanging="284"/>
      </w:pPr>
      <w:rPr>
        <w:rFonts w:hint="default"/>
        <w:lang w:val="en-US" w:eastAsia="en-US" w:bidi="ar-SA"/>
      </w:rPr>
    </w:lvl>
    <w:lvl w:ilvl="4" w:tplc="619401F2">
      <w:numFmt w:val="bullet"/>
      <w:lvlText w:val="•"/>
      <w:lvlJc w:val="left"/>
      <w:pPr>
        <w:ind w:left="4204" w:hanging="284"/>
      </w:pPr>
      <w:rPr>
        <w:rFonts w:hint="default"/>
        <w:lang w:val="en-US" w:eastAsia="en-US" w:bidi="ar-SA"/>
      </w:rPr>
    </w:lvl>
    <w:lvl w:ilvl="5" w:tplc="002CDEE6">
      <w:numFmt w:val="bullet"/>
      <w:lvlText w:val="•"/>
      <w:lvlJc w:val="left"/>
      <w:pPr>
        <w:ind w:left="5299" w:hanging="284"/>
      </w:pPr>
      <w:rPr>
        <w:rFonts w:hint="default"/>
        <w:lang w:val="en-US" w:eastAsia="en-US" w:bidi="ar-SA"/>
      </w:rPr>
    </w:lvl>
    <w:lvl w:ilvl="6" w:tplc="A574D418">
      <w:numFmt w:val="bullet"/>
      <w:lvlText w:val="•"/>
      <w:lvlJc w:val="left"/>
      <w:pPr>
        <w:ind w:left="6394" w:hanging="284"/>
      </w:pPr>
      <w:rPr>
        <w:rFonts w:hint="default"/>
        <w:lang w:val="en-US" w:eastAsia="en-US" w:bidi="ar-SA"/>
      </w:rPr>
    </w:lvl>
    <w:lvl w:ilvl="7" w:tplc="284E8F52">
      <w:numFmt w:val="bullet"/>
      <w:lvlText w:val="•"/>
      <w:lvlJc w:val="left"/>
      <w:pPr>
        <w:ind w:left="7489" w:hanging="284"/>
      </w:pPr>
      <w:rPr>
        <w:rFonts w:hint="default"/>
        <w:lang w:val="en-US" w:eastAsia="en-US" w:bidi="ar-SA"/>
      </w:rPr>
    </w:lvl>
    <w:lvl w:ilvl="8" w:tplc="CBAC13EA">
      <w:numFmt w:val="bullet"/>
      <w:lvlText w:val="•"/>
      <w:lvlJc w:val="left"/>
      <w:pPr>
        <w:ind w:left="8584" w:hanging="284"/>
      </w:pPr>
      <w:rPr>
        <w:rFonts w:hint="default"/>
        <w:lang w:val="en-US" w:eastAsia="en-US" w:bidi="ar-SA"/>
      </w:rPr>
    </w:lvl>
  </w:abstractNum>
  <w:num w:numId="1" w16cid:durableId="99568047">
    <w:abstractNumId w:val="132"/>
  </w:num>
  <w:num w:numId="2" w16cid:durableId="773743750">
    <w:abstractNumId w:val="78"/>
  </w:num>
  <w:num w:numId="3" w16cid:durableId="1204900052">
    <w:abstractNumId w:val="94"/>
    <w:lvlOverride w:ilvl="0">
      <w:lvl w:ilvl="0">
        <w:start w:val="1"/>
        <w:numFmt w:val="upperLetter"/>
        <w:pStyle w:val="Heading9"/>
        <w:suff w:val="space"/>
        <w:lvlText w:val="Appendix %1"/>
        <w:lvlJc w:val="left"/>
        <w:pPr>
          <w:ind w:left="2269" w:firstLine="0"/>
        </w:pPr>
        <w:rPr>
          <w:rFonts w:hint="default"/>
          <w:b w:val="0"/>
          <w:bCs w:val="0"/>
          <w:i w:val="0"/>
          <w:iCs w:val="0"/>
          <w:caps w:val="0"/>
          <w:smallCaps w:val="0"/>
          <w:strike w:val="0"/>
          <w:dstrike w:val="0"/>
          <w:outline w:val="0"/>
          <w:shadow w:val="0"/>
          <w:emboss w:val="0"/>
          <w:imprint w:val="0"/>
          <w:vanish w:val="0"/>
          <w:color w:val="71004B"/>
          <w:spacing w:val="0"/>
          <w:kern w:val="0"/>
          <w:position w:val="0"/>
          <w:sz w:val="36"/>
          <w:szCs w:val="36"/>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Appendix-Heading1"/>
        <w:lvlText w:val="%1.%2"/>
        <w:lvlJc w:val="left"/>
        <w:pPr>
          <w:tabs>
            <w:tab w:val="num" w:pos="3403"/>
          </w:tabs>
          <w:ind w:left="3403" w:hanging="1134"/>
        </w:pPr>
        <w:rPr>
          <w:rFonts w:asciiTheme="majorHAnsi" w:hAnsiTheme="majorHAnsi" w:hint="default"/>
          <w:b/>
          <w:i w:val="0"/>
          <w:color w:val="71004B"/>
          <w:sz w:val="32"/>
        </w:rPr>
      </w:lvl>
    </w:lvlOverride>
    <w:lvlOverride w:ilvl="2">
      <w:lvl w:ilvl="2">
        <w:start w:val="1"/>
        <w:numFmt w:val="decimal"/>
        <w:pStyle w:val="Appendix-Heading2"/>
        <w:lvlText w:val="%1.%2.%3"/>
        <w:lvlJc w:val="left"/>
        <w:pPr>
          <w:tabs>
            <w:tab w:val="num" w:pos="3403"/>
          </w:tabs>
          <w:ind w:left="3403" w:hanging="1134"/>
        </w:pPr>
        <w:rPr>
          <w:rFonts w:asciiTheme="majorHAnsi" w:hAnsiTheme="majorHAnsi" w:hint="default"/>
          <w:b/>
          <w:i w:val="0"/>
          <w:color w:val="71004B"/>
          <w:sz w:val="28"/>
        </w:rPr>
      </w:lvl>
    </w:lvlOverride>
    <w:lvlOverride w:ilvl="3">
      <w:lvl w:ilvl="3">
        <w:start w:val="1"/>
        <w:numFmt w:val="decimal"/>
        <w:pStyle w:val="Appendix-Heading3"/>
        <w:lvlText w:val="%1.%2.%3.%4"/>
        <w:lvlJc w:val="left"/>
        <w:pPr>
          <w:tabs>
            <w:tab w:val="num" w:pos="3403"/>
          </w:tabs>
          <w:ind w:left="3403" w:hanging="1134"/>
        </w:pPr>
        <w:rPr>
          <w:rFonts w:asciiTheme="majorHAnsi" w:hAnsiTheme="majorHAnsi" w:hint="default"/>
          <w:b/>
          <w:i w:val="0"/>
          <w:color w:val="5F6369" w:themeColor="text2"/>
          <w:sz w:val="26"/>
        </w:rPr>
      </w:lvl>
    </w:lvlOverride>
    <w:lvlOverride w:ilvl="4">
      <w:lvl w:ilvl="4">
        <w:start w:val="1"/>
        <w:numFmt w:val="lowerLetter"/>
        <w:lvlText w:val="(%5)"/>
        <w:lvlJc w:val="left"/>
        <w:pPr>
          <w:ind w:left="4069" w:hanging="360"/>
        </w:pPr>
        <w:rPr>
          <w:rFonts w:hint="default"/>
        </w:rPr>
      </w:lvl>
    </w:lvlOverride>
    <w:lvlOverride w:ilvl="5">
      <w:lvl w:ilvl="5">
        <w:start w:val="1"/>
        <w:numFmt w:val="lowerRoman"/>
        <w:lvlText w:val="(%6)"/>
        <w:lvlJc w:val="left"/>
        <w:pPr>
          <w:ind w:left="4429" w:hanging="360"/>
        </w:pPr>
        <w:rPr>
          <w:rFonts w:hint="default"/>
        </w:rPr>
      </w:lvl>
    </w:lvlOverride>
    <w:lvlOverride w:ilvl="6">
      <w:lvl w:ilvl="6">
        <w:start w:val="1"/>
        <w:numFmt w:val="decimal"/>
        <w:lvlText w:val="%7."/>
        <w:lvlJc w:val="left"/>
        <w:pPr>
          <w:ind w:left="4789" w:hanging="360"/>
        </w:pPr>
        <w:rPr>
          <w:rFonts w:hint="default"/>
        </w:rPr>
      </w:lvl>
    </w:lvlOverride>
    <w:lvlOverride w:ilvl="7">
      <w:lvl w:ilvl="7">
        <w:start w:val="1"/>
        <w:numFmt w:val="lowerLetter"/>
        <w:lvlText w:val="%8."/>
        <w:lvlJc w:val="left"/>
        <w:pPr>
          <w:ind w:left="5149" w:hanging="360"/>
        </w:pPr>
        <w:rPr>
          <w:rFonts w:hint="default"/>
        </w:rPr>
      </w:lvl>
    </w:lvlOverride>
    <w:lvlOverride w:ilvl="8">
      <w:lvl w:ilvl="8">
        <w:start w:val="1"/>
        <w:numFmt w:val="lowerRoman"/>
        <w:lvlText w:val="%9."/>
        <w:lvlJc w:val="left"/>
        <w:pPr>
          <w:ind w:left="5509" w:hanging="360"/>
        </w:pPr>
        <w:rPr>
          <w:rFonts w:hint="default"/>
        </w:rPr>
      </w:lvl>
    </w:lvlOverride>
  </w:num>
  <w:num w:numId="4" w16cid:durableId="170072845">
    <w:abstractNumId w:val="49"/>
  </w:num>
  <w:num w:numId="5" w16cid:durableId="604188791">
    <w:abstractNumId w:val="27"/>
  </w:num>
  <w:num w:numId="6" w16cid:durableId="364411377">
    <w:abstractNumId w:val="489"/>
  </w:num>
  <w:num w:numId="7" w16cid:durableId="1538471971">
    <w:abstractNumId w:val="476"/>
  </w:num>
  <w:num w:numId="8" w16cid:durableId="927887780">
    <w:abstractNumId w:val="294"/>
  </w:num>
  <w:num w:numId="9" w16cid:durableId="989603094">
    <w:abstractNumId w:val="449"/>
  </w:num>
  <w:num w:numId="10" w16cid:durableId="986788010">
    <w:abstractNumId w:val="357"/>
  </w:num>
  <w:num w:numId="11" w16cid:durableId="1023361895">
    <w:abstractNumId w:val="91"/>
  </w:num>
  <w:num w:numId="12" w16cid:durableId="1998266859">
    <w:abstractNumId w:val="288"/>
  </w:num>
  <w:num w:numId="13" w16cid:durableId="1238125687">
    <w:abstractNumId w:val="322"/>
  </w:num>
  <w:num w:numId="14" w16cid:durableId="132605479">
    <w:abstractNumId w:val="98"/>
  </w:num>
  <w:num w:numId="15" w16cid:durableId="1639610121">
    <w:abstractNumId w:val="283"/>
  </w:num>
  <w:num w:numId="16" w16cid:durableId="182938491">
    <w:abstractNumId w:val="432"/>
  </w:num>
  <w:num w:numId="17" w16cid:durableId="1823808106">
    <w:abstractNumId w:val="145"/>
  </w:num>
  <w:num w:numId="18" w16cid:durableId="1727028765">
    <w:abstractNumId w:val="467"/>
  </w:num>
  <w:num w:numId="19" w16cid:durableId="1513106329">
    <w:abstractNumId w:val="143"/>
  </w:num>
  <w:num w:numId="20" w16cid:durableId="529874707">
    <w:abstractNumId w:val="279"/>
  </w:num>
  <w:num w:numId="21" w16cid:durableId="1878078953">
    <w:abstractNumId w:val="314"/>
  </w:num>
  <w:num w:numId="22" w16cid:durableId="995111620">
    <w:abstractNumId w:val="337"/>
  </w:num>
  <w:num w:numId="23" w16cid:durableId="1451826227">
    <w:abstractNumId w:val="253"/>
  </w:num>
  <w:num w:numId="24" w16cid:durableId="26755354">
    <w:abstractNumId w:val="311"/>
  </w:num>
  <w:num w:numId="25" w16cid:durableId="2073892888">
    <w:abstractNumId w:val="82"/>
  </w:num>
  <w:num w:numId="26" w16cid:durableId="121198386">
    <w:abstractNumId w:val="479"/>
  </w:num>
  <w:num w:numId="27" w16cid:durableId="1269435454">
    <w:abstractNumId w:val="190"/>
  </w:num>
  <w:num w:numId="28" w16cid:durableId="2105147917">
    <w:abstractNumId w:val="312"/>
  </w:num>
  <w:num w:numId="29" w16cid:durableId="217741394">
    <w:abstractNumId w:val="256"/>
  </w:num>
  <w:num w:numId="30" w16cid:durableId="629092154">
    <w:abstractNumId w:val="447"/>
  </w:num>
  <w:num w:numId="31" w16cid:durableId="67462654">
    <w:abstractNumId w:val="53"/>
  </w:num>
  <w:num w:numId="32" w16cid:durableId="144247684">
    <w:abstractNumId w:val="300"/>
  </w:num>
  <w:num w:numId="33" w16cid:durableId="244145854">
    <w:abstractNumId w:val="400"/>
  </w:num>
  <w:num w:numId="34" w16cid:durableId="1195273189">
    <w:abstractNumId w:val="124"/>
  </w:num>
  <w:num w:numId="35" w16cid:durableId="2135057451">
    <w:abstractNumId w:val="435"/>
  </w:num>
  <w:num w:numId="36" w16cid:durableId="1890192599">
    <w:abstractNumId w:val="207"/>
  </w:num>
  <w:num w:numId="37" w16cid:durableId="172884853">
    <w:abstractNumId w:val="422"/>
  </w:num>
  <w:num w:numId="38" w16cid:durableId="437021966">
    <w:abstractNumId w:val="113"/>
  </w:num>
  <w:num w:numId="39" w16cid:durableId="318774465">
    <w:abstractNumId w:val="126"/>
  </w:num>
  <w:num w:numId="40" w16cid:durableId="819271995">
    <w:abstractNumId w:val="9"/>
  </w:num>
  <w:num w:numId="41" w16cid:durableId="45418909">
    <w:abstractNumId w:val="420"/>
  </w:num>
  <w:num w:numId="42" w16cid:durableId="826747321">
    <w:abstractNumId w:val="175"/>
  </w:num>
  <w:num w:numId="43" w16cid:durableId="1552767965">
    <w:abstractNumId w:val="5"/>
  </w:num>
  <w:num w:numId="44" w16cid:durableId="2052221687">
    <w:abstractNumId w:val="251"/>
  </w:num>
  <w:num w:numId="45" w16cid:durableId="963275034">
    <w:abstractNumId w:val="453"/>
  </w:num>
  <w:num w:numId="46" w16cid:durableId="1568494598">
    <w:abstractNumId w:val="454"/>
  </w:num>
  <w:num w:numId="47" w16cid:durableId="1125467540">
    <w:abstractNumId w:val="37"/>
  </w:num>
  <w:num w:numId="48" w16cid:durableId="2140494456">
    <w:abstractNumId w:val="359"/>
  </w:num>
  <w:num w:numId="49" w16cid:durableId="916793072">
    <w:abstractNumId w:val="358"/>
  </w:num>
  <w:num w:numId="50" w16cid:durableId="755632323">
    <w:abstractNumId w:val="437"/>
  </w:num>
  <w:num w:numId="51" w16cid:durableId="1440445575">
    <w:abstractNumId w:val="433"/>
  </w:num>
  <w:num w:numId="52" w16cid:durableId="801460660">
    <w:abstractNumId w:val="299"/>
  </w:num>
  <w:num w:numId="53" w16cid:durableId="2123256141">
    <w:abstractNumId w:val="224"/>
  </w:num>
  <w:num w:numId="54" w16cid:durableId="1403722341">
    <w:abstractNumId w:val="135"/>
  </w:num>
  <w:num w:numId="55" w16cid:durableId="466319644">
    <w:abstractNumId w:val="213"/>
  </w:num>
  <w:num w:numId="56" w16cid:durableId="296957239">
    <w:abstractNumId w:val="427"/>
  </w:num>
  <w:num w:numId="57" w16cid:durableId="2101682772">
    <w:abstractNumId w:val="47"/>
  </w:num>
  <w:num w:numId="58" w16cid:durableId="173307206">
    <w:abstractNumId w:val="22"/>
  </w:num>
  <w:num w:numId="59" w16cid:durableId="552665704">
    <w:abstractNumId w:val="42"/>
  </w:num>
  <w:num w:numId="60" w16cid:durableId="232281314">
    <w:abstractNumId w:val="236"/>
  </w:num>
  <w:num w:numId="61" w16cid:durableId="1262758559">
    <w:abstractNumId w:val="329"/>
  </w:num>
  <w:num w:numId="62" w16cid:durableId="596716923">
    <w:abstractNumId w:val="320"/>
  </w:num>
  <w:num w:numId="63" w16cid:durableId="1296790556">
    <w:abstractNumId w:val="444"/>
  </w:num>
  <w:num w:numId="64" w16cid:durableId="1392730344">
    <w:abstractNumId w:val="333"/>
  </w:num>
  <w:num w:numId="65" w16cid:durableId="1214586356">
    <w:abstractNumId w:val="248"/>
  </w:num>
  <w:num w:numId="66" w16cid:durableId="188379636">
    <w:abstractNumId w:val="16"/>
  </w:num>
  <w:num w:numId="67" w16cid:durableId="1610312286">
    <w:abstractNumId w:val="100"/>
  </w:num>
  <w:num w:numId="68" w16cid:durableId="1422219088">
    <w:abstractNumId w:val="383"/>
  </w:num>
  <w:num w:numId="69" w16cid:durableId="1180579453">
    <w:abstractNumId w:val="263"/>
  </w:num>
  <w:num w:numId="70" w16cid:durableId="1507747318">
    <w:abstractNumId w:val="114"/>
  </w:num>
  <w:num w:numId="71" w16cid:durableId="363287091">
    <w:abstractNumId w:val="95"/>
  </w:num>
  <w:num w:numId="72" w16cid:durableId="1232038864">
    <w:abstractNumId w:val="372"/>
  </w:num>
  <w:num w:numId="73" w16cid:durableId="1012531735">
    <w:abstractNumId w:val="215"/>
  </w:num>
  <w:num w:numId="74" w16cid:durableId="1992441912">
    <w:abstractNumId w:val="26"/>
  </w:num>
  <w:num w:numId="75" w16cid:durableId="1721172910">
    <w:abstractNumId w:val="403"/>
  </w:num>
  <w:num w:numId="76" w16cid:durableId="1580166894">
    <w:abstractNumId w:val="456"/>
  </w:num>
  <w:num w:numId="77" w16cid:durableId="2127314229">
    <w:abstractNumId w:val="184"/>
  </w:num>
  <w:num w:numId="78" w16cid:durableId="568661879">
    <w:abstractNumId w:val="365"/>
  </w:num>
  <w:num w:numId="79" w16cid:durableId="778648398">
    <w:abstractNumId w:val="404"/>
  </w:num>
  <w:num w:numId="80" w16cid:durableId="105539979">
    <w:abstractNumId w:val="107"/>
  </w:num>
  <w:num w:numId="81" w16cid:durableId="1136022013">
    <w:abstractNumId w:val="366"/>
  </w:num>
  <w:num w:numId="82" w16cid:durableId="898709724">
    <w:abstractNumId w:val="285"/>
  </w:num>
  <w:num w:numId="83" w16cid:durableId="205531510">
    <w:abstractNumId w:val="380"/>
  </w:num>
  <w:num w:numId="84" w16cid:durableId="2105226589">
    <w:abstractNumId w:val="144"/>
  </w:num>
  <w:num w:numId="85" w16cid:durableId="1807888388">
    <w:abstractNumId w:val="56"/>
  </w:num>
  <w:num w:numId="86" w16cid:durableId="1360472437">
    <w:abstractNumId w:val="41"/>
  </w:num>
  <w:num w:numId="87" w16cid:durableId="1241333557">
    <w:abstractNumId w:val="381"/>
  </w:num>
  <w:num w:numId="88" w16cid:durableId="1150439741">
    <w:abstractNumId w:val="280"/>
  </w:num>
  <w:num w:numId="89" w16cid:durableId="686907759">
    <w:abstractNumId w:val="395"/>
  </w:num>
  <w:num w:numId="90" w16cid:durableId="1796636320">
    <w:abstractNumId w:val="148"/>
  </w:num>
  <w:num w:numId="91" w16cid:durableId="2073700139">
    <w:abstractNumId w:val="73"/>
  </w:num>
  <w:num w:numId="92" w16cid:durableId="1381784016">
    <w:abstractNumId w:val="254"/>
  </w:num>
  <w:num w:numId="93" w16cid:durableId="1953440225">
    <w:abstractNumId w:val="471"/>
  </w:num>
  <w:num w:numId="94" w16cid:durableId="581917584">
    <w:abstractNumId w:val="301"/>
  </w:num>
  <w:num w:numId="95" w16cid:durableId="497160033">
    <w:abstractNumId w:val="173"/>
  </w:num>
  <w:num w:numId="96" w16cid:durableId="1416510609">
    <w:abstractNumId w:val="242"/>
  </w:num>
  <w:num w:numId="97" w16cid:durableId="798260092">
    <w:abstractNumId w:val="226"/>
  </w:num>
  <w:num w:numId="98" w16cid:durableId="723603643">
    <w:abstractNumId w:val="65"/>
  </w:num>
  <w:num w:numId="99" w16cid:durableId="299773485">
    <w:abstractNumId w:val="104"/>
  </w:num>
  <w:num w:numId="100" w16cid:durableId="623003874">
    <w:abstractNumId w:val="361"/>
  </w:num>
  <w:num w:numId="101" w16cid:durableId="1827696957">
    <w:abstractNumId w:val="343"/>
  </w:num>
  <w:num w:numId="102" w16cid:durableId="1987666900">
    <w:abstractNumId w:val="174"/>
  </w:num>
  <w:num w:numId="103" w16cid:durableId="312220379">
    <w:abstractNumId w:val="411"/>
  </w:num>
  <w:num w:numId="104" w16cid:durableId="2035499237">
    <w:abstractNumId w:val="109"/>
  </w:num>
  <w:num w:numId="105" w16cid:durableId="1817259802">
    <w:abstractNumId w:val="160"/>
  </w:num>
  <w:num w:numId="106" w16cid:durableId="1993868047">
    <w:abstractNumId w:val="408"/>
  </w:num>
  <w:num w:numId="107" w16cid:durableId="1794901513">
    <w:abstractNumId w:val="225"/>
  </w:num>
  <w:num w:numId="108" w16cid:durableId="1690720071">
    <w:abstractNumId w:val="50"/>
  </w:num>
  <w:num w:numId="109" w16cid:durableId="2064021402">
    <w:abstractNumId w:val="334"/>
  </w:num>
  <w:num w:numId="110" w16cid:durableId="1988314826">
    <w:abstractNumId w:val="216"/>
  </w:num>
  <w:num w:numId="111" w16cid:durableId="322054169">
    <w:abstractNumId w:val="423"/>
  </w:num>
  <w:num w:numId="112" w16cid:durableId="1397127707">
    <w:abstractNumId w:val="123"/>
  </w:num>
  <w:num w:numId="113" w16cid:durableId="473761601">
    <w:abstractNumId w:val="336"/>
  </w:num>
  <w:num w:numId="114" w16cid:durableId="1932425566">
    <w:abstractNumId w:val="340"/>
  </w:num>
  <w:num w:numId="115" w16cid:durableId="506870265">
    <w:abstractNumId w:val="241"/>
  </w:num>
  <w:num w:numId="116" w16cid:durableId="1518689029">
    <w:abstractNumId w:val="96"/>
  </w:num>
  <w:num w:numId="117" w16cid:durableId="564417598">
    <w:abstractNumId w:val="57"/>
  </w:num>
  <w:num w:numId="118" w16cid:durableId="1568997855">
    <w:abstractNumId w:val="419"/>
  </w:num>
  <w:num w:numId="119" w16cid:durableId="283003696">
    <w:abstractNumId w:val="60"/>
  </w:num>
  <w:num w:numId="120" w16cid:durableId="1464228979">
    <w:abstractNumId w:val="92"/>
  </w:num>
  <w:num w:numId="121" w16cid:durableId="1280913831">
    <w:abstractNumId w:val="259"/>
  </w:num>
  <w:num w:numId="122" w16cid:durableId="816920246">
    <w:abstractNumId w:val="272"/>
  </w:num>
  <w:num w:numId="123" w16cid:durableId="1376344173">
    <w:abstractNumId w:val="401"/>
  </w:num>
  <w:num w:numId="124" w16cid:durableId="1003584214">
    <w:abstractNumId w:val="390"/>
  </w:num>
  <w:num w:numId="125" w16cid:durableId="1130830307">
    <w:abstractNumId w:val="388"/>
  </w:num>
  <w:num w:numId="126" w16cid:durableId="77796231">
    <w:abstractNumId w:val="125"/>
  </w:num>
  <w:num w:numId="127" w16cid:durableId="1376155708">
    <w:abstractNumId w:val="362"/>
  </w:num>
  <w:num w:numId="128" w16cid:durableId="1926719370">
    <w:abstractNumId w:val="68"/>
  </w:num>
  <w:num w:numId="129" w16cid:durableId="935134771">
    <w:abstractNumId w:val="298"/>
  </w:num>
  <w:num w:numId="130" w16cid:durableId="855970206">
    <w:abstractNumId w:val="163"/>
  </w:num>
  <w:num w:numId="131" w16cid:durableId="1298220079">
    <w:abstractNumId w:val="86"/>
  </w:num>
  <w:num w:numId="132" w16cid:durableId="513685435">
    <w:abstractNumId w:val="466"/>
  </w:num>
  <w:num w:numId="133" w16cid:durableId="710810669">
    <w:abstractNumId w:val="218"/>
  </w:num>
  <w:num w:numId="134" w16cid:durableId="1933660078">
    <w:abstractNumId w:val="39"/>
  </w:num>
  <w:num w:numId="135" w16cid:durableId="650641933">
    <w:abstractNumId w:val="313"/>
  </w:num>
  <w:num w:numId="136" w16cid:durableId="1076122640">
    <w:abstractNumId w:val="426"/>
  </w:num>
  <w:num w:numId="137" w16cid:durableId="1836216641">
    <w:abstractNumId w:val="161"/>
  </w:num>
  <w:num w:numId="138" w16cid:durableId="2084641485">
    <w:abstractNumId w:val="182"/>
  </w:num>
  <w:num w:numId="139" w16cid:durableId="1508591676">
    <w:abstractNumId w:val="295"/>
  </w:num>
  <w:num w:numId="140" w16cid:durableId="865292687">
    <w:abstractNumId w:val="440"/>
  </w:num>
  <w:num w:numId="141" w16cid:durableId="253367285">
    <w:abstractNumId w:val="234"/>
  </w:num>
  <w:num w:numId="142" w16cid:durableId="1979913348">
    <w:abstractNumId w:val="210"/>
  </w:num>
  <w:num w:numId="143" w16cid:durableId="223764039">
    <w:abstractNumId w:val="197"/>
  </w:num>
  <w:num w:numId="144" w16cid:durableId="683476842">
    <w:abstractNumId w:val="88"/>
  </w:num>
  <w:num w:numId="145" w16cid:durableId="832255034">
    <w:abstractNumId w:val="43"/>
  </w:num>
  <w:num w:numId="146" w16cid:durableId="2098624960">
    <w:abstractNumId w:val="181"/>
  </w:num>
  <w:num w:numId="147" w16cid:durableId="603458668">
    <w:abstractNumId w:val="93"/>
  </w:num>
  <w:num w:numId="148" w16cid:durableId="1323896162">
    <w:abstractNumId w:val="289"/>
  </w:num>
  <w:num w:numId="149" w16cid:durableId="2105295997">
    <w:abstractNumId w:val="335"/>
  </w:num>
  <w:num w:numId="150" w16cid:durableId="1209687156">
    <w:abstractNumId w:val="318"/>
  </w:num>
  <w:num w:numId="151" w16cid:durableId="315576325">
    <w:abstractNumId w:val="7"/>
  </w:num>
  <w:num w:numId="152" w16cid:durableId="1823235437">
    <w:abstractNumId w:val="183"/>
  </w:num>
  <w:num w:numId="153" w16cid:durableId="1686784163">
    <w:abstractNumId w:val="305"/>
  </w:num>
  <w:num w:numId="154" w16cid:durableId="1611543563">
    <w:abstractNumId w:val="23"/>
  </w:num>
  <w:num w:numId="155" w16cid:durableId="1663005900">
    <w:abstractNumId w:val="147"/>
  </w:num>
  <w:num w:numId="156" w16cid:durableId="924218018">
    <w:abstractNumId w:val="112"/>
  </w:num>
  <w:num w:numId="157" w16cid:durableId="132795657">
    <w:abstractNumId w:val="116"/>
  </w:num>
  <w:num w:numId="158" w16cid:durableId="1847549033">
    <w:abstractNumId w:val="351"/>
  </w:num>
  <w:num w:numId="159" w16cid:durableId="1486313963">
    <w:abstractNumId w:val="246"/>
  </w:num>
  <w:num w:numId="160" w16cid:durableId="1421291688">
    <w:abstractNumId w:val="62"/>
  </w:num>
  <w:num w:numId="161" w16cid:durableId="1701709288">
    <w:abstractNumId w:val="428"/>
  </w:num>
  <w:num w:numId="162" w16cid:durableId="288323920">
    <w:abstractNumId w:val="304"/>
  </w:num>
  <w:num w:numId="163" w16cid:durableId="227226391">
    <w:abstractNumId w:val="167"/>
  </w:num>
  <w:num w:numId="164" w16cid:durableId="1450080684">
    <w:abstractNumId w:val="457"/>
  </w:num>
  <w:num w:numId="165" w16cid:durableId="1065490115">
    <w:abstractNumId w:val="110"/>
  </w:num>
  <w:num w:numId="166" w16cid:durableId="686297866">
    <w:abstractNumId w:val="488"/>
  </w:num>
  <w:num w:numId="167" w16cid:durableId="854804041">
    <w:abstractNumId w:val="485"/>
  </w:num>
  <w:num w:numId="168" w16cid:durableId="1555267385">
    <w:abstractNumId w:val="105"/>
  </w:num>
  <w:num w:numId="169" w16cid:durableId="1353190994">
    <w:abstractNumId w:val="393"/>
  </w:num>
  <w:num w:numId="170" w16cid:durableId="1987591093">
    <w:abstractNumId w:val="405"/>
  </w:num>
  <w:num w:numId="171" w16cid:durableId="2126578775">
    <w:abstractNumId w:val="430"/>
  </w:num>
  <w:num w:numId="172" w16cid:durableId="817577047">
    <w:abstractNumId w:val="58"/>
  </w:num>
  <w:num w:numId="173" w16cid:durableId="1379622198">
    <w:abstractNumId w:val="138"/>
  </w:num>
  <w:num w:numId="174" w16cid:durableId="1040861051">
    <w:abstractNumId w:val="342"/>
  </w:num>
  <w:num w:numId="175" w16cid:durableId="1629168321">
    <w:abstractNumId w:val="302"/>
  </w:num>
  <w:num w:numId="176" w16cid:durableId="1742634902">
    <w:abstractNumId w:val="262"/>
  </w:num>
  <w:num w:numId="177" w16cid:durableId="24718309">
    <w:abstractNumId w:val="274"/>
  </w:num>
  <w:num w:numId="178" w16cid:durableId="1197112590">
    <w:abstractNumId w:val="326"/>
  </w:num>
  <w:num w:numId="179" w16cid:durableId="1057389886">
    <w:abstractNumId w:val="162"/>
  </w:num>
  <w:num w:numId="180" w16cid:durableId="830683304">
    <w:abstractNumId w:val="268"/>
  </w:num>
  <w:num w:numId="181" w16cid:durableId="421528408">
    <w:abstractNumId w:val="341"/>
  </w:num>
  <w:num w:numId="182" w16cid:durableId="1659765675">
    <w:abstractNumId w:val="35"/>
  </w:num>
  <w:num w:numId="183" w16cid:durableId="1510175101">
    <w:abstractNumId w:val="394"/>
  </w:num>
  <w:num w:numId="184" w16cid:durableId="44306274">
    <w:abstractNumId w:val="203"/>
  </w:num>
  <w:num w:numId="185" w16cid:durableId="952784650">
    <w:abstractNumId w:val="291"/>
  </w:num>
  <w:num w:numId="186" w16cid:durableId="625770259">
    <w:abstractNumId w:val="376"/>
  </w:num>
  <w:num w:numId="187" w16cid:durableId="1234000681">
    <w:abstractNumId w:val="356"/>
  </w:num>
  <w:num w:numId="188" w16cid:durableId="857550879">
    <w:abstractNumId w:val="378"/>
  </w:num>
  <w:num w:numId="189" w16cid:durableId="109515292">
    <w:abstractNumId w:val="38"/>
  </w:num>
  <w:num w:numId="190" w16cid:durableId="1031800647">
    <w:abstractNumId w:val="391"/>
  </w:num>
  <w:num w:numId="191" w16cid:durableId="1838228717">
    <w:abstractNumId w:val="208"/>
  </w:num>
  <w:num w:numId="192" w16cid:durableId="34088272">
    <w:abstractNumId w:val="414"/>
  </w:num>
  <w:num w:numId="193" w16cid:durableId="1058674714">
    <w:abstractNumId w:val="327"/>
  </w:num>
  <w:num w:numId="194" w16cid:durableId="864254078">
    <w:abstractNumId w:val="230"/>
  </w:num>
  <w:num w:numId="195" w16cid:durableId="1548909909">
    <w:abstractNumId w:val="452"/>
  </w:num>
  <w:num w:numId="196" w16cid:durableId="973949622">
    <w:abstractNumId w:val="87"/>
  </w:num>
  <w:num w:numId="197" w16cid:durableId="807477473">
    <w:abstractNumId w:val="286"/>
  </w:num>
  <w:num w:numId="198" w16cid:durableId="295374663">
    <w:abstractNumId w:val="134"/>
  </w:num>
  <w:num w:numId="199" w16cid:durableId="153109239">
    <w:abstractNumId w:val="189"/>
  </w:num>
  <w:num w:numId="200" w16cid:durableId="597178064">
    <w:abstractNumId w:val="243"/>
  </w:num>
  <w:num w:numId="201" w16cid:durableId="2087074151">
    <w:abstractNumId w:val="480"/>
  </w:num>
  <w:num w:numId="202" w16cid:durableId="83187352">
    <w:abstractNumId w:val="77"/>
  </w:num>
  <w:num w:numId="203" w16cid:durableId="1676298173">
    <w:abstractNumId w:val="187"/>
  </w:num>
  <w:num w:numId="204" w16cid:durableId="908198143">
    <w:abstractNumId w:val="55"/>
  </w:num>
  <w:num w:numId="205" w16cid:durableId="386228742">
    <w:abstractNumId w:val="260"/>
  </w:num>
  <w:num w:numId="206" w16cid:durableId="341784186">
    <w:abstractNumId w:val="158"/>
  </w:num>
  <w:num w:numId="207" w16cid:durableId="771824948">
    <w:abstractNumId w:val="36"/>
  </w:num>
  <w:num w:numId="208" w16cid:durableId="1833257771">
    <w:abstractNumId w:val="330"/>
  </w:num>
  <w:num w:numId="209" w16cid:durableId="297541006">
    <w:abstractNumId w:val="278"/>
  </w:num>
  <w:num w:numId="210" w16cid:durableId="1967080266">
    <w:abstractNumId w:val="13"/>
  </w:num>
  <w:num w:numId="211" w16cid:durableId="730469470">
    <w:abstractNumId w:val="346"/>
  </w:num>
  <w:num w:numId="212" w16cid:durableId="2005695841">
    <w:abstractNumId w:val="129"/>
  </w:num>
  <w:num w:numId="213" w16cid:durableId="736049229">
    <w:abstractNumId w:val="74"/>
  </w:num>
  <w:num w:numId="214" w16cid:durableId="550194769">
    <w:abstractNumId w:val="470"/>
  </w:num>
  <w:num w:numId="215" w16cid:durableId="1139767823">
    <w:abstractNumId w:val="164"/>
  </w:num>
  <w:num w:numId="216" w16cid:durableId="341319381">
    <w:abstractNumId w:val="331"/>
  </w:num>
  <w:num w:numId="217" w16cid:durableId="1072199426">
    <w:abstractNumId w:val="247"/>
  </w:num>
  <w:num w:numId="218" w16cid:durableId="185367900">
    <w:abstractNumId w:val="149"/>
  </w:num>
  <w:num w:numId="219" w16cid:durableId="840237956">
    <w:abstractNumId w:val="284"/>
  </w:num>
  <w:num w:numId="220" w16cid:durableId="1513835675">
    <w:abstractNumId w:val="349"/>
  </w:num>
  <w:num w:numId="221" w16cid:durableId="24717473">
    <w:abstractNumId w:val="54"/>
  </w:num>
  <w:num w:numId="222" w16cid:durableId="1334726875">
    <w:abstractNumId w:val="227"/>
  </w:num>
  <w:num w:numId="223" w16cid:durableId="811025495">
    <w:abstractNumId w:val="478"/>
  </w:num>
  <w:num w:numId="224" w16cid:durableId="1380016247">
    <w:abstractNumId w:val="360"/>
  </w:num>
  <w:num w:numId="225" w16cid:durableId="1694266273">
    <w:abstractNumId w:val="281"/>
  </w:num>
  <w:num w:numId="226" w16cid:durableId="1318653094">
    <w:abstractNumId w:val="14"/>
  </w:num>
  <w:num w:numId="227" w16cid:durableId="1466503876">
    <w:abstractNumId w:val="106"/>
  </w:num>
  <w:num w:numId="228" w16cid:durableId="1739088447">
    <w:abstractNumId w:val="25"/>
  </w:num>
  <w:num w:numId="229" w16cid:durableId="2033023157">
    <w:abstractNumId w:val="2"/>
  </w:num>
  <w:num w:numId="230" w16cid:durableId="243414556">
    <w:abstractNumId w:val="0"/>
  </w:num>
  <w:num w:numId="231" w16cid:durableId="462235225">
    <w:abstractNumId w:val="152"/>
  </w:num>
  <w:num w:numId="232" w16cid:durableId="228273054">
    <w:abstractNumId w:val="382"/>
  </w:num>
  <w:num w:numId="233" w16cid:durableId="1236428604">
    <w:abstractNumId w:val="464"/>
  </w:num>
  <w:num w:numId="234" w16cid:durableId="1589998437">
    <w:abstractNumId w:val="205"/>
  </w:num>
  <w:num w:numId="235" w16cid:durableId="245070332">
    <w:abstractNumId w:val="46"/>
  </w:num>
  <w:num w:numId="236" w16cid:durableId="370424583">
    <w:abstractNumId w:val="186"/>
  </w:num>
  <w:num w:numId="237" w16cid:durableId="155655678">
    <w:abstractNumId w:val="481"/>
  </w:num>
  <w:num w:numId="238" w16cid:durableId="2094860768">
    <w:abstractNumId w:val="67"/>
  </w:num>
  <w:num w:numId="239" w16cid:durableId="1513566324">
    <w:abstractNumId w:val="156"/>
  </w:num>
  <w:num w:numId="240" w16cid:durableId="577440175">
    <w:abstractNumId w:val="99"/>
  </w:num>
  <w:num w:numId="241" w16cid:durableId="1498879496">
    <w:abstractNumId w:val="290"/>
  </w:num>
  <w:num w:numId="242" w16cid:durableId="521286696">
    <w:abstractNumId w:val="368"/>
  </w:num>
  <w:num w:numId="243" w16cid:durableId="1217548126">
    <w:abstractNumId w:val="375"/>
  </w:num>
  <w:num w:numId="244" w16cid:durableId="1792167446">
    <w:abstractNumId w:val="75"/>
  </w:num>
  <w:num w:numId="245" w16cid:durableId="661667911">
    <w:abstractNumId w:val="266"/>
  </w:num>
  <w:num w:numId="246" w16cid:durableId="1199467291">
    <w:abstractNumId w:val="177"/>
  </w:num>
  <w:num w:numId="247" w16cid:durableId="1842810452">
    <w:abstractNumId w:val="133"/>
  </w:num>
  <w:num w:numId="248" w16cid:durableId="653071151">
    <w:abstractNumId w:val="102"/>
  </w:num>
  <w:num w:numId="249" w16cid:durableId="1605109161">
    <w:abstractNumId w:val="64"/>
  </w:num>
  <w:num w:numId="250" w16cid:durableId="2137487189">
    <w:abstractNumId w:val="352"/>
  </w:num>
  <w:num w:numId="251" w16cid:durableId="406810875">
    <w:abstractNumId w:val="275"/>
  </w:num>
  <w:num w:numId="252" w16cid:durableId="858809339">
    <w:abstractNumId w:val="379"/>
  </w:num>
  <w:num w:numId="253" w16cid:durableId="1070076620">
    <w:abstractNumId w:val="32"/>
  </w:num>
  <w:num w:numId="254" w16cid:durableId="1541821696">
    <w:abstractNumId w:val="140"/>
  </w:num>
  <w:num w:numId="255" w16cid:durableId="672606202">
    <w:abstractNumId w:val="69"/>
  </w:num>
  <w:num w:numId="256" w16cid:durableId="1867475872">
    <w:abstractNumId w:val="233"/>
  </w:num>
  <w:num w:numId="257" w16cid:durableId="1708409311">
    <w:abstractNumId w:val="33"/>
  </w:num>
  <w:num w:numId="258" w16cid:durableId="1726223593">
    <w:abstractNumId w:val="131"/>
  </w:num>
  <w:num w:numId="259" w16cid:durableId="1795557021">
    <w:abstractNumId w:val="287"/>
  </w:num>
  <w:num w:numId="260" w16cid:durableId="56637941">
    <w:abstractNumId w:val="373"/>
  </w:num>
  <w:num w:numId="261" w16cid:durableId="1191916638">
    <w:abstractNumId w:val="211"/>
  </w:num>
  <w:num w:numId="262" w16cid:durableId="203442975">
    <w:abstractNumId w:val="240"/>
  </w:num>
  <w:num w:numId="263" w16cid:durableId="1537887562">
    <w:abstractNumId w:val="406"/>
  </w:num>
  <w:num w:numId="264" w16cid:durableId="1504200890">
    <w:abstractNumId w:val="146"/>
  </w:num>
  <w:num w:numId="265" w16cid:durableId="844324233">
    <w:abstractNumId w:val="445"/>
  </w:num>
  <w:num w:numId="266" w16cid:durableId="1261138691">
    <w:abstractNumId w:val="389"/>
  </w:num>
  <w:num w:numId="267" w16cid:durableId="1377008098">
    <w:abstractNumId w:val="8"/>
  </w:num>
  <w:num w:numId="268" w16cid:durableId="675152920">
    <w:abstractNumId w:val="446"/>
  </w:num>
  <w:num w:numId="269" w16cid:durableId="785583359">
    <w:abstractNumId w:val="396"/>
  </w:num>
  <w:num w:numId="270" w16cid:durableId="653797552">
    <w:abstractNumId w:val="214"/>
  </w:num>
  <w:num w:numId="271" w16cid:durableId="1743137524">
    <w:abstractNumId w:val="84"/>
  </w:num>
  <w:num w:numId="272" w16cid:durableId="1779792880">
    <w:abstractNumId w:val="344"/>
  </w:num>
  <w:num w:numId="273" w16cid:durableId="1429228434">
    <w:abstractNumId w:val="347"/>
  </w:num>
  <w:num w:numId="274" w16cid:durableId="821314275">
    <w:abstractNumId w:val="399"/>
  </w:num>
  <w:num w:numId="275" w16cid:durableId="602955680">
    <w:abstractNumId w:val="212"/>
  </w:num>
  <w:num w:numId="276" w16cid:durableId="1432824194">
    <w:abstractNumId w:val="179"/>
  </w:num>
  <w:num w:numId="277" w16cid:durableId="1924996158">
    <w:abstractNumId w:val="297"/>
  </w:num>
  <w:num w:numId="278" w16cid:durableId="886533195">
    <w:abstractNumId w:val="448"/>
  </w:num>
  <w:num w:numId="279" w16cid:durableId="1579903027">
    <w:abstractNumId w:val="101"/>
  </w:num>
  <w:num w:numId="280" w16cid:durableId="744189231">
    <w:abstractNumId w:val="192"/>
  </w:num>
  <w:num w:numId="281" w16cid:durableId="1803186239">
    <w:abstractNumId w:val="171"/>
  </w:num>
  <w:num w:numId="282" w16cid:durableId="1103919394">
    <w:abstractNumId w:val="425"/>
  </w:num>
  <w:num w:numId="283" w16cid:durableId="1599406195">
    <w:abstractNumId w:val="473"/>
  </w:num>
  <w:num w:numId="284" w16cid:durableId="803158553">
    <w:abstractNumId w:val="387"/>
  </w:num>
  <w:num w:numId="285" w16cid:durableId="2085299217">
    <w:abstractNumId w:val="142"/>
  </w:num>
  <w:num w:numId="286" w16cid:durableId="1186672528">
    <w:abstractNumId w:val="442"/>
  </w:num>
  <w:num w:numId="287" w16cid:durableId="1941796660">
    <w:abstractNumId w:val="155"/>
  </w:num>
  <w:num w:numId="288" w16cid:durableId="108285222">
    <w:abstractNumId w:val="30"/>
  </w:num>
  <w:num w:numId="289" w16cid:durableId="459763961">
    <w:abstractNumId w:val="303"/>
  </w:num>
  <w:num w:numId="290" w16cid:durableId="1756395979">
    <w:abstractNumId w:val="458"/>
  </w:num>
  <w:num w:numId="291" w16cid:durableId="1512838775">
    <w:abstractNumId w:val="1"/>
  </w:num>
  <w:num w:numId="292" w16cid:durableId="1888301743">
    <w:abstractNumId w:val="188"/>
  </w:num>
  <w:num w:numId="293" w16cid:durableId="625042604">
    <w:abstractNumId w:val="136"/>
  </w:num>
  <w:num w:numId="294" w16cid:durableId="1266115304">
    <w:abstractNumId w:val="431"/>
  </w:num>
  <w:num w:numId="295" w16cid:durableId="1900508710">
    <w:abstractNumId w:val="482"/>
  </w:num>
  <w:num w:numId="296" w16cid:durableId="62527568">
    <w:abstractNumId w:val="176"/>
  </w:num>
  <w:num w:numId="297" w16cid:durableId="1776751669">
    <w:abstractNumId w:val="180"/>
  </w:num>
  <w:num w:numId="298" w16cid:durableId="1905992651">
    <w:abstractNumId w:val="332"/>
  </w:num>
  <w:num w:numId="299" w16cid:durableId="2117020003">
    <w:abstractNumId w:val="261"/>
  </w:num>
  <w:num w:numId="300" w16cid:durableId="625507092">
    <w:abstractNumId w:val="202"/>
  </w:num>
  <w:num w:numId="301" w16cid:durableId="974525245">
    <w:abstractNumId w:val="85"/>
  </w:num>
  <w:num w:numId="302" w16cid:durableId="2039961377">
    <w:abstractNumId w:val="103"/>
  </w:num>
  <w:num w:numId="303" w16cid:durableId="1143739957">
    <w:abstractNumId w:val="371"/>
  </w:num>
  <w:num w:numId="304" w16cid:durableId="2122063594">
    <w:abstractNumId w:val="463"/>
  </w:num>
  <w:num w:numId="305" w16cid:durableId="17002192">
    <w:abstractNumId w:val="52"/>
  </w:num>
  <w:num w:numId="306" w16cid:durableId="244729744">
    <w:abstractNumId w:val="191"/>
  </w:num>
  <w:num w:numId="307" w16cid:durableId="872380599">
    <w:abstractNumId w:val="319"/>
  </w:num>
  <w:num w:numId="308" w16cid:durableId="97483616">
    <w:abstractNumId w:val="237"/>
  </w:num>
  <w:num w:numId="309" w16cid:durableId="1672566694">
    <w:abstractNumId w:val="475"/>
  </w:num>
  <w:num w:numId="310" w16cid:durableId="87041441">
    <w:abstractNumId w:val="139"/>
  </w:num>
  <w:num w:numId="311" w16cid:durableId="901140131">
    <w:abstractNumId w:val="221"/>
  </w:num>
  <w:num w:numId="312" w16cid:durableId="679507353">
    <w:abstractNumId w:val="130"/>
  </w:num>
  <w:num w:numId="313" w16cid:durableId="1329334399">
    <w:abstractNumId w:val="249"/>
  </w:num>
  <w:num w:numId="314" w16cid:durableId="317074005">
    <w:abstractNumId w:val="178"/>
  </w:num>
  <w:num w:numId="315" w16cid:durableId="1497378608">
    <w:abstractNumId w:val="238"/>
  </w:num>
  <w:num w:numId="316" w16cid:durableId="813254499">
    <w:abstractNumId w:val="81"/>
  </w:num>
  <w:num w:numId="317" w16cid:durableId="1437750158">
    <w:abstractNumId w:val="29"/>
  </w:num>
  <w:num w:numId="318" w16cid:durableId="293216655">
    <w:abstractNumId w:val="255"/>
  </w:num>
  <w:num w:numId="319" w16cid:durableId="1766144848">
    <w:abstractNumId w:val="223"/>
  </w:num>
  <w:num w:numId="320" w16cid:durableId="875889994">
    <w:abstractNumId w:val="292"/>
  </w:num>
  <w:num w:numId="321" w16cid:durableId="270431538">
    <w:abstractNumId w:val="45"/>
  </w:num>
  <w:num w:numId="322" w16cid:durableId="1750617579">
    <w:abstractNumId w:val="397"/>
  </w:num>
  <w:num w:numId="323" w16cid:durableId="1517111293">
    <w:abstractNumId w:val="386"/>
  </w:num>
  <w:num w:numId="324" w16cid:durableId="625621327">
    <w:abstractNumId w:val="413"/>
  </w:num>
  <w:num w:numId="325" w16cid:durableId="1813014629">
    <w:abstractNumId w:val="443"/>
  </w:num>
  <w:num w:numId="326" w16cid:durableId="1609968831">
    <w:abstractNumId w:val="416"/>
  </w:num>
  <w:num w:numId="327" w16cid:durableId="1304891650">
    <w:abstractNumId w:val="169"/>
  </w:num>
  <w:num w:numId="328" w16cid:durableId="1962685279">
    <w:abstractNumId w:val="316"/>
  </w:num>
  <w:num w:numId="329" w16cid:durableId="566035283">
    <w:abstractNumId w:val="19"/>
  </w:num>
  <w:num w:numId="330" w16cid:durableId="27681959">
    <w:abstractNumId w:val="117"/>
  </w:num>
  <w:num w:numId="331" w16cid:durableId="106779349">
    <w:abstractNumId w:val="323"/>
  </w:num>
  <w:num w:numId="332" w16cid:durableId="812019954">
    <w:abstractNumId w:val="468"/>
  </w:num>
  <w:num w:numId="333" w16cid:durableId="527179210">
    <w:abstractNumId w:val="293"/>
  </w:num>
  <w:num w:numId="334" w16cid:durableId="1207137034">
    <w:abstractNumId w:val="264"/>
  </w:num>
  <w:num w:numId="335" w16cid:durableId="1756248078">
    <w:abstractNumId w:val="321"/>
  </w:num>
  <w:num w:numId="336" w16cid:durableId="13770343">
    <w:abstractNumId w:val="59"/>
  </w:num>
  <w:num w:numId="337" w16cid:durableId="954630018">
    <w:abstractNumId w:val="409"/>
  </w:num>
  <w:num w:numId="338" w16cid:durableId="16350815">
    <w:abstractNumId w:val="219"/>
  </w:num>
  <w:num w:numId="339" w16cid:durableId="1215124287">
    <w:abstractNumId w:val="309"/>
  </w:num>
  <w:num w:numId="340" w16cid:durableId="460345552">
    <w:abstractNumId w:val="10"/>
  </w:num>
  <w:num w:numId="341" w16cid:durableId="662514925">
    <w:abstractNumId w:val="308"/>
  </w:num>
  <w:num w:numId="342" w16cid:durableId="101151973">
    <w:abstractNumId w:val="460"/>
  </w:num>
  <w:num w:numId="343" w16cid:durableId="1484470434">
    <w:abstractNumId w:val="477"/>
  </w:num>
  <w:num w:numId="344" w16cid:durableId="1411000745">
    <w:abstractNumId w:val="429"/>
  </w:num>
  <w:num w:numId="345" w16cid:durableId="316691384">
    <w:abstractNumId w:val="345"/>
  </w:num>
  <w:num w:numId="346" w16cid:durableId="601688948">
    <w:abstractNumId w:val="119"/>
  </w:num>
  <w:num w:numId="347" w16cid:durableId="2033066651">
    <w:abstractNumId w:val="137"/>
  </w:num>
  <w:num w:numId="348" w16cid:durableId="865800446">
    <w:abstractNumId w:val="204"/>
  </w:num>
  <w:num w:numId="349" w16cid:durableId="115831665">
    <w:abstractNumId w:val="17"/>
  </w:num>
  <w:num w:numId="350" w16cid:durableId="1869176108">
    <w:abstractNumId w:val="90"/>
  </w:num>
  <w:num w:numId="351" w16cid:durableId="1944605291">
    <w:abstractNumId w:val="486"/>
  </w:num>
  <w:num w:numId="352" w16cid:durableId="977304356">
    <w:abstractNumId w:val="412"/>
  </w:num>
  <w:num w:numId="353" w16cid:durableId="1193568737">
    <w:abstractNumId w:val="80"/>
  </w:num>
  <w:num w:numId="354" w16cid:durableId="1935894600">
    <w:abstractNumId w:val="31"/>
  </w:num>
  <w:num w:numId="355" w16cid:durableId="247470793">
    <w:abstractNumId w:val="276"/>
  </w:num>
  <w:num w:numId="356" w16cid:durableId="296574094">
    <w:abstractNumId w:val="150"/>
  </w:num>
  <w:num w:numId="357" w16cid:durableId="938561929">
    <w:abstractNumId w:val="141"/>
  </w:num>
  <w:num w:numId="358" w16cid:durableId="441264313">
    <w:abstractNumId w:val="258"/>
  </w:num>
  <w:num w:numId="359" w16cid:durableId="1877506507">
    <w:abstractNumId w:val="415"/>
  </w:num>
  <w:num w:numId="360" w16cid:durableId="635722385">
    <w:abstractNumId w:val="328"/>
  </w:num>
  <w:num w:numId="361" w16cid:durableId="1683511931">
    <w:abstractNumId w:val="21"/>
  </w:num>
  <w:num w:numId="362" w16cid:durableId="1067916187">
    <w:abstractNumId w:val="392"/>
  </w:num>
  <w:num w:numId="363" w16cid:durableId="2112817598">
    <w:abstractNumId w:val="72"/>
  </w:num>
  <w:num w:numId="364" w16cid:durableId="505677335">
    <w:abstractNumId w:val="63"/>
  </w:num>
  <w:num w:numId="365" w16cid:durableId="191461181">
    <w:abstractNumId w:val="79"/>
  </w:num>
  <w:num w:numId="366" w16cid:durableId="136994194">
    <w:abstractNumId w:val="111"/>
  </w:num>
  <w:num w:numId="367" w16cid:durableId="415325881">
    <w:abstractNumId w:val="315"/>
  </w:num>
  <w:num w:numId="368" w16cid:durableId="1029113260">
    <w:abstractNumId w:val="120"/>
  </w:num>
  <w:num w:numId="369" w16cid:durableId="913927940">
    <w:abstractNumId w:val="484"/>
  </w:num>
  <w:num w:numId="370" w16cid:durableId="120392123">
    <w:abstractNumId w:val="257"/>
  </w:num>
  <w:num w:numId="371" w16cid:durableId="1954701890">
    <w:abstractNumId w:val="220"/>
  </w:num>
  <w:num w:numId="372" w16cid:durableId="757286519">
    <w:abstractNumId w:val="370"/>
  </w:num>
  <w:num w:numId="373" w16cid:durableId="483089107">
    <w:abstractNumId w:val="71"/>
  </w:num>
  <w:num w:numId="374" w16cid:durableId="2051420134">
    <w:abstractNumId w:val="6"/>
  </w:num>
  <w:num w:numId="375" w16cid:durableId="1630815312">
    <w:abstractNumId w:val="354"/>
  </w:num>
  <w:num w:numId="376" w16cid:durableId="1032222403">
    <w:abstractNumId w:val="121"/>
  </w:num>
  <w:num w:numId="377" w16cid:durableId="1252163351">
    <w:abstractNumId w:val="461"/>
  </w:num>
  <w:num w:numId="378" w16cid:durableId="1264724322">
    <w:abstractNumId w:val="462"/>
  </w:num>
  <w:num w:numId="379" w16cid:durableId="1819960485">
    <w:abstractNumId w:val="206"/>
  </w:num>
  <w:num w:numId="380" w16cid:durableId="1950426220">
    <w:abstractNumId w:val="306"/>
  </w:num>
  <w:num w:numId="381" w16cid:durableId="509952648">
    <w:abstractNumId w:val="235"/>
  </w:num>
  <w:num w:numId="382" w16cid:durableId="1704406710">
    <w:abstractNumId w:val="239"/>
  </w:num>
  <w:num w:numId="383" w16cid:durableId="1067996883">
    <w:abstractNumId w:val="76"/>
  </w:num>
  <w:num w:numId="384" w16cid:durableId="1513493694">
    <w:abstractNumId w:val="198"/>
  </w:num>
  <w:num w:numId="385" w16cid:durableId="813788833">
    <w:abstractNumId w:val="424"/>
  </w:num>
  <w:num w:numId="386" w16cid:durableId="1829319466">
    <w:abstractNumId w:val="61"/>
  </w:num>
  <w:num w:numId="387" w16cid:durableId="525869053">
    <w:abstractNumId w:val="450"/>
  </w:num>
  <w:num w:numId="388" w16cid:durableId="1824347194">
    <w:abstractNumId w:val="455"/>
  </w:num>
  <w:num w:numId="389" w16cid:durableId="517162039">
    <w:abstractNumId w:val="24"/>
  </w:num>
  <w:num w:numId="390" w16cid:durableId="530533987">
    <w:abstractNumId w:val="402"/>
  </w:num>
  <w:num w:numId="391" w16cid:durableId="492260395">
    <w:abstractNumId w:val="231"/>
  </w:num>
  <w:num w:numId="392" w16cid:durableId="586698007">
    <w:abstractNumId w:val="194"/>
  </w:num>
  <w:num w:numId="393" w16cid:durableId="1676420022">
    <w:abstractNumId w:val="209"/>
  </w:num>
  <w:num w:numId="394" w16cid:durableId="1152990262">
    <w:abstractNumId w:val="270"/>
  </w:num>
  <w:num w:numId="395" w16cid:durableId="983898537">
    <w:abstractNumId w:val="20"/>
  </w:num>
  <w:num w:numId="396" w16cid:durableId="807094775">
    <w:abstractNumId w:val="28"/>
  </w:num>
  <w:num w:numId="397" w16cid:durableId="944458392">
    <w:abstractNumId w:val="325"/>
  </w:num>
  <w:num w:numId="398" w16cid:durableId="1478457173">
    <w:abstractNumId w:val="418"/>
  </w:num>
  <w:num w:numId="399" w16cid:durableId="2131392139">
    <w:abstractNumId w:val="200"/>
  </w:num>
  <w:num w:numId="400" w16cid:durableId="697312495">
    <w:abstractNumId w:val="118"/>
  </w:num>
  <w:num w:numId="401" w16cid:durableId="650643731">
    <w:abstractNumId w:val="108"/>
  </w:num>
  <w:num w:numId="402" w16cid:durableId="1232548184">
    <w:abstractNumId w:val="252"/>
  </w:num>
  <w:num w:numId="403" w16cid:durableId="2054190548">
    <w:abstractNumId w:val="310"/>
  </w:num>
  <w:num w:numId="404" w16cid:durableId="1137987234">
    <w:abstractNumId w:val="154"/>
  </w:num>
  <w:num w:numId="405" w16cid:durableId="809904648">
    <w:abstractNumId w:val="350"/>
  </w:num>
  <w:num w:numId="406" w16cid:durableId="1860924659">
    <w:abstractNumId w:val="193"/>
  </w:num>
  <w:num w:numId="407" w16cid:durableId="374617970">
    <w:abstractNumId w:val="12"/>
  </w:num>
  <w:num w:numId="408" w16cid:durableId="564493197">
    <w:abstractNumId w:val="172"/>
  </w:num>
  <w:num w:numId="409" w16cid:durableId="723257591">
    <w:abstractNumId w:val="232"/>
  </w:num>
  <w:num w:numId="410" w16cid:durableId="334304059">
    <w:abstractNumId w:val="364"/>
  </w:num>
  <w:num w:numId="411" w16cid:durableId="211700084">
    <w:abstractNumId w:val="11"/>
  </w:num>
  <w:num w:numId="412" w16cid:durableId="91974941">
    <w:abstractNumId w:val="185"/>
  </w:num>
  <w:num w:numId="413" w16cid:durableId="1570455292">
    <w:abstractNumId w:val="324"/>
  </w:num>
  <w:num w:numId="414" w16cid:durableId="1581210144">
    <w:abstractNumId w:val="89"/>
  </w:num>
  <w:num w:numId="415" w16cid:durableId="1562011955">
    <w:abstractNumId w:val="70"/>
  </w:num>
  <w:num w:numId="416" w16cid:durableId="1337611823">
    <w:abstractNumId w:val="97"/>
  </w:num>
  <w:num w:numId="417" w16cid:durableId="2077509725">
    <w:abstractNumId w:val="459"/>
  </w:num>
  <w:num w:numId="418" w16cid:durableId="1669365054">
    <w:abstractNumId w:val="159"/>
  </w:num>
  <w:num w:numId="419" w16cid:durableId="1874072769">
    <w:abstractNumId w:val="434"/>
  </w:num>
  <w:num w:numId="420" w16cid:durableId="467820808">
    <w:abstractNumId w:val="339"/>
  </w:num>
  <w:num w:numId="421" w16cid:durableId="854534272">
    <w:abstractNumId w:val="474"/>
  </w:num>
  <w:num w:numId="422" w16cid:durableId="1605727869">
    <w:abstractNumId w:val="250"/>
  </w:num>
  <w:num w:numId="423" w16cid:durableId="1812677121">
    <w:abstractNumId w:val="436"/>
  </w:num>
  <w:num w:numId="424" w16cid:durableId="645554249">
    <w:abstractNumId w:val="151"/>
  </w:num>
  <w:num w:numId="425" w16cid:durableId="1422988370">
    <w:abstractNumId w:val="487"/>
  </w:num>
  <w:num w:numId="426" w16cid:durableId="709453936">
    <w:abstractNumId w:val="439"/>
  </w:num>
  <w:num w:numId="427" w16cid:durableId="1316571661">
    <w:abstractNumId w:val="398"/>
  </w:num>
  <w:num w:numId="428" w16cid:durableId="1677150961">
    <w:abstractNumId w:val="244"/>
  </w:num>
  <w:num w:numId="429" w16cid:durableId="2080059717">
    <w:abstractNumId w:val="348"/>
  </w:num>
  <w:num w:numId="430" w16cid:durableId="1211770012">
    <w:abstractNumId w:val="377"/>
  </w:num>
  <w:num w:numId="431" w16cid:durableId="35355062">
    <w:abstractNumId w:val="170"/>
  </w:num>
  <w:num w:numId="432" w16cid:durableId="1372268048">
    <w:abstractNumId w:val="245"/>
  </w:num>
  <w:num w:numId="433" w16cid:durableId="898595325">
    <w:abstractNumId w:val="128"/>
  </w:num>
  <w:num w:numId="434" w16cid:durableId="997224500">
    <w:abstractNumId w:val="122"/>
  </w:num>
  <w:num w:numId="435" w16cid:durableId="58406645">
    <w:abstractNumId w:val="307"/>
  </w:num>
  <w:num w:numId="436" w16cid:durableId="554436008">
    <w:abstractNumId w:val="469"/>
  </w:num>
  <w:num w:numId="437" w16cid:durableId="1535270667">
    <w:abstractNumId w:val="451"/>
  </w:num>
  <w:num w:numId="438" w16cid:durableId="171721372">
    <w:abstractNumId w:val="199"/>
  </w:num>
  <w:num w:numId="439" w16cid:durableId="1473016579">
    <w:abstractNumId w:val="363"/>
  </w:num>
  <w:num w:numId="440" w16cid:durableId="1654993424">
    <w:abstractNumId w:val="196"/>
  </w:num>
  <w:num w:numId="441" w16cid:durableId="387457202">
    <w:abstractNumId w:val="483"/>
  </w:num>
  <w:num w:numId="442" w16cid:durableId="435441293">
    <w:abstractNumId w:val="157"/>
  </w:num>
  <w:num w:numId="443" w16cid:durableId="1125343792">
    <w:abstractNumId w:val="168"/>
  </w:num>
  <w:num w:numId="444" w16cid:durableId="698819212">
    <w:abstractNumId w:val="34"/>
  </w:num>
  <w:num w:numId="445" w16cid:durableId="1141847371">
    <w:abstractNumId w:val="441"/>
  </w:num>
  <w:num w:numId="446" w16cid:durableId="1164473866">
    <w:abstractNumId w:val="195"/>
  </w:num>
  <w:num w:numId="447" w16cid:durableId="1863393450">
    <w:abstractNumId w:val="353"/>
  </w:num>
  <w:num w:numId="448" w16cid:durableId="505367540">
    <w:abstractNumId w:val="228"/>
  </w:num>
  <w:num w:numId="449" w16cid:durableId="312830161">
    <w:abstractNumId w:val="127"/>
  </w:num>
  <w:num w:numId="450" w16cid:durableId="935288052">
    <w:abstractNumId w:val="374"/>
  </w:num>
  <w:num w:numId="451" w16cid:durableId="1561087192">
    <w:abstractNumId w:val="267"/>
  </w:num>
  <w:num w:numId="452" w16cid:durableId="1136218228">
    <w:abstractNumId w:val="410"/>
  </w:num>
  <w:num w:numId="453" w16cid:durableId="1774478612">
    <w:abstractNumId w:val="66"/>
  </w:num>
  <w:num w:numId="454" w16cid:durableId="389304870">
    <w:abstractNumId w:val="355"/>
  </w:num>
  <w:num w:numId="455" w16cid:durableId="1969049685">
    <w:abstractNumId w:val="271"/>
  </w:num>
  <w:num w:numId="456" w16cid:durableId="1135831984">
    <w:abstractNumId w:val="44"/>
  </w:num>
  <w:num w:numId="457" w16cid:durableId="409816963">
    <w:abstractNumId w:val="222"/>
  </w:num>
  <w:num w:numId="458" w16cid:durableId="1924869547">
    <w:abstractNumId w:val="48"/>
  </w:num>
  <w:num w:numId="459" w16cid:durableId="1866628321">
    <w:abstractNumId w:val="115"/>
  </w:num>
  <w:num w:numId="460" w16cid:durableId="1374768510">
    <w:abstractNumId w:val="229"/>
  </w:num>
  <w:num w:numId="461" w16cid:durableId="618342417">
    <w:abstractNumId w:val="317"/>
  </w:num>
  <w:num w:numId="462" w16cid:durableId="725955836">
    <w:abstractNumId w:val="421"/>
  </w:num>
  <w:num w:numId="463" w16cid:durableId="276328423">
    <w:abstractNumId w:val="369"/>
  </w:num>
  <w:num w:numId="464" w16cid:durableId="1764567560">
    <w:abstractNumId w:val="4"/>
  </w:num>
  <w:num w:numId="465" w16cid:durableId="1967394438">
    <w:abstractNumId w:val="417"/>
  </w:num>
  <w:num w:numId="466" w16cid:durableId="1678845243">
    <w:abstractNumId w:val="273"/>
  </w:num>
  <w:num w:numId="467" w16cid:durableId="2017996573">
    <w:abstractNumId w:val="472"/>
  </w:num>
  <w:num w:numId="468" w16cid:durableId="1924952880">
    <w:abstractNumId w:val="165"/>
  </w:num>
  <w:num w:numId="469" w16cid:durableId="399600918">
    <w:abstractNumId w:val="18"/>
  </w:num>
  <w:num w:numId="470" w16cid:durableId="1153447931">
    <w:abstractNumId w:val="265"/>
  </w:num>
  <w:num w:numId="471" w16cid:durableId="1172138415">
    <w:abstractNumId w:val="282"/>
  </w:num>
  <w:num w:numId="472" w16cid:durableId="2136097425">
    <w:abstractNumId w:val="217"/>
  </w:num>
  <w:num w:numId="473" w16cid:durableId="2119912114">
    <w:abstractNumId w:val="166"/>
  </w:num>
  <w:num w:numId="474" w16cid:durableId="1278222030">
    <w:abstractNumId w:val="465"/>
  </w:num>
  <w:num w:numId="475" w16cid:durableId="1217160552">
    <w:abstractNumId w:val="153"/>
  </w:num>
  <w:num w:numId="476" w16cid:durableId="1566531064">
    <w:abstractNumId w:val="490"/>
  </w:num>
  <w:num w:numId="477" w16cid:durableId="1594587441">
    <w:abstractNumId w:val="385"/>
  </w:num>
  <w:num w:numId="478" w16cid:durableId="1819687794">
    <w:abstractNumId w:val="201"/>
  </w:num>
  <w:num w:numId="479" w16cid:durableId="1435243140">
    <w:abstractNumId w:val="15"/>
  </w:num>
  <w:num w:numId="480" w16cid:durableId="1034158131">
    <w:abstractNumId w:val="4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1" w16cid:durableId="2104063629">
    <w:abstractNumId w:val="4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2" w16cid:durableId="1007245461">
    <w:abstractNumId w:val="4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3" w16cid:durableId="719284566">
    <w:abstractNumId w:val="4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4" w16cid:durableId="742138426">
    <w:abstractNumId w:val="4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5" w16cid:durableId="129828362">
    <w:abstractNumId w:val="338"/>
  </w:num>
  <w:num w:numId="486" w16cid:durableId="802774539">
    <w:abstractNumId w:val="4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7" w16cid:durableId="1363243695">
    <w:abstractNumId w:val="407"/>
  </w:num>
  <w:num w:numId="488" w16cid:durableId="1105033546">
    <w:abstractNumId w:val="384"/>
  </w:num>
  <w:num w:numId="489" w16cid:durableId="281352293">
    <w:abstractNumId w:val="51"/>
  </w:num>
  <w:num w:numId="490" w16cid:durableId="954019149">
    <w:abstractNumId w:val="83"/>
  </w:num>
  <w:num w:numId="491" w16cid:durableId="2087922713">
    <w:abstractNumId w:val="3"/>
  </w:num>
  <w:num w:numId="492" w16cid:durableId="787698099">
    <w:abstractNumId w:val="40"/>
  </w:num>
  <w:num w:numId="493" w16cid:durableId="678891879">
    <w:abstractNumId w:val="296"/>
  </w:num>
  <w:num w:numId="494" w16cid:durableId="2072196084">
    <w:abstractNumId w:val="367"/>
  </w:num>
  <w:num w:numId="495" w16cid:durableId="476999311">
    <w:abstractNumId w:val="277"/>
  </w:num>
  <w:num w:numId="496" w16cid:durableId="1687977408">
    <w:abstractNumId w:val="438"/>
  </w:num>
  <w:num w:numId="497" w16cid:durableId="301228810">
    <w:abstractNumId w:val="269"/>
  </w:num>
  <w:num w:numId="498" w16cid:durableId="1706247820">
    <w:abstractNumId w:val="476"/>
  </w:num>
  <w:num w:numId="499" w16cid:durableId="492568587">
    <w:abstractNumId w:val="489"/>
  </w:num>
  <w:numIdMacAtCleanup w:val="4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defaultTabStop w:val="131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674F"/>
    <w:rsid w:val="00001030"/>
    <w:rsid w:val="0000145D"/>
    <w:rsid w:val="00001943"/>
    <w:rsid w:val="00001FD5"/>
    <w:rsid w:val="00002C47"/>
    <w:rsid w:val="00004865"/>
    <w:rsid w:val="00005455"/>
    <w:rsid w:val="00006E4F"/>
    <w:rsid w:val="00007528"/>
    <w:rsid w:val="000111B2"/>
    <w:rsid w:val="00013712"/>
    <w:rsid w:val="00013AF8"/>
    <w:rsid w:val="0001580E"/>
    <w:rsid w:val="00015B1C"/>
    <w:rsid w:val="000223EA"/>
    <w:rsid w:val="00022A31"/>
    <w:rsid w:val="0002487E"/>
    <w:rsid w:val="0002497C"/>
    <w:rsid w:val="00024CD4"/>
    <w:rsid w:val="00025638"/>
    <w:rsid w:val="00026B54"/>
    <w:rsid w:val="000270A7"/>
    <w:rsid w:val="000326AD"/>
    <w:rsid w:val="00032D09"/>
    <w:rsid w:val="000333CB"/>
    <w:rsid w:val="000336C1"/>
    <w:rsid w:val="00033C86"/>
    <w:rsid w:val="00035CBD"/>
    <w:rsid w:val="00037233"/>
    <w:rsid w:val="000379B9"/>
    <w:rsid w:val="00040EDB"/>
    <w:rsid w:val="000446EB"/>
    <w:rsid w:val="00045159"/>
    <w:rsid w:val="000472EC"/>
    <w:rsid w:val="0004771C"/>
    <w:rsid w:val="00047CBA"/>
    <w:rsid w:val="00047EBB"/>
    <w:rsid w:val="00052528"/>
    <w:rsid w:val="00053C0C"/>
    <w:rsid w:val="00054EBF"/>
    <w:rsid w:val="00055738"/>
    <w:rsid w:val="00055CF0"/>
    <w:rsid w:val="00056342"/>
    <w:rsid w:val="00056C1C"/>
    <w:rsid w:val="00057B8E"/>
    <w:rsid w:val="00057C31"/>
    <w:rsid w:val="00060180"/>
    <w:rsid w:val="0006036E"/>
    <w:rsid w:val="00062204"/>
    <w:rsid w:val="00063616"/>
    <w:rsid w:val="000665A1"/>
    <w:rsid w:val="00066D43"/>
    <w:rsid w:val="00066D48"/>
    <w:rsid w:val="00071346"/>
    <w:rsid w:val="000714DD"/>
    <w:rsid w:val="0007157B"/>
    <w:rsid w:val="00072638"/>
    <w:rsid w:val="00072807"/>
    <w:rsid w:val="00072847"/>
    <w:rsid w:val="00073AA3"/>
    <w:rsid w:val="00074191"/>
    <w:rsid w:val="000741AA"/>
    <w:rsid w:val="000749B9"/>
    <w:rsid w:val="00074D35"/>
    <w:rsid w:val="00074DEE"/>
    <w:rsid w:val="00076990"/>
    <w:rsid w:val="0007732A"/>
    <w:rsid w:val="0008187B"/>
    <w:rsid w:val="0008258D"/>
    <w:rsid w:val="000829D6"/>
    <w:rsid w:val="00082CDE"/>
    <w:rsid w:val="00084FC5"/>
    <w:rsid w:val="0008578B"/>
    <w:rsid w:val="00086DCA"/>
    <w:rsid w:val="0008739B"/>
    <w:rsid w:val="000874AC"/>
    <w:rsid w:val="000909C0"/>
    <w:rsid w:val="00091945"/>
    <w:rsid w:val="00091C35"/>
    <w:rsid w:val="00092D76"/>
    <w:rsid w:val="000936E6"/>
    <w:rsid w:val="00094ABD"/>
    <w:rsid w:val="000960AC"/>
    <w:rsid w:val="0009660D"/>
    <w:rsid w:val="00096927"/>
    <w:rsid w:val="000A0553"/>
    <w:rsid w:val="000A0CA3"/>
    <w:rsid w:val="000A2416"/>
    <w:rsid w:val="000A48D9"/>
    <w:rsid w:val="000A58BD"/>
    <w:rsid w:val="000A636A"/>
    <w:rsid w:val="000B0321"/>
    <w:rsid w:val="000B0F4F"/>
    <w:rsid w:val="000B1639"/>
    <w:rsid w:val="000B4590"/>
    <w:rsid w:val="000B6CB6"/>
    <w:rsid w:val="000B6E2B"/>
    <w:rsid w:val="000B7BA0"/>
    <w:rsid w:val="000B7C67"/>
    <w:rsid w:val="000B7E19"/>
    <w:rsid w:val="000C1576"/>
    <w:rsid w:val="000C1972"/>
    <w:rsid w:val="000C2194"/>
    <w:rsid w:val="000C3AD9"/>
    <w:rsid w:val="000C6036"/>
    <w:rsid w:val="000C680E"/>
    <w:rsid w:val="000C6F4D"/>
    <w:rsid w:val="000D0696"/>
    <w:rsid w:val="000D08D2"/>
    <w:rsid w:val="000D10F8"/>
    <w:rsid w:val="000D1343"/>
    <w:rsid w:val="000D1F23"/>
    <w:rsid w:val="000D2D00"/>
    <w:rsid w:val="000D43C1"/>
    <w:rsid w:val="000D4B8F"/>
    <w:rsid w:val="000D5B19"/>
    <w:rsid w:val="000D658B"/>
    <w:rsid w:val="000D6CDC"/>
    <w:rsid w:val="000D6F6B"/>
    <w:rsid w:val="000D7365"/>
    <w:rsid w:val="000D7867"/>
    <w:rsid w:val="000E0E68"/>
    <w:rsid w:val="000E1A66"/>
    <w:rsid w:val="000E1EDA"/>
    <w:rsid w:val="000E2446"/>
    <w:rsid w:val="000E5183"/>
    <w:rsid w:val="000E5341"/>
    <w:rsid w:val="000E6890"/>
    <w:rsid w:val="000E6E54"/>
    <w:rsid w:val="000E7AA3"/>
    <w:rsid w:val="000F0583"/>
    <w:rsid w:val="000F0A0B"/>
    <w:rsid w:val="000F18EA"/>
    <w:rsid w:val="000F1B5A"/>
    <w:rsid w:val="000F1D18"/>
    <w:rsid w:val="000F271A"/>
    <w:rsid w:val="000F308A"/>
    <w:rsid w:val="000F3218"/>
    <w:rsid w:val="000F3E3B"/>
    <w:rsid w:val="000F6C6F"/>
    <w:rsid w:val="000F6E09"/>
    <w:rsid w:val="00100D8A"/>
    <w:rsid w:val="00101447"/>
    <w:rsid w:val="001023E5"/>
    <w:rsid w:val="001042C5"/>
    <w:rsid w:val="001057ED"/>
    <w:rsid w:val="00106788"/>
    <w:rsid w:val="001074B0"/>
    <w:rsid w:val="00107F3F"/>
    <w:rsid w:val="00110A75"/>
    <w:rsid w:val="00111FD1"/>
    <w:rsid w:val="001122D8"/>
    <w:rsid w:val="00112FB1"/>
    <w:rsid w:val="001140B8"/>
    <w:rsid w:val="00115402"/>
    <w:rsid w:val="00115A92"/>
    <w:rsid w:val="00116386"/>
    <w:rsid w:val="001179AE"/>
    <w:rsid w:val="00117ECE"/>
    <w:rsid w:val="001209B7"/>
    <w:rsid w:val="00121AA1"/>
    <w:rsid w:val="00121DE0"/>
    <w:rsid w:val="00124292"/>
    <w:rsid w:val="001248A1"/>
    <w:rsid w:val="00124DBF"/>
    <w:rsid w:val="00124ECC"/>
    <w:rsid w:val="00124FA2"/>
    <w:rsid w:val="00125451"/>
    <w:rsid w:val="001268F7"/>
    <w:rsid w:val="0013013F"/>
    <w:rsid w:val="001301FF"/>
    <w:rsid w:val="00130AB9"/>
    <w:rsid w:val="00130DB8"/>
    <w:rsid w:val="00131333"/>
    <w:rsid w:val="0013244F"/>
    <w:rsid w:val="00132FC2"/>
    <w:rsid w:val="001355D4"/>
    <w:rsid w:val="001355D5"/>
    <w:rsid w:val="00135E8A"/>
    <w:rsid w:val="00137200"/>
    <w:rsid w:val="001403FA"/>
    <w:rsid w:val="00140A0A"/>
    <w:rsid w:val="001415A1"/>
    <w:rsid w:val="00141E9F"/>
    <w:rsid w:val="00144B75"/>
    <w:rsid w:val="001457C0"/>
    <w:rsid w:val="00146023"/>
    <w:rsid w:val="001477A9"/>
    <w:rsid w:val="0015089B"/>
    <w:rsid w:val="00151534"/>
    <w:rsid w:val="00151F07"/>
    <w:rsid w:val="00151FE2"/>
    <w:rsid w:val="00153585"/>
    <w:rsid w:val="00153637"/>
    <w:rsid w:val="00153A9D"/>
    <w:rsid w:val="00154A04"/>
    <w:rsid w:val="00154B97"/>
    <w:rsid w:val="0015523F"/>
    <w:rsid w:val="00155A7B"/>
    <w:rsid w:val="0016033E"/>
    <w:rsid w:val="00160475"/>
    <w:rsid w:val="00160517"/>
    <w:rsid w:val="00161122"/>
    <w:rsid w:val="00163735"/>
    <w:rsid w:val="00165152"/>
    <w:rsid w:val="0016585B"/>
    <w:rsid w:val="00165D1C"/>
    <w:rsid w:val="00165D4A"/>
    <w:rsid w:val="00165EBE"/>
    <w:rsid w:val="00165FFB"/>
    <w:rsid w:val="0016610C"/>
    <w:rsid w:val="001668B7"/>
    <w:rsid w:val="00166A4C"/>
    <w:rsid w:val="00166BB9"/>
    <w:rsid w:val="00166FB4"/>
    <w:rsid w:val="001673E7"/>
    <w:rsid w:val="001701B2"/>
    <w:rsid w:val="001708E7"/>
    <w:rsid w:val="00170E85"/>
    <w:rsid w:val="00172CF9"/>
    <w:rsid w:val="00174770"/>
    <w:rsid w:val="001763D5"/>
    <w:rsid w:val="001774C5"/>
    <w:rsid w:val="001778AA"/>
    <w:rsid w:val="00182651"/>
    <w:rsid w:val="0018446B"/>
    <w:rsid w:val="00184A2C"/>
    <w:rsid w:val="00186046"/>
    <w:rsid w:val="0018665E"/>
    <w:rsid w:val="00191649"/>
    <w:rsid w:val="00192878"/>
    <w:rsid w:val="00194394"/>
    <w:rsid w:val="00194757"/>
    <w:rsid w:val="00195112"/>
    <w:rsid w:val="001959F6"/>
    <w:rsid w:val="0019624B"/>
    <w:rsid w:val="0019677C"/>
    <w:rsid w:val="001967A9"/>
    <w:rsid w:val="0019798E"/>
    <w:rsid w:val="001A0523"/>
    <w:rsid w:val="001A1A4D"/>
    <w:rsid w:val="001A27C2"/>
    <w:rsid w:val="001A2B70"/>
    <w:rsid w:val="001A39B4"/>
    <w:rsid w:val="001A3A36"/>
    <w:rsid w:val="001A4510"/>
    <w:rsid w:val="001A47C6"/>
    <w:rsid w:val="001A4B02"/>
    <w:rsid w:val="001A7A4B"/>
    <w:rsid w:val="001A7EBD"/>
    <w:rsid w:val="001B05D7"/>
    <w:rsid w:val="001B15A2"/>
    <w:rsid w:val="001B1AD5"/>
    <w:rsid w:val="001B57FA"/>
    <w:rsid w:val="001B611E"/>
    <w:rsid w:val="001B69C0"/>
    <w:rsid w:val="001B7D73"/>
    <w:rsid w:val="001C2195"/>
    <w:rsid w:val="001C225C"/>
    <w:rsid w:val="001C31FA"/>
    <w:rsid w:val="001C329B"/>
    <w:rsid w:val="001C33A0"/>
    <w:rsid w:val="001C4F6C"/>
    <w:rsid w:val="001C5E02"/>
    <w:rsid w:val="001C5E1C"/>
    <w:rsid w:val="001C5E57"/>
    <w:rsid w:val="001D2240"/>
    <w:rsid w:val="001D2A9B"/>
    <w:rsid w:val="001D48F9"/>
    <w:rsid w:val="001D4EBC"/>
    <w:rsid w:val="001D54D4"/>
    <w:rsid w:val="001D56F5"/>
    <w:rsid w:val="001D5B72"/>
    <w:rsid w:val="001D78D4"/>
    <w:rsid w:val="001D7BF9"/>
    <w:rsid w:val="001E18C2"/>
    <w:rsid w:val="001E37C5"/>
    <w:rsid w:val="001E3994"/>
    <w:rsid w:val="001E3AEB"/>
    <w:rsid w:val="001E3B19"/>
    <w:rsid w:val="001E4CC7"/>
    <w:rsid w:val="001E4CE0"/>
    <w:rsid w:val="001E5207"/>
    <w:rsid w:val="001E5652"/>
    <w:rsid w:val="001E6C02"/>
    <w:rsid w:val="001F068A"/>
    <w:rsid w:val="001F0864"/>
    <w:rsid w:val="001F0A90"/>
    <w:rsid w:val="001F0BE2"/>
    <w:rsid w:val="001F12FC"/>
    <w:rsid w:val="001F1812"/>
    <w:rsid w:val="001F2361"/>
    <w:rsid w:val="001F2C7B"/>
    <w:rsid w:val="001F30F0"/>
    <w:rsid w:val="001F3A16"/>
    <w:rsid w:val="001F42BF"/>
    <w:rsid w:val="001F54B1"/>
    <w:rsid w:val="001F5DB2"/>
    <w:rsid w:val="001F5E25"/>
    <w:rsid w:val="001F6782"/>
    <w:rsid w:val="002003D2"/>
    <w:rsid w:val="0020203A"/>
    <w:rsid w:val="002028B9"/>
    <w:rsid w:val="00204143"/>
    <w:rsid w:val="002057CA"/>
    <w:rsid w:val="00205A75"/>
    <w:rsid w:val="002067AF"/>
    <w:rsid w:val="00206C90"/>
    <w:rsid w:val="00207918"/>
    <w:rsid w:val="00210C2E"/>
    <w:rsid w:val="00211313"/>
    <w:rsid w:val="00212C4B"/>
    <w:rsid w:val="0021363D"/>
    <w:rsid w:val="00213A04"/>
    <w:rsid w:val="00216C89"/>
    <w:rsid w:val="00217FD1"/>
    <w:rsid w:val="002202F3"/>
    <w:rsid w:val="00220EF3"/>
    <w:rsid w:val="00222068"/>
    <w:rsid w:val="002222C1"/>
    <w:rsid w:val="0022394F"/>
    <w:rsid w:val="00223AC9"/>
    <w:rsid w:val="00224141"/>
    <w:rsid w:val="00224D5B"/>
    <w:rsid w:val="0022578A"/>
    <w:rsid w:val="002269D0"/>
    <w:rsid w:val="00226FD7"/>
    <w:rsid w:val="002275BC"/>
    <w:rsid w:val="0023017A"/>
    <w:rsid w:val="00230278"/>
    <w:rsid w:val="00230A0A"/>
    <w:rsid w:val="00230E94"/>
    <w:rsid w:val="00230FB6"/>
    <w:rsid w:val="0023125C"/>
    <w:rsid w:val="00233EB0"/>
    <w:rsid w:val="002361D8"/>
    <w:rsid w:val="0023633C"/>
    <w:rsid w:val="00236848"/>
    <w:rsid w:val="00237870"/>
    <w:rsid w:val="00240550"/>
    <w:rsid w:val="00242854"/>
    <w:rsid w:val="00243B71"/>
    <w:rsid w:val="00244D70"/>
    <w:rsid w:val="00244EDC"/>
    <w:rsid w:val="002458D0"/>
    <w:rsid w:val="00246F5E"/>
    <w:rsid w:val="002471AD"/>
    <w:rsid w:val="002476ED"/>
    <w:rsid w:val="002504B5"/>
    <w:rsid w:val="00251358"/>
    <w:rsid w:val="00252074"/>
    <w:rsid w:val="002521FA"/>
    <w:rsid w:val="00252526"/>
    <w:rsid w:val="00255C8F"/>
    <w:rsid w:val="00255FEA"/>
    <w:rsid w:val="002560EA"/>
    <w:rsid w:val="00256907"/>
    <w:rsid w:val="00256A53"/>
    <w:rsid w:val="002607B2"/>
    <w:rsid w:val="00261DA3"/>
    <w:rsid w:val="00262E2D"/>
    <w:rsid w:val="0026342C"/>
    <w:rsid w:val="002652DE"/>
    <w:rsid w:val="00265F37"/>
    <w:rsid w:val="00266D08"/>
    <w:rsid w:val="002730C6"/>
    <w:rsid w:val="00273D6C"/>
    <w:rsid w:val="00273F6A"/>
    <w:rsid w:val="0027402A"/>
    <w:rsid w:val="00274CD9"/>
    <w:rsid w:val="0027558C"/>
    <w:rsid w:val="00276ADF"/>
    <w:rsid w:val="00276B77"/>
    <w:rsid w:val="0027706A"/>
    <w:rsid w:val="00277C28"/>
    <w:rsid w:val="00280C6A"/>
    <w:rsid w:val="002821A1"/>
    <w:rsid w:val="00283105"/>
    <w:rsid w:val="00284860"/>
    <w:rsid w:val="00285761"/>
    <w:rsid w:val="0028640D"/>
    <w:rsid w:val="00287ED8"/>
    <w:rsid w:val="0029131D"/>
    <w:rsid w:val="002913D0"/>
    <w:rsid w:val="00291CFC"/>
    <w:rsid w:val="00292E30"/>
    <w:rsid w:val="00294E7C"/>
    <w:rsid w:val="00295068"/>
    <w:rsid w:val="00295EBE"/>
    <w:rsid w:val="00296105"/>
    <w:rsid w:val="002A03B0"/>
    <w:rsid w:val="002A08ED"/>
    <w:rsid w:val="002A3449"/>
    <w:rsid w:val="002A3728"/>
    <w:rsid w:val="002A3736"/>
    <w:rsid w:val="002A3DB2"/>
    <w:rsid w:val="002A45BF"/>
    <w:rsid w:val="002A4DC7"/>
    <w:rsid w:val="002A5EE0"/>
    <w:rsid w:val="002A5F65"/>
    <w:rsid w:val="002A6ADC"/>
    <w:rsid w:val="002A6D4F"/>
    <w:rsid w:val="002A7828"/>
    <w:rsid w:val="002B007B"/>
    <w:rsid w:val="002B0482"/>
    <w:rsid w:val="002B099C"/>
    <w:rsid w:val="002B1946"/>
    <w:rsid w:val="002B2468"/>
    <w:rsid w:val="002B25CA"/>
    <w:rsid w:val="002B2A66"/>
    <w:rsid w:val="002B2D32"/>
    <w:rsid w:val="002B3833"/>
    <w:rsid w:val="002B595E"/>
    <w:rsid w:val="002B7291"/>
    <w:rsid w:val="002C04F9"/>
    <w:rsid w:val="002C1425"/>
    <w:rsid w:val="002C1748"/>
    <w:rsid w:val="002C200B"/>
    <w:rsid w:val="002C5790"/>
    <w:rsid w:val="002C5C04"/>
    <w:rsid w:val="002C6E16"/>
    <w:rsid w:val="002C7854"/>
    <w:rsid w:val="002C7A06"/>
    <w:rsid w:val="002D2330"/>
    <w:rsid w:val="002D257C"/>
    <w:rsid w:val="002D4C78"/>
    <w:rsid w:val="002D51FD"/>
    <w:rsid w:val="002D5FE7"/>
    <w:rsid w:val="002D64D6"/>
    <w:rsid w:val="002D6853"/>
    <w:rsid w:val="002D6F29"/>
    <w:rsid w:val="002E0BE0"/>
    <w:rsid w:val="002E2008"/>
    <w:rsid w:val="002E3438"/>
    <w:rsid w:val="002E34B3"/>
    <w:rsid w:val="002E34E4"/>
    <w:rsid w:val="002E53F8"/>
    <w:rsid w:val="002E6528"/>
    <w:rsid w:val="002E71D2"/>
    <w:rsid w:val="002E7251"/>
    <w:rsid w:val="002E74A4"/>
    <w:rsid w:val="002F07FE"/>
    <w:rsid w:val="002F0884"/>
    <w:rsid w:val="002F0FDA"/>
    <w:rsid w:val="002F2532"/>
    <w:rsid w:val="002F2E54"/>
    <w:rsid w:val="002F3F33"/>
    <w:rsid w:val="002F6CD1"/>
    <w:rsid w:val="002F6EE0"/>
    <w:rsid w:val="00300805"/>
    <w:rsid w:val="00300865"/>
    <w:rsid w:val="003013D7"/>
    <w:rsid w:val="00301C21"/>
    <w:rsid w:val="00302A12"/>
    <w:rsid w:val="0030380C"/>
    <w:rsid w:val="0030416D"/>
    <w:rsid w:val="00304C19"/>
    <w:rsid w:val="00304D48"/>
    <w:rsid w:val="00305370"/>
    <w:rsid w:val="00305973"/>
    <w:rsid w:val="00305AFA"/>
    <w:rsid w:val="0030659D"/>
    <w:rsid w:val="003065A9"/>
    <w:rsid w:val="00310C9F"/>
    <w:rsid w:val="00310FA1"/>
    <w:rsid w:val="0031511C"/>
    <w:rsid w:val="00316249"/>
    <w:rsid w:val="0031628B"/>
    <w:rsid w:val="0032025B"/>
    <w:rsid w:val="00321254"/>
    <w:rsid w:val="00322309"/>
    <w:rsid w:val="003225FB"/>
    <w:rsid w:val="00323271"/>
    <w:rsid w:val="003235A3"/>
    <w:rsid w:val="00323BD4"/>
    <w:rsid w:val="00325ECC"/>
    <w:rsid w:val="00326B63"/>
    <w:rsid w:val="00327F9B"/>
    <w:rsid w:val="00330017"/>
    <w:rsid w:val="003301E2"/>
    <w:rsid w:val="00331A8E"/>
    <w:rsid w:val="00331FE1"/>
    <w:rsid w:val="003325CE"/>
    <w:rsid w:val="00334631"/>
    <w:rsid w:val="0033469A"/>
    <w:rsid w:val="00336209"/>
    <w:rsid w:val="00336BB7"/>
    <w:rsid w:val="00340865"/>
    <w:rsid w:val="0034105C"/>
    <w:rsid w:val="003420DC"/>
    <w:rsid w:val="003423D3"/>
    <w:rsid w:val="003431F4"/>
    <w:rsid w:val="003437C8"/>
    <w:rsid w:val="00345BAD"/>
    <w:rsid w:val="003468CB"/>
    <w:rsid w:val="00351607"/>
    <w:rsid w:val="003542E1"/>
    <w:rsid w:val="00356360"/>
    <w:rsid w:val="00356BDF"/>
    <w:rsid w:val="00363A6C"/>
    <w:rsid w:val="0036449D"/>
    <w:rsid w:val="0036511B"/>
    <w:rsid w:val="00370EE6"/>
    <w:rsid w:val="00371659"/>
    <w:rsid w:val="00371F14"/>
    <w:rsid w:val="00372CB9"/>
    <w:rsid w:val="00372CFD"/>
    <w:rsid w:val="00373659"/>
    <w:rsid w:val="00374AAC"/>
    <w:rsid w:val="00375A5B"/>
    <w:rsid w:val="00380FF6"/>
    <w:rsid w:val="00381605"/>
    <w:rsid w:val="00381A42"/>
    <w:rsid w:val="00382D0A"/>
    <w:rsid w:val="00383305"/>
    <w:rsid w:val="0038343C"/>
    <w:rsid w:val="00385956"/>
    <w:rsid w:val="00385E1F"/>
    <w:rsid w:val="003866FA"/>
    <w:rsid w:val="00386B3D"/>
    <w:rsid w:val="003877A4"/>
    <w:rsid w:val="00390620"/>
    <w:rsid w:val="003912EE"/>
    <w:rsid w:val="0039148E"/>
    <w:rsid w:val="00391800"/>
    <w:rsid w:val="003949C6"/>
    <w:rsid w:val="00395C97"/>
    <w:rsid w:val="00395FA7"/>
    <w:rsid w:val="003A12F2"/>
    <w:rsid w:val="003A1FE4"/>
    <w:rsid w:val="003A34CA"/>
    <w:rsid w:val="003A464A"/>
    <w:rsid w:val="003A46FB"/>
    <w:rsid w:val="003A4EFF"/>
    <w:rsid w:val="003A4FE2"/>
    <w:rsid w:val="003A5754"/>
    <w:rsid w:val="003A5EBB"/>
    <w:rsid w:val="003A5F79"/>
    <w:rsid w:val="003B0C1D"/>
    <w:rsid w:val="003B1363"/>
    <w:rsid w:val="003B35B0"/>
    <w:rsid w:val="003B388E"/>
    <w:rsid w:val="003B58CA"/>
    <w:rsid w:val="003C1CF1"/>
    <w:rsid w:val="003C2F8F"/>
    <w:rsid w:val="003C3524"/>
    <w:rsid w:val="003C3F36"/>
    <w:rsid w:val="003C45A6"/>
    <w:rsid w:val="003C50B3"/>
    <w:rsid w:val="003C54C1"/>
    <w:rsid w:val="003C60F1"/>
    <w:rsid w:val="003C64C2"/>
    <w:rsid w:val="003C6BB3"/>
    <w:rsid w:val="003C7B3B"/>
    <w:rsid w:val="003D0580"/>
    <w:rsid w:val="003D0790"/>
    <w:rsid w:val="003D6156"/>
    <w:rsid w:val="003D6D62"/>
    <w:rsid w:val="003E0830"/>
    <w:rsid w:val="003E0FC2"/>
    <w:rsid w:val="003E24BD"/>
    <w:rsid w:val="003E2512"/>
    <w:rsid w:val="003E3383"/>
    <w:rsid w:val="003E3611"/>
    <w:rsid w:val="003E3A50"/>
    <w:rsid w:val="003E47A6"/>
    <w:rsid w:val="003E4BF6"/>
    <w:rsid w:val="003E5755"/>
    <w:rsid w:val="003E58DF"/>
    <w:rsid w:val="003E594C"/>
    <w:rsid w:val="003E6B34"/>
    <w:rsid w:val="003F077E"/>
    <w:rsid w:val="003F45ED"/>
    <w:rsid w:val="003F48D5"/>
    <w:rsid w:val="003F53FD"/>
    <w:rsid w:val="003F5FCC"/>
    <w:rsid w:val="003F6B15"/>
    <w:rsid w:val="003F7F5D"/>
    <w:rsid w:val="00404021"/>
    <w:rsid w:val="00404227"/>
    <w:rsid w:val="00404894"/>
    <w:rsid w:val="00404DDF"/>
    <w:rsid w:val="00405D4F"/>
    <w:rsid w:val="00406340"/>
    <w:rsid w:val="00406346"/>
    <w:rsid w:val="00410D75"/>
    <w:rsid w:val="00411355"/>
    <w:rsid w:val="00415ADD"/>
    <w:rsid w:val="00416F6A"/>
    <w:rsid w:val="004176B2"/>
    <w:rsid w:val="00417B13"/>
    <w:rsid w:val="00420085"/>
    <w:rsid w:val="00420191"/>
    <w:rsid w:val="00420FCD"/>
    <w:rsid w:val="00421241"/>
    <w:rsid w:val="0042216E"/>
    <w:rsid w:val="00422244"/>
    <w:rsid w:val="004229BC"/>
    <w:rsid w:val="00424709"/>
    <w:rsid w:val="004249BE"/>
    <w:rsid w:val="00425730"/>
    <w:rsid w:val="004266F5"/>
    <w:rsid w:val="004269F8"/>
    <w:rsid w:val="0042713C"/>
    <w:rsid w:val="00430B9B"/>
    <w:rsid w:val="00430C6F"/>
    <w:rsid w:val="00430F58"/>
    <w:rsid w:val="00431B19"/>
    <w:rsid w:val="00432FC9"/>
    <w:rsid w:val="00433CC5"/>
    <w:rsid w:val="00433F43"/>
    <w:rsid w:val="004347EE"/>
    <w:rsid w:val="00435017"/>
    <w:rsid w:val="00436626"/>
    <w:rsid w:val="00441795"/>
    <w:rsid w:val="00441938"/>
    <w:rsid w:val="00441E00"/>
    <w:rsid w:val="00442019"/>
    <w:rsid w:val="004426B8"/>
    <w:rsid w:val="00444E22"/>
    <w:rsid w:val="004452CB"/>
    <w:rsid w:val="00446955"/>
    <w:rsid w:val="00447D52"/>
    <w:rsid w:val="00450AF1"/>
    <w:rsid w:val="00450E6A"/>
    <w:rsid w:val="00451E59"/>
    <w:rsid w:val="0045445D"/>
    <w:rsid w:val="00454D1E"/>
    <w:rsid w:val="00455A44"/>
    <w:rsid w:val="004566D4"/>
    <w:rsid w:val="004574BD"/>
    <w:rsid w:val="00457C54"/>
    <w:rsid w:val="004618A7"/>
    <w:rsid w:val="00463869"/>
    <w:rsid w:val="00465175"/>
    <w:rsid w:val="00465B57"/>
    <w:rsid w:val="0046710E"/>
    <w:rsid w:val="00467303"/>
    <w:rsid w:val="00467380"/>
    <w:rsid w:val="0046767D"/>
    <w:rsid w:val="00470AC6"/>
    <w:rsid w:val="00470D93"/>
    <w:rsid w:val="00470EF5"/>
    <w:rsid w:val="004718B3"/>
    <w:rsid w:val="00471993"/>
    <w:rsid w:val="00471A05"/>
    <w:rsid w:val="00471E18"/>
    <w:rsid w:val="00472E7B"/>
    <w:rsid w:val="00473025"/>
    <w:rsid w:val="0047311A"/>
    <w:rsid w:val="00473D45"/>
    <w:rsid w:val="0047431D"/>
    <w:rsid w:val="00474639"/>
    <w:rsid w:val="00475E5E"/>
    <w:rsid w:val="00476662"/>
    <w:rsid w:val="00480DD7"/>
    <w:rsid w:val="0048176A"/>
    <w:rsid w:val="004832C1"/>
    <w:rsid w:val="0048332C"/>
    <w:rsid w:val="00483988"/>
    <w:rsid w:val="0048488A"/>
    <w:rsid w:val="00484E54"/>
    <w:rsid w:val="00485D53"/>
    <w:rsid w:val="004861B6"/>
    <w:rsid w:val="004870F2"/>
    <w:rsid w:val="0048770E"/>
    <w:rsid w:val="00487F2D"/>
    <w:rsid w:val="004903DF"/>
    <w:rsid w:val="004904F6"/>
    <w:rsid w:val="00490DD7"/>
    <w:rsid w:val="00492916"/>
    <w:rsid w:val="00492E19"/>
    <w:rsid w:val="00494248"/>
    <w:rsid w:val="004944BE"/>
    <w:rsid w:val="004948E4"/>
    <w:rsid w:val="0049497B"/>
    <w:rsid w:val="00495C4C"/>
    <w:rsid w:val="004960BC"/>
    <w:rsid w:val="004967A0"/>
    <w:rsid w:val="00496A66"/>
    <w:rsid w:val="00497732"/>
    <w:rsid w:val="00497839"/>
    <w:rsid w:val="00497B58"/>
    <w:rsid w:val="00497BCE"/>
    <w:rsid w:val="004A24F8"/>
    <w:rsid w:val="004A2A03"/>
    <w:rsid w:val="004A2CD7"/>
    <w:rsid w:val="004A459A"/>
    <w:rsid w:val="004A5BF3"/>
    <w:rsid w:val="004A61BE"/>
    <w:rsid w:val="004A7DEE"/>
    <w:rsid w:val="004A7E35"/>
    <w:rsid w:val="004A7FB2"/>
    <w:rsid w:val="004B2BAE"/>
    <w:rsid w:val="004B42B3"/>
    <w:rsid w:val="004B4A5A"/>
    <w:rsid w:val="004B5B1F"/>
    <w:rsid w:val="004B5B5F"/>
    <w:rsid w:val="004B7CA5"/>
    <w:rsid w:val="004B7DCA"/>
    <w:rsid w:val="004C00ED"/>
    <w:rsid w:val="004C01B2"/>
    <w:rsid w:val="004C0317"/>
    <w:rsid w:val="004C1B3D"/>
    <w:rsid w:val="004C43D0"/>
    <w:rsid w:val="004C4844"/>
    <w:rsid w:val="004C49C7"/>
    <w:rsid w:val="004C50C1"/>
    <w:rsid w:val="004C7049"/>
    <w:rsid w:val="004C746A"/>
    <w:rsid w:val="004D10B3"/>
    <w:rsid w:val="004D1F2C"/>
    <w:rsid w:val="004D28EB"/>
    <w:rsid w:val="004D38A3"/>
    <w:rsid w:val="004D3C9D"/>
    <w:rsid w:val="004D3F2C"/>
    <w:rsid w:val="004D5AB7"/>
    <w:rsid w:val="004D5B5E"/>
    <w:rsid w:val="004D5D77"/>
    <w:rsid w:val="004D62A2"/>
    <w:rsid w:val="004D6D43"/>
    <w:rsid w:val="004D7B01"/>
    <w:rsid w:val="004E1101"/>
    <w:rsid w:val="004E16D4"/>
    <w:rsid w:val="004E2BA9"/>
    <w:rsid w:val="004E46D5"/>
    <w:rsid w:val="004E4B4A"/>
    <w:rsid w:val="004E5231"/>
    <w:rsid w:val="004E6FC7"/>
    <w:rsid w:val="004E7A90"/>
    <w:rsid w:val="004F3592"/>
    <w:rsid w:val="004F39FF"/>
    <w:rsid w:val="004F3A87"/>
    <w:rsid w:val="004F4174"/>
    <w:rsid w:val="004F57FC"/>
    <w:rsid w:val="004F6C53"/>
    <w:rsid w:val="004F6EF7"/>
    <w:rsid w:val="004F6FE2"/>
    <w:rsid w:val="004F7676"/>
    <w:rsid w:val="00500433"/>
    <w:rsid w:val="00502179"/>
    <w:rsid w:val="00504985"/>
    <w:rsid w:val="005055AF"/>
    <w:rsid w:val="005058B4"/>
    <w:rsid w:val="00506D79"/>
    <w:rsid w:val="005074CC"/>
    <w:rsid w:val="00510354"/>
    <w:rsid w:val="005138F8"/>
    <w:rsid w:val="00514070"/>
    <w:rsid w:val="00514DE3"/>
    <w:rsid w:val="0051791C"/>
    <w:rsid w:val="0052324F"/>
    <w:rsid w:val="00523381"/>
    <w:rsid w:val="00523CD7"/>
    <w:rsid w:val="00523DEF"/>
    <w:rsid w:val="00524467"/>
    <w:rsid w:val="0052447F"/>
    <w:rsid w:val="005244F7"/>
    <w:rsid w:val="005252AB"/>
    <w:rsid w:val="00526143"/>
    <w:rsid w:val="005265B1"/>
    <w:rsid w:val="0052714C"/>
    <w:rsid w:val="005272C6"/>
    <w:rsid w:val="005305B5"/>
    <w:rsid w:val="00530842"/>
    <w:rsid w:val="00531D16"/>
    <w:rsid w:val="0053290E"/>
    <w:rsid w:val="0053292F"/>
    <w:rsid w:val="00532CFB"/>
    <w:rsid w:val="0053392F"/>
    <w:rsid w:val="00535B56"/>
    <w:rsid w:val="00535EDB"/>
    <w:rsid w:val="00537963"/>
    <w:rsid w:val="00537FB4"/>
    <w:rsid w:val="0054025D"/>
    <w:rsid w:val="00543D47"/>
    <w:rsid w:val="005442F4"/>
    <w:rsid w:val="00547339"/>
    <w:rsid w:val="00547FCE"/>
    <w:rsid w:val="0055021A"/>
    <w:rsid w:val="00551517"/>
    <w:rsid w:val="005539CC"/>
    <w:rsid w:val="0055412C"/>
    <w:rsid w:val="005543D6"/>
    <w:rsid w:val="00554E89"/>
    <w:rsid w:val="0055588C"/>
    <w:rsid w:val="005558DD"/>
    <w:rsid w:val="005567B7"/>
    <w:rsid w:val="00560474"/>
    <w:rsid w:val="00560C04"/>
    <w:rsid w:val="005615CD"/>
    <w:rsid w:val="00561AB1"/>
    <w:rsid w:val="005623D0"/>
    <w:rsid w:val="00563306"/>
    <w:rsid w:val="0056466B"/>
    <w:rsid w:val="005655E5"/>
    <w:rsid w:val="00566735"/>
    <w:rsid w:val="005671E4"/>
    <w:rsid w:val="005674D9"/>
    <w:rsid w:val="005676F3"/>
    <w:rsid w:val="00570442"/>
    <w:rsid w:val="00572087"/>
    <w:rsid w:val="005738B2"/>
    <w:rsid w:val="005739DB"/>
    <w:rsid w:val="00576537"/>
    <w:rsid w:val="00576892"/>
    <w:rsid w:val="0057723C"/>
    <w:rsid w:val="00577BD7"/>
    <w:rsid w:val="0058144C"/>
    <w:rsid w:val="00581BEA"/>
    <w:rsid w:val="00585904"/>
    <w:rsid w:val="0058761C"/>
    <w:rsid w:val="005906AD"/>
    <w:rsid w:val="005913AD"/>
    <w:rsid w:val="005923D1"/>
    <w:rsid w:val="0059356E"/>
    <w:rsid w:val="00594151"/>
    <w:rsid w:val="00594321"/>
    <w:rsid w:val="00594C38"/>
    <w:rsid w:val="00594E61"/>
    <w:rsid w:val="00596784"/>
    <w:rsid w:val="005A0094"/>
    <w:rsid w:val="005A0545"/>
    <w:rsid w:val="005A05CF"/>
    <w:rsid w:val="005A161C"/>
    <w:rsid w:val="005A1DB1"/>
    <w:rsid w:val="005A28D4"/>
    <w:rsid w:val="005A2A87"/>
    <w:rsid w:val="005A3464"/>
    <w:rsid w:val="005A46FB"/>
    <w:rsid w:val="005A47BE"/>
    <w:rsid w:val="005A5356"/>
    <w:rsid w:val="005A5803"/>
    <w:rsid w:val="005B0322"/>
    <w:rsid w:val="005B0B80"/>
    <w:rsid w:val="005B1784"/>
    <w:rsid w:val="005B2D35"/>
    <w:rsid w:val="005B5467"/>
    <w:rsid w:val="005B70F8"/>
    <w:rsid w:val="005C076E"/>
    <w:rsid w:val="005C1523"/>
    <w:rsid w:val="005C15B7"/>
    <w:rsid w:val="005C2FD5"/>
    <w:rsid w:val="005C4319"/>
    <w:rsid w:val="005C4E5F"/>
    <w:rsid w:val="005C6151"/>
    <w:rsid w:val="005C7635"/>
    <w:rsid w:val="005C790D"/>
    <w:rsid w:val="005D02BB"/>
    <w:rsid w:val="005D12BC"/>
    <w:rsid w:val="005D26C5"/>
    <w:rsid w:val="005D3EFF"/>
    <w:rsid w:val="005D519D"/>
    <w:rsid w:val="005D5B79"/>
    <w:rsid w:val="005D7C3F"/>
    <w:rsid w:val="005E02AD"/>
    <w:rsid w:val="005E0CAF"/>
    <w:rsid w:val="005E21B7"/>
    <w:rsid w:val="005E25EF"/>
    <w:rsid w:val="005E2A75"/>
    <w:rsid w:val="005E2CC3"/>
    <w:rsid w:val="005E37CC"/>
    <w:rsid w:val="005E3B8E"/>
    <w:rsid w:val="005E4EE7"/>
    <w:rsid w:val="005E7921"/>
    <w:rsid w:val="005F020B"/>
    <w:rsid w:val="005F0C26"/>
    <w:rsid w:val="005F1580"/>
    <w:rsid w:val="005F1B7F"/>
    <w:rsid w:val="005F3D88"/>
    <w:rsid w:val="005F455C"/>
    <w:rsid w:val="005F4FAD"/>
    <w:rsid w:val="005F5F71"/>
    <w:rsid w:val="005F5FA6"/>
    <w:rsid w:val="00601C52"/>
    <w:rsid w:val="006024C7"/>
    <w:rsid w:val="00602716"/>
    <w:rsid w:val="0060296C"/>
    <w:rsid w:val="006039A9"/>
    <w:rsid w:val="00604645"/>
    <w:rsid w:val="00605213"/>
    <w:rsid w:val="006054DD"/>
    <w:rsid w:val="00607111"/>
    <w:rsid w:val="00607BC1"/>
    <w:rsid w:val="00610A90"/>
    <w:rsid w:val="006114CF"/>
    <w:rsid w:val="00611BC8"/>
    <w:rsid w:val="00612768"/>
    <w:rsid w:val="00612CA9"/>
    <w:rsid w:val="00613290"/>
    <w:rsid w:val="006139BC"/>
    <w:rsid w:val="00613F81"/>
    <w:rsid w:val="006156B6"/>
    <w:rsid w:val="00617B20"/>
    <w:rsid w:val="00620308"/>
    <w:rsid w:val="00620BB4"/>
    <w:rsid w:val="00620BF5"/>
    <w:rsid w:val="006224C8"/>
    <w:rsid w:val="00622BA9"/>
    <w:rsid w:val="006233D6"/>
    <w:rsid w:val="0062382A"/>
    <w:rsid w:val="00623DF1"/>
    <w:rsid w:val="00623E92"/>
    <w:rsid w:val="0062422B"/>
    <w:rsid w:val="00625A5F"/>
    <w:rsid w:val="00627CBD"/>
    <w:rsid w:val="006303F6"/>
    <w:rsid w:val="00630508"/>
    <w:rsid w:val="00630F4F"/>
    <w:rsid w:val="006312BB"/>
    <w:rsid w:val="006345C5"/>
    <w:rsid w:val="00640AE0"/>
    <w:rsid w:val="00640FFD"/>
    <w:rsid w:val="00642DC8"/>
    <w:rsid w:val="00643102"/>
    <w:rsid w:val="00643812"/>
    <w:rsid w:val="00644D20"/>
    <w:rsid w:val="00645314"/>
    <w:rsid w:val="0065099D"/>
    <w:rsid w:val="00651548"/>
    <w:rsid w:val="00651BF9"/>
    <w:rsid w:val="00651D19"/>
    <w:rsid w:val="00654551"/>
    <w:rsid w:val="00654869"/>
    <w:rsid w:val="00654EED"/>
    <w:rsid w:val="006557A0"/>
    <w:rsid w:val="00655B49"/>
    <w:rsid w:val="00655FFD"/>
    <w:rsid w:val="0065792B"/>
    <w:rsid w:val="0066109E"/>
    <w:rsid w:val="006616D2"/>
    <w:rsid w:val="00661C1A"/>
    <w:rsid w:val="00661D4F"/>
    <w:rsid w:val="006633DE"/>
    <w:rsid w:val="0066501F"/>
    <w:rsid w:val="00672732"/>
    <w:rsid w:val="00672B06"/>
    <w:rsid w:val="006730EA"/>
    <w:rsid w:val="006740B9"/>
    <w:rsid w:val="00681D83"/>
    <w:rsid w:val="006826EB"/>
    <w:rsid w:val="00683AA9"/>
    <w:rsid w:val="00684B07"/>
    <w:rsid w:val="0068556D"/>
    <w:rsid w:val="00690509"/>
    <w:rsid w:val="0069057E"/>
    <w:rsid w:val="00691BD6"/>
    <w:rsid w:val="00695FC8"/>
    <w:rsid w:val="006962C9"/>
    <w:rsid w:val="00696FF6"/>
    <w:rsid w:val="006971B2"/>
    <w:rsid w:val="006A05A5"/>
    <w:rsid w:val="006A0A4B"/>
    <w:rsid w:val="006A0C95"/>
    <w:rsid w:val="006A2E32"/>
    <w:rsid w:val="006A479F"/>
    <w:rsid w:val="006A5018"/>
    <w:rsid w:val="006A63A5"/>
    <w:rsid w:val="006A77D3"/>
    <w:rsid w:val="006B0FA3"/>
    <w:rsid w:val="006B11A2"/>
    <w:rsid w:val="006B1248"/>
    <w:rsid w:val="006B241B"/>
    <w:rsid w:val="006B30A9"/>
    <w:rsid w:val="006B4163"/>
    <w:rsid w:val="006B5CE6"/>
    <w:rsid w:val="006B5D13"/>
    <w:rsid w:val="006B63C2"/>
    <w:rsid w:val="006B67C4"/>
    <w:rsid w:val="006B79DD"/>
    <w:rsid w:val="006C001A"/>
    <w:rsid w:val="006C1412"/>
    <w:rsid w:val="006C24AF"/>
    <w:rsid w:val="006C2697"/>
    <w:rsid w:val="006C357F"/>
    <w:rsid w:val="006C4D5B"/>
    <w:rsid w:val="006C5FD6"/>
    <w:rsid w:val="006C73E0"/>
    <w:rsid w:val="006D0876"/>
    <w:rsid w:val="006D12B6"/>
    <w:rsid w:val="006D12C5"/>
    <w:rsid w:val="006D16E7"/>
    <w:rsid w:val="006D303C"/>
    <w:rsid w:val="006D363E"/>
    <w:rsid w:val="006D3D4E"/>
    <w:rsid w:val="006D4FB6"/>
    <w:rsid w:val="006D7006"/>
    <w:rsid w:val="006E065E"/>
    <w:rsid w:val="006E246C"/>
    <w:rsid w:val="006E2BA6"/>
    <w:rsid w:val="006E3106"/>
    <w:rsid w:val="006E4297"/>
    <w:rsid w:val="006E434F"/>
    <w:rsid w:val="006E497D"/>
    <w:rsid w:val="006E505C"/>
    <w:rsid w:val="006F181F"/>
    <w:rsid w:val="006F53B1"/>
    <w:rsid w:val="006F5579"/>
    <w:rsid w:val="006F5910"/>
    <w:rsid w:val="006F633A"/>
    <w:rsid w:val="00700935"/>
    <w:rsid w:val="00700E4E"/>
    <w:rsid w:val="007012E4"/>
    <w:rsid w:val="0070267E"/>
    <w:rsid w:val="00702C28"/>
    <w:rsid w:val="00704413"/>
    <w:rsid w:val="00705AB6"/>
    <w:rsid w:val="007069A1"/>
    <w:rsid w:val="00707145"/>
    <w:rsid w:val="007071B3"/>
    <w:rsid w:val="007076D4"/>
    <w:rsid w:val="0070772D"/>
    <w:rsid w:val="00710260"/>
    <w:rsid w:val="00710288"/>
    <w:rsid w:val="00711B80"/>
    <w:rsid w:val="007123F9"/>
    <w:rsid w:val="00713B73"/>
    <w:rsid w:val="007142D8"/>
    <w:rsid w:val="0071449C"/>
    <w:rsid w:val="00714ACB"/>
    <w:rsid w:val="007150FD"/>
    <w:rsid w:val="00716A1E"/>
    <w:rsid w:val="00716C73"/>
    <w:rsid w:val="0072026F"/>
    <w:rsid w:val="00720326"/>
    <w:rsid w:val="0072172B"/>
    <w:rsid w:val="00721934"/>
    <w:rsid w:val="00722389"/>
    <w:rsid w:val="00724304"/>
    <w:rsid w:val="007247EA"/>
    <w:rsid w:val="00725262"/>
    <w:rsid w:val="00725977"/>
    <w:rsid w:val="00726120"/>
    <w:rsid w:val="007272D5"/>
    <w:rsid w:val="00727DB1"/>
    <w:rsid w:val="00731632"/>
    <w:rsid w:val="00734866"/>
    <w:rsid w:val="00735228"/>
    <w:rsid w:val="00736012"/>
    <w:rsid w:val="00737A84"/>
    <w:rsid w:val="00740F0D"/>
    <w:rsid w:val="00741F4A"/>
    <w:rsid w:val="007420E5"/>
    <w:rsid w:val="00742429"/>
    <w:rsid w:val="00743AC6"/>
    <w:rsid w:val="00745065"/>
    <w:rsid w:val="0074641D"/>
    <w:rsid w:val="00747458"/>
    <w:rsid w:val="00747A43"/>
    <w:rsid w:val="0075164C"/>
    <w:rsid w:val="00751D7B"/>
    <w:rsid w:val="007528A0"/>
    <w:rsid w:val="00752F6F"/>
    <w:rsid w:val="007545BA"/>
    <w:rsid w:val="007546AF"/>
    <w:rsid w:val="00754AFD"/>
    <w:rsid w:val="00756F69"/>
    <w:rsid w:val="00757863"/>
    <w:rsid w:val="00757E69"/>
    <w:rsid w:val="007606B9"/>
    <w:rsid w:val="007609D1"/>
    <w:rsid w:val="00760ADB"/>
    <w:rsid w:val="0076149E"/>
    <w:rsid w:val="0076188E"/>
    <w:rsid w:val="00761A51"/>
    <w:rsid w:val="0076398C"/>
    <w:rsid w:val="00763C44"/>
    <w:rsid w:val="007644D3"/>
    <w:rsid w:val="00765934"/>
    <w:rsid w:val="00767B3A"/>
    <w:rsid w:val="00767C28"/>
    <w:rsid w:val="00770976"/>
    <w:rsid w:val="00771104"/>
    <w:rsid w:val="007711BA"/>
    <w:rsid w:val="007715DD"/>
    <w:rsid w:val="00771705"/>
    <w:rsid w:val="007724BA"/>
    <w:rsid w:val="007724DC"/>
    <w:rsid w:val="0077522B"/>
    <w:rsid w:val="007774EC"/>
    <w:rsid w:val="00777661"/>
    <w:rsid w:val="007803A3"/>
    <w:rsid w:val="00783F5A"/>
    <w:rsid w:val="00784020"/>
    <w:rsid w:val="00785887"/>
    <w:rsid w:val="00785CC3"/>
    <w:rsid w:val="00785E37"/>
    <w:rsid w:val="00787533"/>
    <w:rsid w:val="007876E2"/>
    <w:rsid w:val="00792B2A"/>
    <w:rsid w:val="007934F7"/>
    <w:rsid w:val="00797524"/>
    <w:rsid w:val="007A0D68"/>
    <w:rsid w:val="007A24DA"/>
    <w:rsid w:val="007A25BF"/>
    <w:rsid w:val="007A2D1B"/>
    <w:rsid w:val="007A4A93"/>
    <w:rsid w:val="007A4D4E"/>
    <w:rsid w:val="007A5765"/>
    <w:rsid w:val="007A5BB6"/>
    <w:rsid w:val="007A5DDD"/>
    <w:rsid w:val="007A6404"/>
    <w:rsid w:val="007A6963"/>
    <w:rsid w:val="007A69A6"/>
    <w:rsid w:val="007B1DBE"/>
    <w:rsid w:val="007B1E41"/>
    <w:rsid w:val="007B242C"/>
    <w:rsid w:val="007B31F7"/>
    <w:rsid w:val="007B3B30"/>
    <w:rsid w:val="007B53D0"/>
    <w:rsid w:val="007B5DAB"/>
    <w:rsid w:val="007B60CA"/>
    <w:rsid w:val="007B6D32"/>
    <w:rsid w:val="007B6F57"/>
    <w:rsid w:val="007B7D3D"/>
    <w:rsid w:val="007B7DBA"/>
    <w:rsid w:val="007C0C89"/>
    <w:rsid w:val="007C2319"/>
    <w:rsid w:val="007C2C41"/>
    <w:rsid w:val="007C41C2"/>
    <w:rsid w:val="007C482A"/>
    <w:rsid w:val="007C50A1"/>
    <w:rsid w:val="007D03DA"/>
    <w:rsid w:val="007D13A5"/>
    <w:rsid w:val="007D169D"/>
    <w:rsid w:val="007D1830"/>
    <w:rsid w:val="007D2476"/>
    <w:rsid w:val="007D2F1D"/>
    <w:rsid w:val="007D3A01"/>
    <w:rsid w:val="007D3BDD"/>
    <w:rsid w:val="007D44D3"/>
    <w:rsid w:val="007D4616"/>
    <w:rsid w:val="007D4FFA"/>
    <w:rsid w:val="007D519B"/>
    <w:rsid w:val="007D5594"/>
    <w:rsid w:val="007D79CA"/>
    <w:rsid w:val="007E067B"/>
    <w:rsid w:val="007E3198"/>
    <w:rsid w:val="007E373C"/>
    <w:rsid w:val="007E41C9"/>
    <w:rsid w:val="007E44C8"/>
    <w:rsid w:val="007E4E14"/>
    <w:rsid w:val="007E4E21"/>
    <w:rsid w:val="007E534D"/>
    <w:rsid w:val="007E5A72"/>
    <w:rsid w:val="007E60F1"/>
    <w:rsid w:val="007E6A75"/>
    <w:rsid w:val="007E78D7"/>
    <w:rsid w:val="007F3012"/>
    <w:rsid w:val="007F3691"/>
    <w:rsid w:val="007F3B6B"/>
    <w:rsid w:val="007F4030"/>
    <w:rsid w:val="007F4B75"/>
    <w:rsid w:val="007F6850"/>
    <w:rsid w:val="007F7397"/>
    <w:rsid w:val="007F7B69"/>
    <w:rsid w:val="00800B60"/>
    <w:rsid w:val="00801327"/>
    <w:rsid w:val="008023D6"/>
    <w:rsid w:val="00802CD6"/>
    <w:rsid w:val="0080310A"/>
    <w:rsid w:val="008031B9"/>
    <w:rsid w:val="0080405B"/>
    <w:rsid w:val="00804D51"/>
    <w:rsid w:val="00805350"/>
    <w:rsid w:val="00812A3B"/>
    <w:rsid w:val="00813680"/>
    <w:rsid w:val="008140FF"/>
    <w:rsid w:val="00814B5C"/>
    <w:rsid w:val="00815037"/>
    <w:rsid w:val="0081520A"/>
    <w:rsid w:val="008154C5"/>
    <w:rsid w:val="00815E77"/>
    <w:rsid w:val="00815EB3"/>
    <w:rsid w:val="00815F0B"/>
    <w:rsid w:val="0082099C"/>
    <w:rsid w:val="008228CB"/>
    <w:rsid w:val="008230B1"/>
    <w:rsid w:val="00825DB9"/>
    <w:rsid w:val="00826C4C"/>
    <w:rsid w:val="00826CB4"/>
    <w:rsid w:val="00827F53"/>
    <w:rsid w:val="0083006C"/>
    <w:rsid w:val="00830277"/>
    <w:rsid w:val="008308E2"/>
    <w:rsid w:val="00830AFA"/>
    <w:rsid w:val="008312D2"/>
    <w:rsid w:val="008318AF"/>
    <w:rsid w:val="008323EF"/>
    <w:rsid w:val="00833722"/>
    <w:rsid w:val="0083468B"/>
    <w:rsid w:val="00835E05"/>
    <w:rsid w:val="0083729B"/>
    <w:rsid w:val="00837EC8"/>
    <w:rsid w:val="00837FB0"/>
    <w:rsid w:val="0084072F"/>
    <w:rsid w:val="00840CED"/>
    <w:rsid w:val="008415D1"/>
    <w:rsid w:val="00841BF3"/>
    <w:rsid w:val="008429BC"/>
    <w:rsid w:val="008432BA"/>
    <w:rsid w:val="00843706"/>
    <w:rsid w:val="00843AC6"/>
    <w:rsid w:val="00843BEA"/>
    <w:rsid w:val="00844354"/>
    <w:rsid w:val="0084484F"/>
    <w:rsid w:val="00844C7E"/>
    <w:rsid w:val="00851209"/>
    <w:rsid w:val="00851E8F"/>
    <w:rsid w:val="00852E4F"/>
    <w:rsid w:val="0085305A"/>
    <w:rsid w:val="008531ED"/>
    <w:rsid w:val="00853F0E"/>
    <w:rsid w:val="00854DC0"/>
    <w:rsid w:val="00856497"/>
    <w:rsid w:val="00860479"/>
    <w:rsid w:val="00860A12"/>
    <w:rsid w:val="00860B95"/>
    <w:rsid w:val="0086155E"/>
    <w:rsid w:val="00864012"/>
    <w:rsid w:val="00864362"/>
    <w:rsid w:val="00865209"/>
    <w:rsid w:val="008659E7"/>
    <w:rsid w:val="00865D22"/>
    <w:rsid w:val="00865F3C"/>
    <w:rsid w:val="00866468"/>
    <w:rsid w:val="008669FC"/>
    <w:rsid w:val="00867352"/>
    <w:rsid w:val="00870EB9"/>
    <w:rsid w:val="0087124B"/>
    <w:rsid w:val="008716CD"/>
    <w:rsid w:val="00871E04"/>
    <w:rsid w:val="00872E91"/>
    <w:rsid w:val="00872F46"/>
    <w:rsid w:val="00872F9E"/>
    <w:rsid w:val="00874D58"/>
    <w:rsid w:val="00874F3C"/>
    <w:rsid w:val="00875728"/>
    <w:rsid w:val="00877ED9"/>
    <w:rsid w:val="00880D29"/>
    <w:rsid w:val="00881456"/>
    <w:rsid w:val="00881529"/>
    <w:rsid w:val="00881587"/>
    <w:rsid w:val="0088327A"/>
    <w:rsid w:val="008842ED"/>
    <w:rsid w:val="00884E30"/>
    <w:rsid w:val="00884FE4"/>
    <w:rsid w:val="00887457"/>
    <w:rsid w:val="008876B4"/>
    <w:rsid w:val="008909E1"/>
    <w:rsid w:val="00891147"/>
    <w:rsid w:val="008926C6"/>
    <w:rsid w:val="008927BB"/>
    <w:rsid w:val="00892802"/>
    <w:rsid w:val="00892D08"/>
    <w:rsid w:val="00893BD4"/>
    <w:rsid w:val="0089706F"/>
    <w:rsid w:val="008A0563"/>
    <w:rsid w:val="008A3137"/>
    <w:rsid w:val="008A355A"/>
    <w:rsid w:val="008A665F"/>
    <w:rsid w:val="008A7462"/>
    <w:rsid w:val="008B05F8"/>
    <w:rsid w:val="008B0D85"/>
    <w:rsid w:val="008B12D8"/>
    <w:rsid w:val="008B16AE"/>
    <w:rsid w:val="008B17B4"/>
    <w:rsid w:val="008B26E7"/>
    <w:rsid w:val="008B2854"/>
    <w:rsid w:val="008B3E75"/>
    <w:rsid w:val="008B448E"/>
    <w:rsid w:val="008B49BF"/>
    <w:rsid w:val="008B6024"/>
    <w:rsid w:val="008B673D"/>
    <w:rsid w:val="008B70E6"/>
    <w:rsid w:val="008B7147"/>
    <w:rsid w:val="008B72FC"/>
    <w:rsid w:val="008B74A7"/>
    <w:rsid w:val="008C51EE"/>
    <w:rsid w:val="008C6502"/>
    <w:rsid w:val="008C6913"/>
    <w:rsid w:val="008C7347"/>
    <w:rsid w:val="008D1538"/>
    <w:rsid w:val="008D23BA"/>
    <w:rsid w:val="008D2D3F"/>
    <w:rsid w:val="008D4625"/>
    <w:rsid w:val="008D4B12"/>
    <w:rsid w:val="008D5B95"/>
    <w:rsid w:val="008D6174"/>
    <w:rsid w:val="008D6DB0"/>
    <w:rsid w:val="008E1672"/>
    <w:rsid w:val="008E197E"/>
    <w:rsid w:val="008E1BB3"/>
    <w:rsid w:val="008E1BB4"/>
    <w:rsid w:val="008E23B7"/>
    <w:rsid w:val="008E3CCE"/>
    <w:rsid w:val="008E4859"/>
    <w:rsid w:val="008E5129"/>
    <w:rsid w:val="008E5A6D"/>
    <w:rsid w:val="008E5D77"/>
    <w:rsid w:val="008E6290"/>
    <w:rsid w:val="008E784A"/>
    <w:rsid w:val="008E7937"/>
    <w:rsid w:val="008E7E0B"/>
    <w:rsid w:val="008F0199"/>
    <w:rsid w:val="008F0E12"/>
    <w:rsid w:val="008F1167"/>
    <w:rsid w:val="008F2682"/>
    <w:rsid w:val="008F26A7"/>
    <w:rsid w:val="008F32DF"/>
    <w:rsid w:val="008F4D20"/>
    <w:rsid w:val="008F5CC4"/>
    <w:rsid w:val="008F6D15"/>
    <w:rsid w:val="008F74A6"/>
    <w:rsid w:val="008F76E4"/>
    <w:rsid w:val="00900F80"/>
    <w:rsid w:val="00902C1A"/>
    <w:rsid w:val="0090422E"/>
    <w:rsid w:val="00904D02"/>
    <w:rsid w:val="00907210"/>
    <w:rsid w:val="009108DC"/>
    <w:rsid w:val="00910D47"/>
    <w:rsid w:val="00910F4F"/>
    <w:rsid w:val="00913112"/>
    <w:rsid w:val="00914F70"/>
    <w:rsid w:val="009158EC"/>
    <w:rsid w:val="0091654F"/>
    <w:rsid w:val="009167CD"/>
    <w:rsid w:val="00916F92"/>
    <w:rsid w:val="009170EF"/>
    <w:rsid w:val="009213C9"/>
    <w:rsid w:val="00921BE4"/>
    <w:rsid w:val="00921C41"/>
    <w:rsid w:val="00922693"/>
    <w:rsid w:val="00926642"/>
    <w:rsid w:val="00926DB9"/>
    <w:rsid w:val="00926DC8"/>
    <w:rsid w:val="0092755D"/>
    <w:rsid w:val="0092783E"/>
    <w:rsid w:val="00927CF1"/>
    <w:rsid w:val="00930D57"/>
    <w:rsid w:val="00931EC0"/>
    <w:rsid w:val="00932157"/>
    <w:rsid w:val="0093215C"/>
    <w:rsid w:val="00932D76"/>
    <w:rsid w:val="00935089"/>
    <w:rsid w:val="0093565E"/>
    <w:rsid w:val="00935FDE"/>
    <w:rsid w:val="009363BD"/>
    <w:rsid w:val="009373D5"/>
    <w:rsid w:val="00940472"/>
    <w:rsid w:val="00940EB5"/>
    <w:rsid w:val="009427B8"/>
    <w:rsid w:val="00942A9D"/>
    <w:rsid w:val="00942C8A"/>
    <w:rsid w:val="00943B79"/>
    <w:rsid w:val="00945712"/>
    <w:rsid w:val="00946357"/>
    <w:rsid w:val="00947297"/>
    <w:rsid w:val="00947790"/>
    <w:rsid w:val="009505BD"/>
    <w:rsid w:val="00950697"/>
    <w:rsid w:val="0095069B"/>
    <w:rsid w:val="00953A96"/>
    <w:rsid w:val="0095471E"/>
    <w:rsid w:val="00954959"/>
    <w:rsid w:val="00954E25"/>
    <w:rsid w:val="00960042"/>
    <w:rsid w:val="00961A50"/>
    <w:rsid w:val="00961CCF"/>
    <w:rsid w:val="00961FDD"/>
    <w:rsid w:val="00961FFF"/>
    <w:rsid w:val="00962D72"/>
    <w:rsid w:val="00964899"/>
    <w:rsid w:val="009658CE"/>
    <w:rsid w:val="00965B3A"/>
    <w:rsid w:val="00966968"/>
    <w:rsid w:val="009670FC"/>
    <w:rsid w:val="00967EED"/>
    <w:rsid w:val="009703F2"/>
    <w:rsid w:val="009705BB"/>
    <w:rsid w:val="00970B81"/>
    <w:rsid w:val="0097171C"/>
    <w:rsid w:val="00971999"/>
    <w:rsid w:val="009728B7"/>
    <w:rsid w:val="00973200"/>
    <w:rsid w:val="00975566"/>
    <w:rsid w:val="009757B4"/>
    <w:rsid w:val="00975B73"/>
    <w:rsid w:val="009775CF"/>
    <w:rsid w:val="00977B8B"/>
    <w:rsid w:val="00977BFF"/>
    <w:rsid w:val="00981ED8"/>
    <w:rsid w:val="009824FC"/>
    <w:rsid w:val="00982AFA"/>
    <w:rsid w:val="009843CF"/>
    <w:rsid w:val="00984811"/>
    <w:rsid w:val="009903F7"/>
    <w:rsid w:val="009927C9"/>
    <w:rsid w:val="0099309A"/>
    <w:rsid w:val="00993BDD"/>
    <w:rsid w:val="00994400"/>
    <w:rsid w:val="009950DB"/>
    <w:rsid w:val="00996133"/>
    <w:rsid w:val="009961BF"/>
    <w:rsid w:val="00997130"/>
    <w:rsid w:val="00997D52"/>
    <w:rsid w:val="009A041C"/>
    <w:rsid w:val="009A0CD9"/>
    <w:rsid w:val="009A0FE4"/>
    <w:rsid w:val="009A1707"/>
    <w:rsid w:val="009A23DB"/>
    <w:rsid w:val="009A29FC"/>
    <w:rsid w:val="009A4FA1"/>
    <w:rsid w:val="009A5848"/>
    <w:rsid w:val="009A61B0"/>
    <w:rsid w:val="009A674F"/>
    <w:rsid w:val="009B12E6"/>
    <w:rsid w:val="009B2134"/>
    <w:rsid w:val="009B24F2"/>
    <w:rsid w:val="009B338C"/>
    <w:rsid w:val="009B4C98"/>
    <w:rsid w:val="009B50BA"/>
    <w:rsid w:val="009B532E"/>
    <w:rsid w:val="009B58D7"/>
    <w:rsid w:val="009B61C9"/>
    <w:rsid w:val="009B62A3"/>
    <w:rsid w:val="009B73FE"/>
    <w:rsid w:val="009C0094"/>
    <w:rsid w:val="009C13AB"/>
    <w:rsid w:val="009C2D6C"/>
    <w:rsid w:val="009C36D6"/>
    <w:rsid w:val="009C5F4A"/>
    <w:rsid w:val="009C73AF"/>
    <w:rsid w:val="009D02AB"/>
    <w:rsid w:val="009D0AE8"/>
    <w:rsid w:val="009D0C41"/>
    <w:rsid w:val="009D0EA0"/>
    <w:rsid w:val="009D0F1F"/>
    <w:rsid w:val="009D1202"/>
    <w:rsid w:val="009D1FCB"/>
    <w:rsid w:val="009D46AE"/>
    <w:rsid w:val="009D4889"/>
    <w:rsid w:val="009D49C3"/>
    <w:rsid w:val="009D56C9"/>
    <w:rsid w:val="009D65D2"/>
    <w:rsid w:val="009D71ED"/>
    <w:rsid w:val="009E0D71"/>
    <w:rsid w:val="009E0FD7"/>
    <w:rsid w:val="009E2236"/>
    <w:rsid w:val="009E4B94"/>
    <w:rsid w:val="009E6AD1"/>
    <w:rsid w:val="009E6ED3"/>
    <w:rsid w:val="009F06D8"/>
    <w:rsid w:val="009F2DB8"/>
    <w:rsid w:val="009F44F4"/>
    <w:rsid w:val="009F675A"/>
    <w:rsid w:val="009F7E1C"/>
    <w:rsid w:val="00A02260"/>
    <w:rsid w:val="00A02526"/>
    <w:rsid w:val="00A05832"/>
    <w:rsid w:val="00A06F95"/>
    <w:rsid w:val="00A10034"/>
    <w:rsid w:val="00A104AE"/>
    <w:rsid w:val="00A116F5"/>
    <w:rsid w:val="00A121D4"/>
    <w:rsid w:val="00A14306"/>
    <w:rsid w:val="00A14462"/>
    <w:rsid w:val="00A153EB"/>
    <w:rsid w:val="00A154B7"/>
    <w:rsid w:val="00A2018A"/>
    <w:rsid w:val="00A20AD6"/>
    <w:rsid w:val="00A21A9D"/>
    <w:rsid w:val="00A222F5"/>
    <w:rsid w:val="00A223A2"/>
    <w:rsid w:val="00A22A09"/>
    <w:rsid w:val="00A22A30"/>
    <w:rsid w:val="00A23445"/>
    <w:rsid w:val="00A25DEE"/>
    <w:rsid w:val="00A26121"/>
    <w:rsid w:val="00A26A25"/>
    <w:rsid w:val="00A2785F"/>
    <w:rsid w:val="00A312FF"/>
    <w:rsid w:val="00A31F2B"/>
    <w:rsid w:val="00A335C5"/>
    <w:rsid w:val="00A3476A"/>
    <w:rsid w:val="00A35658"/>
    <w:rsid w:val="00A35C8E"/>
    <w:rsid w:val="00A36CE2"/>
    <w:rsid w:val="00A40EC7"/>
    <w:rsid w:val="00A427A2"/>
    <w:rsid w:val="00A42D84"/>
    <w:rsid w:val="00A43874"/>
    <w:rsid w:val="00A4434A"/>
    <w:rsid w:val="00A4488B"/>
    <w:rsid w:val="00A4503F"/>
    <w:rsid w:val="00A457FE"/>
    <w:rsid w:val="00A4649E"/>
    <w:rsid w:val="00A464EB"/>
    <w:rsid w:val="00A46593"/>
    <w:rsid w:val="00A478E0"/>
    <w:rsid w:val="00A516DC"/>
    <w:rsid w:val="00A51CF0"/>
    <w:rsid w:val="00A527BD"/>
    <w:rsid w:val="00A53F12"/>
    <w:rsid w:val="00A546D7"/>
    <w:rsid w:val="00A55335"/>
    <w:rsid w:val="00A57749"/>
    <w:rsid w:val="00A57E81"/>
    <w:rsid w:val="00A61049"/>
    <w:rsid w:val="00A61CD3"/>
    <w:rsid w:val="00A62A04"/>
    <w:rsid w:val="00A632EB"/>
    <w:rsid w:val="00A647D5"/>
    <w:rsid w:val="00A66867"/>
    <w:rsid w:val="00A66C91"/>
    <w:rsid w:val="00A67E06"/>
    <w:rsid w:val="00A702E0"/>
    <w:rsid w:val="00A71B29"/>
    <w:rsid w:val="00A71BE4"/>
    <w:rsid w:val="00A7436C"/>
    <w:rsid w:val="00A753BF"/>
    <w:rsid w:val="00A7682B"/>
    <w:rsid w:val="00A80AC1"/>
    <w:rsid w:val="00A815C7"/>
    <w:rsid w:val="00A81A46"/>
    <w:rsid w:val="00A82330"/>
    <w:rsid w:val="00A8441C"/>
    <w:rsid w:val="00A85090"/>
    <w:rsid w:val="00A85097"/>
    <w:rsid w:val="00A85E99"/>
    <w:rsid w:val="00A9045E"/>
    <w:rsid w:val="00A91D9D"/>
    <w:rsid w:val="00A92C58"/>
    <w:rsid w:val="00A937A2"/>
    <w:rsid w:val="00A947CD"/>
    <w:rsid w:val="00A95037"/>
    <w:rsid w:val="00A950BD"/>
    <w:rsid w:val="00A958DF"/>
    <w:rsid w:val="00A95EA3"/>
    <w:rsid w:val="00A968D1"/>
    <w:rsid w:val="00A9703A"/>
    <w:rsid w:val="00A977A2"/>
    <w:rsid w:val="00A97C87"/>
    <w:rsid w:val="00AA0096"/>
    <w:rsid w:val="00AA30BD"/>
    <w:rsid w:val="00AA32B9"/>
    <w:rsid w:val="00AA38C1"/>
    <w:rsid w:val="00AA40AB"/>
    <w:rsid w:val="00AA4134"/>
    <w:rsid w:val="00AA5C85"/>
    <w:rsid w:val="00AA6370"/>
    <w:rsid w:val="00AA69D5"/>
    <w:rsid w:val="00AB0608"/>
    <w:rsid w:val="00AB07EE"/>
    <w:rsid w:val="00AB1B94"/>
    <w:rsid w:val="00AB1C29"/>
    <w:rsid w:val="00AB2B60"/>
    <w:rsid w:val="00AB3966"/>
    <w:rsid w:val="00AB3D3F"/>
    <w:rsid w:val="00AB4393"/>
    <w:rsid w:val="00AB522B"/>
    <w:rsid w:val="00AB52DA"/>
    <w:rsid w:val="00AB5ACF"/>
    <w:rsid w:val="00AB6409"/>
    <w:rsid w:val="00AB6E72"/>
    <w:rsid w:val="00AB7868"/>
    <w:rsid w:val="00AC0006"/>
    <w:rsid w:val="00AC0692"/>
    <w:rsid w:val="00AC1057"/>
    <w:rsid w:val="00AC3225"/>
    <w:rsid w:val="00AC4E23"/>
    <w:rsid w:val="00AC4E38"/>
    <w:rsid w:val="00AC5AD1"/>
    <w:rsid w:val="00AC7055"/>
    <w:rsid w:val="00AC774E"/>
    <w:rsid w:val="00AD2837"/>
    <w:rsid w:val="00AD34B2"/>
    <w:rsid w:val="00AD5FEA"/>
    <w:rsid w:val="00AD61C9"/>
    <w:rsid w:val="00AD66F4"/>
    <w:rsid w:val="00AD67AF"/>
    <w:rsid w:val="00AD6CCB"/>
    <w:rsid w:val="00AD6D60"/>
    <w:rsid w:val="00AD76CD"/>
    <w:rsid w:val="00AD7F25"/>
    <w:rsid w:val="00AE0D23"/>
    <w:rsid w:val="00AE1620"/>
    <w:rsid w:val="00AE208D"/>
    <w:rsid w:val="00AE210A"/>
    <w:rsid w:val="00AE22C3"/>
    <w:rsid w:val="00AE37B0"/>
    <w:rsid w:val="00AE3E60"/>
    <w:rsid w:val="00AE4980"/>
    <w:rsid w:val="00AE5C6B"/>
    <w:rsid w:val="00AE7860"/>
    <w:rsid w:val="00AE7E90"/>
    <w:rsid w:val="00AF12C0"/>
    <w:rsid w:val="00AF13D2"/>
    <w:rsid w:val="00AF1D02"/>
    <w:rsid w:val="00AF4806"/>
    <w:rsid w:val="00AF5478"/>
    <w:rsid w:val="00AF6710"/>
    <w:rsid w:val="00AF77B8"/>
    <w:rsid w:val="00AF787B"/>
    <w:rsid w:val="00B00630"/>
    <w:rsid w:val="00B00C53"/>
    <w:rsid w:val="00B00D92"/>
    <w:rsid w:val="00B00FC8"/>
    <w:rsid w:val="00B02BDF"/>
    <w:rsid w:val="00B03244"/>
    <w:rsid w:val="00B10193"/>
    <w:rsid w:val="00B12CD7"/>
    <w:rsid w:val="00B13533"/>
    <w:rsid w:val="00B1491F"/>
    <w:rsid w:val="00B17C0C"/>
    <w:rsid w:val="00B213D7"/>
    <w:rsid w:val="00B2517A"/>
    <w:rsid w:val="00B25A84"/>
    <w:rsid w:val="00B262F7"/>
    <w:rsid w:val="00B26648"/>
    <w:rsid w:val="00B26F68"/>
    <w:rsid w:val="00B27AEF"/>
    <w:rsid w:val="00B30280"/>
    <w:rsid w:val="00B30895"/>
    <w:rsid w:val="00B30F37"/>
    <w:rsid w:val="00B3182D"/>
    <w:rsid w:val="00B321A2"/>
    <w:rsid w:val="00B32292"/>
    <w:rsid w:val="00B32328"/>
    <w:rsid w:val="00B32394"/>
    <w:rsid w:val="00B33A8A"/>
    <w:rsid w:val="00B37992"/>
    <w:rsid w:val="00B41EAF"/>
    <w:rsid w:val="00B42A02"/>
    <w:rsid w:val="00B431BA"/>
    <w:rsid w:val="00B43776"/>
    <w:rsid w:val="00B4512F"/>
    <w:rsid w:val="00B47B95"/>
    <w:rsid w:val="00B51602"/>
    <w:rsid w:val="00B52486"/>
    <w:rsid w:val="00B52E04"/>
    <w:rsid w:val="00B538D4"/>
    <w:rsid w:val="00B5554F"/>
    <w:rsid w:val="00B561DF"/>
    <w:rsid w:val="00B60195"/>
    <w:rsid w:val="00B60A67"/>
    <w:rsid w:val="00B60C4B"/>
    <w:rsid w:val="00B6260A"/>
    <w:rsid w:val="00B626EF"/>
    <w:rsid w:val="00B62BD6"/>
    <w:rsid w:val="00B678DA"/>
    <w:rsid w:val="00B70754"/>
    <w:rsid w:val="00B71FB8"/>
    <w:rsid w:val="00B722CD"/>
    <w:rsid w:val="00B728FE"/>
    <w:rsid w:val="00B747DC"/>
    <w:rsid w:val="00B75CB8"/>
    <w:rsid w:val="00B817E4"/>
    <w:rsid w:val="00B843E8"/>
    <w:rsid w:val="00B84CEF"/>
    <w:rsid w:val="00B8585E"/>
    <w:rsid w:val="00B872A7"/>
    <w:rsid w:val="00B87A9E"/>
    <w:rsid w:val="00B91EB8"/>
    <w:rsid w:val="00B930AA"/>
    <w:rsid w:val="00B93153"/>
    <w:rsid w:val="00B95A02"/>
    <w:rsid w:val="00B95B76"/>
    <w:rsid w:val="00B96365"/>
    <w:rsid w:val="00B96750"/>
    <w:rsid w:val="00B967B0"/>
    <w:rsid w:val="00B96E7E"/>
    <w:rsid w:val="00B97A47"/>
    <w:rsid w:val="00BA00D8"/>
    <w:rsid w:val="00BA1452"/>
    <w:rsid w:val="00BA22A4"/>
    <w:rsid w:val="00BA2D12"/>
    <w:rsid w:val="00BA365A"/>
    <w:rsid w:val="00BA3ACC"/>
    <w:rsid w:val="00BA4700"/>
    <w:rsid w:val="00BA4F14"/>
    <w:rsid w:val="00BA5C3C"/>
    <w:rsid w:val="00BA7C37"/>
    <w:rsid w:val="00BA7E33"/>
    <w:rsid w:val="00BB00C6"/>
    <w:rsid w:val="00BB07C9"/>
    <w:rsid w:val="00BB0BEC"/>
    <w:rsid w:val="00BB13C1"/>
    <w:rsid w:val="00BB1E11"/>
    <w:rsid w:val="00BB3520"/>
    <w:rsid w:val="00BB6CF8"/>
    <w:rsid w:val="00BB71B5"/>
    <w:rsid w:val="00BC2340"/>
    <w:rsid w:val="00BC3860"/>
    <w:rsid w:val="00BC439B"/>
    <w:rsid w:val="00BC499C"/>
    <w:rsid w:val="00BC6BBB"/>
    <w:rsid w:val="00BD04C2"/>
    <w:rsid w:val="00BD07F4"/>
    <w:rsid w:val="00BD0AA2"/>
    <w:rsid w:val="00BD220E"/>
    <w:rsid w:val="00BD32F8"/>
    <w:rsid w:val="00BD39F2"/>
    <w:rsid w:val="00BD40BB"/>
    <w:rsid w:val="00BD46A3"/>
    <w:rsid w:val="00BD5CDD"/>
    <w:rsid w:val="00BD71B7"/>
    <w:rsid w:val="00BD7681"/>
    <w:rsid w:val="00BD76F8"/>
    <w:rsid w:val="00BE13F3"/>
    <w:rsid w:val="00BE24C2"/>
    <w:rsid w:val="00BE2DDC"/>
    <w:rsid w:val="00BE371C"/>
    <w:rsid w:val="00BE5807"/>
    <w:rsid w:val="00BE791B"/>
    <w:rsid w:val="00BF08C7"/>
    <w:rsid w:val="00BF0937"/>
    <w:rsid w:val="00BF12BF"/>
    <w:rsid w:val="00BF1F28"/>
    <w:rsid w:val="00BF3D98"/>
    <w:rsid w:val="00BF4EA2"/>
    <w:rsid w:val="00BF5D3D"/>
    <w:rsid w:val="00BF65F2"/>
    <w:rsid w:val="00BF65FA"/>
    <w:rsid w:val="00BF6E36"/>
    <w:rsid w:val="00BF700F"/>
    <w:rsid w:val="00C015AF"/>
    <w:rsid w:val="00C023DB"/>
    <w:rsid w:val="00C037FE"/>
    <w:rsid w:val="00C04A8F"/>
    <w:rsid w:val="00C04FFF"/>
    <w:rsid w:val="00C0520F"/>
    <w:rsid w:val="00C07034"/>
    <w:rsid w:val="00C072FD"/>
    <w:rsid w:val="00C11669"/>
    <w:rsid w:val="00C12799"/>
    <w:rsid w:val="00C13BCB"/>
    <w:rsid w:val="00C14704"/>
    <w:rsid w:val="00C1475C"/>
    <w:rsid w:val="00C16C6F"/>
    <w:rsid w:val="00C17ED4"/>
    <w:rsid w:val="00C21373"/>
    <w:rsid w:val="00C2179B"/>
    <w:rsid w:val="00C2192A"/>
    <w:rsid w:val="00C22AE0"/>
    <w:rsid w:val="00C256D7"/>
    <w:rsid w:val="00C26528"/>
    <w:rsid w:val="00C269A8"/>
    <w:rsid w:val="00C277FE"/>
    <w:rsid w:val="00C31223"/>
    <w:rsid w:val="00C3265D"/>
    <w:rsid w:val="00C33DAE"/>
    <w:rsid w:val="00C35ACC"/>
    <w:rsid w:val="00C3632A"/>
    <w:rsid w:val="00C42728"/>
    <w:rsid w:val="00C44B7F"/>
    <w:rsid w:val="00C51A13"/>
    <w:rsid w:val="00C55E99"/>
    <w:rsid w:val="00C5678D"/>
    <w:rsid w:val="00C575A9"/>
    <w:rsid w:val="00C57619"/>
    <w:rsid w:val="00C57B6E"/>
    <w:rsid w:val="00C60A49"/>
    <w:rsid w:val="00C6230A"/>
    <w:rsid w:val="00C6332E"/>
    <w:rsid w:val="00C633C7"/>
    <w:rsid w:val="00C660CD"/>
    <w:rsid w:val="00C661D4"/>
    <w:rsid w:val="00C66D9D"/>
    <w:rsid w:val="00C706DA"/>
    <w:rsid w:val="00C70879"/>
    <w:rsid w:val="00C71281"/>
    <w:rsid w:val="00C7128C"/>
    <w:rsid w:val="00C71A44"/>
    <w:rsid w:val="00C737BA"/>
    <w:rsid w:val="00C74079"/>
    <w:rsid w:val="00C74950"/>
    <w:rsid w:val="00C766C4"/>
    <w:rsid w:val="00C76E1F"/>
    <w:rsid w:val="00C77441"/>
    <w:rsid w:val="00C80101"/>
    <w:rsid w:val="00C814FE"/>
    <w:rsid w:val="00C82FF5"/>
    <w:rsid w:val="00C83E21"/>
    <w:rsid w:val="00C87118"/>
    <w:rsid w:val="00C9121E"/>
    <w:rsid w:val="00C91A68"/>
    <w:rsid w:val="00C93ABE"/>
    <w:rsid w:val="00C93DCE"/>
    <w:rsid w:val="00C947A4"/>
    <w:rsid w:val="00C957E3"/>
    <w:rsid w:val="00C96C10"/>
    <w:rsid w:val="00C97120"/>
    <w:rsid w:val="00C97FAD"/>
    <w:rsid w:val="00CA0094"/>
    <w:rsid w:val="00CA03A4"/>
    <w:rsid w:val="00CA15C5"/>
    <w:rsid w:val="00CA1892"/>
    <w:rsid w:val="00CA30CD"/>
    <w:rsid w:val="00CA650A"/>
    <w:rsid w:val="00CA696E"/>
    <w:rsid w:val="00CA6BB5"/>
    <w:rsid w:val="00CB0B13"/>
    <w:rsid w:val="00CB1C2D"/>
    <w:rsid w:val="00CB4857"/>
    <w:rsid w:val="00CC093B"/>
    <w:rsid w:val="00CC0B1C"/>
    <w:rsid w:val="00CC108E"/>
    <w:rsid w:val="00CC3FE3"/>
    <w:rsid w:val="00CC4D93"/>
    <w:rsid w:val="00CC570A"/>
    <w:rsid w:val="00CC6AE6"/>
    <w:rsid w:val="00CC7A4C"/>
    <w:rsid w:val="00CD1347"/>
    <w:rsid w:val="00CD1C5A"/>
    <w:rsid w:val="00CD1C78"/>
    <w:rsid w:val="00CD309C"/>
    <w:rsid w:val="00CD389F"/>
    <w:rsid w:val="00CD3B77"/>
    <w:rsid w:val="00CD3FB1"/>
    <w:rsid w:val="00CD4079"/>
    <w:rsid w:val="00CD5915"/>
    <w:rsid w:val="00CD5F38"/>
    <w:rsid w:val="00CD6189"/>
    <w:rsid w:val="00CD771E"/>
    <w:rsid w:val="00CD7809"/>
    <w:rsid w:val="00CE0FD1"/>
    <w:rsid w:val="00CE1346"/>
    <w:rsid w:val="00CE24AD"/>
    <w:rsid w:val="00CE2ACD"/>
    <w:rsid w:val="00CE2C89"/>
    <w:rsid w:val="00CE316D"/>
    <w:rsid w:val="00CE3A62"/>
    <w:rsid w:val="00CE4A32"/>
    <w:rsid w:val="00CE4DBC"/>
    <w:rsid w:val="00CE68AA"/>
    <w:rsid w:val="00CE715F"/>
    <w:rsid w:val="00CE7EC0"/>
    <w:rsid w:val="00CF0FF9"/>
    <w:rsid w:val="00CF157E"/>
    <w:rsid w:val="00CF25A5"/>
    <w:rsid w:val="00CF351A"/>
    <w:rsid w:val="00CF3755"/>
    <w:rsid w:val="00CF39CB"/>
    <w:rsid w:val="00CF4603"/>
    <w:rsid w:val="00CF5F48"/>
    <w:rsid w:val="00CF63F9"/>
    <w:rsid w:val="00CF6564"/>
    <w:rsid w:val="00CF6628"/>
    <w:rsid w:val="00CF675D"/>
    <w:rsid w:val="00CF7B20"/>
    <w:rsid w:val="00D006FC"/>
    <w:rsid w:val="00D00B34"/>
    <w:rsid w:val="00D011D8"/>
    <w:rsid w:val="00D013C5"/>
    <w:rsid w:val="00D014EB"/>
    <w:rsid w:val="00D015D7"/>
    <w:rsid w:val="00D02E91"/>
    <w:rsid w:val="00D0331C"/>
    <w:rsid w:val="00D03369"/>
    <w:rsid w:val="00D0384D"/>
    <w:rsid w:val="00D03FD3"/>
    <w:rsid w:val="00D05BCA"/>
    <w:rsid w:val="00D0611C"/>
    <w:rsid w:val="00D0668F"/>
    <w:rsid w:val="00D0684D"/>
    <w:rsid w:val="00D06974"/>
    <w:rsid w:val="00D06A31"/>
    <w:rsid w:val="00D074BD"/>
    <w:rsid w:val="00D07816"/>
    <w:rsid w:val="00D10A9F"/>
    <w:rsid w:val="00D11158"/>
    <w:rsid w:val="00D11A07"/>
    <w:rsid w:val="00D11C6E"/>
    <w:rsid w:val="00D12020"/>
    <w:rsid w:val="00D12335"/>
    <w:rsid w:val="00D12A54"/>
    <w:rsid w:val="00D13430"/>
    <w:rsid w:val="00D14336"/>
    <w:rsid w:val="00D14E88"/>
    <w:rsid w:val="00D1501A"/>
    <w:rsid w:val="00D16006"/>
    <w:rsid w:val="00D20F12"/>
    <w:rsid w:val="00D223E9"/>
    <w:rsid w:val="00D2387C"/>
    <w:rsid w:val="00D2433E"/>
    <w:rsid w:val="00D24EA3"/>
    <w:rsid w:val="00D24FE2"/>
    <w:rsid w:val="00D273E3"/>
    <w:rsid w:val="00D27ABD"/>
    <w:rsid w:val="00D27F26"/>
    <w:rsid w:val="00D3074A"/>
    <w:rsid w:val="00D30F8F"/>
    <w:rsid w:val="00D32401"/>
    <w:rsid w:val="00D328FA"/>
    <w:rsid w:val="00D33375"/>
    <w:rsid w:val="00D335B8"/>
    <w:rsid w:val="00D33942"/>
    <w:rsid w:val="00D33C9A"/>
    <w:rsid w:val="00D34271"/>
    <w:rsid w:val="00D344FB"/>
    <w:rsid w:val="00D34C3A"/>
    <w:rsid w:val="00D35DEC"/>
    <w:rsid w:val="00D40494"/>
    <w:rsid w:val="00D40706"/>
    <w:rsid w:val="00D411C3"/>
    <w:rsid w:val="00D41A4C"/>
    <w:rsid w:val="00D41D14"/>
    <w:rsid w:val="00D41F1F"/>
    <w:rsid w:val="00D4229D"/>
    <w:rsid w:val="00D423D8"/>
    <w:rsid w:val="00D4309F"/>
    <w:rsid w:val="00D44877"/>
    <w:rsid w:val="00D453F8"/>
    <w:rsid w:val="00D45838"/>
    <w:rsid w:val="00D45B6C"/>
    <w:rsid w:val="00D45F08"/>
    <w:rsid w:val="00D473B3"/>
    <w:rsid w:val="00D47E5A"/>
    <w:rsid w:val="00D503B1"/>
    <w:rsid w:val="00D50859"/>
    <w:rsid w:val="00D50A1B"/>
    <w:rsid w:val="00D5375B"/>
    <w:rsid w:val="00D54D02"/>
    <w:rsid w:val="00D567E4"/>
    <w:rsid w:val="00D57954"/>
    <w:rsid w:val="00D606B1"/>
    <w:rsid w:val="00D61734"/>
    <w:rsid w:val="00D62261"/>
    <w:rsid w:val="00D63396"/>
    <w:rsid w:val="00D6616A"/>
    <w:rsid w:val="00D665D9"/>
    <w:rsid w:val="00D7002F"/>
    <w:rsid w:val="00D71735"/>
    <w:rsid w:val="00D7199A"/>
    <w:rsid w:val="00D7254F"/>
    <w:rsid w:val="00D7466F"/>
    <w:rsid w:val="00D74AEC"/>
    <w:rsid w:val="00D74D7C"/>
    <w:rsid w:val="00D75845"/>
    <w:rsid w:val="00D75AB2"/>
    <w:rsid w:val="00D77489"/>
    <w:rsid w:val="00D81778"/>
    <w:rsid w:val="00D831E4"/>
    <w:rsid w:val="00D8504E"/>
    <w:rsid w:val="00D857BD"/>
    <w:rsid w:val="00D86CB1"/>
    <w:rsid w:val="00D90788"/>
    <w:rsid w:val="00D91407"/>
    <w:rsid w:val="00D94042"/>
    <w:rsid w:val="00D9460A"/>
    <w:rsid w:val="00D96141"/>
    <w:rsid w:val="00D970D1"/>
    <w:rsid w:val="00D97B6A"/>
    <w:rsid w:val="00DA1200"/>
    <w:rsid w:val="00DA3C77"/>
    <w:rsid w:val="00DA448F"/>
    <w:rsid w:val="00DA4DEC"/>
    <w:rsid w:val="00DA5995"/>
    <w:rsid w:val="00DA6BDB"/>
    <w:rsid w:val="00DA717D"/>
    <w:rsid w:val="00DA71B8"/>
    <w:rsid w:val="00DA721C"/>
    <w:rsid w:val="00DA786D"/>
    <w:rsid w:val="00DA7D14"/>
    <w:rsid w:val="00DB15AE"/>
    <w:rsid w:val="00DB44AD"/>
    <w:rsid w:val="00DB4C4F"/>
    <w:rsid w:val="00DB4EBB"/>
    <w:rsid w:val="00DB5C2B"/>
    <w:rsid w:val="00DB7B5A"/>
    <w:rsid w:val="00DC00D9"/>
    <w:rsid w:val="00DC0108"/>
    <w:rsid w:val="00DC07B9"/>
    <w:rsid w:val="00DC19EC"/>
    <w:rsid w:val="00DC1A46"/>
    <w:rsid w:val="00DC3B80"/>
    <w:rsid w:val="00DC6E81"/>
    <w:rsid w:val="00DC723E"/>
    <w:rsid w:val="00DC7917"/>
    <w:rsid w:val="00DD0451"/>
    <w:rsid w:val="00DD1B3B"/>
    <w:rsid w:val="00DD2221"/>
    <w:rsid w:val="00DD364B"/>
    <w:rsid w:val="00DD4B33"/>
    <w:rsid w:val="00DD5EEE"/>
    <w:rsid w:val="00DE0083"/>
    <w:rsid w:val="00DE0DC0"/>
    <w:rsid w:val="00DE1BCC"/>
    <w:rsid w:val="00DE20CF"/>
    <w:rsid w:val="00DE2B28"/>
    <w:rsid w:val="00DE2C46"/>
    <w:rsid w:val="00DE3F7D"/>
    <w:rsid w:val="00DE4DB6"/>
    <w:rsid w:val="00DE51DB"/>
    <w:rsid w:val="00DE5932"/>
    <w:rsid w:val="00DE6AA1"/>
    <w:rsid w:val="00DE6BCE"/>
    <w:rsid w:val="00DE713D"/>
    <w:rsid w:val="00DF0CB6"/>
    <w:rsid w:val="00DF1D49"/>
    <w:rsid w:val="00DF2111"/>
    <w:rsid w:val="00DF22A3"/>
    <w:rsid w:val="00DF2450"/>
    <w:rsid w:val="00DF30AB"/>
    <w:rsid w:val="00DF4B40"/>
    <w:rsid w:val="00DF5077"/>
    <w:rsid w:val="00DF5F3D"/>
    <w:rsid w:val="00E01A9B"/>
    <w:rsid w:val="00E03460"/>
    <w:rsid w:val="00E034AF"/>
    <w:rsid w:val="00E03DBA"/>
    <w:rsid w:val="00E047C7"/>
    <w:rsid w:val="00E063B7"/>
    <w:rsid w:val="00E078CA"/>
    <w:rsid w:val="00E07C67"/>
    <w:rsid w:val="00E123C5"/>
    <w:rsid w:val="00E1305C"/>
    <w:rsid w:val="00E14A78"/>
    <w:rsid w:val="00E14BD8"/>
    <w:rsid w:val="00E15019"/>
    <w:rsid w:val="00E1575A"/>
    <w:rsid w:val="00E15CDC"/>
    <w:rsid w:val="00E16787"/>
    <w:rsid w:val="00E17723"/>
    <w:rsid w:val="00E214FF"/>
    <w:rsid w:val="00E21BB5"/>
    <w:rsid w:val="00E22FB0"/>
    <w:rsid w:val="00E25BA6"/>
    <w:rsid w:val="00E2682F"/>
    <w:rsid w:val="00E27331"/>
    <w:rsid w:val="00E274AA"/>
    <w:rsid w:val="00E274B0"/>
    <w:rsid w:val="00E27D54"/>
    <w:rsid w:val="00E3182C"/>
    <w:rsid w:val="00E31D17"/>
    <w:rsid w:val="00E31EDE"/>
    <w:rsid w:val="00E330DF"/>
    <w:rsid w:val="00E3375D"/>
    <w:rsid w:val="00E33BE2"/>
    <w:rsid w:val="00E3487C"/>
    <w:rsid w:val="00E348E8"/>
    <w:rsid w:val="00E354EF"/>
    <w:rsid w:val="00E35AE8"/>
    <w:rsid w:val="00E366DB"/>
    <w:rsid w:val="00E37399"/>
    <w:rsid w:val="00E42A98"/>
    <w:rsid w:val="00E42C8D"/>
    <w:rsid w:val="00E44C58"/>
    <w:rsid w:val="00E44CC4"/>
    <w:rsid w:val="00E45905"/>
    <w:rsid w:val="00E45D66"/>
    <w:rsid w:val="00E46799"/>
    <w:rsid w:val="00E4712D"/>
    <w:rsid w:val="00E50568"/>
    <w:rsid w:val="00E505F1"/>
    <w:rsid w:val="00E5083B"/>
    <w:rsid w:val="00E51C8E"/>
    <w:rsid w:val="00E51DE1"/>
    <w:rsid w:val="00E51EDE"/>
    <w:rsid w:val="00E52F8B"/>
    <w:rsid w:val="00E532F0"/>
    <w:rsid w:val="00E53493"/>
    <w:rsid w:val="00E55430"/>
    <w:rsid w:val="00E55708"/>
    <w:rsid w:val="00E55EE6"/>
    <w:rsid w:val="00E55FBF"/>
    <w:rsid w:val="00E56A9C"/>
    <w:rsid w:val="00E57CE9"/>
    <w:rsid w:val="00E6055B"/>
    <w:rsid w:val="00E61771"/>
    <w:rsid w:val="00E624DC"/>
    <w:rsid w:val="00E63080"/>
    <w:rsid w:val="00E6351A"/>
    <w:rsid w:val="00E6373A"/>
    <w:rsid w:val="00E6625C"/>
    <w:rsid w:val="00E66692"/>
    <w:rsid w:val="00E669F6"/>
    <w:rsid w:val="00E66BD2"/>
    <w:rsid w:val="00E67028"/>
    <w:rsid w:val="00E70201"/>
    <w:rsid w:val="00E7026F"/>
    <w:rsid w:val="00E7051F"/>
    <w:rsid w:val="00E70FC7"/>
    <w:rsid w:val="00E71F5F"/>
    <w:rsid w:val="00E72DB4"/>
    <w:rsid w:val="00E73861"/>
    <w:rsid w:val="00E73EC3"/>
    <w:rsid w:val="00E74E8D"/>
    <w:rsid w:val="00E75A84"/>
    <w:rsid w:val="00E75C54"/>
    <w:rsid w:val="00E76BDE"/>
    <w:rsid w:val="00E76D4C"/>
    <w:rsid w:val="00E77207"/>
    <w:rsid w:val="00E82EA2"/>
    <w:rsid w:val="00E830DD"/>
    <w:rsid w:val="00E8402D"/>
    <w:rsid w:val="00E8664A"/>
    <w:rsid w:val="00E87055"/>
    <w:rsid w:val="00E91B4D"/>
    <w:rsid w:val="00E925E2"/>
    <w:rsid w:val="00E9282E"/>
    <w:rsid w:val="00E92CB1"/>
    <w:rsid w:val="00E9350A"/>
    <w:rsid w:val="00E935D5"/>
    <w:rsid w:val="00E95BA2"/>
    <w:rsid w:val="00E95C2E"/>
    <w:rsid w:val="00E967B1"/>
    <w:rsid w:val="00E96909"/>
    <w:rsid w:val="00E96E49"/>
    <w:rsid w:val="00E97193"/>
    <w:rsid w:val="00E9760A"/>
    <w:rsid w:val="00EA028C"/>
    <w:rsid w:val="00EA0409"/>
    <w:rsid w:val="00EA096B"/>
    <w:rsid w:val="00EA1186"/>
    <w:rsid w:val="00EA11A1"/>
    <w:rsid w:val="00EA1D2F"/>
    <w:rsid w:val="00EA48D5"/>
    <w:rsid w:val="00EA4FFD"/>
    <w:rsid w:val="00EA5397"/>
    <w:rsid w:val="00EA5446"/>
    <w:rsid w:val="00EA57D7"/>
    <w:rsid w:val="00EB1291"/>
    <w:rsid w:val="00EB2369"/>
    <w:rsid w:val="00EB2868"/>
    <w:rsid w:val="00EB305D"/>
    <w:rsid w:val="00EB437D"/>
    <w:rsid w:val="00EB443B"/>
    <w:rsid w:val="00EB49F7"/>
    <w:rsid w:val="00EB6A82"/>
    <w:rsid w:val="00EB730C"/>
    <w:rsid w:val="00EC018A"/>
    <w:rsid w:val="00EC0289"/>
    <w:rsid w:val="00EC046F"/>
    <w:rsid w:val="00EC0AC5"/>
    <w:rsid w:val="00EC2572"/>
    <w:rsid w:val="00EC31FF"/>
    <w:rsid w:val="00EC6147"/>
    <w:rsid w:val="00EC63A2"/>
    <w:rsid w:val="00EC6555"/>
    <w:rsid w:val="00ED0312"/>
    <w:rsid w:val="00ED1504"/>
    <w:rsid w:val="00ED166D"/>
    <w:rsid w:val="00ED2949"/>
    <w:rsid w:val="00ED2C66"/>
    <w:rsid w:val="00ED3242"/>
    <w:rsid w:val="00ED3359"/>
    <w:rsid w:val="00ED36CF"/>
    <w:rsid w:val="00ED3C29"/>
    <w:rsid w:val="00ED3D64"/>
    <w:rsid w:val="00ED454C"/>
    <w:rsid w:val="00ED5039"/>
    <w:rsid w:val="00ED6F3B"/>
    <w:rsid w:val="00ED7008"/>
    <w:rsid w:val="00EE16BE"/>
    <w:rsid w:val="00EE2982"/>
    <w:rsid w:val="00EE3547"/>
    <w:rsid w:val="00EE4BE8"/>
    <w:rsid w:val="00EE530A"/>
    <w:rsid w:val="00EE5860"/>
    <w:rsid w:val="00EE69A1"/>
    <w:rsid w:val="00EE6B5F"/>
    <w:rsid w:val="00EE6B69"/>
    <w:rsid w:val="00EE7C52"/>
    <w:rsid w:val="00EE7EB7"/>
    <w:rsid w:val="00EF1A8A"/>
    <w:rsid w:val="00EF2B3B"/>
    <w:rsid w:val="00EF2E0C"/>
    <w:rsid w:val="00EF4321"/>
    <w:rsid w:val="00EF4B94"/>
    <w:rsid w:val="00EF698B"/>
    <w:rsid w:val="00EF6F83"/>
    <w:rsid w:val="00EF6FE4"/>
    <w:rsid w:val="00F0065D"/>
    <w:rsid w:val="00F00756"/>
    <w:rsid w:val="00F00E58"/>
    <w:rsid w:val="00F011D7"/>
    <w:rsid w:val="00F01769"/>
    <w:rsid w:val="00F03D95"/>
    <w:rsid w:val="00F06E88"/>
    <w:rsid w:val="00F0775D"/>
    <w:rsid w:val="00F07A84"/>
    <w:rsid w:val="00F07D05"/>
    <w:rsid w:val="00F102FB"/>
    <w:rsid w:val="00F12759"/>
    <w:rsid w:val="00F12A6F"/>
    <w:rsid w:val="00F12D5C"/>
    <w:rsid w:val="00F12E44"/>
    <w:rsid w:val="00F12E6E"/>
    <w:rsid w:val="00F150B3"/>
    <w:rsid w:val="00F1608F"/>
    <w:rsid w:val="00F171C4"/>
    <w:rsid w:val="00F17B44"/>
    <w:rsid w:val="00F20636"/>
    <w:rsid w:val="00F21685"/>
    <w:rsid w:val="00F222B9"/>
    <w:rsid w:val="00F242E4"/>
    <w:rsid w:val="00F252BE"/>
    <w:rsid w:val="00F25573"/>
    <w:rsid w:val="00F25967"/>
    <w:rsid w:val="00F261B0"/>
    <w:rsid w:val="00F27382"/>
    <w:rsid w:val="00F27DFB"/>
    <w:rsid w:val="00F308D8"/>
    <w:rsid w:val="00F322B7"/>
    <w:rsid w:val="00F32F3B"/>
    <w:rsid w:val="00F3454C"/>
    <w:rsid w:val="00F354DD"/>
    <w:rsid w:val="00F36D67"/>
    <w:rsid w:val="00F40FA8"/>
    <w:rsid w:val="00F42C5C"/>
    <w:rsid w:val="00F43701"/>
    <w:rsid w:val="00F43A78"/>
    <w:rsid w:val="00F4416A"/>
    <w:rsid w:val="00F4451B"/>
    <w:rsid w:val="00F44531"/>
    <w:rsid w:val="00F45CD8"/>
    <w:rsid w:val="00F463E8"/>
    <w:rsid w:val="00F464E9"/>
    <w:rsid w:val="00F46CDB"/>
    <w:rsid w:val="00F477EF"/>
    <w:rsid w:val="00F478BB"/>
    <w:rsid w:val="00F502D3"/>
    <w:rsid w:val="00F50B5B"/>
    <w:rsid w:val="00F53B5A"/>
    <w:rsid w:val="00F53D06"/>
    <w:rsid w:val="00F55034"/>
    <w:rsid w:val="00F55778"/>
    <w:rsid w:val="00F55B09"/>
    <w:rsid w:val="00F56BEC"/>
    <w:rsid w:val="00F5789C"/>
    <w:rsid w:val="00F57F62"/>
    <w:rsid w:val="00F609C6"/>
    <w:rsid w:val="00F61350"/>
    <w:rsid w:val="00F6165A"/>
    <w:rsid w:val="00F616EC"/>
    <w:rsid w:val="00F61F57"/>
    <w:rsid w:val="00F63698"/>
    <w:rsid w:val="00F64941"/>
    <w:rsid w:val="00F651B3"/>
    <w:rsid w:val="00F65E4C"/>
    <w:rsid w:val="00F6659A"/>
    <w:rsid w:val="00F665C1"/>
    <w:rsid w:val="00F706AD"/>
    <w:rsid w:val="00F70837"/>
    <w:rsid w:val="00F70CCD"/>
    <w:rsid w:val="00F716C5"/>
    <w:rsid w:val="00F749E5"/>
    <w:rsid w:val="00F751C6"/>
    <w:rsid w:val="00F75C41"/>
    <w:rsid w:val="00F7665E"/>
    <w:rsid w:val="00F768F0"/>
    <w:rsid w:val="00F77D07"/>
    <w:rsid w:val="00F81491"/>
    <w:rsid w:val="00F815B8"/>
    <w:rsid w:val="00F81CCA"/>
    <w:rsid w:val="00F82ADC"/>
    <w:rsid w:val="00F82FFB"/>
    <w:rsid w:val="00F83789"/>
    <w:rsid w:val="00F83975"/>
    <w:rsid w:val="00F842F6"/>
    <w:rsid w:val="00F84A11"/>
    <w:rsid w:val="00F90273"/>
    <w:rsid w:val="00F91453"/>
    <w:rsid w:val="00F92E44"/>
    <w:rsid w:val="00F94E3F"/>
    <w:rsid w:val="00F96578"/>
    <w:rsid w:val="00F979BD"/>
    <w:rsid w:val="00F97E83"/>
    <w:rsid w:val="00FA0498"/>
    <w:rsid w:val="00FA3273"/>
    <w:rsid w:val="00FA374B"/>
    <w:rsid w:val="00FA3830"/>
    <w:rsid w:val="00FA3B4E"/>
    <w:rsid w:val="00FA4312"/>
    <w:rsid w:val="00FA66CB"/>
    <w:rsid w:val="00FB0824"/>
    <w:rsid w:val="00FB0BAA"/>
    <w:rsid w:val="00FB130D"/>
    <w:rsid w:val="00FB1B8A"/>
    <w:rsid w:val="00FB2F0A"/>
    <w:rsid w:val="00FB34DC"/>
    <w:rsid w:val="00FB3EFF"/>
    <w:rsid w:val="00FB422C"/>
    <w:rsid w:val="00FB4A81"/>
    <w:rsid w:val="00FB55C3"/>
    <w:rsid w:val="00FC0923"/>
    <w:rsid w:val="00FC0AF4"/>
    <w:rsid w:val="00FC392F"/>
    <w:rsid w:val="00FC3F98"/>
    <w:rsid w:val="00FC4FA3"/>
    <w:rsid w:val="00FC61E2"/>
    <w:rsid w:val="00FC641B"/>
    <w:rsid w:val="00FC6E9F"/>
    <w:rsid w:val="00FC7C9B"/>
    <w:rsid w:val="00FD0909"/>
    <w:rsid w:val="00FD13CD"/>
    <w:rsid w:val="00FD197A"/>
    <w:rsid w:val="00FD1B9C"/>
    <w:rsid w:val="00FD2257"/>
    <w:rsid w:val="00FD24F0"/>
    <w:rsid w:val="00FD2588"/>
    <w:rsid w:val="00FD4531"/>
    <w:rsid w:val="00FD782D"/>
    <w:rsid w:val="00FE034B"/>
    <w:rsid w:val="00FE0A22"/>
    <w:rsid w:val="00FE1047"/>
    <w:rsid w:val="00FE1752"/>
    <w:rsid w:val="00FE2C9C"/>
    <w:rsid w:val="00FE2DE6"/>
    <w:rsid w:val="00FE34D7"/>
    <w:rsid w:val="00FE4E2A"/>
    <w:rsid w:val="00FE687C"/>
    <w:rsid w:val="00FE6959"/>
    <w:rsid w:val="00FE79BC"/>
    <w:rsid w:val="00FF12B4"/>
    <w:rsid w:val="00FF198A"/>
    <w:rsid w:val="00FF19FE"/>
    <w:rsid w:val="00FF29B5"/>
    <w:rsid w:val="00FF5644"/>
    <w:rsid w:val="00FF6015"/>
    <w:rsid w:val="00FF69DD"/>
    <w:rsid w:val="00FF70EE"/>
    <w:rsid w:val="00FF7A11"/>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9D93F05"/>
  <w15:docId w15:val="{87E07AE8-C52D-46E4-A5B9-1A464FD9B8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Verdana"/>
        <w:color w:val="221E1F"/>
        <w:lang w:val="da-DK" w:eastAsia="en-US" w:bidi="ar-SA"/>
      </w:rPr>
    </w:rPrDefault>
    <w:pPrDefault>
      <w:pPr>
        <w:spacing w:before="120" w:after="120" w:line="26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1" w:unhideWhenUsed="1" w:qFormat="1"/>
    <w:lsdException w:name="heading 8" w:semiHidden="1" w:uiPriority="9" w:unhideWhenUsed="1" w:qFormat="1"/>
    <w:lsdException w:name="heading 9" w:semiHidden="1" w:uiPriority="3"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21" w:unhideWhenUsed="1"/>
    <w:lsdException w:name="annotation text" w:semiHidden="1"/>
    <w:lsdException w:name="header" w:semiHidden="1" w:unhideWhenUsed="1"/>
    <w:lsdException w:name="footer" w:semiHidden="1" w:unhideWhenUsed="1"/>
    <w:lsdException w:name="index heading" w:semiHidden="1"/>
    <w:lsdException w:name="caption" w:semiHidden="1" w:uiPriority="4" w:unhideWhenUsed="1"/>
    <w:lsdException w:name="table of figures" w:semiHidden="1" w:unhideWhenUsed="1"/>
    <w:lsdException w:name="envelope address" w:semiHidden="1"/>
    <w:lsdException w:name="envelope return" w:semiHidden="1"/>
    <w:lsdException w:name="footnote reference" w:semiHidden="1" w:uiPriority="21"/>
    <w:lsdException w:name="annotation reference" w:semiHidden="1"/>
    <w:lsdException w:name="line number" w:semiHidden="1"/>
    <w:lsdException w:name="page number" w:semiHidden="1" w:uiPriority="9" w:unhideWhenUsed="1"/>
    <w:lsdException w:name="endnote reference" w:semiHidden="1" w:uiPriority="21" w:unhideWhenUsed="1"/>
    <w:lsdException w:name="endnote text" w:semiHidden="1" w:uiPriority="21" w:unhideWhenUsed="1"/>
    <w:lsdException w:name="table of authorities" w:semiHidden="1" w:uiPriority="10" w:unhideWhenUsed="1"/>
    <w:lsdException w:name="macro" w:semiHidden="1"/>
    <w:lsdException w:name="toa heading" w:semiHidden="1" w:uiPriority="39" w:unhideWhenUsed="1"/>
    <w:lsdException w:name="List" w:semiHidden="1"/>
    <w:lsdException w:name="List Bullet" w:semiHidden="1" w:uiPriority="2" w:unhideWhenUsed="1" w:qFormat="1"/>
    <w:lsdException w:name="List Number" w:uiPriority="2" w:qFormat="1"/>
    <w:lsdException w:name="List 2" w:semiHidden="1"/>
    <w:lsdException w:name="List 3" w:semiHidden="1"/>
    <w:lsdException w:name="List 4" w:semiHidden="1"/>
    <w:lsdException w:name="List 5" w:semiHidden="1"/>
    <w:lsdException w:name="List Bullet 2" w:semiHidden="1" w:uiPriority="5"/>
    <w:lsdException w:name="List Bullet 3" w:semiHidden="1" w:uiPriority="5"/>
    <w:lsdException w:name="List Bullet 4" w:semiHidden="1"/>
    <w:lsdException w:name="List Bullet 5" w:semiHidden="1" w:uiPriority="5"/>
    <w:lsdException w:name="List Number 2" w:semiHidden="1" w:uiPriority="2"/>
    <w:lsdException w:name="List Number 3" w:semiHidden="1" w:uiPriority="2"/>
    <w:lsdException w:name="List Number 4" w:semiHidden="1" w:uiPriority="5"/>
    <w:lsdException w:name="List Number 5" w:semiHidden="1" w:uiPriority="5"/>
    <w:lsdException w:name="Title" w:uiPriority="6"/>
    <w:lsdException w:name="Closing" w:semiHidden="1"/>
    <w:lsdException w:name="Signature" w:semiHidden="1" w:unhideWhenUsed="1"/>
    <w:lsdException w:name="Default Paragraph Font" w:semiHidden="1" w:uiPriority="1" w:unhideWhenUsed="1"/>
    <w:lsdException w:name="Body Text" w:semiHidden="1" w:uiPriority="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6"/>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unhideWhenUsed="1"/>
    <w:lsdException w:name="Hyperlink" w:semiHidden="1"/>
    <w:lsdException w:name="FollowedHyperlink" w:semiHidden="1" w:uiPriority="21"/>
    <w:lsdException w:name="Strong" w:uiPriority="19"/>
    <w:lsdException w:name="Emphasis" w:semiHidden="1" w:uiPriority="19"/>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1" w:qFormat="1"/>
    <w:lsdException w:name="Quote" w:uiPriority="19"/>
    <w:lsdException w:name="Intense Quote" w:uiPriority="1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19"/>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1B05D7"/>
    <w:rPr>
      <w:lang w:val="en-AU"/>
    </w:rPr>
  </w:style>
  <w:style w:type="paragraph" w:styleId="Heading1">
    <w:name w:val="heading 1"/>
    <w:basedOn w:val="Normal"/>
    <w:next w:val="BodyText"/>
    <w:link w:val="Heading1Char"/>
    <w:uiPriority w:val="9"/>
    <w:qFormat/>
    <w:rsid w:val="00497B58"/>
    <w:pPr>
      <w:keepNext/>
      <w:keepLines/>
      <w:pageBreakBefore/>
      <w:numPr>
        <w:numId w:val="2"/>
      </w:numPr>
      <w:tabs>
        <w:tab w:val="left" w:pos="907"/>
      </w:tabs>
      <w:suppressAutoHyphens/>
      <w:spacing w:before="0" w:after="240" w:line="240" w:lineRule="auto"/>
      <w:outlineLvl w:val="0"/>
    </w:pPr>
    <w:rPr>
      <w:rFonts w:eastAsiaTheme="majorEastAsia" w:cstheme="majorBidi"/>
      <w:b/>
      <w:bCs/>
      <w:caps/>
      <w:color w:val="71004B"/>
      <w:sz w:val="32"/>
      <w:szCs w:val="28"/>
    </w:rPr>
  </w:style>
  <w:style w:type="paragraph" w:styleId="Heading2">
    <w:name w:val="heading 2"/>
    <w:basedOn w:val="Normal"/>
    <w:next w:val="BodyText"/>
    <w:link w:val="Heading2Char"/>
    <w:uiPriority w:val="9"/>
    <w:qFormat/>
    <w:rsid w:val="006633DE"/>
    <w:pPr>
      <w:keepNext/>
      <w:keepLines/>
      <w:numPr>
        <w:ilvl w:val="1"/>
        <w:numId w:val="2"/>
      </w:numPr>
      <w:tabs>
        <w:tab w:val="left" w:pos="907"/>
      </w:tabs>
      <w:suppressAutoHyphens/>
      <w:spacing w:before="240" w:after="240" w:line="240" w:lineRule="auto"/>
      <w:outlineLvl w:val="1"/>
    </w:pPr>
    <w:rPr>
      <w:rFonts w:eastAsiaTheme="majorEastAsia" w:cstheme="majorBidi"/>
      <w:b/>
      <w:bCs/>
      <w:color w:val="71004B"/>
      <w:sz w:val="28"/>
      <w:szCs w:val="26"/>
    </w:rPr>
  </w:style>
  <w:style w:type="paragraph" w:styleId="Heading3">
    <w:name w:val="heading 3"/>
    <w:basedOn w:val="Normal"/>
    <w:next w:val="BodyText"/>
    <w:link w:val="Heading3Char"/>
    <w:uiPriority w:val="9"/>
    <w:qFormat/>
    <w:rsid w:val="006633DE"/>
    <w:pPr>
      <w:keepNext/>
      <w:keepLines/>
      <w:numPr>
        <w:ilvl w:val="2"/>
        <w:numId w:val="2"/>
      </w:numPr>
      <w:tabs>
        <w:tab w:val="left" w:pos="907"/>
      </w:tabs>
      <w:suppressAutoHyphens/>
      <w:spacing w:before="240" w:after="240" w:line="240" w:lineRule="auto"/>
      <w:outlineLvl w:val="2"/>
    </w:pPr>
    <w:rPr>
      <w:rFonts w:eastAsiaTheme="majorEastAsia" w:cstheme="majorBidi"/>
      <w:b/>
      <w:bCs/>
      <w:color w:val="5F6369"/>
      <w:sz w:val="26"/>
    </w:rPr>
  </w:style>
  <w:style w:type="paragraph" w:styleId="Heading4">
    <w:name w:val="heading 4"/>
    <w:basedOn w:val="Normal"/>
    <w:next w:val="BodyText"/>
    <w:link w:val="Heading4Char"/>
    <w:uiPriority w:val="9"/>
    <w:qFormat/>
    <w:rsid w:val="006633DE"/>
    <w:pPr>
      <w:keepNext/>
      <w:keepLines/>
      <w:numPr>
        <w:ilvl w:val="3"/>
        <w:numId w:val="2"/>
      </w:numPr>
      <w:suppressAutoHyphens/>
      <w:spacing w:before="240" w:after="240" w:line="240" w:lineRule="auto"/>
      <w:outlineLvl w:val="3"/>
    </w:pPr>
    <w:rPr>
      <w:rFonts w:eastAsiaTheme="majorEastAsia" w:cstheme="majorBidi"/>
      <w:b/>
      <w:bCs/>
      <w:iCs/>
      <w:color w:val="71004B"/>
      <w:sz w:val="24"/>
    </w:rPr>
  </w:style>
  <w:style w:type="paragraph" w:styleId="Heading5">
    <w:name w:val="heading 5"/>
    <w:basedOn w:val="Normal"/>
    <w:next w:val="BodyText"/>
    <w:link w:val="Heading5Char"/>
    <w:uiPriority w:val="9"/>
    <w:qFormat/>
    <w:rsid w:val="006633DE"/>
    <w:pPr>
      <w:keepNext/>
      <w:keepLines/>
      <w:numPr>
        <w:ilvl w:val="4"/>
        <w:numId w:val="2"/>
      </w:numPr>
      <w:suppressAutoHyphens/>
      <w:spacing w:before="240" w:after="240" w:line="240" w:lineRule="auto"/>
      <w:outlineLvl w:val="4"/>
    </w:pPr>
    <w:rPr>
      <w:rFonts w:eastAsiaTheme="majorEastAsia" w:cstheme="majorBidi"/>
      <w:b/>
      <w:sz w:val="22"/>
    </w:rPr>
  </w:style>
  <w:style w:type="paragraph" w:styleId="Heading6">
    <w:name w:val="heading 6"/>
    <w:basedOn w:val="Normal"/>
    <w:next w:val="BodyText"/>
    <w:link w:val="Heading6Char"/>
    <w:uiPriority w:val="9"/>
    <w:qFormat/>
    <w:rsid w:val="006633DE"/>
    <w:pPr>
      <w:keepNext/>
      <w:keepLines/>
      <w:numPr>
        <w:ilvl w:val="5"/>
        <w:numId w:val="2"/>
      </w:numPr>
      <w:suppressAutoHyphens/>
      <w:spacing w:before="240" w:after="240" w:line="240" w:lineRule="auto"/>
      <w:outlineLvl w:val="5"/>
    </w:pPr>
    <w:rPr>
      <w:rFonts w:eastAsiaTheme="majorEastAsia" w:cstheme="majorBidi"/>
      <w:b/>
      <w:iCs/>
    </w:rPr>
  </w:style>
  <w:style w:type="paragraph" w:styleId="Heading7">
    <w:name w:val="heading 7"/>
    <w:basedOn w:val="Normal"/>
    <w:next w:val="Normal"/>
    <w:link w:val="Heading7Char"/>
    <w:uiPriority w:val="1"/>
    <w:qFormat/>
    <w:rsid w:val="006633DE"/>
    <w:pPr>
      <w:keepNext/>
      <w:keepLines/>
      <w:spacing w:before="240" w:after="240" w:line="240" w:lineRule="auto"/>
      <w:outlineLvl w:val="6"/>
    </w:pPr>
    <w:rPr>
      <w:rFonts w:eastAsiaTheme="majorEastAsia" w:cstheme="majorBidi"/>
      <w:b/>
      <w:iCs/>
    </w:rPr>
  </w:style>
  <w:style w:type="paragraph" w:styleId="Heading8">
    <w:name w:val="heading 8"/>
    <w:basedOn w:val="Normal"/>
    <w:next w:val="Normal"/>
    <w:link w:val="Heading8Char"/>
    <w:uiPriority w:val="9"/>
    <w:semiHidden/>
    <w:qFormat/>
    <w:rsid w:val="006633DE"/>
    <w:pPr>
      <w:keepNext/>
      <w:keepLines/>
      <w:spacing w:before="240" w:after="240" w:line="240" w:lineRule="auto"/>
      <w:outlineLvl w:val="7"/>
    </w:pPr>
    <w:rPr>
      <w:rFonts w:eastAsiaTheme="majorEastAsia" w:cstheme="majorBidi"/>
      <w:b/>
    </w:rPr>
  </w:style>
  <w:style w:type="paragraph" w:styleId="Heading9">
    <w:name w:val="heading 9"/>
    <w:next w:val="BodyText"/>
    <w:link w:val="Heading9Char"/>
    <w:uiPriority w:val="3"/>
    <w:qFormat/>
    <w:rsid w:val="00D2387C"/>
    <w:pPr>
      <w:keepNext/>
      <w:pageBreakBefore/>
      <w:numPr>
        <w:numId w:val="3"/>
      </w:numPr>
      <w:spacing w:before="600"/>
      <w:ind w:left="0"/>
      <w:outlineLvl w:val="8"/>
    </w:pPr>
    <w:rPr>
      <w:rFonts w:ascii="Arial Bold" w:eastAsiaTheme="majorEastAsia" w:hAnsi="Arial Bold" w:cstheme="majorBidi"/>
      <w:color w:val="5F6369"/>
      <w:sz w:val="36"/>
      <w:szCs w:val="28"/>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6633DE"/>
    <w:pPr>
      <w:pBdr>
        <w:bottom w:val="single" w:sz="4" w:space="1" w:color="5F6369"/>
      </w:pBdr>
      <w:tabs>
        <w:tab w:val="center" w:pos="4819"/>
        <w:tab w:val="right" w:pos="9638"/>
      </w:tabs>
      <w:spacing w:before="0" w:after="0"/>
    </w:pPr>
    <w:rPr>
      <w:rFonts w:cstheme="minorBidi"/>
      <w:b/>
      <w:caps/>
      <w:color w:val="5F6369"/>
    </w:rPr>
  </w:style>
  <w:style w:type="character" w:customStyle="1" w:styleId="HeaderChar">
    <w:name w:val="Header Char"/>
    <w:basedOn w:val="DefaultParagraphFont"/>
    <w:link w:val="Header"/>
    <w:uiPriority w:val="99"/>
    <w:rsid w:val="006633DE"/>
    <w:rPr>
      <w:rFonts w:cstheme="minorBidi"/>
      <w:b/>
      <w:caps/>
      <w:color w:val="5F6369"/>
      <w:lang w:val="en-AU"/>
    </w:rPr>
  </w:style>
  <w:style w:type="paragraph" w:styleId="Footer">
    <w:name w:val="footer"/>
    <w:basedOn w:val="Normal"/>
    <w:link w:val="FooterChar"/>
    <w:uiPriority w:val="99"/>
    <w:rsid w:val="006633DE"/>
    <w:pPr>
      <w:tabs>
        <w:tab w:val="center" w:pos="4819"/>
        <w:tab w:val="right" w:pos="9638"/>
      </w:tabs>
      <w:spacing w:before="0" w:after="0" w:line="240" w:lineRule="atLeast"/>
    </w:pPr>
    <w:rPr>
      <w:color w:val="5F6369" w:themeColor="text2"/>
      <w:sz w:val="18"/>
    </w:rPr>
  </w:style>
  <w:style w:type="character" w:customStyle="1" w:styleId="FooterChar">
    <w:name w:val="Footer Char"/>
    <w:basedOn w:val="DefaultParagraphFont"/>
    <w:link w:val="Footer"/>
    <w:uiPriority w:val="99"/>
    <w:rsid w:val="006633DE"/>
    <w:rPr>
      <w:color w:val="5F6369" w:themeColor="text2"/>
      <w:sz w:val="18"/>
      <w:lang w:val="en-AU"/>
    </w:rPr>
  </w:style>
  <w:style w:type="character" w:customStyle="1" w:styleId="Heading1Char">
    <w:name w:val="Heading 1 Char"/>
    <w:basedOn w:val="DefaultParagraphFont"/>
    <w:link w:val="Heading1"/>
    <w:uiPriority w:val="9"/>
    <w:rsid w:val="00497B58"/>
    <w:rPr>
      <w:rFonts w:eastAsiaTheme="majorEastAsia" w:cstheme="majorBidi"/>
      <w:b/>
      <w:bCs/>
      <w:caps/>
      <w:color w:val="71004B"/>
      <w:sz w:val="32"/>
      <w:szCs w:val="28"/>
      <w:lang w:val="en-AU"/>
    </w:rPr>
  </w:style>
  <w:style w:type="character" w:customStyle="1" w:styleId="Heading2Char">
    <w:name w:val="Heading 2 Char"/>
    <w:basedOn w:val="DefaultParagraphFont"/>
    <w:link w:val="Heading2"/>
    <w:uiPriority w:val="9"/>
    <w:rsid w:val="006633DE"/>
    <w:rPr>
      <w:rFonts w:eastAsiaTheme="majorEastAsia" w:cstheme="majorBidi"/>
      <w:b/>
      <w:bCs/>
      <w:color w:val="71004B"/>
      <w:sz w:val="28"/>
      <w:szCs w:val="26"/>
      <w:lang w:val="en-AU"/>
    </w:rPr>
  </w:style>
  <w:style w:type="character" w:customStyle="1" w:styleId="Heading3Char">
    <w:name w:val="Heading 3 Char"/>
    <w:basedOn w:val="DefaultParagraphFont"/>
    <w:link w:val="Heading3"/>
    <w:uiPriority w:val="9"/>
    <w:rsid w:val="006633DE"/>
    <w:rPr>
      <w:rFonts w:eastAsiaTheme="majorEastAsia" w:cstheme="majorBidi"/>
      <w:b/>
      <w:bCs/>
      <w:color w:val="5F6369"/>
      <w:sz w:val="26"/>
      <w:lang w:val="en-AU"/>
    </w:rPr>
  </w:style>
  <w:style w:type="character" w:customStyle="1" w:styleId="Heading4Char">
    <w:name w:val="Heading 4 Char"/>
    <w:basedOn w:val="DefaultParagraphFont"/>
    <w:link w:val="Heading4"/>
    <w:uiPriority w:val="9"/>
    <w:rsid w:val="006633DE"/>
    <w:rPr>
      <w:rFonts w:eastAsiaTheme="majorEastAsia" w:cstheme="majorBidi"/>
      <w:b/>
      <w:bCs/>
      <w:iCs/>
      <w:color w:val="71004B"/>
      <w:sz w:val="24"/>
      <w:lang w:val="en-AU"/>
    </w:rPr>
  </w:style>
  <w:style w:type="character" w:customStyle="1" w:styleId="Heading5Char">
    <w:name w:val="Heading 5 Char"/>
    <w:basedOn w:val="DefaultParagraphFont"/>
    <w:link w:val="Heading5"/>
    <w:uiPriority w:val="9"/>
    <w:rsid w:val="006633DE"/>
    <w:rPr>
      <w:rFonts w:eastAsiaTheme="majorEastAsia" w:cstheme="majorBidi"/>
      <w:b/>
      <w:sz w:val="22"/>
      <w:lang w:val="en-AU"/>
    </w:rPr>
  </w:style>
  <w:style w:type="character" w:customStyle="1" w:styleId="Heading6Char">
    <w:name w:val="Heading 6 Char"/>
    <w:basedOn w:val="DefaultParagraphFont"/>
    <w:link w:val="Heading6"/>
    <w:uiPriority w:val="9"/>
    <w:rsid w:val="006633DE"/>
    <w:rPr>
      <w:rFonts w:eastAsiaTheme="majorEastAsia" w:cstheme="majorBidi"/>
      <w:b/>
      <w:iCs/>
      <w:lang w:val="en-AU"/>
    </w:rPr>
  </w:style>
  <w:style w:type="character" w:customStyle="1" w:styleId="Heading7Char">
    <w:name w:val="Heading 7 Char"/>
    <w:basedOn w:val="DefaultParagraphFont"/>
    <w:link w:val="Heading7"/>
    <w:uiPriority w:val="1"/>
    <w:semiHidden/>
    <w:rsid w:val="006633DE"/>
    <w:rPr>
      <w:rFonts w:eastAsiaTheme="majorEastAsia" w:cstheme="majorBidi"/>
      <w:b/>
      <w:iCs/>
      <w:lang w:val="en-AU"/>
    </w:rPr>
  </w:style>
  <w:style w:type="character" w:customStyle="1" w:styleId="Heading8Char">
    <w:name w:val="Heading 8 Char"/>
    <w:basedOn w:val="DefaultParagraphFont"/>
    <w:link w:val="Heading8"/>
    <w:uiPriority w:val="9"/>
    <w:semiHidden/>
    <w:rsid w:val="006633DE"/>
    <w:rPr>
      <w:rFonts w:eastAsiaTheme="majorEastAsia" w:cstheme="majorBidi"/>
      <w:b/>
      <w:lang w:val="en-AU"/>
    </w:rPr>
  </w:style>
  <w:style w:type="character" w:customStyle="1" w:styleId="Heading9Char">
    <w:name w:val="Heading 9 Char"/>
    <w:basedOn w:val="DefaultParagraphFont"/>
    <w:link w:val="Heading9"/>
    <w:uiPriority w:val="3"/>
    <w:rsid w:val="00D2387C"/>
    <w:rPr>
      <w:rFonts w:ascii="Arial Bold" w:eastAsiaTheme="majorEastAsia" w:hAnsi="Arial Bold" w:cstheme="majorBidi"/>
      <w:color w:val="5F6369"/>
      <w:sz w:val="36"/>
      <w:szCs w:val="28"/>
      <w:lang w:val="en-AU"/>
    </w:rPr>
  </w:style>
  <w:style w:type="paragraph" w:styleId="Title">
    <w:name w:val="Title"/>
    <w:basedOn w:val="Normal"/>
    <w:next w:val="BodyText"/>
    <w:link w:val="TitleChar"/>
    <w:uiPriority w:val="6"/>
    <w:rsid w:val="001F1812"/>
    <w:pPr>
      <w:keepNext/>
      <w:keepLines/>
      <w:spacing w:before="0" w:after="240" w:line="400" w:lineRule="atLeast"/>
    </w:pPr>
    <w:rPr>
      <w:b/>
      <w:caps/>
      <w:color w:val="71004B"/>
      <w:sz w:val="40"/>
    </w:rPr>
  </w:style>
  <w:style w:type="character" w:customStyle="1" w:styleId="TitleChar">
    <w:name w:val="Title Char"/>
    <w:basedOn w:val="DefaultParagraphFont"/>
    <w:link w:val="Title"/>
    <w:uiPriority w:val="6"/>
    <w:rsid w:val="001F1812"/>
    <w:rPr>
      <w:b/>
      <w:caps/>
      <w:color w:val="71004B"/>
      <w:sz w:val="40"/>
      <w:lang w:val="en-AU"/>
    </w:rPr>
  </w:style>
  <w:style w:type="paragraph" w:styleId="Subtitle">
    <w:name w:val="Subtitle"/>
    <w:basedOn w:val="Normal"/>
    <w:next w:val="BodyText"/>
    <w:link w:val="SubtitleChar"/>
    <w:uiPriority w:val="6"/>
    <w:rsid w:val="006633DE"/>
    <w:pPr>
      <w:keepNext/>
      <w:keepLines/>
      <w:spacing w:before="0" w:after="0" w:line="320" w:lineRule="atLeast"/>
    </w:pPr>
    <w:rPr>
      <w:b/>
      <w:color w:val="5F6369"/>
      <w:sz w:val="28"/>
    </w:rPr>
  </w:style>
  <w:style w:type="character" w:customStyle="1" w:styleId="SubtitleChar">
    <w:name w:val="Subtitle Char"/>
    <w:basedOn w:val="DefaultParagraphFont"/>
    <w:link w:val="Subtitle"/>
    <w:uiPriority w:val="6"/>
    <w:rsid w:val="006633DE"/>
    <w:rPr>
      <w:b/>
      <w:color w:val="5F6369"/>
      <w:sz w:val="28"/>
      <w:lang w:val="en-AU"/>
    </w:rPr>
  </w:style>
  <w:style w:type="character" w:styleId="SubtleEmphasis">
    <w:name w:val="Subtle Emphasis"/>
    <w:basedOn w:val="DefaultParagraphFont"/>
    <w:uiPriority w:val="99"/>
    <w:semiHidden/>
    <w:qFormat/>
    <w:rsid w:val="006633DE"/>
    <w:rPr>
      <w:i/>
      <w:iCs/>
      <w:color w:val="808080" w:themeColor="text1" w:themeTint="7F"/>
      <w:lang w:val="en-AU"/>
    </w:rPr>
  </w:style>
  <w:style w:type="character" w:styleId="IntenseEmphasis">
    <w:name w:val="Intense Emphasis"/>
    <w:basedOn w:val="DefaultParagraphFont"/>
    <w:uiPriority w:val="19"/>
    <w:semiHidden/>
    <w:rsid w:val="006633DE"/>
    <w:rPr>
      <w:b/>
      <w:bCs/>
      <w:i/>
      <w:iCs/>
      <w:color w:val="auto"/>
      <w:lang w:val="en-AU"/>
    </w:rPr>
  </w:style>
  <w:style w:type="character" w:styleId="Strong">
    <w:name w:val="Strong"/>
    <w:basedOn w:val="DefaultParagraphFont"/>
    <w:uiPriority w:val="19"/>
    <w:semiHidden/>
    <w:rsid w:val="006633DE"/>
    <w:rPr>
      <w:b/>
      <w:bCs/>
      <w:lang w:val="en-AU"/>
    </w:rPr>
  </w:style>
  <w:style w:type="paragraph" w:styleId="IntenseQuote">
    <w:name w:val="Intense Quote"/>
    <w:basedOn w:val="Normal"/>
    <w:next w:val="Normal"/>
    <w:link w:val="IntenseQuoteChar"/>
    <w:uiPriority w:val="19"/>
    <w:semiHidden/>
    <w:rsid w:val="006633DE"/>
    <w:pPr>
      <w:spacing w:before="260"/>
      <w:ind w:left="851" w:right="851"/>
    </w:pPr>
    <w:rPr>
      <w:b/>
      <w:bCs/>
      <w:i/>
      <w:iCs/>
    </w:rPr>
  </w:style>
  <w:style w:type="character" w:customStyle="1" w:styleId="IntenseQuoteChar">
    <w:name w:val="Intense Quote Char"/>
    <w:basedOn w:val="DefaultParagraphFont"/>
    <w:link w:val="IntenseQuote"/>
    <w:uiPriority w:val="19"/>
    <w:semiHidden/>
    <w:rsid w:val="006633DE"/>
    <w:rPr>
      <w:b/>
      <w:bCs/>
      <w:i/>
      <w:iCs/>
      <w:lang w:val="en-AU"/>
    </w:rPr>
  </w:style>
  <w:style w:type="character" w:styleId="SubtleReference">
    <w:name w:val="Subtle Reference"/>
    <w:basedOn w:val="DefaultParagraphFont"/>
    <w:uiPriority w:val="99"/>
    <w:semiHidden/>
    <w:qFormat/>
    <w:rsid w:val="006633DE"/>
    <w:rPr>
      <w:caps w:val="0"/>
      <w:smallCaps w:val="0"/>
      <w:color w:val="auto"/>
      <w:u w:val="single"/>
      <w:lang w:val="en-AU"/>
    </w:rPr>
  </w:style>
  <w:style w:type="character" w:styleId="IntenseReference">
    <w:name w:val="Intense Reference"/>
    <w:basedOn w:val="DefaultParagraphFont"/>
    <w:uiPriority w:val="99"/>
    <w:semiHidden/>
    <w:qFormat/>
    <w:rsid w:val="006633DE"/>
    <w:rPr>
      <w:b/>
      <w:bCs/>
      <w:caps w:val="0"/>
      <w:smallCaps w:val="0"/>
      <w:color w:val="auto"/>
      <w:spacing w:val="5"/>
      <w:u w:val="single"/>
      <w:lang w:val="en-AU"/>
    </w:rPr>
  </w:style>
  <w:style w:type="paragraph" w:styleId="Caption">
    <w:name w:val="caption"/>
    <w:basedOn w:val="BodyText"/>
    <w:next w:val="BodyText"/>
    <w:uiPriority w:val="4"/>
    <w:rsid w:val="00893BD4"/>
    <w:pPr>
      <w:tabs>
        <w:tab w:val="left" w:pos="1134"/>
      </w:tabs>
      <w:spacing w:line="210" w:lineRule="atLeast"/>
      <w:ind w:left="1138" w:hanging="1138"/>
    </w:pPr>
    <w:rPr>
      <w:b/>
      <w:bCs/>
      <w:color w:val="auto"/>
      <w:sz w:val="18"/>
    </w:rPr>
  </w:style>
  <w:style w:type="paragraph" w:styleId="TOC1">
    <w:name w:val="toc 1"/>
    <w:basedOn w:val="Normal"/>
    <w:next w:val="BodyText"/>
    <w:uiPriority w:val="39"/>
    <w:qFormat/>
    <w:rsid w:val="006633DE"/>
    <w:pPr>
      <w:tabs>
        <w:tab w:val="left" w:pos="567"/>
        <w:tab w:val="right" w:leader="dot" w:pos="9633"/>
      </w:tabs>
      <w:spacing w:after="0"/>
      <w:ind w:left="567" w:right="567" w:hanging="567"/>
    </w:pPr>
    <w:rPr>
      <w:b/>
      <w:caps/>
    </w:rPr>
  </w:style>
  <w:style w:type="paragraph" w:styleId="TOC2">
    <w:name w:val="toc 2"/>
    <w:basedOn w:val="Normal"/>
    <w:next w:val="BodyText"/>
    <w:uiPriority w:val="39"/>
    <w:qFormat/>
    <w:rsid w:val="006633DE"/>
    <w:pPr>
      <w:tabs>
        <w:tab w:val="left" w:pos="1134"/>
        <w:tab w:val="right" w:leader="dot" w:pos="9633"/>
      </w:tabs>
      <w:spacing w:before="0" w:after="0"/>
      <w:ind w:left="1134" w:right="567" w:hanging="567"/>
    </w:pPr>
  </w:style>
  <w:style w:type="paragraph" w:styleId="TOC3">
    <w:name w:val="toc 3"/>
    <w:basedOn w:val="Normal"/>
    <w:next w:val="BodyText"/>
    <w:uiPriority w:val="39"/>
    <w:qFormat/>
    <w:rsid w:val="006633DE"/>
    <w:pPr>
      <w:tabs>
        <w:tab w:val="left" w:pos="1871"/>
        <w:tab w:val="right" w:leader="dot" w:pos="9633"/>
      </w:tabs>
      <w:spacing w:before="0" w:after="0"/>
      <w:ind w:left="1871" w:right="567" w:hanging="737"/>
    </w:pPr>
  </w:style>
  <w:style w:type="paragraph" w:styleId="TOC4">
    <w:name w:val="toc 4"/>
    <w:basedOn w:val="Normal"/>
    <w:next w:val="BodyText"/>
    <w:uiPriority w:val="39"/>
    <w:rsid w:val="005D02BB"/>
    <w:pPr>
      <w:tabs>
        <w:tab w:val="right" w:leader="dot" w:pos="9633"/>
      </w:tabs>
      <w:spacing w:after="0"/>
      <w:ind w:right="567"/>
    </w:pPr>
    <w:rPr>
      <w:rFonts w:ascii="Arial Bold" w:hAnsi="Arial Bold"/>
      <w:b/>
      <w:caps/>
    </w:rPr>
  </w:style>
  <w:style w:type="paragraph" w:styleId="TOC5">
    <w:name w:val="toc 5"/>
    <w:basedOn w:val="Normal"/>
    <w:next w:val="BodyText"/>
    <w:uiPriority w:val="39"/>
    <w:rsid w:val="006633DE"/>
    <w:pPr>
      <w:tabs>
        <w:tab w:val="right" w:leader="dot" w:pos="9633"/>
      </w:tabs>
      <w:spacing w:before="0" w:after="0"/>
      <w:ind w:left="567" w:right="567"/>
    </w:pPr>
  </w:style>
  <w:style w:type="paragraph" w:styleId="TOC6">
    <w:name w:val="toc 6"/>
    <w:basedOn w:val="Normal"/>
    <w:next w:val="BodyText"/>
    <w:uiPriority w:val="39"/>
    <w:rsid w:val="006633DE"/>
    <w:pPr>
      <w:tabs>
        <w:tab w:val="right" w:leader="dot" w:pos="9633"/>
      </w:tabs>
      <w:spacing w:before="0" w:after="0"/>
      <w:ind w:left="1134" w:right="567"/>
      <w:outlineLvl w:val="5"/>
    </w:pPr>
  </w:style>
  <w:style w:type="paragraph" w:styleId="TOC7">
    <w:name w:val="toc 7"/>
    <w:basedOn w:val="Normal"/>
    <w:next w:val="BodyText"/>
    <w:uiPriority w:val="39"/>
    <w:rsid w:val="006633DE"/>
    <w:pPr>
      <w:tabs>
        <w:tab w:val="left" w:pos="907"/>
        <w:tab w:val="right" w:leader="dot" w:pos="9633"/>
      </w:tabs>
      <w:spacing w:before="0" w:after="0"/>
      <w:ind w:right="567"/>
    </w:pPr>
  </w:style>
  <w:style w:type="paragraph" w:styleId="TOC8">
    <w:name w:val="toc 8"/>
    <w:basedOn w:val="Normal"/>
    <w:next w:val="BodyText"/>
    <w:uiPriority w:val="39"/>
    <w:rsid w:val="00431B19"/>
    <w:pPr>
      <w:tabs>
        <w:tab w:val="left" w:pos="1134"/>
        <w:tab w:val="right" w:leader="dot" w:pos="9633"/>
      </w:tabs>
      <w:spacing w:after="0"/>
      <w:ind w:left="1138" w:right="562" w:hanging="1138"/>
    </w:pPr>
  </w:style>
  <w:style w:type="paragraph" w:styleId="TOC9">
    <w:name w:val="toc 9"/>
    <w:basedOn w:val="TOC8"/>
    <w:uiPriority w:val="39"/>
    <w:rsid w:val="00431B19"/>
    <w:pPr>
      <w:tabs>
        <w:tab w:val="clear" w:pos="1134"/>
        <w:tab w:val="left" w:pos="2070"/>
      </w:tabs>
      <w:spacing w:before="0" w:after="120"/>
      <w:ind w:left="2434"/>
      <w:contextualSpacing/>
    </w:pPr>
    <w:rPr>
      <w:noProof/>
    </w:rPr>
  </w:style>
  <w:style w:type="paragraph" w:styleId="TOCHeading">
    <w:name w:val="TOC Heading"/>
    <w:basedOn w:val="Normal"/>
    <w:next w:val="Normal"/>
    <w:uiPriority w:val="39"/>
    <w:qFormat/>
    <w:rsid w:val="006633DE"/>
    <w:pPr>
      <w:spacing w:before="240" w:line="360" w:lineRule="atLeast"/>
      <w:contextualSpacing/>
    </w:pPr>
    <w:rPr>
      <w:b/>
      <w:color w:val="71004B"/>
      <w:sz w:val="32"/>
    </w:rPr>
  </w:style>
  <w:style w:type="paragraph" w:styleId="BlockText">
    <w:name w:val="Block Text"/>
    <w:basedOn w:val="Normal"/>
    <w:uiPriority w:val="99"/>
    <w:semiHidden/>
    <w:rsid w:val="006633DE"/>
    <w:pPr>
      <w:pBdr>
        <w:top w:val="single" w:sz="2" w:space="10" w:color="7F7F7F" w:themeColor="text1" w:themeTint="80"/>
        <w:left w:val="single" w:sz="2" w:space="10" w:color="7F7F7F" w:themeColor="text1" w:themeTint="80"/>
        <w:bottom w:val="single" w:sz="2" w:space="10" w:color="7F7F7F" w:themeColor="text1" w:themeTint="80"/>
        <w:right w:val="single" w:sz="2" w:space="10" w:color="7F7F7F" w:themeColor="text1" w:themeTint="80"/>
      </w:pBdr>
      <w:ind w:left="1151" w:right="1151"/>
    </w:pPr>
    <w:rPr>
      <w:rFonts w:eastAsiaTheme="minorEastAsia"/>
      <w:i/>
      <w:iCs/>
    </w:rPr>
  </w:style>
  <w:style w:type="paragraph" w:styleId="EndnoteText">
    <w:name w:val="endnote text"/>
    <w:basedOn w:val="Normal"/>
    <w:link w:val="EndnoteTextChar"/>
    <w:uiPriority w:val="21"/>
    <w:semiHidden/>
    <w:rsid w:val="006633DE"/>
    <w:pPr>
      <w:spacing w:line="240" w:lineRule="atLeast"/>
      <w:ind w:left="85" w:hanging="85"/>
    </w:pPr>
    <w:rPr>
      <w:sz w:val="16"/>
    </w:rPr>
  </w:style>
  <w:style w:type="character" w:customStyle="1" w:styleId="EndnoteTextChar">
    <w:name w:val="Endnote Text Char"/>
    <w:basedOn w:val="DefaultParagraphFont"/>
    <w:link w:val="EndnoteText"/>
    <w:uiPriority w:val="21"/>
    <w:semiHidden/>
    <w:rsid w:val="006633DE"/>
    <w:rPr>
      <w:sz w:val="16"/>
      <w:lang w:val="en-AU"/>
    </w:rPr>
  </w:style>
  <w:style w:type="character" w:styleId="EndnoteReference">
    <w:name w:val="endnote reference"/>
    <w:basedOn w:val="DefaultParagraphFont"/>
    <w:uiPriority w:val="21"/>
    <w:semiHidden/>
    <w:rsid w:val="006633DE"/>
    <w:rPr>
      <w:vertAlign w:val="superscript"/>
      <w:lang w:val="en-AU"/>
    </w:rPr>
  </w:style>
  <w:style w:type="paragraph" w:styleId="FootnoteText">
    <w:name w:val="footnote text"/>
    <w:basedOn w:val="Normal"/>
    <w:link w:val="FootnoteTextChar"/>
    <w:uiPriority w:val="21"/>
    <w:semiHidden/>
    <w:rsid w:val="006633DE"/>
    <w:pPr>
      <w:spacing w:line="240" w:lineRule="atLeast"/>
      <w:ind w:left="85" w:hanging="85"/>
    </w:pPr>
    <w:rPr>
      <w:sz w:val="16"/>
    </w:rPr>
  </w:style>
  <w:style w:type="character" w:customStyle="1" w:styleId="FootnoteTextChar">
    <w:name w:val="Footnote Text Char"/>
    <w:basedOn w:val="DefaultParagraphFont"/>
    <w:link w:val="FootnoteText"/>
    <w:uiPriority w:val="21"/>
    <w:semiHidden/>
    <w:rsid w:val="006633DE"/>
    <w:rPr>
      <w:sz w:val="16"/>
      <w:lang w:val="en-AU"/>
    </w:rPr>
  </w:style>
  <w:style w:type="paragraph" w:styleId="ListBullet">
    <w:name w:val="List Bullet"/>
    <w:basedOn w:val="BodyText"/>
    <w:uiPriority w:val="2"/>
    <w:qFormat/>
    <w:rsid w:val="006633DE"/>
    <w:pPr>
      <w:numPr>
        <w:numId w:val="6"/>
      </w:numPr>
    </w:pPr>
  </w:style>
  <w:style w:type="paragraph" w:styleId="ListNumber">
    <w:name w:val="List Number"/>
    <w:basedOn w:val="BodyText"/>
    <w:uiPriority w:val="2"/>
    <w:qFormat/>
    <w:rsid w:val="006633DE"/>
    <w:pPr>
      <w:numPr>
        <w:numId w:val="7"/>
      </w:numPr>
    </w:pPr>
  </w:style>
  <w:style w:type="character" w:styleId="PageNumber">
    <w:name w:val="page number"/>
    <w:basedOn w:val="DefaultParagraphFont"/>
    <w:uiPriority w:val="9"/>
    <w:semiHidden/>
    <w:rsid w:val="006633DE"/>
    <w:rPr>
      <w:rFonts w:ascii="Arial" w:hAnsi="Arial"/>
      <w:color w:val="221E1F"/>
      <w:sz w:val="16"/>
      <w:lang w:val="en-AU"/>
    </w:rPr>
  </w:style>
  <w:style w:type="paragraph" w:customStyle="1" w:styleId="Template">
    <w:name w:val="Template"/>
    <w:uiPriority w:val="8"/>
    <w:semiHidden/>
    <w:rsid w:val="006633DE"/>
    <w:pPr>
      <w:spacing w:after="260"/>
    </w:pPr>
    <w:rPr>
      <w:noProof/>
      <w:sz w:val="16"/>
      <w:lang w:val="en-AU"/>
    </w:rPr>
  </w:style>
  <w:style w:type="paragraph" w:customStyle="1" w:styleId="Table">
    <w:name w:val="Table"/>
    <w:uiPriority w:val="4"/>
    <w:semiHidden/>
    <w:rsid w:val="006633DE"/>
    <w:pPr>
      <w:spacing w:before="40" w:after="40" w:line="240" w:lineRule="atLeast"/>
      <w:ind w:left="113" w:right="113"/>
    </w:pPr>
    <w:rPr>
      <w:sz w:val="16"/>
      <w:lang w:val="en-AU"/>
    </w:rPr>
  </w:style>
  <w:style w:type="paragraph" w:customStyle="1" w:styleId="Table-Heading">
    <w:name w:val="Table - Heading"/>
    <w:basedOn w:val="Normal"/>
    <w:uiPriority w:val="5"/>
    <w:rsid w:val="006633DE"/>
    <w:pPr>
      <w:spacing w:before="40" w:after="40" w:line="240" w:lineRule="auto"/>
      <w:ind w:left="57" w:right="57"/>
    </w:pPr>
    <w:rPr>
      <w:b/>
      <w:color w:val="71004B"/>
    </w:rPr>
  </w:style>
  <w:style w:type="paragraph" w:styleId="TOAHeading">
    <w:name w:val="toa heading"/>
    <w:basedOn w:val="Normal"/>
    <w:next w:val="Normal"/>
    <w:uiPriority w:val="39"/>
    <w:semiHidden/>
    <w:rsid w:val="006633DE"/>
    <w:pPr>
      <w:spacing w:after="520" w:line="360" w:lineRule="atLeast"/>
    </w:pPr>
    <w:rPr>
      <w:rFonts w:eastAsiaTheme="majorEastAsia" w:cstheme="majorBidi"/>
      <w:b/>
      <w:bCs/>
      <w:sz w:val="28"/>
      <w:szCs w:val="24"/>
    </w:rPr>
  </w:style>
  <w:style w:type="paragraph" w:styleId="TableofFigures">
    <w:name w:val="table of figures"/>
    <w:basedOn w:val="Normal"/>
    <w:next w:val="Normal"/>
    <w:uiPriority w:val="99"/>
    <w:rsid w:val="006633DE"/>
    <w:pPr>
      <w:tabs>
        <w:tab w:val="left" w:pos="1134"/>
        <w:tab w:val="right" w:leader="dot" w:pos="9633"/>
      </w:tabs>
      <w:spacing w:before="0" w:after="0"/>
      <w:ind w:left="1134" w:right="567" w:hanging="1134"/>
    </w:pPr>
  </w:style>
  <w:style w:type="paragraph" w:styleId="Signature">
    <w:name w:val="Signature"/>
    <w:basedOn w:val="Normal"/>
    <w:link w:val="SignatureChar"/>
    <w:uiPriority w:val="99"/>
    <w:semiHidden/>
    <w:rsid w:val="006633DE"/>
    <w:pPr>
      <w:spacing w:line="240" w:lineRule="auto"/>
      <w:ind w:left="4252"/>
    </w:pPr>
  </w:style>
  <w:style w:type="character" w:customStyle="1" w:styleId="SignatureChar">
    <w:name w:val="Signature Char"/>
    <w:basedOn w:val="DefaultParagraphFont"/>
    <w:link w:val="Signature"/>
    <w:uiPriority w:val="99"/>
    <w:semiHidden/>
    <w:rsid w:val="006633DE"/>
    <w:rPr>
      <w:lang w:val="en-AU"/>
    </w:rPr>
  </w:style>
  <w:style w:type="character" w:styleId="PlaceholderText">
    <w:name w:val="Placeholder Text"/>
    <w:basedOn w:val="DefaultParagraphFont"/>
    <w:uiPriority w:val="99"/>
    <w:rsid w:val="006633DE"/>
    <w:rPr>
      <w:color w:val="auto"/>
      <w:lang w:val="en-AU"/>
    </w:rPr>
  </w:style>
  <w:style w:type="paragraph" w:customStyle="1" w:styleId="Table-HeadingRight">
    <w:name w:val="Table - Heading Right"/>
    <w:basedOn w:val="Table-Heading"/>
    <w:uiPriority w:val="4"/>
    <w:semiHidden/>
    <w:rsid w:val="006633DE"/>
    <w:pPr>
      <w:jc w:val="right"/>
    </w:pPr>
  </w:style>
  <w:style w:type="paragraph" w:customStyle="1" w:styleId="Table-Numbers">
    <w:name w:val="Table - Numbers"/>
    <w:basedOn w:val="Table"/>
    <w:uiPriority w:val="8"/>
    <w:rsid w:val="006633DE"/>
    <w:pPr>
      <w:spacing w:line="240" w:lineRule="auto"/>
      <w:ind w:left="57" w:right="57"/>
      <w:jc w:val="right"/>
    </w:pPr>
    <w:rPr>
      <w:sz w:val="18"/>
    </w:rPr>
  </w:style>
  <w:style w:type="paragraph" w:customStyle="1" w:styleId="Table-NumbersTotal">
    <w:name w:val="Table - Numbers Total"/>
    <w:basedOn w:val="Table-Numbers"/>
    <w:uiPriority w:val="8"/>
    <w:rsid w:val="006633DE"/>
    <w:rPr>
      <w:b/>
    </w:rPr>
  </w:style>
  <w:style w:type="paragraph" w:customStyle="1" w:styleId="Table-Text">
    <w:name w:val="Table - Text"/>
    <w:basedOn w:val="Table"/>
    <w:uiPriority w:val="4"/>
    <w:rsid w:val="006633DE"/>
    <w:pPr>
      <w:spacing w:line="240" w:lineRule="auto"/>
      <w:ind w:left="57" w:right="57"/>
    </w:pPr>
    <w:rPr>
      <w:sz w:val="18"/>
    </w:rPr>
  </w:style>
  <w:style w:type="paragraph" w:customStyle="1" w:styleId="Table-TextTotal">
    <w:name w:val="Table - Text Total"/>
    <w:basedOn w:val="Table-Text"/>
    <w:uiPriority w:val="8"/>
    <w:rsid w:val="006633DE"/>
    <w:rPr>
      <w:b/>
    </w:rPr>
  </w:style>
  <w:style w:type="paragraph" w:styleId="Quote">
    <w:name w:val="Quote"/>
    <w:basedOn w:val="Normal"/>
    <w:next w:val="Normal"/>
    <w:link w:val="QuoteChar"/>
    <w:uiPriority w:val="19"/>
    <w:semiHidden/>
    <w:rsid w:val="006633DE"/>
    <w:pPr>
      <w:spacing w:before="260"/>
      <w:ind w:left="567" w:right="567"/>
    </w:pPr>
    <w:rPr>
      <w:b/>
      <w:iCs/>
      <w:color w:val="000000" w:themeColor="text1"/>
    </w:rPr>
  </w:style>
  <w:style w:type="character" w:customStyle="1" w:styleId="QuoteChar">
    <w:name w:val="Quote Char"/>
    <w:basedOn w:val="DefaultParagraphFont"/>
    <w:link w:val="Quote"/>
    <w:uiPriority w:val="19"/>
    <w:semiHidden/>
    <w:rsid w:val="006633DE"/>
    <w:rPr>
      <w:b/>
      <w:iCs/>
      <w:color w:val="000000" w:themeColor="text1"/>
      <w:lang w:val="en-AU"/>
    </w:rPr>
  </w:style>
  <w:style w:type="character" w:styleId="BookTitle">
    <w:name w:val="Book Title"/>
    <w:basedOn w:val="DefaultParagraphFont"/>
    <w:uiPriority w:val="99"/>
    <w:semiHidden/>
    <w:qFormat/>
    <w:rsid w:val="006633DE"/>
    <w:rPr>
      <w:b/>
      <w:bCs/>
      <w:caps w:val="0"/>
      <w:smallCaps w:val="0"/>
      <w:spacing w:val="5"/>
      <w:lang w:val="en-AU"/>
    </w:rPr>
  </w:style>
  <w:style w:type="paragraph" w:styleId="TableofAuthorities">
    <w:name w:val="table of authorities"/>
    <w:basedOn w:val="Normal"/>
    <w:next w:val="Normal"/>
    <w:uiPriority w:val="10"/>
    <w:semiHidden/>
    <w:rsid w:val="006633DE"/>
    <w:pPr>
      <w:ind w:right="567"/>
    </w:pPr>
  </w:style>
  <w:style w:type="paragraph" w:styleId="NormalIndent">
    <w:name w:val="Normal Indent"/>
    <w:basedOn w:val="Normal"/>
    <w:uiPriority w:val="99"/>
    <w:semiHidden/>
    <w:rsid w:val="006633DE"/>
    <w:pPr>
      <w:ind w:left="1134"/>
    </w:pPr>
  </w:style>
  <w:style w:type="table" w:styleId="TableGrid">
    <w:name w:val="Table Grid"/>
    <w:basedOn w:val="TableNormal"/>
    <w:uiPriority w:val="59"/>
    <w:rsid w:val="005671E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customStyle="1" w:styleId="DocumentHeading">
    <w:name w:val="Document Heading"/>
    <w:basedOn w:val="Heading1"/>
    <w:uiPriority w:val="8"/>
    <w:semiHidden/>
    <w:rsid w:val="006633DE"/>
    <w:pPr>
      <w:numPr>
        <w:numId w:val="0"/>
      </w:numPr>
      <w:spacing w:line="300" w:lineRule="atLeast"/>
    </w:pPr>
  </w:style>
  <w:style w:type="paragraph" w:customStyle="1" w:styleId="DocumentName">
    <w:name w:val="Document Name"/>
    <w:basedOn w:val="Title"/>
    <w:uiPriority w:val="8"/>
    <w:semiHidden/>
    <w:rsid w:val="006633DE"/>
    <w:pPr>
      <w:spacing w:line="360" w:lineRule="atLeast"/>
    </w:pPr>
    <w:rPr>
      <w:caps w:val="0"/>
      <w:sz w:val="28"/>
    </w:rPr>
  </w:style>
  <w:style w:type="paragraph" w:customStyle="1" w:styleId="Template-Address">
    <w:name w:val="Template - Address"/>
    <w:basedOn w:val="Template"/>
    <w:uiPriority w:val="8"/>
    <w:semiHidden/>
    <w:rsid w:val="006633DE"/>
    <w:pPr>
      <w:tabs>
        <w:tab w:val="left" w:pos="567"/>
      </w:tabs>
      <w:suppressAutoHyphens/>
      <w:spacing w:before="0" w:after="0"/>
    </w:pPr>
  </w:style>
  <w:style w:type="table" w:customStyle="1" w:styleId="Blank">
    <w:name w:val="Blank"/>
    <w:basedOn w:val="TableNormal"/>
    <w:uiPriority w:val="99"/>
    <w:rsid w:val="006633DE"/>
    <w:pPr>
      <w:spacing w:before="0" w:after="0" w:line="240" w:lineRule="atLeast"/>
    </w:pPr>
    <w:tblPr>
      <w:tblCellMar>
        <w:left w:w="0" w:type="dxa"/>
        <w:right w:w="0" w:type="dxa"/>
      </w:tblCellMar>
    </w:tblPr>
  </w:style>
  <w:style w:type="paragraph" w:styleId="NoSpacing">
    <w:name w:val="No Spacing"/>
    <w:qFormat/>
    <w:rsid w:val="006633DE"/>
    <w:pPr>
      <w:spacing w:before="0" w:after="0"/>
    </w:pPr>
    <w:rPr>
      <w:lang w:val="en-AU"/>
    </w:rPr>
  </w:style>
  <w:style w:type="paragraph" w:customStyle="1" w:styleId="Template-CompanyName">
    <w:name w:val="Template - Company Name"/>
    <w:basedOn w:val="Template-Address"/>
    <w:next w:val="Template-Address"/>
    <w:uiPriority w:val="8"/>
    <w:semiHidden/>
    <w:rsid w:val="006633DE"/>
    <w:pPr>
      <w:spacing w:line="200" w:lineRule="atLeast"/>
    </w:pPr>
    <w:rPr>
      <w:b/>
      <w:color w:val="71004B"/>
      <w:sz w:val="20"/>
    </w:rPr>
  </w:style>
  <w:style w:type="paragraph" w:customStyle="1" w:styleId="Template-Date">
    <w:name w:val="Template - Date"/>
    <w:basedOn w:val="Template"/>
    <w:uiPriority w:val="8"/>
    <w:semiHidden/>
    <w:rsid w:val="006633DE"/>
    <w:pPr>
      <w:spacing w:line="280" w:lineRule="atLeast"/>
    </w:pPr>
  </w:style>
  <w:style w:type="paragraph" w:customStyle="1" w:styleId="Recipient">
    <w:name w:val="Recipient"/>
    <w:basedOn w:val="Normal"/>
    <w:uiPriority w:val="8"/>
    <w:semiHidden/>
    <w:rsid w:val="006633DE"/>
    <w:pPr>
      <w:spacing w:before="240"/>
    </w:pPr>
  </w:style>
  <w:style w:type="paragraph" w:styleId="BalloonText">
    <w:name w:val="Balloon Text"/>
    <w:basedOn w:val="Normal"/>
    <w:link w:val="BalloonTextChar"/>
    <w:uiPriority w:val="99"/>
    <w:semiHidden/>
    <w:rsid w:val="006633DE"/>
    <w:pPr>
      <w:spacing w:line="240" w:lineRule="auto"/>
    </w:pPr>
    <w:rPr>
      <w:rFonts w:ascii="Segoe UI" w:hAnsi="Segoe UI" w:cs="Segoe UI"/>
    </w:rPr>
  </w:style>
  <w:style w:type="character" w:customStyle="1" w:styleId="BalloonTextChar">
    <w:name w:val="Balloon Text Char"/>
    <w:basedOn w:val="DefaultParagraphFont"/>
    <w:link w:val="BalloonText"/>
    <w:uiPriority w:val="99"/>
    <w:semiHidden/>
    <w:rsid w:val="006633DE"/>
    <w:rPr>
      <w:rFonts w:ascii="Segoe UI" w:hAnsi="Segoe UI" w:cs="Segoe UI"/>
      <w:lang w:val="en-AU"/>
    </w:rPr>
  </w:style>
  <w:style w:type="paragraph" w:styleId="Bibliography">
    <w:name w:val="Bibliography"/>
    <w:basedOn w:val="Normal"/>
    <w:next w:val="Normal"/>
    <w:uiPriority w:val="99"/>
    <w:semiHidden/>
    <w:unhideWhenUsed/>
    <w:rsid w:val="006633DE"/>
  </w:style>
  <w:style w:type="paragraph" w:styleId="BodyText">
    <w:name w:val="Body Text"/>
    <w:basedOn w:val="Normal"/>
    <w:link w:val="BodyTextChar"/>
    <w:uiPriority w:val="1"/>
    <w:qFormat/>
    <w:rsid w:val="00497B58"/>
    <w:pPr>
      <w:spacing w:line="240" w:lineRule="auto"/>
    </w:pPr>
  </w:style>
  <w:style w:type="character" w:customStyle="1" w:styleId="BodyTextChar">
    <w:name w:val="Body Text Char"/>
    <w:basedOn w:val="DefaultParagraphFont"/>
    <w:link w:val="BodyText"/>
    <w:rsid w:val="00497B58"/>
    <w:rPr>
      <w:lang w:val="en-AU"/>
    </w:rPr>
  </w:style>
  <w:style w:type="paragraph" w:styleId="BodyText2">
    <w:name w:val="Body Text 2"/>
    <w:basedOn w:val="Normal"/>
    <w:link w:val="BodyText2Char"/>
    <w:uiPriority w:val="99"/>
    <w:semiHidden/>
    <w:rsid w:val="006633DE"/>
    <w:pPr>
      <w:spacing w:line="480" w:lineRule="auto"/>
    </w:pPr>
  </w:style>
  <w:style w:type="character" w:customStyle="1" w:styleId="BodyText2Char">
    <w:name w:val="Body Text 2 Char"/>
    <w:basedOn w:val="DefaultParagraphFont"/>
    <w:link w:val="BodyText2"/>
    <w:uiPriority w:val="99"/>
    <w:semiHidden/>
    <w:rsid w:val="006633DE"/>
    <w:rPr>
      <w:lang w:val="en-AU"/>
    </w:rPr>
  </w:style>
  <w:style w:type="paragraph" w:styleId="BodyText3">
    <w:name w:val="Body Text 3"/>
    <w:basedOn w:val="Normal"/>
    <w:link w:val="BodyText3Char"/>
    <w:uiPriority w:val="99"/>
    <w:semiHidden/>
    <w:rsid w:val="006633DE"/>
    <w:rPr>
      <w:sz w:val="16"/>
      <w:szCs w:val="16"/>
    </w:rPr>
  </w:style>
  <w:style w:type="character" w:customStyle="1" w:styleId="BodyText3Char">
    <w:name w:val="Body Text 3 Char"/>
    <w:basedOn w:val="DefaultParagraphFont"/>
    <w:link w:val="BodyText3"/>
    <w:uiPriority w:val="99"/>
    <w:semiHidden/>
    <w:rsid w:val="006633DE"/>
    <w:rPr>
      <w:sz w:val="16"/>
      <w:szCs w:val="16"/>
      <w:lang w:val="en-AU"/>
    </w:rPr>
  </w:style>
  <w:style w:type="paragraph" w:styleId="BodyTextFirstIndent">
    <w:name w:val="Body Text First Indent"/>
    <w:basedOn w:val="BodyText"/>
    <w:link w:val="BodyTextFirstIndentChar"/>
    <w:uiPriority w:val="99"/>
    <w:semiHidden/>
    <w:rsid w:val="006633DE"/>
    <w:pPr>
      <w:spacing w:after="0"/>
      <w:ind w:firstLine="360"/>
    </w:pPr>
  </w:style>
  <w:style w:type="character" w:customStyle="1" w:styleId="BodyTextFirstIndentChar">
    <w:name w:val="Body Text First Indent Char"/>
    <w:basedOn w:val="BodyTextChar"/>
    <w:link w:val="BodyTextFirstIndent"/>
    <w:uiPriority w:val="99"/>
    <w:semiHidden/>
    <w:rsid w:val="006633DE"/>
    <w:rPr>
      <w:lang w:val="en-AU"/>
    </w:rPr>
  </w:style>
  <w:style w:type="paragraph" w:styleId="BodyTextIndent">
    <w:name w:val="Body Text Indent"/>
    <w:basedOn w:val="Normal"/>
    <w:link w:val="BodyTextIndentChar"/>
    <w:uiPriority w:val="99"/>
    <w:semiHidden/>
    <w:rsid w:val="006633DE"/>
    <w:pPr>
      <w:ind w:left="283"/>
    </w:pPr>
  </w:style>
  <w:style w:type="character" w:customStyle="1" w:styleId="BodyTextIndentChar">
    <w:name w:val="Body Text Indent Char"/>
    <w:basedOn w:val="DefaultParagraphFont"/>
    <w:link w:val="BodyTextIndent"/>
    <w:uiPriority w:val="99"/>
    <w:semiHidden/>
    <w:rsid w:val="006633DE"/>
    <w:rPr>
      <w:lang w:val="en-AU"/>
    </w:rPr>
  </w:style>
  <w:style w:type="paragraph" w:styleId="BodyTextFirstIndent2">
    <w:name w:val="Body Text First Indent 2"/>
    <w:basedOn w:val="BodyTextIndent"/>
    <w:link w:val="BodyTextFirstIndent2Char"/>
    <w:uiPriority w:val="99"/>
    <w:semiHidden/>
    <w:rsid w:val="006633DE"/>
    <w:pPr>
      <w:spacing w:after="0"/>
      <w:ind w:left="360" w:firstLine="360"/>
    </w:pPr>
  </w:style>
  <w:style w:type="character" w:customStyle="1" w:styleId="BodyTextFirstIndent2Char">
    <w:name w:val="Body Text First Indent 2 Char"/>
    <w:basedOn w:val="BodyTextIndentChar"/>
    <w:link w:val="BodyTextFirstIndent2"/>
    <w:uiPriority w:val="99"/>
    <w:semiHidden/>
    <w:rsid w:val="006633DE"/>
    <w:rPr>
      <w:lang w:val="en-AU"/>
    </w:rPr>
  </w:style>
  <w:style w:type="paragraph" w:styleId="BodyTextIndent2">
    <w:name w:val="Body Text Indent 2"/>
    <w:basedOn w:val="Normal"/>
    <w:link w:val="BodyTextIndent2Char"/>
    <w:uiPriority w:val="99"/>
    <w:semiHidden/>
    <w:rsid w:val="006633DE"/>
    <w:pPr>
      <w:spacing w:line="480" w:lineRule="auto"/>
      <w:ind w:left="283"/>
    </w:pPr>
  </w:style>
  <w:style w:type="character" w:customStyle="1" w:styleId="BodyTextIndent2Char">
    <w:name w:val="Body Text Indent 2 Char"/>
    <w:basedOn w:val="DefaultParagraphFont"/>
    <w:link w:val="BodyTextIndent2"/>
    <w:uiPriority w:val="99"/>
    <w:semiHidden/>
    <w:rsid w:val="006633DE"/>
    <w:rPr>
      <w:lang w:val="en-AU"/>
    </w:rPr>
  </w:style>
  <w:style w:type="paragraph" w:styleId="BodyTextIndent3">
    <w:name w:val="Body Text Indent 3"/>
    <w:basedOn w:val="Normal"/>
    <w:link w:val="BodyTextIndent3Char"/>
    <w:uiPriority w:val="99"/>
    <w:semiHidden/>
    <w:rsid w:val="006633DE"/>
    <w:pPr>
      <w:ind w:left="283"/>
    </w:pPr>
    <w:rPr>
      <w:sz w:val="16"/>
      <w:szCs w:val="16"/>
    </w:rPr>
  </w:style>
  <w:style w:type="character" w:customStyle="1" w:styleId="BodyTextIndent3Char">
    <w:name w:val="Body Text Indent 3 Char"/>
    <w:basedOn w:val="DefaultParagraphFont"/>
    <w:link w:val="BodyTextIndent3"/>
    <w:uiPriority w:val="99"/>
    <w:semiHidden/>
    <w:rsid w:val="006633DE"/>
    <w:rPr>
      <w:sz w:val="16"/>
      <w:szCs w:val="16"/>
      <w:lang w:val="en-AU"/>
    </w:rPr>
  </w:style>
  <w:style w:type="paragraph" w:styleId="Closing">
    <w:name w:val="Closing"/>
    <w:basedOn w:val="Normal"/>
    <w:link w:val="ClosingChar"/>
    <w:uiPriority w:val="99"/>
    <w:semiHidden/>
    <w:rsid w:val="006633DE"/>
    <w:pPr>
      <w:spacing w:line="240" w:lineRule="auto"/>
      <w:ind w:left="4252"/>
    </w:pPr>
  </w:style>
  <w:style w:type="character" w:customStyle="1" w:styleId="ClosingChar">
    <w:name w:val="Closing Char"/>
    <w:basedOn w:val="DefaultParagraphFont"/>
    <w:link w:val="Closing"/>
    <w:uiPriority w:val="99"/>
    <w:semiHidden/>
    <w:rsid w:val="006633DE"/>
    <w:rPr>
      <w:lang w:val="en-AU"/>
    </w:rPr>
  </w:style>
  <w:style w:type="table" w:styleId="ColorfulGrid">
    <w:name w:val="Colorful Grid"/>
    <w:basedOn w:val="TableNormal"/>
    <w:uiPriority w:val="73"/>
    <w:semiHidden/>
    <w:unhideWhenUsed/>
    <w:rsid w:val="006633DE"/>
    <w:pPr>
      <w:spacing w:after="26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6633DE"/>
    <w:pPr>
      <w:spacing w:after="260" w:line="240" w:lineRule="auto"/>
    </w:pPr>
    <w:rPr>
      <w:color w:val="000000" w:themeColor="text1"/>
    </w:rPr>
    <w:tblPr>
      <w:tblStyleRowBandSize w:val="1"/>
      <w:tblStyleColBandSize w:val="1"/>
      <w:tblBorders>
        <w:insideH w:val="single" w:sz="4" w:space="0" w:color="FFFFFF" w:themeColor="background1"/>
      </w:tblBorders>
    </w:tblPr>
    <w:tcPr>
      <w:shd w:val="clear" w:color="auto" w:fill="D8CBEF" w:themeFill="accent1" w:themeFillTint="33"/>
    </w:tcPr>
    <w:tblStylePr w:type="firstRow">
      <w:rPr>
        <w:b/>
        <w:bCs/>
      </w:rPr>
      <w:tblPr/>
      <w:tcPr>
        <w:shd w:val="clear" w:color="auto" w:fill="B297DF" w:themeFill="accent1" w:themeFillTint="66"/>
      </w:tcPr>
    </w:tblStylePr>
    <w:tblStylePr w:type="lastRow">
      <w:rPr>
        <w:b/>
        <w:bCs/>
        <w:color w:val="000000" w:themeColor="text1"/>
      </w:rPr>
      <w:tblPr/>
      <w:tcPr>
        <w:shd w:val="clear" w:color="auto" w:fill="B297DF" w:themeFill="accent1" w:themeFillTint="66"/>
      </w:tcPr>
    </w:tblStylePr>
    <w:tblStylePr w:type="firstCol">
      <w:rPr>
        <w:color w:val="FFFFFF" w:themeColor="background1"/>
      </w:rPr>
      <w:tblPr/>
      <w:tcPr>
        <w:shd w:val="clear" w:color="auto" w:fill="381E62" w:themeFill="accent1" w:themeFillShade="BF"/>
      </w:tcPr>
    </w:tblStylePr>
    <w:tblStylePr w:type="lastCol">
      <w:rPr>
        <w:color w:val="FFFFFF" w:themeColor="background1"/>
      </w:rPr>
      <w:tblPr/>
      <w:tcPr>
        <w:shd w:val="clear" w:color="auto" w:fill="381E62" w:themeFill="accent1" w:themeFillShade="BF"/>
      </w:tcPr>
    </w:tblStylePr>
    <w:tblStylePr w:type="band1Vert">
      <w:tblPr/>
      <w:tcPr>
        <w:shd w:val="clear" w:color="auto" w:fill="9F7DD7" w:themeFill="accent1" w:themeFillTint="7F"/>
      </w:tcPr>
    </w:tblStylePr>
    <w:tblStylePr w:type="band1Horz">
      <w:tblPr/>
      <w:tcPr>
        <w:shd w:val="clear" w:color="auto" w:fill="9F7DD7" w:themeFill="accent1" w:themeFillTint="7F"/>
      </w:tcPr>
    </w:tblStylePr>
  </w:style>
  <w:style w:type="table" w:styleId="ColorfulGrid-Accent2">
    <w:name w:val="Colorful Grid Accent 2"/>
    <w:basedOn w:val="TableNormal"/>
    <w:uiPriority w:val="73"/>
    <w:semiHidden/>
    <w:unhideWhenUsed/>
    <w:rsid w:val="006633DE"/>
    <w:pPr>
      <w:spacing w:after="260" w:line="240" w:lineRule="auto"/>
    </w:pPr>
    <w:rPr>
      <w:color w:val="000000" w:themeColor="text1"/>
    </w:rPr>
    <w:tblPr>
      <w:tblStyleRowBandSize w:val="1"/>
      <w:tblStyleColBandSize w:val="1"/>
      <w:tblBorders>
        <w:insideH w:val="single" w:sz="4" w:space="0" w:color="FFFFFF" w:themeColor="background1"/>
      </w:tblBorders>
    </w:tblPr>
    <w:tcPr>
      <w:shd w:val="clear" w:color="auto" w:fill="BCFFF2" w:themeFill="accent2" w:themeFillTint="33"/>
    </w:tcPr>
    <w:tblStylePr w:type="firstRow">
      <w:rPr>
        <w:b/>
        <w:bCs/>
      </w:rPr>
      <w:tblPr/>
      <w:tcPr>
        <w:shd w:val="clear" w:color="auto" w:fill="79FFE5" w:themeFill="accent2" w:themeFillTint="66"/>
      </w:tcPr>
    </w:tblStylePr>
    <w:tblStylePr w:type="lastRow">
      <w:rPr>
        <w:b/>
        <w:bCs/>
        <w:color w:val="000000" w:themeColor="text1"/>
      </w:rPr>
      <w:tblPr/>
      <w:tcPr>
        <w:shd w:val="clear" w:color="auto" w:fill="79FFE5" w:themeFill="accent2" w:themeFillTint="66"/>
      </w:tcPr>
    </w:tblStylePr>
    <w:tblStylePr w:type="firstCol">
      <w:rPr>
        <w:color w:val="FFFFFF" w:themeColor="background1"/>
      </w:rPr>
      <w:tblPr/>
      <w:tcPr>
        <w:shd w:val="clear" w:color="auto" w:fill="00846A" w:themeFill="accent2" w:themeFillShade="BF"/>
      </w:tcPr>
    </w:tblStylePr>
    <w:tblStylePr w:type="lastCol">
      <w:rPr>
        <w:color w:val="FFFFFF" w:themeColor="background1"/>
      </w:rPr>
      <w:tblPr/>
      <w:tcPr>
        <w:shd w:val="clear" w:color="auto" w:fill="00846A" w:themeFill="accent2" w:themeFillShade="BF"/>
      </w:tcPr>
    </w:tblStylePr>
    <w:tblStylePr w:type="band1Vert">
      <w:tblPr/>
      <w:tcPr>
        <w:shd w:val="clear" w:color="auto" w:fill="59FFDF" w:themeFill="accent2" w:themeFillTint="7F"/>
      </w:tcPr>
    </w:tblStylePr>
    <w:tblStylePr w:type="band1Horz">
      <w:tblPr/>
      <w:tcPr>
        <w:shd w:val="clear" w:color="auto" w:fill="59FFDF" w:themeFill="accent2" w:themeFillTint="7F"/>
      </w:tcPr>
    </w:tblStylePr>
  </w:style>
  <w:style w:type="table" w:styleId="ColorfulGrid-Accent3">
    <w:name w:val="Colorful Grid Accent 3"/>
    <w:basedOn w:val="TableNormal"/>
    <w:uiPriority w:val="73"/>
    <w:semiHidden/>
    <w:unhideWhenUsed/>
    <w:rsid w:val="006633DE"/>
    <w:pPr>
      <w:spacing w:after="260" w:line="240" w:lineRule="auto"/>
    </w:pPr>
    <w:rPr>
      <w:color w:val="000000" w:themeColor="text1"/>
    </w:rPr>
    <w:tblPr>
      <w:tblStyleRowBandSize w:val="1"/>
      <w:tblStyleColBandSize w:val="1"/>
      <w:tblBorders>
        <w:insideH w:val="single" w:sz="4" w:space="0" w:color="FFFFFF" w:themeColor="background1"/>
      </w:tblBorders>
    </w:tblPr>
    <w:tcPr>
      <w:shd w:val="clear" w:color="auto" w:fill="DFF4FA" w:themeFill="accent3" w:themeFillTint="33"/>
    </w:tcPr>
    <w:tblStylePr w:type="firstRow">
      <w:rPr>
        <w:b/>
        <w:bCs/>
      </w:rPr>
      <w:tblPr/>
      <w:tcPr>
        <w:shd w:val="clear" w:color="auto" w:fill="C0E9F5" w:themeFill="accent3" w:themeFillTint="66"/>
      </w:tcPr>
    </w:tblStylePr>
    <w:tblStylePr w:type="lastRow">
      <w:rPr>
        <w:b/>
        <w:bCs/>
        <w:color w:val="000000" w:themeColor="text1"/>
      </w:rPr>
      <w:tblPr/>
      <w:tcPr>
        <w:shd w:val="clear" w:color="auto" w:fill="C0E9F5" w:themeFill="accent3" w:themeFillTint="66"/>
      </w:tcPr>
    </w:tblStylePr>
    <w:tblStylePr w:type="firstCol">
      <w:rPr>
        <w:color w:val="FFFFFF" w:themeColor="background1"/>
      </w:rPr>
      <w:tblPr/>
      <w:tcPr>
        <w:shd w:val="clear" w:color="auto" w:fill="20AFD8" w:themeFill="accent3" w:themeFillShade="BF"/>
      </w:tcPr>
    </w:tblStylePr>
    <w:tblStylePr w:type="lastCol">
      <w:rPr>
        <w:color w:val="FFFFFF" w:themeColor="background1"/>
      </w:rPr>
      <w:tblPr/>
      <w:tcPr>
        <w:shd w:val="clear" w:color="auto" w:fill="20AFD8" w:themeFill="accent3" w:themeFillShade="BF"/>
      </w:tcPr>
    </w:tblStylePr>
    <w:tblStylePr w:type="band1Vert">
      <w:tblPr/>
      <w:tcPr>
        <w:shd w:val="clear" w:color="auto" w:fill="B1E4F3" w:themeFill="accent3" w:themeFillTint="7F"/>
      </w:tcPr>
    </w:tblStylePr>
    <w:tblStylePr w:type="band1Horz">
      <w:tblPr/>
      <w:tcPr>
        <w:shd w:val="clear" w:color="auto" w:fill="B1E4F3" w:themeFill="accent3" w:themeFillTint="7F"/>
      </w:tcPr>
    </w:tblStylePr>
  </w:style>
  <w:style w:type="table" w:styleId="ColorfulGrid-Accent4">
    <w:name w:val="Colorful Grid Accent 4"/>
    <w:basedOn w:val="TableNormal"/>
    <w:uiPriority w:val="73"/>
    <w:semiHidden/>
    <w:unhideWhenUsed/>
    <w:rsid w:val="006633DE"/>
    <w:pPr>
      <w:spacing w:after="260" w:line="240" w:lineRule="auto"/>
    </w:pPr>
    <w:rPr>
      <w:color w:val="000000" w:themeColor="text1"/>
    </w:rPr>
    <w:tblPr>
      <w:tblStyleRowBandSize w:val="1"/>
      <w:tblStyleColBandSize w:val="1"/>
      <w:tblBorders>
        <w:insideH w:val="single" w:sz="4" w:space="0" w:color="FFFFFF" w:themeColor="background1"/>
      </w:tblBorders>
    </w:tblPr>
    <w:tcPr>
      <w:shd w:val="clear" w:color="auto" w:fill="B1DBFF" w:themeFill="accent4" w:themeFillTint="33"/>
    </w:tcPr>
    <w:tblStylePr w:type="firstRow">
      <w:rPr>
        <w:b/>
        <w:bCs/>
      </w:rPr>
      <w:tblPr/>
      <w:tcPr>
        <w:shd w:val="clear" w:color="auto" w:fill="64B7FF" w:themeFill="accent4" w:themeFillTint="66"/>
      </w:tcPr>
    </w:tblStylePr>
    <w:tblStylePr w:type="lastRow">
      <w:rPr>
        <w:b/>
        <w:bCs/>
        <w:color w:val="000000" w:themeColor="text1"/>
      </w:rPr>
      <w:tblPr/>
      <w:tcPr>
        <w:shd w:val="clear" w:color="auto" w:fill="64B7FF" w:themeFill="accent4" w:themeFillTint="66"/>
      </w:tcPr>
    </w:tblStylePr>
    <w:tblStylePr w:type="firstCol">
      <w:rPr>
        <w:color w:val="FFFFFF" w:themeColor="background1"/>
      </w:rPr>
      <w:tblPr/>
      <w:tcPr>
        <w:shd w:val="clear" w:color="auto" w:fill="00315C" w:themeFill="accent4" w:themeFillShade="BF"/>
      </w:tcPr>
    </w:tblStylePr>
    <w:tblStylePr w:type="lastCol">
      <w:rPr>
        <w:color w:val="FFFFFF" w:themeColor="background1"/>
      </w:rPr>
      <w:tblPr/>
      <w:tcPr>
        <w:shd w:val="clear" w:color="auto" w:fill="00315C" w:themeFill="accent4" w:themeFillShade="BF"/>
      </w:tcPr>
    </w:tblStylePr>
    <w:tblStylePr w:type="band1Vert">
      <w:tblPr/>
      <w:tcPr>
        <w:shd w:val="clear" w:color="auto" w:fill="3EA6FF" w:themeFill="accent4" w:themeFillTint="7F"/>
      </w:tcPr>
    </w:tblStylePr>
    <w:tblStylePr w:type="band1Horz">
      <w:tblPr/>
      <w:tcPr>
        <w:shd w:val="clear" w:color="auto" w:fill="3EA6FF" w:themeFill="accent4" w:themeFillTint="7F"/>
      </w:tcPr>
    </w:tblStylePr>
  </w:style>
  <w:style w:type="table" w:styleId="ColorfulGrid-Accent5">
    <w:name w:val="Colorful Grid Accent 5"/>
    <w:basedOn w:val="TableNormal"/>
    <w:uiPriority w:val="73"/>
    <w:semiHidden/>
    <w:unhideWhenUsed/>
    <w:rsid w:val="006633DE"/>
    <w:pPr>
      <w:spacing w:after="260" w:line="240" w:lineRule="auto"/>
    </w:pPr>
    <w:rPr>
      <w:color w:val="000000" w:themeColor="text1"/>
    </w:rPr>
    <w:tblPr>
      <w:tblStyleRowBandSize w:val="1"/>
      <w:tblStyleColBandSize w:val="1"/>
      <w:tblBorders>
        <w:insideH w:val="single" w:sz="4" w:space="0" w:color="FFFFFF" w:themeColor="background1"/>
      </w:tblBorders>
    </w:tblPr>
    <w:tcPr>
      <w:shd w:val="clear" w:color="auto" w:fill="FDF3CD" w:themeFill="accent5" w:themeFillTint="33"/>
    </w:tcPr>
    <w:tblStylePr w:type="firstRow">
      <w:rPr>
        <w:b/>
        <w:bCs/>
      </w:rPr>
      <w:tblPr/>
      <w:tcPr>
        <w:shd w:val="clear" w:color="auto" w:fill="FCE89B" w:themeFill="accent5" w:themeFillTint="66"/>
      </w:tcPr>
    </w:tblStylePr>
    <w:tblStylePr w:type="lastRow">
      <w:rPr>
        <w:b/>
        <w:bCs/>
        <w:color w:val="000000" w:themeColor="text1"/>
      </w:rPr>
      <w:tblPr/>
      <w:tcPr>
        <w:shd w:val="clear" w:color="auto" w:fill="FCE89B" w:themeFill="accent5" w:themeFillTint="66"/>
      </w:tcPr>
    </w:tblStylePr>
    <w:tblStylePr w:type="firstCol">
      <w:rPr>
        <w:color w:val="FFFFFF" w:themeColor="background1"/>
      </w:rPr>
      <w:tblPr/>
      <w:tcPr>
        <w:shd w:val="clear" w:color="auto" w:fill="BA9304" w:themeFill="accent5" w:themeFillShade="BF"/>
      </w:tcPr>
    </w:tblStylePr>
    <w:tblStylePr w:type="lastCol">
      <w:rPr>
        <w:color w:val="FFFFFF" w:themeColor="background1"/>
      </w:rPr>
      <w:tblPr/>
      <w:tcPr>
        <w:shd w:val="clear" w:color="auto" w:fill="BA9304" w:themeFill="accent5" w:themeFillShade="BF"/>
      </w:tcPr>
    </w:tblStylePr>
    <w:tblStylePr w:type="band1Vert">
      <w:tblPr/>
      <w:tcPr>
        <w:shd w:val="clear" w:color="auto" w:fill="FCE282" w:themeFill="accent5" w:themeFillTint="7F"/>
      </w:tcPr>
    </w:tblStylePr>
    <w:tblStylePr w:type="band1Horz">
      <w:tblPr/>
      <w:tcPr>
        <w:shd w:val="clear" w:color="auto" w:fill="FCE282" w:themeFill="accent5" w:themeFillTint="7F"/>
      </w:tcPr>
    </w:tblStylePr>
  </w:style>
  <w:style w:type="table" w:styleId="ColorfulGrid-Accent6">
    <w:name w:val="Colorful Grid Accent 6"/>
    <w:basedOn w:val="TableNormal"/>
    <w:uiPriority w:val="73"/>
    <w:semiHidden/>
    <w:unhideWhenUsed/>
    <w:rsid w:val="006633DE"/>
    <w:pPr>
      <w:spacing w:after="260" w:line="240" w:lineRule="auto"/>
    </w:pPr>
    <w:rPr>
      <w:color w:val="000000" w:themeColor="text1"/>
    </w:rPr>
    <w:tblPr>
      <w:tblStyleRowBandSize w:val="1"/>
      <w:tblStyleColBandSize w:val="1"/>
      <w:tblBorders>
        <w:insideH w:val="single" w:sz="4" w:space="0" w:color="FFFFFF" w:themeColor="background1"/>
      </w:tblBorders>
    </w:tblPr>
    <w:tcPr>
      <w:shd w:val="clear" w:color="auto" w:fill="F3F7D5" w:themeFill="accent6" w:themeFillTint="33"/>
    </w:tcPr>
    <w:tblStylePr w:type="firstRow">
      <w:rPr>
        <w:b/>
        <w:bCs/>
      </w:rPr>
      <w:tblPr/>
      <w:tcPr>
        <w:shd w:val="clear" w:color="auto" w:fill="E7EFAB" w:themeFill="accent6" w:themeFillTint="66"/>
      </w:tcPr>
    </w:tblStylePr>
    <w:tblStylePr w:type="lastRow">
      <w:rPr>
        <w:b/>
        <w:bCs/>
        <w:color w:val="000000" w:themeColor="text1"/>
      </w:rPr>
      <w:tblPr/>
      <w:tcPr>
        <w:shd w:val="clear" w:color="auto" w:fill="E7EFAB" w:themeFill="accent6" w:themeFillTint="66"/>
      </w:tcPr>
    </w:tblStylePr>
    <w:tblStylePr w:type="firstCol">
      <w:rPr>
        <w:color w:val="FFFFFF" w:themeColor="background1"/>
      </w:rPr>
      <w:tblPr/>
      <w:tcPr>
        <w:shd w:val="clear" w:color="auto" w:fill="95A51F" w:themeFill="accent6" w:themeFillShade="BF"/>
      </w:tcPr>
    </w:tblStylePr>
    <w:tblStylePr w:type="lastCol">
      <w:rPr>
        <w:color w:val="FFFFFF" w:themeColor="background1"/>
      </w:rPr>
      <w:tblPr/>
      <w:tcPr>
        <w:shd w:val="clear" w:color="auto" w:fill="95A51F" w:themeFill="accent6" w:themeFillShade="BF"/>
      </w:tcPr>
    </w:tblStylePr>
    <w:tblStylePr w:type="band1Vert">
      <w:tblPr/>
      <w:tcPr>
        <w:shd w:val="clear" w:color="auto" w:fill="E1EB96" w:themeFill="accent6" w:themeFillTint="7F"/>
      </w:tcPr>
    </w:tblStylePr>
    <w:tblStylePr w:type="band1Horz">
      <w:tblPr/>
      <w:tcPr>
        <w:shd w:val="clear" w:color="auto" w:fill="E1EB96" w:themeFill="accent6" w:themeFillTint="7F"/>
      </w:tcPr>
    </w:tblStylePr>
  </w:style>
  <w:style w:type="table" w:styleId="ColorfulList">
    <w:name w:val="Colorful List"/>
    <w:basedOn w:val="TableNormal"/>
    <w:uiPriority w:val="72"/>
    <w:semiHidden/>
    <w:unhideWhenUsed/>
    <w:rsid w:val="006633DE"/>
    <w:pPr>
      <w:spacing w:after="26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08D72" w:themeFill="accent2" w:themeFillShade="CC"/>
      </w:tcPr>
    </w:tblStylePr>
    <w:tblStylePr w:type="lastRow">
      <w:rPr>
        <w:b/>
        <w:bCs/>
        <w:color w:val="008D7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6633DE"/>
    <w:pPr>
      <w:spacing w:after="260" w:line="240" w:lineRule="auto"/>
    </w:pPr>
    <w:rPr>
      <w:color w:val="000000" w:themeColor="text1"/>
    </w:rPr>
    <w:tblPr>
      <w:tblStyleRowBandSize w:val="1"/>
      <w:tblStyleColBandSize w:val="1"/>
    </w:tblPr>
    <w:tcPr>
      <w:shd w:val="clear" w:color="auto" w:fill="ECE5F7" w:themeFill="accent1" w:themeFillTint="19"/>
    </w:tcPr>
    <w:tblStylePr w:type="firstRow">
      <w:rPr>
        <w:b/>
        <w:bCs/>
        <w:color w:val="FFFFFF" w:themeColor="background1"/>
      </w:rPr>
      <w:tblPr/>
      <w:tcPr>
        <w:tcBorders>
          <w:bottom w:val="single" w:sz="12" w:space="0" w:color="FFFFFF" w:themeColor="background1"/>
        </w:tcBorders>
        <w:shd w:val="clear" w:color="auto" w:fill="008D72" w:themeFill="accent2" w:themeFillShade="CC"/>
      </w:tcPr>
    </w:tblStylePr>
    <w:tblStylePr w:type="lastRow">
      <w:rPr>
        <w:b/>
        <w:bCs/>
        <w:color w:val="008D7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FBEEB" w:themeFill="accent1" w:themeFillTint="3F"/>
      </w:tcPr>
    </w:tblStylePr>
    <w:tblStylePr w:type="band1Horz">
      <w:tblPr/>
      <w:tcPr>
        <w:shd w:val="clear" w:color="auto" w:fill="D8CBEF" w:themeFill="accent1" w:themeFillTint="33"/>
      </w:tcPr>
    </w:tblStylePr>
  </w:style>
  <w:style w:type="table" w:styleId="ColorfulList-Accent2">
    <w:name w:val="Colorful List Accent 2"/>
    <w:basedOn w:val="TableNormal"/>
    <w:uiPriority w:val="72"/>
    <w:semiHidden/>
    <w:unhideWhenUsed/>
    <w:rsid w:val="006633DE"/>
    <w:pPr>
      <w:spacing w:after="260" w:line="240" w:lineRule="auto"/>
    </w:pPr>
    <w:rPr>
      <w:color w:val="000000" w:themeColor="text1"/>
    </w:rPr>
    <w:tblPr>
      <w:tblStyleRowBandSize w:val="1"/>
      <w:tblStyleColBandSize w:val="1"/>
    </w:tblPr>
    <w:tcPr>
      <w:shd w:val="clear" w:color="auto" w:fill="DEFFF8" w:themeFill="accent2" w:themeFillTint="19"/>
    </w:tcPr>
    <w:tblStylePr w:type="firstRow">
      <w:rPr>
        <w:b/>
        <w:bCs/>
        <w:color w:val="FFFFFF" w:themeColor="background1"/>
      </w:rPr>
      <w:tblPr/>
      <w:tcPr>
        <w:tcBorders>
          <w:bottom w:val="single" w:sz="12" w:space="0" w:color="FFFFFF" w:themeColor="background1"/>
        </w:tcBorders>
        <w:shd w:val="clear" w:color="auto" w:fill="008D72" w:themeFill="accent2" w:themeFillShade="CC"/>
      </w:tcPr>
    </w:tblStylePr>
    <w:tblStylePr w:type="lastRow">
      <w:rPr>
        <w:b/>
        <w:bCs/>
        <w:color w:val="008D7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EF" w:themeFill="accent2" w:themeFillTint="3F"/>
      </w:tcPr>
    </w:tblStylePr>
    <w:tblStylePr w:type="band1Horz">
      <w:tblPr/>
      <w:tcPr>
        <w:shd w:val="clear" w:color="auto" w:fill="BCFFF2" w:themeFill="accent2" w:themeFillTint="33"/>
      </w:tcPr>
    </w:tblStylePr>
  </w:style>
  <w:style w:type="table" w:styleId="ColorfulList-Accent3">
    <w:name w:val="Colorful List Accent 3"/>
    <w:basedOn w:val="TableNormal"/>
    <w:uiPriority w:val="72"/>
    <w:semiHidden/>
    <w:unhideWhenUsed/>
    <w:rsid w:val="006633DE"/>
    <w:pPr>
      <w:spacing w:after="260" w:line="240" w:lineRule="auto"/>
    </w:pPr>
    <w:rPr>
      <w:color w:val="000000" w:themeColor="text1"/>
    </w:rPr>
    <w:tblPr>
      <w:tblStyleRowBandSize w:val="1"/>
      <w:tblStyleColBandSize w:val="1"/>
    </w:tblPr>
    <w:tcPr>
      <w:shd w:val="clear" w:color="auto" w:fill="EFF9FC" w:themeFill="accent3" w:themeFillTint="19"/>
    </w:tcPr>
    <w:tblStylePr w:type="firstRow">
      <w:rPr>
        <w:b/>
        <w:bCs/>
        <w:color w:val="FFFFFF" w:themeColor="background1"/>
      </w:rPr>
      <w:tblPr/>
      <w:tcPr>
        <w:tcBorders>
          <w:bottom w:val="single" w:sz="12" w:space="0" w:color="FFFFFF" w:themeColor="background1"/>
        </w:tcBorders>
        <w:shd w:val="clear" w:color="auto" w:fill="003562" w:themeFill="accent4" w:themeFillShade="CC"/>
      </w:tcPr>
    </w:tblStylePr>
    <w:tblStylePr w:type="lastRow">
      <w:rPr>
        <w:b/>
        <w:bCs/>
        <w:color w:val="00356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F2F9" w:themeFill="accent3" w:themeFillTint="3F"/>
      </w:tcPr>
    </w:tblStylePr>
    <w:tblStylePr w:type="band1Horz">
      <w:tblPr/>
      <w:tcPr>
        <w:shd w:val="clear" w:color="auto" w:fill="DFF4FA" w:themeFill="accent3" w:themeFillTint="33"/>
      </w:tcPr>
    </w:tblStylePr>
  </w:style>
  <w:style w:type="table" w:styleId="ColorfulList-Accent4">
    <w:name w:val="Colorful List Accent 4"/>
    <w:basedOn w:val="TableNormal"/>
    <w:uiPriority w:val="72"/>
    <w:semiHidden/>
    <w:unhideWhenUsed/>
    <w:rsid w:val="006633DE"/>
    <w:pPr>
      <w:spacing w:after="260" w:line="240" w:lineRule="auto"/>
    </w:pPr>
    <w:rPr>
      <w:color w:val="000000" w:themeColor="text1"/>
    </w:rPr>
    <w:tblPr>
      <w:tblStyleRowBandSize w:val="1"/>
      <w:tblStyleColBandSize w:val="1"/>
    </w:tblPr>
    <w:tcPr>
      <w:shd w:val="clear" w:color="auto" w:fill="D9EDFF" w:themeFill="accent4" w:themeFillTint="19"/>
    </w:tcPr>
    <w:tblStylePr w:type="firstRow">
      <w:rPr>
        <w:b/>
        <w:bCs/>
        <w:color w:val="FFFFFF" w:themeColor="background1"/>
      </w:rPr>
      <w:tblPr/>
      <w:tcPr>
        <w:tcBorders>
          <w:bottom w:val="single" w:sz="12" w:space="0" w:color="FFFFFF" w:themeColor="background1"/>
        </w:tcBorders>
        <w:shd w:val="clear" w:color="auto" w:fill="29B6DF" w:themeFill="accent3" w:themeFillShade="CC"/>
      </w:tcPr>
    </w:tblStylePr>
    <w:tblStylePr w:type="lastRow">
      <w:rPr>
        <w:b/>
        <w:bCs/>
        <w:color w:val="29B6DF"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FD3FF" w:themeFill="accent4" w:themeFillTint="3F"/>
      </w:tcPr>
    </w:tblStylePr>
    <w:tblStylePr w:type="band1Horz">
      <w:tblPr/>
      <w:tcPr>
        <w:shd w:val="clear" w:color="auto" w:fill="B1DBFF" w:themeFill="accent4" w:themeFillTint="33"/>
      </w:tcPr>
    </w:tblStylePr>
  </w:style>
  <w:style w:type="table" w:styleId="ColorfulList-Accent5">
    <w:name w:val="Colorful List Accent 5"/>
    <w:basedOn w:val="TableNormal"/>
    <w:uiPriority w:val="72"/>
    <w:semiHidden/>
    <w:unhideWhenUsed/>
    <w:rsid w:val="006633DE"/>
    <w:pPr>
      <w:spacing w:after="260" w:line="240" w:lineRule="auto"/>
    </w:pPr>
    <w:rPr>
      <w:color w:val="000000" w:themeColor="text1"/>
    </w:rPr>
    <w:tblPr>
      <w:tblStyleRowBandSize w:val="1"/>
      <w:tblStyleColBandSize w:val="1"/>
    </w:tblPr>
    <w:tcPr>
      <w:shd w:val="clear" w:color="auto" w:fill="FEF9E6" w:themeFill="accent5" w:themeFillTint="19"/>
    </w:tcPr>
    <w:tblStylePr w:type="firstRow">
      <w:rPr>
        <w:b/>
        <w:bCs/>
        <w:color w:val="FFFFFF" w:themeColor="background1"/>
      </w:rPr>
      <w:tblPr/>
      <w:tcPr>
        <w:tcBorders>
          <w:bottom w:val="single" w:sz="12" w:space="0" w:color="FFFFFF" w:themeColor="background1"/>
        </w:tcBorders>
        <w:shd w:val="clear" w:color="auto" w:fill="9FB021" w:themeFill="accent6" w:themeFillShade="CC"/>
      </w:tcPr>
    </w:tblStylePr>
    <w:tblStylePr w:type="lastRow">
      <w:rPr>
        <w:b/>
        <w:bCs/>
        <w:color w:val="9FB021"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F0C1" w:themeFill="accent5" w:themeFillTint="3F"/>
      </w:tcPr>
    </w:tblStylePr>
    <w:tblStylePr w:type="band1Horz">
      <w:tblPr/>
      <w:tcPr>
        <w:shd w:val="clear" w:color="auto" w:fill="FDF3CD" w:themeFill="accent5" w:themeFillTint="33"/>
      </w:tcPr>
    </w:tblStylePr>
  </w:style>
  <w:style w:type="table" w:styleId="ColorfulList-Accent6">
    <w:name w:val="Colorful List Accent 6"/>
    <w:basedOn w:val="TableNormal"/>
    <w:uiPriority w:val="72"/>
    <w:semiHidden/>
    <w:unhideWhenUsed/>
    <w:rsid w:val="006633DE"/>
    <w:pPr>
      <w:spacing w:after="260" w:line="240" w:lineRule="auto"/>
    </w:pPr>
    <w:rPr>
      <w:color w:val="000000" w:themeColor="text1"/>
    </w:rPr>
    <w:tblPr>
      <w:tblStyleRowBandSize w:val="1"/>
      <w:tblStyleColBandSize w:val="1"/>
    </w:tblPr>
    <w:tcPr>
      <w:shd w:val="clear" w:color="auto" w:fill="F9FBEA" w:themeFill="accent6" w:themeFillTint="19"/>
    </w:tcPr>
    <w:tblStylePr w:type="firstRow">
      <w:rPr>
        <w:b/>
        <w:bCs/>
        <w:color w:val="FFFFFF" w:themeColor="background1"/>
      </w:rPr>
      <w:tblPr/>
      <w:tcPr>
        <w:tcBorders>
          <w:bottom w:val="single" w:sz="12" w:space="0" w:color="FFFFFF" w:themeColor="background1"/>
        </w:tcBorders>
        <w:shd w:val="clear" w:color="auto" w:fill="C79E04" w:themeFill="accent5" w:themeFillShade="CC"/>
      </w:tcPr>
    </w:tblStylePr>
    <w:tblStylePr w:type="lastRow">
      <w:rPr>
        <w:b/>
        <w:bCs/>
        <w:color w:val="C79E04"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0F5CB" w:themeFill="accent6" w:themeFillTint="3F"/>
      </w:tcPr>
    </w:tblStylePr>
    <w:tblStylePr w:type="band1Horz">
      <w:tblPr/>
      <w:tcPr>
        <w:shd w:val="clear" w:color="auto" w:fill="F3F7D5" w:themeFill="accent6" w:themeFillTint="33"/>
      </w:tcPr>
    </w:tblStylePr>
  </w:style>
  <w:style w:type="table" w:styleId="ColorfulShading">
    <w:name w:val="Colorful Shading"/>
    <w:basedOn w:val="TableNormal"/>
    <w:uiPriority w:val="71"/>
    <w:semiHidden/>
    <w:unhideWhenUsed/>
    <w:rsid w:val="006633DE"/>
    <w:pPr>
      <w:spacing w:after="260" w:line="240" w:lineRule="auto"/>
    </w:pPr>
    <w:rPr>
      <w:color w:val="000000" w:themeColor="text1"/>
    </w:rPr>
    <w:tblPr>
      <w:tblStyleRowBandSize w:val="1"/>
      <w:tblStyleColBandSize w:val="1"/>
      <w:tblBorders>
        <w:top w:val="single" w:sz="24" w:space="0" w:color="00B18F"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00B18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6633DE"/>
    <w:pPr>
      <w:spacing w:after="260" w:line="240" w:lineRule="auto"/>
    </w:pPr>
    <w:rPr>
      <w:color w:val="000000" w:themeColor="text1"/>
    </w:rPr>
    <w:tblPr>
      <w:tblStyleRowBandSize w:val="1"/>
      <w:tblStyleColBandSize w:val="1"/>
      <w:tblBorders>
        <w:top w:val="single" w:sz="24" w:space="0" w:color="00B18F" w:themeColor="accent2"/>
        <w:left w:val="single" w:sz="4" w:space="0" w:color="4B2884" w:themeColor="accent1"/>
        <w:bottom w:val="single" w:sz="4" w:space="0" w:color="4B2884" w:themeColor="accent1"/>
        <w:right w:val="single" w:sz="4" w:space="0" w:color="4B2884" w:themeColor="accent1"/>
        <w:insideH w:val="single" w:sz="4" w:space="0" w:color="FFFFFF" w:themeColor="background1"/>
        <w:insideV w:val="single" w:sz="4" w:space="0" w:color="FFFFFF" w:themeColor="background1"/>
      </w:tblBorders>
    </w:tblPr>
    <w:tcPr>
      <w:shd w:val="clear" w:color="auto" w:fill="ECE5F7" w:themeFill="accent1" w:themeFillTint="19"/>
    </w:tcPr>
    <w:tblStylePr w:type="firstRow">
      <w:rPr>
        <w:b/>
        <w:bCs/>
      </w:rPr>
      <w:tblPr/>
      <w:tcPr>
        <w:tcBorders>
          <w:top w:val="nil"/>
          <w:left w:val="nil"/>
          <w:bottom w:val="single" w:sz="24" w:space="0" w:color="00B18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184F" w:themeFill="accent1" w:themeFillShade="99"/>
      </w:tcPr>
    </w:tblStylePr>
    <w:tblStylePr w:type="firstCol">
      <w:rPr>
        <w:color w:val="FFFFFF" w:themeColor="background1"/>
      </w:rPr>
      <w:tblPr/>
      <w:tcPr>
        <w:tcBorders>
          <w:top w:val="nil"/>
          <w:left w:val="nil"/>
          <w:bottom w:val="nil"/>
          <w:right w:val="nil"/>
          <w:insideH w:val="single" w:sz="4" w:space="0" w:color="2C184F" w:themeColor="accent1" w:themeShade="99"/>
          <w:insideV w:val="nil"/>
        </w:tcBorders>
        <w:shd w:val="clear" w:color="auto" w:fill="2C184F"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184F" w:themeFill="accent1" w:themeFillShade="99"/>
      </w:tcPr>
    </w:tblStylePr>
    <w:tblStylePr w:type="band1Vert">
      <w:tblPr/>
      <w:tcPr>
        <w:shd w:val="clear" w:color="auto" w:fill="B297DF" w:themeFill="accent1" w:themeFillTint="66"/>
      </w:tcPr>
    </w:tblStylePr>
    <w:tblStylePr w:type="band1Horz">
      <w:tblPr/>
      <w:tcPr>
        <w:shd w:val="clear" w:color="auto" w:fill="9F7DD7"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6633DE"/>
    <w:pPr>
      <w:spacing w:after="260" w:line="240" w:lineRule="auto"/>
    </w:pPr>
    <w:rPr>
      <w:color w:val="000000" w:themeColor="text1"/>
    </w:rPr>
    <w:tblPr>
      <w:tblStyleRowBandSize w:val="1"/>
      <w:tblStyleColBandSize w:val="1"/>
      <w:tblBorders>
        <w:top w:val="single" w:sz="24" w:space="0" w:color="00B18F" w:themeColor="accent2"/>
        <w:left w:val="single" w:sz="4" w:space="0" w:color="00B18F" w:themeColor="accent2"/>
        <w:bottom w:val="single" w:sz="4" w:space="0" w:color="00B18F" w:themeColor="accent2"/>
        <w:right w:val="single" w:sz="4" w:space="0" w:color="00B18F" w:themeColor="accent2"/>
        <w:insideH w:val="single" w:sz="4" w:space="0" w:color="FFFFFF" w:themeColor="background1"/>
        <w:insideV w:val="single" w:sz="4" w:space="0" w:color="FFFFFF" w:themeColor="background1"/>
      </w:tblBorders>
    </w:tblPr>
    <w:tcPr>
      <w:shd w:val="clear" w:color="auto" w:fill="DEFFF8" w:themeFill="accent2" w:themeFillTint="19"/>
    </w:tcPr>
    <w:tblStylePr w:type="firstRow">
      <w:rPr>
        <w:b/>
        <w:bCs/>
      </w:rPr>
      <w:tblPr/>
      <w:tcPr>
        <w:tcBorders>
          <w:top w:val="nil"/>
          <w:left w:val="nil"/>
          <w:bottom w:val="single" w:sz="24" w:space="0" w:color="00B18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55" w:themeFill="accent2" w:themeFillShade="99"/>
      </w:tcPr>
    </w:tblStylePr>
    <w:tblStylePr w:type="firstCol">
      <w:rPr>
        <w:color w:val="FFFFFF" w:themeColor="background1"/>
      </w:rPr>
      <w:tblPr/>
      <w:tcPr>
        <w:tcBorders>
          <w:top w:val="nil"/>
          <w:left w:val="nil"/>
          <w:bottom w:val="nil"/>
          <w:right w:val="nil"/>
          <w:insideH w:val="single" w:sz="4" w:space="0" w:color="006A55" w:themeColor="accent2" w:themeShade="99"/>
          <w:insideV w:val="nil"/>
        </w:tcBorders>
        <w:shd w:val="clear" w:color="auto" w:fill="006A55"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6A55" w:themeFill="accent2" w:themeFillShade="99"/>
      </w:tcPr>
    </w:tblStylePr>
    <w:tblStylePr w:type="band1Vert">
      <w:tblPr/>
      <w:tcPr>
        <w:shd w:val="clear" w:color="auto" w:fill="79FFE5" w:themeFill="accent2" w:themeFillTint="66"/>
      </w:tcPr>
    </w:tblStylePr>
    <w:tblStylePr w:type="band1Horz">
      <w:tblPr/>
      <w:tcPr>
        <w:shd w:val="clear" w:color="auto" w:fill="59FFDF"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6633DE"/>
    <w:pPr>
      <w:spacing w:after="260" w:line="240" w:lineRule="auto"/>
    </w:pPr>
    <w:rPr>
      <w:color w:val="000000" w:themeColor="text1"/>
    </w:rPr>
    <w:tblPr>
      <w:tblStyleRowBandSize w:val="1"/>
      <w:tblStyleColBandSize w:val="1"/>
      <w:tblBorders>
        <w:top w:val="single" w:sz="24" w:space="0" w:color="00437B" w:themeColor="accent4"/>
        <w:left w:val="single" w:sz="4" w:space="0" w:color="64CBE8" w:themeColor="accent3"/>
        <w:bottom w:val="single" w:sz="4" w:space="0" w:color="64CBE8" w:themeColor="accent3"/>
        <w:right w:val="single" w:sz="4" w:space="0" w:color="64CBE8" w:themeColor="accent3"/>
        <w:insideH w:val="single" w:sz="4" w:space="0" w:color="FFFFFF" w:themeColor="background1"/>
        <w:insideV w:val="single" w:sz="4" w:space="0" w:color="FFFFFF" w:themeColor="background1"/>
      </w:tblBorders>
    </w:tblPr>
    <w:tcPr>
      <w:shd w:val="clear" w:color="auto" w:fill="EFF9FC" w:themeFill="accent3" w:themeFillTint="19"/>
    </w:tcPr>
    <w:tblStylePr w:type="firstRow">
      <w:rPr>
        <w:b/>
        <w:bCs/>
      </w:rPr>
      <w:tblPr/>
      <w:tcPr>
        <w:tcBorders>
          <w:top w:val="nil"/>
          <w:left w:val="nil"/>
          <w:bottom w:val="single" w:sz="24" w:space="0" w:color="00437B"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98CAD" w:themeFill="accent3" w:themeFillShade="99"/>
      </w:tcPr>
    </w:tblStylePr>
    <w:tblStylePr w:type="firstCol">
      <w:rPr>
        <w:color w:val="FFFFFF" w:themeColor="background1"/>
      </w:rPr>
      <w:tblPr/>
      <w:tcPr>
        <w:tcBorders>
          <w:top w:val="nil"/>
          <w:left w:val="nil"/>
          <w:bottom w:val="nil"/>
          <w:right w:val="nil"/>
          <w:insideH w:val="single" w:sz="4" w:space="0" w:color="198CAD" w:themeColor="accent3" w:themeShade="99"/>
          <w:insideV w:val="nil"/>
        </w:tcBorders>
        <w:shd w:val="clear" w:color="auto" w:fill="198CAD"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198CAD" w:themeFill="accent3" w:themeFillShade="99"/>
      </w:tcPr>
    </w:tblStylePr>
    <w:tblStylePr w:type="band1Vert">
      <w:tblPr/>
      <w:tcPr>
        <w:shd w:val="clear" w:color="auto" w:fill="C0E9F5" w:themeFill="accent3" w:themeFillTint="66"/>
      </w:tcPr>
    </w:tblStylePr>
    <w:tblStylePr w:type="band1Horz">
      <w:tblPr/>
      <w:tcPr>
        <w:shd w:val="clear" w:color="auto" w:fill="B1E4F3" w:themeFill="accent3" w:themeFillTint="7F"/>
      </w:tcPr>
    </w:tblStylePr>
  </w:style>
  <w:style w:type="table" w:styleId="ColorfulShading-Accent4">
    <w:name w:val="Colorful Shading Accent 4"/>
    <w:basedOn w:val="TableNormal"/>
    <w:uiPriority w:val="71"/>
    <w:semiHidden/>
    <w:unhideWhenUsed/>
    <w:rsid w:val="006633DE"/>
    <w:pPr>
      <w:spacing w:after="260" w:line="240" w:lineRule="auto"/>
    </w:pPr>
    <w:rPr>
      <w:color w:val="000000" w:themeColor="text1"/>
    </w:rPr>
    <w:tblPr>
      <w:tblStyleRowBandSize w:val="1"/>
      <w:tblStyleColBandSize w:val="1"/>
      <w:tblBorders>
        <w:top w:val="single" w:sz="24" w:space="0" w:color="64CBE8" w:themeColor="accent3"/>
        <w:left w:val="single" w:sz="4" w:space="0" w:color="00437B" w:themeColor="accent4"/>
        <w:bottom w:val="single" w:sz="4" w:space="0" w:color="00437B" w:themeColor="accent4"/>
        <w:right w:val="single" w:sz="4" w:space="0" w:color="00437B" w:themeColor="accent4"/>
        <w:insideH w:val="single" w:sz="4" w:space="0" w:color="FFFFFF" w:themeColor="background1"/>
        <w:insideV w:val="single" w:sz="4" w:space="0" w:color="FFFFFF" w:themeColor="background1"/>
      </w:tblBorders>
    </w:tblPr>
    <w:tcPr>
      <w:shd w:val="clear" w:color="auto" w:fill="D9EDFF" w:themeFill="accent4" w:themeFillTint="19"/>
    </w:tcPr>
    <w:tblStylePr w:type="firstRow">
      <w:rPr>
        <w:b/>
        <w:bCs/>
      </w:rPr>
      <w:tblPr/>
      <w:tcPr>
        <w:tcBorders>
          <w:top w:val="nil"/>
          <w:left w:val="nil"/>
          <w:bottom w:val="single" w:sz="24" w:space="0" w:color="64CBE8"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2749" w:themeFill="accent4" w:themeFillShade="99"/>
      </w:tcPr>
    </w:tblStylePr>
    <w:tblStylePr w:type="firstCol">
      <w:rPr>
        <w:color w:val="FFFFFF" w:themeColor="background1"/>
      </w:rPr>
      <w:tblPr/>
      <w:tcPr>
        <w:tcBorders>
          <w:top w:val="nil"/>
          <w:left w:val="nil"/>
          <w:bottom w:val="nil"/>
          <w:right w:val="nil"/>
          <w:insideH w:val="single" w:sz="4" w:space="0" w:color="002749" w:themeColor="accent4" w:themeShade="99"/>
          <w:insideV w:val="nil"/>
        </w:tcBorders>
        <w:shd w:val="clear" w:color="auto" w:fill="002749"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02749" w:themeFill="accent4" w:themeFillShade="99"/>
      </w:tcPr>
    </w:tblStylePr>
    <w:tblStylePr w:type="band1Vert">
      <w:tblPr/>
      <w:tcPr>
        <w:shd w:val="clear" w:color="auto" w:fill="64B7FF" w:themeFill="accent4" w:themeFillTint="66"/>
      </w:tcPr>
    </w:tblStylePr>
    <w:tblStylePr w:type="band1Horz">
      <w:tblPr/>
      <w:tcPr>
        <w:shd w:val="clear" w:color="auto" w:fill="3EA6FF"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6633DE"/>
    <w:pPr>
      <w:spacing w:after="260" w:line="240" w:lineRule="auto"/>
    </w:pPr>
    <w:rPr>
      <w:color w:val="000000" w:themeColor="text1"/>
    </w:rPr>
    <w:tblPr>
      <w:tblStyleRowBandSize w:val="1"/>
      <w:tblStyleColBandSize w:val="1"/>
      <w:tblBorders>
        <w:top w:val="single" w:sz="24" w:space="0" w:color="C4D82E" w:themeColor="accent6"/>
        <w:left w:val="single" w:sz="4" w:space="0" w:color="F9C606" w:themeColor="accent5"/>
        <w:bottom w:val="single" w:sz="4" w:space="0" w:color="F9C606" w:themeColor="accent5"/>
        <w:right w:val="single" w:sz="4" w:space="0" w:color="F9C606" w:themeColor="accent5"/>
        <w:insideH w:val="single" w:sz="4" w:space="0" w:color="FFFFFF" w:themeColor="background1"/>
        <w:insideV w:val="single" w:sz="4" w:space="0" w:color="FFFFFF" w:themeColor="background1"/>
      </w:tblBorders>
    </w:tblPr>
    <w:tcPr>
      <w:shd w:val="clear" w:color="auto" w:fill="FEF9E6" w:themeFill="accent5" w:themeFillTint="19"/>
    </w:tcPr>
    <w:tblStylePr w:type="firstRow">
      <w:rPr>
        <w:b/>
        <w:bCs/>
      </w:rPr>
      <w:tblPr/>
      <w:tcPr>
        <w:tcBorders>
          <w:top w:val="nil"/>
          <w:left w:val="nil"/>
          <w:bottom w:val="single" w:sz="24" w:space="0" w:color="C4D82E"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57603" w:themeFill="accent5" w:themeFillShade="99"/>
      </w:tcPr>
    </w:tblStylePr>
    <w:tblStylePr w:type="firstCol">
      <w:rPr>
        <w:color w:val="FFFFFF" w:themeColor="background1"/>
      </w:rPr>
      <w:tblPr/>
      <w:tcPr>
        <w:tcBorders>
          <w:top w:val="nil"/>
          <w:left w:val="nil"/>
          <w:bottom w:val="nil"/>
          <w:right w:val="nil"/>
          <w:insideH w:val="single" w:sz="4" w:space="0" w:color="957603" w:themeColor="accent5" w:themeShade="99"/>
          <w:insideV w:val="nil"/>
        </w:tcBorders>
        <w:shd w:val="clear" w:color="auto" w:fill="95760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957603" w:themeFill="accent5" w:themeFillShade="99"/>
      </w:tcPr>
    </w:tblStylePr>
    <w:tblStylePr w:type="band1Vert">
      <w:tblPr/>
      <w:tcPr>
        <w:shd w:val="clear" w:color="auto" w:fill="FCE89B" w:themeFill="accent5" w:themeFillTint="66"/>
      </w:tcPr>
    </w:tblStylePr>
    <w:tblStylePr w:type="band1Horz">
      <w:tblPr/>
      <w:tcPr>
        <w:shd w:val="clear" w:color="auto" w:fill="FCE28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6633DE"/>
    <w:pPr>
      <w:spacing w:after="260" w:line="240" w:lineRule="auto"/>
    </w:pPr>
    <w:rPr>
      <w:color w:val="000000" w:themeColor="text1"/>
    </w:rPr>
    <w:tblPr>
      <w:tblStyleRowBandSize w:val="1"/>
      <w:tblStyleColBandSize w:val="1"/>
      <w:tblBorders>
        <w:top w:val="single" w:sz="24" w:space="0" w:color="F9C606" w:themeColor="accent5"/>
        <w:left w:val="single" w:sz="4" w:space="0" w:color="C4D82E" w:themeColor="accent6"/>
        <w:bottom w:val="single" w:sz="4" w:space="0" w:color="C4D82E" w:themeColor="accent6"/>
        <w:right w:val="single" w:sz="4" w:space="0" w:color="C4D82E" w:themeColor="accent6"/>
        <w:insideH w:val="single" w:sz="4" w:space="0" w:color="FFFFFF" w:themeColor="background1"/>
        <w:insideV w:val="single" w:sz="4" w:space="0" w:color="FFFFFF" w:themeColor="background1"/>
      </w:tblBorders>
    </w:tblPr>
    <w:tcPr>
      <w:shd w:val="clear" w:color="auto" w:fill="F9FBEA" w:themeFill="accent6" w:themeFillTint="19"/>
    </w:tcPr>
    <w:tblStylePr w:type="firstRow">
      <w:rPr>
        <w:b/>
        <w:bCs/>
      </w:rPr>
      <w:tblPr/>
      <w:tcPr>
        <w:tcBorders>
          <w:top w:val="nil"/>
          <w:left w:val="nil"/>
          <w:bottom w:val="single" w:sz="24" w:space="0" w:color="F9C60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8418" w:themeFill="accent6" w:themeFillShade="99"/>
      </w:tcPr>
    </w:tblStylePr>
    <w:tblStylePr w:type="firstCol">
      <w:rPr>
        <w:color w:val="FFFFFF" w:themeColor="background1"/>
      </w:rPr>
      <w:tblPr/>
      <w:tcPr>
        <w:tcBorders>
          <w:top w:val="nil"/>
          <w:left w:val="nil"/>
          <w:bottom w:val="nil"/>
          <w:right w:val="nil"/>
          <w:insideH w:val="single" w:sz="4" w:space="0" w:color="778418" w:themeColor="accent6" w:themeShade="99"/>
          <w:insideV w:val="nil"/>
        </w:tcBorders>
        <w:shd w:val="clear" w:color="auto" w:fill="77841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778418" w:themeFill="accent6" w:themeFillShade="99"/>
      </w:tcPr>
    </w:tblStylePr>
    <w:tblStylePr w:type="band1Vert">
      <w:tblPr/>
      <w:tcPr>
        <w:shd w:val="clear" w:color="auto" w:fill="E7EFAB" w:themeFill="accent6" w:themeFillTint="66"/>
      </w:tcPr>
    </w:tblStylePr>
    <w:tblStylePr w:type="band1Horz">
      <w:tblPr/>
      <w:tcPr>
        <w:shd w:val="clear" w:color="auto" w:fill="E1EB96"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rsid w:val="006633DE"/>
    <w:rPr>
      <w:sz w:val="16"/>
      <w:szCs w:val="16"/>
      <w:lang w:val="en-AU"/>
    </w:rPr>
  </w:style>
  <w:style w:type="paragraph" w:styleId="CommentText">
    <w:name w:val="annotation text"/>
    <w:basedOn w:val="Normal"/>
    <w:link w:val="CommentTextChar"/>
    <w:uiPriority w:val="99"/>
    <w:rsid w:val="006633DE"/>
    <w:pPr>
      <w:spacing w:line="240" w:lineRule="auto"/>
    </w:pPr>
  </w:style>
  <w:style w:type="character" w:customStyle="1" w:styleId="CommentTextChar">
    <w:name w:val="Comment Text Char"/>
    <w:basedOn w:val="DefaultParagraphFont"/>
    <w:link w:val="CommentText"/>
    <w:uiPriority w:val="99"/>
    <w:rsid w:val="006633DE"/>
    <w:rPr>
      <w:lang w:val="en-AU"/>
    </w:rPr>
  </w:style>
  <w:style w:type="paragraph" w:styleId="CommentSubject">
    <w:name w:val="annotation subject"/>
    <w:basedOn w:val="CommentText"/>
    <w:next w:val="CommentText"/>
    <w:link w:val="CommentSubjectChar"/>
    <w:uiPriority w:val="99"/>
    <w:semiHidden/>
    <w:rsid w:val="006633DE"/>
    <w:rPr>
      <w:b/>
      <w:bCs/>
    </w:rPr>
  </w:style>
  <w:style w:type="character" w:customStyle="1" w:styleId="CommentSubjectChar">
    <w:name w:val="Comment Subject Char"/>
    <w:basedOn w:val="CommentTextChar"/>
    <w:link w:val="CommentSubject"/>
    <w:uiPriority w:val="99"/>
    <w:semiHidden/>
    <w:rsid w:val="006633DE"/>
    <w:rPr>
      <w:b/>
      <w:bCs/>
      <w:lang w:val="en-AU"/>
    </w:rPr>
  </w:style>
  <w:style w:type="table" w:styleId="DarkList">
    <w:name w:val="Dark List"/>
    <w:basedOn w:val="TableNormal"/>
    <w:uiPriority w:val="70"/>
    <w:semiHidden/>
    <w:unhideWhenUsed/>
    <w:rsid w:val="006633DE"/>
    <w:pPr>
      <w:spacing w:after="26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6633DE"/>
    <w:pPr>
      <w:spacing w:after="260" w:line="240" w:lineRule="auto"/>
    </w:pPr>
    <w:rPr>
      <w:color w:val="FFFFFF" w:themeColor="background1"/>
    </w:rPr>
    <w:tblPr>
      <w:tblStyleRowBandSize w:val="1"/>
      <w:tblStyleColBandSize w:val="1"/>
    </w:tblPr>
    <w:tcPr>
      <w:shd w:val="clear" w:color="auto" w:fill="4B2884"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51441"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81E62"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81E62" w:themeFill="accent1" w:themeFillShade="BF"/>
      </w:tcPr>
    </w:tblStylePr>
    <w:tblStylePr w:type="band1Vert">
      <w:tblPr/>
      <w:tcPr>
        <w:tcBorders>
          <w:top w:val="nil"/>
          <w:left w:val="nil"/>
          <w:bottom w:val="nil"/>
          <w:right w:val="nil"/>
          <w:insideH w:val="nil"/>
          <w:insideV w:val="nil"/>
        </w:tcBorders>
        <w:shd w:val="clear" w:color="auto" w:fill="381E62" w:themeFill="accent1" w:themeFillShade="BF"/>
      </w:tcPr>
    </w:tblStylePr>
    <w:tblStylePr w:type="band1Horz">
      <w:tblPr/>
      <w:tcPr>
        <w:tcBorders>
          <w:top w:val="nil"/>
          <w:left w:val="nil"/>
          <w:bottom w:val="nil"/>
          <w:right w:val="nil"/>
          <w:insideH w:val="nil"/>
          <w:insideV w:val="nil"/>
        </w:tcBorders>
        <w:shd w:val="clear" w:color="auto" w:fill="381E62" w:themeFill="accent1" w:themeFillShade="BF"/>
      </w:tcPr>
    </w:tblStylePr>
  </w:style>
  <w:style w:type="table" w:styleId="DarkList-Accent2">
    <w:name w:val="Dark List Accent 2"/>
    <w:basedOn w:val="TableNormal"/>
    <w:uiPriority w:val="70"/>
    <w:semiHidden/>
    <w:unhideWhenUsed/>
    <w:rsid w:val="006633DE"/>
    <w:pPr>
      <w:spacing w:after="260" w:line="240" w:lineRule="auto"/>
    </w:pPr>
    <w:rPr>
      <w:color w:val="FFFFFF" w:themeColor="background1"/>
    </w:rPr>
    <w:tblPr>
      <w:tblStyleRowBandSize w:val="1"/>
      <w:tblStyleColBandSize w:val="1"/>
    </w:tblPr>
    <w:tcPr>
      <w:shd w:val="clear" w:color="auto" w:fill="00B18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847"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846A"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846A" w:themeFill="accent2" w:themeFillShade="BF"/>
      </w:tcPr>
    </w:tblStylePr>
    <w:tblStylePr w:type="band1Vert">
      <w:tblPr/>
      <w:tcPr>
        <w:tcBorders>
          <w:top w:val="nil"/>
          <w:left w:val="nil"/>
          <w:bottom w:val="nil"/>
          <w:right w:val="nil"/>
          <w:insideH w:val="nil"/>
          <w:insideV w:val="nil"/>
        </w:tcBorders>
        <w:shd w:val="clear" w:color="auto" w:fill="00846A" w:themeFill="accent2" w:themeFillShade="BF"/>
      </w:tcPr>
    </w:tblStylePr>
    <w:tblStylePr w:type="band1Horz">
      <w:tblPr/>
      <w:tcPr>
        <w:tcBorders>
          <w:top w:val="nil"/>
          <w:left w:val="nil"/>
          <w:bottom w:val="nil"/>
          <w:right w:val="nil"/>
          <w:insideH w:val="nil"/>
          <w:insideV w:val="nil"/>
        </w:tcBorders>
        <w:shd w:val="clear" w:color="auto" w:fill="00846A" w:themeFill="accent2" w:themeFillShade="BF"/>
      </w:tcPr>
    </w:tblStylePr>
  </w:style>
  <w:style w:type="table" w:styleId="DarkList-Accent3">
    <w:name w:val="Dark List Accent 3"/>
    <w:basedOn w:val="TableNormal"/>
    <w:uiPriority w:val="70"/>
    <w:semiHidden/>
    <w:unhideWhenUsed/>
    <w:rsid w:val="006633DE"/>
    <w:pPr>
      <w:spacing w:after="260" w:line="240" w:lineRule="auto"/>
    </w:pPr>
    <w:rPr>
      <w:color w:val="FFFFFF" w:themeColor="background1"/>
    </w:rPr>
    <w:tblPr>
      <w:tblStyleRowBandSize w:val="1"/>
      <w:tblStyleColBandSize w:val="1"/>
    </w:tblPr>
    <w:tcPr>
      <w:shd w:val="clear" w:color="auto" w:fill="64CBE8"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5748F"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20AFD8"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20AFD8" w:themeFill="accent3" w:themeFillShade="BF"/>
      </w:tcPr>
    </w:tblStylePr>
    <w:tblStylePr w:type="band1Vert">
      <w:tblPr/>
      <w:tcPr>
        <w:tcBorders>
          <w:top w:val="nil"/>
          <w:left w:val="nil"/>
          <w:bottom w:val="nil"/>
          <w:right w:val="nil"/>
          <w:insideH w:val="nil"/>
          <w:insideV w:val="nil"/>
        </w:tcBorders>
        <w:shd w:val="clear" w:color="auto" w:fill="20AFD8" w:themeFill="accent3" w:themeFillShade="BF"/>
      </w:tcPr>
    </w:tblStylePr>
    <w:tblStylePr w:type="band1Horz">
      <w:tblPr/>
      <w:tcPr>
        <w:tcBorders>
          <w:top w:val="nil"/>
          <w:left w:val="nil"/>
          <w:bottom w:val="nil"/>
          <w:right w:val="nil"/>
          <w:insideH w:val="nil"/>
          <w:insideV w:val="nil"/>
        </w:tcBorders>
        <w:shd w:val="clear" w:color="auto" w:fill="20AFD8" w:themeFill="accent3" w:themeFillShade="BF"/>
      </w:tcPr>
    </w:tblStylePr>
  </w:style>
  <w:style w:type="table" w:styleId="DarkList-Accent4">
    <w:name w:val="Dark List Accent 4"/>
    <w:basedOn w:val="TableNormal"/>
    <w:uiPriority w:val="70"/>
    <w:semiHidden/>
    <w:unhideWhenUsed/>
    <w:rsid w:val="006633DE"/>
    <w:pPr>
      <w:spacing w:after="260" w:line="240" w:lineRule="auto"/>
    </w:pPr>
    <w:rPr>
      <w:color w:val="FFFFFF" w:themeColor="background1"/>
    </w:rPr>
    <w:tblPr>
      <w:tblStyleRowBandSize w:val="1"/>
      <w:tblStyleColBandSize w:val="1"/>
    </w:tblPr>
    <w:tcPr>
      <w:shd w:val="clear" w:color="auto" w:fill="00437B"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213D"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0315C"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0315C" w:themeFill="accent4" w:themeFillShade="BF"/>
      </w:tcPr>
    </w:tblStylePr>
    <w:tblStylePr w:type="band1Vert">
      <w:tblPr/>
      <w:tcPr>
        <w:tcBorders>
          <w:top w:val="nil"/>
          <w:left w:val="nil"/>
          <w:bottom w:val="nil"/>
          <w:right w:val="nil"/>
          <w:insideH w:val="nil"/>
          <w:insideV w:val="nil"/>
        </w:tcBorders>
        <w:shd w:val="clear" w:color="auto" w:fill="00315C" w:themeFill="accent4" w:themeFillShade="BF"/>
      </w:tcPr>
    </w:tblStylePr>
    <w:tblStylePr w:type="band1Horz">
      <w:tblPr/>
      <w:tcPr>
        <w:tcBorders>
          <w:top w:val="nil"/>
          <w:left w:val="nil"/>
          <w:bottom w:val="nil"/>
          <w:right w:val="nil"/>
          <w:insideH w:val="nil"/>
          <w:insideV w:val="nil"/>
        </w:tcBorders>
        <w:shd w:val="clear" w:color="auto" w:fill="00315C" w:themeFill="accent4" w:themeFillShade="BF"/>
      </w:tcPr>
    </w:tblStylePr>
  </w:style>
  <w:style w:type="table" w:styleId="DarkList-Accent5">
    <w:name w:val="Dark List Accent 5"/>
    <w:basedOn w:val="TableNormal"/>
    <w:uiPriority w:val="70"/>
    <w:semiHidden/>
    <w:unhideWhenUsed/>
    <w:rsid w:val="006633DE"/>
    <w:pPr>
      <w:spacing w:after="260" w:line="240" w:lineRule="auto"/>
    </w:pPr>
    <w:rPr>
      <w:color w:val="FFFFFF" w:themeColor="background1"/>
    </w:rPr>
    <w:tblPr>
      <w:tblStyleRowBandSize w:val="1"/>
      <w:tblStyleColBandSize w:val="1"/>
    </w:tblPr>
    <w:tcPr>
      <w:shd w:val="clear" w:color="auto" w:fill="F9C60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C620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BA9304"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BA9304" w:themeFill="accent5" w:themeFillShade="BF"/>
      </w:tcPr>
    </w:tblStylePr>
    <w:tblStylePr w:type="band1Vert">
      <w:tblPr/>
      <w:tcPr>
        <w:tcBorders>
          <w:top w:val="nil"/>
          <w:left w:val="nil"/>
          <w:bottom w:val="nil"/>
          <w:right w:val="nil"/>
          <w:insideH w:val="nil"/>
          <w:insideV w:val="nil"/>
        </w:tcBorders>
        <w:shd w:val="clear" w:color="auto" w:fill="BA9304" w:themeFill="accent5" w:themeFillShade="BF"/>
      </w:tcPr>
    </w:tblStylePr>
    <w:tblStylePr w:type="band1Horz">
      <w:tblPr/>
      <w:tcPr>
        <w:tcBorders>
          <w:top w:val="nil"/>
          <w:left w:val="nil"/>
          <w:bottom w:val="nil"/>
          <w:right w:val="nil"/>
          <w:insideH w:val="nil"/>
          <w:insideV w:val="nil"/>
        </w:tcBorders>
        <w:shd w:val="clear" w:color="auto" w:fill="BA9304" w:themeFill="accent5" w:themeFillShade="BF"/>
      </w:tcPr>
    </w:tblStylePr>
  </w:style>
  <w:style w:type="table" w:styleId="DarkList-Accent6">
    <w:name w:val="Dark List Accent 6"/>
    <w:basedOn w:val="TableNormal"/>
    <w:uiPriority w:val="70"/>
    <w:semiHidden/>
    <w:unhideWhenUsed/>
    <w:rsid w:val="006633DE"/>
    <w:pPr>
      <w:spacing w:after="260" w:line="240" w:lineRule="auto"/>
    </w:pPr>
    <w:rPr>
      <w:color w:val="FFFFFF" w:themeColor="background1"/>
    </w:rPr>
    <w:tblPr>
      <w:tblStyleRowBandSize w:val="1"/>
      <w:tblStyleColBandSize w:val="1"/>
    </w:tblPr>
    <w:tcPr>
      <w:shd w:val="clear" w:color="auto" w:fill="C4D82E"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36D14"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95A51F"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95A51F" w:themeFill="accent6" w:themeFillShade="BF"/>
      </w:tcPr>
    </w:tblStylePr>
    <w:tblStylePr w:type="band1Vert">
      <w:tblPr/>
      <w:tcPr>
        <w:tcBorders>
          <w:top w:val="nil"/>
          <w:left w:val="nil"/>
          <w:bottom w:val="nil"/>
          <w:right w:val="nil"/>
          <w:insideH w:val="nil"/>
          <w:insideV w:val="nil"/>
        </w:tcBorders>
        <w:shd w:val="clear" w:color="auto" w:fill="95A51F" w:themeFill="accent6" w:themeFillShade="BF"/>
      </w:tcPr>
    </w:tblStylePr>
    <w:tblStylePr w:type="band1Horz">
      <w:tblPr/>
      <w:tcPr>
        <w:tcBorders>
          <w:top w:val="nil"/>
          <w:left w:val="nil"/>
          <w:bottom w:val="nil"/>
          <w:right w:val="nil"/>
          <w:insideH w:val="nil"/>
          <w:insideV w:val="nil"/>
        </w:tcBorders>
        <w:shd w:val="clear" w:color="auto" w:fill="95A51F" w:themeFill="accent6" w:themeFillShade="BF"/>
      </w:tcPr>
    </w:tblStylePr>
  </w:style>
  <w:style w:type="paragraph" w:styleId="Date">
    <w:name w:val="Date"/>
    <w:basedOn w:val="Normal"/>
    <w:next w:val="Normal"/>
    <w:link w:val="DateChar"/>
    <w:uiPriority w:val="99"/>
    <w:semiHidden/>
    <w:rsid w:val="006633DE"/>
  </w:style>
  <w:style w:type="character" w:customStyle="1" w:styleId="DateChar">
    <w:name w:val="Date Char"/>
    <w:basedOn w:val="DefaultParagraphFont"/>
    <w:link w:val="Date"/>
    <w:uiPriority w:val="99"/>
    <w:semiHidden/>
    <w:rsid w:val="006633DE"/>
    <w:rPr>
      <w:lang w:val="en-AU"/>
    </w:rPr>
  </w:style>
  <w:style w:type="paragraph" w:styleId="DocumentMap">
    <w:name w:val="Document Map"/>
    <w:basedOn w:val="Normal"/>
    <w:link w:val="DocumentMapChar"/>
    <w:uiPriority w:val="99"/>
    <w:semiHidden/>
    <w:rsid w:val="006633DE"/>
    <w:pPr>
      <w:spacing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6633DE"/>
    <w:rPr>
      <w:rFonts w:ascii="Segoe UI" w:hAnsi="Segoe UI" w:cs="Segoe UI"/>
      <w:sz w:val="16"/>
      <w:szCs w:val="16"/>
      <w:lang w:val="en-AU"/>
    </w:rPr>
  </w:style>
  <w:style w:type="paragraph" w:styleId="E-mailSignature">
    <w:name w:val="E-mail Signature"/>
    <w:basedOn w:val="Normal"/>
    <w:link w:val="E-mailSignatureChar"/>
    <w:uiPriority w:val="99"/>
    <w:semiHidden/>
    <w:rsid w:val="006633DE"/>
    <w:pPr>
      <w:spacing w:line="240" w:lineRule="auto"/>
    </w:pPr>
  </w:style>
  <w:style w:type="character" w:customStyle="1" w:styleId="E-mailSignatureChar">
    <w:name w:val="E-mail Signature Char"/>
    <w:basedOn w:val="DefaultParagraphFont"/>
    <w:link w:val="E-mailSignature"/>
    <w:uiPriority w:val="99"/>
    <w:semiHidden/>
    <w:rsid w:val="006633DE"/>
    <w:rPr>
      <w:lang w:val="en-AU"/>
    </w:rPr>
  </w:style>
  <w:style w:type="character" w:styleId="Emphasis">
    <w:name w:val="Emphasis"/>
    <w:basedOn w:val="DefaultParagraphFont"/>
    <w:uiPriority w:val="19"/>
    <w:semiHidden/>
    <w:rsid w:val="006633DE"/>
    <w:rPr>
      <w:i/>
      <w:iCs/>
      <w:lang w:val="en-AU"/>
    </w:rPr>
  </w:style>
  <w:style w:type="paragraph" w:styleId="EnvelopeAddress">
    <w:name w:val="envelope address"/>
    <w:basedOn w:val="Normal"/>
    <w:uiPriority w:val="99"/>
    <w:semiHidden/>
    <w:rsid w:val="006633DE"/>
    <w:pPr>
      <w:framePr w:w="7920" w:h="1980" w:hRule="exact" w:hSpace="141" w:wrap="auto" w:hAnchor="page" w:xAlign="center" w:yAlign="bottom"/>
      <w:spacing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rsid w:val="006633DE"/>
    <w:pPr>
      <w:spacing w:line="240" w:lineRule="auto"/>
    </w:pPr>
    <w:rPr>
      <w:rFonts w:asciiTheme="majorHAnsi" w:eastAsiaTheme="majorEastAsia" w:hAnsiTheme="majorHAnsi" w:cstheme="majorBidi"/>
    </w:rPr>
  </w:style>
  <w:style w:type="character" w:styleId="FollowedHyperlink">
    <w:name w:val="FollowedHyperlink"/>
    <w:basedOn w:val="DefaultParagraphFont"/>
    <w:uiPriority w:val="21"/>
    <w:semiHidden/>
    <w:rsid w:val="006633DE"/>
    <w:rPr>
      <w:color w:val="71004B" w:themeColor="followedHyperlink"/>
      <w:u w:val="single"/>
      <w:lang w:val="en-AU"/>
    </w:rPr>
  </w:style>
  <w:style w:type="character" w:styleId="FootnoteReference">
    <w:name w:val="footnote reference"/>
    <w:basedOn w:val="DefaultParagraphFont"/>
    <w:uiPriority w:val="21"/>
    <w:semiHidden/>
    <w:rsid w:val="006633DE"/>
    <w:rPr>
      <w:vertAlign w:val="superscript"/>
      <w:lang w:val="en-AU"/>
    </w:rPr>
  </w:style>
  <w:style w:type="table" w:styleId="GridTable1Light">
    <w:name w:val="Grid Table 1 Light"/>
    <w:basedOn w:val="TableNormal"/>
    <w:uiPriority w:val="46"/>
    <w:rsid w:val="006633DE"/>
    <w:pPr>
      <w:spacing w:after="26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6633DE"/>
    <w:pPr>
      <w:spacing w:after="260" w:line="240" w:lineRule="auto"/>
    </w:pPr>
    <w:tblPr>
      <w:tblStyleRowBandSize w:val="1"/>
      <w:tblStyleColBandSize w:val="1"/>
      <w:tblBorders>
        <w:top w:val="single" w:sz="4" w:space="0" w:color="B297DF" w:themeColor="accent1" w:themeTint="66"/>
        <w:left w:val="single" w:sz="4" w:space="0" w:color="B297DF" w:themeColor="accent1" w:themeTint="66"/>
        <w:bottom w:val="single" w:sz="4" w:space="0" w:color="B297DF" w:themeColor="accent1" w:themeTint="66"/>
        <w:right w:val="single" w:sz="4" w:space="0" w:color="B297DF" w:themeColor="accent1" w:themeTint="66"/>
        <w:insideH w:val="single" w:sz="4" w:space="0" w:color="B297DF" w:themeColor="accent1" w:themeTint="66"/>
        <w:insideV w:val="single" w:sz="4" w:space="0" w:color="B297DF" w:themeColor="accent1" w:themeTint="66"/>
      </w:tblBorders>
    </w:tblPr>
    <w:tblStylePr w:type="firstRow">
      <w:rPr>
        <w:b/>
        <w:bCs/>
      </w:rPr>
      <w:tblPr/>
      <w:tcPr>
        <w:tcBorders>
          <w:bottom w:val="single" w:sz="12" w:space="0" w:color="8C63CF" w:themeColor="accent1" w:themeTint="99"/>
        </w:tcBorders>
      </w:tcPr>
    </w:tblStylePr>
    <w:tblStylePr w:type="lastRow">
      <w:rPr>
        <w:b/>
        <w:bCs/>
      </w:rPr>
      <w:tblPr/>
      <w:tcPr>
        <w:tcBorders>
          <w:top w:val="double" w:sz="2" w:space="0" w:color="8C63CF"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6633DE"/>
    <w:pPr>
      <w:spacing w:after="260" w:line="240" w:lineRule="auto"/>
    </w:pPr>
    <w:tblPr>
      <w:tblStyleRowBandSize w:val="1"/>
      <w:tblStyleColBandSize w:val="1"/>
      <w:tblBorders>
        <w:top w:val="single" w:sz="4" w:space="0" w:color="79FFE5" w:themeColor="accent2" w:themeTint="66"/>
        <w:left w:val="single" w:sz="4" w:space="0" w:color="79FFE5" w:themeColor="accent2" w:themeTint="66"/>
        <w:bottom w:val="single" w:sz="4" w:space="0" w:color="79FFE5" w:themeColor="accent2" w:themeTint="66"/>
        <w:right w:val="single" w:sz="4" w:space="0" w:color="79FFE5" w:themeColor="accent2" w:themeTint="66"/>
        <w:insideH w:val="single" w:sz="4" w:space="0" w:color="79FFE5" w:themeColor="accent2" w:themeTint="66"/>
        <w:insideV w:val="single" w:sz="4" w:space="0" w:color="79FFE5" w:themeColor="accent2" w:themeTint="66"/>
      </w:tblBorders>
    </w:tblPr>
    <w:tblStylePr w:type="firstRow">
      <w:rPr>
        <w:b/>
        <w:bCs/>
      </w:rPr>
      <w:tblPr/>
      <w:tcPr>
        <w:tcBorders>
          <w:bottom w:val="single" w:sz="12" w:space="0" w:color="37FFD8" w:themeColor="accent2" w:themeTint="99"/>
        </w:tcBorders>
      </w:tcPr>
    </w:tblStylePr>
    <w:tblStylePr w:type="lastRow">
      <w:rPr>
        <w:b/>
        <w:bCs/>
      </w:rPr>
      <w:tblPr/>
      <w:tcPr>
        <w:tcBorders>
          <w:top w:val="double" w:sz="2" w:space="0" w:color="37FFD8"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6633DE"/>
    <w:pPr>
      <w:spacing w:after="260" w:line="240" w:lineRule="auto"/>
    </w:pPr>
    <w:tblPr>
      <w:tblStyleRowBandSize w:val="1"/>
      <w:tblStyleColBandSize w:val="1"/>
      <w:tblBorders>
        <w:top w:val="single" w:sz="4" w:space="0" w:color="C0E9F5" w:themeColor="accent3" w:themeTint="66"/>
        <w:left w:val="single" w:sz="4" w:space="0" w:color="C0E9F5" w:themeColor="accent3" w:themeTint="66"/>
        <w:bottom w:val="single" w:sz="4" w:space="0" w:color="C0E9F5" w:themeColor="accent3" w:themeTint="66"/>
        <w:right w:val="single" w:sz="4" w:space="0" w:color="C0E9F5" w:themeColor="accent3" w:themeTint="66"/>
        <w:insideH w:val="single" w:sz="4" w:space="0" w:color="C0E9F5" w:themeColor="accent3" w:themeTint="66"/>
        <w:insideV w:val="single" w:sz="4" w:space="0" w:color="C0E9F5" w:themeColor="accent3" w:themeTint="66"/>
      </w:tblBorders>
    </w:tblPr>
    <w:tblStylePr w:type="firstRow">
      <w:rPr>
        <w:b/>
        <w:bCs/>
      </w:rPr>
      <w:tblPr/>
      <w:tcPr>
        <w:tcBorders>
          <w:bottom w:val="single" w:sz="12" w:space="0" w:color="A1DFF1" w:themeColor="accent3" w:themeTint="99"/>
        </w:tcBorders>
      </w:tcPr>
    </w:tblStylePr>
    <w:tblStylePr w:type="lastRow">
      <w:rPr>
        <w:b/>
        <w:bCs/>
      </w:rPr>
      <w:tblPr/>
      <w:tcPr>
        <w:tcBorders>
          <w:top w:val="double" w:sz="2" w:space="0" w:color="A1DFF1"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6633DE"/>
    <w:pPr>
      <w:spacing w:after="260" w:line="240" w:lineRule="auto"/>
    </w:pPr>
    <w:tblPr>
      <w:tblStyleRowBandSize w:val="1"/>
      <w:tblStyleColBandSize w:val="1"/>
      <w:tblBorders>
        <w:top w:val="single" w:sz="4" w:space="0" w:color="64B7FF" w:themeColor="accent4" w:themeTint="66"/>
        <w:left w:val="single" w:sz="4" w:space="0" w:color="64B7FF" w:themeColor="accent4" w:themeTint="66"/>
        <w:bottom w:val="single" w:sz="4" w:space="0" w:color="64B7FF" w:themeColor="accent4" w:themeTint="66"/>
        <w:right w:val="single" w:sz="4" w:space="0" w:color="64B7FF" w:themeColor="accent4" w:themeTint="66"/>
        <w:insideH w:val="single" w:sz="4" w:space="0" w:color="64B7FF" w:themeColor="accent4" w:themeTint="66"/>
        <w:insideV w:val="single" w:sz="4" w:space="0" w:color="64B7FF" w:themeColor="accent4" w:themeTint="66"/>
      </w:tblBorders>
    </w:tblPr>
    <w:tblStylePr w:type="firstRow">
      <w:rPr>
        <w:b/>
        <w:bCs/>
      </w:rPr>
      <w:tblPr/>
      <w:tcPr>
        <w:tcBorders>
          <w:bottom w:val="single" w:sz="12" w:space="0" w:color="1694FF" w:themeColor="accent4" w:themeTint="99"/>
        </w:tcBorders>
      </w:tcPr>
    </w:tblStylePr>
    <w:tblStylePr w:type="lastRow">
      <w:rPr>
        <w:b/>
        <w:bCs/>
      </w:rPr>
      <w:tblPr/>
      <w:tcPr>
        <w:tcBorders>
          <w:top w:val="double" w:sz="2" w:space="0" w:color="1694FF"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6633DE"/>
    <w:pPr>
      <w:spacing w:after="260" w:line="240" w:lineRule="auto"/>
    </w:pPr>
    <w:tblPr>
      <w:tblStyleRowBandSize w:val="1"/>
      <w:tblStyleColBandSize w:val="1"/>
      <w:tblBorders>
        <w:top w:val="single" w:sz="4" w:space="0" w:color="FCE89B" w:themeColor="accent5" w:themeTint="66"/>
        <w:left w:val="single" w:sz="4" w:space="0" w:color="FCE89B" w:themeColor="accent5" w:themeTint="66"/>
        <w:bottom w:val="single" w:sz="4" w:space="0" w:color="FCE89B" w:themeColor="accent5" w:themeTint="66"/>
        <w:right w:val="single" w:sz="4" w:space="0" w:color="FCE89B" w:themeColor="accent5" w:themeTint="66"/>
        <w:insideH w:val="single" w:sz="4" w:space="0" w:color="FCE89B" w:themeColor="accent5" w:themeTint="66"/>
        <w:insideV w:val="single" w:sz="4" w:space="0" w:color="FCE89B" w:themeColor="accent5" w:themeTint="66"/>
      </w:tblBorders>
    </w:tblPr>
    <w:tblStylePr w:type="firstRow">
      <w:rPr>
        <w:b/>
        <w:bCs/>
      </w:rPr>
      <w:tblPr/>
      <w:tcPr>
        <w:tcBorders>
          <w:bottom w:val="single" w:sz="12" w:space="0" w:color="FBDC69" w:themeColor="accent5" w:themeTint="99"/>
        </w:tcBorders>
      </w:tcPr>
    </w:tblStylePr>
    <w:tblStylePr w:type="lastRow">
      <w:rPr>
        <w:b/>
        <w:bCs/>
      </w:rPr>
      <w:tblPr/>
      <w:tcPr>
        <w:tcBorders>
          <w:top w:val="double" w:sz="2" w:space="0" w:color="FBDC69"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6633DE"/>
    <w:pPr>
      <w:spacing w:after="260" w:line="240" w:lineRule="auto"/>
    </w:pPr>
    <w:tblPr>
      <w:tblStyleRowBandSize w:val="1"/>
      <w:tblStyleColBandSize w:val="1"/>
      <w:tblBorders>
        <w:top w:val="single" w:sz="4" w:space="0" w:color="E7EFAB" w:themeColor="accent6" w:themeTint="66"/>
        <w:left w:val="single" w:sz="4" w:space="0" w:color="E7EFAB" w:themeColor="accent6" w:themeTint="66"/>
        <w:bottom w:val="single" w:sz="4" w:space="0" w:color="E7EFAB" w:themeColor="accent6" w:themeTint="66"/>
        <w:right w:val="single" w:sz="4" w:space="0" w:color="E7EFAB" w:themeColor="accent6" w:themeTint="66"/>
        <w:insideH w:val="single" w:sz="4" w:space="0" w:color="E7EFAB" w:themeColor="accent6" w:themeTint="66"/>
        <w:insideV w:val="single" w:sz="4" w:space="0" w:color="E7EFAB" w:themeColor="accent6" w:themeTint="66"/>
      </w:tblBorders>
    </w:tblPr>
    <w:tblStylePr w:type="firstRow">
      <w:rPr>
        <w:b/>
        <w:bCs/>
      </w:rPr>
      <w:tblPr/>
      <w:tcPr>
        <w:tcBorders>
          <w:bottom w:val="single" w:sz="12" w:space="0" w:color="DBE781" w:themeColor="accent6" w:themeTint="99"/>
        </w:tcBorders>
      </w:tcPr>
    </w:tblStylePr>
    <w:tblStylePr w:type="lastRow">
      <w:rPr>
        <w:b/>
        <w:bCs/>
      </w:rPr>
      <w:tblPr/>
      <w:tcPr>
        <w:tcBorders>
          <w:top w:val="double" w:sz="2" w:space="0" w:color="DBE781"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6633DE"/>
    <w:pPr>
      <w:spacing w:after="26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6633DE"/>
    <w:pPr>
      <w:spacing w:after="260" w:line="240" w:lineRule="auto"/>
    </w:pPr>
    <w:tblPr>
      <w:tblStyleRowBandSize w:val="1"/>
      <w:tblStyleColBandSize w:val="1"/>
      <w:tblBorders>
        <w:top w:val="single" w:sz="2" w:space="0" w:color="8C63CF" w:themeColor="accent1" w:themeTint="99"/>
        <w:bottom w:val="single" w:sz="2" w:space="0" w:color="8C63CF" w:themeColor="accent1" w:themeTint="99"/>
        <w:insideH w:val="single" w:sz="2" w:space="0" w:color="8C63CF" w:themeColor="accent1" w:themeTint="99"/>
        <w:insideV w:val="single" w:sz="2" w:space="0" w:color="8C63CF" w:themeColor="accent1" w:themeTint="99"/>
      </w:tblBorders>
    </w:tblPr>
    <w:tblStylePr w:type="firstRow">
      <w:rPr>
        <w:b/>
        <w:bCs/>
      </w:rPr>
      <w:tblPr/>
      <w:tcPr>
        <w:tcBorders>
          <w:top w:val="nil"/>
          <w:bottom w:val="single" w:sz="12" w:space="0" w:color="8C63CF" w:themeColor="accent1" w:themeTint="99"/>
          <w:insideH w:val="nil"/>
          <w:insideV w:val="nil"/>
        </w:tcBorders>
        <w:shd w:val="clear" w:color="auto" w:fill="FFFFFF" w:themeFill="background1"/>
      </w:tcPr>
    </w:tblStylePr>
    <w:tblStylePr w:type="lastRow">
      <w:rPr>
        <w:b/>
        <w:bCs/>
      </w:rPr>
      <w:tblPr/>
      <w:tcPr>
        <w:tcBorders>
          <w:top w:val="double" w:sz="2" w:space="0" w:color="8C63C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8CBEF" w:themeFill="accent1" w:themeFillTint="33"/>
      </w:tcPr>
    </w:tblStylePr>
    <w:tblStylePr w:type="band1Horz">
      <w:tblPr/>
      <w:tcPr>
        <w:shd w:val="clear" w:color="auto" w:fill="D8CBEF" w:themeFill="accent1" w:themeFillTint="33"/>
      </w:tcPr>
    </w:tblStylePr>
  </w:style>
  <w:style w:type="table" w:styleId="GridTable2-Accent2">
    <w:name w:val="Grid Table 2 Accent 2"/>
    <w:basedOn w:val="TableNormal"/>
    <w:uiPriority w:val="47"/>
    <w:rsid w:val="006633DE"/>
    <w:pPr>
      <w:spacing w:after="260" w:line="240" w:lineRule="auto"/>
    </w:pPr>
    <w:tblPr>
      <w:tblStyleRowBandSize w:val="1"/>
      <w:tblStyleColBandSize w:val="1"/>
      <w:tblBorders>
        <w:top w:val="single" w:sz="2" w:space="0" w:color="37FFD8" w:themeColor="accent2" w:themeTint="99"/>
        <w:bottom w:val="single" w:sz="2" w:space="0" w:color="37FFD8" w:themeColor="accent2" w:themeTint="99"/>
        <w:insideH w:val="single" w:sz="2" w:space="0" w:color="37FFD8" w:themeColor="accent2" w:themeTint="99"/>
        <w:insideV w:val="single" w:sz="2" w:space="0" w:color="37FFD8" w:themeColor="accent2" w:themeTint="99"/>
      </w:tblBorders>
    </w:tblPr>
    <w:tblStylePr w:type="firstRow">
      <w:rPr>
        <w:b/>
        <w:bCs/>
      </w:rPr>
      <w:tblPr/>
      <w:tcPr>
        <w:tcBorders>
          <w:top w:val="nil"/>
          <w:bottom w:val="single" w:sz="12" w:space="0" w:color="37FFD8" w:themeColor="accent2" w:themeTint="99"/>
          <w:insideH w:val="nil"/>
          <w:insideV w:val="nil"/>
        </w:tcBorders>
        <w:shd w:val="clear" w:color="auto" w:fill="FFFFFF" w:themeFill="background1"/>
      </w:tcPr>
    </w:tblStylePr>
    <w:tblStylePr w:type="lastRow">
      <w:rPr>
        <w:b/>
        <w:bCs/>
      </w:rPr>
      <w:tblPr/>
      <w:tcPr>
        <w:tcBorders>
          <w:top w:val="double" w:sz="2" w:space="0" w:color="37FFD8"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2" w:themeFill="accent2" w:themeFillTint="33"/>
      </w:tcPr>
    </w:tblStylePr>
    <w:tblStylePr w:type="band1Horz">
      <w:tblPr/>
      <w:tcPr>
        <w:shd w:val="clear" w:color="auto" w:fill="BCFFF2" w:themeFill="accent2" w:themeFillTint="33"/>
      </w:tcPr>
    </w:tblStylePr>
  </w:style>
  <w:style w:type="table" w:styleId="GridTable2-Accent3">
    <w:name w:val="Grid Table 2 Accent 3"/>
    <w:basedOn w:val="TableNormal"/>
    <w:uiPriority w:val="47"/>
    <w:rsid w:val="006633DE"/>
    <w:pPr>
      <w:spacing w:after="260" w:line="240" w:lineRule="auto"/>
    </w:pPr>
    <w:tblPr>
      <w:tblStyleRowBandSize w:val="1"/>
      <w:tblStyleColBandSize w:val="1"/>
      <w:tblBorders>
        <w:top w:val="single" w:sz="2" w:space="0" w:color="A1DFF1" w:themeColor="accent3" w:themeTint="99"/>
        <w:bottom w:val="single" w:sz="2" w:space="0" w:color="A1DFF1" w:themeColor="accent3" w:themeTint="99"/>
        <w:insideH w:val="single" w:sz="2" w:space="0" w:color="A1DFF1" w:themeColor="accent3" w:themeTint="99"/>
        <w:insideV w:val="single" w:sz="2" w:space="0" w:color="A1DFF1" w:themeColor="accent3" w:themeTint="99"/>
      </w:tblBorders>
    </w:tblPr>
    <w:tblStylePr w:type="firstRow">
      <w:rPr>
        <w:b/>
        <w:bCs/>
      </w:rPr>
      <w:tblPr/>
      <w:tcPr>
        <w:tcBorders>
          <w:top w:val="nil"/>
          <w:bottom w:val="single" w:sz="12" w:space="0" w:color="A1DFF1" w:themeColor="accent3" w:themeTint="99"/>
          <w:insideH w:val="nil"/>
          <w:insideV w:val="nil"/>
        </w:tcBorders>
        <w:shd w:val="clear" w:color="auto" w:fill="FFFFFF" w:themeFill="background1"/>
      </w:tcPr>
    </w:tblStylePr>
    <w:tblStylePr w:type="lastRow">
      <w:rPr>
        <w:b/>
        <w:bCs/>
      </w:rPr>
      <w:tblPr/>
      <w:tcPr>
        <w:tcBorders>
          <w:top w:val="double" w:sz="2" w:space="0" w:color="A1DFF1"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F4FA" w:themeFill="accent3" w:themeFillTint="33"/>
      </w:tcPr>
    </w:tblStylePr>
    <w:tblStylePr w:type="band1Horz">
      <w:tblPr/>
      <w:tcPr>
        <w:shd w:val="clear" w:color="auto" w:fill="DFF4FA" w:themeFill="accent3" w:themeFillTint="33"/>
      </w:tcPr>
    </w:tblStylePr>
  </w:style>
  <w:style w:type="table" w:styleId="GridTable2-Accent4">
    <w:name w:val="Grid Table 2 Accent 4"/>
    <w:basedOn w:val="TableNormal"/>
    <w:uiPriority w:val="47"/>
    <w:rsid w:val="006633DE"/>
    <w:pPr>
      <w:spacing w:after="260" w:line="240" w:lineRule="auto"/>
    </w:pPr>
    <w:tblPr>
      <w:tblStyleRowBandSize w:val="1"/>
      <w:tblStyleColBandSize w:val="1"/>
      <w:tblBorders>
        <w:top w:val="single" w:sz="2" w:space="0" w:color="1694FF" w:themeColor="accent4" w:themeTint="99"/>
        <w:bottom w:val="single" w:sz="2" w:space="0" w:color="1694FF" w:themeColor="accent4" w:themeTint="99"/>
        <w:insideH w:val="single" w:sz="2" w:space="0" w:color="1694FF" w:themeColor="accent4" w:themeTint="99"/>
        <w:insideV w:val="single" w:sz="2" w:space="0" w:color="1694FF" w:themeColor="accent4" w:themeTint="99"/>
      </w:tblBorders>
    </w:tblPr>
    <w:tblStylePr w:type="firstRow">
      <w:rPr>
        <w:b/>
        <w:bCs/>
      </w:rPr>
      <w:tblPr/>
      <w:tcPr>
        <w:tcBorders>
          <w:top w:val="nil"/>
          <w:bottom w:val="single" w:sz="12" w:space="0" w:color="1694FF" w:themeColor="accent4" w:themeTint="99"/>
          <w:insideH w:val="nil"/>
          <w:insideV w:val="nil"/>
        </w:tcBorders>
        <w:shd w:val="clear" w:color="auto" w:fill="FFFFFF" w:themeFill="background1"/>
      </w:tcPr>
    </w:tblStylePr>
    <w:tblStylePr w:type="lastRow">
      <w:rPr>
        <w:b/>
        <w:bCs/>
      </w:rPr>
      <w:tblPr/>
      <w:tcPr>
        <w:tcBorders>
          <w:top w:val="double" w:sz="2" w:space="0" w:color="1694FF"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1DBFF" w:themeFill="accent4" w:themeFillTint="33"/>
      </w:tcPr>
    </w:tblStylePr>
    <w:tblStylePr w:type="band1Horz">
      <w:tblPr/>
      <w:tcPr>
        <w:shd w:val="clear" w:color="auto" w:fill="B1DBFF" w:themeFill="accent4" w:themeFillTint="33"/>
      </w:tcPr>
    </w:tblStylePr>
  </w:style>
  <w:style w:type="table" w:styleId="GridTable2-Accent5">
    <w:name w:val="Grid Table 2 Accent 5"/>
    <w:basedOn w:val="TableNormal"/>
    <w:uiPriority w:val="47"/>
    <w:rsid w:val="006633DE"/>
    <w:pPr>
      <w:spacing w:after="260" w:line="240" w:lineRule="auto"/>
    </w:pPr>
    <w:tblPr>
      <w:tblStyleRowBandSize w:val="1"/>
      <w:tblStyleColBandSize w:val="1"/>
      <w:tblBorders>
        <w:top w:val="single" w:sz="2" w:space="0" w:color="FBDC69" w:themeColor="accent5" w:themeTint="99"/>
        <w:bottom w:val="single" w:sz="2" w:space="0" w:color="FBDC69" w:themeColor="accent5" w:themeTint="99"/>
        <w:insideH w:val="single" w:sz="2" w:space="0" w:color="FBDC69" w:themeColor="accent5" w:themeTint="99"/>
        <w:insideV w:val="single" w:sz="2" w:space="0" w:color="FBDC69" w:themeColor="accent5" w:themeTint="99"/>
      </w:tblBorders>
    </w:tblPr>
    <w:tblStylePr w:type="firstRow">
      <w:rPr>
        <w:b/>
        <w:bCs/>
      </w:rPr>
      <w:tblPr/>
      <w:tcPr>
        <w:tcBorders>
          <w:top w:val="nil"/>
          <w:bottom w:val="single" w:sz="12" w:space="0" w:color="FBDC69" w:themeColor="accent5" w:themeTint="99"/>
          <w:insideH w:val="nil"/>
          <w:insideV w:val="nil"/>
        </w:tcBorders>
        <w:shd w:val="clear" w:color="auto" w:fill="FFFFFF" w:themeFill="background1"/>
      </w:tcPr>
    </w:tblStylePr>
    <w:tblStylePr w:type="lastRow">
      <w:rPr>
        <w:b/>
        <w:bCs/>
      </w:rPr>
      <w:tblPr/>
      <w:tcPr>
        <w:tcBorders>
          <w:top w:val="double" w:sz="2" w:space="0" w:color="FBDC69"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F3CD" w:themeFill="accent5" w:themeFillTint="33"/>
      </w:tcPr>
    </w:tblStylePr>
    <w:tblStylePr w:type="band1Horz">
      <w:tblPr/>
      <w:tcPr>
        <w:shd w:val="clear" w:color="auto" w:fill="FDF3CD" w:themeFill="accent5" w:themeFillTint="33"/>
      </w:tcPr>
    </w:tblStylePr>
  </w:style>
  <w:style w:type="table" w:styleId="GridTable2-Accent6">
    <w:name w:val="Grid Table 2 Accent 6"/>
    <w:basedOn w:val="TableNormal"/>
    <w:uiPriority w:val="47"/>
    <w:rsid w:val="006633DE"/>
    <w:pPr>
      <w:spacing w:after="260" w:line="240" w:lineRule="auto"/>
    </w:pPr>
    <w:tblPr>
      <w:tblStyleRowBandSize w:val="1"/>
      <w:tblStyleColBandSize w:val="1"/>
      <w:tblBorders>
        <w:top w:val="single" w:sz="2" w:space="0" w:color="DBE781" w:themeColor="accent6" w:themeTint="99"/>
        <w:bottom w:val="single" w:sz="2" w:space="0" w:color="DBE781" w:themeColor="accent6" w:themeTint="99"/>
        <w:insideH w:val="single" w:sz="2" w:space="0" w:color="DBE781" w:themeColor="accent6" w:themeTint="99"/>
        <w:insideV w:val="single" w:sz="2" w:space="0" w:color="DBE781" w:themeColor="accent6" w:themeTint="99"/>
      </w:tblBorders>
    </w:tblPr>
    <w:tblStylePr w:type="firstRow">
      <w:rPr>
        <w:b/>
        <w:bCs/>
      </w:rPr>
      <w:tblPr/>
      <w:tcPr>
        <w:tcBorders>
          <w:top w:val="nil"/>
          <w:bottom w:val="single" w:sz="12" w:space="0" w:color="DBE781" w:themeColor="accent6" w:themeTint="99"/>
          <w:insideH w:val="nil"/>
          <w:insideV w:val="nil"/>
        </w:tcBorders>
        <w:shd w:val="clear" w:color="auto" w:fill="FFFFFF" w:themeFill="background1"/>
      </w:tcPr>
    </w:tblStylePr>
    <w:tblStylePr w:type="lastRow">
      <w:rPr>
        <w:b/>
        <w:bCs/>
      </w:rPr>
      <w:tblPr/>
      <w:tcPr>
        <w:tcBorders>
          <w:top w:val="double" w:sz="2" w:space="0" w:color="DBE781"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3F7D5" w:themeFill="accent6" w:themeFillTint="33"/>
      </w:tcPr>
    </w:tblStylePr>
    <w:tblStylePr w:type="band1Horz">
      <w:tblPr/>
      <w:tcPr>
        <w:shd w:val="clear" w:color="auto" w:fill="F3F7D5" w:themeFill="accent6" w:themeFillTint="33"/>
      </w:tcPr>
    </w:tblStylePr>
  </w:style>
  <w:style w:type="table" w:styleId="GridTable3">
    <w:name w:val="Grid Table 3"/>
    <w:basedOn w:val="TableNormal"/>
    <w:uiPriority w:val="48"/>
    <w:rsid w:val="006633DE"/>
    <w:pPr>
      <w:spacing w:after="26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6633DE"/>
    <w:pPr>
      <w:spacing w:after="260" w:line="240" w:lineRule="auto"/>
    </w:pPr>
    <w:tblPr>
      <w:tblStyleRowBandSize w:val="1"/>
      <w:tblStyleColBandSize w:val="1"/>
      <w:tblBorders>
        <w:top w:val="single" w:sz="4" w:space="0" w:color="8C63CF" w:themeColor="accent1" w:themeTint="99"/>
        <w:left w:val="single" w:sz="4" w:space="0" w:color="8C63CF" w:themeColor="accent1" w:themeTint="99"/>
        <w:bottom w:val="single" w:sz="4" w:space="0" w:color="8C63CF" w:themeColor="accent1" w:themeTint="99"/>
        <w:right w:val="single" w:sz="4" w:space="0" w:color="8C63CF" w:themeColor="accent1" w:themeTint="99"/>
        <w:insideH w:val="single" w:sz="4" w:space="0" w:color="8C63CF" w:themeColor="accent1" w:themeTint="99"/>
        <w:insideV w:val="single" w:sz="4" w:space="0" w:color="8C63C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8CBEF" w:themeFill="accent1" w:themeFillTint="33"/>
      </w:tcPr>
    </w:tblStylePr>
    <w:tblStylePr w:type="band1Horz">
      <w:tblPr/>
      <w:tcPr>
        <w:shd w:val="clear" w:color="auto" w:fill="D8CBEF" w:themeFill="accent1" w:themeFillTint="33"/>
      </w:tcPr>
    </w:tblStylePr>
    <w:tblStylePr w:type="neCell">
      <w:tblPr/>
      <w:tcPr>
        <w:tcBorders>
          <w:bottom w:val="single" w:sz="4" w:space="0" w:color="8C63CF" w:themeColor="accent1" w:themeTint="99"/>
        </w:tcBorders>
      </w:tcPr>
    </w:tblStylePr>
    <w:tblStylePr w:type="nwCell">
      <w:tblPr/>
      <w:tcPr>
        <w:tcBorders>
          <w:bottom w:val="single" w:sz="4" w:space="0" w:color="8C63CF" w:themeColor="accent1" w:themeTint="99"/>
        </w:tcBorders>
      </w:tcPr>
    </w:tblStylePr>
    <w:tblStylePr w:type="seCell">
      <w:tblPr/>
      <w:tcPr>
        <w:tcBorders>
          <w:top w:val="single" w:sz="4" w:space="0" w:color="8C63CF" w:themeColor="accent1" w:themeTint="99"/>
        </w:tcBorders>
      </w:tcPr>
    </w:tblStylePr>
    <w:tblStylePr w:type="swCell">
      <w:tblPr/>
      <w:tcPr>
        <w:tcBorders>
          <w:top w:val="single" w:sz="4" w:space="0" w:color="8C63CF" w:themeColor="accent1" w:themeTint="99"/>
        </w:tcBorders>
      </w:tcPr>
    </w:tblStylePr>
  </w:style>
  <w:style w:type="table" w:styleId="GridTable3-Accent2">
    <w:name w:val="Grid Table 3 Accent 2"/>
    <w:basedOn w:val="TableNormal"/>
    <w:uiPriority w:val="48"/>
    <w:rsid w:val="006633DE"/>
    <w:pPr>
      <w:spacing w:after="260" w:line="240" w:lineRule="auto"/>
    </w:pPr>
    <w:tblPr>
      <w:tblStyleRowBandSize w:val="1"/>
      <w:tblStyleColBandSize w:val="1"/>
      <w:tblBorders>
        <w:top w:val="single" w:sz="4" w:space="0" w:color="37FFD8" w:themeColor="accent2" w:themeTint="99"/>
        <w:left w:val="single" w:sz="4" w:space="0" w:color="37FFD8" w:themeColor="accent2" w:themeTint="99"/>
        <w:bottom w:val="single" w:sz="4" w:space="0" w:color="37FFD8" w:themeColor="accent2" w:themeTint="99"/>
        <w:right w:val="single" w:sz="4" w:space="0" w:color="37FFD8" w:themeColor="accent2" w:themeTint="99"/>
        <w:insideH w:val="single" w:sz="4" w:space="0" w:color="37FFD8" w:themeColor="accent2" w:themeTint="99"/>
        <w:insideV w:val="single" w:sz="4" w:space="0" w:color="37FFD8"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2" w:themeFill="accent2" w:themeFillTint="33"/>
      </w:tcPr>
    </w:tblStylePr>
    <w:tblStylePr w:type="band1Horz">
      <w:tblPr/>
      <w:tcPr>
        <w:shd w:val="clear" w:color="auto" w:fill="BCFFF2" w:themeFill="accent2" w:themeFillTint="33"/>
      </w:tcPr>
    </w:tblStylePr>
    <w:tblStylePr w:type="neCell">
      <w:tblPr/>
      <w:tcPr>
        <w:tcBorders>
          <w:bottom w:val="single" w:sz="4" w:space="0" w:color="37FFD8" w:themeColor="accent2" w:themeTint="99"/>
        </w:tcBorders>
      </w:tcPr>
    </w:tblStylePr>
    <w:tblStylePr w:type="nwCell">
      <w:tblPr/>
      <w:tcPr>
        <w:tcBorders>
          <w:bottom w:val="single" w:sz="4" w:space="0" w:color="37FFD8" w:themeColor="accent2" w:themeTint="99"/>
        </w:tcBorders>
      </w:tcPr>
    </w:tblStylePr>
    <w:tblStylePr w:type="seCell">
      <w:tblPr/>
      <w:tcPr>
        <w:tcBorders>
          <w:top w:val="single" w:sz="4" w:space="0" w:color="37FFD8" w:themeColor="accent2" w:themeTint="99"/>
        </w:tcBorders>
      </w:tcPr>
    </w:tblStylePr>
    <w:tblStylePr w:type="swCell">
      <w:tblPr/>
      <w:tcPr>
        <w:tcBorders>
          <w:top w:val="single" w:sz="4" w:space="0" w:color="37FFD8" w:themeColor="accent2" w:themeTint="99"/>
        </w:tcBorders>
      </w:tcPr>
    </w:tblStylePr>
  </w:style>
  <w:style w:type="table" w:styleId="GridTable3-Accent3">
    <w:name w:val="Grid Table 3 Accent 3"/>
    <w:basedOn w:val="TableNormal"/>
    <w:uiPriority w:val="48"/>
    <w:rsid w:val="006633DE"/>
    <w:pPr>
      <w:spacing w:after="260" w:line="240" w:lineRule="auto"/>
    </w:pPr>
    <w:tblPr>
      <w:tblStyleRowBandSize w:val="1"/>
      <w:tblStyleColBandSize w:val="1"/>
      <w:tblBorders>
        <w:top w:val="single" w:sz="4" w:space="0" w:color="A1DFF1" w:themeColor="accent3" w:themeTint="99"/>
        <w:left w:val="single" w:sz="4" w:space="0" w:color="A1DFF1" w:themeColor="accent3" w:themeTint="99"/>
        <w:bottom w:val="single" w:sz="4" w:space="0" w:color="A1DFF1" w:themeColor="accent3" w:themeTint="99"/>
        <w:right w:val="single" w:sz="4" w:space="0" w:color="A1DFF1" w:themeColor="accent3" w:themeTint="99"/>
        <w:insideH w:val="single" w:sz="4" w:space="0" w:color="A1DFF1" w:themeColor="accent3" w:themeTint="99"/>
        <w:insideV w:val="single" w:sz="4" w:space="0" w:color="A1DFF1"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F4FA" w:themeFill="accent3" w:themeFillTint="33"/>
      </w:tcPr>
    </w:tblStylePr>
    <w:tblStylePr w:type="band1Horz">
      <w:tblPr/>
      <w:tcPr>
        <w:shd w:val="clear" w:color="auto" w:fill="DFF4FA" w:themeFill="accent3" w:themeFillTint="33"/>
      </w:tcPr>
    </w:tblStylePr>
    <w:tblStylePr w:type="neCell">
      <w:tblPr/>
      <w:tcPr>
        <w:tcBorders>
          <w:bottom w:val="single" w:sz="4" w:space="0" w:color="A1DFF1" w:themeColor="accent3" w:themeTint="99"/>
        </w:tcBorders>
      </w:tcPr>
    </w:tblStylePr>
    <w:tblStylePr w:type="nwCell">
      <w:tblPr/>
      <w:tcPr>
        <w:tcBorders>
          <w:bottom w:val="single" w:sz="4" w:space="0" w:color="A1DFF1" w:themeColor="accent3" w:themeTint="99"/>
        </w:tcBorders>
      </w:tcPr>
    </w:tblStylePr>
    <w:tblStylePr w:type="seCell">
      <w:tblPr/>
      <w:tcPr>
        <w:tcBorders>
          <w:top w:val="single" w:sz="4" w:space="0" w:color="A1DFF1" w:themeColor="accent3" w:themeTint="99"/>
        </w:tcBorders>
      </w:tcPr>
    </w:tblStylePr>
    <w:tblStylePr w:type="swCell">
      <w:tblPr/>
      <w:tcPr>
        <w:tcBorders>
          <w:top w:val="single" w:sz="4" w:space="0" w:color="A1DFF1" w:themeColor="accent3" w:themeTint="99"/>
        </w:tcBorders>
      </w:tcPr>
    </w:tblStylePr>
  </w:style>
  <w:style w:type="table" w:styleId="GridTable3-Accent4">
    <w:name w:val="Grid Table 3 Accent 4"/>
    <w:basedOn w:val="TableNormal"/>
    <w:uiPriority w:val="48"/>
    <w:rsid w:val="006633DE"/>
    <w:pPr>
      <w:spacing w:after="260" w:line="240" w:lineRule="auto"/>
    </w:pPr>
    <w:tblPr>
      <w:tblStyleRowBandSize w:val="1"/>
      <w:tblStyleColBandSize w:val="1"/>
      <w:tblBorders>
        <w:top w:val="single" w:sz="4" w:space="0" w:color="1694FF" w:themeColor="accent4" w:themeTint="99"/>
        <w:left w:val="single" w:sz="4" w:space="0" w:color="1694FF" w:themeColor="accent4" w:themeTint="99"/>
        <w:bottom w:val="single" w:sz="4" w:space="0" w:color="1694FF" w:themeColor="accent4" w:themeTint="99"/>
        <w:right w:val="single" w:sz="4" w:space="0" w:color="1694FF" w:themeColor="accent4" w:themeTint="99"/>
        <w:insideH w:val="single" w:sz="4" w:space="0" w:color="1694FF" w:themeColor="accent4" w:themeTint="99"/>
        <w:insideV w:val="single" w:sz="4" w:space="0" w:color="1694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1DBFF" w:themeFill="accent4" w:themeFillTint="33"/>
      </w:tcPr>
    </w:tblStylePr>
    <w:tblStylePr w:type="band1Horz">
      <w:tblPr/>
      <w:tcPr>
        <w:shd w:val="clear" w:color="auto" w:fill="B1DBFF" w:themeFill="accent4" w:themeFillTint="33"/>
      </w:tcPr>
    </w:tblStylePr>
    <w:tblStylePr w:type="neCell">
      <w:tblPr/>
      <w:tcPr>
        <w:tcBorders>
          <w:bottom w:val="single" w:sz="4" w:space="0" w:color="1694FF" w:themeColor="accent4" w:themeTint="99"/>
        </w:tcBorders>
      </w:tcPr>
    </w:tblStylePr>
    <w:tblStylePr w:type="nwCell">
      <w:tblPr/>
      <w:tcPr>
        <w:tcBorders>
          <w:bottom w:val="single" w:sz="4" w:space="0" w:color="1694FF" w:themeColor="accent4" w:themeTint="99"/>
        </w:tcBorders>
      </w:tcPr>
    </w:tblStylePr>
    <w:tblStylePr w:type="seCell">
      <w:tblPr/>
      <w:tcPr>
        <w:tcBorders>
          <w:top w:val="single" w:sz="4" w:space="0" w:color="1694FF" w:themeColor="accent4" w:themeTint="99"/>
        </w:tcBorders>
      </w:tcPr>
    </w:tblStylePr>
    <w:tblStylePr w:type="swCell">
      <w:tblPr/>
      <w:tcPr>
        <w:tcBorders>
          <w:top w:val="single" w:sz="4" w:space="0" w:color="1694FF" w:themeColor="accent4" w:themeTint="99"/>
        </w:tcBorders>
      </w:tcPr>
    </w:tblStylePr>
  </w:style>
  <w:style w:type="table" w:styleId="GridTable3-Accent5">
    <w:name w:val="Grid Table 3 Accent 5"/>
    <w:basedOn w:val="TableNormal"/>
    <w:uiPriority w:val="48"/>
    <w:rsid w:val="006633DE"/>
    <w:pPr>
      <w:spacing w:after="260" w:line="240" w:lineRule="auto"/>
    </w:pPr>
    <w:tblPr>
      <w:tblStyleRowBandSize w:val="1"/>
      <w:tblStyleColBandSize w:val="1"/>
      <w:tblBorders>
        <w:top w:val="single" w:sz="4" w:space="0" w:color="FBDC69" w:themeColor="accent5" w:themeTint="99"/>
        <w:left w:val="single" w:sz="4" w:space="0" w:color="FBDC69" w:themeColor="accent5" w:themeTint="99"/>
        <w:bottom w:val="single" w:sz="4" w:space="0" w:color="FBDC69" w:themeColor="accent5" w:themeTint="99"/>
        <w:right w:val="single" w:sz="4" w:space="0" w:color="FBDC69" w:themeColor="accent5" w:themeTint="99"/>
        <w:insideH w:val="single" w:sz="4" w:space="0" w:color="FBDC69" w:themeColor="accent5" w:themeTint="99"/>
        <w:insideV w:val="single" w:sz="4" w:space="0" w:color="FBDC6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F3CD" w:themeFill="accent5" w:themeFillTint="33"/>
      </w:tcPr>
    </w:tblStylePr>
    <w:tblStylePr w:type="band1Horz">
      <w:tblPr/>
      <w:tcPr>
        <w:shd w:val="clear" w:color="auto" w:fill="FDF3CD" w:themeFill="accent5" w:themeFillTint="33"/>
      </w:tcPr>
    </w:tblStylePr>
    <w:tblStylePr w:type="neCell">
      <w:tblPr/>
      <w:tcPr>
        <w:tcBorders>
          <w:bottom w:val="single" w:sz="4" w:space="0" w:color="FBDC69" w:themeColor="accent5" w:themeTint="99"/>
        </w:tcBorders>
      </w:tcPr>
    </w:tblStylePr>
    <w:tblStylePr w:type="nwCell">
      <w:tblPr/>
      <w:tcPr>
        <w:tcBorders>
          <w:bottom w:val="single" w:sz="4" w:space="0" w:color="FBDC69" w:themeColor="accent5" w:themeTint="99"/>
        </w:tcBorders>
      </w:tcPr>
    </w:tblStylePr>
    <w:tblStylePr w:type="seCell">
      <w:tblPr/>
      <w:tcPr>
        <w:tcBorders>
          <w:top w:val="single" w:sz="4" w:space="0" w:color="FBDC69" w:themeColor="accent5" w:themeTint="99"/>
        </w:tcBorders>
      </w:tcPr>
    </w:tblStylePr>
    <w:tblStylePr w:type="swCell">
      <w:tblPr/>
      <w:tcPr>
        <w:tcBorders>
          <w:top w:val="single" w:sz="4" w:space="0" w:color="FBDC69" w:themeColor="accent5" w:themeTint="99"/>
        </w:tcBorders>
      </w:tcPr>
    </w:tblStylePr>
  </w:style>
  <w:style w:type="table" w:styleId="GridTable3-Accent6">
    <w:name w:val="Grid Table 3 Accent 6"/>
    <w:basedOn w:val="TableNormal"/>
    <w:uiPriority w:val="48"/>
    <w:rsid w:val="006633DE"/>
    <w:pPr>
      <w:spacing w:after="260" w:line="240" w:lineRule="auto"/>
    </w:pPr>
    <w:tblPr>
      <w:tblStyleRowBandSize w:val="1"/>
      <w:tblStyleColBandSize w:val="1"/>
      <w:tblBorders>
        <w:top w:val="single" w:sz="4" w:space="0" w:color="DBE781" w:themeColor="accent6" w:themeTint="99"/>
        <w:left w:val="single" w:sz="4" w:space="0" w:color="DBE781" w:themeColor="accent6" w:themeTint="99"/>
        <w:bottom w:val="single" w:sz="4" w:space="0" w:color="DBE781" w:themeColor="accent6" w:themeTint="99"/>
        <w:right w:val="single" w:sz="4" w:space="0" w:color="DBE781" w:themeColor="accent6" w:themeTint="99"/>
        <w:insideH w:val="single" w:sz="4" w:space="0" w:color="DBE781" w:themeColor="accent6" w:themeTint="99"/>
        <w:insideV w:val="single" w:sz="4" w:space="0" w:color="DBE78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3F7D5" w:themeFill="accent6" w:themeFillTint="33"/>
      </w:tcPr>
    </w:tblStylePr>
    <w:tblStylePr w:type="band1Horz">
      <w:tblPr/>
      <w:tcPr>
        <w:shd w:val="clear" w:color="auto" w:fill="F3F7D5" w:themeFill="accent6" w:themeFillTint="33"/>
      </w:tcPr>
    </w:tblStylePr>
    <w:tblStylePr w:type="neCell">
      <w:tblPr/>
      <w:tcPr>
        <w:tcBorders>
          <w:bottom w:val="single" w:sz="4" w:space="0" w:color="DBE781" w:themeColor="accent6" w:themeTint="99"/>
        </w:tcBorders>
      </w:tcPr>
    </w:tblStylePr>
    <w:tblStylePr w:type="nwCell">
      <w:tblPr/>
      <w:tcPr>
        <w:tcBorders>
          <w:bottom w:val="single" w:sz="4" w:space="0" w:color="DBE781" w:themeColor="accent6" w:themeTint="99"/>
        </w:tcBorders>
      </w:tcPr>
    </w:tblStylePr>
    <w:tblStylePr w:type="seCell">
      <w:tblPr/>
      <w:tcPr>
        <w:tcBorders>
          <w:top w:val="single" w:sz="4" w:space="0" w:color="DBE781" w:themeColor="accent6" w:themeTint="99"/>
        </w:tcBorders>
      </w:tcPr>
    </w:tblStylePr>
    <w:tblStylePr w:type="swCell">
      <w:tblPr/>
      <w:tcPr>
        <w:tcBorders>
          <w:top w:val="single" w:sz="4" w:space="0" w:color="DBE781" w:themeColor="accent6" w:themeTint="99"/>
        </w:tcBorders>
      </w:tcPr>
    </w:tblStylePr>
  </w:style>
  <w:style w:type="table" w:styleId="GridTable4">
    <w:name w:val="Grid Table 4"/>
    <w:basedOn w:val="TableNormal"/>
    <w:uiPriority w:val="49"/>
    <w:rsid w:val="006633DE"/>
    <w:pPr>
      <w:spacing w:after="26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6633DE"/>
    <w:pPr>
      <w:spacing w:after="260" w:line="240" w:lineRule="auto"/>
    </w:pPr>
    <w:tblPr>
      <w:tblStyleRowBandSize w:val="1"/>
      <w:tblStyleColBandSize w:val="1"/>
      <w:tblBorders>
        <w:top w:val="single" w:sz="4" w:space="0" w:color="8C63CF" w:themeColor="accent1" w:themeTint="99"/>
        <w:left w:val="single" w:sz="4" w:space="0" w:color="8C63CF" w:themeColor="accent1" w:themeTint="99"/>
        <w:bottom w:val="single" w:sz="4" w:space="0" w:color="8C63CF" w:themeColor="accent1" w:themeTint="99"/>
        <w:right w:val="single" w:sz="4" w:space="0" w:color="8C63CF" w:themeColor="accent1" w:themeTint="99"/>
        <w:insideH w:val="single" w:sz="4" w:space="0" w:color="8C63CF" w:themeColor="accent1" w:themeTint="99"/>
        <w:insideV w:val="single" w:sz="4" w:space="0" w:color="8C63CF" w:themeColor="accent1" w:themeTint="99"/>
      </w:tblBorders>
    </w:tblPr>
    <w:tblStylePr w:type="firstRow">
      <w:rPr>
        <w:b/>
        <w:bCs/>
        <w:color w:val="FFFFFF" w:themeColor="background1"/>
      </w:rPr>
      <w:tblPr/>
      <w:tcPr>
        <w:tcBorders>
          <w:top w:val="single" w:sz="4" w:space="0" w:color="4B2884" w:themeColor="accent1"/>
          <w:left w:val="single" w:sz="4" w:space="0" w:color="4B2884" w:themeColor="accent1"/>
          <w:bottom w:val="single" w:sz="4" w:space="0" w:color="4B2884" w:themeColor="accent1"/>
          <w:right w:val="single" w:sz="4" w:space="0" w:color="4B2884" w:themeColor="accent1"/>
          <w:insideH w:val="nil"/>
          <w:insideV w:val="nil"/>
        </w:tcBorders>
        <w:shd w:val="clear" w:color="auto" w:fill="4B2884" w:themeFill="accent1"/>
      </w:tcPr>
    </w:tblStylePr>
    <w:tblStylePr w:type="lastRow">
      <w:rPr>
        <w:b/>
        <w:bCs/>
      </w:rPr>
      <w:tblPr/>
      <w:tcPr>
        <w:tcBorders>
          <w:top w:val="double" w:sz="4" w:space="0" w:color="4B2884" w:themeColor="accent1"/>
        </w:tcBorders>
      </w:tcPr>
    </w:tblStylePr>
    <w:tblStylePr w:type="firstCol">
      <w:rPr>
        <w:b/>
        <w:bCs/>
      </w:rPr>
    </w:tblStylePr>
    <w:tblStylePr w:type="lastCol">
      <w:rPr>
        <w:b/>
        <w:bCs/>
      </w:rPr>
    </w:tblStylePr>
    <w:tblStylePr w:type="band1Vert">
      <w:tblPr/>
      <w:tcPr>
        <w:shd w:val="clear" w:color="auto" w:fill="D8CBEF" w:themeFill="accent1" w:themeFillTint="33"/>
      </w:tcPr>
    </w:tblStylePr>
    <w:tblStylePr w:type="band1Horz">
      <w:tblPr/>
      <w:tcPr>
        <w:shd w:val="clear" w:color="auto" w:fill="D8CBEF" w:themeFill="accent1" w:themeFillTint="33"/>
      </w:tcPr>
    </w:tblStylePr>
  </w:style>
  <w:style w:type="table" w:styleId="GridTable4-Accent2">
    <w:name w:val="Grid Table 4 Accent 2"/>
    <w:basedOn w:val="TableNormal"/>
    <w:uiPriority w:val="49"/>
    <w:rsid w:val="006633DE"/>
    <w:pPr>
      <w:spacing w:after="260" w:line="240" w:lineRule="auto"/>
    </w:pPr>
    <w:tblPr>
      <w:tblStyleRowBandSize w:val="1"/>
      <w:tblStyleColBandSize w:val="1"/>
      <w:tblBorders>
        <w:top w:val="single" w:sz="4" w:space="0" w:color="37FFD8" w:themeColor="accent2" w:themeTint="99"/>
        <w:left w:val="single" w:sz="4" w:space="0" w:color="37FFD8" w:themeColor="accent2" w:themeTint="99"/>
        <w:bottom w:val="single" w:sz="4" w:space="0" w:color="37FFD8" w:themeColor="accent2" w:themeTint="99"/>
        <w:right w:val="single" w:sz="4" w:space="0" w:color="37FFD8" w:themeColor="accent2" w:themeTint="99"/>
        <w:insideH w:val="single" w:sz="4" w:space="0" w:color="37FFD8" w:themeColor="accent2" w:themeTint="99"/>
        <w:insideV w:val="single" w:sz="4" w:space="0" w:color="37FFD8" w:themeColor="accent2" w:themeTint="99"/>
      </w:tblBorders>
    </w:tblPr>
    <w:tblStylePr w:type="firstRow">
      <w:rPr>
        <w:b/>
        <w:bCs/>
        <w:color w:val="FFFFFF" w:themeColor="background1"/>
      </w:rPr>
      <w:tblPr/>
      <w:tcPr>
        <w:tcBorders>
          <w:top w:val="single" w:sz="4" w:space="0" w:color="00B18F" w:themeColor="accent2"/>
          <w:left w:val="single" w:sz="4" w:space="0" w:color="00B18F" w:themeColor="accent2"/>
          <w:bottom w:val="single" w:sz="4" w:space="0" w:color="00B18F" w:themeColor="accent2"/>
          <w:right w:val="single" w:sz="4" w:space="0" w:color="00B18F" w:themeColor="accent2"/>
          <w:insideH w:val="nil"/>
          <w:insideV w:val="nil"/>
        </w:tcBorders>
        <w:shd w:val="clear" w:color="auto" w:fill="00B18F" w:themeFill="accent2"/>
      </w:tcPr>
    </w:tblStylePr>
    <w:tblStylePr w:type="lastRow">
      <w:rPr>
        <w:b/>
        <w:bCs/>
      </w:rPr>
      <w:tblPr/>
      <w:tcPr>
        <w:tcBorders>
          <w:top w:val="double" w:sz="4" w:space="0" w:color="00B18F" w:themeColor="accent2"/>
        </w:tcBorders>
      </w:tcPr>
    </w:tblStylePr>
    <w:tblStylePr w:type="firstCol">
      <w:rPr>
        <w:b/>
        <w:bCs/>
      </w:rPr>
    </w:tblStylePr>
    <w:tblStylePr w:type="lastCol">
      <w:rPr>
        <w:b/>
        <w:bCs/>
      </w:rPr>
    </w:tblStylePr>
    <w:tblStylePr w:type="band1Vert">
      <w:tblPr/>
      <w:tcPr>
        <w:shd w:val="clear" w:color="auto" w:fill="BCFFF2" w:themeFill="accent2" w:themeFillTint="33"/>
      </w:tcPr>
    </w:tblStylePr>
    <w:tblStylePr w:type="band1Horz">
      <w:tblPr/>
      <w:tcPr>
        <w:shd w:val="clear" w:color="auto" w:fill="BCFFF2" w:themeFill="accent2" w:themeFillTint="33"/>
      </w:tcPr>
    </w:tblStylePr>
  </w:style>
  <w:style w:type="table" w:styleId="GridTable4-Accent3">
    <w:name w:val="Grid Table 4 Accent 3"/>
    <w:basedOn w:val="TableNormal"/>
    <w:uiPriority w:val="49"/>
    <w:rsid w:val="006633DE"/>
    <w:pPr>
      <w:spacing w:after="260" w:line="240" w:lineRule="auto"/>
    </w:pPr>
    <w:tblPr>
      <w:tblStyleRowBandSize w:val="1"/>
      <w:tblStyleColBandSize w:val="1"/>
      <w:tblBorders>
        <w:top w:val="single" w:sz="4" w:space="0" w:color="A1DFF1" w:themeColor="accent3" w:themeTint="99"/>
        <w:left w:val="single" w:sz="4" w:space="0" w:color="A1DFF1" w:themeColor="accent3" w:themeTint="99"/>
        <w:bottom w:val="single" w:sz="4" w:space="0" w:color="A1DFF1" w:themeColor="accent3" w:themeTint="99"/>
        <w:right w:val="single" w:sz="4" w:space="0" w:color="A1DFF1" w:themeColor="accent3" w:themeTint="99"/>
        <w:insideH w:val="single" w:sz="4" w:space="0" w:color="A1DFF1" w:themeColor="accent3" w:themeTint="99"/>
        <w:insideV w:val="single" w:sz="4" w:space="0" w:color="A1DFF1" w:themeColor="accent3" w:themeTint="99"/>
      </w:tblBorders>
    </w:tblPr>
    <w:tblStylePr w:type="firstRow">
      <w:rPr>
        <w:b/>
        <w:bCs/>
        <w:color w:val="FFFFFF" w:themeColor="background1"/>
      </w:rPr>
      <w:tblPr/>
      <w:tcPr>
        <w:tcBorders>
          <w:top w:val="single" w:sz="4" w:space="0" w:color="64CBE8" w:themeColor="accent3"/>
          <w:left w:val="single" w:sz="4" w:space="0" w:color="64CBE8" w:themeColor="accent3"/>
          <w:bottom w:val="single" w:sz="4" w:space="0" w:color="64CBE8" w:themeColor="accent3"/>
          <w:right w:val="single" w:sz="4" w:space="0" w:color="64CBE8" w:themeColor="accent3"/>
          <w:insideH w:val="nil"/>
          <w:insideV w:val="nil"/>
        </w:tcBorders>
        <w:shd w:val="clear" w:color="auto" w:fill="64CBE8" w:themeFill="accent3"/>
      </w:tcPr>
    </w:tblStylePr>
    <w:tblStylePr w:type="lastRow">
      <w:rPr>
        <w:b/>
        <w:bCs/>
      </w:rPr>
      <w:tblPr/>
      <w:tcPr>
        <w:tcBorders>
          <w:top w:val="double" w:sz="4" w:space="0" w:color="64CBE8" w:themeColor="accent3"/>
        </w:tcBorders>
      </w:tcPr>
    </w:tblStylePr>
    <w:tblStylePr w:type="firstCol">
      <w:rPr>
        <w:b/>
        <w:bCs/>
      </w:rPr>
    </w:tblStylePr>
    <w:tblStylePr w:type="lastCol">
      <w:rPr>
        <w:b/>
        <w:bCs/>
      </w:rPr>
    </w:tblStylePr>
    <w:tblStylePr w:type="band1Vert">
      <w:tblPr/>
      <w:tcPr>
        <w:shd w:val="clear" w:color="auto" w:fill="DFF4FA" w:themeFill="accent3" w:themeFillTint="33"/>
      </w:tcPr>
    </w:tblStylePr>
    <w:tblStylePr w:type="band1Horz">
      <w:tblPr/>
      <w:tcPr>
        <w:shd w:val="clear" w:color="auto" w:fill="DFF4FA" w:themeFill="accent3" w:themeFillTint="33"/>
      </w:tcPr>
    </w:tblStylePr>
  </w:style>
  <w:style w:type="table" w:styleId="GridTable4-Accent4">
    <w:name w:val="Grid Table 4 Accent 4"/>
    <w:basedOn w:val="TableNormal"/>
    <w:uiPriority w:val="49"/>
    <w:rsid w:val="006633DE"/>
    <w:pPr>
      <w:spacing w:after="260" w:line="240" w:lineRule="auto"/>
    </w:pPr>
    <w:tblPr>
      <w:tblStyleRowBandSize w:val="1"/>
      <w:tblStyleColBandSize w:val="1"/>
      <w:tblBorders>
        <w:top w:val="single" w:sz="4" w:space="0" w:color="1694FF" w:themeColor="accent4" w:themeTint="99"/>
        <w:left w:val="single" w:sz="4" w:space="0" w:color="1694FF" w:themeColor="accent4" w:themeTint="99"/>
        <w:bottom w:val="single" w:sz="4" w:space="0" w:color="1694FF" w:themeColor="accent4" w:themeTint="99"/>
        <w:right w:val="single" w:sz="4" w:space="0" w:color="1694FF" w:themeColor="accent4" w:themeTint="99"/>
        <w:insideH w:val="single" w:sz="4" w:space="0" w:color="1694FF" w:themeColor="accent4" w:themeTint="99"/>
        <w:insideV w:val="single" w:sz="4" w:space="0" w:color="1694FF" w:themeColor="accent4" w:themeTint="99"/>
      </w:tblBorders>
    </w:tblPr>
    <w:tblStylePr w:type="firstRow">
      <w:rPr>
        <w:b/>
        <w:bCs/>
        <w:color w:val="FFFFFF" w:themeColor="background1"/>
      </w:rPr>
      <w:tblPr/>
      <w:tcPr>
        <w:tcBorders>
          <w:top w:val="single" w:sz="4" w:space="0" w:color="00437B" w:themeColor="accent4"/>
          <w:left w:val="single" w:sz="4" w:space="0" w:color="00437B" w:themeColor="accent4"/>
          <w:bottom w:val="single" w:sz="4" w:space="0" w:color="00437B" w:themeColor="accent4"/>
          <w:right w:val="single" w:sz="4" w:space="0" w:color="00437B" w:themeColor="accent4"/>
          <w:insideH w:val="nil"/>
          <w:insideV w:val="nil"/>
        </w:tcBorders>
        <w:shd w:val="clear" w:color="auto" w:fill="00437B" w:themeFill="accent4"/>
      </w:tcPr>
    </w:tblStylePr>
    <w:tblStylePr w:type="lastRow">
      <w:rPr>
        <w:b/>
        <w:bCs/>
      </w:rPr>
      <w:tblPr/>
      <w:tcPr>
        <w:tcBorders>
          <w:top w:val="double" w:sz="4" w:space="0" w:color="00437B" w:themeColor="accent4"/>
        </w:tcBorders>
      </w:tcPr>
    </w:tblStylePr>
    <w:tblStylePr w:type="firstCol">
      <w:rPr>
        <w:b/>
        <w:bCs/>
      </w:rPr>
    </w:tblStylePr>
    <w:tblStylePr w:type="lastCol">
      <w:rPr>
        <w:b/>
        <w:bCs/>
      </w:rPr>
    </w:tblStylePr>
    <w:tblStylePr w:type="band1Vert">
      <w:tblPr/>
      <w:tcPr>
        <w:shd w:val="clear" w:color="auto" w:fill="B1DBFF" w:themeFill="accent4" w:themeFillTint="33"/>
      </w:tcPr>
    </w:tblStylePr>
    <w:tblStylePr w:type="band1Horz">
      <w:tblPr/>
      <w:tcPr>
        <w:shd w:val="clear" w:color="auto" w:fill="B1DBFF" w:themeFill="accent4" w:themeFillTint="33"/>
      </w:tcPr>
    </w:tblStylePr>
  </w:style>
  <w:style w:type="table" w:styleId="GridTable4-Accent5">
    <w:name w:val="Grid Table 4 Accent 5"/>
    <w:basedOn w:val="TableNormal"/>
    <w:uiPriority w:val="49"/>
    <w:rsid w:val="006633DE"/>
    <w:pPr>
      <w:spacing w:after="260" w:line="240" w:lineRule="auto"/>
    </w:pPr>
    <w:tblPr>
      <w:tblStyleRowBandSize w:val="1"/>
      <w:tblStyleColBandSize w:val="1"/>
      <w:tblBorders>
        <w:top w:val="single" w:sz="4" w:space="0" w:color="FBDC69" w:themeColor="accent5" w:themeTint="99"/>
        <w:left w:val="single" w:sz="4" w:space="0" w:color="FBDC69" w:themeColor="accent5" w:themeTint="99"/>
        <w:bottom w:val="single" w:sz="4" w:space="0" w:color="FBDC69" w:themeColor="accent5" w:themeTint="99"/>
        <w:right w:val="single" w:sz="4" w:space="0" w:color="FBDC69" w:themeColor="accent5" w:themeTint="99"/>
        <w:insideH w:val="single" w:sz="4" w:space="0" w:color="FBDC69" w:themeColor="accent5" w:themeTint="99"/>
        <w:insideV w:val="single" w:sz="4" w:space="0" w:color="FBDC69" w:themeColor="accent5" w:themeTint="99"/>
      </w:tblBorders>
    </w:tblPr>
    <w:tblStylePr w:type="firstRow">
      <w:rPr>
        <w:b/>
        <w:bCs/>
        <w:color w:val="FFFFFF" w:themeColor="background1"/>
      </w:rPr>
      <w:tblPr/>
      <w:tcPr>
        <w:tcBorders>
          <w:top w:val="single" w:sz="4" w:space="0" w:color="F9C606" w:themeColor="accent5"/>
          <w:left w:val="single" w:sz="4" w:space="0" w:color="F9C606" w:themeColor="accent5"/>
          <w:bottom w:val="single" w:sz="4" w:space="0" w:color="F9C606" w:themeColor="accent5"/>
          <w:right w:val="single" w:sz="4" w:space="0" w:color="F9C606" w:themeColor="accent5"/>
          <w:insideH w:val="nil"/>
          <w:insideV w:val="nil"/>
        </w:tcBorders>
        <w:shd w:val="clear" w:color="auto" w:fill="F9C606" w:themeFill="accent5"/>
      </w:tcPr>
    </w:tblStylePr>
    <w:tblStylePr w:type="lastRow">
      <w:rPr>
        <w:b/>
        <w:bCs/>
      </w:rPr>
      <w:tblPr/>
      <w:tcPr>
        <w:tcBorders>
          <w:top w:val="double" w:sz="4" w:space="0" w:color="F9C606" w:themeColor="accent5"/>
        </w:tcBorders>
      </w:tcPr>
    </w:tblStylePr>
    <w:tblStylePr w:type="firstCol">
      <w:rPr>
        <w:b/>
        <w:bCs/>
      </w:rPr>
    </w:tblStylePr>
    <w:tblStylePr w:type="lastCol">
      <w:rPr>
        <w:b/>
        <w:bCs/>
      </w:rPr>
    </w:tblStylePr>
    <w:tblStylePr w:type="band1Vert">
      <w:tblPr/>
      <w:tcPr>
        <w:shd w:val="clear" w:color="auto" w:fill="FDF3CD" w:themeFill="accent5" w:themeFillTint="33"/>
      </w:tcPr>
    </w:tblStylePr>
    <w:tblStylePr w:type="band1Horz">
      <w:tblPr/>
      <w:tcPr>
        <w:shd w:val="clear" w:color="auto" w:fill="FDF3CD" w:themeFill="accent5" w:themeFillTint="33"/>
      </w:tcPr>
    </w:tblStylePr>
  </w:style>
  <w:style w:type="table" w:styleId="GridTable4-Accent6">
    <w:name w:val="Grid Table 4 Accent 6"/>
    <w:basedOn w:val="TableNormal"/>
    <w:uiPriority w:val="49"/>
    <w:rsid w:val="006633DE"/>
    <w:pPr>
      <w:spacing w:after="260" w:line="240" w:lineRule="auto"/>
    </w:pPr>
    <w:tblPr>
      <w:tblStyleRowBandSize w:val="1"/>
      <w:tblStyleColBandSize w:val="1"/>
      <w:tblBorders>
        <w:top w:val="single" w:sz="4" w:space="0" w:color="DBE781" w:themeColor="accent6" w:themeTint="99"/>
        <w:left w:val="single" w:sz="4" w:space="0" w:color="DBE781" w:themeColor="accent6" w:themeTint="99"/>
        <w:bottom w:val="single" w:sz="4" w:space="0" w:color="DBE781" w:themeColor="accent6" w:themeTint="99"/>
        <w:right w:val="single" w:sz="4" w:space="0" w:color="DBE781" w:themeColor="accent6" w:themeTint="99"/>
        <w:insideH w:val="single" w:sz="4" w:space="0" w:color="DBE781" w:themeColor="accent6" w:themeTint="99"/>
        <w:insideV w:val="single" w:sz="4" w:space="0" w:color="DBE781" w:themeColor="accent6" w:themeTint="99"/>
      </w:tblBorders>
    </w:tblPr>
    <w:tblStylePr w:type="firstRow">
      <w:rPr>
        <w:b/>
        <w:bCs/>
        <w:color w:val="FFFFFF" w:themeColor="background1"/>
      </w:rPr>
      <w:tblPr/>
      <w:tcPr>
        <w:tcBorders>
          <w:top w:val="single" w:sz="4" w:space="0" w:color="C4D82E" w:themeColor="accent6"/>
          <w:left w:val="single" w:sz="4" w:space="0" w:color="C4D82E" w:themeColor="accent6"/>
          <w:bottom w:val="single" w:sz="4" w:space="0" w:color="C4D82E" w:themeColor="accent6"/>
          <w:right w:val="single" w:sz="4" w:space="0" w:color="C4D82E" w:themeColor="accent6"/>
          <w:insideH w:val="nil"/>
          <w:insideV w:val="nil"/>
        </w:tcBorders>
        <w:shd w:val="clear" w:color="auto" w:fill="C4D82E" w:themeFill="accent6"/>
      </w:tcPr>
    </w:tblStylePr>
    <w:tblStylePr w:type="lastRow">
      <w:rPr>
        <w:b/>
        <w:bCs/>
      </w:rPr>
      <w:tblPr/>
      <w:tcPr>
        <w:tcBorders>
          <w:top w:val="double" w:sz="4" w:space="0" w:color="C4D82E" w:themeColor="accent6"/>
        </w:tcBorders>
      </w:tcPr>
    </w:tblStylePr>
    <w:tblStylePr w:type="firstCol">
      <w:rPr>
        <w:b/>
        <w:bCs/>
      </w:rPr>
    </w:tblStylePr>
    <w:tblStylePr w:type="lastCol">
      <w:rPr>
        <w:b/>
        <w:bCs/>
      </w:rPr>
    </w:tblStylePr>
    <w:tblStylePr w:type="band1Vert">
      <w:tblPr/>
      <w:tcPr>
        <w:shd w:val="clear" w:color="auto" w:fill="F3F7D5" w:themeFill="accent6" w:themeFillTint="33"/>
      </w:tcPr>
    </w:tblStylePr>
    <w:tblStylePr w:type="band1Horz">
      <w:tblPr/>
      <w:tcPr>
        <w:shd w:val="clear" w:color="auto" w:fill="F3F7D5" w:themeFill="accent6" w:themeFillTint="33"/>
      </w:tcPr>
    </w:tblStylePr>
  </w:style>
  <w:style w:type="table" w:styleId="GridTable5Dark">
    <w:name w:val="Grid Table 5 Dark"/>
    <w:basedOn w:val="TableNormal"/>
    <w:uiPriority w:val="50"/>
    <w:rsid w:val="006633DE"/>
    <w:pPr>
      <w:spacing w:after="26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6633DE"/>
    <w:pPr>
      <w:spacing w:after="26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8CBE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288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288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288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2884" w:themeFill="accent1"/>
      </w:tcPr>
    </w:tblStylePr>
    <w:tblStylePr w:type="band1Vert">
      <w:tblPr/>
      <w:tcPr>
        <w:shd w:val="clear" w:color="auto" w:fill="B297DF" w:themeFill="accent1" w:themeFillTint="66"/>
      </w:tcPr>
    </w:tblStylePr>
    <w:tblStylePr w:type="band1Horz">
      <w:tblPr/>
      <w:tcPr>
        <w:shd w:val="clear" w:color="auto" w:fill="B297DF" w:themeFill="accent1" w:themeFillTint="66"/>
      </w:tcPr>
    </w:tblStylePr>
  </w:style>
  <w:style w:type="table" w:styleId="GridTable5Dark-Accent2">
    <w:name w:val="Grid Table 5 Dark Accent 2"/>
    <w:basedOn w:val="TableNormal"/>
    <w:uiPriority w:val="50"/>
    <w:rsid w:val="006633DE"/>
    <w:pPr>
      <w:spacing w:after="26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2"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18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18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18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18F" w:themeFill="accent2"/>
      </w:tcPr>
    </w:tblStylePr>
    <w:tblStylePr w:type="band1Vert">
      <w:tblPr/>
      <w:tcPr>
        <w:shd w:val="clear" w:color="auto" w:fill="79FFE5" w:themeFill="accent2" w:themeFillTint="66"/>
      </w:tcPr>
    </w:tblStylePr>
    <w:tblStylePr w:type="band1Horz">
      <w:tblPr/>
      <w:tcPr>
        <w:shd w:val="clear" w:color="auto" w:fill="79FFE5" w:themeFill="accent2" w:themeFillTint="66"/>
      </w:tcPr>
    </w:tblStylePr>
  </w:style>
  <w:style w:type="table" w:styleId="GridTable5Dark-Accent3">
    <w:name w:val="Grid Table 5 Dark Accent 3"/>
    <w:basedOn w:val="TableNormal"/>
    <w:uiPriority w:val="50"/>
    <w:rsid w:val="006633DE"/>
    <w:pPr>
      <w:spacing w:after="26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F4FA"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4CBE8"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4CBE8"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4CBE8"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4CBE8" w:themeFill="accent3"/>
      </w:tcPr>
    </w:tblStylePr>
    <w:tblStylePr w:type="band1Vert">
      <w:tblPr/>
      <w:tcPr>
        <w:shd w:val="clear" w:color="auto" w:fill="C0E9F5" w:themeFill="accent3" w:themeFillTint="66"/>
      </w:tcPr>
    </w:tblStylePr>
    <w:tblStylePr w:type="band1Horz">
      <w:tblPr/>
      <w:tcPr>
        <w:shd w:val="clear" w:color="auto" w:fill="C0E9F5" w:themeFill="accent3" w:themeFillTint="66"/>
      </w:tcPr>
    </w:tblStylePr>
  </w:style>
  <w:style w:type="table" w:styleId="GridTable5Dark-Accent4">
    <w:name w:val="Grid Table 5 Dark Accent 4"/>
    <w:basedOn w:val="TableNormal"/>
    <w:uiPriority w:val="50"/>
    <w:rsid w:val="006633DE"/>
    <w:pPr>
      <w:spacing w:after="26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1DBF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437B"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437B"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437B"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437B" w:themeFill="accent4"/>
      </w:tcPr>
    </w:tblStylePr>
    <w:tblStylePr w:type="band1Vert">
      <w:tblPr/>
      <w:tcPr>
        <w:shd w:val="clear" w:color="auto" w:fill="64B7FF" w:themeFill="accent4" w:themeFillTint="66"/>
      </w:tcPr>
    </w:tblStylePr>
    <w:tblStylePr w:type="band1Horz">
      <w:tblPr/>
      <w:tcPr>
        <w:shd w:val="clear" w:color="auto" w:fill="64B7FF" w:themeFill="accent4" w:themeFillTint="66"/>
      </w:tcPr>
    </w:tblStylePr>
  </w:style>
  <w:style w:type="table" w:styleId="GridTable5Dark-Accent5">
    <w:name w:val="Grid Table 5 Dark Accent 5"/>
    <w:basedOn w:val="TableNormal"/>
    <w:uiPriority w:val="50"/>
    <w:rsid w:val="006633DE"/>
    <w:pPr>
      <w:spacing w:after="26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F3C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9C60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9C60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9C60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9C606" w:themeFill="accent5"/>
      </w:tcPr>
    </w:tblStylePr>
    <w:tblStylePr w:type="band1Vert">
      <w:tblPr/>
      <w:tcPr>
        <w:shd w:val="clear" w:color="auto" w:fill="FCE89B" w:themeFill="accent5" w:themeFillTint="66"/>
      </w:tcPr>
    </w:tblStylePr>
    <w:tblStylePr w:type="band1Horz">
      <w:tblPr/>
      <w:tcPr>
        <w:shd w:val="clear" w:color="auto" w:fill="FCE89B" w:themeFill="accent5" w:themeFillTint="66"/>
      </w:tcPr>
    </w:tblStylePr>
  </w:style>
  <w:style w:type="table" w:styleId="GridTable5Dark-Accent6">
    <w:name w:val="Grid Table 5 Dark Accent 6"/>
    <w:basedOn w:val="TableNormal"/>
    <w:uiPriority w:val="50"/>
    <w:rsid w:val="006633DE"/>
    <w:pPr>
      <w:spacing w:after="26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3F7D5"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4D82E"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4D82E"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4D82E"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4D82E" w:themeFill="accent6"/>
      </w:tcPr>
    </w:tblStylePr>
    <w:tblStylePr w:type="band1Vert">
      <w:tblPr/>
      <w:tcPr>
        <w:shd w:val="clear" w:color="auto" w:fill="E7EFAB" w:themeFill="accent6" w:themeFillTint="66"/>
      </w:tcPr>
    </w:tblStylePr>
    <w:tblStylePr w:type="band1Horz">
      <w:tblPr/>
      <w:tcPr>
        <w:shd w:val="clear" w:color="auto" w:fill="E7EFAB" w:themeFill="accent6" w:themeFillTint="66"/>
      </w:tcPr>
    </w:tblStylePr>
  </w:style>
  <w:style w:type="table" w:styleId="GridTable6Colorful">
    <w:name w:val="Grid Table 6 Colorful"/>
    <w:basedOn w:val="TableNormal"/>
    <w:uiPriority w:val="51"/>
    <w:rsid w:val="006633DE"/>
    <w:pPr>
      <w:spacing w:after="26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6633DE"/>
    <w:pPr>
      <w:spacing w:after="260" w:line="240" w:lineRule="auto"/>
    </w:pPr>
    <w:rPr>
      <w:color w:val="381E62" w:themeColor="accent1" w:themeShade="BF"/>
    </w:rPr>
    <w:tblPr>
      <w:tblStyleRowBandSize w:val="1"/>
      <w:tblStyleColBandSize w:val="1"/>
      <w:tblBorders>
        <w:top w:val="single" w:sz="4" w:space="0" w:color="8C63CF" w:themeColor="accent1" w:themeTint="99"/>
        <w:left w:val="single" w:sz="4" w:space="0" w:color="8C63CF" w:themeColor="accent1" w:themeTint="99"/>
        <w:bottom w:val="single" w:sz="4" w:space="0" w:color="8C63CF" w:themeColor="accent1" w:themeTint="99"/>
        <w:right w:val="single" w:sz="4" w:space="0" w:color="8C63CF" w:themeColor="accent1" w:themeTint="99"/>
        <w:insideH w:val="single" w:sz="4" w:space="0" w:color="8C63CF" w:themeColor="accent1" w:themeTint="99"/>
        <w:insideV w:val="single" w:sz="4" w:space="0" w:color="8C63CF" w:themeColor="accent1" w:themeTint="99"/>
      </w:tblBorders>
    </w:tblPr>
    <w:tblStylePr w:type="firstRow">
      <w:rPr>
        <w:b/>
        <w:bCs/>
      </w:rPr>
      <w:tblPr/>
      <w:tcPr>
        <w:tcBorders>
          <w:bottom w:val="single" w:sz="12" w:space="0" w:color="8C63CF" w:themeColor="accent1" w:themeTint="99"/>
        </w:tcBorders>
      </w:tcPr>
    </w:tblStylePr>
    <w:tblStylePr w:type="lastRow">
      <w:rPr>
        <w:b/>
        <w:bCs/>
      </w:rPr>
      <w:tblPr/>
      <w:tcPr>
        <w:tcBorders>
          <w:top w:val="double" w:sz="4" w:space="0" w:color="8C63CF" w:themeColor="accent1" w:themeTint="99"/>
        </w:tcBorders>
      </w:tcPr>
    </w:tblStylePr>
    <w:tblStylePr w:type="firstCol">
      <w:rPr>
        <w:b/>
        <w:bCs/>
      </w:rPr>
    </w:tblStylePr>
    <w:tblStylePr w:type="lastCol">
      <w:rPr>
        <w:b/>
        <w:bCs/>
      </w:rPr>
    </w:tblStylePr>
    <w:tblStylePr w:type="band1Vert">
      <w:tblPr/>
      <w:tcPr>
        <w:shd w:val="clear" w:color="auto" w:fill="D8CBEF" w:themeFill="accent1" w:themeFillTint="33"/>
      </w:tcPr>
    </w:tblStylePr>
    <w:tblStylePr w:type="band1Horz">
      <w:tblPr/>
      <w:tcPr>
        <w:shd w:val="clear" w:color="auto" w:fill="D8CBEF" w:themeFill="accent1" w:themeFillTint="33"/>
      </w:tcPr>
    </w:tblStylePr>
  </w:style>
  <w:style w:type="table" w:styleId="GridTable6Colorful-Accent2">
    <w:name w:val="Grid Table 6 Colorful Accent 2"/>
    <w:basedOn w:val="TableNormal"/>
    <w:uiPriority w:val="51"/>
    <w:rsid w:val="006633DE"/>
    <w:pPr>
      <w:spacing w:after="260" w:line="240" w:lineRule="auto"/>
    </w:pPr>
    <w:rPr>
      <w:color w:val="00846A" w:themeColor="accent2" w:themeShade="BF"/>
    </w:rPr>
    <w:tblPr>
      <w:tblStyleRowBandSize w:val="1"/>
      <w:tblStyleColBandSize w:val="1"/>
      <w:tblBorders>
        <w:top w:val="single" w:sz="4" w:space="0" w:color="37FFD8" w:themeColor="accent2" w:themeTint="99"/>
        <w:left w:val="single" w:sz="4" w:space="0" w:color="37FFD8" w:themeColor="accent2" w:themeTint="99"/>
        <w:bottom w:val="single" w:sz="4" w:space="0" w:color="37FFD8" w:themeColor="accent2" w:themeTint="99"/>
        <w:right w:val="single" w:sz="4" w:space="0" w:color="37FFD8" w:themeColor="accent2" w:themeTint="99"/>
        <w:insideH w:val="single" w:sz="4" w:space="0" w:color="37FFD8" w:themeColor="accent2" w:themeTint="99"/>
        <w:insideV w:val="single" w:sz="4" w:space="0" w:color="37FFD8" w:themeColor="accent2" w:themeTint="99"/>
      </w:tblBorders>
    </w:tblPr>
    <w:tblStylePr w:type="firstRow">
      <w:rPr>
        <w:b/>
        <w:bCs/>
      </w:rPr>
      <w:tblPr/>
      <w:tcPr>
        <w:tcBorders>
          <w:bottom w:val="single" w:sz="12" w:space="0" w:color="37FFD8" w:themeColor="accent2" w:themeTint="99"/>
        </w:tcBorders>
      </w:tcPr>
    </w:tblStylePr>
    <w:tblStylePr w:type="lastRow">
      <w:rPr>
        <w:b/>
        <w:bCs/>
      </w:rPr>
      <w:tblPr/>
      <w:tcPr>
        <w:tcBorders>
          <w:top w:val="double" w:sz="4" w:space="0" w:color="37FFD8" w:themeColor="accent2" w:themeTint="99"/>
        </w:tcBorders>
      </w:tcPr>
    </w:tblStylePr>
    <w:tblStylePr w:type="firstCol">
      <w:rPr>
        <w:b/>
        <w:bCs/>
      </w:rPr>
    </w:tblStylePr>
    <w:tblStylePr w:type="lastCol">
      <w:rPr>
        <w:b/>
        <w:bCs/>
      </w:rPr>
    </w:tblStylePr>
    <w:tblStylePr w:type="band1Vert">
      <w:tblPr/>
      <w:tcPr>
        <w:shd w:val="clear" w:color="auto" w:fill="BCFFF2" w:themeFill="accent2" w:themeFillTint="33"/>
      </w:tcPr>
    </w:tblStylePr>
    <w:tblStylePr w:type="band1Horz">
      <w:tblPr/>
      <w:tcPr>
        <w:shd w:val="clear" w:color="auto" w:fill="BCFFF2" w:themeFill="accent2" w:themeFillTint="33"/>
      </w:tcPr>
    </w:tblStylePr>
  </w:style>
  <w:style w:type="table" w:styleId="GridTable6Colorful-Accent3">
    <w:name w:val="Grid Table 6 Colorful Accent 3"/>
    <w:basedOn w:val="TableNormal"/>
    <w:uiPriority w:val="51"/>
    <w:rsid w:val="006633DE"/>
    <w:pPr>
      <w:spacing w:after="260" w:line="240" w:lineRule="auto"/>
    </w:pPr>
    <w:rPr>
      <w:color w:val="20AFD8" w:themeColor="accent3" w:themeShade="BF"/>
    </w:rPr>
    <w:tblPr>
      <w:tblStyleRowBandSize w:val="1"/>
      <w:tblStyleColBandSize w:val="1"/>
      <w:tblBorders>
        <w:top w:val="single" w:sz="4" w:space="0" w:color="A1DFF1" w:themeColor="accent3" w:themeTint="99"/>
        <w:left w:val="single" w:sz="4" w:space="0" w:color="A1DFF1" w:themeColor="accent3" w:themeTint="99"/>
        <w:bottom w:val="single" w:sz="4" w:space="0" w:color="A1DFF1" w:themeColor="accent3" w:themeTint="99"/>
        <w:right w:val="single" w:sz="4" w:space="0" w:color="A1DFF1" w:themeColor="accent3" w:themeTint="99"/>
        <w:insideH w:val="single" w:sz="4" w:space="0" w:color="A1DFF1" w:themeColor="accent3" w:themeTint="99"/>
        <w:insideV w:val="single" w:sz="4" w:space="0" w:color="A1DFF1" w:themeColor="accent3" w:themeTint="99"/>
      </w:tblBorders>
    </w:tblPr>
    <w:tblStylePr w:type="firstRow">
      <w:rPr>
        <w:b/>
        <w:bCs/>
      </w:rPr>
      <w:tblPr/>
      <w:tcPr>
        <w:tcBorders>
          <w:bottom w:val="single" w:sz="12" w:space="0" w:color="A1DFF1" w:themeColor="accent3" w:themeTint="99"/>
        </w:tcBorders>
      </w:tcPr>
    </w:tblStylePr>
    <w:tblStylePr w:type="lastRow">
      <w:rPr>
        <w:b/>
        <w:bCs/>
      </w:rPr>
      <w:tblPr/>
      <w:tcPr>
        <w:tcBorders>
          <w:top w:val="double" w:sz="4" w:space="0" w:color="A1DFF1" w:themeColor="accent3" w:themeTint="99"/>
        </w:tcBorders>
      </w:tcPr>
    </w:tblStylePr>
    <w:tblStylePr w:type="firstCol">
      <w:rPr>
        <w:b/>
        <w:bCs/>
      </w:rPr>
    </w:tblStylePr>
    <w:tblStylePr w:type="lastCol">
      <w:rPr>
        <w:b/>
        <w:bCs/>
      </w:rPr>
    </w:tblStylePr>
    <w:tblStylePr w:type="band1Vert">
      <w:tblPr/>
      <w:tcPr>
        <w:shd w:val="clear" w:color="auto" w:fill="DFF4FA" w:themeFill="accent3" w:themeFillTint="33"/>
      </w:tcPr>
    </w:tblStylePr>
    <w:tblStylePr w:type="band1Horz">
      <w:tblPr/>
      <w:tcPr>
        <w:shd w:val="clear" w:color="auto" w:fill="DFF4FA" w:themeFill="accent3" w:themeFillTint="33"/>
      </w:tcPr>
    </w:tblStylePr>
  </w:style>
  <w:style w:type="table" w:styleId="GridTable6Colorful-Accent4">
    <w:name w:val="Grid Table 6 Colorful Accent 4"/>
    <w:basedOn w:val="TableNormal"/>
    <w:uiPriority w:val="51"/>
    <w:rsid w:val="006633DE"/>
    <w:pPr>
      <w:spacing w:after="260" w:line="240" w:lineRule="auto"/>
    </w:pPr>
    <w:rPr>
      <w:color w:val="00315C" w:themeColor="accent4" w:themeShade="BF"/>
    </w:rPr>
    <w:tblPr>
      <w:tblStyleRowBandSize w:val="1"/>
      <w:tblStyleColBandSize w:val="1"/>
      <w:tblBorders>
        <w:top w:val="single" w:sz="4" w:space="0" w:color="1694FF" w:themeColor="accent4" w:themeTint="99"/>
        <w:left w:val="single" w:sz="4" w:space="0" w:color="1694FF" w:themeColor="accent4" w:themeTint="99"/>
        <w:bottom w:val="single" w:sz="4" w:space="0" w:color="1694FF" w:themeColor="accent4" w:themeTint="99"/>
        <w:right w:val="single" w:sz="4" w:space="0" w:color="1694FF" w:themeColor="accent4" w:themeTint="99"/>
        <w:insideH w:val="single" w:sz="4" w:space="0" w:color="1694FF" w:themeColor="accent4" w:themeTint="99"/>
        <w:insideV w:val="single" w:sz="4" w:space="0" w:color="1694FF" w:themeColor="accent4" w:themeTint="99"/>
      </w:tblBorders>
    </w:tblPr>
    <w:tblStylePr w:type="firstRow">
      <w:rPr>
        <w:b/>
        <w:bCs/>
      </w:rPr>
      <w:tblPr/>
      <w:tcPr>
        <w:tcBorders>
          <w:bottom w:val="single" w:sz="12" w:space="0" w:color="1694FF" w:themeColor="accent4" w:themeTint="99"/>
        </w:tcBorders>
      </w:tcPr>
    </w:tblStylePr>
    <w:tblStylePr w:type="lastRow">
      <w:rPr>
        <w:b/>
        <w:bCs/>
      </w:rPr>
      <w:tblPr/>
      <w:tcPr>
        <w:tcBorders>
          <w:top w:val="double" w:sz="4" w:space="0" w:color="1694FF" w:themeColor="accent4" w:themeTint="99"/>
        </w:tcBorders>
      </w:tcPr>
    </w:tblStylePr>
    <w:tblStylePr w:type="firstCol">
      <w:rPr>
        <w:b/>
        <w:bCs/>
      </w:rPr>
    </w:tblStylePr>
    <w:tblStylePr w:type="lastCol">
      <w:rPr>
        <w:b/>
        <w:bCs/>
      </w:rPr>
    </w:tblStylePr>
    <w:tblStylePr w:type="band1Vert">
      <w:tblPr/>
      <w:tcPr>
        <w:shd w:val="clear" w:color="auto" w:fill="B1DBFF" w:themeFill="accent4" w:themeFillTint="33"/>
      </w:tcPr>
    </w:tblStylePr>
    <w:tblStylePr w:type="band1Horz">
      <w:tblPr/>
      <w:tcPr>
        <w:shd w:val="clear" w:color="auto" w:fill="B1DBFF" w:themeFill="accent4" w:themeFillTint="33"/>
      </w:tcPr>
    </w:tblStylePr>
  </w:style>
  <w:style w:type="table" w:styleId="GridTable6Colorful-Accent5">
    <w:name w:val="Grid Table 6 Colorful Accent 5"/>
    <w:basedOn w:val="TableNormal"/>
    <w:uiPriority w:val="51"/>
    <w:rsid w:val="006633DE"/>
    <w:pPr>
      <w:spacing w:after="260" w:line="240" w:lineRule="auto"/>
    </w:pPr>
    <w:rPr>
      <w:color w:val="BA9304" w:themeColor="accent5" w:themeShade="BF"/>
    </w:rPr>
    <w:tblPr>
      <w:tblStyleRowBandSize w:val="1"/>
      <w:tblStyleColBandSize w:val="1"/>
      <w:tblBorders>
        <w:top w:val="single" w:sz="4" w:space="0" w:color="FBDC69" w:themeColor="accent5" w:themeTint="99"/>
        <w:left w:val="single" w:sz="4" w:space="0" w:color="FBDC69" w:themeColor="accent5" w:themeTint="99"/>
        <w:bottom w:val="single" w:sz="4" w:space="0" w:color="FBDC69" w:themeColor="accent5" w:themeTint="99"/>
        <w:right w:val="single" w:sz="4" w:space="0" w:color="FBDC69" w:themeColor="accent5" w:themeTint="99"/>
        <w:insideH w:val="single" w:sz="4" w:space="0" w:color="FBDC69" w:themeColor="accent5" w:themeTint="99"/>
        <w:insideV w:val="single" w:sz="4" w:space="0" w:color="FBDC69" w:themeColor="accent5" w:themeTint="99"/>
      </w:tblBorders>
    </w:tblPr>
    <w:tblStylePr w:type="firstRow">
      <w:rPr>
        <w:b/>
        <w:bCs/>
      </w:rPr>
      <w:tblPr/>
      <w:tcPr>
        <w:tcBorders>
          <w:bottom w:val="single" w:sz="12" w:space="0" w:color="FBDC69" w:themeColor="accent5" w:themeTint="99"/>
        </w:tcBorders>
      </w:tcPr>
    </w:tblStylePr>
    <w:tblStylePr w:type="lastRow">
      <w:rPr>
        <w:b/>
        <w:bCs/>
      </w:rPr>
      <w:tblPr/>
      <w:tcPr>
        <w:tcBorders>
          <w:top w:val="double" w:sz="4" w:space="0" w:color="FBDC69" w:themeColor="accent5" w:themeTint="99"/>
        </w:tcBorders>
      </w:tcPr>
    </w:tblStylePr>
    <w:tblStylePr w:type="firstCol">
      <w:rPr>
        <w:b/>
        <w:bCs/>
      </w:rPr>
    </w:tblStylePr>
    <w:tblStylePr w:type="lastCol">
      <w:rPr>
        <w:b/>
        <w:bCs/>
      </w:rPr>
    </w:tblStylePr>
    <w:tblStylePr w:type="band1Vert">
      <w:tblPr/>
      <w:tcPr>
        <w:shd w:val="clear" w:color="auto" w:fill="FDF3CD" w:themeFill="accent5" w:themeFillTint="33"/>
      </w:tcPr>
    </w:tblStylePr>
    <w:tblStylePr w:type="band1Horz">
      <w:tblPr/>
      <w:tcPr>
        <w:shd w:val="clear" w:color="auto" w:fill="FDF3CD" w:themeFill="accent5" w:themeFillTint="33"/>
      </w:tcPr>
    </w:tblStylePr>
  </w:style>
  <w:style w:type="table" w:styleId="GridTable6Colorful-Accent6">
    <w:name w:val="Grid Table 6 Colorful Accent 6"/>
    <w:basedOn w:val="TableNormal"/>
    <w:uiPriority w:val="51"/>
    <w:rsid w:val="006633DE"/>
    <w:pPr>
      <w:spacing w:after="260" w:line="240" w:lineRule="auto"/>
    </w:pPr>
    <w:rPr>
      <w:color w:val="95A51F" w:themeColor="accent6" w:themeShade="BF"/>
    </w:rPr>
    <w:tblPr>
      <w:tblStyleRowBandSize w:val="1"/>
      <w:tblStyleColBandSize w:val="1"/>
      <w:tblBorders>
        <w:top w:val="single" w:sz="4" w:space="0" w:color="DBE781" w:themeColor="accent6" w:themeTint="99"/>
        <w:left w:val="single" w:sz="4" w:space="0" w:color="DBE781" w:themeColor="accent6" w:themeTint="99"/>
        <w:bottom w:val="single" w:sz="4" w:space="0" w:color="DBE781" w:themeColor="accent6" w:themeTint="99"/>
        <w:right w:val="single" w:sz="4" w:space="0" w:color="DBE781" w:themeColor="accent6" w:themeTint="99"/>
        <w:insideH w:val="single" w:sz="4" w:space="0" w:color="DBE781" w:themeColor="accent6" w:themeTint="99"/>
        <w:insideV w:val="single" w:sz="4" w:space="0" w:color="DBE781" w:themeColor="accent6" w:themeTint="99"/>
      </w:tblBorders>
    </w:tblPr>
    <w:tblStylePr w:type="firstRow">
      <w:rPr>
        <w:b/>
        <w:bCs/>
      </w:rPr>
      <w:tblPr/>
      <w:tcPr>
        <w:tcBorders>
          <w:bottom w:val="single" w:sz="12" w:space="0" w:color="DBE781" w:themeColor="accent6" w:themeTint="99"/>
        </w:tcBorders>
      </w:tcPr>
    </w:tblStylePr>
    <w:tblStylePr w:type="lastRow">
      <w:rPr>
        <w:b/>
        <w:bCs/>
      </w:rPr>
      <w:tblPr/>
      <w:tcPr>
        <w:tcBorders>
          <w:top w:val="double" w:sz="4" w:space="0" w:color="DBE781" w:themeColor="accent6" w:themeTint="99"/>
        </w:tcBorders>
      </w:tcPr>
    </w:tblStylePr>
    <w:tblStylePr w:type="firstCol">
      <w:rPr>
        <w:b/>
        <w:bCs/>
      </w:rPr>
    </w:tblStylePr>
    <w:tblStylePr w:type="lastCol">
      <w:rPr>
        <w:b/>
        <w:bCs/>
      </w:rPr>
    </w:tblStylePr>
    <w:tblStylePr w:type="band1Vert">
      <w:tblPr/>
      <w:tcPr>
        <w:shd w:val="clear" w:color="auto" w:fill="F3F7D5" w:themeFill="accent6" w:themeFillTint="33"/>
      </w:tcPr>
    </w:tblStylePr>
    <w:tblStylePr w:type="band1Horz">
      <w:tblPr/>
      <w:tcPr>
        <w:shd w:val="clear" w:color="auto" w:fill="F3F7D5" w:themeFill="accent6" w:themeFillTint="33"/>
      </w:tcPr>
    </w:tblStylePr>
  </w:style>
  <w:style w:type="table" w:styleId="GridTable7Colorful">
    <w:name w:val="Grid Table 7 Colorful"/>
    <w:basedOn w:val="TableNormal"/>
    <w:uiPriority w:val="52"/>
    <w:rsid w:val="006633DE"/>
    <w:pPr>
      <w:spacing w:after="26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6633DE"/>
    <w:pPr>
      <w:spacing w:after="260" w:line="240" w:lineRule="auto"/>
    </w:pPr>
    <w:rPr>
      <w:color w:val="381E62" w:themeColor="accent1" w:themeShade="BF"/>
    </w:rPr>
    <w:tblPr>
      <w:tblStyleRowBandSize w:val="1"/>
      <w:tblStyleColBandSize w:val="1"/>
      <w:tblBorders>
        <w:top w:val="single" w:sz="4" w:space="0" w:color="8C63CF" w:themeColor="accent1" w:themeTint="99"/>
        <w:left w:val="single" w:sz="4" w:space="0" w:color="8C63CF" w:themeColor="accent1" w:themeTint="99"/>
        <w:bottom w:val="single" w:sz="4" w:space="0" w:color="8C63CF" w:themeColor="accent1" w:themeTint="99"/>
        <w:right w:val="single" w:sz="4" w:space="0" w:color="8C63CF" w:themeColor="accent1" w:themeTint="99"/>
        <w:insideH w:val="single" w:sz="4" w:space="0" w:color="8C63CF" w:themeColor="accent1" w:themeTint="99"/>
        <w:insideV w:val="single" w:sz="4" w:space="0" w:color="8C63C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8CBEF" w:themeFill="accent1" w:themeFillTint="33"/>
      </w:tcPr>
    </w:tblStylePr>
    <w:tblStylePr w:type="band1Horz">
      <w:tblPr/>
      <w:tcPr>
        <w:shd w:val="clear" w:color="auto" w:fill="D8CBEF" w:themeFill="accent1" w:themeFillTint="33"/>
      </w:tcPr>
    </w:tblStylePr>
    <w:tblStylePr w:type="neCell">
      <w:tblPr/>
      <w:tcPr>
        <w:tcBorders>
          <w:bottom w:val="single" w:sz="4" w:space="0" w:color="8C63CF" w:themeColor="accent1" w:themeTint="99"/>
        </w:tcBorders>
      </w:tcPr>
    </w:tblStylePr>
    <w:tblStylePr w:type="nwCell">
      <w:tblPr/>
      <w:tcPr>
        <w:tcBorders>
          <w:bottom w:val="single" w:sz="4" w:space="0" w:color="8C63CF" w:themeColor="accent1" w:themeTint="99"/>
        </w:tcBorders>
      </w:tcPr>
    </w:tblStylePr>
    <w:tblStylePr w:type="seCell">
      <w:tblPr/>
      <w:tcPr>
        <w:tcBorders>
          <w:top w:val="single" w:sz="4" w:space="0" w:color="8C63CF" w:themeColor="accent1" w:themeTint="99"/>
        </w:tcBorders>
      </w:tcPr>
    </w:tblStylePr>
    <w:tblStylePr w:type="swCell">
      <w:tblPr/>
      <w:tcPr>
        <w:tcBorders>
          <w:top w:val="single" w:sz="4" w:space="0" w:color="8C63CF" w:themeColor="accent1" w:themeTint="99"/>
        </w:tcBorders>
      </w:tcPr>
    </w:tblStylePr>
  </w:style>
  <w:style w:type="table" w:styleId="GridTable7Colorful-Accent2">
    <w:name w:val="Grid Table 7 Colorful Accent 2"/>
    <w:basedOn w:val="TableNormal"/>
    <w:uiPriority w:val="52"/>
    <w:rsid w:val="006633DE"/>
    <w:pPr>
      <w:spacing w:after="260" w:line="240" w:lineRule="auto"/>
    </w:pPr>
    <w:rPr>
      <w:color w:val="00846A" w:themeColor="accent2" w:themeShade="BF"/>
    </w:rPr>
    <w:tblPr>
      <w:tblStyleRowBandSize w:val="1"/>
      <w:tblStyleColBandSize w:val="1"/>
      <w:tblBorders>
        <w:top w:val="single" w:sz="4" w:space="0" w:color="37FFD8" w:themeColor="accent2" w:themeTint="99"/>
        <w:left w:val="single" w:sz="4" w:space="0" w:color="37FFD8" w:themeColor="accent2" w:themeTint="99"/>
        <w:bottom w:val="single" w:sz="4" w:space="0" w:color="37FFD8" w:themeColor="accent2" w:themeTint="99"/>
        <w:right w:val="single" w:sz="4" w:space="0" w:color="37FFD8" w:themeColor="accent2" w:themeTint="99"/>
        <w:insideH w:val="single" w:sz="4" w:space="0" w:color="37FFD8" w:themeColor="accent2" w:themeTint="99"/>
        <w:insideV w:val="single" w:sz="4" w:space="0" w:color="37FFD8"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2" w:themeFill="accent2" w:themeFillTint="33"/>
      </w:tcPr>
    </w:tblStylePr>
    <w:tblStylePr w:type="band1Horz">
      <w:tblPr/>
      <w:tcPr>
        <w:shd w:val="clear" w:color="auto" w:fill="BCFFF2" w:themeFill="accent2" w:themeFillTint="33"/>
      </w:tcPr>
    </w:tblStylePr>
    <w:tblStylePr w:type="neCell">
      <w:tblPr/>
      <w:tcPr>
        <w:tcBorders>
          <w:bottom w:val="single" w:sz="4" w:space="0" w:color="37FFD8" w:themeColor="accent2" w:themeTint="99"/>
        </w:tcBorders>
      </w:tcPr>
    </w:tblStylePr>
    <w:tblStylePr w:type="nwCell">
      <w:tblPr/>
      <w:tcPr>
        <w:tcBorders>
          <w:bottom w:val="single" w:sz="4" w:space="0" w:color="37FFD8" w:themeColor="accent2" w:themeTint="99"/>
        </w:tcBorders>
      </w:tcPr>
    </w:tblStylePr>
    <w:tblStylePr w:type="seCell">
      <w:tblPr/>
      <w:tcPr>
        <w:tcBorders>
          <w:top w:val="single" w:sz="4" w:space="0" w:color="37FFD8" w:themeColor="accent2" w:themeTint="99"/>
        </w:tcBorders>
      </w:tcPr>
    </w:tblStylePr>
    <w:tblStylePr w:type="swCell">
      <w:tblPr/>
      <w:tcPr>
        <w:tcBorders>
          <w:top w:val="single" w:sz="4" w:space="0" w:color="37FFD8" w:themeColor="accent2" w:themeTint="99"/>
        </w:tcBorders>
      </w:tcPr>
    </w:tblStylePr>
  </w:style>
  <w:style w:type="table" w:styleId="GridTable7Colorful-Accent3">
    <w:name w:val="Grid Table 7 Colorful Accent 3"/>
    <w:basedOn w:val="TableNormal"/>
    <w:uiPriority w:val="52"/>
    <w:rsid w:val="006633DE"/>
    <w:pPr>
      <w:spacing w:after="260" w:line="240" w:lineRule="auto"/>
    </w:pPr>
    <w:rPr>
      <w:color w:val="20AFD8" w:themeColor="accent3" w:themeShade="BF"/>
    </w:rPr>
    <w:tblPr>
      <w:tblStyleRowBandSize w:val="1"/>
      <w:tblStyleColBandSize w:val="1"/>
      <w:tblBorders>
        <w:top w:val="single" w:sz="4" w:space="0" w:color="A1DFF1" w:themeColor="accent3" w:themeTint="99"/>
        <w:left w:val="single" w:sz="4" w:space="0" w:color="A1DFF1" w:themeColor="accent3" w:themeTint="99"/>
        <w:bottom w:val="single" w:sz="4" w:space="0" w:color="A1DFF1" w:themeColor="accent3" w:themeTint="99"/>
        <w:right w:val="single" w:sz="4" w:space="0" w:color="A1DFF1" w:themeColor="accent3" w:themeTint="99"/>
        <w:insideH w:val="single" w:sz="4" w:space="0" w:color="A1DFF1" w:themeColor="accent3" w:themeTint="99"/>
        <w:insideV w:val="single" w:sz="4" w:space="0" w:color="A1DFF1"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F4FA" w:themeFill="accent3" w:themeFillTint="33"/>
      </w:tcPr>
    </w:tblStylePr>
    <w:tblStylePr w:type="band1Horz">
      <w:tblPr/>
      <w:tcPr>
        <w:shd w:val="clear" w:color="auto" w:fill="DFF4FA" w:themeFill="accent3" w:themeFillTint="33"/>
      </w:tcPr>
    </w:tblStylePr>
    <w:tblStylePr w:type="neCell">
      <w:tblPr/>
      <w:tcPr>
        <w:tcBorders>
          <w:bottom w:val="single" w:sz="4" w:space="0" w:color="A1DFF1" w:themeColor="accent3" w:themeTint="99"/>
        </w:tcBorders>
      </w:tcPr>
    </w:tblStylePr>
    <w:tblStylePr w:type="nwCell">
      <w:tblPr/>
      <w:tcPr>
        <w:tcBorders>
          <w:bottom w:val="single" w:sz="4" w:space="0" w:color="A1DFF1" w:themeColor="accent3" w:themeTint="99"/>
        </w:tcBorders>
      </w:tcPr>
    </w:tblStylePr>
    <w:tblStylePr w:type="seCell">
      <w:tblPr/>
      <w:tcPr>
        <w:tcBorders>
          <w:top w:val="single" w:sz="4" w:space="0" w:color="A1DFF1" w:themeColor="accent3" w:themeTint="99"/>
        </w:tcBorders>
      </w:tcPr>
    </w:tblStylePr>
    <w:tblStylePr w:type="swCell">
      <w:tblPr/>
      <w:tcPr>
        <w:tcBorders>
          <w:top w:val="single" w:sz="4" w:space="0" w:color="A1DFF1" w:themeColor="accent3" w:themeTint="99"/>
        </w:tcBorders>
      </w:tcPr>
    </w:tblStylePr>
  </w:style>
  <w:style w:type="table" w:styleId="GridTable7Colorful-Accent4">
    <w:name w:val="Grid Table 7 Colorful Accent 4"/>
    <w:basedOn w:val="TableNormal"/>
    <w:uiPriority w:val="52"/>
    <w:rsid w:val="006633DE"/>
    <w:pPr>
      <w:spacing w:after="260" w:line="240" w:lineRule="auto"/>
    </w:pPr>
    <w:rPr>
      <w:color w:val="00315C" w:themeColor="accent4" w:themeShade="BF"/>
    </w:rPr>
    <w:tblPr>
      <w:tblStyleRowBandSize w:val="1"/>
      <w:tblStyleColBandSize w:val="1"/>
      <w:tblBorders>
        <w:top w:val="single" w:sz="4" w:space="0" w:color="1694FF" w:themeColor="accent4" w:themeTint="99"/>
        <w:left w:val="single" w:sz="4" w:space="0" w:color="1694FF" w:themeColor="accent4" w:themeTint="99"/>
        <w:bottom w:val="single" w:sz="4" w:space="0" w:color="1694FF" w:themeColor="accent4" w:themeTint="99"/>
        <w:right w:val="single" w:sz="4" w:space="0" w:color="1694FF" w:themeColor="accent4" w:themeTint="99"/>
        <w:insideH w:val="single" w:sz="4" w:space="0" w:color="1694FF" w:themeColor="accent4" w:themeTint="99"/>
        <w:insideV w:val="single" w:sz="4" w:space="0" w:color="1694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1DBFF" w:themeFill="accent4" w:themeFillTint="33"/>
      </w:tcPr>
    </w:tblStylePr>
    <w:tblStylePr w:type="band1Horz">
      <w:tblPr/>
      <w:tcPr>
        <w:shd w:val="clear" w:color="auto" w:fill="B1DBFF" w:themeFill="accent4" w:themeFillTint="33"/>
      </w:tcPr>
    </w:tblStylePr>
    <w:tblStylePr w:type="neCell">
      <w:tblPr/>
      <w:tcPr>
        <w:tcBorders>
          <w:bottom w:val="single" w:sz="4" w:space="0" w:color="1694FF" w:themeColor="accent4" w:themeTint="99"/>
        </w:tcBorders>
      </w:tcPr>
    </w:tblStylePr>
    <w:tblStylePr w:type="nwCell">
      <w:tblPr/>
      <w:tcPr>
        <w:tcBorders>
          <w:bottom w:val="single" w:sz="4" w:space="0" w:color="1694FF" w:themeColor="accent4" w:themeTint="99"/>
        </w:tcBorders>
      </w:tcPr>
    </w:tblStylePr>
    <w:tblStylePr w:type="seCell">
      <w:tblPr/>
      <w:tcPr>
        <w:tcBorders>
          <w:top w:val="single" w:sz="4" w:space="0" w:color="1694FF" w:themeColor="accent4" w:themeTint="99"/>
        </w:tcBorders>
      </w:tcPr>
    </w:tblStylePr>
    <w:tblStylePr w:type="swCell">
      <w:tblPr/>
      <w:tcPr>
        <w:tcBorders>
          <w:top w:val="single" w:sz="4" w:space="0" w:color="1694FF" w:themeColor="accent4" w:themeTint="99"/>
        </w:tcBorders>
      </w:tcPr>
    </w:tblStylePr>
  </w:style>
  <w:style w:type="table" w:styleId="GridTable7Colorful-Accent5">
    <w:name w:val="Grid Table 7 Colorful Accent 5"/>
    <w:basedOn w:val="TableNormal"/>
    <w:uiPriority w:val="52"/>
    <w:rsid w:val="006633DE"/>
    <w:pPr>
      <w:spacing w:after="260" w:line="240" w:lineRule="auto"/>
    </w:pPr>
    <w:rPr>
      <w:color w:val="BA9304" w:themeColor="accent5" w:themeShade="BF"/>
    </w:rPr>
    <w:tblPr>
      <w:tblStyleRowBandSize w:val="1"/>
      <w:tblStyleColBandSize w:val="1"/>
      <w:tblBorders>
        <w:top w:val="single" w:sz="4" w:space="0" w:color="FBDC69" w:themeColor="accent5" w:themeTint="99"/>
        <w:left w:val="single" w:sz="4" w:space="0" w:color="FBDC69" w:themeColor="accent5" w:themeTint="99"/>
        <w:bottom w:val="single" w:sz="4" w:space="0" w:color="FBDC69" w:themeColor="accent5" w:themeTint="99"/>
        <w:right w:val="single" w:sz="4" w:space="0" w:color="FBDC69" w:themeColor="accent5" w:themeTint="99"/>
        <w:insideH w:val="single" w:sz="4" w:space="0" w:color="FBDC69" w:themeColor="accent5" w:themeTint="99"/>
        <w:insideV w:val="single" w:sz="4" w:space="0" w:color="FBDC6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F3CD" w:themeFill="accent5" w:themeFillTint="33"/>
      </w:tcPr>
    </w:tblStylePr>
    <w:tblStylePr w:type="band1Horz">
      <w:tblPr/>
      <w:tcPr>
        <w:shd w:val="clear" w:color="auto" w:fill="FDF3CD" w:themeFill="accent5" w:themeFillTint="33"/>
      </w:tcPr>
    </w:tblStylePr>
    <w:tblStylePr w:type="neCell">
      <w:tblPr/>
      <w:tcPr>
        <w:tcBorders>
          <w:bottom w:val="single" w:sz="4" w:space="0" w:color="FBDC69" w:themeColor="accent5" w:themeTint="99"/>
        </w:tcBorders>
      </w:tcPr>
    </w:tblStylePr>
    <w:tblStylePr w:type="nwCell">
      <w:tblPr/>
      <w:tcPr>
        <w:tcBorders>
          <w:bottom w:val="single" w:sz="4" w:space="0" w:color="FBDC69" w:themeColor="accent5" w:themeTint="99"/>
        </w:tcBorders>
      </w:tcPr>
    </w:tblStylePr>
    <w:tblStylePr w:type="seCell">
      <w:tblPr/>
      <w:tcPr>
        <w:tcBorders>
          <w:top w:val="single" w:sz="4" w:space="0" w:color="FBDC69" w:themeColor="accent5" w:themeTint="99"/>
        </w:tcBorders>
      </w:tcPr>
    </w:tblStylePr>
    <w:tblStylePr w:type="swCell">
      <w:tblPr/>
      <w:tcPr>
        <w:tcBorders>
          <w:top w:val="single" w:sz="4" w:space="0" w:color="FBDC69" w:themeColor="accent5" w:themeTint="99"/>
        </w:tcBorders>
      </w:tcPr>
    </w:tblStylePr>
  </w:style>
  <w:style w:type="table" w:styleId="GridTable7Colorful-Accent6">
    <w:name w:val="Grid Table 7 Colorful Accent 6"/>
    <w:basedOn w:val="TableNormal"/>
    <w:uiPriority w:val="52"/>
    <w:rsid w:val="006633DE"/>
    <w:pPr>
      <w:spacing w:after="260" w:line="240" w:lineRule="auto"/>
    </w:pPr>
    <w:rPr>
      <w:color w:val="95A51F" w:themeColor="accent6" w:themeShade="BF"/>
    </w:rPr>
    <w:tblPr>
      <w:tblStyleRowBandSize w:val="1"/>
      <w:tblStyleColBandSize w:val="1"/>
      <w:tblBorders>
        <w:top w:val="single" w:sz="4" w:space="0" w:color="DBE781" w:themeColor="accent6" w:themeTint="99"/>
        <w:left w:val="single" w:sz="4" w:space="0" w:color="DBE781" w:themeColor="accent6" w:themeTint="99"/>
        <w:bottom w:val="single" w:sz="4" w:space="0" w:color="DBE781" w:themeColor="accent6" w:themeTint="99"/>
        <w:right w:val="single" w:sz="4" w:space="0" w:color="DBE781" w:themeColor="accent6" w:themeTint="99"/>
        <w:insideH w:val="single" w:sz="4" w:space="0" w:color="DBE781" w:themeColor="accent6" w:themeTint="99"/>
        <w:insideV w:val="single" w:sz="4" w:space="0" w:color="DBE78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3F7D5" w:themeFill="accent6" w:themeFillTint="33"/>
      </w:tcPr>
    </w:tblStylePr>
    <w:tblStylePr w:type="band1Horz">
      <w:tblPr/>
      <w:tcPr>
        <w:shd w:val="clear" w:color="auto" w:fill="F3F7D5" w:themeFill="accent6" w:themeFillTint="33"/>
      </w:tcPr>
    </w:tblStylePr>
    <w:tblStylePr w:type="neCell">
      <w:tblPr/>
      <w:tcPr>
        <w:tcBorders>
          <w:bottom w:val="single" w:sz="4" w:space="0" w:color="DBE781" w:themeColor="accent6" w:themeTint="99"/>
        </w:tcBorders>
      </w:tcPr>
    </w:tblStylePr>
    <w:tblStylePr w:type="nwCell">
      <w:tblPr/>
      <w:tcPr>
        <w:tcBorders>
          <w:bottom w:val="single" w:sz="4" w:space="0" w:color="DBE781" w:themeColor="accent6" w:themeTint="99"/>
        </w:tcBorders>
      </w:tcPr>
    </w:tblStylePr>
    <w:tblStylePr w:type="seCell">
      <w:tblPr/>
      <w:tcPr>
        <w:tcBorders>
          <w:top w:val="single" w:sz="4" w:space="0" w:color="DBE781" w:themeColor="accent6" w:themeTint="99"/>
        </w:tcBorders>
      </w:tcPr>
    </w:tblStylePr>
    <w:tblStylePr w:type="swCell">
      <w:tblPr/>
      <w:tcPr>
        <w:tcBorders>
          <w:top w:val="single" w:sz="4" w:space="0" w:color="DBE781" w:themeColor="accent6" w:themeTint="99"/>
        </w:tcBorders>
      </w:tcPr>
    </w:tblStylePr>
  </w:style>
  <w:style w:type="character" w:styleId="Hashtag">
    <w:name w:val="Hashtag"/>
    <w:basedOn w:val="DefaultParagraphFont"/>
    <w:uiPriority w:val="99"/>
    <w:semiHidden/>
    <w:unhideWhenUsed/>
    <w:rsid w:val="006633DE"/>
    <w:rPr>
      <w:color w:val="2B579A"/>
      <w:shd w:val="clear" w:color="auto" w:fill="E1DFDD"/>
      <w:lang w:val="en-AU"/>
    </w:rPr>
  </w:style>
  <w:style w:type="character" w:styleId="HTMLAcronym">
    <w:name w:val="HTML Acronym"/>
    <w:basedOn w:val="DefaultParagraphFont"/>
    <w:uiPriority w:val="99"/>
    <w:semiHidden/>
    <w:rsid w:val="006633DE"/>
    <w:rPr>
      <w:lang w:val="en-AU"/>
    </w:rPr>
  </w:style>
  <w:style w:type="paragraph" w:styleId="HTMLAddress">
    <w:name w:val="HTML Address"/>
    <w:basedOn w:val="Normal"/>
    <w:link w:val="HTMLAddressChar"/>
    <w:uiPriority w:val="99"/>
    <w:semiHidden/>
    <w:rsid w:val="006633DE"/>
    <w:pPr>
      <w:spacing w:line="240" w:lineRule="auto"/>
    </w:pPr>
    <w:rPr>
      <w:i/>
      <w:iCs/>
    </w:rPr>
  </w:style>
  <w:style w:type="character" w:customStyle="1" w:styleId="HTMLAddressChar">
    <w:name w:val="HTML Address Char"/>
    <w:basedOn w:val="DefaultParagraphFont"/>
    <w:link w:val="HTMLAddress"/>
    <w:uiPriority w:val="99"/>
    <w:semiHidden/>
    <w:rsid w:val="006633DE"/>
    <w:rPr>
      <w:i/>
      <w:iCs/>
      <w:lang w:val="en-AU"/>
    </w:rPr>
  </w:style>
  <w:style w:type="character" w:styleId="HTMLCite">
    <w:name w:val="HTML Cite"/>
    <w:basedOn w:val="DefaultParagraphFont"/>
    <w:uiPriority w:val="99"/>
    <w:semiHidden/>
    <w:rsid w:val="006633DE"/>
    <w:rPr>
      <w:i/>
      <w:iCs/>
      <w:lang w:val="en-AU"/>
    </w:rPr>
  </w:style>
  <w:style w:type="character" w:styleId="HTMLCode">
    <w:name w:val="HTML Code"/>
    <w:basedOn w:val="DefaultParagraphFont"/>
    <w:uiPriority w:val="99"/>
    <w:semiHidden/>
    <w:rsid w:val="006633DE"/>
    <w:rPr>
      <w:rFonts w:ascii="Consolas" w:hAnsi="Consolas"/>
      <w:sz w:val="20"/>
      <w:szCs w:val="20"/>
      <w:lang w:val="en-AU"/>
    </w:rPr>
  </w:style>
  <w:style w:type="character" w:styleId="HTMLDefinition">
    <w:name w:val="HTML Definition"/>
    <w:basedOn w:val="DefaultParagraphFont"/>
    <w:uiPriority w:val="99"/>
    <w:semiHidden/>
    <w:rsid w:val="006633DE"/>
    <w:rPr>
      <w:i/>
      <w:iCs/>
      <w:lang w:val="en-AU"/>
    </w:rPr>
  </w:style>
  <w:style w:type="character" w:styleId="HTMLKeyboard">
    <w:name w:val="HTML Keyboard"/>
    <w:basedOn w:val="DefaultParagraphFont"/>
    <w:uiPriority w:val="99"/>
    <w:semiHidden/>
    <w:rsid w:val="006633DE"/>
    <w:rPr>
      <w:rFonts w:ascii="Consolas" w:hAnsi="Consolas"/>
      <w:sz w:val="20"/>
      <w:szCs w:val="20"/>
      <w:lang w:val="en-AU"/>
    </w:rPr>
  </w:style>
  <w:style w:type="paragraph" w:styleId="HTMLPreformatted">
    <w:name w:val="HTML Preformatted"/>
    <w:basedOn w:val="Normal"/>
    <w:link w:val="HTMLPreformattedChar"/>
    <w:uiPriority w:val="99"/>
    <w:semiHidden/>
    <w:unhideWhenUsed/>
    <w:rsid w:val="006633DE"/>
    <w:pPr>
      <w:spacing w:line="240" w:lineRule="auto"/>
    </w:pPr>
    <w:rPr>
      <w:rFonts w:ascii="Consolas" w:hAnsi="Consolas"/>
    </w:rPr>
  </w:style>
  <w:style w:type="character" w:customStyle="1" w:styleId="HTMLPreformattedChar">
    <w:name w:val="HTML Preformatted Char"/>
    <w:basedOn w:val="DefaultParagraphFont"/>
    <w:link w:val="HTMLPreformatted"/>
    <w:uiPriority w:val="99"/>
    <w:semiHidden/>
    <w:rsid w:val="006633DE"/>
    <w:rPr>
      <w:rFonts w:ascii="Consolas" w:hAnsi="Consolas"/>
      <w:lang w:val="en-AU"/>
    </w:rPr>
  </w:style>
  <w:style w:type="character" w:styleId="HTMLSample">
    <w:name w:val="HTML Sample"/>
    <w:basedOn w:val="DefaultParagraphFont"/>
    <w:uiPriority w:val="99"/>
    <w:semiHidden/>
    <w:rsid w:val="006633DE"/>
    <w:rPr>
      <w:rFonts w:ascii="Consolas" w:hAnsi="Consolas"/>
      <w:sz w:val="24"/>
      <w:szCs w:val="24"/>
      <w:lang w:val="en-AU"/>
    </w:rPr>
  </w:style>
  <w:style w:type="character" w:styleId="HTMLTypewriter">
    <w:name w:val="HTML Typewriter"/>
    <w:basedOn w:val="DefaultParagraphFont"/>
    <w:uiPriority w:val="99"/>
    <w:semiHidden/>
    <w:rsid w:val="006633DE"/>
    <w:rPr>
      <w:rFonts w:ascii="Consolas" w:hAnsi="Consolas"/>
      <w:sz w:val="20"/>
      <w:szCs w:val="20"/>
      <w:lang w:val="en-AU"/>
    </w:rPr>
  </w:style>
  <w:style w:type="character" w:styleId="HTMLVariable">
    <w:name w:val="HTML Variable"/>
    <w:basedOn w:val="DefaultParagraphFont"/>
    <w:uiPriority w:val="99"/>
    <w:semiHidden/>
    <w:rsid w:val="006633DE"/>
    <w:rPr>
      <w:i/>
      <w:iCs/>
      <w:lang w:val="en-AU"/>
    </w:rPr>
  </w:style>
  <w:style w:type="character" w:styleId="Hyperlink">
    <w:name w:val="Hyperlink"/>
    <w:basedOn w:val="DefaultParagraphFont"/>
    <w:uiPriority w:val="99"/>
    <w:rsid w:val="006633DE"/>
    <w:rPr>
      <w:color w:val="00437B" w:themeColor="hyperlink"/>
      <w:u w:val="single"/>
      <w:lang w:val="en-AU"/>
    </w:rPr>
  </w:style>
  <w:style w:type="paragraph" w:styleId="Index1">
    <w:name w:val="index 1"/>
    <w:basedOn w:val="Normal"/>
    <w:next w:val="Normal"/>
    <w:autoRedefine/>
    <w:uiPriority w:val="99"/>
    <w:semiHidden/>
    <w:rsid w:val="006633DE"/>
    <w:pPr>
      <w:spacing w:line="240" w:lineRule="auto"/>
      <w:ind w:left="180" w:hanging="180"/>
    </w:pPr>
  </w:style>
  <w:style w:type="paragraph" w:styleId="Index2">
    <w:name w:val="index 2"/>
    <w:basedOn w:val="Normal"/>
    <w:next w:val="Normal"/>
    <w:autoRedefine/>
    <w:uiPriority w:val="99"/>
    <w:semiHidden/>
    <w:rsid w:val="006633DE"/>
    <w:pPr>
      <w:spacing w:line="240" w:lineRule="auto"/>
      <w:ind w:left="360" w:hanging="180"/>
    </w:pPr>
  </w:style>
  <w:style w:type="paragraph" w:styleId="Index3">
    <w:name w:val="index 3"/>
    <w:basedOn w:val="Normal"/>
    <w:next w:val="Normal"/>
    <w:autoRedefine/>
    <w:uiPriority w:val="99"/>
    <w:semiHidden/>
    <w:rsid w:val="006633DE"/>
    <w:pPr>
      <w:spacing w:line="240" w:lineRule="auto"/>
      <w:ind w:left="540" w:hanging="180"/>
    </w:pPr>
  </w:style>
  <w:style w:type="paragraph" w:styleId="Index4">
    <w:name w:val="index 4"/>
    <w:basedOn w:val="Normal"/>
    <w:next w:val="Normal"/>
    <w:autoRedefine/>
    <w:uiPriority w:val="99"/>
    <w:semiHidden/>
    <w:rsid w:val="006633DE"/>
    <w:pPr>
      <w:spacing w:line="240" w:lineRule="auto"/>
      <w:ind w:left="720" w:hanging="180"/>
    </w:pPr>
  </w:style>
  <w:style w:type="paragraph" w:styleId="Index5">
    <w:name w:val="index 5"/>
    <w:basedOn w:val="Normal"/>
    <w:next w:val="Normal"/>
    <w:autoRedefine/>
    <w:uiPriority w:val="99"/>
    <w:semiHidden/>
    <w:rsid w:val="006633DE"/>
    <w:pPr>
      <w:spacing w:line="240" w:lineRule="auto"/>
      <w:ind w:left="900" w:hanging="180"/>
    </w:pPr>
  </w:style>
  <w:style w:type="paragraph" w:styleId="Index6">
    <w:name w:val="index 6"/>
    <w:basedOn w:val="Normal"/>
    <w:next w:val="Normal"/>
    <w:autoRedefine/>
    <w:uiPriority w:val="99"/>
    <w:semiHidden/>
    <w:rsid w:val="006633DE"/>
    <w:pPr>
      <w:spacing w:line="240" w:lineRule="auto"/>
      <w:ind w:left="1080" w:hanging="180"/>
    </w:pPr>
  </w:style>
  <w:style w:type="paragraph" w:styleId="Index7">
    <w:name w:val="index 7"/>
    <w:basedOn w:val="Normal"/>
    <w:next w:val="Normal"/>
    <w:autoRedefine/>
    <w:uiPriority w:val="99"/>
    <w:semiHidden/>
    <w:rsid w:val="006633DE"/>
    <w:pPr>
      <w:spacing w:line="240" w:lineRule="auto"/>
      <w:ind w:left="1260" w:hanging="180"/>
    </w:pPr>
  </w:style>
  <w:style w:type="paragraph" w:styleId="Index8">
    <w:name w:val="index 8"/>
    <w:basedOn w:val="Normal"/>
    <w:next w:val="Normal"/>
    <w:autoRedefine/>
    <w:uiPriority w:val="99"/>
    <w:semiHidden/>
    <w:rsid w:val="006633DE"/>
    <w:pPr>
      <w:spacing w:line="240" w:lineRule="auto"/>
      <w:ind w:left="1440" w:hanging="180"/>
    </w:pPr>
  </w:style>
  <w:style w:type="paragraph" w:styleId="Index9">
    <w:name w:val="index 9"/>
    <w:basedOn w:val="Normal"/>
    <w:next w:val="Normal"/>
    <w:autoRedefine/>
    <w:uiPriority w:val="99"/>
    <w:semiHidden/>
    <w:rsid w:val="006633DE"/>
    <w:pPr>
      <w:spacing w:line="240" w:lineRule="auto"/>
      <w:ind w:left="1620" w:hanging="180"/>
    </w:pPr>
  </w:style>
  <w:style w:type="paragraph" w:styleId="IndexHeading">
    <w:name w:val="index heading"/>
    <w:basedOn w:val="Normal"/>
    <w:next w:val="Index1"/>
    <w:uiPriority w:val="99"/>
    <w:semiHidden/>
    <w:rsid w:val="006633DE"/>
    <w:rPr>
      <w:rFonts w:asciiTheme="majorHAnsi" w:eastAsiaTheme="majorEastAsia" w:hAnsiTheme="majorHAnsi" w:cstheme="majorBidi"/>
      <w:b/>
      <w:bCs/>
    </w:rPr>
  </w:style>
  <w:style w:type="table" w:styleId="LightGrid">
    <w:name w:val="Light Grid"/>
    <w:basedOn w:val="TableNormal"/>
    <w:uiPriority w:val="62"/>
    <w:semiHidden/>
    <w:unhideWhenUsed/>
    <w:rsid w:val="006633DE"/>
    <w:pPr>
      <w:spacing w:after="26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6633DE"/>
    <w:pPr>
      <w:spacing w:after="260" w:line="240" w:lineRule="auto"/>
    </w:pPr>
    <w:tblPr>
      <w:tblStyleRowBandSize w:val="1"/>
      <w:tblStyleColBandSize w:val="1"/>
      <w:tblBorders>
        <w:top w:val="single" w:sz="8" w:space="0" w:color="4B2884" w:themeColor="accent1"/>
        <w:left w:val="single" w:sz="8" w:space="0" w:color="4B2884" w:themeColor="accent1"/>
        <w:bottom w:val="single" w:sz="8" w:space="0" w:color="4B2884" w:themeColor="accent1"/>
        <w:right w:val="single" w:sz="8" w:space="0" w:color="4B2884" w:themeColor="accent1"/>
        <w:insideH w:val="single" w:sz="8" w:space="0" w:color="4B2884" w:themeColor="accent1"/>
        <w:insideV w:val="single" w:sz="8" w:space="0" w:color="4B288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2884" w:themeColor="accent1"/>
          <w:left w:val="single" w:sz="8" w:space="0" w:color="4B2884" w:themeColor="accent1"/>
          <w:bottom w:val="single" w:sz="18" w:space="0" w:color="4B2884" w:themeColor="accent1"/>
          <w:right w:val="single" w:sz="8" w:space="0" w:color="4B2884" w:themeColor="accent1"/>
          <w:insideH w:val="nil"/>
          <w:insideV w:val="single" w:sz="8" w:space="0" w:color="4B288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2884" w:themeColor="accent1"/>
          <w:left w:val="single" w:sz="8" w:space="0" w:color="4B2884" w:themeColor="accent1"/>
          <w:bottom w:val="single" w:sz="8" w:space="0" w:color="4B2884" w:themeColor="accent1"/>
          <w:right w:val="single" w:sz="8" w:space="0" w:color="4B2884" w:themeColor="accent1"/>
          <w:insideH w:val="nil"/>
          <w:insideV w:val="single" w:sz="8" w:space="0" w:color="4B288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2884" w:themeColor="accent1"/>
          <w:left w:val="single" w:sz="8" w:space="0" w:color="4B2884" w:themeColor="accent1"/>
          <w:bottom w:val="single" w:sz="8" w:space="0" w:color="4B2884" w:themeColor="accent1"/>
          <w:right w:val="single" w:sz="8" w:space="0" w:color="4B2884" w:themeColor="accent1"/>
        </w:tcBorders>
      </w:tcPr>
    </w:tblStylePr>
    <w:tblStylePr w:type="band1Vert">
      <w:tblPr/>
      <w:tcPr>
        <w:tcBorders>
          <w:top w:val="single" w:sz="8" w:space="0" w:color="4B2884" w:themeColor="accent1"/>
          <w:left w:val="single" w:sz="8" w:space="0" w:color="4B2884" w:themeColor="accent1"/>
          <w:bottom w:val="single" w:sz="8" w:space="0" w:color="4B2884" w:themeColor="accent1"/>
          <w:right w:val="single" w:sz="8" w:space="0" w:color="4B2884" w:themeColor="accent1"/>
        </w:tcBorders>
        <w:shd w:val="clear" w:color="auto" w:fill="CFBEEB" w:themeFill="accent1" w:themeFillTint="3F"/>
      </w:tcPr>
    </w:tblStylePr>
    <w:tblStylePr w:type="band1Horz">
      <w:tblPr/>
      <w:tcPr>
        <w:tcBorders>
          <w:top w:val="single" w:sz="8" w:space="0" w:color="4B2884" w:themeColor="accent1"/>
          <w:left w:val="single" w:sz="8" w:space="0" w:color="4B2884" w:themeColor="accent1"/>
          <w:bottom w:val="single" w:sz="8" w:space="0" w:color="4B2884" w:themeColor="accent1"/>
          <w:right w:val="single" w:sz="8" w:space="0" w:color="4B2884" w:themeColor="accent1"/>
          <w:insideV w:val="single" w:sz="8" w:space="0" w:color="4B2884" w:themeColor="accent1"/>
        </w:tcBorders>
        <w:shd w:val="clear" w:color="auto" w:fill="CFBEEB" w:themeFill="accent1" w:themeFillTint="3F"/>
      </w:tcPr>
    </w:tblStylePr>
    <w:tblStylePr w:type="band2Horz">
      <w:tblPr/>
      <w:tcPr>
        <w:tcBorders>
          <w:top w:val="single" w:sz="8" w:space="0" w:color="4B2884" w:themeColor="accent1"/>
          <w:left w:val="single" w:sz="8" w:space="0" w:color="4B2884" w:themeColor="accent1"/>
          <w:bottom w:val="single" w:sz="8" w:space="0" w:color="4B2884" w:themeColor="accent1"/>
          <w:right w:val="single" w:sz="8" w:space="0" w:color="4B2884" w:themeColor="accent1"/>
          <w:insideV w:val="single" w:sz="8" w:space="0" w:color="4B2884" w:themeColor="accent1"/>
        </w:tcBorders>
      </w:tcPr>
    </w:tblStylePr>
  </w:style>
  <w:style w:type="table" w:styleId="LightGrid-Accent2">
    <w:name w:val="Light Grid Accent 2"/>
    <w:basedOn w:val="TableNormal"/>
    <w:uiPriority w:val="62"/>
    <w:semiHidden/>
    <w:unhideWhenUsed/>
    <w:rsid w:val="006633DE"/>
    <w:pPr>
      <w:spacing w:after="260" w:line="240" w:lineRule="auto"/>
    </w:pPr>
    <w:tblPr>
      <w:tblStyleRowBandSize w:val="1"/>
      <w:tblStyleColBandSize w:val="1"/>
      <w:tblBorders>
        <w:top w:val="single" w:sz="8" w:space="0" w:color="00B18F" w:themeColor="accent2"/>
        <w:left w:val="single" w:sz="8" w:space="0" w:color="00B18F" w:themeColor="accent2"/>
        <w:bottom w:val="single" w:sz="8" w:space="0" w:color="00B18F" w:themeColor="accent2"/>
        <w:right w:val="single" w:sz="8" w:space="0" w:color="00B18F" w:themeColor="accent2"/>
        <w:insideH w:val="single" w:sz="8" w:space="0" w:color="00B18F" w:themeColor="accent2"/>
        <w:insideV w:val="single" w:sz="8" w:space="0" w:color="00B18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18F" w:themeColor="accent2"/>
          <w:left w:val="single" w:sz="8" w:space="0" w:color="00B18F" w:themeColor="accent2"/>
          <w:bottom w:val="single" w:sz="18" w:space="0" w:color="00B18F" w:themeColor="accent2"/>
          <w:right w:val="single" w:sz="8" w:space="0" w:color="00B18F" w:themeColor="accent2"/>
          <w:insideH w:val="nil"/>
          <w:insideV w:val="single" w:sz="8" w:space="0" w:color="00B18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18F" w:themeColor="accent2"/>
          <w:left w:val="single" w:sz="8" w:space="0" w:color="00B18F" w:themeColor="accent2"/>
          <w:bottom w:val="single" w:sz="8" w:space="0" w:color="00B18F" w:themeColor="accent2"/>
          <w:right w:val="single" w:sz="8" w:space="0" w:color="00B18F" w:themeColor="accent2"/>
          <w:insideH w:val="nil"/>
          <w:insideV w:val="single" w:sz="8" w:space="0" w:color="00B18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18F" w:themeColor="accent2"/>
          <w:left w:val="single" w:sz="8" w:space="0" w:color="00B18F" w:themeColor="accent2"/>
          <w:bottom w:val="single" w:sz="8" w:space="0" w:color="00B18F" w:themeColor="accent2"/>
          <w:right w:val="single" w:sz="8" w:space="0" w:color="00B18F" w:themeColor="accent2"/>
        </w:tcBorders>
      </w:tcPr>
    </w:tblStylePr>
    <w:tblStylePr w:type="band1Vert">
      <w:tblPr/>
      <w:tcPr>
        <w:tcBorders>
          <w:top w:val="single" w:sz="8" w:space="0" w:color="00B18F" w:themeColor="accent2"/>
          <w:left w:val="single" w:sz="8" w:space="0" w:color="00B18F" w:themeColor="accent2"/>
          <w:bottom w:val="single" w:sz="8" w:space="0" w:color="00B18F" w:themeColor="accent2"/>
          <w:right w:val="single" w:sz="8" w:space="0" w:color="00B18F" w:themeColor="accent2"/>
        </w:tcBorders>
        <w:shd w:val="clear" w:color="auto" w:fill="ACFFEF" w:themeFill="accent2" w:themeFillTint="3F"/>
      </w:tcPr>
    </w:tblStylePr>
    <w:tblStylePr w:type="band1Horz">
      <w:tblPr/>
      <w:tcPr>
        <w:tcBorders>
          <w:top w:val="single" w:sz="8" w:space="0" w:color="00B18F" w:themeColor="accent2"/>
          <w:left w:val="single" w:sz="8" w:space="0" w:color="00B18F" w:themeColor="accent2"/>
          <w:bottom w:val="single" w:sz="8" w:space="0" w:color="00B18F" w:themeColor="accent2"/>
          <w:right w:val="single" w:sz="8" w:space="0" w:color="00B18F" w:themeColor="accent2"/>
          <w:insideV w:val="single" w:sz="8" w:space="0" w:color="00B18F" w:themeColor="accent2"/>
        </w:tcBorders>
        <w:shd w:val="clear" w:color="auto" w:fill="ACFFEF" w:themeFill="accent2" w:themeFillTint="3F"/>
      </w:tcPr>
    </w:tblStylePr>
    <w:tblStylePr w:type="band2Horz">
      <w:tblPr/>
      <w:tcPr>
        <w:tcBorders>
          <w:top w:val="single" w:sz="8" w:space="0" w:color="00B18F" w:themeColor="accent2"/>
          <w:left w:val="single" w:sz="8" w:space="0" w:color="00B18F" w:themeColor="accent2"/>
          <w:bottom w:val="single" w:sz="8" w:space="0" w:color="00B18F" w:themeColor="accent2"/>
          <w:right w:val="single" w:sz="8" w:space="0" w:color="00B18F" w:themeColor="accent2"/>
          <w:insideV w:val="single" w:sz="8" w:space="0" w:color="00B18F" w:themeColor="accent2"/>
        </w:tcBorders>
      </w:tcPr>
    </w:tblStylePr>
  </w:style>
  <w:style w:type="table" w:styleId="LightGrid-Accent3">
    <w:name w:val="Light Grid Accent 3"/>
    <w:basedOn w:val="TableNormal"/>
    <w:uiPriority w:val="62"/>
    <w:semiHidden/>
    <w:unhideWhenUsed/>
    <w:rsid w:val="006633DE"/>
    <w:pPr>
      <w:spacing w:after="260" w:line="240" w:lineRule="auto"/>
    </w:pPr>
    <w:tblPr>
      <w:tblStyleRowBandSize w:val="1"/>
      <w:tblStyleColBandSize w:val="1"/>
      <w:tblBorders>
        <w:top w:val="single" w:sz="8" w:space="0" w:color="64CBE8" w:themeColor="accent3"/>
        <w:left w:val="single" w:sz="8" w:space="0" w:color="64CBE8" w:themeColor="accent3"/>
        <w:bottom w:val="single" w:sz="8" w:space="0" w:color="64CBE8" w:themeColor="accent3"/>
        <w:right w:val="single" w:sz="8" w:space="0" w:color="64CBE8" w:themeColor="accent3"/>
        <w:insideH w:val="single" w:sz="8" w:space="0" w:color="64CBE8" w:themeColor="accent3"/>
        <w:insideV w:val="single" w:sz="8" w:space="0" w:color="64CBE8"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4CBE8" w:themeColor="accent3"/>
          <w:left w:val="single" w:sz="8" w:space="0" w:color="64CBE8" w:themeColor="accent3"/>
          <w:bottom w:val="single" w:sz="18" w:space="0" w:color="64CBE8" w:themeColor="accent3"/>
          <w:right w:val="single" w:sz="8" w:space="0" w:color="64CBE8" w:themeColor="accent3"/>
          <w:insideH w:val="nil"/>
          <w:insideV w:val="single" w:sz="8" w:space="0" w:color="64CBE8"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4CBE8" w:themeColor="accent3"/>
          <w:left w:val="single" w:sz="8" w:space="0" w:color="64CBE8" w:themeColor="accent3"/>
          <w:bottom w:val="single" w:sz="8" w:space="0" w:color="64CBE8" w:themeColor="accent3"/>
          <w:right w:val="single" w:sz="8" w:space="0" w:color="64CBE8" w:themeColor="accent3"/>
          <w:insideH w:val="nil"/>
          <w:insideV w:val="single" w:sz="8" w:space="0" w:color="64CBE8"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4CBE8" w:themeColor="accent3"/>
          <w:left w:val="single" w:sz="8" w:space="0" w:color="64CBE8" w:themeColor="accent3"/>
          <w:bottom w:val="single" w:sz="8" w:space="0" w:color="64CBE8" w:themeColor="accent3"/>
          <w:right w:val="single" w:sz="8" w:space="0" w:color="64CBE8" w:themeColor="accent3"/>
        </w:tcBorders>
      </w:tcPr>
    </w:tblStylePr>
    <w:tblStylePr w:type="band1Vert">
      <w:tblPr/>
      <w:tcPr>
        <w:tcBorders>
          <w:top w:val="single" w:sz="8" w:space="0" w:color="64CBE8" w:themeColor="accent3"/>
          <w:left w:val="single" w:sz="8" w:space="0" w:color="64CBE8" w:themeColor="accent3"/>
          <w:bottom w:val="single" w:sz="8" w:space="0" w:color="64CBE8" w:themeColor="accent3"/>
          <w:right w:val="single" w:sz="8" w:space="0" w:color="64CBE8" w:themeColor="accent3"/>
        </w:tcBorders>
        <w:shd w:val="clear" w:color="auto" w:fill="D8F2F9" w:themeFill="accent3" w:themeFillTint="3F"/>
      </w:tcPr>
    </w:tblStylePr>
    <w:tblStylePr w:type="band1Horz">
      <w:tblPr/>
      <w:tcPr>
        <w:tcBorders>
          <w:top w:val="single" w:sz="8" w:space="0" w:color="64CBE8" w:themeColor="accent3"/>
          <w:left w:val="single" w:sz="8" w:space="0" w:color="64CBE8" w:themeColor="accent3"/>
          <w:bottom w:val="single" w:sz="8" w:space="0" w:color="64CBE8" w:themeColor="accent3"/>
          <w:right w:val="single" w:sz="8" w:space="0" w:color="64CBE8" w:themeColor="accent3"/>
          <w:insideV w:val="single" w:sz="8" w:space="0" w:color="64CBE8" w:themeColor="accent3"/>
        </w:tcBorders>
        <w:shd w:val="clear" w:color="auto" w:fill="D8F2F9" w:themeFill="accent3" w:themeFillTint="3F"/>
      </w:tcPr>
    </w:tblStylePr>
    <w:tblStylePr w:type="band2Horz">
      <w:tblPr/>
      <w:tcPr>
        <w:tcBorders>
          <w:top w:val="single" w:sz="8" w:space="0" w:color="64CBE8" w:themeColor="accent3"/>
          <w:left w:val="single" w:sz="8" w:space="0" w:color="64CBE8" w:themeColor="accent3"/>
          <w:bottom w:val="single" w:sz="8" w:space="0" w:color="64CBE8" w:themeColor="accent3"/>
          <w:right w:val="single" w:sz="8" w:space="0" w:color="64CBE8" w:themeColor="accent3"/>
          <w:insideV w:val="single" w:sz="8" w:space="0" w:color="64CBE8" w:themeColor="accent3"/>
        </w:tcBorders>
      </w:tcPr>
    </w:tblStylePr>
  </w:style>
  <w:style w:type="table" w:styleId="LightGrid-Accent4">
    <w:name w:val="Light Grid Accent 4"/>
    <w:basedOn w:val="TableNormal"/>
    <w:uiPriority w:val="62"/>
    <w:semiHidden/>
    <w:unhideWhenUsed/>
    <w:rsid w:val="006633DE"/>
    <w:pPr>
      <w:spacing w:after="260" w:line="240" w:lineRule="auto"/>
    </w:pPr>
    <w:tblPr>
      <w:tblStyleRowBandSize w:val="1"/>
      <w:tblStyleColBandSize w:val="1"/>
      <w:tblBorders>
        <w:top w:val="single" w:sz="8" w:space="0" w:color="00437B" w:themeColor="accent4"/>
        <w:left w:val="single" w:sz="8" w:space="0" w:color="00437B" w:themeColor="accent4"/>
        <w:bottom w:val="single" w:sz="8" w:space="0" w:color="00437B" w:themeColor="accent4"/>
        <w:right w:val="single" w:sz="8" w:space="0" w:color="00437B" w:themeColor="accent4"/>
        <w:insideH w:val="single" w:sz="8" w:space="0" w:color="00437B" w:themeColor="accent4"/>
        <w:insideV w:val="single" w:sz="8" w:space="0" w:color="00437B"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437B" w:themeColor="accent4"/>
          <w:left w:val="single" w:sz="8" w:space="0" w:color="00437B" w:themeColor="accent4"/>
          <w:bottom w:val="single" w:sz="18" w:space="0" w:color="00437B" w:themeColor="accent4"/>
          <w:right w:val="single" w:sz="8" w:space="0" w:color="00437B" w:themeColor="accent4"/>
          <w:insideH w:val="nil"/>
          <w:insideV w:val="single" w:sz="8" w:space="0" w:color="00437B"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437B" w:themeColor="accent4"/>
          <w:left w:val="single" w:sz="8" w:space="0" w:color="00437B" w:themeColor="accent4"/>
          <w:bottom w:val="single" w:sz="8" w:space="0" w:color="00437B" w:themeColor="accent4"/>
          <w:right w:val="single" w:sz="8" w:space="0" w:color="00437B" w:themeColor="accent4"/>
          <w:insideH w:val="nil"/>
          <w:insideV w:val="single" w:sz="8" w:space="0" w:color="00437B"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437B" w:themeColor="accent4"/>
          <w:left w:val="single" w:sz="8" w:space="0" w:color="00437B" w:themeColor="accent4"/>
          <w:bottom w:val="single" w:sz="8" w:space="0" w:color="00437B" w:themeColor="accent4"/>
          <w:right w:val="single" w:sz="8" w:space="0" w:color="00437B" w:themeColor="accent4"/>
        </w:tcBorders>
      </w:tcPr>
    </w:tblStylePr>
    <w:tblStylePr w:type="band1Vert">
      <w:tblPr/>
      <w:tcPr>
        <w:tcBorders>
          <w:top w:val="single" w:sz="8" w:space="0" w:color="00437B" w:themeColor="accent4"/>
          <w:left w:val="single" w:sz="8" w:space="0" w:color="00437B" w:themeColor="accent4"/>
          <w:bottom w:val="single" w:sz="8" w:space="0" w:color="00437B" w:themeColor="accent4"/>
          <w:right w:val="single" w:sz="8" w:space="0" w:color="00437B" w:themeColor="accent4"/>
        </w:tcBorders>
        <w:shd w:val="clear" w:color="auto" w:fill="9FD3FF" w:themeFill="accent4" w:themeFillTint="3F"/>
      </w:tcPr>
    </w:tblStylePr>
    <w:tblStylePr w:type="band1Horz">
      <w:tblPr/>
      <w:tcPr>
        <w:tcBorders>
          <w:top w:val="single" w:sz="8" w:space="0" w:color="00437B" w:themeColor="accent4"/>
          <w:left w:val="single" w:sz="8" w:space="0" w:color="00437B" w:themeColor="accent4"/>
          <w:bottom w:val="single" w:sz="8" w:space="0" w:color="00437B" w:themeColor="accent4"/>
          <w:right w:val="single" w:sz="8" w:space="0" w:color="00437B" w:themeColor="accent4"/>
          <w:insideV w:val="single" w:sz="8" w:space="0" w:color="00437B" w:themeColor="accent4"/>
        </w:tcBorders>
        <w:shd w:val="clear" w:color="auto" w:fill="9FD3FF" w:themeFill="accent4" w:themeFillTint="3F"/>
      </w:tcPr>
    </w:tblStylePr>
    <w:tblStylePr w:type="band2Horz">
      <w:tblPr/>
      <w:tcPr>
        <w:tcBorders>
          <w:top w:val="single" w:sz="8" w:space="0" w:color="00437B" w:themeColor="accent4"/>
          <w:left w:val="single" w:sz="8" w:space="0" w:color="00437B" w:themeColor="accent4"/>
          <w:bottom w:val="single" w:sz="8" w:space="0" w:color="00437B" w:themeColor="accent4"/>
          <w:right w:val="single" w:sz="8" w:space="0" w:color="00437B" w:themeColor="accent4"/>
          <w:insideV w:val="single" w:sz="8" w:space="0" w:color="00437B" w:themeColor="accent4"/>
        </w:tcBorders>
      </w:tcPr>
    </w:tblStylePr>
  </w:style>
  <w:style w:type="table" w:styleId="LightGrid-Accent5">
    <w:name w:val="Light Grid Accent 5"/>
    <w:basedOn w:val="TableNormal"/>
    <w:uiPriority w:val="62"/>
    <w:semiHidden/>
    <w:unhideWhenUsed/>
    <w:rsid w:val="006633DE"/>
    <w:pPr>
      <w:spacing w:after="260" w:line="240" w:lineRule="auto"/>
    </w:pPr>
    <w:tblPr>
      <w:tblStyleRowBandSize w:val="1"/>
      <w:tblStyleColBandSize w:val="1"/>
      <w:tblBorders>
        <w:top w:val="single" w:sz="8" w:space="0" w:color="F9C606" w:themeColor="accent5"/>
        <w:left w:val="single" w:sz="8" w:space="0" w:color="F9C606" w:themeColor="accent5"/>
        <w:bottom w:val="single" w:sz="8" w:space="0" w:color="F9C606" w:themeColor="accent5"/>
        <w:right w:val="single" w:sz="8" w:space="0" w:color="F9C606" w:themeColor="accent5"/>
        <w:insideH w:val="single" w:sz="8" w:space="0" w:color="F9C606" w:themeColor="accent5"/>
        <w:insideV w:val="single" w:sz="8" w:space="0" w:color="F9C60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9C606" w:themeColor="accent5"/>
          <w:left w:val="single" w:sz="8" w:space="0" w:color="F9C606" w:themeColor="accent5"/>
          <w:bottom w:val="single" w:sz="18" w:space="0" w:color="F9C606" w:themeColor="accent5"/>
          <w:right w:val="single" w:sz="8" w:space="0" w:color="F9C606" w:themeColor="accent5"/>
          <w:insideH w:val="nil"/>
          <w:insideV w:val="single" w:sz="8" w:space="0" w:color="F9C60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9C606" w:themeColor="accent5"/>
          <w:left w:val="single" w:sz="8" w:space="0" w:color="F9C606" w:themeColor="accent5"/>
          <w:bottom w:val="single" w:sz="8" w:space="0" w:color="F9C606" w:themeColor="accent5"/>
          <w:right w:val="single" w:sz="8" w:space="0" w:color="F9C606" w:themeColor="accent5"/>
          <w:insideH w:val="nil"/>
          <w:insideV w:val="single" w:sz="8" w:space="0" w:color="F9C60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9C606" w:themeColor="accent5"/>
          <w:left w:val="single" w:sz="8" w:space="0" w:color="F9C606" w:themeColor="accent5"/>
          <w:bottom w:val="single" w:sz="8" w:space="0" w:color="F9C606" w:themeColor="accent5"/>
          <w:right w:val="single" w:sz="8" w:space="0" w:color="F9C606" w:themeColor="accent5"/>
        </w:tcBorders>
      </w:tcPr>
    </w:tblStylePr>
    <w:tblStylePr w:type="band1Vert">
      <w:tblPr/>
      <w:tcPr>
        <w:tcBorders>
          <w:top w:val="single" w:sz="8" w:space="0" w:color="F9C606" w:themeColor="accent5"/>
          <w:left w:val="single" w:sz="8" w:space="0" w:color="F9C606" w:themeColor="accent5"/>
          <w:bottom w:val="single" w:sz="8" w:space="0" w:color="F9C606" w:themeColor="accent5"/>
          <w:right w:val="single" w:sz="8" w:space="0" w:color="F9C606" w:themeColor="accent5"/>
        </w:tcBorders>
        <w:shd w:val="clear" w:color="auto" w:fill="FDF0C1" w:themeFill="accent5" w:themeFillTint="3F"/>
      </w:tcPr>
    </w:tblStylePr>
    <w:tblStylePr w:type="band1Horz">
      <w:tblPr/>
      <w:tcPr>
        <w:tcBorders>
          <w:top w:val="single" w:sz="8" w:space="0" w:color="F9C606" w:themeColor="accent5"/>
          <w:left w:val="single" w:sz="8" w:space="0" w:color="F9C606" w:themeColor="accent5"/>
          <w:bottom w:val="single" w:sz="8" w:space="0" w:color="F9C606" w:themeColor="accent5"/>
          <w:right w:val="single" w:sz="8" w:space="0" w:color="F9C606" w:themeColor="accent5"/>
          <w:insideV w:val="single" w:sz="8" w:space="0" w:color="F9C606" w:themeColor="accent5"/>
        </w:tcBorders>
        <w:shd w:val="clear" w:color="auto" w:fill="FDF0C1" w:themeFill="accent5" w:themeFillTint="3F"/>
      </w:tcPr>
    </w:tblStylePr>
    <w:tblStylePr w:type="band2Horz">
      <w:tblPr/>
      <w:tcPr>
        <w:tcBorders>
          <w:top w:val="single" w:sz="8" w:space="0" w:color="F9C606" w:themeColor="accent5"/>
          <w:left w:val="single" w:sz="8" w:space="0" w:color="F9C606" w:themeColor="accent5"/>
          <w:bottom w:val="single" w:sz="8" w:space="0" w:color="F9C606" w:themeColor="accent5"/>
          <w:right w:val="single" w:sz="8" w:space="0" w:color="F9C606" w:themeColor="accent5"/>
          <w:insideV w:val="single" w:sz="8" w:space="0" w:color="F9C606" w:themeColor="accent5"/>
        </w:tcBorders>
      </w:tcPr>
    </w:tblStylePr>
  </w:style>
  <w:style w:type="table" w:styleId="LightGrid-Accent6">
    <w:name w:val="Light Grid Accent 6"/>
    <w:basedOn w:val="TableNormal"/>
    <w:uiPriority w:val="62"/>
    <w:semiHidden/>
    <w:unhideWhenUsed/>
    <w:rsid w:val="006633DE"/>
    <w:pPr>
      <w:spacing w:after="260" w:line="240" w:lineRule="auto"/>
    </w:pPr>
    <w:tblPr>
      <w:tblStyleRowBandSize w:val="1"/>
      <w:tblStyleColBandSize w:val="1"/>
      <w:tblBorders>
        <w:top w:val="single" w:sz="8" w:space="0" w:color="C4D82E" w:themeColor="accent6"/>
        <w:left w:val="single" w:sz="8" w:space="0" w:color="C4D82E" w:themeColor="accent6"/>
        <w:bottom w:val="single" w:sz="8" w:space="0" w:color="C4D82E" w:themeColor="accent6"/>
        <w:right w:val="single" w:sz="8" w:space="0" w:color="C4D82E" w:themeColor="accent6"/>
        <w:insideH w:val="single" w:sz="8" w:space="0" w:color="C4D82E" w:themeColor="accent6"/>
        <w:insideV w:val="single" w:sz="8" w:space="0" w:color="C4D82E"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4D82E" w:themeColor="accent6"/>
          <w:left w:val="single" w:sz="8" w:space="0" w:color="C4D82E" w:themeColor="accent6"/>
          <w:bottom w:val="single" w:sz="18" w:space="0" w:color="C4D82E" w:themeColor="accent6"/>
          <w:right w:val="single" w:sz="8" w:space="0" w:color="C4D82E" w:themeColor="accent6"/>
          <w:insideH w:val="nil"/>
          <w:insideV w:val="single" w:sz="8" w:space="0" w:color="C4D82E"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4D82E" w:themeColor="accent6"/>
          <w:left w:val="single" w:sz="8" w:space="0" w:color="C4D82E" w:themeColor="accent6"/>
          <w:bottom w:val="single" w:sz="8" w:space="0" w:color="C4D82E" w:themeColor="accent6"/>
          <w:right w:val="single" w:sz="8" w:space="0" w:color="C4D82E" w:themeColor="accent6"/>
          <w:insideH w:val="nil"/>
          <w:insideV w:val="single" w:sz="8" w:space="0" w:color="C4D82E"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4D82E" w:themeColor="accent6"/>
          <w:left w:val="single" w:sz="8" w:space="0" w:color="C4D82E" w:themeColor="accent6"/>
          <w:bottom w:val="single" w:sz="8" w:space="0" w:color="C4D82E" w:themeColor="accent6"/>
          <w:right w:val="single" w:sz="8" w:space="0" w:color="C4D82E" w:themeColor="accent6"/>
        </w:tcBorders>
      </w:tcPr>
    </w:tblStylePr>
    <w:tblStylePr w:type="band1Vert">
      <w:tblPr/>
      <w:tcPr>
        <w:tcBorders>
          <w:top w:val="single" w:sz="8" w:space="0" w:color="C4D82E" w:themeColor="accent6"/>
          <w:left w:val="single" w:sz="8" w:space="0" w:color="C4D82E" w:themeColor="accent6"/>
          <w:bottom w:val="single" w:sz="8" w:space="0" w:color="C4D82E" w:themeColor="accent6"/>
          <w:right w:val="single" w:sz="8" w:space="0" w:color="C4D82E" w:themeColor="accent6"/>
        </w:tcBorders>
        <w:shd w:val="clear" w:color="auto" w:fill="F0F5CB" w:themeFill="accent6" w:themeFillTint="3F"/>
      </w:tcPr>
    </w:tblStylePr>
    <w:tblStylePr w:type="band1Horz">
      <w:tblPr/>
      <w:tcPr>
        <w:tcBorders>
          <w:top w:val="single" w:sz="8" w:space="0" w:color="C4D82E" w:themeColor="accent6"/>
          <w:left w:val="single" w:sz="8" w:space="0" w:color="C4D82E" w:themeColor="accent6"/>
          <w:bottom w:val="single" w:sz="8" w:space="0" w:color="C4D82E" w:themeColor="accent6"/>
          <w:right w:val="single" w:sz="8" w:space="0" w:color="C4D82E" w:themeColor="accent6"/>
          <w:insideV w:val="single" w:sz="8" w:space="0" w:color="C4D82E" w:themeColor="accent6"/>
        </w:tcBorders>
        <w:shd w:val="clear" w:color="auto" w:fill="F0F5CB" w:themeFill="accent6" w:themeFillTint="3F"/>
      </w:tcPr>
    </w:tblStylePr>
    <w:tblStylePr w:type="band2Horz">
      <w:tblPr/>
      <w:tcPr>
        <w:tcBorders>
          <w:top w:val="single" w:sz="8" w:space="0" w:color="C4D82E" w:themeColor="accent6"/>
          <w:left w:val="single" w:sz="8" w:space="0" w:color="C4D82E" w:themeColor="accent6"/>
          <w:bottom w:val="single" w:sz="8" w:space="0" w:color="C4D82E" w:themeColor="accent6"/>
          <w:right w:val="single" w:sz="8" w:space="0" w:color="C4D82E" w:themeColor="accent6"/>
          <w:insideV w:val="single" w:sz="8" w:space="0" w:color="C4D82E" w:themeColor="accent6"/>
        </w:tcBorders>
      </w:tcPr>
    </w:tblStylePr>
  </w:style>
  <w:style w:type="table" w:styleId="LightList">
    <w:name w:val="Light List"/>
    <w:basedOn w:val="TableNormal"/>
    <w:uiPriority w:val="61"/>
    <w:semiHidden/>
    <w:unhideWhenUsed/>
    <w:rsid w:val="006633DE"/>
    <w:pPr>
      <w:spacing w:after="26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6633DE"/>
    <w:pPr>
      <w:spacing w:after="260" w:line="240" w:lineRule="auto"/>
    </w:pPr>
    <w:tblPr>
      <w:tblStyleRowBandSize w:val="1"/>
      <w:tblStyleColBandSize w:val="1"/>
      <w:tblBorders>
        <w:top w:val="single" w:sz="8" w:space="0" w:color="4B2884" w:themeColor="accent1"/>
        <w:left w:val="single" w:sz="8" w:space="0" w:color="4B2884" w:themeColor="accent1"/>
        <w:bottom w:val="single" w:sz="8" w:space="0" w:color="4B2884" w:themeColor="accent1"/>
        <w:right w:val="single" w:sz="8" w:space="0" w:color="4B2884" w:themeColor="accent1"/>
      </w:tblBorders>
    </w:tblPr>
    <w:tblStylePr w:type="firstRow">
      <w:pPr>
        <w:spacing w:before="0" w:after="0" w:line="240" w:lineRule="auto"/>
      </w:pPr>
      <w:rPr>
        <w:b/>
        <w:bCs/>
        <w:color w:val="FFFFFF" w:themeColor="background1"/>
      </w:rPr>
      <w:tblPr/>
      <w:tcPr>
        <w:shd w:val="clear" w:color="auto" w:fill="4B2884" w:themeFill="accent1"/>
      </w:tcPr>
    </w:tblStylePr>
    <w:tblStylePr w:type="lastRow">
      <w:pPr>
        <w:spacing w:before="0" w:after="0" w:line="240" w:lineRule="auto"/>
      </w:pPr>
      <w:rPr>
        <w:b/>
        <w:bCs/>
      </w:rPr>
      <w:tblPr/>
      <w:tcPr>
        <w:tcBorders>
          <w:top w:val="double" w:sz="6" w:space="0" w:color="4B2884" w:themeColor="accent1"/>
          <w:left w:val="single" w:sz="8" w:space="0" w:color="4B2884" w:themeColor="accent1"/>
          <w:bottom w:val="single" w:sz="8" w:space="0" w:color="4B2884" w:themeColor="accent1"/>
          <w:right w:val="single" w:sz="8" w:space="0" w:color="4B2884" w:themeColor="accent1"/>
        </w:tcBorders>
      </w:tcPr>
    </w:tblStylePr>
    <w:tblStylePr w:type="firstCol">
      <w:rPr>
        <w:b/>
        <w:bCs/>
      </w:rPr>
    </w:tblStylePr>
    <w:tblStylePr w:type="lastCol">
      <w:rPr>
        <w:b/>
        <w:bCs/>
      </w:rPr>
    </w:tblStylePr>
    <w:tblStylePr w:type="band1Vert">
      <w:tblPr/>
      <w:tcPr>
        <w:tcBorders>
          <w:top w:val="single" w:sz="8" w:space="0" w:color="4B2884" w:themeColor="accent1"/>
          <w:left w:val="single" w:sz="8" w:space="0" w:color="4B2884" w:themeColor="accent1"/>
          <w:bottom w:val="single" w:sz="8" w:space="0" w:color="4B2884" w:themeColor="accent1"/>
          <w:right w:val="single" w:sz="8" w:space="0" w:color="4B2884" w:themeColor="accent1"/>
        </w:tcBorders>
      </w:tcPr>
    </w:tblStylePr>
    <w:tblStylePr w:type="band1Horz">
      <w:tblPr/>
      <w:tcPr>
        <w:tcBorders>
          <w:top w:val="single" w:sz="8" w:space="0" w:color="4B2884" w:themeColor="accent1"/>
          <w:left w:val="single" w:sz="8" w:space="0" w:color="4B2884" w:themeColor="accent1"/>
          <w:bottom w:val="single" w:sz="8" w:space="0" w:color="4B2884" w:themeColor="accent1"/>
          <w:right w:val="single" w:sz="8" w:space="0" w:color="4B2884" w:themeColor="accent1"/>
        </w:tcBorders>
      </w:tcPr>
    </w:tblStylePr>
  </w:style>
  <w:style w:type="table" w:styleId="LightList-Accent2">
    <w:name w:val="Light List Accent 2"/>
    <w:basedOn w:val="TableNormal"/>
    <w:uiPriority w:val="61"/>
    <w:semiHidden/>
    <w:unhideWhenUsed/>
    <w:rsid w:val="006633DE"/>
    <w:pPr>
      <w:spacing w:after="260" w:line="240" w:lineRule="auto"/>
    </w:pPr>
    <w:tblPr>
      <w:tblStyleRowBandSize w:val="1"/>
      <w:tblStyleColBandSize w:val="1"/>
      <w:tblBorders>
        <w:top w:val="single" w:sz="8" w:space="0" w:color="00B18F" w:themeColor="accent2"/>
        <w:left w:val="single" w:sz="8" w:space="0" w:color="00B18F" w:themeColor="accent2"/>
        <w:bottom w:val="single" w:sz="8" w:space="0" w:color="00B18F" w:themeColor="accent2"/>
        <w:right w:val="single" w:sz="8" w:space="0" w:color="00B18F" w:themeColor="accent2"/>
      </w:tblBorders>
    </w:tblPr>
    <w:tblStylePr w:type="firstRow">
      <w:pPr>
        <w:spacing w:before="0" w:after="0" w:line="240" w:lineRule="auto"/>
      </w:pPr>
      <w:rPr>
        <w:b/>
        <w:bCs/>
        <w:color w:val="FFFFFF" w:themeColor="background1"/>
      </w:rPr>
      <w:tblPr/>
      <w:tcPr>
        <w:shd w:val="clear" w:color="auto" w:fill="00B18F" w:themeFill="accent2"/>
      </w:tcPr>
    </w:tblStylePr>
    <w:tblStylePr w:type="lastRow">
      <w:pPr>
        <w:spacing w:before="0" w:after="0" w:line="240" w:lineRule="auto"/>
      </w:pPr>
      <w:rPr>
        <w:b/>
        <w:bCs/>
      </w:rPr>
      <w:tblPr/>
      <w:tcPr>
        <w:tcBorders>
          <w:top w:val="double" w:sz="6" w:space="0" w:color="00B18F" w:themeColor="accent2"/>
          <w:left w:val="single" w:sz="8" w:space="0" w:color="00B18F" w:themeColor="accent2"/>
          <w:bottom w:val="single" w:sz="8" w:space="0" w:color="00B18F" w:themeColor="accent2"/>
          <w:right w:val="single" w:sz="8" w:space="0" w:color="00B18F" w:themeColor="accent2"/>
        </w:tcBorders>
      </w:tcPr>
    </w:tblStylePr>
    <w:tblStylePr w:type="firstCol">
      <w:rPr>
        <w:b/>
        <w:bCs/>
      </w:rPr>
    </w:tblStylePr>
    <w:tblStylePr w:type="lastCol">
      <w:rPr>
        <w:b/>
        <w:bCs/>
      </w:rPr>
    </w:tblStylePr>
    <w:tblStylePr w:type="band1Vert">
      <w:tblPr/>
      <w:tcPr>
        <w:tcBorders>
          <w:top w:val="single" w:sz="8" w:space="0" w:color="00B18F" w:themeColor="accent2"/>
          <w:left w:val="single" w:sz="8" w:space="0" w:color="00B18F" w:themeColor="accent2"/>
          <w:bottom w:val="single" w:sz="8" w:space="0" w:color="00B18F" w:themeColor="accent2"/>
          <w:right w:val="single" w:sz="8" w:space="0" w:color="00B18F" w:themeColor="accent2"/>
        </w:tcBorders>
      </w:tcPr>
    </w:tblStylePr>
    <w:tblStylePr w:type="band1Horz">
      <w:tblPr/>
      <w:tcPr>
        <w:tcBorders>
          <w:top w:val="single" w:sz="8" w:space="0" w:color="00B18F" w:themeColor="accent2"/>
          <w:left w:val="single" w:sz="8" w:space="0" w:color="00B18F" w:themeColor="accent2"/>
          <w:bottom w:val="single" w:sz="8" w:space="0" w:color="00B18F" w:themeColor="accent2"/>
          <w:right w:val="single" w:sz="8" w:space="0" w:color="00B18F" w:themeColor="accent2"/>
        </w:tcBorders>
      </w:tcPr>
    </w:tblStylePr>
  </w:style>
  <w:style w:type="table" w:styleId="LightList-Accent3">
    <w:name w:val="Light List Accent 3"/>
    <w:basedOn w:val="TableNormal"/>
    <w:uiPriority w:val="61"/>
    <w:semiHidden/>
    <w:unhideWhenUsed/>
    <w:rsid w:val="006633DE"/>
    <w:pPr>
      <w:spacing w:after="260" w:line="240" w:lineRule="auto"/>
    </w:pPr>
    <w:tblPr>
      <w:tblStyleRowBandSize w:val="1"/>
      <w:tblStyleColBandSize w:val="1"/>
      <w:tblBorders>
        <w:top w:val="single" w:sz="8" w:space="0" w:color="64CBE8" w:themeColor="accent3"/>
        <w:left w:val="single" w:sz="8" w:space="0" w:color="64CBE8" w:themeColor="accent3"/>
        <w:bottom w:val="single" w:sz="8" w:space="0" w:color="64CBE8" w:themeColor="accent3"/>
        <w:right w:val="single" w:sz="8" w:space="0" w:color="64CBE8" w:themeColor="accent3"/>
      </w:tblBorders>
    </w:tblPr>
    <w:tblStylePr w:type="firstRow">
      <w:pPr>
        <w:spacing w:before="0" w:after="0" w:line="240" w:lineRule="auto"/>
      </w:pPr>
      <w:rPr>
        <w:b/>
        <w:bCs/>
        <w:color w:val="FFFFFF" w:themeColor="background1"/>
      </w:rPr>
      <w:tblPr/>
      <w:tcPr>
        <w:shd w:val="clear" w:color="auto" w:fill="64CBE8" w:themeFill="accent3"/>
      </w:tcPr>
    </w:tblStylePr>
    <w:tblStylePr w:type="lastRow">
      <w:pPr>
        <w:spacing w:before="0" w:after="0" w:line="240" w:lineRule="auto"/>
      </w:pPr>
      <w:rPr>
        <w:b/>
        <w:bCs/>
      </w:rPr>
      <w:tblPr/>
      <w:tcPr>
        <w:tcBorders>
          <w:top w:val="double" w:sz="6" w:space="0" w:color="64CBE8" w:themeColor="accent3"/>
          <w:left w:val="single" w:sz="8" w:space="0" w:color="64CBE8" w:themeColor="accent3"/>
          <w:bottom w:val="single" w:sz="8" w:space="0" w:color="64CBE8" w:themeColor="accent3"/>
          <w:right w:val="single" w:sz="8" w:space="0" w:color="64CBE8" w:themeColor="accent3"/>
        </w:tcBorders>
      </w:tcPr>
    </w:tblStylePr>
    <w:tblStylePr w:type="firstCol">
      <w:rPr>
        <w:b/>
        <w:bCs/>
      </w:rPr>
    </w:tblStylePr>
    <w:tblStylePr w:type="lastCol">
      <w:rPr>
        <w:b/>
        <w:bCs/>
      </w:rPr>
    </w:tblStylePr>
    <w:tblStylePr w:type="band1Vert">
      <w:tblPr/>
      <w:tcPr>
        <w:tcBorders>
          <w:top w:val="single" w:sz="8" w:space="0" w:color="64CBE8" w:themeColor="accent3"/>
          <w:left w:val="single" w:sz="8" w:space="0" w:color="64CBE8" w:themeColor="accent3"/>
          <w:bottom w:val="single" w:sz="8" w:space="0" w:color="64CBE8" w:themeColor="accent3"/>
          <w:right w:val="single" w:sz="8" w:space="0" w:color="64CBE8" w:themeColor="accent3"/>
        </w:tcBorders>
      </w:tcPr>
    </w:tblStylePr>
    <w:tblStylePr w:type="band1Horz">
      <w:tblPr/>
      <w:tcPr>
        <w:tcBorders>
          <w:top w:val="single" w:sz="8" w:space="0" w:color="64CBE8" w:themeColor="accent3"/>
          <w:left w:val="single" w:sz="8" w:space="0" w:color="64CBE8" w:themeColor="accent3"/>
          <w:bottom w:val="single" w:sz="8" w:space="0" w:color="64CBE8" w:themeColor="accent3"/>
          <w:right w:val="single" w:sz="8" w:space="0" w:color="64CBE8" w:themeColor="accent3"/>
        </w:tcBorders>
      </w:tcPr>
    </w:tblStylePr>
  </w:style>
  <w:style w:type="table" w:styleId="LightList-Accent4">
    <w:name w:val="Light List Accent 4"/>
    <w:basedOn w:val="TableNormal"/>
    <w:uiPriority w:val="61"/>
    <w:semiHidden/>
    <w:unhideWhenUsed/>
    <w:rsid w:val="006633DE"/>
    <w:pPr>
      <w:spacing w:after="260" w:line="240" w:lineRule="auto"/>
    </w:pPr>
    <w:tblPr>
      <w:tblStyleRowBandSize w:val="1"/>
      <w:tblStyleColBandSize w:val="1"/>
      <w:tblBorders>
        <w:top w:val="single" w:sz="8" w:space="0" w:color="00437B" w:themeColor="accent4"/>
        <w:left w:val="single" w:sz="8" w:space="0" w:color="00437B" w:themeColor="accent4"/>
        <w:bottom w:val="single" w:sz="8" w:space="0" w:color="00437B" w:themeColor="accent4"/>
        <w:right w:val="single" w:sz="8" w:space="0" w:color="00437B" w:themeColor="accent4"/>
      </w:tblBorders>
    </w:tblPr>
    <w:tblStylePr w:type="firstRow">
      <w:pPr>
        <w:spacing w:before="0" w:after="0" w:line="240" w:lineRule="auto"/>
      </w:pPr>
      <w:rPr>
        <w:b/>
        <w:bCs/>
        <w:color w:val="FFFFFF" w:themeColor="background1"/>
      </w:rPr>
      <w:tblPr/>
      <w:tcPr>
        <w:shd w:val="clear" w:color="auto" w:fill="00437B" w:themeFill="accent4"/>
      </w:tcPr>
    </w:tblStylePr>
    <w:tblStylePr w:type="lastRow">
      <w:pPr>
        <w:spacing w:before="0" w:after="0" w:line="240" w:lineRule="auto"/>
      </w:pPr>
      <w:rPr>
        <w:b/>
        <w:bCs/>
      </w:rPr>
      <w:tblPr/>
      <w:tcPr>
        <w:tcBorders>
          <w:top w:val="double" w:sz="6" w:space="0" w:color="00437B" w:themeColor="accent4"/>
          <w:left w:val="single" w:sz="8" w:space="0" w:color="00437B" w:themeColor="accent4"/>
          <w:bottom w:val="single" w:sz="8" w:space="0" w:color="00437B" w:themeColor="accent4"/>
          <w:right w:val="single" w:sz="8" w:space="0" w:color="00437B" w:themeColor="accent4"/>
        </w:tcBorders>
      </w:tcPr>
    </w:tblStylePr>
    <w:tblStylePr w:type="firstCol">
      <w:rPr>
        <w:b/>
        <w:bCs/>
      </w:rPr>
    </w:tblStylePr>
    <w:tblStylePr w:type="lastCol">
      <w:rPr>
        <w:b/>
        <w:bCs/>
      </w:rPr>
    </w:tblStylePr>
    <w:tblStylePr w:type="band1Vert">
      <w:tblPr/>
      <w:tcPr>
        <w:tcBorders>
          <w:top w:val="single" w:sz="8" w:space="0" w:color="00437B" w:themeColor="accent4"/>
          <w:left w:val="single" w:sz="8" w:space="0" w:color="00437B" w:themeColor="accent4"/>
          <w:bottom w:val="single" w:sz="8" w:space="0" w:color="00437B" w:themeColor="accent4"/>
          <w:right w:val="single" w:sz="8" w:space="0" w:color="00437B" w:themeColor="accent4"/>
        </w:tcBorders>
      </w:tcPr>
    </w:tblStylePr>
    <w:tblStylePr w:type="band1Horz">
      <w:tblPr/>
      <w:tcPr>
        <w:tcBorders>
          <w:top w:val="single" w:sz="8" w:space="0" w:color="00437B" w:themeColor="accent4"/>
          <w:left w:val="single" w:sz="8" w:space="0" w:color="00437B" w:themeColor="accent4"/>
          <w:bottom w:val="single" w:sz="8" w:space="0" w:color="00437B" w:themeColor="accent4"/>
          <w:right w:val="single" w:sz="8" w:space="0" w:color="00437B" w:themeColor="accent4"/>
        </w:tcBorders>
      </w:tcPr>
    </w:tblStylePr>
  </w:style>
  <w:style w:type="table" w:styleId="LightList-Accent5">
    <w:name w:val="Light List Accent 5"/>
    <w:basedOn w:val="TableNormal"/>
    <w:uiPriority w:val="61"/>
    <w:semiHidden/>
    <w:unhideWhenUsed/>
    <w:rsid w:val="006633DE"/>
    <w:pPr>
      <w:spacing w:after="260" w:line="240" w:lineRule="auto"/>
    </w:pPr>
    <w:tblPr>
      <w:tblStyleRowBandSize w:val="1"/>
      <w:tblStyleColBandSize w:val="1"/>
      <w:tblBorders>
        <w:top w:val="single" w:sz="8" w:space="0" w:color="F9C606" w:themeColor="accent5"/>
        <w:left w:val="single" w:sz="8" w:space="0" w:color="F9C606" w:themeColor="accent5"/>
        <w:bottom w:val="single" w:sz="8" w:space="0" w:color="F9C606" w:themeColor="accent5"/>
        <w:right w:val="single" w:sz="8" w:space="0" w:color="F9C606" w:themeColor="accent5"/>
      </w:tblBorders>
    </w:tblPr>
    <w:tblStylePr w:type="firstRow">
      <w:pPr>
        <w:spacing w:before="0" w:after="0" w:line="240" w:lineRule="auto"/>
      </w:pPr>
      <w:rPr>
        <w:b/>
        <w:bCs/>
        <w:color w:val="FFFFFF" w:themeColor="background1"/>
      </w:rPr>
      <w:tblPr/>
      <w:tcPr>
        <w:shd w:val="clear" w:color="auto" w:fill="F9C606" w:themeFill="accent5"/>
      </w:tcPr>
    </w:tblStylePr>
    <w:tblStylePr w:type="lastRow">
      <w:pPr>
        <w:spacing w:before="0" w:after="0" w:line="240" w:lineRule="auto"/>
      </w:pPr>
      <w:rPr>
        <w:b/>
        <w:bCs/>
      </w:rPr>
      <w:tblPr/>
      <w:tcPr>
        <w:tcBorders>
          <w:top w:val="double" w:sz="6" w:space="0" w:color="F9C606" w:themeColor="accent5"/>
          <w:left w:val="single" w:sz="8" w:space="0" w:color="F9C606" w:themeColor="accent5"/>
          <w:bottom w:val="single" w:sz="8" w:space="0" w:color="F9C606" w:themeColor="accent5"/>
          <w:right w:val="single" w:sz="8" w:space="0" w:color="F9C606" w:themeColor="accent5"/>
        </w:tcBorders>
      </w:tcPr>
    </w:tblStylePr>
    <w:tblStylePr w:type="firstCol">
      <w:rPr>
        <w:b/>
        <w:bCs/>
      </w:rPr>
    </w:tblStylePr>
    <w:tblStylePr w:type="lastCol">
      <w:rPr>
        <w:b/>
        <w:bCs/>
      </w:rPr>
    </w:tblStylePr>
    <w:tblStylePr w:type="band1Vert">
      <w:tblPr/>
      <w:tcPr>
        <w:tcBorders>
          <w:top w:val="single" w:sz="8" w:space="0" w:color="F9C606" w:themeColor="accent5"/>
          <w:left w:val="single" w:sz="8" w:space="0" w:color="F9C606" w:themeColor="accent5"/>
          <w:bottom w:val="single" w:sz="8" w:space="0" w:color="F9C606" w:themeColor="accent5"/>
          <w:right w:val="single" w:sz="8" w:space="0" w:color="F9C606" w:themeColor="accent5"/>
        </w:tcBorders>
      </w:tcPr>
    </w:tblStylePr>
    <w:tblStylePr w:type="band1Horz">
      <w:tblPr/>
      <w:tcPr>
        <w:tcBorders>
          <w:top w:val="single" w:sz="8" w:space="0" w:color="F9C606" w:themeColor="accent5"/>
          <w:left w:val="single" w:sz="8" w:space="0" w:color="F9C606" w:themeColor="accent5"/>
          <w:bottom w:val="single" w:sz="8" w:space="0" w:color="F9C606" w:themeColor="accent5"/>
          <w:right w:val="single" w:sz="8" w:space="0" w:color="F9C606" w:themeColor="accent5"/>
        </w:tcBorders>
      </w:tcPr>
    </w:tblStylePr>
  </w:style>
  <w:style w:type="table" w:styleId="LightList-Accent6">
    <w:name w:val="Light List Accent 6"/>
    <w:basedOn w:val="TableNormal"/>
    <w:uiPriority w:val="61"/>
    <w:semiHidden/>
    <w:unhideWhenUsed/>
    <w:rsid w:val="006633DE"/>
    <w:pPr>
      <w:spacing w:after="260" w:line="240" w:lineRule="auto"/>
    </w:pPr>
    <w:tblPr>
      <w:tblStyleRowBandSize w:val="1"/>
      <w:tblStyleColBandSize w:val="1"/>
      <w:tblBorders>
        <w:top w:val="single" w:sz="8" w:space="0" w:color="C4D82E" w:themeColor="accent6"/>
        <w:left w:val="single" w:sz="8" w:space="0" w:color="C4D82E" w:themeColor="accent6"/>
        <w:bottom w:val="single" w:sz="8" w:space="0" w:color="C4D82E" w:themeColor="accent6"/>
        <w:right w:val="single" w:sz="8" w:space="0" w:color="C4D82E" w:themeColor="accent6"/>
      </w:tblBorders>
    </w:tblPr>
    <w:tblStylePr w:type="firstRow">
      <w:pPr>
        <w:spacing w:before="0" w:after="0" w:line="240" w:lineRule="auto"/>
      </w:pPr>
      <w:rPr>
        <w:b/>
        <w:bCs/>
        <w:color w:val="FFFFFF" w:themeColor="background1"/>
      </w:rPr>
      <w:tblPr/>
      <w:tcPr>
        <w:shd w:val="clear" w:color="auto" w:fill="C4D82E" w:themeFill="accent6"/>
      </w:tcPr>
    </w:tblStylePr>
    <w:tblStylePr w:type="lastRow">
      <w:pPr>
        <w:spacing w:before="0" w:after="0" w:line="240" w:lineRule="auto"/>
      </w:pPr>
      <w:rPr>
        <w:b/>
        <w:bCs/>
      </w:rPr>
      <w:tblPr/>
      <w:tcPr>
        <w:tcBorders>
          <w:top w:val="double" w:sz="6" w:space="0" w:color="C4D82E" w:themeColor="accent6"/>
          <w:left w:val="single" w:sz="8" w:space="0" w:color="C4D82E" w:themeColor="accent6"/>
          <w:bottom w:val="single" w:sz="8" w:space="0" w:color="C4D82E" w:themeColor="accent6"/>
          <w:right w:val="single" w:sz="8" w:space="0" w:color="C4D82E" w:themeColor="accent6"/>
        </w:tcBorders>
      </w:tcPr>
    </w:tblStylePr>
    <w:tblStylePr w:type="firstCol">
      <w:rPr>
        <w:b/>
        <w:bCs/>
      </w:rPr>
    </w:tblStylePr>
    <w:tblStylePr w:type="lastCol">
      <w:rPr>
        <w:b/>
        <w:bCs/>
      </w:rPr>
    </w:tblStylePr>
    <w:tblStylePr w:type="band1Vert">
      <w:tblPr/>
      <w:tcPr>
        <w:tcBorders>
          <w:top w:val="single" w:sz="8" w:space="0" w:color="C4D82E" w:themeColor="accent6"/>
          <w:left w:val="single" w:sz="8" w:space="0" w:color="C4D82E" w:themeColor="accent6"/>
          <w:bottom w:val="single" w:sz="8" w:space="0" w:color="C4D82E" w:themeColor="accent6"/>
          <w:right w:val="single" w:sz="8" w:space="0" w:color="C4D82E" w:themeColor="accent6"/>
        </w:tcBorders>
      </w:tcPr>
    </w:tblStylePr>
    <w:tblStylePr w:type="band1Horz">
      <w:tblPr/>
      <w:tcPr>
        <w:tcBorders>
          <w:top w:val="single" w:sz="8" w:space="0" w:color="C4D82E" w:themeColor="accent6"/>
          <w:left w:val="single" w:sz="8" w:space="0" w:color="C4D82E" w:themeColor="accent6"/>
          <w:bottom w:val="single" w:sz="8" w:space="0" w:color="C4D82E" w:themeColor="accent6"/>
          <w:right w:val="single" w:sz="8" w:space="0" w:color="C4D82E" w:themeColor="accent6"/>
        </w:tcBorders>
      </w:tcPr>
    </w:tblStylePr>
  </w:style>
  <w:style w:type="table" w:styleId="LightShading">
    <w:name w:val="Light Shading"/>
    <w:basedOn w:val="TableNormal"/>
    <w:uiPriority w:val="60"/>
    <w:semiHidden/>
    <w:unhideWhenUsed/>
    <w:rsid w:val="006633DE"/>
    <w:pPr>
      <w:spacing w:after="26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6633DE"/>
    <w:pPr>
      <w:spacing w:after="260" w:line="240" w:lineRule="auto"/>
    </w:pPr>
    <w:rPr>
      <w:color w:val="381E62" w:themeColor="accent1" w:themeShade="BF"/>
    </w:rPr>
    <w:tblPr>
      <w:tblStyleRowBandSize w:val="1"/>
      <w:tblStyleColBandSize w:val="1"/>
      <w:tblBorders>
        <w:top w:val="single" w:sz="8" w:space="0" w:color="4B2884" w:themeColor="accent1"/>
        <w:bottom w:val="single" w:sz="8" w:space="0" w:color="4B2884" w:themeColor="accent1"/>
      </w:tblBorders>
    </w:tblPr>
    <w:tblStylePr w:type="firstRow">
      <w:pPr>
        <w:spacing w:before="0" w:after="0" w:line="240" w:lineRule="auto"/>
      </w:pPr>
      <w:rPr>
        <w:b/>
        <w:bCs/>
      </w:rPr>
      <w:tblPr/>
      <w:tcPr>
        <w:tcBorders>
          <w:top w:val="single" w:sz="8" w:space="0" w:color="4B2884" w:themeColor="accent1"/>
          <w:left w:val="nil"/>
          <w:bottom w:val="single" w:sz="8" w:space="0" w:color="4B2884" w:themeColor="accent1"/>
          <w:right w:val="nil"/>
          <w:insideH w:val="nil"/>
          <w:insideV w:val="nil"/>
        </w:tcBorders>
      </w:tcPr>
    </w:tblStylePr>
    <w:tblStylePr w:type="lastRow">
      <w:pPr>
        <w:spacing w:before="0" w:after="0" w:line="240" w:lineRule="auto"/>
      </w:pPr>
      <w:rPr>
        <w:b/>
        <w:bCs/>
      </w:rPr>
      <w:tblPr/>
      <w:tcPr>
        <w:tcBorders>
          <w:top w:val="single" w:sz="8" w:space="0" w:color="4B2884" w:themeColor="accent1"/>
          <w:left w:val="nil"/>
          <w:bottom w:val="single" w:sz="8" w:space="0" w:color="4B288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FBEEB" w:themeFill="accent1" w:themeFillTint="3F"/>
      </w:tcPr>
    </w:tblStylePr>
    <w:tblStylePr w:type="band1Horz">
      <w:tblPr/>
      <w:tcPr>
        <w:tcBorders>
          <w:left w:val="nil"/>
          <w:right w:val="nil"/>
          <w:insideH w:val="nil"/>
          <w:insideV w:val="nil"/>
        </w:tcBorders>
        <w:shd w:val="clear" w:color="auto" w:fill="CFBEEB" w:themeFill="accent1" w:themeFillTint="3F"/>
      </w:tcPr>
    </w:tblStylePr>
  </w:style>
  <w:style w:type="table" w:styleId="LightShading-Accent2">
    <w:name w:val="Light Shading Accent 2"/>
    <w:basedOn w:val="TableNormal"/>
    <w:uiPriority w:val="60"/>
    <w:semiHidden/>
    <w:unhideWhenUsed/>
    <w:rsid w:val="006633DE"/>
    <w:pPr>
      <w:spacing w:after="260" w:line="240" w:lineRule="auto"/>
    </w:pPr>
    <w:rPr>
      <w:color w:val="00846A" w:themeColor="accent2" w:themeShade="BF"/>
    </w:rPr>
    <w:tblPr>
      <w:tblStyleRowBandSize w:val="1"/>
      <w:tblStyleColBandSize w:val="1"/>
      <w:tblBorders>
        <w:top w:val="single" w:sz="8" w:space="0" w:color="00B18F" w:themeColor="accent2"/>
        <w:bottom w:val="single" w:sz="8" w:space="0" w:color="00B18F" w:themeColor="accent2"/>
      </w:tblBorders>
    </w:tblPr>
    <w:tblStylePr w:type="firstRow">
      <w:pPr>
        <w:spacing w:before="0" w:after="0" w:line="240" w:lineRule="auto"/>
      </w:pPr>
      <w:rPr>
        <w:b/>
        <w:bCs/>
      </w:rPr>
      <w:tblPr/>
      <w:tcPr>
        <w:tcBorders>
          <w:top w:val="single" w:sz="8" w:space="0" w:color="00B18F" w:themeColor="accent2"/>
          <w:left w:val="nil"/>
          <w:bottom w:val="single" w:sz="8" w:space="0" w:color="00B18F" w:themeColor="accent2"/>
          <w:right w:val="nil"/>
          <w:insideH w:val="nil"/>
          <w:insideV w:val="nil"/>
        </w:tcBorders>
      </w:tcPr>
    </w:tblStylePr>
    <w:tblStylePr w:type="lastRow">
      <w:pPr>
        <w:spacing w:before="0" w:after="0" w:line="240" w:lineRule="auto"/>
      </w:pPr>
      <w:rPr>
        <w:b/>
        <w:bCs/>
      </w:rPr>
      <w:tblPr/>
      <w:tcPr>
        <w:tcBorders>
          <w:top w:val="single" w:sz="8" w:space="0" w:color="00B18F" w:themeColor="accent2"/>
          <w:left w:val="nil"/>
          <w:bottom w:val="single" w:sz="8" w:space="0" w:color="00B18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EF" w:themeFill="accent2" w:themeFillTint="3F"/>
      </w:tcPr>
    </w:tblStylePr>
    <w:tblStylePr w:type="band1Horz">
      <w:tblPr/>
      <w:tcPr>
        <w:tcBorders>
          <w:left w:val="nil"/>
          <w:right w:val="nil"/>
          <w:insideH w:val="nil"/>
          <w:insideV w:val="nil"/>
        </w:tcBorders>
        <w:shd w:val="clear" w:color="auto" w:fill="ACFFEF" w:themeFill="accent2" w:themeFillTint="3F"/>
      </w:tcPr>
    </w:tblStylePr>
  </w:style>
  <w:style w:type="table" w:styleId="LightShading-Accent3">
    <w:name w:val="Light Shading Accent 3"/>
    <w:basedOn w:val="TableNormal"/>
    <w:uiPriority w:val="60"/>
    <w:semiHidden/>
    <w:unhideWhenUsed/>
    <w:rsid w:val="006633DE"/>
    <w:pPr>
      <w:spacing w:after="260" w:line="240" w:lineRule="auto"/>
    </w:pPr>
    <w:rPr>
      <w:color w:val="20AFD8" w:themeColor="accent3" w:themeShade="BF"/>
    </w:rPr>
    <w:tblPr>
      <w:tblStyleRowBandSize w:val="1"/>
      <w:tblStyleColBandSize w:val="1"/>
      <w:tblBorders>
        <w:top w:val="single" w:sz="8" w:space="0" w:color="64CBE8" w:themeColor="accent3"/>
        <w:bottom w:val="single" w:sz="8" w:space="0" w:color="64CBE8" w:themeColor="accent3"/>
      </w:tblBorders>
    </w:tblPr>
    <w:tblStylePr w:type="firstRow">
      <w:pPr>
        <w:spacing w:before="0" w:after="0" w:line="240" w:lineRule="auto"/>
      </w:pPr>
      <w:rPr>
        <w:b/>
        <w:bCs/>
      </w:rPr>
      <w:tblPr/>
      <w:tcPr>
        <w:tcBorders>
          <w:top w:val="single" w:sz="8" w:space="0" w:color="64CBE8" w:themeColor="accent3"/>
          <w:left w:val="nil"/>
          <w:bottom w:val="single" w:sz="8" w:space="0" w:color="64CBE8" w:themeColor="accent3"/>
          <w:right w:val="nil"/>
          <w:insideH w:val="nil"/>
          <w:insideV w:val="nil"/>
        </w:tcBorders>
      </w:tcPr>
    </w:tblStylePr>
    <w:tblStylePr w:type="lastRow">
      <w:pPr>
        <w:spacing w:before="0" w:after="0" w:line="240" w:lineRule="auto"/>
      </w:pPr>
      <w:rPr>
        <w:b/>
        <w:bCs/>
      </w:rPr>
      <w:tblPr/>
      <w:tcPr>
        <w:tcBorders>
          <w:top w:val="single" w:sz="8" w:space="0" w:color="64CBE8" w:themeColor="accent3"/>
          <w:left w:val="nil"/>
          <w:bottom w:val="single" w:sz="8" w:space="0" w:color="64CBE8"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8F2F9" w:themeFill="accent3" w:themeFillTint="3F"/>
      </w:tcPr>
    </w:tblStylePr>
    <w:tblStylePr w:type="band1Horz">
      <w:tblPr/>
      <w:tcPr>
        <w:tcBorders>
          <w:left w:val="nil"/>
          <w:right w:val="nil"/>
          <w:insideH w:val="nil"/>
          <w:insideV w:val="nil"/>
        </w:tcBorders>
        <w:shd w:val="clear" w:color="auto" w:fill="D8F2F9" w:themeFill="accent3" w:themeFillTint="3F"/>
      </w:tcPr>
    </w:tblStylePr>
  </w:style>
  <w:style w:type="table" w:styleId="LightShading-Accent4">
    <w:name w:val="Light Shading Accent 4"/>
    <w:basedOn w:val="TableNormal"/>
    <w:uiPriority w:val="60"/>
    <w:semiHidden/>
    <w:unhideWhenUsed/>
    <w:rsid w:val="006633DE"/>
    <w:pPr>
      <w:spacing w:after="260" w:line="240" w:lineRule="auto"/>
    </w:pPr>
    <w:rPr>
      <w:color w:val="00315C" w:themeColor="accent4" w:themeShade="BF"/>
    </w:rPr>
    <w:tblPr>
      <w:tblStyleRowBandSize w:val="1"/>
      <w:tblStyleColBandSize w:val="1"/>
      <w:tblBorders>
        <w:top w:val="single" w:sz="8" w:space="0" w:color="00437B" w:themeColor="accent4"/>
        <w:bottom w:val="single" w:sz="8" w:space="0" w:color="00437B" w:themeColor="accent4"/>
      </w:tblBorders>
    </w:tblPr>
    <w:tblStylePr w:type="firstRow">
      <w:pPr>
        <w:spacing w:before="0" w:after="0" w:line="240" w:lineRule="auto"/>
      </w:pPr>
      <w:rPr>
        <w:b/>
        <w:bCs/>
      </w:rPr>
      <w:tblPr/>
      <w:tcPr>
        <w:tcBorders>
          <w:top w:val="single" w:sz="8" w:space="0" w:color="00437B" w:themeColor="accent4"/>
          <w:left w:val="nil"/>
          <w:bottom w:val="single" w:sz="8" w:space="0" w:color="00437B" w:themeColor="accent4"/>
          <w:right w:val="nil"/>
          <w:insideH w:val="nil"/>
          <w:insideV w:val="nil"/>
        </w:tcBorders>
      </w:tcPr>
    </w:tblStylePr>
    <w:tblStylePr w:type="lastRow">
      <w:pPr>
        <w:spacing w:before="0" w:after="0" w:line="240" w:lineRule="auto"/>
      </w:pPr>
      <w:rPr>
        <w:b/>
        <w:bCs/>
      </w:rPr>
      <w:tblPr/>
      <w:tcPr>
        <w:tcBorders>
          <w:top w:val="single" w:sz="8" w:space="0" w:color="00437B" w:themeColor="accent4"/>
          <w:left w:val="nil"/>
          <w:bottom w:val="single" w:sz="8" w:space="0" w:color="00437B"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D3FF" w:themeFill="accent4" w:themeFillTint="3F"/>
      </w:tcPr>
    </w:tblStylePr>
    <w:tblStylePr w:type="band1Horz">
      <w:tblPr/>
      <w:tcPr>
        <w:tcBorders>
          <w:left w:val="nil"/>
          <w:right w:val="nil"/>
          <w:insideH w:val="nil"/>
          <w:insideV w:val="nil"/>
        </w:tcBorders>
        <w:shd w:val="clear" w:color="auto" w:fill="9FD3FF" w:themeFill="accent4" w:themeFillTint="3F"/>
      </w:tcPr>
    </w:tblStylePr>
  </w:style>
  <w:style w:type="table" w:styleId="LightShading-Accent5">
    <w:name w:val="Light Shading Accent 5"/>
    <w:basedOn w:val="TableNormal"/>
    <w:uiPriority w:val="60"/>
    <w:semiHidden/>
    <w:unhideWhenUsed/>
    <w:rsid w:val="006633DE"/>
    <w:pPr>
      <w:spacing w:after="260" w:line="240" w:lineRule="auto"/>
    </w:pPr>
    <w:rPr>
      <w:color w:val="BA9304" w:themeColor="accent5" w:themeShade="BF"/>
    </w:rPr>
    <w:tblPr>
      <w:tblStyleRowBandSize w:val="1"/>
      <w:tblStyleColBandSize w:val="1"/>
      <w:tblBorders>
        <w:top w:val="single" w:sz="8" w:space="0" w:color="F9C606" w:themeColor="accent5"/>
        <w:bottom w:val="single" w:sz="8" w:space="0" w:color="F9C606" w:themeColor="accent5"/>
      </w:tblBorders>
    </w:tblPr>
    <w:tblStylePr w:type="firstRow">
      <w:pPr>
        <w:spacing w:before="0" w:after="0" w:line="240" w:lineRule="auto"/>
      </w:pPr>
      <w:rPr>
        <w:b/>
        <w:bCs/>
      </w:rPr>
      <w:tblPr/>
      <w:tcPr>
        <w:tcBorders>
          <w:top w:val="single" w:sz="8" w:space="0" w:color="F9C606" w:themeColor="accent5"/>
          <w:left w:val="nil"/>
          <w:bottom w:val="single" w:sz="8" w:space="0" w:color="F9C606" w:themeColor="accent5"/>
          <w:right w:val="nil"/>
          <w:insideH w:val="nil"/>
          <w:insideV w:val="nil"/>
        </w:tcBorders>
      </w:tcPr>
    </w:tblStylePr>
    <w:tblStylePr w:type="lastRow">
      <w:pPr>
        <w:spacing w:before="0" w:after="0" w:line="240" w:lineRule="auto"/>
      </w:pPr>
      <w:rPr>
        <w:b/>
        <w:bCs/>
      </w:rPr>
      <w:tblPr/>
      <w:tcPr>
        <w:tcBorders>
          <w:top w:val="single" w:sz="8" w:space="0" w:color="F9C606" w:themeColor="accent5"/>
          <w:left w:val="nil"/>
          <w:bottom w:val="single" w:sz="8" w:space="0" w:color="F9C60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F0C1" w:themeFill="accent5" w:themeFillTint="3F"/>
      </w:tcPr>
    </w:tblStylePr>
    <w:tblStylePr w:type="band1Horz">
      <w:tblPr/>
      <w:tcPr>
        <w:tcBorders>
          <w:left w:val="nil"/>
          <w:right w:val="nil"/>
          <w:insideH w:val="nil"/>
          <w:insideV w:val="nil"/>
        </w:tcBorders>
        <w:shd w:val="clear" w:color="auto" w:fill="FDF0C1" w:themeFill="accent5" w:themeFillTint="3F"/>
      </w:tcPr>
    </w:tblStylePr>
  </w:style>
  <w:style w:type="table" w:styleId="LightShading-Accent6">
    <w:name w:val="Light Shading Accent 6"/>
    <w:basedOn w:val="TableNormal"/>
    <w:uiPriority w:val="60"/>
    <w:semiHidden/>
    <w:unhideWhenUsed/>
    <w:rsid w:val="006633DE"/>
    <w:pPr>
      <w:spacing w:after="260" w:line="240" w:lineRule="auto"/>
    </w:pPr>
    <w:rPr>
      <w:color w:val="95A51F" w:themeColor="accent6" w:themeShade="BF"/>
    </w:rPr>
    <w:tblPr>
      <w:tblStyleRowBandSize w:val="1"/>
      <w:tblStyleColBandSize w:val="1"/>
      <w:tblBorders>
        <w:top w:val="single" w:sz="8" w:space="0" w:color="C4D82E" w:themeColor="accent6"/>
        <w:bottom w:val="single" w:sz="8" w:space="0" w:color="C4D82E" w:themeColor="accent6"/>
      </w:tblBorders>
    </w:tblPr>
    <w:tblStylePr w:type="firstRow">
      <w:pPr>
        <w:spacing w:before="0" w:after="0" w:line="240" w:lineRule="auto"/>
      </w:pPr>
      <w:rPr>
        <w:b/>
        <w:bCs/>
      </w:rPr>
      <w:tblPr/>
      <w:tcPr>
        <w:tcBorders>
          <w:top w:val="single" w:sz="8" w:space="0" w:color="C4D82E" w:themeColor="accent6"/>
          <w:left w:val="nil"/>
          <w:bottom w:val="single" w:sz="8" w:space="0" w:color="C4D82E" w:themeColor="accent6"/>
          <w:right w:val="nil"/>
          <w:insideH w:val="nil"/>
          <w:insideV w:val="nil"/>
        </w:tcBorders>
      </w:tcPr>
    </w:tblStylePr>
    <w:tblStylePr w:type="lastRow">
      <w:pPr>
        <w:spacing w:before="0" w:after="0" w:line="240" w:lineRule="auto"/>
      </w:pPr>
      <w:rPr>
        <w:b/>
        <w:bCs/>
      </w:rPr>
      <w:tblPr/>
      <w:tcPr>
        <w:tcBorders>
          <w:top w:val="single" w:sz="8" w:space="0" w:color="C4D82E" w:themeColor="accent6"/>
          <w:left w:val="nil"/>
          <w:bottom w:val="single" w:sz="8" w:space="0" w:color="C4D82E"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0F5CB" w:themeFill="accent6" w:themeFillTint="3F"/>
      </w:tcPr>
    </w:tblStylePr>
    <w:tblStylePr w:type="band1Horz">
      <w:tblPr/>
      <w:tcPr>
        <w:tcBorders>
          <w:left w:val="nil"/>
          <w:right w:val="nil"/>
          <w:insideH w:val="nil"/>
          <w:insideV w:val="nil"/>
        </w:tcBorders>
        <w:shd w:val="clear" w:color="auto" w:fill="F0F5CB" w:themeFill="accent6" w:themeFillTint="3F"/>
      </w:tcPr>
    </w:tblStylePr>
  </w:style>
  <w:style w:type="character" w:styleId="LineNumber">
    <w:name w:val="line number"/>
    <w:basedOn w:val="DefaultParagraphFont"/>
    <w:uiPriority w:val="99"/>
    <w:semiHidden/>
    <w:rsid w:val="006633DE"/>
    <w:rPr>
      <w:lang w:val="en-AU"/>
    </w:rPr>
  </w:style>
  <w:style w:type="paragraph" w:styleId="List">
    <w:name w:val="List"/>
    <w:basedOn w:val="Normal"/>
    <w:uiPriority w:val="99"/>
    <w:semiHidden/>
    <w:rsid w:val="006633DE"/>
    <w:pPr>
      <w:ind w:left="283" w:hanging="283"/>
      <w:contextualSpacing/>
    </w:pPr>
  </w:style>
  <w:style w:type="paragraph" w:styleId="List2">
    <w:name w:val="List 2"/>
    <w:basedOn w:val="Normal"/>
    <w:uiPriority w:val="99"/>
    <w:semiHidden/>
    <w:rsid w:val="006633DE"/>
    <w:pPr>
      <w:ind w:left="566" w:hanging="283"/>
      <w:contextualSpacing/>
    </w:pPr>
  </w:style>
  <w:style w:type="paragraph" w:styleId="List3">
    <w:name w:val="List 3"/>
    <w:basedOn w:val="Normal"/>
    <w:uiPriority w:val="99"/>
    <w:semiHidden/>
    <w:rsid w:val="006633DE"/>
    <w:pPr>
      <w:ind w:left="849" w:hanging="283"/>
      <w:contextualSpacing/>
    </w:pPr>
  </w:style>
  <w:style w:type="paragraph" w:styleId="List4">
    <w:name w:val="List 4"/>
    <w:basedOn w:val="Normal"/>
    <w:uiPriority w:val="99"/>
    <w:semiHidden/>
    <w:rsid w:val="006633DE"/>
    <w:pPr>
      <w:ind w:left="1132" w:hanging="283"/>
      <w:contextualSpacing/>
    </w:pPr>
  </w:style>
  <w:style w:type="paragraph" w:styleId="List5">
    <w:name w:val="List 5"/>
    <w:basedOn w:val="Normal"/>
    <w:uiPriority w:val="99"/>
    <w:semiHidden/>
    <w:rsid w:val="006633DE"/>
    <w:pPr>
      <w:ind w:left="1415" w:hanging="283"/>
      <w:contextualSpacing/>
    </w:pPr>
  </w:style>
  <w:style w:type="paragraph" w:styleId="ListBullet2">
    <w:name w:val="List Bullet 2"/>
    <w:basedOn w:val="BodyText"/>
    <w:uiPriority w:val="5"/>
    <w:rsid w:val="006633DE"/>
    <w:pPr>
      <w:numPr>
        <w:ilvl w:val="1"/>
        <w:numId w:val="6"/>
      </w:numPr>
    </w:pPr>
  </w:style>
  <w:style w:type="paragraph" w:styleId="ListBullet3">
    <w:name w:val="List Bullet 3"/>
    <w:basedOn w:val="BodyText"/>
    <w:uiPriority w:val="5"/>
    <w:rsid w:val="006633DE"/>
    <w:pPr>
      <w:numPr>
        <w:ilvl w:val="2"/>
        <w:numId w:val="6"/>
      </w:numPr>
    </w:pPr>
  </w:style>
  <w:style w:type="paragraph" w:styleId="ListBullet4">
    <w:name w:val="List Bullet 4"/>
    <w:basedOn w:val="Normal"/>
    <w:uiPriority w:val="99"/>
    <w:semiHidden/>
    <w:rsid w:val="006633DE"/>
    <w:pPr>
      <w:spacing w:line="240" w:lineRule="auto"/>
    </w:pPr>
  </w:style>
  <w:style w:type="paragraph" w:styleId="ListBullet5">
    <w:name w:val="List Bullet 5"/>
    <w:basedOn w:val="Normal"/>
    <w:uiPriority w:val="5"/>
    <w:semiHidden/>
    <w:rsid w:val="006633DE"/>
    <w:pPr>
      <w:spacing w:line="240" w:lineRule="auto"/>
    </w:pPr>
  </w:style>
  <w:style w:type="paragraph" w:styleId="ListContinue">
    <w:name w:val="List Continue"/>
    <w:basedOn w:val="Normal"/>
    <w:uiPriority w:val="99"/>
    <w:semiHidden/>
    <w:rsid w:val="006633DE"/>
    <w:pPr>
      <w:ind w:left="283"/>
      <w:contextualSpacing/>
    </w:pPr>
  </w:style>
  <w:style w:type="paragraph" w:styleId="ListContinue2">
    <w:name w:val="List Continue 2"/>
    <w:basedOn w:val="Normal"/>
    <w:uiPriority w:val="99"/>
    <w:semiHidden/>
    <w:rsid w:val="006633DE"/>
    <w:pPr>
      <w:ind w:left="566"/>
      <w:contextualSpacing/>
    </w:pPr>
  </w:style>
  <w:style w:type="paragraph" w:styleId="ListContinue3">
    <w:name w:val="List Continue 3"/>
    <w:basedOn w:val="Normal"/>
    <w:uiPriority w:val="99"/>
    <w:semiHidden/>
    <w:rsid w:val="006633DE"/>
    <w:pPr>
      <w:ind w:left="849"/>
      <w:contextualSpacing/>
    </w:pPr>
  </w:style>
  <w:style w:type="paragraph" w:styleId="ListContinue4">
    <w:name w:val="List Continue 4"/>
    <w:basedOn w:val="Normal"/>
    <w:uiPriority w:val="99"/>
    <w:semiHidden/>
    <w:rsid w:val="006633DE"/>
    <w:pPr>
      <w:ind w:left="1132"/>
      <w:contextualSpacing/>
    </w:pPr>
  </w:style>
  <w:style w:type="paragraph" w:styleId="ListContinue5">
    <w:name w:val="List Continue 5"/>
    <w:basedOn w:val="Normal"/>
    <w:uiPriority w:val="99"/>
    <w:semiHidden/>
    <w:rsid w:val="006633DE"/>
    <w:pPr>
      <w:ind w:left="1415"/>
      <w:contextualSpacing/>
    </w:pPr>
  </w:style>
  <w:style w:type="paragraph" w:styleId="ListNumber2">
    <w:name w:val="List Number 2"/>
    <w:basedOn w:val="BodyText"/>
    <w:uiPriority w:val="2"/>
    <w:rsid w:val="006633DE"/>
    <w:pPr>
      <w:numPr>
        <w:ilvl w:val="1"/>
        <w:numId w:val="7"/>
      </w:numPr>
    </w:pPr>
  </w:style>
  <w:style w:type="paragraph" w:styleId="ListNumber3">
    <w:name w:val="List Number 3"/>
    <w:basedOn w:val="BodyText"/>
    <w:uiPriority w:val="2"/>
    <w:rsid w:val="006633DE"/>
    <w:pPr>
      <w:numPr>
        <w:ilvl w:val="2"/>
        <w:numId w:val="7"/>
      </w:numPr>
    </w:pPr>
  </w:style>
  <w:style w:type="paragraph" w:styleId="ListNumber4">
    <w:name w:val="List Number 4"/>
    <w:basedOn w:val="Normal"/>
    <w:uiPriority w:val="5"/>
    <w:semiHidden/>
    <w:rsid w:val="006633DE"/>
    <w:pPr>
      <w:spacing w:line="240" w:lineRule="auto"/>
    </w:pPr>
  </w:style>
  <w:style w:type="paragraph" w:styleId="ListNumber5">
    <w:name w:val="List Number 5"/>
    <w:basedOn w:val="Normal"/>
    <w:uiPriority w:val="5"/>
    <w:semiHidden/>
    <w:rsid w:val="006633DE"/>
    <w:pPr>
      <w:spacing w:line="240" w:lineRule="auto"/>
    </w:pPr>
  </w:style>
  <w:style w:type="paragraph" w:styleId="ListParagraph">
    <w:name w:val="List Paragraph"/>
    <w:basedOn w:val="Normal"/>
    <w:uiPriority w:val="1"/>
    <w:qFormat/>
    <w:rsid w:val="006633DE"/>
    <w:pPr>
      <w:ind w:left="720"/>
      <w:contextualSpacing/>
    </w:pPr>
  </w:style>
  <w:style w:type="table" w:styleId="ListTable1Light">
    <w:name w:val="List Table 1 Light"/>
    <w:basedOn w:val="TableNormal"/>
    <w:uiPriority w:val="46"/>
    <w:rsid w:val="006633DE"/>
    <w:pPr>
      <w:spacing w:after="26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6633DE"/>
    <w:pPr>
      <w:spacing w:after="260" w:line="240" w:lineRule="auto"/>
    </w:pPr>
    <w:tblPr>
      <w:tblStyleRowBandSize w:val="1"/>
      <w:tblStyleColBandSize w:val="1"/>
    </w:tblPr>
    <w:tblStylePr w:type="firstRow">
      <w:rPr>
        <w:b/>
        <w:bCs/>
      </w:rPr>
      <w:tblPr/>
      <w:tcPr>
        <w:tcBorders>
          <w:bottom w:val="single" w:sz="4" w:space="0" w:color="8C63CF" w:themeColor="accent1" w:themeTint="99"/>
        </w:tcBorders>
      </w:tcPr>
    </w:tblStylePr>
    <w:tblStylePr w:type="lastRow">
      <w:rPr>
        <w:b/>
        <w:bCs/>
      </w:rPr>
      <w:tblPr/>
      <w:tcPr>
        <w:tcBorders>
          <w:top w:val="single" w:sz="4" w:space="0" w:color="8C63CF" w:themeColor="accent1" w:themeTint="99"/>
        </w:tcBorders>
      </w:tcPr>
    </w:tblStylePr>
    <w:tblStylePr w:type="firstCol">
      <w:rPr>
        <w:b/>
        <w:bCs/>
      </w:rPr>
    </w:tblStylePr>
    <w:tblStylePr w:type="lastCol">
      <w:rPr>
        <w:b/>
        <w:bCs/>
      </w:rPr>
    </w:tblStylePr>
    <w:tblStylePr w:type="band1Vert">
      <w:tblPr/>
      <w:tcPr>
        <w:shd w:val="clear" w:color="auto" w:fill="D8CBEF" w:themeFill="accent1" w:themeFillTint="33"/>
      </w:tcPr>
    </w:tblStylePr>
    <w:tblStylePr w:type="band1Horz">
      <w:tblPr/>
      <w:tcPr>
        <w:shd w:val="clear" w:color="auto" w:fill="D8CBEF" w:themeFill="accent1" w:themeFillTint="33"/>
      </w:tcPr>
    </w:tblStylePr>
  </w:style>
  <w:style w:type="table" w:styleId="ListTable1Light-Accent2">
    <w:name w:val="List Table 1 Light Accent 2"/>
    <w:basedOn w:val="TableNormal"/>
    <w:uiPriority w:val="46"/>
    <w:rsid w:val="006633DE"/>
    <w:pPr>
      <w:spacing w:after="260" w:line="240" w:lineRule="auto"/>
    </w:pPr>
    <w:tblPr>
      <w:tblStyleRowBandSize w:val="1"/>
      <w:tblStyleColBandSize w:val="1"/>
    </w:tblPr>
    <w:tblStylePr w:type="firstRow">
      <w:rPr>
        <w:b/>
        <w:bCs/>
      </w:rPr>
      <w:tblPr/>
      <w:tcPr>
        <w:tcBorders>
          <w:bottom w:val="single" w:sz="4" w:space="0" w:color="37FFD8" w:themeColor="accent2" w:themeTint="99"/>
        </w:tcBorders>
      </w:tcPr>
    </w:tblStylePr>
    <w:tblStylePr w:type="lastRow">
      <w:rPr>
        <w:b/>
        <w:bCs/>
      </w:rPr>
      <w:tblPr/>
      <w:tcPr>
        <w:tcBorders>
          <w:top w:val="single" w:sz="4" w:space="0" w:color="37FFD8" w:themeColor="accent2" w:themeTint="99"/>
        </w:tcBorders>
      </w:tcPr>
    </w:tblStylePr>
    <w:tblStylePr w:type="firstCol">
      <w:rPr>
        <w:b/>
        <w:bCs/>
      </w:rPr>
    </w:tblStylePr>
    <w:tblStylePr w:type="lastCol">
      <w:rPr>
        <w:b/>
        <w:bCs/>
      </w:rPr>
    </w:tblStylePr>
    <w:tblStylePr w:type="band1Vert">
      <w:tblPr/>
      <w:tcPr>
        <w:shd w:val="clear" w:color="auto" w:fill="BCFFF2" w:themeFill="accent2" w:themeFillTint="33"/>
      </w:tcPr>
    </w:tblStylePr>
    <w:tblStylePr w:type="band1Horz">
      <w:tblPr/>
      <w:tcPr>
        <w:shd w:val="clear" w:color="auto" w:fill="BCFFF2" w:themeFill="accent2" w:themeFillTint="33"/>
      </w:tcPr>
    </w:tblStylePr>
  </w:style>
  <w:style w:type="table" w:styleId="ListTable1Light-Accent3">
    <w:name w:val="List Table 1 Light Accent 3"/>
    <w:basedOn w:val="TableNormal"/>
    <w:uiPriority w:val="46"/>
    <w:rsid w:val="006633DE"/>
    <w:pPr>
      <w:spacing w:after="260" w:line="240" w:lineRule="auto"/>
    </w:pPr>
    <w:tblPr>
      <w:tblStyleRowBandSize w:val="1"/>
      <w:tblStyleColBandSize w:val="1"/>
    </w:tblPr>
    <w:tblStylePr w:type="firstRow">
      <w:rPr>
        <w:b/>
        <w:bCs/>
      </w:rPr>
      <w:tblPr/>
      <w:tcPr>
        <w:tcBorders>
          <w:bottom w:val="single" w:sz="4" w:space="0" w:color="A1DFF1" w:themeColor="accent3" w:themeTint="99"/>
        </w:tcBorders>
      </w:tcPr>
    </w:tblStylePr>
    <w:tblStylePr w:type="lastRow">
      <w:rPr>
        <w:b/>
        <w:bCs/>
      </w:rPr>
      <w:tblPr/>
      <w:tcPr>
        <w:tcBorders>
          <w:top w:val="single" w:sz="4" w:space="0" w:color="A1DFF1" w:themeColor="accent3" w:themeTint="99"/>
        </w:tcBorders>
      </w:tcPr>
    </w:tblStylePr>
    <w:tblStylePr w:type="firstCol">
      <w:rPr>
        <w:b/>
        <w:bCs/>
      </w:rPr>
    </w:tblStylePr>
    <w:tblStylePr w:type="lastCol">
      <w:rPr>
        <w:b/>
        <w:bCs/>
      </w:rPr>
    </w:tblStylePr>
    <w:tblStylePr w:type="band1Vert">
      <w:tblPr/>
      <w:tcPr>
        <w:shd w:val="clear" w:color="auto" w:fill="DFF4FA" w:themeFill="accent3" w:themeFillTint="33"/>
      </w:tcPr>
    </w:tblStylePr>
    <w:tblStylePr w:type="band1Horz">
      <w:tblPr/>
      <w:tcPr>
        <w:shd w:val="clear" w:color="auto" w:fill="DFF4FA" w:themeFill="accent3" w:themeFillTint="33"/>
      </w:tcPr>
    </w:tblStylePr>
  </w:style>
  <w:style w:type="table" w:styleId="ListTable1Light-Accent4">
    <w:name w:val="List Table 1 Light Accent 4"/>
    <w:basedOn w:val="TableNormal"/>
    <w:uiPriority w:val="46"/>
    <w:rsid w:val="006633DE"/>
    <w:pPr>
      <w:spacing w:after="260" w:line="240" w:lineRule="auto"/>
    </w:pPr>
    <w:tblPr>
      <w:tblStyleRowBandSize w:val="1"/>
      <w:tblStyleColBandSize w:val="1"/>
    </w:tblPr>
    <w:tblStylePr w:type="firstRow">
      <w:rPr>
        <w:b/>
        <w:bCs/>
      </w:rPr>
      <w:tblPr/>
      <w:tcPr>
        <w:tcBorders>
          <w:bottom w:val="single" w:sz="4" w:space="0" w:color="1694FF" w:themeColor="accent4" w:themeTint="99"/>
        </w:tcBorders>
      </w:tcPr>
    </w:tblStylePr>
    <w:tblStylePr w:type="lastRow">
      <w:rPr>
        <w:b/>
        <w:bCs/>
      </w:rPr>
      <w:tblPr/>
      <w:tcPr>
        <w:tcBorders>
          <w:top w:val="single" w:sz="4" w:space="0" w:color="1694FF" w:themeColor="accent4" w:themeTint="99"/>
        </w:tcBorders>
      </w:tcPr>
    </w:tblStylePr>
    <w:tblStylePr w:type="firstCol">
      <w:rPr>
        <w:b/>
        <w:bCs/>
      </w:rPr>
    </w:tblStylePr>
    <w:tblStylePr w:type="lastCol">
      <w:rPr>
        <w:b/>
        <w:bCs/>
      </w:rPr>
    </w:tblStylePr>
    <w:tblStylePr w:type="band1Vert">
      <w:tblPr/>
      <w:tcPr>
        <w:shd w:val="clear" w:color="auto" w:fill="B1DBFF" w:themeFill="accent4" w:themeFillTint="33"/>
      </w:tcPr>
    </w:tblStylePr>
    <w:tblStylePr w:type="band1Horz">
      <w:tblPr/>
      <w:tcPr>
        <w:shd w:val="clear" w:color="auto" w:fill="B1DBFF" w:themeFill="accent4" w:themeFillTint="33"/>
      </w:tcPr>
    </w:tblStylePr>
  </w:style>
  <w:style w:type="table" w:styleId="ListTable1Light-Accent5">
    <w:name w:val="List Table 1 Light Accent 5"/>
    <w:basedOn w:val="TableNormal"/>
    <w:uiPriority w:val="46"/>
    <w:rsid w:val="006633DE"/>
    <w:pPr>
      <w:spacing w:after="260" w:line="240" w:lineRule="auto"/>
    </w:pPr>
    <w:tblPr>
      <w:tblStyleRowBandSize w:val="1"/>
      <w:tblStyleColBandSize w:val="1"/>
    </w:tblPr>
    <w:tblStylePr w:type="firstRow">
      <w:rPr>
        <w:b/>
        <w:bCs/>
      </w:rPr>
      <w:tblPr/>
      <w:tcPr>
        <w:tcBorders>
          <w:bottom w:val="single" w:sz="4" w:space="0" w:color="FBDC69" w:themeColor="accent5" w:themeTint="99"/>
        </w:tcBorders>
      </w:tcPr>
    </w:tblStylePr>
    <w:tblStylePr w:type="lastRow">
      <w:rPr>
        <w:b/>
        <w:bCs/>
      </w:rPr>
      <w:tblPr/>
      <w:tcPr>
        <w:tcBorders>
          <w:top w:val="single" w:sz="4" w:space="0" w:color="FBDC69" w:themeColor="accent5" w:themeTint="99"/>
        </w:tcBorders>
      </w:tcPr>
    </w:tblStylePr>
    <w:tblStylePr w:type="firstCol">
      <w:rPr>
        <w:b/>
        <w:bCs/>
      </w:rPr>
    </w:tblStylePr>
    <w:tblStylePr w:type="lastCol">
      <w:rPr>
        <w:b/>
        <w:bCs/>
      </w:rPr>
    </w:tblStylePr>
    <w:tblStylePr w:type="band1Vert">
      <w:tblPr/>
      <w:tcPr>
        <w:shd w:val="clear" w:color="auto" w:fill="FDF3CD" w:themeFill="accent5" w:themeFillTint="33"/>
      </w:tcPr>
    </w:tblStylePr>
    <w:tblStylePr w:type="band1Horz">
      <w:tblPr/>
      <w:tcPr>
        <w:shd w:val="clear" w:color="auto" w:fill="FDF3CD" w:themeFill="accent5" w:themeFillTint="33"/>
      </w:tcPr>
    </w:tblStylePr>
  </w:style>
  <w:style w:type="table" w:styleId="ListTable1Light-Accent6">
    <w:name w:val="List Table 1 Light Accent 6"/>
    <w:basedOn w:val="TableNormal"/>
    <w:uiPriority w:val="46"/>
    <w:rsid w:val="006633DE"/>
    <w:pPr>
      <w:spacing w:after="260" w:line="240" w:lineRule="auto"/>
    </w:pPr>
    <w:tblPr>
      <w:tblStyleRowBandSize w:val="1"/>
      <w:tblStyleColBandSize w:val="1"/>
    </w:tblPr>
    <w:tblStylePr w:type="firstRow">
      <w:rPr>
        <w:b/>
        <w:bCs/>
      </w:rPr>
      <w:tblPr/>
      <w:tcPr>
        <w:tcBorders>
          <w:bottom w:val="single" w:sz="4" w:space="0" w:color="DBE781" w:themeColor="accent6" w:themeTint="99"/>
        </w:tcBorders>
      </w:tcPr>
    </w:tblStylePr>
    <w:tblStylePr w:type="lastRow">
      <w:rPr>
        <w:b/>
        <w:bCs/>
      </w:rPr>
      <w:tblPr/>
      <w:tcPr>
        <w:tcBorders>
          <w:top w:val="single" w:sz="4" w:space="0" w:color="DBE781" w:themeColor="accent6" w:themeTint="99"/>
        </w:tcBorders>
      </w:tcPr>
    </w:tblStylePr>
    <w:tblStylePr w:type="firstCol">
      <w:rPr>
        <w:b/>
        <w:bCs/>
      </w:rPr>
    </w:tblStylePr>
    <w:tblStylePr w:type="lastCol">
      <w:rPr>
        <w:b/>
        <w:bCs/>
      </w:rPr>
    </w:tblStylePr>
    <w:tblStylePr w:type="band1Vert">
      <w:tblPr/>
      <w:tcPr>
        <w:shd w:val="clear" w:color="auto" w:fill="F3F7D5" w:themeFill="accent6" w:themeFillTint="33"/>
      </w:tcPr>
    </w:tblStylePr>
    <w:tblStylePr w:type="band1Horz">
      <w:tblPr/>
      <w:tcPr>
        <w:shd w:val="clear" w:color="auto" w:fill="F3F7D5" w:themeFill="accent6" w:themeFillTint="33"/>
      </w:tcPr>
    </w:tblStylePr>
  </w:style>
  <w:style w:type="table" w:styleId="ListTable2">
    <w:name w:val="List Table 2"/>
    <w:basedOn w:val="TableNormal"/>
    <w:uiPriority w:val="47"/>
    <w:rsid w:val="006633DE"/>
    <w:pPr>
      <w:spacing w:after="26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6633DE"/>
    <w:pPr>
      <w:spacing w:after="260" w:line="240" w:lineRule="auto"/>
    </w:pPr>
    <w:tblPr>
      <w:tblStyleRowBandSize w:val="1"/>
      <w:tblStyleColBandSize w:val="1"/>
      <w:tblBorders>
        <w:top w:val="single" w:sz="4" w:space="0" w:color="8C63CF" w:themeColor="accent1" w:themeTint="99"/>
        <w:bottom w:val="single" w:sz="4" w:space="0" w:color="8C63CF" w:themeColor="accent1" w:themeTint="99"/>
        <w:insideH w:val="single" w:sz="4" w:space="0" w:color="8C63C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8CBEF" w:themeFill="accent1" w:themeFillTint="33"/>
      </w:tcPr>
    </w:tblStylePr>
    <w:tblStylePr w:type="band1Horz">
      <w:tblPr/>
      <w:tcPr>
        <w:shd w:val="clear" w:color="auto" w:fill="D8CBEF" w:themeFill="accent1" w:themeFillTint="33"/>
      </w:tcPr>
    </w:tblStylePr>
  </w:style>
  <w:style w:type="table" w:styleId="ListTable2-Accent2">
    <w:name w:val="List Table 2 Accent 2"/>
    <w:basedOn w:val="TableNormal"/>
    <w:uiPriority w:val="47"/>
    <w:rsid w:val="006633DE"/>
    <w:pPr>
      <w:spacing w:after="260" w:line="240" w:lineRule="auto"/>
    </w:pPr>
    <w:tblPr>
      <w:tblStyleRowBandSize w:val="1"/>
      <w:tblStyleColBandSize w:val="1"/>
      <w:tblBorders>
        <w:top w:val="single" w:sz="4" w:space="0" w:color="37FFD8" w:themeColor="accent2" w:themeTint="99"/>
        <w:bottom w:val="single" w:sz="4" w:space="0" w:color="37FFD8" w:themeColor="accent2" w:themeTint="99"/>
        <w:insideH w:val="single" w:sz="4" w:space="0" w:color="37FFD8"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2" w:themeFill="accent2" w:themeFillTint="33"/>
      </w:tcPr>
    </w:tblStylePr>
    <w:tblStylePr w:type="band1Horz">
      <w:tblPr/>
      <w:tcPr>
        <w:shd w:val="clear" w:color="auto" w:fill="BCFFF2" w:themeFill="accent2" w:themeFillTint="33"/>
      </w:tcPr>
    </w:tblStylePr>
  </w:style>
  <w:style w:type="table" w:styleId="ListTable2-Accent3">
    <w:name w:val="List Table 2 Accent 3"/>
    <w:basedOn w:val="TableNormal"/>
    <w:uiPriority w:val="47"/>
    <w:rsid w:val="006633DE"/>
    <w:pPr>
      <w:spacing w:after="260" w:line="240" w:lineRule="auto"/>
    </w:pPr>
    <w:tblPr>
      <w:tblStyleRowBandSize w:val="1"/>
      <w:tblStyleColBandSize w:val="1"/>
      <w:tblBorders>
        <w:top w:val="single" w:sz="4" w:space="0" w:color="A1DFF1" w:themeColor="accent3" w:themeTint="99"/>
        <w:bottom w:val="single" w:sz="4" w:space="0" w:color="A1DFF1" w:themeColor="accent3" w:themeTint="99"/>
        <w:insideH w:val="single" w:sz="4" w:space="0" w:color="A1DFF1"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FF4FA" w:themeFill="accent3" w:themeFillTint="33"/>
      </w:tcPr>
    </w:tblStylePr>
    <w:tblStylePr w:type="band1Horz">
      <w:tblPr/>
      <w:tcPr>
        <w:shd w:val="clear" w:color="auto" w:fill="DFF4FA" w:themeFill="accent3" w:themeFillTint="33"/>
      </w:tcPr>
    </w:tblStylePr>
  </w:style>
  <w:style w:type="table" w:styleId="ListTable2-Accent4">
    <w:name w:val="List Table 2 Accent 4"/>
    <w:basedOn w:val="TableNormal"/>
    <w:uiPriority w:val="47"/>
    <w:rsid w:val="006633DE"/>
    <w:pPr>
      <w:spacing w:after="260" w:line="240" w:lineRule="auto"/>
    </w:pPr>
    <w:tblPr>
      <w:tblStyleRowBandSize w:val="1"/>
      <w:tblStyleColBandSize w:val="1"/>
      <w:tblBorders>
        <w:top w:val="single" w:sz="4" w:space="0" w:color="1694FF" w:themeColor="accent4" w:themeTint="99"/>
        <w:bottom w:val="single" w:sz="4" w:space="0" w:color="1694FF" w:themeColor="accent4" w:themeTint="99"/>
        <w:insideH w:val="single" w:sz="4" w:space="0" w:color="1694FF"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BFF" w:themeFill="accent4" w:themeFillTint="33"/>
      </w:tcPr>
    </w:tblStylePr>
    <w:tblStylePr w:type="band1Horz">
      <w:tblPr/>
      <w:tcPr>
        <w:shd w:val="clear" w:color="auto" w:fill="B1DBFF" w:themeFill="accent4" w:themeFillTint="33"/>
      </w:tcPr>
    </w:tblStylePr>
  </w:style>
  <w:style w:type="table" w:styleId="ListTable2-Accent5">
    <w:name w:val="List Table 2 Accent 5"/>
    <w:basedOn w:val="TableNormal"/>
    <w:uiPriority w:val="47"/>
    <w:rsid w:val="006633DE"/>
    <w:pPr>
      <w:spacing w:after="260" w:line="240" w:lineRule="auto"/>
    </w:pPr>
    <w:tblPr>
      <w:tblStyleRowBandSize w:val="1"/>
      <w:tblStyleColBandSize w:val="1"/>
      <w:tblBorders>
        <w:top w:val="single" w:sz="4" w:space="0" w:color="FBDC69" w:themeColor="accent5" w:themeTint="99"/>
        <w:bottom w:val="single" w:sz="4" w:space="0" w:color="FBDC69" w:themeColor="accent5" w:themeTint="99"/>
        <w:insideH w:val="single" w:sz="4" w:space="0" w:color="FBDC69"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F3CD" w:themeFill="accent5" w:themeFillTint="33"/>
      </w:tcPr>
    </w:tblStylePr>
    <w:tblStylePr w:type="band1Horz">
      <w:tblPr/>
      <w:tcPr>
        <w:shd w:val="clear" w:color="auto" w:fill="FDF3CD" w:themeFill="accent5" w:themeFillTint="33"/>
      </w:tcPr>
    </w:tblStylePr>
  </w:style>
  <w:style w:type="table" w:styleId="ListTable2-Accent6">
    <w:name w:val="List Table 2 Accent 6"/>
    <w:basedOn w:val="TableNormal"/>
    <w:uiPriority w:val="47"/>
    <w:rsid w:val="006633DE"/>
    <w:pPr>
      <w:spacing w:after="260" w:line="240" w:lineRule="auto"/>
    </w:pPr>
    <w:tblPr>
      <w:tblStyleRowBandSize w:val="1"/>
      <w:tblStyleColBandSize w:val="1"/>
      <w:tblBorders>
        <w:top w:val="single" w:sz="4" w:space="0" w:color="DBE781" w:themeColor="accent6" w:themeTint="99"/>
        <w:bottom w:val="single" w:sz="4" w:space="0" w:color="DBE781" w:themeColor="accent6" w:themeTint="99"/>
        <w:insideH w:val="single" w:sz="4" w:space="0" w:color="DBE781"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3F7D5" w:themeFill="accent6" w:themeFillTint="33"/>
      </w:tcPr>
    </w:tblStylePr>
    <w:tblStylePr w:type="band1Horz">
      <w:tblPr/>
      <w:tcPr>
        <w:shd w:val="clear" w:color="auto" w:fill="F3F7D5" w:themeFill="accent6" w:themeFillTint="33"/>
      </w:tcPr>
    </w:tblStylePr>
  </w:style>
  <w:style w:type="table" w:styleId="ListTable3">
    <w:name w:val="List Table 3"/>
    <w:basedOn w:val="TableNormal"/>
    <w:uiPriority w:val="48"/>
    <w:rsid w:val="006633DE"/>
    <w:pPr>
      <w:spacing w:after="26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6633DE"/>
    <w:pPr>
      <w:spacing w:after="260" w:line="240" w:lineRule="auto"/>
    </w:pPr>
    <w:tblPr>
      <w:tblStyleRowBandSize w:val="1"/>
      <w:tblStyleColBandSize w:val="1"/>
      <w:tblBorders>
        <w:top w:val="single" w:sz="4" w:space="0" w:color="4B2884" w:themeColor="accent1"/>
        <w:left w:val="single" w:sz="4" w:space="0" w:color="4B2884" w:themeColor="accent1"/>
        <w:bottom w:val="single" w:sz="4" w:space="0" w:color="4B2884" w:themeColor="accent1"/>
        <w:right w:val="single" w:sz="4" w:space="0" w:color="4B2884" w:themeColor="accent1"/>
      </w:tblBorders>
    </w:tblPr>
    <w:tblStylePr w:type="firstRow">
      <w:rPr>
        <w:b/>
        <w:bCs/>
        <w:color w:val="FFFFFF" w:themeColor="background1"/>
      </w:rPr>
      <w:tblPr/>
      <w:tcPr>
        <w:shd w:val="clear" w:color="auto" w:fill="4B2884" w:themeFill="accent1"/>
      </w:tcPr>
    </w:tblStylePr>
    <w:tblStylePr w:type="lastRow">
      <w:rPr>
        <w:b/>
        <w:bCs/>
      </w:rPr>
      <w:tblPr/>
      <w:tcPr>
        <w:tcBorders>
          <w:top w:val="double" w:sz="4" w:space="0" w:color="4B288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2884" w:themeColor="accent1"/>
          <w:right w:val="single" w:sz="4" w:space="0" w:color="4B2884" w:themeColor="accent1"/>
        </w:tcBorders>
      </w:tcPr>
    </w:tblStylePr>
    <w:tblStylePr w:type="band1Horz">
      <w:tblPr/>
      <w:tcPr>
        <w:tcBorders>
          <w:top w:val="single" w:sz="4" w:space="0" w:color="4B2884" w:themeColor="accent1"/>
          <w:bottom w:val="single" w:sz="4" w:space="0" w:color="4B288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2884" w:themeColor="accent1"/>
          <w:left w:val="nil"/>
        </w:tcBorders>
      </w:tcPr>
    </w:tblStylePr>
    <w:tblStylePr w:type="swCell">
      <w:tblPr/>
      <w:tcPr>
        <w:tcBorders>
          <w:top w:val="double" w:sz="4" w:space="0" w:color="4B2884" w:themeColor="accent1"/>
          <w:right w:val="nil"/>
        </w:tcBorders>
      </w:tcPr>
    </w:tblStylePr>
  </w:style>
  <w:style w:type="table" w:styleId="ListTable3-Accent2">
    <w:name w:val="List Table 3 Accent 2"/>
    <w:basedOn w:val="TableNormal"/>
    <w:uiPriority w:val="48"/>
    <w:rsid w:val="006633DE"/>
    <w:pPr>
      <w:spacing w:after="260" w:line="240" w:lineRule="auto"/>
    </w:pPr>
    <w:tblPr>
      <w:tblStyleRowBandSize w:val="1"/>
      <w:tblStyleColBandSize w:val="1"/>
      <w:tblBorders>
        <w:top w:val="single" w:sz="4" w:space="0" w:color="00B18F" w:themeColor="accent2"/>
        <w:left w:val="single" w:sz="4" w:space="0" w:color="00B18F" w:themeColor="accent2"/>
        <w:bottom w:val="single" w:sz="4" w:space="0" w:color="00B18F" w:themeColor="accent2"/>
        <w:right w:val="single" w:sz="4" w:space="0" w:color="00B18F" w:themeColor="accent2"/>
      </w:tblBorders>
    </w:tblPr>
    <w:tblStylePr w:type="firstRow">
      <w:rPr>
        <w:b/>
        <w:bCs/>
        <w:color w:val="FFFFFF" w:themeColor="background1"/>
      </w:rPr>
      <w:tblPr/>
      <w:tcPr>
        <w:shd w:val="clear" w:color="auto" w:fill="00B18F" w:themeFill="accent2"/>
      </w:tcPr>
    </w:tblStylePr>
    <w:tblStylePr w:type="lastRow">
      <w:rPr>
        <w:b/>
        <w:bCs/>
      </w:rPr>
      <w:tblPr/>
      <w:tcPr>
        <w:tcBorders>
          <w:top w:val="double" w:sz="4" w:space="0" w:color="00B18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18F" w:themeColor="accent2"/>
          <w:right w:val="single" w:sz="4" w:space="0" w:color="00B18F" w:themeColor="accent2"/>
        </w:tcBorders>
      </w:tcPr>
    </w:tblStylePr>
    <w:tblStylePr w:type="band1Horz">
      <w:tblPr/>
      <w:tcPr>
        <w:tcBorders>
          <w:top w:val="single" w:sz="4" w:space="0" w:color="00B18F" w:themeColor="accent2"/>
          <w:bottom w:val="single" w:sz="4" w:space="0" w:color="00B18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18F" w:themeColor="accent2"/>
          <w:left w:val="nil"/>
        </w:tcBorders>
      </w:tcPr>
    </w:tblStylePr>
    <w:tblStylePr w:type="swCell">
      <w:tblPr/>
      <w:tcPr>
        <w:tcBorders>
          <w:top w:val="double" w:sz="4" w:space="0" w:color="00B18F" w:themeColor="accent2"/>
          <w:right w:val="nil"/>
        </w:tcBorders>
      </w:tcPr>
    </w:tblStylePr>
  </w:style>
  <w:style w:type="table" w:styleId="ListTable3-Accent3">
    <w:name w:val="List Table 3 Accent 3"/>
    <w:basedOn w:val="TableNormal"/>
    <w:uiPriority w:val="48"/>
    <w:rsid w:val="006633DE"/>
    <w:pPr>
      <w:spacing w:after="260" w:line="240" w:lineRule="auto"/>
    </w:pPr>
    <w:tblPr>
      <w:tblStyleRowBandSize w:val="1"/>
      <w:tblStyleColBandSize w:val="1"/>
      <w:tblBorders>
        <w:top w:val="single" w:sz="4" w:space="0" w:color="64CBE8" w:themeColor="accent3"/>
        <w:left w:val="single" w:sz="4" w:space="0" w:color="64CBE8" w:themeColor="accent3"/>
        <w:bottom w:val="single" w:sz="4" w:space="0" w:color="64CBE8" w:themeColor="accent3"/>
        <w:right w:val="single" w:sz="4" w:space="0" w:color="64CBE8" w:themeColor="accent3"/>
      </w:tblBorders>
    </w:tblPr>
    <w:tblStylePr w:type="firstRow">
      <w:rPr>
        <w:b/>
        <w:bCs/>
        <w:color w:val="FFFFFF" w:themeColor="background1"/>
      </w:rPr>
      <w:tblPr/>
      <w:tcPr>
        <w:shd w:val="clear" w:color="auto" w:fill="64CBE8" w:themeFill="accent3"/>
      </w:tcPr>
    </w:tblStylePr>
    <w:tblStylePr w:type="lastRow">
      <w:rPr>
        <w:b/>
        <w:bCs/>
      </w:rPr>
      <w:tblPr/>
      <w:tcPr>
        <w:tcBorders>
          <w:top w:val="double" w:sz="4" w:space="0" w:color="64CBE8"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4CBE8" w:themeColor="accent3"/>
          <w:right w:val="single" w:sz="4" w:space="0" w:color="64CBE8" w:themeColor="accent3"/>
        </w:tcBorders>
      </w:tcPr>
    </w:tblStylePr>
    <w:tblStylePr w:type="band1Horz">
      <w:tblPr/>
      <w:tcPr>
        <w:tcBorders>
          <w:top w:val="single" w:sz="4" w:space="0" w:color="64CBE8" w:themeColor="accent3"/>
          <w:bottom w:val="single" w:sz="4" w:space="0" w:color="64CBE8"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4CBE8" w:themeColor="accent3"/>
          <w:left w:val="nil"/>
        </w:tcBorders>
      </w:tcPr>
    </w:tblStylePr>
    <w:tblStylePr w:type="swCell">
      <w:tblPr/>
      <w:tcPr>
        <w:tcBorders>
          <w:top w:val="double" w:sz="4" w:space="0" w:color="64CBE8" w:themeColor="accent3"/>
          <w:right w:val="nil"/>
        </w:tcBorders>
      </w:tcPr>
    </w:tblStylePr>
  </w:style>
  <w:style w:type="table" w:styleId="ListTable3-Accent4">
    <w:name w:val="List Table 3 Accent 4"/>
    <w:basedOn w:val="TableNormal"/>
    <w:uiPriority w:val="48"/>
    <w:rsid w:val="006633DE"/>
    <w:pPr>
      <w:spacing w:after="260" w:line="240" w:lineRule="auto"/>
    </w:pPr>
    <w:tblPr>
      <w:tblStyleRowBandSize w:val="1"/>
      <w:tblStyleColBandSize w:val="1"/>
      <w:tblBorders>
        <w:top w:val="single" w:sz="4" w:space="0" w:color="00437B" w:themeColor="accent4"/>
        <w:left w:val="single" w:sz="4" w:space="0" w:color="00437B" w:themeColor="accent4"/>
        <w:bottom w:val="single" w:sz="4" w:space="0" w:color="00437B" w:themeColor="accent4"/>
        <w:right w:val="single" w:sz="4" w:space="0" w:color="00437B" w:themeColor="accent4"/>
      </w:tblBorders>
    </w:tblPr>
    <w:tblStylePr w:type="firstRow">
      <w:rPr>
        <w:b/>
        <w:bCs/>
        <w:color w:val="FFFFFF" w:themeColor="background1"/>
      </w:rPr>
      <w:tblPr/>
      <w:tcPr>
        <w:shd w:val="clear" w:color="auto" w:fill="00437B" w:themeFill="accent4"/>
      </w:tcPr>
    </w:tblStylePr>
    <w:tblStylePr w:type="lastRow">
      <w:rPr>
        <w:b/>
        <w:bCs/>
      </w:rPr>
      <w:tblPr/>
      <w:tcPr>
        <w:tcBorders>
          <w:top w:val="double" w:sz="4" w:space="0" w:color="00437B"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437B" w:themeColor="accent4"/>
          <w:right w:val="single" w:sz="4" w:space="0" w:color="00437B" w:themeColor="accent4"/>
        </w:tcBorders>
      </w:tcPr>
    </w:tblStylePr>
    <w:tblStylePr w:type="band1Horz">
      <w:tblPr/>
      <w:tcPr>
        <w:tcBorders>
          <w:top w:val="single" w:sz="4" w:space="0" w:color="00437B" w:themeColor="accent4"/>
          <w:bottom w:val="single" w:sz="4" w:space="0" w:color="00437B"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437B" w:themeColor="accent4"/>
          <w:left w:val="nil"/>
        </w:tcBorders>
      </w:tcPr>
    </w:tblStylePr>
    <w:tblStylePr w:type="swCell">
      <w:tblPr/>
      <w:tcPr>
        <w:tcBorders>
          <w:top w:val="double" w:sz="4" w:space="0" w:color="00437B" w:themeColor="accent4"/>
          <w:right w:val="nil"/>
        </w:tcBorders>
      </w:tcPr>
    </w:tblStylePr>
  </w:style>
  <w:style w:type="table" w:styleId="ListTable3-Accent5">
    <w:name w:val="List Table 3 Accent 5"/>
    <w:basedOn w:val="TableNormal"/>
    <w:uiPriority w:val="48"/>
    <w:rsid w:val="006633DE"/>
    <w:pPr>
      <w:spacing w:after="260" w:line="240" w:lineRule="auto"/>
    </w:pPr>
    <w:tblPr>
      <w:tblStyleRowBandSize w:val="1"/>
      <w:tblStyleColBandSize w:val="1"/>
      <w:tblBorders>
        <w:top w:val="single" w:sz="4" w:space="0" w:color="F9C606" w:themeColor="accent5"/>
        <w:left w:val="single" w:sz="4" w:space="0" w:color="F9C606" w:themeColor="accent5"/>
        <w:bottom w:val="single" w:sz="4" w:space="0" w:color="F9C606" w:themeColor="accent5"/>
        <w:right w:val="single" w:sz="4" w:space="0" w:color="F9C606" w:themeColor="accent5"/>
      </w:tblBorders>
    </w:tblPr>
    <w:tblStylePr w:type="firstRow">
      <w:rPr>
        <w:b/>
        <w:bCs/>
        <w:color w:val="FFFFFF" w:themeColor="background1"/>
      </w:rPr>
      <w:tblPr/>
      <w:tcPr>
        <w:shd w:val="clear" w:color="auto" w:fill="F9C606" w:themeFill="accent5"/>
      </w:tcPr>
    </w:tblStylePr>
    <w:tblStylePr w:type="lastRow">
      <w:rPr>
        <w:b/>
        <w:bCs/>
      </w:rPr>
      <w:tblPr/>
      <w:tcPr>
        <w:tcBorders>
          <w:top w:val="double" w:sz="4" w:space="0" w:color="F9C60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9C606" w:themeColor="accent5"/>
          <w:right w:val="single" w:sz="4" w:space="0" w:color="F9C606" w:themeColor="accent5"/>
        </w:tcBorders>
      </w:tcPr>
    </w:tblStylePr>
    <w:tblStylePr w:type="band1Horz">
      <w:tblPr/>
      <w:tcPr>
        <w:tcBorders>
          <w:top w:val="single" w:sz="4" w:space="0" w:color="F9C606" w:themeColor="accent5"/>
          <w:bottom w:val="single" w:sz="4" w:space="0" w:color="F9C60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9C606" w:themeColor="accent5"/>
          <w:left w:val="nil"/>
        </w:tcBorders>
      </w:tcPr>
    </w:tblStylePr>
    <w:tblStylePr w:type="swCell">
      <w:tblPr/>
      <w:tcPr>
        <w:tcBorders>
          <w:top w:val="double" w:sz="4" w:space="0" w:color="F9C606" w:themeColor="accent5"/>
          <w:right w:val="nil"/>
        </w:tcBorders>
      </w:tcPr>
    </w:tblStylePr>
  </w:style>
  <w:style w:type="table" w:styleId="ListTable3-Accent6">
    <w:name w:val="List Table 3 Accent 6"/>
    <w:basedOn w:val="TableNormal"/>
    <w:uiPriority w:val="48"/>
    <w:rsid w:val="006633DE"/>
    <w:pPr>
      <w:spacing w:after="260" w:line="240" w:lineRule="auto"/>
    </w:pPr>
    <w:tblPr>
      <w:tblStyleRowBandSize w:val="1"/>
      <w:tblStyleColBandSize w:val="1"/>
      <w:tblBorders>
        <w:top w:val="single" w:sz="4" w:space="0" w:color="C4D82E" w:themeColor="accent6"/>
        <w:left w:val="single" w:sz="4" w:space="0" w:color="C4D82E" w:themeColor="accent6"/>
        <w:bottom w:val="single" w:sz="4" w:space="0" w:color="C4D82E" w:themeColor="accent6"/>
        <w:right w:val="single" w:sz="4" w:space="0" w:color="C4D82E" w:themeColor="accent6"/>
      </w:tblBorders>
    </w:tblPr>
    <w:tblStylePr w:type="firstRow">
      <w:rPr>
        <w:b/>
        <w:bCs/>
        <w:color w:val="FFFFFF" w:themeColor="background1"/>
      </w:rPr>
      <w:tblPr/>
      <w:tcPr>
        <w:shd w:val="clear" w:color="auto" w:fill="C4D82E" w:themeFill="accent6"/>
      </w:tcPr>
    </w:tblStylePr>
    <w:tblStylePr w:type="lastRow">
      <w:rPr>
        <w:b/>
        <w:bCs/>
      </w:rPr>
      <w:tblPr/>
      <w:tcPr>
        <w:tcBorders>
          <w:top w:val="double" w:sz="4" w:space="0" w:color="C4D82E"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4D82E" w:themeColor="accent6"/>
          <w:right w:val="single" w:sz="4" w:space="0" w:color="C4D82E" w:themeColor="accent6"/>
        </w:tcBorders>
      </w:tcPr>
    </w:tblStylePr>
    <w:tblStylePr w:type="band1Horz">
      <w:tblPr/>
      <w:tcPr>
        <w:tcBorders>
          <w:top w:val="single" w:sz="4" w:space="0" w:color="C4D82E" w:themeColor="accent6"/>
          <w:bottom w:val="single" w:sz="4" w:space="0" w:color="C4D82E"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4D82E" w:themeColor="accent6"/>
          <w:left w:val="nil"/>
        </w:tcBorders>
      </w:tcPr>
    </w:tblStylePr>
    <w:tblStylePr w:type="swCell">
      <w:tblPr/>
      <w:tcPr>
        <w:tcBorders>
          <w:top w:val="double" w:sz="4" w:space="0" w:color="C4D82E" w:themeColor="accent6"/>
          <w:right w:val="nil"/>
        </w:tcBorders>
      </w:tcPr>
    </w:tblStylePr>
  </w:style>
  <w:style w:type="table" w:styleId="ListTable4">
    <w:name w:val="List Table 4"/>
    <w:basedOn w:val="TableNormal"/>
    <w:uiPriority w:val="49"/>
    <w:rsid w:val="006633DE"/>
    <w:pPr>
      <w:spacing w:after="26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6633DE"/>
    <w:pPr>
      <w:spacing w:after="260" w:line="240" w:lineRule="auto"/>
    </w:pPr>
    <w:tblPr>
      <w:tblStyleRowBandSize w:val="1"/>
      <w:tblStyleColBandSize w:val="1"/>
      <w:tblBorders>
        <w:top w:val="single" w:sz="4" w:space="0" w:color="8C63CF" w:themeColor="accent1" w:themeTint="99"/>
        <w:left w:val="single" w:sz="4" w:space="0" w:color="8C63CF" w:themeColor="accent1" w:themeTint="99"/>
        <w:bottom w:val="single" w:sz="4" w:space="0" w:color="8C63CF" w:themeColor="accent1" w:themeTint="99"/>
        <w:right w:val="single" w:sz="4" w:space="0" w:color="8C63CF" w:themeColor="accent1" w:themeTint="99"/>
        <w:insideH w:val="single" w:sz="4" w:space="0" w:color="8C63CF" w:themeColor="accent1" w:themeTint="99"/>
      </w:tblBorders>
    </w:tblPr>
    <w:tblStylePr w:type="firstRow">
      <w:rPr>
        <w:b/>
        <w:bCs/>
        <w:color w:val="FFFFFF" w:themeColor="background1"/>
      </w:rPr>
      <w:tblPr/>
      <w:tcPr>
        <w:tcBorders>
          <w:top w:val="single" w:sz="4" w:space="0" w:color="4B2884" w:themeColor="accent1"/>
          <w:left w:val="single" w:sz="4" w:space="0" w:color="4B2884" w:themeColor="accent1"/>
          <w:bottom w:val="single" w:sz="4" w:space="0" w:color="4B2884" w:themeColor="accent1"/>
          <w:right w:val="single" w:sz="4" w:space="0" w:color="4B2884" w:themeColor="accent1"/>
          <w:insideH w:val="nil"/>
        </w:tcBorders>
        <w:shd w:val="clear" w:color="auto" w:fill="4B2884" w:themeFill="accent1"/>
      </w:tcPr>
    </w:tblStylePr>
    <w:tblStylePr w:type="lastRow">
      <w:rPr>
        <w:b/>
        <w:bCs/>
      </w:rPr>
      <w:tblPr/>
      <w:tcPr>
        <w:tcBorders>
          <w:top w:val="double" w:sz="4" w:space="0" w:color="8C63CF" w:themeColor="accent1" w:themeTint="99"/>
        </w:tcBorders>
      </w:tcPr>
    </w:tblStylePr>
    <w:tblStylePr w:type="firstCol">
      <w:rPr>
        <w:b/>
        <w:bCs/>
      </w:rPr>
    </w:tblStylePr>
    <w:tblStylePr w:type="lastCol">
      <w:rPr>
        <w:b/>
        <w:bCs/>
      </w:rPr>
    </w:tblStylePr>
    <w:tblStylePr w:type="band1Vert">
      <w:tblPr/>
      <w:tcPr>
        <w:shd w:val="clear" w:color="auto" w:fill="D8CBEF" w:themeFill="accent1" w:themeFillTint="33"/>
      </w:tcPr>
    </w:tblStylePr>
    <w:tblStylePr w:type="band1Horz">
      <w:tblPr/>
      <w:tcPr>
        <w:shd w:val="clear" w:color="auto" w:fill="D8CBEF" w:themeFill="accent1" w:themeFillTint="33"/>
      </w:tcPr>
    </w:tblStylePr>
  </w:style>
  <w:style w:type="table" w:styleId="ListTable4-Accent2">
    <w:name w:val="List Table 4 Accent 2"/>
    <w:basedOn w:val="TableNormal"/>
    <w:uiPriority w:val="49"/>
    <w:rsid w:val="006633DE"/>
    <w:pPr>
      <w:spacing w:after="260" w:line="240" w:lineRule="auto"/>
    </w:pPr>
    <w:tblPr>
      <w:tblStyleRowBandSize w:val="1"/>
      <w:tblStyleColBandSize w:val="1"/>
      <w:tblBorders>
        <w:top w:val="single" w:sz="4" w:space="0" w:color="37FFD8" w:themeColor="accent2" w:themeTint="99"/>
        <w:left w:val="single" w:sz="4" w:space="0" w:color="37FFD8" w:themeColor="accent2" w:themeTint="99"/>
        <w:bottom w:val="single" w:sz="4" w:space="0" w:color="37FFD8" w:themeColor="accent2" w:themeTint="99"/>
        <w:right w:val="single" w:sz="4" w:space="0" w:color="37FFD8" w:themeColor="accent2" w:themeTint="99"/>
        <w:insideH w:val="single" w:sz="4" w:space="0" w:color="37FFD8" w:themeColor="accent2" w:themeTint="99"/>
      </w:tblBorders>
    </w:tblPr>
    <w:tblStylePr w:type="firstRow">
      <w:rPr>
        <w:b/>
        <w:bCs/>
        <w:color w:val="FFFFFF" w:themeColor="background1"/>
      </w:rPr>
      <w:tblPr/>
      <w:tcPr>
        <w:tcBorders>
          <w:top w:val="single" w:sz="4" w:space="0" w:color="00B18F" w:themeColor="accent2"/>
          <w:left w:val="single" w:sz="4" w:space="0" w:color="00B18F" w:themeColor="accent2"/>
          <w:bottom w:val="single" w:sz="4" w:space="0" w:color="00B18F" w:themeColor="accent2"/>
          <w:right w:val="single" w:sz="4" w:space="0" w:color="00B18F" w:themeColor="accent2"/>
          <w:insideH w:val="nil"/>
        </w:tcBorders>
        <w:shd w:val="clear" w:color="auto" w:fill="00B18F" w:themeFill="accent2"/>
      </w:tcPr>
    </w:tblStylePr>
    <w:tblStylePr w:type="lastRow">
      <w:rPr>
        <w:b/>
        <w:bCs/>
      </w:rPr>
      <w:tblPr/>
      <w:tcPr>
        <w:tcBorders>
          <w:top w:val="double" w:sz="4" w:space="0" w:color="37FFD8" w:themeColor="accent2" w:themeTint="99"/>
        </w:tcBorders>
      </w:tcPr>
    </w:tblStylePr>
    <w:tblStylePr w:type="firstCol">
      <w:rPr>
        <w:b/>
        <w:bCs/>
      </w:rPr>
    </w:tblStylePr>
    <w:tblStylePr w:type="lastCol">
      <w:rPr>
        <w:b/>
        <w:bCs/>
      </w:rPr>
    </w:tblStylePr>
    <w:tblStylePr w:type="band1Vert">
      <w:tblPr/>
      <w:tcPr>
        <w:shd w:val="clear" w:color="auto" w:fill="BCFFF2" w:themeFill="accent2" w:themeFillTint="33"/>
      </w:tcPr>
    </w:tblStylePr>
    <w:tblStylePr w:type="band1Horz">
      <w:tblPr/>
      <w:tcPr>
        <w:shd w:val="clear" w:color="auto" w:fill="BCFFF2" w:themeFill="accent2" w:themeFillTint="33"/>
      </w:tcPr>
    </w:tblStylePr>
  </w:style>
  <w:style w:type="table" w:styleId="ListTable4-Accent3">
    <w:name w:val="List Table 4 Accent 3"/>
    <w:basedOn w:val="TableNormal"/>
    <w:uiPriority w:val="49"/>
    <w:rsid w:val="006633DE"/>
    <w:pPr>
      <w:spacing w:after="260" w:line="240" w:lineRule="auto"/>
    </w:pPr>
    <w:tblPr>
      <w:tblStyleRowBandSize w:val="1"/>
      <w:tblStyleColBandSize w:val="1"/>
      <w:tblBorders>
        <w:top w:val="single" w:sz="4" w:space="0" w:color="A1DFF1" w:themeColor="accent3" w:themeTint="99"/>
        <w:left w:val="single" w:sz="4" w:space="0" w:color="A1DFF1" w:themeColor="accent3" w:themeTint="99"/>
        <w:bottom w:val="single" w:sz="4" w:space="0" w:color="A1DFF1" w:themeColor="accent3" w:themeTint="99"/>
        <w:right w:val="single" w:sz="4" w:space="0" w:color="A1DFF1" w:themeColor="accent3" w:themeTint="99"/>
        <w:insideH w:val="single" w:sz="4" w:space="0" w:color="A1DFF1" w:themeColor="accent3" w:themeTint="99"/>
      </w:tblBorders>
    </w:tblPr>
    <w:tblStylePr w:type="firstRow">
      <w:rPr>
        <w:b/>
        <w:bCs/>
        <w:color w:val="FFFFFF" w:themeColor="background1"/>
      </w:rPr>
      <w:tblPr/>
      <w:tcPr>
        <w:tcBorders>
          <w:top w:val="single" w:sz="4" w:space="0" w:color="64CBE8" w:themeColor="accent3"/>
          <w:left w:val="single" w:sz="4" w:space="0" w:color="64CBE8" w:themeColor="accent3"/>
          <w:bottom w:val="single" w:sz="4" w:space="0" w:color="64CBE8" w:themeColor="accent3"/>
          <w:right w:val="single" w:sz="4" w:space="0" w:color="64CBE8" w:themeColor="accent3"/>
          <w:insideH w:val="nil"/>
        </w:tcBorders>
        <w:shd w:val="clear" w:color="auto" w:fill="64CBE8" w:themeFill="accent3"/>
      </w:tcPr>
    </w:tblStylePr>
    <w:tblStylePr w:type="lastRow">
      <w:rPr>
        <w:b/>
        <w:bCs/>
      </w:rPr>
      <w:tblPr/>
      <w:tcPr>
        <w:tcBorders>
          <w:top w:val="double" w:sz="4" w:space="0" w:color="A1DFF1" w:themeColor="accent3" w:themeTint="99"/>
        </w:tcBorders>
      </w:tcPr>
    </w:tblStylePr>
    <w:tblStylePr w:type="firstCol">
      <w:rPr>
        <w:b/>
        <w:bCs/>
      </w:rPr>
    </w:tblStylePr>
    <w:tblStylePr w:type="lastCol">
      <w:rPr>
        <w:b/>
        <w:bCs/>
      </w:rPr>
    </w:tblStylePr>
    <w:tblStylePr w:type="band1Vert">
      <w:tblPr/>
      <w:tcPr>
        <w:shd w:val="clear" w:color="auto" w:fill="DFF4FA" w:themeFill="accent3" w:themeFillTint="33"/>
      </w:tcPr>
    </w:tblStylePr>
    <w:tblStylePr w:type="band1Horz">
      <w:tblPr/>
      <w:tcPr>
        <w:shd w:val="clear" w:color="auto" w:fill="DFF4FA" w:themeFill="accent3" w:themeFillTint="33"/>
      </w:tcPr>
    </w:tblStylePr>
  </w:style>
  <w:style w:type="table" w:styleId="ListTable4-Accent4">
    <w:name w:val="List Table 4 Accent 4"/>
    <w:basedOn w:val="TableNormal"/>
    <w:uiPriority w:val="49"/>
    <w:rsid w:val="006633DE"/>
    <w:pPr>
      <w:spacing w:after="260" w:line="240" w:lineRule="auto"/>
    </w:pPr>
    <w:tblPr>
      <w:tblStyleRowBandSize w:val="1"/>
      <w:tblStyleColBandSize w:val="1"/>
      <w:tblBorders>
        <w:top w:val="single" w:sz="4" w:space="0" w:color="1694FF" w:themeColor="accent4" w:themeTint="99"/>
        <w:left w:val="single" w:sz="4" w:space="0" w:color="1694FF" w:themeColor="accent4" w:themeTint="99"/>
        <w:bottom w:val="single" w:sz="4" w:space="0" w:color="1694FF" w:themeColor="accent4" w:themeTint="99"/>
        <w:right w:val="single" w:sz="4" w:space="0" w:color="1694FF" w:themeColor="accent4" w:themeTint="99"/>
        <w:insideH w:val="single" w:sz="4" w:space="0" w:color="1694FF" w:themeColor="accent4" w:themeTint="99"/>
      </w:tblBorders>
    </w:tblPr>
    <w:tblStylePr w:type="firstRow">
      <w:rPr>
        <w:b/>
        <w:bCs/>
        <w:color w:val="FFFFFF" w:themeColor="background1"/>
      </w:rPr>
      <w:tblPr/>
      <w:tcPr>
        <w:tcBorders>
          <w:top w:val="single" w:sz="4" w:space="0" w:color="00437B" w:themeColor="accent4"/>
          <w:left w:val="single" w:sz="4" w:space="0" w:color="00437B" w:themeColor="accent4"/>
          <w:bottom w:val="single" w:sz="4" w:space="0" w:color="00437B" w:themeColor="accent4"/>
          <w:right w:val="single" w:sz="4" w:space="0" w:color="00437B" w:themeColor="accent4"/>
          <w:insideH w:val="nil"/>
        </w:tcBorders>
        <w:shd w:val="clear" w:color="auto" w:fill="00437B" w:themeFill="accent4"/>
      </w:tcPr>
    </w:tblStylePr>
    <w:tblStylePr w:type="lastRow">
      <w:rPr>
        <w:b/>
        <w:bCs/>
      </w:rPr>
      <w:tblPr/>
      <w:tcPr>
        <w:tcBorders>
          <w:top w:val="double" w:sz="4" w:space="0" w:color="1694FF" w:themeColor="accent4" w:themeTint="99"/>
        </w:tcBorders>
      </w:tcPr>
    </w:tblStylePr>
    <w:tblStylePr w:type="firstCol">
      <w:rPr>
        <w:b/>
        <w:bCs/>
      </w:rPr>
    </w:tblStylePr>
    <w:tblStylePr w:type="lastCol">
      <w:rPr>
        <w:b/>
        <w:bCs/>
      </w:rPr>
    </w:tblStylePr>
    <w:tblStylePr w:type="band1Vert">
      <w:tblPr/>
      <w:tcPr>
        <w:shd w:val="clear" w:color="auto" w:fill="B1DBFF" w:themeFill="accent4" w:themeFillTint="33"/>
      </w:tcPr>
    </w:tblStylePr>
    <w:tblStylePr w:type="band1Horz">
      <w:tblPr/>
      <w:tcPr>
        <w:shd w:val="clear" w:color="auto" w:fill="B1DBFF" w:themeFill="accent4" w:themeFillTint="33"/>
      </w:tcPr>
    </w:tblStylePr>
  </w:style>
  <w:style w:type="table" w:styleId="ListTable4-Accent5">
    <w:name w:val="List Table 4 Accent 5"/>
    <w:basedOn w:val="TableNormal"/>
    <w:uiPriority w:val="49"/>
    <w:rsid w:val="006633DE"/>
    <w:pPr>
      <w:spacing w:after="260" w:line="240" w:lineRule="auto"/>
    </w:pPr>
    <w:tblPr>
      <w:tblStyleRowBandSize w:val="1"/>
      <w:tblStyleColBandSize w:val="1"/>
      <w:tblBorders>
        <w:top w:val="single" w:sz="4" w:space="0" w:color="FBDC69" w:themeColor="accent5" w:themeTint="99"/>
        <w:left w:val="single" w:sz="4" w:space="0" w:color="FBDC69" w:themeColor="accent5" w:themeTint="99"/>
        <w:bottom w:val="single" w:sz="4" w:space="0" w:color="FBDC69" w:themeColor="accent5" w:themeTint="99"/>
        <w:right w:val="single" w:sz="4" w:space="0" w:color="FBDC69" w:themeColor="accent5" w:themeTint="99"/>
        <w:insideH w:val="single" w:sz="4" w:space="0" w:color="FBDC69" w:themeColor="accent5" w:themeTint="99"/>
      </w:tblBorders>
    </w:tblPr>
    <w:tblStylePr w:type="firstRow">
      <w:rPr>
        <w:b/>
        <w:bCs/>
        <w:color w:val="FFFFFF" w:themeColor="background1"/>
      </w:rPr>
      <w:tblPr/>
      <w:tcPr>
        <w:tcBorders>
          <w:top w:val="single" w:sz="4" w:space="0" w:color="F9C606" w:themeColor="accent5"/>
          <w:left w:val="single" w:sz="4" w:space="0" w:color="F9C606" w:themeColor="accent5"/>
          <w:bottom w:val="single" w:sz="4" w:space="0" w:color="F9C606" w:themeColor="accent5"/>
          <w:right w:val="single" w:sz="4" w:space="0" w:color="F9C606" w:themeColor="accent5"/>
          <w:insideH w:val="nil"/>
        </w:tcBorders>
        <w:shd w:val="clear" w:color="auto" w:fill="F9C606" w:themeFill="accent5"/>
      </w:tcPr>
    </w:tblStylePr>
    <w:tblStylePr w:type="lastRow">
      <w:rPr>
        <w:b/>
        <w:bCs/>
      </w:rPr>
      <w:tblPr/>
      <w:tcPr>
        <w:tcBorders>
          <w:top w:val="double" w:sz="4" w:space="0" w:color="FBDC69" w:themeColor="accent5" w:themeTint="99"/>
        </w:tcBorders>
      </w:tcPr>
    </w:tblStylePr>
    <w:tblStylePr w:type="firstCol">
      <w:rPr>
        <w:b/>
        <w:bCs/>
      </w:rPr>
    </w:tblStylePr>
    <w:tblStylePr w:type="lastCol">
      <w:rPr>
        <w:b/>
        <w:bCs/>
      </w:rPr>
    </w:tblStylePr>
    <w:tblStylePr w:type="band1Vert">
      <w:tblPr/>
      <w:tcPr>
        <w:shd w:val="clear" w:color="auto" w:fill="FDF3CD" w:themeFill="accent5" w:themeFillTint="33"/>
      </w:tcPr>
    </w:tblStylePr>
    <w:tblStylePr w:type="band1Horz">
      <w:tblPr/>
      <w:tcPr>
        <w:shd w:val="clear" w:color="auto" w:fill="FDF3CD" w:themeFill="accent5" w:themeFillTint="33"/>
      </w:tcPr>
    </w:tblStylePr>
  </w:style>
  <w:style w:type="table" w:styleId="ListTable4-Accent6">
    <w:name w:val="List Table 4 Accent 6"/>
    <w:basedOn w:val="TableNormal"/>
    <w:uiPriority w:val="49"/>
    <w:rsid w:val="006633DE"/>
    <w:pPr>
      <w:spacing w:after="260" w:line="240" w:lineRule="auto"/>
    </w:pPr>
    <w:tblPr>
      <w:tblStyleRowBandSize w:val="1"/>
      <w:tblStyleColBandSize w:val="1"/>
      <w:tblBorders>
        <w:top w:val="single" w:sz="4" w:space="0" w:color="DBE781" w:themeColor="accent6" w:themeTint="99"/>
        <w:left w:val="single" w:sz="4" w:space="0" w:color="DBE781" w:themeColor="accent6" w:themeTint="99"/>
        <w:bottom w:val="single" w:sz="4" w:space="0" w:color="DBE781" w:themeColor="accent6" w:themeTint="99"/>
        <w:right w:val="single" w:sz="4" w:space="0" w:color="DBE781" w:themeColor="accent6" w:themeTint="99"/>
        <w:insideH w:val="single" w:sz="4" w:space="0" w:color="DBE781" w:themeColor="accent6" w:themeTint="99"/>
      </w:tblBorders>
    </w:tblPr>
    <w:tblStylePr w:type="firstRow">
      <w:rPr>
        <w:b/>
        <w:bCs/>
        <w:color w:val="FFFFFF" w:themeColor="background1"/>
      </w:rPr>
      <w:tblPr/>
      <w:tcPr>
        <w:tcBorders>
          <w:top w:val="single" w:sz="4" w:space="0" w:color="C4D82E" w:themeColor="accent6"/>
          <w:left w:val="single" w:sz="4" w:space="0" w:color="C4D82E" w:themeColor="accent6"/>
          <w:bottom w:val="single" w:sz="4" w:space="0" w:color="C4D82E" w:themeColor="accent6"/>
          <w:right w:val="single" w:sz="4" w:space="0" w:color="C4D82E" w:themeColor="accent6"/>
          <w:insideH w:val="nil"/>
        </w:tcBorders>
        <w:shd w:val="clear" w:color="auto" w:fill="C4D82E" w:themeFill="accent6"/>
      </w:tcPr>
    </w:tblStylePr>
    <w:tblStylePr w:type="lastRow">
      <w:rPr>
        <w:b/>
        <w:bCs/>
      </w:rPr>
      <w:tblPr/>
      <w:tcPr>
        <w:tcBorders>
          <w:top w:val="double" w:sz="4" w:space="0" w:color="DBE781" w:themeColor="accent6" w:themeTint="99"/>
        </w:tcBorders>
      </w:tcPr>
    </w:tblStylePr>
    <w:tblStylePr w:type="firstCol">
      <w:rPr>
        <w:b/>
        <w:bCs/>
      </w:rPr>
    </w:tblStylePr>
    <w:tblStylePr w:type="lastCol">
      <w:rPr>
        <w:b/>
        <w:bCs/>
      </w:rPr>
    </w:tblStylePr>
    <w:tblStylePr w:type="band1Vert">
      <w:tblPr/>
      <w:tcPr>
        <w:shd w:val="clear" w:color="auto" w:fill="F3F7D5" w:themeFill="accent6" w:themeFillTint="33"/>
      </w:tcPr>
    </w:tblStylePr>
    <w:tblStylePr w:type="band1Horz">
      <w:tblPr/>
      <w:tcPr>
        <w:shd w:val="clear" w:color="auto" w:fill="F3F7D5" w:themeFill="accent6" w:themeFillTint="33"/>
      </w:tcPr>
    </w:tblStylePr>
  </w:style>
  <w:style w:type="table" w:styleId="ListTable5Dark">
    <w:name w:val="List Table 5 Dark"/>
    <w:basedOn w:val="TableNormal"/>
    <w:uiPriority w:val="50"/>
    <w:rsid w:val="006633DE"/>
    <w:pPr>
      <w:spacing w:after="26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6633DE"/>
    <w:pPr>
      <w:spacing w:after="260" w:line="240" w:lineRule="auto"/>
    </w:pPr>
    <w:rPr>
      <w:color w:val="FFFFFF" w:themeColor="background1"/>
    </w:rPr>
    <w:tblPr>
      <w:tblStyleRowBandSize w:val="1"/>
      <w:tblStyleColBandSize w:val="1"/>
      <w:tblBorders>
        <w:top w:val="single" w:sz="24" w:space="0" w:color="4B2884" w:themeColor="accent1"/>
        <w:left w:val="single" w:sz="24" w:space="0" w:color="4B2884" w:themeColor="accent1"/>
        <w:bottom w:val="single" w:sz="24" w:space="0" w:color="4B2884" w:themeColor="accent1"/>
        <w:right w:val="single" w:sz="24" w:space="0" w:color="4B2884" w:themeColor="accent1"/>
      </w:tblBorders>
    </w:tblPr>
    <w:tcPr>
      <w:shd w:val="clear" w:color="auto" w:fill="4B288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6633DE"/>
    <w:pPr>
      <w:spacing w:after="260" w:line="240" w:lineRule="auto"/>
    </w:pPr>
    <w:rPr>
      <w:color w:val="FFFFFF" w:themeColor="background1"/>
    </w:rPr>
    <w:tblPr>
      <w:tblStyleRowBandSize w:val="1"/>
      <w:tblStyleColBandSize w:val="1"/>
      <w:tblBorders>
        <w:top w:val="single" w:sz="24" w:space="0" w:color="00B18F" w:themeColor="accent2"/>
        <w:left w:val="single" w:sz="24" w:space="0" w:color="00B18F" w:themeColor="accent2"/>
        <w:bottom w:val="single" w:sz="24" w:space="0" w:color="00B18F" w:themeColor="accent2"/>
        <w:right w:val="single" w:sz="24" w:space="0" w:color="00B18F" w:themeColor="accent2"/>
      </w:tblBorders>
    </w:tblPr>
    <w:tcPr>
      <w:shd w:val="clear" w:color="auto" w:fill="00B18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6633DE"/>
    <w:pPr>
      <w:spacing w:after="260" w:line="240" w:lineRule="auto"/>
    </w:pPr>
    <w:rPr>
      <w:color w:val="FFFFFF" w:themeColor="background1"/>
    </w:rPr>
    <w:tblPr>
      <w:tblStyleRowBandSize w:val="1"/>
      <w:tblStyleColBandSize w:val="1"/>
      <w:tblBorders>
        <w:top w:val="single" w:sz="24" w:space="0" w:color="64CBE8" w:themeColor="accent3"/>
        <w:left w:val="single" w:sz="24" w:space="0" w:color="64CBE8" w:themeColor="accent3"/>
        <w:bottom w:val="single" w:sz="24" w:space="0" w:color="64CBE8" w:themeColor="accent3"/>
        <w:right w:val="single" w:sz="24" w:space="0" w:color="64CBE8" w:themeColor="accent3"/>
      </w:tblBorders>
    </w:tblPr>
    <w:tcPr>
      <w:shd w:val="clear" w:color="auto" w:fill="64CBE8"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6633DE"/>
    <w:pPr>
      <w:spacing w:after="260" w:line="240" w:lineRule="auto"/>
    </w:pPr>
    <w:rPr>
      <w:color w:val="FFFFFF" w:themeColor="background1"/>
    </w:rPr>
    <w:tblPr>
      <w:tblStyleRowBandSize w:val="1"/>
      <w:tblStyleColBandSize w:val="1"/>
      <w:tblBorders>
        <w:top w:val="single" w:sz="24" w:space="0" w:color="00437B" w:themeColor="accent4"/>
        <w:left w:val="single" w:sz="24" w:space="0" w:color="00437B" w:themeColor="accent4"/>
        <w:bottom w:val="single" w:sz="24" w:space="0" w:color="00437B" w:themeColor="accent4"/>
        <w:right w:val="single" w:sz="24" w:space="0" w:color="00437B" w:themeColor="accent4"/>
      </w:tblBorders>
    </w:tblPr>
    <w:tcPr>
      <w:shd w:val="clear" w:color="auto" w:fill="00437B"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6633DE"/>
    <w:pPr>
      <w:spacing w:after="260" w:line="240" w:lineRule="auto"/>
    </w:pPr>
    <w:rPr>
      <w:color w:val="FFFFFF" w:themeColor="background1"/>
    </w:rPr>
    <w:tblPr>
      <w:tblStyleRowBandSize w:val="1"/>
      <w:tblStyleColBandSize w:val="1"/>
      <w:tblBorders>
        <w:top w:val="single" w:sz="24" w:space="0" w:color="F9C606" w:themeColor="accent5"/>
        <w:left w:val="single" w:sz="24" w:space="0" w:color="F9C606" w:themeColor="accent5"/>
        <w:bottom w:val="single" w:sz="24" w:space="0" w:color="F9C606" w:themeColor="accent5"/>
        <w:right w:val="single" w:sz="24" w:space="0" w:color="F9C606" w:themeColor="accent5"/>
      </w:tblBorders>
    </w:tblPr>
    <w:tcPr>
      <w:shd w:val="clear" w:color="auto" w:fill="F9C60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6633DE"/>
    <w:pPr>
      <w:spacing w:after="260" w:line="240" w:lineRule="auto"/>
    </w:pPr>
    <w:rPr>
      <w:color w:val="FFFFFF" w:themeColor="background1"/>
    </w:rPr>
    <w:tblPr>
      <w:tblStyleRowBandSize w:val="1"/>
      <w:tblStyleColBandSize w:val="1"/>
      <w:tblBorders>
        <w:top w:val="single" w:sz="24" w:space="0" w:color="C4D82E" w:themeColor="accent6"/>
        <w:left w:val="single" w:sz="24" w:space="0" w:color="C4D82E" w:themeColor="accent6"/>
        <w:bottom w:val="single" w:sz="24" w:space="0" w:color="C4D82E" w:themeColor="accent6"/>
        <w:right w:val="single" w:sz="24" w:space="0" w:color="C4D82E" w:themeColor="accent6"/>
      </w:tblBorders>
    </w:tblPr>
    <w:tcPr>
      <w:shd w:val="clear" w:color="auto" w:fill="C4D82E"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6633DE"/>
    <w:pPr>
      <w:spacing w:after="26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6633DE"/>
    <w:pPr>
      <w:spacing w:after="260" w:line="240" w:lineRule="auto"/>
    </w:pPr>
    <w:rPr>
      <w:color w:val="381E62" w:themeColor="accent1" w:themeShade="BF"/>
    </w:rPr>
    <w:tblPr>
      <w:tblStyleRowBandSize w:val="1"/>
      <w:tblStyleColBandSize w:val="1"/>
      <w:tblBorders>
        <w:top w:val="single" w:sz="4" w:space="0" w:color="4B2884" w:themeColor="accent1"/>
        <w:bottom w:val="single" w:sz="4" w:space="0" w:color="4B2884" w:themeColor="accent1"/>
      </w:tblBorders>
    </w:tblPr>
    <w:tblStylePr w:type="firstRow">
      <w:rPr>
        <w:b/>
        <w:bCs/>
      </w:rPr>
      <w:tblPr/>
      <w:tcPr>
        <w:tcBorders>
          <w:bottom w:val="single" w:sz="4" w:space="0" w:color="4B2884" w:themeColor="accent1"/>
        </w:tcBorders>
      </w:tcPr>
    </w:tblStylePr>
    <w:tblStylePr w:type="lastRow">
      <w:rPr>
        <w:b/>
        <w:bCs/>
      </w:rPr>
      <w:tblPr/>
      <w:tcPr>
        <w:tcBorders>
          <w:top w:val="double" w:sz="4" w:space="0" w:color="4B2884" w:themeColor="accent1"/>
        </w:tcBorders>
      </w:tcPr>
    </w:tblStylePr>
    <w:tblStylePr w:type="firstCol">
      <w:rPr>
        <w:b/>
        <w:bCs/>
      </w:rPr>
    </w:tblStylePr>
    <w:tblStylePr w:type="lastCol">
      <w:rPr>
        <w:b/>
        <w:bCs/>
      </w:rPr>
    </w:tblStylePr>
    <w:tblStylePr w:type="band1Vert">
      <w:tblPr/>
      <w:tcPr>
        <w:shd w:val="clear" w:color="auto" w:fill="D8CBEF" w:themeFill="accent1" w:themeFillTint="33"/>
      </w:tcPr>
    </w:tblStylePr>
    <w:tblStylePr w:type="band1Horz">
      <w:tblPr/>
      <w:tcPr>
        <w:shd w:val="clear" w:color="auto" w:fill="D8CBEF" w:themeFill="accent1" w:themeFillTint="33"/>
      </w:tcPr>
    </w:tblStylePr>
  </w:style>
  <w:style w:type="table" w:styleId="ListTable6Colorful-Accent2">
    <w:name w:val="List Table 6 Colorful Accent 2"/>
    <w:basedOn w:val="TableNormal"/>
    <w:uiPriority w:val="51"/>
    <w:rsid w:val="006633DE"/>
    <w:pPr>
      <w:spacing w:after="260" w:line="240" w:lineRule="auto"/>
    </w:pPr>
    <w:rPr>
      <w:color w:val="00846A" w:themeColor="accent2" w:themeShade="BF"/>
    </w:rPr>
    <w:tblPr>
      <w:tblStyleRowBandSize w:val="1"/>
      <w:tblStyleColBandSize w:val="1"/>
      <w:tblBorders>
        <w:top w:val="single" w:sz="4" w:space="0" w:color="00B18F" w:themeColor="accent2"/>
        <w:bottom w:val="single" w:sz="4" w:space="0" w:color="00B18F" w:themeColor="accent2"/>
      </w:tblBorders>
    </w:tblPr>
    <w:tblStylePr w:type="firstRow">
      <w:rPr>
        <w:b/>
        <w:bCs/>
      </w:rPr>
      <w:tblPr/>
      <w:tcPr>
        <w:tcBorders>
          <w:bottom w:val="single" w:sz="4" w:space="0" w:color="00B18F" w:themeColor="accent2"/>
        </w:tcBorders>
      </w:tcPr>
    </w:tblStylePr>
    <w:tblStylePr w:type="lastRow">
      <w:rPr>
        <w:b/>
        <w:bCs/>
      </w:rPr>
      <w:tblPr/>
      <w:tcPr>
        <w:tcBorders>
          <w:top w:val="double" w:sz="4" w:space="0" w:color="00B18F" w:themeColor="accent2"/>
        </w:tcBorders>
      </w:tcPr>
    </w:tblStylePr>
    <w:tblStylePr w:type="firstCol">
      <w:rPr>
        <w:b/>
        <w:bCs/>
      </w:rPr>
    </w:tblStylePr>
    <w:tblStylePr w:type="lastCol">
      <w:rPr>
        <w:b/>
        <w:bCs/>
      </w:rPr>
    </w:tblStylePr>
    <w:tblStylePr w:type="band1Vert">
      <w:tblPr/>
      <w:tcPr>
        <w:shd w:val="clear" w:color="auto" w:fill="BCFFF2" w:themeFill="accent2" w:themeFillTint="33"/>
      </w:tcPr>
    </w:tblStylePr>
    <w:tblStylePr w:type="band1Horz">
      <w:tblPr/>
      <w:tcPr>
        <w:shd w:val="clear" w:color="auto" w:fill="BCFFF2" w:themeFill="accent2" w:themeFillTint="33"/>
      </w:tcPr>
    </w:tblStylePr>
  </w:style>
  <w:style w:type="table" w:styleId="ListTable6Colorful-Accent3">
    <w:name w:val="List Table 6 Colorful Accent 3"/>
    <w:basedOn w:val="TableNormal"/>
    <w:uiPriority w:val="51"/>
    <w:rsid w:val="006633DE"/>
    <w:pPr>
      <w:spacing w:after="260" w:line="240" w:lineRule="auto"/>
    </w:pPr>
    <w:rPr>
      <w:color w:val="20AFD8" w:themeColor="accent3" w:themeShade="BF"/>
    </w:rPr>
    <w:tblPr>
      <w:tblStyleRowBandSize w:val="1"/>
      <w:tblStyleColBandSize w:val="1"/>
      <w:tblBorders>
        <w:top w:val="single" w:sz="4" w:space="0" w:color="64CBE8" w:themeColor="accent3"/>
        <w:bottom w:val="single" w:sz="4" w:space="0" w:color="64CBE8" w:themeColor="accent3"/>
      </w:tblBorders>
    </w:tblPr>
    <w:tblStylePr w:type="firstRow">
      <w:rPr>
        <w:b/>
        <w:bCs/>
      </w:rPr>
      <w:tblPr/>
      <w:tcPr>
        <w:tcBorders>
          <w:bottom w:val="single" w:sz="4" w:space="0" w:color="64CBE8" w:themeColor="accent3"/>
        </w:tcBorders>
      </w:tcPr>
    </w:tblStylePr>
    <w:tblStylePr w:type="lastRow">
      <w:rPr>
        <w:b/>
        <w:bCs/>
      </w:rPr>
      <w:tblPr/>
      <w:tcPr>
        <w:tcBorders>
          <w:top w:val="double" w:sz="4" w:space="0" w:color="64CBE8" w:themeColor="accent3"/>
        </w:tcBorders>
      </w:tcPr>
    </w:tblStylePr>
    <w:tblStylePr w:type="firstCol">
      <w:rPr>
        <w:b/>
        <w:bCs/>
      </w:rPr>
    </w:tblStylePr>
    <w:tblStylePr w:type="lastCol">
      <w:rPr>
        <w:b/>
        <w:bCs/>
      </w:rPr>
    </w:tblStylePr>
    <w:tblStylePr w:type="band1Vert">
      <w:tblPr/>
      <w:tcPr>
        <w:shd w:val="clear" w:color="auto" w:fill="DFF4FA" w:themeFill="accent3" w:themeFillTint="33"/>
      </w:tcPr>
    </w:tblStylePr>
    <w:tblStylePr w:type="band1Horz">
      <w:tblPr/>
      <w:tcPr>
        <w:shd w:val="clear" w:color="auto" w:fill="DFF4FA" w:themeFill="accent3" w:themeFillTint="33"/>
      </w:tcPr>
    </w:tblStylePr>
  </w:style>
  <w:style w:type="table" w:styleId="ListTable6Colorful-Accent4">
    <w:name w:val="List Table 6 Colorful Accent 4"/>
    <w:basedOn w:val="TableNormal"/>
    <w:uiPriority w:val="51"/>
    <w:rsid w:val="006633DE"/>
    <w:pPr>
      <w:spacing w:after="260" w:line="240" w:lineRule="auto"/>
    </w:pPr>
    <w:rPr>
      <w:color w:val="00315C" w:themeColor="accent4" w:themeShade="BF"/>
    </w:rPr>
    <w:tblPr>
      <w:tblStyleRowBandSize w:val="1"/>
      <w:tblStyleColBandSize w:val="1"/>
      <w:tblBorders>
        <w:top w:val="single" w:sz="4" w:space="0" w:color="00437B" w:themeColor="accent4"/>
        <w:bottom w:val="single" w:sz="4" w:space="0" w:color="00437B" w:themeColor="accent4"/>
      </w:tblBorders>
    </w:tblPr>
    <w:tblStylePr w:type="firstRow">
      <w:rPr>
        <w:b/>
        <w:bCs/>
      </w:rPr>
      <w:tblPr/>
      <w:tcPr>
        <w:tcBorders>
          <w:bottom w:val="single" w:sz="4" w:space="0" w:color="00437B" w:themeColor="accent4"/>
        </w:tcBorders>
      </w:tcPr>
    </w:tblStylePr>
    <w:tblStylePr w:type="lastRow">
      <w:rPr>
        <w:b/>
        <w:bCs/>
      </w:rPr>
      <w:tblPr/>
      <w:tcPr>
        <w:tcBorders>
          <w:top w:val="double" w:sz="4" w:space="0" w:color="00437B" w:themeColor="accent4"/>
        </w:tcBorders>
      </w:tcPr>
    </w:tblStylePr>
    <w:tblStylePr w:type="firstCol">
      <w:rPr>
        <w:b/>
        <w:bCs/>
      </w:rPr>
    </w:tblStylePr>
    <w:tblStylePr w:type="lastCol">
      <w:rPr>
        <w:b/>
        <w:bCs/>
      </w:rPr>
    </w:tblStylePr>
    <w:tblStylePr w:type="band1Vert">
      <w:tblPr/>
      <w:tcPr>
        <w:shd w:val="clear" w:color="auto" w:fill="B1DBFF" w:themeFill="accent4" w:themeFillTint="33"/>
      </w:tcPr>
    </w:tblStylePr>
    <w:tblStylePr w:type="band1Horz">
      <w:tblPr/>
      <w:tcPr>
        <w:shd w:val="clear" w:color="auto" w:fill="B1DBFF" w:themeFill="accent4" w:themeFillTint="33"/>
      </w:tcPr>
    </w:tblStylePr>
  </w:style>
  <w:style w:type="table" w:styleId="ListTable6Colorful-Accent5">
    <w:name w:val="List Table 6 Colorful Accent 5"/>
    <w:basedOn w:val="TableNormal"/>
    <w:uiPriority w:val="51"/>
    <w:rsid w:val="006633DE"/>
    <w:pPr>
      <w:spacing w:after="260" w:line="240" w:lineRule="auto"/>
    </w:pPr>
    <w:rPr>
      <w:color w:val="BA9304" w:themeColor="accent5" w:themeShade="BF"/>
    </w:rPr>
    <w:tblPr>
      <w:tblStyleRowBandSize w:val="1"/>
      <w:tblStyleColBandSize w:val="1"/>
      <w:tblBorders>
        <w:top w:val="single" w:sz="4" w:space="0" w:color="F9C606" w:themeColor="accent5"/>
        <w:bottom w:val="single" w:sz="4" w:space="0" w:color="F9C606" w:themeColor="accent5"/>
      </w:tblBorders>
    </w:tblPr>
    <w:tblStylePr w:type="firstRow">
      <w:rPr>
        <w:b/>
        <w:bCs/>
      </w:rPr>
      <w:tblPr/>
      <w:tcPr>
        <w:tcBorders>
          <w:bottom w:val="single" w:sz="4" w:space="0" w:color="F9C606" w:themeColor="accent5"/>
        </w:tcBorders>
      </w:tcPr>
    </w:tblStylePr>
    <w:tblStylePr w:type="lastRow">
      <w:rPr>
        <w:b/>
        <w:bCs/>
      </w:rPr>
      <w:tblPr/>
      <w:tcPr>
        <w:tcBorders>
          <w:top w:val="double" w:sz="4" w:space="0" w:color="F9C606" w:themeColor="accent5"/>
        </w:tcBorders>
      </w:tcPr>
    </w:tblStylePr>
    <w:tblStylePr w:type="firstCol">
      <w:rPr>
        <w:b/>
        <w:bCs/>
      </w:rPr>
    </w:tblStylePr>
    <w:tblStylePr w:type="lastCol">
      <w:rPr>
        <w:b/>
        <w:bCs/>
      </w:rPr>
    </w:tblStylePr>
    <w:tblStylePr w:type="band1Vert">
      <w:tblPr/>
      <w:tcPr>
        <w:shd w:val="clear" w:color="auto" w:fill="FDF3CD" w:themeFill="accent5" w:themeFillTint="33"/>
      </w:tcPr>
    </w:tblStylePr>
    <w:tblStylePr w:type="band1Horz">
      <w:tblPr/>
      <w:tcPr>
        <w:shd w:val="clear" w:color="auto" w:fill="FDF3CD" w:themeFill="accent5" w:themeFillTint="33"/>
      </w:tcPr>
    </w:tblStylePr>
  </w:style>
  <w:style w:type="table" w:styleId="ListTable6Colorful-Accent6">
    <w:name w:val="List Table 6 Colorful Accent 6"/>
    <w:basedOn w:val="TableNormal"/>
    <w:uiPriority w:val="51"/>
    <w:rsid w:val="006633DE"/>
    <w:pPr>
      <w:spacing w:after="260" w:line="240" w:lineRule="auto"/>
    </w:pPr>
    <w:rPr>
      <w:color w:val="95A51F" w:themeColor="accent6" w:themeShade="BF"/>
    </w:rPr>
    <w:tblPr>
      <w:tblStyleRowBandSize w:val="1"/>
      <w:tblStyleColBandSize w:val="1"/>
      <w:tblBorders>
        <w:top w:val="single" w:sz="4" w:space="0" w:color="C4D82E" w:themeColor="accent6"/>
        <w:bottom w:val="single" w:sz="4" w:space="0" w:color="C4D82E" w:themeColor="accent6"/>
      </w:tblBorders>
    </w:tblPr>
    <w:tblStylePr w:type="firstRow">
      <w:rPr>
        <w:b/>
        <w:bCs/>
      </w:rPr>
      <w:tblPr/>
      <w:tcPr>
        <w:tcBorders>
          <w:bottom w:val="single" w:sz="4" w:space="0" w:color="C4D82E" w:themeColor="accent6"/>
        </w:tcBorders>
      </w:tcPr>
    </w:tblStylePr>
    <w:tblStylePr w:type="lastRow">
      <w:rPr>
        <w:b/>
        <w:bCs/>
      </w:rPr>
      <w:tblPr/>
      <w:tcPr>
        <w:tcBorders>
          <w:top w:val="double" w:sz="4" w:space="0" w:color="C4D82E" w:themeColor="accent6"/>
        </w:tcBorders>
      </w:tcPr>
    </w:tblStylePr>
    <w:tblStylePr w:type="firstCol">
      <w:rPr>
        <w:b/>
        <w:bCs/>
      </w:rPr>
    </w:tblStylePr>
    <w:tblStylePr w:type="lastCol">
      <w:rPr>
        <w:b/>
        <w:bCs/>
      </w:rPr>
    </w:tblStylePr>
    <w:tblStylePr w:type="band1Vert">
      <w:tblPr/>
      <w:tcPr>
        <w:shd w:val="clear" w:color="auto" w:fill="F3F7D5" w:themeFill="accent6" w:themeFillTint="33"/>
      </w:tcPr>
    </w:tblStylePr>
    <w:tblStylePr w:type="band1Horz">
      <w:tblPr/>
      <w:tcPr>
        <w:shd w:val="clear" w:color="auto" w:fill="F3F7D5" w:themeFill="accent6" w:themeFillTint="33"/>
      </w:tcPr>
    </w:tblStylePr>
  </w:style>
  <w:style w:type="table" w:styleId="ListTable7Colorful">
    <w:name w:val="List Table 7 Colorful"/>
    <w:basedOn w:val="TableNormal"/>
    <w:uiPriority w:val="52"/>
    <w:rsid w:val="006633DE"/>
    <w:pPr>
      <w:spacing w:after="26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6633DE"/>
    <w:pPr>
      <w:spacing w:after="260" w:line="240" w:lineRule="auto"/>
    </w:pPr>
    <w:rPr>
      <w:color w:val="381E62"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288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288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288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2884" w:themeColor="accent1"/>
        </w:tcBorders>
        <w:shd w:val="clear" w:color="auto" w:fill="FFFFFF" w:themeFill="background1"/>
      </w:tcPr>
    </w:tblStylePr>
    <w:tblStylePr w:type="band1Vert">
      <w:tblPr/>
      <w:tcPr>
        <w:shd w:val="clear" w:color="auto" w:fill="D8CBEF" w:themeFill="accent1" w:themeFillTint="33"/>
      </w:tcPr>
    </w:tblStylePr>
    <w:tblStylePr w:type="band1Horz">
      <w:tblPr/>
      <w:tcPr>
        <w:shd w:val="clear" w:color="auto" w:fill="D8CBE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6633DE"/>
    <w:pPr>
      <w:spacing w:after="260" w:line="240" w:lineRule="auto"/>
    </w:pPr>
    <w:rPr>
      <w:color w:val="00846A"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18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18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18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18F" w:themeColor="accent2"/>
        </w:tcBorders>
        <w:shd w:val="clear" w:color="auto" w:fill="FFFFFF" w:themeFill="background1"/>
      </w:tcPr>
    </w:tblStylePr>
    <w:tblStylePr w:type="band1Vert">
      <w:tblPr/>
      <w:tcPr>
        <w:shd w:val="clear" w:color="auto" w:fill="BCFFF2" w:themeFill="accent2" w:themeFillTint="33"/>
      </w:tcPr>
    </w:tblStylePr>
    <w:tblStylePr w:type="band1Horz">
      <w:tblPr/>
      <w:tcPr>
        <w:shd w:val="clear" w:color="auto" w:fill="BCFFF2"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6633DE"/>
    <w:pPr>
      <w:spacing w:after="260" w:line="240" w:lineRule="auto"/>
    </w:pPr>
    <w:rPr>
      <w:color w:val="20AFD8"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4CBE8"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4CBE8"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4CBE8"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4CBE8" w:themeColor="accent3"/>
        </w:tcBorders>
        <w:shd w:val="clear" w:color="auto" w:fill="FFFFFF" w:themeFill="background1"/>
      </w:tcPr>
    </w:tblStylePr>
    <w:tblStylePr w:type="band1Vert">
      <w:tblPr/>
      <w:tcPr>
        <w:shd w:val="clear" w:color="auto" w:fill="DFF4FA" w:themeFill="accent3" w:themeFillTint="33"/>
      </w:tcPr>
    </w:tblStylePr>
    <w:tblStylePr w:type="band1Horz">
      <w:tblPr/>
      <w:tcPr>
        <w:shd w:val="clear" w:color="auto" w:fill="DFF4FA"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6633DE"/>
    <w:pPr>
      <w:spacing w:after="260" w:line="240" w:lineRule="auto"/>
    </w:pPr>
    <w:rPr>
      <w:color w:val="00315C"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437B"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437B"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437B"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437B" w:themeColor="accent4"/>
        </w:tcBorders>
        <w:shd w:val="clear" w:color="auto" w:fill="FFFFFF" w:themeFill="background1"/>
      </w:tcPr>
    </w:tblStylePr>
    <w:tblStylePr w:type="band1Vert">
      <w:tblPr/>
      <w:tcPr>
        <w:shd w:val="clear" w:color="auto" w:fill="B1DBFF" w:themeFill="accent4" w:themeFillTint="33"/>
      </w:tcPr>
    </w:tblStylePr>
    <w:tblStylePr w:type="band1Horz">
      <w:tblPr/>
      <w:tcPr>
        <w:shd w:val="clear" w:color="auto" w:fill="B1DBFF"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6633DE"/>
    <w:pPr>
      <w:spacing w:after="260" w:line="240" w:lineRule="auto"/>
    </w:pPr>
    <w:rPr>
      <w:color w:val="BA9304"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9C60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9C60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9C60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9C606" w:themeColor="accent5"/>
        </w:tcBorders>
        <w:shd w:val="clear" w:color="auto" w:fill="FFFFFF" w:themeFill="background1"/>
      </w:tcPr>
    </w:tblStylePr>
    <w:tblStylePr w:type="band1Vert">
      <w:tblPr/>
      <w:tcPr>
        <w:shd w:val="clear" w:color="auto" w:fill="FDF3CD" w:themeFill="accent5" w:themeFillTint="33"/>
      </w:tcPr>
    </w:tblStylePr>
    <w:tblStylePr w:type="band1Horz">
      <w:tblPr/>
      <w:tcPr>
        <w:shd w:val="clear" w:color="auto" w:fill="FDF3CD"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6633DE"/>
    <w:pPr>
      <w:spacing w:after="260" w:line="240" w:lineRule="auto"/>
    </w:pPr>
    <w:rPr>
      <w:color w:val="95A51F"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4D82E"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4D82E"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4D82E"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4D82E" w:themeColor="accent6"/>
        </w:tcBorders>
        <w:shd w:val="clear" w:color="auto" w:fill="FFFFFF" w:themeFill="background1"/>
      </w:tcPr>
    </w:tblStylePr>
    <w:tblStylePr w:type="band1Vert">
      <w:tblPr/>
      <w:tcPr>
        <w:shd w:val="clear" w:color="auto" w:fill="F3F7D5" w:themeFill="accent6" w:themeFillTint="33"/>
      </w:tcPr>
    </w:tblStylePr>
    <w:tblStylePr w:type="band1Horz">
      <w:tblPr/>
      <w:tcPr>
        <w:shd w:val="clear" w:color="auto" w:fill="F3F7D5"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rsid w:val="006633DE"/>
    <w:pPr>
      <w:tabs>
        <w:tab w:val="left" w:pos="480"/>
        <w:tab w:val="left" w:pos="960"/>
        <w:tab w:val="left" w:pos="1440"/>
        <w:tab w:val="left" w:pos="1920"/>
        <w:tab w:val="left" w:pos="2400"/>
        <w:tab w:val="left" w:pos="2880"/>
        <w:tab w:val="left" w:pos="3360"/>
        <w:tab w:val="left" w:pos="3840"/>
        <w:tab w:val="left" w:pos="4320"/>
      </w:tabs>
      <w:spacing w:after="260"/>
    </w:pPr>
    <w:rPr>
      <w:rFonts w:ascii="Consolas" w:hAnsi="Consolas"/>
      <w:lang w:val="en-AU"/>
    </w:rPr>
  </w:style>
  <w:style w:type="character" w:customStyle="1" w:styleId="MacroTextChar">
    <w:name w:val="Macro Text Char"/>
    <w:basedOn w:val="DefaultParagraphFont"/>
    <w:link w:val="MacroText"/>
    <w:uiPriority w:val="99"/>
    <w:semiHidden/>
    <w:rsid w:val="006633DE"/>
    <w:rPr>
      <w:rFonts w:ascii="Consolas" w:hAnsi="Consolas"/>
      <w:lang w:val="en-AU"/>
    </w:rPr>
  </w:style>
  <w:style w:type="table" w:styleId="MediumGrid1">
    <w:name w:val="Medium Grid 1"/>
    <w:basedOn w:val="TableNormal"/>
    <w:uiPriority w:val="67"/>
    <w:semiHidden/>
    <w:unhideWhenUsed/>
    <w:rsid w:val="006633DE"/>
    <w:pPr>
      <w:spacing w:after="26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6633DE"/>
    <w:pPr>
      <w:spacing w:after="260" w:line="240" w:lineRule="auto"/>
    </w:pPr>
    <w:tblPr>
      <w:tblStyleRowBandSize w:val="1"/>
      <w:tblStyleColBandSize w:val="1"/>
      <w:tblBorders>
        <w:top w:val="single" w:sz="8" w:space="0" w:color="703CC4" w:themeColor="accent1" w:themeTint="BF"/>
        <w:left w:val="single" w:sz="8" w:space="0" w:color="703CC4" w:themeColor="accent1" w:themeTint="BF"/>
        <w:bottom w:val="single" w:sz="8" w:space="0" w:color="703CC4" w:themeColor="accent1" w:themeTint="BF"/>
        <w:right w:val="single" w:sz="8" w:space="0" w:color="703CC4" w:themeColor="accent1" w:themeTint="BF"/>
        <w:insideH w:val="single" w:sz="8" w:space="0" w:color="703CC4" w:themeColor="accent1" w:themeTint="BF"/>
        <w:insideV w:val="single" w:sz="8" w:space="0" w:color="703CC4" w:themeColor="accent1" w:themeTint="BF"/>
      </w:tblBorders>
    </w:tblPr>
    <w:tcPr>
      <w:shd w:val="clear" w:color="auto" w:fill="CFBEEB" w:themeFill="accent1" w:themeFillTint="3F"/>
    </w:tcPr>
    <w:tblStylePr w:type="firstRow">
      <w:rPr>
        <w:b/>
        <w:bCs/>
      </w:rPr>
    </w:tblStylePr>
    <w:tblStylePr w:type="lastRow">
      <w:rPr>
        <w:b/>
        <w:bCs/>
      </w:rPr>
      <w:tblPr/>
      <w:tcPr>
        <w:tcBorders>
          <w:top w:val="single" w:sz="18" w:space="0" w:color="703CC4" w:themeColor="accent1" w:themeTint="BF"/>
        </w:tcBorders>
      </w:tcPr>
    </w:tblStylePr>
    <w:tblStylePr w:type="firstCol">
      <w:rPr>
        <w:b/>
        <w:bCs/>
      </w:rPr>
    </w:tblStylePr>
    <w:tblStylePr w:type="lastCol">
      <w:rPr>
        <w:b/>
        <w:bCs/>
      </w:rPr>
    </w:tblStylePr>
    <w:tblStylePr w:type="band1Vert">
      <w:tblPr/>
      <w:tcPr>
        <w:shd w:val="clear" w:color="auto" w:fill="9F7DD7" w:themeFill="accent1" w:themeFillTint="7F"/>
      </w:tcPr>
    </w:tblStylePr>
    <w:tblStylePr w:type="band1Horz">
      <w:tblPr/>
      <w:tcPr>
        <w:shd w:val="clear" w:color="auto" w:fill="9F7DD7" w:themeFill="accent1" w:themeFillTint="7F"/>
      </w:tcPr>
    </w:tblStylePr>
  </w:style>
  <w:style w:type="table" w:styleId="MediumGrid1-Accent2">
    <w:name w:val="Medium Grid 1 Accent 2"/>
    <w:basedOn w:val="TableNormal"/>
    <w:uiPriority w:val="67"/>
    <w:semiHidden/>
    <w:unhideWhenUsed/>
    <w:rsid w:val="006633DE"/>
    <w:pPr>
      <w:spacing w:after="260" w:line="240" w:lineRule="auto"/>
    </w:pPr>
    <w:tblPr>
      <w:tblStyleRowBandSize w:val="1"/>
      <w:tblStyleColBandSize w:val="1"/>
      <w:tblBorders>
        <w:top w:val="single" w:sz="8" w:space="0" w:color="05FFCF" w:themeColor="accent2" w:themeTint="BF"/>
        <w:left w:val="single" w:sz="8" w:space="0" w:color="05FFCF" w:themeColor="accent2" w:themeTint="BF"/>
        <w:bottom w:val="single" w:sz="8" w:space="0" w:color="05FFCF" w:themeColor="accent2" w:themeTint="BF"/>
        <w:right w:val="single" w:sz="8" w:space="0" w:color="05FFCF" w:themeColor="accent2" w:themeTint="BF"/>
        <w:insideH w:val="single" w:sz="8" w:space="0" w:color="05FFCF" w:themeColor="accent2" w:themeTint="BF"/>
        <w:insideV w:val="single" w:sz="8" w:space="0" w:color="05FFCF" w:themeColor="accent2" w:themeTint="BF"/>
      </w:tblBorders>
    </w:tblPr>
    <w:tcPr>
      <w:shd w:val="clear" w:color="auto" w:fill="ACFFEF" w:themeFill="accent2" w:themeFillTint="3F"/>
    </w:tcPr>
    <w:tblStylePr w:type="firstRow">
      <w:rPr>
        <w:b/>
        <w:bCs/>
      </w:rPr>
    </w:tblStylePr>
    <w:tblStylePr w:type="lastRow">
      <w:rPr>
        <w:b/>
        <w:bCs/>
      </w:rPr>
      <w:tblPr/>
      <w:tcPr>
        <w:tcBorders>
          <w:top w:val="single" w:sz="18" w:space="0" w:color="05FFCF" w:themeColor="accent2" w:themeTint="BF"/>
        </w:tcBorders>
      </w:tcPr>
    </w:tblStylePr>
    <w:tblStylePr w:type="firstCol">
      <w:rPr>
        <w:b/>
        <w:bCs/>
      </w:rPr>
    </w:tblStylePr>
    <w:tblStylePr w:type="lastCol">
      <w:rPr>
        <w:b/>
        <w:bCs/>
      </w:rPr>
    </w:tblStylePr>
    <w:tblStylePr w:type="band1Vert">
      <w:tblPr/>
      <w:tcPr>
        <w:shd w:val="clear" w:color="auto" w:fill="59FFDF" w:themeFill="accent2" w:themeFillTint="7F"/>
      </w:tcPr>
    </w:tblStylePr>
    <w:tblStylePr w:type="band1Horz">
      <w:tblPr/>
      <w:tcPr>
        <w:shd w:val="clear" w:color="auto" w:fill="59FFDF" w:themeFill="accent2" w:themeFillTint="7F"/>
      </w:tcPr>
    </w:tblStylePr>
  </w:style>
  <w:style w:type="table" w:styleId="MediumGrid1-Accent3">
    <w:name w:val="Medium Grid 1 Accent 3"/>
    <w:basedOn w:val="TableNormal"/>
    <w:uiPriority w:val="67"/>
    <w:semiHidden/>
    <w:unhideWhenUsed/>
    <w:rsid w:val="006633DE"/>
    <w:pPr>
      <w:spacing w:after="260" w:line="240" w:lineRule="auto"/>
    </w:pPr>
    <w:tblPr>
      <w:tblStyleRowBandSize w:val="1"/>
      <w:tblStyleColBandSize w:val="1"/>
      <w:tblBorders>
        <w:top w:val="single" w:sz="8" w:space="0" w:color="8AD7ED" w:themeColor="accent3" w:themeTint="BF"/>
        <w:left w:val="single" w:sz="8" w:space="0" w:color="8AD7ED" w:themeColor="accent3" w:themeTint="BF"/>
        <w:bottom w:val="single" w:sz="8" w:space="0" w:color="8AD7ED" w:themeColor="accent3" w:themeTint="BF"/>
        <w:right w:val="single" w:sz="8" w:space="0" w:color="8AD7ED" w:themeColor="accent3" w:themeTint="BF"/>
        <w:insideH w:val="single" w:sz="8" w:space="0" w:color="8AD7ED" w:themeColor="accent3" w:themeTint="BF"/>
        <w:insideV w:val="single" w:sz="8" w:space="0" w:color="8AD7ED" w:themeColor="accent3" w:themeTint="BF"/>
      </w:tblBorders>
    </w:tblPr>
    <w:tcPr>
      <w:shd w:val="clear" w:color="auto" w:fill="D8F2F9" w:themeFill="accent3" w:themeFillTint="3F"/>
    </w:tcPr>
    <w:tblStylePr w:type="firstRow">
      <w:rPr>
        <w:b/>
        <w:bCs/>
      </w:rPr>
    </w:tblStylePr>
    <w:tblStylePr w:type="lastRow">
      <w:rPr>
        <w:b/>
        <w:bCs/>
      </w:rPr>
      <w:tblPr/>
      <w:tcPr>
        <w:tcBorders>
          <w:top w:val="single" w:sz="18" w:space="0" w:color="8AD7ED" w:themeColor="accent3" w:themeTint="BF"/>
        </w:tcBorders>
      </w:tcPr>
    </w:tblStylePr>
    <w:tblStylePr w:type="firstCol">
      <w:rPr>
        <w:b/>
        <w:bCs/>
      </w:rPr>
    </w:tblStylePr>
    <w:tblStylePr w:type="lastCol">
      <w:rPr>
        <w:b/>
        <w:bCs/>
      </w:rPr>
    </w:tblStylePr>
    <w:tblStylePr w:type="band1Vert">
      <w:tblPr/>
      <w:tcPr>
        <w:shd w:val="clear" w:color="auto" w:fill="B1E4F3" w:themeFill="accent3" w:themeFillTint="7F"/>
      </w:tcPr>
    </w:tblStylePr>
    <w:tblStylePr w:type="band1Horz">
      <w:tblPr/>
      <w:tcPr>
        <w:shd w:val="clear" w:color="auto" w:fill="B1E4F3" w:themeFill="accent3" w:themeFillTint="7F"/>
      </w:tcPr>
    </w:tblStylePr>
  </w:style>
  <w:style w:type="table" w:styleId="MediumGrid1-Accent4">
    <w:name w:val="Medium Grid 1 Accent 4"/>
    <w:basedOn w:val="TableNormal"/>
    <w:uiPriority w:val="67"/>
    <w:semiHidden/>
    <w:unhideWhenUsed/>
    <w:rsid w:val="006633DE"/>
    <w:pPr>
      <w:spacing w:after="260" w:line="240" w:lineRule="auto"/>
    </w:pPr>
    <w:tblPr>
      <w:tblStyleRowBandSize w:val="1"/>
      <w:tblStyleColBandSize w:val="1"/>
      <w:tblBorders>
        <w:top w:val="single" w:sz="8" w:space="0" w:color="0077DC" w:themeColor="accent4" w:themeTint="BF"/>
        <w:left w:val="single" w:sz="8" w:space="0" w:color="0077DC" w:themeColor="accent4" w:themeTint="BF"/>
        <w:bottom w:val="single" w:sz="8" w:space="0" w:color="0077DC" w:themeColor="accent4" w:themeTint="BF"/>
        <w:right w:val="single" w:sz="8" w:space="0" w:color="0077DC" w:themeColor="accent4" w:themeTint="BF"/>
        <w:insideH w:val="single" w:sz="8" w:space="0" w:color="0077DC" w:themeColor="accent4" w:themeTint="BF"/>
        <w:insideV w:val="single" w:sz="8" w:space="0" w:color="0077DC" w:themeColor="accent4" w:themeTint="BF"/>
      </w:tblBorders>
    </w:tblPr>
    <w:tcPr>
      <w:shd w:val="clear" w:color="auto" w:fill="9FD3FF" w:themeFill="accent4" w:themeFillTint="3F"/>
    </w:tcPr>
    <w:tblStylePr w:type="firstRow">
      <w:rPr>
        <w:b/>
        <w:bCs/>
      </w:rPr>
    </w:tblStylePr>
    <w:tblStylePr w:type="lastRow">
      <w:rPr>
        <w:b/>
        <w:bCs/>
      </w:rPr>
      <w:tblPr/>
      <w:tcPr>
        <w:tcBorders>
          <w:top w:val="single" w:sz="18" w:space="0" w:color="0077DC" w:themeColor="accent4" w:themeTint="BF"/>
        </w:tcBorders>
      </w:tcPr>
    </w:tblStylePr>
    <w:tblStylePr w:type="firstCol">
      <w:rPr>
        <w:b/>
        <w:bCs/>
      </w:rPr>
    </w:tblStylePr>
    <w:tblStylePr w:type="lastCol">
      <w:rPr>
        <w:b/>
        <w:bCs/>
      </w:rPr>
    </w:tblStylePr>
    <w:tblStylePr w:type="band1Vert">
      <w:tblPr/>
      <w:tcPr>
        <w:shd w:val="clear" w:color="auto" w:fill="3EA6FF" w:themeFill="accent4" w:themeFillTint="7F"/>
      </w:tcPr>
    </w:tblStylePr>
    <w:tblStylePr w:type="band1Horz">
      <w:tblPr/>
      <w:tcPr>
        <w:shd w:val="clear" w:color="auto" w:fill="3EA6FF" w:themeFill="accent4" w:themeFillTint="7F"/>
      </w:tcPr>
    </w:tblStylePr>
  </w:style>
  <w:style w:type="table" w:styleId="MediumGrid1-Accent5">
    <w:name w:val="Medium Grid 1 Accent 5"/>
    <w:basedOn w:val="TableNormal"/>
    <w:uiPriority w:val="67"/>
    <w:semiHidden/>
    <w:unhideWhenUsed/>
    <w:rsid w:val="006633DE"/>
    <w:pPr>
      <w:spacing w:after="260" w:line="240" w:lineRule="auto"/>
    </w:pPr>
    <w:tblPr>
      <w:tblStyleRowBandSize w:val="1"/>
      <w:tblStyleColBandSize w:val="1"/>
      <w:tblBorders>
        <w:top w:val="single" w:sz="8" w:space="0" w:color="FAD444" w:themeColor="accent5" w:themeTint="BF"/>
        <w:left w:val="single" w:sz="8" w:space="0" w:color="FAD444" w:themeColor="accent5" w:themeTint="BF"/>
        <w:bottom w:val="single" w:sz="8" w:space="0" w:color="FAD444" w:themeColor="accent5" w:themeTint="BF"/>
        <w:right w:val="single" w:sz="8" w:space="0" w:color="FAD444" w:themeColor="accent5" w:themeTint="BF"/>
        <w:insideH w:val="single" w:sz="8" w:space="0" w:color="FAD444" w:themeColor="accent5" w:themeTint="BF"/>
        <w:insideV w:val="single" w:sz="8" w:space="0" w:color="FAD444" w:themeColor="accent5" w:themeTint="BF"/>
      </w:tblBorders>
    </w:tblPr>
    <w:tcPr>
      <w:shd w:val="clear" w:color="auto" w:fill="FDF0C1" w:themeFill="accent5" w:themeFillTint="3F"/>
    </w:tcPr>
    <w:tblStylePr w:type="firstRow">
      <w:rPr>
        <w:b/>
        <w:bCs/>
      </w:rPr>
    </w:tblStylePr>
    <w:tblStylePr w:type="lastRow">
      <w:rPr>
        <w:b/>
        <w:bCs/>
      </w:rPr>
      <w:tblPr/>
      <w:tcPr>
        <w:tcBorders>
          <w:top w:val="single" w:sz="18" w:space="0" w:color="FAD444" w:themeColor="accent5" w:themeTint="BF"/>
        </w:tcBorders>
      </w:tcPr>
    </w:tblStylePr>
    <w:tblStylePr w:type="firstCol">
      <w:rPr>
        <w:b/>
        <w:bCs/>
      </w:rPr>
    </w:tblStylePr>
    <w:tblStylePr w:type="lastCol">
      <w:rPr>
        <w:b/>
        <w:bCs/>
      </w:rPr>
    </w:tblStylePr>
    <w:tblStylePr w:type="band1Vert">
      <w:tblPr/>
      <w:tcPr>
        <w:shd w:val="clear" w:color="auto" w:fill="FCE282" w:themeFill="accent5" w:themeFillTint="7F"/>
      </w:tcPr>
    </w:tblStylePr>
    <w:tblStylePr w:type="band1Horz">
      <w:tblPr/>
      <w:tcPr>
        <w:shd w:val="clear" w:color="auto" w:fill="FCE282" w:themeFill="accent5" w:themeFillTint="7F"/>
      </w:tcPr>
    </w:tblStylePr>
  </w:style>
  <w:style w:type="table" w:styleId="MediumGrid1-Accent6">
    <w:name w:val="Medium Grid 1 Accent 6"/>
    <w:basedOn w:val="TableNormal"/>
    <w:uiPriority w:val="67"/>
    <w:semiHidden/>
    <w:unhideWhenUsed/>
    <w:rsid w:val="006633DE"/>
    <w:pPr>
      <w:spacing w:after="260" w:line="240" w:lineRule="auto"/>
    </w:pPr>
    <w:tblPr>
      <w:tblStyleRowBandSize w:val="1"/>
      <w:tblStyleColBandSize w:val="1"/>
      <w:tblBorders>
        <w:top w:val="single" w:sz="8" w:space="0" w:color="D2E162" w:themeColor="accent6" w:themeTint="BF"/>
        <w:left w:val="single" w:sz="8" w:space="0" w:color="D2E162" w:themeColor="accent6" w:themeTint="BF"/>
        <w:bottom w:val="single" w:sz="8" w:space="0" w:color="D2E162" w:themeColor="accent6" w:themeTint="BF"/>
        <w:right w:val="single" w:sz="8" w:space="0" w:color="D2E162" w:themeColor="accent6" w:themeTint="BF"/>
        <w:insideH w:val="single" w:sz="8" w:space="0" w:color="D2E162" w:themeColor="accent6" w:themeTint="BF"/>
        <w:insideV w:val="single" w:sz="8" w:space="0" w:color="D2E162" w:themeColor="accent6" w:themeTint="BF"/>
      </w:tblBorders>
    </w:tblPr>
    <w:tcPr>
      <w:shd w:val="clear" w:color="auto" w:fill="F0F5CB" w:themeFill="accent6" w:themeFillTint="3F"/>
    </w:tcPr>
    <w:tblStylePr w:type="firstRow">
      <w:rPr>
        <w:b/>
        <w:bCs/>
      </w:rPr>
    </w:tblStylePr>
    <w:tblStylePr w:type="lastRow">
      <w:rPr>
        <w:b/>
        <w:bCs/>
      </w:rPr>
      <w:tblPr/>
      <w:tcPr>
        <w:tcBorders>
          <w:top w:val="single" w:sz="18" w:space="0" w:color="D2E162" w:themeColor="accent6" w:themeTint="BF"/>
        </w:tcBorders>
      </w:tcPr>
    </w:tblStylePr>
    <w:tblStylePr w:type="firstCol">
      <w:rPr>
        <w:b/>
        <w:bCs/>
      </w:rPr>
    </w:tblStylePr>
    <w:tblStylePr w:type="lastCol">
      <w:rPr>
        <w:b/>
        <w:bCs/>
      </w:rPr>
    </w:tblStylePr>
    <w:tblStylePr w:type="band1Vert">
      <w:tblPr/>
      <w:tcPr>
        <w:shd w:val="clear" w:color="auto" w:fill="E1EB96" w:themeFill="accent6" w:themeFillTint="7F"/>
      </w:tcPr>
    </w:tblStylePr>
    <w:tblStylePr w:type="band1Horz">
      <w:tblPr/>
      <w:tcPr>
        <w:shd w:val="clear" w:color="auto" w:fill="E1EB96" w:themeFill="accent6" w:themeFillTint="7F"/>
      </w:tcPr>
    </w:tblStylePr>
  </w:style>
  <w:style w:type="table" w:styleId="MediumGrid2">
    <w:name w:val="Medium Grid 2"/>
    <w:basedOn w:val="TableNormal"/>
    <w:uiPriority w:val="68"/>
    <w:semiHidden/>
    <w:unhideWhenUsed/>
    <w:rsid w:val="006633DE"/>
    <w:pPr>
      <w:spacing w:after="26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6633DE"/>
    <w:pPr>
      <w:spacing w:after="26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2884" w:themeColor="accent1"/>
        <w:left w:val="single" w:sz="8" w:space="0" w:color="4B2884" w:themeColor="accent1"/>
        <w:bottom w:val="single" w:sz="8" w:space="0" w:color="4B2884" w:themeColor="accent1"/>
        <w:right w:val="single" w:sz="8" w:space="0" w:color="4B2884" w:themeColor="accent1"/>
        <w:insideH w:val="single" w:sz="8" w:space="0" w:color="4B2884" w:themeColor="accent1"/>
        <w:insideV w:val="single" w:sz="8" w:space="0" w:color="4B2884" w:themeColor="accent1"/>
      </w:tblBorders>
    </w:tblPr>
    <w:tcPr>
      <w:shd w:val="clear" w:color="auto" w:fill="CFBEEB" w:themeFill="accent1" w:themeFillTint="3F"/>
    </w:tcPr>
    <w:tblStylePr w:type="firstRow">
      <w:rPr>
        <w:b/>
        <w:bCs/>
        <w:color w:val="000000" w:themeColor="text1"/>
      </w:rPr>
      <w:tblPr/>
      <w:tcPr>
        <w:shd w:val="clear" w:color="auto" w:fill="ECE5F7"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8CBEF" w:themeFill="accent1" w:themeFillTint="33"/>
      </w:tcPr>
    </w:tblStylePr>
    <w:tblStylePr w:type="band1Vert">
      <w:tblPr/>
      <w:tcPr>
        <w:shd w:val="clear" w:color="auto" w:fill="9F7DD7" w:themeFill="accent1" w:themeFillTint="7F"/>
      </w:tcPr>
    </w:tblStylePr>
    <w:tblStylePr w:type="band1Horz">
      <w:tblPr/>
      <w:tcPr>
        <w:tcBorders>
          <w:insideH w:val="single" w:sz="6" w:space="0" w:color="4B2884" w:themeColor="accent1"/>
          <w:insideV w:val="single" w:sz="6" w:space="0" w:color="4B2884" w:themeColor="accent1"/>
        </w:tcBorders>
        <w:shd w:val="clear" w:color="auto" w:fill="9F7DD7"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6633DE"/>
    <w:pPr>
      <w:spacing w:after="26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B18F" w:themeColor="accent2"/>
        <w:left w:val="single" w:sz="8" w:space="0" w:color="00B18F" w:themeColor="accent2"/>
        <w:bottom w:val="single" w:sz="8" w:space="0" w:color="00B18F" w:themeColor="accent2"/>
        <w:right w:val="single" w:sz="8" w:space="0" w:color="00B18F" w:themeColor="accent2"/>
        <w:insideH w:val="single" w:sz="8" w:space="0" w:color="00B18F" w:themeColor="accent2"/>
        <w:insideV w:val="single" w:sz="8" w:space="0" w:color="00B18F" w:themeColor="accent2"/>
      </w:tblBorders>
    </w:tblPr>
    <w:tcPr>
      <w:shd w:val="clear" w:color="auto" w:fill="ACFFEF" w:themeFill="accent2" w:themeFillTint="3F"/>
    </w:tcPr>
    <w:tblStylePr w:type="firstRow">
      <w:rPr>
        <w:b/>
        <w:bCs/>
        <w:color w:val="000000" w:themeColor="text1"/>
      </w:rPr>
      <w:tblPr/>
      <w:tcPr>
        <w:shd w:val="clear" w:color="auto" w:fill="DEFFF8"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CFFF2" w:themeFill="accent2" w:themeFillTint="33"/>
      </w:tcPr>
    </w:tblStylePr>
    <w:tblStylePr w:type="band1Vert">
      <w:tblPr/>
      <w:tcPr>
        <w:shd w:val="clear" w:color="auto" w:fill="59FFDF" w:themeFill="accent2" w:themeFillTint="7F"/>
      </w:tcPr>
    </w:tblStylePr>
    <w:tblStylePr w:type="band1Horz">
      <w:tblPr/>
      <w:tcPr>
        <w:tcBorders>
          <w:insideH w:val="single" w:sz="6" w:space="0" w:color="00B18F" w:themeColor="accent2"/>
          <w:insideV w:val="single" w:sz="6" w:space="0" w:color="00B18F" w:themeColor="accent2"/>
        </w:tcBorders>
        <w:shd w:val="clear" w:color="auto" w:fill="59FFD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6633DE"/>
    <w:pPr>
      <w:spacing w:after="26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64CBE8" w:themeColor="accent3"/>
        <w:left w:val="single" w:sz="8" w:space="0" w:color="64CBE8" w:themeColor="accent3"/>
        <w:bottom w:val="single" w:sz="8" w:space="0" w:color="64CBE8" w:themeColor="accent3"/>
        <w:right w:val="single" w:sz="8" w:space="0" w:color="64CBE8" w:themeColor="accent3"/>
        <w:insideH w:val="single" w:sz="8" w:space="0" w:color="64CBE8" w:themeColor="accent3"/>
        <w:insideV w:val="single" w:sz="8" w:space="0" w:color="64CBE8" w:themeColor="accent3"/>
      </w:tblBorders>
    </w:tblPr>
    <w:tcPr>
      <w:shd w:val="clear" w:color="auto" w:fill="D8F2F9" w:themeFill="accent3" w:themeFillTint="3F"/>
    </w:tcPr>
    <w:tblStylePr w:type="firstRow">
      <w:rPr>
        <w:b/>
        <w:bCs/>
        <w:color w:val="000000" w:themeColor="text1"/>
      </w:rPr>
      <w:tblPr/>
      <w:tcPr>
        <w:shd w:val="clear" w:color="auto" w:fill="EFF9FC"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F4FA" w:themeFill="accent3" w:themeFillTint="33"/>
      </w:tcPr>
    </w:tblStylePr>
    <w:tblStylePr w:type="band1Vert">
      <w:tblPr/>
      <w:tcPr>
        <w:shd w:val="clear" w:color="auto" w:fill="B1E4F3" w:themeFill="accent3" w:themeFillTint="7F"/>
      </w:tcPr>
    </w:tblStylePr>
    <w:tblStylePr w:type="band1Horz">
      <w:tblPr/>
      <w:tcPr>
        <w:tcBorders>
          <w:insideH w:val="single" w:sz="6" w:space="0" w:color="64CBE8" w:themeColor="accent3"/>
          <w:insideV w:val="single" w:sz="6" w:space="0" w:color="64CBE8" w:themeColor="accent3"/>
        </w:tcBorders>
        <w:shd w:val="clear" w:color="auto" w:fill="B1E4F3"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6633DE"/>
    <w:pPr>
      <w:spacing w:after="26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437B" w:themeColor="accent4"/>
        <w:left w:val="single" w:sz="8" w:space="0" w:color="00437B" w:themeColor="accent4"/>
        <w:bottom w:val="single" w:sz="8" w:space="0" w:color="00437B" w:themeColor="accent4"/>
        <w:right w:val="single" w:sz="8" w:space="0" w:color="00437B" w:themeColor="accent4"/>
        <w:insideH w:val="single" w:sz="8" w:space="0" w:color="00437B" w:themeColor="accent4"/>
        <w:insideV w:val="single" w:sz="8" w:space="0" w:color="00437B" w:themeColor="accent4"/>
      </w:tblBorders>
    </w:tblPr>
    <w:tcPr>
      <w:shd w:val="clear" w:color="auto" w:fill="9FD3FF" w:themeFill="accent4" w:themeFillTint="3F"/>
    </w:tcPr>
    <w:tblStylePr w:type="firstRow">
      <w:rPr>
        <w:b/>
        <w:bCs/>
        <w:color w:val="000000" w:themeColor="text1"/>
      </w:rPr>
      <w:tblPr/>
      <w:tcPr>
        <w:shd w:val="clear" w:color="auto" w:fill="D9EDFF"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1DBFF" w:themeFill="accent4" w:themeFillTint="33"/>
      </w:tcPr>
    </w:tblStylePr>
    <w:tblStylePr w:type="band1Vert">
      <w:tblPr/>
      <w:tcPr>
        <w:shd w:val="clear" w:color="auto" w:fill="3EA6FF" w:themeFill="accent4" w:themeFillTint="7F"/>
      </w:tcPr>
    </w:tblStylePr>
    <w:tblStylePr w:type="band1Horz">
      <w:tblPr/>
      <w:tcPr>
        <w:tcBorders>
          <w:insideH w:val="single" w:sz="6" w:space="0" w:color="00437B" w:themeColor="accent4"/>
          <w:insideV w:val="single" w:sz="6" w:space="0" w:color="00437B" w:themeColor="accent4"/>
        </w:tcBorders>
        <w:shd w:val="clear" w:color="auto" w:fill="3EA6F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6633DE"/>
    <w:pPr>
      <w:spacing w:after="26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9C606" w:themeColor="accent5"/>
        <w:left w:val="single" w:sz="8" w:space="0" w:color="F9C606" w:themeColor="accent5"/>
        <w:bottom w:val="single" w:sz="8" w:space="0" w:color="F9C606" w:themeColor="accent5"/>
        <w:right w:val="single" w:sz="8" w:space="0" w:color="F9C606" w:themeColor="accent5"/>
        <w:insideH w:val="single" w:sz="8" w:space="0" w:color="F9C606" w:themeColor="accent5"/>
        <w:insideV w:val="single" w:sz="8" w:space="0" w:color="F9C606" w:themeColor="accent5"/>
      </w:tblBorders>
    </w:tblPr>
    <w:tcPr>
      <w:shd w:val="clear" w:color="auto" w:fill="FDF0C1" w:themeFill="accent5" w:themeFillTint="3F"/>
    </w:tcPr>
    <w:tblStylePr w:type="firstRow">
      <w:rPr>
        <w:b/>
        <w:bCs/>
        <w:color w:val="000000" w:themeColor="text1"/>
      </w:rPr>
      <w:tblPr/>
      <w:tcPr>
        <w:shd w:val="clear" w:color="auto" w:fill="FEF9E6"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F3CD" w:themeFill="accent5" w:themeFillTint="33"/>
      </w:tcPr>
    </w:tblStylePr>
    <w:tblStylePr w:type="band1Vert">
      <w:tblPr/>
      <w:tcPr>
        <w:shd w:val="clear" w:color="auto" w:fill="FCE282" w:themeFill="accent5" w:themeFillTint="7F"/>
      </w:tcPr>
    </w:tblStylePr>
    <w:tblStylePr w:type="band1Horz">
      <w:tblPr/>
      <w:tcPr>
        <w:tcBorders>
          <w:insideH w:val="single" w:sz="6" w:space="0" w:color="F9C606" w:themeColor="accent5"/>
          <w:insideV w:val="single" w:sz="6" w:space="0" w:color="F9C606" w:themeColor="accent5"/>
        </w:tcBorders>
        <w:shd w:val="clear" w:color="auto" w:fill="FCE28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6633DE"/>
    <w:pPr>
      <w:spacing w:after="26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4D82E" w:themeColor="accent6"/>
        <w:left w:val="single" w:sz="8" w:space="0" w:color="C4D82E" w:themeColor="accent6"/>
        <w:bottom w:val="single" w:sz="8" w:space="0" w:color="C4D82E" w:themeColor="accent6"/>
        <w:right w:val="single" w:sz="8" w:space="0" w:color="C4D82E" w:themeColor="accent6"/>
        <w:insideH w:val="single" w:sz="8" w:space="0" w:color="C4D82E" w:themeColor="accent6"/>
        <w:insideV w:val="single" w:sz="8" w:space="0" w:color="C4D82E" w:themeColor="accent6"/>
      </w:tblBorders>
    </w:tblPr>
    <w:tcPr>
      <w:shd w:val="clear" w:color="auto" w:fill="F0F5CB" w:themeFill="accent6" w:themeFillTint="3F"/>
    </w:tcPr>
    <w:tblStylePr w:type="firstRow">
      <w:rPr>
        <w:b/>
        <w:bCs/>
        <w:color w:val="000000" w:themeColor="text1"/>
      </w:rPr>
      <w:tblPr/>
      <w:tcPr>
        <w:shd w:val="clear" w:color="auto" w:fill="F9FBEA"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3F7D5" w:themeFill="accent6" w:themeFillTint="33"/>
      </w:tcPr>
    </w:tblStylePr>
    <w:tblStylePr w:type="band1Vert">
      <w:tblPr/>
      <w:tcPr>
        <w:shd w:val="clear" w:color="auto" w:fill="E1EB96" w:themeFill="accent6" w:themeFillTint="7F"/>
      </w:tcPr>
    </w:tblStylePr>
    <w:tblStylePr w:type="band1Horz">
      <w:tblPr/>
      <w:tcPr>
        <w:tcBorders>
          <w:insideH w:val="single" w:sz="6" w:space="0" w:color="C4D82E" w:themeColor="accent6"/>
          <w:insideV w:val="single" w:sz="6" w:space="0" w:color="C4D82E" w:themeColor="accent6"/>
        </w:tcBorders>
        <w:shd w:val="clear" w:color="auto" w:fill="E1EB96"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6633DE"/>
    <w:pPr>
      <w:spacing w:after="26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6633DE"/>
    <w:pPr>
      <w:spacing w:after="26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FBEEB"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288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288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288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288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F7DD7"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F7DD7" w:themeFill="accent1" w:themeFillTint="7F"/>
      </w:tcPr>
    </w:tblStylePr>
  </w:style>
  <w:style w:type="table" w:styleId="MediumGrid3-Accent2">
    <w:name w:val="Medium Grid 3 Accent 2"/>
    <w:basedOn w:val="TableNormal"/>
    <w:uiPriority w:val="69"/>
    <w:semiHidden/>
    <w:unhideWhenUsed/>
    <w:rsid w:val="006633DE"/>
    <w:pPr>
      <w:spacing w:after="26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E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18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18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18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18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D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DF" w:themeFill="accent2" w:themeFillTint="7F"/>
      </w:tcPr>
    </w:tblStylePr>
  </w:style>
  <w:style w:type="table" w:styleId="MediumGrid3-Accent3">
    <w:name w:val="Medium Grid 3 Accent 3"/>
    <w:basedOn w:val="TableNormal"/>
    <w:uiPriority w:val="69"/>
    <w:semiHidden/>
    <w:unhideWhenUsed/>
    <w:rsid w:val="006633DE"/>
    <w:pPr>
      <w:spacing w:after="26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8F2F9"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4CBE8"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4CBE8"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4CBE8"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4CBE8"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1E4F3"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1E4F3" w:themeFill="accent3" w:themeFillTint="7F"/>
      </w:tcPr>
    </w:tblStylePr>
  </w:style>
  <w:style w:type="table" w:styleId="MediumGrid3-Accent4">
    <w:name w:val="Medium Grid 3 Accent 4"/>
    <w:basedOn w:val="TableNormal"/>
    <w:uiPriority w:val="69"/>
    <w:semiHidden/>
    <w:unhideWhenUsed/>
    <w:rsid w:val="006633DE"/>
    <w:pPr>
      <w:spacing w:after="26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FD3FF"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437B"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437B"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437B"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437B"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EA6F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EA6FF" w:themeFill="accent4" w:themeFillTint="7F"/>
      </w:tcPr>
    </w:tblStylePr>
  </w:style>
  <w:style w:type="table" w:styleId="MediumGrid3-Accent5">
    <w:name w:val="Medium Grid 3 Accent 5"/>
    <w:basedOn w:val="TableNormal"/>
    <w:uiPriority w:val="69"/>
    <w:semiHidden/>
    <w:unhideWhenUsed/>
    <w:rsid w:val="006633DE"/>
    <w:pPr>
      <w:spacing w:after="26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F0C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9C60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9C60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9C60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9C60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CE28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CE282" w:themeFill="accent5" w:themeFillTint="7F"/>
      </w:tcPr>
    </w:tblStylePr>
  </w:style>
  <w:style w:type="table" w:styleId="MediumGrid3-Accent6">
    <w:name w:val="Medium Grid 3 Accent 6"/>
    <w:basedOn w:val="TableNormal"/>
    <w:uiPriority w:val="69"/>
    <w:semiHidden/>
    <w:unhideWhenUsed/>
    <w:rsid w:val="006633DE"/>
    <w:pPr>
      <w:spacing w:after="26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0F5CB"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4D82E"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4D82E"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4D82E"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4D82E"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1EB96"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1EB96" w:themeFill="accent6" w:themeFillTint="7F"/>
      </w:tcPr>
    </w:tblStylePr>
  </w:style>
  <w:style w:type="table" w:styleId="MediumList1">
    <w:name w:val="Medium List 1"/>
    <w:basedOn w:val="TableNormal"/>
    <w:uiPriority w:val="65"/>
    <w:semiHidden/>
    <w:unhideWhenUsed/>
    <w:rsid w:val="006633DE"/>
    <w:pPr>
      <w:spacing w:after="26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5F6369"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6633DE"/>
    <w:pPr>
      <w:spacing w:after="260" w:line="240" w:lineRule="auto"/>
    </w:pPr>
    <w:rPr>
      <w:color w:val="000000" w:themeColor="text1"/>
    </w:rPr>
    <w:tblPr>
      <w:tblStyleRowBandSize w:val="1"/>
      <w:tblStyleColBandSize w:val="1"/>
      <w:tblBorders>
        <w:top w:val="single" w:sz="8" w:space="0" w:color="4B2884" w:themeColor="accent1"/>
        <w:bottom w:val="single" w:sz="8" w:space="0" w:color="4B2884" w:themeColor="accent1"/>
      </w:tblBorders>
    </w:tblPr>
    <w:tblStylePr w:type="firstRow">
      <w:rPr>
        <w:rFonts w:asciiTheme="majorHAnsi" w:eastAsiaTheme="majorEastAsia" w:hAnsiTheme="majorHAnsi" w:cstheme="majorBidi"/>
      </w:rPr>
      <w:tblPr/>
      <w:tcPr>
        <w:tcBorders>
          <w:top w:val="nil"/>
          <w:bottom w:val="single" w:sz="8" w:space="0" w:color="4B2884" w:themeColor="accent1"/>
        </w:tcBorders>
      </w:tcPr>
    </w:tblStylePr>
    <w:tblStylePr w:type="lastRow">
      <w:rPr>
        <w:b/>
        <w:bCs/>
        <w:color w:val="5F6369" w:themeColor="text2"/>
      </w:rPr>
      <w:tblPr/>
      <w:tcPr>
        <w:tcBorders>
          <w:top w:val="single" w:sz="8" w:space="0" w:color="4B2884" w:themeColor="accent1"/>
          <w:bottom w:val="single" w:sz="8" w:space="0" w:color="4B2884" w:themeColor="accent1"/>
        </w:tcBorders>
      </w:tcPr>
    </w:tblStylePr>
    <w:tblStylePr w:type="firstCol">
      <w:rPr>
        <w:b/>
        <w:bCs/>
      </w:rPr>
    </w:tblStylePr>
    <w:tblStylePr w:type="lastCol">
      <w:rPr>
        <w:b/>
        <w:bCs/>
      </w:rPr>
      <w:tblPr/>
      <w:tcPr>
        <w:tcBorders>
          <w:top w:val="single" w:sz="8" w:space="0" w:color="4B2884" w:themeColor="accent1"/>
          <w:bottom w:val="single" w:sz="8" w:space="0" w:color="4B2884" w:themeColor="accent1"/>
        </w:tcBorders>
      </w:tcPr>
    </w:tblStylePr>
    <w:tblStylePr w:type="band1Vert">
      <w:tblPr/>
      <w:tcPr>
        <w:shd w:val="clear" w:color="auto" w:fill="CFBEEB" w:themeFill="accent1" w:themeFillTint="3F"/>
      </w:tcPr>
    </w:tblStylePr>
    <w:tblStylePr w:type="band1Horz">
      <w:tblPr/>
      <w:tcPr>
        <w:shd w:val="clear" w:color="auto" w:fill="CFBEEB" w:themeFill="accent1" w:themeFillTint="3F"/>
      </w:tcPr>
    </w:tblStylePr>
  </w:style>
  <w:style w:type="table" w:styleId="MediumList1-Accent2">
    <w:name w:val="Medium List 1 Accent 2"/>
    <w:basedOn w:val="TableNormal"/>
    <w:uiPriority w:val="65"/>
    <w:semiHidden/>
    <w:unhideWhenUsed/>
    <w:rsid w:val="006633DE"/>
    <w:pPr>
      <w:spacing w:after="260" w:line="240" w:lineRule="auto"/>
    </w:pPr>
    <w:rPr>
      <w:color w:val="000000" w:themeColor="text1"/>
    </w:rPr>
    <w:tblPr>
      <w:tblStyleRowBandSize w:val="1"/>
      <w:tblStyleColBandSize w:val="1"/>
      <w:tblBorders>
        <w:top w:val="single" w:sz="8" w:space="0" w:color="00B18F" w:themeColor="accent2"/>
        <w:bottom w:val="single" w:sz="8" w:space="0" w:color="00B18F" w:themeColor="accent2"/>
      </w:tblBorders>
    </w:tblPr>
    <w:tblStylePr w:type="firstRow">
      <w:rPr>
        <w:rFonts w:asciiTheme="majorHAnsi" w:eastAsiaTheme="majorEastAsia" w:hAnsiTheme="majorHAnsi" w:cstheme="majorBidi"/>
      </w:rPr>
      <w:tblPr/>
      <w:tcPr>
        <w:tcBorders>
          <w:top w:val="nil"/>
          <w:bottom w:val="single" w:sz="8" w:space="0" w:color="00B18F" w:themeColor="accent2"/>
        </w:tcBorders>
      </w:tcPr>
    </w:tblStylePr>
    <w:tblStylePr w:type="lastRow">
      <w:rPr>
        <w:b/>
        <w:bCs/>
        <w:color w:val="5F6369" w:themeColor="text2"/>
      </w:rPr>
      <w:tblPr/>
      <w:tcPr>
        <w:tcBorders>
          <w:top w:val="single" w:sz="8" w:space="0" w:color="00B18F" w:themeColor="accent2"/>
          <w:bottom w:val="single" w:sz="8" w:space="0" w:color="00B18F" w:themeColor="accent2"/>
        </w:tcBorders>
      </w:tcPr>
    </w:tblStylePr>
    <w:tblStylePr w:type="firstCol">
      <w:rPr>
        <w:b/>
        <w:bCs/>
      </w:rPr>
    </w:tblStylePr>
    <w:tblStylePr w:type="lastCol">
      <w:rPr>
        <w:b/>
        <w:bCs/>
      </w:rPr>
      <w:tblPr/>
      <w:tcPr>
        <w:tcBorders>
          <w:top w:val="single" w:sz="8" w:space="0" w:color="00B18F" w:themeColor="accent2"/>
          <w:bottom w:val="single" w:sz="8" w:space="0" w:color="00B18F" w:themeColor="accent2"/>
        </w:tcBorders>
      </w:tcPr>
    </w:tblStylePr>
    <w:tblStylePr w:type="band1Vert">
      <w:tblPr/>
      <w:tcPr>
        <w:shd w:val="clear" w:color="auto" w:fill="ACFFEF" w:themeFill="accent2" w:themeFillTint="3F"/>
      </w:tcPr>
    </w:tblStylePr>
    <w:tblStylePr w:type="band1Horz">
      <w:tblPr/>
      <w:tcPr>
        <w:shd w:val="clear" w:color="auto" w:fill="ACFFEF" w:themeFill="accent2" w:themeFillTint="3F"/>
      </w:tcPr>
    </w:tblStylePr>
  </w:style>
  <w:style w:type="table" w:styleId="MediumList1-Accent3">
    <w:name w:val="Medium List 1 Accent 3"/>
    <w:basedOn w:val="TableNormal"/>
    <w:uiPriority w:val="65"/>
    <w:semiHidden/>
    <w:unhideWhenUsed/>
    <w:rsid w:val="006633DE"/>
    <w:pPr>
      <w:spacing w:after="260" w:line="240" w:lineRule="auto"/>
    </w:pPr>
    <w:rPr>
      <w:color w:val="000000" w:themeColor="text1"/>
    </w:rPr>
    <w:tblPr>
      <w:tblStyleRowBandSize w:val="1"/>
      <w:tblStyleColBandSize w:val="1"/>
      <w:tblBorders>
        <w:top w:val="single" w:sz="8" w:space="0" w:color="64CBE8" w:themeColor="accent3"/>
        <w:bottom w:val="single" w:sz="8" w:space="0" w:color="64CBE8" w:themeColor="accent3"/>
      </w:tblBorders>
    </w:tblPr>
    <w:tblStylePr w:type="firstRow">
      <w:rPr>
        <w:rFonts w:asciiTheme="majorHAnsi" w:eastAsiaTheme="majorEastAsia" w:hAnsiTheme="majorHAnsi" w:cstheme="majorBidi"/>
      </w:rPr>
      <w:tblPr/>
      <w:tcPr>
        <w:tcBorders>
          <w:top w:val="nil"/>
          <w:bottom w:val="single" w:sz="8" w:space="0" w:color="64CBE8" w:themeColor="accent3"/>
        </w:tcBorders>
      </w:tcPr>
    </w:tblStylePr>
    <w:tblStylePr w:type="lastRow">
      <w:rPr>
        <w:b/>
        <w:bCs/>
        <w:color w:val="5F6369" w:themeColor="text2"/>
      </w:rPr>
      <w:tblPr/>
      <w:tcPr>
        <w:tcBorders>
          <w:top w:val="single" w:sz="8" w:space="0" w:color="64CBE8" w:themeColor="accent3"/>
          <w:bottom w:val="single" w:sz="8" w:space="0" w:color="64CBE8" w:themeColor="accent3"/>
        </w:tcBorders>
      </w:tcPr>
    </w:tblStylePr>
    <w:tblStylePr w:type="firstCol">
      <w:rPr>
        <w:b/>
        <w:bCs/>
      </w:rPr>
    </w:tblStylePr>
    <w:tblStylePr w:type="lastCol">
      <w:rPr>
        <w:b/>
        <w:bCs/>
      </w:rPr>
      <w:tblPr/>
      <w:tcPr>
        <w:tcBorders>
          <w:top w:val="single" w:sz="8" w:space="0" w:color="64CBE8" w:themeColor="accent3"/>
          <w:bottom w:val="single" w:sz="8" w:space="0" w:color="64CBE8" w:themeColor="accent3"/>
        </w:tcBorders>
      </w:tcPr>
    </w:tblStylePr>
    <w:tblStylePr w:type="band1Vert">
      <w:tblPr/>
      <w:tcPr>
        <w:shd w:val="clear" w:color="auto" w:fill="D8F2F9" w:themeFill="accent3" w:themeFillTint="3F"/>
      </w:tcPr>
    </w:tblStylePr>
    <w:tblStylePr w:type="band1Horz">
      <w:tblPr/>
      <w:tcPr>
        <w:shd w:val="clear" w:color="auto" w:fill="D8F2F9" w:themeFill="accent3" w:themeFillTint="3F"/>
      </w:tcPr>
    </w:tblStylePr>
  </w:style>
  <w:style w:type="table" w:styleId="MediumList1-Accent4">
    <w:name w:val="Medium List 1 Accent 4"/>
    <w:basedOn w:val="TableNormal"/>
    <w:uiPriority w:val="65"/>
    <w:semiHidden/>
    <w:unhideWhenUsed/>
    <w:rsid w:val="006633DE"/>
    <w:pPr>
      <w:spacing w:after="260" w:line="240" w:lineRule="auto"/>
    </w:pPr>
    <w:rPr>
      <w:color w:val="000000" w:themeColor="text1"/>
    </w:rPr>
    <w:tblPr>
      <w:tblStyleRowBandSize w:val="1"/>
      <w:tblStyleColBandSize w:val="1"/>
      <w:tblBorders>
        <w:top w:val="single" w:sz="8" w:space="0" w:color="00437B" w:themeColor="accent4"/>
        <w:bottom w:val="single" w:sz="8" w:space="0" w:color="00437B" w:themeColor="accent4"/>
      </w:tblBorders>
    </w:tblPr>
    <w:tblStylePr w:type="firstRow">
      <w:rPr>
        <w:rFonts w:asciiTheme="majorHAnsi" w:eastAsiaTheme="majorEastAsia" w:hAnsiTheme="majorHAnsi" w:cstheme="majorBidi"/>
      </w:rPr>
      <w:tblPr/>
      <w:tcPr>
        <w:tcBorders>
          <w:top w:val="nil"/>
          <w:bottom w:val="single" w:sz="8" w:space="0" w:color="00437B" w:themeColor="accent4"/>
        </w:tcBorders>
      </w:tcPr>
    </w:tblStylePr>
    <w:tblStylePr w:type="lastRow">
      <w:rPr>
        <w:b/>
        <w:bCs/>
        <w:color w:val="5F6369" w:themeColor="text2"/>
      </w:rPr>
      <w:tblPr/>
      <w:tcPr>
        <w:tcBorders>
          <w:top w:val="single" w:sz="8" w:space="0" w:color="00437B" w:themeColor="accent4"/>
          <w:bottom w:val="single" w:sz="8" w:space="0" w:color="00437B" w:themeColor="accent4"/>
        </w:tcBorders>
      </w:tcPr>
    </w:tblStylePr>
    <w:tblStylePr w:type="firstCol">
      <w:rPr>
        <w:b/>
        <w:bCs/>
      </w:rPr>
    </w:tblStylePr>
    <w:tblStylePr w:type="lastCol">
      <w:rPr>
        <w:b/>
        <w:bCs/>
      </w:rPr>
      <w:tblPr/>
      <w:tcPr>
        <w:tcBorders>
          <w:top w:val="single" w:sz="8" w:space="0" w:color="00437B" w:themeColor="accent4"/>
          <w:bottom w:val="single" w:sz="8" w:space="0" w:color="00437B" w:themeColor="accent4"/>
        </w:tcBorders>
      </w:tcPr>
    </w:tblStylePr>
    <w:tblStylePr w:type="band1Vert">
      <w:tblPr/>
      <w:tcPr>
        <w:shd w:val="clear" w:color="auto" w:fill="9FD3FF" w:themeFill="accent4" w:themeFillTint="3F"/>
      </w:tcPr>
    </w:tblStylePr>
    <w:tblStylePr w:type="band1Horz">
      <w:tblPr/>
      <w:tcPr>
        <w:shd w:val="clear" w:color="auto" w:fill="9FD3FF" w:themeFill="accent4" w:themeFillTint="3F"/>
      </w:tcPr>
    </w:tblStylePr>
  </w:style>
  <w:style w:type="table" w:styleId="MediumList1-Accent5">
    <w:name w:val="Medium List 1 Accent 5"/>
    <w:basedOn w:val="TableNormal"/>
    <w:uiPriority w:val="65"/>
    <w:semiHidden/>
    <w:unhideWhenUsed/>
    <w:rsid w:val="006633DE"/>
    <w:pPr>
      <w:spacing w:after="260" w:line="240" w:lineRule="auto"/>
    </w:pPr>
    <w:rPr>
      <w:color w:val="000000" w:themeColor="text1"/>
    </w:rPr>
    <w:tblPr>
      <w:tblStyleRowBandSize w:val="1"/>
      <w:tblStyleColBandSize w:val="1"/>
      <w:tblBorders>
        <w:top w:val="single" w:sz="8" w:space="0" w:color="F9C606" w:themeColor="accent5"/>
        <w:bottom w:val="single" w:sz="8" w:space="0" w:color="F9C606" w:themeColor="accent5"/>
      </w:tblBorders>
    </w:tblPr>
    <w:tblStylePr w:type="firstRow">
      <w:rPr>
        <w:rFonts w:asciiTheme="majorHAnsi" w:eastAsiaTheme="majorEastAsia" w:hAnsiTheme="majorHAnsi" w:cstheme="majorBidi"/>
      </w:rPr>
      <w:tblPr/>
      <w:tcPr>
        <w:tcBorders>
          <w:top w:val="nil"/>
          <w:bottom w:val="single" w:sz="8" w:space="0" w:color="F9C606" w:themeColor="accent5"/>
        </w:tcBorders>
      </w:tcPr>
    </w:tblStylePr>
    <w:tblStylePr w:type="lastRow">
      <w:rPr>
        <w:b/>
        <w:bCs/>
        <w:color w:val="5F6369" w:themeColor="text2"/>
      </w:rPr>
      <w:tblPr/>
      <w:tcPr>
        <w:tcBorders>
          <w:top w:val="single" w:sz="8" w:space="0" w:color="F9C606" w:themeColor="accent5"/>
          <w:bottom w:val="single" w:sz="8" w:space="0" w:color="F9C606" w:themeColor="accent5"/>
        </w:tcBorders>
      </w:tcPr>
    </w:tblStylePr>
    <w:tblStylePr w:type="firstCol">
      <w:rPr>
        <w:b/>
        <w:bCs/>
      </w:rPr>
    </w:tblStylePr>
    <w:tblStylePr w:type="lastCol">
      <w:rPr>
        <w:b/>
        <w:bCs/>
      </w:rPr>
      <w:tblPr/>
      <w:tcPr>
        <w:tcBorders>
          <w:top w:val="single" w:sz="8" w:space="0" w:color="F9C606" w:themeColor="accent5"/>
          <w:bottom w:val="single" w:sz="8" w:space="0" w:color="F9C606" w:themeColor="accent5"/>
        </w:tcBorders>
      </w:tcPr>
    </w:tblStylePr>
    <w:tblStylePr w:type="band1Vert">
      <w:tblPr/>
      <w:tcPr>
        <w:shd w:val="clear" w:color="auto" w:fill="FDF0C1" w:themeFill="accent5" w:themeFillTint="3F"/>
      </w:tcPr>
    </w:tblStylePr>
    <w:tblStylePr w:type="band1Horz">
      <w:tblPr/>
      <w:tcPr>
        <w:shd w:val="clear" w:color="auto" w:fill="FDF0C1" w:themeFill="accent5" w:themeFillTint="3F"/>
      </w:tcPr>
    </w:tblStylePr>
  </w:style>
  <w:style w:type="table" w:styleId="MediumList1-Accent6">
    <w:name w:val="Medium List 1 Accent 6"/>
    <w:basedOn w:val="TableNormal"/>
    <w:uiPriority w:val="65"/>
    <w:semiHidden/>
    <w:unhideWhenUsed/>
    <w:rsid w:val="006633DE"/>
    <w:pPr>
      <w:spacing w:after="260" w:line="240" w:lineRule="auto"/>
    </w:pPr>
    <w:rPr>
      <w:color w:val="000000" w:themeColor="text1"/>
    </w:rPr>
    <w:tblPr>
      <w:tblStyleRowBandSize w:val="1"/>
      <w:tblStyleColBandSize w:val="1"/>
      <w:tblBorders>
        <w:top w:val="single" w:sz="8" w:space="0" w:color="C4D82E" w:themeColor="accent6"/>
        <w:bottom w:val="single" w:sz="8" w:space="0" w:color="C4D82E" w:themeColor="accent6"/>
      </w:tblBorders>
    </w:tblPr>
    <w:tblStylePr w:type="firstRow">
      <w:rPr>
        <w:rFonts w:asciiTheme="majorHAnsi" w:eastAsiaTheme="majorEastAsia" w:hAnsiTheme="majorHAnsi" w:cstheme="majorBidi"/>
      </w:rPr>
      <w:tblPr/>
      <w:tcPr>
        <w:tcBorders>
          <w:top w:val="nil"/>
          <w:bottom w:val="single" w:sz="8" w:space="0" w:color="C4D82E" w:themeColor="accent6"/>
        </w:tcBorders>
      </w:tcPr>
    </w:tblStylePr>
    <w:tblStylePr w:type="lastRow">
      <w:rPr>
        <w:b/>
        <w:bCs/>
        <w:color w:val="5F6369" w:themeColor="text2"/>
      </w:rPr>
      <w:tblPr/>
      <w:tcPr>
        <w:tcBorders>
          <w:top w:val="single" w:sz="8" w:space="0" w:color="C4D82E" w:themeColor="accent6"/>
          <w:bottom w:val="single" w:sz="8" w:space="0" w:color="C4D82E" w:themeColor="accent6"/>
        </w:tcBorders>
      </w:tcPr>
    </w:tblStylePr>
    <w:tblStylePr w:type="firstCol">
      <w:rPr>
        <w:b/>
        <w:bCs/>
      </w:rPr>
    </w:tblStylePr>
    <w:tblStylePr w:type="lastCol">
      <w:rPr>
        <w:b/>
        <w:bCs/>
      </w:rPr>
      <w:tblPr/>
      <w:tcPr>
        <w:tcBorders>
          <w:top w:val="single" w:sz="8" w:space="0" w:color="C4D82E" w:themeColor="accent6"/>
          <w:bottom w:val="single" w:sz="8" w:space="0" w:color="C4D82E" w:themeColor="accent6"/>
        </w:tcBorders>
      </w:tcPr>
    </w:tblStylePr>
    <w:tblStylePr w:type="band1Vert">
      <w:tblPr/>
      <w:tcPr>
        <w:shd w:val="clear" w:color="auto" w:fill="F0F5CB" w:themeFill="accent6" w:themeFillTint="3F"/>
      </w:tcPr>
    </w:tblStylePr>
    <w:tblStylePr w:type="band1Horz">
      <w:tblPr/>
      <w:tcPr>
        <w:shd w:val="clear" w:color="auto" w:fill="F0F5CB" w:themeFill="accent6" w:themeFillTint="3F"/>
      </w:tcPr>
    </w:tblStylePr>
  </w:style>
  <w:style w:type="table" w:styleId="MediumList2">
    <w:name w:val="Medium List 2"/>
    <w:basedOn w:val="TableNormal"/>
    <w:uiPriority w:val="66"/>
    <w:semiHidden/>
    <w:unhideWhenUsed/>
    <w:rsid w:val="006633DE"/>
    <w:pPr>
      <w:spacing w:after="26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6633DE"/>
    <w:pPr>
      <w:spacing w:after="26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2884" w:themeColor="accent1"/>
        <w:left w:val="single" w:sz="8" w:space="0" w:color="4B2884" w:themeColor="accent1"/>
        <w:bottom w:val="single" w:sz="8" w:space="0" w:color="4B2884" w:themeColor="accent1"/>
        <w:right w:val="single" w:sz="8" w:space="0" w:color="4B2884" w:themeColor="accent1"/>
      </w:tblBorders>
    </w:tblPr>
    <w:tblStylePr w:type="firstRow">
      <w:rPr>
        <w:sz w:val="24"/>
        <w:szCs w:val="24"/>
      </w:rPr>
      <w:tblPr/>
      <w:tcPr>
        <w:tcBorders>
          <w:top w:val="nil"/>
          <w:left w:val="nil"/>
          <w:bottom w:val="single" w:sz="24" w:space="0" w:color="4B2884"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2884" w:themeColor="accent1"/>
          <w:insideH w:val="nil"/>
          <w:insideV w:val="nil"/>
        </w:tcBorders>
        <w:shd w:val="clear" w:color="auto" w:fill="FFFFFF" w:themeFill="background1"/>
      </w:tcPr>
    </w:tblStylePr>
    <w:tblStylePr w:type="lastCol">
      <w:tblPr/>
      <w:tcPr>
        <w:tcBorders>
          <w:top w:val="nil"/>
          <w:left w:val="single" w:sz="8" w:space="0" w:color="4B288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FBEEB" w:themeFill="accent1" w:themeFillTint="3F"/>
      </w:tcPr>
    </w:tblStylePr>
    <w:tblStylePr w:type="band1Horz">
      <w:tblPr/>
      <w:tcPr>
        <w:tcBorders>
          <w:top w:val="nil"/>
          <w:bottom w:val="nil"/>
          <w:insideH w:val="nil"/>
          <w:insideV w:val="nil"/>
        </w:tcBorders>
        <w:shd w:val="clear" w:color="auto" w:fill="CFBEEB"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6633DE"/>
    <w:pPr>
      <w:spacing w:after="26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B18F" w:themeColor="accent2"/>
        <w:left w:val="single" w:sz="8" w:space="0" w:color="00B18F" w:themeColor="accent2"/>
        <w:bottom w:val="single" w:sz="8" w:space="0" w:color="00B18F" w:themeColor="accent2"/>
        <w:right w:val="single" w:sz="8" w:space="0" w:color="00B18F" w:themeColor="accent2"/>
      </w:tblBorders>
    </w:tblPr>
    <w:tblStylePr w:type="firstRow">
      <w:rPr>
        <w:sz w:val="24"/>
        <w:szCs w:val="24"/>
      </w:rPr>
      <w:tblPr/>
      <w:tcPr>
        <w:tcBorders>
          <w:top w:val="nil"/>
          <w:left w:val="nil"/>
          <w:bottom w:val="single" w:sz="24" w:space="0" w:color="00B18F"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18F" w:themeColor="accent2"/>
          <w:insideH w:val="nil"/>
          <w:insideV w:val="nil"/>
        </w:tcBorders>
        <w:shd w:val="clear" w:color="auto" w:fill="FFFFFF" w:themeFill="background1"/>
      </w:tcPr>
    </w:tblStylePr>
    <w:tblStylePr w:type="lastCol">
      <w:tblPr/>
      <w:tcPr>
        <w:tcBorders>
          <w:top w:val="nil"/>
          <w:left w:val="single" w:sz="8" w:space="0" w:color="00B18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EF" w:themeFill="accent2" w:themeFillTint="3F"/>
      </w:tcPr>
    </w:tblStylePr>
    <w:tblStylePr w:type="band1Horz">
      <w:tblPr/>
      <w:tcPr>
        <w:tcBorders>
          <w:top w:val="nil"/>
          <w:bottom w:val="nil"/>
          <w:insideH w:val="nil"/>
          <w:insideV w:val="nil"/>
        </w:tcBorders>
        <w:shd w:val="clear" w:color="auto" w:fill="ACFFE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6633DE"/>
    <w:pPr>
      <w:spacing w:after="26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64CBE8" w:themeColor="accent3"/>
        <w:left w:val="single" w:sz="8" w:space="0" w:color="64CBE8" w:themeColor="accent3"/>
        <w:bottom w:val="single" w:sz="8" w:space="0" w:color="64CBE8" w:themeColor="accent3"/>
        <w:right w:val="single" w:sz="8" w:space="0" w:color="64CBE8" w:themeColor="accent3"/>
      </w:tblBorders>
    </w:tblPr>
    <w:tblStylePr w:type="firstRow">
      <w:rPr>
        <w:sz w:val="24"/>
        <w:szCs w:val="24"/>
      </w:rPr>
      <w:tblPr/>
      <w:tcPr>
        <w:tcBorders>
          <w:top w:val="nil"/>
          <w:left w:val="nil"/>
          <w:bottom w:val="single" w:sz="24" w:space="0" w:color="64CBE8"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4CBE8" w:themeColor="accent3"/>
          <w:insideH w:val="nil"/>
          <w:insideV w:val="nil"/>
        </w:tcBorders>
        <w:shd w:val="clear" w:color="auto" w:fill="FFFFFF" w:themeFill="background1"/>
      </w:tcPr>
    </w:tblStylePr>
    <w:tblStylePr w:type="lastCol">
      <w:tblPr/>
      <w:tcPr>
        <w:tcBorders>
          <w:top w:val="nil"/>
          <w:left w:val="single" w:sz="8" w:space="0" w:color="64CBE8"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8F2F9" w:themeFill="accent3" w:themeFillTint="3F"/>
      </w:tcPr>
    </w:tblStylePr>
    <w:tblStylePr w:type="band1Horz">
      <w:tblPr/>
      <w:tcPr>
        <w:tcBorders>
          <w:top w:val="nil"/>
          <w:bottom w:val="nil"/>
          <w:insideH w:val="nil"/>
          <w:insideV w:val="nil"/>
        </w:tcBorders>
        <w:shd w:val="clear" w:color="auto" w:fill="D8F2F9"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6633DE"/>
    <w:pPr>
      <w:spacing w:after="26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437B" w:themeColor="accent4"/>
        <w:left w:val="single" w:sz="8" w:space="0" w:color="00437B" w:themeColor="accent4"/>
        <w:bottom w:val="single" w:sz="8" w:space="0" w:color="00437B" w:themeColor="accent4"/>
        <w:right w:val="single" w:sz="8" w:space="0" w:color="00437B" w:themeColor="accent4"/>
      </w:tblBorders>
    </w:tblPr>
    <w:tblStylePr w:type="firstRow">
      <w:rPr>
        <w:sz w:val="24"/>
        <w:szCs w:val="24"/>
      </w:rPr>
      <w:tblPr/>
      <w:tcPr>
        <w:tcBorders>
          <w:top w:val="nil"/>
          <w:left w:val="nil"/>
          <w:bottom w:val="single" w:sz="24" w:space="0" w:color="00437B"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437B" w:themeColor="accent4"/>
          <w:insideH w:val="nil"/>
          <w:insideV w:val="nil"/>
        </w:tcBorders>
        <w:shd w:val="clear" w:color="auto" w:fill="FFFFFF" w:themeFill="background1"/>
      </w:tcPr>
    </w:tblStylePr>
    <w:tblStylePr w:type="lastCol">
      <w:tblPr/>
      <w:tcPr>
        <w:tcBorders>
          <w:top w:val="nil"/>
          <w:left w:val="single" w:sz="8" w:space="0" w:color="00437B"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FD3FF" w:themeFill="accent4" w:themeFillTint="3F"/>
      </w:tcPr>
    </w:tblStylePr>
    <w:tblStylePr w:type="band1Horz">
      <w:tblPr/>
      <w:tcPr>
        <w:tcBorders>
          <w:top w:val="nil"/>
          <w:bottom w:val="nil"/>
          <w:insideH w:val="nil"/>
          <w:insideV w:val="nil"/>
        </w:tcBorders>
        <w:shd w:val="clear" w:color="auto" w:fill="9FD3FF"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6633DE"/>
    <w:pPr>
      <w:spacing w:after="26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9C606" w:themeColor="accent5"/>
        <w:left w:val="single" w:sz="8" w:space="0" w:color="F9C606" w:themeColor="accent5"/>
        <w:bottom w:val="single" w:sz="8" w:space="0" w:color="F9C606" w:themeColor="accent5"/>
        <w:right w:val="single" w:sz="8" w:space="0" w:color="F9C606" w:themeColor="accent5"/>
      </w:tblBorders>
    </w:tblPr>
    <w:tblStylePr w:type="firstRow">
      <w:rPr>
        <w:sz w:val="24"/>
        <w:szCs w:val="24"/>
      </w:rPr>
      <w:tblPr/>
      <w:tcPr>
        <w:tcBorders>
          <w:top w:val="nil"/>
          <w:left w:val="nil"/>
          <w:bottom w:val="single" w:sz="24" w:space="0" w:color="F9C606"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9C606" w:themeColor="accent5"/>
          <w:insideH w:val="nil"/>
          <w:insideV w:val="nil"/>
        </w:tcBorders>
        <w:shd w:val="clear" w:color="auto" w:fill="FFFFFF" w:themeFill="background1"/>
      </w:tcPr>
    </w:tblStylePr>
    <w:tblStylePr w:type="lastCol">
      <w:tblPr/>
      <w:tcPr>
        <w:tcBorders>
          <w:top w:val="nil"/>
          <w:left w:val="single" w:sz="8" w:space="0" w:color="F9C60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F0C1" w:themeFill="accent5" w:themeFillTint="3F"/>
      </w:tcPr>
    </w:tblStylePr>
    <w:tblStylePr w:type="band1Horz">
      <w:tblPr/>
      <w:tcPr>
        <w:tcBorders>
          <w:top w:val="nil"/>
          <w:bottom w:val="nil"/>
          <w:insideH w:val="nil"/>
          <w:insideV w:val="nil"/>
        </w:tcBorders>
        <w:shd w:val="clear" w:color="auto" w:fill="FDF0C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6633DE"/>
    <w:pPr>
      <w:spacing w:after="26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4D82E" w:themeColor="accent6"/>
        <w:left w:val="single" w:sz="8" w:space="0" w:color="C4D82E" w:themeColor="accent6"/>
        <w:bottom w:val="single" w:sz="8" w:space="0" w:color="C4D82E" w:themeColor="accent6"/>
        <w:right w:val="single" w:sz="8" w:space="0" w:color="C4D82E" w:themeColor="accent6"/>
      </w:tblBorders>
    </w:tblPr>
    <w:tblStylePr w:type="firstRow">
      <w:rPr>
        <w:sz w:val="24"/>
        <w:szCs w:val="24"/>
      </w:rPr>
      <w:tblPr/>
      <w:tcPr>
        <w:tcBorders>
          <w:top w:val="nil"/>
          <w:left w:val="nil"/>
          <w:bottom w:val="single" w:sz="24" w:space="0" w:color="C4D82E"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4D82E" w:themeColor="accent6"/>
          <w:insideH w:val="nil"/>
          <w:insideV w:val="nil"/>
        </w:tcBorders>
        <w:shd w:val="clear" w:color="auto" w:fill="FFFFFF" w:themeFill="background1"/>
      </w:tcPr>
    </w:tblStylePr>
    <w:tblStylePr w:type="lastCol">
      <w:tblPr/>
      <w:tcPr>
        <w:tcBorders>
          <w:top w:val="nil"/>
          <w:left w:val="single" w:sz="8" w:space="0" w:color="C4D82E"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0F5CB" w:themeFill="accent6" w:themeFillTint="3F"/>
      </w:tcPr>
    </w:tblStylePr>
    <w:tblStylePr w:type="band1Horz">
      <w:tblPr/>
      <w:tcPr>
        <w:tcBorders>
          <w:top w:val="nil"/>
          <w:bottom w:val="nil"/>
          <w:insideH w:val="nil"/>
          <w:insideV w:val="nil"/>
        </w:tcBorders>
        <w:shd w:val="clear" w:color="auto" w:fill="F0F5CB"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6633DE"/>
    <w:pPr>
      <w:spacing w:after="26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6633DE"/>
    <w:pPr>
      <w:spacing w:after="260" w:line="240" w:lineRule="auto"/>
    </w:pPr>
    <w:tblPr>
      <w:tblStyleRowBandSize w:val="1"/>
      <w:tblStyleColBandSize w:val="1"/>
      <w:tblBorders>
        <w:top w:val="single" w:sz="8" w:space="0" w:color="703CC4" w:themeColor="accent1" w:themeTint="BF"/>
        <w:left w:val="single" w:sz="8" w:space="0" w:color="703CC4" w:themeColor="accent1" w:themeTint="BF"/>
        <w:bottom w:val="single" w:sz="8" w:space="0" w:color="703CC4" w:themeColor="accent1" w:themeTint="BF"/>
        <w:right w:val="single" w:sz="8" w:space="0" w:color="703CC4" w:themeColor="accent1" w:themeTint="BF"/>
        <w:insideH w:val="single" w:sz="8" w:space="0" w:color="703CC4" w:themeColor="accent1" w:themeTint="BF"/>
      </w:tblBorders>
    </w:tblPr>
    <w:tblStylePr w:type="firstRow">
      <w:pPr>
        <w:spacing w:before="0" w:after="0" w:line="240" w:lineRule="auto"/>
      </w:pPr>
      <w:rPr>
        <w:b/>
        <w:bCs/>
        <w:color w:val="FFFFFF" w:themeColor="background1"/>
      </w:rPr>
      <w:tblPr/>
      <w:tcPr>
        <w:tcBorders>
          <w:top w:val="single" w:sz="8" w:space="0" w:color="703CC4" w:themeColor="accent1" w:themeTint="BF"/>
          <w:left w:val="single" w:sz="8" w:space="0" w:color="703CC4" w:themeColor="accent1" w:themeTint="BF"/>
          <w:bottom w:val="single" w:sz="8" w:space="0" w:color="703CC4" w:themeColor="accent1" w:themeTint="BF"/>
          <w:right w:val="single" w:sz="8" w:space="0" w:color="703CC4" w:themeColor="accent1" w:themeTint="BF"/>
          <w:insideH w:val="nil"/>
          <w:insideV w:val="nil"/>
        </w:tcBorders>
        <w:shd w:val="clear" w:color="auto" w:fill="4B2884" w:themeFill="accent1"/>
      </w:tcPr>
    </w:tblStylePr>
    <w:tblStylePr w:type="lastRow">
      <w:pPr>
        <w:spacing w:before="0" w:after="0" w:line="240" w:lineRule="auto"/>
      </w:pPr>
      <w:rPr>
        <w:b/>
        <w:bCs/>
      </w:rPr>
      <w:tblPr/>
      <w:tcPr>
        <w:tcBorders>
          <w:top w:val="double" w:sz="6" w:space="0" w:color="703CC4" w:themeColor="accent1" w:themeTint="BF"/>
          <w:left w:val="single" w:sz="8" w:space="0" w:color="703CC4" w:themeColor="accent1" w:themeTint="BF"/>
          <w:bottom w:val="single" w:sz="8" w:space="0" w:color="703CC4" w:themeColor="accent1" w:themeTint="BF"/>
          <w:right w:val="single" w:sz="8" w:space="0" w:color="703CC4" w:themeColor="accent1" w:themeTint="BF"/>
          <w:insideH w:val="nil"/>
          <w:insideV w:val="nil"/>
        </w:tcBorders>
      </w:tcPr>
    </w:tblStylePr>
    <w:tblStylePr w:type="firstCol">
      <w:rPr>
        <w:b/>
        <w:bCs/>
      </w:rPr>
    </w:tblStylePr>
    <w:tblStylePr w:type="lastCol">
      <w:rPr>
        <w:b/>
        <w:bCs/>
      </w:rPr>
    </w:tblStylePr>
    <w:tblStylePr w:type="band1Vert">
      <w:tblPr/>
      <w:tcPr>
        <w:shd w:val="clear" w:color="auto" w:fill="CFBEEB" w:themeFill="accent1" w:themeFillTint="3F"/>
      </w:tcPr>
    </w:tblStylePr>
    <w:tblStylePr w:type="band1Horz">
      <w:tblPr/>
      <w:tcPr>
        <w:tcBorders>
          <w:insideH w:val="nil"/>
          <w:insideV w:val="nil"/>
        </w:tcBorders>
        <w:shd w:val="clear" w:color="auto" w:fill="CFBEEB"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6633DE"/>
    <w:pPr>
      <w:spacing w:after="260" w:line="240" w:lineRule="auto"/>
    </w:pPr>
    <w:tblPr>
      <w:tblStyleRowBandSize w:val="1"/>
      <w:tblStyleColBandSize w:val="1"/>
      <w:tblBorders>
        <w:top w:val="single" w:sz="8" w:space="0" w:color="05FFCF" w:themeColor="accent2" w:themeTint="BF"/>
        <w:left w:val="single" w:sz="8" w:space="0" w:color="05FFCF" w:themeColor="accent2" w:themeTint="BF"/>
        <w:bottom w:val="single" w:sz="8" w:space="0" w:color="05FFCF" w:themeColor="accent2" w:themeTint="BF"/>
        <w:right w:val="single" w:sz="8" w:space="0" w:color="05FFCF" w:themeColor="accent2" w:themeTint="BF"/>
        <w:insideH w:val="single" w:sz="8" w:space="0" w:color="05FFCF" w:themeColor="accent2" w:themeTint="BF"/>
      </w:tblBorders>
    </w:tblPr>
    <w:tblStylePr w:type="firstRow">
      <w:pPr>
        <w:spacing w:before="0" w:after="0" w:line="240" w:lineRule="auto"/>
      </w:pPr>
      <w:rPr>
        <w:b/>
        <w:bCs/>
        <w:color w:val="FFFFFF" w:themeColor="background1"/>
      </w:rPr>
      <w:tblPr/>
      <w:tcPr>
        <w:tcBorders>
          <w:top w:val="single" w:sz="8" w:space="0" w:color="05FFCF" w:themeColor="accent2" w:themeTint="BF"/>
          <w:left w:val="single" w:sz="8" w:space="0" w:color="05FFCF" w:themeColor="accent2" w:themeTint="BF"/>
          <w:bottom w:val="single" w:sz="8" w:space="0" w:color="05FFCF" w:themeColor="accent2" w:themeTint="BF"/>
          <w:right w:val="single" w:sz="8" w:space="0" w:color="05FFCF" w:themeColor="accent2" w:themeTint="BF"/>
          <w:insideH w:val="nil"/>
          <w:insideV w:val="nil"/>
        </w:tcBorders>
        <w:shd w:val="clear" w:color="auto" w:fill="00B18F" w:themeFill="accent2"/>
      </w:tcPr>
    </w:tblStylePr>
    <w:tblStylePr w:type="lastRow">
      <w:pPr>
        <w:spacing w:before="0" w:after="0" w:line="240" w:lineRule="auto"/>
      </w:pPr>
      <w:rPr>
        <w:b/>
        <w:bCs/>
      </w:rPr>
      <w:tblPr/>
      <w:tcPr>
        <w:tcBorders>
          <w:top w:val="double" w:sz="6" w:space="0" w:color="05FFCF" w:themeColor="accent2" w:themeTint="BF"/>
          <w:left w:val="single" w:sz="8" w:space="0" w:color="05FFCF" w:themeColor="accent2" w:themeTint="BF"/>
          <w:bottom w:val="single" w:sz="8" w:space="0" w:color="05FFCF" w:themeColor="accent2" w:themeTint="BF"/>
          <w:right w:val="single" w:sz="8" w:space="0" w:color="05FFCF" w:themeColor="accent2" w:themeTint="BF"/>
          <w:insideH w:val="nil"/>
          <w:insideV w:val="nil"/>
        </w:tcBorders>
      </w:tcPr>
    </w:tblStylePr>
    <w:tblStylePr w:type="firstCol">
      <w:rPr>
        <w:b/>
        <w:bCs/>
      </w:rPr>
    </w:tblStylePr>
    <w:tblStylePr w:type="lastCol">
      <w:rPr>
        <w:b/>
        <w:bCs/>
      </w:rPr>
    </w:tblStylePr>
    <w:tblStylePr w:type="band1Vert">
      <w:tblPr/>
      <w:tcPr>
        <w:shd w:val="clear" w:color="auto" w:fill="ACFFEF" w:themeFill="accent2" w:themeFillTint="3F"/>
      </w:tcPr>
    </w:tblStylePr>
    <w:tblStylePr w:type="band1Horz">
      <w:tblPr/>
      <w:tcPr>
        <w:tcBorders>
          <w:insideH w:val="nil"/>
          <w:insideV w:val="nil"/>
        </w:tcBorders>
        <w:shd w:val="clear" w:color="auto" w:fill="ACFFE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6633DE"/>
    <w:pPr>
      <w:spacing w:after="260" w:line="240" w:lineRule="auto"/>
    </w:pPr>
    <w:tblPr>
      <w:tblStyleRowBandSize w:val="1"/>
      <w:tblStyleColBandSize w:val="1"/>
      <w:tblBorders>
        <w:top w:val="single" w:sz="8" w:space="0" w:color="8AD7ED" w:themeColor="accent3" w:themeTint="BF"/>
        <w:left w:val="single" w:sz="8" w:space="0" w:color="8AD7ED" w:themeColor="accent3" w:themeTint="BF"/>
        <w:bottom w:val="single" w:sz="8" w:space="0" w:color="8AD7ED" w:themeColor="accent3" w:themeTint="BF"/>
        <w:right w:val="single" w:sz="8" w:space="0" w:color="8AD7ED" w:themeColor="accent3" w:themeTint="BF"/>
        <w:insideH w:val="single" w:sz="8" w:space="0" w:color="8AD7ED" w:themeColor="accent3" w:themeTint="BF"/>
      </w:tblBorders>
    </w:tblPr>
    <w:tblStylePr w:type="firstRow">
      <w:pPr>
        <w:spacing w:before="0" w:after="0" w:line="240" w:lineRule="auto"/>
      </w:pPr>
      <w:rPr>
        <w:b/>
        <w:bCs/>
        <w:color w:val="FFFFFF" w:themeColor="background1"/>
      </w:rPr>
      <w:tblPr/>
      <w:tcPr>
        <w:tcBorders>
          <w:top w:val="single" w:sz="8" w:space="0" w:color="8AD7ED" w:themeColor="accent3" w:themeTint="BF"/>
          <w:left w:val="single" w:sz="8" w:space="0" w:color="8AD7ED" w:themeColor="accent3" w:themeTint="BF"/>
          <w:bottom w:val="single" w:sz="8" w:space="0" w:color="8AD7ED" w:themeColor="accent3" w:themeTint="BF"/>
          <w:right w:val="single" w:sz="8" w:space="0" w:color="8AD7ED" w:themeColor="accent3" w:themeTint="BF"/>
          <w:insideH w:val="nil"/>
          <w:insideV w:val="nil"/>
        </w:tcBorders>
        <w:shd w:val="clear" w:color="auto" w:fill="64CBE8" w:themeFill="accent3"/>
      </w:tcPr>
    </w:tblStylePr>
    <w:tblStylePr w:type="lastRow">
      <w:pPr>
        <w:spacing w:before="0" w:after="0" w:line="240" w:lineRule="auto"/>
      </w:pPr>
      <w:rPr>
        <w:b/>
        <w:bCs/>
      </w:rPr>
      <w:tblPr/>
      <w:tcPr>
        <w:tcBorders>
          <w:top w:val="double" w:sz="6" w:space="0" w:color="8AD7ED" w:themeColor="accent3" w:themeTint="BF"/>
          <w:left w:val="single" w:sz="8" w:space="0" w:color="8AD7ED" w:themeColor="accent3" w:themeTint="BF"/>
          <w:bottom w:val="single" w:sz="8" w:space="0" w:color="8AD7ED" w:themeColor="accent3" w:themeTint="BF"/>
          <w:right w:val="single" w:sz="8" w:space="0" w:color="8AD7ED" w:themeColor="accent3" w:themeTint="BF"/>
          <w:insideH w:val="nil"/>
          <w:insideV w:val="nil"/>
        </w:tcBorders>
      </w:tcPr>
    </w:tblStylePr>
    <w:tblStylePr w:type="firstCol">
      <w:rPr>
        <w:b/>
        <w:bCs/>
      </w:rPr>
    </w:tblStylePr>
    <w:tblStylePr w:type="lastCol">
      <w:rPr>
        <w:b/>
        <w:bCs/>
      </w:rPr>
    </w:tblStylePr>
    <w:tblStylePr w:type="band1Vert">
      <w:tblPr/>
      <w:tcPr>
        <w:shd w:val="clear" w:color="auto" w:fill="D8F2F9" w:themeFill="accent3" w:themeFillTint="3F"/>
      </w:tcPr>
    </w:tblStylePr>
    <w:tblStylePr w:type="band1Horz">
      <w:tblPr/>
      <w:tcPr>
        <w:tcBorders>
          <w:insideH w:val="nil"/>
          <w:insideV w:val="nil"/>
        </w:tcBorders>
        <w:shd w:val="clear" w:color="auto" w:fill="D8F2F9"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6633DE"/>
    <w:pPr>
      <w:spacing w:after="260" w:line="240" w:lineRule="auto"/>
    </w:pPr>
    <w:tblPr>
      <w:tblStyleRowBandSize w:val="1"/>
      <w:tblStyleColBandSize w:val="1"/>
      <w:tblBorders>
        <w:top w:val="single" w:sz="8" w:space="0" w:color="0077DC" w:themeColor="accent4" w:themeTint="BF"/>
        <w:left w:val="single" w:sz="8" w:space="0" w:color="0077DC" w:themeColor="accent4" w:themeTint="BF"/>
        <w:bottom w:val="single" w:sz="8" w:space="0" w:color="0077DC" w:themeColor="accent4" w:themeTint="BF"/>
        <w:right w:val="single" w:sz="8" w:space="0" w:color="0077DC" w:themeColor="accent4" w:themeTint="BF"/>
        <w:insideH w:val="single" w:sz="8" w:space="0" w:color="0077DC" w:themeColor="accent4" w:themeTint="BF"/>
      </w:tblBorders>
    </w:tblPr>
    <w:tblStylePr w:type="firstRow">
      <w:pPr>
        <w:spacing w:before="0" w:after="0" w:line="240" w:lineRule="auto"/>
      </w:pPr>
      <w:rPr>
        <w:b/>
        <w:bCs/>
        <w:color w:val="FFFFFF" w:themeColor="background1"/>
      </w:rPr>
      <w:tblPr/>
      <w:tcPr>
        <w:tcBorders>
          <w:top w:val="single" w:sz="8" w:space="0" w:color="0077DC" w:themeColor="accent4" w:themeTint="BF"/>
          <w:left w:val="single" w:sz="8" w:space="0" w:color="0077DC" w:themeColor="accent4" w:themeTint="BF"/>
          <w:bottom w:val="single" w:sz="8" w:space="0" w:color="0077DC" w:themeColor="accent4" w:themeTint="BF"/>
          <w:right w:val="single" w:sz="8" w:space="0" w:color="0077DC" w:themeColor="accent4" w:themeTint="BF"/>
          <w:insideH w:val="nil"/>
          <w:insideV w:val="nil"/>
        </w:tcBorders>
        <w:shd w:val="clear" w:color="auto" w:fill="00437B" w:themeFill="accent4"/>
      </w:tcPr>
    </w:tblStylePr>
    <w:tblStylePr w:type="lastRow">
      <w:pPr>
        <w:spacing w:before="0" w:after="0" w:line="240" w:lineRule="auto"/>
      </w:pPr>
      <w:rPr>
        <w:b/>
        <w:bCs/>
      </w:rPr>
      <w:tblPr/>
      <w:tcPr>
        <w:tcBorders>
          <w:top w:val="double" w:sz="6" w:space="0" w:color="0077DC" w:themeColor="accent4" w:themeTint="BF"/>
          <w:left w:val="single" w:sz="8" w:space="0" w:color="0077DC" w:themeColor="accent4" w:themeTint="BF"/>
          <w:bottom w:val="single" w:sz="8" w:space="0" w:color="0077DC" w:themeColor="accent4" w:themeTint="BF"/>
          <w:right w:val="single" w:sz="8" w:space="0" w:color="0077DC" w:themeColor="accent4" w:themeTint="BF"/>
          <w:insideH w:val="nil"/>
          <w:insideV w:val="nil"/>
        </w:tcBorders>
      </w:tcPr>
    </w:tblStylePr>
    <w:tblStylePr w:type="firstCol">
      <w:rPr>
        <w:b/>
        <w:bCs/>
      </w:rPr>
    </w:tblStylePr>
    <w:tblStylePr w:type="lastCol">
      <w:rPr>
        <w:b/>
        <w:bCs/>
      </w:rPr>
    </w:tblStylePr>
    <w:tblStylePr w:type="band1Vert">
      <w:tblPr/>
      <w:tcPr>
        <w:shd w:val="clear" w:color="auto" w:fill="9FD3FF" w:themeFill="accent4" w:themeFillTint="3F"/>
      </w:tcPr>
    </w:tblStylePr>
    <w:tblStylePr w:type="band1Horz">
      <w:tblPr/>
      <w:tcPr>
        <w:tcBorders>
          <w:insideH w:val="nil"/>
          <w:insideV w:val="nil"/>
        </w:tcBorders>
        <w:shd w:val="clear" w:color="auto" w:fill="9FD3FF"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6633DE"/>
    <w:pPr>
      <w:spacing w:after="260" w:line="240" w:lineRule="auto"/>
    </w:pPr>
    <w:tblPr>
      <w:tblStyleRowBandSize w:val="1"/>
      <w:tblStyleColBandSize w:val="1"/>
      <w:tblBorders>
        <w:top w:val="single" w:sz="8" w:space="0" w:color="FAD444" w:themeColor="accent5" w:themeTint="BF"/>
        <w:left w:val="single" w:sz="8" w:space="0" w:color="FAD444" w:themeColor="accent5" w:themeTint="BF"/>
        <w:bottom w:val="single" w:sz="8" w:space="0" w:color="FAD444" w:themeColor="accent5" w:themeTint="BF"/>
        <w:right w:val="single" w:sz="8" w:space="0" w:color="FAD444" w:themeColor="accent5" w:themeTint="BF"/>
        <w:insideH w:val="single" w:sz="8" w:space="0" w:color="FAD444" w:themeColor="accent5" w:themeTint="BF"/>
      </w:tblBorders>
    </w:tblPr>
    <w:tblStylePr w:type="firstRow">
      <w:pPr>
        <w:spacing w:before="0" w:after="0" w:line="240" w:lineRule="auto"/>
      </w:pPr>
      <w:rPr>
        <w:b/>
        <w:bCs/>
        <w:color w:val="FFFFFF" w:themeColor="background1"/>
      </w:rPr>
      <w:tblPr/>
      <w:tcPr>
        <w:tcBorders>
          <w:top w:val="single" w:sz="8" w:space="0" w:color="FAD444" w:themeColor="accent5" w:themeTint="BF"/>
          <w:left w:val="single" w:sz="8" w:space="0" w:color="FAD444" w:themeColor="accent5" w:themeTint="BF"/>
          <w:bottom w:val="single" w:sz="8" w:space="0" w:color="FAD444" w:themeColor="accent5" w:themeTint="BF"/>
          <w:right w:val="single" w:sz="8" w:space="0" w:color="FAD444" w:themeColor="accent5" w:themeTint="BF"/>
          <w:insideH w:val="nil"/>
          <w:insideV w:val="nil"/>
        </w:tcBorders>
        <w:shd w:val="clear" w:color="auto" w:fill="F9C606" w:themeFill="accent5"/>
      </w:tcPr>
    </w:tblStylePr>
    <w:tblStylePr w:type="lastRow">
      <w:pPr>
        <w:spacing w:before="0" w:after="0" w:line="240" w:lineRule="auto"/>
      </w:pPr>
      <w:rPr>
        <w:b/>
        <w:bCs/>
      </w:rPr>
      <w:tblPr/>
      <w:tcPr>
        <w:tcBorders>
          <w:top w:val="double" w:sz="6" w:space="0" w:color="FAD444" w:themeColor="accent5" w:themeTint="BF"/>
          <w:left w:val="single" w:sz="8" w:space="0" w:color="FAD444" w:themeColor="accent5" w:themeTint="BF"/>
          <w:bottom w:val="single" w:sz="8" w:space="0" w:color="FAD444" w:themeColor="accent5" w:themeTint="BF"/>
          <w:right w:val="single" w:sz="8" w:space="0" w:color="FAD444" w:themeColor="accent5" w:themeTint="BF"/>
          <w:insideH w:val="nil"/>
          <w:insideV w:val="nil"/>
        </w:tcBorders>
      </w:tcPr>
    </w:tblStylePr>
    <w:tblStylePr w:type="firstCol">
      <w:rPr>
        <w:b/>
        <w:bCs/>
      </w:rPr>
    </w:tblStylePr>
    <w:tblStylePr w:type="lastCol">
      <w:rPr>
        <w:b/>
        <w:bCs/>
      </w:rPr>
    </w:tblStylePr>
    <w:tblStylePr w:type="band1Vert">
      <w:tblPr/>
      <w:tcPr>
        <w:shd w:val="clear" w:color="auto" w:fill="FDF0C1" w:themeFill="accent5" w:themeFillTint="3F"/>
      </w:tcPr>
    </w:tblStylePr>
    <w:tblStylePr w:type="band1Horz">
      <w:tblPr/>
      <w:tcPr>
        <w:tcBorders>
          <w:insideH w:val="nil"/>
          <w:insideV w:val="nil"/>
        </w:tcBorders>
        <w:shd w:val="clear" w:color="auto" w:fill="FDF0C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6633DE"/>
    <w:pPr>
      <w:spacing w:after="260" w:line="240" w:lineRule="auto"/>
    </w:pPr>
    <w:tblPr>
      <w:tblStyleRowBandSize w:val="1"/>
      <w:tblStyleColBandSize w:val="1"/>
      <w:tblBorders>
        <w:top w:val="single" w:sz="8" w:space="0" w:color="D2E162" w:themeColor="accent6" w:themeTint="BF"/>
        <w:left w:val="single" w:sz="8" w:space="0" w:color="D2E162" w:themeColor="accent6" w:themeTint="BF"/>
        <w:bottom w:val="single" w:sz="8" w:space="0" w:color="D2E162" w:themeColor="accent6" w:themeTint="BF"/>
        <w:right w:val="single" w:sz="8" w:space="0" w:color="D2E162" w:themeColor="accent6" w:themeTint="BF"/>
        <w:insideH w:val="single" w:sz="8" w:space="0" w:color="D2E162" w:themeColor="accent6" w:themeTint="BF"/>
      </w:tblBorders>
    </w:tblPr>
    <w:tblStylePr w:type="firstRow">
      <w:pPr>
        <w:spacing w:before="0" w:after="0" w:line="240" w:lineRule="auto"/>
      </w:pPr>
      <w:rPr>
        <w:b/>
        <w:bCs/>
        <w:color w:val="FFFFFF" w:themeColor="background1"/>
      </w:rPr>
      <w:tblPr/>
      <w:tcPr>
        <w:tcBorders>
          <w:top w:val="single" w:sz="8" w:space="0" w:color="D2E162" w:themeColor="accent6" w:themeTint="BF"/>
          <w:left w:val="single" w:sz="8" w:space="0" w:color="D2E162" w:themeColor="accent6" w:themeTint="BF"/>
          <w:bottom w:val="single" w:sz="8" w:space="0" w:color="D2E162" w:themeColor="accent6" w:themeTint="BF"/>
          <w:right w:val="single" w:sz="8" w:space="0" w:color="D2E162" w:themeColor="accent6" w:themeTint="BF"/>
          <w:insideH w:val="nil"/>
          <w:insideV w:val="nil"/>
        </w:tcBorders>
        <w:shd w:val="clear" w:color="auto" w:fill="C4D82E" w:themeFill="accent6"/>
      </w:tcPr>
    </w:tblStylePr>
    <w:tblStylePr w:type="lastRow">
      <w:pPr>
        <w:spacing w:before="0" w:after="0" w:line="240" w:lineRule="auto"/>
      </w:pPr>
      <w:rPr>
        <w:b/>
        <w:bCs/>
      </w:rPr>
      <w:tblPr/>
      <w:tcPr>
        <w:tcBorders>
          <w:top w:val="double" w:sz="6" w:space="0" w:color="D2E162" w:themeColor="accent6" w:themeTint="BF"/>
          <w:left w:val="single" w:sz="8" w:space="0" w:color="D2E162" w:themeColor="accent6" w:themeTint="BF"/>
          <w:bottom w:val="single" w:sz="8" w:space="0" w:color="D2E162" w:themeColor="accent6" w:themeTint="BF"/>
          <w:right w:val="single" w:sz="8" w:space="0" w:color="D2E162" w:themeColor="accent6" w:themeTint="BF"/>
          <w:insideH w:val="nil"/>
          <w:insideV w:val="nil"/>
        </w:tcBorders>
      </w:tcPr>
    </w:tblStylePr>
    <w:tblStylePr w:type="firstCol">
      <w:rPr>
        <w:b/>
        <w:bCs/>
      </w:rPr>
    </w:tblStylePr>
    <w:tblStylePr w:type="lastCol">
      <w:rPr>
        <w:b/>
        <w:bCs/>
      </w:rPr>
    </w:tblStylePr>
    <w:tblStylePr w:type="band1Vert">
      <w:tblPr/>
      <w:tcPr>
        <w:shd w:val="clear" w:color="auto" w:fill="F0F5CB" w:themeFill="accent6" w:themeFillTint="3F"/>
      </w:tcPr>
    </w:tblStylePr>
    <w:tblStylePr w:type="band1Horz">
      <w:tblPr/>
      <w:tcPr>
        <w:tcBorders>
          <w:insideH w:val="nil"/>
          <w:insideV w:val="nil"/>
        </w:tcBorders>
        <w:shd w:val="clear" w:color="auto" w:fill="F0F5CB"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6633DE"/>
    <w:pPr>
      <w:spacing w:after="26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6633DE"/>
    <w:pPr>
      <w:spacing w:after="26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288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B2884" w:themeFill="accent1"/>
      </w:tcPr>
    </w:tblStylePr>
    <w:tblStylePr w:type="lastCol">
      <w:rPr>
        <w:b/>
        <w:bCs/>
        <w:color w:val="FFFFFF" w:themeColor="background1"/>
      </w:rPr>
      <w:tblPr/>
      <w:tcPr>
        <w:tcBorders>
          <w:left w:val="nil"/>
          <w:right w:val="nil"/>
          <w:insideH w:val="nil"/>
          <w:insideV w:val="nil"/>
        </w:tcBorders>
        <w:shd w:val="clear" w:color="auto" w:fill="4B288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6633DE"/>
    <w:pPr>
      <w:spacing w:after="26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18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B18F" w:themeFill="accent2"/>
      </w:tcPr>
    </w:tblStylePr>
    <w:tblStylePr w:type="lastCol">
      <w:rPr>
        <w:b/>
        <w:bCs/>
        <w:color w:val="FFFFFF" w:themeColor="background1"/>
      </w:rPr>
      <w:tblPr/>
      <w:tcPr>
        <w:tcBorders>
          <w:left w:val="nil"/>
          <w:right w:val="nil"/>
          <w:insideH w:val="nil"/>
          <w:insideV w:val="nil"/>
        </w:tcBorders>
        <w:shd w:val="clear" w:color="auto" w:fill="00B18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6633DE"/>
    <w:pPr>
      <w:spacing w:after="26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4CBE8"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4CBE8" w:themeFill="accent3"/>
      </w:tcPr>
    </w:tblStylePr>
    <w:tblStylePr w:type="lastCol">
      <w:rPr>
        <w:b/>
        <w:bCs/>
        <w:color w:val="FFFFFF" w:themeColor="background1"/>
      </w:rPr>
      <w:tblPr/>
      <w:tcPr>
        <w:tcBorders>
          <w:left w:val="nil"/>
          <w:right w:val="nil"/>
          <w:insideH w:val="nil"/>
          <w:insideV w:val="nil"/>
        </w:tcBorders>
        <w:shd w:val="clear" w:color="auto" w:fill="64CBE8"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6633DE"/>
    <w:pPr>
      <w:spacing w:after="26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437B"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437B" w:themeFill="accent4"/>
      </w:tcPr>
    </w:tblStylePr>
    <w:tblStylePr w:type="lastCol">
      <w:rPr>
        <w:b/>
        <w:bCs/>
        <w:color w:val="FFFFFF" w:themeColor="background1"/>
      </w:rPr>
      <w:tblPr/>
      <w:tcPr>
        <w:tcBorders>
          <w:left w:val="nil"/>
          <w:right w:val="nil"/>
          <w:insideH w:val="nil"/>
          <w:insideV w:val="nil"/>
        </w:tcBorders>
        <w:shd w:val="clear" w:color="auto" w:fill="00437B"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6633DE"/>
    <w:pPr>
      <w:spacing w:after="26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9C60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9C606" w:themeFill="accent5"/>
      </w:tcPr>
    </w:tblStylePr>
    <w:tblStylePr w:type="lastCol">
      <w:rPr>
        <w:b/>
        <w:bCs/>
        <w:color w:val="FFFFFF" w:themeColor="background1"/>
      </w:rPr>
      <w:tblPr/>
      <w:tcPr>
        <w:tcBorders>
          <w:left w:val="nil"/>
          <w:right w:val="nil"/>
          <w:insideH w:val="nil"/>
          <w:insideV w:val="nil"/>
        </w:tcBorders>
        <w:shd w:val="clear" w:color="auto" w:fill="F9C60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6633DE"/>
    <w:pPr>
      <w:spacing w:after="26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4D82E"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4D82E" w:themeFill="accent6"/>
      </w:tcPr>
    </w:tblStylePr>
    <w:tblStylePr w:type="lastCol">
      <w:rPr>
        <w:b/>
        <w:bCs/>
        <w:color w:val="FFFFFF" w:themeColor="background1"/>
      </w:rPr>
      <w:tblPr/>
      <w:tcPr>
        <w:tcBorders>
          <w:left w:val="nil"/>
          <w:right w:val="nil"/>
          <w:insideH w:val="nil"/>
          <w:insideV w:val="nil"/>
        </w:tcBorders>
        <w:shd w:val="clear" w:color="auto" w:fill="C4D82E"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styleId="Mention">
    <w:name w:val="Mention"/>
    <w:basedOn w:val="DefaultParagraphFont"/>
    <w:uiPriority w:val="99"/>
    <w:unhideWhenUsed/>
    <w:rsid w:val="006633DE"/>
    <w:rPr>
      <w:color w:val="2B579A"/>
      <w:shd w:val="clear" w:color="auto" w:fill="E1DFDD"/>
      <w:lang w:val="en-AU"/>
    </w:rPr>
  </w:style>
  <w:style w:type="paragraph" w:styleId="MessageHeader">
    <w:name w:val="Message Header"/>
    <w:basedOn w:val="Normal"/>
    <w:link w:val="MessageHeaderChar"/>
    <w:uiPriority w:val="99"/>
    <w:semiHidden/>
    <w:rsid w:val="006633DE"/>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6633DE"/>
    <w:rPr>
      <w:rFonts w:asciiTheme="majorHAnsi" w:eastAsiaTheme="majorEastAsia" w:hAnsiTheme="majorHAnsi" w:cstheme="majorBidi"/>
      <w:sz w:val="24"/>
      <w:szCs w:val="24"/>
      <w:shd w:val="pct20" w:color="auto" w:fill="auto"/>
      <w:lang w:val="en-AU"/>
    </w:rPr>
  </w:style>
  <w:style w:type="paragraph" w:styleId="NormalWeb">
    <w:name w:val="Normal (Web)"/>
    <w:basedOn w:val="Normal"/>
    <w:uiPriority w:val="99"/>
    <w:semiHidden/>
    <w:rsid w:val="006633DE"/>
    <w:rPr>
      <w:rFonts w:ascii="Times New Roman" w:hAnsi="Times New Roman" w:cs="Times New Roman"/>
      <w:sz w:val="24"/>
      <w:szCs w:val="24"/>
    </w:rPr>
  </w:style>
  <w:style w:type="paragraph" w:styleId="NoteHeading">
    <w:name w:val="Note Heading"/>
    <w:basedOn w:val="Normal"/>
    <w:next w:val="Normal"/>
    <w:link w:val="NoteHeadingChar"/>
    <w:uiPriority w:val="99"/>
    <w:semiHidden/>
    <w:rsid w:val="006633DE"/>
    <w:pPr>
      <w:spacing w:line="240" w:lineRule="auto"/>
    </w:pPr>
  </w:style>
  <w:style w:type="character" w:customStyle="1" w:styleId="NoteHeadingChar">
    <w:name w:val="Note Heading Char"/>
    <w:basedOn w:val="DefaultParagraphFont"/>
    <w:link w:val="NoteHeading"/>
    <w:uiPriority w:val="99"/>
    <w:semiHidden/>
    <w:rsid w:val="006633DE"/>
    <w:rPr>
      <w:lang w:val="en-AU"/>
    </w:rPr>
  </w:style>
  <w:style w:type="table" w:styleId="PlainTable1">
    <w:name w:val="Plain Table 1"/>
    <w:basedOn w:val="TableNormal"/>
    <w:uiPriority w:val="41"/>
    <w:rsid w:val="006633DE"/>
    <w:pPr>
      <w:spacing w:after="26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6633DE"/>
    <w:pPr>
      <w:spacing w:after="26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6633DE"/>
    <w:pPr>
      <w:spacing w:after="26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6633DE"/>
    <w:pPr>
      <w:spacing w:after="26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6633DE"/>
    <w:pPr>
      <w:spacing w:after="26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rsid w:val="006633DE"/>
    <w:pPr>
      <w:spacing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6633DE"/>
    <w:rPr>
      <w:rFonts w:ascii="Consolas" w:hAnsi="Consolas"/>
      <w:sz w:val="21"/>
      <w:szCs w:val="21"/>
      <w:lang w:val="en-AU"/>
    </w:rPr>
  </w:style>
  <w:style w:type="paragraph" w:styleId="Salutation">
    <w:name w:val="Salutation"/>
    <w:basedOn w:val="Normal"/>
    <w:next w:val="Normal"/>
    <w:link w:val="SalutationChar"/>
    <w:uiPriority w:val="99"/>
    <w:semiHidden/>
    <w:rsid w:val="006633DE"/>
  </w:style>
  <w:style w:type="character" w:customStyle="1" w:styleId="SalutationChar">
    <w:name w:val="Salutation Char"/>
    <w:basedOn w:val="DefaultParagraphFont"/>
    <w:link w:val="Salutation"/>
    <w:uiPriority w:val="99"/>
    <w:semiHidden/>
    <w:rsid w:val="006633DE"/>
    <w:rPr>
      <w:lang w:val="en-AU"/>
    </w:rPr>
  </w:style>
  <w:style w:type="character" w:styleId="SmartHyperlink">
    <w:name w:val="Smart Hyperlink"/>
    <w:basedOn w:val="DefaultParagraphFont"/>
    <w:uiPriority w:val="99"/>
    <w:semiHidden/>
    <w:unhideWhenUsed/>
    <w:rsid w:val="006633DE"/>
    <w:rPr>
      <w:u w:val="dotted"/>
      <w:lang w:val="en-AU"/>
    </w:rPr>
  </w:style>
  <w:style w:type="table" w:styleId="Table3Deffects1">
    <w:name w:val="Table 3D effects 1"/>
    <w:basedOn w:val="TableNormal"/>
    <w:uiPriority w:val="99"/>
    <w:semiHidden/>
    <w:unhideWhenUsed/>
    <w:rsid w:val="006633DE"/>
    <w:pPr>
      <w:spacing w:after="26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6633DE"/>
    <w:pPr>
      <w:spacing w:after="26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6633DE"/>
    <w:pPr>
      <w:spacing w:after="26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6633DE"/>
    <w:pPr>
      <w:spacing w:after="26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6633DE"/>
    <w:pPr>
      <w:spacing w:after="26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6633DE"/>
    <w:pPr>
      <w:spacing w:after="26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6633DE"/>
    <w:pPr>
      <w:spacing w:after="26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6633DE"/>
    <w:pPr>
      <w:spacing w:after="26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6633DE"/>
    <w:pPr>
      <w:spacing w:after="26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6633DE"/>
    <w:pPr>
      <w:spacing w:after="26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6633DE"/>
    <w:pPr>
      <w:spacing w:after="26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6633DE"/>
    <w:pPr>
      <w:spacing w:after="26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6633DE"/>
    <w:pPr>
      <w:spacing w:after="26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6633DE"/>
    <w:pPr>
      <w:spacing w:after="26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6633DE"/>
    <w:pPr>
      <w:spacing w:after="26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6633DE"/>
    <w:pPr>
      <w:spacing w:after="26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6633DE"/>
    <w:pPr>
      <w:spacing w:after="26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6633DE"/>
    <w:pPr>
      <w:spacing w:after="26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6633DE"/>
    <w:pPr>
      <w:spacing w:after="26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6633DE"/>
    <w:pPr>
      <w:spacing w:after="26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6633DE"/>
    <w:pPr>
      <w:spacing w:after="26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6633DE"/>
    <w:pPr>
      <w:spacing w:after="26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6633DE"/>
    <w:pPr>
      <w:spacing w:after="26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6633DE"/>
    <w:pPr>
      <w:spacing w:after="26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6633DE"/>
    <w:pPr>
      <w:spacing w:after="26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6633DE"/>
    <w:pPr>
      <w:spacing w:after="26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6633DE"/>
    <w:pPr>
      <w:spacing w:after="26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6633DE"/>
    <w:pPr>
      <w:spacing w:after="26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6633DE"/>
    <w:pPr>
      <w:spacing w:after="26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6633DE"/>
    <w:pPr>
      <w:spacing w:after="26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6633DE"/>
    <w:pPr>
      <w:spacing w:after="26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6633DE"/>
    <w:pPr>
      <w:spacing w:after="26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6633DE"/>
    <w:pPr>
      <w:spacing w:after="26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6633DE"/>
    <w:pPr>
      <w:spacing w:after="26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unhideWhenUsed/>
    <w:rsid w:val="006633DE"/>
    <w:pPr>
      <w:spacing w:after="26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6633DE"/>
    <w:pPr>
      <w:spacing w:after="26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6633DE"/>
    <w:pPr>
      <w:spacing w:after="26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6633DE"/>
    <w:pPr>
      <w:spacing w:after="26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6633DE"/>
    <w:pPr>
      <w:spacing w:after="26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6633DE"/>
    <w:pPr>
      <w:spacing w:after="26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6633DE"/>
    <w:pPr>
      <w:spacing w:after="26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6633DE"/>
    <w:pPr>
      <w:spacing w:after="26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6633DE"/>
    <w:pPr>
      <w:spacing w:after="26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6633DE"/>
    <w:pPr>
      <w:spacing w:after="26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UnresolvedMention">
    <w:name w:val="Unresolved Mention"/>
    <w:basedOn w:val="DefaultParagraphFont"/>
    <w:uiPriority w:val="99"/>
    <w:semiHidden/>
    <w:unhideWhenUsed/>
    <w:rsid w:val="00161122"/>
    <w:rPr>
      <w:color w:val="605E5C"/>
      <w:shd w:val="clear" w:color="auto" w:fill="E1DFDD"/>
      <w:lang w:val="en-AU"/>
    </w:rPr>
  </w:style>
  <w:style w:type="paragraph" w:customStyle="1" w:styleId="Heading1-nonumber">
    <w:name w:val="Heading 1 - (no number)"/>
    <w:basedOn w:val="Heading1"/>
    <w:next w:val="BodyText"/>
    <w:uiPriority w:val="2"/>
    <w:rsid w:val="006633DE"/>
    <w:pPr>
      <w:numPr>
        <w:numId w:val="0"/>
      </w:numPr>
    </w:pPr>
  </w:style>
  <w:style w:type="paragraph" w:customStyle="1" w:styleId="Heading2-nonumber">
    <w:name w:val="Heading 2 -  (no number)"/>
    <w:basedOn w:val="Heading2"/>
    <w:next w:val="BodyText"/>
    <w:uiPriority w:val="2"/>
    <w:rsid w:val="006633DE"/>
    <w:pPr>
      <w:numPr>
        <w:ilvl w:val="0"/>
        <w:numId w:val="0"/>
      </w:numPr>
    </w:pPr>
  </w:style>
  <w:style w:type="paragraph" w:customStyle="1" w:styleId="Heading3-nonumber">
    <w:name w:val="Heading 3 -  (no number)"/>
    <w:basedOn w:val="Heading3"/>
    <w:next w:val="BodyText"/>
    <w:link w:val="Heading3-nonumberChar"/>
    <w:uiPriority w:val="2"/>
    <w:rsid w:val="006633DE"/>
    <w:pPr>
      <w:numPr>
        <w:ilvl w:val="0"/>
        <w:numId w:val="0"/>
      </w:numPr>
    </w:pPr>
  </w:style>
  <w:style w:type="paragraph" w:customStyle="1" w:styleId="Heading4-nonumber">
    <w:name w:val="Heading 4 -  (no number)"/>
    <w:basedOn w:val="Heading4"/>
    <w:next w:val="BodyText"/>
    <w:uiPriority w:val="2"/>
    <w:rsid w:val="006633DE"/>
    <w:pPr>
      <w:numPr>
        <w:ilvl w:val="0"/>
        <w:numId w:val="0"/>
      </w:numPr>
      <w:outlineLvl w:val="9"/>
    </w:pPr>
  </w:style>
  <w:style w:type="paragraph" w:customStyle="1" w:styleId="Heading5-nonumber">
    <w:name w:val="Heading 5 -  (no number)"/>
    <w:basedOn w:val="Heading5"/>
    <w:next w:val="BodyText"/>
    <w:uiPriority w:val="2"/>
    <w:rsid w:val="006633DE"/>
    <w:pPr>
      <w:numPr>
        <w:ilvl w:val="0"/>
        <w:numId w:val="0"/>
      </w:numPr>
      <w:outlineLvl w:val="9"/>
    </w:pPr>
  </w:style>
  <w:style w:type="paragraph" w:customStyle="1" w:styleId="Heading6-nonumber">
    <w:name w:val="Heading 6 -  (no number)"/>
    <w:basedOn w:val="Heading6"/>
    <w:next w:val="BodyText"/>
    <w:uiPriority w:val="2"/>
    <w:rsid w:val="006633DE"/>
    <w:pPr>
      <w:numPr>
        <w:ilvl w:val="0"/>
        <w:numId w:val="0"/>
      </w:numPr>
      <w:outlineLvl w:val="9"/>
    </w:pPr>
  </w:style>
  <w:style w:type="paragraph" w:customStyle="1" w:styleId="Projectversion">
    <w:name w:val="Project version"/>
    <w:basedOn w:val="Projectreference"/>
    <w:uiPriority w:val="8"/>
    <w:rsid w:val="006633DE"/>
    <w:pPr>
      <w:framePr w:wrap="around"/>
    </w:pPr>
  </w:style>
  <w:style w:type="paragraph" w:customStyle="1" w:styleId="Template-Adresse">
    <w:name w:val="Template - Adresse"/>
    <w:basedOn w:val="Template"/>
    <w:uiPriority w:val="8"/>
    <w:semiHidden/>
    <w:rsid w:val="006633DE"/>
    <w:pPr>
      <w:tabs>
        <w:tab w:val="left" w:pos="567"/>
      </w:tabs>
      <w:suppressAutoHyphens/>
    </w:pPr>
    <w:rPr>
      <w:rFonts w:cstheme="minorBidi"/>
    </w:rPr>
  </w:style>
  <w:style w:type="paragraph" w:customStyle="1" w:styleId="Template-Virksomhedsnavn">
    <w:name w:val="Template - Virksomheds navn"/>
    <w:basedOn w:val="Template-Adresse"/>
    <w:next w:val="Template-Adresse"/>
    <w:uiPriority w:val="99"/>
    <w:semiHidden/>
    <w:rsid w:val="006633DE"/>
    <w:pPr>
      <w:spacing w:line="200" w:lineRule="atLeast"/>
    </w:pPr>
    <w:rPr>
      <w:b/>
    </w:rPr>
  </w:style>
  <w:style w:type="paragraph" w:customStyle="1" w:styleId="Template-Dato">
    <w:name w:val="Template - Dato"/>
    <w:basedOn w:val="Template"/>
    <w:uiPriority w:val="99"/>
    <w:semiHidden/>
    <w:rsid w:val="006633DE"/>
    <w:pPr>
      <w:spacing w:line="280" w:lineRule="atLeast"/>
    </w:pPr>
    <w:rPr>
      <w:rFonts w:cstheme="minorBidi"/>
    </w:rPr>
  </w:style>
  <w:style w:type="paragraph" w:customStyle="1" w:styleId="Disclaimer">
    <w:name w:val="Disclaimer"/>
    <w:basedOn w:val="Normal"/>
    <w:uiPriority w:val="7"/>
    <w:rsid w:val="006633DE"/>
    <w:pPr>
      <w:spacing w:before="0" w:line="210" w:lineRule="atLeast"/>
    </w:pPr>
    <w:rPr>
      <w:sz w:val="18"/>
    </w:rPr>
  </w:style>
  <w:style w:type="paragraph" w:customStyle="1" w:styleId="Template-Web">
    <w:name w:val="Template - Web"/>
    <w:basedOn w:val="Footer"/>
    <w:uiPriority w:val="9"/>
    <w:rsid w:val="006633DE"/>
    <w:rPr>
      <w:b/>
      <w:color w:val="71004B"/>
      <w:sz w:val="20"/>
    </w:rPr>
  </w:style>
  <w:style w:type="character" w:customStyle="1" w:styleId="Coverinformation">
    <w:name w:val="Cover information"/>
    <w:basedOn w:val="DefaultParagraphFont"/>
    <w:uiPriority w:val="8"/>
    <w:semiHidden/>
    <w:rsid w:val="006633DE"/>
    <w:rPr>
      <w:b/>
      <w:lang w:val="en-AU"/>
    </w:rPr>
  </w:style>
  <w:style w:type="paragraph" w:customStyle="1" w:styleId="Breakouttext-plum">
    <w:name w:val="Breakout text - plum"/>
    <w:basedOn w:val="Normal"/>
    <w:uiPriority w:val="7"/>
    <w:rsid w:val="006633DE"/>
    <w:pPr>
      <w:spacing w:before="0" w:after="0"/>
    </w:pPr>
    <w:rPr>
      <w:color w:val="71004B"/>
      <w:sz w:val="22"/>
    </w:rPr>
  </w:style>
  <w:style w:type="paragraph" w:customStyle="1" w:styleId="Breakouttext-white">
    <w:name w:val="Breakout text - white"/>
    <w:basedOn w:val="Breakouttext-plum"/>
    <w:uiPriority w:val="7"/>
    <w:rsid w:val="006633DE"/>
    <w:rPr>
      <w:color w:val="FFFFFF"/>
    </w:rPr>
  </w:style>
  <w:style w:type="paragraph" w:customStyle="1" w:styleId="Quote-plum">
    <w:name w:val="Quote - plum"/>
    <w:basedOn w:val="Normal"/>
    <w:uiPriority w:val="7"/>
    <w:rsid w:val="006633DE"/>
    <w:pPr>
      <w:spacing w:before="0" w:after="160" w:line="280" w:lineRule="atLeast"/>
      <w:contextualSpacing/>
      <w:jc w:val="center"/>
    </w:pPr>
    <w:rPr>
      <w:color w:val="71004B"/>
      <w:sz w:val="24"/>
    </w:rPr>
  </w:style>
  <w:style w:type="paragraph" w:customStyle="1" w:styleId="Quote-coolgrey">
    <w:name w:val="Quote - cool grey"/>
    <w:basedOn w:val="Normal"/>
    <w:uiPriority w:val="7"/>
    <w:rsid w:val="006633DE"/>
    <w:pPr>
      <w:spacing w:before="0" w:after="160" w:line="280" w:lineRule="atLeast"/>
      <w:contextualSpacing/>
      <w:jc w:val="center"/>
    </w:pPr>
    <w:rPr>
      <w:color w:val="5F6369" w:themeColor="text2"/>
      <w:sz w:val="24"/>
    </w:rPr>
  </w:style>
  <w:style w:type="table" w:customStyle="1" w:styleId="Table1">
    <w:name w:val="Table 1"/>
    <w:basedOn w:val="TableNormal"/>
    <w:uiPriority w:val="99"/>
    <w:rsid w:val="005671E4"/>
    <w:pPr>
      <w:spacing w:before="0" w:after="0" w:line="240" w:lineRule="atLeast"/>
    </w:pPr>
    <w:tblPr>
      <w:tblBorders>
        <w:bottom w:val="single" w:sz="18" w:space="0" w:color="5F6369" w:themeColor="text2"/>
        <w:insideH w:val="single" w:sz="4" w:space="0" w:color="5F6369" w:themeColor="text2"/>
      </w:tblBorders>
      <w:tblCellMar>
        <w:left w:w="0" w:type="dxa"/>
        <w:right w:w="0" w:type="dxa"/>
      </w:tblCellMar>
    </w:tblPr>
    <w:tcPr>
      <w:shd w:val="clear" w:color="auto" w:fill="auto"/>
    </w:tcPr>
    <w:tblStylePr w:type="firstRow">
      <w:rPr>
        <w:rFonts w:ascii="Arial" w:hAnsi="Arial"/>
        <w:b w:val="0"/>
        <w:color w:val="5F6369" w:themeColor="text2"/>
        <w:sz w:val="20"/>
      </w:rPr>
      <w:tblPr/>
      <w:tcPr>
        <w:tcBorders>
          <w:top w:val="nil"/>
          <w:left w:val="nil"/>
          <w:bottom w:val="single" w:sz="18" w:space="0" w:color="71004B"/>
          <w:right w:val="nil"/>
          <w:insideH w:val="nil"/>
          <w:insideV w:val="nil"/>
          <w:tl2br w:val="nil"/>
          <w:tr2bl w:val="nil"/>
        </w:tcBorders>
        <w:shd w:val="clear" w:color="auto" w:fill="D7D8D6"/>
      </w:tcPr>
    </w:tblStylePr>
  </w:style>
  <w:style w:type="paragraph" w:customStyle="1" w:styleId="Table-Heading-white">
    <w:name w:val="Table - Heading - white"/>
    <w:basedOn w:val="Table-Heading"/>
    <w:uiPriority w:val="8"/>
    <w:rsid w:val="006633DE"/>
    <w:rPr>
      <w:color w:val="FFFFFF"/>
    </w:rPr>
  </w:style>
  <w:style w:type="paragraph" w:customStyle="1" w:styleId="Table-Heading-grey">
    <w:name w:val="Table - Heading - grey"/>
    <w:basedOn w:val="Table-Heading"/>
    <w:uiPriority w:val="8"/>
    <w:rsid w:val="006633DE"/>
    <w:rPr>
      <w:color w:val="5F6369" w:themeColor="text2"/>
    </w:rPr>
  </w:style>
  <w:style w:type="paragraph" w:customStyle="1" w:styleId="Table-Subheading">
    <w:name w:val="Table - Subheading"/>
    <w:basedOn w:val="Table-Heading"/>
    <w:uiPriority w:val="5"/>
    <w:rsid w:val="006633DE"/>
    <w:rPr>
      <w:sz w:val="18"/>
    </w:rPr>
  </w:style>
  <w:style w:type="paragraph" w:customStyle="1" w:styleId="Table-Bullet">
    <w:name w:val="Table - Bullet"/>
    <w:basedOn w:val="Normal"/>
    <w:uiPriority w:val="4"/>
    <w:rsid w:val="006633DE"/>
    <w:pPr>
      <w:numPr>
        <w:numId w:val="8"/>
      </w:numPr>
      <w:spacing w:before="40" w:after="40" w:line="240" w:lineRule="auto"/>
      <w:ind w:right="57"/>
    </w:pPr>
    <w:rPr>
      <w:sz w:val="18"/>
    </w:rPr>
  </w:style>
  <w:style w:type="paragraph" w:customStyle="1" w:styleId="Table-ListNumber">
    <w:name w:val="Table - List Number"/>
    <w:basedOn w:val="Normal"/>
    <w:uiPriority w:val="4"/>
    <w:rsid w:val="006633DE"/>
    <w:pPr>
      <w:numPr>
        <w:numId w:val="9"/>
      </w:numPr>
      <w:spacing w:before="40" w:after="40" w:line="240" w:lineRule="auto"/>
      <w:ind w:right="57"/>
    </w:pPr>
    <w:rPr>
      <w:sz w:val="18"/>
    </w:rPr>
  </w:style>
  <w:style w:type="table" w:customStyle="1" w:styleId="Table2">
    <w:name w:val="Table 2"/>
    <w:basedOn w:val="TableNormal"/>
    <w:uiPriority w:val="99"/>
    <w:rsid w:val="005671E4"/>
    <w:pPr>
      <w:spacing w:after="260" w:line="240" w:lineRule="auto"/>
    </w:pPr>
    <w:tblPr>
      <w:tblBorders>
        <w:bottom w:val="single" w:sz="18" w:space="0" w:color="71004B"/>
        <w:insideH w:val="single" w:sz="4" w:space="0" w:color="71004B"/>
      </w:tblBorders>
      <w:tblCellMar>
        <w:left w:w="0" w:type="dxa"/>
        <w:right w:w="0" w:type="dxa"/>
      </w:tblCellMar>
    </w:tblPr>
    <w:tblStylePr w:type="firstRow">
      <w:rPr>
        <w:color w:val="FFFFFF"/>
      </w:rPr>
      <w:tblPr/>
      <w:tcPr>
        <w:shd w:val="clear" w:color="auto" w:fill="71004B"/>
      </w:tcPr>
    </w:tblStylePr>
  </w:style>
  <w:style w:type="paragraph" w:customStyle="1" w:styleId="Table-Subheading-grey">
    <w:name w:val="Table - Subheading - grey"/>
    <w:basedOn w:val="Table-Subheading"/>
    <w:uiPriority w:val="8"/>
    <w:rsid w:val="006633DE"/>
    <w:rPr>
      <w:color w:val="5F6369" w:themeColor="text2"/>
    </w:rPr>
  </w:style>
  <w:style w:type="table" w:customStyle="1" w:styleId="Table3">
    <w:name w:val="Table 3"/>
    <w:basedOn w:val="TableNormal"/>
    <w:uiPriority w:val="99"/>
    <w:rsid w:val="005671E4"/>
    <w:pPr>
      <w:spacing w:after="260" w:line="240" w:lineRule="auto"/>
    </w:pPr>
    <w:tblPr>
      <w:tblBorders>
        <w:bottom w:val="single" w:sz="18" w:space="0" w:color="71004B"/>
        <w:insideH w:val="single" w:sz="4" w:space="0" w:color="BEB7B3" w:themeColor="background2"/>
        <w:insideV w:val="single" w:sz="4" w:space="0" w:color="BEB7B3" w:themeColor="background2"/>
      </w:tblBorders>
      <w:tblCellMar>
        <w:left w:w="0" w:type="dxa"/>
        <w:right w:w="0" w:type="dxa"/>
      </w:tblCellMar>
    </w:tblPr>
    <w:tblStylePr w:type="firstRow">
      <w:tblPr/>
      <w:tcPr>
        <w:tcBorders>
          <w:top w:val="single" w:sz="4" w:space="0" w:color="71004B"/>
          <w:left w:val="nil"/>
          <w:bottom w:val="single" w:sz="18" w:space="0" w:color="71004B"/>
          <w:right w:val="nil"/>
          <w:insideH w:val="nil"/>
          <w:insideV w:val="nil"/>
          <w:tl2br w:val="nil"/>
          <w:tr2bl w:val="nil"/>
        </w:tcBorders>
      </w:tcPr>
    </w:tblStylePr>
  </w:style>
  <w:style w:type="table" w:customStyle="1" w:styleId="Table4">
    <w:name w:val="Table 4"/>
    <w:basedOn w:val="TableNormal"/>
    <w:uiPriority w:val="99"/>
    <w:rsid w:val="005671E4"/>
    <w:pPr>
      <w:spacing w:after="260" w:line="240" w:lineRule="auto"/>
    </w:pPr>
    <w:tblPr>
      <w:tblBorders>
        <w:insideH w:val="single" w:sz="18" w:space="0" w:color="71004B"/>
      </w:tblBorders>
      <w:tblCellMar>
        <w:left w:w="0" w:type="dxa"/>
        <w:right w:w="0" w:type="dxa"/>
      </w:tblCellMar>
    </w:tblPr>
    <w:tblStylePr w:type="firstRow">
      <w:rPr>
        <w:color w:val="D7D8D6"/>
      </w:rPr>
      <w:tblPr/>
      <w:tcPr>
        <w:tcBorders>
          <w:top w:val="nil"/>
          <w:left w:val="nil"/>
          <w:bottom w:val="nil"/>
          <w:right w:val="nil"/>
          <w:insideH w:val="nil"/>
          <w:insideV w:val="nil"/>
          <w:tl2br w:val="nil"/>
          <w:tr2bl w:val="nil"/>
        </w:tcBorders>
        <w:shd w:val="clear" w:color="auto" w:fill="D7D8D6"/>
      </w:tcPr>
    </w:tblStylePr>
  </w:style>
  <w:style w:type="table" w:customStyle="1" w:styleId="Table5">
    <w:name w:val="Table 5"/>
    <w:basedOn w:val="TableNormal"/>
    <w:uiPriority w:val="99"/>
    <w:rsid w:val="005671E4"/>
    <w:pPr>
      <w:spacing w:after="260" w:line="240" w:lineRule="auto"/>
    </w:pPr>
    <w:tblPr>
      <w:tblBorders>
        <w:insideH w:val="single" w:sz="18" w:space="0" w:color="71004B"/>
        <w:insideV w:val="single" w:sz="4" w:space="0" w:color="71004B"/>
      </w:tblBorders>
      <w:tblCellMar>
        <w:left w:w="0" w:type="dxa"/>
        <w:right w:w="0" w:type="dxa"/>
      </w:tblCellMar>
    </w:tblPr>
    <w:tcPr>
      <w:shd w:val="clear" w:color="auto" w:fill="auto"/>
    </w:tcPr>
    <w:tblStylePr w:type="firstRow">
      <w:pPr>
        <w:jc w:val="left"/>
      </w:pPr>
      <w:rPr>
        <w:color w:val="5F6369" w:themeColor="text2"/>
      </w:rPr>
      <w:tblPr/>
      <w:tcPr>
        <w:tcBorders>
          <w:bottom w:val="nil"/>
        </w:tcBorders>
        <w:shd w:val="clear" w:color="auto" w:fill="FFFFFF"/>
      </w:tcPr>
    </w:tblStylePr>
  </w:style>
  <w:style w:type="table" w:customStyle="1" w:styleId="Table6">
    <w:name w:val="Table 6"/>
    <w:basedOn w:val="TableNormal"/>
    <w:uiPriority w:val="99"/>
    <w:rsid w:val="005671E4"/>
    <w:pPr>
      <w:spacing w:after="260" w:line="240" w:lineRule="auto"/>
    </w:pPr>
    <w:tblPr>
      <w:tblBorders>
        <w:insideH w:val="single" w:sz="4" w:space="0" w:color="71004B"/>
        <w:insideV w:val="single" w:sz="4" w:space="0" w:color="71004B"/>
      </w:tblBorders>
      <w:tblCellMar>
        <w:left w:w="0" w:type="dxa"/>
        <w:right w:w="0" w:type="dxa"/>
      </w:tblCellMar>
    </w:tblPr>
  </w:style>
  <w:style w:type="table" w:customStyle="1" w:styleId="Table7">
    <w:name w:val="Table 7"/>
    <w:basedOn w:val="TableNormal"/>
    <w:uiPriority w:val="99"/>
    <w:rsid w:val="005671E4"/>
    <w:pPr>
      <w:spacing w:after="260" w:line="240" w:lineRule="auto"/>
    </w:pPr>
    <w:tblPr>
      <w:tblStyleRowBandSize w:val="1"/>
      <w:tblStyleColBandSize w:val="1"/>
      <w:tblCellMar>
        <w:left w:w="0" w:type="dxa"/>
        <w:right w:w="0" w:type="dxa"/>
      </w:tblCellMar>
    </w:tblPr>
    <w:tblStylePr w:type="band1Horz">
      <w:tblPr/>
      <w:tcPr>
        <w:shd w:val="clear" w:color="auto" w:fill="EBE8E5"/>
      </w:tcPr>
    </w:tblStylePr>
    <w:tblStylePr w:type="band2Horz">
      <w:tblPr/>
      <w:tcPr>
        <w:shd w:val="clear" w:color="auto" w:fill="DBD7D2"/>
      </w:tcPr>
    </w:tblStylePr>
  </w:style>
  <w:style w:type="paragraph" w:customStyle="1" w:styleId="Projecttitle">
    <w:name w:val="Project title"/>
    <w:basedOn w:val="Normal"/>
    <w:uiPriority w:val="8"/>
    <w:rsid w:val="006633DE"/>
    <w:pPr>
      <w:spacing w:before="0" w:after="0" w:line="220" w:lineRule="atLeast"/>
      <w:jc w:val="right"/>
    </w:pPr>
    <w:rPr>
      <w:b/>
      <w:color w:val="5F6369" w:themeColor="text2"/>
      <w:sz w:val="16"/>
    </w:rPr>
  </w:style>
  <w:style w:type="paragraph" w:customStyle="1" w:styleId="Projectreference">
    <w:name w:val="Project reference"/>
    <w:basedOn w:val="Projecttitle"/>
    <w:uiPriority w:val="8"/>
    <w:rsid w:val="006633DE"/>
    <w:pPr>
      <w:framePr w:wrap="around" w:vAnchor="page" w:hAnchor="margin" w:xAlign="right" w:y="12441"/>
      <w:contextualSpacing/>
      <w:suppressOverlap/>
    </w:pPr>
  </w:style>
  <w:style w:type="paragraph" w:customStyle="1" w:styleId="Projectdate">
    <w:name w:val="Project date"/>
    <w:basedOn w:val="Projecttitle"/>
    <w:uiPriority w:val="8"/>
    <w:rsid w:val="006633DE"/>
    <w:pPr>
      <w:framePr w:wrap="around" w:vAnchor="page" w:hAnchor="margin" w:xAlign="right" w:y="12441"/>
      <w:suppressOverlap/>
    </w:pPr>
  </w:style>
  <w:style w:type="paragraph" w:customStyle="1" w:styleId="Table-Caption">
    <w:name w:val="Table - Caption"/>
    <w:basedOn w:val="BodyText"/>
    <w:next w:val="BodyText"/>
    <w:uiPriority w:val="3"/>
    <w:rsid w:val="00893BD4"/>
    <w:pPr>
      <w:keepNext/>
      <w:tabs>
        <w:tab w:val="left" w:pos="1134"/>
      </w:tabs>
      <w:spacing w:line="210" w:lineRule="atLeast"/>
      <w:ind w:left="1138" w:hanging="1138"/>
    </w:pPr>
    <w:rPr>
      <w:b/>
      <w:sz w:val="18"/>
    </w:rPr>
  </w:style>
  <w:style w:type="paragraph" w:customStyle="1" w:styleId="TOCHeading2">
    <w:name w:val="TOC Heading 2"/>
    <w:basedOn w:val="TOCHeading"/>
    <w:uiPriority w:val="39"/>
    <w:rsid w:val="006633DE"/>
    <w:pPr>
      <w:keepNext/>
      <w:keepLines/>
      <w:spacing w:line="320" w:lineRule="atLeast"/>
    </w:pPr>
    <w:rPr>
      <w:color w:val="5F6369" w:themeColor="text2"/>
      <w:sz w:val="28"/>
    </w:rPr>
  </w:style>
  <w:style w:type="paragraph" w:customStyle="1" w:styleId="Caption-Image">
    <w:name w:val="Caption - Image"/>
    <w:basedOn w:val="Caption"/>
    <w:next w:val="Normal"/>
    <w:uiPriority w:val="7"/>
    <w:semiHidden/>
    <w:rsid w:val="006633DE"/>
    <w:pPr>
      <w:tabs>
        <w:tab w:val="clear" w:pos="1134"/>
      </w:tabs>
      <w:spacing w:before="100" w:after="0" w:line="200" w:lineRule="atLeast"/>
      <w:ind w:left="0" w:firstLine="0"/>
    </w:pPr>
    <w:rPr>
      <w:b w:val="0"/>
      <w:sz w:val="16"/>
    </w:rPr>
  </w:style>
  <w:style w:type="paragraph" w:customStyle="1" w:styleId="CVEmail">
    <w:name w:val="CV Email"/>
    <w:basedOn w:val="Normal"/>
    <w:uiPriority w:val="8"/>
    <w:semiHidden/>
    <w:rsid w:val="006633DE"/>
    <w:pPr>
      <w:spacing w:line="280" w:lineRule="atLeast"/>
    </w:pPr>
    <w:rPr>
      <w:color w:val="00B18F" w:themeColor="accent2"/>
      <w:sz w:val="24"/>
    </w:rPr>
  </w:style>
  <w:style w:type="paragraph" w:customStyle="1" w:styleId="CVName">
    <w:name w:val="CV Name"/>
    <w:basedOn w:val="Normal"/>
    <w:uiPriority w:val="8"/>
    <w:semiHidden/>
    <w:rsid w:val="006633DE"/>
    <w:pPr>
      <w:spacing w:before="400" w:line="400" w:lineRule="atLeast"/>
      <w:contextualSpacing/>
    </w:pPr>
    <w:rPr>
      <w:b/>
      <w:color w:val="5F6369" w:themeColor="text2"/>
      <w:sz w:val="36"/>
    </w:rPr>
  </w:style>
  <w:style w:type="paragraph" w:customStyle="1" w:styleId="CVTitle">
    <w:name w:val="CV Title"/>
    <w:basedOn w:val="Normal"/>
    <w:uiPriority w:val="8"/>
    <w:semiHidden/>
    <w:rsid w:val="006633DE"/>
    <w:pPr>
      <w:spacing w:line="320" w:lineRule="atLeast"/>
      <w:contextualSpacing/>
    </w:pPr>
    <w:rPr>
      <w:b/>
      <w:color w:val="00B18F" w:themeColor="accent2"/>
      <w:sz w:val="28"/>
    </w:rPr>
  </w:style>
  <w:style w:type="paragraph" w:customStyle="1" w:styleId="OurRef">
    <w:name w:val="Our Ref"/>
    <w:basedOn w:val="Normal"/>
    <w:uiPriority w:val="8"/>
    <w:semiHidden/>
    <w:rsid w:val="006633DE"/>
    <w:pPr>
      <w:framePr w:wrap="around" w:vAnchor="page" w:hAnchor="margin" w:y="1589"/>
      <w:suppressOverlap/>
    </w:pPr>
    <w:rPr>
      <w:b/>
    </w:rPr>
  </w:style>
  <w:style w:type="paragraph" w:customStyle="1" w:styleId="Proposalexplanation">
    <w:name w:val="Proposal explanation"/>
    <w:basedOn w:val="Normal"/>
    <w:uiPriority w:val="8"/>
    <w:rsid w:val="006633DE"/>
    <w:pPr>
      <w:spacing w:after="0"/>
      <w:jc w:val="right"/>
    </w:pPr>
    <w:rPr>
      <w:b/>
      <w:color w:val="5F6369" w:themeColor="text2"/>
    </w:rPr>
  </w:style>
  <w:style w:type="paragraph" w:customStyle="1" w:styleId="ListAlpha">
    <w:name w:val="List Alpha"/>
    <w:basedOn w:val="BodyText"/>
    <w:uiPriority w:val="5"/>
    <w:qFormat/>
    <w:rsid w:val="006633DE"/>
    <w:pPr>
      <w:numPr>
        <w:numId w:val="5"/>
      </w:numPr>
    </w:pPr>
    <w:rPr>
      <w:rFonts w:asciiTheme="minorHAnsi" w:eastAsia="Times New Roman" w:hAnsiTheme="minorHAnsi" w:cs="Times New Roman"/>
      <w:color w:val="auto"/>
      <w:szCs w:val="24"/>
    </w:rPr>
  </w:style>
  <w:style w:type="paragraph" w:customStyle="1" w:styleId="ListAlpha2">
    <w:name w:val="List Alpha 2"/>
    <w:basedOn w:val="BodyText"/>
    <w:uiPriority w:val="5"/>
    <w:rsid w:val="006633DE"/>
    <w:pPr>
      <w:numPr>
        <w:ilvl w:val="1"/>
        <w:numId w:val="5"/>
      </w:numPr>
    </w:pPr>
  </w:style>
  <w:style w:type="paragraph" w:customStyle="1" w:styleId="ListAlpha3">
    <w:name w:val="List Alpha 3"/>
    <w:basedOn w:val="BodyText"/>
    <w:uiPriority w:val="5"/>
    <w:rsid w:val="006633DE"/>
    <w:pPr>
      <w:numPr>
        <w:ilvl w:val="2"/>
        <w:numId w:val="5"/>
      </w:numPr>
    </w:pPr>
  </w:style>
  <w:style w:type="paragraph" w:customStyle="1" w:styleId="ListAlpha4">
    <w:name w:val="List Alpha 4"/>
    <w:basedOn w:val="Normal"/>
    <w:uiPriority w:val="5"/>
    <w:semiHidden/>
    <w:rsid w:val="006633DE"/>
    <w:pPr>
      <w:numPr>
        <w:ilvl w:val="3"/>
      </w:numPr>
      <w:spacing w:line="240" w:lineRule="auto"/>
    </w:pPr>
  </w:style>
  <w:style w:type="paragraph" w:customStyle="1" w:styleId="ListAlpha5">
    <w:name w:val="List Alpha 5"/>
    <w:basedOn w:val="Normal"/>
    <w:uiPriority w:val="5"/>
    <w:semiHidden/>
    <w:rsid w:val="006633DE"/>
    <w:pPr>
      <w:numPr>
        <w:ilvl w:val="4"/>
      </w:numPr>
      <w:spacing w:line="240" w:lineRule="auto"/>
    </w:pPr>
  </w:style>
  <w:style w:type="paragraph" w:customStyle="1" w:styleId="ListAlpha6">
    <w:name w:val="List Alpha 6"/>
    <w:basedOn w:val="Normal"/>
    <w:uiPriority w:val="5"/>
    <w:semiHidden/>
    <w:rsid w:val="006633DE"/>
    <w:pPr>
      <w:numPr>
        <w:ilvl w:val="5"/>
        <w:numId w:val="5"/>
      </w:numPr>
      <w:spacing w:line="240" w:lineRule="auto"/>
    </w:pPr>
  </w:style>
  <w:style w:type="paragraph" w:customStyle="1" w:styleId="Legal1">
    <w:name w:val="Legal 1"/>
    <w:basedOn w:val="BodyText"/>
    <w:uiPriority w:val="2"/>
    <w:rsid w:val="006633DE"/>
    <w:pPr>
      <w:keepLines/>
      <w:numPr>
        <w:numId w:val="4"/>
      </w:numPr>
      <w:spacing w:line="400" w:lineRule="atLeast"/>
    </w:pPr>
    <w:rPr>
      <w:b/>
      <w:caps/>
      <w:color w:val="71004B"/>
      <w:sz w:val="32"/>
    </w:rPr>
  </w:style>
  <w:style w:type="paragraph" w:customStyle="1" w:styleId="Legal2">
    <w:name w:val="Legal 2"/>
    <w:basedOn w:val="BodyText"/>
    <w:uiPriority w:val="2"/>
    <w:rsid w:val="006633DE"/>
    <w:pPr>
      <w:keepLines/>
      <w:numPr>
        <w:ilvl w:val="1"/>
        <w:numId w:val="4"/>
      </w:numPr>
      <w:spacing w:line="360" w:lineRule="atLeast"/>
    </w:pPr>
    <w:rPr>
      <w:b/>
      <w:color w:val="71004B"/>
      <w:sz w:val="28"/>
    </w:rPr>
  </w:style>
  <w:style w:type="paragraph" w:customStyle="1" w:styleId="Legal3">
    <w:name w:val="Legal 3"/>
    <w:basedOn w:val="BodyText"/>
    <w:uiPriority w:val="2"/>
    <w:rsid w:val="006633DE"/>
    <w:pPr>
      <w:keepLines/>
      <w:numPr>
        <w:ilvl w:val="2"/>
        <w:numId w:val="4"/>
      </w:numPr>
      <w:spacing w:line="320" w:lineRule="atLeast"/>
    </w:pPr>
    <w:rPr>
      <w:b/>
      <w:color w:val="5F6369" w:themeColor="text2"/>
      <w:sz w:val="26"/>
    </w:rPr>
  </w:style>
  <w:style w:type="paragraph" w:customStyle="1" w:styleId="Legal4">
    <w:name w:val="Legal 4"/>
    <w:basedOn w:val="BodyText"/>
    <w:uiPriority w:val="2"/>
    <w:rsid w:val="006633DE"/>
    <w:pPr>
      <w:keepLines/>
      <w:numPr>
        <w:ilvl w:val="3"/>
        <w:numId w:val="4"/>
      </w:numPr>
      <w:spacing w:line="280" w:lineRule="auto"/>
    </w:pPr>
  </w:style>
  <w:style w:type="paragraph" w:customStyle="1" w:styleId="Legal5">
    <w:name w:val="Legal 5"/>
    <w:basedOn w:val="BodyText"/>
    <w:uiPriority w:val="2"/>
    <w:rsid w:val="006633DE"/>
    <w:pPr>
      <w:keepLines/>
      <w:numPr>
        <w:ilvl w:val="4"/>
        <w:numId w:val="4"/>
      </w:numPr>
      <w:spacing w:line="280" w:lineRule="auto"/>
    </w:pPr>
  </w:style>
  <w:style w:type="table" w:customStyle="1" w:styleId="Table8">
    <w:name w:val="Table 8"/>
    <w:basedOn w:val="TableNormal"/>
    <w:uiPriority w:val="99"/>
    <w:rsid w:val="005671E4"/>
    <w:pPr>
      <w:spacing w:before="0" w:after="0" w:line="240" w:lineRule="auto"/>
    </w:pPr>
    <w:tblPr>
      <w:tblBorders>
        <w:insideH w:val="single" w:sz="12" w:space="0" w:color="71004B"/>
      </w:tblBorders>
      <w:tblCellMar>
        <w:left w:w="0" w:type="dxa"/>
        <w:right w:w="0" w:type="dxa"/>
      </w:tblCellMar>
    </w:tblPr>
    <w:tcPr>
      <w:vAlign w:val="center"/>
    </w:tcPr>
  </w:style>
  <w:style w:type="paragraph" w:customStyle="1" w:styleId="Table-ListAlpha">
    <w:name w:val="Table - List Alpha"/>
    <w:basedOn w:val="Table-ListNumber2"/>
    <w:uiPriority w:val="8"/>
    <w:rsid w:val="006633DE"/>
    <w:pPr>
      <w:numPr>
        <w:ilvl w:val="2"/>
      </w:numPr>
    </w:pPr>
  </w:style>
  <w:style w:type="paragraph" w:customStyle="1" w:styleId="Table-Note">
    <w:name w:val="Table - Note"/>
    <w:basedOn w:val="BodyText"/>
    <w:uiPriority w:val="5"/>
    <w:rsid w:val="006633DE"/>
    <w:pPr>
      <w:spacing w:before="60" w:after="0" w:line="210" w:lineRule="atLeast"/>
    </w:pPr>
    <w:rPr>
      <w:sz w:val="14"/>
    </w:rPr>
  </w:style>
  <w:style w:type="paragraph" w:customStyle="1" w:styleId="FooterBorder">
    <w:name w:val="Footer Border"/>
    <w:basedOn w:val="Footer"/>
    <w:uiPriority w:val="99"/>
    <w:qFormat/>
    <w:rsid w:val="006633DE"/>
    <w:pPr>
      <w:pBdr>
        <w:top w:val="single" w:sz="4" w:space="1" w:color="5F6369" w:themeColor="text2"/>
      </w:pBdr>
      <w:spacing w:line="170" w:lineRule="atLeast"/>
    </w:pPr>
    <w:rPr>
      <w:sz w:val="14"/>
    </w:rPr>
  </w:style>
  <w:style w:type="paragraph" w:customStyle="1" w:styleId="Table-Bullet2">
    <w:name w:val="Table - Bullet 2"/>
    <w:basedOn w:val="Table-Bullet"/>
    <w:uiPriority w:val="4"/>
    <w:rsid w:val="006633DE"/>
    <w:pPr>
      <w:numPr>
        <w:ilvl w:val="1"/>
      </w:numPr>
    </w:pPr>
  </w:style>
  <w:style w:type="paragraph" w:customStyle="1" w:styleId="Table-ListNumber2">
    <w:name w:val="Table - List Number 2"/>
    <w:basedOn w:val="Table-ListNumber"/>
    <w:uiPriority w:val="4"/>
    <w:rsid w:val="006633DE"/>
    <w:pPr>
      <w:numPr>
        <w:ilvl w:val="1"/>
      </w:numPr>
    </w:pPr>
  </w:style>
  <w:style w:type="paragraph" w:customStyle="1" w:styleId="Coverpagesubtitle">
    <w:name w:val="Coverpage subtitle"/>
    <w:basedOn w:val="Normal"/>
    <w:uiPriority w:val="8"/>
    <w:semiHidden/>
    <w:rsid w:val="006633DE"/>
    <w:pPr>
      <w:keepNext/>
      <w:keepLines/>
      <w:spacing w:after="0" w:line="320" w:lineRule="atLeast"/>
    </w:pPr>
    <w:rPr>
      <w:b/>
      <w:color w:val="5F6369"/>
      <w:sz w:val="28"/>
    </w:rPr>
  </w:style>
  <w:style w:type="paragraph" w:customStyle="1" w:styleId="Coverpagetitle">
    <w:name w:val="Coverpage title"/>
    <w:basedOn w:val="Normal"/>
    <w:next w:val="Coverpagesubtitle"/>
    <w:uiPriority w:val="8"/>
    <w:semiHidden/>
    <w:rsid w:val="006633DE"/>
    <w:pPr>
      <w:keepNext/>
      <w:keepLines/>
      <w:spacing w:after="0" w:line="400" w:lineRule="atLeast"/>
    </w:pPr>
    <w:rPr>
      <w:b/>
      <w:caps/>
      <w:color w:val="5F6369" w:themeColor="text2"/>
      <w:sz w:val="36"/>
    </w:rPr>
  </w:style>
  <w:style w:type="paragraph" w:customStyle="1" w:styleId="FooterSmallspacer">
    <w:name w:val="Footer Small spacer"/>
    <w:basedOn w:val="Footer"/>
    <w:uiPriority w:val="11"/>
    <w:semiHidden/>
    <w:rsid w:val="006633DE"/>
    <w:pPr>
      <w:spacing w:line="100" w:lineRule="exact"/>
    </w:pPr>
  </w:style>
  <w:style w:type="paragraph" w:customStyle="1" w:styleId="HeaderBorder">
    <w:name w:val="Header Border"/>
    <w:basedOn w:val="Header"/>
    <w:uiPriority w:val="11"/>
    <w:semiHidden/>
    <w:rsid w:val="006633DE"/>
    <w:pPr>
      <w:pBdr>
        <w:bottom w:val="single" w:sz="4" w:space="7" w:color="00B18F" w:themeColor="accent2"/>
      </w:pBdr>
    </w:pPr>
  </w:style>
  <w:style w:type="paragraph" w:customStyle="1" w:styleId="Projectnumber">
    <w:name w:val="Project number"/>
    <w:basedOn w:val="Projecttitle"/>
    <w:uiPriority w:val="8"/>
    <w:semiHidden/>
    <w:rsid w:val="006633DE"/>
    <w:pPr>
      <w:framePr w:wrap="around" w:vAnchor="page" w:hAnchor="margin" w:xAlign="right" w:y="12441"/>
      <w:suppressOverlap/>
    </w:pPr>
  </w:style>
  <w:style w:type="paragraph" w:customStyle="1" w:styleId="Appendix-Heading1">
    <w:name w:val="Appendix - Heading 1"/>
    <w:next w:val="BodyText"/>
    <w:uiPriority w:val="4"/>
    <w:qFormat/>
    <w:rsid w:val="006633DE"/>
    <w:pPr>
      <w:numPr>
        <w:ilvl w:val="1"/>
        <w:numId w:val="3"/>
      </w:numPr>
      <w:tabs>
        <w:tab w:val="clear" w:pos="3403"/>
        <w:tab w:val="num" w:pos="1134"/>
      </w:tabs>
      <w:spacing w:before="240" w:after="240" w:line="240" w:lineRule="auto"/>
      <w:ind w:left="1134"/>
    </w:pPr>
    <w:rPr>
      <w:rFonts w:eastAsiaTheme="majorEastAsia" w:cstheme="majorBidi"/>
      <w:b/>
      <w:bCs/>
      <w:color w:val="71004B"/>
      <w:sz w:val="32"/>
      <w:szCs w:val="28"/>
      <w:lang w:val="en-AU"/>
    </w:rPr>
  </w:style>
  <w:style w:type="paragraph" w:customStyle="1" w:styleId="Appendix-Heading2">
    <w:name w:val="Appendix - Heading 2"/>
    <w:next w:val="BodyText"/>
    <w:uiPriority w:val="4"/>
    <w:qFormat/>
    <w:rsid w:val="006633DE"/>
    <w:pPr>
      <w:numPr>
        <w:ilvl w:val="2"/>
        <w:numId w:val="3"/>
      </w:numPr>
      <w:tabs>
        <w:tab w:val="clear" w:pos="3403"/>
        <w:tab w:val="num" w:pos="1134"/>
      </w:tabs>
      <w:spacing w:before="240" w:after="240" w:line="240" w:lineRule="auto"/>
      <w:ind w:left="1134"/>
    </w:pPr>
    <w:rPr>
      <w:rFonts w:eastAsiaTheme="majorEastAsia" w:cstheme="majorBidi"/>
      <w:b/>
      <w:bCs/>
      <w:color w:val="71004B"/>
      <w:sz w:val="28"/>
      <w:szCs w:val="26"/>
      <w:lang w:val="en-AU"/>
    </w:rPr>
  </w:style>
  <w:style w:type="paragraph" w:customStyle="1" w:styleId="Appendix-Heading3">
    <w:name w:val="Appendix - Heading 3"/>
    <w:next w:val="BodyText"/>
    <w:uiPriority w:val="4"/>
    <w:qFormat/>
    <w:rsid w:val="006633DE"/>
    <w:pPr>
      <w:numPr>
        <w:ilvl w:val="3"/>
        <w:numId w:val="3"/>
      </w:numPr>
      <w:tabs>
        <w:tab w:val="clear" w:pos="3403"/>
        <w:tab w:val="num" w:pos="1134"/>
      </w:tabs>
      <w:spacing w:before="240" w:after="240" w:line="240" w:lineRule="auto"/>
      <w:ind w:left="1134"/>
    </w:pPr>
    <w:rPr>
      <w:rFonts w:eastAsiaTheme="majorEastAsia" w:cstheme="majorBidi"/>
      <w:b/>
      <w:bCs/>
      <w:color w:val="5F6369" w:themeColor="text2"/>
      <w:sz w:val="26"/>
      <w:szCs w:val="28"/>
      <w:lang w:val="en-AU"/>
    </w:rPr>
  </w:style>
  <w:style w:type="paragraph" w:customStyle="1" w:styleId="BodyTextnumbered1">
    <w:name w:val="Body Text numbered 1"/>
    <w:basedOn w:val="BodyText"/>
    <w:rsid w:val="006633DE"/>
    <w:pPr>
      <w:numPr>
        <w:ilvl w:val="6"/>
        <w:numId w:val="2"/>
      </w:numPr>
    </w:pPr>
  </w:style>
  <w:style w:type="paragraph" w:customStyle="1" w:styleId="BodyTextnumbered2">
    <w:name w:val="Body Text numbered 2"/>
    <w:basedOn w:val="BodyText"/>
    <w:rsid w:val="006633DE"/>
    <w:pPr>
      <w:numPr>
        <w:ilvl w:val="7"/>
        <w:numId w:val="2"/>
      </w:numPr>
    </w:pPr>
  </w:style>
  <w:style w:type="paragraph" w:customStyle="1" w:styleId="LegalBodyText1">
    <w:name w:val="Legal Body Text 1"/>
    <w:basedOn w:val="BodyTextnumbered1"/>
    <w:uiPriority w:val="2"/>
    <w:rsid w:val="006633DE"/>
    <w:pPr>
      <w:numPr>
        <w:ilvl w:val="5"/>
        <w:numId w:val="4"/>
      </w:numPr>
    </w:pPr>
  </w:style>
  <w:style w:type="paragraph" w:customStyle="1" w:styleId="LegalBodyText2">
    <w:name w:val="Legal Body Text 2"/>
    <w:basedOn w:val="LegalBodyText1"/>
    <w:uiPriority w:val="2"/>
    <w:rsid w:val="006633DE"/>
    <w:pPr>
      <w:numPr>
        <w:ilvl w:val="6"/>
      </w:numPr>
    </w:pPr>
  </w:style>
  <w:style w:type="paragraph" w:customStyle="1" w:styleId="LegalBodyText3">
    <w:name w:val="Legal Body Text 3"/>
    <w:basedOn w:val="LegalBodyText2"/>
    <w:uiPriority w:val="2"/>
    <w:rsid w:val="006633DE"/>
    <w:pPr>
      <w:numPr>
        <w:ilvl w:val="7"/>
      </w:numPr>
    </w:pPr>
  </w:style>
  <w:style w:type="numbering" w:customStyle="1" w:styleId="Appendices">
    <w:name w:val="Appendices"/>
    <w:uiPriority w:val="99"/>
    <w:rsid w:val="006633DE"/>
    <w:pPr>
      <w:numPr>
        <w:numId w:val="1"/>
      </w:numPr>
    </w:pPr>
  </w:style>
  <w:style w:type="paragraph" w:customStyle="1" w:styleId="Subheading">
    <w:name w:val="Sub heading"/>
    <w:uiPriority w:val="6"/>
    <w:semiHidden/>
    <w:qFormat/>
    <w:rsid w:val="006633DE"/>
    <w:pPr>
      <w:spacing w:before="0" w:after="0" w:line="240" w:lineRule="auto"/>
    </w:pPr>
    <w:rPr>
      <w:color w:val="auto"/>
      <w:sz w:val="24"/>
      <w:lang w:val="en-AU"/>
    </w:rPr>
  </w:style>
  <w:style w:type="paragraph" w:customStyle="1" w:styleId="SubtitleCover">
    <w:name w:val="Subtitle Cover"/>
    <w:uiPriority w:val="6"/>
    <w:semiHidden/>
    <w:qFormat/>
    <w:rsid w:val="006633DE"/>
    <w:pPr>
      <w:spacing w:after="0" w:line="240" w:lineRule="auto"/>
    </w:pPr>
    <w:rPr>
      <w:color w:val="FFFFFF" w:themeColor="background1"/>
      <w:sz w:val="27"/>
      <w:lang w:val="en-AU"/>
    </w:rPr>
  </w:style>
  <w:style w:type="paragraph" w:customStyle="1" w:styleId="TitleCover">
    <w:name w:val="Title Cover"/>
    <w:uiPriority w:val="6"/>
    <w:semiHidden/>
    <w:qFormat/>
    <w:rsid w:val="006633DE"/>
    <w:rPr>
      <w:b/>
      <w:caps/>
      <w:color w:val="FFFFFF" w:themeColor="background1"/>
      <w:sz w:val="56"/>
      <w:lang w:val="en-AU"/>
    </w:rPr>
  </w:style>
  <w:style w:type="paragraph" w:customStyle="1" w:styleId="TitleProjectDate">
    <w:name w:val="Title Project Date"/>
    <w:uiPriority w:val="6"/>
    <w:semiHidden/>
    <w:qFormat/>
    <w:rsid w:val="006633DE"/>
    <w:pPr>
      <w:spacing w:before="0" w:after="0" w:line="240" w:lineRule="auto"/>
    </w:pPr>
    <w:rPr>
      <w:rFonts w:cs="Arial"/>
      <w:b/>
      <w:sz w:val="24"/>
      <w:szCs w:val="24"/>
      <w:lang w:val="en-AU"/>
    </w:rPr>
  </w:style>
  <w:style w:type="paragraph" w:customStyle="1" w:styleId="TitleCover3">
    <w:name w:val="Title Cover 3"/>
    <w:basedOn w:val="TitleCover"/>
    <w:uiPriority w:val="6"/>
    <w:semiHidden/>
    <w:qFormat/>
    <w:rsid w:val="003E24BD"/>
    <w:pPr>
      <w:spacing w:before="0"/>
      <w:ind w:left="1298" w:right="1298"/>
    </w:pPr>
    <w:rPr>
      <w:color w:val="71004B"/>
      <w:sz w:val="72"/>
    </w:rPr>
  </w:style>
  <w:style w:type="paragraph" w:customStyle="1" w:styleId="SubtitleCover3">
    <w:name w:val="Subtitle Cover 3"/>
    <w:basedOn w:val="TitleCover3"/>
    <w:uiPriority w:val="6"/>
    <w:semiHidden/>
    <w:qFormat/>
    <w:rsid w:val="006633DE"/>
    <w:pPr>
      <w:spacing w:line="240" w:lineRule="auto"/>
    </w:pPr>
    <w:rPr>
      <w:b w:val="0"/>
      <w:caps w:val="0"/>
      <w:sz w:val="31"/>
    </w:rPr>
  </w:style>
  <w:style w:type="paragraph" w:customStyle="1" w:styleId="TitleCover4">
    <w:name w:val="Title Cover 4"/>
    <w:basedOn w:val="TitleCover2"/>
    <w:next w:val="TitleCover"/>
    <w:uiPriority w:val="6"/>
    <w:semiHidden/>
    <w:qFormat/>
    <w:rsid w:val="001F1812"/>
    <w:pPr>
      <w:jc w:val="right"/>
    </w:pPr>
    <w:rPr>
      <w:color w:val="D7D8D6"/>
    </w:rPr>
  </w:style>
  <w:style w:type="paragraph" w:customStyle="1" w:styleId="SubtitleCover4">
    <w:name w:val="Subtitle Cover 4"/>
    <w:basedOn w:val="SubtitleCover3"/>
    <w:uiPriority w:val="6"/>
    <w:semiHidden/>
    <w:qFormat/>
    <w:rsid w:val="006633DE"/>
    <w:pPr>
      <w:ind w:left="567"/>
    </w:pPr>
    <w:rPr>
      <w:sz w:val="27"/>
    </w:rPr>
  </w:style>
  <w:style w:type="paragraph" w:customStyle="1" w:styleId="SubTitleCover0">
    <w:name w:val="Sub Title Cover"/>
    <w:uiPriority w:val="6"/>
    <w:semiHidden/>
    <w:qFormat/>
    <w:rsid w:val="004D5D77"/>
    <w:pPr>
      <w:spacing w:after="0" w:line="240" w:lineRule="auto"/>
    </w:pPr>
    <w:rPr>
      <w:color w:val="71004B"/>
      <w:sz w:val="27"/>
      <w:lang w:val="en-AU"/>
    </w:rPr>
  </w:style>
  <w:style w:type="paragraph" w:customStyle="1" w:styleId="TitleCover5">
    <w:name w:val="Title Cover 5"/>
    <w:basedOn w:val="TitleCover"/>
    <w:uiPriority w:val="6"/>
    <w:semiHidden/>
    <w:qFormat/>
    <w:rsid w:val="003E24BD"/>
    <w:rPr>
      <w:color w:val="71004B"/>
    </w:rPr>
  </w:style>
  <w:style w:type="paragraph" w:customStyle="1" w:styleId="SubtitleCover5">
    <w:name w:val="Subtitle Cover 5"/>
    <w:basedOn w:val="Normal"/>
    <w:uiPriority w:val="6"/>
    <w:semiHidden/>
    <w:qFormat/>
    <w:rsid w:val="006633DE"/>
    <w:pPr>
      <w:spacing w:after="0" w:line="240" w:lineRule="auto"/>
    </w:pPr>
    <w:rPr>
      <w:color w:val="71004B"/>
      <w:sz w:val="27"/>
    </w:rPr>
  </w:style>
  <w:style w:type="paragraph" w:customStyle="1" w:styleId="AltCoverHeadings">
    <w:name w:val="Alt Cover Headings"/>
    <w:semiHidden/>
    <w:qFormat/>
    <w:rsid w:val="009C13AB"/>
    <w:pPr>
      <w:spacing w:before="0" w:after="0" w:line="640" w:lineRule="exact"/>
      <w:jc w:val="right"/>
    </w:pPr>
    <w:rPr>
      <w:rFonts w:ascii="Arial Bold" w:hAnsi="Arial Bold"/>
      <w:b/>
      <w:bCs/>
      <w:caps/>
      <w:color w:val="D7D8D6"/>
      <w:sz w:val="60"/>
      <w:szCs w:val="64"/>
      <w:lang w:val="en-AU"/>
    </w:rPr>
  </w:style>
  <w:style w:type="paragraph" w:customStyle="1" w:styleId="Image">
    <w:name w:val="Image"/>
    <w:uiPriority w:val="4"/>
    <w:qFormat/>
    <w:rsid w:val="00893BD4"/>
    <w:pPr>
      <w:keepNext/>
      <w:spacing w:line="210" w:lineRule="atLeast"/>
    </w:pPr>
    <w:rPr>
      <w:color w:val="auto"/>
      <w:lang w:val="en-AU"/>
    </w:rPr>
  </w:style>
  <w:style w:type="paragraph" w:customStyle="1" w:styleId="TitleCover2">
    <w:name w:val="Title Cover 2"/>
    <w:uiPriority w:val="6"/>
    <w:semiHidden/>
    <w:qFormat/>
    <w:rsid w:val="003E24BD"/>
    <w:pPr>
      <w:spacing w:before="0" w:after="0" w:line="240" w:lineRule="auto"/>
    </w:pPr>
    <w:rPr>
      <w:rFonts w:ascii="Arial Bold" w:hAnsi="Arial Bold"/>
      <w:b/>
      <w:bCs/>
      <w:caps/>
      <w:color w:val="71004B"/>
      <w:sz w:val="40"/>
      <w:szCs w:val="40"/>
      <w:lang w:val="en-AU"/>
    </w:rPr>
  </w:style>
  <w:style w:type="paragraph" w:customStyle="1" w:styleId="TitleCover3Subtitle">
    <w:name w:val="Title Cover 3 Subtitle"/>
    <w:basedOn w:val="TitleCover3"/>
    <w:uiPriority w:val="6"/>
    <w:semiHidden/>
    <w:qFormat/>
    <w:rsid w:val="003E24BD"/>
    <w:pPr>
      <w:spacing w:line="240" w:lineRule="auto"/>
    </w:pPr>
    <w:rPr>
      <w:b w:val="0"/>
      <w:caps w:val="0"/>
      <w:sz w:val="31"/>
    </w:rPr>
  </w:style>
  <w:style w:type="paragraph" w:customStyle="1" w:styleId="TitleCover4Subtitle">
    <w:name w:val="Title Cover 4 Subtitle"/>
    <w:uiPriority w:val="6"/>
    <w:semiHidden/>
    <w:qFormat/>
    <w:rsid w:val="001F1812"/>
    <w:pPr>
      <w:spacing w:before="0" w:after="0" w:line="240" w:lineRule="auto"/>
      <w:jc w:val="right"/>
    </w:pPr>
    <w:rPr>
      <w:b/>
      <w:bCs/>
      <w:color w:val="D7D8D6"/>
      <w:sz w:val="28"/>
      <w:szCs w:val="32"/>
      <w:lang w:val="en-AU"/>
    </w:rPr>
  </w:style>
  <w:style w:type="paragraph" w:customStyle="1" w:styleId="TitleCover5Subtitle">
    <w:name w:val="Title Cover 5 Subtitle"/>
    <w:basedOn w:val="Normal"/>
    <w:uiPriority w:val="6"/>
    <w:semiHidden/>
    <w:qFormat/>
    <w:rsid w:val="003E24BD"/>
    <w:pPr>
      <w:spacing w:after="0" w:line="240" w:lineRule="auto"/>
    </w:pPr>
    <w:rPr>
      <w:color w:val="71004B"/>
      <w:sz w:val="27"/>
    </w:rPr>
  </w:style>
  <w:style w:type="paragraph" w:customStyle="1" w:styleId="CoverInformationCo">
    <w:name w:val="Cover Information Co"/>
    <w:semiHidden/>
    <w:qFormat/>
    <w:rsid w:val="00C71281"/>
    <w:pPr>
      <w:spacing w:before="0" w:after="0" w:line="240" w:lineRule="auto"/>
      <w:ind w:left="115" w:right="115"/>
    </w:pPr>
    <w:rPr>
      <w:b/>
      <w:color w:val="71004B"/>
      <w:lang w:val="en-AU"/>
    </w:rPr>
  </w:style>
  <w:style w:type="paragraph" w:customStyle="1" w:styleId="CoverInformationText">
    <w:name w:val="Cover Information Text"/>
    <w:basedOn w:val="Normal"/>
    <w:semiHidden/>
    <w:qFormat/>
    <w:rsid w:val="00C71281"/>
    <w:pPr>
      <w:tabs>
        <w:tab w:val="left" w:pos="570"/>
      </w:tabs>
      <w:spacing w:before="0" w:after="0" w:line="240" w:lineRule="auto"/>
      <w:ind w:left="115" w:right="115"/>
    </w:pPr>
  </w:style>
  <w:style w:type="paragraph" w:customStyle="1" w:styleId="CoverInformationTitle">
    <w:name w:val="Cover Information Title"/>
    <w:semiHidden/>
    <w:qFormat/>
    <w:rsid w:val="00C71281"/>
    <w:pPr>
      <w:spacing w:before="0" w:after="0" w:line="240" w:lineRule="auto"/>
      <w:ind w:left="115" w:right="115"/>
    </w:pPr>
    <w:rPr>
      <w:b/>
      <w:lang w:val="en-AU"/>
    </w:rPr>
  </w:style>
  <w:style w:type="paragraph" w:customStyle="1" w:styleId="NewPage">
    <w:name w:val="New Page"/>
    <w:semiHidden/>
    <w:qFormat/>
    <w:rsid w:val="00F83789"/>
    <w:pPr>
      <w:pageBreakBefore/>
      <w:spacing w:before="0" w:after="0" w:line="40" w:lineRule="exact"/>
    </w:pPr>
    <w:rPr>
      <w:sz w:val="4"/>
      <w:lang w:val="en-AU"/>
    </w:rPr>
  </w:style>
  <w:style w:type="paragraph" w:customStyle="1" w:styleId="BIM">
    <w:name w:val="BIM"/>
    <w:qFormat/>
    <w:rsid w:val="00DC1A46"/>
    <w:pPr>
      <w:framePr w:wrap="auto" w:hAnchor="text" w:y="13379"/>
      <w:spacing w:before="0" w:after="0"/>
      <w:jc w:val="right"/>
    </w:pPr>
    <w:rPr>
      <w:b/>
      <w:color w:val="5F6369" w:themeColor="text2"/>
      <w:sz w:val="16"/>
      <w:lang w:val="en-AU"/>
    </w:rPr>
  </w:style>
  <w:style w:type="paragraph" w:customStyle="1" w:styleId="TableParagraph">
    <w:name w:val="Table Paragraph"/>
    <w:basedOn w:val="Normal"/>
    <w:uiPriority w:val="1"/>
    <w:qFormat/>
    <w:rsid w:val="00725977"/>
    <w:pPr>
      <w:widowControl w:val="0"/>
      <w:autoSpaceDE w:val="0"/>
      <w:autoSpaceDN w:val="0"/>
      <w:spacing w:before="0" w:after="0" w:line="240" w:lineRule="auto"/>
    </w:pPr>
    <w:rPr>
      <w:rFonts w:eastAsia="Arial" w:cs="Arial"/>
      <w:color w:val="auto"/>
      <w:sz w:val="22"/>
      <w:szCs w:val="22"/>
    </w:rPr>
  </w:style>
  <w:style w:type="paragraph" w:styleId="Revision">
    <w:name w:val="Revision"/>
    <w:hidden/>
    <w:uiPriority w:val="99"/>
    <w:semiHidden/>
    <w:rsid w:val="00725977"/>
    <w:pPr>
      <w:spacing w:before="0" w:after="0" w:line="240" w:lineRule="auto"/>
    </w:pPr>
    <w:rPr>
      <w:rFonts w:eastAsia="Arial" w:cs="Arial"/>
      <w:color w:val="auto"/>
      <w:sz w:val="22"/>
      <w:szCs w:val="22"/>
      <w:lang w:val="en-US"/>
    </w:rPr>
  </w:style>
  <w:style w:type="paragraph" w:customStyle="1" w:styleId="ExecSummary">
    <w:name w:val="Exec Summary"/>
    <w:basedOn w:val="Heading1"/>
    <w:link w:val="ExecSummaryChar"/>
    <w:qFormat/>
    <w:rsid w:val="005C790D"/>
    <w:pPr>
      <w:numPr>
        <w:numId w:val="0"/>
      </w:numPr>
    </w:pPr>
  </w:style>
  <w:style w:type="character" w:customStyle="1" w:styleId="ExecSummaryChar">
    <w:name w:val="Exec Summary Char"/>
    <w:basedOn w:val="Heading1Char"/>
    <w:link w:val="ExecSummary"/>
    <w:rsid w:val="005C790D"/>
    <w:rPr>
      <w:rFonts w:eastAsiaTheme="majorEastAsia" w:cstheme="majorBidi"/>
      <w:b/>
      <w:bCs/>
      <w:caps/>
      <w:color w:val="71004B"/>
      <w:sz w:val="32"/>
      <w:szCs w:val="28"/>
      <w:lang w:val="en-AU"/>
    </w:rPr>
  </w:style>
  <w:style w:type="paragraph" w:customStyle="1" w:styleId="ExecSumSub">
    <w:name w:val="Exec Sum Sub"/>
    <w:basedOn w:val="Heading2"/>
    <w:link w:val="ExecSumSubChar"/>
    <w:qFormat/>
    <w:rsid w:val="005C790D"/>
    <w:pPr>
      <w:numPr>
        <w:ilvl w:val="0"/>
        <w:numId w:val="0"/>
      </w:numPr>
    </w:pPr>
  </w:style>
  <w:style w:type="character" w:customStyle="1" w:styleId="ExecSumSubChar">
    <w:name w:val="Exec Sum Sub Char"/>
    <w:basedOn w:val="Heading2Char"/>
    <w:link w:val="ExecSumSub"/>
    <w:rsid w:val="005C790D"/>
    <w:rPr>
      <w:rFonts w:eastAsiaTheme="majorEastAsia" w:cstheme="majorBidi"/>
      <w:b/>
      <w:bCs/>
      <w:color w:val="71004B"/>
      <w:sz w:val="28"/>
      <w:szCs w:val="26"/>
      <w:lang w:val="en-AU"/>
    </w:rPr>
  </w:style>
  <w:style w:type="character" w:styleId="SmartLink">
    <w:name w:val="Smart Link"/>
    <w:basedOn w:val="DefaultParagraphFont"/>
    <w:uiPriority w:val="99"/>
    <w:semiHidden/>
    <w:unhideWhenUsed/>
    <w:rsid w:val="00ED36CF"/>
    <w:rPr>
      <w:color w:val="0000FF"/>
      <w:u w:val="single"/>
      <w:shd w:val="clear" w:color="auto" w:fill="F3F2F1"/>
    </w:rPr>
  </w:style>
  <w:style w:type="paragraph" w:customStyle="1" w:styleId="Heading3Style">
    <w:name w:val="Heading 3 Style"/>
    <w:basedOn w:val="Heading3-nonumber"/>
    <w:link w:val="Heading3StyleChar"/>
    <w:qFormat/>
    <w:rsid w:val="00DA5995"/>
    <w:pPr>
      <w:spacing w:before="0" w:after="0"/>
    </w:pPr>
    <w:rPr>
      <w:bCs w:val="0"/>
      <w:color w:val="auto"/>
      <w:sz w:val="20"/>
    </w:rPr>
  </w:style>
  <w:style w:type="character" w:customStyle="1" w:styleId="Heading3-nonumberChar">
    <w:name w:val="Heading 3 -  (no number) Char"/>
    <w:basedOn w:val="Heading3Char"/>
    <w:link w:val="Heading3-nonumber"/>
    <w:uiPriority w:val="2"/>
    <w:rsid w:val="00DA5995"/>
    <w:rPr>
      <w:rFonts w:eastAsiaTheme="majorEastAsia" w:cstheme="majorBidi"/>
      <w:b/>
      <w:bCs/>
      <w:color w:val="5F6369"/>
      <w:sz w:val="26"/>
      <w:lang w:val="en-AU"/>
    </w:rPr>
  </w:style>
  <w:style w:type="character" w:customStyle="1" w:styleId="Heading3StyleChar">
    <w:name w:val="Heading 3 Style Char"/>
    <w:basedOn w:val="Heading3-nonumberChar"/>
    <w:link w:val="Heading3Style"/>
    <w:rsid w:val="00DA5995"/>
    <w:rPr>
      <w:rFonts w:eastAsiaTheme="majorEastAsia" w:cstheme="majorBidi"/>
      <w:b/>
      <w:bCs w:val="0"/>
      <w:color w:val="auto"/>
      <w:sz w:val="26"/>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601626">
      <w:bodyDiv w:val="1"/>
      <w:marLeft w:val="0"/>
      <w:marRight w:val="0"/>
      <w:marTop w:val="0"/>
      <w:marBottom w:val="0"/>
      <w:divBdr>
        <w:top w:val="none" w:sz="0" w:space="0" w:color="auto"/>
        <w:left w:val="none" w:sz="0" w:space="0" w:color="auto"/>
        <w:bottom w:val="none" w:sz="0" w:space="0" w:color="auto"/>
        <w:right w:val="none" w:sz="0" w:space="0" w:color="auto"/>
      </w:divBdr>
    </w:div>
    <w:div w:id="415057005">
      <w:bodyDiv w:val="1"/>
      <w:marLeft w:val="0"/>
      <w:marRight w:val="0"/>
      <w:marTop w:val="0"/>
      <w:marBottom w:val="0"/>
      <w:divBdr>
        <w:top w:val="none" w:sz="0" w:space="0" w:color="auto"/>
        <w:left w:val="none" w:sz="0" w:space="0" w:color="auto"/>
        <w:bottom w:val="none" w:sz="0" w:space="0" w:color="auto"/>
        <w:right w:val="none" w:sz="0" w:space="0" w:color="auto"/>
      </w:divBdr>
    </w:div>
    <w:div w:id="822238168">
      <w:bodyDiv w:val="1"/>
      <w:marLeft w:val="0"/>
      <w:marRight w:val="0"/>
      <w:marTop w:val="0"/>
      <w:marBottom w:val="0"/>
      <w:divBdr>
        <w:top w:val="none" w:sz="0" w:space="0" w:color="auto"/>
        <w:left w:val="none" w:sz="0" w:space="0" w:color="auto"/>
        <w:bottom w:val="none" w:sz="0" w:space="0" w:color="auto"/>
        <w:right w:val="none" w:sz="0" w:space="0" w:color="auto"/>
      </w:divBdr>
    </w:div>
    <w:div w:id="838353057">
      <w:bodyDiv w:val="1"/>
      <w:marLeft w:val="0"/>
      <w:marRight w:val="0"/>
      <w:marTop w:val="0"/>
      <w:marBottom w:val="0"/>
      <w:divBdr>
        <w:top w:val="none" w:sz="0" w:space="0" w:color="auto"/>
        <w:left w:val="none" w:sz="0" w:space="0" w:color="auto"/>
        <w:bottom w:val="none" w:sz="0" w:space="0" w:color="auto"/>
        <w:right w:val="none" w:sz="0" w:space="0" w:color="auto"/>
      </w:divBdr>
    </w:div>
    <w:div w:id="1466967473">
      <w:bodyDiv w:val="1"/>
      <w:marLeft w:val="0"/>
      <w:marRight w:val="0"/>
      <w:marTop w:val="0"/>
      <w:marBottom w:val="0"/>
      <w:divBdr>
        <w:top w:val="none" w:sz="0" w:space="0" w:color="auto"/>
        <w:left w:val="none" w:sz="0" w:space="0" w:color="auto"/>
        <w:bottom w:val="none" w:sz="0" w:space="0" w:color="auto"/>
        <w:right w:val="none" w:sz="0" w:space="0" w:color="auto"/>
      </w:divBdr>
    </w:div>
    <w:div w:id="1826700544">
      <w:bodyDiv w:val="1"/>
      <w:marLeft w:val="0"/>
      <w:marRight w:val="0"/>
      <w:marTop w:val="0"/>
      <w:marBottom w:val="0"/>
      <w:divBdr>
        <w:top w:val="none" w:sz="0" w:space="0" w:color="auto"/>
        <w:left w:val="none" w:sz="0" w:space="0" w:color="auto"/>
        <w:bottom w:val="none" w:sz="0" w:space="0" w:color="auto"/>
        <w:right w:val="none" w:sz="0" w:space="0" w:color="auto"/>
      </w:divBdr>
    </w:div>
    <w:div w:id="2120300106">
      <w:bodyDiv w:val="1"/>
      <w:marLeft w:val="0"/>
      <w:marRight w:val="0"/>
      <w:marTop w:val="0"/>
      <w:marBottom w:val="0"/>
      <w:divBdr>
        <w:top w:val="none" w:sz="0" w:space="0" w:color="auto"/>
        <w:left w:val="none" w:sz="0" w:space="0" w:color="auto"/>
        <w:bottom w:val="none" w:sz="0" w:space="0" w:color="auto"/>
        <w:right w:val="none" w:sz="0" w:space="0" w:color="auto"/>
      </w:divBdr>
    </w:div>
    <w:div w:id="21283560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18.xml"/><Relationship Id="rId21" Type="http://schemas.openxmlformats.org/officeDocument/2006/relationships/image" Target="media/image9.png"/><Relationship Id="rId42" Type="http://schemas.openxmlformats.org/officeDocument/2006/relationships/image" Target="media/image20.jpeg"/><Relationship Id="rId63" Type="http://schemas.openxmlformats.org/officeDocument/2006/relationships/image" Target="media/image41.jpeg"/><Relationship Id="rId84" Type="http://schemas.openxmlformats.org/officeDocument/2006/relationships/image" Target="media/image60.jpeg"/><Relationship Id="rId138" Type="http://schemas.openxmlformats.org/officeDocument/2006/relationships/image" Target="media/image74.jpeg"/><Relationship Id="rId159" Type="http://schemas.openxmlformats.org/officeDocument/2006/relationships/header" Target="header36.xml"/><Relationship Id="rId170" Type="http://schemas.openxmlformats.org/officeDocument/2006/relationships/hyperlink" Target="https://www.dcceew.gov.au/environment/epbc/protectedmatters-search-tool" TargetMode="External"/><Relationship Id="rId191" Type="http://schemas.openxmlformats.org/officeDocument/2006/relationships/hyperlink" Target="https://www.wharfmooloolaba.com.au/" TargetMode="External"/><Relationship Id="rId107" Type="http://schemas.openxmlformats.org/officeDocument/2006/relationships/header" Target="header14.xml"/><Relationship Id="rId11" Type="http://schemas.openxmlformats.org/officeDocument/2006/relationships/footnotes" Target="footnotes.xml"/><Relationship Id="rId32" Type="http://schemas.openxmlformats.org/officeDocument/2006/relationships/header" Target="header3.xml"/><Relationship Id="rId53" Type="http://schemas.openxmlformats.org/officeDocument/2006/relationships/image" Target="media/image31.jpeg"/><Relationship Id="rId74" Type="http://schemas.openxmlformats.org/officeDocument/2006/relationships/image" Target="media/image52.jpeg"/><Relationship Id="rId128" Type="http://schemas.openxmlformats.org/officeDocument/2006/relationships/footer" Target="footer20.xml"/><Relationship Id="rId149" Type="http://schemas.openxmlformats.org/officeDocument/2006/relationships/image" Target="media/image75.jpeg"/><Relationship Id="rId5" Type="http://schemas.openxmlformats.org/officeDocument/2006/relationships/customXml" Target="../customXml/item5.xml"/><Relationship Id="rId95" Type="http://schemas.openxmlformats.org/officeDocument/2006/relationships/image" Target="media/image63.jpeg"/><Relationship Id="rId160" Type="http://schemas.openxmlformats.org/officeDocument/2006/relationships/footer" Target="footer34.xml"/><Relationship Id="rId181" Type="http://schemas.openxmlformats.org/officeDocument/2006/relationships/hyperlink" Target="https://www.msq.qld.gov.au/Boating-facilities" TargetMode="External"/><Relationship Id="rId22" Type="http://schemas.openxmlformats.org/officeDocument/2006/relationships/image" Target="media/image10.png"/><Relationship Id="rId43" Type="http://schemas.openxmlformats.org/officeDocument/2006/relationships/image" Target="media/image21.jpeg"/><Relationship Id="rId64" Type="http://schemas.openxmlformats.org/officeDocument/2006/relationships/image" Target="media/image42.jpeg"/><Relationship Id="rId118" Type="http://schemas.openxmlformats.org/officeDocument/2006/relationships/footer" Target="footer16.xml"/><Relationship Id="rId139" Type="http://schemas.openxmlformats.org/officeDocument/2006/relationships/header" Target="header27.xml"/><Relationship Id="rId85" Type="http://schemas.openxmlformats.org/officeDocument/2006/relationships/image" Target="media/image61.jpeg"/><Relationship Id="rId150" Type="http://schemas.openxmlformats.org/officeDocument/2006/relationships/image" Target="media/image76.jpeg"/><Relationship Id="rId171" Type="http://schemas.openxmlformats.org/officeDocument/2006/relationships/hyperlink" Target="https://environment.des.qld.gov.au/__data/assets/pdf_file/0024/273633/maroochy-river-ev-wqo.pdf" TargetMode="External"/><Relationship Id="rId192" Type="http://schemas.openxmlformats.org/officeDocument/2006/relationships/hyperlink" Target="https://www.tra.gov.au/en/regional/local-government-area-profiles" TargetMode="External"/><Relationship Id="rId12" Type="http://schemas.openxmlformats.org/officeDocument/2006/relationships/endnotes" Target="endnotes.xml"/><Relationship Id="rId33" Type="http://schemas.openxmlformats.org/officeDocument/2006/relationships/hyperlink" Target="mailto:BoatingInfrastructure@msq.qld.gov.au" TargetMode="External"/><Relationship Id="rId108" Type="http://schemas.openxmlformats.org/officeDocument/2006/relationships/footer" Target="footer12.xml"/><Relationship Id="rId129" Type="http://schemas.openxmlformats.org/officeDocument/2006/relationships/header" Target="header23.xml"/><Relationship Id="rId54" Type="http://schemas.openxmlformats.org/officeDocument/2006/relationships/image" Target="media/image32.jpeg"/><Relationship Id="rId75" Type="http://schemas.openxmlformats.org/officeDocument/2006/relationships/image" Target="media/image53.jpeg"/><Relationship Id="rId96" Type="http://schemas.openxmlformats.org/officeDocument/2006/relationships/image" Target="media/image64.jpeg"/><Relationship Id="rId140" Type="http://schemas.openxmlformats.org/officeDocument/2006/relationships/footer" Target="footer25.xml"/><Relationship Id="rId161" Type="http://schemas.openxmlformats.org/officeDocument/2006/relationships/header" Target="header37.xml"/><Relationship Id="rId182" Type="http://schemas.openxmlformats.org/officeDocument/2006/relationships/hyperlink" Target="https://economy.id.com.au/sunshine-coast/tourism-value" TargetMode="External"/><Relationship Id="rId6" Type="http://schemas.openxmlformats.org/officeDocument/2006/relationships/customXml" Target="../customXml/item6.xml"/><Relationship Id="rId23" Type="http://schemas.openxmlformats.org/officeDocument/2006/relationships/image" Target="media/image11.png"/><Relationship Id="rId119" Type="http://schemas.openxmlformats.org/officeDocument/2006/relationships/image" Target="media/image71.jpeg"/><Relationship Id="rId44" Type="http://schemas.openxmlformats.org/officeDocument/2006/relationships/image" Target="media/image22.jpeg"/><Relationship Id="rId65" Type="http://schemas.openxmlformats.org/officeDocument/2006/relationships/image" Target="media/image43.jpeg"/><Relationship Id="rId86" Type="http://schemas.openxmlformats.org/officeDocument/2006/relationships/header" Target="header7.xml"/><Relationship Id="rId130" Type="http://schemas.openxmlformats.org/officeDocument/2006/relationships/footer" Target="footer21.xml"/><Relationship Id="rId151" Type="http://schemas.openxmlformats.org/officeDocument/2006/relationships/header" Target="header32.xml"/><Relationship Id="rId172" Type="http://schemas.openxmlformats.org/officeDocument/2006/relationships/hyperlink" Target="https://wildnet.science-data.qld.gov.au/" TargetMode="External"/><Relationship Id="rId193" Type="http://schemas.openxmlformats.org/officeDocument/2006/relationships/hyperlink" Target="https://www.visitsunshinecoast.com/place/mooloolaba" TargetMode="External"/><Relationship Id="rId13" Type="http://schemas.openxmlformats.org/officeDocument/2006/relationships/image" Target="media/image1.emf"/><Relationship Id="rId109" Type="http://schemas.openxmlformats.org/officeDocument/2006/relationships/image" Target="media/image69.png"/><Relationship Id="rId34" Type="http://schemas.openxmlformats.org/officeDocument/2006/relationships/header" Target="header4.xml"/><Relationship Id="rId55" Type="http://schemas.openxmlformats.org/officeDocument/2006/relationships/image" Target="media/image33.jpeg"/><Relationship Id="rId76" Type="http://schemas.openxmlformats.org/officeDocument/2006/relationships/image" Target="media/image54.jpeg"/><Relationship Id="rId97" Type="http://schemas.openxmlformats.org/officeDocument/2006/relationships/image" Target="media/image65.jpeg"/><Relationship Id="rId120" Type="http://schemas.openxmlformats.org/officeDocument/2006/relationships/image" Target="media/image72.jpeg"/><Relationship Id="rId141" Type="http://schemas.openxmlformats.org/officeDocument/2006/relationships/header" Target="header28.xml"/><Relationship Id="rId7" Type="http://schemas.openxmlformats.org/officeDocument/2006/relationships/numbering" Target="numbering.xml"/><Relationship Id="rId71" Type="http://schemas.openxmlformats.org/officeDocument/2006/relationships/image" Target="media/image49.jpeg"/><Relationship Id="rId92" Type="http://schemas.openxmlformats.org/officeDocument/2006/relationships/header" Target="header10.xml"/><Relationship Id="rId162" Type="http://schemas.openxmlformats.org/officeDocument/2006/relationships/footer" Target="footer35.xml"/><Relationship Id="rId183" Type="http://schemas.openxmlformats.org/officeDocument/2006/relationships/hyperlink" Target="https://www.sunshinecoast.qld.gov.au/" TargetMode="External"/><Relationship Id="rId2" Type="http://schemas.openxmlformats.org/officeDocument/2006/relationships/customXml" Target="../customXml/item2.xml"/><Relationship Id="rId29" Type="http://schemas.openxmlformats.org/officeDocument/2006/relationships/header" Target="header1.xml"/><Relationship Id="rId24" Type="http://schemas.openxmlformats.org/officeDocument/2006/relationships/image" Target="media/image12.png"/><Relationship Id="rId40" Type="http://schemas.openxmlformats.org/officeDocument/2006/relationships/image" Target="media/image18.png"/><Relationship Id="rId45" Type="http://schemas.openxmlformats.org/officeDocument/2006/relationships/image" Target="media/image23.jpeg"/><Relationship Id="rId66" Type="http://schemas.openxmlformats.org/officeDocument/2006/relationships/image" Target="media/image44.jpeg"/><Relationship Id="rId87" Type="http://schemas.openxmlformats.org/officeDocument/2006/relationships/footer" Target="footer5.xml"/><Relationship Id="rId110" Type="http://schemas.openxmlformats.org/officeDocument/2006/relationships/image" Target="media/image70.png"/><Relationship Id="rId115" Type="http://schemas.openxmlformats.org/officeDocument/2006/relationships/header" Target="header17.xml"/><Relationship Id="rId131" Type="http://schemas.openxmlformats.org/officeDocument/2006/relationships/header" Target="header24.xml"/><Relationship Id="rId136" Type="http://schemas.openxmlformats.org/officeDocument/2006/relationships/footer" Target="footer24.xml"/><Relationship Id="rId157" Type="http://schemas.openxmlformats.org/officeDocument/2006/relationships/header" Target="header35.xml"/><Relationship Id="rId178" Type="http://schemas.openxmlformats.org/officeDocument/2006/relationships/hyperlink" Target="https://discovermooloolaba.com.au/" TargetMode="External"/><Relationship Id="rId61" Type="http://schemas.openxmlformats.org/officeDocument/2006/relationships/image" Target="media/image39.jpeg"/><Relationship Id="rId82" Type="http://schemas.openxmlformats.org/officeDocument/2006/relationships/header" Target="header6.xml"/><Relationship Id="rId152" Type="http://schemas.openxmlformats.org/officeDocument/2006/relationships/footer" Target="footer30.xml"/><Relationship Id="rId173" Type="http://schemas.openxmlformats.org/officeDocument/2006/relationships/hyperlink" Target="https://www.environment.gov.au/sprat" TargetMode="External"/><Relationship Id="rId194" Type="http://schemas.openxmlformats.org/officeDocument/2006/relationships/hyperlink" Target="https://www.data.qld.gov.au/dataset/wildnet-wildlife-records-published-queensland" TargetMode="External"/><Relationship Id="rId199" Type="http://schemas.openxmlformats.org/officeDocument/2006/relationships/glossaryDocument" Target="glossary/document.xml"/><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header" Target="header2.xml"/><Relationship Id="rId35" Type="http://schemas.openxmlformats.org/officeDocument/2006/relationships/footer" Target="footer2.xml"/><Relationship Id="rId56" Type="http://schemas.openxmlformats.org/officeDocument/2006/relationships/image" Target="media/image34.png"/><Relationship Id="rId77" Type="http://schemas.openxmlformats.org/officeDocument/2006/relationships/image" Target="media/image55.jpeg"/><Relationship Id="rId100" Type="http://schemas.openxmlformats.org/officeDocument/2006/relationships/header" Target="header11.xml"/><Relationship Id="rId105" Type="http://schemas.openxmlformats.org/officeDocument/2006/relationships/header" Target="header13.xml"/><Relationship Id="rId126" Type="http://schemas.openxmlformats.org/officeDocument/2006/relationships/footer" Target="footer19.xml"/><Relationship Id="rId147" Type="http://schemas.openxmlformats.org/officeDocument/2006/relationships/header" Target="header31.xml"/><Relationship Id="rId168" Type="http://schemas.openxmlformats.org/officeDocument/2006/relationships/hyperlink" Target="https://nudibranch.com.au/specieslist.html" TargetMode="External"/><Relationship Id="rId8" Type="http://schemas.openxmlformats.org/officeDocument/2006/relationships/styles" Target="styles.xml"/><Relationship Id="rId51" Type="http://schemas.openxmlformats.org/officeDocument/2006/relationships/image" Target="media/image29.jpeg"/><Relationship Id="rId72" Type="http://schemas.openxmlformats.org/officeDocument/2006/relationships/image" Target="media/image50.jpeg"/><Relationship Id="rId93" Type="http://schemas.openxmlformats.org/officeDocument/2006/relationships/footer" Target="footer8.xml"/><Relationship Id="rId98" Type="http://schemas.openxmlformats.org/officeDocument/2006/relationships/image" Target="media/image66.jpeg"/><Relationship Id="rId121" Type="http://schemas.openxmlformats.org/officeDocument/2006/relationships/header" Target="header19.xml"/><Relationship Id="rId142" Type="http://schemas.openxmlformats.org/officeDocument/2006/relationships/footer" Target="footer26.xml"/><Relationship Id="rId163" Type="http://schemas.openxmlformats.org/officeDocument/2006/relationships/hyperlink" Target="https://lists.ala.org.au/speciesListItem/list/dr781" TargetMode="External"/><Relationship Id="rId184" Type="http://schemas.openxmlformats.org/officeDocument/2006/relationships/hyperlink" Target="https://www.sunshinecoast.qld.gov.au/council/planning-and-projects/council-plans/pt-cartwright-master-plan" TargetMode="External"/><Relationship Id="rId189" Type="http://schemas.openxmlformats.org/officeDocument/2006/relationships/hyperlink" Target="https://www.sunshinecoast.qld.gov.au/news/vision-of-beauty-see-into-foreshore-s-fabulous-" TargetMode="Externa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24.jpeg"/><Relationship Id="rId67" Type="http://schemas.openxmlformats.org/officeDocument/2006/relationships/image" Target="media/image45.jpeg"/><Relationship Id="rId116" Type="http://schemas.openxmlformats.org/officeDocument/2006/relationships/footer" Target="footer15.xml"/><Relationship Id="rId137" Type="http://schemas.openxmlformats.org/officeDocument/2006/relationships/image" Target="media/image73.jpeg"/><Relationship Id="rId158" Type="http://schemas.openxmlformats.org/officeDocument/2006/relationships/footer" Target="footer33.xml"/><Relationship Id="rId20" Type="http://schemas.openxmlformats.org/officeDocument/2006/relationships/image" Target="media/image8.svg"/><Relationship Id="rId41" Type="http://schemas.openxmlformats.org/officeDocument/2006/relationships/image" Target="media/image19.jpeg"/><Relationship Id="rId62" Type="http://schemas.openxmlformats.org/officeDocument/2006/relationships/image" Target="media/image40.jpeg"/><Relationship Id="rId83" Type="http://schemas.openxmlformats.org/officeDocument/2006/relationships/footer" Target="footer4.xml"/><Relationship Id="rId88" Type="http://schemas.openxmlformats.org/officeDocument/2006/relationships/header" Target="header8.xml"/><Relationship Id="rId111" Type="http://schemas.openxmlformats.org/officeDocument/2006/relationships/header" Target="header15.xml"/><Relationship Id="rId132" Type="http://schemas.openxmlformats.org/officeDocument/2006/relationships/footer" Target="footer22.xml"/><Relationship Id="rId153" Type="http://schemas.openxmlformats.org/officeDocument/2006/relationships/header" Target="header33.xml"/><Relationship Id="rId174" Type="http://schemas.openxmlformats.org/officeDocument/2006/relationships/hyperlink" Target="https://www.environment.gov.au/sprat" TargetMode="External"/><Relationship Id="rId179" Type="http://schemas.openxmlformats.org/officeDocument/2006/relationships/hyperlink" Target="https://reportcard.hlw.org.au/" TargetMode="External"/><Relationship Id="rId195" Type="http://schemas.openxmlformats.org/officeDocument/2006/relationships/hyperlink" Target="https://www.data.qld.gov.au/dataset/wildnet-wildlife-records-published-queensland" TargetMode="External"/><Relationship Id="rId190" Type="http://schemas.openxmlformats.org/officeDocument/2006/relationships/hyperlink" Target="https://www.sunshinecoastnews.com.au/2025/08/11/master-plan-to-chart-harbours-future/" TargetMode="External"/><Relationship Id="rId15" Type="http://schemas.openxmlformats.org/officeDocument/2006/relationships/image" Target="media/image3.png"/><Relationship Id="rId36" Type="http://schemas.openxmlformats.org/officeDocument/2006/relationships/header" Target="header5.xml"/><Relationship Id="rId57" Type="http://schemas.openxmlformats.org/officeDocument/2006/relationships/image" Target="media/image35.jpeg"/><Relationship Id="rId106" Type="http://schemas.openxmlformats.org/officeDocument/2006/relationships/footer" Target="footer11.xml"/><Relationship Id="rId127" Type="http://schemas.openxmlformats.org/officeDocument/2006/relationships/header" Target="header22.xml"/><Relationship Id="rId10" Type="http://schemas.openxmlformats.org/officeDocument/2006/relationships/webSettings" Target="webSettings.xml"/><Relationship Id="rId31" Type="http://schemas.openxmlformats.org/officeDocument/2006/relationships/footer" Target="footer1.xml"/><Relationship Id="rId52" Type="http://schemas.openxmlformats.org/officeDocument/2006/relationships/image" Target="media/image30.jpeg"/><Relationship Id="rId73" Type="http://schemas.openxmlformats.org/officeDocument/2006/relationships/image" Target="media/image51.jpeg"/><Relationship Id="rId78" Type="http://schemas.openxmlformats.org/officeDocument/2006/relationships/image" Target="media/image56.jpeg"/><Relationship Id="rId94" Type="http://schemas.openxmlformats.org/officeDocument/2006/relationships/image" Target="media/image62.png"/><Relationship Id="rId99" Type="http://schemas.openxmlformats.org/officeDocument/2006/relationships/image" Target="media/image67.jpeg"/><Relationship Id="rId101" Type="http://schemas.openxmlformats.org/officeDocument/2006/relationships/footer" Target="footer9.xml"/><Relationship Id="rId122" Type="http://schemas.openxmlformats.org/officeDocument/2006/relationships/footer" Target="footer17.xml"/><Relationship Id="rId143" Type="http://schemas.openxmlformats.org/officeDocument/2006/relationships/header" Target="header29.xml"/><Relationship Id="rId148" Type="http://schemas.openxmlformats.org/officeDocument/2006/relationships/footer" Target="footer29.xml"/><Relationship Id="rId164" Type="http://schemas.openxmlformats.org/officeDocument/2006/relationships/hyperlink" Target="https://lists.ala.org.au/speciesListItem/list/dr781" TargetMode="External"/><Relationship Id="rId169" Type="http://schemas.openxmlformats.org/officeDocument/2006/relationships/hyperlink" Target="https://nudibranch.com.au/specieslist.html" TargetMode="External"/><Relationship Id="rId185" Type="http://schemas.openxmlformats.org/officeDocument/2006/relationships/hyperlink" Target="https://www.sunshinecoast.qld.gov.au/council/planning-and-projects/council-plans/pt-cartwright-master-plan" TargetMode="External"/><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hyperlink" Target="https://reportcard.hlw.org.au/" TargetMode="External"/><Relationship Id="rId26" Type="http://schemas.openxmlformats.org/officeDocument/2006/relationships/image" Target="media/image14.png"/><Relationship Id="rId47" Type="http://schemas.openxmlformats.org/officeDocument/2006/relationships/image" Target="media/image25.jpeg"/><Relationship Id="rId68" Type="http://schemas.openxmlformats.org/officeDocument/2006/relationships/image" Target="media/image46.jpeg"/><Relationship Id="rId89" Type="http://schemas.openxmlformats.org/officeDocument/2006/relationships/footer" Target="footer6.xml"/><Relationship Id="rId112" Type="http://schemas.openxmlformats.org/officeDocument/2006/relationships/footer" Target="footer13.xml"/><Relationship Id="rId133" Type="http://schemas.openxmlformats.org/officeDocument/2006/relationships/header" Target="header25.xml"/><Relationship Id="rId154" Type="http://schemas.openxmlformats.org/officeDocument/2006/relationships/footer" Target="footer31.xml"/><Relationship Id="rId175" Type="http://schemas.openxmlformats.org/officeDocument/2006/relationships/hyperlink" Target="https://www.environment.gov.au/sprat" TargetMode="External"/><Relationship Id="rId196" Type="http://schemas.openxmlformats.org/officeDocument/2006/relationships/header" Target="header38.xml"/><Relationship Id="rId200" Type="http://schemas.openxmlformats.org/officeDocument/2006/relationships/theme" Target="theme/theme1.xml"/><Relationship Id="rId16" Type="http://schemas.openxmlformats.org/officeDocument/2006/relationships/image" Target="media/image4.png"/><Relationship Id="rId37" Type="http://schemas.openxmlformats.org/officeDocument/2006/relationships/footer" Target="footer3.xml"/><Relationship Id="rId58" Type="http://schemas.openxmlformats.org/officeDocument/2006/relationships/image" Target="media/image36.jpeg"/><Relationship Id="rId79" Type="http://schemas.openxmlformats.org/officeDocument/2006/relationships/image" Target="media/image57.jpeg"/><Relationship Id="rId102" Type="http://schemas.openxmlformats.org/officeDocument/2006/relationships/header" Target="header12.xml"/><Relationship Id="rId123" Type="http://schemas.openxmlformats.org/officeDocument/2006/relationships/header" Target="header20.xml"/><Relationship Id="rId144" Type="http://schemas.openxmlformats.org/officeDocument/2006/relationships/footer" Target="footer27.xml"/><Relationship Id="rId90" Type="http://schemas.openxmlformats.org/officeDocument/2006/relationships/header" Target="header9.xml"/><Relationship Id="rId165" Type="http://schemas.openxmlformats.org/officeDocument/2006/relationships/hyperlink" Target="https://birdata.birdlife.org.au/explore" TargetMode="External"/><Relationship Id="rId186" Type="http://schemas.openxmlformats.org/officeDocument/2006/relationships/hyperlink" Target="https://assets-au-scc.kc-usercontent.com/330b87ea-148b-3ecf-9857-698f2086fe8d/33a9c74f-1311-4d76-bc9a-0f0e6e379640/Environment%20and%20Liveability%20Strategy%20PART%20A%202023.pdf" TargetMode="External"/><Relationship Id="rId27" Type="http://schemas.openxmlformats.org/officeDocument/2006/relationships/image" Target="media/image15.png"/><Relationship Id="rId48" Type="http://schemas.openxmlformats.org/officeDocument/2006/relationships/image" Target="media/image26.jpeg"/><Relationship Id="rId69" Type="http://schemas.openxmlformats.org/officeDocument/2006/relationships/image" Target="media/image47.jpeg"/><Relationship Id="rId113" Type="http://schemas.openxmlformats.org/officeDocument/2006/relationships/header" Target="header16.xml"/><Relationship Id="rId134" Type="http://schemas.openxmlformats.org/officeDocument/2006/relationships/footer" Target="footer23.xml"/><Relationship Id="rId80" Type="http://schemas.openxmlformats.org/officeDocument/2006/relationships/image" Target="media/image58.jpeg"/><Relationship Id="rId155" Type="http://schemas.openxmlformats.org/officeDocument/2006/relationships/header" Target="header34.xml"/><Relationship Id="rId176" Type="http://schemas.openxmlformats.org/officeDocument/2006/relationships/hyperlink" Target="https://www.dpi.qld.gov.au/business-priorities/fisheries/monitor/rec/statewide-survey" TargetMode="External"/><Relationship Id="rId197" Type="http://schemas.openxmlformats.org/officeDocument/2006/relationships/footer" Target="footer36.xml"/><Relationship Id="rId17" Type="http://schemas.openxmlformats.org/officeDocument/2006/relationships/image" Target="media/image5.png"/><Relationship Id="rId38" Type="http://schemas.openxmlformats.org/officeDocument/2006/relationships/hyperlink" Target="https://www.sunshinecoast.qld.gov.au/council/planning-and-projects/council-plans/place-making-mooloolaba-master-plan" TargetMode="External"/><Relationship Id="rId59" Type="http://schemas.openxmlformats.org/officeDocument/2006/relationships/image" Target="media/image37.jpeg"/><Relationship Id="rId103" Type="http://schemas.openxmlformats.org/officeDocument/2006/relationships/footer" Target="footer10.xml"/><Relationship Id="rId124" Type="http://schemas.openxmlformats.org/officeDocument/2006/relationships/footer" Target="footer18.xml"/><Relationship Id="rId70" Type="http://schemas.openxmlformats.org/officeDocument/2006/relationships/image" Target="media/image48.jpeg"/><Relationship Id="rId91" Type="http://schemas.openxmlformats.org/officeDocument/2006/relationships/footer" Target="footer7.xml"/><Relationship Id="rId145" Type="http://schemas.openxmlformats.org/officeDocument/2006/relationships/header" Target="header30.xml"/><Relationship Id="rId166" Type="http://schemas.openxmlformats.org/officeDocument/2006/relationships/hyperlink" Target="https://www.publications.qld.gov.au/dataset/recreational-boating-facilities-demand-forecasting-study-" TargetMode="External"/><Relationship Id="rId187" Type="http://schemas.openxmlformats.org/officeDocument/2006/relationships/hyperlink" Target="https://assets-au-scc.kc-usercontent.com/330b87ea-148b-3ecf-9857-698f2086fe8d/33a9c74f-1311-4d76-bc9a-0f0e6e379640/Environment%20and%20Liveability%20Strategy%20PART%20A%202023.pdf" TargetMode="External"/><Relationship Id="rId1" Type="http://schemas.openxmlformats.org/officeDocument/2006/relationships/customXml" Target="../customXml/item1.xml"/><Relationship Id="rId28" Type="http://schemas.openxmlformats.org/officeDocument/2006/relationships/image" Target="media/image16.svg"/><Relationship Id="rId49" Type="http://schemas.openxmlformats.org/officeDocument/2006/relationships/image" Target="media/image27.jpeg"/><Relationship Id="rId114" Type="http://schemas.openxmlformats.org/officeDocument/2006/relationships/footer" Target="footer14.xml"/><Relationship Id="rId60" Type="http://schemas.openxmlformats.org/officeDocument/2006/relationships/image" Target="media/image38.jpeg"/><Relationship Id="rId81" Type="http://schemas.openxmlformats.org/officeDocument/2006/relationships/image" Target="media/image59.jpeg"/><Relationship Id="rId135" Type="http://schemas.openxmlformats.org/officeDocument/2006/relationships/header" Target="header26.xml"/><Relationship Id="rId156" Type="http://schemas.openxmlformats.org/officeDocument/2006/relationships/footer" Target="footer32.xml"/><Relationship Id="rId177" Type="http://schemas.openxmlformats.org/officeDocument/2006/relationships/hyperlink" Target="https://www.dpi.qld.gov.au/business-priorities/fisheries/monitor/rec/statewide-survey" TargetMode="External"/><Relationship Id="rId198" Type="http://schemas.openxmlformats.org/officeDocument/2006/relationships/fontTable" Target="fontTable.xml"/><Relationship Id="rId18" Type="http://schemas.openxmlformats.org/officeDocument/2006/relationships/image" Target="media/image6.svg"/><Relationship Id="rId39" Type="http://schemas.openxmlformats.org/officeDocument/2006/relationships/hyperlink" Target="https://www.sunshinecoast.qld.gov.au/council/planning-and-projects/council-plans/pt-cartwright-master-plan" TargetMode="External"/><Relationship Id="rId50" Type="http://schemas.openxmlformats.org/officeDocument/2006/relationships/image" Target="media/image28.jpeg"/><Relationship Id="rId104" Type="http://schemas.openxmlformats.org/officeDocument/2006/relationships/image" Target="media/image68.jpeg"/><Relationship Id="rId125" Type="http://schemas.openxmlformats.org/officeDocument/2006/relationships/header" Target="header21.xml"/><Relationship Id="rId146" Type="http://schemas.openxmlformats.org/officeDocument/2006/relationships/footer" Target="footer28.xml"/><Relationship Id="rId167" Type="http://schemas.openxmlformats.org/officeDocument/2006/relationships/hyperlink" Target="https://www.bom.gov.au/climate/averages/tables/cw_040861.shtml" TargetMode="External"/><Relationship Id="rId188" Type="http://schemas.openxmlformats.org/officeDocument/2006/relationships/hyperlink" Target="https://assets-au-scc.kc-usercontent.com/330b87ea-148b-3ecf-9857-698f2086fe8d/33a9c74f-1311-4d76-bc9a-0f0e6e379640/Environment%20and%20Liveability%20Strategy%20PART%20A%202023.pdf"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tra.gov.au/en/regional/local-government-area-profiles" TargetMode="External"/><Relationship Id="rId2" Type="http://schemas.openxmlformats.org/officeDocument/2006/relationships/hyperlink" Target="https://www.publications.qld.gov.au/dataset/recreational-boating-facilities-demand-forecasting-study-2022/resource/157db8f3-ecdc-4c37-9eba-" TargetMode="External"/><Relationship Id="rId1" Type="http://schemas.openxmlformats.org/officeDocument/2006/relationships/hyperlink" Target="https://www.sunshinecoast.qld.gov.au/" TargetMode="External"/><Relationship Id="rId6" Type="http://schemas.openxmlformats.org/officeDocument/2006/relationships/hyperlink" Target="https://www.visitsunshinecoast.com/place/mooloolaba" TargetMode="External"/><Relationship Id="rId5" Type="http://schemas.openxmlformats.org/officeDocument/2006/relationships/hyperlink" Target="https://www.visitsunshinecoast.com/place/mooloolaba" TargetMode="External"/><Relationship Id="rId4" Type="http://schemas.openxmlformats.org/officeDocument/2006/relationships/hyperlink" Target="https://discovermooloolaba.com.a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7.emf"/></Relationships>
</file>

<file path=word/_rels/header3.xml.rels><?xml version="1.0" encoding="UTF-8" standalone="yes"?>
<Relationships xmlns="http://schemas.openxmlformats.org/package/2006/relationships"><Relationship Id="rId1" Type="http://schemas.openxmlformats.org/officeDocument/2006/relationships/image" Target="media/image17.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iah.Hume\AppData\Local\Temp\Templafy\WordVsto\RPS%20Repor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0091467EBAF342FA92ABA2D95249BBA4"/>
        <w:category>
          <w:name w:val="General"/>
          <w:gallery w:val="placeholder"/>
        </w:category>
        <w:types>
          <w:type w:val="bbPlcHdr"/>
        </w:types>
        <w:behaviors>
          <w:behavior w:val="content"/>
        </w:behaviors>
        <w:guid w:val="{0830A5C5-1F0A-461B-84E2-D27D1D2AEFAA}"/>
      </w:docPartPr>
      <w:docPartBody>
        <w:p w:rsidR="00DA28F9" w:rsidRDefault="00DA28F9">
          <w:pPr>
            <w:pStyle w:val="0091467EBAF342FA92ABA2D95249BBA4"/>
          </w:pPr>
          <w:r w:rsidRPr="0058285D">
            <w:rPr>
              <w:rStyle w:val="PlaceholderText"/>
            </w:rPr>
            <w:t>Proj Ref</w:t>
          </w:r>
        </w:p>
      </w:docPartBody>
    </w:docPart>
    <w:docPart>
      <w:docPartPr>
        <w:name w:val="EE920BDA15534207AF1C3436004F0DC4"/>
        <w:category>
          <w:name w:val="General"/>
          <w:gallery w:val="placeholder"/>
        </w:category>
        <w:types>
          <w:type w:val="bbPlcHdr"/>
        </w:types>
        <w:behaviors>
          <w:behavior w:val="content"/>
        </w:behaviors>
        <w:guid w:val="{14AE77ED-5DCB-43A3-996D-B89CB52A5F04}"/>
      </w:docPartPr>
      <w:docPartBody>
        <w:p w:rsidR="00DA28F9" w:rsidRDefault="00DA28F9">
          <w:pPr>
            <w:pStyle w:val="EE920BDA15534207AF1C3436004F0DC4"/>
          </w:pPr>
          <w:r w:rsidRPr="0058285D">
            <w:rPr>
              <w:rStyle w:val="PlaceholderText"/>
            </w:rPr>
            <w:t>dd mmmm yyyy</w:t>
          </w:r>
        </w:p>
      </w:docPartBody>
    </w:docPart>
    <w:docPart>
      <w:docPartPr>
        <w:name w:val="9E35C62DD3484D88A238CB9F7571913C"/>
        <w:category>
          <w:name w:val="General"/>
          <w:gallery w:val="placeholder"/>
        </w:category>
        <w:types>
          <w:type w:val="bbPlcHdr"/>
        </w:types>
        <w:behaviors>
          <w:behavior w:val="content"/>
        </w:behaviors>
        <w:guid w:val="{460237A0-6D1F-46B8-8BE9-AC33583DB896}"/>
      </w:docPartPr>
      <w:docPartBody>
        <w:p w:rsidR="00DA28F9" w:rsidRDefault="00DA28F9">
          <w:pPr>
            <w:pStyle w:val="9E35C62DD3484D88A238CB9F7571913C"/>
          </w:pPr>
          <w:r w:rsidRPr="004661C9">
            <w:rPr>
              <w:rStyle w:val="PlaceholderText"/>
            </w:rPr>
            <w:t>Version</w:t>
          </w:r>
        </w:p>
      </w:docPartBody>
    </w:docPart>
    <w:docPart>
      <w:docPartPr>
        <w:name w:val="5863F21251204E9184E443F0ECA5192D"/>
        <w:category>
          <w:name w:val="General"/>
          <w:gallery w:val="placeholder"/>
        </w:category>
        <w:types>
          <w:type w:val="bbPlcHdr"/>
        </w:types>
        <w:behaviors>
          <w:behavior w:val="content"/>
        </w:behaviors>
        <w:guid w:val="{6132064A-74D9-4A55-BC70-95CB31271DDC}"/>
      </w:docPartPr>
      <w:docPartBody>
        <w:p w:rsidR="00DA28F9" w:rsidRDefault="00DA28F9">
          <w:pPr>
            <w:pStyle w:val="5863F21251204E9184E443F0ECA5192D"/>
          </w:pPr>
          <w:r w:rsidRPr="0058285D">
            <w:rPr>
              <w:rStyle w:val="PlaceholderText"/>
            </w:rPr>
            <w:t>Click or tap here to enter text.</w:t>
          </w:r>
        </w:p>
      </w:docPartBody>
    </w:docPart>
    <w:docPart>
      <w:docPartPr>
        <w:name w:val="CBA6F05AB0B44063B2630149AB8A2C92"/>
        <w:category>
          <w:name w:val="General"/>
          <w:gallery w:val="placeholder"/>
        </w:category>
        <w:types>
          <w:type w:val="bbPlcHdr"/>
        </w:types>
        <w:behaviors>
          <w:behavior w:val="content"/>
        </w:behaviors>
        <w:guid w:val="{7E4D0561-DDF9-4185-A585-D12551341699}"/>
      </w:docPartPr>
      <w:docPartBody>
        <w:p w:rsidR="00DA28F9" w:rsidRDefault="00DA28F9">
          <w:pPr>
            <w:pStyle w:val="CBA6F05AB0B44063B2630149AB8A2C92"/>
          </w:pPr>
          <w:r w:rsidRPr="0058285D">
            <w:rPr>
              <w:rStyle w:val="PlaceholderText"/>
            </w:rPr>
            <w:t>Document status</w:t>
          </w:r>
        </w:p>
      </w:docPartBody>
    </w:docPart>
    <w:docPart>
      <w:docPartPr>
        <w:name w:val="B184EB6809E041BE87FC477D44FF5088"/>
        <w:category>
          <w:name w:val="General"/>
          <w:gallery w:val="placeholder"/>
        </w:category>
        <w:types>
          <w:type w:val="bbPlcHdr"/>
        </w:types>
        <w:behaviors>
          <w:behavior w:val="content"/>
        </w:behaviors>
        <w:guid w:val="{0AA10A88-E583-4C68-9E0E-85F0A0DEB76F}"/>
      </w:docPartPr>
      <w:docPartBody>
        <w:p w:rsidR="00DA28F9" w:rsidRDefault="00DA28F9">
          <w:pPr>
            <w:pStyle w:val="B184EB6809E041BE87FC477D44FF5088"/>
          </w:pPr>
          <w:r w:rsidRPr="0058285D">
            <w:rPr>
              <w:rStyle w:val="PlaceholderText"/>
            </w:rPr>
            <w:t>Version</w:t>
          </w:r>
        </w:p>
      </w:docPartBody>
    </w:docPart>
    <w:docPart>
      <w:docPartPr>
        <w:name w:val="01B076205A834DEF9A6E0902E820A14F"/>
        <w:category>
          <w:name w:val="General"/>
          <w:gallery w:val="placeholder"/>
        </w:category>
        <w:types>
          <w:type w:val="bbPlcHdr"/>
        </w:types>
        <w:behaviors>
          <w:behavior w:val="content"/>
        </w:behaviors>
        <w:guid w:val="{465025A2-203A-4F54-8236-750A41B8102F}"/>
      </w:docPartPr>
      <w:docPartBody>
        <w:p w:rsidR="00DA28F9" w:rsidRDefault="00DA28F9">
          <w:pPr>
            <w:pStyle w:val="01B076205A834DEF9A6E0902E820A14F"/>
          </w:pPr>
          <w:r w:rsidRPr="0058285D">
            <w:rPr>
              <w:rStyle w:val="PlaceholderText"/>
            </w:rPr>
            <w:t>Purpose of document</w:t>
          </w:r>
        </w:p>
      </w:docPartBody>
    </w:docPart>
    <w:docPart>
      <w:docPartPr>
        <w:name w:val="8BAAB06CB61C4904A49CC1792E1DEB87"/>
        <w:category>
          <w:name w:val="General"/>
          <w:gallery w:val="placeholder"/>
        </w:category>
        <w:types>
          <w:type w:val="bbPlcHdr"/>
        </w:types>
        <w:behaviors>
          <w:behavior w:val="content"/>
        </w:behaviors>
        <w:guid w:val="{295479D1-CC2D-496D-BF66-41F0683F120C}"/>
      </w:docPartPr>
      <w:docPartBody>
        <w:p w:rsidR="00DA28F9" w:rsidRDefault="00DA28F9">
          <w:pPr>
            <w:pStyle w:val="8BAAB06CB61C4904A49CC1792E1DEB87"/>
          </w:pPr>
          <w:r w:rsidRPr="0058285D">
            <w:rPr>
              <w:rStyle w:val="PlaceholderText"/>
            </w:rPr>
            <w:t>Authored by</w:t>
          </w:r>
        </w:p>
      </w:docPartBody>
    </w:docPart>
    <w:docPart>
      <w:docPartPr>
        <w:name w:val="C6CB483A7C3C410AA973F410802E801C"/>
        <w:category>
          <w:name w:val="General"/>
          <w:gallery w:val="placeholder"/>
        </w:category>
        <w:types>
          <w:type w:val="bbPlcHdr"/>
        </w:types>
        <w:behaviors>
          <w:behavior w:val="content"/>
        </w:behaviors>
        <w:guid w:val="{71F429EB-67CE-4770-A58A-59FB3C4FC090}"/>
      </w:docPartPr>
      <w:docPartBody>
        <w:p w:rsidR="00DA28F9" w:rsidRDefault="00DA28F9">
          <w:pPr>
            <w:pStyle w:val="C6CB483A7C3C410AA973F410802E801C"/>
          </w:pPr>
          <w:r w:rsidRPr="0058285D">
            <w:rPr>
              <w:rStyle w:val="PlaceholderText"/>
            </w:rPr>
            <w:t>Reviewed by</w:t>
          </w:r>
        </w:p>
      </w:docPartBody>
    </w:docPart>
    <w:docPart>
      <w:docPartPr>
        <w:name w:val="4DD9A781117E435D9415D11AF149A5AD"/>
        <w:category>
          <w:name w:val="General"/>
          <w:gallery w:val="placeholder"/>
        </w:category>
        <w:types>
          <w:type w:val="bbPlcHdr"/>
        </w:types>
        <w:behaviors>
          <w:behavior w:val="content"/>
        </w:behaviors>
        <w:guid w:val="{D6D1567C-23B7-493F-BEC4-3FBE6B9B8EBC}"/>
      </w:docPartPr>
      <w:docPartBody>
        <w:p w:rsidR="00DA28F9" w:rsidRDefault="00DA28F9">
          <w:pPr>
            <w:pStyle w:val="4DD9A781117E435D9415D11AF149A5AD"/>
          </w:pPr>
          <w:r w:rsidRPr="0058285D">
            <w:rPr>
              <w:rStyle w:val="PlaceholderText"/>
            </w:rPr>
            <w:t>Date</w:t>
          </w:r>
        </w:p>
      </w:docPartBody>
    </w:docPart>
    <w:docPart>
      <w:docPartPr>
        <w:name w:val="A313CA6E11DD4E35AC37F00891CCB98F"/>
        <w:category>
          <w:name w:val="General"/>
          <w:gallery w:val="placeholder"/>
        </w:category>
        <w:types>
          <w:type w:val="bbPlcHdr"/>
        </w:types>
        <w:behaviors>
          <w:behavior w:val="content"/>
        </w:behaviors>
        <w:guid w:val="{4BA7CCDA-D846-453D-867C-D50F4D9C18A0}"/>
      </w:docPartPr>
      <w:docPartBody>
        <w:p w:rsidR="00DA28F9" w:rsidRDefault="00DA28F9">
          <w:pPr>
            <w:pStyle w:val="A313CA6E11DD4E35AC37F00891CCB98F"/>
          </w:pPr>
          <w:r w:rsidRPr="00096927">
            <w:rPr>
              <w:lang w:val="en-GB"/>
            </w:rPr>
            <w:t>[Text]</w:t>
          </w:r>
        </w:p>
      </w:docPartBody>
    </w:docPart>
    <w:docPart>
      <w:docPartPr>
        <w:name w:val="2CA4537C5C1A487CB1495515710845D5"/>
        <w:category>
          <w:name w:val="General"/>
          <w:gallery w:val="placeholder"/>
        </w:category>
        <w:types>
          <w:type w:val="bbPlcHdr"/>
        </w:types>
        <w:behaviors>
          <w:behavior w:val="content"/>
        </w:behaviors>
        <w:guid w:val="{7737E04E-657F-4B28-BDD5-D03800476FDE}"/>
      </w:docPartPr>
      <w:docPartBody>
        <w:p w:rsidR="00DA28F9" w:rsidRDefault="00DA28F9">
          <w:pPr>
            <w:pStyle w:val="2CA4537C5C1A487CB1495515710845D5"/>
          </w:pPr>
          <w:r w:rsidRPr="0058285D">
            <w:rPr>
              <w:rStyle w:val="PlaceholderText"/>
            </w:rPr>
            <w:t>Approval for issue</w:t>
          </w:r>
        </w:p>
      </w:docPartBody>
    </w:docPart>
    <w:docPart>
      <w:docPartPr>
        <w:name w:val="747A778BBDD44CDBAA05911ABB2FE7C0"/>
        <w:category>
          <w:name w:val="General"/>
          <w:gallery w:val="placeholder"/>
        </w:category>
        <w:types>
          <w:type w:val="bbPlcHdr"/>
        </w:types>
        <w:behaviors>
          <w:behavior w:val="content"/>
        </w:behaviors>
        <w:guid w:val="{0018E2DD-1772-42E7-B976-851EF6B50C1D}"/>
      </w:docPartPr>
      <w:docPartBody>
        <w:p w:rsidR="00DA28F9" w:rsidRDefault="00DA28F9">
          <w:pPr>
            <w:pStyle w:val="747A778BBDD44CDBAA05911ABB2FE7C0"/>
          </w:pPr>
          <w:r w:rsidRPr="0058285D">
            <w:rPr>
              <w:rStyle w:val="PlaceholderText"/>
            </w:rPr>
            <w:t>Click or tap here to enter text.</w:t>
          </w:r>
        </w:p>
      </w:docPartBody>
    </w:docPart>
    <w:docPart>
      <w:docPartPr>
        <w:name w:val="C43094AEF30F46E4B5F7FAFC1631248F"/>
        <w:category>
          <w:name w:val="General"/>
          <w:gallery w:val="placeholder"/>
        </w:category>
        <w:types>
          <w:type w:val="bbPlcHdr"/>
        </w:types>
        <w:behaviors>
          <w:behavior w:val="content"/>
        </w:behaviors>
        <w:guid w:val="{D86BD963-BB19-43ED-BEDD-D46D82850693}"/>
      </w:docPartPr>
      <w:docPartBody>
        <w:p w:rsidR="00DA28F9" w:rsidRDefault="00DA28F9">
          <w:pPr>
            <w:pStyle w:val="C43094AEF30F46E4B5F7FAFC1631248F"/>
          </w:pPr>
          <w:r w:rsidRPr="0058285D">
            <w:rPr>
              <w:rStyle w:val="PlaceholderText"/>
            </w:rPr>
            <w:t>Prepared by</w:t>
          </w:r>
        </w:p>
      </w:docPartBody>
    </w:docPart>
    <w:docPart>
      <w:docPartPr>
        <w:name w:val="BFF0B7ADBBC340D9B06C43BF17051DE6"/>
        <w:category>
          <w:name w:val="General"/>
          <w:gallery w:val="placeholder"/>
        </w:category>
        <w:types>
          <w:type w:val="bbPlcHdr"/>
        </w:types>
        <w:behaviors>
          <w:behavior w:val="content"/>
        </w:behaviors>
        <w:guid w:val="{44C9AB3B-9669-4E8E-97B1-C8F69E8307CA}"/>
      </w:docPartPr>
      <w:docPartBody>
        <w:p w:rsidR="00DA28F9" w:rsidRDefault="00DA28F9">
          <w:pPr>
            <w:pStyle w:val="BFF0B7ADBBC340D9B06C43BF17051DE6"/>
          </w:pPr>
          <w:r w:rsidRPr="0058285D">
            <w:rPr>
              <w:rStyle w:val="PlaceholderText"/>
            </w:rPr>
            <w:t>Prepared for</w:t>
          </w:r>
        </w:p>
      </w:docPartBody>
    </w:docPart>
    <w:docPart>
      <w:docPartPr>
        <w:name w:val="25BE975071944E0B8CB171421110E4A6"/>
        <w:category>
          <w:name w:val="General"/>
          <w:gallery w:val="placeholder"/>
        </w:category>
        <w:types>
          <w:type w:val="bbPlcHdr"/>
        </w:types>
        <w:behaviors>
          <w:behavior w:val="content"/>
        </w:behaviors>
        <w:guid w:val="{F3344F3B-8A07-4A7C-99B8-E60F001FF336}"/>
      </w:docPartPr>
      <w:docPartBody>
        <w:p w:rsidR="00DA28F9" w:rsidRDefault="00DA28F9">
          <w:pPr>
            <w:pStyle w:val="25BE975071944E0B8CB171421110E4A6"/>
          </w:pPr>
          <w:r w:rsidRPr="0058285D">
            <w:rPr>
              <w:rStyle w:val="PlaceholderText"/>
            </w:rPr>
            <w:t>Name</w:t>
          </w:r>
        </w:p>
      </w:docPartBody>
    </w:docPart>
    <w:docPart>
      <w:docPartPr>
        <w:name w:val="A3A0FD41A5BB4C4FAAB242216F3B4CA2"/>
        <w:category>
          <w:name w:val="General"/>
          <w:gallery w:val="placeholder"/>
        </w:category>
        <w:types>
          <w:type w:val="bbPlcHdr"/>
        </w:types>
        <w:behaviors>
          <w:behavior w:val="content"/>
        </w:behaviors>
        <w:guid w:val="{E5D83AC6-D253-4A51-A51E-A7E0825484F0}"/>
      </w:docPartPr>
      <w:docPartBody>
        <w:p w:rsidR="00DA28F9" w:rsidRDefault="00DA28F9">
          <w:pPr>
            <w:pStyle w:val="A3A0FD41A5BB4C4FAAB242216F3B4CA2"/>
          </w:pPr>
          <w:r w:rsidRPr="0058285D">
            <w:rPr>
              <w:rStyle w:val="PlaceholderText"/>
            </w:rPr>
            <w:t>Title</w:t>
          </w:r>
        </w:p>
      </w:docPartBody>
    </w:docPart>
    <w:docPart>
      <w:docPartPr>
        <w:name w:val="DCBED6A2498C49A7A5742DB53DBE6779"/>
        <w:category>
          <w:name w:val="General"/>
          <w:gallery w:val="placeholder"/>
        </w:category>
        <w:types>
          <w:type w:val="bbPlcHdr"/>
        </w:types>
        <w:behaviors>
          <w:behavior w:val="content"/>
        </w:behaviors>
        <w:guid w:val="{02859B8F-1F1C-452F-8E37-44486D511AB9}"/>
      </w:docPartPr>
      <w:docPartBody>
        <w:p w:rsidR="00DA28F9" w:rsidRDefault="00DA28F9">
          <w:pPr>
            <w:pStyle w:val="DCBED6A2498C49A7A5742DB53DBE6779"/>
          </w:pPr>
          <w:r w:rsidRPr="0058285D">
            <w:rPr>
              <w:rStyle w:val="PlaceholderText"/>
            </w:rPr>
            <w:t>Address</w:t>
          </w:r>
        </w:p>
      </w:docPartBody>
    </w:docPart>
    <w:docPart>
      <w:docPartPr>
        <w:name w:val="31E405C41C56470EB4439FECA7028D80"/>
        <w:category>
          <w:name w:val="General"/>
          <w:gallery w:val="placeholder"/>
        </w:category>
        <w:types>
          <w:type w:val="bbPlcHdr"/>
        </w:types>
        <w:behaviors>
          <w:behavior w:val="content"/>
        </w:behaviors>
        <w:guid w:val="{D499FC6F-729B-4772-A652-93A4E718C4E6}"/>
      </w:docPartPr>
      <w:docPartBody>
        <w:p w:rsidR="00DA28F9" w:rsidRDefault="00DA28F9">
          <w:pPr>
            <w:pStyle w:val="31E405C41C56470EB4439FECA7028D80"/>
          </w:pPr>
          <w:r w:rsidRPr="0058285D">
            <w:rPr>
              <w:rStyle w:val="PlaceholderText"/>
            </w:rPr>
            <w:t>[Telephone]</w:t>
          </w:r>
        </w:p>
      </w:docPartBody>
    </w:docPart>
    <w:docPart>
      <w:docPartPr>
        <w:name w:val="7F6873480BD145DCA211E8386EDA4D77"/>
        <w:category>
          <w:name w:val="General"/>
          <w:gallery w:val="placeholder"/>
        </w:category>
        <w:types>
          <w:type w:val="bbPlcHdr"/>
        </w:types>
        <w:behaviors>
          <w:behavior w:val="content"/>
        </w:behaviors>
        <w:guid w:val="{3B7FCB6C-68D0-439A-84B6-DB38F53847A1}"/>
      </w:docPartPr>
      <w:docPartBody>
        <w:p w:rsidR="00DA28F9" w:rsidRDefault="00DA28F9">
          <w:pPr>
            <w:pStyle w:val="7F6873480BD145DCA211E8386EDA4D77"/>
          </w:pPr>
          <w:r w:rsidRPr="0058285D">
            <w:rPr>
              <w:rStyle w:val="PlaceholderText"/>
            </w:rPr>
            <w:t>[Email]</w:t>
          </w:r>
        </w:p>
      </w:docPartBody>
    </w:docPart>
    <w:docPart>
      <w:docPartPr>
        <w:name w:val="2C07EC9FAAF84AD3A98B1BC7DED8F42C"/>
        <w:category>
          <w:name w:val="General"/>
          <w:gallery w:val="placeholder"/>
        </w:category>
        <w:types>
          <w:type w:val="bbPlcHdr"/>
        </w:types>
        <w:behaviors>
          <w:behavior w:val="content"/>
        </w:behaviors>
        <w:guid w:val="{75A85494-A155-45B5-9EED-B3835A45E29E}"/>
      </w:docPartPr>
      <w:docPartBody>
        <w:p w:rsidR="00DA28F9" w:rsidRDefault="00DA28F9">
          <w:pPr>
            <w:pStyle w:val="2C07EC9FAAF84AD3A98B1BC7DED8F42C"/>
          </w:pPr>
          <w:r w:rsidRPr="0058285D">
            <w:rPr>
              <w:rStyle w:val="PlaceholderText"/>
            </w:rPr>
            <w:t>Contents</w:t>
          </w:r>
        </w:p>
      </w:docPartBody>
    </w:docPart>
    <w:docPart>
      <w:docPartPr>
        <w:name w:val="2CE2293BC3664297920B495FF3812FC1"/>
        <w:category>
          <w:name w:val="General"/>
          <w:gallery w:val="placeholder"/>
        </w:category>
        <w:types>
          <w:type w:val="bbPlcHdr"/>
        </w:types>
        <w:behaviors>
          <w:behavior w:val="content"/>
        </w:behaviors>
        <w:guid w:val="{47FFD146-327B-420A-ABF2-D226EFC99089}"/>
      </w:docPartPr>
      <w:docPartBody>
        <w:p w:rsidR="00DA28F9" w:rsidRDefault="00DA28F9">
          <w:pPr>
            <w:pStyle w:val="2CE2293BC3664297920B495FF3812FC1"/>
          </w:pPr>
          <w:r w:rsidRPr="0058285D">
            <w:rPr>
              <w:rStyle w:val="PlaceholderText"/>
            </w:rPr>
            <w:t>Tables</w:t>
          </w:r>
        </w:p>
      </w:docPartBody>
    </w:docPart>
    <w:docPart>
      <w:docPartPr>
        <w:name w:val="EC4A9C41F08A48529648B6FDC53FC747"/>
        <w:category>
          <w:name w:val="General"/>
          <w:gallery w:val="placeholder"/>
        </w:category>
        <w:types>
          <w:type w:val="bbPlcHdr"/>
        </w:types>
        <w:behaviors>
          <w:behavior w:val="content"/>
        </w:behaviors>
        <w:guid w:val="{999314D3-3E70-42DC-91BA-B75E03F9CE56}"/>
      </w:docPartPr>
      <w:docPartBody>
        <w:p w:rsidR="00DA28F9" w:rsidRDefault="00DA28F9">
          <w:pPr>
            <w:pStyle w:val="EC4A9C41F08A48529648B6FDC53FC747"/>
          </w:pPr>
          <w:r w:rsidRPr="0058285D">
            <w:rPr>
              <w:rStyle w:val="PlaceholderText"/>
            </w:rPr>
            <w:t>Figures</w:t>
          </w:r>
        </w:p>
      </w:docPartBody>
    </w:docPart>
    <w:docPart>
      <w:docPartPr>
        <w:name w:val="D6BF6F873E2F432CA10D3433A9716EF2"/>
        <w:category>
          <w:name w:val="General"/>
          <w:gallery w:val="placeholder"/>
        </w:category>
        <w:types>
          <w:type w:val="bbPlcHdr"/>
        </w:types>
        <w:behaviors>
          <w:behavior w:val="content"/>
        </w:behaviors>
        <w:guid w:val="{325A804E-2BC0-4141-8CBC-DE1FC3409AE6}"/>
      </w:docPartPr>
      <w:docPartBody>
        <w:p w:rsidR="00DA28F9" w:rsidRDefault="00DA28F9">
          <w:pPr>
            <w:pStyle w:val="D6BF6F873E2F432CA10D3433A9716EF2"/>
          </w:pPr>
          <w:r w:rsidRPr="0058285D">
            <w:rPr>
              <w:rStyle w:val="PlaceholderText"/>
            </w:rPr>
            <w:t>TITLE</w:t>
          </w:r>
        </w:p>
      </w:docPartBody>
    </w:docPart>
    <w:docPart>
      <w:docPartPr>
        <w:name w:val="29511185F3C143148A9BF211393302F3"/>
        <w:category>
          <w:name w:val="General"/>
          <w:gallery w:val="placeholder"/>
        </w:category>
        <w:types>
          <w:type w:val="bbPlcHdr"/>
        </w:types>
        <w:behaviors>
          <w:behavior w:val="content"/>
        </w:behaviors>
        <w:guid w:val="{5BDC6D6B-6EFC-4F7B-92FE-5B2E0E1479F3}"/>
      </w:docPartPr>
      <w:docPartBody>
        <w:p w:rsidR="00DA28F9" w:rsidRDefault="00DA28F9">
          <w:pPr>
            <w:pStyle w:val="29511185F3C143148A9BF211393302F3"/>
          </w:pPr>
          <w:r w:rsidRPr="0058285D">
            <w:rPr>
              <w:rStyle w:val="PlaceholderText"/>
            </w:rPr>
            <w:t>Subtitle</w:t>
          </w:r>
        </w:p>
      </w:docPartBody>
    </w:docPart>
    <w:docPart>
      <w:docPartPr>
        <w:name w:val="72278AE06FD248B8BECB3C957A68DB80"/>
        <w:category>
          <w:name w:val="General"/>
          <w:gallery w:val="placeholder"/>
        </w:category>
        <w:types>
          <w:type w:val="bbPlcHdr"/>
        </w:types>
        <w:behaviors>
          <w:behavior w:val="content"/>
        </w:behaviors>
        <w:guid w:val="{EA5FB6D9-3979-4657-A723-E5CC8925E22E}"/>
      </w:docPartPr>
      <w:docPartBody>
        <w:p w:rsidR="00DA28F9" w:rsidRDefault="00DA28F9">
          <w:pPr>
            <w:pStyle w:val="72278AE06FD248B8BECB3C957A68DB80"/>
          </w:pPr>
          <w:r w:rsidRPr="0058285D">
            <w:rPr>
              <w:rStyle w:val="PlaceholderText"/>
            </w:rPr>
            <w:t>BIM</w:t>
          </w:r>
        </w:p>
      </w:docPartBody>
    </w:docPart>
    <w:docPart>
      <w:docPartPr>
        <w:name w:val="079A873FF14F416CB86AB13B96A056DA"/>
        <w:category>
          <w:name w:val="General"/>
          <w:gallery w:val="placeholder"/>
        </w:category>
        <w:types>
          <w:type w:val="bbPlcHdr"/>
        </w:types>
        <w:behaviors>
          <w:behavior w:val="content"/>
        </w:behaviors>
        <w:guid w:val="{720F3DDB-F3D3-40E5-A97E-295AC54DA46F}"/>
      </w:docPartPr>
      <w:docPartBody>
        <w:p w:rsidR="00DA28F9" w:rsidRDefault="00DA28F9">
          <w:pPr>
            <w:pStyle w:val="079A873FF14F416CB86AB13B96A056DA"/>
          </w:pPr>
          <w:r w:rsidRPr="0058285D">
            <w:rPr>
              <w:rStyle w:val="PlaceholderText"/>
            </w:rPr>
            <w:t>Email</w:t>
          </w:r>
        </w:p>
      </w:docPartBody>
    </w:docPart>
    <w:docPart>
      <w:docPartPr>
        <w:name w:val="0A9313644AFF4924A67EB2EA7424C653"/>
        <w:category>
          <w:name w:val="General"/>
          <w:gallery w:val="placeholder"/>
        </w:category>
        <w:types>
          <w:type w:val="bbPlcHdr"/>
        </w:types>
        <w:behaviors>
          <w:behavior w:val="content"/>
        </w:behaviors>
        <w:guid w:val="{D4B23D6A-E154-4A43-9696-9009F99B4D61}"/>
      </w:docPartPr>
      <w:docPartBody>
        <w:p w:rsidR="00DA28F9" w:rsidRDefault="00DA28F9">
          <w:pPr>
            <w:pStyle w:val="0A9313644AFF4924A67EB2EA7424C653"/>
          </w:pPr>
          <w:r w:rsidRPr="0058285D">
            <w:rPr>
              <w:rStyle w:val="PlaceholderText"/>
            </w:rPr>
            <w:t>rpsgroup.com</w:t>
          </w:r>
        </w:p>
      </w:docPartBody>
    </w:docPart>
    <w:docPart>
      <w:docPartPr>
        <w:name w:val="FF5BED9DD1784C689F19404E0FA28F24"/>
        <w:category>
          <w:name w:val="General"/>
          <w:gallery w:val="placeholder"/>
        </w:category>
        <w:types>
          <w:type w:val="bbPlcHdr"/>
        </w:types>
        <w:behaviors>
          <w:behavior w:val="content"/>
        </w:behaviors>
        <w:guid w:val="{A4BF1DE9-AD74-4A59-98CB-3B00A216A91D}"/>
      </w:docPartPr>
      <w:docPartBody>
        <w:p w:rsidR="00DA28F9" w:rsidRDefault="00DA28F9">
          <w:pPr>
            <w:pStyle w:val="FF5BED9DD1784C689F19404E0FA28F24"/>
          </w:pPr>
          <w:r w:rsidRPr="0058285D">
            <w:rPr>
              <w:rStyle w:val="PlaceholderText"/>
            </w:rPr>
            <w:t>Phone</w:t>
          </w:r>
        </w:p>
      </w:docPartBody>
    </w:docPart>
    <w:docPart>
      <w:docPartPr>
        <w:name w:val="58FE152A1AF04BA0A45FE664C3E8AF15"/>
        <w:category>
          <w:name w:val="General"/>
          <w:gallery w:val="placeholder"/>
        </w:category>
        <w:types>
          <w:type w:val="bbPlcHdr"/>
        </w:types>
        <w:behaviors>
          <w:behavior w:val="content"/>
        </w:behaviors>
        <w:guid w:val="{F814BDCE-61DB-41C7-9C38-ED2D1FDD320A}"/>
      </w:docPartPr>
      <w:docPartBody>
        <w:p w:rsidR="00DA28F9" w:rsidRDefault="00DA28F9">
          <w:pPr>
            <w:pStyle w:val="58FE152A1AF04BA0A45FE664C3E8AF15"/>
          </w:pPr>
          <w:r w:rsidRPr="0058285D">
            <w:rPr>
              <w:rStyle w:val="PlaceholderText"/>
            </w:rPr>
            <w:t>OfficeEmail</w:t>
          </w:r>
        </w:p>
      </w:docPartBody>
    </w:docPart>
    <w:docPart>
      <w:docPartPr>
        <w:name w:val="3E5C98B5289146A5902E902238DB1424"/>
        <w:category>
          <w:name w:val="General"/>
          <w:gallery w:val="placeholder"/>
        </w:category>
        <w:types>
          <w:type w:val="bbPlcHdr"/>
        </w:types>
        <w:behaviors>
          <w:behavior w:val="content"/>
        </w:behaviors>
        <w:guid w:val="{67173F06-8B0C-49EE-A548-CE5EB4E06211}"/>
      </w:docPartPr>
      <w:docPartBody>
        <w:p w:rsidR="00FA3D98" w:rsidRDefault="00972409" w:rsidP="00972409">
          <w:pPr>
            <w:pStyle w:val="3E5C98B5289146A5902E902238DB1424"/>
          </w:pPr>
          <w:r w:rsidRPr="0058285D">
            <w:rPr>
              <w:rStyle w:val="PlaceholderText"/>
            </w:rPr>
            <w:t>Click or tap here to enter text.</w:t>
          </w:r>
        </w:p>
      </w:docPartBody>
    </w:docPart>
    <w:docPart>
      <w:docPartPr>
        <w:name w:val="D6C2B42BA593499F9B02AD05A0E3669C"/>
        <w:category>
          <w:name w:val="General"/>
          <w:gallery w:val="placeholder"/>
        </w:category>
        <w:types>
          <w:type w:val="bbPlcHdr"/>
        </w:types>
        <w:behaviors>
          <w:behavior w:val="content"/>
        </w:behaviors>
        <w:guid w:val="{11EAC19C-D54A-4B7C-B47C-FCD3659E5932}"/>
      </w:docPartPr>
      <w:docPartBody>
        <w:p w:rsidR="00FA3D98" w:rsidRDefault="00972409" w:rsidP="00972409">
          <w:pPr>
            <w:pStyle w:val="D6C2B42BA593499F9B02AD05A0E3669C"/>
          </w:pPr>
          <w:r w:rsidRPr="0058285D">
            <w:rPr>
              <w:rStyle w:val="PlaceholderText"/>
            </w:rPr>
            <w:t>Contents</w:t>
          </w:r>
        </w:p>
      </w:docPartBody>
    </w:docPart>
    <w:docPart>
      <w:docPartPr>
        <w:name w:val="13EDDC69407847C9B5CD9284D46A8AEA"/>
        <w:category>
          <w:name w:val="General"/>
          <w:gallery w:val="placeholder"/>
        </w:category>
        <w:types>
          <w:type w:val="bbPlcHdr"/>
        </w:types>
        <w:behaviors>
          <w:behavior w:val="content"/>
        </w:behaviors>
        <w:guid w:val="{37EA7CCA-9B37-4482-AC70-FE4A91E69287}"/>
      </w:docPartPr>
      <w:docPartBody>
        <w:p w:rsidR="00FA3D98" w:rsidRDefault="00972409" w:rsidP="00972409">
          <w:pPr>
            <w:pStyle w:val="13EDDC69407847C9B5CD9284D46A8AEA"/>
          </w:pPr>
          <w:r w:rsidRPr="0058285D">
            <w:rPr>
              <w:rStyle w:val="PlaceholderText"/>
            </w:rPr>
            <w:t>rpsgroup.com</w:t>
          </w:r>
        </w:p>
      </w:docPartBody>
    </w:docPart>
    <w:docPart>
      <w:docPartPr>
        <w:name w:val="BEE4390557BF41288CA4420989354D23"/>
        <w:category>
          <w:name w:val="General"/>
          <w:gallery w:val="placeholder"/>
        </w:category>
        <w:types>
          <w:type w:val="bbPlcHdr"/>
        </w:types>
        <w:behaviors>
          <w:behavior w:val="content"/>
        </w:behaviors>
        <w:guid w:val="{04348C9E-322D-48D1-9FD8-D46F05FDBC52}"/>
      </w:docPartPr>
      <w:docPartBody>
        <w:p w:rsidR="00FA3D98" w:rsidRDefault="00972409" w:rsidP="00972409">
          <w:pPr>
            <w:pStyle w:val="BEE4390557BF41288CA4420989354D23"/>
          </w:pPr>
          <w:r w:rsidRPr="0058285D">
            <w:rPr>
              <w:rStyle w:val="PlaceholderText"/>
            </w:rPr>
            <w:t>BIM</w:t>
          </w:r>
        </w:p>
      </w:docPartBody>
    </w:docPart>
    <w:docPart>
      <w:docPartPr>
        <w:name w:val="8A603447A4C149C5AB21B40F47BBF239"/>
        <w:category>
          <w:name w:val="General"/>
          <w:gallery w:val="placeholder"/>
        </w:category>
        <w:types>
          <w:type w:val="bbPlcHdr"/>
        </w:types>
        <w:behaviors>
          <w:behavior w:val="content"/>
        </w:behaviors>
        <w:guid w:val="{A82A20A4-4F13-4101-90E1-EA3B4A3186DC}"/>
      </w:docPartPr>
      <w:docPartBody>
        <w:p w:rsidR="00FA3D98" w:rsidRDefault="00972409" w:rsidP="00972409">
          <w:pPr>
            <w:pStyle w:val="8A603447A4C149C5AB21B40F47BBF239"/>
          </w:pPr>
          <w:r w:rsidRPr="0058285D">
            <w:rPr>
              <w:rStyle w:val="PlaceholderText"/>
            </w:rPr>
            <w:t>Click or tap here to enter text.</w:t>
          </w:r>
        </w:p>
      </w:docPartBody>
    </w:docPart>
    <w:docPart>
      <w:docPartPr>
        <w:name w:val="5567A73220EB423D9A1AE899612D813C"/>
        <w:category>
          <w:name w:val="General"/>
          <w:gallery w:val="placeholder"/>
        </w:category>
        <w:types>
          <w:type w:val="bbPlcHdr"/>
        </w:types>
        <w:behaviors>
          <w:behavior w:val="content"/>
        </w:behaviors>
        <w:guid w:val="{0652EFB3-5E61-4E22-8874-C35EFC496D0B}"/>
      </w:docPartPr>
      <w:docPartBody>
        <w:p w:rsidR="00FA3D98" w:rsidRDefault="00972409" w:rsidP="00972409">
          <w:pPr>
            <w:pStyle w:val="5567A73220EB423D9A1AE899612D813C"/>
          </w:pPr>
          <w:r w:rsidRPr="0058285D">
            <w:rPr>
              <w:rStyle w:val="PlaceholderText"/>
            </w:rPr>
            <w:t>Contents</w:t>
          </w:r>
        </w:p>
      </w:docPartBody>
    </w:docPart>
    <w:docPart>
      <w:docPartPr>
        <w:name w:val="DBE8E59F838E403D86CBD9FE9933A271"/>
        <w:category>
          <w:name w:val="General"/>
          <w:gallery w:val="placeholder"/>
        </w:category>
        <w:types>
          <w:type w:val="bbPlcHdr"/>
        </w:types>
        <w:behaviors>
          <w:behavior w:val="content"/>
        </w:behaviors>
        <w:guid w:val="{153765B2-CACF-4EA6-B8C4-853BEF67A6FD}"/>
      </w:docPartPr>
      <w:docPartBody>
        <w:p w:rsidR="00FA3D98" w:rsidRDefault="00972409" w:rsidP="00972409">
          <w:pPr>
            <w:pStyle w:val="DBE8E59F838E403D86CBD9FE9933A271"/>
          </w:pPr>
          <w:r w:rsidRPr="0058285D">
            <w:rPr>
              <w:rStyle w:val="PlaceholderText"/>
            </w:rPr>
            <w:t>rpsgroup.com</w:t>
          </w:r>
        </w:p>
      </w:docPartBody>
    </w:docPart>
    <w:docPart>
      <w:docPartPr>
        <w:name w:val="61AD29588EE04F5F8F1ECEFAEA264E9D"/>
        <w:category>
          <w:name w:val="General"/>
          <w:gallery w:val="placeholder"/>
        </w:category>
        <w:types>
          <w:type w:val="bbPlcHdr"/>
        </w:types>
        <w:behaviors>
          <w:behavior w:val="content"/>
        </w:behaviors>
        <w:guid w:val="{357D21BA-C7E6-47DF-9BF2-5B989B8D40C6}"/>
      </w:docPartPr>
      <w:docPartBody>
        <w:p w:rsidR="00FA3D98" w:rsidRDefault="00972409" w:rsidP="00972409">
          <w:pPr>
            <w:pStyle w:val="61AD29588EE04F5F8F1ECEFAEA264E9D"/>
          </w:pPr>
          <w:r w:rsidRPr="0058285D">
            <w:rPr>
              <w:rStyle w:val="PlaceholderText"/>
            </w:rPr>
            <w:t>BIM</w:t>
          </w:r>
        </w:p>
      </w:docPartBody>
    </w:docPart>
    <w:docPart>
      <w:docPartPr>
        <w:name w:val="2A584C8F56A9466C92F0BE8C0F538929"/>
        <w:category>
          <w:name w:val="General"/>
          <w:gallery w:val="placeholder"/>
        </w:category>
        <w:types>
          <w:type w:val="bbPlcHdr"/>
        </w:types>
        <w:behaviors>
          <w:behavior w:val="content"/>
        </w:behaviors>
        <w:guid w:val="{995FFF70-4E54-45B0-BA91-90C2649D1142}"/>
      </w:docPartPr>
      <w:docPartBody>
        <w:p w:rsidR="00FA3D98" w:rsidRDefault="00972409" w:rsidP="00972409">
          <w:pPr>
            <w:pStyle w:val="2A584C8F56A9466C92F0BE8C0F538929"/>
          </w:pPr>
          <w:r w:rsidRPr="0058285D">
            <w:rPr>
              <w:rStyle w:val="PlaceholderText"/>
            </w:rPr>
            <w:t>Click or tap here to enter text.</w:t>
          </w:r>
        </w:p>
      </w:docPartBody>
    </w:docPart>
    <w:docPart>
      <w:docPartPr>
        <w:name w:val="49509933CDC24D2CB15BF32E7C0CF501"/>
        <w:category>
          <w:name w:val="General"/>
          <w:gallery w:val="placeholder"/>
        </w:category>
        <w:types>
          <w:type w:val="bbPlcHdr"/>
        </w:types>
        <w:behaviors>
          <w:behavior w:val="content"/>
        </w:behaviors>
        <w:guid w:val="{8938E13F-A8C7-4F2A-B95E-79BCB1F83F06}"/>
      </w:docPartPr>
      <w:docPartBody>
        <w:p w:rsidR="00FA3D98" w:rsidRDefault="00972409" w:rsidP="00972409">
          <w:pPr>
            <w:pStyle w:val="49509933CDC24D2CB15BF32E7C0CF501"/>
          </w:pPr>
          <w:r w:rsidRPr="0058285D">
            <w:rPr>
              <w:rStyle w:val="PlaceholderText"/>
            </w:rPr>
            <w:t>Contents</w:t>
          </w:r>
        </w:p>
      </w:docPartBody>
    </w:docPart>
    <w:docPart>
      <w:docPartPr>
        <w:name w:val="54F4324AE4B9442AA9BF7DCFD0F7F8B1"/>
        <w:category>
          <w:name w:val="General"/>
          <w:gallery w:val="placeholder"/>
        </w:category>
        <w:types>
          <w:type w:val="bbPlcHdr"/>
        </w:types>
        <w:behaviors>
          <w:behavior w:val="content"/>
        </w:behaviors>
        <w:guid w:val="{EBA98740-4C7C-4FCD-89F9-B3B1DAB536C6}"/>
      </w:docPartPr>
      <w:docPartBody>
        <w:p w:rsidR="00FA3D98" w:rsidRDefault="00972409" w:rsidP="00972409">
          <w:pPr>
            <w:pStyle w:val="54F4324AE4B9442AA9BF7DCFD0F7F8B1"/>
          </w:pPr>
          <w:r w:rsidRPr="0058285D">
            <w:rPr>
              <w:rStyle w:val="PlaceholderText"/>
            </w:rPr>
            <w:t>rpsgroup.com</w:t>
          </w:r>
        </w:p>
      </w:docPartBody>
    </w:docPart>
    <w:docPart>
      <w:docPartPr>
        <w:name w:val="DE3D1F56A74B4462AFBA8D5301878C48"/>
        <w:category>
          <w:name w:val="General"/>
          <w:gallery w:val="placeholder"/>
        </w:category>
        <w:types>
          <w:type w:val="bbPlcHdr"/>
        </w:types>
        <w:behaviors>
          <w:behavior w:val="content"/>
        </w:behaviors>
        <w:guid w:val="{4A8EF049-807F-4C5A-A3CB-6C0DFB274AC1}"/>
      </w:docPartPr>
      <w:docPartBody>
        <w:p w:rsidR="00FA3D98" w:rsidRDefault="00972409" w:rsidP="00972409">
          <w:pPr>
            <w:pStyle w:val="DE3D1F56A74B4462AFBA8D5301878C48"/>
          </w:pPr>
          <w:r w:rsidRPr="0058285D">
            <w:rPr>
              <w:rStyle w:val="PlaceholderText"/>
            </w:rPr>
            <w:t>BIM</w:t>
          </w:r>
        </w:p>
      </w:docPartBody>
    </w:docPart>
    <w:docPart>
      <w:docPartPr>
        <w:name w:val="632594593A184B33892A892533FDABE9"/>
        <w:category>
          <w:name w:val="General"/>
          <w:gallery w:val="placeholder"/>
        </w:category>
        <w:types>
          <w:type w:val="bbPlcHdr"/>
        </w:types>
        <w:behaviors>
          <w:behavior w:val="content"/>
        </w:behaviors>
        <w:guid w:val="{E67BE124-69D4-4A1B-AD78-5AA28BE3DF9D}"/>
      </w:docPartPr>
      <w:docPartBody>
        <w:p w:rsidR="00FA3D98" w:rsidRDefault="00972409" w:rsidP="00972409">
          <w:pPr>
            <w:pStyle w:val="632594593A184B33892A892533FDABE9"/>
          </w:pPr>
          <w:r w:rsidRPr="0058285D">
            <w:rPr>
              <w:rStyle w:val="PlaceholderText"/>
            </w:rPr>
            <w:t>Click or tap here to enter text.</w:t>
          </w:r>
        </w:p>
      </w:docPartBody>
    </w:docPart>
    <w:docPart>
      <w:docPartPr>
        <w:name w:val="BA2C7DCB01D14003B9044A2D68D07CFB"/>
        <w:category>
          <w:name w:val="General"/>
          <w:gallery w:val="placeholder"/>
        </w:category>
        <w:types>
          <w:type w:val="bbPlcHdr"/>
        </w:types>
        <w:behaviors>
          <w:behavior w:val="content"/>
        </w:behaviors>
        <w:guid w:val="{473386CA-5999-4FD2-A7F4-2B131E8B86DF}"/>
      </w:docPartPr>
      <w:docPartBody>
        <w:p w:rsidR="00FA3D98" w:rsidRDefault="00972409" w:rsidP="00972409">
          <w:pPr>
            <w:pStyle w:val="BA2C7DCB01D14003B9044A2D68D07CFB"/>
          </w:pPr>
          <w:r w:rsidRPr="0058285D">
            <w:rPr>
              <w:rStyle w:val="PlaceholderText"/>
            </w:rPr>
            <w:t>Contents</w:t>
          </w:r>
        </w:p>
      </w:docPartBody>
    </w:docPart>
    <w:docPart>
      <w:docPartPr>
        <w:name w:val="0088E153EE504CF4A32CAB0E6517E787"/>
        <w:category>
          <w:name w:val="General"/>
          <w:gallery w:val="placeholder"/>
        </w:category>
        <w:types>
          <w:type w:val="bbPlcHdr"/>
        </w:types>
        <w:behaviors>
          <w:behavior w:val="content"/>
        </w:behaviors>
        <w:guid w:val="{04FDBD41-9200-4634-8480-668DA4A8F635}"/>
      </w:docPartPr>
      <w:docPartBody>
        <w:p w:rsidR="00FA3D98" w:rsidRDefault="00972409" w:rsidP="00972409">
          <w:pPr>
            <w:pStyle w:val="0088E153EE504CF4A32CAB0E6517E787"/>
          </w:pPr>
          <w:r w:rsidRPr="0058285D">
            <w:rPr>
              <w:rStyle w:val="PlaceholderText"/>
            </w:rPr>
            <w:t>rpsgroup.com</w:t>
          </w:r>
        </w:p>
      </w:docPartBody>
    </w:docPart>
    <w:docPart>
      <w:docPartPr>
        <w:name w:val="C751BAB73F50448A8B3053914703336C"/>
        <w:category>
          <w:name w:val="General"/>
          <w:gallery w:val="placeholder"/>
        </w:category>
        <w:types>
          <w:type w:val="bbPlcHdr"/>
        </w:types>
        <w:behaviors>
          <w:behavior w:val="content"/>
        </w:behaviors>
        <w:guid w:val="{14CADE9A-5461-4661-9173-3192F29582A3}"/>
      </w:docPartPr>
      <w:docPartBody>
        <w:p w:rsidR="00FA3D98" w:rsidRDefault="00972409" w:rsidP="00972409">
          <w:pPr>
            <w:pStyle w:val="C751BAB73F50448A8B3053914703336C"/>
          </w:pPr>
          <w:r w:rsidRPr="0058285D">
            <w:rPr>
              <w:rStyle w:val="PlaceholderText"/>
            </w:rPr>
            <w:t>BIM</w:t>
          </w:r>
        </w:p>
      </w:docPartBody>
    </w:docPart>
    <w:docPart>
      <w:docPartPr>
        <w:name w:val="00C8CFBD377B4B8C98D8B4F3824779D1"/>
        <w:category>
          <w:name w:val="General"/>
          <w:gallery w:val="placeholder"/>
        </w:category>
        <w:types>
          <w:type w:val="bbPlcHdr"/>
        </w:types>
        <w:behaviors>
          <w:behavior w:val="content"/>
        </w:behaviors>
        <w:guid w:val="{CB43C639-2EED-4E06-91A3-926F62E4EA75}"/>
      </w:docPartPr>
      <w:docPartBody>
        <w:p w:rsidR="00FA3D98" w:rsidRDefault="00972409" w:rsidP="00972409">
          <w:pPr>
            <w:pStyle w:val="00C8CFBD377B4B8C98D8B4F3824779D1"/>
          </w:pPr>
          <w:r w:rsidRPr="0058285D">
            <w:rPr>
              <w:rStyle w:val="PlaceholderText"/>
            </w:rPr>
            <w:t>Click or tap here to enter text.</w:t>
          </w:r>
        </w:p>
      </w:docPartBody>
    </w:docPart>
    <w:docPart>
      <w:docPartPr>
        <w:name w:val="D96E45B4C1B747639F188902FFEF97EE"/>
        <w:category>
          <w:name w:val="General"/>
          <w:gallery w:val="placeholder"/>
        </w:category>
        <w:types>
          <w:type w:val="bbPlcHdr"/>
        </w:types>
        <w:behaviors>
          <w:behavior w:val="content"/>
        </w:behaviors>
        <w:guid w:val="{DD0DE049-F251-4CB3-A279-E40120E87A6E}"/>
      </w:docPartPr>
      <w:docPartBody>
        <w:p w:rsidR="00FA3D98" w:rsidRDefault="00972409" w:rsidP="00972409">
          <w:pPr>
            <w:pStyle w:val="D96E45B4C1B747639F188902FFEF97EE"/>
          </w:pPr>
          <w:r w:rsidRPr="0058285D">
            <w:rPr>
              <w:rStyle w:val="PlaceholderText"/>
            </w:rPr>
            <w:t>Contents</w:t>
          </w:r>
        </w:p>
      </w:docPartBody>
    </w:docPart>
    <w:docPart>
      <w:docPartPr>
        <w:name w:val="1C1B3B99DEE8496781451B3C4E23C438"/>
        <w:category>
          <w:name w:val="General"/>
          <w:gallery w:val="placeholder"/>
        </w:category>
        <w:types>
          <w:type w:val="bbPlcHdr"/>
        </w:types>
        <w:behaviors>
          <w:behavior w:val="content"/>
        </w:behaviors>
        <w:guid w:val="{52BE8DED-7670-4F51-AED1-5C013F25D8B5}"/>
      </w:docPartPr>
      <w:docPartBody>
        <w:p w:rsidR="00FA3D98" w:rsidRDefault="00972409" w:rsidP="00972409">
          <w:pPr>
            <w:pStyle w:val="1C1B3B99DEE8496781451B3C4E23C438"/>
          </w:pPr>
          <w:r w:rsidRPr="0058285D">
            <w:rPr>
              <w:rStyle w:val="PlaceholderText"/>
            </w:rPr>
            <w:t>rpsgroup.com</w:t>
          </w:r>
        </w:p>
      </w:docPartBody>
    </w:docPart>
    <w:docPart>
      <w:docPartPr>
        <w:name w:val="60ED9D7CC2044D0EAB3ABEA7EB54A3B1"/>
        <w:category>
          <w:name w:val="General"/>
          <w:gallery w:val="placeholder"/>
        </w:category>
        <w:types>
          <w:type w:val="bbPlcHdr"/>
        </w:types>
        <w:behaviors>
          <w:behavior w:val="content"/>
        </w:behaviors>
        <w:guid w:val="{BE1A3433-B99B-43A5-A4AF-5B1C2B912A40}"/>
      </w:docPartPr>
      <w:docPartBody>
        <w:p w:rsidR="00FA3D98" w:rsidRDefault="00972409" w:rsidP="00972409">
          <w:pPr>
            <w:pStyle w:val="60ED9D7CC2044D0EAB3ABEA7EB54A3B1"/>
          </w:pPr>
          <w:r w:rsidRPr="0058285D">
            <w:rPr>
              <w:rStyle w:val="PlaceholderText"/>
            </w:rPr>
            <w:t>BIM</w:t>
          </w:r>
        </w:p>
      </w:docPartBody>
    </w:docPart>
    <w:docPart>
      <w:docPartPr>
        <w:name w:val="2D295D070BAE4A9FBEEBABBF377680CE"/>
        <w:category>
          <w:name w:val="General"/>
          <w:gallery w:val="placeholder"/>
        </w:category>
        <w:types>
          <w:type w:val="bbPlcHdr"/>
        </w:types>
        <w:behaviors>
          <w:behavior w:val="content"/>
        </w:behaviors>
        <w:guid w:val="{83763CD8-0A5D-4C58-A16B-1C51A78F416A}"/>
      </w:docPartPr>
      <w:docPartBody>
        <w:p w:rsidR="00FA3D98" w:rsidRDefault="00972409" w:rsidP="00972409">
          <w:pPr>
            <w:pStyle w:val="2D295D070BAE4A9FBEEBABBF377680CE"/>
          </w:pPr>
          <w:r w:rsidRPr="0058285D">
            <w:rPr>
              <w:rStyle w:val="PlaceholderText"/>
            </w:rPr>
            <w:t>Click or tap here to enter text.</w:t>
          </w:r>
        </w:p>
      </w:docPartBody>
    </w:docPart>
    <w:docPart>
      <w:docPartPr>
        <w:name w:val="E65CB91BBB6C47B8BA2C8D9118F8BB1E"/>
        <w:category>
          <w:name w:val="General"/>
          <w:gallery w:val="placeholder"/>
        </w:category>
        <w:types>
          <w:type w:val="bbPlcHdr"/>
        </w:types>
        <w:behaviors>
          <w:behavior w:val="content"/>
        </w:behaviors>
        <w:guid w:val="{52857C39-8E67-4120-A8DC-22F2B8BA879A}"/>
      </w:docPartPr>
      <w:docPartBody>
        <w:p w:rsidR="00FA3D98" w:rsidRDefault="00972409" w:rsidP="00972409">
          <w:pPr>
            <w:pStyle w:val="E65CB91BBB6C47B8BA2C8D9118F8BB1E"/>
          </w:pPr>
          <w:r w:rsidRPr="0058285D">
            <w:rPr>
              <w:rStyle w:val="PlaceholderText"/>
            </w:rPr>
            <w:t>Contents</w:t>
          </w:r>
        </w:p>
      </w:docPartBody>
    </w:docPart>
    <w:docPart>
      <w:docPartPr>
        <w:name w:val="69AA75FDFE1A441C8E2CDFD39DAC9180"/>
        <w:category>
          <w:name w:val="General"/>
          <w:gallery w:val="placeholder"/>
        </w:category>
        <w:types>
          <w:type w:val="bbPlcHdr"/>
        </w:types>
        <w:behaviors>
          <w:behavior w:val="content"/>
        </w:behaviors>
        <w:guid w:val="{D27C3781-44FA-448C-8439-56AE01AB5CED}"/>
      </w:docPartPr>
      <w:docPartBody>
        <w:p w:rsidR="00FA3D98" w:rsidRDefault="00972409" w:rsidP="00972409">
          <w:pPr>
            <w:pStyle w:val="69AA75FDFE1A441C8E2CDFD39DAC9180"/>
          </w:pPr>
          <w:r w:rsidRPr="0058285D">
            <w:rPr>
              <w:rStyle w:val="PlaceholderText"/>
            </w:rPr>
            <w:t>rpsgroup.com</w:t>
          </w:r>
        </w:p>
      </w:docPartBody>
    </w:docPart>
    <w:docPart>
      <w:docPartPr>
        <w:name w:val="75F0152D6B564D728060FEAA6DEA7352"/>
        <w:category>
          <w:name w:val="General"/>
          <w:gallery w:val="placeholder"/>
        </w:category>
        <w:types>
          <w:type w:val="bbPlcHdr"/>
        </w:types>
        <w:behaviors>
          <w:behavior w:val="content"/>
        </w:behaviors>
        <w:guid w:val="{C4A894C6-E213-4C71-BDC5-2FBAC4DBC15A}"/>
      </w:docPartPr>
      <w:docPartBody>
        <w:p w:rsidR="00FA3D98" w:rsidRDefault="00972409" w:rsidP="00972409">
          <w:pPr>
            <w:pStyle w:val="75F0152D6B564D728060FEAA6DEA7352"/>
          </w:pPr>
          <w:r w:rsidRPr="0058285D">
            <w:rPr>
              <w:rStyle w:val="PlaceholderText"/>
            </w:rPr>
            <w:t>BIM</w:t>
          </w:r>
        </w:p>
      </w:docPartBody>
    </w:docPart>
    <w:docPart>
      <w:docPartPr>
        <w:name w:val="CD3E77517DD4430D945F5E833D335303"/>
        <w:category>
          <w:name w:val="General"/>
          <w:gallery w:val="placeholder"/>
        </w:category>
        <w:types>
          <w:type w:val="bbPlcHdr"/>
        </w:types>
        <w:behaviors>
          <w:behavior w:val="content"/>
        </w:behaviors>
        <w:guid w:val="{7E6F7C35-BD47-4000-A85E-091A4D1CFC12}"/>
      </w:docPartPr>
      <w:docPartBody>
        <w:p w:rsidR="00FA3D98" w:rsidRDefault="00972409" w:rsidP="00972409">
          <w:pPr>
            <w:pStyle w:val="CD3E77517DD4430D945F5E833D335303"/>
          </w:pPr>
          <w:r w:rsidRPr="0058285D">
            <w:rPr>
              <w:rStyle w:val="PlaceholderText"/>
            </w:rPr>
            <w:t>Click or tap here to enter text.</w:t>
          </w:r>
        </w:p>
      </w:docPartBody>
    </w:docPart>
    <w:docPart>
      <w:docPartPr>
        <w:name w:val="C71A84608EFD40468E8CD99CFDE3DC35"/>
        <w:category>
          <w:name w:val="General"/>
          <w:gallery w:val="placeholder"/>
        </w:category>
        <w:types>
          <w:type w:val="bbPlcHdr"/>
        </w:types>
        <w:behaviors>
          <w:behavior w:val="content"/>
        </w:behaviors>
        <w:guid w:val="{94A33F99-07E5-4EA2-9994-225DEE272FE3}"/>
      </w:docPartPr>
      <w:docPartBody>
        <w:p w:rsidR="00FA3D98" w:rsidRDefault="00972409" w:rsidP="00972409">
          <w:pPr>
            <w:pStyle w:val="C71A84608EFD40468E8CD99CFDE3DC35"/>
          </w:pPr>
          <w:r w:rsidRPr="0058285D">
            <w:rPr>
              <w:rStyle w:val="PlaceholderText"/>
            </w:rPr>
            <w:t>Contents</w:t>
          </w:r>
        </w:p>
      </w:docPartBody>
    </w:docPart>
    <w:docPart>
      <w:docPartPr>
        <w:name w:val="4A0EADA354DE4490823BC22BA81B5ECC"/>
        <w:category>
          <w:name w:val="General"/>
          <w:gallery w:val="placeholder"/>
        </w:category>
        <w:types>
          <w:type w:val="bbPlcHdr"/>
        </w:types>
        <w:behaviors>
          <w:behavior w:val="content"/>
        </w:behaviors>
        <w:guid w:val="{E629A914-51E1-477F-9CBF-63DD84A677FE}"/>
      </w:docPartPr>
      <w:docPartBody>
        <w:p w:rsidR="00FA3D98" w:rsidRDefault="00972409" w:rsidP="00972409">
          <w:pPr>
            <w:pStyle w:val="4A0EADA354DE4490823BC22BA81B5ECC"/>
          </w:pPr>
          <w:r w:rsidRPr="0058285D">
            <w:rPr>
              <w:rStyle w:val="PlaceholderText"/>
            </w:rPr>
            <w:t>rpsgroup.com</w:t>
          </w:r>
        </w:p>
      </w:docPartBody>
    </w:docPart>
    <w:docPart>
      <w:docPartPr>
        <w:name w:val="3D711C5293AF458D981130D74AAF8FF4"/>
        <w:category>
          <w:name w:val="General"/>
          <w:gallery w:val="placeholder"/>
        </w:category>
        <w:types>
          <w:type w:val="bbPlcHdr"/>
        </w:types>
        <w:behaviors>
          <w:behavior w:val="content"/>
        </w:behaviors>
        <w:guid w:val="{019F9147-F518-466B-A80F-03F61BB80B8F}"/>
      </w:docPartPr>
      <w:docPartBody>
        <w:p w:rsidR="00FA3D98" w:rsidRDefault="00972409" w:rsidP="00972409">
          <w:pPr>
            <w:pStyle w:val="3D711C5293AF458D981130D74AAF8FF4"/>
          </w:pPr>
          <w:r w:rsidRPr="0058285D">
            <w:rPr>
              <w:rStyle w:val="PlaceholderText"/>
            </w:rPr>
            <w:t>BIM</w:t>
          </w:r>
        </w:p>
      </w:docPartBody>
    </w:docPart>
    <w:docPart>
      <w:docPartPr>
        <w:name w:val="5A039F7B284446A19392821540AD4920"/>
        <w:category>
          <w:name w:val="General"/>
          <w:gallery w:val="placeholder"/>
        </w:category>
        <w:types>
          <w:type w:val="bbPlcHdr"/>
        </w:types>
        <w:behaviors>
          <w:behavior w:val="content"/>
        </w:behaviors>
        <w:guid w:val="{13F9B213-F170-41C2-A55C-BF5CB3E91862}"/>
      </w:docPartPr>
      <w:docPartBody>
        <w:p w:rsidR="00FA3D98" w:rsidRDefault="00972409" w:rsidP="00972409">
          <w:pPr>
            <w:pStyle w:val="5A039F7B284446A19392821540AD4920"/>
          </w:pPr>
          <w:r w:rsidRPr="0058285D">
            <w:rPr>
              <w:rStyle w:val="PlaceholderText"/>
            </w:rPr>
            <w:t>Click or tap here to enter text.</w:t>
          </w:r>
        </w:p>
      </w:docPartBody>
    </w:docPart>
    <w:docPart>
      <w:docPartPr>
        <w:name w:val="159BA9E782864F9FB79027659791EC65"/>
        <w:category>
          <w:name w:val="General"/>
          <w:gallery w:val="placeholder"/>
        </w:category>
        <w:types>
          <w:type w:val="bbPlcHdr"/>
        </w:types>
        <w:behaviors>
          <w:behavior w:val="content"/>
        </w:behaviors>
        <w:guid w:val="{BD329059-58B1-457D-B080-159611C45ED4}"/>
      </w:docPartPr>
      <w:docPartBody>
        <w:p w:rsidR="00FA3D98" w:rsidRDefault="00972409" w:rsidP="00972409">
          <w:pPr>
            <w:pStyle w:val="159BA9E782864F9FB79027659791EC65"/>
          </w:pPr>
          <w:r w:rsidRPr="0058285D">
            <w:rPr>
              <w:rStyle w:val="PlaceholderText"/>
            </w:rPr>
            <w:t>Contents</w:t>
          </w:r>
        </w:p>
      </w:docPartBody>
    </w:docPart>
    <w:docPart>
      <w:docPartPr>
        <w:name w:val="4F587689D428495BBABB71B421C1E477"/>
        <w:category>
          <w:name w:val="General"/>
          <w:gallery w:val="placeholder"/>
        </w:category>
        <w:types>
          <w:type w:val="bbPlcHdr"/>
        </w:types>
        <w:behaviors>
          <w:behavior w:val="content"/>
        </w:behaviors>
        <w:guid w:val="{A2369EE0-82B2-4905-AFB3-72A72B321D87}"/>
      </w:docPartPr>
      <w:docPartBody>
        <w:p w:rsidR="00FA3D98" w:rsidRDefault="00972409" w:rsidP="00972409">
          <w:pPr>
            <w:pStyle w:val="4F587689D428495BBABB71B421C1E477"/>
          </w:pPr>
          <w:r w:rsidRPr="0058285D">
            <w:rPr>
              <w:rStyle w:val="PlaceholderText"/>
            </w:rPr>
            <w:t>rpsgroup.com</w:t>
          </w:r>
        </w:p>
      </w:docPartBody>
    </w:docPart>
    <w:docPart>
      <w:docPartPr>
        <w:name w:val="BE084AC8076F434E901AE1D1AEE8730A"/>
        <w:category>
          <w:name w:val="General"/>
          <w:gallery w:val="placeholder"/>
        </w:category>
        <w:types>
          <w:type w:val="bbPlcHdr"/>
        </w:types>
        <w:behaviors>
          <w:behavior w:val="content"/>
        </w:behaviors>
        <w:guid w:val="{790FD973-0639-42DB-BB62-1055BA938CE2}"/>
      </w:docPartPr>
      <w:docPartBody>
        <w:p w:rsidR="00FA3D98" w:rsidRDefault="00972409" w:rsidP="00972409">
          <w:pPr>
            <w:pStyle w:val="BE084AC8076F434E901AE1D1AEE8730A"/>
          </w:pPr>
          <w:r w:rsidRPr="0058285D">
            <w:rPr>
              <w:rStyle w:val="PlaceholderText"/>
            </w:rPr>
            <w:t>BIM</w:t>
          </w:r>
        </w:p>
      </w:docPartBody>
    </w:docPart>
    <w:docPart>
      <w:docPartPr>
        <w:name w:val="8E4F60E2F62D4E31A7C30D65C7D1A1F5"/>
        <w:category>
          <w:name w:val="General"/>
          <w:gallery w:val="placeholder"/>
        </w:category>
        <w:types>
          <w:type w:val="bbPlcHdr"/>
        </w:types>
        <w:behaviors>
          <w:behavior w:val="content"/>
        </w:behaviors>
        <w:guid w:val="{00D5C03D-FBB1-46CE-B8EB-2D1BAA74FCDC}"/>
      </w:docPartPr>
      <w:docPartBody>
        <w:p w:rsidR="00FA3D98" w:rsidRDefault="00972409" w:rsidP="00972409">
          <w:pPr>
            <w:pStyle w:val="8E4F60E2F62D4E31A7C30D65C7D1A1F5"/>
          </w:pPr>
          <w:r w:rsidRPr="0058285D">
            <w:rPr>
              <w:rStyle w:val="PlaceholderText"/>
            </w:rPr>
            <w:t>Click or tap here to enter text.</w:t>
          </w:r>
        </w:p>
      </w:docPartBody>
    </w:docPart>
    <w:docPart>
      <w:docPartPr>
        <w:name w:val="3FB0E259AB3846E0BBD3E3AD09711AAE"/>
        <w:category>
          <w:name w:val="General"/>
          <w:gallery w:val="placeholder"/>
        </w:category>
        <w:types>
          <w:type w:val="bbPlcHdr"/>
        </w:types>
        <w:behaviors>
          <w:behavior w:val="content"/>
        </w:behaviors>
        <w:guid w:val="{893CDC47-B567-4E24-BE57-22C2291B34E8}"/>
      </w:docPartPr>
      <w:docPartBody>
        <w:p w:rsidR="00FA3D98" w:rsidRDefault="00972409" w:rsidP="00972409">
          <w:pPr>
            <w:pStyle w:val="3FB0E259AB3846E0BBD3E3AD09711AAE"/>
          </w:pPr>
          <w:r w:rsidRPr="0058285D">
            <w:rPr>
              <w:rStyle w:val="PlaceholderText"/>
            </w:rPr>
            <w:t>Contents</w:t>
          </w:r>
        </w:p>
      </w:docPartBody>
    </w:docPart>
    <w:docPart>
      <w:docPartPr>
        <w:name w:val="B90F53148C6E40198BE3271585BAA994"/>
        <w:category>
          <w:name w:val="General"/>
          <w:gallery w:val="placeholder"/>
        </w:category>
        <w:types>
          <w:type w:val="bbPlcHdr"/>
        </w:types>
        <w:behaviors>
          <w:behavior w:val="content"/>
        </w:behaviors>
        <w:guid w:val="{74E7A45A-797E-4137-A86A-68CC5754F42E}"/>
      </w:docPartPr>
      <w:docPartBody>
        <w:p w:rsidR="00FA3D98" w:rsidRDefault="00972409" w:rsidP="00972409">
          <w:pPr>
            <w:pStyle w:val="B90F53148C6E40198BE3271585BAA994"/>
          </w:pPr>
          <w:r w:rsidRPr="0058285D">
            <w:rPr>
              <w:rStyle w:val="PlaceholderText"/>
            </w:rPr>
            <w:t>rpsgroup.com</w:t>
          </w:r>
        </w:p>
      </w:docPartBody>
    </w:docPart>
    <w:docPart>
      <w:docPartPr>
        <w:name w:val="6FA562C4EC7245E6B75F13672BDFBA77"/>
        <w:category>
          <w:name w:val="General"/>
          <w:gallery w:val="placeholder"/>
        </w:category>
        <w:types>
          <w:type w:val="bbPlcHdr"/>
        </w:types>
        <w:behaviors>
          <w:behavior w:val="content"/>
        </w:behaviors>
        <w:guid w:val="{E65CBD07-A6DE-4E7F-AB7B-A84AF42F6E84}"/>
      </w:docPartPr>
      <w:docPartBody>
        <w:p w:rsidR="00FA3D98" w:rsidRDefault="00972409" w:rsidP="00972409">
          <w:pPr>
            <w:pStyle w:val="6FA562C4EC7245E6B75F13672BDFBA77"/>
          </w:pPr>
          <w:r w:rsidRPr="0058285D">
            <w:rPr>
              <w:rStyle w:val="PlaceholderText"/>
            </w:rPr>
            <w:t>BIM</w:t>
          </w:r>
        </w:p>
      </w:docPartBody>
    </w:docPart>
    <w:docPart>
      <w:docPartPr>
        <w:name w:val="00EC02B3F38E4A3F986862BD9252585B"/>
        <w:category>
          <w:name w:val="General"/>
          <w:gallery w:val="placeholder"/>
        </w:category>
        <w:types>
          <w:type w:val="bbPlcHdr"/>
        </w:types>
        <w:behaviors>
          <w:behavior w:val="content"/>
        </w:behaviors>
        <w:guid w:val="{E04F751E-50AC-43C7-8EAE-001F44510B84}"/>
      </w:docPartPr>
      <w:docPartBody>
        <w:p w:rsidR="00FA3D98" w:rsidRDefault="00972409" w:rsidP="00972409">
          <w:pPr>
            <w:pStyle w:val="00EC02B3F38E4A3F986862BD9252585B"/>
          </w:pPr>
          <w:r w:rsidRPr="0058285D">
            <w:rPr>
              <w:rStyle w:val="PlaceholderText"/>
            </w:rPr>
            <w:t>Click or tap here to enter text.</w:t>
          </w:r>
        </w:p>
      </w:docPartBody>
    </w:docPart>
    <w:docPart>
      <w:docPartPr>
        <w:name w:val="60CF31C198B44CB085B78F44640235F8"/>
        <w:category>
          <w:name w:val="General"/>
          <w:gallery w:val="placeholder"/>
        </w:category>
        <w:types>
          <w:type w:val="bbPlcHdr"/>
        </w:types>
        <w:behaviors>
          <w:behavior w:val="content"/>
        </w:behaviors>
        <w:guid w:val="{9288D9BF-609F-4C3A-A563-CE2087174EC8}"/>
      </w:docPartPr>
      <w:docPartBody>
        <w:p w:rsidR="00FA3D98" w:rsidRDefault="00972409" w:rsidP="00972409">
          <w:pPr>
            <w:pStyle w:val="60CF31C198B44CB085B78F44640235F8"/>
          </w:pPr>
          <w:r w:rsidRPr="0058285D">
            <w:rPr>
              <w:rStyle w:val="PlaceholderText"/>
            </w:rPr>
            <w:t>Contents</w:t>
          </w:r>
        </w:p>
      </w:docPartBody>
    </w:docPart>
    <w:docPart>
      <w:docPartPr>
        <w:name w:val="E50AAD1AE0464724BBE5B6F2D3B01A57"/>
        <w:category>
          <w:name w:val="General"/>
          <w:gallery w:val="placeholder"/>
        </w:category>
        <w:types>
          <w:type w:val="bbPlcHdr"/>
        </w:types>
        <w:behaviors>
          <w:behavior w:val="content"/>
        </w:behaviors>
        <w:guid w:val="{8B695087-5A82-4A3E-97C4-EB5C643F985F}"/>
      </w:docPartPr>
      <w:docPartBody>
        <w:p w:rsidR="00FA3D98" w:rsidRDefault="00972409" w:rsidP="00972409">
          <w:pPr>
            <w:pStyle w:val="E50AAD1AE0464724BBE5B6F2D3B01A57"/>
          </w:pPr>
          <w:r w:rsidRPr="0058285D">
            <w:rPr>
              <w:rStyle w:val="PlaceholderText"/>
            </w:rPr>
            <w:t>rpsgroup.com</w:t>
          </w:r>
        </w:p>
      </w:docPartBody>
    </w:docPart>
    <w:docPart>
      <w:docPartPr>
        <w:name w:val="40D978D7FD1B4BE2A907E9E4A2342A95"/>
        <w:category>
          <w:name w:val="General"/>
          <w:gallery w:val="placeholder"/>
        </w:category>
        <w:types>
          <w:type w:val="bbPlcHdr"/>
        </w:types>
        <w:behaviors>
          <w:behavior w:val="content"/>
        </w:behaviors>
        <w:guid w:val="{582A0655-757A-4BC1-8D86-598490C9E02E}"/>
      </w:docPartPr>
      <w:docPartBody>
        <w:p w:rsidR="00FA3D98" w:rsidRDefault="00972409" w:rsidP="00972409">
          <w:pPr>
            <w:pStyle w:val="40D978D7FD1B4BE2A907E9E4A2342A95"/>
          </w:pPr>
          <w:r w:rsidRPr="0058285D">
            <w:rPr>
              <w:rStyle w:val="PlaceholderText"/>
            </w:rPr>
            <w:t>BIM</w:t>
          </w:r>
        </w:p>
      </w:docPartBody>
    </w:docPart>
    <w:docPart>
      <w:docPartPr>
        <w:name w:val="649E5630E0D64DF2BAC6C70FEC13B4AF"/>
        <w:category>
          <w:name w:val="General"/>
          <w:gallery w:val="placeholder"/>
        </w:category>
        <w:types>
          <w:type w:val="bbPlcHdr"/>
        </w:types>
        <w:behaviors>
          <w:behavior w:val="content"/>
        </w:behaviors>
        <w:guid w:val="{08DEB071-45EB-496B-8E2E-2DF72C6AA5D2}"/>
      </w:docPartPr>
      <w:docPartBody>
        <w:p w:rsidR="00FA3D98" w:rsidRDefault="00972409" w:rsidP="00972409">
          <w:pPr>
            <w:pStyle w:val="649E5630E0D64DF2BAC6C70FEC13B4AF"/>
          </w:pPr>
          <w:r w:rsidRPr="0058285D">
            <w:rPr>
              <w:rStyle w:val="PlaceholderText"/>
            </w:rPr>
            <w:t>Click or tap here to enter text.</w:t>
          </w:r>
        </w:p>
      </w:docPartBody>
    </w:docPart>
    <w:docPart>
      <w:docPartPr>
        <w:name w:val="900DF41FB3414891A1EDBC6BCF3F6712"/>
        <w:category>
          <w:name w:val="General"/>
          <w:gallery w:val="placeholder"/>
        </w:category>
        <w:types>
          <w:type w:val="bbPlcHdr"/>
        </w:types>
        <w:behaviors>
          <w:behavior w:val="content"/>
        </w:behaviors>
        <w:guid w:val="{EC480AEA-27B4-4295-B80A-0F5B58C2ACB8}"/>
      </w:docPartPr>
      <w:docPartBody>
        <w:p w:rsidR="00FA3D98" w:rsidRDefault="00972409" w:rsidP="00972409">
          <w:pPr>
            <w:pStyle w:val="900DF41FB3414891A1EDBC6BCF3F6712"/>
          </w:pPr>
          <w:r w:rsidRPr="0058285D">
            <w:rPr>
              <w:rStyle w:val="PlaceholderText"/>
            </w:rPr>
            <w:t>Contents</w:t>
          </w:r>
        </w:p>
      </w:docPartBody>
    </w:docPart>
    <w:docPart>
      <w:docPartPr>
        <w:name w:val="E7A3F24FB1294768B6E7CF807AEE1F1E"/>
        <w:category>
          <w:name w:val="General"/>
          <w:gallery w:val="placeholder"/>
        </w:category>
        <w:types>
          <w:type w:val="bbPlcHdr"/>
        </w:types>
        <w:behaviors>
          <w:behavior w:val="content"/>
        </w:behaviors>
        <w:guid w:val="{BCE08E83-D78C-4309-AD52-1E1E8CA5AAA1}"/>
      </w:docPartPr>
      <w:docPartBody>
        <w:p w:rsidR="00FA3D98" w:rsidRDefault="00972409" w:rsidP="00972409">
          <w:pPr>
            <w:pStyle w:val="E7A3F24FB1294768B6E7CF807AEE1F1E"/>
          </w:pPr>
          <w:r w:rsidRPr="0058285D">
            <w:rPr>
              <w:rStyle w:val="PlaceholderText"/>
            </w:rPr>
            <w:t>rpsgroup.com</w:t>
          </w:r>
        </w:p>
      </w:docPartBody>
    </w:docPart>
    <w:docPart>
      <w:docPartPr>
        <w:name w:val="C8A183556CD742A99A12D5A3FF128661"/>
        <w:category>
          <w:name w:val="General"/>
          <w:gallery w:val="placeholder"/>
        </w:category>
        <w:types>
          <w:type w:val="bbPlcHdr"/>
        </w:types>
        <w:behaviors>
          <w:behavior w:val="content"/>
        </w:behaviors>
        <w:guid w:val="{B4E14EFA-669F-4E17-9FEE-EBFAAED97E12}"/>
      </w:docPartPr>
      <w:docPartBody>
        <w:p w:rsidR="00FA3D98" w:rsidRDefault="00972409" w:rsidP="00972409">
          <w:pPr>
            <w:pStyle w:val="C8A183556CD742A99A12D5A3FF128661"/>
          </w:pPr>
          <w:r w:rsidRPr="0058285D">
            <w:rPr>
              <w:rStyle w:val="PlaceholderText"/>
            </w:rPr>
            <w:t>BIM</w:t>
          </w:r>
        </w:p>
      </w:docPartBody>
    </w:docPart>
    <w:docPart>
      <w:docPartPr>
        <w:name w:val="D6BC960DB7B742C0B0B1C125CA0BC918"/>
        <w:category>
          <w:name w:val="General"/>
          <w:gallery w:val="placeholder"/>
        </w:category>
        <w:types>
          <w:type w:val="bbPlcHdr"/>
        </w:types>
        <w:behaviors>
          <w:behavior w:val="content"/>
        </w:behaviors>
        <w:guid w:val="{F764FA2E-19EB-4FA4-95D3-8F3FA7C3198A}"/>
      </w:docPartPr>
      <w:docPartBody>
        <w:p w:rsidR="00FA3D98" w:rsidRDefault="00972409" w:rsidP="00972409">
          <w:pPr>
            <w:pStyle w:val="D6BC960DB7B742C0B0B1C125CA0BC918"/>
          </w:pPr>
          <w:r w:rsidRPr="0058285D">
            <w:rPr>
              <w:rStyle w:val="PlaceholderText"/>
            </w:rPr>
            <w:t>Click or tap here to enter text.</w:t>
          </w:r>
        </w:p>
      </w:docPartBody>
    </w:docPart>
    <w:docPart>
      <w:docPartPr>
        <w:name w:val="47C4D00BB6B6449EA4039B3F09F3C924"/>
        <w:category>
          <w:name w:val="General"/>
          <w:gallery w:val="placeholder"/>
        </w:category>
        <w:types>
          <w:type w:val="bbPlcHdr"/>
        </w:types>
        <w:behaviors>
          <w:behavior w:val="content"/>
        </w:behaviors>
        <w:guid w:val="{6C80F974-7B87-4648-82FA-C33BDC13AD4B}"/>
      </w:docPartPr>
      <w:docPartBody>
        <w:p w:rsidR="00FA3D98" w:rsidRDefault="00972409" w:rsidP="00972409">
          <w:pPr>
            <w:pStyle w:val="47C4D00BB6B6449EA4039B3F09F3C924"/>
          </w:pPr>
          <w:r w:rsidRPr="0058285D">
            <w:rPr>
              <w:rStyle w:val="PlaceholderText"/>
            </w:rPr>
            <w:t>Contents</w:t>
          </w:r>
        </w:p>
      </w:docPartBody>
    </w:docPart>
    <w:docPart>
      <w:docPartPr>
        <w:name w:val="6CB854F15C004B61BB4CA63EB30E8D27"/>
        <w:category>
          <w:name w:val="General"/>
          <w:gallery w:val="placeholder"/>
        </w:category>
        <w:types>
          <w:type w:val="bbPlcHdr"/>
        </w:types>
        <w:behaviors>
          <w:behavior w:val="content"/>
        </w:behaviors>
        <w:guid w:val="{402E7BE6-9D95-4255-B085-9F205CCCF531}"/>
      </w:docPartPr>
      <w:docPartBody>
        <w:p w:rsidR="00FA3D98" w:rsidRDefault="00972409" w:rsidP="00972409">
          <w:pPr>
            <w:pStyle w:val="6CB854F15C004B61BB4CA63EB30E8D27"/>
          </w:pPr>
          <w:r w:rsidRPr="0058285D">
            <w:rPr>
              <w:rStyle w:val="PlaceholderText"/>
            </w:rPr>
            <w:t>rpsgroup.com</w:t>
          </w:r>
        </w:p>
      </w:docPartBody>
    </w:docPart>
    <w:docPart>
      <w:docPartPr>
        <w:name w:val="F5485D3D60D44A29A79A790A88BF8387"/>
        <w:category>
          <w:name w:val="General"/>
          <w:gallery w:val="placeholder"/>
        </w:category>
        <w:types>
          <w:type w:val="bbPlcHdr"/>
        </w:types>
        <w:behaviors>
          <w:behavior w:val="content"/>
        </w:behaviors>
        <w:guid w:val="{838F98FD-5D8C-4CEC-93B8-D2787143B828}"/>
      </w:docPartPr>
      <w:docPartBody>
        <w:p w:rsidR="00FA3D98" w:rsidRDefault="00972409" w:rsidP="00972409">
          <w:pPr>
            <w:pStyle w:val="F5485D3D60D44A29A79A790A88BF8387"/>
          </w:pPr>
          <w:r w:rsidRPr="0058285D">
            <w:rPr>
              <w:rStyle w:val="PlaceholderText"/>
            </w:rPr>
            <w:t>BIM</w:t>
          </w:r>
        </w:p>
      </w:docPartBody>
    </w:docPart>
    <w:docPart>
      <w:docPartPr>
        <w:name w:val="AFB5D90E45E2437E84520E335034E341"/>
        <w:category>
          <w:name w:val="General"/>
          <w:gallery w:val="placeholder"/>
        </w:category>
        <w:types>
          <w:type w:val="bbPlcHdr"/>
        </w:types>
        <w:behaviors>
          <w:behavior w:val="content"/>
        </w:behaviors>
        <w:guid w:val="{E7B415E5-CE81-43E7-A1B2-8E0121014965}"/>
      </w:docPartPr>
      <w:docPartBody>
        <w:p w:rsidR="00FA3D98" w:rsidRDefault="00972409" w:rsidP="00972409">
          <w:pPr>
            <w:pStyle w:val="AFB5D90E45E2437E84520E335034E341"/>
          </w:pPr>
          <w:r w:rsidRPr="0058285D">
            <w:rPr>
              <w:rStyle w:val="PlaceholderText"/>
            </w:rPr>
            <w:t>Click or tap here to enter text.</w:t>
          </w:r>
        </w:p>
      </w:docPartBody>
    </w:docPart>
    <w:docPart>
      <w:docPartPr>
        <w:name w:val="30041667201D4C1F82CB5F80F49154B8"/>
        <w:category>
          <w:name w:val="General"/>
          <w:gallery w:val="placeholder"/>
        </w:category>
        <w:types>
          <w:type w:val="bbPlcHdr"/>
        </w:types>
        <w:behaviors>
          <w:behavior w:val="content"/>
        </w:behaviors>
        <w:guid w:val="{59186CCE-2D24-4244-AF03-425612E9A554}"/>
      </w:docPartPr>
      <w:docPartBody>
        <w:p w:rsidR="00FA3D98" w:rsidRDefault="00972409" w:rsidP="00972409">
          <w:pPr>
            <w:pStyle w:val="30041667201D4C1F82CB5F80F49154B8"/>
          </w:pPr>
          <w:r w:rsidRPr="0058285D">
            <w:rPr>
              <w:rStyle w:val="PlaceholderText"/>
            </w:rPr>
            <w:t>Contents</w:t>
          </w:r>
        </w:p>
      </w:docPartBody>
    </w:docPart>
    <w:docPart>
      <w:docPartPr>
        <w:name w:val="3B31E2C3370F4DEB9228502523326770"/>
        <w:category>
          <w:name w:val="General"/>
          <w:gallery w:val="placeholder"/>
        </w:category>
        <w:types>
          <w:type w:val="bbPlcHdr"/>
        </w:types>
        <w:behaviors>
          <w:behavior w:val="content"/>
        </w:behaviors>
        <w:guid w:val="{80D54D21-BB00-43A5-AC26-0347D4CEAEE4}"/>
      </w:docPartPr>
      <w:docPartBody>
        <w:p w:rsidR="00FA3D98" w:rsidRDefault="00972409" w:rsidP="00972409">
          <w:pPr>
            <w:pStyle w:val="3B31E2C3370F4DEB9228502523326770"/>
          </w:pPr>
          <w:r w:rsidRPr="0058285D">
            <w:rPr>
              <w:rStyle w:val="PlaceholderText"/>
            </w:rPr>
            <w:t>rpsgroup.com</w:t>
          </w:r>
        </w:p>
      </w:docPartBody>
    </w:docPart>
    <w:docPart>
      <w:docPartPr>
        <w:name w:val="9C96AA1DB8904FEE9434BB49BB45EB01"/>
        <w:category>
          <w:name w:val="General"/>
          <w:gallery w:val="placeholder"/>
        </w:category>
        <w:types>
          <w:type w:val="bbPlcHdr"/>
        </w:types>
        <w:behaviors>
          <w:behavior w:val="content"/>
        </w:behaviors>
        <w:guid w:val="{6A0586BA-42E3-47C5-9D82-61DFE1E8F658}"/>
      </w:docPartPr>
      <w:docPartBody>
        <w:p w:rsidR="00FA3D98" w:rsidRDefault="00972409" w:rsidP="00972409">
          <w:pPr>
            <w:pStyle w:val="9C96AA1DB8904FEE9434BB49BB45EB01"/>
          </w:pPr>
          <w:r w:rsidRPr="0058285D">
            <w:rPr>
              <w:rStyle w:val="PlaceholderText"/>
            </w:rPr>
            <w:t>BIM</w:t>
          </w:r>
        </w:p>
      </w:docPartBody>
    </w:docPart>
    <w:docPart>
      <w:docPartPr>
        <w:name w:val="ACBD63E841E4456E89C77F890A08851F"/>
        <w:category>
          <w:name w:val="General"/>
          <w:gallery w:val="placeholder"/>
        </w:category>
        <w:types>
          <w:type w:val="bbPlcHdr"/>
        </w:types>
        <w:behaviors>
          <w:behavior w:val="content"/>
        </w:behaviors>
        <w:guid w:val="{38BC9528-368E-4CDC-9221-8B9D122A79B3}"/>
      </w:docPartPr>
      <w:docPartBody>
        <w:p w:rsidR="00FA3D98" w:rsidRDefault="00972409" w:rsidP="00972409">
          <w:pPr>
            <w:pStyle w:val="ACBD63E841E4456E89C77F890A08851F"/>
          </w:pPr>
          <w:r w:rsidRPr="0058285D">
            <w:rPr>
              <w:rStyle w:val="PlaceholderText"/>
            </w:rPr>
            <w:t>Click or tap here to enter text.</w:t>
          </w:r>
        </w:p>
      </w:docPartBody>
    </w:docPart>
    <w:docPart>
      <w:docPartPr>
        <w:name w:val="CEFE9A669B82477EAE1B3252C220EB59"/>
        <w:category>
          <w:name w:val="General"/>
          <w:gallery w:val="placeholder"/>
        </w:category>
        <w:types>
          <w:type w:val="bbPlcHdr"/>
        </w:types>
        <w:behaviors>
          <w:behavior w:val="content"/>
        </w:behaviors>
        <w:guid w:val="{777EC754-8156-4930-8D6D-27773EFAD0DC}"/>
      </w:docPartPr>
      <w:docPartBody>
        <w:p w:rsidR="00FA3D98" w:rsidRDefault="00972409" w:rsidP="00972409">
          <w:pPr>
            <w:pStyle w:val="CEFE9A669B82477EAE1B3252C220EB59"/>
          </w:pPr>
          <w:r w:rsidRPr="0058285D">
            <w:rPr>
              <w:rStyle w:val="PlaceholderText"/>
            </w:rPr>
            <w:t>Contents</w:t>
          </w:r>
        </w:p>
      </w:docPartBody>
    </w:docPart>
    <w:docPart>
      <w:docPartPr>
        <w:name w:val="7EB3D0394E1144FBA3C53AED05E7CB58"/>
        <w:category>
          <w:name w:val="General"/>
          <w:gallery w:val="placeholder"/>
        </w:category>
        <w:types>
          <w:type w:val="bbPlcHdr"/>
        </w:types>
        <w:behaviors>
          <w:behavior w:val="content"/>
        </w:behaviors>
        <w:guid w:val="{B99E439B-9C3B-4D8F-AC89-D9CE1E336757}"/>
      </w:docPartPr>
      <w:docPartBody>
        <w:p w:rsidR="00FA3D98" w:rsidRDefault="00972409" w:rsidP="00972409">
          <w:pPr>
            <w:pStyle w:val="7EB3D0394E1144FBA3C53AED05E7CB58"/>
          </w:pPr>
          <w:r w:rsidRPr="0058285D">
            <w:rPr>
              <w:rStyle w:val="PlaceholderText"/>
            </w:rPr>
            <w:t>rpsgroup.com</w:t>
          </w:r>
        </w:p>
      </w:docPartBody>
    </w:docPart>
    <w:docPart>
      <w:docPartPr>
        <w:name w:val="EDD94AAF76F54CA2800FD05230CE9A39"/>
        <w:category>
          <w:name w:val="General"/>
          <w:gallery w:val="placeholder"/>
        </w:category>
        <w:types>
          <w:type w:val="bbPlcHdr"/>
        </w:types>
        <w:behaviors>
          <w:behavior w:val="content"/>
        </w:behaviors>
        <w:guid w:val="{24374C73-3FD5-4E95-A64F-01BEE3717B8F}"/>
      </w:docPartPr>
      <w:docPartBody>
        <w:p w:rsidR="00FA3D98" w:rsidRDefault="00972409" w:rsidP="00972409">
          <w:pPr>
            <w:pStyle w:val="EDD94AAF76F54CA2800FD05230CE9A39"/>
          </w:pPr>
          <w:r w:rsidRPr="0058285D">
            <w:rPr>
              <w:rStyle w:val="PlaceholderText"/>
            </w:rPr>
            <w:t>BIM</w:t>
          </w:r>
        </w:p>
      </w:docPartBody>
    </w:docPart>
    <w:docPart>
      <w:docPartPr>
        <w:name w:val="8152E565508849EA9E5343BBF4A33048"/>
        <w:category>
          <w:name w:val="General"/>
          <w:gallery w:val="placeholder"/>
        </w:category>
        <w:types>
          <w:type w:val="bbPlcHdr"/>
        </w:types>
        <w:behaviors>
          <w:behavior w:val="content"/>
        </w:behaviors>
        <w:guid w:val="{AFF14965-3060-451A-92B0-3B9D8DB1173C}"/>
      </w:docPartPr>
      <w:docPartBody>
        <w:p w:rsidR="00FA3D98" w:rsidRDefault="00972409" w:rsidP="00972409">
          <w:pPr>
            <w:pStyle w:val="8152E565508849EA9E5343BBF4A33048"/>
          </w:pPr>
          <w:r w:rsidRPr="0058285D">
            <w:rPr>
              <w:rStyle w:val="PlaceholderText"/>
            </w:rPr>
            <w:t>Click or tap here to enter text.</w:t>
          </w:r>
        </w:p>
      </w:docPartBody>
    </w:docPart>
    <w:docPart>
      <w:docPartPr>
        <w:name w:val="22BA2F9C20A14569908531AE4C7B3C12"/>
        <w:category>
          <w:name w:val="General"/>
          <w:gallery w:val="placeholder"/>
        </w:category>
        <w:types>
          <w:type w:val="bbPlcHdr"/>
        </w:types>
        <w:behaviors>
          <w:behavior w:val="content"/>
        </w:behaviors>
        <w:guid w:val="{27CBDF28-3F9C-4180-9150-774D30BCFD1D}"/>
      </w:docPartPr>
      <w:docPartBody>
        <w:p w:rsidR="00FA3D98" w:rsidRDefault="00972409" w:rsidP="00972409">
          <w:pPr>
            <w:pStyle w:val="22BA2F9C20A14569908531AE4C7B3C12"/>
          </w:pPr>
          <w:r w:rsidRPr="0058285D">
            <w:rPr>
              <w:rStyle w:val="PlaceholderText"/>
            </w:rPr>
            <w:t>Contents</w:t>
          </w:r>
        </w:p>
      </w:docPartBody>
    </w:docPart>
    <w:docPart>
      <w:docPartPr>
        <w:name w:val="29B4FF3E52074F36A089600C1893D574"/>
        <w:category>
          <w:name w:val="General"/>
          <w:gallery w:val="placeholder"/>
        </w:category>
        <w:types>
          <w:type w:val="bbPlcHdr"/>
        </w:types>
        <w:behaviors>
          <w:behavior w:val="content"/>
        </w:behaviors>
        <w:guid w:val="{496BD3DB-0974-4623-8B9C-BE979113EC78}"/>
      </w:docPartPr>
      <w:docPartBody>
        <w:p w:rsidR="00FA3D98" w:rsidRDefault="00972409" w:rsidP="00972409">
          <w:pPr>
            <w:pStyle w:val="29B4FF3E52074F36A089600C1893D574"/>
          </w:pPr>
          <w:r w:rsidRPr="0058285D">
            <w:rPr>
              <w:rStyle w:val="PlaceholderText"/>
            </w:rPr>
            <w:t>rpsgroup.com</w:t>
          </w:r>
        </w:p>
      </w:docPartBody>
    </w:docPart>
    <w:docPart>
      <w:docPartPr>
        <w:name w:val="9A2128A0AD7B47FD9183637709206021"/>
        <w:category>
          <w:name w:val="General"/>
          <w:gallery w:val="placeholder"/>
        </w:category>
        <w:types>
          <w:type w:val="bbPlcHdr"/>
        </w:types>
        <w:behaviors>
          <w:behavior w:val="content"/>
        </w:behaviors>
        <w:guid w:val="{F5C25CAC-F045-4A0F-8F19-766FDA2A430B}"/>
      </w:docPartPr>
      <w:docPartBody>
        <w:p w:rsidR="00FA3D98" w:rsidRDefault="00972409" w:rsidP="00972409">
          <w:pPr>
            <w:pStyle w:val="9A2128A0AD7B47FD9183637709206021"/>
          </w:pPr>
          <w:r w:rsidRPr="0058285D">
            <w:rPr>
              <w:rStyle w:val="PlaceholderText"/>
            </w:rPr>
            <w:t>BIM</w:t>
          </w:r>
        </w:p>
      </w:docPartBody>
    </w:docPart>
    <w:docPart>
      <w:docPartPr>
        <w:name w:val="796507FE7DFA436497A21438B47426A3"/>
        <w:category>
          <w:name w:val="General"/>
          <w:gallery w:val="placeholder"/>
        </w:category>
        <w:types>
          <w:type w:val="bbPlcHdr"/>
        </w:types>
        <w:behaviors>
          <w:behavior w:val="content"/>
        </w:behaviors>
        <w:guid w:val="{1901222E-157C-4D27-BE58-6E1EB2509304}"/>
      </w:docPartPr>
      <w:docPartBody>
        <w:p w:rsidR="00FA3D98" w:rsidRDefault="00972409" w:rsidP="00972409">
          <w:pPr>
            <w:pStyle w:val="796507FE7DFA436497A21438B47426A3"/>
          </w:pPr>
          <w:r w:rsidRPr="0058285D">
            <w:rPr>
              <w:rStyle w:val="PlaceholderText"/>
            </w:rPr>
            <w:t>Click or tap here to enter text.</w:t>
          </w:r>
        </w:p>
      </w:docPartBody>
    </w:docPart>
    <w:docPart>
      <w:docPartPr>
        <w:name w:val="9A64EA2A07254BC29E9FCEF112E31F94"/>
        <w:category>
          <w:name w:val="General"/>
          <w:gallery w:val="placeholder"/>
        </w:category>
        <w:types>
          <w:type w:val="bbPlcHdr"/>
        </w:types>
        <w:behaviors>
          <w:behavior w:val="content"/>
        </w:behaviors>
        <w:guid w:val="{3F0D11A4-7878-41CE-959D-2E939B0C47AB}"/>
      </w:docPartPr>
      <w:docPartBody>
        <w:p w:rsidR="00FA3D98" w:rsidRDefault="00972409" w:rsidP="00972409">
          <w:pPr>
            <w:pStyle w:val="9A64EA2A07254BC29E9FCEF112E31F94"/>
          </w:pPr>
          <w:r w:rsidRPr="0058285D">
            <w:rPr>
              <w:rStyle w:val="PlaceholderText"/>
            </w:rPr>
            <w:t>Contents</w:t>
          </w:r>
        </w:p>
      </w:docPartBody>
    </w:docPart>
    <w:docPart>
      <w:docPartPr>
        <w:name w:val="D92C038A4A5F46F583E780C0C43A4C8B"/>
        <w:category>
          <w:name w:val="General"/>
          <w:gallery w:val="placeholder"/>
        </w:category>
        <w:types>
          <w:type w:val="bbPlcHdr"/>
        </w:types>
        <w:behaviors>
          <w:behavior w:val="content"/>
        </w:behaviors>
        <w:guid w:val="{546CFA2C-968F-47E9-9B48-8890070FB8C2}"/>
      </w:docPartPr>
      <w:docPartBody>
        <w:p w:rsidR="00FA3D98" w:rsidRDefault="00972409" w:rsidP="00972409">
          <w:pPr>
            <w:pStyle w:val="D92C038A4A5F46F583E780C0C43A4C8B"/>
          </w:pPr>
          <w:r w:rsidRPr="0058285D">
            <w:rPr>
              <w:rStyle w:val="PlaceholderText"/>
            </w:rPr>
            <w:t>rpsgroup.com</w:t>
          </w:r>
        </w:p>
      </w:docPartBody>
    </w:docPart>
    <w:docPart>
      <w:docPartPr>
        <w:name w:val="510A34E30FA14230B21AC925D86F91E0"/>
        <w:category>
          <w:name w:val="General"/>
          <w:gallery w:val="placeholder"/>
        </w:category>
        <w:types>
          <w:type w:val="bbPlcHdr"/>
        </w:types>
        <w:behaviors>
          <w:behavior w:val="content"/>
        </w:behaviors>
        <w:guid w:val="{1E896690-19B4-44A4-B907-6FDF74D60B31}"/>
      </w:docPartPr>
      <w:docPartBody>
        <w:p w:rsidR="00FA3D98" w:rsidRDefault="00972409" w:rsidP="00972409">
          <w:pPr>
            <w:pStyle w:val="510A34E30FA14230B21AC925D86F91E0"/>
          </w:pPr>
          <w:r w:rsidRPr="0058285D">
            <w:rPr>
              <w:rStyle w:val="PlaceholderText"/>
            </w:rPr>
            <w:t>BIM</w:t>
          </w:r>
        </w:p>
      </w:docPartBody>
    </w:docPart>
    <w:docPart>
      <w:docPartPr>
        <w:name w:val="C2C39B38EEF747418D811345656C17DB"/>
        <w:category>
          <w:name w:val="General"/>
          <w:gallery w:val="placeholder"/>
        </w:category>
        <w:types>
          <w:type w:val="bbPlcHdr"/>
        </w:types>
        <w:behaviors>
          <w:behavior w:val="content"/>
        </w:behaviors>
        <w:guid w:val="{1B00284D-294C-46B7-9AEA-AAEDD28590D3}"/>
      </w:docPartPr>
      <w:docPartBody>
        <w:p w:rsidR="00FA3D98" w:rsidRDefault="00972409" w:rsidP="00972409">
          <w:pPr>
            <w:pStyle w:val="C2C39B38EEF747418D811345656C17DB"/>
          </w:pPr>
          <w:r w:rsidRPr="0058285D">
            <w:rPr>
              <w:rStyle w:val="PlaceholderText"/>
            </w:rPr>
            <w:t>Click or tap here to enter text.</w:t>
          </w:r>
        </w:p>
      </w:docPartBody>
    </w:docPart>
    <w:docPart>
      <w:docPartPr>
        <w:name w:val="8A037C7911CA4038BA668949D99E94E7"/>
        <w:category>
          <w:name w:val="General"/>
          <w:gallery w:val="placeholder"/>
        </w:category>
        <w:types>
          <w:type w:val="bbPlcHdr"/>
        </w:types>
        <w:behaviors>
          <w:behavior w:val="content"/>
        </w:behaviors>
        <w:guid w:val="{4B796FAF-77FA-467B-936C-FB48EDF6BBFB}"/>
      </w:docPartPr>
      <w:docPartBody>
        <w:p w:rsidR="00FA3D98" w:rsidRDefault="00972409" w:rsidP="00972409">
          <w:pPr>
            <w:pStyle w:val="8A037C7911CA4038BA668949D99E94E7"/>
          </w:pPr>
          <w:r w:rsidRPr="0058285D">
            <w:rPr>
              <w:rStyle w:val="PlaceholderText"/>
            </w:rPr>
            <w:t>Contents</w:t>
          </w:r>
        </w:p>
      </w:docPartBody>
    </w:docPart>
    <w:docPart>
      <w:docPartPr>
        <w:name w:val="D66114A9F107478FA80686898103D9DC"/>
        <w:category>
          <w:name w:val="General"/>
          <w:gallery w:val="placeholder"/>
        </w:category>
        <w:types>
          <w:type w:val="bbPlcHdr"/>
        </w:types>
        <w:behaviors>
          <w:behavior w:val="content"/>
        </w:behaviors>
        <w:guid w:val="{90B7FBC7-859E-49A7-9D42-58060B5F256C}"/>
      </w:docPartPr>
      <w:docPartBody>
        <w:p w:rsidR="00FA3D98" w:rsidRDefault="00972409" w:rsidP="00972409">
          <w:pPr>
            <w:pStyle w:val="D66114A9F107478FA80686898103D9DC"/>
          </w:pPr>
          <w:r w:rsidRPr="0058285D">
            <w:rPr>
              <w:rStyle w:val="PlaceholderText"/>
            </w:rPr>
            <w:t>rpsgroup.com</w:t>
          </w:r>
        </w:p>
      </w:docPartBody>
    </w:docPart>
    <w:docPart>
      <w:docPartPr>
        <w:name w:val="79B1189E2E864C2DA9A1F29159F6BF6E"/>
        <w:category>
          <w:name w:val="General"/>
          <w:gallery w:val="placeholder"/>
        </w:category>
        <w:types>
          <w:type w:val="bbPlcHdr"/>
        </w:types>
        <w:behaviors>
          <w:behavior w:val="content"/>
        </w:behaviors>
        <w:guid w:val="{0942FA43-B151-4473-8F49-275F8D353632}"/>
      </w:docPartPr>
      <w:docPartBody>
        <w:p w:rsidR="00FA3D98" w:rsidRDefault="00972409" w:rsidP="00972409">
          <w:pPr>
            <w:pStyle w:val="79B1189E2E864C2DA9A1F29159F6BF6E"/>
          </w:pPr>
          <w:r w:rsidRPr="0058285D">
            <w:rPr>
              <w:rStyle w:val="PlaceholderText"/>
            </w:rPr>
            <w:t>BIM</w:t>
          </w:r>
        </w:p>
      </w:docPartBody>
    </w:docPart>
    <w:docPart>
      <w:docPartPr>
        <w:name w:val="8F2B72F1662A479EB95EC662C9D9742D"/>
        <w:category>
          <w:name w:val="General"/>
          <w:gallery w:val="placeholder"/>
        </w:category>
        <w:types>
          <w:type w:val="bbPlcHdr"/>
        </w:types>
        <w:behaviors>
          <w:behavior w:val="content"/>
        </w:behaviors>
        <w:guid w:val="{B5612AD7-5093-4E87-A266-1DE5D684F201}"/>
      </w:docPartPr>
      <w:docPartBody>
        <w:p w:rsidR="00FA3D98" w:rsidRDefault="00972409" w:rsidP="00972409">
          <w:pPr>
            <w:pStyle w:val="8F2B72F1662A479EB95EC662C9D9742D"/>
          </w:pPr>
          <w:r w:rsidRPr="0058285D">
            <w:rPr>
              <w:rStyle w:val="PlaceholderText"/>
            </w:rPr>
            <w:t>Click or tap here to enter text.</w:t>
          </w:r>
        </w:p>
      </w:docPartBody>
    </w:docPart>
    <w:docPart>
      <w:docPartPr>
        <w:name w:val="19FD94F015D14CEF80FD41AA94A6ADDC"/>
        <w:category>
          <w:name w:val="General"/>
          <w:gallery w:val="placeholder"/>
        </w:category>
        <w:types>
          <w:type w:val="bbPlcHdr"/>
        </w:types>
        <w:behaviors>
          <w:behavior w:val="content"/>
        </w:behaviors>
        <w:guid w:val="{729252E5-76C9-46DF-931F-B9567A17A47D}"/>
      </w:docPartPr>
      <w:docPartBody>
        <w:p w:rsidR="00FA3D98" w:rsidRDefault="00972409" w:rsidP="00972409">
          <w:pPr>
            <w:pStyle w:val="19FD94F015D14CEF80FD41AA94A6ADDC"/>
          </w:pPr>
          <w:r w:rsidRPr="0058285D">
            <w:rPr>
              <w:rStyle w:val="PlaceholderText"/>
            </w:rPr>
            <w:t>Contents</w:t>
          </w:r>
        </w:p>
      </w:docPartBody>
    </w:docPart>
    <w:docPart>
      <w:docPartPr>
        <w:name w:val="D4F1E93D8B9F4C4B8056AF12B340FF2B"/>
        <w:category>
          <w:name w:val="General"/>
          <w:gallery w:val="placeholder"/>
        </w:category>
        <w:types>
          <w:type w:val="bbPlcHdr"/>
        </w:types>
        <w:behaviors>
          <w:behavior w:val="content"/>
        </w:behaviors>
        <w:guid w:val="{E902E2AA-8ABD-4DFF-B9EB-11AE7F951241}"/>
      </w:docPartPr>
      <w:docPartBody>
        <w:p w:rsidR="00FA3D98" w:rsidRDefault="00972409" w:rsidP="00972409">
          <w:pPr>
            <w:pStyle w:val="D4F1E93D8B9F4C4B8056AF12B340FF2B"/>
          </w:pPr>
          <w:r w:rsidRPr="0058285D">
            <w:rPr>
              <w:rStyle w:val="PlaceholderText"/>
            </w:rPr>
            <w:t>rpsgroup.com</w:t>
          </w:r>
        </w:p>
      </w:docPartBody>
    </w:docPart>
    <w:docPart>
      <w:docPartPr>
        <w:name w:val="2A5B239213E247E0A64526FDBB297996"/>
        <w:category>
          <w:name w:val="General"/>
          <w:gallery w:val="placeholder"/>
        </w:category>
        <w:types>
          <w:type w:val="bbPlcHdr"/>
        </w:types>
        <w:behaviors>
          <w:behavior w:val="content"/>
        </w:behaviors>
        <w:guid w:val="{77980647-6E41-44C0-8268-7B6FA246BF50}"/>
      </w:docPartPr>
      <w:docPartBody>
        <w:p w:rsidR="00FA3D98" w:rsidRDefault="00972409" w:rsidP="00972409">
          <w:pPr>
            <w:pStyle w:val="2A5B239213E247E0A64526FDBB297996"/>
          </w:pPr>
          <w:r w:rsidRPr="0058285D">
            <w:rPr>
              <w:rStyle w:val="PlaceholderText"/>
            </w:rPr>
            <w:t>BIM</w:t>
          </w:r>
        </w:p>
      </w:docPartBody>
    </w:docPart>
    <w:docPart>
      <w:docPartPr>
        <w:name w:val="89C79F5A0BCD429FBC58F70453E8E109"/>
        <w:category>
          <w:name w:val="General"/>
          <w:gallery w:val="placeholder"/>
        </w:category>
        <w:types>
          <w:type w:val="bbPlcHdr"/>
        </w:types>
        <w:behaviors>
          <w:behavior w:val="content"/>
        </w:behaviors>
        <w:guid w:val="{30E19BBD-AA74-446E-B811-4CB4305C6141}"/>
      </w:docPartPr>
      <w:docPartBody>
        <w:p w:rsidR="00FA3D98" w:rsidRDefault="00972409" w:rsidP="00972409">
          <w:pPr>
            <w:pStyle w:val="89C79F5A0BCD429FBC58F70453E8E109"/>
          </w:pPr>
          <w:r w:rsidRPr="0058285D">
            <w:rPr>
              <w:rStyle w:val="PlaceholderText"/>
            </w:rPr>
            <w:t>Click or tap here to enter text.</w:t>
          </w:r>
        </w:p>
      </w:docPartBody>
    </w:docPart>
    <w:docPart>
      <w:docPartPr>
        <w:name w:val="D1991ED1E0134489B44946AFED71FDFC"/>
        <w:category>
          <w:name w:val="General"/>
          <w:gallery w:val="placeholder"/>
        </w:category>
        <w:types>
          <w:type w:val="bbPlcHdr"/>
        </w:types>
        <w:behaviors>
          <w:behavior w:val="content"/>
        </w:behaviors>
        <w:guid w:val="{7E8BCF82-3B47-482B-ACA1-CB8B2D2D1113}"/>
      </w:docPartPr>
      <w:docPartBody>
        <w:p w:rsidR="00FA3D98" w:rsidRDefault="00972409" w:rsidP="00972409">
          <w:pPr>
            <w:pStyle w:val="D1991ED1E0134489B44946AFED71FDFC"/>
          </w:pPr>
          <w:r w:rsidRPr="0058285D">
            <w:rPr>
              <w:rStyle w:val="PlaceholderText"/>
            </w:rPr>
            <w:t>Contents</w:t>
          </w:r>
        </w:p>
      </w:docPartBody>
    </w:docPart>
    <w:docPart>
      <w:docPartPr>
        <w:name w:val="28533DF699294F9CBE8C88B6AEE9EEF5"/>
        <w:category>
          <w:name w:val="General"/>
          <w:gallery w:val="placeholder"/>
        </w:category>
        <w:types>
          <w:type w:val="bbPlcHdr"/>
        </w:types>
        <w:behaviors>
          <w:behavior w:val="content"/>
        </w:behaviors>
        <w:guid w:val="{8AF90950-D79E-4310-A68A-9782AA2A4182}"/>
      </w:docPartPr>
      <w:docPartBody>
        <w:p w:rsidR="00FA3D98" w:rsidRDefault="00972409" w:rsidP="00972409">
          <w:pPr>
            <w:pStyle w:val="28533DF699294F9CBE8C88B6AEE9EEF5"/>
          </w:pPr>
          <w:r w:rsidRPr="0058285D">
            <w:rPr>
              <w:rStyle w:val="PlaceholderText"/>
            </w:rPr>
            <w:t>rpsgroup.com</w:t>
          </w:r>
        </w:p>
      </w:docPartBody>
    </w:docPart>
    <w:docPart>
      <w:docPartPr>
        <w:name w:val="E6132EB35C27402FAF9732278E9AE707"/>
        <w:category>
          <w:name w:val="General"/>
          <w:gallery w:val="placeholder"/>
        </w:category>
        <w:types>
          <w:type w:val="bbPlcHdr"/>
        </w:types>
        <w:behaviors>
          <w:behavior w:val="content"/>
        </w:behaviors>
        <w:guid w:val="{2BA6D1E8-3BEE-45A6-8903-69EB7F0952FE}"/>
      </w:docPartPr>
      <w:docPartBody>
        <w:p w:rsidR="00FA3D98" w:rsidRDefault="00972409" w:rsidP="00972409">
          <w:pPr>
            <w:pStyle w:val="E6132EB35C27402FAF9732278E9AE707"/>
          </w:pPr>
          <w:r w:rsidRPr="0058285D">
            <w:rPr>
              <w:rStyle w:val="PlaceholderText"/>
            </w:rPr>
            <w:t>BIM</w:t>
          </w:r>
        </w:p>
      </w:docPartBody>
    </w:docPart>
    <w:docPart>
      <w:docPartPr>
        <w:name w:val="9C66B0678B8E408195D05DEF041808BA"/>
        <w:category>
          <w:name w:val="General"/>
          <w:gallery w:val="placeholder"/>
        </w:category>
        <w:types>
          <w:type w:val="bbPlcHdr"/>
        </w:types>
        <w:behaviors>
          <w:behavior w:val="content"/>
        </w:behaviors>
        <w:guid w:val="{ACC765E7-813E-42D3-9263-66566526D547}"/>
      </w:docPartPr>
      <w:docPartBody>
        <w:p w:rsidR="00FA3D98" w:rsidRDefault="00972409" w:rsidP="00972409">
          <w:pPr>
            <w:pStyle w:val="9C66B0678B8E408195D05DEF041808BA"/>
          </w:pPr>
          <w:r w:rsidRPr="0058285D">
            <w:rPr>
              <w:rStyle w:val="PlaceholderText"/>
            </w:rPr>
            <w:t>Click or tap here to enter text.</w:t>
          </w:r>
        </w:p>
      </w:docPartBody>
    </w:docPart>
    <w:docPart>
      <w:docPartPr>
        <w:name w:val="91FC31BEA94A4AF8B9C094BE0F72F63F"/>
        <w:category>
          <w:name w:val="General"/>
          <w:gallery w:val="placeholder"/>
        </w:category>
        <w:types>
          <w:type w:val="bbPlcHdr"/>
        </w:types>
        <w:behaviors>
          <w:behavior w:val="content"/>
        </w:behaviors>
        <w:guid w:val="{121C48CC-CEAC-4E1A-9791-35DB5088DB2D}"/>
      </w:docPartPr>
      <w:docPartBody>
        <w:p w:rsidR="00FA3D98" w:rsidRDefault="00972409" w:rsidP="00972409">
          <w:pPr>
            <w:pStyle w:val="91FC31BEA94A4AF8B9C094BE0F72F63F"/>
          </w:pPr>
          <w:r w:rsidRPr="0058285D">
            <w:rPr>
              <w:rStyle w:val="PlaceholderText"/>
            </w:rPr>
            <w:t>Contents</w:t>
          </w:r>
        </w:p>
      </w:docPartBody>
    </w:docPart>
    <w:docPart>
      <w:docPartPr>
        <w:name w:val="9524A75405994663BE8C4BB9F0049797"/>
        <w:category>
          <w:name w:val="General"/>
          <w:gallery w:val="placeholder"/>
        </w:category>
        <w:types>
          <w:type w:val="bbPlcHdr"/>
        </w:types>
        <w:behaviors>
          <w:behavior w:val="content"/>
        </w:behaviors>
        <w:guid w:val="{4BB74C71-B49F-4A22-B262-7DD94B1518A4}"/>
      </w:docPartPr>
      <w:docPartBody>
        <w:p w:rsidR="00FA3D98" w:rsidRDefault="00972409" w:rsidP="00972409">
          <w:pPr>
            <w:pStyle w:val="9524A75405994663BE8C4BB9F0049797"/>
          </w:pPr>
          <w:r w:rsidRPr="0058285D">
            <w:rPr>
              <w:rStyle w:val="PlaceholderText"/>
            </w:rPr>
            <w:t>rpsgroup.com</w:t>
          </w:r>
        </w:p>
      </w:docPartBody>
    </w:docPart>
    <w:docPart>
      <w:docPartPr>
        <w:name w:val="A0A16981E424442DBF687FA39848F799"/>
        <w:category>
          <w:name w:val="General"/>
          <w:gallery w:val="placeholder"/>
        </w:category>
        <w:types>
          <w:type w:val="bbPlcHdr"/>
        </w:types>
        <w:behaviors>
          <w:behavior w:val="content"/>
        </w:behaviors>
        <w:guid w:val="{3801631C-C9F7-47EB-A28D-EEADFA559C14}"/>
      </w:docPartPr>
      <w:docPartBody>
        <w:p w:rsidR="00FA3D98" w:rsidRDefault="00972409" w:rsidP="00972409">
          <w:pPr>
            <w:pStyle w:val="A0A16981E424442DBF687FA39848F799"/>
          </w:pPr>
          <w:r w:rsidRPr="0058285D">
            <w:rPr>
              <w:rStyle w:val="PlaceholderText"/>
            </w:rPr>
            <w:t>BIM</w:t>
          </w:r>
        </w:p>
      </w:docPartBody>
    </w:docPart>
    <w:docPart>
      <w:docPartPr>
        <w:name w:val="80E472153E234DB3B2B1DEFD377FD797"/>
        <w:category>
          <w:name w:val="General"/>
          <w:gallery w:val="placeholder"/>
        </w:category>
        <w:types>
          <w:type w:val="bbPlcHdr"/>
        </w:types>
        <w:behaviors>
          <w:behavior w:val="content"/>
        </w:behaviors>
        <w:guid w:val="{4352EB27-9D5E-462D-AE79-5D9ADEFEA3C9}"/>
      </w:docPartPr>
      <w:docPartBody>
        <w:p w:rsidR="00FA3D98" w:rsidRDefault="00972409" w:rsidP="00972409">
          <w:pPr>
            <w:pStyle w:val="80E472153E234DB3B2B1DEFD377FD797"/>
          </w:pPr>
          <w:r w:rsidRPr="0058285D">
            <w:rPr>
              <w:rStyle w:val="PlaceholderText"/>
            </w:rPr>
            <w:t>Click or tap here to enter text.</w:t>
          </w:r>
        </w:p>
      </w:docPartBody>
    </w:docPart>
    <w:docPart>
      <w:docPartPr>
        <w:name w:val="3A73DCD585224A6B8E4BE74F8CA39B59"/>
        <w:category>
          <w:name w:val="General"/>
          <w:gallery w:val="placeholder"/>
        </w:category>
        <w:types>
          <w:type w:val="bbPlcHdr"/>
        </w:types>
        <w:behaviors>
          <w:behavior w:val="content"/>
        </w:behaviors>
        <w:guid w:val="{0437C1B5-5AFB-49B3-9E3F-0A43072A1265}"/>
      </w:docPartPr>
      <w:docPartBody>
        <w:p w:rsidR="00FA3D98" w:rsidRDefault="00972409" w:rsidP="00972409">
          <w:pPr>
            <w:pStyle w:val="3A73DCD585224A6B8E4BE74F8CA39B59"/>
          </w:pPr>
          <w:r w:rsidRPr="0058285D">
            <w:rPr>
              <w:rStyle w:val="PlaceholderText"/>
            </w:rPr>
            <w:t>Contents</w:t>
          </w:r>
        </w:p>
      </w:docPartBody>
    </w:docPart>
    <w:docPart>
      <w:docPartPr>
        <w:name w:val="5A8911D070FF4B6382F19CD191EE0B96"/>
        <w:category>
          <w:name w:val="General"/>
          <w:gallery w:val="placeholder"/>
        </w:category>
        <w:types>
          <w:type w:val="bbPlcHdr"/>
        </w:types>
        <w:behaviors>
          <w:behavior w:val="content"/>
        </w:behaviors>
        <w:guid w:val="{DADF21BF-FE01-41C4-AC0D-AD44F7292FEE}"/>
      </w:docPartPr>
      <w:docPartBody>
        <w:p w:rsidR="00FA3D98" w:rsidRDefault="00972409" w:rsidP="00972409">
          <w:pPr>
            <w:pStyle w:val="5A8911D070FF4B6382F19CD191EE0B96"/>
          </w:pPr>
          <w:r w:rsidRPr="0058285D">
            <w:rPr>
              <w:rStyle w:val="PlaceholderText"/>
            </w:rPr>
            <w:t>rpsgroup.com</w:t>
          </w:r>
        </w:p>
      </w:docPartBody>
    </w:docPart>
    <w:docPart>
      <w:docPartPr>
        <w:name w:val="4CB0DD46E7A948F19A2F4713E8288640"/>
        <w:category>
          <w:name w:val="General"/>
          <w:gallery w:val="placeholder"/>
        </w:category>
        <w:types>
          <w:type w:val="bbPlcHdr"/>
        </w:types>
        <w:behaviors>
          <w:behavior w:val="content"/>
        </w:behaviors>
        <w:guid w:val="{DD07A130-808A-40BF-AA90-EB3864AF4067}"/>
      </w:docPartPr>
      <w:docPartBody>
        <w:p w:rsidR="00FA3D98" w:rsidRDefault="00972409" w:rsidP="00972409">
          <w:pPr>
            <w:pStyle w:val="4CB0DD46E7A948F19A2F4713E8288640"/>
          </w:pPr>
          <w:r w:rsidRPr="0058285D">
            <w:rPr>
              <w:rStyle w:val="PlaceholderText"/>
            </w:rPr>
            <w:t>BIM</w:t>
          </w:r>
        </w:p>
      </w:docPartBody>
    </w:docPart>
    <w:docPart>
      <w:docPartPr>
        <w:name w:val="01EF2F4FD4EA4200A3497F540FA6A8EB"/>
        <w:category>
          <w:name w:val="General"/>
          <w:gallery w:val="placeholder"/>
        </w:category>
        <w:types>
          <w:type w:val="bbPlcHdr"/>
        </w:types>
        <w:behaviors>
          <w:behavior w:val="content"/>
        </w:behaviors>
        <w:guid w:val="{69C1BA1F-5AA7-4A62-810B-A0E21AB2A453}"/>
      </w:docPartPr>
      <w:docPartBody>
        <w:p w:rsidR="00FA3D98" w:rsidRDefault="00972409" w:rsidP="00972409">
          <w:pPr>
            <w:pStyle w:val="01EF2F4FD4EA4200A3497F540FA6A8EB"/>
          </w:pPr>
          <w:r w:rsidRPr="0058285D">
            <w:rPr>
              <w:rStyle w:val="PlaceholderText"/>
            </w:rPr>
            <w:t>Click or tap here to enter text.</w:t>
          </w:r>
        </w:p>
      </w:docPartBody>
    </w:docPart>
    <w:docPart>
      <w:docPartPr>
        <w:name w:val="3676B1BC2F6045CC86EE5BBE56CC53ED"/>
        <w:category>
          <w:name w:val="General"/>
          <w:gallery w:val="placeholder"/>
        </w:category>
        <w:types>
          <w:type w:val="bbPlcHdr"/>
        </w:types>
        <w:behaviors>
          <w:behavior w:val="content"/>
        </w:behaviors>
        <w:guid w:val="{11BC2B49-99AD-43AC-996E-E88698387398}"/>
      </w:docPartPr>
      <w:docPartBody>
        <w:p w:rsidR="00FA3D98" w:rsidRDefault="00972409" w:rsidP="00972409">
          <w:pPr>
            <w:pStyle w:val="3676B1BC2F6045CC86EE5BBE56CC53ED"/>
          </w:pPr>
          <w:r w:rsidRPr="0058285D">
            <w:rPr>
              <w:rStyle w:val="PlaceholderText"/>
            </w:rPr>
            <w:t>Contents</w:t>
          </w:r>
        </w:p>
      </w:docPartBody>
    </w:docPart>
    <w:docPart>
      <w:docPartPr>
        <w:name w:val="A7C3EE7042A944A98159CBA70215DF14"/>
        <w:category>
          <w:name w:val="General"/>
          <w:gallery w:val="placeholder"/>
        </w:category>
        <w:types>
          <w:type w:val="bbPlcHdr"/>
        </w:types>
        <w:behaviors>
          <w:behavior w:val="content"/>
        </w:behaviors>
        <w:guid w:val="{A6D77A38-2B6C-423B-8081-CE88A146DAB0}"/>
      </w:docPartPr>
      <w:docPartBody>
        <w:p w:rsidR="00FA3D98" w:rsidRDefault="00972409" w:rsidP="00972409">
          <w:pPr>
            <w:pStyle w:val="A7C3EE7042A944A98159CBA70215DF14"/>
          </w:pPr>
          <w:r w:rsidRPr="0058285D">
            <w:rPr>
              <w:rStyle w:val="PlaceholderText"/>
            </w:rPr>
            <w:t>rpsgroup.com</w:t>
          </w:r>
        </w:p>
      </w:docPartBody>
    </w:docPart>
    <w:docPart>
      <w:docPartPr>
        <w:name w:val="BE0A22B74613413ABE81C2ECC025F247"/>
        <w:category>
          <w:name w:val="General"/>
          <w:gallery w:val="placeholder"/>
        </w:category>
        <w:types>
          <w:type w:val="bbPlcHdr"/>
        </w:types>
        <w:behaviors>
          <w:behavior w:val="content"/>
        </w:behaviors>
        <w:guid w:val="{B47F7340-36F2-4F2E-9BA9-5ECA8ADF4CAF}"/>
      </w:docPartPr>
      <w:docPartBody>
        <w:p w:rsidR="00FA3D98" w:rsidRDefault="00972409" w:rsidP="00972409">
          <w:pPr>
            <w:pStyle w:val="BE0A22B74613413ABE81C2ECC025F247"/>
          </w:pPr>
          <w:r w:rsidRPr="0058285D">
            <w:rPr>
              <w:rStyle w:val="PlaceholderText"/>
            </w:rPr>
            <w:t>BIM</w:t>
          </w:r>
        </w:p>
      </w:docPartBody>
    </w:docPart>
    <w:docPart>
      <w:docPartPr>
        <w:name w:val="AA4E3438FDEA457C8C18A975718C52AD"/>
        <w:category>
          <w:name w:val="General"/>
          <w:gallery w:val="placeholder"/>
        </w:category>
        <w:types>
          <w:type w:val="bbPlcHdr"/>
        </w:types>
        <w:behaviors>
          <w:behavior w:val="content"/>
        </w:behaviors>
        <w:guid w:val="{6FD000CD-E18C-45B7-AC3A-C9B8E2FAD87E}"/>
      </w:docPartPr>
      <w:docPartBody>
        <w:p w:rsidR="00FA3D98" w:rsidRDefault="00972409" w:rsidP="00972409">
          <w:pPr>
            <w:pStyle w:val="AA4E3438FDEA457C8C18A975718C52AD"/>
          </w:pPr>
          <w:r w:rsidRPr="0058285D">
            <w:rPr>
              <w:rStyle w:val="PlaceholderText"/>
            </w:rPr>
            <w:t>Click or tap here to enter text.</w:t>
          </w:r>
        </w:p>
      </w:docPartBody>
    </w:docPart>
    <w:docPart>
      <w:docPartPr>
        <w:name w:val="A31024E3BB1C4D88983BBDA0D0F1C7B9"/>
        <w:category>
          <w:name w:val="General"/>
          <w:gallery w:val="placeholder"/>
        </w:category>
        <w:types>
          <w:type w:val="bbPlcHdr"/>
        </w:types>
        <w:behaviors>
          <w:behavior w:val="content"/>
        </w:behaviors>
        <w:guid w:val="{7A1F835E-5A61-44F5-B4F8-9C29EFBFD08B}"/>
      </w:docPartPr>
      <w:docPartBody>
        <w:p w:rsidR="00FA3D98" w:rsidRDefault="00972409" w:rsidP="00972409">
          <w:pPr>
            <w:pStyle w:val="A31024E3BB1C4D88983BBDA0D0F1C7B9"/>
          </w:pPr>
          <w:r w:rsidRPr="0058285D">
            <w:rPr>
              <w:rStyle w:val="PlaceholderText"/>
            </w:rPr>
            <w:t>Contents</w:t>
          </w:r>
        </w:p>
      </w:docPartBody>
    </w:docPart>
    <w:docPart>
      <w:docPartPr>
        <w:name w:val="FB7D6AA68F004947A7F582501539EAE7"/>
        <w:category>
          <w:name w:val="General"/>
          <w:gallery w:val="placeholder"/>
        </w:category>
        <w:types>
          <w:type w:val="bbPlcHdr"/>
        </w:types>
        <w:behaviors>
          <w:behavior w:val="content"/>
        </w:behaviors>
        <w:guid w:val="{8524812C-7C27-4CD5-B0C9-8188BD0E289C}"/>
      </w:docPartPr>
      <w:docPartBody>
        <w:p w:rsidR="00FA3D98" w:rsidRDefault="00972409" w:rsidP="00972409">
          <w:pPr>
            <w:pStyle w:val="FB7D6AA68F004947A7F582501539EAE7"/>
          </w:pPr>
          <w:r w:rsidRPr="0058285D">
            <w:rPr>
              <w:rStyle w:val="PlaceholderText"/>
            </w:rPr>
            <w:t>rpsgroup.com</w:t>
          </w:r>
        </w:p>
      </w:docPartBody>
    </w:docPart>
    <w:docPart>
      <w:docPartPr>
        <w:name w:val="F0BEB62A871B46928BC98B2934742BB4"/>
        <w:category>
          <w:name w:val="General"/>
          <w:gallery w:val="placeholder"/>
        </w:category>
        <w:types>
          <w:type w:val="bbPlcHdr"/>
        </w:types>
        <w:behaviors>
          <w:behavior w:val="content"/>
        </w:behaviors>
        <w:guid w:val="{7CF5542F-4BFD-42AE-A248-50848BAFF439}"/>
      </w:docPartPr>
      <w:docPartBody>
        <w:p w:rsidR="00FA3D98" w:rsidRDefault="00972409" w:rsidP="00972409">
          <w:pPr>
            <w:pStyle w:val="F0BEB62A871B46928BC98B2934742BB4"/>
          </w:pPr>
          <w:r w:rsidRPr="0058285D">
            <w:rPr>
              <w:rStyle w:val="PlaceholderText"/>
            </w:rPr>
            <w:t>BIM</w:t>
          </w:r>
        </w:p>
      </w:docPartBody>
    </w:docPart>
    <w:docPart>
      <w:docPartPr>
        <w:name w:val="D12ADB805F3949418B85EAC1193873FE"/>
        <w:category>
          <w:name w:val="General"/>
          <w:gallery w:val="placeholder"/>
        </w:category>
        <w:types>
          <w:type w:val="bbPlcHdr"/>
        </w:types>
        <w:behaviors>
          <w:behavior w:val="content"/>
        </w:behaviors>
        <w:guid w:val="{E9431AE5-2709-4C1F-88A7-C3217D5E0F44}"/>
      </w:docPartPr>
      <w:docPartBody>
        <w:p w:rsidR="00FA3D98" w:rsidRDefault="00972409" w:rsidP="00972409">
          <w:pPr>
            <w:pStyle w:val="D12ADB805F3949418B85EAC1193873FE"/>
          </w:pPr>
          <w:r w:rsidRPr="0058285D">
            <w:rPr>
              <w:rStyle w:val="PlaceholderText"/>
            </w:rPr>
            <w:t>Click or tap here to enter text.</w:t>
          </w:r>
        </w:p>
      </w:docPartBody>
    </w:docPart>
    <w:docPart>
      <w:docPartPr>
        <w:name w:val="3F0E3D6FBC1643FC8B6DF72FB7B8899A"/>
        <w:category>
          <w:name w:val="General"/>
          <w:gallery w:val="placeholder"/>
        </w:category>
        <w:types>
          <w:type w:val="bbPlcHdr"/>
        </w:types>
        <w:behaviors>
          <w:behavior w:val="content"/>
        </w:behaviors>
        <w:guid w:val="{EB1D0130-EE35-443D-B3C7-2A8DF8E1FD52}"/>
      </w:docPartPr>
      <w:docPartBody>
        <w:p w:rsidR="00FA3D98" w:rsidRDefault="00972409" w:rsidP="00972409">
          <w:pPr>
            <w:pStyle w:val="3F0E3D6FBC1643FC8B6DF72FB7B8899A"/>
          </w:pPr>
          <w:r w:rsidRPr="0058285D">
            <w:rPr>
              <w:rStyle w:val="PlaceholderText"/>
            </w:rPr>
            <w:t>Contents</w:t>
          </w:r>
        </w:p>
      </w:docPartBody>
    </w:docPart>
    <w:docPart>
      <w:docPartPr>
        <w:name w:val="54DBF0DA81EA4F759F743CD217E739C4"/>
        <w:category>
          <w:name w:val="General"/>
          <w:gallery w:val="placeholder"/>
        </w:category>
        <w:types>
          <w:type w:val="bbPlcHdr"/>
        </w:types>
        <w:behaviors>
          <w:behavior w:val="content"/>
        </w:behaviors>
        <w:guid w:val="{EFE733B4-AE3D-4CF9-A3BA-A6D686F119E9}"/>
      </w:docPartPr>
      <w:docPartBody>
        <w:p w:rsidR="00FA3D98" w:rsidRDefault="00972409" w:rsidP="00972409">
          <w:pPr>
            <w:pStyle w:val="54DBF0DA81EA4F759F743CD217E739C4"/>
          </w:pPr>
          <w:r w:rsidRPr="0058285D">
            <w:rPr>
              <w:rStyle w:val="PlaceholderText"/>
            </w:rPr>
            <w:t>rpsgroup.com</w:t>
          </w:r>
        </w:p>
      </w:docPartBody>
    </w:docPart>
    <w:docPart>
      <w:docPartPr>
        <w:name w:val="B99F44035AD444D08909ADF0A6278C38"/>
        <w:category>
          <w:name w:val="General"/>
          <w:gallery w:val="placeholder"/>
        </w:category>
        <w:types>
          <w:type w:val="bbPlcHdr"/>
        </w:types>
        <w:behaviors>
          <w:behavior w:val="content"/>
        </w:behaviors>
        <w:guid w:val="{5EDAD386-08D1-4513-BACC-85780D475A99}"/>
      </w:docPartPr>
      <w:docPartBody>
        <w:p w:rsidR="00FA3D98" w:rsidRDefault="00972409" w:rsidP="00972409">
          <w:pPr>
            <w:pStyle w:val="B99F44035AD444D08909ADF0A6278C38"/>
          </w:pPr>
          <w:r w:rsidRPr="0058285D">
            <w:rPr>
              <w:rStyle w:val="PlaceholderText"/>
            </w:rPr>
            <w:t>BIM</w:t>
          </w:r>
        </w:p>
      </w:docPartBody>
    </w:docPart>
    <w:docPart>
      <w:docPartPr>
        <w:name w:val="4BA385042D694FF39C0456DFEC4FCF9E"/>
        <w:category>
          <w:name w:val="General"/>
          <w:gallery w:val="placeholder"/>
        </w:category>
        <w:types>
          <w:type w:val="bbPlcHdr"/>
        </w:types>
        <w:behaviors>
          <w:behavior w:val="content"/>
        </w:behaviors>
        <w:guid w:val="{D17A16EA-010D-43EE-AB3E-4A1BC9CDB529}"/>
      </w:docPartPr>
      <w:docPartBody>
        <w:p w:rsidR="00FA3D98" w:rsidRDefault="00972409" w:rsidP="00972409">
          <w:pPr>
            <w:pStyle w:val="4BA385042D694FF39C0456DFEC4FCF9E"/>
          </w:pPr>
          <w:r w:rsidRPr="0058285D">
            <w:rPr>
              <w:rStyle w:val="PlaceholderText"/>
            </w:rPr>
            <w:t>Click or tap here to enter text.</w:t>
          </w:r>
        </w:p>
      </w:docPartBody>
    </w:docPart>
    <w:docPart>
      <w:docPartPr>
        <w:name w:val="FED202BA14EC44F7BE0934FE425617D7"/>
        <w:category>
          <w:name w:val="General"/>
          <w:gallery w:val="placeholder"/>
        </w:category>
        <w:types>
          <w:type w:val="bbPlcHdr"/>
        </w:types>
        <w:behaviors>
          <w:behavior w:val="content"/>
        </w:behaviors>
        <w:guid w:val="{4FBF2F76-24F3-48FC-89CB-E797FB8CF7F3}"/>
      </w:docPartPr>
      <w:docPartBody>
        <w:p w:rsidR="00FA3D98" w:rsidRDefault="00972409" w:rsidP="00972409">
          <w:pPr>
            <w:pStyle w:val="FED202BA14EC44F7BE0934FE425617D7"/>
          </w:pPr>
          <w:r w:rsidRPr="0058285D">
            <w:rPr>
              <w:rStyle w:val="PlaceholderText"/>
            </w:rPr>
            <w:t>Contents</w:t>
          </w:r>
        </w:p>
      </w:docPartBody>
    </w:docPart>
    <w:docPart>
      <w:docPartPr>
        <w:name w:val="2DE9A784D1704947A4C1C565B799853D"/>
        <w:category>
          <w:name w:val="General"/>
          <w:gallery w:val="placeholder"/>
        </w:category>
        <w:types>
          <w:type w:val="bbPlcHdr"/>
        </w:types>
        <w:behaviors>
          <w:behavior w:val="content"/>
        </w:behaviors>
        <w:guid w:val="{31D150BA-F6B3-41F0-8A7F-94061F28DE97}"/>
      </w:docPartPr>
      <w:docPartBody>
        <w:p w:rsidR="00FA3D98" w:rsidRDefault="00972409" w:rsidP="00972409">
          <w:pPr>
            <w:pStyle w:val="2DE9A784D1704947A4C1C565B799853D"/>
          </w:pPr>
          <w:r w:rsidRPr="0058285D">
            <w:rPr>
              <w:rStyle w:val="PlaceholderText"/>
            </w:rPr>
            <w:t>rpsgroup.com</w:t>
          </w:r>
        </w:p>
      </w:docPartBody>
    </w:docPart>
    <w:docPart>
      <w:docPartPr>
        <w:name w:val="102482D302F945D3AD6A0A762D6C17B8"/>
        <w:category>
          <w:name w:val="General"/>
          <w:gallery w:val="placeholder"/>
        </w:category>
        <w:types>
          <w:type w:val="bbPlcHdr"/>
        </w:types>
        <w:behaviors>
          <w:behavior w:val="content"/>
        </w:behaviors>
        <w:guid w:val="{DB8FFCD8-361E-4EF5-BCE8-0380A28FB1BF}"/>
      </w:docPartPr>
      <w:docPartBody>
        <w:p w:rsidR="00FA3D98" w:rsidRDefault="00972409" w:rsidP="00972409">
          <w:pPr>
            <w:pStyle w:val="102482D302F945D3AD6A0A762D6C17B8"/>
          </w:pPr>
          <w:r w:rsidRPr="0058285D">
            <w:rPr>
              <w:rStyle w:val="PlaceholderText"/>
            </w:rPr>
            <w:t>BIM</w:t>
          </w:r>
        </w:p>
      </w:docPartBody>
    </w:docPart>
    <w:docPart>
      <w:docPartPr>
        <w:name w:val="C3A15F1AEA5A4476964EFBDA567A6B25"/>
        <w:category>
          <w:name w:val="General"/>
          <w:gallery w:val="placeholder"/>
        </w:category>
        <w:types>
          <w:type w:val="bbPlcHdr"/>
        </w:types>
        <w:behaviors>
          <w:behavior w:val="content"/>
        </w:behaviors>
        <w:guid w:val="{7458844D-A829-4B92-8B90-A35F8B3E962B}"/>
      </w:docPartPr>
      <w:docPartBody>
        <w:p w:rsidR="00FA3D98" w:rsidRDefault="00972409" w:rsidP="00972409">
          <w:pPr>
            <w:pStyle w:val="C3A15F1AEA5A4476964EFBDA567A6B25"/>
          </w:pPr>
          <w:r w:rsidRPr="0058285D">
            <w:rPr>
              <w:rStyle w:val="PlaceholderText"/>
            </w:rPr>
            <w:t>Click or tap here to enter text.</w:t>
          </w:r>
        </w:p>
      </w:docPartBody>
    </w:docPart>
    <w:docPart>
      <w:docPartPr>
        <w:name w:val="C7F83E53294641D2BF12CD93116B2DF6"/>
        <w:category>
          <w:name w:val="General"/>
          <w:gallery w:val="placeholder"/>
        </w:category>
        <w:types>
          <w:type w:val="bbPlcHdr"/>
        </w:types>
        <w:behaviors>
          <w:behavior w:val="content"/>
        </w:behaviors>
        <w:guid w:val="{8BCB63EA-C255-49D2-8C0D-D5F228484C8F}"/>
      </w:docPartPr>
      <w:docPartBody>
        <w:p w:rsidR="00FA3D98" w:rsidRDefault="00972409" w:rsidP="00972409">
          <w:pPr>
            <w:pStyle w:val="C7F83E53294641D2BF12CD93116B2DF6"/>
          </w:pPr>
          <w:r w:rsidRPr="0058285D">
            <w:rPr>
              <w:rStyle w:val="PlaceholderText"/>
            </w:rPr>
            <w:t>Contents</w:t>
          </w:r>
        </w:p>
      </w:docPartBody>
    </w:docPart>
    <w:docPart>
      <w:docPartPr>
        <w:name w:val="1CFEF76733E74798B16DCE0B02E388D8"/>
        <w:category>
          <w:name w:val="General"/>
          <w:gallery w:val="placeholder"/>
        </w:category>
        <w:types>
          <w:type w:val="bbPlcHdr"/>
        </w:types>
        <w:behaviors>
          <w:behavior w:val="content"/>
        </w:behaviors>
        <w:guid w:val="{31036862-7370-4824-B828-D55AE2D82F8A}"/>
      </w:docPartPr>
      <w:docPartBody>
        <w:p w:rsidR="00FA3D98" w:rsidRDefault="00972409" w:rsidP="00972409">
          <w:pPr>
            <w:pStyle w:val="1CFEF76733E74798B16DCE0B02E388D8"/>
          </w:pPr>
          <w:r w:rsidRPr="0058285D">
            <w:rPr>
              <w:rStyle w:val="PlaceholderText"/>
            </w:rPr>
            <w:t>rpsgroup.com</w:t>
          </w:r>
        </w:p>
      </w:docPartBody>
    </w:docPart>
    <w:docPart>
      <w:docPartPr>
        <w:name w:val="47FA25DED8214565A50AC76A650BFB0D"/>
        <w:category>
          <w:name w:val="General"/>
          <w:gallery w:val="placeholder"/>
        </w:category>
        <w:types>
          <w:type w:val="bbPlcHdr"/>
        </w:types>
        <w:behaviors>
          <w:behavior w:val="content"/>
        </w:behaviors>
        <w:guid w:val="{79DD3360-826B-479C-960A-B8BE8F539C53}"/>
      </w:docPartPr>
      <w:docPartBody>
        <w:p w:rsidR="00FA3D98" w:rsidRDefault="00972409" w:rsidP="00972409">
          <w:pPr>
            <w:pStyle w:val="47FA25DED8214565A50AC76A650BFB0D"/>
          </w:pPr>
          <w:r w:rsidRPr="0058285D">
            <w:rPr>
              <w:rStyle w:val="PlaceholderText"/>
            </w:rPr>
            <w:t>BIM</w:t>
          </w:r>
        </w:p>
      </w:docPartBody>
    </w:docPart>
    <w:docPart>
      <w:docPartPr>
        <w:name w:val="E2E25864B5DC4303895A9D602790E4EB"/>
        <w:category>
          <w:name w:val="General"/>
          <w:gallery w:val="placeholder"/>
        </w:category>
        <w:types>
          <w:type w:val="bbPlcHdr"/>
        </w:types>
        <w:behaviors>
          <w:behavior w:val="content"/>
        </w:behaviors>
        <w:guid w:val="{8916A2AD-E7AC-440B-B57F-D74EBD97482F}"/>
      </w:docPartPr>
      <w:docPartBody>
        <w:p w:rsidR="00FA3D98" w:rsidRDefault="00972409" w:rsidP="00972409">
          <w:pPr>
            <w:pStyle w:val="E2E25864B5DC4303895A9D602790E4EB"/>
          </w:pPr>
          <w:r w:rsidRPr="0058285D">
            <w:rPr>
              <w:rStyle w:val="PlaceholderText"/>
            </w:rPr>
            <w:t>Click or tap here to enter text.</w:t>
          </w:r>
        </w:p>
      </w:docPartBody>
    </w:docPart>
    <w:docPart>
      <w:docPartPr>
        <w:name w:val="5C5BD3D9FCEC4434A61470559F5C7339"/>
        <w:category>
          <w:name w:val="General"/>
          <w:gallery w:val="placeholder"/>
        </w:category>
        <w:types>
          <w:type w:val="bbPlcHdr"/>
        </w:types>
        <w:behaviors>
          <w:behavior w:val="content"/>
        </w:behaviors>
        <w:guid w:val="{CB63467C-F900-4F20-BE56-9FC5621A377B}"/>
      </w:docPartPr>
      <w:docPartBody>
        <w:p w:rsidR="00FA3D98" w:rsidRDefault="00972409" w:rsidP="00972409">
          <w:pPr>
            <w:pStyle w:val="5C5BD3D9FCEC4434A61470559F5C7339"/>
          </w:pPr>
          <w:r w:rsidRPr="0058285D">
            <w:rPr>
              <w:rStyle w:val="PlaceholderText"/>
            </w:rPr>
            <w:t>Contents</w:t>
          </w:r>
        </w:p>
      </w:docPartBody>
    </w:docPart>
    <w:docPart>
      <w:docPartPr>
        <w:name w:val="9B16CFCD0D3B47239E8401FA4B39B3C7"/>
        <w:category>
          <w:name w:val="General"/>
          <w:gallery w:val="placeholder"/>
        </w:category>
        <w:types>
          <w:type w:val="bbPlcHdr"/>
        </w:types>
        <w:behaviors>
          <w:behavior w:val="content"/>
        </w:behaviors>
        <w:guid w:val="{3ED17EFD-145B-4581-AE47-9E8FF0723C76}"/>
      </w:docPartPr>
      <w:docPartBody>
        <w:p w:rsidR="00FA3D98" w:rsidRDefault="00972409" w:rsidP="00972409">
          <w:pPr>
            <w:pStyle w:val="9B16CFCD0D3B47239E8401FA4B39B3C7"/>
          </w:pPr>
          <w:r w:rsidRPr="0058285D">
            <w:rPr>
              <w:rStyle w:val="PlaceholderText"/>
            </w:rPr>
            <w:t>rpsgroup.com</w:t>
          </w:r>
        </w:p>
      </w:docPartBody>
    </w:docPart>
    <w:docPart>
      <w:docPartPr>
        <w:name w:val="7C439E0C82CF4BAAAC40530712AC8689"/>
        <w:category>
          <w:name w:val="General"/>
          <w:gallery w:val="placeholder"/>
        </w:category>
        <w:types>
          <w:type w:val="bbPlcHdr"/>
        </w:types>
        <w:behaviors>
          <w:behavior w:val="content"/>
        </w:behaviors>
        <w:guid w:val="{CFC5F0DC-D2EB-4403-AEDE-8B28A00519C9}"/>
      </w:docPartPr>
      <w:docPartBody>
        <w:p w:rsidR="00FA3D98" w:rsidRDefault="00972409" w:rsidP="00972409">
          <w:pPr>
            <w:pStyle w:val="7C439E0C82CF4BAAAC40530712AC8689"/>
          </w:pPr>
          <w:r w:rsidRPr="0058285D">
            <w:rPr>
              <w:rStyle w:val="PlaceholderText"/>
            </w:rPr>
            <w:t>BIM</w:t>
          </w:r>
        </w:p>
      </w:docPartBody>
    </w:docPart>
    <w:docPart>
      <w:docPartPr>
        <w:name w:val="CA5066D48D5341F6A11BB779EE0EB916"/>
        <w:category>
          <w:name w:val="General"/>
          <w:gallery w:val="placeholder"/>
        </w:category>
        <w:types>
          <w:type w:val="bbPlcHdr"/>
        </w:types>
        <w:behaviors>
          <w:behavior w:val="content"/>
        </w:behaviors>
        <w:guid w:val="{A78C4ABA-1819-459E-AC04-570101D283E7}"/>
      </w:docPartPr>
      <w:docPartBody>
        <w:p w:rsidR="00FA3D98" w:rsidRDefault="00972409" w:rsidP="00972409">
          <w:pPr>
            <w:pStyle w:val="CA5066D48D5341F6A11BB779EE0EB916"/>
          </w:pPr>
          <w:r w:rsidRPr="0058285D">
            <w:rPr>
              <w:rStyle w:val="PlaceholderText"/>
            </w:rPr>
            <w:t>Click or tap here to enter text.</w:t>
          </w:r>
        </w:p>
      </w:docPartBody>
    </w:docPart>
    <w:docPart>
      <w:docPartPr>
        <w:name w:val="25BC7A26859E48FBB4DA49AA0795D2E7"/>
        <w:category>
          <w:name w:val="General"/>
          <w:gallery w:val="placeholder"/>
        </w:category>
        <w:types>
          <w:type w:val="bbPlcHdr"/>
        </w:types>
        <w:behaviors>
          <w:behavior w:val="content"/>
        </w:behaviors>
        <w:guid w:val="{7F507965-4C69-4C23-9802-A25348FDFB3A}"/>
      </w:docPartPr>
      <w:docPartBody>
        <w:p w:rsidR="00FA3D98" w:rsidRDefault="00972409" w:rsidP="00972409">
          <w:pPr>
            <w:pStyle w:val="25BC7A26859E48FBB4DA49AA0795D2E7"/>
          </w:pPr>
          <w:r w:rsidRPr="0058285D">
            <w:rPr>
              <w:rStyle w:val="PlaceholderText"/>
            </w:rPr>
            <w:t>Contents</w:t>
          </w:r>
        </w:p>
      </w:docPartBody>
    </w:docPart>
    <w:docPart>
      <w:docPartPr>
        <w:name w:val="8D24A6DD304F443F8212986F1C4CEABB"/>
        <w:category>
          <w:name w:val="General"/>
          <w:gallery w:val="placeholder"/>
        </w:category>
        <w:types>
          <w:type w:val="bbPlcHdr"/>
        </w:types>
        <w:behaviors>
          <w:behavior w:val="content"/>
        </w:behaviors>
        <w:guid w:val="{E530E5D9-7BED-40C6-BFE9-9CF552C560A9}"/>
      </w:docPartPr>
      <w:docPartBody>
        <w:p w:rsidR="00FA3D98" w:rsidRDefault="00972409" w:rsidP="00972409">
          <w:pPr>
            <w:pStyle w:val="8D24A6DD304F443F8212986F1C4CEABB"/>
          </w:pPr>
          <w:r w:rsidRPr="0058285D">
            <w:rPr>
              <w:rStyle w:val="PlaceholderText"/>
            </w:rPr>
            <w:t>rpsgroup.com</w:t>
          </w:r>
        </w:p>
      </w:docPartBody>
    </w:docPart>
    <w:docPart>
      <w:docPartPr>
        <w:name w:val="116A7CA1E3494DB28927E35219846F84"/>
        <w:category>
          <w:name w:val="General"/>
          <w:gallery w:val="placeholder"/>
        </w:category>
        <w:types>
          <w:type w:val="bbPlcHdr"/>
        </w:types>
        <w:behaviors>
          <w:behavior w:val="content"/>
        </w:behaviors>
        <w:guid w:val="{EB37D9A3-2873-4F89-8115-DDE728B4247D}"/>
      </w:docPartPr>
      <w:docPartBody>
        <w:p w:rsidR="00FA3D98" w:rsidRDefault="00972409" w:rsidP="00972409">
          <w:pPr>
            <w:pStyle w:val="116A7CA1E3494DB28927E35219846F84"/>
          </w:pPr>
          <w:r w:rsidRPr="0058285D">
            <w:rPr>
              <w:rStyle w:val="PlaceholderText"/>
            </w:rPr>
            <w:t>BIM</w:t>
          </w:r>
        </w:p>
      </w:docPartBody>
    </w:docPart>
    <w:docPart>
      <w:docPartPr>
        <w:name w:val="3FEF3B8240F74339B866239AACA9E89C"/>
        <w:category>
          <w:name w:val="General"/>
          <w:gallery w:val="placeholder"/>
        </w:category>
        <w:types>
          <w:type w:val="bbPlcHdr"/>
        </w:types>
        <w:behaviors>
          <w:behavior w:val="content"/>
        </w:behaviors>
        <w:guid w:val="{27FB81B3-4D36-4C46-937F-CDF3A23B8763}"/>
      </w:docPartPr>
      <w:docPartBody>
        <w:p w:rsidR="00FA3D98" w:rsidRDefault="00972409" w:rsidP="00972409">
          <w:pPr>
            <w:pStyle w:val="3FEF3B8240F74339B866239AACA9E89C"/>
          </w:pPr>
          <w:r w:rsidRPr="0058285D">
            <w:rPr>
              <w:rStyle w:val="PlaceholderText"/>
            </w:rPr>
            <w:t>Click or tap here to enter text.</w:t>
          </w:r>
        </w:p>
      </w:docPartBody>
    </w:docPart>
    <w:docPart>
      <w:docPartPr>
        <w:name w:val="33D8A764A54040908988226AAA0C5E47"/>
        <w:category>
          <w:name w:val="General"/>
          <w:gallery w:val="placeholder"/>
        </w:category>
        <w:types>
          <w:type w:val="bbPlcHdr"/>
        </w:types>
        <w:behaviors>
          <w:behavior w:val="content"/>
        </w:behaviors>
        <w:guid w:val="{69E21EC4-6370-4D99-87D7-70D4CDB4B90C}"/>
      </w:docPartPr>
      <w:docPartBody>
        <w:p w:rsidR="00FA3D98" w:rsidRDefault="00972409" w:rsidP="00972409">
          <w:pPr>
            <w:pStyle w:val="33D8A764A54040908988226AAA0C5E47"/>
          </w:pPr>
          <w:r w:rsidRPr="0058285D">
            <w:rPr>
              <w:rStyle w:val="PlaceholderText"/>
            </w:rPr>
            <w:t>Contents</w:t>
          </w:r>
        </w:p>
      </w:docPartBody>
    </w:docPart>
    <w:docPart>
      <w:docPartPr>
        <w:name w:val="FF6523A0BE854D8A88976E8A12C6CB66"/>
        <w:category>
          <w:name w:val="General"/>
          <w:gallery w:val="placeholder"/>
        </w:category>
        <w:types>
          <w:type w:val="bbPlcHdr"/>
        </w:types>
        <w:behaviors>
          <w:behavior w:val="content"/>
        </w:behaviors>
        <w:guid w:val="{1E3E2BA8-DC13-4C4E-8C17-6CA32540C753}"/>
      </w:docPartPr>
      <w:docPartBody>
        <w:p w:rsidR="00FA3D98" w:rsidRDefault="00972409" w:rsidP="00972409">
          <w:pPr>
            <w:pStyle w:val="FF6523A0BE854D8A88976E8A12C6CB66"/>
          </w:pPr>
          <w:r w:rsidRPr="0058285D">
            <w:rPr>
              <w:rStyle w:val="PlaceholderText"/>
            </w:rPr>
            <w:t>rpsgroup.com</w:t>
          </w:r>
        </w:p>
      </w:docPartBody>
    </w:docPart>
    <w:docPart>
      <w:docPartPr>
        <w:name w:val="0199B88A616049D8BF3CA96C1B7E46E2"/>
        <w:category>
          <w:name w:val="General"/>
          <w:gallery w:val="placeholder"/>
        </w:category>
        <w:types>
          <w:type w:val="bbPlcHdr"/>
        </w:types>
        <w:behaviors>
          <w:behavior w:val="content"/>
        </w:behaviors>
        <w:guid w:val="{E43B752C-E178-4C5E-A876-67D420A52A9C}"/>
      </w:docPartPr>
      <w:docPartBody>
        <w:p w:rsidR="00FA3D98" w:rsidRDefault="00972409" w:rsidP="00972409">
          <w:pPr>
            <w:pStyle w:val="0199B88A616049D8BF3CA96C1B7E46E2"/>
          </w:pPr>
          <w:r w:rsidRPr="0058285D">
            <w:rPr>
              <w:rStyle w:val="PlaceholderText"/>
            </w:rPr>
            <w:t>BIM</w:t>
          </w:r>
        </w:p>
      </w:docPartBody>
    </w:docPart>
    <w:docPart>
      <w:docPartPr>
        <w:name w:val="C7397135FD984DAC9C9D2BFF51306508"/>
        <w:category>
          <w:name w:val="General"/>
          <w:gallery w:val="placeholder"/>
        </w:category>
        <w:types>
          <w:type w:val="bbPlcHdr"/>
        </w:types>
        <w:behaviors>
          <w:behavior w:val="content"/>
        </w:behaviors>
        <w:guid w:val="{E0408128-594A-4E5A-AB34-472B465CD54B}"/>
      </w:docPartPr>
      <w:docPartBody>
        <w:p w:rsidR="00FA3D98" w:rsidRDefault="00972409" w:rsidP="00972409">
          <w:pPr>
            <w:pStyle w:val="C7397135FD984DAC9C9D2BFF51306508"/>
          </w:pPr>
          <w:r w:rsidRPr="0058285D">
            <w:rPr>
              <w:rStyle w:val="PlaceholderText"/>
            </w:rPr>
            <w:t>Click or tap here to enter text.</w:t>
          </w:r>
        </w:p>
      </w:docPartBody>
    </w:docPart>
    <w:docPart>
      <w:docPartPr>
        <w:name w:val="66C017FBDFBF42F28AEA057A4B835457"/>
        <w:category>
          <w:name w:val="General"/>
          <w:gallery w:val="placeholder"/>
        </w:category>
        <w:types>
          <w:type w:val="bbPlcHdr"/>
        </w:types>
        <w:behaviors>
          <w:behavior w:val="content"/>
        </w:behaviors>
        <w:guid w:val="{A5E23873-C4D0-49E4-9E36-E3CD8AE296B2}"/>
      </w:docPartPr>
      <w:docPartBody>
        <w:p w:rsidR="00FA3D98" w:rsidRDefault="00972409" w:rsidP="00972409">
          <w:pPr>
            <w:pStyle w:val="66C017FBDFBF42F28AEA057A4B835457"/>
          </w:pPr>
          <w:r w:rsidRPr="0058285D">
            <w:rPr>
              <w:rStyle w:val="PlaceholderText"/>
            </w:rPr>
            <w:t>Contents</w:t>
          </w:r>
        </w:p>
      </w:docPartBody>
    </w:docPart>
    <w:docPart>
      <w:docPartPr>
        <w:name w:val="A4615969D4F94E48B5EC70918FD5AAEB"/>
        <w:category>
          <w:name w:val="General"/>
          <w:gallery w:val="placeholder"/>
        </w:category>
        <w:types>
          <w:type w:val="bbPlcHdr"/>
        </w:types>
        <w:behaviors>
          <w:behavior w:val="content"/>
        </w:behaviors>
        <w:guid w:val="{8C43C3F0-3CD4-4459-99DF-52DA89EB3D5C}"/>
      </w:docPartPr>
      <w:docPartBody>
        <w:p w:rsidR="00FA3D98" w:rsidRDefault="00972409" w:rsidP="00972409">
          <w:pPr>
            <w:pStyle w:val="A4615969D4F94E48B5EC70918FD5AAEB"/>
          </w:pPr>
          <w:r w:rsidRPr="0058285D">
            <w:rPr>
              <w:rStyle w:val="PlaceholderText"/>
            </w:rPr>
            <w:t>rpsgroup.com</w:t>
          </w:r>
        </w:p>
      </w:docPartBody>
    </w:docPart>
    <w:docPart>
      <w:docPartPr>
        <w:name w:val="A9878763406D49F1A36820DE1E4EBF2C"/>
        <w:category>
          <w:name w:val="General"/>
          <w:gallery w:val="placeholder"/>
        </w:category>
        <w:types>
          <w:type w:val="bbPlcHdr"/>
        </w:types>
        <w:behaviors>
          <w:behavior w:val="content"/>
        </w:behaviors>
        <w:guid w:val="{260C62A6-4774-4A00-9145-8972A18A2984}"/>
      </w:docPartPr>
      <w:docPartBody>
        <w:p w:rsidR="00FA3D98" w:rsidRDefault="00972409" w:rsidP="00972409">
          <w:pPr>
            <w:pStyle w:val="A9878763406D49F1A36820DE1E4EBF2C"/>
          </w:pPr>
          <w:r w:rsidRPr="0058285D">
            <w:rPr>
              <w:rStyle w:val="PlaceholderText"/>
            </w:rPr>
            <w:t>BIM</w:t>
          </w:r>
        </w:p>
      </w:docPartBody>
    </w:docPart>
    <w:docPart>
      <w:docPartPr>
        <w:name w:val="C2FECBA9F0B7435EA0F51BF55B854DFE"/>
        <w:category>
          <w:name w:val="General"/>
          <w:gallery w:val="placeholder"/>
        </w:category>
        <w:types>
          <w:type w:val="bbPlcHdr"/>
        </w:types>
        <w:behaviors>
          <w:behavior w:val="content"/>
        </w:behaviors>
        <w:guid w:val="{93CDA2AB-A49C-40FA-9B62-98D751502486}"/>
      </w:docPartPr>
      <w:docPartBody>
        <w:p w:rsidR="00FA3D98" w:rsidRDefault="00972409" w:rsidP="00972409">
          <w:pPr>
            <w:pStyle w:val="C2FECBA9F0B7435EA0F51BF55B854DFE"/>
          </w:pPr>
          <w:r w:rsidRPr="0058285D">
            <w:rPr>
              <w:rStyle w:val="PlaceholderText"/>
            </w:rPr>
            <w:t>Click or tap here to enter text.</w:t>
          </w:r>
        </w:p>
      </w:docPartBody>
    </w:docPart>
    <w:docPart>
      <w:docPartPr>
        <w:name w:val="D8B19B7CD22544A881F515E23C4B49DD"/>
        <w:category>
          <w:name w:val="General"/>
          <w:gallery w:val="placeholder"/>
        </w:category>
        <w:types>
          <w:type w:val="bbPlcHdr"/>
        </w:types>
        <w:behaviors>
          <w:behavior w:val="content"/>
        </w:behaviors>
        <w:guid w:val="{D7D7036C-5F6F-471A-974E-55DAD3D7CACA}"/>
      </w:docPartPr>
      <w:docPartBody>
        <w:p w:rsidR="00FA3D98" w:rsidRDefault="00972409" w:rsidP="00972409">
          <w:pPr>
            <w:pStyle w:val="D8B19B7CD22544A881F515E23C4B49DD"/>
          </w:pPr>
          <w:r w:rsidRPr="0058285D">
            <w:rPr>
              <w:rStyle w:val="PlaceholderText"/>
            </w:rPr>
            <w:t>Contents</w:t>
          </w:r>
        </w:p>
      </w:docPartBody>
    </w:docPart>
    <w:docPart>
      <w:docPartPr>
        <w:name w:val="824859810D6D431099A9E11CD4AE9C14"/>
        <w:category>
          <w:name w:val="General"/>
          <w:gallery w:val="placeholder"/>
        </w:category>
        <w:types>
          <w:type w:val="bbPlcHdr"/>
        </w:types>
        <w:behaviors>
          <w:behavior w:val="content"/>
        </w:behaviors>
        <w:guid w:val="{CF60D430-056F-43CF-90DE-9F1D6EC6CC35}"/>
      </w:docPartPr>
      <w:docPartBody>
        <w:p w:rsidR="00FA3D98" w:rsidRDefault="00972409" w:rsidP="00972409">
          <w:pPr>
            <w:pStyle w:val="824859810D6D431099A9E11CD4AE9C14"/>
          </w:pPr>
          <w:r w:rsidRPr="0058285D">
            <w:rPr>
              <w:rStyle w:val="PlaceholderText"/>
            </w:rPr>
            <w:t>rpsgroup.com</w:t>
          </w:r>
        </w:p>
      </w:docPartBody>
    </w:docPart>
    <w:docPart>
      <w:docPartPr>
        <w:name w:val="8D779369B15E40C4A402894F8214434B"/>
        <w:category>
          <w:name w:val="General"/>
          <w:gallery w:val="placeholder"/>
        </w:category>
        <w:types>
          <w:type w:val="bbPlcHdr"/>
        </w:types>
        <w:behaviors>
          <w:behavior w:val="content"/>
        </w:behaviors>
        <w:guid w:val="{83AD0A8C-35EE-4D9E-A3EA-F958AEF75F20}"/>
      </w:docPartPr>
      <w:docPartBody>
        <w:p w:rsidR="00FA3D98" w:rsidRDefault="00972409" w:rsidP="00972409">
          <w:pPr>
            <w:pStyle w:val="8D779369B15E40C4A402894F8214434B"/>
          </w:pPr>
          <w:r w:rsidRPr="0058285D">
            <w:rPr>
              <w:rStyle w:val="PlaceholderText"/>
            </w:rPr>
            <w:t>BIM</w:t>
          </w:r>
        </w:p>
      </w:docPartBody>
    </w:docPart>
    <w:docPart>
      <w:docPartPr>
        <w:name w:val="F5F2C2EB8B09424D86B8FC7FF092F556"/>
        <w:category>
          <w:name w:val="General"/>
          <w:gallery w:val="placeholder"/>
        </w:category>
        <w:types>
          <w:type w:val="bbPlcHdr"/>
        </w:types>
        <w:behaviors>
          <w:behavior w:val="content"/>
        </w:behaviors>
        <w:guid w:val="{8E80CF60-55FB-49B4-B5BD-5326D9E3768F}"/>
      </w:docPartPr>
      <w:docPartBody>
        <w:p w:rsidR="00FA3D98" w:rsidRDefault="00972409" w:rsidP="00972409">
          <w:pPr>
            <w:pStyle w:val="F5F2C2EB8B09424D86B8FC7FF092F556"/>
          </w:pPr>
          <w:r w:rsidRPr="0058285D">
            <w:rPr>
              <w:rStyle w:val="PlaceholderText"/>
            </w:rPr>
            <w:t>Click or tap here to enter text.</w:t>
          </w:r>
        </w:p>
      </w:docPartBody>
    </w:docPart>
    <w:docPart>
      <w:docPartPr>
        <w:name w:val="E8B48165A32D4416B900FD761A0EAF32"/>
        <w:category>
          <w:name w:val="General"/>
          <w:gallery w:val="placeholder"/>
        </w:category>
        <w:types>
          <w:type w:val="bbPlcHdr"/>
        </w:types>
        <w:behaviors>
          <w:behavior w:val="content"/>
        </w:behaviors>
        <w:guid w:val="{00FF3289-C53F-46D1-BCF1-8C9F982DB6B1}"/>
      </w:docPartPr>
      <w:docPartBody>
        <w:p w:rsidR="00FA3D98" w:rsidRDefault="00972409" w:rsidP="00972409">
          <w:pPr>
            <w:pStyle w:val="E8B48165A32D4416B900FD761A0EAF32"/>
          </w:pPr>
          <w:r w:rsidRPr="0058285D">
            <w:rPr>
              <w:rStyle w:val="PlaceholderText"/>
            </w:rPr>
            <w:t>Contents</w:t>
          </w:r>
        </w:p>
      </w:docPartBody>
    </w:docPart>
    <w:docPart>
      <w:docPartPr>
        <w:name w:val="DB149E532DF74161A2CA217BC47E3290"/>
        <w:category>
          <w:name w:val="General"/>
          <w:gallery w:val="placeholder"/>
        </w:category>
        <w:types>
          <w:type w:val="bbPlcHdr"/>
        </w:types>
        <w:behaviors>
          <w:behavior w:val="content"/>
        </w:behaviors>
        <w:guid w:val="{AEF5A351-32BA-46E6-ABDB-C03225003369}"/>
      </w:docPartPr>
      <w:docPartBody>
        <w:p w:rsidR="00FA3D98" w:rsidRDefault="00972409" w:rsidP="00972409">
          <w:pPr>
            <w:pStyle w:val="DB149E532DF74161A2CA217BC47E3290"/>
          </w:pPr>
          <w:r w:rsidRPr="0058285D">
            <w:rPr>
              <w:rStyle w:val="PlaceholderText"/>
            </w:rPr>
            <w:t>rpsgroup.com</w:t>
          </w:r>
        </w:p>
      </w:docPartBody>
    </w:docPart>
    <w:docPart>
      <w:docPartPr>
        <w:name w:val="C344D0D4351544FEB80D0670F7C197BC"/>
        <w:category>
          <w:name w:val="General"/>
          <w:gallery w:val="placeholder"/>
        </w:category>
        <w:types>
          <w:type w:val="bbPlcHdr"/>
        </w:types>
        <w:behaviors>
          <w:behavior w:val="content"/>
        </w:behaviors>
        <w:guid w:val="{DC4FEA44-98CD-430A-8F48-9357D5F0FD9F}"/>
      </w:docPartPr>
      <w:docPartBody>
        <w:p w:rsidR="00FA3D98" w:rsidRDefault="00972409" w:rsidP="00972409">
          <w:pPr>
            <w:pStyle w:val="C344D0D4351544FEB80D0670F7C197BC"/>
          </w:pPr>
          <w:r w:rsidRPr="0058285D">
            <w:rPr>
              <w:rStyle w:val="PlaceholderText"/>
            </w:rPr>
            <w:t>BIM</w:t>
          </w:r>
        </w:p>
      </w:docPartBody>
    </w:docPart>
    <w:docPart>
      <w:docPartPr>
        <w:name w:val="76E0167BC09047709AD21596704CE276"/>
        <w:category>
          <w:name w:val="General"/>
          <w:gallery w:val="placeholder"/>
        </w:category>
        <w:types>
          <w:type w:val="bbPlcHdr"/>
        </w:types>
        <w:behaviors>
          <w:behavior w:val="content"/>
        </w:behaviors>
        <w:guid w:val="{7277500F-F010-4926-835A-826C1BDAD2DA}"/>
      </w:docPartPr>
      <w:docPartBody>
        <w:p w:rsidR="001D6371" w:rsidRDefault="00D14330" w:rsidP="00D14330">
          <w:pPr>
            <w:pStyle w:val="76E0167BC09047709AD21596704CE276"/>
          </w:pPr>
          <w:r w:rsidRPr="0058285D">
            <w:rPr>
              <w:rStyle w:val="PlaceholderText"/>
            </w:rPr>
            <w:t>Appendices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Bold">
    <w:altName w:val="Arial"/>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Source Sans Pro">
    <w:charset w:val="00"/>
    <w:family w:val="swiss"/>
    <w:pitch w:val="variable"/>
    <w:sig w:usb0="600002F7" w:usb1="02000001"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ZWAdobeF">
    <w:panose1 w:val="00000000000000000000"/>
    <w:charset w:val="00"/>
    <w:family w:val="auto"/>
    <w:pitch w:val="variable"/>
    <w:sig w:usb0="20002A87" w:usb1="00000000" w:usb2="00000000"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28F9"/>
    <w:rsid w:val="0001137C"/>
    <w:rsid w:val="000B0321"/>
    <w:rsid w:val="000D5988"/>
    <w:rsid w:val="000F54E1"/>
    <w:rsid w:val="0013013F"/>
    <w:rsid w:val="001D6371"/>
    <w:rsid w:val="001E2F97"/>
    <w:rsid w:val="001F5DB2"/>
    <w:rsid w:val="0021778E"/>
    <w:rsid w:val="00265F37"/>
    <w:rsid w:val="002A3449"/>
    <w:rsid w:val="002D296D"/>
    <w:rsid w:val="00345BAD"/>
    <w:rsid w:val="003B68BD"/>
    <w:rsid w:val="004269F8"/>
    <w:rsid w:val="0044218B"/>
    <w:rsid w:val="0045679E"/>
    <w:rsid w:val="004A099F"/>
    <w:rsid w:val="005D1B3D"/>
    <w:rsid w:val="00627986"/>
    <w:rsid w:val="00643102"/>
    <w:rsid w:val="006C2697"/>
    <w:rsid w:val="006D303C"/>
    <w:rsid w:val="007228CC"/>
    <w:rsid w:val="00735228"/>
    <w:rsid w:val="0077300B"/>
    <w:rsid w:val="007A6963"/>
    <w:rsid w:val="007F3012"/>
    <w:rsid w:val="008C3B79"/>
    <w:rsid w:val="00972409"/>
    <w:rsid w:val="00AA12DB"/>
    <w:rsid w:val="00AC0692"/>
    <w:rsid w:val="00AC1057"/>
    <w:rsid w:val="00AF49BB"/>
    <w:rsid w:val="00BC294C"/>
    <w:rsid w:val="00C95065"/>
    <w:rsid w:val="00D074BD"/>
    <w:rsid w:val="00D12335"/>
    <w:rsid w:val="00D14330"/>
    <w:rsid w:val="00DA28F9"/>
    <w:rsid w:val="00DA448F"/>
    <w:rsid w:val="00E44CC4"/>
    <w:rsid w:val="00E72DB4"/>
    <w:rsid w:val="00EA4D48"/>
    <w:rsid w:val="00F46DAB"/>
    <w:rsid w:val="00FA2403"/>
    <w:rsid w:val="00FA3D98"/>
    <w:rsid w:val="00FB1238"/>
    <w:rsid w:val="00FF19F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D14330"/>
    <w:rPr>
      <w:color w:val="auto"/>
    </w:rPr>
  </w:style>
  <w:style w:type="paragraph" w:customStyle="1" w:styleId="0091467EBAF342FA92ABA2D95249BBA4">
    <w:name w:val="0091467EBAF342FA92ABA2D95249BBA4"/>
  </w:style>
  <w:style w:type="paragraph" w:customStyle="1" w:styleId="EE920BDA15534207AF1C3436004F0DC4">
    <w:name w:val="EE920BDA15534207AF1C3436004F0DC4"/>
  </w:style>
  <w:style w:type="paragraph" w:customStyle="1" w:styleId="9E35C62DD3484D88A238CB9F7571913C">
    <w:name w:val="9E35C62DD3484D88A238CB9F7571913C"/>
  </w:style>
  <w:style w:type="paragraph" w:customStyle="1" w:styleId="5863F21251204E9184E443F0ECA5192D">
    <w:name w:val="5863F21251204E9184E443F0ECA5192D"/>
  </w:style>
  <w:style w:type="paragraph" w:customStyle="1" w:styleId="CBA6F05AB0B44063B2630149AB8A2C92">
    <w:name w:val="CBA6F05AB0B44063B2630149AB8A2C92"/>
  </w:style>
  <w:style w:type="paragraph" w:customStyle="1" w:styleId="B184EB6809E041BE87FC477D44FF5088">
    <w:name w:val="B184EB6809E041BE87FC477D44FF5088"/>
  </w:style>
  <w:style w:type="paragraph" w:customStyle="1" w:styleId="01B076205A834DEF9A6E0902E820A14F">
    <w:name w:val="01B076205A834DEF9A6E0902E820A14F"/>
  </w:style>
  <w:style w:type="paragraph" w:customStyle="1" w:styleId="8BAAB06CB61C4904A49CC1792E1DEB87">
    <w:name w:val="8BAAB06CB61C4904A49CC1792E1DEB87"/>
  </w:style>
  <w:style w:type="paragraph" w:customStyle="1" w:styleId="C6CB483A7C3C410AA973F410802E801C">
    <w:name w:val="C6CB483A7C3C410AA973F410802E801C"/>
  </w:style>
  <w:style w:type="paragraph" w:customStyle="1" w:styleId="4DD9A781117E435D9415D11AF149A5AD">
    <w:name w:val="4DD9A781117E435D9415D11AF149A5AD"/>
  </w:style>
  <w:style w:type="paragraph" w:customStyle="1" w:styleId="A313CA6E11DD4E35AC37F00891CCB98F">
    <w:name w:val="A313CA6E11DD4E35AC37F00891CCB98F"/>
  </w:style>
  <w:style w:type="paragraph" w:customStyle="1" w:styleId="2CA4537C5C1A487CB1495515710845D5">
    <w:name w:val="2CA4537C5C1A487CB1495515710845D5"/>
  </w:style>
  <w:style w:type="paragraph" w:customStyle="1" w:styleId="747A778BBDD44CDBAA05911ABB2FE7C0">
    <w:name w:val="747A778BBDD44CDBAA05911ABB2FE7C0"/>
  </w:style>
  <w:style w:type="paragraph" w:customStyle="1" w:styleId="C43094AEF30F46E4B5F7FAFC1631248F">
    <w:name w:val="C43094AEF30F46E4B5F7FAFC1631248F"/>
  </w:style>
  <w:style w:type="paragraph" w:customStyle="1" w:styleId="BFF0B7ADBBC340D9B06C43BF17051DE6">
    <w:name w:val="BFF0B7ADBBC340D9B06C43BF17051DE6"/>
  </w:style>
  <w:style w:type="paragraph" w:customStyle="1" w:styleId="25BE975071944E0B8CB171421110E4A6">
    <w:name w:val="25BE975071944E0B8CB171421110E4A6"/>
  </w:style>
  <w:style w:type="paragraph" w:customStyle="1" w:styleId="A3A0FD41A5BB4C4FAAB242216F3B4CA2">
    <w:name w:val="A3A0FD41A5BB4C4FAAB242216F3B4CA2"/>
  </w:style>
  <w:style w:type="paragraph" w:customStyle="1" w:styleId="DCBED6A2498C49A7A5742DB53DBE6779">
    <w:name w:val="DCBED6A2498C49A7A5742DB53DBE6779"/>
  </w:style>
  <w:style w:type="paragraph" w:customStyle="1" w:styleId="31E405C41C56470EB4439FECA7028D80">
    <w:name w:val="31E405C41C56470EB4439FECA7028D80"/>
  </w:style>
  <w:style w:type="paragraph" w:customStyle="1" w:styleId="7F6873480BD145DCA211E8386EDA4D77">
    <w:name w:val="7F6873480BD145DCA211E8386EDA4D77"/>
  </w:style>
  <w:style w:type="paragraph" w:customStyle="1" w:styleId="2C07EC9FAAF84AD3A98B1BC7DED8F42C">
    <w:name w:val="2C07EC9FAAF84AD3A98B1BC7DED8F42C"/>
  </w:style>
  <w:style w:type="paragraph" w:customStyle="1" w:styleId="2CE2293BC3664297920B495FF3812FC1">
    <w:name w:val="2CE2293BC3664297920B495FF3812FC1"/>
  </w:style>
  <w:style w:type="paragraph" w:customStyle="1" w:styleId="EC4A9C41F08A48529648B6FDC53FC747">
    <w:name w:val="EC4A9C41F08A48529648B6FDC53FC747"/>
  </w:style>
  <w:style w:type="paragraph" w:customStyle="1" w:styleId="D6BF6F873E2F432CA10D3433A9716EF2">
    <w:name w:val="D6BF6F873E2F432CA10D3433A9716EF2"/>
  </w:style>
  <w:style w:type="paragraph" w:customStyle="1" w:styleId="29511185F3C143148A9BF211393302F3">
    <w:name w:val="29511185F3C143148A9BF211393302F3"/>
  </w:style>
  <w:style w:type="paragraph" w:customStyle="1" w:styleId="72278AE06FD248B8BECB3C957A68DB80">
    <w:name w:val="72278AE06FD248B8BECB3C957A68DB80"/>
  </w:style>
  <w:style w:type="paragraph" w:customStyle="1" w:styleId="079A873FF14F416CB86AB13B96A056DA">
    <w:name w:val="079A873FF14F416CB86AB13B96A056DA"/>
  </w:style>
  <w:style w:type="paragraph" w:customStyle="1" w:styleId="0A9313644AFF4924A67EB2EA7424C653">
    <w:name w:val="0A9313644AFF4924A67EB2EA7424C653"/>
  </w:style>
  <w:style w:type="paragraph" w:customStyle="1" w:styleId="FF5BED9DD1784C689F19404E0FA28F24">
    <w:name w:val="FF5BED9DD1784C689F19404E0FA28F24"/>
  </w:style>
  <w:style w:type="paragraph" w:customStyle="1" w:styleId="58FE152A1AF04BA0A45FE664C3E8AF15">
    <w:name w:val="58FE152A1AF04BA0A45FE664C3E8AF15"/>
  </w:style>
  <w:style w:type="paragraph" w:customStyle="1" w:styleId="3E5C98B5289146A5902E902238DB1424">
    <w:name w:val="3E5C98B5289146A5902E902238DB1424"/>
    <w:rsid w:val="00972409"/>
  </w:style>
  <w:style w:type="paragraph" w:customStyle="1" w:styleId="D6C2B42BA593499F9B02AD05A0E3669C">
    <w:name w:val="D6C2B42BA593499F9B02AD05A0E3669C"/>
    <w:rsid w:val="00972409"/>
  </w:style>
  <w:style w:type="paragraph" w:customStyle="1" w:styleId="13EDDC69407847C9B5CD9284D46A8AEA">
    <w:name w:val="13EDDC69407847C9B5CD9284D46A8AEA"/>
    <w:rsid w:val="00972409"/>
  </w:style>
  <w:style w:type="paragraph" w:customStyle="1" w:styleId="BEE4390557BF41288CA4420989354D23">
    <w:name w:val="BEE4390557BF41288CA4420989354D23"/>
    <w:rsid w:val="00972409"/>
  </w:style>
  <w:style w:type="paragraph" w:customStyle="1" w:styleId="8A603447A4C149C5AB21B40F47BBF239">
    <w:name w:val="8A603447A4C149C5AB21B40F47BBF239"/>
    <w:rsid w:val="00972409"/>
  </w:style>
  <w:style w:type="paragraph" w:customStyle="1" w:styleId="5567A73220EB423D9A1AE899612D813C">
    <w:name w:val="5567A73220EB423D9A1AE899612D813C"/>
    <w:rsid w:val="00972409"/>
  </w:style>
  <w:style w:type="paragraph" w:customStyle="1" w:styleId="DBE8E59F838E403D86CBD9FE9933A271">
    <w:name w:val="DBE8E59F838E403D86CBD9FE9933A271"/>
    <w:rsid w:val="00972409"/>
  </w:style>
  <w:style w:type="paragraph" w:customStyle="1" w:styleId="61AD29588EE04F5F8F1ECEFAEA264E9D">
    <w:name w:val="61AD29588EE04F5F8F1ECEFAEA264E9D"/>
    <w:rsid w:val="00972409"/>
  </w:style>
  <w:style w:type="paragraph" w:customStyle="1" w:styleId="2A584C8F56A9466C92F0BE8C0F538929">
    <w:name w:val="2A584C8F56A9466C92F0BE8C0F538929"/>
    <w:rsid w:val="00972409"/>
  </w:style>
  <w:style w:type="paragraph" w:customStyle="1" w:styleId="49509933CDC24D2CB15BF32E7C0CF501">
    <w:name w:val="49509933CDC24D2CB15BF32E7C0CF501"/>
    <w:rsid w:val="00972409"/>
  </w:style>
  <w:style w:type="paragraph" w:customStyle="1" w:styleId="54F4324AE4B9442AA9BF7DCFD0F7F8B1">
    <w:name w:val="54F4324AE4B9442AA9BF7DCFD0F7F8B1"/>
    <w:rsid w:val="00972409"/>
  </w:style>
  <w:style w:type="paragraph" w:customStyle="1" w:styleId="DE3D1F56A74B4462AFBA8D5301878C48">
    <w:name w:val="DE3D1F56A74B4462AFBA8D5301878C48"/>
    <w:rsid w:val="00972409"/>
  </w:style>
  <w:style w:type="paragraph" w:customStyle="1" w:styleId="632594593A184B33892A892533FDABE9">
    <w:name w:val="632594593A184B33892A892533FDABE9"/>
    <w:rsid w:val="00972409"/>
  </w:style>
  <w:style w:type="paragraph" w:customStyle="1" w:styleId="BA2C7DCB01D14003B9044A2D68D07CFB">
    <w:name w:val="BA2C7DCB01D14003B9044A2D68D07CFB"/>
    <w:rsid w:val="00972409"/>
  </w:style>
  <w:style w:type="paragraph" w:customStyle="1" w:styleId="0088E153EE504CF4A32CAB0E6517E787">
    <w:name w:val="0088E153EE504CF4A32CAB0E6517E787"/>
    <w:rsid w:val="00972409"/>
  </w:style>
  <w:style w:type="paragraph" w:customStyle="1" w:styleId="C751BAB73F50448A8B3053914703336C">
    <w:name w:val="C751BAB73F50448A8B3053914703336C"/>
    <w:rsid w:val="00972409"/>
  </w:style>
  <w:style w:type="paragraph" w:customStyle="1" w:styleId="00C8CFBD377B4B8C98D8B4F3824779D1">
    <w:name w:val="00C8CFBD377B4B8C98D8B4F3824779D1"/>
    <w:rsid w:val="00972409"/>
  </w:style>
  <w:style w:type="paragraph" w:customStyle="1" w:styleId="D96E45B4C1B747639F188902FFEF97EE">
    <w:name w:val="D96E45B4C1B747639F188902FFEF97EE"/>
    <w:rsid w:val="00972409"/>
  </w:style>
  <w:style w:type="paragraph" w:customStyle="1" w:styleId="1C1B3B99DEE8496781451B3C4E23C438">
    <w:name w:val="1C1B3B99DEE8496781451B3C4E23C438"/>
    <w:rsid w:val="00972409"/>
  </w:style>
  <w:style w:type="paragraph" w:customStyle="1" w:styleId="60ED9D7CC2044D0EAB3ABEA7EB54A3B1">
    <w:name w:val="60ED9D7CC2044D0EAB3ABEA7EB54A3B1"/>
    <w:rsid w:val="00972409"/>
  </w:style>
  <w:style w:type="paragraph" w:customStyle="1" w:styleId="2D295D070BAE4A9FBEEBABBF377680CE">
    <w:name w:val="2D295D070BAE4A9FBEEBABBF377680CE"/>
    <w:rsid w:val="00972409"/>
  </w:style>
  <w:style w:type="paragraph" w:customStyle="1" w:styleId="E65CB91BBB6C47B8BA2C8D9118F8BB1E">
    <w:name w:val="E65CB91BBB6C47B8BA2C8D9118F8BB1E"/>
    <w:rsid w:val="00972409"/>
  </w:style>
  <w:style w:type="paragraph" w:customStyle="1" w:styleId="69AA75FDFE1A441C8E2CDFD39DAC9180">
    <w:name w:val="69AA75FDFE1A441C8E2CDFD39DAC9180"/>
    <w:rsid w:val="00972409"/>
  </w:style>
  <w:style w:type="paragraph" w:customStyle="1" w:styleId="75F0152D6B564D728060FEAA6DEA7352">
    <w:name w:val="75F0152D6B564D728060FEAA6DEA7352"/>
    <w:rsid w:val="00972409"/>
  </w:style>
  <w:style w:type="paragraph" w:customStyle="1" w:styleId="CD3E77517DD4430D945F5E833D335303">
    <w:name w:val="CD3E77517DD4430D945F5E833D335303"/>
    <w:rsid w:val="00972409"/>
  </w:style>
  <w:style w:type="paragraph" w:customStyle="1" w:styleId="C71A84608EFD40468E8CD99CFDE3DC35">
    <w:name w:val="C71A84608EFD40468E8CD99CFDE3DC35"/>
    <w:rsid w:val="00972409"/>
  </w:style>
  <w:style w:type="paragraph" w:customStyle="1" w:styleId="4A0EADA354DE4490823BC22BA81B5ECC">
    <w:name w:val="4A0EADA354DE4490823BC22BA81B5ECC"/>
    <w:rsid w:val="00972409"/>
  </w:style>
  <w:style w:type="paragraph" w:customStyle="1" w:styleId="3D711C5293AF458D981130D74AAF8FF4">
    <w:name w:val="3D711C5293AF458D981130D74AAF8FF4"/>
    <w:rsid w:val="00972409"/>
  </w:style>
  <w:style w:type="paragraph" w:customStyle="1" w:styleId="5A039F7B284446A19392821540AD4920">
    <w:name w:val="5A039F7B284446A19392821540AD4920"/>
    <w:rsid w:val="00972409"/>
  </w:style>
  <w:style w:type="paragraph" w:customStyle="1" w:styleId="159BA9E782864F9FB79027659791EC65">
    <w:name w:val="159BA9E782864F9FB79027659791EC65"/>
    <w:rsid w:val="00972409"/>
  </w:style>
  <w:style w:type="paragraph" w:customStyle="1" w:styleId="4F587689D428495BBABB71B421C1E477">
    <w:name w:val="4F587689D428495BBABB71B421C1E477"/>
    <w:rsid w:val="00972409"/>
  </w:style>
  <w:style w:type="paragraph" w:customStyle="1" w:styleId="BE084AC8076F434E901AE1D1AEE8730A">
    <w:name w:val="BE084AC8076F434E901AE1D1AEE8730A"/>
    <w:rsid w:val="00972409"/>
  </w:style>
  <w:style w:type="paragraph" w:customStyle="1" w:styleId="8E4F60E2F62D4E31A7C30D65C7D1A1F5">
    <w:name w:val="8E4F60E2F62D4E31A7C30D65C7D1A1F5"/>
    <w:rsid w:val="00972409"/>
  </w:style>
  <w:style w:type="paragraph" w:customStyle="1" w:styleId="3FB0E259AB3846E0BBD3E3AD09711AAE">
    <w:name w:val="3FB0E259AB3846E0BBD3E3AD09711AAE"/>
    <w:rsid w:val="00972409"/>
  </w:style>
  <w:style w:type="paragraph" w:customStyle="1" w:styleId="B90F53148C6E40198BE3271585BAA994">
    <w:name w:val="B90F53148C6E40198BE3271585BAA994"/>
    <w:rsid w:val="00972409"/>
  </w:style>
  <w:style w:type="paragraph" w:customStyle="1" w:styleId="6FA562C4EC7245E6B75F13672BDFBA77">
    <w:name w:val="6FA562C4EC7245E6B75F13672BDFBA77"/>
    <w:rsid w:val="00972409"/>
  </w:style>
  <w:style w:type="paragraph" w:customStyle="1" w:styleId="00EC02B3F38E4A3F986862BD9252585B">
    <w:name w:val="00EC02B3F38E4A3F986862BD9252585B"/>
    <w:rsid w:val="00972409"/>
  </w:style>
  <w:style w:type="paragraph" w:customStyle="1" w:styleId="60CF31C198B44CB085B78F44640235F8">
    <w:name w:val="60CF31C198B44CB085B78F44640235F8"/>
    <w:rsid w:val="00972409"/>
  </w:style>
  <w:style w:type="paragraph" w:customStyle="1" w:styleId="E50AAD1AE0464724BBE5B6F2D3B01A57">
    <w:name w:val="E50AAD1AE0464724BBE5B6F2D3B01A57"/>
    <w:rsid w:val="00972409"/>
  </w:style>
  <w:style w:type="paragraph" w:customStyle="1" w:styleId="40D978D7FD1B4BE2A907E9E4A2342A95">
    <w:name w:val="40D978D7FD1B4BE2A907E9E4A2342A95"/>
    <w:rsid w:val="00972409"/>
  </w:style>
  <w:style w:type="paragraph" w:customStyle="1" w:styleId="649E5630E0D64DF2BAC6C70FEC13B4AF">
    <w:name w:val="649E5630E0D64DF2BAC6C70FEC13B4AF"/>
    <w:rsid w:val="00972409"/>
  </w:style>
  <w:style w:type="paragraph" w:customStyle="1" w:styleId="900DF41FB3414891A1EDBC6BCF3F6712">
    <w:name w:val="900DF41FB3414891A1EDBC6BCF3F6712"/>
    <w:rsid w:val="00972409"/>
  </w:style>
  <w:style w:type="paragraph" w:customStyle="1" w:styleId="E7A3F24FB1294768B6E7CF807AEE1F1E">
    <w:name w:val="E7A3F24FB1294768B6E7CF807AEE1F1E"/>
    <w:rsid w:val="00972409"/>
  </w:style>
  <w:style w:type="paragraph" w:customStyle="1" w:styleId="C8A183556CD742A99A12D5A3FF128661">
    <w:name w:val="C8A183556CD742A99A12D5A3FF128661"/>
    <w:rsid w:val="00972409"/>
  </w:style>
  <w:style w:type="paragraph" w:customStyle="1" w:styleId="D6BC960DB7B742C0B0B1C125CA0BC918">
    <w:name w:val="D6BC960DB7B742C0B0B1C125CA0BC918"/>
    <w:rsid w:val="00972409"/>
  </w:style>
  <w:style w:type="paragraph" w:customStyle="1" w:styleId="47C4D00BB6B6449EA4039B3F09F3C924">
    <w:name w:val="47C4D00BB6B6449EA4039B3F09F3C924"/>
    <w:rsid w:val="00972409"/>
  </w:style>
  <w:style w:type="paragraph" w:customStyle="1" w:styleId="6CB854F15C004B61BB4CA63EB30E8D27">
    <w:name w:val="6CB854F15C004B61BB4CA63EB30E8D27"/>
    <w:rsid w:val="00972409"/>
  </w:style>
  <w:style w:type="paragraph" w:customStyle="1" w:styleId="F5485D3D60D44A29A79A790A88BF8387">
    <w:name w:val="F5485D3D60D44A29A79A790A88BF8387"/>
    <w:rsid w:val="00972409"/>
  </w:style>
  <w:style w:type="paragraph" w:customStyle="1" w:styleId="AFB5D90E45E2437E84520E335034E341">
    <w:name w:val="AFB5D90E45E2437E84520E335034E341"/>
    <w:rsid w:val="00972409"/>
  </w:style>
  <w:style w:type="paragraph" w:customStyle="1" w:styleId="30041667201D4C1F82CB5F80F49154B8">
    <w:name w:val="30041667201D4C1F82CB5F80F49154B8"/>
    <w:rsid w:val="00972409"/>
  </w:style>
  <w:style w:type="paragraph" w:customStyle="1" w:styleId="3B31E2C3370F4DEB9228502523326770">
    <w:name w:val="3B31E2C3370F4DEB9228502523326770"/>
    <w:rsid w:val="00972409"/>
  </w:style>
  <w:style w:type="paragraph" w:customStyle="1" w:styleId="9C96AA1DB8904FEE9434BB49BB45EB01">
    <w:name w:val="9C96AA1DB8904FEE9434BB49BB45EB01"/>
    <w:rsid w:val="00972409"/>
  </w:style>
  <w:style w:type="paragraph" w:customStyle="1" w:styleId="ACBD63E841E4456E89C77F890A08851F">
    <w:name w:val="ACBD63E841E4456E89C77F890A08851F"/>
    <w:rsid w:val="00972409"/>
  </w:style>
  <w:style w:type="paragraph" w:customStyle="1" w:styleId="CEFE9A669B82477EAE1B3252C220EB59">
    <w:name w:val="CEFE9A669B82477EAE1B3252C220EB59"/>
    <w:rsid w:val="00972409"/>
  </w:style>
  <w:style w:type="paragraph" w:customStyle="1" w:styleId="7EB3D0394E1144FBA3C53AED05E7CB58">
    <w:name w:val="7EB3D0394E1144FBA3C53AED05E7CB58"/>
    <w:rsid w:val="00972409"/>
  </w:style>
  <w:style w:type="paragraph" w:customStyle="1" w:styleId="EDD94AAF76F54CA2800FD05230CE9A39">
    <w:name w:val="EDD94AAF76F54CA2800FD05230CE9A39"/>
    <w:rsid w:val="00972409"/>
  </w:style>
  <w:style w:type="paragraph" w:customStyle="1" w:styleId="8152E565508849EA9E5343BBF4A33048">
    <w:name w:val="8152E565508849EA9E5343BBF4A33048"/>
    <w:rsid w:val="00972409"/>
  </w:style>
  <w:style w:type="paragraph" w:customStyle="1" w:styleId="22BA2F9C20A14569908531AE4C7B3C12">
    <w:name w:val="22BA2F9C20A14569908531AE4C7B3C12"/>
    <w:rsid w:val="00972409"/>
  </w:style>
  <w:style w:type="paragraph" w:customStyle="1" w:styleId="29B4FF3E52074F36A089600C1893D574">
    <w:name w:val="29B4FF3E52074F36A089600C1893D574"/>
    <w:rsid w:val="00972409"/>
  </w:style>
  <w:style w:type="paragraph" w:customStyle="1" w:styleId="9A2128A0AD7B47FD9183637709206021">
    <w:name w:val="9A2128A0AD7B47FD9183637709206021"/>
    <w:rsid w:val="00972409"/>
  </w:style>
  <w:style w:type="paragraph" w:customStyle="1" w:styleId="796507FE7DFA436497A21438B47426A3">
    <w:name w:val="796507FE7DFA436497A21438B47426A3"/>
    <w:rsid w:val="00972409"/>
  </w:style>
  <w:style w:type="paragraph" w:customStyle="1" w:styleId="9A64EA2A07254BC29E9FCEF112E31F94">
    <w:name w:val="9A64EA2A07254BC29E9FCEF112E31F94"/>
    <w:rsid w:val="00972409"/>
  </w:style>
  <w:style w:type="paragraph" w:customStyle="1" w:styleId="D92C038A4A5F46F583E780C0C43A4C8B">
    <w:name w:val="D92C038A4A5F46F583E780C0C43A4C8B"/>
    <w:rsid w:val="00972409"/>
  </w:style>
  <w:style w:type="paragraph" w:customStyle="1" w:styleId="510A34E30FA14230B21AC925D86F91E0">
    <w:name w:val="510A34E30FA14230B21AC925D86F91E0"/>
    <w:rsid w:val="00972409"/>
  </w:style>
  <w:style w:type="paragraph" w:customStyle="1" w:styleId="C2C39B38EEF747418D811345656C17DB">
    <w:name w:val="C2C39B38EEF747418D811345656C17DB"/>
    <w:rsid w:val="00972409"/>
  </w:style>
  <w:style w:type="paragraph" w:customStyle="1" w:styleId="8A037C7911CA4038BA668949D99E94E7">
    <w:name w:val="8A037C7911CA4038BA668949D99E94E7"/>
    <w:rsid w:val="00972409"/>
  </w:style>
  <w:style w:type="paragraph" w:customStyle="1" w:styleId="D66114A9F107478FA80686898103D9DC">
    <w:name w:val="D66114A9F107478FA80686898103D9DC"/>
    <w:rsid w:val="00972409"/>
  </w:style>
  <w:style w:type="paragraph" w:customStyle="1" w:styleId="79B1189E2E864C2DA9A1F29159F6BF6E">
    <w:name w:val="79B1189E2E864C2DA9A1F29159F6BF6E"/>
    <w:rsid w:val="00972409"/>
  </w:style>
  <w:style w:type="paragraph" w:customStyle="1" w:styleId="8F2B72F1662A479EB95EC662C9D9742D">
    <w:name w:val="8F2B72F1662A479EB95EC662C9D9742D"/>
    <w:rsid w:val="00972409"/>
  </w:style>
  <w:style w:type="paragraph" w:customStyle="1" w:styleId="19FD94F015D14CEF80FD41AA94A6ADDC">
    <w:name w:val="19FD94F015D14CEF80FD41AA94A6ADDC"/>
    <w:rsid w:val="00972409"/>
  </w:style>
  <w:style w:type="paragraph" w:customStyle="1" w:styleId="D4F1E93D8B9F4C4B8056AF12B340FF2B">
    <w:name w:val="D4F1E93D8B9F4C4B8056AF12B340FF2B"/>
    <w:rsid w:val="00972409"/>
  </w:style>
  <w:style w:type="paragraph" w:customStyle="1" w:styleId="2A5B239213E247E0A64526FDBB297996">
    <w:name w:val="2A5B239213E247E0A64526FDBB297996"/>
    <w:rsid w:val="00972409"/>
  </w:style>
  <w:style w:type="paragraph" w:customStyle="1" w:styleId="89C79F5A0BCD429FBC58F70453E8E109">
    <w:name w:val="89C79F5A0BCD429FBC58F70453E8E109"/>
    <w:rsid w:val="00972409"/>
  </w:style>
  <w:style w:type="paragraph" w:customStyle="1" w:styleId="D1991ED1E0134489B44946AFED71FDFC">
    <w:name w:val="D1991ED1E0134489B44946AFED71FDFC"/>
    <w:rsid w:val="00972409"/>
  </w:style>
  <w:style w:type="paragraph" w:customStyle="1" w:styleId="28533DF699294F9CBE8C88B6AEE9EEF5">
    <w:name w:val="28533DF699294F9CBE8C88B6AEE9EEF5"/>
    <w:rsid w:val="00972409"/>
  </w:style>
  <w:style w:type="paragraph" w:customStyle="1" w:styleId="E6132EB35C27402FAF9732278E9AE707">
    <w:name w:val="E6132EB35C27402FAF9732278E9AE707"/>
    <w:rsid w:val="00972409"/>
  </w:style>
  <w:style w:type="paragraph" w:customStyle="1" w:styleId="9C66B0678B8E408195D05DEF041808BA">
    <w:name w:val="9C66B0678B8E408195D05DEF041808BA"/>
    <w:rsid w:val="00972409"/>
  </w:style>
  <w:style w:type="paragraph" w:customStyle="1" w:styleId="91FC31BEA94A4AF8B9C094BE0F72F63F">
    <w:name w:val="91FC31BEA94A4AF8B9C094BE0F72F63F"/>
    <w:rsid w:val="00972409"/>
  </w:style>
  <w:style w:type="paragraph" w:customStyle="1" w:styleId="9524A75405994663BE8C4BB9F0049797">
    <w:name w:val="9524A75405994663BE8C4BB9F0049797"/>
    <w:rsid w:val="00972409"/>
  </w:style>
  <w:style w:type="paragraph" w:customStyle="1" w:styleId="A0A16981E424442DBF687FA39848F799">
    <w:name w:val="A0A16981E424442DBF687FA39848F799"/>
    <w:rsid w:val="00972409"/>
  </w:style>
  <w:style w:type="paragraph" w:customStyle="1" w:styleId="80E472153E234DB3B2B1DEFD377FD797">
    <w:name w:val="80E472153E234DB3B2B1DEFD377FD797"/>
    <w:rsid w:val="00972409"/>
  </w:style>
  <w:style w:type="paragraph" w:customStyle="1" w:styleId="3A73DCD585224A6B8E4BE74F8CA39B59">
    <w:name w:val="3A73DCD585224A6B8E4BE74F8CA39B59"/>
    <w:rsid w:val="00972409"/>
  </w:style>
  <w:style w:type="paragraph" w:customStyle="1" w:styleId="5A8911D070FF4B6382F19CD191EE0B96">
    <w:name w:val="5A8911D070FF4B6382F19CD191EE0B96"/>
    <w:rsid w:val="00972409"/>
  </w:style>
  <w:style w:type="paragraph" w:customStyle="1" w:styleId="4CB0DD46E7A948F19A2F4713E8288640">
    <w:name w:val="4CB0DD46E7A948F19A2F4713E8288640"/>
    <w:rsid w:val="00972409"/>
  </w:style>
  <w:style w:type="paragraph" w:customStyle="1" w:styleId="01EF2F4FD4EA4200A3497F540FA6A8EB">
    <w:name w:val="01EF2F4FD4EA4200A3497F540FA6A8EB"/>
    <w:rsid w:val="00972409"/>
  </w:style>
  <w:style w:type="paragraph" w:customStyle="1" w:styleId="3676B1BC2F6045CC86EE5BBE56CC53ED">
    <w:name w:val="3676B1BC2F6045CC86EE5BBE56CC53ED"/>
    <w:rsid w:val="00972409"/>
  </w:style>
  <w:style w:type="paragraph" w:customStyle="1" w:styleId="A7C3EE7042A944A98159CBA70215DF14">
    <w:name w:val="A7C3EE7042A944A98159CBA70215DF14"/>
    <w:rsid w:val="00972409"/>
  </w:style>
  <w:style w:type="paragraph" w:customStyle="1" w:styleId="BE0A22B74613413ABE81C2ECC025F247">
    <w:name w:val="BE0A22B74613413ABE81C2ECC025F247"/>
    <w:rsid w:val="00972409"/>
  </w:style>
  <w:style w:type="paragraph" w:customStyle="1" w:styleId="AA4E3438FDEA457C8C18A975718C52AD">
    <w:name w:val="AA4E3438FDEA457C8C18A975718C52AD"/>
    <w:rsid w:val="00972409"/>
  </w:style>
  <w:style w:type="paragraph" w:customStyle="1" w:styleId="A31024E3BB1C4D88983BBDA0D0F1C7B9">
    <w:name w:val="A31024E3BB1C4D88983BBDA0D0F1C7B9"/>
    <w:rsid w:val="00972409"/>
  </w:style>
  <w:style w:type="paragraph" w:customStyle="1" w:styleId="FB7D6AA68F004947A7F582501539EAE7">
    <w:name w:val="FB7D6AA68F004947A7F582501539EAE7"/>
    <w:rsid w:val="00972409"/>
  </w:style>
  <w:style w:type="paragraph" w:customStyle="1" w:styleId="F0BEB62A871B46928BC98B2934742BB4">
    <w:name w:val="F0BEB62A871B46928BC98B2934742BB4"/>
    <w:rsid w:val="00972409"/>
  </w:style>
  <w:style w:type="paragraph" w:customStyle="1" w:styleId="D12ADB805F3949418B85EAC1193873FE">
    <w:name w:val="D12ADB805F3949418B85EAC1193873FE"/>
    <w:rsid w:val="00972409"/>
  </w:style>
  <w:style w:type="paragraph" w:customStyle="1" w:styleId="3F0E3D6FBC1643FC8B6DF72FB7B8899A">
    <w:name w:val="3F0E3D6FBC1643FC8B6DF72FB7B8899A"/>
    <w:rsid w:val="00972409"/>
  </w:style>
  <w:style w:type="paragraph" w:customStyle="1" w:styleId="54DBF0DA81EA4F759F743CD217E739C4">
    <w:name w:val="54DBF0DA81EA4F759F743CD217E739C4"/>
    <w:rsid w:val="00972409"/>
  </w:style>
  <w:style w:type="paragraph" w:customStyle="1" w:styleId="B99F44035AD444D08909ADF0A6278C38">
    <w:name w:val="B99F44035AD444D08909ADF0A6278C38"/>
    <w:rsid w:val="00972409"/>
  </w:style>
  <w:style w:type="paragraph" w:customStyle="1" w:styleId="4BA385042D694FF39C0456DFEC4FCF9E">
    <w:name w:val="4BA385042D694FF39C0456DFEC4FCF9E"/>
    <w:rsid w:val="00972409"/>
  </w:style>
  <w:style w:type="paragraph" w:customStyle="1" w:styleId="FED202BA14EC44F7BE0934FE425617D7">
    <w:name w:val="FED202BA14EC44F7BE0934FE425617D7"/>
    <w:rsid w:val="00972409"/>
  </w:style>
  <w:style w:type="paragraph" w:customStyle="1" w:styleId="2DE9A784D1704947A4C1C565B799853D">
    <w:name w:val="2DE9A784D1704947A4C1C565B799853D"/>
    <w:rsid w:val="00972409"/>
  </w:style>
  <w:style w:type="paragraph" w:customStyle="1" w:styleId="102482D302F945D3AD6A0A762D6C17B8">
    <w:name w:val="102482D302F945D3AD6A0A762D6C17B8"/>
    <w:rsid w:val="00972409"/>
  </w:style>
  <w:style w:type="paragraph" w:customStyle="1" w:styleId="C3A15F1AEA5A4476964EFBDA567A6B25">
    <w:name w:val="C3A15F1AEA5A4476964EFBDA567A6B25"/>
    <w:rsid w:val="00972409"/>
  </w:style>
  <w:style w:type="paragraph" w:customStyle="1" w:styleId="C7F83E53294641D2BF12CD93116B2DF6">
    <w:name w:val="C7F83E53294641D2BF12CD93116B2DF6"/>
    <w:rsid w:val="00972409"/>
  </w:style>
  <w:style w:type="paragraph" w:customStyle="1" w:styleId="1CFEF76733E74798B16DCE0B02E388D8">
    <w:name w:val="1CFEF76733E74798B16DCE0B02E388D8"/>
    <w:rsid w:val="00972409"/>
  </w:style>
  <w:style w:type="paragraph" w:customStyle="1" w:styleId="47FA25DED8214565A50AC76A650BFB0D">
    <w:name w:val="47FA25DED8214565A50AC76A650BFB0D"/>
    <w:rsid w:val="00972409"/>
  </w:style>
  <w:style w:type="paragraph" w:customStyle="1" w:styleId="E2E25864B5DC4303895A9D602790E4EB">
    <w:name w:val="E2E25864B5DC4303895A9D602790E4EB"/>
    <w:rsid w:val="00972409"/>
  </w:style>
  <w:style w:type="paragraph" w:customStyle="1" w:styleId="5C5BD3D9FCEC4434A61470559F5C7339">
    <w:name w:val="5C5BD3D9FCEC4434A61470559F5C7339"/>
    <w:rsid w:val="00972409"/>
  </w:style>
  <w:style w:type="paragraph" w:customStyle="1" w:styleId="9B16CFCD0D3B47239E8401FA4B39B3C7">
    <w:name w:val="9B16CFCD0D3B47239E8401FA4B39B3C7"/>
    <w:rsid w:val="00972409"/>
  </w:style>
  <w:style w:type="paragraph" w:customStyle="1" w:styleId="7C439E0C82CF4BAAAC40530712AC8689">
    <w:name w:val="7C439E0C82CF4BAAAC40530712AC8689"/>
    <w:rsid w:val="00972409"/>
  </w:style>
  <w:style w:type="paragraph" w:customStyle="1" w:styleId="CA5066D48D5341F6A11BB779EE0EB916">
    <w:name w:val="CA5066D48D5341F6A11BB779EE0EB916"/>
    <w:rsid w:val="00972409"/>
  </w:style>
  <w:style w:type="paragraph" w:customStyle="1" w:styleId="25BC7A26859E48FBB4DA49AA0795D2E7">
    <w:name w:val="25BC7A26859E48FBB4DA49AA0795D2E7"/>
    <w:rsid w:val="00972409"/>
  </w:style>
  <w:style w:type="paragraph" w:customStyle="1" w:styleId="8D24A6DD304F443F8212986F1C4CEABB">
    <w:name w:val="8D24A6DD304F443F8212986F1C4CEABB"/>
    <w:rsid w:val="00972409"/>
  </w:style>
  <w:style w:type="paragraph" w:customStyle="1" w:styleId="116A7CA1E3494DB28927E35219846F84">
    <w:name w:val="116A7CA1E3494DB28927E35219846F84"/>
    <w:rsid w:val="00972409"/>
  </w:style>
  <w:style w:type="paragraph" w:customStyle="1" w:styleId="3FEF3B8240F74339B866239AACA9E89C">
    <w:name w:val="3FEF3B8240F74339B866239AACA9E89C"/>
    <w:rsid w:val="00972409"/>
  </w:style>
  <w:style w:type="paragraph" w:customStyle="1" w:styleId="33D8A764A54040908988226AAA0C5E47">
    <w:name w:val="33D8A764A54040908988226AAA0C5E47"/>
    <w:rsid w:val="00972409"/>
  </w:style>
  <w:style w:type="paragraph" w:customStyle="1" w:styleId="FF6523A0BE854D8A88976E8A12C6CB66">
    <w:name w:val="FF6523A0BE854D8A88976E8A12C6CB66"/>
    <w:rsid w:val="00972409"/>
  </w:style>
  <w:style w:type="paragraph" w:customStyle="1" w:styleId="0199B88A616049D8BF3CA96C1B7E46E2">
    <w:name w:val="0199B88A616049D8BF3CA96C1B7E46E2"/>
    <w:rsid w:val="00972409"/>
  </w:style>
  <w:style w:type="paragraph" w:customStyle="1" w:styleId="C7397135FD984DAC9C9D2BFF51306508">
    <w:name w:val="C7397135FD984DAC9C9D2BFF51306508"/>
    <w:rsid w:val="00972409"/>
  </w:style>
  <w:style w:type="paragraph" w:customStyle="1" w:styleId="66C017FBDFBF42F28AEA057A4B835457">
    <w:name w:val="66C017FBDFBF42F28AEA057A4B835457"/>
    <w:rsid w:val="00972409"/>
  </w:style>
  <w:style w:type="paragraph" w:customStyle="1" w:styleId="A4615969D4F94E48B5EC70918FD5AAEB">
    <w:name w:val="A4615969D4F94E48B5EC70918FD5AAEB"/>
    <w:rsid w:val="00972409"/>
  </w:style>
  <w:style w:type="paragraph" w:customStyle="1" w:styleId="A9878763406D49F1A36820DE1E4EBF2C">
    <w:name w:val="A9878763406D49F1A36820DE1E4EBF2C"/>
    <w:rsid w:val="00972409"/>
  </w:style>
  <w:style w:type="paragraph" w:customStyle="1" w:styleId="C2FECBA9F0B7435EA0F51BF55B854DFE">
    <w:name w:val="C2FECBA9F0B7435EA0F51BF55B854DFE"/>
    <w:rsid w:val="00972409"/>
  </w:style>
  <w:style w:type="paragraph" w:customStyle="1" w:styleId="D8B19B7CD22544A881F515E23C4B49DD">
    <w:name w:val="D8B19B7CD22544A881F515E23C4B49DD"/>
    <w:rsid w:val="00972409"/>
  </w:style>
  <w:style w:type="paragraph" w:customStyle="1" w:styleId="824859810D6D431099A9E11CD4AE9C14">
    <w:name w:val="824859810D6D431099A9E11CD4AE9C14"/>
    <w:rsid w:val="00972409"/>
  </w:style>
  <w:style w:type="paragraph" w:customStyle="1" w:styleId="8D779369B15E40C4A402894F8214434B">
    <w:name w:val="8D779369B15E40C4A402894F8214434B"/>
    <w:rsid w:val="00972409"/>
  </w:style>
  <w:style w:type="paragraph" w:customStyle="1" w:styleId="F5F2C2EB8B09424D86B8FC7FF092F556">
    <w:name w:val="F5F2C2EB8B09424D86B8FC7FF092F556"/>
    <w:rsid w:val="00972409"/>
  </w:style>
  <w:style w:type="paragraph" w:customStyle="1" w:styleId="E8B48165A32D4416B900FD761A0EAF32">
    <w:name w:val="E8B48165A32D4416B900FD761A0EAF32"/>
    <w:rsid w:val="00972409"/>
  </w:style>
  <w:style w:type="paragraph" w:customStyle="1" w:styleId="DB149E532DF74161A2CA217BC47E3290">
    <w:name w:val="DB149E532DF74161A2CA217BC47E3290"/>
    <w:rsid w:val="00972409"/>
  </w:style>
  <w:style w:type="paragraph" w:customStyle="1" w:styleId="C344D0D4351544FEB80D0670F7C197BC">
    <w:name w:val="C344D0D4351544FEB80D0670F7C197BC"/>
    <w:rsid w:val="00972409"/>
  </w:style>
  <w:style w:type="paragraph" w:customStyle="1" w:styleId="76E0167BC09047709AD21596704CE276">
    <w:name w:val="76E0167BC09047709AD21596704CE276"/>
    <w:rsid w:val="00D1433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RPS Group">
      <a:dk1>
        <a:srgbClr val="000000"/>
      </a:dk1>
      <a:lt1>
        <a:srgbClr val="FFFFFF"/>
      </a:lt1>
      <a:dk2>
        <a:srgbClr val="5F6369"/>
      </a:dk2>
      <a:lt2>
        <a:srgbClr val="BEB7B3"/>
      </a:lt2>
      <a:accent1>
        <a:srgbClr val="4B2884"/>
      </a:accent1>
      <a:accent2>
        <a:srgbClr val="00B18F"/>
      </a:accent2>
      <a:accent3>
        <a:srgbClr val="64CBE8"/>
      </a:accent3>
      <a:accent4>
        <a:srgbClr val="00437B"/>
      </a:accent4>
      <a:accent5>
        <a:srgbClr val="F9C606"/>
      </a:accent5>
      <a:accent6>
        <a:srgbClr val="C4D82E"/>
      </a:accent6>
      <a:hlink>
        <a:srgbClr val="00437B"/>
      </a:hlink>
      <a:folHlink>
        <a:srgbClr val="71004B"/>
      </a:folHlink>
    </a:clrScheme>
    <a:fontScheme name="RPS Group">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spPr>
      <a:bodyPr wrap="square" lIns="0" tIns="0" rIns="0" bIns="0" rtlCol="0">
        <a:spAutoFit/>
      </a:bodyPr>
      <a:lstStyle/>
    </a:txDef>
  </a:objectDefaults>
  <a:extraClrSchemeLst/>
  <a:custClrLst>
    <a:custClr name="Plum">
      <a:srgbClr val="71004B"/>
    </a:custClr>
    <a:custClr name="Cool dark grey">
      <a:srgbClr val="5F6369"/>
    </a:custClr>
    <a:custClr name="Cool light grey">
      <a:srgbClr val="D7D8D6"/>
    </a:custClr>
    <a:custClr name="Warm Grey">
      <a:srgbClr val="BEB7B3"/>
    </a:custClr>
    <a:custClr name="Purple">
      <a:srgbClr val="4B2884"/>
    </a:custClr>
    <a:custClr name="Green">
      <a:srgbClr val="00B18F"/>
    </a:custClr>
    <a:custClr name="Light blue">
      <a:srgbClr val="64CBE8"/>
    </a:custClr>
    <a:custClr name="Dark blue">
      <a:srgbClr val="00437B"/>
    </a:custClr>
    <a:custClr name="Yellow">
      <a:srgbClr val="F9C606"/>
    </a:custClr>
    <a:custClr name="Lime">
      <a:srgbClr val="C4D82E"/>
    </a:custClr>
    <a:custClr name="Plum 80%">
      <a:srgbClr val="853764"/>
    </a:custClr>
    <a:custClr name="Cool dark grey 80%">
      <a:srgbClr val="777A80"/>
    </a:custClr>
    <a:custClr name="Cool light grey 80%">
      <a:srgbClr val="DDDFDD"/>
    </a:custClr>
    <a:custClr name="Warm grey 80%">
      <a:srgbClr val="C9C3C0"/>
    </a:custClr>
    <a:custClr name="Purple 80%">
      <a:srgbClr val="6F539C"/>
    </a:custClr>
    <a:custClr name="Green 80%">
      <a:srgbClr val="33C1A5"/>
    </a:custClr>
    <a:custClr name="Light blue 80%">
      <a:srgbClr val="83D6ED"/>
    </a:custClr>
    <a:custClr name="Dark blue 80%">
      <a:srgbClr val="336996"/>
    </a:custClr>
    <a:custClr name="Yellow 80%">
      <a:srgbClr val="FBD138"/>
    </a:custClr>
    <a:custClr name="Lime 80%">
      <a:srgbClr val="CFE081"/>
    </a:custClr>
    <a:custClr name="Plum 60%">
      <a:srgbClr val="9C6082"/>
    </a:custClr>
    <a:custClr name="Cool dark grey 60%">
      <a:srgbClr val="94979C"/>
    </a:custClr>
    <a:custClr name="Cool light grey 60%">
      <a:srgbClr val="E3E4E2"/>
    </a:custClr>
    <a:custClr name="Warm grey 60%">
      <a:srgbClr val="D5CFCC"/>
    </a:custClr>
    <a:custClr name="Purple 60%">
      <a:srgbClr val="937EB5"/>
    </a:custClr>
    <a:custClr name="Green 60%">
      <a:srgbClr val="66D0BC"/>
    </a:custClr>
    <a:custClr name="Light blue 60%">
      <a:srgbClr val="A2E0F1"/>
    </a:custClr>
    <a:custClr name="Dark blue 60%">
      <a:srgbClr val="668EB0"/>
    </a:custClr>
    <a:custClr name="Yellow 60%">
      <a:srgbClr val="FCDD6A"/>
    </a:custClr>
    <a:custClr name="Lime 60%">
      <a:srgbClr val="DBE881"/>
    </a:custClr>
  </a:custClr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GostName.XSL" StyleName="GOST - Name Sort" Version="2003"/>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9b1c0616-a63f-4f3d-8a37-c751699c5c0a">
      <Terms xmlns="http://schemas.microsoft.com/office/infopath/2007/PartnerControls"/>
    </lcf76f155ced4ddcb4097134ff3c332f>
    <TaxCatchAll xmlns="cb2a8382-a359-4967-8c78-9ff9be54f141" xsi:nil="true"/>
  </documentManagement>
</p:properties>
</file>

<file path=customXml/item4.xml><?xml version="1.0" encoding="utf-8"?>
<TemplafyFormConfiguration><![CDATA[{"formFields":[{"required":true,"placeholder":"","lines":3,"helpTexts":{"prefix":"","postfix":""},"spacing":{},"shareValue":false,"type":"textBox","name":"Title","label":"Title"},{"required":false,"placeholder":"","lines":4,"helpTexts":{"prefix":"","postfix":""},"spacing":{},"shareValue":false,"type":"textBox","name":"Subtitle","label":"Subtitle"},{"required":true,"placeholder":"","lines":0,"helpTexts":{"prefix":"","postfix":""},"spacing":{},"shareValue":false,"type":"textBox","name":"ProjectReference","label":"Project reference"},{"required":true,"helpTexts":{"prefix":"","postfix":""},"spacing":{},"shareValue":false,"type":"datePicker","name":"Date","label":"Date"},{"required":true,"placeholder":"","lines":0,"helpTexts":{"prefix":"","postfix":""},"spacing":{},"shareValue":false,"type":"textBox","name":"Version","label":"Version"},{"helpTexts":{"prefix":"","postfix":""},"spacing":{},"type":"heading","name":"BIM_Heading","label":"BIM - For UK & ROI only"},{"helpTexts":{"prefix":"","postfix":""},"spacing":{},"type":"instructions","name":"BIM_Instruction","label":"Document Number (in accordance with BS EN ISO19650-2:2018).  Format to follow: 0003-RPS-XX-XX-RP-Y-0000 (i.e. Project-Originator-Functional breakdown – Spatial Breakdown -Form-Discipline-Number)"},{"required":false,"placeholder":"0003-RPS-XX-XX-RP-Y-0000","lines":0,"helpTexts":{"prefix":"","postfix":""},"spacing":{},"shareValue":false,"type":"textBox","name":"BIM_Number","label":"Document Number"}],"formDataEntries":[{"name":"Title","value":"U5PBrVYkgvG0eomkwzxd2Onpzq6OtMmPI2TmlitlWBQeloHQRVD0mOc5K99zHJfosG0eoolOJ88Mx0l7Hbb5gw=="},{"name":"Subtitle","value":"96ToIv0SpWTPqGluhgQ6iGATACj6J5kv8jSarret7lA="},{"name":"ProjectReference","value":"ZtOEB7+u8FcuCZtFzKbIG5NuSfY4WyCJxJPuEFcsVTA="},{"name":"Date","value":"fhh5P4KTrTvgnNflMLKZ5w=="},{"name":"Version","value":"uJZagN/qRaVjJGX2SjWiew=="},{"name":"BIM_Number","value":"zz/gdWr2tzljKz8i8QAy9w=="}]}]]></TemplafyFormConfiguration>
</file>

<file path=customXml/item5.xml><?xml version="1.0" encoding="utf-8"?>
<ct:contentTypeSchema xmlns:ct="http://schemas.microsoft.com/office/2006/metadata/contentType" xmlns:ma="http://schemas.microsoft.com/office/2006/metadata/properties/metaAttributes" ct:_="" ma:_="" ma:contentTypeName="Document" ma:contentTypeID="0x010100E6CF55D89C5AA84A955B2372649EB2C2" ma:contentTypeVersion="14" ma:contentTypeDescription="Create a new document." ma:contentTypeScope="" ma:versionID="ff5e2b3495d713647565eb4802c5329f">
  <xsd:schema xmlns:xsd="http://www.w3.org/2001/XMLSchema" xmlns:xs="http://www.w3.org/2001/XMLSchema" xmlns:p="http://schemas.microsoft.com/office/2006/metadata/properties" xmlns:ns2="9b1c0616-a63f-4f3d-8a37-c751699c5c0a" xmlns:ns3="cb2a8382-a359-4967-8c78-9ff9be54f141" targetNamespace="http://schemas.microsoft.com/office/2006/metadata/properties" ma:root="true" ma:fieldsID="5d39478d6eb68620e1aa885bcc11800c" ns2:_="" ns3:_="">
    <xsd:import namespace="9b1c0616-a63f-4f3d-8a37-c751699c5c0a"/>
    <xsd:import namespace="cb2a8382-a359-4967-8c78-9ff9be54f14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1c0616-a63f-4f3d-8a37-c751699c5c0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ffb2afa-0461-4a25-b7e7-e28982f86d9a"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b2a8382-a359-4967-8c78-9ff9be54f141"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48c4dfee-d9fa-4fa4-b30c-1be4751f160d}" ma:internalName="TaxCatchAll" ma:showField="CatchAllData" ma:web="cb2a8382-a359-4967-8c78-9ff9be54f14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TemplafyTemplateConfiguration><![CDATA[{"elementsMetadata":[{"elementConfiguration":{"binding":"{{Form.Title}}","visibility":"","removeAndKeepContent":false,"disableUpdates":false,"type":"text"},"type":"richTextContentControl","id":"1ab11429-1136-4115-9248-ca0992759744"},{"elementConfiguration":{"binding":"{{Form.Subtitle}}","visibility":"","removeAndKeepContent":false,"disableUpdates":false,"type":"text"},"type":"richTextContentControl","id":"c6eaccc3-8a9f-4f77-8b68-85d98853b521"},{"elementConfiguration":{"binding":"{{Form.Title}}","visibility":"","removeAndKeepContent":false,"disableUpdates":false,"type":"text"},"type":"richTextContentControl","id":"e177f6b9-6d88-449f-98af-b737c2567598"},{"elementConfiguration":{"binding":"{{Form.Subtitle}}","visibility":"","removeAndKeepContent":false,"disableUpdates":false,"type":"text"},"type":"richTextContentControl","id":"e7e9f98f-d0a0-4044-85bf-42b5de8050ca"},{"elementConfiguration":{"binding":"{{Form.Title}}","visibility":"","removeAndKeepContent":false,"disableUpdates":false,"type":"text"},"type":"richTextContentControl","id":"65a4209f-1efd-4528-a693-bb9aeeffdba3"},{"elementConfiguration":{"binding":"{{Form.Subtitle}}","visibility":"","removeAndKeepContent":false,"disableUpdates":false,"type":"text"},"type":"richTextContentControl","id":"df771c9c-c00a-4e83-8645-0861d24159e0"},{"elementConfiguration":{"binding":"{{Form.Title}}","visibility":"","removeAndKeepContent":false,"disableUpdates":false,"type":"text"},"type":"richTextContentControl","id":"eb0bf0cf-a689-4ca1-aa64-57e3afc0b7bb"},{"elementConfiguration":{"binding":"{{Form.Subtitle}}","visibility":"","removeAndKeepContent":false,"disableUpdates":false,"type":"text"},"type":"richTextContentControl","id":"53220d7e-4823-44e1-be64-718c3d1a5bfe"},{"elementConfiguration":{"binding":"{{Form.Title}}","visibility":"","removeAndKeepContent":false,"disableUpdates":false,"type":"text"},"type":"richTextContentControl","id":"15c88c6e-b28b-4ffa-9aed-20219761e42d"},{"elementConfiguration":{"binding":"{{Form.Subtitle}}","visibility":"","removeAndKeepContent":false,"disableUpdates":false,"type":"text"},"type":"richTextContentControl","id":"6b972c9f-75a9-4aaf-8990-90797e301850"},{"elementConfiguration":{"binding":"{{Form.Title}}","visibility":"","removeAndKeepContent":false,"disableUpdates":false,"type":"text"},"type":"richTextContentControl","id":"736d7e2b-7195-4262-afa4-6705b26b128d"},{"elementConfiguration":{"binding":"{{Form.Subtitle}}","visibility":"","removeAndKeepContent":false,"disableUpdates":false,"type":"text"},"type":"richTextContentControl","id":"e312fa8a-2fe1-45bf-bdf4-bb7b1c59e2fb"},{"elementConfiguration":{"binding":"{{Form.Title}}","visibility":"","removeAndKeepContent":false,"disableUpdates":false,"type":"text"},"type":"richTextContentControl","id":"54fd0489-bcd1-4a1a-a03b-b17629ade267"},{"elementConfiguration":{"binding":"{{Form.Subtitle}}","visibility":"","removeAndKeepContent":false,"disableUpdates":false,"type":"text"},"type":"richTextContentControl","id":"0a6d897a-86fb-44e0-a675-7f5ac75a11fe"},{"elementConfiguration":{"binding":"{{Form.Title}}","visibility":"","removeAndKeepContent":false,"disableUpdates":false,"type":"text"},"type":"richTextContentControl","id":"9da18eb4-1519-4b2f-9bba-b15a6d19968b"},{"elementConfiguration":{"binding":"{{Form.Subtitle}}","visibility":"","removeAndKeepContent":false,"disableUpdates":false,"type":"text"},"type":"richTextContentControl","id":"5fd91061-92af-4ec3-92c2-ae35207d4d74"},{"elementConfiguration":{"binding":"{{Form.Title}}","visibility":"","removeAndKeepContent":false,"disableUpdates":false,"type":"text"},"type":"richTextContentControl","id":"e3617f59-b503-4956-89c6-fefd7ebb49bb"},{"elementConfiguration":{"binding":"{{Form.Subtitle}}","visibility":"","removeAndKeepContent":false,"disableUpdates":false,"type":"text"},"type":"richTextContentControl","id":"a21ca838-9f99-4207-a9e0-cf4e99096265"},{"elementConfiguration":{"binding":"{{Form.Title}}","visibility":"","removeAndKeepContent":false,"disableUpdates":false,"type":"text"},"type":"richTextContentControl","id":"f570d5ce-78a6-4106-8ed5-1907788c1e41"},{"elementConfiguration":{"binding":"{{Form.Subtitle}}","visibility":"","removeAndKeepContent":false,"disableUpdates":false,"type":"text"},"type":"richTextContentControl","id":"1cc63ab6-d663-4470-9b4d-8c020503ccff"},{"elementConfiguration":{"binding":"{{Form.ProjectReference}}","visibility":"","removeAndKeepContent":false,"disableUpdates":false,"type":"text"},"type":"richTextContentControl","id":"6de01a3a-d526-491f-ae83-d445f6bd9efe"},{"elementConfiguration":{"binding":"{{FormatDateTime(Form.Date, Translate(\"Format_GeneralDate\"), DocumentLanguage)}}","visibility":"","removeAndKeepContent":false,"disableUpdates":false,"type":"text"},"type":"richTextContentControl","id":"7d2d1958-3467-4407-881c-b77961304730"},{"elementConfiguration":{"binding":"{{Form.Version}}","visibility":"","removeAndKeepContent":false,"disableUpdates":false,"type":"text"},"type":"richTextContentControl","id":"fa814423-5a3f-41b6-94b0-0f6a1416c1f4"},{"elementConfiguration":{"binding":"{{Form.BIM_Number}}","visibility":"","removeAndKeepContent":false,"disableUpdates":false,"type":"text"},"type":"richTextContentControl","id":"9eb95408-6800-43ce-9b95-b1f85c72b8a1"},{"elementConfiguration":{"binding":"{{Translate(\"DocumentStatus\")}}","visibility":"","removeAndKeepContent":false,"disableUpdates":false,"type":"text"},"type":"richTextContentControl","id":"43adf372-89ad-436f-8225-08ba11f2c661"},{"elementConfiguration":{"binding":"{{Translate(\"Version\")}}","visibility":"","removeAndKeepContent":false,"disableUpdates":false,"type":"text"},"type":"richTextContentControl","id":"6f876219-a1ba-4676-8f07-e52b25ebeb8f"},{"elementConfiguration":{"binding":"{{Translate(\"PurposeOfDocument\")}}","visibility":"","removeAndKeepContent":false,"disableUpdates":false,"type":"text"},"type":"richTextContentControl","id":"1131e739-40e2-4043-b253-d61bee546ff4"},{"elementConfiguration":{"binding":"{{Translate(\"AuthoredBy\")}}","visibility":"","removeAndKeepContent":false,"disableUpdates":false,"type":"text"},"type":"richTextContentControl","id":"7bb457f7-34a4-40db-ac8a-240835b5df19"},{"elementConfiguration":{"binding":"{{Translate(\"ReviewedBy\")}}","visibility":"","removeAndKeepContent":false,"disableUpdates":false,"type":"text"},"type":"richTextContentControl","id":"f88d2882-540e-4228-ac78-8884a3957779"},{"elementConfiguration":{"binding":"{{Translate(\"ReviewDate\")}}","visibility":"","removeAndKeepContent":false,"disableUpdates":false,"type":"text"},"type":"richTextContentControl","id":"c4dad0ab-69fb-4414-9d31-a345fa60725e"},{"elementConfiguration":{"binding":"{{Translate(\"ApprovalForIssue\")}}","visibility":"","removeAndKeepContent":false,"disableUpdates":false,"type":"text"},"type":"richTextContentControl","id":"74f68f34-5ab6-466f-b2c4-8f3fe3309d7b"},{"elementConfiguration":{"binding":"{{UserProfile.Entity.DisclaimerReport.Text}}","visibility":"","removeAndKeepContent":false,"disableUpdates":false,"type":"text"},"type":"richTextContentControl","id":"7e02c50e-be7b-4c4d-ad45-c359f7dc7ddc"},{"elementConfiguration":{"binding":"{{Translate(\"PreparedBy\")}}","visibility":"","removeAndKeepContent":false,"disableUpdates":false,"type":"text"},"type":"richTextContentControl","id":"1540aef3-90ef-4a69-8f17-e6f9e5357f19"},{"elementConfiguration":{"binding":"{{Translate(\"PreparedFor\")}}","visibility":"","removeAndKeepContent":false,"disableUpdates":false,"type":"text"},"type":"richTextContentControl","id":"d540e4dc-6839-4018-b203-fa8fee7d8870"},{"elementConfiguration":{"binding":"{{UserProfile.Name}}","visibility":"","removeAndKeepContent":false,"disableUpdates":false,"type":"text"},"type":"richTextContentControl","id":"340f46c6-595b-4a9b-92b8-c582c97ec41c"},{"elementConfiguration":{"binding":"{{UserProfile.Jobtitle}}","visibility":"","removeAndKeepContent":false,"disableUpdates":false,"type":"text"},"type":"richTextContentControl","id":"83db4dcb-293f-462f-ac13-d1a3a496f991"},{"elementConfiguration":{"binding":"{{UserProfile.Office.Office.FullAddress}}","visibility":"","removeAndKeepContent":false,"disableUpdates":false,"type":"text"},"type":"richTextContentControl","id":"152bf0e5-2570-4312-9212-759dcaf8f3eb"},{"elementConfiguration":{"binding":"{{UserProfile.Office.Office.OfficePhone}}","visibility":"","removeAndKeepContent":false,"disableUpdates":false,"type":"text"},"type":"richTextContentControl","id":"5432f7b3-284d-4c05-a593-869bb5b9cea4"},{"elementConfiguration":{"binding":"{{UserProfile.Email}}","visibility":"","removeAndKeepContent":false,"disableUpdates":false,"type":"text"},"type":"richTextContentControl","id":"9ac9cc5f-3e4a-47cc-9eaa-0eb181636183"},{"elementConfiguration":{"binding":"{{Translate(\"Contents\")}}","visibility":"","removeAndKeepContent":false,"disableUpdates":false,"type":"text"},"type":"richTextContentControl","id":"84e9f87f-04f4-41e9-806b-5dd86b3055ec"},{"elementConfiguration":{"binding":"{{Translate(\"Tables\")}}","visibility":"","removeAndKeepContent":false,"disableUpdates":false,"type":"text"},"type":"richTextContentControl","id":"48cfadeb-75f2-439a-a1ff-a94d17e9bdde"},{"elementConfiguration":{"binding":"{{Translate(\"Plates\")}}","visibility":"","removeAndKeepContent":false,"disableUpdates":false,"type":"text"},"type":"richTextContentControl","id":"f65de457-0e83-4e22-884f-8f3bc91b357e"},{"elementConfiguration":{"binding":"{{Translate(\"Figures\")}}","visibility":"","removeAndKeepContent":false,"disableUpdates":false,"type":"text"},"type":"richTextContentControl","id":"56f1aa39-01be-4fdc-b353-bb1b91066a96"},{"elementConfiguration":{"binding":"{{Translate(\"Graphs\")}}","visibility":"","removeAndKeepContent":false,"disableUpdates":false,"type":"text"},"type":"richTextContentControl","id":"2a21c76e-d185-4bd4-91ff-16e80b67b5bc"},{"elementConfiguration":{"binding":"{{Translate(\"Photos\")}}","visibility":"","removeAndKeepContent":false,"disableUpdates":false,"type":"text"},"type":"richTextContentControl","id":"d5728c2f-c2ba-4790-b59c-28cd1abc558c"},{"elementConfiguration":{"binding":"{{Translate(\"Appendices\")}}","visibility":"","removeAndKeepContent":false,"disableUpdates":false,"type":"text"},"type":"richTextContentControl","id":"ab4ed130-805c-497e-9685-4a4af6512400"},{"elementConfiguration":{"binding":"{{Translate(\"Report\")}}","visibility":"","removeAndKeepContent":false,"disableUpdates":false,"type":"text"},"type":"richTextContentControl","id":"82f38b87-9f95-440f-bd74-fd47d01ae3a5"},{"elementConfiguration":{"binding":"{{Translate(\"Report\")}}","visibility":"","removeAndKeepContent":false,"disableUpdates":false,"type":"text"},"type":"richTextContentControl","id":"50a4e63a-edb8-4705-96c3-541e0d914276"},{"elementConfiguration":{"binding":"{{UserProfile.Office.Office.OfficeName}}","visibility":"","removeAndKeepContent":false,"disableUpdates":false,"type":"text"},"type":"richTextContentControl","id":"b65bc69e-ec87-4d59-9575-c734dd91ea33"},{"elementConfiguration":{"binding":"{{UserProfile.Office.Office.FullAddress}}","visibility":"","removeAndKeepContent":false,"disableUpdates":false,"type":"text"},"type":"richTextContentControl","id":"3066efea-e43c-4b82-8650-cb157c0dc6e6"},{"elementConfiguration":{"visibility":"{{IfElse(Equals(UserProfile.Office.Office.OfficePhone, \"\"), VisibilityType.Hidden, VisibilityType.Visible)}}","disableUpdates":false,"type":"group"},"type":"richTextContentControl","id":"b4587d9a-9857-4f81-ab13-8f08b32e4317"},{"elementConfiguration":{"binding":"{{Translate(\"Phone\")}}","visibility":"","removeAndKeepContent":false,"disableUpdates":false,"type":"text"},"type":"richTextContentControl","id":"11db34b1-9822-4fb3-812c-0ec68e03adf9"},{"elementConfiguration":{"binding":"{{UserProfile.Office.Office.OfficePhone}}","visibility":"","removeAndKeepContent":false,"disableUpdates":false,"type":"text"},"type":"richTextContentControl","id":"37b280e1-21d2-47d8-8a9d-c1cc640f1933"},{"elementConfiguration":{"visibility":"{{IfElse(Equals(UserProfile.Office.Office.OfficeEmail, \"\"), VisibilityType.Hidden, VisibilityType.Visible)}}","disableUpdates":false,"type":"group"},"type":"richTextContentControl","id":"7d29c534-7a47-4224-9096-ee48e07ca467"},{"elementConfiguration":{"binding":"{{Translate(\"Email\")}}","visibility":"","removeAndKeepContent":false,"disableUpdates":false,"type":"text"},"type":"richTextContentControl","id":"9062c542-ff23-4957-81ad-881d72b1da37"},{"elementConfiguration":{"binding":"{{UserProfile.Office.Office.OfficeEmail}}","visibility":"","removeAndKeepContent":false,"disableUpdates":false,"type":"text"},"type":"richTextContentControl","id":"6658e584-ef03-4623-94a5-07359a774a2a"},{"elementConfiguration":{"binding":"{{FormatDateTime(Form.Date, Translate(\"Format_GeneralDate\"), DocumentLanguage)}}","visibility":"","removeAndKeepContent":false,"disableUpdates":false,"type":"text"},"type":"richTextContentControl","id":"a26dd993-11f7-40f9-aa83-d6c7c19e5304"},{"elementConfiguration":{"binding":"{{UserProfile.Office.Office.OfficeName}}","visibility":"","removeAndKeepContent":false,"disableUpdates":false,"type":"text"},"type":"richTextContentControl","id":"7a24f0a4-7e0d-4a8b-858b-298f46f65c03"},{"elementConfiguration":{"binding":"{{UserProfile.Office.Office.FullAddress}}","visibility":"","removeAndKeepContent":false,"disableUpdates":false,"type":"text"},"type":"richTextContentControl","id":"b7b0d9cb-19f3-4185-9682-23ffb2b95a9d"},{"elementConfiguration":{"visibility":"{{IfElse(Equals(UserProfile.Office.Office.OfficePhone, \"\"), VisibilityType.Hidden, VisibilityType.Visible)}}","disableUpdates":false,"type":"group"},"type":"richTextContentControl","id":"4464cc01-6217-47fd-a426-462e8670c43e"},{"elementConfiguration":{"binding":"{{Translate(\"Phone\")}}","visibility":"","removeAndKeepContent":false,"disableUpdates":false,"type":"text"},"type":"richTextContentControl","id":"6983ce78-d501-473d-bd3a-433bee342682"},{"elementConfiguration":{"binding":"{{UserProfile.Office.Office.OfficePhone}}","visibility":"","removeAndKeepContent":false,"disableUpdates":false,"type":"text"},"type":"richTextContentControl","id":"e5b3bdd8-ce63-41cf-a87c-9f51fc0dc8c4"},{"elementConfiguration":{"visibility":"{{IfElse(Equals(UserProfile.Office.Office.OfficeEmail, \"\"), VisibilityType.Hidden, VisibilityType.Visible)}}","disableUpdates":false,"type":"group"},"type":"richTextContentControl","id":"77745d1c-47b5-4734-9722-34d0df0d8636"},{"elementConfiguration":{"binding":"{{Translate(\"Email\")}}","visibility":"","removeAndKeepContent":false,"disableUpdates":false,"type":"text"},"type":"richTextContentControl","id":"6fefd882-3469-4b71-a944-059d40fecb1d"},{"elementConfiguration":{"binding":"{{UserProfile.Office.Office.OfficeEmail}}","visibility":"","removeAndKeepContent":false,"disableUpdates":false,"type":"text"},"type":"richTextContentControl","id":"c3440b8f-29f5-4523-b807-17647ebeb82f"},{"elementConfiguration":{"binding":"{{FormatDateTime(Form.Date, Translate(\"Format_GeneralDate\"), DocumentLanguage)}}","visibility":"","removeAndKeepContent":false,"disableUpdates":false,"type":"text"},"type":"richTextContentControl","id":"e8f504a7-e199-498a-9ecc-fbf80b47e12b"},{"elementConfiguration":{"binding":"{{Form.Title}}","visibility":"","removeAndKeepContent":false,"disableUpdates":false,"type":"text"},"type":"richTextContentControl","id":"cb3839a9-37c1-4559-bdcc-b4d8ea546739"},{"elementConfiguration":{"binding":"{{Form.Version}}","visibility":"","removeAndKeepContent":false,"disableUpdates":false,"type":"text"},"type":"richTextContentControl","id":"c1c6bc0a-9dfa-453a-9dbf-62e39b91b29a"},{"elementConfiguration":{"binding":"{{Form.BIM_Number}}","visibility":"","removeAndKeepContent":false,"disableUpdates":false,"type":"text"},"type":"richTextContentControl","id":"6c2c5493-bab6-48cb-90fc-06e67fec9635"},{"elementConfiguration":{"binding":"{{Translate(\"Page\")}}","visibility":"","removeAndKeepContent":false,"disableUpdates":false,"type":"text"},"type":"richTextContentControl","id":"a383aeb4-e42a-4801-811d-af28d270c935"},{"elementConfiguration":{"binding":"{{Translate(\"Page\")}}","visibility":"","removeAndKeepContent":false,"disableUpdates":false,"type":"text"},"type":"richTextContentControl","id":"ed36576f-1258-48cf-8955-f0ce906d7f33"},{"elementConfiguration":{"binding":"{{UserProfile.Entity.WebShort}}","visibility":"","removeAndKeepContent":false,"disableUpdates":false,"type":"text"},"type":"richTextContentControl","id":"871aab81-9981-4d5d-b47e-bdd37a4ddd2f"},{"elementConfiguration":{"binding":"{{UserProfile.Entity.WebShort}}","visibility":"","removeAndKeepContent":false,"disableUpdates":false,"type":"text"},"type":"richTextContentControl","id":"adae0dc2-a7d0-482b-8a75-f4781f9d3029"},{"elementConfiguration":{"binding":"{{Form.Title}}","visibility":"","removeAndKeepContent":false,"disableUpdates":false,"type":"text"},"type":"richTextContentControl","id":"e4911cd3-7eaf-4d2a-9523-3a2be01772b0"},{"elementConfiguration":{"binding":"{{Form.Version}}","visibility":"","removeAndKeepContent":false,"disableUpdates":false,"type":"text"},"type":"richTextContentControl","id":"75669b57-83fd-48a1-a9ab-423556560e4e"},{"elementConfiguration":{"binding":"{{Form.BIM_Number}}","visibility":"","removeAndKeepContent":false,"disableUpdates":false,"type":"text"},"type":"richTextContentControl","id":"66e6045b-4c4a-4a3b-bafc-dbbfe0551729"},{"elementConfiguration":{"binding":"{{Translate(\"Page\")}}","visibility":"","removeAndKeepContent":false,"disableUpdates":false,"type":"text"},"type":"richTextContentControl","id":"5c25c4a0-72e0-4695-bcb8-897d4fd42997"},{"elementConfiguration":{"binding":"{{Translate(\"Page\")}}","visibility":"","removeAndKeepContent":false,"disableUpdates":false,"type":"text"},"type":"richTextContentControl","id":"dd8189df-c88a-4668-af74-c56bc6cdf475"},{"elementConfiguration":{"binding":"{{UserProfile.Entity.WebShort}}","visibility":"","removeAndKeepContent":false,"disableUpdates":false,"type":"text"},"type":"richTextContentControl","id":"71f2e4e7-a762-436a-8bb6-d7e14ed9ba7a"}],"transformationConfigurations":[{"propertyName":"ProjectReference","propertyValue":"{{Form.ProjectReference}}","disableUpdates":false,"type":"customDocumentProperty"},{"propertyName":"Title","propertyValue":"{{Form.Title}}","disableUpdates":false,"type":"customDocumentProperty"},{"propertyName":"Version","propertyValue":"{{Form.Version}}","disableUpdates":false,"type":"customDocumentProperty"},{"language":"{{DocumentLanguage}}","disableUpdates":false,"type":"proofingLanguage"},{"propertyName":"OfficeExtensionsTranslationTables","propertyValue":"{{Translate(\"Tables\")}}","disableUpdates":false,"type":"customDocumentProperty"},{"propertyName":"OfficeExtensionsTranslationFigures","propertyValue":"{{Translate(\"Figures\")}}","disableUpdates":false,"type":"customDocumentProperty"},{"propertyName":"OfficeExtensionsTranslationGraphs","propertyValue":"{{Translate(\"Graphs\")}}","disableUpdates":false,"type":"customDocumentProperty"},{"propertyName":"OfficeExtensionsTranslationPlates","propertyValue":"{{Translate(\"Plates\")}}","disableUpdates":false,"type":"customDocumentProperty"},{"propertyName":"OfficeExtensionsTranslationAppendices","propertyValue":"{{Translate(\"Appendices\")}}","disableUpdates":false,"type":"customDocumentProperty"},{"propertyName":"OfficeExtensionsTranslationContents","propertyValue":"{{Translate(\"Contents\")}}","disableUpdates":false,"type":"customDocumentProperty"},{"image":"{{UserProfile.Entity.Logo.LogoName.Image}}","shapeName":"LogoHide","width":"{{UserProfile.Entity.Logo.LogoWidth}}","height":"","namedSections":"{{NamedSections.First}}","namedPages":"{{NamedPages.All}}","numberedSections":[],"leftOffset":"{{UserProfile.Entity.Logo.LeftOffset}}","horizontalRelativePosition":"{{HorizontalRelativePosition.RightMargin}}","horizontalAlignment":"","topOffset":"{{UserProfile.Entity.Logo.TopOffset}}","verticalRelativePosition":"{{VerticalRelativePosition.Page}}","verticalAlignment":"","imageTextWrapping":"{{ImageTextWrapping.InFrontOfText}}","rotation":"","color":"","disableUpdates":false,"type":"imageHeader"},{"propertyName":"PageSetup","propertyValue":"{{UserProfile.PageSetup.PaperSize}}","disableUpdates":false,"type":"customDocumentProperty"},{"topMargin":"{{UserProfile.PageSetup.TopMargin}}","rightMargin":"{{UserProfile.PageSetup.RightMargin}}","bottomMargin":"{{UserProfile.PageSetup.BottomMargin}}","leftMargin":"{{UserProfile.PageSetup.LeftMargin}}","paperWidth":"{{UserProfile.PageSetup.PaperWidth}}","paperHeight":"{{UserProfile.PageSetup.PaperHeight}}","originalValues":{"topMargin":1418,"rightMargin":1134,"bottomMargin":1418,"leftMargin":1134,"gutter":0,"gutterPosition":"left","orientation":"portrait","paperWidth":11906,"paperHeight":16838,"headerFromEdge":907,"footerFromEdge":567},"disableUpdates":true,"type":"pageSetup"}],"templateName":"RPS Report","templateDescription":"A4 report template with cover options","enableDocumentContentUpdater":true,"version":"2.0"}]]></TemplafyTemplateConfiguration>
</file>

<file path=customXml/itemProps1.xml><?xml version="1.0" encoding="utf-8"?>
<ds:datastoreItem xmlns:ds="http://schemas.openxmlformats.org/officeDocument/2006/customXml" ds:itemID="{D8584411-ACEE-43AF-8851-87B4AA192AC4}">
  <ds:schemaRefs>
    <ds:schemaRef ds:uri="http://schemas.openxmlformats.org/officeDocument/2006/bibliography"/>
  </ds:schemaRefs>
</ds:datastoreItem>
</file>

<file path=customXml/itemProps2.xml><?xml version="1.0" encoding="utf-8"?>
<ds:datastoreItem xmlns:ds="http://schemas.openxmlformats.org/officeDocument/2006/customXml" ds:itemID="{7CA15A24-2744-46D9-9720-BA4E76B60473}">
  <ds:schemaRefs>
    <ds:schemaRef ds:uri="http://schemas.microsoft.com/sharepoint/v3/contenttype/forms"/>
  </ds:schemaRefs>
</ds:datastoreItem>
</file>

<file path=customXml/itemProps3.xml><?xml version="1.0" encoding="utf-8"?>
<ds:datastoreItem xmlns:ds="http://schemas.openxmlformats.org/officeDocument/2006/customXml" ds:itemID="{07F3A45E-9FEA-4BED-BCCD-70C48B9E1EDA}">
  <ds:schemaRefs>
    <ds:schemaRef ds:uri="http://schemas.microsoft.com/office/2006/metadata/properties"/>
    <ds:schemaRef ds:uri="http://schemas.microsoft.com/office/infopath/2007/PartnerControls"/>
    <ds:schemaRef ds:uri="9b1c0616-a63f-4f3d-8a37-c751699c5c0a"/>
    <ds:schemaRef ds:uri="cb2a8382-a359-4967-8c78-9ff9be54f141"/>
  </ds:schemaRefs>
</ds:datastoreItem>
</file>

<file path=customXml/itemProps4.xml><?xml version="1.0" encoding="utf-8"?>
<ds:datastoreItem xmlns:ds="http://schemas.openxmlformats.org/officeDocument/2006/customXml" ds:itemID="{E78224B9-30A2-4041-94CA-6422A6BC53DA}">
  <ds:schemaRefs/>
</ds:datastoreItem>
</file>

<file path=customXml/itemProps5.xml><?xml version="1.0" encoding="utf-8"?>
<ds:datastoreItem xmlns:ds="http://schemas.openxmlformats.org/officeDocument/2006/customXml" ds:itemID="{461F7BDF-9546-4255-9252-A1256FEBF1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b1c0616-a63f-4f3d-8a37-c751699c5c0a"/>
    <ds:schemaRef ds:uri="cb2a8382-a359-4967-8c78-9ff9be54f1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028D40E2-1CD2-4A7C-8137-29C02AD14501}">
  <ds:schemaRefs/>
</ds:datastoreItem>
</file>

<file path=docProps/app.xml><?xml version="1.0" encoding="utf-8"?>
<Properties xmlns="http://schemas.openxmlformats.org/officeDocument/2006/extended-properties" xmlns:vt="http://schemas.openxmlformats.org/officeDocument/2006/docPropsVTypes">
  <Template>RPS Report</Template>
  <TotalTime>1</TotalTime>
  <Pages>266</Pages>
  <Words>88395</Words>
  <Characters>503856</Characters>
  <Application>Microsoft Office Word</Application>
  <DocSecurity>0</DocSecurity>
  <Lines>4198</Lines>
  <Paragraphs>1182</Paragraphs>
  <ScaleCrop>false</ScaleCrop>
  <HeadingPairs>
    <vt:vector size="2" baseType="variant">
      <vt:variant>
        <vt:lpstr>Title</vt:lpstr>
      </vt:variant>
      <vt:variant>
        <vt:i4>1</vt:i4>
      </vt:variant>
    </vt:vector>
  </HeadingPairs>
  <TitlesOfParts>
    <vt:vector size="1" baseType="lpstr">
      <vt:lpstr>MOOLOOLABA BOAT HARBOUR ENTRANCE INDEPENDENT REVIEW</vt:lpstr>
    </vt:vector>
  </TitlesOfParts>
  <Company/>
  <LinksUpToDate>false</LinksUpToDate>
  <CharactersWithSpaces>591069</CharactersWithSpaces>
  <SharedDoc>false</SharedDoc>
  <HLinks>
    <vt:vector size="2682" baseType="variant">
      <vt:variant>
        <vt:i4>1245249</vt:i4>
      </vt:variant>
      <vt:variant>
        <vt:i4>3096</vt:i4>
      </vt:variant>
      <vt:variant>
        <vt:i4>0</vt:i4>
      </vt:variant>
      <vt:variant>
        <vt:i4>5</vt:i4>
      </vt:variant>
      <vt:variant>
        <vt:lpwstr>https://www.data.qld.gov.au/dataset/wildnet-wildlife-records-published-queensland</vt:lpwstr>
      </vt:variant>
      <vt:variant>
        <vt:lpwstr/>
      </vt:variant>
      <vt:variant>
        <vt:i4>1245249</vt:i4>
      </vt:variant>
      <vt:variant>
        <vt:i4>3093</vt:i4>
      </vt:variant>
      <vt:variant>
        <vt:i4>0</vt:i4>
      </vt:variant>
      <vt:variant>
        <vt:i4>5</vt:i4>
      </vt:variant>
      <vt:variant>
        <vt:lpwstr>https://www.data.qld.gov.au/dataset/wildnet-wildlife-records-published-queensland</vt:lpwstr>
      </vt:variant>
      <vt:variant>
        <vt:lpwstr/>
      </vt:variant>
      <vt:variant>
        <vt:i4>3932260</vt:i4>
      </vt:variant>
      <vt:variant>
        <vt:i4>3090</vt:i4>
      </vt:variant>
      <vt:variant>
        <vt:i4>0</vt:i4>
      </vt:variant>
      <vt:variant>
        <vt:i4>5</vt:i4>
      </vt:variant>
      <vt:variant>
        <vt:lpwstr>https://www.visitsunshinecoast.com/place/mooloolaba</vt:lpwstr>
      </vt:variant>
      <vt:variant>
        <vt:lpwstr/>
      </vt:variant>
      <vt:variant>
        <vt:i4>4849751</vt:i4>
      </vt:variant>
      <vt:variant>
        <vt:i4>3087</vt:i4>
      </vt:variant>
      <vt:variant>
        <vt:i4>0</vt:i4>
      </vt:variant>
      <vt:variant>
        <vt:i4>5</vt:i4>
      </vt:variant>
      <vt:variant>
        <vt:lpwstr>https://www.tra.gov.au/en/regional/local-government-area-profiles</vt:lpwstr>
      </vt:variant>
      <vt:variant>
        <vt:lpwstr/>
      </vt:variant>
      <vt:variant>
        <vt:i4>2818099</vt:i4>
      </vt:variant>
      <vt:variant>
        <vt:i4>3084</vt:i4>
      </vt:variant>
      <vt:variant>
        <vt:i4>0</vt:i4>
      </vt:variant>
      <vt:variant>
        <vt:i4>5</vt:i4>
      </vt:variant>
      <vt:variant>
        <vt:lpwstr>https://www.wharfmooloolaba.com.au/</vt:lpwstr>
      </vt:variant>
      <vt:variant>
        <vt:lpwstr/>
      </vt:variant>
      <vt:variant>
        <vt:i4>5832719</vt:i4>
      </vt:variant>
      <vt:variant>
        <vt:i4>3081</vt:i4>
      </vt:variant>
      <vt:variant>
        <vt:i4>0</vt:i4>
      </vt:variant>
      <vt:variant>
        <vt:i4>5</vt:i4>
      </vt:variant>
      <vt:variant>
        <vt:lpwstr>https://www.sunshinecoastnews.com.au/2025/08/11/master-plan-to-chart-harbours-future/</vt:lpwstr>
      </vt:variant>
      <vt:variant>
        <vt:lpwstr/>
      </vt:variant>
      <vt:variant>
        <vt:i4>4915264</vt:i4>
      </vt:variant>
      <vt:variant>
        <vt:i4>3078</vt:i4>
      </vt:variant>
      <vt:variant>
        <vt:i4>0</vt:i4>
      </vt:variant>
      <vt:variant>
        <vt:i4>5</vt:i4>
      </vt:variant>
      <vt:variant>
        <vt:lpwstr>https://www.sunshinecoast.qld.gov.au/news/vision-of-beauty-see-into-foreshore-s-fabulous-</vt:lpwstr>
      </vt:variant>
      <vt:variant>
        <vt:lpwstr/>
      </vt:variant>
      <vt:variant>
        <vt:i4>2490465</vt:i4>
      </vt:variant>
      <vt:variant>
        <vt:i4>3075</vt:i4>
      </vt:variant>
      <vt:variant>
        <vt:i4>0</vt:i4>
      </vt:variant>
      <vt:variant>
        <vt:i4>5</vt:i4>
      </vt:variant>
      <vt:variant>
        <vt:lpwstr>https://assets-au-scc.kc-usercontent.com/330b87ea-148b-3ecf-9857-698f2086fe8d/33a9c74f-1311-4d76-bc9a-0f0e6e379640/Environment and Liveability Strategy PART A 2023.pdf</vt:lpwstr>
      </vt:variant>
      <vt:variant>
        <vt:lpwstr/>
      </vt:variant>
      <vt:variant>
        <vt:i4>2490465</vt:i4>
      </vt:variant>
      <vt:variant>
        <vt:i4>3072</vt:i4>
      </vt:variant>
      <vt:variant>
        <vt:i4>0</vt:i4>
      </vt:variant>
      <vt:variant>
        <vt:i4>5</vt:i4>
      </vt:variant>
      <vt:variant>
        <vt:lpwstr>https://assets-au-scc.kc-usercontent.com/330b87ea-148b-3ecf-9857-698f2086fe8d/33a9c74f-1311-4d76-bc9a-0f0e6e379640/Environment and Liveability Strategy PART A 2023.pdf</vt:lpwstr>
      </vt:variant>
      <vt:variant>
        <vt:lpwstr/>
      </vt:variant>
      <vt:variant>
        <vt:i4>2490465</vt:i4>
      </vt:variant>
      <vt:variant>
        <vt:i4>3069</vt:i4>
      </vt:variant>
      <vt:variant>
        <vt:i4>0</vt:i4>
      </vt:variant>
      <vt:variant>
        <vt:i4>5</vt:i4>
      </vt:variant>
      <vt:variant>
        <vt:lpwstr>https://assets-au-scc.kc-usercontent.com/330b87ea-148b-3ecf-9857-698f2086fe8d/33a9c74f-1311-4d76-bc9a-0f0e6e379640/Environment and Liveability Strategy PART A 2023.pdf</vt:lpwstr>
      </vt:variant>
      <vt:variant>
        <vt:lpwstr/>
      </vt:variant>
      <vt:variant>
        <vt:i4>7209000</vt:i4>
      </vt:variant>
      <vt:variant>
        <vt:i4>3066</vt:i4>
      </vt:variant>
      <vt:variant>
        <vt:i4>0</vt:i4>
      </vt:variant>
      <vt:variant>
        <vt:i4>5</vt:i4>
      </vt:variant>
      <vt:variant>
        <vt:lpwstr>https://www.sunshinecoast.qld.gov.au/council/planning-and-projects/council-plans/pt-cartwright-master-plan</vt:lpwstr>
      </vt:variant>
      <vt:variant>
        <vt:lpwstr/>
      </vt:variant>
      <vt:variant>
        <vt:i4>7209000</vt:i4>
      </vt:variant>
      <vt:variant>
        <vt:i4>3063</vt:i4>
      </vt:variant>
      <vt:variant>
        <vt:i4>0</vt:i4>
      </vt:variant>
      <vt:variant>
        <vt:i4>5</vt:i4>
      </vt:variant>
      <vt:variant>
        <vt:lpwstr>https://www.sunshinecoast.qld.gov.au/council/planning-and-projects/council-plans/pt-cartwright-master-plan</vt:lpwstr>
      </vt:variant>
      <vt:variant>
        <vt:lpwstr/>
      </vt:variant>
      <vt:variant>
        <vt:i4>393288</vt:i4>
      </vt:variant>
      <vt:variant>
        <vt:i4>3060</vt:i4>
      </vt:variant>
      <vt:variant>
        <vt:i4>0</vt:i4>
      </vt:variant>
      <vt:variant>
        <vt:i4>5</vt:i4>
      </vt:variant>
      <vt:variant>
        <vt:lpwstr>https://www.sunshinecoast.qld.gov.au/</vt:lpwstr>
      </vt:variant>
      <vt:variant>
        <vt:lpwstr/>
      </vt:variant>
      <vt:variant>
        <vt:i4>8192125</vt:i4>
      </vt:variant>
      <vt:variant>
        <vt:i4>3057</vt:i4>
      </vt:variant>
      <vt:variant>
        <vt:i4>0</vt:i4>
      </vt:variant>
      <vt:variant>
        <vt:i4>5</vt:i4>
      </vt:variant>
      <vt:variant>
        <vt:lpwstr>https://economy.id.com.au/sunshine-coast/tourism-value</vt:lpwstr>
      </vt:variant>
      <vt:variant>
        <vt:lpwstr/>
      </vt:variant>
      <vt:variant>
        <vt:i4>1441862</vt:i4>
      </vt:variant>
      <vt:variant>
        <vt:i4>3054</vt:i4>
      </vt:variant>
      <vt:variant>
        <vt:i4>0</vt:i4>
      </vt:variant>
      <vt:variant>
        <vt:i4>5</vt:i4>
      </vt:variant>
      <vt:variant>
        <vt:lpwstr>https://www.msq.qld.gov.au/Boating-facilities</vt:lpwstr>
      </vt:variant>
      <vt:variant>
        <vt:lpwstr/>
      </vt:variant>
      <vt:variant>
        <vt:i4>3342436</vt:i4>
      </vt:variant>
      <vt:variant>
        <vt:i4>3051</vt:i4>
      </vt:variant>
      <vt:variant>
        <vt:i4>0</vt:i4>
      </vt:variant>
      <vt:variant>
        <vt:i4>5</vt:i4>
      </vt:variant>
      <vt:variant>
        <vt:lpwstr>https://reportcard.hlw.org.au/</vt:lpwstr>
      </vt:variant>
      <vt:variant>
        <vt:lpwstr/>
      </vt:variant>
      <vt:variant>
        <vt:i4>3342436</vt:i4>
      </vt:variant>
      <vt:variant>
        <vt:i4>3048</vt:i4>
      </vt:variant>
      <vt:variant>
        <vt:i4>0</vt:i4>
      </vt:variant>
      <vt:variant>
        <vt:i4>5</vt:i4>
      </vt:variant>
      <vt:variant>
        <vt:lpwstr>https://reportcard.hlw.org.au/</vt:lpwstr>
      </vt:variant>
      <vt:variant>
        <vt:lpwstr/>
      </vt:variant>
      <vt:variant>
        <vt:i4>3342372</vt:i4>
      </vt:variant>
      <vt:variant>
        <vt:i4>3045</vt:i4>
      </vt:variant>
      <vt:variant>
        <vt:i4>0</vt:i4>
      </vt:variant>
      <vt:variant>
        <vt:i4>5</vt:i4>
      </vt:variant>
      <vt:variant>
        <vt:lpwstr>https://discovermooloolaba.com.au/</vt:lpwstr>
      </vt:variant>
      <vt:variant>
        <vt:lpwstr/>
      </vt:variant>
      <vt:variant>
        <vt:i4>5111888</vt:i4>
      </vt:variant>
      <vt:variant>
        <vt:i4>3042</vt:i4>
      </vt:variant>
      <vt:variant>
        <vt:i4>0</vt:i4>
      </vt:variant>
      <vt:variant>
        <vt:i4>5</vt:i4>
      </vt:variant>
      <vt:variant>
        <vt:lpwstr>https://www.dpi.qld.gov.au/business-priorities/fisheries/monitor/rec/statewide-survey</vt:lpwstr>
      </vt:variant>
      <vt:variant>
        <vt:lpwstr/>
      </vt:variant>
      <vt:variant>
        <vt:i4>5111888</vt:i4>
      </vt:variant>
      <vt:variant>
        <vt:i4>3039</vt:i4>
      </vt:variant>
      <vt:variant>
        <vt:i4>0</vt:i4>
      </vt:variant>
      <vt:variant>
        <vt:i4>5</vt:i4>
      </vt:variant>
      <vt:variant>
        <vt:lpwstr>https://www.dpi.qld.gov.au/business-priorities/fisheries/monitor/rec/statewide-survey</vt:lpwstr>
      </vt:variant>
      <vt:variant>
        <vt:lpwstr/>
      </vt:variant>
      <vt:variant>
        <vt:i4>4980752</vt:i4>
      </vt:variant>
      <vt:variant>
        <vt:i4>3036</vt:i4>
      </vt:variant>
      <vt:variant>
        <vt:i4>0</vt:i4>
      </vt:variant>
      <vt:variant>
        <vt:i4>5</vt:i4>
      </vt:variant>
      <vt:variant>
        <vt:lpwstr>https://www.environment.gov.au/sprat</vt:lpwstr>
      </vt:variant>
      <vt:variant>
        <vt:lpwstr/>
      </vt:variant>
      <vt:variant>
        <vt:i4>4980752</vt:i4>
      </vt:variant>
      <vt:variant>
        <vt:i4>3033</vt:i4>
      </vt:variant>
      <vt:variant>
        <vt:i4>0</vt:i4>
      </vt:variant>
      <vt:variant>
        <vt:i4>5</vt:i4>
      </vt:variant>
      <vt:variant>
        <vt:lpwstr>https://www.environment.gov.au/sprat</vt:lpwstr>
      </vt:variant>
      <vt:variant>
        <vt:lpwstr/>
      </vt:variant>
      <vt:variant>
        <vt:i4>4980752</vt:i4>
      </vt:variant>
      <vt:variant>
        <vt:i4>3030</vt:i4>
      </vt:variant>
      <vt:variant>
        <vt:i4>0</vt:i4>
      </vt:variant>
      <vt:variant>
        <vt:i4>5</vt:i4>
      </vt:variant>
      <vt:variant>
        <vt:lpwstr>https://www.environment.gov.au/sprat</vt:lpwstr>
      </vt:variant>
      <vt:variant>
        <vt:lpwstr/>
      </vt:variant>
      <vt:variant>
        <vt:i4>5570584</vt:i4>
      </vt:variant>
      <vt:variant>
        <vt:i4>3027</vt:i4>
      </vt:variant>
      <vt:variant>
        <vt:i4>0</vt:i4>
      </vt:variant>
      <vt:variant>
        <vt:i4>5</vt:i4>
      </vt:variant>
      <vt:variant>
        <vt:lpwstr>https://wildnet.science-data.qld.gov.au/</vt:lpwstr>
      </vt:variant>
      <vt:variant>
        <vt:lpwstr/>
      </vt:variant>
      <vt:variant>
        <vt:i4>5701687</vt:i4>
      </vt:variant>
      <vt:variant>
        <vt:i4>3024</vt:i4>
      </vt:variant>
      <vt:variant>
        <vt:i4>0</vt:i4>
      </vt:variant>
      <vt:variant>
        <vt:i4>5</vt:i4>
      </vt:variant>
      <vt:variant>
        <vt:lpwstr>https://environment.des.qld.gov.au/__data/assets/pdf_file/0024/273633/maroochy-river-ev-wqo.pdf</vt:lpwstr>
      </vt:variant>
      <vt:variant>
        <vt:lpwstr/>
      </vt:variant>
      <vt:variant>
        <vt:i4>7667762</vt:i4>
      </vt:variant>
      <vt:variant>
        <vt:i4>3021</vt:i4>
      </vt:variant>
      <vt:variant>
        <vt:i4>0</vt:i4>
      </vt:variant>
      <vt:variant>
        <vt:i4>5</vt:i4>
      </vt:variant>
      <vt:variant>
        <vt:lpwstr>https://www.dcceew.gov.au/environment/epbc/protectedmatters-search-tool</vt:lpwstr>
      </vt:variant>
      <vt:variant>
        <vt:lpwstr/>
      </vt:variant>
      <vt:variant>
        <vt:i4>6684708</vt:i4>
      </vt:variant>
      <vt:variant>
        <vt:i4>3018</vt:i4>
      </vt:variant>
      <vt:variant>
        <vt:i4>0</vt:i4>
      </vt:variant>
      <vt:variant>
        <vt:i4>5</vt:i4>
      </vt:variant>
      <vt:variant>
        <vt:lpwstr>https://nudibranch.com.au/specieslist.html</vt:lpwstr>
      </vt:variant>
      <vt:variant>
        <vt:lpwstr/>
      </vt:variant>
      <vt:variant>
        <vt:i4>6684708</vt:i4>
      </vt:variant>
      <vt:variant>
        <vt:i4>3015</vt:i4>
      </vt:variant>
      <vt:variant>
        <vt:i4>0</vt:i4>
      </vt:variant>
      <vt:variant>
        <vt:i4>5</vt:i4>
      </vt:variant>
      <vt:variant>
        <vt:lpwstr>https://nudibranch.com.au/specieslist.html</vt:lpwstr>
      </vt:variant>
      <vt:variant>
        <vt:lpwstr/>
      </vt:variant>
      <vt:variant>
        <vt:i4>524396</vt:i4>
      </vt:variant>
      <vt:variant>
        <vt:i4>3012</vt:i4>
      </vt:variant>
      <vt:variant>
        <vt:i4>0</vt:i4>
      </vt:variant>
      <vt:variant>
        <vt:i4>5</vt:i4>
      </vt:variant>
      <vt:variant>
        <vt:lpwstr>https://www.bom.gov.au/climate/averages/tables/cw_040861.shtml</vt:lpwstr>
      </vt:variant>
      <vt:variant>
        <vt:lpwstr/>
      </vt:variant>
      <vt:variant>
        <vt:i4>655380</vt:i4>
      </vt:variant>
      <vt:variant>
        <vt:i4>3009</vt:i4>
      </vt:variant>
      <vt:variant>
        <vt:i4>0</vt:i4>
      </vt:variant>
      <vt:variant>
        <vt:i4>5</vt:i4>
      </vt:variant>
      <vt:variant>
        <vt:lpwstr>https://www.publications.qld.gov.au/dataset/recreational-boating-facilities-demand-forecasting-study-</vt:lpwstr>
      </vt:variant>
      <vt:variant>
        <vt:lpwstr/>
      </vt:variant>
      <vt:variant>
        <vt:i4>4391006</vt:i4>
      </vt:variant>
      <vt:variant>
        <vt:i4>3006</vt:i4>
      </vt:variant>
      <vt:variant>
        <vt:i4>0</vt:i4>
      </vt:variant>
      <vt:variant>
        <vt:i4>5</vt:i4>
      </vt:variant>
      <vt:variant>
        <vt:lpwstr>https://birdata.birdlife.org.au/explore</vt:lpwstr>
      </vt:variant>
      <vt:variant>
        <vt:lpwstr>map%3D-26.6796650_153.1356231_16%26visible_on_map%3Dtrue</vt:lpwstr>
      </vt:variant>
      <vt:variant>
        <vt:i4>3866734</vt:i4>
      </vt:variant>
      <vt:variant>
        <vt:i4>3003</vt:i4>
      </vt:variant>
      <vt:variant>
        <vt:i4>0</vt:i4>
      </vt:variant>
      <vt:variant>
        <vt:i4>5</vt:i4>
      </vt:variant>
      <vt:variant>
        <vt:lpwstr>https://lists.ala.org.au/speciesListItem/list/dr781</vt:lpwstr>
      </vt:variant>
      <vt:variant>
        <vt:lpwstr/>
      </vt:variant>
      <vt:variant>
        <vt:i4>3866734</vt:i4>
      </vt:variant>
      <vt:variant>
        <vt:i4>3000</vt:i4>
      </vt:variant>
      <vt:variant>
        <vt:i4>0</vt:i4>
      </vt:variant>
      <vt:variant>
        <vt:i4>5</vt:i4>
      </vt:variant>
      <vt:variant>
        <vt:lpwstr>https://lists.ala.org.au/speciesListItem/list/dr781</vt:lpwstr>
      </vt:variant>
      <vt:variant>
        <vt:lpwstr/>
      </vt:variant>
      <vt:variant>
        <vt:i4>1507425</vt:i4>
      </vt:variant>
      <vt:variant>
        <vt:i4>2991</vt:i4>
      </vt:variant>
      <vt:variant>
        <vt:i4>0</vt:i4>
      </vt:variant>
      <vt:variant>
        <vt:i4>5</vt:i4>
      </vt:variant>
      <vt:variant>
        <vt:lpwstr/>
      </vt:variant>
      <vt:variant>
        <vt:lpwstr>_bookmark207</vt:lpwstr>
      </vt:variant>
      <vt:variant>
        <vt:i4>1704040</vt:i4>
      </vt:variant>
      <vt:variant>
        <vt:i4>2961</vt:i4>
      </vt:variant>
      <vt:variant>
        <vt:i4>0</vt:i4>
      </vt:variant>
      <vt:variant>
        <vt:i4>5</vt:i4>
      </vt:variant>
      <vt:variant>
        <vt:lpwstr/>
      </vt:variant>
      <vt:variant>
        <vt:lpwstr>_bookmark199</vt:lpwstr>
      </vt:variant>
      <vt:variant>
        <vt:i4>1769576</vt:i4>
      </vt:variant>
      <vt:variant>
        <vt:i4>2955</vt:i4>
      </vt:variant>
      <vt:variant>
        <vt:i4>0</vt:i4>
      </vt:variant>
      <vt:variant>
        <vt:i4>5</vt:i4>
      </vt:variant>
      <vt:variant>
        <vt:lpwstr/>
      </vt:variant>
      <vt:variant>
        <vt:lpwstr>_bookmark198</vt:lpwstr>
      </vt:variant>
      <vt:variant>
        <vt:i4>1704040</vt:i4>
      </vt:variant>
      <vt:variant>
        <vt:i4>2937</vt:i4>
      </vt:variant>
      <vt:variant>
        <vt:i4>0</vt:i4>
      </vt:variant>
      <vt:variant>
        <vt:i4>5</vt:i4>
      </vt:variant>
      <vt:variant>
        <vt:lpwstr/>
      </vt:variant>
      <vt:variant>
        <vt:lpwstr>_bookmark199</vt:lpwstr>
      </vt:variant>
      <vt:variant>
        <vt:i4>1769576</vt:i4>
      </vt:variant>
      <vt:variant>
        <vt:i4>2931</vt:i4>
      </vt:variant>
      <vt:variant>
        <vt:i4>0</vt:i4>
      </vt:variant>
      <vt:variant>
        <vt:i4>5</vt:i4>
      </vt:variant>
      <vt:variant>
        <vt:lpwstr/>
      </vt:variant>
      <vt:variant>
        <vt:lpwstr>_bookmark198</vt:lpwstr>
      </vt:variant>
      <vt:variant>
        <vt:i4>1310825</vt:i4>
      </vt:variant>
      <vt:variant>
        <vt:i4>2907</vt:i4>
      </vt:variant>
      <vt:variant>
        <vt:i4>0</vt:i4>
      </vt:variant>
      <vt:variant>
        <vt:i4>5</vt:i4>
      </vt:variant>
      <vt:variant>
        <vt:lpwstr/>
      </vt:variant>
      <vt:variant>
        <vt:lpwstr>_bookmark187</vt:lpwstr>
      </vt:variant>
      <vt:variant>
        <vt:i4>1245289</vt:i4>
      </vt:variant>
      <vt:variant>
        <vt:i4>2889</vt:i4>
      </vt:variant>
      <vt:variant>
        <vt:i4>0</vt:i4>
      </vt:variant>
      <vt:variant>
        <vt:i4>5</vt:i4>
      </vt:variant>
      <vt:variant>
        <vt:lpwstr/>
      </vt:variant>
      <vt:variant>
        <vt:lpwstr>_bookmark180</vt:lpwstr>
      </vt:variant>
      <vt:variant>
        <vt:i4>1704038</vt:i4>
      </vt:variant>
      <vt:variant>
        <vt:i4>2883</vt:i4>
      </vt:variant>
      <vt:variant>
        <vt:i4>0</vt:i4>
      </vt:variant>
      <vt:variant>
        <vt:i4>5</vt:i4>
      </vt:variant>
      <vt:variant>
        <vt:lpwstr/>
      </vt:variant>
      <vt:variant>
        <vt:lpwstr>_bookmark179</vt:lpwstr>
      </vt:variant>
      <vt:variant>
        <vt:i4>1179751</vt:i4>
      </vt:variant>
      <vt:variant>
        <vt:i4>2823</vt:i4>
      </vt:variant>
      <vt:variant>
        <vt:i4>0</vt:i4>
      </vt:variant>
      <vt:variant>
        <vt:i4>5</vt:i4>
      </vt:variant>
      <vt:variant>
        <vt:lpwstr/>
      </vt:variant>
      <vt:variant>
        <vt:lpwstr>_bookmark161</vt:lpwstr>
      </vt:variant>
      <vt:variant>
        <vt:i4>1245287</vt:i4>
      </vt:variant>
      <vt:variant>
        <vt:i4>2817</vt:i4>
      </vt:variant>
      <vt:variant>
        <vt:i4>0</vt:i4>
      </vt:variant>
      <vt:variant>
        <vt:i4>5</vt:i4>
      </vt:variant>
      <vt:variant>
        <vt:lpwstr/>
      </vt:variant>
      <vt:variant>
        <vt:lpwstr>_bookmark160</vt:lpwstr>
      </vt:variant>
      <vt:variant>
        <vt:i4>1048676</vt:i4>
      </vt:variant>
      <vt:variant>
        <vt:i4>2811</vt:i4>
      </vt:variant>
      <vt:variant>
        <vt:i4>0</vt:i4>
      </vt:variant>
      <vt:variant>
        <vt:i4>5</vt:i4>
      </vt:variant>
      <vt:variant>
        <vt:lpwstr/>
      </vt:variant>
      <vt:variant>
        <vt:lpwstr>_bookmark153</vt:lpwstr>
      </vt:variant>
      <vt:variant>
        <vt:i4>1769572</vt:i4>
      </vt:variant>
      <vt:variant>
        <vt:i4>2793</vt:i4>
      </vt:variant>
      <vt:variant>
        <vt:i4>0</vt:i4>
      </vt:variant>
      <vt:variant>
        <vt:i4>5</vt:i4>
      </vt:variant>
      <vt:variant>
        <vt:lpwstr/>
      </vt:variant>
      <vt:variant>
        <vt:lpwstr>_bookmark158</vt:lpwstr>
      </vt:variant>
      <vt:variant>
        <vt:i4>1310820</vt:i4>
      </vt:variant>
      <vt:variant>
        <vt:i4>2787</vt:i4>
      </vt:variant>
      <vt:variant>
        <vt:i4>0</vt:i4>
      </vt:variant>
      <vt:variant>
        <vt:i4>5</vt:i4>
      </vt:variant>
      <vt:variant>
        <vt:lpwstr/>
      </vt:variant>
      <vt:variant>
        <vt:lpwstr>_bookmark157</vt:lpwstr>
      </vt:variant>
      <vt:variant>
        <vt:i4>1048676</vt:i4>
      </vt:variant>
      <vt:variant>
        <vt:i4>2778</vt:i4>
      </vt:variant>
      <vt:variant>
        <vt:i4>0</vt:i4>
      </vt:variant>
      <vt:variant>
        <vt:i4>5</vt:i4>
      </vt:variant>
      <vt:variant>
        <vt:lpwstr/>
      </vt:variant>
      <vt:variant>
        <vt:lpwstr>_bookmark153</vt:lpwstr>
      </vt:variant>
      <vt:variant>
        <vt:i4>1441892</vt:i4>
      </vt:variant>
      <vt:variant>
        <vt:i4>2760</vt:i4>
      </vt:variant>
      <vt:variant>
        <vt:i4>0</vt:i4>
      </vt:variant>
      <vt:variant>
        <vt:i4>5</vt:i4>
      </vt:variant>
      <vt:variant>
        <vt:lpwstr/>
      </vt:variant>
      <vt:variant>
        <vt:lpwstr>_bookmark155</vt:lpwstr>
      </vt:variant>
      <vt:variant>
        <vt:i4>1507428</vt:i4>
      </vt:variant>
      <vt:variant>
        <vt:i4>2754</vt:i4>
      </vt:variant>
      <vt:variant>
        <vt:i4>0</vt:i4>
      </vt:variant>
      <vt:variant>
        <vt:i4>5</vt:i4>
      </vt:variant>
      <vt:variant>
        <vt:lpwstr/>
      </vt:variant>
      <vt:variant>
        <vt:lpwstr>_bookmark154</vt:lpwstr>
      </vt:variant>
      <vt:variant>
        <vt:i4>1245285</vt:i4>
      </vt:variant>
      <vt:variant>
        <vt:i4>2700</vt:i4>
      </vt:variant>
      <vt:variant>
        <vt:i4>0</vt:i4>
      </vt:variant>
      <vt:variant>
        <vt:i4>5</vt:i4>
      </vt:variant>
      <vt:variant>
        <vt:lpwstr/>
      </vt:variant>
      <vt:variant>
        <vt:lpwstr>_bookmark140</vt:lpwstr>
      </vt:variant>
      <vt:variant>
        <vt:i4>1704034</vt:i4>
      </vt:variant>
      <vt:variant>
        <vt:i4>2694</vt:i4>
      </vt:variant>
      <vt:variant>
        <vt:i4>0</vt:i4>
      </vt:variant>
      <vt:variant>
        <vt:i4>5</vt:i4>
      </vt:variant>
      <vt:variant>
        <vt:lpwstr/>
      </vt:variant>
      <vt:variant>
        <vt:lpwstr>_bookmark139</vt:lpwstr>
      </vt:variant>
      <vt:variant>
        <vt:i4>1376354</vt:i4>
      </vt:variant>
      <vt:variant>
        <vt:i4>2670</vt:i4>
      </vt:variant>
      <vt:variant>
        <vt:i4>0</vt:i4>
      </vt:variant>
      <vt:variant>
        <vt:i4>5</vt:i4>
      </vt:variant>
      <vt:variant>
        <vt:lpwstr/>
      </vt:variant>
      <vt:variant>
        <vt:lpwstr>_bookmark136</vt:lpwstr>
      </vt:variant>
      <vt:variant>
        <vt:i4>1441890</vt:i4>
      </vt:variant>
      <vt:variant>
        <vt:i4>2664</vt:i4>
      </vt:variant>
      <vt:variant>
        <vt:i4>0</vt:i4>
      </vt:variant>
      <vt:variant>
        <vt:i4>5</vt:i4>
      </vt:variant>
      <vt:variant>
        <vt:lpwstr/>
      </vt:variant>
      <vt:variant>
        <vt:lpwstr>_bookmark135</vt:lpwstr>
      </vt:variant>
      <vt:variant>
        <vt:i4>1114210</vt:i4>
      </vt:variant>
      <vt:variant>
        <vt:i4>2640</vt:i4>
      </vt:variant>
      <vt:variant>
        <vt:i4>0</vt:i4>
      </vt:variant>
      <vt:variant>
        <vt:i4>5</vt:i4>
      </vt:variant>
      <vt:variant>
        <vt:lpwstr/>
      </vt:variant>
      <vt:variant>
        <vt:lpwstr>_bookmark132</vt:lpwstr>
      </vt:variant>
      <vt:variant>
        <vt:i4>1179746</vt:i4>
      </vt:variant>
      <vt:variant>
        <vt:i4>2634</vt:i4>
      </vt:variant>
      <vt:variant>
        <vt:i4>0</vt:i4>
      </vt:variant>
      <vt:variant>
        <vt:i4>5</vt:i4>
      </vt:variant>
      <vt:variant>
        <vt:lpwstr/>
      </vt:variant>
      <vt:variant>
        <vt:lpwstr>_bookmark131</vt:lpwstr>
      </vt:variant>
      <vt:variant>
        <vt:i4>1376352</vt:i4>
      </vt:variant>
      <vt:variant>
        <vt:i4>2580</vt:i4>
      </vt:variant>
      <vt:variant>
        <vt:i4>0</vt:i4>
      </vt:variant>
      <vt:variant>
        <vt:i4>5</vt:i4>
      </vt:variant>
      <vt:variant>
        <vt:lpwstr/>
      </vt:variant>
      <vt:variant>
        <vt:lpwstr>_bookmark116</vt:lpwstr>
      </vt:variant>
      <vt:variant>
        <vt:i4>1441888</vt:i4>
      </vt:variant>
      <vt:variant>
        <vt:i4>2562</vt:i4>
      </vt:variant>
      <vt:variant>
        <vt:i4>0</vt:i4>
      </vt:variant>
      <vt:variant>
        <vt:i4>5</vt:i4>
      </vt:variant>
      <vt:variant>
        <vt:lpwstr/>
      </vt:variant>
      <vt:variant>
        <vt:lpwstr>_bookmark115</vt:lpwstr>
      </vt:variant>
      <vt:variant>
        <vt:i4>1507424</vt:i4>
      </vt:variant>
      <vt:variant>
        <vt:i4>2556</vt:i4>
      </vt:variant>
      <vt:variant>
        <vt:i4>0</vt:i4>
      </vt:variant>
      <vt:variant>
        <vt:i4>5</vt:i4>
      </vt:variant>
      <vt:variant>
        <vt:lpwstr/>
      </vt:variant>
      <vt:variant>
        <vt:lpwstr>_bookmark114</vt:lpwstr>
      </vt:variant>
      <vt:variant>
        <vt:i4>1507425</vt:i4>
      </vt:variant>
      <vt:variant>
        <vt:i4>2553</vt:i4>
      </vt:variant>
      <vt:variant>
        <vt:i4>0</vt:i4>
      </vt:variant>
      <vt:variant>
        <vt:i4>5</vt:i4>
      </vt:variant>
      <vt:variant>
        <vt:lpwstr/>
      </vt:variant>
      <vt:variant>
        <vt:lpwstr>_bookmark104</vt:lpwstr>
      </vt:variant>
      <vt:variant>
        <vt:i4>1048673</vt:i4>
      </vt:variant>
      <vt:variant>
        <vt:i4>2547</vt:i4>
      </vt:variant>
      <vt:variant>
        <vt:i4>0</vt:i4>
      </vt:variant>
      <vt:variant>
        <vt:i4>5</vt:i4>
      </vt:variant>
      <vt:variant>
        <vt:lpwstr/>
      </vt:variant>
      <vt:variant>
        <vt:lpwstr>_bookmark103</vt:lpwstr>
      </vt:variant>
      <vt:variant>
        <vt:i4>1048672</vt:i4>
      </vt:variant>
      <vt:variant>
        <vt:i4>2532</vt:i4>
      </vt:variant>
      <vt:variant>
        <vt:i4>0</vt:i4>
      </vt:variant>
      <vt:variant>
        <vt:i4>5</vt:i4>
      </vt:variant>
      <vt:variant>
        <vt:lpwstr/>
      </vt:variant>
      <vt:variant>
        <vt:lpwstr>_bookmark113</vt:lpwstr>
      </vt:variant>
      <vt:variant>
        <vt:i4>1048672</vt:i4>
      </vt:variant>
      <vt:variant>
        <vt:i4>2529</vt:i4>
      </vt:variant>
      <vt:variant>
        <vt:i4>0</vt:i4>
      </vt:variant>
      <vt:variant>
        <vt:i4>5</vt:i4>
      </vt:variant>
      <vt:variant>
        <vt:lpwstr/>
      </vt:variant>
      <vt:variant>
        <vt:lpwstr>_bookmark113</vt:lpwstr>
      </vt:variant>
      <vt:variant>
        <vt:i4>1114208</vt:i4>
      </vt:variant>
      <vt:variant>
        <vt:i4>2526</vt:i4>
      </vt:variant>
      <vt:variant>
        <vt:i4>0</vt:i4>
      </vt:variant>
      <vt:variant>
        <vt:i4>5</vt:i4>
      </vt:variant>
      <vt:variant>
        <vt:lpwstr/>
      </vt:variant>
      <vt:variant>
        <vt:lpwstr>_bookmark112</vt:lpwstr>
      </vt:variant>
      <vt:variant>
        <vt:i4>1245280</vt:i4>
      </vt:variant>
      <vt:variant>
        <vt:i4>2514</vt:i4>
      </vt:variant>
      <vt:variant>
        <vt:i4>0</vt:i4>
      </vt:variant>
      <vt:variant>
        <vt:i4>5</vt:i4>
      </vt:variant>
      <vt:variant>
        <vt:lpwstr/>
      </vt:variant>
      <vt:variant>
        <vt:lpwstr>_bookmark110</vt:lpwstr>
      </vt:variant>
      <vt:variant>
        <vt:i4>1704033</vt:i4>
      </vt:variant>
      <vt:variant>
        <vt:i4>2496</vt:i4>
      </vt:variant>
      <vt:variant>
        <vt:i4>0</vt:i4>
      </vt:variant>
      <vt:variant>
        <vt:i4>5</vt:i4>
      </vt:variant>
      <vt:variant>
        <vt:lpwstr/>
      </vt:variant>
      <vt:variant>
        <vt:lpwstr>_bookmark109</vt:lpwstr>
      </vt:variant>
      <vt:variant>
        <vt:i4>1769569</vt:i4>
      </vt:variant>
      <vt:variant>
        <vt:i4>2490</vt:i4>
      </vt:variant>
      <vt:variant>
        <vt:i4>0</vt:i4>
      </vt:variant>
      <vt:variant>
        <vt:i4>5</vt:i4>
      </vt:variant>
      <vt:variant>
        <vt:lpwstr/>
      </vt:variant>
      <vt:variant>
        <vt:lpwstr>_bookmark108</vt:lpwstr>
      </vt:variant>
      <vt:variant>
        <vt:i4>1310817</vt:i4>
      </vt:variant>
      <vt:variant>
        <vt:i4>2475</vt:i4>
      </vt:variant>
      <vt:variant>
        <vt:i4>0</vt:i4>
      </vt:variant>
      <vt:variant>
        <vt:i4>5</vt:i4>
      </vt:variant>
      <vt:variant>
        <vt:lpwstr/>
      </vt:variant>
      <vt:variant>
        <vt:lpwstr>_bookmark107</vt:lpwstr>
      </vt:variant>
      <vt:variant>
        <vt:i4>1376353</vt:i4>
      </vt:variant>
      <vt:variant>
        <vt:i4>2472</vt:i4>
      </vt:variant>
      <vt:variant>
        <vt:i4>0</vt:i4>
      </vt:variant>
      <vt:variant>
        <vt:i4>5</vt:i4>
      </vt:variant>
      <vt:variant>
        <vt:lpwstr/>
      </vt:variant>
      <vt:variant>
        <vt:lpwstr>_bookmark106</vt:lpwstr>
      </vt:variant>
      <vt:variant>
        <vt:i4>1441889</vt:i4>
      </vt:variant>
      <vt:variant>
        <vt:i4>2463</vt:i4>
      </vt:variant>
      <vt:variant>
        <vt:i4>0</vt:i4>
      </vt:variant>
      <vt:variant>
        <vt:i4>5</vt:i4>
      </vt:variant>
      <vt:variant>
        <vt:lpwstr/>
      </vt:variant>
      <vt:variant>
        <vt:lpwstr>_bookmark105</vt:lpwstr>
      </vt:variant>
      <vt:variant>
        <vt:i4>2818129</vt:i4>
      </vt:variant>
      <vt:variant>
        <vt:i4>2442</vt:i4>
      </vt:variant>
      <vt:variant>
        <vt:i4>0</vt:i4>
      </vt:variant>
      <vt:variant>
        <vt:i4>5</vt:i4>
      </vt:variant>
      <vt:variant>
        <vt:lpwstr/>
      </vt:variant>
      <vt:variant>
        <vt:lpwstr>_bookmark98</vt:lpwstr>
      </vt:variant>
      <vt:variant>
        <vt:i4>2424913</vt:i4>
      </vt:variant>
      <vt:variant>
        <vt:i4>2364</vt:i4>
      </vt:variant>
      <vt:variant>
        <vt:i4>0</vt:i4>
      </vt:variant>
      <vt:variant>
        <vt:i4>5</vt:i4>
      </vt:variant>
      <vt:variant>
        <vt:lpwstr/>
      </vt:variant>
      <vt:variant>
        <vt:lpwstr>_bookmark73</vt:lpwstr>
      </vt:variant>
      <vt:variant>
        <vt:i4>2293841</vt:i4>
      </vt:variant>
      <vt:variant>
        <vt:i4>2331</vt:i4>
      </vt:variant>
      <vt:variant>
        <vt:i4>0</vt:i4>
      </vt:variant>
      <vt:variant>
        <vt:i4>5</vt:i4>
      </vt:variant>
      <vt:variant>
        <vt:lpwstr/>
      </vt:variant>
      <vt:variant>
        <vt:lpwstr>_bookmark16</vt:lpwstr>
      </vt:variant>
      <vt:variant>
        <vt:i4>2097233</vt:i4>
      </vt:variant>
      <vt:variant>
        <vt:i4>2325</vt:i4>
      </vt:variant>
      <vt:variant>
        <vt:i4>0</vt:i4>
      </vt:variant>
      <vt:variant>
        <vt:i4>5</vt:i4>
      </vt:variant>
      <vt:variant>
        <vt:lpwstr/>
      </vt:variant>
      <vt:variant>
        <vt:lpwstr>_bookmark22</vt:lpwstr>
      </vt:variant>
      <vt:variant>
        <vt:i4>2293841</vt:i4>
      </vt:variant>
      <vt:variant>
        <vt:i4>2316</vt:i4>
      </vt:variant>
      <vt:variant>
        <vt:i4>0</vt:i4>
      </vt:variant>
      <vt:variant>
        <vt:i4>5</vt:i4>
      </vt:variant>
      <vt:variant>
        <vt:lpwstr/>
      </vt:variant>
      <vt:variant>
        <vt:lpwstr>_bookmark19</vt:lpwstr>
      </vt:variant>
      <vt:variant>
        <vt:i4>2555985</vt:i4>
      </vt:variant>
      <vt:variant>
        <vt:i4>2277</vt:i4>
      </vt:variant>
      <vt:variant>
        <vt:i4>0</vt:i4>
      </vt:variant>
      <vt:variant>
        <vt:i4>5</vt:i4>
      </vt:variant>
      <vt:variant>
        <vt:lpwstr/>
      </vt:variant>
      <vt:variant>
        <vt:lpwstr>_bookmark52</vt:lpwstr>
      </vt:variant>
      <vt:variant>
        <vt:i4>2162769</vt:i4>
      </vt:variant>
      <vt:variant>
        <vt:i4>2238</vt:i4>
      </vt:variant>
      <vt:variant>
        <vt:i4>0</vt:i4>
      </vt:variant>
      <vt:variant>
        <vt:i4>5</vt:i4>
      </vt:variant>
      <vt:variant>
        <vt:lpwstr/>
      </vt:variant>
      <vt:variant>
        <vt:lpwstr>_bookmark32</vt:lpwstr>
      </vt:variant>
      <vt:variant>
        <vt:i4>2097233</vt:i4>
      </vt:variant>
      <vt:variant>
        <vt:i4>2229</vt:i4>
      </vt:variant>
      <vt:variant>
        <vt:i4>0</vt:i4>
      </vt:variant>
      <vt:variant>
        <vt:i4>5</vt:i4>
      </vt:variant>
      <vt:variant>
        <vt:lpwstr/>
      </vt:variant>
      <vt:variant>
        <vt:lpwstr>_bookmark29</vt:lpwstr>
      </vt:variant>
      <vt:variant>
        <vt:i4>2097233</vt:i4>
      </vt:variant>
      <vt:variant>
        <vt:i4>2220</vt:i4>
      </vt:variant>
      <vt:variant>
        <vt:i4>0</vt:i4>
      </vt:variant>
      <vt:variant>
        <vt:i4>5</vt:i4>
      </vt:variant>
      <vt:variant>
        <vt:lpwstr/>
      </vt:variant>
      <vt:variant>
        <vt:lpwstr>_bookmark29</vt:lpwstr>
      </vt:variant>
      <vt:variant>
        <vt:i4>2097233</vt:i4>
      </vt:variant>
      <vt:variant>
        <vt:i4>2202</vt:i4>
      </vt:variant>
      <vt:variant>
        <vt:i4>0</vt:i4>
      </vt:variant>
      <vt:variant>
        <vt:i4>5</vt:i4>
      </vt:variant>
      <vt:variant>
        <vt:lpwstr/>
      </vt:variant>
      <vt:variant>
        <vt:lpwstr>_bookmark24</vt:lpwstr>
      </vt:variant>
      <vt:variant>
        <vt:i4>2097233</vt:i4>
      </vt:variant>
      <vt:variant>
        <vt:i4>2193</vt:i4>
      </vt:variant>
      <vt:variant>
        <vt:i4>0</vt:i4>
      </vt:variant>
      <vt:variant>
        <vt:i4>5</vt:i4>
      </vt:variant>
      <vt:variant>
        <vt:lpwstr/>
      </vt:variant>
      <vt:variant>
        <vt:lpwstr>_bookmark27</vt:lpwstr>
      </vt:variant>
      <vt:variant>
        <vt:i4>2097233</vt:i4>
      </vt:variant>
      <vt:variant>
        <vt:i4>2190</vt:i4>
      </vt:variant>
      <vt:variant>
        <vt:i4>0</vt:i4>
      </vt:variant>
      <vt:variant>
        <vt:i4>5</vt:i4>
      </vt:variant>
      <vt:variant>
        <vt:lpwstr/>
      </vt:variant>
      <vt:variant>
        <vt:lpwstr>_bookmark26</vt:lpwstr>
      </vt:variant>
      <vt:variant>
        <vt:i4>2097233</vt:i4>
      </vt:variant>
      <vt:variant>
        <vt:i4>2187</vt:i4>
      </vt:variant>
      <vt:variant>
        <vt:i4>0</vt:i4>
      </vt:variant>
      <vt:variant>
        <vt:i4>5</vt:i4>
      </vt:variant>
      <vt:variant>
        <vt:lpwstr/>
      </vt:variant>
      <vt:variant>
        <vt:lpwstr>_bookmark25</vt:lpwstr>
      </vt:variant>
      <vt:variant>
        <vt:i4>2097233</vt:i4>
      </vt:variant>
      <vt:variant>
        <vt:i4>2184</vt:i4>
      </vt:variant>
      <vt:variant>
        <vt:i4>0</vt:i4>
      </vt:variant>
      <vt:variant>
        <vt:i4>5</vt:i4>
      </vt:variant>
      <vt:variant>
        <vt:lpwstr/>
      </vt:variant>
      <vt:variant>
        <vt:lpwstr>_bookmark24</vt:lpwstr>
      </vt:variant>
      <vt:variant>
        <vt:i4>2293841</vt:i4>
      </vt:variant>
      <vt:variant>
        <vt:i4>2163</vt:i4>
      </vt:variant>
      <vt:variant>
        <vt:i4>0</vt:i4>
      </vt:variant>
      <vt:variant>
        <vt:i4>5</vt:i4>
      </vt:variant>
      <vt:variant>
        <vt:lpwstr/>
      </vt:variant>
      <vt:variant>
        <vt:lpwstr>_bookmark13</vt:lpwstr>
      </vt:variant>
      <vt:variant>
        <vt:i4>2293841</vt:i4>
      </vt:variant>
      <vt:variant>
        <vt:i4>2148</vt:i4>
      </vt:variant>
      <vt:variant>
        <vt:i4>0</vt:i4>
      </vt:variant>
      <vt:variant>
        <vt:i4>5</vt:i4>
      </vt:variant>
      <vt:variant>
        <vt:lpwstr/>
      </vt:variant>
      <vt:variant>
        <vt:lpwstr>_bookmark10</vt:lpwstr>
      </vt:variant>
      <vt:variant>
        <vt:i4>2818129</vt:i4>
      </vt:variant>
      <vt:variant>
        <vt:i4>2136</vt:i4>
      </vt:variant>
      <vt:variant>
        <vt:i4>0</vt:i4>
      </vt:variant>
      <vt:variant>
        <vt:i4>5</vt:i4>
      </vt:variant>
      <vt:variant>
        <vt:lpwstr/>
      </vt:variant>
      <vt:variant>
        <vt:lpwstr>_bookmark9</vt:lpwstr>
      </vt:variant>
      <vt:variant>
        <vt:i4>7209000</vt:i4>
      </vt:variant>
      <vt:variant>
        <vt:i4>2133</vt:i4>
      </vt:variant>
      <vt:variant>
        <vt:i4>0</vt:i4>
      </vt:variant>
      <vt:variant>
        <vt:i4>5</vt:i4>
      </vt:variant>
      <vt:variant>
        <vt:lpwstr>https://www.sunshinecoast.qld.gov.au/council/planning-and-projects/council-plans/pt-cartwright-master-plan</vt:lpwstr>
      </vt:variant>
      <vt:variant>
        <vt:lpwstr/>
      </vt:variant>
      <vt:variant>
        <vt:i4>1703957</vt:i4>
      </vt:variant>
      <vt:variant>
        <vt:i4>2130</vt:i4>
      </vt:variant>
      <vt:variant>
        <vt:i4>0</vt:i4>
      </vt:variant>
      <vt:variant>
        <vt:i4>5</vt:i4>
      </vt:variant>
      <vt:variant>
        <vt:lpwstr>https://www.sunshinecoast.qld.gov.au/council/planning-and-projects/council-plans/place-making-mooloolaba-master-plan</vt:lpwstr>
      </vt:variant>
      <vt:variant>
        <vt:lpwstr/>
      </vt:variant>
      <vt:variant>
        <vt:i4>1179705</vt:i4>
      </vt:variant>
      <vt:variant>
        <vt:i4>2123</vt:i4>
      </vt:variant>
      <vt:variant>
        <vt:i4>0</vt:i4>
      </vt:variant>
      <vt:variant>
        <vt:i4>5</vt:i4>
      </vt:variant>
      <vt:variant>
        <vt:lpwstr/>
      </vt:variant>
      <vt:variant>
        <vt:lpwstr>_Toc216693417</vt:lpwstr>
      </vt:variant>
      <vt:variant>
        <vt:i4>1179705</vt:i4>
      </vt:variant>
      <vt:variant>
        <vt:i4>2117</vt:i4>
      </vt:variant>
      <vt:variant>
        <vt:i4>0</vt:i4>
      </vt:variant>
      <vt:variant>
        <vt:i4>5</vt:i4>
      </vt:variant>
      <vt:variant>
        <vt:lpwstr/>
      </vt:variant>
      <vt:variant>
        <vt:lpwstr>_Toc216693416</vt:lpwstr>
      </vt:variant>
      <vt:variant>
        <vt:i4>1179705</vt:i4>
      </vt:variant>
      <vt:variant>
        <vt:i4>2111</vt:i4>
      </vt:variant>
      <vt:variant>
        <vt:i4>0</vt:i4>
      </vt:variant>
      <vt:variant>
        <vt:i4>5</vt:i4>
      </vt:variant>
      <vt:variant>
        <vt:lpwstr/>
      </vt:variant>
      <vt:variant>
        <vt:lpwstr>_Toc216693415</vt:lpwstr>
      </vt:variant>
      <vt:variant>
        <vt:i4>1376313</vt:i4>
      </vt:variant>
      <vt:variant>
        <vt:i4>2102</vt:i4>
      </vt:variant>
      <vt:variant>
        <vt:i4>0</vt:i4>
      </vt:variant>
      <vt:variant>
        <vt:i4>5</vt:i4>
      </vt:variant>
      <vt:variant>
        <vt:lpwstr/>
      </vt:variant>
      <vt:variant>
        <vt:lpwstr>_Toc216691440</vt:lpwstr>
      </vt:variant>
      <vt:variant>
        <vt:i4>1179705</vt:i4>
      </vt:variant>
      <vt:variant>
        <vt:i4>2096</vt:i4>
      </vt:variant>
      <vt:variant>
        <vt:i4>0</vt:i4>
      </vt:variant>
      <vt:variant>
        <vt:i4>5</vt:i4>
      </vt:variant>
      <vt:variant>
        <vt:lpwstr/>
      </vt:variant>
      <vt:variant>
        <vt:lpwstr>_Toc216691439</vt:lpwstr>
      </vt:variant>
      <vt:variant>
        <vt:i4>1179705</vt:i4>
      </vt:variant>
      <vt:variant>
        <vt:i4>2090</vt:i4>
      </vt:variant>
      <vt:variant>
        <vt:i4>0</vt:i4>
      </vt:variant>
      <vt:variant>
        <vt:i4>5</vt:i4>
      </vt:variant>
      <vt:variant>
        <vt:lpwstr/>
      </vt:variant>
      <vt:variant>
        <vt:lpwstr>_Toc216691438</vt:lpwstr>
      </vt:variant>
      <vt:variant>
        <vt:i4>1179705</vt:i4>
      </vt:variant>
      <vt:variant>
        <vt:i4>2084</vt:i4>
      </vt:variant>
      <vt:variant>
        <vt:i4>0</vt:i4>
      </vt:variant>
      <vt:variant>
        <vt:i4>5</vt:i4>
      </vt:variant>
      <vt:variant>
        <vt:lpwstr/>
      </vt:variant>
      <vt:variant>
        <vt:lpwstr>_Toc216691437</vt:lpwstr>
      </vt:variant>
      <vt:variant>
        <vt:i4>1179705</vt:i4>
      </vt:variant>
      <vt:variant>
        <vt:i4>2078</vt:i4>
      </vt:variant>
      <vt:variant>
        <vt:i4>0</vt:i4>
      </vt:variant>
      <vt:variant>
        <vt:i4>5</vt:i4>
      </vt:variant>
      <vt:variant>
        <vt:lpwstr/>
      </vt:variant>
      <vt:variant>
        <vt:lpwstr>_Toc216691436</vt:lpwstr>
      </vt:variant>
      <vt:variant>
        <vt:i4>1179705</vt:i4>
      </vt:variant>
      <vt:variant>
        <vt:i4>2072</vt:i4>
      </vt:variant>
      <vt:variant>
        <vt:i4>0</vt:i4>
      </vt:variant>
      <vt:variant>
        <vt:i4>5</vt:i4>
      </vt:variant>
      <vt:variant>
        <vt:lpwstr/>
      </vt:variant>
      <vt:variant>
        <vt:lpwstr>_Toc216691435</vt:lpwstr>
      </vt:variant>
      <vt:variant>
        <vt:i4>1179705</vt:i4>
      </vt:variant>
      <vt:variant>
        <vt:i4>2066</vt:i4>
      </vt:variant>
      <vt:variant>
        <vt:i4>0</vt:i4>
      </vt:variant>
      <vt:variant>
        <vt:i4>5</vt:i4>
      </vt:variant>
      <vt:variant>
        <vt:lpwstr/>
      </vt:variant>
      <vt:variant>
        <vt:lpwstr>_Toc216691434</vt:lpwstr>
      </vt:variant>
      <vt:variant>
        <vt:i4>1179705</vt:i4>
      </vt:variant>
      <vt:variant>
        <vt:i4>2060</vt:i4>
      </vt:variant>
      <vt:variant>
        <vt:i4>0</vt:i4>
      </vt:variant>
      <vt:variant>
        <vt:i4>5</vt:i4>
      </vt:variant>
      <vt:variant>
        <vt:lpwstr/>
      </vt:variant>
      <vt:variant>
        <vt:lpwstr>_Toc216691433</vt:lpwstr>
      </vt:variant>
      <vt:variant>
        <vt:i4>1179705</vt:i4>
      </vt:variant>
      <vt:variant>
        <vt:i4>2054</vt:i4>
      </vt:variant>
      <vt:variant>
        <vt:i4>0</vt:i4>
      </vt:variant>
      <vt:variant>
        <vt:i4>5</vt:i4>
      </vt:variant>
      <vt:variant>
        <vt:lpwstr/>
      </vt:variant>
      <vt:variant>
        <vt:lpwstr>_Toc216691432</vt:lpwstr>
      </vt:variant>
      <vt:variant>
        <vt:i4>1179705</vt:i4>
      </vt:variant>
      <vt:variant>
        <vt:i4>2048</vt:i4>
      </vt:variant>
      <vt:variant>
        <vt:i4>0</vt:i4>
      </vt:variant>
      <vt:variant>
        <vt:i4>5</vt:i4>
      </vt:variant>
      <vt:variant>
        <vt:lpwstr/>
      </vt:variant>
      <vt:variant>
        <vt:lpwstr>_Toc216691431</vt:lpwstr>
      </vt:variant>
      <vt:variant>
        <vt:i4>1179705</vt:i4>
      </vt:variant>
      <vt:variant>
        <vt:i4>2042</vt:i4>
      </vt:variant>
      <vt:variant>
        <vt:i4>0</vt:i4>
      </vt:variant>
      <vt:variant>
        <vt:i4>5</vt:i4>
      </vt:variant>
      <vt:variant>
        <vt:lpwstr/>
      </vt:variant>
      <vt:variant>
        <vt:lpwstr>_Toc216691430</vt:lpwstr>
      </vt:variant>
      <vt:variant>
        <vt:i4>1245241</vt:i4>
      </vt:variant>
      <vt:variant>
        <vt:i4>2036</vt:i4>
      </vt:variant>
      <vt:variant>
        <vt:i4>0</vt:i4>
      </vt:variant>
      <vt:variant>
        <vt:i4>5</vt:i4>
      </vt:variant>
      <vt:variant>
        <vt:lpwstr/>
      </vt:variant>
      <vt:variant>
        <vt:lpwstr>_Toc216691429</vt:lpwstr>
      </vt:variant>
      <vt:variant>
        <vt:i4>1245241</vt:i4>
      </vt:variant>
      <vt:variant>
        <vt:i4>2030</vt:i4>
      </vt:variant>
      <vt:variant>
        <vt:i4>0</vt:i4>
      </vt:variant>
      <vt:variant>
        <vt:i4>5</vt:i4>
      </vt:variant>
      <vt:variant>
        <vt:lpwstr/>
      </vt:variant>
      <vt:variant>
        <vt:lpwstr>_Toc216691428</vt:lpwstr>
      </vt:variant>
      <vt:variant>
        <vt:i4>1245241</vt:i4>
      </vt:variant>
      <vt:variant>
        <vt:i4>2024</vt:i4>
      </vt:variant>
      <vt:variant>
        <vt:i4>0</vt:i4>
      </vt:variant>
      <vt:variant>
        <vt:i4>5</vt:i4>
      </vt:variant>
      <vt:variant>
        <vt:lpwstr/>
      </vt:variant>
      <vt:variant>
        <vt:lpwstr>_Toc216691427</vt:lpwstr>
      </vt:variant>
      <vt:variant>
        <vt:i4>1245241</vt:i4>
      </vt:variant>
      <vt:variant>
        <vt:i4>2018</vt:i4>
      </vt:variant>
      <vt:variant>
        <vt:i4>0</vt:i4>
      </vt:variant>
      <vt:variant>
        <vt:i4>5</vt:i4>
      </vt:variant>
      <vt:variant>
        <vt:lpwstr/>
      </vt:variant>
      <vt:variant>
        <vt:lpwstr>_Toc216691426</vt:lpwstr>
      </vt:variant>
      <vt:variant>
        <vt:i4>1245241</vt:i4>
      </vt:variant>
      <vt:variant>
        <vt:i4>2012</vt:i4>
      </vt:variant>
      <vt:variant>
        <vt:i4>0</vt:i4>
      </vt:variant>
      <vt:variant>
        <vt:i4>5</vt:i4>
      </vt:variant>
      <vt:variant>
        <vt:lpwstr/>
      </vt:variant>
      <vt:variant>
        <vt:lpwstr>_Toc216691425</vt:lpwstr>
      </vt:variant>
      <vt:variant>
        <vt:i4>1245241</vt:i4>
      </vt:variant>
      <vt:variant>
        <vt:i4>2006</vt:i4>
      </vt:variant>
      <vt:variant>
        <vt:i4>0</vt:i4>
      </vt:variant>
      <vt:variant>
        <vt:i4>5</vt:i4>
      </vt:variant>
      <vt:variant>
        <vt:lpwstr/>
      </vt:variant>
      <vt:variant>
        <vt:lpwstr>_Toc216691424</vt:lpwstr>
      </vt:variant>
      <vt:variant>
        <vt:i4>1245241</vt:i4>
      </vt:variant>
      <vt:variant>
        <vt:i4>2000</vt:i4>
      </vt:variant>
      <vt:variant>
        <vt:i4>0</vt:i4>
      </vt:variant>
      <vt:variant>
        <vt:i4>5</vt:i4>
      </vt:variant>
      <vt:variant>
        <vt:lpwstr/>
      </vt:variant>
      <vt:variant>
        <vt:lpwstr>_Toc216691423</vt:lpwstr>
      </vt:variant>
      <vt:variant>
        <vt:i4>1245241</vt:i4>
      </vt:variant>
      <vt:variant>
        <vt:i4>1994</vt:i4>
      </vt:variant>
      <vt:variant>
        <vt:i4>0</vt:i4>
      </vt:variant>
      <vt:variant>
        <vt:i4>5</vt:i4>
      </vt:variant>
      <vt:variant>
        <vt:lpwstr/>
      </vt:variant>
      <vt:variant>
        <vt:lpwstr>_Toc216691422</vt:lpwstr>
      </vt:variant>
      <vt:variant>
        <vt:i4>1245241</vt:i4>
      </vt:variant>
      <vt:variant>
        <vt:i4>1988</vt:i4>
      </vt:variant>
      <vt:variant>
        <vt:i4>0</vt:i4>
      </vt:variant>
      <vt:variant>
        <vt:i4>5</vt:i4>
      </vt:variant>
      <vt:variant>
        <vt:lpwstr/>
      </vt:variant>
      <vt:variant>
        <vt:lpwstr>_Toc216691421</vt:lpwstr>
      </vt:variant>
      <vt:variant>
        <vt:i4>1245241</vt:i4>
      </vt:variant>
      <vt:variant>
        <vt:i4>1982</vt:i4>
      </vt:variant>
      <vt:variant>
        <vt:i4>0</vt:i4>
      </vt:variant>
      <vt:variant>
        <vt:i4>5</vt:i4>
      </vt:variant>
      <vt:variant>
        <vt:lpwstr/>
      </vt:variant>
      <vt:variant>
        <vt:lpwstr>_Toc216691420</vt:lpwstr>
      </vt:variant>
      <vt:variant>
        <vt:i4>1048633</vt:i4>
      </vt:variant>
      <vt:variant>
        <vt:i4>1976</vt:i4>
      </vt:variant>
      <vt:variant>
        <vt:i4>0</vt:i4>
      </vt:variant>
      <vt:variant>
        <vt:i4>5</vt:i4>
      </vt:variant>
      <vt:variant>
        <vt:lpwstr/>
      </vt:variant>
      <vt:variant>
        <vt:lpwstr>_Toc216691419</vt:lpwstr>
      </vt:variant>
      <vt:variant>
        <vt:i4>1048633</vt:i4>
      </vt:variant>
      <vt:variant>
        <vt:i4>1970</vt:i4>
      </vt:variant>
      <vt:variant>
        <vt:i4>0</vt:i4>
      </vt:variant>
      <vt:variant>
        <vt:i4>5</vt:i4>
      </vt:variant>
      <vt:variant>
        <vt:lpwstr/>
      </vt:variant>
      <vt:variant>
        <vt:lpwstr>_Toc216691418</vt:lpwstr>
      </vt:variant>
      <vt:variant>
        <vt:i4>1048633</vt:i4>
      </vt:variant>
      <vt:variant>
        <vt:i4>1964</vt:i4>
      </vt:variant>
      <vt:variant>
        <vt:i4>0</vt:i4>
      </vt:variant>
      <vt:variant>
        <vt:i4>5</vt:i4>
      </vt:variant>
      <vt:variant>
        <vt:lpwstr/>
      </vt:variant>
      <vt:variant>
        <vt:lpwstr>_Toc216691417</vt:lpwstr>
      </vt:variant>
      <vt:variant>
        <vt:i4>1048633</vt:i4>
      </vt:variant>
      <vt:variant>
        <vt:i4>1958</vt:i4>
      </vt:variant>
      <vt:variant>
        <vt:i4>0</vt:i4>
      </vt:variant>
      <vt:variant>
        <vt:i4>5</vt:i4>
      </vt:variant>
      <vt:variant>
        <vt:lpwstr/>
      </vt:variant>
      <vt:variant>
        <vt:lpwstr>_Toc216691416</vt:lpwstr>
      </vt:variant>
      <vt:variant>
        <vt:i4>1048633</vt:i4>
      </vt:variant>
      <vt:variant>
        <vt:i4>1952</vt:i4>
      </vt:variant>
      <vt:variant>
        <vt:i4>0</vt:i4>
      </vt:variant>
      <vt:variant>
        <vt:i4>5</vt:i4>
      </vt:variant>
      <vt:variant>
        <vt:lpwstr/>
      </vt:variant>
      <vt:variant>
        <vt:lpwstr>_Toc216691415</vt:lpwstr>
      </vt:variant>
      <vt:variant>
        <vt:i4>1048633</vt:i4>
      </vt:variant>
      <vt:variant>
        <vt:i4>1946</vt:i4>
      </vt:variant>
      <vt:variant>
        <vt:i4>0</vt:i4>
      </vt:variant>
      <vt:variant>
        <vt:i4>5</vt:i4>
      </vt:variant>
      <vt:variant>
        <vt:lpwstr/>
      </vt:variant>
      <vt:variant>
        <vt:lpwstr>_Toc216691414</vt:lpwstr>
      </vt:variant>
      <vt:variant>
        <vt:i4>1048633</vt:i4>
      </vt:variant>
      <vt:variant>
        <vt:i4>1940</vt:i4>
      </vt:variant>
      <vt:variant>
        <vt:i4>0</vt:i4>
      </vt:variant>
      <vt:variant>
        <vt:i4>5</vt:i4>
      </vt:variant>
      <vt:variant>
        <vt:lpwstr/>
      </vt:variant>
      <vt:variant>
        <vt:lpwstr>_Toc216691413</vt:lpwstr>
      </vt:variant>
      <vt:variant>
        <vt:i4>1048633</vt:i4>
      </vt:variant>
      <vt:variant>
        <vt:i4>1934</vt:i4>
      </vt:variant>
      <vt:variant>
        <vt:i4>0</vt:i4>
      </vt:variant>
      <vt:variant>
        <vt:i4>5</vt:i4>
      </vt:variant>
      <vt:variant>
        <vt:lpwstr/>
      </vt:variant>
      <vt:variant>
        <vt:lpwstr>_Toc216691412</vt:lpwstr>
      </vt:variant>
      <vt:variant>
        <vt:i4>1048633</vt:i4>
      </vt:variant>
      <vt:variant>
        <vt:i4>1928</vt:i4>
      </vt:variant>
      <vt:variant>
        <vt:i4>0</vt:i4>
      </vt:variant>
      <vt:variant>
        <vt:i4>5</vt:i4>
      </vt:variant>
      <vt:variant>
        <vt:lpwstr/>
      </vt:variant>
      <vt:variant>
        <vt:lpwstr>_Toc216691411</vt:lpwstr>
      </vt:variant>
      <vt:variant>
        <vt:i4>1048633</vt:i4>
      </vt:variant>
      <vt:variant>
        <vt:i4>1922</vt:i4>
      </vt:variant>
      <vt:variant>
        <vt:i4>0</vt:i4>
      </vt:variant>
      <vt:variant>
        <vt:i4>5</vt:i4>
      </vt:variant>
      <vt:variant>
        <vt:lpwstr/>
      </vt:variant>
      <vt:variant>
        <vt:lpwstr>_Toc216691410</vt:lpwstr>
      </vt:variant>
      <vt:variant>
        <vt:i4>1114169</vt:i4>
      </vt:variant>
      <vt:variant>
        <vt:i4>1916</vt:i4>
      </vt:variant>
      <vt:variant>
        <vt:i4>0</vt:i4>
      </vt:variant>
      <vt:variant>
        <vt:i4>5</vt:i4>
      </vt:variant>
      <vt:variant>
        <vt:lpwstr/>
      </vt:variant>
      <vt:variant>
        <vt:lpwstr>_Toc216691409</vt:lpwstr>
      </vt:variant>
      <vt:variant>
        <vt:i4>1114169</vt:i4>
      </vt:variant>
      <vt:variant>
        <vt:i4>1910</vt:i4>
      </vt:variant>
      <vt:variant>
        <vt:i4>0</vt:i4>
      </vt:variant>
      <vt:variant>
        <vt:i4>5</vt:i4>
      </vt:variant>
      <vt:variant>
        <vt:lpwstr/>
      </vt:variant>
      <vt:variant>
        <vt:lpwstr>_Toc216691408</vt:lpwstr>
      </vt:variant>
      <vt:variant>
        <vt:i4>1114169</vt:i4>
      </vt:variant>
      <vt:variant>
        <vt:i4>1904</vt:i4>
      </vt:variant>
      <vt:variant>
        <vt:i4>0</vt:i4>
      </vt:variant>
      <vt:variant>
        <vt:i4>5</vt:i4>
      </vt:variant>
      <vt:variant>
        <vt:lpwstr/>
      </vt:variant>
      <vt:variant>
        <vt:lpwstr>_Toc216691407</vt:lpwstr>
      </vt:variant>
      <vt:variant>
        <vt:i4>1114169</vt:i4>
      </vt:variant>
      <vt:variant>
        <vt:i4>1898</vt:i4>
      </vt:variant>
      <vt:variant>
        <vt:i4>0</vt:i4>
      </vt:variant>
      <vt:variant>
        <vt:i4>5</vt:i4>
      </vt:variant>
      <vt:variant>
        <vt:lpwstr/>
      </vt:variant>
      <vt:variant>
        <vt:lpwstr>_Toc216691406</vt:lpwstr>
      </vt:variant>
      <vt:variant>
        <vt:i4>1114169</vt:i4>
      </vt:variant>
      <vt:variant>
        <vt:i4>1892</vt:i4>
      </vt:variant>
      <vt:variant>
        <vt:i4>0</vt:i4>
      </vt:variant>
      <vt:variant>
        <vt:i4>5</vt:i4>
      </vt:variant>
      <vt:variant>
        <vt:lpwstr/>
      </vt:variant>
      <vt:variant>
        <vt:lpwstr>_Toc216691405</vt:lpwstr>
      </vt:variant>
      <vt:variant>
        <vt:i4>1114169</vt:i4>
      </vt:variant>
      <vt:variant>
        <vt:i4>1886</vt:i4>
      </vt:variant>
      <vt:variant>
        <vt:i4>0</vt:i4>
      </vt:variant>
      <vt:variant>
        <vt:i4>5</vt:i4>
      </vt:variant>
      <vt:variant>
        <vt:lpwstr/>
      </vt:variant>
      <vt:variant>
        <vt:lpwstr>_Toc216691404</vt:lpwstr>
      </vt:variant>
      <vt:variant>
        <vt:i4>1114169</vt:i4>
      </vt:variant>
      <vt:variant>
        <vt:i4>1880</vt:i4>
      </vt:variant>
      <vt:variant>
        <vt:i4>0</vt:i4>
      </vt:variant>
      <vt:variant>
        <vt:i4>5</vt:i4>
      </vt:variant>
      <vt:variant>
        <vt:lpwstr/>
      </vt:variant>
      <vt:variant>
        <vt:lpwstr>_Toc216691403</vt:lpwstr>
      </vt:variant>
      <vt:variant>
        <vt:i4>1114169</vt:i4>
      </vt:variant>
      <vt:variant>
        <vt:i4>1874</vt:i4>
      </vt:variant>
      <vt:variant>
        <vt:i4>0</vt:i4>
      </vt:variant>
      <vt:variant>
        <vt:i4>5</vt:i4>
      </vt:variant>
      <vt:variant>
        <vt:lpwstr/>
      </vt:variant>
      <vt:variant>
        <vt:lpwstr>_Toc216691402</vt:lpwstr>
      </vt:variant>
      <vt:variant>
        <vt:i4>1114169</vt:i4>
      </vt:variant>
      <vt:variant>
        <vt:i4>1868</vt:i4>
      </vt:variant>
      <vt:variant>
        <vt:i4>0</vt:i4>
      </vt:variant>
      <vt:variant>
        <vt:i4>5</vt:i4>
      </vt:variant>
      <vt:variant>
        <vt:lpwstr/>
      </vt:variant>
      <vt:variant>
        <vt:lpwstr>_Toc216691401</vt:lpwstr>
      </vt:variant>
      <vt:variant>
        <vt:i4>1114169</vt:i4>
      </vt:variant>
      <vt:variant>
        <vt:i4>1862</vt:i4>
      </vt:variant>
      <vt:variant>
        <vt:i4>0</vt:i4>
      </vt:variant>
      <vt:variant>
        <vt:i4>5</vt:i4>
      </vt:variant>
      <vt:variant>
        <vt:lpwstr/>
      </vt:variant>
      <vt:variant>
        <vt:lpwstr>_Toc216691400</vt:lpwstr>
      </vt:variant>
      <vt:variant>
        <vt:i4>1572926</vt:i4>
      </vt:variant>
      <vt:variant>
        <vt:i4>1856</vt:i4>
      </vt:variant>
      <vt:variant>
        <vt:i4>0</vt:i4>
      </vt:variant>
      <vt:variant>
        <vt:i4>5</vt:i4>
      </vt:variant>
      <vt:variant>
        <vt:lpwstr/>
      </vt:variant>
      <vt:variant>
        <vt:lpwstr>_Toc216691399</vt:lpwstr>
      </vt:variant>
      <vt:variant>
        <vt:i4>1376314</vt:i4>
      </vt:variant>
      <vt:variant>
        <vt:i4>1847</vt:i4>
      </vt:variant>
      <vt:variant>
        <vt:i4>0</vt:i4>
      </vt:variant>
      <vt:variant>
        <vt:i4>5</vt:i4>
      </vt:variant>
      <vt:variant>
        <vt:lpwstr/>
      </vt:variant>
      <vt:variant>
        <vt:lpwstr>_Toc216690753</vt:lpwstr>
      </vt:variant>
      <vt:variant>
        <vt:i4>1376314</vt:i4>
      </vt:variant>
      <vt:variant>
        <vt:i4>1841</vt:i4>
      </vt:variant>
      <vt:variant>
        <vt:i4>0</vt:i4>
      </vt:variant>
      <vt:variant>
        <vt:i4>5</vt:i4>
      </vt:variant>
      <vt:variant>
        <vt:lpwstr/>
      </vt:variant>
      <vt:variant>
        <vt:lpwstr>_Toc216690752</vt:lpwstr>
      </vt:variant>
      <vt:variant>
        <vt:i4>1376314</vt:i4>
      </vt:variant>
      <vt:variant>
        <vt:i4>1835</vt:i4>
      </vt:variant>
      <vt:variant>
        <vt:i4>0</vt:i4>
      </vt:variant>
      <vt:variant>
        <vt:i4>5</vt:i4>
      </vt:variant>
      <vt:variant>
        <vt:lpwstr/>
      </vt:variant>
      <vt:variant>
        <vt:lpwstr>_Toc216690751</vt:lpwstr>
      </vt:variant>
      <vt:variant>
        <vt:i4>1376314</vt:i4>
      </vt:variant>
      <vt:variant>
        <vt:i4>1829</vt:i4>
      </vt:variant>
      <vt:variant>
        <vt:i4>0</vt:i4>
      </vt:variant>
      <vt:variant>
        <vt:i4>5</vt:i4>
      </vt:variant>
      <vt:variant>
        <vt:lpwstr/>
      </vt:variant>
      <vt:variant>
        <vt:lpwstr>_Toc216690750</vt:lpwstr>
      </vt:variant>
      <vt:variant>
        <vt:i4>1310778</vt:i4>
      </vt:variant>
      <vt:variant>
        <vt:i4>1823</vt:i4>
      </vt:variant>
      <vt:variant>
        <vt:i4>0</vt:i4>
      </vt:variant>
      <vt:variant>
        <vt:i4>5</vt:i4>
      </vt:variant>
      <vt:variant>
        <vt:lpwstr/>
      </vt:variant>
      <vt:variant>
        <vt:lpwstr>_Toc216690749</vt:lpwstr>
      </vt:variant>
      <vt:variant>
        <vt:i4>1310778</vt:i4>
      </vt:variant>
      <vt:variant>
        <vt:i4>1817</vt:i4>
      </vt:variant>
      <vt:variant>
        <vt:i4>0</vt:i4>
      </vt:variant>
      <vt:variant>
        <vt:i4>5</vt:i4>
      </vt:variant>
      <vt:variant>
        <vt:lpwstr/>
      </vt:variant>
      <vt:variant>
        <vt:lpwstr>_Toc216690748</vt:lpwstr>
      </vt:variant>
      <vt:variant>
        <vt:i4>1310778</vt:i4>
      </vt:variant>
      <vt:variant>
        <vt:i4>1811</vt:i4>
      </vt:variant>
      <vt:variant>
        <vt:i4>0</vt:i4>
      </vt:variant>
      <vt:variant>
        <vt:i4>5</vt:i4>
      </vt:variant>
      <vt:variant>
        <vt:lpwstr/>
      </vt:variant>
      <vt:variant>
        <vt:lpwstr>_Toc216690747</vt:lpwstr>
      </vt:variant>
      <vt:variant>
        <vt:i4>1310778</vt:i4>
      </vt:variant>
      <vt:variant>
        <vt:i4>1805</vt:i4>
      </vt:variant>
      <vt:variant>
        <vt:i4>0</vt:i4>
      </vt:variant>
      <vt:variant>
        <vt:i4>5</vt:i4>
      </vt:variant>
      <vt:variant>
        <vt:lpwstr/>
      </vt:variant>
      <vt:variant>
        <vt:lpwstr>_Toc216690746</vt:lpwstr>
      </vt:variant>
      <vt:variant>
        <vt:i4>1310778</vt:i4>
      </vt:variant>
      <vt:variant>
        <vt:i4>1799</vt:i4>
      </vt:variant>
      <vt:variant>
        <vt:i4>0</vt:i4>
      </vt:variant>
      <vt:variant>
        <vt:i4>5</vt:i4>
      </vt:variant>
      <vt:variant>
        <vt:lpwstr/>
      </vt:variant>
      <vt:variant>
        <vt:lpwstr>_Toc216690745</vt:lpwstr>
      </vt:variant>
      <vt:variant>
        <vt:i4>1310778</vt:i4>
      </vt:variant>
      <vt:variant>
        <vt:i4>1793</vt:i4>
      </vt:variant>
      <vt:variant>
        <vt:i4>0</vt:i4>
      </vt:variant>
      <vt:variant>
        <vt:i4>5</vt:i4>
      </vt:variant>
      <vt:variant>
        <vt:lpwstr/>
      </vt:variant>
      <vt:variant>
        <vt:lpwstr>_Toc216690744</vt:lpwstr>
      </vt:variant>
      <vt:variant>
        <vt:i4>1310778</vt:i4>
      </vt:variant>
      <vt:variant>
        <vt:i4>1787</vt:i4>
      </vt:variant>
      <vt:variant>
        <vt:i4>0</vt:i4>
      </vt:variant>
      <vt:variant>
        <vt:i4>5</vt:i4>
      </vt:variant>
      <vt:variant>
        <vt:lpwstr/>
      </vt:variant>
      <vt:variant>
        <vt:lpwstr>_Toc216690743</vt:lpwstr>
      </vt:variant>
      <vt:variant>
        <vt:i4>1310778</vt:i4>
      </vt:variant>
      <vt:variant>
        <vt:i4>1781</vt:i4>
      </vt:variant>
      <vt:variant>
        <vt:i4>0</vt:i4>
      </vt:variant>
      <vt:variant>
        <vt:i4>5</vt:i4>
      </vt:variant>
      <vt:variant>
        <vt:lpwstr/>
      </vt:variant>
      <vt:variant>
        <vt:lpwstr>_Toc216690742</vt:lpwstr>
      </vt:variant>
      <vt:variant>
        <vt:i4>1310778</vt:i4>
      </vt:variant>
      <vt:variant>
        <vt:i4>1775</vt:i4>
      </vt:variant>
      <vt:variant>
        <vt:i4>0</vt:i4>
      </vt:variant>
      <vt:variant>
        <vt:i4>5</vt:i4>
      </vt:variant>
      <vt:variant>
        <vt:lpwstr/>
      </vt:variant>
      <vt:variant>
        <vt:lpwstr>_Toc216690741</vt:lpwstr>
      </vt:variant>
      <vt:variant>
        <vt:i4>1310778</vt:i4>
      </vt:variant>
      <vt:variant>
        <vt:i4>1769</vt:i4>
      </vt:variant>
      <vt:variant>
        <vt:i4>0</vt:i4>
      </vt:variant>
      <vt:variant>
        <vt:i4>5</vt:i4>
      </vt:variant>
      <vt:variant>
        <vt:lpwstr/>
      </vt:variant>
      <vt:variant>
        <vt:lpwstr>_Toc216690740</vt:lpwstr>
      </vt:variant>
      <vt:variant>
        <vt:i4>1245242</vt:i4>
      </vt:variant>
      <vt:variant>
        <vt:i4>1763</vt:i4>
      </vt:variant>
      <vt:variant>
        <vt:i4>0</vt:i4>
      </vt:variant>
      <vt:variant>
        <vt:i4>5</vt:i4>
      </vt:variant>
      <vt:variant>
        <vt:lpwstr/>
      </vt:variant>
      <vt:variant>
        <vt:lpwstr>_Toc216690739</vt:lpwstr>
      </vt:variant>
      <vt:variant>
        <vt:i4>1245242</vt:i4>
      </vt:variant>
      <vt:variant>
        <vt:i4>1757</vt:i4>
      </vt:variant>
      <vt:variant>
        <vt:i4>0</vt:i4>
      </vt:variant>
      <vt:variant>
        <vt:i4>5</vt:i4>
      </vt:variant>
      <vt:variant>
        <vt:lpwstr/>
      </vt:variant>
      <vt:variant>
        <vt:lpwstr>_Toc216690738</vt:lpwstr>
      </vt:variant>
      <vt:variant>
        <vt:i4>1245242</vt:i4>
      </vt:variant>
      <vt:variant>
        <vt:i4>1751</vt:i4>
      </vt:variant>
      <vt:variant>
        <vt:i4>0</vt:i4>
      </vt:variant>
      <vt:variant>
        <vt:i4>5</vt:i4>
      </vt:variant>
      <vt:variant>
        <vt:lpwstr/>
      </vt:variant>
      <vt:variant>
        <vt:lpwstr>_Toc216690737</vt:lpwstr>
      </vt:variant>
      <vt:variant>
        <vt:i4>1245242</vt:i4>
      </vt:variant>
      <vt:variant>
        <vt:i4>1745</vt:i4>
      </vt:variant>
      <vt:variant>
        <vt:i4>0</vt:i4>
      </vt:variant>
      <vt:variant>
        <vt:i4>5</vt:i4>
      </vt:variant>
      <vt:variant>
        <vt:lpwstr/>
      </vt:variant>
      <vt:variant>
        <vt:lpwstr>_Toc216690736</vt:lpwstr>
      </vt:variant>
      <vt:variant>
        <vt:i4>1245242</vt:i4>
      </vt:variant>
      <vt:variant>
        <vt:i4>1739</vt:i4>
      </vt:variant>
      <vt:variant>
        <vt:i4>0</vt:i4>
      </vt:variant>
      <vt:variant>
        <vt:i4>5</vt:i4>
      </vt:variant>
      <vt:variant>
        <vt:lpwstr/>
      </vt:variant>
      <vt:variant>
        <vt:lpwstr>_Toc216690735</vt:lpwstr>
      </vt:variant>
      <vt:variant>
        <vt:i4>1245242</vt:i4>
      </vt:variant>
      <vt:variant>
        <vt:i4>1733</vt:i4>
      </vt:variant>
      <vt:variant>
        <vt:i4>0</vt:i4>
      </vt:variant>
      <vt:variant>
        <vt:i4>5</vt:i4>
      </vt:variant>
      <vt:variant>
        <vt:lpwstr/>
      </vt:variant>
      <vt:variant>
        <vt:lpwstr>_Toc216690734</vt:lpwstr>
      </vt:variant>
      <vt:variant>
        <vt:i4>1245242</vt:i4>
      </vt:variant>
      <vt:variant>
        <vt:i4>1727</vt:i4>
      </vt:variant>
      <vt:variant>
        <vt:i4>0</vt:i4>
      </vt:variant>
      <vt:variant>
        <vt:i4>5</vt:i4>
      </vt:variant>
      <vt:variant>
        <vt:lpwstr/>
      </vt:variant>
      <vt:variant>
        <vt:lpwstr>_Toc216690733</vt:lpwstr>
      </vt:variant>
      <vt:variant>
        <vt:i4>1245242</vt:i4>
      </vt:variant>
      <vt:variant>
        <vt:i4>1721</vt:i4>
      </vt:variant>
      <vt:variant>
        <vt:i4>0</vt:i4>
      </vt:variant>
      <vt:variant>
        <vt:i4>5</vt:i4>
      </vt:variant>
      <vt:variant>
        <vt:lpwstr/>
      </vt:variant>
      <vt:variant>
        <vt:lpwstr>_Toc216690732</vt:lpwstr>
      </vt:variant>
      <vt:variant>
        <vt:i4>1245242</vt:i4>
      </vt:variant>
      <vt:variant>
        <vt:i4>1715</vt:i4>
      </vt:variant>
      <vt:variant>
        <vt:i4>0</vt:i4>
      </vt:variant>
      <vt:variant>
        <vt:i4>5</vt:i4>
      </vt:variant>
      <vt:variant>
        <vt:lpwstr/>
      </vt:variant>
      <vt:variant>
        <vt:lpwstr>_Toc216690731</vt:lpwstr>
      </vt:variant>
      <vt:variant>
        <vt:i4>1245242</vt:i4>
      </vt:variant>
      <vt:variant>
        <vt:i4>1709</vt:i4>
      </vt:variant>
      <vt:variant>
        <vt:i4>0</vt:i4>
      </vt:variant>
      <vt:variant>
        <vt:i4>5</vt:i4>
      </vt:variant>
      <vt:variant>
        <vt:lpwstr/>
      </vt:variant>
      <vt:variant>
        <vt:lpwstr>_Toc216690730</vt:lpwstr>
      </vt:variant>
      <vt:variant>
        <vt:i4>1179706</vt:i4>
      </vt:variant>
      <vt:variant>
        <vt:i4>1703</vt:i4>
      </vt:variant>
      <vt:variant>
        <vt:i4>0</vt:i4>
      </vt:variant>
      <vt:variant>
        <vt:i4>5</vt:i4>
      </vt:variant>
      <vt:variant>
        <vt:lpwstr/>
      </vt:variant>
      <vt:variant>
        <vt:lpwstr>_Toc216690729</vt:lpwstr>
      </vt:variant>
      <vt:variant>
        <vt:i4>1179706</vt:i4>
      </vt:variant>
      <vt:variant>
        <vt:i4>1697</vt:i4>
      </vt:variant>
      <vt:variant>
        <vt:i4>0</vt:i4>
      </vt:variant>
      <vt:variant>
        <vt:i4>5</vt:i4>
      </vt:variant>
      <vt:variant>
        <vt:lpwstr/>
      </vt:variant>
      <vt:variant>
        <vt:lpwstr>_Toc216690728</vt:lpwstr>
      </vt:variant>
      <vt:variant>
        <vt:i4>1179706</vt:i4>
      </vt:variant>
      <vt:variant>
        <vt:i4>1691</vt:i4>
      </vt:variant>
      <vt:variant>
        <vt:i4>0</vt:i4>
      </vt:variant>
      <vt:variant>
        <vt:i4>5</vt:i4>
      </vt:variant>
      <vt:variant>
        <vt:lpwstr/>
      </vt:variant>
      <vt:variant>
        <vt:lpwstr>_Toc216690727</vt:lpwstr>
      </vt:variant>
      <vt:variant>
        <vt:i4>1179706</vt:i4>
      </vt:variant>
      <vt:variant>
        <vt:i4>1685</vt:i4>
      </vt:variant>
      <vt:variant>
        <vt:i4>0</vt:i4>
      </vt:variant>
      <vt:variant>
        <vt:i4>5</vt:i4>
      </vt:variant>
      <vt:variant>
        <vt:lpwstr/>
      </vt:variant>
      <vt:variant>
        <vt:lpwstr>_Toc216690726</vt:lpwstr>
      </vt:variant>
      <vt:variant>
        <vt:i4>1179706</vt:i4>
      </vt:variant>
      <vt:variant>
        <vt:i4>1679</vt:i4>
      </vt:variant>
      <vt:variant>
        <vt:i4>0</vt:i4>
      </vt:variant>
      <vt:variant>
        <vt:i4>5</vt:i4>
      </vt:variant>
      <vt:variant>
        <vt:lpwstr/>
      </vt:variant>
      <vt:variant>
        <vt:lpwstr>_Toc216690725</vt:lpwstr>
      </vt:variant>
      <vt:variant>
        <vt:i4>1179706</vt:i4>
      </vt:variant>
      <vt:variant>
        <vt:i4>1673</vt:i4>
      </vt:variant>
      <vt:variant>
        <vt:i4>0</vt:i4>
      </vt:variant>
      <vt:variant>
        <vt:i4>5</vt:i4>
      </vt:variant>
      <vt:variant>
        <vt:lpwstr/>
      </vt:variant>
      <vt:variant>
        <vt:lpwstr>_Toc216690724</vt:lpwstr>
      </vt:variant>
      <vt:variant>
        <vt:i4>1179706</vt:i4>
      </vt:variant>
      <vt:variant>
        <vt:i4>1667</vt:i4>
      </vt:variant>
      <vt:variant>
        <vt:i4>0</vt:i4>
      </vt:variant>
      <vt:variant>
        <vt:i4>5</vt:i4>
      </vt:variant>
      <vt:variant>
        <vt:lpwstr/>
      </vt:variant>
      <vt:variant>
        <vt:lpwstr>_Toc216690723</vt:lpwstr>
      </vt:variant>
      <vt:variant>
        <vt:i4>1179706</vt:i4>
      </vt:variant>
      <vt:variant>
        <vt:i4>1661</vt:i4>
      </vt:variant>
      <vt:variant>
        <vt:i4>0</vt:i4>
      </vt:variant>
      <vt:variant>
        <vt:i4>5</vt:i4>
      </vt:variant>
      <vt:variant>
        <vt:lpwstr/>
      </vt:variant>
      <vt:variant>
        <vt:lpwstr>_Toc216690722</vt:lpwstr>
      </vt:variant>
      <vt:variant>
        <vt:i4>1179706</vt:i4>
      </vt:variant>
      <vt:variant>
        <vt:i4>1655</vt:i4>
      </vt:variant>
      <vt:variant>
        <vt:i4>0</vt:i4>
      </vt:variant>
      <vt:variant>
        <vt:i4>5</vt:i4>
      </vt:variant>
      <vt:variant>
        <vt:lpwstr/>
      </vt:variant>
      <vt:variant>
        <vt:lpwstr>_Toc216690721</vt:lpwstr>
      </vt:variant>
      <vt:variant>
        <vt:i4>1179706</vt:i4>
      </vt:variant>
      <vt:variant>
        <vt:i4>1649</vt:i4>
      </vt:variant>
      <vt:variant>
        <vt:i4>0</vt:i4>
      </vt:variant>
      <vt:variant>
        <vt:i4>5</vt:i4>
      </vt:variant>
      <vt:variant>
        <vt:lpwstr/>
      </vt:variant>
      <vt:variant>
        <vt:lpwstr>_Toc216690720</vt:lpwstr>
      </vt:variant>
      <vt:variant>
        <vt:i4>1114170</vt:i4>
      </vt:variant>
      <vt:variant>
        <vt:i4>1643</vt:i4>
      </vt:variant>
      <vt:variant>
        <vt:i4>0</vt:i4>
      </vt:variant>
      <vt:variant>
        <vt:i4>5</vt:i4>
      </vt:variant>
      <vt:variant>
        <vt:lpwstr/>
      </vt:variant>
      <vt:variant>
        <vt:lpwstr>_Toc216690719</vt:lpwstr>
      </vt:variant>
      <vt:variant>
        <vt:i4>1114170</vt:i4>
      </vt:variant>
      <vt:variant>
        <vt:i4>1637</vt:i4>
      </vt:variant>
      <vt:variant>
        <vt:i4>0</vt:i4>
      </vt:variant>
      <vt:variant>
        <vt:i4>5</vt:i4>
      </vt:variant>
      <vt:variant>
        <vt:lpwstr/>
      </vt:variant>
      <vt:variant>
        <vt:lpwstr>_Toc216690718</vt:lpwstr>
      </vt:variant>
      <vt:variant>
        <vt:i4>1114170</vt:i4>
      </vt:variant>
      <vt:variant>
        <vt:i4>1631</vt:i4>
      </vt:variant>
      <vt:variant>
        <vt:i4>0</vt:i4>
      </vt:variant>
      <vt:variant>
        <vt:i4>5</vt:i4>
      </vt:variant>
      <vt:variant>
        <vt:lpwstr/>
      </vt:variant>
      <vt:variant>
        <vt:lpwstr>_Toc216690717</vt:lpwstr>
      </vt:variant>
      <vt:variant>
        <vt:i4>1114170</vt:i4>
      </vt:variant>
      <vt:variant>
        <vt:i4>1625</vt:i4>
      </vt:variant>
      <vt:variant>
        <vt:i4>0</vt:i4>
      </vt:variant>
      <vt:variant>
        <vt:i4>5</vt:i4>
      </vt:variant>
      <vt:variant>
        <vt:lpwstr/>
      </vt:variant>
      <vt:variant>
        <vt:lpwstr>_Toc216690716</vt:lpwstr>
      </vt:variant>
      <vt:variant>
        <vt:i4>1114170</vt:i4>
      </vt:variant>
      <vt:variant>
        <vt:i4>1619</vt:i4>
      </vt:variant>
      <vt:variant>
        <vt:i4>0</vt:i4>
      </vt:variant>
      <vt:variant>
        <vt:i4>5</vt:i4>
      </vt:variant>
      <vt:variant>
        <vt:lpwstr/>
      </vt:variant>
      <vt:variant>
        <vt:lpwstr>_Toc216690715</vt:lpwstr>
      </vt:variant>
      <vt:variant>
        <vt:i4>1114170</vt:i4>
      </vt:variant>
      <vt:variant>
        <vt:i4>1613</vt:i4>
      </vt:variant>
      <vt:variant>
        <vt:i4>0</vt:i4>
      </vt:variant>
      <vt:variant>
        <vt:i4>5</vt:i4>
      </vt:variant>
      <vt:variant>
        <vt:lpwstr/>
      </vt:variant>
      <vt:variant>
        <vt:lpwstr>_Toc216690714</vt:lpwstr>
      </vt:variant>
      <vt:variant>
        <vt:i4>1114170</vt:i4>
      </vt:variant>
      <vt:variant>
        <vt:i4>1607</vt:i4>
      </vt:variant>
      <vt:variant>
        <vt:i4>0</vt:i4>
      </vt:variant>
      <vt:variant>
        <vt:i4>5</vt:i4>
      </vt:variant>
      <vt:variant>
        <vt:lpwstr/>
      </vt:variant>
      <vt:variant>
        <vt:lpwstr>_Toc216690713</vt:lpwstr>
      </vt:variant>
      <vt:variant>
        <vt:i4>1114170</vt:i4>
      </vt:variant>
      <vt:variant>
        <vt:i4>1601</vt:i4>
      </vt:variant>
      <vt:variant>
        <vt:i4>0</vt:i4>
      </vt:variant>
      <vt:variant>
        <vt:i4>5</vt:i4>
      </vt:variant>
      <vt:variant>
        <vt:lpwstr/>
      </vt:variant>
      <vt:variant>
        <vt:lpwstr>_Toc216690712</vt:lpwstr>
      </vt:variant>
      <vt:variant>
        <vt:i4>1114170</vt:i4>
      </vt:variant>
      <vt:variant>
        <vt:i4>1595</vt:i4>
      </vt:variant>
      <vt:variant>
        <vt:i4>0</vt:i4>
      </vt:variant>
      <vt:variant>
        <vt:i4>5</vt:i4>
      </vt:variant>
      <vt:variant>
        <vt:lpwstr/>
      </vt:variant>
      <vt:variant>
        <vt:lpwstr>_Toc216690711</vt:lpwstr>
      </vt:variant>
      <vt:variant>
        <vt:i4>1114170</vt:i4>
      </vt:variant>
      <vt:variant>
        <vt:i4>1589</vt:i4>
      </vt:variant>
      <vt:variant>
        <vt:i4>0</vt:i4>
      </vt:variant>
      <vt:variant>
        <vt:i4>5</vt:i4>
      </vt:variant>
      <vt:variant>
        <vt:lpwstr/>
      </vt:variant>
      <vt:variant>
        <vt:lpwstr>_Toc216690710</vt:lpwstr>
      </vt:variant>
      <vt:variant>
        <vt:i4>1048634</vt:i4>
      </vt:variant>
      <vt:variant>
        <vt:i4>1583</vt:i4>
      </vt:variant>
      <vt:variant>
        <vt:i4>0</vt:i4>
      </vt:variant>
      <vt:variant>
        <vt:i4>5</vt:i4>
      </vt:variant>
      <vt:variant>
        <vt:lpwstr/>
      </vt:variant>
      <vt:variant>
        <vt:lpwstr>_Toc216690709</vt:lpwstr>
      </vt:variant>
      <vt:variant>
        <vt:i4>1048634</vt:i4>
      </vt:variant>
      <vt:variant>
        <vt:i4>1577</vt:i4>
      </vt:variant>
      <vt:variant>
        <vt:i4>0</vt:i4>
      </vt:variant>
      <vt:variant>
        <vt:i4>5</vt:i4>
      </vt:variant>
      <vt:variant>
        <vt:lpwstr/>
      </vt:variant>
      <vt:variant>
        <vt:lpwstr>_Toc216690708</vt:lpwstr>
      </vt:variant>
      <vt:variant>
        <vt:i4>1048634</vt:i4>
      </vt:variant>
      <vt:variant>
        <vt:i4>1571</vt:i4>
      </vt:variant>
      <vt:variant>
        <vt:i4>0</vt:i4>
      </vt:variant>
      <vt:variant>
        <vt:i4>5</vt:i4>
      </vt:variant>
      <vt:variant>
        <vt:lpwstr/>
      </vt:variant>
      <vt:variant>
        <vt:lpwstr>_Toc216690707</vt:lpwstr>
      </vt:variant>
      <vt:variant>
        <vt:i4>1048634</vt:i4>
      </vt:variant>
      <vt:variant>
        <vt:i4>1565</vt:i4>
      </vt:variant>
      <vt:variant>
        <vt:i4>0</vt:i4>
      </vt:variant>
      <vt:variant>
        <vt:i4>5</vt:i4>
      </vt:variant>
      <vt:variant>
        <vt:lpwstr/>
      </vt:variant>
      <vt:variant>
        <vt:lpwstr>_Toc216690706</vt:lpwstr>
      </vt:variant>
      <vt:variant>
        <vt:i4>1048634</vt:i4>
      </vt:variant>
      <vt:variant>
        <vt:i4>1559</vt:i4>
      </vt:variant>
      <vt:variant>
        <vt:i4>0</vt:i4>
      </vt:variant>
      <vt:variant>
        <vt:i4>5</vt:i4>
      </vt:variant>
      <vt:variant>
        <vt:lpwstr/>
      </vt:variant>
      <vt:variant>
        <vt:lpwstr>_Toc216690705</vt:lpwstr>
      </vt:variant>
      <vt:variant>
        <vt:i4>1048634</vt:i4>
      </vt:variant>
      <vt:variant>
        <vt:i4>1553</vt:i4>
      </vt:variant>
      <vt:variant>
        <vt:i4>0</vt:i4>
      </vt:variant>
      <vt:variant>
        <vt:i4>5</vt:i4>
      </vt:variant>
      <vt:variant>
        <vt:lpwstr/>
      </vt:variant>
      <vt:variant>
        <vt:lpwstr>_Toc216690704</vt:lpwstr>
      </vt:variant>
      <vt:variant>
        <vt:i4>1048634</vt:i4>
      </vt:variant>
      <vt:variant>
        <vt:i4>1547</vt:i4>
      </vt:variant>
      <vt:variant>
        <vt:i4>0</vt:i4>
      </vt:variant>
      <vt:variant>
        <vt:i4>5</vt:i4>
      </vt:variant>
      <vt:variant>
        <vt:lpwstr/>
      </vt:variant>
      <vt:variant>
        <vt:lpwstr>_Toc216690703</vt:lpwstr>
      </vt:variant>
      <vt:variant>
        <vt:i4>1048634</vt:i4>
      </vt:variant>
      <vt:variant>
        <vt:i4>1541</vt:i4>
      </vt:variant>
      <vt:variant>
        <vt:i4>0</vt:i4>
      </vt:variant>
      <vt:variant>
        <vt:i4>5</vt:i4>
      </vt:variant>
      <vt:variant>
        <vt:lpwstr/>
      </vt:variant>
      <vt:variant>
        <vt:lpwstr>_Toc216690702</vt:lpwstr>
      </vt:variant>
      <vt:variant>
        <vt:i4>1048634</vt:i4>
      </vt:variant>
      <vt:variant>
        <vt:i4>1535</vt:i4>
      </vt:variant>
      <vt:variant>
        <vt:i4>0</vt:i4>
      </vt:variant>
      <vt:variant>
        <vt:i4>5</vt:i4>
      </vt:variant>
      <vt:variant>
        <vt:lpwstr/>
      </vt:variant>
      <vt:variant>
        <vt:lpwstr>_Toc216690701</vt:lpwstr>
      </vt:variant>
      <vt:variant>
        <vt:i4>1048634</vt:i4>
      </vt:variant>
      <vt:variant>
        <vt:i4>1529</vt:i4>
      </vt:variant>
      <vt:variant>
        <vt:i4>0</vt:i4>
      </vt:variant>
      <vt:variant>
        <vt:i4>5</vt:i4>
      </vt:variant>
      <vt:variant>
        <vt:lpwstr/>
      </vt:variant>
      <vt:variant>
        <vt:lpwstr>_Toc216690700</vt:lpwstr>
      </vt:variant>
      <vt:variant>
        <vt:i4>1638459</vt:i4>
      </vt:variant>
      <vt:variant>
        <vt:i4>1523</vt:i4>
      </vt:variant>
      <vt:variant>
        <vt:i4>0</vt:i4>
      </vt:variant>
      <vt:variant>
        <vt:i4>5</vt:i4>
      </vt:variant>
      <vt:variant>
        <vt:lpwstr/>
      </vt:variant>
      <vt:variant>
        <vt:lpwstr>_Toc216690699</vt:lpwstr>
      </vt:variant>
      <vt:variant>
        <vt:i4>1638459</vt:i4>
      </vt:variant>
      <vt:variant>
        <vt:i4>1517</vt:i4>
      </vt:variant>
      <vt:variant>
        <vt:i4>0</vt:i4>
      </vt:variant>
      <vt:variant>
        <vt:i4>5</vt:i4>
      </vt:variant>
      <vt:variant>
        <vt:lpwstr/>
      </vt:variant>
      <vt:variant>
        <vt:lpwstr>_Toc216690698</vt:lpwstr>
      </vt:variant>
      <vt:variant>
        <vt:i4>1638459</vt:i4>
      </vt:variant>
      <vt:variant>
        <vt:i4>1511</vt:i4>
      </vt:variant>
      <vt:variant>
        <vt:i4>0</vt:i4>
      </vt:variant>
      <vt:variant>
        <vt:i4>5</vt:i4>
      </vt:variant>
      <vt:variant>
        <vt:lpwstr/>
      </vt:variant>
      <vt:variant>
        <vt:lpwstr>_Toc216690697</vt:lpwstr>
      </vt:variant>
      <vt:variant>
        <vt:i4>1638459</vt:i4>
      </vt:variant>
      <vt:variant>
        <vt:i4>1502</vt:i4>
      </vt:variant>
      <vt:variant>
        <vt:i4>0</vt:i4>
      </vt:variant>
      <vt:variant>
        <vt:i4>5</vt:i4>
      </vt:variant>
      <vt:variant>
        <vt:lpwstr/>
      </vt:variant>
      <vt:variant>
        <vt:lpwstr>_Toc216690696</vt:lpwstr>
      </vt:variant>
      <vt:variant>
        <vt:i4>1638459</vt:i4>
      </vt:variant>
      <vt:variant>
        <vt:i4>1496</vt:i4>
      </vt:variant>
      <vt:variant>
        <vt:i4>0</vt:i4>
      </vt:variant>
      <vt:variant>
        <vt:i4>5</vt:i4>
      </vt:variant>
      <vt:variant>
        <vt:lpwstr/>
      </vt:variant>
      <vt:variant>
        <vt:lpwstr>_Toc216690695</vt:lpwstr>
      </vt:variant>
      <vt:variant>
        <vt:i4>1638459</vt:i4>
      </vt:variant>
      <vt:variant>
        <vt:i4>1490</vt:i4>
      </vt:variant>
      <vt:variant>
        <vt:i4>0</vt:i4>
      </vt:variant>
      <vt:variant>
        <vt:i4>5</vt:i4>
      </vt:variant>
      <vt:variant>
        <vt:lpwstr/>
      </vt:variant>
      <vt:variant>
        <vt:lpwstr>_Toc216690694</vt:lpwstr>
      </vt:variant>
      <vt:variant>
        <vt:i4>1638459</vt:i4>
      </vt:variant>
      <vt:variant>
        <vt:i4>1484</vt:i4>
      </vt:variant>
      <vt:variant>
        <vt:i4>0</vt:i4>
      </vt:variant>
      <vt:variant>
        <vt:i4>5</vt:i4>
      </vt:variant>
      <vt:variant>
        <vt:lpwstr/>
      </vt:variant>
      <vt:variant>
        <vt:lpwstr>_Toc216690693</vt:lpwstr>
      </vt:variant>
      <vt:variant>
        <vt:i4>1638459</vt:i4>
      </vt:variant>
      <vt:variant>
        <vt:i4>1478</vt:i4>
      </vt:variant>
      <vt:variant>
        <vt:i4>0</vt:i4>
      </vt:variant>
      <vt:variant>
        <vt:i4>5</vt:i4>
      </vt:variant>
      <vt:variant>
        <vt:lpwstr/>
      </vt:variant>
      <vt:variant>
        <vt:lpwstr>_Toc216690692</vt:lpwstr>
      </vt:variant>
      <vt:variant>
        <vt:i4>1638459</vt:i4>
      </vt:variant>
      <vt:variant>
        <vt:i4>1472</vt:i4>
      </vt:variant>
      <vt:variant>
        <vt:i4>0</vt:i4>
      </vt:variant>
      <vt:variant>
        <vt:i4>5</vt:i4>
      </vt:variant>
      <vt:variant>
        <vt:lpwstr/>
      </vt:variant>
      <vt:variant>
        <vt:lpwstr>_Toc216690691</vt:lpwstr>
      </vt:variant>
      <vt:variant>
        <vt:i4>1638459</vt:i4>
      </vt:variant>
      <vt:variant>
        <vt:i4>1466</vt:i4>
      </vt:variant>
      <vt:variant>
        <vt:i4>0</vt:i4>
      </vt:variant>
      <vt:variant>
        <vt:i4>5</vt:i4>
      </vt:variant>
      <vt:variant>
        <vt:lpwstr/>
      </vt:variant>
      <vt:variant>
        <vt:lpwstr>_Toc216690690</vt:lpwstr>
      </vt:variant>
      <vt:variant>
        <vt:i4>1572923</vt:i4>
      </vt:variant>
      <vt:variant>
        <vt:i4>1460</vt:i4>
      </vt:variant>
      <vt:variant>
        <vt:i4>0</vt:i4>
      </vt:variant>
      <vt:variant>
        <vt:i4>5</vt:i4>
      </vt:variant>
      <vt:variant>
        <vt:lpwstr/>
      </vt:variant>
      <vt:variant>
        <vt:lpwstr>_Toc216690689</vt:lpwstr>
      </vt:variant>
      <vt:variant>
        <vt:i4>1572923</vt:i4>
      </vt:variant>
      <vt:variant>
        <vt:i4>1454</vt:i4>
      </vt:variant>
      <vt:variant>
        <vt:i4>0</vt:i4>
      </vt:variant>
      <vt:variant>
        <vt:i4>5</vt:i4>
      </vt:variant>
      <vt:variant>
        <vt:lpwstr/>
      </vt:variant>
      <vt:variant>
        <vt:lpwstr>_Toc216690688</vt:lpwstr>
      </vt:variant>
      <vt:variant>
        <vt:i4>1572923</vt:i4>
      </vt:variant>
      <vt:variant>
        <vt:i4>1448</vt:i4>
      </vt:variant>
      <vt:variant>
        <vt:i4>0</vt:i4>
      </vt:variant>
      <vt:variant>
        <vt:i4>5</vt:i4>
      </vt:variant>
      <vt:variant>
        <vt:lpwstr/>
      </vt:variant>
      <vt:variant>
        <vt:lpwstr>_Toc216690687</vt:lpwstr>
      </vt:variant>
      <vt:variant>
        <vt:i4>1572923</vt:i4>
      </vt:variant>
      <vt:variant>
        <vt:i4>1442</vt:i4>
      </vt:variant>
      <vt:variant>
        <vt:i4>0</vt:i4>
      </vt:variant>
      <vt:variant>
        <vt:i4>5</vt:i4>
      </vt:variant>
      <vt:variant>
        <vt:lpwstr/>
      </vt:variant>
      <vt:variant>
        <vt:lpwstr>_Toc216690686</vt:lpwstr>
      </vt:variant>
      <vt:variant>
        <vt:i4>1572923</vt:i4>
      </vt:variant>
      <vt:variant>
        <vt:i4>1436</vt:i4>
      </vt:variant>
      <vt:variant>
        <vt:i4>0</vt:i4>
      </vt:variant>
      <vt:variant>
        <vt:i4>5</vt:i4>
      </vt:variant>
      <vt:variant>
        <vt:lpwstr/>
      </vt:variant>
      <vt:variant>
        <vt:lpwstr>_Toc216690685</vt:lpwstr>
      </vt:variant>
      <vt:variant>
        <vt:i4>1572923</vt:i4>
      </vt:variant>
      <vt:variant>
        <vt:i4>1430</vt:i4>
      </vt:variant>
      <vt:variant>
        <vt:i4>0</vt:i4>
      </vt:variant>
      <vt:variant>
        <vt:i4>5</vt:i4>
      </vt:variant>
      <vt:variant>
        <vt:lpwstr/>
      </vt:variant>
      <vt:variant>
        <vt:lpwstr>_Toc216690684</vt:lpwstr>
      </vt:variant>
      <vt:variant>
        <vt:i4>1572923</vt:i4>
      </vt:variant>
      <vt:variant>
        <vt:i4>1424</vt:i4>
      </vt:variant>
      <vt:variant>
        <vt:i4>0</vt:i4>
      </vt:variant>
      <vt:variant>
        <vt:i4>5</vt:i4>
      </vt:variant>
      <vt:variant>
        <vt:lpwstr/>
      </vt:variant>
      <vt:variant>
        <vt:lpwstr>_Toc216690683</vt:lpwstr>
      </vt:variant>
      <vt:variant>
        <vt:i4>1572923</vt:i4>
      </vt:variant>
      <vt:variant>
        <vt:i4>1418</vt:i4>
      </vt:variant>
      <vt:variant>
        <vt:i4>0</vt:i4>
      </vt:variant>
      <vt:variant>
        <vt:i4>5</vt:i4>
      </vt:variant>
      <vt:variant>
        <vt:lpwstr/>
      </vt:variant>
      <vt:variant>
        <vt:lpwstr>_Toc216690682</vt:lpwstr>
      </vt:variant>
      <vt:variant>
        <vt:i4>1572923</vt:i4>
      </vt:variant>
      <vt:variant>
        <vt:i4>1412</vt:i4>
      </vt:variant>
      <vt:variant>
        <vt:i4>0</vt:i4>
      </vt:variant>
      <vt:variant>
        <vt:i4>5</vt:i4>
      </vt:variant>
      <vt:variant>
        <vt:lpwstr/>
      </vt:variant>
      <vt:variant>
        <vt:lpwstr>_Toc216690681</vt:lpwstr>
      </vt:variant>
      <vt:variant>
        <vt:i4>1572923</vt:i4>
      </vt:variant>
      <vt:variant>
        <vt:i4>1406</vt:i4>
      </vt:variant>
      <vt:variant>
        <vt:i4>0</vt:i4>
      </vt:variant>
      <vt:variant>
        <vt:i4>5</vt:i4>
      </vt:variant>
      <vt:variant>
        <vt:lpwstr/>
      </vt:variant>
      <vt:variant>
        <vt:lpwstr>_Toc216690680</vt:lpwstr>
      </vt:variant>
      <vt:variant>
        <vt:i4>1507387</vt:i4>
      </vt:variant>
      <vt:variant>
        <vt:i4>1400</vt:i4>
      </vt:variant>
      <vt:variant>
        <vt:i4>0</vt:i4>
      </vt:variant>
      <vt:variant>
        <vt:i4>5</vt:i4>
      </vt:variant>
      <vt:variant>
        <vt:lpwstr/>
      </vt:variant>
      <vt:variant>
        <vt:lpwstr>_Toc216690679</vt:lpwstr>
      </vt:variant>
      <vt:variant>
        <vt:i4>1507387</vt:i4>
      </vt:variant>
      <vt:variant>
        <vt:i4>1394</vt:i4>
      </vt:variant>
      <vt:variant>
        <vt:i4>0</vt:i4>
      </vt:variant>
      <vt:variant>
        <vt:i4>5</vt:i4>
      </vt:variant>
      <vt:variant>
        <vt:lpwstr/>
      </vt:variant>
      <vt:variant>
        <vt:lpwstr>_Toc216690678</vt:lpwstr>
      </vt:variant>
      <vt:variant>
        <vt:i4>1507387</vt:i4>
      </vt:variant>
      <vt:variant>
        <vt:i4>1388</vt:i4>
      </vt:variant>
      <vt:variant>
        <vt:i4>0</vt:i4>
      </vt:variant>
      <vt:variant>
        <vt:i4>5</vt:i4>
      </vt:variant>
      <vt:variant>
        <vt:lpwstr/>
      </vt:variant>
      <vt:variant>
        <vt:lpwstr>_Toc216690677</vt:lpwstr>
      </vt:variant>
      <vt:variant>
        <vt:i4>1507387</vt:i4>
      </vt:variant>
      <vt:variant>
        <vt:i4>1382</vt:i4>
      </vt:variant>
      <vt:variant>
        <vt:i4>0</vt:i4>
      </vt:variant>
      <vt:variant>
        <vt:i4>5</vt:i4>
      </vt:variant>
      <vt:variant>
        <vt:lpwstr/>
      </vt:variant>
      <vt:variant>
        <vt:lpwstr>_Toc216690676</vt:lpwstr>
      </vt:variant>
      <vt:variant>
        <vt:i4>1507387</vt:i4>
      </vt:variant>
      <vt:variant>
        <vt:i4>1376</vt:i4>
      </vt:variant>
      <vt:variant>
        <vt:i4>0</vt:i4>
      </vt:variant>
      <vt:variant>
        <vt:i4>5</vt:i4>
      </vt:variant>
      <vt:variant>
        <vt:lpwstr/>
      </vt:variant>
      <vt:variant>
        <vt:lpwstr>_Toc216690675</vt:lpwstr>
      </vt:variant>
      <vt:variant>
        <vt:i4>1507387</vt:i4>
      </vt:variant>
      <vt:variant>
        <vt:i4>1370</vt:i4>
      </vt:variant>
      <vt:variant>
        <vt:i4>0</vt:i4>
      </vt:variant>
      <vt:variant>
        <vt:i4>5</vt:i4>
      </vt:variant>
      <vt:variant>
        <vt:lpwstr/>
      </vt:variant>
      <vt:variant>
        <vt:lpwstr>_Toc216690674</vt:lpwstr>
      </vt:variant>
      <vt:variant>
        <vt:i4>1507387</vt:i4>
      </vt:variant>
      <vt:variant>
        <vt:i4>1364</vt:i4>
      </vt:variant>
      <vt:variant>
        <vt:i4>0</vt:i4>
      </vt:variant>
      <vt:variant>
        <vt:i4>5</vt:i4>
      </vt:variant>
      <vt:variant>
        <vt:lpwstr/>
      </vt:variant>
      <vt:variant>
        <vt:lpwstr>_Toc216690673</vt:lpwstr>
      </vt:variant>
      <vt:variant>
        <vt:i4>1507387</vt:i4>
      </vt:variant>
      <vt:variant>
        <vt:i4>1358</vt:i4>
      </vt:variant>
      <vt:variant>
        <vt:i4>0</vt:i4>
      </vt:variant>
      <vt:variant>
        <vt:i4>5</vt:i4>
      </vt:variant>
      <vt:variant>
        <vt:lpwstr/>
      </vt:variant>
      <vt:variant>
        <vt:lpwstr>_Toc216690672</vt:lpwstr>
      </vt:variant>
      <vt:variant>
        <vt:i4>1507387</vt:i4>
      </vt:variant>
      <vt:variant>
        <vt:i4>1352</vt:i4>
      </vt:variant>
      <vt:variant>
        <vt:i4>0</vt:i4>
      </vt:variant>
      <vt:variant>
        <vt:i4>5</vt:i4>
      </vt:variant>
      <vt:variant>
        <vt:lpwstr/>
      </vt:variant>
      <vt:variant>
        <vt:lpwstr>_Toc216690671</vt:lpwstr>
      </vt:variant>
      <vt:variant>
        <vt:i4>1507387</vt:i4>
      </vt:variant>
      <vt:variant>
        <vt:i4>1346</vt:i4>
      </vt:variant>
      <vt:variant>
        <vt:i4>0</vt:i4>
      </vt:variant>
      <vt:variant>
        <vt:i4>5</vt:i4>
      </vt:variant>
      <vt:variant>
        <vt:lpwstr/>
      </vt:variant>
      <vt:variant>
        <vt:lpwstr>_Toc216690670</vt:lpwstr>
      </vt:variant>
      <vt:variant>
        <vt:i4>1441851</vt:i4>
      </vt:variant>
      <vt:variant>
        <vt:i4>1340</vt:i4>
      </vt:variant>
      <vt:variant>
        <vt:i4>0</vt:i4>
      </vt:variant>
      <vt:variant>
        <vt:i4>5</vt:i4>
      </vt:variant>
      <vt:variant>
        <vt:lpwstr/>
      </vt:variant>
      <vt:variant>
        <vt:lpwstr>_Toc216690669</vt:lpwstr>
      </vt:variant>
      <vt:variant>
        <vt:i4>1441851</vt:i4>
      </vt:variant>
      <vt:variant>
        <vt:i4>1334</vt:i4>
      </vt:variant>
      <vt:variant>
        <vt:i4>0</vt:i4>
      </vt:variant>
      <vt:variant>
        <vt:i4>5</vt:i4>
      </vt:variant>
      <vt:variant>
        <vt:lpwstr/>
      </vt:variant>
      <vt:variant>
        <vt:lpwstr>_Toc216690668</vt:lpwstr>
      </vt:variant>
      <vt:variant>
        <vt:i4>1441851</vt:i4>
      </vt:variant>
      <vt:variant>
        <vt:i4>1328</vt:i4>
      </vt:variant>
      <vt:variant>
        <vt:i4>0</vt:i4>
      </vt:variant>
      <vt:variant>
        <vt:i4>5</vt:i4>
      </vt:variant>
      <vt:variant>
        <vt:lpwstr/>
      </vt:variant>
      <vt:variant>
        <vt:lpwstr>_Toc216690667</vt:lpwstr>
      </vt:variant>
      <vt:variant>
        <vt:i4>1441851</vt:i4>
      </vt:variant>
      <vt:variant>
        <vt:i4>1322</vt:i4>
      </vt:variant>
      <vt:variant>
        <vt:i4>0</vt:i4>
      </vt:variant>
      <vt:variant>
        <vt:i4>5</vt:i4>
      </vt:variant>
      <vt:variant>
        <vt:lpwstr/>
      </vt:variant>
      <vt:variant>
        <vt:lpwstr>_Toc216690666</vt:lpwstr>
      </vt:variant>
      <vt:variant>
        <vt:i4>1441851</vt:i4>
      </vt:variant>
      <vt:variant>
        <vt:i4>1316</vt:i4>
      </vt:variant>
      <vt:variant>
        <vt:i4>0</vt:i4>
      </vt:variant>
      <vt:variant>
        <vt:i4>5</vt:i4>
      </vt:variant>
      <vt:variant>
        <vt:lpwstr/>
      </vt:variant>
      <vt:variant>
        <vt:lpwstr>_Toc216690665</vt:lpwstr>
      </vt:variant>
      <vt:variant>
        <vt:i4>1441851</vt:i4>
      </vt:variant>
      <vt:variant>
        <vt:i4>1310</vt:i4>
      </vt:variant>
      <vt:variant>
        <vt:i4>0</vt:i4>
      </vt:variant>
      <vt:variant>
        <vt:i4>5</vt:i4>
      </vt:variant>
      <vt:variant>
        <vt:lpwstr/>
      </vt:variant>
      <vt:variant>
        <vt:lpwstr>_Toc216690664</vt:lpwstr>
      </vt:variant>
      <vt:variant>
        <vt:i4>1441851</vt:i4>
      </vt:variant>
      <vt:variant>
        <vt:i4>1304</vt:i4>
      </vt:variant>
      <vt:variant>
        <vt:i4>0</vt:i4>
      </vt:variant>
      <vt:variant>
        <vt:i4>5</vt:i4>
      </vt:variant>
      <vt:variant>
        <vt:lpwstr/>
      </vt:variant>
      <vt:variant>
        <vt:lpwstr>_Toc216690663</vt:lpwstr>
      </vt:variant>
      <vt:variant>
        <vt:i4>1441851</vt:i4>
      </vt:variant>
      <vt:variant>
        <vt:i4>1298</vt:i4>
      </vt:variant>
      <vt:variant>
        <vt:i4>0</vt:i4>
      </vt:variant>
      <vt:variant>
        <vt:i4>5</vt:i4>
      </vt:variant>
      <vt:variant>
        <vt:lpwstr/>
      </vt:variant>
      <vt:variant>
        <vt:lpwstr>_Toc216690662</vt:lpwstr>
      </vt:variant>
      <vt:variant>
        <vt:i4>1441851</vt:i4>
      </vt:variant>
      <vt:variant>
        <vt:i4>1292</vt:i4>
      </vt:variant>
      <vt:variant>
        <vt:i4>0</vt:i4>
      </vt:variant>
      <vt:variant>
        <vt:i4>5</vt:i4>
      </vt:variant>
      <vt:variant>
        <vt:lpwstr/>
      </vt:variant>
      <vt:variant>
        <vt:lpwstr>_Toc216690661</vt:lpwstr>
      </vt:variant>
      <vt:variant>
        <vt:i4>1441851</vt:i4>
      </vt:variant>
      <vt:variant>
        <vt:i4>1286</vt:i4>
      </vt:variant>
      <vt:variant>
        <vt:i4>0</vt:i4>
      </vt:variant>
      <vt:variant>
        <vt:i4>5</vt:i4>
      </vt:variant>
      <vt:variant>
        <vt:lpwstr/>
      </vt:variant>
      <vt:variant>
        <vt:lpwstr>_Toc216690660</vt:lpwstr>
      </vt:variant>
      <vt:variant>
        <vt:i4>1376315</vt:i4>
      </vt:variant>
      <vt:variant>
        <vt:i4>1280</vt:i4>
      </vt:variant>
      <vt:variant>
        <vt:i4>0</vt:i4>
      </vt:variant>
      <vt:variant>
        <vt:i4>5</vt:i4>
      </vt:variant>
      <vt:variant>
        <vt:lpwstr/>
      </vt:variant>
      <vt:variant>
        <vt:lpwstr>_Toc216690659</vt:lpwstr>
      </vt:variant>
      <vt:variant>
        <vt:i4>1376315</vt:i4>
      </vt:variant>
      <vt:variant>
        <vt:i4>1274</vt:i4>
      </vt:variant>
      <vt:variant>
        <vt:i4>0</vt:i4>
      </vt:variant>
      <vt:variant>
        <vt:i4>5</vt:i4>
      </vt:variant>
      <vt:variant>
        <vt:lpwstr/>
      </vt:variant>
      <vt:variant>
        <vt:lpwstr>_Toc216690658</vt:lpwstr>
      </vt:variant>
      <vt:variant>
        <vt:i4>1376315</vt:i4>
      </vt:variant>
      <vt:variant>
        <vt:i4>1268</vt:i4>
      </vt:variant>
      <vt:variant>
        <vt:i4>0</vt:i4>
      </vt:variant>
      <vt:variant>
        <vt:i4>5</vt:i4>
      </vt:variant>
      <vt:variant>
        <vt:lpwstr/>
      </vt:variant>
      <vt:variant>
        <vt:lpwstr>_Toc216690657</vt:lpwstr>
      </vt:variant>
      <vt:variant>
        <vt:i4>1376315</vt:i4>
      </vt:variant>
      <vt:variant>
        <vt:i4>1262</vt:i4>
      </vt:variant>
      <vt:variant>
        <vt:i4>0</vt:i4>
      </vt:variant>
      <vt:variant>
        <vt:i4>5</vt:i4>
      </vt:variant>
      <vt:variant>
        <vt:lpwstr/>
      </vt:variant>
      <vt:variant>
        <vt:lpwstr>_Toc216690656</vt:lpwstr>
      </vt:variant>
      <vt:variant>
        <vt:i4>1376315</vt:i4>
      </vt:variant>
      <vt:variant>
        <vt:i4>1256</vt:i4>
      </vt:variant>
      <vt:variant>
        <vt:i4>0</vt:i4>
      </vt:variant>
      <vt:variant>
        <vt:i4>5</vt:i4>
      </vt:variant>
      <vt:variant>
        <vt:lpwstr/>
      </vt:variant>
      <vt:variant>
        <vt:lpwstr>_Toc216690655</vt:lpwstr>
      </vt:variant>
      <vt:variant>
        <vt:i4>1376315</vt:i4>
      </vt:variant>
      <vt:variant>
        <vt:i4>1250</vt:i4>
      </vt:variant>
      <vt:variant>
        <vt:i4>0</vt:i4>
      </vt:variant>
      <vt:variant>
        <vt:i4>5</vt:i4>
      </vt:variant>
      <vt:variant>
        <vt:lpwstr/>
      </vt:variant>
      <vt:variant>
        <vt:lpwstr>_Toc216690654</vt:lpwstr>
      </vt:variant>
      <vt:variant>
        <vt:i4>1376315</vt:i4>
      </vt:variant>
      <vt:variant>
        <vt:i4>1244</vt:i4>
      </vt:variant>
      <vt:variant>
        <vt:i4>0</vt:i4>
      </vt:variant>
      <vt:variant>
        <vt:i4>5</vt:i4>
      </vt:variant>
      <vt:variant>
        <vt:lpwstr/>
      </vt:variant>
      <vt:variant>
        <vt:lpwstr>_Toc216690653</vt:lpwstr>
      </vt:variant>
      <vt:variant>
        <vt:i4>1376315</vt:i4>
      </vt:variant>
      <vt:variant>
        <vt:i4>1238</vt:i4>
      </vt:variant>
      <vt:variant>
        <vt:i4>0</vt:i4>
      </vt:variant>
      <vt:variant>
        <vt:i4>5</vt:i4>
      </vt:variant>
      <vt:variant>
        <vt:lpwstr/>
      </vt:variant>
      <vt:variant>
        <vt:lpwstr>_Toc216690652</vt:lpwstr>
      </vt:variant>
      <vt:variant>
        <vt:i4>1376315</vt:i4>
      </vt:variant>
      <vt:variant>
        <vt:i4>1232</vt:i4>
      </vt:variant>
      <vt:variant>
        <vt:i4>0</vt:i4>
      </vt:variant>
      <vt:variant>
        <vt:i4>5</vt:i4>
      </vt:variant>
      <vt:variant>
        <vt:lpwstr/>
      </vt:variant>
      <vt:variant>
        <vt:lpwstr>_Toc216690651</vt:lpwstr>
      </vt:variant>
      <vt:variant>
        <vt:i4>1376315</vt:i4>
      </vt:variant>
      <vt:variant>
        <vt:i4>1226</vt:i4>
      </vt:variant>
      <vt:variant>
        <vt:i4>0</vt:i4>
      </vt:variant>
      <vt:variant>
        <vt:i4>5</vt:i4>
      </vt:variant>
      <vt:variant>
        <vt:lpwstr/>
      </vt:variant>
      <vt:variant>
        <vt:lpwstr>_Toc216690650</vt:lpwstr>
      </vt:variant>
      <vt:variant>
        <vt:i4>1310779</vt:i4>
      </vt:variant>
      <vt:variant>
        <vt:i4>1220</vt:i4>
      </vt:variant>
      <vt:variant>
        <vt:i4>0</vt:i4>
      </vt:variant>
      <vt:variant>
        <vt:i4>5</vt:i4>
      </vt:variant>
      <vt:variant>
        <vt:lpwstr/>
      </vt:variant>
      <vt:variant>
        <vt:lpwstr>_Toc216690649</vt:lpwstr>
      </vt:variant>
      <vt:variant>
        <vt:i4>1310779</vt:i4>
      </vt:variant>
      <vt:variant>
        <vt:i4>1214</vt:i4>
      </vt:variant>
      <vt:variant>
        <vt:i4>0</vt:i4>
      </vt:variant>
      <vt:variant>
        <vt:i4>5</vt:i4>
      </vt:variant>
      <vt:variant>
        <vt:lpwstr/>
      </vt:variant>
      <vt:variant>
        <vt:lpwstr>_Toc216690648</vt:lpwstr>
      </vt:variant>
      <vt:variant>
        <vt:i4>1310779</vt:i4>
      </vt:variant>
      <vt:variant>
        <vt:i4>1208</vt:i4>
      </vt:variant>
      <vt:variant>
        <vt:i4>0</vt:i4>
      </vt:variant>
      <vt:variant>
        <vt:i4>5</vt:i4>
      </vt:variant>
      <vt:variant>
        <vt:lpwstr/>
      </vt:variant>
      <vt:variant>
        <vt:lpwstr>_Toc216690647</vt:lpwstr>
      </vt:variant>
      <vt:variant>
        <vt:i4>1310779</vt:i4>
      </vt:variant>
      <vt:variant>
        <vt:i4>1202</vt:i4>
      </vt:variant>
      <vt:variant>
        <vt:i4>0</vt:i4>
      </vt:variant>
      <vt:variant>
        <vt:i4>5</vt:i4>
      </vt:variant>
      <vt:variant>
        <vt:lpwstr/>
      </vt:variant>
      <vt:variant>
        <vt:lpwstr>_Toc216690646</vt:lpwstr>
      </vt:variant>
      <vt:variant>
        <vt:i4>1310779</vt:i4>
      </vt:variant>
      <vt:variant>
        <vt:i4>1196</vt:i4>
      </vt:variant>
      <vt:variant>
        <vt:i4>0</vt:i4>
      </vt:variant>
      <vt:variant>
        <vt:i4>5</vt:i4>
      </vt:variant>
      <vt:variant>
        <vt:lpwstr/>
      </vt:variant>
      <vt:variant>
        <vt:lpwstr>_Toc216690645</vt:lpwstr>
      </vt:variant>
      <vt:variant>
        <vt:i4>1310779</vt:i4>
      </vt:variant>
      <vt:variant>
        <vt:i4>1190</vt:i4>
      </vt:variant>
      <vt:variant>
        <vt:i4>0</vt:i4>
      </vt:variant>
      <vt:variant>
        <vt:i4>5</vt:i4>
      </vt:variant>
      <vt:variant>
        <vt:lpwstr/>
      </vt:variant>
      <vt:variant>
        <vt:lpwstr>_Toc216690644</vt:lpwstr>
      </vt:variant>
      <vt:variant>
        <vt:i4>1310779</vt:i4>
      </vt:variant>
      <vt:variant>
        <vt:i4>1184</vt:i4>
      </vt:variant>
      <vt:variant>
        <vt:i4>0</vt:i4>
      </vt:variant>
      <vt:variant>
        <vt:i4>5</vt:i4>
      </vt:variant>
      <vt:variant>
        <vt:lpwstr/>
      </vt:variant>
      <vt:variant>
        <vt:lpwstr>_Toc216690643</vt:lpwstr>
      </vt:variant>
      <vt:variant>
        <vt:i4>1310779</vt:i4>
      </vt:variant>
      <vt:variant>
        <vt:i4>1178</vt:i4>
      </vt:variant>
      <vt:variant>
        <vt:i4>0</vt:i4>
      </vt:variant>
      <vt:variant>
        <vt:i4>5</vt:i4>
      </vt:variant>
      <vt:variant>
        <vt:lpwstr/>
      </vt:variant>
      <vt:variant>
        <vt:lpwstr>_Toc216690642</vt:lpwstr>
      </vt:variant>
      <vt:variant>
        <vt:i4>1310779</vt:i4>
      </vt:variant>
      <vt:variant>
        <vt:i4>1172</vt:i4>
      </vt:variant>
      <vt:variant>
        <vt:i4>0</vt:i4>
      </vt:variant>
      <vt:variant>
        <vt:i4>5</vt:i4>
      </vt:variant>
      <vt:variant>
        <vt:lpwstr/>
      </vt:variant>
      <vt:variant>
        <vt:lpwstr>_Toc216690641</vt:lpwstr>
      </vt:variant>
      <vt:variant>
        <vt:i4>1310779</vt:i4>
      </vt:variant>
      <vt:variant>
        <vt:i4>1166</vt:i4>
      </vt:variant>
      <vt:variant>
        <vt:i4>0</vt:i4>
      </vt:variant>
      <vt:variant>
        <vt:i4>5</vt:i4>
      </vt:variant>
      <vt:variant>
        <vt:lpwstr/>
      </vt:variant>
      <vt:variant>
        <vt:lpwstr>_Toc216690640</vt:lpwstr>
      </vt:variant>
      <vt:variant>
        <vt:i4>1245243</vt:i4>
      </vt:variant>
      <vt:variant>
        <vt:i4>1160</vt:i4>
      </vt:variant>
      <vt:variant>
        <vt:i4>0</vt:i4>
      </vt:variant>
      <vt:variant>
        <vt:i4>5</vt:i4>
      </vt:variant>
      <vt:variant>
        <vt:lpwstr/>
      </vt:variant>
      <vt:variant>
        <vt:lpwstr>_Toc216690639</vt:lpwstr>
      </vt:variant>
      <vt:variant>
        <vt:i4>1245243</vt:i4>
      </vt:variant>
      <vt:variant>
        <vt:i4>1154</vt:i4>
      </vt:variant>
      <vt:variant>
        <vt:i4>0</vt:i4>
      </vt:variant>
      <vt:variant>
        <vt:i4>5</vt:i4>
      </vt:variant>
      <vt:variant>
        <vt:lpwstr/>
      </vt:variant>
      <vt:variant>
        <vt:lpwstr>_Toc216690638</vt:lpwstr>
      </vt:variant>
      <vt:variant>
        <vt:i4>1245243</vt:i4>
      </vt:variant>
      <vt:variant>
        <vt:i4>1148</vt:i4>
      </vt:variant>
      <vt:variant>
        <vt:i4>0</vt:i4>
      </vt:variant>
      <vt:variant>
        <vt:i4>5</vt:i4>
      </vt:variant>
      <vt:variant>
        <vt:lpwstr/>
      </vt:variant>
      <vt:variant>
        <vt:lpwstr>_Toc216690637</vt:lpwstr>
      </vt:variant>
      <vt:variant>
        <vt:i4>1245243</vt:i4>
      </vt:variant>
      <vt:variant>
        <vt:i4>1142</vt:i4>
      </vt:variant>
      <vt:variant>
        <vt:i4>0</vt:i4>
      </vt:variant>
      <vt:variant>
        <vt:i4>5</vt:i4>
      </vt:variant>
      <vt:variant>
        <vt:lpwstr/>
      </vt:variant>
      <vt:variant>
        <vt:lpwstr>_Toc216690636</vt:lpwstr>
      </vt:variant>
      <vt:variant>
        <vt:i4>1245243</vt:i4>
      </vt:variant>
      <vt:variant>
        <vt:i4>1136</vt:i4>
      </vt:variant>
      <vt:variant>
        <vt:i4>0</vt:i4>
      </vt:variant>
      <vt:variant>
        <vt:i4>5</vt:i4>
      </vt:variant>
      <vt:variant>
        <vt:lpwstr/>
      </vt:variant>
      <vt:variant>
        <vt:lpwstr>_Toc216690635</vt:lpwstr>
      </vt:variant>
      <vt:variant>
        <vt:i4>1245243</vt:i4>
      </vt:variant>
      <vt:variant>
        <vt:i4>1130</vt:i4>
      </vt:variant>
      <vt:variant>
        <vt:i4>0</vt:i4>
      </vt:variant>
      <vt:variant>
        <vt:i4>5</vt:i4>
      </vt:variant>
      <vt:variant>
        <vt:lpwstr/>
      </vt:variant>
      <vt:variant>
        <vt:lpwstr>_Toc216690634</vt:lpwstr>
      </vt:variant>
      <vt:variant>
        <vt:i4>1245243</vt:i4>
      </vt:variant>
      <vt:variant>
        <vt:i4>1124</vt:i4>
      </vt:variant>
      <vt:variant>
        <vt:i4>0</vt:i4>
      </vt:variant>
      <vt:variant>
        <vt:i4>5</vt:i4>
      </vt:variant>
      <vt:variant>
        <vt:lpwstr/>
      </vt:variant>
      <vt:variant>
        <vt:lpwstr>_Toc216690633</vt:lpwstr>
      </vt:variant>
      <vt:variant>
        <vt:i4>1245243</vt:i4>
      </vt:variant>
      <vt:variant>
        <vt:i4>1118</vt:i4>
      </vt:variant>
      <vt:variant>
        <vt:i4>0</vt:i4>
      </vt:variant>
      <vt:variant>
        <vt:i4>5</vt:i4>
      </vt:variant>
      <vt:variant>
        <vt:lpwstr/>
      </vt:variant>
      <vt:variant>
        <vt:lpwstr>_Toc216690632</vt:lpwstr>
      </vt:variant>
      <vt:variant>
        <vt:i4>1245243</vt:i4>
      </vt:variant>
      <vt:variant>
        <vt:i4>1112</vt:i4>
      </vt:variant>
      <vt:variant>
        <vt:i4>0</vt:i4>
      </vt:variant>
      <vt:variant>
        <vt:i4>5</vt:i4>
      </vt:variant>
      <vt:variant>
        <vt:lpwstr/>
      </vt:variant>
      <vt:variant>
        <vt:lpwstr>_Toc216690631</vt:lpwstr>
      </vt:variant>
      <vt:variant>
        <vt:i4>1245243</vt:i4>
      </vt:variant>
      <vt:variant>
        <vt:i4>1106</vt:i4>
      </vt:variant>
      <vt:variant>
        <vt:i4>0</vt:i4>
      </vt:variant>
      <vt:variant>
        <vt:i4>5</vt:i4>
      </vt:variant>
      <vt:variant>
        <vt:lpwstr/>
      </vt:variant>
      <vt:variant>
        <vt:lpwstr>_Toc216690630</vt:lpwstr>
      </vt:variant>
      <vt:variant>
        <vt:i4>1179707</vt:i4>
      </vt:variant>
      <vt:variant>
        <vt:i4>1100</vt:i4>
      </vt:variant>
      <vt:variant>
        <vt:i4>0</vt:i4>
      </vt:variant>
      <vt:variant>
        <vt:i4>5</vt:i4>
      </vt:variant>
      <vt:variant>
        <vt:lpwstr/>
      </vt:variant>
      <vt:variant>
        <vt:lpwstr>_Toc216690629</vt:lpwstr>
      </vt:variant>
      <vt:variant>
        <vt:i4>1179707</vt:i4>
      </vt:variant>
      <vt:variant>
        <vt:i4>1094</vt:i4>
      </vt:variant>
      <vt:variant>
        <vt:i4>0</vt:i4>
      </vt:variant>
      <vt:variant>
        <vt:i4>5</vt:i4>
      </vt:variant>
      <vt:variant>
        <vt:lpwstr/>
      </vt:variant>
      <vt:variant>
        <vt:lpwstr>_Toc216690628</vt:lpwstr>
      </vt:variant>
      <vt:variant>
        <vt:i4>1179707</vt:i4>
      </vt:variant>
      <vt:variant>
        <vt:i4>1088</vt:i4>
      </vt:variant>
      <vt:variant>
        <vt:i4>0</vt:i4>
      </vt:variant>
      <vt:variant>
        <vt:i4>5</vt:i4>
      </vt:variant>
      <vt:variant>
        <vt:lpwstr/>
      </vt:variant>
      <vt:variant>
        <vt:lpwstr>_Toc216690627</vt:lpwstr>
      </vt:variant>
      <vt:variant>
        <vt:i4>1179707</vt:i4>
      </vt:variant>
      <vt:variant>
        <vt:i4>1082</vt:i4>
      </vt:variant>
      <vt:variant>
        <vt:i4>0</vt:i4>
      </vt:variant>
      <vt:variant>
        <vt:i4>5</vt:i4>
      </vt:variant>
      <vt:variant>
        <vt:lpwstr/>
      </vt:variant>
      <vt:variant>
        <vt:lpwstr>_Toc216690626</vt:lpwstr>
      </vt:variant>
      <vt:variant>
        <vt:i4>1179707</vt:i4>
      </vt:variant>
      <vt:variant>
        <vt:i4>1076</vt:i4>
      </vt:variant>
      <vt:variant>
        <vt:i4>0</vt:i4>
      </vt:variant>
      <vt:variant>
        <vt:i4>5</vt:i4>
      </vt:variant>
      <vt:variant>
        <vt:lpwstr/>
      </vt:variant>
      <vt:variant>
        <vt:lpwstr>_Toc216690625</vt:lpwstr>
      </vt:variant>
      <vt:variant>
        <vt:i4>1179707</vt:i4>
      </vt:variant>
      <vt:variant>
        <vt:i4>1070</vt:i4>
      </vt:variant>
      <vt:variant>
        <vt:i4>0</vt:i4>
      </vt:variant>
      <vt:variant>
        <vt:i4>5</vt:i4>
      </vt:variant>
      <vt:variant>
        <vt:lpwstr/>
      </vt:variant>
      <vt:variant>
        <vt:lpwstr>_Toc216690624</vt:lpwstr>
      </vt:variant>
      <vt:variant>
        <vt:i4>1179707</vt:i4>
      </vt:variant>
      <vt:variant>
        <vt:i4>1064</vt:i4>
      </vt:variant>
      <vt:variant>
        <vt:i4>0</vt:i4>
      </vt:variant>
      <vt:variant>
        <vt:i4>5</vt:i4>
      </vt:variant>
      <vt:variant>
        <vt:lpwstr/>
      </vt:variant>
      <vt:variant>
        <vt:lpwstr>_Toc216690623</vt:lpwstr>
      </vt:variant>
      <vt:variant>
        <vt:i4>1179707</vt:i4>
      </vt:variant>
      <vt:variant>
        <vt:i4>1058</vt:i4>
      </vt:variant>
      <vt:variant>
        <vt:i4>0</vt:i4>
      </vt:variant>
      <vt:variant>
        <vt:i4>5</vt:i4>
      </vt:variant>
      <vt:variant>
        <vt:lpwstr/>
      </vt:variant>
      <vt:variant>
        <vt:lpwstr>_Toc216690622</vt:lpwstr>
      </vt:variant>
      <vt:variant>
        <vt:i4>1179707</vt:i4>
      </vt:variant>
      <vt:variant>
        <vt:i4>1052</vt:i4>
      </vt:variant>
      <vt:variant>
        <vt:i4>0</vt:i4>
      </vt:variant>
      <vt:variant>
        <vt:i4>5</vt:i4>
      </vt:variant>
      <vt:variant>
        <vt:lpwstr/>
      </vt:variant>
      <vt:variant>
        <vt:lpwstr>_Toc216690621</vt:lpwstr>
      </vt:variant>
      <vt:variant>
        <vt:i4>1179707</vt:i4>
      </vt:variant>
      <vt:variant>
        <vt:i4>1046</vt:i4>
      </vt:variant>
      <vt:variant>
        <vt:i4>0</vt:i4>
      </vt:variant>
      <vt:variant>
        <vt:i4>5</vt:i4>
      </vt:variant>
      <vt:variant>
        <vt:lpwstr/>
      </vt:variant>
      <vt:variant>
        <vt:lpwstr>_Toc216690620</vt:lpwstr>
      </vt:variant>
      <vt:variant>
        <vt:i4>1114171</vt:i4>
      </vt:variant>
      <vt:variant>
        <vt:i4>1040</vt:i4>
      </vt:variant>
      <vt:variant>
        <vt:i4>0</vt:i4>
      </vt:variant>
      <vt:variant>
        <vt:i4>5</vt:i4>
      </vt:variant>
      <vt:variant>
        <vt:lpwstr/>
      </vt:variant>
      <vt:variant>
        <vt:lpwstr>_Toc216690619</vt:lpwstr>
      </vt:variant>
      <vt:variant>
        <vt:i4>1114171</vt:i4>
      </vt:variant>
      <vt:variant>
        <vt:i4>1034</vt:i4>
      </vt:variant>
      <vt:variant>
        <vt:i4>0</vt:i4>
      </vt:variant>
      <vt:variant>
        <vt:i4>5</vt:i4>
      </vt:variant>
      <vt:variant>
        <vt:lpwstr/>
      </vt:variant>
      <vt:variant>
        <vt:lpwstr>_Toc216690618</vt:lpwstr>
      </vt:variant>
      <vt:variant>
        <vt:i4>1114171</vt:i4>
      </vt:variant>
      <vt:variant>
        <vt:i4>1028</vt:i4>
      </vt:variant>
      <vt:variant>
        <vt:i4>0</vt:i4>
      </vt:variant>
      <vt:variant>
        <vt:i4>5</vt:i4>
      </vt:variant>
      <vt:variant>
        <vt:lpwstr/>
      </vt:variant>
      <vt:variant>
        <vt:lpwstr>_Toc216690617</vt:lpwstr>
      </vt:variant>
      <vt:variant>
        <vt:i4>1114171</vt:i4>
      </vt:variant>
      <vt:variant>
        <vt:i4>1022</vt:i4>
      </vt:variant>
      <vt:variant>
        <vt:i4>0</vt:i4>
      </vt:variant>
      <vt:variant>
        <vt:i4>5</vt:i4>
      </vt:variant>
      <vt:variant>
        <vt:lpwstr/>
      </vt:variant>
      <vt:variant>
        <vt:lpwstr>_Toc216690616</vt:lpwstr>
      </vt:variant>
      <vt:variant>
        <vt:i4>1114171</vt:i4>
      </vt:variant>
      <vt:variant>
        <vt:i4>1016</vt:i4>
      </vt:variant>
      <vt:variant>
        <vt:i4>0</vt:i4>
      </vt:variant>
      <vt:variant>
        <vt:i4>5</vt:i4>
      </vt:variant>
      <vt:variant>
        <vt:lpwstr/>
      </vt:variant>
      <vt:variant>
        <vt:lpwstr>_Toc216690615</vt:lpwstr>
      </vt:variant>
      <vt:variant>
        <vt:i4>1114171</vt:i4>
      </vt:variant>
      <vt:variant>
        <vt:i4>1010</vt:i4>
      </vt:variant>
      <vt:variant>
        <vt:i4>0</vt:i4>
      </vt:variant>
      <vt:variant>
        <vt:i4>5</vt:i4>
      </vt:variant>
      <vt:variant>
        <vt:lpwstr/>
      </vt:variant>
      <vt:variant>
        <vt:lpwstr>_Toc216690614</vt:lpwstr>
      </vt:variant>
      <vt:variant>
        <vt:i4>1114171</vt:i4>
      </vt:variant>
      <vt:variant>
        <vt:i4>1004</vt:i4>
      </vt:variant>
      <vt:variant>
        <vt:i4>0</vt:i4>
      </vt:variant>
      <vt:variant>
        <vt:i4>5</vt:i4>
      </vt:variant>
      <vt:variant>
        <vt:lpwstr/>
      </vt:variant>
      <vt:variant>
        <vt:lpwstr>_Toc216690613</vt:lpwstr>
      </vt:variant>
      <vt:variant>
        <vt:i4>1114171</vt:i4>
      </vt:variant>
      <vt:variant>
        <vt:i4>998</vt:i4>
      </vt:variant>
      <vt:variant>
        <vt:i4>0</vt:i4>
      </vt:variant>
      <vt:variant>
        <vt:i4>5</vt:i4>
      </vt:variant>
      <vt:variant>
        <vt:lpwstr/>
      </vt:variant>
      <vt:variant>
        <vt:lpwstr>_Toc216690612</vt:lpwstr>
      </vt:variant>
      <vt:variant>
        <vt:i4>1114171</vt:i4>
      </vt:variant>
      <vt:variant>
        <vt:i4>992</vt:i4>
      </vt:variant>
      <vt:variant>
        <vt:i4>0</vt:i4>
      </vt:variant>
      <vt:variant>
        <vt:i4>5</vt:i4>
      </vt:variant>
      <vt:variant>
        <vt:lpwstr/>
      </vt:variant>
      <vt:variant>
        <vt:lpwstr>_Toc216690611</vt:lpwstr>
      </vt:variant>
      <vt:variant>
        <vt:i4>1114171</vt:i4>
      </vt:variant>
      <vt:variant>
        <vt:i4>986</vt:i4>
      </vt:variant>
      <vt:variant>
        <vt:i4>0</vt:i4>
      </vt:variant>
      <vt:variant>
        <vt:i4>5</vt:i4>
      </vt:variant>
      <vt:variant>
        <vt:lpwstr/>
      </vt:variant>
      <vt:variant>
        <vt:lpwstr>_Toc216690610</vt:lpwstr>
      </vt:variant>
      <vt:variant>
        <vt:i4>1048635</vt:i4>
      </vt:variant>
      <vt:variant>
        <vt:i4>980</vt:i4>
      </vt:variant>
      <vt:variant>
        <vt:i4>0</vt:i4>
      </vt:variant>
      <vt:variant>
        <vt:i4>5</vt:i4>
      </vt:variant>
      <vt:variant>
        <vt:lpwstr/>
      </vt:variant>
      <vt:variant>
        <vt:lpwstr>_Toc216690609</vt:lpwstr>
      </vt:variant>
      <vt:variant>
        <vt:i4>1048635</vt:i4>
      </vt:variant>
      <vt:variant>
        <vt:i4>974</vt:i4>
      </vt:variant>
      <vt:variant>
        <vt:i4>0</vt:i4>
      </vt:variant>
      <vt:variant>
        <vt:i4>5</vt:i4>
      </vt:variant>
      <vt:variant>
        <vt:lpwstr/>
      </vt:variant>
      <vt:variant>
        <vt:lpwstr>_Toc216690608</vt:lpwstr>
      </vt:variant>
      <vt:variant>
        <vt:i4>1048635</vt:i4>
      </vt:variant>
      <vt:variant>
        <vt:i4>968</vt:i4>
      </vt:variant>
      <vt:variant>
        <vt:i4>0</vt:i4>
      </vt:variant>
      <vt:variant>
        <vt:i4>5</vt:i4>
      </vt:variant>
      <vt:variant>
        <vt:lpwstr/>
      </vt:variant>
      <vt:variant>
        <vt:lpwstr>_Toc216690607</vt:lpwstr>
      </vt:variant>
      <vt:variant>
        <vt:i4>1048635</vt:i4>
      </vt:variant>
      <vt:variant>
        <vt:i4>962</vt:i4>
      </vt:variant>
      <vt:variant>
        <vt:i4>0</vt:i4>
      </vt:variant>
      <vt:variant>
        <vt:i4>5</vt:i4>
      </vt:variant>
      <vt:variant>
        <vt:lpwstr/>
      </vt:variant>
      <vt:variant>
        <vt:lpwstr>_Toc216690606</vt:lpwstr>
      </vt:variant>
      <vt:variant>
        <vt:i4>1048635</vt:i4>
      </vt:variant>
      <vt:variant>
        <vt:i4>956</vt:i4>
      </vt:variant>
      <vt:variant>
        <vt:i4>0</vt:i4>
      </vt:variant>
      <vt:variant>
        <vt:i4>5</vt:i4>
      </vt:variant>
      <vt:variant>
        <vt:lpwstr/>
      </vt:variant>
      <vt:variant>
        <vt:lpwstr>_Toc216690605</vt:lpwstr>
      </vt:variant>
      <vt:variant>
        <vt:i4>1048635</vt:i4>
      </vt:variant>
      <vt:variant>
        <vt:i4>950</vt:i4>
      </vt:variant>
      <vt:variant>
        <vt:i4>0</vt:i4>
      </vt:variant>
      <vt:variant>
        <vt:i4>5</vt:i4>
      </vt:variant>
      <vt:variant>
        <vt:lpwstr/>
      </vt:variant>
      <vt:variant>
        <vt:lpwstr>_Toc216690604</vt:lpwstr>
      </vt:variant>
      <vt:variant>
        <vt:i4>1048635</vt:i4>
      </vt:variant>
      <vt:variant>
        <vt:i4>944</vt:i4>
      </vt:variant>
      <vt:variant>
        <vt:i4>0</vt:i4>
      </vt:variant>
      <vt:variant>
        <vt:i4>5</vt:i4>
      </vt:variant>
      <vt:variant>
        <vt:lpwstr/>
      </vt:variant>
      <vt:variant>
        <vt:lpwstr>_Toc216690603</vt:lpwstr>
      </vt:variant>
      <vt:variant>
        <vt:i4>1048635</vt:i4>
      </vt:variant>
      <vt:variant>
        <vt:i4>938</vt:i4>
      </vt:variant>
      <vt:variant>
        <vt:i4>0</vt:i4>
      </vt:variant>
      <vt:variant>
        <vt:i4>5</vt:i4>
      </vt:variant>
      <vt:variant>
        <vt:lpwstr/>
      </vt:variant>
      <vt:variant>
        <vt:lpwstr>_Toc216690602</vt:lpwstr>
      </vt:variant>
      <vt:variant>
        <vt:i4>1048635</vt:i4>
      </vt:variant>
      <vt:variant>
        <vt:i4>932</vt:i4>
      </vt:variant>
      <vt:variant>
        <vt:i4>0</vt:i4>
      </vt:variant>
      <vt:variant>
        <vt:i4>5</vt:i4>
      </vt:variant>
      <vt:variant>
        <vt:lpwstr/>
      </vt:variant>
      <vt:variant>
        <vt:lpwstr>_Toc216690601</vt:lpwstr>
      </vt:variant>
      <vt:variant>
        <vt:i4>1048635</vt:i4>
      </vt:variant>
      <vt:variant>
        <vt:i4>926</vt:i4>
      </vt:variant>
      <vt:variant>
        <vt:i4>0</vt:i4>
      </vt:variant>
      <vt:variant>
        <vt:i4>5</vt:i4>
      </vt:variant>
      <vt:variant>
        <vt:lpwstr/>
      </vt:variant>
      <vt:variant>
        <vt:lpwstr>_Toc216690600</vt:lpwstr>
      </vt:variant>
      <vt:variant>
        <vt:i4>1638456</vt:i4>
      </vt:variant>
      <vt:variant>
        <vt:i4>920</vt:i4>
      </vt:variant>
      <vt:variant>
        <vt:i4>0</vt:i4>
      </vt:variant>
      <vt:variant>
        <vt:i4>5</vt:i4>
      </vt:variant>
      <vt:variant>
        <vt:lpwstr/>
      </vt:variant>
      <vt:variant>
        <vt:lpwstr>_Toc216690599</vt:lpwstr>
      </vt:variant>
      <vt:variant>
        <vt:i4>1638456</vt:i4>
      </vt:variant>
      <vt:variant>
        <vt:i4>914</vt:i4>
      </vt:variant>
      <vt:variant>
        <vt:i4>0</vt:i4>
      </vt:variant>
      <vt:variant>
        <vt:i4>5</vt:i4>
      </vt:variant>
      <vt:variant>
        <vt:lpwstr/>
      </vt:variant>
      <vt:variant>
        <vt:lpwstr>_Toc216690598</vt:lpwstr>
      </vt:variant>
      <vt:variant>
        <vt:i4>1638456</vt:i4>
      </vt:variant>
      <vt:variant>
        <vt:i4>908</vt:i4>
      </vt:variant>
      <vt:variant>
        <vt:i4>0</vt:i4>
      </vt:variant>
      <vt:variant>
        <vt:i4>5</vt:i4>
      </vt:variant>
      <vt:variant>
        <vt:lpwstr/>
      </vt:variant>
      <vt:variant>
        <vt:lpwstr>_Toc216690597</vt:lpwstr>
      </vt:variant>
      <vt:variant>
        <vt:i4>1638456</vt:i4>
      </vt:variant>
      <vt:variant>
        <vt:i4>902</vt:i4>
      </vt:variant>
      <vt:variant>
        <vt:i4>0</vt:i4>
      </vt:variant>
      <vt:variant>
        <vt:i4>5</vt:i4>
      </vt:variant>
      <vt:variant>
        <vt:lpwstr/>
      </vt:variant>
      <vt:variant>
        <vt:lpwstr>_Toc216690596</vt:lpwstr>
      </vt:variant>
      <vt:variant>
        <vt:i4>1638456</vt:i4>
      </vt:variant>
      <vt:variant>
        <vt:i4>896</vt:i4>
      </vt:variant>
      <vt:variant>
        <vt:i4>0</vt:i4>
      </vt:variant>
      <vt:variant>
        <vt:i4>5</vt:i4>
      </vt:variant>
      <vt:variant>
        <vt:lpwstr/>
      </vt:variant>
      <vt:variant>
        <vt:lpwstr>_Toc216690595</vt:lpwstr>
      </vt:variant>
      <vt:variant>
        <vt:i4>1638456</vt:i4>
      </vt:variant>
      <vt:variant>
        <vt:i4>890</vt:i4>
      </vt:variant>
      <vt:variant>
        <vt:i4>0</vt:i4>
      </vt:variant>
      <vt:variant>
        <vt:i4>5</vt:i4>
      </vt:variant>
      <vt:variant>
        <vt:lpwstr/>
      </vt:variant>
      <vt:variant>
        <vt:lpwstr>_Toc216690594</vt:lpwstr>
      </vt:variant>
      <vt:variant>
        <vt:i4>1638456</vt:i4>
      </vt:variant>
      <vt:variant>
        <vt:i4>884</vt:i4>
      </vt:variant>
      <vt:variant>
        <vt:i4>0</vt:i4>
      </vt:variant>
      <vt:variant>
        <vt:i4>5</vt:i4>
      </vt:variant>
      <vt:variant>
        <vt:lpwstr/>
      </vt:variant>
      <vt:variant>
        <vt:lpwstr>_Toc216690593</vt:lpwstr>
      </vt:variant>
      <vt:variant>
        <vt:i4>1638456</vt:i4>
      </vt:variant>
      <vt:variant>
        <vt:i4>878</vt:i4>
      </vt:variant>
      <vt:variant>
        <vt:i4>0</vt:i4>
      </vt:variant>
      <vt:variant>
        <vt:i4>5</vt:i4>
      </vt:variant>
      <vt:variant>
        <vt:lpwstr/>
      </vt:variant>
      <vt:variant>
        <vt:lpwstr>_Toc216690592</vt:lpwstr>
      </vt:variant>
      <vt:variant>
        <vt:i4>1638456</vt:i4>
      </vt:variant>
      <vt:variant>
        <vt:i4>872</vt:i4>
      </vt:variant>
      <vt:variant>
        <vt:i4>0</vt:i4>
      </vt:variant>
      <vt:variant>
        <vt:i4>5</vt:i4>
      </vt:variant>
      <vt:variant>
        <vt:lpwstr/>
      </vt:variant>
      <vt:variant>
        <vt:lpwstr>_Toc216690591</vt:lpwstr>
      </vt:variant>
      <vt:variant>
        <vt:i4>1638456</vt:i4>
      </vt:variant>
      <vt:variant>
        <vt:i4>866</vt:i4>
      </vt:variant>
      <vt:variant>
        <vt:i4>0</vt:i4>
      </vt:variant>
      <vt:variant>
        <vt:i4>5</vt:i4>
      </vt:variant>
      <vt:variant>
        <vt:lpwstr/>
      </vt:variant>
      <vt:variant>
        <vt:lpwstr>_Toc216690590</vt:lpwstr>
      </vt:variant>
      <vt:variant>
        <vt:i4>1572920</vt:i4>
      </vt:variant>
      <vt:variant>
        <vt:i4>860</vt:i4>
      </vt:variant>
      <vt:variant>
        <vt:i4>0</vt:i4>
      </vt:variant>
      <vt:variant>
        <vt:i4>5</vt:i4>
      </vt:variant>
      <vt:variant>
        <vt:lpwstr/>
      </vt:variant>
      <vt:variant>
        <vt:lpwstr>_Toc216690589</vt:lpwstr>
      </vt:variant>
      <vt:variant>
        <vt:i4>1572920</vt:i4>
      </vt:variant>
      <vt:variant>
        <vt:i4>854</vt:i4>
      </vt:variant>
      <vt:variant>
        <vt:i4>0</vt:i4>
      </vt:variant>
      <vt:variant>
        <vt:i4>5</vt:i4>
      </vt:variant>
      <vt:variant>
        <vt:lpwstr/>
      </vt:variant>
      <vt:variant>
        <vt:lpwstr>_Toc216690588</vt:lpwstr>
      </vt:variant>
      <vt:variant>
        <vt:i4>1572920</vt:i4>
      </vt:variant>
      <vt:variant>
        <vt:i4>848</vt:i4>
      </vt:variant>
      <vt:variant>
        <vt:i4>0</vt:i4>
      </vt:variant>
      <vt:variant>
        <vt:i4>5</vt:i4>
      </vt:variant>
      <vt:variant>
        <vt:lpwstr/>
      </vt:variant>
      <vt:variant>
        <vt:lpwstr>_Toc216690587</vt:lpwstr>
      </vt:variant>
      <vt:variant>
        <vt:i4>1572920</vt:i4>
      </vt:variant>
      <vt:variant>
        <vt:i4>842</vt:i4>
      </vt:variant>
      <vt:variant>
        <vt:i4>0</vt:i4>
      </vt:variant>
      <vt:variant>
        <vt:i4>5</vt:i4>
      </vt:variant>
      <vt:variant>
        <vt:lpwstr/>
      </vt:variant>
      <vt:variant>
        <vt:lpwstr>_Toc216690586</vt:lpwstr>
      </vt:variant>
      <vt:variant>
        <vt:i4>1572920</vt:i4>
      </vt:variant>
      <vt:variant>
        <vt:i4>836</vt:i4>
      </vt:variant>
      <vt:variant>
        <vt:i4>0</vt:i4>
      </vt:variant>
      <vt:variant>
        <vt:i4>5</vt:i4>
      </vt:variant>
      <vt:variant>
        <vt:lpwstr/>
      </vt:variant>
      <vt:variant>
        <vt:lpwstr>_Toc216690585</vt:lpwstr>
      </vt:variant>
      <vt:variant>
        <vt:i4>1572920</vt:i4>
      </vt:variant>
      <vt:variant>
        <vt:i4>830</vt:i4>
      </vt:variant>
      <vt:variant>
        <vt:i4>0</vt:i4>
      </vt:variant>
      <vt:variant>
        <vt:i4>5</vt:i4>
      </vt:variant>
      <vt:variant>
        <vt:lpwstr/>
      </vt:variant>
      <vt:variant>
        <vt:lpwstr>_Toc216690584</vt:lpwstr>
      </vt:variant>
      <vt:variant>
        <vt:i4>1572920</vt:i4>
      </vt:variant>
      <vt:variant>
        <vt:i4>824</vt:i4>
      </vt:variant>
      <vt:variant>
        <vt:i4>0</vt:i4>
      </vt:variant>
      <vt:variant>
        <vt:i4>5</vt:i4>
      </vt:variant>
      <vt:variant>
        <vt:lpwstr/>
      </vt:variant>
      <vt:variant>
        <vt:lpwstr>_Toc216690583</vt:lpwstr>
      </vt:variant>
      <vt:variant>
        <vt:i4>1572920</vt:i4>
      </vt:variant>
      <vt:variant>
        <vt:i4>818</vt:i4>
      </vt:variant>
      <vt:variant>
        <vt:i4>0</vt:i4>
      </vt:variant>
      <vt:variant>
        <vt:i4>5</vt:i4>
      </vt:variant>
      <vt:variant>
        <vt:lpwstr/>
      </vt:variant>
      <vt:variant>
        <vt:lpwstr>_Toc216690582</vt:lpwstr>
      </vt:variant>
      <vt:variant>
        <vt:i4>1572920</vt:i4>
      </vt:variant>
      <vt:variant>
        <vt:i4>812</vt:i4>
      </vt:variant>
      <vt:variant>
        <vt:i4>0</vt:i4>
      </vt:variant>
      <vt:variant>
        <vt:i4>5</vt:i4>
      </vt:variant>
      <vt:variant>
        <vt:lpwstr/>
      </vt:variant>
      <vt:variant>
        <vt:lpwstr>_Toc216690581</vt:lpwstr>
      </vt:variant>
      <vt:variant>
        <vt:i4>1572920</vt:i4>
      </vt:variant>
      <vt:variant>
        <vt:i4>806</vt:i4>
      </vt:variant>
      <vt:variant>
        <vt:i4>0</vt:i4>
      </vt:variant>
      <vt:variant>
        <vt:i4>5</vt:i4>
      </vt:variant>
      <vt:variant>
        <vt:lpwstr/>
      </vt:variant>
      <vt:variant>
        <vt:lpwstr>_Toc216690580</vt:lpwstr>
      </vt:variant>
      <vt:variant>
        <vt:i4>1507384</vt:i4>
      </vt:variant>
      <vt:variant>
        <vt:i4>800</vt:i4>
      </vt:variant>
      <vt:variant>
        <vt:i4>0</vt:i4>
      </vt:variant>
      <vt:variant>
        <vt:i4>5</vt:i4>
      </vt:variant>
      <vt:variant>
        <vt:lpwstr/>
      </vt:variant>
      <vt:variant>
        <vt:lpwstr>_Toc216690579</vt:lpwstr>
      </vt:variant>
      <vt:variant>
        <vt:i4>1507384</vt:i4>
      </vt:variant>
      <vt:variant>
        <vt:i4>794</vt:i4>
      </vt:variant>
      <vt:variant>
        <vt:i4>0</vt:i4>
      </vt:variant>
      <vt:variant>
        <vt:i4>5</vt:i4>
      </vt:variant>
      <vt:variant>
        <vt:lpwstr/>
      </vt:variant>
      <vt:variant>
        <vt:lpwstr>_Toc216690578</vt:lpwstr>
      </vt:variant>
      <vt:variant>
        <vt:i4>1507384</vt:i4>
      </vt:variant>
      <vt:variant>
        <vt:i4>788</vt:i4>
      </vt:variant>
      <vt:variant>
        <vt:i4>0</vt:i4>
      </vt:variant>
      <vt:variant>
        <vt:i4>5</vt:i4>
      </vt:variant>
      <vt:variant>
        <vt:lpwstr/>
      </vt:variant>
      <vt:variant>
        <vt:lpwstr>_Toc216690577</vt:lpwstr>
      </vt:variant>
      <vt:variant>
        <vt:i4>1507384</vt:i4>
      </vt:variant>
      <vt:variant>
        <vt:i4>782</vt:i4>
      </vt:variant>
      <vt:variant>
        <vt:i4>0</vt:i4>
      </vt:variant>
      <vt:variant>
        <vt:i4>5</vt:i4>
      </vt:variant>
      <vt:variant>
        <vt:lpwstr/>
      </vt:variant>
      <vt:variant>
        <vt:lpwstr>_Toc216690576</vt:lpwstr>
      </vt:variant>
      <vt:variant>
        <vt:i4>1507384</vt:i4>
      </vt:variant>
      <vt:variant>
        <vt:i4>776</vt:i4>
      </vt:variant>
      <vt:variant>
        <vt:i4>0</vt:i4>
      </vt:variant>
      <vt:variant>
        <vt:i4>5</vt:i4>
      </vt:variant>
      <vt:variant>
        <vt:lpwstr/>
      </vt:variant>
      <vt:variant>
        <vt:lpwstr>_Toc216690575</vt:lpwstr>
      </vt:variant>
      <vt:variant>
        <vt:i4>1507384</vt:i4>
      </vt:variant>
      <vt:variant>
        <vt:i4>770</vt:i4>
      </vt:variant>
      <vt:variant>
        <vt:i4>0</vt:i4>
      </vt:variant>
      <vt:variant>
        <vt:i4>5</vt:i4>
      </vt:variant>
      <vt:variant>
        <vt:lpwstr/>
      </vt:variant>
      <vt:variant>
        <vt:lpwstr>_Toc216690574</vt:lpwstr>
      </vt:variant>
      <vt:variant>
        <vt:i4>1507384</vt:i4>
      </vt:variant>
      <vt:variant>
        <vt:i4>764</vt:i4>
      </vt:variant>
      <vt:variant>
        <vt:i4>0</vt:i4>
      </vt:variant>
      <vt:variant>
        <vt:i4>5</vt:i4>
      </vt:variant>
      <vt:variant>
        <vt:lpwstr/>
      </vt:variant>
      <vt:variant>
        <vt:lpwstr>_Toc216690573</vt:lpwstr>
      </vt:variant>
      <vt:variant>
        <vt:i4>1507384</vt:i4>
      </vt:variant>
      <vt:variant>
        <vt:i4>758</vt:i4>
      </vt:variant>
      <vt:variant>
        <vt:i4>0</vt:i4>
      </vt:variant>
      <vt:variant>
        <vt:i4>5</vt:i4>
      </vt:variant>
      <vt:variant>
        <vt:lpwstr/>
      </vt:variant>
      <vt:variant>
        <vt:lpwstr>_Toc216690572</vt:lpwstr>
      </vt:variant>
      <vt:variant>
        <vt:i4>1507384</vt:i4>
      </vt:variant>
      <vt:variant>
        <vt:i4>752</vt:i4>
      </vt:variant>
      <vt:variant>
        <vt:i4>0</vt:i4>
      </vt:variant>
      <vt:variant>
        <vt:i4>5</vt:i4>
      </vt:variant>
      <vt:variant>
        <vt:lpwstr/>
      </vt:variant>
      <vt:variant>
        <vt:lpwstr>_Toc216690571</vt:lpwstr>
      </vt:variant>
      <vt:variant>
        <vt:i4>1507384</vt:i4>
      </vt:variant>
      <vt:variant>
        <vt:i4>746</vt:i4>
      </vt:variant>
      <vt:variant>
        <vt:i4>0</vt:i4>
      </vt:variant>
      <vt:variant>
        <vt:i4>5</vt:i4>
      </vt:variant>
      <vt:variant>
        <vt:lpwstr/>
      </vt:variant>
      <vt:variant>
        <vt:lpwstr>_Toc216690570</vt:lpwstr>
      </vt:variant>
      <vt:variant>
        <vt:i4>1441848</vt:i4>
      </vt:variant>
      <vt:variant>
        <vt:i4>740</vt:i4>
      </vt:variant>
      <vt:variant>
        <vt:i4>0</vt:i4>
      </vt:variant>
      <vt:variant>
        <vt:i4>5</vt:i4>
      </vt:variant>
      <vt:variant>
        <vt:lpwstr/>
      </vt:variant>
      <vt:variant>
        <vt:lpwstr>_Toc216690569</vt:lpwstr>
      </vt:variant>
      <vt:variant>
        <vt:i4>1441848</vt:i4>
      </vt:variant>
      <vt:variant>
        <vt:i4>734</vt:i4>
      </vt:variant>
      <vt:variant>
        <vt:i4>0</vt:i4>
      </vt:variant>
      <vt:variant>
        <vt:i4>5</vt:i4>
      </vt:variant>
      <vt:variant>
        <vt:lpwstr/>
      </vt:variant>
      <vt:variant>
        <vt:lpwstr>_Toc216690568</vt:lpwstr>
      </vt:variant>
      <vt:variant>
        <vt:i4>1441848</vt:i4>
      </vt:variant>
      <vt:variant>
        <vt:i4>728</vt:i4>
      </vt:variant>
      <vt:variant>
        <vt:i4>0</vt:i4>
      </vt:variant>
      <vt:variant>
        <vt:i4>5</vt:i4>
      </vt:variant>
      <vt:variant>
        <vt:lpwstr/>
      </vt:variant>
      <vt:variant>
        <vt:lpwstr>_Toc216690567</vt:lpwstr>
      </vt:variant>
      <vt:variant>
        <vt:i4>1441848</vt:i4>
      </vt:variant>
      <vt:variant>
        <vt:i4>722</vt:i4>
      </vt:variant>
      <vt:variant>
        <vt:i4>0</vt:i4>
      </vt:variant>
      <vt:variant>
        <vt:i4>5</vt:i4>
      </vt:variant>
      <vt:variant>
        <vt:lpwstr/>
      </vt:variant>
      <vt:variant>
        <vt:lpwstr>_Toc216690566</vt:lpwstr>
      </vt:variant>
      <vt:variant>
        <vt:i4>1441848</vt:i4>
      </vt:variant>
      <vt:variant>
        <vt:i4>716</vt:i4>
      </vt:variant>
      <vt:variant>
        <vt:i4>0</vt:i4>
      </vt:variant>
      <vt:variant>
        <vt:i4>5</vt:i4>
      </vt:variant>
      <vt:variant>
        <vt:lpwstr/>
      </vt:variant>
      <vt:variant>
        <vt:lpwstr>_Toc216690565</vt:lpwstr>
      </vt:variant>
      <vt:variant>
        <vt:i4>1441848</vt:i4>
      </vt:variant>
      <vt:variant>
        <vt:i4>710</vt:i4>
      </vt:variant>
      <vt:variant>
        <vt:i4>0</vt:i4>
      </vt:variant>
      <vt:variant>
        <vt:i4>5</vt:i4>
      </vt:variant>
      <vt:variant>
        <vt:lpwstr/>
      </vt:variant>
      <vt:variant>
        <vt:lpwstr>_Toc216690564</vt:lpwstr>
      </vt:variant>
      <vt:variant>
        <vt:i4>1441848</vt:i4>
      </vt:variant>
      <vt:variant>
        <vt:i4>704</vt:i4>
      </vt:variant>
      <vt:variant>
        <vt:i4>0</vt:i4>
      </vt:variant>
      <vt:variant>
        <vt:i4>5</vt:i4>
      </vt:variant>
      <vt:variant>
        <vt:lpwstr/>
      </vt:variant>
      <vt:variant>
        <vt:lpwstr>_Toc216690563</vt:lpwstr>
      </vt:variant>
      <vt:variant>
        <vt:i4>1441848</vt:i4>
      </vt:variant>
      <vt:variant>
        <vt:i4>698</vt:i4>
      </vt:variant>
      <vt:variant>
        <vt:i4>0</vt:i4>
      </vt:variant>
      <vt:variant>
        <vt:i4>5</vt:i4>
      </vt:variant>
      <vt:variant>
        <vt:lpwstr/>
      </vt:variant>
      <vt:variant>
        <vt:lpwstr>_Toc216690562</vt:lpwstr>
      </vt:variant>
      <vt:variant>
        <vt:i4>1441848</vt:i4>
      </vt:variant>
      <vt:variant>
        <vt:i4>692</vt:i4>
      </vt:variant>
      <vt:variant>
        <vt:i4>0</vt:i4>
      </vt:variant>
      <vt:variant>
        <vt:i4>5</vt:i4>
      </vt:variant>
      <vt:variant>
        <vt:lpwstr/>
      </vt:variant>
      <vt:variant>
        <vt:lpwstr>_Toc216690561</vt:lpwstr>
      </vt:variant>
      <vt:variant>
        <vt:i4>1441848</vt:i4>
      </vt:variant>
      <vt:variant>
        <vt:i4>686</vt:i4>
      </vt:variant>
      <vt:variant>
        <vt:i4>0</vt:i4>
      </vt:variant>
      <vt:variant>
        <vt:i4>5</vt:i4>
      </vt:variant>
      <vt:variant>
        <vt:lpwstr/>
      </vt:variant>
      <vt:variant>
        <vt:lpwstr>_Toc216690560</vt:lpwstr>
      </vt:variant>
      <vt:variant>
        <vt:i4>1376312</vt:i4>
      </vt:variant>
      <vt:variant>
        <vt:i4>680</vt:i4>
      </vt:variant>
      <vt:variant>
        <vt:i4>0</vt:i4>
      </vt:variant>
      <vt:variant>
        <vt:i4>5</vt:i4>
      </vt:variant>
      <vt:variant>
        <vt:lpwstr/>
      </vt:variant>
      <vt:variant>
        <vt:lpwstr>_Toc216690559</vt:lpwstr>
      </vt:variant>
      <vt:variant>
        <vt:i4>1376312</vt:i4>
      </vt:variant>
      <vt:variant>
        <vt:i4>674</vt:i4>
      </vt:variant>
      <vt:variant>
        <vt:i4>0</vt:i4>
      </vt:variant>
      <vt:variant>
        <vt:i4>5</vt:i4>
      </vt:variant>
      <vt:variant>
        <vt:lpwstr/>
      </vt:variant>
      <vt:variant>
        <vt:lpwstr>_Toc216690558</vt:lpwstr>
      </vt:variant>
      <vt:variant>
        <vt:i4>1376312</vt:i4>
      </vt:variant>
      <vt:variant>
        <vt:i4>668</vt:i4>
      </vt:variant>
      <vt:variant>
        <vt:i4>0</vt:i4>
      </vt:variant>
      <vt:variant>
        <vt:i4>5</vt:i4>
      </vt:variant>
      <vt:variant>
        <vt:lpwstr/>
      </vt:variant>
      <vt:variant>
        <vt:lpwstr>_Toc216690557</vt:lpwstr>
      </vt:variant>
      <vt:variant>
        <vt:i4>1376312</vt:i4>
      </vt:variant>
      <vt:variant>
        <vt:i4>662</vt:i4>
      </vt:variant>
      <vt:variant>
        <vt:i4>0</vt:i4>
      </vt:variant>
      <vt:variant>
        <vt:i4>5</vt:i4>
      </vt:variant>
      <vt:variant>
        <vt:lpwstr/>
      </vt:variant>
      <vt:variant>
        <vt:lpwstr>_Toc216690556</vt:lpwstr>
      </vt:variant>
      <vt:variant>
        <vt:i4>1376312</vt:i4>
      </vt:variant>
      <vt:variant>
        <vt:i4>656</vt:i4>
      </vt:variant>
      <vt:variant>
        <vt:i4>0</vt:i4>
      </vt:variant>
      <vt:variant>
        <vt:i4>5</vt:i4>
      </vt:variant>
      <vt:variant>
        <vt:lpwstr/>
      </vt:variant>
      <vt:variant>
        <vt:lpwstr>_Toc216690555</vt:lpwstr>
      </vt:variant>
      <vt:variant>
        <vt:i4>1376312</vt:i4>
      </vt:variant>
      <vt:variant>
        <vt:i4>650</vt:i4>
      </vt:variant>
      <vt:variant>
        <vt:i4>0</vt:i4>
      </vt:variant>
      <vt:variant>
        <vt:i4>5</vt:i4>
      </vt:variant>
      <vt:variant>
        <vt:lpwstr/>
      </vt:variant>
      <vt:variant>
        <vt:lpwstr>_Toc216690554</vt:lpwstr>
      </vt:variant>
      <vt:variant>
        <vt:i4>1376312</vt:i4>
      </vt:variant>
      <vt:variant>
        <vt:i4>644</vt:i4>
      </vt:variant>
      <vt:variant>
        <vt:i4>0</vt:i4>
      </vt:variant>
      <vt:variant>
        <vt:i4>5</vt:i4>
      </vt:variant>
      <vt:variant>
        <vt:lpwstr/>
      </vt:variant>
      <vt:variant>
        <vt:lpwstr>_Toc216690553</vt:lpwstr>
      </vt:variant>
      <vt:variant>
        <vt:i4>1376312</vt:i4>
      </vt:variant>
      <vt:variant>
        <vt:i4>638</vt:i4>
      </vt:variant>
      <vt:variant>
        <vt:i4>0</vt:i4>
      </vt:variant>
      <vt:variant>
        <vt:i4>5</vt:i4>
      </vt:variant>
      <vt:variant>
        <vt:lpwstr/>
      </vt:variant>
      <vt:variant>
        <vt:lpwstr>_Toc216690552</vt:lpwstr>
      </vt:variant>
      <vt:variant>
        <vt:i4>1376312</vt:i4>
      </vt:variant>
      <vt:variant>
        <vt:i4>632</vt:i4>
      </vt:variant>
      <vt:variant>
        <vt:i4>0</vt:i4>
      </vt:variant>
      <vt:variant>
        <vt:i4>5</vt:i4>
      </vt:variant>
      <vt:variant>
        <vt:lpwstr/>
      </vt:variant>
      <vt:variant>
        <vt:lpwstr>_Toc216690551</vt:lpwstr>
      </vt:variant>
      <vt:variant>
        <vt:i4>1376312</vt:i4>
      </vt:variant>
      <vt:variant>
        <vt:i4>626</vt:i4>
      </vt:variant>
      <vt:variant>
        <vt:i4>0</vt:i4>
      </vt:variant>
      <vt:variant>
        <vt:i4>5</vt:i4>
      </vt:variant>
      <vt:variant>
        <vt:lpwstr/>
      </vt:variant>
      <vt:variant>
        <vt:lpwstr>_Toc216690550</vt:lpwstr>
      </vt:variant>
      <vt:variant>
        <vt:i4>1310776</vt:i4>
      </vt:variant>
      <vt:variant>
        <vt:i4>620</vt:i4>
      </vt:variant>
      <vt:variant>
        <vt:i4>0</vt:i4>
      </vt:variant>
      <vt:variant>
        <vt:i4>5</vt:i4>
      </vt:variant>
      <vt:variant>
        <vt:lpwstr/>
      </vt:variant>
      <vt:variant>
        <vt:lpwstr>_Toc216690549</vt:lpwstr>
      </vt:variant>
      <vt:variant>
        <vt:i4>1310776</vt:i4>
      </vt:variant>
      <vt:variant>
        <vt:i4>614</vt:i4>
      </vt:variant>
      <vt:variant>
        <vt:i4>0</vt:i4>
      </vt:variant>
      <vt:variant>
        <vt:i4>5</vt:i4>
      </vt:variant>
      <vt:variant>
        <vt:lpwstr/>
      </vt:variant>
      <vt:variant>
        <vt:lpwstr>_Toc216690548</vt:lpwstr>
      </vt:variant>
      <vt:variant>
        <vt:i4>1310776</vt:i4>
      </vt:variant>
      <vt:variant>
        <vt:i4>608</vt:i4>
      </vt:variant>
      <vt:variant>
        <vt:i4>0</vt:i4>
      </vt:variant>
      <vt:variant>
        <vt:i4>5</vt:i4>
      </vt:variant>
      <vt:variant>
        <vt:lpwstr/>
      </vt:variant>
      <vt:variant>
        <vt:lpwstr>_Toc216690547</vt:lpwstr>
      </vt:variant>
      <vt:variant>
        <vt:i4>1310776</vt:i4>
      </vt:variant>
      <vt:variant>
        <vt:i4>602</vt:i4>
      </vt:variant>
      <vt:variant>
        <vt:i4>0</vt:i4>
      </vt:variant>
      <vt:variant>
        <vt:i4>5</vt:i4>
      </vt:variant>
      <vt:variant>
        <vt:lpwstr/>
      </vt:variant>
      <vt:variant>
        <vt:lpwstr>_Toc216690546</vt:lpwstr>
      </vt:variant>
      <vt:variant>
        <vt:i4>1310776</vt:i4>
      </vt:variant>
      <vt:variant>
        <vt:i4>596</vt:i4>
      </vt:variant>
      <vt:variant>
        <vt:i4>0</vt:i4>
      </vt:variant>
      <vt:variant>
        <vt:i4>5</vt:i4>
      </vt:variant>
      <vt:variant>
        <vt:lpwstr/>
      </vt:variant>
      <vt:variant>
        <vt:lpwstr>_Toc216690545</vt:lpwstr>
      </vt:variant>
      <vt:variant>
        <vt:i4>1310776</vt:i4>
      </vt:variant>
      <vt:variant>
        <vt:i4>590</vt:i4>
      </vt:variant>
      <vt:variant>
        <vt:i4>0</vt:i4>
      </vt:variant>
      <vt:variant>
        <vt:i4>5</vt:i4>
      </vt:variant>
      <vt:variant>
        <vt:lpwstr/>
      </vt:variant>
      <vt:variant>
        <vt:lpwstr>_Toc216690544</vt:lpwstr>
      </vt:variant>
      <vt:variant>
        <vt:i4>1310776</vt:i4>
      </vt:variant>
      <vt:variant>
        <vt:i4>584</vt:i4>
      </vt:variant>
      <vt:variant>
        <vt:i4>0</vt:i4>
      </vt:variant>
      <vt:variant>
        <vt:i4>5</vt:i4>
      </vt:variant>
      <vt:variant>
        <vt:lpwstr/>
      </vt:variant>
      <vt:variant>
        <vt:lpwstr>_Toc216690543</vt:lpwstr>
      </vt:variant>
      <vt:variant>
        <vt:i4>1310776</vt:i4>
      </vt:variant>
      <vt:variant>
        <vt:i4>578</vt:i4>
      </vt:variant>
      <vt:variant>
        <vt:i4>0</vt:i4>
      </vt:variant>
      <vt:variant>
        <vt:i4>5</vt:i4>
      </vt:variant>
      <vt:variant>
        <vt:lpwstr/>
      </vt:variant>
      <vt:variant>
        <vt:lpwstr>_Toc216690542</vt:lpwstr>
      </vt:variant>
      <vt:variant>
        <vt:i4>1310776</vt:i4>
      </vt:variant>
      <vt:variant>
        <vt:i4>572</vt:i4>
      </vt:variant>
      <vt:variant>
        <vt:i4>0</vt:i4>
      </vt:variant>
      <vt:variant>
        <vt:i4>5</vt:i4>
      </vt:variant>
      <vt:variant>
        <vt:lpwstr/>
      </vt:variant>
      <vt:variant>
        <vt:lpwstr>_Toc216690541</vt:lpwstr>
      </vt:variant>
      <vt:variant>
        <vt:i4>1310776</vt:i4>
      </vt:variant>
      <vt:variant>
        <vt:i4>566</vt:i4>
      </vt:variant>
      <vt:variant>
        <vt:i4>0</vt:i4>
      </vt:variant>
      <vt:variant>
        <vt:i4>5</vt:i4>
      </vt:variant>
      <vt:variant>
        <vt:lpwstr/>
      </vt:variant>
      <vt:variant>
        <vt:lpwstr>_Toc216690540</vt:lpwstr>
      </vt:variant>
      <vt:variant>
        <vt:i4>1245240</vt:i4>
      </vt:variant>
      <vt:variant>
        <vt:i4>560</vt:i4>
      </vt:variant>
      <vt:variant>
        <vt:i4>0</vt:i4>
      </vt:variant>
      <vt:variant>
        <vt:i4>5</vt:i4>
      </vt:variant>
      <vt:variant>
        <vt:lpwstr/>
      </vt:variant>
      <vt:variant>
        <vt:lpwstr>_Toc216690539</vt:lpwstr>
      </vt:variant>
      <vt:variant>
        <vt:i4>1245240</vt:i4>
      </vt:variant>
      <vt:variant>
        <vt:i4>554</vt:i4>
      </vt:variant>
      <vt:variant>
        <vt:i4>0</vt:i4>
      </vt:variant>
      <vt:variant>
        <vt:i4>5</vt:i4>
      </vt:variant>
      <vt:variant>
        <vt:lpwstr/>
      </vt:variant>
      <vt:variant>
        <vt:lpwstr>_Toc216690538</vt:lpwstr>
      </vt:variant>
      <vt:variant>
        <vt:i4>1245240</vt:i4>
      </vt:variant>
      <vt:variant>
        <vt:i4>548</vt:i4>
      </vt:variant>
      <vt:variant>
        <vt:i4>0</vt:i4>
      </vt:variant>
      <vt:variant>
        <vt:i4>5</vt:i4>
      </vt:variant>
      <vt:variant>
        <vt:lpwstr/>
      </vt:variant>
      <vt:variant>
        <vt:lpwstr>_Toc216690537</vt:lpwstr>
      </vt:variant>
      <vt:variant>
        <vt:i4>1245240</vt:i4>
      </vt:variant>
      <vt:variant>
        <vt:i4>542</vt:i4>
      </vt:variant>
      <vt:variant>
        <vt:i4>0</vt:i4>
      </vt:variant>
      <vt:variant>
        <vt:i4>5</vt:i4>
      </vt:variant>
      <vt:variant>
        <vt:lpwstr/>
      </vt:variant>
      <vt:variant>
        <vt:lpwstr>_Toc216690536</vt:lpwstr>
      </vt:variant>
      <vt:variant>
        <vt:i4>1245240</vt:i4>
      </vt:variant>
      <vt:variant>
        <vt:i4>536</vt:i4>
      </vt:variant>
      <vt:variant>
        <vt:i4>0</vt:i4>
      </vt:variant>
      <vt:variant>
        <vt:i4>5</vt:i4>
      </vt:variant>
      <vt:variant>
        <vt:lpwstr/>
      </vt:variant>
      <vt:variant>
        <vt:lpwstr>_Toc216690535</vt:lpwstr>
      </vt:variant>
      <vt:variant>
        <vt:i4>1245240</vt:i4>
      </vt:variant>
      <vt:variant>
        <vt:i4>530</vt:i4>
      </vt:variant>
      <vt:variant>
        <vt:i4>0</vt:i4>
      </vt:variant>
      <vt:variant>
        <vt:i4>5</vt:i4>
      </vt:variant>
      <vt:variant>
        <vt:lpwstr/>
      </vt:variant>
      <vt:variant>
        <vt:lpwstr>_Toc216690534</vt:lpwstr>
      </vt:variant>
      <vt:variant>
        <vt:i4>1245240</vt:i4>
      </vt:variant>
      <vt:variant>
        <vt:i4>524</vt:i4>
      </vt:variant>
      <vt:variant>
        <vt:i4>0</vt:i4>
      </vt:variant>
      <vt:variant>
        <vt:i4>5</vt:i4>
      </vt:variant>
      <vt:variant>
        <vt:lpwstr/>
      </vt:variant>
      <vt:variant>
        <vt:lpwstr>_Toc216690533</vt:lpwstr>
      </vt:variant>
      <vt:variant>
        <vt:i4>1245240</vt:i4>
      </vt:variant>
      <vt:variant>
        <vt:i4>518</vt:i4>
      </vt:variant>
      <vt:variant>
        <vt:i4>0</vt:i4>
      </vt:variant>
      <vt:variant>
        <vt:i4>5</vt:i4>
      </vt:variant>
      <vt:variant>
        <vt:lpwstr/>
      </vt:variant>
      <vt:variant>
        <vt:lpwstr>_Toc216690532</vt:lpwstr>
      </vt:variant>
      <vt:variant>
        <vt:i4>1245240</vt:i4>
      </vt:variant>
      <vt:variant>
        <vt:i4>512</vt:i4>
      </vt:variant>
      <vt:variant>
        <vt:i4>0</vt:i4>
      </vt:variant>
      <vt:variant>
        <vt:i4>5</vt:i4>
      </vt:variant>
      <vt:variant>
        <vt:lpwstr/>
      </vt:variant>
      <vt:variant>
        <vt:lpwstr>_Toc216690531</vt:lpwstr>
      </vt:variant>
      <vt:variant>
        <vt:i4>1245240</vt:i4>
      </vt:variant>
      <vt:variant>
        <vt:i4>506</vt:i4>
      </vt:variant>
      <vt:variant>
        <vt:i4>0</vt:i4>
      </vt:variant>
      <vt:variant>
        <vt:i4>5</vt:i4>
      </vt:variant>
      <vt:variant>
        <vt:lpwstr/>
      </vt:variant>
      <vt:variant>
        <vt:lpwstr>_Toc216690530</vt:lpwstr>
      </vt:variant>
      <vt:variant>
        <vt:i4>1179704</vt:i4>
      </vt:variant>
      <vt:variant>
        <vt:i4>500</vt:i4>
      </vt:variant>
      <vt:variant>
        <vt:i4>0</vt:i4>
      </vt:variant>
      <vt:variant>
        <vt:i4>5</vt:i4>
      </vt:variant>
      <vt:variant>
        <vt:lpwstr/>
      </vt:variant>
      <vt:variant>
        <vt:lpwstr>_Toc216690529</vt:lpwstr>
      </vt:variant>
      <vt:variant>
        <vt:i4>1179704</vt:i4>
      </vt:variant>
      <vt:variant>
        <vt:i4>494</vt:i4>
      </vt:variant>
      <vt:variant>
        <vt:i4>0</vt:i4>
      </vt:variant>
      <vt:variant>
        <vt:i4>5</vt:i4>
      </vt:variant>
      <vt:variant>
        <vt:lpwstr/>
      </vt:variant>
      <vt:variant>
        <vt:lpwstr>_Toc216690528</vt:lpwstr>
      </vt:variant>
      <vt:variant>
        <vt:i4>1179704</vt:i4>
      </vt:variant>
      <vt:variant>
        <vt:i4>488</vt:i4>
      </vt:variant>
      <vt:variant>
        <vt:i4>0</vt:i4>
      </vt:variant>
      <vt:variant>
        <vt:i4>5</vt:i4>
      </vt:variant>
      <vt:variant>
        <vt:lpwstr/>
      </vt:variant>
      <vt:variant>
        <vt:lpwstr>_Toc216690527</vt:lpwstr>
      </vt:variant>
      <vt:variant>
        <vt:i4>1179704</vt:i4>
      </vt:variant>
      <vt:variant>
        <vt:i4>482</vt:i4>
      </vt:variant>
      <vt:variant>
        <vt:i4>0</vt:i4>
      </vt:variant>
      <vt:variant>
        <vt:i4>5</vt:i4>
      </vt:variant>
      <vt:variant>
        <vt:lpwstr/>
      </vt:variant>
      <vt:variant>
        <vt:lpwstr>_Toc216690526</vt:lpwstr>
      </vt:variant>
      <vt:variant>
        <vt:i4>1179704</vt:i4>
      </vt:variant>
      <vt:variant>
        <vt:i4>476</vt:i4>
      </vt:variant>
      <vt:variant>
        <vt:i4>0</vt:i4>
      </vt:variant>
      <vt:variant>
        <vt:i4>5</vt:i4>
      </vt:variant>
      <vt:variant>
        <vt:lpwstr/>
      </vt:variant>
      <vt:variant>
        <vt:lpwstr>_Toc216690525</vt:lpwstr>
      </vt:variant>
      <vt:variant>
        <vt:i4>1179704</vt:i4>
      </vt:variant>
      <vt:variant>
        <vt:i4>470</vt:i4>
      </vt:variant>
      <vt:variant>
        <vt:i4>0</vt:i4>
      </vt:variant>
      <vt:variant>
        <vt:i4>5</vt:i4>
      </vt:variant>
      <vt:variant>
        <vt:lpwstr/>
      </vt:variant>
      <vt:variant>
        <vt:lpwstr>_Toc216690524</vt:lpwstr>
      </vt:variant>
      <vt:variant>
        <vt:i4>1179704</vt:i4>
      </vt:variant>
      <vt:variant>
        <vt:i4>464</vt:i4>
      </vt:variant>
      <vt:variant>
        <vt:i4>0</vt:i4>
      </vt:variant>
      <vt:variant>
        <vt:i4>5</vt:i4>
      </vt:variant>
      <vt:variant>
        <vt:lpwstr/>
      </vt:variant>
      <vt:variant>
        <vt:lpwstr>_Toc216690523</vt:lpwstr>
      </vt:variant>
      <vt:variant>
        <vt:i4>1179704</vt:i4>
      </vt:variant>
      <vt:variant>
        <vt:i4>458</vt:i4>
      </vt:variant>
      <vt:variant>
        <vt:i4>0</vt:i4>
      </vt:variant>
      <vt:variant>
        <vt:i4>5</vt:i4>
      </vt:variant>
      <vt:variant>
        <vt:lpwstr/>
      </vt:variant>
      <vt:variant>
        <vt:lpwstr>_Toc216690522</vt:lpwstr>
      </vt:variant>
      <vt:variant>
        <vt:i4>1179704</vt:i4>
      </vt:variant>
      <vt:variant>
        <vt:i4>452</vt:i4>
      </vt:variant>
      <vt:variant>
        <vt:i4>0</vt:i4>
      </vt:variant>
      <vt:variant>
        <vt:i4>5</vt:i4>
      </vt:variant>
      <vt:variant>
        <vt:lpwstr/>
      </vt:variant>
      <vt:variant>
        <vt:lpwstr>_Toc216690521</vt:lpwstr>
      </vt:variant>
      <vt:variant>
        <vt:i4>1179704</vt:i4>
      </vt:variant>
      <vt:variant>
        <vt:i4>446</vt:i4>
      </vt:variant>
      <vt:variant>
        <vt:i4>0</vt:i4>
      </vt:variant>
      <vt:variant>
        <vt:i4>5</vt:i4>
      </vt:variant>
      <vt:variant>
        <vt:lpwstr/>
      </vt:variant>
      <vt:variant>
        <vt:lpwstr>_Toc216690520</vt:lpwstr>
      </vt:variant>
      <vt:variant>
        <vt:i4>1114168</vt:i4>
      </vt:variant>
      <vt:variant>
        <vt:i4>440</vt:i4>
      </vt:variant>
      <vt:variant>
        <vt:i4>0</vt:i4>
      </vt:variant>
      <vt:variant>
        <vt:i4>5</vt:i4>
      </vt:variant>
      <vt:variant>
        <vt:lpwstr/>
      </vt:variant>
      <vt:variant>
        <vt:lpwstr>_Toc216690519</vt:lpwstr>
      </vt:variant>
      <vt:variant>
        <vt:i4>1114168</vt:i4>
      </vt:variant>
      <vt:variant>
        <vt:i4>434</vt:i4>
      </vt:variant>
      <vt:variant>
        <vt:i4>0</vt:i4>
      </vt:variant>
      <vt:variant>
        <vt:i4>5</vt:i4>
      </vt:variant>
      <vt:variant>
        <vt:lpwstr/>
      </vt:variant>
      <vt:variant>
        <vt:lpwstr>_Toc216690518</vt:lpwstr>
      </vt:variant>
      <vt:variant>
        <vt:i4>1114168</vt:i4>
      </vt:variant>
      <vt:variant>
        <vt:i4>428</vt:i4>
      </vt:variant>
      <vt:variant>
        <vt:i4>0</vt:i4>
      </vt:variant>
      <vt:variant>
        <vt:i4>5</vt:i4>
      </vt:variant>
      <vt:variant>
        <vt:lpwstr/>
      </vt:variant>
      <vt:variant>
        <vt:lpwstr>_Toc216690517</vt:lpwstr>
      </vt:variant>
      <vt:variant>
        <vt:i4>1114168</vt:i4>
      </vt:variant>
      <vt:variant>
        <vt:i4>422</vt:i4>
      </vt:variant>
      <vt:variant>
        <vt:i4>0</vt:i4>
      </vt:variant>
      <vt:variant>
        <vt:i4>5</vt:i4>
      </vt:variant>
      <vt:variant>
        <vt:lpwstr/>
      </vt:variant>
      <vt:variant>
        <vt:lpwstr>_Toc216690516</vt:lpwstr>
      </vt:variant>
      <vt:variant>
        <vt:i4>1114168</vt:i4>
      </vt:variant>
      <vt:variant>
        <vt:i4>416</vt:i4>
      </vt:variant>
      <vt:variant>
        <vt:i4>0</vt:i4>
      </vt:variant>
      <vt:variant>
        <vt:i4>5</vt:i4>
      </vt:variant>
      <vt:variant>
        <vt:lpwstr/>
      </vt:variant>
      <vt:variant>
        <vt:lpwstr>_Toc216690515</vt:lpwstr>
      </vt:variant>
      <vt:variant>
        <vt:i4>1114168</vt:i4>
      </vt:variant>
      <vt:variant>
        <vt:i4>410</vt:i4>
      </vt:variant>
      <vt:variant>
        <vt:i4>0</vt:i4>
      </vt:variant>
      <vt:variant>
        <vt:i4>5</vt:i4>
      </vt:variant>
      <vt:variant>
        <vt:lpwstr/>
      </vt:variant>
      <vt:variant>
        <vt:lpwstr>_Toc216690514</vt:lpwstr>
      </vt:variant>
      <vt:variant>
        <vt:i4>1114168</vt:i4>
      </vt:variant>
      <vt:variant>
        <vt:i4>404</vt:i4>
      </vt:variant>
      <vt:variant>
        <vt:i4>0</vt:i4>
      </vt:variant>
      <vt:variant>
        <vt:i4>5</vt:i4>
      </vt:variant>
      <vt:variant>
        <vt:lpwstr/>
      </vt:variant>
      <vt:variant>
        <vt:lpwstr>_Toc216690513</vt:lpwstr>
      </vt:variant>
      <vt:variant>
        <vt:i4>1114168</vt:i4>
      </vt:variant>
      <vt:variant>
        <vt:i4>398</vt:i4>
      </vt:variant>
      <vt:variant>
        <vt:i4>0</vt:i4>
      </vt:variant>
      <vt:variant>
        <vt:i4>5</vt:i4>
      </vt:variant>
      <vt:variant>
        <vt:lpwstr/>
      </vt:variant>
      <vt:variant>
        <vt:lpwstr>_Toc216690512</vt:lpwstr>
      </vt:variant>
      <vt:variant>
        <vt:i4>1114168</vt:i4>
      </vt:variant>
      <vt:variant>
        <vt:i4>392</vt:i4>
      </vt:variant>
      <vt:variant>
        <vt:i4>0</vt:i4>
      </vt:variant>
      <vt:variant>
        <vt:i4>5</vt:i4>
      </vt:variant>
      <vt:variant>
        <vt:lpwstr/>
      </vt:variant>
      <vt:variant>
        <vt:lpwstr>_Toc216690511</vt:lpwstr>
      </vt:variant>
      <vt:variant>
        <vt:i4>1114168</vt:i4>
      </vt:variant>
      <vt:variant>
        <vt:i4>386</vt:i4>
      </vt:variant>
      <vt:variant>
        <vt:i4>0</vt:i4>
      </vt:variant>
      <vt:variant>
        <vt:i4>5</vt:i4>
      </vt:variant>
      <vt:variant>
        <vt:lpwstr/>
      </vt:variant>
      <vt:variant>
        <vt:lpwstr>_Toc216690510</vt:lpwstr>
      </vt:variant>
      <vt:variant>
        <vt:i4>1048632</vt:i4>
      </vt:variant>
      <vt:variant>
        <vt:i4>380</vt:i4>
      </vt:variant>
      <vt:variant>
        <vt:i4>0</vt:i4>
      </vt:variant>
      <vt:variant>
        <vt:i4>5</vt:i4>
      </vt:variant>
      <vt:variant>
        <vt:lpwstr/>
      </vt:variant>
      <vt:variant>
        <vt:lpwstr>_Toc216690509</vt:lpwstr>
      </vt:variant>
      <vt:variant>
        <vt:i4>1048632</vt:i4>
      </vt:variant>
      <vt:variant>
        <vt:i4>374</vt:i4>
      </vt:variant>
      <vt:variant>
        <vt:i4>0</vt:i4>
      </vt:variant>
      <vt:variant>
        <vt:i4>5</vt:i4>
      </vt:variant>
      <vt:variant>
        <vt:lpwstr/>
      </vt:variant>
      <vt:variant>
        <vt:lpwstr>_Toc216690508</vt:lpwstr>
      </vt:variant>
      <vt:variant>
        <vt:i4>1048632</vt:i4>
      </vt:variant>
      <vt:variant>
        <vt:i4>368</vt:i4>
      </vt:variant>
      <vt:variant>
        <vt:i4>0</vt:i4>
      </vt:variant>
      <vt:variant>
        <vt:i4>5</vt:i4>
      </vt:variant>
      <vt:variant>
        <vt:lpwstr/>
      </vt:variant>
      <vt:variant>
        <vt:lpwstr>_Toc216690507</vt:lpwstr>
      </vt:variant>
      <vt:variant>
        <vt:i4>1048632</vt:i4>
      </vt:variant>
      <vt:variant>
        <vt:i4>362</vt:i4>
      </vt:variant>
      <vt:variant>
        <vt:i4>0</vt:i4>
      </vt:variant>
      <vt:variant>
        <vt:i4>5</vt:i4>
      </vt:variant>
      <vt:variant>
        <vt:lpwstr/>
      </vt:variant>
      <vt:variant>
        <vt:lpwstr>_Toc216690506</vt:lpwstr>
      </vt:variant>
      <vt:variant>
        <vt:i4>1048632</vt:i4>
      </vt:variant>
      <vt:variant>
        <vt:i4>356</vt:i4>
      </vt:variant>
      <vt:variant>
        <vt:i4>0</vt:i4>
      </vt:variant>
      <vt:variant>
        <vt:i4>5</vt:i4>
      </vt:variant>
      <vt:variant>
        <vt:lpwstr/>
      </vt:variant>
      <vt:variant>
        <vt:lpwstr>_Toc216690505</vt:lpwstr>
      </vt:variant>
      <vt:variant>
        <vt:i4>1048632</vt:i4>
      </vt:variant>
      <vt:variant>
        <vt:i4>350</vt:i4>
      </vt:variant>
      <vt:variant>
        <vt:i4>0</vt:i4>
      </vt:variant>
      <vt:variant>
        <vt:i4>5</vt:i4>
      </vt:variant>
      <vt:variant>
        <vt:lpwstr/>
      </vt:variant>
      <vt:variant>
        <vt:lpwstr>_Toc216690504</vt:lpwstr>
      </vt:variant>
      <vt:variant>
        <vt:i4>1048632</vt:i4>
      </vt:variant>
      <vt:variant>
        <vt:i4>344</vt:i4>
      </vt:variant>
      <vt:variant>
        <vt:i4>0</vt:i4>
      </vt:variant>
      <vt:variant>
        <vt:i4>5</vt:i4>
      </vt:variant>
      <vt:variant>
        <vt:lpwstr/>
      </vt:variant>
      <vt:variant>
        <vt:lpwstr>_Toc216690503</vt:lpwstr>
      </vt:variant>
      <vt:variant>
        <vt:i4>1048632</vt:i4>
      </vt:variant>
      <vt:variant>
        <vt:i4>338</vt:i4>
      </vt:variant>
      <vt:variant>
        <vt:i4>0</vt:i4>
      </vt:variant>
      <vt:variant>
        <vt:i4>5</vt:i4>
      </vt:variant>
      <vt:variant>
        <vt:lpwstr/>
      </vt:variant>
      <vt:variant>
        <vt:lpwstr>_Toc216690502</vt:lpwstr>
      </vt:variant>
      <vt:variant>
        <vt:i4>1048632</vt:i4>
      </vt:variant>
      <vt:variant>
        <vt:i4>332</vt:i4>
      </vt:variant>
      <vt:variant>
        <vt:i4>0</vt:i4>
      </vt:variant>
      <vt:variant>
        <vt:i4>5</vt:i4>
      </vt:variant>
      <vt:variant>
        <vt:lpwstr/>
      </vt:variant>
      <vt:variant>
        <vt:lpwstr>_Toc216690501</vt:lpwstr>
      </vt:variant>
      <vt:variant>
        <vt:i4>1048632</vt:i4>
      </vt:variant>
      <vt:variant>
        <vt:i4>326</vt:i4>
      </vt:variant>
      <vt:variant>
        <vt:i4>0</vt:i4>
      </vt:variant>
      <vt:variant>
        <vt:i4>5</vt:i4>
      </vt:variant>
      <vt:variant>
        <vt:lpwstr/>
      </vt:variant>
      <vt:variant>
        <vt:lpwstr>_Toc216690500</vt:lpwstr>
      </vt:variant>
      <vt:variant>
        <vt:i4>1638457</vt:i4>
      </vt:variant>
      <vt:variant>
        <vt:i4>320</vt:i4>
      </vt:variant>
      <vt:variant>
        <vt:i4>0</vt:i4>
      </vt:variant>
      <vt:variant>
        <vt:i4>5</vt:i4>
      </vt:variant>
      <vt:variant>
        <vt:lpwstr/>
      </vt:variant>
      <vt:variant>
        <vt:lpwstr>_Toc216690499</vt:lpwstr>
      </vt:variant>
      <vt:variant>
        <vt:i4>1638457</vt:i4>
      </vt:variant>
      <vt:variant>
        <vt:i4>314</vt:i4>
      </vt:variant>
      <vt:variant>
        <vt:i4>0</vt:i4>
      </vt:variant>
      <vt:variant>
        <vt:i4>5</vt:i4>
      </vt:variant>
      <vt:variant>
        <vt:lpwstr/>
      </vt:variant>
      <vt:variant>
        <vt:lpwstr>_Toc216690498</vt:lpwstr>
      </vt:variant>
      <vt:variant>
        <vt:i4>1638457</vt:i4>
      </vt:variant>
      <vt:variant>
        <vt:i4>308</vt:i4>
      </vt:variant>
      <vt:variant>
        <vt:i4>0</vt:i4>
      </vt:variant>
      <vt:variant>
        <vt:i4>5</vt:i4>
      </vt:variant>
      <vt:variant>
        <vt:lpwstr/>
      </vt:variant>
      <vt:variant>
        <vt:lpwstr>_Toc216690497</vt:lpwstr>
      </vt:variant>
      <vt:variant>
        <vt:i4>1638457</vt:i4>
      </vt:variant>
      <vt:variant>
        <vt:i4>302</vt:i4>
      </vt:variant>
      <vt:variant>
        <vt:i4>0</vt:i4>
      </vt:variant>
      <vt:variant>
        <vt:i4>5</vt:i4>
      </vt:variant>
      <vt:variant>
        <vt:lpwstr/>
      </vt:variant>
      <vt:variant>
        <vt:lpwstr>_Toc216690496</vt:lpwstr>
      </vt:variant>
      <vt:variant>
        <vt:i4>1638457</vt:i4>
      </vt:variant>
      <vt:variant>
        <vt:i4>296</vt:i4>
      </vt:variant>
      <vt:variant>
        <vt:i4>0</vt:i4>
      </vt:variant>
      <vt:variant>
        <vt:i4>5</vt:i4>
      </vt:variant>
      <vt:variant>
        <vt:lpwstr/>
      </vt:variant>
      <vt:variant>
        <vt:lpwstr>_Toc216690495</vt:lpwstr>
      </vt:variant>
      <vt:variant>
        <vt:i4>1638457</vt:i4>
      </vt:variant>
      <vt:variant>
        <vt:i4>290</vt:i4>
      </vt:variant>
      <vt:variant>
        <vt:i4>0</vt:i4>
      </vt:variant>
      <vt:variant>
        <vt:i4>5</vt:i4>
      </vt:variant>
      <vt:variant>
        <vt:lpwstr/>
      </vt:variant>
      <vt:variant>
        <vt:lpwstr>_Toc216690494</vt:lpwstr>
      </vt:variant>
      <vt:variant>
        <vt:i4>1638457</vt:i4>
      </vt:variant>
      <vt:variant>
        <vt:i4>284</vt:i4>
      </vt:variant>
      <vt:variant>
        <vt:i4>0</vt:i4>
      </vt:variant>
      <vt:variant>
        <vt:i4>5</vt:i4>
      </vt:variant>
      <vt:variant>
        <vt:lpwstr/>
      </vt:variant>
      <vt:variant>
        <vt:lpwstr>_Toc216690493</vt:lpwstr>
      </vt:variant>
      <vt:variant>
        <vt:i4>1638457</vt:i4>
      </vt:variant>
      <vt:variant>
        <vt:i4>278</vt:i4>
      </vt:variant>
      <vt:variant>
        <vt:i4>0</vt:i4>
      </vt:variant>
      <vt:variant>
        <vt:i4>5</vt:i4>
      </vt:variant>
      <vt:variant>
        <vt:lpwstr/>
      </vt:variant>
      <vt:variant>
        <vt:lpwstr>_Toc216690492</vt:lpwstr>
      </vt:variant>
      <vt:variant>
        <vt:i4>1638457</vt:i4>
      </vt:variant>
      <vt:variant>
        <vt:i4>272</vt:i4>
      </vt:variant>
      <vt:variant>
        <vt:i4>0</vt:i4>
      </vt:variant>
      <vt:variant>
        <vt:i4>5</vt:i4>
      </vt:variant>
      <vt:variant>
        <vt:lpwstr/>
      </vt:variant>
      <vt:variant>
        <vt:lpwstr>_Toc216690491</vt:lpwstr>
      </vt:variant>
      <vt:variant>
        <vt:i4>1638457</vt:i4>
      </vt:variant>
      <vt:variant>
        <vt:i4>266</vt:i4>
      </vt:variant>
      <vt:variant>
        <vt:i4>0</vt:i4>
      </vt:variant>
      <vt:variant>
        <vt:i4>5</vt:i4>
      </vt:variant>
      <vt:variant>
        <vt:lpwstr/>
      </vt:variant>
      <vt:variant>
        <vt:lpwstr>_Toc216690490</vt:lpwstr>
      </vt:variant>
      <vt:variant>
        <vt:i4>1572921</vt:i4>
      </vt:variant>
      <vt:variant>
        <vt:i4>260</vt:i4>
      </vt:variant>
      <vt:variant>
        <vt:i4>0</vt:i4>
      </vt:variant>
      <vt:variant>
        <vt:i4>5</vt:i4>
      </vt:variant>
      <vt:variant>
        <vt:lpwstr/>
      </vt:variant>
      <vt:variant>
        <vt:lpwstr>_Toc216690489</vt:lpwstr>
      </vt:variant>
      <vt:variant>
        <vt:i4>1572921</vt:i4>
      </vt:variant>
      <vt:variant>
        <vt:i4>254</vt:i4>
      </vt:variant>
      <vt:variant>
        <vt:i4>0</vt:i4>
      </vt:variant>
      <vt:variant>
        <vt:i4>5</vt:i4>
      </vt:variant>
      <vt:variant>
        <vt:lpwstr/>
      </vt:variant>
      <vt:variant>
        <vt:lpwstr>_Toc216690488</vt:lpwstr>
      </vt:variant>
      <vt:variant>
        <vt:i4>1572921</vt:i4>
      </vt:variant>
      <vt:variant>
        <vt:i4>248</vt:i4>
      </vt:variant>
      <vt:variant>
        <vt:i4>0</vt:i4>
      </vt:variant>
      <vt:variant>
        <vt:i4>5</vt:i4>
      </vt:variant>
      <vt:variant>
        <vt:lpwstr/>
      </vt:variant>
      <vt:variant>
        <vt:lpwstr>_Toc216690487</vt:lpwstr>
      </vt:variant>
      <vt:variant>
        <vt:i4>1572921</vt:i4>
      </vt:variant>
      <vt:variant>
        <vt:i4>242</vt:i4>
      </vt:variant>
      <vt:variant>
        <vt:i4>0</vt:i4>
      </vt:variant>
      <vt:variant>
        <vt:i4>5</vt:i4>
      </vt:variant>
      <vt:variant>
        <vt:lpwstr/>
      </vt:variant>
      <vt:variant>
        <vt:lpwstr>_Toc216690486</vt:lpwstr>
      </vt:variant>
      <vt:variant>
        <vt:i4>1572921</vt:i4>
      </vt:variant>
      <vt:variant>
        <vt:i4>236</vt:i4>
      </vt:variant>
      <vt:variant>
        <vt:i4>0</vt:i4>
      </vt:variant>
      <vt:variant>
        <vt:i4>5</vt:i4>
      </vt:variant>
      <vt:variant>
        <vt:lpwstr/>
      </vt:variant>
      <vt:variant>
        <vt:lpwstr>_Toc216690485</vt:lpwstr>
      </vt:variant>
      <vt:variant>
        <vt:i4>1572921</vt:i4>
      </vt:variant>
      <vt:variant>
        <vt:i4>230</vt:i4>
      </vt:variant>
      <vt:variant>
        <vt:i4>0</vt:i4>
      </vt:variant>
      <vt:variant>
        <vt:i4>5</vt:i4>
      </vt:variant>
      <vt:variant>
        <vt:lpwstr/>
      </vt:variant>
      <vt:variant>
        <vt:lpwstr>_Toc216690484</vt:lpwstr>
      </vt:variant>
      <vt:variant>
        <vt:i4>1572921</vt:i4>
      </vt:variant>
      <vt:variant>
        <vt:i4>224</vt:i4>
      </vt:variant>
      <vt:variant>
        <vt:i4>0</vt:i4>
      </vt:variant>
      <vt:variant>
        <vt:i4>5</vt:i4>
      </vt:variant>
      <vt:variant>
        <vt:lpwstr/>
      </vt:variant>
      <vt:variant>
        <vt:lpwstr>_Toc216690483</vt:lpwstr>
      </vt:variant>
      <vt:variant>
        <vt:i4>1572921</vt:i4>
      </vt:variant>
      <vt:variant>
        <vt:i4>218</vt:i4>
      </vt:variant>
      <vt:variant>
        <vt:i4>0</vt:i4>
      </vt:variant>
      <vt:variant>
        <vt:i4>5</vt:i4>
      </vt:variant>
      <vt:variant>
        <vt:lpwstr/>
      </vt:variant>
      <vt:variant>
        <vt:lpwstr>_Toc216690482</vt:lpwstr>
      </vt:variant>
      <vt:variant>
        <vt:i4>1572921</vt:i4>
      </vt:variant>
      <vt:variant>
        <vt:i4>212</vt:i4>
      </vt:variant>
      <vt:variant>
        <vt:i4>0</vt:i4>
      </vt:variant>
      <vt:variant>
        <vt:i4>5</vt:i4>
      </vt:variant>
      <vt:variant>
        <vt:lpwstr/>
      </vt:variant>
      <vt:variant>
        <vt:lpwstr>_Toc216690481</vt:lpwstr>
      </vt:variant>
      <vt:variant>
        <vt:i4>1572921</vt:i4>
      </vt:variant>
      <vt:variant>
        <vt:i4>206</vt:i4>
      </vt:variant>
      <vt:variant>
        <vt:i4>0</vt:i4>
      </vt:variant>
      <vt:variant>
        <vt:i4>5</vt:i4>
      </vt:variant>
      <vt:variant>
        <vt:lpwstr/>
      </vt:variant>
      <vt:variant>
        <vt:lpwstr>_Toc216690480</vt:lpwstr>
      </vt:variant>
      <vt:variant>
        <vt:i4>1507385</vt:i4>
      </vt:variant>
      <vt:variant>
        <vt:i4>200</vt:i4>
      </vt:variant>
      <vt:variant>
        <vt:i4>0</vt:i4>
      </vt:variant>
      <vt:variant>
        <vt:i4>5</vt:i4>
      </vt:variant>
      <vt:variant>
        <vt:lpwstr/>
      </vt:variant>
      <vt:variant>
        <vt:lpwstr>_Toc216690479</vt:lpwstr>
      </vt:variant>
      <vt:variant>
        <vt:i4>1507385</vt:i4>
      </vt:variant>
      <vt:variant>
        <vt:i4>194</vt:i4>
      </vt:variant>
      <vt:variant>
        <vt:i4>0</vt:i4>
      </vt:variant>
      <vt:variant>
        <vt:i4>5</vt:i4>
      </vt:variant>
      <vt:variant>
        <vt:lpwstr/>
      </vt:variant>
      <vt:variant>
        <vt:lpwstr>_Toc216690478</vt:lpwstr>
      </vt:variant>
      <vt:variant>
        <vt:i4>1507385</vt:i4>
      </vt:variant>
      <vt:variant>
        <vt:i4>188</vt:i4>
      </vt:variant>
      <vt:variant>
        <vt:i4>0</vt:i4>
      </vt:variant>
      <vt:variant>
        <vt:i4>5</vt:i4>
      </vt:variant>
      <vt:variant>
        <vt:lpwstr/>
      </vt:variant>
      <vt:variant>
        <vt:lpwstr>_Toc216690477</vt:lpwstr>
      </vt:variant>
      <vt:variant>
        <vt:i4>1507385</vt:i4>
      </vt:variant>
      <vt:variant>
        <vt:i4>182</vt:i4>
      </vt:variant>
      <vt:variant>
        <vt:i4>0</vt:i4>
      </vt:variant>
      <vt:variant>
        <vt:i4>5</vt:i4>
      </vt:variant>
      <vt:variant>
        <vt:lpwstr/>
      </vt:variant>
      <vt:variant>
        <vt:lpwstr>_Toc216690476</vt:lpwstr>
      </vt:variant>
      <vt:variant>
        <vt:i4>1507385</vt:i4>
      </vt:variant>
      <vt:variant>
        <vt:i4>176</vt:i4>
      </vt:variant>
      <vt:variant>
        <vt:i4>0</vt:i4>
      </vt:variant>
      <vt:variant>
        <vt:i4>5</vt:i4>
      </vt:variant>
      <vt:variant>
        <vt:lpwstr/>
      </vt:variant>
      <vt:variant>
        <vt:lpwstr>_Toc216690475</vt:lpwstr>
      </vt:variant>
      <vt:variant>
        <vt:i4>1507385</vt:i4>
      </vt:variant>
      <vt:variant>
        <vt:i4>170</vt:i4>
      </vt:variant>
      <vt:variant>
        <vt:i4>0</vt:i4>
      </vt:variant>
      <vt:variant>
        <vt:i4>5</vt:i4>
      </vt:variant>
      <vt:variant>
        <vt:lpwstr/>
      </vt:variant>
      <vt:variant>
        <vt:lpwstr>_Toc216690474</vt:lpwstr>
      </vt:variant>
      <vt:variant>
        <vt:i4>1507385</vt:i4>
      </vt:variant>
      <vt:variant>
        <vt:i4>164</vt:i4>
      </vt:variant>
      <vt:variant>
        <vt:i4>0</vt:i4>
      </vt:variant>
      <vt:variant>
        <vt:i4>5</vt:i4>
      </vt:variant>
      <vt:variant>
        <vt:lpwstr/>
      </vt:variant>
      <vt:variant>
        <vt:lpwstr>_Toc216690473</vt:lpwstr>
      </vt:variant>
      <vt:variant>
        <vt:i4>1507385</vt:i4>
      </vt:variant>
      <vt:variant>
        <vt:i4>158</vt:i4>
      </vt:variant>
      <vt:variant>
        <vt:i4>0</vt:i4>
      </vt:variant>
      <vt:variant>
        <vt:i4>5</vt:i4>
      </vt:variant>
      <vt:variant>
        <vt:lpwstr/>
      </vt:variant>
      <vt:variant>
        <vt:lpwstr>_Toc216690472</vt:lpwstr>
      </vt:variant>
      <vt:variant>
        <vt:i4>1507385</vt:i4>
      </vt:variant>
      <vt:variant>
        <vt:i4>152</vt:i4>
      </vt:variant>
      <vt:variant>
        <vt:i4>0</vt:i4>
      </vt:variant>
      <vt:variant>
        <vt:i4>5</vt:i4>
      </vt:variant>
      <vt:variant>
        <vt:lpwstr/>
      </vt:variant>
      <vt:variant>
        <vt:lpwstr>_Toc216690471</vt:lpwstr>
      </vt:variant>
      <vt:variant>
        <vt:i4>1507385</vt:i4>
      </vt:variant>
      <vt:variant>
        <vt:i4>146</vt:i4>
      </vt:variant>
      <vt:variant>
        <vt:i4>0</vt:i4>
      </vt:variant>
      <vt:variant>
        <vt:i4>5</vt:i4>
      </vt:variant>
      <vt:variant>
        <vt:lpwstr/>
      </vt:variant>
      <vt:variant>
        <vt:lpwstr>_Toc216690470</vt:lpwstr>
      </vt:variant>
      <vt:variant>
        <vt:i4>1441849</vt:i4>
      </vt:variant>
      <vt:variant>
        <vt:i4>140</vt:i4>
      </vt:variant>
      <vt:variant>
        <vt:i4>0</vt:i4>
      </vt:variant>
      <vt:variant>
        <vt:i4>5</vt:i4>
      </vt:variant>
      <vt:variant>
        <vt:lpwstr/>
      </vt:variant>
      <vt:variant>
        <vt:lpwstr>_Toc216690469</vt:lpwstr>
      </vt:variant>
      <vt:variant>
        <vt:i4>1441849</vt:i4>
      </vt:variant>
      <vt:variant>
        <vt:i4>134</vt:i4>
      </vt:variant>
      <vt:variant>
        <vt:i4>0</vt:i4>
      </vt:variant>
      <vt:variant>
        <vt:i4>5</vt:i4>
      </vt:variant>
      <vt:variant>
        <vt:lpwstr/>
      </vt:variant>
      <vt:variant>
        <vt:lpwstr>_Toc216690468</vt:lpwstr>
      </vt:variant>
      <vt:variant>
        <vt:i4>1441849</vt:i4>
      </vt:variant>
      <vt:variant>
        <vt:i4>128</vt:i4>
      </vt:variant>
      <vt:variant>
        <vt:i4>0</vt:i4>
      </vt:variant>
      <vt:variant>
        <vt:i4>5</vt:i4>
      </vt:variant>
      <vt:variant>
        <vt:lpwstr/>
      </vt:variant>
      <vt:variant>
        <vt:lpwstr>_Toc216690467</vt:lpwstr>
      </vt:variant>
      <vt:variant>
        <vt:i4>1441849</vt:i4>
      </vt:variant>
      <vt:variant>
        <vt:i4>122</vt:i4>
      </vt:variant>
      <vt:variant>
        <vt:i4>0</vt:i4>
      </vt:variant>
      <vt:variant>
        <vt:i4>5</vt:i4>
      </vt:variant>
      <vt:variant>
        <vt:lpwstr/>
      </vt:variant>
      <vt:variant>
        <vt:lpwstr>_Toc216690466</vt:lpwstr>
      </vt:variant>
      <vt:variant>
        <vt:i4>1441849</vt:i4>
      </vt:variant>
      <vt:variant>
        <vt:i4>116</vt:i4>
      </vt:variant>
      <vt:variant>
        <vt:i4>0</vt:i4>
      </vt:variant>
      <vt:variant>
        <vt:i4>5</vt:i4>
      </vt:variant>
      <vt:variant>
        <vt:lpwstr/>
      </vt:variant>
      <vt:variant>
        <vt:lpwstr>_Toc216690465</vt:lpwstr>
      </vt:variant>
      <vt:variant>
        <vt:i4>1441849</vt:i4>
      </vt:variant>
      <vt:variant>
        <vt:i4>110</vt:i4>
      </vt:variant>
      <vt:variant>
        <vt:i4>0</vt:i4>
      </vt:variant>
      <vt:variant>
        <vt:i4>5</vt:i4>
      </vt:variant>
      <vt:variant>
        <vt:lpwstr/>
      </vt:variant>
      <vt:variant>
        <vt:lpwstr>_Toc216690464</vt:lpwstr>
      </vt:variant>
      <vt:variant>
        <vt:i4>1441849</vt:i4>
      </vt:variant>
      <vt:variant>
        <vt:i4>104</vt:i4>
      </vt:variant>
      <vt:variant>
        <vt:i4>0</vt:i4>
      </vt:variant>
      <vt:variant>
        <vt:i4>5</vt:i4>
      </vt:variant>
      <vt:variant>
        <vt:lpwstr/>
      </vt:variant>
      <vt:variant>
        <vt:lpwstr>_Toc216690463</vt:lpwstr>
      </vt:variant>
      <vt:variant>
        <vt:i4>1441849</vt:i4>
      </vt:variant>
      <vt:variant>
        <vt:i4>98</vt:i4>
      </vt:variant>
      <vt:variant>
        <vt:i4>0</vt:i4>
      </vt:variant>
      <vt:variant>
        <vt:i4>5</vt:i4>
      </vt:variant>
      <vt:variant>
        <vt:lpwstr/>
      </vt:variant>
      <vt:variant>
        <vt:lpwstr>_Toc216690462</vt:lpwstr>
      </vt:variant>
      <vt:variant>
        <vt:i4>1441849</vt:i4>
      </vt:variant>
      <vt:variant>
        <vt:i4>92</vt:i4>
      </vt:variant>
      <vt:variant>
        <vt:i4>0</vt:i4>
      </vt:variant>
      <vt:variant>
        <vt:i4>5</vt:i4>
      </vt:variant>
      <vt:variant>
        <vt:lpwstr/>
      </vt:variant>
      <vt:variant>
        <vt:lpwstr>_Toc216690461</vt:lpwstr>
      </vt:variant>
      <vt:variant>
        <vt:i4>1441849</vt:i4>
      </vt:variant>
      <vt:variant>
        <vt:i4>86</vt:i4>
      </vt:variant>
      <vt:variant>
        <vt:i4>0</vt:i4>
      </vt:variant>
      <vt:variant>
        <vt:i4>5</vt:i4>
      </vt:variant>
      <vt:variant>
        <vt:lpwstr/>
      </vt:variant>
      <vt:variant>
        <vt:lpwstr>_Toc216690460</vt:lpwstr>
      </vt:variant>
      <vt:variant>
        <vt:i4>1376313</vt:i4>
      </vt:variant>
      <vt:variant>
        <vt:i4>80</vt:i4>
      </vt:variant>
      <vt:variant>
        <vt:i4>0</vt:i4>
      </vt:variant>
      <vt:variant>
        <vt:i4>5</vt:i4>
      </vt:variant>
      <vt:variant>
        <vt:lpwstr/>
      </vt:variant>
      <vt:variant>
        <vt:lpwstr>_Toc216690459</vt:lpwstr>
      </vt:variant>
      <vt:variant>
        <vt:i4>1376313</vt:i4>
      </vt:variant>
      <vt:variant>
        <vt:i4>74</vt:i4>
      </vt:variant>
      <vt:variant>
        <vt:i4>0</vt:i4>
      </vt:variant>
      <vt:variant>
        <vt:i4>5</vt:i4>
      </vt:variant>
      <vt:variant>
        <vt:lpwstr/>
      </vt:variant>
      <vt:variant>
        <vt:lpwstr>_Toc216690458</vt:lpwstr>
      </vt:variant>
      <vt:variant>
        <vt:i4>1376313</vt:i4>
      </vt:variant>
      <vt:variant>
        <vt:i4>68</vt:i4>
      </vt:variant>
      <vt:variant>
        <vt:i4>0</vt:i4>
      </vt:variant>
      <vt:variant>
        <vt:i4>5</vt:i4>
      </vt:variant>
      <vt:variant>
        <vt:lpwstr/>
      </vt:variant>
      <vt:variant>
        <vt:lpwstr>_Toc216690457</vt:lpwstr>
      </vt:variant>
      <vt:variant>
        <vt:i4>1376313</vt:i4>
      </vt:variant>
      <vt:variant>
        <vt:i4>62</vt:i4>
      </vt:variant>
      <vt:variant>
        <vt:i4>0</vt:i4>
      </vt:variant>
      <vt:variant>
        <vt:i4>5</vt:i4>
      </vt:variant>
      <vt:variant>
        <vt:lpwstr/>
      </vt:variant>
      <vt:variant>
        <vt:lpwstr>_Toc216690456</vt:lpwstr>
      </vt:variant>
      <vt:variant>
        <vt:i4>1376313</vt:i4>
      </vt:variant>
      <vt:variant>
        <vt:i4>56</vt:i4>
      </vt:variant>
      <vt:variant>
        <vt:i4>0</vt:i4>
      </vt:variant>
      <vt:variant>
        <vt:i4>5</vt:i4>
      </vt:variant>
      <vt:variant>
        <vt:lpwstr/>
      </vt:variant>
      <vt:variant>
        <vt:lpwstr>_Toc216690455</vt:lpwstr>
      </vt:variant>
      <vt:variant>
        <vt:i4>1376313</vt:i4>
      </vt:variant>
      <vt:variant>
        <vt:i4>50</vt:i4>
      </vt:variant>
      <vt:variant>
        <vt:i4>0</vt:i4>
      </vt:variant>
      <vt:variant>
        <vt:i4>5</vt:i4>
      </vt:variant>
      <vt:variant>
        <vt:lpwstr/>
      </vt:variant>
      <vt:variant>
        <vt:lpwstr>_Toc216690454</vt:lpwstr>
      </vt:variant>
      <vt:variant>
        <vt:i4>1376313</vt:i4>
      </vt:variant>
      <vt:variant>
        <vt:i4>44</vt:i4>
      </vt:variant>
      <vt:variant>
        <vt:i4>0</vt:i4>
      </vt:variant>
      <vt:variant>
        <vt:i4>5</vt:i4>
      </vt:variant>
      <vt:variant>
        <vt:lpwstr/>
      </vt:variant>
      <vt:variant>
        <vt:lpwstr>_Toc216690453</vt:lpwstr>
      </vt:variant>
      <vt:variant>
        <vt:i4>1376313</vt:i4>
      </vt:variant>
      <vt:variant>
        <vt:i4>38</vt:i4>
      </vt:variant>
      <vt:variant>
        <vt:i4>0</vt:i4>
      </vt:variant>
      <vt:variant>
        <vt:i4>5</vt:i4>
      </vt:variant>
      <vt:variant>
        <vt:lpwstr/>
      </vt:variant>
      <vt:variant>
        <vt:lpwstr>_Toc216690452</vt:lpwstr>
      </vt:variant>
      <vt:variant>
        <vt:i4>1376313</vt:i4>
      </vt:variant>
      <vt:variant>
        <vt:i4>32</vt:i4>
      </vt:variant>
      <vt:variant>
        <vt:i4>0</vt:i4>
      </vt:variant>
      <vt:variant>
        <vt:i4>5</vt:i4>
      </vt:variant>
      <vt:variant>
        <vt:lpwstr/>
      </vt:variant>
      <vt:variant>
        <vt:lpwstr>_Toc216690451</vt:lpwstr>
      </vt:variant>
      <vt:variant>
        <vt:i4>1376313</vt:i4>
      </vt:variant>
      <vt:variant>
        <vt:i4>26</vt:i4>
      </vt:variant>
      <vt:variant>
        <vt:i4>0</vt:i4>
      </vt:variant>
      <vt:variant>
        <vt:i4>5</vt:i4>
      </vt:variant>
      <vt:variant>
        <vt:lpwstr/>
      </vt:variant>
      <vt:variant>
        <vt:lpwstr>_Toc216690450</vt:lpwstr>
      </vt:variant>
      <vt:variant>
        <vt:i4>1310777</vt:i4>
      </vt:variant>
      <vt:variant>
        <vt:i4>20</vt:i4>
      </vt:variant>
      <vt:variant>
        <vt:i4>0</vt:i4>
      </vt:variant>
      <vt:variant>
        <vt:i4>5</vt:i4>
      </vt:variant>
      <vt:variant>
        <vt:lpwstr/>
      </vt:variant>
      <vt:variant>
        <vt:lpwstr>_Toc216690449</vt:lpwstr>
      </vt:variant>
      <vt:variant>
        <vt:i4>1310777</vt:i4>
      </vt:variant>
      <vt:variant>
        <vt:i4>14</vt:i4>
      </vt:variant>
      <vt:variant>
        <vt:i4>0</vt:i4>
      </vt:variant>
      <vt:variant>
        <vt:i4>5</vt:i4>
      </vt:variant>
      <vt:variant>
        <vt:lpwstr/>
      </vt:variant>
      <vt:variant>
        <vt:lpwstr>_Toc216690448</vt:lpwstr>
      </vt:variant>
      <vt:variant>
        <vt:i4>1310777</vt:i4>
      </vt:variant>
      <vt:variant>
        <vt:i4>8</vt:i4>
      </vt:variant>
      <vt:variant>
        <vt:i4>0</vt:i4>
      </vt:variant>
      <vt:variant>
        <vt:i4>5</vt:i4>
      </vt:variant>
      <vt:variant>
        <vt:lpwstr/>
      </vt:variant>
      <vt:variant>
        <vt:lpwstr>_Toc216690447</vt:lpwstr>
      </vt:variant>
      <vt:variant>
        <vt:i4>6684744</vt:i4>
      </vt:variant>
      <vt:variant>
        <vt:i4>3</vt:i4>
      </vt:variant>
      <vt:variant>
        <vt:i4>0</vt:i4>
      </vt:variant>
      <vt:variant>
        <vt:i4>5</vt:i4>
      </vt:variant>
      <vt:variant>
        <vt:lpwstr>mailto:Bill.J.Morely@msq.qld.gov.au</vt:lpwstr>
      </vt:variant>
      <vt:variant>
        <vt:lpwstr/>
      </vt:variant>
      <vt:variant>
        <vt:i4>3932260</vt:i4>
      </vt:variant>
      <vt:variant>
        <vt:i4>15</vt:i4>
      </vt:variant>
      <vt:variant>
        <vt:i4>0</vt:i4>
      </vt:variant>
      <vt:variant>
        <vt:i4>5</vt:i4>
      </vt:variant>
      <vt:variant>
        <vt:lpwstr>https://www.visitsunshinecoast.com/place/mooloolaba</vt:lpwstr>
      </vt:variant>
      <vt:variant>
        <vt:lpwstr/>
      </vt:variant>
      <vt:variant>
        <vt:i4>3932260</vt:i4>
      </vt:variant>
      <vt:variant>
        <vt:i4>12</vt:i4>
      </vt:variant>
      <vt:variant>
        <vt:i4>0</vt:i4>
      </vt:variant>
      <vt:variant>
        <vt:i4>5</vt:i4>
      </vt:variant>
      <vt:variant>
        <vt:lpwstr>https://www.visitsunshinecoast.com/place/mooloolaba</vt:lpwstr>
      </vt:variant>
      <vt:variant>
        <vt:lpwstr/>
      </vt:variant>
      <vt:variant>
        <vt:i4>3342372</vt:i4>
      </vt:variant>
      <vt:variant>
        <vt:i4>9</vt:i4>
      </vt:variant>
      <vt:variant>
        <vt:i4>0</vt:i4>
      </vt:variant>
      <vt:variant>
        <vt:i4>5</vt:i4>
      </vt:variant>
      <vt:variant>
        <vt:lpwstr>https://discovermooloolaba.com.au/</vt:lpwstr>
      </vt:variant>
      <vt:variant>
        <vt:lpwstr/>
      </vt:variant>
      <vt:variant>
        <vt:i4>4849751</vt:i4>
      </vt:variant>
      <vt:variant>
        <vt:i4>6</vt:i4>
      </vt:variant>
      <vt:variant>
        <vt:i4>0</vt:i4>
      </vt:variant>
      <vt:variant>
        <vt:i4>5</vt:i4>
      </vt:variant>
      <vt:variant>
        <vt:lpwstr>https://www.tra.gov.au/en/regional/local-government-area-profiles</vt:lpwstr>
      </vt:variant>
      <vt:variant>
        <vt:lpwstr/>
      </vt:variant>
      <vt:variant>
        <vt:i4>3735674</vt:i4>
      </vt:variant>
      <vt:variant>
        <vt:i4>3</vt:i4>
      </vt:variant>
      <vt:variant>
        <vt:i4>0</vt:i4>
      </vt:variant>
      <vt:variant>
        <vt:i4>5</vt:i4>
      </vt:variant>
      <vt:variant>
        <vt:lpwstr>https://www.publications.qld.gov.au/dataset/recreational-boating-facilities-demand-forecasting-study-2022/resource/157db8f3-ecdc-4c37-9eba-</vt:lpwstr>
      </vt:variant>
      <vt:variant>
        <vt:lpwstr/>
      </vt:variant>
      <vt:variant>
        <vt:i4>393288</vt:i4>
      </vt:variant>
      <vt:variant>
        <vt:i4>0</vt:i4>
      </vt:variant>
      <vt:variant>
        <vt:i4>0</vt:i4>
      </vt:variant>
      <vt:variant>
        <vt:i4>5</vt:i4>
      </vt:variant>
      <vt:variant>
        <vt:lpwstr>https://www.sunshinecoast.qld.gov.au/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MOOLOOLABA BOAT HARBOUR ENTRANCE INDEPENDENT REVIEW</dc:title>
  <dc:subject/>
  <dc:creator>Kiah Hume</dc:creator>
  <cp:keywords/>
  <dc:description/>
  <cp:lastModifiedBy>John Z Cousins</cp:lastModifiedBy>
  <cp:revision>2</cp:revision>
  <cp:lastPrinted>2025-12-07T02:54:00Z</cp:lastPrinted>
  <dcterms:created xsi:type="dcterms:W3CDTF">2026-03-09T03:57:00Z</dcterms:created>
  <dcterms:modified xsi:type="dcterms:W3CDTF">2026-03-09T03:57:00Z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ExtensionsTemplateType">
    <vt:lpwstr>Report</vt:lpwstr>
  </property>
  <property fmtid="{D5CDD505-2E9C-101B-9397-08002B2CF9AE}" pid="3" name="MSIP_Label_459ef8e5-3aaa-41a0-b30c-a77b6f506147_Enabled">
    <vt:lpwstr>true</vt:lpwstr>
  </property>
  <property fmtid="{D5CDD505-2E9C-101B-9397-08002B2CF9AE}" pid="4" name="MSIP_Label_459ef8e5-3aaa-41a0-b30c-a77b6f506147_SetDate">
    <vt:lpwstr>2024-07-23T09:05:11Z</vt:lpwstr>
  </property>
  <property fmtid="{D5CDD505-2E9C-101B-9397-08002B2CF9AE}" pid="5" name="MSIP_Label_459ef8e5-3aaa-41a0-b30c-a77b6f506147_Method">
    <vt:lpwstr>Standard</vt:lpwstr>
  </property>
  <property fmtid="{D5CDD505-2E9C-101B-9397-08002B2CF9AE}" pid="6" name="MSIP_Label_459ef8e5-3aaa-41a0-b30c-a77b6f506147_Name">
    <vt:lpwstr>Internal</vt:lpwstr>
  </property>
  <property fmtid="{D5CDD505-2E9C-101B-9397-08002B2CF9AE}" pid="7" name="MSIP_Label_459ef8e5-3aaa-41a0-b30c-a77b6f506147_SiteId">
    <vt:lpwstr>9343c96b-27bb-4092-add6-977870612481</vt:lpwstr>
  </property>
  <property fmtid="{D5CDD505-2E9C-101B-9397-08002B2CF9AE}" pid="8" name="MSIP_Label_459ef8e5-3aaa-41a0-b30c-a77b6f506147_ActionId">
    <vt:lpwstr>5f70f459-dda8-4c0a-8c95-edf17bbb4c62</vt:lpwstr>
  </property>
  <property fmtid="{D5CDD505-2E9C-101B-9397-08002B2CF9AE}" pid="9" name="MSIP_Label_459ef8e5-3aaa-41a0-b30c-a77b6f506147_ContentBits">
    <vt:lpwstr>0</vt:lpwstr>
  </property>
  <property fmtid="{D5CDD505-2E9C-101B-9397-08002B2CF9AE}" pid="10" name="TemplafyTenantId">
    <vt:lpwstr>rpsgroup</vt:lpwstr>
  </property>
  <property fmtid="{D5CDD505-2E9C-101B-9397-08002B2CF9AE}" pid="11" name="TemplafyTemplateId">
    <vt:lpwstr>1246932610168651868</vt:lpwstr>
  </property>
  <property fmtid="{D5CDD505-2E9C-101B-9397-08002B2CF9AE}" pid="12" name="TemplafyUserProfileId">
    <vt:lpwstr>1335223324509470752</vt:lpwstr>
  </property>
  <property fmtid="{D5CDD505-2E9C-101B-9397-08002B2CF9AE}" pid="13" name="TemplafyLanguageCode">
    <vt:lpwstr>en-AU</vt:lpwstr>
  </property>
  <property fmtid="{D5CDD505-2E9C-101B-9397-08002B2CF9AE}" pid="14" name="ProjectReference">
    <vt:lpwstr>604-OEENVBNE-420124</vt:lpwstr>
  </property>
  <property fmtid="{D5CDD505-2E9C-101B-9397-08002B2CF9AE}" pid="15" name="Title">
    <vt:lpwstr>MOOLOOLABA BOAT HARBOUR ENTRANCE INDEPENDENT REVIEW</vt:lpwstr>
  </property>
  <property fmtid="{D5CDD505-2E9C-101B-9397-08002B2CF9AE}" pid="16" name="Version">
    <vt:lpwstr>D</vt:lpwstr>
  </property>
  <property fmtid="{D5CDD505-2E9C-101B-9397-08002B2CF9AE}" pid="17" name="OfficeExtensionsTranslationTables">
    <vt:lpwstr>Tables</vt:lpwstr>
  </property>
  <property fmtid="{D5CDD505-2E9C-101B-9397-08002B2CF9AE}" pid="18" name="OfficeExtensionsTranslationFigures">
    <vt:lpwstr>Figures</vt:lpwstr>
  </property>
  <property fmtid="{D5CDD505-2E9C-101B-9397-08002B2CF9AE}" pid="19" name="OfficeExtensionsTranslationGraphs">
    <vt:lpwstr>Graphs</vt:lpwstr>
  </property>
  <property fmtid="{D5CDD505-2E9C-101B-9397-08002B2CF9AE}" pid="20" name="OfficeExtensionsTranslationPlates">
    <vt:lpwstr>Plates</vt:lpwstr>
  </property>
  <property fmtid="{D5CDD505-2E9C-101B-9397-08002B2CF9AE}" pid="21" name="OfficeExtensionsTranslationAppendices">
    <vt:lpwstr>Appendices</vt:lpwstr>
  </property>
  <property fmtid="{D5CDD505-2E9C-101B-9397-08002B2CF9AE}" pid="22" name="OfficeExtensionsTranslationContents">
    <vt:lpwstr>Contents</vt:lpwstr>
  </property>
  <property fmtid="{D5CDD505-2E9C-101B-9397-08002B2CF9AE}" pid="23" name="PageSetup">
    <vt:lpwstr>A4</vt:lpwstr>
  </property>
  <property fmtid="{D5CDD505-2E9C-101B-9397-08002B2CF9AE}" pid="24" name="TemplafyFromBlank">
    <vt:bool>false</vt:bool>
  </property>
  <property fmtid="{D5CDD505-2E9C-101B-9397-08002B2CF9AE}" pid="25" name="ContentTypeId">
    <vt:lpwstr>0x010100E6CF55D89C5AA84A955B2372649EB2C2</vt:lpwstr>
  </property>
  <property fmtid="{D5CDD505-2E9C-101B-9397-08002B2CF9AE}" pid="26" name="MediaServiceImageTags">
    <vt:lpwstr/>
  </property>
</Properties>
</file>